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B348D">
      <w:pPr>
        <w:spacing w:line="259" w:lineRule="auto"/>
        <w:rPr>
          <w:rFonts w:ascii="Arial"/>
          <w:sz w:val="21"/>
        </w:rPr>
      </w:pPr>
      <w:r>
        <w:pict>
          <v:shape id="_x0000_s1026" o:spid="_x0000_s1026" o:spt="202" type="#_x0000_t202" style="position:absolute;left:0pt;margin-left:-0.75pt;margin-top:-7pt;height:16.3pt;width:121.6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14:paraId="0B0547CE">
                  <w:pPr>
                    <w:pStyle w:val="2"/>
                    <w:spacing w:before="20" w:line="219" w:lineRule="auto"/>
                    <w:ind w:left="20"/>
                    <w:rPr>
                      <w:rFonts w:hint="eastAsia" w:eastAsia="宋体"/>
                      <w:sz w:val="24"/>
                      <w:szCs w:val="24"/>
                      <w:lang w:eastAsia="zh-CN"/>
                    </w:rPr>
                  </w:pPr>
                  <w:r>
                    <w:rPr>
                      <w:rFonts w:hint="eastAsia"/>
                      <w:spacing w:val="-1"/>
                      <w:sz w:val="24"/>
                      <w:szCs w:val="24"/>
                      <w:lang w:eastAsia="zh-CN"/>
                    </w:rPr>
                    <w:t>截至2022年截至2022年</w:t>
                  </w:r>
                </w:p>
              </w:txbxContent>
            </v:textbox>
          </v:shape>
        </w:pict>
      </w:r>
    </w:p>
    <w:p w14:paraId="33A73CBE">
      <w:pPr>
        <w:spacing w:line="259" w:lineRule="auto"/>
        <w:rPr>
          <w:rFonts w:ascii="Arial"/>
          <w:sz w:val="21"/>
        </w:rPr>
      </w:pPr>
    </w:p>
    <w:p w14:paraId="3EDF1AEF">
      <w:pPr>
        <w:spacing w:line="259" w:lineRule="auto"/>
        <w:rPr>
          <w:rFonts w:ascii="Arial"/>
          <w:sz w:val="21"/>
        </w:rPr>
      </w:pPr>
    </w:p>
    <w:p w14:paraId="588DD152">
      <w:pPr>
        <w:spacing w:line="259" w:lineRule="auto"/>
        <w:rPr>
          <w:rFonts w:ascii="Arial"/>
          <w:sz w:val="21"/>
        </w:rPr>
      </w:pPr>
    </w:p>
    <w:p w14:paraId="112A8F67">
      <w:pPr>
        <w:spacing w:line="259" w:lineRule="auto"/>
        <w:rPr>
          <w:rFonts w:ascii="Arial"/>
          <w:sz w:val="21"/>
        </w:rPr>
      </w:pPr>
    </w:p>
    <w:p w14:paraId="2062C89C">
      <w:pPr>
        <w:spacing w:line="259" w:lineRule="auto"/>
        <w:rPr>
          <w:rFonts w:ascii="Arial"/>
          <w:sz w:val="21"/>
        </w:rPr>
      </w:pPr>
    </w:p>
    <w:p w14:paraId="3027B69A">
      <w:pPr>
        <w:spacing w:line="259" w:lineRule="auto"/>
        <w:rPr>
          <w:rFonts w:ascii="Arial"/>
          <w:sz w:val="21"/>
        </w:rPr>
      </w:pPr>
    </w:p>
    <w:p w14:paraId="23F081FB">
      <w:pPr>
        <w:spacing w:line="259" w:lineRule="auto"/>
        <w:rPr>
          <w:rFonts w:ascii="Arial"/>
          <w:sz w:val="21"/>
        </w:rPr>
      </w:pPr>
    </w:p>
    <w:p w14:paraId="433358F7">
      <w:pPr>
        <w:spacing w:line="259" w:lineRule="auto"/>
        <w:rPr>
          <w:rFonts w:ascii="Arial"/>
          <w:sz w:val="21"/>
        </w:rPr>
      </w:pPr>
    </w:p>
    <w:p w14:paraId="7CA32A4C">
      <w:pPr>
        <w:pStyle w:val="2"/>
        <w:spacing w:before="156" w:line="219" w:lineRule="auto"/>
        <w:ind w:left="3110"/>
        <w:outlineLvl w:val="0"/>
        <w:rPr>
          <w:sz w:val="48"/>
          <w:szCs w:val="48"/>
        </w:rPr>
      </w:pPr>
      <w:r>
        <w:rPr>
          <w:b/>
          <w:bCs/>
          <w:spacing w:val="-40"/>
          <w:sz w:val="48"/>
          <w:szCs w:val="48"/>
        </w:rPr>
        <w:t>云南省曲靖市车马碧水库工程</w:t>
      </w:r>
    </w:p>
    <w:p w14:paraId="3B422E09">
      <w:pPr>
        <w:spacing w:line="272" w:lineRule="auto"/>
        <w:rPr>
          <w:rFonts w:ascii="Arial"/>
          <w:sz w:val="21"/>
        </w:rPr>
      </w:pPr>
    </w:p>
    <w:p w14:paraId="6F8B8E50">
      <w:pPr>
        <w:pStyle w:val="2"/>
        <w:spacing w:before="156" w:line="220" w:lineRule="auto"/>
        <w:ind w:left="4222"/>
        <w:outlineLvl w:val="0"/>
        <w:rPr>
          <w:sz w:val="48"/>
          <w:szCs w:val="48"/>
        </w:rPr>
      </w:pPr>
      <w:r>
        <w:rPr>
          <w:b/>
          <w:bCs/>
          <w:spacing w:val="-39"/>
          <w:sz w:val="48"/>
          <w:szCs w:val="48"/>
        </w:rPr>
        <w:t>蓄水阶段环境保护</w:t>
      </w:r>
    </w:p>
    <w:p w14:paraId="5F4BD5A2">
      <w:pPr>
        <w:spacing w:before="395" w:line="222" w:lineRule="auto"/>
        <w:ind w:left="4399"/>
        <w:outlineLvl w:val="0"/>
        <w:rPr>
          <w:rFonts w:ascii="黑体" w:hAnsi="黑体" w:eastAsia="黑体" w:cs="黑体"/>
          <w:sz w:val="51"/>
          <w:szCs w:val="51"/>
        </w:rPr>
      </w:pPr>
      <w:r>
        <w:rPr>
          <w:rFonts w:ascii="黑体" w:hAnsi="黑体" w:eastAsia="黑体" w:cs="黑体"/>
          <w:b/>
          <w:bCs/>
          <w:spacing w:val="3"/>
          <w:sz w:val="51"/>
          <w:szCs w:val="51"/>
        </w:rPr>
        <w:t>验收调查报告</w:t>
      </w:r>
    </w:p>
    <w:p w14:paraId="41A4E6BD">
      <w:pPr>
        <w:spacing w:line="262" w:lineRule="auto"/>
        <w:rPr>
          <w:rFonts w:ascii="Arial"/>
          <w:sz w:val="21"/>
        </w:rPr>
      </w:pPr>
    </w:p>
    <w:p w14:paraId="0B7D6D92">
      <w:pPr>
        <w:spacing w:line="262" w:lineRule="auto"/>
        <w:rPr>
          <w:rFonts w:ascii="Arial"/>
          <w:sz w:val="21"/>
        </w:rPr>
      </w:pPr>
    </w:p>
    <w:p w14:paraId="4C0CC989">
      <w:pPr>
        <w:spacing w:line="262" w:lineRule="auto"/>
        <w:rPr>
          <w:rFonts w:ascii="Arial"/>
          <w:sz w:val="21"/>
        </w:rPr>
      </w:pPr>
    </w:p>
    <w:p w14:paraId="08F7FDCB">
      <w:pPr>
        <w:spacing w:line="263" w:lineRule="auto"/>
        <w:rPr>
          <w:rFonts w:ascii="Arial"/>
          <w:sz w:val="21"/>
        </w:rPr>
      </w:pPr>
    </w:p>
    <w:p w14:paraId="1D3E446F">
      <w:pPr>
        <w:spacing w:line="263" w:lineRule="auto"/>
        <w:rPr>
          <w:rFonts w:ascii="Arial"/>
          <w:sz w:val="21"/>
        </w:rPr>
      </w:pPr>
    </w:p>
    <w:p w14:paraId="069D5B97">
      <w:pPr>
        <w:spacing w:line="263" w:lineRule="auto"/>
        <w:rPr>
          <w:rFonts w:ascii="Arial"/>
          <w:sz w:val="21"/>
        </w:rPr>
      </w:pPr>
    </w:p>
    <w:p w14:paraId="7CD90044">
      <w:pPr>
        <w:spacing w:line="4647" w:lineRule="exact"/>
        <w:ind w:firstLine="2555"/>
      </w:pPr>
      <w:r>
        <w:rPr>
          <w:position w:val="-92"/>
        </w:rPr>
        <w:drawing>
          <wp:inline distT="0" distB="0" distL="0" distR="0">
            <wp:extent cx="4323080" cy="295021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05"/>
                    <a:stretch>
                      <a:fillRect/>
                    </a:stretch>
                  </pic:blipFill>
                  <pic:spPr>
                    <a:xfrm>
                      <a:off x="0" y="0"/>
                      <a:ext cx="4323588" cy="2950464"/>
                    </a:xfrm>
                    <a:prstGeom prst="rect">
                      <a:avLst/>
                    </a:prstGeom>
                  </pic:spPr>
                </pic:pic>
              </a:graphicData>
            </a:graphic>
          </wp:inline>
        </w:drawing>
      </w:r>
    </w:p>
    <w:p w14:paraId="37EC9E92">
      <w:pPr>
        <w:spacing w:line="276" w:lineRule="auto"/>
        <w:rPr>
          <w:rFonts w:ascii="Arial"/>
          <w:sz w:val="21"/>
        </w:rPr>
      </w:pPr>
    </w:p>
    <w:p w14:paraId="541A91EA">
      <w:pPr>
        <w:spacing w:line="276" w:lineRule="auto"/>
        <w:rPr>
          <w:rFonts w:ascii="Arial"/>
          <w:sz w:val="21"/>
        </w:rPr>
      </w:pPr>
    </w:p>
    <w:p w14:paraId="7C5106A8">
      <w:pPr>
        <w:spacing w:line="276" w:lineRule="auto"/>
        <w:rPr>
          <w:rFonts w:ascii="Arial"/>
          <w:sz w:val="21"/>
        </w:rPr>
      </w:pPr>
    </w:p>
    <w:p w14:paraId="4F2E3225">
      <w:pPr>
        <w:spacing w:line="276" w:lineRule="auto"/>
        <w:rPr>
          <w:rFonts w:ascii="Arial"/>
          <w:sz w:val="21"/>
        </w:rPr>
      </w:pPr>
    </w:p>
    <w:p w14:paraId="58F685DD">
      <w:pPr>
        <w:spacing w:line="277" w:lineRule="auto"/>
        <w:rPr>
          <w:rFonts w:ascii="Arial"/>
          <w:sz w:val="21"/>
        </w:rPr>
      </w:pPr>
    </w:p>
    <w:p w14:paraId="091FE3EA">
      <w:pPr>
        <w:pStyle w:val="2"/>
        <w:spacing w:before="105" w:line="219" w:lineRule="auto"/>
        <w:ind w:left="2113"/>
      </w:pPr>
      <w:r>
        <w:rPr>
          <w:b/>
          <w:bCs/>
          <w:spacing w:val="-15"/>
        </w:rPr>
        <w:t>建设单位：曲</w:t>
      </w:r>
      <w:r>
        <w:rPr>
          <w:spacing w:val="-46"/>
        </w:rPr>
        <w:t xml:space="preserve"> </w:t>
      </w:r>
      <w:r>
        <w:rPr>
          <w:b/>
          <w:bCs/>
          <w:spacing w:val="-15"/>
        </w:rPr>
        <w:t>靖</w:t>
      </w:r>
      <w:r>
        <w:rPr>
          <w:spacing w:val="-49"/>
        </w:rPr>
        <w:t xml:space="preserve"> </w:t>
      </w:r>
      <w:r>
        <w:rPr>
          <w:b/>
          <w:bCs/>
          <w:spacing w:val="-15"/>
        </w:rPr>
        <w:t>市</w:t>
      </w:r>
      <w:r>
        <w:rPr>
          <w:spacing w:val="-54"/>
        </w:rPr>
        <w:t xml:space="preserve"> </w:t>
      </w:r>
      <w:r>
        <w:rPr>
          <w:b/>
          <w:bCs/>
          <w:spacing w:val="-15"/>
        </w:rPr>
        <w:t>车</w:t>
      </w:r>
      <w:r>
        <w:rPr>
          <w:spacing w:val="-48"/>
        </w:rPr>
        <w:t xml:space="preserve"> </w:t>
      </w:r>
      <w:r>
        <w:rPr>
          <w:b/>
          <w:bCs/>
          <w:spacing w:val="-15"/>
        </w:rPr>
        <w:t>马</w:t>
      </w:r>
      <w:r>
        <w:rPr>
          <w:spacing w:val="-53"/>
        </w:rPr>
        <w:t xml:space="preserve"> </w:t>
      </w:r>
      <w:r>
        <w:rPr>
          <w:b/>
          <w:bCs/>
          <w:spacing w:val="-15"/>
        </w:rPr>
        <w:t>碧</w:t>
      </w:r>
      <w:r>
        <w:rPr>
          <w:spacing w:val="-54"/>
        </w:rPr>
        <w:t xml:space="preserve"> </w:t>
      </w:r>
      <w:r>
        <w:rPr>
          <w:b/>
          <w:bCs/>
          <w:spacing w:val="-15"/>
        </w:rPr>
        <w:t>水</w:t>
      </w:r>
      <w:r>
        <w:rPr>
          <w:spacing w:val="-55"/>
        </w:rPr>
        <w:t xml:space="preserve"> </w:t>
      </w:r>
      <w:r>
        <w:rPr>
          <w:b/>
          <w:bCs/>
          <w:spacing w:val="-15"/>
        </w:rPr>
        <w:t>库</w:t>
      </w:r>
      <w:r>
        <w:rPr>
          <w:spacing w:val="-54"/>
        </w:rPr>
        <w:t xml:space="preserve"> </w:t>
      </w:r>
      <w:r>
        <w:rPr>
          <w:b/>
          <w:bCs/>
          <w:spacing w:val="-15"/>
        </w:rPr>
        <w:t>工</w:t>
      </w:r>
      <w:r>
        <w:rPr>
          <w:spacing w:val="-58"/>
        </w:rPr>
        <w:t xml:space="preserve"> </w:t>
      </w:r>
      <w:r>
        <w:rPr>
          <w:b/>
          <w:bCs/>
          <w:spacing w:val="-15"/>
        </w:rPr>
        <w:t>程</w:t>
      </w:r>
      <w:r>
        <w:rPr>
          <w:spacing w:val="-53"/>
        </w:rPr>
        <w:t xml:space="preserve"> </w:t>
      </w:r>
      <w:r>
        <w:rPr>
          <w:b/>
          <w:bCs/>
          <w:spacing w:val="-15"/>
        </w:rPr>
        <w:t>建</w:t>
      </w:r>
      <w:r>
        <w:rPr>
          <w:spacing w:val="-52"/>
        </w:rPr>
        <w:t xml:space="preserve"> </w:t>
      </w:r>
      <w:r>
        <w:rPr>
          <w:b/>
          <w:bCs/>
          <w:spacing w:val="-15"/>
        </w:rPr>
        <w:t>设</w:t>
      </w:r>
      <w:r>
        <w:rPr>
          <w:spacing w:val="-50"/>
        </w:rPr>
        <w:t xml:space="preserve"> </w:t>
      </w:r>
      <w:r>
        <w:rPr>
          <w:b/>
          <w:bCs/>
          <w:spacing w:val="-15"/>
        </w:rPr>
        <w:t>管</w:t>
      </w:r>
      <w:r>
        <w:rPr>
          <w:spacing w:val="-53"/>
        </w:rPr>
        <w:t xml:space="preserve"> </w:t>
      </w:r>
      <w:r>
        <w:rPr>
          <w:b/>
          <w:bCs/>
          <w:spacing w:val="-15"/>
        </w:rPr>
        <w:t>理</w:t>
      </w:r>
      <w:r>
        <w:rPr>
          <w:spacing w:val="-47"/>
        </w:rPr>
        <w:t xml:space="preserve"> </w:t>
      </w:r>
      <w:r>
        <w:rPr>
          <w:b/>
          <w:bCs/>
          <w:spacing w:val="-15"/>
        </w:rPr>
        <w:t>局</w:t>
      </w:r>
    </w:p>
    <w:p w14:paraId="3FEE02DE">
      <w:pPr>
        <w:pStyle w:val="2"/>
        <w:spacing w:before="243" w:line="219" w:lineRule="auto"/>
        <w:ind w:left="2110"/>
      </w:pPr>
      <w:r>
        <w:rPr>
          <w:b/>
          <w:bCs/>
          <w:spacing w:val="-3"/>
        </w:rPr>
        <w:t>编制单位：中国电建集团北京勘测设计研究院有限公司</w:t>
      </w:r>
    </w:p>
    <w:p w14:paraId="7E695CF4">
      <w:pPr>
        <w:spacing w:before="243" w:line="234" w:lineRule="auto"/>
        <w:ind w:left="5116"/>
        <w:rPr>
          <w:rFonts w:ascii="黑体" w:hAnsi="黑体" w:eastAsia="黑体" w:cs="黑体"/>
          <w:sz w:val="32"/>
          <w:szCs w:val="32"/>
        </w:rPr>
      </w:pPr>
      <w:r>
        <w:rPr>
          <w:rFonts w:ascii="Times New Roman" w:hAnsi="Times New Roman" w:eastAsia="Times New Roman" w:cs="Times New Roman"/>
          <w:b/>
          <w:bCs/>
          <w:spacing w:val="-5"/>
          <w:sz w:val="32"/>
          <w:szCs w:val="32"/>
        </w:rPr>
        <w:t>2022</w:t>
      </w:r>
      <w:r>
        <w:rPr>
          <w:rFonts w:ascii="Times New Roman" w:hAnsi="Times New Roman" w:eastAsia="Times New Roman" w:cs="Times New Roman"/>
          <w:b/>
          <w:bCs/>
          <w:spacing w:val="15"/>
          <w:sz w:val="32"/>
          <w:szCs w:val="32"/>
        </w:rPr>
        <w:t xml:space="preserve"> </w:t>
      </w:r>
      <w:r>
        <w:rPr>
          <w:rFonts w:ascii="黑体" w:hAnsi="黑体" w:eastAsia="黑体" w:cs="黑体"/>
          <w:b/>
          <w:bCs/>
          <w:spacing w:val="-5"/>
          <w:sz w:val="32"/>
          <w:szCs w:val="32"/>
        </w:rPr>
        <w:t>年</w:t>
      </w:r>
      <w:r>
        <w:rPr>
          <w:rFonts w:ascii="黑体" w:hAnsi="黑体" w:eastAsia="黑体" w:cs="黑体"/>
          <w:spacing w:val="-74"/>
          <w:sz w:val="32"/>
          <w:szCs w:val="32"/>
        </w:rPr>
        <w:t xml:space="preserve"> </w:t>
      </w:r>
      <w:r>
        <w:rPr>
          <w:rFonts w:ascii="Times New Roman" w:hAnsi="Times New Roman" w:eastAsia="Times New Roman" w:cs="Times New Roman"/>
          <w:b/>
          <w:bCs/>
          <w:spacing w:val="-5"/>
          <w:sz w:val="32"/>
          <w:szCs w:val="32"/>
        </w:rPr>
        <w:t>3</w:t>
      </w:r>
      <w:r>
        <w:rPr>
          <w:rFonts w:ascii="Times New Roman" w:hAnsi="Times New Roman" w:eastAsia="Times New Roman" w:cs="Times New Roman"/>
          <w:b/>
          <w:bCs/>
          <w:spacing w:val="20"/>
          <w:sz w:val="32"/>
          <w:szCs w:val="32"/>
        </w:rPr>
        <w:t xml:space="preserve"> </w:t>
      </w:r>
      <w:r>
        <w:rPr>
          <w:rFonts w:ascii="黑体" w:hAnsi="黑体" w:eastAsia="黑体" w:cs="黑体"/>
          <w:b/>
          <w:bCs/>
          <w:spacing w:val="-5"/>
          <w:sz w:val="32"/>
          <w:szCs w:val="32"/>
        </w:rPr>
        <w:t>月</w:t>
      </w:r>
    </w:p>
    <w:p w14:paraId="3C5130B6">
      <w:pPr>
        <w:spacing w:line="234" w:lineRule="auto"/>
        <w:rPr>
          <w:rFonts w:ascii="黑体" w:hAnsi="黑体" w:eastAsia="黑体" w:cs="黑体"/>
          <w:sz w:val="32"/>
          <w:szCs w:val="32"/>
        </w:rPr>
        <w:sectPr>
          <w:pgSz w:w="11907" w:h="16839"/>
          <w:pgMar w:top="0" w:right="1785" w:bottom="0" w:left="4" w:header="0" w:footer="0" w:gutter="0"/>
          <w:cols w:space="720" w:num="1"/>
        </w:sectPr>
      </w:pPr>
    </w:p>
    <w:p w14:paraId="2C95C23B">
      <w:pPr>
        <w:spacing w:before="317" w:line="215" w:lineRule="auto"/>
        <w:rPr>
          <w:rFonts w:ascii="仿宋" w:hAnsi="仿宋" w:eastAsia="仿宋" w:cs="仿宋"/>
          <w:sz w:val="32"/>
          <w:szCs w:val="32"/>
        </w:rPr>
      </w:pPr>
      <w:r>
        <w:rPr>
          <w:rFonts w:ascii="仿宋" w:hAnsi="仿宋" w:eastAsia="仿宋" w:cs="仿宋"/>
          <w:b/>
          <w:bCs/>
          <w:spacing w:val="-20"/>
          <w:sz w:val="32"/>
          <w:szCs w:val="32"/>
        </w:rPr>
        <w:t>建设单位法人：曲</w:t>
      </w:r>
      <w:r>
        <w:rPr>
          <w:rFonts w:ascii="仿宋" w:hAnsi="仿宋" w:eastAsia="仿宋" w:cs="仿宋"/>
          <w:spacing w:val="-46"/>
          <w:sz w:val="32"/>
          <w:szCs w:val="32"/>
        </w:rPr>
        <w:t xml:space="preserve"> </w:t>
      </w:r>
      <w:r>
        <w:rPr>
          <w:rFonts w:ascii="仿宋" w:hAnsi="仿宋" w:eastAsia="仿宋" w:cs="仿宋"/>
          <w:b/>
          <w:bCs/>
          <w:spacing w:val="-20"/>
          <w:sz w:val="32"/>
          <w:szCs w:val="32"/>
        </w:rPr>
        <w:t>靖</w:t>
      </w:r>
      <w:r>
        <w:rPr>
          <w:rFonts w:ascii="仿宋" w:hAnsi="仿宋" w:eastAsia="仿宋" w:cs="仿宋"/>
          <w:spacing w:val="-40"/>
          <w:sz w:val="32"/>
          <w:szCs w:val="32"/>
        </w:rPr>
        <w:t xml:space="preserve"> </w:t>
      </w:r>
      <w:r>
        <w:rPr>
          <w:rFonts w:ascii="仿宋" w:hAnsi="仿宋" w:eastAsia="仿宋" w:cs="仿宋"/>
          <w:b/>
          <w:bCs/>
          <w:spacing w:val="-20"/>
          <w:sz w:val="32"/>
          <w:szCs w:val="32"/>
        </w:rPr>
        <w:t>市</w:t>
      </w:r>
      <w:r>
        <w:rPr>
          <w:rFonts w:ascii="仿宋" w:hAnsi="仿宋" w:eastAsia="仿宋" w:cs="仿宋"/>
          <w:spacing w:val="-40"/>
          <w:sz w:val="32"/>
          <w:szCs w:val="32"/>
        </w:rPr>
        <w:t xml:space="preserve"> </w:t>
      </w:r>
      <w:r>
        <w:rPr>
          <w:rFonts w:ascii="仿宋" w:hAnsi="仿宋" w:eastAsia="仿宋" w:cs="仿宋"/>
          <w:b/>
          <w:bCs/>
          <w:spacing w:val="-20"/>
          <w:sz w:val="32"/>
          <w:szCs w:val="32"/>
        </w:rPr>
        <w:t>车</w:t>
      </w:r>
      <w:r>
        <w:rPr>
          <w:rFonts w:ascii="仿宋" w:hAnsi="仿宋" w:eastAsia="仿宋" w:cs="仿宋"/>
          <w:spacing w:val="-43"/>
          <w:sz w:val="32"/>
          <w:szCs w:val="32"/>
        </w:rPr>
        <w:t xml:space="preserve"> </w:t>
      </w:r>
      <w:r>
        <w:rPr>
          <w:rFonts w:ascii="仿宋" w:hAnsi="仿宋" w:eastAsia="仿宋" w:cs="仿宋"/>
          <w:b/>
          <w:bCs/>
          <w:spacing w:val="-20"/>
          <w:sz w:val="32"/>
          <w:szCs w:val="32"/>
        </w:rPr>
        <w:t>马</w:t>
      </w:r>
      <w:r>
        <w:rPr>
          <w:rFonts w:ascii="仿宋" w:hAnsi="仿宋" w:eastAsia="仿宋" w:cs="仿宋"/>
          <w:spacing w:val="-35"/>
          <w:sz w:val="32"/>
          <w:szCs w:val="32"/>
        </w:rPr>
        <w:t xml:space="preserve"> </w:t>
      </w:r>
      <w:r>
        <w:rPr>
          <w:rFonts w:ascii="仿宋" w:hAnsi="仿宋" w:eastAsia="仿宋" w:cs="仿宋"/>
          <w:b/>
          <w:bCs/>
          <w:spacing w:val="-20"/>
          <w:sz w:val="32"/>
          <w:szCs w:val="32"/>
        </w:rPr>
        <w:t>碧</w:t>
      </w:r>
      <w:r>
        <w:rPr>
          <w:rFonts w:ascii="仿宋" w:hAnsi="仿宋" w:eastAsia="仿宋" w:cs="仿宋"/>
          <w:spacing w:val="-50"/>
          <w:sz w:val="32"/>
          <w:szCs w:val="32"/>
        </w:rPr>
        <w:t xml:space="preserve"> </w:t>
      </w:r>
      <w:r>
        <w:rPr>
          <w:rFonts w:ascii="仿宋" w:hAnsi="仿宋" w:eastAsia="仿宋" w:cs="仿宋"/>
          <w:b/>
          <w:bCs/>
          <w:spacing w:val="-20"/>
          <w:sz w:val="32"/>
          <w:szCs w:val="32"/>
        </w:rPr>
        <w:t>水</w:t>
      </w:r>
      <w:r>
        <w:rPr>
          <w:rFonts w:ascii="仿宋" w:hAnsi="仿宋" w:eastAsia="仿宋" w:cs="仿宋"/>
          <w:spacing w:val="-43"/>
          <w:sz w:val="32"/>
          <w:szCs w:val="32"/>
        </w:rPr>
        <w:t xml:space="preserve"> </w:t>
      </w:r>
      <w:r>
        <w:rPr>
          <w:rFonts w:ascii="仿宋" w:hAnsi="仿宋" w:eastAsia="仿宋" w:cs="仿宋"/>
          <w:b/>
          <w:bCs/>
          <w:spacing w:val="-20"/>
          <w:sz w:val="32"/>
          <w:szCs w:val="32"/>
        </w:rPr>
        <w:t>库</w:t>
      </w:r>
      <w:r>
        <w:rPr>
          <w:rFonts w:ascii="仿宋" w:hAnsi="仿宋" w:eastAsia="仿宋" w:cs="仿宋"/>
          <w:spacing w:val="-41"/>
          <w:sz w:val="32"/>
          <w:szCs w:val="32"/>
        </w:rPr>
        <w:t xml:space="preserve"> </w:t>
      </w:r>
      <w:r>
        <w:rPr>
          <w:rFonts w:ascii="仿宋" w:hAnsi="仿宋" w:eastAsia="仿宋" w:cs="仿宋"/>
          <w:b/>
          <w:bCs/>
          <w:spacing w:val="-20"/>
          <w:sz w:val="32"/>
          <w:szCs w:val="32"/>
        </w:rPr>
        <w:t>工</w:t>
      </w:r>
      <w:r>
        <w:rPr>
          <w:rFonts w:ascii="仿宋" w:hAnsi="仿宋" w:eastAsia="仿宋" w:cs="仿宋"/>
          <w:spacing w:val="-46"/>
          <w:sz w:val="32"/>
          <w:szCs w:val="32"/>
        </w:rPr>
        <w:t xml:space="preserve"> </w:t>
      </w:r>
      <w:r>
        <w:rPr>
          <w:rFonts w:ascii="仿宋" w:hAnsi="仿宋" w:eastAsia="仿宋" w:cs="仿宋"/>
          <w:b/>
          <w:bCs/>
          <w:spacing w:val="-20"/>
          <w:sz w:val="32"/>
          <w:szCs w:val="32"/>
        </w:rPr>
        <w:t>程</w:t>
      </w:r>
      <w:r>
        <w:rPr>
          <w:rFonts w:ascii="仿宋" w:hAnsi="仿宋" w:eastAsia="仿宋" w:cs="仿宋"/>
          <w:spacing w:val="-49"/>
          <w:sz w:val="32"/>
          <w:szCs w:val="32"/>
        </w:rPr>
        <w:t xml:space="preserve"> </w:t>
      </w:r>
      <w:r>
        <w:rPr>
          <w:rFonts w:ascii="仿宋" w:hAnsi="仿宋" w:eastAsia="仿宋" w:cs="仿宋"/>
          <w:b/>
          <w:bCs/>
          <w:spacing w:val="-20"/>
          <w:sz w:val="32"/>
          <w:szCs w:val="32"/>
        </w:rPr>
        <w:t>建</w:t>
      </w:r>
      <w:r>
        <w:rPr>
          <w:rFonts w:ascii="仿宋" w:hAnsi="仿宋" w:eastAsia="仿宋" w:cs="仿宋"/>
          <w:spacing w:val="-49"/>
          <w:sz w:val="32"/>
          <w:szCs w:val="32"/>
        </w:rPr>
        <w:t xml:space="preserve"> </w:t>
      </w:r>
      <w:r>
        <w:rPr>
          <w:rFonts w:ascii="仿宋" w:hAnsi="仿宋" w:eastAsia="仿宋" w:cs="仿宋"/>
          <w:b/>
          <w:bCs/>
          <w:spacing w:val="-20"/>
          <w:sz w:val="32"/>
          <w:szCs w:val="32"/>
        </w:rPr>
        <w:t>设</w:t>
      </w:r>
      <w:r>
        <w:rPr>
          <w:rFonts w:ascii="仿宋" w:hAnsi="仿宋" w:eastAsia="仿宋" w:cs="仿宋"/>
          <w:spacing w:val="-20"/>
          <w:sz w:val="32"/>
          <w:szCs w:val="32"/>
        </w:rPr>
        <w:t xml:space="preserve"> </w:t>
      </w:r>
      <w:r>
        <w:rPr>
          <w:rFonts w:ascii="仿宋" w:hAnsi="仿宋" w:eastAsia="仿宋" w:cs="仿宋"/>
          <w:b/>
          <w:bCs/>
          <w:spacing w:val="-20"/>
          <w:sz w:val="32"/>
          <w:szCs w:val="32"/>
        </w:rPr>
        <w:t>管</w:t>
      </w:r>
      <w:r>
        <w:rPr>
          <w:rFonts w:ascii="仿宋" w:hAnsi="仿宋" w:eastAsia="仿宋" w:cs="仿宋"/>
          <w:spacing w:val="-45"/>
          <w:sz w:val="32"/>
          <w:szCs w:val="32"/>
        </w:rPr>
        <w:t xml:space="preserve"> </w:t>
      </w:r>
      <w:r>
        <w:rPr>
          <w:rFonts w:ascii="仿宋" w:hAnsi="仿宋" w:eastAsia="仿宋" w:cs="仿宋"/>
          <w:b/>
          <w:bCs/>
          <w:spacing w:val="-20"/>
          <w:sz w:val="32"/>
          <w:szCs w:val="32"/>
        </w:rPr>
        <w:t>理</w:t>
      </w:r>
      <w:r>
        <w:rPr>
          <w:rFonts w:ascii="仿宋" w:hAnsi="仿宋" w:eastAsia="仿宋" w:cs="仿宋"/>
          <w:spacing w:val="-37"/>
          <w:sz w:val="32"/>
          <w:szCs w:val="32"/>
        </w:rPr>
        <w:t xml:space="preserve"> </w:t>
      </w:r>
      <w:r>
        <w:rPr>
          <w:rFonts w:ascii="仿宋" w:hAnsi="仿宋" w:eastAsia="仿宋" w:cs="仿宋"/>
          <w:b/>
          <w:bCs/>
          <w:spacing w:val="-20"/>
          <w:sz w:val="32"/>
          <w:szCs w:val="32"/>
        </w:rPr>
        <w:t>局</w:t>
      </w:r>
    </w:p>
    <w:p w14:paraId="656C418D">
      <w:pPr>
        <w:spacing w:before="248" w:line="217" w:lineRule="auto"/>
        <w:rPr>
          <w:rFonts w:ascii="仿宋" w:hAnsi="仿宋" w:eastAsia="仿宋" w:cs="仿宋"/>
          <w:sz w:val="32"/>
          <w:szCs w:val="32"/>
        </w:rPr>
      </w:pPr>
      <w:r>
        <w:rPr>
          <w:rFonts w:ascii="仿宋" w:hAnsi="仿宋" w:eastAsia="仿宋" w:cs="仿宋"/>
          <w:b/>
          <w:bCs/>
          <w:spacing w:val="-6"/>
          <w:sz w:val="32"/>
          <w:szCs w:val="32"/>
        </w:rPr>
        <w:t>报告编制单位：</w:t>
      </w:r>
      <w:r>
        <w:rPr>
          <w:rFonts w:ascii="仿宋" w:hAnsi="仿宋" w:eastAsia="仿宋" w:cs="仿宋"/>
          <w:spacing w:val="-87"/>
          <w:sz w:val="32"/>
          <w:szCs w:val="32"/>
        </w:rPr>
        <w:t xml:space="preserve"> </w:t>
      </w:r>
      <w:r>
        <w:rPr>
          <w:rFonts w:ascii="仿宋" w:hAnsi="仿宋" w:eastAsia="仿宋" w:cs="仿宋"/>
          <w:b/>
          <w:bCs/>
          <w:spacing w:val="-6"/>
          <w:sz w:val="32"/>
          <w:szCs w:val="32"/>
        </w:rPr>
        <w:t>中国电建集团北京勘测设计研究院有限公司</w:t>
      </w:r>
    </w:p>
    <w:p w14:paraId="64DE983F">
      <w:pPr>
        <w:spacing w:line="270" w:lineRule="auto"/>
        <w:rPr>
          <w:rFonts w:ascii="Arial"/>
          <w:sz w:val="21"/>
        </w:rPr>
      </w:pPr>
    </w:p>
    <w:p w14:paraId="337B82FD">
      <w:pPr>
        <w:spacing w:line="270" w:lineRule="auto"/>
        <w:rPr>
          <w:rFonts w:ascii="Arial"/>
          <w:sz w:val="21"/>
        </w:rPr>
      </w:pPr>
    </w:p>
    <w:p w14:paraId="278D09A8">
      <w:pPr>
        <w:spacing w:line="270" w:lineRule="auto"/>
        <w:rPr>
          <w:rFonts w:ascii="Arial"/>
          <w:sz w:val="21"/>
        </w:rPr>
      </w:pPr>
    </w:p>
    <w:p w14:paraId="4C924478">
      <w:pPr>
        <w:spacing w:line="270" w:lineRule="auto"/>
        <w:rPr>
          <w:rFonts w:ascii="Arial"/>
          <w:sz w:val="21"/>
        </w:rPr>
      </w:pPr>
    </w:p>
    <w:p w14:paraId="1245741D">
      <w:pPr>
        <w:spacing w:line="270" w:lineRule="auto"/>
        <w:rPr>
          <w:rFonts w:ascii="Arial"/>
          <w:sz w:val="21"/>
        </w:rPr>
      </w:pPr>
    </w:p>
    <w:p w14:paraId="22446994">
      <w:pPr>
        <w:spacing w:line="270" w:lineRule="auto"/>
        <w:rPr>
          <w:rFonts w:ascii="Arial"/>
          <w:sz w:val="21"/>
        </w:rPr>
      </w:pPr>
    </w:p>
    <w:p w14:paraId="73C90280">
      <w:pPr>
        <w:spacing w:line="271" w:lineRule="auto"/>
        <w:rPr>
          <w:rFonts w:ascii="Arial"/>
          <w:sz w:val="21"/>
        </w:rPr>
      </w:pPr>
    </w:p>
    <w:p w14:paraId="2F6454D4">
      <w:pPr>
        <w:spacing w:before="104" w:line="217" w:lineRule="auto"/>
        <w:ind w:left="643"/>
        <w:rPr>
          <w:rFonts w:ascii="仿宋" w:hAnsi="仿宋" w:eastAsia="仿宋" w:cs="仿宋"/>
          <w:sz w:val="32"/>
          <w:szCs w:val="32"/>
        </w:rPr>
      </w:pPr>
      <w:r>
        <w:rPr>
          <w:rFonts w:ascii="仿宋" w:hAnsi="仿宋" w:eastAsia="仿宋" w:cs="仿宋"/>
          <w:b/>
          <w:bCs/>
          <w:spacing w:val="-13"/>
          <w:sz w:val="32"/>
          <w:szCs w:val="32"/>
        </w:rPr>
        <w:t>批</w:t>
      </w:r>
      <w:r>
        <w:rPr>
          <w:rFonts w:ascii="仿宋" w:hAnsi="仿宋" w:eastAsia="仿宋" w:cs="仿宋"/>
          <w:spacing w:val="14"/>
          <w:sz w:val="32"/>
          <w:szCs w:val="32"/>
        </w:rPr>
        <w:t xml:space="preserve">  </w:t>
      </w:r>
      <w:r>
        <w:rPr>
          <w:rFonts w:ascii="仿宋" w:hAnsi="仿宋" w:eastAsia="仿宋" w:cs="仿宋"/>
          <w:b/>
          <w:bCs/>
          <w:spacing w:val="-13"/>
          <w:sz w:val="32"/>
          <w:szCs w:val="32"/>
        </w:rPr>
        <w:t>准：</w:t>
      </w:r>
      <w:r>
        <w:rPr>
          <w:rFonts w:ascii="仿宋" w:hAnsi="仿宋" w:eastAsia="仿宋" w:cs="仿宋"/>
          <w:spacing w:val="24"/>
          <w:sz w:val="32"/>
          <w:szCs w:val="32"/>
        </w:rPr>
        <w:t xml:space="preserve"> </w:t>
      </w:r>
      <w:r>
        <w:rPr>
          <w:rFonts w:ascii="仿宋" w:hAnsi="仿宋" w:eastAsia="仿宋" w:cs="仿宋"/>
          <w:spacing w:val="-13"/>
          <w:sz w:val="32"/>
          <w:szCs w:val="32"/>
        </w:rPr>
        <w:t>谭奇林</w:t>
      </w:r>
    </w:p>
    <w:p w14:paraId="0F95D253">
      <w:pPr>
        <w:spacing w:line="277" w:lineRule="auto"/>
        <w:rPr>
          <w:rFonts w:ascii="Arial"/>
          <w:sz w:val="21"/>
        </w:rPr>
      </w:pPr>
    </w:p>
    <w:p w14:paraId="5CFE7754">
      <w:pPr>
        <w:spacing w:line="277" w:lineRule="auto"/>
        <w:rPr>
          <w:rFonts w:ascii="Arial"/>
          <w:sz w:val="21"/>
        </w:rPr>
      </w:pPr>
    </w:p>
    <w:p w14:paraId="263B7AE0">
      <w:pPr>
        <w:spacing w:before="104" w:line="218" w:lineRule="auto"/>
        <w:ind w:left="642"/>
        <w:rPr>
          <w:rFonts w:ascii="仿宋" w:hAnsi="仿宋" w:eastAsia="仿宋" w:cs="仿宋"/>
          <w:sz w:val="32"/>
          <w:szCs w:val="32"/>
        </w:rPr>
      </w:pPr>
      <w:r>
        <w:rPr>
          <w:rFonts w:ascii="仿宋" w:hAnsi="仿宋" w:eastAsia="仿宋" w:cs="仿宋"/>
          <w:b/>
          <w:bCs/>
          <w:spacing w:val="-16"/>
          <w:sz w:val="32"/>
          <w:szCs w:val="32"/>
        </w:rPr>
        <w:t>核</w:t>
      </w:r>
      <w:r>
        <w:rPr>
          <w:rFonts w:ascii="仿宋" w:hAnsi="仿宋" w:eastAsia="仿宋" w:cs="仿宋"/>
          <w:spacing w:val="15"/>
          <w:sz w:val="32"/>
          <w:szCs w:val="32"/>
        </w:rPr>
        <w:t xml:space="preserve">  </w:t>
      </w:r>
      <w:r>
        <w:rPr>
          <w:rFonts w:ascii="仿宋" w:hAnsi="仿宋" w:eastAsia="仿宋" w:cs="仿宋"/>
          <w:b/>
          <w:bCs/>
          <w:spacing w:val="-16"/>
          <w:sz w:val="32"/>
          <w:szCs w:val="32"/>
        </w:rPr>
        <w:t>定：</w:t>
      </w:r>
      <w:r>
        <w:rPr>
          <w:rFonts w:ascii="仿宋" w:hAnsi="仿宋" w:eastAsia="仿宋" w:cs="仿宋"/>
          <w:spacing w:val="25"/>
          <w:sz w:val="32"/>
          <w:szCs w:val="32"/>
        </w:rPr>
        <w:t xml:space="preserve"> </w:t>
      </w:r>
      <w:r>
        <w:rPr>
          <w:rFonts w:ascii="仿宋" w:hAnsi="仿宋" w:eastAsia="仿宋" w:cs="仿宋"/>
          <w:spacing w:val="-16"/>
          <w:sz w:val="32"/>
          <w:szCs w:val="32"/>
        </w:rPr>
        <w:t>金</w:t>
      </w:r>
      <w:r>
        <w:rPr>
          <w:rFonts w:ascii="仿宋" w:hAnsi="仿宋" w:eastAsia="仿宋" w:cs="仿宋"/>
          <w:spacing w:val="15"/>
          <w:sz w:val="32"/>
          <w:szCs w:val="32"/>
        </w:rPr>
        <w:t xml:space="preserve">  </w:t>
      </w:r>
      <w:r>
        <w:rPr>
          <w:rFonts w:ascii="仿宋" w:hAnsi="仿宋" w:eastAsia="仿宋" w:cs="仿宋"/>
          <w:spacing w:val="-16"/>
          <w:sz w:val="32"/>
          <w:szCs w:val="32"/>
        </w:rPr>
        <w:t>弈</w:t>
      </w:r>
    </w:p>
    <w:p w14:paraId="2D254258">
      <w:pPr>
        <w:spacing w:line="275" w:lineRule="auto"/>
        <w:rPr>
          <w:rFonts w:ascii="Arial"/>
          <w:sz w:val="21"/>
        </w:rPr>
      </w:pPr>
    </w:p>
    <w:p w14:paraId="106FC28E">
      <w:pPr>
        <w:spacing w:line="276" w:lineRule="auto"/>
        <w:rPr>
          <w:rFonts w:ascii="Arial"/>
          <w:sz w:val="21"/>
        </w:rPr>
      </w:pPr>
    </w:p>
    <w:p w14:paraId="712D118C">
      <w:pPr>
        <w:spacing w:before="104" w:line="218" w:lineRule="auto"/>
        <w:ind w:left="668"/>
        <w:rPr>
          <w:rFonts w:ascii="仿宋" w:hAnsi="仿宋" w:eastAsia="仿宋" w:cs="仿宋"/>
          <w:sz w:val="32"/>
          <w:szCs w:val="32"/>
        </w:rPr>
      </w:pPr>
      <w:r>
        <w:rPr>
          <w:rFonts w:ascii="仿宋" w:hAnsi="仿宋" w:eastAsia="仿宋" w:cs="仿宋"/>
          <w:b/>
          <w:bCs/>
          <w:spacing w:val="-17"/>
          <w:sz w:val="32"/>
          <w:szCs w:val="32"/>
        </w:rPr>
        <w:t>审</w:t>
      </w:r>
      <w:r>
        <w:rPr>
          <w:rFonts w:ascii="仿宋" w:hAnsi="仿宋" w:eastAsia="仿宋" w:cs="仿宋"/>
          <w:spacing w:val="13"/>
          <w:sz w:val="32"/>
          <w:szCs w:val="32"/>
        </w:rPr>
        <w:t xml:space="preserve">  </w:t>
      </w:r>
      <w:r>
        <w:rPr>
          <w:rFonts w:ascii="仿宋" w:hAnsi="仿宋" w:eastAsia="仿宋" w:cs="仿宋"/>
          <w:b/>
          <w:bCs/>
          <w:spacing w:val="-17"/>
          <w:sz w:val="32"/>
          <w:szCs w:val="32"/>
        </w:rPr>
        <w:t>查：</w:t>
      </w:r>
      <w:r>
        <w:rPr>
          <w:rFonts w:ascii="仿宋" w:hAnsi="仿宋" w:eastAsia="仿宋" w:cs="仿宋"/>
          <w:spacing w:val="25"/>
          <w:sz w:val="32"/>
          <w:szCs w:val="32"/>
        </w:rPr>
        <w:t xml:space="preserve"> </w:t>
      </w:r>
      <w:r>
        <w:rPr>
          <w:rFonts w:ascii="仿宋" w:hAnsi="仿宋" w:eastAsia="仿宋" w:cs="仿宋"/>
          <w:spacing w:val="-17"/>
          <w:sz w:val="32"/>
          <w:szCs w:val="32"/>
        </w:rPr>
        <w:t>刘桂华</w:t>
      </w:r>
    </w:p>
    <w:p w14:paraId="1A42CDEF">
      <w:pPr>
        <w:spacing w:line="275" w:lineRule="auto"/>
        <w:rPr>
          <w:rFonts w:ascii="Arial"/>
          <w:sz w:val="21"/>
        </w:rPr>
      </w:pPr>
    </w:p>
    <w:p w14:paraId="25CA7347">
      <w:pPr>
        <w:spacing w:line="276" w:lineRule="auto"/>
        <w:rPr>
          <w:rFonts w:ascii="Arial"/>
          <w:sz w:val="21"/>
        </w:rPr>
      </w:pPr>
    </w:p>
    <w:p w14:paraId="2F643680">
      <w:pPr>
        <w:spacing w:before="104" w:line="218" w:lineRule="auto"/>
        <w:ind w:left="643"/>
        <w:rPr>
          <w:rFonts w:ascii="仿宋" w:hAnsi="仿宋" w:eastAsia="仿宋" w:cs="仿宋"/>
          <w:sz w:val="32"/>
          <w:szCs w:val="32"/>
        </w:rPr>
      </w:pPr>
      <w:r>
        <w:rPr>
          <w:rFonts w:ascii="仿宋" w:hAnsi="仿宋" w:eastAsia="仿宋" w:cs="仿宋"/>
          <w:b/>
          <w:bCs/>
          <w:spacing w:val="-13"/>
          <w:sz w:val="32"/>
          <w:szCs w:val="32"/>
        </w:rPr>
        <w:t>校</w:t>
      </w:r>
      <w:r>
        <w:rPr>
          <w:rFonts w:ascii="仿宋" w:hAnsi="仿宋" w:eastAsia="仿宋" w:cs="仿宋"/>
          <w:spacing w:val="12"/>
          <w:sz w:val="32"/>
          <w:szCs w:val="32"/>
        </w:rPr>
        <w:t xml:space="preserve">  </w:t>
      </w:r>
      <w:r>
        <w:rPr>
          <w:rFonts w:ascii="仿宋" w:hAnsi="仿宋" w:eastAsia="仿宋" w:cs="仿宋"/>
          <w:b/>
          <w:bCs/>
          <w:spacing w:val="-13"/>
          <w:sz w:val="32"/>
          <w:szCs w:val="32"/>
        </w:rPr>
        <w:t>核：</w:t>
      </w:r>
      <w:r>
        <w:rPr>
          <w:rFonts w:ascii="仿宋" w:hAnsi="仿宋" w:eastAsia="仿宋" w:cs="仿宋"/>
          <w:spacing w:val="28"/>
          <w:sz w:val="32"/>
          <w:szCs w:val="32"/>
        </w:rPr>
        <w:t xml:space="preserve"> </w:t>
      </w:r>
      <w:r>
        <w:rPr>
          <w:rFonts w:ascii="仿宋" w:hAnsi="仿宋" w:eastAsia="仿宋" w:cs="仿宋"/>
          <w:spacing w:val="-13"/>
          <w:sz w:val="32"/>
          <w:szCs w:val="32"/>
        </w:rPr>
        <w:t>张志广</w:t>
      </w:r>
    </w:p>
    <w:p w14:paraId="6082C054">
      <w:pPr>
        <w:spacing w:line="276" w:lineRule="auto"/>
        <w:rPr>
          <w:rFonts w:ascii="Arial"/>
          <w:sz w:val="21"/>
        </w:rPr>
      </w:pPr>
    </w:p>
    <w:p w14:paraId="4E793CD7">
      <w:pPr>
        <w:spacing w:line="277" w:lineRule="auto"/>
        <w:rPr>
          <w:rFonts w:ascii="Arial"/>
          <w:sz w:val="21"/>
        </w:rPr>
      </w:pPr>
    </w:p>
    <w:p w14:paraId="0E0AAE17">
      <w:pPr>
        <w:spacing w:before="105" w:line="219" w:lineRule="auto"/>
        <w:ind w:left="645"/>
        <w:rPr>
          <w:rFonts w:ascii="仿宋" w:hAnsi="仿宋" w:eastAsia="仿宋" w:cs="仿宋"/>
          <w:sz w:val="32"/>
          <w:szCs w:val="32"/>
        </w:rPr>
      </w:pPr>
      <w:r>
        <w:rPr>
          <w:rFonts w:ascii="仿宋" w:hAnsi="仿宋" w:eastAsia="仿宋" w:cs="仿宋"/>
          <w:b/>
          <w:bCs/>
          <w:spacing w:val="-12"/>
          <w:sz w:val="32"/>
          <w:szCs w:val="32"/>
        </w:rPr>
        <w:t>编</w:t>
      </w:r>
      <w:r>
        <w:rPr>
          <w:rFonts w:ascii="仿宋" w:hAnsi="仿宋" w:eastAsia="仿宋" w:cs="仿宋"/>
          <w:spacing w:val="17"/>
          <w:sz w:val="32"/>
          <w:szCs w:val="32"/>
        </w:rPr>
        <w:t xml:space="preserve">  </w:t>
      </w:r>
      <w:r>
        <w:rPr>
          <w:rFonts w:ascii="仿宋" w:hAnsi="仿宋" w:eastAsia="仿宋" w:cs="仿宋"/>
          <w:b/>
          <w:bCs/>
          <w:spacing w:val="-12"/>
          <w:sz w:val="32"/>
          <w:szCs w:val="32"/>
        </w:rPr>
        <w:t>写：</w:t>
      </w:r>
      <w:r>
        <w:rPr>
          <w:rFonts w:ascii="仿宋" w:hAnsi="仿宋" w:eastAsia="仿宋" w:cs="仿宋"/>
          <w:spacing w:val="29"/>
          <w:sz w:val="32"/>
          <w:szCs w:val="32"/>
        </w:rPr>
        <w:t xml:space="preserve"> </w:t>
      </w:r>
      <w:r>
        <w:rPr>
          <w:rFonts w:ascii="仿宋" w:hAnsi="仿宋" w:eastAsia="仿宋" w:cs="仿宋"/>
          <w:spacing w:val="-12"/>
          <w:sz w:val="32"/>
          <w:szCs w:val="32"/>
        </w:rPr>
        <w:t>张金燕</w:t>
      </w:r>
      <w:r>
        <w:rPr>
          <w:rFonts w:ascii="仿宋" w:hAnsi="仿宋" w:eastAsia="仿宋" w:cs="仿宋"/>
          <w:spacing w:val="2"/>
          <w:sz w:val="32"/>
          <w:szCs w:val="32"/>
        </w:rPr>
        <w:t xml:space="preserve">         </w:t>
      </w:r>
      <w:r>
        <w:rPr>
          <w:rFonts w:ascii="仿宋" w:hAnsi="仿宋" w:eastAsia="仿宋" w:cs="仿宋"/>
          <w:spacing w:val="-12"/>
          <w:sz w:val="32"/>
          <w:szCs w:val="32"/>
        </w:rPr>
        <w:t>王龙高</w:t>
      </w:r>
    </w:p>
    <w:p w14:paraId="5937DC20">
      <w:pPr>
        <w:spacing w:line="219" w:lineRule="auto"/>
        <w:rPr>
          <w:rFonts w:ascii="仿宋" w:hAnsi="仿宋" w:eastAsia="仿宋" w:cs="仿宋"/>
          <w:sz w:val="32"/>
          <w:szCs w:val="32"/>
        </w:rPr>
        <w:sectPr>
          <w:pgSz w:w="11907" w:h="16839"/>
          <w:pgMar w:top="1431" w:right="1785" w:bottom="0" w:left="1723" w:header="0" w:footer="0" w:gutter="0"/>
          <w:cols w:space="720" w:num="1"/>
        </w:sectPr>
      </w:pPr>
    </w:p>
    <w:p w14:paraId="26F303A4">
      <w:pPr>
        <w:spacing w:line="304" w:lineRule="auto"/>
        <w:rPr>
          <w:rFonts w:ascii="Arial"/>
          <w:sz w:val="21"/>
        </w:rPr>
      </w:pPr>
    </w:p>
    <w:p w14:paraId="55E99E62">
      <w:pPr>
        <w:spacing w:line="2854" w:lineRule="exact"/>
        <w:ind w:firstLine="51"/>
      </w:pPr>
      <w:r>
        <w:drawing>
          <wp:anchor distT="0" distB="0" distL="0" distR="0" simplePos="0" relativeHeight="251661312" behindDoc="0" locked="0" layoutInCell="1" allowOverlap="1">
            <wp:simplePos x="0" y="0"/>
            <wp:positionH relativeFrom="column">
              <wp:posOffset>2732405</wp:posOffset>
            </wp:positionH>
            <wp:positionV relativeFrom="paragraph">
              <wp:posOffset>0</wp:posOffset>
            </wp:positionV>
            <wp:extent cx="2532380" cy="18122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06"/>
                    <a:stretch>
                      <a:fillRect/>
                    </a:stretch>
                  </pic:blipFill>
                  <pic:spPr>
                    <a:xfrm>
                      <a:off x="0" y="0"/>
                      <a:ext cx="2532126" cy="1812290"/>
                    </a:xfrm>
                    <a:prstGeom prst="rect">
                      <a:avLst/>
                    </a:prstGeom>
                  </pic:spPr>
                </pic:pic>
              </a:graphicData>
            </a:graphic>
          </wp:anchor>
        </w:drawing>
      </w:r>
      <w:r>
        <w:rPr>
          <w:position w:val="-57"/>
        </w:rPr>
        <w:drawing>
          <wp:inline distT="0" distB="0" distL="0" distR="0">
            <wp:extent cx="2531745" cy="181229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07"/>
                    <a:stretch>
                      <a:fillRect/>
                    </a:stretch>
                  </pic:blipFill>
                  <pic:spPr>
                    <a:xfrm>
                      <a:off x="0" y="0"/>
                      <a:ext cx="2532126" cy="1812290"/>
                    </a:xfrm>
                    <a:prstGeom prst="rect">
                      <a:avLst/>
                    </a:prstGeom>
                  </pic:spPr>
                </pic:pic>
              </a:graphicData>
            </a:graphic>
          </wp:inline>
        </w:drawing>
      </w:r>
    </w:p>
    <w:p w14:paraId="1CF0681A">
      <w:pPr>
        <w:pStyle w:val="2"/>
        <w:spacing w:before="74" w:line="220" w:lineRule="auto"/>
        <w:ind w:left="2378"/>
        <w:rPr>
          <w:sz w:val="24"/>
          <w:szCs w:val="24"/>
        </w:rPr>
      </w:pPr>
      <w:r>
        <w:rPr>
          <w:spacing w:val="-2"/>
          <w:sz w:val="24"/>
          <w:szCs w:val="24"/>
        </w:rPr>
        <w:t>车马碧水库工程业主营地（左岸）</w:t>
      </w:r>
    </w:p>
    <w:p w14:paraId="7F153C81">
      <w:pPr>
        <w:spacing w:line="44" w:lineRule="exact"/>
      </w:pPr>
    </w:p>
    <w:p w14:paraId="062AAC05">
      <w:pPr>
        <w:spacing w:line="44" w:lineRule="exact"/>
        <w:sectPr>
          <w:pgSz w:w="11907" w:h="16839"/>
          <w:pgMar w:top="1431" w:right="1785" w:bottom="0" w:left="1785" w:header="0" w:footer="0" w:gutter="0"/>
          <w:cols w:equalWidth="0" w:num="1">
            <w:col w:w="8335"/>
          </w:cols>
        </w:sectPr>
      </w:pPr>
    </w:p>
    <w:p w14:paraId="63F81662">
      <w:pPr>
        <w:spacing w:line="2854" w:lineRule="exact"/>
        <w:ind w:firstLine="51"/>
      </w:pPr>
      <w:r>
        <w:rPr>
          <w:position w:val="-57"/>
        </w:rPr>
        <w:drawing>
          <wp:inline distT="0" distB="0" distL="0" distR="0">
            <wp:extent cx="2531745" cy="18116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08"/>
                    <a:stretch>
                      <a:fillRect/>
                    </a:stretch>
                  </pic:blipFill>
                  <pic:spPr>
                    <a:xfrm>
                      <a:off x="0" y="0"/>
                      <a:ext cx="2532126" cy="1812289"/>
                    </a:xfrm>
                    <a:prstGeom prst="rect">
                      <a:avLst/>
                    </a:prstGeom>
                  </pic:spPr>
                </pic:pic>
              </a:graphicData>
            </a:graphic>
          </wp:inline>
        </w:drawing>
      </w:r>
    </w:p>
    <w:p w14:paraId="540B19B5">
      <w:pPr>
        <w:pStyle w:val="2"/>
        <w:spacing w:before="74" w:line="220" w:lineRule="auto"/>
        <w:ind w:left="1090"/>
        <w:rPr>
          <w:sz w:val="24"/>
          <w:szCs w:val="24"/>
        </w:rPr>
      </w:pPr>
      <w:r>
        <w:rPr>
          <w:spacing w:val="-3"/>
          <w:sz w:val="24"/>
          <w:szCs w:val="24"/>
        </w:rPr>
        <w:t>挡水坝（迎水面）</w:t>
      </w:r>
    </w:p>
    <w:p w14:paraId="609E88D4">
      <w:pPr>
        <w:spacing w:line="36" w:lineRule="auto"/>
        <w:rPr>
          <w:rFonts w:ascii="Arial"/>
          <w:sz w:val="2"/>
        </w:rPr>
      </w:pPr>
    </w:p>
    <w:p w14:paraId="2B032222">
      <w:pPr>
        <w:spacing w:line="14" w:lineRule="auto"/>
        <w:rPr>
          <w:rFonts w:ascii="Arial"/>
          <w:sz w:val="2"/>
        </w:rPr>
      </w:pPr>
      <w:r>
        <w:rPr>
          <w:rFonts w:ascii="Arial" w:hAnsi="Arial" w:eastAsia="Arial" w:cs="Arial"/>
          <w:sz w:val="2"/>
          <w:szCs w:val="2"/>
        </w:rPr>
        <w:br w:type="column"/>
      </w:r>
    </w:p>
    <w:p w14:paraId="0C1A3E1D">
      <w:pPr>
        <w:spacing w:line="2852" w:lineRule="exact"/>
      </w:pPr>
      <w:r>
        <w:rPr>
          <w:position w:val="-57"/>
        </w:rPr>
        <w:drawing>
          <wp:inline distT="0" distB="0" distL="0" distR="0">
            <wp:extent cx="2531745" cy="18110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09"/>
                    <a:stretch>
                      <a:fillRect/>
                    </a:stretch>
                  </pic:blipFill>
                  <pic:spPr>
                    <a:xfrm>
                      <a:off x="0" y="0"/>
                      <a:ext cx="2532126" cy="1811413"/>
                    </a:xfrm>
                    <a:prstGeom prst="rect">
                      <a:avLst/>
                    </a:prstGeom>
                  </pic:spPr>
                </pic:pic>
              </a:graphicData>
            </a:graphic>
          </wp:inline>
        </w:drawing>
      </w:r>
    </w:p>
    <w:p w14:paraId="7A6FFCDF">
      <w:pPr>
        <w:pStyle w:val="2"/>
        <w:spacing w:before="75" w:line="220" w:lineRule="auto"/>
        <w:ind w:left="1039"/>
        <w:rPr>
          <w:sz w:val="24"/>
          <w:szCs w:val="24"/>
        </w:rPr>
      </w:pPr>
      <w:r>
        <w:rPr>
          <w:spacing w:val="-4"/>
          <w:sz w:val="24"/>
          <w:szCs w:val="24"/>
        </w:rPr>
        <w:t>挡水坝（背水面）</w:t>
      </w:r>
    </w:p>
    <w:p w14:paraId="3C1710C3">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6851ABD4">
      <w:pPr>
        <w:spacing w:line="46" w:lineRule="exact"/>
      </w:pPr>
    </w:p>
    <w:p w14:paraId="5914E630">
      <w:pPr>
        <w:spacing w:line="46" w:lineRule="exact"/>
        <w:sectPr>
          <w:type w:val="continuous"/>
          <w:pgSz w:w="11907" w:h="16839"/>
          <w:pgMar w:top="1431" w:right="1785" w:bottom="0" w:left="1785" w:header="0" w:footer="0" w:gutter="0"/>
          <w:cols w:equalWidth="0" w:num="1">
            <w:col w:w="8335"/>
          </w:cols>
        </w:sectPr>
      </w:pPr>
    </w:p>
    <w:p w14:paraId="162E386E">
      <w:pPr>
        <w:spacing w:line="2844" w:lineRule="exact"/>
        <w:ind w:firstLine="56"/>
      </w:pPr>
      <w:r>
        <w:rPr>
          <w:position w:val="-56"/>
        </w:rPr>
        <w:drawing>
          <wp:inline distT="0" distB="0" distL="0" distR="0">
            <wp:extent cx="2525395" cy="180594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0"/>
                    <a:stretch>
                      <a:fillRect/>
                    </a:stretch>
                  </pic:blipFill>
                  <pic:spPr>
                    <a:xfrm>
                      <a:off x="0" y="0"/>
                      <a:ext cx="2525775" cy="1805940"/>
                    </a:xfrm>
                    <a:prstGeom prst="rect">
                      <a:avLst/>
                    </a:prstGeom>
                  </pic:spPr>
                </pic:pic>
              </a:graphicData>
            </a:graphic>
          </wp:inline>
        </w:drawing>
      </w:r>
    </w:p>
    <w:p w14:paraId="2284F8BB">
      <w:pPr>
        <w:pStyle w:val="2"/>
        <w:spacing w:before="81" w:line="220" w:lineRule="auto"/>
        <w:ind w:left="1450"/>
        <w:rPr>
          <w:sz w:val="24"/>
          <w:szCs w:val="24"/>
        </w:rPr>
      </w:pPr>
      <w:r>
        <w:rPr>
          <w:spacing w:val="-2"/>
          <w:sz w:val="24"/>
          <w:szCs w:val="24"/>
        </w:rPr>
        <w:t>挡水坝上游</w:t>
      </w:r>
    </w:p>
    <w:p w14:paraId="58615107">
      <w:pPr>
        <w:spacing w:line="27" w:lineRule="auto"/>
        <w:rPr>
          <w:rFonts w:ascii="Arial"/>
          <w:sz w:val="2"/>
        </w:rPr>
      </w:pPr>
    </w:p>
    <w:p w14:paraId="2E126807">
      <w:pPr>
        <w:spacing w:line="14" w:lineRule="auto"/>
        <w:rPr>
          <w:rFonts w:ascii="Arial"/>
          <w:sz w:val="2"/>
        </w:rPr>
      </w:pPr>
      <w:r>
        <w:rPr>
          <w:rFonts w:ascii="Arial" w:hAnsi="Arial" w:eastAsia="Arial" w:cs="Arial"/>
          <w:sz w:val="2"/>
          <w:szCs w:val="2"/>
        </w:rPr>
        <w:br w:type="column"/>
      </w:r>
    </w:p>
    <w:p w14:paraId="779FC731">
      <w:pPr>
        <w:spacing w:line="2843" w:lineRule="exact"/>
      </w:pPr>
      <w:r>
        <w:rPr>
          <w:position w:val="-56"/>
        </w:rPr>
        <w:drawing>
          <wp:inline distT="0" distB="0" distL="0" distR="0">
            <wp:extent cx="2525395" cy="180467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11"/>
                    <a:stretch>
                      <a:fillRect/>
                    </a:stretch>
                  </pic:blipFill>
                  <pic:spPr>
                    <a:xfrm>
                      <a:off x="0" y="0"/>
                      <a:ext cx="2525776" cy="1805063"/>
                    </a:xfrm>
                    <a:prstGeom prst="rect">
                      <a:avLst/>
                    </a:prstGeom>
                  </pic:spPr>
                </pic:pic>
              </a:graphicData>
            </a:graphic>
          </wp:inline>
        </w:drawing>
      </w:r>
    </w:p>
    <w:p w14:paraId="5A287DA1">
      <w:pPr>
        <w:pStyle w:val="2"/>
        <w:spacing w:before="80" w:line="220" w:lineRule="auto"/>
        <w:ind w:left="1394"/>
        <w:rPr>
          <w:sz w:val="24"/>
          <w:szCs w:val="24"/>
        </w:rPr>
      </w:pPr>
      <w:r>
        <w:rPr>
          <w:spacing w:val="-2"/>
          <w:sz w:val="24"/>
          <w:szCs w:val="24"/>
        </w:rPr>
        <w:t>挡水坝下游</w:t>
      </w:r>
    </w:p>
    <w:p w14:paraId="2F29249B">
      <w:pPr>
        <w:spacing w:line="220" w:lineRule="auto"/>
        <w:rPr>
          <w:sz w:val="24"/>
          <w:szCs w:val="24"/>
        </w:rPr>
        <w:sectPr>
          <w:type w:val="continuous"/>
          <w:pgSz w:w="11907" w:h="16839"/>
          <w:pgMar w:top="1431" w:right="1785" w:bottom="0" w:left="1785" w:header="0" w:footer="0" w:gutter="0"/>
          <w:cols w:equalWidth="0" w:num="2">
            <w:col w:w="4209" w:space="100"/>
            <w:col w:w="4027"/>
          </w:cols>
        </w:sectPr>
      </w:pPr>
    </w:p>
    <w:p w14:paraId="535D4FDB">
      <w:pPr>
        <w:spacing w:line="41" w:lineRule="exact"/>
      </w:pPr>
    </w:p>
    <w:p w14:paraId="712E2061">
      <w:pPr>
        <w:spacing w:line="41" w:lineRule="exact"/>
        <w:sectPr>
          <w:type w:val="continuous"/>
          <w:pgSz w:w="11907" w:h="16839"/>
          <w:pgMar w:top="1431" w:right="1785" w:bottom="0" w:left="1785" w:header="0" w:footer="0" w:gutter="0"/>
          <w:cols w:equalWidth="0" w:num="1">
            <w:col w:w="8335"/>
          </w:cols>
        </w:sectPr>
      </w:pPr>
    </w:p>
    <w:p w14:paraId="53262492">
      <w:pPr>
        <w:spacing w:line="2854" w:lineRule="exact"/>
        <w:ind w:firstLine="51"/>
      </w:pPr>
      <w:r>
        <w:rPr>
          <w:position w:val="-57"/>
        </w:rPr>
        <w:drawing>
          <wp:inline distT="0" distB="0" distL="0" distR="0">
            <wp:extent cx="2531745" cy="181229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12"/>
                    <a:stretch>
                      <a:fillRect/>
                    </a:stretch>
                  </pic:blipFill>
                  <pic:spPr>
                    <a:xfrm>
                      <a:off x="0" y="0"/>
                      <a:ext cx="2532126" cy="1812290"/>
                    </a:xfrm>
                    <a:prstGeom prst="rect">
                      <a:avLst/>
                    </a:prstGeom>
                  </pic:spPr>
                </pic:pic>
              </a:graphicData>
            </a:graphic>
          </wp:inline>
        </w:drawing>
      </w:r>
    </w:p>
    <w:p w14:paraId="5FA133BC">
      <w:pPr>
        <w:pStyle w:val="2"/>
        <w:spacing w:before="76" w:line="185" w:lineRule="auto"/>
        <w:ind w:left="1572"/>
        <w:rPr>
          <w:sz w:val="24"/>
          <w:szCs w:val="24"/>
        </w:rPr>
      </w:pPr>
      <w:r>
        <w:rPr>
          <w:spacing w:val="-3"/>
          <w:sz w:val="24"/>
          <w:szCs w:val="24"/>
        </w:rPr>
        <w:t>上游围堰</w:t>
      </w:r>
    </w:p>
    <w:p w14:paraId="6EC396AB">
      <w:pPr>
        <w:spacing w:line="14" w:lineRule="auto"/>
        <w:rPr>
          <w:rFonts w:ascii="Arial"/>
          <w:sz w:val="2"/>
        </w:rPr>
      </w:pPr>
      <w:r>
        <w:rPr>
          <w:rFonts w:ascii="Arial" w:hAnsi="Arial" w:eastAsia="Arial" w:cs="Arial"/>
          <w:sz w:val="2"/>
          <w:szCs w:val="2"/>
        </w:rPr>
        <w:br w:type="column"/>
      </w:r>
    </w:p>
    <w:p w14:paraId="29B423CB">
      <w:pPr>
        <w:spacing w:line="2853" w:lineRule="exact"/>
      </w:pPr>
      <w:r>
        <w:rPr>
          <w:position w:val="-57"/>
        </w:rPr>
        <w:drawing>
          <wp:inline distT="0" distB="0" distL="0" distR="0">
            <wp:extent cx="2531745" cy="18110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13"/>
                    <a:stretch>
                      <a:fillRect/>
                    </a:stretch>
                  </pic:blipFill>
                  <pic:spPr>
                    <a:xfrm>
                      <a:off x="0" y="0"/>
                      <a:ext cx="2532126" cy="1811413"/>
                    </a:xfrm>
                    <a:prstGeom prst="rect">
                      <a:avLst/>
                    </a:prstGeom>
                  </pic:spPr>
                </pic:pic>
              </a:graphicData>
            </a:graphic>
          </wp:inline>
        </w:drawing>
      </w:r>
    </w:p>
    <w:p w14:paraId="6A1E0B1C">
      <w:pPr>
        <w:pStyle w:val="2"/>
        <w:spacing w:before="75" w:line="185" w:lineRule="auto"/>
        <w:ind w:left="1526"/>
        <w:outlineLvl w:val="1"/>
        <w:rPr>
          <w:sz w:val="24"/>
          <w:szCs w:val="24"/>
        </w:rPr>
      </w:pPr>
      <w:r>
        <w:rPr>
          <w:spacing w:val="-4"/>
          <w:sz w:val="24"/>
          <w:szCs w:val="24"/>
        </w:rPr>
        <w:t>下游围堰</w:t>
      </w:r>
    </w:p>
    <w:p w14:paraId="40DC59BC">
      <w:pPr>
        <w:spacing w:line="185" w:lineRule="auto"/>
        <w:rPr>
          <w:sz w:val="24"/>
          <w:szCs w:val="24"/>
        </w:rPr>
        <w:sectPr>
          <w:type w:val="continuous"/>
          <w:pgSz w:w="11907" w:h="16839"/>
          <w:pgMar w:top="1431" w:right="1785" w:bottom="0" w:left="1785" w:header="0" w:footer="0" w:gutter="0"/>
          <w:cols w:equalWidth="0" w:num="2">
            <w:col w:w="4204" w:space="100"/>
            <w:col w:w="4032"/>
          </w:cols>
        </w:sectPr>
      </w:pPr>
    </w:p>
    <w:p w14:paraId="68CD0BEB">
      <w:pPr>
        <w:spacing w:before="65"/>
      </w:pPr>
    </w:p>
    <w:p w14:paraId="7EFAA4F9">
      <w:pPr>
        <w:sectPr>
          <w:pgSz w:w="11907" w:h="16839"/>
          <w:pgMar w:top="1431" w:right="1785" w:bottom="0" w:left="1785" w:header="0" w:footer="0" w:gutter="0"/>
          <w:cols w:equalWidth="0" w:num="1">
            <w:col w:w="8335"/>
          </w:cols>
        </w:sectPr>
      </w:pPr>
    </w:p>
    <w:p w14:paraId="4C7987D8">
      <w:pPr>
        <w:spacing w:line="2854" w:lineRule="exact"/>
        <w:ind w:firstLine="51"/>
      </w:pPr>
      <w:r>
        <w:rPr>
          <w:position w:val="-57"/>
        </w:rPr>
        <w:drawing>
          <wp:inline distT="0" distB="0" distL="0" distR="0">
            <wp:extent cx="2531745" cy="181229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14"/>
                    <a:stretch>
                      <a:fillRect/>
                    </a:stretch>
                  </pic:blipFill>
                  <pic:spPr>
                    <a:xfrm>
                      <a:off x="0" y="0"/>
                      <a:ext cx="2532126" cy="1812290"/>
                    </a:xfrm>
                    <a:prstGeom prst="rect">
                      <a:avLst/>
                    </a:prstGeom>
                  </pic:spPr>
                </pic:pic>
              </a:graphicData>
            </a:graphic>
          </wp:inline>
        </w:drawing>
      </w:r>
    </w:p>
    <w:p w14:paraId="0518422F">
      <w:pPr>
        <w:pStyle w:val="2"/>
        <w:spacing w:before="75" w:line="220" w:lineRule="auto"/>
        <w:ind w:left="852"/>
        <w:rPr>
          <w:sz w:val="24"/>
          <w:szCs w:val="24"/>
        </w:rPr>
      </w:pPr>
      <w:r>
        <w:rPr>
          <w:spacing w:val="-3"/>
          <w:sz w:val="24"/>
          <w:szCs w:val="24"/>
        </w:rPr>
        <w:t>溢洪道控制闸（左岸）</w:t>
      </w:r>
    </w:p>
    <w:p w14:paraId="19ED4D27">
      <w:pPr>
        <w:spacing w:line="14" w:lineRule="auto"/>
        <w:rPr>
          <w:rFonts w:ascii="Arial"/>
          <w:sz w:val="2"/>
        </w:rPr>
      </w:pPr>
      <w:r>
        <w:rPr>
          <w:rFonts w:ascii="Arial" w:hAnsi="Arial" w:eastAsia="Arial" w:cs="Arial"/>
          <w:sz w:val="2"/>
          <w:szCs w:val="2"/>
        </w:rPr>
        <w:br w:type="column"/>
      </w:r>
    </w:p>
    <w:p w14:paraId="0557FA8D">
      <w:pPr>
        <w:spacing w:line="2852" w:lineRule="exact"/>
      </w:pPr>
      <w:r>
        <w:rPr>
          <w:position w:val="-57"/>
        </w:rPr>
        <w:drawing>
          <wp:inline distT="0" distB="0" distL="0" distR="0">
            <wp:extent cx="2531745" cy="18110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15"/>
                    <a:stretch>
                      <a:fillRect/>
                    </a:stretch>
                  </pic:blipFill>
                  <pic:spPr>
                    <a:xfrm>
                      <a:off x="0" y="0"/>
                      <a:ext cx="2532126" cy="1811414"/>
                    </a:xfrm>
                    <a:prstGeom prst="rect">
                      <a:avLst/>
                    </a:prstGeom>
                  </pic:spPr>
                </pic:pic>
              </a:graphicData>
            </a:graphic>
          </wp:inline>
        </w:drawing>
      </w:r>
    </w:p>
    <w:p w14:paraId="2CC24AFB">
      <w:pPr>
        <w:pStyle w:val="2"/>
        <w:spacing w:before="75" w:line="221" w:lineRule="auto"/>
        <w:ind w:left="203"/>
        <w:rPr>
          <w:sz w:val="24"/>
          <w:szCs w:val="24"/>
        </w:rPr>
      </w:pPr>
      <w:r>
        <w:rPr>
          <w:spacing w:val="-1"/>
          <w:sz w:val="24"/>
          <w:szCs w:val="24"/>
        </w:rPr>
        <w:t>泄洪放空洞出口及生态流量泄放孔</w:t>
      </w:r>
    </w:p>
    <w:p w14:paraId="7265DD00">
      <w:pPr>
        <w:spacing w:line="221" w:lineRule="auto"/>
        <w:rPr>
          <w:sz w:val="24"/>
          <w:szCs w:val="24"/>
        </w:rPr>
        <w:sectPr>
          <w:type w:val="continuous"/>
          <w:pgSz w:w="11907" w:h="16839"/>
          <w:pgMar w:top="1431" w:right="1785" w:bottom="0" w:left="1785" w:header="0" w:footer="0" w:gutter="0"/>
          <w:cols w:equalWidth="0" w:num="2">
            <w:col w:w="4204" w:space="100"/>
            <w:col w:w="4032"/>
          </w:cols>
        </w:sectPr>
      </w:pPr>
    </w:p>
    <w:p w14:paraId="5357EAAD">
      <w:pPr>
        <w:spacing w:line="41" w:lineRule="exact"/>
      </w:pPr>
    </w:p>
    <w:p w14:paraId="2C39DDA1">
      <w:pPr>
        <w:spacing w:line="41" w:lineRule="exact"/>
        <w:sectPr>
          <w:type w:val="continuous"/>
          <w:pgSz w:w="11907" w:h="16839"/>
          <w:pgMar w:top="1431" w:right="1785" w:bottom="0" w:left="1785" w:header="0" w:footer="0" w:gutter="0"/>
          <w:cols w:equalWidth="0" w:num="1">
            <w:col w:w="8335"/>
          </w:cols>
        </w:sectPr>
      </w:pPr>
    </w:p>
    <w:p w14:paraId="6BC29142">
      <w:pPr>
        <w:spacing w:line="2853" w:lineRule="exact"/>
        <w:ind w:firstLine="51"/>
      </w:pPr>
      <w:r>
        <w:rPr>
          <w:position w:val="-57"/>
        </w:rPr>
        <w:drawing>
          <wp:inline distT="0" distB="0" distL="0" distR="0">
            <wp:extent cx="2531745" cy="181165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16"/>
                    <a:stretch>
                      <a:fillRect/>
                    </a:stretch>
                  </pic:blipFill>
                  <pic:spPr>
                    <a:xfrm>
                      <a:off x="0" y="0"/>
                      <a:ext cx="2532126" cy="1812289"/>
                    </a:xfrm>
                    <a:prstGeom prst="rect">
                      <a:avLst/>
                    </a:prstGeom>
                  </pic:spPr>
                </pic:pic>
              </a:graphicData>
            </a:graphic>
          </wp:inline>
        </w:drawing>
      </w:r>
    </w:p>
    <w:p w14:paraId="2CB7A136">
      <w:pPr>
        <w:pStyle w:val="2"/>
        <w:spacing w:before="75" w:line="220" w:lineRule="auto"/>
        <w:ind w:left="494"/>
        <w:rPr>
          <w:sz w:val="24"/>
          <w:szCs w:val="24"/>
        </w:rPr>
      </w:pPr>
      <w:r>
        <w:rPr>
          <w:spacing w:val="-2"/>
          <w:sz w:val="24"/>
          <w:szCs w:val="24"/>
        </w:rPr>
        <w:t>泄洪放空洞进口及分层取水塔</w:t>
      </w:r>
    </w:p>
    <w:p w14:paraId="6ED33B56">
      <w:pPr>
        <w:spacing w:line="33" w:lineRule="auto"/>
        <w:rPr>
          <w:rFonts w:ascii="Arial"/>
          <w:sz w:val="2"/>
        </w:rPr>
      </w:pPr>
    </w:p>
    <w:p w14:paraId="1318BE23">
      <w:pPr>
        <w:spacing w:line="14" w:lineRule="auto"/>
        <w:rPr>
          <w:rFonts w:ascii="Arial"/>
          <w:sz w:val="2"/>
        </w:rPr>
      </w:pPr>
      <w:r>
        <w:rPr>
          <w:rFonts w:ascii="Arial" w:hAnsi="Arial" w:eastAsia="Arial" w:cs="Arial"/>
          <w:sz w:val="2"/>
          <w:szCs w:val="2"/>
        </w:rPr>
        <w:br w:type="column"/>
      </w:r>
    </w:p>
    <w:p w14:paraId="28F3FF4F">
      <w:pPr>
        <w:spacing w:before="3" w:line="2844" w:lineRule="exact"/>
      </w:pPr>
      <w:r>
        <w:rPr>
          <w:position w:val="-56"/>
        </w:rPr>
        <w:drawing>
          <wp:inline distT="0" distB="0" distL="0" distR="0">
            <wp:extent cx="2525395" cy="180530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17"/>
                    <a:stretch>
                      <a:fillRect/>
                    </a:stretch>
                  </pic:blipFill>
                  <pic:spPr>
                    <a:xfrm>
                      <a:off x="0" y="0"/>
                      <a:ext cx="2525776" cy="1805939"/>
                    </a:xfrm>
                    <a:prstGeom prst="rect">
                      <a:avLst/>
                    </a:prstGeom>
                  </pic:spPr>
                </pic:pic>
              </a:graphicData>
            </a:graphic>
          </wp:inline>
        </w:drawing>
      </w:r>
    </w:p>
    <w:p w14:paraId="20E79A26">
      <w:pPr>
        <w:pStyle w:val="2"/>
        <w:spacing w:before="80" w:line="220" w:lineRule="auto"/>
        <w:ind w:left="793"/>
        <w:rPr>
          <w:sz w:val="24"/>
          <w:szCs w:val="24"/>
        </w:rPr>
      </w:pPr>
      <w:r>
        <w:rPr>
          <w:spacing w:val="-1"/>
          <w:sz w:val="24"/>
          <w:szCs w:val="24"/>
        </w:rPr>
        <w:t>输水隧洞分层取水设施</w:t>
      </w:r>
    </w:p>
    <w:p w14:paraId="0B0A9B47">
      <w:pPr>
        <w:spacing w:line="220" w:lineRule="auto"/>
        <w:rPr>
          <w:sz w:val="24"/>
          <w:szCs w:val="24"/>
        </w:rPr>
        <w:sectPr>
          <w:type w:val="continuous"/>
          <w:pgSz w:w="11907" w:h="16839"/>
          <w:pgMar w:top="1431" w:right="1785" w:bottom="0" w:left="1785" w:header="0" w:footer="0" w:gutter="0"/>
          <w:cols w:equalWidth="0" w:num="2">
            <w:col w:w="4209" w:space="100"/>
            <w:col w:w="4027"/>
          </w:cols>
        </w:sectPr>
      </w:pPr>
    </w:p>
    <w:p w14:paraId="2EC259C7">
      <w:pPr>
        <w:spacing w:line="42" w:lineRule="exact"/>
      </w:pPr>
    </w:p>
    <w:p w14:paraId="7BC80A8C">
      <w:pPr>
        <w:spacing w:line="42" w:lineRule="exact"/>
        <w:sectPr>
          <w:type w:val="continuous"/>
          <w:pgSz w:w="11907" w:h="16839"/>
          <w:pgMar w:top="1431" w:right="1785" w:bottom="0" w:left="1785" w:header="0" w:footer="0" w:gutter="0"/>
          <w:cols w:equalWidth="0" w:num="1">
            <w:col w:w="8335"/>
          </w:cols>
        </w:sectPr>
      </w:pPr>
    </w:p>
    <w:p w14:paraId="50B64460">
      <w:pPr>
        <w:spacing w:line="2854" w:lineRule="exact"/>
        <w:ind w:firstLine="51"/>
      </w:pPr>
      <w:r>
        <w:rPr>
          <w:position w:val="-57"/>
        </w:rPr>
        <w:drawing>
          <wp:inline distT="0" distB="0" distL="0" distR="0">
            <wp:extent cx="2531745" cy="181229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18"/>
                    <a:stretch>
                      <a:fillRect/>
                    </a:stretch>
                  </pic:blipFill>
                  <pic:spPr>
                    <a:xfrm>
                      <a:off x="0" y="0"/>
                      <a:ext cx="2532126" cy="1812290"/>
                    </a:xfrm>
                    <a:prstGeom prst="rect">
                      <a:avLst/>
                    </a:prstGeom>
                  </pic:spPr>
                </pic:pic>
              </a:graphicData>
            </a:graphic>
          </wp:inline>
        </w:drawing>
      </w:r>
    </w:p>
    <w:p w14:paraId="13FB8320">
      <w:pPr>
        <w:pStyle w:val="2"/>
        <w:spacing w:before="75" w:line="220" w:lineRule="auto"/>
        <w:ind w:left="374"/>
        <w:rPr>
          <w:sz w:val="24"/>
          <w:szCs w:val="24"/>
        </w:rPr>
      </w:pPr>
      <w:r>
        <w:rPr>
          <w:spacing w:val="-1"/>
          <w:sz w:val="24"/>
          <w:szCs w:val="24"/>
        </w:rPr>
        <w:t>鱼类增殖站（下游左岸，远景）</w:t>
      </w:r>
    </w:p>
    <w:p w14:paraId="75C507F6">
      <w:pPr>
        <w:spacing w:line="27" w:lineRule="auto"/>
        <w:rPr>
          <w:rFonts w:ascii="Arial"/>
          <w:sz w:val="2"/>
        </w:rPr>
      </w:pPr>
    </w:p>
    <w:p w14:paraId="745DA28D">
      <w:pPr>
        <w:spacing w:line="14" w:lineRule="auto"/>
        <w:rPr>
          <w:rFonts w:ascii="Arial"/>
          <w:sz w:val="2"/>
        </w:rPr>
      </w:pPr>
      <w:r>
        <w:rPr>
          <w:rFonts w:ascii="Arial" w:hAnsi="Arial" w:eastAsia="Arial" w:cs="Arial"/>
          <w:sz w:val="2"/>
          <w:szCs w:val="2"/>
        </w:rPr>
        <w:br w:type="column"/>
      </w:r>
    </w:p>
    <w:p w14:paraId="7F2E1D35">
      <w:pPr>
        <w:spacing w:line="2852" w:lineRule="exact"/>
      </w:pPr>
      <w:r>
        <w:rPr>
          <w:position w:val="-57"/>
        </w:rPr>
        <w:drawing>
          <wp:inline distT="0" distB="0" distL="0" distR="0">
            <wp:extent cx="2531745" cy="181102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19"/>
                    <a:stretch>
                      <a:fillRect/>
                    </a:stretch>
                  </pic:blipFill>
                  <pic:spPr>
                    <a:xfrm>
                      <a:off x="0" y="0"/>
                      <a:ext cx="2532126" cy="1811413"/>
                    </a:xfrm>
                    <a:prstGeom prst="rect">
                      <a:avLst/>
                    </a:prstGeom>
                  </pic:spPr>
                </pic:pic>
              </a:graphicData>
            </a:graphic>
          </wp:inline>
        </w:drawing>
      </w:r>
    </w:p>
    <w:p w14:paraId="39B6FD34">
      <w:pPr>
        <w:pStyle w:val="2"/>
        <w:spacing w:before="75" w:line="220" w:lineRule="auto"/>
        <w:ind w:left="923"/>
        <w:rPr>
          <w:sz w:val="24"/>
          <w:szCs w:val="24"/>
        </w:rPr>
      </w:pPr>
      <w:r>
        <w:rPr>
          <w:spacing w:val="-2"/>
          <w:sz w:val="24"/>
          <w:szCs w:val="24"/>
        </w:rPr>
        <w:t>鱼类增殖站（近景）</w:t>
      </w:r>
    </w:p>
    <w:p w14:paraId="7AEB58E5">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0E9A334A">
      <w:pPr>
        <w:spacing w:line="41" w:lineRule="exact"/>
      </w:pPr>
    </w:p>
    <w:p w14:paraId="0C1C045C">
      <w:pPr>
        <w:spacing w:line="41" w:lineRule="exact"/>
        <w:sectPr>
          <w:type w:val="continuous"/>
          <w:pgSz w:w="11907" w:h="16839"/>
          <w:pgMar w:top="1431" w:right="1785" w:bottom="0" w:left="1785" w:header="0" w:footer="0" w:gutter="0"/>
          <w:cols w:equalWidth="0" w:num="1">
            <w:col w:w="8335"/>
          </w:cols>
        </w:sectPr>
      </w:pPr>
    </w:p>
    <w:p w14:paraId="0E5CA82B">
      <w:pPr>
        <w:spacing w:line="2854" w:lineRule="exact"/>
        <w:ind w:firstLine="51"/>
      </w:pPr>
      <w:r>
        <w:rPr>
          <w:position w:val="-57"/>
        </w:rPr>
        <w:drawing>
          <wp:inline distT="0" distB="0" distL="0" distR="0">
            <wp:extent cx="2531745" cy="181229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20"/>
                    <a:stretch>
                      <a:fillRect/>
                    </a:stretch>
                  </pic:blipFill>
                  <pic:spPr>
                    <a:xfrm>
                      <a:off x="0" y="0"/>
                      <a:ext cx="2532126" cy="1812290"/>
                    </a:xfrm>
                    <a:prstGeom prst="rect">
                      <a:avLst/>
                    </a:prstGeom>
                  </pic:spPr>
                </pic:pic>
              </a:graphicData>
            </a:graphic>
          </wp:inline>
        </w:drawing>
      </w:r>
    </w:p>
    <w:p w14:paraId="4019D57B">
      <w:pPr>
        <w:pStyle w:val="2"/>
        <w:spacing w:before="76" w:line="185" w:lineRule="auto"/>
        <w:ind w:left="494"/>
        <w:rPr>
          <w:sz w:val="24"/>
          <w:szCs w:val="24"/>
        </w:rPr>
      </w:pPr>
      <w:r>
        <w:rPr>
          <w:spacing w:val="-2"/>
          <w:sz w:val="24"/>
          <w:szCs w:val="24"/>
        </w:rPr>
        <w:t>鱼类增殖站（鱼种培育车间）</w:t>
      </w:r>
    </w:p>
    <w:p w14:paraId="7C7FDF39">
      <w:pPr>
        <w:spacing w:line="14" w:lineRule="auto"/>
        <w:rPr>
          <w:rFonts w:ascii="Arial"/>
          <w:sz w:val="2"/>
        </w:rPr>
      </w:pPr>
      <w:r>
        <w:rPr>
          <w:rFonts w:ascii="Arial" w:hAnsi="Arial" w:eastAsia="Arial" w:cs="Arial"/>
          <w:sz w:val="2"/>
          <w:szCs w:val="2"/>
        </w:rPr>
        <w:br w:type="column"/>
      </w:r>
    </w:p>
    <w:p w14:paraId="6446F6A7">
      <w:pPr>
        <w:spacing w:line="2853" w:lineRule="exact"/>
      </w:pPr>
      <w:r>
        <w:rPr>
          <w:position w:val="-57"/>
        </w:rPr>
        <w:drawing>
          <wp:inline distT="0" distB="0" distL="0" distR="0">
            <wp:extent cx="2531745" cy="181102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21"/>
                    <a:stretch>
                      <a:fillRect/>
                    </a:stretch>
                  </pic:blipFill>
                  <pic:spPr>
                    <a:xfrm>
                      <a:off x="0" y="0"/>
                      <a:ext cx="2532126" cy="1811413"/>
                    </a:xfrm>
                    <a:prstGeom prst="rect">
                      <a:avLst/>
                    </a:prstGeom>
                  </pic:spPr>
                </pic:pic>
              </a:graphicData>
            </a:graphic>
          </wp:inline>
        </w:drawing>
      </w:r>
    </w:p>
    <w:p w14:paraId="2F1D9450">
      <w:pPr>
        <w:pStyle w:val="2"/>
        <w:spacing w:before="75" w:line="185" w:lineRule="auto"/>
        <w:ind w:left="1163"/>
        <w:outlineLvl w:val="1"/>
        <w:rPr>
          <w:sz w:val="24"/>
          <w:szCs w:val="24"/>
        </w:rPr>
      </w:pPr>
      <w:r>
        <w:rPr>
          <w:spacing w:val="-2"/>
          <w:sz w:val="24"/>
          <w:szCs w:val="24"/>
        </w:rPr>
        <w:t>鱼道出口和码头</w:t>
      </w:r>
    </w:p>
    <w:p w14:paraId="1D96BEF7">
      <w:pPr>
        <w:spacing w:line="185" w:lineRule="auto"/>
        <w:rPr>
          <w:sz w:val="24"/>
          <w:szCs w:val="24"/>
        </w:rPr>
        <w:sectPr>
          <w:type w:val="continuous"/>
          <w:pgSz w:w="11907" w:h="16839"/>
          <w:pgMar w:top="1431" w:right="1785" w:bottom="0" w:left="1785" w:header="0" w:footer="0" w:gutter="0"/>
          <w:cols w:equalWidth="0" w:num="2">
            <w:col w:w="4204" w:space="100"/>
            <w:col w:w="4032"/>
          </w:cols>
        </w:sectPr>
      </w:pPr>
    </w:p>
    <w:p w14:paraId="00801346">
      <w:pPr>
        <w:spacing w:before="65"/>
      </w:pPr>
    </w:p>
    <w:p w14:paraId="1AC4E9CE">
      <w:pPr>
        <w:sectPr>
          <w:pgSz w:w="11907" w:h="16839"/>
          <w:pgMar w:top="1431" w:right="1785" w:bottom="0" w:left="1785" w:header="0" w:footer="0" w:gutter="0"/>
          <w:cols w:equalWidth="0" w:num="1">
            <w:col w:w="8335"/>
          </w:cols>
        </w:sectPr>
      </w:pPr>
    </w:p>
    <w:p w14:paraId="1849FC9E">
      <w:pPr>
        <w:spacing w:line="2854" w:lineRule="exact"/>
        <w:ind w:firstLine="51"/>
      </w:pPr>
      <w:r>
        <w:rPr>
          <w:position w:val="-57"/>
        </w:rPr>
        <w:drawing>
          <wp:inline distT="0" distB="0" distL="0" distR="0">
            <wp:extent cx="2531745" cy="181229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22"/>
                    <a:stretch>
                      <a:fillRect/>
                    </a:stretch>
                  </pic:blipFill>
                  <pic:spPr>
                    <a:xfrm>
                      <a:off x="0" y="0"/>
                      <a:ext cx="2532126" cy="1812290"/>
                    </a:xfrm>
                    <a:prstGeom prst="rect">
                      <a:avLst/>
                    </a:prstGeom>
                  </pic:spPr>
                </pic:pic>
              </a:graphicData>
            </a:graphic>
          </wp:inline>
        </w:drawing>
      </w:r>
    </w:p>
    <w:p w14:paraId="5CE6CBE3">
      <w:pPr>
        <w:pStyle w:val="2"/>
        <w:spacing w:before="75" w:line="220" w:lineRule="auto"/>
        <w:ind w:left="1089"/>
        <w:rPr>
          <w:sz w:val="24"/>
          <w:szCs w:val="24"/>
        </w:rPr>
      </w:pPr>
      <w:r>
        <w:rPr>
          <w:spacing w:val="-3"/>
          <w:sz w:val="24"/>
          <w:szCs w:val="24"/>
        </w:rPr>
        <w:t>施工营地（左岸）</w:t>
      </w:r>
    </w:p>
    <w:p w14:paraId="6C5E3659">
      <w:pPr>
        <w:spacing w:line="17" w:lineRule="auto"/>
        <w:rPr>
          <w:rFonts w:ascii="Arial"/>
          <w:sz w:val="2"/>
        </w:rPr>
      </w:pPr>
    </w:p>
    <w:p w14:paraId="1900A7E9">
      <w:pPr>
        <w:spacing w:line="14" w:lineRule="auto"/>
        <w:rPr>
          <w:rFonts w:ascii="Arial"/>
          <w:sz w:val="2"/>
        </w:rPr>
      </w:pPr>
      <w:r>
        <w:rPr>
          <w:rFonts w:ascii="Arial" w:hAnsi="Arial" w:eastAsia="Arial" w:cs="Arial"/>
          <w:sz w:val="2"/>
          <w:szCs w:val="2"/>
        </w:rPr>
        <w:br w:type="column"/>
      </w:r>
    </w:p>
    <w:p w14:paraId="79FF636D">
      <w:pPr>
        <w:spacing w:line="2852" w:lineRule="exact"/>
      </w:pPr>
      <w:r>
        <w:rPr>
          <w:position w:val="-57"/>
        </w:rPr>
        <w:drawing>
          <wp:inline distT="0" distB="0" distL="0" distR="0">
            <wp:extent cx="2531745" cy="181102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23"/>
                    <a:stretch>
                      <a:fillRect/>
                    </a:stretch>
                  </pic:blipFill>
                  <pic:spPr>
                    <a:xfrm>
                      <a:off x="0" y="0"/>
                      <a:ext cx="2532126" cy="1811414"/>
                    </a:xfrm>
                    <a:prstGeom prst="rect">
                      <a:avLst/>
                    </a:prstGeom>
                  </pic:spPr>
                </pic:pic>
              </a:graphicData>
            </a:graphic>
          </wp:inline>
        </w:drawing>
      </w:r>
    </w:p>
    <w:p w14:paraId="51B2237D">
      <w:pPr>
        <w:pStyle w:val="2"/>
        <w:spacing w:before="75" w:line="220" w:lineRule="auto"/>
        <w:ind w:left="1038"/>
        <w:rPr>
          <w:sz w:val="24"/>
          <w:szCs w:val="24"/>
        </w:rPr>
      </w:pPr>
      <w:r>
        <w:rPr>
          <w:spacing w:val="-3"/>
          <w:sz w:val="24"/>
          <w:szCs w:val="24"/>
        </w:rPr>
        <w:t>施工营地（左岸）</w:t>
      </w:r>
    </w:p>
    <w:p w14:paraId="32DAA81F">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2EEC152D">
      <w:pPr>
        <w:spacing w:line="41" w:lineRule="exact"/>
      </w:pPr>
    </w:p>
    <w:p w14:paraId="469F63E0">
      <w:pPr>
        <w:spacing w:line="41" w:lineRule="exact"/>
        <w:sectPr>
          <w:type w:val="continuous"/>
          <w:pgSz w:w="11907" w:h="16839"/>
          <w:pgMar w:top="1431" w:right="1785" w:bottom="0" w:left="1785" w:header="0" w:footer="0" w:gutter="0"/>
          <w:cols w:equalWidth="0" w:num="1">
            <w:col w:w="8335"/>
          </w:cols>
        </w:sectPr>
      </w:pPr>
    </w:p>
    <w:p w14:paraId="22E9CE20">
      <w:pPr>
        <w:spacing w:line="2853" w:lineRule="exact"/>
        <w:ind w:firstLine="51"/>
      </w:pPr>
      <w:r>
        <w:rPr>
          <w:position w:val="-57"/>
        </w:rPr>
        <w:drawing>
          <wp:inline distT="0" distB="0" distL="0" distR="0">
            <wp:extent cx="2531745" cy="181165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24"/>
                    <a:stretch>
                      <a:fillRect/>
                    </a:stretch>
                  </pic:blipFill>
                  <pic:spPr>
                    <a:xfrm>
                      <a:off x="0" y="0"/>
                      <a:ext cx="2532126" cy="1812289"/>
                    </a:xfrm>
                    <a:prstGeom prst="rect">
                      <a:avLst/>
                    </a:prstGeom>
                  </pic:spPr>
                </pic:pic>
              </a:graphicData>
            </a:graphic>
          </wp:inline>
        </w:drawing>
      </w:r>
    </w:p>
    <w:p w14:paraId="7BDCB764">
      <w:pPr>
        <w:pStyle w:val="2"/>
        <w:spacing w:before="75" w:line="220" w:lineRule="auto"/>
        <w:ind w:left="968"/>
        <w:rPr>
          <w:sz w:val="24"/>
          <w:szCs w:val="24"/>
        </w:rPr>
      </w:pPr>
      <w:r>
        <w:rPr>
          <w:spacing w:val="-3"/>
          <w:sz w:val="24"/>
          <w:szCs w:val="24"/>
        </w:rPr>
        <w:t>钢筋加工棚（左岸）</w:t>
      </w:r>
    </w:p>
    <w:p w14:paraId="00A0DF61">
      <w:pPr>
        <w:spacing w:line="34" w:lineRule="auto"/>
        <w:rPr>
          <w:rFonts w:ascii="Arial"/>
          <w:sz w:val="2"/>
        </w:rPr>
      </w:pPr>
    </w:p>
    <w:p w14:paraId="51E42CFB">
      <w:pPr>
        <w:spacing w:line="14" w:lineRule="auto"/>
        <w:rPr>
          <w:rFonts w:ascii="Arial"/>
          <w:sz w:val="2"/>
        </w:rPr>
      </w:pPr>
      <w:r>
        <w:rPr>
          <w:rFonts w:ascii="Arial" w:hAnsi="Arial" w:eastAsia="Arial" w:cs="Arial"/>
          <w:sz w:val="2"/>
          <w:szCs w:val="2"/>
        </w:rPr>
        <w:br w:type="column"/>
      </w:r>
    </w:p>
    <w:p w14:paraId="7C1D3EF1">
      <w:pPr>
        <w:spacing w:line="2852" w:lineRule="exact"/>
      </w:pPr>
      <w:r>
        <w:rPr>
          <w:position w:val="-57"/>
        </w:rPr>
        <w:drawing>
          <wp:inline distT="0" distB="0" distL="0" distR="0">
            <wp:extent cx="2531745" cy="181102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325"/>
                    <a:stretch>
                      <a:fillRect/>
                    </a:stretch>
                  </pic:blipFill>
                  <pic:spPr>
                    <a:xfrm>
                      <a:off x="0" y="0"/>
                      <a:ext cx="2532126" cy="1811413"/>
                    </a:xfrm>
                    <a:prstGeom prst="rect">
                      <a:avLst/>
                    </a:prstGeom>
                  </pic:spPr>
                </pic:pic>
              </a:graphicData>
            </a:graphic>
          </wp:inline>
        </w:drawing>
      </w:r>
    </w:p>
    <w:p w14:paraId="3F46D499">
      <w:pPr>
        <w:pStyle w:val="2"/>
        <w:spacing w:before="75" w:line="220" w:lineRule="auto"/>
        <w:ind w:left="1038"/>
        <w:rPr>
          <w:sz w:val="24"/>
          <w:szCs w:val="24"/>
        </w:rPr>
      </w:pPr>
      <w:r>
        <w:rPr>
          <w:spacing w:val="-3"/>
          <w:sz w:val="24"/>
          <w:szCs w:val="24"/>
        </w:rPr>
        <w:t>施工便桥（下游）</w:t>
      </w:r>
    </w:p>
    <w:p w14:paraId="1CBF1C1E">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5134BAAB">
      <w:pPr>
        <w:spacing w:line="41" w:lineRule="exact"/>
      </w:pPr>
    </w:p>
    <w:p w14:paraId="7AF76168">
      <w:pPr>
        <w:spacing w:line="41" w:lineRule="exact"/>
        <w:sectPr>
          <w:type w:val="continuous"/>
          <w:pgSz w:w="11907" w:h="16839"/>
          <w:pgMar w:top="1431" w:right="1785" w:bottom="0" w:left="1785" w:header="0" w:footer="0" w:gutter="0"/>
          <w:cols w:equalWidth="0" w:num="1">
            <w:col w:w="8335"/>
          </w:cols>
        </w:sectPr>
      </w:pPr>
    </w:p>
    <w:p w14:paraId="007522D4">
      <w:pPr>
        <w:spacing w:line="2854" w:lineRule="exact"/>
        <w:ind w:firstLine="51"/>
      </w:pPr>
      <w:r>
        <w:rPr>
          <w:position w:val="-57"/>
        </w:rPr>
        <w:drawing>
          <wp:inline distT="0" distB="0" distL="0" distR="0">
            <wp:extent cx="2531745" cy="181229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326"/>
                    <a:stretch>
                      <a:fillRect/>
                    </a:stretch>
                  </pic:blipFill>
                  <pic:spPr>
                    <a:xfrm>
                      <a:off x="0" y="0"/>
                      <a:ext cx="2532126" cy="1812290"/>
                    </a:xfrm>
                    <a:prstGeom prst="rect">
                      <a:avLst/>
                    </a:prstGeom>
                  </pic:spPr>
                </pic:pic>
              </a:graphicData>
            </a:graphic>
          </wp:inline>
        </w:drawing>
      </w:r>
    </w:p>
    <w:p w14:paraId="7A243ECE">
      <w:pPr>
        <w:pStyle w:val="2"/>
        <w:spacing w:before="76" w:line="220" w:lineRule="auto"/>
        <w:ind w:left="1333"/>
        <w:rPr>
          <w:sz w:val="24"/>
          <w:szCs w:val="24"/>
        </w:rPr>
      </w:pPr>
      <w:r>
        <w:rPr>
          <w:spacing w:val="-2"/>
          <w:sz w:val="24"/>
          <w:szCs w:val="24"/>
        </w:rPr>
        <w:t>混凝土拌合站</w:t>
      </w:r>
    </w:p>
    <w:p w14:paraId="3D9E0143">
      <w:pPr>
        <w:spacing w:line="27" w:lineRule="auto"/>
        <w:rPr>
          <w:rFonts w:ascii="Arial"/>
          <w:sz w:val="2"/>
        </w:rPr>
      </w:pPr>
    </w:p>
    <w:p w14:paraId="037DDA8F">
      <w:pPr>
        <w:spacing w:line="14" w:lineRule="auto"/>
        <w:rPr>
          <w:rFonts w:ascii="Arial"/>
          <w:sz w:val="2"/>
        </w:rPr>
      </w:pPr>
      <w:r>
        <w:rPr>
          <w:rFonts w:ascii="Arial" w:hAnsi="Arial" w:eastAsia="Arial" w:cs="Arial"/>
          <w:sz w:val="2"/>
          <w:szCs w:val="2"/>
        </w:rPr>
        <w:br w:type="column"/>
      </w:r>
    </w:p>
    <w:p w14:paraId="618C3A57">
      <w:pPr>
        <w:spacing w:line="2853" w:lineRule="exact"/>
      </w:pPr>
      <w:r>
        <w:rPr>
          <w:position w:val="-57"/>
        </w:rPr>
        <w:drawing>
          <wp:inline distT="0" distB="0" distL="0" distR="0">
            <wp:extent cx="2531745" cy="18110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327"/>
                    <a:stretch>
                      <a:fillRect/>
                    </a:stretch>
                  </pic:blipFill>
                  <pic:spPr>
                    <a:xfrm>
                      <a:off x="0" y="0"/>
                      <a:ext cx="2532126" cy="1811413"/>
                    </a:xfrm>
                    <a:prstGeom prst="rect">
                      <a:avLst/>
                    </a:prstGeom>
                  </pic:spPr>
                </pic:pic>
              </a:graphicData>
            </a:graphic>
          </wp:inline>
        </w:drawing>
      </w:r>
    </w:p>
    <w:p w14:paraId="0EED4125">
      <w:pPr>
        <w:pStyle w:val="2"/>
        <w:spacing w:before="75" w:line="220" w:lineRule="auto"/>
        <w:ind w:left="802"/>
        <w:rPr>
          <w:sz w:val="24"/>
          <w:szCs w:val="24"/>
        </w:rPr>
      </w:pPr>
      <w:r>
        <w:drawing>
          <wp:anchor distT="0" distB="0" distL="0" distR="0" simplePos="0" relativeHeight="251663360" behindDoc="0" locked="0" layoutInCell="1" allowOverlap="1">
            <wp:simplePos x="0" y="0"/>
            <wp:positionH relativeFrom="column">
              <wp:posOffset>0</wp:posOffset>
            </wp:positionH>
            <wp:positionV relativeFrom="paragraph">
              <wp:posOffset>256540</wp:posOffset>
            </wp:positionV>
            <wp:extent cx="2532380" cy="181229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28"/>
                    <a:stretch>
                      <a:fillRect/>
                    </a:stretch>
                  </pic:blipFill>
                  <pic:spPr>
                    <a:xfrm>
                      <a:off x="0" y="0"/>
                      <a:ext cx="2532126" cy="1812290"/>
                    </a:xfrm>
                    <a:prstGeom prst="rect">
                      <a:avLst/>
                    </a:prstGeom>
                  </pic:spPr>
                </pic:pic>
              </a:graphicData>
            </a:graphic>
          </wp:anchor>
        </w:drawing>
      </w:r>
      <w:r>
        <w:rPr>
          <w:spacing w:val="-2"/>
          <w:sz w:val="24"/>
          <w:szCs w:val="24"/>
        </w:rPr>
        <w:t>混凝土拌合废水沉淀池</w:t>
      </w:r>
    </w:p>
    <w:p w14:paraId="041C00FB">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12A6AE1D">
      <w:pPr>
        <w:spacing w:before="41" w:line="2854" w:lineRule="exact"/>
        <w:ind w:firstLine="51"/>
      </w:pPr>
      <w:r>
        <w:rPr>
          <w:position w:val="-57"/>
        </w:rPr>
        <w:drawing>
          <wp:inline distT="0" distB="0" distL="0" distR="0">
            <wp:extent cx="2531745" cy="181229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29"/>
                    <a:stretch>
                      <a:fillRect/>
                    </a:stretch>
                  </pic:blipFill>
                  <pic:spPr>
                    <a:xfrm>
                      <a:off x="0" y="0"/>
                      <a:ext cx="2532126" cy="1812290"/>
                    </a:xfrm>
                    <a:prstGeom prst="rect">
                      <a:avLst/>
                    </a:prstGeom>
                  </pic:spPr>
                </pic:pic>
              </a:graphicData>
            </a:graphic>
          </wp:inline>
        </w:drawing>
      </w:r>
    </w:p>
    <w:p w14:paraId="713216D4">
      <w:pPr>
        <w:pStyle w:val="2"/>
        <w:spacing w:before="76" w:line="185" w:lineRule="auto"/>
        <w:ind w:left="2136"/>
        <w:rPr>
          <w:sz w:val="24"/>
          <w:szCs w:val="24"/>
        </w:rPr>
      </w:pPr>
      <w:r>
        <w:rPr>
          <w:spacing w:val="-2"/>
          <w:sz w:val="24"/>
          <w:szCs w:val="24"/>
        </w:rPr>
        <w:t>输水隧洞出口（接南盘江流域剪彩河）</w:t>
      </w:r>
    </w:p>
    <w:p w14:paraId="1F290599">
      <w:pPr>
        <w:spacing w:line="185" w:lineRule="auto"/>
        <w:rPr>
          <w:sz w:val="24"/>
          <w:szCs w:val="24"/>
        </w:rPr>
        <w:sectPr>
          <w:type w:val="continuous"/>
          <w:pgSz w:w="11907" w:h="16839"/>
          <w:pgMar w:top="1431" w:right="1785" w:bottom="0" w:left="1785" w:header="0" w:footer="0" w:gutter="0"/>
          <w:cols w:equalWidth="0" w:num="1">
            <w:col w:w="8335"/>
          </w:cols>
        </w:sectPr>
      </w:pPr>
    </w:p>
    <w:p w14:paraId="3A2AEB77">
      <w:pPr>
        <w:spacing w:before="65"/>
      </w:pPr>
    </w:p>
    <w:p w14:paraId="27E33507">
      <w:pPr>
        <w:sectPr>
          <w:pgSz w:w="11907" w:h="16839"/>
          <w:pgMar w:top="1431" w:right="1785" w:bottom="0" w:left="1785" w:header="0" w:footer="0" w:gutter="0"/>
          <w:cols w:equalWidth="0" w:num="1">
            <w:col w:w="8335"/>
          </w:cols>
        </w:sectPr>
      </w:pPr>
    </w:p>
    <w:p w14:paraId="4639347C">
      <w:pPr>
        <w:spacing w:line="2854" w:lineRule="exact"/>
        <w:ind w:firstLine="51"/>
      </w:pPr>
      <w:r>
        <w:rPr>
          <w:position w:val="-57"/>
        </w:rPr>
        <w:drawing>
          <wp:inline distT="0" distB="0" distL="0" distR="0">
            <wp:extent cx="2531745" cy="181229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30"/>
                    <a:stretch>
                      <a:fillRect/>
                    </a:stretch>
                  </pic:blipFill>
                  <pic:spPr>
                    <a:xfrm>
                      <a:off x="0" y="0"/>
                      <a:ext cx="2532126" cy="1812290"/>
                    </a:xfrm>
                    <a:prstGeom prst="rect">
                      <a:avLst/>
                    </a:prstGeom>
                  </pic:spPr>
                </pic:pic>
              </a:graphicData>
            </a:graphic>
          </wp:inline>
        </w:drawing>
      </w:r>
    </w:p>
    <w:p w14:paraId="40C82986">
      <w:pPr>
        <w:pStyle w:val="2"/>
        <w:spacing w:before="75" w:line="234" w:lineRule="auto"/>
        <w:ind w:left="1029"/>
        <w:rPr>
          <w:sz w:val="24"/>
          <w:szCs w:val="24"/>
        </w:rPr>
      </w:pPr>
      <w:r>
        <w:rPr>
          <w:spacing w:val="-1"/>
          <w:sz w:val="24"/>
          <w:szCs w:val="24"/>
        </w:rPr>
        <w:t>施工支洞口（</w:t>
      </w:r>
      <w:r>
        <w:rPr>
          <w:rFonts w:ascii="Times New Roman" w:hAnsi="Times New Roman" w:eastAsia="Times New Roman" w:cs="Times New Roman"/>
          <w:spacing w:val="-1"/>
          <w:sz w:val="24"/>
          <w:szCs w:val="24"/>
        </w:rPr>
        <w:t>10#</w:t>
      </w:r>
      <w:r>
        <w:rPr>
          <w:spacing w:val="-1"/>
          <w:sz w:val="24"/>
          <w:szCs w:val="24"/>
        </w:rPr>
        <w:t>）</w:t>
      </w:r>
    </w:p>
    <w:p w14:paraId="2C48A6AD">
      <w:pPr>
        <w:spacing w:line="55" w:lineRule="auto"/>
        <w:rPr>
          <w:rFonts w:ascii="Arial"/>
          <w:sz w:val="2"/>
        </w:rPr>
      </w:pPr>
    </w:p>
    <w:p w14:paraId="7131B0C9">
      <w:pPr>
        <w:spacing w:line="14" w:lineRule="auto"/>
        <w:rPr>
          <w:rFonts w:ascii="Arial"/>
          <w:sz w:val="2"/>
        </w:rPr>
      </w:pPr>
      <w:r>
        <w:rPr>
          <w:rFonts w:ascii="Arial" w:hAnsi="Arial" w:eastAsia="Arial" w:cs="Arial"/>
          <w:sz w:val="2"/>
          <w:szCs w:val="2"/>
        </w:rPr>
        <w:br w:type="column"/>
      </w:r>
    </w:p>
    <w:p w14:paraId="634FB181">
      <w:pPr>
        <w:spacing w:line="2852" w:lineRule="exact"/>
      </w:pPr>
      <w:r>
        <w:rPr>
          <w:position w:val="-57"/>
        </w:rPr>
        <w:drawing>
          <wp:inline distT="0" distB="0" distL="0" distR="0">
            <wp:extent cx="2531745" cy="18110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31"/>
                    <a:stretch>
                      <a:fillRect/>
                    </a:stretch>
                  </pic:blipFill>
                  <pic:spPr>
                    <a:xfrm>
                      <a:off x="0" y="0"/>
                      <a:ext cx="2532126" cy="1811414"/>
                    </a:xfrm>
                    <a:prstGeom prst="rect">
                      <a:avLst/>
                    </a:prstGeom>
                  </pic:spPr>
                </pic:pic>
              </a:graphicData>
            </a:graphic>
          </wp:inline>
        </w:drawing>
      </w:r>
    </w:p>
    <w:p w14:paraId="64AA9531">
      <w:pPr>
        <w:pStyle w:val="2"/>
        <w:spacing w:before="75" w:line="234" w:lineRule="auto"/>
        <w:ind w:left="1038"/>
        <w:rPr>
          <w:sz w:val="24"/>
          <w:szCs w:val="24"/>
        </w:rPr>
      </w:pPr>
      <w:r>
        <w:rPr>
          <w:spacing w:val="-1"/>
          <w:sz w:val="24"/>
          <w:szCs w:val="24"/>
        </w:rPr>
        <w:t>施工支洞口（</w:t>
      </w:r>
      <w:r>
        <w:rPr>
          <w:rFonts w:ascii="Times New Roman" w:hAnsi="Times New Roman" w:eastAsia="Times New Roman" w:cs="Times New Roman"/>
          <w:spacing w:val="-1"/>
          <w:sz w:val="24"/>
          <w:szCs w:val="24"/>
        </w:rPr>
        <w:t>9#</w:t>
      </w:r>
      <w:r>
        <w:rPr>
          <w:spacing w:val="-1"/>
          <w:sz w:val="24"/>
          <w:szCs w:val="24"/>
        </w:rPr>
        <w:t>）</w:t>
      </w:r>
    </w:p>
    <w:p w14:paraId="2B1FF12B">
      <w:pPr>
        <w:spacing w:line="234" w:lineRule="auto"/>
        <w:rPr>
          <w:sz w:val="24"/>
          <w:szCs w:val="24"/>
        </w:rPr>
        <w:sectPr>
          <w:type w:val="continuous"/>
          <w:pgSz w:w="11907" w:h="16839"/>
          <w:pgMar w:top="1431" w:right="1785" w:bottom="0" w:left="1785" w:header="0" w:footer="0" w:gutter="0"/>
          <w:cols w:equalWidth="0" w:num="2">
            <w:col w:w="4204" w:space="100"/>
            <w:col w:w="4032"/>
          </w:cols>
        </w:sectPr>
      </w:pPr>
    </w:p>
    <w:p w14:paraId="0AED1FEC">
      <w:pPr>
        <w:spacing w:line="20" w:lineRule="exact"/>
      </w:pPr>
    </w:p>
    <w:p w14:paraId="2CC7D331">
      <w:pPr>
        <w:spacing w:line="20" w:lineRule="exact"/>
        <w:sectPr>
          <w:type w:val="continuous"/>
          <w:pgSz w:w="11907" w:h="16839"/>
          <w:pgMar w:top="1431" w:right="1785" w:bottom="0" w:left="1785" w:header="0" w:footer="0" w:gutter="0"/>
          <w:cols w:equalWidth="0" w:num="1">
            <w:col w:w="8335"/>
          </w:cols>
        </w:sectPr>
      </w:pPr>
    </w:p>
    <w:p w14:paraId="71702C0D">
      <w:pPr>
        <w:spacing w:line="2853" w:lineRule="exact"/>
        <w:ind w:firstLine="51"/>
      </w:pPr>
      <w:r>
        <w:rPr>
          <w:position w:val="-57"/>
        </w:rPr>
        <w:drawing>
          <wp:inline distT="0" distB="0" distL="0" distR="0">
            <wp:extent cx="2531745" cy="181165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32"/>
                    <a:stretch>
                      <a:fillRect/>
                    </a:stretch>
                  </pic:blipFill>
                  <pic:spPr>
                    <a:xfrm>
                      <a:off x="0" y="0"/>
                      <a:ext cx="2532126" cy="1812289"/>
                    </a:xfrm>
                    <a:prstGeom prst="rect">
                      <a:avLst/>
                    </a:prstGeom>
                  </pic:spPr>
                </pic:pic>
              </a:graphicData>
            </a:graphic>
          </wp:inline>
        </w:drawing>
      </w:r>
    </w:p>
    <w:p w14:paraId="0FDBB476">
      <w:pPr>
        <w:pStyle w:val="2"/>
        <w:spacing w:before="75" w:line="234" w:lineRule="auto"/>
        <w:ind w:left="971"/>
        <w:rPr>
          <w:sz w:val="24"/>
          <w:szCs w:val="24"/>
        </w:rPr>
      </w:pPr>
      <w:r>
        <w:rPr>
          <w:spacing w:val="-2"/>
          <w:sz w:val="24"/>
          <w:szCs w:val="24"/>
        </w:rPr>
        <w:t>支洞口沉淀池（</w:t>
      </w:r>
      <w:r>
        <w:rPr>
          <w:rFonts w:ascii="Times New Roman" w:hAnsi="Times New Roman" w:eastAsia="Times New Roman" w:cs="Times New Roman"/>
          <w:spacing w:val="-2"/>
          <w:sz w:val="24"/>
          <w:szCs w:val="24"/>
        </w:rPr>
        <w:t>8#</w:t>
      </w:r>
      <w:r>
        <w:rPr>
          <w:spacing w:val="-2"/>
          <w:sz w:val="24"/>
          <w:szCs w:val="24"/>
        </w:rPr>
        <w:t>）</w:t>
      </w:r>
    </w:p>
    <w:p w14:paraId="7F04389C">
      <w:pPr>
        <w:spacing w:line="60" w:lineRule="auto"/>
        <w:rPr>
          <w:rFonts w:ascii="Arial"/>
          <w:sz w:val="2"/>
        </w:rPr>
      </w:pPr>
    </w:p>
    <w:p w14:paraId="0688C047">
      <w:pPr>
        <w:spacing w:line="14" w:lineRule="auto"/>
        <w:rPr>
          <w:rFonts w:ascii="Arial"/>
          <w:sz w:val="2"/>
        </w:rPr>
      </w:pPr>
      <w:r>
        <w:rPr>
          <w:rFonts w:ascii="Arial" w:hAnsi="Arial" w:eastAsia="Arial" w:cs="Arial"/>
          <w:sz w:val="2"/>
          <w:szCs w:val="2"/>
        </w:rPr>
        <w:br w:type="column"/>
      </w:r>
    </w:p>
    <w:p w14:paraId="702F79C6">
      <w:pPr>
        <w:spacing w:line="2852" w:lineRule="exact"/>
      </w:pPr>
      <w:r>
        <w:rPr>
          <w:position w:val="-57"/>
        </w:rPr>
        <w:drawing>
          <wp:inline distT="0" distB="0" distL="0" distR="0">
            <wp:extent cx="2531745" cy="181102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33"/>
                    <a:stretch>
                      <a:fillRect/>
                    </a:stretch>
                  </pic:blipFill>
                  <pic:spPr>
                    <a:xfrm>
                      <a:off x="0" y="0"/>
                      <a:ext cx="2532126" cy="1811413"/>
                    </a:xfrm>
                    <a:prstGeom prst="rect">
                      <a:avLst/>
                    </a:prstGeom>
                  </pic:spPr>
                </pic:pic>
              </a:graphicData>
            </a:graphic>
          </wp:inline>
        </w:drawing>
      </w:r>
    </w:p>
    <w:p w14:paraId="69612219">
      <w:pPr>
        <w:pStyle w:val="2"/>
        <w:spacing w:before="75" w:line="234" w:lineRule="auto"/>
        <w:ind w:left="860"/>
        <w:rPr>
          <w:sz w:val="24"/>
          <w:szCs w:val="24"/>
        </w:rPr>
      </w:pPr>
      <w:r>
        <w:rPr>
          <w:spacing w:val="-1"/>
          <w:sz w:val="24"/>
          <w:szCs w:val="24"/>
        </w:rPr>
        <w:t>支洞口沉淀池（</w:t>
      </w:r>
      <w:r>
        <w:rPr>
          <w:rFonts w:ascii="Times New Roman" w:hAnsi="Times New Roman" w:eastAsia="Times New Roman" w:cs="Times New Roman"/>
          <w:spacing w:val="-1"/>
          <w:sz w:val="24"/>
          <w:szCs w:val="24"/>
        </w:rPr>
        <w:t>10#</w:t>
      </w:r>
      <w:r>
        <w:rPr>
          <w:spacing w:val="-1"/>
          <w:sz w:val="24"/>
          <w:szCs w:val="24"/>
        </w:rPr>
        <w:t>）</w:t>
      </w:r>
    </w:p>
    <w:p w14:paraId="6DC3C5D5">
      <w:pPr>
        <w:spacing w:line="234" w:lineRule="auto"/>
        <w:rPr>
          <w:sz w:val="24"/>
          <w:szCs w:val="24"/>
        </w:rPr>
        <w:sectPr>
          <w:type w:val="continuous"/>
          <w:pgSz w:w="11907" w:h="16839"/>
          <w:pgMar w:top="1431" w:right="1785" w:bottom="0" w:left="1785" w:header="0" w:footer="0" w:gutter="0"/>
          <w:cols w:equalWidth="0" w:num="2">
            <w:col w:w="4204" w:space="100"/>
            <w:col w:w="4032"/>
          </w:cols>
        </w:sectPr>
      </w:pPr>
    </w:p>
    <w:p w14:paraId="20633CBA">
      <w:pPr>
        <w:spacing w:line="20" w:lineRule="exact"/>
      </w:pPr>
    </w:p>
    <w:p w14:paraId="3A016883">
      <w:pPr>
        <w:spacing w:line="20" w:lineRule="exact"/>
        <w:sectPr>
          <w:type w:val="continuous"/>
          <w:pgSz w:w="11907" w:h="16839"/>
          <w:pgMar w:top="1431" w:right="1785" w:bottom="0" w:left="1785" w:header="0" w:footer="0" w:gutter="0"/>
          <w:cols w:equalWidth="0" w:num="1">
            <w:col w:w="8335"/>
          </w:cols>
        </w:sectPr>
      </w:pPr>
    </w:p>
    <w:p w14:paraId="4CE155F0">
      <w:pPr>
        <w:spacing w:before="5" w:line="2844" w:lineRule="exact"/>
        <w:ind w:firstLine="56"/>
      </w:pPr>
      <w:r>
        <w:rPr>
          <w:position w:val="-56"/>
        </w:rPr>
        <w:drawing>
          <wp:inline distT="0" distB="0" distL="0" distR="0">
            <wp:extent cx="2525395" cy="180594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34"/>
                    <a:stretch>
                      <a:fillRect/>
                    </a:stretch>
                  </pic:blipFill>
                  <pic:spPr>
                    <a:xfrm>
                      <a:off x="0" y="0"/>
                      <a:ext cx="2525775" cy="1805940"/>
                    </a:xfrm>
                    <a:prstGeom prst="rect">
                      <a:avLst/>
                    </a:prstGeom>
                  </pic:spPr>
                </pic:pic>
              </a:graphicData>
            </a:graphic>
          </wp:inline>
        </w:drawing>
      </w:r>
    </w:p>
    <w:p w14:paraId="3FB3D742">
      <w:pPr>
        <w:pStyle w:val="2"/>
        <w:spacing w:before="80" w:line="220" w:lineRule="auto"/>
        <w:ind w:left="1092"/>
        <w:rPr>
          <w:sz w:val="24"/>
          <w:szCs w:val="24"/>
        </w:rPr>
      </w:pPr>
      <w:r>
        <w:rPr>
          <w:spacing w:val="-2"/>
          <w:sz w:val="24"/>
          <w:szCs w:val="24"/>
        </w:rPr>
        <w:t>生活垃圾储存设施</w:t>
      </w:r>
    </w:p>
    <w:p w14:paraId="3A429E43">
      <w:pPr>
        <w:spacing w:line="32" w:lineRule="auto"/>
        <w:rPr>
          <w:rFonts w:ascii="Arial"/>
          <w:sz w:val="2"/>
        </w:rPr>
      </w:pPr>
    </w:p>
    <w:p w14:paraId="2ADF1515">
      <w:pPr>
        <w:spacing w:line="14" w:lineRule="auto"/>
        <w:rPr>
          <w:rFonts w:ascii="Arial"/>
          <w:sz w:val="2"/>
        </w:rPr>
      </w:pPr>
      <w:r>
        <w:rPr>
          <w:rFonts w:ascii="Arial" w:hAnsi="Arial" w:eastAsia="Arial" w:cs="Arial"/>
          <w:sz w:val="2"/>
          <w:szCs w:val="2"/>
        </w:rPr>
        <w:br w:type="column"/>
      </w:r>
    </w:p>
    <w:p w14:paraId="54B79585">
      <w:pPr>
        <w:spacing w:line="2853" w:lineRule="exact"/>
      </w:pPr>
      <w:r>
        <w:rPr>
          <w:position w:val="-57"/>
        </w:rPr>
        <w:drawing>
          <wp:inline distT="0" distB="0" distL="0" distR="0">
            <wp:extent cx="2531745" cy="181102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35"/>
                    <a:stretch>
                      <a:fillRect/>
                    </a:stretch>
                  </pic:blipFill>
                  <pic:spPr>
                    <a:xfrm>
                      <a:off x="0" y="0"/>
                      <a:ext cx="2532126" cy="1811413"/>
                    </a:xfrm>
                    <a:prstGeom prst="rect">
                      <a:avLst/>
                    </a:prstGeom>
                  </pic:spPr>
                </pic:pic>
              </a:graphicData>
            </a:graphic>
          </wp:inline>
        </w:drawing>
      </w:r>
    </w:p>
    <w:p w14:paraId="185BFE2C">
      <w:pPr>
        <w:pStyle w:val="2"/>
        <w:spacing w:before="75" w:line="220" w:lineRule="auto"/>
        <w:ind w:left="1438"/>
        <w:rPr>
          <w:sz w:val="24"/>
          <w:szCs w:val="24"/>
        </w:rPr>
      </w:pPr>
      <w:r>
        <w:rPr>
          <w:spacing w:val="-10"/>
          <w:sz w:val="24"/>
          <w:szCs w:val="24"/>
        </w:rPr>
        <w:t>自备洒水车</w:t>
      </w:r>
    </w:p>
    <w:p w14:paraId="188AC6A1">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55BF8F21">
      <w:pPr>
        <w:spacing w:line="41" w:lineRule="exact"/>
      </w:pPr>
    </w:p>
    <w:p w14:paraId="6B8EB18B">
      <w:pPr>
        <w:spacing w:line="41" w:lineRule="exact"/>
        <w:sectPr>
          <w:type w:val="continuous"/>
          <w:pgSz w:w="11907" w:h="16839"/>
          <w:pgMar w:top="1431" w:right="1785" w:bottom="0" w:left="1785" w:header="0" w:footer="0" w:gutter="0"/>
          <w:cols w:equalWidth="0" w:num="1">
            <w:col w:w="8335"/>
          </w:cols>
        </w:sectPr>
      </w:pPr>
    </w:p>
    <w:p w14:paraId="45EE3386">
      <w:pPr>
        <w:spacing w:line="2854" w:lineRule="exact"/>
        <w:ind w:firstLine="51"/>
      </w:pPr>
      <w:r>
        <w:rPr>
          <w:position w:val="-57"/>
        </w:rPr>
        <w:drawing>
          <wp:inline distT="0" distB="0" distL="0" distR="0">
            <wp:extent cx="2531745" cy="181229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336"/>
                    <a:stretch>
                      <a:fillRect/>
                    </a:stretch>
                  </pic:blipFill>
                  <pic:spPr>
                    <a:xfrm>
                      <a:off x="0" y="0"/>
                      <a:ext cx="2532126" cy="1812290"/>
                    </a:xfrm>
                    <a:prstGeom prst="rect">
                      <a:avLst/>
                    </a:prstGeom>
                  </pic:spPr>
                </pic:pic>
              </a:graphicData>
            </a:graphic>
          </wp:inline>
        </w:drawing>
      </w:r>
    </w:p>
    <w:p w14:paraId="19406E2D">
      <w:pPr>
        <w:pStyle w:val="2"/>
        <w:spacing w:before="76" w:line="185" w:lineRule="auto"/>
        <w:ind w:left="1332"/>
        <w:rPr>
          <w:sz w:val="24"/>
          <w:szCs w:val="24"/>
        </w:rPr>
      </w:pPr>
      <w:r>
        <w:rPr>
          <w:spacing w:val="-2"/>
          <w:sz w:val="24"/>
          <w:szCs w:val="24"/>
        </w:rPr>
        <w:t>王大屯弃渣场</w:t>
      </w:r>
    </w:p>
    <w:p w14:paraId="3AA7DA6A">
      <w:pPr>
        <w:spacing w:line="14" w:lineRule="auto"/>
        <w:rPr>
          <w:rFonts w:ascii="Arial"/>
          <w:sz w:val="2"/>
        </w:rPr>
      </w:pPr>
      <w:r>
        <w:rPr>
          <w:rFonts w:ascii="Arial" w:hAnsi="Arial" w:eastAsia="Arial" w:cs="Arial"/>
          <w:sz w:val="2"/>
          <w:szCs w:val="2"/>
        </w:rPr>
        <w:br w:type="column"/>
      </w:r>
    </w:p>
    <w:p w14:paraId="06DB5FEB">
      <w:pPr>
        <w:spacing w:line="2853" w:lineRule="exact"/>
      </w:pPr>
      <w:r>
        <w:rPr>
          <w:position w:val="-57"/>
        </w:rPr>
        <w:drawing>
          <wp:inline distT="0" distB="0" distL="0" distR="0">
            <wp:extent cx="2531745" cy="181102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337"/>
                    <a:stretch>
                      <a:fillRect/>
                    </a:stretch>
                  </pic:blipFill>
                  <pic:spPr>
                    <a:xfrm>
                      <a:off x="0" y="0"/>
                      <a:ext cx="2532126" cy="1811413"/>
                    </a:xfrm>
                    <a:prstGeom prst="rect">
                      <a:avLst/>
                    </a:prstGeom>
                  </pic:spPr>
                </pic:pic>
              </a:graphicData>
            </a:graphic>
          </wp:inline>
        </w:drawing>
      </w:r>
    </w:p>
    <w:p w14:paraId="531E082D">
      <w:pPr>
        <w:pStyle w:val="2"/>
        <w:spacing w:before="75" w:line="185" w:lineRule="auto"/>
        <w:ind w:left="1291"/>
        <w:outlineLvl w:val="1"/>
        <w:rPr>
          <w:sz w:val="24"/>
          <w:szCs w:val="24"/>
        </w:rPr>
      </w:pPr>
      <w:r>
        <w:rPr>
          <w:spacing w:val="-4"/>
          <w:sz w:val="24"/>
          <w:szCs w:val="24"/>
        </w:rPr>
        <w:t>响水街弃渣场</w:t>
      </w:r>
    </w:p>
    <w:p w14:paraId="1D0D862F">
      <w:pPr>
        <w:spacing w:line="185" w:lineRule="auto"/>
        <w:rPr>
          <w:sz w:val="24"/>
          <w:szCs w:val="24"/>
        </w:rPr>
        <w:sectPr>
          <w:type w:val="continuous"/>
          <w:pgSz w:w="11907" w:h="16839"/>
          <w:pgMar w:top="1431" w:right="1785" w:bottom="0" w:left="1785" w:header="0" w:footer="0" w:gutter="0"/>
          <w:cols w:equalWidth="0" w:num="2">
            <w:col w:w="4204" w:space="100"/>
            <w:col w:w="4032"/>
          </w:cols>
        </w:sectPr>
      </w:pPr>
    </w:p>
    <w:p w14:paraId="6CE30BE3">
      <w:pPr>
        <w:spacing w:before="65"/>
      </w:pPr>
    </w:p>
    <w:p w14:paraId="250FA00E">
      <w:pPr>
        <w:sectPr>
          <w:pgSz w:w="11907" w:h="16839"/>
          <w:pgMar w:top="1431" w:right="1785" w:bottom="0" w:left="1785" w:header="0" w:footer="0" w:gutter="0"/>
          <w:cols w:equalWidth="0" w:num="1">
            <w:col w:w="8335"/>
          </w:cols>
        </w:sectPr>
      </w:pPr>
    </w:p>
    <w:p w14:paraId="021DB639">
      <w:pPr>
        <w:spacing w:line="2854" w:lineRule="exact"/>
        <w:ind w:firstLine="51"/>
      </w:pPr>
      <w:r>
        <w:rPr>
          <w:position w:val="-57"/>
        </w:rPr>
        <w:drawing>
          <wp:inline distT="0" distB="0" distL="0" distR="0">
            <wp:extent cx="2531745" cy="181229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338"/>
                    <a:stretch>
                      <a:fillRect/>
                    </a:stretch>
                  </pic:blipFill>
                  <pic:spPr>
                    <a:xfrm>
                      <a:off x="0" y="0"/>
                      <a:ext cx="2532126" cy="1812290"/>
                    </a:xfrm>
                    <a:prstGeom prst="rect">
                      <a:avLst/>
                    </a:prstGeom>
                  </pic:spPr>
                </pic:pic>
              </a:graphicData>
            </a:graphic>
          </wp:inline>
        </w:drawing>
      </w:r>
    </w:p>
    <w:p w14:paraId="680CB068">
      <w:pPr>
        <w:pStyle w:val="2"/>
        <w:spacing w:before="75" w:line="219" w:lineRule="auto"/>
        <w:ind w:left="731"/>
        <w:rPr>
          <w:sz w:val="24"/>
          <w:szCs w:val="24"/>
        </w:rPr>
      </w:pPr>
      <w:r>
        <w:rPr>
          <w:spacing w:val="-3"/>
          <w:sz w:val="24"/>
          <w:szCs w:val="24"/>
        </w:rPr>
        <w:t>移民安置点（川硐新村）</w:t>
      </w:r>
    </w:p>
    <w:p w14:paraId="7F2B5AC4">
      <w:pPr>
        <w:spacing w:line="37" w:lineRule="auto"/>
        <w:rPr>
          <w:rFonts w:ascii="Arial"/>
          <w:sz w:val="2"/>
        </w:rPr>
      </w:pPr>
    </w:p>
    <w:p w14:paraId="3BE0B37E">
      <w:pPr>
        <w:spacing w:line="14" w:lineRule="auto"/>
        <w:rPr>
          <w:rFonts w:ascii="Arial"/>
          <w:sz w:val="2"/>
        </w:rPr>
      </w:pPr>
      <w:r>
        <w:rPr>
          <w:rFonts w:ascii="Arial" w:hAnsi="Arial" w:eastAsia="Arial" w:cs="Arial"/>
          <w:sz w:val="2"/>
          <w:szCs w:val="2"/>
        </w:rPr>
        <w:br w:type="column"/>
      </w:r>
    </w:p>
    <w:p w14:paraId="209985A4">
      <w:pPr>
        <w:spacing w:line="2852" w:lineRule="exact"/>
      </w:pPr>
      <w:r>
        <w:rPr>
          <w:position w:val="-57"/>
        </w:rPr>
        <w:drawing>
          <wp:inline distT="0" distB="0" distL="0" distR="0">
            <wp:extent cx="2531745" cy="181102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339"/>
                    <a:stretch>
                      <a:fillRect/>
                    </a:stretch>
                  </pic:blipFill>
                  <pic:spPr>
                    <a:xfrm>
                      <a:off x="0" y="0"/>
                      <a:ext cx="2532126" cy="1811414"/>
                    </a:xfrm>
                    <a:prstGeom prst="rect">
                      <a:avLst/>
                    </a:prstGeom>
                  </pic:spPr>
                </pic:pic>
              </a:graphicData>
            </a:graphic>
          </wp:inline>
        </w:drawing>
      </w:r>
    </w:p>
    <w:p w14:paraId="2DAAC6A0">
      <w:pPr>
        <w:pStyle w:val="2"/>
        <w:spacing w:before="75" w:line="219" w:lineRule="auto"/>
        <w:ind w:left="680"/>
        <w:rPr>
          <w:sz w:val="24"/>
          <w:szCs w:val="24"/>
        </w:rPr>
      </w:pPr>
      <w:r>
        <w:rPr>
          <w:spacing w:val="-3"/>
          <w:sz w:val="24"/>
          <w:szCs w:val="24"/>
        </w:rPr>
        <w:t>移民安置点（罗贵新村）</w:t>
      </w:r>
    </w:p>
    <w:p w14:paraId="44D7DF9B">
      <w:pPr>
        <w:spacing w:line="219" w:lineRule="auto"/>
        <w:rPr>
          <w:sz w:val="24"/>
          <w:szCs w:val="24"/>
        </w:rPr>
        <w:sectPr>
          <w:type w:val="continuous"/>
          <w:pgSz w:w="11907" w:h="16839"/>
          <w:pgMar w:top="1431" w:right="1785" w:bottom="0" w:left="1785" w:header="0" w:footer="0" w:gutter="0"/>
          <w:cols w:equalWidth="0" w:num="2">
            <w:col w:w="4204" w:space="100"/>
            <w:col w:w="4032"/>
          </w:cols>
        </w:sectPr>
      </w:pPr>
    </w:p>
    <w:p w14:paraId="36B96465">
      <w:pPr>
        <w:spacing w:line="41" w:lineRule="exact"/>
      </w:pPr>
    </w:p>
    <w:p w14:paraId="42258DE8">
      <w:pPr>
        <w:spacing w:line="41" w:lineRule="exact"/>
        <w:sectPr>
          <w:type w:val="continuous"/>
          <w:pgSz w:w="11907" w:h="16839"/>
          <w:pgMar w:top="1431" w:right="1785" w:bottom="0" w:left="1785" w:header="0" w:footer="0" w:gutter="0"/>
          <w:cols w:equalWidth="0" w:num="1">
            <w:col w:w="8335"/>
          </w:cols>
        </w:sectPr>
      </w:pPr>
    </w:p>
    <w:p w14:paraId="69689F7A">
      <w:pPr>
        <w:spacing w:line="2853" w:lineRule="exact"/>
        <w:ind w:firstLine="51"/>
      </w:pPr>
      <w:r>
        <w:rPr>
          <w:position w:val="-57"/>
        </w:rPr>
        <w:drawing>
          <wp:inline distT="0" distB="0" distL="0" distR="0">
            <wp:extent cx="2531745" cy="181165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340"/>
                    <a:stretch>
                      <a:fillRect/>
                    </a:stretch>
                  </pic:blipFill>
                  <pic:spPr>
                    <a:xfrm>
                      <a:off x="0" y="0"/>
                      <a:ext cx="2532126" cy="1812289"/>
                    </a:xfrm>
                    <a:prstGeom prst="rect">
                      <a:avLst/>
                    </a:prstGeom>
                  </pic:spPr>
                </pic:pic>
              </a:graphicData>
            </a:graphic>
          </wp:inline>
        </w:drawing>
      </w:r>
    </w:p>
    <w:p w14:paraId="4136F474">
      <w:pPr>
        <w:pStyle w:val="2"/>
        <w:spacing w:before="75" w:line="219" w:lineRule="auto"/>
        <w:ind w:left="851"/>
        <w:rPr>
          <w:sz w:val="24"/>
          <w:szCs w:val="24"/>
        </w:rPr>
      </w:pPr>
      <w:r>
        <w:rPr>
          <w:spacing w:val="-3"/>
          <w:sz w:val="24"/>
          <w:szCs w:val="24"/>
        </w:rPr>
        <w:t>移民安置点（车章村）</w:t>
      </w:r>
    </w:p>
    <w:p w14:paraId="08058F39">
      <w:pPr>
        <w:spacing w:line="41" w:lineRule="auto"/>
        <w:rPr>
          <w:rFonts w:ascii="Arial"/>
          <w:sz w:val="2"/>
        </w:rPr>
      </w:pPr>
    </w:p>
    <w:p w14:paraId="39228949">
      <w:pPr>
        <w:spacing w:line="14" w:lineRule="auto"/>
        <w:rPr>
          <w:rFonts w:ascii="Arial"/>
          <w:sz w:val="2"/>
        </w:rPr>
      </w:pPr>
      <w:r>
        <w:rPr>
          <w:rFonts w:ascii="Arial" w:hAnsi="Arial" w:eastAsia="Arial" w:cs="Arial"/>
          <w:sz w:val="2"/>
          <w:szCs w:val="2"/>
        </w:rPr>
        <w:br w:type="column"/>
      </w:r>
    </w:p>
    <w:p w14:paraId="62C7800D">
      <w:pPr>
        <w:spacing w:line="2852" w:lineRule="exact"/>
      </w:pPr>
      <w:r>
        <w:rPr>
          <w:position w:val="-57"/>
        </w:rPr>
        <w:drawing>
          <wp:inline distT="0" distB="0" distL="0" distR="0">
            <wp:extent cx="2531745" cy="181102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341"/>
                    <a:stretch>
                      <a:fillRect/>
                    </a:stretch>
                  </pic:blipFill>
                  <pic:spPr>
                    <a:xfrm>
                      <a:off x="0" y="0"/>
                      <a:ext cx="2532126" cy="1811413"/>
                    </a:xfrm>
                    <a:prstGeom prst="rect">
                      <a:avLst/>
                    </a:prstGeom>
                  </pic:spPr>
                </pic:pic>
              </a:graphicData>
            </a:graphic>
          </wp:inline>
        </w:drawing>
      </w:r>
    </w:p>
    <w:p w14:paraId="508A6F1F">
      <w:pPr>
        <w:pStyle w:val="2"/>
        <w:spacing w:before="75" w:line="219" w:lineRule="auto"/>
        <w:ind w:left="680"/>
        <w:rPr>
          <w:sz w:val="24"/>
          <w:szCs w:val="24"/>
        </w:rPr>
      </w:pPr>
      <w:r>
        <w:rPr>
          <w:spacing w:val="-3"/>
          <w:sz w:val="24"/>
          <w:szCs w:val="24"/>
        </w:rPr>
        <w:t>移民安置点（西冲新村）</w:t>
      </w:r>
    </w:p>
    <w:p w14:paraId="4620188A">
      <w:pPr>
        <w:spacing w:line="219" w:lineRule="auto"/>
        <w:rPr>
          <w:sz w:val="24"/>
          <w:szCs w:val="24"/>
        </w:rPr>
        <w:sectPr>
          <w:type w:val="continuous"/>
          <w:pgSz w:w="11907" w:h="16839"/>
          <w:pgMar w:top="1431" w:right="1785" w:bottom="0" w:left="1785" w:header="0" w:footer="0" w:gutter="0"/>
          <w:cols w:equalWidth="0" w:num="2">
            <w:col w:w="4204" w:space="100"/>
            <w:col w:w="4032"/>
          </w:cols>
        </w:sectPr>
      </w:pPr>
    </w:p>
    <w:p w14:paraId="2DD1368E">
      <w:pPr>
        <w:spacing w:line="41" w:lineRule="exact"/>
      </w:pPr>
    </w:p>
    <w:p w14:paraId="47D97A46">
      <w:pPr>
        <w:spacing w:line="41" w:lineRule="exact"/>
        <w:sectPr>
          <w:type w:val="continuous"/>
          <w:pgSz w:w="11907" w:h="16839"/>
          <w:pgMar w:top="1431" w:right="1785" w:bottom="0" w:left="1785" w:header="0" w:footer="0" w:gutter="0"/>
          <w:cols w:equalWidth="0" w:num="1">
            <w:col w:w="8335"/>
          </w:cols>
        </w:sectPr>
      </w:pPr>
    </w:p>
    <w:p w14:paraId="7550FBF6">
      <w:pPr>
        <w:spacing w:line="2854" w:lineRule="exact"/>
        <w:ind w:firstLine="51"/>
      </w:pPr>
      <w:r>
        <w:rPr>
          <w:position w:val="-57"/>
        </w:rPr>
        <w:drawing>
          <wp:inline distT="0" distB="0" distL="0" distR="0">
            <wp:extent cx="2531745" cy="181229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342"/>
                    <a:stretch>
                      <a:fillRect/>
                    </a:stretch>
                  </pic:blipFill>
                  <pic:spPr>
                    <a:xfrm>
                      <a:off x="0" y="0"/>
                      <a:ext cx="2532126" cy="1812290"/>
                    </a:xfrm>
                    <a:prstGeom prst="rect">
                      <a:avLst/>
                    </a:prstGeom>
                  </pic:spPr>
                </pic:pic>
              </a:graphicData>
            </a:graphic>
          </wp:inline>
        </w:drawing>
      </w:r>
    </w:p>
    <w:p w14:paraId="44E85A90">
      <w:pPr>
        <w:pStyle w:val="2"/>
        <w:spacing w:before="76" w:line="219" w:lineRule="auto"/>
        <w:ind w:left="851"/>
        <w:rPr>
          <w:sz w:val="24"/>
          <w:szCs w:val="24"/>
        </w:rPr>
      </w:pPr>
      <w:r>
        <w:rPr>
          <w:spacing w:val="-3"/>
          <w:sz w:val="24"/>
          <w:szCs w:val="24"/>
        </w:rPr>
        <w:t>移民安置点（三家村）</w:t>
      </w:r>
    </w:p>
    <w:p w14:paraId="2A125334">
      <w:pPr>
        <w:spacing w:line="40" w:lineRule="auto"/>
        <w:rPr>
          <w:rFonts w:ascii="Arial"/>
          <w:sz w:val="2"/>
        </w:rPr>
      </w:pPr>
    </w:p>
    <w:p w14:paraId="2A29ADB4">
      <w:pPr>
        <w:spacing w:line="14" w:lineRule="auto"/>
        <w:rPr>
          <w:rFonts w:ascii="Arial"/>
          <w:sz w:val="2"/>
        </w:rPr>
      </w:pPr>
      <w:r>
        <w:rPr>
          <w:rFonts w:ascii="Arial" w:hAnsi="Arial" w:eastAsia="Arial" w:cs="Arial"/>
          <w:sz w:val="2"/>
          <w:szCs w:val="2"/>
        </w:rPr>
        <w:br w:type="column"/>
      </w:r>
    </w:p>
    <w:p w14:paraId="6C4B25C7">
      <w:pPr>
        <w:spacing w:line="2853" w:lineRule="exact"/>
      </w:pPr>
      <w:r>
        <w:rPr>
          <w:position w:val="-57"/>
        </w:rPr>
        <w:drawing>
          <wp:inline distT="0" distB="0" distL="0" distR="0">
            <wp:extent cx="2531745" cy="181102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343"/>
                    <a:stretch>
                      <a:fillRect/>
                    </a:stretch>
                  </pic:blipFill>
                  <pic:spPr>
                    <a:xfrm>
                      <a:off x="0" y="0"/>
                      <a:ext cx="2532126" cy="1811413"/>
                    </a:xfrm>
                    <a:prstGeom prst="rect">
                      <a:avLst/>
                    </a:prstGeom>
                  </pic:spPr>
                </pic:pic>
              </a:graphicData>
            </a:graphic>
          </wp:inline>
        </w:drawing>
      </w:r>
    </w:p>
    <w:p w14:paraId="23546A6D">
      <w:pPr>
        <w:pStyle w:val="2"/>
        <w:spacing w:before="75" w:line="220" w:lineRule="auto"/>
        <w:ind w:left="800"/>
        <w:rPr>
          <w:sz w:val="24"/>
          <w:szCs w:val="24"/>
        </w:rPr>
      </w:pPr>
      <w:r>
        <w:rPr>
          <w:spacing w:val="-1"/>
          <w:sz w:val="24"/>
          <w:szCs w:val="24"/>
        </w:rPr>
        <w:t>移民安置点生活垃圾桶</w:t>
      </w:r>
    </w:p>
    <w:p w14:paraId="236D9ADA">
      <w:pPr>
        <w:spacing w:line="220" w:lineRule="auto"/>
        <w:rPr>
          <w:sz w:val="24"/>
          <w:szCs w:val="24"/>
        </w:rPr>
        <w:sectPr>
          <w:type w:val="continuous"/>
          <w:pgSz w:w="11907" w:h="16839"/>
          <w:pgMar w:top="1431" w:right="1785" w:bottom="0" w:left="1785" w:header="0" w:footer="0" w:gutter="0"/>
          <w:cols w:equalWidth="0" w:num="2">
            <w:col w:w="4204" w:space="100"/>
            <w:col w:w="4032"/>
          </w:cols>
        </w:sectPr>
      </w:pPr>
    </w:p>
    <w:p w14:paraId="5E600780">
      <w:pPr>
        <w:spacing w:line="41" w:lineRule="exact"/>
      </w:pPr>
    </w:p>
    <w:p w14:paraId="4E5880D7">
      <w:pPr>
        <w:spacing w:line="41" w:lineRule="exact"/>
        <w:sectPr>
          <w:type w:val="continuous"/>
          <w:pgSz w:w="11907" w:h="16839"/>
          <w:pgMar w:top="1431" w:right="1785" w:bottom="0" w:left="1785" w:header="0" w:footer="0" w:gutter="0"/>
          <w:cols w:equalWidth="0" w:num="1">
            <w:col w:w="8335"/>
          </w:cols>
        </w:sectPr>
      </w:pPr>
    </w:p>
    <w:p w14:paraId="3B087DF3">
      <w:pPr>
        <w:spacing w:line="2854" w:lineRule="exact"/>
        <w:ind w:firstLine="51"/>
      </w:pPr>
      <w:r>
        <w:rPr>
          <w:position w:val="-57"/>
        </w:rPr>
        <w:drawing>
          <wp:inline distT="0" distB="0" distL="0" distR="0">
            <wp:extent cx="2531745" cy="181229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344"/>
                    <a:stretch>
                      <a:fillRect/>
                    </a:stretch>
                  </pic:blipFill>
                  <pic:spPr>
                    <a:xfrm>
                      <a:off x="0" y="0"/>
                      <a:ext cx="2532126" cy="1812290"/>
                    </a:xfrm>
                    <a:prstGeom prst="rect">
                      <a:avLst/>
                    </a:prstGeom>
                  </pic:spPr>
                </pic:pic>
              </a:graphicData>
            </a:graphic>
          </wp:inline>
        </w:drawing>
      </w:r>
    </w:p>
    <w:p w14:paraId="7AB51AA0">
      <w:pPr>
        <w:pStyle w:val="2"/>
        <w:spacing w:before="76" w:line="185" w:lineRule="auto"/>
        <w:ind w:left="491"/>
        <w:rPr>
          <w:sz w:val="24"/>
          <w:szCs w:val="24"/>
        </w:rPr>
      </w:pPr>
      <w:r>
        <w:rPr>
          <w:spacing w:val="-1"/>
          <w:sz w:val="24"/>
          <w:szCs w:val="24"/>
        </w:rPr>
        <w:t>移民安置点生活垃圾收集设施</w:t>
      </w:r>
    </w:p>
    <w:p w14:paraId="299C9D9B">
      <w:pPr>
        <w:spacing w:line="14" w:lineRule="auto"/>
        <w:rPr>
          <w:rFonts w:ascii="Arial"/>
          <w:sz w:val="2"/>
        </w:rPr>
      </w:pPr>
      <w:r>
        <w:rPr>
          <w:rFonts w:ascii="Arial" w:hAnsi="Arial" w:eastAsia="Arial" w:cs="Arial"/>
          <w:sz w:val="2"/>
          <w:szCs w:val="2"/>
        </w:rPr>
        <w:br w:type="column"/>
      </w:r>
    </w:p>
    <w:p w14:paraId="77EC3FB8">
      <w:pPr>
        <w:spacing w:line="2853" w:lineRule="exact"/>
      </w:pPr>
      <w:r>
        <w:rPr>
          <w:position w:val="-57"/>
        </w:rPr>
        <w:drawing>
          <wp:inline distT="0" distB="0" distL="0" distR="0">
            <wp:extent cx="2531745" cy="181102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345"/>
                    <a:stretch>
                      <a:fillRect/>
                    </a:stretch>
                  </pic:blipFill>
                  <pic:spPr>
                    <a:xfrm>
                      <a:off x="0" y="0"/>
                      <a:ext cx="2532126" cy="1811413"/>
                    </a:xfrm>
                    <a:prstGeom prst="rect">
                      <a:avLst/>
                    </a:prstGeom>
                  </pic:spPr>
                </pic:pic>
              </a:graphicData>
            </a:graphic>
          </wp:inline>
        </w:drawing>
      </w:r>
    </w:p>
    <w:p w14:paraId="64F5C1EF">
      <w:pPr>
        <w:pStyle w:val="2"/>
        <w:spacing w:before="75" w:line="185" w:lineRule="auto"/>
        <w:ind w:left="440"/>
        <w:rPr>
          <w:sz w:val="24"/>
          <w:szCs w:val="24"/>
        </w:rPr>
      </w:pPr>
      <w:r>
        <w:rPr>
          <w:spacing w:val="-1"/>
          <w:sz w:val="24"/>
          <w:szCs w:val="24"/>
        </w:rPr>
        <w:t>移民安置点生活污水处理设施</w:t>
      </w:r>
    </w:p>
    <w:p w14:paraId="691034E7">
      <w:pPr>
        <w:spacing w:line="185" w:lineRule="auto"/>
        <w:rPr>
          <w:sz w:val="24"/>
          <w:szCs w:val="24"/>
        </w:rPr>
        <w:sectPr>
          <w:type w:val="continuous"/>
          <w:pgSz w:w="11907" w:h="16839"/>
          <w:pgMar w:top="1431" w:right="1785" w:bottom="0" w:left="1785" w:header="0" w:footer="0" w:gutter="0"/>
          <w:cols w:equalWidth="0" w:num="2">
            <w:col w:w="4204" w:space="100"/>
            <w:col w:w="4032"/>
          </w:cols>
        </w:sectPr>
      </w:pPr>
    </w:p>
    <w:p w14:paraId="1E766428">
      <w:pPr>
        <w:spacing w:line="454" w:lineRule="auto"/>
        <w:rPr>
          <w:rFonts w:ascii="Arial"/>
          <w:sz w:val="21"/>
        </w:rPr>
      </w:pPr>
    </w:p>
    <w:sdt>
      <w:sdtPr>
        <w:rPr>
          <w:rFonts w:ascii="仿宋" w:hAnsi="仿宋" w:eastAsia="仿宋" w:cs="仿宋"/>
          <w:sz w:val="24"/>
          <w:szCs w:val="24"/>
        </w:rPr>
        <w:id w:val="147467797"/>
        <w:docPartObj>
          <w:docPartGallery w:val="Table of Contents"/>
          <w:docPartUnique/>
        </w:docPartObj>
      </w:sdtPr>
      <w:sdtEndPr>
        <w:rPr>
          <w:rFonts w:ascii="Times New Roman" w:hAnsi="Times New Roman" w:eastAsia="Times New Roman" w:cs="Times New Roman"/>
          <w:sz w:val="24"/>
          <w:szCs w:val="24"/>
        </w:rPr>
      </w:sdtEndPr>
      <w:sdtContent>
        <w:p w14:paraId="20E4C93A">
          <w:pPr>
            <w:spacing w:before="78" w:line="219" w:lineRule="auto"/>
            <w:ind w:left="3978"/>
            <w:rPr>
              <w:rFonts w:ascii="仿宋" w:hAnsi="仿宋" w:eastAsia="仿宋" w:cs="仿宋"/>
              <w:sz w:val="24"/>
              <w:szCs w:val="24"/>
            </w:rPr>
          </w:pPr>
          <w:r>
            <w:rPr>
              <w:rFonts w:ascii="仿宋" w:hAnsi="仿宋" w:eastAsia="仿宋" w:cs="仿宋"/>
              <w:b/>
              <w:bCs/>
              <w:spacing w:val="-32"/>
              <w:sz w:val="24"/>
              <w:szCs w:val="24"/>
            </w:rPr>
            <w:t>目</w:t>
          </w:r>
          <w:r>
            <w:rPr>
              <w:rFonts w:ascii="仿宋" w:hAnsi="仿宋" w:eastAsia="仿宋" w:cs="仿宋"/>
              <w:spacing w:val="12"/>
              <w:sz w:val="24"/>
              <w:szCs w:val="24"/>
            </w:rPr>
            <w:t xml:space="preserve">  </w:t>
          </w:r>
          <w:r>
            <w:rPr>
              <w:rFonts w:ascii="仿宋" w:hAnsi="仿宋" w:eastAsia="仿宋" w:cs="仿宋"/>
              <w:b/>
              <w:bCs/>
              <w:spacing w:val="-32"/>
              <w:sz w:val="24"/>
              <w:szCs w:val="24"/>
            </w:rPr>
            <w:t>录</w:t>
          </w:r>
        </w:p>
        <w:p w14:paraId="2807D210">
          <w:pPr>
            <w:tabs>
              <w:tab w:val="right" w:leader="dot" w:pos="8524"/>
            </w:tabs>
            <w:spacing w:before="276" w:line="198" w:lineRule="auto"/>
            <w:ind w:left="531"/>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rFonts w:ascii="仿宋" w:hAnsi="仿宋" w:eastAsia="仿宋" w:cs="仿宋"/>
              <w:b/>
              <w:bCs/>
              <w:spacing w:val="-22"/>
              <w:sz w:val="24"/>
              <w:szCs w:val="24"/>
            </w:rPr>
            <w:t>前</w:t>
          </w:r>
          <w:r>
            <w:rPr>
              <w:rFonts w:ascii="仿宋" w:hAnsi="仿宋" w:eastAsia="仿宋" w:cs="仿宋"/>
              <w:spacing w:val="20"/>
              <w:sz w:val="24"/>
              <w:szCs w:val="24"/>
            </w:rPr>
            <w:t xml:space="preserve"> </w:t>
          </w:r>
          <w:r>
            <w:rPr>
              <w:rFonts w:ascii="仿宋" w:hAnsi="仿宋" w:eastAsia="仿宋" w:cs="仿宋"/>
              <w:b/>
              <w:bCs/>
              <w:spacing w:val="-22"/>
              <w:sz w:val="24"/>
              <w:szCs w:val="24"/>
            </w:rPr>
            <w:t>言</w:t>
          </w:r>
          <w:r>
            <w:rPr>
              <w:rFonts w:ascii="仿宋" w:hAnsi="仿宋" w:eastAsia="仿宋" w:cs="仿宋"/>
              <w:spacing w:val="-75"/>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1"/>
              <w:sz w:val="24"/>
              <w:szCs w:val="24"/>
            </w:rPr>
            <w:t>I</w:t>
          </w:r>
          <w:r>
            <w:rPr>
              <w:rFonts w:ascii="Times New Roman" w:hAnsi="Times New Roman" w:eastAsia="Times New Roman" w:cs="Times New Roman"/>
              <w:b/>
              <w:bCs/>
              <w:spacing w:val="21"/>
              <w:sz w:val="24"/>
              <w:szCs w:val="24"/>
            </w:rPr>
            <w:fldChar w:fldCharType="end"/>
          </w:r>
        </w:p>
        <w:p w14:paraId="0605B7D2">
          <w:pPr>
            <w:tabs>
              <w:tab w:val="right" w:leader="dot" w:pos="8524"/>
            </w:tabs>
            <w:spacing w:before="303" w:line="198" w:lineRule="auto"/>
            <w:ind w:left="528"/>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rFonts w:ascii="Times New Roman" w:hAnsi="Times New Roman" w:eastAsia="Times New Roman" w:cs="Times New Roman"/>
              <w:b/>
              <w:bCs/>
              <w:spacing w:val="-8"/>
              <w:sz w:val="24"/>
              <w:szCs w:val="24"/>
            </w:rPr>
            <w:t>1</w:t>
          </w:r>
          <w:r>
            <w:rPr>
              <w:rFonts w:ascii="Times New Roman" w:hAnsi="Times New Roman" w:eastAsia="Times New Roman" w:cs="Times New Roman"/>
              <w:b/>
              <w:bCs/>
              <w:spacing w:val="8"/>
              <w:sz w:val="24"/>
              <w:szCs w:val="24"/>
            </w:rPr>
            <w:t xml:space="preserve">  </w:t>
          </w:r>
          <w:r>
            <w:rPr>
              <w:rFonts w:ascii="仿宋" w:hAnsi="仿宋" w:eastAsia="仿宋" w:cs="仿宋"/>
              <w:b/>
              <w:bCs/>
              <w:spacing w:val="-8"/>
              <w:sz w:val="24"/>
              <w:szCs w:val="24"/>
            </w:rPr>
            <w:t>项目概况</w:t>
          </w:r>
          <w:r>
            <w:rPr>
              <w:rFonts w:ascii="仿宋" w:hAnsi="仿宋" w:eastAsia="仿宋" w:cs="仿宋"/>
              <w:spacing w:val="-77"/>
              <w:sz w:val="24"/>
              <w:szCs w:val="24"/>
            </w:rPr>
            <w:t xml:space="preserve"> </w:t>
          </w:r>
          <w:r>
            <w:rPr>
              <w:rFonts w:ascii="仿宋" w:hAnsi="仿宋" w:eastAsia="仿宋" w:cs="仿宋"/>
              <w:sz w:val="24"/>
              <w:szCs w:val="24"/>
            </w:rPr>
            <w:tab/>
          </w:r>
          <w:r>
            <w:rPr>
              <w:rFonts w:ascii="仿宋" w:hAnsi="仿宋" w:eastAsia="仿宋" w:cs="仿宋"/>
              <w:spacing w:val="-49"/>
              <w:sz w:val="24"/>
              <w:szCs w:val="24"/>
            </w:rPr>
            <w:t xml:space="preserve"> </w:t>
          </w:r>
          <w:r>
            <w:rPr>
              <w:rFonts w:ascii="Times New Roman" w:hAnsi="Times New Roman" w:eastAsia="Times New Roman" w:cs="Times New Roman"/>
              <w:b/>
              <w:bCs/>
              <w:sz w:val="24"/>
              <w:szCs w:val="24"/>
            </w:rPr>
            <w:t>1</w:t>
          </w:r>
          <w:r>
            <w:rPr>
              <w:rFonts w:ascii="Times New Roman" w:hAnsi="Times New Roman" w:eastAsia="Times New Roman" w:cs="Times New Roman"/>
              <w:b/>
              <w:bCs/>
              <w:sz w:val="24"/>
              <w:szCs w:val="24"/>
            </w:rPr>
            <w:fldChar w:fldCharType="end"/>
          </w:r>
        </w:p>
        <w:p w14:paraId="076965E4">
          <w:pPr>
            <w:tabs>
              <w:tab w:val="right" w:leader="dot" w:pos="8524"/>
            </w:tabs>
            <w:spacing w:before="301" w:line="198" w:lineRule="auto"/>
            <w:ind w:left="778"/>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Times New Roman" w:hAnsi="Times New Roman" w:eastAsia="Times New Roman" w:cs="Times New Roman"/>
              <w:spacing w:val="-6"/>
              <w:sz w:val="24"/>
              <w:szCs w:val="24"/>
            </w:rPr>
            <w:t>1.1</w:t>
          </w:r>
          <w:r>
            <w:rPr>
              <w:rFonts w:ascii="Times New Roman" w:hAnsi="Times New Roman" w:eastAsia="Times New Roman" w:cs="Times New Roman"/>
              <w:spacing w:val="59"/>
              <w:w w:val="101"/>
              <w:sz w:val="24"/>
              <w:szCs w:val="24"/>
            </w:rPr>
            <w:t xml:space="preserve"> </w:t>
          </w:r>
          <w:r>
            <w:rPr>
              <w:rFonts w:ascii="仿宋" w:hAnsi="仿宋" w:eastAsia="仿宋" w:cs="仿宋"/>
              <w:spacing w:val="-6"/>
              <w:sz w:val="24"/>
              <w:szCs w:val="24"/>
            </w:rPr>
            <w:t>项目基本情况</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37"/>
              <w:sz w:val="24"/>
              <w:szCs w:val="24"/>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z w:val="24"/>
              <w:szCs w:val="24"/>
            </w:rPr>
            <w:fldChar w:fldCharType="end"/>
          </w:r>
        </w:p>
        <w:p w14:paraId="34AF4808">
          <w:pPr>
            <w:tabs>
              <w:tab w:val="right" w:leader="dot" w:pos="8524"/>
            </w:tabs>
            <w:spacing w:before="183" w:line="198" w:lineRule="auto"/>
            <w:ind w:left="778"/>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Times New Roman" w:hAnsi="Times New Roman" w:eastAsia="Times New Roman" w:cs="Times New Roman"/>
              <w:spacing w:val="-4"/>
              <w:sz w:val="24"/>
              <w:szCs w:val="24"/>
            </w:rPr>
            <w:t>1.2</w:t>
          </w:r>
          <w:r>
            <w:rPr>
              <w:rFonts w:ascii="Times New Roman" w:hAnsi="Times New Roman" w:eastAsia="Times New Roman" w:cs="Times New Roman"/>
              <w:spacing w:val="61"/>
              <w:w w:val="101"/>
              <w:sz w:val="24"/>
              <w:szCs w:val="24"/>
            </w:rPr>
            <w:t xml:space="preserve"> </w:t>
          </w:r>
          <w:r>
            <w:rPr>
              <w:rFonts w:ascii="仿宋" w:hAnsi="仿宋" w:eastAsia="仿宋" w:cs="仿宋"/>
              <w:spacing w:val="-4"/>
              <w:sz w:val="24"/>
              <w:szCs w:val="24"/>
            </w:rPr>
            <w:t>环评文件编制及批复情况</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403D3A3C">
          <w:pPr>
            <w:tabs>
              <w:tab w:val="right" w:leader="dot" w:pos="8524"/>
            </w:tabs>
            <w:spacing w:before="181" w:line="198" w:lineRule="auto"/>
            <w:ind w:left="778"/>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Times New Roman" w:hAnsi="Times New Roman" w:eastAsia="Times New Roman" w:cs="Times New Roman"/>
              <w:spacing w:val="-4"/>
              <w:sz w:val="24"/>
              <w:szCs w:val="24"/>
            </w:rPr>
            <w:t>1.3</w:t>
          </w:r>
          <w:r>
            <w:rPr>
              <w:rFonts w:ascii="Times New Roman" w:hAnsi="Times New Roman" w:eastAsia="Times New Roman" w:cs="Times New Roman"/>
              <w:spacing w:val="61"/>
              <w:w w:val="101"/>
              <w:sz w:val="24"/>
              <w:szCs w:val="24"/>
            </w:rPr>
            <w:t xml:space="preserve"> </w:t>
          </w:r>
          <w:r>
            <w:rPr>
              <w:rFonts w:ascii="仿宋" w:hAnsi="仿宋" w:eastAsia="仿宋" w:cs="仿宋"/>
              <w:spacing w:val="-4"/>
              <w:sz w:val="24"/>
              <w:szCs w:val="24"/>
            </w:rPr>
            <w:t>工程开工时间及建设情况</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6A61D48E">
          <w:pPr>
            <w:tabs>
              <w:tab w:val="right" w:leader="dot" w:pos="8524"/>
            </w:tabs>
            <w:spacing w:before="183" w:line="198" w:lineRule="auto"/>
            <w:ind w:left="778"/>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3"/>
              <w:sz w:val="24"/>
              <w:szCs w:val="24"/>
            </w:rPr>
            <w:t>1.4</w:t>
          </w:r>
          <w:r>
            <w:rPr>
              <w:rFonts w:ascii="Times New Roman" w:hAnsi="Times New Roman" w:eastAsia="Times New Roman" w:cs="Times New Roman"/>
              <w:spacing w:val="53"/>
              <w:w w:val="101"/>
              <w:sz w:val="24"/>
              <w:szCs w:val="24"/>
            </w:rPr>
            <w:t xml:space="preserve"> </w:t>
          </w:r>
          <w:r>
            <w:rPr>
              <w:rFonts w:ascii="仿宋" w:hAnsi="仿宋" w:eastAsia="仿宋" w:cs="仿宋"/>
              <w:spacing w:val="-3"/>
              <w:sz w:val="24"/>
              <w:szCs w:val="24"/>
            </w:rPr>
            <w:t>验收调查工作由来及工作过程</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5E5E14E8">
          <w:pPr>
            <w:tabs>
              <w:tab w:val="right" w:leader="dot" w:pos="8524"/>
            </w:tabs>
            <w:spacing w:before="303" w:line="198" w:lineRule="auto"/>
            <w:ind w:left="518"/>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b/>
              <w:bCs/>
              <w:spacing w:val="-6"/>
              <w:sz w:val="24"/>
              <w:szCs w:val="24"/>
            </w:rPr>
            <w:t>2</w:t>
          </w:r>
          <w:r>
            <w:rPr>
              <w:rFonts w:ascii="Times New Roman" w:hAnsi="Times New Roman" w:eastAsia="Times New Roman" w:cs="Times New Roman"/>
              <w:b/>
              <w:bCs/>
              <w:spacing w:val="8"/>
              <w:sz w:val="24"/>
              <w:szCs w:val="24"/>
            </w:rPr>
            <w:t xml:space="preserve">  </w:t>
          </w:r>
          <w:r>
            <w:rPr>
              <w:rFonts w:ascii="仿宋" w:hAnsi="仿宋" w:eastAsia="仿宋" w:cs="仿宋"/>
              <w:b/>
              <w:bCs/>
              <w:spacing w:val="-6"/>
              <w:sz w:val="24"/>
              <w:szCs w:val="24"/>
            </w:rPr>
            <w:t>验收依据</w:t>
          </w:r>
          <w:r>
            <w:rPr>
              <w:rFonts w:ascii="仿宋" w:hAnsi="仿宋" w:eastAsia="仿宋" w:cs="仿宋"/>
              <w:spacing w:val="-77"/>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4"/>
              <w:w w:val="126"/>
              <w:sz w:val="24"/>
              <w:szCs w:val="24"/>
            </w:rPr>
            <w:t>4</w:t>
          </w:r>
          <w:r>
            <w:rPr>
              <w:rFonts w:ascii="Times New Roman" w:hAnsi="Times New Roman" w:eastAsia="Times New Roman" w:cs="Times New Roman"/>
              <w:b/>
              <w:bCs/>
              <w:spacing w:val="24"/>
              <w:w w:val="126"/>
              <w:sz w:val="24"/>
              <w:szCs w:val="24"/>
            </w:rPr>
            <w:fldChar w:fldCharType="end"/>
          </w:r>
        </w:p>
        <w:p w14:paraId="66BA6DA6">
          <w:pPr>
            <w:tabs>
              <w:tab w:val="right" w:leader="dot" w:pos="8524"/>
            </w:tabs>
            <w:spacing w:before="302" w:line="198" w:lineRule="auto"/>
            <w:ind w:left="755"/>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3"/>
              <w:sz w:val="24"/>
              <w:szCs w:val="24"/>
            </w:rPr>
            <w:t xml:space="preserve">2.1  </w:t>
          </w:r>
          <w:r>
            <w:rPr>
              <w:rFonts w:ascii="仿宋" w:hAnsi="仿宋" w:eastAsia="仿宋" w:cs="仿宋"/>
              <w:spacing w:val="-3"/>
              <w:sz w:val="24"/>
              <w:szCs w:val="24"/>
            </w:rPr>
            <w:t>法律、法规和规章制度</w:t>
          </w:r>
          <w:r>
            <w:rPr>
              <w:rFonts w:ascii="仿宋" w:hAnsi="仿宋" w:eastAsia="仿宋" w:cs="仿宋"/>
              <w:spacing w:val="-86"/>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7F59D4ED">
          <w:pPr>
            <w:tabs>
              <w:tab w:val="right" w:leader="dot" w:pos="8524"/>
            </w:tabs>
            <w:spacing w:before="183" w:line="198" w:lineRule="auto"/>
            <w:ind w:left="755"/>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3"/>
              <w:sz w:val="24"/>
              <w:szCs w:val="24"/>
            </w:rPr>
            <w:t>2.2</w:t>
          </w:r>
          <w:r>
            <w:rPr>
              <w:rFonts w:ascii="Times New Roman" w:hAnsi="Times New Roman" w:eastAsia="Times New Roman" w:cs="Times New Roman"/>
              <w:spacing w:val="58"/>
              <w:w w:val="101"/>
              <w:sz w:val="24"/>
              <w:szCs w:val="24"/>
            </w:rPr>
            <w:t xml:space="preserve"> </w:t>
          </w:r>
          <w:r>
            <w:rPr>
              <w:rFonts w:ascii="仿宋" w:hAnsi="仿宋" w:eastAsia="仿宋" w:cs="仿宋"/>
              <w:spacing w:val="-3"/>
              <w:sz w:val="24"/>
              <w:szCs w:val="24"/>
            </w:rPr>
            <w:t>技术规范和指南</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3812D45D">
          <w:pPr>
            <w:tabs>
              <w:tab w:val="right" w:leader="dot" w:pos="8524"/>
            </w:tabs>
            <w:spacing w:before="183" w:line="198" w:lineRule="auto"/>
            <w:ind w:left="755"/>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2"/>
              <w:sz w:val="24"/>
              <w:szCs w:val="24"/>
            </w:rPr>
            <w:t>2.3</w:t>
          </w:r>
          <w:r>
            <w:rPr>
              <w:rFonts w:ascii="Times New Roman" w:hAnsi="Times New Roman" w:eastAsia="Times New Roman" w:cs="Times New Roman"/>
              <w:spacing w:val="60"/>
              <w:w w:val="101"/>
              <w:sz w:val="24"/>
              <w:szCs w:val="24"/>
            </w:rPr>
            <w:t xml:space="preserve"> </w:t>
          </w:r>
          <w:r>
            <w:rPr>
              <w:rFonts w:ascii="仿宋" w:hAnsi="仿宋" w:eastAsia="仿宋" w:cs="仿宋"/>
              <w:spacing w:val="-2"/>
              <w:sz w:val="24"/>
              <w:szCs w:val="24"/>
            </w:rPr>
            <w:t>环境影响报告书及环保部批复</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41386CFE">
          <w:pPr>
            <w:tabs>
              <w:tab w:val="right" w:leader="dot" w:pos="8524"/>
            </w:tabs>
            <w:spacing w:before="182" w:line="198" w:lineRule="auto"/>
            <w:ind w:left="755"/>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3"/>
              <w:sz w:val="24"/>
              <w:szCs w:val="24"/>
            </w:rPr>
            <w:t>2.4</w:t>
          </w:r>
          <w:r>
            <w:rPr>
              <w:rFonts w:ascii="Times New Roman" w:hAnsi="Times New Roman" w:eastAsia="Times New Roman" w:cs="Times New Roman"/>
              <w:spacing w:val="55"/>
              <w:w w:val="101"/>
              <w:sz w:val="24"/>
              <w:szCs w:val="24"/>
            </w:rPr>
            <w:t xml:space="preserve"> </w:t>
          </w:r>
          <w:r>
            <w:rPr>
              <w:rFonts w:ascii="仿宋" w:hAnsi="仿宋" w:eastAsia="仿宋" w:cs="仿宋"/>
              <w:spacing w:val="-3"/>
              <w:sz w:val="24"/>
              <w:szCs w:val="24"/>
            </w:rPr>
            <w:t>其它相关文件</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7F8FA84D">
          <w:pPr>
            <w:tabs>
              <w:tab w:val="right" w:leader="dot" w:pos="8524"/>
            </w:tabs>
            <w:spacing w:before="303" w:line="198" w:lineRule="auto"/>
            <w:ind w:left="516"/>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b/>
              <w:bCs/>
              <w:spacing w:val="-2"/>
              <w:sz w:val="24"/>
              <w:szCs w:val="24"/>
            </w:rPr>
            <w:t xml:space="preserve">3  </w:t>
          </w:r>
          <w:r>
            <w:rPr>
              <w:rFonts w:ascii="仿宋" w:hAnsi="仿宋" w:eastAsia="仿宋" w:cs="仿宋"/>
              <w:b/>
              <w:bCs/>
              <w:spacing w:val="-2"/>
              <w:sz w:val="24"/>
              <w:szCs w:val="24"/>
            </w:rPr>
            <w:t>项目建设情况调查</w:t>
          </w:r>
          <w:r>
            <w:rPr>
              <w:rFonts w:ascii="仿宋" w:hAnsi="仿宋" w:eastAsia="仿宋" w:cs="仿宋"/>
              <w:spacing w:val="-77"/>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5"/>
              <w:w w:val="125"/>
              <w:sz w:val="24"/>
              <w:szCs w:val="24"/>
            </w:rPr>
            <w:t>8</w:t>
          </w:r>
          <w:r>
            <w:rPr>
              <w:rFonts w:ascii="Times New Roman" w:hAnsi="Times New Roman" w:eastAsia="Times New Roman" w:cs="Times New Roman"/>
              <w:b/>
              <w:bCs/>
              <w:spacing w:val="25"/>
              <w:w w:val="125"/>
              <w:sz w:val="24"/>
              <w:szCs w:val="24"/>
            </w:rPr>
            <w:fldChar w:fldCharType="end"/>
          </w:r>
        </w:p>
        <w:p w14:paraId="00D9B4FA">
          <w:pPr>
            <w:tabs>
              <w:tab w:val="right" w:leader="dot" w:pos="8524"/>
            </w:tabs>
            <w:spacing w:before="303" w:line="198" w:lineRule="auto"/>
            <w:ind w:left="759"/>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Times New Roman" w:hAnsi="Times New Roman" w:eastAsia="Times New Roman" w:cs="Times New Roman"/>
              <w:spacing w:val="-4"/>
              <w:sz w:val="24"/>
              <w:szCs w:val="24"/>
            </w:rPr>
            <w:t>3.1</w:t>
          </w:r>
          <w:r>
            <w:rPr>
              <w:rFonts w:ascii="Times New Roman" w:hAnsi="Times New Roman" w:eastAsia="Times New Roman" w:cs="Times New Roman"/>
              <w:spacing w:val="59"/>
              <w:w w:val="101"/>
              <w:sz w:val="24"/>
              <w:szCs w:val="24"/>
            </w:rPr>
            <w:t xml:space="preserve"> </w:t>
          </w:r>
          <w:r>
            <w:rPr>
              <w:rFonts w:ascii="仿宋" w:hAnsi="仿宋" w:eastAsia="仿宋" w:cs="仿宋"/>
              <w:spacing w:val="-4"/>
              <w:sz w:val="24"/>
              <w:szCs w:val="24"/>
            </w:rPr>
            <w:t>项目建设内容</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0"/>
              <w:sz w:val="24"/>
              <w:szCs w:val="24"/>
            </w:rPr>
            <w:t xml:space="preserve"> </w:t>
          </w:r>
          <w:r>
            <w:rPr>
              <w:rFonts w:ascii="Times New Roman" w:hAnsi="Times New Roman" w:eastAsia="Times New Roman" w:cs="Times New Roman"/>
              <w:sz w:val="24"/>
              <w:szCs w:val="24"/>
            </w:rPr>
            <w:t>8</w:t>
          </w:r>
          <w:r>
            <w:rPr>
              <w:rFonts w:ascii="Times New Roman" w:hAnsi="Times New Roman" w:eastAsia="Times New Roman" w:cs="Times New Roman"/>
              <w:sz w:val="24"/>
              <w:szCs w:val="24"/>
            </w:rPr>
            <w:fldChar w:fldCharType="end"/>
          </w:r>
        </w:p>
        <w:p w14:paraId="176949EB">
          <w:pPr>
            <w:tabs>
              <w:tab w:val="right" w:leader="dot" w:pos="8524"/>
            </w:tabs>
            <w:spacing w:before="182" w:line="198" w:lineRule="auto"/>
            <w:ind w:left="759"/>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59"/>
              <w:w w:val="101"/>
              <w:sz w:val="24"/>
              <w:szCs w:val="24"/>
            </w:rPr>
            <w:t xml:space="preserve"> </w:t>
          </w:r>
          <w:r>
            <w:rPr>
              <w:rFonts w:ascii="仿宋" w:hAnsi="仿宋" w:eastAsia="仿宋" w:cs="仿宋"/>
              <w:spacing w:val="-4"/>
              <w:sz w:val="24"/>
              <w:szCs w:val="24"/>
            </w:rPr>
            <w:t>项目建设过程</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2"/>
              <w:sz w:val="24"/>
              <w:szCs w:val="24"/>
            </w:rPr>
            <w:t>21</w:t>
          </w:r>
          <w:r>
            <w:rPr>
              <w:rFonts w:ascii="Times New Roman" w:hAnsi="Times New Roman" w:eastAsia="Times New Roman" w:cs="Times New Roman"/>
              <w:spacing w:val="-2"/>
              <w:sz w:val="24"/>
              <w:szCs w:val="24"/>
            </w:rPr>
            <w:fldChar w:fldCharType="end"/>
          </w:r>
        </w:p>
        <w:p w14:paraId="2FE18774">
          <w:pPr>
            <w:tabs>
              <w:tab w:val="right" w:leader="dot" w:pos="8524"/>
            </w:tabs>
            <w:spacing w:before="183" w:line="198" w:lineRule="auto"/>
            <w:ind w:left="759"/>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Times New Roman" w:hAnsi="Times New Roman" w:eastAsia="Times New Roman" w:cs="Times New Roman"/>
              <w:spacing w:val="-4"/>
              <w:sz w:val="24"/>
              <w:szCs w:val="24"/>
            </w:rPr>
            <w:t>3.3</w:t>
          </w:r>
          <w:r>
            <w:rPr>
              <w:rFonts w:ascii="Times New Roman" w:hAnsi="Times New Roman" w:eastAsia="Times New Roman" w:cs="Times New Roman"/>
              <w:spacing w:val="59"/>
              <w:w w:val="101"/>
              <w:sz w:val="24"/>
              <w:szCs w:val="24"/>
            </w:rPr>
            <w:t xml:space="preserve"> </w:t>
          </w:r>
          <w:r>
            <w:rPr>
              <w:rFonts w:ascii="仿宋" w:hAnsi="仿宋" w:eastAsia="仿宋" w:cs="仿宋"/>
              <w:spacing w:val="-4"/>
              <w:sz w:val="24"/>
              <w:szCs w:val="24"/>
            </w:rPr>
            <w:t>项目变动情况</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2"/>
              <w:sz w:val="24"/>
              <w:szCs w:val="24"/>
            </w:rPr>
            <w:t>24</w:t>
          </w:r>
          <w:r>
            <w:rPr>
              <w:rFonts w:ascii="Times New Roman" w:hAnsi="Times New Roman" w:eastAsia="Times New Roman" w:cs="Times New Roman"/>
              <w:spacing w:val="-2"/>
              <w:sz w:val="24"/>
              <w:szCs w:val="24"/>
            </w:rPr>
            <w:fldChar w:fldCharType="end"/>
          </w:r>
        </w:p>
        <w:p w14:paraId="20B5806D">
          <w:pPr>
            <w:tabs>
              <w:tab w:val="right" w:leader="dot" w:pos="8524"/>
            </w:tabs>
            <w:spacing w:before="183" w:line="198" w:lineRule="auto"/>
            <w:ind w:left="759"/>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Times New Roman" w:hAnsi="Times New Roman" w:eastAsia="Times New Roman" w:cs="Times New Roman"/>
              <w:spacing w:val="-4"/>
              <w:sz w:val="24"/>
              <w:szCs w:val="24"/>
            </w:rPr>
            <w:t>3.4</w:t>
          </w:r>
          <w:r>
            <w:rPr>
              <w:rFonts w:ascii="Times New Roman" w:hAnsi="Times New Roman" w:eastAsia="Times New Roman" w:cs="Times New Roman"/>
              <w:spacing w:val="59"/>
              <w:w w:val="101"/>
              <w:sz w:val="24"/>
              <w:szCs w:val="24"/>
            </w:rPr>
            <w:t xml:space="preserve"> </w:t>
          </w:r>
          <w:r>
            <w:rPr>
              <w:rFonts w:ascii="仿宋" w:hAnsi="仿宋" w:eastAsia="仿宋" w:cs="仿宋"/>
              <w:spacing w:val="-4"/>
              <w:sz w:val="24"/>
              <w:szCs w:val="24"/>
            </w:rPr>
            <w:t>项目验收工况</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2"/>
              <w:sz w:val="24"/>
              <w:szCs w:val="24"/>
            </w:rPr>
            <w:t>28</w:t>
          </w:r>
          <w:r>
            <w:rPr>
              <w:rFonts w:ascii="Times New Roman" w:hAnsi="Times New Roman" w:eastAsia="Times New Roman" w:cs="Times New Roman"/>
              <w:spacing w:val="-2"/>
              <w:sz w:val="24"/>
              <w:szCs w:val="24"/>
            </w:rPr>
            <w:fldChar w:fldCharType="end"/>
          </w:r>
        </w:p>
        <w:p w14:paraId="2B121A03">
          <w:pPr>
            <w:tabs>
              <w:tab w:val="right" w:leader="dot" w:pos="8524"/>
            </w:tabs>
            <w:spacing w:before="303" w:line="198" w:lineRule="auto"/>
            <w:ind w:left="518"/>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Times New Roman" w:hAnsi="Times New Roman" w:eastAsia="Times New Roman" w:cs="Times New Roman"/>
              <w:b/>
              <w:bCs/>
              <w:spacing w:val="-5"/>
              <w:sz w:val="24"/>
              <w:szCs w:val="24"/>
            </w:rPr>
            <w:t>4</w:t>
          </w:r>
          <w:r>
            <w:rPr>
              <w:rFonts w:ascii="Times New Roman" w:hAnsi="Times New Roman" w:eastAsia="Times New Roman" w:cs="Times New Roman"/>
              <w:b/>
              <w:bCs/>
              <w:spacing w:val="8"/>
              <w:sz w:val="24"/>
              <w:szCs w:val="24"/>
            </w:rPr>
            <w:t xml:space="preserve">  </w:t>
          </w:r>
          <w:r>
            <w:rPr>
              <w:rFonts w:ascii="仿宋" w:hAnsi="仿宋" w:eastAsia="仿宋" w:cs="仿宋"/>
              <w:b/>
              <w:bCs/>
              <w:spacing w:val="-5"/>
              <w:sz w:val="24"/>
              <w:szCs w:val="24"/>
            </w:rPr>
            <w:t>验收调查依据</w:t>
          </w:r>
          <w:r>
            <w:rPr>
              <w:rFonts w:ascii="仿宋" w:hAnsi="仿宋" w:eastAsia="仿宋" w:cs="仿宋"/>
              <w:spacing w:val="-77"/>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7"/>
              <w:sz w:val="24"/>
              <w:szCs w:val="24"/>
            </w:rPr>
            <w:t>36</w:t>
          </w:r>
          <w:r>
            <w:rPr>
              <w:rFonts w:ascii="Times New Roman" w:hAnsi="Times New Roman" w:eastAsia="Times New Roman" w:cs="Times New Roman"/>
              <w:b/>
              <w:bCs/>
              <w:spacing w:val="27"/>
              <w:sz w:val="24"/>
              <w:szCs w:val="24"/>
            </w:rPr>
            <w:fldChar w:fldCharType="end"/>
          </w:r>
        </w:p>
        <w:p w14:paraId="6F89B47D">
          <w:pPr>
            <w:tabs>
              <w:tab w:val="right" w:leader="dot" w:pos="8524"/>
            </w:tabs>
            <w:spacing w:before="302" w:line="198" w:lineRule="auto"/>
            <w:ind w:left="753"/>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Times New Roman" w:hAnsi="Times New Roman" w:eastAsia="Times New Roman" w:cs="Times New Roman"/>
              <w:spacing w:val="-2"/>
              <w:sz w:val="24"/>
              <w:szCs w:val="24"/>
            </w:rPr>
            <w:t>4.1</w:t>
          </w:r>
          <w:r>
            <w:rPr>
              <w:rFonts w:ascii="Times New Roman" w:hAnsi="Times New Roman" w:eastAsia="Times New Roman" w:cs="Times New Roman"/>
              <w:spacing w:val="59"/>
              <w:w w:val="101"/>
              <w:sz w:val="24"/>
              <w:szCs w:val="24"/>
            </w:rPr>
            <w:t xml:space="preserve"> </w:t>
          </w:r>
          <w:r>
            <w:rPr>
              <w:rFonts w:ascii="仿宋" w:hAnsi="仿宋" w:eastAsia="仿宋" w:cs="仿宋"/>
              <w:spacing w:val="-2"/>
              <w:sz w:val="24"/>
              <w:szCs w:val="24"/>
            </w:rPr>
            <w:t>环境报告书主要结论与建议</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36</w:t>
          </w:r>
          <w:r>
            <w:rPr>
              <w:rFonts w:ascii="Times New Roman" w:hAnsi="Times New Roman" w:eastAsia="Times New Roman" w:cs="Times New Roman"/>
              <w:spacing w:val="-3"/>
              <w:sz w:val="24"/>
              <w:szCs w:val="24"/>
            </w:rPr>
            <w:fldChar w:fldCharType="end"/>
          </w:r>
        </w:p>
        <w:p w14:paraId="2095620B">
          <w:pPr>
            <w:tabs>
              <w:tab w:val="right" w:leader="dot" w:pos="8524"/>
            </w:tabs>
            <w:spacing w:before="183" w:line="198" w:lineRule="auto"/>
            <w:ind w:left="753"/>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Times New Roman" w:hAnsi="Times New Roman" w:eastAsia="Times New Roman" w:cs="Times New Roman"/>
              <w:spacing w:val="-3"/>
              <w:sz w:val="24"/>
              <w:szCs w:val="24"/>
            </w:rPr>
            <w:t>4.2</w:t>
          </w:r>
          <w:r>
            <w:rPr>
              <w:rFonts w:ascii="Times New Roman" w:hAnsi="Times New Roman" w:eastAsia="Times New Roman" w:cs="Times New Roman"/>
              <w:spacing w:val="59"/>
              <w:w w:val="101"/>
              <w:sz w:val="24"/>
              <w:szCs w:val="24"/>
            </w:rPr>
            <w:t xml:space="preserve"> </w:t>
          </w:r>
          <w:r>
            <w:rPr>
              <w:rFonts w:ascii="仿宋" w:hAnsi="仿宋" w:eastAsia="仿宋" w:cs="仿宋"/>
              <w:spacing w:val="-3"/>
              <w:sz w:val="24"/>
              <w:szCs w:val="24"/>
            </w:rPr>
            <w:t>环保部审批决定</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37</w:t>
          </w:r>
          <w:r>
            <w:rPr>
              <w:rFonts w:ascii="Times New Roman" w:hAnsi="Times New Roman" w:eastAsia="Times New Roman" w:cs="Times New Roman"/>
              <w:spacing w:val="-3"/>
              <w:sz w:val="24"/>
              <w:szCs w:val="24"/>
            </w:rPr>
            <w:fldChar w:fldCharType="end"/>
          </w:r>
        </w:p>
        <w:p w14:paraId="29C71D85">
          <w:pPr>
            <w:tabs>
              <w:tab w:val="right" w:leader="dot" w:pos="8524"/>
            </w:tabs>
            <w:spacing w:before="182" w:line="198" w:lineRule="auto"/>
            <w:ind w:left="753"/>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3"/>
              <w:sz w:val="24"/>
              <w:szCs w:val="24"/>
            </w:rPr>
            <w:t>4.3</w:t>
          </w:r>
          <w:r>
            <w:rPr>
              <w:rFonts w:ascii="Times New Roman" w:hAnsi="Times New Roman" w:eastAsia="Times New Roman" w:cs="Times New Roman"/>
              <w:spacing w:val="56"/>
              <w:w w:val="101"/>
              <w:sz w:val="24"/>
              <w:szCs w:val="24"/>
            </w:rPr>
            <w:t xml:space="preserve"> </w:t>
          </w:r>
          <w:r>
            <w:rPr>
              <w:rFonts w:ascii="仿宋" w:hAnsi="仿宋" w:eastAsia="仿宋" w:cs="仿宋"/>
              <w:spacing w:val="-3"/>
              <w:sz w:val="24"/>
              <w:szCs w:val="24"/>
            </w:rPr>
            <w:t>验收执行标准</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39</w:t>
          </w:r>
          <w:r>
            <w:rPr>
              <w:rFonts w:ascii="Times New Roman" w:hAnsi="Times New Roman" w:eastAsia="Times New Roman" w:cs="Times New Roman"/>
              <w:spacing w:val="-3"/>
              <w:sz w:val="24"/>
              <w:szCs w:val="24"/>
            </w:rPr>
            <w:fldChar w:fldCharType="end"/>
          </w:r>
        </w:p>
        <w:p w14:paraId="748F0F1C">
          <w:pPr>
            <w:tabs>
              <w:tab w:val="right" w:leader="dot" w:pos="8524"/>
            </w:tabs>
            <w:spacing w:before="303" w:line="198" w:lineRule="auto"/>
            <w:ind w:left="520"/>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b/>
              <w:bCs/>
              <w:spacing w:val="-3"/>
              <w:sz w:val="24"/>
              <w:szCs w:val="24"/>
            </w:rPr>
            <w:t xml:space="preserve">5  </w:t>
          </w:r>
          <w:r>
            <w:rPr>
              <w:rFonts w:ascii="仿宋" w:hAnsi="仿宋" w:eastAsia="仿宋" w:cs="仿宋"/>
              <w:b/>
              <w:bCs/>
              <w:spacing w:val="-3"/>
              <w:sz w:val="24"/>
              <w:szCs w:val="24"/>
            </w:rPr>
            <w:t>环境保护设施调查</w:t>
          </w:r>
          <w:r>
            <w:rPr>
              <w:rFonts w:ascii="仿宋" w:hAnsi="仿宋" w:eastAsia="仿宋" w:cs="仿宋"/>
              <w:spacing w:val="-70"/>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7"/>
              <w:sz w:val="24"/>
              <w:szCs w:val="24"/>
            </w:rPr>
            <w:t>41</w:t>
          </w:r>
          <w:r>
            <w:rPr>
              <w:rFonts w:ascii="Times New Roman" w:hAnsi="Times New Roman" w:eastAsia="Times New Roman" w:cs="Times New Roman"/>
              <w:b/>
              <w:bCs/>
              <w:spacing w:val="27"/>
              <w:sz w:val="24"/>
              <w:szCs w:val="24"/>
            </w:rPr>
            <w:fldChar w:fldCharType="end"/>
          </w:r>
        </w:p>
        <w:p w14:paraId="64A34D54">
          <w:pPr>
            <w:tabs>
              <w:tab w:val="right" w:leader="dot" w:pos="8524"/>
            </w:tabs>
            <w:spacing w:before="303" w:line="198" w:lineRule="auto"/>
            <w:ind w:left="761"/>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Times New Roman" w:hAnsi="Times New Roman" w:eastAsia="Times New Roman" w:cs="Times New Roman"/>
              <w:spacing w:val="-3"/>
              <w:sz w:val="24"/>
              <w:szCs w:val="24"/>
            </w:rPr>
            <w:t xml:space="preserve">5.1  </w:t>
          </w:r>
          <w:r>
            <w:rPr>
              <w:rFonts w:ascii="仿宋" w:hAnsi="仿宋" w:eastAsia="仿宋" w:cs="仿宋"/>
              <w:spacing w:val="-3"/>
              <w:sz w:val="24"/>
              <w:szCs w:val="24"/>
            </w:rPr>
            <w:t>生态保护工程和设施</w:t>
          </w:r>
          <w:r>
            <w:rPr>
              <w:rFonts w:ascii="仿宋" w:hAnsi="仿宋" w:eastAsia="仿宋" w:cs="仿宋"/>
              <w:spacing w:val="-95"/>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1"/>
              <w:sz w:val="24"/>
              <w:szCs w:val="24"/>
            </w:rPr>
            <w:t>41</w:t>
          </w:r>
          <w:r>
            <w:rPr>
              <w:rFonts w:ascii="Times New Roman" w:hAnsi="Times New Roman" w:eastAsia="Times New Roman" w:cs="Times New Roman"/>
              <w:spacing w:val="-1"/>
              <w:sz w:val="24"/>
              <w:szCs w:val="24"/>
            </w:rPr>
            <w:fldChar w:fldCharType="end"/>
          </w:r>
        </w:p>
        <w:p w14:paraId="6585746D">
          <w:pPr>
            <w:tabs>
              <w:tab w:val="right" w:leader="dot" w:pos="8524"/>
            </w:tabs>
            <w:spacing w:before="182" w:line="198" w:lineRule="auto"/>
            <w:ind w:left="761"/>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pacing w:val="-3"/>
              <w:sz w:val="24"/>
              <w:szCs w:val="24"/>
            </w:rPr>
            <w:t>5.2</w:t>
          </w:r>
          <w:r>
            <w:rPr>
              <w:rFonts w:ascii="Times New Roman" w:hAnsi="Times New Roman" w:eastAsia="Times New Roman" w:cs="Times New Roman"/>
              <w:spacing w:val="58"/>
              <w:sz w:val="24"/>
              <w:szCs w:val="24"/>
            </w:rPr>
            <w:t xml:space="preserve"> </w:t>
          </w:r>
          <w:r>
            <w:rPr>
              <w:rFonts w:ascii="仿宋" w:hAnsi="仿宋" w:eastAsia="仿宋" w:cs="仿宋"/>
              <w:spacing w:val="-3"/>
              <w:sz w:val="24"/>
              <w:szCs w:val="24"/>
            </w:rPr>
            <w:t>污染防治和处置设施</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3"/>
              <w:sz w:val="24"/>
              <w:szCs w:val="24"/>
            </w:rPr>
            <w:t>57</w:t>
          </w:r>
          <w:r>
            <w:rPr>
              <w:rFonts w:ascii="Times New Roman" w:hAnsi="Times New Roman" w:eastAsia="Times New Roman" w:cs="Times New Roman"/>
              <w:spacing w:val="-3"/>
              <w:sz w:val="24"/>
              <w:szCs w:val="24"/>
            </w:rPr>
            <w:fldChar w:fldCharType="end"/>
          </w:r>
        </w:p>
        <w:p w14:paraId="16678C69">
          <w:pPr>
            <w:tabs>
              <w:tab w:val="right" w:leader="dot" w:pos="8524"/>
            </w:tabs>
            <w:spacing w:before="183" w:line="198" w:lineRule="auto"/>
            <w:ind w:left="761"/>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Times New Roman" w:hAnsi="Times New Roman" w:eastAsia="Times New Roman" w:cs="Times New Roman"/>
              <w:spacing w:val="-3"/>
              <w:sz w:val="24"/>
              <w:szCs w:val="24"/>
            </w:rPr>
            <w:t>5.3</w:t>
          </w:r>
          <w:r>
            <w:rPr>
              <w:rFonts w:ascii="Times New Roman" w:hAnsi="Times New Roman" w:eastAsia="Times New Roman" w:cs="Times New Roman"/>
              <w:spacing w:val="55"/>
              <w:sz w:val="24"/>
              <w:szCs w:val="24"/>
            </w:rPr>
            <w:t xml:space="preserve"> </w:t>
          </w:r>
          <w:r>
            <w:rPr>
              <w:rFonts w:ascii="仿宋" w:hAnsi="仿宋" w:eastAsia="仿宋" w:cs="仿宋"/>
              <w:spacing w:val="-3"/>
              <w:sz w:val="24"/>
              <w:szCs w:val="24"/>
            </w:rPr>
            <w:t>其它环境保护设施</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56"/>
              <w:sz w:val="24"/>
              <w:szCs w:val="24"/>
            </w:rPr>
            <w:t xml:space="preserve"> </w:t>
          </w:r>
          <w:r>
            <w:rPr>
              <w:rFonts w:ascii="Times New Roman" w:hAnsi="Times New Roman" w:eastAsia="Times New Roman" w:cs="Times New Roman"/>
              <w:spacing w:val="-3"/>
              <w:sz w:val="24"/>
              <w:szCs w:val="24"/>
            </w:rPr>
            <w:t>78</w:t>
          </w:r>
          <w:r>
            <w:rPr>
              <w:rFonts w:ascii="Times New Roman" w:hAnsi="Times New Roman" w:eastAsia="Times New Roman" w:cs="Times New Roman"/>
              <w:spacing w:val="-3"/>
              <w:sz w:val="24"/>
              <w:szCs w:val="24"/>
            </w:rPr>
            <w:fldChar w:fldCharType="end"/>
          </w:r>
        </w:p>
        <w:p w14:paraId="0A1DA89A">
          <w:pPr>
            <w:tabs>
              <w:tab w:val="right" w:leader="dot" w:pos="8524"/>
            </w:tabs>
            <w:spacing w:before="183" w:line="230" w:lineRule="auto"/>
            <w:ind w:left="761"/>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Times New Roman" w:hAnsi="Times New Roman" w:eastAsia="Times New Roman" w:cs="Times New Roman"/>
              <w:spacing w:val="-4"/>
              <w:sz w:val="24"/>
              <w:szCs w:val="24"/>
            </w:rPr>
            <w:t>5.4</w:t>
          </w:r>
          <w:r>
            <w:rPr>
              <w:rFonts w:ascii="Times New Roman" w:hAnsi="Times New Roman" w:eastAsia="Times New Roman" w:cs="Times New Roman"/>
              <w:spacing w:val="57"/>
              <w:sz w:val="24"/>
              <w:szCs w:val="24"/>
            </w:rPr>
            <w:t xml:space="preserve"> </w:t>
          </w:r>
          <w:r>
            <w:rPr>
              <w:rFonts w:ascii="仿宋" w:hAnsi="仿宋" w:eastAsia="仿宋" w:cs="仿宋"/>
              <w:spacing w:val="-4"/>
              <w:sz w:val="24"/>
              <w:szCs w:val="24"/>
            </w:rPr>
            <w:t>环境保护设施投资及</w:t>
          </w:r>
          <w:r>
            <w:rPr>
              <w:rFonts w:ascii="Times New Roman" w:hAnsi="Times New Roman" w:eastAsia="Times New Roman" w:cs="Times New Roman"/>
              <w:spacing w:val="-4"/>
              <w:sz w:val="24"/>
              <w:szCs w:val="24"/>
            </w:rPr>
            <w:t>“</w:t>
          </w:r>
          <w:r>
            <w:rPr>
              <w:rFonts w:ascii="Times New Roman" w:hAnsi="Times New Roman" w:eastAsia="Times New Roman" w:cs="Times New Roman"/>
              <w:spacing w:val="-38"/>
              <w:sz w:val="24"/>
              <w:szCs w:val="24"/>
            </w:rPr>
            <w:t xml:space="preserve"> </w:t>
          </w:r>
          <w:r>
            <w:rPr>
              <w:rFonts w:ascii="仿宋" w:hAnsi="仿宋" w:eastAsia="仿宋" w:cs="仿宋"/>
              <w:spacing w:val="-4"/>
              <w:sz w:val="24"/>
              <w:szCs w:val="24"/>
            </w:rPr>
            <w:t>三同时</w:t>
          </w:r>
          <w:r>
            <w:rPr>
              <w:rFonts w:ascii="Times New Roman" w:hAnsi="Times New Roman" w:eastAsia="Times New Roman" w:cs="Times New Roman"/>
              <w:spacing w:val="-4"/>
              <w:sz w:val="24"/>
              <w:szCs w:val="24"/>
            </w:rPr>
            <w:t>”</w:t>
          </w:r>
          <w:r>
            <w:rPr>
              <w:rFonts w:ascii="Times New Roman" w:hAnsi="Times New Roman" w:eastAsia="Times New Roman" w:cs="Times New Roman"/>
              <w:spacing w:val="-32"/>
              <w:sz w:val="24"/>
              <w:szCs w:val="24"/>
            </w:rPr>
            <w:t xml:space="preserve"> </w:t>
          </w:r>
          <w:r>
            <w:rPr>
              <w:rFonts w:ascii="仿宋" w:hAnsi="仿宋" w:eastAsia="仿宋" w:cs="仿宋"/>
              <w:spacing w:val="-4"/>
              <w:sz w:val="24"/>
              <w:szCs w:val="24"/>
            </w:rPr>
            <w:t>落实情况</w:t>
          </w:r>
          <w:r>
            <w:rPr>
              <w:rFonts w:ascii="仿宋" w:hAnsi="仿宋" w:eastAsia="仿宋" w:cs="仿宋"/>
              <w:spacing w:val="-73"/>
              <w:sz w:val="24"/>
              <w:szCs w:val="24"/>
            </w:rPr>
            <w:t xml:space="preserve"> </w:t>
          </w:r>
          <w:r>
            <w:rPr>
              <w:rFonts w:ascii="仿宋" w:hAnsi="仿宋" w:eastAsia="仿宋" w:cs="仿宋"/>
              <w:sz w:val="24"/>
              <w:szCs w:val="24"/>
            </w:rPr>
            <w:tab/>
          </w:r>
          <w:r>
            <w:rPr>
              <w:rFonts w:ascii="仿宋" w:hAnsi="仿宋" w:eastAsia="仿宋" w:cs="仿宋"/>
              <w:spacing w:val="-56"/>
              <w:sz w:val="24"/>
              <w:szCs w:val="24"/>
            </w:rPr>
            <w:t xml:space="preserve"> </w:t>
          </w:r>
          <w:r>
            <w:rPr>
              <w:rFonts w:ascii="Times New Roman" w:hAnsi="Times New Roman" w:eastAsia="Times New Roman" w:cs="Times New Roman"/>
              <w:spacing w:val="-3"/>
              <w:sz w:val="24"/>
              <w:szCs w:val="24"/>
            </w:rPr>
            <w:t>79</w:t>
          </w:r>
          <w:r>
            <w:rPr>
              <w:rFonts w:ascii="Times New Roman" w:hAnsi="Times New Roman" w:eastAsia="Times New Roman" w:cs="Times New Roman"/>
              <w:spacing w:val="-3"/>
              <w:sz w:val="24"/>
              <w:szCs w:val="24"/>
            </w:rPr>
            <w:fldChar w:fldCharType="end"/>
          </w:r>
        </w:p>
      </w:sdtContent>
    </w:sdt>
    <w:p w14:paraId="3208538A">
      <w:pPr>
        <w:spacing w:line="230" w:lineRule="auto"/>
        <w:rPr>
          <w:rFonts w:ascii="Times New Roman" w:hAnsi="Times New Roman" w:eastAsia="Times New Roman" w:cs="Times New Roman"/>
          <w:sz w:val="24"/>
          <w:szCs w:val="24"/>
        </w:rPr>
        <w:sectPr>
          <w:headerReference r:id="rId5" w:type="default"/>
          <w:footerReference r:id="rId6" w:type="default"/>
          <w:pgSz w:w="11907" w:h="16839"/>
          <w:pgMar w:top="1659" w:right="1669" w:bottom="1414" w:left="1671" w:header="1282" w:footer="1212" w:gutter="0"/>
          <w:cols w:space="720" w:num="1"/>
        </w:sectPr>
      </w:pPr>
    </w:p>
    <w:p w14:paraId="625B80B8">
      <w:pPr>
        <w:spacing w:line="455" w:lineRule="auto"/>
        <w:rPr>
          <w:rFonts w:ascii="Arial"/>
          <w:sz w:val="21"/>
        </w:rPr>
      </w:pPr>
    </w:p>
    <w:sdt>
      <w:sdtPr>
        <w:rPr>
          <w:rFonts w:ascii="Times New Roman" w:hAnsi="Times New Roman" w:eastAsia="Times New Roman" w:cs="Times New Roman"/>
          <w:sz w:val="24"/>
          <w:szCs w:val="24"/>
        </w:rPr>
        <w:id w:val="147474243"/>
        <w:docPartObj>
          <w:docPartGallery w:val="Table of Contents"/>
          <w:docPartUnique/>
        </w:docPartObj>
      </w:sdtPr>
      <w:sdtEndPr>
        <w:rPr>
          <w:rFonts w:ascii="Times New Roman" w:hAnsi="Times New Roman" w:eastAsia="Times New Roman" w:cs="Times New Roman"/>
          <w:sz w:val="24"/>
          <w:szCs w:val="24"/>
        </w:rPr>
      </w:sdtEndPr>
      <w:sdtContent>
        <w:p w14:paraId="18413D12">
          <w:pPr>
            <w:tabs>
              <w:tab w:val="right" w:leader="dot" w:pos="8524"/>
            </w:tabs>
            <w:spacing w:before="78" w:line="198" w:lineRule="auto"/>
            <w:ind w:left="521"/>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Times New Roman" w:hAnsi="Times New Roman" w:eastAsia="Times New Roman" w:cs="Times New Roman"/>
              <w:b/>
              <w:bCs/>
              <w:spacing w:val="-6"/>
              <w:sz w:val="24"/>
              <w:szCs w:val="24"/>
            </w:rPr>
            <w:t>6</w:t>
          </w:r>
          <w:r>
            <w:rPr>
              <w:rFonts w:ascii="Times New Roman" w:hAnsi="Times New Roman" w:eastAsia="Times New Roman" w:cs="Times New Roman"/>
              <w:b/>
              <w:bCs/>
              <w:spacing w:val="10"/>
              <w:sz w:val="24"/>
              <w:szCs w:val="24"/>
            </w:rPr>
            <w:t xml:space="preserve">  </w:t>
          </w:r>
          <w:r>
            <w:rPr>
              <w:rFonts w:ascii="仿宋" w:hAnsi="仿宋" w:eastAsia="仿宋" w:cs="仿宋"/>
              <w:b/>
              <w:bCs/>
              <w:spacing w:val="-6"/>
              <w:sz w:val="24"/>
              <w:szCs w:val="24"/>
            </w:rPr>
            <w:t>环境影响调查</w:t>
          </w:r>
          <w:r>
            <w:rPr>
              <w:rFonts w:ascii="仿宋" w:hAnsi="仿宋" w:eastAsia="仿宋" w:cs="仿宋"/>
              <w:spacing w:val="-77"/>
              <w:sz w:val="24"/>
              <w:szCs w:val="24"/>
            </w:rPr>
            <w:t xml:space="preserve"> </w:t>
          </w:r>
          <w:r>
            <w:rPr>
              <w:rFonts w:ascii="仿宋" w:hAnsi="仿宋" w:eastAsia="仿宋" w:cs="仿宋"/>
              <w:sz w:val="24"/>
              <w:szCs w:val="24"/>
            </w:rPr>
            <w:tab/>
          </w:r>
          <w:r>
            <w:rPr>
              <w:rFonts w:ascii="Times New Roman" w:hAnsi="Times New Roman" w:eastAsia="Times New Roman" w:cs="Times New Roman"/>
              <w:b/>
              <w:bCs/>
              <w:spacing w:val="27"/>
              <w:sz w:val="24"/>
              <w:szCs w:val="24"/>
            </w:rPr>
            <w:t>85</w:t>
          </w:r>
          <w:r>
            <w:rPr>
              <w:rFonts w:ascii="Times New Roman" w:hAnsi="Times New Roman" w:eastAsia="Times New Roman" w:cs="Times New Roman"/>
              <w:b/>
              <w:bCs/>
              <w:spacing w:val="27"/>
              <w:sz w:val="24"/>
              <w:szCs w:val="24"/>
            </w:rPr>
            <w:fldChar w:fldCharType="end"/>
          </w:r>
        </w:p>
        <w:p w14:paraId="43F50247">
          <w:pPr>
            <w:tabs>
              <w:tab w:val="right" w:leader="dot" w:pos="8524"/>
            </w:tabs>
            <w:spacing w:before="303" w:line="198" w:lineRule="auto"/>
            <w:ind w:left="760"/>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Times New Roman" w:hAnsi="Times New Roman" w:eastAsia="Times New Roman" w:cs="Times New Roman"/>
              <w:spacing w:val="-4"/>
              <w:sz w:val="24"/>
              <w:szCs w:val="24"/>
            </w:rPr>
            <w:t xml:space="preserve">6.1  </w:t>
          </w:r>
          <w:r>
            <w:rPr>
              <w:rFonts w:ascii="仿宋" w:hAnsi="仿宋" w:eastAsia="仿宋" w:cs="仿宋"/>
              <w:spacing w:val="-4"/>
              <w:sz w:val="24"/>
              <w:szCs w:val="24"/>
            </w:rPr>
            <w:t>生态影响调查</w:t>
          </w:r>
          <w:r>
            <w:rPr>
              <w:rFonts w:ascii="仿宋" w:hAnsi="仿宋" w:eastAsia="仿宋" w:cs="仿宋"/>
              <w:spacing w:val="-92"/>
              <w:sz w:val="24"/>
              <w:szCs w:val="24"/>
            </w:rPr>
            <w:t xml:space="preserve"> </w:t>
          </w:r>
          <w:r>
            <w:rPr>
              <w:rFonts w:ascii="仿宋" w:hAnsi="仿宋" w:eastAsia="仿宋" w:cs="仿宋"/>
              <w:sz w:val="24"/>
              <w:szCs w:val="24"/>
            </w:rPr>
            <w:tab/>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85</w:t>
          </w:r>
          <w:r>
            <w:rPr>
              <w:rFonts w:ascii="Times New Roman" w:hAnsi="Times New Roman" w:eastAsia="Times New Roman" w:cs="Times New Roman"/>
              <w:spacing w:val="-4"/>
              <w:sz w:val="24"/>
              <w:szCs w:val="24"/>
            </w:rPr>
            <w:fldChar w:fldCharType="end"/>
          </w:r>
        </w:p>
        <w:p w14:paraId="7E33790F">
          <w:pPr>
            <w:tabs>
              <w:tab w:val="right" w:leader="dot" w:pos="8524"/>
            </w:tabs>
            <w:spacing w:before="181" w:line="198" w:lineRule="auto"/>
            <w:ind w:left="760"/>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Times New Roman" w:hAnsi="Times New Roman" w:eastAsia="Times New Roman" w:cs="Times New Roman"/>
              <w:spacing w:val="-4"/>
              <w:sz w:val="24"/>
              <w:szCs w:val="24"/>
            </w:rPr>
            <w:t>6.2</w:t>
          </w:r>
          <w:r>
            <w:rPr>
              <w:rFonts w:ascii="Times New Roman" w:hAnsi="Times New Roman" w:eastAsia="Times New Roman" w:cs="Times New Roman"/>
              <w:spacing w:val="59"/>
              <w:sz w:val="24"/>
              <w:szCs w:val="24"/>
            </w:rPr>
            <w:t xml:space="preserve"> </w:t>
          </w:r>
          <w:r>
            <w:rPr>
              <w:rFonts w:ascii="仿宋" w:hAnsi="仿宋" w:eastAsia="仿宋" w:cs="仿宋"/>
              <w:spacing w:val="-4"/>
              <w:sz w:val="24"/>
              <w:szCs w:val="24"/>
            </w:rPr>
            <w:t>环境影响监测</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136</w:t>
          </w:r>
          <w:r>
            <w:rPr>
              <w:rFonts w:ascii="Times New Roman" w:hAnsi="Times New Roman" w:eastAsia="Times New Roman" w:cs="Times New Roman"/>
              <w:spacing w:val="-7"/>
              <w:sz w:val="24"/>
              <w:szCs w:val="24"/>
            </w:rPr>
            <w:fldChar w:fldCharType="end"/>
          </w:r>
        </w:p>
        <w:p w14:paraId="675BB684">
          <w:pPr>
            <w:tabs>
              <w:tab w:val="right" w:leader="dot" w:pos="8524"/>
            </w:tabs>
            <w:spacing w:before="303" w:line="198" w:lineRule="auto"/>
            <w:ind w:left="520"/>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Times New Roman" w:hAnsi="Times New Roman" w:eastAsia="Times New Roman" w:cs="Times New Roman"/>
              <w:b/>
              <w:bCs/>
              <w:spacing w:val="-5"/>
              <w:sz w:val="24"/>
              <w:szCs w:val="24"/>
            </w:rPr>
            <w:t>7</w:t>
          </w:r>
          <w:r>
            <w:rPr>
              <w:rFonts w:ascii="Times New Roman" w:hAnsi="Times New Roman" w:eastAsia="Times New Roman" w:cs="Times New Roman"/>
              <w:b/>
              <w:bCs/>
              <w:spacing w:val="7"/>
              <w:sz w:val="24"/>
              <w:szCs w:val="24"/>
            </w:rPr>
            <w:t xml:space="preserve">  </w:t>
          </w:r>
          <w:r>
            <w:rPr>
              <w:rFonts w:ascii="仿宋" w:hAnsi="仿宋" w:eastAsia="仿宋" w:cs="仿宋"/>
              <w:b/>
              <w:bCs/>
              <w:spacing w:val="-5"/>
              <w:sz w:val="24"/>
              <w:szCs w:val="24"/>
            </w:rPr>
            <w:t>验收调查结论</w:t>
          </w:r>
          <w:r>
            <w:rPr>
              <w:rFonts w:ascii="仿宋" w:hAnsi="仿宋" w:eastAsia="仿宋" w:cs="仿宋"/>
              <w:spacing w:val="-77"/>
              <w:sz w:val="24"/>
              <w:szCs w:val="24"/>
            </w:rPr>
            <w:t xml:space="preserve"> </w:t>
          </w:r>
          <w:r>
            <w:rPr>
              <w:rFonts w:ascii="仿宋" w:hAnsi="仿宋" w:eastAsia="仿宋" w:cs="仿宋"/>
              <w:sz w:val="24"/>
              <w:szCs w:val="24"/>
            </w:rPr>
            <w:tab/>
          </w:r>
          <w:r>
            <w:rPr>
              <w:rFonts w:ascii="仿宋" w:hAnsi="仿宋" w:eastAsia="仿宋" w:cs="仿宋"/>
              <w:spacing w:val="-49"/>
              <w:sz w:val="24"/>
              <w:szCs w:val="24"/>
            </w:rPr>
            <w:t xml:space="preserve"> </w:t>
          </w:r>
          <w:r>
            <w:rPr>
              <w:rFonts w:ascii="Times New Roman" w:hAnsi="Times New Roman" w:eastAsia="Times New Roman" w:cs="Times New Roman"/>
              <w:b/>
              <w:bCs/>
              <w:spacing w:val="-4"/>
              <w:sz w:val="24"/>
              <w:szCs w:val="24"/>
            </w:rPr>
            <w:t>171</w:t>
          </w:r>
          <w:r>
            <w:rPr>
              <w:rFonts w:ascii="Times New Roman" w:hAnsi="Times New Roman" w:eastAsia="Times New Roman" w:cs="Times New Roman"/>
              <w:b/>
              <w:bCs/>
              <w:spacing w:val="-4"/>
              <w:sz w:val="24"/>
              <w:szCs w:val="24"/>
            </w:rPr>
            <w:fldChar w:fldCharType="end"/>
          </w:r>
        </w:p>
        <w:p w14:paraId="3C579CDD">
          <w:pPr>
            <w:tabs>
              <w:tab w:val="right" w:leader="dot" w:pos="8524"/>
            </w:tabs>
            <w:spacing w:before="302" w:line="198" w:lineRule="auto"/>
            <w:ind w:left="758"/>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Times New Roman" w:hAnsi="Times New Roman" w:eastAsia="Times New Roman" w:cs="Times New Roman"/>
              <w:spacing w:val="-4"/>
              <w:sz w:val="24"/>
              <w:szCs w:val="24"/>
            </w:rPr>
            <w:t>7.1</w:t>
          </w:r>
          <w:r>
            <w:rPr>
              <w:rFonts w:ascii="Times New Roman" w:hAnsi="Times New Roman" w:eastAsia="Times New Roman" w:cs="Times New Roman"/>
              <w:spacing w:val="60"/>
              <w:w w:val="101"/>
              <w:sz w:val="24"/>
              <w:szCs w:val="24"/>
            </w:rPr>
            <w:t xml:space="preserve"> </w:t>
          </w:r>
          <w:r>
            <w:rPr>
              <w:rFonts w:ascii="仿宋" w:hAnsi="仿宋" w:eastAsia="仿宋" w:cs="仿宋"/>
              <w:spacing w:val="-4"/>
              <w:sz w:val="24"/>
              <w:szCs w:val="24"/>
            </w:rPr>
            <w:t>工程调查结论</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171</w:t>
          </w:r>
          <w:r>
            <w:rPr>
              <w:rFonts w:ascii="Times New Roman" w:hAnsi="Times New Roman" w:eastAsia="Times New Roman" w:cs="Times New Roman"/>
              <w:spacing w:val="-7"/>
              <w:sz w:val="24"/>
              <w:szCs w:val="24"/>
            </w:rPr>
            <w:fldChar w:fldCharType="end"/>
          </w:r>
        </w:p>
        <w:p w14:paraId="5BDB9F45">
          <w:pPr>
            <w:tabs>
              <w:tab w:val="right" w:leader="dot" w:pos="8524"/>
            </w:tabs>
            <w:spacing w:before="182" w:line="198" w:lineRule="auto"/>
            <w:ind w:left="758"/>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Times New Roman" w:hAnsi="Times New Roman" w:eastAsia="Times New Roman" w:cs="Times New Roman"/>
              <w:spacing w:val="-3"/>
              <w:sz w:val="24"/>
              <w:szCs w:val="24"/>
            </w:rPr>
            <w:t>7.2</w:t>
          </w:r>
          <w:r>
            <w:rPr>
              <w:rFonts w:ascii="Times New Roman" w:hAnsi="Times New Roman" w:eastAsia="Times New Roman" w:cs="Times New Roman"/>
              <w:spacing w:val="63"/>
              <w:w w:val="101"/>
              <w:sz w:val="24"/>
              <w:szCs w:val="24"/>
            </w:rPr>
            <w:t xml:space="preserve"> </w:t>
          </w:r>
          <w:r>
            <w:rPr>
              <w:rFonts w:ascii="仿宋" w:hAnsi="仿宋" w:eastAsia="仿宋" w:cs="仿宋"/>
              <w:spacing w:val="-3"/>
              <w:sz w:val="24"/>
              <w:szCs w:val="24"/>
            </w:rPr>
            <w:t>工程建设对环境的影响</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172</w:t>
          </w:r>
          <w:r>
            <w:rPr>
              <w:rFonts w:ascii="Times New Roman" w:hAnsi="Times New Roman" w:eastAsia="Times New Roman" w:cs="Times New Roman"/>
              <w:spacing w:val="-7"/>
              <w:sz w:val="24"/>
              <w:szCs w:val="24"/>
            </w:rPr>
            <w:fldChar w:fldCharType="end"/>
          </w:r>
        </w:p>
        <w:p w14:paraId="0125A06B">
          <w:pPr>
            <w:tabs>
              <w:tab w:val="right" w:leader="dot" w:pos="8524"/>
            </w:tabs>
            <w:spacing w:before="183" w:line="198" w:lineRule="auto"/>
            <w:ind w:left="758"/>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Times New Roman" w:hAnsi="Times New Roman" w:eastAsia="Times New Roman" w:cs="Times New Roman"/>
              <w:spacing w:val="-2"/>
              <w:sz w:val="24"/>
              <w:szCs w:val="24"/>
            </w:rPr>
            <w:t>7.3</w:t>
          </w:r>
          <w:r>
            <w:rPr>
              <w:rFonts w:ascii="Times New Roman" w:hAnsi="Times New Roman" w:eastAsia="Times New Roman" w:cs="Times New Roman"/>
              <w:spacing w:val="54"/>
              <w:w w:val="101"/>
              <w:sz w:val="24"/>
              <w:szCs w:val="24"/>
            </w:rPr>
            <w:t xml:space="preserve"> </w:t>
          </w:r>
          <w:r>
            <w:rPr>
              <w:rFonts w:ascii="仿宋" w:hAnsi="仿宋" w:eastAsia="仿宋" w:cs="仿宋"/>
              <w:spacing w:val="-2"/>
              <w:sz w:val="24"/>
              <w:szCs w:val="24"/>
            </w:rPr>
            <w:t>环境保护设施落实情况调查</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174</w:t>
          </w:r>
          <w:r>
            <w:rPr>
              <w:rFonts w:ascii="Times New Roman" w:hAnsi="Times New Roman" w:eastAsia="Times New Roman" w:cs="Times New Roman"/>
              <w:spacing w:val="-7"/>
              <w:sz w:val="24"/>
              <w:szCs w:val="24"/>
            </w:rPr>
            <w:fldChar w:fldCharType="end"/>
          </w:r>
        </w:p>
        <w:p w14:paraId="0BFA4C4F">
          <w:pPr>
            <w:tabs>
              <w:tab w:val="right" w:leader="dot" w:pos="8524"/>
            </w:tabs>
            <w:spacing w:before="183" w:line="198" w:lineRule="auto"/>
            <w:ind w:left="758"/>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pacing w:val="-3"/>
              <w:sz w:val="24"/>
              <w:szCs w:val="24"/>
            </w:rPr>
            <w:t>7.4</w:t>
          </w:r>
          <w:r>
            <w:rPr>
              <w:rFonts w:ascii="Times New Roman" w:hAnsi="Times New Roman" w:eastAsia="Times New Roman" w:cs="Times New Roman"/>
              <w:spacing w:val="60"/>
              <w:w w:val="101"/>
              <w:sz w:val="24"/>
              <w:szCs w:val="24"/>
            </w:rPr>
            <w:t xml:space="preserve"> </w:t>
          </w:r>
          <w:r>
            <w:rPr>
              <w:rFonts w:ascii="仿宋" w:hAnsi="仿宋" w:eastAsia="仿宋" w:cs="仿宋"/>
              <w:spacing w:val="-3"/>
              <w:sz w:val="24"/>
              <w:szCs w:val="24"/>
            </w:rPr>
            <w:t>建议和后续工作要求</w:t>
          </w:r>
          <w:r>
            <w:rPr>
              <w:rFonts w:ascii="仿宋" w:hAnsi="仿宋" w:eastAsia="仿宋" w:cs="仿宋"/>
              <w:spacing w:val="-99"/>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175</w:t>
          </w:r>
          <w:r>
            <w:rPr>
              <w:rFonts w:ascii="Times New Roman" w:hAnsi="Times New Roman" w:eastAsia="Times New Roman" w:cs="Times New Roman"/>
              <w:spacing w:val="-7"/>
              <w:sz w:val="24"/>
              <w:szCs w:val="24"/>
            </w:rPr>
            <w:fldChar w:fldCharType="end"/>
          </w:r>
        </w:p>
        <w:p w14:paraId="1AB20108">
          <w:pPr>
            <w:tabs>
              <w:tab w:val="right" w:leader="dot" w:pos="8524"/>
            </w:tabs>
            <w:spacing w:before="181" w:line="232" w:lineRule="auto"/>
            <w:ind w:left="758"/>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Times New Roman" w:hAnsi="Times New Roman" w:eastAsia="Times New Roman" w:cs="Times New Roman"/>
              <w:spacing w:val="-3"/>
              <w:sz w:val="24"/>
              <w:szCs w:val="24"/>
            </w:rPr>
            <w:t>7.5</w:t>
          </w:r>
          <w:r>
            <w:rPr>
              <w:rFonts w:ascii="Times New Roman" w:hAnsi="Times New Roman" w:eastAsia="Times New Roman" w:cs="Times New Roman"/>
              <w:spacing w:val="57"/>
              <w:w w:val="101"/>
              <w:sz w:val="24"/>
              <w:szCs w:val="24"/>
            </w:rPr>
            <w:t xml:space="preserve"> </w:t>
          </w:r>
          <w:r>
            <w:rPr>
              <w:rFonts w:ascii="仿宋" w:hAnsi="仿宋" w:eastAsia="仿宋" w:cs="仿宋"/>
              <w:spacing w:val="-3"/>
              <w:sz w:val="24"/>
              <w:szCs w:val="24"/>
            </w:rPr>
            <w:t>验收调查报告结论</w:t>
          </w:r>
          <w:r>
            <w:rPr>
              <w:rFonts w:ascii="仿宋" w:hAnsi="仿宋" w:eastAsia="仿宋" w:cs="仿宋"/>
              <w:spacing w:val="-100"/>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7"/>
              <w:sz w:val="24"/>
              <w:szCs w:val="24"/>
            </w:rPr>
            <w:t>175</w:t>
          </w:r>
          <w:r>
            <w:rPr>
              <w:rFonts w:ascii="Times New Roman" w:hAnsi="Times New Roman" w:eastAsia="Times New Roman" w:cs="Times New Roman"/>
              <w:spacing w:val="-7"/>
              <w:sz w:val="24"/>
              <w:szCs w:val="24"/>
            </w:rPr>
            <w:fldChar w:fldCharType="end"/>
          </w:r>
        </w:p>
      </w:sdtContent>
    </w:sdt>
    <w:p w14:paraId="4C36C203">
      <w:pPr>
        <w:spacing w:line="245" w:lineRule="auto"/>
        <w:rPr>
          <w:rFonts w:ascii="Arial"/>
          <w:sz w:val="21"/>
        </w:rPr>
      </w:pPr>
    </w:p>
    <w:p w14:paraId="44670B0A">
      <w:pPr>
        <w:spacing w:line="245" w:lineRule="auto"/>
        <w:rPr>
          <w:rFonts w:ascii="Arial"/>
          <w:sz w:val="21"/>
        </w:rPr>
      </w:pPr>
    </w:p>
    <w:p w14:paraId="67DB1EC9">
      <w:pPr>
        <w:spacing w:line="246" w:lineRule="auto"/>
        <w:rPr>
          <w:rFonts w:ascii="Arial"/>
          <w:sz w:val="21"/>
        </w:rPr>
      </w:pPr>
    </w:p>
    <w:p w14:paraId="4E7BDE58">
      <w:pPr>
        <w:pStyle w:val="2"/>
        <w:spacing w:before="78" w:line="219" w:lineRule="auto"/>
        <w:ind w:left="58"/>
        <w:rPr>
          <w:sz w:val="24"/>
          <w:szCs w:val="24"/>
        </w:rPr>
      </w:pPr>
      <w:r>
        <w:rPr>
          <w:b/>
          <w:bCs/>
          <w:spacing w:val="-21"/>
          <w:sz w:val="24"/>
          <w:szCs w:val="24"/>
        </w:rPr>
        <w:t>附表：</w:t>
      </w:r>
    </w:p>
    <w:p w14:paraId="726F5525">
      <w:pPr>
        <w:pStyle w:val="2"/>
        <w:spacing w:before="155" w:line="233" w:lineRule="auto"/>
        <w:ind w:left="538"/>
        <w:rPr>
          <w:sz w:val="24"/>
          <w:szCs w:val="24"/>
        </w:rPr>
      </w:pPr>
      <w:r>
        <w:rPr>
          <w:spacing w:val="-2"/>
          <w:sz w:val="24"/>
          <w:szCs w:val="24"/>
        </w:rPr>
        <w:t>附表</w:t>
      </w:r>
      <w:r>
        <w:rPr>
          <w:spacing w:val="-32"/>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施工期调查区所涉及流域鱼类名录和标本数；</w:t>
      </w:r>
    </w:p>
    <w:p w14:paraId="3C66F368">
      <w:pPr>
        <w:pStyle w:val="2"/>
        <w:spacing w:before="138" w:line="233" w:lineRule="auto"/>
        <w:ind w:left="538"/>
        <w:rPr>
          <w:sz w:val="24"/>
          <w:szCs w:val="24"/>
        </w:rPr>
      </w:pPr>
      <w:r>
        <w:rPr>
          <w:spacing w:val="-2"/>
          <w:sz w:val="24"/>
          <w:szCs w:val="24"/>
        </w:rPr>
        <w:t>附表</w:t>
      </w:r>
      <w:r>
        <w:rPr>
          <w:spacing w:val="-42"/>
          <w:sz w:val="24"/>
          <w:szCs w:val="24"/>
        </w:rPr>
        <w:t xml:space="preserve"> </w:t>
      </w:r>
      <w:r>
        <w:rPr>
          <w:rFonts w:ascii="Times New Roman" w:hAnsi="Times New Roman" w:eastAsia="Times New Roman" w:cs="Times New Roman"/>
          <w:spacing w:val="-2"/>
          <w:sz w:val="24"/>
          <w:szCs w:val="24"/>
        </w:rPr>
        <w:t xml:space="preserve">2      </w:t>
      </w:r>
      <w:r>
        <w:rPr>
          <w:spacing w:val="-2"/>
          <w:sz w:val="24"/>
          <w:szCs w:val="24"/>
        </w:rPr>
        <w:t>施工期监测记录的两栖动物名录；</w:t>
      </w:r>
    </w:p>
    <w:p w14:paraId="149A17F7">
      <w:pPr>
        <w:pStyle w:val="2"/>
        <w:spacing w:before="137" w:line="233" w:lineRule="auto"/>
        <w:ind w:left="538"/>
        <w:rPr>
          <w:sz w:val="24"/>
          <w:szCs w:val="24"/>
        </w:rPr>
      </w:pPr>
      <w:r>
        <w:rPr>
          <w:spacing w:val="-2"/>
          <w:sz w:val="24"/>
          <w:szCs w:val="24"/>
        </w:rPr>
        <w:t>附表</w:t>
      </w:r>
      <w:r>
        <w:rPr>
          <w:spacing w:val="-42"/>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施工期监测记录的爬行动物名录；</w:t>
      </w:r>
    </w:p>
    <w:p w14:paraId="77523DA1">
      <w:pPr>
        <w:pStyle w:val="2"/>
        <w:spacing w:before="136" w:line="233" w:lineRule="auto"/>
        <w:ind w:left="538"/>
        <w:rPr>
          <w:sz w:val="24"/>
          <w:szCs w:val="24"/>
        </w:rPr>
      </w:pPr>
      <w:r>
        <w:rPr>
          <w:spacing w:val="-2"/>
          <w:sz w:val="24"/>
          <w:szCs w:val="24"/>
        </w:rPr>
        <w:t>附表</w:t>
      </w:r>
      <w:r>
        <w:rPr>
          <w:spacing w:val="-46"/>
          <w:sz w:val="24"/>
          <w:szCs w:val="24"/>
        </w:rPr>
        <w:t xml:space="preserve"> </w:t>
      </w:r>
      <w:r>
        <w:rPr>
          <w:rFonts w:ascii="Times New Roman" w:hAnsi="Times New Roman" w:eastAsia="Times New Roman" w:cs="Times New Roman"/>
          <w:spacing w:val="-2"/>
          <w:sz w:val="24"/>
          <w:szCs w:val="24"/>
        </w:rPr>
        <w:t xml:space="preserve">4      </w:t>
      </w:r>
      <w:r>
        <w:rPr>
          <w:spacing w:val="-2"/>
          <w:sz w:val="24"/>
          <w:szCs w:val="24"/>
        </w:rPr>
        <w:t>施工期监测记录的鸟类名录；</w:t>
      </w:r>
    </w:p>
    <w:p w14:paraId="2F021D6B">
      <w:pPr>
        <w:pStyle w:val="2"/>
        <w:spacing w:before="138" w:line="233" w:lineRule="auto"/>
        <w:ind w:left="538"/>
        <w:rPr>
          <w:sz w:val="24"/>
          <w:szCs w:val="24"/>
        </w:rPr>
      </w:pPr>
      <w:r>
        <w:rPr>
          <w:spacing w:val="-2"/>
          <w:sz w:val="24"/>
          <w:szCs w:val="24"/>
        </w:rPr>
        <w:t>附表</w:t>
      </w:r>
      <w:r>
        <w:rPr>
          <w:spacing w:val="-40"/>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施工期监测记录的哺乳类动物名录。</w:t>
      </w:r>
    </w:p>
    <w:p w14:paraId="3F0F703F">
      <w:pPr>
        <w:pStyle w:val="2"/>
        <w:spacing w:before="138" w:line="219" w:lineRule="auto"/>
        <w:ind w:left="58"/>
        <w:rPr>
          <w:sz w:val="24"/>
          <w:szCs w:val="24"/>
        </w:rPr>
      </w:pPr>
      <w:r>
        <w:rPr>
          <w:b/>
          <w:bCs/>
          <w:spacing w:val="-12"/>
          <w:sz w:val="24"/>
          <w:szCs w:val="24"/>
        </w:rPr>
        <w:t>附件：</w:t>
      </w:r>
    </w:p>
    <w:p w14:paraId="179A9E38">
      <w:pPr>
        <w:pStyle w:val="2"/>
        <w:spacing w:before="154" w:line="339" w:lineRule="auto"/>
        <w:ind w:left="66" w:right="30" w:firstLine="471"/>
        <w:rPr>
          <w:sz w:val="24"/>
          <w:szCs w:val="24"/>
        </w:rPr>
      </w:pPr>
      <w:r>
        <w:rPr>
          <w:spacing w:val="2"/>
          <w:sz w:val="24"/>
          <w:szCs w:val="24"/>
        </w:rPr>
        <w:t xml:space="preserve">附件 </w:t>
      </w:r>
      <w:r>
        <w:rPr>
          <w:rFonts w:ascii="Times New Roman" w:hAnsi="Times New Roman" w:eastAsia="Times New Roman" w:cs="Times New Roman"/>
          <w:spacing w:val="2"/>
          <w:sz w:val="24"/>
          <w:szCs w:val="24"/>
        </w:rPr>
        <w:t xml:space="preserve">1    </w:t>
      </w:r>
      <w:r>
        <w:rPr>
          <w:spacing w:val="2"/>
          <w:sz w:val="24"/>
          <w:szCs w:val="24"/>
        </w:rPr>
        <w:t>关于《云南省曲靖市车马碧水库工程环境响报告书》的批复（环审</w:t>
      </w:r>
      <w:r>
        <w:rPr>
          <w:spacing w:val="-12"/>
          <w:sz w:val="24"/>
          <w:szCs w:val="24"/>
        </w:rPr>
        <w:t>〔</w:t>
      </w:r>
      <w:r>
        <w:rPr>
          <w:rFonts w:ascii="Times New Roman" w:hAnsi="Times New Roman" w:eastAsia="Times New Roman" w:cs="Times New Roman"/>
          <w:spacing w:val="-12"/>
          <w:sz w:val="24"/>
          <w:szCs w:val="24"/>
        </w:rPr>
        <w:t>2016</w:t>
      </w:r>
      <w:r>
        <w:rPr>
          <w:spacing w:val="-12"/>
          <w:sz w:val="24"/>
          <w:szCs w:val="24"/>
        </w:rPr>
        <w:t>〕</w:t>
      </w:r>
      <w:r>
        <w:rPr>
          <w:rFonts w:ascii="Times New Roman" w:hAnsi="Times New Roman" w:eastAsia="Times New Roman" w:cs="Times New Roman"/>
          <w:spacing w:val="-12"/>
          <w:sz w:val="24"/>
          <w:szCs w:val="24"/>
        </w:rPr>
        <w:t>125</w:t>
      </w:r>
      <w:r>
        <w:rPr>
          <w:rFonts w:ascii="Times New Roman" w:hAnsi="Times New Roman" w:eastAsia="Times New Roman" w:cs="Times New Roman"/>
          <w:spacing w:val="16"/>
          <w:w w:val="101"/>
          <w:sz w:val="24"/>
          <w:szCs w:val="24"/>
        </w:rPr>
        <w:t xml:space="preserve"> </w:t>
      </w:r>
      <w:r>
        <w:rPr>
          <w:spacing w:val="-12"/>
          <w:sz w:val="24"/>
          <w:szCs w:val="24"/>
        </w:rPr>
        <w:t>号</w:t>
      </w:r>
      <w:r>
        <w:rPr>
          <w:spacing w:val="-35"/>
          <w:sz w:val="24"/>
          <w:szCs w:val="24"/>
        </w:rPr>
        <w:t>）；</w:t>
      </w:r>
    </w:p>
    <w:p w14:paraId="083146E2">
      <w:pPr>
        <w:pStyle w:val="2"/>
        <w:spacing w:before="1" w:line="338" w:lineRule="auto"/>
        <w:ind w:left="59" w:right="30" w:firstLine="479"/>
        <w:rPr>
          <w:sz w:val="24"/>
          <w:szCs w:val="24"/>
        </w:rPr>
      </w:pPr>
      <w:r>
        <w:rPr>
          <w:spacing w:val="2"/>
          <w:sz w:val="24"/>
          <w:szCs w:val="24"/>
        </w:rPr>
        <w:t xml:space="preserve">附件 </w:t>
      </w:r>
      <w:r>
        <w:rPr>
          <w:rFonts w:ascii="Times New Roman" w:hAnsi="Times New Roman" w:eastAsia="Times New Roman" w:cs="Times New Roman"/>
          <w:spacing w:val="2"/>
          <w:sz w:val="24"/>
          <w:szCs w:val="24"/>
        </w:rPr>
        <w:t xml:space="preserve">2    </w:t>
      </w:r>
      <w:r>
        <w:rPr>
          <w:spacing w:val="2"/>
          <w:sz w:val="24"/>
          <w:szCs w:val="24"/>
        </w:rPr>
        <w:t>国家发展改革委关于云南省曲靖市车马碧水库工程可行性研究报告</w:t>
      </w:r>
      <w:r>
        <w:rPr>
          <w:spacing w:val="-6"/>
          <w:sz w:val="24"/>
          <w:szCs w:val="24"/>
        </w:rPr>
        <w:t>的批复（发改农经〔</w:t>
      </w:r>
      <w:r>
        <w:rPr>
          <w:rFonts w:ascii="Times New Roman" w:hAnsi="Times New Roman" w:eastAsia="Times New Roman" w:cs="Times New Roman"/>
          <w:spacing w:val="-6"/>
          <w:sz w:val="24"/>
          <w:szCs w:val="24"/>
        </w:rPr>
        <w:t>2016</w:t>
      </w:r>
      <w:r>
        <w:rPr>
          <w:spacing w:val="-6"/>
          <w:sz w:val="24"/>
          <w:szCs w:val="24"/>
        </w:rPr>
        <w:t>〕</w:t>
      </w:r>
      <w:r>
        <w:rPr>
          <w:rFonts w:ascii="Times New Roman" w:hAnsi="Times New Roman" w:eastAsia="Times New Roman" w:cs="Times New Roman"/>
          <w:spacing w:val="-6"/>
          <w:sz w:val="24"/>
          <w:szCs w:val="24"/>
        </w:rPr>
        <w:t>2843</w:t>
      </w:r>
      <w:r>
        <w:rPr>
          <w:rFonts w:ascii="Times New Roman" w:hAnsi="Times New Roman" w:eastAsia="Times New Roman" w:cs="Times New Roman"/>
          <w:spacing w:val="16"/>
          <w:sz w:val="24"/>
          <w:szCs w:val="24"/>
        </w:rPr>
        <w:t xml:space="preserve"> </w:t>
      </w:r>
      <w:r>
        <w:rPr>
          <w:spacing w:val="-6"/>
          <w:sz w:val="24"/>
          <w:szCs w:val="24"/>
        </w:rPr>
        <w:t>号</w:t>
      </w:r>
      <w:r>
        <w:rPr>
          <w:spacing w:val="-34"/>
          <w:sz w:val="24"/>
          <w:szCs w:val="24"/>
        </w:rPr>
        <w:t>）；</w:t>
      </w:r>
    </w:p>
    <w:p w14:paraId="60118186">
      <w:pPr>
        <w:pStyle w:val="2"/>
        <w:spacing w:line="338" w:lineRule="auto"/>
        <w:ind w:left="45" w:right="30" w:firstLine="492"/>
        <w:rPr>
          <w:sz w:val="24"/>
          <w:szCs w:val="24"/>
        </w:rPr>
      </w:pPr>
      <w:r>
        <w:rPr>
          <w:spacing w:val="2"/>
          <w:sz w:val="24"/>
          <w:szCs w:val="24"/>
        </w:rPr>
        <w:t xml:space="preserve">附件 </w:t>
      </w:r>
      <w:r>
        <w:rPr>
          <w:rFonts w:ascii="Times New Roman" w:hAnsi="Times New Roman" w:eastAsia="Times New Roman" w:cs="Times New Roman"/>
          <w:spacing w:val="2"/>
          <w:sz w:val="24"/>
          <w:szCs w:val="24"/>
        </w:rPr>
        <w:t xml:space="preserve">3    </w:t>
      </w:r>
      <w:r>
        <w:rPr>
          <w:spacing w:val="2"/>
          <w:sz w:val="24"/>
          <w:szCs w:val="24"/>
        </w:rPr>
        <w:t>云南省水利厅关于云南省曲靖市车马碧水库工程初步设计报告的批</w:t>
      </w:r>
      <w:r>
        <w:rPr>
          <w:spacing w:val="-3"/>
          <w:sz w:val="24"/>
          <w:szCs w:val="24"/>
        </w:rPr>
        <w:t>复（云水规计〔</w:t>
      </w:r>
      <w:r>
        <w:rPr>
          <w:rFonts w:ascii="Times New Roman" w:hAnsi="Times New Roman" w:eastAsia="Times New Roman" w:cs="Times New Roman"/>
          <w:spacing w:val="-3"/>
          <w:sz w:val="24"/>
          <w:szCs w:val="24"/>
        </w:rPr>
        <w:t>2017</w:t>
      </w:r>
      <w:r>
        <w:rPr>
          <w:spacing w:val="-3"/>
          <w:sz w:val="24"/>
          <w:szCs w:val="24"/>
        </w:rPr>
        <w:t>〕</w:t>
      </w:r>
      <w:r>
        <w:rPr>
          <w:rFonts w:ascii="Times New Roman" w:hAnsi="Times New Roman" w:eastAsia="Times New Roman" w:cs="Times New Roman"/>
          <w:spacing w:val="-3"/>
          <w:sz w:val="24"/>
          <w:szCs w:val="24"/>
        </w:rPr>
        <w:t>48</w:t>
      </w:r>
      <w:r>
        <w:rPr>
          <w:rFonts w:ascii="Times New Roman" w:hAnsi="Times New Roman" w:eastAsia="Times New Roman" w:cs="Times New Roman"/>
          <w:spacing w:val="16"/>
          <w:sz w:val="24"/>
          <w:szCs w:val="24"/>
        </w:rPr>
        <w:t xml:space="preserve"> </w:t>
      </w:r>
      <w:r>
        <w:rPr>
          <w:spacing w:val="-3"/>
          <w:sz w:val="24"/>
          <w:szCs w:val="24"/>
        </w:rPr>
        <w:t>号</w:t>
      </w:r>
      <w:r>
        <w:rPr>
          <w:spacing w:val="-38"/>
          <w:sz w:val="24"/>
          <w:szCs w:val="24"/>
        </w:rPr>
        <w:t>）；</w:t>
      </w:r>
    </w:p>
    <w:p w14:paraId="1749FDB4">
      <w:pPr>
        <w:pStyle w:val="2"/>
        <w:spacing w:before="3" w:line="338" w:lineRule="auto"/>
        <w:ind w:left="38" w:right="30" w:firstLine="499"/>
        <w:rPr>
          <w:sz w:val="24"/>
          <w:szCs w:val="24"/>
        </w:rPr>
      </w:pPr>
      <w:r>
        <w:rPr>
          <w:spacing w:val="2"/>
          <w:sz w:val="24"/>
          <w:szCs w:val="24"/>
        </w:rPr>
        <w:t xml:space="preserve">附件 </w:t>
      </w:r>
      <w:r>
        <w:rPr>
          <w:rFonts w:ascii="Times New Roman" w:hAnsi="Times New Roman" w:eastAsia="Times New Roman" w:cs="Times New Roman"/>
          <w:spacing w:val="2"/>
          <w:sz w:val="24"/>
          <w:szCs w:val="24"/>
        </w:rPr>
        <w:t xml:space="preserve">4    </w:t>
      </w:r>
      <w:r>
        <w:rPr>
          <w:spacing w:val="2"/>
          <w:sz w:val="24"/>
          <w:szCs w:val="24"/>
        </w:rPr>
        <w:t>云南省环境保护厅关于确认云南省曲靖市车马碧水库工程环境影响</w:t>
      </w:r>
      <w:r>
        <w:rPr>
          <w:spacing w:val="-4"/>
          <w:sz w:val="24"/>
          <w:szCs w:val="24"/>
        </w:rPr>
        <w:t>评价执行标准的复函（云环函〔</w:t>
      </w:r>
      <w:r>
        <w:rPr>
          <w:rFonts w:ascii="Times New Roman" w:hAnsi="Times New Roman" w:eastAsia="Times New Roman" w:cs="Times New Roman"/>
          <w:spacing w:val="-4"/>
          <w:sz w:val="24"/>
          <w:szCs w:val="24"/>
        </w:rPr>
        <w:t>2016</w:t>
      </w:r>
      <w:r>
        <w:rPr>
          <w:spacing w:val="-4"/>
          <w:sz w:val="24"/>
          <w:szCs w:val="24"/>
        </w:rPr>
        <w:t>〕</w:t>
      </w:r>
      <w:r>
        <w:rPr>
          <w:rFonts w:ascii="Times New Roman" w:hAnsi="Times New Roman" w:eastAsia="Times New Roman" w:cs="Times New Roman"/>
          <w:spacing w:val="-4"/>
          <w:sz w:val="24"/>
          <w:szCs w:val="24"/>
        </w:rPr>
        <w:t>38</w:t>
      </w:r>
      <w:r>
        <w:rPr>
          <w:rFonts w:ascii="Times New Roman" w:hAnsi="Times New Roman" w:eastAsia="Times New Roman" w:cs="Times New Roman"/>
          <w:spacing w:val="15"/>
          <w:sz w:val="24"/>
          <w:szCs w:val="24"/>
        </w:rPr>
        <w:t xml:space="preserve"> </w:t>
      </w:r>
      <w:r>
        <w:rPr>
          <w:spacing w:val="-4"/>
          <w:sz w:val="24"/>
          <w:szCs w:val="24"/>
        </w:rPr>
        <w:t>号</w:t>
      </w:r>
      <w:r>
        <w:rPr>
          <w:spacing w:val="-36"/>
          <w:sz w:val="24"/>
          <w:szCs w:val="24"/>
        </w:rPr>
        <w:t>）；</w:t>
      </w:r>
    </w:p>
    <w:p w14:paraId="1EFD27EB">
      <w:pPr>
        <w:pStyle w:val="2"/>
        <w:spacing w:line="338" w:lineRule="auto"/>
        <w:ind w:left="38" w:right="30" w:firstLine="499"/>
        <w:rPr>
          <w:sz w:val="24"/>
          <w:szCs w:val="24"/>
        </w:rPr>
      </w:pPr>
      <w:r>
        <w:rPr>
          <w:spacing w:val="-1"/>
          <w:sz w:val="24"/>
          <w:szCs w:val="24"/>
        </w:rPr>
        <w:t xml:space="preserve">附件 </w:t>
      </w:r>
      <w:r>
        <w:rPr>
          <w:rFonts w:ascii="Times New Roman" w:hAnsi="Times New Roman" w:eastAsia="Times New Roman" w:cs="Times New Roman"/>
          <w:spacing w:val="-1"/>
          <w:sz w:val="24"/>
          <w:szCs w:val="24"/>
        </w:rPr>
        <w:t xml:space="preserve">5      </w:t>
      </w:r>
      <w:r>
        <w:rPr>
          <w:spacing w:val="-1"/>
          <w:sz w:val="24"/>
          <w:szCs w:val="24"/>
        </w:rPr>
        <w:t>云南省人民政府关于牛栏江流域（云南省部分）水资</w:t>
      </w:r>
      <w:r>
        <w:rPr>
          <w:spacing w:val="-2"/>
          <w:sz w:val="24"/>
          <w:szCs w:val="24"/>
        </w:rPr>
        <w:t>源综合利用规</w:t>
      </w:r>
      <w:r>
        <w:rPr>
          <w:spacing w:val="-4"/>
          <w:sz w:val="24"/>
          <w:szCs w:val="24"/>
        </w:rPr>
        <w:t>划修编报告的批复（云政复〔</w:t>
      </w:r>
      <w:r>
        <w:rPr>
          <w:rFonts w:ascii="Times New Roman" w:hAnsi="Times New Roman" w:eastAsia="Times New Roman" w:cs="Times New Roman"/>
          <w:spacing w:val="-4"/>
          <w:sz w:val="24"/>
          <w:szCs w:val="24"/>
        </w:rPr>
        <w:t>2008</w:t>
      </w:r>
      <w:r>
        <w:rPr>
          <w:spacing w:val="-4"/>
          <w:sz w:val="24"/>
          <w:szCs w:val="24"/>
        </w:rPr>
        <w:t>〕</w:t>
      </w:r>
      <w:r>
        <w:rPr>
          <w:rFonts w:ascii="Times New Roman" w:hAnsi="Times New Roman" w:eastAsia="Times New Roman" w:cs="Times New Roman"/>
          <w:spacing w:val="-4"/>
          <w:sz w:val="24"/>
          <w:szCs w:val="24"/>
        </w:rPr>
        <w:t>33</w:t>
      </w:r>
      <w:r>
        <w:rPr>
          <w:rFonts w:ascii="Times New Roman" w:hAnsi="Times New Roman" w:eastAsia="Times New Roman" w:cs="Times New Roman"/>
          <w:spacing w:val="15"/>
          <w:sz w:val="24"/>
          <w:szCs w:val="24"/>
        </w:rPr>
        <w:t xml:space="preserve"> </w:t>
      </w:r>
      <w:r>
        <w:rPr>
          <w:spacing w:val="-4"/>
          <w:sz w:val="24"/>
          <w:szCs w:val="24"/>
        </w:rPr>
        <w:t>号</w:t>
      </w:r>
      <w:r>
        <w:rPr>
          <w:spacing w:val="-38"/>
          <w:sz w:val="24"/>
          <w:szCs w:val="24"/>
        </w:rPr>
        <w:t>）；</w:t>
      </w:r>
    </w:p>
    <w:p w14:paraId="1F7AB5A9">
      <w:pPr>
        <w:pStyle w:val="2"/>
        <w:spacing w:line="233" w:lineRule="auto"/>
        <w:ind w:right="30"/>
        <w:jc w:val="right"/>
        <w:rPr>
          <w:sz w:val="24"/>
          <w:szCs w:val="24"/>
        </w:rPr>
      </w:pPr>
      <w:r>
        <w:rPr>
          <w:spacing w:val="-1"/>
          <w:sz w:val="24"/>
          <w:szCs w:val="24"/>
        </w:rPr>
        <w:t xml:space="preserve">附件 </w:t>
      </w:r>
      <w:r>
        <w:rPr>
          <w:rFonts w:ascii="Times New Roman" w:hAnsi="Times New Roman" w:eastAsia="Times New Roman" w:cs="Times New Roman"/>
          <w:spacing w:val="-1"/>
          <w:sz w:val="24"/>
          <w:szCs w:val="24"/>
        </w:rPr>
        <w:t xml:space="preserve">6      </w:t>
      </w:r>
      <w:r>
        <w:rPr>
          <w:spacing w:val="-1"/>
          <w:sz w:val="24"/>
          <w:szCs w:val="24"/>
        </w:rPr>
        <w:t>云南省环保局关于《牛栏江流域（云南省部分）水资</w:t>
      </w:r>
      <w:r>
        <w:rPr>
          <w:spacing w:val="-2"/>
          <w:sz w:val="24"/>
          <w:szCs w:val="24"/>
        </w:rPr>
        <w:t>源综合利用规</w:t>
      </w:r>
    </w:p>
    <w:p w14:paraId="75CFBEC1">
      <w:pPr>
        <w:spacing w:line="233" w:lineRule="auto"/>
        <w:rPr>
          <w:sz w:val="24"/>
          <w:szCs w:val="24"/>
        </w:rPr>
        <w:sectPr>
          <w:footerReference r:id="rId7" w:type="default"/>
          <w:pgSz w:w="11907" w:h="16839"/>
          <w:pgMar w:top="1659" w:right="1669" w:bottom="1414" w:left="1671" w:header="1282" w:footer="1212" w:gutter="0"/>
          <w:cols w:space="720" w:num="1"/>
        </w:sectPr>
      </w:pPr>
    </w:p>
    <w:p w14:paraId="09C57FD5">
      <w:pPr>
        <w:spacing w:line="454" w:lineRule="auto"/>
        <w:rPr>
          <w:rFonts w:ascii="Arial"/>
          <w:sz w:val="21"/>
        </w:rPr>
      </w:pPr>
    </w:p>
    <w:p w14:paraId="49186A96">
      <w:pPr>
        <w:pStyle w:val="2"/>
        <w:spacing w:before="78" w:line="232" w:lineRule="auto"/>
        <w:ind w:left="38"/>
        <w:rPr>
          <w:sz w:val="24"/>
          <w:szCs w:val="24"/>
        </w:rPr>
      </w:pPr>
      <w:r>
        <w:rPr>
          <w:spacing w:val="-3"/>
          <w:sz w:val="24"/>
          <w:szCs w:val="24"/>
        </w:rPr>
        <w:t>划修编环境影响报告书》审查意见的报告（云环字〔</w:t>
      </w:r>
      <w:r>
        <w:rPr>
          <w:rFonts w:ascii="Times New Roman" w:hAnsi="Times New Roman" w:eastAsia="Times New Roman" w:cs="Times New Roman"/>
          <w:spacing w:val="-3"/>
          <w:sz w:val="24"/>
          <w:szCs w:val="24"/>
        </w:rPr>
        <w:t>2008</w:t>
      </w:r>
      <w:r>
        <w:rPr>
          <w:spacing w:val="-3"/>
          <w:sz w:val="24"/>
          <w:szCs w:val="24"/>
        </w:rPr>
        <w:t>〕</w:t>
      </w:r>
      <w:r>
        <w:rPr>
          <w:rFonts w:ascii="Times New Roman" w:hAnsi="Times New Roman" w:eastAsia="Times New Roman" w:cs="Times New Roman"/>
          <w:spacing w:val="-3"/>
          <w:sz w:val="24"/>
          <w:szCs w:val="24"/>
        </w:rPr>
        <w:t>318</w:t>
      </w:r>
      <w:r>
        <w:rPr>
          <w:rFonts w:ascii="Times New Roman" w:hAnsi="Times New Roman" w:eastAsia="Times New Roman" w:cs="Times New Roman"/>
          <w:spacing w:val="15"/>
          <w:sz w:val="24"/>
          <w:szCs w:val="24"/>
        </w:rPr>
        <w:t xml:space="preserve"> </w:t>
      </w:r>
      <w:r>
        <w:rPr>
          <w:spacing w:val="-3"/>
          <w:sz w:val="24"/>
          <w:szCs w:val="24"/>
        </w:rPr>
        <w:t>号</w:t>
      </w:r>
      <w:r>
        <w:rPr>
          <w:spacing w:val="-32"/>
          <w:sz w:val="24"/>
          <w:szCs w:val="24"/>
        </w:rPr>
        <w:t>）；</w:t>
      </w:r>
    </w:p>
    <w:p w14:paraId="25F5C976">
      <w:pPr>
        <w:pStyle w:val="2"/>
        <w:spacing w:before="140" w:line="338" w:lineRule="auto"/>
        <w:ind w:left="44" w:right="110" w:firstLine="493"/>
        <w:rPr>
          <w:sz w:val="24"/>
          <w:szCs w:val="24"/>
        </w:rPr>
      </w:pPr>
      <w:r>
        <w:rPr>
          <w:spacing w:val="-1"/>
          <w:sz w:val="24"/>
          <w:szCs w:val="24"/>
        </w:rPr>
        <w:t xml:space="preserve">附件 </w:t>
      </w:r>
      <w:r>
        <w:rPr>
          <w:rFonts w:ascii="Times New Roman" w:hAnsi="Times New Roman" w:eastAsia="Times New Roman" w:cs="Times New Roman"/>
          <w:spacing w:val="-1"/>
          <w:sz w:val="24"/>
          <w:szCs w:val="24"/>
        </w:rPr>
        <w:t xml:space="preserve">7      </w:t>
      </w:r>
      <w:r>
        <w:rPr>
          <w:spacing w:val="-1"/>
          <w:sz w:val="24"/>
          <w:szCs w:val="24"/>
        </w:rPr>
        <w:t>马龙县人民政府关于承诺落实车马碧水库建设环境保</w:t>
      </w:r>
      <w:r>
        <w:rPr>
          <w:spacing w:val="-2"/>
          <w:sz w:val="24"/>
          <w:szCs w:val="24"/>
        </w:rPr>
        <w:t>护对策相关事</w:t>
      </w:r>
      <w:r>
        <w:rPr>
          <w:spacing w:val="-7"/>
          <w:sz w:val="24"/>
          <w:szCs w:val="24"/>
        </w:rPr>
        <w:t>宜的函，</w:t>
      </w:r>
      <w:r>
        <w:rPr>
          <w:rFonts w:ascii="Times New Roman" w:hAnsi="Times New Roman" w:eastAsia="Times New Roman" w:cs="Times New Roman"/>
          <w:spacing w:val="-7"/>
          <w:sz w:val="24"/>
          <w:szCs w:val="24"/>
        </w:rPr>
        <w:t xml:space="preserve">2016 </w:t>
      </w:r>
      <w:r>
        <w:rPr>
          <w:spacing w:val="-7"/>
          <w:sz w:val="24"/>
          <w:szCs w:val="24"/>
        </w:rPr>
        <w:t>年</w:t>
      </w:r>
      <w:r>
        <w:rPr>
          <w:spacing w:val="-33"/>
          <w:sz w:val="24"/>
          <w:szCs w:val="24"/>
        </w:rPr>
        <w:t xml:space="preserve"> </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16"/>
          <w:sz w:val="24"/>
          <w:szCs w:val="24"/>
        </w:rPr>
        <w:t xml:space="preserve"> </w:t>
      </w:r>
      <w:r>
        <w:rPr>
          <w:spacing w:val="-7"/>
          <w:sz w:val="24"/>
          <w:szCs w:val="24"/>
        </w:rPr>
        <w:t>月</w:t>
      </w:r>
      <w:r>
        <w:rPr>
          <w:spacing w:val="-55"/>
          <w:sz w:val="24"/>
          <w:szCs w:val="24"/>
        </w:rPr>
        <w:t xml:space="preserve"> </w:t>
      </w:r>
      <w:r>
        <w:rPr>
          <w:rFonts w:ascii="Times New Roman" w:hAnsi="Times New Roman" w:eastAsia="Times New Roman" w:cs="Times New Roman"/>
          <w:spacing w:val="-7"/>
          <w:sz w:val="24"/>
          <w:szCs w:val="24"/>
        </w:rPr>
        <w:t xml:space="preserve">25  </w:t>
      </w:r>
      <w:r>
        <w:rPr>
          <w:spacing w:val="-7"/>
          <w:sz w:val="24"/>
          <w:szCs w:val="24"/>
        </w:rPr>
        <w:t>日；</w:t>
      </w:r>
    </w:p>
    <w:p w14:paraId="6A5A31A8">
      <w:pPr>
        <w:pStyle w:val="2"/>
        <w:spacing w:line="232" w:lineRule="auto"/>
        <w:ind w:left="538"/>
        <w:rPr>
          <w:sz w:val="24"/>
          <w:szCs w:val="24"/>
        </w:rPr>
      </w:pPr>
      <w:r>
        <w:rPr>
          <w:spacing w:val="-3"/>
          <w:sz w:val="24"/>
          <w:szCs w:val="24"/>
        </w:rPr>
        <w:t>附件</w:t>
      </w:r>
      <w:r>
        <w:rPr>
          <w:spacing w:val="-29"/>
          <w:sz w:val="24"/>
          <w:szCs w:val="24"/>
        </w:rPr>
        <w:t xml:space="preserve"> </w:t>
      </w:r>
      <w:r>
        <w:rPr>
          <w:rFonts w:ascii="Times New Roman" w:hAnsi="Times New Roman" w:eastAsia="Times New Roman" w:cs="Times New Roman"/>
          <w:spacing w:val="-3"/>
          <w:sz w:val="24"/>
          <w:szCs w:val="24"/>
        </w:rPr>
        <w:t xml:space="preserve">8        </w:t>
      </w:r>
      <w:r>
        <w:rPr>
          <w:spacing w:val="-3"/>
          <w:sz w:val="24"/>
          <w:szCs w:val="24"/>
        </w:rPr>
        <w:t>马龙区人民政府对车马碧水库库底清理工作的专项验收意见；</w:t>
      </w:r>
    </w:p>
    <w:p w14:paraId="4A7F36E9">
      <w:pPr>
        <w:pStyle w:val="2"/>
        <w:spacing w:before="137" w:line="233" w:lineRule="auto"/>
        <w:ind w:left="538"/>
        <w:rPr>
          <w:sz w:val="24"/>
          <w:szCs w:val="24"/>
        </w:rPr>
      </w:pPr>
      <w:r>
        <w:rPr>
          <w:spacing w:val="-3"/>
          <w:sz w:val="24"/>
          <w:szCs w:val="24"/>
        </w:rPr>
        <w:t>附件</w:t>
      </w:r>
      <w:r>
        <w:rPr>
          <w:spacing w:val="-32"/>
          <w:sz w:val="24"/>
          <w:szCs w:val="24"/>
        </w:rPr>
        <w:t xml:space="preserve"> </w:t>
      </w:r>
      <w:r>
        <w:rPr>
          <w:rFonts w:ascii="Times New Roman" w:hAnsi="Times New Roman" w:eastAsia="Times New Roman" w:cs="Times New Roman"/>
          <w:spacing w:val="-3"/>
          <w:sz w:val="24"/>
          <w:szCs w:val="24"/>
        </w:rPr>
        <w:t xml:space="preserve">9      </w:t>
      </w:r>
      <w:r>
        <w:rPr>
          <w:spacing w:val="-3"/>
          <w:sz w:val="24"/>
          <w:szCs w:val="24"/>
        </w:rPr>
        <w:t>马龙区疾病预防控制中心对车马碧水库库底卫生清理验收意见；</w:t>
      </w:r>
    </w:p>
    <w:p w14:paraId="3EA48B2E">
      <w:pPr>
        <w:pStyle w:val="2"/>
        <w:spacing w:before="136" w:line="339" w:lineRule="auto"/>
        <w:ind w:left="60" w:right="126" w:firstLine="477"/>
        <w:rPr>
          <w:sz w:val="24"/>
          <w:szCs w:val="24"/>
        </w:rPr>
      </w:pPr>
      <w:r>
        <w:rPr>
          <w:spacing w:val="-4"/>
          <w:sz w:val="24"/>
          <w:szCs w:val="24"/>
        </w:rPr>
        <w:t>附件</w:t>
      </w:r>
      <w:r>
        <w:rPr>
          <w:spacing w:val="-25"/>
          <w:sz w:val="24"/>
          <w:szCs w:val="24"/>
        </w:rPr>
        <w:t xml:space="preserve"> </w:t>
      </w:r>
      <w:r>
        <w:rPr>
          <w:rFonts w:ascii="Times New Roman" w:hAnsi="Times New Roman" w:eastAsia="Times New Roman" w:cs="Times New Roman"/>
          <w:spacing w:val="-4"/>
          <w:sz w:val="24"/>
          <w:szCs w:val="24"/>
        </w:rPr>
        <w:t xml:space="preserve">10      </w:t>
      </w:r>
      <w:r>
        <w:rPr>
          <w:spacing w:val="-4"/>
          <w:sz w:val="24"/>
          <w:szCs w:val="24"/>
        </w:rPr>
        <w:t>云南省搬迁安置办公室关于印发《云南省曲靖市车马碧水库工程下</w:t>
      </w:r>
      <w:r>
        <w:rPr>
          <w:spacing w:val="-3"/>
          <w:sz w:val="24"/>
          <w:szCs w:val="24"/>
        </w:rPr>
        <w:t>闸蓄水阶段建设征地移民安置终验报告》的通知（云搬发〔</w:t>
      </w:r>
      <w:r>
        <w:rPr>
          <w:rFonts w:ascii="Times New Roman" w:hAnsi="Times New Roman" w:eastAsia="Times New Roman" w:cs="Times New Roman"/>
          <w:spacing w:val="-3"/>
          <w:sz w:val="24"/>
          <w:szCs w:val="24"/>
        </w:rPr>
        <w:t>2021</w:t>
      </w:r>
      <w:r>
        <w:rPr>
          <w:spacing w:val="-3"/>
          <w:sz w:val="24"/>
          <w:szCs w:val="24"/>
        </w:rPr>
        <w:t>〕</w:t>
      </w:r>
      <w:r>
        <w:rPr>
          <w:rFonts w:ascii="Times New Roman" w:hAnsi="Times New Roman" w:eastAsia="Times New Roman" w:cs="Times New Roman"/>
          <w:spacing w:val="-3"/>
          <w:sz w:val="24"/>
          <w:szCs w:val="24"/>
        </w:rPr>
        <w:t>19</w:t>
      </w:r>
      <w:r>
        <w:rPr>
          <w:rFonts w:ascii="Times New Roman" w:hAnsi="Times New Roman" w:eastAsia="Times New Roman" w:cs="Times New Roman"/>
          <w:spacing w:val="16"/>
          <w:w w:val="101"/>
          <w:sz w:val="24"/>
          <w:szCs w:val="24"/>
        </w:rPr>
        <w:t xml:space="preserve"> </w:t>
      </w:r>
      <w:r>
        <w:rPr>
          <w:spacing w:val="-3"/>
          <w:sz w:val="24"/>
          <w:szCs w:val="24"/>
        </w:rPr>
        <w:t>号</w:t>
      </w:r>
      <w:r>
        <w:rPr>
          <w:spacing w:val="-18"/>
          <w:sz w:val="24"/>
          <w:szCs w:val="24"/>
        </w:rPr>
        <w:t>）；</w:t>
      </w:r>
    </w:p>
    <w:p w14:paraId="29348F34">
      <w:pPr>
        <w:pStyle w:val="2"/>
        <w:spacing w:line="338" w:lineRule="auto"/>
        <w:ind w:left="37" w:right="117" w:firstLine="500"/>
        <w:rPr>
          <w:sz w:val="24"/>
          <w:szCs w:val="24"/>
        </w:rPr>
      </w:pPr>
      <w:r>
        <w:rPr>
          <w:spacing w:val="2"/>
          <w:sz w:val="24"/>
          <w:szCs w:val="24"/>
        </w:rPr>
        <w:t xml:space="preserve">附件 </w:t>
      </w:r>
      <w:r>
        <w:rPr>
          <w:rFonts w:ascii="Times New Roman" w:hAnsi="Times New Roman" w:eastAsia="Times New Roman" w:cs="Times New Roman"/>
          <w:spacing w:val="2"/>
          <w:sz w:val="24"/>
          <w:szCs w:val="24"/>
        </w:rPr>
        <w:t xml:space="preserve">11      </w:t>
      </w:r>
      <w:r>
        <w:rPr>
          <w:spacing w:val="2"/>
          <w:sz w:val="24"/>
          <w:szCs w:val="24"/>
        </w:rPr>
        <w:t>云南省水利厅关于印送曲靖市车马碧水库</w:t>
      </w:r>
      <w:r>
        <w:rPr>
          <w:spacing w:val="1"/>
          <w:sz w:val="24"/>
          <w:szCs w:val="24"/>
        </w:rPr>
        <w:t>旁路系统工程专项设计</w:t>
      </w:r>
      <w:r>
        <w:rPr>
          <w:spacing w:val="-1"/>
          <w:sz w:val="24"/>
          <w:szCs w:val="24"/>
        </w:rPr>
        <w:t>报告评审意见的通知（云水建管〔</w:t>
      </w:r>
      <w:r>
        <w:rPr>
          <w:rFonts w:ascii="Times New Roman" w:hAnsi="Times New Roman" w:eastAsia="Times New Roman" w:cs="Times New Roman"/>
          <w:spacing w:val="-1"/>
          <w:sz w:val="24"/>
          <w:szCs w:val="24"/>
        </w:rPr>
        <w:t>2022</w:t>
      </w:r>
      <w:r>
        <w:rPr>
          <w:spacing w:val="-1"/>
          <w:sz w:val="24"/>
          <w:szCs w:val="24"/>
        </w:rPr>
        <w:t>〕</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15"/>
          <w:w w:val="101"/>
          <w:sz w:val="24"/>
          <w:szCs w:val="24"/>
        </w:rPr>
        <w:t xml:space="preserve"> </w:t>
      </w:r>
      <w:r>
        <w:rPr>
          <w:spacing w:val="-2"/>
          <w:sz w:val="24"/>
          <w:szCs w:val="24"/>
        </w:rPr>
        <w:t>号</w:t>
      </w:r>
      <w:r>
        <w:rPr>
          <w:spacing w:val="-44"/>
          <w:sz w:val="24"/>
          <w:szCs w:val="24"/>
        </w:rPr>
        <w:t>）；</w:t>
      </w:r>
    </w:p>
    <w:p w14:paraId="1F5D7C9F">
      <w:pPr>
        <w:pStyle w:val="2"/>
        <w:spacing w:before="1" w:line="338" w:lineRule="auto"/>
        <w:ind w:left="45" w:firstLine="492"/>
        <w:rPr>
          <w:sz w:val="24"/>
          <w:szCs w:val="24"/>
        </w:rPr>
      </w:pPr>
      <w:r>
        <w:rPr>
          <w:spacing w:val="-1"/>
          <w:sz w:val="24"/>
          <w:szCs w:val="24"/>
        </w:rPr>
        <w:t xml:space="preserve">附件 </w:t>
      </w:r>
      <w:r>
        <w:rPr>
          <w:rFonts w:ascii="Times New Roman" w:hAnsi="Times New Roman" w:eastAsia="Times New Roman" w:cs="Times New Roman"/>
          <w:spacing w:val="-1"/>
          <w:sz w:val="24"/>
          <w:szCs w:val="24"/>
        </w:rPr>
        <w:t xml:space="preserve">12      </w:t>
      </w:r>
      <w:r>
        <w:rPr>
          <w:spacing w:val="-1"/>
          <w:sz w:val="24"/>
          <w:szCs w:val="24"/>
        </w:rPr>
        <w:t>《云南省曲靖市车马碧水库旁路</w:t>
      </w:r>
      <w:r>
        <w:rPr>
          <w:spacing w:val="-2"/>
          <w:sz w:val="24"/>
          <w:szCs w:val="24"/>
        </w:rPr>
        <w:t>系统工程专项设计报告评审意见》</w:t>
      </w:r>
      <w:r>
        <w:rPr>
          <w:sz w:val="24"/>
          <w:szCs w:val="24"/>
        </w:rPr>
        <w:t xml:space="preserve"> </w:t>
      </w:r>
      <w:r>
        <w:rPr>
          <w:spacing w:val="-5"/>
          <w:sz w:val="24"/>
          <w:szCs w:val="24"/>
        </w:rPr>
        <w:t>（云水技审〔</w:t>
      </w:r>
      <w:r>
        <w:rPr>
          <w:rFonts w:ascii="Times New Roman" w:hAnsi="Times New Roman" w:eastAsia="Times New Roman" w:cs="Times New Roman"/>
          <w:spacing w:val="-5"/>
          <w:sz w:val="24"/>
          <w:szCs w:val="24"/>
        </w:rPr>
        <w:t>2021</w:t>
      </w:r>
      <w:r>
        <w:rPr>
          <w:spacing w:val="-5"/>
          <w:sz w:val="24"/>
          <w:szCs w:val="24"/>
        </w:rPr>
        <w:t>〕</w:t>
      </w:r>
      <w:r>
        <w:rPr>
          <w:rFonts w:ascii="Times New Roman" w:hAnsi="Times New Roman" w:eastAsia="Times New Roman" w:cs="Times New Roman"/>
          <w:spacing w:val="-5"/>
          <w:sz w:val="24"/>
          <w:szCs w:val="24"/>
        </w:rPr>
        <w:t>41</w:t>
      </w:r>
      <w:r>
        <w:rPr>
          <w:rFonts w:ascii="Times New Roman" w:hAnsi="Times New Roman" w:eastAsia="Times New Roman" w:cs="Times New Roman"/>
          <w:spacing w:val="15"/>
          <w:sz w:val="24"/>
          <w:szCs w:val="24"/>
        </w:rPr>
        <w:t xml:space="preserve"> </w:t>
      </w:r>
      <w:r>
        <w:rPr>
          <w:spacing w:val="-5"/>
          <w:sz w:val="24"/>
          <w:szCs w:val="24"/>
        </w:rPr>
        <w:t>号</w:t>
      </w:r>
      <w:r>
        <w:rPr>
          <w:spacing w:val="-26"/>
          <w:sz w:val="24"/>
          <w:szCs w:val="24"/>
        </w:rPr>
        <w:t>）；</w:t>
      </w:r>
    </w:p>
    <w:p w14:paraId="319CF227">
      <w:pPr>
        <w:pStyle w:val="2"/>
        <w:spacing w:before="1" w:line="232" w:lineRule="auto"/>
        <w:ind w:left="538"/>
        <w:rPr>
          <w:sz w:val="24"/>
          <w:szCs w:val="24"/>
        </w:rPr>
      </w:pPr>
      <w:r>
        <w:rPr>
          <w:spacing w:val="-3"/>
          <w:sz w:val="24"/>
          <w:szCs w:val="24"/>
        </w:rPr>
        <w:t>附件</w:t>
      </w:r>
      <w:r>
        <w:rPr>
          <w:spacing w:val="-32"/>
          <w:sz w:val="24"/>
          <w:szCs w:val="24"/>
        </w:rPr>
        <w:t xml:space="preserve"> </w:t>
      </w:r>
      <w:r>
        <w:rPr>
          <w:rFonts w:ascii="Times New Roman" w:hAnsi="Times New Roman" w:eastAsia="Times New Roman" w:cs="Times New Roman"/>
          <w:spacing w:val="-3"/>
          <w:sz w:val="24"/>
          <w:szCs w:val="24"/>
        </w:rPr>
        <w:t xml:space="preserve">13      </w:t>
      </w:r>
      <w:r>
        <w:rPr>
          <w:spacing w:val="-3"/>
          <w:sz w:val="24"/>
          <w:szCs w:val="24"/>
        </w:rPr>
        <w:t>公众意见调查问卷；</w:t>
      </w:r>
    </w:p>
    <w:p w14:paraId="1F54F3E6">
      <w:pPr>
        <w:pStyle w:val="2"/>
        <w:spacing w:before="139" w:line="338" w:lineRule="auto"/>
        <w:ind w:left="49" w:right="110" w:firstLine="488"/>
        <w:rPr>
          <w:sz w:val="24"/>
          <w:szCs w:val="24"/>
        </w:rPr>
      </w:pPr>
      <w:r>
        <w:rPr>
          <w:spacing w:val="-1"/>
          <w:sz w:val="24"/>
          <w:szCs w:val="24"/>
        </w:rPr>
        <w:t xml:space="preserve">附件 </w:t>
      </w:r>
      <w:r>
        <w:rPr>
          <w:rFonts w:ascii="Times New Roman" w:hAnsi="Times New Roman" w:eastAsia="Times New Roman" w:cs="Times New Roman"/>
          <w:spacing w:val="-1"/>
          <w:sz w:val="24"/>
          <w:szCs w:val="24"/>
        </w:rPr>
        <w:t xml:space="preserve">14      </w:t>
      </w:r>
      <w:r>
        <w:rPr>
          <w:spacing w:val="-1"/>
          <w:sz w:val="24"/>
          <w:szCs w:val="24"/>
        </w:rPr>
        <w:t>曲靖市马龙人民政府</w:t>
      </w:r>
      <w:r>
        <w:rPr>
          <w:spacing w:val="-2"/>
          <w:sz w:val="24"/>
          <w:szCs w:val="24"/>
        </w:rPr>
        <w:t>办公室关于</w:t>
      </w:r>
      <w:r>
        <w:rPr>
          <w:rFonts w:ascii="Times New Roman" w:hAnsi="Times New Roman" w:eastAsia="Times New Roman" w:cs="Times New Roman"/>
          <w:spacing w:val="-2"/>
          <w:sz w:val="24"/>
          <w:szCs w:val="24"/>
        </w:rPr>
        <w:t>&lt;</w:t>
      </w:r>
      <w:r>
        <w:rPr>
          <w:spacing w:val="-2"/>
          <w:sz w:val="24"/>
          <w:szCs w:val="24"/>
        </w:rPr>
        <w:t>加强车马碧水库相关河段鱼类栖息地保护方案</w:t>
      </w:r>
      <w:r>
        <w:rPr>
          <w:rFonts w:ascii="Times New Roman" w:hAnsi="Times New Roman" w:eastAsia="Times New Roman" w:cs="Times New Roman"/>
          <w:spacing w:val="-2"/>
          <w:sz w:val="24"/>
          <w:szCs w:val="24"/>
        </w:rPr>
        <w:t>&gt;</w:t>
      </w:r>
      <w:r>
        <w:rPr>
          <w:spacing w:val="-2"/>
          <w:sz w:val="24"/>
          <w:szCs w:val="24"/>
        </w:rPr>
        <w:t>征求意见的通知，及各部门反馈意见。</w:t>
      </w:r>
    </w:p>
    <w:p w14:paraId="5B557B77">
      <w:pPr>
        <w:pStyle w:val="2"/>
        <w:spacing w:before="1" w:line="218" w:lineRule="auto"/>
        <w:ind w:left="58"/>
        <w:rPr>
          <w:sz w:val="24"/>
          <w:szCs w:val="24"/>
        </w:rPr>
      </w:pPr>
      <w:r>
        <w:rPr>
          <w:b/>
          <w:bCs/>
          <w:spacing w:val="-12"/>
          <w:sz w:val="24"/>
          <w:szCs w:val="24"/>
        </w:rPr>
        <w:t>附图：</w:t>
      </w:r>
    </w:p>
    <w:p w14:paraId="375A920B">
      <w:pPr>
        <w:pStyle w:val="2"/>
        <w:spacing w:before="156" w:line="233" w:lineRule="auto"/>
        <w:ind w:left="538"/>
        <w:rPr>
          <w:sz w:val="24"/>
          <w:szCs w:val="24"/>
        </w:rPr>
      </w:pPr>
      <w:r>
        <w:rPr>
          <w:spacing w:val="-4"/>
          <w:sz w:val="24"/>
          <w:szCs w:val="24"/>
        </w:rPr>
        <w:t>附图</w:t>
      </w:r>
      <w:r>
        <w:rPr>
          <w:spacing w:val="-30"/>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调水区牛栏江支流马龙河流域水系图；</w:t>
      </w:r>
    </w:p>
    <w:p w14:paraId="2CD826FD">
      <w:pPr>
        <w:pStyle w:val="2"/>
        <w:spacing w:before="137" w:line="233" w:lineRule="auto"/>
        <w:ind w:left="538"/>
        <w:rPr>
          <w:sz w:val="24"/>
          <w:szCs w:val="24"/>
        </w:rPr>
      </w:pPr>
      <w:r>
        <w:rPr>
          <w:spacing w:val="-3"/>
          <w:sz w:val="24"/>
          <w:szCs w:val="24"/>
        </w:rPr>
        <w:t>附图</w:t>
      </w:r>
      <w:r>
        <w:rPr>
          <w:spacing w:val="-46"/>
          <w:sz w:val="24"/>
          <w:szCs w:val="24"/>
        </w:rPr>
        <w:t xml:space="preserve"> </w:t>
      </w:r>
      <w:r>
        <w:rPr>
          <w:rFonts w:ascii="Times New Roman" w:hAnsi="Times New Roman" w:eastAsia="Times New Roman" w:cs="Times New Roman"/>
          <w:spacing w:val="-3"/>
          <w:sz w:val="24"/>
          <w:szCs w:val="24"/>
        </w:rPr>
        <w:t xml:space="preserve">2        </w:t>
      </w:r>
      <w:r>
        <w:rPr>
          <w:spacing w:val="-3"/>
          <w:sz w:val="24"/>
          <w:szCs w:val="24"/>
        </w:rPr>
        <w:t>受水区南盘江流域曲靖灌区水资源规划示意图；</w:t>
      </w:r>
    </w:p>
    <w:p w14:paraId="74122847">
      <w:pPr>
        <w:pStyle w:val="2"/>
        <w:spacing w:before="137" w:line="233" w:lineRule="auto"/>
        <w:ind w:left="538"/>
        <w:rPr>
          <w:sz w:val="24"/>
          <w:szCs w:val="24"/>
        </w:rPr>
      </w:pPr>
      <w:r>
        <w:rPr>
          <w:spacing w:val="-4"/>
          <w:sz w:val="24"/>
          <w:szCs w:val="24"/>
        </w:rPr>
        <w:t>附图</w:t>
      </w:r>
      <w:r>
        <w:rPr>
          <w:spacing w:val="-34"/>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车马碧水库工程环境敏感点分布图；</w:t>
      </w:r>
    </w:p>
    <w:p w14:paraId="5D53848B">
      <w:pPr>
        <w:pStyle w:val="2"/>
        <w:spacing w:before="137" w:line="233" w:lineRule="auto"/>
        <w:ind w:left="538"/>
        <w:rPr>
          <w:sz w:val="24"/>
          <w:szCs w:val="24"/>
        </w:rPr>
      </w:pPr>
      <w:r>
        <w:rPr>
          <w:spacing w:val="-3"/>
          <w:sz w:val="24"/>
          <w:szCs w:val="24"/>
        </w:rPr>
        <w:t>附图</w:t>
      </w:r>
      <w:r>
        <w:rPr>
          <w:spacing w:val="-56"/>
          <w:sz w:val="24"/>
          <w:szCs w:val="24"/>
        </w:rPr>
        <w:t xml:space="preserve"> </w:t>
      </w:r>
      <w:r>
        <w:rPr>
          <w:rFonts w:ascii="Times New Roman" w:hAnsi="Times New Roman" w:eastAsia="Times New Roman" w:cs="Times New Roman"/>
          <w:spacing w:val="-3"/>
          <w:sz w:val="24"/>
          <w:szCs w:val="24"/>
        </w:rPr>
        <w:t xml:space="preserve">4        </w:t>
      </w:r>
      <w:r>
        <w:rPr>
          <w:spacing w:val="-3"/>
          <w:sz w:val="24"/>
          <w:szCs w:val="24"/>
        </w:rPr>
        <w:t>车马碧水库工程总</w:t>
      </w:r>
      <w:r>
        <w:rPr>
          <w:spacing w:val="-4"/>
          <w:sz w:val="24"/>
          <w:szCs w:val="24"/>
        </w:rPr>
        <w:t>体布置示意图；</w:t>
      </w:r>
    </w:p>
    <w:p w14:paraId="712D424C">
      <w:pPr>
        <w:pStyle w:val="2"/>
        <w:spacing w:before="138" w:line="233" w:lineRule="auto"/>
        <w:ind w:left="538"/>
        <w:rPr>
          <w:sz w:val="24"/>
          <w:szCs w:val="24"/>
        </w:rPr>
      </w:pPr>
      <w:r>
        <w:rPr>
          <w:spacing w:val="-4"/>
          <w:sz w:val="24"/>
          <w:szCs w:val="24"/>
        </w:rPr>
        <w:t>附图</w:t>
      </w:r>
      <w:r>
        <w:rPr>
          <w:spacing w:val="-41"/>
          <w:sz w:val="24"/>
          <w:szCs w:val="24"/>
        </w:rPr>
        <w:t xml:space="preserve"> </w:t>
      </w:r>
      <w:r>
        <w:rPr>
          <w:rFonts w:ascii="Times New Roman" w:hAnsi="Times New Roman" w:eastAsia="Times New Roman" w:cs="Times New Roman"/>
          <w:spacing w:val="-4"/>
          <w:sz w:val="24"/>
          <w:szCs w:val="24"/>
        </w:rPr>
        <w:t xml:space="preserve">5        </w:t>
      </w:r>
      <w:r>
        <w:rPr>
          <w:spacing w:val="-4"/>
          <w:sz w:val="24"/>
          <w:szCs w:val="24"/>
        </w:rPr>
        <w:t>车马碧水库工程枢纽区布置图；</w:t>
      </w:r>
    </w:p>
    <w:p w14:paraId="6E5DA1B8">
      <w:pPr>
        <w:pStyle w:val="2"/>
        <w:spacing w:before="136" w:line="233" w:lineRule="auto"/>
        <w:ind w:left="538"/>
        <w:rPr>
          <w:sz w:val="24"/>
          <w:szCs w:val="24"/>
        </w:rPr>
      </w:pPr>
      <w:r>
        <w:rPr>
          <w:spacing w:val="-4"/>
          <w:sz w:val="24"/>
          <w:szCs w:val="24"/>
        </w:rPr>
        <w:t>附图</w:t>
      </w:r>
      <w:r>
        <w:rPr>
          <w:spacing w:val="-37"/>
          <w:sz w:val="24"/>
          <w:szCs w:val="24"/>
        </w:rPr>
        <w:t xml:space="preserve"> </w:t>
      </w:r>
      <w:r>
        <w:rPr>
          <w:rFonts w:ascii="Times New Roman" w:hAnsi="Times New Roman" w:eastAsia="Times New Roman" w:cs="Times New Roman"/>
          <w:spacing w:val="-4"/>
          <w:sz w:val="24"/>
          <w:szCs w:val="24"/>
        </w:rPr>
        <w:t xml:space="preserve">6        </w:t>
      </w:r>
      <w:r>
        <w:rPr>
          <w:spacing w:val="-4"/>
          <w:sz w:val="24"/>
          <w:szCs w:val="24"/>
        </w:rPr>
        <w:t>车马碧水库工程淹没范围示意图；</w:t>
      </w:r>
    </w:p>
    <w:p w14:paraId="2219F650">
      <w:pPr>
        <w:pStyle w:val="2"/>
        <w:spacing w:before="137" w:line="233" w:lineRule="auto"/>
        <w:ind w:left="538"/>
        <w:rPr>
          <w:sz w:val="24"/>
          <w:szCs w:val="24"/>
        </w:rPr>
      </w:pPr>
      <w:r>
        <w:rPr>
          <w:spacing w:val="-3"/>
          <w:sz w:val="24"/>
          <w:szCs w:val="24"/>
        </w:rPr>
        <w:t>附图</w:t>
      </w:r>
      <w:r>
        <w:rPr>
          <w:spacing w:val="-33"/>
          <w:sz w:val="24"/>
          <w:szCs w:val="24"/>
        </w:rPr>
        <w:t xml:space="preserve"> </w:t>
      </w:r>
      <w:r>
        <w:rPr>
          <w:rFonts w:ascii="Times New Roman" w:hAnsi="Times New Roman" w:eastAsia="Times New Roman" w:cs="Times New Roman"/>
          <w:spacing w:val="-3"/>
          <w:sz w:val="24"/>
          <w:szCs w:val="24"/>
        </w:rPr>
        <w:t xml:space="preserve">7        </w:t>
      </w:r>
      <w:r>
        <w:rPr>
          <w:spacing w:val="-3"/>
          <w:sz w:val="24"/>
          <w:szCs w:val="24"/>
        </w:rPr>
        <w:t>运行期生态流量泄放设施平面布置图；</w:t>
      </w:r>
    </w:p>
    <w:p w14:paraId="4DE24A99">
      <w:pPr>
        <w:pStyle w:val="2"/>
        <w:spacing w:before="138" w:line="233" w:lineRule="auto"/>
        <w:ind w:left="538"/>
        <w:rPr>
          <w:sz w:val="24"/>
          <w:szCs w:val="24"/>
        </w:rPr>
      </w:pPr>
      <w:r>
        <w:rPr>
          <w:spacing w:val="-4"/>
          <w:sz w:val="24"/>
          <w:szCs w:val="24"/>
        </w:rPr>
        <w:t>附图</w:t>
      </w:r>
      <w:r>
        <w:rPr>
          <w:spacing w:val="-37"/>
          <w:sz w:val="24"/>
          <w:szCs w:val="24"/>
        </w:rPr>
        <w:t xml:space="preserve"> </w:t>
      </w:r>
      <w:r>
        <w:rPr>
          <w:rFonts w:ascii="Times New Roman" w:hAnsi="Times New Roman" w:eastAsia="Times New Roman" w:cs="Times New Roman"/>
          <w:spacing w:val="-4"/>
          <w:sz w:val="24"/>
          <w:szCs w:val="24"/>
        </w:rPr>
        <w:t xml:space="preserve">8        </w:t>
      </w:r>
      <w:r>
        <w:rPr>
          <w:spacing w:val="-4"/>
          <w:sz w:val="24"/>
          <w:szCs w:val="24"/>
        </w:rPr>
        <w:t>灌溉和生态流量分层取水设施图；</w:t>
      </w:r>
    </w:p>
    <w:p w14:paraId="10009A58">
      <w:pPr>
        <w:pStyle w:val="2"/>
        <w:spacing w:before="136" w:line="233" w:lineRule="auto"/>
        <w:ind w:left="538"/>
        <w:rPr>
          <w:sz w:val="24"/>
          <w:szCs w:val="24"/>
        </w:rPr>
      </w:pPr>
      <w:r>
        <w:rPr>
          <w:spacing w:val="-3"/>
          <w:sz w:val="24"/>
          <w:szCs w:val="24"/>
        </w:rPr>
        <w:t>附图</w:t>
      </w:r>
      <w:r>
        <w:rPr>
          <w:spacing w:val="-39"/>
          <w:sz w:val="24"/>
          <w:szCs w:val="24"/>
        </w:rPr>
        <w:t xml:space="preserve"> </w:t>
      </w:r>
      <w:r>
        <w:rPr>
          <w:rFonts w:ascii="Times New Roman" w:hAnsi="Times New Roman" w:eastAsia="Times New Roman" w:cs="Times New Roman"/>
          <w:spacing w:val="-3"/>
          <w:sz w:val="24"/>
          <w:szCs w:val="24"/>
        </w:rPr>
        <w:t xml:space="preserve">9        </w:t>
      </w:r>
      <w:r>
        <w:rPr>
          <w:spacing w:val="-3"/>
          <w:sz w:val="24"/>
          <w:szCs w:val="24"/>
        </w:rPr>
        <w:t>输水隧洞分层取水设施纵剖面图；</w:t>
      </w:r>
    </w:p>
    <w:p w14:paraId="7317B24D">
      <w:pPr>
        <w:pStyle w:val="2"/>
        <w:spacing w:before="138" w:line="233" w:lineRule="auto"/>
        <w:ind w:left="538"/>
        <w:rPr>
          <w:sz w:val="24"/>
          <w:szCs w:val="24"/>
        </w:rPr>
      </w:pPr>
      <w:r>
        <w:rPr>
          <w:spacing w:val="-4"/>
          <w:sz w:val="24"/>
          <w:szCs w:val="24"/>
        </w:rPr>
        <w:t>附图</w:t>
      </w:r>
      <w:r>
        <w:rPr>
          <w:spacing w:val="-32"/>
          <w:sz w:val="24"/>
          <w:szCs w:val="24"/>
        </w:rPr>
        <w:t xml:space="preserve"> </w:t>
      </w:r>
      <w:r>
        <w:rPr>
          <w:rFonts w:ascii="Times New Roman" w:hAnsi="Times New Roman" w:eastAsia="Times New Roman" w:cs="Times New Roman"/>
          <w:spacing w:val="-4"/>
          <w:sz w:val="24"/>
          <w:szCs w:val="24"/>
        </w:rPr>
        <w:t xml:space="preserve">10      </w:t>
      </w:r>
      <w:r>
        <w:rPr>
          <w:spacing w:val="-4"/>
          <w:sz w:val="24"/>
          <w:szCs w:val="24"/>
        </w:rPr>
        <w:t>车马碧水库工程鱼道总平面布置图；</w:t>
      </w:r>
    </w:p>
    <w:p w14:paraId="6C664FB4">
      <w:pPr>
        <w:pStyle w:val="2"/>
        <w:spacing w:before="137" w:line="233" w:lineRule="auto"/>
        <w:ind w:left="538"/>
        <w:rPr>
          <w:sz w:val="24"/>
          <w:szCs w:val="24"/>
        </w:rPr>
      </w:pPr>
      <w:r>
        <w:rPr>
          <w:spacing w:val="-2"/>
          <w:sz w:val="24"/>
          <w:szCs w:val="24"/>
        </w:rPr>
        <w:t>附图</w:t>
      </w:r>
      <w:r>
        <w:rPr>
          <w:spacing w:val="-32"/>
          <w:sz w:val="24"/>
          <w:szCs w:val="24"/>
        </w:rPr>
        <w:t xml:space="preserve"> </w:t>
      </w:r>
      <w:r>
        <w:rPr>
          <w:rFonts w:ascii="Times New Roman" w:hAnsi="Times New Roman" w:eastAsia="Times New Roman" w:cs="Times New Roman"/>
          <w:spacing w:val="-2"/>
          <w:sz w:val="24"/>
          <w:szCs w:val="24"/>
        </w:rPr>
        <w:t xml:space="preserve">11      </w:t>
      </w:r>
      <w:r>
        <w:rPr>
          <w:spacing w:val="-2"/>
          <w:sz w:val="24"/>
          <w:szCs w:val="24"/>
        </w:rPr>
        <w:t>车马碧水库工程鱼类增殖</w:t>
      </w:r>
      <w:r>
        <w:rPr>
          <w:spacing w:val="-3"/>
          <w:sz w:val="24"/>
          <w:szCs w:val="24"/>
        </w:rPr>
        <w:t>站总平面布置图；</w:t>
      </w:r>
    </w:p>
    <w:p w14:paraId="3A5459B1">
      <w:pPr>
        <w:pStyle w:val="2"/>
        <w:spacing w:before="137" w:line="233" w:lineRule="auto"/>
        <w:ind w:left="538"/>
        <w:rPr>
          <w:sz w:val="24"/>
          <w:szCs w:val="24"/>
        </w:rPr>
      </w:pPr>
      <w:r>
        <w:rPr>
          <w:spacing w:val="-2"/>
          <w:sz w:val="24"/>
          <w:szCs w:val="24"/>
        </w:rPr>
        <w:t>附图</w:t>
      </w:r>
      <w:r>
        <w:rPr>
          <w:spacing w:val="-32"/>
          <w:sz w:val="24"/>
          <w:szCs w:val="24"/>
        </w:rPr>
        <w:t xml:space="preserve"> </w:t>
      </w:r>
      <w:r>
        <w:rPr>
          <w:rFonts w:ascii="Times New Roman" w:hAnsi="Times New Roman" w:eastAsia="Times New Roman" w:cs="Times New Roman"/>
          <w:spacing w:val="-2"/>
          <w:sz w:val="24"/>
          <w:szCs w:val="24"/>
        </w:rPr>
        <w:t xml:space="preserve">12      </w:t>
      </w:r>
      <w:r>
        <w:rPr>
          <w:spacing w:val="-2"/>
          <w:sz w:val="24"/>
          <w:szCs w:val="24"/>
        </w:rPr>
        <w:t>车马碧水库工程移民安置点分布示意</w:t>
      </w:r>
      <w:r>
        <w:rPr>
          <w:spacing w:val="-3"/>
          <w:sz w:val="24"/>
          <w:szCs w:val="24"/>
        </w:rPr>
        <w:t>图。</w:t>
      </w:r>
    </w:p>
    <w:p w14:paraId="1FAB7E36">
      <w:pPr>
        <w:spacing w:line="233" w:lineRule="auto"/>
        <w:rPr>
          <w:sz w:val="24"/>
          <w:szCs w:val="24"/>
        </w:rPr>
        <w:sectPr>
          <w:headerReference r:id="rId8" w:type="default"/>
          <w:footerReference r:id="rId9" w:type="default"/>
          <w:pgSz w:w="11907" w:h="16839"/>
          <w:pgMar w:top="1659" w:right="1589" w:bottom="1414" w:left="1671" w:header="1282" w:footer="1214" w:gutter="0"/>
          <w:cols w:space="720" w:num="1"/>
        </w:sectPr>
      </w:pPr>
    </w:p>
    <w:p w14:paraId="32625A6E">
      <w:pPr>
        <w:spacing w:line="361" w:lineRule="auto"/>
        <w:rPr>
          <w:rFonts w:ascii="Arial"/>
          <w:sz w:val="21"/>
        </w:rPr>
      </w:pPr>
    </w:p>
    <w:p w14:paraId="1750DFDF">
      <w:pPr>
        <w:pStyle w:val="2"/>
        <w:spacing w:before="104" w:line="221" w:lineRule="auto"/>
        <w:ind w:left="3898"/>
      </w:pPr>
      <w:bookmarkStart w:id="0" w:name="bookmark1"/>
      <w:bookmarkEnd w:id="0"/>
      <w:r>
        <w:rPr>
          <w:b/>
          <w:bCs/>
          <w:spacing w:val="-12"/>
        </w:rPr>
        <w:t>前</w:t>
      </w:r>
      <w:r>
        <w:rPr>
          <w:spacing w:val="28"/>
        </w:rPr>
        <w:t xml:space="preserve"> </w:t>
      </w:r>
      <w:r>
        <w:rPr>
          <w:b/>
          <w:bCs/>
          <w:spacing w:val="-12"/>
        </w:rPr>
        <w:t>言</w:t>
      </w:r>
    </w:p>
    <w:p w14:paraId="5B70E9DA">
      <w:pPr>
        <w:pStyle w:val="2"/>
        <w:spacing w:before="250" w:line="338" w:lineRule="auto"/>
        <w:ind w:left="38" w:right="28" w:firstLine="487"/>
        <w:jc w:val="both"/>
        <w:rPr>
          <w:sz w:val="24"/>
          <w:szCs w:val="24"/>
        </w:rPr>
      </w:pPr>
      <w:r>
        <w:rPr>
          <w:spacing w:val="-5"/>
          <w:sz w:val="24"/>
          <w:szCs w:val="24"/>
        </w:rPr>
        <w:t>云南省曲靖市车马碧水库工程为跨流域引水工程。调出区为车马碧水库，位于</w:t>
      </w:r>
      <w:r>
        <w:rPr>
          <w:spacing w:val="-4"/>
          <w:sz w:val="24"/>
          <w:szCs w:val="24"/>
        </w:rPr>
        <w:t>曲靖市马龙区境内，属长江流域金沙江水系；调入区为曲靖灌区，涉及曲靖市</w:t>
      </w:r>
      <w:r>
        <w:rPr>
          <w:spacing w:val="-5"/>
          <w:sz w:val="24"/>
          <w:szCs w:val="24"/>
        </w:rPr>
        <w:t>麒麟</w:t>
      </w:r>
      <w:r>
        <w:rPr>
          <w:spacing w:val="-7"/>
          <w:sz w:val="24"/>
          <w:szCs w:val="24"/>
        </w:rPr>
        <w:t>区、沾益区和陆良县， 属于珠江流域南盘江水系。工程开发任务是：工</w:t>
      </w:r>
      <w:r>
        <w:rPr>
          <w:spacing w:val="-8"/>
          <w:sz w:val="24"/>
          <w:szCs w:val="24"/>
        </w:rPr>
        <w:t>业供水和农</w:t>
      </w:r>
      <w:r>
        <w:rPr>
          <w:spacing w:val="-4"/>
          <w:sz w:val="24"/>
          <w:szCs w:val="24"/>
        </w:rPr>
        <w:t>业灌溉供水，并为改善受水区河道内水环境创造条件。供水对象为曲靖经济技</w:t>
      </w:r>
      <w:r>
        <w:rPr>
          <w:spacing w:val="-5"/>
          <w:sz w:val="24"/>
          <w:szCs w:val="24"/>
        </w:rPr>
        <w:t>术开</w:t>
      </w:r>
      <w:r>
        <w:rPr>
          <w:spacing w:val="-4"/>
          <w:sz w:val="24"/>
          <w:szCs w:val="24"/>
        </w:rPr>
        <w:t>发区的西城工业园区（工业供水）和曲靖灌区（农业灌溉供水）。车马碧水库多年</w:t>
      </w:r>
      <w:r>
        <w:rPr>
          <w:spacing w:val="-3"/>
          <w:sz w:val="24"/>
          <w:szCs w:val="24"/>
        </w:rPr>
        <w:t>平均供水量为</w:t>
      </w:r>
      <w:r>
        <w:rPr>
          <w:spacing w:val="-29"/>
          <w:sz w:val="24"/>
          <w:szCs w:val="24"/>
        </w:rPr>
        <w:t xml:space="preserve"> </w:t>
      </w:r>
      <w:r>
        <w:rPr>
          <w:rFonts w:ascii="Times New Roman" w:hAnsi="Times New Roman" w:eastAsia="Times New Roman" w:cs="Times New Roman"/>
          <w:spacing w:val="-3"/>
          <w:sz w:val="24"/>
          <w:szCs w:val="24"/>
        </w:rPr>
        <w:t>7135</w:t>
      </w:r>
      <w:r>
        <w:rPr>
          <w:rFonts w:ascii="Times New Roman" w:hAnsi="Times New Roman" w:eastAsia="Times New Roman" w:cs="Times New Roman"/>
          <w:spacing w:val="30"/>
          <w:w w:val="101"/>
          <w:sz w:val="24"/>
          <w:szCs w:val="24"/>
        </w:rPr>
        <w:t xml:space="preserve"> </w:t>
      </w:r>
      <w:r>
        <w:rPr>
          <w:spacing w:val="-3"/>
          <w:sz w:val="24"/>
          <w:szCs w:val="24"/>
        </w:rPr>
        <w:t>万</w:t>
      </w:r>
      <w:r>
        <w:rPr>
          <w:spacing w:val="-43"/>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，其中</w:t>
      </w:r>
      <w:r>
        <w:rPr>
          <w:spacing w:val="-64"/>
          <w:sz w:val="24"/>
          <w:szCs w:val="24"/>
        </w:rPr>
        <w:t xml:space="preserve"> </w:t>
      </w:r>
      <w:r>
        <w:rPr>
          <w:spacing w:val="-3"/>
          <w:sz w:val="24"/>
          <w:szCs w:val="24"/>
        </w:rPr>
        <w:t>，工业供水量为</w:t>
      </w:r>
      <w:r>
        <w:rPr>
          <w:spacing w:val="-35"/>
          <w:sz w:val="24"/>
          <w:szCs w:val="24"/>
        </w:rPr>
        <w:t xml:space="preserve"> </w:t>
      </w:r>
      <w:r>
        <w:rPr>
          <w:rFonts w:ascii="Times New Roman" w:hAnsi="Times New Roman" w:eastAsia="Times New Roman" w:cs="Times New Roman"/>
          <w:spacing w:val="-3"/>
          <w:sz w:val="24"/>
          <w:szCs w:val="24"/>
        </w:rPr>
        <w:t>3739</w:t>
      </w:r>
      <w:r>
        <w:rPr>
          <w:rFonts w:ascii="Times New Roman" w:hAnsi="Times New Roman" w:eastAsia="Times New Roman" w:cs="Times New Roman"/>
          <w:spacing w:val="31"/>
          <w:sz w:val="24"/>
          <w:szCs w:val="24"/>
        </w:rPr>
        <w:t xml:space="preserve"> </w:t>
      </w:r>
      <w:r>
        <w:rPr>
          <w:spacing w:val="-3"/>
          <w:sz w:val="24"/>
          <w:szCs w:val="24"/>
        </w:rPr>
        <w:t>万</w:t>
      </w:r>
      <w:r>
        <w:rPr>
          <w:spacing w:val="-43"/>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，农业供水量为</w:t>
      </w:r>
      <w:r>
        <w:rPr>
          <w:spacing w:val="-34"/>
          <w:sz w:val="24"/>
          <w:szCs w:val="24"/>
        </w:rPr>
        <w:t xml:space="preserve"> </w:t>
      </w:r>
      <w:r>
        <w:rPr>
          <w:rFonts w:ascii="Times New Roman" w:hAnsi="Times New Roman" w:eastAsia="Times New Roman" w:cs="Times New Roman"/>
          <w:spacing w:val="-3"/>
          <w:sz w:val="24"/>
          <w:szCs w:val="24"/>
        </w:rPr>
        <w:t>3396</w:t>
      </w:r>
      <w:r>
        <w:rPr>
          <w:spacing w:val="4"/>
          <w:sz w:val="24"/>
          <w:szCs w:val="24"/>
        </w:rPr>
        <w:t>万</w:t>
      </w:r>
      <w:r>
        <w:rPr>
          <w:spacing w:val="-51"/>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spacing w:val="4"/>
          <w:sz w:val="24"/>
          <w:szCs w:val="24"/>
        </w:rPr>
        <w:t>（西河水库灌区为</w:t>
      </w:r>
      <w:r>
        <w:rPr>
          <w:spacing w:val="-32"/>
          <w:sz w:val="24"/>
          <w:szCs w:val="24"/>
        </w:rPr>
        <w:t xml:space="preserve"> </w:t>
      </w:r>
      <w:r>
        <w:rPr>
          <w:rFonts w:ascii="Times New Roman" w:hAnsi="Times New Roman" w:eastAsia="Times New Roman" w:cs="Times New Roman"/>
          <w:spacing w:val="4"/>
          <w:sz w:val="24"/>
          <w:szCs w:val="24"/>
        </w:rPr>
        <w:t xml:space="preserve">1394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spacing w:val="4"/>
          <w:sz w:val="24"/>
          <w:szCs w:val="24"/>
        </w:rPr>
        <w:t>³,潇湘水库灌区为</w:t>
      </w:r>
      <w:r>
        <w:rPr>
          <w:spacing w:val="-31"/>
          <w:sz w:val="24"/>
          <w:szCs w:val="24"/>
        </w:rPr>
        <w:t xml:space="preserve"> </w:t>
      </w:r>
      <w:r>
        <w:rPr>
          <w:rFonts w:ascii="Times New Roman" w:hAnsi="Times New Roman" w:eastAsia="Times New Roman" w:cs="Times New Roman"/>
          <w:spacing w:val="4"/>
          <w:sz w:val="24"/>
          <w:szCs w:val="24"/>
        </w:rPr>
        <w:t xml:space="preserve">1368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spacing w:val="4"/>
          <w:sz w:val="24"/>
          <w:szCs w:val="24"/>
        </w:rPr>
        <w:t>³,莲花田水库灌</w:t>
      </w:r>
      <w:r>
        <w:rPr>
          <w:spacing w:val="-4"/>
          <w:sz w:val="24"/>
          <w:szCs w:val="24"/>
        </w:rPr>
        <w:t>区为</w:t>
      </w:r>
      <w:r>
        <w:rPr>
          <w:spacing w:val="-43"/>
          <w:sz w:val="24"/>
          <w:szCs w:val="24"/>
        </w:rPr>
        <w:t xml:space="preserve"> </w:t>
      </w:r>
      <w:r>
        <w:rPr>
          <w:rFonts w:ascii="Times New Roman" w:hAnsi="Times New Roman" w:eastAsia="Times New Roman" w:cs="Times New Roman"/>
          <w:spacing w:val="-4"/>
          <w:sz w:val="24"/>
          <w:szCs w:val="24"/>
        </w:rPr>
        <w:t>634</w:t>
      </w:r>
      <w:r>
        <w:rPr>
          <w:rFonts w:ascii="Times New Roman" w:hAnsi="Times New Roman" w:eastAsia="Times New Roman" w:cs="Times New Roman"/>
          <w:spacing w:val="23"/>
          <w:sz w:val="24"/>
          <w:szCs w:val="24"/>
        </w:rPr>
        <w:t xml:space="preserve"> </w:t>
      </w:r>
      <w:r>
        <w:rPr>
          <w:spacing w:val="-4"/>
          <w:sz w:val="24"/>
          <w:szCs w:val="24"/>
        </w:rPr>
        <w:t>万</w:t>
      </w:r>
      <w:r>
        <w:rPr>
          <w:spacing w:val="-50"/>
          <w:sz w:val="24"/>
          <w:szCs w:val="24"/>
        </w:rPr>
        <w:t xml:space="preserve"> </w:t>
      </w:r>
      <w:r>
        <w:rPr>
          <w:rFonts w:ascii="Times New Roman" w:hAnsi="Times New Roman" w:eastAsia="Times New Roman" w:cs="Times New Roman"/>
          <w:spacing w:val="-4"/>
          <w:sz w:val="24"/>
          <w:szCs w:val="24"/>
        </w:rPr>
        <w:t>m</w:t>
      </w:r>
      <w:r>
        <w:rPr>
          <w:spacing w:val="-4"/>
          <w:sz w:val="24"/>
          <w:szCs w:val="24"/>
        </w:rPr>
        <w:t>³</w:t>
      </w:r>
      <w:r>
        <w:rPr>
          <w:spacing w:val="-85"/>
          <w:sz w:val="24"/>
          <w:szCs w:val="24"/>
        </w:rPr>
        <w:t xml:space="preserve"> </w:t>
      </w:r>
      <w:r>
        <w:rPr>
          <w:spacing w:val="-4"/>
          <w:sz w:val="24"/>
          <w:szCs w:val="24"/>
        </w:rPr>
        <w:t>),</w:t>
      </w:r>
      <w:r>
        <w:rPr>
          <w:spacing w:val="61"/>
          <w:sz w:val="24"/>
          <w:szCs w:val="24"/>
        </w:rPr>
        <w:t xml:space="preserve"> </w:t>
      </w:r>
      <w:r>
        <w:rPr>
          <w:spacing w:val="-4"/>
          <w:sz w:val="24"/>
          <w:szCs w:val="24"/>
        </w:rPr>
        <w:t>置换农田灌溉面积</w:t>
      </w:r>
      <w:r>
        <w:rPr>
          <w:spacing w:val="-41"/>
          <w:sz w:val="24"/>
          <w:szCs w:val="24"/>
        </w:rPr>
        <w:t xml:space="preserve"> </w:t>
      </w:r>
      <w:r>
        <w:rPr>
          <w:rFonts w:ascii="Times New Roman" w:hAnsi="Times New Roman" w:eastAsia="Times New Roman" w:cs="Times New Roman"/>
          <w:spacing w:val="-4"/>
          <w:sz w:val="24"/>
          <w:szCs w:val="24"/>
        </w:rPr>
        <w:t>5.48</w:t>
      </w:r>
      <w:r>
        <w:rPr>
          <w:rFonts w:ascii="Times New Roman" w:hAnsi="Times New Roman" w:eastAsia="Times New Roman" w:cs="Times New Roman"/>
          <w:spacing w:val="22"/>
          <w:w w:val="101"/>
          <w:sz w:val="24"/>
          <w:szCs w:val="24"/>
        </w:rPr>
        <w:t xml:space="preserve"> </w:t>
      </w:r>
      <w:r>
        <w:rPr>
          <w:spacing w:val="-4"/>
          <w:sz w:val="24"/>
          <w:szCs w:val="24"/>
        </w:rPr>
        <w:t>万亩，通过农业灌溉供水置换</w:t>
      </w:r>
      <w:r>
        <w:rPr>
          <w:spacing w:val="-5"/>
          <w:sz w:val="24"/>
          <w:szCs w:val="24"/>
        </w:rPr>
        <w:t>，为曲靖</w:t>
      </w:r>
      <w:r>
        <w:rPr>
          <w:spacing w:val="-3"/>
          <w:sz w:val="24"/>
          <w:szCs w:val="24"/>
        </w:rPr>
        <w:t>主城区和陆良县城新增供给约</w:t>
      </w:r>
      <w:r>
        <w:rPr>
          <w:spacing w:val="-42"/>
          <w:sz w:val="24"/>
          <w:szCs w:val="24"/>
        </w:rPr>
        <w:t xml:space="preserve"> </w:t>
      </w:r>
      <w:r>
        <w:rPr>
          <w:rFonts w:ascii="Times New Roman" w:hAnsi="Times New Roman" w:eastAsia="Times New Roman" w:cs="Times New Roman"/>
          <w:spacing w:val="-3"/>
          <w:sz w:val="24"/>
          <w:szCs w:val="24"/>
        </w:rPr>
        <w:t>3400</w:t>
      </w:r>
      <w:r>
        <w:rPr>
          <w:rFonts w:ascii="Times New Roman" w:hAnsi="Times New Roman" w:eastAsia="Times New Roman" w:cs="Times New Roman"/>
          <w:spacing w:val="15"/>
          <w:sz w:val="24"/>
          <w:szCs w:val="24"/>
        </w:rPr>
        <w:t xml:space="preserve"> </w:t>
      </w:r>
      <w:r>
        <w:rPr>
          <w:spacing w:val="-3"/>
          <w:sz w:val="24"/>
          <w:szCs w:val="24"/>
        </w:rPr>
        <w:t>万</w:t>
      </w:r>
      <w:r>
        <w:rPr>
          <w:spacing w:val="-57"/>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11"/>
          <w:w w:val="101"/>
          <w:position w:val="8"/>
          <w:sz w:val="15"/>
          <w:szCs w:val="15"/>
        </w:rPr>
        <w:t xml:space="preserve"> </w:t>
      </w:r>
      <w:r>
        <w:rPr>
          <w:spacing w:val="-3"/>
          <w:sz w:val="24"/>
          <w:szCs w:val="24"/>
        </w:rPr>
        <w:t>优质水量。</w:t>
      </w:r>
    </w:p>
    <w:p w14:paraId="3167E0B1">
      <w:pPr>
        <w:pStyle w:val="2"/>
        <w:spacing w:before="4" w:line="337" w:lineRule="auto"/>
        <w:ind w:left="38" w:right="30" w:firstLine="483"/>
        <w:rPr>
          <w:sz w:val="24"/>
          <w:szCs w:val="24"/>
        </w:rPr>
      </w:pPr>
      <w:r>
        <w:rPr>
          <w:spacing w:val="-5"/>
          <w:sz w:val="24"/>
          <w:szCs w:val="24"/>
        </w:rPr>
        <w:t>工程由车马碧水库枢纽工程和输水工程组成。车马碧水库枢纽工程由大坝、溢</w:t>
      </w:r>
      <w:r>
        <w:rPr>
          <w:spacing w:val="-4"/>
          <w:sz w:val="24"/>
          <w:szCs w:val="24"/>
        </w:rPr>
        <w:t>洪道、泄洪放空隧洞、生态灌溉输水管等建筑物组成。大坝位于曲靖市马龙区</w:t>
      </w:r>
      <w:r>
        <w:rPr>
          <w:spacing w:val="-5"/>
          <w:sz w:val="24"/>
          <w:szCs w:val="24"/>
        </w:rPr>
        <w:t>马过</w:t>
      </w:r>
      <w:r>
        <w:rPr>
          <w:spacing w:val="-6"/>
          <w:sz w:val="24"/>
          <w:szCs w:val="24"/>
        </w:rPr>
        <w:t>河镇车马碧村上游约</w:t>
      </w:r>
      <w:r>
        <w:rPr>
          <w:rFonts w:ascii="Times New Roman" w:hAnsi="Times New Roman" w:eastAsia="Times New Roman" w:cs="Times New Roman"/>
          <w:spacing w:val="-6"/>
          <w:sz w:val="24"/>
          <w:szCs w:val="24"/>
        </w:rPr>
        <w:t>600m</w:t>
      </w:r>
      <w:r>
        <w:rPr>
          <w:rFonts w:ascii="Times New Roman" w:hAnsi="Times New Roman" w:eastAsia="Times New Roman" w:cs="Times New Roman"/>
          <w:spacing w:val="-15"/>
          <w:sz w:val="24"/>
          <w:szCs w:val="24"/>
        </w:rPr>
        <w:t xml:space="preserve"> </w:t>
      </w:r>
      <w:r>
        <w:rPr>
          <w:spacing w:val="-6"/>
          <w:sz w:val="24"/>
          <w:szCs w:val="24"/>
        </w:rPr>
        <w:t>处的马龙河干流，为混凝土面板堆石坝，最大坝高</w:t>
      </w:r>
      <w:r>
        <w:rPr>
          <w:rFonts w:ascii="Times New Roman" w:hAnsi="Times New Roman" w:eastAsia="Times New Roman" w:cs="Times New Roman"/>
          <w:spacing w:val="-6"/>
          <w:sz w:val="24"/>
          <w:szCs w:val="24"/>
        </w:rPr>
        <w:t>52m</w:t>
      </w:r>
      <w:r>
        <w:rPr>
          <w:rFonts w:ascii="Times New Roman" w:hAnsi="Times New Roman" w:eastAsia="Times New Roman" w:cs="Times New Roman"/>
          <w:spacing w:val="-29"/>
          <w:sz w:val="24"/>
          <w:szCs w:val="24"/>
        </w:rPr>
        <w:t xml:space="preserve"> </w:t>
      </w:r>
      <w:r>
        <w:rPr>
          <w:spacing w:val="-6"/>
          <w:sz w:val="24"/>
          <w:szCs w:val="24"/>
        </w:rPr>
        <w:t>。</w:t>
      </w:r>
      <w:r>
        <w:rPr>
          <w:spacing w:val="-2"/>
          <w:sz w:val="24"/>
          <w:szCs w:val="24"/>
        </w:rPr>
        <w:t>溢洪道布置在大坝左岸岸坡，为岸边有闸控制，全长</w:t>
      </w:r>
      <w:r>
        <w:rPr>
          <w:spacing w:val="-48"/>
          <w:sz w:val="24"/>
          <w:szCs w:val="24"/>
        </w:rPr>
        <w:t xml:space="preserve"> </w:t>
      </w:r>
      <w:r>
        <w:rPr>
          <w:rFonts w:ascii="Times New Roman" w:hAnsi="Times New Roman" w:eastAsia="Times New Roman" w:cs="Times New Roman"/>
          <w:spacing w:val="-2"/>
          <w:sz w:val="24"/>
          <w:szCs w:val="24"/>
        </w:rPr>
        <w:t>343m</w:t>
      </w:r>
      <w:r>
        <w:rPr>
          <w:rFonts w:ascii="Times New Roman" w:hAnsi="Times New Roman" w:eastAsia="Times New Roman" w:cs="Times New Roman"/>
          <w:spacing w:val="-29"/>
          <w:sz w:val="24"/>
          <w:szCs w:val="24"/>
        </w:rPr>
        <w:t xml:space="preserve"> </w:t>
      </w:r>
      <w:r>
        <w:rPr>
          <w:spacing w:val="-2"/>
          <w:sz w:val="24"/>
          <w:szCs w:val="24"/>
        </w:rPr>
        <w:t>。泄洪放空隧洞平行于</w:t>
      </w:r>
      <w:r>
        <w:rPr>
          <w:spacing w:val="-1"/>
          <w:sz w:val="24"/>
          <w:szCs w:val="24"/>
        </w:rPr>
        <w:t>溢洪道布置在溢洪道左侧山体内，全长</w:t>
      </w:r>
      <w:r>
        <w:rPr>
          <w:spacing w:val="-50"/>
          <w:sz w:val="24"/>
          <w:szCs w:val="24"/>
        </w:rPr>
        <w:t xml:space="preserve"> </w:t>
      </w:r>
      <w:r>
        <w:rPr>
          <w:rFonts w:ascii="Times New Roman" w:hAnsi="Times New Roman" w:eastAsia="Times New Roman" w:cs="Times New Roman"/>
          <w:spacing w:val="-1"/>
          <w:sz w:val="24"/>
          <w:szCs w:val="24"/>
        </w:rPr>
        <w:t>637m</w:t>
      </w:r>
      <w:r>
        <w:rPr>
          <w:spacing w:val="-1"/>
          <w:sz w:val="24"/>
          <w:szCs w:val="24"/>
        </w:rPr>
        <w:t>。输水工程线路全长</w:t>
      </w:r>
      <w:r>
        <w:rPr>
          <w:rFonts w:ascii="Times New Roman" w:hAnsi="Times New Roman" w:eastAsia="Times New Roman" w:cs="Times New Roman"/>
          <w:spacing w:val="-1"/>
          <w:sz w:val="24"/>
          <w:szCs w:val="24"/>
        </w:rPr>
        <w:t>29.6</w:t>
      </w:r>
      <w:r>
        <w:rPr>
          <w:rFonts w:ascii="Times New Roman" w:hAnsi="Times New Roman" w:eastAsia="Times New Roman" w:cs="Times New Roman"/>
          <w:spacing w:val="-2"/>
          <w:sz w:val="24"/>
          <w:szCs w:val="24"/>
        </w:rPr>
        <w:t>23km</w:t>
      </w:r>
      <w:r>
        <w:rPr>
          <w:spacing w:val="-2"/>
          <w:sz w:val="24"/>
          <w:szCs w:val="24"/>
        </w:rPr>
        <w:t>，隧洞</w:t>
      </w:r>
      <w:r>
        <w:rPr>
          <w:spacing w:val="-1"/>
          <w:sz w:val="24"/>
          <w:szCs w:val="24"/>
        </w:rPr>
        <w:t>最大设计流量</w:t>
      </w:r>
      <w:r>
        <w:rPr>
          <w:spacing w:val="-49"/>
          <w:sz w:val="24"/>
          <w:szCs w:val="24"/>
        </w:rPr>
        <w:t xml:space="preserve"> </w:t>
      </w:r>
      <w:r>
        <w:rPr>
          <w:rFonts w:ascii="Times New Roman" w:hAnsi="Times New Roman" w:eastAsia="Times New Roman" w:cs="Times New Roman"/>
          <w:spacing w:val="-1"/>
          <w:sz w:val="24"/>
          <w:szCs w:val="24"/>
        </w:rPr>
        <w:t>5.4m</w:t>
      </w:r>
      <w:r>
        <w:rPr>
          <w:spacing w:val="-1"/>
          <w:sz w:val="24"/>
          <w:szCs w:val="24"/>
        </w:rPr>
        <w:t>³</w:t>
      </w:r>
      <w:r>
        <w:rPr>
          <w:rFonts w:ascii="Times New Roman" w:hAnsi="Times New Roman" w:eastAsia="Times New Roman" w:cs="Times New Roman"/>
          <w:spacing w:val="-1"/>
          <w:sz w:val="24"/>
          <w:szCs w:val="24"/>
        </w:rPr>
        <w:t>/s</w:t>
      </w:r>
      <w:r>
        <w:rPr>
          <w:rFonts w:ascii="Times New Roman" w:hAnsi="Times New Roman" w:eastAsia="Times New Roman" w:cs="Times New Roman"/>
          <w:spacing w:val="-26"/>
          <w:sz w:val="24"/>
          <w:szCs w:val="24"/>
        </w:rPr>
        <w:t xml:space="preserve"> </w:t>
      </w:r>
      <w:r>
        <w:rPr>
          <w:spacing w:val="-1"/>
          <w:sz w:val="24"/>
          <w:szCs w:val="24"/>
        </w:rPr>
        <w:t>。输水隧洞从车马碧</w:t>
      </w:r>
      <w:r>
        <w:rPr>
          <w:spacing w:val="-2"/>
          <w:sz w:val="24"/>
          <w:szCs w:val="24"/>
        </w:rPr>
        <w:t>水库库内取水，进口位于三家村附近马</w:t>
      </w:r>
      <w:r>
        <w:rPr>
          <w:spacing w:val="-3"/>
          <w:sz w:val="24"/>
          <w:szCs w:val="24"/>
        </w:rPr>
        <w:t>龙河河谷转弯处的左岸，距坝址河道距离约</w:t>
      </w:r>
      <w:r>
        <w:rPr>
          <w:spacing w:val="-31"/>
          <w:sz w:val="24"/>
          <w:szCs w:val="24"/>
        </w:rPr>
        <w:t xml:space="preserve"> </w:t>
      </w:r>
      <w:r>
        <w:rPr>
          <w:rFonts w:ascii="Times New Roman" w:hAnsi="Times New Roman" w:eastAsia="Times New Roman" w:cs="Times New Roman"/>
          <w:spacing w:val="-3"/>
          <w:sz w:val="24"/>
          <w:szCs w:val="24"/>
        </w:rPr>
        <w:t>6.2km</w:t>
      </w:r>
      <w:r>
        <w:rPr>
          <w:rFonts w:ascii="Times New Roman" w:hAnsi="Times New Roman" w:eastAsia="Times New Roman" w:cs="Times New Roman"/>
          <w:spacing w:val="-33"/>
          <w:sz w:val="24"/>
          <w:szCs w:val="24"/>
        </w:rPr>
        <w:t xml:space="preserve"> </w:t>
      </w:r>
      <w:r>
        <w:rPr>
          <w:spacing w:val="-3"/>
          <w:sz w:val="24"/>
          <w:szCs w:val="24"/>
        </w:rPr>
        <w:t>，底板高程</w:t>
      </w:r>
      <w:r>
        <w:rPr>
          <w:spacing w:val="-31"/>
          <w:sz w:val="24"/>
          <w:szCs w:val="24"/>
        </w:rPr>
        <w:t xml:space="preserve"> </w:t>
      </w:r>
      <w:r>
        <w:rPr>
          <w:rFonts w:ascii="Times New Roman" w:hAnsi="Times New Roman" w:eastAsia="Times New Roman" w:cs="Times New Roman"/>
          <w:spacing w:val="-3"/>
          <w:sz w:val="24"/>
          <w:szCs w:val="24"/>
        </w:rPr>
        <w:t>1911.5m</w:t>
      </w:r>
      <w:r>
        <w:rPr>
          <w:spacing w:val="-3"/>
          <w:sz w:val="24"/>
          <w:szCs w:val="24"/>
        </w:rPr>
        <w:t>。隧洞经大</w:t>
      </w:r>
      <w:r>
        <w:rPr>
          <w:spacing w:val="-4"/>
          <w:sz w:val="24"/>
          <w:szCs w:val="24"/>
        </w:rPr>
        <w:t>石洞、象头山、马龙县城、杨外营、前进水库、响水河南侧、面店水库南侧</w:t>
      </w:r>
      <w:r>
        <w:rPr>
          <w:spacing w:val="-5"/>
          <w:sz w:val="24"/>
          <w:szCs w:val="24"/>
        </w:rPr>
        <w:t>至王大</w:t>
      </w:r>
      <w:r>
        <w:rPr>
          <w:spacing w:val="-2"/>
          <w:sz w:val="24"/>
          <w:szCs w:val="24"/>
        </w:rPr>
        <w:t xml:space="preserve">屯村附近剪彩河河道，出口底板高程 </w:t>
      </w:r>
      <w:r>
        <w:rPr>
          <w:rFonts w:ascii="Times New Roman" w:hAnsi="Times New Roman" w:eastAsia="Times New Roman" w:cs="Times New Roman"/>
          <w:spacing w:val="-2"/>
          <w:sz w:val="24"/>
          <w:szCs w:val="24"/>
        </w:rPr>
        <w:t>1897.47m</w:t>
      </w:r>
      <w:r>
        <w:rPr>
          <w:rFonts w:ascii="Times New Roman" w:hAnsi="Times New Roman" w:eastAsia="Times New Roman" w:cs="Times New Roman"/>
          <w:spacing w:val="-12"/>
          <w:sz w:val="24"/>
          <w:szCs w:val="24"/>
        </w:rPr>
        <w:t xml:space="preserve"> </w:t>
      </w:r>
      <w:r>
        <w:rPr>
          <w:spacing w:val="-2"/>
          <w:sz w:val="24"/>
          <w:szCs w:val="24"/>
        </w:rPr>
        <w:t>。隧洞出水流经剪彩河进入白石江</w:t>
      </w:r>
      <w:r>
        <w:rPr>
          <w:spacing w:val="-5"/>
          <w:sz w:val="24"/>
          <w:szCs w:val="24"/>
        </w:rPr>
        <w:t>后最终归入南盘江。</w:t>
      </w:r>
    </w:p>
    <w:p w14:paraId="34DCDA8D">
      <w:pPr>
        <w:pStyle w:val="2"/>
        <w:spacing w:before="19" w:line="338" w:lineRule="auto"/>
        <w:ind w:left="40" w:right="31" w:firstLine="480"/>
        <w:rPr>
          <w:sz w:val="24"/>
          <w:szCs w:val="24"/>
        </w:rPr>
      </w:pPr>
      <w:r>
        <w:rPr>
          <w:spacing w:val="-13"/>
          <w:sz w:val="24"/>
          <w:szCs w:val="24"/>
        </w:rPr>
        <w:t>车马碧水库枢纽工程为Ⅱ等工程，工程规模为大（</w:t>
      </w:r>
      <w:r>
        <w:rPr>
          <w:rFonts w:ascii="Times New Roman" w:hAnsi="Times New Roman" w:eastAsia="Times New Roman" w:cs="Times New Roman"/>
          <w:spacing w:val="-13"/>
          <w:sz w:val="24"/>
          <w:szCs w:val="24"/>
        </w:rPr>
        <w:t>2</w:t>
      </w:r>
      <w:r>
        <w:rPr>
          <w:spacing w:val="-13"/>
          <w:sz w:val="24"/>
          <w:szCs w:val="24"/>
        </w:rPr>
        <w:t>）型，正常蓄水位</w:t>
      </w:r>
      <w:r>
        <w:rPr>
          <w:spacing w:val="-32"/>
          <w:sz w:val="24"/>
          <w:szCs w:val="24"/>
        </w:rPr>
        <w:t xml:space="preserve"> </w:t>
      </w:r>
      <w:r>
        <w:rPr>
          <w:rFonts w:ascii="Times New Roman" w:hAnsi="Times New Roman" w:eastAsia="Times New Roman" w:cs="Times New Roman"/>
          <w:spacing w:val="-13"/>
          <w:sz w:val="24"/>
          <w:szCs w:val="24"/>
        </w:rPr>
        <w:t>1938</w:t>
      </w:r>
      <w:r>
        <w:rPr>
          <w:rFonts w:ascii="Times New Roman" w:hAnsi="Times New Roman" w:eastAsia="Times New Roman" w:cs="Times New Roman"/>
          <w:spacing w:val="-14"/>
          <w:sz w:val="24"/>
          <w:szCs w:val="24"/>
        </w:rPr>
        <w:t>.5m</w:t>
      </w:r>
      <w:r>
        <w:rPr>
          <w:rFonts w:ascii="Times New Roman" w:hAnsi="Times New Roman" w:eastAsia="Times New Roman" w:cs="Times New Roman"/>
          <w:spacing w:val="-32"/>
          <w:sz w:val="24"/>
          <w:szCs w:val="24"/>
        </w:rPr>
        <w:t xml:space="preserve"> </w:t>
      </w:r>
      <w:r>
        <w:rPr>
          <w:spacing w:val="-14"/>
          <w:sz w:val="24"/>
          <w:szCs w:val="24"/>
        </w:rPr>
        <w:t>，</w:t>
      </w:r>
      <w:r>
        <w:rPr>
          <w:spacing w:val="-7"/>
          <w:sz w:val="24"/>
          <w:szCs w:val="24"/>
        </w:rPr>
        <w:t>死水位</w:t>
      </w:r>
      <w:r>
        <w:rPr>
          <w:spacing w:val="-29"/>
          <w:sz w:val="24"/>
          <w:szCs w:val="24"/>
        </w:rPr>
        <w:t xml:space="preserve"> </w:t>
      </w:r>
      <w:r>
        <w:rPr>
          <w:rFonts w:ascii="Times New Roman" w:hAnsi="Times New Roman" w:eastAsia="Times New Roman" w:cs="Times New Roman"/>
          <w:spacing w:val="-7"/>
          <w:sz w:val="24"/>
          <w:szCs w:val="24"/>
        </w:rPr>
        <w:t>1915.3m</w:t>
      </w:r>
      <w:r>
        <w:rPr>
          <w:spacing w:val="-7"/>
          <w:sz w:val="24"/>
          <w:szCs w:val="24"/>
        </w:rPr>
        <w:t>，总库容</w:t>
      </w:r>
      <w:r>
        <w:rPr>
          <w:spacing w:val="-32"/>
          <w:sz w:val="24"/>
          <w:szCs w:val="24"/>
        </w:rPr>
        <w:t xml:space="preserve"> </w:t>
      </w:r>
      <w:r>
        <w:rPr>
          <w:rFonts w:ascii="Times New Roman" w:hAnsi="Times New Roman" w:eastAsia="Times New Roman" w:cs="Times New Roman"/>
          <w:spacing w:val="-7"/>
          <w:sz w:val="24"/>
          <w:szCs w:val="24"/>
        </w:rPr>
        <w:t xml:space="preserve">1.24 </w:t>
      </w:r>
      <w:r>
        <w:rPr>
          <w:spacing w:val="-7"/>
          <w:sz w:val="24"/>
          <w:szCs w:val="24"/>
        </w:rPr>
        <w:t>亿</w:t>
      </w:r>
      <w:r>
        <w:rPr>
          <w:spacing w:val="-58"/>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spacing w:val="-7"/>
          <w:sz w:val="24"/>
          <w:szCs w:val="24"/>
        </w:rPr>
        <w:t>，兴利库容</w:t>
      </w:r>
      <w:r>
        <w:rPr>
          <w:spacing w:val="-45"/>
          <w:sz w:val="24"/>
          <w:szCs w:val="24"/>
        </w:rPr>
        <w:t xml:space="preserve"> </w:t>
      </w:r>
      <w:r>
        <w:rPr>
          <w:rFonts w:ascii="Times New Roman" w:hAnsi="Times New Roman" w:eastAsia="Times New Roman" w:cs="Times New Roman"/>
          <w:spacing w:val="-7"/>
          <w:sz w:val="24"/>
          <w:szCs w:val="24"/>
        </w:rPr>
        <w:t>8981</w:t>
      </w:r>
      <w:r>
        <w:rPr>
          <w:rFonts w:ascii="Times New Roman" w:hAnsi="Times New Roman" w:eastAsia="Times New Roman" w:cs="Times New Roman"/>
          <w:spacing w:val="15"/>
          <w:w w:val="101"/>
          <w:sz w:val="24"/>
          <w:szCs w:val="24"/>
        </w:rPr>
        <w:t xml:space="preserve"> </w:t>
      </w:r>
      <w:r>
        <w:rPr>
          <w:spacing w:val="-7"/>
          <w:sz w:val="24"/>
          <w:szCs w:val="24"/>
        </w:rPr>
        <w:t>万</w:t>
      </w:r>
      <w:r>
        <w:rPr>
          <w:spacing w:val="-58"/>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spacing w:val="-7"/>
          <w:sz w:val="24"/>
          <w:szCs w:val="24"/>
        </w:rPr>
        <w:t>，死库容为</w:t>
      </w:r>
      <w:r>
        <w:rPr>
          <w:spacing w:val="-32"/>
          <w:sz w:val="24"/>
          <w:szCs w:val="24"/>
        </w:rPr>
        <w:t xml:space="preserve"> </w:t>
      </w:r>
      <w:r>
        <w:rPr>
          <w:rFonts w:ascii="Times New Roman" w:hAnsi="Times New Roman" w:eastAsia="Times New Roman" w:cs="Times New Roman"/>
          <w:spacing w:val="-7"/>
          <w:sz w:val="24"/>
          <w:szCs w:val="24"/>
        </w:rPr>
        <w:t>1354</w:t>
      </w:r>
      <w:r>
        <w:rPr>
          <w:rFonts w:ascii="Times New Roman" w:hAnsi="Times New Roman" w:eastAsia="Times New Roman" w:cs="Times New Roman"/>
          <w:spacing w:val="15"/>
          <w:w w:val="101"/>
          <w:sz w:val="24"/>
          <w:szCs w:val="24"/>
        </w:rPr>
        <w:t xml:space="preserve"> </w:t>
      </w:r>
      <w:r>
        <w:rPr>
          <w:spacing w:val="-7"/>
          <w:sz w:val="24"/>
          <w:szCs w:val="24"/>
        </w:rPr>
        <w:t>万</w:t>
      </w:r>
      <w:r>
        <w:rPr>
          <w:spacing w:val="-58"/>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 xml:space="preserve">3 </w:t>
      </w:r>
      <w:r>
        <w:rPr>
          <w:spacing w:val="-7"/>
          <w:sz w:val="24"/>
          <w:szCs w:val="24"/>
        </w:rPr>
        <w:t>。</w:t>
      </w:r>
      <w:r>
        <w:rPr>
          <w:spacing w:val="-1"/>
          <w:sz w:val="24"/>
          <w:szCs w:val="24"/>
        </w:rPr>
        <w:t>大坝设计防洪标准为</w:t>
      </w:r>
      <w:r>
        <w:rPr>
          <w:spacing w:val="-32"/>
          <w:sz w:val="24"/>
          <w:szCs w:val="24"/>
        </w:rPr>
        <w:t xml:space="preserve"> </w:t>
      </w:r>
      <w:r>
        <w:rPr>
          <w:rFonts w:ascii="Times New Roman" w:hAnsi="Times New Roman" w:eastAsia="Times New Roman" w:cs="Times New Roman"/>
          <w:spacing w:val="-1"/>
          <w:sz w:val="24"/>
          <w:szCs w:val="24"/>
        </w:rPr>
        <w:t xml:space="preserve">100 </w:t>
      </w:r>
      <w:r>
        <w:rPr>
          <w:spacing w:val="-1"/>
          <w:sz w:val="24"/>
          <w:szCs w:val="24"/>
        </w:rPr>
        <w:t>年一遇、校核</w:t>
      </w:r>
      <w:r>
        <w:rPr>
          <w:spacing w:val="-2"/>
          <w:sz w:val="24"/>
          <w:szCs w:val="24"/>
        </w:rPr>
        <w:t>防洪标准为</w:t>
      </w:r>
      <w:r>
        <w:rPr>
          <w:spacing w:val="-55"/>
          <w:sz w:val="24"/>
          <w:szCs w:val="24"/>
        </w:rPr>
        <w:t xml:space="preserve"> </w:t>
      </w:r>
      <w:r>
        <w:rPr>
          <w:rFonts w:ascii="Times New Roman" w:hAnsi="Times New Roman" w:eastAsia="Times New Roman" w:cs="Times New Roman"/>
          <w:spacing w:val="-2"/>
          <w:sz w:val="24"/>
          <w:szCs w:val="24"/>
        </w:rPr>
        <w:t xml:space="preserve">2000 </w:t>
      </w:r>
      <w:r>
        <w:rPr>
          <w:spacing w:val="-2"/>
          <w:sz w:val="24"/>
          <w:szCs w:val="24"/>
        </w:rPr>
        <w:t>年一遇。调水工程规模为</w:t>
      </w:r>
      <w:r>
        <w:rPr>
          <w:spacing w:val="-4"/>
          <w:sz w:val="24"/>
          <w:szCs w:val="24"/>
        </w:rPr>
        <w:t>中型，工程等别为Ⅲ等，主要建筑物长输水隧洞级别为</w:t>
      </w:r>
      <w:r>
        <w:rPr>
          <w:spacing w:val="-50"/>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级</w:t>
      </w:r>
      <w:r>
        <w:rPr>
          <w:spacing w:val="-5"/>
          <w:sz w:val="24"/>
          <w:szCs w:val="24"/>
        </w:rPr>
        <w:t>。隧洞洞身及出口设计</w:t>
      </w:r>
      <w:r>
        <w:rPr>
          <w:spacing w:val="-9"/>
          <w:sz w:val="24"/>
          <w:szCs w:val="24"/>
        </w:rPr>
        <w:t>洪水标准为</w:t>
      </w:r>
      <w:r>
        <w:rPr>
          <w:spacing w:val="-45"/>
          <w:sz w:val="24"/>
          <w:szCs w:val="24"/>
        </w:rPr>
        <w:t xml:space="preserve"> </w:t>
      </w:r>
      <w:r>
        <w:rPr>
          <w:rFonts w:ascii="Times New Roman" w:hAnsi="Times New Roman" w:eastAsia="Times New Roman" w:cs="Times New Roman"/>
          <w:spacing w:val="-9"/>
          <w:sz w:val="24"/>
          <w:szCs w:val="24"/>
        </w:rPr>
        <w:t xml:space="preserve">30 </w:t>
      </w:r>
      <w:r>
        <w:rPr>
          <w:spacing w:val="-9"/>
          <w:sz w:val="24"/>
          <w:szCs w:val="24"/>
        </w:rPr>
        <w:t>年一遇，校核防洪标准为</w:t>
      </w:r>
      <w:r>
        <w:rPr>
          <w:spacing w:val="-36"/>
          <w:sz w:val="24"/>
          <w:szCs w:val="24"/>
        </w:rPr>
        <w:t xml:space="preserve"> </w:t>
      </w:r>
      <w:r>
        <w:rPr>
          <w:rFonts w:ascii="Times New Roman" w:hAnsi="Times New Roman" w:eastAsia="Times New Roman" w:cs="Times New Roman"/>
          <w:spacing w:val="-9"/>
          <w:sz w:val="24"/>
          <w:szCs w:val="24"/>
        </w:rPr>
        <w:t xml:space="preserve">100 </w:t>
      </w:r>
      <w:r>
        <w:rPr>
          <w:spacing w:val="-9"/>
          <w:sz w:val="24"/>
          <w:szCs w:val="24"/>
        </w:rPr>
        <w:t>年一遇。进口设置上层和底层进水口，</w:t>
      </w:r>
      <w:r>
        <w:rPr>
          <w:spacing w:val="-2"/>
          <w:sz w:val="24"/>
          <w:szCs w:val="24"/>
        </w:rPr>
        <w:t>上层进水口底板高程</w:t>
      </w:r>
      <w:r>
        <w:rPr>
          <w:spacing w:val="-32"/>
          <w:sz w:val="24"/>
          <w:szCs w:val="24"/>
        </w:rPr>
        <w:t xml:space="preserve"> </w:t>
      </w:r>
      <w:r>
        <w:rPr>
          <w:rFonts w:ascii="Times New Roman" w:hAnsi="Times New Roman" w:eastAsia="Times New Roman" w:cs="Times New Roman"/>
          <w:spacing w:val="-2"/>
          <w:sz w:val="24"/>
          <w:szCs w:val="24"/>
        </w:rPr>
        <w:t>1924.50m</w:t>
      </w:r>
      <w:r>
        <w:rPr>
          <w:spacing w:val="-2"/>
          <w:sz w:val="24"/>
          <w:szCs w:val="24"/>
        </w:rPr>
        <w:t>，底层进水口底板高程</w:t>
      </w:r>
      <w:r>
        <w:rPr>
          <w:spacing w:val="-32"/>
          <w:sz w:val="24"/>
          <w:szCs w:val="24"/>
        </w:rPr>
        <w:t xml:space="preserve"> </w:t>
      </w:r>
      <w:r>
        <w:rPr>
          <w:rFonts w:ascii="Times New Roman" w:hAnsi="Times New Roman" w:eastAsia="Times New Roman" w:cs="Times New Roman"/>
          <w:spacing w:val="-2"/>
          <w:sz w:val="24"/>
          <w:szCs w:val="24"/>
        </w:rPr>
        <w:t>1911.5</w:t>
      </w:r>
      <w:r>
        <w:rPr>
          <w:rFonts w:ascii="Times New Roman" w:hAnsi="Times New Roman" w:eastAsia="Times New Roman" w:cs="Times New Roman"/>
          <w:spacing w:val="-3"/>
          <w:sz w:val="24"/>
          <w:szCs w:val="24"/>
        </w:rPr>
        <w:t>0m</w:t>
      </w:r>
      <w:r>
        <w:rPr>
          <w:spacing w:val="-3"/>
          <w:sz w:val="24"/>
          <w:szCs w:val="24"/>
        </w:rPr>
        <w:t>。</w:t>
      </w:r>
    </w:p>
    <w:p w14:paraId="2E0891BE">
      <w:pPr>
        <w:pStyle w:val="2"/>
        <w:spacing w:before="4" w:line="338" w:lineRule="auto"/>
        <w:ind w:left="42" w:right="30" w:firstLine="472"/>
        <w:jc w:val="both"/>
        <w:rPr>
          <w:sz w:val="24"/>
          <w:szCs w:val="24"/>
        </w:rPr>
      </w:pPr>
      <w:r>
        <w:rPr>
          <w:rFonts w:ascii="Times New Roman" w:hAnsi="Times New Roman" w:eastAsia="Times New Roman" w:cs="Times New Roman"/>
          <w:spacing w:val="-7"/>
          <w:sz w:val="24"/>
          <w:szCs w:val="24"/>
        </w:rPr>
        <w:t xml:space="preserve">2015 </w:t>
      </w:r>
      <w:r>
        <w:rPr>
          <w:spacing w:val="-7"/>
          <w:sz w:val="24"/>
          <w:szCs w:val="24"/>
        </w:rPr>
        <w:t>年</w:t>
      </w:r>
      <w:r>
        <w:rPr>
          <w:spacing w:val="-51"/>
          <w:sz w:val="24"/>
          <w:szCs w:val="24"/>
        </w:rPr>
        <w:t xml:space="preserve"> </w:t>
      </w:r>
      <w:r>
        <w:rPr>
          <w:rFonts w:ascii="Times New Roman" w:hAnsi="Times New Roman" w:eastAsia="Times New Roman" w:cs="Times New Roman"/>
          <w:spacing w:val="-7"/>
          <w:sz w:val="24"/>
          <w:szCs w:val="24"/>
        </w:rPr>
        <w:t>7</w:t>
      </w:r>
      <w:r>
        <w:rPr>
          <w:rFonts w:ascii="Times New Roman" w:hAnsi="Times New Roman" w:eastAsia="Times New Roman" w:cs="Times New Roman"/>
          <w:spacing w:val="15"/>
          <w:sz w:val="24"/>
          <w:szCs w:val="24"/>
        </w:rPr>
        <w:t xml:space="preserve"> </w:t>
      </w:r>
      <w:r>
        <w:rPr>
          <w:spacing w:val="-7"/>
          <w:sz w:val="24"/>
          <w:szCs w:val="24"/>
        </w:rPr>
        <w:t>月，国家发展和改革委员会以“发改农经</w:t>
      </w:r>
      <w:r>
        <w:rPr>
          <w:spacing w:val="-8"/>
          <w:sz w:val="24"/>
          <w:szCs w:val="24"/>
        </w:rPr>
        <w:t>〔</w:t>
      </w:r>
      <w:r>
        <w:rPr>
          <w:rFonts w:ascii="Times New Roman" w:hAnsi="Times New Roman" w:eastAsia="Times New Roman" w:cs="Times New Roman"/>
          <w:spacing w:val="-8"/>
          <w:sz w:val="24"/>
          <w:szCs w:val="24"/>
        </w:rPr>
        <w:t>2015</w:t>
      </w:r>
      <w:r>
        <w:rPr>
          <w:spacing w:val="-8"/>
          <w:sz w:val="24"/>
          <w:szCs w:val="24"/>
        </w:rPr>
        <w:t>〕</w:t>
      </w:r>
      <w:r>
        <w:rPr>
          <w:rFonts w:ascii="Times New Roman" w:hAnsi="Times New Roman" w:eastAsia="Times New Roman" w:cs="Times New Roman"/>
          <w:spacing w:val="-8"/>
          <w:sz w:val="24"/>
          <w:szCs w:val="24"/>
        </w:rPr>
        <w:t>1644</w:t>
      </w:r>
      <w:r>
        <w:rPr>
          <w:rFonts w:ascii="Times New Roman" w:hAnsi="Times New Roman" w:eastAsia="Times New Roman" w:cs="Times New Roman"/>
          <w:spacing w:val="15"/>
          <w:sz w:val="24"/>
          <w:szCs w:val="24"/>
        </w:rPr>
        <w:t xml:space="preserve"> </w:t>
      </w:r>
      <w:r>
        <w:rPr>
          <w:spacing w:val="-8"/>
          <w:sz w:val="24"/>
          <w:szCs w:val="24"/>
        </w:rPr>
        <w:t>号”文对《云</w:t>
      </w:r>
      <w:r>
        <w:rPr>
          <w:spacing w:val="-1"/>
          <w:sz w:val="24"/>
          <w:szCs w:val="24"/>
        </w:rPr>
        <w:t>南省车马碧水库工程项目建议书》予以批复。</w:t>
      </w: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5"/>
          <w:sz w:val="24"/>
          <w:szCs w:val="24"/>
        </w:rPr>
        <w:t xml:space="preserve"> </w:t>
      </w:r>
      <w:r>
        <w:rPr>
          <w:spacing w:val="-1"/>
          <w:sz w:val="24"/>
          <w:szCs w:val="24"/>
        </w:rPr>
        <w:t>年</w:t>
      </w:r>
      <w:r>
        <w:rPr>
          <w:spacing w:val="-36"/>
          <w:sz w:val="24"/>
          <w:szCs w:val="24"/>
        </w:rPr>
        <w:t xml:space="preserve"> </w:t>
      </w:r>
      <w:r>
        <w:rPr>
          <w:rFonts w:ascii="Times New Roman" w:hAnsi="Times New Roman" w:eastAsia="Times New Roman" w:cs="Times New Roman"/>
          <w:spacing w:val="-1"/>
          <w:sz w:val="24"/>
          <w:szCs w:val="24"/>
        </w:rPr>
        <w:t>9</w:t>
      </w:r>
      <w:r>
        <w:rPr>
          <w:rFonts w:ascii="Times New Roman" w:hAnsi="Times New Roman" w:eastAsia="Times New Roman" w:cs="Times New Roman"/>
          <w:spacing w:val="30"/>
          <w:w w:val="101"/>
          <w:sz w:val="24"/>
          <w:szCs w:val="24"/>
        </w:rPr>
        <w:t xml:space="preserve"> </w:t>
      </w:r>
      <w:r>
        <w:rPr>
          <w:spacing w:val="-2"/>
          <w:sz w:val="24"/>
          <w:szCs w:val="24"/>
        </w:rPr>
        <w:t>月，原环境保护部以“环</w:t>
      </w:r>
      <w:r>
        <w:rPr>
          <w:spacing w:val="-3"/>
          <w:sz w:val="24"/>
          <w:szCs w:val="24"/>
        </w:rPr>
        <w:t>审〔</w:t>
      </w:r>
      <w:r>
        <w:rPr>
          <w:rFonts w:ascii="Times New Roman" w:hAnsi="Times New Roman" w:eastAsia="Times New Roman" w:cs="Times New Roman"/>
          <w:spacing w:val="-3"/>
          <w:sz w:val="24"/>
          <w:szCs w:val="24"/>
        </w:rPr>
        <w:t>2016</w:t>
      </w:r>
      <w:r>
        <w:rPr>
          <w:spacing w:val="-3"/>
          <w:sz w:val="24"/>
          <w:szCs w:val="24"/>
        </w:rPr>
        <w:t>〕</w:t>
      </w:r>
      <w:r>
        <w:rPr>
          <w:rFonts w:ascii="Times New Roman" w:hAnsi="Times New Roman" w:eastAsia="Times New Roman" w:cs="Times New Roman"/>
          <w:spacing w:val="-3"/>
          <w:sz w:val="24"/>
          <w:szCs w:val="24"/>
        </w:rPr>
        <w:t>125</w:t>
      </w:r>
      <w:r>
        <w:rPr>
          <w:rFonts w:ascii="Times New Roman" w:hAnsi="Times New Roman" w:eastAsia="Times New Roman" w:cs="Times New Roman"/>
          <w:spacing w:val="27"/>
          <w:w w:val="101"/>
          <w:sz w:val="24"/>
          <w:szCs w:val="24"/>
        </w:rPr>
        <w:t xml:space="preserve"> </w:t>
      </w:r>
      <w:r>
        <w:rPr>
          <w:spacing w:val="-3"/>
          <w:sz w:val="24"/>
          <w:szCs w:val="24"/>
        </w:rPr>
        <w:t>号”文对《云南省曲靖市车马碧水库工程环境影响报告书》予以批</w:t>
      </w:r>
      <w:r>
        <w:rPr>
          <w:spacing w:val="-5"/>
          <w:sz w:val="24"/>
          <w:szCs w:val="24"/>
        </w:rPr>
        <w:t>复。</w:t>
      </w:r>
      <w:r>
        <w:rPr>
          <w:rFonts w:ascii="Times New Roman" w:hAnsi="Times New Roman" w:eastAsia="Times New Roman" w:cs="Times New Roman"/>
          <w:spacing w:val="-5"/>
          <w:sz w:val="24"/>
          <w:szCs w:val="24"/>
        </w:rPr>
        <w:t xml:space="preserve">2016 </w:t>
      </w:r>
      <w:r>
        <w:rPr>
          <w:spacing w:val="-5"/>
          <w:sz w:val="24"/>
          <w:szCs w:val="24"/>
        </w:rPr>
        <w:t>年</w:t>
      </w:r>
      <w:r>
        <w:rPr>
          <w:spacing w:val="-32"/>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15"/>
          <w:w w:val="101"/>
          <w:sz w:val="24"/>
          <w:szCs w:val="24"/>
        </w:rPr>
        <w:t xml:space="preserve"> </w:t>
      </w:r>
      <w:r>
        <w:rPr>
          <w:spacing w:val="-5"/>
          <w:sz w:val="24"/>
          <w:szCs w:val="24"/>
        </w:rPr>
        <w:t>月，国家发改委以“发改农经〔</w:t>
      </w:r>
      <w:r>
        <w:rPr>
          <w:rFonts w:ascii="Times New Roman" w:hAnsi="Times New Roman" w:eastAsia="Times New Roman" w:cs="Times New Roman"/>
          <w:spacing w:val="-5"/>
          <w:sz w:val="24"/>
          <w:szCs w:val="24"/>
        </w:rPr>
        <w:t>2016</w:t>
      </w:r>
      <w:r>
        <w:rPr>
          <w:spacing w:val="-5"/>
          <w:sz w:val="24"/>
          <w:szCs w:val="24"/>
        </w:rPr>
        <w:t>〕</w:t>
      </w:r>
      <w:r>
        <w:rPr>
          <w:rFonts w:ascii="Times New Roman" w:hAnsi="Times New Roman" w:eastAsia="Times New Roman" w:cs="Times New Roman"/>
          <w:spacing w:val="-5"/>
          <w:sz w:val="24"/>
          <w:szCs w:val="24"/>
        </w:rPr>
        <w:t>2843</w:t>
      </w:r>
      <w:r>
        <w:rPr>
          <w:rFonts w:ascii="Times New Roman" w:hAnsi="Times New Roman" w:eastAsia="Times New Roman" w:cs="Times New Roman"/>
          <w:spacing w:val="15"/>
          <w:sz w:val="24"/>
          <w:szCs w:val="24"/>
        </w:rPr>
        <w:t xml:space="preserve"> </w:t>
      </w:r>
      <w:r>
        <w:rPr>
          <w:spacing w:val="-5"/>
          <w:sz w:val="24"/>
          <w:szCs w:val="24"/>
        </w:rPr>
        <w:t>号”对《云南省曲靖市</w:t>
      </w:r>
    </w:p>
    <w:p w14:paraId="155257CC">
      <w:pPr>
        <w:spacing w:line="338" w:lineRule="auto"/>
        <w:rPr>
          <w:sz w:val="24"/>
          <w:szCs w:val="24"/>
        </w:rPr>
        <w:sectPr>
          <w:headerReference r:id="rId10" w:type="default"/>
          <w:footerReference r:id="rId11" w:type="default"/>
          <w:pgSz w:w="11907" w:h="16839"/>
          <w:pgMar w:top="1375" w:right="1669" w:bottom="1017" w:left="1671" w:header="997" w:footer="814" w:gutter="0"/>
          <w:cols w:space="720" w:num="1"/>
        </w:sectPr>
      </w:pPr>
    </w:p>
    <w:p w14:paraId="0E45B785">
      <w:pPr>
        <w:spacing w:line="457" w:lineRule="auto"/>
        <w:rPr>
          <w:rFonts w:ascii="Arial"/>
          <w:sz w:val="21"/>
        </w:rPr>
      </w:pPr>
    </w:p>
    <w:p w14:paraId="18343F0C">
      <w:pPr>
        <w:pStyle w:val="2"/>
        <w:spacing w:before="78" w:line="333" w:lineRule="auto"/>
        <w:ind w:left="41" w:right="30"/>
        <w:jc w:val="both"/>
        <w:rPr>
          <w:sz w:val="24"/>
          <w:szCs w:val="24"/>
        </w:rPr>
      </w:pPr>
      <w:r>
        <w:rPr>
          <w:spacing w:val="-6"/>
          <w:sz w:val="24"/>
          <w:szCs w:val="24"/>
        </w:rPr>
        <w:t>车马碧水库工程可行性研究报告》进行了批复。</w:t>
      </w:r>
      <w:r>
        <w:rPr>
          <w:rFonts w:ascii="Times New Roman" w:hAnsi="Times New Roman" w:eastAsia="Times New Roman" w:cs="Times New Roman"/>
          <w:spacing w:val="-6"/>
          <w:sz w:val="24"/>
          <w:szCs w:val="24"/>
        </w:rPr>
        <w:t xml:space="preserve">2017 </w:t>
      </w:r>
      <w:r>
        <w:rPr>
          <w:spacing w:val="-6"/>
          <w:sz w:val="24"/>
          <w:szCs w:val="24"/>
        </w:rPr>
        <w:t>年</w:t>
      </w:r>
      <w:r>
        <w:rPr>
          <w:spacing w:val="-45"/>
          <w:sz w:val="24"/>
          <w:szCs w:val="24"/>
        </w:rPr>
        <w:t xml:space="preserve"> </w:t>
      </w:r>
      <w:r>
        <w:rPr>
          <w:rFonts w:ascii="Times New Roman" w:hAnsi="Times New Roman" w:eastAsia="Times New Roman" w:cs="Times New Roman"/>
          <w:spacing w:val="-6"/>
          <w:sz w:val="24"/>
          <w:szCs w:val="24"/>
        </w:rPr>
        <w:t>8</w:t>
      </w:r>
      <w:r>
        <w:rPr>
          <w:rFonts w:ascii="Times New Roman" w:hAnsi="Times New Roman" w:eastAsia="Times New Roman" w:cs="Times New Roman"/>
          <w:spacing w:val="15"/>
          <w:sz w:val="24"/>
          <w:szCs w:val="24"/>
        </w:rPr>
        <w:t xml:space="preserve"> </w:t>
      </w:r>
      <w:r>
        <w:rPr>
          <w:spacing w:val="-6"/>
          <w:sz w:val="24"/>
          <w:szCs w:val="24"/>
        </w:rPr>
        <w:t>月，云南省水</w:t>
      </w:r>
      <w:r>
        <w:rPr>
          <w:spacing w:val="-7"/>
          <w:sz w:val="24"/>
          <w:szCs w:val="24"/>
        </w:rPr>
        <w:t>利厅以“云</w:t>
      </w:r>
      <w:r>
        <w:rPr>
          <w:spacing w:val="-1"/>
          <w:sz w:val="24"/>
          <w:szCs w:val="24"/>
        </w:rPr>
        <w:t>水规计〔</w:t>
      </w:r>
      <w:r>
        <w:rPr>
          <w:rFonts w:ascii="Times New Roman" w:hAnsi="Times New Roman" w:eastAsia="Times New Roman" w:cs="Times New Roman"/>
          <w:spacing w:val="-1"/>
          <w:sz w:val="24"/>
          <w:szCs w:val="24"/>
        </w:rPr>
        <w:t>2017</w:t>
      </w:r>
      <w:r>
        <w:rPr>
          <w:spacing w:val="-1"/>
          <w:sz w:val="24"/>
          <w:szCs w:val="24"/>
        </w:rPr>
        <w:t>〕</w:t>
      </w:r>
      <w:r>
        <w:rPr>
          <w:rFonts w:ascii="Times New Roman" w:hAnsi="Times New Roman" w:eastAsia="Times New Roman" w:cs="Times New Roman"/>
          <w:spacing w:val="-1"/>
          <w:sz w:val="24"/>
          <w:szCs w:val="24"/>
        </w:rPr>
        <w:t>48</w:t>
      </w:r>
      <w:r>
        <w:rPr>
          <w:rFonts w:ascii="Times New Roman" w:hAnsi="Times New Roman" w:eastAsia="Times New Roman" w:cs="Times New Roman"/>
          <w:spacing w:val="69"/>
          <w:w w:val="101"/>
          <w:sz w:val="24"/>
          <w:szCs w:val="24"/>
        </w:rPr>
        <w:t xml:space="preserve"> </w:t>
      </w:r>
      <w:r>
        <w:rPr>
          <w:spacing w:val="-1"/>
          <w:sz w:val="24"/>
          <w:szCs w:val="24"/>
        </w:rPr>
        <w:t>号”对《云南省曲靖市车马碧水库工程初步设计报告》予以批</w:t>
      </w:r>
      <w:r>
        <w:rPr>
          <w:spacing w:val="-12"/>
          <w:sz w:val="24"/>
          <w:szCs w:val="24"/>
        </w:rPr>
        <w:t>复。</w:t>
      </w:r>
    </w:p>
    <w:p w14:paraId="2B86B27B">
      <w:pPr>
        <w:pStyle w:val="2"/>
        <w:spacing w:before="23" w:line="338" w:lineRule="auto"/>
        <w:ind w:left="35" w:right="30" w:firstLine="512"/>
        <w:rPr>
          <w:sz w:val="24"/>
          <w:szCs w:val="24"/>
        </w:rPr>
      </w:pPr>
      <w:r>
        <w:rPr>
          <w:spacing w:val="-8"/>
          <w:sz w:val="24"/>
          <w:szCs w:val="24"/>
        </w:rPr>
        <w:t>曲靖市车马碧水库工程于</w:t>
      </w:r>
      <w:r>
        <w:rPr>
          <w:spacing w:val="-55"/>
          <w:sz w:val="24"/>
          <w:szCs w:val="24"/>
        </w:rPr>
        <w:t xml:space="preserve"> </w:t>
      </w:r>
      <w:r>
        <w:rPr>
          <w:rFonts w:ascii="Times New Roman" w:hAnsi="Times New Roman" w:eastAsia="Times New Roman" w:cs="Times New Roman"/>
          <w:spacing w:val="-8"/>
          <w:sz w:val="24"/>
          <w:szCs w:val="24"/>
        </w:rPr>
        <w:t xml:space="preserve">2017 </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11</w:t>
      </w:r>
      <w:r>
        <w:rPr>
          <w:rFonts w:ascii="Times New Roman" w:hAnsi="Times New Roman" w:eastAsia="Times New Roman" w:cs="Times New Roman"/>
          <w:spacing w:val="15"/>
          <w:sz w:val="24"/>
          <w:szCs w:val="24"/>
        </w:rPr>
        <w:t xml:space="preserve"> </w:t>
      </w:r>
      <w:r>
        <w:rPr>
          <w:spacing w:val="-8"/>
          <w:sz w:val="24"/>
          <w:szCs w:val="24"/>
        </w:rPr>
        <w:t>月</w:t>
      </w:r>
      <w:r>
        <w:rPr>
          <w:spacing w:val="-32"/>
          <w:sz w:val="24"/>
          <w:szCs w:val="24"/>
        </w:rPr>
        <w:t xml:space="preserve"> </w:t>
      </w:r>
      <w:r>
        <w:rPr>
          <w:rFonts w:ascii="Times New Roman" w:hAnsi="Times New Roman" w:eastAsia="Times New Roman" w:cs="Times New Roman"/>
          <w:spacing w:val="-8"/>
          <w:sz w:val="24"/>
          <w:szCs w:val="24"/>
        </w:rPr>
        <w:t xml:space="preserve">16  </w:t>
      </w:r>
      <w:r>
        <w:rPr>
          <w:spacing w:val="-8"/>
          <w:sz w:val="24"/>
          <w:szCs w:val="24"/>
        </w:rPr>
        <w:t>日提交申请开工备案，</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5"/>
          <w:sz w:val="24"/>
          <w:szCs w:val="24"/>
        </w:rPr>
        <w:t xml:space="preserve"> </w:t>
      </w:r>
      <w:r>
        <w:rPr>
          <w:spacing w:val="-8"/>
          <w:sz w:val="24"/>
          <w:szCs w:val="24"/>
        </w:rPr>
        <w:t>月</w:t>
      </w:r>
      <w:r>
        <w:rPr>
          <w:spacing w:val="-49"/>
          <w:sz w:val="24"/>
          <w:szCs w:val="24"/>
        </w:rPr>
        <w:t xml:space="preserve"> </w:t>
      </w:r>
      <w:r>
        <w:rPr>
          <w:rFonts w:ascii="Times New Roman" w:hAnsi="Times New Roman" w:eastAsia="Times New Roman" w:cs="Times New Roman"/>
          <w:spacing w:val="-8"/>
          <w:sz w:val="24"/>
          <w:szCs w:val="24"/>
        </w:rPr>
        <w:t xml:space="preserve">5  </w:t>
      </w:r>
      <w:r>
        <w:rPr>
          <w:spacing w:val="-8"/>
          <w:sz w:val="24"/>
          <w:szCs w:val="24"/>
        </w:rPr>
        <w:t>日云</w:t>
      </w:r>
      <w:r>
        <w:rPr>
          <w:spacing w:val="-3"/>
          <w:sz w:val="24"/>
          <w:szCs w:val="24"/>
        </w:rPr>
        <w:t>南省水利厅批准开工。水库枢纽工程于</w:t>
      </w:r>
      <w:r>
        <w:rPr>
          <w:spacing w:val="-55"/>
          <w:sz w:val="24"/>
          <w:szCs w:val="24"/>
        </w:rPr>
        <w:t xml:space="preserve"> </w:t>
      </w:r>
      <w:r>
        <w:rPr>
          <w:rFonts w:ascii="Times New Roman" w:hAnsi="Times New Roman" w:eastAsia="Times New Roman" w:cs="Times New Roman"/>
          <w:spacing w:val="-3"/>
          <w:sz w:val="24"/>
          <w:szCs w:val="24"/>
        </w:rPr>
        <w:t xml:space="preserve">2017 </w:t>
      </w:r>
      <w:r>
        <w:rPr>
          <w:spacing w:val="-3"/>
          <w:sz w:val="24"/>
          <w:szCs w:val="24"/>
        </w:rPr>
        <w:t>年</w:t>
      </w:r>
      <w:r>
        <w:rPr>
          <w:spacing w:val="-32"/>
          <w:sz w:val="24"/>
          <w:szCs w:val="24"/>
        </w:rPr>
        <w:t xml:space="preserve"> </w:t>
      </w:r>
      <w:r>
        <w:rPr>
          <w:rFonts w:ascii="Times New Roman" w:hAnsi="Times New Roman" w:eastAsia="Times New Roman" w:cs="Times New Roman"/>
          <w:spacing w:val="-3"/>
          <w:sz w:val="24"/>
          <w:szCs w:val="24"/>
        </w:rPr>
        <w:t>11</w:t>
      </w:r>
      <w:r>
        <w:rPr>
          <w:rFonts w:ascii="Times New Roman" w:hAnsi="Times New Roman" w:eastAsia="Times New Roman" w:cs="Times New Roman"/>
          <w:spacing w:val="16"/>
          <w:sz w:val="24"/>
          <w:szCs w:val="24"/>
        </w:rPr>
        <w:t xml:space="preserve"> </w:t>
      </w:r>
      <w:r>
        <w:rPr>
          <w:spacing w:val="-3"/>
          <w:sz w:val="24"/>
          <w:szCs w:val="24"/>
        </w:rPr>
        <w:t>月</w:t>
      </w:r>
      <w:r>
        <w:rPr>
          <w:spacing w:val="-55"/>
          <w:sz w:val="24"/>
          <w:szCs w:val="24"/>
        </w:rPr>
        <w:t xml:space="preserve"> </w:t>
      </w:r>
      <w:r>
        <w:rPr>
          <w:rFonts w:ascii="Times New Roman" w:hAnsi="Times New Roman" w:eastAsia="Times New Roman" w:cs="Times New Roman"/>
          <w:spacing w:val="-3"/>
          <w:sz w:val="24"/>
          <w:szCs w:val="24"/>
        </w:rPr>
        <w:t xml:space="preserve">25 </w:t>
      </w:r>
      <w:r>
        <w:rPr>
          <w:rFonts w:ascii="Times New Roman" w:hAnsi="Times New Roman" w:eastAsia="Times New Roman" w:cs="Times New Roman"/>
          <w:spacing w:val="-4"/>
          <w:sz w:val="24"/>
          <w:szCs w:val="24"/>
        </w:rPr>
        <w:t xml:space="preserve"> </w:t>
      </w:r>
      <w:r>
        <w:rPr>
          <w:spacing w:val="-4"/>
          <w:sz w:val="24"/>
          <w:szCs w:val="24"/>
        </w:rPr>
        <w:t>日开工建设。溢洪道工程</w:t>
      </w:r>
      <w:r>
        <w:rPr>
          <w:rFonts w:ascii="Times New Roman" w:hAnsi="Times New Roman" w:eastAsia="Times New Roman" w:cs="Times New Roman"/>
          <w:spacing w:val="-5"/>
          <w:sz w:val="24"/>
          <w:szCs w:val="24"/>
        </w:rPr>
        <w:t>2017</w:t>
      </w:r>
      <w:r>
        <w:rPr>
          <w:rFonts w:ascii="Times New Roman" w:hAnsi="Times New Roman" w:eastAsia="Times New Roman" w:cs="Times New Roman"/>
          <w:spacing w:val="22"/>
          <w:sz w:val="24"/>
          <w:szCs w:val="24"/>
        </w:rPr>
        <w:t xml:space="preserve"> </w:t>
      </w:r>
      <w:r>
        <w:rPr>
          <w:spacing w:val="-5"/>
          <w:sz w:val="24"/>
          <w:szCs w:val="24"/>
        </w:rPr>
        <w:t xml:space="preserve">年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24"/>
          <w:w w:val="101"/>
          <w:sz w:val="24"/>
          <w:szCs w:val="24"/>
        </w:rPr>
        <w:t xml:space="preserve"> </w:t>
      </w:r>
      <w:r>
        <w:rPr>
          <w:spacing w:val="-5"/>
          <w:sz w:val="24"/>
          <w:szCs w:val="24"/>
        </w:rPr>
        <w:t>月</w:t>
      </w:r>
      <w:r>
        <w:rPr>
          <w:spacing w:val="-45"/>
          <w:sz w:val="24"/>
          <w:szCs w:val="24"/>
        </w:rPr>
        <w:t xml:space="preserve"> </w:t>
      </w:r>
      <w:r>
        <w:rPr>
          <w:rFonts w:ascii="Times New Roman" w:hAnsi="Times New Roman" w:eastAsia="Times New Roman" w:cs="Times New Roman"/>
          <w:spacing w:val="-5"/>
          <w:sz w:val="24"/>
          <w:szCs w:val="24"/>
        </w:rPr>
        <w:t xml:space="preserve">25  </w:t>
      </w:r>
      <w:r>
        <w:rPr>
          <w:spacing w:val="-5"/>
          <w:sz w:val="24"/>
          <w:szCs w:val="24"/>
        </w:rPr>
        <w:t>日开工，</w:t>
      </w:r>
      <w:r>
        <w:rPr>
          <w:rFonts w:ascii="Times New Roman" w:hAnsi="Times New Roman" w:eastAsia="Times New Roman" w:cs="Times New Roman"/>
          <w:spacing w:val="-5"/>
          <w:sz w:val="24"/>
          <w:szCs w:val="24"/>
        </w:rPr>
        <w:t>2021</w:t>
      </w:r>
      <w:r>
        <w:rPr>
          <w:rFonts w:ascii="Times New Roman" w:hAnsi="Times New Roman" w:eastAsia="Times New Roman" w:cs="Times New Roman"/>
          <w:spacing w:val="22"/>
          <w:sz w:val="24"/>
          <w:szCs w:val="24"/>
        </w:rPr>
        <w:t xml:space="preserve"> </w:t>
      </w:r>
      <w:r>
        <w:rPr>
          <w:spacing w:val="-5"/>
          <w:sz w:val="24"/>
          <w:szCs w:val="24"/>
        </w:rPr>
        <w:t>年</w:t>
      </w:r>
      <w:r>
        <w:rPr>
          <w:spacing w:val="-38"/>
          <w:sz w:val="24"/>
          <w:szCs w:val="24"/>
        </w:rPr>
        <w:t xml:space="preserve"> </w:t>
      </w:r>
      <w:r>
        <w:rPr>
          <w:rFonts w:ascii="Times New Roman" w:hAnsi="Times New Roman" w:eastAsia="Times New Roman" w:cs="Times New Roman"/>
          <w:spacing w:val="-5"/>
          <w:sz w:val="24"/>
          <w:szCs w:val="24"/>
        </w:rPr>
        <w:t>5</w:t>
      </w:r>
      <w:r>
        <w:rPr>
          <w:rFonts w:ascii="Times New Roman" w:hAnsi="Times New Roman" w:eastAsia="Times New Roman" w:cs="Times New Roman"/>
          <w:spacing w:val="26"/>
          <w:w w:val="101"/>
          <w:sz w:val="24"/>
          <w:szCs w:val="24"/>
        </w:rPr>
        <w:t xml:space="preserve"> </w:t>
      </w:r>
      <w:r>
        <w:rPr>
          <w:spacing w:val="-5"/>
          <w:sz w:val="24"/>
          <w:szCs w:val="24"/>
        </w:rPr>
        <w:t>月</w:t>
      </w:r>
      <w:r>
        <w:rPr>
          <w:spacing w:val="-45"/>
          <w:sz w:val="24"/>
          <w:szCs w:val="24"/>
        </w:rPr>
        <w:t xml:space="preserve"> </w:t>
      </w:r>
      <w:r>
        <w:rPr>
          <w:rFonts w:ascii="Times New Roman" w:hAnsi="Times New Roman" w:eastAsia="Times New Roman" w:cs="Times New Roman"/>
          <w:spacing w:val="-5"/>
          <w:sz w:val="24"/>
          <w:szCs w:val="24"/>
        </w:rPr>
        <w:t xml:space="preserve">21  </w:t>
      </w:r>
      <w:r>
        <w:rPr>
          <w:spacing w:val="-5"/>
          <w:sz w:val="24"/>
          <w:szCs w:val="24"/>
        </w:rPr>
        <w:t>日全部完成具备过流条件。导</w:t>
      </w:r>
      <w:r>
        <w:rPr>
          <w:spacing w:val="-6"/>
          <w:sz w:val="24"/>
          <w:szCs w:val="24"/>
        </w:rPr>
        <w:t>流泄洪放</w:t>
      </w:r>
      <w:r>
        <w:rPr>
          <w:spacing w:val="-9"/>
          <w:sz w:val="24"/>
          <w:szCs w:val="24"/>
        </w:rPr>
        <w:t>空隧洞于</w:t>
      </w:r>
      <w:r>
        <w:rPr>
          <w:spacing w:val="-55"/>
          <w:sz w:val="24"/>
          <w:szCs w:val="24"/>
        </w:rPr>
        <w:t xml:space="preserve"> </w:t>
      </w:r>
      <w:r>
        <w:rPr>
          <w:rFonts w:ascii="Times New Roman" w:hAnsi="Times New Roman" w:eastAsia="Times New Roman" w:cs="Times New Roman"/>
          <w:spacing w:val="-9"/>
          <w:sz w:val="24"/>
          <w:szCs w:val="24"/>
        </w:rPr>
        <w:t xml:space="preserve">2018 </w:t>
      </w:r>
      <w:r>
        <w:rPr>
          <w:spacing w:val="-9"/>
          <w:sz w:val="24"/>
          <w:szCs w:val="24"/>
        </w:rPr>
        <w:t>年</w:t>
      </w:r>
      <w:r>
        <w:rPr>
          <w:spacing w:val="-51"/>
          <w:sz w:val="24"/>
          <w:szCs w:val="24"/>
        </w:rPr>
        <w:t xml:space="preserve"> </w:t>
      </w:r>
      <w:r>
        <w:rPr>
          <w:rFonts w:ascii="Times New Roman" w:hAnsi="Times New Roman" w:eastAsia="Times New Roman" w:cs="Times New Roman"/>
          <w:spacing w:val="-9"/>
          <w:sz w:val="24"/>
          <w:szCs w:val="24"/>
        </w:rPr>
        <w:t>7</w:t>
      </w:r>
      <w:r>
        <w:rPr>
          <w:rFonts w:ascii="Times New Roman" w:hAnsi="Times New Roman" w:eastAsia="Times New Roman" w:cs="Times New Roman"/>
          <w:spacing w:val="15"/>
          <w:w w:val="101"/>
          <w:sz w:val="24"/>
          <w:szCs w:val="24"/>
        </w:rPr>
        <w:t xml:space="preserve"> </w:t>
      </w:r>
      <w:r>
        <w:rPr>
          <w:spacing w:val="-9"/>
          <w:sz w:val="24"/>
          <w:szCs w:val="24"/>
        </w:rPr>
        <w:t>月</w:t>
      </w:r>
      <w:r>
        <w:rPr>
          <w:spacing w:val="-32"/>
          <w:sz w:val="24"/>
          <w:szCs w:val="24"/>
        </w:rPr>
        <w:t xml:space="preserve"> </w:t>
      </w:r>
      <w:r>
        <w:rPr>
          <w:rFonts w:ascii="Times New Roman" w:hAnsi="Times New Roman" w:eastAsia="Times New Roman" w:cs="Times New Roman"/>
          <w:spacing w:val="-9"/>
          <w:sz w:val="24"/>
          <w:szCs w:val="24"/>
        </w:rPr>
        <w:t xml:space="preserve">10  </w:t>
      </w:r>
      <w:r>
        <w:rPr>
          <w:spacing w:val="-9"/>
          <w:sz w:val="24"/>
          <w:szCs w:val="24"/>
        </w:rPr>
        <w:t>日贯通，</w:t>
      </w:r>
      <w:r>
        <w:rPr>
          <w:rFonts w:ascii="Times New Roman" w:hAnsi="Times New Roman" w:eastAsia="Times New Roman" w:cs="Times New Roman"/>
          <w:spacing w:val="-9"/>
          <w:sz w:val="24"/>
          <w:szCs w:val="24"/>
        </w:rPr>
        <w:t xml:space="preserve">2018 </w:t>
      </w:r>
      <w:r>
        <w:rPr>
          <w:spacing w:val="-9"/>
          <w:sz w:val="24"/>
          <w:szCs w:val="24"/>
        </w:rPr>
        <w:t>年</w:t>
      </w:r>
      <w:r>
        <w:rPr>
          <w:spacing w:val="-32"/>
          <w:sz w:val="24"/>
          <w:szCs w:val="24"/>
        </w:rPr>
        <w:t xml:space="preserve"> </w:t>
      </w:r>
      <w:r>
        <w:rPr>
          <w:rFonts w:ascii="Times New Roman" w:hAnsi="Times New Roman" w:eastAsia="Times New Roman" w:cs="Times New Roman"/>
          <w:spacing w:val="-9"/>
          <w:sz w:val="24"/>
          <w:szCs w:val="24"/>
        </w:rPr>
        <w:t>12</w:t>
      </w:r>
      <w:r>
        <w:rPr>
          <w:rFonts w:ascii="Times New Roman" w:hAnsi="Times New Roman" w:eastAsia="Times New Roman" w:cs="Times New Roman"/>
          <w:spacing w:val="15"/>
          <w:sz w:val="24"/>
          <w:szCs w:val="24"/>
        </w:rPr>
        <w:t xml:space="preserve"> </w:t>
      </w:r>
      <w:r>
        <w:rPr>
          <w:spacing w:val="-9"/>
          <w:sz w:val="24"/>
          <w:szCs w:val="24"/>
        </w:rPr>
        <w:t>月</w:t>
      </w:r>
      <w:r>
        <w:rPr>
          <w:spacing w:val="-55"/>
          <w:sz w:val="24"/>
          <w:szCs w:val="24"/>
        </w:rPr>
        <w:t xml:space="preserve"> </w:t>
      </w:r>
      <w:r>
        <w:rPr>
          <w:rFonts w:ascii="Times New Roman" w:hAnsi="Times New Roman" w:eastAsia="Times New Roman" w:cs="Times New Roman"/>
          <w:spacing w:val="-9"/>
          <w:sz w:val="24"/>
          <w:szCs w:val="24"/>
        </w:rPr>
        <w:t xml:space="preserve">25  </w:t>
      </w:r>
      <w:r>
        <w:rPr>
          <w:spacing w:val="-9"/>
          <w:sz w:val="24"/>
          <w:szCs w:val="24"/>
        </w:rPr>
        <w:t>日河道截流，导流洞开</w:t>
      </w:r>
      <w:r>
        <w:rPr>
          <w:spacing w:val="-10"/>
          <w:sz w:val="24"/>
          <w:szCs w:val="24"/>
        </w:rPr>
        <w:t>始过水。</w:t>
      </w:r>
      <w:r>
        <w:rPr>
          <w:spacing w:val="-6"/>
          <w:sz w:val="24"/>
          <w:szCs w:val="24"/>
        </w:rPr>
        <w:t>大坝基础开挖于</w:t>
      </w:r>
      <w:r>
        <w:rPr>
          <w:spacing w:val="-45"/>
          <w:sz w:val="24"/>
          <w:szCs w:val="24"/>
        </w:rPr>
        <w:t xml:space="preserve"> </w:t>
      </w:r>
      <w:r>
        <w:rPr>
          <w:rFonts w:ascii="Times New Roman" w:hAnsi="Times New Roman" w:eastAsia="Times New Roman" w:cs="Times New Roman"/>
          <w:spacing w:val="-6"/>
          <w:sz w:val="24"/>
          <w:szCs w:val="24"/>
        </w:rPr>
        <w:t>2018</w:t>
      </w:r>
      <w:r>
        <w:rPr>
          <w:rFonts w:ascii="Times New Roman" w:hAnsi="Times New Roman" w:eastAsia="Times New Roman" w:cs="Times New Roman"/>
          <w:spacing w:val="20"/>
          <w:sz w:val="24"/>
          <w:szCs w:val="24"/>
        </w:rPr>
        <w:t xml:space="preserve"> </w:t>
      </w:r>
      <w:r>
        <w:rPr>
          <w:spacing w:val="-6"/>
          <w:sz w:val="24"/>
          <w:szCs w:val="24"/>
        </w:rPr>
        <w:t>年</w:t>
      </w:r>
      <w:r>
        <w:rPr>
          <w:spacing w:val="-41"/>
          <w:sz w:val="24"/>
          <w:szCs w:val="24"/>
        </w:rPr>
        <w:t xml:space="preserve"> </w:t>
      </w:r>
      <w:r>
        <w:rPr>
          <w:rFonts w:ascii="Times New Roman" w:hAnsi="Times New Roman" w:eastAsia="Times New Roman" w:cs="Times New Roman"/>
          <w:spacing w:val="-6"/>
          <w:sz w:val="24"/>
          <w:szCs w:val="24"/>
        </w:rPr>
        <w:t>9</w:t>
      </w:r>
      <w:r>
        <w:rPr>
          <w:rFonts w:ascii="Times New Roman" w:hAnsi="Times New Roman" w:eastAsia="Times New Roman" w:cs="Times New Roman"/>
          <w:spacing w:val="25"/>
          <w:sz w:val="24"/>
          <w:szCs w:val="24"/>
        </w:rPr>
        <w:t xml:space="preserve"> </w:t>
      </w:r>
      <w:r>
        <w:rPr>
          <w:spacing w:val="-6"/>
          <w:sz w:val="24"/>
          <w:szCs w:val="24"/>
        </w:rPr>
        <w:t xml:space="preserve">月 </w:t>
      </w:r>
      <w:r>
        <w:rPr>
          <w:rFonts w:ascii="Times New Roman" w:hAnsi="Times New Roman" w:eastAsia="Times New Roman" w:cs="Times New Roman"/>
          <w:spacing w:val="-6"/>
          <w:sz w:val="24"/>
          <w:szCs w:val="24"/>
        </w:rPr>
        <w:t xml:space="preserve">1  </w:t>
      </w:r>
      <w:r>
        <w:rPr>
          <w:spacing w:val="-6"/>
          <w:sz w:val="24"/>
          <w:szCs w:val="24"/>
        </w:rPr>
        <w:t>日开工，</w:t>
      </w:r>
      <w:r>
        <w:rPr>
          <w:spacing w:val="-7"/>
          <w:sz w:val="24"/>
          <w:szCs w:val="24"/>
        </w:rPr>
        <w:t>坝肩及坝基防渗等于</w:t>
      </w:r>
      <w:r>
        <w:rPr>
          <w:spacing w:val="-45"/>
          <w:sz w:val="24"/>
          <w:szCs w:val="24"/>
        </w:rPr>
        <w:t xml:space="preserve"> </w:t>
      </w:r>
      <w:r>
        <w:rPr>
          <w:rFonts w:ascii="Times New Roman" w:hAnsi="Times New Roman" w:eastAsia="Times New Roman" w:cs="Times New Roman"/>
          <w:spacing w:val="-7"/>
          <w:sz w:val="24"/>
          <w:szCs w:val="24"/>
        </w:rPr>
        <w:t>2019</w:t>
      </w:r>
      <w:r>
        <w:rPr>
          <w:rFonts w:ascii="Times New Roman" w:hAnsi="Times New Roman" w:eastAsia="Times New Roman" w:cs="Times New Roman"/>
          <w:spacing w:val="19"/>
          <w:w w:val="101"/>
          <w:sz w:val="24"/>
          <w:szCs w:val="24"/>
        </w:rPr>
        <w:t xml:space="preserve"> </w:t>
      </w:r>
      <w:r>
        <w:rPr>
          <w:spacing w:val="-7"/>
          <w:sz w:val="24"/>
          <w:szCs w:val="24"/>
        </w:rPr>
        <w:t xml:space="preserve">年 </w:t>
      </w:r>
      <w:r>
        <w:rPr>
          <w:rFonts w:ascii="Times New Roman" w:hAnsi="Times New Roman" w:eastAsia="Times New Roman" w:cs="Times New Roman"/>
          <w:spacing w:val="-7"/>
          <w:sz w:val="24"/>
          <w:szCs w:val="24"/>
        </w:rPr>
        <w:t>11</w:t>
      </w:r>
      <w:r>
        <w:rPr>
          <w:rFonts w:ascii="Times New Roman" w:hAnsi="Times New Roman" w:eastAsia="Times New Roman" w:cs="Times New Roman"/>
          <w:spacing w:val="25"/>
          <w:sz w:val="24"/>
          <w:szCs w:val="24"/>
        </w:rPr>
        <w:t xml:space="preserve"> </w:t>
      </w:r>
      <w:r>
        <w:rPr>
          <w:spacing w:val="-7"/>
          <w:sz w:val="24"/>
          <w:szCs w:val="24"/>
        </w:rPr>
        <w:t>月</w:t>
      </w:r>
      <w:r>
        <w:rPr>
          <w:spacing w:val="-47"/>
          <w:sz w:val="24"/>
          <w:szCs w:val="24"/>
        </w:rPr>
        <w:t xml:space="preserve"> </w:t>
      </w:r>
      <w:r>
        <w:rPr>
          <w:rFonts w:ascii="Times New Roman" w:hAnsi="Times New Roman" w:eastAsia="Times New Roman" w:cs="Times New Roman"/>
          <w:spacing w:val="-7"/>
          <w:sz w:val="24"/>
          <w:szCs w:val="24"/>
        </w:rPr>
        <w:t xml:space="preserve">25  </w:t>
      </w:r>
      <w:r>
        <w:rPr>
          <w:spacing w:val="-7"/>
          <w:sz w:val="24"/>
          <w:szCs w:val="24"/>
        </w:rPr>
        <w:t>日</w:t>
      </w:r>
      <w:r>
        <w:rPr>
          <w:spacing w:val="-6"/>
          <w:sz w:val="24"/>
          <w:szCs w:val="24"/>
        </w:rPr>
        <w:t>完工。输水隧洞工程于</w:t>
      </w:r>
      <w:r>
        <w:rPr>
          <w:spacing w:val="-55"/>
          <w:sz w:val="24"/>
          <w:szCs w:val="24"/>
        </w:rPr>
        <w:t xml:space="preserve"> </w:t>
      </w:r>
      <w:r>
        <w:rPr>
          <w:rFonts w:ascii="Times New Roman" w:hAnsi="Times New Roman" w:eastAsia="Times New Roman" w:cs="Times New Roman"/>
          <w:spacing w:val="-6"/>
          <w:sz w:val="24"/>
          <w:szCs w:val="24"/>
        </w:rPr>
        <w:t xml:space="preserve">2017 </w:t>
      </w:r>
      <w:r>
        <w:rPr>
          <w:spacing w:val="-6"/>
          <w:sz w:val="24"/>
          <w:szCs w:val="24"/>
        </w:rPr>
        <w:t>年</w:t>
      </w:r>
      <w:r>
        <w:rPr>
          <w:spacing w:val="-32"/>
          <w:sz w:val="24"/>
          <w:szCs w:val="24"/>
        </w:rPr>
        <w:t xml:space="preserve">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16"/>
          <w:sz w:val="24"/>
          <w:szCs w:val="24"/>
        </w:rPr>
        <w:t xml:space="preserve"> </w:t>
      </w:r>
      <w:r>
        <w:rPr>
          <w:spacing w:val="-6"/>
          <w:sz w:val="24"/>
          <w:szCs w:val="24"/>
        </w:rPr>
        <w:t>月</w:t>
      </w:r>
      <w:r>
        <w:rPr>
          <w:spacing w:val="-46"/>
          <w:sz w:val="24"/>
          <w:szCs w:val="24"/>
        </w:rPr>
        <w:t xml:space="preserve"> </w:t>
      </w:r>
      <w:r>
        <w:rPr>
          <w:rFonts w:ascii="Times New Roman" w:hAnsi="Times New Roman" w:eastAsia="Times New Roman" w:cs="Times New Roman"/>
          <w:spacing w:val="-6"/>
          <w:sz w:val="24"/>
          <w:szCs w:val="24"/>
        </w:rPr>
        <w:t xml:space="preserve">8  </w:t>
      </w:r>
      <w:r>
        <w:rPr>
          <w:spacing w:val="-6"/>
          <w:sz w:val="24"/>
          <w:szCs w:val="24"/>
        </w:rPr>
        <w:t>日开工，</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7"/>
          <w:sz w:val="24"/>
          <w:szCs w:val="24"/>
        </w:rPr>
        <w:t xml:space="preserve">020 </w:t>
      </w:r>
      <w:r>
        <w:rPr>
          <w:spacing w:val="-7"/>
          <w:sz w:val="24"/>
          <w:szCs w:val="24"/>
        </w:rPr>
        <w:t>年</w:t>
      </w:r>
      <w:r>
        <w:rPr>
          <w:spacing w:val="-50"/>
          <w:sz w:val="24"/>
          <w:szCs w:val="24"/>
        </w:rPr>
        <w:t xml:space="preserve"> </w:t>
      </w:r>
      <w:r>
        <w:rPr>
          <w:rFonts w:ascii="Times New Roman" w:hAnsi="Times New Roman" w:eastAsia="Times New Roman" w:cs="Times New Roman"/>
          <w:spacing w:val="-7"/>
          <w:sz w:val="24"/>
          <w:szCs w:val="24"/>
        </w:rPr>
        <w:t>6</w:t>
      </w:r>
      <w:r>
        <w:rPr>
          <w:rFonts w:ascii="Times New Roman" w:hAnsi="Times New Roman" w:eastAsia="Times New Roman" w:cs="Times New Roman"/>
          <w:spacing w:val="16"/>
          <w:sz w:val="24"/>
          <w:szCs w:val="24"/>
        </w:rPr>
        <w:t xml:space="preserve"> </w:t>
      </w:r>
      <w:r>
        <w:rPr>
          <w:spacing w:val="-7"/>
          <w:sz w:val="24"/>
          <w:szCs w:val="24"/>
        </w:rPr>
        <w:t>月</w:t>
      </w:r>
      <w:r>
        <w:rPr>
          <w:spacing w:val="-55"/>
          <w:sz w:val="24"/>
          <w:szCs w:val="24"/>
        </w:rPr>
        <w:t xml:space="preserve"> </w:t>
      </w:r>
      <w:r>
        <w:rPr>
          <w:rFonts w:ascii="Times New Roman" w:hAnsi="Times New Roman" w:eastAsia="Times New Roman" w:cs="Times New Roman"/>
          <w:spacing w:val="-7"/>
          <w:sz w:val="24"/>
          <w:szCs w:val="24"/>
        </w:rPr>
        <w:t xml:space="preserve">23  </w:t>
      </w:r>
      <w:r>
        <w:rPr>
          <w:spacing w:val="-7"/>
          <w:sz w:val="24"/>
          <w:szCs w:val="24"/>
        </w:rPr>
        <w:t>日浇筑完工。生态</w:t>
      </w:r>
      <w:r>
        <w:rPr>
          <w:spacing w:val="-5"/>
          <w:sz w:val="24"/>
          <w:szCs w:val="24"/>
        </w:rPr>
        <w:t>输水管道总长</w:t>
      </w:r>
      <w:r>
        <w:rPr>
          <w:spacing w:val="-51"/>
          <w:sz w:val="24"/>
          <w:szCs w:val="24"/>
        </w:rPr>
        <w:t xml:space="preserve"> </w:t>
      </w:r>
      <w:r>
        <w:rPr>
          <w:rFonts w:ascii="Times New Roman" w:hAnsi="Times New Roman" w:eastAsia="Times New Roman" w:cs="Times New Roman"/>
          <w:spacing w:val="-5"/>
          <w:sz w:val="24"/>
          <w:szCs w:val="24"/>
        </w:rPr>
        <w:t>337.066m</w:t>
      </w:r>
      <w:r>
        <w:rPr>
          <w:spacing w:val="-5"/>
          <w:sz w:val="24"/>
          <w:szCs w:val="24"/>
        </w:rPr>
        <w:t>，于</w:t>
      </w:r>
      <w:r>
        <w:rPr>
          <w:spacing w:val="-40"/>
          <w:sz w:val="24"/>
          <w:szCs w:val="24"/>
        </w:rPr>
        <w:t xml:space="preserve"> </w:t>
      </w:r>
      <w:r>
        <w:rPr>
          <w:rFonts w:ascii="Times New Roman" w:hAnsi="Times New Roman" w:eastAsia="Times New Roman" w:cs="Times New Roman"/>
          <w:spacing w:val="-5"/>
          <w:sz w:val="24"/>
          <w:szCs w:val="24"/>
        </w:rPr>
        <w:t xml:space="preserve">2018 </w:t>
      </w:r>
      <w:r>
        <w:rPr>
          <w:spacing w:val="-5"/>
          <w:sz w:val="24"/>
          <w:szCs w:val="24"/>
        </w:rPr>
        <w:t>年</w:t>
      </w:r>
      <w:r>
        <w:rPr>
          <w:spacing w:val="-32"/>
          <w:sz w:val="24"/>
          <w:szCs w:val="24"/>
        </w:rPr>
        <w:t xml:space="preserve"> </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15"/>
          <w:sz w:val="24"/>
          <w:szCs w:val="24"/>
        </w:rPr>
        <w:t xml:space="preserve"> </w:t>
      </w:r>
      <w:r>
        <w:rPr>
          <w:spacing w:val="-6"/>
          <w:sz w:val="24"/>
          <w:szCs w:val="24"/>
        </w:rPr>
        <w:t>月</w:t>
      </w:r>
      <w:r>
        <w:rPr>
          <w:spacing w:val="-32"/>
          <w:sz w:val="24"/>
          <w:szCs w:val="24"/>
        </w:rPr>
        <w:t xml:space="preserve"> </w:t>
      </w:r>
      <w:r>
        <w:rPr>
          <w:rFonts w:ascii="Times New Roman" w:hAnsi="Times New Roman" w:eastAsia="Times New Roman" w:cs="Times New Roman"/>
          <w:spacing w:val="-6"/>
          <w:sz w:val="24"/>
          <w:szCs w:val="24"/>
        </w:rPr>
        <w:t xml:space="preserve">16  </w:t>
      </w:r>
      <w:r>
        <w:rPr>
          <w:spacing w:val="-6"/>
          <w:sz w:val="24"/>
          <w:szCs w:val="24"/>
        </w:rPr>
        <w:t>日全部安装完成。</w:t>
      </w:r>
    </w:p>
    <w:p w14:paraId="1057C9AD">
      <w:pPr>
        <w:pStyle w:val="2"/>
        <w:spacing w:before="3" w:line="337" w:lineRule="auto"/>
        <w:ind w:left="38" w:right="28" w:firstLine="480"/>
        <w:rPr>
          <w:sz w:val="24"/>
          <w:szCs w:val="24"/>
        </w:rPr>
      </w:pPr>
      <w:r>
        <w:rPr>
          <w:spacing w:val="-7"/>
          <w:sz w:val="24"/>
          <w:szCs w:val="24"/>
        </w:rPr>
        <w:t>截至</w:t>
      </w:r>
      <w:r>
        <w:rPr>
          <w:rFonts w:ascii="Times New Roman" w:hAnsi="Times New Roman" w:eastAsia="Times New Roman" w:cs="Times New Roman"/>
          <w:spacing w:val="-7"/>
          <w:sz w:val="24"/>
          <w:szCs w:val="24"/>
        </w:rPr>
        <w:t xml:space="preserve">2022 </w:t>
      </w:r>
      <w:r>
        <w:rPr>
          <w:spacing w:val="-7"/>
          <w:sz w:val="24"/>
          <w:szCs w:val="24"/>
        </w:rPr>
        <w:t>年</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21"/>
          <w:sz w:val="24"/>
          <w:szCs w:val="24"/>
        </w:rPr>
        <w:t xml:space="preserve"> </w:t>
      </w:r>
      <w:r>
        <w:rPr>
          <w:spacing w:val="-7"/>
          <w:sz w:val="24"/>
          <w:szCs w:val="24"/>
        </w:rPr>
        <w:t>月，大坝枢纽工程、输水工程、分层取水设施、生态输水管道、</w:t>
      </w:r>
      <w:r>
        <w:rPr>
          <w:spacing w:val="-4"/>
          <w:sz w:val="24"/>
          <w:szCs w:val="24"/>
        </w:rPr>
        <w:t>库底清理、移民安置、鱼道及码头、鱼类增殖站等工程已基本完成。旁路系统设计</w:t>
      </w:r>
      <w:r>
        <w:rPr>
          <w:spacing w:val="-3"/>
          <w:sz w:val="24"/>
          <w:szCs w:val="24"/>
        </w:rPr>
        <w:t>方案于</w:t>
      </w:r>
      <w:r>
        <w:rPr>
          <w:spacing w:val="-55"/>
          <w:sz w:val="24"/>
          <w:szCs w:val="24"/>
        </w:rPr>
        <w:t xml:space="preserve"> </w:t>
      </w:r>
      <w:r>
        <w:rPr>
          <w:rFonts w:ascii="Times New Roman" w:hAnsi="Times New Roman" w:eastAsia="Times New Roman" w:cs="Times New Roman"/>
          <w:spacing w:val="-3"/>
          <w:sz w:val="24"/>
          <w:szCs w:val="24"/>
        </w:rPr>
        <w:t xml:space="preserve">2021 </w:t>
      </w:r>
      <w:r>
        <w:rPr>
          <w:spacing w:val="-3"/>
          <w:sz w:val="24"/>
          <w:szCs w:val="24"/>
        </w:rPr>
        <w:t>年</w:t>
      </w:r>
      <w:r>
        <w:rPr>
          <w:spacing w:val="-32"/>
          <w:sz w:val="24"/>
          <w:szCs w:val="24"/>
        </w:rPr>
        <w:t xml:space="preserve"> </w:t>
      </w:r>
      <w:r>
        <w:rPr>
          <w:rFonts w:ascii="Times New Roman" w:hAnsi="Times New Roman" w:eastAsia="Times New Roman" w:cs="Times New Roman"/>
          <w:spacing w:val="-3"/>
          <w:sz w:val="24"/>
          <w:szCs w:val="24"/>
        </w:rPr>
        <w:t>12</w:t>
      </w:r>
      <w:r>
        <w:rPr>
          <w:rFonts w:ascii="Times New Roman" w:hAnsi="Times New Roman" w:eastAsia="Times New Roman" w:cs="Times New Roman"/>
          <w:spacing w:val="15"/>
          <w:w w:val="101"/>
          <w:sz w:val="24"/>
          <w:szCs w:val="24"/>
        </w:rPr>
        <w:t xml:space="preserve"> </w:t>
      </w:r>
      <w:r>
        <w:rPr>
          <w:spacing w:val="-3"/>
          <w:sz w:val="24"/>
          <w:szCs w:val="24"/>
        </w:rPr>
        <w:t>月</w:t>
      </w:r>
      <w:r>
        <w:rPr>
          <w:spacing w:val="-51"/>
          <w:sz w:val="24"/>
          <w:szCs w:val="24"/>
        </w:rPr>
        <w:t xml:space="preserve"> </w:t>
      </w:r>
      <w:r>
        <w:rPr>
          <w:rFonts w:ascii="Times New Roman" w:hAnsi="Times New Roman" w:eastAsia="Times New Roman" w:cs="Times New Roman"/>
          <w:spacing w:val="-3"/>
          <w:sz w:val="24"/>
          <w:szCs w:val="24"/>
        </w:rPr>
        <w:t xml:space="preserve">31  </w:t>
      </w:r>
      <w:r>
        <w:rPr>
          <w:spacing w:val="-3"/>
          <w:sz w:val="24"/>
          <w:szCs w:val="24"/>
        </w:rPr>
        <w:t>日通过专</w:t>
      </w:r>
      <w:r>
        <w:rPr>
          <w:spacing w:val="-4"/>
          <w:sz w:val="24"/>
          <w:szCs w:val="24"/>
        </w:rPr>
        <w:t>家评审，目前正在开展招标工作。鱼类保护栖息</w:t>
      </w:r>
      <w:r>
        <w:rPr>
          <w:spacing w:val="3"/>
          <w:sz w:val="24"/>
          <w:szCs w:val="24"/>
        </w:rPr>
        <w:t>地及河流连通性恢复工程马龙区人民政府已完成征求意见和</w:t>
      </w:r>
      <w:r>
        <w:rPr>
          <w:spacing w:val="2"/>
          <w:sz w:val="24"/>
          <w:szCs w:val="24"/>
        </w:rPr>
        <w:t>前期征地工作，待政</w:t>
      </w:r>
      <w:r>
        <w:rPr>
          <w:spacing w:val="-4"/>
          <w:sz w:val="24"/>
          <w:szCs w:val="24"/>
        </w:rPr>
        <w:t>府正式批文出台后正式实施。</w:t>
      </w:r>
    </w:p>
    <w:p w14:paraId="08B13390">
      <w:pPr>
        <w:pStyle w:val="2"/>
        <w:spacing w:before="9" w:line="338" w:lineRule="auto"/>
        <w:ind w:left="32" w:right="30" w:firstLine="488"/>
        <w:jc w:val="both"/>
        <w:rPr>
          <w:sz w:val="24"/>
          <w:szCs w:val="24"/>
        </w:rPr>
      </w:pPr>
      <w:r>
        <w:rPr>
          <w:spacing w:val="-4"/>
          <w:sz w:val="24"/>
          <w:szCs w:val="24"/>
        </w:rPr>
        <w:t xml:space="preserve">车马碧水库计划采用分期蓄水方案，第一阶段蓄水时间为 </w:t>
      </w:r>
      <w:r>
        <w:rPr>
          <w:rFonts w:ascii="Times New Roman" w:hAnsi="Times New Roman" w:eastAsia="Times New Roman" w:cs="Times New Roman"/>
          <w:spacing w:val="-4"/>
          <w:sz w:val="24"/>
          <w:szCs w:val="24"/>
        </w:rPr>
        <w:t>202</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47"/>
          <w:sz w:val="24"/>
          <w:szCs w:val="24"/>
        </w:rPr>
        <w:t xml:space="preserve"> </w:t>
      </w:r>
      <w:r>
        <w:rPr>
          <w:spacing w:val="-5"/>
          <w:sz w:val="24"/>
          <w:szCs w:val="24"/>
        </w:rPr>
        <w:t xml:space="preserve">年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52"/>
          <w:w w:val="101"/>
          <w:sz w:val="24"/>
          <w:szCs w:val="24"/>
        </w:rPr>
        <w:t xml:space="preserve"> </w:t>
      </w:r>
      <w:r>
        <w:rPr>
          <w:spacing w:val="-5"/>
          <w:sz w:val="24"/>
          <w:szCs w:val="24"/>
        </w:rPr>
        <w:t xml:space="preserve">月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4"/>
          <w:sz w:val="24"/>
          <w:szCs w:val="24"/>
        </w:rPr>
        <w:t xml:space="preserve">  </w:t>
      </w:r>
      <w:r>
        <w:rPr>
          <w:spacing w:val="-5"/>
          <w:sz w:val="24"/>
          <w:szCs w:val="24"/>
        </w:rPr>
        <w:t>日</w:t>
      </w:r>
      <w:r>
        <w:rPr>
          <w:rFonts w:ascii="Times New Roman" w:hAnsi="Times New Roman" w:eastAsia="Times New Roman" w:cs="Times New Roman"/>
          <w:spacing w:val="-4"/>
          <w:sz w:val="24"/>
          <w:szCs w:val="24"/>
        </w:rPr>
        <w:t>~2022</w:t>
      </w:r>
      <w:r>
        <w:rPr>
          <w:rFonts w:ascii="Times New Roman" w:hAnsi="Times New Roman" w:eastAsia="Times New Roman" w:cs="Times New Roman"/>
          <w:spacing w:val="22"/>
          <w:sz w:val="24"/>
          <w:szCs w:val="24"/>
        </w:rPr>
        <w:t xml:space="preserve"> </w:t>
      </w:r>
      <w:r>
        <w:rPr>
          <w:spacing w:val="-4"/>
          <w:sz w:val="24"/>
          <w:szCs w:val="24"/>
        </w:rPr>
        <w:t>年</w:t>
      </w:r>
      <w:r>
        <w:rPr>
          <w:spacing w:val="-28"/>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8"/>
          <w:w w:val="101"/>
          <w:sz w:val="24"/>
          <w:szCs w:val="24"/>
        </w:rPr>
        <w:t xml:space="preserve"> </w:t>
      </w:r>
      <w:r>
        <w:rPr>
          <w:spacing w:val="-4"/>
          <w:sz w:val="24"/>
          <w:szCs w:val="24"/>
        </w:rPr>
        <w:t>月</w:t>
      </w:r>
      <w:r>
        <w:rPr>
          <w:spacing w:val="-47"/>
          <w:sz w:val="24"/>
          <w:szCs w:val="24"/>
        </w:rPr>
        <w:t xml:space="preserve"> </w:t>
      </w:r>
      <w:r>
        <w:rPr>
          <w:rFonts w:ascii="Times New Roman" w:hAnsi="Times New Roman" w:eastAsia="Times New Roman" w:cs="Times New Roman"/>
          <w:spacing w:val="-4"/>
          <w:sz w:val="24"/>
          <w:szCs w:val="24"/>
        </w:rPr>
        <w:t>31</w:t>
      </w:r>
      <w:r>
        <w:rPr>
          <w:rFonts w:ascii="Times New Roman" w:hAnsi="Times New Roman" w:eastAsia="Times New Roman" w:cs="Times New Roman"/>
          <w:spacing w:val="55"/>
          <w:sz w:val="24"/>
          <w:szCs w:val="24"/>
        </w:rPr>
        <w:t xml:space="preserve"> </w:t>
      </w:r>
      <w:r>
        <w:rPr>
          <w:spacing w:val="-4"/>
          <w:sz w:val="24"/>
          <w:szCs w:val="24"/>
        </w:rPr>
        <w:t xml:space="preserve">日，水库从导流隧洞底板高程 </w:t>
      </w:r>
      <w:r>
        <w:rPr>
          <w:rFonts w:ascii="Times New Roman" w:hAnsi="Times New Roman" w:eastAsia="Times New Roman" w:cs="Times New Roman"/>
          <w:spacing w:val="-4"/>
          <w:sz w:val="24"/>
          <w:szCs w:val="24"/>
        </w:rPr>
        <w:t xml:space="preserve">1899.39m </w:t>
      </w:r>
      <w:r>
        <w:rPr>
          <w:spacing w:val="-4"/>
          <w:sz w:val="24"/>
          <w:szCs w:val="24"/>
        </w:rPr>
        <w:t>开始蓄水，控制最高蓄</w:t>
      </w:r>
      <w:r>
        <w:rPr>
          <w:spacing w:val="-6"/>
          <w:sz w:val="24"/>
          <w:szCs w:val="24"/>
        </w:rPr>
        <w:t>水位为</w:t>
      </w:r>
      <w:r>
        <w:rPr>
          <w:spacing w:val="-25"/>
          <w:sz w:val="24"/>
          <w:szCs w:val="24"/>
        </w:rPr>
        <w:t xml:space="preserve"> </w:t>
      </w:r>
      <w:r>
        <w:rPr>
          <w:rFonts w:ascii="Times New Roman" w:hAnsi="Times New Roman" w:eastAsia="Times New Roman" w:cs="Times New Roman"/>
          <w:spacing w:val="-6"/>
          <w:sz w:val="24"/>
          <w:szCs w:val="24"/>
        </w:rPr>
        <w:t>1925.0m</w:t>
      </w:r>
      <w:r>
        <w:rPr>
          <w:spacing w:val="-6"/>
          <w:sz w:val="24"/>
          <w:szCs w:val="24"/>
        </w:rPr>
        <w:t>；第二阶段蓄水时间为</w:t>
      </w:r>
      <w:r>
        <w:rPr>
          <w:spacing w:val="-47"/>
          <w:sz w:val="24"/>
          <w:szCs w:val="24"/>
        </w:rPr>
        <w:t xml:space="preserve"> </w:t>
      </w:r>
      <w:r>
        <w:rPr>
          <w:rFonts w:ascii="Times New Roman" w:hAnsi="Times New Roman" w:eastAsia="Times New Roman" w:cs="Times New Roman"/>
          <w:spacing w:val="-6"/>
          <w:sz w:val="24"/>
          <w:szCs w:val="24"/>
        </w:rPr>
        <w:t>2023</w:t>
      </w:r>
      <w:r>
        <w:rPr>
          <w:rFonts w:ascii="Times New Roman" w:hAnsi="Times New Roman" w:eastAsia="Times New Roman" w:cs="Times New Roman"/>
          <w:spacing w:val="18"/>
          <w:sz w:val="24"/>
          <w:szCs w:val="24"/>
        </w:rPr>
        <w:t xml:space="preserve"> </w:t>
      </w:r>
      <w:r>
        <w:rPr>
          <w:spacing w:val="-6"/>
          <w:sz w:val="24"/>
          <w:szCs w:val="24"/>
        </w:rPr>
        <w:t>年</w:t>
      </w:r>
      <w:r>
        <w:rPr>
          <w:spacing w:val="-25"/>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22"/>
          <w:w w:val="101"/>
          <w:sz w:val="24"/>
          <w:szCs w:val="24"/>
        </w:rPr>
        <w:t xml:space="preserve"> </w:t>
      </w:r>
      <w:r>
        <w:rPr>
          <w:spacing w:val="-6"/>
          <w:sz w:val="24"/>
          <w:szCs w:val="24"/>
        </w:rPr>
        <w:t>月</w:t>
      </w:r>
      <w:r>
        <w:rPr>
          <w:spacing w:val="-25"/>
          <w:sz w:val="24"/>
          <w:szCs w:val="24"/>
        </w:rPr>
        <w:t xml:space="preserve"> </w:t>
      </w:r>
      <w:r>
        <w:rPr>
          <w:rFonts w:ascii="Times New Roman" w:hAnsi="Times New Roman" w:eastAsia="Times New Roman" w:cs="Times New Roman"/>
          <w:spacing w:val="-6"/>
          <w:sz w:val="24"/>
          <w:szCs w:val="24"/>
        </w:rPr>
        <w:t xml:space="preserve">1  </w:t>
      </w:r>
      <w:r>
        <w:rPr>
          <w:spacing w:val="-7"/>
          <w:sz w:val="24"/>
          <w:szCs w:val="24"/>
        </w:rPr>
        <w:t>日</w:t>
      </w:r>
      <w:r>
        <w:rPr>
          <w:rFonts w:ascii="Times New Roman" w:hAnsi="Times New Roman" w:eastAsia="Times New Roman" w:cs="Times New Roman"/>
          <w:spacing w:val="-7"/>
          <w:sz w:val="24"/>
          <w:szCs w:val="24"/>
        </w:rPr>
        <w:t>~2023</w:t>
      </w:r>
      <w:r>
        <w:rPr>
          <w:rFonts w:ascii="Times New Roman" w:hAnsi="Times New Roman" w:eastAsia="Times New Roman" w:cs="Times New Roman"/>
          <w:spacing w:val="18"/>
          <w:sz w:val="24"/>
          <w:szCs w:val="24"/>
        </w:rPr>
        <w:t xml:space="preserve"> </w:t>
      </w:r>
      <w:r>
        <w:rPr>
          <w:spacing w:val="-7"/>
          <w:sz w:val="24"/>
          <w:szCs w:val="24"/>
        </w:rPr>
        <w:t>年</w:t>
      </w:r>
      <w:r>
        <w:rPr>
          <w:spacing w:val="-25"/>
          <w:sz w:val="24"/>
          <w:szCs w:val="24"/>
        </w:rPr>
        <w:t xml:space="preserve"> </w:t>
      </w:r>
      <w:r>
        <w:rPr>
          <w:rFonts w:ascii="Times New Roman" w:hAnsi="Times New Roman" w:eastAsia="Times New Roman" w:cs="Times New Roman"/>
          <w:spacing w:val="-7"/>
          <w:sz w:val="24"/>
          <w:szCs w:val="24"/>
        </w:rPr>
        <w:t>12</w:t>
      </w:r>
      <w:r>
        <w:rPr>
          <w:rFonts w:ascii="Times New Roman" w:hAnsi="Times New Roman" w:eastAsia="Times New Roman" w:cs="Times New Roman"/>
          <w:spacing w:val="23"/>
          <w:sz w:val="24"/>
          <w:szCs w:val="24"/>
        </w:rPr>
        <w:t xml:space="preserve"> </w:t>
      </w:r>
      <w:r>
        <w:rPr>
          <w:spacing w:val="-7"/>
          <w:sz w:val="24"/>
          <w:szCs w:val="24"/>
        </w:rPr>
        <w:t>月</w:t>
      </w:r>
      <w:r>
        <w:rPr>
          <w:spacing w:val="-43"/>
          <w:sz w:val="24"/>
          <w:szCs w:val="24"/>
        </w:rPr>
        <w:t xml:space="preserve"> </w:t>
      </w:r>
      <w:r>
        <w:rPr>
          <w:rFonts w:ascii="Times New Roman" w:hAnsi="Times New Roman" w:eastAsia="Times New Roman" w:cs="Times New Roman"/>
          <w:spacing w:val="-7"/>
          <w:sz w:val="24"/>
          <w:szCs w:val="24"/>
        </w:rPr>
        <w:t xml:space="preserve">31  </w:t>
      </w:r>
      <w:r>
        <w:rPr>
          <w:spacing w:val="-7"/>
          <w:sz w:val="24"/>
          <w:szCs w:val="24"/>
        </w:rPr>
        <w:t>日，水</w:t>
      </w:r>
      <w:r>
        <w:rPr>
          <w:spacing w:val="-2"/>
          <w:sz w:val="24"/>
          <w:szCs w:val="24"/>
        </w:rPr>
        <w:t>位从</w:t>
      </w:r>
      <w:r>
        <w:rPr>
          <w:spacing w:val="-32"/>
          <w:sz w:val="24"/>
          <w:szCs w:val="24"/>
        </w:rPr>
        <w:t xml:space="preserve"> </w:t>
      </w:r>
      <w:r>
        <w:rPr>
          <w:rFonts w:ascii="Times New Roman" w:hAnsi="Times New Roman" w:eastAsia="Times New Roman" w:cs="Times New Roman"/>
          <w:spacing w:val="-2"/>
          <w:sz w:val="24"/>
          <w:szCs w:val="24"/>
        </w:rPr>
        <w:t xml:space="preserve">1925.0m </w:t>
      </w:r>
      <w:r>
        <w:rPr>
          <w:spacing w:val="-2"/>
          <w:sz w:val="24"/>
          <w:szCs w:val="24"/>
        </w:rPr>
        <w:t>逐步蓄水至正常水位</w:t>
      </w:r>
      <w:r>
        <w:rPr>
          <w:spacing w:val="-31"/>
          <w:sz w:val="24"/>
          <w:szCs w:val="24"/>
        </w:rPr>
        <w:t xml:space="preserve"> </w:t>
      </w:r>
      <w:r>
        <w:rPr>
          <w:rFonts w:ascii="Times New Roman" w:hAnsi="Times New Roman" w:eastAsia="Times New Roman" w:cs="Times New Roman"/>
          <w:spacing w:val="-2"/>
          <w:sz w:val="24"/>
          <w:szCs w:val="24"/>
        </w:rPr>
        <w:t>193</w:t>
      </w:r>
      <w:r>
        <w:rPr>
          <w:rFonts w:ascii="Times New Roman" w:hAnsi="Times New Roman" w:eastAsia="Times New Roman" w:cs="Times New Roman"/>
          <w:spacing w:val="-3"/>
          <w:sz w:val="24"/>
          <w:szCs w:val="24"/>
        </w:rPr>
        <w:t>8.5m</w:t>
      </w:r>
      <w:r>
        <w:rPr>
          <w:spacing w:val="-3"/>
          <w:sz w:val="24"/>
          <w:szCs w:val="24"/>
        </w:rPr>
        <w:t>。</w:t>
      </w:r>
    </w:p>
    <w:p w14:paraId="3E350EDC">
      <w:pPr>
        <w:pStyle w:val="2"/>
        <w:spacing w:before="7" w:line="337" w:lineRule="auto"/>
        <w:ind w:left="38" w:right="28" w:firstLine="476"/>
        <w:jc w:val="both"/>
        <w:rPr>
          <w:sz w:val="24"/>
          <w:szCs w:val="24"/>
        </w:rPr>
      </w:pPr>
      <w:r>
        <w:rPr>
          <w:rFonts w:ascii="Times New Roman" w:hAnsi="Times New Roman" w:eastAsia="Times New Roman" w:cs="Times New Roman"/>
          <w:spacing w:val="-1"/>
          <w:sz w:val="24"/>
          <w:szCs w:val="24"/>
        </w:rPr>
        <w:t>2021</w:t>
      </w:r>
      <w:r>
        <w:rPr>
          <w:rFonts w:ascii="Times New Roman" w:hAnsi="Times New Roman" w:eastAsia="Times New Roman" w:cs="Times New Roman"/>
          <w:spacing w:val="25"/>
          <w:sz w:val="24"/>
          <w:szCs w:val="24"/>
        </w:rPr>
        <w:t xml:space="preserve"> </w:t>
      </w:r>
      <w:r>
        <w:rPr>
          <w:spacing w:val="-1"/>
          <w:sz w:val="24"/>
          <w:szCs w:val="24"/>
        </w:rPr>
        <w:t>年</w:t>
      </w:r>
      <w:r>
        <w:rPr>
          <w:spacing w:val="-42"/>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31"/>
          <w:sz w:val="24"/>
          <w:szCs w:val="24"/>
        </w:rPr>
        <w:t xml:space="preserve"> </w:t>
      </w:r>
      <w:r>
        <w:rPr>
          <w:spacing w:val="-1"/>
          <w:sz w:val="24"/>
          <w:szCs w:val="24"/>
        </w:rPr>
        <w:t>月，建设单位委托中国电建集团北京勘测设计研究院有限公司（以</w:t>
      </w:r>
      <w:r>
        <w:rPr>
          <w:spacing w:val="-10"/>
          <w:sz w:val="24"/>
          <w:szCs w:val="24"/>
        </w:rPr>
        <w:t>下简称“我院</w:t>
      </w:r>
      <w:r>
        <w:rPr>
          <w:spacing w:val="-85"/>
          <w:sz w:val="24"/>
          <w:szCs w:val="24"/>
        </w:rPr>
        <w:t xml:space="preserve"> </w:t>
      </w:r>
      <w:r>
        <w:rPr>
          <w:spacing w:val="-10"/>
          <w:sz w:val="24"/>
          <w:szCs w:val="24"/>
        </w:rPr>
        <w:t>”）开展车马碧水库环境保护蓄水验收调查工作。接受委托后，</w:t>
      </w:r>
      <w:r>
        <w:rPr>
          <w:spacing w:val="61"/>
          <w:sz w:val="24"/>
          <w:szCs w:val="24"/>
        </w:rPr>
        <w:t xml:space="preserve"> </w:t>
      </w:r>
      <w:r>
        <w:rPr>
          <w:spacing w:val="-10"/>
          <w:sz w:val="24"/>
          <w:szCs w:val="24"/>
        </w:rPr>
        <w:t>我院</w:t>
      </w:r>
      <w:r>
        <w:rPr>
          <w:spacing w:val="-4"/>
          <w:sz w:val="24"/>
          <w:szCs w:val="24"/>
        </w:rPr>
        <w:t>立即组织相关技术人员，在建设单位的大力支持下，开展了多次实地踏勘，收</w:t>
      </w:r>
      <w:r>
        <w:rPr>
          <w:spacing w:val="-5"/>
          <w:sz w:val="24"/>
          <w:szCs w:val="24"/>
        </w:rPr>
        <w:t>集了</w:t>
      </w:r>
      <w:r>
        <w:rPr>
          <w:spacing w:val="-7"/>
          <w:sz w:val="24"/>
          <w:szCs w:val="24"/>
        </w:rPr>
        <w:t>工程建设及环水保措施的设计、施工、监理、验收、运行、监测等有</w:t>
      </w:r>
      <w:r>
        <w:rPr>
          <w:spacing w:val="-8"/>
          <w:sz w:val="24"/>
          <w:szCs w:val="24"/>
        </w:rPr>
        <w:t>关资料， 对项</w:t>
      </w:r>
      <w:r>
        <w:rPr>
          <w:spacing w:val="-1"/>
          <w:sz w:val="24"/>
          <w:szCs w:val="24"/>
        </w:rPr>
        <w:t>目工程区、施工区和影响区进行了详细调查，于</w:t>
      </w:r>
      <w:r>
        <w:rPr>
          <w:spacing w:val="-55"/>
          <w:sz w:val="24"/>
          <w:szCs w:val="24"/>
        </w:rPr>
        <w:t xml:space="preserve"> </w:t>
      </w:r>
      <w:r>
        <w:rPr>
          <w:rFonts w:ascii="Times New Roman" w:hAnsi="Times New Roman" w:eastAsia="Times New Roman" w:cs="Times New Roman"/>
          <w:spacing w:val="-1"/>
          <w:sz w:val="24"/>
          <w:szCs w:val="24"/>
        </w:rPr>
        <w:t xml:space="preserve">2022 </w:t>
      </w:r>
      <w:r>
        <w:rPr>
          <w:spacing w:val="-1"/>
          <w:sz w:val="24"/>
          <w:szCs w:val="24"/>
        </w:rPr>
        <w:t>年</w:t>
      </w:r>
      <w:r>
        <w:rPr>
          <w:spacing w:val="-55"/>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15"/>
          <w:w w:val="101"/>
          <w:sz w:val="24"/>
          <w:szCs w:val="24"/>
        </w:rPr>
        <w:t xml:space="preserve"> </w:t>
      </w:r>
      <w:r>
        <w:rPr>
          <w:spacing w:val="-2"/>
          <w:sz w:val="24"/>
          <w:szCs w:val="24"/>
        </w:rPr>
        <w:t>月编制完成《云南省曲</w:t>
      </w:r>
      <w:r>
        <w:rPr>
          <w:spacing w:val="-4"/>
          <w:sz w:val="24"/>
          <w:szCs w:val="24"/>
        </w:rPr>
        <w:t>靖市车马碧水库工程蓄水阶段环境保护设施验收调查报告》。</w:t>
      </w:r>
    </w:p>
    <w:p w14:paraId="715ADD4C">
      <w:pPr>
        <w:pStyle w:val="2"/>
        <w:spacing w:before="2" w:line="340" w:lineRule="auto"/>
        <w:ind w:left="39" w:right="31" w:firstLine="479"/>
        <w:rPr>
          <w:sz w:val="24"/>
          <w:szCs w:val="24"/>
        </w:rPr>
      </w:pPr>
      <w:r>
        <w:rPr>
          <w:spacing w:val="-4"/>
          <w:sz w:val="24"/>
          <w:szCs w:val="24"/>
        </w:rPr>
        <w:t>在验收调查过程中，得到了云南省生态环境厅、曲靖市</w:t>
      </w:r>
      <w:r>
        <w:rPr>
          <w:spacing w:val="-5"/>
          <w:sz w:val="24"/>
          <w:szCs w:val="24"/>
        </w:rPr>
        <w:t>人民政府、曲靖市生态环境局、曲靖市水务局、马龙区生态环境分局、建设单位、设计单位、施工单</w:t>
      </w:r>
      <w:r>
        <w:rPr>
          <w:spacing w:val="-6"/>
          <w:sz w:val="24"/>
          <w:szCs w:val="24"/>
        </w:rPr>
        <w:t>位、</w:t>
      </w:r>
      <w:r>
        <w:rPr>
          <w:spacing w:val="-4"/>
          <w:sz w:val="24"/>
          <w:szCs w:val="24"/>
        </w:rPr>
        <w:t>环保监理单位、监测点位、水土保持单位，以及工程建设其它参建单位的大</w:t>
      </w:r>
      <w:r>
        <w:rPr>
          <w:spacing w:val="-5"/>
          <w:sz w:val="24"/>
          <w:szCs w:val="24"/>
        </w:rPr>
        <w:t>力支持</w:t>
      </w:r>
      <w:r>
        <w:rPr>
          <w:spacing w:val="-3"/>
          <w:sz w:val="24"/>
          <w:szCs w:val="24"/>
        </w:rPr>
        <w:t>与协助，在此一并表示衷心感谢！</w:t>
      </w:r>
    </w:p>
    <w:p w14:paraId="5ED88FB4">
      <w:pPr>
        <w:spacing w:line="340" w:lineRule="auto"/>
        <w:rPr>
          <w:sz w:val="24"/>
          <w:szCs w:val="24"/>
        </w:rPr>
        <w:sectPr>
          <w:footerReference r:id="rId12" w:type="default"/>
          <w:pgSz w:w="11907" w:h="16839"/>
          <w:pgMar w:top="1375" w:right="1669" w:bottom="1017" w:left="1671" w:header="997" w:footer="814" w:gutter="0"/>
          <w:cols w:space="720" w:num="1"/>
        </w:sectPr>
      </w:pPr>
    </w:p>
    <w:p w14:paraId="7CBD9B60">
      <w:pPr>
        <w:spacing w:line="447" w:lineRule="auto"/>
        <w:rPr>
          <w:rFonts w:ascii="Arial"/>
          <w:sz w:val="21"/>
        </w:rPr>
      </w:pPr>
    </w:p>
    <w:p w14:paraId="4AAF282E">
      <w:pPr>
        <w:pStyle w:val="2"/>
        <w:spacing w:before="104" w:line="234" w:lineRule="auto"/>
        <w:ind w:left="3473"/>
        <w:outlineLvl w:val="1"/>
      </w:pPr>
      <w:bookmarkStart w:id="1" w:name="bookmark3"/>
      <w:bookmarkEnd w:id="1"/>
      <w:bookmarkStart w:id="2" w:name="bookmark2"/>
      <w:bookmarkEnd w:id="2"/>
      <w:r>
        <w:rPr>
          <w:rFonts w:ascii="Times New Roman" w:hAnsi="Times New Roman" w:eastAsia="Times New Roman" w:cs="Times New Roman"/>
          <w:b/>
          <w:bCs/>
          <w:spacing w:val="-10"/>
        </w:rPr>
        <w:t>1</w:t>
      </w:r>
      <w:r>
        <w:rPr>
          <w:rFonts w:ascii="Times New Roman" w:hAnsi="Times New Roman" w:eastAsia="Times New Roman" w:cs="Times New Roman"/>
          <w:b/>
          <w:bCs/>
          <w:spacing w:val="27"/>
        </w:rPr>
        <w:t xml:space="preserve"> </w:t>
      </w:r>
      <w:r>
        <w:rPr>
          <w:b/>
          <w:bCs/>
          <w:spacing w:val="-10"/>
        </w:rPr>
        <w:t>项目概况</w:t>
      </w:r>
    </w:p>
    <w:p w14:paraId="3C638D58">
      <w:pPr>
        <w:pStyle w:val="2"/>
        <w:spacing w:before="178" w:line="233" w:lineRule="auto"/>
        <w:ind w:left="49"/>
        <w:outlineLvl w:val="1"/>
        <w:rPr>
          <w:sz w:val="30"/>
          <w:szCs w:val="30"/>
        </w:rPr>
      </w:pPr>
      <w:bookmarkStart w:id="3" w:name="bookmark35"/>
      <w:bookmarkEnd w:id="3"/>
      <w:r>
        <w:rPr>
          <w:rFonts w:ascii="Times New Roman" w:hAnsi="Times New Roman" w:eastAsia="Times New Roman" w:cs="Times New Roman"/>
          <w:b/>
          <w:bCs/>
          <w:spacing w:val="-6"/>
          <w:sz w:val="30"/>
          <w:szCs w:val="30"/>
        </w:rPr>
        <w:t>1.1</w:t>
      </w:r>
      <w:r>
        <w:rPr>
          <w:rFonts w:ascii="Times New Roman" w:hAnsi="Times New Roman" w:eastAsia="Times New Roman" w:cs="Times New Roman"/>
          <w:b/>
          <w:bCs/>
          <w:spacing w:val="29"/>
          <w:sz w:val="30"/>
          <w:szCs w:val="30"/>
        </w:rPr>
        <w:t xml:space="preserve"> </w:t>
      </w:r>
      <w:r>
        <w:rPr>
          <w:b/>
          <w:bCs/>
          <w:spacing w:val="-6"/>
          <w:sz w:val="30"/>
          <w:szCs w:val="30"/>
        </w:rPr>
        <w:t>项目基本情况</w:t>
      </w:r>
    </w:p>
    <w:p w14:paraId="6AFFABA4">
      <w:pPr>
        <w:pStyle w:val="2"/>
        <w:spacing w:before="233" w:line="219" w:lineRule="auto"/>
        <w:ind w:left="525"/>
        <w:rPr>
          <w:sz w:val="24"/>
          <w:szCs w:val="24"/>
        </w:rPr>
      </w:pPr>
      <w:r>
        <w:rPr>
          <w:b/>
          <w:bCs/>
          <w:spacing w:val="-2"/>
          <w:sz w:val="24"/>
          <w:szCs w:val="24"/>
        </w:rPr>
        <w:t>项目名称：</w:t>
      </w:r>
      <w:r>
        <w:rPr>
          <w:spacing w:val="-2"/>
          <w:sz w:val="24"/>
          <w:szCs w:val="24"/>
        </w:rPr>
        <w:t>云南省曲靖市车马碧水库工程</w:t>
      </w:r>
    </w:p>
    <w:p w14:paraId="0BB7652B">
      <w:pPr>
        <w:pStyle w:val="2"/>
        <w:spacing w:before="154" w:line="220" w:lineRule="auto"/>
        <w:ind w:left="525"/>
        <w:rPr>
          <w:sz w:val="24"/>
          <w:szCs w:val="24"/>
        </w:rPr>
      </w:pPr>
      <w:r>
        <w:rPr>
          <w:b/>
          <w:bCs/>
          <w:spacing w:val="-2"/>
          <w:sz w:val="24"/>
          <w:szCs w:val="24"/>
        </w:rPr>
        <w:t>项目性质：</w:t>
      </w:r>
      <w:r>
        <w:rPr>
          <w:spacing w:val="-2"/>
          <w:sz w:val="24"/>
          <w:szCs w:val="24"/>
        </w:rPr>
        <w:t>新建，为跨流域调水工程</w:t>
      </w:r>
    </w:p>
    <w:p w14:paraId="5CF423FC">
      <w:pPr>
        <w:pStyle w:val="2"/>
        <w:spacing w:before="155" w:line="219" w:lineRule="auto"/>
        <w:ind w:left="524"/>
        <w:rPr>
          <w:sz w:val="24"/>
          <w:szCs w:val="24"/>
        </w:rPr>
      </w:pPr>
      <w:r>
        <w:rPr>
          <w:b/>
          <w:bCs/>
          <w:spacing w:val="-1"/>
          <w:sz w:val="24"/>
          <w:szCs w:val="24"/>
        </w:rPr>
        <w:t>建设单位：</w:t>
      </w:r>
      <w:r>
        <w:rPr>
          <w:spacing w:val="-1"/>
          <w:sz w:val="24"/>
          <w:szCs w:val="24"/>
        </w:rPr>
        <w:t>曲靖市车马碧水库工程建设管理局</w:t>
      </w:r>
    </w:p>
    <w:p w14:paraId="64E3E950">
      <w:pPr>
        <w:pStyle w:val="2"/>
        <w:spacing w:before="155" w:line="288" w:lineRule="auto"/>
        <w:ind w:left="40" w:right="29" w:firstLine="484"/>
        <w:rPr>
          <w:sz w:val="24"/>
          <w:szCs w:val="24"/>
        </w:rPr>
      </w:pPr>
      <w:r>
        <w:rPr>
          <w:b/>
          <w:bCs/>
          <w:spacing w:val="-5"/>
          <w:sz w:val="24"/>
          <w:szCs w:val="24"/>
        </w:rPr>
        <w:t>建设地点：</w:t>
      </w:r>
      <w:r>
        <w:rPr>
          <w:spacing w:val="-5"/>
          <w:sz w:val="24"/>
          <w:szCs w:val="24"/>
        </w:rPr>
        <w:t>车马碧水库枢纽工程位于曲靖市马龙区马过河镇车马碧村，输水隧</w:t>
      </w:r>
      <w:r>
        <w:rPr>
          <w:spacing w:val="-2"/>
          <w:sz w:val="24"/>
          <w:szCs w:val="24"/>
        </w:rPr>
        <w:t>洞工程从</w:t>
      </w:r>
      <w:r>
        <w:rPr>
          <w:spacing w:val="-2"/>
          <w:sz w:val="24"/>
          <w:szCs w:val="24"/>
          <w:u w:val="single" w:color="auto"/>
        </w:rPr>
        <w:t xml:space="preserve">车马碧水库库中取水至曲靖市麒麟区境内，地理位置见图 </w:t>
      </w:r>
      <w:r>
        <w:rPr>
          <w:rFonts w:ascii="Times New Roman" w:hAnsi="Times New Roman" w:eastAsia="Times New Roman" w:cs="Times New Roman"/>
          <w:spacing w:val="-2"/>
          <w:sz w:val="24"/>
          <w:szCs w:val="24"/>
          <w:u w:val="single" w:color="auto"/>
        </w:rPr>
        <w:t>1.1</w:t>
      </w:r>
      <w:r>
        <w:rPr>
          <w:rFonts w:ascii="Times New Roman" w:hAnsi="Times New Roman" w:eastAsia="Times New Roman" w:cs="Times New Roman"/>
          <w:spacing w:val="-2"/>
          <w:sz w:val="24"/>
          <w:szCs w:val="24"/>
        </w:rPr>
        <w:t>-1</w:t>
      </w:r>
      <w:r>
        <w:rPr>
          <w:spacing w:val="-2"/>
          <w:sz w:val="24"/>
          <w:szCs w:val="24"/>
        </w:rPr>
        <w:t>。</w:t>
      </w:r>
    </w:p>
    <w:p w14:paraId="41F5DEA2">
      <w:pPr>
        <w:spacing w:line="9173" w:lineRule="exact"/>
        <w:ind w:firstLine="1131"/>
      </w:pPr>
      <w:r>
        <w:rPr>
          <w:position w:val="-183"/>
        </w:rPr>
        <w:drawing>
          <wp:inline distT="0" distB="0" distL="0" distR="0">
            <wp:extent cx="3997325" cy="582422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46"/>
                    <a:stretch>
                      <a:fillRect/>
                    </a:stretch>
                  </pic:blipFill>
                  <pic:spPr>
                    <a:xfrm>
                      <a:off x="0" y="0"/>
                      <a:ext cx="3997705" cy="5824854"/>
                    </a:xfrm>
                    <a:prstGeom prst="rect">
                      <a:avLst/>
                    </a:prstGeom>
                  </pic:spPr>
                </pic:pic>
              </a:graphicData>
            </a:graphic>
          </wp:inline>
        </w:drawing>
      </w:r>
    </w:p>
    <w:p w14:paraId="0B0D5731">
      <w:pPr>
        <w:pStyle w:val="2"/>
        <w:spacing w:before="166" w:line="233" w:lineRule="auto"/>
        <w:ind w:left="1988"/>
        <w:rPr>
          <w:sz w:val="24"/>
          <w:szCs w:val="24"/>
        </w:rPr>
      </w:pPr>
      <w:r>
        <w:rPr>
          <w:b/>
          <w:bCs/>
          <w:spacing w:val="-3"/>
          <w:sz w:val="24"/>
          <w:szCs w:val="24"/>
        </w:rPr>
        <w:t>图</w:t>
      </w:r>
      <w:r>
        <w:rPr>
          <w:spacing w:val="-35"/>
          <w:sz w:val="24"/>
          <w:szCs w:val="24"/>
        </w:rPr>
        <w:t xml:space="preserve"> </w:t>
      </w:r>
      <w:r>
        <w:rPr>
          <w:rFonts w:ascii="Times New Roman" w:hAnsi="Times New Roman" w:eastAsia="Times New Roman" w:cs="Times New Roman"/>
          <w:b/>
          <w:bCs/>
          <w:spacing w:val="-3"/>
          <w:sz w:val="24"/>
          <w:szCs w:val="24"/>
        </w:rPr>
        <w:t xml:space="preserve">1.1-1        </w:t>
      </w:r>
      <w:r>
        <w:rPr>
          <w:b/>
          <w:bCs/>
          <w:spacing w:val="-3"/>
          <w:sz w:val="24"/>
          <w:szCs w:val="24"/>
        </w:rPr>
        <w:t>车马碧水库工程地理位置示意图</w:t>
      </w:r>
    </w:p>
    <w:p w14:paraId="3DE04F98">
      <w:pPr>
        <w:spacing w:line="233" w:lineRule="auto"/>
        <w:rPr>
          <w:sz w:val="24"/>
          <w:szCs w:val="24"/>
        </w:rPr>
        <w:sectPr>
          <w:headerReference r:id="rId13" w:type="default"/>
          <w:footerReference r:id="rId14" w:type="default"/>
          <w:pgSz w:w="11908" w:h="16840"/>
          <w:pgMar w:top="1659" w:right="1669" w:bottom="1413" w:left="1671" w:header="1282" w:footer="1210" w:gutter="0"/>
          <w:cols w:space="720" w:num="1"/>
        </w:sectPr>
      </w:pPr>
    </w:p>
    <w:p w14:paraId="469AFFA6">
      <w:pPr>
        <w:spacing w:line="384" w:lineRule="auto"/>
        <w:rPr>
          <w:rFonts w:ascii="Arial"/>
          <w:sz w:val="21"/>
        </w:rPr>
      </w:pPr>
    </w:p>
    <w:p w14:paraId="2B3610B2">
      <w:pPr>
        <w:pStyle w:val="2"/>
        <w:spacing w:before="98" w:line="233" w:lineRule="auto"/>
        <w:ind w:left="49"/>
        <w:rPr>
          <w:sz w:val="30"/>
          <w:szCs w:val="30"/>
        </w:rPr>
      </w:pPr>
      <w:bookmarkStart w:id="4" w:name="bookmark4"/>
      <w:bookmarkEnd w:id="4"/>
      <w:r>
        <w:rPr>
          <w:rFonts w:ascii="Times New Roman" w:hAnsi="Times New Roman" w:eastAsia="Times New Roman" w:cs="Times New Roman"/>
          <w:b/>
          <w:bCs/>
          <w:spacing w:val="-4"/>
          <w:sz w:val="30"/>
          <w:szCs w:val="30"/>
        </w:rPr>
        <w:t>1.2</w:t>
      </w:r>
      <w:r>
        <w:rPr>
          <w:rFonts w:ascii="Times New Roman" w:hAnsi="Times New Roman" w:eastAsia="Times New Roman" w:cs="Times New Roman"/>
          <w:b/>
          <w:bCs/>
          <w:spacing w:val="21"/>
          <w:sz w:val="30"/>
          <w:szCs w:val="30"/>
        </w:rPr>
        <w:t xml:space="preserve"> </w:t>
      </w:r>
      <w:r>
        <w:rPr>
          <w:b/>
          <w:bCs/>
          <w:spacing w:val="-4"/>
          <w:sz w:val="30"/>
          <w:szCs w:val="30"/>
        </w:rPr>
        <w:t>环评文件编制及批复情况</w:t>
      </w:r>
    </w:p>
    <w:p w14:paraId="2D1FBE62">
      <w:pPr>
        <w:pStyle w:val="2"/>
        <w:spacing w:before="232" w:line="330" w:lineRule="auto"/>
        <w:ind w:left="45" w:right="42" w:firstLine="469"/>
        <w:rPr>
          <w:sz w:val="24"/>
          <w:szCs w:val="24"/>
        </w:rPr>
      </w:pPr>
      <w:r>
        <w:rPr>
          <w:rFonts w:ascii="Times New Roman" w:hAnsi="Times New Roman" w:eastAsia="Times New Roman" w:cs="Times New Roman"/>
          <w:spacing w:val="-2"/>
          <w:sz w:val="24"/>
          <w:szCs w:val="24"/>
        </w:rPr>
        <w:t>2015</w:t>
      </w:r>
      <w:r>
        <w:rPr>
          <w:rFonts w:ascii="Times New Roman" w:hAnsi="Times New Roman" w:eastAsia="Times New Roman" w:cs="Times New Roman"/>
          <w:spacing w:val="43"/>
          <w:w w:val="101"/>
          <w:sz w:val="24"/>
          <w:szCs w:val="24"/>
        </w:rPr>
        <w:t xml:space="preserve"> </w:t>
      </w:r>
      <w:r>
        <w:rPr>
          <w:spacing w:val="-2"/>
          <w:sz w:val="24"/>
          <w:szCs w:val="24"/>
        </w:rPr>
        <w:t>年</w:t>
      </w:r>
      <w:r>
        <w:rPr>
          <w:spacing w:val="-37"/>
          <w:sz w:val="24"/>
          <w:szCs w:val="24"/>
        </w:rPr>
        <w:t xml:space="preserve"> </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31"/>
          <w:sz w:val="24"/>
          <w:szCs w:val="24"/>
        </w:rPr>
        <w:t xml:space="preserve"> </w:t>
      </w:r>
      <w:r>
        <w:rPr>
          <w:spacing w:val="-2"/>
          <w:sz w:val="24"/>
          <w:szCs w:val="24"/>
        </w:rPr>
        <w:t>月，曲靖市车马碧水库工程建设管理局委托我院承担《云南省曲靖市车马碧水库工程环境影响报告书》的编制工作。</w:t>
      </w:r>
    </w:p>
    <w:p w14:paraId="14449516">
      <w:pPr>
        <w:pStyle w:val="2"/>
        <w:spacing w:before="24" w:line="332" w:lineRule="auto"/>
        <w:ind w:left="38" w:right="29" w:firstLine="476"/>
        <w:jc w:val="both"/>
        <w:rPr>
          <w:sz w:val="24"/>
          <w:szCs w:val="24"/>
        </w:rPr>
      </w:pPr>
      <w:r>
        <w:rPr>
          <w:rFonts w:ascii="Times New Roman" w:hAnsi="Times New Roman" w:eastAsia="Times New Roman" w:cs="Times New Roman"/>
          <w:sz w:val="24"/>
          <w:szCs w:val="24"/>
        </w:rPr>
        <w:t xml:space="preserve">2015  </w:t>
      </w:r>
      <w:r>
        <w:rPr>
          <w:sz w:val="24"/>
          <w:szCs w:val="24"/>
        </w:rPr>
        <w:t xml:space="preserve">年 </w:t>
      </w:r>
      <w:r>
        <w:rPr>
          <w:rFonts w:ascii="Times New Roman" w:hAnsi="Times New Roman" w:eastAsia="Times New Roman" w:cs="Times New Roman"/>
          <w:sz w:val="24"/>
          <w:szCs w:val="24"/>
        </w:rPr>
        <w:t xml:space="preserve">12  </w:t>
      </w:r>
      <w:r>
        <w:rPr>
          <w:sz w:val="24"/>
          <w:szCs w:val="24"/>
        </w:rPr>
        <w:t>月，我院编制完成</w:t>
      </w:r>
      <w:r>
        <w:rPr>
          <w:spacing w:val="-1"/>
          <w:sz w:val="24"/>
          <w:szCs w:val="24"/>
        </w:rPr>
        <w:t>《云南省曲靖市车马碧水库工程环境影响报告</w:t>
      </w:r>
      <w:r>
        <w:rPr>
          <w:spacing w:val="-7"/>
          <w:sz w:val="24"/>
          <w:szCs w:val="24"/>
        </w:rPr>
        <w:t>书》。</w:t>
      </w:r>
      <w:r>
        <w:rPr>
          <w:rFonts w:ascii="Times New Roman" w:hAnsi="Times New Roman" w:eastAsia="Times New Roman" w:cs="Times New Roman"/>
          <w:spacing w:val="-7"/>
          <w:sz w:val="24"/>
          <w:szCs w:val="24"/>
        </w:rPr>
        <w:t>12</w:t>
      </w:r>
      <w:r>
        <w:rPr>
          <w:rFonts w:ascii="Times New Roman" w:hAnsi="Times New Roman" w:eastAsia="Times New Roman" w:cs="Times New Roman"/>
          <w:spacing w:val="16"/>
          <w:sz w:val="24"/>
          <w:szCs w:val="24"/>
        </w:rPr>
        <w:t xml:space="preserve"> </w:t>
      </w:r>
      <w:r>
        <w:rPr>
          <w:spacing w:val="-7"/>
          <w:sz w:val="24"/>
          <w:szCs w:val="24"/>
        </w:rPr>
        <w:t>月</w:t>
      </w:r>
      <w:r>
        <w:rPr>
          <w:spacing w:val="-55"/>
          <w:sz w:val="24"/>
          <w:szCs w:val="24"/>
        </w:rPr>
        <w:t xml:space="preserve"> </w:t>
      </w:r>
      <w:r>
        <w:rPr>
          <w:rFonts w:ascii="Times New Roman" w:hAnsi="Times New Roman" w:eastAsia="Times New Roman" w:cs="Times New Roman"/>
          <w:spacing w:val="-7"/>
          <w:sz w:val="24"/>
          <w:szCs w:val="24"/>
        </w:rPr>
        <w:t>21~22</w:t>
      </w:r>
      <w:r>
        <w:rPr>
          <w:rFonts w:ascii="Times New Roman" w:hAnsi="Times New Roman" w:eastAsia="Times New Roman" w:cs="Times New Roman"/>
          <w:spacing w:val="50"/>
          <w:w w:val="101"/>
          <w:sz w:val="24"/>
          <w:szCs w:val="24"/>
        </w:rPr>
        <w:t xml:space="preserve"> </w:t>
      </w:r>
      <w:r>
        <w:rPr>
          <w:spacing w:val="-7"/>
          <w:sz w:val="24"/>
          <w:szCs w:val="24"/>
        </w:rPr>
        <w:t>日，水利部水利水电规划设计总院在</w:t>
      </w:r>
      <w:r>
        <w:rPr>
          <w:spacing w:val="-8"/>
          <w:sz w:val="24"/>
          <w:szCs w:val="24"/>
        </w:rPr>
        <w:t>北京主持召开了报告书预审</w:t>
      </w:r>
      <w:r>
        <w:rPr>
          <w:spacing w:val="-2"/>
          <w:sz w:val="24"/>
          <w:szCs w:val="24"/>
        </w:rPr>
        <w:t>会，会后我院根据预审意见对报告书进行了修改完善。</w:t>
      </w:r>
    </w:p>
    <w:p w14:paraId="675AA315">
      <w:pPr>
        <w:pStyle w:val="2"/>
        <w:spacing w:before="23" w:line="336" w:lineRule="auto"/>
        <w:ind w:left="38" w:right="30" w:firstLine="476"/>
        <w:jc w:val="both"/>
        <w:rPr>
          <w:sz w:val="24"/>
          <w:szCs w:val="24"/>
        </w:rPr>
      </w:pPr>
      <w:r>
        <w:rPr>
          <w:rFonts w:ascii="Times New Roman" w:hAnsi="Times New Roman" w:eastAsia="Times New Roman" w:cs="Times New Roman"/>
          <w:spacing w:val="-5"/>
          <w:sz w:val="24"/>
          <w:szCs w:val="24"/>
        </w:rPr>
        <w:t xml:space="preserve">2016 </w:t>
      </w:r>
      <w:r>
        <w:rPr>
          <w:spacing w:val="-5"/>
          <w:sz w:val="24"/>
          <w:szCs w:val="24"/>
        </w:rPr>
        <w:t>年</w:t>
      </w:r>
      <w:r>
        <w:rPr>
          <w:spacing w:val="-44"/>
          <w:sz w:val="24"/>
          <w:szCs w:val="24"/>
        </w:rPr>
        <w:t xml:space="preserve"> </w:t>
      </w:r>
      <w:r>
        <w:rPr>
          <w:rFonts w:ascii="Times New Roman" w:hAnsi="Times New Roman" w:eastAsia="Times New Roman" w:cs="Times New Roman"/>
          <w:spacing w:val="-5"/>
          <w:sz w:val="24"/>
          <w:szCs w:val="24"/>
        </w:rPr>
        <w:t>7</w:t>
      </w:r>
      <w:r>
        <w:rPr>
          <w:rFonts w:ascii="Times New Roman" w:hAnsi="Times New Roman" w:eastAsia="Times New Roman" w:cs="Times New Roman"/>
          <w:spacing w:val="15"/>
          <w:sz w:val="24"/>
          <w:szCs w:val="24"/>
        </w:rPr>
        <w:t xml:space="preserve"> </w:t>
      </w:r>
      <w:r>
        <w:rPr>
          <w:spacing w:val="-5"/>
          <w:sz w:val="24"/>
          <w:szCs w:val="24"/>
        </w:rPr>
        <w:t>月</w:t>
      </w:r>
      <w:r>
        <w:rPr>
          <w:spacing w:val="-32"/>
          <w:sz w:val="24"/>
          <w:szCs w:val="24"/>
        </w:rPr>
        <w:t xml:space="preserve"> </w:t>
      </w:r>
      <w:r>
        <w:rPr>
          <w:rFonts w:ascii="Times New Roman" w:hAnsi="Times New Roman" w:eastAsia="Times New Roman" w:cs="Times New Roman"/>
          <w:spacing w:val="-5"/>
          <w:sz w:val="24"/>
          <w:szCs w:val="24"/>
        </w:rPr>
        <w:t xml:space="preserve">11  </w:t>
      </w:r>
      <w:r>
        <w:rPr>
          <w:spacing w:val="-5"/>
          <w:sz w:val="24"/>
          <w:szCs w:val="24"/>
        </w:rPr>
        <w:t>日</w:t>
      </w:r>
      <w:r>
        <w:rPr>
          <w:rFonts w:ascii="Times New Roman" w:hAnsi="Times New Roman" w:eastAsia="Times New Roman" w:cs="Times New Roman"/>
          <w:spacing w:val="-5"/>
          <w:sz w:val="24"/>
          <w:szCs w:val="24"/>
        </w:rPr>
        <w:t>~13</w:t>
      </w:r>
      <w:r>
        <w:rPr>
          <w:rFonts w:ascii="Times New Roman" w:hAnsi="Times New Roman" w:eastAsia="Times New Roman" w:cs="Times New Roman"/>
          <w:spacing w:val="51"/>
          <w:sz w:val="24"/>
          <w:szCs w:val="24"/>
        </w:rPr>
        <w:t xml:space="preserve"> </w:t>
      </w:r>
      <w:r>
        <w:rPr>
          <w:spacing w:val="-5"/>
          <w:sz w:val="24"/>
          <w:szCs w:val="24"/>
        </w:rPr>
        <w:t>日，原环境保护部环境工程评估中心在昆明市组织召开</w:t>
      </w:r>
      <w:r>
        <w:rPr>
          <w:spacing w:val="-4"/>
          <w:sz w:val="24"/>
          <w:szCs w:val="24"/>
        </w:rPr>
        <w:t>了《云南省曲靖市车马碧水库工程环境影响报告书》技术评估会，会后我院根据评</w:t>
      </w:r>
      <w:r>
        <w:rPr>
          <w:spacing w:val="-2"/>
          <w:sz w:val="24"/>
          <w:szCs w:val="24"/>
        </w:rPr>
        <w:t>估意见对报告书进行补充完善，于</w:t>
      </w:r>
      <w:r>
        <w:rPr>
          <w:spacing w:val="-51"/>
          <w:sz w:val="24"/>
          <w:szCs w:val="24"/>
        </w:rPr>
        <w:t xml:space="preserve"> </w:t>
      </w:r>
      <w:r>
        <w:rPr>
          <w:rFonts w:ascii="Times New Roman" w:hAnsi="Times New Roman" w:eastAsia="Times New Roman" w:cs="Times New Roman"/>
          <w:spacing w:val="-2"/>
          <w:sz w:val="24"/>
          <w:szCs w:val="24"/>
        </w:rPr>
        <w:t xml:space="preserve">2016 </w:t>
      </w:r>
      <w:r>
        <w:rPr>
          <w:spacing w:val="-2"/>
          <w:sz w:val="24"/>
          <w:szCs w:val="24"/>
        </w:rPr>
        <w:t>年</w:t>
      </w:r>
      <w:r>
        <w:rPr>
          <w:spacing w:val="-45"/>
          <w:sz w:val="24"/>
          <w:szCs w:val="24"/>
        </w:rPr>
        <w:t xml:space="preserve"> </w:t>
      </w:r>
      <w:r>
        <w:rPr>
          <w:rFonts w:ascii="Times New Roman" w:hAnsi="Times New Roman" w:eastAsia="Times New Roman" w:cs="Times New Roman"/>
          <w:spacing w:val="-2"/>
          <w:sz w:val="24"/>
          <w:szCs w:val="24"/>
        </w:rPr>
        <w:t>8</w:t>
      </w:r>
      <w:r>
        <w:rPr>
          <w:rFonts w:ascii="Times New Roman" w:hAnsi="Times New Roman" w:eastAsia="Times New Roman" w:cs="Times New Roman"/>
          <w:spacing w:val="15"/>
          <w:sz w:val="24"/>
          <w:szCs w:val="24"/>
        </w:rPr>
        <w:t xml:space="preserve"> </w:t>
      </w:r>
      <w:r>
        <w:rPr>
          <w:spacing w:val="-2"/>
          <w:sz w:val="24"/>
          <w:szCs w:val="24"/>
        </w:rPr>
        <w:t>月完成《云南省曲靖市车马碧水库工</w:t>
      </w:r>
      <w:r>
        <w:rPr>
          <w:spacing w:val="-18"/>
          <w:sz w:val="24"/>
          <w:szCs w:val="24"/>
        </w:rPr>
        <w:t>程环境影响报告书》（报批稿）。</w:t>
      </w:r>
    </w:p>
    <w:p w14:paraId="6F2F7906">
      <w:pPr>
        <w:pStyle w:val="2"/>
        <w:spacing w:before="12" w:line="330" w:lineRule="auto"/>
        <w:ind w:left="46" w:right="31" w:firstLine="468"/>
        <w:rPr>
          <w:sz w:val="24"/>
          <w:szCs w:val="24"/>
        </w:rPr>
      </w:pPr>
      <w:r>
        <w:rPr>
          <w:rFonts w:ascii="Times New Roman" w:hAnsi="Times New Roman" w:eastAsia="Times New Roman" w:cs="Times New Roman"/>
          <w:spacing w:val="-5"/>
          <w:sz w:val="24"/>
          <w:szCs w:val="24"/>
        </w:rPr>
        <w:t xml:space="preserve">2016 </w:t>
      </w:r>
      <w:r>
        <w:rPr>
          <w:spacing w:val="-5"/>
          <w:sz w:val="24"/>
          <w:szCs w:val="24"/>
        </w:rPr>
        <w:t>年</w:t>
      </w:r>
      <w:r>
        <w:rPr>
          <w:spacing w:val="-32"/>
          <w:sz w:val="24"/>
          <w:szCs w:val="24"/>
        </w:rPr>
        <w:t xml:space="preserve"> </w:t>
      </w:r>
      <w:r>
        <w:rPr>
          <w:rFonts w:ascii="Times New Roman" w:hAnsi="Times New Roman" w:eastAsia="Times New Roman" w:cs="Times New Roman"/>
          <w:spacing w:val="-5"/>
          <w:sz w:val="24"/>
          <w:szCs w:val="24"/>
        </w:rPr>
        <w:t>9</w:t>
      </w:r>
      <w:r>
        <w:rPr>
          <w:rFonts w:ascii="Times New Roman" w:hAnsi="Times New Roman" w:eastAsia="Times New Roman" w:cs="Times New Roman"/>
          <w:spacing w:val="15"/>
          <w:sz w:val="24"/>
          <w:szCs w:val="24"/>
        </w:rPr>
        <w:t xml:space="preserve"> </w:t>
      </w:r>
      <w:r>
        <w:rPr>
          <w:spacing w:val="-5"/>
          <w:sz w:val="24"/>
          <w:szCs w:val="24"/>
        </w:rPr>
        <w:t>月，原环境保护部以“环审〔</w:t>
      </w:r>
      <w:r>
        <w:rPr>
          <w:rFonts w:ascii="Times New Roman" w:hAnsi="Times New Roman" w:eastAsia="Times New Roman" w:cs="Times New Roman"/>
          <w:spacing w:val="-5"/>
          <w:sz w:val="24"/>
          <w:szCs w:val="24"/>
        </w:rPr>
        <w:t>2016</w:t>
      </w:r>
      <w:r>
        <w:rPr>
          <w:spacing w:val="-5"/>
          <w:sz w:val="24"/>
          <w:szCs w:val="24"/>
        </w:rPr>
        <w:t>〕</w:t>
      </w:r>
      <w:r>
        <w:rPr>
          <w:rFonts w:ascii="Times New Roman" w:hAnsi="Times New Roman" w:eastAsia="Times New Roman" w:cs="Times New Roman"/>
          <w:spacing w:val="-5"/>
          <w:sz w:val="24"/>
          <w:szCs w:val="24"/>
        </w:rPr>
        <w:t>125</w:t>
      </w:r>
      <w:r>
        <w:rPr>
          <w:rFonts w:ascii="Times New Roman" w:hAnsi="Times New Roman" w:eastAsia="Times New Roman" w:cs="Times New Roman"/>
          <w:spacing w:val="15"/>
          <w:w w:val="101"/>
          <w:sz w:val="24"/>
          <w:szCs w:val="24"/>
        </w:rPr>
        <w:t xml:space="preserve"> </w:t>
      </w:r>
      <w:r>
        <w:rPr>
          <w:spacing w:val="-5"/>
          <w:sz w:val="24"/>
          <w:szCs w:val="24"/>
        </w:rPr>
        <w:t>号”文对《云南省曲靖市车</w:t>
      </w:r>
      <w:r>
        <w:rPr>
          <w:spacing w:val="-3"/>
          <w:sz w:val="24"/>
          <w:szCs w:val="24"/>
        </w:rPr>
        <w:t>马碧水库工程环境影响报告书》予以批复。</w:t>
      </w:r>
    </w:p>
    <w:p w14:paraId="217B7B62">
      <w:pPr>
        <w:pStyle w:val="2"/>
        <w:spacing w:before="91" w:line="234" w:lineRule="auto"/>
        <w:ind w:left="49"/>
        <w:rPr>
          <w:sz w:val="30"/>
          <w:szCs w:val="30"/>
        </w:rPr>
      </w:pPr>
      <w:bookmarkStart w:id="5" w:name="bookmark5"/>
      <w:bookmarkEnd w:id="5"/>
      <w:r>
        <w:rPr>
          <w:rFonts w:ascii="Times New Roman" w:hAnsi="Times New Roman" w:eastAsia="Times New Roman" w:cs="Times New Roman"/>
          <w:b/>
          <w:bCs/>
          <w:spacing w:val="-5"/>
          <w:sz w:val="30"/>
          <w:szCs w:val="30"/>
        </w:rPr>
        <w:t>1.3</w:t>
      </w:r>
      <w:r>
        <w:rPr>
          <w:rFonts w:ascii="Times New Roman" w:hAnsi="Times New Roman" w:eastAsia="Times New Roman" w:cs="Times New Roman"/>
          <w:b/>
          <w:bCs/>
          <w:spacing w:val="35"/>
          <w:sz w:val="30"/>
          <w:szCs w:val="30"/>
        </w:rPr>
        <w:t xml:space="preserve"> </w:t>
      </w:r>
      <w:r>
        <w:rPr>
          <w:b/>
          <w:bCs/>
          <w:spacing w:val="-5"/>
          <w:sz w:val="30"/>
          <w:szCs w:val="30"/>
        </w:rPr>
        <w:t>工程开工时间及建设情况</w:t>
      </w:r>
    </w:p>
    <w:p w14:paraId="0226EB69">
      <w:pPr>
        <w:pStyle w:val="2"/>
        <w:spacing w:before="232" w:line="338" w:lineRule="auto"/>
        <w:ind w:left="58" w:right="85" w:firstLine="456"/>
        <w:rPr>
          <w:sz w:val="24"/>
          <w:szCs w:val="24"/>
        </w:rPr>
      </w:pPr>
      <w:r>
        <w:rPr>
          <w:rFonts w:ascii="Times New Roman" w:hAnsi="Times New Roman" w:eastAsia="Times New Roman" w:cs="Times New Roman"/>
          <w:spacing w:val="-6"/>
          <w:sz w:val="24"/>
          <w:szCs w:val="24"/>
        </w:rPr>
        <w:t>2017</w:t>
      </w:r>
      <w:r>
        <w:rPr>
          <w:rFonts w:ascii="Times New Roman" w:hAnsi="Times New Roman" w:eastAsia="Times New Roman" w:cs="Times New Roman"/>
          <w:spacing w:val="21"/>
          <w:sz w:val="24"/>
          <w:szCs w:val="24"/>
        </w:rPr>
        <w:t xml:space="preserve"> </w:t>
      </w:r>
      <w:r>
        <w:rPr>
          <w:spacing w:val="-6"/>
          <w:sz w:val="24"/>
          <w:szCs w:val="24"/>
        </w:rPr>
        <w:t xml:space="preserve">年 </w:t>
      </w:r>
      <w:r>
        <w:rPr>
          <w:rFonts w:ascii="Times New Roman" w:hAnsi="Times New Roman" w:eastAsia="Times New Roman" w:cs="Times New Roman"/>
          <w:spacing w:val="-6"/>
          <w:sz w:val="24"/>
          <w:szCs w:val="24"/>
        </w:rPr>
        <w:t>11</w:t>
      </w:r>
      <w:r>
        <w:rPr>
          <w:rFonts w:ascii="Times New Roman" w:hAnsi="Times New Roman" w:eastAsia="Times New Roman" w:cs="Times New Roman"/>
          <w:spacing w:val="24"/>
          <w:w w:val="101"/>
          <w:sz w:val="24"/>
          <w:szCs w:val="24"/>
        </w:rPr>
        <w:t xml:space="preserve"> </w:t>
      </w:r>
      <w:r>
        <w:rPr>
          <w:spacing w:val="-6"/>
          <w:sz w:val="24"/>
          <w:szCs w:val="24"/>
        </w:rPr>
        <w:t xml:space="preserve">月 </w:t>
      </w:r>
      <w:r>
        <w:rPr>
          <w:rFonts w:ascii="Times New Roman" w:hAnsi="Times New Roman" w:eastAsia="Times New Roman" w:cs="Times New Roman"/>
          <w:spacing w:val="-6"/>
          <w:sz w:val="24"/>
          <w:szCs w:val="24"/>
        </w:rPr>
        <w:t xml:space="preserve">16  </w:t>
      </w:r>
      <w:r>
        <w:rPr>
          <w:spacing w:val="-6"/>
          <w:sz w:val="24"/>
          <w:szCs w:val="24"/>
        </w:rPr>
        <w:t>日，曲靖市车马碧水库工程建设管理局提交申请开工备案，</w:t>
      </w:r>
      <w:r>
        <w:rPr>
          <w:sz w:val="24"/>
          <w:szCs w:val="24"/>
        </w:rPr>
        <w:t xml:space="preserve"> </w:t>
      </w:r>
      <w:r>
        <w:rPr>
          <w:rFonts w:ascii="Times New Roman" w:hAnsi="Times New Roman" w:eastAsia="Times New Roman" w:cs="Times New Roman"/>
          <w:spacing w:val="-7"/>
          <w:sz w:val="24"/>
          <w:szCs w:val="24"/>
        </w:rPr>
        <w:t>12</w:t>
      </w:r>
      <w:r>
        <w:rPr>
          <w:rFonts w:ascii="Times New Roman" w:hAnsi="Times New Roman" w:eastAsia="Times New Roman" w:cs="Times New Roman"/>
          <w:spacing w:val="25"/>
          <w:w w:val="101"/>
          <w:sz w:val="24"/>
          <w:szCs w:val="24"/>
        </w:rPr>
        <w:t xml:space="preserve"> </w:t>
      </w:r>
      <w:r>
        <w:rPr>
          <w:spacing w:val="-7"/>
          <w:sz w:val="24"/>
          <w:szCs w:val="24"/>
        </w:rPr>
        <w:t>月</w:t>
      </w:r>
      <w:r>
        <w:rPr>
          <w:spacing w:val="-49"/>
          <w:sz w:val="24"/>
          <w:szCs w:val="24"/>
        </w:rPr>
        <w:t xml:space="preserve"> </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51"/>
          <w:w w:val="101"/>
          <w:sz w:val="24"/>
          <w:szCs w:val="24"/>
        </w:rPr>
        <w:t xml:space="preserve"> </w:t>
      </w:r>
      <w:r>
        <w:rPr>
          <w:spacing w:val="-7"/>
          <w:sz w:val="24"/>
          <w:szCs w:val="24"/>
        </w:rPr>
        <w:t>日，云南省水利厅批准开工备案申请。</w:t>
      </w:r>
    </w:p>
    <w:p w14:paraId="3204E0AD">
      <w:pPr>
        <w:pStyle w:val="2"/>
        <w:spacing w:before="1" w:line="338" w:lineRule="auto"/>
        <w:ind w:left="45" w:right="31" w:firstLine="469"/>
        <w:rPr>
          <w:sz w:val="24"/>
          <w:szCs w:val="24"/>
        </w:rPr>
      </w:pPr>
      <w:r>
        <w:rPr>
          <w:rFonts w:ascii="Times New Roman" w:hAnsi="Times New Roman" w:eastAsia="Times New Roman" w:cs="Times New Roman"/>
          <w:spacing w:val="-3"/>
          <w:sz w:val="24"/>
          <w:szCs w:val="24"/>
        </w:rPr>
        <w:t xml:space="preserve">2017 </w:t>
      </w:r>
      <w:r>
        <w:rPr>
          <w:spacing w:val="-3"/>
          <w:sz w:val="24"/>
          <w:szCs w:val="24"/>
        </w:rPr>
        <w:t>年</w:t>
      </w:r>
      <w:r>
        <w:rPr>
          <w:spacing w:val="-32"/>
          <w:sz w:val="24"/>
          <w:szCs w:val="24"/>
        </w:rPr>
        <w:t xml:space="preserve"> </w:t>
      </w:r>
      <w:r>
        <w:rPr>
          <w:rFonts w:ascii="Times New Roman" w:hAnsi="Times New Roman" w:eastAsia="Times New Roman" w:cs="Times New Roman"/>
          <w:spacing w:val="-3"/>
          <w:sz w:val="24"/>
          <w:szCs w:val="24"/>
        </w:rPr>
        <w:t>11</w:t>
      </w:r>
      <w:r>
        <w:rPr>
          <w:rFonts w:ascii="Times New Roman" w:hAnsi="Times New Roman" w:eastAsia="Times New Roman" w:cs="Times New Roman"/>
          <w:spacing w:val="15"/>
          <w:sz w:val="24"/>
          <w:szCs w:val="24"/>
        </w:rPr>
        <w:t xml:space="preserve"> </w:t>
      </w:r>
      <w:r>
        <w:rPr>
          <w:spacing w:val="-3"/>
          <w:sz w:val="24"/>
          <w:szCs w:val="24"/>
        </w:rPr>
        <w:t>月</w:t>
      </w:r>
      <w:r>
        <w:rPr>
          <w:spacing w:val="-55"/>
          <w:sz w:val="24"/>
          <w:szCs w:val="24"/>
        </w:rPr>
        <w:t xml:space="preserve"> </w:t>
      </w:r>
      <w:r>
        <w:rPr>
          <w:rFonts w:ascii="Times New Roman" w:hAnsi="Times New Roman" w:eastAsia="Times New Roman" w:cs="Times New Roman"/>
          <w:spacing w:val="-3"/>
          <w:sz w:val="24"/>
          <w:szCs w:val="24"/>
        </w:rPr>
        <w:t xml:space="preserve">25  </w:t>
      </w:r>
      <w:r>
        <w:rPr>
          <w:spacing w:val="-3"/>
          <w:sz w:val="24"/>
          <w:szCs w:val="24"/>
        </w:rPr>
        <w:t>日，水库枢纽工程开始开</w:t>
      </w:r>
      <w:r>
        <w:rPr>
          <w:spacing w:val="-4"/>
          <w:sz w:val="24"/>
          <w:szCs w:val="24"/>
        </w:rPr>
        <w:t>工建设。大坝基础开挖于</w:t>
      </w:r>
      <w:r>
        <w:rPr>
          <w:spacing w:val="-55"/>
          <w:sz w:val="24"/>
          <w:szCs w:val="24"/>
        </w:rPr>
        <w:t xml:space="preserve"> </w:t>
      </w:r>
      <w:r>
        <w:rPr>
          <w:rFonts w:ascii="Times New Roman" w:hAnsi="Times New Roman" w:eastAsia="Times New Roman" w:cs="Times New Roman"/>
          <w:spacing w:val="-4"/>
          <w:sz w:val="24"/>
          <w:szCs w:val="24"/>
        </w:rPr>
        <w:t xml:space="preserve">2018 </w:t>
      </w:r>
      <w:r>
        <w:rPr>
          <w:spacing w:val="-4"/>
          <w:sz w:val="24"/>
          <w:szCs w:val="24"/>
        </w:rPr>
        <w:t>年</w:t>
      </w:r>
      <w:r>
        <w:rPr>
          <w:spacing w:val="-50"/>
          <w:sz w:val="24"/>
          <w:szCs w:val="24"/>
        </w:rPr>
        <w:t xml:space="preserve"> </w:t>
      </w:r>
      <w:r>
        <w:rPr>
          <w:rFonts w:ascii="Times New Roman" w:hAnsi="Times New Roman" w:eastAsia="Times New Roman" w:cs="Times New Roman"/>
          <w:spacing w:val="-4"/>
          <w:sz w:val="24"/>
          <w:szCs w:val="24"/>
        </w:rPr>
        <w:t>9</w:t>
      </w:r>
      <w:r>
        <w:rPr>
          <w:spacing w:val="-7"/>
          <w:sz w:val="24"/>
          <w:szCs w:val="24"/>
        </w:rPr>
        <w:t>月</w:t>
      </w:r>
      <w:r>
        <w:rPr>
          <w:spacing w:val="-32"/>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50"/>
          <w:w w:val="101"/>
          <w:sz w:val="24"/>
          <w:szCs w:val="24"/>
        </w:rPr>
        <w:t xml:space="preserve"> </w:t>
      </w:r>
      <w:r>
        <w:rPr>
          <w:spacing w:val="-7"/>
          <w:sz w:val="24"/>
          <w:szCs w:val="24"/>
        </w:rPr>
        <w:t>日开工，坝肩及坝基防渗等于</w:t>
      </w:r>
      <w:r>
        <w:rPr>
          <w:spacing w:val="-55"/>
          <w:sz w:val="24"/>
          <w:szCs w:val="24"/>
        </w:rPr>
        <w:t xml:space="preserve"> </w:t>
      </w:r>
      <w:r>
        <w:rPr>
          <w:rFonts w:ascii="Times New Roman" w:hAnsi="Times New Roman" w:eastAsia="Times New Roman" w:cs="Times New Roman"/>
          <w:spacing w:val="-7"/>
          <w:sz w:val="24"/>
          <w:szCs w:val="24"/>
        </w:rPr>
        <w:t xml:space="preserve">2019 </w:t>
      </w:r>
      <w:r>
        <w:rPr>
          <w:spacing w:val="-7"/>
          <w:sz w:val="24"/>
          <w:szCs w:val="24"/>
        </w:rPr>
        <w:t>年</w:t>
      </w:r>
      <w:r>
        <w:rPr>
          <w:spacing w:val="-32"/>
          <w:sz w:val="24"/>
          <w:szCs w:val="24"/>
        </w:rPr>
        <w:t xml:space="preserve"> </w:t>
      </w:r>
      <w:r>
        <w:rPr>
          <w:rFonts w:ascii="Times New Roman" w:hAnsi="Times New Roman" w:eastAsia="Times New Roman" w:cs="Times New Roman"/>
          <w:spacing w:val="-7"/>
          <w:sz w:val="24"/>
          <w:szCs w:val="24"/>
        </w:rPr>
        <w:t>11</w:t>
      </w:r>
      <w:r>
        <w:rPr>
          <w:rFonts w:ascii="Times New Roman" w:hAnsi="Times New Roman" w:eastAsia="Times New Roman" w:cs="Times New Roman"/>
          <w:spacing w:val="15"/>
          <w:w w:val="101"/>
          <w:sz w:val="24"/>
          <w:szCs w:val="24"/>
        </w:rPr>
        <w:t xml:space="preserve"> </w:t>
      </w:r>
      <w:r>
        <w:rPr>
          <w:spacing w:val="-7"/>
          <w:sz w:val="24"/>
          <w:szCs w:val="24"/>
        </w:rPr>
        <w:t>月</w:t>
      </w:r>
      <w:r>
        <w:rPr>
          <w:spacing w:val="-55"/>
          <w:sz w:val="24"/>
          <w:szCs w:val="24"/>
        </w:rPr>
        <w:t xml:space="preserve"> </w:t>
      </w:r>
      <w:r>
        <w:rPr>
          <w:rFonts w:ascii="Times New Roman" w:hAnsi="Times New Roman" w:eastAsia="Times New Roman" w:cs="Times New Roman"/>
          <w:spacing w:val="-7"/>
          <w:sz w:val="24"/>
          <w:szCs w:val="24"/>
        </w:rPr>
        <w:t>25</w:t>
      </w:r>
      <w:r>
        <w:rPr>
          <w:rFonts w:ascii="Times New Roman" w:hAnsi="Times New Roman" w:eastAsia="Times New Roman" w:cs="Times New Roman"/>
          <w:spacing w:val="-8"/>
          <w:sz w:val="24"/>
          <w:szCs w:val="24"/>
        </w:rPr>
        <w:t xml:space="preserve">  </w:t>
      </w:r>
      <w:r>
        <w:rPr>
          <w:spacing w:val="-8"/>
          <w:sz w:val="24"/>
          <w:szCs w:val="24"/>
        </w:rPr>
        <w:t>日完工。</w:t>
      </w:r>
    </w:p>
    <w:p w14:paraId="2427CEAA">
      <w:pPr>
        <w:pStyle w:val="2"/>
        <w:spacing w:line="233" w:lineRule="auto"/>
        <w:ind w:left="515"/>
        <w:rPr>
          <w:sz w:val="24"/>
          <w:szCs w:val="24"/>
        </w:rPr>
      </w:pPr>
      <w:r>
        <w:rPr>
          <w:rFonts w:ascii="Times New Roman" w:hAnsi="Times New Roman" w:eastAsia="Times New Roman" w:cs="Times New Roman"/>
          <w:spacing w:val="-6"/>
          <w:sz w:val="24"/>
          <w:szCs w:val="24"/>
        </w:rPr>
        <w:t xml:space="preserve">2017 </w:t>
      </w:r>
      <w:r>
        <w:rPr>
          <w:spacing w:val="-6"/>
          <w:sz w:val="24"/>
          <w:szCs w:val="24"/>
        </w:rPr>
        <w:t>年</w:t>
      </w:r>
      <w:r>
        <w:rPr>
          <w:spacing w:val="-21"/>
          <w:sz w:val="24"/>
          <w:szCs w:val="24"/>
        </w:rPr>
        <w:t xml:space="preserve">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15"/>
          <w:w w:val="101"/>
          <w:sz w:val="24"/>
          <w:szCs w:val="24"/>
        </w:rPr>
        <w:t xml:space="preserve"> </w:t>
      </w:r>
      <w:r>
        <w:rPr>
          <w:spacing w:val="-6"/>
          <w:sz w:val="24"/>
          <w:szCs w:val="24"/>
        </w:rPr>
        <w:t>月</w:t>
      </w:r>
      <w:r>
        <w:rPr>
          <w:spacing w:val="-46"/>
          <w:sz w:val="24"/>
          <w:szCs w:val="24"/>
        </w:rPr>
        <w:t xml:space="preserve"> </w:t>
      </w:r>
      <w:r>
        <w:rPr>
          <w:rFonts w:ascii="Times New Roman" w:hAnsi="Times New Roman" w:eastAsia="Times New Roman" w:cs="Times New Roman"/>
          <w:spacing w:val="-6"/>
          <w:sz w:val="24"/>
          <w:szCs w:val="24"/>
        </w:rPr>
        <w:t xml:space="preserve">8  </w:t>
      </w:r>
      <w:r>
        <w:rPr>
          <w:spacing w:val="-6"/>
          <w:sz w:val="24"/>
          <w:szCs w:val="24"/>
        </w:rPr>
        <w:t>日，输水隧洞工程开工，</w:t>
      </w:r>
      <w:r>
        <w:rPr>
          <w:rFonts w:ascii="Times New Roman" w:hAnsi="Times New Roman" w:eastAsia="Times New Roman" w:cs="Times New Roman"/>
          <w:spacing w:val="-6"/>
          <w:sz w:val="24"/>
          <w:szCs w:val="24"/>
        </w:rPr>
        <w:t xml:space="preserve">2020 </w:t>
      </w:r>
      <w:r>
        <w:rPr>
          <w:spacing w:val="-6"/>
          <w:sz w:val="24"/>
          <w:szCs w:val="24"/>
        </w:rPr>
        <w:t>年</w:t>
      </w:r>
      <w:r>
        <w:rPr>
          <w:spacing w:val="-49"/>
          <w:sz w:val="24"/>
          <w:szCs w:val="24"/>
        </w:rPr>
        <w:t xml:space="preserve"> </w:t>
      </w:r>
      <w:r>
        <w:rPr>
          <w:rFonts w:ascii="Times New Roman" w:hAnsi="Times New Roman" w:eastAsia="Times New Roman" w:cs="Times New Roman"/>
          <w:spacing w:val="-6"/>
          <w:sz w:val="24"/>
          <w:szCs w:val="24"/>
        </w:rPr>
        <w:t>6</w:t>
      </w:r>
      <w:r>
        <w:rPr>
          <w:rFonts w:ascii="Times New Roman" w:hAnsi="Times New Roman" w:eastAsia="Times New Roman" w:cs="Times New Roman"/>
          <w:spacing w:val="15"/>
          <w:sz w:val="24"/>
          <w:szCs w:val="24"/>
        </w:rPr>
        <w:t xml:space="preserve"> </w:t>
      </w:r>
      <w:r>
        <w:rPr>
          <w:spacing w:val="-6"/>
          <w:sz w:val="24"/>
          <w:szCs w:val="24"/>
        </w:rPr>
        <w:t>月</w:t>
      </w:r>
      <w:r>
        <w:rPr>
          <w:spacing w:val="-55"/>
          <w:sz w:val="24"/>
          <w:szCs w:val="24"/>
        </w:rPr>
        <w:t xml:space="preserve"> </w:t>
      </w:r>
      <w:r>
        <w:rPr>
          <w:rFonts w:ascii="Times New Roman" w:hAnsi="Times New Roman" w:eastAsia="Times New Roman" w:cs="Times New Roman"/>
          <w:spacing w:val="-6"/>
          <w:sz w:val="24"/>
          <w:szCs w:val="24"/>
        </w:rPr>
        <w:t xml:space="preserve">23  </w:t>
      </w:r>
      <w:r>
        <w:rPr>
          <w:spacing w:val="-6"/>
          <w:sz w:val="24"/>
          <w:szCs w:val="24"/>
        </w:rPr>
        <w:t>日浇筑完工。</w:t>
      </w:r>
    </w:p>
    <w:p w14:paraId="34041CAC">
      <w:pPr>
        <w:pStyle w:val="2"/>
        <w:spacing w:before="138" w:line="331" w:lineRule="auto"/>
        <w:ind w:left="40" w:right="31" w:firstLine="474"/>
        <w:rPr>
          <w:sz w:val="24"/>
          <w:szCs w:val="24"/>
        </w:rPr>
      </w:pPr>
      <w:r>
        <w:rPr>
          <w:rFonts w:ascii="Times New Roman" w:hAnsi="Times New Roman" w:eastAsia="Times New Roman" w:cs="Times New Roman"/>
          <w:spacing w:val="-6"/>
          <w:sz w:val="24"/>
          <w:szCs w:val="24"/>
        </w:rPr>
        <w:t>2017</w:t>
      </w:r>
      <w:r>
        <w:rPr>
          <w:rFonts w:ascii="Times New Roman" w:hAnsi="Times New Roman" w:eastAsia="Times New Roman" w:cs="Times New Roman"/>
          <w:spacing w:val="30"/>
          <w:sz w:val="24"/>
          <w:szCs w:val="24"/>
        </w:rPr>
        <w:t xml:space="preserve"> </w:t>
      </w:r>
      <w:r>
        <w:rPr>
          <w:spacing w:val="-6"/>
          <w:sz w:val="24"/>
          <w:szCs w:val="24"/>
        </w:rPr>
        <w:t>年</w:t>
      </w:r>
      <w:r>
        <w:rPr>
          <w:spacing w:val="-28"/>
          <w:sz w:val="24"/>
          <w:szCs w:val="24"/>
        </w:rPr>
        <w:t xml:space="preserve">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20"/>
          <w:sz w:val="24"/>
          <w:szCs w:val="24"/>
        </w:rPr>
        <w:t xml:space="preserve"> </w:t>
      </w:r>
      <w:r>
        <w:rPr>
          <w:spacing w:val="-6"/>
          <w:sz w:val="24"/>
          <w:szCs w:val="24"/>
        </w:rPr>
        <w:t>月</w:t>
      </w:r>
      <w:r>
        <w:rPr>
          <w:spacing w:val="-52"/>
          <w:sz w:val="24"/>
          <w:szCs w:val="24"/>
        </w:rPr>
        <w:t xml:space="preserve"> </w:t>
      </w:r>
      <w:r>
        <w:rPr>
          <w:rFonts w:ascii="Times New Roman" w:hAnsi="Times New Roman" w:eastAsia="Times New Roman" w:cs="Times New Roman"/>
          <w:spacing w:val="-6"/>
          <w:sz w:val="24"/>
          <w:szCs w:val="24"/>
        </w:rPr>
        <w:t>25</w:t>
      </w:r>
      <w:r>
        <w:rPr>
          <w:rFonts w:ascii="Times New Roman" w:hAnsi="Times New Roman" w:eastAsia="Times New Roman" w:cs="Times New Roman"/>
          <w:spacing w:val="55"/>
          <w:sz w:val="24"/>
          <w:szCs w:val="24"/>
        </w:rPr>
        <w:t xml:space="preserve"> </w:t>
      </w:r>
      <w:r>
        <w:rPr>
          <w:spacing w:val="-6"/>
          <w:sz w:val="24"/>
          <w:szCs w:val="24"/>
        </w:rPr>
        <w:t>日，溢洪道工程开工，于</w:t>
      </w:r>
      <w:r>
        <w:rPr>
          <w:spacing w:val="-52"/>
          <w:sz w:val="24"/>
          <w:szCs w:val="24"/>
        </w:rPr>
        <w:t xml:space="preserve"> </w:t>
      </w:r>
      <w:r>
        <w:rPr>
          <w:rFonts w:ascii="Times New Roman" w:hAnsi="Times New Roman" w:eastAsia="Times New Roman" w:cs="Times New Roman"/>
          <w:spacing w:val="-6"/>
          <w:sz w:val="24"/>
          <w:szCs w:val="24"/>
        </w:rPr>
        <w:t>2021</w:t>
      </w:r>
      <w:r>
        <w:rPr>
          <w:rFonts w:ascii="Times New Roman" w:hAnsi="Times New Roman" w:eastAsia="Times New Roman" w:cs="Times New Roman"/>
          <w:spacing w:val="14"/>
          <w:sz w:val="24"/>
          <w:szCs w:val="24"/>
        </w:rPr>
        <w:t xml:space="preserve"> </w:t>
      </w:r>
      <w:r>
        <w:rPr>
          <w:spacing w:val="-6"/>
          <w:sz w:val="24"/>
          <w:szCs w:val="24"/>
        </w:rPr>
        <w:t>年</w:t>
      </w:r>
      <w:r>
        <w:rPr>
          <w:spacing w:val="-44"/>
          <w:sz w:val="24"/>
          <w:szCs w:val="24"/>
        </w:rPr>
        <w:t xml:space="preserve"> </w:t>
      </w:r>
      <w:r>
        <w:rPr>
          <w:rFonts w:ascii="Times New Roman" w:hAnsi="Times New Roman" w:eastAsia="Times New Roman" w:cs="Times New Roman"/>
          <w:spacing w:val="-6"/>
          <w:sz w:val="24"/>
          <w:szCs w:val="24"/>
        </w:rPr>
        <w:t>5</w:t>
      </w:r>
      <w:r>
        <w:rPr>
          <w:rFonts w:ascii="Times New Roman" w:hAnsi="Times New Roman" w:eastAsia="Times New Roman" w:cs="Times New Roman"/>
          <w:spacing w:val="20"/>
          <w:sz w:val="24"/>
          <w:szCs w:val="24"/>
        </w:rPr>
        <w:t xml:space="preserve"> </w:t>
      </w:r>
      <w:r>
        <w:rPr>
          <w:spacing w:val="-6"/>
          <w:sz w:val="24"/>
          <w:szCs w:val="24"/>
        </w:rPr>
        <w:t>月</w:t>
      </w:r>
      <w:r>
        <w:rPr>
          <w:spacing w:val="-51"/>
          <w:sz w:val="24"/>
          <w:szCs w:val="24"/>
        </w:rPr>
        <w:t xml:space="preserve"> </w:t>
      </w:r>
      <w:r>
        <w:rPr>
          <w:rFonts w:ascii="Times New Roman" w:hAnsi="Times New Roman" w:eastAsia="Times New Roman" w:cs="Times New Roman"/>
          <w:spacing w:val="-6"/>
          <w:sz w:val="24"/>
          <w:szCs w:val="24"/>
        </w:rPr>
        <w:t>21</w:t>
      </w:r>
      <w:r>
        <w:rPr>
          <w:rFonts w:ascii="Times New Roman" w:hAnsi="Times New Roman" w:eastAsia="Times New Roman" w:cs="Times New Roman"/>
          <w:spacing w:val="55"/>
          <w:sz w:val="24"/>
          <w:szCs w:val="24"/>
        </w:rPr>
        <w:t xml:space="preserve"> </w:t>
      </w:r>
      <w:r>
        <w:rPr>
          <w:spacing w:val="-6"/>
          <w:sz w:val="24"/>
          <w:szCs w:val="24"/>
        </w:rPr>
        <w:t>日全部完成，具备</w:t>
      </w:r>
      <w:r>
        <w:rPr>
          <w:spacing w:val="-8"/>
          <w:sz w:val="24"/>
          <w:szCs w:val="24"/>
        </w:rPr>
        <w:t>过流条件。</w:t>
      </w:r>
    </w:p>
    <w:p w14:paraId="2C38C9E5">
      <w:pPr>
        <w:pStyle w:val="2"/>
        <w:spacing w:before="19" w:line="331" w:lineRule="auto"/>
        <w:ind w:left="38" w:right="31" w:firstLine="476"/>
        <w:rPr>
          <w:sz w:val="24"/>
          <w:szCs w:val="24"/>
        </w:rPr>
      </w:pPr>
      <w:r>
        <w:rPr>
          <w:rFonts w:ascii="Times New Roman" w:hAnsi="Times New Roman" w:eastAsia="Times New Roman" w:cs="Times New Roman"/>
          <w:spacing w:val="-8"/>
          <w:sz w:val="24"/>
          <w:szCs w:val="24"/>
        </w:rPr>
        <w:t xml:space="preserve">2018 </w:t>
      </w:r>
      <w:r>
        <w:rPr>
          <w:spacing w:val="-8"/>
          <w:sz w:val="24"/>
          <w:szCs w:val="24"/>
        </w:rPr>
        <w:t>年</w:t>
      </w:r>
      <w:r>
        <w:rPr>
          <w:spacing w:val="-51"/>
          <w:sz w:val="24"/>
          <w:szCs w:val="24"/>
        </w:rPr>
        <w:t xml:space="preserve"> </w:t>
      </w:r>
      <w:r>
        <w:rPr>
          <w:rFonts w:ascii="Times New Roman" w:hAnsi="Times New Roman" w:eastAsia="Times New Roman" w:cs="Times New Roman"/>
          <w:spacing w:val="-8"/>
          <w:sz w:val="24"/>
          <w:szCs w:val="24"/>
        </w:rPr>
        <w:t>7</w:t>
      </w:r>
      <w:r>
        <w:rPr>
          <w:rFonts w:ascii="Times New Roman" w:hAnsi="Times New Roman" w:eastAsia="Times New Roman" w:cs="Times New Roman"/>
          <w:spacing w:val="15"/>
          <w:w w:val="101"/>
          <w:sz w:val="24"/>
          <w:szCs w:val="24"/>
        </w:rPr>
        <w:t xml:space="preserve"> </w:t>
      </w:r>
      <w:r>
        <w:rPr>
          <w:spacing w:val="-8"/>
          <w:sz w:val="24"/>
          <w:szCs w:val="24"/>
        </w:rPr>
        <w:t>月</w:t>
      </w:r>
      <w:r>
        <w:rPr>
          <w:spacing w:val="-32"/>
          <w:sz w:val="24"/>
          <w:szCs w:val="24"/>
        </w:rPr>
        <w:t xml:space="preserve"> </w:t>
      </w:r>
      <w:r>
        <w:rPr>
          <w:rFonts w:ascii="Times New Roman" w:hAnsi="Times New Roman" w:eastAsia="Times New Roman" w:cs="Times New Roman"/>
          <w:spacing w:val="-8"/>
          <w:sz w:val="24"/>
          <w:szCs w:val="24"/>
        </w:rPr>
        <w:t xml:space="preserve">10  </w:t>
      </w:r>
      <w:r>
        <w:rPr>
          <w:spacing w:val="-8"/>
          <w:sz w:val="24"/>
          <w:szCs w:val="24"/>
        </w:rPr>
        <w:t>日，泄洪放空隧洞（兼导流洞）贯通。</w:t>
      </w:r>
      <w:r>
        <w:rPr>
          <w:rFonts w:ascii="Times New Roman" w:hAnsi="Times New Roman" w:eastAsia="Times New Roman" w:cs="Times New Roman"/>
          <w:spacing w:val="-8"/>
          <w:sz w:val="24"/>
          <w:szCs w:val="24"/>
        </w:rPr>
        <w:t xml:space="preserve">2018 </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5"/>
          <w:sz w:val="24"/>
          <w:szCs w:val="24"/>
        </w:rPr>
        <w:t xml:space="preserve"> </w:t>
      </w:r>
      <w:r>
        <w:rPr>
          <w:spacing w:val="-8"/>
          <w:sz w:val="24"/>
          <w:szCs w:val="24"/>
        </w:rPr>
        <w:t>月</w:t>
      </w:r>
      <w:r>
        <w:rPr>
          <w:spacing w:val="-55"/>
          <w:sz w:val="24"/>
          <w:szCs w:val="24"/>
        </w:rPr>
        <w:t xml:space="preserve"> </w:t>
      </w:r>
      <w:r>
        <w:rPr>
          <w:rFonts w:ascii="Times New Roman" w:hAnsi="Times New Roman" w:eastAsia="Times New Roman" w:cs="Times New Roman"/>
          <w:spacing w:val="-8"/>
          <w:sz w:val="24"/>
          <w:szCs w:val="24"/>
        </w:rPr>
        <w:t xml:space="preserve">25  </w:t>
      </w:r>
      <w:r>
        <w:rPr>
          <w:spacing w:val="-8"/>
          <w:sz w:val="24"/>
          <w:szCs w:val="24"/>
        </w:rPr>
        <w:t>日</w:t>
      </w:r>
      <w:r>
        <w:rPr>
          <w:spacing w:val="-9"/>
          <w:sz w:val="24"/>
          <w:szCs w:val="24"/>
        </w:rPr>
        <w:t>，河</w:t>
      </w:r>
      <w:r>
        <w:rPr>
          <w:spacing w:val="-4"/>
          <w:sz w:val="24"/>
          <w:szCs w:val="24"/>
        </w:rPr>
        <w:t>道截流，导流洞开始过水。</w:t>
      </w:r>
    </w:p>
    <w:p w14:paraId="4B013BAA">
      <w:pPr>
        <w:pStyle w:val="2"/>
        <w:spacing w:before="20" w:line="233" w:lineRule="auto"/>
        <w:ind w:left="515"/>
        <w:rPr>
          <w:sz w:val="24"/>
          <w:szCs w:val="24"/>
        </w:rPr>
      </w:pPr>
      <w:r>
        <w:rPr>
          <w:rFonts w:ascii="Times New Roman" w:hAnsi="Times New Roman" w:eastAsia="Times New Roman" w:cs="Times New Roman"/>
          <w:spacing w:val="-4"/>
          <w:sz w:val="24"/>
          <w:szCs w:val="24"/>
        </w:rPr>
        <w:t xml:space="preserve">2018 </w:t>
      </w:r>
      <w:r>
        <w:rPr>
          <w:spacing w:val="-4"/>
          <w:sz w:val="24"/>
          <w:szCs w:val="24"/>
        </w:rPr>
        <w:t>年</w:t>
      </w:r>
      <w:r>
        <w:rPr>
          <w:spacing w:val="-31"/>
          <w:sz w:val="24"/>
          <w:szCs w:val="24"/>
        </w:rPr>
        <w:t xml:space="preserve"> </w:t>
      </w:r>
      <w:r>
        <w:rPr>
          <w:rFonts w:ascii="Times New Roman" w:hAnsi="Times New Roman" w:eastAsia="Times New Roman" w:cs="Times New Roman"/>
          <w:spacing w:val="-4"/>
          <w:sz w:val="24"/>
          <w:szCs w:val="24"/>
        </w:rPr>
        <w:t>11</w:t>
      </w:r>
      <w:r>
        <w:rPr>
          <w:rFonts w:ascii="Times New Roman" w:hAnsi="Times New Roman" w:eastAsia="Times New Roman" w:cs="Times New Roman"/>
          <w:spacing w:val="15"/>
          <w:sz w:val="24"/>
          <w:szCs w:val="24"/>
        </w:rPr>
        <w:t xml:space="preserve"> </w:t>
      </w:r>
      <w:r>
        <w:rPr>
          <w:spacing w:val="-4"/>
          <w:sz w:val="24"/>
          <w:szCs w:val="24"/>
        </w:rPr>
        <w:t>月</w:t>
      </w:r>
      <w:r>
        <w:rPr>
          <w:spacing w:val="-32"/>
          <w:sz w:val="24"/>
          <w:szCs w:val="24"/>
        </w:rPr>
        <w:t xml:space="preserve"> </w:t>
      </w:r>
      <w:r>
        <w:rPr>
          <w:rFonts w:ascii="Times New Roman" w:hAnsi="Times New Roman" w:eastAsia="Times New Roman" w:cs="Times New Roman"/>
          <w:spacing w:val="-4"/>
          <w:sz w:val="24"/>
          <w:szCs w:val="24"/>
        </w:rPr>
        <w:t xml:space="preserve">16  </w:t>
      </w:r>
      <w:r>
        <w:rPr>
          <w:spacing w:val="-4"/>
          <w:sz w:val="24"/>
          <w:szCs w:val="24"/>
        </w:rPr>
        <w:t>日，生态输水管道全部安装完成，总长</w:t>
      </w:r>
      <w:r>
        <w:rPr>
          <w:spacing w:val="-50"/>
          <w:sz w:val="24"/>
          <w:szCs w:val="24"/>
        </w:rPr>
        <w:t xml:space="preserve"> </w:t>
      </w:r>
      <w:r>
        <w:rPr>
          <w:rFonts w:ascii="Times New Roman" w:hAnsi="Times New Roman" w:eastAsia="Times New Roman" w:cs="Times New Roman"/>
          <w:spacing w:val="-4"/>
          <w:sz w:val="24"/>
          <w:szCs w:val="24"/>
        </w:rPr>
        <w:t>337.066m</w:t>
      </w:r>
      <w:r>
        <w:rPr>
          <w:spacing w:val="-4"/>
          <w:sz w:val="24"/>
          <w:szCs w:val="24"/>
        </w:rPr>
        <w:t>。</w:t>
      </w:r>
    </w:p>
    <w:p w14:paraId="2BD6760B">
      <w:pPr>
        <w:pStyle w:val="2"/>
        <w:spacing w:before="139" w:line="337" w:lineRule="auto"/>
        <w:ind w:left="38" w:right="29" w:firstLine="480"/>
        <w:rPr>
          <w:sz w:val="24"/>
          <w:szCs w:val="24"/>
        </w:rPr>
      </w:pPr>
      <w:r>
        <w:rPr>
          <w:spacing w:val="-7"/>
          <w:sz w:val="24"/>
          <w:szCs w:val="24"/>
        </w:rPr>
        <w:t>截至</w:t>
      </w:r>
      <w:r>
        <w:rPr>
          <w:rFonts w:ascii="Times New Roman" w:hAnsi="Times New Roman" w:eastAsia="Times New Roman" w:cs="Times New Roman"/>
          <w:spacing w:val="-7"/>
          <w:sz w:val="24"/>
          <w:szCs w:val="24"/>
        </w:rPr>
        <w:t xml:space="preserve">2022 </w:t>
      </w:r>
      <w:r>
        <w:rPr>
          <w:spacing w:val="-7"/>
          <w:sz w:val="24"/>
          <w:szCs w:val="24"/>
        </w:rPr>
        <w:t>年</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20"/>
          <w:w w:val="101"/>
          <w:sz w:val="24"/>
          <w:szCs w:val="24"/>
        </w:rPr>
        <w:t xml:space="preserve"> </w:t>
      </w:r>
      <w:r>
        <w:rPr>
          <w:spacing w:val="-7"/>
          <w:sz w:val="24"/>
          <w:szCs w:val="24"/>
        </w:rPr>
        <w:t>月，大坝枢纽工程、输水工程、分层取水设施、生态输水管道、</w:t>
      </w:r>
      <w:r>
        <w:rPr>
          <w:spacing w:val="-4"/>
          <w:sz w:val="24"/>
          <w:szCs w:val="24"/>
        </w:rPr>
        <w:t>库底清理、移民安置、鱼道及码头工程、鱼类增殖站等工程已基本完成。旁路系统</w:t>
      </w:r>
      <w:r>
        <w:rPr>
          <w:spacing w:val="-5"/>
          <w:sz w:val="24"/>
          <w:szCs w:val="24"/>
        </w:rPr>
        <w:t>设计方案于</w:t>
      </w:r>
      <w:r>
        <w:rPr>
          <w:spacing w:val="-40"/>
          <w:sz w:val="24"/>
          <w:szCs w:val="24"/>
        </w:rPr>
        <w:t xml:space="preserve"> </w:t>
      </w:r>
      <w:r>
        <w:rPr>
          <w:rFonts w:ascii="Times New Roman" w:hAnsi="Times New Roman" w:eastAsia="Times New Roman" w:cs="Times New Roman"/>
          <w:spacing w:val="-5"/>
          <w:sz w:val="24"/>
          <w:szCs w:val="24"/>
        </w:rPr>
        <w:t xml:space="preserve">2021 </w:t>
      </w:r>
      <w:r>
        <w:rPr>
          <w:spacing w:val="-5"/>
          <w:sz w:val="24"/>
          <w:szCs w:val="24"/>
        </w:rPr>
        <w:t>年</w:t>
      </w:r>
      <w:r>
        <w:rPr>
          <w:spacing w:val="-32"/>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15"/>
          <w:w w:val="101"/>
          <w:sz w:val="24"/>
          <w:szCs w:val="24"/>
        </w:rPr>
        <w:t xml:space="preserve"> </w:t>
      </w:r>
      <w:r>
        <w:rPr>
          <w:spacing w:val="-5"/>
          <w:sz w:val="24"/>
          <w:szCs w:val="24"/>
        </w:rPr>
        <w:t>月</w:t>
      </w:r>
      <w:r>
        <w:rPr>
          <w:spacing w:val="-51"/>
          <w:sz w:val="24"/>
          <w:szCs w:val="24"/>
        </w:rPr>
        <w:t xml:space="preserve"> </w:t>
      </w:r>
      <w:r>
        <w:rPr>
          <w:rFonts w:ascii="Times New Roman" w:hAnsi="Times New Roman" w:eastAsia="Times New Roman" w:cs="Times New Roman"/>
          <w:spacing w:val="-5"/>
          <w:sz w:val="24"/>
          <w:szCs w:val="24"/>
        </w:rPr>
        <w:t xml:space="preserve">31  </w:t>
      </w:r>
      <w:r>
        <w:rPr>
          <w:spacing w:val="-5"/>
          <w:sz w:val="24"/>
          <w:szCs w:val="24"/>
        </w:rPr>
        <w:t>日通过专家评审，</w:t>
      </w:r>
      <w:r>
        <w:rPr>
          <w:spacing w:val="-71"/>
          <w:sz w:val="24"/>
          <w:szCs w:val="24"/>
        </w:rPr>
        <w:t xml:space="preserve"> </w:t>
      </w:r>
      <w:r>
        <w:rPr>
          <w:spacing w:val="-5"/>
          <w:sz w:val="24"/>
          <w:szCs w:val="24"/>
        </w:rPr>
        <w:t>目前正在开展招标工作。鱼类栖息</w:t>
      </w:r>
      <w:r>
        <w:rPr>
          <w:spacing w:val="-4"/>
          <w:sz w:val="24"/>
          <w:szCs w:val="24"/>
        </w:rPr>
        <w:t>地及河流连通性恢复工程已完成前期征地工作，马龙人民政府已完成征求意见，待</w:t>
      </w:r>
      <w:r>
        <w:rPr>
          <w:spacing w:val="-3"/>
          <w:sz w:val="24"/>
          <w:szCs w:val="24"/>
        </w:rPr>
        <w:t>政府正式批文出台后正式实施。</w:t>
      </w:r>
    </w:p>
    <w:p w14:paraId="26FF37E9">
      <w:pPr>
        <w:spacing w:line="337" w:lineRule="auto"/>
        <w:rPr>
          <w:sz w:val="24"/>
          <w:szCs w:val="24"/>
        </w:rPr>
        <w:sectPr>
          <w:headerReference r:id="rId15" w:type="default"/>
          <w:footerReference r:id="rId16" w:type="default"/>
          <w:pgSz w:w="11908" w:h="16840"/>
          <w:pgMar w:top="1659" w:right="1669" w:bottom="1413" w:left="1671" w:header="1282" w:footer="1210" w:gutter="0"/>
          <w:cols w:space="720" w:num="1"/>
        </w:sectPr>
      </w:pPr>
    </w:p>
    <w:p w14:paraId="6D342C32">
      <w:pPr>
        <w:spacing w:line="384" w:lineRule="auto"/>
        <w:rPr>
          <w:rFonts w:ascii="Arial"/>
          <w:sz w:val="21"/>
        </w:rPr>
      </w:pPr>
    </w:p>
    <w:p w14:paraId="0703479A">
      <w:pPr>
        <w:pStyle w:val="2"/>
        <w:spacing w:before="98" w:line="233" w:lineRule="auto"/>
        <w:ind w:left="49"/>
        <w:outlineLvl w:val="0"/>
        <w:rPr>
          <w:sz w:val="30"/>
          <w:szCs w:val="30"/>
        </w:rPr>
      </w:pPr>
      <w:bookmarkStart w:id="6" w:name="bookmark6"/>
      <w:bookmarkEnd w:id="6"/>
      <w:r>
        <w:rPr>
          <w:rFonts w:ascii="Times New Roman" w:hAnsi="Times New Roman" w:eastAsia="Times New Roman" w:cs="Times New Roman"/>
          <w:b/>
          <w:bCs/>
          <w:spacing w:val="-4"/>
          <w:sz w:val="30"/>
          <w:szCs w:val="30"/>
        </w:rPr>
        <w:t>1.4</w:t>
      </w:r>
      <w:r>
        <w:rPr>
          <w:rFonts w:ascii="Times New Roman" w:hAnsi="Times New Roman" w:eastAsia="Times New Roman" w:cs="Times New Roman"/>
          <w:b/>
          <w:bCs/>
          <w:spacing w:val="25"/>
          <w:sz w:val="30"/>
          <w:szCs w:val="30"/>
        </w:rPr>
        <w:t xml:space="preserve"> </w:t>
      </w:r>
      <w:r>
        <w:rPr>
          <w:b/>
          <w:bCs/>
          <w:spacing w:val="-4"/>
          <w:sz w:val="30"/>
          <w:szCs w:val="30"/>
        </w:rPr>
        <w:t>验收调查工作由来及工作过程</w:t>
      </w:r>
    </w:p>
    <w:p w14:paraId="46229252">
      <w:pPr>
        <w:pStyle w:val="2"/>
        <w:spacing w:before="234" w:line="336" w:lineRule="auto"/>
        <w:ind w:left="39" w:right="29" w:firstLine="481"/>
        <w:jc w:val="both"/>
        <w:rPr>
          <w:sz w:val="24"/>
          <w:szCs w:val="24"/>
        </w:rPr>
      </w:pPr>
      <w:r>
        <w:rPr>
          <w:spacing w:val="-15"/>
          <w:sz w:val="24"/>
          <w:szCs w:val="24"/>
        </w:rPr>
        <w:t>依据《建设项目环境保护管理条例》（国 务</w:t>
      </w:r>
      <w:r>
        <w:rPr>
          <w:spacing w:val="-25"/>
          <w:sz w:val="24"/>
          <w:szCs w:val="24"/>
        </w:rPr>
        <w:t xml:space="preserve"> </w:t>
      </w:r>
      <w:r>
        <w:rPr>
          <w:spacing w:val="-15"/>
          <w:sz w:val="24"/>
          <w:szCs w:val="24"/>
        </w:rPr>
        <w:t>院</w:t>
      </w:r>
      <w:r>
        <w:rPr>
          <w:spacing w:val="-50"/>
          <w:sz w:val="24"/>
          <w:szCs w:val="24"/>
        </w:rPr>
        <w:t xml:space="preserve"> </w:t>
      </w:r>
      <w:r>
        <w:rPr>
          <w:spacing w:val="-15"/>
          <w:sz w:val="24"/>
          <w:szCs w:val="24"/>
        </w:rPr>
        <w:t>令</w:t>
      </w:r>
      <w:r>
        <w:rPr>
          <w:spacing w:val="-50"/>
          <w:sz w:val="24"/>
          <w:szCs w:val="24"/>
        </w:rPr>
        <w:t xml:space="preserve"> </w:t>
      </w:r>
      <w:r>
        <w:rPr>
          <w:spacing w:val="-15"/>
          <w:sz w:val="24"/>
          <w:szCs w:val="24"/>
        </w:rPr>
        <w:t>第</w:t>
      </w:r>
      <w:r>
        <w:rPr>
          <w:spacing w:val="-50"/>
          <w:sz w:val="24"/>
          <w:szCs w:val="24"/>
        </w:rPr>
        <w:t xml:space="preserve"> </w:t>
      </w:r>
      <w:r>
        <w:rPr>
          <w:rFonts w:ascii="Times New Roman" w:hAnsi="Times New Roman" w:eastAsia="Times New Roman" w:cs="Times New Roman"/>
          <w:spacing w:val="-15"/>
          <w:sz w:val="24"/>
          <w:szCs w:val="24"/>
        </w:rPr>
        <w:t>682</w:t>
      </w:r>
      <w:r>
        <w:rPr>
          <w:rFonts w:ascii="Times New Roman" w:hAnsi="Times New Roman" w:eastAsia="Times New Roman" w:cs="Times New Roman"/>
          <w:spacing w:val="15"/>
          <w:w w:val="101"/>
          <w:sz w:val="24"/>
          <w:szCs w:val="24"/>
        </w:rPr>
        <w:t xml:space="preserve"> </w:t>
      </w:r>
      <w:r>
        <w:rPr>
          <w:spacing w:val="-15"/>
          <w:sz w:val="24"/>
          <w:szCs w:val="24"/>
        </w:rPr>
        <w:t>号）、《建设项目竣工</w:t>
      </w:r>
      <w:r>
        <w:rPr>
          <w:spacing w:val="-10"/>
          <w:sz w:val="24"/>
          <w:szCs w:val="24"/>
        </w:rPr>
        <w:t>环境保护验收暂行办法》（国环规环评〔</w:t>
      </w:r>
      <w:r>
        <w:rPr>
          <w:rFonts w:ascii="Times New Roman" w:hAnsi="Times New Roman" w:eastAsia="Times New Roman" w:cs="Times New Roman"/>
          <w:spacing w:val="-10"/>
          <w:sz w:val="24"/>
          <w:szCs w:val="24"/>
        </w:rPr>
        <w:t>2017</w:t>
      </w:r>
      <w:r>
        <w:rPr>
          <w:spacing w:val="-10"/>
          <w:sz w:val="24"/>
          <w:szCs w:val="24"/>
        </w:rPr>
        <w:t>〕</w:t>
      </w:r>
      <w:r>
        <w:rPr>
          <w:rFonts w:ascii="Times New Roman" w:hAnsi="Times New Roman" w:eastAsia="Times New Roman" w:cs="Times New Roman"/>
          <w:spacing w:val="-10"/>
          <w:sz w:val="24"/>
          <w:szCs w:val="24"/>
        </w:rPr>
        <w:t xml:space="preserve">4  </w:t>
      </w:r>
      <w:r>
        <w:rPr>
          <w:spacing w:val="-10"/>
          <w:sz w:val="24"/>
          <w:szCs w:val="24"/>
        </w:rPr>
        <w:t>号）、《云南省曲靖市车马碧水库</w:t>
      </w:r>
      <w:r>
        <w:rPr>
          <w:spacing w:val="-4"/>
          <w:sz w:val="24"/>
          <w:szCs w:val="24"/>
        </w:rPr>
        <w:t>工程环境影响报告书》及相关技术规范要求，建设单位应当开展车马碧水库工程蓄</w:t>
      </w:r>
      <w:r>
        <w:rPr>
          <w:spacing w:val="-1"/>
          <w:sz w:val="24"/>
          <w:szCs w:val="24"/>
        </w:rPr>
        <w:t>水阶段环境保护验收调查和车马碧水库工程</w:t>
      </w:r>
      <w:r>
        <w:rPr>
          <w:spacing w:val="-2"/>
          <w:sz w:val="24"/>
          <w:szCs w:val="24"/>
        </w:rPr>
        <w:t>竣工环境保护验收调查。</w:t>
      </w:r>
    </w:p>
    <w:p w14:paraId="2CF1BF14">
      <w:pPr>
        <w:pStyle w:val="2"/>
        <w:spacing w:before="7" w:line="339" w:lineRule="auto"/>
        <w:ind w:left="39" w:right="29" w:firstLine="475"/>
        <w:jc w:val="both"/>
        <w:rPr>
          <w:sz w:val="24"/>
          <w:szCs w:val="24"/>
        </w:rPr>
      </w:pPr>
      <w:r>
        <w:rPr>
          <w:rFonts w:ascii="Times New Roman" w:hAnsi="Times New Roman" w:eastAsia="Times New Roman" w:cs="Times New Roman"/>
          <w:spacing w:val="-1"/>
          <w:sz w:val="24"/>
          <w:szCs w:val="24"/>
        </w:rPr>
        <w:t>2021</w:t>
      </w:r>
      <w:r>
        <w:rPr>
          <w:rFonts w:ascii="Times New Roman" w:hAnsi="Times New Roman" w:eastAsia="Times New Roman" w:cs="Times New Roman"/>
          <w:spacing w:val="25"/>
          <w:sz w:val="24"/>
          <w:szCs w:val="24"/>
        </w:rPr>
        <w:t xml:space="preserve"> </w:t>
      </w:r>
      <w:r>
        <w:rPr>
          <w:spacing w:val="-1"/>
          <w:sz w:val="24"/>
          <w:szCs w:val="24"/>
        </w:rPr>
        <w:t>年</w:t>
      </w:r>
      <w:r>
        <w:rPr>
          <w:spacing w:val="-42"/>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31"/>
          <w:sz w:val="24"/>
          <w:szCs w:val="24"/>
        </w:rPr>
        <w:t xml:space="preserve"> </w:t>
      </w:r>
      <w:r>
        <w:rPr>
          <w:spacing w:val="-1"/>
          <w:sz w:val="24"/>
          <w:szCs w:val="24"/>
        </w:rPr>
        <w:t>月，建设单位委托我院编制车马碧水库工程蓄水阶段环境保护验收</w:t>
      </w:r>
      <w:r>
        <w:rPr>
          <w:spacing w:val="-4"/>
          <w:sz w:val="24"/>
          <w:szCs w:val="24"/>
        </w:rPr>
        <w:t>调查报告和工程竣工环境保护验收调查报告编制工作。接受委托后，我院立即组织相关技术人员，研究车马碧水库工程环评文件及批复要求，初次现场踏勘后编制蓄水阶段环保验收调查评估报告，在初步了解工程建设及变更情况、环保措施落实情</w:t>
      </w:r>
      <w:r>
        <w:rPr>
          <w:spacing w:val="-1"/>
          <w:sz w:val="24"/>
          <w:szCs w:val="24"/>
        </w:rPr>
        <w:t>况、环保监理与监测情况等基础上，提出验收工作</w:t>
      </w:r>
      <w:r>
        <w:rPr>
          <w:spacing w:val="-2"/>
          <w:sz w:val="24"/>
          <w:szCs w:val="24"/>
        </w:rPr>
        <w:t>计划和后续工作建议。</w:t>
      </w:r>
    </w:p>
    <w:p w14:paraId="1EE59026">
      <w:pPr>
        <w:pStyle w:val="2"/>
        <w:spacing w:before="4" w:line="337" w:lineRule="auto"/>
        <w:ind w:left="40" w:right="29" w:firstLine="478"/>
        <w:jc w:val="both"/>
        <w:rPr>
          <w:sz w:val="24"/>
          <w:szCs w:val="24"/>
        </w:rPr>
      </w:pPr>
      <w:r>
        <w:rPr>
          <w:spacing w:val="-4"/>
          <w:sz w:val="24"/>
          <w:szCs w:val="24"/>
        </w:rPr>
        <w:t>在建设单位的大力支持和配合下，我院相关技术人员多次实地</w:t>
      </w:r>
      <w:r>
        <w:rPr>
          <w:spacing w:val="-5"/>
          <w:sz w:val="24"/>
          <w:szCs w:val="24"/>
        </w:rPr>
        <w:t>查勘，对车马碧</w:t>
      </w:r>
      <w:r>
        <w:rPr>
          <w:spacing w:val="3"/>
          <w:sz w:val="24"/>
          <w:szCs w:val="24"/>
        </w:rPr>
        <w:t>水库枢纽工程区和输水隧洞沿线各施工区进行了详细调查</w:t>
      </w:r>
      <w:r>
        <w:rPr>
          <w:spacing w:val="2"/>
          <w:sz w:val="24"/>
          <w:szCs w:val="24"/>
        </w:rPr>
        <w:t>，收集工程建设初设报</w:t>
      </w:r>
      <w:r>
        <w:rPr>
          <w:spacing w:val="-4"/>
          <w:sz w:val="24"/>
          <w:szCs w:val="24"/>
        </w:rPr>
        <w:t>告、环水保监理报告、库底清理报告、移民安置验收意见、施工期废污水及各</w:t>
      </w:r>
      <w:r>
        <w:rPr>
          <w:spacing w:val="-5"/>
          <w:sz w:val="24"/>
          <w:szCs w:val="24"/>
        </w:rPr>
        <w:t>环境</w:t>
      </w:r>
      <w:r>
        <w:rPr>
          <w:spacing w:val="-1"/>
          <w:sz w:val="24"/>
          <w:szCs w:val="24"/>
        </w:rPr>
        <w:t>要素监测报告、陆生生态和水生生态专题调查报告等相关</w:t>
      </w:r>
      <w:r>
        <w:rPr>
          <w:spacing w:val="-2"/>
          <w:sz w:val="24"/>
          <w:szCs w:val="24"/>
        </w:rPr>
        <w:t>资料，于</w:t>
      </w:r>
      <w:r>
        <w:rPr>
          <w:spacing w:val="-55"/>
          <w:sz w:val="24"/>
          <w:szCs w:val="24"/>
        </w:rPr>
        <w:t xml:space="preserve"> </w:t>
      </w:r>
      <w:r>
        <w:rPr>
          <w:rFonts w:ascii="Times New Roman" w:hAnsi="Times New Roman" w:eastAsia="Times New Roman" w:cs="Times New Roman"/>
          <w:spacing w:val="-2"/>
          <w:sz w:val="24"/>
          <w:szCs w:val="24"/>
        </w:rPr>
        <w:t xml:space="preserve">2022 </w:t>
      </w:r>
      <w:r>
        <w:rPr>
          <w:spacing w:val="-2"/>
          <w:sz w:val="24"/>
          <w:szCs w:val="24"/>
        </w:rPr>
        <w:t>年</w:t>
      </w:r>
      <w:r>
        <w:rPr>
          <w:spacing w:val="-55"/>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16"/>
          <w:sz w:val="24"/>
          <w:szCs w:val="24"/>
        </w:rPr>
        <w:t xml:space="preserve"> </w:t>
      </w:r>
      <w:r>
        <w:rPr>
          <w:spacing w:val="-2"/>
          <w:sz w:val="24"/>
          <w:szCs w:val="24"/>
        </w:rPr>
        <w:t>月编</w:t>
      </w:r>
      <w:r>
        <w:rPr>
          <w:spacing w:val="-4"/>
          <w:sz w:val="24"/>
          <w:szCs w:val="24"/>
        </w:rPr>
        <w:t>制完成《云南省曲靖市车马碧水库工程蓄水阶段环境保</w:t>
      </w:r>
      <w:r>
        <w:rPr>
          <w:spacing w:val="-5"/>
          <w:sz w:val="24"/>
          <w:szCs w:val="24"/>
        </w:rPr>
        <w:t>护验收调查报告》。</w:t>
      </w:r>
    </w:p>
    <w:p w14:paraId="7CA103D3">
      <w:pPr>
        <w:spacing w:line="337" w:lineRule="auto"/>
        <w:rPr>
          <w:sz w:val="24"/>
          <w:szCs w:val="24"/>
        </w:rPr>
        <w:sectPr>
          <w:footerReference r:id="rId17" w:type="default"/>
          <w:pgSz w:w="11908" w:h="16840"/>
          <w:pgMar w:top="1659" w:right="1669" w:bottom="1413" w:left="1671" w:header="1282" w:footer="1213" w:gutter="0"/>
          <w:cols w:space="720" w:num="1"/>
        </w:sectPr>
      </w:pPr>
    </w:p>
    <w:p w14:paraId="16B7A94B">
      <w:pPr>
        <w:spacing w:line="448" w:lineRule="auto"/>
        <w:rPr>
          <w:rFonts w:ascii="Arial"/>
          <w:sz w:val="21"/>
        </w:rPr>
      </w:pPr>
    </w:p>
    <w:p w14:paraId="36ECE545">
      <w:pPr>
        <w:pStyle w:val="2"/>
        <w:spacing w:before="104" w:line="233" w:lineRule="auto"/>
        <w:ind w:left="3460"/>
      </w:pPr>
      <w:bookmarkStart w:id="7" w:name="bookmark8"/>
      <w:bookmarkEnd w:id="7"/>
      <w:bookmarkStart w:id="8" w:name="bookmark7"/>
      <w:bookmarkEnd w:id="8"/>
      <w:r>
        <w:rPr>
          <w:rFonts w:ascii="Times New Roman" w:hAnsi="Times New Roman" w:eastAsia="Times New Roman" w:cs="Times New Roman"/>
          <w:b/>
          <w:bCs/>
          <w:spacing w:val="-6"/>
        </w:rPr>
        <w:t>2</w:t>
      </w:r>
      <w:r>
        <w:rPr>
          <w:rFonts w:ascii="Times New Roman" w:hAnsi="Times New Roman" w:eastAsia="Times New Roman" w:cs="Times New Roman"/>
          <w:b/>
          <w:bCs/>
          <w:spacing w:val="20"/>
          <w:w w:val="101"/>
        </w:rPr>
        <w:t xml:space="preserve"> </w:t>
      </w:r>
      <w:r>
        <w:rPr>
          <w:b/>
          <w:bCs/>
          <w:spacing w:val="-6"/>
        </w:rPr>
        <w:t>验收依据</w:t>
      </w:r>
    </w:p>
    <w:p w14:paraId="73CA92B3">
      <w:pPr>
        <w:pStyle w:val="2"/>
        <w:spacing w:before="180" w:line="233" w:lineRule="auto"/>
        <w:ind w:left="37"/>
        <w:rPr>
          <w:sz w:val="30"/>
          <w:szCs w:val="30"/>
        </w:rPr>
      </w:pPr>
      <w:r>
        <w:rPr>
          <w:rFonts w:ascii="Times New Roman" w:hAnsi="Times New Roman" w:eastAsia="Times New Roman" w:cs="Times New Roman"/>
          <w:b/>
          <w:bCs/>
          <w:spacing w:val="-4"/>
          <w:sz w:val="30"/>
          <w:szCs w:val="30"/>
        </w:rPr>
        <w:t>2.1</w:t>
      </w:r>
      <w:r>
        <w:rPr>
          <w:rFonts w:ascii="Times New Roman" w:hAnsi="Times New Roman" w:eastAsia="Times New Roman" w:cs="Times New Roman"/>
          <w:b/>
          <w:bCs/>
          <w:spacing w:val="31"/>
          <w:sz w:val="30"/>
          <w:szCs w:val="30"/>
        </w:rPr>
        <w:t xml:space="preserve"> </w:t>
      </w:r>
      <w:r>
        <w:rPr>
          <w:b/>
          <w:bCs/>
          <w:spacing w:val="-4"/>
          <w:sz w:val="30"/>
          <w:szCs w:val="30"/>
        </w:rPr>
        <w:t>法律、法规和规章制度</w:t>
      </w:r>
    </w:p>
    <w:p w14:paraId="1CE1C2AC">
      <w:pPr>
        <w:pStyle w:val="2"/>
        <w:spacing w:before="199" w:line="226" w:lineRule="auto"/>
        <w:ind w:left="33"/>
        <w:rPr>
          <w:sz w:val="27"/>
          <w:szCs w:val="27"/>
        </w:rPr>
      </w:pPr>
      <w:r>
        <w:rPr>
          <w:rFonts w:ascii="Arial" w:hAnsi="Arial" w:eastAsia="Arial" w:cs="Arial"/>
          <w:spacing w:val="10"/>
          <w:sz w:val="21"/>
          <w:szCs w:val="21"/>
        </w:rPr>
        <w:t>2.1.1</w:t>
      </w:r>
      <w:r>
        <w:rPr>
          <w:rFonts w:ascii="Arial" w:hAnsi="Arial" w:eastAsia="Arial" w:cs="Arial"/>
          <w:spacing w:val="4"/>
          <w:sz w:val="21"/>
          <w:szCs w:val="21"/>
        </w:rPr>
        <w:t xml:space="preserve">     </w:t>
      </w:r>
      <w:r>
        <w:rPr>
          <w:b/>
          <w:bCs/>
          <w:spacing w:val="10"/>
          <w:sz w:val="27"/>
          <w:szCs w:val="27"/>
        </w:rPr>
        <w:t>法律</w:t>
      </w:r>
    </w:p>
    <w:p w14:paraId="07830683">
      <w:pPr>
        <w:pStyle w:val="2"/>
        <w:spacing w:before="263" w:line="233" w:lineRule="auto"/>
        <w:ind w:left="525"/>
        <w:rPr>
          <w:sz w:val="24"/>
          <w:szCs w:val="24"/>
        </w:rPr>
      </w:pPr>
      <w:r>
        <w:rPr>
          <w:spacing w:val="-14"/>
          <w:sz w:val="24"/>
          <w:szCs w:val="24"/>
        </w:rPr>
        <w:t>（</w:t>
      </w:r>
      <w:r>
        <w:rPr>
          <w:rFonts w:ascii="Times New Roman" w:hAnsi="Times New Roman" w:eastAsia="Times New Roman" w:cs="Times New Roman"/>
          <w:spacing w:val="-14"/>
          <w:sz w:val="24"/>
          <w:szCs w:val="24"/>
        </w:rPr>
        <w:t>1</w:t>
      </w:r>
      <w:r>
        <w:rPr>
          <w:spacing w:val="-14"/>
          <w:sz w:val="24"/>
          <w:szCs w:val="24"/>
        </w:rPr>
        <w:t>）《中华人民共和国环境保护法》（</w:t>
      </w:r>
      <w:r>
        <w:rPr>
          <w:rFonts w:ascii="Times New Roman" w:hAnsi="Times New Roman" w:eastAsia="Times New Roman" w:cs="Times New Roman"/>
          <w:spacing w:val="-14"/>
          <w:sz w:val="24"/>
          <w:szCs w:val="24"/>
        </w:rPr>
        <w:t>201</w:t>
      </w:r>
      <w:r>
        <w:rPr>
          <w:rFonts w:ascii="Times New Roman" w:hAnsi="Times New Roman" w:eastAsia="Times New Roman" w:cs="Times New Roman"/>
          <w:spacing w:val="-15"/>
          <w:sz w:val="24"/>
          <w:szCs w:val="24"/>
        </w:rPr>
        <w:t>4</w:t>
      </w:r>
      <w:r>
        <w:rPr>
          <w:rFonts w:ascii="Times New Roman" w:hAnsi="Times New Roman" w:eastAsia="Times New Roman" w:cs="Times New Roman"/>
          <w:spacing w:val="10"/>
          <w:sz w:val="24"/>
          <w:szCs w:val="24"/>
        </w:rPr>
        <w:t xml:space="preserve"> </w:t>
      </w:r>
      <w:r>
        <w:rPr>
          <w:spacing w:val="-15"/>
          <w:sz w:val="24"/>
          <w:szCs w:val="24"/>
        </w:rPr>
        <w:t>年</w:t>
      </w:r>
      <w:r>
        <w:rPr>
          <w:spacing w:val="-56"/>
          <w:sz w:val="24"/>
          <w:szCs w:val="24"/>
        </w:rPr>
        <w:t xml:space="preserve"> </w:t>
      </w:r>
      <w:r>
        <w:rPr>
          <w:rFonts w:ascii="Times New Roman" w:hAnsi="Times New Roman" w:eastAsia="Times New Roman" w:cs="Times New Roman"/>
          <w:spacing w:val="-15"/>
          <w:sz w:val="24"/>
          <w:szCs w:val="24"/>
        </w:rPr>
        <w:t>4</w:t>
      </w:r>
      <w:r>
        <w:rPr>
          <w:rFonts w:ascii="Times New Roman" w:hAnsi="Times New Roman" w:eastAsia="Times New Roman" w:cs="Times New Roman"/>
          <w:spacing w:val="15"/>
          <w:w w:val="101"/>
          <w:sz w:val="24"/>
          <w:szCs w:val="24"/>
        </w:rPr>
        <w:t xml:space="preserve"> </w:t>
      </w:r>
      <w:r>
        <w:rPr>
          <w:spacing w:val="-15"/>
          <w:sz w:val="24"/>
          <w:szCs w:val="24"/>
        </w:rPr>
        <w:t>月修订</w:t>
      </w:r>
      <w:r>
        <w:rPr>
          <w:spacing w:val="-19"/>
          <w:sz w:val="24"/>
          <w:szCs w:val="24"/>
        </w:rPr>
        <w:t>）；</w:t>
      </w:r>
    </w:p>
    <w:p w14:paraId="4831FD52">
      <w:pPr>
        <w:pStyle w:val="2"/>
        <w:spacing w:before="136" w:line="232"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2</w:t>
      </w:r>
      <w:r>
        <w:rPr>
          <w:spacing w:val="-10"/>
          <w:sz w:val="24"/>
          <w:szCs w:val="24"/>
        </w:rPr>
        <w:t>）《中华人民共和国环境影响评价法》（</w:t>
      </w:r>
      <w:r>
        <w:rPr>
          <w:rFonts w:ascii="Times New Roman" w:hAnsi="Times New Roman" w:eastAsia="Times New Roman" w:cs="Times New Roman"/>
          <w:spacing w:val="-10"/>
          <w:sz w:val="24"/>
          <w:szCs w:val="24"/>
        </w:rPr>
        <w:t xml:space="preserve">2018 </w:t>
      </w:r>
      <w:r>
        <w:rPr>
          <w:spacing w:val="-10"/>
          <w:sz w:val="24"/>
          <w:szCs w:val="24"/>
        </w:rPr>
        <w:t>年</w:t>
      </w:r>
      <w:r>
        <w:rPr>
          <w:spacing w:val="-32"/>
          <w:sz w:val="24"/>
          <w:szCs w:val="24"/>
        </w:rPr>
        <w:t xml:space="preserve"> </w:t>
      </w:r>
      <w:r>
        <w:rPr>
          <w:rFonts w:ascii="Times New Roman" w:hAnsi="Times New Roman" w:eastAsia="Times New Roman" w:cs="Times New Roman"/>
          <w:spacing w:val="-10"/>
          <w:sz w:val="24"/>
          <w:szCs w:val="24"/>
        </w:rPr>
        <w:t>12</w:t>
      </w:r>
      <w:r>
        <w:rPr>
          <w:rFonts w:ascii="Times New Roman" w:hAnsi="Times New Roman" w:eastAsia="Times New Roman" w:cs="Times New Roman"/>
          <w:spacing w:val="16"/>
          <w:sz w:val="24"/>
          <w:szCs w:val="24"/>
        </w:rPr>
        <w:t xml:space="preserve"> </w:t>
      </w:r>
      <w:r>
        <w:rPr>
          <w:spacing w:val="-10"/>
          <w:sz w:val="24"/>
          <w:szCs w:val="24"/>
        </w:rPr>
        <w:t>月修订</w:t>
      </w:r>
      <w:r>
        <w:rPr>
          <w:spacing w:val="-63"/>
          <w:sz w:val="24"/>
          <w:szCs w:val="24"/>
        </w:rPr>
        <w:t>）；</w:t>
      </w:r>
    </w:p>
    <w:p w14:paraId="69D4AAAB">
      <w:pPr>
        <w:pStyle w:val="2"/>
        <w:spacing w:before="139" w:line="233" w:lineRule="auto"/>
        <w:ind w:left="525"/>
        <w:rPr>
          <w:sz w:val="24"/>
          <w:szCs w:val="24"/>
        </w:rPr>
      </w:pPr>
      <w:r>
        <w:rPr>
          <w:spacing w:val="-15"/>
          <w:sz w:val="24"/>
          <w:szCs w:val="24"/>
        </w:rPr>
        <w:t>（</w:t>
      </w:r>
      <w:r>
        <w:rPr>
          <w:rFonts w:ascii="Times New Roman" w:hAnsi="Times New Roman" w:eastAsia="Times New Roman" w:cs="Times New Roman"/>
          <w:spacing w:val="-15"/>
          <w:sz w:val="24"/>
          <w:szCs w:val="24"/>
        </w:rPr>
        <w:t>3</w:t>
      </w:r>
      <w:r>
        <w:rPr>
          <w:spacing w:val="-15"/>
          <w:sz w:val="24"/>
          <w:szCs w:val="24"/>
        </w:rPr>
        <w:t>）《中华人民共和国水法》（</w:t>
      </w:r>
      <w:r>
        <w:rPr>
          <w:rFonts w:ascii="Times New Roman" w:hAnsi="Times New Roman" w:eastAsia="Times New Roman" w:cs="Times New Roman"/>
          <w:spacing w:val="-15"/>
          <w:sz w:val="24"/>
          <w:szCs w:val="24"/>
        </w:rPr>
        <w:t>2016</w:t>
      </w:r>
      <w:r>
        <w:rPr>
          <w:rFonts w:ascii="Times New Roman" w:hAnsi="Times New Roman" w:eastAsia="Times New Roman" w:cs="Times New Roman"/>
          <w:spacing w:val="11"/>
          <w:sz w:val="24"/>
          <w:szCs w:val="24"/>
        </w:rPr>
        <w:t xml:space="preserve"> </w:t>
      </w:r>
      <w:r>
        <w:rPr>
          <w:spacing w:val="-15"/>
          <w:sz w:val="24"/>
          <w:szCs w:val="24"/>
        </w:rPr>
        <w:t>年</w:t>
      </w:r>
      <w:r>
        <w:rPr>
          <w:spacing w:val="-51"/>
          <w:sz w:val="24"/>
          <w:szCs w:val="24"/>
        </w:rPr>
        <w:t xml:space="preserve"> </w:t>
      </w:r>
      <w:r>
        <w:rPr>
          <w:rFonts w:ascii="Times New Roman" w:hAnsi="Times New Roman" w:eastAsia="Times New Roman" w:cs="Times New Roman"/>
          <w:spacing w:val="-15"/>
          <w:sz w:val="24"/>
          <w:szCs w:val="24"/>
        </w:rPr>
        <w:t>7</w:t>
      </w:r>
      <w:r>
        <w:rPr>
          <w:rFonts w:ascii="Times New Roman" w:hAnsi="Times New Roman" w:eastAsia="Times New Roman" w:cs="Times New Roman"/>
          <w:spacing w:val="15"/>
          <w:w w:val="101"/>
          <w:sz w:val="24"/>
          <w:szCs w:val="24"/>
        </w:rPr>
        <w:t xml:space="preserve"> </w:t>
      </w:r>
      <w:r>
        <w:rPr>
          <w:spacing w:val="-15"/>
          <w:sz w:val="24"/>
          <w:szCs w:val="24"/>
        </w:rPr>
        <w:t>月修订</w:t>
      </w:r>
      <w:r>
        <w:rPr>
          <w:spacing w:val="-11"/>
          <w:sz w:val="24"/>
          <w:szCs w:val="24"/>
        </w:rPr>
        <w:t>）；</w:t>
      </w:r>
    </w:p>
    <w:p w14:paraId="6ED31540">
      <w:pPr>
        <w:pStyle w:val="2"/>
        <w:spacing w:before="136"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4</w:t>
      </w:r>
      <w:r>
        <w:rPr>
          <w:spacing w:val="-10"/>
          <w:sz w:val="24"/>
          <w:szCs w:val="24"/>
        </w:rPr>
        <w:t>）《中华人民共和国水污染防治法》（</w:t>
      </w:r>
      <w:r>
        <w:rPr>
          <w:rFonts w:ascii="Times New Roman" w:hAnsi="Times New Roman" w:eastAsia="Times New Roman" w:cs="Times New Roman"/>
          <w:spacing w:val="-10"/>
          <w:sz w:val="24"/>
          <w:szCs w:val="24"/>
        </w:rPr>
        <w:t xml:space="preserve">2017 </w:t>
      </w:r>
      <w:r>
        <w:rPr>
          <w:spacing w:val="-10"/>
          <w:sz w:val="24"/>
          <w:szCs w:val="24"/>
        </w:rPr>
        <w:t>年</w:t>
      </w:r>
      <w:r>
        <w:rPr>
          <w:spacing w:val="-50"/>
          <w:sz w:val="24"/>
          <w:szCs w:val="24"/>
        </w:rPr>
        <w:t xml:space="preserve"> </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16"/>
          <w:sz w:val="24"/>
          <w:szCs w:val="24"/>
        </w:rPr>
        <w:t xml:space="preserve"> </w:t>
      </w:r>
      <w:r>
        <w:rPr>
          <w:spacing w:val="-10"/>
          <w:sz w:val="24"/>
          <w:szCs w:val="24"/>
        </w:rPr>
        <w:t>月修订</w:t>
      </w:r>
      <w:r>
        <w:rPr>
          <w:spacing w:val="-64"/>
          <w:sz w:val="24"/>
          <w:szCs w:val="24"/>
        </w:rPr>
        <w:t>）；</w:t>
      </w:r>
    </w:p>
    <w:p w14:paraId="30EC8DC5">
      <w:pPr>
        <w:pStyle w:val="2"/>
        <w:spacing w:before="138"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5</w:t>
      </w:r>
      <w:r>
        <w:rPr>
          <w:spacing w:val="-10"/>
          <w:sz w:val="24"/>
          <w:szCs w:val="24"/>
        </w:rPr>
        <w:t>）《中华人民共和国大气污染防治法》（</w:t>
      </w:r>
      <w:r>
        <w:rPr>
          <w:rFonts w:ascii="Times New Roman" w:hAnsi="Times New Roman" w:eastAsia="Times New Roman" w:cs="Times New Roman"/>
          <w:spacing w:val="-10"/>
          <w:sz w:val="24"/>
          <w:szCs w:val="24"/>
        </w:rPr>
        <w:t xml:space="preserve">2018 </w:t>
      </w:r>
      <w:r>
        <w:rPr>
          <w:spacing w:val="-10"/>
          <w:sz w:val="24"/>
          <w:szCs w:val="24"/>
        </w:rPr>
        <w:t>年</w:t>
      </w:r>
      <w:r>
        <w:rPr>
          <w:spacing w:val="-31"/>
          <w:sz w:val="24"/>
          <w:szCs w:val="24"/>
        </w:rPr>
        <w:t xml:space="preserve"> </w:t>
      </w:r>
      <w:r>
        <w:rPr>
          <w:rFonts w:ascii="Times New Roman" w:hAnsi="Times New Roman" w:eastAsia="Times New Roman" w:cs="Times New Roman"/>
          <w:spacing w:val="-10"/>
          <w:sz w:val="24"/>
          <w:szCs w:val="24"/>
        </w:rPr>
        <w:t>10</w:t>
      </w:r>
      <w:r>
        <w:rPr>
          <w:rFonts w:ascii="Times New Roman" w:hAnsi="Times New Roman" w:eastAsia="Times New Roman" w:cs="Times New Roman"/>
          <w:spacing w:val="15"/>
          <w:sz w:val="24"/>
          <w:szCs w:val="24"/>
        </w:rPr>
        <w:t xml:space="preserve"> </w:t>
      </w:r>
      <w:r>
        <w:rPr>
          <w:spacing w:val="-10"/>
          <w:sz w:val="24"/>
          <w:szCs w:val="24"/>
        </w:rPr>
        <w:t>月修订</w:t>
      </w:r>
      <w:r>
        <w:rPr>
          <w:spacing w:val="-63"/>
          <w:sz w:val="24"/>
          <w:szCs w:val="24"/>
        </w:rPr>
        <w:t>）；</w:t>
      </w:r>
    </w:p>
    <w:p w14:paraId="1FB4E189">
      <w:pPr>
        <w:pStyle w:val="2"/>
        <w:spacing w:before="137"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6</w:t>
      </w:r>
      <w:r>
        <w:rPr>
          <w:spacing w:val="-12"/>
          <w:sz w:val="24"/>
          <w:szCs w:val="24"/>
        </w:rPr>
        <w:t>）《中华人民共和国环境噪声污染防治法》（</w:t>
      </w:r>
      <w:r>
        <w:rPr>
          <w:rFonts w:ascii="Times New Roman" w:hAnsi="Times New Roman" w:eastAsia="Times New Roman" w:cs="Times New Roman"/>
          <w:spacing w:val="-12"/>
          <w:sz w:val="24"/>
          <w:szCs w:val="24"/>
        </w:rPr>
        <w:t xml:space="preserve">2018 </w:t>
      </w:r>
      <w:r>
        <w:rPr>
          <w:spacing w:val="-12"/>
          <w:sz w:val="24"/>
          <w:szCs w:val="24"/>
        </w:rPr>
        <w:t>年</w:t>
      </w:r>
      <w:r>
        <w:rPr>
          <w:spacing w:val="-31"/>
          <w:sz w:val="24"/>
          <w:szCs w:val="24"/>
        </w:rPr>
        <w:t xml:space="preserve"> </w:t>
      </w:r>
      <w:r>
        <w:rPr>
          <w:rFonts w:ascii="Times New Roman" w:hAnsi="Times New Roman" w:eastAsia="Times New Roman" w:cs="Times New Roman"/>
          <w:spacing w:val="-12"/>
          <w:sz w:val="24"/>
          <w:szCs w:val="24"/>
        </w:rPr>
        <w:t>12</w:t>
      </w:r>
      <w:r>
        <w:rPr>
          <w:rFonts w:ascii="Times New Roman" w:hAnsi="Times New Roman" w:eastAsia="Times New Roman" w:cs="Times New Roman"/>
          <w:spacing w:val="15"/>
          <w:sz w:val="24"/>
          <w:szCs w:val="24"/>
        </w:rPr>
        <w:t xml:space="preserve"> </w:t>
      </w:r>
      <w:r>
        <w:rPr>
          <w:spacing w:val="-12"/>
          <w:sz w:val="24"/>
          <w:szCs w:val="24"/>
        </w:rPr>
        <w:t>月修订</w:t>
      </w:r>
      <w:r>
        <w:rPr>
          <w:spacing w:val="-20"/>
          <w:sz w:val="24"/>
          <w:szCs w:val="24"/>
        </w:rPr>
        <w:t>）；</w:t>
      </w:r>
    </w:p>
    <w:p w14:paraId="1EC5CF32">
      <w:pPr>
        <w:pStyle w:val="2"/>
        <w:spacing w:before="137"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7</w:t>
      </w:r>
      <w:r>
        <w:rPr>
          <w:spacing w:val="-11"/>
          <w:sz w:val="24"/>
          <w:szCs w:val="24"/>
        </w:rPr>
        <w:t>）《中华人民共和国固体废物污染环境防治法》（</w:t>
      </w:r>
      <w:r>
        <w:rPr>
          <w:rFonts w:ascii="Times New Roman" w:hAnsi="Times New Roman" w:eastAsia="Times New Roman" w:cs="Times New Roman"/>
          <w:spacing w:val="-11"/>
          <w:sz w:val="24"/>
          <w:szCs w:val="24"/>
        </w:rPr>
        <w:t xml:space="preserve">2020 </w:t>
      </w:r>
      <w:r>
        <w:rPr>
          <w:spacing w:val="-11"/>
          <w:sz w:val="24"/>
          <w:szCs w:val="24"/>
        </w:rPr>
        <w:t>年</w:t>
      </w:r>
      <w:r>
        <w:rPr>
          <w:spacing w:val="-56"/>
          <w:sz w:val="24"/>
          <w:szCs w:val="24"/>
        </w:rPr>
        <w:t xml:space="preserve"> </w:t>
      </w:r>
      <w:r>
        <w:rPr>
          <w:rFonts w:ascii="Times New Roman" w:hAnsi="Times New Roman" w:eastAsia="Times New Roman" w:cs="Times New Roman"/>
          <w:spacing w:val="-11"/>
          <w:sz w:val="24"/>
          <w:szCs w:val="24"/>
        </w:rPr>
        <w:t>4</w:t>
      </w:r>
      <w:r>
        <w:rPr>
          <w:rFonts w:ascii="Times New Roman" w:hAnsi="Times New Roman" w:eastAsia="Times New Roman" w:cs="Times New Roman"/>
          <w:spacing w:val="16"/>
          <w:sz w:val="24"/>
          <w:szCs w:val="24"/>
        </w:rPr>
        <w:t xml:space="preserve"> </w:t>
      </w:r>
      <w:r>
        <w:rPr>
          <w:spacing w:val="-11"/>
          <w:sz w:val="24"/>
          <w:szCs w:val="24"/>
        </w:rPr>
        <w:t>月修订</w:t>
      </w:r>
      <w:r>
        <w:rPr>
          <w:spacing w:val="-19"/>
          <w:sz w:val="24"/>
          <w:szCs w:val="24"/>
        </w:rPr>
        <w:t>）；</w:t>
      </w:r>
    </w:p>
    <w:p w14:paraId="7F085324">
      <w:pPr>
        <w:pStyle w:val="2"/>
        <w:spacing w:before="137" w:line="233" w:lineRule="auto"/>
        <w:ind w:left="525"/>
        <w:rPr>
          <w:sz w:val="24"/>
          <w:szCs w:val="24"/>
        </w:rPr>
      </w:pPr>
      <w:r>
        <w:rPr>
          <w:spacing w:val="-13"/>
          <w:sz w:val="24"/>
          <w:szCs w:val="24"/>
        </w:rPr>
        <w:t>（</w:t>
      </w:r>
      <w:r>
        <w:rPr>
          <w:rFonts w:ascii="Times New Roman" w:hAnsi="Times New Roman" w:eastAsia="Times New Roman" w:cs="Times New Roman"/>
          <w:spacing w:val="-13"/>
          <w:sz w:val="24"/>
          <w:szCs w:val="24"/>
        </w:rPr>
        <w:t>8</w:t>
      </w:r>
      <w:r>
        <w:rPr>
          <w:spacing w:val="-13"/>
          <w:sz w:val="24"/>
          <w:szCs w:val="24"/>
        </w:rPr>
        <w:t>）《中华人民共和国水土保持法》（</w:t>
      </w:r>
      <w:r>
        <w:rPr>
          <w:rFonts w:ascii="Times New Roman" w:hAnsi="Times New Roman" w:eastAsia="Times New Roman" w:cs="Times New Roman"/>
          <w:spacing w:val="-13"/>
          <w:sz w:val="24"/>
          <w:szCs w:val="24"/>
        </w:rPr>
        <w:t xml:space="preserve">2010 </w:t>
      </w:r>
      <w:r>
        <w:rPr>
          <w:spacing w:val="-13"/>
          <w:sz w:val="24"/>
          <w:szCs w:val="24"/>
        </w:rPr>
        <w:t>年</w:t>
      </w:r>
      <w:r>
        <w:rPr>
          <w:spacing w:val="-31"/>
          <w:sz w:val="24"/>
          <w:szCs w:val="24"/>
        </w:rPr>
        <w:t xml:space="preserve"> </w:t>
      </w:r>
      <w:r>
        <w:rPr>
          <w:rFonts w:ascii="Times New Roman" w:hAnsi="Times New Roman" w:eastAsia="Times New Roman" w:cs="Times New Roman"/>
          <w:spacing w:val="-13"/>
          <w:sz w:val="24"/>
          <w:szCs w:val="24"/>
        </w:rPr>
        <w:t>12</w:t>
      </w:r>
      <w:r>
        <w:rPr>
          <w:rFonts w:ascii="Times New Roman" w:hAnsi="Times New Roman" w:eastAsia="Times New Roman" w:cs="Times New Roman"/>
          <w:spacing w:val="15"/>
          <w:w w:val="101"/>
          <w:sz w:val="24"/>
          <w:szCs w:val="24"/>
        </w:rPr>
        <w:t xml:space="preserve"> </w:t>
      </w:r>
      <w:r>
        <w:rPr>
          <w:spacing w:val="-13"/>
          <w:sz w:val="24"/>
          <w:szCs w:val="24"/>
        </w:rPr>
        <w:t>月修订</w:t>
      </w:r>
      <w:r>
        <w:rPr>
          <w:spacing w:val="-7"/>
          <w:sz w:val="24"/>
          <w:szCs w:val="24"/>
        </w:rPr>
        <w:t>）；</w:t>
      </w:r>
    </w:p>
    <w:p w14:paraId="337B9F73">
      <w:pPr>
        <w:pStyle w:val="2"/>
        <w:spacing w:before="138"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9</w:t>
      </w:r>
      <w:r>
        <w:rPr>
          <w:spacing w:val="-10"/>
          <w:sz w:val="24"/>
          <w:szCs w:val="24"/>
        </w:rPr>
        <w:t>）《中华人民共和国土地管理法》（</w:t>
      </w:r>
      <w:r>
        <w:rPr>
          <w:rFonts w:ascii="Times New Roman" w:hAnsi="Times New Roman" w:eastAsia="Times New Roman" w:cs="Times New Roman"/>
          <w:spacing w:val="-10"/>
          <w:sz w:val="24"/>
          <w:szCs w:val="24"/>
        </w:rPr>
        <w:t>2019</w:t>
      </w:r>
      <w:r>
        <w:rPr>
          <w:rFonts w:ascii="Times New Roman" w:hAnsi="Times New Roman" w:eastAsia="Times New Roman" w:cs="Times New Roman"/>
          <w:spacing w:val="-11"/>
          <w:sz w:val="24"/>
          <w:szCs w:val="24"/>
        </w:rPr>
        <w:t xml:space="preserve"> </w:t>
      </w:r>
      <w:r>
        <w:rPr>
          <w:spacing w:val="-11"/>
          <w:sz w:val="24"/>
          <w:szCs w:val="24"/>
        </w:rPr>
        <w:t>年</w:t>
      </w:r>
      <w:r>
        <w:rPr>
          <w:spacing w:val="-43"/>
          <w:sz w:val="24"/>
          <w:szCs w:val="24"/>
        </w:rPr>
        <w:t xml:space="preserve"> </w:t>
      </w:r>
      <w:r>
        <w:rPr>
          <w:rFonts w:ascii="Times New Roman" w:hAnsi="Times New Roman" w:eastAsia="Times New Roman" w:cs="Times New Roman"/>
          <w:spacing w:val="-11"/>
          <w:sz w:val="24"/>
          <w:szCs w:val="24"/>
        </w:rPr>
        <w:t>8</w:t>
      </w:r>
      <w:r>
        <w:rPr>
          <w:rFonts w:ascii="Times New Roman" w:hAnsi="Times New Roman" w:eastAsia="Times New Roman" w:cs="Times New Roman"/>
          <w:spacing w:val="15"/>
          <w:sz w:val="24"/>
          <w:szCs w:val="24"/>
        </w:rPr>
        <w:t xml:space="preserve"> </w:t>
      </w:r>
      <w:r>
        <w:rPr>
          <w:spacing w:val="-11"/>
          <w:sz w:val="24"/>
          <w:szCs w:val="24"/>
        </w:rPr>
        <w:t>月修订</w:t>
      </w:r>
      <w:r>
        <w:rPr>
          <w:spacing w:val="-62"/>
          <w:w w:val="97"/>
          <w:sz w:val="24"/>
          <w:szCs w:val="24"/>
        </w:rPr>
        <w:t>）；</w:t>
      </w:r>
    </w:p>
    <w:p w14:paraId="60F7065B">
      <w:pPr>
        <w:pStyle w:val="2"/>
        <w:spacing w:before="136"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10</w:t>
      </w:r>
      <w:r>
        <w:rPr>
          <w:spacing w:val="-11"/>
          <w:sz w:val="24"/>
          <w:szCs w:val="24"/>
        </w:rPr>
        <w:t>）《中华人民共和国森林法》（</w:t>
      </w:r>
      <w:r>
        <w:rPr>
          <w:rFonts w:ascii="Times New Roman" w:hAnsi="Times New Roman" w:eastAsia="Times New Roman" w:cs="Times New Roman"/>
          <w:spacing w:val="-11"/>
          <w:sz w:val="24"/>
          <w:szCs w:val="24"/>
        </w:rPr>
        <w:t xml:space="preserve">2019 </w:t>
      </w:r>
      <w:r>
        <w:rPr>
          <w:spacing w:val="-11"/>
          <w:sz w:val="24"/>
          <w:szCs w:val="24"/>
        </w:rPr>
        <w:t>年</w:t>
      </w:r>
      <w:r>
        <w:rPr>
          <w:spacing w:val="-32"/>
          <w:sz w:val="24"/>
          <w:szCs w:val="24"/>
        </w:rPr>
        <w:t xml:space="preserve"> </w:t>
      </w:r>
      <w:r>
        <w:rPr>
          <w:rFonts w:ascii="Times New Roman" w:hAnsi="Times New Roman" w:eastAsia="Times New Roman" w:cs="Times New Roman"/>
          <w:spacing w:val="-11"/>
          <w:sz w:val="24"/>
          <w:szCs w:val="24"/>
        </w:rPr>
        <w:t>12</w:t>
      </w:r>
      <w:r>
        <w:rPr>
          <w:rFonts w:ascii="Times New Roman" w:hAnsi="Times New Roman" w:eastAsia="Times New Roman" w:cs="Times New Roman"/>
          <w:spacing w:val="16"/>
          <w:sz w:val="24"/>
          <w:szCs w:val="24"/>
        </w:rPr>
        <w:t xml:space="preserve"> </w:t>
      </w:r>
      <w:r>
        <w:rPr>
          <w:spacing w:val="-11"/>
          <w:sz w:val="24"/>
          <w:szCs w:val="24"/>
        </w:rPr>
        <w:t>月修订</w:t>
      </w:r>
      <w:r>
        <w:rPr>
          <w:spacing w:val="-64"/>
          <w:sz w:val="24"/>
          <w:szCs w:val="24"/>
        </w:rPr>
        <w:t>）；</w:t>
      </w:r>
    </w:p>
    <w:p w14:paraId="27AE62C6">
      <w:pPr>
        <w:pStyle w:val="2"/>
        <w:spacing w:before="138"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11</w:t>
      </w:r>
      <w:r>
        <w:rPr>
          <w:spacing w:val="-11"/>
          <w:sz w:val="24"/>
          <w:szCs w:val="24"/>
        </w:rPr>
        <w:t>）《中华人民共和国渔业法》（</w:t>
      </w:r>
      <w:r>
        <w:rPr>
          <w:rFonts w:ascii="Times New Roman" w:hAnsi="Times New Roman" w:eastAsia="Times New Roman" w:cs="Times New Roman"/>
          <w:spacing w:val="-11"/>
          <w:sz w:val="24"/>
          <w:szCs w:val="24"/>
        </w:rPr>
        <w:t xml:space="preserve">2013 </w:t>
      </w:r>
      <w:r>
        <w:rPr>
          <w:spacing w:val="-11"/>
          <w:sz w:val="24"/>
          <w:szCs w:val="24"/>
        </w:rPr>
        <w:t>年</w:t>
      </w:r>
      <w:r>
        <w:rPr>
          <w:spacing w:val="-30"/>
          <w:sz w:val="24"/>
          <w:szCs w:val="24"/>
        </w:rPr>
        <w:t xml:space="preserve"> </w:t>
      </w:r>
      <w:r>
        <w:rPr>
          <w:rFonts w:ascii="Times New Roman" w:hAnsi="Times New Roman" w:eastAsia="Times New Roman" w:cs="Times New Roman"/>
          <w:spacing w:val="-11"/>
          <w:sz w:val="24"/>
          <w:szCs w:val="24"/>
        </w:rPr>
        <w:t>12</w:t>
      </w:r>
      <w:r>
        <w:rPr>
          <w:rFonts w:ascii="Times New Roman" w:hAnsi="Times New Roman" w:eastAsia="Times New Roman" w:cs="Times New Roman"/>
          <w:spacing w:val="16"/>
          <w:sz w:val="24"/>
          <w:szCs w:val="24"/>
        </w:rPr>
        <w:t xml:space="preserve"> </w:t>
      </w:r>
      <w:r>
        <w:rPr>
          <w:spacing w:val="-11"/>
          <w:sz w:val="24"/>
          <w:szCs w:val="24"/>
        </w:rPr>
        <w:t>月修订</w:t>
      </w:r>
      <w:r>
        <w:rPr>
          <w:spacing w:val="-62"/>
          <w:w w:val="97"/>
          <w:sz w:val="24"/>
          <w:szCs w:val="24"/>
        </w:rPr>
        <w:t>）；</w:t>
      </w:r>
    </w:p>
    <w:p w14:paraId="2371B50C">
      <w:pPr>
        <w:pStyle w:val="2"/>
        <w:spacing w:before="137" w:line="233" w:lineRule="auto"/>
        <w:ind w:left="525"/>
        <w:rPr>
          <w:sz w:val="24"/>
          <w:szCs w:val="24"/>
        </w:rPr>
      </w:pPr>
      <w:r>
        <w:rPr>
          <w:spacing w:val="-9"/>
          <w:sz w:val="24"/>
          <w:szCs w:val="24"/>
        </w:rPr>
        <w:t>（</w:t>
      </w:r>
      <w:r>
        <w:rPr>
          <w:rFonts w:ascii="Times New Roman" w:hAnsi="Times New Roman" w:eastAsia="Times New Roman" w:cs="Times New Roman"/>
          <w:spacing w:val="-9"/>
          <w:sz w:val="24"/>
          <w:szCs w:val="24"/>
        </w:rPr>
        <w:t>12</w:t>
      </w:r>
      <w:r>
        <w:rPr>
          <w:spacing w:val="-9"/>
          <w:sz w:val="24"/>
          <w:szCs w:val="24"/>
        </w:rPr>
        <w:t>）《中华人民共和国野生动物保护法》</w:t>
      </w:r>
      <w:r>
        <w:rPr>
          <w:spacing w:val="-10"/>
          <w:sz w:val="24"/>
          <w:szCs w:val="24"/>
        </w:rPr>
        <w:t>（</w:t>
      </w:r>
      <w:r>
        <w:rPr>
          <w:rFonts w:ascii="Times New Roman" w:hAnsi="Times New Roman" w:eastAsia="Times New Roman" w:cs="Times New Roman"/>
          <w:spacing w:val="-10"/>
          <w:sz w:val="24"/>
          <w:szCs w:val="24"/>
        </w:rPr>
        <w:t xml:space="preserve">2018 </w:t>
      </w:r>
      <w:r>
        <w:rPr>
          <w:spacing w:val="-10"/>
          <w:sz w:val="24"/>
          <w:szCs w:val="24"/>
        </w:rPr>
        <w:t>年</w:t>
      </w:r>
      <w:r>
        <w:rPr>
          <w:spacing w:val="-29"/>
          <w:sz w:val="24"/>
          <w:szCs w:val="24"/>
        </w:rPr>
        <w:t xml:space="preserve"> </w:t>
      </w:r>
      <w:r>
        <w:rPr>
          <w:rFonts w:ascii="Times New Roman" w:hAnsi="Times New Roman" w:eastAsia="Times New Roman" w:cs="Times New Roman"/>
          <w:spacing w:val="-10"/>
          <w:sz w:val="24"/>
          <w:szCs w:val="24"/>
        </w:rPr>
        <w:t>10</w:t>
      </w:r>
      <w:r>
        <w:rPr>
          <w:rFonts w:ascii="Times New Roman" w:hAnsi="Times New Roman" w:eastAsia="Times New Roman" w:cs="Times New Roman"/>
          <w:spacing w:val="15"/>
          <w:sz w:val="24"/>
          <w:szCs w:val="24"/>
        </w:rPr>
        <w:t xml:space="preserve"> </w:t>
      </w:r>
      <w:r>
        <w:rPr>
          <w:spacing w:val="-10"/>
          <w:sz w:val="24"/>
          <w:szCs w:val="24"/>
        </w:rPr>
        <w:t>月修订</w:t>
      </w:r>
      <w:r>
        <w:rPr>
          <w:spacing w:val="-62"/>
          <w:w w:val="97"/>
          <w:sz w:val="24"/>
          <w:szCs w:val="24"/>
        </w:rPr>
        <w:t>）；</w:t>
      </w:r>
    </w:p>
    <w:p w14:paraId="61BE3304">
      <w:pPr>
        <w:pStyle w:val="2"/>
        <w:spacing w:before="137" w:line="233" w:lineRule="auto"/>
        <w:ind w:left="525"/>
        <w:rPr>
          <w:sz w:val="24"/>
          <w:szCs w:val="24"/>
        </w:rPr>
      </w:pPr>
      <w:r>
        <w:rPr>
          <w:spacing w:val="-13"/>
          <w:sz w:val="24"/>
          <w:szCs w:val="24"/>
        </w:rPr>
        <w:t>（</w:t>
      </w:r>
      <w:r>
        <w:rPr>
          <w:rFonts w:ascii="Times New Roman" w:hAnsi="Times New Roman" w:eastAsia="Times New Roman" w:cs="Times New Roman"/>
          <w:spacing w:val="-13"/>
          <w:sz w:val="24"/>
          <w:szCs w:val="24"/>
        </w:rPr>
        <w:t>13</w:t>
      </w:r>
      <w:r>
        <w:rPr>
          <w:spacing w:val="-13"/>
          <w:sz w:val="24"/>
          <w:szCs w:val="24"/>
        </w:rPr>
        <w:t>）《中华人民共和国文物保护法》（</w:t>
      </w:r>
      <w:r>
        <w:rPr>
          <w:rFonts w:ascii="Times New Roman" w:hAnsi="Times New Roman" w:eastAsia="Times New Roman" w:cs="Times New Roman"/>
          <w:spacing w:val="-13"/>
          <w:sz w:val="24"/>
          <w:szCs w:val="24"/>
        </w:rPr>
        <w:t xml:space="preserve">2017 </w:t>
      </w:r>
      <w:r>
        <w:rPr>
          <w:spacing w:val="-13"/>
          <w:sz w:val="24"/>
          <w:szCs w:val="24"/>
        </w:rPr>
        <w:t>年</w:t>
      </w:r>
      <w:r>
        <w:rPr>
          <w:spacing w:val="-30"/>
          <w:sz w:val="24"/>
          <w:szCs w:val="24"/>
        </w:rPr>
        <w:t xml:space="preserve"> </w:t>
      </w:r>
      <w:r>
        <w:rPr>
          <w:rFonts w:ascii="Times New Roman" w:hAnsi="Times New Roman" w:eastAsia="Times New Roman" w:cs="Times New Roman"/>
          <w:spacing w:val="-13"/>
          <w:sz w:val="24"/>
          <w:szCs w:val="24"/>
        </w:rPr>
        <w:t>11</w:t>
      </w:r>
      <w:r>
        <w:rPr>
          <w:rFonts w:ascii="Times New Roman" w:hAnsi="Times New Roman" w:eastAsia="Times New Roman" w:cs="Times New Roman"/>
          <w:spacing w:val="15"/>
          <w:sz w:val="24"/>
          <w:szCs w:val="24"/>
        </w:rPr>
        <w:t xml:space="preserve"> </w:t>
      </w:r>
      <w:r>
        <w:rPr>
          <w:spacing w:val="-13"/>
          <w:sz w:val="24"/>
          <w:szCs w:val="24"/>
        </w:rPr>
        <w:t>月修订</w:t>
      </w:r>
      <w:r>
        <w:rPr>
          <w:spacing w:val="-5"/>
          <w:sz w:val="24"/>
          <w:szCs w:val="24"/>
        </w:rPr>
        <w:t>）；</w:t>
      </w:r>
    </w:p>
    <w:p w14:paraId="34339F71">
      <w:pPr>
        <w:pStyle w:val="2"/>
        <w:spacing w:before="137" w:line="233" w:lineRule="auto"/>
        <w:ind w:left="525"/>
        <w:rPr>
          <w:sz w:val="24"/>
          <w:szCs w:val="24"/>
        </w:rPr>
      </w:pPr>
      <w:r>
        <w:rPr>
          <w:spacing w:val="-13"/>
          <w:sz w:val="24"/>
          <w:szCs w:val="24"/>
        </w:rPr>
        <w:t>（</w:t>
      </w:r>
      <w:r>
        <w:rPr>
          <w:rFonts w:ascii="Times New Roman" w:hAnsi="Times New Roman" w:eastAsia="Times New Roman" w:cs="Times New Roman"/>
          <w:spacing w:val="-13"/>
          <w:sz w:val="24"/>
          <w:szCs w:val="24"/>
        </w:rPr>
        <w:t>14</w:t>
      </w:r>
      <w:r>
        <w:rPr>
          <w:spacing w:val="-13"/>
          <w:sz w:val="24"/>
          <w:szCs w:val="24"/>
        </w:rPr>
        <w:t>）《中华人民共和国突发事件应对法》（</w:t>
      </w:r>
      <w:r>
        <w:rPr>
          <w:rFonts w:ascii="Times New Roman" w:hAnsi="Times New Roman" w:eastAsia="Times New Roman" w:cs="Times New Roman"/>
          <w:spacing w:val="-13"/>
          <w:sz w:val="24"/>
          <w:szCs w:val="24"/>
        </w:rPr>
        <w:t>2007</w:t>
      </w:r>
      <w:r>
        <w:rPr>
          <w:rFonts w:ascii="Times New Roman" w:hAnsi="Times New Roman" w:eastAsia="Times New Roman" w:cs="Times New Roman"/>
          <w:spacing w:val="17"/>
          <w:sz w:val="24"/>
          <w:szCs w:val="24"/>
        </w:rPr>
        <w:t xml:space="preserve"> </w:t>
      </w:r>
      <w:r>
        <w:rPr>
          <w:spacing w:val="-13"/>
          <w:sz w:val="24"/>
          <w:szCs w:val="24"/>
        </w:rPr>
        <w:t>年</w:t>
      </w:r>
      <w:r>
        <w:rPr>
          <w:spacing w:val="-46"/>
          <w:sz w:val="24"/>
          <w:szCs w:val="24"/>
        </w:rPr>
        <w:t xml:space="preserve"> </w:t>
      </w:r>
      <w:r>
        <w:rPr>
          <w:rFonts w:ascii="Times New Roman" w:hAnsi="Times New Roman" w:eastAsia="Times New Roman" w:cs="Times New Roman"/>
          <w:spacing w:val="-13"/>
          <w:sz w:val="24"/>
          <w:szCs w:val="24"/>
        </w:rPr>
        <w:t>8</w:t>
      </w:r>
      <w:r>
        <w:rPr>
          <w:rFonts w:ascii="Times New Roman" w:hAnsi="Times New Roman" w:eastAsia="Times New Roman" w:cs="Times New Roman"/>
          <w:spacing w:val="15"/>
          <w:w w:val="101"/>
          <w:sz w:val="24"/>
          <w:szCs w:val="24"/>
        </w:rPr>
        <w:t xml:space="preserve"> </w:t>
      </w:r>
      <w:r>
        <w:rPr>
          <w:spacing w:val="-13"/>
          <w:sz w:val="24"/>
          <w:szCs w:val="24"/>
        </w:rPr>
        <w:t>月）。</w:t>
      </w:r>
    </w:p>
    <w:p w14:paraId="0F7B8EDC">
      <w:pPr>
        <w:pStyle w:val="2"/>
        <w:spacing w:before="223" w:line="227" w:lineRule="auto"/>
        <w:ind w:left="33"/>
        <w:rPr>
          <w:sz w:val="27"/>
          <w:szCs w:val="27"/>
        </w:rPr>
      </w:pPr>
      <w:r>
        <w:rPr>
          <w:rFonts w:ascii="Arial" w:hAnsi="Arial" w:eastAsia="Arial" w:cs="Arial"/>
          <w:spacing w:val="10"/>
          <w:position w:val="1"/>
          <w:sz w:val="21"/>
          <w:szCs w:val="21"/>
        </w:rPr>
        <w:t>2.1.2</w:t>
      </w:r>
      <w:r>
        <w:rPr>
          <w:rFonts w:ascii="Arial" w:hAnsi="Arial" w:eastAsia="Arial" w:cs="Arial"/>
          <w:spacing w:val="3"/>
          <w:position w:val="1"/>
          <w:sz w:val="21"/>
          <w:szCs w:val="21"/>
        </w:rPr>
        <w:t xml:space="preserve">     </w:t>
      </w:r>
      <w:r>
        <w:rPr>
          <w:b/>
          <w:bCs/>
          <w:spacing w:val="10"/>
          <w:position w:val="-1"/>
          <w:sz w:val="27"/>
          <w:szCs w:val="27"/>
        </w:rPr>
        <w:t>行政法规</w:t>
      </w:r>
    </w:p>
    <w:p w14:paraId="732871FF">
      <w:pPr>
        <w:pStyle w:val="2"/>
        <w:spacing w:before="262" w:line="233" w:lineRule="auto"/>
        <w:ind w:left="525"/>
        <w:rPr>
          <w:sz w:val="24"/>
          <w:szCs w:val="24"/>
        </w:rPr>
      </w:pPr>
      <w:r>
        <w:rPr>
          <w:spacing w:val="-14"/>
          <w:sz w:val="24"/>
          <w:szCs w:val="24"/>
        </w:rPr>
        <w:t>（</w:t>
      </w:r>
      <w:r>
        <w:rPr>
          <w:rFonts w:ascii="Times New Roman" w:hAnsi="Times New Roman" w:eastAsia="Times New Roman" w:cs="Times New Roman"/>
          <w:spacing w:val="-14"/>
          <w:sz w:val="24"/>
          <w:szCs w:val="24"/>
        </w:rPr>
        <w:t>1</w:t>
      </w:r>
      <w:r>
        <w:rPr>
          <w:spacing w:val="-14"/>
          <w:sz w:val="24"/>
          <w:szCs w:val="24"/>
        </w:rPr>
        <w:t>）《建设项目环境保护管理条例》（</w:t>
      </w:r>
      <w:r>
        <w:rPr>
          <w:rFonts w:ascii="Times New Roman" w:hAnsi="Times New Roman" w:eastAsia="Times New Roman" w:cs="Times New Roman"/>
          <w:spacing w:val="-14"/>
          <w:sz w:val="24"/>
          <w:szCs w:val="24"/>
        </w:rPr>
        <w:t>2017</w:t>
      </w:r>
      <w:r>
        <w:rPr>
          <w:rFonts w:ascii="Times New Roman" w:hAnsi="Times New Roman" w:eastAsia="Times New Roman" w:cs="Times New Roman"/>
          <w:spacing w:val="12"/>
          <w:sz w:val="24"/>
          <w:szCs w:val="24"/>
        </w:rPr>
        <w:t xml:space="preserve"> </w:t>
      </w:r>
      <w:r>
        <w:rPr>
          <w:spacing w:val="-14"/>
          <w:sz w:val="24"/>
          <w:szCs w:val="24"/>
        </w:rPr>
        <w:t>年</w:t>
      </w:r>
      <w:r>
        <w:rPr>
          <w:spacing w:val="-51"/>
          <w:sz w:val="24"/>
          <w:szCs w:val="24"/>
        </w:rPr>
        <w:t xml:space="preserve"> </w:t>
      </w:r>
      <w:r>
        <w:rPr>
          <w:rFonts w:ascii="Times New Roman" w:hAnsi="Times New Roman" w:eastAsia="Times New Roman" w:cs="Times New Roman"/>
          <w:spacing w:val="-15"/>
          <w:sz w:val="24"/>
          <w:szCs w:val="24"/>
        </w:rPr>
        <w:t>7</w:t>
      </w:r>
      <w:r>
        <w:rPr>
          <w:rFonts w:ascii="Times New Roman" w:hAnsi="Times New Roman" w:eastAsia="Times New Roman" w:cs="Times New Roman"/>
          <w:spacing w:val="15"/>
          <w:sz w:val="24"/>
          <w:szCs w:val="24"/>
        </w:rPr>
        <w:t xml:space="preserve"> </w:t>
      </w:r>
      <w:r>
        <w:rPr>
          <w:spacing w:val="-15"/>
          <w:sz w:val="24"/>
          <w:szCs w:val="24"/>
        </w:rPr>
        <w:t>月修订</w:t>
      </w:r>
      <w:r>
        <w:rPr>
          <w:spacing w:val="-23"/>
          <w:sz w:val="24"/>
          <w:szCs w:val="24"/>
        </w:rPr>
        <w:t>）；</w:t>
      </w:r>
    </w:p>
    <w:p w14:paraId="0BE617DD">
      <w:pPr>
        <w:pStyle w:val="2"/>
        <w:spacing w:before="138"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2</w:t>
      </w:r>
      <w:r>
        <w:rPr>
          <w:spacing w:val="-10"/>
          <w:sz w:val="24"/>
          <w:szCs w:val="24"/>
        </w:rPr>
        <w:t>）《中华人民共和国森林法实施条例》（</w:t>
      </w:r>
      <w:r>
        <w:rPr>
          <w:rFonts w:ascii="Times New Roman" w:hAnsi="Times New Roman" w:eastAsia="Times New Roman" w:cs="Times New Roman"/>
          <w:spacing w:val="-10"/>
          <w:sz w:val="24"/>
          <w:szCs w:val="24"/>
        </w:rPr>
        <w:t xml:space="preserve">2018 </w:t>
      </w:r>
      <w:r>
        <w:rPr>
          <w:spacing w:val="-10"/>
          <w:sz w:val="24"/>
          <w:szCs w:val="24"/>
        </w:rPr>
        <w:t>年</w:t>
      </w:r>
      <w:r>
        <w:rPr>
          <w:spacing w:val="-50"/>
          <w:sz w:val="24"/>
          <w:szCs w:val="24"/>
        </w:rPr>
        <w:t xml:space="preserve"> </w:t>
      </w:r>
      <w:r>
        <w:rPr>
          <w:rFonts w:ascii="Times New Roman" w:hAnsi="Times New Roman" w:eastAsia="Times New Roman" w:cs="Times New Roman"/>
          <w:spacing w:val="-10"/>
          <w:sz w:val="24"/>
          <w:szCs w:val="24"/>
        </w:rPr>
        <w:t>3</w:t>
      </w:r>
      <w:r>
        <w:rPr>
          <w:rFonts w:ascii="Times New Roman" w:hAnsi="Times New Roman" w:eastAsia="Times New Roman" w:cs="Times New Roman"/>
          <w:spacing w:val="16"/>
          <w:sz w:val="24"/>
          <w:szCs w:val="24"/>
        </w:rPr>
        <w:t xml:space="preserve"> </w:t>
      </w:r>
      <w:r>
        <w:rPr>
          <w:spacing w:val="-10"/>
          <w:sz w:val="24"/>
          <w:szCs w:val="24"/>
        </w:rPr>
        <w:t>月修订</w:t>
      </w:r>
      <w:r>
        <w:rPr>
          <w:spacing w:val="-59"/>
          <w:sz w:val="24"/>
          <w:szCs w:val="24"/>
        </w:rPr>
        <w:t>）；</w:t>
      </w:r>
    </w:p>
    <w:p w14:paraId="4F534B88">
      <w:pPr>
        <w:pStyle w:val="2"/>
        <w:spacing w:before="137" w:line="233" w:lineRule="auto"/>
        <w:ind w:left="525"/>
        <w:rPr>
          <w:sz w:val="24"/>
          <w:szCs w:val="24"/>
        </w:rPr>
      </w:pPr>
      <w:r>
        <w:rPr>
          <w:spacing w:val="-9"/>
          <w:sz w:val="24"/>
          <w:szCs w:val="24"/>
        </w:rPr>
        <w:t>（</w:t>
      </w:r>
      <w:r>
        <w:rPr>
          <w:rFonts w:ascii="Times New Roman" w:hAnsi="Times New Roman" w:eastAsia="Times New Roman" w:cs="Times New Roman"/>
          <w:spacing w:val="-9"/>
          <w:sz w:val="24"/>
          <w:szCs w:val="24"/>
        </w:rPr>
        <w:t>3</w:t>
      </w:r>
      <w:r>
        <w:rPr>
          <w:spacing w:val="-9"/>
          <w:sz w:val="24"/>
          <w:szCs w:val="24"/>
        </w:rPr>
        <w:t>）《中华人民共和国野生植物保护条例》</w:t>
      </w:r>
      <w:r>
        <w:rPr>
          <w:spacing w:val="-10"/>
          <w:sz w:val="24"/>
          <w:szCs w:val="24"/>
        </w:rPr>
        <w:t>（</w:t>
      </w:r>
      <w:r>
        <w:rPr>
          <w:rFonts w:ascii="Times New Roman" w:hAnsi="Times New Roman" w:eastAsia="Times New Roman" w:cs="Times New Roman"/>
          <w:spacing w:val="-10"/>
          <w:sz w:val="24"/>
          <w:szCs w:val="24"/>
        </w:rPr>
        <w:t xml:space="preserve">2017 </w:t>
      </w:r>
      <w:r>
        <w:rPr>
          <w:spacing w:val="-10"/>
          <w:sz w:val="24"/>
          <w:szCs w:val="24"/>
        </w:rPr>
        <w:t>年</w:t>
      </w:r>
      <w:r>
        <w:rPr>
          <w:spacing w:val="-29"/>
          <w:sz w:val="24"/>
          <w:szCs w:val="24"/>
        </w:rPr>
        <w:t xml:space="preserve"> </w:t>
      </w:r>
      <w:r>
        <w:rPr>
          <w:rFonts w:ascii="Times New Roman" w:hAnsi="Times New Roman" w:eastAsia="Times New Roman" w:cs="Times New Roman"/>
          <w:spacing w:val="-10"/>
          <w:sz w:val="24"/>
          <w:szCs w:val="24"/>
        </w:rPr>
        <w:t>10</w:t>
      </w:r>
      <w:r>
        <w:rPr>
          <w:rFonts w:ascii="Times New Roman" w:hAnsi="Times New Roman" w:eastAsia="Times New Roman" w:cs="Times New Roman"/>
          <w:spacing w:val="15"/>
          <w:sz w:val="24"/>
          <w:szCs w:val="24"/>
        </w:rPr>
        <w:t xml:space="preserve"> </w:t>
      </w:r>
      <w:r>
        <w:rPr>
          <w:spacing w:val="-10"/>
          <w:sz w:val="24"/>
          <w:szCs w:val="24"/>
        </w:rPr>
        <w:t>月修订</w:t>
      </w:r>
      <w:r>
        <w:rPr>
          <w:spacing w:val="-62"/>
          <w:w w:val="97"/>
          <w:sz w:val="24"/>
          <w:szCs w:val="24"/>
        </w:rPr>
        <w:t>）；</w:t>
      </w:r>
    </w:p>
    <w:p w14:paraId="59F51116">
      <w:pPr>
        <w:pStyle w:val="2"/>
        <w:spacing w:before="136"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4</w:t>
      </w:r>
      <w:r>
        <w:rPr>
          <w:spacing w:val="-11"/>
          <w:sz w:val="24"/>
          <w:szCs w:val="24"/>
        </w:rPr>
        <w:t>）《中华人民共和国陆生野生动物保护实施条例》（</w:t>
      </w:r>
      <w:r>
        <w:rPr>
          <w:rFonts w:ascii="Times New Roman" w:hAnsi="Times New Roman" w:eastAsia="Times New Roman" w:cs="Times New Roman"/>
          <w:spacing w:val="-11"/>
          <w:sz w:val="24"/>
          <w:szCs w:val="24"/>
        </w:rPr>
        <w:t xml:space="preserve">2016 </w:t>
      </w:r>
      <w:r>
        <w:rPr>
          <w:spacing w:val="-11"/>
          <w:sz w:val="24"/>
          <w:szCs w:val="24"/>
        </w:rPr>
        <w:t>年</w:t>
      </w:r>
      <w:r>
        <w:rPr>
          <w:spacing w:val="-55"/>
          <w:sz w:val="24"/>
          <w:szCs w:val="24"/>
        </w:rPr>
        <w:t xml:space="preserve"> </w:t>
      </w:r>
      <w:r>
        <w:rPr>
          <w:rFonts w:ascii="Times New Roman" w:hAnsi="Times New Roman" w:eastAsia="Times New Roman" w:cs="Times New Roman"/>
          <w:spacing w:val="-11"/>
          <w:sz w:val="24"/>
          <w:szCs w:val="24"/>
        </w:rPr>
        <w:t>2</w:t>
      </w:r>
      <w:r>
        <w:rPr>
          <w:rFonts w:ascii="Times New Roman" w:hAnsi="Times New Roman" w:eastAsia="Times New Roman" w:cs="Times New Roman"/>
          <w:spacing w:val="16"/>
          <w:sz w:val="24"/>
          <w:szCs w:val="24"/>
        </w:rPr>
        <w:t xml:space="preserve"> </w:t>
      </w:r>
      <w:r>
        <w:rPr>
          <w:spacing w:val="-11"/>
          <w:sz w:val="24"/>
          <w:szCs w:val="24"/>
        </w:rPr>
        <w:t>月修订</w:t>
      </w:r>
      <w:r>
        <w:rPr>
          <w:spacing w:val="-14"/>
          <w:sz w:val="24"/>
          <w:szCs w:val="24"/>
        </w:rPr>
        <w:t>）；</w:t>
      </w:r>
    </w:p>
    <w:p w14:paraId="2C98126C">
      <w:pPr>
        <w:pStyle w:val="2"/>
        <w:spacing w:before="138" w:line="233" w:lineRule="auto"/>
        <w:ind w:left="525"/>
        <w:rPr>
          <w:sz w:val="24"/>
          <w:szCs w:val="24"/>
        </w:rPr>
      </w:pPr>
      <w:r>
        <w:rPr>
          <w:spacing w:val="-9"/>
          <w:sz w:val="24"/>
          <w:szCs w:val="24"/>
        </w:rPr>
        <w:t>（</w:t>
      </w:r>
      <w:r>
        <w:rPr>
          <w:rFonts w:ascii="Times New Roman" w:hAnsi="Times New Roman" w:eastAsia="Times New Roman" w:cs="Times New Roman"/>
          <w:spacing w:val="-9"/>
          <w:sz w:val="24"/>
          <w:szCs w:val="24"/>
        </w:rPr>
        <w:t>5</w:t>
      </w:r>
      <w:r>
        <w:rPr>
          <w:spacing w:val="-9"/>
          <w:sz w:val="24"/>
          <w:szCs w:val="24"/>
        </w:rPr>
        <w:t>）《中华人民共和国水生野生动物保护实</w:t>
      </w:r>
      <w:r>
        <w:rPr>
          <w:spacing w:val="-10"/>
          <w:sz w:val="24"/>
          <w:szCs w:val="24"/>
        </w:rPr>
        <w:t>施条例》（</w:t>
      </w:r>
      <w:r>
        <w:rPr>
          <w:rFonts w:ascii="Times New Roman" w:hAnsi="Times New Roman" w:eastAsia="Times New Roman" w:cs="Times New Roman"/>
          <w:spacing w:val="-10"/>
          <w:sz w:val="24"/>
          <w:szCs w:val="24"/>
        </w:rPr>
        <w:t>2013</w:t>
      </w:r>
      <w:r>
        <w:rPr>
          <w:spacing w:val="-10"/>
          <w:sz w:val="24"/>
          <w:szCs w:val="24"/>
        </w:rPr>
        <w:t>年</w:t>
      </w:r>
      <w:r>
        <w:rPr>
          <w:spacing w:val="-32"/>
          <w:sz w:val="24"/>
          <w:szCs w:val="24"/>
        </w:rPr>
        <w:t xml:space="preserve"> </w:t>
      </w:r>
      <w:r>
        <w:rPr>
          <w:rFonts w:ascii="Times New Roman" w:hAnsi="Times New Roman" w:eastAsia="Times New Roman" w:cs="Times New Roman"/>
          <w:spacing w:val="-10"/>
          <w:sz w:val="24"/>
          <w:szCs w:val="24"/>
        </w:rPr>
        <w:t>12</w:t>
      </w:r>
      <w:r>
        <w:rPr>
          <w:rFonts w:ascii="Times New Roman" w:hAnsi="Times New Roman" w:eastAsia="Times New Roman" w:cs="Times New Roman"/>
          <w:spacing w:val="16"/>
          <w:sz w:val="24"/>
          <w:szCs w:val="24"/>
        </w:rPr>
        <w:t xml:space="preserve"> </w:t>
      </w:r>
      <w:r>
        <w:rPr>
          <w:spacing w:val="-10"/>
          <w:sz w:val="24"/>
          <w:szCs w:val="24"/>
        </w:rPr>
        <w:t>月修订</w:t>
      </w:r>
      <w:r>
        <w:rPr>
          <w:spacing w:val="-23"/>
          <w:sz w:val="24"/>
          <w:szCs w:val="24"/>
        </w:rPr>
        <w:t>）；</w:t>
      </w:r>
    </w:p>
    <w:p w14:paraId="031773DC">
      <w:pPr>
        <w:pStyle w:val="2"/>
        <w:spacing w:before="138" w:line="233" w:lineRule="auto"/>
        <w:ind w:left="525"/>
        <w:rPr>
          <w:sz w:val="24"/>
          <w:szCs w:val="24"/>
        </w:rPr>
      </w:pPr>
      <w:r>
        <w:rPr>
          <w:spacing w:val="-8"/>
          <w:sz w:val="24"/>
          <w:szCs w:val="24"/>
        </w:rPr>
        <w:t>（</w:t>
      </w:r>
      <w:r>
        <w:rPr>
          <w:rFonts w:ascii="Times New Roman" w:hAnsi="Times New Roman" w:eastAsia="Times New Roman" w:cs="Times New Roman"/>
          <w:spacing w:val="-8"/>
          <w:sz w:val="24"/>
          <w:szCs w:val="24"/>
        </w:rPr>
        <w:t>6</w:t>
      </w:r>
      <w:r>
        <w:rPr>
          <w:spacing w:val="-8"/>
          <w:sz w:val="24"/>
          <w:szCs w:val="24"/>
        </w:rPr>
        <w:t>）《中华人民共和国水土保持法实施条例》（</w:t>
      </w:r>
      <w:r>
        <w:rPr>
          <w:rFonts w:ascii="Times New Roman" w:hAnsi="Times New Roman" w:eastAsia="Times New Roman" w:cs="Times New Roman"/>
          <w:spacing w:val="-8"/>
          <w:sz w:val="24"/>
          <w:szCs w:val="24"/>
        </w:rPr>
        <w:t>2011</w:t>
      </w:r>
      <w:r>
        <w:rPr>
          <w:spacing w:val="-8"/>
          <w:sz w:val="24"/>
          <w:szCs w:val="24"/>
        </w:rPr>
        <w:t>年</w:t>
      </w:r>
      <w:r>
        <w:rPr>
          <w:spacing w:val="-29"/>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5"/>
          <w:sz w:val="24"/>
          <w:szCs w:val="24"/>
        </w:rPr>
        <w:t xml:space="preserve"> </w:t>
      </w:r>
      <w:r>
        <w:rPr>
          <w:spacing w:val="-8"/>
          <w:sz w:val="24"/>
          <w:szCs w:val="24"/>
        </w:rPr>
        <w:t>月修订</w:t>
      </w:r>
      <w:r>
        <w:rPr>
          <w:spacing w:val="-62"/>
          <w:w w:val="97"/>
          <w:sz w:val="24"/>
          <w:szCs w:val="24"/>
        </w:rPr>
        <w:t>）；</w:t>
      </w:r>
    </w:p>
    <w:p w14:paraId="5954B47D">
      <w:pPr>
        <w:pStyle w:val="2"/>
        <w:spacing w:before="136" w:line="233" w:lineRule="auto"/>
        <w:ind w:left="525"/>
        <w:rPr>
          <w:sz w:val="24"/>
          <w:szCs w:val="24"/>
        </w:rPr>
      </w:pPr>
      <w:r>
        <w:rPr>
          <w:spacing w:val="-9"/>
          <w:sz w:val="24"/>
          <w:szCs w:val="24"/>
        </w:rPr>
        <w:t>（</w:t>
      </w:r>
      <w:r>
        <w:rPr>
          <w:rFonts w:ascii="Times New Roman" w:hAnsi="Times New Roman" w:eastAsia="Times New Roman" w:cs="Times New Roman"/>
          <w:spacing w:val="-9"/>
          <w:sz w:val="24"/>
          <w:szCs w:val="24"/>
        </w:rPr>
        <w:t>7</w:t>
      </w:r>
      <w:r>
        <w:rPr>
          <w:spacing w:val="-9"/>
          <w:sz w:val="24"/>
          <w:szCs w:val="24"/>
        </w:rPr>
        <w:t>）《中华人民共和国土地管理法实施条例》（</w:t>
      </w:r>
      <w:r>
        <w:rPr>
          <w:rFonts w:ascii="Times New Roman" w:hAnsi="Times New Roman" w:eastAsia="Times New Roman" w:cs="Times New Roman"/>
          <w:spacing w:val="-9"/>
          <w:sz w:val="24"/>
          <w:szCs w:val="24"/>
        </w:rPr>
        <w:t xml:space="preserve">2014 </w:t>
      </w:r>
      <w:r>
        <w:rPr>
          <w:spacing w:val="-9"/>
          <w:sz w:val="24"/>
          <w:szCs w:val="24"/>
        </w:rPr>
        <w:t>年</w:t>
      </w:r>
      <w:r>
        <w:rPr>
          <w:spacing w:val="-51"/>
          <w:sz w:val="24"/>
          <w:szCs w:val="24"/>
        </w:rPr>
        <w:t xml:space="preserve"> </w:t>
      </w:r>
      <w:r>
        <w:rPr>
          <w:rFonts w:ascii="Times New Roman" w:hAnsi="Times New Roman" w:eastAsia="Times New Roman" w:cs="Times New Roman"/>
          <w:spacing w:val="-9"/>
          <w:sz w:val="24"/>
          <w:szCs w:val="24"/>
        </w:rPr>
        <w:t>7</w:t>
      </w:r>
      <w:r>
        <w:rPr>
          <w:rFonts w:ascii="Times New Roman" w:hAnsi="Times New Roman" w:eastAsia="Times New Roman" w:cs="Times New Roman"/>
          <w:spacing w:val="15"/>
          <w:sz w:val="24"/>
          <w:szCs w:val="24"/>
        </w:rPr>
        <w:t xml:space="preserve"> </w:t>
      </w:r>
      <w:r>
        <w:rPr>
          <w:spacing w:val="-9"/>
          <w:sz w:val="24"/>
          <w:szCs w:val="24"/>
        </w:rPr>
        <w:t>月修订</w:t>
      </w:r>
      <w:r>
        <w:rPr>
          <w:spacing w:val="-64"/>
          <w:sz w:val="24"/>
          <w:szCs w:val="24"/>
        </w:rPr>
        <w:t>）；</w:t>
      </w:r>
    </w:p>
    <w:p w14:paraId="45D83E00">
      <w:pPr>
        <w:pStyle w:val="2"/>
        <w:spacing w:before="138"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8</w:t>
      </w:r>
      <w:r>
        <w:rPr>
          <w:spacing w:val="-12"/>
          <w:sz w:val="24"/>
          <w:szCs w:val="24"/>
        </w:rPr>
        <w:t>）《中华人民共和国文物保护法实施条例》（</w:t>
      </w:r>
      <w:r>
        <w:rPr>
          <w:rFonts w:ascii="Times New Roman" w:hAnsi="Times New Roman" w:eastAsia="Times New Roman" w:cs="Times New Roman"/>
          <w:spacing w:val="-12"/>
          <w:sz w:val="24"/>
          <w:szCs w:val="24"/>
        </w:rPr>
        <w:t xml:space="preserve">2017 </w:t>
      </w:r>
      <w:r>
        <w:rPr>
          <w:spacing w:val="-12"/>
          <w:sz w:val="24"/>
          <w:szCs w:val="24"/>
        </w:rPr>
        <w:t>年</w:t>
      </w:r>
      <w:r>
        <w:rPr>
          <w:spacing w:val="-49"/>
          <w:sz w:val="24"/>
          <w:szCs w:val="24"/>
        </w:rPr>
        <w:t xml:space="preserve"> </w:t>
      </w:r>
      <w:r>
        <w:rPr>
          <w:rFonts w:ascii="Times New Roman" w:hAnsi="Times New Roman" w:eastAsia="Times New Roman" w:cs="Times New Roman"/>
          <w:spacing w:val="-12"/>
          <w:sz w:val="24"/>
          <w:szCs w:val="24"/>
        </w:rPr>
        <w:t>3</w:t>
      </w:r>
      <w:r>
        <w:rPr>
          <w:rFonts w:ascii="Times New Roman" w:hAnsi="Times New Roman" w:eastAsia="Times New Roman" w:cs="Times New Roman"/>
          <w:spacing w:val="15"/>
          <w:sz w:val="24"/>
          <w:szCs w:val="24"/>
        </w:rPr>
        <w:t xml:space="preserve"> </w:t>
      </w:r>
      <w:r>
        <w:rPr>
          <w:spacing w:val="-12"/>
          <w:sz w:val="24"/>
          <w:szCs w:val="24"/>
        </w:rPr>
        <w:t>月修订</w:t>
      </w:r>
      <w:r>
        <w:rPr>
          <w:spacing w:val="-17"/>
          <w:sz w:val="24"/>
          <w:szCs w:val="24"/>
        </w:rPr>
        <w:t>）；</w:t>
      </w:r>
    </w:p>
    <w:p w14:paraId="466A4C65">
      <w:pPr>
        <w:pStyle w:val="2"/>
        <w:spacing w:before="137"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9</w:t>
      </w:r>
      <w:r>
        <w:rPr>
          <w:spacing w:val="-12"/>
          <w:sz w:val="24"/>
          <w:szCs w:val="24"/>
        </w:rPr>
        <w:t>）《中华人民共和国河道管理条例》（</w:t>
      </w:r>
      <w:r>
        <w:rPr>
          <w:rFonts w:ascii="Times New Roman" w:hAnsi="Times New Roman" w:eastAsia="Times New Roman" w:cs="Times New Roman"/>
          <w:spacing w:val="-12"/>
          <w:sz w:val="24"/>
          <w:szCs w:val="24"/>
        </w:rPr>
        <w:t xml:space="preserve">2018 </w:t>
      </w:r>
      <w:r>
        <w:rPr>
          <w:spacing w:val="-12"/>
          <w:sz w:val="24"/>
          <w:szCs w:val="24"/>
        </w:rPr>
        <w:t>年</w:t>
      </w:r>
      <w:r>
        <w:rPr>
          <w:spacing w:val="-47"/>
          <w:sz w:val="24"/>
          <w:szCs w:val="24"/>
        </w:rPr>
        <w:t xml:space="preserve"> </w:t>
      </w:r>
      <w:r>
        <w:rPr>
          <w:rFonts w:ascii="Times New Roman" w:hAnsi="Times New Roman" w:eastAsia="Times New Roman" w:cs="Times New Roman"/>
          <w:spacing w:val="-12"/>
          <w:sz w:val="24"/>
          <w:szCs w:val="24"/>
        </w:rPr>
        <w:t>3</w:t>
      </w:r>
      <w:r>
        <w:rPr>
          <w:rFonts w:ascii="Times New Roman" w:hAnsi="Times New Roman" w:eastAsia="Times New Roman" w:cs="Times New Roman"/>
          <w:spacing w:val="15"/>
          <w:w w:val="101"/>
          <w:sz w:val="24"/>
          <w:szCs w:val="24"/>
        </w:rPr>
        <w:t xml:space="preserve"> </w:t>
      </w:r>
      <w:r>
        <w:rPr>
          <w:spacing w:val="-12"/>
          <w:sz w:val="24"/>
          <w:szCs w:val="24"/>
        </w:rPr>
        <w:t>月修订）。</w:t>
      </w:r>
    </w:p>
    <w:p w14:paraId="73EFC17A">
      <w:pPr>
        <w:spacing w:line="233" w:lineRule="auto"/>
        <w:rPr>
          <w:sz w:val="24"/>
          <w:szCs w:val="24"/>
        </w:rPr>
        <w:sectPr>
          <w:headerReference r:id="rId18" w:type="default"/>
          <w:footerReference r:id="rId19" w:type="default"/>
          <w:pgSz w:w="11908" w:h="16840"/>
          <w:pgMar w:top="1659" w:right="1669" w:bottom="1413" w:left="1671" w:header="1282" w:footer="1210" w:gutter="0"/>
          <w:cols w:space="720" w:num="1"/>
        </w:sectPr>
      </w:pPr>
    </w:p>
    <w:p w14:paraId="13BA7930">
      <w:pPr>
        <w:spacing w:line="411" w:lineRule="auto"/>
        <w:rPr>
          <w:rFonts w:ascii="Arial"/>
          <w:sz w:val="21"/>
        </w:rPr>
      </w:pPr>
    </w:p>
    <w:p w14:paraId="7A161758">
      <w:pPr>
        <w:pStyle w:val="2"/>
        <w:spacing w:before="88" w:line="225" w:lineRule="auto"/>
        <w:ind w:left="33"/>
        <w:rPr>
          <w:sz w:val="27"/>
          <w:szCs w:val="27"/>
        </w:rPr>
      </w:pPr>
      <w:r>
        <w:rPr>
          <w:rFonts w:ascii="Arial" w:hAnsi="Arial" w:eastAsia="Arial" w:cs="Arial"/>
          <w:spacing w:val="7"/>
          <w:position w:val="1"/>
          <w:sz w:val="21"/>
          <w:szCs w:val="21"/>
        </w:rPr>
        <w:t xml:space="preserve">2.1.3     </w:t>
      </w:r>
      <w:r>
        <w:rPr>
          <w:b/>
          <w:bCs/>
          <w:spacing w:val="7"/>
          <w:sz w:val="27"/>
          <w:szCs w:val="27"/>
        </w:rPr>
        <w:t>部门规章及规范性文件</w:t>
      </w:r>
    </w:p>
    <w:p w14:paraId="2CAA0F90">
      <w:pPr>
        <w:pStyle w:val="2"/>
        <w:spacing w:before="265" w:line="233" w:lineRule="auto"/>
        <w:ind w:left="525"/>
        <w:rPr>
          <w:sz w:val="24"/>
          <w:szCs w:val="24"/>
        </w:rPr>
      </w:pPr>
      <w:r>
        <w:rPr>
          <w:spacing w:val="-8"/>
          <w:sz w:val="24"/>
          <w:szCs w:val="24"/>
        </w:rPr>
        <w:t>（</w:t>
      </w:r>
      <w:r>
        <w:rPr>
          <w:rFonts w:ascii="Times New Roman" w:hAnsi="Times New Roman" w:eastAsia="Times New Roman" w:cs="Times New Roman"/>
          <w:spacing w:val="-8"/>
          <w:sz w:val="24"/>
          <w:szCs w:val="24"/>
        </w:rPr>
        <w:t>1</w:t>
      </w:r>
      <w:r>
        <w:rPr>
          <w:spacing w:val="-8"/>
          <w:sz w:val="24"/>
          <w:szCs w:val="24"/>
        </w:rPr>
        <w:t>）《建设项目竣工环境保护验收暂行办法》（国环规环评〔</w:t>
      </w:r>
      <w:r>
        <w:rPr>
          <w:rFonts w:ascii="Times New Roman" w:hAnsi="Times New Roman" w:eastAsia="Times New Roman" w:cs="Times New Roman"/>
          <w:spacing w:val="-8"/>
          <w:sz w:val="24"/>
          <w:szCs w:val="24"/>
        </w:rPr>
        <w:t>2017</w:t>
      </w:r>
      <w:r>
        <w:rPr>
          <w:spacing w:val="-8"/>
          <w:sz w:val="24"/>
          <w:szCs w:val="24"/>
        </w:rPr>
        <w:t>〕</w:t>
      </w:r>
      <w:r>
        <w:rPr>
          <w:rFonts w:ascii="Times New Roman" w:hAnsi="Times New Roman" w:eastAsia="Times New Roman" w:cs="Times New Roman"/>
          <w:spacing w:val="-8"/>
          <w:sz w:val="24"/>
          <w:szCs w:val="24"/>
        </w:rPr>
        <w:t>4</w:t>
      </w:r>
      <w:r>
        <w:rPr>
          <w:rFonts w:ascii="Times New Roman" w:hAnsi="Times New Roman" w:eastAsia="Times New Roman" w:cs="Times New Roman"/>
          <w:spacing w:val="16"/>
          <w:sz w:val="24"/>
          <w:szCs w:val="24"/>
        </w:rPr>
        <w:t xml:space="preserve"> </w:t>
      </w:r>
      <w:r>
        <w:rPr>
          <w:spacing w:val="-8"/>
          <w:sz w:val="24"/>
          <w:szCs w:val="24"/>
        </w:rPr>
        <w:t>号</w:t>
      </w:r>
      <w:r>
        <w:rPr>
          <w:spacing w:val="-64"/>
          <w:sz w:val="24"/>
          <w:szCs w:val="24"/>
        </w:rPr>
        <w:t>）；</w:t>
      </w:r>
    </w:p>
    <w:p w14:paraId="51BDD060">
      <w:pPr>
        <w:pStyle w:val="2"/>
        <w:spacing w:before="135" w:line="339" w:lineRule="auto"/>
        <w:ind w:left="44" w:right="212" w:firstLine="481"/>
        <w:rPr>
          <w:sz w:val="24"/>
          <w:szCs w:val="24"/>
        </w:rPr>
      </w:pPr>
      <w:r>
        <w:rPr>
          <w:spacing w:val="-8"/>
          <w:sz w:val="24"/>
          <w:szCs w:val="24"/>
        </w:rPr>
        <w:t>（</w:t>
      </w:r>
      <w:r>
        <w:rPr>
          <w:rFonts w:ascii="Times New Roman" w:hAnsi="Times New Roman" w:eastAsia="Times New Roman" w:cs="Times New Roman"/>
          <w:spacing w:val="-8"/>
          <w:sz w:val="24"/>
          <w:szCs w:val="24"/>
        </w:rPr>
        <w:t>2</w:t>
      </w:r>
      <w:r>
        <w:rPr>
          <w:spacing w:val="-8"/>
          <w:sz w:val="24"/>
          <w:szCs w:val="24"/>
        </w:rPr>
        <w:t>）《关于印发建设项目竣工环境保护验收现场检查及审查要点的通</w:t>
      </w:r>
      <w:r>
        <w:rPr>
          <w:spacing w:val="-9"/>
          <w:sz w:val="24"/>
          <w:szCs w:val="24"/>
        </w:rPr>
        <w:t>知》（环</w:t>
      </w:r>
      <w:r>
        <w:rPr>
          <w:spacing w:val="-7"/>
          <w:sz w:val="24"/>
          <w:szCs w:val="24"/>
        </w:rPr>
        <w:t>办〔</w:t>
      </w:r>
      <w:r>
        <w:rPr>
          <w:rFonts w:ascii="Times New Roman" w:hAnsi="Times New Roman" w:eastAsia="Times New Roman" w:cs="Times New Roman"/>
          <w:spacing w:val="-7"/>
          <w:sz w:val="24"/>
          <w:szCs w:val="24"/>
        </w:rPr>
        <w:t>2015</w:t>
      </w:r>
      <w:r>
        <w:rPr>
          <w:spacing w:val="-7"/>
          <w:sz w:val="24"/>
          <w:szCs w:val="24"/>
        </w:rPr>
        <w:t>〕</w:t>
      </w:r>
      <w:r>
        <w:rPr>
          <w:rFonts w:ascii="Times New Roman" w:hAnsi="Times New Roman" w:eastAsia="Times New Roman" w:cs="Times New Roman"/>
          <w:spacing w:val="-7"/>
          <w:sz w:val="24"/>
          <w:szCs w:val="24"/>
        </w:rPr>
        <w:t>113</w:t>
      </w:r>
      <w:r>
        <w:rPr>
          <w:rFonts w:ascii="Times New Roman" w:hAnsi="Times New Roman" w:eastAsia="Times New Roman" w:cs="Times New Roman"/>
          <w:spacing w:val="15"/>
          <w:w w:val="101"/>
          <w:sz w:val="24"/>
          <w:szCs w:val="24"/>
        </w:rPr>
        <w:t xml:space="preserve"> </w:t>
      </w:r>
      <w:r>
        <w:rPr>
          <w:spacing w:val="-7"/>
          <w:sz w:val="24"/>
          <w:szCs w:val="24"/>
        </w:rPr>
        <w:t>号</w:t>
      </w:r>
      <w:r>
        <w:rPr>
          <w:spacing w:val="-26"/>
          <w:sz w:val="24"/>
          <w:szCs w:val="24"/>
        </w:rPr>
        <w:t>）；</w:t>
      </w:r>
    </w:p>
    <w:p w14:paraId="256CE0B3">
      <w:pPr>
        <w:pStyle w:val="2"/>
        <w:spacing w:line="338" w:lineRule="auto"/>
        <w:ind w:left="66" w:right="218" w:firstLine="459"/>
        <w:rPr>
          <w:sz w:val="24"/>
          <w:szCs w:val="24"/>
        </w:rPr>
      </w:pPr>
      <w:r>
        <w:rPr>
          <w:spacing w:val="-2"/>
          <w:sz w:val="24"/>
          <w:szCs w:val="24"/>
        </w:rPr>
        <w:t>（</w:t>
      </w:r>
      <w:r>
        <w:rPr>
          <w:rFonts w:ascii="Times New Roman" w:hAnsi="Times New Roman" w:eastAsia="Times New Roman" w:cs="Times New Roman"/>
          <w:spacing w:val="-2"/>
          <w:sz w:val="24"/>
          <w:szCs w:val="24"/>
        </w:rPr>
        <w:t>3</w:t>
      </w:r>
      <w:r>
        <w:rPr>
          <w:spacing w:val="-2"/>
          <w:sz w:val="24"/>
          <w:szCs w:val="24"/>
        </w:rPr>
        <w:t>）《关于印发环评管理中部分行业建设项目重大变动清单的通知》（环办</w:t>
      </w:r>
      <w:r>
        <w:rPr>
          <w:spacing w:val="-10"/>
          <w:sz w:val="24"/>
          <w:szCs w:val="24"/>
        </w:rPr>
        <w:t>〔</w:t>
      </w:r>
      <w:r>
        <w:rPr>
          <w:rFonts w:ascii="Times New Roman" w:hAnsi="Times New Roman" w:eastAsia="Times New Roman" w:cs="Times New Roman"/>
          <w:spacing w:val="-10"/>
          <w:sz w:val="24"/>
          <w:szCs w:val="24"/>
        </w:rPr>
        <w:t>2015</w:t>
      </w:r>
      <w:r>
        <w:rPr>
          <w:spacing w:val="-10"/>
          <w:sz w:val="24"/>
          <w:szCs w:val="24"/>
        </w:rPr>
        <w:t>〕</w:t>
      </w:r>
      <w:r>
        <w:rPr>
          <w:rFonts w:ascii="Times New Roman" w:hAnsi="Times New Roman" w:eastAsia="Times New Roman" w:cs="Times New Roman"/>
          <w:spacing w:val="-10"/>
          <w:sz w:val="24"/>
          <w:szCs w:val="24"/>
        </w:rPr>
        <w:t>52</w:t>
      </w:r>
      <w:r>
        <w:rPr>
          <w:rFonts w:ascii="Times New Roman" w:hAnsi="Times New Roman" w:eastAsia="Times New Roman" w:cs="Times New Roman"/>
          <w:spacing w:val="16"/>
          <w:w w:val="101"/>
          <w:sz w:val="24"/>
          <w:szCs w:val="24"/>
        </w:rPr>
        <w:t xml:space="preserve"> </w:t>
      </w:r>
      <w:r>
        <w:rPr>
          <w:spacing w:val="-10"/>
          <w:sz w:val="24"/>
          <w:szCs w:val="24"/>
        </w:rPr>
        <w:t>号</w:t>
      </w:r>
      <w:r>
        <w:rPr>
          <w:spacing w:val="-27"/>
          <w:sz w:val="24"/>
          <w:szCs w:val="24"/>
        </w:rPr>
        <w:t>）；</w:t>
      </w:r>
    </w:p>
    <w:p w14:paraId="645481B5">
      <w:pPr>
        <w:pStyle w:val="2"/>
        <w:spacing w:line="338" w:lineRule="auto"/>
        <w:ind w:left="66" w:right="210" w:firstLine="459"/>
        <w:rPr>
          <w:sz w:val="24"/>
          <w:szCs w:val="24"/>
        </w:rPr>
      </w:pPr>
      <w:r>
        <w:rPr>
          <w:spacing w:val="-8"/>
          <w:sz w:val="24"/>
          <w:szCs w:val="24"/>
        </w:rPr>
        <w:t>（</w:t>
      </w:r>
      <w:r>
        <w:rPr>
          <w:rFonts w:ascii="Times New Roman" w:hAnsi="Times New Roman" w:eastAsia="Times New Roman" w:cs="Times New Roman"/>
          <w:spacing w:val="-8"/>
          <w:sz w:val="24"/>
          <w:szCs w:val="24"/>
        </w:rPr>
        <w:t>4</w:t>
      </w:r>
      <w:r>
        <w:rPr>
          <w:spacing w:val="-8"/>
          <w:sz w:val="24"/>
          <w:szCs w:val="24"/>
        </w:rPr>
        <w:t>）《关于建设项目环境保护设施竣工验收监测管理有关问题的通知》（</w:t>
      </w:r>
      <w:r>
        <w:rPr>
          <w:spacing w:val="-9"/>
          <w:sz w:val="24"/>
          <w:szCs w:val="24"/>
        </w:rPr>
        <w:t>环发</w:t>
      </w:r>
      <w:r>
        <w:rPr>
          <w:spacing w:val="-10"/>
          <w:sz w:val="24"/>
          <w:szCs w:val="24"/>
        </w:rPr>
        <w:t>〔</w:t>
      </w:r>
      <w:r>
        <w:rPr>
          <w:rFonts w:ascii="Times New Roman" w:hAnsi="Times New Roman" w:eastAsia="Times New Roman" w:cs="Times New Roman"/>
          <w:spacing w:val="-10"/>
          <w:sz w:val="24"/>
          <w:szCs w:val="24"/>
        </w:rPr>
        <w:t>2000</w:t>
      </w:r>
      <w:r>
        <w:rPr>
          <w:spacing w:val="-10"/>
          <w:sz w:val="24"/>
          <w:szCs w:val="24"/>
        </w:rPr>
        <w:t>〕</w:t>
      </w:r>
      <w:r>
        <w:rPr>
          <w:rFonts w:ascii="Times New Roman" w:hAnsi="Times New Roman" w:eastAsia="Times New Roman" w:cs="Times New Roman"/>
          <w:spacing w:val="-10"/>
          <w:sz w:val="24"/>
          <w:szCs w:val="24"/>
        </w:rPr>
        <w:t>38</w:t>
      </w:r>
      <w:r>
        <w:rPr>
          <w:rFonts w:ascii="Times New Roman" w:hAnsi="Times New Roman" w:eastAsia="Times New Roman" w:cs="Times New Roman"/>
          <w:spacing w:val="16"/>
          <w:w w:val="101"/>
          <w:sz w:val="24"/>
          <w:szCs w:val="24"/>
        </w:rPr>
        <w:t xml:space="preserve"> </w:t>
      </w:r>
      <w:r>
        <w:rPr>
          <w:spacing w:val="-10"/>
          <w:sz w:val="24"/>
          <w:szCs w:val="24"/>
        </w:rPr>
        <w:t>号</w:t>
      </w:r>
      <w:r>
        <w:rPr>
          <w:spacing w:val="-27"/>
          <w:sz w:val="24"/>
          <w:szCs w:val="24"/>
        </w:rPr>
        <w:t>）；</w:t>
      </w:r>
    </w:p>
    <w:p w14:paraId="7BD5FDF8">
      <w:pPr>
        <w:pStyle w:val="2"/>
        <w:spacing w:before="2" w:line="338" w:lineRule="auto"/>
        <w:ind w:left="51" w:right="211" w:firstLine="474"/>
        <w:rPr>
          <w:sz w:val="24"/>
          <w:szCs w:val="24"/>
        </w:rPr>
      </w:pPr>
      <w:r>
        <w:rPr>
          <w:spacing w:val="-8"/>
          <w:sz w:val="24"/>
          <w:szCs w:val="24"/>
        </w:rPr>
        <w:t>（</w:t>
      </w:r>
      <w:r>
        <w:rPr>
          <w:rFonts w:ascii="Times New Roman" w:hAnsi="Times New Roman" w:eastAsia="Times New Roman" w:cs="Times New Roman"/>
          <w:spacing w:val="-8"/>
          <w:sz w:val="24"/>
          <w:szCs w:val="24"/>
        </w:rPr>
        <w:t>5</w:t>
      </w:r>
      <w:r>
        <w:rPr>
          <w:spacing w:val="-8"/>
          <w:sz w:val="24"/>
          <w:szCs w:val="24"/>
        </w:rPr>
        <w:t>）《关于印发〈水电水利建设项目河道生态用水、低温水和过鱼设施</w:t>
      </w:r>
      <w:r>
        <w:rPr>
          <w:spacing w:val="-9"/>
          <w:sz w:val="24"/>
          <w:szCs w:val="24"/>
        </w:rPr>
        <w:t>环境影</w:t>
      </w:r>
      <w:r>
        <w:rPr>
          <w:spacing w:val="-13"/>
          <w:sz w:val="24"/>
          <w:szCs w:val="24"/>
        </w:rPr>
        <w:t>响评价技术指南（试行）〉的函》（环评函〔</w:t>
      </w:r>
      <w:r>
        <w:rPr>
          <w:rFonts w:ascii="Times New Roman" w:hAnsi="Times New Roman" w:eastAsia="Times New Roman" w:cs="Times New Roman"/>
          <w:spacing w:val="-13"/>
          <w:sz w:val="24"/>
          <w:szCs w:val="24"/>
        </w:rPr>
        <w:t>2006</w:t>
      </w:r>
      <w:r>
        <w:rPr>
          <w:spacing w:val="-13"/>
          <w:sz w:val="24"/>
          <w:szCs w:val="24"/>
        </w:rPr>
        <w:t>〕</w:t>
      </w:r>
      <w:r>
        <w:rPr>
          <w:rFonts w:ascii="Times New Roman" w:hAnsi="Times New Roman" w:eastAsia="Times New Roman" w:cs="Times New Roman"/>
          <w:spacing w:val="-13"/>
          <w:sz w:val="24"/>
          <w:szCs w:val="24"/>
        </w:rPr>
        <w:t>4</w:t>
      </w:r>
      <w:r>
        <w:rPr>
          <w:rFonts w:ascii="Times New Roman" w:hAnsi="Times New Roman" w:eastAsia="Times New Roman" w:cs="Times New Roman"/>
          <w:spacing w:val="16"/>
          <w:w w:val="101"/>
          <w:sz w:val="24"/>
          <w:szCs w:val="24"/>
        </w:rPr>
        <w:t xml:space="preserve"> </w:t>
      </w:r>
      <w:r>
        <w:rPr>
          <w:spacing w:val="-13"/>
          <w:sz w:val="24"/>
          <w:szCs w:val="24"/>
        </w:rPr>
        <w:t>号</w:t>
      </w:r>
      <w:r>
        <w:rPr>
          <w:spacing w:val="-32"/>
          <w:sz w:val="24"/>
          <w:szCs w:val="24"/>
        </w:rPr>
        <w:t>）；</w:t>
      </w:r>
    </w:p>
    <w:p w14:paraId="7DDB5B83">
      <w:pPr>
        <w:pStyle w:val="2"/>
        <w:spacing w:before="1" w:line="233" w:lineRule="auto"/>
        <w:ind w:left="525"/>
        <w:rPr>
          <w:sz w:val="24"/>
          <w:szCs w:val="24"/>
        </w:rPr>
      </w:pPr>
      <w:r>
        <w:rPr>
          <w:spacing w:val="-9"/>
          <w:sz w:val="24"/>
          <w:szCs w:val="24"/>
        </w:rPr>
        <w:t>（</w:t>
      </w:r>
      <w:r>
        <w:rPr>
          <w:rFonts w:ascii="Times New Roman" w:hAnsi="Times New Roman" w:eastAsia="Times New Roman" w:cs="Times New Roman"/>
          <w:spacing w:val="-9"/>
          <w:sz w:val="24"/>
          <w:szCs w:val="24"/>
        </w:rPr>
        <w:t>6</w:t>
      </w:r>
      <w:r>
        <w:rPr>
          <w:spacing w:val="-9"/>
          <w:sz w:val="24"/>
          <w:szCs w:val="24"/>
        </w:rPr>
        <w:t>）《关于进一步加强生态保护工作的意见》</w:t>
      </w:r>
      <w:r>
        <w:rPr>
          <w:spacing w:val="-10"/>
          <w:sz w:val="24"/>
          <w:szCs w:val="24"/>
        </w:rPr>
        <w:t>（环发〔</w:t>
      </w:r>
      <w:r>
        <w:rPr>
          <w:rFonts w:ascii="Times New Roman" w:hAnsi="Times New Roman" w:eastAsia="Times New Roman" w:cs="Times New Roman"/>
          <w:spacing w:val="-10"/>
          <w:sz w:val="24"/>
          <w:szCs w:val="24"/>
        </w:rPr>
        <w:t>2007</w:t>
      </w:r>
      <w:r>
        <w:rPr>
          <w:spacing w:val="-10"/>
          <w:sz w:val="24"/>
          <w:szCs w:val="24"/>
        </w:rPr>
        <w:t>〕</w:t>
      </w:r>
      <w:r>
        <w:rPr>
          <w:rFonts w:ascii="Times New Roman" w:hAnsi="Times New Roman" w:eastAsia="Times New Roman" w:cs="Times New Roman"/>
          <w:spacing w:val="-10"/>
          <w:sz w:val="24"/>
          <w:szCs w:val="24"/>
        </w:rPr>
        <w:t>37</w:t>
      </w:r>
      <w:r>
        <w:rPr>
          <w:rFonts w:ascii="Times New Roman" w:hAnsi="Times New Roman" w:eastAsia="Times New Roman" w:cs="Times New Roman"/>
          <w:spacing w:val="16"/>
          <w:w w:val="101"/>
          <w:sz w:val="24"/>
          <w:szCs w:val="24"/>
        </w:rPr>
        <w:t xml:space="preserve"> </w:t>
      </w:r>
      <w:r>
        <w:rPr>
          <w:spacing w:val="-10"/>
          <w:sz w:val="24"/>
          <w:szCs w:val="24"/>
        </w:rPr>
        <w:t>号</w:t>
      </w:r>
      <w:r>
        <w:rPr>
          <w:spacing w:val="-27"/>
          <w:sz w:val="24"/>
          <w:szCs w:val="24"/>
        </w:rPr>
        <w:t>）；</w:t>
      </w:r>
    </w:p>
    <w:p w14:paraId="6776CC32">
      <w:pPr>
        <w:pStyle w:val="2"/>
        <w:spacing w:before="136" w:line="232"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7</w:t>
      </w:r>
      <w:r>
        <w:rPr>
          <w:spacing w:val="-10"/>
          <w:sz w:val="24"/>
          <w:szCs w:val="24"/>
        </w:rPr>
        <w:t>）《环境影响评价公众参与办法》（生态环境部令第</w:t>
      </w:r>
      <w:r>
        <w:rPr>
          <w:spacing w:val="-40"/>
          <w:sz w:val="24"/>
          <w:szCs w:val="24"/>
        </w:rPr>
        <w:t xml:space="preserve"> </w:t>
      </w:r>
      <w:r>
        <w:rPr>
          <w:rFonts w:ascii="Times New Roman" w:hAnsi="Times New Roman" w:eastAsia="Times New Roman" w:cs="Times New Roman"/>
          <w:spacing w:val="-10"/>
          <w:sz w:val="24"/>
          <w:szCs w:val="24"/>
        </w:rPr>
        <w:t>4</w:t>
      </w:r>
      <w:r>
        <w:rPr>
          <w:rFonts w:ascii="Times New Roman" w:hAnsi="Times New Roman" w:eastAsia="Times New Roman" w:cs="Times New Roman"/>
          <w:spacing w:val="15"/>
          <w:w w:val="101"/>
          <w:sz w:val="24"/>
          <w:szCs w:val="24"/>
        </w:rPr>
        <w:t xml:space="preserve"> </w:t>
      </w:r>
      <w:r>
        <w:rPr>
          <w:spacing w:val="-10"/>
          <w:sz w:val="24"/>
          <w:szCs w:val="24"/>
        </w:rPr>
        <w:t>号，</w:t>
      </w:r>
      <w:r>
        <w:rPr>
          <w:rFonts w:ascii="Times New Roman" w:hAnsi="Times New Roman" w:eastAsia="Times New Roman" w:cs="Times New Roman"/>
          <w:spacing w:val="-10"/>
          <w:sz w:val="24"/>
          <w:szCs w:val="24"/>
        </w:rPr>
        <w:t xml:space="preserve">2018 </w:t>
      </w:r>
      <w:r>
        <w:rPr>
          <w:spacing w:val="-10"/>
          <w:sz w:val="24"/>
          <w:szCs w:val="24"/>
        </w:rPr>
        <w:t>年</w:t>
      </w:r>
      <w:r>
        <w:rPr>
          <w:spacing w:val="-51"/>
          <w:sz w:val="24"/>
          <w:szCs w:val="24"/>
        </w:rPr>
        <w:t xml:space="preserve"> </w:t>
      </w:r>
      <w:r>
        <w:rPr>
          <w:rFonts w:ascii="Times New Roman" w:hAnsi="Times New Roman" w:eastAsia="Times New Roman" w:cs="Times New Roman"/>
          <w:spacing w:val="-10"/>
          <w:sz w:val="24"/>
          <w:szCs w:val="24"/>
        </w:rPr>
        <w:t>7</w:t>
      </w:r>
      <w:r>
        <w:rPr>
          <w:rFonts w:ascii="Times New Roman" w:hAnsi="Times New Roman" w:eastAsia="Times New Roman" w:cs="Times New Roman"/>
          <w:spacing w:val="15"/>
          <w:sz w:val="24"/>
          <w:szCs w:val="24"/>
        </w:rPr>
        <w:t xml:space="preserve"> </w:t>
      </w:r>
      <w:r>
        <w:rPr>
          <w:spacing w:val="-10"/>
          <w:sz w:val="24"/>
          <w:szCs w:val="24"/>
        </w:rPr>
        <w:t>月</w:t>
      </w:r>
      <w:r>
        <w:rPr>
          <w:spacing w:val="-23"/>
          <w:sz w:val="24"/>
          <w:szCs w:val="24"/>
        </w:rPr>
        <w:t>）；</w:t>
      </w:r>
    </w:p>
    <w:p w14:paraId="6682DCEC">
      <w:pPr>
        <w:pStyle w:val="2"/>
        <w:spacing w:before="138" w:line="341" w:lineRule="auto"/>
        <w:ind w:left="38" w:right="240" w:firstLine="486"/>
        <w:rPr>
          <w:sz w:val="24"/>
          <w:szCs w:val="24"/>
        </w:rPr>
      </w:pPr>
      <w:r>
        <w:rPr>
          <w:spacing w:val="-15"/>
          <w:sz w:val="24"/>
          <w:szCs w:val="24"/>
        </w:rPr>
        <w:t>（</w:t>
      </w:r>
      <w:r>
        <w:rPr>
          <w:rFonts w:ascii="Times New Roman" w:hAnsi="Times New Roman" w:eastAsia="Times New Roman" w:cs="Times New Roman"/>
          <w:spacing w:val="-15"/>
          <w:sz w:val="24"/>
          <w:szCs w:val="24"/>
        </w:rPr>
        <w:t>8</w:t>
      </w:r>
      <w:r>
        <w:rPr>
          <w:spacing w:val="-15"/>
          <w:sz w:val="24"/>
          <w:szCs w:val="24"/>
        </w:rPr>
        <w:t>）《关于进一步加强环境影响评价管理防范环境风险的通知》（环发〔</w:t>
      </w:r>
      <w:r>
        <w:rPr>
          <w:rFonts w:ascii="Times New Roman" w:hAnsi="Times New Roman" w:eastAsia="Times New Roman" w:cs="Times New Roman"/>
          <w:spacing w:val="-15"/>
          <w:sz w:val="24"/>
          <w:szCs w:val="24"/>
        </w:rPr>
        <w:t>2012</w:t>
      </w:r>
      <w:r>
        <w:rPr>
          <w:spacing w:val="-15"/>
          <w:sz w:val="24"/>
          <w:szCs w:val="24"/>
        </w:rPr>
        <w:t>〕</w:t>
      </w:r>
      <w:r>
        <w:rPr>
          <w:spacing w:val="18"/>
          <w:sz w:val="24"/>
          <w:szCs w:val="24"/>
        </w:rPr>
        <w:t xml:space="preserve"> </w:t>
      </w:r>
      <w:r>
        <w:rPr>
          <w:rFonts w:ascii="Times New Roman" w:hAnsi="Times New Roman" w:eastAsia="Times New Roman" w:cs="Times New Roman"/>
          <w:spacing w:val="-23"/>
          <w:sz w:val="24"/>
          <w:szCs w:val="24"/>
        </w:rPr>
        <w:t>77</w:t>
      </w:r>
      <w:r>
        <w:rPr>
          <w:rFonts w:ascii="Times New Roman" w:hAnsi="Times New Roman" w:eastAsia="Times New Roman" w:cs="Times New Roman"/>
          <w:spacing w:val="18"/>
          <w:sz w:val="24"/>
          <w:szCs w:val="24"/>
        </w:rPr>
        <w:t xml:space="preserve"> </w:t>
      </w:r>
      <w:r>
        <w:rPr>
          <w:spacing w:val="-23"/>
          <w:sz w:val="24"/>
          <w:szCs w:val="24"/>
        </w:rPr>
        <w:t>号）。</w:t>
      </w:r>
    </w:p>
    <w:p w14:paraId="6F998B7C">
      <w:pPr>
        <w:pStyle w:val="2"/>
        <w:spacing w:before="81" w:line="219" w:lineRule="auto"/>
        <w:ind w:left="33"/>
        <w:rPr>
          <w:sz w:val="27"/>
          <w:szCs w:val="27"/>
        </w:rPr>
      </w:pPr>
      <w:r>
        <w:rPr>
          <w:rFonts w:ascii="Arial" w:hAnsi="Arial" w:eastAsia="Arial" w:cs="Arial"/>
          <w:position w:val="2"/>
          <w:sz w:val="27"/>
          <w:szCs w:val="27"/>
        </w:rPr>
        <w:t>2.1.4</w:t>
      </w:r>
      <w:r>
        <w:rPr>
          <w:rFonts w:ascii="Arial" w:hAnsi="Arial" w:eastAsia="Arial" w:cs="Arial"/>
          <w:spacing w:val="24"/>
          <w:w w:val="101"/>
          <w:position w:val="2"/>
          <w:sz w:val="27"/>
          <w:szCs w:val="27"/>
        </w:rPr>
        <w:t xml:space="preserve">   </w:t>
      </w:r>
      <w:r>
        <w:rPr>
          <w:b/>
          <w:bCs/>
          <w:position w:val="-1"/>
          <w:sz w:val="27"/>
          <w:szCs w:val="27"/>
        </w:rPr>
        <w:t>地方性法规及文件</w:t>
      </w:r>
    </w:p>
    <w:p w14:paraId="16AB810D">
      <w:pPr>
        <w:pStyle w:val="2"/>
        <w:spacing w:before="263"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1</w:t>
      </w:r>
      <w:r>
        <w:rPr>
          <w:spacing w:val="-12"/>
          <w:sz w:val="24"/>
          <w:szCs w:val="24"/>
        </w:rPr>
        <w:t>）《云南省环境保护条例》（</w:t>
      </w:r>
      <w:r>
        <w:rPr>
          <w:rFonts w:ascii="Times New Roman" w:hAnsi="Times New Roman" w:eastAsia="Times New Roman" w:cs="Times New Roman"/>
          <w:spacing w:val="-12"/>
          <w:sz w:val="24"/>
          <w:szCs w:val="24"/>
        </w:rPr>
        <w:t xml:space="preserve">2004 </w:t>
      </w:r>
      <w:r>
        <w:rPr>
          <w:spacing w:val="-12"/>
          <w:sz w:val="24"/>
          <w:szCs w:val="24"/>
        </w:rPr>
        <w:t>年</w:t>
      </w:r>
      <w:r>
        <w:rPr>
          <w:spacing w:val="-50"/>
          <w:sz w:val="24"/>
          <w:szCs w:val="24"/>
        </w:rPr>
        <w:t xml:space="preserve"> </w:t>
      </w:r>
      <w:r>
        <w:rPr>
          <w:rFonts w:ascii="Times New Roman" w:hAnsi="Times New Roman" w:eastAsia="Times New Roman" w:cs="Times New Roman"/>
          <w:spacing w:val="-12"/>
          <w:sz w:val="24"/>
          <w:szCs w:val="24"/>
        </w:rPr>
        <w:t>9</w:t>
      </w:r>
      <w:r>
        <w:rPr>
          <w:rFonts w:ascii="Times New Roman" w:hAnsi="Times New Roman" w:eastAsia="Times New Roman" w:cs="Times New Roman"/>
          <w:spacing w:val="15"/>
          <w:w w:val="101"/>
          <w:sz w:val="24"/>
          <w:szCs w:val="24"/>
        </w:rPr>
        <w:t xml:space="preserve"> </w:t>
      </w:r>
      <w:r>
        <w:rPr>
          <w:spacing w:val="-12"/>
          <w:sz w:val="24"/>
          <w:szCs w:val="24"/>
        </w:rPr>
        <w:t>月修订</w:t>
      </w:r>
      <w:r>
        <w:rPr>
          <w:spacing w:val="-59"/>
          <w:sz w:val="24"/>
          <w:szCs w:val="24"/>
        </w:rPr>
        <w:t>）；</w:t>
      </w:r>
    </w:p>
    <w:p w14:paraId="47ECF50F">
      <w:pPr>
        <w:pStyle w:val="2"/>
        <w:spacing w:before="137"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2</w:t>
      </w:r>
      <w:r>
        <w:rPr>
          <w:spacing w:val="-12"/>
          <w:sz w:val="24"/>
          <w:szCs w:val="24"/>
        </w:rPr>
        <w:t>）《云南省牛栏江保护条例》（</w:t>
      </w:r>
      <w:r>
        <w:rPr>
          <w:rFonts w:ascii="Times New Roman" w:hAnsi="Times New Roman" w:eastAsia="Times New Roman" w:cs="Times New Roman"/>
          <w:spacing w:val="-12"/>
          <w:sz w:val="24"/>
          <w:szCs w:val="24"/>
        </w:rPr>
        <w:t xml:space="preserve">2012 </w:t>
      </w:r>
      <w:r>
        <w:rPr>
          <w:spacing w:val="-12"/>
          <w:sz w:val="24"/>
          <w:szCs w:val="24"/>
        </w:rPr>
        <w:t>年</w:t>
      </w:r>
      <w:r>
        <w:rPr>
          <w:spacing w:val="-50"/>
          <w:sz w:val="24"/>
          <w:szCs w:val="24"/>
        </w:rPr>
        <w:t xml:space="preserve"> </w:t>
      </w:r>
      <w:r>
        <w:rPr>
          <w:rFonts w:ascii="Times New Roman" w:hAnsi="Times New Roman" w:eastAsia="Times New Roman" w:cs="Times New Roman"/>
          <w:spacing w:val="-12"/>
          <w:sz w:val="24"/>
          <w:szCs w:val="24"/>
        </w:rPr>
        <w:t>9</w:t>
      </w:r>
      <w:r>
        <w:rPr>
          <w:rFonts w:ascii="Times New Roman" w:hAnsi="Times New Roman" w:eastAsia="Times New Roman" w:cs="Times New Roman"/>
          <w:spacing w:val="15"/>
          <w:sz w:val="24"/>
          <w:szCs w:val="24"/>
        </w:rPr>
        <w:t xml:space="preserve"> </w:t>
      </w:r>
      <w:r>
        <w:rPr>
          <w:spacing w:val="-12"/>
          <w:sz w:val="24"/>
          <w:szCs w:val="24"/>
        </w:rPr>
        <w:t>月</w:t>
      </w:r>
      <w:r>
        <w:rPr>
          <w:spacing w:val="-42"/>
          <w:sz w:val="24"/>
          <w:szCs w:val="24"/>
        </w:rPr>
        <w:t>）；</w:t>
      </w:r>
    </w:p>
    <w:p w14:paraId="0B65CCF8">
      <w:pPr>
        <w:pStyle w:val="2"/>
        <w:spacing w:before="137" w:line="233" w:lineRule="auto"/>
        <w:ind w:left="525"/>
        <w:rPr>
          <w:sz w:val="24"/>
          <w:szCs w:val="24"/>
        </w:rPr>
      </w:pPr>
      <w:r>
        <w:rPr>
          <w:spacing w:val="-12"/>
          <w:sz w:val="24"/>
          <w:szCs w:val="24"/>
        </w:rPr>
        <w:t>（</w:t>
      </w:r>
      <w:r>
        <w:rPr>
          <w:rFonts w:ascii="Times New Roman" w:hAnsi="Times New Roman" w:eastAsia="Times New Roman" w:cs="Times New Roman"/>
          <w:spacing w:val="-12"/>
          <w:sz w:val="24"/>
          <w:szCs w:val="24"/>
        </w:rPr>
        <w:t>3</w:t>
      </w:r>
      <w:r>
        <w:rPr>
          <w:spacing w:val="-12"/>
          <w:sz w:val="24"/>
          <w:szCs w:val="24"/>
        </w:rPr>
        <w:t>）《云南省大气污染防治条例》（</w:t>
      </w:r>
      <w:r>
        <w:rPr>
          <w:rFonts w:ascii="Times New Roman" w:hAnsi="Times New Roman" w:eastAsia="Times New Roman" w:cs="Times New Roman"/>
          <w:spacing w:val="-12"/>
          <w:sz w:val="24"/>
          <w:szCs w:val="24"/>
        </w:rPr>
        <w:t xml:space="preserve">2018 </w:t>
      </w:r>
      <w:r>
        <w:rPr>
          <w:spacing w:val="-12"/>
          <w:sz w:val="24"/>
          <w:szCs w:val="24"/>
        </w:rPr>
        <w:t>年</w:t>
      </w:r>
      <w:r>
        <w:rPr>
          <w:spacing w:val="-30"/>
          <w:sz w:val="24"/>
          <w:szCs w:val="24"/>
        </w:rPr>
        <w:t xml:space="preserve"> </w:t>
      </w:r>
      <w:r>
        <w:rPr>
          <w:rFonts w:ascii="Times New Roman" w:hAnsi="Times New Roman" w:eastAsia="Times New Roman" w:cs="Times New Roman"/>
          <w:spacing w:val="-12"/>
          <w:sz w:val="24"/>
          <w:szCs w:val="24"/>
        </w:rPr>
        <w:t>11</w:t>
      </w:r>
      <w:r>
        <w:rPr>
          <w:rFonts w:ascii="Times New Roman" w:hAnsi="Times New Roman" w:eastAsia="Times New Roman" w:cs="Times New Roman"/>
          <w:spacing w:val="15"/>
          <w:sz w:val="24"/>
          <w:szCs w:val="24"/>
        </w:rPr>
        <w:t xml:space="preserve"> </w:t>
      </w:r>
      <w:r>
        <w:rPr>
          <w:spacing w:val="-12"/>
          <w:sz w:val="24"/>
          <w:szCs w:val="24"/>
        </w:rPr>
        <w:t>月</w:t>
      </w:r>
      <w:r>
        <w:rPr>
          <w:spacing w:val="-44"/>
          <w:sz w:val="24"/>
          <w:szCs w:val="24"/>
        </w:rPr>
        <w:t>）；</w:t>
      </w:r>
    </w:p>
    <w:p w14:paraId="6D215B86">
      <w:pPr>
        <w:pStyle w:val="2"/>
        <w:spacing w:before="137"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4</w:t>
      </w:r>
      <w:r>
        <w:rPr>
          <w:spacing w:val="-11"/>
          <w:sz w:val="24"/>
          <w:szCs w:val="24"/>
        </w:rPr>
        <w:t>）《云南省生物多样性保护条例》（</w:t>
      </w:r>
      <w:r>
        <w:rPr>
          <w:rFonts w:ascii="Times New Roman" w:hAnsi="Times New Roman" w:eastAsia="Times New Roman" w:cs="Times New Roman"/>
          <w:spacing w:val="-11"/>
          <w:sz w:val="24"/>
          <w:szCs w:val="24"/>
        </w:rPr>
        <w:t xml:space="preserve">2018 </w:t>
      </w:r>
      <w:r>
        <w:rPr>
          <w:spacing w:val="-11"/>
          <w:sz w:val="24"/>
          <w:szCs w:val="24"/>
        </w:rPr>
        <w:t>年</w:t>
      </w:r>
      <w:r>
        <w:rPr>
          <w:spacing w:val="-50"/>
          <w:sz w:val="24"/>
          <w:szCs w:val="24"/>
        </w:rPr>
        <w:t xml:space="preserve"> </w:t>
      </w:r>
      <w:r>
        <w:rPr>
          <w:rFonts w:ascii="Times New Roman" w:hAnsi="Times New Roman" w:eastAsia="Times New Roman" w:cs="Times New Roman"/>
          <w:spacing w:val="-11"/>
          <w:sz w:val="24"/>
          <w:szCs w:val="24"/>
        </w:rPr>
        <w:t>9</w:t>
      </w:r>
      <w:r>
        <w:rPr>
          <w:rFonts w:ascii="Times New Roman" w:hAnsi="Times New Roman" w:eastAsia="Times New Roman" w:cs="Times New Roman"/>
          <w:spacing w:val="15"/>
          <w:sz w:val="24"/>
          <w:szCs w:val="24"/>
        </w:rPr>
        <w:t xml:space="preserve"> </w:t>
      </w:r>
      <w:r>
        <w:rPr>
          <w:spacing w:val="-11"/>
          <w:sz w:val="24"/>
          <w:szCs w:val="24"/>
        </w:rPr>
        <w:t>月</w:t>
      </w:r>
      <w:r>
        <w:rPr>
          <w:spacing w:val="-43"/>
          <w:sz w:val="24"/>
          <w:szCs w:val="24"/>
        </w:rPr>
        <w:t>）；</w:t>
      </w:r>
    </w:p>
    <w:p w14:paraId="740155F1">
      <w:pPr>
        <w:pStyle w:val="2"/>
        <w:spacing w:before="138"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5</w:t>
      </w:r>
      <w:r>
        <w:rPr>
          <w:spacing w:val="-11"/>
          <w:sz w:val="24"/>
          <w:szCs w:val="24"/>
        </w:rPr>
        <w:t>）《云南省陆生野生动物保护条例》（</w:t>
      </w:r>
      <w:r>
        <w:rPr>
          <w:rFonts w:ascii="Times New Roman" w:hAnsi="Times New Roman" w:eastAsia="Times New Roman" w:cs="Times New Roman"/>
          <w:spacing w:val="-11"/>
          <w:sz w:val="24"/>
          <w:szCs w:val="24"/>
        </w:rPr>
        <w:t xml:space="preserve">1996 </w:t>
      </w:r>
      <w:r>
        <w:rPr>
          <w:spacing w:val="-11"/>
          <w:sz w:val="24"/>
          <w:szCs w:val="24"/>
        </w:rPr>
        <w:t>年</w:t>
      </w:r>
      <w:r>
        <w:rPr>
          <w:spacing w:val="-32"/>
          <w:sz w:val="24"/>
          <w:szCs w:val="24"/>
        </w:rPr>
        <w:t xml:space="preserve"> </w:t>
      </w:r>
      <w:r>
        <w:rPr>
          <w:rFonts w:ascii="Times New Roman" w:hAnsi="Times New Roman" w:eastAsia="Times New Roman" w:cs="Times New Roman"/>
          <w:spacing w:val="-11"/>
          <w:sz w:val="24"/>
          <w:szCs w:val="24"/>
        </w:rPr>
        <w:t>11</w:t>
      </w:r>
      <w:r>
        <w:rPr>
          <w:rFonts w:ascii="Times New Roman" w:hAnsi="Times New Roman" w:eastAsia="Times New Roman" w:cs="Times New Roman"/>
          <w:spacing w:val="15"/>
          <w:sz w:val="24"/>
          <w:szCs w:val="24"/>
        </w:rPr>
        <w:t xml:space="preserve"> </w:t>
      </w:r>
      <w:r>
        <w:rPr>
          <w:spacing w:val="-11"/>
          <w:sz w:val="24"/>
          <w:szCs w:val="24"/>
        </w:rPr>
        <w:t>月</w:t>
      </w:r>
      <w:r>
        <w:rPr>
          <w:spacing w:val="-45"/>
          <w:sz w:val="24"/>
          <w:szCs w:val="24"/>
        </w:rPr>
        <w:t>）；</w:t>
      </w:r>
    </w:p>
    <w:p w14:paraId="0F5689AA">
      <w:pPr>
        <w:pStyle w:val="2"/>
        <w:spacing w:before="136" w:line="233" w:lineRule="auto"/>
        <w:ind w:left="525"/>
        <w:rPr>
          <w:sz w:val="24"/>
          <w:szCs w:val="24"/>
        </w:rPr>
      </w:pPr>
      <w:r>
        <w:t>（6）《云南省实施</w:t>
      </w:r>
      <w:r>
        <w:rPr>
          <w:rFonts w:hint="eastAsia"/>
          <w:lang w:eastAsia="zh-CN"/>
        </w:rPr>
        <w:t>（</w:t>
      </w:r>
      <w:r>
        <w:t>中华人民共和国水法</w:t>
      </w:r>
      <w:r>
        <w:rPr>
          <w:rFonts w:hint="eastAsia"/>
          <w:lang w:eastAsia="zh-CN"/>
        </w:rPr>
        <w:t>）</w:t>
      </w:r>
      <w:bookmarkStart w:id="38" w:name="_GoBack"/>
      <w:bookmarkEnd w:id="38"/>
      <w:r>
        <w:t>办法》（2005 年 5 月修订）；</w:t>
      </w:r>
    </w:p>
    <w:p w14:paraId="56581744">
      <w:pPr>
        <w:pStyle w:val="2"/>
        <w:spacing w:before="137"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7</w:t>
      </w:r>
      <w:r>
        <w:rPr>
          <w:spacing w:val="-10"/>
          <w:sz w:val="24"/>
          <w:szCs w:val="24"/>
        </w:rPr>
        <w:t>）《云南省建设项目环境保护管理规定》（云南省政府令第</w:t>
      </w:r>
      <w:r>
        <w:rPr>
          <w:spacing w:val="-32"/>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6"/>
          <w:sz w:val="24"/>
          <w:szCs w:val="24"/>
        </w:rPr>
        <w:t xml:space="preserve"> </w:t>
      </w:r>
      <w:r>
        <w:rPr>
          <w:spacing w:val="-10"/>
          <w:sz w:val="24"/>
          <w:szCs w:val="24"/>
        </w:rPr>
        <w:t>号</w:t>
      </w:r>
      <w:r>
        <w:rPr>
          <w:spacing w:val="-52"/>
          <w:w w:val="76"/>
          <w:sz w:val="24"/>
          <w:szCs w:val="24"/>
        </w:rPr>
        <w:t>）（</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1"/>
          <w:sz w:val="24"/>
          <w:szCs w:val="24"/>
        </w:rPr>
        <w:t xml:space="preserve">002 </w:t>
      </w:r>
      <w:r>
        <w:rPr>
          <w:spacing w:val="-11"/>
          <w:sz w:val="24"/>
          <w:szCs w:val="24"/>
        </w:rPr>
        <w:t>年</w:t>
      </w:r>
    </w:p>
    <w:p w14:paraId="188048E8">
      <w:pPr>
        <w:pStyle w:val="2"/>
        <w:spacing w:before="138" w:line="233" w:lineRule="auto"/>
        <w:ind w:left="58"/>
        <w:rPr>
          <w:sz w:val="24"/>
          <w:szCs w:val="24"/>
        </w:rPr>
      </w:pPr>
      <w:r>
        <w:rPr>
          <w:rFonts w:ascii="Times New Roman" w:hAnsi="Times New Roman" w:eastAsia="Times New Roman" w:cs="Times New Roman"/>
          <w:spacing w:val="-22"/>
          <w:sz w:val="24"/>
          <w:szCs w:val="24"/>
        </w:rPr>
        <w:t>1</w:t>
      </w:r>
      <w:r>
        <w:rPr>
          <w:rFonts w:ascii="Times New Roman" w:hAnsi="Times New Roman" w:eastAsia="Times New Roman" w:cs="Times New Roman"/>
          <w:spacing w:val="15"/>
          <w:sz w:val="24"/>
          <w:szCs w:val="24"/>
        </w:rPr>
        <w:t xml:space="preserve"> </w:t>
      </w:r>
      <w:r>
        <w:rPr>
          <w:spacing w:val="-22"/>
          <w:sz w:val="24"/>
          <w:szCs w:val="24"/>
        </w:rPr>
        <w:t>月</w:t>
      </w:r>
      <w:r>
        <w:rPr>
          <w:spacing w:val="-45"/>
          <w:sz w:val="24"/>
          <w:szCs w:val="24"/>
        </w:rPr>
        <w:t>）；</w:t>
      </w:r>
    </w:p>
    <w:p w14:paraId="5EA4ADA0">
      <w:pPr>
        <w:pStyle w:val="2"/>
        <w:spacing w:before="135" w:line="233" w:lineRule="auto"/>
        <w:jc w:val="right"/>
        <w:rPr>
          <w:sz w:val="24"/>
          <w:szCs w:val="24"/>
        </w:rPr>
      </w:pPr>
      <w:r>
        <w:rPr>
          <w:spacing w:val="-14"/>
          <w:sz w:val="24"/>
          <w:szCs w:val="24"/>
        </w:rPr>
        <w:t>（</w:t>
      </w:r>
      <w:r>
        <w:rPr>
          <w:rFonts w:ascii="Times New Roman" w:hAnsi="Times New Roman" w:eastAsia="Times New Roman" w:cs="Times New Roman"/>
          <w:spacing w:val="-14"/>
          <w:sz w:val="24"/>
          <w:szCs w:val="24"/>
        </w:rPr>
        <w:t>8</w:t>
      </w:r>
      <w:r>
        <w:rPr>
          <w:spacing w:val="-14"/>
          <w:sz w:val="24"/>
          <w:szCs w:val="24"/>
        </w:rPr>
        <w:t>）《云南省人民政府关于实行最严格水资源管理制度的意见》（云政发〔</w:t>
      </w:r>
      <w:r>
        <w:rPr>
          <w:rFonts w:ascii="Times New Roman" w:hAnsi="Times New Roman" w:eastAsia="Times New Roman" w:cs="Times New Roman"/>
          <w:spacing w:val="-15"/>
          <w:sz w:val="24"/>
          <w:szCs w:val="24"/>
        </w:rPr>
        <w:t>2012</w:t>
      </w:r>
      <w:r>
        <w:rPr>
          <w:spacing w:val="-15"/>
          <w:sz w:val="24"/>
          <w:szCs w:val="24"/>
        </w:rPr>
        <w:t>〕</w:t>
      </w:r>
    </w:p>
    <w:p w14:paraId="6F03C0B0">
      <w:pPr>
        <w:pStyle w:val="2"/>
        <w:spacing w:before="138" w:line="235" w:lineRule="auto"/>
        <w:ind w:left="58"/>
        <w:rPr>
          <w:sz w:val="24"/>
          <w:szCs w:val="24"/>
        </w:rPr>
      </w:pPr>
      <w:r>
        <w:rPr>
          <w:rFonts w:ascii="Times New Roman" w:hAnsi="Times New Roman" w:eastAsia="Times New Roman" w:cs="Times New Roman"/>
          <w:spacing w:val="-11"/>
          <w:sz w:val="24"/>
          <w:szCs w:val="24"/>
        </w:rPr>
        <w:t>126</w:t>
      </w:r>
      <w:r>
        <w:rPr>
          <w:rFonts w:ascii="Times New Roman" w:hAnsi="Times New Roman" w:eastAsia="Times New Roman" w:cs="Times New Roman"/>
          <w:spacing w:val="15"/>
          <w:sz w:val="24"/>
          <w:szCs w:val="24"/>
        </w:rPr>
        <w:t xml:space="preserve"> </w:t>
      </w:r>
      <w:r>
        <w:rPr>
          <w:spacing w:val="-11"/>
          <w:sz w:val="24"/>
          <w:szCs w:val="24"/>
        </w:rPr>
        <w:t>号</w:t>
      </w:r>
      <w:r>
        <w:rPr>
          <w:spacing w:val="-45"/>
          <w:sz w:val="24"/>
          <w:szCs w:val="24"/>
        </w:rPr>
        <w:t>）；</w:t>
      </w:r>
    </w:p>
    <w:p w14:paraId="633B5613">
      <w:pPr>
        <w:pStyle w:val="2"/>
        <w:spacing w:before="136" w:line="233" w:lineRule="auto"/>
        <w:ind w:left="525"/>
        <w:rPr>
          <w:sz w:val="24"/>
          <w:szCs w:val="24"/>
        </w:rPr>
      </w:pPr>
      <w:r>
        <w:rPr>
          <w:spacing w:val="-10"/>
          <w:sz w:val="24"/>
          <w:szCs w:val="24"/>
        </w:rPr>
        <w:t>（</w:t>
      </w:r>
      <w:r>
        <w:rPr>
          <w:rFonts w:ascii="Times New Roman" w:hAnsi="Times New Roman" w:eastAsia="Times New Roman" w:cs="Times New Roman"/>
          <w:spacing w:val="-10"/>
          <w:sz w:val="24"/>
          <w:szCs w:val="24"/>
        </w:rPr>
        <w:t>9</w:t>
      </w:r>
      <w:r>
        <w:rPr>
          <w:spacing w:val="-10"/>
          <w:sz w:val="24"/>
          <w:szCs w:val="24"/>
        </w:rPr>
        <w:t>）《云南省水污染防治工作方案》（云政发〔</w:t>
      </w:r>
      <w:r>
        <w:rPr>
          <w:rFonts w:ascii="Times New Roman" w:hAnsi="Times New Roman" w:eastAsia="Times New Roman" w:cs="Times New Roman"/>
          <w:spacing w:val="-10"/>
          <w:sz w:val="24"/>
          <w:szCs w:val="24"/>
        </w:rPr>
        <w:t>2016</w:t>
      </w:r>
      <w:r>
        <w:rPr>
          <w:spacing w:val="-10"/>
          <w:sz w:val="24"/>
          <w:szCs w:val="24"/>
        </w:rPr>
        <w:t>〕</w:t>
      </w:r>
      <w:r>
        <w:rPr>
          <w:rFonts w:ascii="Times New Roman" w:hAnsi="Times New Roman" w:eastAsia="Times New Roman" w:cs="Times New Roman"/>
          <w:spacing w:val="-10"/>
          <w:sz w:val="24"/>
          <w:szCs w:val="24"/>
        </w:rPr>
        <w:t>3</w:t>
      </w:r>
      <w:r>
        <w:rPr>
          <w:rFonts w:ascii="Times New Roman" w:hAnsi="Times New Roman" w:eastAsia="Times New Roman" w:cs="Times New Roman"/>
          <w:spacing w:val="15"/>
          <w:w w:val="101"/>
          <w:sz w:val="24"/>
          <w:szCs w:val="24"/>
        </w:rPr>
        <w:t xml:space="preserve"> </w:t>
      </w:r>
      <w:r>
        <w:rPr>
          <w:spacing w:val="-10"/>
          <w:sz w:val="24"/>
          <w:szCs w:val="24"/>
        </w:rPr>
        <w:t>号</w:t>
      </w:r>
      <w:r>
        <w:rPr>
          <w:spacing w:val="-36"/>
          <w:sz w:val="24"/>
          <w:szCs w:val="24"/>
        </w:rPr>
        <w:t>）；</w:t>
      </w:r>
    </w:p>
    <w:p w14:paraId="68768E8E">
      <w:pPr>
        <w:pStyle w:val="2"/>
        <w:spacing w:before="135" w:line="340" w:lineRule="auto"/>
        <w:ind w:left="525" w:right="781"/>
        <w:rPr>
          <w:sz w:val="24"/>
          <w:szCs w:val="24"/>
        </w:rPr>
      </w:pPr>
      <w:r>
        <w:rPr>
          <w:spacing w:val="-8"/>
          <w:sz w:val="24"/>
          <w:szCs w:val="24"/>
        </w:rPr>
        <w:t>（</w:t>
      </w:r>
      <w:r>
        <w:rPr>
          <w:rFonts w:ascii="Times New Roman" w:hAnsi="Times New Roman" w:eastAsia="Times New Roman" w:cs="Times New Roman"/>
          <w:spacing w:val="-8"/>
          <w:sz w:val="24"/>
          <w:szCs w:val="24"/>
        </w:rPr>
        <w:t>10</w:t>
      </w:r>
      <w:r>
        <w:rPr>
          <w:spacing w:val="-8"/>
          <w:sz w:val="24"/>
          <w:szCs w:val="24"/>
        </w:rPr>
        <w:t>）《云南省城市节约用水管理实施办法》（云政发〔</w:t>
      </w:r>
      <w:r>
        <w:rPr>
          <w:rFonts w:ascii="Times New Roman" w:hAnsi="Times New Roman" w:eastAsia="Times New Roman" w:cs="Times New Roman"/>
          <w:spacing w:val="-8"/>
          <w:sz w:val="24"/>
          <w:szCs w:val="24"/>
        </w:rPr>
        <w:t>1993</w:t>
      </w:r>
      <w:r>
        <w:rPr>
          <w:spacing w:val="-8"/>
          <w:sz w:val="24"/>
          <w:szCs w:val="24"/>
        </w:rPr>
        <w:t>〕</w:t>
      </w:r>
      <w:r>
        <w:rPr>
          <w:rFonts w:ascii="Times New Roman" w:hAnsi="Times New Roman" w:eastAsia="Times New Roman" w:cs="Times New Roman"/>
          <w:spacing w:val="-8"/>
          <w:sz w:val="24"/>
          <w:szCs w:val="24"/>
        </w:rPr>
        <w:t>122</w:t>
      </w:r>
      <w:r>
        <w:rPr>
          <w:rFonts w:ascii="Times New Roman" w:hAnsi="Times New Roman" w:eastAsia="Times New Roman" w:cs="Times New Roman"/>
          <w:spacing w:val="17"/>
          <w:sz w:val="24"/>
          <w:szCs w:val="24"/>
        </w:rPr>
        <w:t xml:space="preserve"> </w:t>
      </w:r>
      <w:r>
        <w:rPr>
          <w:spacing w:val="-8"/>
          <w:sz w:val="24"/>
          <w:szCs w:val="24"/>
        </w:rPr>
        <w:t>号</w:t>
      </w:r>
      <w:r>
        <w:rPr>
          <w:spacing w:val="-56"/>
          <w:w w:val="88"/>
          <w:sz w:val="24"/>
          <w:szCs w:val="24"/>
        </w:rPr>
        <w:t>）；</w:t>
      </w:r>
      <w:r>
        <w:rPr>
          <w:sz w:val="24"/>
          <w:szCs w:val="24"/>
        </w:rPr>
        <w:t xml:space="preserve"> </w:t>
      </w:r>
      <w:r>
        <w:rPr>
          <w:spacing w:val="-9"/>
          <w:sz w:val="24"/>
          <w:szCs w:val="24"/>
        </w:rPr>
        <w:t>（</w:t>
      </w:r>
      <w:r>
        <w:rPr>
          <w:rFonts w:ascii="Times New Roman" w:hAnsi="Times New Roman" w:eastAsia="Times New Roman" w:cs="Times New Roman"/>
          <w:spacing w:val="-9"/>
          <w:sz w:val="24"/>
          <w:szCs w:val="24"/>
        </w:rPr>
        <w:t>11</w:t>
      </w:r>
      <w:r>
        <w:rPr>
          <w:spacing w:val="-9"/>
          <w:sz w:val="24"/>
          <w:szCs w:val="24"/>
        </w:rPr>
        <w:t>）《云南省第一批省级重点保护野生植物名录》（</w:t>
      </w:r>
      <w:r>
        <w:rPr>
          <w:rFonts w:ascii="Times New Roman" w:hAnsi="Times New Roman" w:eastAsia="Times New Roman" w:cs="Times New Roman"/>
          <w:spacing w:val="-9"/>
          <w:sz w:val="24"/>
          <w:szCs w:val="24"/>
        </w:rPr>
        <w:t xml:space="preserve">1989 </w:t>
      </w:r>
      <w:r>
        <w:rPr>
          <w:spacing w:val="-9"/>
          <w:sz w:val="24"/>
          <w:szCs w:val="24"/>
        </w:rPr>
        <w:t>年</w:t>
      </w:r>
      <w:r>
        <w:rPr>
          <w:spacing w:val="-61"/>
          <w:sz w:val="24"/>
          <w:szCs w:val="24"/>
        </w:rPr>
        <w:t>）；</w:t>
      </w:r>
    </w:p>
    <w:p w14:paraId="0312061D">
      <w:pPr>
        <w:spacing w:line="340" w:lineRule="auto"/>
        <w:rPr>
          <w:sz w:val="24"/>
          <w:szCs w:val="24"/>
        </w:rPr>
        <w:sectPr>
          <w:headerReference r:id="rId20" w:type="default"/>
          <w:footerReference r:id="rId21" w:type="default"/>
          <w:pgSz w:w="11908" w:h="16840"/>
          <w:pgMar w:top="1659" w:right="1500" w:bottom="1413" w:left="1671" w:header="1282" w:footer="1213" w:gutter="0"/>
          <w:cols w:space="720" w:num="1"/>
        </w:sectPr>
      </w:pPr>
    </w:p>
    <w:p w14:paraId="27103ADD">
      <w:pPr>
        <w:spacing w:line="455" w:lineRule="auto"/>
        <w:rPr>
          <w:rFonts w:ascii="Arial"/>
          <w:sz w:val="21"/>
        </w:rPr>
      </w:pPr>
    </w:p>
    <w:p w14:paraId="0E04D90F">
      <w:pPr>
        <w:pStyle w:val="2"/>
        <w:spacing w:before="78"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12</w:t>
      </w:r>
      <w:r>
        <w:rPr>
          <w:spacing w:val="-11"/>
          <w:sz w:val="24"/>
          <w:szCs w:val="24"/>
        </w:rPr>
        <w:t>）《云南省珍稀濒危植物保护管理暂行规定》（</w:t>
      </w:r>
      <w:r>
        <w:rPr>
          <w:rFonts w:ascii="Times New Roman" w:hAnsi="Times New Roman" w:eastAsia="Times New Roman" w:cs="Times New Roman"/>
          <w:spacing w:val="-11"/>
          <w:sz w:val="24"/>
          <w:szCs w:val="24"/>
        </w:rPr>
        <w:t xml:space="preserve">1995 </w:t>
      </w:r>
      <w:r>
        <w:rPr>
          <w:spacing w:val="-11"/>
          <w:sz w:val="24"/>
          <w:szCs w:val="24"/>
        </w:rPr>
        <w:t>年</w:t>
      </w:r>
      <w:r>
        <w:rPr>
          <w:spacing w:val="-49"/>
          <w:sz w:val="24"/>
          <w:szCs w:val="24"/>
        </w:rPr>
        <w:t xml:space="preserve"> </w:t>
      </w:r>
      <w:r>
        <w:rPr>
          <w:rFonts w:ascii="Times New Roman" w:hAnsi="Times New Roman" w:eastAsia="Times New Roman" w:cs="Times New Roman"/>
          <w:spacing w:val="-11"/>
          <w:sz w:val="24"/>
          <w:szCs w:val="24"/>
        </w:rPr>
        <w:t>6</w:t>
      </w:r>
      <w:r>
        <w:rPr>
          <w:rFonts w:ascii="Times New Roman" w:hAnsi="Times New Roman" w:eastAsia="Times New Roman" w:cs="Times New Roman"/>
          <w:spacing w:val="15"/>
          <w:sz w:val="24"/>
          <w:szCs w:val="24"/>
        </w:rPr>
        <w:t xml:space="preserve"> </w:t>
      </w:r>
      <w:r>
        <w:rPr>
          <w:spacing w:val="-11"/>
          <w:sz w:val="24"/>
          <w:szCs w:val="24"/>
        </w:rPr>
        <w:t>月</w:t>
      </w:r>
      <w:r>
        <w:rPr>
          <w:spacing w:val="-48"/>
          <w:sz w:val="24"/>
          <w:szCs w:val="24"/>
        </w:rPr>
        <w:t xml:space="preserve"> </w:t>
      </w:r>
      <w:r>
        <w:rPr>
          <w:rFonts w:ascii="Times New Roman" w:hAnsi="Times New Roman" w:eastAsia="Times New Roman" w:cs="Times New Roman"/>
          <w:spacing w:val="-11"/>
          <w:sz w:val="24"/>
          <w:szCs w:val="24"/>
        </w:rPr>
        <w:t xml:space="preserve">5  </w:t>
      </w:r>
      <w:r>
        <w:rPr>
          <w:spacing w:val="-11"/>
          <w:sz w:val="24"/>
          <w:szCs w:val="24"/>
        </w:rPr>
        <w:t>日</w:t>
      </w:r>
      <w:r>
        <w:rPr>
          <w:spacing w:val="-47"/>
          <w:sz w:val="24"/>
          <w:szCs w:val="24"/>
        </w:rPr>
        <w:t>）；</w:t>
      </w:r>
    </w:p>
    <w:p w14:paraId="301FC098">
      <w:pPr>
        <w:pStyle w:val="2"/>
        <w:spacing w:before="137"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13</w:t>
      </w:r>
      <w:r>
        <w:rPr>
          <w:spacing w:val="-11"/>
          <w:sz w:val="24"/>
          <w:szCs w:val="24"/>
        </w:rPr>
        <w:t>）《云南省珍稀保护动物名录》（</w:t>
      </w:r>
      <w:r>
        <w:rPr>
          <w:rFonts w:ascii="Times New Roman" w:hAnsi="Times New Roman" w:eastAsia="Times New Roman" w:cs="Times New Roman"/>
          <w:spacing w:val="-11"/>
          <w:sz w:val="24"/>
          <w:szCs w:val="24"/>
        </w:rPr>
        <w:t xml:space="preserve">1989 </w:t>
      </w:r>
      <w:r>
        <w:rPr>
          <w:spacing w:val="-11"/>
          <w:sz w:val="24"/>
          <w:szCs w:val="24"/>
        </w:rPr>
        <w:t>年</w:t>
      </w:r>
      <w:r>
        <w:rPr>
          <w:spacing w:val="-32"/>
          <w:sz w:val="24"/>
          <w:szCs w:val="24"/>
        </w:rPr>
        <w:t xml:space="preserve"> </w:t>
      </w:r>
      <w:r>
        <w:rPr>
          <w:rFonts w:ascii="Times New Roman" w:hAnsi="Times New Roman" w:eastAsia="Times New Roman" w:cs="Times New Roman"/>
          <w:spacing w:val="-11"/>
          <w:sz w:val="24"/>
          <w:szCs w:val="24"/>
        </w:rPr>
        <w:t>10</w:t>
      </w:r>
      <w:r>
        <w:rPr>
          <w:rFonts w:ascii="Times New Roman" w:hAnsi="Times New Roman" w:eastAsia="Times New Roman" w:cs="Times New Roman"/>
          <w:spacing w:val="16"/>
          <w:sz w:val="24"/>
          <w:szCs w:val="24"/>
        </w:rPr>
        <w:t xml:space="preserve"> </w:t>
      </w:r>
      <w:r>
        <w:rPr>
          <w:spacing w:val="-11"/>
          <w:sz w:val="24"/>
          <w:szCs w:val="24"/>
        </w:rPr>
        <w:t>月</w:t>
      </w:r>
      <w:r>
        <w:rPr>
          <w:rFonts w:ascii="Times New Roman" w:hAnsi="Times New Roman" w:eastAsia="Times New Roman" w:cs="Times New Roman"/>
          <w:spacing w:val="-11"/>
          <w:sz w:val="24"/>
          <w:szCs w:val="24"/>
        </w:rPr>
        <w:t xml:space="preserve">20  </w:t>
      </w:r>
      <w:r>
        <w:rPr>
          <w:spacing w:val="-11"/>
          <w:sz w:val="24"/>
          <w:szCs w:val="24"/>
        </w:rPr>
        <w:t>日</w:t>
      </w:r>
      <w:r>
        <w:rPr>
          <w:spacing w:val="-42"/>
          <w:sz w:val="24"/>
          <w:szCs w:val="24"/>
        </w:rPr>
        <w:t>）；</w:t>
      </w:r>
    </w:p>
    <w:p w14:paraId="131E8F9F">
      <w:pPr>
        <w:pStyle w:val="2"/>
        <w:spacing w:before="136" w:line="332" w:lineRule="auto"/>
        <w:ind w:left="41" w:right="348" w:firstLine="484"/>
        <w:rPr>
          <w:sz w:val="24"/>
          <w:szCs w:val="24"/>
        </w:rPr>
      </w:pPr>
      <w:r>
        <w:rPr>
          <w:spacing w:val="-8"/>
          <w:sz w:val="24"/>
          <w:szCs w:val="24"/>
        </w:rPr>
        <w:t>（</w:t>
      </w:r>
      <w:r>
        <w:rPr>
          <w:rFonts w:ascii="Times New Roman" w:hAnsi="Times New Roman" w:eastAsia="Times New Roman" w:cs="Times New Roman"/>
          <w:spacing w:val="-8"/>
          <w:sz w:val="24"/>
          <w:szCs w:val="24"/>
        </w:rPr>
        <w:t>14</w:t>
      </w:r>
      <w:r>
        <w:rPr>
          <w:spacing w:val="-8"/>
          <w:sz w:val="24"/>
          <w:szCs w:val="24"/>
        </w:rPr>
        <w:t>）《云南省地表水水环境功能区划（</w:t>
      </w:r>
      <w:r>
        <w:rPr>
          <w:rFonts w:ascii="Times New Roman" w:hAnsi="Times New Roman" w:eastAsia="Times New Roman" w:cs="Times New Roman"/>
          <w:spacing w:val="-8"/>
          <w:sz w:val="24"/>
          <w:szCs w:val="24"/>
        </w:rPr>
        <w:t>2010-2020</w:t>
      </w:r>
      <w:r>
        <w:rPr>
          <w:spacing w:val="-8"/>
          <w:sz w:val="24"/>
          <w:szCs w:val="24"/>
        </w:rPr>
        <w:t>）》（云环发〔</w:t>
      </w:r>
      <w:r>
        <w:rPr>
          <w:rFonts w:ascii="Times New Roman" w:hAnsi="Times New Roman" w:eastAsia="Times New Roman" w:cs="Times New Roman"/>
          <w:spacing w:val="-8"/>
          <w:sz w:val="24"/>
          <w:szCs w:val="24"/>
        </w:rPr>
        <w:t>2014</w:t>
      </w:r>
      <w:r>
        <w:rPr>
          <w:spacing w:val="-8"/>
          <w:sz w:val="24"/>
          <w:szCs w:val="24"/>
        </w:rPr>
        <w:t>〕</w:t>
      </w:r>
      <w:r>
        <w:rPr>
          <w:rFonts w:ascii="Times New Roman" w:hAnsi="Times New Roman" w:eastAsia="Times New Roman" w:cs="Times New Roman"/>
          <w:spacing w:val="-8"/>
          <w:sz w:val="24"/>
          <w:szCs w:val="24"/>
        </w:rPr>
        <w:t xml:space="preserve">34  </w:t>
      </w:r>
      <w:r>
        <w:rPr>
          <w:spacing w:val="-8"/>
          <w:sz w:val="24"/>
          <w:szCs w:val="24"/>
        </w:rPr>
        <w:t>号</w:t>
      </w:r>
      <w:r>
        <w:rPr>
          <w:spacing w:val="-16"/>
          <w:w w:val="76"/>
          <w:sz w:val="24"/>
          <w:szCs w:val="24"/>
        </w:rPr>
        <w:t>文</w:t>
      </w:r>
      <w:r>
        <w:rPr>
          <w:spacing w:val="-37"/>
          <w:sz w:val="24"/>
          <w:szCs w:val="24"/>
        </w:rPr>
        <w:t>）；</w:t>
      </w:r>
    </w:p>
    <w:p w14:paraId="7B953173">
      <w:pPr>
        <w:pStyle w:val="2"/>
        <w:spacing w:before="17" w:line="338" w:lineRule="auto"/>
        <w:ind w:left="58" w:right="270" w:firstLine="467"/>
        <w:rPr>
          <w:sz w:val="24"/>
          <w:szCs w:val="24"/>
        </w:rPr>
      </w:pPr>
      <w:r>
        <w:rPr>
          <w:spacing w:val="-14"/>
          <w:sz w:val="24"/>
          <w:szCs w:val="24"/>
        </w:rPr>
        <w:t>（</w:t>
      </w:r>
      <w:r>
        <w:rPr>
          <w:rFonts w:ascii="Times New Roman" w:hAnsi="Times New Roman" w:eastAsia="Times New Roman" w:cs="Times New Roman"/>
          <w:spacing w:val="-14"/>
          <w:sz w:val="24"/>
          <w:szCs w:val="24"/>
        </w:rPr>
        <w:t>15</w:t>
      </w:r>
      <w:r>
        <w:rPr>
          <w:spacing w:val="-14"/>
          <w:sz w:val="24"/>
          <w:szCs w:val="24"/>
        </w:rPr>
        <w:t>）《云南省人民政府关于划分水土流失重点防治区的公告》（云政发</w:t>
      </w:r>
      <w:r>
        <w:rPr>
          <w:spacing w:val="-15"/>
          <w:sz w:val="24"/>
          <w:szCs w:val="24"/>
        </w:rPr>
        <w:t>〔</w:t>
      </w:r>
      <w:r>
        <w:rPr>
          <w:rFonts w:ascii="Times New Roman" w:hAnsi="Times New Roman" w:eastAsia="Times New Roman" w:cs="Times New Roman"/>
          <w:spacing w:val="-15"/>
          <w:sz w:val="24"/>
          <w:szCs w:val="24"/>
        </w:rPr>
        <w:t>2007</w:t>
      </w:r>
      <w:r>
        <w:rPr>
          <w:spacing w:val="-15"/>
          <w:sz w:val="24"/>
          <w:szCs w:val="24"/>
        </w:rPr>
        <w:t>〕</w:t>
      </w:r>
      <w:r>
        <w:rPr>
          <w:sz w:val="24"/>
          <w:szCs w:val="24"/>
        </w:rPr>
        <w:t xml:space="preserve"> </w:t>
      </w:r>
      <w:r>
        <w:rPr>
          <w:rFonts w:ascii="Times New Roman" w:hAnsi="Times New Roman" w:eastAsia="Times New Roman" w:cs="Times New Roman"/>
          <w:spacing w:val="-26"/>
          <w:sz w:val="24"/>
          <w:szCs w:val="24"/>
        </w:rPr>
        <w:t>165</w:t>
      </w:r>
      <w:r>
        <w:rPr>
          <w:rFonts w:ascii="Times New Roman" w:hAnsi="Times New Roman" w:eastAsia="Times New Roman" w:cs="Times New Roman"/>
          <w:spacing w:val="15"/>
          <w:sz w:val="24"/>
          <w:szCs w:val="24"/>
        </w:rPr>
        <w:t xml:space="preserve"> </w:t>
      </w:r>
      <w:r>
        <w:rPr>
          <w:spacing w:val="-26"/>
          <w:sz w:val="24"/>
          <w:szCs w:val="24"/>
        </w:rPr>
        <w:t>号</w:t>
      </w:r>
      <w:r>
        <w:rPr>
          <w:spacing w:val="-38"/>
          <w:sz w:val="24"/>
          <w:szCs w:val="24"/>
        </w:rPr>
        <w:t>）；</w:t>
      </w:r>
    </w:p>
    <w:p w14:paraId="4AB10B2F">
      <w:pPr>
        <w:pStyle w:val="2"/>
        <w:spacing w:line="233" w:lineRule="auto"/>
        <w:ind w:left="525"/>
        <w:rPr>
          <w:sz w:val="24"/>
          <w:szCs w:val="24"/>
        </w:rPr>
      </w:pPr>
      <w:r>
        <w:rPr>
          <w:spacing w:val="-17"/>
          <w:sz w:val="24"/>
          <w:szCs w:val="24"/>
        </w:rPr>
        <w:t>（</w:t>
      </w:r>
      <w:r>
        <w:rPr>
          <w:rFonts w:ascii="Times New Roman" w:hAnsi="Times New Roman" w:eastAsia="Times New Roman" w:cs="Times New Roman"/>
          <w:spacing w:val="-17"/>
          <w:sz w:val="24"/>
          <w:szCs w:val="24"/>
        </w:rPr>
        <w:t>16</w:t>
      </w:r>
      <w:r>
        <w:rPr>
          <w:spacing w:val="-17"/>
          <w:sz w:val="24"/>
          <w:szCs w:val="24"/>
        </w:rPr>
        <w:t>）《云南省水功能区划》（</w:t>
      </w:r>
      <w:r>
        <w:rPr>
          <w:rFonts w:ascii="Times New Roman" w:hAnsi="Times New Roman" w:eastAsia="Times New Roman" w:cs="Times New Roman"/>
          <w:spacing w:val="-17"/>
          <w:sz w:val="24"/>
          <w:szCs w:val="24"/>
        </w:rPr>
        <w:t>2014</w:t>
      </w:r>
      <w:r>
        <w:rPr>
          <w:rFonts w:ascii="Times New Roman" w:hAnsi="Times New Roman" w:eastAsia="Times New Roman" w:cs="Times New Roman"/>
          <w:spacing w:val="11"/>
          <w:sz w:val="24"/>
          <w:szCs w:val="24"/>
        </w:rPr>
        <w:t xml:space="preserve"> </w:t>
      </w:r>
      <w:r>
        <w:rPr>
          <w:spacing w:val="-17"/>
          <w:sz w:val="24"/>
          <w:szCs w:val="24"/>
        </w:rPr>
        <w:t>年修订</w:t>
      </w:r>
      <w:r>
        <w:rPr>
          <w:spacing w:val="-15"/>
          <w:sz w:val="24"/>
          <w:szCs w:val="24"/>
        </w:rPr>
        <w:t>）；</w:t>
      </w:r>
    </w:p>
    <w:p w14:paraId="57229E7D">
      <w:pPr>
        <w:pStyle w:val="2"/>
        <w:spacing w:before="138" w:line="233" w:lineRule="auto"/>
        <w:ind w:left="525"/>
        <w:rPr>
          <w:sz w:val="24"/>
          <w:szCs w:val="24"/>
        </w:rPr>
      </w:pPr>
      <w:r>
        <w:rPr>
          <w:spacing w:val="-15"/>
          <w:sz w:val="24"/>
          <w:szCs w:val="24"/>
        </w:rPr>
        <w:t>（</w:t>
      </w:r>
      <w:r>
        <w:rPr>
          <w:rFonts w:ascii="Times New Roman" w:hAnsi="Times New Roman" w:eastAsia="Times New Roman" w:cs="Times New Roman"/>
          <w:spacing w:val="-15"/>
          <w:sz w:val="24"/>
          <w:szCs w:val="24"/>
        </w:rPr>
        <w:t>17</w:t>
      </w:r>
      <w:r>
        <w:rPr>
          <w:spacing w:val="-15"/>
          <w:sz w:val="24"/>
          <w:szCs w:val="24"/>
        </w:rPr>
        <w:t>）《云南省主体功能区规划》（</w:t>
      </w:r>
      <w:r>
        <w:rPr>
          <w:rFonts w:ascii="Times New Roman" w:hAnsi="Times New Roman" w:eastAsia="Times New Roman" w:cs="Times New Roman"/>
          <w:spacing w:val="-15"/>
          <w:sz w:val="24"/>
          <w:szCs w:val="24"/>
        </w:rPr>
        <w:t>2014</w:t>
      </w:r>
      <w:r>
        <w:rPr>
          <w:rFonts w:ascii="Times New Roman" w:hAnsi="Times New Roman" w:eastAsia="Times New Roman" w:cs="Times New Roman"/>
          <w:spacing w:val="11"/>
          <w:sz w:val="24"/>
          <w:szCs w:val="24"/>
        </w:rPr>
        <w:t xml:space="preserve"> </w:t>
      </w:r>
      <w:r>
        <w:rPr>
          <w:spacing w:val="-15"/>
          <w:sz w:val="24"/>
          <w:szCs w:val="24"/>
        </w:rPr>
        <w:t>年</w:t>
      </w:r>
      <w:r>
        <w:rPr>
          <w:spacing w:val="-37"/>
          <w:sz w:val="24"/>
          <w:szCs w:val="24"/>
        </w:rPr>
        <w:t>）；</w:t>
      </w:r>
    </w:p>
    <w:p w14:paraId="02179F91">
      <w:pPr>
        <w:pStyle w:val="2"/>
        <w:spacing w:before="136" w:line="233" w:lineRule="auto"/>
        <w:ind w:left="525"/>
        <w:rPr>
          <w:sz w:val="24"/>
          <w:szCs w:val="24"/>
        </w:rPr>
      </w:pPr>
      <w:r>
        <w:rPr>
          <w:spacing w:val="-18"/>
          <w:sz w:val="24"/>
          <w:szCs w:val="24"/>
        </w:rPr>
        <w:t>（</w:t>
      </w:r>
      <w:r>
        <w:rPr>
          <w:rFonts w:ascii="Times New Roman" w:hAnsi="Times New Roman" w:eastAsia="Times New Roman" w:cs="Times New Roman"/>
          <w:spacing w:val="-18"/>
          <w:sz w:val="24"/>
          <w:szCs w:val="24"/>
        </w:rPr>
        <w:t>18</w:t>
      </w:r>
      <w:r>
        <w:rPr>
          <w:spacing w:val="-18"/>
          <w:sz w:val="24"/>
          <w:szCs w:val="24"/>
        </w:rPr>
        <w:t>）《云南省生态功能区划》（</w:t>
      </w:r>
      <w:r>
        <w:rPr>
          <w:rFonts w:ascii="Times New Roman" w:hAnsi="Times New Roman" w:eastAsia="Times New Roman" w:cs="Times New Roman"/>
          <w:spacing w:val="-18"/>
          <w:sz w:val="24"/>
          <w:szCs w:val="24"/>
        </w:rPr>
        <w:t>2009</w:t>
      </w:r>
      <w:r>
        <w:rPr>
          <w:rFonts w:ascii="Times New Roman" w:hAnsi="Times New Roman" w:eastAsia="Times New Roman" w:cs="Times New Roman"/>
          <w:spacing w:val="21"/>
          <w:w w:val="101"/>
          <w:sz w:val="24"/>
          <w:szCs w:val="24"/>
        </w:rPr>
        <w:t xml:space="preserve"> </w:t>
      </w:r>
      <w:r>
        <w:rPr>
          <w:spacing w:val="-18"/>
          <w:sz w:val="24"/>
          <w:szCs w:val="24"/>
        </w:rPr>
        <w:t>年）。</w:t>
      </w:r>
    </w:p>
    <w:p w14:paraId="0006AC25">
      <w:pPr>
        <w:pStyle w:val="2"/>
        <w:spacing w:before="206" w:line="233" w:lineRule="auto"/>
        <w:ind w:left="37"/>
        <w:rPr>
          <w:sz w:val="30"/>
          <w:szCs w:val="30"/>
        </w:rPr>
      </w:pPr>
      <w:bookmarkStart w:id="9" w:name="bookmark9"/>
      <w:bookmarkEnd w:id="9"/>
      <w:r>
        <w:rPr>
          <w:rFonts w:ascii="Times New Roman" w:hAnsi="Times New Roman" w:eastAsia="Times New Roman" w:cs="Times New Roman"/>
          <w:b/>
          <w:bCs/>
          <w:spacing w:val="-4"/>
          <w:sz w:val="30"/>
          <w:szCs w:val="30"/>
        </w:rPr>
        <w:t>2.2</w:t>
      </w:r>
      <w:r>
        <w:rPr>
          <w:rFonts w:ascii="Times New Roman" w:hAnsi="Times New Roman" w:eastAsia="Times New Roman" w:cs="Times New Roman"/>
          <w:b/>
          <w:bCs/>
          <w:spacing w:val="26"/>
          <w:sz w:val="30"/>
          <w:szCs w:val="30"/>
        </w:rPr>
        <w:t xml:space="preserve"> </w:t>
      </w:r>
      <w:r>
        <w:rPr>
          <w:b/>
          <w:bCs/>
          <w:spacing w:val="-4"/>
          <w:sz w:val="30"/>
          <w:szCs w:val="30"/>
        </w:rPr>
        <w:t>技术规范和指南</w:t>
      </w:r>
    </w:p>
    <w:p w14:paraId="4CA743E3">
      <w:pPr>
        <w:pStyle w:val="2"/>
        <w:spacing w:before="53" w:line="233" w:lineRule="auto"/>
        <w:ind w:left="525"/>
        <w:rPr>
          <w:sz w:val="24"/>
          <w:szCs w:val="24"/>
        </w:rPr>
      </w:pPr>
      <w:r>
        <w:rPr>
          <w:spacing w:val="-13"/>
          <w:sz w:val="24"/>
          <w:szCs w:val="24"/>
        </w:rPr>
        <w:t>（</w:t>
      </w:r>
      <w:r>
        <w:rPr>
          <w:rFonts w:ascii="Times New Roman" w:hAnsi="Times New Roman" w:eastAsia="Times New Roman" w:cs="Times New Roman"/>
          <w:spacing w:val="-13"/>
          <w:sz w:val="24"/>
          <w:szCs w:val="24"/>
        </w:rPr>
        <w:t>1</w:t>
      </w:r>
      <w:r>
        <w:rPr>
          <w:spacing w:val="-13"/>
          <w:sz w:val="24"/>
          <w:szCs w:val="24"/>
        </w:rPr>
        <w:t>）《建设项目竣工环境保护设施验收技术规范</w:t>
      </w:r>
      <w:r>
        <w:rPr>
          <w:spacing w:val="26"/>
          <w:sz w:val="24"/>
          <w:szCs w:val="24"/>
        </w:rPr>
        <w:t xml:space="preserve"> </w:t>
      </w:r>
      <w:r>
        <w:rPr>
          <w:spacing w:val="-13"/>
          <w:sz w:val="24"/>
          <w:szCs w:val="24"/>
        </w:rPr>
        <w:t>生态影</w:t>
      </w:r>
      <w:r>
        <w:rPr>
          <w:spacing w:val="-14"/>
          <w:sz w:val="24"/>
          <w:szCs w:val="24"/>
        </w:rPr>
        <w:t>响类（征求意见稿）》；</w:t>
      </w:r>
    </w:p>
    <w:p w14:paraId="2A435983">
      <w:pPr>
        <w:pStyle w:val="2"/>
        <w:spacing w:before="137" w:line="233" w:lineRule="auto"/>
        <w:ind w:left="525"/>
        <w:rPr>
          <w:sz w:val="24"/>
          <w:szCs w:val="24"/>
        </w:rPr>
      </w:pPr>
      <w:r>
        <w:rPr>
          <w:spacing w:val="-8"/>
          <w:sz w:val="24"/>
          <w:szCs w:val="24"/>
        </w:rPr>
        <w:t>（</w:t>
      </w:r>
      <w:r>
        <w:rPr>
          <w:rFonts w:ascii="Times New Roman" w:hAnsi="Times New Roman" w:eastAsia="Times New Roman" w:cs="Times New Roman"/>
          <w:spacing w:val="-8"/>
          <w:sz w:val="24"/>
          <w:szCs w:val="24"/>
        </w:rPr>
        <w:t>2</w:t>
      </w:r>
      <w:r>
        <w:rPr>
          <w:spacing w:val="-8"/>
          <w:sz w:val="24"/>
          <w:szCs w:val="24"/>
        </w:rPr>
        <w:t>）《建设项目竣工环境保护验收技术规范</w:t>
      </w:r>
      <w:r>
        <w:rPr>
          <w:spacing w:val="27"/>
          <w:sz w:val="24"/>
          <w:szCs w:val="24"/>
        </w:rPr>
        <w:t xml:space="preserve"> </w:t>
      </w:r>
      <w:r>
        <w:rPr>
          <w:spacing w:val="-8"/>
          <w:sz w:val="24"/>
          <w:szCs w:val="24"/>
        </w:rPr>
        <w:t>水利水电》（</w:t>
      </w:r>
      <w:r>
        <w:rPr>
          <w:rFonts w:ascii="Times New Roman" w:hAnsi="Times New Roman" w:eastAsia="Times New Roman" w:cs="Times New Roman"/>
          <w:spacing w:val="-8"/>
          <w:sz w:val="24"/>
          <w:szCs w:val="24"/>
        </w:rPr>
        <w:t>HJ464-2009</w:t>
      </w:r>
      <w:r>
        <w:rPr>
          <w:spacing w:val="-63"/>
          <w:w w:val="99"/>
          <w:sz w:val="24"/>
          <w:szCs w:val="24"/>
        </w:rPr>
        <w:t>）；</w:t>
      </w:r>
    </w:p>
    <w:p w14:paraId="18C290AF">
      <w:pPr>
        <w:pStyle w:val="2"/>
        <w:spacing w:before="233" w:line="322" w:lineRule="auto"/>
        <w:ind w:left="41" w:firstLine="484"/>
        <w:rPr>
          <w:sz w:val="30"/>
          <w:szCs w:val="30"/>
        </w:rPr>
      </w:pPr>
      <w:r>
        <w:rPr>
          <w:spacing w:val="-9"/>
          <w:sz w:val="24"/>
          <w:szCs w:val="24"/>
        </w:rPr>
        <w:t>（</w:t>
      </w:r>
      <w:r>
        <w:rPr>
          <w:rFonts w:ascii="Times New Roman" w:hAnsi="Times New Roman" w:eastAsia="Times New Roman" w:cs="Times New Roman"/>
          <w:spacing w:val="-9"/>
          <w:sz w:val="24"/>
          <w:szCs w:val="24"/>
        </w:rPr>
        <w:t>3</w:t>
      </w:r>
      <w:r>
        <w:rPr>
          <w:spacing w:val="-9"/>
          <w:sz w:val="24"/>
          <w:szCs w:val="24"/>
        </w:rPr>
        <w:t>）《建设项目竣工环境保护验收技术规范</w:t>
      </w:r>
      <w:r>
        <w:rPr>
          <w:spacing w:val="26"/>
          <w:sz w:val="24"/>
          <w:szCs w:val="24"/>
        </w:rPr>
        <w:t xml:space="preserve"> </w:t>
      </w:r>
      <w:r>
        <w:rPr>
          <w:spacing w:val="-9"/>
          <w:sz w:val="24"/>
          <w:szCs w:val="24"/>
        </w:rPr>
        <w:t>生态影响类》（</w:t>
      </w:r>
      <w:r>
        <w:rPr>
          <w:rFonts w:ascii="Times New Roman" w:hAnsi="Times New Roman" w:eastAsia="Times New Roman" w:cs="Times New Roman"/>
          <w:spacing w:val="-9"/>
          <w:sz w:val="24"/>
          <w:szCs w:val="24"/>
        </w:rPr>
        <w:t>HJ/T394-200</w:t>
      </w:r>
      <w:r>
        <w:rPr>
          <w:rFonts w:ascii="Times New Roman" w:hAnsi="Times New Roman" w:eastAsia="Times New Roman" w:cs="Times New Roman"/>
          <w:spacing w:val="-10"/>
          <w:sz w:val="24"/>
          <w:szCs w:val="24"/>
        </w:rPr>
        <w:t>7</w:t>
      </w:r>
      <w:r>
        <w:rPr>
          <w:spacing w:val="-10"/>
          <w:sz w:val="24"/>
          <w:szCs w:val="24"/>
        </w:rPr>
        <w:t>）。</w:t>
      </w:r>
      <w:r>
        <w:rPr>
          <w:rFonts w:ascii="Times New Roman" w:hAnsi="Times New Roman" w:eastAsia="Times New Roman" w:cs="Times New Roman"/>
          <w:b/>
          <w:bCs/>
          <w:spacing w:val="-10"/>
          <w:sz w:val="30"/>
          <w:szCs w:val="30"/>
        </w:rPr>
        <w:t>2.3</w:t>
      </w:r>
      <w:bookmarkStart w:id="10" w:name="bookmark10"/>
      <w:bookmarkEnd w:id="10"/>
      <w:r>
        <w:rPr>
          <w:b/>
          <w:bCs/>
          <w:spacing w:val="-3"/>
          <w:sz w:val="30"/>
          <w:szCs w:val="30"/>
        </w:rPr>
        <w:t>环境影响报告书及环保部批复</w:t>
      </w:r>
    </w:p>
    <w:p w14:paraId="5EE91357">
      <w:pPr>
        <w:pStyle w:val="2"/>
        <w:spacing w:before="212" w:line="339" w:lineRule="auto"/>
        <w:ind w:left="40" w:right="365" w:firstLine="485"/>
        <w:rPr>
          <w:sz w:val="24"/>
          <w:szCs w:val="24"/>
        </w:rPr>
      </w:pPr>
      <w:r>
        <w:rPr>
          <w:spacing w:val="-8"/>
          <w:sz w:val="24"/>
          <w:szCs w:val="24"/>
        </w:rPr>
        <w:t>（</w:t>
      </w:r>
      <w:r>
        <w:rPr>
          <w:rFonts w:ascii="Times New Roman" w:hAnsi="Times New Roman" w:eastAsia="Times New Roman" w:cs="Times New Roman"/>
          <w:spacing w:val="-8"/>
          <w:sz w:val="24"/>
          <w:szCs w:val="24"/>
        </w:rPr>
        <w:t>1</w:t>
      </w:r>
      <w:r>
        <w:rPr>
          <w:spacing w:val="-8"/>
          <w:sz w:val="24"/>
          <w:szCs w:val="24"/>
        </w:rPr>
        <w:t>）《云南省曲靖市车马碧水库工程环境影响报告书》，中国电</w:t>
      </w:r>
      <w:r>
        <w:rPr>
          <w:spacing w:val="-9"/>
          <w:sz w:val="24"/>
          <w:szCs w:val="24"/>
        </w:rPr>
        <w:t>建集团北京勘</w:t>
      </w:r>
      <w:r>
        <w:rPr>
          <w:spacing w:val="-4"/>
          <w:sz w:val="24"/>
          <w:szCs w:val="24"/>
        </w:rPr>
        <w:t>测设计研究院有限公司，</w:t>
      </w:r>
      <w:r>
        <w:rPr>
          <w:rFonts w:ascii="Times New Roman" w:hAnsi="Times New Roman" w:eastAsia="Times New Roman" w:cs="Times New Roman"/>
          <w:spacing w:val="-4"/>
          <w:sz w:val="24"/>
          <w:szCs w:val="24"/>
        </w:rPr>
        <w:t xml:space="preserve">2016 </w:t>
      </w:r>
      <w:r>
        <w:rPr>
          <w:spacing w:val="-4"/>
          <w:sz w:val="24"/>
          <w:szCs w:val="24"/>
        </w:rPr>
        <w:t>年</w:t>
      </w:r>
      <w:r>
        <w:rPr>
          <w:spacing w:val="-27"/>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5"/>
          <w:sz w:val="24"/>
          <w:szCs w:val="24"/>
        </w:rPr>
        <w:t xml:space="preserve"> </w:t>
      </w:r>
      <w:r>
        <w:rPr>
          <w:spacing w:val="-4"/>
          <w:sz w:val="24"/>
          <w:szCs w:val="24"/>
        </w:rPr>
        <w:t>月；</w:t>
      </w:r>
    </w:p>
    <w:p w14:paraId="3252A51D">
      <w:pPr>
        <w:pStyle w:val="2"/>
        <w:spacing w:before="1" w:line="339" w:lineRule="auto"/>
        <w:ind w:left="58" w:right="150" w:firstLine="467"/>
        <w:rPr>
          <w:sz w:val="24"/>
          <w:szCs w:val="24"/>
        </w:rPr>
      </w:pPr>
      <w:r>
        <w:rPr>
          <w:spacing w:val="-14"/>
          <w:sz w:val="24"/>
          <w:szCs w:val="24"/>
        </w:rPr>
        <w:t>（</w:t>
      </w:r>
      <w:r>
        <w:rPr>
          <w:rFonts w:ascii="Times New Roman" w:hAnsi="Times New Roman" w:eastAsia="Times New Roman" w:cs="Times New Roman"/>
          <w:spacing w:val="-14"/>
          <w:sz w:val="24"/>
          <w:szCs w:val="24"/>
        </w:rPr>
        <w:t>2</w:t>
      </w:r>
      <w:r>
        <w:rPr>
          <w:spacing w:val="-14"/>
          <w:sz w:val="24"/>
          <w:szCs w:val="24"/>
        </w:rPr>
        <w:t>）《关于云南省曲靖市车马碧水库工程环境影响报告书的批复》，环审</w:t>
      </w:r>
      <w:r>
        <w:rPr>
          <w:spacing w:val="-15"/>
          <w:sz w:val="24"/>
          <w:szCs w:val="24"/>
        </w:rPr>
        <w:t>〔</w:t>
      </w:r>
      <w:r>
        <w:rPr>
          <w:rFonts w:ascii="Times New Roman" w:hAnsi="Times New Roman" w:eastAsia="Times New Roman" w:cs="Times New Roman"/>
          <w:spacing w:val="-15"/>
          <w:sz w:val="24"/>
          <w:szCs w:val="24"/>
        </w:rPr>
        <w:t>2016</w:t>
      </w:r>
      <w:r>
        <w:rPr>
          <w:spacing w:val="-15"/>
          <w:sz w:val="24"/>
          <w:szCs w:val="24"/>
        </w:rPr>
        <w:t>〕</w:t>
      </w:r>
      <w:r>
        <w:rPr>
          <w:sz w:val="24"/>
          <w:szCs w:val="24"/>
        </w:rPr>
        <w:t xml:space="preserve"> </w:t>
      </w:r>
      <w:r>
        <w:rPr>
          <w:rFonts w:ascii="Times New Roman" w:hAnsi="Times New Roman" w:eastAsia="Times New Roman" w:cs="Times New Roman"/>
          <w:spacing w:val="-30"/>
          <w:sz w:val="24"/>
          <w:szCs w:val="24"/>
        </w:rPr>
        <w:t>125</w:t>
      </w:r>
      <w:r>
        <w:rPr>
          <w:rFonts w:ascii="Times New Roman" w:hAnsi="Times New Roman" w:eastAsia="Times New Roman" w:cs="Times New Roman"/>
          <w:spacing w:val="15"/>
          <w:sz w:val="24"/>
          <w:szCs w:val="24"/>
        </w:rPr>
        <w:t xml:space="preserve"> </w:t>
      </w:r>
      <w:r>
        <w:rPr>
          <w:spacing w:val="-30"/>
          <w:sz w:val="24"/>
          <w:szCs w:val="24"/>
        </w:rPr>
        <w:t>号）。</w:t>
      </w:r>
    </w:p>
    <w:p w14:paraId="159EFA59">
      <w:pPr>
        <w:pStyle w:val="2"/>
        <w:spacing w:before="66" w:line="233" w:lineRule="auto"/>
        <w:ind w:left="37"/>
        <w:rPr>
          <w:sz w:val="30"/>
          <w:szCs w:val="30"/>
        </w:rPr>
      </w:pPr>
      <w:bookmarkStart w:id="11" w:name="bookmark11"/>
      <w:bookmarkEnd w:id="11"/>
      <w:r>
        <w:rPr>
          <w:rFonts w:ascii="Times New Roman" w:hAnsi="Times New Roman" w:eastAsia="Times New Roman" w:cs="Times New Roman"/>
          <w:b/>
          <w:bCs/>
          <w:spacing w:val="-4"/>
          <w:sz w:val="30"/>
          <w:szCs w:val="30"/>
        </w:rPr>
        <w:t>2.4</w:t>
      </w:r>
      <w:r>
        <w:rPr>
          <w:rFonts w:ascii="Times New Roman" w:hAnsi="Times New Roman" w:eastAsia="Times New Roman" w:cs="Times New Roman"/>
          <w:b/>
          <w:bCs/>
          <w:spacing w:val="23"/>
          <w:sz w:val="30"/>
          <w:szCs w:val="30"/>
        </w:rPr>
        <w:t xml:space="preserve"> </w:t>
      </w:r>
      <w:r>
        <w:rPr>
          <w:b/>
          <w:bCs/>
          <w:spacing w:val="-4"/>
          <w:sz w:val="30"/>
          <w:szCs w:val="30"/>
        </w:rPr>
        <w:t>其它相关文件</w:t>
      </w:r>
    </w:p>
    <w:p w14:paraId="1A4240EB">
      <w:pPr>
        <w:pStyle w:val="2"/>
        <w:spacing w:before="234" w:line="338" w:lineRule="auto"/>
        <w:ind w:left="43" w:right="349" w:firstLine="482"/>
        <w:rPr>
          <w:sz w:val="24"/>
          <w:szCs w:val="24"/>
        </w:rPr>
      </w:pPr>
      <w:r>
        <w:rPr>
          <w:spacing w:val="-8"/>
          <w:sz w:val="24"/>
          <w:szCs w:val="24"/>
        </w:rPr>
        <w:t>（</w:t>
      </w:r>
      <w:r>
        <w:rPr>
          <w:rFonts w:ascii="Times New Roman" w:hAnsi="Times New Roman" w:eastAsia="Times New Roman" w:cs="Times New Roman"/>
          <w:spacing w:val="-8"/>
          <w:sz w:val="24"/>
          <w:szCs w:val="24"/>
        </w:rPr>
        <w:t>1</w:t>
      </w:r>
      <w:r>
        <w:rPr>
          <w:spacing w:val="-8"/>
          <w:sz w:val="24"/>
          <w:szCs w:val="24"/>
        </w:rPr>
        <w:t>）《云南省曲靖市车马碧水库工程可行性研究报告》，云南省水利水电勘测</w:t>
      </w:r>
      <w:r>
        <w:rPr>
          <w:spacing w:val="-4"/>
          <w:sz w:val="24"/>
          <w:szCs w:val="24"/>
        </w:rPr>
        <w:t>设计研究院，</w:t>
      </w:r>
      <w:r>
        <w:rPr>
          <w:rFonts w:ascii="Times New Roman" w:hAnsi="Times New Roman" w:eastAsia="Times New Roman" w:cs="Times New Roman"/>
          <w:spacing w:val="-4"/>
          <w:sz w:val="24"/>
          <w:szCs w:val="24"/>
        </w:rPr>
        <w:t xml:space="preserve">2016 </w:t>
      </w:r>
      <w:r>
        <w:rPr>
          <w:spacing w:val="-4"/>
          <w:sz w:val="24"/>
          <w:szCs w:val="24"/>
        </w:rPr>
        <w:t>年</w:t>
      </w:r>
      <w:r>
        <w:rPr>
          <w:spacing w:val="-50"/>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15"/>
          <w:w w:val="101"/>
          <w:sz w:val="24"/>
          <w:szCs w:val="24"/>
        </w:rPr>
        <w:t xml:space="preserve"> </w:t>
      </w:r>
      <w:r>
        <w:rPr>
          <w:spacing w:val="-4"/>
          <w:sz w:val="24"/>
          <w:szCs w:val="24"/>
        </w:rPr>
        <w:t>月；</w:t>
      </w:r>
    </w:p>
    <w:p w14:paraId="58A174C3">
      <w:pPr>
        <w:pStyle w:val="2"/>
        <w:spacing w:before="1" w:line="338" w:lineRule="auto"/>
        <w:ind w:left="38" w:right="352" w:firstLine="487"/>
        <w:rPr>
          <w:sz w:val="24"/>
          <w:szCs w:val="24"/>
        </w:rPr>
      </w:pPr>
      <w:r>
        <w:rPr>
          <w:spacing w:val="-1"/>
          <w:sz w:val="24"/>
          <w:szCs w:val="24"/>
        </w:rPr>
        <w:t>（</w:t>
      </w:r>
      <w:r>
        <w:rPr>
          <w:rFonts w:ascii="Times New Roman" w:hAnsi="Times New Roman" w:eastAsia="Times New Roman" w:cs="Times New Roman"/>
          <w:spacing w:val="-1"/>
          <w:sz w:val="24"/>
          <w:szCs w:val="24"/>
        </w:rPr>
        <w:t>2</w:t>
      </w:r>
      <w:r>
        <w:rPr>
          <w:spacing w:val="-1"/>
          <w:sz w:val="24"/>
          <w:szCs w:val="24"/>
        </w:rPr>
        <w:t>）《国家发展改革委关于云南省曲靖市车马碧水库工程可行性研究报告的</w:t>
      </w:r>
      <w:r>
        <w:rPr>
          <w:spacing w:val="-9"/>
          <w:sz w:val="24"/>
          <w:szCs w:val="24"/>
        </w:rPr>
        <w:t>批复》，发改农经〔</w:t>
      </w:r>
      <w:r>
        <w:rPr>
          <w:rFonts w:ascii="Times New Roman" w:hAnsi="Times New Roman" w:eastAsia="Times New Roman" w:cs="Times New Roman"/>
          <w:spacing w:val="-9"/>
          <w:sz w:val="24"/>
          <w:szCs w:val="24"/>
        </w:rPr>
        <w:t>2016</w:t>
      </w:r>
      <w:r>
        <w:rPr>
          <w:spacing w:val="-9"/>
          <w:sz w:val="24"/>
          <w:szCs w:val="24"/>
        </w:rPr>
        <w:t>〕</w:t>
      </w:r>
      <w:r>
        <w:rPr>
          <w:rFonts w:ascii="Times New Roman" w:hAnsi="Times New Roman" w:eastAsia="Times New Roman" w:cs="Times New Roman"/>
          <w:spacing w:val="-9"/>
          <w:sz w:val="24"/>
          <w:szCs w:val="24"/>
        </w:rPr>
        <w:t>2843</w:t>
      </w:r>
      <w:r>
        <w:rPr>
          <w:rFonts w:ascii="Times New Roman" w:hAnsi="Times New Roman" w:eastAsia="Times New Roman" w:cs="Times New Roman"/>
          <w:spacing w:val="30"/>
          <w:sz w:val="24"/>
          <w:szCs w:val="24"/>
        </w:rPr>
        <w:t xml:space="preserve"> </w:t>
      </w:r>
      <w:r>
        <w:rPr>
          <w:spacing w:val="-9"/>
          <w:sz w:val="24"/>
          <w:szCs w:val="24"/>
        </w:rPr>
        <w:t>号；</w:t>
      </w:r>
    </w:p>
    <w:p w14:paraId="21EE0DB1">
      <w:pPr>
        <w:pStyle w:val="2"/>
        <w:spacing w:before="2" w:line="338" w:lineRule="auto"/>
        <w:ind w:left="39" w:right="350" w:firstLine="486"/>
        <w:rPr>
          <w:sz w:val="24"/>
          <w:szCs w:val="24"/>
        </w:rPr>
      </w:pPr>
      <w:r>
        <w:rPr>
          <w:spacing w:val="-8"/>
          <w:sz w:val="24"/>
          <w:szCs w:val="24"/>
        </w:rPr>
        <w:t>（</w:t>
      </w:r>
      <w:r>
        <w:rPr>
          <w:rFonts w:ascii="Times New Roman" w:hAnsi="Times New Roman" w:eastAsia="Times New Roman" w:cs="Times New Roman"/>
          <w:spacing w:val="-8"/>
          <w:sz w:val="24"/>
          <w:szCs w:val="24"/>
        </w:rPr>
        <w:t>3</w:t>
      </w:r>
      <w:r>
        <w:rPr>
          <w:spacing w:val="-8"/>
          <w:sz w:val="24"/>
          <w:szCs w:val="24"/>
        </w:rPr>
        <w:t>）《云南省曲靖市车马碧水库工程初步设计报告》，云南省水利水电勘测设</w:t>
      </w:r>
      <w:r>
        <w:rPr>
          <w:spacing w:val="-5"/>
          <w:sz w:val="24"/>
          <w:szCs w:val="24"/>
        </w:rPr>
        <w:t>计研究院，</w:t>
      </w:r>
      <w:r>
        <w:rPr>
          <w:rFonts w:ascii="Times New Roman" w:hAnsi="Times New Roman" w:eastAsia="Times New Roman" w:cs="Times New Roman"/>
          <w:spacing w:val="-5"/>
          <w:sz w:val="24"/>
          <w:szCs w:val="24"/>
        </w:rPr>
        <w:t xml:space="preserve">2015 </w:t>
      </w:r>
      <w:r>
        <w:rPr>
          <w:spacing w:val="-5"/>
          <w:sz w:val="24"/>
          <w:szCs w:val="24"/>
        </w:rPr>
        <w:t>年</w:t>
      </w:r>
      <w:r>
        <w:rPr>
          <w:spacing w:val="-36"/>
          <w:sz w:val="24"/>
          <w:szCs w:val="24"/>
        </w:rPr>
        <w:t xml:space="preserve"> </w:t>
      </w:r>
      <w:r>
        <w:rPr>
          <w:rFonts w:ascii="Times New Roman" w:hAnsi="Times New Roman" w:eastAsia="Times New Roman" w:cs="Times New Roman"/>
          <w:spacing w:val="-5"/>
          <w:sz w:val="24"/>
          <w:szCs w:val="24"/>
        </w:rPr>
        <w:t>8</w:t>
      </w:r>
      <w:r>
        <w:rPr>
          <w:rFonts w:ascii="Times New Roman" w:hAnsi="Times New Roman" w:eastAsia="Times New Roman" w:cs="Times New Roman"/>
          <w:spacing w:val="15"/>
          <w:sz w:val="24"/>
          <w:szCs w:val="24"/>
        </w:rPr>
        <w:t xml:space="preserve"> </w:t>
      </w:r>
      <w:r>
        <w:rPr>
          <w:spacing w:val="-5"/>
          <w:sz w:val="24"/>
          <w:szCs w:val="24"/>
        </w:rPr>
        <w:t>月；</w:t>
      </w:r>
    </w:p>
    <w:p w14:paraId="5C8DDAAD">
      <w:pPr>
        <w:pStyle w:val="2"/>
        <w:spacing w:before="1" w:line="338" w:lineRule="auto"/>
        <w:ind w:left="40" w:right="349" w:firstLine="485"/>
        <w:rPr>
          <w:sz w:val="24"/>
          <w:szCs w:val="24"/>
        </w:rPr>
      </w:pPr>
      <w:r>
        <w:rPr>
          <w:spacing w:val="-8"/>
          <w:sz w:val="24"/>
          <w:szCs w:val="24"/>
        </w:rPr>
        <w:t>（</w:t>
      </w:r>
      <w:r>
        <w:rPr>
          <w:rFonts w:ascii="Times New Roman" w:hAnsi="Times New Roman" w:eastAsia="Times New Roman" w:cs="Times New Roman"/>
          <w:spacing w:val="-8"/>
          <w:sz w:val="24"/>
          <w:szCs w:val="24"/>
        </w:rPr>
        <w:t>4</w:t>
      </w:r>
      <w:r>
        <w:rPr>
          <w:spacing w:val="-8"/>
          <w:sz w:val="24"/>
          <w:szCs w:val="24"/>
        </w:rPr>
        <w:t>）《水利部关于云南省曲靖市车马碧水库工程初步设计报告的批复》，云水</w:t>
      </w:r>
      <w:r>
        <w:rPr>
          <w:spacing w:val="-4"/>
          <w:sz w:val="24"/>
          <w:szCs w:val="24"/>
        </w:rPr>
        <w:t>规计〔</w:t>
      </w:r>
      <w:r>
        <w:rPr>
          <w:rFonts w:ascii="Times New Roman" w:hAnsi="Times New Roman" w:eastAsia="Times New Roman" w:cs="Times New Roman"/>
          <w:spacing w:val="-4"/>
          <w:sz w:val="24"/>
          <w:szCs w:val="24"/>
        </w:rPr>
        <w:t>2017</w:t>
      </w:r>
      <w:r>
        <w:rPr>
          <w:spacing w:val="-4"/>
          <w:sz w:val="24"/>
          <w:szCs w:val="24"/>
        </w:rPr>
        <w:t>〕</w:t>
      </w:r>
      <w:r>
        <w:rPr>
          <w:rFonts w:ascii="Times New Roman" w:hAnsi="Times New Roman" w:eastAsia="Times New Roman" w:cs="Times New Roman"/>
          <w:spacing w:val="-4"/>
          <w:sz w:val="24"/>
          <w:szCs w:val="24"/>
        </w:rPr>
        <w:t>48</w:t>
      </w:r>
      <w:r>
        <w:rPr>
          <w:rFonts w:ascii="Times New Roman" w:hAnsi="Times New Roman" w:eastAsia="Times New Roman" w:cs="Times New Roman"/>
          <w:spacing w:val="16"/>
          <w:sz w:val="24"/>
          <w:szCs w:val="24"/>
        </w:rPr>
        <w:t xml:space="preserve"> </w:t>
      </w:r>
      <w:r>
        <w:rPr>
          <w:spacing w:val="-4"/>
          <w:sz w:val="24"/>
          <w:szCs w:val="24"/>
        </w:rPr>
        <w:t>号；</w:t>
      </w:r>
    </w:p>
    <w:p w14:paraId="245F2C4A">
      <w:pPr>
        <w:pStyle w:val="2"/>
        <w:spacing w:before="1" w:line="232" w:lineRule="auto"/>
        <w:ind w:left="525"/>
        <w:rPr>
          <w:sz w:val="24"/>
          <w:szCs w:val="24"/>
        </w:rPr>
      </w:pPr>
      <w:r>
        <w:rPr>
          <w:spacing w:val="-4"/>
          <w:sz w:val="24"/>
          <w:szCs w:val="24"/>
        </w:rPr>
        <w:t>（</w:t>
      </w:r>
      <w:r>
        <w:rPr>
          <w:rFonts w:ascii="Times New Roman" w:hAnsi="Times New Roman" w:eastAsia="Times New Roman" w:cs="Times New Roman"/>
          <w:spacing w:val="-4"/>
          <w:sz w:val="24"/>
          <w:szCs w:val="24"/>
        </w:rPr>
        <w:t>5</w:t>
      </w:r>
      <w:r>
        <w:rPr>
          <w:spacing w:val="-4"/>
          <w:sz w:val="24"/>
          <w:szCs w:val="24"/>
        </w:rPr>
        <w:t>）《云南省曲靖市车马碧水库工程技施设计阶段水库库底清理技术方案》，</w:t>
      </w:r>
    </w:p>
    <w:p w14:paraId="694CD93A">
      <w:pPr>
        <w:spacing w:line="232" w:lineRule="auto"/>
        <w:rPr>
          <w:sz w:val="24"/>
          <w:szCs w:val="24"/>
        </w:rPr>
        <w:sectPr>
          <w:headerReference r:id="rId22" w:type="default"/>
          <w:footerReference r:id="rId23" w:type="default"/>
          <w:pgSz w:w="11908" w:h="16840"/>
          <w:pgMar w:top="1659" w:right="1349" w:bottom="1413" w:left="1671" w:header="1282" w:footer="1213" w:gutter="0"/>
          <w:cols w:space="720" w:num="1"/>
        </w:sectPr>
      </w:pPr>
    </w:p>
    <w:p w14:paraId="5B544A4C">
      <w:pPr>
        <w:spacing w:line="454" w:lineRule="auto"/>
        <w:rPr>
          <w:rFonts w:ascii="Arial"/>
          <w:sz w:val="21"/>
        </w:rPr>
      </w:pPr>
    </w:p>
    <w:p w14:paraId="10E337D1">
      <w:pPr>
        <w:pStyle w:val="2"/>
        <w:spacing w:before="78" w:line="233" w:lineRule="auto"/>
        <w:ind w:left="45"/>
        <w:rPr>
          <w:sz w:val="24"/>
          <w:szCs w:val="24"/>
        </w:rPr>
      </w:pPr>
      <w:r>
        <w:rPr>
          <w:spacing w:val="-3"/>
          <w:sz w:val="24"/>
          <w:szCs w:val="24"/>
        </w:rPr>
        <w:t>云南省水利水电勘测设计研究院，</w:t>
      </w:r>
      <w:r>
        <w:rPr>
          <w:rFonts w:ascii="Times New Roman" w:hAnsi="Times New Roman" w:eastAsia="Times New Roman" w:cs="Times New Roman"/>
          <w:spacing w:val="-3"/>
          <w:sz w:val="24"/>
          <w:szCs w:val="24"/>
        </w:rPr>
        <w:t>2018</w:t>
      </w:r>
      <w:r>
        <w:rPr>
          <w:rFonts w:ascii="Times New Roman" w:hAnsi="Times New Roman" w:eastAsia="Times New Roman" w:cs="Times New Roman"/>
          <w:spacing w:val="-4"/>
          <w:sz w:val="24"/>
          <w:szCs w:val="24"/>
        </w:rPr>
        <w:t xml:space="preserve">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10</w:t>
      </w:r>
      <w:r>
        <w:rPr>
          <w:rFonts w:ascii="Times New Roman" w:hAnsi="Times New Roman" w:eastAsia="Times New Roman" w:cs="Times New Roman"/>
          <w:spacing w:val="16"/>
          <w:sz w:val="24"/>
          <w:szCs w:val="24"/>
        </w:rPr>
        <w:t xml:space="preserve"> </w:t>
      </w:r>
      <w:r>
        <w:rPr>
          <w:spacing w:val="-4"/>
          <w:sz w:val="24"/>
          <w:szCs w:val="24"/>
        </w:rPr>
        <w:t>月；</w:t>
      </w:r>
    </w:p>
    <w:p w14:paraId="5198F056">
      <w:pPr>
        <w:pStyle w:val="2"/>
        <w:spacing w:before="138" w:line="232" w:lineRule="auto"/>
        <w:ind w:left="525"/>
        <w:rPr>
          <w:sz w:val="24"/>
          <w:szCs w:val="24"/>
        </w:rPr>
      </w:pPr>
      <w:r>
        <w:pict>
          <v:shape id="_x0000_s1027" o:spid="_x0000_s1027" o:spt="202" type="#_x0000_t202" style="position:absolute;left:0pt;margin-left:307.6pt;margin-top:13.35pt;height:7.4pt;width:3.9pt;z-index:251672576;mso-width-relative:page;mso-height-relative:page;" filled="f" stroked="f" coordsize="21600,21600">
            <v:path/>
            <v:fill on="f" focussize="0,0"/>
            <v:stroke on="f"/>
            <v:imagedata o:title=""/>
            <o:lock v:ext="edit" aspectratio="f"/>
            <v:textbox inset="0mm,0mm,0mm,0mm">
              <w:txbxContent>
                <w:p w14:paraId="14DA14A3">
                  <w:pPr>
                    <w:pStyle w:val="2"/>
                    <w:spacing w:before="20" w:line="107" w:lineRule="exact"/>
                    <w:jc w:val="right"/>
                    <w:rPr>
                      <w:sz w:val="24"/>
                      <w:szCs w:val="24"/>
                    </w:rPr>
                  </w:pPr>
                  <w:r>
                    <w:rPr>
                      <w:spacing w:val="-10"/>
                      <w:w w:val="39"/>
                      <w:position w:val="3"/>
                      <w:sz w:val="24"/>
                      <w:szCs w:val="24"/>
                    </w:rPr>
                    <w:t>,</w:t>
                  </w:r>
                </w:p>
              </w:txbxContent>
            </v:textbox>
          </v:shape>
        </w:pict>
      </w:r>
      <w:r>
        <w:rPr>
          <w:spacing w:val="-4"/>
          <w:sz w:val="24"/>
          <w:szCs w:val="24"/>
        </w:rPr>
        <w:t>（</w:t>
      </w:r>
      <w:r>
        <w:rPr>
          <w:rFonts w:ascii="Times New Roman" w:hAnsi="Times New Roman" w:eastAsia="Times New Roman" w:cs="Times New Roman"/>
          <w:spacing w:val="-4"/>
          <w:sz w:val="24"/>
          <w:szCs w:val="24"/>
        </w:rPr>
        <w:t>6</w:t>
      </w:r>
      <w:r>
        <w:rPr>
          <w:spacing w:val="-4"/>
          <w:sz w:val="24"/>
          <w:szCs w:val="24"/>
        </w:rPr>
        <w:t>）《曲靖市车马碧水库工程库底清理专项验收报告》</w:t>
      </w:r>
      <w:r>
        <w:rPr>
          <w:spacing w:val="-5"/>
          <w:sz w:val="24"/>
          <w:szCs w:val="24"/>
        </w:rPr>
        <w:t xml:space="preserve"> 车马碧水库工程库底</w:t>
      </w:r>
    </w:p>
    <w:p w14:paraId="44BEE68F">
      <w:pPr>
        <w:pStyle w:val="2"/>
        <w:spacing w:before="137" w:line="233" w:lineRule="auto"/>
        <w:ind w:left="39"/>
        <w:rPr>
          <w:sz w:val="24"/>
          <w:szCs w:val="24"/>
        </w:rPr>
      </w:pPr>
      <w:r>
        <w:rPr>
          <w:spacing w:val="-3"/>
          <w:sz w:val="24"/>
          <w:szCs w:val="24"/>
        </w:rPr>
        <w:t>清理专项验收委员会，</w:t>
      </w:r>
      <w:r>
        <w:rPr>
          <w:rFonts w:ascii="Times New Roman" w:hAnsi="Times New Roman" w:eastAsia="Times New Roman" w:cs="Times New Roman"/>
          <w:spacing w:val="-3"/>
          <w:sz w:val="24"/>
          <w:szCs w:val="24"/>
        </w:rPr>
        <w:t xml:space="preserve">2020 </w:t>
      </w:r>
      <w:r>
        <w:rPr>
          <w:spacing w:val="-3"/>
          <w:sz w:val="24"/>
          <w:szCs w:val="24"/>
        </w:rPr>
        <w:t>年</w:t>
      </w:r>
      <w:r>
        <w:rPr>
          <w:spacing w:val="-26"/>
          <w:sz w:val="24"/>
          <w:szCs w:val="24"/>
        </w:rPr>
        <w:t xml:space="preserve"> </w:t>
      </w:r>
      <w:r>
        <w:rPr>
          <w:rFonts w:ascii="Times New Roman" w:hAnsi="Times New Roman" w:eastAsia="Times New Roman" w:cs="Times New Roman"/>
          <w:spacing w:val="-3"/>
          <w:sz w:val="24"/>
          <w:szCs w:val="24"/>
        </w:rPr>
        <w:t>12</w:t>
      </w:r>
      <w:r>
        <w:rPr>
          <w:rFonts w:ascii="Times New Roman" w:hAnsi="Times New Roman" w:eastAsia="Times New Roman" w:cs="Times New Roman"/>
          <w:spacing w:val="16"/>
          <w:sz w:val="24"/>
          <w:szCs w:val="24"/>
        </w:rPr>
        <w:t xml:space="preserve"> </w:t>
      </w:r>
      <w:r>
        <w:rPr>
          <w:spacing w:val="-3"/>
          <w:sz w:val="24"/>
          <w:szCs w:val="24"/>
        </w:rPr>
        <w:t>月；</w:t>
      </w:r>
    </w:p>
    <w:p w14:paraId="1B06C21E">
      <w:pPr>
        <w:pStyle w:val="2"/>
        <w:spacing w:before="137" w:line="233" w:lineRule="auto"/>
        <w:ind w:left="525"/>
        <w:rPr>
          <w:sz w:val="24"/>
          <w:szCs w:val="24"/>
        </w:rPr>
      </w:pPr>
      <w:r>
        <w:rPr>
          <w:spacing w:val="-1"/>
          <w:sz w:val="24"/>
          <w:szCs w:val="24"/>
        </w:rPr>
        <w:t>（</w:t>
      </w:r>
      <w:r>
        <w:rPr>
          <w:rFonts w:ascii="Times New Roman" w:hAnsi="Times New Roman" w:eastAsia="Times New Roman" w:cs="Times New Roman"/>
          <w:spacing w:val="-1"/>
          <w:sz w:val="24"/>
          <w:szCs w:val="24"/>
        </w:rPr>
        <w:t>7</w:t>
      </w:r>
      <w:r>
        <w:rPr>
          <w:spacing w:val="-1"/>
          <w:sz w:val="24"/>
          <w:szCs w:val="24"/>
        </w:rPr>
        <w:t>）《云南省曲靖市车马碧水库工程下闸蓄水阶段建设征地移民安置终验报</w:t>
      </w:r>
    </w:p>
    <w:p w14:paraId="6668DB6E">
      <w:pPr>
        <w:pStyle w:val="2"/>
        <w:spacing w:before="138" w:line="218" w:lineRule="auto"/>
        <w:jc w:val="right"/>
        <w:rPr>
          <w:sz w:val="24"/>
          <w:szCs w:val="24"/>
        </w:rPr>
      </w:pPr>
      <w:r>
        <w:rPr>
          <w:spacing w:val="-3"/>
          <w:sz w:val="24"/>
          <w:szCs w:val="24"/>
        </w:rPr>
        <w:t>告》，云南省曲靖市车马碧水库工程下闸蓄水阶段建设征地移民安置终验委员会，</w:t>
      </w:r>
    </w:p>
    <w:p w14:paraId="2C7A98B5">
      <w:pPr>
        <w:pStyle w:val="2"/>
        <w:spacing w:before="156" w:line="233" w:lineRule="auto"/>
        <w:ind w:left="35"/>
        <w:rPr>
          <w:sz w:val="24"/>
          <w:szCs w:val="24"/>
        </w:rPr>
      </w:pPr>
      <w:r>
        <w:rPr>
          <w:rFonts w:ascii="Times New Roman" w:hAnsi="Times New Roman" w:eastAsia="Times New Roman" w:cs="Times New Roman"/>
          <w:spacing w:val="-9"/>
          <w:sz w:val="24"/>
          <w:szCs w:val="24"/>
        </w:rPr>
        <w:t xml:space="preserve">2021 </w:t>
      </w:r>
      <w:r>
        <w:rPr>
          <w:spacing w:val="-9"/>
          <w:sz w:val="24"/>
          <w:szCs w:val="24"/>
        </w:rPr>
        <w:t>年</w:t>
      </w:r>
      <w:r>
        <w:rPr>
          <w:spacing w:val="-20"/>
          <w:sz w:val="24"/>
          <w:szCs w:val="24"/>
        </w:rPr>
        <w:t xml:space="preserve"> </w:t>
      </w:r>
      <w:r>
        <w:rPr>
          <w:rFonts w:ascii="Times New Roman" w:hAnsi="Times New Roman" w:eastAsia="Times New Roman" w:cs="Times New Roman"/>
          <w:spacing w:val="-9"/>
          <w:sz w:val="24"/>
          <w:szCs w:val="24"/>
        </w:rPr>
        <w:t>1</w:t>
      </w:r>
      <w:r>
        <w:rPr>
          <w:rFonts w:ascii="Times New Roman" w:hAnsi="Times New Roman" w:eastAsia="Times New Roman" w:cs="Times New Roman"/>
          <w:spacing w:val="15"/>
          <w:sz w:val="24"/>
          <w:szCs w:val="24"/>
        </w:rPr>
        <w:t xml:space="preserve"> </w:t>
      </w:r>
      <w:r>
        <w:rPr>
          <w:spacing w:val="-9"/>
          <w:sz w:val="24"/>
          <w:szCs w:val="24"/>
        </w:rPr>
        <w:t>月</w:t>
      </w:r>
      <w:r>
        <w:rPr>
          <w:spacing w:val="-55"/>
          <w:sz w:val="24"/>
          <w:szCs w:val="24"/>
        </w:rPr>
        <w:t xml:space="preserve"> </w:t>
      </w:r>
      <w:r>
        <w:rPr>
          <w:rFonts w:ascii="Times New Roman" w:hAnsi="Times New Roman" w:eastAsia="Times New Roman" w:cs="Times New Roman"/>
          <w:spacing w:val="-9"/>
          <w:sz w:val="24"/>
          <w:szCs w:val="24"/>
        </w:rPr>
        <w:t xml:space="preserve">20  </w:t>
      </w:r>
      <w:r>
        <w:rPr>
          <w:spacing w:val="-9"/>
          <w:sz w:val="24"/>
          <w:szCs w:val="24"/>
        </w:rPr>
        <w:t>日；</w:t>
      </w:r>
    </w:p>
    <w:p w14:paraId="2A6AE762">
      <w:pPr>
        <w:pStyle w:val="2"/>
        <w:spacing w:before="136" w:line="233" w:lineRule="auto"/>
        <w:ind w:left="525"/>
        <w:rPr>
          <w:sz w:val="24"/>
          <w:szCs w:val="24"/>
        </w:rPr>
      </w:pPr>
      <w:r>
        <w:rPr>
          <w:spacing w:val="-5"/>
          <w:sz w:val="24"/>
          <w:szCs w:val="24"/>
        </w:rPr>
        <w:t>（</w:t>
      </w:r>
      <w:r>
        <w:rPr>
          <w:rFonts w:ascii="Times New Roman" w:hAnsi="Times New Roman" w:eastAsia="Times New Roman" w:cs="Times New Roman"/>
          <w:spacing w:val="-5"/>
          <w:sz w:val="24"/>
          <w:szCs w:val="24"/>
        </w:rPr>
        <w:t>8</w:t>
      </w:r>
      <w:r>
        <w:rPr>
          <w:spacing w:val="-5"/>
          <w:sz w:val="24"/>
          <w:szCs w:val="24"/>
        </w:rPr>
        <w:t>）《云南省搬迁安置办公室关于印发</w:t>
      </w:r>
      <w:r>
        <w:rPr>
          <w:rFonts w:ascii="Times New Roman" w:hAnsi="Times New Roman" w:eastAsia="Times New Roman" w:cs="Times New Roman"/>
          <w:spacing w:val="-5"/>
          <w:sz w:val="24"/>
          <w:szCs w:val="24"/>
        </w:rPr>
        <w:t>&lt;</w:t>
      </w:r>
      <w:r>
        <w:rPr>
          <w:spacing w:val="-5"/>
          <w:sz w:val="24"/>
          <w:szCs w:val="24"/>
        </w:rPr>
        <w:t>云南省曲靖市车马碧水库工程下闸蓄</w:t>
      </w:r>
    </w:p>
    <w:p w14:paraId="48916E1D">
      <w:pPr>
        <w:pStyle w:val="2"/>
        <w:spacing w:before="138" w:line="215" w:lineRule="auto"/>
        <w:ind w:left="42"/>
        <w:rPr>
          <w:sz w:val="24"/>
          <w:szCs w:val="24"/>
        </w:rPr>
      </w:pPr>
      <w:r>
        <w:rPr>
          <w:spacing w:val="-1"/>
          <w:sz w:val="24"/>
          <w:szCs w:val="24"/>
        </w:rPr>
        <w:t>水阶段建设征地移民安置终验报告</w:t>
      </w:r>
      <w:r>
        <w:rPr>
          <w:rFonts w:ascii="Times New Roman" w:hAnsi="Times New Roman" w:eastAsia="Times New Roman" w:cs="Times New Roman"/>
          <w:spacing w:val="-1"/>
          <w:sz w:val="24"/>
          <w:szCs w:val="24"/>
        </w:rPr>
        <w:t>&gt;</w:t>
      </w:r>
      <w:r>
        <w:rPr>
          <w:spacing w:val="-1"/>
          <w:sz w:val="24"/>
          <w:szCs w:val="24"/>
        </w:rPr>
        <w:t>》的通知，云搬发</w:t>
      </w:r>
      <w:r>
        <w:rPr>
          <w:rFonts w:hint="eastAsia"/>
          <w:spacing w:val="-1"/>
          <w:sz w:val="24"/>
          <w:szCs w:val="24"/>
          <w:lang w:eastAsia="zh-CN"/>
        </w:rPr>
        <w:t>【</w:t>
      </w:r>
      <w:r>
        <w:rPr>
          <w:rFonts w:ascii="Times New Roman" w:hAnsi="Times New Roman" w:eastAsia="Times New Roman" w:cs="Times New Roman"/>
          <w:spacing w:val="-1"/>
          <w:sz w:val="24"/>
          <w:szCs w:val="24"/>
        </w:rPr>
        <w:t>2021</w:t>
      </w:r>
      <w:r>
        <w:rPr>
          <w:rFonts w:hint="eastAsia"/>
          <w:spacing w:val="-1"/>
          <w:sz w:val="24"/>
          <w:szCs w:val="24"/>
          <w:lang w:eastAsia="zh-CN"/>
        </w:rPr>
        <w:t>】</w:t>
      </w:r>
      <w:r>
        <w:rPr>
          <w:rFonts w:ascii="Times New Roman" w:hAnsi="Times New Roman" w:eastAsia="Times New Roman" w:cs="Times New Roman"/>
          <w:spacing w:val="-1"/>
          <w:sz w:val="24"/>
          <w:szCs w:val="24"/>
        </w:rPr>
        <w:t>19</w:t>
      </w:r>
      <w:r>
        <w:rPr>
          <w:rFonts w:ascii="Times New Roman" w:hAnsi="Times New Roman" w:eastAsia="Times New Roman" w:cs="Times New Roman"/>
          <w:spacing w:val="21"/>
          <w:sz w:val="24"/>
          <w:szCs w:val="24"/>
        </w:rPr>
        <w:t xml:space="preserve"> </w:t>
      </w:r>
      <w:r>
        <w:rPr>
          <w:spacing w:val="-1"/>
          <w:sz w:val="24"/>
          <w:szCs w:val="24"/>
        </w:rPr>
        <w:t>号；</w:t>
      </w:r>
    </w:p>
    <w:p w14:paraId="28807900">
      <w:pPr>
        <w:pStyle w:val="2"/>
        <w:spacing w:before="159" w:line="232" w:lineRule="auto"/>
        <w:ind w:left="525"/>
        <w:rPr>
          <w:sz w:val="24"/>
          <w:szCs w:val="24"/>
        </w:rPr>
      </w:pPr>
      <w:r>
        <w:rPr>
          <w:spacing w:val="-8"/>
          <w:sz w:val="24"/>
          <w:szCs w:val="24"/>
        </w:rPr>
        <w:t>（</w:t>
      </w:r>
      <w:r>
        <w:rPr>
          <w:rFonts w:ascii="Times New Roman" w:hAnsi="Times New Roman" w:eastAsia="Times New Roman" w:cs="Times New Roman"/>
          <w:spacing w:val="-8"/>
          <w:sz w:val="24"/>
          <w:szCs w:val="24"/>
        </w:rPr>
        <w:t>9</w:t>
      </w:r>
      <w:r>
        <w:rPr>
          <w:spacing w:val="-8"/>
          <w:sz w:val="24"/>
          <w:szCs w:val="24"/>
        </w:rPr>
        <w:t>）《云南省曲靖市车马碧水库工程蓄水安全鉴定报告》，云南省水利水电勘</w:t>
      </w:r>
    </w:p>
    <w:p w14:paraId="37E5A829">
      <w:pPr>
        <w:pStyle w:val="2"/>
        <w:spacing w:before="139" w:line="233" w:lineRule="auto"/>
        <w:ind w:left="40"/>
        <w:rPr>
          <w:sz w:val="24"/>
          <w:szCs w:val="24"/>
        </w:rPr>
      </w:pPr>
      <w:r>
        <w:rPr>
          <w:spacing w:val="-3"/>
          <w:sz w:val="24"/>
          <w:szCs w:val="24"/>
        </w:rPr>
        <w:t>测设计院，</w:t>
      </w:r>
      <w:r>
        <w:rPr>
          <w:rFonts w:ascii="Times New Roman" w:hAnsi="Times New Roman" w:eastAsia="Times New Roman" w:cs="Times New Roman"/>
          <w:spacing w:val="-3"/>
          <w:sz w:val="24"/>
          <w:szCs w:val="24"/>
        </w:rPr>
        <w:t xml:space="preserve">2021 </w:t>
      </w:r>
      <w:r>
        <w:rPr>
          <w:spacing w:val="-3"/>
          <w:sz w:val="24"/>
          <w:szCs w:val="24"/>
        </w:rPr>
        <w:t>年</w:t>
      </w:r>
      <w:r>
        <w:rPr>
          <w:spacing w:val="-45"/>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16"/>
          <w:sz w:val="24"/>
          <w:szCs w:val="24"/>
        </w:rPr>
        <w:t xml:space="preserve"> </w:t>
      </w:r>
      <w:r>
        <w:rPr>
          <w:spacing w:val="-3"/>
          <w:sz w:val="24"/>
          <w:szCs w:val="24"/>
        </w:rPr>
        <w:t>月；</w:t>
      </w:r>
    </w:p>
    <w:p w14:paraId="2A7D5537">
      <w:pPr>
        <w:pStyle w:val="2"/>
        <w:spacing w:before="137"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10</w:t>
      </w:r>
      <w:r>
        <w:rPr>
          <w:spacing w:val="-11"/>
          <w:sz w:val="24"/>
          <w:szCs w:val="24"/>
        </w:rPr>
        <w:t>）《云南省曲靖市车马碧水库工程下闸蓄水阶段验收鉴定书》，云南省曲靖</w:t>
      </w:r>
    </w:p>
    <w:p w14:paraId="1EB16F22">
      <w:pPr>
        <w:pStyle w:val="2"/>
        <w:spacing w:before="136" w:line="233" w:lineRule="auto"/>
        <w:ind w:left="45"/>
        <w:rPr>
          <w:sz w:val="24"/>
          <w:szCs w:val="24"/>
        </w:rPr>
      </w:pPr>
      <w:r>
        <w:rPr>
          <w:spacing w:val="-4"/>
          <w:sz w:val="24"/>
          <w:szCs w:val="24"/>
        </w:rPr>
        <w:t>市车马碧水库工程下闸蓄水阶段验收委员会，</w:t>
      </w:r>
      <w:r>
        <w:rPr>
          <w:rFonts w:ascii="Times New Roman" w:hAnsi="Times New Roman" w:eastAsia="Times New Roman" w:cs="Times New Roman"/>
          <w:spacing w:val="-4"/>
          <w:sz w:val="24"/>
          <w:szCs w:val="24"/>
        </w:rPr>
        <w:t xml:space="preserve">2021 </w:t>
      </w:r>
      <w:r>
        <w:rPr>
          <w:spacing w:val="-4"/>
          <w:sz w:val="24"/>
          <w:szCs w:val="24"/>
        </w:rPr>
        <w:t>年</w:t>
      </w:r>
      <w:r>
        <w:rPr>
          <w:spacing w:val="-48"/>
          <w:sz w:val="24"/>
          <w:szCs w:val="24"/>
        </w:rPr>
        <w:t xml:space="preserve"> </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15"/>
          <w:w w:val="101"/>
          <w:sz w:val="24"/>
          <w:szCs w:val="24"/>
        </w:rPr>
        <w:t xml:space="preserve"> </w:t>
      </w:r>
      <w:r>
        <w:rPr>
          <w:spacing w:val="-4"/>
          <w:sz w:val="24"/>
          <w:szCs w:val="24"/>
        </w:rPr>
        <w:t>月</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日；</w:t>
      </w:r>
    </w:p>
    <w:p w14:paraId="065552B7">
      <w:pPr>
        <w:pStyle w:val="2"/>
        <w:spacing w:before="138" w:line="233"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11</w:t>
      </w:r>
      <w:r>
        <w:rPr>
          <w:spacing w:val="-11"/>
          <w:sz w:val="24"/>
          <w:szCs w:val="24"/>
        </w:rPr>
        <w:t>）《云南省曲靖市车马碧水库工程蓄水计划和调度方案》，云南省水利水电</w:t>
      </w:r>
    </w:p>
    <w:p w14:paraId="13628BC9">
      <w:pPr>
        <w:pStyle w:val="2"/>
        <w:spacing w:before="138" w:line="233" w:lineRule="auto"/>
        <w:ind w:left="38"/>
        <w:rPr>
          <w:sz w:val="24"/>
          <w:szCs w:val="24"/>
        </w:rPr>
      </w:pPr>
      <w:r>
        <w:rPr>
          <w:spacing w:val="-2"/>
          <w:sz w:val="24"/>
          <w:szCs w:val="24"/>
        </w:rPr>
        <w:t>勘测设计研究院，</w:t>
      </w:r>
      <w:r>
        <w:rPr>
          <w:rFonts w:ascii="Times New Roman" w:hAnsi="Times New Roman" w:eastAsia="Times New Roman" w:cs="Times New Roman"/>
          <w:spacing w:val="-2"/>
          <w:sz w:val="24"/>
          <w:szCs w:val="24"/>
        </w:rPr>
        <w:t xml:space="preserve">2021 </w:t>
      </w:r>
      <w:r>
        <w:rPr>
          <w:spacing w:val="-2"/>
          <w:sz w:val="24"/>
          <w:szCs w:val="24"/>
        </w:rPr>
        <w:t>年</w:t>
      </w:r>
      <w:r>
        <w:rPr>
          <w:spacing w:val="-50"/>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15"/>
          <w:sz w:val="24"/>
          <w:szCs w:val="24"/>
        </w:rPr>
        <w:t xml:space="preserve"> </w:t>
      </w:r>
      <w:r>
        <w:rPr>
          <w:spacing w:val="-2"/>
          <w:sz w:val="24"/>
          <w:szCs w:val="24"/>
        </w:rPr>
        <w:t>月；</w:t>
      </w:r>
    </w:p>
    <w:p w14:paraId="43866870">
      <w:pPr>
        <w:pStyle w:val="2"/>
        <w:spacing w:before="136" w:line="232"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12</w:t>
      </w:r>
      <w:r>
        <w:rPr>
          <w:spacing w:val="-11"/>
          <w:sz w:val="24"/>
          <w:szCs w:val="24"/>
        </w:rPr>
        <w:t>）《云南省曲靖市车马碧水库工程施工期生态监测报告》，云南环绿环境监</w:t>
      </w:r>
    </w:p>
    <w:p w14:paraId="3B888911">
      <w:pPr>
        <w:pStyle w:val="2"/>
        <w:spacing w:before="140" w:line="233" w:lineRule="auto"/>
        <w:ind w:left="40"/>
        <w:rPr>
          <w:sz w:val="24"/>
          <w:szCs w:val="24"/>
        </w:rPr>
      </w:pPr>
      <w:r>
        <w:rPr>
          <w:spacing w:val="-3"/>
          <w:sz w:val="24"/>
          <w:szCs w:val="24"/>
        </w:rPr>
        <w:t>测技术有限公司，</w:t>
      </w:r>
      <w:r>
        <w:rPr>
          <w:rFonts w:ascii="Times New Roman" w:hAnsi="Times New Roman" w:eastAsia="Times New Roman" w:cs="Times New Roman"/>
          <w:spacing w:val="-3"/>
          <w:sz w:val="24"/>
          <w:szCs w:val="24"/>
        </w:rPr>
        <w:t xml:space="preserve">2020 </w:t>
      </w:r>
      <w:r>
        <w:rPr>
          <w:spacing w:val="-3"/>
          <w:sz w:val="24"/>
          <w:szCs w:val="24"/>
        </w:rPr>
        <w:t>年</w:t>
      </w:r>
      <w:r>
        <w:rPr>
          <w:spacing w:val="-32"/>
          <w:sz w:val="24"/>
          <w:szCs w:val="24"/>
        </w:rPr>
        <w:t xml:space="preserve"> </w:t>
      </w:r>
      <w:r>
        <w:rPr>
          <w:rFonts w:ascii="Times New Roman" w:hAnsi="Times New Roman" w:eastAsia="Times New Roman" w:cs="Times New Roman"/>
          <w:spacing w:val="-3"/>
          <w:sz w:val="24"/>
          <w:szCs w:val="24"/>
        </w:rPr>
        <w:t>12</w:t>
      </w:r>
      <w:r>
        <w:rPr>
          <w:rFonts w:ascii="Times New Roman" w:hAnsi="Times New Roman" w:eastAsia="Times New Roman" w:cs="Times New Roman"/>
          <w:spacing w:val="15"/>
          <w:sz w:val="24"/>
          <w:szCs w:val="24"/>
        </w:rPr>
        <w:t xml:space="preserve"> </w:t>
      </w:r>
      <w:r>
        <w:rPr>
          <w:spacing w:val="-3"/>
          <w:sz w:val="24"/>
          <w:szCs w:val="24"/>
        </w:rPr>
        <w:t>月；</w:t>
      </w:r>
    </w:p>
    <w:p w14:paraId="3A028796">
      <w:pPr>
        <w:pStyle w:val="2"/>
        <w:spacing w:before="137" w:line="232" w:lineRule="auto"/>
        <w:ind w:left="525"/>
        <w:rPr>
          <w:sz w:val="24"/>
          <w:szCs w:val="24"/>
        </w:rPr>
      </w:pPr>
      <w:r>
        <w:rPr>
          <w:spacing w:val="-11"/>
          <w:sz w:val="24"/>
          <w:szCs w:val="24"/>
        </w:rPr>
        <w:t>（</w:t>
      </w:r>
      <w:r>
        <w:rPr>
          <w:rFonts w:ascii="Times New Roman" w:hAnsi="Times New Roman" w:eastAsia="Times New Roman" w:cs="Times New Roman"/>
          <w:spacing w:val="-11"/>
          <w:sz w:val="24"/>
          <w:szCs w:val="24"/>
        </w:rPr>
        <w:t>13</w:t>
      </w:r>
      <w:r>
        <w:rPr>
          <w:spacing w:val="-11"/>
          <w:sz w:val="24"/>
          <w:szCs w:val="24"/>
        </w:rPr>
        <w:t>）《曲靖市车马碧水库工程环保工程监理报告》，中科华水工程管理有限公</w:t>
      </w:r>
    </w:p>
    <w:p w14:paraId="630F9BDA">
      <w:pPr>
        <w:pStyle w:val="2"/>
        <w:spacing w:before="138" w:line="339" w:lineRule="auto"/>
        <w:ind w:left="525" w:right="4478" w:hanging="477"/>
        <w:rPr>
          <w:sz w:val="24"/>
          <w:szCs w:val="24"/>
        </w:rPr>
      </w:pPr>
      <w:r>
        <w:rPr>
          <w:spacing w:val="-2"/>
          <w:sz w:val="24"/>
          <w:szCs w:val="24"/>
        </w:rPr>
        <w:t>司环境保护项目监理部，</w:t>
      </w:r>
      <w:r>
        <w:rPr>
          <w:rFonts w:ascii="Times New Roman" w:hAnsi="Times New Roman" w:eastAsia="Times New Roman" w:cs="Times New Roman"/>
          <w:spacing w:val="-2"/>
          <w:sz w:val="24"/>
          <w:szCs w:val="24"/>
        </w:rPr>
        <w:t xml:space="preserve">2022 </w:t>
      </w:r>
      <w:r>
        <w:rPr>
          <w:spacing w:val="-2"/>
          <w:sz w:val="24"/>
          <w:szCs w:val="24"/>
        </w:rPr>
        <w:t>年</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24"/>
          <w:sz w:val="24"/>
          <w:szCs w:val="24"/>
        </w:rPr>
        <w:t xml:space="preserve"> </w:t>
      </w:r>
      <w:r>
        <w:rPr>
          <w:spacing w:val="-2"/>
          <w:sz w:val="24"/>
          <w:szCs w:val="24"/>
        </w:rPr>
        <w:t>月；</w:t>
      </w:r>
      <w:r>
        <w:rPr>
          <w:sz w:val="24"/>
          <w:szCs w:val="24"/>
        </w:rPr>
        <w:t xml:space="preserve"> </w:t>
      </w:r>
      <w:r>
        <w:rPr>
          <w:spacing w:val="-1"/>
          <w:sz w:val="24"/>
          <w:szCs w:val="24"/>
        </w:rPr>
        <w:t>（</w:t>
      </w:r>
      <w:r>
        <w:rPr>
          <w:rFonts w:ascii="Times New Roman" w:hAnsi="Times New Roman" w:eastAsia="Times New Roman" w:cs="Times New Roman"/>
          <w:spacing w:val="-1"/>
          <w:sz w:val="24"/>
          <w:szCs w:val="24"/>
        </w:rPr>
        <w:t>14</w:t>
      </w:r>
      <w:r>
        <w:rPr>
          <w:spacing w:val="-1"/>
          <w:sz w:val="24"/>
          <w:szCs w:val="24"/>
        </w:rPr>
        <w:t>）与本工程相关的其它资料。</w:t>
      </w:r>
    </w:p>
    <w:p w14:paraId="034C5F88">
      <w:pPr>
        <w:spacing w:line="339" w:lineRule="auto"/>
        <w:rPr>
          <w:sz w:val="24"/>
          <w:szCs w:val="24"/>
        </w:rPr>
        <w:sectPr>
          <w:headerReference r:id="rId24" w:type="default"/>
          <w:footerReference r:id="rId25" w:type="default"/>
          <w:pgSz w:w="11908" w:h="16840"/>
          <w:pgMar w:top="1659" w:right="1643" w:bottom="1413" w:left="1671" w:header="1282" w:footer="1213" w:gutter="0"/>
          <w:cols w:space="720" w:num="1"/>
        </w:sectPr>
      </w:pPr>
    </w:p>
    <w:p w14:paraId="0C82D73D">
      <w:pPr>
        <w:spacing w:line="450" w:lineRule="auto"/>
        <w:rPr>
          <w:rFonts w:ascii="Arial"/>
          <w:sz w:val="21"/>
        </w:rPr>
      </w:pPr>
    </w:p>
    <w:p w14:paraId="4C914765">
      <w:pPr>
        <w:pStyle w:val="2"/>
        <w:spacing w:before="104" w:line="234" w:lineRule="auto"/>
        <w:ind w:left="3055"/>
      </w:pPr>
      <w:bookmarkStart w:id="12" w:name="bookmark12"/>
      <w:bookmarkEnd w:id="12"/>
      <w:r>
        <w:rPr>
          <w:rFonts w:ascii="Times New Roman" w:hAnsi="Times New Roman" w:eastAsia="Times New Roman" w:cs="Times New Roman"/>
          <w:b/>
          <w:bCs/>
          <w:spacing w:val="-5"/>
        </w:rPr>
        <w:t>3</w:t>
      </w:r>
      <w:r>
        <w:rPr>
          <w:rFonts w:ascii="Times New Roman" w:hAnsi="Times New Roman" w:eastAsia="Times New Roman" w:cs="Times New Roman"/>
          <w:b/>
          <w:bCs/>
          <w:spacing w:val="31"/>
        </w:rPr>
        <w:t xml:space="preserve"> </w:t>
      </w:r>
      <w:r>
        <w:rPr>
          <w:b/>
          <w:bCs/>
          <w:spacing w:val="-5"/>
        </w:rPr>
        <w:t>项目建设情况调查</w:t>
      </w:r>
    </w:p>
    <w:p w14:paraId="068B441A">
      <w:pPr>
        <w:pStyle w:val="2"/>
        <w:spacing w:before="127" w:line="233" w:lineRule="auto"/>
        <w:ind w:left="34"/>
        <w:rPr>
          <w:sz w:val="30"/>
          <w:szCs w:val="30"/>
        </w:rPr>
      </w:pPr>
      <w:bookmarkStart w:id="13" w:name="bookmark13"/>
      <w:bookmarkEnd w:id="13"/>
      <w:r>
        <w:rPr>
          <w:rFonts w:ascii="Times New Roman" w:hAnsi="Times New Roman" w:eastAsia="Times New Roman" w:cs="Times New Roman"/>
          <w:b/>
          <w:bCs/>
          <w:spacing w:val="-4"/>
          <w:sz w:val="30"/>
          <w:szCs w:val="30"/>
        </w:rPr>
        <w:t>3.1</w:t>
      </w:r>
      <w:r>
        <w:rPr>
          <w:rFonts w:ascii="Times New Roman" w:hAnsi="Times New Roman" w:eastAsia="Times New Roman" w:cs="Times New Roman"/>
          <w:b/>
          <w:bCs/>
          <w:spacing w:val="27"/>
          <w:sz w:val="30"/>
          <w:szCs w:val="30"/>
        </w:rPr>
        <w:t xml:space="preserve"> </w:t>
      </w:r>
      <w:r>
        <w:rPr>
          <w:b/>
          <w:bCs/>
          <w:spacing w:val="-4"/>
          <w:sz w:val="30"/>
          <w:szCs w:val="30"/>
        </w:rPr>
        <w:t>项目建设内容</w:t>
      </w:r>
    </w:p>
    <w:p w14:paraId="14B9F71D">
      <w:pPr>
        <w:pStyle w:val="2"/>
        <w:spacing w:before="198" w:line="228" w:lineRule="auto"/>
        <w:ind w:left="30"/>
        <w:rPr>
          <w:sz w:val="27"/>
          <w:szCs w:val="27"/>
        </w:rPr>
      </w:pPr>
      <w:r>
        <w:rPr>
          <w:rFonts w:ascii="Arial" w:hAnsi="Arial" w:eastAsia="Arial" w:cs="Arial"/>
          <w:spacing w:val="10"/>
          <w:position w:val="1"/>
          <w:sz w:val="21"/>
          <w:szCs w:val="21"/>
        </w:rPr>
        <w:t>3.1.1</w:t>
      </w:r>
      <w:r>
        <w:rPr>
          <w:rFonts w:ascii="Arial" w:hAnsi="Arial" w:eastAsia="Arial" w:cs="Arial"/>
          <w:spacing w:val="4"/>
          <w:position w:val="1"/>
          <w:sz w:val="21"/>
          <w:szCs w:val="21"/>
        </w:rPr>
        <w:t xml:space="preserve">     </w:t>
      </w:r>
      <w:r>
        <w:rPr>
          <w:b/>
          <w:bCs/>
          <w:spacing w:val="10"/>
          <w:position w:val="-1"/>
          <w:sz w:val="27"/>
          <w:szCs w:val="27"/>
        </w:rPr>
        <w:t>地理位置</w:t>
      </w:r>
    </w:p>
    <w:p w14:paraId="756B6197">
      <w:pPr>
        <w:pStyle w:val="2"/>
        <w:spacing w:before="260" w:line="220" w:lineRule="auto"/>
        <w:ind w:left="30"/>
        <w:rPr>
          <w:sz w:val="24"/>
          <w:szCs w:val="24"/>
        </w:rPr>
      </w:pPr>
      <w:r>
        <w:rPr>
          <w:rFonts w:ascii="Arial" w:hAnsi="Arial" w:eastAsia="Arial" w:cs="Arial"/>
          <w:spacing w:val="5"/>
          <w:position w:val="1"/>
          <w:sz w:val="18"/>
          <w:szCs w:val="18"/>
        </w:rPr>
        <w:t>3.1.1.1</w:t>
      </w:r>
      <w:r>
        <w:rPr>
          <w:rFonts w:ascii="Arial" w:hAnsi="Arial" w:eastAsia="Arial" w:cs="Arial"/>
          <w:spacing w:val="48"/>
          <w:w w:val="101"/>
          <w:position w:val="1"/>
          <w:sz w:val="18"/>
          <w:szCs w:val="18"/>
        </w:rPr>
        <w:t xml:space="preserve"> </w:t>
      </w:r>
      <w:r>
        <w:rPr>
          <w:b/>
          <w:bCs/>
          <w:spacing w:val="5"/>
          <w:position w:val="-1"/>
          <w:sz w:val="24"/>
          <w:szCs w:val="24"/>
        </w:rPr>
        <w:t>工程地理位置</w:t>
      </w:r>
    </w:p>
    <w:p w14:paraId="7DB03C02">
      <w:pPr>
        <w:pStyle w:val="2"/>
        <w:spacing w:before="275" w:line="338" w:lineRule="auto"/>
        <w:ind w:left="40" w:right="184" w:firstLine="480"/>
        <w:jc w:val="both"/>
        <w:rPr>
          <w:sz w:val="24"/>
          <w:szCs w:val="24"/>
        </w:rPr>
      </w:pPr>
      <w:r>
        <w:rPr>
          <w:spacing w:val="-4"/>
          <w:sz w:val="24"/>
          <w:szCs w:val="24"/>
        </w:rPr>
        <w:t>车马碧水库工程为跨流域调水工程。调出区水源</w:t>
      </w:r>
      <w:r>
        <w:rPr>
          <w:spacing w:val="-5"/>
          <w:sz w:val="24"/>
          <w:szCs w:val="24"/>
        </w:rPr>
        <w:t>为新建的车马碧水库，位于长</w:t>
      </w:r>
      <w:r>
        <w:rPr>
          <w:spacing w:val="3"/>
          <w:sz w:val="24"/>
          <w:szCs w:val="24"/>
        </w:rPr>
        <w:t>江流域金沙江水系牛栏江一级支流马龙河干流上；输水</w:t>
      </w:r>
      <w:r>
        <w:rPr>
          <w:spacing w:val="2"/>
          <w:sz w:val="24"/>
          <w:szCs w:val="24"/>
        </w:rPr>
        <w:t>隧洞出口接珠江水系南盘</w:t>
      </w:r>
      <w:r>
        <w:rPr>
          <w:spacing w:val="-1"/>
          <w:sz w:val="24"/>
          <w:szCs w:val="24"/>
        </w:rPr>
        <w:t>江流域白石河支流剪彩河，受水区涉及曲靖</w:t>
      </w:r>
      <w:r>
        <w:rPr>
          <w:spacing w:val="-2"/>
          <w:sz w:val="24"/>
          <w:szCs w:val="24"/>
        </w:rPr>
        <w:t>市麒麟区、沾益区、陆良县。</w:t>
      </w:r>
    </w:p>
    <w:p w14:paraId="64F62DCA">
      <w:pPr>
        <w:pStyle w:val="2"/>
        <w:spacing w:before="2" w:line="335" w:lineRule="auto"/>
        <w:ind w:left="42" w:right="185" w:firstLine="479"/>
        <w:jc w:val="both"/>
        <w:rPr>
          <w:sz w:val="24"/>
          <w:szCs w:val="24"/>
        </w:rPr>
      </w:pPr>
      <w:r>
        <w:rPr>
          <w:spacing w:val="3"/>
          <w:sz w:val="24"/>
          <w:szCs w:val="24"/>
        </w:rPr>
        <w:t>车马碧水库枢纽工程位于云南省曲靖市马龙区</w:t>
      </w:r>
      <w:r>
        <w:rPr>
          <w:spacing w:val="2"/>
          <w:sz w:val="24"/>
          <w:szCs w:val="24"/>
        </w:rPr>
        <w:t>马过河镇境内，坝址位于车马</w:t>
      </w:r>
      <w:r>
        <w:rPr>
          <w:spacing w:val="-3"/>
          <w:sz w:val="24"/>
          <w:szCs w:val="24"/>
        </w:rPr>
        <w:t>碧村上游</w:t>
      </w:r>
      <w:r>
        <w:rPr>
          <w:spacing w:val="-49"/>
          <w:sz w:val="24"/>
          <w:szCs w:val="24"/>
        </w:rPr>
        <w:t xml:space="preserve"> </w:t>
      </w:r>
      <w:r>
        <w:rPr>
          <w:rFonts w:ascii="Times New Roman" w:hAnsi="Times New Roman" w:eastAsia="Times New Roman" w:cs="Times New Roman"/>
          <w:spacing w:val="-3"/>
          <w:sz w:val="24"/>
          <w:szCs w:val="24"/>
        </w:rPr>
        <w:t xml:space="preserve">600m </w:t>
      </w:r>
      <w:r>
        <w:rPr>
          <w:spacing w:val="-3"/>
          <w:sz w:val="24"/>
          <w:szCs w:val="24"/>
        </w:rPr>
        <w:t>处的马龙河干流，距马龙县城</w:t>
      </w:r>
      <w:r>
        <w:rPr>
          <w:spacing w:val="-55"/>
          <w:sz w:val="24"/>
          <w:szCs w:val="24"/>
        </w:rPr>
        <w:t xml:space="preserve"> </w:t>
      </w:r>
      <w:r>
        <w:rPr>
          <w:rFonts w:ascii="Times New Roman" w:hAnsi="Times New Roman" w:eastAsia="Times New Roman" w:cs="Times New Roman"/>
          <w:spacing w:val="-3"/>
          <w:sz w:val="24"/>
          <w:szCs w:val="24"/>
        </w:rPr>
        <w:t>29km</w:t>
      </w:r>
      <w:r>
        <w:rPr>
          <w:spacing w:val="-3"/>
          <w:sz w:val="24"/>
          <w:szCs w:val="24"/>
        </w:rPr>
        <w:t>，距曲靖市区</w:t>
      </w:r>
      <w:r>
        <w:rPr>
          <w:spacing w:val="-56"/>
          <w:sz w:val="24"/>
          <w:szCs w:val="24"/>
        </w:rPr>
        <w:t xml:space="preserve"> </w:t>
      </w:r>
      <w:r>
        <w:rPr>
          <w:rFonts w:ascii="Times New Roman" w:hAnsi="Times New Roman" w:eastAsia="Times New Roman" w:cs="Times New Roman"/>
          <w:spacing w:val="-3"/>
          <w:sz w:val="24"/>
          <w:szCs w:val="24"/>
        </w:rPr>
        <w:t>49k</w:t>
      </w:r>
      <w:r>
        <w:rPr>
          <w:rFonts w:ascii="Times New Roman" w:hAnsi="Times New Roman" w:eastAsia="Times New Roman" w:cs="Times New Roman"/>
          <w:spacing w:val="-4"/>
          <w:sz w:val="24"/>
          <w:szCs w:val="24"/>
        </w:rPr>
        <w:t>m</w:t>
      </w:r>
      <w:r>
        <w:rPr>
          <w:spacing w:val="-4"/>
          <w:sz w:val="24"/>
          <w:szCs w:val="24"/>
        </w:rPr>
        <w:t>，距昆明市</w:t>
      </w:r>
      <w:r>
        <w:rPr>
          <w:spacing w:val="-3"/>
          <w:sz w:val="24"/>
          <w:szCs w:val="24"/>
        </w:rPr>
        <w:t>区</w:t>
      </w:r>
      <w:r>
        <w:rPr>
          <w:spacing w:val="-27"/>
          <w:sz w:val="24"/>
          <w:szCs w:val="24"/>
        </w:rPr>
        <w:t xml:space="preserve"> </w:t>
      </w:r>
      <w:r>
        <w:rPr>
          <w:rFonts w:ascii="Times New Roman" w:hAnsi="Times New Roman" w:eastAsia="Times New Roman" w:cs="Times New Roman"/>
          <w:spacing w:val="-3"/>
          <w:sz w:val="24"/>
          <w:szCs w:val="24"/>
        </w:rPr>
        <w:t>99km</w:t>
      </w:r>
      <w:r>
        <w:rPr>
          <w:rFonts w:ascii="Times New Roman" w:hAnsi="Times New Roman" w:eastAsia="Times New Roman" w:cs="Times New Roman"/>
          <w:spacing w:val="-29"/>
          <w:sz w:val="24"/>
          <w:szCs w:val="24"/>
        </w:rPr>
        <w:t xml:space="preserve"> </w:t>
      </w:r>
      <w:r>
        <w:rPr>
          <w:spacing w:val="-3"/>
          <w:sz w:val="24"/>
          <w:szCs w:val="24"/>
        </w:rPr>
        <w:t>。坝址以上河长</w:t>
      </w:r>
      <w:r>
        <w:rPr>
          <w:spacing w:val="-35"/>
          <w:sz w:val="24"/>
          <w:szCs w:val="24"/>
        </w:rPr>
        <w:t xml:space="preserve"> </w:t>
      </w:r>
      <w:r>
        <w:rPr>
          <w:rFonts w:ascii="Times New Roman" w:hAnsi="Times New Roman" w:eastAsia="Times New Roman" w:cs="Times New Roman"/>
          <w:spacing w:val="-3"/>
          <w:sz w:val="24"/>
          <w:szCs w:val="24"/>
        </w:rPr>
        <w:t>75.8km</w:t>
      </w:r>
      <w:r>
        <w:rPr>
          <w:spacing w:val="-3"/>
          <w:sz w:val="24"/>
          <w:szCs w:val="24"/>
        </w:rPr>
        <w:t>，河道平均比降</w:t>
      </w:r>
      <w:r>
        <w:rPr>
          <w:spacing w:val="-23"/>
          <w:sz w:val="24"/>
          <w:szCs w:val="24"/>
        </w:rPr>
        <w:t xml:space="preserve"> </w:t>
      </w:r>
      <w:r>
        <w:rPr>
          <w:rFonts w:ascii="Times New Roman" w:hAnsi="Times New Roman" w:eastAsia="Times New Roman" w:cs="Times New Roman"/>
          <w:spacing w:val="-3"/>
          <w:sz w:val="24"/>
          <w:szCs w:val="24"/>
        </w:rPr>
        <w:t>3.55</w:t>
      </w:r>
      <w:r>
        <w:rPr>
          <w:spacing w:val="-3"/>
          <w:sz w:val="24"/>
          <w:szCs w:val="24"/>
        </w:rPr>
        <w:t>‰，集水面积</w:t>
      </w:r>
      <w:r>
        <w:rPr>
          <w:spacing w:val="-32"/>
          <w:sz w:val="24"/>
          <w:szCs w:val="24"/>
        </w:rPr>
        <w:t xml:space="preserve"> </w:t>
      </w:r>
      <w:r>
        <w:rPr>
          <w:rFonts w:ascii="Times New Roman" w:hAnsi="Times New Roman" w:eastAsia="Times New Roman" w:cs="Times New Roman"/>
          <w:spacing w:val="-3"/>
          <w:sz w:val="24"/>
          <w:szCs w:val="24"/>
        </w:rPr>
        <w:t>595km</w:t>
      </w:r>
      <w:r>
        <w:rPr>
          <w:rFonts w:ascii="Times New Roman" w:hAnsi="Times New Roman" w:eastAsia="Times New Roman" w:cs="Times New Roman"/>
          <w:spacing w:val="-3"/>
          <w:position w:val="8"/>
          <w:sz w:val="15"/>
          <w:szCs w:val="15"/>
        </w:rPr>
        <w:t xml:space="preserve">2 </w:t>
      </w:r>
      <w:r>
        <w:rPr>
          <w:spacing w:val="-3"/>
          <w:sz w:val="24"/>
          <w:szCs w:val="24"/>
        </w:rPr>
        <w:t>。工程</w:t>
      </w:r>
      <w:r>
        <w:rPr>
          <w:spacing w:val="-2"/>
          <w:sz w:val="24"/>
          <w:szCs w:val="24"/>
        </w:rPr>
        <w:t>区有昆曲高速公路和贵昆铁路通过，交通条件便利。</w:t>
      </w:r>
    </w:p>
    <w:p w14:paraId="04EB51B3">
      <w:pPr>
        <w:pStyle w:val="2"/>
        <w:spacing w:before="15" w:line="233" w:lineRule="auto"/>
        <w:ind w:left="522"/>
        <w:rPr>
          <w:sz w:val="24"/>
          <w:szCs w:val="24"/>
        </w:rPr>
      </w:pPr>
      <w:r>
        <w:rPr>
          <w:spacing w:val="-3"/>
          <w:sz w:val="24"/>
          <w:szCs w:val="24"/>
        </w:rPr>
        <w:t>工程地理位置示意图见图</w:t>
      </w:r>
      <w:r>
        <w:rPr>
          <w:spacing w:val="-22"/>
          <w:sz w:val="24"/>
          <w:szCs w:val="24"/>
        </w:rPr>
        <w:t xml:space="preserve"> </w:t>
      </w:r>
      <w:r>
        <w:rPr>
          <w:rFonts w:ascii="Times New Roman" w:hAnsi="Times New Roman" w:eastAsia="Times New Roman" w:cs="Times New Roman"/>
          <w:spacing w:val="-3"/>
          <w:sz w:val="24"/>
          <w:szCs w:val="24"/>
        </w:rPr>
        <w:t>1.1-1</w:t>
      </w:r>
      <w:r>
        <w:rPr>
          <w:spacing w:val="-3"/>
          <w:sz w:val="24"/>
          <w:szCs w:val="24"/>
        </w:rPr>
        <w:t>。</w:t>
      </w:r>
    </w:p>
    <w:p w14:paraId="40ED7F19">
      <w:pPr>
        <w:pStyle w:val="2"/>
        <w:spacing w:before="257" w:line="220" w:lineRule="auto"/>
        <w:ind w:left="30"/>
        <w:rPr>
          <w:sz w:val="24"/>
          <w:szCs w:val="24"/>
        </w:rPr>
      </w:pPr>
      <w:r>
        <w:rPr>
          <w:rFonts w:ascii="Arial" w:hAnsi="Arial" w:eastAsia="Arial" w:cs="Arial"/>
          <w:spacing w:val="-7"/>
          <w:position w:val="1"/>
          <w:sz w:val="24"/>
          <w:szCs w:val="24"/>
        </w:rPr>
        <w:t>3.1.1.2</w:t>
      </w:r>
      <w:r>
        <w:rPr>
          <w:rFonts w:ascii="Arial" w:hAnsi="Arial" w:eastAsia="Arial" w:cs="Arial"/>
          <w:spacing w:val="37"/>
          <w:w w:val="101"/>
          <w:position w:val="1"/>
          <w:sz w:val="24"/>
          <w:szCs w:val="24"/>
        </w:rPr>
        <w:t xml:space="preserve"> </w:t>
      </w:r>
      <w:r>
        <w:rPr>
          <w:b/>
          <w:bCs/>
          <w:spacing w:val="-7"/>
          <w:sz w:val="24"/>
          <w:szCs w:val="24"/>
        </w:rPr>
        <w:t>调出区（马龙河）流域概况</w:t>
      </w:r>
    </w:p>
    <w:p w14:paraId="6D1E8540">
      <w:pPr>
        <w:pStyle w:val="2"/>
        <w:spacing w:before="275" w:line="330" w:lineRule="auto"/>
        <w:ind w:left="42" w:right="209" w:firstLine="484"/>
        <w:rPr>
          <w:sz w:val="24"/>
          <w:szCs w:val="24"/>
        </w:rPr>
      </w:pPr>
      <w:r>
        <w:rPr>
          <w:spacing w:val="-5"/>
          <w:sz w:val="24"/>
          <w:szCs w:val="24"/>
        </w:rPr>
        <w:t>马龙河干流发源于马龙区月望乡青草坪山南簏，发源地海拔</w:t>
      </w:r>
      <w:r>
        <w:rPr>
          <w:spacing w:val="-6"/>
          <w:sz w:val="24"/>
          <w:szCs w:val="24"/>
        </w:rPr>
        <w:t>约</w:t>
      </w:r>
      <w:r>
        <w:rPr>
          <w:spacing w:val="-54"/>
          <w:sz w:val="24"/>
          <w:szCs w:val="24"/>
        </w:rPr>
        <w:t xml:space="preserve"> </w:t>
      </w:r>
      <w:r>
        <w:rPr>
          <w:rFonts w:ascii="Times New Roman" w:hAnsi="Times New Roman" w:eastAsia="Times New Roman" w:cs="Times New Roman"/>
          <w:spacing w:val="-6"/>
          <w:sz w:val="24"/>
          <w:szCs w:val="24"/>
        </w:rPr>
        <w:t>2400m</w:t>
      </w:r>
      <w:r>
        <w:rPr>
          <w:spacing w:val="-6"/>
          <w:sz w:val="24"/>
          <w:szCs w:val="24"/>
        </w:rPr>
        <w:t>。由北向</w:t>
      </w:r>
      <w:r>
        <w:rPr>
          <w:spacing w:val="-7"/>
          <w:sz w:val="24"/>
          <w:szCs w:val="24"/>
        </w:rPr>
        <w:t>南流经水箐村、越州屯、竹园及上、中、下营等村寨后纵贯马龙坝子， 并经县城</w:t>
      </w:r>
    </w:p>
    <w:p w14:paraId="52A8BA9C">
      <w:pPr>
        <w:pStyle w:val="2"/>
        <w:spacing w:before="19" w:line="339" w:lineRule="auto"/>
        <w:ind w:left="38" w:right="184" w:firstLine="6"/>
        <w:rPr>
          <w:sz w:val="24"/>
          <w:szCs w:val="24"/>
        </w:rPr>
      </w:pPr>
      <w:r>
        <w:rPr>
          <w:spacing w:val="-4"/>
          <w:sz w:val="24"/>
          <w:szCs w:val="24"/>
        </w:rPr>
        <w:t>西面在大湾河村附近出坝子进入河谷地带，再经土官寨、马保地、</w:t>
      </w:r>
      <w:r>
        <w:rPr>
          <w:spacing w:val="-5"/>
          <w:sz w:val="24"/>
          <w:szCs w:val="24"/>
        </w:rPr>
        <w:t>下罗贵、车马碧</w:t>
      </w:r>
      <w:r>
        <w:rPr>
          <w:spacing w:val="-3"/>
          <w:sz w:val="24"/>
          <w:szCs w:val="24"/>
        </w:rPr>
        <w:t>等村寨到达马过河镇，在莫浪河交汇口下游约</w:t>
      </w:r>
      <w:r>
        <w:rPr>
          <w:spacing w:val="-32"/>
          <w:sz w:val="24"/>
          <w:szCs w:val="24"/>
        </w:rPr>
        <w:t xml:space="preserve"> </w:t>
      </w:r>
      <w:r>
        <w:rPr>
          <w:rFonts w:ascii="Times New Roman" w:hAnsi="Times New Roman" w:eastAsia="Times New Roman" w:cs="Times New Roman"/>
          <w:spacing w:val="-3"/>
          <w:sz w:val="24"/>
          <w:szCs w:val="24"/>
        </w:rPr>
        <w:t xml:space="preserve">12km </w:t>
      </w:r>
      <w:r>
        <w:rPr>
          <w:spacing w:val="-3"/>
          <w:sz w:val="24"/>
          <w:szCs w:val="24"/>
        </w:rPr>
        <w:t>处进入寻甸县境内</w:t>
      </w:r>
      <w:r>
        <w:rPr>
          <w:spacing w:val="-4"/>
          <w:sz w:val="24"/>
          <w:szCs w:val="24"/>
        </w:rPr>
        <w:t>，经凤龙湾</w:t>
      </w:r>
      <w:r>
        <w:rPr>
          <w:spacing w:val="-5"/>
          <w:sz w:val="24"/>
          <w:szCs w:val="24"/>
        </w:rPr>
        <w:t>水库后过杨梅冲、腊味等村，在寻甸县七星乡</w:t>
      </w:r>
      <w:r>
        <w:rPr>
          <w:spacing w:val="-6"/>
          <w:sz w:val="24"/>
          <w:szCs w:val="24"/>
        </w:rPr>
        <w:t>附近汇入牛栏江。河流全长</w:t>
      </w:r>
      <w:r>
        <w:rPr>
          <w:spacing w:val="-31"/>
          <w:sz w:val="24"/>
          <w:szCs w:val="24"/>
        </w:rPr>
        <w:t xml:space="preserve"> </w:t>
      </w:r>
      <w:r>
        <w:rPr>
          <w:rFonts w:ascii="Times New Roman" w:hAnsi="Times New Roman" w:eastAsia="Times New Roman" w:cs="Times New Roman"/>
          <w:spacing w:val="-6"/>
          <w:sz w:val="24"/>
          <w:szCs w:val="24"/>
        </w:rPr>
        <w:t>103km</w:t>
      </w:r>
      <w:r>
        <w:rPr>
          <w:rFonts w:ascii="Times New Roman" w:hAnsi="Times New Roman" w:eastAsia="Times New Roman" w:cs="Times New Roman"/>
          <w:spacing w:val="-32"/>
          <w:sz w:val="24"/>
          <w:szCs w:val="24"/>
        </w:rPr>
        <w:t xml:space="preserve"> </w:t>
      </w:r>
      <w:r>
        <w:rPr>
          <w:spacing w:val="-6"/>
          <w:sz w:val="24"/>
          <w:szCs w:val="24"/>
        </w:rPr>
        <w:t>，</w:t>
      </w:r>
      <w:r>
        <w:rPr>
          <w:spacing w:val="-2"/>
          <w:sz w:val="24"/>
          <w:szCs w:val="24"/>
        </w:rPr>
        <w:t>平均比降</w:t>
      </w:r>
      <w:r>
        <w:rPr>
          <w:spacing w:val="-53"/>
          <w:sz w:val="24"/>
          <w:szCs w:val="24"/>
        </w:rPr>
        <w:t xml:space="preserve"> </w:t>
      </w:r>
      <w:r>
        <w:rPr>
          <w:rFonts w:ascii="Times New Roman" w:hAnsi="Times New Roman" w:eastAsia="Times New Roman" w:cs="Times New Roman"/>
          <w:spacing w:val="-2"/>
          <w:sz w:val="24"/>
          <w:szCs w:val="24"/>
        </w:rPr>
        <w:t>2.4</w:t>
      </w:r>
      <w:r>
        <w:rPr>
          <w:spacing w:val="-2"/>
          <w:sz w:val="24"/>
          <w:szCs w:val="24"/>
        </w:rPr>
        <w:t>‰，集水面积</w:t>
      </w:r>
      <w:r>
        <w:rPr>
          <w:spacing w:val="-32"/>
          <w:sz w:val="24"/>
          <w:szCs w:val="24"/>
        </w:rPr>
        <w:t xml:space="preserve"> </w:t>
      </w:r>
      <w:r>
        <w:rPr>
          <w:rFonts w:ascii="Times New Roman" w:hAnsi="Times New Roman" w:eastAsia="Times New Roman" w:cs="Times New Roman"/>
          <w:spacing w:val="-2"/>
          <w:sz w:val="24"/>
          <w:szCs w:val="24"/>
        </w:rPr>
        <w:t>1005km</w:t>
      </w:r>
      <w:r>
        <w:rPr>
          <w:rFonts w:ascii="Times New Roman" w:hAnsi="Times New Roman" w:eastAsia="Times New Roman" w:cs="Times New Roman"/>
          <w:spacing w:val="-2"/>
          <w:position w:val="8"/>
          <w:sz w:val="15"/>
          <w:szCs w:val="15"/>
        </w:rPr>
        <w:t>2</w:t>
      </w:r>
      <w:r>
        <w:rPr>
          <w:spacing w:val="-2"/>
          <w:sz w:val="24"/>
          <w:szCs w:val="24"/>
        </w:rPr>
        <w:t>。</w:t>
      </w:r>
    </w:p>
    <w:p w14:paraId="24F25D80">
      <w:pPr>
        <w:pStyle w:val="2"/>
        <w:spacing w:before="2" w:line="338" w:lineRule="auto"/>
        <w:ind w:left="40" w:right="187" w:firstLine="486"/>
        <w:jc w:val="both"/>
        <w:rPr>
          <w:sz w:val="24"/>
          <w:szCs w:val="24"/>
        </w:rPr>
      </w:pPr>
      <w:r>
        <w:rPr>
          <w:spacing w:val="-5"/>
          <w:sz w:val="24"/>
          <w:szCs w:val="24"/>
        </w:rPr>
        <w:t>马龙河流域内水系发育较完全，支流交错纵横，库塘星罗棋布，径流区从上游</w:t>
      </w:r>
      <w:r>
        <w:rPr>
          <w:spacing w:val="-7"/>
          <w:sz w:val="24"/>
          <w:szCs w:val="24"/>
        </w:rPr>
        <w:t>至下游分布有桃园河、永发河、车章河、白塔河、红桥河和莫</w:t>
      </w:r>
      <w:r>
        <w:rPr>
          <w:spacing w:val="-8"/>
          <w:sz w:val="24"/>
          <w:szCs w:val="24"/>
        </w:rPr>
        <w:t>浪河等主要支流， 支</w:t>
      </w:r>
      <w:r>
        <w:rPr>
          <w:spacing w:val="-2"/>
          <w:sz w:val="24"/>
          <w:szCs w:val="24"/>
        </w:rPr>
        <w:t>流水系多源于上游库塘季节性泄水和自然地表径流。</w:t>
      </w:r>
    </w:p>
    <w:p w14:paraId="3B227038">
      <w:pPr>
        <w:pStyle w:val="2"/>
        <w:spacing w:before="1" w:line="338" w:lineRule="auto"/>
        <w:ind w:left="38" w:firstLine="480"/>
        <w:rPr>
          <w:sz w:val="24"/>
          <w:szCs w:val="24"/>
        </w:rPr>
      </w:pPr>
      <w:r>
        <w:rPr>
          <w:spacing w:val="-7"/>
          <w:sz w:val="24"/>
          <w:szCs w:val="24"/>
        </w:rPr>
        <w:t>桃园河发源于马龙县王家庄镇翠峰山山脊，河源海拔高程</w:t>
      </w:r>
      <w:r>
        <w:rPr>
          <w:spacing w:val="-54"/>
          <w:sz w:val="24"/>
          <w:szCs w:val="24"/>
        </w:rPr>
        <w:t xml:space="preserve"> </w:t>
      </w:r>
      <w:r>
        <w:rPr>
          <w:rFonts w:ascii="Times New Roman" w:hAnsi="Times New Roman" w:eastAsia="Times New Roman" w:cs="Times New Roman"/>
          <w:spacing w:val="-7"/>
          <w:sz w:val="24"/>
          <w:szCs w:val="24"/>
        </w:rPr>
        <w:t>2130m</w:t>
      </w:r>
      <w:r>
        <w:rPr>
          <w:spacing w:val="-7"/>
          <w:sz w:val="24"/>
          <w:szCs w:val="24"/>
        </w:rPr>
        <w:t>，河长</w:t>
      </w:r>
      <w:r>
        <w:rPr>
          <w:spacing w:val="-55"/>
          <w:sz w:val="24"/>
          <w:szCs w:val="24"/>
        </w:rPr>
        <w:t xml:space="preserve"> </w:t>
      </w:r>
      <w:r>
        <w:rPr>
          <w:rFonts w:ascii="Times New Roman" w:hAnsi="Times New Roman" w:eastAsia="Times New Roman" w:cs="Times New Roman"/>
          <w:spacing w:val="-7"/>
          <w:sz w:val="24"/>
          <w:szCs w:val="24"/>
        </w:rPr>
        <w:t>23</w:t>
      </w:r>
      <w:r>
        <w:rPr>
          <w:rFonts w:ascii="Times New Roman" w:hAnsi="Times New Roman" w:eastAsia="Times New Roman" w:cs="Times New Roman"/>
          <w:spacing w:val="-8"/>
          <w:sz w:val="24"/>
          <w:szCs w:val="24"/>
        </w:rPr>
        <w:t>.8km</w:t>
      </w:r>
      <w:r>
        <w:rPr>
          <w:spacing w:val="-8"/>
          <w:sz w:val="24"/>
          <w:szCs w:val="24"/>
        </w:rPr>
        <w:t>，</w:t>
      </w:r>
      <w:r>
        <w:rPr>
          <w:spacing w:val="-2"/>
          <w:sz w:val="24"/>
          <w:szCs w:val="24"/>
        </w:rPr>
        <w:t>河道平均比降</w:t>
      </w:r>
      <w:r>
        <w:rPr>
          <w:spacing w:val="-50"/>
          <w:sz w:val="24"/>
          <w:szCs w:val="24"/>
        </w:rPr>
        <w:t xml:space="preserve"> </w:t>
      </w:r>
      <w:r>
        <w:rPr>
          <w:rFonts w:ascii="Times New Roman" w:hAnsi="Times New Roman" w:eastAsia="Times New Roman" w:cs="Times New Roman"/>
          <w:spacing w:val="-2"/>
          <w:sz w:val="24"/>
          <w:szCs w:val="24"/>
        </w:rPr>
        <w:t>6.8</w:t>
      </w:r>
      <w:r>
        <w:rPr>
          <w:spacing w:val="-2"/>
          <w:sz w:val="24"/>
          <w:szCs w:val="24"/>
        </w:rPr>
        <w:t>‰，径流面积</w:t>
      </w:r>
      <w:r>
        <w:rPr>
          <w:spacing w:val="-31"/>
          <w:sz w:val="24"/>
          <w:szCs w:val="24"/>
        </w:rPr>
        <w:t xml:space="preserve"> </w:t>
      </w:r>
      <w:r>
        <w:rPr>
          <w:rFonts w:ascii="Times New Roman" w:hAnsi="Times New Roman" w:eastAsia="Times New Roman" w:cs="Times New Roman"/>
          <w:spacing w:val="-2"/>
          <w:sz w:val="24"/>
          <w:szCs w:val="24"/>
        </w:rPr>
        <w:t>101km</w:t>
      </w:r>
      <w:r>
        <w:rPr>
          <w:rFonts w:ascii="Times New Roman" w:hAnsi="Times New Roman" w:eastAsia="Times New Roman" w:cs="Times New Roman"/>
          <w:spacing w:val="-2"/>
          <w:position w:val="8"/>
          <w:sz w:val="15"/>
          <w:szCs w:val="15"/>
        </w:rPr>
        <w:t>2</w:t>
      </w:r>
      <w:r>
        <w:rPr>
          <w:spacing w:val="-2"/>
          <w:sz w:val="24"/>
          <w:szCs w:val="24"/>
        </w:rPr>
        <w:t>。</w:t>
      </w:r>
    </w:p>
    <w:p w14:paraId="06C10F57">
      <w:pPr>
        <w:pStyle w:val="2"/>
        <w:spacing w:before="1" w:line="338" w:lineRule="auto"/>
        <w:ind w:left="38" w:firstLine="482"/>
        <w:rPr>
          <w:sz w:val="24"/>
          <w:szCs w:val="24"/>
        </w:rPr>
      </w:pPr>
      <w:r>
        <w:rPr>
          <w:spacing w:val="-7"/>
          <w:sz w:val="24"/>
          <w:szCs w:val="24"/>
        </w:rPr>
        <w:t>永发河发源于马龙县王家庄镇青山垭口，河源海拔高程约</w:t>
      </w:r>
      <w:r>
        <w:rPr>
          <w:spacing w:val="-54"/>
          <w:sz w:val="24"/>
          <w:szCs w:val="24"/>
        </w:rPr>
        <w:t xml:space="preserve"> </w:t>
      </w:r>
      <w:r>
        <w:rPr>
          <w:rFonts w:ascii="Times New Roman" w:hAnsi="Times New Roman" w:eastAsia="Times New Roman" w:cs="Times New Roman"/>
          <w:spacing w:val="-7"/>
          <w:sz w:val="24"/>
          <w:szCs w:val="24"/>
        </w:rPr>
        <w:t>2170m</w:t>
      </w:r>
      <w:r>
        <w:rPr>
          <w:spacing w:val="-7"/>
          <w:sz w:val="24"/>
          <w:szCs w:val="24"/>
        </w:rPr>
        <w:t>，河长</w:t>
      </w:r>
      <w:r>
        <w:rPr>
          <w:spacing w:val="-55"/>
          <w:sz w:val="24"/>
          <w:szCs w:val="24"/>
        </w:rPr>
        <w:t xml:space="preserve"> </w:t>
      </w:r>
      <w:r>
        <w:rPr>
          <w:rFonts w:ascii="Times New Roman" w:hAnsi="Times New Roman" w:eastAsia="Times New Roman" w:cs="Times New Roman"/>
          <w:spacing w:val="-8"/>
          <w:sz w:val="24"/>
          <w:szCs w:val="24"/>
        </w:rPr>
        <w:t>25.8km</w:t>
      </w:r>
      <w:r>
        <w:rPr>
          <w:spacing w:val="-8"/>
          <w:sz w:val="24"/>
          <w:szCs w:val="24"/>
        </w:rPr>
        <w:t>，</w:t>
      </w:r>
      <w:r>
        <w:rPr>
          <w:spacing w:val="-2"/>
          <w:sz w:val="24"/>
          <w:szCs w:val="24"/>
        </w:rPr>
        <w:t>河道平均比降</w:t>
      </w:r>
      <w:r>
        <w:rPr>
          <w:spacing w:val="-50"/>
          <w:sz w:val="24"/>
          <w:szCs w:val="24"/>
        </w:rPr>
        <w:t xml:space="preserve"> </w:t>
      </w:r>
      <w:r>
        <w:rPr>
          <w:rFonts w:ascii="Times New Roman" w:hAnsi="Times New Roman" w:eastAsia="Times New Roman" w:cs="Times New Roman"/>
          <w:spacing w:val="-2"/>
          <w:sz w:val="24"/>
          <w:szCs w:val="24"/>
        </w:rPr>
        <w:t>3.4</w:t>
      </w:r>
      <w:r>
        <w:rPr>
          <w:spacing w:val="-2"/>
          <w:sz w:val="24"/>
          <w:szCs w:val="24"/>
        </w:rPr>
        <w:t>‰，径流面积</w:t>
      </w:r>
      <w:r>
        <w:rPr>
          <w:spacing w:val="-31"/>
          <w:sz w:val="24"/>
          <w:szCs w:val="24"/>
        </w:rPr>
        <w:t xml:space="preserve"> </w:t>
      </w:r>
      <w:r>
        <w:rPr>
          <w:rFonts w:ascii="Times New Roman" w:hAnsi="Times New Roman" w:eastAsia="Times New Roman" w:cs="Times New Roman"/>
          <w:spacing w:val="-2"/>
          <w:sz w:val="24"/>
          <w:szCs w:val="24"/>
        </w:rPr>
        <w:t>127km</w:t>
      </w:r>
      <w:r>
        <w:rPr>
          <w:rFonts w:ascii="Times New Roman" w:hAnsi="Times New Roman" w:eastAsia="Times New Roman" w:cs="Times New Roman"/>
          <w:spacing w:val="-2"/>
          <w:position w:val="8"/>
          <w:sz w:val="15"/>
          <w:szCs w:val="15"/>
        </w:rPr>
        <w:t>2</w:t>
      </w:r>
      <w:r>
        <w:rPr>
          <w:spacing w:val="-2"/>
          <w:sz w:val="24"/>
          <w:szCs w:val="24"/>
        </w:rPr>
        <w:t>。</w:t>
      </w:r>
    </w:p>
    <w:p w14:paraId="083B7D16">
      <w:pPr>
        <w:pStyle w:val="2"/>
        <w:spacing w:before="2" w:line="339" w:lineRule="auto"/>
        <w:ind w:left="58" w:right="200" w:firstLine="463"/>
        <w:rPr>
          <w:sz w:val="24"/>
          <w:szCs w:val="24"/>
        </w:rPr>
      </w:pPr>
      <w:r>
        <w:rPr>
          <w:spacing w:val="-1"/>
          <w:sz w:val="24"/>
          <w:szCs w:val="24"/>
        </w:rPr>
        <w:t>车章河发源于马过河镇，河源海拔高程约</w:t>
      </w:r>
      <w:r>
        <w:rPr>
          <w:spacing w:val="-39"/>
          <w:sz w:val="24"/>
          <w:szCs w:val="24"/>
        </w:rPr>
        <w:t xml:space="preserve"> </w:t>
      </w:r>
      <w:r>
        <w:rPr>
          <w:rFonts w:ascii="Times New Roman" w:hAnsi="Times New Roman" w:eastAsia="Times New Roman" w:cs="Times New Roman"/>
          <w:spacing w:val="-1"/>
          <w:sz w:val="24"/>
          <w:szCs w:val="24"/>
        </w:rPr>
        <w:t>2100m</w:t>
      </w:r>
      <w:r>
        <w:rPr>
          <w:spacing w:val="-1"/>
          <w:sz w:val="24"/>
          <w:szCs w:val="24"/>
        </w:rPr>
        <w:t>，河长</w:t>
      </w:r>
      <w:r>
        <w:rPr>
          <w:spacing w:val="-28"/>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
          <w:sz w:val="24"/>
          <w:szCs w:val="24"/>
        </w:rPr>
        <w:t>0.9km</w:t>
      </w:r>
      <w:r>
        <w:rPr>
          <w:spacing w:val="-2"/>
          <w:sz w:val="24"/>
          <w:szCs w:val="24"/>
        </w:rPr>
        <w:t>，河道平均比</w:t>
      </w:r>
      <w:r>
        <w:rPr>
          <w:spacing w:val="-3"/>
          <w:sz w:val="24"/>
          <w:szCs w:val="24"/>
        </w:rPr>
        <w:t>降</w:t>
      </w:r>
      <w:r>
        <w:rPr>
          <w:spacing w:val="-35"/>
          <w:sz w:val="24"/>
          <w:szCs w:val="24"/>
        </w:rPr>
        <w:t xml:space="preserve"> </w:t>
      </w:r>
      <w:r>
        <w:rPr>
          <w:rFonts w:ascii="Times New Roman" w:hAnsi="Times New Roman" w:eastAsia="Times New Roman" w:cs="Times New Roman"/>
          <w:spacing w:val="-3"/>
          <w:sz w:val="24"/>
          <w:szCs w:val="24"/>
        </w:rPr>
        <w:t>8.5</w:t>
      </w:r>
      <w:r>
        <w:rPr>
          <w:spacing w:val="-3"/>
          <w:sz w:val="24"/>
          <w:szCs w:val="24"/>
        </w:rPr>
        <w:t>‰，径流面积</w:t>
      </w:r>
      <w:r>
        <w:rPr>
          <w:spacing w:val="-56"/>
          <w:sz w:val="24"/>
          <w:szCs w:val="24"/>
        </w:rPr>
        <w:t xml:space="preserve"> </w:t>
      </w:r>
      <w:r>
        <w:rPr>
          <w:rFonts w:ascii="Times New Roman" w:hAnsi="Times New Roman" w:eastAsia="Times New Roman" w:cs="Times New Roman"/>
          <w:spacing w:val="-3"/>
          <w:sz w:val="24"/>
          <w:szCs w:val="24"/>
        </w:rPr>
        <w:t>42.7km</w:t>
      </w:r>
      <w:r>
        <w:rPr>
          <w:rFonts w:ascii="Times New Roman" w:hAnsi="Times New Roman" w:eastAsia="Times New Roman" w:cs="Times New Roman"/>
          <w:spacing w:val="-3"/>
          <w:position w:val="8"/>
          <w:sz w:val="15"/>
          <w:szCs w:val="15"/>
        </w:rPr>
        <w:t>2</w:t>
      </w:r>
      <w:r>
        <w:rPr>
          <w:spacing w:val="-3"/>
          <w:sz w:val="24"/>
          <w:szCs w:val="24"/>
        </w:rPr>
        <w:t>。</w:t>
      </w:r>
    </w:p>
    <w:p w14:paraId="30596BB7">
      <w:pPr>
        <w:spacing w:line="339" w:lineRule="auto"/>
        <w:rPr>
          <w:sz w:val="24"/>
          <w:szCs w:val="24"/>
        </w:rPr>
        <w:sectPr>
          <w:headerReference r:id="rId26" w:type="default"/>
          <w:footerReference r:id="rId27" w:type="default"/>
          <w:pgSz w:w="11907" w:h="16839"/>
          <w:pgMar w:top="1376" w:right="1513" w:bottom="1061" w:left="1671" w:header="999" w:footer="861" w:gutter="0"/>
          <w:cols w:space="720" w:num="1"/>
        </w:sectPr>
      </w:pPr>
    </w:p>
    <w:p w14:paraId="575B8FC6">
      <w:pPr>
        <w:spacing w:line="454" w:lineRule="auto"/>
        <w:rPr>
          <w:rFonts w:ascii="Arial"/>
          <w:sz w:val="21"/>
        </w:rPr>
      </w:pPr>
    </w:p>
    <w:p w14:paraId="59E9C043">
      <w:pPr>
        <w:pStyle w:val="2"/>
        <w:spacing w:before="78" w:line="339" w:lineRule="auto"/>
        <w:ind w:left="38" w:right="42" w:firstLine="484"/>
        <w:rPr>
          <w:sz w:val="24"/>
          <w:szCs w:val="24"/>
        </w:rPr>
      </w:pPr>
      <w:r>
        <w:rPr>
          <w:spacing w:val="-1"/>
          <w:sz w:val="24"/>
          <w:szCs w:val="24"/>
        </w:rPr>
        <w:t>莫浪河发源于马龙县上官坝村，河源海拔高程约</w:t>
      </w:r>
      <w:r>
        <w:rPr>
          <w:spacing w:val="-39"/>
          <w:sz w:val="24"/>
          <w:szCs w:val="24"/>
        </w:rPr>
        <w:t xml:space="preserve"> </w:t>
      </w:r>
      <w:r>
        <w:rPr>
          <w:rFonts w:ascii="Times New Roman" w:hAnsi="Times New Roman" w:eastAsia="Times New Roman" w:cs="Times New Roman"/>
          <w:spacing w:val="-1"/>
          <w:sz w:val="24"/>
          <w:szCs w:val="24"/>
        </w:rPr>
        <w:t>2130m</w:t>
      </w:r>
      <w:r>
        <w:rPr>
          <w:spacing w:val="-1"/>
          <w:sz w:val="24"/>
          <w:szCs w:val="24"/>
        </w:rPr>
        <w:t>，河长</w:t>
      </w:r>
      <w:r>
        <w:rPr>
          <w:spacing w:val="-38"/>
          <w:sz w:val="24"/>
          <w:szCs w:val="24"/>
        </w:rPr>
        <w:t xml:space="preserve"> </w:t>
      </w:r>
      <w:r>
        <w:rPr>
          <w:rFonts w:ascii="Times New Roman" w:hAnsi="Times New Roman" w:eastAsia="Times New Roman" w:cs="Times New Roman"/>
          <w:spacing w:val="-1"/>
          <w:sz w:val="24"/>
          <w:szCs w:val="24"/>
        </w:rPr>
        <w:t>23.3km</w:t>
      </w:r>
      <w:r>
        <w:rPr>
          <w:spacing w:val="-1"/>
          <w:sz w:val="24"/>
          <w:szCs w:val="24"/>
        </w:rPr>
        <w:t>，河道</w:t>
      </w:r>
      <w:r>
        <w:rPr>
          <w:spacing w:val="-3"/>
          <w:sz w:val="24"/>
          <w:szCs w:val="24"/>
        </w:rPr>
        <w:t>平均比降</w:t>
      </w:r>
      <w:r>
        <w:rPr>
          <w:spacing w:val="-26"/>
          <w:sz w:val="24"/>
          <w:szCs w:val="24"/>
        </w:rPr>
        <w:t xml:space="preserve"> </w:t>
      </w:r>
      <w:r>
        <w:rPr>
          <w:rFonts w:ascii="Times New Roman" w:hAnsi="Times New Roman" w:eastAsia="Times New Roman" w:cs="Times New Roman"/>
          <w:spacing w:val="-3"/>
          <w:sz w:val="24"/>
          <w:szCs w:val="24"/>
        </w:rPr>
        <w:t>11</w:t>
      </w:r>
      <w:r>
        <w:rPr>
          <w:spacing w:val="-3"/>
          <w:sz w:val="24"/>
          <w:szCs w:val="24"/>
        </w:rPr>
        <w:t>‰，径流面积</w:t>
      </w:r>
      <w:r>
        <w:rPr>
          <w:spacing w:val="-49"/>
          <w:sz w:val="24"/>
          <w:szCs w:val="24"/>
        </w:rPr>
        <w:t xml:space="preserve"> </w:t>
      </w:r>
      <w:r>
        <w:rPr>
          <w:rFonts w:ascii="Times New Roman" w:hAnsi="Times New Roman" w:eastAsia="Times New Roman" w:cs="Times New Roman"/>
          <w:spacing w:val="-3"/>
          <w:sz w:val="24"/>
          <w:szCs w:val="24"/>
        </w:rPr>
        <w:t>51.9km</w:t>
      </w:r>
      <w:r>
        <w:rPr>
          <w:rFonts w:ascii="Times New Roman" w:hAnsi="Times New Roman" w:eastAsia="Times New Roman" w:cs="Times New Roman"/>
          <w:spacing w:val="-3"/>
          <w:position w:val="8"/>
          <w:sz w:val="15"/>
          <w:szCs w:val="15"/>
        </w:rPr>
        <w:t>2</w:t>
      </w:r>
      <w:r>
        <w:rPr>
          <w:spacing w:val="-3"/>
          <w:sz w:val="24"/>
          <w:szCs w:val="24"/>
        </w:rPr>
        <w:t>。</w:t>
      </w:r>
    </w:p>
    <w:p w14:paraId="60527C65">
      <w:pPr>
        <w:pStyle w:val="2"/>
        <w:spacing w:line="338" w:lineRule="auto"/>
        <w:ind w:left="65" w:right="45" w:firstLine="488"/>
        <w:rPr>
          <w:sz w:val="24"/>
          <w:szCs w:val="24"/>
        </w:rPr>
      </w:pPr>
      <w:r>
        <w:rPr>
          <w:spacing w:val="-3"/>
          <w:sz w:val="24"/>
          <w:szCs w:val="24"/>
        </w:rPr>
        <w:t>白塔河发源于马龙县旧县镇，河源海拔高程</w:t>
      </w:r>
      <w:r>
        <w:rPr>
          <w:spacing w:val="-33"/>
          <w:sz w:val="24"/>
          <w:szCs w:val="24"/>
        </w:rPr>
        <w:t xml:space="preserve"> </w:t>
      </w:r>
      <w:r>
        <w:rPr>
          <w:rFonts w:ascii="Times New Roman" w:hAnsi="Times New Roman" w:eastAsia="Times New Roman" w:cs="Times New Roman"/>
          <w:spacing w:val="-3"/>
          <w:sz w:val="24"/>
          <w:szCs w:val="24"/>
        </w:rPr>
        <w:t>2260m</w:t>
      </w:r>
      <w:r>
        <w:rPr>
          <w:spacing w:val="-3"/>
          <w:sz w:val="24"/>
          <w:szCs w:val="24"/>
        </w:rPr>
        <w:t xml:space="preserve">，河长 </w:t>
      </w:r>
      <w:r>
        <w:rPr>
          <w:rFonts w:ascii="Times New Roman" w:hAnsi="Times New Roman" w:eastAsia="Times New Roman" w:cs="Times New Roman"/>
          <w:spacing w:val="-3"/>
          <w:sz w:val="24"/>
          <w:szCs w:val="24"/>
        </w:rPr>
        <w:t>18.5km</w:t>
      </w:r>
      <w:r>
        <w:rPr>
          <w:spacing w:val="-3"/>
          <w:sz w:val="24"/>
          <w:szCs w:val="24"/>
        </w:rPr>
        <w:t>，河道平均</w:t>
      </w:r>
      <w:r>
        <w:rPr>
          <w:spacing w:val="-4"/>
          <w:sz w:val="24"/>
          <w:szCs w:val="24"/>
        </w:rPr>
        <w:t>比降</w:t>
      </w:r>
      <w:r>
        <w:rPr>
          <w:spacing w:val="-26"/>
          <w:sz w:val="24"/>
          <w:szCs w:val="24"/>
        </w:rPr>
        <w:t xml:space="preserve"> </w:t>
      </w:r>
      <w:r>
        <w:rPr>
          <w:rFonts w:ascii="Times New Roman" w:hAnsi="Times New Roman" w:eastAsia="Times New Roman" w:cs="Times New Roman"/>
          <w:spacing w:val="-4"/>
          <w:sz w:val="24"/>
          <w:szCs w:val="24"/>
        </w:rPr>
        <w:t>14</w:t>
      </w:r>
      <w:r>
        <w:rPr>
          <w:spacing w:val="-4"/>
          <w:sz w:val="24"/>
          <w:szCs w:val="24"/>
        </w:rPr>
        <w:t>‰，径流面积</w:t>
      </w:r>
      <w:r>
        <w:rPr>
          <w:spacing w:val="-55"/>
          <w:sz w:val="24"/>
          <w:szCs w:val="24"/>
        </w:rPr>
        <w:t xml:space="preserve"> </w:t>
      </w:r>
      <w:r>
        <w:rPr>
          <w:rFonts w:ascii="Times New Roman" w:hAnsi="Times New Roman" w:eastAsia="Times New Roman" w:cs="Times New Roman"/>
          <w:spacing w:val="-4"/>
          <w:sz w:val="24"/>
          <w:szCs w:val="24"/>
        </w:rPr>
        <w:t>29.5km</w:t>
      </w:r>
      <w:r>
        <w:rPr>
          <w:rFonts w:ascii="Times New Roman" w:hAnsi="Times New Roman" w:eastAsia="Times New Roman" w:cs="Times New Roman"/>
          <w:spacing w:val="-4"/>
          <w:position w:val="8"/>
          <w:sz w:val="15"/>
          <w:szCs w:val="15"/>
        </w:rPr>
        <w:t>2</w:t>
      </w:r>
      <w:r>
        <w:rPr>
          <w:spacing w:val="-4"/>
          <w:sz w:val="24"/>
          <w:szCs w:val="24"/>
        </w:rPr>
        <w:t>。</w:t>
      </w:r>
    </w:p>
    <w:p w14:paraId="40EBFB86">
      <w:pPr>
        <w:pStyle w:val="2"/>
        <w:spacing w:line="338" w:lineRule="auto"/>
        <w:ind w:left="38" w:right="84" w:firstLine="486"/>
        <w:rPr>
          <w:sz w:val="24"/>
          <w:szCs w:val="24"/>
        </w:rPr>
      </w:pPr>
      <w:r>
        <w:rPr>
          <w:spacing w:val="-3"/>
          <w:sz w:val="24"/>
          <w:szCs w:val="24"/>
        </w:rPr>
        <w:t>红桥河发源于马龙县旧县镇己沃梁子，河源海拔高程</w:t>
      </w:r>
      <w:r>
        <w:rPr>
          <w:spacing w:val="-22"/>
          <w:sz w:val="24"/>
          <w:szCs w:val="24"/>
        </w:rPr>
        <w:t xml:space="preserve"> </w:t>
      </w:r>
      <w:r>
        <w:rPr>
          <w:rFonts w:ascii="Times New Roman" w:hAnsi="Times New Roman" w:eastAsia="Times New Roman" w:cs="Times New Roman"/>
          <w:spacing w:val="-3"/>
          <w:sz w:val="24"/>
          <w:szCs w:val="24"/>
        </w:rPr>
        <w:t>2120m</w:t>
      </w:r>
      <w:r>
        <w:rPr>
          <w:spacing w:val="-3"/>
          <w:sz w:val="24"/>
          <w:szCs w:val="24"/>
        </w:rPr>
        <w:t>，河长</w:t>
      </w:r>
      <w:r>
        <w:rPr>
          <w:spacing w:val="-23"/>
          <w:sz w:val="24"/>
          <w:szCs w:val="24"/>
        </w:rPr>
        <w:t xml:space="preserve"> </w:t>
      </w:r>
      <w:r>
        <w:rPr>
          <w:rFonts w:ascii="Times New Roman" w:hAnsi="Times New Roman" w:eastAsia="Times New Roman" w:cs="Times New Roman"/>
          <w:spacing w:val="-3"/>
          <w:sz w:val="24"/>
          <w:szCs w:val="24"/>
        </w:rPr>
        <w:t>35.9km</w:t>
      </w:r>
      <w:r>
        <w:rPr>
          <w:spacing w:val="-3"/>
          <w:sz w:val="24"/>
          <w:szCs w:val="24"/>
        </w:rPr>
        <w:t>，</w:t>
      </w:r>
      <w:r>
        <w:rPr>
          <w:spacing w:val="-2"/>
          <w:sz w:val="24"/>
          <w:szCs w:val="24"/>
        </w:rPr>
        <w:t>河道平均比降</w:t>
      </w:r>
      <w:r>
        <w:rPr>
          <w:spacing w:val="-50"/>
          <w:sz w:val="24"/>
          <w:szCs w:val="24"/>
        </w:rPr>
        <w:t xml:space="preserve"> </w:t>
      </w:r>
      <w:r>
        <w:rPr>
          <w:rFonts w:ascii="Times New Roman" w:hAnsi="Times New Roman" w:eastAsia="Times New Roman" w:cs="Times New Roman"/>
          <w:spacing w:val="-2"/>
          <w:sz w:val="24"/>
          <w:szCs w:val="24"/>
        </w:rPr>
        <w:t>3.7</w:t>
      </w:r>
      <w:r>
        <w:rPr>
          <w:spacing w:val="-2"/>
          <w:sz w:val="24"/>
          <w:szCs w:val="24"/>
        </w:rPr>
        <w:t>‰，径流面积</w:t>
      </w:r>
      <w:r>
        <w:rPr>
          <w:spacing w:val="-31"/>
          <w:sz w:val="24"/>
          <w:szCs w:val="24"/>
        </w:rPr>
        <w:t xml:space="preserve"> </w:t>
      </w:r>
      <w:r>
        <w:rPr>
          <w:rFonts w:ascii="Times New Roman" w:hAnsi="Times New Roman" w:eastAsia="Times New Roman" w:cs="Times New Roman"/>
          <w:spacing w:val="-2"/>
          <w:sz w:val="24"/>
          <w:szCs w:val="24"/>
        </w:rPr>
        <w:t>192km</w:t>
      </w:r>
      <w:r>
        <w:rPr>
          <w:rFonts w:ascii="Times New Roman" w:hAnsi="Times New Roman" w:eastAsia="Times New Roman" w:cs="Times New Roman"/>
          <w:spacing w:val="-2"/>
          <w:position w:val="8"/>
          <w:sz w:val="15"/>
          <w:szCs w:val="15"/>
        </w:rPr>
        <w:t>2</w:t>
      </w:r>
      <w:r>
        <w:rPr>
          <w:spacing w:val="-2"/>
          <w:sz w:val="24"/>
          <w:szCs w:val="24"/>
        </w:rPr>
        <w:t>。</w:t>
      </w:r>
    </w:p>
    <w:p w14:paraId="49B49201">
      <w:pPr>
        <w:pStyle w:val="2"/>
        <w:spacing w:before="2" w:line="338" w:lineRule="auto"/>
        <w:ind w:left="40" w:right="32" w:firstLine="506"/>
        <w:rPr>
          <w:sz w:val="24"/>
          <w:szCs w:val="24"/>
        </w:rPr>
      </w:pPr>
      <w:r>
        <w:rPr>
          <w:spacing w:val="-5"/>
          <w:sz w:val="24"/>
          <w:szCs w:val="24"/>
        </w:rPr>
        <w:t>以上各支流中，车章河和白塔河两支流汇口处位于车马碧水库库区</w:t>
      </w:r>
      <w:r>
        <w:rPr>
          <w:spacing w:val="-6"/>
          <w:sz w:val="24"/>
          <w:szCs w:val="24"/>
        </w:rPr>
        <w:t>。马龙河流</w:t>
      </w:r>
      <w:r>
        <w:rPr>
          <w:spacing w:val="-2"/>
          <w:sz w:val="24"/>
          <w:szCs w:val="24"/>
        </w:rPr>
        <w:t>域支流现状情况见表</w:t>
      </w:r>
      <w:r>
        <w:rPr>
          <w:spacing w:val="-41"/>
          <w:sz w:val="24"/>
          <w:szCs w:val="24"/>
        </w:rPr>
        <w:t xml:space="preserve"> </w:t>
      </w:r>
      <w:r>
        <w:rPr>
          <w:rFonts w:ascii="Times New Roman" w:hAnsi="Times New Roman" w:eastAsia="Times New Roman" w:cs="Times New Roman"/>
          <w:spacing w:val="-2"/>
          <w:sz w:val="24"/>
          <w:szCs w:val="24"/>
        </w:rPr>
        <w:t>3.1-1</w:t>
      </w:r>
      <w:r>
        <w:rPr>
          <w:spacing w:val="-2"/>
          <w:sz w:val="24"/>
          <w:szCs w:val="24"/>
        </w:rPr>
        <w:t>。</w:t>
      </w:r>
    </w:p>
    <w:p w14:paraId="0DE10352">
      <w:pPr>
        <w:pStyle w:val="2"/>
        <w:spacing w:before="1" w:line="225"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3.1-1              </w:t>
      </w:r>
      <w:r>
        <w:rPr>
          <w:rFonts w:ascii="Times New Roman" w:hAnsi="Times New Roman" w:eastAsia="Times New Roman" w:cs="Times New Roman"/>
          <w:b/>
          <w:bCs/>
          <w:spacing w:val="-1"/>
          <w:sz w:val="24"/>
          <w:szCs w:val="24"/>
        </w:rPr>
        <w:t xml:space="preserve">                </w:t>
      </w:r>
      <w:r>
        <w:rPr>
          <w:b/>
          <w:bCs/>
          <w:spacing w:val="-1"/>
          <w:sz w:val="24"/>
          <w:szCs w:val="24"/>
        </w:rPr>
        <w:t>马龙河流域主要支流特征值表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1267"/>
        <w:gridCol w:w="1972"/>
        <w:gridCol w:w="1411"/>
        <w:gridCol w:w="1691"/>
        <w:gridCol w:w="1277"/>
      </w:tblGrid>
      <w:tr w14:paraId="189F6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55" w:type="dxa"/>
            <w:tcBorders>
              <w:top w:val="single" w:color="000000" w:sz="12" w:space="0"/>
              <w:left w:val="single" w:color="000000" w:sz="12" w:space="0"/>
            </w:tcBorders>
            <w:vAlign w:val="top"/>
          </w:tcPr>
          <w:p w14:paraId="7D1D382C">
            <w:pPr>
              <w:spacing w:before="87" w:line="221" w:lineRule="auto"/>
              <w:ind w:left="203"/>
              <w:rPr>
                <w:rFonts w:ascii="宋体" w:hAnsi="宋体" w:eastAsia="宋体" w:cs="宋体"/>
                <w:sz w:val="21"/>
                <w:szCs w:val="21"/>
              </w:rPr>
            </w:pPr>
            <w:r>
              <w:rPr>
                <w:rFonts w:ascii="宋体" w:hAnsi="宋体" w:eastAsia="宋体" w:cs="宋体"/>
                <w:spacing w:val="-3"/>
                <w:sz w:val="21"/>
                <w:szCs w:val="21"/>
              </w:rPr>
              <w:t>位置</w:t>
            </w:r>
          </w:p>
        </w:tc>
        <w:tc>
          <w:tcPr>
            <w:tcW w:w="1267" w:type="dxa"/>
            <w:tcBorders>
              <w:top w:val="single" w:color="000000" w:sz="12" w:space="0"/>
            </w:tcBorders>
            <w:vAlign w:val="top"/>
          </w:tcPr>
          <w:p w14:paraId="622396F9">
            <w:pPr>
              <w:spacing w:before="87" w:line="220" w:lineRule="auto"/>
              <w:ind w:left="208"/>
              <w:rPr>
                <w:rFonts w:ascii="宋体" w:hAnsi="宋体" w:eastAsia="宋体" w:cs="宋体"/>
                <w:sz w:val="21"/>
                <w:szCs w:val="21"/>
              </w:rPr>
            </w:pPr>
            <w:r>
              <w:rPr>
                <w:rFonts w:ascii="宋体" w:hAnsi="宋体" w:eastAsia="宋体" w:cs="宋体"/>
                <w:spacing w:val="-2"/>
                <w:sz w:val="21"/>
                <w:szCs w:val="21"/>
              </w:rPr>
              <w:t>支流名称</w:t>
            </w:r>
          </w:p>
        </w:tc>
        <w:tc>
          <w:tcPr>
            <w:tcW w:w="1972" w:type="dxa"/>
            <w:tcBorders>
              <w:top w:val="single" w:color="000000" w:sz="12" w:space="0"/>
            </w:tcBorders>
            <w:vAlign w:val="top"/>
          </w:tcPr>
          <w:p w14:paraId="64F06B77">
            <w:pPr>
              <w:pStyle w:val="6"/>
              <w:spacing w:before="86" w:line="225" w:lineRule="auto"/>
              <w:ind w:left="186"/>
              <w:rPr>
                <w:rFonts w:ascii="宋体" w:hAnsi="宋体" w:eastAsia="宋体" w:cs="宋体"/>
              </w:rPr>
            </w:pPr>
            <w:r>
              <w:rPr>
                <w:rFonts w:ascii="宋体" w:hAnsi="宋体" w:eastAsia="宋体" w:cs="宋体"/>
                <w:spacing w:val="-2"/>
              </w:rPr>
              <w:t>径流面积（</w:t>
            </w:r>
            <w:r>
              <w:rPr>
                <w:spacing w:val="-2"/>
              </w:rPr>
              <w:t>km</w:t>
            </w:r>
            <w:r>
              <w:rPr>
                <w:spacing w:val="-2"/>
                <w:position w:val="1"/>
                <w:sz w:val="14"/>
                <w:szCs w:val="14"/>
              </w:rPr>
              <w:t>2</w:t>
            </w:r>
            <w:r>
              <w:rPr>
                <w:rFonts w:ascii="宋体" w:hAnsi="宋体" w:eastAsia="宋体" w:cs="宋体"/>
                <w:spacing w:val="-2"/>
                <w:position w:val="1"/>
              </w:rPr>
              <w:t>）</w:t>
            </w:r>
          </w:p>
        </w:tc>
        <w:tc>
          <w:tcPr>
            <w:tcW w:w="1411" w:type="dxa"/>
            <w:tcBorders>
              <w:top w:val="single" w:color="000000" w:sz="12" w:space="0"/>
            </w:tcBorders>
            <w:vAlign w:val="top"/>
          </w:tcPr>
          <w:p w14:paraId="60A4D844">
            <w:pPr>
              <w:pStyle w:val="6"/>
              <w:spacing w:before="86" w:line="236" w:lineRule="auto"/>
              <w:ind w:left="156"/>
              <w:rPr>
                <w:rFonts w:ascii="宋体" w:hAnsi="宋体" w:eastAsia="宋体" w:cs="宋体"/>
              </w:rPr>
            </w:pPr>
            <w:r>
              <w:rPr>
                <w:rFonts w:ascii="宋体" w:hAnsi="宋体" w:eastAsia="宋体" w:cs="宋体"/>
                <w:spacing w:val="-1"/>
              </w:rPr>
              <w:t>河长（</w:t>
            </w:r>
            <w:r>
              <w:rPr>
                <w:spacing w:val="-1"/>
              </w:rPr>
              <w:t>km</w:t>
            </w:r>
            <w:r>
              <w:rPr>
                <w:rFonts w:ascii="宋体" w:hAnsi="宋体" w:eastAsia="宋体" w:cs="宋体"/>
                <w:spacing w:val="-1"/>
              </w:rPr>
              <w:t>）</w:t>
            </w:r>
          </w:p>
        </w:tc>
        <w:tc>
          <w:tcPr>
            <w:tcW w:w="1691" w:type="dxa"/>
            <w:tcBorders>
              <w:top w:val="single" w:color="000000" w:sz="12" w:space="0"/>
            </w:tcBorders>
            <w:vAlign w:val="top"/>
          </w:tcPr>
          <w:p w14:paraId="065A4968">
            <w:pPr>
              <w:pStyle w:val="6"/>
              <w:spacing w:before="87" w:line="234" w:lineRule="auto"/>
              <w:ind w:left="144"/>
              <w:rPr>
                <w:rFonts w:ascii="宋体" w:hAnsi="宋体" w:eastAsia="宋体" w:cs="宋体"/>
              </w:rPr>
            </w:pPr>
            <w:r>
              <w:rPr>
                <w:rFonts w:ascii="宋体" w:hAnsi="宋体" w:eastAsia="宋体" w:cs="宋体"/>
                <w:spacing w:val="-1"/>
              </w:rPr>
              <w:t>河源海拔（</w:t>
            </w:r>
            <w:r>
              <w:rPr>
                <w:spacing w:val="-1"/>
              </w:rPr>
              <w:t>m</w:t>
            </w:r>
            <w:r>
              <w:rPr>
                <w:rFonts w:ascii="宋体" w:hAnsi="宋体" w:eastAsia="宋体" w:cs="宋体"/>
                <w:spacing w:val="-1"/>
              </w:rPr>
              <w:t>）</w:t>
            </w:r>
          </w:p>
        </w:tc>
        <w:tc>
          <w:tcPr>
            <w:tcW w:w="1277" w:type="dxa"/>
            <w:tcBorders>
              <w:top w:val="single" w:color="000000" w:sz="12" w:space="0"/>
              <w:right w:val="single" w:color="000000" w:sz="12" w:space="0"/>
            </w:tcBorders>
            <w:vAlign w:val="top"/>
          </w:tcPr>
          <w:p w14:paraId="5E640E63">
            <w:pPr>
              <w:spacing w:before="86" w:line="220" w:lineRule="auto"/>
              <w:ind w:left="145"/>
              <w:rPr>
                <w:rFonts w:ascii="宋体" w:hAnsi="宋体" w:eastAsia="宋体" w:cs="宋体"/>
                <w:sz w:val="21"/>
                <w:szCs w:val="21"/>
              </w:rPr>
            </w:pPr>
            <w:r>
              <w:rPr>
                <w:rFonts w:ascii="宋体" w:hAnsi="宋体" w:eastAsia="宋体" w:cs="宋体"/>
                <w:spacing w:val="12"/>
                <w:sz w:val="21"/>
                <w:szCs w:val="21"/>
              </w:rPr>
              <w:t>比降(‰)</w:t>
            </w:r>
          </w:p>
        </w:tc>
      </w:tr>
      <w:tr w14:paraId="3356D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855" w:type="dxa"/>
            <w:vMerge w:val="restart"/>
            <w:tcBorders>
              <w:left w:val="single" w:color="000000" w:sz="12" w:space="0"/>
              <w:bottom w:val="nil"/>
            </w:tcBorders>
            <w:vAlign w:val="top"/>
          </w:tcPr>
          <w:p w14:paraId="6ACD6A2B">
            <w:pPr>
              <w:spacing w:line="309" w:lineRule="auto"/>
              <w:rPr>
                <w:rFonts w:ascii="Arial"/>
                <w:sz w:val="21"/>
              </w:rPr>
            </w:pPr>
          </w:p>
          <w:p w14:paraId="548FE908">
            <w:pPr>
              <w:spacing w:line="310" w:lineRule="auto"/>
              <w:rPr>
                <w:rFonts w:ascii="Arial"/>
                <w:sz w:val="21"/>
              </w:rPr>
            </w:pPr>
          </w:p>
          <w:p w14:paraId="5B32A581">
            <w:pPr>
              <w:spacing w:before="68" w:line="220" w:lineRule="auto"/>
              <w:ind w:left="205"/>
              <w:rPr>
                <w:rFonts w:ascii="宋体" w:hAnsi="宋体" w:eastAsia="宋体" w:cs="宋体"/>
                <w:sz w:val="21"/>
                <w:szCs w:val="21"/>
              </w:rPr>
            </w:pPr>
            <w:r>
              <w:rPr>
                <w:rFonts w:ascii="宋体" w:hAnsi="宋体" w:eastAsia="宋体" w:cs="宋体"/>
                <w:spacing w:val="-3"/>
                <w:sz w:val="21"/>
                <w:szCs w:val="21"/>
              </w:rPr>
              <w:t>右岸</w:t>
            </w:r>
          </w:p>
        </w:tc>
        <w:tc>
          <w:tcPr>
            <w:tcW w:w="1267" w:type="dxa"/>
            <w:vAlign w:val="top"/>
          </w:tcPr>
          <w:p w14:paraId="7F239DCE">
            <w:pPr>
              <w:spacing w:before="89" w:line="220" w:lineRule="auto"/>
              <w:ind w:left="311"/>
              <w:rPr>
                <w:rFonts w:ascii="宋体" w:hAnsi="宋体" w:eastAsia="宋体" w:cs="宋体"/>
                <w:sz w:val="21"/>
                <w:szCs w:val="21"/>
              </w:rPr>
            </w:pPr>
            <w:r>
              <w:rPr>
                <w:rFonts w:ascii="宋体" w:hAnsi="宋体" w:eastAsia="宋体" w:cs="宋体"/>
                <w:spacing w:val="-2"/>
                <w:sz w:val="21"/>
                <w:szCs w:val="21"/>
              </w:rPr>
              <w:t>桃源河</w:t>
            </w:r>
          </w:p>
        </w:tc>
        <w:tc>
          <w:tcPr>
            <w:tcW w:w="1972" w:type="dxa"/>
            <w:vAlign w:val="top"/>
          </w:tcPr>
          <w:p w14:paraId="48704D88">
            <w:pPr>
              <w:pStyle w:val="6"/>
              <w:spacing w:before="123" w:line="232" w:lineRule="auto"/>
              <w:ind w:left="844"/>
            </w:pPr>
            <w:r>
              <w:rPr>
                <w:spacing w:val="-9"/>
              </w:rPr>
              <w:t>101</w:t>
            </w:r>
          </w:p>
        </w:tc>
        <w:tc>
          <w:tcPr>
            <w:tcW w:w="1411" w:type="dxa"/>
            <w:vAlign w:val="top"/>
          </w:tcPr>
          <w:p w14:paraId="7C98E158">
            <w:pPr>
              <w:pStyle w:val="6"/>
              <w:spacing w:before="122" w:line="232" w:lineRule="auto"/>
              <w:ind w:left="524"/>
            </w:pPr>
            <w:r>
              <w:rPr>
                <w:spacing w:val="-1"/>
              </w:rPr>
              <w:t>23.8</w:t>
            </w:r>
          </w:p>
        </w:tc>
        <w:tc>
          <w:tcPr>
            <w:tcW w:w="1691" w:type="dxa"/>
            <w:vAlign w:val="top"/>
          </w:tcPr>
          <w:p w14:paraId="3C992BC1">
            <w:pPr>
              <w:pStyle w:val="6"/>
              <w:spacing w:before="123" w:line="232" w:lineRule="auto"/>
              <w:ind w:left="643"/>
            </w:pPr>
            <w:r>
              <w:rPr>
                <w:spacing w:val="-1"/>
              </w:rPr>
              <w:t>2130</w:t>
            </w:r>
          </w:p>
        </w:tc>
        <w:tc>
          <w:tcPr>
            <w:tcW w:w="1277" w:type="dxa"/>
            <w:tcBorders>
              <w:right w:val="single" w:color="000000" w:sz="12" w:space="0"/>
            </w:tcBorders>
            <w:vAlign w:val="top"/>
          </w:tcPr>
          <w:p w14:paraId="66C0D55E">
            <w:pPr>
              <w:pStyle w:val="6"/>
              <w:spacing w:before="122" w:line="232" w:lineRule="auto"/>
              <w:ind w:left="517"/>
            </w:pPr>
            <w:r>
              <w:rPr>
                <w:spacing w:val="-3"/>
              </w:rPr>
              <w:t>6.8</w:t>
            </w:r>
          </w:p>
        </w:tc>
      </w:tr>
      <w:tr w14:paraId="60D76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55" w:type="dxa"/>
            <w:vMerge w:val="continue"/>
            <w:tcBorders>
              <w:top w:val="nil"/>
              <w:left w:val="single" w:color="000000" w:sz="12" w:space="0"/>
              <w:bottom w:val="nil"/>
            </w:tcBorders>
            <w:vAlign w:val="top"/>
          </w:tcPr>
          <w:p w14:paraId="5655C86D">
            <w:pPr>
              <w:rPr>
                <w:rFonts w:ascii="Arial"/>
                <w:sz w:val="21"/>
              </w:rPr>
            </w:pPr>
          </w:p>
        </w:tc>
        <w:tc>
          <w:tcPr>
            <w:tcW w:w="1267" w:type="dxa"/>
            <w:vAlign w:val="top"/>
          </w:tcPr>
          <w:p w14:paraId="713997A4">
            <w:pPr>
              <w:spacing w:before="95" w:line="220" w:lineRule="auto"/>
              <w:ind w:left="313"/>
              <w:rPr>
                <w:rFonts w:ascii="宋体" w:hAnsi="宋体" w:eastAsia="宋体" w:cs="宋体"/>
                <w:sz w:val="21"/>
                <w:szCs w:val="21"/>
              </w:rPr>
            </w:pPr>
            <w:r>
              <w:rPr>
                <w:rFonts w:ascii="宋体" w:hAnsi="宋体" w:eastAsia="宋体" w:cs="宋体"/>
                <w:spacing w:val="-3"/>
                <w:sz w:val="21"/>
                <w:szCs w:val="21"/>
              </w:rPr>
              <w:t>永发河</w:t>
            </w:r>
          </w:p>
        </w:tc>
        <w:tc>
          <w:tcPr>
            <w:tcW w:w="1972" w:type="dxa"/>
            <w:vAlign w:val="top"/>
          </w:tcPr>
          <w:p w14:paraId="19B4FEDD">
            <w:pPr>
              <w:pStyle w:val="6"/>
              <w:spacing w:before="128" w:line="232" w:lineRule="auto"/>
              <w:ind w:left="844"/>
            </w:pPr>
            <w:r>
              <w:rPr>
                <w:spacing w:val="-9"/>
              </w:rPr>
              <w:t>127</w:t>
            </w:r>
          </w:p>
        </w:tc>
        <w:tc>
          <w:tcPr>
            <w:tcW w:w="1411" w:type="dxa"/>
            <w:vAlign w:val="top"/>
          </w:tcPr>
          <w:p w14:paraId="417B7D47">
            <w:pPr>
              <w:pStyle w:val="6"/>
              <w:spacing w:before="128" w:line="232" w:lineRule="auto"/>
              <w:ind w:left="524"/>
            </w:pPr>
            <w:r>
              <w:rPr>
                <w:spacing w:val="-1"/>
              </w:rPr>
              <w:t>25.8</w:t>
            </w:r>
          </w:p>
        </w:tc>
        <w:tc>
          <w:tcPr>
            <w:tcW w:w="1691" w:type="dxa"/>
            <w:vAlign w:val="top"/>
          </w:tcPr>
          <w:p w14:paraId="39AA1317">
            <w:pPr>
              <w:pStyle w:val="6"/>
              <w:spacing w:before="128" w:line="232" w:lineRule="auto"/>
              <w:ind w:left="643"/>
            </w:pPr>
            <w:r>
              <w:rPr>
                <w:spacing w:val="-1"/>
              </w:rPr>
              <w:t>2170</w:t>
            </w:r>
          </w:p>
        </w:tc>
        <w:tc>
          <w:tcPr>
            <w:tcW w:w="1277" w:type="dxa"/>
            <w:tcBorders>
              <w:right w:val="single" w:color="000000" w:sz="12" w:space="0"/>
            </w:tcBorders>
            <w:vAlign w:val="top"/>
          </w:tcPr>
          <w:p w14:paraId="0BA0A0F4">
            <w:pPr>
              <w:pStyle w:val="6"/>
              <w:spacing w:before="128" w:line="232" w:lineRule="auto"/>
              <w:ind w:left="516"/>
            </w:pPr>
            <w:r>
              <w:rPr>
                <w:spacing w:val="-3"/>
              </w:rPr>
              <w:t>3.4</w:t>
            </w:r>
          </w:p>
        </w:tc>
      </w:tr>
      <w:tr w14:paraId="58222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55" w:type="dxa"/>
            <w:vMerge w:val="continue"/>
            <w:tcBorders>
              <w:top w:val="nil"/>
              <w:left w:val="single" w:color="000000" w:sz="12" w:space="0"/>
              <w:bottom w:val="nil"/>
            </w:tcBorders>
            <w:vAlign w:val="top"/>
          </w:tcPr>
          <w:p w14:paraId="74A3B47C">
            <w:pPr>
              <w:rPr>
                <w:rFonts w:ascii="Arial"/>
                <w:sz w:val="21"/>
              </w:rPr>
            </w:pPr>
          </w:p>
        </w:tc>
        <w:tc>
          <w:tcPr>
            <w:tcW w:w="1267" w:type="dxa"/>
            <w:vAlign w:val="top"/>
          </w:tcPr>
          <w:p w14:paraId="4681B304">
            <w:pPr>
              <w:spacing w:before="97" w:line="219" w:lineRule="auto"/>
              <w:ind w:left="313"/>
              <w:rPr>
                <w:rFonts w:ascii="宋体" w:hAnsi="宋体" w:eastAsia="宋体" w:cs="宋体"/>
                <w:sz w:val="21"/>
                <w:szCs w:val="21"/>
              </w:rPr>
            </w:pPr>
            <w:r>
              <w:rPr>
                <w:rFonts w:ascii="宋体" w:hAnsi="宋体" w:eastAsia="宋体" w:cs="宋体"/>
                <w:spacing w:val="-3"/>
                <w:sz w:val="21"/>
                <w:szCs w:val="21"/>
              </w:rPr>
              <w:t>车章河</w:t>
            </w:r>
          </w:p>
        </w:tc>
        <w:tc>
          <w:tcPr>
            <w:tcW w:w="1972" w:type="dxa"/>
            <w:vAlign w:val="top"/>
          </w:tcPr>
          <w:p w14:paraId="61CE8455">
            <w:pPr>
              <w:pStyle w:val="6"/>
              <w:spacing w:before="131" w:line="232" w:lineRule="auto"/>
              <w:ind w:left="796"/>
            </w:pPr>
            <w:r>
              <w:rPr>
                <w:spacing w:val="-1"/>
              </w:rPr>
              <w:t>42.7</w:t>
            </w:r>
          </w:p>
        </w:tc>
        <w:tc>
          <w:tcPr>
            <w:tcW w:w="1411" w:type="dxa"/>
            <w:vAlign w:val="top"/>
          </w:tcPr>
          <w:p w14:paraId="02FCD900">
            <w:pPr>
              <w:pStyle w:val="6"/>
              <w:spacing w:before="131" w:line="232" w:lineRule="auto"/>
              <w:ind w:left="524"/>
            </w:pPr>
            <w:r>
              <w:rPr>
                <w:spacing w:val="-1"/>
              </w:rPr>
              <w:t>20.9</w:t>
            </w:r>
          </w:p>
        </w:tc>
        <w:tc>
          <w:tcPr>
            <w:tcW w:w="1691" w:type="dxa"/>
            <w:vAlign w:val="top"/>
          </w:tcPr>
          <w:p w14:paraId="1F73FF50">
            <w:pPr>
              <w:pStyle w:val="6"/>
              <w:spacing w:before="131" w:line="232" w:lineRule="auto"/>
              <w:ind w:left="643"/>
            </w:pPr>
            <w:r>
              <w:rPr>
                <w:spacing w:val="-1"/>
              </w:rPr>
              <w:t>2100</w:t>
            </w:r>
          </w:p>
        </w:tc>
        <w:tc>
          <w:tcPr>
            <w:tcW w:w="1277" w:type="dxa"/>
            <w:tcBorders>
              <w:right w:val="single" w:color="000000" w:sz="12" w:space="0"/>
            </w:tcBorders>
            <w:vAlign w:val="top"/>
          </w:tcPr>
          <w:p w14:paraId="429195A9">
            <w:pPr>
              <w:pStyle w:val="6"/>
              <w:spacing w:before="131" w:line="232" w:lineRule="auto"/>
              <w:ind w:left="520"/>
            </w:pPr>
            <w:r>
              <w:rPr>
                <w:spacing w:val="-4"/>
              </w:rPr>
              <w:t>8.5</w:t>
            </w:r>
          </w:p>
        </w:tc>
      </w:tr>
      <w:tr w14:paraId="199E7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55" w:type="dxa"/>
            <w:vMerge w:val="continue"/>
            <w:tcBorders>
              <w:top w:val="nil"/>
              <w:left w:val="single" w:color="000000" w:sz="12" w:space="0"/>
            </w:tcBorders>
            <w:vAlign w:val="top"/>
          </w:tcPr>
          <w:p w14:paraId="26A97852">
            <w:pPr>
              <w:rPr>
                <w:rFonts w:ascii="Arial"/>
                <w:sz w:val="21"/>
              </w:rPr>
            </w:pPr>
          </w:p>
        </w:tc>
        <w:tc>
          <w:tcPr>
            <w:tcW w:w="1267" w:type="dxa"/>
            <w:vAlign w:val="top"/>
          </w:tcPr>
          <w:p w14:paraId="308A642F">
            <w:pPr>
              <w:spacing w:before="102" w:line="220" w:lineRule="auto"/>
              <w:ind w:left="314"/>
              <w:rPr>
                <w:rFonts w:ascii="宋体" w:hAnsi="宋体" w:eastAsia="宋体" w:cs="宋体"/>
                <w:sz w:val="21"/>
                <w:szCs w:val="21"/>
              </w:rPr>
            </w:pPr>
            <w:r>
              <w:rPr>
                <w:rFonts w:ascii="宋体" w:hAnsi="宋体" w:eastAsia="宋体" w:cs="宋体"/>
                <w:spacing w:val="-3"/>
                <w:sz w:val="21"/>
                <w:szCs w:val="21"/>
              </w:rPr>
              <w:t>莫浪河</w:t>
            </w:r>
          </w:p>
        </w:tc>
        <w:tc>
          <w:tcPr>
            <w:tcW w:w="1972" w:type="dxa"/>
            <w:vAlign w:val="top"/>
          </w:tcPr>
          <w:p w14:paraId="6A4CFB2F">
            <w:pPr>
              <w:pStyle w:val="6"/>
              <w:spacing w:before="136" w:line="232" w:lineRule="auto"/>
              <w:ind w:left="803"/>
            </w:pPr>
            <w:r>
              <w:rPr>
                <w:spacing w:val="-3"/>
              </w:rPr>
              <w:t>51.9</w:t>
            </w:r>
          </w:p>
        </w:tc>
        <w:tc>
          <w:tcPr>
            <w:tcW w:w="1411" w:type="dxa"/>
            <w:vAlign w:val="top"/>
          </w:tcPr>
          <w:p w14:paraId="5D8A8DCD">
            <w:pPr>
              <w:pStyle w:val="6"/>
              <w:spacing w:before="136" w:line="232" w:lineRule="auto"/>
              <w:ind w:left="524"/>
            </w:pPr>
            <w:r>
              <w:rPr>
                <w:spacing w:val="-1"/>
              </w:rPr>
              <w:t>23.3</w:t>
            </w:r>
          </w:p>
        </w:tc>
        <w:tc>
          <w:tcPr>
            <w:tcW w:w="1691" w:type="dxa"/>
            <w:vAlign w:val="top"/>
          </w:tcPr>
          <w:p w14:paraId="0126FA16">
            <w:pPr>
              <w:pStyle w:val="6"/>
              <w:spacing w:before="136" w:line="232" w:lineRule="auto"/>
              <w:ind w:left="643"/>
            </w:pPr>
            <w:r>
              <w:rPr>
                <w:spacing w:val="-1"/>
              </w:rPr>
              <w:t>2130</w:t>
            </w:r>
          </w:p>
        </w:tc>
        <w:tc>
          <w:tcPr>
            <w:tcW w:w="1277" w:type="dxa"/>
            <w:tcBorders>
              <w:right w:val="single" w:color="000000" w:sz="12" w:space="0"/>
            </w:tcBorders>
            <w:vAlign w:val="top"/>
          </w:tcPr>
          <w:p w14:paraId="59CB3921">
            <w:pPr>
              <w:pStyle w:val="6"/>
              <w:spacing w:before="136" w:line="232" w:lineRule="auto"/>
              <w:ind w:left="480"/>
            </w:pPr>
            <w:r>
              <w:rPr>
                <w:spacing w:val="-6"/>
              </w:rPr>
              <w:t>11.0</w:t>
            </w:r>
          </w:p>
        </w:tc>
      </w:tr>
      <w:tr w14:paraId="64B90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55" w:type="dxa"/>
            <w:vMerge w:val="restart"/>
            <w:tcBorders>
              <w:left w:val="single" w:color="000000" w:sz="12" w:space="0"/>
              <w:bottom w:val="nil"/>
            </w:tcBorders>
            <w:vAlign w:val="top"/>
          </w:tcPr>
          <w:p w14:paraId="4D13C015">
            <w:pPr>
              <w:spacing w:before="308" w:line="220" w:lineRule="auto"/>
              <w:ind w:left="205"/>
              <w:rPr>
                <w:rFonts w:ascii="宋体" w:hAnsi="宋体" w:eastAsia="宋体" w:cs="宋体"/>
                <w:sz w:val="21"/>
                <w:szCs w:val="21"/>
              </w:rPr>
            </w:pPr>
            <w:r>
              <w:rPr>
                <w:rFonts w:ascii="宋体" w:hAnsi="宋体" w:eastAsia="宋体" w:cs="宋体"/>
                <w:spacing w:val="-3"/>
                <w:sz w:val="21"/>
                <w:szCs w:val="21"/>
              </w:rPr>
              <w:t>左岸</w:t>
            </w:r>
          </w:p>
        </w:tc>
        <w:tc>
          <w:tcPr>
            <w:tcW w:w="1267" w:type="dxa"/>
            <w:vAlign w:val="top"/>
          </w:tcPr>
          <w:p w14:paraId="40859426">
            <w:pPr>
              <w:spacing w:before="106" w:line="222" w:lineRule="auto"/>
              <w:ind w:left="342"/>
              <w:rPr>
                <w:rFonts w:ascii="宋体" w:hAnsi="宋体" w:eastAsia="宋体" w:cs="宋体"/>
                <w:sz w:val="21"/>
                <w:szCs w:val="21"/>
              </w:rPr>
            </w:pPr>
            <w:r>
              <w:rPr>
                <w:rFonts w:ascii="宋体" w:hAnsi="宋体" w:eastAsia="宋体" w:cs="宋体"/>
                <w:spacing w:val="-9"/>
                <w:sz w:val="21"/>
                <w:szCs w:val="21"/>
              </w:rPr>
              <w:t>白塔河</w:t>
            </w:r>
          </w:p>
        </w:tc>
        <w:tc>
          <w:tcPr>
            <w:tcW w:w="1972" w:type="dxa"/>
            <w:vAlign w:val="top"/>
          </w:tcPr>
          <w:p w14:paraId="0E618C1D">
            <w:pPr>
              <w:pStyle w:val="6"/>
              <w:spacing w:before="140" w:line="232" w:lineRule="auto"/>
              <w:ind w:left="797"/>
            </w:pPr>
            <w:r>
              <w:rPr>
                <w:spacing w:val="-1"/>
              </w:rPr>
              <w:t>29.5</w:t>
            </w:r>
          </w:p>
        </w:tc>
        <w:tc>
          <w:tcPr>
            <w:tcW w:w="1411" w:type="dxa"/>
            <w:vAlign w:val="top"/>
          </w:tcPr>
          <w:p w14:paraId="18BD5F0B">
            <w:pPr>
              <w:pStyle w:val="6"/>
              <w:spacing w:before="140" w:line="232" w:lineRule="auto"/>
              <w:ind w:left="544"/>
            </w:pPr>
            <w:r>
              <w:rPr>
                <w:spacing w:val="-6"/>
              </w:rPr>
              <w:t>18.5</w:t>
            </w:r>
          </w:p>
        </w:tc>
        <w:tc>
          <w:tcPr>
            <w:tcW w:w="1691" w:type="dxa"/>
            <w:vAlign w:val="top"/>
          </w:tcPr>
          <w:p w14:paraId="62C498F3">
            <w:pPr>
              <w:pStyle w:val="6"/>
              <w:spacing w:before="140" w:line="232" w:lineRule="auto"/>
              <w:ind w:left="643"/>
            </w:pPr>
            <w:r>
              <w:rPr>
                <w:spacing w:val="-1"/>
              </w:rPr>
              <w:t>2260</w:t>
            </w:r>
          </w:p>
        </w:tc>
        <w:tc>
          <w:tcPr>
            <w:tcW w:w="1277" w:type="dxa"/>
            <w:tcBorders>
              <w:right w:val="single" w:color="000000" w:sz="12" w:space="0"/>
            </w:tcBorders>
            <w:vAlign w:val="top"/>
          </w:tcPr>
          <w:p w14:paraId="3012BEB7">
            <w:pPr>
              <w:pStyle w:val="6"/>
              <w:spacing w:before="140" w:line="232" w:lineRule="auto"/>
              <w:ind w:left="480"/>
            </w:pPr>
            <w:r>
              <w:rPr>
                <w:spacing w:val="-6"/>
              </w:rPr>
              <w:t>14.0</w:t>
            </w:r>
          </w:p>
        </w:tc>
      </w:tr>
      <w:tr w14:paraId="74EFC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55" w:type="dxa"/>
            <w:vMerge w:val="continue"/>
            <w:tcBorders>
              <w:top w:val="nil"/>
              <w:left w:val="single" w:color="000000" w:sz="12" w:space="0"/>
              <w:bottom w:val="single" w:color="000000" w:sz="12" w:space="0"/>
            </w:tcBorders>
            <w:vAlign w:val="top"/>
          </w:tcPr>
          <w:p w14:paraId="43D6B3D6">
            <w:pPr>
              <w:rPr>
                <w:rFonts w:ascii="Arial"/>
                <w:sz w:val="21"/>
              </w:rPr>
            </w:pPr>
          </w:p>
        </w:tc>
        <w:tc>
          <w:tcPr>
            <w:tcW w:w="1267" w:type="dxa"/>
            <w:tcBorders>
              <w:bottom w:val="single" w:color="000000" w:sz="12" w:space="0"/>
            </w:tcBorders>
            <w:vAlign w:val="top"/>
          </w:tcPr>
          <w:p w14:paraId="334B47CB">
            <w:pPr>
              <w:spacing w:before="111" w:line="220" w:lineRule="auto"/>
              <w:ind w:left="316"/>
              <w:rPr>
                <w:rFonts w:ascii="宋体" w:hAnsi="宋体" w:eastAsia="宋体" w:cs="宋体"/>
                <w:sz w:val="21"/>
                <w:szCs w:val="21"/>
              </w:rPr>
            </w:pPr>
            <w:r>
              <w:rPr>
                <w:rFonts w:ascii="宋体" w:hAnsi="宋体" w:eastAsia="宋体" w:cs="宋体"/>
                <w:spacing w:val="-3"/>
                <w:sz w:val="21"/>
                <w:szCs w:val="21"/>
              </w:rPr>
              <w:t>红桥河</w:t>
            </w:r>
          </w:p>
        </w:tc>
        <w:tc>
          <w:tcPr>
            <w:tcW w:w="1972" w:type="dxa"/>
            <w:tcBorders>
              <w:bottom w:val="single" w:color="000000" w:sz="12" w:space="0"/>
            </w:tcBorders>
            <w:vAlign w:val="top"/>
          </w:tcPr>
          <w:p w14:paraId="71F37FF9">
            <w:pPr>
              <w:pStyle w:val="6"/>
              <w:spacing w:before="144" w:line="232" w:lineRule="auto"/>
              <w:ind w:left="844"/>
            </w:pPr>
            <w:r>
              <w:rPr>
                <w:spacing w:val="-9"/>
              </w:rPr>
              <w:t>192</w:t>
            </w:r>
          </w:p>
        </w:tc>
        <w:tc>
          <w:tcPr>
            <w:tcW w:w="1411" w:type="dxa"/>
            <w:tcBorders>
              <w:bottom w:val="single" w:color="000000" w:sz="12" w:space="0"/>
            </w:tcBorders>
            <w:vAlign w:val="top"/>
          </w:tcPr>
          <w:p w14:paraId="374B6D2B">
            <w:pPr>
              <w:pStyle w:val="6"/>
              <w:spacing w:before="144" w:line="232" w:lineRule="auto"/>
              <w:ind w:left="528"/>
            </w:pPr>
            <w:r>
              <w:rPr>
                <w:spacing w:val="-3"/>
              </w:rPr>
              <w:t>35.9</w:t>
            </w:r>
          </w:p>
        </w:tc>
        <w:tc>
          <w:tcPr>
            <w:tcW w:w="1691" w:type="dxa"/>
            <w:tcBorders>
              <w:bottom w:val="single" w:color="000000" w:sz="12" w:space="0"/>
            </w:tcBorders>
            <w:vAlign w:val="top"/>
          </w:tcPr>
          <w:p w14:paraId="310E3E70">
            <w:pPr>
              <w:pStyle w:val="6"/>
              <w:spacing w:before="145" w:line="232" w:lineRule="auto"/>
              <w:ind w:left="643"/>
            </w:pPr>
            <w:r>
              <w:rPr>
                <w:spacing w:val="-1"/>
              </w:rPr>
              <w:t>2120</w:t>
            </w:r>
          </w:p>
        </w:tc>
        <w:tc>
          <w:tcPr>
            <w:tcW w:w="1277" w:type="dxa"/>
            <w:tcBorders>
              <w:bottom w:val="single" w:color="000000" w:sz="12" w:space="0"/>
              <w:right w:val="single" w:color="000000" w:sz="12" w:space="0"/>
            </w:tcBorders>
            <w:vAlign w:val="top"/>
          </w:tcPr>
          <w:p w14:paraId="1E4DCA53">
            <w:pPr>
              <w:pStyle w:val="6"/>
              <w:spacing w:before="144" w:line="232" w:lineRule="auto"/>
              <w:ind w:left="516"/>
            </w:pPr>
            <w:r>
              <w:rPr>
                <w:spacing w:val="-3"/>
              </w:rPr>
              <w:t>3.7</w:t>
            </w:r>
          </w:p>
        </w:tc>
      </w:tr>
    </w:tbl>
    <w:p w14:paraId="5DD6C0B0">
      <w:pPr>
        <w:pStyle w:val="2"/>
        <w:spacing w:before="146" w:line="233" w:lineRule="auto"/>
        <w:ind w:left="521"/>
        <w:rPr>
          <w:sz w:val="24"/>
          <w:szCs w:val="24"/>
        </w:rPr>
      </w:pPr>
      <w:r>
        <w:rPr>
          <w:spacing w:val="-3"/>
          <w:sz w:val="24"/>
          <w:szCs w:val="24"/>
        </w:rPr>
        <w:t>调出区马龙河流域水系见附图</w:t>
      </w:r>
      <w:r>
        <w:rPr>
          <w:spacing w:val="-27"/>
          <w:sz w:val="24"/>
          <w:szCs w:val="24"/>
        </w:rPr>
        <w:t xml:space="preserve"> </w:t>
      </w:r>
      <w:r>
        <w:rPr>
          <w:rFonts w:ascii="Times New Roman" w:hAnsi="Times New Roman" w:eastAsia="Times New Roman" w:cs="Times New Roman"/>
          <w:spacing w:val="-3"/>
          <w:sz w:val="24"/>
          <w:szCs w:val="24"/>
        </w:rPr>
        <w:t>1</w:t>
      </w:r>
      <w:r>
        <w:rPr>
          <w:spacing w:val="-3"/>
          <w:sz w:val="24"/>
          <w:szCs w:val="24"/>
        </w:rPr>
        <w:t>。</w:t>
      </w:r>
    </w:p>
    <w:p w14:paraId="5745E340">
      <w:pPr>
        <w:pStyle w:val="2"/>
        <w:spacing w:before="257" w:line="220" w:lineRule="auto"/>
        <w:ind w:left="30"/>
        <w:rPr>
          <w:sz w:val="24"/>
          <w:szCs w:val="24"/>
        </w:rPr>
      </w:pPr>
      <w:r>
        <w:rPr>
          <w:rFonts w:ascii="Arial" w:hAnsi="Arial" w:eastAsia="Arial" w:cs="Arial"/>
          <w:spacing w:val="3"/>
          <w:position w:val="1"/>
          <w:sz w:val="18"/>
          <w:szCs w:val="18"/>
        </w:rPr>
        <w:t>3.1.1.3</w:t>
      </w:r>
      <w:r>
        <w:rPr>
          <w:rFonts w:ascii="Arial" w:hAnsi="Arial" w:eastAsia="Arial" w:cs="Arial"/>
          <w:spacing w:val="48"/>
          <w:position w:val="1"/>
          <w:sz w:val="18"/>
          <w:szCs w:val="18"/>
        </w:rPr>
        <w:t xml:space="preserve"> </w:t>
      </w:r>
      <w:r>
        <w:rPr>
          <w:b/>
          <w:bCs/>
          <w:spacing w:val="3"/>
          <w:position w:val="-1"/>
          <w:sz w:val="24"/>
          <w:szCs w:val="24"/>
        </w:rPr>
        <w:t>调入区（剪彩河）流域概况</w:t>
      </w:r>
    </w:p>
    <w:p w14:paraId="10258E88">
      <w:pPr>
        <w:pStyle w:val="2"/>
        <w:spacing w:before="268" w:line="339" w:lineRule="auto"/>
        <w:ind w:left="38" w:right="31" w:firstLine="479"/>
        <w:rPr>
          <w:sz w:val="24"/>
          <w:szCs w:val="24"/>
        </w:rPr>
      </w:pPr>
      <w:r>
        <w:rPr>
          <w:spacing w:val="-4"/>
          <w:sz w:val="24"/>
          <w:szCs w:val="24"/>
        </w:rPr>
        <w:t>输水隧洞出口接剪彩河河道，属南盘江流域。南盘江发</w:t>
      </w:r>
      <w:r>
        <w:rPr>
          <w:spacing w:val="-5"/>
          <w:sz w:val="24"/>
          <w:szCs w:val="24"/>
        </w:rPr>
        <w:t>源于曲靖市沾益区境内</w:t>
      </w:r>
      <w:r>
        <w:rPr>
          <w:spacing w:val="-4"/>
          <w:sz w:val="24"/>
          <w:szCs w:val="24"/>
        </w:rPr>
        <w:t>乌蒙山脉的马雄山南麓，河源海拔</w:t>
      </w:r>
      <w:r>
        <w:rPr>
          <w:spacing w:val="-55"/>
          <w:sz w:val="24"/>
          <w:szCs w:val="24"/>
        </w:rPr>
        <w:t xml:space="preserve"> </w:t>
      </w:r>
      <w:r>
        <w:rPr>
          <w:rFonts w:ascii="Times New Roman" w:hAnsi="Times New Roman" w:eastAsia="Times New Roman" w:cs="Times New Roman"/>
          <w:spacing w:val="-4"/>
          <w:sz w:val="24"/>
          <w:szCs w:val="24"/>
        </w:rPr>
        <w:t>2444m</w:t>
      </w:r>
      <w:r>
        <w:rPr>
          <w:spacing w:val="-4"/>
          <w:sz w:val="24"/>
          <w:szCs w:val="24"/>
        </w:rPr>
        <w:t>。南盘江依次流经沾益区</w:t>
      </w:r>
      <w:r>
        <w:rPr>
          <w:spacing w:val="-5"/>
          <w:sz w:val="24"/>
          <w:szCs w:val="24"/>
        </w:rPr>
        <w:t>、麒麟区、陆良</w:t>
      </w:r>
      <w:r>
        <w:rPr>
          <w:spacing w:val="-4"/>
          <w:sz w:val="24"/>
          <w:szCs w:val="24"/>
        </w:rPr>
        <w:t>县、石林县、宜良县、澄江县、华宁县、建水县、开远市、弥勒县、丘北县</w:t>
      </w:r>
      <w:r>
        <w:rPr>
          <w:spacing w:val="-5"/>
          <w:sz w:val="24"/>
          <w:szCs w:val="24"/>
        </w:rPr>
        <w:t>、泸西</w:t>
      </w:r>
      <w:r>
        <w:rPr>
          <w:spacing w:val="-6"/>
          <w:sz w:val="24"/>
          <w:szCs w:val="24"/>
        </w:rPr>
        <w:t>县、师宗县、罗平县后进入贵州省，</w:t>
      </w:r>
      <w:r>
        <w:rPr>
          <w:spacing w:val="-45"/>
          <w:sz w:val="24"/>
          <w:szCs w:val="24"/>
        </w:rPr>
        <w:t xml:space="preserve"> </w:t>
      </w:r>
      <w:r>
        <w:rPr>
          <w:spacing w:val="-6"/>
          <w:sz w:val="24"/>
          <w:szCs w:val="24"/>
        </w:rPr>
        <w:t>后于贵州省望谟县蔗香双江口与北</w:t>
      </w:r>
      <w:r>
        <w:rPr>
          <w:spacing w:val="-7"/>
          <w:sz w:val="24"/>
          <w:szCs w:val="24"/>
        </w:rPr>
        <w:t>盘江汇合。</w:t>
      </w:r>
      <w:r>
        <w:rPr>
          <w:spacing w:val="-4"/>
          <w:sz w:val="24"/>
          <w:szCs w:val="24"/>
        </w:rPr>
        <w:t>南盘江河段长</w:t>
      </w:r>
      <w:r>
        <w:rPr>
          <w:spacing w:val="-50"/>
          <w:sz w:val="24"/>
          <w:szCs w:val="24"/>
        </w:rPr>
        <w:t xml:space="preserve"> </w:t>
      </w:r>
      <w:r>
        <w:rPr>
          <w:rFonts w:ascii="Times New Roman" w:hAnsi="Times New Roman" w:eastAsia="Times New Roman" w:cs="Times New Roman"/>
          <w:spacing w:val="-4"/>
          <w:sz w:val="24"/>
          <w:szCs w:val="24"/>
        </w:rPr>
        <w:t>914km</w:t>
      </w:r>
      <w:r>
        <w:rPr>
          <w:spacing w:val="-4"/>
          <w:sz w:val="24"/>
          <w:szCs w:val="24"/>
        </w:rPr>
        <w:t>，在云南省境内长</w:t>
      </w:r>
      <w:r>
        <w:rPr>
          <w:spacing w:val="-49"/>
          <w:sz w:val="24"/>
          <w:szCs w:val="24"/>
        </w:rPr>
        <w:t xml:space="preserve"> </w:t>
      </w:r>
      <w:r>
        <w:rPr>
          <w:rFonts w:ascii="Times New Roman" w:hAnsi="Times New Roman" w:eastAsia="Times New Roman" w:cs="Times New Roman"/>
          <w:spacing w:val="-4"/>
          <w:sz w:val="24"/>
          <w:szCs w:val="24"/>
        </w:rPr>
        <w:t>677km</w:t>
      </w:r>
      <w:r>
        <w:rPr>
          <w:spacing w:val="-4"/>
          <w:sz w:val="24"/>
          <w:szCs w:val="24"/>
        </w:rPr>
        <w:t>、集水面积</w:t>
      </w:r>
      <w:r>
        <w:rPr>
          <w:spacing w:val="-56"/>
          <w:sz w:val="24"/>
          <w:szCs w:val="24"/>
        </w:rPr>
        <w:t xml:space="preserve"> </w:t>
      </w:r>
      <w:r>
        <w:rPr>
          <w:rFonts w:ascii="Times New Roman" w:hAnsi="Times New Roman" w:eastAsia="Times New Roman" w:cs="Times New Roman"/>
          <w:spacing w:val="-4"/>
          <w:sz w:val="24"/>
          <w:szCs w:val="24"/>
        </w:rPr>
        <w:t>43342km</w:t>
      </w:r>
      <w:r>
        <w:rPr>
          <w:spacing w:val="-4"/>
          <w:sz w:val="24"/>
          <w:szCs w:val="24"/>
        </w:rPr>
        <w:t>²</w:t>
      </w:r>
      <w:r>
        <w:rPr>
          <w:spacing w:val="-91"/>
          <w:sz w:val="24"/>
          <w:szCs w:val="24"/>
        </w:rPr>
        <w:t xml:space="preserve"> </w:t>
      </w:r>
      <w:r>
        <w:rPr>
          <w:spacing w:val="-4"/>
          <w:sz w:val="24"/>
          <w:szCs w:val="24"/>
        </w:rPr>
        <w:t>,</w:t>
      </w:r>
      <w:r>
        <w:rPr>
          <w:spacing w:val="72"/>
          <w:sz w:val="24"/>
          <w:szCs w:val="24"/>
        </w:rPr>
        <w:t xml:space="preserve"> </w:t>
      </w:r>
      <w:r>
        <w:rPr>
          <w:spacing w:val="-4"/>
          <w:sz w:val="24"/>
          <w:szCs w:val="24"/>
        </w:rPr>
        <w:t>出境地高程</w:t>
      </w:r>
      <w:r>
        <w:rPr>
          <w:rFonts w:ascii="Times New Roman" w:hAnsi="Times New Roman" w:eastAsia="Times New Roman" w:cs="Times New Roman"/>
          <w:spacing w:val="-1"/>
          <w:sz w:val="24"/>
          <w:szCs w:val="24"/>
        </w:rPr>
        <w:t>720m</w:t>
      </w:r>
      <w:r>
        <w:rPr>
          <w:spacing w:val="-1"/>
          <w:sz w:val="24"/>
          <w:szCs w:val="24"/>
        </w:rPr>
        <w:t xml:space="preserve">，省境内落差 </w:t>
      </w:r>
      <w:r>
        <w:rPr>
          <w:rFonts w:ascii="Times New Roman" w:hAnsi="Times New Roman" w:eastAsia="Times New Roman" w:cs="Times New Roman"/>
          <w:spacing w:val="-1"/>
          <w:sz w:val="24"/>
          <w:szCs w:val="24"/>
        </w:rPr>
        <w:t>1724m</w:t>
      </w:r>
      <w:r>
        <w:rPr>
          <w:spacing w:val="-1"/>
          <w:sz w:val="24"/>
          <w:szCs w:val="24"/>
        </w:rPr>
        <w:t>。南盘江在云南省境内的流向大体为从源头至陆良天生</w:t>
      </w:r>
      <w:r>
        <w:rPr>
          <w:spacing w:val="-4"/>
          <w:sz w:val="24"/>
          <w:szCs w:val="24"/>
        </w:rPr>
        <w:t>关近于北南向，天生关至宜良县境内阳宗海出口河道交汇处呈东西向，以下</w:t>
      </w:r>
      <w:r>
        <w:rPr>
          <w:spacing w:val="-5"/>
          <w:sz w:val="24"/>
          <w:szCs w:val="24"/>
        </w:rPr>
        <w:t>至泸江</w:t>
      </w:r>
      <w:r>
        <w:rPr>
          <w:spacing w:val="-4"/>
          <w:sz w:val="24"/>
          <w:szCs w:val="24"/>
        </w:rPr>
        <w:t>口又为北南向，泸江口至黄泥河汇口处流出省境一段呈西南—东北向。上游段</w:t>
      </w:r>
      <w:r>
        <w:rPr>
          <w:spacing w:val="-5"/>
          <w:sz w:val="24"/>
          <w:szCs w:val="24"/>
        </w:rPr>
        <w:t>河谷</w:t>
      </w:r>
      <w:r>
        <w:rPr>
          <w:spacing w:val="8"/>
          <w:sz w:val="24"/>
          <w:szCs w:val="24"/>
        </w:rPr>
        <w:t>开阔，盆地在干流呈串珠状，西桥水文站（位于陆良坝子末端）</w:t>
      </w:r>
      <w:r>
        <w:rPr>
          <w:spacing w:val="-64"/>
          <w:sz w:val="24"/>
          <w:szCs w:val="24"/>
        </w:rPr>
        <w:t xml:space="preserve"> </w:t>
      </w:r>
      <w:r>
        <w:rPr>
          <w:spacing w:val="8"/>
          <w:sz w:val="24"/>
          <w:szCs w:val="24"/>
        </w:rPr>
        <w:t>以上径流面积</w:t>
      </w:r>
      <w:r>
        <w:rPr>
          <w:rFonts w:ascii="Times New Roman" w:hAnsi="Times New Roman" w:eastAsia="Times New Roman" w:cs="Times New Roman"/>
          <w:spacing w:val="-1"/>
          <w:sz w:val="24"/>
          <w:szCs w:val="24"/>
        </w:rPr>
        <w:t>3366km</w:t>
      </w:r>
      <w:r>
        <w:rPr>
          <w:rFonts w:ascii="Times New Roman" w:hAnsi="Times New Roman" w:eastAsia="Times New Roman" w:cs="Times New Roman"/>
          <w:spacing w:val="-1"/>
          <w:position w:val="8"/>
          <w:sz w:val="15"/>
          <w:szCs w:val="15"/>
        </w:rPr>
        <w:t>2</w:t>
      </w:r>
      <w:r>
        <w:rPr>
          <w:spacing w:val="-1"/>
          <w:sz w:val="24"/>
          <w:szCs w:val="24"/>
        </w:rPr>
        <w:t>。灌区内各支流发源于盆地四周的群山之间。</w:t>
      </w:r>
    </w:p>
    <w:p w14:paraId="73D52704">
      <w:pPr>
        <w:pStyle w:val="2"/>
        <w:spacing w:before="1" w:line="340" w:lineRule="auto"/>
        <w:ind w:left="40" w:right="66" w:firstLine="481"/>
        <w:rPr>
          <w:sz w:val="24"/>
          <w:szCs w:val="24"/>
        </w:rPr>
      </w:pPr>
      <w:r>
        <w:rPr>
          <w:spacing w:val="-5"/>
          <w:sz w:val="24"/>
          <w:szCs w:val="24"/>
        </w:rPr>
        <w:t>南盘江曲靖段主要支流有白浪河、西河、白</w:t>
      </w:r>
      <w:r>
        <w:rPr>
          <w:spacing w:val="-6"/>
          <w:sz w:val="24"/>
          <w:szCs w:val="24"/>
        </w:rPr>
        <w:t>石江、潇湘河、龙潭河、芳华河、</w:t>
      </w:r>
      <w:r>
        <w:rPr>
          <w:spacing w:val="-2"/>
          <w:sz w:val="24"/>
          <w:szCs w:val="24"/>
        </w:rPr>
        <w:t>麦子河等。其中受水区涉及支流潇湘河、白石江及剪彩河。</w:t>
      </w:r>
    </w:p>
    <w:p w14:paraId="53C8AE6E">
      <w:pPr>
        <w:spacing w:line="340" w:lineRule="auto"/>
        <w:rPr>
          <w:sz w:val="24"/>
          <w:szCs w:val="24"/>
        </w:rPr>
        <w:sectPr>
          <w:headerReference r:id="rId28" w:type="default"/>
          <w:footerReference r:id="rId29" w:type="default"/>
          <w:pgSz w:w="11907" w:h="16839"/>
          <w:pgMar w:top="1376" w:right="1669" w:bottom="1061" w:left="1671" w:header="999" w:footer="861" w:gutter="0"/>
          <w:cols w:space="720" w:num="1"/>
        </w:sectPr>
      </w:pPr>
    </w:p>
    <w:p w14:paraId="780C92BB">
      <w:pPr>
        <w:spacing w:line="454" w:lineRule="auto"/>
        <w:rPr>
          <w:rFonts w:ascii="Arial"/>
          <w:sz w:val="21"/>
        </w:rPr>
      </w:pPr>
    </w:p>
    <w:p w14:paraId="67EA29D2">
      <w:pPr>
        <w:pStyle w:val="2"/>
        <w:spacing w:before="78" w:line="339" w:lineRule="auto"/>
        <w:ind w:left="50" w:right="95" w:firstLine="469"/>
        <w:rPr>
          <w:sz w:val="24"/>
          <w:szCs w:val="24"/>
        </w:rPr>
      </w:pPr>
      <w:r>
        <w:rPr>
          <w:spacing w:val="-3"/>
          <w:sz w:val="24"/>
          <w:szCs w:val="24"/>
        </w:rPr>
        <w:t>剪彩河为白石江一级支流，在王大屯村附近汇入白石江，河长</w:t>
      </w:r>
      <w:r>
        <w:rPr>
          <w:spacing w:val="-48"/>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
          <w:sz w:val="24"/>
          <w:szCs w:val="24"/>
        </w:rPr>
        <w:t>.7km</w:t>
      </w:r>
      <w:r>
        <w:rPr>
          <w:spacing w:val="-4"/>
          <w:sz w:val="24"/>
          <w:szCs w:val="24"/>
        </w:rPr>
        <w:t>，河口处</w:t>
      </w:r>
      <w:r>
        <w:rPr>
          <w:spacing w:val="-2"/>
          <w:sz w:val="24"/>
          <w:szCs w:val="24"/>
        </w:rPr>
        <w:t>多年平均流量</w:t>
      </w:r>
      <w:r>
        <w:rPr>
          <w:spacing w:val="-52"/>
          <w:sz w:val="24"/>
          <w:szCs w:val="24"/>
        </w:rPr>
        <w:t xml:space="preserve"> </w:t>
      </w:r>
      <w:r>
        <w:rPr>
          <w:rFonts w:ascii="Times New Roman" w:hAnsi="Times New Roman" w:eastAsia="Times New Roman" w:cs="Times New Roman"/>
          <w:spacing w:val="-2"/>
          <w:sz w:val="24"/>
          <w:szCs w:val="24"/>
        </w:rPr>
        <w:t>0.22m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/s</w:t>
      </w:r>
      <w:r>
        <w:rPr>
          <w:spacing w:val="-2"/>
          <w:sz w:val="24"/>
          <w:szCs w:val="24"/>
        </w:rPr>
        <w:t>，多年平均径流量</w:t>
      </w:r>
      <w:r>
        <w:rPr>
          <w:spacing w:val="-40"/>
          <w:sz w:val="24"/>
          <w:szCs w:val="24"/>
        </w:rPr>
        <w:t xml:space="preserve"> </w:t>
      </w:r>
      <w:r>
        <w:rPr>
          <w:rFonts w:ascii="Times New Roman" w:hAnsi="Times New Roman" w:eastAsia="Times New Roman" w:cs="Times New Roman"/>
          <w:spacing w:val="-2"/>
          <w:sz w:val="24"/>
          <w:szCs w:val="24"/>
        </w:rPr>
        <w:t>681</w:t>
      </w:r>
      <w:r>
        <w:rPr>
          <w:rFonts w:ascii="Times New Roman" w:hAnsi="Times New Roman" w:eastAsia="Times New Roman" w:cs="Times New Roman"/>
          <w:spacing w:val="15"/>
          <w:sz w:val="24"/>
          <w:szCs w:val="24"/>
        </w:rPr>
        <w:t xml:space="preserve"> </w:t>
      </w:r>
      <w:r>
        <w:rPr>
          <w:spacing w:val="-2"/>
          <w:sz w:val="24"/>
          <w:szCs w:val="24"/>
        </w:rPr>
        <w:t>万</w:t>
      </w:r>
      <w:r>
        <w:rPr>
          <w:spacing w:val="-57"/>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spacing w:val="-2"/>
          <w:sz w:val="24"/>
          <w:szCs w:val="24"/>
        </w:rPr>
        <w:t>。</w:t>
      </w:r>
    </w:p>
    <w:p w14:paraId="2211308C">
      <w:pPr>
        <w:pStyle w:val="2"/>
        <w:spacing w:line="338" w:lineRule="auto"/>
        <w:ind w:left="38" w:right="139" w:firstLine="515"/>
        <w:rPr>
          <w:sz w:val="24"/>
          <w:szCs w:val="24"/>
        </w:rPr>
      </w:pPr>
      <w:r>
        <w:rPr>
          <w:spacing w:val="-8"/>
          <w:sz w:val="24"/>
          <w:szCs w:val="24"/>
        </w:rPr>
        <w:t>白石江原为南盘江一级支流，改道后现汇入潇湘河</w:t>
      </w:r>
      <w:r>
        <w:rPr>
          <w:spacing w:val="-9"/>
          <w:sz w:val="24"/>
          <w:szCs w:val="24"/>
        </w:rPr>
        <w:t>后再入南盘江，河长</w:t>
      </w:r>
      <w:r>
        <w:rPr>
          <w:rFonts w:ascii="Times New Roman" w:hAnsi="Times New Roman" w:eastAsia="Times New Roman" w:cs="Times New Roman"/>
          <w:spacing w:val="-9"/>
          <w:sz w:val="24"/>
          <w:szCs w:val="24"/>
        </w:rPr>
        <w:t>25km</w:t>
      </w:r>
      <w:r>
        <w:rPr>
          <w:spacing w:val="-9"/>
          <w:sz w:val="24"/>
          <w:szCs w:val="24"/>
        </w:rPr>
        <w:t>，</w:t>
      </w:r>
      <w:r>
        <w:rPr>
          <w:spacing w:val="-2"/>
          <w:sz w:val="24"/>
          <w:szCs w:val="24"/>
        </w:rPr>
        <w:t>河口处多年平均流量</w:t>
      </w:r>
      <w:r>
        <w:rPr>
          <w:spacing w:val="-30"/>
          <w:sz w:val="24"/>
          <w:szCs w:val="24"/>
        </w:rPr>
        <w:t xml:space="preserve"> </w:t>
      </w:r>
      <w:r>
        <w:rPr>
          <w:rFonts w:ascii="Times New Roman" w:hAnsi="Times New Roman" w:eastAsia="Times New Roman" w:cs="Times New Roman"/>
          <w:spacing w:val="-2"/>
          <w:sz w:val="24"/>
          <w:szCs w:val="24"/>
        </w:rPr>
        <w:t>1.22 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3"/>
          <w:w w:val="101"/>
          <w:position w:val="8"/>
          <w:sz w:val="15"/>
          <w:szCs w:val="15"/>
        </w:rPr>
        <w:t xml:space="preserve"> </w:t>
      </w:r>
      <w:r>
        <w:rPr>
          <w:rFonts w:ascii="Times New Roman" w:hAnsi="Times New Roman" w:eastAsia="Times New Roman" w:cs="Times New Roman"/>
          <w:spacing w:val="-2"/>
          <w:sz w:val="24"/>
          <w:szCs w:val="24"/>
        </w:rPr>
        <w:t>/s</w:t>
      </w:r>
      <w:r>
        <w:rPr>
          <w:spacing w:val="-2"/>
          <w:sz w:val="24"/>
          <w:szCs w:val="24"/>
        </w:rPr>
        <w:t>，多年平均径流量</w:t>
      </w:r>
      <w:r>
        <w:rPr>
          <w:spacing w:val="-41"/>
          <w:sz w:val="24"/>
          <w:szCs w:val="24"/>
        </w:rPr>
        <w:t xml:space="preserve"> </w:t>
      </w:r>
      <w:r>
        <w:rPr>
          <w:rFonts w:ascii="Times New Roman" w:hAnsi="Times New Roman" w:eastAsia="Times New Roman" w:cs="Times New Roman"/>
          <w:spacing w:val="-2"/>
          <w:sz w:val="24"/>
          <w:szCs w:val="24"/>
        </w:rPr>
        <w:t>3854</w:t>
      </w:r>
      <w:r>
        <w:rPr>
          <w:rFonts w:ascii="Times New Roman" w:hAnsi="Times New Roman" w:eastAsia="Times New Roman" w:cs="Times New Roman"/>
          <w:spacing w:val="15"/>
          <w:sz w:val="24"/>
          <w:szCs w:val="24"/>
        </w:rPr>
        <w:t xml:space="preserve"> </w:t>
      </w:r>
      <w:r>
        <w:rPr>
          <w:spacing w:val="-2"/>
          <w:sz w:val="24"/>
          <w:szCs w:val="24"/>
        </w:rPr>
        <w:t>万</w:t>
      </w:r>
      <w:r>
        <w:rPr>
          <w:spacing w:val="-57"/>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spacing w:val="-2"/>
          <w:sz w:val="24"/>
          <w:szCs w:val="24"/>
        </w:rPr>
        <w:t>。</w:t>
      </w:r>
    </w:p>
    <w:p w14:paraId="0F861484">
      <w:pPr>
        <w:pStyle w:val="2"/>
        <w:spacing w:before="2" w:line="338" w:lineRule="auto"/>
        <w:ind w:left="38" w:right="86" w:firstLine="480"/>
        <w:jc w:val="both"/>
        <w:rPr>
          <w:sz w:val="24"/>
          <w:szCs w:val="24"/>
        </w:rPr>
      </w:pPr>
      <w:r>
        <w:rPr>
          <w:spacing w:val="-4"/>
          <w:sz w:val="24"/>
          <w:szCs w:val="24"/>
        </w:rPr>
        <w:t>潇湘河是南盘江右岸一级支流，发源于马龙区月望</w:t>
      </w:r>
      <w:r>
        <w:rPr>
          <w:spacing w:val="-5"/>
          <w:sz w:val="24"/>
          <w:szCs w:val="24"/>
        </w:rPr>
        <w:t>乡鸭子塘村耗子冲，向北流</w:t>
      </w:r>
      <w:r>
        <w:rPr>
          <w:spacing w:val="-4"/>
          <w:sz w:val="24"/>
          <w:szCs w:val="24"/>
        </w:rPr>
        <w:t>经三宝镇长坡村、寥廓街道文明村、潇湘村（原潇湘乡）后入潇湘水库，出库</w:t>
      </w:r>
      <w:r>
        <w:rPr>
          <w:spacing w:val="-5"/>
          <w:sz w:val="24"/>
          <w:szCs w:val="24"/>
        </w:rPr>
        <w:t>后转</w:t>
      </w:r>
      <w:r>
        <w:rPr>
          <w:spacing w:val="-10"/>
          <w:sz w:val="24"/>
          <w:szCs w:val="24"/>
        </w:rPr>
        <w:t>东北流经曲靖市区，最后于沿江乡南河口入南盘江，全长</w:t>
      </w:r>
      <w:r>
        <w:rPr>
          <w:spacing w:val="-44"/>
          <w:sz w:val="24"/>
          <w:szCs w:val="24"/>
        </w:rPr>
        <w:t xml:space="preserve"> </w:t>
      </w:r>
      <w:r>
        <w:rPr>
          <w:rFonts w:ascii="Times New Roman" w:hAnsi="Times New Roman" w:eastAsia="Times New Roman" w:cs="Times New Roman"/>
          <w:spacing w:val="-10"/>
          <w:sz w:val="24"/>
          <w:szCs w:val="24"/>
        </w:rPr>
        <w:t>43km</w:t>
      </w:r>
      <w:r>
        <w:rPr>
          <w:spacing w:val="-10"/>
          <w:sz w:val="24"/>
          <w:szCs w:val="24"/>
        </w:rPr>
        <w:t>，流域面积</w:t>
      </w:r>
      <w:r>
        <w:rPr>
          <w:spacing w:val="-50"/>
          <w:sz w:val="24"/>
          <w:szCs w:val="24"/>
        </w:rPr>
        <w:t xml:space="preserve"> </w:t>
      </w:r>
      <w:r>
        <w:rPr>
          <w:rFonts w:ascii="Times New Roman" w:hAnsi="Times New Roman" w:eastAsia="Times New Roman" w:cs="Times New Roman"/>
          <w:spacing w:val="-10"/>
          <w:sz w:val="24"/>
          <w:szCs w:val="24"/>
        </w:rPr>
        <w:t>380km</w:t>
      </w:r>
      <w:r>
        <w:rPr>
          <w:rFonts w:ascii="Times New Roman" w:hAnsi="Times New Roman" w:eastAsia="Times New Roman" w:cs="Times New Roman"/>
          <w:spacing w:val="-10"/>
          <w:position w:val="8"/>
          <w:sz w:val="15"/>
          <w:szCs w:val="15"/>
        </w:rPr>
        <w:t>2</w:t>
      </w:r>
      <w:r>
        <w:rPr>
          <w:rFonts w:ascii="Times New Roman" w:hAnsi="Times New Roman" w:eastAsia="Times New Roman" w:cs="Times New Roman"/>
          <w:spacing w:val="-8"/>
          <w:position w:val="8"/>
          <w:sz w:val="15"/>
          <w:szCs w:val="15"/>
        </w:rPr>
        <w:t xml:space="preserve"> </w:t>
      </w:r>
      <w:r>
        <w:rPr>
          <w:spacing w:val="-10"/>
          <w:sz w:val="24"/>
          <w:szCs w:val="24"/>
        </w:rPr>
        <w:t>，</w:t>
      </w:r>
      <w:r>
        <w:rPr>
          <w:spacing w:val="-2"/>
          <w:sz w:val="24"/>
          <w:szCs w:val="24"/>
        </w:rPr>
        <w:t>河口处多年平均流量</w:t>
      </w:r>
      <w:r>
        <w:rPr>
          <w:spacing w:val="-46"/>
          <w:sz w:val="24"/>
          <w:szCs w:val="24"/>
        </w:rPr>
        <w:t xml:space="preserve"> </w:t>
      </w:r>
      <w:r>
        <w:rPr>
          <w:rFonts w:ascii="Times New Roman" w:hAnsi="Times New Roman" w:eastAsia="Times New Roman" w:cs="Times New Roman"/>
          <w:spacing w:val="-2"/>
          <w:sz w:val="24"/>
          <w:szCs w:val="24"/>
        </w:rPr>
        <w:t>3.29 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/s</w:t>
      </w:r>
      <w:r>
        <w:rPr>
          <w:spacing w:val="-2"/>
          <w:sz w:val="24"/>
          <w:szCs w:val="24"/>
        </w:rPr>
        <w:t>，多年平均径流量</w:t>
      </w:r>
      <w:r>
        <w:rPr>
          <w:spacing w:val="-22"/>
          <w:sz w:val="24"/>
          <w:szCs w:val="24"/>
        </w:rPr>
        <w:t xml:space="preserve"> </w:t>
      </w:r>
      <w:r>
        <w:rPr>
          <w:rFonts w:ascii="Times New Roman" w:hAnsi="Times New Roman" w:eastAsia="Times New Roman" w:cs="Times New Roman"/>
          <w:spacing w:val="-2"/>
          <w:sz w:val="24"/>
          <w:szCs w:val="24"/>
        </w:rPr>
        <w:t>10388</w:t>
      </w:r>
      <w:r>
        <w:rPr>
          <w:rFonts w:ascii="Times New Roman" w:hAnsi="Times New Roman" w:eastAsia="Times New Roman" w:cs="Times New Roman"/>
          <w:spacing w:val="15"/>
          <w:sz w:val="24"/>
          <w:szCs w:val="24"/>
        </w:rPr>
        <w:t xml:space="preserve"> </w:t>
      </w:r>
      <w:r>
        <w:rPr>
          <w:spacing w:val="-2"/>
          <w:sz w:val="24"/>
          <w:szCs w:val="24"/>
        </w:rPr>
        <w:t>万</w:t>
      </w:r>
      <w:r>
        <w:rPr>
          <w:spacing w:val="-57"/>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spacing w:val="-2"/>
          <w:sz w:val="24"/>
          <w:szCs w:val="24"/>
        </w:rPr>
        <w:t>。</w:t>
      </w:r>
    </w:p>
    <w:p w14:paraId="0458A927">
      <w:pPr>
        <w:pStyle w:val="2"/>
        <w:spacing w:before="3" w:line="337" w:lineRule="auto"/>
        <w:ind w:left="35" w:right="19" w:firstLine="489"/>
        <w:rPr>
          <w:sz w:val="24"/>
          <w:szCs w:val="24"/>
        </w:rPr>
      </w:pPr>
      <w:r>
        <w:rPr>
          <w:spacing w:val="-5"/>
          <w:sz w:val="24"/>
          <w:szCs w:val="24"/>
        </w:rPr>
        <w:t>受水区曲靖灌区位于云南省东部，属南盘江上游珠江的源头区，行政区划包括</w:t>
      </w:r>
      <w:r>
        <w:rPr>
          <w:spacing w:val="-8"/>
          <w:sz w:val="24"/>
          <w:szCs w:val="24"/>
        </w:rPr>
        <w:t>曲靖市的沾益、麒麟、陆良三县（区</w:t>
      </w:r>
      <w:r>
        <w:rPr>
          <w:spacing w:val="-32"/>
          <w:sz w:val="24"/>
          <w:szCs w:val="24"/>
        </w:rPr>
        <w:t>），</w:t>
      </w:r>
      <w:r>
        <w:rPr>
          <w:spacing w:val="-8"/>
          <w:sz w:val="24"/>
          <w:szCs w:val="24"/>
        </w:rPr>
        <w:t>地理坐标为东经</w:t>
      </w:r>
      <w:r>
        <w:rPr>
          <w:spacing w:val="-31"/>
          <w:sz w:val="24"/>
          <w:szCs w:val="24"/>
        </w:rPr>
        <w:t xml:space="preserve"> </w:t>
      </w:r>
      <w:r>
        <w:rPr>
          <w:rFonts w:ascii="Times New Roman" w:hAnsi="Times New Roman" w:eastAsia="Times New Roman" w:cs="Times New Roman"/>
          <w:spacing w:val="-8"/>
          <w:sz w:val="24"/>
          <w:szCs w:val="24"/>
        </w:rPr>
        <w:t>102</w:t>
      </w:r>
      <w:r>
        <w:rPr>
          <w:rFonts w:ascii="Times New Roman" w:hAnsi="Times New Roman" w:eastAsia="Times New Roman" w:cs="Times New Roman"/>
          <w:spacing w:val="-29"/>
          <w:sz w:val="24"/>
          <w:szCs w:val="24"/>
        </w:rPr>
        <w:t xml:space="preserve"> </w:t>
      </w:r>
      <w:r>
        <w:rPr>
          <w:spacing w:val="-9"/>
          <w:sz w:val="24"/>
          <w:szCs w:val="24"/>
        </w:rPr>
        <w:t>°</w:t>
      </w:r>
      <w:r>
        <w:rPr>
          <w:rFonts w:ascii="Times New Roman" w:hAnsi="Times New Roman" w:eastAsia="Times New Roman" w:cs="Times New Roman"/>
          <w:spacing w:val="-9"/>
          <w:sz w:val="24"/>
          <w:szCs w:val="24"/>
        </w:rPr>
        <w:t>55'</w:t>
      </w:r>
      <w:r>
        <w:rPr>
          <w:spacing w:val="-9"/>
          <w:sz w:val="24"/>
          <w:szCs w:val="24"/>
        </w:rPr>
        <w:t>～</w:t>
      </w:r>
      <w:r>
        <w:rPr>
          <w:rFonts w:ascii="Times New Roman" w:hAnsi="Times New Roman" w:eastAsia="Times New Roman" w:cs="Times New Roman"/>
          <w:spacing w:val="-9"/>
          <w:sz w:val="24"/>
          <w:szCs w:val="24"/>
        </w:rPr>
        <w:t>104</w:t>
      </w:r>
      <w:r>
        <w:rPr>
          <w:rFonts w:ascii="Times New Roman" w:hAnsi="Times New Roman" w:eastAsia="Times New Roman" w:cs="Times New Roman"/>
          <w:spacing w:val="-29"/>
          <w:sz w:val="24"/>
          <w:szCs w:val="24"/>
        </w:rPr>
        <w:t xml:space="preserve"> </w:t>
      </w:r>
      <w:r>
        <w:rPr>
          <w:spacing w:val="-9"/>
          <w:sz w:val="24"/>
          <w:szCs w:val="24"/>
        </w:rPr>
        <w:t>°</w:t>
      </w:r>
      <w:r>
        <w:rPr>
          <w:spacing w:val="-92"/>
          <w:sz w:val="24"/>
          <w:szCs w:val="24"/>
        </w:rPr>
        <w:t xml:space="preserve"> </w:t>
      </w:r>
      <w:r>
        <w:rPr>
          <w:rFonts w:ascii="Times New Roman" w:hAnsi="Times New Roman" w:eastAsia="Times New Roman" w:cs="Times New Roman"/>
          <w:spacing w:val="-9"/>
          <w:sz w:val="24"/>
          <w:szCs w:val="24"/>
        </w:rPr>
        <w:t>14'</w:t>
      </w:r>
      <w:r>
        <w:rPr>
          <w:spacing w:val="-9"/>
          <w:sz w:val="24"/>
          <w:szCs w:val="24"/>
        </w:rPr>
        <w:t>，北纬</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28"/>
          <w:sz w:val="24"/>
          <w:szCs w:val="24"/>
        </w:rPr>
        <w:t xml:space="preserve"> </w:t>
      </w:r>
      <w:r>
        <w:rPr>
          <w:spacing w:val="-3"/>
          <w:sz w:val="24"/>
          <w:szCs w:val="24"/>
        </w:rPr>
        <w:t>°</w:t>
      </w:r>
      <w:r>
        <w:rPr>
          <w:rFonts w:ascii="Times New Roman" w:hAnsi="Times New Roman" w:eastAsia="Times New Roman" w:cs="Times New Roman"/>
          <w:spacing w:val="-3"/>
          <w:sz w:val="24"/>
          <w:szCs w:val="24"/>
        </w:rPr>
        <w:t>45'</w:t>
      </w:r>
      <w:r>
        <w:rPr>
          <w:spacing w:val="-3"/>
          <w:sz w:val="24"/>
          <w:szCs w:val="24"/>
        </w:rPr>
        <w:t>～</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29"/>
          <w:sz w:val="24"/>
          <w:szCs w:val="24"/>
        </w:rPr>
        <w:t xml:space="preserve"> </w:t>
      </w:r>
      <w:r>
        <w:rPr>
          <w:spacing w:val="-3"/>
          <w:sz w:val="24"/>
          <w:szCs w:val="24"/>
        </w:rPr>
        <w:t>°</w:t>
      </w:r>
      <w:r>
        <w:rPr>
          <w:rFonts w:ascii="Times New Roman" w:hAnsi="Times New Roman" w:eastAsia="Times New Roman" w:cs="Times New Roman"/>
          <w:spacing w:val="-3"/>
          <w:sz w:val="24"/>
          <w:szCs w:val="24"/>
        </w:rPr>
        <w:t>55'</w:t>
      </w:r>
      <w:r>
        <w:rPr>
          <w:spacing w:val="-3"/>
          <w:sz w:val="24"/>
          <w:szCs w:val="24"/>
        </w:rPr>
        <w:t xml:space="preserve">之间，距省会昆明市 </w:t>
      </w:r>
      <w:r>
        <w:rPr>
          <w:rFonts w:ascii="Times New Roman" w:hAnsi="Times New Roman" w:eastAsia="Times New Roman" w:cs="Times New Roman"/>
          <w:spacing w:val="-3"/>
          <w:sz w:val="24"/>
          <w:szCs w:val="24"/>
        </w:rPr>
        <w:t>130km</w:t>
      </w:r>
      <w:r>
        <w:rPr>
          <w:spacing w:val="-3"/>
          <w:sz w:val="24"/>
          <w:szCs w:val="24"/>
        </w:rPr>
        <w:t>，素有入滇门户之称。曲靖灌区是云</w:t>
      </w:r>
      <w:r>
        <w:rPr>
          <w:spacing w:val="-5"/>
          <w:sz w:val="24"/>
          <w:szCs w:val="24"/>
        </w:rPr>
        <w:t>南省最大的灌区，灌区现有耕地面积</w:t>
      </w:r>
      <w:r>
        <w:rPr>
          <w:spacing w:val="-42"/>
          <w:sz w:val="24"/>
          <w:szCs w:val="24"/>
        </w:rPr>
        <w:t xml:space="preserve"> </w:t>
      </w:r>
      <w:r>
        <w:rPr>
          <w:rFonts w:ascii="Times New Roman" w:hAnsi="Times New Roman" w:eastAsia="Times New Roman" w:cs="Times New Roman"/>
          <w:spacing w:val="-5"/>
          <w:sz w:val="24"/>
          <w:szCs w:val="24"/>
        </w:rPr>
        <w:t>98.8</w:t>
      </w:r>
      <w:r>
        <w:rPr>
          <w:rFonts w:ascii="Times New Roman" w:hAnsi="Times New Roman" w:eastAsia="Times New Roman" w:cs="Times New Roman"/>
          <w:spacing w:val="15"/>
          <w:sz w:val="24"/>
          <w:szCs w:val="24"/>
        </w:rPr>
        <w:t xml:space="preserve"> </w:t>
      </w:r>
      <w:r>
        <w:rPr>
          <w:spacing w:val="-5"/>
          <w:sz w:val="24"/>
          <w:szCs w:val="24"/>
        </w:rPr>
        <w:t>万亩，农田有效灌溉面积</w:t>
      </w:r>
      <w:r>
        <w:rPr>
          <w:spacing w:val="-51"/>
          <w:sz w:val="24"/>
          <w:szCs w:val="24"/>
        </w:rPr>
        <w:t xml:space="preserve"> </w:t>
      </w:r>
      <w:r>
        <w:rPr>
          <w:rFonts w:ascii="Times New Roman" w:hAnsi="Times New Roman" w:eastAsia="Times New Roman" w:cs="Times New Roman"/>
          <w:spacing w:val="-5"/>
          <w:sz w:val="24"/>
          <w:szCs w:val="24"/>
        </w:rPr>
        <w:t>70.72</w:t>
      </w:r>
      <w:r>
        <w:rPr>
          <w:rFonts w:ascii="Times New Roman" w:hAnsi="Times New Roman" w:eastAsia="Times New Roman" w:cs="Times New Roman"/>
          <w:spacing w:val="15"/>
          <w:w w:val="101"/>
          <w:sz w:val="24"/>
          <w:szCs w:val="24"/>
        </w:rPr>
        <w:t xml:space="preserve"> </w:t>
      </w:r>
      <w:r>
        <w:rPr>
          <w:spacing w:val="-5"/>
          <w:sz w:val="24"/>
          <w:szCs w:val="24"/>
        </w:rPr>
        <w:t>万亩，农</w:t>
      </w:r>
      <w:r>
        <w:rPr>
          <w:spacing w:val="-7"/>
          <w:sz w:val="24"/>
          <w:szCs w:val="24"/>
        </w:rPr>
        <w:t>田有效灌溉程度</w:t>
      </w:r>
      <w:r>
        <w:rPr>
          <w:spacing w:val="-52"/>
          <w:sz w:val="24"/>
          <w:szCs w:val="24"/>
        </w:rPr>
        <w:t xml:space="preserve"> </w:t>
      </w:r>
      <w:r>
        <w:rPr>
          <w:rFonts w:ascii="Times New Roman" w:hAnsi="Times New Roman" w:eastAsia="Times New Roman" w:cs="Times New Roman"/>
          <w:spacing w:val="-7"/>
          <w:sz w:val="24"/>
          <w:szCs w:val="24"/>
        </w:rPr>
        <w:t>71.6%</w:t>
      </w:r>
      <w:r>
        <w:rPr>
          <w:spacing w:val="-7"/>
          <w:sz w:val="24"/>
          <w:szCs w:val="24"/>
        </w:rPr>
        <w:t>。整个灌区从北到南呈长条形，坝子</w:t>
      </w:r>
      <w:r>
        <w:rPr>
          <w:spacing w:val="-8"/>
          <w:sz w:val="24"/>
          <w:szCs w:val="24"/>
        </w:rPr>
        <w:t>从上游至下游逐渐开阔，</w:t>
      </w:r>
      <w:r>
        <w:rPr>
          <w:spacing w:val="-4"/>
          <w:sz w:val="24"/>
          <w:szCs w:val="24"/>
        </w:rPr>
        <w:t>位于上游的松林坝子最小，沾曲坝子（包括越州坝子）次之，陆良坝子最大。灌区</w:t>
      </w:r>
      <w:r>
        <w:rPr>
          <w:spacing w:val="-6"/>
          <w:sz w:val="24"/>
          <w:szCs w:val="24"/>
        </w:rPr>
        <w:t>南北长约</w:t>
      </w:r>
      <w:r>
        <w:rPr>
          <w:spacing w:val="-32"/>
          <w:sz w:val="24"/>
          <w:szCs w:val="24"/>
        </w:rPr>
        <w:t xml:space="preserve"> </w:t>
      </w:r>
      <w:r>
        <w:rPr>
          <w:rFonts w:ascii="Times New Roman" w:hAnsi="Times New Roman" w:eastAsia="Times New Roman" w:cs="Times New Roman"/>
          <w:spacing w:val="-6"/>
          <w:sz w:val="24"/>
          <w:szCs w:val="24"/>
        </w:rPr>
        <w:t>100km</w:t>
      </w:r>
      <w:r>
        <w:rPr>
          <w:spacing w:val="-6"/>
          <w:sz w:val="24"/>
          <w:szCs w:val="24"/>
        </w:rPr>
        <w:t>，东西宽</w:t>
      </w:r>
      <w:r>
        <w:rPr>
          <w:spacing w:val="-45"/>
          <w:sz w:val="24"/>
          <w:szCs w:val="24"/>
        </w:rPr>
        <w:t xml:space="preserve"> </w:t>
      </w:r>
      <w:r>
        <w:rPr>
          <w:rFonts w:ascii="Times New Roman" w:hAnsi="Times New Roman" w:eastAsia="Times New Roman" w:cs="Times New Roman"/>
          <w:spacing w:val="-6"/>
          <w:sz w:val="24"/>
          <w:szCs w:val="24"/>
        </w:rPr>
        <w:t>8m</w:t>
      </w:r>
      <w:r>
        <w:rPr>
          <w:spacing w:val="-6"/>
          <w:sz w:val="24"/>
          <w:szCs w:val="24"/>
        </w:rPr>
        <w:t>～</w:t>
      </w:r>
      <w:r>
        <w:rPr>
          <w:rFonts w:ascii="Times New Roman" w:hAnsi="Times New Roman" w:eastAsia="Times New Roman" w:cs="Times New Roman"/>
          <w:spacing w:val="-6"/>
          <w:sz w:val="24"/>
          <w:szCs w:val="24"/>
        </w:rPr>
        <w:t>15km</w:t>
      </w:r>
      <w:r>
        <w:rPr>
          <w:spacing w:val="-6"/>
          <w:sz w:val="24"/>
          <w:szCs w:val="24"/>
        </w:rPr>
        <w:t>。耕地</w:t>
      </w:r>
      <w:r>
        <w:rPr>
          <w:spacing w:val="-7"/>
          <w:sz w:val="24"/>
          <w:szCs w:val="24"/>
        </w:rPr>
        <w:t>除集中、连片、平坦的坝子外， 还包括</w:t>
      </w:r>
      <w:r>
        <w:rPr>
          <w:spacing w:val="-11"/>
          <w:sz w:val="24"/>
          <w:szCs w:val="24"/>
        </w:rPr>
        <w:t>坝子边缘的二级阶地和山坡地。灌区地势北高南低，东西部高</w:t>
      </w:r>
      <w:r>
        <w:rPr>
          <w:spacing w:val="-12"/>
          <w:sz w:val="24"/>
          <w:szCs w:val="24"/>
        </w:rPr>
        <w:t>中部低。山脉、河流、</w:t>
      </w:r>
      <w:r>
        <w:rPr>
          <w:spacing w:val="-4"/>
          <w:sz w:val="24"/>
          <w:szCs w:val="24"/>
        </w:rPr>
        <w:t>盆地均为近北南向展布，与构造线方向一致，坝子</w:t>
      </w:r>
      <w:r>
        <w:rPr>
          <w:spacing w:val="-5"/>
          <w:sz w:val="24"/>
          <w:szCs w:val="24"/>
        </w:rPr>
        <w:t>高程在</w:t>
      </w:r>
      <w:r>
        <w:rPr>
          <w:spacing w:val="-32"/>
          <w:sz w:val="24"/>
          <w:szCs w:val="24"/>
        </w:rPr>
        <w:t xml:space="preserve"> </w:t>
      </w:r>
      <w:r>
        <w:rPr>
          <w:rFonts w:ascii="Times New Roman" w:hAnsi="Times New Roman" w:eastAsia="Times New Roman" w:cs="Times New Roman"/>
          <w:spacing w:val="-5"/>
          <w:sz w:val="24"/>
          <w:szCs w:val="24"/>
        </w:rPr>
        <w:t>1935m</w:t>
      </w:r>
      <w:r>
        <w:rPr>
          <w:spacing w:val="-5"/>
          <w:sz w:val="24"/>
          <w:szCs w:val="24"/>
        </w:rPr>
        <w:t>～</w:t>
      </w:r>
      <w:r>
        <w:rPr>
          <w:rFonts w:ascii="Times New Roman" w:hAnsi="Times New Roman" w:eastAsia="Times New Roman" w:cs="Times New Roman"/>
          <w:spacing w:val="-5"/>
          <w:sz w:val="24"/>
          <w:szCs w:val="24"/>
        </w:rPr>
        <w:t xml:space="preserve">1800m </w:t>
      </w:r>
      <w:r>
        <w:rPr>
          <w:spacing w:val="-5"/>
          <w:sz w:val="24"/>
          <w:szCs w:val="24"/>
        </w:rPr>
        <w:t>之间。南</w:t>
      </w:r>
      <w:r>
        <w:rPr>
          <w:spacing w:val="-3"/>
          <w:sz w:val="24"/>
          <w:szCs w:val="24"/>
        </w:rPr>
        <w:t>盘江干流自东北向西南贯穿整个灌区。</w:t>
      </w:r>
    </w:p>
    <w:p w14:paraId="4C6D0756">
      <w:pPr>
        <w:pStyle w:val="2"/>
        <w:spacing w:before="15" w:line="233" w:lineRule="auto"/>
        <w:ind w:left="524"/>
        <w:rPr>
          <w:sz w:val="24"/>
          <w:szCs w:val="24"/>
        </w:rPr>
      </w:pPr>
      <w:r>
        <w:rPr>
          <w:spacing w:val="-1"/>
          <w:sz w:val="24"/>
          <w:szCs w:val="24"/>
        </w:rPr>
        <w:t>受水区曲靖灌区和南盘江流域水系位置关系见附图</w:t>
      </w:r>
      <w:r>
        <w:rPr>
          <w:spacing w:val="-51"/>
          <w:sz w:val="24"/>
          <w:szCs w:val="24"/>
        </w:rPr>
        <w:t xml:space="preserve"> </w:t>
      </w:r>
      <w:r>
        <w:rPr>
          <w:rFonts w:ascii="Times New Roman" w:hAnsi="Times New Roman" w:eastAsia="Times New Roman" w:cs="Times New Roman"/>
          <w:spacing w:val="-1"/>
          <w:sz w:val="24"/>
          <w:szCs w:val="24"/>
        </w:rPr>
        <w:t>2</w:t>
      </w:r>
      <w:r>
        <w:rPr>
          <w:spacing w:val="-1"/>
          <w:sz w:val="24"/>
          <w:szCs w:val="24"/>
        </w:rPr>
        <w:t>。</w:t>
      </w:r>
    </w:p>
    <w:p w14:paraId="07676C41">
      <w:pPr>
        <w:pStyle w:val="2"/>
        <w:spacing w:before="223" w:line="227" w:lineRule="auto"/>
        <w:ind w:left="30"/>
        <w:rPr>
          <w:sz w:val="27"/>
          <w:szCs w:val="27"/>
        </w:rPr>
      </w:pPr>
      <w:r>
        <w:rPr>
          <w:rFonts w:ascii="Arial" w:hAnsi="Arial" w:eastAsia="Arial" w:cs="Arial"/>
          <w:spacing w:val="10"/>
          <w:position w:val="1"/>
          <w:sz w:val="21"/>
          <w:szCs w:val="21"/>
        </w:rPr>
        <w:t>3.1.2</w:t>
      </w:r>
      <w:r>
        <w:rPr>
          <w:rFonts w:ascii="Arial" w:hAnsi="Arial" w:eastAsia="Arial" w:cs="Arial"/>
          <w:spacing w:val="4"/>
          <w:position w:val="1"/>
          <w:sz w:val="21"/>
          <w:szCs w:val="21"/>
        </w:rPr>
        <w:t xml:space="preserve">     </w:t>
      </w:r>
      <w:r>
        <w:rPr>
          <w:b/>
          <w:bCs/>
          <w:spacing w:val="10"/>
          <w:position w:val="-1"/>
          <w:sz w:val="27"/>
          <w:szCs w:val="27"/>
        </w:rPr>
        <w:t>工程组成</w:t>
      </w:r>
    </w:p>
    <w:p w14:paraId="1A18DCC6">
      <w:pPr>
        <w:pStyle w:val="2"/>
        <w:spacing w:before="264" w:line="338" w:lineRule="auto"/>
        <w:ind w:left="42" w:right="86" w:firstLine="479"/>
        <w:rPr>
          <w:sz w:val="24"/>
          <w:szCs w:val="24"/>
        </w:rPr>
      </w:pPr>
      <w:r>
        <w:rPr>
          <w:spacing w:val="-4"/>
          <w:sz w:val="24"/>
          <w:szCs w:val="24"/>
        </w:rPr>
        <w:t>车马碧水库工程由主体工程、施工辅助工程、移</w:t>
      </w:r>
      <w:r>
        <w:rPr>
          <w:spacing w:val="-5"/>
          <w:sz w:val="24"/>
          <w:szCs w:val="24"/>
        </w:rPr>
        <w:t>民安置工程和环境保护工程等</w:t>
      </w:r>
      <w:r>
        <w:rPr>
          <w:spacing w:val="-11"/>
          <w:sz w:val="24"/>
          <w:szCs w:val="24"/>
        </w:rPr>
        <w:t>组成。</w:t>
      </w:r>
    </w:p>
    <w:p w14:paraId="5E440B70">
      <w:pPr>
        <w:pStyle w:val="2"/>
        <w:spacing w:before="2" w:line="338" w:lineRule="auto"/>
        <w:ind w:left="40" w:right="85" w:firstLine="480"/>
        <w:rPr>
          <w:sz w:val="24"/>
          <w:szCs w:val="24"/>
        </w:rPr>
      </w:pPr>
      <w:r>
        <w:rPr>
          <w:spacing w:val="3"/>
          <w:sz w:val="24"/>
          <w:szCs w:val="24"/>
        </w:rPr>
        <w:t>主体工程由大坝枢纽工程和输水工程组成，其中大坝枢纽工</w:t>
      </w:r>
      <w:r>
        <w:rPr>
          <w:spacing w:val="2"/>
          <w:sz w:val="24"/>
          <w:szCs w:val="24"/>
        </w:rPr>
        <w:t>程由混凝土面板</w:t>
      </w:r>
      <w:r>
        <w:rPr>
          <w:spacing w:val="-11"/>
          <w:sz w:val="24"/>
          <w:szCs w:val="24"/>
        </w:rPr>
        <w:t>堆石坝、左岸溢洪道、泄洪放空隧洞等组成；输水工程</w:t>
      </w:r>
      <w:r>
        <w:rPr>
          <w:spacing w:val="-12"/>
          <w:sz w:val="24"/>
          <w:szCs w:val="24"/>
        </w:rPr>
        <w:t>由取水口、隧洞进口有压段、</w:t>
      </w:r>
      <w:r>
        <w:rPr>
          <w:spacing w:val="-2"/>
          <w:sz w:val="24"/>
          <w:szCs w:val="24"/>
        </w:rPr>
        <w:t>隧洞竖井段、隧洞无压段、剪彩河出口等组成。</w:t>
      </w:r>
    </w:p>
    <w:p w14:paraId="40DCC35A">
      <w:pPr>
        <w:pStyle w:val="2"/>
        <w:spacing w:before="2" w:line="338" w:lineRule="auto"/>
        <w:ind w:left="39" w:firstLine="480"/>
        <w:jc w:val="both"/>
        <w:rPr>
          <w:sz w:val="24"/>
          <w:szCs w:val="24"/>
        </w:rPr>
      </w:pPr>
      <w:r>
        <w:rPr>
          <w:spacing w:val="-9"/>
          <w:sz w:val="24"/>
          <w:szCs w:val="24"/>
        </w:rPr>
        <w:t>环境保护工程主要包括：生态流量泄放设施、分层取水设施、生态灌溉输水管、</w:t>
      </w:r>
      <w:r>
        <w:rPr>
          <w:spacing w:val="-4"/>
          <w:sz w:val="24"/>
          <w:szCs w:val="24"/>
        </w:rPr>
        <w:t>鱼道工程、鱼类增殖站、旁路系统工程、鱼类栖息地建设及连通性恢复工程、拦鱼</w:t>
      </w:r>
      <w:r>
        <w:rPr>
          <w:spacing w:val="-7"/>
          <w:sz w:val="24"/>
          <w:szCs w:val="24"/>
        </w:rPr>
        <w:t>栅网等。</w:t>
      </w:r>
    </w:p>
    <w:p w14:paraId="2B956FB0">
      <w:pPr>
        <w:pStyle w:val="2"/>
        <w:spacing w:line="233" w:lineRule="auto"/>
        <w:ind w:left="521"/>
        <w:rPr>
          <w:sz w:val="24"/>
          <w:szCs w:val="24"/>
        </w:rPr>
      </w:pPr>
      <w:r>
        <w:rPr>
          <w:spacing w:val="-2"/>
          <w:sz w:val="24"/>
          <w:szCs w:val="24"/>
        </w:rPr>
        <w:t>车马碧水库工程项目组成表见表</w:t>
      </w:r>
      <w:r>
        <w:rPr>
          <w:spacing w:val="-32"/>
          <w:sz w:val="24"/>
          <w:szCs w:val="24"/>
        </w:rPr>
        <w:t xml:space="preserve"> </w:t>
      </w:r>
      <w:r>
        <w:rPr>
          <w:rFonts w:ascii="Times New Roman" w:hAnsi="Times New Roman" w:eastAsia="Times New Roman" w:cs="Times New Roman"/>
          <w:spacing w:val="-2"/>
          <w:sz w:val="24"/>
          <w:szCs w:val="24"/>
        </w:rPr>
        <w:t>3.1-2</w:t>
      </w:r>
      <w:r>
        <w:rPr>
          <w:spacing w:val="-2"/>
          <w:sz w:val="24"/>
          <w:szCs w:val="24"/>
        </w:rPr>
        <w:t>。</w:t>
      </w:r>
    </w:p>
    <w:p w14:paraId="01B92721">
      <w:pPr>
        <w:spacing w:line="233" w:lineRule="auto"/>
        <w:rPr>
          <w:sz w:val="24"/>
          <w:szCs w:val="24"/>
        </w:rPr>
        <w:sectPr>
          <w:headerReference r:id="rId30" w:type="default"/>
          <w:footerReference r:id="rId31" w:type="default"/>
          <w:pgSz w:w="11907" w:h="16839"/>
          <w:pgMar w:top="1376" w:right="1614" w:bottom="1061" w:left="1671" w:header="999" w:footer="861" w:gutter="0"/>
          <w:cols w:space="720" w:num="1"/>
        </w:sectPr>
      </w:pPr>
    </w:p>
    <w:p w14:paraId="79B26A04">
      <w:pPr>
        <w:spacing w:line="454" w:lineRule="auto"/>
        <w:rPr>
          <w:rFonts w:ascii="Arial"/>
          <w:sz w:val="21"/>
        </w:rPr>
      </w:pPr>
    </w:p>
    <w:p w14:paraId="06DE96BE">
      <w:pPr>
        <w:pStyle w:val="2"/>
        <w:spacing w:before="78" w:line="226"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3.1-2                </w:t>
      </w:r>
      <w:r>
        <w:rPr>
          <w:rFonts w:ascii="Times New Roman" w:hAnsi="Times New Roman" w:eastAsia="Times New Roman" w:cs="Times New Roman"/>
          <w:b/>
          <w:bCs/>
          <w:spacing w:val="-1"/>
          <w:sz w:val="24"/>
          <w:szCs w:val="24"/>
        </w:rPr>
        <w:t xml:space="preserve">                </w:t>
      </w:r>
      <w:r>
        <w:rPr>
          <w:b/>
          <w:bCs/>
          <w:spacing w:val="-1"/>
          <w:sz w:val="24"/>
          <w:szCs w:val="24"/>
        </w:rPr>
        <w:t>车马碧水库工程项目组成表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9"/>
        <w:gridCol w:w="423"/>
        <w:gridCol w:w="426"/>
        <w:gridCol w:w="3036"/>
        <w:gridCol w:w="3038"/>
        <w:gridCol w:w="1121"/>
      </w:tblGrid>
      <w:tr w14:paraId="1FDAC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278" w:type="dxa"/>
            <w:gridSpan w:val="3"/>
            <w:vMerge w:val="restart"/>
            <w:tcBorders>
              <w:top w:val="single" w:color="000000" w:sz="12" w:space="0"/>
              <w:left w:val="single" w:color="000000" w:sz="12" w:space="0"/>
              <w:bottom w:val="nil"/>
            </w:tcBorders>
            <w:vAlign w:val="top"/>
          </w:tcPr>
          <w:p w14:paraId="518471FE">
            <w:pPr>
              <w:spacing w:before="289" w:line="220" w:lineRule="auto"/>
              <w:ind w:left="209"/>
              <w:rPr>
                <w:rFonts w:ascii="宋体" w:hAnsi="宋体" w:eastAsia="宋体" w:cs="宋体"/>
                <w:sz w:val="21"/>
                <w:szCs w:val="21"/>
              </w:rPr>
            </w:pPr>
            <w:r>
              <w:rPr>
                <w:rFonts w:ascii="宋体" w:hAnsi="宋体" w:eastAsia="宋体" w:cs="宋体"/>
                <w:spacing w:val="-3"/>
                <w:sz w:val="21"/>
                <w:szCs w:val="21"/>
              </w:rPr>
              <w:t>工程项目</w:t>
            </w:r>
          </w:p>
        </w:tc>
        <w:tc>
          <w:tcPr>
            <w:tcW w:w="6074" w:type="dxa"/>
            <w:gridSpan w:val="2"/>
            <w:tcBorders>
              <w:top w:val="single" w:color="000000" w:sz="12" w:space="0"/>
            </w:tcBorders>
            <w:vAlign w:val="top"/>
          </w:tcPr>
          <w:p w14:paraId="020EA9C0">
            <w:pPr>
              <w:spacing w:before="88" w:line="220" w:lineRule="auto"/>
              <w:ind w:left="2411"/>
              <w:rPr>
                <w:rFonts w:ascii="宋体" w:hAnsi="宋体" w:eastAsia="宋体" w:cs="宋体"/>
                <w:sz w:val="21"/>
                <w:szCs w:val="21"/>
              </w:rPr>
            </w:pPr>
            <w:r>
              <w:rPr>
                <w:rFonts w:ascii="宋体" w:hAnsi="宋体" w:eastAsia="宋体" w:cs="宋体"/>
                <w:spacing w:val="-2"/>
                <w:sz w:val="21"/>
                <w:szCs w:val="21"/>
              </w:rPr>
              <w:t>工程项目组成</w:t>
            </w:r>
          </w:p>
        </w:tc>
        <w:tc>
          <w:tcPr>
            <w:tcW w:w="1121" w:type="dxa"/>
            <w:vMerge w:val="restart"/>
            <w:tcBorders>
              <w:top w:val="single" w:color="000000" w:sz="12" w:space="0"/>
              <w:bottom w:val="nil"/>
              <w:right w:val="single" w:color="000000" w:sz="12" w:space="0"/>
            </w:tcBorders>
            <w:vAlign w:val="top"/>
          </w:tcPr>
          <w:p w14:paraId="4C64DB02">
            <w:pPr>
              <w:spacing w:before="289" w:line="220" w:lineRule="auto"/>
              <w:ind w:left="150"/>
              <w:rPr>
                <w:rFonts w:ascii="宋体" w:hAnsi="宋体" w:eastAsia="宋体" w:cs="宋体"/>
                <w:sz w:val="21"/>
                <w:szCs w:val="21"/>
              </w:rPr>
            </w:pPr>
            <w:r>
              <w:rPr>
                <w:rFonts w:ascii="宋体" w:hAnsi="宋体" w:eastAsia="宋体" w:cs="宋体"/>
                <w:spacing w:val="-3"/>
                <w:sz w:val="21"/>
                <w:szCs w:val="21"/>
              </w:rPr>
              <w:t>变更情况</w:t>
            </w:r>
          </w:p>
        </w:tc>
      </w:tr>
      <w:tr w14:paraId="5ABFD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278" w:type="dxa"/>
            <w:gridSpan w:val="3"/>
            <w:vMerge w:val="continue"/>
            <w:tcBorders>
              <w:top w:val="nil"/>
              <w:left w:val="single" w:color="000000" w:sz="12" w:space="0"/>
            </w:tcBorders>
            <w:vAlign w:val="top"/>
          </w:tcPr>
          <w:p w14:paraId="3209C010">
            <w:pPr>
              <w:rPr>
                <w:rFonts w:ascii="Arial"/>
                <w:sz w:val="21"/>
              </w:rPr>
            </w:pPr>
          </w:p>
        </w:tc>
        <w:tc>
          <w:tcPr>
            <w:tcW w:w="3036" w:type="dxa"/>
            <w:vAlign w:val="top"/>
          </w:tcPr>
          <w:p w14:paraId="598F4C40">
            <w:pPr>
              <w:spacing w:before="86" w:line="220" w:lineRule="auto"/>
              <w:ind w:left="1095"/>
              <w:rPr>
                <w:rFonts w:ascii="宋体" w:hAnsi="宋体" w:eastAsia="宋体" w:cs="宋体"/>
                <w:sz w:val="21"/>
                <w:szCs w:val="21"/>
              </w:rPr>
            </w:pPr>
            <w:r>
              <w:rPr>
                <w:rFonts w:ascii="宋体" w:hAnsi="宋体" w:eastAsia="宋体" w:cs="宋体"/>
                <w:spacing w:val="-2"/>
                <w:sz w:val="21"/>
                <w:szCs w:val="21"/>
              </w:rPr>
              <w:t>环评阶段</w:t>
            </w:r>
          </w:p>
        </w:tc>
        <w:tc>
          <w:tcPr>
            <w:tcW w:w="3038" w:type="dxa"/>
            <w:vAlign w:val="top"/>
          </w:tcPr>
          <w:p w14:paraId="5874C0A8">
            <w:pPr>
              <w:spacing w:before="86" w:line="220" w:lineRule="auto"/>
              <w:ind w:left="1112"/>
              <w:rPr>
                <w:rFonts w:ascii="宋体" w:hAnsi="宋体" w:eastAsia="宋体" w:cs="宋体"/>
                <w:sz w:val="21"/>
                <w:szCs w:val="21"/>
              </w:rPr>
            </w:pPr>
            <w:r>
              <w:rPr>
                <w:rFonts w:ascii="宋体" w:hAnsi="宋体" w:eastAsia="宋体" w:cs="宋体"/>
                <w:spacing w:val="-3"/>
                <w:sz w:val="21"/>
                <w:szCs w:val="21"/>
              </w:rPr>
              <w:t>实施阶段</w:t>
            </w:r>
          </w:p>
        </w:tc>
        <w:tc>
          <w:tcPr>
            <w:tcW w:w="1121" w:type="dxa"/>
            <w:vMerge w:val="continue"/>
            <w:tcBorders>
              <w:top w:val="nil"/>
              <w:right w:val="single" w:color="000000" w:sz="12" w:space="0"/>
            </w:tcBorders>
            <w:vAlign w:val="top"/>
          </w:tcPr>
          <w:p w14:paraId="4AE4FD87">
            <w:pPr>
              <w:rPr>
                <w:rFonts w:ascii="Arial"/>
                <w:sz w:val="21"/>
              </w:rPr>
            </w:pPr>
          </w:p>
        </w:tc>
      </w:tr>
      <w:tr w14:paraId="7E6DC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2" w:hRule="atLeast"/>
        </w:trPr>
        <w:tc>
          <w:tcPr>
            <w:tcW w:w="429" w:type="dxa"/>
            <w:vMerge w:val="restart"/>
            <w:tcBorders>
              <w:left w:val="single" w:color="000000" w:sz="12" w:space="0"/>
              <w:bottom w:val="nil"/>
            </w:tcBorders>
            <w:textDirection w:val="tbRlV"/>
            <w:vAlign w:val="top"/>
          </w:tcPr>
          <w:p w14:paraId="60776028">
            <w:pPr>
              <w:spacing w:before="111" w:line="209" w:lineRule="auto"/>
              <w:ind w:left="3140"/>
              <w:rPr>
                <w:rFonts w:ascii="宋体" w:hAnsi="宋体" w:eastAsia="宋体" w:cs="宋体"/>
                <w:sz w:val="21"/>
                <w:szCs w:val="21"/>
              </w:rPr>
            </w:pPr>
            <w:r>
              <w:rPr>
                <w:rFonts w:ascii="宋体" w:hAnsi="宋体" w:eastAsia="宋体" w:cs="宋体"/>
                <w:spacing w:val="46"/>
                <w:sz w:val="21"/>
                <w:szCs w:val="21"/>
              </w:rPr>
              <w:t>主体工程</w:t>
            </w:r>
          </w:p>
        </w:tc>
        <w:tc>
          <w:tcPr>
            <w:tcW w:w="423" w:type="dxa"/>
            <w:vMerge w:val="restart"/>
            <w:tcBorders>
              <w:bottom w:val="nil"/>
            </w:tcBorders>
            <w:textDirection w:val="tbRlV"/>
            <w:vAlign w:val="top"/>
          </w:tcPr>
          <w:p w14:paraId="14D757D3">
            <w:pPr>
              <w:spacing w:before="113" w:line="209" w:lineRule="auto"/>
              <w:ind w:left="1850"/>
              <w:rPr>
                <w:rFonts w:ascii="宋体" w:hAnsi="宋体" w:eastAsia="宋体" w:cs="宋体"/>
                <w:sz w:val="21"/>
                <w:szCs w:val="21"/>
              </w:rPr>
            </w:pPr>
            <w:r>
              <w:rPr>
                <w:rFonts w:ascii="宋体" w:hAnsi="宋体" w:eastAsia="宋体" w:cs="宋体"/>
                <w:spacing w:val="52"/>
                <w:sz w:val="21"/>
                <w:szCs w:val="21"/>
              </w:rPr>
              <w:t>水库枢纽工程</w:t>
            </w:r>
          </w:p>
        </w:tc>
        <w:tc>
          <w:tcPr>
            <w:tcW w:w="426" w:type="dxa"/>
            <w:textDirection w:val="tbRlV"/>
            <w:vAlign w:val="top"/>
          </w:tcPr>
          <w:p w14:paraId="6CFB3D79">
            <w:pPr>
              <w:spacing w:before="114" w:line="208" w:lineRule="auto"/>
              <w:ind w:left="495"/>
              <w:rPr>
                <w:rFonts w:ascii="宋体" w:hAnsi="宋体" w:eastAsia="宋体" w:cs="宋体"/>
                <w:sz w:val="21"/>
                <w:szCs w:val="21"/>
              </w:rPr>
            </w:pPr>
            <w:r>
              <w:rPr>
                <w:rFonts w:ascii="宋体" w:hAnsi="宋体" w:eastAsia="宋体" w:cs="宋体"/>
                <w:spacing w:val="49"/>
                <w:sz w:val="21"/>
                <w:szCs w:val="21"/>
              </w:rPr>
              <w:t>挡水建筑物</w:t>
            </w:r>
          </w:p>
        </w:tc>
        <w:tc>
          <w:tcPr>
            <w:tcW w:w="3036" w:type="dxa"/>
            <w:vAlign w:val="top"/>
          </w:tcPr>
          <w:p w14:paraId="2E5B6B47">
            <w:pPr>
              <w:spacing w:line="347" w:lineRule="auto"/>
              <w:rPr>
                <w:rFonts w:ascii="Arial"/>
                <w:sz w:val="21"/>
              </w:rPr>
            </w:pPr>
          </w:p>
          <w:p w14:paraId="4AF9A29B">
            <w:pPr>
              <w:spacing w:line="347" w:lineRule="auto"/>
              <w:rPr>
                <w:rFonts w:ascii="Arial"/>
                <w:sz w:val="21"/>
              </w:rPr>
            </w:pPr>
          </w:p>
          <w:p w14:paraId="37841A07">
            <w:pPr>
              <w:pStyle w:val="6"/>
              <w:spacing w:before="68" w:line="242" w:lineRule="auto"/>
              <w:ind w:left="48" w:firstLine="3"/>
              <w:jc w:val="both"/>
              <w:rPr>
                <w:rFonts w:ascii="宋体" w:hAnsi="宋体" w:eastAsia="宋体" w:cs="宋体"/>
              </w:rPr>
            </w:pPr>
            <w:r>
              <w:rPr>
                <w:rFonts w:ascii="宋体" w:hAnsi="宋体" w:eastAsia="宋体" w:cs="宋体"/>
                <w:spacing w:val="-3"/>
              </w:rPr>
              <w:t>大坝为混凝土面板堆石坝，坝顶</w:t>
            </w:r>
            <w:r>
              <w:rPr>
                <w:rFonts w:ascii="宋体" w:hAnsi="宋体" w:eastAsia="宋体" w:cs="宋体"/>
                <w:spacing w:val="-4"/>
              </w:rPr>
              <w:t xml:space="preserve">高程 </w:t>
            </w:r>
            <w:r>
              <w:rPr>
                <w:spacing w:val="-4"/>
              </w:rPr>
              <w:t>1943.2m</w:t>
            </w:r>
            <w:r>
              <w:rPr>
                <w:rFonts w:ascii="宋体" w:hAnsi="宋体" w:eastAsia="宋体" w:cs="宋体"/>
                <w:spacing w:val="-4"/>
              </w:rPr>
              <w:t>，最大坝高</w:t>
            </w:r>
            <w:r>
              <w:rPr>
                <w:rFonts w:ascii="宋体" w:hAnsi="宋体" w:eastAsia="宋体" w:cs="宋体"/>
                <w:spacing w:val="-22"/>
              </w:rPr>
              <w:t xml:space="preserve"> </w:t>
            </w:r>
            <w:r>
              <w:rPr>
                <w:spacing w:val="-4"/>
              </w:rPr>
              <w:t>52m</w:t>
            </w:r>
            <w:r>
              <w:rPr>
                <w:spacing w:val="-29"/>
              </w:rPr>
              <w:t xml:space="preserve"> </w:t>
            </w:r>
            <w:r>
              <w:rPr>
                <w:rFonts w:ascii="宋体" w:hAnsi="宋体" w:eastAsia="宋体" w:cs="宋体"/>
                <w:spacing w:val="-4"/>
              </w:rPr>
              <w:t>，</w:t>
            </w:r>
            <w:r>
              <w:rPr>
                <w:rFonts w:ascii="宋体" w:hAnsi="宋体" w:eastAsia="宋体" w:cs="宋体"/>
                <w:spacing w:val="-9"/>
              </w:rPr>
              <w:t>坝顶宽度</w:t>
            </w:r>
            <w:r>
              <w:rPr>
                <w:rFonts w:ascii="宋体" w:hAnsi="宋体" w:eastAsia="宋体" w:cs="宋体"/>
                <w:spacing w:val="-28"/>
              </w:rPr>
              <w:t xml:space="preserve"> </w:t>
            </w:r>
            <w:r>
              <w:rPr>
                <w:spacing w:val="-9"/>
              </w:rPr>
              <w:t>8m</w:t>
            </w:r>
            <w:r>
              <w:rPr>
                <w:rFonts w:ascii="宋体" w:hAnsi="宋体" w:eastAsia="宋体" w:cs="宋体"/>
                <w:spacing w:val="-9"/>
              </w:rPr>
              <w:t>，坝轴线长</w:t>
            </w:r>
            <w:r>
              <w:rPr>
                <w:rFonts w:ascii="宋体" w:hAnsi="宋体" w:eastAsia="宋体" w:cs="宋体"/>
                <w:spacing w:val="-48"/>
              </w:rPr>
              <w:t xml:space="preserve"> </w:t>
            </w:r>
            <w:r>
              <w:rPr>
                <w:spacing w:val="-9"/>
              </w:rPr>
              <w:t>214.0m</w:t>
            </w:r>
            <w:r>
              <w:rPr>
                <w:rFonts w:ascii="宋体" w:hAnsi="宋体" w:eastAsia="宋体" w:cs="宋体"/>
                <w:spacing w:val="-9"/>
              </w:rPr>
              <w:t>。</w:t>
            </w:r>
          </w:p>
        </w:tc>
        <w:tc>
          <w:tcPr>
            <w:tcW w:w="3038" w:type="dxa"/>
            <w:vAlign w:val="top"/>
          </w:tcPr>
          <w:p w14:paraId="1792F7E9">
            <w:pPr>
              <w:pStyle w:val="6"/>
              <w:spacing w:before="88" w:line="239" w:lineRule="auto"/>
              <w:ind w:left="59" w:right="42" w:firstLine="3"/>
              <w:jc w:val="both"/>
              <w:rPr>
                <w:rFonts w:ascii="宋体" w:hAnsi="宋体" w:eastAsia="宋体" w:cs="宋体"/>
              </w:rPr>
            </w:pPr>
            <w:r>
              <w:rPr>
                <w:rFonts w:ascii="宋体" w:hAnsi="宋体" w:eastAsia="宋体" w:cs="宋体"/>
                <w:spacing w:val="-2"/>
              </w:rPr>
              <w:t>大坝为混凝土面板堆石坝，坝顶</w:t>
            </w:r>
            <w:r>
              <w:rPr>
                <w:rFonts w:ascii="宋体" w:hAnsi="宋体" w:eastAsia="宋体" w:cs="宋体"/>
                <w:spacing w:val="-5"/>
              </w:rPr>
              <w:t xml:space="preserve">高程 </w:t>
            </w:r>
            <w:r>
              <w:rPr>
                <w:spacing w:val="-5"/>
              </w:rPr>
              <w:t>1943.2m</w:t>
            </w:r>
            <w:r>
              <w:rPr>
                <w:rFonts w:ascii="宋体" w:hAnsi="宋体" w:eastAsia="宋体" w:cs="宋体"/>
                <w:spacing w:val="-5"/>
              </w:rPr>
              <w:t>，最大坝高</w:t>
            </w:r>
            <w:r>
              <w:rPr>
                <w:rFonts w:ascii="宋体" w:hAnsi="宋体" w:eastAsia="宋体" w:cs="宋体"/>
                <w:spacing w:val="-8"/>
              </w:rPr>
              <w:t xml:space="preserve"> </w:t>
            </w:r>
            <w:r>
              <w:rPr>
                <w:spacing w:val="-5"/>
              </w:rPr>
              <w:t>52m</w:t>
            </w:r>
            <w:r>
              <w:rPr>
                <w:spacing w:val="-29"/>
              </w:rPr>
              <w:t xml:space="preserve"> </w:t>
            </w:r>
            <w:r>
              <w:rPr>
                <w:rFonts w:ascii="宋体" w:hAnsi="宋体" w:eastAsia="宋体" w:cs="宋体"/>
                <w:spacing w:val="-5"/>
              </w:rPr>
              <w:t>，坝顶宽</w:t>
            </w:r>
            <w:r>
              <w:rPr>
                <w:rFonts w:ascii="宋体" w:hAnsi="宋体" w:eastAsia="宋体" w:cs="宋体"/>
                <w:spacing w:val="-33"/>
              </w:rPr>
              <w:t xml:space="preserve"> </w:t>
            </w:r>
            <w:r>
              <w:rPr>
                <w:spacing w:val="-5"/>
              </w:rPr>
              <w:t>8m</w:t>
            </w:r>
            <w:r>
              <w:rPr>
                <w:rFonts w:ascii="宋体" w:hAnsi="宋体" w:eastAsia="宋体" w:cs="宋体"/>
                <w:spacing w:val="-5"/>
              </w:rPr>
              <w:t>，坝顶长</w:t>
            </w:r>
            <w:r>
              <w:rPr>
                <w:rFonts w:ascii="宋体" w:hAnsi="宋体" w:eastAsia="宋体" w:cs="宋体"/>
                <w:spacing w:val="-48"/>
              </w:rPr>
              <w:t xml:space="preserve"> </w:t>
            </w:r>
            <w:r>
              <w:rPr>
                <w:spacing w:val="-5"/>
              </w:rPr>
              <w:t>224m</w:t>
            </w:r>
            <w:r>
              <w:rPr>
                <w:spacing w:val="-24"/>
              </w:rPr>
              <w:t xml:space="preserve"> </w:t>
            </w:r>
            <w:r>
              <w:rPr>
                <w:rFonts w:ascii="宋体" w:hAnsi="宋体" w:eastAsia="宋体" w:cs="宋体"/>
                <w:spacing w:val="-5"/>
              </w:rPr>
              <w:t>。坝体</w:t>
            </w:r>
            <w:r>
              <w:rPr>
                <w:rFonts w:ascii="宋体" w:hAnsi="宋体" w:eastAsia="宋体" w:cs="宋体"/>
                <w:spacing w:val="-2"/>
              </w:rPr>
              <w:t>从上游到下游分为垫层区、过渡</w:t>
            </w:r>
            <w:r>
              <w:rPr>
                <w:rFonts w:ascii="宋体" w:hAnsi="宋体" w:eastAsia="宋体" w:cs="宋体"/>
                <w:spacing w:val="-13"/>
              </w:rPr>
              <w:t>区、主堆石区、下游堆石区，</w:t>
            </w:r>
            <w:r>
              <w:rPr>
                <w:rFonts w:ascii="宋体" w:hAnsi="宋体" w:eastAsia="宋体" w:cs="宋体"/>
                <w:spacing w:val="61"/>
              </w:rPr>
              <w:t xml:space="preserve"> </w:t>
            </w:r>
            <w:r>
              <w:rPr>
                <w:rFonts w:ascii="宋体" w:hAnsi="宋体" w:eastAsia="宋体" w:cs="宋体"/>
                <w:spacing w:val="-13"/>
              </w:rPr>
              <w:t>面</w:t>
            </w:r>
            <w:r>
              <w:rPr>
                <w:rFonts w:ascii="宋体" w:hAnsi="宋体" w:eastAsia="宋体" w:cs="宋体"/>
                <w:spacing w:val="-2"/>
              </w:rPr>
              <w:t>板上游设坝前覆盖区，周边缝下游侧设置特殊垫层区。大坝坝基</w:t>
            </w:r>
            <w:r>
              <w:rPr>
                <w:rFonts w:ascii="宋体" w:hAnsi="宋体" w:eastAsia="宋体" w:cs="宋体"/>
                <w:spacing w:val="-4"/>
              </w:rPr>
              <w:t>防渗采用帷幕灌浆。</w:t>
            </w:r>
          </w:p>
        </w:tc>
        <w:tc>
          <w:tcPr>
            <w:tcW w:w="1121" w:type="dxa"/>
            <w:tcBorders>
              <w:right w:val="single" w:color="000000" w:sz="12" w:space="0"/>
            </w:tcBorders>
            <w:vAlign w:val="top"/>
          </w:tcPr>
          <w:p w14:paraId="2416536E">
            <w:pPr>
              <w:spacing w:line="241" w:lineRule="auto"/>
              <w:rPr>
                <w:rFonts w:ascii="Arial"/>
                <w:sz w:val="21"/>
              </w:rPr>
            </w:pPr>
          </w:p>
          <w:p w14:paraId="7E4DC084">
            <w:pPr>
              <w:spacing w:line="241" w:lineRule="auto"/>
              <w:rPr>
                <w:rFonts w:ascii="Arial"/>
                <w:sz w:val="21"/>
              </w:rPr>
            </w:pPr>
          </w:p>
          <w:p w14:paraId="6A93D07A">
            <w:pPr>
              <w:spacing w:line="241" w:lineRule="auto"/>
              <w:rPr>
                <w:rFonts w:ascii="Arial"/>
                <w:sz w:val="21"/>
              </w:rPr>
            </w:pPr>
          </w:p>
          <w:p w14:paraId="3BC4045A">
            <w:pPr>
              <w:spacing w:line="242" w:lineRule="auto"/>
              <w:rPr>
                <w:rFonts w:ascii="Arial"/>
                <w:sz w:val="21"/>
              </w:rPr>
            </w:pPr>
          </w:p>
          <w:p w14:paraId="0B18F2E5">
            <w:pPr>
              <w:spacing w:before="69"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31184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trPr>
        <w:tc>
          <w:tcPr>
            <w:tcW w:w="429" w:type="dxa"/>
            <w:vMerge w:val="continue"/>
            <w:tcBorders>
              <w:top w:val="nil"/>
              <w:left w:val="single" w:color="000000" w:sz="12" w:space="0"/>
              <w:bottom w:val="nil"/>
            </w:tcBorders>
            <w:textDirection w:val="tbRlV"/>
            <w:vAlign w:val="top"/>
          </w:tcPr>
          <w:p w14:paraId="3EB3B2BB">
            <w:pPr>
              <w:rPr>
                <w:rFonts w:ascii="Arial"/>
                <w:sz w:val="21"/>
              </w:rPr>
            </w:pPr>
          </w:p>
        </w:tc>
        <w:tc>
          <w:tcPr>
            <w:tcW w:w="423" w:type="dxa"/>
            <w:vMerge w:val="continue"/>
            <w:tcBorders>
              <w:top w:val="nil"/>
              <w:bottom w:val="nil"/>
            </w:tcBorders>
            <w:textDirection w:val="tbRlV"/>
            <w:vAlign w:val="top"/>
          </w:tcPr>
          <w:p w14:paraId="5F04ED64">
            <w:pPr>
              <w:rPr>
                <w:rFonts w:ascii="Arial"/>
                <w:sz w:val="21"/>
              </w:rPr>
            </w:pPr>
          </w:p>
        </w:tc>
        <w:tc>
          <w:tcPr>
            <w:tcW w:w="426" w:type="dxa"/>
            <w:vMerge w:val="restart"/>
            <w:tcBorders>
              <w:bottom w:val="nil"/>
            </w:tcBorders>
            <w:textDirection w:val="tbRlV"/>
            <w:vAlign w:val="top"/>
          </w:tcPr>
          <w:p w14:paraId="714328B9">
            <w:pPr>
              <w:spacing w:before="113" w:line="209" w:lineRule="auto"/>
              <w:ind w:left="838"/>
              <w:rPr>
                <w:rFonts w:ascii="宋体" w:hAnsi="宋体" w:eastAsia="宋体" w:cs="宋体"/>
                <w:sz w:val="21"/>
                <w:szCs w:val="21"/>
              </w:rPr>
            </w:pPr>
            <w:r>
              <w:rPr>
                <w:rFonts w:ascii="宋体" w:hAnsi="宋体" w:eastAsia="宋体" w:cs="宋体"/>
                <w:spacing w:val="49"/>
                <w:sz w:val="21"/>
                <w:szCs w:val="21"/>
              </w:rPr>
              <w:t>泄洪建筑物</w:t>
            </w:r>
          </w:p>
        </w:tc>
        <w:tc>
          <w:tcPr>
            <w:tcW w:w="3036" w:type="dxa"/>
            <w:vAlign w:val="top"/>
          </w:tcPr>
          <w:p w14:paraId="20A73641">
            <w:pPr>
              <w:pStyle w:val="6"/>
              <w:spacing w:before="231" w:line="238" w:lineRule="auto"/>
              <w:ind w:left="48" w:firstLine="2"/>
              <w:jc w:val="both"/>
              <w:rPr>
                <w:rFonts w:ascii="宋体" w:hAnsi="宋体" w:eastAsia="宋体" w:cs="宋体"/>
              </w:rPr>
            </w:pPr>
            <w:r>
              <w:rPr>
                <w:rFonts w:ascii="宋体" w:hAnsi="宋体" w:eastAsia="宋体" w:cs="宋体"/>
                <w:spacing w:val="-2"/>
              </w:rPr>
              <w:t>溢洪道布置于左岸坝肩，由引渠段、控制段、泄槽段、消力池段</w:t>
            </w:r>
            <w:r>
              <w:rPr>
                <w:rFonts w:ascii="宋体" w:hAnsi="宋体" w:eastAsia="宋体" w:cs="宋体"/>
                <w:spacing w:val="-6"/>
              </w:rPr>
              <w:t>及出口护坦段组成，全长</w:t>
            </w:r>
            <w:r>
              <w:rPr>
                <w:rFonts w:ascii="宋体" w:hAnsi="宋体" w:eastAsia="宋体" w:cs="宋体"/>
                <w:spacing w:val="-31"/>
              </w:rPr>
              <w:t xml:space="preserve"> </w:t>
            </w:r>
            <w:r>
              <w:rPr>
                <w:spacing w:val="-6"/>
              </w:rPr>
              <w:t>343m</w:t>
            </w:r>
            <w:r>
              <w:rPr>
                <w:rFonts w:ascii="宋体" w:hAnsi="宋体" w:eastAsia="宋体" w:cs="宋体"/>
                <w:spacing w:val="-6"/>
              </w:rPr>
              <w:t>，</w:t>
            </w:r>
            <w:r>
              <w:rPr>
                <w:rFonts w:ascii="宋体" w:hAnsi="宋体" w:eastAsia="宋体" w:cs="宋体"/>
                <w:spacing w:val="-10"/>
              </w:rPr>
              <w:t>堰顶高程</w:t>
            </w:r>
            <w:r>
              <w:rPr>
                <w:rFonts w:ascii="宋体" w:hAnsi="宋体" w:eastAsia="宋体" w:cs="宋体"/>
                <w:spacing w:val="-21"/>
              </w:rPr>
              <w:t xml:space="preserve"> </w:t>
            </w:r>
            <w:r>
              <w:rPr>
                <w:spacing w:val="-10"/>
              </w:rPr>
              <w:t>1932.5m</w:t>
            </w:r>
            <w:r>
              <w:rPr>
                <w:rFonts w:ascii="宋体" w:hAnsi="宋体" w:eastAsia="宋体" w:cs="宋体"/>
                <w:spacing w:val="-10"/>
              </w:rPr>
              <w:t>，堰净宽</w:t>
            </w:r>
            <w:r>
              <w:rPr>
                <w:rFonts w:ascii="宋体" w:hAnsi="宋体" w:eastAsia="宋体" w:cs="宋体"/>
                <w:spacing w:val="-27"/>
              </w:rPr>
              <w:t xml:space="preserve"> </w:t>
            </w:r>
            <w:r>
              <w:rPr>
                <w:spacing w:val="-10"/>
              </w:rPr>
              <w:t>10m</w:t>
            </w:r>
            <w:r>
              <w:rPr>
                <w:rFonts w:ascii="宋体" w:hAnsi="宋体" w:eastAsia="宋体" w:cs="宋体"/>
                <w:spacing w:val="-10"/>
              </w:rPr>
              <w:t>，</w:t>
            </w:r>
            <w:r>
              <w:rPr>
                <w:rFonts w:ascii="宋体" w:hAnsi="宋体" w:eastAsia="宋体" w:cs="宋体"/>
                <w:spacing w:val="-5"/>
              </w:rPr>
              <w:t>采用底流消能。</w:t>
            </w:r>
          </w:p>
        </w:tc>
        <w:tc>
          <w:tcPr>
            <w:tcW w:w="3038" w:type="dxa"/>
            <w:vAlign w:val="top"/>
          </w:tcPr>
          <w:p w14:paraId="5CB963FC">
            <w:pPr>
              <w:pStyle w:val="6"/>
              <w:spacing w:before="96" w:line="239" w:lineRule="auto"/>
              <w:ind w:left="61" w:right="42" w:firstLine="1"/>
              <w:rPr>
                <w:rFonts w:ascii="宋体" w:hAnsi="宋体" w:eastAsia="宋体" w:cs="宋体"/>
              </w:rPr>
            </w:pPr>
            <w:r>
              <w:rPr>
                <w:rFonts w:ascii="宋体" w:hAnsi="宋体" w:eastAsia="宋体" w:cs="宋体"/>
                <w:spacing w:val="-2"/>
              </w:rPr>
              <w:t>溢洪道布置在左岸坝肩，为岸边有闸控制溢洪道，由引渠段、控制段、泄槽段、联合消力池段及</w:t>
            </w:r>
            <w:r>
              <w:rPr>
                <w:rFonts w:ascii="宋体" w:hAnsi="宋体" w:eastAsia="宋体" w:cs="宋体"/>
                <w:spacing w:val="-10"/>
              </w:rPr>
              <w:t>出</w:t>
            </w:r>
            <w:r>
              <w:rPr>
                <w:rFonts w:ascii="宋体" w:hAnsi="宋体" w:eastAsia="宋体" w:cs="宋体"/>
                <w:spacing w:val="34"/>
              </w:rPr>
              <w:t xml:space="preserve"> </w:t>
            </w:r>
            <w:r>
              <w:rPr>
                <w:rFonts w:ascii="宋体" w:hAnsi="宋体" w:eastAsia="宋体" w:cs="宋体"/>
                <w:spacing w:val="-10"/>
              </w:rPr>
              <w:t>口 护 坦 段 组 成</w:t>
            </w:r>
            <w:r>
              <w:rPr>
                <w:rFonts w:ascii="宋体" w:hAnsi="宋体" w:eastAsia="宋体" w:cs="宋体"/>
                <w:spacing w:val="12"/>
              </w:rPr>
              <w:t xml:space="preserve"> </w:t>
            </w:r>
            <w:r>
              <w:rPr>
                <w:rFonts w:ascii="宋体" w:hAnsi="宋体" w:eastAsia="宋体" w:cs="宋体"/>
                <w:spacing w:val="-10"/>
              </w:rPr>
              <w:t>， 全 长</w:t>
            </w:r>
            <w:r>
              <w:rPr>
                <w:spacing w:val="-4"/>
              </w:rPr>
              <w:t>344.993m</w:t>
            </w:r>
            <w:r>
              <w:rPr>
                <w:spacing w:val="-20"/>
              </w:rPr>
              <w:t xml:space="preserve"> </w:t>
            </w:r>
            <w:r>
              <w:rPr>
                <w:rFonts w:ascii="宋体" w:hAnsi="宋体" w:eastAsia="宋体" w:cs="宋体"/>
                <w:spacing w:val="-4"/>
              </w:rPr>
              <w:t xml:space="preserve">，堰顶高程 </w:t>
            </w:r>
            <w:r>
              <w:rPr>
                <w:spacing w:val="-4"/>
              </w:rPr>
              <w:t>1932.5m</w:t>
            </w:r>
            <w:r>
              <w:rPr>
                <w:spacing w:val="-26"/>
              </w:rPr>
              <w:t xml:space="preserve"> </w:t>
            </w:r>
            <w:r>
              <w:rPr>
                <w:rFonts w:ascii="宋体" w:hAnsi="宋体" w:eastAsia="宋体" w:cs="宋体"/>
                <w:spacing w:val="-4"/>
              </w:rPr>
              <w:t>。</w:t>
            </w:r>
            <w:r>
              <w:rPr>
                <w:rFonts w:ascii="宋体" w:hAnsi="宋体" w:eastAsia="宋体" w:cs="宋体"/>
                <w:spacing w:val="-2"/>
              </w:rPr>
              <w:t>堰型采用驼峰堰。</w:t>
            </w:r>
          </w:p>
        </w:tc>
        <w:tc>
          <w:tcPr>
            <w:tcW w:w="1121" w:type="dxa"/>
            <w:tcBorders>
              <w:right w:val="single" w:color="000000" w:sz="12" w:space="0"/>
            </w:tcBorders>
            <w:vAlign w:val="top"/>
          </w:tcPr>
          <w:p w14:paraId="78708C3D">
            <w:pPr>
              <w:spacing w:line="350" w:lineRule="auto"/>
              <w:rPr>
                <w:rFonts w:ascii="Arial"/>
                <w:sz w:val="21"/>
              </w:rPr>
            </w:pPr>
          </w:p>
          <w:p w14:paraId="261BB25E">
            <w:pPr>
              <w:spacing w:line="350" w:lineRule="auto"/>
              <w:rPr>
                <w:rFonts w:ascii="Arial"/>
                <w:sz w:val="21"/>
              </w:rPr>
            </w:pPr>
          </w:p>
          <w:p w14:paraId="15F1169E">
            <w:pPr>
              <w:spacing w:before="69"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1035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429" w:type="dxa"/>
            <w:vMerge w:val="continue"/>
            <w:tcBorders>
              <w:top w:val="nil"/>
              <w:left w:val="single" w:color="000000" w:sz="12" w:space="0"/>
              <w:bottom w:val="nil"/>
            </w:tcBorders>
            <w:textDirection w:val="tbRlV"/>
            <w:vAlign w:val="top"/>
          </w:tcPr>
          <w:p w14:paraId="748463B7">
            <w:pPr>
              <w:rPr>
                <w:rFonts w:ascii="Arial"/>
                <w:sz w:val="21"/>
              </w:rPr>
            </w:pPr>
          </w:p>
        </w:tc>
        <w:tc>
          <w:tcPr>
            <w:tcW w:w="423" w:type="dxa"/>
            <w:vMerge w:val="continue"/>
            <w:tcBorders>
              <w:top w:val="nil"/>
            </w:tcBorders>
            <w:textDirection w:val="tbRlV"/>
            <w:vAlign w:val="top"/>
          </w:tcPr>
          <w:p w14:paraId="43C3BA17">
            <w:pPr>
              <w:rPr>
                <w:rFonts w:ascii="Arial"/>
                <w:sz w:val="21"/>
              </w:rPr>
            </w:pPr>
          </w:p>
        </w:tc>
        <w:tc>
          <w:tcPr>
            <w:tcW w:w="426" w:type="dxa"/>
            <w:vMerge w:val="continue"/>
            <w:tcBorders>
              <w:top w:val="nil"/>
            </w:tcBorders>
            <w:textDirection w:val="tbRlV"/>
            <w:vAlign w:val="top"/>
          </w:tcPr>
          <w:p w14:paraId="76D06268">
            <w:pPr>
              <w:rPr>
                <w:rFonts w:ascii="Arial"/>
                <w:sz w:val="21"/>
              </w:rPr>
            </w:pPr>
          </w:p>
        </w:tc>
        <w:tc>
          <w:tcPr>
            <w:tcW w:w="3036" w:type="dxa"/>
            <w:vAlign w:val="top"/>
          </w:tcPr>
          <w:p w14:paraId="2D981DE4">
            <w:pPr>
              <w:pStyle w:val="6"/>
              <w:spacing w:before="234" w:line="244" w:lineRule="auto"/>
              <w:ind w:left="50" w:firstLine="2"/>
              <w:jc w:val="both"/>
              <w:rPr>
                <w:rFonts w:ascii="宋体" w:hAnsi="宋体" w:eastAsia="宋体" w:cs="宋体"/>
              </w:rPr>
            </w:pPr>
            <w:r>
              <w:rPr>
                <w:rFonts w:ascii="宋体" w:hAnsi="宋体" w:eastAsia="宋体" w:cs="宋体"/>
                <w:spacing w:val="-3"/>
              </w:rPr>
              <w:t>泄洪放空隧洞布置于左岸，平行于溢洪道布置，泄洪放空隧洞全</w:t>
            </w:r>
            <w:r>
              <w:rPr>
                <w:rFonts w:ascii="宋体" w:hAnsi="宋体" w:eastAsia="宋体" w:cs="宋体"/>
                <w:spacing w:val="-5"/>
              </w:rPr>
              <w:t>长</w:t>
            </w:r>
            <w:r>
              <w:rPr>
                <w:rFonts w:ascii="宋体" w:hAnsi="宋体" w:eastAsia="宋体" w:cs="宋体"/>
                <w:spacing w:val="-39"/>
              </w:rPr>
              <w:t xml:space="preserve"> </w:t>
            </w:r>
            <w:r>
              <w:rPr>
                <w:spacing w:val="-5"/>
              </w:rPr>
              <w:t>637.0m</w:t>
            </w:r>
            <w:r>
              <w:rPr>
                <w:rFonts w:ascii="宋体" w:hAnsi="宋体" w:eastAsia="宋体" w:cs="宋体"/>
                <w:spacing w:val="-5"/>
              </w:rPr>
              <w:t>，洞身段长为</w:t>
            </w:r>
            <w:r>
              <w:rPr>
                <w:rFonts w:ascii="宋体" w:hAnsi="宋体" w:eastAsia="宋体" w:cs="宋体"/>
                <w:spacing w:val="-48"/>
              </w:rPr>
              <w:t xml:space="preserve"> </w:t>
            </w:r>
            <w:r>
              <w:rPr>
                <w:spacing w:val="-5"/>
              </w:rPr>
              <w:t>456.5m</w:t>
            </w:r>
            <w:r>
              <w:rPr>
                <w:rFonts w:ascii="宋体" w:hAnsi="宋体" w:eastAsia="宋体" w:cs="宋体"/>
                <w:spacing w:val="-5"/>
              </w:rPr>
              <w:t>。</w:t>
            </w:r>
          </w:p>
        </w:tc>
        <w:tc>
          <w:tcPr>
            <w:tcW w:w="3038" w:type="dxa"/>
            <w:vAlign w:val="top"/>
          </w:tcPr>
          <w:p w14:paraId="40BFCD9E">
            <w:pPr>
              <w:pStyle w:val="6"/>
              <w:spacing w:before="98" w:line="241" w:lineRule="auto"/>
              <w:ind w:left="61" w:right="9" w:firstLine="2"/>
              <w:jc w:val="both"/>
              <w:rPr>
                <w:rFonts w:ascii="宋体" w:hAnsi="宋体" w:eastAsia="宋体" w:cs="宋体"/>
              </w:rPr>
            </w:pPr>
            <w:r>
              <w:rPr>
                <w:rFonts w:ascii="宋体" w:hAnsi="宋体" w:eastAsia="宋体" w:cs="宋体"/>
                <w:spacing w:val="-2"/>
              </w:rPr>
              <w:t>泄洪放空隧洞布置在左岸，与导</w:t>
            </w:r>
            <w:r>
              <w:rPr>
                <w:rFonts w:ascii="宋体" w:hAnsi="宋体" w:eastAsia="宋体" w:cs="宋体"/>
                <w:spacing w:val="-3"/>
              </w:rPr>
              <w:t>流洞后段结合，全长</w:t>
            </w:r>
            <w:r>
              <w:rPr>
                <w:rFonts w:ascii="宋体" w:hAnsi="宋体" w:eastAsia="宋体" w:cs="宋体"/>
                <w:spacing w:val="-41"/>
              </w:rPr>
              <w:t xml:space="preserve"> </w:t>
            </w:r>
            <w:r>
              <w:rPr>
                <w:spacing w:val="-3"/>
              </w:rPr>
              <w:t>614.567m</w:t>
            </w:r>
            <w:r>
              <w:rPr>
                <w:rFonts w:ascii="宋体" w:hAnsi="宋体" w:eastAsia="宋体" w:cs="宋体"/>
                <w:spacing w:val="-3"/>
              </w:rPr>
              <w:t>。</w:t>
            </w:r>
            <w:r>
              <w:rPr>
                <w:rFonts w:ascii="宋体" w:hAnsi="宋体" w:eastAsia="宋体" w:cs="宋体"/>
                <w:spacing w:val="-9"/>
              </w:rPr>
              <w:t>最大下泄流量</w:t>
            </w:r>
            <w:r>
              <w:rPr>
                <w:rFonts w:ascii="宋体" w:hAnsi="宋体" w:eastAsia="宋体" w:cs="宋体"/>
                <w:spacing w:val="-35"/>
              </w:rPr>
              <w:t xml:space="preserve"> </w:t>
            </w:r>
            <w:r>
              <w:rPr>
                <w:spacing w:val="-9"/>
              </w:rPr>
              <w:t>211.8 m3/s</w:t>
            </w:r>
            <w:r>
              <w:rPr>
                <w:rFonts w:ascii="宋体" w:hAnsi="宋体" w:eastAsia="宋体" w:cs="宋体"/>
                <w:spacing w:val="-9"/>
              </w:rPr>
              <w:t>。洞身段</w:t>
            </w:r>
            <w:r>
              <w:rPr>
                <w:rFonts w:ascii="宋体" w:hAnsi="宋体" w:eastAsia="宋体" w:cs="宋体"/>
                <w:spacing w:val="-2"/>
              </w:rPr>
              <w:t>长</w:t>
            </w:r>
            <w:r>
              <w:rPr>
                <w:rFonts w:ascii="宋体" w:hAnsi="宋体" w:eastAsia="宋体" w:cs="宋体"/>
                <w:spacing w:val="-44"/>
              </w:rPr>
              <w:t xml:space="preserve"> </w:t>
            </w:r>
            <w:r>
              <w:rPr>
                <w:spacing w:val="-2"/>
              </w:rPr>
              <w:t>437.00m</w:t>
            </w:r>
            <w:r>
              <w:rPr>
                <w:rFonts w:ascii="宋体" w:hAnsi="宋体" w:eastAsia="宋体" w:cs="宋体"/>
                <w:spacing w:val="-2"/>
              </w:rPr>
              <w:t>。</w:t>
            </w:r>
          </w:p>
        </w:tc>
        <w:tc>
          <w:tcPr>
            <w:tcW w:w="1121" w:type="dxa"/>
            <w:tcBorders>
              <w:right w:val="single" w:color="000000" w:sz="12" w:space="0"/>
            </w:tcBorders>
            <w:vAlign w:val="top"/>
          </w:tcPr>
          <w:p w14:paraId="6D861C41">
            <w:pPr>
              <w:spacing w:line="433" w:lineRule="auto"/>
              <w:rPr>
                <w:rFonts w:ascii="Arial"/>
                <w:sz w:val="21"/>
              </w:rPr>
            </w:pPr>
          </w:p>
          <w:p w14:paraId="787A4146">
            <w:pPr>
              <w:spacing w:before="69"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60349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2" w:hRule="atLeast"/>
        </w:trPr>
        <w:tc>
          <w:tcPr>
            <w:tcW w:w="429" w:type="dxa"/>
            <w:vMerge w:val="continue"/>
            <w:tcBorders>
              <w:top w:val="nil"/>
              <w:left w:val="single" w:color="000000" w:sz="12" w:space="0"/>
            </w:tcBorders>
            <w:textDirection w:val="tbRlV"/>
            <w:vAlign w:val="top"/>
          </w:tcPr>
          <w:p w14:paraId="1B18151E">
            <w:pPr>
              <w:rPr>
                <w:rFonts w:ascii="Arial"/>
                <w:sz w:val="21"/>
              </w:rPr>
            </w:pPr>
          </w:p>
        </w:tc>
        <w:tc>
          <w:tcPr>
            <w:tcW w:w="849" w:type="dxa"/>
            <w:gridSpan w:val="2"/>
            <w:vAlign w:val="top"/>
          </w:tcPr>
          <w:p w14:paraId="4D0ECFCC">
            <w:pPr>
              <w:spacing w:line="354" w:lineRule="auto"/>
              <w:rPr>
                <w:rFonts w:ascii="Arial"/>
                <w:sz w:val="21"/>
              </w:rPr>
            </w:pPr>
          </w:p>
          <w:p w14:paraId="37BD4DC6">
            <w:pPr>
              <w:spacing w:line="355" w:lineRule="auto"/>
              <w:rPr>
                <w:rFonts w:ascii="Arial"/>
                <w:sz w:val="21"/>
              </w:rPr>
            </w:pPr>
          </w:p>
          <w:p w14:paraId="742F11E8">
            <w:pPr>
              <w:spacing w:before="68" w:line="242" w:lineRule="auto"/>
              <w:ind w:left="206" w:right="222" w:hanging="3"/>
              <w:rPr>
                <w:rFonts w:ascii="宋体" w:hAnsi="宋体" w:eastAsia="宋体" w:cs="宋体"/>
                <w:sz w:val="21"/>
                <w:szCs w:val="21"/>
              </w:rPr>
            </w:pPr>
            <w:r>
              <w:rPr>
                <w:rFonts w:ascii="宋体" w:hAnsi="宋体" w:eastAsia="宋体" w:cs="宋体"/>
                <w:spacing w:val="-4"/>
                <w:sz w:val="21"/>
                <w:szCs w:val="21"/>
              </w:rPr>
              <w:t>输水</w:t>
            </w:r>
            <w:r>
              <w:rPr>
                <w:rFonts w:ascii="宋体" w:hAnsi="宋体" w:eastAsia="宋体" w:cs="宋体"/>
                <w:spacing w:val="-6"/>
                <w:sz w:val="21"/>
                <w:szCs w:val="21"/>
              </w:rPr>
              <w:t>工程</w:t>
            </w:r>
          </w:p>
        </w:tc>
        <w:tc>
          <w:tcPr>
            <w:tcW w:w="3036" w:type="dxa"/>
            <w:vAlign w:val="top"/>
          </w:tcPr>
          <w:p w14:paraId="4553BF43">
            <w:pPr>
              <w:pStyle w:val="6"/>
              <w:spacing w:before="101"/>
              <w:ind w:left="42" w:right="51" w:firstLine="5"/>
              <w:rPr>
                <w:rFonts w:ascii="宋体" w:hAnsi="宋体" w:eastAsia="宋体" w:cs="宋体"/>
              </w:rPr>
            </w:pPr>
            <w:r>
              <w:rPr>
                <w:rFonts w:ascii="宋体" w:hAnsi="宋体" w:eastAsia="宋体" w:cs="宋体"/>
                <w:spacing w:val="-3"/>
              </w:rPr>
              <w:t xml:space="preserve">输水隧洞总长 </w:t>
            </w:r>
            <w:r>
              <w:rPr>
                <w:spacing w:val="-3"/>
              </w:rPr>
              <w:t>29.56km</w:t>
            </w:r>
            <w:r>
              <w:rPr>
                <w:spacing w:val="-20"/>
              </w:rPr>
              <w:t xml:space="preserve"> </w:t>
            </w:r>
            <w:r>
              <w:rPr>
                <w:rFonts w:ascii="宋体" w:hAnsi="宋体" w:eastAsia="宋体" w:cs="宋体"/>
                <w:spacing w:val="-3"/>
              </w:rPr>
              <w:t>，由进口</w:t>
            </w:r>
            <w:r>
              <w:rPr>
                <w:rFonts w:ascii="宋体" w:hAnsi="宋体" w:eastAsia="宋体" w:cs="宋体"/>
                <w:spacing w:val="-1"/>
              </w:rPr>
              <w:t>明渠段、有压段、竖井闸室段、洞内消能段、无压段、出口明渠</w:t>
            </w:r>
            <w:r>
              <w:rPr>
                <w:rFonts w:ascii="宋体" w:hAnsi="宋体" w:eastAsia="宋体" w:cs="宋体"/>
                <w:spacing w:val="11"/>
              </w:rPr>
              <w:t>段组成，</w:t>
            </w:r>
            <w:r>
              <w:rPr>
                <w:rFonts w:ascii="宋体" w:hAnsi="宋体" w:eastAsia="宋体" w:cs="宋体"/>
                <w:spacing w:val="-39"/>
              </w:rPr>
              <w:t xml:space="preserve"> </w:t>
            </w:r>
            <w:r>
              <w:rPr>
                <w:rFonts w:ascii="宋体" w:hAnsi="宋体" w:eastAsia="宋体" w:cs="宋体"/>
                <w:spacing w:val="11"/>
              </w:rPr>
              <w:t>最大输水流量为</w:t>
            </w:r>
            <w:r>
              <w:rPr>
                <w:rFonts w:ascii="宋体" w:hAnsi="宋体" w:eastAsia="宋体" w:cs="宋体"/>
                <w:spacing w:val="33"/>
              </w:rPr>
              <w:t xml:space="preserve"> </w:t>
            </w:r>
            <w:r>
              <w:rPr>
                <w:spacing w:val="11"/>
              </w:rPr>
              <w:t>5.8</w:t>
            </w:r>
            <w:r>
              <w:t xml:space="preserve"> m</w:t>
            </w:r>
            <w:r>
              <w:rPr>
                <w:position w:val="7"/>
                <w:sz w:val="14"/>
                <w:szCs w:val="14"/>
              </w:rPr>
              <w:t>3</w:t>
            </w:r>
            <w:r>
              <w:t>/s</w:t>
            </w:r>
            <w:r>
              <w:rPr>
                <w:spacing w:val="-18"/>
              </w:rPr>
              <w:t xml:space="preserve"> </w:t>
            </w:r>
            <w:r>
              <w:rPr>
                <w:rFonts w:ascii="宋体" w:hAnsi="宋体" w:eastAsia="宋体" w:cs="宋体"/>
              </w:rPr>
              <w:t>。竖井取水采取分层取水方</w:t>
            </w:r>
            <w:r>
              <w:rPr>
                <w:rFonts w:ascii="宋体" w:hAnsi="宋体" w:eastAsia="宋体" w:cs="宋体"/>
                <w:spacing w:val="24"/>
              </w:rPr>
              <w:t>式</w:t>
            </w:r>
            <w:r>
              <w:rPr>
                <w:rFonts w:ascii="宋体" w:hAnsi="宋体" w:eastAsia="宋体" w:cs="宋体"/>
                <w:spacing w:val="-35"/>
              </w:rPr>
              <w:t xml:space="preserve"> </w:t>
            </w:r>
            <w:r>
              <w:rPr>
                <w:rFonts w:ascii="宋体" w:hAnsi="宋体" w:eastAsia="宋体" w:cs="宋体"/>
                <w:spacing w:val="24"/>
              </w:rPr>
              <w:t>，</w:t>
            </w:r>
            <w:r>
              <w:rPr>
                <w:rFonts w:ascii="宋体" w:hAnsi="宋体" w:eastAsia="宋体" w:cs="宋体"/>
                <w:spacing w:val="-57"/>
              </w:rPr>
              <w:t xml:space="preserve"> </w:t>
            </w:r>
            <w:r>
              <w:rPr>
                <w:rFonts w:ascii="宋体" w:hAnsi="宋体" w:eastAsia="宋体" w:cs="宋体"/>
                <w:spacing w:val="24"/>
              </w:rPr>
              <w:t>取水口底板高程分别为</w:t>
            </w:r>
            <w:r>
              <w:rPr>
                <w:spacing w:val="-1"/>
              </w:rPr>
              <w:t>1911.50m</w:t>
            </w:r>
            <w:r>
              <w:rPr>
                <w:rFonts w:ascii="宋体" w:hAnsi="宋体" w:eastAsia="宋体" w:cs="宋体"/>
                <w:spacing w:val="-1"/>
              </w:rPr>
              <w:t>、</w:t>
            </w:r>
            <w:r>
              <w:rPr>
                <w:spacing w:val="-1"/>
              </w:rPr>
              <w:t>1924.50m</w:t>
            </w:r>
            <w:r>
              <w:rPr>
                <w:rFonts w:ascii="宋体" w:hAnsi="宋体" w:eastAsia="宋体" w:cs="宋体"/>
                <w:spacing w:val="-1"/>
              </w:rPr>
              <w:t>。</w:t>
            </w:r>
          </w:p>
        </w:tc>
        <w:tc>
          <w:tcPr>
            <w:tcW w:w="3038" w:type="dxa"/>
            <w:vAlign w:val="top"/>
          </w:tcPr>
          <w:p w14:paraId="039E16B1">
            <w:pPr>
              <w:pStyle w:val="6"/>
              <w:spacing w:before="103" w:line="239" w:lineRule="auto"/>
              <w:ind w:left="58" w:right="42"/>
              <w:rPr>
                <w:rFonts w:ascii="宋体" w:hAnsi="宋体" w:eastAsia="宋体" w:cs="宋体"/>
              </w:rPr>
            </w:pPr>
            <w:r>
              <w:rPr>
                <w:rFonts w:ascii="宋体" w:hAnsi="宋体" w:eastAsia="宋体" w:cs="宋体"/>
                <w:spacing w:val="-5"/>
              </w:rPr>
              <w:t>输水隧洞全长</w:t>
            </w:r>
            <w:r>
              <w:rPr>
                <w:rFonts w:ascii="宋体" w:hAnsi="宋体" w:eastAsia="宋体" w:cs="宋体"/>
                <w:spacing w:val="-37"/>
              </w:rPr>
              <w:t xml:space="preserve"> </w:t>
            </w:r>
            <w:r>
              <w:rPr>
                <w:spacing w:val="-5"/>
              </w:rPr>
              <w:t>29.623km</w:t>
            </w:r>
            <w:r>
              <w:rPr>
                <w:rFonts w:ascii="宋体" w:hAnsi="宋体" w:eastAsia="宋体" w:cs="宋体"/>
                <w:spacing w:val="-5"/>
              </w:rPr>
              <w:t>，由进口</w:t>
            </w:r>
            <w:r>
              <w:rPr>
                <w:rFonts w:ascii="宋体" w:hAnsi="宋体" w:eastAsia="宋体" w:cs="宋体"/>
                <w:spacing w:val="-1"/>
              </w:rPr>
              <w:t>明渠段、有压段、竖井闸室段、</w:t>
            </w:r>
            <w:r>
              <w:rPr>
                <w:rFonts w:ascii="宋体" w:hAnsi="宋体" w:eastAsia="宋体" w:cs="宋体"/>
                <w:spacing w:val="-13"/>
              </w:rPr>
              <w:t>无压段、出口明渠段组成，</w:t>
            </w:r>
            <w:r>
              <w:rPr>
                <w:rFonts w:ascii="宋体" w:hAnsi="宋体" w:eastAsia="宋体" w:cs="宋体"/>
                <w:spacing w:val="62"/>
              </w:rPr>
              <w:t xml:space="preserve"> </w:t>
            </w:r>
            <w:r>
              <w:rPr>
                <w:rFonts w:ascii="宋体" w:hAnsi="宋体" w:eastAsia="宋体" w:cs="宋体"/>
                <w:spacing w:val="-13"/>
              </w:rPr>
              <w:t>最大</w:t>
            </w:r>
            <w:r>
              <w:rPr>
                <w:rFonts w:ascii="宋体" w:hAnsi="宋体" w:eastAsia="宋体" w:cs="宋体"/>
                <w:spacing w:val="-5"/>
              </w:rPr>
              <w:t>输水流量为</w:t>
            </w:r>
            <w:r>
              <w:rPr>
                <w:rFonts w:ascii="宋体" w:hAnsi="宋体" w:eastAsia="宋体" w:cs="宋体"/>
                <w:spacing w:val="-36"/>
              </w:rPr>
              <w:t xml:space="preserve"> </w:t>
            </w:r>
            <w:r>
              <w:rPr>
                <w:spacing w:val="-5"/>
              </w:rPr>
              <w:t>5.4m</w:t>
            </w:r>
            <w:r>
              <w:rPr>
                <w:spacing w:val="-5"/>
                <w:position w:val="7"/>
                <w:sz w:val="14"/>
                <w:szCs w:val="14"/>
              </w:rPr>
              <w:t>3</w:t>
            </w:r>
            <w:r>
              <w:rPr>
                <w:spacing w:val="-5"/>
              </w:rPr>
              <w:t>/s</w:t>
            </w:r>
            <w:r>
              <w:rPr>
                <w:rFonts w:ascii="宋体" w:hAnsi="宋体" w:eastAsia="宋体" w:cs="宋体"/>
                <w:spacing w:val="-5"/>
              </w:rPr>
              <w:t>。隧洞进口设</w:t>
            </w:r>
            <w:r>
              <w:rPr>
                <w:rFonts w:ascii="宋体" w:hAnsi="宋体" w:eastAsia="宋体" w:cs="宋体"/>
                <w:spacing w:val="-1"/>
              </w:rPr>
              <w:t>置上层和底层进水口，上层进水</w:t>
            </w:r>
            <w:r>
              <w:rPr>
                <w:rFonts w:ascii="宋体" w:hAnsi="宋体" w:eastAsia="宋体" w:cs="宋体"/>
                <w:spacing w:val="-2"/>
              </w:rPr>
              <w:t xml:space="preserve">口底板高程 </w:t>
            </w:r>
            <w:r>
              <w:rPr>
                <w:spacing w:val="-2"/>
              </w:rPr>
              <w:t>1924.5m</w:t>
            </w:r>
            <w:r>
              <w:rPr>
                <w:rFonts w:ascii="宋体" w:hAnsi="宋体" w:eastAsia="宋体" w:cs="宋体"/>
                <w:spacing w:val="-2"/>
              </w:rPr>
              <w:t>、底层进水</w:t>
            </w:r>
          </w:p>
          <w:p w14:paraId="50E2F7EE">
            <w:pPr>
              <w:pStyle w:val="6"/>
              <w:spacing w:line="232" w:lineRule="auto"/>
              <w:ind w:left="92"/>
              <w:rPr>
                <w:rFonts w:ascii="宋体" w:hAnsi="宋体" w:eastAsia="宋体" w:cs="宋体"/>
              </w:rPr>
            </w:pPr>
            <w:r>
              <w:rPr>
                <w:rFonts w:ascii="宋体" w:hAnsi="宋体" w:eastAsia="宋体" w:cs="宋体"/>
                <w:spacing w:val="-5"/>
              </w:rPr>
              <w:t>口底板高程</w:t>
            </w:r>
            <w:r>
              <w:rPr>
                <w:rFonts w:ascii="宋体" w:hAnsi="宋体" w:eastAsia="宋体" w:cs="宋体"/>
                <w:spacing w:val="-28"/>
              </w:rPr>
              <w:t xml:space="preserve"> </w:t>
            </w:r>
            <w:r>
              <w:rPr>
                <w:spacing w:val="-5"/>
              </w:rPr>
              <w:t>1911.5m</w:t>
            </w:r>
            <w:r>
              <w:rPr>
                <w:rFonts w:ascii="宋体" w:hAnsi="宋体" w:eastAsia="宋体" w:cs="宋体"/>
                <w:spacing w:val="-5"/>
              </w:rPr>
              <w:t>。</w:t>
            </w:r>
          </w:p>
        </w:tc>
        <w:tc>
          <w:tcPr>
            <w:tcW w:w="1121" w:type="dxa"/>
            <w:tcBorders>
              <w:right w:val="single" w:color="000000" w:sz="12" w:space="0"/>
            </w:tcBorders>
            <w:vAlign w:val="top"/>
          </w:tcPr>
          <w:p w14:paraId="42285968">
            <w:pPr>
              <w:spacing w:line="354" w:lineRule="auto"/>
              <w:rPr>
                <w:rFonts w:ascii="Arial"/>
                <w:sz w:val="21"/>
              </w:rPr>
            </w:pPr>
          </w:p>
          <w:p w14:paraId="6AE4A67B">
            <w:pPr>
              <w:spacing w:line="354" w:lineRule="auto"/>
              <w:rPr>
                <w:rFonts w:ascii="Arial"/>
                <w:sz w:val="21"/>
              </w:rPr>
            </w:pPr>
          </w:p>
          <w:p w14:paraId="166E94D7">
            <w:pPr>
              <w:spacing w:before="68"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r w14:paraId="66A90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429" w:type="dxa"/>
            <w:vMerge w:val="restart"/>
            <w:tcBorders>
              <w:left w:val="single" w:color="000000" w:sz="12" w:space="0"/>
              <w:bottom w:val="nil"/>
            </w:tcBorders>
            <w:textDirection w:val="tbRlV"/>
            <w:vAlign w:val="top"/>
          </w:tcPr>
          <w:p w14:paraId="250E8BED">
            <w:pPr>
              <w:spacing w:before="111" w:line="209" w:lineRule="auto"/>
              <w:ind w:left="1523"/>
              <w:rPr>
                <w:rFonts w:ascii="宋体" w:hAnsi="宋体" w:eastAsia="宋体" w:cs="宋体"/>
                <w:sz w:val="21"/>
                <w:szCs w:val="21"/>
              </w:rPr>
            </w:pPr>
            <w:r>
              <w:rPr>
                <w:rFonts w:ascii="宋体" w:hAnsi="宋体" w:eastAsia="宋体" w:cs="宋体"/>
                <w:spacing w:val="52"/>
                <w:sz w:val="21"/>
                <w:szCs w:val="21"/>
              </w:rPr>
              <w:t>施工辅助工程</w:t>
            </w:r>
          </w:p>
        </w:tc>
        <w:tc>
          <w:tcPr>
            <w:tcW w:w="849" w:type="dxa"/>
            <w:gridSpan w:val="2"/>
            <w:vAlign w:val="top"/>
          </w:tcPr>
          <w:p w14:paraId="7B4F6FDA">
            <w:pPr>
              <w:spacing w:before="104" w:line="222" w:lineRule="auto"/>
              <w:ind w:left="210"/>
              <w:rPr>
                <w:rFonts w:ascii="宋体" w:hAnsi="宋体" w:eastAsia="宋体" w:cs="宋体"/>
                <w:sz w:val="21"/>
                <w:szCs w:val="21"/>
              </w:rPr>
            </w:pPr>
            <w:r>
              <w:rPr>
                <w:rFonts w:ascii="宋体" w:hAnsi="宋体" w:eastAsia="宋体" w:cs="宋体"/>
                <w:spacing w:val="-4"/>
                <w:sz w:val="21"/>
                <w:szCs w:val="21"/>
              </w:rPr>
              <w:t>导流</w:t>
            </w:r>
          </w:p>
          <w:p w14:paraId="6C6FD432">
            <w:pPr>
              <w:spacing w:before="19" w:line="220" w:lineRule="auto"/>
              <w:ind w:left="207"/>
              <w:rPr>
                <w:rFonts w:ascii="宋体" w:hAnsi="宋体" w:eastAsia="宋体" w:cs="宋体"/>
                <w:sz w:val="21"/>
                <w:szCs w:val="21"/>
              </w:rPr>
            </w:pPr>
            <w:r>
              <w:rPr>
                <w:rFonts w:ascii="宋体" w:hAnsi="宋体" w:eastAsia="宋体" w:cs="宋体"/>
                <w:spacing w:val="-3"/>
                <w:sz w:val="21"/>
                <w:szCs w:val="21"/>
              </w:rPr>
              <w:t>工程</w:t>
            </w:r>
          </w:p>
        </w:tc>
        <w:tc>
          <w:tcPr>
            <w:tcW w:w="3036" w:type="dxa"/>
            <w:vAlign w:val="top"/>
          </w:tcPr>
          <w:p w14:paraId="6C947F78">
            <w:pPr>
              <w:spacing w:before="103" w:line="241" w:lineRule="auto"/>
              <w:ind w:left="60" w:right="51" w:hanging="9"/>
              <w:rPr>
                <w:rFonts w:ascii="宋体" w:hAnsi="宋体" w:eastAsia="宋体" w:cs="宋体"/>
                <w:sz w:val="21"/>
                <w:szCs w:val="21"/>
              </w:rPr>
            </w:pPr>
            <w:r>
              <w:rPr>
                <w:rFonts w:ascii="宋体" w:hAnsi="宋体" w:eastAsia="宋体" w:cs="宋体"/>
                <w:spacing w:val="-2"/>
                <w:sz w:val="21"/>
                <w:szCs w:val="21"/>
              </w:rPr>
              <w:t>上游围堰、下游围堰，泄洪放空</w:t>
            </w:r>
            <w:r>
              <w:rPr>
                <w:rFonts w:ascii="宋体" w:hAnsi="宋体" w:eastAsia="宋体" w:cs="宋体"/>
                <w:spacing w:val="-4"/>
                <w:sz w:val="21"/>
                <w:szCs w:val="21"/>
              </w:rPr>
              <w:t>隧洞导流洞。</w:t>
            </w:r>
          </w:p>
        </w:tc>
        <w:tc>
          <w:tcPr>
            <w:tcW w:w="3038" w:type="dxa"/>
            <w:vAlign w:val="top"/>
          </w:tcPr>
          <w:p w14:paraId="123EAE10">
            <w:pPr>
              <w:spacing w:before="103" w:line="241" w:lineRule="auto"/>
              <w:ind w:left="71" w:right="42" w:hanging="9"/>
              <w:rPr>
                <w:rFonts w:ascii="宋体" w:hAnsi="宋体" w:eastAsia="宋体" w:cs="宋体"/>
                <w:sz w:val="21"/>
                <w:szCs w:val="21"/>
              </w:rPr>
            </w:pPr>
            <w:r>
              <w:rPr>
                <w:rFonts w:ascii="宋体" w:hAnsi="宋体" w:eastAsia="宋体" w:cs="宋体"/>
                <w:spacing w:val="-2"/>
                <w:sz w:val="21"/>
                <w:szCs w:val="21"/>
              </w:rPr>
              <w:t>上游围堰、下游围堰，泄洪放空</w:t>
            </w:r>
            <w:r>
              <w:rPr>
                <w:rFonts w:ascii="宋体" w:hAnsi="宋体" w:eastAsia="宋体" w:cs="宋体"/>
                <w:spacing w:val="-4"/>
                <w:sz w:val="21"/>
                <w:szCs w:val="21"/>
              </w:rPr>
              <w:t>隧洞导流洞。</w:t>
            </w:r>
          </w:p>
        </w:tc>
        <w:tc>
          <w:tcPr>
            <w:tcW w:w="1121" w:type="dxa"/>
            <w:tcBorders>
              <w:right w:val="single" w:color="000000" w:sz="12" w:space="0"/>
            </w:tcBorders>
            <w:vAlign w:val="top"/>
          </w:tcPr>
          <w:p w14:paraId="2FF27C1F">
            <w:pPr>
              <w:spacing w:before="240"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421C8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atLeast"/>
        </w:trPr>
        <w:tc>
          <w:tcPr>
            <w:tcW w:w="429" w:type="dxa"/>
            <w:vMerge w:val="continue"/>
            <w:tcBorders>
              <w:top w:val="nil"/>
              <w:left w:val="single" w:color="000000" w:sz="12" w:space="0"/>
              <w:bottom w:val="nil"/>
            </w:tcBorders>
            <w:textDirection w:val="tbRlV"/>
            <w:vAlign w:val="top"/>
          </w:tcPr>
          <w:p w14:paraId="1CB6D5DA">
            <w:pPr>
              <w:rPr>
                <w:rFonts w:ascii="Arial"/>
                <w:sz w:val="21"/>
              </w:rPr>
            </w:pPr>
          </w:p>
        </w:tc>
        <w:tc>
          <w:tcPr>
            <w:tcW w:w="849" w:type="dxa"/>
            <w:gridSpan w:val="2"/>
            <w:vAlign w:val="top"/>
          </w:tcPr>
          <w:p w14:paraId="0CF80902">
            <w:pPr>
              <w:spacing w:line="283" w:lineRule="auto"/>
              <w:rPr>
                <w:rFonts w:ascii="Arial"/>
                <w:sz w:val="21"/>
              </w:rPr>
            </w:pPr>
          </w:p>
          <w:p w14:paraId="00C80A3E">
            <w:pPr>
              <w:spacing w:line="283" w:lineRule="auto"/>
              <w:rPr>
                <w:rFonts w:ascii="Arial"/>
                <w:sz w:val="21"/>
              </w:rPr>
            </w:pPr>
          </w:p>
          <w:p w14:paraId="31CF4DA7">
            <w:pPr>
              <w:spacing w:line="284" w:lineRule="auto"/>
              <w:rPr>
                <w:rFonts w:ascii="Arial"/>
                <w:sz w:val="21"/>
              </w:rPr>
            </w:pPr>
          </w:p>
          <w:p w14:paraId="1AFB9496">
            <w:pPr>
              <w:spacing w:before="68" w:line="241" w:lineRule="auto"/>
              <w:ind w:left="102" w:right="116" w:hanging="3"/>
              <w:jc w:val="both"/>
              <w:rPr>
                <w:rFonts w:ascii="宋体" w:hAnsi="宋体" w:eastAsia="宋体" w:cs="宋体"/>
                <w:sz w:val="21"/>
                <w:szCs w:val="21"/>
              </w:rPr>
            </w:pPr>
            <w:r>
              <w:rPr>
                <w:rFonts w:ascii="宋体" w:hAnsi="宋体" w:eastAsia="宋体" w:cs="宋体"/>
                <w:spacing w:val="-3"/>
                <w:sz w:val="21"/>
                <w:szCs w:val="21"/>
              </w:rPr>
              <w:t>施工分</w:t>
            </w:r>
            <w:r>
              <w:rPr>
                <w:rFonts w:ascii="宋体" w:hAnsi="宋体" w:eastAsia="宋体" w:cs="宋体"/>
                <w:spacing w:val="-4"/>
                <w:sz w:val="21"/>
                <w:szCs w:val="21"/>
              </w:rPr>
              <w:t>区及施工辅企</w:t>
            </w:r>
          </w:p>
        </w:tc>
        <w:tc>
          <w:tcPr>
            <w:tcW w:w="3036" w:type="dxa"/>
            <w:vAlign w:val="top"/>
          </w:tcPr>
          <w:p w14:paraId="094CAF4B">
            <w:pPr>
              <w:pStyle w:val="6"/>
              <w:spacing w:before="107" w:line="239" w:lineRule="auto"/>
              <w:ind w:left="48" w:right="51" w:firstLine="3"/>
              <w:rPr>
                <w:rFonts w:ascii="宋体" w:hAnsi="宋体" w:eastAsia="宋体" w:cs="宋体"/>
              </w:rPr>
            </w:pPr>
            <w:r>
              <w:rPr>
                <w:rFonts w:ascii="宋体" w:hAnsi="宋体" w:eastAsia="宋体" w:cs="宋体"/>
                <w:spacing w:val="-7"/>
              </w:rPr>
              <w:t>大坝施工区、象山</w:t>
            </w:r>
            <w:r>
              <w:rPr>
                <w:rFonts w:ascii="宋体" w:hAnsi="宋体" w:eastAsia="宋体" w:cs="宋体"/>
                <w:spacing w:val="-19"/>
              </w:rPr>
              <w:t xml:space="preserve"> </w:t>
            </w:r>
            <w:r>
              <w:rPr>
                <w:spacing w:val="-7"/>
              </w:rPr>
              <w:t>1#</w:t>
            </w:r>
            <w:r>
              <w:rPr>
                <w:rFonts w:ascii="宋体" w:hAnsi="宋体" w:eastAsia="宋体" w:cs="宋体"/>
                <w:spacing w:val="-7"/>
              </w:rPr>
              <w:t>石料场施工</w:t>
            </w:r>
            <w:r>
              <w:rPr>
                <w:rFonts w:ascii="宋体" w:hAnsi="宋体" w:eastAsia="宋体" w:cs="宋体"/>
                <w:spacing w:val="-2"/>
              </w:rPr>
              <w:t>区、</w:t>
            </w:r>
            <w:r>
              <w:rPr>
                <w:spacing w:val="-2"/>
              </w:rPr>
              <w:t>1#~11#</w:t>
            </w:r>
            <w:r>
              <w:rPr>
                <w:rFonts w:ascii="宋体" w:hAnsi="宋体" w:eastAsia="宋体" w:cs="宋体"/>
                <w:spacing w:val="-2"/>
              </w:rPr>
              <w:t>支洞施工区、隧洞出</w:t>
            </w:r>
            <w:r>
              <w:rPr>
                <w:rFonts w:ascii="宋体" w:hAnsi="宋体" w:eastAsia="宋体" w:cs="宋体"/>
                <w:spacing w:val="-7"/>
              </w:rPr>
              <w:t>口施工区；象山</w:t>
            </w:r>
            <w:r>
              <w:rPr>
                <w:rFonts w:ascii="宋体" w:hAnsi="宋体" w:eastAsia="宋体" w:cs="宋体"/>
                <w:spacing w:val="-16"/>
              </w:rPr>
              <w:t xml:space="preserve"> </w:t>
            </w:r>
            <w:r>
              <w:rPr>
                <w:spacing w:val="-7"/>
              </w:rPr>
              <w:t>1#</w:t>
            </w:r>
            <w:r>
              <w:rPr>
                <w:rFonts w:ascii="宋体" w:hAnsi="宋体" w:eastAsia="宋体" w:cs="宋体"/>
                <w:spacing w:val="-7"/>
              </w:rPr>
              <w:t>石料场砂石骨</w:t>
            </w:r>
            <w:r>
              <w:rPr>
                <w:rFonts w:ascii="宋体" w:hAnsi="宋体" w:eastAsia="宋体" w:cs="宋体"/>
                <w:spacing w:val="-2"/>
              </w:rPr>
              <w:t>料加工系统、新发村砂石骨料加工系统、混凝土拌和系统、钢木加工厂、骨料堆放场、钢筋堆放场、木材堆放场、工地试验室、施工机械停放场、水泥库、工具</w:t>
            </w:r>
            <w:r>
              <w:rPr>
                <w:rFonts w:ascii="宋体" w:hAnsi="宋体" w:eastAsia="宋体" w:cs="宋体"/>
                <w:spacing w:val="-3"/>
              </w:rPr>
              <w:t>和材料仓库以及综合仓库等。</w:t>
            </w:r>
          </w:p>
        </w:tc>
        <w:tc>
          <w:tcPr>
            <w:tcW w:w="3038" w:type="dxa"/>
            <w:vAlign w:val="top"/>
          </w:tcPr>
          <w:p w14:paraId="3D3419B0">
            <w:pPr>
              <w:pStyle w:val="6"/>
              <w:spacing w:before="107" w:line="239" w:lineRule="auto"/>
              <w:ind w:left="58" w:right="42" w:firstLine="4"/>
              <w:rPr>
                <w:rFonts w:ascii="宋体" w:hAnsi="宋体" w:eastAsia="宋体" w:cs="宋体"/>
              </w:rPr>
            </w:pPr>
            <w:r>
              <w:rPr>
                <w:rFonts w:ascii="宋体" w:hAnsi="宋体" w:eastAsia="宋体" w:cs="宋体"/>
                <w:spacing w:val="-7"/>
              </w:rPr>
              <w:t>大坝施工区、象山</w:t>
            </w:r>
            <w:r>
              <w:rPr>
                <w:rFonts w:ascii="宋体" w:hAnsi="宋体" w:eastAsia="宋体" w:cs="宋体"/>
                <w:spacing w:val="-19"/>
              </w:rPr>
              <w:t xml:space="preserve"> </w:t>
            </w:r>
            <w:r>
              <w:rPr>
                <w:spacing w:val="-7"/>
              </w:rPr>
              <w:t>1#</w:t>
            </w:r>
            <w:r>
              <w:rPr>
                <w:rFonts w:ascii="宋体" w:hAnsi="宋体" w:eastAsia="宋体" w:cs="宋体"/>
                <w:spacing w:val="-7"/>
              </w:rPr>
              <w:t>石料场施工</w:t>
            </w:r>
            <w:r>
              <w:rPr>
                <w:rFonts w:ascii="宋体" w:hAnsi="宋体" w:eastAsia="宋体" w:cs="宋体"/>
                <w:spacing w:val="-2"/>
              </w:rPr>
              <w:t>区、</w:t>
            </w:r>
            <w:r>
              <w:rPr>
                <w:spacing w:val="-2"/>
              </w:rPr>
              <w:t>1#~11#</w:t>
            </w:r>
            <w:r>
              <w:rPr>
                <w:rFonts w:ascii="宋体" w:hAnsi="宋体" w:eastAsia="宋体" w:cs="宋体"/>
                <w:spacing w:val="-2"/>
              </w:rPr>
              <w:t>支洞施工区、隧洞出</w:t>
            </w:r>
            <w:r>
              <w:rPr>
                <w:rFonts w:ascii="宋体" w:hAnsi="宋体" w:eastAsia="宋体" w:cs="宋体"/>
                <w:spacing w:val="-7"/>
              </w:rPr>
              <w:t>口施工区；象山</w:t>
            </w:r>
            <w:r>
              <w:rPr>
                <w:rFonts w:ascii="宋体" w:hAnsi="宋体" w:eastAsia="宋体" w:cs="宋体"/>
                <w:spacing w:val="-15"/>
              </w:rPr>
              <w:t xml:space="preserve"> </w:t>
            </w:r>
            <w:r>
              <w:rPr>
                <w:spacing w:val="-7"/>
              </w:rPr>
              <w:t>1#</w:t>
            </w:r>
            <w:r>
              <w:rPr>
                <w:rFonts w:ascii="宋体" w:hAnsi="宋体" w:eastAsia="宋体" w:cs="宋体"/>
                <w:spacing w:val="-7"/>
              </w:rPr>
              <w:t>石料场砂石骨</w:t>
            </w:r>
            <w:r>
              <w:rPr>
                <w:rFonts w:ascii="宋体" w:hAnsi="宋体" w:eastAsia="宋体" w:cs="宋体"/>
                <w:spacing w:val="-1"/>
              </w:rPr>
              <w:t>料加工系统、混凝土拌和系统、钢木加工厂、骨料堆放场、钢筋堆放场、木材堆放场、工地试验</w:t>
            </w:r>
            <w:r>
              <w:rPr>
                <w:rFonts w:ascii="宋体" w:hAnsi="宋体" w:eastAsia="宋体" w:cs="宋体"/>
                <w:spacing w:val="-3"/>
              </w:rPr>
              <w:t>室、施工机械停放场、水泥库、</w:t>
            </w:r>
            <w:r>
              <w:rPr>
                <w:rFonts w:ascii="宋体" w:hAnsi="宋体" w:eastAsia="宋体" w:cs="宋体"/>
                <w:spacing w:val="15"/>
              </w:rPr>
              <w:t>工具和材料仓库以及综合仓库</w:t>
            </w:r>
            <w:r>
              <w:rPr>
                <w:rFonts w:ascii="宋体" w:hAnsi="宋体" w:eastAsia="宋体" w:cs="宋体"/>
                <w:spacing w:val="-10"/>
              </w:rPr>
              <w:t>等。</w:t>
            </w:r>
          </w:p>
        </w:tc>
        <w:tc>
          <w:tcPr>
            <w:tcW w:w="1121" w:type="dxa"/>
            <w:tcBorders>
              <w:right w:val="single" w:color="000000" w:sz="12" w:space="0"/>
            </w:tcBorders>
            <w:vAlign w:val="top"/>
          </w:tcPr>
          <w:p w14:paraId="7D8D0BCE">
            <w:pPr>
              <w:spacing w:line="245" w:lineRule="auto"/>
              <w:rPr>
                <w:rFonts w:ascii="Arial"/>
                <w:sz w:val="21"/>
              </w:rPr>
            </w:pPr>
          </w:p>
          <w:p w14:paraId="1BD64829">
            <w:pPr>
              <w:spacing w:line="246" w:lineRule="auto"/>
              <w:rPr>
                <w:rFonts w:ascii="Arial"/>
                <w:sz w:val="21"/>
              </w:rPr>
            </w:pPr>
          </w:p>
          <w:p w14:paraId="0CD2D82B">
            <w:pPr>
              <w:spacing w:line="246" w:lineRule="auto"/>
              <w:rPr>
                <w:rFonts w:ascii="Arial"/>
                <w:sz w:val="21"/>
              </w:rPr>
            </w:pPr>
          </w:p>
          <w:p w14:paraId="06C37F2E">
            <w:pPr>
              <w:spacing w:line="246" w:lineRule="auto"/>
              <w:rPr>
                <w:rFonts w:ascii="Arial"/>
                <w:sz w:val="21"/>
              </w:rPr>
            </w:pPr>
          </w:p>
          <w:p w14:paraId="273F8D1C">
            <w:pPr>
              <w:spacing w:before="68"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r w14:paraId="1C553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429" w:type="dxa"/>
            <w:vMerge w:val="continue"/>
            <w:tcBorders>
              <w:top w:val="nil"/>
              <w:left w:val="single" w:color="000000" w:sz="12" w:space="0"/>
              <w:bottom w:val="nil"/>
            </w:tcBorders>
            <w:textDirection w:val="tbRlV"/>
            <w:vAlign w:val="top"/>
          </w:tcPr>
          <w:p w14:paraId="49AAA096">
            <w:pPr>
              <w:rPr>
                <w:rFonts w:ascii="Arial"/>
                <w:sz w:val="21"/>
              </w:rPr>
            </w:pPr>
          </w:p>
        </w:tc>
        <w:tc>
          <w:tcPr>
            <w:tcW w:w="849" w:type="dxa"/>
            <w:gridSpan w:val="2"/>
            <w:vAlign w:val="top"/>
          </w:tcPr>
          <w:p w14:paraId="2AD5D8A4">
            <w:pPr>
              <w:spacing w:before="112" w:line="222" w:lineRule="auto"/>
              <w:ind w:left="99"/>
              <w:rPr>
                <w:rFonts w:ascii="宋体" w:hAnsi="宋体" w:eastAsia="宋体" w:cs="宋体"/>
                <w:sz w:val="21"/>
                <w:szCs w:val="21"/>
              </w:rPr>
            </w:pPr>
            <w:r>
              <w:rPr>
                <w:rFonts w:ascii="宋体" w:hAnsi="宋体" w:eastAsia="宋体" w:cs="宋体"/>
                <w:spacing w:val="-2"/>
                <w:sz w:val="21"/>
                <w:szCs w:val="21"/>
              </w:rPr>
              <w:t>施工生</w:t>
            </w:r>
          </w:p>
          <w:p w14:paraId="512C5E4B">
            <w:pPr>
              <w:spacing w:before="19" w:line="220" w:lineRule="auto"/>
              <w:ind w:left="103"/>
              <w:rPr>
                <w:rFonts w:ascii="宋体" w:hAnsi="宋体" w:eastAsia="宋体" w:cs="宋体"/>
                <w:sz w:val="21"/>
                <w:szCs w:val="21"/>
              </w:rPr>
            </w:pPr>
            <w:r>
              <w:rPr>
                <w:rFonts w:ascii="宋体" w:hAnsi="宋体" w:eastAsia="宋体" w:cs="宋体"/>
                <w:spacing w:val="-3"/>
                <w:sz w:val="21"/>
                <w:szCs w:val="21"/>
              </w:rPr>
              <w:t>活营地</w:t>
            </w:r>
          </w:p>
        </w:tc>
        <w:tc>
          <w:tcPr>
            <w:tcW w:w="3036" w:type="dxa"/>
            <w:vAlign w:val="top"/>
          </w:tcPr>
          <w:p w14:paraId="58D3E9FF">
            <w:pPr>
              <w:pStyle w:val="6"/>
              <w:spacing w:before="112" w:line="237" w:lineRule="auto"/>
              <w:ind w:left="51" w:right="51" w:hanging="3"/>
              <w:rPr>
                <w:rFonts w:ascii="宋体" w:hAnsi="宋体" w:eastAsia="宋体" w:cs="宋体"/>
              </w:rPr>
            </w:pPr>
            <w:r>
              <w:rPr>
                <w:rFonts w:ascii="宋体" w:hAnsi="宋体" w:eastAsia="宋体" w:cs="宋体"/>
                <w:spacing w:val="-3"/>
              </w:rPr>
              <w:t>枢纽工程</w:t>
            </w:r>
            <w:r>
              <w:rPr>
                <w:rFonts w:ascii="宋体" w:hAnsi="宋体" w:eastAsia="宋体" w:cs="宋体"/>
                <w:spacing w:val="-23"/>
              </w:rPr>
              <w:t xml:space="preserve"> </w:t>
            </w:r>
            <w:r>
              <w:rPr>
                <w:spacing w:val="-3"/>
              </w:rPr>
              <w:t xml:space="preserve">1 </w:t>
            </w:r>
            <w:r>
              <w:rPr>
                <w:rFonts w:ascii="宋体" w:hAnsi="宋体" w:eastAsia="宋体" w:cs="宋体"/>
                <w:spacing w:val="-3"/>
              </w:rPr>
              <w:t>个施工生活营地；输</w:t>
            </w:r>
            <w:r>
              <w:rPr>
                <w:rFonts w:ascii="宋体" w:hAnsi="宋体" w:eastAsia="宋体" w:cs="宋体"/>
                <w:spacing w:val="-5"/>
              </w:rPr>
              <w:t>水工程</w:t>
            </w:r>
            <w:r>
              <w:rPr>
                <w:rFonts w:ascii="宋体" w:hAnsi="宋体" w:eastAsia="宋体" w:cs="宋体"/>
                <w:spacing w:val="-21"/>
              </w:rPr>
              <w:t xml:space="preserve"> </w:t>
            </w:r>
            <w:r>
              <w:rPr>
                <w:spacing w:val="-5"/>
              </w:rPr>
              <w:t xml:space="preserve">12 </w:t>
            </w:r>
            <w:r>
              <w:rPr>
                <w:rFonts w:ascii="宋体" w:hAnsi="宋体" w:eastAsia="宋体" w:cs="宋体"/>
                <w:spacing w:val="-5"/>
              </w:rPr>
              <w:t>个施工生活营地。</w:t>
            </w:r>
          </w:p>
        </w:tc>
        <w:tc>
          <w:tcPr>
            <w:tcW w:w="3038" w:type="dxa"/>
            <w:vAlign w:val="top"/>
          </w:tcPr>
          <w:p w14:paraId="7B0A2E52">
            <w:pPr>
              <w:pStyle w:val="6"/>
              <w:spacing w:before="112" w:line="237" w:lineRule="auto"/>
              <w:ind w:left="62" w:right="42" w:hanging="3"/>
              <w:rPr>
                <w:rFonts w:ascii="宋体" w:hAnsi="宋体" w:eastAsia="宋体" w:cs="宋体"/>
              </w:rPr>
            </w:pPr>
            <w:r>
              <w:rPr>
                <w:rFonts w:ascii="宋体" w:hAnsi="宋体" w:eastAsia="宋体" w:cs="宋体"/>
                <w:spacing w:val="-3"/>
              </w:rPr>
              <w:t>枢纽工程</w:t>
            </w:r>
            <w:r>
              <w:rPr>
                <w:rFonts w:ascii="宋体" w:hAnsi="宋体" w:eastAsia="宋体" w:cs="宋体"/>
                <w:spacing w:val="-23"/>
              </w:rPr>
              <w:t xml:space="preserve"> </w:t>
            </w:r>
            <w:r>
              <w:rPr>
                <w:spacing w:val="-3"/>
              </w:rPr>
              <w:t xml:space="preserve">1 </w:t>
            </w:r>
            <w:r>
              <w:rPr>
                <w:rFonts w:ascii="宋体" w:hAnsi="宋体" w:eastAsia="宋体" w:cs="宋体"/>
                <w:spacing w:val="-3"/>
              </w:rPr>
              <w:t>个施工生活营地；输</w:t>
            </w:r>
            <w:r>
              <w:rPr>
                <w:rFonts w:ascii="宋体" w:hAnsi="宋体" w:eastAsia="宋体" w:cs="宋体"/>
                <w:spacing w:val="-5"/>
              </w:rPr>
              <w:t>水工程</w:t>
            </w:r>
            <w:r>
              <w:rPr>
                <w:rFonts w:ascii="宋体" w:hAnsi="宋体" w:eastAsia="宋体" w:cs="宋体"/>
                <w:spacing w:val="-21"/>
              </w:rPr>
              <w:t xml:space="preserve"> </w:t>
            </w:r>
            <w:r>
              <w:rPr>
                <w:spacing w:val="-5"/>
              </w:rPr>
              <w:t xml:space="preserve">12 </w:t>
            </w:r>
            <w:r>
              <w:rPr>
                <w:rFonts w:ascii="宋体" w:hAnsi="宋体" w:eastAsia="宋体" w:cs="宋体"/>
                <w:spacing w:val="-5"/>
              </w:rPr>
              <w:t>个施工生活营地。</w:t>
            </w:r>
          </w:p>
        </w:tc>
        <w:tc>
          <w:tcPr>
            <w:tcW w:w="1121" w:type="dxa"/>
            <w:tcBorders>
              <w:right w:val="single" w:color="000000" w:sz="12" w:space="0"/>
            </w:tcBorders>
            <w:vAlign w:val="top"/>
          </w:tcPr>
          <w:p w14:paraId="5C41DD90">
            <w:pPr>
              <w:spacing w:before="248"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4EBCB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429" w:type="dxa"/>
            <w:vMerge w:val="continue"/>
            <w:tcBorders>
              <w:top w:val="nil"/>
              <w:left w:val="single" w:color="000000" w:sz="12" w:space="0"/>
              <w:bottom w:val="single" w:color="000000" w:sz="12" w:space="0"/>
            </w:tcBorders>
            <w:textDirection w:val="tbRlV"/>
            <w:vAlign w:val="top"/>
          </w:tcPr>
          <w:p w14:paraId="6E1443F8">
            <w:pPr>
              <w:rPr>
                <w:rFonts w:ascii="Arial"/>
                <w:sz w:val="21"/>
              </w:rPr>
            </w:pPr>
          </w:p>
        </w:tc>
        <w:tc>
          <w:tcPr>
            <w:tcW w:w="849" w:type="dxa"/>
            <w:gridSpan w:val="2"/>
            <w:tcBorders>
              <w:bottom w:val="single" w:color="000000" w:sz="12" w:space="0"/>
            </w:tcBorders>
            <w:vAlign w:val="top"/>
          </w:tcPr>
          <w:p w14:paraId="0F5C058B">
            <w:pPr>
              <w:spacing w:before="113" w:line="220" w:lineRule="auto"/>
              <w:ind w:left="203"/>
              <w:rPr>
                <w:rFonts w:ascii="宋体" w:hAnsi="宋体" w:eastAsia="宋体" w:cs="宋体"/>
                <w:sz w:val="21"/>
                <w:szCs w:val="21"/>
              </w:rPr>
            </w:pPr>
            <w:r>
              <w:rPr>
                <w:rFonts w:ascii="宋体" w:hAnsi="宋体" w:eastAsia="宋体" w:cs="宋体"/>
                <w:spacing w:val="-2"/>
                <w:sz w:val="21"/>
                <w:szCs w:val="21"/>
              </w:rPr>
              <w:t>场内</w:t>
            </w:r>
          </w:p>
          <w:p w14:paraId="3682EBF5">
            <w:pPr>
              <w:spacing w:before="22" w:line="221" w:lineRule="auto"/>
              <w:ind w:left="208"/>
              <w:rPr>
                <w:rFonts w:ascii="宋体" w:hAnsi="宋体" w:eastAsia="宋体" w:cs="宋体"/>
                <w:sz w:val="21"/>
                <w:szCs w:val="21"/>
              </w:rPr>
            </w:pPr>
            <w:r>
              <w:rPr>
                <w:rFonts w:ascii="宋体" w:hAnsi="宋体" w:eastAsia="宋体" w:cs="宋体"/>
                <w:spacing w:val="-4"/>
                <w:sz w:val="21"/>
                <w:szCs w:val="21"/>
              </w:rPr>
              <w:t>交通</w:t>
            </w:r>
          </w:p>
        </w:tc>
        <w:tc>
          <w:tcPr>
            <w:tcW w:w="3036" w:type="dxa"/>
            <w:tcBorders>
              <w:bottom w:val="single" w:color="000000" w:sz="12" w:space="0"/>
            </w:tcBorders>
            <w:vAlign w:val="top"/>
          </w:tcPr>
          <w:p w14:paraId="63C238A2">
            <w:pPr>
              <w:pStyle w:val="6"/>
              <w:spacing w:before="114"/>
              <w:ind w:left="60" w:right="50" w:hanging="12"/>
              <w:rPr>
                <w:rFonts w:ascii="宋体" w:hAnsi="宋体" w:eastAsia="宋体" w:cs="宋体"/>
              </w:rPr>
            </w:pPr>
            <w:r>
              <w:rPr>
                <w:rFonts w:ascii="宋体" w:hAnsi="宋体" w:eastAsia="宋体" w:cs="宋体"/>
                <w:spacing w:val="-2"/>
              </w:rPr>
              <w:t>枢纽工程新建、改扩建</w:t>
            </w:r>
            <w:r>
              <w:rPr>
                <w:rFonts w:ascii="宋体" w:hAnsi="宋体" w:eastAsia="宋体" w:cs="宋体"/>
                <w:spacing w:val="-37"/>
              </w:rPr>
              <w:t xml:space="preserve"> </w:t>
            </w:r>
            <w:r>
              <w:rPr>
                <w:spacing w:val="-2"/>
              </w:rPr>
              <w:t xml:space="preserve">9 </w:t>
            </w:r>
            <w:r>
              <w:rPr>
                <w:rFonts w:ascii="宋体" w:hAnsi="宋体" w:eastAsia="宋体" w:cs="宋体"/>
                <w:spacing w:val="-2"/>
              </w:rPr>
              <w:t>条场内</w:t>
            </w:r>
            <w:r>
              <w:rPr>
                <w:rFonts w:ascii="宋体" w:hAnsi="宋体" w:eastAsia="宋体" w:cs="宋体"/>
                <w:spacing w:val="-7"/>
              </w:rPr>
              <w:t>临时道路，总长</w:t>
            </w:r>
            <w:r>
              <w:rPr>
                <w:rFonts w:ascii="宋体" w:hAnsi="宋体" w:eastAsia="宋体" w:cs="宋体"/>
                <w:spacing w:val="-17"/>
              </w:rPr>
              <w:t xml:space="preserve"> </w:t>
            </w:r>
            <w:r>
              <w:rPr>
                <w:spacing w:val="-7"/>
              </w:rPr>
              <w:t>10.9km</w:t>
            </w:r>
            <w:r>
              <w:rPr>
                <w:rFonts w:ascii="宋体" w:hAnsi="宋体" w:eastAsia="宋体" w:cs="宋体"/>
                <w:spacing w:val="-7"/>
              </w:rPr>
              <w:t>；输水隧</w:t>
            </w:r>
          </w:p>
        </w:tc>
        <w:tc>
          <w:tcPr>
            <w:tcW w:w="3038" w:type="dxa"/>
            <w:tcBorders>
              <w:bottom w:val="single" w:color="000000" w:sz="12" w:space="0"/>
            </w:tcBorders>
            <w:vAlign w:val="top"/>
          </w:tcPr>
          <w:p w14:paraId="056E08E7">
            <w:pPr>
              <w:pStyle w:val="6"/>
              <w:spacing w:before="114"/>
              <w:ind w:left="61" w:right="42"/>
              <w:rPr>
                <w:rFonts w:ascii="宋体" w:hAnsi="宋体" w:eastAsia="宋体" w:cs="宋体"/>
              </w:rPr>
            </w:pPr>
            <w:r>
              <w:rPr>
                <w:rFonts w:ascii="宋体" w:hAnsi="宋体" w:eastAsia="宋体" w:cs="宋体"/>
                <w:spacing w:val="-2"/>
              </w:rPr>
              <w:t xml:space="preserve">新建、改扩建 </w:t>
            </w:r>
            <w:r>
              <w:rPr>
                <w:spacing w:val="-2"/>
              </w:rPr>
              <w:t>10</w:t>
            </w:r>
            <w:r>
              <w:rPr>
                <w:spacing w:val="6"/>
              </w:rPr>
              <w:t xml:space="preserve">  </w:t>
            </w:r>
            <w:r>
              <w:rPr>
                <w:rFonts w:ascii="宋体" w:hAnsi="宋体" w:eastAsia="宋体" w:cs="宋体"/>
                <w:spacing w:val="-2"/>
              </w:rPr>
              <w:t>条场内临时道路；输水隧洞新建</w:t>
            </w:r>
            <w:r>
              <w:rPr>
                <w:rFonts w:ascii="宋体" w:hAnsi="宋体" w:eastAsia="宋体" w:cs="宋体"/>
                <w:spacing w:val="-41"/>
              </w:rPr>
              <w:t xml:space="preserve"> </w:t>
            </w:r>
            <w:r>
              <w:rPr>
                <w:spacing w:val="-2"/>
              </w:rPr>
              <w:t xml:space="preserve">7 </w:t>
            </w:r>
            <w:r>
              <w:rPr>
                <w:rFonts w:ascii="宋体" w:hAnsi="宋体" w:eastAsia="宋体" w:cs="宋体"/>
                <w:spacing w:val="-2"/>
              </w:rPr>
              <w:t>条场内临时</w:t>
            </w:r>
          </w:p>
        </w:tc>
        <w:tc>
          <w:tcPr>
            <w:tcW w:w="1121" w:type="dxa"/>
            <w:tcBorders>
              <w:bottom w:val="single" w:color="000000" w:sz="12" w:space="0"/>
              <w:right w:val="single" w:color="000000" w:sz="12" w:space="0"/>
            </w:tcBorders>
            <w:vAlign w:val="top"/>
          </w:tcPr>
          <w:p w14:paraId="7B924A57">
            <w:pPr>
              <w:spacing w:before="113" w:line="219" w:lineRule="auto"/>
              <w:ind w:left="150"/>
              <w:rPr>
                <w:rFonts w:ascii="宋体" w:hAnsi="宋体" w:eastAsia="宋体" w:cs="宋体"/>
                <w:sz w:val="21"/>
                <w:szCs w:val="21"/>
              </w:rPr>
            </w:pPr>
            <w:r>
              <w:rPr>
                <w:rFonts w:ascii="宋体" w:hAnsi="宋体" w:eastAsia="宋体" w:cs="宋体"/>
                <w:spacing w:val="-3"/>
                <w:sz w:val="21"/>
                <w:szCs w:val="21"/>
              </w:rPr>
              <w:t>基本一致</w:t>
            </w:r>
          </w:p>
          <w:p w14:paraId="2BCBF60C">
            <w:pPr>
              <w:spacing w:before="22"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bl>
    <w:p w14:paraId="0511E949">
      <w:pPr>
        <w:rPr>
          <w:rFonts w:ascii="Arial"/>
          <w:sz w:val="21"/>
        </w:rPr>
      </w:pPr>
    </w:p>
    <w:p w14:paraId="1BEB102C">
      <w:pPr>
        <w:rPr>
          <w:rFonts w:ascii="Arial" w:hAnsi="Arial" w:eastAsia="Arial" w:cs="Arial"/>
          <w:sz w:val="21"/>
          <w:szCs w:val="21"/>
        </w:rPr>
        <w:sectPr>
          <w:headerReference r:id="rId32" w:type="default"/>
          <w:footerReference r:id="rId33" w:type="default"/>
          <w:pgSz w:w="11907" w:h="16839"/>
          <w:pgMar w:top="1376" w:right="1669" w:bottom="1061" w:left="1671" w:header="999" w:footer="859" w:gutter="0"/>
          <w:cols w:space="720" w:num="1"/>
        </w:sectPr>
      </w:pPr>
    </w:p>
    <w:p w14:paraId="3656E3CD">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9"/>
        <w:gridCol w:w="849"/>
        <w:gridCol w:w="3036"/>
        <w:gridCol w:w="3038"/>
        <w:gridCol w:w="1121"/>
      </w:tblGrid>
      <w:tr w14:paraId="11C51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278" w:type="dxa"/>
            <w:gridSpan w:val="2"/>
            <w:vMerge w:val="restart"/>
            <w:tcBorders>
              <w:top w:val="single" w:color="000000" w:sz="12" w:space="0"/>
              <w:left w:val="single" w:color="000000" w:sz="12" w:space="0"/>
              <w:bottom w:val="nil"/>
            </w:tcBorders>
            <w:vAlign w:val="top"/>
          </w:tcPr>
          <w:p w14:paraId="4C0D67E8">
            <w:pPr>
              <w:spacing w:before="287" w:line="220" w:lineRule="auto"/>
              <w:ind w:left="209"/>
              <w:rPr>
                <w:rFonts w:ascii="宋体" w:hAnsi="宋体" w:eastAsia="宋体" w:cs="宋体"/>
                <w:sz w:val="21"/>
                <w:szCs w:val="21"/>
              </w:rPr>
            </w:pPr>
            <w:r>
              <w:rPr>
                <w:rFonts w:ascii="宋体" w:hAnsi="宋体" w:eastAsia="宋体" w:cs="宋体"/>
                <w:spacing w:val="-3"/>
                <w:sz w:val="21"/>
                <w:szCs w:val="21"/>
              </w:rPr>
              <w:t>工程项目</w:t>
            </w:r>
          </w:p>
        </w:tc>
        <w:tc>
          <w:tcPr>
            <w:tcW w:w="6074" w:type="dxa"/>
            <w:gridSpan w:val="2"/>
            <w:tcBorders>
              <w:top w:val="single" w:color="000000" w:sz="12" w:space="0"/>
            </w:tcBorders>
            <w:vAlign w:val="top"/>
          </w:tcPr>
          <w:p w14:paraId="3C84A0B0">
            <w:pPr>
              <w:spacing w:before="87" w:line="220" w:lineRule="auto"/>
              <w:ind w:left="2411"/>
              <w:rPr>
                <w:rFonts w:ascii="宋体" w:hAnsi="宋体" w:eastAsia="宋体" w:cs="宋体"/>
                <w:sz w:val="21"/>
                <w:szCs w:val="21"/>
              </w:rPr>
            </w:pPr>
            <w:r>
              <w:rPr>
                <w:rFonts w:ascii="宋体" w:hAnsi="宋体" w:eastAsia="宋体" w:cs="宋体"/>
                <w:spacing w:val="-2"/>
                <w:sz w:val="21"/>
                <w:szCs w:val="21"/>
              </w:rPr>
              <w:t>工程项目组成</w:t>
            </w:r>
          </w:p>
        </w:tc>
        <w:tc>
          <w:tcPr>
            <w:tcW w:w="1121" w:type="dxa"/>
            <w:vMerge w:val="restart"/>
            <w:tcBorders>
              <w:top w:val="single" w:color="000000" w:sz="12" w:space="0"/>
              <w:bottom w:val="nil"/>
              <w:right w:val="single" w:color="000000" w:sz="12" w:space="0"/>
            </w:tcBorders>
            <w:vAlign w:val="top"/>
          </w:tcPr>
          <w:p w14:paraId="40A3FA22">
            <w:pPr>
              <w:spacing w:before="287" w:line="220" w:lineRule="auto"/>
              <w:ind w:left="150"/>
              <w:rPr>
                <w:rFonts w:ascii="宋体" w:hAnsi="宋体" w:eastAsia="宋体" w:cs="宋体"/>
                <w:sz w:val="21"/>
                <w:szCs w:val="21"/>
              </w:rPr>
            </w:pPr>
            <w:r>
              <w:rPr>
                <w:rFonts w:ascii="宋体" w:hAnsi="宋体" w:eastAsia="宋体" w:cs="宋体"/>
                <w:spacing w:val="-3"/>
                <w:sz w:val="21"/>
                <w:szCs w:val="21"/>
              </w:rPr>
              <w:t>变更情况</w:t>
            </w:r>
          </w:p>
        </w:tc>
      </w:tr>
      <w:tr w14:paraId="7B6F9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278" w:type="dxa"/>
            <w:gridSpan w:val="2"/>
            <w:vMerge w:val="continue"/>
            <w:tcBorders>
              <w:top w:val="nil"/>
              <w:left w:val="single" w:color="000000" w:sz="12" w:space="0"/>
            </w:tcBorders>
            <w:vAlign w:val="top"/>
          </w:tcPr>
          <w:p w14:paraId="2CC48DA0">
            <w:pPr>
              <w:rPr>
                <w:rFonts w:ascii="Arial"/>
                <w:sz w:val="21"/>
              </w:rPr>
            </w:pPr>
          </w:p>
        </w:tc>
        <w:tc>
          <w:tcPr>
            <w:tcW w:w="3036" w:type="dxa"/>
            <w:vAlign w:val="top"/>
          </w:tcPr>
          <w:p w14:paraId="2464F808">
            <w:pPr>
              <w:spacing w:before="86" w:line="220" w:lineRule="auto"/>
              <w:ind w:left="1095"/>
              <w:rPr>
                <w:rFonts w:ascii="宋体" w:hAnsi="宋体" w:eastAsia="宋体" w:cs="宋体"/>
                <w:sz w:val="21"/>
                <w:szCs w:val="21"/>
              </w:rPr>
            </w:pPr>
            <w:r>
              <w:rPr>
                <w:rFonts w:ascii="宋体" w:hAnsi="宋体" w:eastAsia="宋体" w:cs="宋体"/>
                <w:spacing w:val="-2"/>
                <w:sz w:val="21"/>
                <w:szCs w:val="21"/>
              </w:rPr>
              <w:t>环评阶段</w:t>
            </w:r>
          </w:p>
        </w:tc>
        <w:tc>
          <w:tcPr>
            <w:tcW w:w="3038" w:type="dxa"/>
            <w:vAlign w:val="top"/>
          </w:tcPr>
          <w:p w14:paraId="2071AB2B">
            <w:pPr>
              <w:spacing w:before="86" w:line="220" w:lineRule="auto"/>
              <w:ind w:left="1112"/>
              <w:rPr>
                <w:rFonts w:ascii="宋体" w:hAnsi="宋体" w:eastAsia="宋体" w:cs="宋体"/>
                <w:sz w:val="21"/>
                <w:szCs w:val="21"/>
              </w:rPr>
            </w:pPr>
            <w:r>
              <w:rPr>
                <w:rFonts w:ascii="宋体" w:hAnsi="宋体" w:eastAsia="宋体" w:cs="宋体"/>
                <w:spacing w:val="-3"/>
                <w:sz w:val="21"/>
                <w:szCs w:val="21"/>
              </w:rPr>
              <w:t>实施阶段</w:t>
            </w:r>
          </w:p>
        </w:tc>
        <w:tc>
          <w:tcPr>
            <w:tcW w:w="1121" w:type="dxa"/>
            <w:vMerge w:val="continue"/>
            <w:tcBorders>
              <w:top w:val="nil"/>
              <w:right w:val="single" w:color="000000" w:sz="12" w:space="0"/>
            </w:tcBorders>
            <w:vAlign w:val="top"/>
          </w:tcPr>
          <w:p w14:paraId="04D64B06">
            <w:pPr>
              <w:rPr>
                <w:rFonts w:ascii="Arial"/>
                <w:sz w:val="21"/>
              </w:rPr>
            </w:pPr>
          </w:p>
        </w:tc>
      </w:tr>
      <w:tr w14:paraId="223D3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429" w:type="dxa"/>
            <w:vMerge w:val="restart"/>
            <w:tcBorders>
              <w:top w:val="nil"/>
              <w:left w:val="single" w:color="000000" w:sz="12" w:space="0"/>
              <w:bottom w:val="nil"/>
            </w:tcBorders>
            <w:vAlign w:val="top"/>
          </w:tcPr>
          <w:p w14:paraId="3A567302">
            <w:pPr>
              <w:rPr>
                <w:rFonts w:ascii="Arial"/>
                <w:sz w:val="21"/>
              </w:rPr>
            </w:pPr>
          </w:p>
        </w:tc>
        <w:tc>
          <w:tcPr>
            <w:tcW w:w="849" w:type="dxa"/>
            <w:vAlign w:val="top"/>
          </w:tcPr>
          <w:p w14:paraId="2EDD63AE">
            <w:pPr>
              <w:rPr>
                <w:rFonts w:ascii="Arial"/>
                <w:sz w:val="21"/>
              </w:rPr>
            </w:pPr>
          </w:p>
        </w:tc>
        <w:tc>
          <w:tcPr>
            <w:tcW w:w="3036" w:type="dxa"/>
            <w:vAlign w:val="top"/>
          </w:tcPr>
          <w:p w14:paraId="3648D5DC">
            <w:pPr>
              <w:pStyle w:val="6"/>
              <w:spacing w:before="103" w:line="239" w:lineRule="auto"/>
              <w:ind w:left="44" w:right="51" w:firstLine="5"/>
              <w:rPr>
                <w:rFonts w:ascii="宋体" w:hAnsi="宋体" w:eastAsia="宋体" w:cs="宋体"/>
              </w:rPr>
            </w:pPr>
            <w:r>
              <w:rPr>
                <w:rFonts w:ascii="宋体" w:hAnsi="宋体" w:eastAsia="宋体" w:cs="宋体"/>
                <w:spacing w:val="-2"/>
              </w:rPr>
              <w:t>洞新建</w:t>
            </w:r>
            <w:r>
              <w:rPr>
                <w:rFonts w:ascii="宋体" w:hAnsi="宋体" w:eastAsia="宋体" w:cs="宋体"/>
                <w:spacing w:val="-40"/>
              </w:rPr>
              <w:t xml:space="preserve"> </w:t>
            </w:r>
            <w:r>
              <w:rPr>
                <w:spacing w:val="-2"/>
              </w:rPr>
              <w:t xml:space="preserve">7 </w:t>
            </w:r>
            <w:r>
              <w:rPr>
                <w:rFonts w:ascii="宋体" w:hAnsi="宋体" w:eastAsia="宋体" w:cs="宋体"/>
                <w:spacing w:val="-2"/>
              </w:rPr>
              <w:t>条场内临时道路，总长</w:t>
            </w:r>
            <w:r>
              <w:rPr>
                <w:spacing w:val="-2"/>
              </w:rPr>
              <w:t>4.0km</w:t>
            </w:r>
            <w:r>
              <w:rPr>
                <w:rFonts w:ascii="宋体" w:hAnsi="宋体" w:eastAsia="宋体" w:cs="宋体"/>
                <w:spacing w:val="-2"/>
              </w:rPr>
              <w:t>，新建临时跨河桥</w:t>
            </w:r>
            <w:r>
              <w:rPr>
                <w:rFonts w:ascii="宋体" w:hAnsi="宋体" w:eastAsia="宋体" w:cs="宋体"/>
                <w:spacing w:val="-32"/>
              </w:rPr>
              <w:t xml:space="preserve"> </w:t>
            </w:r>
            <w:r>
              <w:rPr>
                <w:spacing w:val="-2"/>
              </w:rPr>
              <w:t xml:space="preserve">2 </w:t>
            </w:r>
            <w:r>
              <w:rPr>
                <w:rFonts w:ascii="宋体" w:hAnsi="宋体" w:eastAsia="宋体" w:cs="宋体"/>
                <w:spacing w:val="-2"/>
              </w:rPr>
              <w:t>座。</w:t>
            </w:r>
          </w:p>
        </w:tc>
        <w:tc>
          <w:tcPr>
            <w:tcW w:w="3038" w:type="dxa"/>
            <w:vAlign w:val="top"/>
          </w:tcPr>
          <w:p w14:paraId="0BD17FBE">
            <w:pPr>
              <w:pStyle w:val="6"/>
              <w:spacing w:before="102"/>
              <w:ind w:left="59" w:right="51"/>
              <w:rPr>
                <w:rFonts w:ascii="宋体" w:hAnsi="宋体" w:eastAsia="宋体" w:cs="宋体"/>
              </w:rPr>
            </w:pPr>
            <w:r>
              <w:rPr>
                <w:rFonts w:ascii="宋体" w:hAnsi="宋体" w:eastAsia="宋体" w:cs="宋体"/>
                <w:spacing w:val="-2"/>
              </w:rPr>
              <w:t xml:space="preserve">道路，总长 </w:t>
            </w:r>
            <w:r>
              <w:rPr>
                <w:spacing w:val="-2"/>
              </w:rPr>
              <w:t>4.0km</w:t>
            </w:r>
            <w:r>
              <w:rPr>
                <w:rFonts w:ascii="宋体" w:hAnsi="宋体" w:eastAsia="宋体" w:cs="宋体"/>
                <w:spacing w:val="-2"/>
              </w:rPr>
              <w:t>，新建临时跨</w:t>
            </w:r>
            <w:r>
              <w:rPr>
                <w:rFonts w:ascii="宋体" w:hAnsi="宋体" w:eastAsia="宋体" w:cs="宋体"/>
                <w:spacing w:val="-7"/>
              </w:rPr>
              <w:t>河桥</w:t>
            </w:r>
            <w:r>
              <w:rPr>
                <w:rFonts w:ascii="宋体" w:hAnsi="宋体" w:eastAsia="宋体" w:cs="宋体"/>
                <w:spacing w:val="-46"/>
              </w:rPr>
              <w:t xml:space="preserve"> </w:t>
            </w:r>
            <w:r>
              <w:rPr>
                <w:spacing w:val="-7"/>
              </w:rPr>
              <w:t>2</w:t>
            </w:r>
            <w:r>
              <w:rPr>
                <w:spacing w:val="11"/>
              </w:rPr>
              <w:t xml:space="preserve"> </w:t>
            </w:r>
            <w:r>
              <w:rPr>
                <w:rFonts w:ascii="宋体" w:hAnsi="宋体" w:eastAsia="宋体" w:cs="宋体"/>
                <w:spacing w:val="-7"/>
              </w:rPr>
              <w:t>座。</w:t>
            </w:r>
          </w:p>
        </w:tc>
        <w:tc>
          <w:tcPr>
            <w:tcW w:w="1121" w:type="dxa"/>
            <w:tcBorders>
              <w:right w:val="single" w:color="000000" w:sz="12" w:space="0"/>
            </w:tcBorders>
            <w:vAlign w:val="top"/>
          </w:tcPr>
          <w:p w14:paraId="79F0CBDD">
            <w:pPr>
              <w:rPr>
                <w:rFonts w:ascii="Arial"/>
                <w:sz w:val="21"/>
              </w:rPr>
            </w:pPr>
          </w:p>
        </w:tc>
      </w:tr>
      <w:tr w14:paraId="5B58C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7" w:hRule="atLeast"/>
        </w:trPr>
        <w:tc>
          <w:tcPr>
            <w:tcW w:w="429" w:type="dxa"/>
            <w:vMerge w:val="continue"/>
            <w:tcBorders>
              <w:top w:val="nil"/>
              <w:left w:val="single" w:color="000000" w:sz="12" w:space="0"/>
              <w:bottom w:val="nil"/>
            </w:tcBorders>
            <w:vAlign w:val="top"/>
          </w:tcPr>
          <w:p w14:paraId="08AA4423">
            <w:pPr>
              <w:rPr>
                <w:rFonts w:ascii="Arial"/>
                <w:sz w:val="21"/>
              </w:rPr>
            </w:pPr>
          </w:p>
        </w:tc>
        <w:tc>
          <w:tcPr>
            <w:tcW w:w="849" w:type="dxa"/>
            <w:vAlign w:val="top"/>
          </w:tcPr>
          <w:p w14:paraId="3BFF7C15">
            <w:pPr>
              <w:spacing w:line="281" w:lineRule="auto"/>
              <w:rPr>
                <w:rFonts w:ascii="Arial"/>
                <w:sz w:val="21"/>
              </w:rPr>
            </w:pPr>
          </w:p>
          <w:p w14:paraId="6566943F">
            <w:pPr>
              <w:spacing w:line="281" w:lineRule="auto"/>
              <w:rPr>
                <w:rFonts w:ascii="Arial"/>
                <w:sz w:val="21"/>
              </w:rPr>
            </w:pPr>
          </w:p>
          <w:p w14:paraId="6F18A0DE">
            <w:pPr>
              <w:spacing w:before="68" w:line="220" w:lineRule="auto"/>
              <w:ind w:left="204"/>
              <w:rPr>
                <w:rFonts w:ascii="宋体" w:hAnsi="宋体" w:eastAsia="宋体" w:cs="宋体"/>
                <w:sz w:val="21"/>
                <w:szCs w:val="21"/>
              </w:rPr>
            </w:pPr>
            <w:r>
              <w:rPr>
                <w:rFonts w:ascii="宋体" w:hAnsi="宋体" w:eastAsia="宋体" w:cs="宋体"/>
                <w:spacing w:val="-3"/>
                <w:sz w:val="21"/>
                <w:szCs w:val="21"/>
              </w:rPr>
              <w:t>料场</w:t>
            </w:r>
          </w:p>
        </w:tc>
        <w:tc>
          <w:tcPr>
            <w:tcW w:w="3036" w:type="dxa"/>
            <w:vAlign w:val="top"/>
          </w:tcPr>
          <w:p w14:paraId="232AC079">
            <w:pPr>
              <w:pStyle w:val="6"/>
              <w:spacing w:before="89" w:line="236" w:lineRule="auto"/>
              <w:ind w:left="56" w:hanging="8"/>
              <w:jc w:val="both"/>
              <w:rPr>
                <w:rFonts w:ascii="宋体" w:hAnsi="宋体" w:eastAsia="宋体" w:cs="宋体"/>
              </w:rPr>
            </w:pPr>
            <w:r>
              <w:rPr>
                <w:rFonts w:ascii="宋体" w:hAnsi="宋体" w:eastAsia="宋体" w:cs="宋体"/>
                <w:spacing w:val="-5"/>
              </w:rPr>
              <w:t>枢纽工程</w:t>
            </w:r>
            <w:r>
              <w:rPr>
                <w:rFonts w:ascii="宋体" w:hAnsi="宋体" w:eastAsia="宋体" w:cs="宋体"/>
                <w:spacing w:val="-42"/>
              </w:rPr>
              <w:t xml:space="preserve"> </w:t>
            </w:r>
            <w:r>
              <w:rPr>
                <w:spacing w:val="-5"/>
              </w:rPr>
              <w:t xml:space="preserve">2 </w:t>
            </w:r>
            <w:r>
              <w:rPr>
                <w:rFonts w:ascii="宋体" w:hAnsi="宋体" w:eastAsia="宋体" w:cs="宋体"/>
                <w:spacing w:val="-5"/>
              </w:rPr>
              <w:t>个石料场（象山Ⅰ</w:t>
            </w:r>
            <w:r>
              <w:rPr>
                <w:spacing w:val="-5"/>
              </w:rPr>
              <w:t>#</w:t>
            </w:r>
            <w:r>
              <w:rPr>
                <w:rFonts w:ascii="宋体" w:hAnsi="宋体" w:eastAsia="宋体" w:cs="宋体"/>
                <w:spacing w:val="-5"/>
              </w:rPr>
              <w:t>、</w:t>
            </w:r>
            <w:r>
              <w:rPr>
                <w:rFonts w:ascii="宋体" w:hAnsi="宋体" w:eastAsia="宋体" w:cs="宋体"/>
                <w:spacing w:val="-6"/>
              </w:rPr>
              <w:t>象山Ⅱ</w:t>
            </w:r>
            <w:r>
              <w:rPr>
                <w:spacing w:val="-6"/>
              </w:rPr>
              <w:t>#</w:t>
            </w:r>
            <w:r>
              <w:rPr>
                <w:rFonts w:ascii="宋体" w:hAnsi="宋体" w:eastAsia="宋体" w:cs="宋体"/>
                <w:spacing w:val="-8"/>
              </w:rPr>
              <w:t>），</w:t>
            </w:r>
            <w:r>
              <w:rPr>
                <w:spacing w:val="-6"/>
              </w:rPr>
              <w:t xml:space="preserve">1 </w:t>
            </w:r>
            <w:r>
              <w:rPr>
                <w:rFonts w:ascii="宋体" w:hAnsi="宋体" w:eastAsia="宋体" w:cs="宋体"/>
                <w:spacing w:val="-6"/>
              </w:rPr>
              <w:t>个土料场（大罗贵</w:t>
            </w:r>
            <w:r>
              <w:rPr>
                <w:rFonts w:ascii="宋体" w:hAnsi="宋体" w:eastAsia="宋体" w:cs="宋体"/>
              </w:rPr>
              <w:t>围堰土料开采料场。</w:t>
            </w:r>
            <w:r>
              <w:rPr>
                <w:rFonts w:ascii="宋体" w:hAnsi="宋体" w:eastAsia="宋体" w:cs="宋体"/>
                <w:spacing w:val="-16"/>
              </w:rPr>
              <w:t>）；</w:t>
            </w:r>
          </w:p>
          <w:p w14:paraId="703685C8">
            <w:pPr>
              <w:pStyle w:val="6"/>
              <w:spacing w:before="11" w:line="235" w:lineRule="auto"/>
              <w:ind w:left="48" w:right="51"/>
              <w:jc w:val="both"/>
              <w:rPr>
                <w:rFonts w:ascii="宋体" w:hAnsi="宋体" w:eastAsia="宋体" w:cs="宋体"/>
              </w:rPr>
            </w:pPr>
            <w:r>
              <w:rPr>
                <w:rFonts w:ascii="宋体" w:hAnsi="宋体" w:eastAsia="宋体" w:cs="宋体"/>
                <w:spacing w:val="-2"/>
              </w:rPr>
              <w:t>输水工程</w:t>
            </w:r>
            <w:r>
              <w:rPr>
                <w:rFonts w:ascii="宋体" w:hAnsi="宋体" w:eastAsia="宋体" w:cs="宋体"/>
                <w:spacing w:val="-38"/>
              </w:rPr>
              <w:t xml:space="preserve"> </w:t>
            </w:r>
            <w:r>
              <w:rPr>
                <w:spacing w:val="-2"/>
              </w:rPr>
              <w:t xml:space="preserve">2 </w:t>
            </w:r>
            <w:r>
              <w:rPr>
                <w:rFonts w:ascii="宋体" w:hAnsi="宋体" w:eastAsia="宋体" w:cs="宋体"/>
                <w:spacing w:val="-2"/>
              </w:rPr>
              <w:t>个石料场（尹堡石料</w:t>
            </w:r>
            <w:r>
              <w:rPr>
                <w:rFonts w:ascii="宋体" w:hAnsi="宋体" w:eastAsia="宋体" w:cs="宋体"/>
                <w:spacing w:val="-1"/>
              </w:rPr>
              <w:t>场和新发村石料场）。</w:t>
            </w:r>
          </w:p>
        </w:tc>
        <w:tc>
          <w:tcPr>
            <w:tcW w:w="3038" w:type="dxa"/>
            <w:vAlign w:val="top"/>
          </w:tcPr>
          <w:p w14:paraId="78BC6406">
            <w:pPr>
              <w:spacing w:before="225" w:line="239" w:lineRule="auto"/>
              <w:ind w:left="61" w:right="42" w:hanging="2"/>
              <w:rPr>
                <w:rFonts w:ascii="宋体" w:hAnsi="宋体" w:eastAsia="宋体" w:cs="宋体"/>
                <w:sz w:val="21"/>
                <w:szCs w:val="21"/>
              </w:rPr>
            </w:pPr>
            <w:r>
              <w:rPr>
                <w:rFonts w:ascii="宋体" w:hAnsi="宋体" w:eastAsia="宋体" w:cs="宋体"/>
                <w:spacing w:val="-2"/>
                <w:sz w:val="21"/>
                <w:szCs w:val="21"/>
              </w:rPr>
              <w:t>枢纽区：仅启用象山石料场，大</w:t>
            </w:r>
            <w:r>
              <w:rPr>
                <w:rFonts w:ascii="宋体" w:hAnsi="宋体" w:eastAsia="宋体" w:cs="宋体"/>
                <w:spacing w:val="-4"/>
                <w:sz w:val="21"/>
                <w:szCs w:val="21"/>
              </w:rPr>
              <w:t>罗贵土料场未启用。</w:t>
            </w:r>
          </w:p>
          <w:p w14:paraId="7CD887BE">
            <w:pPr>
              <w:spacing w:before="2" w:line="241" w:lineRule="auto"/>
              <w:ind w:left="59" w:right="68"/>
              <w:rPr>
                <w:rFonts w:ascii="宋体" w:hAnsi="宋体" w:eastAsia="宋体" w:cs="宋体"/>
                <w:sz w:val="21"/>
                <w:szCs w:val="21"/>
              </w:rPr>
            </w:pPr>
            <w:r>
              <w:rPr>
                <w:rFonts w:ascii="宋体" w:hAnsi="宋体" w:eastAsia="宋体" w:cs="宋体"/>
                <w:spacing w:val="-3"/>
                <w:sz w:val="21"/>
                <w:szCs w:val="21"/>
              </w:rPr>
              <w:t>输水工程：利用洞挖料，未启用料场。</w:t>
            </w:r>
          </w:p>
        </w:tc>
        <w:tc>
          <w:tcPr>
            <w:tcW w:w="1121" w:type="dxa"/>
            <w:tcBorders>
              <w:right w:val="single" w:color="000000" w:sz="12" w:space="0"/>
            </w:tcBorders>
            <w:vAlign w:val="top"/>
          </w:tcPr>
          <w:p w14:paraId="508D4A0D">
            <w:pPr>
              <w:spacing w:line="280" w:lineRule="auto"/>
              <w:rPr>
                <w:rFonts w:ascii="Arial"/>
                <w:sz w:val="21"/>
              </w:rPr>
            </w:pPr>
          </w:p>
          <w:p w14:paraId="3ADC4990">
            <w:pPr>
              <w:spacing w:line="281" w:lineRule="auto"/>
              <w:rPr>
                <w:rFonts w:ascii="Arial"/>
                <w:sz w:val="21"/>
              </w:rPr>
            </w:pPr>
          </w:p>
          <w:p w14:paraId="51ADEB7C">
            <w:pPr>
              <w:spacing w:before="69"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r w14:paraId="53A60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trPr>
        <w:tc>
          <w:tcPr>
            <w:tcW w:w="429" w:type="dxa"/>
            <w:vMerge w:val="continue"/>
            <w:tcBorders>
              <w:top w:val="nil"/>
              <w:left w:val="single" w:color="000000" w:sz="12" w:space="0"/>
            </w:tcBorders>
            <w:vAlign w:val="top"/>
          </w:tcPr>
          <w:p w14:paraId="52D6CCF4">
            <w:pPr>
              <w:rPr>
                <w:rFonts w:ascii="Arial"/>
                <w:sz w:val="21"/>
              </w:rPr>
            </w:pPr>
          </w:p>
        </w:tc>
        <w:tc>
          <w:tcPr>
            <w:tcW w:w="849" w:type="dxa"/>
            <w:vAlign w:val="top"/>
          </w:tcPr>
          <w:p w14:paraId="26D90E39">
            <w:pPr>
              <w:spacing w:line="431" w:lineRule="auto"/>
              <w:rPr>
                <w:rFonts w:ascii="Arial"/>
                <w:sz w:val="21"/>
              </w:rPr>
            </w:pPr>
          </w:p>
          <w:p w14:paraId="53EA98FF">
            <w:pPr>
              <w:spacing w:before="68" w:line="220" w:lineRule="auto"/>
              <w:ind w:left="204"/>
              <w:rPr>
                <w:rFonts w:ascii="宋体" w:hAnsi="宋体" w:eastAsia="宋体" w:cs="宋体"/>
                <w:sz w:val="21"/>
                <w:szCs w:val="21"/>
              </w:rPr>
            </w:pPr>
            <w:r>
              <w:rPr>
                <w:rFonts w:ascii="宋体" w:hAnsi="宋体" w:eastAsia="宋体" w:cs="宋体"/>
                <w:spacing w:val="-3"/>
                <w:sz w:val="21"/>
                <w:szCs w:val="21"/>
              </w:rPr>
              <w:t>渣场</w:t>
            </w:r>
          </w:p>
        </w:tc>
        <w:tc>
          <w:tcPr>
            <w:tcW w:w="3036" w:type="dxa"/>
            <w:vAlign w:val="top"/>
          </w:tcPr>
          <w:p w14:paraId="3E492D62">
            <w:pPr>
              <w:spacing w:line="295" w:lineRule="auto"/>
              <w:rPr>
                <w:rFonts w:ascii="Arial"/>
                <w:sz w:val="21"/>
              </w:rPr>
            </w:pPr>
          </w:p>
          <w:p w14:paraId="5BDD372D">
            <w:pPr>
              <w:pStyle w:val="6"/>
              <w:spacing w:before="69"/>
              <w:ind w:left="48" w:right="810"/>
              <w:rPr>
                <w:rFonts w:ascii="宋体" w:hAnsi="宋体" w:eastAsia="宋体" w:cs="宋体"/>
              </w:rPr>
            </w:pPr>
            <w:r>
              <w:rPr>
                <w:rFonts w:ascii="宋体" w:hAnsi="宋体" w:eastAsia="宋体" w:cs="宋体"/>
                <w:spacing w:val="-1"/>
              </w:rPr>
              <w:t>枢纽工程</w:t>
            </w:r>
            <w:r>
              <w:rPr>
                <w:rFonts w:ascii="宋体" w:hAnsi="宋体" w:eastAsia="宋体" w:cs="宋体"/>
                <w:spacing w:val="-42"/>
              </w:rPr>
              <w:t xml:space="preserve"> </w:t>
            </w:r>
            <w:r>
              <w:rPr>
                <w:spacing w:val="-1"/>
              </w:rPr>
              <w:t xml:space="preserve">3 </w:t>
            </w:r>
            <w:r>
              <w:rPr>
                <w:rFonts w:ascii="宋体" w:hAnsi="宋体" w:eastAsia="宋体" w:cs="宋体"/>
                <w:spacing w:val="-1"/>
              </w:rPr>
              <w:t>个弃渣场；</w:t>
            </w:r>
            <w:r>
              <w:rPr>
                <w:rFonts w:ascii="宋体" w:hAnsi="宋体" w:eastAsia="宋体" w:cs="宋体"/>
                <w:spacing w:val="-6"/>
              </w:rPr>
              <w:t>输水工程</w:t>
            </w:r>
            <w:r>
              <w:rPr>
                <w:rFonts w:ascii="宋体" w:hAnsi="宋体" w:eastAsia="宋体" w:cs="宋体"/>
                <w:spacing w:val="-20"/>
              </w:rPr>
              <w:t xml:space="preserve"> </w:t>
            </w:r>
            <w:r>
              <w:rPr>
                <w:spacing w:val="-6"/>
              </w:rPr>
              <w:t xml:space="preserve">11 </w:t>
            </w:r>
            <w:r>
              <w:rPr>
                <w:rFonts w:ascii="宋体" w:hAnsi="宋体" w:eastAsia="宋体" w:cs="宋体"/>
                <w:spacing w:val="-6"/>
              </w:rPr>
              <w:t>个弃渣场。</w:t>
            </w:r>
          </w:p>
        </w:tc>
        <w:tc>
          <w:tcPr>
            <w:tcW w:w="3038" w:type="dxa"/>
            <w:vAlign w:val="top"/>
          </w:tcPr>
          <w:p w14:paraId="609B9140">
            <w:pPr>
              <w:pStyle w:val="6"/>
              <w:spacing w:before="93" w:line="239" w:lineRule="auto"/>
              <w:ind w:left="59" w:right="41"/>
              <w:rPr>
                <w:rFonts w:ascii="宋体" w:hAnsi="宋体" w:eastAsia="宋体" w:cs="宋体"/>
              </w:rPr>
            </w:pPr>
            <w:r>
              <w:rPr>
                <w:rFonts w:ascii="宋体" w:hAnsi="宋体" w:eastAsia="宋体" w:cs="宋体"/>
                <w:spacing w:val="-9"/>
              </w:rPr>
              <w:t>枢纽区：启用了</w:t>
            </w:r>
            <w:r>
              <w:rPr>
                <w:rFonts w:ascii="宋体" w:hAnsi="宋体" w:eastAsia="宋体" w:cs="宋体"/>
                <w:spacing w:val="-24"/>
              </w:rPr>
              <w:t xml:space="preserve"> </w:t>
            </w:r>
            <w:r>
              <w:rPr>
                <w:spacing w:val="-9"/>
              </w:rPr>
              <w:t>1#</w:t>
            </w:r>
            <w:r>
              <w:rPr>
                <w:rFonts w:ascii="宋体" w:hAnsi="宋体" w:eastAsia="宋体" w:cs="宋体"/>
                <w:spacing w:val="-9"/>
              </w:rPr>
              <w:t>、</w:t>
            </w:r>
            <w:r>
              <w:rPr>
                <w:spacing w:val="-9"/>
              </w:rPr>
              <w:t>3#</w:t>
            </w:r>
            <w:r>
              <w:rPr>
                <w:rFonts w:ascii="宋体" w:hAnsi="宋体" w:eastAsia="宋体" w:cs="宋体"/>
                <w:spacing w:val="-9"/>
              </w:rPr>
              <w:t>，原</w:t>
            </w:r>
            <w:r>
              <w:rPr>
                <w:rFonts w:ascii="宋体" w:hAnsi="宋体" w:eastAsia="宋体" w:cs="宋体"/>
                <w:spacing w:val="-47"/>
              </w:rPr>
              <w:t xml:space="preserve"> </w:t>
            </w:r>
            <w:r>
              <w:rPr>
                <w:spacing w:val="-9"/>
              </w:rPr>
              <w:t>2#</w:t>
            </w:r>
            <w:r>
              <w:rPr>
                <w:rFonts w:ascii="宋体" w:hAnsi="宋体" w:eastAsia="宋体" w:cs="宋体"/>
                <w:spacing w:val="-9"/>
              </w:rPr>
              <w:t>弃</w:t>
            </w:r>
            <w:r>
              <w:rPr>
                <w:rFonts w:ascii="宋体" w:hAnsi="宋体" w:eastAsia="宋体" w:cs="宋体"/>
                <w:spacing w:val="-1"/>
              </w:rPr>
              <w:t>渣场取消，</w:t>
            </w:r>
            <w:r>
              <w:rPr>
                <w:spacing w:val="-1"/>
              </w:rPr>
              <w:t>1#</w:t>
            </w:r>
            <w:r>
              <w:rPr>
                <w:rFonts w:ascii="宋体" w:hAnsi="宋体" w:eastAsia="宋体" w:cs="宋体"/>
                <w:spacing w:val="-1"/>
              </w:rPr>
              <w:t>渣场调整位置。</w:t>
            </w:r>
          </w:p>
          <w:p w14:paraId="32F9F878">
            <w:pPr>
              <w:pStyle w:val="6"/>
              <w:spacing w:line="235" w:lineRule="auto"/>
              <w:ind w:left="62" w:hanging="3"/>
              <w:rPr>
                <w:rFonts w:ascii="宋体" w:hAnsi="宋体" w:eastAsia="宋体" w:cs="宋体"/>
              </w:rPr>
            </w:pPr>
            <w:r>
              <w:rPr>
                <w:rFonts w:ascii="宋体" w:hAnsi="宋体" w:eastAsia="宋体" w:cs="宋体"/>
                <w:spacing w:val="-7"/>
              </w:rPr>
              <w:t>输水工程：启用了</w:t>
            </w:r>
            <w:r>
              <w:rPr>
                <w:rFonts w:ascii="宋体" w:hAnsi="宋体" w:eastAsia="宋体" w:cs="宋体"/>
                <w:spacing w:val="-19"/>
              </w:rPr>
              <w:t xml:space="preserve"> </w:t>
            </w:r>
            <w:r>
              <w:rPr>
                <w:spacing w:val="-7"/>
              </w:rPr>
              <w:t xml:space="preserve">10 </w:t>
            </w:r>
            <w:r>
              <w:rPr>
                <w:rFonts w:ascii="宋体" w:hAnsi="宋体" w:eastAsia="宋体" w:cs="宋体"/>
                <w:spacing w:val="-7"/>
              </w:rPr>
              <w:t>个弃渣场，</w:t>
            </w:r>
            <w:r>
              <w:rPr>
                <w:rFonts w:ascii="宋体" w:hAnsi="宋体" w:eastAsia="宋体" w:cs="宋体"/>
                <w:spacing w:val="-3"/>
              </w:rPr>
              <w:t>取消了保家营弃渣场。</w:t>
            </w:r>
          </w:p>
        </w:tc>
        <w:tc>
          <w:tcPr>
            <w:tcW w:w="1121" w:type="dxa"/>
            <w:tcBorders>
              <w:right w:val="single" w:color="000000" w:sz="12" w:space="0"/>
            </w:tcBorders>
            <w:vAlign w:val="top"/>
          </w:tcPr>
          <w:p w14:paraId="6DA47F01">
            <w:pPr>
              <w:spacing w:line="430" w:lineRule="auto"/>
              <w:rPr>
                <w:rFonts w:ascii="Arial"/>
                <w:sz w:val="21"/>
              </w:rPr>
            </w:pPr>
          </w:p>
          <w:p w14:paraId="6A46CC29">
            <w:pPr>
              <w:spacing w:before="68"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r w14:paraId="1B99F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429" w:type="dxa"/>
            <w:vMerge w:val="restart"/>
            <w:tcBorders>
              <w:left w:val="single" w:color="000000" w:sz="12" w:space="0"/>
              <w:bottom w:val="nil"/>
            </w:tcBorders>
            <w:textDirection w:val="tbRlV"/>
            <w:vAlign w:val="top"/>
          </w:tcPr>
          <w:p w14:paraId="3C345864">
            <w:pPr>
              <w:spacing w:before="111" w:line="209" w:lineRule="auto"/>
              <w:ind w:left="3284"/>
              <w:rPr>
                <w:rFonts w:ascii="宋体" w:hAnsi="宋体" w:eastAsia="宋体" w:cs="宋体"/>
                <w:sz w:val="21"/>
                <w:szCs w:val="21"/>
              </w:rPr>
            </w:pPr>
            <w:r>
              <w:rPr>
                <w:rFonts w:ascii="宋体" w:hAnsi="宋体" w:eastAsia="宋体" w:cs="宋体"/>
                <w:spacing w:val="19"/>
                <w:w w:val="117"/>
                <w:sz w:val="21"/>
                <w:szCs w:val="21"/>
              </w:rPr>
              <w:t>建设征地及移民安置</w:t>
            </w:r>
          </w:p>
        </w:tc>
        <w:tc>
          <w:tcPr>
            <w:tcW w:w="849" w:type="dxa"/>
            <w:vAlign w:val="top"/>
          </w:tcPr>
          <w:p w14:paraId="3AA28DD2">
            <w:pPr>
              <w:spacing w:before="230" w:line="242" w:lineRule="auto"/>
              <w:ind w:left="207" w:right="222"/>
              <w:rPr>
                <w:rFonts w:ascii="宋体" w:hAnsi="宋体" w:eastAsia="宋体" w:cs="宋体"/>
                <w:sz w:val="21"/>
                <w:szCs w:val="21"/>
              </w:rPr>
            </w:pPr>
            <w:r>
              <w:rPr>
                <w:rFonts w:ascii="宋体" w:hAnsi="宋体" w:eastAsia="宋体" w:cs="宋体"/>
                <w:spacing w:val="-6"/>
                <w:sz w:val="21"/>
                <w:szCs w:val="21"/>
              </w:rPr>
              <w:t>建设征地</w:t>
            </w:r>
          </w:p>
        </w:tc>
        <w:tc>
          <w:tcPr>
            <w:tcW w:w="3036" w:type="dxa"/>
            <w:vAlign w:val="top"/>
          </w:tcPr>
          <w:p w14:paraId="093A4DCF">
            <w:pPr>
              <w:pStyle w:val="6"/>
              <w:spacing w:before="94"/>
              <w:ind w:left="48" w:right="22" w:firstLine="3"/>
              <w:jc w:val="both"/>
              <w:rPr>
                <w:rFonts w:ascii="宋体" w:hAnsi="宋体" w:eastAsia="宋体" w:cs="宋体"/>
              </w:rPr>
            </w:pPr>
            <w:r>
              <w:rPr>
                <w:rFonts w:ascii="宋体" w:hAnsi="宋体" w:eastAsia="宋体" w:cs="宋体"/>
                <w:spacing w:val="5"/>
              </w:rPr>
              <w:t>工程建设征地总面积</w:t>
            </w:r>
            <w:r>
              <w:rPr>
                <w:rFonts w:ascii="宋体" w:hAnsi="宋体" w:eastAsia="宋体" w:cs="宋体"/>
                <w:spacing w:val="54"/>
              </w:rPr>
              <w:t xml:space="preserve"> </w:t>
            </w:r>
            <w:r>
              <w:rPr>
                <w:spacing w:val="5"/>
              </w:rPr>
              <w:t>13704.19</w:t>
            </w:r>
            <w:r>
              <w:rPr>
                <w:rFonts w:ascii="宋体" w:hAnsi="宋体" w:eastAsia="宋体" w:cs="宋体"/>
                <w:spacing w:val="-4"/>
              </w:rPr>
              <w:t>亩，永久征地面积</w:t>
            </w:r>
            <w:r>
              <w:rPr>
                <w:rFonts w:ascii="宋体" w:hAnsi="宋体" w:eastAsia="宋体" w:cs="宋体"/>
                <w:spacing w:val="-15"/>
              </w:rPr>
              <w:t xml:space="preserve"> </w:t>
            </w:r>
            <w:r>
              <w:rPr>
                <w:spacing w:val="-4"/>
              </w:rPr>
              <w:t xml:space="preserve">12463.89 </w:t>
            </w:r>
            <w:r>
              <w:rPr>
                <w:rFonts w:ascii="宋体" w:hAnsi="宋体" w:eastAsia="宋体" w:cs="宋体"/>
                <w:spacing w:val="-4"/>
              </w:rPr>
              <w:t>亩、</w:t>
            </w:r>
            <w:r>
              <w:rPr>
                <w:rFonts w:ascii="宋体" w:hAnsi="宋体" w:eastAsia="宋体" w:cs="宋体"/>
                <w:spacing w:val="-2"/>
              </w:rPr>
              <w:t>施工临时占地面积</w:t>
            </w:r>
            <w:r>
              <w:rPr>
                <w:rFonts w:ascii="宋体" w:hAnsi="宋体" w:eastAsia="宋体" w:cs="宋体"/>
                <w:spacing w:val="-24"/>
              </w:rPr>
              <w:t xml:space="preserve"> </w:t>
            </w:r>
            <w:r>
              <w:rPr>
                <w:spacing w:val="-2"/>
              </w:rPr>
              <w:t xml:space="preserve">1240.30 </w:t>
            </w:r>
            <w:r>
              <w:rPr>
                <w:rFonts w:ascii="宋体" w:hAnsi="宋体" w:eastAsia="宋体" w:cs="宋体"/>
                <w:spacing w:val="-2"/>
              </w:rPr>
              <w:t>亩。</w:t>
            </w:r>
          </w:p>
        </w:tc>
        <w:tc>
          <w:tcPr>
            <w:tcW w:w="3038" w:type="dxa"/>
            <w:vAlign w:val="top"/>
          </w:tcPr>
          <w:p w14:paraId="04272329">
            <w:pPr>
              <w:pStyle w:val="6"/>
              <w:spacing w:before="94"/>
              <w:ind w:left="60" w:right="41" w:firstLine="2"/>
              <w:jc w:val="both"/>
              <w:rPr>
                <w:rFonts w:ascii="宋体" w:hAnsi="宋体" w:eastAsia="宋体" w:cs="宋体"/>
              </w:rPr>
            </w:pPr>
            <w:r>
              <w:rPr>
                <w:rFonts w:ascii="宋体" w:hAnsi="宋体" w:eastAsia="宋体" w:cs="宋体"/>
                <w:spacing w:val="5"/>
              </w:rPr>
              <w:t>工程建设征地总面积</w:t>
            </w:r>
            <w:r>
              <w:rPr>
                <w:rFonts w:ascii="宋体" w:hAnsi="宋体" w:eastAsia="宋体" w:cs="宋体"/>
                <w:spacing w:val="54"/>
              </w:rPr>
              <w:t xml:space="preserve"> </w:t>
            </w:r>
            <w:r>
              <w:rPr>
                <w:spacing w:val="5"/>
              </w:rPr>
              <w:t>13819.15</w:t>
            </w:r>
            <w:r>
              <w:rPr>
                <w:rFonts w:ascii="宋体" w:hAnsi="宋体" w:eastAsia="宋体" w:cs="宋体"/>
                <w:spacing w:val="-5"/>
              </w:rPr>
              <w:t>亩。永久征地</w:t>
            </w:r>
            <w:r>
              <w:rPr>
                <w:rFonts w:ascii="宋体" w:hAnsi="宋体" w:eastAsia="宋体" w:cs="宋体"/>
                <w:spacing w:val="-27"/>
              </w:rPr>
              <w:t xml:space="preserve"> </w:t>
            </w:r>
            <w:r>
              <w:rPr>
                <w:spacing w:val="-5"/>
              </w:rPr>
              <w:t xml:space="preserve">11751.27 </w:t>
            </w:r>
            <w:r>
              <w:rPr>
                <w:rFonts w:ascii="宋体" w:hAnsi="宋体" w:eastAsia="宋体" w:cs="宋体"/>
                <w:spacing w:val="-5"/>
              </w:rPr>
              <w:t>亩，施工</w:t>
            </w:r>
            <w:r>
              <w:rPr>
                <w:rFonts w:ascii="宋体" w:hAnsi="宋体" w:eastAsia="宋体" w:cs="宋体"/>
                <w:spacing w:val="-2"/>
              </w:rPr>
              <w:t>临时占地面积</w:t>
            </w:r>
            <w:r>
              <w:rPr>
                <w:rFonts w:ascii="宋体" w:hAnsi="宋体" w:eastAsia="宋体" w:cs="宋体"/>
                <w:spacing w:val="-41"/>
              </w:rPr>
              <w:t xml:space="preserve"> </w:t>
            </w:r>
            <w:r>
              <w:rPr>
                <w:spacing w:val="-2"/>
              </w:rPr>
              <w:t xml:space="preserve">2067.88 </w:t>
            </w:r>
            <w:r>
              <w:rPr>
                <w:rFonts w:ascii="宋体" w:hAnsi="宋体" w:eastAsia="宋体" w:cs="宋体"/>
                <w:spacing w:val="-2"/>
              </w:rPr>
              <w:t>亩。</w:t>
            </w:r>
          </w:p>
        </w:tc>
        <w:tc>
          <w:tcPr>
            <w:tcW w:w="1121" w:type="dxa"/>
            <w:tcBorders>
              <w:right w:val="single" w:color="000000" w:sz="12" w:space="0"/>
            </w:tcBorders>
            <w:vAlign w:val="top"/>
          </w:tcPr>
          <w:p w14:paraId="2C04622D">
            <w:pPr>
              <w:spacing w:before="230"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r w14:paraId="6F321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8" w:hRule="atLeast"/>
        </w:trPr>
        <w:tc>
          <w:tcPr>
            <w:tcW w:w="429" w:type="dxa"/>
            <w:vMerge w:val="continue"/>
            <w:tcBorders>
              <w:top w:val="nil"/>
              <w:left w:val="single" w:color="000000" w:sz="12" w:space="0"/>
              <w:bottom w:val="nil"/>
            </w:tcBorders>
            <w:textDirection w:val="tbRlV"/>
            <w:vAlign w:val="top"/>
          </w:tcPr>
          <w:p w14:paraId="78151321">
            <w:pPr>
              <w:rPr>
                <w:rFonts w:ascii="Arial"/>
                <w:sz w:val="21"/>
              </w:rPr>
            </w:pPr>
          </w:p>
        </w:tc>
        <w:tc>
          <w:tcPr>
            <w:tcW w:w="849" w:type="dxa"/>
            <w:vAlign w:val="top"/>
          </w:tcPr>
          <w:p w14:paraId="04E815B1">
            <w:pPr>
              <w:spacing w:line="249" w:lineRule="auto"/>
              <w:rPr>
                <w:rFonts w:ascii="Arial"/>
                <w:sz w:val="21"/>
              </w:rPr>
            </w:pPr>
          </w:p>
          <w:p w14:paraId="72979720">
            <w:pPr>
              <w:spacing w:line="249" w:lineRule="auto"/>
              <w:rPr>
                <w:rFonts w:ascii="Arial"/>
                <w:sz w:val="21"/>
              </w:rPr>
            </w:pPr>
          </w:p>
          <w:p w14:paraId="7FCEDD00">
            <w:pPr>
              <w:spacing w:line="249" w:lineRule="auto"/>
              <w:rPr>
                <w:rFonts w:ascii="Arial"/>
                <w:sz w:val="21"/>
              </w:rPr>
            </w:pPr>
          </w:p>
          <w:p w14:paraId="5FE1FC47">
            <w:pPr>
              <w:spacing w:line="250" w:lineRule="auto"/>
              <w:rPr>
                <w:rFonts w:ascii="Arial"/>
                <w:sz w:val="21"/>
              </w:rPr>
            </w:pPr>
          </w:p>
          <w:p w14:paraId="744104C3">
            <w:pPr>
              <w:spacing w:line="250" w:lineRule="auto"/>
              <w:rPr>
                <w:rFonts w:ascii="Arial"/>
                <w:sz w:val="21"/>
              </w:rPr>
            </w:pPr>
          </w:p>
          <w:p w14:paraId="41063F1B">
            <w:pPr>
              <w:spacing w:before="69" w:line="242" w:lineRule="auto"/>
              <w:ind w:left="102" w:right="116" w:hanging="1"/>
              <w:rPr>
                <w:rFonts w:ascii="宋体" w:hAnsi="宋体" w:eastAsia="宋体" w:cs="宋体"/>
                <w:sz w:val="21"/>
                <w:szCs w:val="21"/>
              </w:rPr>
            </w:pPr>
            <w:r>
              <w:rPr>
                <w:rFonts w:ascii="宋体" w:hAnsi="宋体" w:eastAsia="宋体" w:cs="宋体"/>
                <w:spacing w:val="-4"/>
                <w:sz w:val="21"/>
                <w:szCs w:val="21"/>
              </w:rPr>
              <w:t>库区清理工程</w:t>
            </w:r>
          </w:p>
        </w:tc>
        <w:tc>
          <w:tcPr>
            <w:tcW w:w="3036" w:type="dxa"/>
            <w:vAlign w:val="top"/>
          </w:tcPr>
          <w:p w14:paraId="25745717">
            <w:pPr>
              <w:spacing w:line="438" w:lineRule="auto"/>
              <w:rPr>
                <w:rFonts w:ascii="Arial"/>
                <w:sz w:val="21"/>
              </w:rPr>
            </w:pPr>
          </w:p>
          <w:p w14:paraId="647B4D63">
            <w:pPr>
              <w:pStyle w:val="6"/>
              <w:spacing w:before="68" w:line="238" w:lineRule="auto"/>
              <w:ind w:left="48" w:firstLine="1"/>
              <w:jc w:val="both"/>
              <w:rPr>
                <w:rFonts w:ascii="宋体" w:hAnsi="宋体" w:eastAsia="宋体" w:cs="宋体"/>
              </w:rPr>
            </w:pPr>
            <w:r>
              <w:rPr>
                <w:rFonts w:ascii="宋体" w:hAnsi="宋体" w:eastAsia="宋体" w:cs="宋体"/>
                <w:spacing w:val="-10"/>
              </w:rPr>
              <w:t>库</w:t>
            </w:r>
            <w:r>
              <w:rPr>
                <w:rFonts w:ascii="宋体" w:hAnsi="宋体" w:eastAsia="宋体" w:cs="宋体"/>
                <w:spacing w:val="-44"/>
              </w:rPr>
              <w:t xml:space="preserve"> </w:t>
            </w:r>
            <w:r>
              <w:rPr>
                <w:rFonts w:ascii="宋体" w:hAnsi="宋体" w:eastAsia="宋体" w:cs="宋体"/>
                <w:spacing w:val="-10"/>
              </w:rPr>
              <w:t>区</w:t>
            </w:r>
            <w:r>
              <w:rPr>
                <w:rFonts w:ascii="宋体" w:hAnsi="宋体" w:eastAsia="宋体" w:cs="宋体"/>
                <w:spacing w:val="-61"/>
              </w:rPr>
              <w:t xml:space="preserve"> </w:t>
            </w:r>
            <w:r>
              <w:rPr>
                <w:rFonts w:ascii="宋体" w:hAnsi="宋体" w:eastAsia="宋体" w:cs="宋体"/>
                <w:spacing w:val="-10"/>
              </w:rPr>
              <w:t>共</w:t>
            </w:r>
            <w:r>
              <w:rPr>
                <w:rFonts w:ascii="宋体" w:hAnsi="宋体" w:eastAsia="宋体" w:cs="宋体"/>
                <w:spacing w:val="-49"/>
              </w:rPr>
              <w:t xml:space="preserve"> </w:t>
            </w:r>
            <w:r>
              <w:rPr>
                <w:rFonts w:ascii="宋体" w:hAnsi="宋体" w:eastAsia="宋体" w:cs="宋体"/>
                <w:spacing w:val="-10"/>
              </w:rPr>
              <w:t>需</w:t>
            </w:r>
            <w:r>
              <w:rPr>
                <w:rFonts w:ascii="宋体" w:hAnsi="宋体" w:eastAsia="宋体" w:cs="宋体"/>
                <w:spacing w:val="-59"/>
              </w:rPr>
              <w:t xml:space="preserve"> </w:t>
            </w:r>
            <w:r>
              <w:rPr>
                <w:rFonts w:ascii="宋体" w:hAnsi="宋体" w:eastAsia="宋体" w:cs="宋体"/>
                <w:spacing w:val="-10"/>
              </w:rPr>
              <w:t>清</w:t>
            </w:r>
            <w:r>
              <w:rPr>
                <w:rFonts w:ascii="宋体" w:hAnsi="宋体" w:eastAsia="宋体" w:cs="宋体"/>
                <w:spacing w:val="-57"/>
              </w:rPr>
              <w:t xml:space="preserve"> </w:t>
            </w:r>
            <w:r>
              <w:rPr>
                <w:rFonts w:ascii="宋体" w:hAnsi="宋体" w:eastAsia="宋体" w:cs="宋体"/>
                <w:spacing w:val="-10"/>
              </w:rPr>
              <w:t>理</w:t>
            </w:r>
            <w:r>
              <w:rPr>
                <w:rFonts w:ascii="宋体" w:hAnsi="宋体" w:eastAsia="宋体" w:cs="宋体"/>
                <w:spacing w:val="-58"/>
              </w:rPr>
              <w:t xml:space="preserve"> </w:t>
            </w:r>
            <w:r>
              <w:rPr>
                <w:rFonts w:ascii="宋体" w:hAnsi="宋体" w:eastAsia="宋体" w:cs="宋体"/>
                <w:spacing w:val="-10"/>
              </w:rPr>
              <w:t>建</w:t>
            </w:r>
            <w:r>
              <w:rPr>
                <w:rFonts w:ascii="宋体" w:hAnsi="宋体" w:eastAsia="宋体" w:cs="宋体"/>
                <w:spacing w:val="-70"/>
              </w:rPr>
              <w:t xml:space="preserve"> </w:t>
            </w:r>
            <w:r>
              <w:rPr>
                <w:rFonts w:ascii="宋体" w:hAnsi="宋体" w:eastAsia="宋体" w:cs="宋体"/>
                <w:spacing w:val="-10"/>
              </w:rPr>
              <w:t>（构</w:t>
            </w:r>
            <w:r>
              <w:rPr>
                <w:rFonts w:ascii="宋体" w:hAnsi="宋体" w:eastAsia="宋体" w:cs="宋体"/>
                <w:spacing w:val="-38"/>
              </w:rPr>
              <w:t xml:space="preserve"> </w:t>
            </w:r>
            <w:r>
              <w:rPr>
                <w:rFonts w:ascii="宋体" w:hAnsi="宋体" w:eastAsia="宋体" w:cs="宋体"/>
                <w:spacing w:val="-10"/>
              </w:rPr>
              <w:t>）</w:t>
            </w:r>
            <w:r>
              <w:rPr>
                <w:rFonts w:ascii="宋体" w:hAnsi="宋体" w:eastAsia="宋体" w:cs="宋体"/>
                <w:spacing w:val="-59"/>
              </w:rPr>
              <w:t xml:space="preserve"> </w:t>
            </w:r>
            <w:r>
              <w:rPr>
                <w:rFonts w:ascii="宋体" w:hAnsi="宋体" w:eastAsia="宋体" w:cs="宋体"/>
                <w:spacing w:val="-10"/>
              </w:rPr>
              <w:t>筑</w:t>
            </w:r>
            <w:r>
              <w:rPr>
                <w:rFonts w:ascii="宋体" w:hAnsi="宋体" w:eastAsia="宋体" w:cs="宋体"/>
                <w:spacing w:val="-61"/>
              </w:rPr>
              <w:t xml:space="preserve"> </w:t>
            </w:r>
            <w:r>
              <w:rPr>
                <w:rFonts w:ascii="宋体" w:hAnsi="宋体" w:eastAsia="宋体" w:cs="宋体"/>
                <w:spacing w:val="-10"/>
              </w:rPr>
              <w:t>物</w:t>
            </w:r>
            <w:r>
              <w:rPr>
                <w:spacing w:val="-6"/>
              </w:rPr>
              <w:t>16370.67m</w:t>
            </w:r>
            <w:r>
              <w:rPr>
                <w:spacing w:val="-6"/>
                <w:position w:val="7"/>
                <w:sz w:val="14"/>
                <w:szCs w:val="14"/>
              </w:rPr>
              <w:t>2</w:t>
            </w:r>
            <w:r>
              <w:rPr>
                <w:rFonts w:ascii="宋体" w:hAnsi="宋体" w:eastAsia="宋体" w:cs="宋体"/>
                <w:spacing w:val="-6"/>
              </w:rPr>
              <w:t>、清理林地</w:t>
            </w:r>
            <w:r>
              <w:rPr>
                <w:spacing w:val="-6"/>
              </w:rPr>
              <w:t xml:space="preserve">2853.5 </w:t>
            </w:r>
            <w:r>
              <w:rPr>
                <w:rFonts w:ascii="宋体" w:hAnsi="宋体" w:eastAsia="宋体" w:cs="宋体"/>
                <w:spacing w:val="-6"/>
              </w:rPr>
              <w:t>亩、</w:t>
            </w:r>
            <w:r>
              <w:rPr>
                <w:rFonts w:ascii="宋体" w:hAnsi="宋体" w:eastAsia="宋体" w:cs="宋体"/>
              </w:rPr>
              <w:t xml:space="preserve">清理园地 </w:t>
            </w:r>
            <w:r>
              <w:t xml:space="preserve">501.28  </w:t>
            </w:r>
            <w:r>
              <w:rPr>
                <w:rFonts w:ascii="宋体" w:hAnsi="宋体" w:eastAsia="宋体" w:cs="宋体"/>
              </w:rPr>
              <w:t>亩、清理迹地</w:t>
            </w:r>
            <w:r>
              <w:rPr>
                <w:spacing w:val="5"/>
              </w:rPr>
              <w:t>7.37</w:t>
            </w:r>
            <w:r>
              <w:t>km</w:t>
            </w:r>
            <w:r>
              <w:rPr>
                <w:spacing w:val="5"/>
                <w:position w:val="7"/>
                <w:sz w:val="14"/>
                <w:szCs w:val="14"/>
              </w:rPr>
              <w:t>2</w:t>
            </w:r>
            <w:r>
              <w:rPr>
                <w:rFonts w:ascii="宋体" w:hAnsi="宋体" w:eastAsia="宋体" w:cs="宋体"/>
                <w:spacing w:val="5"/>
              </w:rPr>
              <w:t xml:space="preserve">、清理零星林木 </w:t>
            </w:r>
            <w:r>
              <w:rPr>
                <w:spacing w:val="5"/>
              </w:rPr>
              <w:t>50395</w:t>
            </w:r>
            <w:r>
              <w:rPr>
                <w:rFonts w:ascii="宋体" w:hAnsi="宋体" w:eastAsia="宋体" w:cs="宋体"/>
                <w:spacing w:val="-5"/>
              </w:rPr>
              <w:t>株、清理粪池</w:t>
            </w:r>
            <w:r>
              <w:rPr>
                <w:rFonts w:ascii="宋体" w:hAnsi="宋体" w:eastAsia="宋体" w:cs="宋体"/>
                <w:spacing w:val="-31"/>
              </w:rPr>
              <w:t xml:space="preserve"> </w:t>
            </w:r>
            <w:r>
              <w:rPr>
                <w:spacing w:val="-5"/>
              </w:rPr>
              <w:t>509</w:t>
            </w:r>
            <w:r>
              <w:rPr>
                <w:spacing w:val="13"/>
              </w:rPr>
              <w:t xml:space="preserve"> </w:t>
            </w:r>
            <w:r>
              <w:rPr>
                <w:rFonts w:ascii="宋体" w:hAnsi="宋体" w:eastAsia="宋体" w:cs="宋体"/>
                <w:spacing w:val="-5"/>
              </w:rPr>
              <w:t>处、清理畜牧</w:t>
            </w:r>
            <w:r>
              <w:rPr>
                <w:rFonts w:ascii="宋体" w:hAnsi="宋体" w:eastAsia="宋体" w:cs="宋体"/>
                <w:spacing w:val="-11"/>
              </w:rPr>
              <w:t>栏</w:t>
            </w:r>
            <w:r>
              <w:rPr>
                <w:rFonts w:ascii="宋体" w:hAnsi="宋体" w:eastAsia="宋体" w:cs="宋体"/>
                <w:spacing w:val="-22"/>
              </w:rPr>
              <w:t xml:space="preserve"> </w:t>
            </w:r>
            <w:r>
              <w:rPr>
                <w:spacing w:val="-11"/>
              </w:rPr>
              <w:t>12323.51m</w:t>
            </w:r>
            <w:r>
              <w:rPr>
                <w:spacing w:val="-11"/>
                <w:position w:val="7"/>
                <w:sz w:val="14"/>
                <w:szCs w:val="14"/>
              </w:rPr>
              <w:t>2</w:t>
            </w:r>
            <w:r>
              <w:rPr>
                <w:rFonts w:ascii="宋体" w:hAnsi="宋体" w:eastAsia="宋体" w:cs="宋体"/>
                <w:spacing w:val="-11"/>
              </w:rPr>
              <w:t>、清理坟墓</w:t>
            </w:r>
            <w:r>
              <w:rPr>
                <w:rFonts w:ascii="宋体" w:hAnsi="宋体" w:eastAsia="宋体" w:cs="宋体"/>
                <w:spacing w:val="-39"/>
              </w:rPr>
              <w:t xml:space="preserve"> </w:t>
            </w:r>
            <w:r>
              <w:rPr>
                <w:spacing w:val="-11"/>
              </w:rPr>
              <w:t xml:space="preserve">174 </w:t>
            </w:r>
            <w:r>
              <w:rPr>
                <w:rFonts w:ascii="宋体" w:hAnsi="宋体" w:eastAsia="宋体" w:cs="宋体"/>
                <w:spacing w:val="-11"/>
              </w:rPr>
              <w:t>冢、</w:t>
            </w:r>
            <w:r>
              <w:rPr>
                <w:rFonts w:ascii="宋体" w:hAnsi="宋体" w:eastAsia="宋体" w:cs="宋体"/>
                <w:spacing w:val="-7"/>
              </w:rPr>
              <w:t>清理易漂浮物</w:t>
            </w:r>
            <w:r>
              <w:rPr>
                <w:rFonts w:ascii="宋体" w:hAnsi="宋体" w:eastAsia="宋体" w:cs="宋体"/>
                <w:spacing w:val="-45"/>
              </w:rPr>
              <w:t xml:space="preserve"> </w:t>
            </w:r>
            <w:r>
              <w:rPr>
                <w:spacing w:val="-7"/>
              </w:rPr>
              <w:t>7.84km</w:t>
            </w:r>
            <w:r>
              <w:rPr>
                <w:spacing w:val="-7"/>
                <w:position w:val="7"/>
                <w:sz w:val="14"/>
                <w:szCs w:val="14"/>
              </w:rPr>
              <w:t>2</w:t>
            </w:r>
            <w:r>
              <w:rPr>
                <w:rFonts w:ascii="宋体" w:hAnsi="宋体" w:eastAsia="宋体" w:cs="宋体"/>
                <w:spacing w:val="-7"/>
              </w:rPr>
              <w:t>、灭鼠</w:t>
            </w:r>
            <w:r>
              <w:rPr>
                <w:rFonts w:ascii="宋体" w:hAnsi="宋体" w:eastAsia="宋体" w:cs="宋体"/>
                <w:spacing w:val="-42"/>
              </w:rPr>
              <w:t xml:space="preserve"> </w:t>
            </w:r>
            <w:r>
              <w:rPr>
                <w:spacing w:val="-7"/>
              </w:rPr>
              <w:t>507</w:t>
            </w:r>
            <w:r>
              <w:rPr>
                <w:rFonts w:ascii="宋体" w:hAnsi="宋体" w:eastAsia="宋体" w:cs="宋体"/>
                <w:spacing w:val="-11"/>
              </w:rPr>
              <w:t>户。</w:t>
            </w:r>
          </w:p>
        </w:tc>
        <w:tc>
          <w:tcPr>
            <w:tcW w:w="3038" w:type="dxa"/>
            <w:vAlign w:val="top"/>
          </w:tcPr>
          <w:p w14:paraId="7793C97D">
            <w:pPr>
              <w:pStyle w:val="6"/>
              <w:spacing w:before="93"/>
              <w:ind w:left="54" w:right="41" w:firstLine="6"/>
              <w:rPr>
                <w:rFonts w:ascii="宋体" w:hAnsi="宋体" w:eastAsia="宋体" w:cs="宋体"/>
              </w:rPr>
            </w:pPr>
            <w:r>
              <w:rPr>
                <w:rFonts w:ascii="宋体" w:hAnsi="宋体" w:eastAsia="宋体" w:cs="宋体"/>
                <w:spacing w:val="-3"/>
              </w:rPr>
              <w:t>清理建筑物</w:t>
            </w:r>
            <w:r>
              <w:rPr>
                <w:rFonts w:ascii="宋体" w:hAnsi="宋体" w:eastAsia="宋体" w:cs="宋体"/>
                <w:spacing w:val="-16"/>
              </w:rPr>
              <w:t xml:space="preserve"> </w:t>
            </w:r>
            <w:r>
              <w:rPr>
                <w:spacing w:val="-3"/>
              </w:rPr>
              <w:t>150315.92</w:t>
            </w:r>
            <w:r>
              <w:rPr>
                <w:spacing w:val="-11"/>
              </w:rPr>
              <w:t xml:space="preserve"> </w:t>
            </w:r>
            <w:r>
              <w:rPr>
                <w:spacing w:val="-3"/>
              </w:rPr>
              <w:t>m</w:t>
            </w:r>
            <w:r>
              <w:rPr>
                <w:spacing w:val="-3"/>
                <w:position w:val="7"/>
                <w:sz w:val="14"/>
                <w:szCs w:val="14"/>
              </w:rPr>
              <w:t>2</w:t>
            </w:r>
            <w:r>
              <w:rPr>
                <w:spacing w:val="9"/>
                <w:w w:val="101"/>
                <w:position w:val="7"/>
                <w:sz w:val="14"/>
                <w:szCs w:val="14"/>
              </w:rPr>
              <w:t xml:space="preserve"> </w:t>
            </w:r>
            <w:r>
              <w:rPr>
                <w:rFonts w:ascii="宋体" w:hAnsi="宋体" w:eastAsia="宋体" w:cs="宋体"/>
                <w:spacing w:val="-3"/>
              </w:rPr>
              <w:t>及水窖</w:t>
            </w:r>
            <w:r>
              <w:rPr>
                <w:spacing w:val="-10"/>
              </w:rPr>
              <w:t>155m</w:t>
            </w:r>
            <w:r>
              <w:rPr>
                <w:spacing w:val="-10"/>
                <w:position w:val="7"/>
                <w:sz w:val="14"/>
                <w:szCs w:val="14"/>
              </w:rPr>
              <w:t>3</w:t>
            </w:r>
            <w:r>
              <w:rPr>
                <w:rFonts w:ascii="宋体" w:hAnsi="宋体" w:eastAsia="宋体" w:cs="宋体"/>
                <w:spacing w:val="-10"/>
              </w:rPr>
              <w:t>、水井</w:t>
            </w:r>
            <w:r>
              <w:rPr>
                <w:rFonts w:ascii="宋体" w:hAnsi="宋体" w:eastAsia="宋体" w:cs="宋体"/>
                <w:spacing w:val="-45"/>
              </w:rPr>
              <w:t xml:space="preserve"> </w:t>
            </w:r>
            <w:r>
              <w:rPr>
                <w:spacing w:val="-10"/>
              </w:rPr>
              <w:t>6</w:t>
            </w:r>
            <w:r>
              <w:rPr>
                <w:spacing w:val="41"/>
                <w:w w:val="101"/>
              </w:rPr>
              <w:t xml:space="preserve"> </w:t>
            </w:r>
            <w:r>
              <w:rPr>
                <w:rFonts w:ascii="宋体" w:hAnsi="宋体" w:eastAsia="宋体" w:cs="宋体"/>
                <w:spacing w:val="-10"/>
              </w:rPr>
              <w:t>口、围墙</w:t>
            </w:r>
            <w:r>
              <w:rPr>
                <w:rFonts w:ascii="宋体" w:hAnsi="宋体" w:eastAsia="宋体" w:cs="宋体"/>
                <w:spacing w:val="-29"/>
              </w:rPr>
              <w:t xml:space="preserve"> </w:t>
            </w:r>
            <w:r>
              <w:rPr>
                <w:spacing w:val="-10"/>
              </w:rPr>
              <w:t>19648.48</w:t>
            </w:r>
            <w:r>
              <w:t xml:space="preserve"> </w:t>
            </w:r>
            <w:r>
              <w:rPr>
                <w:spacing w:val="-11"/>
              </w:rPr>
              <w:t>m</w:t>
            </w:r>
            <w:r>
              <w:rPr>
                <w:spacing w:val="-11"/>
                <w:position w:val="7"/>
                <w:sz w:val="14"/>
                <w:szCs w:val="14"/>
              </w:rPr>
              <w:t>2</w:t>
            </w:r>
            <w:r>
              <w:rPr>
                <w:rFonts w:ascii="宋体" w:hAnsi="宋体" w:eastAsia="宋体" w:cs="宋体"/>
                <w:spacing w:val="-11"/>
              </w:rPr>
              <w:t>、各种桥梁</w:t>
            </w:r>
            <w:r>
              <w:rPr>
                <w:rFonts w:ascii="宋体" w:hAnsi="宋体" w:eastAsia="宋体" w:cs="宋体"/>
                <w:spacing w:val="-26"/>
              </w:rPr>
              <w:t xml:space="preserve"> </w:t>
            </w:r>
            <w:r>
              <w:rPr>
                <w:spacing w:val="-11"/>
              </w:rPr>
              <w:t>17</w:t>
            </w:r>
            <w:r>
              <w:rPr>
                <w:spacing w:val="11"/>
              </w:rPr>
              <w:t xml:space="preserve"> </w:t>
            </w:r>
            <w:r>
              <w:rPr>
                <w:rFonts w:ascii="宋体" w:hAnsi="宋体" w:eastAsia="宋体" w:cs="宋体"/>
                <w:spacing w:val="-11"/>
              </w:rPr>
              <w:t>座等构筑物；清</w:t>
            </w:r>
            <w:r>
              <w:rPr>
                <w:rFonts w:ascii="宋体" w:hAnsi="宋体" w:eastAsia="宋体" w:cs="宋体"/>
                <w:spacing w:val="-1"/>
              </w:rPr>
              <w:t xml:space="preserve">理林地 </w:t>
            </w:r>
            <w:r>
              <w:rPr>
                <w:spacing w:val="-1"/>
              </w:rPr>
              <w:t xml:space="preserve">2755.6  </w:t>
            </w:r>
            <w:r>
              <w:rPr>
                <w:rFonts w:ascii="宋体" w:hAnsi="宋体" w:eastAsia="宋体" w:cs="宋体"/>
                <w:spacing w:val="-1"/>
              </w:rPr>
              <w:t xml:space="preserve">亩、园地 </w:t>
            </w:r>
            <w:r>
              <w:rPr>
                <w:spacing w:val="-1"/>
              </w:rPr>
              <w:t>592.37</w:t>
            </w:r>
            <w:r>
              <w:rPr>
                <w:rFonts w:ascii="宋体" w:hAnsi="宋体" w:eastAsia="宋体" w:cs="宋体"/>
                <w:spacing w:val="-1"/>
              </w:rPr>
              <w:t>亩、零星林木</w:t>
            </w:r>
            <w:r>
              <w:rPr>
                <w:rFonts w:ascii="宋体" w:hAnsi="宋体" w:eastAsia="宋体" w:cs="宋体"/>
                <w:spacing w:val="-49"/>
              </w:rPr>
              <w:t xml:space="preserve"> </w:t>
            </w:r>
            <w:r>
              <w:rPr>
                <w:spacing w:val="-1"/>
              </w:rPr>
              <w:t xml:space="preserve">47139 </w:t>
            </w:r>
            <w:r>
              <w:rPr>
                <w:rFonts w:ascii="宋体" w:hAnsi="宋体" w:eastAsia="宋体" w:cs="宋体"/>
                <w:spacing w:val="-1"/>
              </w:rPr>
              <w:t>株（丛</w:t>
            </w:r>
            <w:r>
              <w:rPr>
                <w:rFonts w:ascii="宋体" w:hAnsi="宋体" w:eastAsia="宋体" w:cs="宋体"/>
                <w:spacing w:val="1"/>
              </w:rPr>
              <w:t>）；清理林质门窗、杆材等</w:t>
            </w:r>
            <w:r>
              <w:rPr>
                <w:rFonts w:ascii="宋体" w:hAnsi="宋体" w:eastAsia="宋体" w:cs="宋体"/>
                <w:spacing w:val="26"/>
              </w:rPr>
              <w:t xml:space="preserve"> </w:t>
            </w:r>
            <w:r>
              <w:rPr>
                <w:spacing w:val="1"/>
              </w:rPr>
              <w:t>1908.31</w:t>
            </w:r>
            <w:r>
              <w:t xml:space="preserve"> </w:t>
            </w:r>
            <w:r>
              <w:rPr>
                <w:spacing w:val="-5"/>
              </w:rPr>
              <w:t>m</w:t>
            </w:r>
            <w:r>
              <w:rPr>
                <w:spacing w:val="-5"/>
                <w:position w:val="7"/>
                <w:sz w:val="14"/>
                <w:szCs w:val="14"/>
              </w:rPr>
              <w:t>2</w:t>
            </w:r>
            <w:r>
              <w:rPr>
                <w:rFonts w:ascii="宋体" w:hAnsi="宋体" w:eastAsia="宋体" w:cs="宋体"/>
                <w:spacing w:val="-5"/>
              </w:rPr>
              <w:t>、农作物秸秆</w:t>
            </w:r>
            <w:r>
              <w:rPr>
                <w:rFonts w:ascii="宋体" w:hAnsi="宋体" w:eastAsia="宋体" w:cs="宋体"/>
                <w:spacing w:val="-38"/>
              </w:rPr>
              <w:t xml:space="preserve"> </w:t>
            </w:r>
            <w:r>
              <w:rPr>
                <w:spacing w:val="-5"/>
              </w:rPr>
              <w:t xml:space="preserve">65441.92 </w:t>
            </w:r>
            <w:r>
              <w:rPr>
                <w:rFonts w:ascii="宋体" w:hAnsi="宋体" w:eastAsia="宋体" w:cs="宋体"/>
                <w:spacing w:val="-5"/>
              </w:rPr>
              <w:t>亩、林</w:t>
            </w:r>
            <w:r>
              <w:rPr>
                <w:rFonts w:ascii="宋体" w:hAnsi="宋体" w:eastAsia="宋体" w:cs="宋体"/>
                <w:spacing w:val="-4"/>
              </w:rPr>
              <w:t>木枝桠</w:t>
            </w:r>
            <w:r>
              <w:rPr>
                <w:rFonts w:ascii="宋体" w:hAnsi="宋体" w:eastAsia="宋体" w:cs="宋体"/>
                <w:spacing w:val="-43"/>
              </w:rPr>
              <w:t xml:space="preserve"> </w:t>
            </w:r>
            <w:r>
              <w:rPr>
                <w:spacing w:val="-4"/>
              </w:rPr>
              <w:t xml:space="preserve">2755.6 </w:t>
            </w:r>
            <w:r>
              <w:rPr>
                <w:rFonts w:ascii="宋体" w:hAnsi="宋体" w:eastAsia="宋体" w:cs="宋体"/>
                <w:spacing w:val="-4"/>
              </w:rPr>
              <w:t>亩；清理集中堆放</w:t>
            </w:r>
            <w:r>
              <w:rPr>
                <w:rFonts w:ascii="宋体" w:hAnsi="宋体" w:eastAsia="宋体" w:cs="宋体"/>
                <w:spacing w:val="-9"/>
              </w:rPr>
              <w:t>生活垃圾场地</w:t>
            </w:r>
            <w:r>
              <w:rPr>
                <w:rFonts w:ascii="宋体" w:hAnsi="宋体" w:eastAsia="宋体" w:cs="宋体"/>
                <w:spacing w:val="-24"/>
              </w:rPr>
              <w:t xml:space="preserve"> </w:t>
            </w:r>
            <w:r>
              <w:rPr>
                <w:spacing w:val="-9"/>
              </w:rPr>
              <w:t xml:space="preserve">16 </w:t>
            </w:r>
            <w:r>
              <w:rPr>
                <w:rFonts w:ascii="宋体" w:hAnsi="宋体" w:eastAsia="宋体" w:cs="宋体"/>
                <w:spacing w:val="-9"/>
              </w:rPr>
              <w:t>处；清理沼气池</w:t>
            </w:r>
            <w:r>
              <w:rPr>
                <w:spacing w:val="-8"/>
              </w:rPr>
              <w:t xml:space="preserve">155 </w:t>
            </w:r>
            <w:r>
              <w:rPr>
                <w:rFonts w:ascii="宋体" w:hAnsi="宋体" w:eastAsia="宋体" w:cs="宋体"/>
                <w:spacing w:val="-8"/>
              </w:rPr>
              <w:t>个、厕所</w:t>
            </w:r>
            <w:r>
              <w:rPr>
                <w:rFonts w:ascii="宋体" w:hAnsi="宋体" w:eastAsia="宋体" w:cs="宋体"/>
                <w:spacing w:val="-15"/>
              </w:rPr>
              <w:t xml:space="preserve"> </w:t>
            </w:r>
            <w:r>
              <w:rPr>
                <w:spacing w:val="-8"/>
              </w:rPr>
              <w:t>1978.06 m</w:t>
            </w:r>
            <w:r>
              <w:rPr>
                <w:spacing w:val="-8"/>
                <w:position w:val="7"/>
                <w:sz w:val="14"/>
                <w:szCs w:val="14"/>
              </w:rPr>
              <w:t>2</w:t>
            </w:r>
            <w:r>
              <w:rPr>
                <w:rFonts w:ascii="宋体" w:hAnsi="宋体" w:eastAsia="宋体" w:cs="宋体"/>
                <w:spacing w:val="-8"/>
              </w:rPr>
              <w:t>、牲畜栏</w:t>
            </w:r>
            <w:r>
              <w:rPr>
                <w:spacing w:val="-4"/>
              </w:rPr>
              <w:t>12557.78 m</w:t>
            </w:r>
            <w:r>
              <w:rPr>
                <w:spacing w:val="-4"/>
                <w:position w:val="7"/>
                <w:sz w:val="14"/>
                <w:szCs w:val="14"/>
              </w:rPr>
              <w:t>2</w:t>
            </w:r>
            <w:r>
              <w:rPr>
                <w:rFonts w:ascii="宋体" w:hAnsi="宋体" w:eastAsia="宋体" w:cs="宋体"/>
                <w:spacing w:val="-4"/>
              </w:rPr>
              <w:t xml:space="preserve">、坟墓 </w:t>
            </w:r>
            <w:r>
              <w:rPr>
                <w:spacing w:val="-4"/>
              </w:rPr>
              <w:t>174</w:t>
            </w:r>
            <w:r>
              <w:rPr>
                <w:spacing w:val="24"/>
                <w:w w:val="101"/>
              </w:rPr>
              <w:t xml:space="preserve"> </w:t>
            </w:r>
            <w:r>
              <w:rPr>
                <w:rFonts w:ascii="宋体" w:hAnsi="宋体" w:eastAsia="宋体" w:cs="宋体"/>
                <w:spacing w:val="-4"/>
              </w:rPr>
              <w:t>冢。</w:t>
            </w:r>
          </w:p>
        </w:tc>
        <w:tc>
          <w:tcPr>
            <w:tcW w:w="1121" w:type="dxa"/>
            <w:tcBorders>
              <w:right w:val="single" w:color="000000" w:sz="12" w:space="0"/>
            </w:tcBorders>
            <w:vAlign w:val="top"/>
          </w:tcPr>
          <w:p w14:paraId="4308ABD8">
            <w:pPr>
              <w:spacing w:line="249" w:lineRule="auto"/>
              <w:rPr>
                <w:rFonts w:ascii="Arial"/>
                <w:sz w:val="21"/>
              </w:rPr>
            </w:pPr>
          </w:p>
          <w:p w14:paraId="1F8F5B36">
            <w:pPr>
              <w:spacing w:line="249" w:lineRule="auto"/>
              <w:rPr>
                <w:rFonts w:ascii="Arial"/>
                <w:sz w:val="21"/>
              </w:rPr>
            </w:pPr>
          </w:p>
          <w:p w14:paraId="48530A1A">
            <w:pPr>
              <w:spacing w:line="249" w:lineRule="auto"/>
              <w:rPr>
                <w:rFonts w:ascii="Arial"/>
                <w:sz w:val="21"/>
              </w:rPr>
            </w:pPr>
          </w:p>
          <w:p w14:paraId="652F1E9D">
            <w:pPr>
              <w:spacing w:line="250" w:lineRule="auto"/>
              <w:rPr>
                <w:rFonts w:ascii="Arial"/>
                <w:sz w:val="21"/>
              </w:rPr>
            </w:pPr>
          </w:p>
          <w:p w14:paraId="67373C36">
            <w:pPr>
              <w:spacing w:line="250" w:lineRule="auto"/>
              <w:rPr>
                <w:rFonts w:ascii="Arial"/>
                <w:sz w:val="21"/>
              </w:rPr>
            </w:pPr>
          </w:p>
          <w:p w14:paraId="02265195">
            <w:pPr>
              <w:spacing w:before="68"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r w14:paraId="52132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trPr>
        <w:tc>
          <w:tcPr>
            <w:tcW w:w="429" w:type="dxa"/>
            <w:vMerge w:val="continue"/>
            <w:tcBorders>
              <w:top w:val="nil"/>
              <w:left w:val="single" w:color="000000" w:sz="12" w:space="0"/>
              <w:bottom w:val="nil"/>
            </w:tcBorders>
            <w:textDirection w:val="tbRlV"/>
            <w:vAlign w:val="top"/>
          </w:tcPr>
          <w:p w14:paraId="551AE74C">
            <w:pPr>
              <w:rPr>
                <w:rFonts w:ascii="Arial"/>
                <w:sz w:val="21"/>
              </w:rPr>
            </w:pPr>
          </w:p>
        </w:tc>
        <w:tc>
          <w:tcPr>
            <w:tcW w:w="849" w:type="dxa"/>
            <w:vAlign w:val="top"/>
          </w:tcPr>
          <w:p w14:paraId="2E24100E">
            <w:pPr>
              <w:spacing w:line="289" w:lineRule="auto"/>
              <w:rPr>
                <w:rFonts w:ascii="Arial"/>
                <w:sz w:val="21"/>
              </w:rPr>
            </w:pPr>
          </w:p>
          <w:p w14:paraId="573A617B">
            <w:pPr>
              <w:spacing w:line="290" w:lineRule="auto"/>
              <w:rPr>
                <w:rFonts w:ascii="Arial"/>
                <w:sz w:val="21"/>
              </w:rPr>
            </w:pPr>
          </w:p>
          <w:p w14:paraId="0F062704">
            <w:pPr>
              <w:spacing w:before="68" w:line="244" w:lineRule="auto"/>
              <w:ind w:left="308" w:right="116" w:hanging="207"/>
              <w:rPr>
                <w:rFonts w:ascii="宋体" w:hAnsi="宋体" w:eastAsia="宋体" w:cs="宋体"/>
                <w:sz w:val="21"/>
                <w:szCs w:val="21"/>
              </w:rPr>
            </w:pPr>
            <w:r>
              <w:rPr>
                <w:rFonts w:ascii="宋体" w:hAnsi="宋体" w:eastAsia="宋体" w:cs="宋体"/>
                <w:spacing w:val="-4"/>
                <w:sz w:val="21"/>
                <w:szCs w:val="21"/>
              </w:rPr>
              <w:t>移民安</w:t>
            </w:r>
            <w:r>
              <w:rPr>
                <w:rFonts w:ascii="宋体" w:hAnsi="宋体" w:eastAsia="宋体" w:cs="宋体"/>
                <w:sz w:val="21"/>
                <w:szCs w:val="21"/>
              </w:rPr>
              <w:t>置</w:t>
            </w:r>
          </w:p>
        </w:tc>
        <w:tc>
          <w:tcPr>
            <w:tcW w:w="3036" w:type="dxa"/>
            <w:vAlign w:val="top"/>
          </w:tcPr>
          <w:p w14:paraId="77EF9CA5">
            <w:pPr>
              <w:pStyle w:val="6"/>
              <w:spacing w:before="107" w:line="239" w:lineRule="auto"/>
              <w:ind w:left="45" w:right="50" w:firstLine="4"/>
              <w:jc w:val="both"/>
              <w:rPr>
                <w:rFonts w:ascii="宋体" w:hAnsi="宋体" w:eastAsia="宋体" w:cs="宋体"/>
              </w:rPr>
            </w:pPr>
            <w:r>
              <w:rPr>
                <w:rFonts w:ascii="宋体" w:hAnsi="宋体" w:eastAsia="宋体" w:cs="宋体"/>
                <w:spacing w:val="14"/>
              </w:rPr>
              <w:t>规划水平年工程生产安置人口</w:t>
            </w:r>
            <w:r>
              <w:rPr>
                <w:spacing w:val="-2"/>
              </w:rPr>
              <w:t xml:space="preserve">2353 </w:t>
            </w:r>
            <w:r>
              <w:rPr>
                <w:rFonts w:ascii="宋体" w:hAnsi="宋体" w:eastAsia="宋体" w:cs="宋体"/>
                <w:spacing w:val="-2"/>
              </w:rPr>
              <w:t>人，工程搬迁安置人口</w:t>
            </w:r>
            <w:r>
              <w:rPr>
                <w:rFonts w:ascii="宋体" w:hAnsi="宋体" w:eastAsia="宋体" w:cs="宋体"/>
                <w:spacing w:val="-29"/>
              </w:rPr>
              <w:t xml:space="preserve"> </w:t>
            </w:r>
            <w:r>
              <w:rPr>
                <w:spacing w:val="-2"/>
              </w:rPr>
              <w:t>543</w:t>
            </w:r>
            <w:r>
              <w:rPr>
                <w:rFonts w:ascii="宋体" w:hAnsi="宋体" w:eastAsia="宋体" w:cs="宋体"/>
                <w:spacing w:val="-5"/>
              </w:rPr>
              <w:t xml:space="preserve">户 </w:t>
            </w:r>
            <w:r>
              <w:rPr>
                <w:spacing w:val="-5"/>
              </w:rPr>
              <w:t>1977</w:t>
            </w:r>
            <w:r>
              <w:rPr>
                <w:spacing w:val="39"/>
                <w:w w:val="101"/>
              </w:rPr>
              <w:t xml:space="preserve"> </w:t>
            </w:r>
            <w:r>
              <w:rPr>
                <w:rFonts w:ascii="宋体" w:hAnsi="宋体" w:eastAsia="宋体" w:cs="宋体"/>
                <w:spacing w:val="-5"/>
              </w:rPr>
              <w:t xml:space="preserve">人。共布置了 </w:t>
            </w:r>
            <w:r>
              <w:rPr>
                <w:spacing w:val="-5"/>
              </w:rPr>
              <w:t>8</w:t>
            </w:r>
            <w:r>
              <w:rPr>
                <w:spacing w:val="33"/>
              </w:rPr>
              <w:t xml:space="preserve"> </w:t>
            </w:r>
            <w:r>
              <w:rPr>
                <w:rFonts w:ascii="宋体" w:hAnsi="宋体" w:eastAsia="宋体" w:cs="宋体"/>
                <w:spacing w:val="-5"/>
              </w:rPr>
              <w:t>个移民</w:t>
            </w:r>
            <w:r>
              <w:rPr>
                <w:rFonts w:ascii="宋体" w:hAnsi="宋体" w:eastAsia="宋体" w:cs="宋体"/>
                <w:spacing w:val="-1"/>
              </w:rPr>
              <w:t>安置点，其中组内后靠集中安置</w:t>
            </w:r>
            <w:r>
              <w:rPr>
                <w:rFonts w:ascii="宋体" w:hAnsi="宋体" w:eastAsia="宋体" w:cs="宋体"/>
                <w:spacing w:val="-2"/>
              </w:rPr>
              <w:t>点</w:t>
            </w:r>
            <w:r>
              <w:rPr>
                <w:rFonts w:ascii="宋体" w:hAnsi="宋体" w:eastAsia="宋体" w:cs="宋体"/>
                <w:spacing w:val="-36"/>
              </w:rPr>
              <w:t xml:space="preserve"> </w:t>
            </w:r>
            <w:r>
              <w:rPr>
                <w:spacing w:val="-2"/>
              </w:rPr>
              <w:t xml:space="preserve">5 </w:t>
            </w:r>
            <w:r>
              <w:rPr>
                <w:rFonts w:ascii="宋体" w:hAnsi="宋体" w:eastAsia="宋体" w:cs="宋体"/>
                <w:spacing w:val="-2"/>
              </w:rPr>
              <w:t>个、居委会内跨组后靠集中安置点</w:t>
            </w:r>
            <w:r>
              <w:rPr>
                <w:rFonts w:ascii="宋体" w:hAnsi="宋体" w:eastAsia="宋体" w:cs="宋体"/>
                <w:spacing w:val="-43"/>
              </w:rPr>
              <w:t xml:space="preserve"> </w:t>
            </w:r>
            <w:r>
              <w:rPr>
                <w:spacing w:val="-2"/>
              </w:rPr>
              <w:t xml:space="preserve">3 </w:t>
            </w:r>
            <w:r>
              <w:rPr>
                <w:rFonts w:ascii="宋体" w:hAnsi="宋体" w:eastAsia="宋体" w:cs="宋体"/>
                <w:spacing w:val="-2"/>
              </w:rPr>
              <w:t>个。</w:t>
            </w:r>
          </w:p>
        </w:tc>
        <w:tc>
          <w:tcPr>
            <w:tcW w:w="3038" w:type="dxa"/>
            <w:vAlign w:val="top"/>
          </w:tcPr>
          <w:p w14:paraId="7955F8E5">
            <w:pPr>
              <w:spacing w:line="306" w:lineRule="auto"/>
              <w:rPr>
                <w:rFonts w:ascii="Arial"/>
                <w:sz w:val="21"/>
              </w:rPr>
            </w:pPr>
          </w:p>
          <w:p w14:paraId="31C8EF2E">
            <w:pPr>
              <w:pStyle w:val="6"/>
              <w:spacing w:before="68" w:line="241" w:lineRule="auto"/>
              <w:ind w:left="56" w:right="41" w:firstLine="4"/>
              <w:jc w:val="both"/>
              <w:rPr>
                <w:rFonts w:ascii="宋体" w:hAnsi="宋体" w:eastAsia="宋体" w:cs="宋体"/>
              </w:rPr>
            </w:pPr>
            <w:r>
              <w:rPr>
                <w:rFonts w:ascii="宋体" w:hAnsi="宋体" w:eastAsia="宋体" w:cs="宋体"/>
                <w:spacing w:val="-8"/>
              </w:rPr>
              <w:t>规</w:t>
            </w:r>
            <w:r>
              <w:rPr>
                <w:rFonts w:ascii="宋体" w:hAnsi="宋体" w:eastAsia="宋体" w:cs="宋体"/>
                <w:spacing w:val="-59"/>
              </w:rPr>
              <w:t xml:space="preserve"> </w:t>
            </w:r>
            <w:r>
              <w:rPr>
                <w:rFonts w:ascii="宋体" w:hAnsi="宋体" w:eastAsia="宋体" w:cs="宋体"/>
                <w:spacing w:val="-8"/>
              </w:rPr>
              <w:t>划</w:t>
            </w:r>
            <w:r>
              <w:rPr>
                <w:rFonts w:ascii="宋体" w:hAnsi="宋体" w:eastAsia="宋体" w:cs="宋体"/>
                <w:spacing w:val="-58"/>
              </w:rPr>
              <w:t xml:space="preserve"> </w:t>
            </w:r>
            <w:r>
              <w:rPr>
                <w:rFonts w:ascii="宋体" w:hAnsi="宋体" w:eastAsia="宋体" w:cs="宋体"/>
                <w:spacing w:val="-8"/>
              </w:rPr>
              <w:t>水</w:t>
            </w:r>
            <w:r>
              <w:rPr>
                <w:rFonts w:ascii="宋体" w:hAnsi="宋体" w:eastAsia="宋体" w:cs="宋体"/>
                <w:spacing w:val="-60"/>
              </w:rPr>
              <w:t xml:space="preserve"> </w:t>
            </w:r>
            <w:r>
              <w:rPr>
                <w:rFonts w:ascii="宋体" w:hAnsi="宋体" w:eastAsia="宋体" w:cs="宋体"/>
                <w:spacing w:val="-8"/>
              </w:rPr>
              <w:t>平</w:t>
            </w:r>
            <w:r>
              <w:rPr>
                <w:rFonts w:ascii="宋体" w:hAnsi="宋体" w:eastAsia="宋体" w:cs="宋体"/>
                <w:spacing w:val="-58"/>
              </w:rPr>
              <w:t xml:space="preserve"> </w:t>
            </w:r>
            <w:r>
              <w:rPr>
                <w:rFonts w:ascii="宋体" w:hAnsi="宋体" w:eastAsia="宋体" w:cs="宋体"/>
                <w:spacing w:val="-8"/>
              </w:rPr>
              <w:t>年</w:t>
            </w:r>
            <w:r>
              <w:rPr>
                <w:rFonts w:ascii="宋体" w:hAnsi="宋体" w:eastAsia="宋体" w:cs="宋体"/>
                <w:spacing w:val="-58"/>
              </w:rPr>
              <w:t xml:space="preserve"> </w:t>
            </w:r>
            <w:r>
              <w:rPr>
                <w:rFonts w:ascii="宋体" w:hAnsi="宋体" w:eastAsia="宋体" w:cs="宋体"/>
                <w:spacing w:val="-8"/>
              </w:rPr>
              <w:t>生</w:t>
            </w:r>
            <w:r>
              <w:rPr>
                <w:rFonts w:ascii="宋体" w:hAnsi="宋体" w:eastAsia="宋体" w:cs="宋体"/>
                <w:spacing w:val="-60"/>
              </w:rPr>
              <w:t xml:space="preserve"> </w:t>
            </w:r>
            <w:r>
              <w:rPr>
                <w:rFonts w:ascii="宋体" w:hAnsi="宋体" w:eastAsia="宋体" w:cs="宋体"/>
                <w:spacing w:val="-8"/>
              </w:rPr>
              <w:t>产</w:t>
            </w:r>
            <w:r>
              <w:rPr>
                <w:rFonts w:ascii="宋体" w:hAnsi="宋体" w:eastAsia="宋体" w:cs="宋体"/>
                <w:spacing w:val="-56"/>
              </w:rPr>
              <w:t xml:space="preserve"> </w:t>
            </w:r>
            <w:r>
              <w:rPr>
                <w:rFonts w:ascii="宋体" w:hAnsi="宋体" w:eastAsia="宋体" w:cs="宋体"/>
                <w:spacing w:val="-8"/>
              </w:rPr>
              <w:t>安</w:t>
            </w:r>
            <w:r>
              <w:rPr>
                <w:rFonts w:ascii="宋体" w:hAnsi="宋体" w:eastAsia="宋体" w:cs="宋体"/>
                <w:spacing w:val="-60"/>
              </w:rPr>
              <w:t xml:space="preserve"> </w:t>
            </w:r>
            <w:r>
              <w:rPr>
                <w:rFonts w:ascii="宋体" w:hAnsi="宋体" w:eastAsia="宋体" w:cs="宋体"/>
                <w:spacing w:val="-8"/>
              </w:rPr>
              <w:t>置</w:t>
            </w:r>
            <w:r>
              <w:rPr>
                <w:rFonts w:ascii="宋体" w:hAnsi="宋体" w:eastAsia="宋体" w:cs="宋体"/>
                <w:spacing w:val="-58"/>
              </w:rPr>
              <w:t xml:space="preserve"> </w:t>
            </w:r>
            <w:r>
              <w:rPr>
                <w:rFonts w:ascii="宋体" w:hAnsi="宋体" w:eastAsia="宋体" w:cs="宋体"/>
                <w:spacing w:val="-8"/>
              </w:rPr>
              <w:t>人</w:t>
            </w:r>
            <w:r>
              <w:rPr>
                <w:rFonts w:ascii="宋体" w:hAnsi="宋体" w:eastAsia="宋体" w:cs="宋体"/>
                <w:spacing w:val="-26"/>
              </w:rPr>
              <w:t xml:space="preserve"> </w:t>
            </w:r>
            <w:r>
              <w:rPr>
                <w:rFonts w:ascii="宋体" w:hAnsi="宋体" w:eastAsia="宋体" w:cs="宋体"/>
                <w:spacing w:val="-8"/>
              </w:rPr>
              <w:t>口为</w:t>
            </w:r>
            <w:r>
              <w:rPr>
                <w:spacing w:val="-2"/>
              </w:rPr>
              <w:t xml:space="preserve">2363 </w:t>
            </w:r>
            <w:r>
              <w:rPr>
                <w:rFonts w:ascii="宋体" w:hAnsi="宋体" w:eastAsia="宋体" w:cs="宋体"/>
                <w:spacing w:val="-2"/>
              </w:rPr>
              <w:t>人，搬迁安置总人口为</w:t>
            </w:r>
            <w:r>
              <w:rPr>
                <w:rFonts w:ascii="宋体" w:hAnsi="宋体" w:eastAsia="宋体" w:cs="宋体"/>
                <w:spacing w:val="-29"/>
              </w:rPr>
              <w:t xml:space="preserve"> </w:t>
            </w:r>
            <w:r>
              <w:rPr>
                <w:spacing w:val="-2"/>
              </w:rPr>
              <w:t>544</w:t>
            </w:r>
            <w:r>
              <w:rPr>
                <w:rFonts w:ascii="宋体" w:hAnsi="宋体" w:eastAsia="宋体" w:cs="宋体"/>
                <w:spacing w:val="-3"/>
              </w:rPr>
              <w:t>户</w:t>
            </w:r>
            <w:r>
              <w:rPr>
                <w:rFonts w:ascii="宋体" w:hAnsi="宋体" w:eastAsia="宋体" w:cs="宋体"/>
                <w:spacing w:val="-16"/>
              </w:rPr>
              <w:t xml:space="preserve"> </w:t>
            </w:r>
            <w:r>
              <w:rPr>
                <w:spacing w:val="-3"/>
              </w:rPr>
              <w:t>2193</w:t>
            </w:r>
            <w:r>
              <w:rPr>
                <w:spacing w:val="35"/>
              </w:rPr>
              <w:t xml:space="preserve"> </w:t>
            </w:r>
            <w:r>
              <w:rPr>
                <w:rFonts w:ascii="宋体" w:hAnsi="宋体" w:eastAsia="宋体" w:cs="宋体"/>
                <w:spacing w:val="-3"/>
              </w:rPr>
              <w:t>人。共规划</w:t>
            </w:r>
            <w:r>
              <w:rPr>
                <w:rFonts w:ascii="宋体" w:hAnsi="宋体" w:eastAsia="宋体" w:cs="宋体"/>
                <w:spacing w:val="-20"/>
              </w:rPr>
              <w:t xml:space="preserve"> </w:t>
            </w:r>
            <w:r>
              <w:rPr>
                <w:spacing w:val="-3"/>
              </w:rPr>
              <w:t>9</w:t>
            </w:r>
            <w:r>
              <w:rPr>
                <w:spacing w:val="33"/>
                <w:w w:val="101"/>
              </w:rPr>
              <w:t xml:space="preserve"> </w:t>
            </w:r>
            <w:r>
              <w:rPr>
                <w:rFonts w:ascii="宋体" w:hAnsi="宋体" w:eastAsia="宋体" w:cs="宋体"/>
                <w:spacing w:val="-3"/>
              </w:rPr>
              <w:t>个集中安</w:t>
            </w:r>
            <w:r>
              <w:rPr>
                <w:rFonts w:ascii="宋体" w:hAnsi="宋体" w:eastAsia="宋体" w:cs="宋体"/>
                <w:spacing w:val="-2"/>
              </w:rPr>
              <w:t>置点和</w:t>
            </w:r>
            <w:r>
              <w:rPr>
                <w:rFonts w:ascii="宋体" w:hAnsi="宋体" w:eastAsia="宋体" w:cs="宋体"/>
                <w:spacing w:val="-34"/>
              </w:rPr>
              <w:t xml:space="preserve"> </w:t>
            </w:r>
            <w:r>
              <w:rPr>
                <w:spacing w:val="-2"/>
              </w:rPr>
              <w:t xml:space="preserve">5 </w:t>
            </w:r>
            <w:r>
              <w:rPr>
                <w:rFonts w:ascii="宋体" w:hAnsi="宋体" w:eastAsia="宋体" w:cs="宋体"/>
                <w:spacing w:val="-2"/>
              </w:rPr>
              <w:t>个分散安置点。</w:t>
            </w:r>
          </w:p>
        </w:tc>
        <w:tc>
          <w:tcPr>
            <w:tcW w:w="1121" w:type="dxa"/>
            <w:tcBorders>
              <w:right w:val="single" w:color="000000" w:sz="12" w:space="0"/>
            </w:tcBorders>
            <w:vAlign w:val="top"/>
          </w:tcPr>
          <w:p w14:paraId="4958BDBC">
            <w:pPr>
              <w:spacing w:line="356" w:lineRule="auto"/>
              <w:rPr>
                <w:rFonts w:ascii="Arial"/>
                <w:sz w:val="21"/>
              </w:rPr>
            </w:pPr>
          </w:p>
          <w:p w14:paraId="6F410E70">
            <w:pPr>
              <w:spacing w:line="356" w:lineRule="auto"/>
              <w:rPr>
                <w:rFonts w:ascii="Arial"/>
                <w:sz w:val="21"/>
              </w:rPr>
            </w:pPr>
          </w:p>
          <w:p w14:paraId="0BCE1968">
            <w:pPr>
              <w:spacing w:before="69"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r w14:paraId="4A310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1" w:hRule="atLeast"/>
        </w:trPr>
        <w:tc>
          <w:tcPr>
            <w:tcW w:w="429" w:type="dxa"/>
            <w:vMerge w:val="continue"/>
            <w:tcBorders>
              <w:top w:val="nil"/>
              <w:left w:val="single" w:color="000000" w:sz="12" w:space="0"/>
              <w:bottom w:val="single" w:color="000000" w:sz="12" w:space="0"/>
            </w:tcBorders>
            <w:textDirection w:val="tbRlV"/>
            <w:vAlign w:val="top"/>
          </w:tcPr>
          <w:p w14:paraId="52A0482E">
            <w:pPr>
              <w:rPr>
                <w:rFonts w:ascii="Arial"/>
                <w:sz w:val="21"/>
              </w:rPr>
            </w:pPr>
          </w:p>
        </w:tc>
        <w:tc>
          <w:tcPr>
            <w:tcW w:w="849" w:type="dxa"/>
            <w:tcBorders>
              <w:bottom w:val="single" w:color="000000" w:sz="12" w:space="0"/>
            </w:tcBorders>
            <w:vAlign w:val="top"/>
          </w:tcPr>
          <w:p w14:paraId="0ACBCF56">
            <w:pPr>
              <w:spacing w:line="251" w:lineRule="auto"/>
              <w:rPr>
                <w:rFonts w:ascii="Arial"/>
                <w:sz w:val="21"/>
              </w:rPr>
            </w:pPr>
          </w:p>
          <w:p w14:paraId="741372F9">
            <w:pPr>
              <w:spacing w:line="251" w:lineRule="auto"/>
              <w:rPr>
                <w:rFonts w:ascii="Arial"/>
                <w:sz w:val="21"/>
              </w:rPr>
            </w:pPr>
          </w:p>
          <w:p w14:paraId="071BAA88">
            <w:pPr>
              <w:spacing w:line="252" w:lineRule="auto"/>
              <w:rPr>
                <w:rFonts w:ascii="Arial"/>
                <w:sz w:val="21"/>
              </w:rPr>
            </w:pPr>
          </w:p>
          <w:p w14:paraId="72EFDDE6">
            <w:pPr>
              <w:spacing w:line="252" w:lineRule="auto"/>
              <w:rPr>
                <w:rFonts w:ascii="Arial"/>
                <w:sz w:val="21"/>
              </w:rPr>
            </w:pPr>
          </w:p>
          <w:p w14:paraId="44D2B8F6">
            <w:pPr>
              <w:spacing w:line="252" w:lineRule="auto"/>
              <w:rPr>
                <w:rFonts w:ascii="Arial"/>
                <w:sz w:val="21"/>
              </w:rPr>
            </w:pPr>
          </w:p>
          <w:p w14:paraId="24DC3B9F">
            <w:pPr>
              <w:spacing w:before="68" w:line="242" w:lineRule="auto"/>
              <w:ind w:left="99" w:right="116" w:firstLine="1"/>
              <w:rPr>
                <w:rFonts w:ascii="宋体" w:hAnsi="宋体" w:eastAsia="宋体" w:cs="宋体"/>
                <w:sz w:val="21"/>
                <w:szCs w:val="21"/>
              </w:rPr>
            </w:pPr>
            <w:r>
              <w:rPr>
                <w:rFonts w:ascii="宋体" w:hAnsi="宋体" w:eastAsia="宋体" w:cs="宋体"/>
                <w:spacing w:val="-4"/>
                <w:sz w:val="21"/>
                <w:szCs w:val="21"/>
              </w:rPr>
              <w:t>专项设</w:t>
            </w:r>
            <w:r>
              <w:rPr>
                <w:rFonts w:ascii="宋体" w:hAnsi="宋体" w:eastAsia="宋体" w:cs="宋体"/>
                <w:spacing w:val="-3"/>
                <w:sz w:val="21"/>
                <w:szCs w:val="21"/>
              </w:rPr>
              <w:t>施复建</w:t>
            </w:r>
          </w:p>
        </w:tc>
        <w:tc>
          <w:tcPr>
            <w:tcW w:w="3036" w:type="dxa"/>
            <w:tcBorders>
              <w:bottom w:val="single" w:color="000000" w:sz="12" w:space="0"/>
            </w:tcBorders>
            <w:vAlign w:val="top"/>
          </w:tcPr>
          <w:p w14:paraId="39ED715D">
            <w:pPr>
              <w:spacing w:line="357" w:lineRule="auto"/>
              <w:rPr>
                <w:rFonts w:ascii="Arial"/>
                <w:sz w:val="21"/>
              </w:rPr>
            </w:pPr>
          </w:p>
          <w:p w14:paraId="3314E09E">
            <w:pPr>
              <w:spacing w:line="357" w:lineRule="auto"/>
              <w:rPr>
                <w:rFonts w:ascii="Arial"/>
                <w:sz w:val="21"/>
              </w:rPr>
            </w:pPr>
          </w:p>
          <w:p w14:paraId="5B9D6A42">
            <w:pPr>
              <w:pStyle w:val="6"/>
              <w:spacing w:before="68" w:line="239" w:lineRule="auto"/>
              <w:ind w:left="44" w:right="51" w:firstLine="6"/>
              <w:jc w:val="both"/>
              <w:rPr>
                <w:rFonts w:ascii="宋体" w:hAnsi="宋体" w:eastAsia="宋体" w:cs="宋体"/>
              </w:rPr>
            </w:pPr>
            <w:r>
              <w:rPr>
                <w:rFonts w:ascii="宋体" w:hAnsi="宋体" w:eastAsia="宋体" w:cs="宋体"/>
                <w:spacing w:val="14"/>
              </w:rPr>
              <w:t>王家庄至干冲县道四级公路及</w:t>
            </w:r>
            <w:r>
              <w:rPr>
                <w:rFonts w:ascii="宋体" w:hAnsi="宋体" w:eastAsia="宋体" w:cs="宋体"/>
                <w:spacing w:val="-1"/>
              </w:rPr>
              <w:t>农村道路复建，其中改复建四级公路</w:t>
            </w:r>
            <w:r>
              <w:rPr>
                <w:rFonts w:ascii="宋体" w:hAnsi="宋体" w:eastAsia="宋体" w:cs="宋体"/>
                <w:spacing w:val="42"/>
              </w:rPr>
              <w:t xml:space="preserve"> </w:t>
            </w:r>
            <w:r>
              <w:rPr>
                <w:spacing w:val="-1"/>
              </w:rPr>
              <w:t xml:space="preserve">2.77km </w:t>
            </w:r>
            <w:r>
              <w:rPr>
                <w:rFonts w:ascii="宋体" w:hAnsi="宋体" w:eastAsia="宋体" w:cs="宋体"/>
                <w:spacing w:val="-1"/>
              </w:rPr>
              <w:t>；</w:t>
            </w:r>
            <w:r>
              <w:rPr>
                <w:rFonts w:ascii="宋体" w:hAnsi="宋体" w:eastAsia="宋体" w:cs="宋体"/>
                <w:spacing w:val="-62"/>
              </w:rPr>
              <w:t xml:space="preserve"> </w:t>
            </w:r>
            <w:r>
              <w:rPr>
                <w:rFonts w:ascii="宋体" w:hAnsi="宋体" w:eastAsia="宋体" w:cs="宋体"/>
                <w:spacing w:val="-1"/>
              </w:rPr>
              <w:t>农</w:t>
            </w:r>
            <w:r>
              <w:rPr>
                <w:rFonts w:ascii="宋体" w:hAnsi="宋体" w:eastAsia="宋体" w:cs="宋体"/>
                <w:spacing w:val="-63"/>
              </w:rPr>
              <w:t xml:space="preserve"> </w:t>
            </w:r>
            <w:r>
              <w:rPr>
                <w:rFonts w:ascii="宋体" w:hAnsi="宋体" w:eastAsia="宋体" w:cs="宋体"/>
                <w:spacing w:val="-1"/>
              </w:rPr>
              <w:t>村道</w:t>
            </w:r>
            <w:r>
              <w:rPr>
                <w:rFonts w:ascii="宋体" w:hAnsi="宋体" w:eastAsia="宋体" w:cs="宋体"/>
                <w:spacing w:val="-60"/>
              </w:rPr>
              <w:t xml:space="preserve"> </w:t>
            </w:r>
            <w:r>
              <w:rPr>
                <w:rFonts w:ascii="宋体" w:hAnsi="宋体" w:eastAsia="宋体" w:cs="宋体"/>
                <w:spacing w:val="-1"/>
              </w:rPr>
              <w:t>路</w:t>
            </w:r>
            <w:r>
              <w:rPr>
                <w:rFonts w:ascii="宋体" w:hAnsi="宋体" w:eastAsia="宋体" w:cs="宋体"/>
                <w:spacing w:val="-63"/>
              </w:rPr>
              <w:t xml:space="preserve"> </w:t>
            </w:r>
            <w:r>
              <w:rPr>
                <w:rFonts w:ascii="宋体" w:hAnsi="宋体" w:eastAsia="宋体" w:cs="宋体"/>
                <w:spacing w:val="-1"/>
              </w:rPr>
              <w:t>新</w:t>
            </w:r>
            <w:r>
              <w:rPr>
                <w:rFonts w:ascii="宋体" w:hAnsi="宋体" w:eastAsia="宋体" w:cs="宋体"/>
                <w:spacing w:val="-61"/>
              </w:rPr>
              <w:t xml:space="preserve"> </w:t>
            </w:r>
            <w:r>
              <w:rPr>
                <w:rFonts w:ascii="宋体" w:hAnsi="宋体" w:eastAsia="宋体" w:cs="宋体"/>
                <w:spacing w:val="-1"/>
              </w:rPr>
              <w:t>建</w:t>
            </w:r>
            <w:r>
              <w:rPr>
                <w:spacing w:val="-5"/>
              </w:rPr>
              <w:t>4.57km</w:t>
            </w:r>
            <w:r>
              <w:rPr>
                <w:rFonts w:ascii="宋体" w:hAnsi="宋体" w:eastAsia="宋体" w:cs="宋体"/>
                <w:spacing w:val="-5"/>
              </w:rPr>
              <w:t>、改扩建</w:t>
            </w:r>
            <w:r>
              <w:rPr>
                <w:rFonts w:ascii="宋体" w:hAnsi="宋体" w:eastAsia="宋体" w:cs="宋体"/>
                <w:spacing w:val="-28"/>
              </w:rPr>
              <w:t xml:space="preserve"> </w:t>
            </w:r>
            <w:r>
              <w:rPr>
                <w:spacing w:val="-5"/>
              </w:rPr>
              <w:t>1.30km</w:t>
            </w:r>
            <w:r>
              <w:rPr>
                <w:rFonts w:ascii="宋体" w:hAnsi="宋体" w:eastAsia="宋体" w:cs="宋体"/>
                <w:spacing w:val="-5"/>
              </w:rPr>
              <w:t>；机耕路</w:t>
            </w:r>
            <w:r>
              <w:rPr>
                <w:rFonts w:ascii="宋体" w:hAnsi="宋体" w:eastAsia="宋体" w:cs="宋体"/>
                <w:spacing w:val="-9"/>
              </w:rPr>
              <w:t>新建</w:t>
            </w:r>
            <w:r>
              <w:rPr>
                <w:rFonts w:ascii="宋体" w:hAnsi="宋体" w:eastAsia="宋体" w:cs="宋体"/>
                <w:spacing w:val="-27"/>
              </w:rPr>
              <w:t xml:space="preserve"> </w:t>
            </w:r>
            <w:r>
              <w:rPr>
                <w:spacing w:val="-9"/>
              </w:rPr>
              <w:t>6.53km</w:t>
            </w:r>
            <w:r>
              <w:rPr>
                <w:rFonts w:ascii="宋体" w:hAnsi="宋体" w:eastAsia="宋体" w:cs="宋体"/>
                <w:spacing w:val="-9"/>
              </w:rPr>
              <w:t>、改扩建</w:t>
            </w:r>
            <w:r>
              <w:rPr>
                <w:rFonts w:ascii="宋体" w:hAnsi="宋体" w:eastAsia="宋体" w:cs="宋体"/>
                <w:spacing w:val="-28"/>
              </w:rPr>
              <w:t xml:space="preserve"> </w:t>
            </w:r>
            <w:r>
              <w:rPr>
                <w:spacing w:val="-9"/>
              </w:rPr>
              <w:t>1.06km</w:t>
            </w:r>
            <w:r>
              <w:rPr>
                <w:rFonts w:ascii="宋体" w:hAnsi="宋体" w:eastAsia="宋体" w:cs="宋体"/>
                <w:spacing w:val="-9"/>
              </w:rPr>
              <w:t>；还</w:t>
            </w:r>
            <w:r>
              <w:rPr>
                <w:rFonts w:ascii="宋体" w:hAnsi="宋体" w:eastAsia="宋体" w:cs="宋体"/>
                <w:spacing w:val="-3"/>
              </w:rPr>
              <w:t>包括输电线和通讯光缆复建等。</w:t>
            </w:r>
          </w:p>
        </w:tc>
        <w:tc>
          <w:tcPr>
            <w:tcW w:w="3038" w:type="dxa"/>
            <w:tcBorders>
              <w:bottom w:val="single" w:color="000000" w:sz="12" w:space="0"/>
            </w:tcBorders>
            <w:vAlign w:val="top"/>
          </w:tcPr>
          <w:p w14:paraId="612C47EF">
            <w:pPr>
              <w:pStyle w:val="6"/>
              <w:spacing w:before="105" w:line="241" w:lineRule="auto"/>
              <w:ind w:left="59"/>
              <w:jc w:val="both"/>
              <w:rPr>
                <w:rFonts w:ascii="宋体" w:hAnsi="宋体" w:eastAsia="宋体" w:cs="宋体"/>
              </w:rPr>
            </w:pPr>
            <w:r>
              <w:rPr>
                <w:rFonts w:ascii="宋体" w:hAnsi="宋体" w:eastAsia="宋体" w:cs="宋体"/>
                <w:spacing w:val="13"/>
              </w:rPr>
              <w:t>对发胯至云水厂段县道四级公</w:t>
            </w:r>
            <w:r>
              <w:rPr>
                <w:rFonts w:ascii="宋体" w:hAnsi="宋体" w:eastAsia="宋体" w:cs="宋体"/>
                <w:spacing w:val="-8"/>
              </w:rPr>
              <w:t>路进行改复建处理，长</w:t>
            </w:r>
            <w:r>
              <w:rPr>
                <w:rFonts w:ascii="宋体" w:hAnsi="宋体" w:eastAsia="宋体" w:cs="宋体"/>
                <w:spacing w:val="-45"/>
              </w:rPr>
              <w:t xml:space="preserve"> </w:t>
            </w:r>
            <w:r>
              <w:rPr>
                <w:spacing w:val="-8"/>
              </w:rPr>
              <w:t>2.576km</w:t>
            </w:r>
            <w:r>
              <w:rPr>
                <w:rFonts w:ascii="宋体" w:hAnsi="宋体" w:eastAsia="宋体" w:cs="宋体"/>
                <w:spacing w:val="-8"/>
              </w:rPr>
              <w:t>，</w:t>
            </w:r>
            <w:r>
              <w:rPr>
                <w:rFonts w:ascii="宋体" w:hAnsi="宋体" w:eastAsia="宋体" w:cs="宋体"/>
                <w:spacing w:val="-2"/>
              </w:rPr>
              <w:t>新建</w:t>
            </w:r>
            <w:r>
              <w:rPr>
                <w:rFonts w:ascii="宋体" w:hAnsi="宋体" w:eastAsia="宋体" w:cs="宋体"/>
                <w:spacing w:val="46"/>
              </w:rPr>
              <w:t xml:space="preserve"> </w:t>
            </w:r>
            <w:r>
              <w:rPr>
                <w:spacing w:val="-2"/>
              </w:rPr>
              <w:t>156.</w:t>
            </w:r>
            <w:r>
              <w:rPr>
                <w:spacing w:val="-28"/>
              </w:rPr>
              <w:t xml:space="preserve"> </w:t>
            </w:r>
            <w:r>
              <w:rPr>
                <w:spacing w:val="-2"/>
              </w:rPr>
              <w:t xml:space="preserve">16m  </w:t>
            </w:r>
            <w:r>
              <w:rPr>
                <w:rFonts w:ascii="宋体" w:hAnsi="宋体" w:eastAsia="宋体" w:cs="宋体"/>
                <w:spacing w:val="-2"/>
              </w:rPr>
              <w:t>长公路连接桥</w:t>
            </w:r>
            <w:r>
              <w:rPr>
                <w:rFonts w:ascii="宋体" w:hAnsi="宋体" w:eastAsia="宋体" w:cs="宋体"/>
                <w:spacing w:val="34"/>
              </w:rPr>
              <w:t xml:space="preserve"> </w:t>
            </w:r>
            <w:r>
              <w:rPr>
                <w:spacing w:val="-2"/>
              </w:rPr>
              <w:t>1</w:t>
            </w:r>
            <w:r>
              <w:rPr>
                <w:rFonts w:ascii="宋体" w:hAnsi="宋体" w:eastAsia="宋体" w:cs="宋体"/>
                <w:spacing w:val="-3"/>
              </w:rPr>
              <w:t>座；对角家至车章段县级四级公</w:t>
            </w:r>
            <w:r>
              <w:rPr>
                <w:rFonts w:ascii="宋体" w:hAnsi="宋体" w:eastAsia="宋体" w:cs="宋体"/>
                <w:spacing w:val="-2"/>
              </w:rPr>
              <w:t xml:space="preserve">路进行路基防护，长 </w:t>
            </w:r>
            <w:r>
              <w:rPr>
                <w:spacing w:val="-2"/>
              </w:rPr>
              <w:t>1.953km</w:t>
            </w:r>
            <w:r>
              <w:rPr>
                <w:spacing w:val="-27"/>
              </w:rPr>
              <w:t xml:space="preserve"> </w:t>
            </w:r>
            <w:r>
              <w:rPr>
                <w:rFonts w:ascii="宋体" w:hAnsi="宋体" w:eastAsia="宋体" w:cs="宋体"/>
                <w:spacing w:val="-2"/>
              </w:rPr>
              <w:t>，</w:t>
            </w:r>
            <w:r>
              <w:rPr>
                <w:rFonts w:ascii="宋体" w:hAnsi="宋体" w:eastAsia="宋体" w:cs="宋体"/>
                <w:spacing w:val="2"/>
              </w:rPr>
              <w:t>对车章桥</w:t>
            </w:r>
            <w:r>
              <w:rPr>
                <w:rFonts w:ascii="宋体" w:hAnsi="宋体" w:eastAsia="宋体" w:cs="宋体"/>
                <w:spacing w:val="41"/>
              </w:rPr>
              <w:t xml:space="preserve"> </w:t>
            </w:r>
            <w:r>
              <w:rPr>
                <w:spacing w:val="2"/>
              </w:rPr>
              <w:t xml:space="preserve">1  </w:t>
            </w:r>
            <w:r>
              <w:rPr>
                <w:rFonts w:ascii="宋体" w:hAnsi="宋体" w:eastAsia="宋体" w:cs="宋体"/>
                <w:spacing w:val="2"/>
              </w:rPr>
              <w:t>座桥墩进行加固防</w:t>
            </w:r>
            <w:r>
              <w:rPr>
                <w:rFonts w:ascii="宋体" w:hAnsi="宋体" w:eastAsia="宋体" w:cs="宋体"/>
                <w:spacing w:val="-3"/>
              </w:rPr>
              <w:t>护；对农村基本级道路进行改复</w:t>
            </w:r>
            <w:r>
              <w:rPr>
                <w:rFonts w:ascii="宋体" w:hAnsi="宋体" w:eastAsia="宋体" w:cs="宋体"/>
                <w:spacing w:val="-14"/>
              </w:rPr>
              <w:t>建、新建和硬化处理，</w:t>
            </w:r>
            <w:r>
              <w:rPr>
                <w:rFonts w:ascii="宋体" w:hAnsi="宋体" w:eastAsia="宋体" w:cs="宋体"/>
                <w:spacing w:val="60"/>
              </w:rPr>
              <w:t xml:space="preserve"> </w:t>
            </w:r>
            <w:r>
              <w:rPr>
                <w:rFonts w:ascii="宋体" w:hAnsi="宋体" w:eastAsia="宋体" w:cs="宋体"/>
                <w:spacing w:val="-14"/>
              </w:rPr>
              <w:t>其中改复</w:t>
            </w:r>
            <w:r>
              <w:rPr>
                <w:rFonts w:ascii="宋体" w:hAnsi="宋体" w:eastAsia="宋体" w:cs="宋体"/>
                <w:spacing w:val="-3"/>
              </w:rPr>
              <w:t>建长</w:t>
            </w:r>
            <w:r>
              <w:rPr>
                <w:rFonts w:ascii="宋体" w:hAnsi="宋体" w:eastAsia="宋体" w:cs="宋体"/>
                <w:spacing w:val="-29"/>
              </w:rPr>
              <w:t xml:space="preserve"> </w:t>
            </w:r>
            <w:r>
              <w:rPr>
                <w:spacing w:val="-3"/>
              </w:rPr>
              <w:t>17.615km</w:t>
            </w:r>
            <w:r>
              <w:rPr>
                <w:rFonts w:ascii="宋体" w:hAnsi="宋体" w:eastAsia="宋体" w:cs="宋体"/>
                <w:spacing w:val="-3"/>
              </w:rPr>
              <w:t>，新建</w:t>
            </w:r>
            <w:r>
              <w:rPr>
                <w:rFonts w:ascii="宋体" w:hAnsi="宋体" w:eastAsia="宋体" w:cs="宋体"/>
                <w:spacing w:val="-35"/>
              </w:rPr>
              <w:t xml:space="preserve"> </w:t>
            </w:r>
            <w:r>
              <w:rPr>
                <w:spacing w:val="-3"/>
              </w:rPr>
              <w:t>7.753km</w:t>
            </w:r>
            <w:r>
              <w:rPr>
                <w:spacing w:val="-28"/>
              </w:rPr>
              <w:t xml:space="preserve"> </w:t>
            </w:r>
            <w:r>
              <w:rPr>
                <w:rFonts w:ascii="宋体" w:hAnsi="宋体" w:eastAsia="宋体" w:cs="宋体"/>
                <w:spacing w:val="-3"/>
              </w:rPr>
              <w:t>，</w:t>
            </w:r>
            <w:r>
              <w:rPr>
                <w:rFonts w:ascii="宋体" w:hAnsi="宋体" w:eastAsia="宋体" w:cs="宋体"/>
                <w:spacing w:val="-8"/>
              </w:rPr>
              <w:t>硬</w:t>
            </w:r>
            <w:r>
              <w:rPr>
                <w:rFonts w:ascii="宋体" w:hAnsi="宋体" w:eastAsia="宋体" w:cs="宋体"/>
                <w:spacing w:val="-34"/>
              </w:rPr>
              <w:t xml:space="preserve"> </w:t>
            </w:r>
            <w:r>
              <w:rPr>
                <w:rFonts w:ascii="宋体" w:hAnsi="宋体" w:eastAsia="宋体" w:cs="宋体"/>
                <w:spacing w:val="-8"/>
              </w:rPr>
              <w:t>化</w:t>
            </w:r>
            <w:r>
              <w:rPr>
                <w:rFonts w:ascii="宋体" w:hAnsi="宋体" w:eastAsia="宋体" w:cs="宋体"/>
                <w:spacing w:val="56"/>
              </w:rPr>
              <w:t xml:space="preserve"> </w:t>
            </w:r>
            <w:r>
              <w:rPr>
                <w:spacing w:val="-8"/>
              </w:rPr>
              <w:t>9.862km</w:t>
            </w:r>
            <w:r>
              <w:rPr>
                <w:spacing w:val="23"/>
              </w:rPr>
              <w:t xml:space="preserve"> </w:t>
            </w:r>
            <w:r>
              <w:rPr>
                <w:rFonts w:ascii="宋体" w:hAnsi="宋体" w:eastAsia="宋体" w:cs="宋体"/>
                <w:spacing w:val="-8"/>
              </w:rPr>
              <w:t>；</w:t>
            </w:r>
            <w:r>
              <w:rPr>
                <w:rFonts w:ascii="宋体" w:hAnsi="宋体" w:eastAsia="宋体" w:cs="宋体"/>
                <w:spacing w:val="-46"/>
              </w:rPr>
              <w:t xml:space="preserve"> </w:t>
            </w:r>
            <w:r>
              <w:rPr>
                <w:rFonts w:ascii="宋体" w:hAnsi="宋体" w:eastAsia="宋体" w:cs="宋体"/>
                <w:spacing w:val="-8"/>
              </w:rPr>
              <w:t>新</w:t>
            </w:r>
            <w:r>
              <w:rPr>
                <w:rFonts w:ascii="宋体" w:hAnsi="宋体" w:eastAsia="宋体" w:cs="宋体"/>
                <w:spacing w:val="-43"/>
              </w:rPr>
              <w:t xml:space="preserve"> </w:t>
            </w:r>
            <w:r>
              <w:rPr>
                <w:rFonts w:ascii="宋体" w:hAnsi="宋体" w:eastAsia="宋体" w:cs="宋体"/>
                <w:spacing w:val="-8"/>
              </w:rPr>
              <w:t>建</w:t>
            </w:r>
            <w:r>
              <w:rPr>
                <w:rFonts w:ascii="宋体" w:hAnsi="宋体" w:eastAsia="宋体" w:cs="宋体"/>
                <w:spacing w:val="-46"/>
              </w:rPr>
              <w:t xml:space="preserve"> </w:t>
            </w:r>
            <w:r>
              <w:rPr>
                <w:rFonts w:ascii="宋体" w:hAnsi="宋体" w:eastAsia="宋体" w:cs="宋体"/>
                <w:spacing w:val="-8"/>
              </w:rPr>
              <w:t>机</w:t>
            </w:r>
            <w:r>
              <w:rPr>
                <w:rFonts w:ascii="宋体" w:hAnsi="宋体" w:eastAsia="宋体" w:cs="宋体"/>
                <w:spacing w:val="-45"/>
              </w:rPr>
              <w:t xml:space="preserve"> </w:t>
            </w:r>
            <w:r>
              <w:rPr>
                <w:rFonts w:ascii="宋体" w:hAnsi="宋体" w:eastAsia="宋体" w:cs="宋体"/>
                <w:spacing w:val="-8"/>
              </w:rPr>
              <w:t>耕</w:t>
            </w:r>
            <w:r>
              <w:rPr>
                <w:rFonts w:ascii="宋体" w:hAnsi="宋体" w:eastAsia="宋体" w:cs="宋体"/>
                <w:spacing w:val="-44"/>
              </w:rPr>
              <w:t xml:space="preserve"> </w:t>
            </w:r>
            <w:r>
              <w:rPr>
                <w:rFonts w:ascii="宋体" w:hAnsi="宋体" w:eastAsia="宋体" w:cs="宋体"/>
                <w:spacing w:val="-8"/>
              </w:rPr>
              <w:t>路</w:t>
            </w:r>
            <w:r>
              <w:rPr>
                <w:spacing w:val="-5"/>
              </w:rPr>
              <w:t>6.</w:t>
            </w:r>
            <w:r>
              <w:rPr>
                <w:spacing w:val="-24"/>
              </w:rPr>
              <w:t xml:space="preserve"> </w:t>
            </w:r>
            <w:r>
              <w:rPr>
                <w:spacing w:val="-5"/>
              </w:rPr>
              <w:t>169km</w:t>
            </w:r>
            <w:r>
              <w:rPr>
                <w:rFonts w:ascii="宋体" w:hAnsi="宋体" w:eastAsia="宋体" w:cs="宋体"/>
                <w:spacing w:val="-5"/>
              </w:rPr>
              <w:t>。</w:t>
            </w:r>
          </w:p>
        </w:tc>
        <w:tc>
          <w:tcPr>
            <w:tcW w:w="1121" w:type="dxa"/>
            <w:tcBorders>
              <w:bottom w:val="single" w:color="000000" w:sz="12" w:space="0"/>
              <w:right w:val="single" w:color="000000" w:sz="12" w:space="0"/>
            </w:tcBorders>
            <w:vAlign w:val="top"/>
          </w:tcPr>
          <w:p w14:paraId="749529A5">
            <w:pPr>
              <w:spacing w:line="251" w:lineRule="auto"/>
              <w:rPr>
                <w:rFonts w:ascii="Arial"/>
                <w:sz w:val="21"/>
              </w:rPr>
            </w:pPr>
          </w:p>
          <w:p w14:paraId="58D51F85">
            <w:pPr>
              <w:spacing w:line="251" w:lineRule="auto"/>
              <w:rPr>
                <w:rFonts w:ascii="Arial"/>
                <w:sz w:val="21"/>
              </w:rPr>
            </w:pPr>
          </w:p>
          <w:p w14:paraId="6631DC24">
            <w:pPr>
              <w:spacing w:line="251" w:lineRule="auto"/>
              <w:rPr>
                <w:rFonts w:ascii="Arial"/>
                <w:sz w:val="21"/>
              </w:rPr>
            </w:pPr>
          </w:p>
          <w:p w14:paraId="2CBB3E59">
            <w:pPr>
              <w:spacing w:line="252" w:lineRule="auto"/>
              <w:rPr>
                <w:rFonts w:ascii="Arial"/>
                <w:sz w:val="21"/>
              </w:rPr>
            </w:pPr>
          </w:p>
          <w:p w14:paraId="749535AF">
            <w:pPr>
              <w:spacing w:line="252" w:lineRule="auto"/>
              <w:rPr>
                <w:rFonts w:ascii="Arial"/>
                <w:sz w:val="21"/>
              </w:rPr>
            </w:pPr>
          </w:p>
          <w:p w14:paraId="284154F2">
            <w:pPr>
              <w:spacing w:before="68"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bl>
    <w:p w14:paraId="1038CF9F">
      <w:pPr>
        <w:rPr>
          <w:rFonts w:ascii="Arial"/>
          <w:sz w:val="21"/>
        </w:rPr>
      </w:pPr>
    </w:p>
    <w:p w14:paraId="1BCB6282">
      <w:pPr>
        <w:rPr>
          <w:rFonts w:ascii="Arial" w:hAnsi="Arial" w:eastAsia="Arial" w:cs="Arial"/>
          <w:sz w:val="21"/>
          <w:szCs w:val="21"/>
        </w:rPr>
        <w:sectPr>
          <w:footerReference r:id="rId34" w:type="default"/>
          <w:pgSz w:w="11907" w:h="16839"/>
          <w:pgMar w:top="1376" w:right="1669" w:bottom="1061" w:left="1671" w:header="999" w:footer="859" w:gutter="0"/>
          <w:cols w:space="720" w:num="1"/>
        </w:sectPr>
      </w:pPr>
    </w:p>
    <w:p w14:paraId="0004A88F">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9"/>
        <w:gridCol w:w="849"/>
        <w:gridCol w:w="3036"/>
        <w:gridCol w:w="3038"/>
        <w:gridCol w:w="1121"/>
      </w:tblGrid>
      <w:tr w14:paraId="75A73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278" w:type="dxa"/>
            <w:gridSpan w:val="2"/>
            <w:vMerge w:val="restart"/>
            <w:tcBorders>
              <w:top w:val="single" w:color="000000" w:sz="12" w:space="0"/>
              <w:left w:val="single" w:color="000000" w:sz="12" w:space="0"/>
              <w:bottom w:val="nil"/>
            </w:tcBorders>
            <w:vAlign w:val="top"/>
          </w:tcPr>
          <w:p w14:paraId="03BEE711">
            <w:pPr>
              <w:spacing w:before="287" w:line="220" w:lineRule="auto"/>
              <w:ind w:left="209"/>
              <w:rPr>
                <w:rFonts w:ascii="宋体" w:hAnsi="宋体" w:eastAsia="宋体" w:cs="宋体"/>
                <w:sz w:val="21"/>
                <w:szCs w:val="21"/>
              </w:rPr>
            </w:pPr>
            <w:r>
              <w:rPr>
                <w:rFonts w:ascii="宋体" w:hAnsi="宋体" w:eastAsia="宋体" w:cs="宋体"/>
                <w:spacing w:val="-3"/>
                <w:sz w:val="21"/>
                <w:szCs w:val="21"/>
              </w:rPr>
              <w:t>工程项目</w:t>
            </w:r>
          </w:p>
        </w:tc>
        <w:tc>
          <w:tcPr>
            <w:tcW w:w="6074" w:type="dxa"/>
            <w:gridSpan w:val="2"/>
            <w:tcBorders>
              <w:top w:val="single" w:color="000000" w:sz="12" w:space="0"/>
            </w:tcBorders>
            <w:vAlign w:val="top"/>
          </w:tcPr>
          <w:p w14:paraId="0905A02E">
            <w:pPr>
              <w:spacing w:before="87" w:line="220" w:lineRule="auto"/>
              <w:ind w:left="2411"/>
              <w:rPr>
                <w:rFonts w:ascii="宋体" w:hAnsi="宋体" w:eastAsia="宋体" w:cs="宋体"/>
                <w:sz w:val="21"/>
                <w:szCs w:val="21"/>
              </w:rPr>
            </w:pPr>
            <w:r>
              <w:rPr>
                <w:rFonts w:ascii="宋体" w:hAnsi="宋体" w:eastAsia="宋体" w:cs="宋体"/>
                <w:spacing w:val="-2"/>
                <w:sz w:val="21"/>
                <w:szCs w:val="21"/>
              </w:rPr>
              <w:t>工程项目组成</w:t>
            </w:r>
          </w:p>
        </w:tc>
        <w:tc>
          <w:tcPr>
            <w:tcW w:w="1121" w:type="dxa"/>
            <w:vMerge w:val="restart"/>
            <w:tcBorders>
              <w:top w:val="single" w:color="000000" w:sz="12" w:space="0"/>
              <w:bottom w:val="nil"/>
              <w:right w:val="single" w:color="000000" w:sz="12" w:space="0"/>
            </w:tcBorders>
            <w:vAlign w:val="top"/>
          </w:tcPr>
          <w:p w14:paraId="01131FC0">
            <w:pPr>
              <w:spacing w:before="287" w:line="220" w:lineRule="auto"/>
              <w:ind w:left="150"/>
              <w:rPr>
                <w:rFonts w:ascii="宋体" w:hAnsi="宋体" w:eastAsia="宋体" w:cs="宋体"/>
                <w:sz w:val="21"/>
                <w:szCs w:val="21"/>
              </w:rPr>
            </w:pPr>
            <w:r>
              <w:rPr>
                <w:rFonts w:ascii="宋体" w:hAnsi="宋体" w:eastAsia="宋体" w:cs="宋体"/>
                <w:spacing w:val="-3"/>
                <w:sz w:val="21"/>
                <w:szCs w:val="21"/>
              </w:rPr>
              <w:t>变更情况</w:t>
            </w:r>
          </w:p>
        </w:tc>
      </w:tr>
      <w:tr w14:paraId="51602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278" w:type="dxa"/>
            <w:gridSpan w:val="2"/>
            <w:vMerge w:val="continue"/>
            <w:tcBorders>
              <w:top w:val="nil"/>
              <w:left w:val="single" w:color="000000" w:sz="12" w:space="0"/>
            </w:tcBorders>
            <w:vAlign w:val="top"/>
          </w:tcPr>
          <w:p w14:paraId="332726A4">
            <w:pPr>
              <w:rPr>
                <w:rFonts w:ascii="Arial"/>
                <w:sz w:val="21"/>
              </w:rPr>
            </w:pPr>
          </w:p>
        </w:tc>
        <w:tc>
          <w:tcPr>
            <w:tcW w:w="3036" w:type="dxa"/>
            <w:vAlign w:val="top"/>
          </w:tcPr>
          <w:p w14:paraId="31B6118B">
            <w:pPr>
              <w:spacing w:before="86" w:line="220" w:lineRule="auto"/>
              <w:ind w:left="1095"/>
              <w:rPr>
                <w:rFonts w:ascii="宋体" w:hAnsi="宋体" w:eastAsia="宋体" w:cs="宋体"/>
                <w:sz w:val="21"/>
                <w:szCs w:val="21"/>
              </w:rPr>
            </w:pPr>
            <w:r>
              <w:rPr>
                <w:rFonts w:ascii="宋体" w:hAnsi="宋体" w:eastAsia="宋体" w:cs="宋体"/>
                <w:spacing w:val="-2"/>
                <w:sz w:val="21"/>
                <w:szCs w:val="21"/>
              </w:rPr>
              <w:t>环评阶段</w:t>
            </w:r>
          </w:p>
        </w:tc>
        <w:tc>
          <w:tcPr>
            <w:tcW w:w="3038" w:type="dxa"/>
            <w:vAlign w:val="top"/>
          </w:tcPr>
          <w:p w14:paraId="36627E52">
            <w:pPr>
              <w:spacing w:before="86" w:line="220" w:lineRule="auto"/>
              <w:ind w:left="1112"/>
              <w:rPr>
                <w:rFonts w:ascii="宋体" w:hAnsi="宋体" w:eastAsia="宋体" w:cs="宋体"/>
                <w:sz w:val="21"/>
                <w:szCs w:val="21"/>
              </w:rPr>
            </w:pPr>
            <w:r>
              <w:rPr>
                <w:rFonts w:ascii="宋体" w:hAnsi="宋体" w:eastAsia="宋体" w:cs="宋体"/>
                <w:spacing w:val="-3"/>
                <w:sz w:val="21"/>
                <w:szCs w:val="21"/>
              </w:rPr>
              <w:t>实施阶段</w:t>
            </w:r>
          </w:p>
        </w:tc>
        <w:tc>
          <w:tcPr>
            <w:tcW w:w="1121" w:type="dxa"/>
            <w:vMerge w:val="continue"/>
            <w:tcBorders>
              <w:top w:val="nil"/>
              <w:right w:val="single" w:color="000000" w:sz="12" w:space="0"/>
            </w:tcBorders>
            <w:vAlign w:val="top"/>
          </w:tcPr>
          <w:p w14:paraId="76CD13CB">
            <w:pPr>
              <w:rPr>
                <w:rFonts w:ascii="Arial"/>
                <w:sz w:val="21"/>
              </w:rPr>
            </w:pPr>
          </w:p>
        </w:tc>
      </w:tr>
      <w:tr w14:paraId="7543C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0" w:hRule="atLeast"/>
        </w:trPr>
        <w:tc>
          <w:tcPr>
            <w:tcW w:w="429" w:type="dxa"/>
            <w:vMerge w:val="restart"/>
            <w:tcBorders>
              <w:left w:val="single" w:color="000000" w:sz="12" w:space="0"/>
              <w:bottom w:val="nil"/>
            </w:tcBorders>
            <w:textDirection w:val="tbRlV"/>
            <w:vAlign w:val="top"/>
          </w:tcPr>
          <w:p w14:paraId="04855D27">
            <w:pPr>
              <w:spacing w:before="111" w:line="209" w:lineRule="auto"/>
              <w:ind w:left="5353"/>
              <w:rPr>
                <w:rFonts w:ascii="宋体" w:hAnsi="宋体" w:eastAsia="宋体" w:cs="宋体"/>
                <w:sz w:val="21"/>
                <w:szCs w:val="21"/>
              </w:rPr>
            </w:pPr>
            <w:r>
              <w:rPr>
                <w:rFonts w:ascii="宋体" w:hAnsi="宋体" w:eastAsia="宋体" w:cs="宋体"/>
                <w:spacing w:val="52"/>
                <w:sz w:val="21"/>
                <w:szCs w:val="21"/>
              </w:rPr>
              <w:t>环境保护工程</w:t>
            </w:r>
          </w:p>
        </w:tc>
        <w:tc>
          <w:tcPr>
            <w:tcW w:w="849" w:type="dxa"/>
            <w:vAlign w:val="top"/>
          </w:tcPr>
          <w:p w14:paraId="20F018B6">
            <w:pPr>
              <w:spacing w:line="274" w:lineRule="auto"/>
              <w:rPr>
                <w:rFonts w:ascii="Arial"/>
                <w:sz w:val="21"/>
              </w:rPr>
            </w:pPr>
          </w:p>
          <w:p w14:paraId="7B3E6102">
            <w:pPr>
              <w:spacing w:line="274" w:lineRule="auto"/>
              <w:rPr>
                <w:rFonts w:ascii="Arial"/>
                <w:sz w:val="21"/>
              </w:rPr>
            </w:pPr>
          </w:p>
          <w:p w14:paraId="6B2CEC51">
            <w:pPr>
              <w:spacing w:line="274" w:lineRule="auto"/>
              <w:rPr>
                <w:rFonts w:ascii="Arial"/>
                <w:sz w:val="21"/>
              </w:rPr>
            </w:pPr>
          </w:p>
          <w:p w14:paraId="4E53EDBD">
            <w:pPr>
              <w:spacing w:line="275" w:lineRule="auto"/>
              <w:rPr>
                <w:rFonts w:ascii="Arial"/>
                <w:sz w:val="21"/>
              </w:rPr>
            </w:pPr>
          </w:p>
          <w:p w14:paraId="2433E0F5">
            <w:pPr>
              <w:spacing w:line="275" w:lineRule="auto"/>
              <w:rPr>
                <w:rFonts w:ascii="Arial"/>
                <w:sz w:val="21"/>
              </w:rPr>
            </w:pPr>
          </w:p>
          <w:p w14:paraId="3D771056">
            <w:pPr>
              <w:spacing w:before="68" w:line="242" w:lineRule="auto"/>
              <w:ind w:left="207" w:right="222"/>
              <w:rPr>
                <w:rFonts w:ascii="宋体" w:hAnsi="宋体" w:eastAsia="宋体" w:cs="宋体"/>
                <w:sz w:val="21"/>
                <w:szCs w:val="21"/>
              </w:rPr>
            </w:pPr>
            <w:r>
              <w:rPr>
                <w:rFonts w:ascii="宋体" w:hAnsi="宋体" w:eastAsia="宋体" w:cs="宋体"/>
                <w:spacing w:val="-6"/>
                <w:sz w:val="21"/>
                <w:szCs w:val="21"/>
              </w:rPr>
              <w:t>鱼道工程</w:t>
            </w:r>
          </w:p>
        </w:tc>
        <w:tc>
          <w:tcPr>
            <w:tcW w:w="3036" w:type="dxa"/>
            <w:vAlign w:val="top"/>
          </w:tcPr>
          <w:p w14:paraId="14CC914D">
            <w:pPr>
              <w:pStyle w:val="6"/>
              <w:spacing w:before="94"/>
              <w:ind w:left="45" w:firstLine="7"/>
              <w:rPr>
                <w:rFonts w:ascii="宋体" w:hAnsi="宋体" w:eastAsia="宋体" w:cs="宋体"/>
              </w:rPr>
            </w:pPr>
            <w:r>
              <w:rPr>
                <w:rFonts w:ascii="宋体" w:hAnsi="宋体" w:eastAsia="宋体" w:cs="宋体"/>
                <w:spacing w:val="-3"/>
              </w:rPr>
              <w:t>鱼道布置在大坝左岸，由进口明渠段、隧洞段和出口组成。采用</w:t>
            </w:r>
            <w:r>
              <w:rPr>
                <w:rFonts w:ascii="宋体" w:hAnsi="宋体" w:eastAsia="宋体" w:cs="宋体"/>
                <w:spacing w:val="-14"/>
              </w:rPr>
              <w:t>垂</w:t>
            </w:r>
            <w:r>
              <w:rPr>
                <w:rFonts w:ascii="宋体" w:hAnsi="宋体" w:eastAsia="宋体" w:cs="宋体"/>
                <w:spacing w:val="-28"/>
              </w:rPr>
              <w:t xml:space="preserve"> </w:t>
            </w:r>
            <w:r>
              <w:rPr>
                <w:rFonts w:ascii="宋体" w:hAnsi="宋体" w:eastAsia="宋体" w:cs="宋体"/>
                <w:spacing w:val="-14"/>
              </w:rPr>
              <w:t>直</w:t>
            </w:r>
            <w:r>
              <w:rPr>
                <w:rFonts w:ascii="宋体" w:hAnsi="宋体" w:eastAsia="宋体" w:cs="宋体"/>
                <w:spacing w:val="-31"/>
              </w:rPr>
              <w:t xml:space="preserve"> </w:t>
            </w:r>
            <w:r>
              <w:rPr>
                <w:rFonts w:ascii="宋体" w:hAnsi="宋体" w:eastAsia="宋体" w:cs="宋体"/>
                <w:spacing w:val="-14"/>
              </w:rPr>
              <w:t>竖</w:t>
            </w:r>
            <w:r>
              <w:rPr>
                <w:rFonts w:ascii="宋体" w:hAnsi="宋体" w:eastAsia="宋体" w:cs="宋体"/>
                <w:spacing w:val="-34"/>
              </w:rPr>
              <w:t xml:space="preserve"> </w:t>
            </w:r>
            <w:r>
              <w:rPr>
                <w:rFonts w:ascii="宋体" w:hAnsi="宋体" w:eastAsia="宋体" w:cs="宋体"/>
                <w:spacing w:val="-14"/>
              </w:rPr>
              <w:t>缝</w:t>
            </w:r>
            <w:r>
              <w:rPr>
                <w:rFonts w:ascii="宋体" w:hAnsi="宋体" w:eastAsia="宋体" w:cs="宋体"/>
                <w:spacing w:val="-31"/>
              </w:rPr>
              <w:t xml:space="preserve"> </w:t>
            </w:r>
            <w:r>
              <w:rPr>
                <w:rFonts w:ascii="宋体" w:hAnsi="宋体" w:eastAsia="宋体" w:cs="宋体"/>
                <w:spacing w:val="-14"/>
              </w:rPr>
              <w:t>式</w:t>
            </w:r>
            <w:r>
              <w:rPr>
                <w:rFonts w:ascii="宋体" w:hAnsi="宋体" w:eastAsia="宋体" w:cs="宋体"/>
                <w:spacing w:val="-32"/>
              </w:rPr>
              <w:t xml:space="preserve"> </w:t>
            </w:r>
            <w:r>
              <w:rPr>
                <w:rFonts w:ascii="宋体" w:hAnsi="宋体" w:eastAsia="宋体" w:cs="宋体"/>
                <w:spacing w:val="-14"/>
              </w:rPr>
              <w:t>鱼</w:t>
            </w:r>
            <w:r>
              <w:rPr>
                <w:rFonts w:ascii="宋体" w:hAnsi="宋体" w:eastAsia="宋体" w:cs="宋体"/>
                <w:spacing w:val="-35"/>
              </w:rPr>
              <w:t xml:space="preserve"> </w:t>
            </w:r>
            <w:r>
              <w:rPr>
                <w:rFonts w:ascii="宋体" w:hAnsi="宋体" w:eastAsia="宋体" w:cs="宋体"/>
                <w:spacing w:val="-14"/>
              </w:rPr>
              <w:t>道 ，</w:t>
            </w:r>
            <w:r>
              <w:rPr>
                <w:rFonts w:ascii="宋体" w:hAnsi="宋体" w:eastAsia="宋体" w:cs="宋体"/>
                <w:spacing w:val="-31"/>
              </w:rPr>
              <w:t xml:space="preserve"> </w:t>
            </w:r>
            <w:r>
              <w:rPr>
                <w:rFonts w:ascii="宋体" w:hAnsi="宋体" w:eastAsia="宋体" w:cs="宋体"/>
                <w:spacing w:val="-14"/>
              </w:rPr>
              <w:t>总</w:t>
            </w:r>
            <w:r>
              <w:rPr>
                <w:rFonts w:ascii="宋体" w:hAnsi="宋体" w:eastAsia="宋体" w:cs="宋体"/>
                <w:spacing w:val="-34"/>
              </w:rPr>
              <w:t xml:space="preserve"> </w:t>
            </w:r>
            <w:r>
              <w:rPr>
                <w:rFonts w:ascii="宋体" w:hAnsi="宋体" w:eastAsia="宋体" w:cs="宋体"/>
                <w:spacing w:val="-14"/>
              </w:rPr>
              <w:t>长</w:t>
            </w:r>
            <w:r>
              <w:rPr>
                <w:rFonts w:ascii="宋体" w:hAnsi="宋体" w:eastAsia="宋体" w:cs="宋体"/>
                <w:spacing w:val="-30"/>
              </w:rPr>
              <w:t xml:space="preserve"> </w:t>
            </w:r>
            <w:r>
              <w:rPr>
                <w:rFonts w:ascii="宋体" w:hAnsi="宋体" w:eastAsia="宋体" w:cs="宋体"/>
                <w:spacing w:val="-14"/>
              </w:rPr>
              <w:t>约</w:t>
            </w:r>
            <w:r>
              <w:rPr>
                <w:spacing w:val="4"/>
              </w:rPr>
              <w:t>2.741</w:t>
            </w:r>
            <w:r>
              <w:t>km</w:t>
            </w:r>
            <w:r>
              <w:rPr>
                <w:rFonts w:ascii="宋体" w:hAnsi="宋体" w:eastAsia="宋体" w:cs="宋体"/>
                <w:spacing w:val="4"/>
              </w:rPr>
              <w:t>。进口布置在泄洪放空</w:t>
            </w:r>
            <w:r>
              <w:rPr>
                <w:rFonts w:ascii="宋体" w:hAnsi="宋体" w:eastAsia="宋体" w:cs="宋体"/>
                <w:spacing w:val="-4"/>
              </w:rPr>
              <w:t>隧洞下游约</w:t>
            </w:r>
            <w:r>
              <w:rPr>
                <w:rFonts w:ascii="宋体" w:hAnsi="宋体" w:eastAsia="宋体" w:cs="宋体"/>
                <w:spacing w:val="-33"/>
              </w:rPr>
              <w:t xml:space="preserve"> </w:t>
            </w:r>
            <w:r>
              <w:rPr>
                <w:spacing w:val="-4"/>
              </w:rPr>
              <w:t>50m</w:t>
            </w:r>
            <w:r>
              <w:rPr>
                <w:rFonts w:ascii="宋体" w:hAnsi="宋体" w:eastAsia="宋体" w:cs="宋体"/>
                <w:spacing w:val="-4"/>
              </w:rPr>
              <w:t>，进口底板高程</w:t>
            </w:r>
            <w:r>
              <w:rPr>
                <w:rFonts w:ascii="宋体" w:hAnsi="宋体" w:eastAsia="宋体" w:cs="宋体"/>
                <w:spacing w:val="-3"/>
              </w:rPr>
              <w:t xml:space="preserve">为 </w:t>
            </w:r>
            <w:r>
              <w:rPr>
                <w:spacing w:val="-3"/>
              </w:rPr>
              <w:t>1892.3m</w:t>
            </w:r>
            <w:r>
              <w:rPr>
                <w:rFonts w:ascii="宋体" w:hAnsi="宋体" w:eastAsia="宋体" w:cs="宋体"/>
                <w:spacing w:val="-3"/>
              </w:rPr>
              <w:t>；出口区域布置在库</w:t>
            </w:r>
            <w:r>
              <w:rPr>
                <w:rFonts w:ascii="宋体" w:hAnsi="宋体" w:eastAsia="宋体" w:cs="宋体"/>
                <w:spacing w:val="-7"/>
              </w:rPr>
              <w:t>区左岸距大坝约</w:t>
            </w:r>
            <w:r>
              <w:rPr>
                <w:rFonts w:ascii="宋体" w:hAnsi="宋体" w:eastAsia="宋体" w:cs="宋体"/>
                <w:spacing w:val="-40"/>
              </w:rPr>
              <w:t xml:space="preserve"> </w:t>
            </w:r>
            <w:r>
              <w:rPr>
                <w:spacing w:val="-7"/>
              </w:rPr>
              <w:t>360m</w:t>
            </w:r>
            <w:r>
              <w:rPr>
                <w:rFonts w:ascii="宋体" w:hAnsi="宋体" w:eastAsia="宋体" w:cs="宋体"/>
                <w:spacing w:val="-7"/>
              </w:rPr>
              <w:t>，设置了</w:t>
            </w:r>
            <w:r>
              <w:rPr>
                <w:rFonts w:ascii="宋体" w:hAnsi="宋体" w:eastAsia="宋体" w:cs="宋体"/>
                <w:spacing w:val="-45"/>
              </w:rPr>
              <w:t xml:space="preserve"> </w:t>
            </w:r>
            <w:r>
              <w:rPr>
                <w:spacing w:val="-7"/>
              </w:rPr>
              <w:t>7</w:t>
            </w:r>
            <w:r>
              <w:rPr>
                <w:rFonts w:ascii="宋体" w:hAnsi="宋体" w:eastAsia="宋体" w:cs="宋体"/>
                <w:spacing w:val="-8"/>
              </w:rPr>
              <w:t>扇鱼道出口，每个出口适应</w:t>
            </w:r>
            <w:r>
              <w:rPr>
                <w:rFonts w:ascii="宋体" w:hAnsi="宋体" w:eastAsia="宋体" w:cs="宋体"/>
                <w:spacing w:val="-15"/>
              </w:rPr>
              <w:t xml:space="preserve"> </w:t>
            </w:r>
            <w:r>
              <w:rPr>
                <w:spacing w:val="-8"/>
              </w:rPr>
              <w:t>1.5m</w:t>
            </w:r>
            <w:r>
              <w:rPr>
                <w:rFonts w:ascii="宋体" w:hAnsi="宋体" w:eastAsia="宋体" w:cs="宋体"/>
                <w:spacing w:val="-3"/>
              </w:rPr>
              <w:t>的水位变幅，出口底板高程分别</w:t>
            </w:r>
            <w:r>
              <w:rPr>
                <w:rFonts w:ascii="宋体" w:hAnsi="宋体" w:eastAsia="宋体" w:cs="宋体"/>
                <w:spacing w:val="-7"/>
              </w:rPr>
              <w:t>为</w:t>
            </w:r>
            <w:r>
              <w:rPr>
                <w:rFonts w:ascii="宋体" w:hAnsi="宋体" w:eastAsia="宋体" w:cs="宋体"/>
                <w:spacing w:val="-14"/>
              </w:rPr>
              <w:t xml:space="preserve"> </w:t>
            </w:r>
            <w:r>
              <w:rPr>
                <w:spacing w:val="-7"/>
              </w:rPr>
              <w:t>1928.0m</w:t>
            </w:r>
            <w:r>
              <w:rPr>
                <w:rFonts w:ascii="宋体" w:hAnsi="宋体" w:eastAsia="宋体" w:cs="宋体"/>
                <w:spacing w:val="-7"/>
              </w:rPr>
              <w:t>、</w:t>
            </w:r>
            <w:r>
              <w:rPr>
                <w:spacing w:val="-7"/>
              </w:rPr>
              <w:t>1929.5m</w:t>
            </w:r>
            <w:r>
              <w:rPr>
                <w:rFonts w:ascii="宋体" w:hAnsi="宋体" w:eastAsia="宋体" w:cs="宋体"/>
                <w:spacing w:val="-7"/>
              </w:rPr>
              <w:t>、</w:t>
            </w:r>
            <w:r>
              <w:rPr>
                <w:spacing w:val="-7"/>
              </w:rPr>
              <w:t>1931.0m</w:t>
            </w:r>
            <w:r>
              <w:rPr>
                <w:rFonts w:ascii="宋体" w:hAnsi="宋体" w:eastAsia="宋体" w:cs="宋体"/>
                <w:spacing w:val="-7"/>
              </w:rPr>
              <w:t>、</w:t>
            </w:r>
            <w:r>
              <w:rPr>
                <w:rFonts w:ascii="宋体" w:hAnsi="宋体" w:eastAsia="宋体" w:cs="宋体"/>
              </w:rPr>
              <w:t xml:space="preserve"> </w:t>
            </w:r>
            <w:r>
              <w:rPr>
                <w:spacing w:val="-2"/>
              </w:rPr>
              <w:t>1932.5m</w:t>
            </w:r>
            <w:r>
              <w:rPr>
                <w:spacing w:val="-1"/>
              </w:rPr>
              <w:t xml:space="preserve"> </w:t>
            </w:r>
            <w:r>
              <w:rPr>
                <w:rFonts w:ascii="宋体" w:hAnsi="宋体" w:eastAsia="宋体" w:cs="宋体"/>
                <w:spacing w:val="-2"/>
              </w:rPr>
              <w:t>、</w:t>
            </w:r>
            <w:r>
              <w:rPr>
                <w:spacing w:val="-2"/>
              </w:rPr>
              <w:t>1934.0m</w:t>
            </w:r>
            <w:r>
              <w:rPr>
                <w:spacing w:val="-16"/>
              </w:rPr>
              <w:t xml:space="preserve"> </w:t>
            </w:r>
            <w:r>
              <w:rPr>
                <w:rFonts w:ascii="宋体" w:hAnsi="宋体" w:eastAsia="宋体" w:cs="宋体"/>
                <w:spacing w:val="-2"/>
              </w:rPr>
              <w:t>、</w:t>
            </w:r>
            <w:r>
              <w:rPr>
                <w:spacing w:val="-2"/>
              </w:rPr>
              <w:t>1935.5m</w:t>
            </w:r>
            <w:r>
              <w:rPr>
                <w:spacing w:val="-16"/>
              </w:rPr>
              <w:t xml:space="preserve"> </w:t>
            </w:r>
            <w:r>
              <w:rPr>
                <w:rFonts w:ascii="宋体" w:hAnsi="宋体" w:eastAsia="宋体" w:cs="宋体"/>
                <w:spacing w:val="-2"/>
              </w:rPr>
              <w:t>、</w:t>
            </w:r>
            <w:r>
              <w:rPr>
                <w:rFonts w:ascii="宋体" w:hAnsi="宋体" w:eastAsia="宋体" w:cs="宋体"/>
              </w:rPr>
              <w:t xml:space="preserve"> </w:t>
            </w:r>
            <w:r>
              <w:rPr>
                <w:spacing w:val="-2"/>
              </w:rPr>
              <w:t>1937.0m</w:t>
            </w:r>
            <w:r>
              <w:rPr>
                <w:rFonts w:ascii="宋体" w:hAnsi="宋体" w:eastAsia="宋体" w:cs="宋体"/>
                <w:spacing w:val="-2"/>
              </w:rPr>
              <w:t>。</w:t>
            </w:r>
          </w:p>
        </w:tc>
        <w:tc>
          <w:tcPr>
            <w:tcW w:w="3038" w:type="dxa"/>
            <w:vAlign w:val="top"/>
          </w:tcPr>
          <w:p w14:paraId="5E63F167">
            <w:pPr>
              <w:pStyle w:val="6"/>
              <w:spacing w:before="94"/>
              <w:ind w:right="41" w:firstLine="100"/>
              <w:jc w:val="both"/>
              <w:rPr>
                <w:rFonts w:ascii="宋体" w:hAnsi="宋体" w:eastAsia="宋体" w:cs="宋体"/>
              </w:rPr>
            </w:pPr>
            <w:r>
              <w:rPr>
                <w:rFonts w:ascii="宋体" w:hAnsi="宋体" w:eastAsia="宋体" w:cs="宋体"/>
                <w:spacing w:val="-4"/>
              </w:rPr>
              <w:t>鱼道布置于大坝左岸，由明槽段</w:t>
            </w:r>
            <w:r>
              <w:rPr>
                <w:rFonts w:ascii="宋体" w:hAnsi="宋体" w:eastAsia="宋体" w:cs="宋体"/>
                <w:spacing w:val="2"/>
              </w:rPr>
              <w:t>（含进口明渠段、进口回转爬升</w:t>
            </w:r>
            <w:r>
              <w:rPr>
                <w:rFonts w:ascii="宋体" w:hAnsi="宋体" w:eastAsia="宋体" w:cs="宋体"/>
                <w:spacing w:val="-4"/>
              </w:rPr>
              <w:t>段、傍山明渠段） 、隧洞段、出口回转爬升段、闸室段组成， 全</w:t>
            </w:r>
            <w:r>
              <w:rPr>
                <w:rFonts w:ascii="宋体" w:hAnsi="宋体" w:eastAsia="宋体" w:cs="宋体"/>
                <w:spacing w:val="2"/>
              </w:rPr>
              <w:t>长</w:t>
            </w:r>
            <w:r>
              <w:rPr>
                <w:rFonts w:ascii="宋体" w:hAnsi="宋体" w:eastAsia="宋体" w:cs="宋体"/>
                <w:spacing w:val="-22"/>
              </w:rPr>
              <w:t xml:space="preserve"> </w:t>
            </w:r>
            <w:r>
              <w:rPr>
                <w:spacing w:val="2"/>
              </w:rPr>
              <w:t>2.64</w:t>
            </w:r>
            <w:r>
              <w:t>km</w:t>
            </w:r>
            <w:r>
              <w:rPr>
                <w:rFonts w:ascii="宋体" w:hAnsi="宋体" w:eastAsia="宋体" w:cs="宋体"/>
                <w:spacing w:val="2"/>
              </w:rPr>
              <w:t>，其中隧洞段长</w:t>
            </w:r>
            <w:r>
              <w:rPr>
                <w:rFonts w:ascii="宋体" w:hAnsi="宋体" w:eastAsia="宋体" w:cs="宋体"/>
                <w:spacing w:val="-25"/>
              </w:rPr>
              <w:t xml:space="preserve"> </w:t>
            </w:r>
            <w:r>
              <w:rPr>
                <w:spacing w:val="2"/>
              </w:rPr>
              <w:t>703.7</w:t>
            </w:r>
            <w:r>
              <w:t xml:space="preserve"> </w:t>
            </w:r>
            <w:r>
              <w:rPr>
                <w:spacing w:val="-6"/>
              </w:rPr>
              <w:t>m</w:t>
            </w:r>
            <w:r>
              <w:rPr>
                <w:rFonts w:ascii="宋体" w:hAnsi="宋体" w:eastAsia="宋体" w:cs="宋体"/>
                <w:spacing w:val="-6"/>
              </w:rPr>
              <w:t>，明槽段长</w:t>
            </w:r>
            <w:r>
              <w:rPr>
                <w:rFonts w:ascii="宋体" w:hAnsi="宋体" w:eastAsia="宋体" w:cs="宋体"/>
                <w:spacing w:val="-17"/>
              </w:rPr>
              <w:t xml:space="preserve"> </w:t>
            </w:r>
            <w:r>
              <w:rPr>
                <w:spacing w:val="-6"/>
              </w:rPr>
              <w:t>1997.3m</w:t>
            </w:r>
            <w:r>
              <w:rPr>
                <w:rFonts w:ascii="宋体" w:hAnsi="宋体" w:eastAsia="宋体" w:cs="宋体"/>
                <w:spacing w:val="-6"/>
              </w:rPr>
              <w:t>。设置</w:t>
            </w:r>
            <w:r>
              <w:rPr>
                <w:rFonts w:ascii="宋体" w:hAnsi="宋体" w:eastAsia="宋体" w:cs="宋体"/>
                <w:spacing w:val="-45"/>
              </w:rPr>
              <w:t xml:space="preserve"> </w:t>
            </w:r>
            <w:r>
              <w:rPr>
                <w:spacing w:val="-6"/>
              </w:rPr>
              <w:t xml:space="preserve">7 </w:t>
            </w:r>
            <w:r>
              <w:rPr>
                <w:rFonts w:ascii="宋体" w:hAnsi="宋体" w:eastAsia="宋体" w:cs="宋体"/>
                <w:spacing w:val="-6"/>
              </w:rPr>
              <w:t>个</w:t>
            </w:r>
            <w:r>
              <w:rPr>
                <w:rFonts w:ascii="宋体" w:hAnsi="宋体" w:eastAsia="宋体" w:cs="宋体"/>
                <w:spacing w:val="2"/>
              </w:rPr>
              <w:t xml:space="preserve">出口，分别由 </w:t>
            </w:r>
            <w:r>
              <w:rPr>
                <w:spacing w:val="2"/>
              </w:rPr>
              <w:t xml:space="preserve">1.5m  </w:t>
            </w:r>
            <w:r>
              <w:rPr>
                <w:rFonts w:ascii="宋体" w:hAnsi="宋体" w:eastAsia="宋体" w:cs="宋体"/>
                <w:spacing w:val="2"/>
              </w:rPr>
              <w:t>水位变幅的</w:t>
            </w:r>
            <w:r>
              <w:rPr>
                <w:rFonts w:ascii="宋体" w:hAnsi="宋体" w:eastAsia="宋体" w:cs="宋体"/>
                <w:spacing w:val="-3"/>
              </w:rPr>
              <w:t>闸室控制。</w:t>
            </w:r>
            <w:r>
              <w:rPr>
                <w:rFonts w:ascii="宋体" w:hAnsi="宋体" w:eastAsia="宋体" w:cs="宋体"/>
                <w:spacing w:val="-16"/>
              </w:rPr>
              <w:t xml:space="preserve"> </w:t>
            </w:r>
            <w:r>
              <w:rPr>
                <w:spacing w:val="-3"/>
              </w:rPr>
              <w:t>7#</w:t>
            </w:r>
            <w:r>
              <w:rPr>
                <w:rFonts w:ascii="宋体" w:hAnsi="宋体" w:eastAsia="宋体" w:cs="宋体"/>
                <w:spacing w:val="-3"/>
              </w:rPr>
              <w:t>出口闸室为底层闸</w:t>
            </w:r>
            <w:r>
              <w:rPr>
                <w:rFonts w:ascii="宋体" w:hAnsi="宋体" w:eastAsia="宋体" w:cs="宋体"/>
                <w:spacing w:val="-6"/>
              </w:rPr>
              <w:t>室，</w:t>
            </w:r>
            <w:r>
              <w:rPr>
                <w:rFonts w:ascii="宋体" w:hAnsi="宋体" w:eastAsia="宋体" w:cs="宋体"/>
                <w:spacing w:val="-28"/>
              </w:rPr>
              <w:t xml:space="preserve"> </w:t>
            </w:r>
            <w:r>
              <w:rPr>
                <w:rFonts w:ascii="宋体" w:hAnsi="宋体" w:eastAsia="宋体" w:cs="宋体"/>
                <w:spacing w:val="-6"/>
              </w:rPr>
              <w:t>底板高程为</w:t>
            </w:r>
            <w:r>
              <w:rPr>
                <w:rFonts w:ascii="宋体" w:hAnsi="宋体" w:eastAsia="宋体" w:cs="宋体"/>
                <w:spacing w:val="-29"/>
              </w:rPr>
              <w:t xml:space="preserve"> </w:t>
            </w:r>
            <w:r>
              <w:rPr>
                <w:spacing w:val="-6"/>
              </w:rPr>
              <w:t>1927.5m</w:t>
            </w:r>
            <w:r>
              <w:rPr>
                <w:rFonts w:ascii="宋体" w:hAnsi="宋体" w:eastAsia="宋体" w:cs="宋体"/>
                <w:spacing w:val="-6"/>
              </w:rPr>
              <w:t>，</w:t>
            </w:r>
            <w:r>
              <w:rPr>
                <w:spacing w:val="-6"/>
              </w:rPr>
              <w:t>1#</w:t>
            </w:r>
            <w:r>
              <w:rPr>
                <w:rFonts w:ascii="宋体" w:hAnsi="宋体" w:eastAsia="宋体" w:cs="宋体"/>
                <w:spacing w:val="-6"/>
              </w:rPr>
              <w:t>～</w:t>
            </w:r>
            <w:r>
              <w:rPr>
                <w:spacing w:val="-6"/>
              </w:rPr>
              <w:t>6</w:t>
            </w:r>
            <w:r>
              <w:t xml:space="preserve"> </w:t>
            </w:r>
            <w:r>
              <w:rPr>
                <w:spacing w:val="11"/>
              </w:rPr>
              <w:t>#</w:t>
            </w:r>
            <w:r>
              <w:rPr>
                <w:rFonts w:ascii="宋体" w:hAnsi="宋体" w:eastAsia="宋体" w:cs="宋体"/>
                <w:spacing w:val="11"/>
              </w:rPr>
              <w:t xml:space="preserve">闸室出口高程分别为 </w:t>
            </w:r>
            <w:r>
              <w:rPr>
                <w:spacing w:val="11"/>
              </w:rPr>
              <w:t>1929.00</w:t>
            </w:r>
            <w:r>
              <w:rPr>
                <w:spacing w:val="4"/>
              </w:rPr>
              <w:t xml:space="preserve"> </w:t>
            </w:r>
            <w:r>
              <w:rPr>
                <w:spacing w:val="-2"/>
              </w:rPr>
              <w:t>m</w:t>
            </w:r>
            <w:r>
              <w:rPr>
                <w:spacing w:val="-19"/>
              </w:rPr>
              <w:t xml:space="preserve"> </w:t>
            </w:r>
            <w:r>
              <w:rPr>
                <w:rFonts w:ascii="宋体" w:hAnsi="宋体" w:eastAsia="宋体" w:cs="宋体"/>
                <w:spacing w:val="-2"/>
              </w:rPr>
              <w:t>、</w:t>
            </w:r>
            <w:r>
              <w:rPr>
                <w:spacing w:val="-2"/>
              </w:rPr>
              <w:t>1930.50m</w:t>
            </w:r>
            <w:r>
              <w:rPr>
                <w:spacing w:val="-31"/>
              </w:rPr>
              <w:t xml:space="preserve"> </w:t>
            </w:r>
            <w:r>
              <w:rPr>
                <w:rFonts w:ascii="宋体" w:hAnsi="宋体" w:eastAsia="宋体" w:cs="宋体"/>
                <w:spacing w:val="-2"/>
              </w:rPr>
              <w:t>、</w:t>
            </w:r>
            <w:r>
              <w:rPr>
                <w:spacing w:val="-2"/>
              </w:rPr>
              <w:t>1932.00m</w:t>
            </w:r>
            <w:r>
              <w:rPr>
                <w:spacing w:val="-30"/>
              </w:rPr>
              <w:t xml:space="preserve"> </w:t>
            </w:r>
            <w:r>
              <w:rPr>
                <w:rFonts w:ascii="宋体" w:hAnsi="宋体" w:eastAsia="宋体" w:cs="宋体"/>
                <w:spacing w:val="-2"/>
              </w:rPr>
              <w:t>、</w:t>
            </w:r>
            <w:r>
              <w:rPr>
                <w:spacing w:val="-2"/>
              </w:rPr>
              <w:t>1933.</w:t>
            </w:r>
            <w:r>
              <w:t xml:space="preserve"> </w:t>
            </w:r>
            <w:r>
              <w:rPr>
                <w:spacing w:val="2"/>
              </w:rPr>
              <w:t>50m</w:t>
            </w:r>
            <w:r>
              <w:rPr>
                <w:rFonts w:ascii="宋体" w:hAnsi="宋体" w:eastAsia="宋体" w:cs="宋体"/>
                <w:spacing w:val="2"/>
              </w:rPr>
              <w:t>、</w:t>
            </w:r>
            <w:r>
              <w:rPr>
                <w:spacing w:val="2"/>
              </w:rPr>
              <w:t>1935.00m</w:t>
            </w:r>
            <w:r>
              <w:rPr>
                <w:rFonts w:ascii="宋体" w:hAnsi="宋体" w:eastAsia="宋体" w:cs="宋体"/>
                <w:spacing w:val="2"/>
              </w:rPr>
              <w:t>、</w:t>
            </w:r>
            <w:r>
              <w:rPr>
                <w:spacing w:val="2"/>
              </w:rPr>
              <w:t>1936.50m</w:t>
            </w:r>
            <w:r>
              <w:rPr>
                <w:rFonts w:ascii="宋体" w:hAnsi="宋体" w:eastAsia="宋体" w:cs="宋体"/>
                <w:spacing w:val="2"/>
              </w:rPr>
              <w:t>。</w:t>
            </w:r>
          </w:p>
        </w:tc>
        <w:tc>
          <w:tcPr>
            <w:tcW w:w="1121" w:type="dxa"/>
            <w:tcBorders>
              <w:right w:val="single" w:color="000000" w:sz="12" w:space="0"/>
            </w:tcBorders>
            <w:vAlign w:val="top"/>
          </w:tcPr>
          <w:p w14:paraId="6E8AF5DF">
            <w:pPr>
              <w:spacing w:line="274" w:lineRule="auto"/>
              <w:rPr>
                <w:rFonts w:ascii="Arial"/>
                <w:sz w:val="21"/>
              </w:rPr>
            </w:pPr>
          </w:p>
          <w:p w14:paraId="35A3AD62">
            <w:pPr>
              <w:spacing w:line="274" w:lineRule="auto"/>
              <w:rPr>
                <w:rFonts w:ascii="Arial"/>
                <w:sz w:val="21"/>
              </w:rPr>
            </w:pPr>
          </w:p>
          <w:p w14:paraId="075543EA">
            <w:pPr>
              <w:spacing w:line="274" w:lineRule="auto"/>
              <w:rPr>
                <w:rFonts w:ascii="Arial"/>
                <w:sz w:val="21"/>
              </w:rPr>
            </w:pPr>
          </w:p>
          <w:p w14:paraId="1025CC17">
            <w:pPr>
              <w:spacing w:line="274" w:lineRule="auto"/>
              <w:rPr>
                <w:rFonts w:ascii="Arial"/>
                <w:sz w:val="21"/>
              </w:rPr>
            </w:pPr>
          </w:p>
          <w:p w14:paraId="4299C5DB">
            <w:pPr>
              <w:spacing w:line="275" w:lineRule="auto"/>
              <w:rPr>
                <w:rFonts w:ascii="Arial"/>
                <w:sz w:val="21"/>
              </w:rPr>
            </w:pPr>
          </w:p>
          <w:p w14:paraId="5923B120">
            <w:pPr>
              <w:spacing w:before="68" w:line="242" w:lineRule="auto"/>
              <w:ind w:left="152" w:right="119" w:hanging="2"/>
              <w:rPr>
                <w:rFonts w:ascii="宋体" w:hAnsi="宋体" w:eastAsia="宋体" w:cs="宋体"/>
                <w:sz w:val="21"/>
                <w:szCs w:val="21"/>
              </w:rPr>
            </w:pPr>
            <w:r>
              <w:rPr>
                <w:rFonts w:ascii="宋体" w:hAnsi="宋体" w:eastAsia="宋体" w:cs="宋体"/>
                <w:spacing w:val="-3"/>
                <w:sz w:val="21"/>
                <w:szCs w:val="21"/>
              </w:rPr>
              <w:t>基本一致局部调整</w:t>
            </w:r>
          </w:p>
        </w:tc>
      </w:tr>
      <w:tr w14:paraId="00424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3" w:hRule="atLeast"/>
        </w:trPr>
        <w:tc>
          <w:tcPr>
            <w:tcW w:w="429" w:type="dxa"/>
            <w:vMerge w:val="continue"/>
            <w:tcBorders>
              <w:top w:val="nil"/>
              <w:left w:val="single" w:color="000000" w:sz="12" w:space="0"/>
              <w:bottom w:val="nil"/>
            </w:tcBorders>
            <w:textDirection w:val="tbRlV"/>
            <w:vAlign w:val="top"/>
          </w:tcPr>
          <w:p w14:paraId="10CB17A4">
            <w:pPr>
              <w:rPr>
                <w:rFonts w:ascii="Arial"/>
                <w:sz w:val="21"/>
              </w:rPr>
            </w:pPr>
          </w:p>
        </w:tc>
        <w:tc>
          <w:tcPr>
            <w:tcW w:w="849" w:type="dxa"/>
            <w:vAlign w:val="top"/>
          </w:tcPr>
          <w:p w14:paraId="0EFE3C1B">
            <w:pPr>
              <w:spacing w:line="279" w:lineRule="auto"/>
              <w:rPr>
                <w:rFonts w:ascii="Arial"/>
                <w:sz w:val="21"/>
              </w:rPr>
            </w:pPr>
          </w:p>
          <w:p w14:paraId="33341DB0">
            <w:pPr>
              <w:spacing w:line="279" w:lineRule="auto"/>
              <w:rPr>
                <w:rFonts w:ascii="Arial"/>
                <w:sz w:val="21"/>
              </w:rPr>
            </w:pPr>
          </w:p>
          <w:p w14:paraId="0E9C3BF6">
            <w:pPr>
              <w:spacing w:line="280" w:lineRule="auto"/>
              <w:rPr>
                <w:rFonts w:ascii="Arial"/>
                <w:sz w:val="21"/>
              </w:rPr>
            </w:pPr>
          </w:p>
          <w:p w14:paraId="6D771BDA">
            <w:pPr>
              <w:spacing w:before="69" w:line="242" w:lineRule="auto"/>
              <w:ind w:left="101" w:right="116" w:firstLine="106"/>
              <w:rPr>
                <w:rFonts w:ascii="宋体" w:hAnsi="宋体" w:eastAsia="宋体" w:cs="宋体"/>
                <w:sz w:val="21"/>
                <w:szCs w:val="21"/>
              </w:rPr>
            </w:pPr>
            <w:r>
              <w:rPr>
                <w:rFonts w:ascii="宋体" w:hAnsi="宋体" w:eastAsia="宋体" w:cs="宋体"/>
                <w:spacing w:val="-6"/>
                <w:sz w:val="21"/>
                <w:szCs w:val="21"/>
              </w:rPr>
              <w:t>鱼类</w:t>
            </w:r>
            <w:r>
              <w:rPr>
                <w:rFonts w:ascii="宋体" w:hAnsi="宋体" w:eastAsia="宋体" w:cs="宋体"/>
                <w:spacing w:val="-4"/>
                <w:sz w:val="21"/>
                <w:szCs w:val="21"/>
              </w:rPr>
              <w:t>增殖站</w:t>
            </w:r>
          </w:p>
        </w:tc>
        <w:tc>
          <w:tcPr>
            <w:tcW w:w="3036" w:type="dxa"/>
            <w:vAlign w:val="top"/>
          </w:tcPr>
          <w:p w14:paraId="5D163990">
            <w:pPr>
              <w:pStyle w:val="6"/>
              <w:spacing w:before="93"/>
              <w:ind w:left="45" w:firstLine="7"/>
              <w:jc w:val="both"/>
              <w:rPr>
                <w:rFonts w:ascii="宋体" w:hAnsi="宋体" w:eastAsia="宋体" w:cs="宋体"/>
              </w:rPr>
            </w:pPr>
            <w:r>
              <w:rPr>
                <w:rFonts w:ascii="宋体" w:hAnsi="宋体" w:eastAsia="宋体" w:cs="宋体"/>
                <w:spacing w:val="-4"/>
              </w:rPr>
              <w:t>鱼类</w:t>
            </w:r>
            <w:r>
              <w:rPr>
                <w:rFonts w:ascii="宋体" w:hAnsi="宋体" w:eastAsia="宋体" w:cs="宋体"/>
                <w:spacing w:val="-59"/>
              </w:rPr>
              <w:t xml:space="preserve"> </w:t>
            </w:r>
            <w:r>
              <w:rPr>
                <w:rFonts w:ascii="宋体" w:hAnsi="宋体" w:eastAsia="宋体" w:cs="宋体"/>
                <w:spacing w:val="-4"/>
              </w:rPr>
              <w:t>增</w:t>
            </w:r>
            <w:r>
              <w:rPr>
                <w:rFonts w:ascii="宋体" w:hAnsi="宋体" w:eastAsia="宋体" w:cs="宋体"/>
                <w:spacing w:val="-59"/>
              </w:rPr>
              <w:t xml:space="preserve"> </w:t>
            </w:r>
            <w:r>
              <w:rPr>
                <w:rFonts w:ascii="宋体" w:hAnsi="宋体" w:eastAsia="宋体" w:cs="宋体"/>
                <w:spacing w:val="-4"/>
              </w:rPr>
              <w:t>殖</w:t>
            </w:r>
            <w:r>
              <w:rPr>
                <w:rFonts w:ascii="宋体" w:hAnsi="宋体" w:eastAsia="宋体" w:cs="宋体"/>
                <w:spacing w:val="-58"/>
              </w:rPr>
              <w:t xml:space="preserve"> </w:t>
            </w:r>
            <w:r>
              <w:rPr>
                <w:rFonts w:ascii="宋体" w:hAnsi="宋体" w:eastAsia="宋体" w:cs="宋体"/>
                <w:spacing w:val="-4"/>
              </w:rPr>
              <w:t>站</w:t>
            </w:r>
            <w:r>
              <w:rPr>
                <w:rFonts w:ascii="宋体" w:hAnsi="宋体" w:eastAsia="宋体" w:cs="宋体"/>
                <w:spacing w:val="-61"/>
              </w:rPr>
              <w:t xml:space="preserve"> </w:t>
            </w:r>
            <w:r>
              <w:rPr>
                <w:rFonts w:ascii="宋体" w:hAnsi="宋体" w:eastAsia="宋体" w:cs="宋体"/>
                <w:spacing w:val="-4"/>
              </w:rPr>
              <w:t>位</w:t>
            </w:r>
            <w:r>
              <w:rPr>
                <w:rFonts w:ascii="宋体" w:hAnsi="宋体" w:eastAsia="宋体" w:cs="宋体"/>
                <w:spacing w:val="-57"/>
              </w:rPr>
              <w:t xml:space="preserve"> </w:t>
            </w:r>
            <w:r>
              <w:rPr>
                <w:rFonts w:ascii="宋体" w:hAnsi="宋体" w:eastAsia="宋体" w:cs="宋体"/>
                <w:spacing w:val="-4"/>
              </w:rPr>
              <w:t>于</w:t>
            </w:r>
            <w:r>
              <w:rPr>
                <w:rFonts w:ascii="宋体" w:hAnsi="宋体" w:eastAsia="宋体" w:cs="宋体"/>
                <w:spacing w:val="-61"/>
              </w:rPr>
              <w:t xml:space="preserve"> </w:t>
            </w:r>
            <w:r>
              <w:rPr>
                <w:rFonts w:ascii="宋体" w:hAnsi="宋体" w:eastAsia="宋体" w:cs="宋体"/>
                <w:spacing w:val="-4"/>
              </w:rPr>
              <w:t>坝</w:t>
            </w:r>
            <w:r>
              <w:rPr>
                <w:rFonts w:ascii="宋体" w:hAnsi="宋体" w:eastAsia="宋体" w:cs="宋体"/>
                <w:spacing w:val="-58"/>
              </w:rPr>
              <w:t xml:space="preserve"> </w:t>
            </w:r>
            <w:r>
              <w:rPr>
                <w:rFonts w:ascii="宋体" w:hAnsi="宋体" w:eastAsia="宋体" w:cs="宋体"/>
                <w:spacing w:val="-4"/>
              </w:rPr>
              <w:t>址</w:t>
            </w:r>
            <w:r>
              <w:rPr>
                <w:rFonts w:ascii="宋体" w:hAnsi="宋体" w:eastAsia="宋体" w:cs="宋体"/>
                <w:spacing w:val="-51"/>
              </w:rPr>
              <w:t xml:space="preserve"> </w:t>
            </w:r>
            <w:r>
              <w:rPr>
                <w:rFonts w:ascii="宋体" w:hAnsi="宋体" w:eastAsia="宋体" w:cs="宋体"/>
                <w:spacing w:val="-4"/>
              </w:rPr>
              <w:t>下游</w:t>
            </w:r>
            <w:r>
              <w:rPr>
                <w:rFonts w:ascii="宋体" w:hAnsi="宋体" w:eastAsia="宋体" w:cs="宋体"/>
                <w:spacing w:val="-55"/>
              </w:rPr>
              <w:t xml:space="preserve"> </w:t>
            </w:r>
            <w:r>
              <w:rPr>
                <w:rFonts w:ascii="宋体" w:hAnsi="宋体" w:eastAsia="宋体" w:cs="宋体"/>
                <w:spacing w:val="-4"/>
              </w:rPr>
              <w:t>约</w:t>
            </w:r>
            <w:r>
              <w:rPr>
                <w:spacing w:val="-5"/>
              </w:rPr>
              <w:t>250m</w:t>
            </w:r>
            <w:r>
              <w:rPr>
                <w:spacing w:val="46"/>
              </w:rPr>
              <w:t xml:space="preserve"> </w:t>
            </w:r>
            <w:r>
              <w:rPr>
                <w:rFonts w:ascii="宋体" w:hAnsi="宋体" w:eastAsia="宋体" w:cs="宋体"/>
                <w:spacing w:val="-5"/>
              </w:rPr>
              <w:t xml:space="preserve">的河道左岸滩地，占地 </w:t>
            </w:r>
            <w:r>
              <w:rPr>
                <w:spacing w:val="-5"/>
              </w:rPr>
              <w:t>16</w:t>
            </w:r>
            <w:r>
              <w:rPr>
                <w:rFonts w:ascii="宋体" w:hAnsi="宋体" w:eastAsia="宋体" w:cs="宋体"/>
                <w:spacing w:val="-12"/>
              </w:rPr>
              <w:t>亩，包括综合楼、催产孵化车间、</w:t>
            </w:r>
            <w:r>
              <w:rPr>
                <w:rFonts w:ascii="宋体" w:hAnsi="宋体" w:eastAsia="宋体" w:cs="宋体"/>
                <w:spacing w:val="13"/>
              </w:rPr>
              <w:t>鱼苗培育车间、鱼种培育车间</w:t>
            </w:r>
            <w:r>
              <w:rPr>
                <w:rFonts w:ascii="宋体" w:hAnsi="宋体" w:eastAsia="宋体" w:cs="宋体"/>
                <w:spacing w:val="-3"/>
              </w:rPr>
              <w:t>等。采用循环水工艺。总放流规</w:t>
            </w:r>
            <w:r>
              <w:rPr>
                <w:rFonts w:ascii="宋体" w:hAnsi="宋体" w:eastAsia="宋体" w:cs="宋体"/>
                <w:spacing w:val="-6"/>
              </w:rPr>
              <w:t xml:space="preserve">模 </w:t>
            </w:r>
            <w:r>
              <w:rPr>
                <w:spacing w:val="-6"/>
              </w:rPr>
              <w:t>16</w:t>
            </w:r>
            <w:r>
              <w:rPr>
                <w:spacing w:val="45"/>
                <w:w w:val="101"/>
              </w:rPr>
              <w:t xml:space="preserve"> </w:t>
            </w:r>
            <w:r>
              <w:rPr>
                <w:rFonts w:ascii="宋体" w:hAnsi="宋体" w:eastAsia="宋体" w:cs="宋体"/>
                <w:spacing w:val="-6"/>
              </w:rPr>
              <w:t>万尾</w:t>
            </w:r>
            <w:r>
              <w:rPr>
                <w:spacing w:val="-6"/>
              </w:rPr>
              <w:t>/</w:t>
            </w:r>
            <w:r>
              <w:rPr>
                <w:rFonts w:ascii="宋体" w:hAnsi="宋体" w:eastAsia="宋体" w:cs="宋体"/>
                <w:spacing w:val="-6"/>
              </w:rPr>
              <w:t>年。增殖放流对象为</w:t>
            </w:r>
            <w:r>
              <w:rPr>
                <w:rFonts w:ascii="宋体" w:hAnsi="宋体" w:eastAsia="宋体" w:cs="宋体"/>
                <w:spacing w:val="-3"/>
              </w:rPr>
              <w:t>滇池金线鲃、云南盘鮈、云南光唇鱼。</w:t>
            </w:r>
          </w:p>
        </w:tc>
        <w:tc>
          <w:tcPr>
            <w:tcW w:w="3038" w:type="dxa"/>
            <w:vAlign w:val="top"/>
          </w:tcPr>
          <w:p w14:paraId="75DF7D29">
            <w:pPr>
              <w:pStyle w:val="6"/>
              <w:spacing w:before="229"/>
              <w:ind w:left="59" w:right="41" w:firstLine="4"/>
              <w:jc w:val="both"/>
              <w:rPr>
                <w:rFonts w:ascii="宋体" w:hAnsi="宋体" w:eastAsia="宋体" w:cs="宋体"/>
              </w:rPr>
            </w:pPr>
            <w:r>
              <w:rPr>
                <w:rFonts w:ascii="宋体" w:hAnsi="宋体" w:eastAsia="宋体" w:cs="宋体"/>
                <w:spacing w:val="14"/>
              </w:rPr>
              <w:t>鱼类增殖站位于坝下河道左岸</w:t>
            </w:r>
            <w:r>
              <w:rPr>
                <w:rFonts w:ascii="宋体" w:hAnsi="宋体" w:eastAsia="宋体" w:cs="宋体"/>
                <w:spacing w:val="-2"/>
              </w:rPr>
              <w:t>滩地，包括综合楼、催产孵化车间、鱼苗培育车间、鱼种培育车间等。采用循环水工艺。总放流</w:t>
            </w:r>
            <w:r>
              <w:rPr>
                <w:rFonts w:ascii="宋体" w:hAnsi="宋体" w:eastAsia="宋体" w:cs="宋体"/>
                <w:spacing w:val="-4"/>
              </w:rPr>
              <w:t xml:space="preserve">规模 </w:t>
            </w:r>
            <w:r>
              <w:rPr>
                <w:spacing w:val="-4"/>
              </w:rPr>
              <w:t>16</w:t>
            </w:r>
            <w:r>
              <w:rPr>
                <w:spacing w:val="44"/>
              </w:rPr>
              <w:t xml:space="preserve"> </w:t>
            </w:r>
            <w:r>
              <w:rPr>
                <w:rFonts w:ascii="宋体" w:hAnsi="宋体" w:eastAsia="宋体" w:cs="宋体"/>
                <w:spacing w:val="-4"/>
              </w:rPr>
              <w:t>万尾</w:t>
            </w:r>
            <w:r>
              <w:rPr>
                <w:spacing w:val="-4"/>
              </w:rPr>
              <w:t>/</w:t>
            </w:r>
            <w:r>
              <w:rPr>
                <w:rFonts w:ascii="宋体" w:hAnsi="宋体" w:eastAsia="宋体" w:cs="宋体"/>
                <w:spacing w:val="-4"/>
              </w:rPr>
              <w:t>年。放流对象为滇</w:t>
            </w:r>
            <w:r>
              <w:rPr>
                <w:rFonts w:ascii="宋体" w:hAnsi="宋体" w:eastAsia="宋体" w:cs="宋体"/>
                <w:spacing w:val="-2"/>
              </w:rPr>
              <w:t>池金线鲃、云南光唇鱼和云南盘</w:t>
            </w:r>
            <w:r>
              <w:rPr>
                <w:rFonts w:ascii="宋体" w:hAnsi="宋体" w:eastAsia="宋体" w:cs="宋体"/>
                <w:spacing w:val="-4"/>
              </w:rPr>
              <w:t>鮈。</w:t>
            </w:r>
          </w:p>
        </w:tc>
        <w:tc>
          <w:tcPr>
            <w:tcW w:w="1121" w:type="dxa"/>
            <w:tcBorders>
              <w:right w:val="single" w:color="000000" w:sz="12" w:space="0"/>
            </w:tcBorders>
            <w:vAlign w:val="top"/>
          </w:tcPr>
          <w:p w14:paraId="1577187B">
            <w:pPr>
              <w:spacing w:line="243" w:lineRule="auto"/>
              <w:rPr>
                <w:rFonts w:ascii="Arial"/>
                <w:sz w:val="21"/>
              </w:rPr>
            </w:pPr>
          </w:p>
          <w:p w14:paraId="4EEC70DB">
            <w:pPr>
              <w:spacing w:line="243" w:lineRule="auto"/>
              <w:rPr>
                <w:rFonts w:ascii="Arial"/>
                <w:sz w:val="21"/>
              </w:rPr>
            </w:pPr>
          </w:p>
          <w:p w14:paraId="114ED9AF">
            <w:pPr>
              <w:spacing w:line="243" w:lineRule="auto"/>
              <w:rPr>
                <w:rFonts w:ascii="Arial"/>
                <w:sz w:val="21"/>
              </w:rPr>
            </w:pPr>
          </w:p>
          <w:p w14:paraId="59AF420F">
            <w:pPr>
              <w:spacing w:line="243" w:lineRule="auto"/>
              <w:rPr>
                <w:rFonts w:ascii="Arial"/>
                <w:sz w:val="21"/>
              </w:rPr>
            </w:pPr>
          </w:p>
          <w:p w14:paraId="132041D5">
            <w:pPr>
              <w:spacing w:before="69"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0381F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9" w:hRule="atLeast"/>
        </w:trPr>
        <w:tc>
          <w:tcPr>
            <w:tcW w:w="429" w:type="dxa"/>
            <w:vMerge w:val="continue"/>
            <w:tcBorders>
              <w:top w:val="nil"/>
              <w:left w:val="single" w:color="000000" w:sz="12" w:space="0"/>
              <w:bottom w:val="nil"/>
            </w:tcBorders>
            <w:textDirection w:val="tbRlV"/>
            <w:vAlign w:val="top"/>
          </w:tcPr>
          <w:p w14:paraId="0FED895A">
            <w:pPr>
              <w:rPr>
                <w:rFonts w:ascii="Arial"/>
                <w:sz w:val="21"/>
              </w:rPr>
            </w:pPr>
          </w:p>
        </w:tc>
        <w:tc>
          <w:tcPr>
            <w:tcW w:w="849" w:type="dxa"/>
            <w:vAlign w:val="top"/>
          </w:tcPr>
          <w:p w14:paraId="5F14B340">
            <w:pPr>
              <w:spacing w:line="353" w:lineRule="auto"/>
              <w:rPr>
                <w:rFonts w:ascii="Arial"/>
                <w:sz w:val="21"/>
              </w:rPr>
            </w:pPr>
          </w:p>
          <w:p w14:paraId="06787AFC">
            <w:pPr>
              <w:spacing w:line="354" w:lineRule="auto"/>
              <w:rPr>
                <w:rFonts w:ascii="Arial"/>
                <w:sz w:val="21"/>
              </w:rPr>
            </w:pPr>
          </w:p>
          <w:p w14:paraId="3D3C538B">
            <w:pPr>
              <w:spacing w:before="68" w:line="223" w:lineRule="auto"/>
              <w:ind w:left="102"/>
              <w:rPr>
                <w:rFonts w:ascii="宋体" w:hAnsi="宋体" w:eastAsia="宋体" w:cs="宋体"/>
                <w:sz w:val="21"/>
                <w:szCs w:val="21"/>
              </w:rPr>
            </w:pPr>
            <w:r>
              <w:rPr>
                <w:rFonts w:ascii="宋体" w:hAnsi="宋体" w:eastAsia="宋体" w:cs="宋体"/>
                <w:spacing w:val="-3"/>
                <w:sz w:val="21"/>
                <w:szCs w:val="21"/>
              </w:rPr>
              <w:t>生态流</w:t>
            </w:r>
          </w:p>
          <w:p w14:paraId="411E1964">
            <w:pPr>
              <w:spacing w:before="18" w:line="221" w:lineRule="auto"/>
              <w:ind w:left="100"/>
              <w:rPr>
                <w:rFonts w:ascii="宋体" w:hAnsi="宋体" w:eastAsia="宋体" w:cs="宋体"/>
                <w:sz w:val="21"/>
                <w:szCs w:val="21"/>
              </w:rPr>
            </w:pPr>
            <w:r>
              <w:rPr>
                <w:rFonts w:ascii="宋体" w:hAnsi="宋体" w:eastAsia="宋体" w:cs="宋体"/>
                <w:spacing w:val="-2"/>
                <w:sz w:val="21"/>
                <w:szCs w:val="21"/>
              </w:rPr>
              <w:t>量泄放</w:t>
            </w:r>
          </w:p>
          <w:p w14:paraId="74F22B47">
            <w:pPr>
              <w:spacing w:before="21" w:line="221" w:lineRule="auto"/>
              <w:ind w:left="103"/>
              <w:rPr>
                <w:rFonts w:ascii="宋体" w:hAnsi="宋体" w:eastAsia="宋体" w:cs="宋体"/>
                <w:sz w:val="21"/>
                <w:szCs w:val="21"/>
              </w:rPr>
            </w:pPr>
            <w:r>
              <w:rPr>
                <w:rFonts w:ascii="宋体" w:hAnsi="宋体" w:eastAsia="宋体" w:cs="宋体"/>
                <w:spacing w:val="-3"/>
                <w:sz w:val="21"/>
                <w:szCs w:val="21"/>
              </w:rPr>
              <w:t>设施及</w:t>
            </w:r>
          </w:p>
          <w:p w14:paraId="588D4406">
            <w:pPr>
              <w:spacing w:before="21" w:line="223" w:lineRule="auto"/>
              <w:ind w:left="102"/>
              <w:rPr>
                <w:rFonts w:ascii="宋体" w:hAnsi="宋体" w:eastAsia="宋体" w:cs="宋体"/>
                <w:sz w:val="21"/>
                <w:szCs w:val="21"/>
              </w:rPr>
            </w:pPr>
            <w:r>
              <w:rPr>
                <w:rFonts w:ascii="宋体" w:hAnsi="宋体" w:eastAsia="宋体" w:cs="宋体"/>
                <w:spacing w:val="-3"/>
                <w:sz w:val="21"/>
                <w:szCs w:val="21"/>
              </w:rPr>
              <w:t>生态流</w:t>
            </w:r>
          </w:p>
          <w:p w14:paraId="228FD3B3">
            <w:pPr>
              <w:spacing w:before="18" w:line="220" w:lineRule="auto"/>
              <w:ind w:left="100"/>
              <w:rPr>
                <w:rFonts w:ascii="宋体" w:hAnsi="宋体" w:eastAsia="宋体" w:cs="宋体"/>
                <w:sz w:val="21"/>
                <w:szCs w:val="21"/>
              </w:rPr>
            </w:pPr>
            <w:r>
              <w:rPr>
                <w:rFonts w:ascii="宋体" w:hAnsi="宋体" w:eastAsia="宋体" w:cs="宋体"/>
                <w:spacing w:val="-2"/>
                <w:sz w:val="21"/>
                <w:szCs w:val="21"/>
              </w:rPr>
              <w:t>量在线</w:t>
            </w:r>
          </w:p>
          <w:p w14:paraId="0D909F4E">
            <w:pPr>
              <w:spacing w:before="22" w:line="221" w:lineRule="auto"/>
              <w:ind w:left="101"/>
              <w:rPr>
                <w:rFonts w:ascii="宋体" w:hAnsi="宋体" w:eastAsia="宋体" w:cs="宋体"/>
                <w:sz w:val="21"/>
                <w:szCs w:val="21"/>
              </w:rPr>
            </w:pPr>
            <w:r>
              <w:rPr>
                <w:rFonts w:ascii="宋体" w:hAnsi="宋体" w:eastAsia="宋体" w:cs="宋体"/>
                <w:spacing w:val="-3"/>
                <w:sz w:val="21"/>
                <w:szCs w:val="21"/>
              </w:rPr>
              <w:t>监测设</w:t>
            </w:r>
          </w:p>
          <w:p w14:paraId="620618F3">
            <w:pPr>
              <w:spacing w:before="21" w:line="222" w:lineRule="auto"/>
              <w:ind w:left="309"/>
              <w:rPr>
                <w:rFonts w:ascii="宋体" w:hAnsi="宋体" w:eastAsia="宋体" w:cs="宋体"/>
                <w:sz w:val="21"/>
                <w:szCs w:val="21"/>
              </w:rPr>
            </w:pPr>
            <w:r>
              <w:rPr>
                <w:rFonts w:ascii="宋体" w:hAnsi="宋体" w:eastAsia="宋体" w:cs="宋体"/>
                <w:sz w:val="21"/>
                <w:szCs w:val="21"/>
              </w:rPr>
              <w:t>施</w:t>
            </w:r>
          </w:p>
        </w:tc>
        <w:tc>
          <w:tcPr>
            <w:tcW w:w="3036" w:type="dxa"/>
            <w:vAlign w:val="top"/>
          </w:tcPr>
          <w:p w14:paraId="2750E8DF">
            <w:pPr>
              <w:pStyle w:val="6"/>
              <w:spacing w:before="92"/>
              <w:ind w:left="48" w:right="51"/>
              <w:rPr>
                <w:rFonts w:ascii="宋体" w:hAnsi="宋体" w:eastAsia="宋体" w:cs="宋体"/>
              </w:rPr>
            </w:pPr>
            <w:r>
              <w:rPr>
                <w:rFonts w:ascii="宋体" w:hAnsi="宋体" w:eastAsia="宋体" w:cs="宋体"/>
                <w:spacing w:val="3"/>
              </w:rPr>
              <w:t>通过钢管管径为Φ</w:t>
            </w:r>
            <w:r>
              <w:rPr>
                <w:spacing w:val="3"/>
              </w:rPr>
              <w:t>670</w:t>
            </w:r>
            <w:r>
              <w:t>mm</w:t>
            </w:r>
            <w:r>
              <w:rPr>
                <w:spacing w:val="18"/>
                <w:w w:val="101"/>
              </w:rPr>
              <w:t xml:space="preserve">  </w:t>
            </w:r>
            <w:r>
              <w:rPr>
                <w:rFonts w:ascii="宋体" w:hAnsi="宋体" w:eastAsia="宋体" w:cs="宋体"/>
                <w:spacing w:val="3"/>
              </w:rPr>
              <w:t>的生</w:t>
            </w:r>
            <w:r>
              <w:rPr>
                <w:rFonts w:ascii="宋体" w:hAnsi="宋体" w:eastAsia="宋体" w:cs="宋体"/>
                <w:spacing w:val="-2"/>
              </w:rPr>
              <w:t>态灌溉输水管下泄生态流量，钢</w:t>
            </w:r>
            <w:r>
              <w:rPr>
                <w:rFonts w:ascii="宋体" w:hAnsi="宋体" w:eastAsia="宋体" w:cs="宋体"/>
                <w:spacing w:val="14"/>
              </w:rPr>
              <w:t>管在库区水位进口设在弧形工</w:t>
            </w:r>
            <w:r>
              <w:rPr>
                <w:rFonts w:ascii="宋体" w:hAnsi="宋体" w:eastAsia="宋体" w:cs="宋体"/>
                <w:spacing w:val="-2"/>
              </w:rPr>
              <w:t>作门后隧洞竖井边墙上，上部通过浮筒分层取水，中间沿竖井边</w:t>
            </w:r>
            <w:r>
              <w:rPr>
                <w:rFonts w:ascii="宋体" w:hAnsi="宋体" w:eastAsia="宋体" w:cs="宋体"/>
                <w:spacing w:val="-13"/>
              </w:rPr>
              <w:t>墙、隧洞底板埋设，</w:t>
            </w:r>
            <w:r>
              <w:rPr>
                <w:rFonts w:ascii="宋体" w:hAnsi="宋体" w:eastAsia="宋体" w:cs="宋体"/>
                <w:spacing w:val="61"/>
              </w:rPr>
              <w:t xml:space="preserve"> </w:t>
            </w:r>
            <w:r>
              <w:rPr>
                <w:rFonts w:ascii="宋体" w:hAnsi="宋体" w:eastAsia="宋体" w:cs="宋体"/>
                <w:spacing w:val="-13"/>
              </w:rPr>
              <w:t>在出口明渠</w:t>
            </w:r>
            <w:r>
              <w:rPr>
                <w:rFonts w:ascii="宋体" w:hAnsi="宋体" w:eastAsia="宋体" w:cs="宋体"/>
                <w:spacing w:val="3"/>
              </w:rPr>
              <w:t>（</w:t>
            </w:r>
            <w:r>
              <w:rPr>
                <w:spacing w:val="3"/>
              </w:rPr>
              <w:t>0+470.00m</w:t>
            </w:r>
            <w:r>
              <w:rPr>
                <w:rFonts w:ascii="宋体" w:hAnsi="宋体" w:eastAsia="宋体" w:cs="宋体"/>
                <w:spacing w:val="3"/>
              </w:rPr>
              <w:t>）处抬升并转出明</w:t>
            </w:r>
            <w:r>
              <w:rPr>
                <w:rFonts w:ascii="宋体" w:hAnsi="宋体" w:eastAsia="宋体" w:cs="宋体"/>
                <w:spacing w:val="-2"/>
              </w:rPr>
              <w:t>渠边墙，沿消力池边墙延伸至鱼道内，通过鱼道进口下泄流量。</w:t>
            </w:r>
            <w:r>
              <w:rPr>
                <w:rFonts w:ascii="宋体" w:hAnsi="宋体" w:eastAsia="宋体" w:cs="宋体"/>
                <w:spacing w:val="1"/>
              </w:rPr>
              <w:t xml:space="preserve">鱼道进口下游 </w:t>
            </w:r>
            <w:r>
              <w:rPr>
                <w:spacing w:val="1"/>
              </w:rPr>
              <w:t xml:space="preserve">50m  </w:t>
            </w:r>
            <w:r>
              <w:rPr>
                <w:rFonts w:ascii="宋体" w:hAnsi="宋体" w:eastAsia="宋体" w:cs="宋体"/>
                <w:spacing w:val="1"/>
              </w:rPr>
              <w:t>处布置河道</w:t>
            </w:r>
            <w:r>
              <w:rPr>
                <w:rFonts w:ascii="宋体" w:hAnsi="宋体" w:eastAsia="宋体" w:cs="宋体"/>
                <w:spacing w:val="-2"/>
              </w:rPr>
              <w:t>生态流量在线监控装置。采用超</w:t>
            </w:r>
            <w:r>
              <w:rPr>
                <w:rFonts w:ascii="宋体" w:hAnsi="宋体" w:eastAsia="宋体" w:cs="宋体"/>
                <w:spacing w:val="-4"/>
              </w:rPr>
              <w:t>声波流量计在线监测。</w:t>
            </w:r>
          </w:p>
        </w:tc>
        <w:tc>
          <w:tcPr>
            <w:tcW w:w="3038" w:type="dxa"/>
            <w:vAlign w:val="top"/>
          </w:tcPr>
          <w:p w14:paraId="691923D0">
            <w:pPr>
              <w:pStyle w:val="6"/>
              <w:spacing w:before="236" w:line="239" w:lineRule="auto"/>
              <w:ind w:left="59" w:right="42" w:hanging="1"/>
              <w:jc w:val="both"/>
              <w:rPr>
                <w:rFonts w:ascii="宋体" w:hAnsi="宋体" w:eastAsia="宋体" w:cs="宋体"/>
              </w:rPr>
            </w:pPr>
            <w:r>
              <w:rPr>
                <w:rFonts w:ascii="宋体" w:hAnsi="宋体" w:eastAsia="宋体" w:cs="宋体"/>
                <w:spacing w:val="15"/>
              </w:rPr>
              <w:t>将生态灌溉输水管两个取水口</w:t>
            </w:r>
            <w:r>
              <w:rPr>
                <w:rFonts w:ascii="宋体" w:hAnsi="宋体" w:eastAsia="宋体" w:cs="宋体"/>
                <w:spacing w:val="-2"/>
              </w:rPr>
              <w:t xml:space="preserve">布置在竖井右侧边墙上，其中上层取水口底板高程 </w:t>
            </w:r>
            <w:r>
              <w:rPr>
                <w:spacing w:val="-2"/>
              </w:rPr>
              <w:t>1924.5m</w:t>
            </w:r>
            <w:r>
              <w:rPr>
                <w:rFonts w:ascii="宋体" w:hAnsi="宋体" w:eastAsia="宋体" w:cs="宋体"/>
                <w:spacing w:val="-2"/>
              </w:rPr>
              <w:t>，下</w:t>
            </w:r>
          </w:p>
          <w:p w14:paraId="6458DC77">
            <w:pPr>
              <w:pStyle w:val="6"/>
              <w:spacing w:before="6" w:line="238" w:lineRule="auto"/>
              <w:ind w:left="54" w:right="42" w:firstLine="6"/>
              <w:jc w:val="both"/>
              <w:rPr>
                <w:rFonts w:ascii="宋体" w:hAnsi="宋体" w:eastAsia="宋体" w:cs="宋体"/>
              </w:rPr>
            </w:pPr>
            <w:r>
              <w:rPr>
                <w:rFonts w:ascii="宋体" w:hAnsi="宋体" w:eastAsia="宋体" w:cs="宋体"/>
                <w:spacing w:val="-2"/>
              </w:rPr>
              <w:t xml:space="preserve">层取水口底板高程 </w:t>
            </w:r>
            <w:r>
              <w:rPr>
                <w:spacing w:val="-2"/>
              </w:rPr>
              <w:t>1914.5m</w:t>
            </w:r>
            <w:r>
              <w:rPr>
                <w:rFonts w:ascii="宋体" w:hAnsi="宋体" w:eastAsia="宋体" w:cs="宋体"/>
                <w:spacing w:val="-2"/>
              </w:rPr>
              <w:t>，两</w:t>
            </w:r>
            <w:r>
              <w:rPr>
                <w:rFonts w:ascii="宋体" w:hAnsi="宋体" w:eastAsia="宋体" w:cs="宋体"/>
                <w:spacing w:val="-1"/>
              </w:rPr>
              <w:t>取水口前均设置拦污栅，共用一道平板钢闸门。下层取水口闸门</w:t>
            </w:r>
            <w:r>
              <w:rPr>
                <w:rFonts w:ascii="宋体" w:hAnsi="宋体" w:eastAsia="宋体" w:cs="宋体"/>
                <w:spacing w:val="4"/>
              </w:rPr>
              <w:t>槽后为生态灌溉输水钢管φ</w:t>
            </w:r>
            <w:r>
              <w:rPr>
                <w:rFonts w:ascii="宋体" w:hAnsi="宋体" w:eastAsia="宋体" w:cs="宋体"/>
                <w:spacing w:val="-70"/>
              </w:rPr>
              <w:t xml:space="preserve"> </w:t>
            </w:r>
            <w:r>
              <w:rPr>
                <w:spacing w:val="4"/>
              </w:rPr>
              <w:t>800</w:t>
            </w:r>
            <w:r>
              <w:t xml:space="preserve"> </w:t>
            </w:r>
            <w:r>
              <w:rPr>
                <w:spacing w:val="-3"/>
              </w:rPr>
              <w:t>mm</w:t>
            </w:r>
            <w:r>
              <w:rPr>
                <w:rFonts w:ascii="宋体" w:hAnsi="宋体" w:eastAsia="宋体" w:cs="宋体"/>
                <w:spacing w:val="-3"/>
              </w:rPr>
              <w:t xml:space="preserve">，钢管壁厚 </w:t>
            </w:r>
            <w:r>
              <w:rPr>
                <w:spacing w:val="-3"/>
              </w:rPr>
              <w:t>8mm</w:t>
            </w:r>
            <w:r>
              <w:rPr>
                <w:rFonts w:ascii="宋体" w:hAnsi="宋体" w:eastAsia="宋体" w:cs="宋体"/>
                <w:spacing w:val="-3"/>
              </w:rPr>
              <w:t>，管道全长</w:t>
            </w:r>
            <w:r>
              <w:rPr>
                <w:spacing w:val="-5"/>
              </w:rPr>
              <w:t>340m</w:t>
            </w:r>
            <w:r>
              <w:rPr>
                <w:rFonts w:ascii="宋体" w:hAnsi="宋体" w:eastAsia="宋体" w:cs="宋体"/>
                <w:spacing w:val="-5"/>
              </w:rPr>
              <w:t>。管道沿竖井边墙埋设到竖</w:t>
            </w:r>
            <w:r>
              <w:rPr>
                <w:rFonts w:ascii="宋体" w:hAnsi="宋体" w:eastAsia="宋体" w:cs="宋体"/>
                <w:spacing w:val="1"/>
              </w:rPr>
              <w:t xml:space="preserve">井底板 </w:t>
            </w:r>
            <w:r>
              <w:rPr>
                <w:spacing w:val="1"/>
              </w:rPr>
              <w:t>1898m</w:t>
            </w:r>
            <w:r>
              <w:rPr>
                <w:spacing w:val="10"/>
              </w:rPr>
              <w:t xml:space="preserve">  </w:t>
            </w:r>
            <w:r>
              <w:rPr>
                <w:rFonts w:ascii="宋体" w:hAnsi="宋体" w:eastAsia="宋体" w:cs="宋体"/>
                <w:spacing w:val="1"/>
              </w:rPr>
              <w:t>高程后转而沿隧</w:t>
            </w:r>
            <w:r>
              <w:rPr>
                <w:rFonts w:ascii="宋体" w:hAnsi="宋体" w:eastAsia="宋体" w:cs="宋体"/>
                <w:spacing w:val="-3"/>
              </w:rPr>
              <w:t>洞底板向隧洞出口方向埋设。</w:t>
            </w:r>
          </w:p>
        </w:tc>
        <w:tc>
          <w:tcPr>
            <w:tcW w:w="1121" w:type="dxa"/>
            <w:tcBorders>
              <w:right w:val="single" w:color="000000" w:sz="12" w:space="0"/>
            </w:tcBorders>
            <w:vAlign w:val="top"/>
          </w:tcPr>
          <w:p w14:paraId="584D4D53">
            <w:pPr>
              <w:spacing w:line="253" w:lineRule="auto"/>
              <w:rPr>
                <w:rFonts w:ascii="Arial"/>
                <w:sz w:val="21"/>
              </w:rPr>
            </w:pPr>
          </w:p>
          <w:p w14:paraId="0D34ED42">
            <w:pPr>
              <w:spacing w:line="253" w:lineRule="auto"/>
              <w:rPr>
                <w:rFonts w:ascii="Arial"/>
                <w:sz w:val="21"/>
              </w:rPr>
            </w:pPr>
          </w:p>
          <w:p w14:paraId="7797E88E">
            <w:pPr>
              <w:spacing w:line="253" w:lineRule="auto"/>
              <w:rPr>
                <w:rFonts w:ascii="Arial"/>
                <w:sz w:val="21"/>
              </w:rPr>
            </w:pPr>
          </w:p>
          <w:p w14:paraId="06AB59D5">
            <w:pPr>
              <w:spacing w:line="253" w:lineRule="auto"/>
              <w:rPr>
                <w:rFonts w:ascii="Arial"/>
                <w:sz w:val="21"/>
              </w:rPr>
            </w:pPr>
          </w:p>
          <w:p w14:paraId="53A98D18">
            <w:pPr>
              <w:spacing w:line="253" w:lineRule="auto"/>
              <w:rPr>
                <w:rFonts w:ascii="Arial"/>
                <w:sz w:val="21"/>
              </w:rPr>
            </w:pPr>
          </w:p>
          <w:p w14:paraId="3CBF934D">
            <w:pPr>
              <w:spacing w:line="254" w:lineRule="auto"/>
              <w:rPr>
                <w:rFonts w:ascii="Arial"/>
                <w:sz w:val="21"/>
              </w:rPr>
            </w:pPr>
          </w:p>
          <w:p w14:paraId="1BF79B44">
            <w:pPr>
              <w:spacing w:before="68"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r w14:paraId="76705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0" w:hRule="atLeast"/>
        </w:trPr>
        <w:tc>
          <w:tcPr>
            <w:tcW w:w="429" w:type="dxa"/>
            <w:vMerge w:val="continue"/>
            <w:tcBorders>
              <w:top w:val="nil"/>
              <w:left w:val="single" w:color="000000" w:sz="12" w:space="0"/>
              <w:bottom w:val="nil"/>
            </w:tcBorders>
            <w:textDirection w:val="tbRlV"/>
            <w:vAlign w:val="top"/>
          </w:tcPr>
          <w:p w14:paraId="663E352F">
            <w:pPr>
              <w:rPr>
                <w:rFonts w:ascii="Arial"/>
                <w:sz w:val="21"/>
              </w:rPr>
            </w:pPr>
          </w:p>
        </w:tc>
        <w:tc>
          <w:tcPr>
            <w:tcW w:w="849" w:type="dxa"/>
            <w:vMerge w:val="restart"/>
            <w:tcBorders>
              <w:bottom w:val="nil"/>
            </w:tcBorders>
            <w:vAlign w:val="top"/>
          </w:tcPr>
          <w:p w14:paraId="153F1D14">
            <w:pPr>
              <w:spacing w:line="257" w:lineRule="auto"/>
              <w:rPr>
                <w:rFonts w:ascii="Arial"/>
                <w:sz w:val="21"/>
              </w:rPr>
            </w:pPr>
          </w:p>
          <w:p w14:paraId="0A81C163">
            <w:pPr>
              <w:spacing w:line="258" w:lineRule="auto"/>
              <w:rPr>
                <w:rFonts w:ascii="Arial"/>
                <w:sz w:val="21"/>
              </w:rPr>
            </w:pPr>
          </w:p>
          <w:p w14:paraId="16B48A7C">
            <w:pPr>
              <w:spacing w:line="258" w:lineRule="auto"/>
              <w:rPr>
                <w:rFonts w:ascii="Arial"/>
                <w:sz w:val="21"/>
              </w:rPr>
            </w:pPr>
          </w:p>
          <w:p w14:paraId="1386BAF9">
            <w:pPr>
              <w:spacing w:line="258" w:lineRule="auto"/>
              <w:rPr>
                <w:rFonts w:ascii="Arial"/>
                <w:sz w:val="21"/>
              </w:rPr>
            </w:pPr>
          </w:p>
          <w:p w14:paraId="6950E414">
            <w:pPr>
              <w:spacing w:line="258" w:lineRule="auto"/>
              <w:rPr>
                <w:rFonts w:ascii="Arial"/>
                <w:sz w:val="21"/>
              </w:rPr>
            </w:pPr>
          </w:p>
          <w:p w14:paraId="5A4C0A7E">
            <w:pPr>
              <w:spacing w:before="68" w:line="242" w:lineRule="auto"/>
              <w:ind w:left="102" w:right="116"/>
              <w:rPr>
                <w:rFonts w:ascii="宋体" w:hAnsi="宋体" w:eastAsia="宋体" w:cs="宋体"/>
                <w:sz w:val="21"/>
                <w:szCs w:val="21"/>
              </w:rPr>
            </w:pPr>
            <w:r>
              <w:rPr>
                <w:rFonts w:ascii="宋体" w:hAnsi="宋体" w:eastAsia="宋体" w:cs="宋体"/>
                <w:spacing w:val="-4"/>
                <w:sz w:val="21"/>
                <w:szCs w:val="21"/>
              </w:rPr>
              <w:t>分层取水设施</w:t>
            </w:r>
          </w:p>
        </w:tc>
        <w:tc>
          <w:tcPr>
            <w:tcW w:w="3036" w:type="dxa"/>
            <w:vAlign w:val="top"/>
          </w:tcPr>
          <w:p w14:paraId="3465B47C">
            <w:pPr>
              <w:pStyle w:val="6"/>
              <w:spacing w:before="111" w:line="238" w:lineRule="auto"/>
              <w:ind w:left="48" w:right="52"/>
              <w:jc w:val="both"/>
              <w:rPr>
                <w:rFonts w:ascii="宋体" w:hAnsi="宋体" w:eastAsia="宋体" w:cs="宋体"/>
              </w:rPr>
            </w:pPr>
            <w:r>
              <w:rPr>
                <w:rFonts w:ascii="宋体" w:hAnsi="宋体" w:eastAsia="宋体" w:cs="宋体"/>
                <w:spacing w:val="14"/>
              </w:rPr>
              <w:t>枢纽区分层取水采用筒式取水</w:t>
            </w:r>
            <w:r>
              <w:rPr>
                <w:rFonts w:ascii="宋体" w:hAnsi="宋体" w:eastAsia="宋体" w:cs="宋体"/>
                <w:spacing w:val="-13"/>
              </w:rPr>
              <w:t>口</w:t>
            </w:r>
            <w:r>
              <w:rPr>
                <w:rFonts w:ascii="宋体" w:hAnsi="宋体" w:eastAsia="宋体" w:cs="宋体"/>
                <w:spacing w:val="-19"/>
              </w:rPr>
              <w:t xml:space="preserve"> </w:t>
            </w:r>
            <w:r>
              <w:rPr>
                <w:spacing w:val="-13"/>
              </w:rPr>
              <w:t xml:space="preserve">+  </w:t>
            </w:r>
            <w:r>
              <w:rPr>
                <w:rFonts w:ascii="宋体" w:hAnsi="宋体" w:eastAsia="宋体" w:cs="宋体"/>
                <w:spacing w:val="-13"/>
              </w:rPr>
              <w:t>固</w:t>
            </w:r>
            <w:r>
              <w:rPr>
                <w:rFonts w:ascii="宋体" w:hAnsi="宋体" w:eastAsia="宋体" w:cs="宋体"/>
                <w:spacing w:val="-20"/>
              </w:rPr>
              <w:t xml:space="preserve"> </w:t>
            </w:r>
            <w:r>
              <w:rPr>
                <w:rFonts w:ascii="宋体" w:hAnsi="宋体" w:eastAsia="宋体" w:cs="宋体"/>
                <w:spacing w:val="-13"/>
              </w:rPr>
              <w:t>定</w:t>
            </w:r>
            <w:r>
              <w:rPr>
                <w:rFonts w:ascii="宋体" w:hAnsi="宋体" w:eastAsia="宋体" w:cs="宋体"/>
                <w:spacing w:val="-23"/>
              </w:rPr>
              <w:t xml:space="preserve"> </w:t>
            </w:r>
            <w:r>
              <w:rPr>
                <w:rFonts w:ascii="宋体" w:hAnsi="宋体" w:eastAsia="宋体" w:cs="宋体"/>
                <w:spacing w:val="-13"/>
              </w:rPr>
              <w:t>取</w:t>
            </w:r>
            <w:r>
              <w:rPr>
                <w:rFonts w:ascii="宋体" w:hAnsi="宋体" w:eastAsia="宋体" w:cs="宋体"/>
                <w:spacing w:val="-23"/>
              </w:rPr>
              <w:t xml:space="preserve"> </w:t>
            </w:r>
            <w:r>
              <w:rPr>
                <w:rFonts w:ascii="宋体" w:hAnsi="宋体" w:eastAsia="宋体" w:cs="宋体"/>
                <w:spacing w:val="-13"/>
              </w:rPr>
              <w:t>水 口 ，</w:t>
            </w:r>
            <w:r>
              <w:rPr>
                <w:rFonts w:ascii="宋体" w:hAnsi="宋体" w:eastAsia="宋体" w:cs="宋体"/>
                <w:spacing w:val="-27"/>
              </w:rPr>
              <w:t xml:space="preserve"> </w:t>
            </w:r>
            <w:r>
              <w:rPr>
                <w:rFonts w:ascii="宋体" w:hAnsi="宋体" w:eastAsia="宋体" w:cs="宋体"/>
                <w:spacing w:val="-13"/>
              </w:rPr>
              <w:t>在 高</w:t>
            </w:r>
            <w:r>
              <w:rPr>
                <w:rFonts w:ascii="宋体" w:hAnsi="宋体" w:eastAsia="宋体" w:cs="宋体"/>
                <w:spacing w:val="-26"/>
              </w:rPr>
              <w:t xml:space="preserve"> </w:t>
            </w:r>
            <w:r>
              <w:rPr>
                <w:rFonts w:ascii="宋体" w:hAnsi="宋体" w:eastAsia="宋体" w:cs="宋体"/>
                <w:spacing w:val="-13"/>
              </w:rPr>
              <w:t>程</w:t>
            </w:r>
            <w:r>
              <w:rPr>
                <w:spacing w:val="2"/>
              </w:rPr>
              <w:t>1920.00m</w:t>
            </w:r>
            <w:r>
              <w:rPr>
                <w:spacing w:val="23"/>
              </w:rPr>
              <w:t xml:space="preserve">  </w:t>
            </w:r>
            <w:r>
              <w:rPr>
                <w:rFonts w:ascii="宋体" w:hAnsi="宋体" w:eastAsia="宋体" w:cs="宋体"/>
                <w:spacing w:val="2"/>
              </w:rPr>
              <w:t>的泄洪洞取水塔侧壁</w:t>
            </w:r>
            <w:r>
              <w:rPr>
                <w:rFonts w:ascii="宋体" w:hAnsi="宋体" w:eastAsia="宋体" w:cs="宋体"/>
                <w:spacing w:val="-2"/>
              </w:rPr>
              <w:t>上开φ</w:t>
            </w:r>
            <w:r>
              <w:rPr>
                <w:spacing w:val="-2"/>
              </w:rPr>
              <w:t xml:space="preserve">1500mm  </w:t>
            </w:r>
            <w:r>
              <w:rPr>
                <w:rFonts w:ascii="宋体" w:hAnsi="宋体" w:eastAsia="宋体" w:cs="宋体"/>
                <w:spacing w:val="-2"/>
              </w:rPr>
              <w:t>的孔，表层水流</w:t>
            </w:r>
            <w:r>
              <w:rPr>
                <w:rFonts w:ascii="宋体" w:hAnsi="宋体" w:eastAsia="宋体" w:cs="宋体"/>
                <w:spacing w:val="14"/>
              </w:rPr>
              <w:t>通过具有可伸缩性的不锈钢波</w:t>
            </w:r>
            <w:r>
              <w:rPr>
                <w:rFonts w:ascii="宋体" w:hAnsi="宋体" w:eastAsia="宋体" w:cs="宋体"/>
                <w:spacing w:val="-3"/>
              </w:rPr>
              <w:t>纹管进入生态管下泄生态流量。</w:t>
            </w:r>
          </w:p>
        </w:tc>
        <w:tc>
          <w:tcPr>
            <w:tcW w:w="3038" w:type="dxa"/>
            <w:vAlign w:val="top"/>
          </w:tcPr>
          <w:p w14:paraId="143AE809">
            <w:pPr>
              <w:spacing w:line="429" w:lineRule="auto"/>
              <w:rPr>
                <w:rFonts w:ascii="Arial"/>
                <w:sz w:val="21"/>
              </w:rPr>
            </w:pPr>
          </w:p>
          <w:p w14:paraId="56F9233B">
            <w:pPr>
              <w:pStyle w:val="6"/>
              <w:spacing w:before="68" w:line="239" w:lineRule="auto"/>
              <w:ind w:left="59" w:right="43"/>
              <w:jc w:val="both"/>
              <w:rPr>
                <w:rFonts w:ascii="宋体" w:hAnsi="宋体" w:eastAsia="宋体" w:cs="宋体"/>
              </w:rPr>
            </w:pPr>
            <w:r>
              <w:rPr>
                <w:rFonts w:ascii="宋体" w:hAnsi="宋体" w:eastAsia="宋体" w:cs="宋体"/>
                <w:spacing w:val="14"/>
              </w:rPr>
              <w:t>枢纽区分层取水采用固定式分层取水口，在取水塔底板高程</w:t>
            </w:r>
            <w:r>
              <w:rPr>
                <w:spacing w:val="1"/>
              </w:rPr>
              <w:t>1924.50m</w:t>
            </w:r>
            <w:r>
              <w:t xml:space="preserve"> </w:t>
            </w:r>
            <w:r>
              <w:rPr>
                <w:rFonts w:ascii="宋体" w:hAnsi="宋体" w:eastAsia="宋体" w:cs="宋体"/>
                <w:spacing w:val="1"/>
              </w:rPr>
              <w:t>、</w:t>
            </w:r>
            <w:r>
              <w:rPr>
                <w:spacing w:val="1"/>
              </w:rPr>
              <w:t xml:space="preserve">1914.50m  </w:t>
            </w:r>
            <w:r>
              <w:rPr>
                <w:rFonts w:ascii="宋体" w:hAnsi="宋体" w:eastAsia="宋体" w:cs="宋体"/>
                <w:spacing w:val="1"/>
              </w:rPr>
              <w:t>分别设置</w:t>
            </w:r>
            <w:r>
              <w:rPr>
                <w:rFonts w:ascii="宋体" w:hAnsi="宋体" w:eastAsia="宋体" w:cs="宋体"/>
                <w:spacing w:val="-4"/>
              </w:rPr>
              <w:t>上、下两层取水口。</w:t>
            </w:r>
          </w:p>
        </w:tc>
        <w:tc>
          <w:tcPr>
            <w:tcW w:w="1121" w:type="dxa"/>
            <w:tcBorders>
              <w:right w:val="single" w:color="000000" w:sz="12" w:space="0"/>
            </w:tcBorders>
            <w:vAlign w:val="top"/>
          </w:tcPr>
          <w:p w14:paraId="47F6F3D8">
            <w:pPr>
              <w:spacing w:line="296" w:lineRule="auto"/>
              <w:rPr>
                <w:rFonts w:ascii="Arial"/>
                <w:sz w:val="21"/>
              </w:rPr>
            </w:pPr>
          </w:p>
          <w:p w14:paraId="2703F341">
            <w:pPr>
              <w:spacing w:before="68"/>
              <w:ind w:left="152" w:right="119" w:hanging="1"/>
              <w:jc w:val="both"/>
              <w:rPr>
                <w:rFonts w:ascii="宋体" w:hAnsi="宋体" w:eastAsia="宋体" w:cs="宋体"/>
                <w:sz w:val="21"/>
                <w:szCs w:val="21"/>
              </w:rPr>
            </w:pPr>
            <w:r>
              <w:rPr>
                <w:rFonts w:ascii="宋体" w:hAnsi="宋体" w:eastAsia="宋体" w:cs="宋体"/>
                <w:spacing w:val="-3"/>
                <w:sz w:val="21"/>
                <w:szCs w:val="21"/>
              </w:rPr>
              <w:t>方式变更</w:t>
            </w:r>
            <w:r>
              <w:rPr>
                <w:rFonts w:ascii="宋体" w:hAnsi="宋体" w:eastAsia="宋体" w:cs="宋体"/>
                <w:spacing w:val="-5"/>
                <w:sz w:val="21"/>
                <w:szCs w:val="21"/>
              </w:rPr>
              <w:t>（浮筒式</w:t>
            </w:r>
            <w:r>
              <w:rPr>
                <w:rFonts w:ascii="宋体" w:hAnsi="宋体" w:eastAsia="宋体" w:cs="宋体"/>
                <w:spacing w:val="-3"/>
                <w:sz w:val="21"/>
                <w:szCs w:val="21"/>
              </w:rPr>
              <w:t>取水改为固定分层</w:t>
            </w:r>
            <w:r>
              <w:rPr>
                <w:rFonts w:ascii="宋体" w:hAnsi="宋体" w:eastAsia="宋体" w:cs="宋体"/>
                <w:spacing w:val="26"/>
                <w:sz w:val="21"/>
                <w:szCs w:val="21"/>
              </w:rPr>
              <w:t>取水）</w:t>
            </w:r>
          </w:p>
        </w:tc>
      </w:tr>
      <w:tr w14:paraId="19D1F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429" w:type="dxa"/>
            <w:vMerge w:val="continue"/>
            <w:tcBorders>
              <w:top w:val="nil"/>
              <w:left w:val="single" w:color="000000" w:sz="12" w:space="0"/>
              <w:bottom w:val="single" w:color="000000" w:sz="12" w:space="0"/>
            </w:tcBorders>
            <w:textDirection w:val="tbRlV"/>
            <w:vAlign w:val="top"/>
          </w:tcPr>
          <w:p w14:paraId="3E1D7E9C">
            <w:pPr>
              <w:rPr>
                <w:rFonts w:ascii="Arial"/>
                <w:sz w:val="21"/>
              </w:rPr>
            </w:pPr>
          </w:p>
        </w:tc>
        <w:tc>
          <w:tcPr>
            <w:tcW w:w="849" w:type="dxa"/>
            <w:vMerge w:val="continue"/>
            <w:tcBorders>
              <w:top w:val="nil"/>
              <w:bottom w:val="single" w:color="000000" w:sz="12" w:space="0"/>
            </w:tcBorders>
            <w:vAlign w:val="top"/>
          </w:tcPr>
          <w:p w14:paraId="2F0A81EA">
            <w:pPr>
              <w:rPr>
                <w:rFonts w:ascii="Arial"/>
                <w:sz w:val="21"/>
              </w:rPr>
            </w:pPr>
          </w:p>
        </w:tc>
        <w:tc>
          <w:tcPr>
            <w:tcW w:w="3036" w:type="dxa"/>
            <w:tcBorders>
              <w:bottom w:val="single" w:color="000000" w:sz="12" w:space="0"/>
            </w:tcBorders>
            <w:vAlign w:val="top"/>
          </w:tcPr>
          <w:p w14:paraId="5C1DADAE">
            <w:pPr>
              <w:pStyle w:val="6"/>
              <w:spacing w:before="113" w:line="236" w:lineRule="auto"/>
              <w:ind w:left="48" w:right="51"/>
              <w:jc w:val="both"/>
              <w:rPr>
                <w:rFonts w:ascii="宋体" w:hAnsi="宋体" w:eastAsia="宋体" w:cs="宋体"/>
              </w:rPr>
            </w:pPr>
            <w:r>
              <w:rPr>
                <w:rFonts w:ascii="宋体" w:hAnsi="宋体" w:eastAsia="宋体" w:cs="宋体"/>
                <w:spacing w:val="-3"/>
              </w:rPr>
              <w:t>输水隧洞设取水竖井</w:t>
            </w:r>
            <w:r>
              <w:rPr>
                <w:rFonts w:ascii="宋体" w:hAnsi="宋体" w:eastAsia="宋体" w:cs="宋体"/>
                <w:spacing w:val="-23"/>
              </w:rPr>
              <w:t xml:space="preserve"> </w:t>
            </w:r>
            <w:r>
              <w:rPr>
                <w:spacing w:val="-3"/>
              </w:rPr>
              <w:t xml:space="preserve">1 </w:t>
            </w:r>
            <w:r>
              <w:rPr>
                <w:rFonts w:ascii="宋体" w:hAnsi="宋体" w:eastAsia="宋体" w:cs="宋体"/>
                <w:spacing w:val="-3"/>
              </w:rPr>
              <w:t>座，在取</w:t>
            </w:r>
            <w:r>
              <w:rPr>
                <w:rFonts w:ascii="宋体" w:hAnsi="宋体" w:eastAsia="宋体" w:cs="宋体"/>
                <w:spacing w:val="-2"/>
              </w:rPr>
              <w:t xml:space="preserve">水竖井 </w:t>
            </w:r>
            <w:r>
              <w:rPr>
                <w:spacing w:val="-2"/>
              </w:rPr>
              <w:t>1924.50m</w:t>
            </w:r>
            <w:r>
              <w:rPr>
                <w:rFonts w:ascii="宋体" w:hAnsi="宋体" w:eastAsia="宋体" w:cs="宋体"/>
                <w:spacing w:val="-2"/>
              </w:rPr>
              <w:t>、</w:t>
            </w:r>
            <w:r>
              <w:rPr>
                <w:spacing w:val="-2"/>
              </w:rPr>
              <w:t xml:space="preserve">1911.50m  </w:t>
            </w:r>
            <w:r>
              <w:rPr>
                <w:rFonts w:ascii="宋体" w:hAnsi="宋体" w:eastAsia="宋体" w:cs="宋体"/>
                <w:spacing w:val="-2"/>
              </w:rPr>
              <w:t>高</w:t>
            </w:r>
            <w:r>
              <w:rPr>
                <w:rFonts w:ascii="宋体" w:hAnsi="宋体" w:eastAsia="宋体" w:cs="宋体"/>
                <w:spacing w:val="-3"/>
              </w:rPr>
              <w:t>程分别设置上、下两层取水口。</w:t>
            </w:r>
          </w:p>
        </w:tc>
        <w:tc>
          <w:tcPr>
            <w:tcW w:w="3038" w:type="dxa"/>
            <w:tcBorders>
              <w:bottom w:val="single" w:color="000000" w:sz="12" w:space="0"/>
            </w:tcBorders>
            <w:vAlign w:val="top"/>
          </w:tcPr>
          <w:p w14:paraId="7130471D">
            <w:pPr>
              <w:pStyle w:val="6"/>
              <w:spacing w:before="234" w:line="236" w:lineRule="auto"/>
              <w:ind w:left="59" w:right="42"/>
              <w:jc w:val="both"/>
              <w:rPr>
                <w:rFonts w:ascii="宋体" w:hAnsi="宋体" w:eastAsia="宋体" w:cs="宋体"/>
              </w:rPr>
            </w:pPr>
            <w:r>
              <w:rPr>
                <w:rFonts w:ascii="宋体" w:hAnsi="宋体" w:eastAsia="宋体" w:cs="宋体"/>
                <w:spacing w:val="-3"/>
              </w:rPr>
              <w:t>输水隧洞设取水竖井</w:t>
            </w:r>
            <w:r>
              <w:rPr>
                <w:rFonts w:ascii="宋体" w:hAnsi="宋体" w:eastAsia="宋体" w:cs="宋体"/>
                <w:spacing w:val="-23"/>
              </w:rPr>
              <w:t xml:space="preserve"> </w:t>
            </w:r>
            <w:r>
              <w:rPr>
                <w:spacing w:val="-3"/>
              </w:rPr>
              <w:t xml:space="preserve">1 </w:t>
            </w:r>
            <w:r>
              <w:rPr>
                <w:rFonts w:ascii="宋体" w:hAnsi="宋体" w:eastAsia="宋体" w:cs="宋体"/>
                <w:spacing w:val="-3"/>
              </w:rPr>
              <w:t>座，在取</w:t>
            </w:r>
            <w:r>
              <w:rPr>
                <w:rFonts w:ascii="宋体" w:hAnsi="宋体" w:eastAsia="宋体" w:cs="宋体"/>
                <w:spacing w:val="-2"/>
              </w:rPr>
              <w:t xml:space="preserve">水竖井 </w:t>
            </w:r>
            <w:r>
              <w:rPr>
                <w:spacing w:val="-2"/>
              </w:rPr>
              <w:t>1924.50m</w:t>
            </w:r>
            <w:r>
              <w:rPr>
                <w:rFonts w:ascii="宋体" w:hAnsi="宋体" w:eastAsia="宋体" w:cs="宋体"/>
                <w:spacing w:val="-2"/>
              </w:rPr>
              <w:t>、</w:t>
            </w:r>
            <w:r>
              <w:rPr>
                <w:spacing w:val="-2"/>
              </w:rPr>
              <w:t xml:space="preserve">1911.50m  </w:t>
            </w:r>
            <w:r>
              <w:rPr>
                <w:rFonts w:ascii="宋体" w:hAnsi="宋体" w:eastAsia="宋体" w:cs="宋体"/>
                <w:spacing w:val="-2"/>
              </w:rPr>
              <w:t>高</w:t>
            </w:r>
            <w:r>
              <w:rPr>
                <w:rFonts w:ascii="宋体" w:hAnsi="宋体" w:eastAsia="宋体" w:cs="宋体"/>
                <w:spacing w:val="-3"/>
              </w:rPr>
              <w:t>程分别设置上、下两层取水口。</w:t>
            </w:r>
          </w:p>
        </w:tc>
        <w:tc>
          <w:tcPr>
            <w:tcW w:w="1121" w:type="dxa"/>
            <w:tcBorders>
              <w:bottom w:val="single" w:color="000000" w:sz="12" w:space="0"/>
              <w:right w:val="single" w:color="000000" w:sz="12" w:space="0"/>
            </w:tcBorders>
            <w:vAlign w:val="top"/>
          </w:tcPr>
          <w:p w14:paraId="0C54BE1F">
            <w:pPr>
              <w:spacing w:line="434" w:lineRule="auto"/>
              <w:rPr>
                <w:rFonts w:ascii="Arial"/>
                <w:sz w:val="21"/>
              </w:rPr>
            </w:pPr>
          </w:p>
          <w:p w14:paraId="77DB2A80">
            <w:pPr>
              <w:spacing w:before="68" w:line="219" w:lineRule="auto"/>
              <w:ind w:left="150"/>
              <w:rPr>
                <w:rFonts w:ascii="宋体" w:hAnsi="宋体" w:eastAsia="宋体" w:cs="宋体"/>
                <w:sz w:val="21"/>
                <w:szCs w:val="21"/>
              </w:rPr>
            </w:pPr>
            <w:r>
              <w:rPr>
                <w:rFonts w:ascii="宋体" w:hAnsi="宋体" w:eastAsia="宋体" w:cs="宋体"/>
                <w:spacing w:val="-3"/>
                <w:sz w:val="21"/>
                <w:szCs w:val="21"/>
              </w:rPr>
              <w:t>基本一致</w:t>
            </w:r>
          </w:p>
        </w:tc>
      </w:tr>
    </w:tbl>
    <w:p w14:paraId="585E87F6">
      <w:pPr>
        <w:rPr>
          <w:rFonts w:ascii="Arial"/>
          <w:sz w:val="21"/>
        </w:rPr>
      </w:pPr>
    </w:p>
    <w:p w14:paraId="74123184">
      <w:pPr>
        <w:rPr>
          <w:rFonts w:ascii="Arial" w:hAnsi="Arial" w:eastAsia="Arial" w:cs="Arial"/>
          <w:sz w:val="21"/>
          <w:szCs w:val="21"/>
        </w:rPr>
        <w:sectPr>
          <w:footerReference r:id="rId35" w:type="default"/>
          <w:pgSz w:w="11907" w:h="16839"/>
          <w:pgMar w:top="1376" w:right="1669" w:bottom="1061" w:left="1671" w:header="999" w:footer="861" w:gutter="0"/>
          <w:cols w:space="720" w:num="1"/>
        </w:sectPr>
      </w:pPr>
    </w:p>
    <w:p w14:paraId="22BC7E4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9"/>
        <w:gridCol w:w="849"/>
        <w:gridCol w:w="3036"/>
        <w:gridCol w:w="3038"/>
        <w:gridCol w:w="1121"/>
      </w:tblGrid>
      <w:tr w14:paraId="234CE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1278" w:type="dxa"/>
            <w:gridSpan w:val="2"/>
            <w:vMerge w:val="restart"/>
            <w:tcBorders>
              <w:top w:val="single" w:color="000000" w:sz="12" w:space="0"/>
              <w:left w:val="single" w:color="000000" w:sz="12" w:space="0"/>
              <w:bottom w:val="nil"/>
            </w:tcBorders>
            <w:vAlign w:val="top"/>
          </w:tcPr>
          <w:p w14:paraId="08BDB7B6">
            <w:pPr>
              <w:spacing w:before="287" w:line="220" w:lineRule="auto"/>
              <w:ind w:left="209"/>
              <w:rPr>
                <w:rFonts w:ascii="宋体" w:hAnsi="宋体" w:eastAsia="宋体" w:cs="宋体"/>
                <w:sz w:val="21"/>
                <w:szCs w:val="21"/>
              </w:rPr>
            </w:pPr>
            <w:r>
              <w:rPr>
                <w:rFonts w:ascii="宋体" w:hAnsi="宋体" w:eastAsia="宋体" w:cs="宋体"/>
                <w:spacing w:val="-3"/>
                <w:sz w:val="21"/>
                <w:szCs w:val="21"/>
              </w:rPr>
              <w:t>工程项目</w:t>
            </w:r>
          </w:p>
        </w:tc>
        <w:tc>
          <w:tcPr>
            <w:tcW w:w="6074" w:type="dxa"/>
            <w:gridSpan w:val="2"/>
            <w:tcBorders>
              <w:top w:val="single" w:color="000000" w:sz="12" w:space="0"/>
            </w:tcBorders>
            <w:vAlign w:val="top"/>
          </w:tcPr>
          <w:p w14:paraId="6F502EEF">
            <w:pPr>
              <w:spacing w:before="87" w:line="220" w:lineRule="auto"/>
              <w:ind w:left="2411"/>
              <w:rPr>
                <w:rFonts w:ascii="宋体" w:hAnsi="宋体" w:eastAsia="宋体" w:cs="宋体"/>
                <w:sz w:val="21"/>
                <w:szCs w:val="21"/>
              </w:rPr>
            </w:pPr>
            <w:r>
              <w:rPr>
                <w:rFonts w:ascii="宋体" w:hAnsi="宋体" w:eastAsia="宋体" w:cs="宋体"/>
                <w:spacing w:val="-2"/>
                <w:sz w:val="21"/>
                <w:szCs w:val="21"/>
              </w:rPr>
              <w:t>工程项目组成</w:t>
            </w:r>
          </w:p>
        </w:tc>
        <w:tc>
          <w:tcPr>
            <w:tcW w:w="1121" w:type="dxa"/>
            <w:vMerge w:val="restart"/>
            <w:tcBorders>
              <w:top w:val="single" w:color="000000" w:sz="12" w:space="0"/>
              <w:bottom w:val="nil"/>
              <w:right w:val="single" w:color="000000" w:sz="12" w:space="0"/>
            </w:tcBorders>
            <w:vAlign w:val="top"/>
          </w:tcPr>
          <w:p w14:paraId="035D6335">
            <w:pPr>
              <w:spacing w:before="287" w:line="220" w:lineRule="auto"/>
              <w:ind w:left="150"/>
              <w:rPr>
                <w:rFonts w:ascii="宋体" w:hAnsi="宋体" w:eastAsia="宋体" w:cs="宋体"/>
                <w:sz w:val="21"/>
                <w:szCs w:val="21"/>
              </w:rPr>
            </w:pPr>
            <w:r>
              <w:rPr>
                <w:rFonts w:ascii="宋体" w:hAnsi="宋体" w:eastAsia="宋体" w:cs="宋体"/>
                <w:spacing w:val="-3"/>
                <w:sz w:val="21"/>
                <w:szCs w:val="21"/>
              </w:rPr>
              <w:t>变更情况</w:t>
            </w:r>
          </w:p>
        </w:tc>
      </w:tr>
      <w:tr w14:paraId="04910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278" w:type="dxa"/>
            <w:gridSpan w:val="2"/>
            <w:vMerge w:val="continue"/>
            <w:tcBorders>
              <w:top w:val="nil"/>
              <w:left w:val="single" w:color="000000" w:sz="12" w:space="0"/>
            </w:tcBorders>
            <w:vAlign w:val="top"/>
          </w:tcPr>
          <w:p w14:paraId="30292AC6">
            <w:pPr>
              <w:rPr>
                <w:rFonts w:ascii="Arial"/>
                <w:sz w:val="21"/>
              </w:rPr>
            </w:pPr>
          </w:p>
        </w:tc>
        <w:tc>
          <w:tcPr>
            <w:tcW w:w="3036" w:type="dxa"/>
            <w:vAlign w:val="top"/>
          </w:tcPr>
          <w:p w14:paraId="3A535BBB">
            <w:pPr>
              <w:spacing w:before="87" w:line="220" w:lineRule="auto"/>
              <w:ind w:left="1095"/>
              <w:rPr>
                <w:rFonts w:ascii="宋体" w:hAnsi="宋体" w:eastAsia="宋体" w:cs="宋体"/>
                <w:sz w:val="21"/>
                <w:szCs w:val="21"/>
              </w:rPr>
            </w:pPr>
            <w:r>
              <w:rPr>
                <w:rFonts w:ascii="宋体" w:hAnsi="宋体" w:eastAsia="宋体" w:cs="宋体"/>
                <w:spacing w:val="-2"/>
                <w:sz w:val="21"/>
                <w:szCs w:val="21"/>
              </w:rPr>
              <w:t>环评阶段</w:t>
            </w:r>
          </w:p>
        </w:tc>
        <w:tc>
          <w:tcPr>
            <w:tcW w:w="3038" w:type="dxa"/>
            <w:vAlign w:val="top"/>
          </w:tcPr>
          <w:p w14:paraId="351273B9">
            <w:pPr>
              <w:spacing w:before="87" w:line="220" w:lineRule="auto"/>
              <w:ind w:left="1112"/>
              <w:rPr>
                <w:rFonts w:ascii="宋体" w:hAnsi="宋体" w:eastAsia="宋体" w:cs="宋体"/>
                <w:sz w:val="21"/>
                <w:szCs w:val="21"/>
              </w:rPr>
            </w:pPr>
            <w:r>
              <w:rPr>
                <w:rFonts w:ascii="宋体" w:hAnsi="宋体" w:eastAsia="宋体" w:cs="宋体"/>
                <w:spacing w:val="-3"/>
                <w:sz w:val="21"/>
                <w:szCs w:val="21"/>
              </w:rPr>
              <w:t>实施阶段</w:t>
            </w:r>
          </w:p>
        </w:tc>
        <w:tc>
          <w:tcPr>
            <w:tcW w:w="1121" w:type="dxa"/>
            <w:vMerge w:val="continue"/>
            <w:tcBorders>
              <w:top w:val="nil"/>
              <w:right w:val="single" w:color="000000" w:sz="12" w:space="0"/>
            </w:tcBorders>
            <w:vAlign w:val="top"/>
          </w:tcPr>
          <w:p w14:paraId="353E4092">
            <w:pPr>
              <w:rPr>
                <w:rFonts w:ascii="Arial"/>
                <w:sz w:val="21"/>
              </w:rPr>
            </w:pPr>
          </w:p>
        </w:tc>
      </w:tr>
      <w:tr w14:paraId="01E01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2" w:hRule="atLeast"/>
        </w:trPr>
        <w:tc>
          <w:tcPr>
            <w:tcW w:w="429" w:type="dxa"/>
            <w:vMerge w:val="restart"/>
            <w:tcBorders>
              <w:left w:val="single" w:color="000000" w:sz="12" w:space="0"/>
              <w:bottom w:val="nil"/>
            </w:tcBorders>
            <w:textDirection w:val="tbRlV"/>
            <w:vAlign w:val="top"/>
          </w:tcPr>
          <w:p w14:paraId="156A4B6C">
            <w:pPr>
              <w:spacing w:before="111" w:line="209" w:lineRule="auto"/>
              <w:ind w:left="4367"/>
              <w:rPr>
                <w:rFonts w:ascii="宋体" w:hAnsi="宋体" w:eastAsia="宋体" w:cs="宋体"/>
                <w:sz w:val="21"/>
                <w:szCs w:val="21"/>
              </w:rPr>
            </w:pPr>
            <w:r>
              <w:rPr>
                <w:rFonts w:ascii="宋体" w:hAnsi="宋体" w:eastAsia="宋体" w:cs="宋体"/>
                <w:spacing w:val="51"/>
                <w:sz w:val="21"/>
                <w:szCs w:val="21"/>
              </w:rPr>
              <w:t>环境保护工程</w:t>
            </w:r>
          </w:p>
        </w:tc>
        <w:tc>
          <w:tcPr>
            <w:tcW w:w="849" w:type="dxa"/>
            <w:vAlign w:val="top"/>
          </w:tcPr>
          <w:p w14:paraId="12783EF7">
            <w:pPr>
              <w:spacing w:line="254" w:lineRule="auto"/>
              <w:rPr>
                <w:rFonts w:ascii="Arial"/>
                <w:sz w:val="21"/>
              </w:rPr>
            </w:pPr>
          </w:p>
          <w:p w14:paraId="72B6558C">
            <w:pPr>
              <w:spacing w:line="254" w:lineRule="auto"/>
              <w:rPr>
                <w:rFonts w:ascii="Arial"/>
                <w:sz w:val="21"/>
              </w:rPr>
            </w:pPr>
          </w:p>
          <w:p w14:paraId="0692119E">
            <w:pPr>
              <w:spacing w:line="254" w:lineRule="auto"/>
              <w:rPr>
                <w:rFonts w:ascii="Arial"/>
                <w:sz w:val="21"/>
              </w:rPr>
            </w:pPr>
          </w:p>
          <w:p w14:paraId="6109D7B5">
            <w:pPr>
              <w:spacing w:line="254" w:lineRule="auto"/>
              <w:rPr>
                <w:rFonts w:ascii="Arial"/>
                <w:sz w:val="21"/>
              </w:rPr>
            </w:pPr>
          </w:p>
          <w:p w14:paraId="69278F5E">
            <w:pPr>
              <w:spacing w:line="255" w:lineRule="auto"/>
              <w:rPr>
                <w:rFonts w:ascii="Arial"/>
                <w:sz w:val="21"/>
              </w:rPr>
            </w:pPr>
          </w:p>
          <w:p w14:paraId="26270322">
            <w:pPr>
              <w:spacing w:line="255" w:lineRule="auto"/>
              <w:rPr>
                <w:rFonts w:ascii="Arial"/>
                <w:sz w:val="21"/>
              </w:rPr>
            </w:pPr>
          </w:p>
          <w:p w14:paraId="0234F312">
            <w:pPr>
              <w:spacing w:line="255" w:lineRule="auto"/>
              <w:rPr>
                <w:rFonts w:ascii="Arial"/>
                <w:sz w:val="21"/>
              </w:rPr>
            </w:pPr>
          </w:p>
          <w:p w14:paraId="5ADDFE0F">
            <w:pPr>
              <w:spacing w:before="68"/>
              <w:ind w:left="100" w:right="116"/>
              <w:jc w:val="both"/>
              <w:rPr>
                <w:rFonts w:ascii="宋体" w:hAnsi="宋体" w:eastAsia="宋体" w:cs="宋体"/>
                <w:sz w:val="21"/>
                <w:szCs w:val="21"/>
              </w:rPr>
            </w:pPr>
            <w:r>
              <w:rPr>
                <w:rFonts w:ascii="宋体" w:hAnsi="宋体" w:eastAsia="宋体" w:cs="宋体"/>
                <w:spacing w:val="-4"/>
                <w:sz w:val="21"/>
                <w:szCs w:val="21"/>
              </w:rPr>
              <w:t>流域连</w:t>
            </w:r>
            <w:r>
              <w:rPr>
                <w:rFonts w:ascii="宋体" w:hAnsi="宋体" w:eastAsia="宋体" w:cs="宋体"/>
                <w:spacing w:val="-3"/>
                <w:sz w:val="21"/>
                <w:szCs w:val="21"/>
              </w:rPr>
              <w:t>通性恢复及其它工程生态流量下泄</w:t>
            </w:r>
            <w:r>
              <w:rPr>
                <w:rFonts w:ascii="宋体" w:hAnsi="宋体" w:eastAsia="宋体" w:cs="宋体"/>
                <w:spacing w:val="48"/>
                <w:sz w:val="21"/>
                <w:szCs w:val="21"/>
              </w:rPr>
              <w:t>设施</w:t>
            </w:r>
          </w:p>
        </w:tc>
        <w:tc>
          <w:tcPr>
            <w:tcW w:w="3036" w:type="dxa"/>
            <w:vAlign w:val="top"/>
          </w:tcPr>
          <w:p w14:paraId="50D21EEF">
            <w:pPr>
              <w:pStyle w:val="6"/>
              <w:spacing w:before="92" w:line="239" w:lineRule="auto"/>
              <w:ind w:left="48" w:right="51"/>
              <w:rPr>
                <w:rFonts w:ascii="宋体" w:hAnsi="宋体" w:eastAsia="宋体" w:cs="宋体"/>
              </w:rPr>
            </w:pPr>
            <w:r>
              <w:rPr>
                <w:rFonts w:ascii="宋体" w:hAnsi="宋体" w:eastAsia="宋体" w:cs="宋体"/>
                <w:spacing w:val="-2"/>
              </w:rPr>
              <w:t>①车马碧坝址下游</w:t>
            </w:r>
            <w:r>
              <w:rPr>
                <w:rFonts w:ascii="宋体" w:hAnsi="宋体" w:eastAsia="宋体" w:cs="宋体"/>
                <w:spacing w:val="-41"/>
              </w:rPr>
              <w:t xml:space="preserve"> </w:t>
            </w:r>
            <w:r>
              <w:rPr>
                <w:spacing w:val="-2"/>
              </w:rPr>
              <w:t xml:space="preserve">8.2km </w:t>
            </w:r>
            <w:r>
              <w:rPr>
                <w:rFonts w:ascii="宋体" w:hAnsi="宋体" w:eastAsia="宋体" w:cs="宋体"/>
                <w:spacing w:val="-2"/>
              </w:rPr>
              <w:t>石仙人滚水坝修建过鱼设施，设置生态</w:t>
            </w:r>
            <w:r>
              <w:rPr>
                <w:rFonts w:ascii="宋体" w:hAnsi="宋体" w:eastAsia="宋体" w:cs="宋体"/>
                <w:spacing w:val="14"/>
              </w:rPr>
              <w:t>流量泄放管，下泄流量不小于</w:t>
            </w:r>
            <w:r>
              <w:rPr>
                <w:spacing w:val="-5"/>
              </w:rPr>
              <w:t>1.313m</w:t>
            </w:r>
            <w:r>
              <w:rPr>
                <w:spacing w:val="-5"/>
                <w:position w:val="7"/>
                <w:sz w:val="14"/>
                <w:szCs w:val="14"/>
              </w:rPr>
              <w:t>3</w:t>
            </w:r>
            <w:r>
              <w:rPr>
                <w:spacing w:val="-5"/>
              </w:rPr>
              <w:t>/s</w:t>
            </w:r>
            <w:r>
              <w:rPr>
                <w:rFonts w:ascii="宋体" w:hAnsi="宋体" w:eastAsia="宋体" w:cs="宋体"/>
                <w:spacing w:val="-5"/>
              </w:rPr>
              <w:t>；鱼道进口下游</w:t>
            </w:r>
            <w:r>
              <w:rPr>
                <w:rFonts w:ascii="宋体" w:hAnsi="宋体" w:eastAsia="宋体" w:cs="宋体"/>
                <w:spacing w:val="-29"/>
              </w:rPr>
              <w:t xml:space="preserve"> </w:t>
            </w:r>
            <w:r>
              <w:rPr>
                <w:spacing w:val="-5"/>
              </w:rPr>
              <w:t xml:space="preserve">50m </w:t>
            </w:r>
            <w:r>
              <w:rPr>
                <w:rFonts w:ascii="宋体" w:hAnsi="宋体" w:eastAsia="宋体" w:cs="宋体"/>
                <w:spacing w:val="-5"/>
              </w:rPr>
              <w:t>处</w:t>
            </w:r>
            <w:r>
              <w:rPr>
                <w:rFonts w:ascii="宋体" w:hAnsi="宋体" w:eastAsia="宋体" w:cs="宋体"/>
                <w:spacing w:val="14"/>
              </w:rPr>
              <w:t>布置一个河道生态流量在线监</w:t>
            </w:r>
            <w:r>
              <w:rPr>
                <w:rFonts w:ascii="宋体" w:hAnsi="宋体" w:eastAsia="宋体" w:cs="宋体"/>
                <w:spacing w:val="-2"/>
              </w:rPr>
              <w:t>控装置，采用超声波流量计进行</w:t>
            </w:r>
            <w:r>
              <w:rPr>
                <w:rFonts w:ascii="宋体" w:hAnsi="宋体" w:eastAsia="宋体" w:cs="宋体"/>
                <w:spacing w:val="-7"/>
              </w:rPr>
              <w:t>在线监测。</w:t>
            </w:r>
          </w:p>
          <w:p w14:paraId="392A419F">
            <w:pPr>
              <w:pStyle w:val="6"/>
              <w:spacing w:before="1" w:line="239" w:lineRule="auto"/>
              <w:ind w:left="48" w:right="51" w:hanging="1"/>
              <w:rPr>
                <w:rFonts w:ascii="宋体" w:hAnsi="宋体" w:eastAsia="宋体" w:cs="宋体"/>
              </w:rPr>
            </w:pPr>
            <w:r>
              <w:rPr>
                <w:rFonts w:ascii="宋体" w:hAnsi="宋体" w:eastAsia="宋体" w:cs="宋体"/>
                <w:spacing w:val="-2"/>
              </w:rPr>
              <w:t>②车马碧库尾以上</w:t>
            </w:r>
            <w:r>
              <w:rPr>
                <w:rFonts w:ascii="宋体" w:hAnsi="宋体" w:eastAsia="宋体" w:cs="宋体"/>
                <w:spacing w:val="-40"/>
              </w:rPr>
              <w:t xml:space="preserve"> </w:t>
            </w:r>
            <w:r>
              <w:rPr>
                <w:spacing w:val="-2"/>
              </w:rPr>
              <w:t xml:space="preserve">5.5km </w:t>
            </w:r>
            <w:r>
              <w:rPr>
                <w:rFonts w:ascii="宋体" w:hAnsi="宋体" w:eastAsia="宋体" w:cs="宋体"/>
                <w:spacing w:val="-2"/>
              </w:rPr>
              <w:t>滚水坝修建过鱼设施，并通过其下泄一定的生态流量，最小下泄流量不</w:t>
            </w:r>
            <w:r>
              <w:rPr>
                <w:rFonts w:ascii="宋体" w:hAnsi="宋体" w:eastAsia="宋体" w:cs="宋体"/>
                <w:spacing w:val="14"/>
              </w:rPr>
              <w:t>小于本断面多年平均天然流量</w:t>
            </w:r>
            <w:r>
              <w:rPr>
                <w:rFonts w:ascii="宋体" w:hAnsi="宋体" w:eastAsia="宋体" w:cs="宋体"/>
                <w:spacing w:val="-5"/>
              </w:rPr>
              <w:t>的</w:t>
            </w:r>
            <w:r>
              <w:rPr>
                <w:rFonts w:ascii="宋体" w:hAnsi="宋体" w:eastAsia="宋体" w:cs="宋体"/>
                <w:spacing w:val="-26"/>
              </w:rPr>
              <w:t xml:space="preserve"> </w:t>
            </w:r>
            <w:r>
              <w:rPr>
                <w:spacing w:val="-5"/>
              </w:rPr>
              <w:t>13.2%</w:t>
            </w:r>
            <w:r>
              <w:rPr>
                <w:rFonts w:ascii="宋体" w:hAnsi="宋体" w:eastAsia="宋体" w:cs="宋体"/>
                <w:spacing w:val="-5"/>
              </w:rPr>
              <w:t>。</w:t>
            </w:r>
          </w:p>
          <w:p w14:paraId="7E6AE3BE">
            <w:pPr>
              <w:pStyle w:val="6"/>
              <w:spacing w:line="235" w:lineRule="auto"/>
              <w:ind w:left="48" w:right="52" w:hanging="1"/>
              <w:rPr>
                <w:rFonts w:ascii="宋体" w:hAnsi="宋体" w:eastAsia="宋体" w:cs="宋体"/>
              </w:rPr>
            </w:pPr>
            <w:r>
              <w:rPr>
                <w:rFonts w:ascii="宋体" w:hAnsi="宋体" w:eastAsia="宋体" w:cs="宋体"/>
                <w:spacing w:val="-2"/>
              </w:rPr>
              <w:t>③车马碧库尾以上</w:t>
            </w:r>
            <w:r>
              <w:rPr>
                <w:rFonts w:ascii="宋体" w:hAnsi="宋体" w:eastAsia="宋体" w:cs="宋体"/>
                <w:spacing w:val="-40"/>
              </w:rPr>
              <w:t xml:space="preserve"> </w:t>
            </w:r>
            <w:r>
              <w:rPr>
                <w:spacing w:val="-2"/>
              </w:rPr>
              <w:t xml:space="preserve">2.0km </w:t>
            </w:r>
            <w:r>
              <w:rPr>
                <w:rFonts w:ascii="宋体" w:hAnsi="宋体" w:eastAsia="宋体" w:cs="宋体"/>
                <w:spacing w:val="-2"/>
              </w:rPr>
              <w:t>滚水坝</w:t>
            </w:r>
            <w:r>
              <w:rPr>
                <w:rFonts w:ascii="宋体" w:hAnsi="宋体" w:eastAsia="宋体" w:cs="宋体"/>
                <w:spacing w:val="-3"/>
              </w:rPr>
              <w:t>拆除。</w:t>
            </w:r>
          </w:p>
          <w:p w14:paraId="31301EB7">
            <w:pPr>
              <w:pStyle w:val="6"/>
              <w:spacing w:before="10" w:line="235" w:lineRule="auto"/>
              <w:ind w:left="51" w:right="52" w:hanging="4"/>
              <w:rPr>
                <w:rFonts w:ascii="宋体" w:hAnsi="宋体" w:eastAsia="宋体" w:cs="宋体"/>
              </w:rPr>
            </w:pPr>
            <w:r>
              <w:rPr>
                <w:rFonts w:ascii="宋体" w:hAnsi="宋体" w:eastAsia="宋体" w:cs="宋体"/>
                <w:spacing w:val="-2"/>
              </w:rPr>
              <w:t>④支流白塔河汇口以上</w:t>
            </w:r>
            <w:r>
              <w:rPr>
                <w:rFonts w:ascii="宋体" w:hAnsi="宋体" w:eastAsia="宋体" w:cs="宋体"/>
                <w:spacing w:val="-40"/>
              </w:rPr>
              <w:t xml:space="preserve"> </w:t>
            </w:r>
            <w:r>
              <w:rPr>
                <w:spacing w:val="-2"/>
              </w:rPr>
              <w:t xml:space="preserve">6.0km </w:t>
            </w:r>
            <w:r>
              <w:rPr>
                <w:rFonts w:ascii="宋体" w:hAnsi="宋体" w:eastAsia="宋体" w:cs="宋体"/>
                <w:spacing w:val="-2"/>
              </w:rPr>
              <w:t>滚水坝修建鱼道。</w:t>
            </w:r>
          </w:p>
          <w:p w14:paraId="3F6F123B">
            <w:pPr>
              <w:pStyle w:val="6"/>
              <w:spacing w:before="9" w:line="241" w:lineRule="auto"/>
              <w:ind w:left="52" w:right="51" w:hanging="5"/>
              <w:rPr>
                <w:rFonts w:ascii="宋体" w:hAnsi="宋体" w:eastAsia="宋体" w:cs="宋体"/>
              </w:rPr>
            </w:pPr>
            <w:r>
              <w:rPr>
                <w:rFonts w:ascii="宋体" w:hAnsi="宋体" w:eastAsia="宋体" w:cs="宋体"/>
                <w:spacing w:val="15"/>
              </w:rPr>
              <w:t>⑤建议结合凤龙湾坝后电站运</w:t>
            </w:r>
            <w:r>
              <w:rPr>
                <w:rFonts w:ascii="宋体" w:hAnsi="宋体" w:eastAsia="宋体" w:cs="宋体"/>
                <w:spacing w:val="-2"/>
              </w:rPr>
              <w:t>行，优化水库调度运行方案，为下泄生态流量提供保障，建议最</w:t>
            </w:r>
            <w:r>
              <w:rPr>
                <w:rFonts w:ascii="宋体" w:hAnsi="宋体" w:eastAsia="宋体" w:cs="宋体"/>
                <w:spacing w:val="-4"/>
              </w:rPr>
              <w:t>小下泄流量不小于</w:t>
            </w:r>
            <w:r>
              <w:rPr>
                <w:rFonts w:ascii="宋体" w:hAnsi="宋体" w:eastAsia="宋体" w:cs="宋体"/>
                <w:spacing w:val="-21"/>
              </w:rPr>
              <w:t xml:space="preserve"> </w:t>
            </w:r>
            <w:r>
              <w:rPr>
                <w:spacing w:val="-4"/>
              </w:rPr>
              <w:t>1.</w:t>
            </w:r>
            <w:r>
              <w:rPr>
                <w:spacing w:val="-28"/>
              </w:rPr>
              <w:t xml:space="preserve"> </w:t>
            </w:r>
            <w:r>
              <w:rPr>
                <w:spacing w:val="-4"/>
              </w:rPr>
              <w:t>13m</w:t>
            </w:r>
            <w:r>
              <w:rPr>
                <w:spacing w:val="-4"/>
                <w:position w:val="7"/>
                <w:sz w:val="14"/>
                <w:szCs w:val="14"/>
              </w:rPr>
              <w:t>3</w:t>
            </w:r>
            <w:r>
              <w:rPr>
                <w:spacing w:val="-4"/>
              </w:rPr>
              <w:t>/s</w:t>
            </w:r>
            <w:r>
              <w:rPr>
                <w:rFonts w:ascii="宋体" w:hAnsi="宋体" w:eastAsia="宋体" w:cs="宋体"/>
                <w:spacing w:val="-4"/>
              </w:rPr>
              <w:t>。</w:t>
            </w:r>
          </w:p>
        </w:tc>
        <w:tc>
          <w:tcPr>
            <w:tcW w:w="3038" w:type="dxa"/>
            <w:vAlign w:val="top"/>
          </w:tcPr>
          <w:p w14:paraId="76670525">
            <w:pPr>
              <w:spacing w:line="292" w:lineRule="auto"/>
              <w:rPr>
                <w:rFonts w:ascii="Arial"/>
                <w:sz w:val="21"/>
              </w:rPr>
            </w:pPr>
          </w:p>
          <w:p w14:paraId="4A8B6942">
            <w:pPr>
              <w:pStyle w:val="6"/>
              <w:spacing w:before="69" w:line="239" w:lineRule="auto"/>
              <w:ind w:left="55" w:right="44" w:firstLine="3"/>
              <w:rPr>
                <w:rFonts w:ascii="宋体" w:hAnsi="宋体" w:eastAsia="宋体" w:cs="宋体"/>
              </w:rPr>
            </w:pPr>
            <w:r>
              <w:rPr>
                <w:rFonts w:ascii="宋体" w:hAnsi="宋体" w:eastAsia="宋体" w:cs="宋体"/>
                <w:spacing w:val="-2"/>
              </w:rPr>
              <w:t>①石仙人滚水坝修建池式鱼道，</w:t>
            </w:r>
            <w:r>
              <w:rPr>
                <w:rFonts w:ascii="宋体" w:hAnsi="宋体" w:eastAsia="宋体" w:cs="宋体"/>
                <w:spacing w:val="15"/>
              </w:rPr>
              <w:t>位于马龙区马过河街道办事处</w:t>
            </w:r>
            <w:r>
              <w:rPr>
                <w:rFonts w:ascii="宋体" w:hAnsi="宋体" w:eastAsia="宋体" w:cs="宋体"/>
                <w:spacing w:val="14"/>
              </w:rPr>
              <w:t>新车站村委会，现场施工用地</w:t>
            </w:r>
            <w:r>
              <w:rPr>
                <w:spacing w:val="-3"/>
              </w:rPr>
              <w:t>430m</w:t>
            </w:r>
            <w:r>
              <w:rPr>
                <w:rFonts w:ascii="宋体" w:hAnsi="宋体" w:eastAsia="宋体" w:cs="宋体"/>
                <w:spacing w:val="-3"/>
              </w:rPr>
              <w:t>²（农田）。</w:t>
            </w:r>
          </w:p>
          <w:p w14:paraId="2F9FAACF">
            <w:pPr>
              <w:pStyle w:val="6"/>
              <w:spacing w:before="2" w:line="239" w:lineRule="auto"/>
              <w:ind w:left="58" w:right="42"/>
              <w:rPr>
                <w:rFonts w:ascii="宋体" w:hAnsi="宋体" w:eastAsia="宋体" w:cs="宋体"/>
              </w:rPr>
            </w:pPr>
            <w:r>
              <w:rPr>
                <w:rFonts w:ascii="宋体" w:hAnsi="宋体" w:eastAsia="宋体" w:cs="宋体"/>
                <w:spacing w:val="-3"/>
              </w:rPr>
              <w:t>②库尾以上</w:t>
            </w:r>
            <w:r>
              <w:rPr>
                <w:rFonts w:ascii="宋体" w:hAnsi="宋体" w:eastAsia="宋体" w:cs="宋体"/>
                <w:spacing w:val="-42"/>
              </w:rPr>
              <w:t xml:space="preserve"> </w:t>
            </w:r>
            <w:r>
              <w:rPr>
                <w:spacing w:val="-3"/>
              </w:rPr>
              <w:t>5.5km</w:t>
            </w:r>
            <w:r>
              <w:rPr>
                <w:spacing w:val="16"/>
                <w:w w:val="101"/>
              </w:rPr>
              <w:t xml:space="preserve"> </w:t>
            </w:r>
            <w:r>
              <w:rPr>
                <w:rFonts w:ascii="宋体" w:hAnsi="宋体" w:eastAsia="宋体" w:cs="宋体"/>
                <w:spacing w:val="-3"/>
              </w:rPr>
              <w:t>的滚水坝修建</w:t>
            </w:r>
            <w:r>
              <w:rPr>
                <w:rFonts w:ascii="宋体" w:hAnsi="宋体" w:eastAsia="宋体" w:cs="宋体"/>
                <w:spacing w:val="-2"/>
              </w:rPr>
              <w:t>池式鱼道，位于马龙区鸡头村街道办高视槽居委会八角洞村，现场施工用地</w:t>
            </w:r>
            <w:r>
              <w:rPr>
                <w:rFonts w:ascii="宋体" w:hAnsi="宋体" w:eastAsia="宋体" w:cs="宋体"/>
                <w:spacing w:val="-31"/>
              </w:rPr>
              <w:t xml:space="preserve"> </w:t>
            </w:r>
            <w:r>
              <w:rPr>
                <w:spacing w:val="-2"/>
              </w:rPr>
              <w:t>883m</w:t>
            </w:r>
            <w:r>
              <w:rPr>
                <w:rFonts w:ascii="宋体" w:hAnsi="宋体" w:eastAsia="宋体" w:cs="宋体"/>
                <w:spacing w:val="-2"/>
              </w:rPr>
              <w:t>²（农田）。</w:t>
            </w:r>
          </w:p>
          <w:p w14:paraId="1A712121">
            <w:pPr>
              <w:pStyle w:val="6"/>
              <w:spacing w:before="3" w:line="238" w:lineRule="auto"/>
              <w:ind w:left="59" w:right="42" w:hanging="1"/>
              <w:rPr>
                <w:rFonts w:ascii="宋体" w:hAnsi="宋体" w:eastAsia="宋体" w:cs="宋体"/>
              </w:rPr>
            </w:pPr>
            <w:r>
              <w:rPr>
                <w:rFonts w:ascii="宋体" w:hAnsi="宋体" w:eastAsia="宋体" w:cs="宋体"/>
                <w:spacing w:val="-3"/>
              </w:rPr>
              <w:t>③拆除距车马碧库尾</w:t>
            </w:r>
            <w:r>
              <w:rPr>
                <w:rFonts w:ascii="宋体" w:hAnsi="宋体" w:eastAsia="宋体" w:cs="宋体"/>
                <w:spacing w:val="-43"/>
              </w:rPr>
              <w:t xml:space="preserve"> </w:t>
            </w:r>
            <w:r>
              <w:rPr>
                <w:spacing w:val="-3"/>
              </w:rPr>
              <w:t>2.0km</w:t>
            </w:r>
            <w:r>
              <w:rPr>
                <w:spacing w:val="17"/>
              </w:rPr>
              <w:t xml:space="preserve"> </w:t>
            </w:r>
            <w:r>
              <w:rPr>
                <w:rFonts w:ascii="宋体" w:hAnsi="宋体" w:eastAsia="宋体" w:cs="宋体"/>
                <w:spacing w:val="-3"/>
              </w:rPr>
              <w:t>的滚</w:t>
            </w:r>
            <w:r>
              <w:rPr>
                <w:rFonts w:ascii="宋体" w:hAnsi="宋体" w:eastAsia="宋体" w:cs="宋体"/>
                <w:spacing w:val="-2"/>
              </w:rPr>
              <w:t>水坝，位于马龙区王家庄镇土官</w:t>
            </w:r>
            <w:r>
              <w:rPr>
                <w:rFonts w:ascii="宋体" w:hAnsi="宋体" w:eastAsia="宋体" w:cs="宋体"/>
                <w:spacing w:val="-4"/>
              </w:rPr>
              <w:t>寨村，前期已完成征地。</w:t>
            </w:r>
          </w:p>
          <w:p w14:paraId="349C715F">
            <w:pPr>
              <w:pStyle w:val="6"/>
              <w:spacing w:before="2" w:line="239" w:lineRule="auto"/>
              <w:ind w:left="58" w:right="42"/>
              <w:rPr>
                <w:rFonts w:ascii="宋体" w:hAnsi="宋体" w:eastAsia="宋体" w:cs="宋体"/>
              </w:rPr>
            </w:pPr>
            <w:r>
              <w:rPr>
                <w:rFonts w:ascii="宋体" w:hAnsi="宋体" w:eastAsia="宋体" w:cs="宋体"/>
              </w:rPr>
              <w:t xml:space="preserve">④白塔河汇口以上 </w:t>
            </w:r>
            <w:r>
              <w:t>6km</w:t>
            </w:r>
            <w:r>
              <w:rPr>
                <w:spacing w:val="15"/>
                <w:w w:val="101"/>
              </w:rPr>
              <w:t xml:space="preserve">  </w:t>
            </w:r>
            <w:r>
              <w:rPr>
                <w:rFonts w:ascii="宋体" w:hAnsi="宋体" w:eastAsia="宋体" w:cs="宋体"/>
              </w:rPr>
              <w:t>的滚水</w:t>
            </w:r>
            <w:r>
              <w:rPr>
                <w:rFonts w:ascii="宋体" w:hAnsi="宋体" w:eastAsia="宋体" w:cs="宋体"/>
                <w:spacing w:val="14"/>
              </w:rPr>
              <w:t>坝位于马龙区旧县街道办事处白塔居委会白塔桥道路旁，拆</w:t>
            </w:r>
            <w:r>
              <w:rPr>
                <w:rFonts w:ascii="宋体" w:hAnsi="宋体" w:eastAsia="宋体" w:cs="宋体"/>
                <w:spacing w:val="-4"/>
              </w:rPr>
              <w:t>除。</w:t>
            </w:r>
          </w:p>
          <w:p w14:paraId="5AFD24A8">
            <w:pPr>
              <w:pStyle w:val="6"/>
              <w:spacing w:line="239" w:lineRule="auto"/>
              <w:ind w:left="59" w:right="41" w:hanging="1"/>
              <w:rPr>
                <w:rFonts w:ascii="宋体" w:hAnsi="宋体" w:eastAsia="宋体" w:cs="宋体"/>
              </w:rPr>
            </w:pPr>
            <w:r>
              <w:rPr>
                <w:rFonts w:ascii="宋体" w:hAnsi="宋体" w:eastAsia="宋体" w:cs="宋体"/>
                <w:spacing w:val="-1"/>
              </w:rPr>
              <w:t>⑤库尾马龙河</w:t>
            </w:r>
            <w:r>
              <w:rPr>
                <w:spacing w:val="-1"/>
              </w:rPr>
              <w:t>2#</w:t>
            </w:r>
            <w:r>
              <w:rPr>
                <w:rFonts w:ascii="宋体" w:hAnsi="宋体" w:eastAsia="宋体" w:cs="宋体"/>
                <w:spacing w:val="-1"/>
              </w:rPr>
              <w:t>、</w:t>
            </w:r>
            <w:r>
              <w:rPr>
                <w:spacing w:val="-1"/>
              </w:rPr>
              <w:t>3#</w:t>
            </w:r>
            <w:r>
              <w:rPr>
                <w:rFonts w:ascii="宋体" w:hAnsi="宋体" w:eastAsia="宋体" w:cs="宋体"/>
                <w:spacing w:val="-1"/>
              </w:rPr>
              <w:t>、</w:t>
            </w:r>
            <w:r>
              <w:rPr>
                <w:spacing w:val="-1"/>
              </w:rPr>
              <w:t>4#</w:t>
            </w:r>
            <w:r>
              <w:rPr>
                <w:rFonts w:ascii="宋体" w:hAnsi="宋体" w:eastAsia="宋体" w:cs="宋体"/>
                <w:spacing w:val="-1"/>
              </w:rPr>
              <w:t>滚水坝</w:t>
            </w:r>
            <w:r>
              <w:rPr>
                <w:rFonts w:ascii="宋体" w:hAnsi="宋体" w:eastAsia="宋体" w:cs="宋体"/>
                <w:spacing w:val="-2"/>
              </w:rPr>
              <w:t>修建鱼道（均位于土官寨村，已完成征地）。</w:t>
            </w:r>
          </w:p>
        </w:tc>
        <w:tc>
          <w:tcPr>
            <w:tcW w:w="1121" w:type="dxa"/>
            <w:tcBorders>
              <w:right w:val="single" w:color="000000" w:sz="12" w:space="0"/>
            </w:tcBorders>
            <w:vAlign w:val="top"/>
          </w:tcPr>
          <w:p w14:paraId="4B4E6D4B">
            <w:pPr>
              <w:spacing w:line="259" w:lineRule="auto"/>
              <w:rPr>
                <w:rFonts w:ascii="Arial"/>
                <w:sz w:val="21"/>
              </w:rPr>
            </w:pPr>
          </w:p>
          <w:p w14:paraId="0699A211">
            <w:pPr>
              <w:spacing w:line="259" w:lineRule="auto"/>
              <w:rPr>
                <w:rFonts w:ascii="Arial"/>
                <w:sz w:val="21"/>
              </w:rPr>
            </w:pPr>
          </w:p>
          <w:p w14:paraId="7A548E7D">
            <w:pPr>
              <w:spacing w:line="259" w:lineRule="auto"/>
              <w:rPr>
                <w:rFonts w:ascii="Arial"/>
                <w:sz w:val="21"/>
              </w:rPr>
            </w:pPr>
          </w:p>
          <w:p w14:paraId="40B745B9">
            <w:pPr>
              <w:spacing w:line="259" w:lineRule="auto"/>
              <w:rPr>
                <w:rFonts w:ascii="Arial"/>
                <w:sz w:val="21"/>
              </w:rPr>
            </w:pPr>
          </w:p>
          <w:p w14:paraId="31EFF2E1">
            <w:pPr>
              <w:spacing w:line="259" w:lineRule="auto"/>
              <w:rPr>
                <w:rFonts w:ascii="Arial"/>
                <w:sz w:val="21"/>
              </w:rPr>
            </w:pPr>
          </w:p>
          <w:p w14:paraId="08E2F0AC">
            <w:pPr>
              <w:spacing w:line="259" w:lineRule="auto"/>
              <w:rPr>
                <w:rFonts w:ascii="Arial"/>
                <w:sz w:val="21"/>
              </w:rPr>
            </w:pPr>
          </w:p>
          <w:p w14:paraId="57945ACB">
            <w:pPr>
              <w:spacing w:line="259" w:lineRule="auto"/>
              <w:rPr>
                <w:rFonts w:ascii="Arial"/>
                <w:sz w:val="21"/>
              </w:rPr>
            </w:pPr>
          </w:p>
          <w:p w14:paraId="1F978EE8">
            <w:pPr>
              <w:spacing w:line="259" w:lineRule="auto"/>
              <w:rPr>
                <w:rFonts w:ascii="Arial"/>
                <w:sz w:val="21"/>
              </w:rPr>
            </w:pPr>
          </w:p>
          <w:p w14:paraId="04B25F91">
            <w:pPr>
              <w:spacing w:line="259" w:lineRule="auto"/>
              <w:rPr>
                <w:rFonts w:ascii="Arial"/>
                <w:sz w:val="21"/>
              </w:rPr>
            </w:pPr>
          </w:p>
          <w:p w14:paraId="41EA0E04">
            <w:pPr>
              <w:spacing w:line="259" w:lineRule="auto"/>
              <w:rPr>
                <w:rFonts w:ascii="Arial"/>
                <w:sz w:val="21"/>
              </w:rPr>
            </w:pPr>
          </w:p>
          <w:p w14:paraId="5209AB24">
            <w:pPr>
              <w:spacing w:before="69" w:line="220" w:lineRule="auto"/>
              <w:ind w:left="152"/>
              <w:rPr>
                <w:rFonts w:ascii="宋体" w:hAnsi="宋体" w:eastAsia="宋体" w:cs="宋体"/>
                <w:sz w:val="21"/>
                <w:szCs w:val="21"/>
              </w:rPr>
            </w:pPr>
            <w:r>
              <w:rPr>
                <w:rFonts w:ascii="宋体" w:hAnsi="宋体" w:eastAsia="宋体" w:cs="宋体"/>
                <w:spacing w:val="-3"/>
                <w:sz w:val="21"/>
                <w:szCs w:val="21"/>
              </w:rPr>
              <w:t>局部调整</w:t>
            </w:r>
          </w:p>
        </w:tc>
      </w:tr>
      <w:tr w14:paraId="756DA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0" w:hRule="atLeast"/>
        </w:trPr>
        <w:tc>
          <w:tcPr>
            <w:tcW w:w="429" w:type="dxa"/>
            <w:vMerge w:val="continue"/>
            <w:tcBorders>
              <w:top w:val="nil"/>
              <w:left w:val="single" w:color="000000" w:sz="12" w:space="0"/>
              <w:bottom w:val="nil"/>
            </w:tcBorders>
            <w:textDirection w:val="tbRlV"/>
            <w:vAlign w:val="top"/>
          </w:tcPr>
          <w:p w14:paraId="405EEBC5">
            <w:pPr>
              <w:rPr>
                <w:rFonts w:ascii="Arial"/>
                <w:sz w:val="21"/>
              </w:rPr>
            </w:pPr>
          </w:p>
        </w:tc>
        <w:tc>
          <w:tcPr>
            <w:tcW w:w="849" w:type="dxa"/>
            <w:vAlign w:val="top"/>
          </w:tcPr>
          <w:p w14:paraId="72141BE9">
            <w:pPr>
              <w:spacing w:line="287" w:lineRule="auto"/>
              <w:rPr>
                <w:rFonts w:ascii="Arial"/>
                <w:sz w:val="21"/>
              </w:rPr>
            </w:pPr>
          </w:p>
          <w:p w14:paraId="3ADE4A8A">
            <w:pPr>
              <w:spacing w:line="287" w:lineRule="auto"/>
              <w:rPr>
                <w:rFonts w:ascii="Arial"/>
                <w:sz w:val="21"/>
              </w:rPr>
            </w:pPr>
          </w:p>
          <w:p w14:paraId="0DDCE6D2">
            <w:pPr>
              <w:spacing w:before="68" w:line="241" w:lineRule="auto"/>
              <w:ind w:left="101" w:right="116" w:firstLine="2"/>
              <w:jc w:val="both"/>
              <w:rPr>
                <w:rFonts w:ascii="宋体" w:hAnsi="宋体" w:eastAsia="宋体" w:cs="宋体"/>
                <w:sz w:val="21"/>
                <w:szCs w:val="21"/>
              </w:rPr>
            </w:pPr>
            <w:r>
              <w:rPr>
                <w:rFonts w:ascii="宋体" w:hAnsi="宋体" w:eastAsia="宋体" w:cs="宋体"/>
                <w:spacing w:val="-4"/>
                <w:sz w:val="21"/>
                <w:szCs w:val="21"/>
              </w:rPr>
              <w:t>鱼类栖息地保护措施</w:t>
            </w:r>
          </w:p>
        </w:tc>
        <w:tc>
          <w:tcPr>
            <w:tcW w:w="3036" w:type="dxa"/>
            <w:vAlign w:val="top"/>
          </w:tcPr>
          <w:p w14:paraId="7F679D1F">
            <w:pPr>
              <w:pStyle w:val="6"/>
              <w:spacing w:before="242" w:line="238" w:lineRule="auto"/>
              <w:ind w:left="49" w:right="51" w:hanging="2"/>
              <w:jc w:val="both"/>
              <w:rPr>
                <w:rFonts w:ascii="宋体" w:hAnsi="宋体" w:eastAsia="宋体" w:cs="宋体"/>
              </w:rPr>
            </w:pPr>
            <w:r>
              <w:rPr>
                <w:rFonts w:ascii="宋体" w:hAnsi="宋体" w:eastAsia="宋体" w:cs="宋体"/>
                <w:spacing w:val="15"/>
              </w:rPr>
              <w:t>将车马碧坝址至凤龙湾库尾之</w:t>
            </w:r>
            <w:r>
              <w:rPr>
                <w:rFonts w:ascii="宋体" w:hAnsi="宋体" w:eastAsia="宋体" w:cs="宋体"/>
                <w:spacing w:val="-3"/>
              </w:rPr>
              <w:t xml:space="preserve">间的 </w:t>
            </w:r>
            <w:r>
              <w:rPr>
                <w:spacing w:val="-3"/>
              </w:rPr>
              <w:t>11km</w:t>
            </w:r>
            <w:r>
              <w:rPr>
                <w:spacing w:val="25"/>
              </w:rPr>
              <w:t xml:space="preserve"> </w:t>
            </w:r>
            <w:r>
              <w:rPr>
                <w:rFonts w:ascii="宋体" w:hAnsi="宋体" w:eastAsia="宋体" w:cs="宋体"/>
                <w:spacing w:val="-3"/>
              </w:rPr>
              <w:t>干流、车马碧库尾以</w:t>
            </w:r>
            <w:r>
              <w:rPr>
                <w:rFonts w:ascii="宋体" w:hAnsi="宋体" w:eastAsia="宋体" w:cs="宋体"/>
                <w:spacing w:val="-6"/>
              </w:rPr>
              <w:t>上</w:t>
            </w:r>
            <w:r>
              <w:rPr>
                <w:rFonts w:ascii="宋体" w:hAnsi="宋体" w:eastAsia="宋体" w:cs="宋体"/>
                <w:spacing w:val="-32"/>
              </w:rPr>
              <w:t xml:space="preserve"> </w:t>
            </w:r>
            <w:r>
              <w:rPr>
                <w:spacing w:val="-6"/>
              </w:rPr>
              <w:t xml:space="preserve">7km </w:t>
            </w:r>
            <w:r>
              <w:rPr>
                <w:rFonts w:ascii="宋体" w:hAnsi="宋体" w:eastAsia="宋体" w:cs="宋体"/>
                <w:spacing w:val="-6"/>
              </w:rPr>
              <w:t>干流、白塔河支流汇口至</w:t>
            </w:r>
            <w:r>
              <w:rPr>
                <w:rFonts w:ascii="宋体" w:hAnsi="宋体" w:eastAsia="宋体" w:cs="宋体"/>
                <w:spacing w:val="-5"/>
              </w:rPr>
              <w:t xml:space="preserve">四旗田水库坝址 </w:t>
            </w:r>
            <w:r>
              <w:rPr>
                <w:spacing w:val="-5"/>
              </w:rPr>
              <w:t>16km</w:t>
            </w:r>
            <w:r>
              <w:rPr>
                <w:spacing w:val="57"/>
              </w:rPr>
              <w:t xml:space="preserve"> </w:t>
            </w:r>
            <w:r>
              <w:rPr>
                <w:rFonts w:ascii="宋体" w:hAnsi="宋体" w:eastAsia="宋体" w:cs="宋体"/>
                <w:spacing w:val="-5"/>
              </w:rPr>
              <w:t>的河段为</w:t>
            </w:r>
            <w:r>
              <w:rPr>
                <w:rFonts w:ascii="宋体" w:hAnsi="宋体" w:eastAsia="宋体" w:cs="宋体"/>
                <w:spacing w:val="-2"/>
              </w:rPr>
              <w:t>栖息地保护河段。并建议四旗田</w:t>
            </w:r>
            <w:r>
              <w:rPr>
                <w:rFonts w:ascii="宋体" w:hAnsi="宋体" w:eastAsia="宋体" w:cs="宋体"/>
                <w:spacing w:val="-4"/>
              </w:rPr>
              <w:t>水库泄放生态流量。</w:t>
            </w:r>
          </w:p>
        </w:tc>
        <w:tc>
          <w:tcPr>
            <w:tcW w:w="3038" w:type="dxa"/>
            <w:vAlign w:val="top"/>
          </w:tcPr>
          <w:p w14:paraId="740365FE">
            <w:pPr>
              <w:pStyle w:val="6"/>
              <w:spacing w:before="103" w:line="237" w:lineRule="auto"/>
              <w:ind w:left="59" w:right="41" w:firstLine="7"/>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47"/>
              </w:rPr>
              <w:t xml:space="preserve"> </w:t>
            </w:r>
            <w:r>
              <w:rPr>
                <w:spacing w:val="-3"/>
              </w:rPr>
              <w:t>2</w:t>
            </w:r>
            <w:r>
              <w:rPr>
                <w:spacing w:val="13"/>
                <w:w w:val="101"/>
              </w:rPr>
              <w:t xml:space="preserve"> </w:t>
            </w:r>
            <w:r>
              <w:rPr>
                <w:rFonts w:ascii="宋体" w:hAnsi="宋体" w:eastAsia="宋体" w:cs="宋体"/>
                <w:spacing w:val="-3"/>
              </w:rPr>
              <w:t>处：从车马碧水库</w:t>
            </w:r>
            <w:r>
              <w:rPr>
                <w:rFonts w:ascii="宋体" w:hAnsi="宋体" w:eastAsia="宋体" w:cs="宋体"/>
              </w:rPr>
              <w:t>坝址至凤龙湾库尾之间约</w:t>
            </w:r>
            <w:r>
              <w:rPr>
                <w:rFonts w:ascii="宋体" w:hAnsi="宋体" w:eastAsia="宋体" w:cs="宋体"/>
                <w:spacing w:val="32"/>
              </w:rPr>
              <w:t xml:space="preserve"> </w:t>
            </w:r>
            <w:r>
              <w:t>11km</w:t>
            </w:r>
            <w:r>
              <w:rPr>
                <w:rFonts w:ascii="宋体" w:hAnsi="宋体" w:eastAsia="宋体" w:cs="宋体"/>
                <w:spacing w:val="-2"/>
              </w:rPr>
              <w:t>的河段；车马碧库尾以上约</w:t>
            </w:r>
            <w:r>
              <w:rPr>
                <w:rFonts w:ascii="宋体" w:hAnsi="宋体" w:eastAsia="宋体" w:cs="宋体"/>
                <w:spacing w:val="-43"/>
              </w:rPr>
              <w:t xml:space="preserve"> </w:t>
            </w:r>
            <w:r>
              <w:rPr>
                <w:spacing w:val="-2"/>
              </w:rPr>
              <w:t>7km</w:t>
            </w:r>
            <w:r>
              <w:rPr>
                <w:rFonts w:ascii="宋体" w:hAnsi="宋体" w:eastAsia="宋体" w:cs="宋体"/>
                <w:spacing w:val="-8"/>
              </w:rPr>
              <w:t>的河段。</w:t>
            </w:r>
          </w:p>
          <w:p w14:paraId="50EE0255">
            <w:pPr>
              <w:pStyle w:val="6"/>
              <w:spacing w:before="9" w:line="237" w:lineRule="auto"/>
              <w:ind w:left="60" w:right="41" w:firstLine="30"/>
              <w:jc w:val="both"/>
              <w:rPr>
                <w:rFonts w:ascii="宋体" w:hAnsi="宋体" w:eastAsia="宋体" w:cs="宋体"/>
              </w:rPr>
            </w:pPr>
            <w:r>
              <w:rPr>
                <w:rFonts w:ascii="宋体" w:hAnsi="宋体" w:eastAsia="宋体" w:cs="宋体"/>
                <w:spacing w:val="-6"/>
              </w:rPr>
              <w:t>白塔河支流</w:t>
            </w:r>
            <w:r>
              <w:rPr>
                <w:rFonts w:ascii="宋体" w:hAnsi="宋体" w:eastAsia="宋体" w:cs="宋体"/>
                <w:spacing w:val="-28"/>
              </w:rPr>
              <w:t xml:space="preserve"> </w:t>
            </w:r>
            <w:r>
              <w:rPr>
                <w:spacing w:val="-6"/>
              </w:rPr>
              <w:t>1</w:t>
            </w:r>
            <w:r>
              <w:rPr>
                <w:spacing w:val="13"/>
              </w:rPr>
              <w:t xml:space="preserve"> </w:t>
            </w:r>
            <w:r>
              <w:rPr>
                <w:rFonts w:ascii="宋体" w:hAnsi="宋体" w:eastAsia="宋体" w:cs="宋体"/>
                <w:spacing w:val="-6"/>
              </w:rPr>
              <w:t>处：从白塔河支流</w:t>
            </w:r>
            <w:r>
              <w:rPr>
                <w:rFonts w:ascii="宋体" w:hAnsi="宋体" w:eastAsia="宋体" w:cs="宋体"/>
              </w:rPr>
              <w:t>汇口至四旗田水库坝址约</w:t>
            </w:r>
            <w:r>
              <w:rPr>
                <w:rFonts w:ascii="宋体" w:hAnsi="宋体" w:eastAsia="宋体" w:cs="宋体"/>
                <w:spacing w:val="32"/>
              </w:rPr>
              <w:t xml:space="preserve"> </w:t>
            </w:r>
            <w:r>
              <w:t>16km</w:t>
            </w:r>
            <w:r>
              <w:rPr>
                <w:rFonts w:ascii="宋体" w:hAnsi="宋体" w:eastAsia="宋体" w:cs="宋体"/>
                <w:spacing w:val="-8"/>
              </w:rPr>
              <w:t>的河段。</w:t>
            </w:r>
          </w:p>
        </w:tc>
        <w:tc>
          <w:tcPr>
            <w:tcW w:w="1121" w:type="dxa"/>
            <w:tcBorders>
              <w:right w:val="single" w:color="000000" w:sz="12" w:space="0"/>
            </w:tcBorders>
            <w:vAlign w:val="top"/>
          </w:tcPr>
          <w:p w14:paraId="13FA3ECD">
            <w:pPr>
              <w:spacing w:line="355" w:lineRule="auto"/>
              <w:rPr>
                <w:rFonts w:ascii="Arial"/>
                <w:sz w:val="21"/>
              </w:rPr>
            </w:pPr>
          </w:p>
          <w:p w14:paraId="227A8750">
            <w:pPr>
              <w:spacing w:line="355" w:lineRule="auto"/>
              <w:rPr>
                <w:rFonts w:ascii="Arial"/>
                <w:sz w:val="21"/>
              </w:rPr>
            </w:pPr>
          </w:p>
          <w:p w14:paraId="247E1D4D">
            <w:pPr>
              <w:spacing w:before="68" w:line="243" w:lineRule="auto"/>
              <w:ind w:left="255" w:right="119" w:hanging="104"/>
              <w:rPr>
                <w:rFonts w:ascii="宋体" w:hAnsi="宋体" w:eastAsia="宋体" w:cs="宋体"/>
                <w:sz w:val="21"/>
                <w:szCs w:val="21"/>
              </w:rPr>
            </w:pPr>
            <w:r>
              <w:rPr>
                <w:rFonts w:ascii="宋体" w:hAnsi="宋体" w:eastAsia="宋体" w:cs="宋体"/>
                <w:spacing w:val="-3"/>
                <w:sz w:val="21"/>
                <w:szCs w:val="21"/>
              </w:rPr>
              <w:t>待政府批文出台</w:t>
            </w:r>
          </w:p>
        </w:tc>
      </w:tr>
      <w:tr w14:paraId="028F6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429" w:type="dxa"/>
            <w:vMerge w:val="continue"/>
            <w:tcBorders>
              <w:top w:val="nil"/>
              <w:left w:val="single" w:color="000000" w:sz="12" w:space="0"/>
              <w:bottom w:val="nil"/>
            </w:tcBorders>
            <w:textDirection w:val="tbRlV"/>
            <w:vAlign w:val="top"/>
          </w:tcPr>
          <w:p w14:paraId="311F3274">
            <w:pPr>
              <w:rPr>
                <w:rFonts w:ascii="Arial"/>
                <w:sz w:val="21"/>
              </w:rPr>
            </w:pPr>
          </w:p>
        </w:tc>
        <w:tc>
          <w:tcPr>
            <w:tcW w:w="849" w:type="dxa"/>
            <w:tcBorders>
              <w:bottom w:val="nil"/>
            </w:tcBorders>
            <w:vAlign w:val="top"/>
          </w:tcPr>
          <w:p w14:paraId="4DE65303">
            <w:pPr>
              <w:spacing w:before="108" w:line="181" w:lineRule="auto"/>
              <w:ind w:left="101"/>
              <w:rPr>
                <w:rFonts w:ascii="宋体" w:hAnsi="宋体" w:eastAsia="宋体" w:cs="宋体"/>
                <w:sz w:val="21"/>
                <w:szCs w:val="21"/>
              </w:rPr>
            </w:pPr>
            <w:r>
              <w:rPr>
                <w:rFonts w:ascii="宋体" w:hAnsi="宋体" w:eastAsia="宋体" w:cs="宋体"/>
                <w:spacing w:val="-3"/>
                <w:sz w:val="21"/>
                <w:szCs w:val="21"/>
              </w:rPr>
              <w:t>移民安</w:t>
            </w:r>
          </w:p>
        </w:tc>
        <w:tc>
          <w:tcPr>
            <w:tcW w:w="3036" w:type="dxa"/>
            <w:tcBorders>
              <w:bottom w:val="nil"/>
            </w:tcBorders>
            <w:vAlign w:val="top"/>
          </w:tcPr>
          <w:p w14:paraId="7CD99BDE">
            <w:pPr>
              <w:spacing w:before="108" w:line="181" w:lineRule="auto"/>
              <w:ind w:left="51"/>
              <w:rPr>
                <w:rFonts w:ascii="宋体" w:hAnsi="宋体" w:eastAsia="宋体" w:cs="宋体"/>
                <w:sz w:val="21"/>
                <w:szCs w:val="21"/>
              </w:rPr>
            </w:pPr>
            <w:r>
              <w:rPr>
                <w:rFonts w:ascii="宋体" w:hAnsi="宋体" w:eastAsia="宋体" w:cs="宋体"/>
                <w:spacing w:val="-2"/>
                <w:sz w:val="21"/>
                <w:szCs w:val="21"/>
              </w:rPr>
              <w:t>生活垃圾收集处置，生活污水采</w:t>
            </w:r>
          </w:p>
        </w:tc>
        <w:tc>
          <w:tcPr>
            <w:tcW w:w="3038" w:type="dxa"/>
            <w:tcBorders>
              <w:bottom w:val="nil"/>
            </w:tcBorders>
            <w:vAlign w:val="top"/>
          </w:tcPr>
          <w:p w14:paraId="2D4F7463">
            <w:pPr>
              <w:pStyle w:val="6"/>
              <w:spacing w:before="108" w:line="181" w:lineRule="auto"/>
              <w:ind w:left="62"/>
              <w:rPr>
                <w:rFonts w:ascii="宋体" w:hAnsi="宋体" w:eastAsia="宋体" w:cs="宋体"/>
              </w:rPr>
            </w:pPr>
            <w:r>
              <w:rPr>
                <w:rFonts w:ascii="宋体" w:hAnsi="宋体" w:eastAsia="宋体" w:cs="宋体"/>
                <w:spacing w:val="-1"/>
              </w:rPr>
              <w:t>生活垃圾收集处置，</w:t>
            </w:r>
            <w:r>
              <w:rPr>
                <w:spacing w:val="-1"/>
              </w:rPr>
              <w:t xml:space="preserve">9  </w:t>
            </w:r>
            <w:r>
              <w:rPr>
                <w:rFonts w:ascii="宋体" w:hAnsi="宋体" w:eastAsia="宋体" w:cs="宋体"/>
                <w:spacing w:val="-1"/>
              </w:rPr>
              <w:t>个集中安</w:t>
            </w:r>
          </w:p>
        </w:tc>
        <w:tc>
          <w:tcPr>
            <w:tcW w:w="1121" w:type="dxa"/>
            <w:tcBorders>
              <w:bottom w:val="nil"/>
              <w:right w:val="single" w:color="000000" w:sz="12" w:space="0"/>
            </w:tcBorders>
            <w:vAlign w:val="top"/>
          </w:tcPr>
          <w:p w14:paraId="0E655BB6">
            <w:pPr>
              <w:rPr>
                <w:rFonts w:ascii="Arial"/>
                <w:sz w:val="21"/>
              </w:rPr>
            </w:pPr>
          </w:p>
        </w:tc>
      </w:tr>
      <w:tr w14:paraId="0799C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429" w:type="dxa"/>
            <w:vMerge w:val="continue"/>
            <w:tcBorders>
              <w:top w:val="nil"/>
              <w:left w:val="single" w:color="000000" w:sz="12" w:space="0"/>
              <w:bottom w:val="nil"/>
            </w:tcBorders>
            <w:textDirection w:val="tbRlV"/>
            <w:vAlign w:val="top"/>
          </w:tcPr>
          <w:p w14:paraId="4228FEBE">
            <w:pPr>
              <w:rPr>
                <w:rFonts w:ascii="Arial"/>
                <w:sz w:val="21"/>
              </w:rPr>
            </w:pPr>
          </w:p>
        </w:tc>
        <w:tc>
          <w:tcPr>
            <w:tcW w:w="849" w:type="dxa"/>
            <w:tcBorders>
              <w:top w:val="nil"/>
              <w:bottom w:val="nil"/>
            </w:tcBorders>
            <w:vAlign w:val="top"/>
          </w:tcPr>
          <w:p w14:paraId="10D76D91">
            <w:pPr>
              <w:spacing w:before="57" w:line="180" w:lineRule="auto"/>
              <w:ind w:left="98"/>
              <w:rPr>
                <w:rFonts w:ascii="宋体" w:hAnsi="宋体" w:eastAsia="宋体" w:cs="宋体"/>
                <w:sz w:val="21"/>
                <w:szCs w:val="21"/>
              </w:rPr>
            </w:pPr>
            <w:r>
              <w:rPr>
                <w:rFonts w:ascii="宋体" w:hAnsi="宋体" w:eastAsia="宋体" w:cs="宋体"/>
                <w:spacing w:val="-2"/>
                <w:sz w:val="21"/>
                <w:szCs w:val="21"/>
              </w:rPr>
              <w:t>置环保</w:t>
            </w:r>
          </w:p>
        </w:tc>
        <w:tc>
          <w:tcPr>
            <w:tcW w:w="3036" w:type="dxa"/>
            <w:tcBorders>
              <w:top w:val="nil"/>
              <w:bottom w:val="nil"/>
            </w:tcBorders>
            <w:vAlign w:val="top"/>
          </w:tcPr>
          <w:p w14:paraId="52630AED">
            <w:pPr>
              <w:pStyle w:val="6"/>
              <w:spacing w:before="57" w:line="180" w:lineRule="auto"/>
              <w:ind w:left="51"/>
              <w:rPr>
                <w:rFonts w:ascii="宋体" w:hAnsi="宋体" w:eastAsia="宋体" w:cs="宋体"/>
              </w:rPr>
            </w:pPr>
            <w:r>
              <w:rPr>
                <w:rFonts w:ascii="宋体" w:hAnsi="宋体" w:eastAsia="宋体" w:cs="宋体"/>
                <w:spacing w:val="-9"/>
              </w:rPr>
              <w:t>用“氧化塘</w:t>
            </w:r>
            <w:r>
              <w:rPr>
                <w:spacing w:val="-9"/>
              </w:rPr>
              <w:t>+</w:t>
            </w:r>
            <w:r>
              <w:rPr>
                <w:rFonts w:ascii="宋体" w:hAnsi="宋体" w:eastAsia="宋体" w:cs="宋体"/>
                <w:spacing w:val="-9"/>
              </w:rPr>
              <w:t>快渗池”处理工艺处</w:t>
            </w:r>
          </w:p>
        </w:tc>
        <w:tc>
          <w:tcPr>
            <w:tcW w:w="3038" w:type="dxa"/>
            <w:tcBorders>
              <w:top w:val="nil"/>
              <w:bottom w:val="nil"/>
            </w:tcBorders>
            <w:vAlign w:val="top"/>
          </w:tcPr>
          <w:p w14:paraId="526160CB">
            <w:pPr>
              <w:pStyle w:val="6"/>
              <w:spacing w:before="57" w:line="180" w:lineRule="auto"/>
              <w:ind w:left="58"/>
            </w:pPr>
            <w:r>
              <w:rPr>
                <w:rFonts w:ascii="宋体" w:hAnsi="宋体" w:eastAsia="宋体" w:cs="宋体"/>
                <w:spacing w:val="5"/>
              </w:rPr>
              <w:t>置区生活污水均采用“氧化塘</w:t>
            </w:r>
            <w:r>
              <w:rPr>
                <w:spacing w:val="5"/>
              </w:rPr>
              <w:t>+</w:t>
            </w:r>
          </w:p>
        </w:tc>
        <w:tc>
          <w:tcPr>
            <w:tcW w:w="1121" w:type="dxa"/>
            <w:tcBorders>
              <w:top w:val="nil"/>
              <w:bottom w:val="nil"/>
              <w:right w:val="single" w:color="000000" w:sz="12" w:space="0"/>
            </w:tcBorders>
            <w:vAlign w:val="top"/>
          </w:tcPr>
          <w:p w14:paraId="1526948E">
            <w:pPr>
              <w:spacing w:before="57" w:line="180" w:lineRule="auto"/>
              <w:ind w:left="150"/>
              <w:rPr>
                <w:rFonts w:ascii="宋体" w:hAnsi="宋体" w:eastAsia="宋体" w:cs="宋体"/>
                <w:sz w:val="21"/>
                <w:szCs w:val="21"/>
              </w:rPr>
            </w:pPr>
            <w:r>
              <w:rPr>
                <w:rFonts w:ascii="宋体" w:hAnsi="宋体" w:eastAsia="宋体" w:cs="宋体"/>
                <w:spacing w:val="-3"/>
                <w:sz w:val="21"/>
                <w:szCs w:val="21"/>
              </w:rPr>
              <w:t>基本一致</w:t>
            </w:r>
          </w:p>
        </w:tc>
      </w:tr>
      <w:tr w14:paraId="77221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29" w:type="dxa"/>
            <w:vMerge w:val="continue"/>
            <w:tcBorders>
              <w:top w:val="nil"/>
              <w:left w:val="single" w:color="000000" w:sz="12" w:space="0"/>
              <w:bottom w:val="nil"/>
            </w:tcBorders>
            <w:textDirection w:val="tbRlV"/>
            <w:vAlign w:val="top"/>
          </w:tcPr>
          <w:p w14:paraId="71E6587D">
            <w:pPr>
              <w:rPr>
                <w:rFonts w:ascii="Arial"/>
                <w:sz w:val="21"/>
              </w:rPr>
            </w:pPr>
          </w:p>
        </w:tc>
        <w:tc>
          <w:tcPr>
            <w:tcW w:w="849" w:type="dxa"/>
            <w:tcBorders>
              <w:top w:val="nil"/>
            </w:tcBorders>
            <w:vAlign w:val="top"/>
          </w:tcPr>
          <w:p w14:paraId="0ACA6CEA">
            <w:pPr>
              <w:spacing w:before="57" w:line="220" w:lineRule="auto"/>
              <w:ind w:left="207"/>
              <w:rPr>
                <w:rFonts w:ascii="宋体" w:hAnsi="宋体" w:eastAsia="宋体" w:cs="宋体"/>
                <w:sz w:val="21"/>
                <w:szCs w:val="21"/>
              </w:rPr>
            </w:pPr>
            <w:r>
              <w:rPr>
                <w:rFonts w:ascii="宋体" w:hAnsi="宋体" w:eastAsia="宋体" w:cs="宋体"/>
                <w:spacing w:val="-3"/>
                <w:sz w:val="21"/>
                <w:szCs w:val="21"/>
              </w:rPr>
              <w:t>工程</w:t>
            </w:r>
          </w:p>
        </w:tc>
        <w:tc>
          <w:tcPr>
            <w:tcW w:w="3036" w:type="dxa"/>
            <w:tcBorders>
              <w:top w:val="nil"/>
            </w:tcBorders>
            <w:vAlign w:val="top"/>
          </w:tcPr>
          <w:p w14:paraId="67D72017">
            <w:pPr>
              <w:spacing w:before="56" w:line="230" w:lineRule="auto"/>
              <w:ind w:left="51"/>
              <w:rPr>
                <w:rFonts w:ascii="宋体" w:hAnsi="宋体" w:eastAsia="宋体" w:cs="宋体"/>
                <w:sz w:val="21"/>
                <w:szCs w:val="21"/>
              </w:rPr>
            </w:pPr>
            <w:r>
              <w:rPr>
                <w:rFonts w:ascii="宋体" w:hAnsi="宋体" w:eastAsia="宋体" w:cs="宋体"/>
                <w:spacing w:val="-11"/>
                <w:sz w:val="21"/>
                <w:szCs w:val="21"/>
              </w:rPr>
              <w:t>理。</w:t>
            </w:r>
          </w:p>
        </w:tc>
        <w:tc>
          <w:tcPr>
            <w:tcW w:w="3038" w:type="dxa"/>
            <w:tcBorders>
              <w:top w:val="nil"/>
            </w:tcBorders>
            <w:vAlign w:val="top"/>
          </w:tcPr>
          <w:p w14:paraId="42533426">
            <w:pPr>
              <w:spacing w:before="57" w:line="220" w:lineRule="auto"/>
              <w:ind w:left="63"/>
              <w:rPr>
                <w:rFonts w:ascii="宋体" w:hAnsi="宋体" w:eastAsia="宋体" w:cs="宋体"/>
                <w:sz w:val="21"/>
                <w:szCs w:val="21"/>
              </w:rPr>
            </w:pPr>
            <w:r>
              <w:rPr>
                <w:rFonts w:ascii="宋体" w:hAnsi="宋体" w:eastAsia="宋体" w:cs="宋体"/>
                <w:spacing w:val="-4"/>
                <w:sz w:val="21"/>
                <w:szCs w:val="21"/>
              </w:rPr>
              <w:t>快渗池”处理工艺处理。</w:t>
            </w:r>
          </w:p>
        </w:tc>
        <w:tc>
          <w:tcPr>
            <w:tcW w:w="1121" w:type="dxa"/>
            <w:tcBorders>
              <w:top w:val="nil"/>
              <w:right w:val="single" w:color="000000" w:sz="12" w:space="0"/>
            </w:tcBorders>
            <w:vAlign w:val="top"/>
          </w:tcPr>
          <w:p w14:paraId="265EE04D">
            <w:pPr>
              <w:rPr>
                <w:rFonts w:ascii="Arial"/>
                <w:sz w:val="21"/>
              </w:rPr>
            </w:pPr>
          </w:p>
        </w:tc>
      </w:tr>
      <w:tr w14:paraId="5D01E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1" w:hRule="atLeast"/>
        </w:trPr>
        <w:tc>
          <w:tcPr>
            <w:tcW w:w="429" w:type="dxa"/>
            <w:vMerge w:val="continue"/>
            <w:tcBorders>
              <w:top w:val="nil"/>
              <w:left w:val="single" w:color="000000" w:sz="12" w:space="0"/>
              <w:bottom w:val="single" w:color="000000" w:sz="12" w:space="0"/>
            </w:tcBorders>
            <w:textDirection w:val="tbRlV"/>
            <w:vAlign w:val="top"/>
          </w:tcPr>
          <w:p w14:paraId="5E8F214C">
            <w:pPr>
              <w:rPr>
                <w:rFonts w:ascii="Arial"/>
                <w:sz w:val="21"/>
              </w:rPr>
            </w:pPr>
          </w:p>
        </w:tc>
        <w:tc>
          <w:tcPr>
            <w:tcW w:w="849" w:type="dxa"/>
            <w:tcBorders>
              <w:bottom w:val="single" w:color="000000" w:sz="12" w:space="0"/>
            </w:tcBorders>
            <w:vAlign w:val="top"/>
          </w:tcPr>
          <w:p w14:paraId="47E374CD">
            <w:pPr>
              <w:spacing w:line="291" w:lineRule="auto"/>
              <w:rPr>
                <w:rFonts w:ascii="Arial"/>
                <w:sz w:val="21"/>
              </w:rPr>
            </w:pPr>
          </w:p>
          <w:p w14:paraId="5EB4CDD6">
            <w:pPr>
              <w:spacing w:line="292" w:lineRule="auto"/>
              <w:rPr>
                <w:rFonts w:ascii="Arial"/>
                <w:sz w:val="21"/>
              </w:rPr>
            </w:pPr>
          </w:p>
          <w:p w14:paraId="6E139779">
            <w:pPr>
              <w:spacing w:before="68" w:line="242" w:lineRule="auto"/>
              <w:ind w:left="102" w:right="116" w:hanging="2"/>
              <w:rPr>
                <w:rFonts w:ascii="宋体" w:hAnsi="宋体" w:eastAsia="宋体" w:cs="宋体"/>
                <w:sz w:val="21"/>
                <w:szCs w:val="21"/>
              </w:rPr>
            </w:pPr>
            <w:r>
              <w:rPr>
                <w:rFonts w:ascii="宋体" w:hAnsi="宋体" w:eastAsia="宋体" w:cs="宋体"/>
                <w:spacing w:val="-3"/>
                <w:sz w:val="21"/>
                <w:szCs w:val="21"/>
              </w:rPr>
              <w:t>环境治</w:t>
            </w:r>
            <w:r>
              <w:rPr>
                <w:rFonts w:ascii="宋体" w:hAnsi="宋体" w:eastAsia="宋体" w:cs="宋体"/>
                <w:spacing w:val="-4"/>
                <w:sz w:val="21"/>
                <w:szCs w:val="21"/>
              </w:rPr>
              <w:t>理工程</w:t>
            </w:r>
          </w:p>
        </w:tc>
        <w:tc>
          <w:tcPr>
            <w:tcW w:w="3036" w:type="dxa"/>
            <w:tcBorders>
              <w:bottom w:val="single" w:color="000000" w:sz="12" w:space="0"/>
            </w:tcBorders>
            <w:vAlign w:val="top"/>
          </w:tcPr>
          <w:p w14:paraId="15954917">
            <w:pPr>
              <w:pStyle w:val="6"/>
              <w:spacing w:before="112" w:line="239" w:lineRule="auto"/>
              <w:ind w:left="48" w:right="51" w:firstLine="3"/>
              <w:rPr>
                <w:rFonts w:ascii="宋体" w:hAnsi="宋体" w:eastAsia="宋体" w:cs="宋体"/>
              </w:rPr>
            </w:pPr>
            <w:r>
              <w:rPr>
                <w:rFonts w:ascii="宋体" w:hAnsi="宋体" w:eastAsia="宋体" w:cs="宋体"/>
                <w:spacing w:val="-2"/>
              </w:rPr>
              <w:t>建设马龙河旁路系统工程，马龙</w:t>
            </w:r>
            <w:r>
              <w:rPr>
                <w:rFonts w:ascii="宋体" w:hAnsi="宋体" w:eastAsia="宋体" w:cs="宋体"/>
                <w:spacing w:val="-4"/>
              </w:rPr>
              <w:t>河建设规模为</w:t>
            </w:r>
            <w:r>
              <w:rPr>
                <w:rFonts w:ascii="宋体" w:hAnsi="宋体" w:eastAsia="宋体" w:cs="宋体"/>
                <w:spacing w:val="-16"/>
              </w:rPr>
              <w:t xml:space="preserve"> </w:t>
            </w:r>
            <w:r>
              <w:rPr>
                <w:spacing w:val="-4"/>
              </w:rPr>
              <w:t>100000m</w:t>
            </w:r>
            <w:r>
              <w:rPr>
                <w:spacing w:val="-4"/>
                <w:position w:val="7"/>
                <w:sz w:val="14"/>
                <w:szCs w:val="14"/>
              </w:rPr>
              <w:t>3</w:t>
            </w:r>
            <w:r>
              <w:rPr>
                <w:spacing w:val="-4"/>
              </w:rPr>
              <w:t>/d</w:t>
            </w:r>
            <w:r>
              <w:rPr>
                <w:rFonts w:ascii="宋体" w:hAnsi="宋体" w:eastAsia="宋体" w:cs="宋体"/>
                <w:spacing w:val="-4"/>
              </w:rPr>
              <w:t>，车章</w:t>
            </w:r>
          </w:p>
          <w:p w14:paraId="1C8A2638">
            <w:pPr>
              <w:pStyle w:val="6"/>
              <w:spacing w:line="233" w:lineRule="auto"/>
              <w:ind w:left="48"/>
              <w:rPr>
                <w:rFonts w:ascii="宋体" w:hAnsi="宋体" w:eastAsia="宋体" w:cs="宋体"/>
              </w:rPr>
            </w:pPr>
            <w:r>
              <w:rPr>
                <w:rFonts w:ascii="宋体" w:hAnsi="宋体" w:eastAsia="宋体" w:cs="宋体"/>
              </w:rPr>
              <w:t xml:space="preserve">河建设规模为 </w:t>
            </w:r>
            <w:r>
              <w:t>10000m</w:t>
            </w:r>
            <w:r>
              <w:rPr>
                <w:position w:val="7"/>
                <w:sz w:val="14"/>
                <w:szCs w:val="14"/>
              </w:rPr>
              <w:t>3</w:t>
            </w:r>
            <w:r>
              <w:t>/d</w:t>
            </w:r>
            <w:r>
              <w:rPr>
                <w:rFonts w:ascii="宋体" w:hAnsi="宋体" w:eastAsia="宋体" w:cs="宋体"/>
              </w:rPr>
              <w:t>，白塔</w:t>
            </w:r>
          </w:p>
          <w:p w14:paraId="32FDC1BF">
            <w:pPr>
              <w:pStyle w:val="6"/>
              <w:spacing w:before="6" w:line="239" w:lineRule="auto"/>
              <w:ind w:left="50" w:right="50" w:hanging="2"/>
              <w:jc w:val="both"/>
              <w:rPr>
                <w:rFonts w:ascii="宋体" w:hAnsi="宋体" w:eastAsia="宋体" w:cs="宋体"/>
              </w:rPr>
            </w:pPr>
            <w:r>
              <w:rPr>
                <w:rFonts w:ascii="宋体" w:hAnsi="宋体" w:eastAsia="宋体" w:cs="宋体"/>
                <w:spacing w:val="-3"/>
              </w:rPr>
              <w:t>河建设规模为</w:t>
            </w:r>
            <w:r>
              <w:rPr>
                <w:rFonts w:ascii="宋体" w:hAnsi="宋体" w:eastAsia="宋体" w:cs="宋体"/>
                <w:spacing w:val="32"/>
              </w:rPr>
              <w:t xml:space="preserve"> </w:t>
            </w:r>
            <w:r>
              <w:rPr>
                <w:spacing w:val="-3"/>
              </w:rPr>
              <w:t>10000m</w:t>
            </w:r>
            <w:r>
              <w:rPr>
                <w:spacing w:val="-3"/>
                <w:position w:val="7"/>
                <w:sz w:val="14"/>
                <w:szCs w:val="14"/>
              </w:rPr>
              <w:t>3</w:t>
            </w:r>
            <w:r>
              <w:rPr>
                <w:spacing w:val="-3"/>
              </w:rPr>
              <w:t>/d</w:t>
            </w:r>
            <w:r>
              <w:rPr>
                <w:spacing w:val="-22"/>
              </w:rPr>
              <w:t xml:space="preserve"> </w:t>
            </w:r>
            <w:r>
              <w:rPr>
                <w:rFonts w:ascii="宋体" w:hAnsi="宋体" w:eastAsia="宋体" w:cs="宋体"/>
                <w:spacing w:val="-3"/>
              </w:rPr>
              <w:t>。处理</w:t>
            </w:r>
            <w:r>
              <w:rPr>
                <w:rFonts w:ascii="宋体" w:hAnsi="宋体" w:eastAsia="宋体" w:cs="宋体"/>
                <w:spacing w:val="14"/>
              </w:rPr>
              <w:t>工艺以挺水植物表面流湿地为</w:t>
            </w:r>
            <w:r>
              <w:rPr>
                <w:rFonts w:ascii="宋体" w:hAnsi="宋体" w:eastAsia="宋体" w:cs="宋体"/>
                <w:spacing w:val="-4"/>
              </w:rPr>
              <w:t>主体，组合少量氧化塘。</w:t>
            </w:r>
          </w:p>
        </w:tc>
        <w:tc>
          <w:tcPr>
            <w:tcW w:w="3038" w:type="dxa"/>
            <w:tcBorders>
              <w:bottom w:val="single" w:color="000000" w:sz="12" w:space="0"/>
            </w:tcBorders>
            <w:vAlign w:val="top"/>
          </w:tcPr>
          <w:p w14:paraId="1D219641">
            <w:pPr>
              <w:pStyle w:val="6"/>
              <w:spacing w:before="108"/>
              <w:ind w:left="60" w:right="42" w:firstLine="2"/>
              <w:jc w:val="both"/>
              <w:rPr>
                <w:rFonts w:ascii="宋体" w:hAnsi="宋体" w:eastAsia="宋体" w:cs="宋体"/>
              </w:rPr>
            </w:pPr>
            <w:r>
              <w:rPr>
                <w:rFonts w:ascii="宋体" w:hAnsi="宋体" w:eastAsia="宋体" w:cs="宋体"/>
                <w:spacing w:val="-2"/>
              </w:rPr>
              <w:t>建设马龙河旁路系统，马龙河处</w:t>
            </w:r>
            <w:r>
              <w:rPr>
                <w:rFonts w:ascii="宋体" w:hAnsi="宋体" w:eastAsia="宋体" w:cs="宋体"/>
                <w:spacing w:val="-4"/>
              </w:rPr>
              <w:t>理规模调整为</w:t>
            </w:r>
            <w:r>
              <w:rPr>
                <w:rFonts w:ascii="宋体" w:hAnsi="宋体" w:eastAsia="宋体" w:cs="宋体"/>
                <w:spacing w:val="-26"/>
              </w:rPr>
              <w:t xml:space="preserve"> </w:t>
            </w:r>
            <w:r>
              <w:rPr>
                <w:spacing w:val="-4"/>
              </w:rPr>
              <w:t>8000m</w:t>
            </w:r>
            <w:r>
              <w:rPr>
                <w:spacing w:val="-4"/>
                <w:position w:val="7"/>
                <w:sz w:val="14"/>
                <w:szCs w:val="14"/>
              </w:rPr>
              <w:t>3</w:t>
            </w:r>
            <w:r>
              <w:rPr>
                <w:spacing w:val="-4"/>
              </w:rPr>
              <w:t>/d</w:t>
            </w:r>
            <w:r>
              <w:rPr>
                <w:rFonts w:ascii="宋体" w:hAnsi="宋体" w:eastAsia="宋体" w:cs="宋体"/>
                <w:spacing w:val="-4"/>
              </w:rPr>
              <w:t>；车章河</w:t>
            </w:r>
            <w:r>
              <w:rPr>
                <w:rFonts w:ascii="宋体" w:hAnsi="宋体" w:eastAsia="宋体" w:cs="宋体"/>
                <w:spacing w:val="-2"/>
              </w:rPr>
              <w:t>旁路系统取消（占地被划为基本</w:t>
            </w:r>
            <w:r>
              <w:rPr>
                <w:rFonts w:ascii="宋体" w:hAnsi="宋体" w:eastAsia="宋体" w:cs="宋体"/>
                <w:spacing w:val="-4"/>
              </w:rPr>
              <w:t>农田</w:t>
            </w:r>
            <w:r>
              <w:rPr>
                <w:rFonts w:ascii="宋体" w:hAnsi="宋体" w:eastAsia="宋体" w:cs="宋体"/>
                <w:spacing w:val="16"/>
              </w:rPr>
              <w:t>），</w:t>
            </w:r>
            <w:r>
              <w:rPr>
                <w:rFonts w:ascii="宋体" w:hAnsi="宋体" w:eastAsia="宋体" w:cs="宋体"/>
                <w:spacing w:val="-4"/>
              </w:rPr>
              <w:t>白塔河建设规模调整为</w:t>
            </w:r>
            <w:r>
              <w:rPr>
                <w:spacing w:val="-6"/>
              </w:rPr>
              <w:t>6000m</w:t>
            </w:r>
            <w:r>
              <w:rPr>
                <w:spacing w:val="-6"/>
                <w:position w:val="7"/>
                <w:sz w:val="14"/>
                <w:szCs w:val="14"/>
              </w:rPr>
              <w:t>3</w:t>
            </w:r>
            <w:r>
              <w:rPr>
                <w:spacing w:val="-6"/>
              </w:rPr>
              <w:t>/d</w:t>
            </w:r>
            <w:r>
              <w:rPr>
                <w:rFonts w:ascii="宋体" w:hAnsi="宋体" w:eastAsia="宋体" w:cs="宋体"/>
                <w:spacing w:val="-6"/>
              </w:rPr>
              <w:t>。处理工艺采用“塘</w:t>
            </w:r>
            <w:r>
              <w:rPr>
                <w:spacing w:val="-6"/>
              </w:rPr>
              <w:t>+</w:t>
            </w:r>
            <w:r>
              <w:rPr>
                <w:rFonts w:ascii="宋体" w:hAnsi="宋体" w:eastAsia="宋体" w:cs="宋体"/>
                <w:spacing w:val="-6"/>
              </w:rPr>
              <w:t>表</w:t>
            </w:r>
            <w:r>
              <w:rPr>
                <w:rFonts w:ascii="宋体" w:hAnsi="宋体" w:eastAsia="宋体" w:cs="宋体"/>
                <w:spacing w:val="-7"/>
              </w:rPr>
              <w:t>流湿地”。</w:t>
            </w:r>
          </w:p>
        </w:tc>
        <w:tc>
          <w:tcPr>
            <w:tcW w:w="1121" w:type="dxa"/>
            <w:tcBorders>
              <w:bottom w:val="single" w:color="000000" w:sz="12" w:space="0"/>
              <w:right w:val="single" w:color="000000" w:sz="12" w:space="0"/>
            </w:tcBorders>
            <w:vAlign w:val="top"/>
          </w:tcPr>
          <w:p w14:paraId="576C2CA5">
            <w:pPr>
              <w:spacing w:line="359" w:lineRule="auto"/>
              <w:rPr>
                <w:rFonts w:ascii="Arial"/>
                <w:sz w:val="21"/>
              </w:rPr>
            </w:pPr>
          </w:p>
          <w:p w14:paraId="5E01F813">
            <w:pPr>
              <w:spacing w:line="360" w:lineRule="auto"/>
              <w:rPr>
                <w:rFonts w:ascii="Arial"/>
                <w:sz w:val="21"/>
              </w:rPr>
            </w:pPr>
          </w:p>
          <w:p w14:paraId="53158B91">
            <w:pPr>
              <w:spacing w:before="68" w:line="220" w:lineRule="auto"/>
              <w:ind w:left="151"/>
              <w:rPr>
                <w:rFonts w:ascii="宋体" w:hAnsi="宋体" w:eastAsia="宋体" w:cs="宋体"/>
                <w:sz w:val="21"/>
                <w:szCs w:val="21"/>
              </w:rPr>
            </w:pPr>
            <w:r>
              <w:rPr>
                <w:rFonts w:ascii="宋体" w:hAnsi="宋体" w:eastAsia="宋体" w:cs="宋体"/>
                <w:spacing w:val="-3"/>
                <w:sz w:val="21"/>
                <w:szCs w:val="21"/>
              </w:rPr>
              <w:t>规模调整</w:t>
            </w:r>
          </w:p>
        </w:tc>
      </w:tr>
    </w:tbl>
    <w:p w14:paraId="3AAB615A">
      <w:pPr>
        <w:pStyle w:val="2"/>
        <w:spacing w:before="232" w:line="226" w:lineRule="auto"/>
        <w:ind w:left="30"/>
        <w:rPr>
          <w:sz w:val="27"/>
          <w:szCs w:val="27"/>
        </w:rPr>
      </w:pPr>
      <w:r>
        <w:rPr>
          <w:rFonts w:ascii="Arial" w:hAnsi="Arial" w:eastAsia="Arial" w:cs="Arial"/>
          <w:spacing w:val="10"/>
          <w:position w:val="1"/>
          <w:sz w:val="21"/>
          <w:szCs w:val="21"/>
        </w:rPr>
        <w:t>3.1.3</w:t>
      </w:r>
      <w:r>
        <w:rPr>
          <w:rFonts w:ascii="Arial" w:hAnsi="Arial" w:eastAsia="Arial" w:cs="Arial"/>
          <w:spacing w:val="4"/>
          <w:position w:val="1"/>
          <w:sz w:val="21"/>
          <w:szCs w:val="21"/>
        </w:rPr>
        <w:t xml:space="preserve">     </w:t>
      </w:r>
      <w:r>
        <w:rPr>
          <w:b/>
          <w:bCs/>
          <w:spacing w:val="10"/>
          <w:position w:val="-1"/>
          <w:sz w:val="27"/>
          <w:szCs w:val="27"/>
        </w:rPr>
        <w:t>开发任务</w:t>
      </w:r>
    </w:p>
    <w:p w14:paraId="096FCF9E">
      <w:pPr>
        <w:pStyle w:val="2"/>
        <w:spacing w:before="265" w:line="339" w:lineRule="auto"/>
        <w:ind w:left="40" w:right="29" w:firstLine="480"/>
        <w:jc w:val="both"/>
        <w:rPr>
          <w:sz w:val="24"/>
          <w:szCs w:val="24"/>
        </w:rPr>
      </w:pPr>
      <w:r>
        <w:rPr>
          <w:spacing w:val="-4"/>
          <w:sz w:val="24"/>
          <w:szCs w:val="24"/>
        </w:rPr>
        <w:t>可研阶段车马碧水库工程的开发任务是：工业</w:t>
      </w:r>
      <w:r>
        <w:rPr>
          <w:spacing w:val="-5"/>
          <w:sz w:val="24"/>
          <w:szCs w:val="24"/>
        </w:rPr>
        <w:t>供水和农业灌溉供水，并为改善</w:t>
      </w:r>
      <w:r>
        <w:rPr>
          <w:spacing w:val="-4"/>
          <w:sz w:val="24"/>
          <w:szCs w:val="24"/>
        </w:rPr>
        <w:t>受水区河道内水环境创造条件。供水对象为曲靖市西城工业园区（工业供水）</w:t>
      </w:r>
      <w:r>
        <w:rPr>
          <w:spacing w:val="-5"/>
          <w:sz w:val="24"/>
          <w:szCs w:val="24"/>
        </w:rPr>
        <w:t>、旧</w:t>
      </w:r>
      <w:r>
        <w:rPr>
          <w:spacing w:val="-4"/>
          <w:sz w:val="24"/>
          <w:szCs w:val="24"/>
        </w:rPr>
        <w:t>县和马过河工业园区（工业用水）和曲靖灌区的农田（灌溉供水）。多年平均</w:t>
      </w:r>
      <w:r>
        <w:rPr>
          <w:spacing w:val="-5"/>
          <w:sz w:val="24"/>
          <w:szCs w:val="24"/>
        </w:rPr>
        <w:t>供水</w:t>
      </w:r>
    </w:p>
    <w:p w14:paraId="56C6A6EA">
      <w:pPr>
        <w:spacing w:line="339" w:lineRule="auto"/>
        <w:rPr>
          <w:sz w:val="24"/>
          <w:szCs w:val="24"/>
        </w:rPr>
        <w:sectPr>
          <w:footerReference r:id="rId36" w:type="default"/>
          <w:pgSz w:w="11907" w:h="16839"/>
          <w:pgMar w:top="1376" w:right="1669" w:bottom="1061" w:left="1671" w:header="999" w:footer="859" w:gutter="0"/>
          <w:cols w:space="720" w:num="1"/>
        </w:sectPr>
      </w:pPr>
    </w:p>
    <w:p w14:paraId="7A2DA96F">
      <w:pPr>
        <w:spacing w:line="453" w:lineRule="auto"/>
        <w:rPr>
          <w:rFonts w:ascii="Arial"/>
          <w:sz w:val="21"/>
        </w:rPr>
      </w:pPr>
    </w:p>
    <w:p w14:paraId="16B5A391">
      <w:pPr>
        <w:pStyle w:val="2"/>
        <w:spacing w:before="78" w:line="339" w:lineRule="auto"/>
        <w:ind w:left="38" w:right="45"/>
        <w:jc w:val="both"/>
        <w:rPr>
          <w:sz w:val="24"/>
          <w:szCs w:val="24"/>
        </w:rPr>
      </w:pPr>
      <w:r>
        <w:rPr>
          <w:spacing w:val="-2"/>
          <w:sz w:val="24"/>
          <w:szCs w:val="24"/>
        </w:rPr>
        <w:t>量</w:t>
      </w:r>
      <w:r>
        <w:rPr>
          <w:spacing w:val="-43"/>
          <w:sz w:val="24"/>
          <w:szCs w:val="24"/>
        </w:rPr>
        <w:t xml:space="preserve"> </w:t>
      </w:r>
      <w:r>
        <w:rPr>
          <w:rFonts w:ascii="Times New Roman" w:hAnsi="Times New Roman" w:eastAsia="Times New Roman" w:cs="Times New Roman"/>
          <w:spacing w:val="-2"/>
          <w:sz w:val="24"/>
          <w:szCs w:val="24"/>
        </w:rPr>
        <w:t>7103</w:t>
      </w:r>
      <w:r>
        <w:rPr>
          <w:rFonts w:ascii="Times New Roman" w:hAnsi="Times New Roman" w:eastAsia="Times New Roman" w:cs="Times New Roman"/>
          <w:spacing w:val="24"/>
          <w:sz w:val="24"/>
          <w:szCs w:val="24"/>
        </w:rPr>
        <w:t xml:space="preserve"> </w:t>
      </w:r>
      <w:r>
        <w:rPr>
          <w:spacing w:val="-2"/>
          <w:sz w:val="24"/>
          <w:szCs w:val="24"/>
        </w:rPr>
        <w:t>万</w:t>
      </w:r>
      <w:r>
        <w:rPr>
          <w:spacing w:val="-50"/>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spacing w:val="-2"/>
          <w:sz w:val="24"/>
          <w:szCs w:val="24"/>
        </w:rPr>
        <w:t>，其中供本区旧县、马过河工业园供水量</w:t>
      </w:r>
      <w:r>
        <w:rPr>
          <w:spacing w:val="-23"/>
          <w:sz w:val="24"/>
          <w:szCs w:val="24"/>
        </w:rPr>
        <w:t xml:space="preserve"> </w:t>
      </w:r>
      <w:r>
        <w:rPr>
          <w:rFonts w:ascii="Times New Roman" w:hAnsi="Times New Roman" w:eastAsia="Times New Roman" w:cs="Times New Roman"/>
          <w:spacing w:val="-2"/>
          <w:sz w:val="24"/>
          <w:szCs w:val="24"/>
        </w:rPr>
        <w:t>169</w:t>
      </w:r>
      <w:r>
        <w:rPr>
          <w:rFonts w:ascii="Times New Roman" w:hAnsi="Times New Roman" w:eastAsia="Times New Roman" w:cs="Times New Roman"/>
          <w:spacing w:val="24"/>
          <w:sz w:val="24"/>
          <w:szCs w:val="24"/>
        </w:rPr>
        <w:t xml:space="preserve"> </w:t>
      </w:r>
      <w:r>
        <w:rPr>
          <w:spacing w:val="-3"/>
          <w:sz w:val="24"/>
          <w:szCs w:val="24"/>
        </w:rPr>
        <w:t>万</w:t>
      </w:r>
      <w:r>
        <w:rPr>
          <w:spacing w:val="-48"/>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，外调供曲靖市</w:t>
      </w:r>
      <w:r>
        <w:rPr>
          <w:spacing w:val="-1"/>
          <w:sz w:val="24"/>
          <w:szCs w:val="24"/>
        </w:rPr>
        <w:t>西城工业园区工业用水</w:t>
      </w:r>
      <w:r>
        <w:rPr>
          <w:spacing w:val="-41"/>
          <w:sz w:val="24"/>
          <w:szCs w:val="24"/>
        </w:rPr>
        <w:t xml:space="preserve"> </w:t>
      </w:r>
      <w:r>
        <w:rPr>
          <w:rFonts w:ascii="Times New Roman" w:hAnsi="Times New Roman" w:eastAsia="Times New Roman" w:cs="Times New Roman"/>
          <w:spacing w:val="-1"/>
          <w:sz w:val="24"/>
          <w:szCs w:val="24"/>
        </w:rPr>
        <w:t>3029</w:t>
      </w:r>
      <w:r>
        <w:rPr>
          <w:rFonts w:ascii="Times New Roman" w:hAnsi="Times New Roman" w:eastAsia="Times New Roman" w:cs="Times New Roman"/>
          <w:spacing w:val="24"/>
          <w:sz w:val="24"/>
          <w:szCs w:val="24"/>
        </w:rPr>
        <w:t xml:space="preserve"> </w:t>
      </w:r>
      <w:r>
        <w:rPr>
          <w:spacing w:val="-1"/>
          <w:sz w:val="24"/>
          <w:szCs w:val="24"/>
        </w:rPr>
        <w:t>万</w:t>
      </w:r>
      <w:r>
        <w:rPr>
          <w:spacing w:val="-50"/>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spacing w:val="-1"/>
          <w:sz w:val="24"/>
          <w:szCs w:val="24"/>
        </w:rPr>
        <w:t>，供曲靖市农田灌溉用水</w:t>
      </w:r>
      <w:r>
        <w:rPr>
          <w:spacing w:val="-41"/>
          <w:sz w:val="24"/>
          <w:szCs w:val="24"/>
        </w:rPr>
        <w:t xml:space="preserve"> </w:t>
      </w:r>
      <w:r>
        <w:rPr>
          <w:rFonts w:ascii="Times New Roman" w:hAnsi="Times New Roman" w:eastAsia="Times New Roman" w:cs="Times New Roman"/>
          <w:spacing w:val="-1"/>
          <w:sz w:val="24"/>
          <w:szCs w:val="24"/>
        </w:rPr>
        <w:t>3905</w:t>
      </w:r>
      <w:r>
        <w:rPr>
          <w:rFonts w:ascii="Times New Roman" w:hAnsi="Times New Roman" w:eastAsia="Times New Roman" w:cs="Times New Roman"/>
          <w:spacing w:val="24"/>
          <w:sz w:val="24"/>
          <w:szCs w:val="24"/>
        </w:rPr>
        <w:t xml:space="preserve"> </w:t>
      </w:r>
      <w:r>
        <w:rPr>
          <w:spacing w:val="-1"/>
          <w:sz w:val="24"/>
          <w:szCs w:val="24"/>
        </w:rPr>
        <w:t>万</w:t>
      </w:r>
      <w:r>
        <w:rPr>
          <w:spacing w:val="-49"/>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spacing w:val="-57"/>
          <w:w w:val="91"/>
          <w:sz w:val="24"/>
          <w:szCs w:val="24"/>
        </w:rPr>
        <w:t>，（</w:t>
      </w:r>
      <w:r>
        <w:rPr>
          <w:spacing w:val="-1"/>
          <w:sz w:val="24"/>
          <w:szCs w:val="24"/>
        </w:rPr>
        <w:t>包括西</w:t>
      </w:r>
      <w:r>
        <w:rPr>
          <w:spacing w:val="-7"/>
          <w:sz w:val="24"/>
          <w:szCs w:val="24"/>
        </w:rPr>
        <w:t>河水库灌区</w:t>
      </w:r>
      <w:r>
        <w:rPr>
          <w:spacing w:val="-29"/>
          <w:sz w:val="24"/>
          <w:szCs w:val="24"/>
        </w:rPr>
        <w:t xml:space="preserve"> </w:t>
      </w:r>
      <w:r>
        <w:rPr>
          <w:rFonts w:ascii="Times New Roman" w:hAnsi="Times New Roman" w:eastAsia="Times New Roman" w:cs="Times New Roman"/>
          <w:spacing w:val="-7"/>
          <w:sz w:val="24"/>
          <w:szCs w:val="24"/>
        </w:rPr>
        <w:t>1413</w:t>
      </w:r>
      <w:r>
        <w:rPr>
          <w:rFonts w:ascii="Times New Roman" w:hAnsi="Times New Roman" w:eastAsia="Times New Roman" w:cs="Times New Roman"/>
          <w:spacing w:val="15"/>
          <w:w w:val="101"/>
          <w:sz w:val="24"/>
          <w:szCs w:val="24"/>
        </w:rPr>
        <w:t xml:space="preserve"> </w:t>
      </w:r>
      <w:r>
        <w:rPr>
          <w:spacing w:val="-7"/>
          <w:sz w:val="24"/>
          <w:szCs w:val="24"/>
        </w:rPr>
        <w:t>万</w:t>
      </w:r>
      <w:r>
        <w:rPr>
          <w:spacing w:val="-58"/>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spacing w:val="-7"/>
          <w:sz w:val="24"/>
          <w:szCs w:val="24"/>
        </w:rPr>
        <w:t>，潇湘水库灌区</w:t>
      </w:r>
      <w:r>
        <w:rPr>
          <w:spacing w:val="-32"/>
          <w:sz w:val="24"/>
          <w:szCs w:val="24"/>
        </w:rPr>
        <w:t xml:space="preserve"> </w:t>
      </w:r>
      <w:r>
        <w:rPr>
          <w:rFonts w:ascii="Times New Roman" w:hAnsi="Times New Roman" w:eastAsia="Times New Roman" w:cs="Times New Roman"/>
          <w:spacing w:val="-7"/>
          <w:sz w:val="24"/>
          <w:szCs w:val="24"/>
        </w:rPr>
        <w:t>1387</w:t>
      </w:r>
      <w:r>
        <w:rPr>
          <w:rFonts w:ascii="Times New Roman" w:hAnsi="Times New Roman" w:eastAsia="Times New Roman" w:cs="Times New Roman"/>
          <w:spacing w:val="16"/>
          <w:sz w:val="24"/>
          <w:szCs w:val="24"/>
        </w:rPr>
        <w:t xml:space="preserve"> </w:t>
      </w:r>
      <w:r>
        <w:rPr>
          <w:spacing w:val="-7"/>
          <w:sz w:val="24"/>
          <w:szCs w:val="24"/>
        </w:rPr>
        <w:t>万</w:t>
      </w:r>
      <w:r>
        <w:rPr>
          <w:spacing w:val="-57"/>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spacing w:val="-7"/>
          <w:sz w:val="24"/>
          <w:szCs w:val="24"/>
        </w:rPr>
        <w:t>，莲花田水库灌区</w:t>
      </w:r>
      <w:r>
        <w:rPr>
          <w:spacing w:val="-32"/>
          <w:sz w:val="24"/>
          <w:szCs w:val="24"/>
        </w:rPr>
        <w:t xml:space="preserve"> </w:t>
      </w:r>
      <w:r>
        <w:rPr>
          <w:rFonts w:ascii="Times New Roman" w:hAnsi="Times New Roman" w:eastAsia="Times New Roman" w:cs="Times New Roman"/>
          <w:spacing w:val="-7"/>
          <w:sz w:val="24"/>
          <w:szCs w:val="24"/>
        </w:rPr>
        <w:t>1105</w:t>
      </w:r>
      <w:r>
        <w:rPr>
          <w:rFonts w:ascii="Times New Roman" w:hAnsi="Times New Roman" w:eastAsia="Times New Roman" w:cs="Times New Roman"/>
          <w:spacing w:val="15"/>
          <w:w w:val="101"/>
          <w:sz w:val="24"/>
          <w:szCs w:val="24"/>
        </w:rPr>
        <w:t xml:space="preserve"> </w:t>
      </w:r>
      <w:r>
        <w:rPr>
          <w:spacing w:val="-7"/>
          <w:sz w:val="24"/>
          <w:szCs w:val="24"/>
        </w:rPr>
        <w:t>万</w:t>
      </w:r>
      <w:r>
        <w:rPr>
          <w:spacing w:val="-58"/>
          <w:sz w:val="24"/>
          <w:szCs w:val="24"/>
        </w:rPr>
        <w:t xml:space="preserve"> </w:t>
      </w:r>
      <w:r>
        <w:rPr>
          <w:rFonts w:ascii="Times New Roman" w:hAnsi="Times New Roman" w:eastAsia="Times New Roman" w:cs="Times New Roman"/>
          <w:spacing w:val="-8"/>
          <w:sz w:val="24"/>
          <w:szCs w:val="24"/>
        </w:rPr>
        <w:t>m</w:t>
      </w:r>
      <w:r>
        <w:rPr>
          <w:rFonts w:ascii="Times New Roman" w:hAnsi="Times New Roman" w:eastAsia="Times New Roman" w:cs="Times New Roman"/>
          <w:spacing w:val="-8"/>
          <w:position w:val="8"/>
          <w:sz w:val="15"/>
          <w:szCs w:val="15"/>
        </w:rPr>
        <w:t>3</w:t>
      </w:r>
      <w:r>
        <w:rPr>
          <w:spacing w:val="-62"/>
          <w:w w:val="93"/>
          <w:sz w:val="24"/>
          <w:szCs w:val="24"/>
        </w:rPr>
        <w:t>）。</w:t>
      </w:r>
    </w:p>
    <w:p w14:paraId="4DEE87B7">
      <w:pPr>
        <w:pStyle w:val="2"/>
        <w:spacing w:before="3" w:line="338" w:lineRule="auto"/>
        <w:ind w:left="38" w:right="29" w:firstLine="480"/>
        <w:jc w:val="both"/>
        <w:rPr>
          <w:sz w:val="24"/>
          <w:szCs w:val="24"/>
        </w:rPr>
      </w:pPr>
      <w:r>
        <w:rPr>
          <w:spacing w:val="-4"/>
          <w:sz w:val="24"/>
          <w:szCs w:val="24"/>
        </w:rPr>
        <w:t>环境影响报告书提出“考虑到车马碧水库本流域工</w:t>
      </w:r>
      <w:r>
        <w:rPr>
          <w:spacing w:val="-5"/>
          <w:sz w:val="24"/>
          <w:szCs w:val="24"/>
        </w:rPr>
        <w:t>业供水对象旧县、马过河工</w:t>
      </w:r>
      <w:r>
        <w:rPr>
          <w:spacing w:val="-4"/>
          <w:sz w:val="24"/>
          <w:szCs w:val="24"/>
        </w:rPr>
        <w:t>业园区位于牛栏江上游保护区中的重点污染控制区，不宜新建工业园区，加</w:t>
      </w:r>
      <w:r>
        <w:rPr>
          <w:spacing w:val="-5"/>
          <w:sz w:val="24"/>
          <w:szCs w:val="24"/>
        </w:rPr>
        <w:t>之此工</w:t>
      </w:r>
      <w:r>
        <w:rPr>
          <w:spacing w:val="-1"/>
          <w:sz w:val="24"/>
          <w:szCs w:val="24"/>
        </w:rPr>
        <w:t>业园区并未正式批复，故建议取消本项目向旧县、马</w:t>
      </w:r>
      <w:r>
        <w:rPr>
          <w:spacing w:val="-2"/>
          <w:sz w:val="24"/>
          <w:szCs w:val="24"/>
        </w:rPr>
        <w:t>过河工业园区供水</w:t>
      </w:r>
      <w:r>
        <w:rPr>
          <w:spacing w:val="-25"/>
          <w:sz w:val="24"/>
          <w:szCs w:val="24"/>
        </w:rPr>
        <w:t xml:space="preserve"> </w:t>
      </w:r>
      <w:r>
        <w:rPr>
          <w:rFonts w:ascii="Times New Roman" w:hAnsi="Times New Roman" w:eastAsia="Times New Roman" w:cs="Times New Roman"/>
          <w:spacing w:val="-2"/>
          <w:sz w:val="24"/>
          <w:szCs w:val="24"/>
        </w:rPr>
        <w:t>169</w:t>
      </w:r>
      <w:r>
        <w:rPr>
          <w:rFonts w:ascii="Times New Roman" w:hAnsi="Times New Roman" w:eastAsia="Times New Roman" w:cs="Times New Roman"/>
          <w:spacing w:val="21"/>
          <w:sz w:val="24"/>
          <w:szCs w:val="24"/>
        </w:rPr>
        <w:t xml:space="preserve"> </w:t>
      </w:r>
      <w:r>
        <w:rPr>
          <w:spacing w:val="-2"/>
          <w:sz w:val="24"/>
          <w:szCs w:val="24"/>
        </w:rPr>
        <w:t>万</w:t>
      </w:r>
      <w:r>
        <w:rPr>
          <w:spacing w:val="-52"/>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spacing w:val="-10"/>
          <w:sz w:val="24"/>
          <w:szCs w:val="24"/>
        </w:rPr>
        <w:t>的供水任务”。环评批复要求“根据《云南省牛栏江</w:t>
      </w:r>
      <w:r>
        <w:rPr>
          <w:spacing w:val="-11"/>
          <w:sz w:val="24"/>
          <w:szCs w:val="24"/>
        </w:rPr>
        <w:t>保护条例》，不得向位于重点污</w:t>
      </w:r>
      <w:r>
        <w:rPr>
          <w:spacing w:val="-4"/>
          <w:sz w:val="24"/>
          <w:szCs w:val="24"/>
        </w:rPr>
        <w:t>染控制区内的旧县、马过河工业园区供水，多出的水量优先用于车马碧水库</w:t>
      </w:r>
      <w:r>
        <w:rPr>
          <w:spacing w:val="-5"/>
          <w:sz w:val="24"/>
          <w:szCs w:val="24"/>
        </w:rPr>
        <w:t>坝下游</w:t>
      </w:r>
      <w:r>
        <w:rPr>
          <w:spacing w:val="-2"/>
          <w:sz w:val="24"/>
          <w:szCs w:val="24"/>
        </w:rPr>
        <w:t>河流生态用水”。</w:t>
      </w:r>
    </w:p>
    <w:p w14:paraId="5307F8FA">
      <w:pPr>
        <w:pStyle w:val="2"/>
        <w:spacing w:before="4" w:line="338" w:lineRule="auto"/>
        <w:ind w:left="31" w:right="28" w:firstLine="487"/>
        <w:jc w:val="both"/>
        <w:rPr>
          <w:sz w:val="24"/>
          <w:szCs w:val="24"/>
        </w:rPr>
      </w:pPr>
      <w:r>
        <w:rPr>
          <w:spacing w:val="-4"/>
          <w:sz w:val="24"/>
          <w:szCs w:val="24"/>
        </w:rPr>
        <w:t>根据《云南省曲靖市车马碧水库工程蓄水计划和调度</w:t>
      </w:r>
      <w:r>
        <w:rPr>
          <w:spacing w:val="-5"/>
          <w:sz w:val="24"/>
          <w:szCs w:val="24"/>
        </w:rPr>
        <w:t>方案》，实施阶段工程开</w:t>
      </w:r>
      <w:r>
        <w:rPr>
          <w:spacing w:val="-4"/>
          <w:sz w:val="24"/>
          <w:szCs w:val="24"/>
        </w:rPr>
        <w:t>发任务未发生变化，仍是工业供水和农业灌溉供水，并为改善受水区河道内水环境创造条件。供水对象主要为曲靖市西城工业园区（工业供水）和曲靖灌区（灌溉供</w:t>
      </w:r>
      <w:r>
        <w:rPr>
          <w:spacing w:val="-6"/>
          <w:sz w:val="24"/>
          <w:szCs w:val="24"/>
        </w:rPr>
        <w:t>水</w:t>
      </w:r>
      <w:r>
        <w:rPr>
          <w:spacing w:val="-42"/>
          <w:sz w:val="24"/>
          <w:szCs w:val="24"/>
        </w:rPr>
        <w:t>），</w:t>
      </w:r>
      <w:r>
        <w:rPr>
          <w:spacing w:val="-6"/>
          <w:sz w:val="24"/>
          <w:szCs w:val="24"/>
        </w:rPr>
        <w:t>多年平均供水量</w:t>
      </w:r>
      <w:r>
        <w:rPr>
          <w:spacing w:val="-51"/>
          <w:sz w:val="24"/>
          <w:szCs w:val="24"/>
        </w:rPr>
        <w:t xml:space="preserve"> </w:t>
      </w:r>
      <w:r>
        <w:rPr>
          <w:rFonts w:ascii="Times New Roman" w:hAnsi="Times New Roman" w:eastAsia="Times New Roman" w:cs="Times New Roman"/>
          <w:spacing w:val="-6"/>
          <w:sz w:val="24"/>
          <w:szCs w:val="24"/>
        </w:rPr>
        <w:t>7135</w:t>
      </w:r>
      <w:r>
        <w:rPr>
          <w:rFonts w:ascii="Times New Roman" w:hAnsi="Times New Roman" w:eastAsia="Times New Roman" w:cs="Times New Roman"/>
          <w:spacing w:val="15"/>
          <w:sz w:val="24"/>
          <w:szCs w:val="24"/>
        </w:rPr>
        <w:t xml:space="preserve"> </w:t>
      </w:r>
      <w:r>
        <w:rPr>
          <w:spacing w:val="-6"/>
          <w:sz w:val="24"/>
          <w:szCs w:val="24"/>
        </w:rPr>
        <w:t>万</w:t>
      </w:r>
      <w:r>
        <w:rPr>
          <w:spacing w:val="-58"/>
          <w:sz w:val="24"/>
          <w:szCs w:val="24"/>
        </w:rPr>
        <w:t xml:space="preserve"> </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6"/>
          <w:position w:val="8"/>
          <w:sz w:val="15"/>
          <w:szCs w:val="15"/>
        </w:rPr>
        <w:t>3</w:t>
      </w:r>
      <w:r>
        <w:rPr>
          <w:spacing w:val="-6"/>
          <w:sz w:val="24"/>
          <w:szCs w:val="24"/>
        </w:rPr>
        <w:t>，其中工业供水</w:t>
      </w:r>
      <w:r>
        <w:rPr>
          <w:spacing w:val="-50"/>
          <w:sz w:val="24"/>
          <w:szCs w:val="24"/>
        </w:rPr>
        <w:t xml:space="preserve"> </w:t>
      </w:r>
      <w:r>
        <w:rPr>
          <w:rFonts w:ascii="Times New Roman" w:hAnsi="Times New Roman" w:eastAsia="Times New Roman" w:cs="Times New Roman"/>
          <w:spacing w:val="-6"/>
          <w:sz w:val="24"/>
          <w:szCs w:val="24"/>
        </w:rPr>
        <w:t>37</w:t>
      </w:r>
      <w:r>
        <w:rPr>
          <w:rFonts w:ascii="Times New Roman" w:hAnsi="Times New Roman" w:eastAsia="Times New Roman" w:cs="Times New Roman"/>
          <w:spacing w:val="-7"/>
          <w:sz w:val="24"/>
          <w:szCs w:val="24"/>
        </w:rPr>
        <w:t>39</w:t>
      </w:r>
      <w:r>
        <w:rPr>
          <w:rFonts w:ascii="Times New Roman" w:hAnsi="Times New Roman" w:eastAsia="Times New Roman" w:cs="Times New Roman"/>
          <w:spacing w:val="16"/>
          <w:sz w:val="24"/>
          <w:szCs w:val="24"/>
        </w:rPr>
        <w:t xml:space="preserve"> </w:t>
      </w:r>
      <w:r>
        <w:rPr>
          <w:spacing w:val="-7"/>
          <w:sz w:val="24"/>
          <w:szCs w:val="24"/>
        </w:rPr>
        <w:t>万</w:t>
      </w:r>
      <w:r>
        <w:rPr>
          <w:spacing w:val="-57"/>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spacing w:val="-7"/>
          <w:sz w:val="24"/>
          <w:szCs w:val="24"/>
        </w:rPr>
        <w:t>，农业供水</w:t>
      </w:r>
      <w:r>
        <w:rPr>
          <w:spacing w:val="-50"/>
          <w:sz w:val="24"/>
          <w:szCs w:val="24"/>
        </w:rPr>
        <w:t xml:space="preserve"> </w:t>
      </w:r>
      <w:r>
        <w:rPr>
          <w:rFonts w:ascii="Times New Roman" w:hAnsi="Times New Roman" w:eastAsia="Times New Roman" w:cs="Times New Roman"/>
          <w:spacing w:val="-7"/>
          <w:sz w:val="24"/>
          <w:szCs w:val="24"/>
        </w:rPr>
        <w:t>3396</w:t>
      </w:r>
      <w:r>
        <w:rPr>
          <w:rFonts w:ascii="Times New Roman" w:hAnsi="Times New Roman" w:eastAsia="Times New Roman" w:cs="Times New Roman"/>
          <w:spacing w:val="15"/>
          <w:sz w:val="24"/>
          <w:szCs w:val="24"/>
        </w:rPr>
        <w:t xml:space="preserve"> </w:t>
      </w:r>
      <w:r>
        <w:rPr>
          <w:spacing w:val="-7"/>
          <w:sz w:val="24"/>
          <w:szCs w:val="24"/>
        </w:rPr>
        <w:t>万</w:t>
      </w:r>
      <w:r>
        <w:rPr>
          <w:spacing w:val="-57"/>
          <w:sz w:val="24"/>
          <w:szCs w:val="24"/>
        </w:rPr>
        <w:t xml:space="preserve"> </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3</w:t>
      </w:r>
      <w:r>
        <w:rPr>
          <w:rFonts w:ascii="Times New Roman" w:hAnsi="Times New Roman" w:eastAsia="Times New Roman" w:cs="Times New Roman"/>
          <w:position w:val="8"/>
          <w:sz w:val="15"/>
          <w:szCs w:val="15"/>
        </w:rPr>
        <w:t xml:space="preserve"> </w:t>
      </w:r>
      <w:r>
        <w:rPr>
          <w:spacing w:val="-4"/>
          <w:sz w:val="24"/>
          <w:szCs w:val="24"/>
        </w:rPr>
        <w:t>（其中，</w:t>
      </w:r>
      <w:r>
        <w:rPr>
          <w:spacing w:val="-70"/>
          <w:sz w:val="24"/>
          <w:szCs w:val="24"/>
        </w:rPr>
        <w:t xml:space="preserve"> </w:t>
      </w:r>
      <w:r>
        <w:rPr>
          <w:spacing w:val="-4"/>
          <w:sz w:val="24"/>
          <w:szCs w:val="24"/>
        </w:rPr>
        <w:t xml:space="preserve">西河水库灌区 </w:t>
      </w:r>
      <w:r>
        <w:rPr>
          <w:rFonts w:ascii="Times New Roman" w:hAnsi="Times New Roman" w:eastAsia="Times New Roman" w:cs="Times New Roman"/>
          <w:spacing w:val="-4"/>
          <w:sz w:val="24"/>
          <w:szCs w:val="24"/>
        </w:rPr>
        <w:t>1394</w:t>
      </w:r>
      <w:r>
        <w:rPr>
          <w:rFonts w:ascii="Times New Roman" w:hAnsi="Times New Roman" w:eastAsia="Times New Roman" w:cs="Times New Roman"/>
          <w:spacing w:val="31"/>
          <w:sz w:val="24"/>
          <w:szCs w:val="24"/>
        </w:rPr>
        <w:t xml:space="preserve"> </w:t>
      </w:r>
      <w:r>
        <w:rPr>
          <w:spacing w:val="-4"/>
          <w:sz w:val="24"/>
          <w:szCs w:val="24"/>
        </w:rPr>
        <w:t>万</w:t>
      </w:r>
      <w:r>
        <w:rPr>
          <w:spacing w:val="-44"/>
          <w:sz w:val="24"/>
          <w:szCs w:val="24"/>
        </w:rPr>
        <w:t xml:space="preserve"> </w:t>
      </w:r>
      <w:r>
        <w:rPr>
          <w:rFonts w:ascii="Times New Roman" w:hAnsi="Times New Roman" w:eastAsia="Times New Roman" w:cs="Times New Roman"/>
          <w:spacing w:val="-4"/>
          <w:sz w:val="24"/>
          <w:szCs w:val="24"/>
        </w:rPr>
        <w:t>m</w:t>
      </w:r>
      <w:r>
        <w:rPr>
          <w:spacing w:val="-4"/>
          <w:sz w:val="24"/>
          <w:szCs w:val="24"/>
        </w:rPr>
        <w:t>³</w:t>
      </w:r>
      <w:r>
        <w:rPr>
          <w:spacing w:val="-90"/>
          <w:sz w:val="24"/>
          <w:szCs w:val="24"/>
        </w:rPr>
        <w:t xml:space="preserve"> </w:t>
      </w:r>
      <w:r>
        <w:rPr>
          <w:spacing w:val="-4"/>
          <w:sz w:val="24"/>
          <w:szCs w:val="24"/>
        </w:rPr>
        <w:t>,</w:t>
      </w:r>
      <w:r>
        <w:rPr>
          <w:spacing w:val="62"/>
          <w:sz w:val="24"/>
          <w:szCs w:val="24"/>
        </w:rPr>
        <w:t xml:space="preserve"> </w:t>
      </w:r>
      <w:r>
        <w:rPr>
          <w:spacing w:val="-4"/>
          <w:sz w:val="24"/>
          <w:szCs w:val="24"/>
        </w:rPr>
        <w:t xml:space="preserve">潇湘水库灌区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5"/>
          <w:sz w:val="24"/>
          <w:szCs w:val="24"/>
        </w:rPr>
        <w:t>368</w:t>
      </w:r>
      <w:r>
        <w:rPr>
          <w:rFonts w:ascii="Times New Roman" w:hAnsi="Times New Roman" w:eastAsia="Times New Roman" w:cs="Times New Roman"/>
          <w:spacing w:val="31"/>
          <w:sz w:val="24"/>
          <w:szCs w:val="24"/>
        </w:rPr>
        <w:t xml:space="preserve"> </w:t>
      </w:r>
      <w:r>
        <w:rPr>
          <w:spacing w:val="-5"/>
          <w:sz w:val="24"/>
          <w:szCs w:val="24"/>
        </w:rPr>
        <w:t>万</w:t>
      </w:r>
      <w:r>
        <w:rPr>
          <w:spacing w:val="-42"/>
          <w:sz w:val="24"/>
          <w:szCs w:val="24"/>
        </w:rPr>
        <w:t xml:space="preserve"> </w:t>
      </w:r>
      <w:r>
        <w:rPr>
          <w:rFonts w:ascii="Times New Roman" w:hAnsi="Times New Roman" w:eastAsia="Times New Roman" w:cs="Times New Roman"/>
          <w:spacing w:val="-5"/>
          <w:sz w:val="24"/>
          <w:szCs w:val="24"/>
        </w:rPr>
        <w:t>m</w:t>
      </w:r>
      <w:r>
        <w:rPr>
          <w:spacing w:val="-5"/>
          <w:sz w:val="24"/>
          <w:szCs w:val="24"/>
        </w:rPr>
        <w:t>³</w:t>
      </w:r>
      <w:r>
        <w:rPr>
          <w:spacing w:val="-90"/>
          <w:sz w:val="24"/>
          <w:szCs w:val="24"/>
        </w:rPr>
        <w:t xml:space="preserve"> </w:t>
      </w:r>
      <w:r>
        <w:rPr>
          <w:spacing w:val="-5"/>
          <w:sz w:val="24"/>
          <w:szCs w:val="24"/>
        </w:rPr>
        <w:t>,莲花田水库灌区</w:t>
      </w:r>
      <w:r>
        <w:rPr>
          <w:rFonts w:ascii="Times New Roman" w:hAnsi="Times New Roman" w:eastAsia="Times New Roman" w:cs="Times New Roman"/>
          <w:sz w:val="24"/>
          <w:szCs w:val="24"/>
        </w:rPr>
        <w:t>634</w:t>
      </w:r>
      <w:r>
        <w:rPr>
          <w:rFonts w:ascii="Times New Roman" w:hAnsi="Times New Roman" w:eastAsia="Times New Roman" w:cs="Times New Roman"/>
          <w:spacing w:val="24"/>
          <w:w w:val="101"/>
          <w:sz w:val="24"/>
          <w:szCs w:val="24"/>
        </w:rPr>
        <w:t xml:space="preserve"> </w:t>
      </w:r>
      <w:r>
        <w:rPr>
          <w:sz w:val="24"/>
          <w:szCs w:val="24"/>
        </w:rPr>
        <w:t>万</w:t>
      </w:r>
      <w:r>
        <w:rPr>
          <w:spacing w:val="-49"/>
          <w:sz w:val="24"/>
          <w:szCs w:val="24"/>
        </w:rPr>
        <w:t xml:space="preserve"> </w:t>
      </w:r>
      <w:r>
        <w:rPr>
          <w:rFonts w:ascii="Times New Roman" w:hAnsi="Times New Roman" w:eastAsia="Times New Roman" w:cs="Times New Roman"/>
          <w:sz w:val="24"/>
          <w:szCs w:val="24"/>
        </w:rPr>
        <w:t>m</w:t>
      </w:r>
      <w:r>
        <w:rPr>
          <w:sz w:val="24"/>
          <w:szCs w:val="24"/>
        </w:rPr>
        <w:t>³</w:t>
      </w:r>
      <w:r>
        <w:rPr>
          <w:spacing w:val="-85"/>
          <w:sz w:val="24"/>
          <w:szCs w:val="24"/>
        </w:rPr>
        <w:t xml:space="preserve"> </w:t>
      </w:r>
      <w:r>
        <w:rPr>
          <w:sz w:val="24"/>
          <w:szCs w:val="24"/>
        </w:rPr>
        <w:t xml:space="preserve">),通过农业灌溉供水置换为曲靖主城区和陆良县城新增供给约 </w:t>
      </w:r>
      <w:r>
        <w:rPr>
          <w:rFonts w:ascii="Times New Roman" w:hAnsi="Times New Roman" w:eastAsia="Times New Roman" w:cs="Times New Roman"/>
          <w:sz w:val="24"/>
          <w:szCs w:val="24"/>
        </w:rPr>
        <w:t>3400</w:t>
      </w:r>
      <w:r>
        <w:rPr>
          <w:rFonts w:ascii="Times New Roman" w:hAnsi="Times New Roman" w:eastAsia="Times New Roman" w:cs="Times New Roman"/>
          <w:spacing w:val="25"/>
          <w:sz w:val="24"/>
          <w:szCs w:val="24"/>
        </w:rPr>
        <w:t xml:space="preserve"> </w:t>
      </w:r>
      <w:r>
        <w:rPr>
          <w:sz w:val="24"/>
          <w:szCs w:val="24"/>
        </w:rPr>
        <w:t>万</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27"/>
          <w:position w:val="8"/>
          <w:sz w:val="15"/>
          <w:szCs w:val="15"/>
        </w:rPr>
        <w:t xml:space="preserve"> </w:t>
      </w:r>
      <w:r>
        <w:rPr>
          <w:spacing w:val="-1"/>
          <w:sz w:val="24"/>
          <w:szCs w:val="24"/>
        </w:rPr>
        <w:t>优质水量。车马碧水库工程开发任务及供水对象见表</w:t>
      </w:r>
      <w:r>
        <w:rPr>
          <w:spacing w:val="-51"/>
          <w:sz w:val="24"/>
          <w:szCs w:val="24"/>
        </w:rPr>
        <w:t xml:space="preserve"> </w:t>
      </w:r>
      <w:r>
        <w:rPr>
          <w:rFonts w:ascii="Times New Roman" w:hAnsi="Times New Roman" w:eastAsia="Times New Roman" w:cs="Times New Roman"/>
          <w:spacing w:val="-1"/>
          <w:sz w:val="24"/>
          <w:szCs w:val="24"/>
        </w:rPr>
        <w:t>3.1-3</w:t>
      </w:r>
      <w:r>
        <w:rPr>
          <w:spacing w:val="-1"/>
          <w:sz w:val="24"/>
          <w:szCs w:val="24"/>
        </w:rPr>
        <w:t>。</w:t>
      </w:r>
    </w:p>
    <w:p w14:paraId="26D1A37E">
      <w:pPr>
        <w:pStyle w:val="2"/>
        <w:spacing w:before="1" w:line="225" w:lineRule="auto"/>
        <w:ind w:left="279"/>
        <w:rPr>
          <w:rFonts w:ascii="Times New Roman" w:hAnsi="Times New Roman" w:eastAsia="Times New Roman" w:cs="Times New Roman"/>
          <w:sz w:val="15"/>
          <w:szCs w:val="15"/>
        </w:rPr>
      </w:pPr>
      <w:r>
        <w:rPr>
          <w:b/>
          <w:bCs/>
          <w:spacing w:val="-1"/>
          <w:sz w:val="24"/>
          <w:szCs w:val="24"/>
        </w:rPr>
        <w:t>表</w:t>
      </w:r>
      <w:r>
        <w:rPr>
          <w:spacing w:val="-41"/>
          <w:sz w:val="24"/>
          <w:szCs w:val="24"/>
        </w:rPr>
        <w:t xml:space="preserve"> </w:t>
      </w:r>
      <w:r>
        <w:rPr>
          <w:rFonts w:ascii="Times New Roman" w:hAnsi="Times New Roman" w:eastAsia="Times New Roman" w:cs="Times New Roman"/>
          <w:b/>
          <w:bCs/>
          <w:spacing w:val="-1"/>
          <w:sz w:val="24"/>
          <w:szCs w:val="24"/>
        </w:rPr>
        <w:t xml:space="preserve">3.1-3                      </w:t>
      </w:r>
      <w:r>
        <w:rPr>
          <w:b/>
          <w:bCs/>
          <w:spacing w:val="-1"/>
          <w:sz w:val="24"/>
          <w:szCs w:val="24"/>
        </w:rPr>
        <w:t>车马碧水库工程开发任务及供水对象</w:t>
      </w:r>
      <w:r>
        <w:rPr>
          <w:spacing w:val="-1"/>
          <w:sz w:val="24"/>
          <w:szCs w:val="24"/>
        </w:rPr>
        <w:t xml:space="preserve">       </w:t>
      </w:r>
      <w:r>
        <w:rPr>
          <w:b/>
          <w:bCs/>
          <w:spacing w:val="-1"/>
          <w:sz w:val="24"/>
          <w:szCs w:val="24"/>
        </w:rPr>
        <w:t>单位：万</w:t>
      </w:r>
      <w:r>
        <w:rPr>
          <w:spacing w:val="-49"/>
          <w:sz w:val="24"/>
          <w:szCs w:val="24"/>
        </w:rPr>
        <w:t xml:space="preserve"> </w:t>
      </w:r>
      <w:r>
        <w:rPr>
          <w:rFonts w:ascii="Times New Roman" w:hAnsi="Times New Roman" w:eastAsia="Times New Roman" w:cs="Times New Roman"/>
          <w:b/>
          <w:bCs/>
          <w:spacing w:val="-1"/>
          <w:sz w:val="24"/>
          <w:szCs w:val="24"/>
        </w:rPr>
        <w:t>m</w:t>
      </w:r>
      <w:r>
        <w:rPr>
          <w:rFonts w:ascii="Times New Roman" w:hAnsi="Times New Roman" w:eastAsia="Times New Roman" w:cs="Times New Roman"/>
          <w:b/>
          <w:bCs/>
          <w:spacing w:val="-1"/>
          <w:position w:val="7"/>
          <w:sz w:val="15"/>
          <w:szCs w:val="15"/>
        </w:rPr>
        <w:t>3</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0"/>
        <w:gridCol w:w="424"/>
        <w:gridCol w:w="2102"/>
        <w:gridCol w:w="2125"/>
        <w:gridCol w:w="2254"/>
        <w:gridCol w:w="1128"/>
      </w:tblGrid>
      <w:tr w14:paraId="27FA5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966" w:type="dxa"/>
            <w:gridSpan w:val="3"/>
            <w:tcBorders>
              <w:top w:val="single" w:color="000000" w:sz="12" w:space="0"/>
              <w:left w:val="single" w:color="000000" w:sz="12" w:space="0"/>
            </w:tcBorders>
            <w:vAlign w:val="top"/>
          </w:tcPr>
          <w:p w14:paraId="0A3A69BE">
            <w:pPr>
              <w:spacing w:before="58" w:line="220" w:lineRule="auto"/>
              <w:ind w:left="1266"/>
              <w:rPr>
                <w:rFonts w:ascii="宋体" w:hAnsi="宋体" w:eastAsia="宋体" w:cs="宋体"/>
                <w:sz w:val="21"/>
                <w:szCs w:val="21"/>
              </w:rPr>
            </w:pPr>
            <w:r>
              <w:rPr>
                <w:rFonts w:ascii="宋体" w:hAnsi="宋体" w:eastAsia="宋体" w:cs="宋体"/>
                <w:spacing w:val="-3"/>
                <w:sz w:val="21"/>
                <w:szCs w:val="21"/>
              </w:rPr>
              <w:t>项目</w:t>
            </w:r>
          </w:p>
        </w:tc>
        <w:tc>
          <w:tcPr>
            <w:tcW w:w="2125" w:type="dxa"/>
            <w:tcBorders>
              <w:top w:val="single" w:color="000000" w:sz="12" w:space="0"/>
            </w:tcBorders>
            <w:vAlign w:val="top"/>
          </w:tcPr>
          <w:p w14:paraId="6A903894">
            <w:pPr>
              <w:spacing w:before="58" w:line="220" w:lineRule="auto"/>
              <w:ind w:left="645"/>
              <w:rPr>
                <w:rFonts w:ascii="宋体" w:hAnsi="宋体" w:eastAsia="宋体" w:cs="宋体"/>
                <w:sz w:val="21"/>
                <w:szCs w:val="21"/>
              </w:rPr>
            </w:pPr>
            <w:r>
              <w:rPr>
                <w:rFonts w:ascii="宋体" w:hAnsi="宋体" w:eastAsia="宋体" w:cs="宋体"/>
                <w:spacing w:val="-2"/>
                <w:sz w:val="21"/>
                <w:szCs w:val="21"/>
              </w:rPr>
              <w:t>环评阶段</w:t>
            </w:r>
          </w:p>
        </w:tc>
        <w:tc>
          <w:tcPr>
            <w:tcW w:w="2254" w:type="dxa"/>
            <w:tcBorders>
              <w:top w:val="single" w:color="000000" w:sz="12" w:space="0"/>
            </w:tcBorders>
            <w:vAlign w:val="top"/>
          </w:tcPr>
          <w:p w14:paraId="2A2BB280">
            <w:pPr>
              <w:spacing w:before="58" w:line="221" w:lineRule="auto"/>
              <w:ind w:left="720"/>
              <w:rPr>
                <w:rFonts w:ascii="宋体" w:hAnsi="宋体" w:eastAsia="宋体" w:cs="宋体"/>
                <w:sz w:val="21"/>
                <w:szCs w:val="21"/>
              </w:rPr>
            </w:pPr>
            <w:r>
              <w:rPr>
                <w:rFonts w:ascii="宋体" w:hAnsi="宋体" w:eastAsia="宋体" w:cs="宋体"/>
                <w:spacing w:val="-3"/>
                <w:sz w:val="21"/>
                <w:szCs w:val="21"/>
              </w:rPr>
              <w:t>设计阶段</w:t>
            </w:r>
          </w:p>
        </w:tc>
        <w:tc>
          <w:tcPr>
            <w:tcW w:w="1128" w:type="dxa"/>
            <w:tcBorders>
              <w:top w:val="single" w:color="000000" w:sz="12" w:space="0"/>
              <w:right w:val="single" w:color="000000" w:sz="12" w:space="0"/>
            </w:tcBorders>
            <w:vAlign w:val="top"/>
          </w:tcPr>
          <w:p w14:paraId="66C3FBB4">
            <w:pPr>
              <w:spacing w:before="58" w:line="221" w:lineRule="auto"/>
              <w:ind w:left="366"/>
              <w:rPr>
                <w:rFonts w:ascii="宋体" w:hAnsi="宋体" w:eastAsia="宋体" w:cs="宋体"/>
                <w:sz w:val="21"/>
                <w:szCs w:val="21"/>
              </w:rPr>
            </w:pPr>
            <w:r>
              <w:rPr>
                <w:rFonts w:ascii="宋体" w:hAnsi="宋体" w:eastAsia="宋体" w:cs="宋体"/>
                <w:spacing w:val="-3"/>
                <w:sz w:val="21"/>
                <w:szCs w:val="21"/>
              </w:rPr>
              <w:t>备注</w:t>
            </w:r>
          </w:p>
        </w:tc>
      </w:tr>
      <w:tr w14:paraId="61EDA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2966" w:type="dxa"/>
            <w:gridSpan w:val="3"/>
            <w:tcBorders>
              <w:left w:val="single" w:color="000000" w:sz="12" w:space="0"/>
            </w:tcBorders>
            <w:vAlign w:val="top"/>
          </w:tcPr>
          <w:p w14:paraId="1213907A">
            <w:pPr>
              <w:spacing w:line="395" w:lineRule="auto"/>
              <w:rPr>
                <w:rFonts w:ascii="Arial"/>
                <w:sz w:val="21"/>
              </w:rPr>
            </w:pPr>
          </w:p>
          <w:p w14:paraId="241E6506">
            <w:pPr>
              <w:spacing w:before="68" w:line="220" w:lineRule="auto"/>
              <w:ind w:left="1054"/>
              <w:rPr>
                <w:rFonts w:ascii="宋体" w:hAnsi="宋体" w:eastAsia="宋体" w:cs="宋体"/>
                <w:sz w:val="21"/>
                <w:szCs w:val="21"/>
              </w:rPr>
            </w:pPr>
            <w:r>
              <w:rPr>
                <w:rFonts w:ascii="宋体" w:hAnsi="宋体" w:eastAsia="宋体" w:cs="宋体"/>
                <w:spacing w:val="-2"/>
                <w:sz w:val="21"/>
                <w:szCs w:val="21"/>
              </w:rPr>
              <w:t>开发任务</w:t>
            </w:r>
          </w:p>
        </w:tc>
        <w:tc>
          <w:tcPr>
            <w:tcW w:w="2125" w:type="dxa"/>
            <w:vAlign w:val="top"/>
          </w:tcPr>
          <w:p w14:paraId="2F5AF33F">
            <w:pPr>
              <w:spacing w:before="57" w:line="219" w:lineRule="auto"/>
              <w:ind w:left="122"/>
              <w:rPr>
                <w:rFonts w:ascii="宋体" w:hAnsi="宋体" w:eastAsia="宋体" w:cs="宋体"/>
                <w:sz w:val="21"/>
                <w:szCs w:val="21"/>
              </w:rPr>
            </w:pPr>
            <w:r>
              <w:rPr>
                <w:rFonts w:ascii="宋体" w:hAnsi="宋体" w:eastAsia="宋体" w:cs="宋体"/>
                <w:spacing w:val="-2"/>
                <w:sz w:val="21"/>
                <w:szCs w:val="21"/>
              </w:rPr>
              <w:t>工业供水和农业灌溉</w:t>
            </w:r>
          </w:p>
          <w:p w14:paraId="59D1AA15">
            <w:pPr>
              <w:spacing w:before="23" w:line="219" w:lineRule="auto"/>
              <w:ind w:left="119"/>
              <w:rPr>
                <w:rFonts w:ascii="宋体" w:hAnsi="宋体" w:eastAsia="宋体" w:cs="宋体"/>
                <w:sz w:val="21"/>
                <w:szCs w:val="21"/>
              </w:rPr>
            </w:pPr>
            <w:r>
              <w:rPr>
                <w:rFonts w:ascii="宋体" w:hAnsi="宋体" w:eastAsia="宋体" w:cs="宋体"/>
                <w:spacing w:val="-1"/>
                <w:sz w:val="21"/>
                <w:szCs w:val="21"/>
              </w:rPr>
              <w:t>供水，并为改善受水</w:t>
            </w:r>
          </w:p>
          <w:p w14:paraId="7FEC5286">
            <w:pPr>
              <w:spacing w:before="22" w:line="220" w:lineRule="auto"/>
              <w:ind w:left="135"/>
              <w:rPr>
                <w:rFonts w:ascii="宋体" w:hAnsi="宋体" w:eastAsia="宋体" w:cs="宋体"/>
                <w:sz w:val="21"/>
                <w:szCs w:val="21"/>
              </w:rPr>
            </w:pPr>
            <w:r>
              <w:rPr>
                <w:rFonts w:ascii="宋体" w:hAnsi="宋体" w:eastAsia="宋体" w:cs="宋体"/>
                <w:spacing w:val="-3"/>
                <w:sz w:val="21"/>
                <w:szCs w:val="21"/>
              </w:rPr>
              <w:t>区河道内水环境创造</w:t>
            </w:r>
          </w:p>
          <w:p w14:paraId="3C1D73CD">
            <w:pPr>
              <w:spacing w:before="22" w:line="220" w:lineRule="auto"/>
              <w:ind w:left="857"/>
              <w:rPr>
                <w:rFonts w:ascii="宋体" w:hAnsi="宋体" w:eastAsia="宋体" w:cs="宋体"/>
                <w:sz w:val="21"/>
                <w:szCs w:val="21"/>
              </w:rPr>
            </w:pPr>
            <w:r>
              <w:rPr>
                <w:rFonts w:ascii="宋体" w:hAnsi="宋体" w:eastAsia="宋体" w:cs="宋体"/>
                <w:spacing w:val="-3"/>
                <w:sz w:val="21"/>
                <w:szCs w:val="21"/>
              </w:rPr>
              <w:t>条件</w:t>
            </w:r>
          </w:p>
        </w:tc>
        <w:tc>
          <w:tcPr>
            <w:tcW w:w="2254" w:type="dxa"/>
            <w:vAlign w:val="top"/>
          </w:tcPr>
          <w:p w14:paraId="68B793D6">
            <w:pPr>
              <w:spacing w:before="57" w:line="219" w:lineRule="auto"/>
              <w:ind w:left="194"/>
              <w:rPr>
                <w:rFonts w:ascii="宋体" w:hAnsi="宋体" w:eastAsia="宋体" w:cs="宋体"/>
                <w:sz w:val="21"/>
                <w:szCs w:val="21"/>
              </w:rPr>
            </w:pPr>
            <w:r>
              <w:rPr>
                <w:rFonts w:ascii="宋体" w:hAnsi="宋体" w:eastAsia="宋体" w:cs="宋体"/>
                <w:spacing w:val="-2"/>
                <w:sz w:val="21"/>
                <w:szCs w:val="21"/>
              </w:rPr>
              <w:t>工业供水和农业灌溉</w:t>
            </w:r>
          </w:p>
          <w:p w14:paraId="5381026F">
            <w:pPr>
              <w:spacing w:before="23" w:line="219" w:lineRule="auto"/>
              <w:ind w:left="191"/>
              <w:rPr>
                <w:rFonts w:ascii="宋体" w:hAnsi="宋体" w:eastAsia="宋体" w:cs="宋体"/>
                <w:sz w:val="21"/>
                <w:szCs w:val="21"/>
              </w:rPr>
            </w:pPr>
            <w:r>
              <w:rPr>
                <w:rFonts w:ascii="宋体" w:hAnsi="宋体" w:eastAsia="宋体" w:cs="宋体"/>
                <w:spacing w:val="-1"/>
                <w:sz w:val="21"/>
                <w:szCs w:val="21"/>
              </w:rPr>
              <w:t>供水，并为改善受水</w:t>
            </w:r>
          </w:p>
          <w:p w14:paraId="05F5239F">
            <w:pPr>
              <w:spacing w:before="22" w:line="220" w:lineRule="auto"/>
              <w:ind w:left="207"/>
              <w:rPr>
                <w:rFonts w:ascii="宋体" w:hAnsi="宋体" w:eastAsia="宋体" w:cs="宋体"/>
                <w:sz w:val="21"/>
                <w:szCs w:val="21"/>
              </w:rPr>
            </w:pPr>
            <w:r>
              <w:rPr>
                <w:rFonts w:ascii="宋体" w:hAnsi="宋体" w:eastAsia="宋体" w:cs="宋体"/>
                <w:spacing w:val="-3"/>
                <w:sz w:val="21"/>
                <w:szCs w:val="21"/>
              </w:rPr>
              <w:t>区河道内水环境创造</w:t>
            </w:r>
          </w:p>
          <w:p w14:paraId="0E9A6792">
            <w:pPr>
              <w:spacing w:before="22" w:line="220" w:lineRule="auto"/>
              <w:ind w:left="929"/>
              <w:rPr>
                <w:rFonts w:ascii="宋体" w:hAnsi="宋体" w:eastAsia="宋体" w:cs="宋体"/>
                <w:sz w:val="21"/>
                <w:szCs w:val="21"/>
              </w:rPr>
            </w:pPr>
            <w:r>
              <w:rPr>
                <w:rFonts w:ascii="宋体" w:hAnsi="宋体" w:eastAsia="宋体" w:cs="宋体"/>
                <w:spacing w:val="-3"/>
                <w:sz w:val="21"/>
                <w:szCs w:val="21"/>
              </w:rPr>
              <w:t>条件</w:t>
            </w:r>
          </w:p>
        </w:tc>
        <w:tc>
          <w:tcPr>
            <w:tcW w:w="1128" w:type="dxa"/>
            <w:tcBorders>
              <w:right w:val="single" w:color="000000" w:sz="12" w:space="0"/>
            </w:tcBorders>
            <w:vAlign w:val="top"/>
          </w:tcPr>
          <w:p w14:paraId="718793AB">
            <w:pPr>
              <w:spacing w:line="396" w:lineRule="auto"/>
              <w:rPr>
                <w:rFonts w:ascii="Arial"/>
                <w:sz w:val="21"/>
              </w:rPr>
            </w:pPr>
          </w:p>
          <w:p w14:paraId="3DC811AF">
            <w:pPr>
              <w:spacing w:before="68" w:line="220" w:lineRule="auto"/>
              <w:ind w:left="261"/>
              <w:rPr>
                <w:rFonts w:ascii="宋体" w:hAnsi="宋体" w:eastAsia="宋体" w:cs="宋体"/>
                <w:sz w:val="21"/>
                <w:szCs w:val="21"/>
              </w:rPr>
            </w:pPr>
            <w:r>
              <w:rPr>
                <w:rFonts w:ascii="宋体" w:hAnsi="宋体" w:eastAsia="宋体" w:cs="宋体"/>
                <w:spacing w:val="-3"/>
                <w:sz w:val="21"/>
                <w:szCs w:val="21"/>
              </w:rPr>
              <w:t>未变化</w:t>
            </w:r>
          </w:p>
        </w:tc>
      </w:tr>
      <w:tr w14:paraId="34C17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966" w:type="dxa"/>
            <w:gridSpan w:val="3"/>
            <w:tcBorders>
              <w:left w:val="single" w:color="000000" w:sz="12" w:space="0"/>
            </w:tcBorders>
            <w:vAlign w:val="top"/>
          </w:tcPr>
          <w:p w14:paraId="2DF71207">
            <w:pPr>
              <w:spacing w:before="64" w:line="219" w:lineRule="auto"/>
              <w:ind w:left="1053"/>
              <w:rPr>
                <w:rFonts w:ascii="宋体" w:hAnsi="宋体" w:eastAsia="宋体" w:cs="宋体"/>
                <w:sz w:val="21"/>
                <w:szCs w:val="21"/>
              </w:rPr>
            </w:pPr>
            <w:r>
              <w:rPr>
                <w:rFonts w:ascii="宋体" w:hAnsi="宋体" w:eastAsia="宋体" w:cs="宋体"/>
                <w:spacing w:val="-2"/>
                <w:sz w:val="21"/>
                <w:szCs w:val="21"/>
              </w:rPr>
              <w:t>供水水源</w:t>
            </w:r>
          </w:p>
        </w:tc>
        <w:tc>
          <w:tcPr>
            <w:tcW w:w="2125" w:type="dxa"/>
            <w:vAlign w:val="top"/>
          </w:tcPr>
          <w:p w14:paraId="6633AB81">
            <w:pPr>
              <w:spacing w:before="64" w:line="220" w:lineRule="auto"/>
              <w:ind w:left="231"/>
              <w:rPr>
                <w:rFonts w:ascii="宋体" w:hAnsi="宋体" w:eastAsia="宋体" w:cs="宋体"/>
                <w:sz w:val="21"/>
                <w:szCs w:val="21"/>
              </w:rPr>
            </w:pPr>
            <w:r>
              <w:rPr>
                <w:rFonts w:ascii="宋体" w:hAnsi="宋体" w:eastAsia="宋体" w:cs="宋体"/>
                <w:spacing w:val="-2"/>
                <w:sz w:val="21"/>
                <w:szCs w:val="21"/>
              </w:rPr>
              <w:t>马龙河车马碧水库</w:t>
            </w:r>
          </w:p>
        </w:tc>
        <w:tc>
          <w:tcPr>
            <w:tcW w:w="2254" w:type="dxa"/>
            <w:vAlign w:val="top"/>
          </w:tcPr>
          <w:p w14:paraId="798B48FA">
            <w:pPr>
              <w:spacing w:before="64" w:line="220" w:lineRule="auto"/>
              <w:ind w:left="304"/>
              <w:rPr>
                <w:rFonts w:ascii="宋体" w:hAnsi="宋体" w:eastAsia="宋体" w:cs="宋体"/>
                <w:sz w:val="21"/>
                <w:szCs w:val="21"/>
              </w:rPr>
            </w:pPr>
            <w:r>
              <w:rPr>
                <w:rFonts w:ascii="宋体" w:hAnsi="宋体" w:eastAsia="宋体" w:cs="宋体"/>
                <w:spacing w:val="-2"/>
                <w:sz w:val="21"/>
                <w:szCs w:val="21"/>
              </w:rPr>
              <w:t>马龙河车马碧水库</w:t>
            </w:r>
          </w:p>
        </w:tc>
        <w:tc>
          <w:tcPr>
            <w:tcW w:w="1128" w:type="dxa"/>
            <w:tcBorders>
              <w:right w:val="single" w:color="000000" w:sz="12" w:space="0"/>
            </w:tcBorders>
            <w:vAlign w:val="top"/>
          </w:tcPr>
          <w:p w14:paraId="4125FB60">
            <w:pPr>
              <w:spacing w:before="65" w:line="220" w:lineRule="auto"/>
              <w:ind w:left="261"/>
              <w:rPr>
                <w:rFonts w:ascii="宋体" w:hAnsi="宋体" w:eastAsia="宋体" w:cs="宋体"/>
                <w:sz w:val="21"/>
                <w:szCs w:val="21"/>
              </w:rPr>
            </w:pPr>
            <w:r>
              <w:rPr>
                <w:rFonts w:ascii="宋体" w:hAnsi="宋体" w:eastAsia="宋体" w:cs="宋体"/>
                <w:spacing w:val="-3"/>
                <w:sz w:val="21"/>
                <w:szCs w:val="21"/>
              </w:rPr>
              <w:t>未变化</w:t>
            </w:r>
          </w:p>
        </w:tc>
      </w:tr>
      <w:tr w14:paraId="166DD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restart"/>
            <w:tcBorders>
              <w:left w:val="single" w:color="000000" w:sz="12" w:space="0"/>
              <w:bottom w:val="nil"/>
            </w:tcBorders>
            <w:textDirection w:val="tbRlV"/>
            <w:vAlign w:val="top"/>
          </w:tcPr>
          <w:p w14:paraId="1B791547">
            <w:pPr>
              <w:spacing w:before="117" w:line="208" w:lineRule="auto"/>
              <w:ind w:left="589"/>
              <w:rPr>
                <w:rFonts w:ascii="宋体" w:hAnsi="宋体" w:eastAsia="宋体" w:cs="宋体"/>
                <w:sz w:val="21"/>
                <w:szCs w:val="21"/>
              </w:rPr>
            </w:pPr>
            <w:r>
              <w:rPr>
                <w:rFonts w:ascii="宋体" w:hAnsi="宋体" w:eastAsia="宋体" w:cs="宋体"/>
                <w:spacing w:val="17"/>
                <w:w w:val="117"/>
                <w:sz w:val="21"/>
                <w:szCs w:val="21"/>
              </w:rPr>
              <w:t>供水对象及规模</w:t>
            </w:r>
          </w:p>
        </w:tc>
        <w:tc>
          <w:tcPr>
            <w:tcW w:w="2526" w:type="dxa"/>
            <w:gridSpan w:val="2"/>
            <w:vAlign w:val="top"/>
          </w:tcPr>
          <w:p w14:paraId="72D12F9E">
            <w:pPr>
              <w:spacing w:before="66" w:line="219" w:lineRule="auto"/>
              <w:ind w:left="841"/>
              <w:rPr>
                <w:rFonts w:ascii="宋体" w:hAnsi="宋体" w:eastAsia="宋体" w:cs="宋体"/>
                <w:sz w:val="21"/>
                <w:szCs w:val="21"/>
              </w:rPr>
            </w:pPr>
            <w:r>
              <w:rPr>
                <w:rFonts w:ascii="宋体" w:hAnsi="宋体" w:eastAsia="宋体" w:cs="宋体"/>
                <w:spacing w:val="-4"/>
                <w:sz w:val="21"/>
                <w:szCs w:val="21"/>
              </w:rPr>
              <w:t>总供水量</w:t>
            </w:r>
          </w:p>
        </w:tc>
        <w:tc>
          <w:tcPr>
            <w:tcW w:w="2125" w:type="dxa"/>
            <w:vAlign w:val="top"/>
          </w:tcPr>
          <w:p w14:paraId="34AF3BA3">
            <w:pPr>
              <w:pStyle w:val="6"/>
              <w:spacing w:before="100" w:line="219" w:lineRule="auto"/>
              <w:ind w:left="854"/>
            </w:pPr>
            <w:r>
              <w:rPr>
                <w:spacing w:val="-2"/>
              </w:rPr>
              <w:t>7103</w:t>
            </w:r>
          </w:p>
        </w:tc>
        <w:tc>
          <w:tcPr>
            <w:tcW w:w="2254" w:type="dxa"/>
            <w:vAlign w:val="top"/>
          </w:tcPr>
          <w:p w14:paraId="13D6AD07">
            <w:pPr>
              <w:pStyle w:val="6"/>
              <w:spacing w:before="100" w:line="219" w:lineRule="auto"/>
              <w:ind w:left="927"/>
            </w:pPr>
            <w:r>
              <w:rPr>
                <w:spacing w:val="-2"/>
              </w:rPr>
              <w:t>7135</w:t>
            </w:r>
          </w:p>
        </w:tc>
        <w:tc>
          <w:tcPr>
            <w:tcW w:w="1128" w:type="dxa"/>
            <w:tcBorders>
              <w:right w:val="single" w:color="000000" w:sz="12" w:space="0"/>
            </w:tcBorders>
            <w:vAlign w:val="top"/>
          </w:tcPr>
          <w:p w14:paraId="7E63221E">
            <w:pPr>
              <w:spacing w:before="66" w:line="219" w:lineRule="auto"/>
              <w:ind w:left="153"/>
              <w:rPr>
                <w:rFonts w:ascii="宋体" w:hAnsi="宋体" w:eastAsia="宋体" w:cs="宋体"/>
                <w:sz w:val="21"/>
                <w:szCs w:val="21"/>
              </w:rPr>
            </w:pPr>
            <w:r>
              <w:rPr>
                <w:rFonts w:ascii="宋体" w:hAnsi="宋体" w:eastAsia="宋体" w:cs="宋体"/>
                <w:spacing w:val="-3"/>
                <w:sz w:val="21"/>
                <w:szCs w:val="21"/>
              </w:rPr>
              <w:t>基本未变</w:t>
            </w:r>
          </w:p>
        </w:tc>
      </w:tr>
      <w:tr w14:paraId="6462A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continue"/>
            <w:tcBorders>
              <w:top w:val="nil"/>
              <w:left w:val="single" w:color="000000" w:sz="12" w:space="0"/>
              <w:bottom w:val="nil"/>
            </w:tcBorders>
            <w:textDirection w:val="tbRlV"/>
            <w:vAlign w:val="top"/>
          </w:tcPr>
          <w:p w14:paraId="59ED84F0">
            <w:pPr>
              <w:rPr>
                <w:rFonts w:ascii="Arial"/>
                <w:sz w:val="21"/>
              </w:rPr>
            </w:pPr>
          </w:p>
        </w:tc>
        <w:tc>
          <w:tcPr>
            <w:tcW w:w="424" w:type="dxa"/>
            <w:vMerge w:val="restart"/>
            <w:tcBorders>
              <w:bottom w:val="nil"/>
            </w:tcBorders>
            <w:textDirection w:val="tbRlV"/>
            <w:vAlign w:val="top"/>
          </w:tcPr>
          <w:p w14:paraId="1567BCD4">
            <w:pPr>
              <w:spacing w:before="115" w:line="208" w:lineRule="auto"/>
              <w:ind w:left="141"/>
              <w:rPr>
                <w:rFonts w:ascii="宋体" w:hAnsi="宋体" w:eastAsia="宋体" w:cs="宋体"/>
                <w:sz w:val="21"/>
                <w:szCs w:val="21"/>
              </w:rPr>
            </w:pPr>
            <w:r>
              <w:rPr>
                <w:rFonts w:ascii="宋体" w:hAnsi="宋体" w:eastAsia="宋体" w:cs="宋体"/>
                <w:spacing w:val="46"/>
                <w:sz w:val="21"/>
                <w:szCs w:val="21"/>
              </w:rPr>
              <w:t>工业供水</w:t>
            </w:r>
          </w:p>
        </w:tc>
        <w:tc>
          <w:tcPr>
            <w:tcW w:w="2102" w:type="dxa"/>
            <w:vAlign w:val="top"/>
          </w:tcPr>
          <w:p w14:paraId="333E70A1">
            <w:pPr>
              <w:spacing w:before="70" w:line="219" w:lineRule="auto"/>
              <w:ind w:left="522"/>
              <w:rPr>
                <w:rFonts w:ascii="宋体" w:hAnsi="宋体" w:eastAsia="宋体" w:cs="宋体"/>
                <w:sz w:val="21"/>
                <w:szCs w:val="21"/>
              </w:rPr>
            </w:pPr>
            <w:r>
              <w:rPr>
                <w:rFonts w:ascii="宋体" w:hAnsi="宋体" w:eastAsia="宋体" w:cs="宋体"/>
                <w:spacing w:val="-2"/>
                <w:sz w:val="21"/>
                <w:szCs w:val="21"/>
              </w:rPr>
              <w:t>工业供水量</w:t>
            </w:r>
          </w:p>
        </w:tc>
        <w:tc>
          <w:tcPr>
            <w:tcW w:w="2125" w:type="dxa"/>
            <w:vAlign w:val="top"/>
          </w:tcPr>
          <w:p w14:paraId="35506767">
            <w:pPr>
              <w:pStyle w:val="6"/>
              <w:spacing w:before="104" w:line="215" w:lineRule="auto"/>
              <w:ind w:left="855"/>
            </w:pPr>
            <w:r>
              <w:rPr>
                <w:spacing w:val="-3"/>
              </w:rPr>
              <w:t>3198</w:t>
            </w:r>
          </w:p>
        </w:tc>
        <w:tc>
          <w:tcPr>
            <w:tcW w:w="2254" w:type="dxa"/>
            <w:vAlign w:val="top"/>
          </w:tcPr>
          <w:p w14:paraId="14584D38">
            <w:pPr>
              <w:pStyle w:val="6"/>
              <w:spacing w:before="104" w:line="215" w:lineRule="auto"/>
              <w:ind w:left="928"/>
            </w:pPr>
            <w:r>
              <w:rPr>
                <w:spacing w:val="-3"/>
              </w:rPr>
              <w:t>3739</w:t>
            </w:r>
          </w:p>
        </w:tc>
        <w:tc>
          <w:tcPr>
            <w:tcW w:w="1128" w:type="dxa"/>
            <w:tcBorders>
              <w:right w:val="single" w:color="000000" w:sz="12" w:space="0"/>
            </w:tcBorders>
            <w:vAlign w:val="top"/>
          </w:tcPr>
          <w:p w14:paraId="08ADBCD0">
            <w:pPr>
              <w:spacing w:before="70" w:line="219" w:lineRule="auto"/>
              <w:ind w:left="153"/>
              <w:rPr>
                <w:rFonts w:ascii="宋体" w:hAnsi="宋体" w:eastAsia="宋体" w:cs="宋体"/>
                <w:sz w:val="21"/>
                <w:szCs w:val="21"/>
              </w:rPr>
            </w:pPr>
            <w:r>
              <w:rPr>
                <w:rFonts w:ascii="宋体" w:hAnsi="宋体" w:eastAsia="宋体" w:cs="宋体"/>
                <w:spacing w:val="-2"/>
                <w:sz w:val="21"/>
                <w:szCs w:val="21"/>
              </w:rPr>
              <w:t>基本未变</w:t>
            </w:r>
          </w:p>
        </w:tc>
      </w:tr>
      <w:tr w14:paraId="34E4A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continue"/>
            <w:tcBorders>
              <w:top w:val="nil"/>
              <w:left w:val="single" w:color="000000" w:sz="12" w:space="0"/>
              <w:bottom w:val="nil"/>
            </w:tcBorders>
            <w:textDirection w:val="tbRlV"/>
            <w:vAlign w:val="top"/>
          </w:tcPr>
          <w:p w14:paraId="6514DE98">
            <w:pPr>
              <w:rPr>
                <w:rFonts w:ascii="Arial"/>
                <w:sz w:val="21"/>
              </w:rPr>
            </w:pPr>
          </w:p>
        </w:tc>
        <w:tc>
          <w:tcPr>
            <w:tcW w:w="424" w:type="dxa"/>
            <w:vMerge w:val="continue"/>
            <w:tcBorders>
              <w:top w:val="nil"/>
              <w:bottom w:val="nil"/>
            </w:tcBorders>
            <w:textDirection w:val="tbRlV"/>
            <w:vAlign w:val="top"/>
          </w:tcPr>
          <w:p w14:paraId="7D63B757">
            <w:pPr>
              <w:rPr>
                <w:rFonts w:ascii="Arial"/>
                <w:sz w:val="21"/>
              </w:rPr>
            </w:pPr>
          </w:p>
        </w:tc>
        <w:tc>
          <w:tcPr>
            <w:tcW w:w="2102" w:type="dxa"/>
            <w:vAlign w:val="top"/>
          </w:tcPr>
          <w:p w14:paraId="6BE56F48">
            <w:pPr>
              <w:spacing w:before="73" w:line="218" w:lineRule="auto"/>
              <w:ind w:left="124"/>
              <w:rPr>
                <w:rFonts w:ascii="宋体" w:hAnsi="宋体" w:eastAsia="宋体" w:cs="宋体"/>
                <w:sz w:val="21"/>
                <w:szCs w:val="21"/>
              </w:rPr>
            </w:pPr>
            <w:r>
              <w:rPr>
                <w:rFonts w:ascii="宋体" w:hAnsi="宋体" w:eastAsia="宋体" w:cs="宋体"/>
                <w:spacing w:val="-4"/>
                <w:sz w:val="21"/>
                <w:szCs w:val="21"/>
              </w:rPr>
              <w:t>曲靖市西城工业园区</w:t>
            </w:r>
          </w:p>
        </w:tc>
        <w:tc>
          <w:tcPr>
            <w:tcW w:w="2125" w:type="dxa"/>
            <w:vAlign w:val="top"/>
          </w:tcPr>
          <w:p w14:paraId="5E8F1F35">
            <w:pPr>
              <w:pStyle w:val="6"/>
              <w:spacing w:before="106" w:line="213" w:lineRule="auto"/>
              <w:ind w:left="855"/>
            </w:pPr>
            <w:r>
              <w:rPr>
                <w:spacing w:val="-2"/>
              </w:rPr>
              <w:t>3029</w:t>
            </w:r>
          </w:p>
        </w:tc>
        <w:tc>
          <w:tcPr>
            <w:tcW w:w="2254" w:type="dxa"/>
            <w:vAlign w:val="top"/>
          </w:tcPr>
          <w:p w14:paraId="732419BF">
            <w:pPr>
              <w:pStyle w:val="6"/>
              <w:spacing w:before="106" w:line="213" w:lineRule="auto"/>
              <w:ind w:left="928"/>
            </w:pPr>
            <w:r>
              <w:rPr>
                <w:spacing w:val="-3"/>
              </w:rPr>
              <w:t>3739</w:t>
            </w:r>
          </w:p>
        </w:tc>
        <w:tc>
          <w:tcPr>
            <w:tcW w:w="1128" w:type="dxa"/>
            <w:tcBorders>
              <w:right w:val="single" w:color="000000" w:sz="12" w:space="0"/>
            </w:tcBorders>
            <w:vAlign w:val="top"/>
          </w:tcPr>
          <w:p w14:paraId="32BD32FF">
            <w:pPr>
              <w:spacing w:before="73" w:line="218" w:lineRule="auto"/>
              <w:ind w:left="153"/>
              <w:rPr>
                <w:rFonts w:ascii="宋体" w:hAnsi="宋体" w:eastAsia="宋体" w:cs="宋体"/>
                <w:sz w:val="21"/>
                <w:szCs w:val="21"/>
              </w:rPr>
            </w:pPr>
            <w:r>
              <w:rPr>
                <w:rFonts w:ascii="宋体" w:hAnsi="宋体" w:eastAsia="宋体" w:cs="宋体"/>
                <w:spacing w:val="-2"/>
                <w:sz w:val="21"/>
                <w:szCs w:val="21"/>
              </w:rPr>
              <w:t>基本未变</w:t>
            </w:r>
          </w:p>
        </w:tc>
      </w:tr>
      <w:tr w14:paraId="26F21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440" w:type="dxa"/>
            <w:vMerge w:val="continue"/>
            <w:tcBorders>
              <w:top w:val="nil"/>
              <w:left w:val="single" w:color="000000" w:sz="12" w:space="0"/>
              <w:bottom w:val="nil"/>
            </w:tcBorders>
            <w:textDirection w:val="tbRlV"/>
            <w:vAlign w:val="top"/>
          </w:tcPr>
          <w:p w14:paraId="3C1D7391">
            <w:pPr>
              <w:rPr>
                <w:rFonts w:ascii="Arial"/>
                <w:sz w:val="21"/>
              </w:rPr>
            </w:pPr>
          </w:p>
        </w:tc>
        <w:tc>
          <w:tcPr>
            <w:tcW w:w="424" w:type="dxa"/>
            <w:vMerge w:val="continue"/>
            <w:tcBorders>
              <w:top w:val="nil"/>
            </w:tcBorders>
            <w:textDirection w:val="tbRlV"/>
            <w:vAlign w:val="top"/>
          </w:tcPr>
          <w:p w14:paraId="38033EE2">
            <w:pPr>
              <w:rPr>
                <w:rFonts w:ascii="Arial"/>
                <w:sz w:val="21"/>
              </w:rPr>
            </w:pPr>
          </w:p>
        </w:tc>
        <w:tc>
          <w:tcPr>
            <w:tcW w:w="2102" w:type="dxa"/>
            <w:vAlign w:val="top"/>
          </w:tcPr>
          <w:p w14:paraId="4E2376E9">
            <w:pPr>
              <w:spacing w:before="75" w:line="220" w:lineRule="auto"/>
              <w:ind w:left="123"/>
              <w:rPr>
                <w:rFonts w:ascii="宋体" w:hAnsi="宋体" w:eastAsia="宋体" w:cs="宋体"/>
                <w:sz w:val="21"/>
                <w:szCs w:val="21"/>
              </w:rPr>
            </w:pPr>
            <w:r>
              <w:rPr>
                <w:rFonts w:ascii="宋体" w:hAnsi="宋体" w:eastAsia="宋体" w:cs="宋体"/>
                <w:spacing w:val="-4"/>
                <w:sz w:val="21"/>
                <w:szCs w:val="21"/>
              </w:rPr>
              <w:t>旧县和马过河工业园</w:t>
            </w:r>
          </w:p>
          <w:p w14:paraId="3C955652">
            <w:pPr>
              <w:spacing w:before="21" w:line="215" w:lineRule="auto"/>
              <w:ind w:left="955"/>
              <w:rPr>
                <w:rFonts w:ascii="宋体" w:hAnsi="宋体" w:eastAsia="宋体" w:cs="宋体"/>
                <w:sz w:val="21"/>
                <w:szCs w:val="21"/>
              </w:rPr>
            </w:pPr>
            <w:r>
              <w:rPr>
                <w:rFonts w:ascii="宋体" w:hAnsi="宋体" w:eastAsia="宋体" w:cs="宋体"/>
                <w:sz w:val="21"/>
                <w:szCs w:val="21"/>
              </w:rPr>
              <w:t>区</w:t>
            </w:r>
          </w:p>
        </w:tc>
        <w:tc>
          <w:tcPr>
            <w:tcW w:w="2125" w:type="dxa"/>
            <w:vAlign w:val="top"/>
          </w:tcPr>
          <w:p w14:paraId="4C340D26">
            <w:pPr>
              <w:pStyle w:val="6"/>
              <w:spacing w:before="244" w:line="232" w:lineRule="auto"/>
              <w:ind w:left="924"/>
            </w:pPr>
            <w:r>
              <w:rPr>
                <w:spacing w:val="-6"/>
              </w:rPr>
              <w:t>169</w:t>
            </w:r>
          </w:p>
        </w:tc>
        <w:tc>
          <w:tcPr>
            <w:tcW w:w="2254" w:type="dxa"/>
            <w:vAlign w:val="top"/>
          </w:tcPr>
          <w:p w14:paraId="489A4ACF">
            <w:pPr>
              <w:spacing w:line="272" w:lineRule="auto"/>
              <w:rPr>
                <w:rFonts w:ascii="Arial"/>
                <w:sz w:val="21"/>
              </w:rPr>
            </w:pPr>
          </w:p>
          <w:p w14:paraId="688909E5">
            <w:pPr>
              <w:pStyle w:val="6"/>
              <w:spacing w:before="60" w:line="101" w:lineRule="exact"/>
              <w:ind w:left="1067"/>
            </w:pPr>
            <w:r>
              <w:rPr>
                <w:spacing w:val="-3"/>
                <w:position w:val="-2"/>
              </w:rPr>
              <w:t>--</w:t>
            </w:r>
          </w:p>
        </w:tc>
        <w:tc>
          <w:tcPr>
            <w:tcW w:w="1128" w:type="dxa"/>
            <w:tcBorders>
              <w:right w:val="single" w:color="000000" w:sz="12" w:space="0"/>
            </w:tcBorders>
            <w:vAlign w:val="top"/>
          </w:tcPr>
          <w:p w14:paraId="411DA935">
            <w:pPr>
              <w:spacing w:before="210" w:line="221" w:lineRule="auto"/>
              <w:ind w:left="366"/>
              <w:rPr>
                <w:rFonts w:ascii="宋体" w:hAnsi="宋体" w:eastAsia="宋体" w:cs="宋体"/>
                <w:sz w:val="21"/>
                <w:szCs w:val="21"/>
              </w:rPr>
            </w:pPr>
            <w:r>
              <w:rPr>
                <w:rFonts w:ascii="宋体" w:hAnsi="宋体" w:eastAsia="宋体" w:cs="宋体"/>
                <w:spacing w:val="-3"/>
                <w:sz w:val="21"/>
                <w:szCs w:val="21"/>
              </w:rPr>
              <w:t>取消</w:t>
            </w:r>
          </w:p>
        </w:tc>
      </w:tr>
      <w:tr w14:paraId="7A3BD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continue"/>
            <w:tcBorders>
              <w:top w:val="nil"/>
              <w:left w:val="single" w:color="000000" w:sz="12" w:space="0"/>
              <w:bottom w:val="nil"/>
            </w:tcBorders>
            <w:textDirection w:val="tbRlV"/>
            <w:vAlign w:val="top"/>
          </w:tcPr>
          <w:p w14:paraId="794DA5E5">
            <w:pPr>
              <w:rPr>
                <w:rFonts w:ascii="Arial"/>
                <w:sz w:val="21"/>
              </w:rPr>
            </w:pPr>
          </w:p>
        </w:tc>
        <w:tc>
          <w:tcPr>
            <w:tcW w:w="424" w:type="dxa"/>
            <w:vMerge w:val="restart"/>
            <w:tcBorders>
              <w:bottom w:val="nil"/>
            </w:tcBorders>
            <w:textDirection w:val="tbRlV"/>
            <w:vAlign w:val="top"/>
          </w:tcPr>
          <w:p w14:paraId="6B0BA31B">
            <w:pPr>
              <w:spacing w:before="115" w:line="208" w:lineRule="auto"/>
              <w:ind w:left="185"/>
              <w:rPr>
                <w:rFonts w:ascii="宋体" w:hAnsi="宋体" w:eastAsia="宋体" w:cs="宋体"/>
                <w:sz w:val="21"/>
                <w:szCs w:val="21"/>
              </w:rPr>
            </w:pPr>
            <w:r>
              <w:rPr>
                <w:rFonts w:ascii="宋体" w:hAnsi="宋体" w:eastAsia="宋体" w:cs="宋体"/>
                <w:spacing w:val="46"/>
                <w:sz w:val="21"/>
                <w:szCs w:val="21"/>
              </w:rPr>
              <w:t>农业供水</w:t>
            </w:r>
          </w:p>
        </w:tc>
        <w:tc>
          <w:tcPr>
            <w:tcW w:w="2102" w:type="dxa"/>
            <w:vAlign w:val="top"/>
          </w:tcPr>
          <w:p w14:paraId="1F80D6FC">
            <w:pPr>
              <w:spacing w:before="78" w:line="213" w:lineRule="auto"/>
              <w:ind w:left="334"/>
              <w:rPr>
                <w:rFonts w:ascii="宋体" w:hAnsi="宋体" w:eastAsia="宋体" w:cs="宋体"/>
                <w:sz w:val="21"/>
                <w:szCs w:val="21"/>
              </w:rPr>
            </w:pPr>
            <w:r>
              <w:rPr>
                <w:rFonts w:ascii="宋体" w:hAnsi="宋体" w:eastAsia="宋体" w:cs="宋体"/>
                <w:spacing w:val="-5"/>
                <w:sz w:val="21"/>
                <w:szCs w:val="21"/>
              </w:rPr>
              <w:t>曲靖灌区总水量</w:t>
            </w:r>
          </w:p>
        </w:tc>
        <w:tc>
          <w:tcPr>
            <w:tcW w:w="2125" w:type="dxa"/>
            <w:vAlign w:val="top"/>
          </w:tcPr>
          <w:p w14:paraId="768F31C3">
            <w:pPr>
              <w:pStyle w:val="6"/>
              <w:spacing w:before="112" w:line="207" w:lineRule="auto"/>
              <w:ind w:left="855"/>
            </w:pPr>
            <w:r>
              <w:rPr>
                <w:spacing w:val="-2"/>
              </w:rPr>
              <w:t>3905</w:t>
            </w:r>
          </w:p>
        </w:tc>
        <w:tc>
          <w:tcPr>
            <w:tcW w:w="2254" w:type="dxa"/>
            <w:vAlign w:val="top"/>
          </w:tcPr>
          <w:p w14:paraId="09863FBE">
            <w:pPr>
              <w:pStyle w:val="6"/>
              <w:spacing w:before="112" w:line="207" w:lineRule="auto"/>
              <w:ind w:left="928"/>
            </w:pPr>
            <w:r>
              <w:rPr>
                <w:spacing w:val="-2"/>
              </w:rPr>
              <w:t>3396</w:t>
            </w:r>
          </w:p>
        </w:tc>
        <w:tc>
          <w:tcPr>
            <w:tcW w:w="1128" w:type="dxa"/>
            <w:tcBorders>
              <w:right w:val="single" w:color="000000" w:sz="12" w:space="0"/>
            </w:tcBorders>
            <w:vAlign w:val="top"/>
          </w:tcPr>
          <w:p w14:paraId="545DDAC7">
            <w:pPr>
              <w:spacing w:before="78" w:line="213" w:lineRule="auto"/>
              <w:ind w:left="153"/>
              <w:rPr>
                <w:rFonts w:ascii="宋体" w:hAnsi="宋体" w:eastAsia="宋体" w:cs="宋体"/>
                <w:sz w:val="21"/>
                <w:szCs w:val="21"/>
              </w:rPr>
            </w:pPr>
            <w:r>
              <w:rPr>
                <w:rFonts w:ascii="宋体" w:hAnsi="宋体" w:eastAsia="宋体" w:cs="宋体"/>
                <w:spacing w:val="-2"/>
                <w:sz w:val="21"/>
                <w:szCs w:val="21"/>
              </w:rPr>
              <w:t>基本未变</w:t>
            </w:r>
          </w:p>
        </w:tc>
      </w:tr>
      <w:tr w14:paraId="08B64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continue"/>
            <w:tcBorders>
              <w:top w:val="nil"/>
              <w:left w:val="single" w:color="000000" w:sz="12" w:space="0"/>
              <w:bottom w:val="nil"/>
            </w:tcBorders>
            <w:textDirection w:val="tbRlV"/>
            <w:vAlign w:val="top"/>
          </w:tcPr>
          <w:p w14:paraId="45E12C30">
            <w:pPr>
              <w:rPr>
                <w:rFonts w:ascii="Arial"/>
                <w:sz w:val="21"/>
              </w:rPr>
            </w:pPr>
          </w:p>
        </w:tc>
        <w:tc>
          <w:tcPr>
            <w:tcW w:w="424" w:type="dxa"/>
            <w:vMerge w:val="continue"/>
            <w:tcBorders>
              <w:top w:val="nil"/>
              <w:bottom w:val="nil"/>
            </w:tcBorders>
            <w:textDirection w:val="tbRlV"/>
            <w:vAlign w:val="top"/>
          </w:tcPr>
          <w:p w14:paraId="7A3EFD7B">
            <w:pPr>
              <w:rPr>
                <w:rFonts w:ascii="Arial"/>
                <w:sz w:val="21"/>
              </w:rPr>
            </w:pPr>
          </w:p>
        </w:tc>
        <w:tc>
          <w:tcPr>
            <w:tcW w:w="2102" w:type="dxa"/>
            <w:vAlign w:val="top"/>
          </w:tcPr>
          <w:p w14:paraId="3BC4BDA7">
            <w:pPr>
              <w:spacing w:before="80" w:line="211" w:lineRule="auto"/>
              <w:ind w:left="97"/>
              <w:rPr>
                <w:rFonts w:ascii="宋体" w:hAnsi="宋体" w:eastAsia="宋体" w:cs="宋体"/>
                <w:sz w:val="21"/>
                <w:szCs w:val="21"/>
              </w:rPr>
            </w:pPr>
            <w:r>
              <w:rPr>
                <w:rFonts w:ascii="宋体" w:hAnsi="宋体" w:eastAsia="宋体" w:cs="宋体"/>
                <w:spacing w:val="-2"/>
                <w:sz w:val="21"/>
                <w:szCs w:val="21"/>
              </w:rPr>
              <w:t>①西河水库灌区</w:t>
            </w:r>
          </w:p>
        </w:tc>
        <w:tc>
          <w:tcPr>
            <w:tcW w:w="2125" w:type="dxa"/>
            <w:vAlign w:val="top"/>
          </w:tcPr>
          <w:p w14:paraId="3E731BED">
            <w:pPr>
              <w:pStyle w:val="6"/>
              <w:spacing w:before="114" w:line="205" w:lineRule="auto"/>
              <w:ind w:left="871"/>
            </w:pPr>
            <w:r>
              <w:rPr>
                <w:spacing w:val="-5"/>
              </w:rPr>
              <w:t>1413</w:t>
            </w:r>
          </w:p>
        </w:tc>
        <w:tc>
          <w:tcPr>
            <w:tcW w:w="2254" w:type="dxa"/>
            <w:vAlign w:val="top"/>
          </w:tcPr>
          <w:p w14:paraId="38810181">
            <w:pPr>
              <w:pStyle w:val="6"/>
              <w:spacing w:before="114" w:line="205" w:lineRule="auto"/>
              <w:ind w:left="943"/>
            </w:pPr>
            <w:r>
              <w:rPr>
                <w:spacing w:val="-5"/>
              </w:rPr>
              <w:t>1394</w:t>
            </w:r>
          </w:p>
        </w:tc>
        <w:tc>
          <w:tcPr>
            <w:tcW w:w="1128" w:type="dxa"/>
            <w:tcBorders>
              <w:right w:val="single" w:color="000000" w:sz="12" w:space="0"/>
            </w:tcBorders>
            <w:vAlign w:val="top"/>
          </w:tcPr>
          <w:p w14:paraId="494452BD">
            <w:pPr>
              <w:spacing w:before="80" w:line="211" w:lineRule="auto"/>
              <w:ind w:left="153"/>
              <w:rPr>
                <w:rFonts w:ascii="宋体" w:hAnsi="宋体" w:eastAsia="宋体" w:cs="宋体"/>
                <w:sz w:val="21"/>
                <w:szCs w:val="21"/>
              </w:rPr>
            </w:pPr>
            <w:r>
              <w:rPr>
                <w:rFonts w:ascii="宋体" w:hAnsi="宋体" w:eastAsia="宋体" w:cs="宋体"/>
                <w:spacing w:val="-2"/>
                <w:sz w:val="21"/>
                <w:szCs w:val="21"/>
              </w:rPr>
              <w:t>基本未变</w:t>
            </w:r>
          </w:p>
        </w:tc>
      </w:tr>
      <w:tr w14:paraId="7DE37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40" w:type="dxa"/>
            <w:vMerge w:val="continue"/>
            <w:tcBorders>
              <w:top w:val="nil"/>
              <w:left w:val="single" w:color="000000" w:sz="12" w:space="0"/>
              <w:bottom w:val="nil"/>
            </w:tcBorders>
            <w:textDirection w:val="tbRlV"/>
            <w:vAlign w:val="top"/>
          </w:tcPr>
          <w:p w14:paraId="799640CC">
            <w:pPr>
              <w:rPr>
                <w:rFonts w:ascii="Arial"/>
                <w:sz w:val="21"/>
              </w:rPr>
            </w:pPr>
          </w:p>
        </w:tc>
        <w:tc>
          <w:tcPr>
            <w:tcW w:w="424" w:type="dxa"/>
            <w:vMerge w:val="continue"/>
            <w:tcBorders>
              <w:top w:val="nil"/>
              <w:bottom w:val="nil"/>
            </w:tcBorders>
            <w:textDirection w:val="tbRlV"/>
            <w:vAlign w:val="top"/>
          </w:tcPr>
          <w:p w14:paraId="1E0160EB">
            <w:pPr>
              <w:rPr>
                <w:rFonts w:ascii="Arial"/>
                <w:sz w:val="21"/>
              </w:rPr>
            </w:pPr>
          </w:p>
        </w:tc>
        <w:tc>
          <w:tcPr>
            <w:tcW w:w="2102" w:type="dxa"/>
            <w:vAlign w:val="top"/>
          </w:tcPr>
          <w:p w14:paraId="0E316773">
            <w:pPr>
              <w:spacing w:before="83" w:line="209" w:lineRule="auto"/>
              <w:ind w:left="96"/>
              <w:rPr>
                <w:rFonts w:ascii="宋体" w:hAnsi="宋体" w:eastAsia="宋体" w:cs="宋体"/>
                <w:sz w:val="21"/>
                <w:szCs w:val="21"/>
              </w:rPr>
            </w:pPr>
            <w:r>
              <w:rPr>
                <w:rFonts w:ascii="宋体" w:hAnsi="宋体" w:eastAsia="宋体" w:cs="宋体"/>
                <w:spacing w:val="-1"/>
                <w:sz w:val="21"/>
                <w:szCs w:val="21"/>
              </w:rPr>
              <w:t>②潇湘水库灌区</w:t>
            </w:r>
          </w:p>
        </w:tc>
        <w:tc>
          <w:tcPr>
            <w:tcW w:w="2125" w:type="dxa"/>
            <w:vAlign w:val="top"/>
          </w:tcPr>
          <w:p w14:paraId="1155C4A9">
            <w:pPr>
              <w:pStyle w:val="6"/>
              <w:spacing w:before="116" w:line="203" w:lineRule="auto"/>
              <w:ind w:left="871"/>
            </w:pPr>
            <w:r>
              <w:rPr>
                <w:spacing w:val="-5"/>
              </w:rPr>
              <w:t>1387</w:t>
            </w:r>
          </w:p>
        </w:tc>
        <w:tc>
          <w:tcPr>
            <w:tcW w:w="2254" w:type="dxa"/>
            <w:vAlign w:val="top"/>
          </w:tcPr>
          <w:p w14:paraId="00AF4327">
            <w:pPr>
              <w:pStyle w:val="6"/>
              <w:spacing w:before="116" w:line="203" w:lineRule="auto"/>
              <w:ind w:left="943"/>
            </w:pPr>
            <w:r>
              <w:rPr>
                <w:spacing w:val="-5"/>
              </w:rPr>
              <w:t>1368</w:t>
            </w:r>
          </w:p>
        </w:tc>
        <w:tc>
          <w:tcPr>
            <w:tcW w:w="1128" w:type="dxa"/>
            <w:tcBorders>
              <w:right w:val="single" w:color="000000" w:sz="12" w:space="0"/>
            </w:tcBorders>
            <w:vAlign w:val="top"/>
          </w:tcPr>
          <w:p w14:paraId="55541C86">
            <w:pPr>
              <w:spacing w:before="83" w:line="209" w:lineRule="auto"/>
              <w:ind w:left="153"/>
              <w:rPr>
                <w:rFonts w:ascii="宋体" w:hAnsi="宋体" w:eastAsia="宋体" w:cs="宋体"/>
                <w:sz w:val="21"/>
                <w:szCs w:val="21"/>
              </w:rPr>
            </w:pPr>
            <w:r>
              <w:rPr>
                <w:rFonts w:ascii="宋体" w:hAnsi="宋体" w:eastAsia="宋体" w:cs="宋体"/>
                <w:spacing w:val="-2"/>
                <w:sz w:val="21"/>
                <w:szCs w:val="21"/>
              </w:rPr>
              <w:t>基本未变</w:t>
            </w:r>
          </w:p>
        </w:tc>
      </w:tr>
      <w:tr w14:paraId="38A9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40" w:type="dxa"/>
            <w:vMerge w:val="continue"/>
            <w:tcBorders>
              <w:top w:val="nil"/>
              <w:left w:val="single" w:color="000000" w:sz="12" w:space="0"/>
              <w:bottom w:val="single" w:color="000000" w:sz="12" w:space="0"/>
            </w:tcBorders>
            <w:textDirection w:val="tbRlV"/>
            <w:vAlign w:val="top"/>
          </w:tcPr>
          <w:p w14:paraId="554AD807">
            <w:pPr>
              <w:rPr>
                <w:rFonts w:ascii="Arial"/>
                <w:sz w:val="21"/>
              </w:rPr>
            </w:pPr>
          </w:p>
        </w:tc>
        <w:tc>
          <w:tcPr>
            <w:tcW w:w="424" w:type="dxa"/>
            <w:vMerge w:val="continue"/>
            <w:tcBorders>
              <w:top w:val="nil"/>
              <w:bottom w:val="single" w:color="000000" w:sz="12" w:space="0"/>
            </w:tcBorders>
            <w:textDirection w:val="tbRlV"/>
            <w:vAlign w:val="top"/>
          </w:tcPr>
          <w:p w14:paraId="0CEBF4CF">
            <w:pPr>
              <w:rPr>
                <w:rFonts w:ascii="Arial"/>
                <w:sz w:val="21"/>
              </w:rPr>
            </w:pPr>
          </w:p>
        </w:tc>
        <w:tc>
          <w:tcPr>
            <w:tcW w:w="2102" w:type="dxa"/>
            <w:tcBorders>
              <w:bottom w:val="single" w:color="000000" w:sz="12" w:space="0"/>
            </w:tcBorders>
            <w:vAlign w:val="top"/>
          </w:tcPr>
          <w:p w14:paraId="5E36C04B">
            <w:pPr>
              <w:spacing w:before="86" w:line="217" w:lineRule="auto"/>
              <w:ind w:left="96"/>
              <w:rPr>
                <w:rFonts w:ascii="宋体" w:hAnsi="宋体" w:eastAsia="宋体" w:cs="宋体"/>
                <w:sz w:val="21"/>
                <w:szCs w:val="21"/>
              </w:rPr>
            </w:pPr>
            <w:r>
              <w:rPr>
                <w:rFonts w:ascii="宋体" w:hAnsi="宋体" w:eastAsia="宋体" w:cs="宋体"/>
                <w:spacing w:val="-1"/>
                <w:sz w:val="21"/>
                <w:szCs w:val="21"/>
              </w:rPr>
              <w:t>③莲花田水库灌区</w:t>
            </w:r>
          </w:p>
        </w:tc>
        <w:tc>
          <w:tcPr>
            <w:tcW w:w="2125" w:type="dxa"/>
            <w:tcBorders>
              <w:bottom w:val="single" w:color="000000" w:sz="12" w:space="0"/>
            </w:tcBorders>
            <w:vAlign w:val="top"/>
          </w:tcPr>
          <w:p w14:paraId="76268B73">
            <w:pPr>
              <w:pStyle w:val="6"/>
              <w:spacing w:before="119" w:line="224" w:lineRule="auto"/>
              <w:ind w:left="875"/>
            </w:pPr>
            <w:r>
              <w:rPr>
                <w:spacing w:val="-8"/>
              </w:rPr>
              <w:t>1105</w:t>
            </w:r>
          </w:p>
        </w:tc>
        <w:tc>
          <w:tcPr>
            <w:tcW w:w="2254" w:type="dxa"/>
            <w:tcBorders>
              <w:bottom w:val="single" w:color="000000" w:sz="12" w:space="0"/>
            </w:tcBorders>
            <w:vAlign w:val="top"/>
          </w:tcPr>
          <w:p w14:paraId="5470C58D">
            <w:pPr>
              <w:pStyle w:val="6"/>
              <w:spacing w:before="119" w:line="224" w:lineRule="auto"/>
              <w:ind w:left="981"/>
            </w:pPr>
            <w:r>
              <w:rPr>
                <w:spacing w:val="-3"/>
              </w:rPr>
              <w:t>634</w:t>
            </w:r>
          </w:p>
        </w:tc>
        <w:tc>
          <w:tcPr>
            <w:tcW w:w="1128" w:type="dxa"/>
            <w:tcBorders>
              <w:bottom w:val="single" w:color="000000" w:sz="12" w:space="0"/>
              <w:right w:val="single" w:color="000000" w:sz="12" w:space="0"/>
            </w:tcBorders>
            <w:vAlign w:val="top"/>
          </w:tcPr>
          <w:p w14:paraId="10BBFCC1">
            <w:pPr>
              <w:spacing w:before="85" w:line="219" w:lineRule="auto"/>
              <w:ind w:left="153"/>
              <w:rPr>
                <w:rFonts w:ascii="宋体" w:hAnsi="宋体" w:eastAsia="宋体" w:cs="宋体"/>
                <w:sz w:val="21"/>
                <w:szCs w:val="21"/>
              </w:rPr>
            </w:pPr>
            <w:r>
              <w:rPr>
                <w:rFonts w:ascii="宋体" w:hAnsi="宋体" w:eastAsia="宋体" w:cs="宋体"/>
                <w:spacing w:val="-2"/>
                <w:sz w:val="21"/>
                <w:szCs w:val="21"/>
              </w:rPr>
              <w:t>基本未变</w:t>
            </w:r>
          </w:p>
        </w:tc>
      </w:tr>
    </w:tbl>
    <w:p w14:paraId="0BAC7E79">
      <w:pPr>
        <w:pStyle w:val="2"/>
        <w:spacing w:before="145" w:line="341" w:lineRule="auto"/>
        <w:ind w:left="39" w:right="31" w:firstLine="480"/>
        <w:rPr>
          <w:sz w:val="24"/>
          <w:szCs w:val="24"/>
        </w:rPr>
      </w:pPr>
      <w:r>
        <w:rPr>
          <w:spacing w:val="-4"/>
          <w:sz w:val="24"/>
          <w:szCs w:val="24"/>
        </w:rPr>
        <w:t>根据《云南省曲靖市车马碧水库工程蓄水计划和调度</w:t>
      </w:r>
      <w:r>
        <w:rPr>
          <w:spacing w:val="-5"/>
          <w:sz w:val="24"/>
          <w:szCs w:val="24"/>
        </w:rPr>
        <w:t>方案》，工业供水对象未</w:t>
      </w:r>
      <w:r>
        <w:rPr>
          <w:spacing w:val="-4"/>
          <w:sz w:val="24"/>
          <w:szCs w:val="24"/>
        </w:rPr>
        <w:t>包括旧县和马过河工业园区。</w:t>
      </w:r>
    </w:p>
    <w:p w14:paraId="28F21152">
      <w:pPr>
        <w:spacing w:line="341" w:lineRule="auto"/>
        <w:rPr>
          <w:sz w:val="24"/>
          <w:szCs w:val="24"/>
        </w:rPr>
        <w:sectPr>
          <w:footerReference r:id="rId37" w:type="default"/>
          <w:pgSz w:w="11907" w:h="16839"/>
          <w:pgMar w:top="1376" w:right="1669" w:bottom="1061" w:left="1671" w:header="999" w:footer="861" w:gutter="0"/>
          <w:cols w:space="720" w:num="1"/>
        </w:sectPr>
      </w:pPr>
    </w:p>
    <w:p w14:paraId="614EAD6D">
      <w:pPr>
        <w:spacing w:line="412" w:lineRule="auto"/>
        <w:rPr>
          <w:rFonts w:ascii="Arial"/>
          <w:sz w:val="21"/>
        </w:rPr>
      </w:pPr>
    </w:p>
    <w:p w14:paraId="75C45F8D">
      <w:pPr>
        <w:pStyle w:val="2"/>
        <w:spacing w:before="88" w:line="226" w:lineRule="auto"/>
        <w:ind w:left="30"/>
        <w:rPr>
          <w:sz w:val="27"/>
          <w:szCs w:val="27"/>
        </w:rPr>
      </w:pPr>
      <w:r>
        <w:rPr>
          <w:rFonts w:ascii="Arial" w:hAnsi="Arial" w:eastAsia="Arial" w:cs="Arial"/>
          <w:spacing w:val="3"/>
          <w:position w:val="1"/>
          <w:sz w:val="24"/>
          <w:szCs w:val="24"/>
        </w:rPr>
        <w:t>3.1.4</w:t>
      </w:r>
      <w:r>
        <w:rPr>
          <w:rFonts w:ascii="Arial" w:hAnsi="Arial" w:eastAsia="Arial" w:cs="Arial"/>
          <w:spacing w:val="10"/>
          <w:position w:val="1"/>
          <w:sz w:val="24"/>
          <w:szCs w:val="24"/>
        </w:rPr>
        <w:t xml:space="preserve">    </w:t>
      </w:r>
      <w:r>
        <w:rPr>
          <w:b/>
          <w:bCs/>
          <w:spacing w:val="3"/>
          <w:position w:val="-1"/>
          <w:sz w:val="27"/>
          <w:szCs w:val="27"/>
        </w:rPr>
        <w:t>工程规模</w:t>
      </w:r>
    </w:p>
    <w:p w14:paraId="1BBD4D7C">
      <w:pPr>
        <w:pStyle w:val="2"/>
        <w:spacing w:before="264" w:line="338" w:lineRule="auto"/>
        <w:ind w:left="40" w:firstLine="480"/>
        <w:jc w:val="both"/>
        <w:rPr>
          <w:sz w:val="24"/>
          <w:szCs w:val="24"/>
        </w:rPr>
      </w:pPr>
      <w:r>
        <w:rPr>
          <w:spacing w:val="-3"/>
          <w:sz w:val="24"/>
          <w:szCs w:val="24"/>
        </w:rPr>
        <w:t>车马碧水库工程等别为Ⅱ等，工程规模为大</w:t>
      </w:r>
      <w:r>
        <w:rPr>
          <w:spacing w:val="-4"/>
          <w:sz w:val="24"/>
          <w:szCs w:val="24"/>
        </w:rPr>
        <w:t>（</w:t>
      </w:r>
      <w:r>
        <w:rPr>
          <w:rFonts w:ascii="Times New Roman" w:hAnsi="Times New Roman" w:eastAsia="Times New Roman" w:cs="Times New Roman"/>
          <w:spacing w:val="-4"/>
          <w:sz w:val="24"/>
          <w:szCs w:val="24"/>
        </w:rPr>
        <w:t>2</w:t>
      </w:r>
      <w:r>
        <w:rPr>
          <w:spacing w:val="-4"/>
          <w:sz w:val="24"/>
          <w:szCs w:val="24"/>
        </w:rPr>
        <w:t xml:space="preserve">）型，总库容为 </w:t>
      </w:r>
      <w:r>
        <w:rPr>
          <w:rFonts w:ascii="Times New Roman" w:hAnsi="Times New Roman" w:eastAsia="Times New Roman" w:cs="Times New Roman"/>
          <w:spacing w:val="-4"/>
          <w:sz w:val="24"/>
          <w:szCs w:val="24"/>
        </w:rPr>
        <w:t>12449</w:t>
      </w:r>
      <w:r>
        <w:rPr>
          <w:rFonts w:ascii="Times New Roman" w:hAnsi="Times New Roman" w:eastAsia="Times New Roman" w:cs="Times New Roman"/>
          <w:spacing w:val="21"/>
          <w:w w:val="101"/>
          <w:sz w:val="24"/>
          <w:szCs w:val="24"/>
        </w:rPr>
        <w:t xml:space="preserve"> </w:t>
      </w:r>
      <w:r>
        <w:rPr>
          <w:spacing w:val="-4"/>
          <w:sz w:val="24"/>
          <w:szCs w:val="24"/>
        </w:rPr>
        <w:t>万</w:t>
      </w:r>
      <w:r>
        <w:rPr>
          <w:spacing w:val="-53"/>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spacing w:val="-4"/>
          <w:sz w:val="24"/>
          <w:szCs w:val="24"/>
        </w:rPr>
        <w:t>，</w:t>
      </w:r>
      <w:r>
        <w:rPr>
          <w:spacing w:val="-5"/>
          <w:sz w:val="24"/>
          <w:szCs w:val="24"/>
        </w:rPr>
        <w:t>正常蓄水位为</w:t>
      </w:r>
      <w:r>
        <w:rPr>
          <w:spacing w:val="-31"/>
          <w:sz w:val="24"/>
          <w:szCs w:val="24"/>
        </w:rPr>
        <w:t xml:space="preserve"> </w:t>
      </w:r>
      <w:r>
        <w:rPr>
          <w:rFonts w:ascii="Times New Roman" w:hAnsi="Times New Roman" w:eastAsia="Times New Roman" w:cs="Times New Roman"/>
          <w:spacing w:val="-5"/>
          <w:sz w:val="24"/>
          <w:szCs w:val="24"/>
        </w:rPr>
        <w:t>1938.5m</w:t>
      </w:r>
      <w:r>
        <w:rPr>
          <w:spacing w:val="-5"/>
          <w:sz w:val="24"/>
          <w:szCs w:val="24"/>
        </w:rPr>
        <w:t>，正常蓄水位以下库容</w:t>
      </w:r>
      <w:r>
        <w:rPr>
          <w:spacing w:val="-32"/>
          <w:sz w:val="24"/>
          <w:szCs w:val="24"/>
        </w:rPr>
        <w:t xml:space="preserve"> </w:t>
      </w:r>
      <w:r>
        <w:rPr>
          <w:rFonts w:ascii="Times New Roman" w:hAnsi="Times New Roman" w:eastAsia="Times New Roman" w:cs="Times New Roman"/>
          <w:spacing w:val="-5"/>
          <w:sz w:val="24"/>
          <w:szCs w:val="24"/>
        </w:rPr>
        <w:t>10335</w:t>
      </w:r>
      <w:r>
        <w:rPr>
          <w:rFonts w:ascii="Times New Roman" w:hAnsi="Times New Roman" w:eastAsia="Times New Roman" w:cs="Times New Roman"/>
          <w:spacing w:val="15"/>
          <w:sz w:val="24"/>
          <w:szCs w:val="24"/>
        </w:rPr>
        <w:t xml:space="preserve"> </w:t>
      </w:r>
      <w:r>
        <w:rPr>
          <w:spacing w:val="-5"/>
          <w:sz w:val="24"/>
          <w:szCs w:val="24"/>
        </w:rPr>
        <w:t>万</w:t>
      </w:r>
      <w:r>
        <w:rPr>
          <w:spacing w:val="-57"/>
          <w:sz w:val="24"/>
          <w:szCs w:val="24"/>
        </w:rPr>
        <w:t xml:space="preserve"> </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5"/>
          <w:position w:val="8"/>
          <w:sz w:val="15"/>
          <w:szCs w:val="15"/>
        </w:rPr>
        <w:t>3</w:t>
      </w:r>
      <w:r>
        <w:rPr>
          <w:spacing w:val="-5"/>
          <w:sz w:val="24"/>
          <w:szCs w:val="24"/>
        </w:rPr>
        <w:t>，死水位为</w:t>
      </w:r>
      <w:r>
        <w:rPr>
          <w:spacing w:val="-32"/>
          <w:sz w:val="24"/>
          <w:szCs w:val="24"/>
        </w:rPr>
        <w:t xml:space="preserve"> </w:t>
      </w:r>
      <w:r>
        <w:rPr>
          <w:rFonts w:ascii="Times New Roman" w:hAnsi="Times New Roman" w:eastAsia="Times New Roman" w:cs="Times New Roman"/>
          <w:spacing w:val="-5"/>
          <w:sz w:val="24"/>
          <w:szCs w:val="24"/>
        </w:rPr>
        <w:t>1915.3m</w:t>
      </w:r>
      <w:r>
        <w:rPr>
          <w:spacing w:val="-5"/>
          <w:sz w:val="24"/>
          <w:szCs w:val="24"/>
        </w:rPr>
        <w:t>，死</w:t>
      </w:r>
      <w:r>
        <w:rPr>
          <w:spacing w:val="-4"/>
          <w:sz w:val="24"/>
          <w:szCs w:val="24"/>
        </w:rPr>
        <w:t>库容</w:t>
      </w:r>
      <w:r>
        <w:rPr>
          <w:spacing w:val="-32"/>
          <w:sz w:val="24"/>
          <w:szCs w:val="24"/>
        </w:rPr>
        <w:t xml:space="preserve"> </w:t>
      </w:r>
      <w:r>
        <w:rPr>
          <w:rFonts w:ascii="Times New Roman" w:hAnsi="Times New Roman" w:eastAsia="Times New Roman" w:cs="Times New Roman"/>
          <w:spacing w:val="-4"/>
          <w:sz w:val="24"/>
          <w:szCs w:val="24"/>
        </w:rPr>
        <w:t>1354</w:t>
      </w:r>
      <w:r>
        <w:rPr>
          <w:rFonts w:ascii="Times New Roman" w:hAnsi="Times New Roman" w:eastAsia="Times New Roman" w:cs="Times New Roman"/>
          <w:spacing w:val="15"/>
          <w:sz w:val="24"/>
          <w:szCs w:val="24"/>
        </w:rPr>
        <w:t xml:space="preserve">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spacing w:val="-4"/>
          <w:sz w:val="24"/>
          <w:szCs w:val="24"/>
        </w:rPr>
        <w:t>，兴利库容为</w:t>
      </w:r>
      <w:r>
        <w:rPr>
          <w:spacing w:val="-33"/>
          <w:sz w:val="24"/>
          <w:szCs w:val="24"/>
        </w:rPr>
        <w:t xml:space="preserve"> </w:t>
      </w:r>
      <w:r>
        <w:rPr>
          <w:rFonts w:ascii="Times New Roman" w:hAnsi="Times New Roman" w:eastAsia="Times New Roman" w:cs="Times New Roman"/>
          <w:spacing w:val="-4"/>
          <w:sz w:val="24"/>
          <w:szCs w:val="24"/>
        </w:rPr>
        <w:t>8981</w:t>
      </w:r>
      <w:r>
        <w:rPr>
          <w:rFonts w:ascii="Times New Roman" w:hAnsi="Times New Roman" w:eastAsia="Times New Roman" w:cs="Times New Roman"/>
          <w:spacing w:val="15"/>
          <w:w w:val="101"/>
          <w:sz w:val="24"/>
          <w:szCs w:val="24"/>
        </w:rPr>
        <w:t xml:space="preserve">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5"/>
          <w:position w:val="8"/>
          <w:sz w:val="15"/>
          <w:szCs w:val="15"/>
        </w:rPr>
        <w:t>3</w:t>
      </w:r>
      <w:r>
        <w:rPr>
          <w:spacing w:val="-5"/>
          <w:sz w:val="24"/>
          <w:szCs w:val="24"/>
        </w:rPr>
        <w:t>。</w:t>
      </w:r>
    </w:p>
    <w:p w14:paraId="0CAB5E35">
      <w:pPr>
        <w:pStyle w:val="2"/>
        <w:spacing w:line="233" w:lineRule="auto"/>
        <w:ind w:left="522"/>
        <w:rPr>
          <w:sz w:val="24"/>
          <w:szCs w:val="24"/>
        </w:rPr>
      </w:pPr>
      <w:r>
        <w:rPr>
          <w:spacing w:val="-2"/>
          <w:sz w:val="24"/>
          <w:szCs w:val="24"/>
        </w:rPr>
        <w:t>工程特性表详见表</w:t>
      </w:r>
      <w:r>
        <w:rPr>
          <w:spacing w:val="-45"/>
          <w:sz w:val="24"/>
          <w:szCs w:val="24"/>
        </w:rPr>
        <w:t xml:space="preserve"> </w:t>
      </w:r>
      <w:r>
        <w:rPr>
          <w:rFonts w:ascii="Times New Roman" w:hAnsi="Times New Roman" w:eastAsia="Times New Roman" w:cs="Times New Roman"/>
          <w:spacing w:val="-2"/>
          <w:sz w:val="24"/>
          <w:szCs w:val="24"/>
        </w:rPr>
        <w:t>3.1-4</w:t>
      </w:r>
      <w:r>
        <w:rPr>
          <w:spacing w:val="-2"/>
          <w:sz w:val="24"/>
          <w:szCs w:val="24"/>
        </w:rPr>
        <w:t>。</w:t>
      </w:r>
    </w:p>
    <w:p w14:paraId="2B5B36AB">
      <w:pPr>
        <w:pStyle w:val="2"/>
        <w:spacing w:before="136" w:line="226"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3.1.4                                </w:t>
      </w:r>
      <w:r>
        <w:rPr>
          <w:b/>
          <w:bCs/>
          <w:sz w:val="24"/>
          <w:szCs w:val="24"/>
        </w:rPr>
        <w:t>车马</w:t>
      </w:r>
      <w:r>
        <w:rPr>
          <w:b/>
          <w:bCs/>
          <w:spacing w:val="-1"/>
          <w:sz w:val="24"/>
          <w:szCs w:val="24"/>
        </w:rPr>
        <w:t>碧水库工程工程特性变化表</w:t>
      </w: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1"/>
        <w:gridCol w:w="925"/>
        <w:gridCol w:w="2154"/>
        <w:gridCol w:w="2474"/>
      </w:tblGrid>
      <w:tr w14:paraId="14071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2921" w:type="dxa"/>
            <w:vMerge w:val="restart"/>
            <w:tcBorders>
              <w:top w:val="single" w:color="000000" w:sz="12" w:space="0"/>
              <w:left w:val="single" w:color="000000" w:sz="12" w:space="0"/>
              <w:bottom w:val="nil"/>
            </w:tcBorders>
            <w:vAlign w:val="top"/>
          </w:tcPr>
          <w:p w14:paraId="0432E5F5">
            <w:pPr>
              <w:spacing w:before="287" w:line="220" w:lineRule="auto"/>
              <w:ind w:left="1244"/>
              <w:rPr>
                <w:rFonts w:ascii="宋体" w:hAnsi="宋体" w:eastAsia="宋体" w:cs="宋体"/>
                <w:sz w:val="21"/>
                <w:szCs w:val="21"/>
              </w:rPr>
            </w:pPr>
            <w:r>
              <w:rPr>
                <w:rFonts w:ascii="宋体" w:hAnsi="宋体" w:eastAsia="宋体" w:cs="宋体"/>
                <w:spacing w:val="-3"/>
                <w:sz w:val="21"/>
                <w:szCs w:val="21"/>
              </w:rPr>
              <w:t>指标</w:t>
            </w:r>
          </w:p>
        </w:tc>
        <w:tc>
          <w:tcPr>
            <w:tcW w:w="925" w:type="dxa"/>
            <w:vMerge w:val="restart"/>
            <w:tcBorders>
              <w:top w:val="single" w:color="000000" w:sz="12" w:space="0"/>
              <w:bottom w:val="nil"/>
            </w:tcBorders>
            <w:vAlign w:val="top"/>
          </w:tcPr>
          <w:p w14:paraId="36034EE7">
            <w:pPr>
              <w:spacing w:before="287" w:line="220" w:lineRule="auto"/>
              <w:ind w:left="20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8"/>
                <w:sz w:val="21"/>
                <w:szCs w:val="21"/>
              </w:rPr>
              <w:t xml:space="preserve"> </w:t>
            </w:r>
            <w:r>
              <w:rPr>
                <w:rFonts w:ascii="宋体" w:hAnsi="宋体" w:eastAsia="宋体" w:cs="宋体"/>
                <w:spacing w:val="-5"/>
                <w:sz w:val="21"/>
                <w:szCs w:val="21"/>
              </w:rPr>
              <w:t>位</w:t>
            </w:r>
          </w:p>
        </w:tc>
        <w:tc>
          <w:tcPr>
            <w:tcW w:w="4628" w:type="dxa"/>
            <w:gridSpan w:val="2"/>
            <w:tcBorders>
              <w:top w:val="single" w:color="000000" w:sz="12" w:space="0"/>
              <w:right w:val="single" w:color="000000" w:sz="12" w:space="0"/>
            </w:tcBorders>
            <w:vAlign w:val="top"/>
          </w:tcPr>
          <w:p w14:paraId="415CD20C">
            <w:pPr>
              <w:spacing w:before="86" w:line="220" w:lineRule="auto"/>
              <w:ind w:left="1897"/>
              <w:rPr>
                <w:rFonts w:ascii="宋体" w:hAnsi="宋体" w:eastAsia="宋体" w:cs="宋体"/>
                <w:sz w:val="21"/>
                <w:szCs w:val="21"/>
              </w:rPr>
            </w:pPr>
            <w:r>
              <w:rPr>
                <w:rFonts w:ascii="宋体" w:hAnsi="宋体" w:eastAsia="宋体" w:cs="宋体"/>
                <w:spacing w:val="-3"/>
                <w:sz w:val="21"/>
                <w:szCs w:val="21"/>
              </w:rPr>
              <w:t>工程特性</w:t>
            </w:r>
          </w:p>
        </w:tc>
      </w:tr>
      <w:tr w14:paraId="56E0C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vMerge w:val="continue"/>
            <w:tcBorders>
              <w:top w:val="nil"/>
              <w:left w:val="single" w:color="000000" w:sz="12" w:space="0"/>
            </w:tcBorders>
            <w:vAlign w:val="top"/>
          </w:tcPr>
          <w:p w14:paraId="652B4973">
            <w:pPr>
              <w:rPr>
                <w:rFonts w:ascii="Arial"/>
                <w:sz w:val="21"/>
              </w:rPr>
            </w:pPr>
          </w:p>
        </w:tc>
        <w:tc>
          <w:tcPr>
            <w:tcW w:w="925" w:type="dxa"/>
            <w:vMerge w:val="continue"/>
            <w:tcBorders>
              <w:top w:val="nil"/>
            </w:tcBorders>
            <w:vAlign w:val="top"/>
          </w:tcPr>
          <w:p w14:paraId="1F51EFED">
            <w:pPr>
              <w:rPr>
                <w:rFonts w:ascii="Arial"/>
                <w:sz w:val="21"/>
              </w:rPr>
            </w:pPr>
          </w:p>
        </w:tc>
        <w:tc>
          <w:tcPr>
            <w:tcW w:w="2154" w:type="dxa"/>
            <w:vAlign w:val="top"/>
          </w:tcPr>
          <w:p w14:paraId="3B176CE3">
            <w:pPr>
              <w:spacing w:before="87" w:line="220" w:lineRule="auto"/>
              <w:ind w:left="661"/>
              <w:rPr>
                <w:rFonts w:ascii="宋体" w:hAnsi="宋体" w:eastAsia="宋体" w:cs="宋体"/>
                <w:sz w:val="21"/>
                <w:szCs w:val="21"/>
              </w:rPr>
            </w:pPr>
            <w:r>
              <w:rPr>
                <w:rFonts w:ascii="宋体" w:hAnsi="宋体" w:eastAsia="宋体" w:cs="宋体"/>
                <w:spacing w:val="-2"/>
                <w:sz w:val="21"/>
                <w:szCs w:val="21"/>
              </w:rPr>
              <w:t>环评阶段</w:t>
            </w:r>
          </w:p>
        </w:tc>
        <w:tc>
          <w:tcPr>
            <w:tcW w:w="2474" w:type="dxa"/>
            <w:tcBorders>
              <w:right w:val="single" w:color="000000" w:sz="12" w:space="0"/>
            </w:tcBorders>
            <w:vAlign w:val="top"/>
          </w:tcPr>
          <w:p w14:paraId="03CB172C">
            <w:pPr>
              <w:spacing w:before="87" w:line="221" w:lineRule="auto"/>
              <w:ind w:left="822"/>
              <w:rPr>
                <w:rFonts w:ascii="宋体" w:hAnsi="宋体" w:eastAsia="宋体" w:cs="宋体"/>
                <w:sz w:val="21"/>
                <w:szCs w:val="21"/>
              </w:rPr>
            </w:pPr>
            <w:r>
              <w:rPr>
                <w:rFonts w:ascii="宋体" w:hAnsi="宋体" w:eastAsia="宋体" w:cs="宋体"/>
                <w:spacing w:val="-2"/>
                <w:sz w:val="21"/>
                <w:szCs w:val="21"/>
              </w:rPr>
              <w:t>初设阶段</w:t>
            </w:r>
          </w:p>
        </w:tc>
      </w:tr>
      <w:tr w14:paraId="0AF39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24F55F8A">
            <w:pPr>
              <w:spacing w:before="87" w:line="220" w:lineRule="auto"/>
              <w:ind w:left="53"/>
              <w:rPr>
                <w:rFonts w:ascii="宋体" w:hAnsi="宋体" w:eastAsia="宋体" w:cs="宋体"/>
                <w:sz w:val="21"/>
                <w:szCs w:val="21"/>
              </w:rPr>
            </w:pPr>
            <w:r>
              <w:rPr>
                <w:rFonts w:ascii="宋体" w:hAnsi="宋体" w:eastAsia="宋体" w:cs="宋体"/>
                <w:b/>
                <w:bCs/>
                <w:spacing w:val="-7"/>
                <w:sz w:val="21"/>
                <w:szCs w:val="21"/>
              </w:rPr>
              <w:t>一、水文</w:t>
            </w:r>
          </w:p>
        </w:tc>
        <w:tc>
          <w:tcPr>
            <w:tcW w:w="925" w:type="dxa"/>
            <w:vAlign w:val="top"/>
          </w:tcPr>
          <w:p w14:paraId="24C55B6D">
            <w:pPr>
              <w:rPr>
                <w:rFonts w:ascii="Arial"/>
                <w:sz w:val="21"/>
              </w:rPr>
            </w:pPr>
          </w:p>
        </w:tc>
        <w:tc>
          <w:tcPr>
            <w:tcW w:w="2154" w:type="dxa"/>
            <w:vAlign w:val="top"/>
          </w:tcPr>
          <w:p w14:paraId="16860BEB">
            <w:pPr>
              <w:rPr>
                <w:rFonts w:ascii="Arial"/>
                <w:sz w:val="21"/>
              </w:rPr>
            </w:pPr>
          </w:p>
        </w:tc>
        <w:tc>
          <w:tcPr>
            <w:tcW w:w="2474" w:type="dxa"/>
            <w:tcBorders>
              <w:right w:val="single" w:color="000000" w:sz="12" w:space="0"/>
            </w:tcBorders>
            <w:vAlign w:val="top"/>
          </w:tcPr>
          <w:p w14:paraId="2E8DEDB9">
            <w:pPr>
              <w:rPr>
                <w:rFonts w:ascii="Arial"/>
                <w:sz w:val="21"/>
              </w:rPr>
            </w:pPr>
          </w:p>
        </w:tc>
      </w:tr>
      <w:tr w14:paraId="56CA0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2444F099">
            <w:pPr>
              <w:pStyle w:val="6"/>
              <w:spacing w:before="93" w:line="234" w:lineRule="auto"/>
              <w:ind w:left="66"/>
              <w:rPr>
                <w:rFonts w:ascii="宋体" w:hAnsi="宋体" w:eastAsia="宋体" w:cs="宋体"/>
              </w:rPr>
            </w:pPr>
            <w:r>
              <w:rPr>
                <w:spacing w:val="-4"/>
              </w:rPr>
              <w:t>1.</w:t>
            </w:r>
            <w:r>
              <w:rPr>
                <w:rFonts w:ascii="宋体" w:hAnsi="宋体" w:eastAsia="宋体" w:cs="宋体"/>
                <w:spacing w:val="-4"/>
              </w:rPr>
              <w:t>流域面积</w:t>
            </w:r>
          </w:p>
        </w:tc>
        <w:tc>
          <w:tcPr>
            <w:tcW w:w="925" w:type="dxa"/>
            <w:vAlign w:val="top"/>
          </w:tcPr>
          <w:p w14:paraId="06346527">
            <w:pPr>
              <w:rPr>
                <w:rFonts w:ascii="Arial"/>
                <w:sz w:val="21"/>
              </w:rPr>
            </w:pPr>
          </w:p>
        </w:tc>
        <w:tc>
          <w:tcPr>
            <w:tcW w:w="2154" w:type="dxa"/>
            <w:vAlign w:val="top"/>
          </w:tcPr>
          <w:p w14:paraId="506A88B9">
            <w:pPr>
              <w:rPr>
                <w:rFonts w:ascii="Arial"/>
                <w:sz w:val="21"/>
              </w:rPr>
            </w:pPr>
          </w:p>
        </w:tc>
        <w:tc>
          <w:tcPr>
            <w:tcW w:w="2474" w:type="dxa"/>
            <w:tcBorders>
              <w:right w:val="single" w:color="000000" w:sz="12" w:space="0"/>
            </w:tcBorders>
            <w:vAlign w:val="top"/>
          </w:tcPr>
          <w:p w14:paraId="72A7864E">
            <w:pPr>
              <w:rPr>
                <w:rFonts w:ascii="Arial"/>
                <w:sz w:val="21"/>
              </w:rPr>
            </w:pPr>
          </w:p>
        </w:tc>
      </w:tr>
      <w:tr w14:paraId="2E63F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5C8540D">
            <w:pPr>
              <w:spacing w:before="95" w:line="220" w:lineRule="auto"/>
              <w:ind w:left="50"/>
              <w:rPr>
                <w:rFonts w:ascii="宋体" w:hAnsi="宋体" w:eastAsia="宋体" w:cs="宋体"/>
                <w:sz w:val="21"/>
                <w:szCs w:val="21"/>
              </w:rPr>
            </w:pPr>
            <w:r>
              <w:rPr>
                <w:rFonts w:ascii="宋体" w:hAnsi="宋体" w:eastAsia="宋体" w:cs="宋体"/>
                <w:spacing w:val="-2"/>
                <w:sz w:val="21"/>
                <w:szCs w:val="21"/>
              </w:rPr>
              <w:t>全流域</w:t>
            </w:r>
          </w:p>
        </w:tc>
        <w:tc>
          <w:tcPr>
            <w:tcW w:w="925" w:type="dxa"/>
            <w:vAlign w:val="top"/>
          </w:tcPr>
          <w:p w14:paraId="11732047">
            <w:pPr>
              <w:pStyle w:val="6"/>
              <w:spacing w:before="96" w:line="269" w:lineRule="exact"/>
              <w:ind w:left="285"/>
              <w:rPr>
                <w:sz w:val="14"/>
                <w:szCs w:val="14"/>
              </w:rPr>
            </w:pPr>
            <w:r>
              <w:t>km</w:t>
            </w:r>
            <w:r>
              <w:rPr>
                <w:position w:val="7"/>
                <w:sz w:val="14"/>
                <w:szCs w:val="14"/>
              </w:rPr>
              <w:t>2</w:t>
            </w:r>
          </w:p>
        </w:tc>
        <w:tc>
          <w:tcPr>
            <w:tcW w:w="2154" w:type="dxa"/>
            <w:vAlign w:val="top"/>
          </w:tcPr>
          <w:p w14:paraId="141FCC79">
            <w:pPr>
              <w:pStyle w:val="6"/>
              <w:spacing w:before="129" w:line="232" w:lineRule="auto"/>
              <w:ind w:left="888"/>
            </w:pPr>
            <w:r>
              <w:rPr>
                <w:spacing w:val="-5"/>
              </w:rPr>
              <w:t>1005</w:t>
            </w:r>
          </w:p>
        </w:tc>
        <w:tc>
          <w:tcPr>
            <w:tcW w:w="2474" w:type="dxa"/>
            <w:tcBorders>
              <w:right w:val="single" w:color="000000" w:sz="12" w:space="0"/>
            </w:tcBorders>
            <w:vAlign w:val="top"/>
          </w:tcPr>
          <w:p w14:paraId="558E8CB7">
            <w:pPr>
              <w:pStyle w:val="6"/>
              <w:spacing w:before="129" w:line="232" w:lineRule="auto"/>
              <w:ind w:left="1049"/>
            </w:pPr>
            <w:r>
              <w:rPr>
                <w:spacing w:val="-5"/>
              </w:rPr>
              <w:t>1005</w:t>
            </w:r>
          </w:p>
        </w:tc>
      </w:tr>
      <w:tr w14:paraId="75FB2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60426490">
            <w:pPr>
              <w:spacing w:before="92" w:line="220" w:lineRule="auto"/>
              <w:ind w:left="49"/>
              <w:rPr>
                <w:rFonts w:ascii="宋体" w:hAnsi="宋体" w:eastAsia="宋体" w:cs="宋体"/>
                <w:sz w:val="21"/>
                <w:szCs w:val="21"/>
              </w:rPr>
            </w:pPr>
            <w:r>
              <w:rPr>
                <w:rFonts w:ascii="宋体" w:hAnsi="宋体" w:eastAsia="宋体" w:cs="宋体"/>
                <w:spacing w:val="-1"/>
                <w:sz w:val="21"/>
                <w:szCs w:val="21"/>
              </w:rPr>
              <w:t>坝址以上流域面积</w:t>
            </w:r>
          </w:p>
        </w:tc>
        <w:tc>
          <w:tcPr>
            <w:tcW w:w="925" w:type="dxa"/>
            <w:vAlign w:val="top"/>
          </w:tcPr>
          <w:p w14:paraId="4DE8877D">
            <w:pPr>
              <w:pStyle w:val="6"/>
              <w:spacing w:before="93" w:line="269" w:lineRule="exact"/>
              <w:ind w:left="285"/>
              <w:rPr>
                <w:sz w:val="14"/>
                <w:szCs w:val="14"/>
              </w:rPr>
            </w:pPr>
            <w:r>
              <w:t>km</w:t>
            </w:r>
            <w:r>
              <w:rPr>
                <w:position w:val="7"/>
                <w:sz w:val="14"/>
                <w:szCs w:val="14"/>
              </w:rPr>
              <w:t>2</w:t>
            </w:r>
          </w:p>
        </w:tc>
        <w:tc>
          <w:tcPr>
            <w:tcW w:w="2154" w:type="dxa"/>
            <w:vAlign w:val="top"/>
          </w:tcPr>
          <w:p w14:paraId="433E2876">
            <w:pPr>
              <w:pStyle w:val="6"/>
              <w:spacing w:before="125" w:line="232" w:lineRule="auto"/>
              <w:ind w:left="926"/>
            </w:pPr>
            <w:r>
              <w:rPr>
                <w:spacing w:val="-3"/>
              </w:rPr>
              <w:t>595</w:t>
            </w:r>
          </w:p>
        </w:tc>
        <w:tc>
          <w:tcPr>
            <w:tcW w:w="2474" w:type="dxa"/>
            <w:tcBorders>
              <w:right w:val="single" w:color="000000" w:sz="12" w:space="0"/>
            </w:tcBorders>
            <w:vAlign w:val="top"/>
          </w:tcPr>
          <w:p w14:paraId="4AEB19F4">
            <w:pPr>
              <w:pStyle w:val="6"/>
              <w:spacing w:before="125" w:line="232" w:lineRule="auto"/>
              <w:ind w:left="1087"/>
            </w:pPr>
            <w:r>
              <w:rPr>
                <w:spacing w:val="-3"/>
              </w:rPr>
              <w:t>595</w:t>
            </w:r>
          </w:p>
        </w:tc>
      </w:tr>
      <w:tr w14:paraId="05C89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60CF7A1C">
            <w:pPr>
              <w:pStyle w:val="6"/>
              <w:spacing w:before="98" w:line="233" w:lineRule="auto"/>
              <w:ind w:left="46"/>
              <w:rPr>
                <w:rFonts w:ascii="宋体" w:hAnsi="宋体" w:eastAsia="宋体" w:cs="宋体"/>
              </w:rPr>
            </w:pPr>
            <w:r>
              <w:rPr>
                <w:spacing w:val="-1"/>
              </w:rPr>
              <w:t>2.</w:t>
            </w:r>
            <w:r>
              <w:rPr>
                <w:rFonts w:ascii="宋体" w:hAnsi="宋体" w:eastAsia="宋体" w:cs="宋体"/>
                <w:spacing w:val="-1"/>
              </w:rPr>
              <w:t>利用水文系列年限</w:t>
            </w:r>
          </w:p>
        </w:tc>
        <w:tc>
          <w:tcPr>
            <w:tcW w:w="925" w:type="dxa"/>
            <w:vAlign w:val="top"/>
          </w:tcPr>
          <w:p w14:paraId="28F0C79A">
            <w:pPr>
              <w:spacing w:before="97" w:line="220" w:lineRule="auto"/>
              <w:ind w:left="357"/>
              <w:rPr>
                <w:rFonts w:ascii="宋体" w:hAnsi="宋体" w:eastAsia="宋体" w:cs="宋体"/>
                <w:sz w:val="21"/>
                <w:szCs w:val="21"/>
              </w:rPr>
            </w:pPr>
            <w:r>
              <w:rPr>
                <w:rFonts w:ascii="宋体" w:hAnsi="宋体" w:eastAsia="宋体" w:cs="宋体"/>
                <w:sz w:val="21"/>
                <w:szCs w:val="21"/>
              </w:rPr>
              <w:t>年</w:t>
            </w:r>
          </w:p>
        </w:tc>
        <w:tc>
          <w:tcPr>
            <w:tcW w:w="2154" w:type="dxa"/>
            <w:vAlign w:val="top"/>
          </w:tcPr>
          <w:p w14:paraId="031B34BB">
            <w:pPr>
              <w:pStyle w:val="6"/>
              <w:spacing w:before="132" w:line="232" w:lineRule="auto"/>
              <w:ind w:left="977"/>
            </w:pPr>
            <w:r>
              <w:rPr>
                <w:spacing w:val="-5"/>
              </w:rPr>
              <w:t>60</w:t>
            </w:r>
          </w:p>
        </w:tc>
        <w:tc>
          <w:tcPr>
            <w:tcW w:w="2474" w:type="dxa"/>
            <w:tcBorders>
              <w:right w:val="single" w:color="000000" w:sz="12" w:space="0"/>
            </w:tcBorders>
            <w:vAlign w:val="top"/>
          </w:tcPr>
          <w:p w14:paraId="2D8855E3">
            <w:pPr>
              <w:pStyle w:val="6"/>
              <w:spacing w:before="132" w:line="232" w:lineRule="auto"/>
              <w:ind w:left="1139"/>
            </w:pPr>
            <w:r>
              <w:rPr>
                <w:spacing w:val="-3"/>
              </w:rPr>
              <w:t>62</w:t>
            </w:r>
          </w:p>
        </w:tc>
      </w:tr>
      <w:tr w14:paraId="228F6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4BB88467">
            <w:pPr>
              <w:pStyle w:val="6"/>
              <w:spacing w:before="100" w:line="233" w:lineRule="auto"/>
              <w:ind w:left="50"/>
              <w:rPr>
                <w:rFonts w:ascii="宋体" w:hAnsi="宋体" w:eastAsia="宋体" w:cs="宋体"/>
              </w:rPr>
            </w:pPr>
            <w:r>
              <w:rPr>
                <w:spacing w:val="-1"/>
              </w:rPr>
              <w:t>3.</w:t>
            </w:r>
            <w:r>
              <w:rPr>
                <w:rFonts w:ascii="宋体" w:hAnsi="宋体" w:eastAsia="宋体" w:cs="宋体"/>
                <w:spacing w:val="-1"/>
              </w:rPr>
              <w:t>多年平均天然年径流量</w:t>
            </w:r>
          </w:p>
        </w:tc>
        <w:tc>
          <w:tcPr>
            <w:tcW w:w="925" w:type="dxa"/>
            <w:vAlign w:val="top"/>
          </w:tcPr>
          <w:p w14:paraId="3660411A">
            <w:pPr>
              <w:pStyle w:val="6"/>
              <w:spacing w:before="99" w:line="235" w:lineRule="auto"/>
              <w:ind w:left="214"/>
              <w:rPr>
                <w:sz w:val="14"/>
                <w:szCs w:val="14"/>
              </w:rPr>
            </w:pPr>
            <w:r>
              <w:rPr>
                <w:rFonts w:ascii="宋体" w:hAnsi="宋体" w:eastAsia="宋体" w:cs="宋体"/>
                <w:spacing w:val="-4"/>
                <w:position w:val="-1"/>
              </w:rPr>
              <w:t>亿</w:t>
            </w:r>
            <w:r>
              <w:rPr>
                <w:rFonts w:ascii="宋体" w:hAnsi="宋体" w:eastAsia="宋体" w:cs="宋体"/>
                <w:spacing w:val="-49"/>
                <w:position w:val="-1"/>
              </w:rPr>
              <w:t xml:space="preserve"> </w:t>
            </w:r>
            <w:r>
              <w:rPr>
                <w:spacing w:val="-4"/>
                <w:position w:val="-1"/>
              </w:rPr>
              <w:t>m</w:t>
            </w:r>
            <w:r>
              <w:rPr>
                <w:spacing w:val="-4"/>
                <w:position w:val="6"/>
                <w:sz w:val="14"/>
                <w:szCs w:val="14"/>
              </w:rPr>
              <w:t>3</w:t>
            </w:r>
          </w:p>
        </w:tc>
        <w:tc>
          <w:tcPr>
            <w:tcW w:w="2154" w:type="dxa"/>
            <w:vAlign w:val="top"/>
          </w:tcPr>
          <w:p w14:paraId="08C40834">
            <w:pPr>
              <w:pStyle w:val="6"/>
              <w:spacing w:before="133" w:line="232" w:lineRule="auto"/>
              <w:ind w:left="894"/>
            </w:pPr>
            <w:r>
              <w:rPr>
                <w:spacing w:val="-1"/>
              </w:rPr>
              <w:t>2.17</w:t>
            </w:r>
          </w:p>
        </w:tc>
        <w:tc>
          <w:tcPr>
            <w:tcW w:w="2474" w:type="dxa"/>
            <w:tcBorders>
              <w:right w:val="single" w:color="000000" w:sz="12" w:space="0"/>
            </w:tcBorders>
            <w:vAlign w:val="top"/>
          </w:tcPr>
          <w:p w14:paraId="0CCA3D7A">
            <w:pPr>
              <w:pStyle w:val="6"/>
              <w:spacing w:before="133" w:line="232" w:lineRule="auto"/>
              <w:ind w:left="1055"/>
            </w:pPr>
            <w:r>
              <w:rPr>
                <w:spacing w:val="-1"/>
              </w:rPr>
              <w:t>2.16</w:t>
            </w:r>
          </w:p>
        </w:tc>
      </w:tr>
      <w:tr w14:paraId="5E7EE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005D8D98">
            <w:pPr>
              <w:pStyle w:val="6"/>
              <w:spacing w:before="96" w:line="233" w:lineRule="auto"/>
              <w:ind w:left="45"/>
              <w:rPr>
                <w:rFonts w:ascii="宋体" w:hAnsi="宋体" w:eastAsia="宋体" w:cs="宋体"/>
              </w:rPr>
            </w:pPr>
            <w:r>
              <w:rPr>
                <w:spacing w:val="-1"/>
              </w:rPr>
              <w:t>4.</w:t>
            </w:r>
            <w:r>
              <w:rPr>
                <w:rFonts w:ascii="宋体" w:hAnsi="宋体" w:eastAsia="宋体" w:cs="宋体"/>
                <w:spacing w:val="-1"/>
              </w:rPr>
              <w:t>代表性流量</w:t>
            </w:r>
          </w:p>
        </w:tc>
        <w:tc>
          <w:tcPr>
            <w:tcW w:w="925" w:type="dxa"/>
            <w:vAlign w:val="top"/>
          </w:tcPr>
          <w:p w14:paraId="19C3B2C6">
            <w:pPr>
              <w:rPr>
                <w:rFonts w:ascii="Arial"/>
                <w:sz w:val="21"/>
              </w:rPr>
            </w:pPr>
          </w:p>
        </w:tc>
        <w:tc>
          <w:tcPr>
            <w:tcW w:w="2154" w:type="dxa"/>
            <w:vAlign w:val="top"/>
          </w:tcPr>
          <w:p w14:paraId="53100CB3">
            <w:pPr>
              <w:rPr>
                <w:rFonts w:ascii="Arial"/>
                <w:sz w:val="21"/>
              </w:rPr>
            </w:pPr>
          </w:p>
        </w:tc>
        <w:tc>
          <w:tcPr>
            <w:tcW w:w="2474" w:type="dxa"/>
            <w:tcBorders>
              <w:right w:val="single" w:color="000000" w:sz="12" w:space="0"/>
            </w:tcBorders>
            <w:vAlign w:val="top"/>
          </w:tcPr>
          <w:p w14:paraId="2F4406A0">
            <w:pPr>
              <w:rPr>
                <w:rFonts w:ascii="Arial"/>
                <w:sz w:val="21"/>
              </w:rPr>
            </w:pPr>
          </w:p>
        </w:tc>
      </w:tr>
      <w:tr w14:paraId="584CC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39ECA5B9">
            <w:pPr>
              <w:spacing w:before="97" w:line="220" w:lineRule="auto"/>
              <w:ind w:left="60"/>
              <w:rPr>
                <w:rFonts w:ascii="宋体" w:hAnsi="宋体" w:eastAsia="宋体" w:cs="宋体"/>
                <w:sz w:val="21"/>
                <w:szCs w:val="21"/>
              </w:rPr>
            </w:pPr>
            <w:r>
              <w:rPr>
                <w:rFonts w:ascii="宋体" w:hAnsi="宋体" w:eastAsia="宋体" w:cs="宋体"/>
                <w:spacing w:val="-3"/>
                <w:sz w:val="21"/>
                <w:szCs w:val="21"/>
              </w:rPr>
              <w:t>多年平均流量</w:t>
            </w:r>
          </w:p>
        </w:tc>
        <w:tc>
          <w:tcPr>
            <w:tcW w:w="925" w:type="dxa"/>
            <w:vAlign w:val="top"/>
          </w:tcPr>
          <w:p w14:paraId="65FBBB7F">
            <w:pPr>
              <w:pStyle w:val="6"/>
              <w:spacing w:before="99" w:line="265" w:lineRule="exact"/>
              <w:ind w:left="268"/>
            </w:pPr>
            <w:r>
              <w:rPr>
                <w:spacing w:val="-1"/>
              </w:rPr>
              <w:t>m</w:t>
            </w:r>
            <w:r>
              <w:rPr>
                <w:spacing w:val="-1"/>
                <w:position w:val="7"/>
                <w:sz w:val="14"/>
                <w:szCs w:val="14"/>
              </w:rPr>
              <w:t>3</w:t>
            </w:r>
            <w:r>
              <w:rPr>
                <w:spacing w:val="-1"/>
              </w:rPr>
              <w:t>/s</w:t>
            </w:r>
          </w:p>
        </w:tc>
        <w:tc>
          <w:tcPr>
            <w:tcW w:w="2154" w:type="dxa"/>
            <w:vAlign w:val="top"/>
          </w:tcPr>
          <w:p w14:paraId="41FDAEF9">
            <w:pPr>
              <w:pStyle w:val="6"/>
              <w:spacing w:before="131" w:line="232" w:lineRule="auto"/>
              <w:ind w:left="899"/>
            </w:pPr>
            <w:r>
              <w:rPr>
                <w:spacing w:val="-3"/>
              </w:rPr>
              <w:t>6.87</w:t>
            </w:r>
          </w:p>
        </w:tc>
        <w:tc>
          <w:tcPr>
            <w:tcW w:w="2474" w:type="dxa"/>
            <w:tcBorders>
              <w:right w:val="single" w:color="000000" w:sz="12" w:space="0"/>
            </w:tcBorders>
            <w:vAlign w:val="top"/>
          </w:tcPr>
          <w:p w14:paraId="2D7D2FF1">
            <w:pPr>
              <w:pStyle w:val="6"/>
              <w:spacing w:before="131" w:line="232" w:lineRule="auto"/>
              <w:ind w:left="1058"/>
            </w:pPr>
            <w:r>
              <w:rPr>
                <w:spacing w:val="-2"/>
              </w:rPr>
              <w:t>7.12</w:t>
            </w:r>
          </w:p>
        </w:tc>
      </w:tr>
      <w:tr w14:paraId="0DC13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78BB3C8E">
            <w:pPr>
              <w:spacing w:before="98" w:line="220" w:lineRule="auto"/>
              <w:ind w:left="53"/>
              <w:rPr>
                <w:rFonts w:ascii="宋体" w:hAnsi="宋体" w:eastAsia="宋体" w:cs="宋体"/>
                <w:sz w:val="21"/>
                <w:szCs w:val="21"/>
              </w:rPr>
            </w:pPr>
            <w:r>
              <w:rPr>
                <w:rFonts w:ascii="宋体" w:hAnsi="宋体" w:eastAsia="宋体" w:cs="宋体"/>
                <w:spacing w:val="-2"/>
                <w:sz w:val="21"/>
                <w:szCs w:val="21"/>
              </w:rPr>
              <w:t>设计洪水标准及流量</w:t>
            </w:r>
          </w:p>
        </w:tc>
        <w:tc>
          <w:tcPr>
            <w:tcW w:w="925" w:type="dxa"/>
            <w:vAlign w:val="top"/>
          </w:tcPr>
          <w:p w14:paraId="4FE23647">
            <w:pPr>
              <w:pStyle w:val="6"/>
              <w:spacing w:before="100" w:line="265" w:lineRule="exact"/>
              <w:ind w:left="268"/>
            </w:pPr>
            <w:r>
              <w:rPr>
                <w:spacing w:val="-1"/>
              </w:rPr>
              <w:t>m</w:t>
            </w:r>
            <w:r>
              <w:rPr>
                <w:spacing w:val="-1"/>
                <w:position w:val="7"/>
                <w:sz w:val="14"/>
                <w:szCs w:val="14"/>
              </w:rPr>
              <w:t>3</w:t>
            </w:r>
            <w:r>
              <w:rPr>
                <w:spacing w:val="-1"/>
              </w:rPr>
              <w:t>/s</w:t>
            </w:r>
          </w:p>
        </w:tc>
        <w:tc>
          <w:tcPr>
            <w:tcW w:w="2154" w:type="dxa"/>
            <w:vAlign w:val="top"/>
          </w:tcPr>
          <w:p w14:paraId="15B0D1A0">
            <w:pPr>
              <w:pStyle w:val="6"/>
              <w:spacing w:before="98" w:line="280" w:lineRule="exact"/>
              <w:ind w:left="458"/>
              <w:rPr>
                <w:rFonts w:ascii="宋体" w:hAnsi="宋体" w:eastAsia="宋体" w:cs="宋体"/>
              </w:rPr>
            </w:pPr>
            <w:r>
              <w:rPr>
                <w:spacing w:val="-2"/>
                <w:position w:val="1"/>
              </w:rPr>
              <w:t>561</w:t>
            </w:r>
            <w:r>
              <w:rPr>
                <w:rFonts w:ascii="宋体" w:hAnsi="宋体" w:eastAsia="宋体" w:cs="宋体"/>
                <w:spacing w:val="-2"/>
                <w:position w:val="1"/>
              </w:rPr>
              <w:t>（</w:t>
            </w:r>
            <w:r>
              <w:rPr>
                <w:spacing w:val="-2"/>
                <w:position w:val="1"/>
              </w:rPr>
              <w:t>P=1%</w:t>
            </w:r>
            <w:r>
              <w:rPr>
                <w:rFonts w:ascii="宋体" w:hAnsi="宋体" w:eastAsia="宋体" w:cs="宋体"/>
                <w:spacing w:val="-2"/>
                <w:position w:val="1"/>
              </w:rPr>
              <w:t>）</w:t>
            </w:r>
          </w:p>
        </w:tc>
        <w:tc>
          <w:tcPr>
            <w:tcW w:w="2474" w:type="dxa"/>
            <w:tcBorders>
              <w:right w:val="single" w:color="000000" w:sz="12" w:space="0"/>
            </w:tcBorders>
            <w:vAlign w:val="top"/>
          </w:tcPr>
          <w:p w14:paraId="5CAC24E5">
            <w:pPr>
              <w:pStyle w:val="6"/>
              <w:spacing w:before="98" w:line="280" w:lineRule="exact"/>
              <w:ind w:left="619"/>
              <w:rPr>
                <w:rFonts w:ascii="宋体" w:hAnsi="宋体" w:eastAsia="宋体" w:cs="宋体"/>
              </w:rPr>
            </w:pPr>
            <w:r>
              <w:rPr>
                <w:spacing w:val="-2"/>
                <w:position w:val="1"/>
              </w:rPr>
              <w:t>561</w:t>
            </w:r>
            <w:r>
              <w:rPr>
                <w:rFonts w:ascii="宋体" w:hAnsi="宋体" w:eastAsia="宋体" w:cs="宋体"/>
                <w:spacing w:val="-2"/>
                <w:position w:val="1"/>
              </w:rPr>
              <w:t>（</w:t>
            </w:r>
            <w:r>
              <w:rPr>
                <w:spacing w:val="-2"/>
                <w:position w:val="1"/>
              </w:rPr>
              <w:t>P=1%</w:t>
            </w:r>
            <w:r>
              <w:rPr>
                <w:rFonts w:ascii="宋体" w:hAnsi="宋体" w:eastAsia="宋体" w:cs="宋体"/>
                <w:spacing w:val="-2"/>
                <w:position w:val="1"/>
              </w:rPr>
              <w:t>）</w:t>
            </w:r>
          </w:p>
        </w:tc>
      </w:tr>
      <w:tr w14:paraId="63F2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01441D40">
            <w:pPr>
              <w:spacing w:before="99" w:line="220" w:lineRule="auto"/>
              <w:ind w:left="51"/>
              <w:rPr>
                <w:rFonts w:ascii="宋体" w:hAnsi="宋体" w:eastAsia="宋体" w:cs="宋体"/>
                <w:sz w:val="21"/>
                <w:szCs w:val="21"/>
              </w:rPr>
            </w:pPr>
            <w:r>
              <w:rPr>
                <w:rFonts w:ascii="宋体" w:hAnsi="宋体" w:eastAsia="宋体" w:cs="宋体"/>
                <w:spacing w:val="-1"/>
                <w:sz w:val="21"/>
                <w:szCs w:val="21"/>
              </w:rPr>
              <w:t>校核洪水标准及流量</w:t>
            </w:r>
          </w:p>
        </w:tc>
        <w:tc>
          <w:tcPr>
            <w:tcW w:w="925" w:type="dxa"/>
            <w:vAlign w:val="top"/>
          </w:tcPr>
          <w:p w14:paraId="1D094ABD">
            <w:pPr>
              <w:pStyle w:val="6"/>
              <w:spacing w:before="101" w:line="265" w:lineRule="exact"/>
              <w:ind w:left="268"/>
            </w:pPr>
            <w:r>
              <w:rPr>
                <w:spacing w:val="-1"/>
              </w:rPr>
              <w:t>m</w:t>
            </w:r>
            <w:r>
              <w:rPr>
                <w:spacing w:val="-1"/>
                <w:position w:val="7"/>
                <w:sz w:val="14"/>
                <w:szCs w:val="14"/>
              </w:rPr>
              <w:t>3</w:t>
            </w:r>
            <w:r>
              <w:rPr>
                <w:spacing w:val="-1"/>
              </w:rPr>
              <w:t>/s</w:t>
            </w:r>
          </w:p>
        </w:tc>
        <w:tc>
          <w:tcPr>
            <w:tcW w:w="2154" w:type="dxa"/>
            <w:vAlign w:val="top"/>
          </w:tcPr>
          <w:p w14:paraId="206C93E6">
            <w:pPr>
              <w:pStyle w:val="6"/>
              <w:spacing w:before="99" w:line="280" w:lineRule="exact"/>
              <w:ind w:left="324"/>
              <w:rPr>
                <w:rFonts w:ascii="宋体" w:hAnsi="宋体" w:eastAsia="宋体" w:cs="宋体"/>
              </w:rPr>
            </w:pPr>
            <w:r>
              <w:rPr>
                <w:spacing w:val="-1"/>
                <w:position w:val="1"/>
              </w:rPr>
              <w:t>936</w:t>
            </w:r>
            <w:r>
              <w:rPr>
                <w:rFonts w:ascii="宋体" w:hAnsi="宋体" w:eastAsia="宋体" w:cs="宋体"/>
                <w:spacing w:val="-1"/>
                <w:position w:val="1"/>
              </w:rPr>
              <w:t>（</w:t>
            </w:r>
            <w:r>
              <w:rPr>
                <w:spacing w:val="-1"/>
                <w:position w:val="1"/>
              </w:rPr>
              <w:t>P=0.05%</w:t>
            </w:r>
            <w:r>
              <w:rPr>
                <w:rFonts w:ascii="宋体" w:hAnsi="宋体" w:eastAsia="宋体" w:cs="宋体"/>
                <w:spacing w:val="-1"/>
                <w:position w:val="1"/>
              </w:rPr>
              <w:t>）</w:t>
            </w:r>
          </w:p>
        </w:tc>
        <w:tc>
          <w:tcPr>
            <w:tcW w:w="2474" w:type="dxa"/>
            <w:tcBorders>
              <w:right w:val="single" w:color="000000" w:sz="12" w:space="0"/>
            </w:tcBorders>
            <w:vAlign w:val="top"/>
          </w:tcPr>
          <w:p w14:paraId="51E2CDB4">
            <w:pPr>
              <w:pStyle w:val="6"/>
              <w:spacing w:before="99" w:line="280" w:lineRule="exact"/>
              <w:ind w:left="450"/>
              <w:rPr>
                <w:rFonts w:ascii="宋体" w:hAnsi="宋体" w:eastAsia="宋体" w:cs="宋体"/>
              </w:rPr>
            </w:pPr>
            <w:r>
              <w:rPr>
                <w:spacing w:val="-2"/>
                <w:position w:val="1"/>
              </w:rPr>
              <w:t>1123</w:t>
            </w:r>
            <w:r>
              <w:rPr>
                <w:rFonts w:ascii="宋体" w:hAnsi="宋体" w:eastAsia="宋体" w:cs="宋体"/>
                <w:spacing w:val="-2"/>
                <w:position w:val="1"/>
              </w:rPr>
              <w:t>（</w:t>
            </w:r>
            <w:r>
              <w:rPr>
                <w:spacing w:val="-2"/>
                <w:position w:val="1"/>
              </w:rPr>
              <w:t>P=0.05%</w:t>
            </w:r>
            <w:r>
              <w:rPr>
                <w:rFonts w:ascii="宋体" w:hAnsi="宋体" w:eastAsia="宋体" w:cs="宋体"/>
                <w:spacing w:val="-2"/>
                <w:position w:val="1"/>
              </w:rPr>
              <w:t>）</w:t>
            </w:r>
          </w:p>
        </w:tc>
      </w:tr>
      <w:tr w14:paraId="1A9D1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15F25EDF">
            <w:pPr>
              <w:spacing w:before="100" w:line="220" w:lineRule="auto"/>
              <w:ind w:left="49"/>
              <w:rPr>
                <w:rFonts w:ascii="宋体" w:hAnsi="宋体" w:eastAsia="宋体" w:cs="宋体"/>
                <w:sz w:val="21"/>
                <w:szCs w:val="21"/>
              </w:rPr>
            </w:pPr>
            <w:r>
              <w:rPr>
                <w:rFonts w:ascii="宋体" w:hAnsi="宋体" w:eastAsia="宋体" w:cs="宋体"/>
                <w:spacing w:val="-1"/>
                <w:sz w:val="21"/>
                <w:szCs w:val="21"/>
              </w:rPr>
              <w:t>施工导流标准及流量</w:t>
            </w:r>
          </w:p>
        </w:tc>
        <w:tc>
          <w:tcPr>
            <w:tcW w:w="925" w:type="dxa"/>
            <w:vAlign w:val="top"/>
          </w:tcPr>
          <w:p w14:paraId="66F7768E">
            <w:pPr>
              <w:pStyle w:val="6"/>
              <w:spacing w:before="106" w:line="266" w:lineRule="exact"/>
              <w:ind w:left="268"/>
            </w:pPr>
            <w:r>
              <w:rPr>
                <w:spacing w:val="-1"/>
              </w:rPr>
              <w:t>m</w:t>
            </w:r>
            <w:r>
              <w:rPr>
                <w:spacing w:val="-1"/>
                <w:position w:val="7"/>
                <w:sz w:val="14"/>
                <w:szCs w:val="14"/>
              </w:rPr>
              <w:t>3</w:t>
            </w:r>
            <w:r>
              <w:rPr>
                <w:spacing w:val="-1"/>
              </w:rPr>
              <w:t>/s</w:t>
            </w:r>
          </w:p>
        </w:tc>
        <w:tc>
          <w:tcPr>
            <w:tcW w:w="2154" w:type="dxa"/>
            <w:vAlign w:val="top"/>
          </w:tcPr>
          <w:p w14:paraId="1CFC81B4">
            <w:pPr>
              <w:pStyle w:val="6"/>
              <w:spacing w:before="106" w:line="234" w:lineRule="auto"/>
              <w:ind w:left="190"/>
              <w:rPr>
                <w:rFonts w:ascii="宋体" w:hAnsi="宋体" w:eastAsia="宋体" w:cs="宋体"/>
              </w:rPr>
            </w:pPr>
            <w:r>
              <w:rPr>
                <w:spacing w:val="-2"/>
              </w:rPr>
              <w:t>29.1</w:t>
            </w:r>
            <w:r>
              <w:rPr>
                <w:rFonts w:ascii="宋体" w:hAnsi="宋体" w:eastAsia="宋体" w:cs="宋体"/>
                <w:spacing w:val="-2"/>
              </w:rPr>
              <w:t>（枯期</w:t>
            </w:r>
            <w:r>
              <w:rPr>
                <w:rFonts w:ascii="宋体" w:hAnsi="宋体" w:eastAsia="宋体" w:cs="宋体"/>
                <w:spacing w:val="-34"/>
              </w:rPr>
              <w:t xml:space="preserve"> </w:t>
            </w:r>
            <w:r>
              <w:rPr>
                <w:spacing w:val="-2"/>
              </w:rPr>
              <w:t>P=1%</w:t>
            </w:r>
            <w:r>
              <w:rPr>
                <w:rFonts w:ascii="宋体" w:hAnsi="宋体" w:eastAsia="宋体" w:cs="宋体"/>
                <w:spacing w:val="-2"/>
              </w:rPr>
              <w:t>）</w:t>
            </w:r>
          </w:p>
        </w:tc>
        <w:tc>
          <w:tcPr>
            <w:tcW w:w="2474" w:type="dxa"/>
            <w:tcBorders>
              <w:right w:val="single" w:color="000000" w:sz="12" w:space="0"/>
            </w:tcBorders>
            <w:vAlign w:val="top"/>
          </w:tcPr>
          <w:p w14:paraId="056F3337">
            <w:pPr>
              <w:pStyle w:val="6"/>
              <w:spacing w:before="106" w:line="234" w:lineRule="auto"/>
              <w:ind w:left="352"/>
              <w:rPr>
                <w:rFonts w:ascii="宋体" w:hAnsi="宋体" w:eastAsia="宋体" w:cs="宋体"/>
              </w:rPr>
            </w:pPr>
            <w:r>
              <w:rPr>
                <w:spacing w:val="-2"/>
              </w:rPr>
              <w:t>29.1</w:t>
            </w:r>
            <w:r>
              <w:rPr>
                <w:rFonts w:ascii="宋体" w:hAnsi="宋体" w:eastAsia="宋体" w:cs="宋体"/>
                <w:spacing w:val="-2"/>
              </w:rPr>
              <w:t>（枯期</w:t>
            </w:r>
            <w:r>
              <w:rPr>
                <w:rFonts w:ascii="宋体" w:hAnsi="宋体" w:eastAsia="宋体" w:cs="宋体"/>
                <w:spacing w:val="-34"/>
              </w:rPr>
              <w:t xml:space="preserve"> </w:t>
            </w:r>
            <w:r>
              <w:rPr>
                <w:spacing w:val="-2"/>
              </w:rPr>
              <w:t>P=1%</w:t>
            </w:r>
            <w:r>
              <w:rPr>
                <w:rFonts w:ascii="宋体" w:hAnsi="宋体" w:eastAsia="宋体" w:cs="宋体"/>
                <w:spacing w:val="-2"/>
              </w:rPr>
              <w:t>）</w:t>
            </w:r>
          </w:p>
        </w:tc>
      </w:tr>
      <w:tr w14:paraId="37F40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0F2E52A5">
            <w:pPr>
              <w:pStyle w:val="6"/>
              <w:spacing w:before="102" w:line="233" w:lineRule="auto"/>
              <w:ind w:left="52"/>
              <w:rPr>
                <w:rFonts w:ascii="宋体" w:hAnsi="宋体" w:eastAsia="宋体" w:cs="宋体"/>
              </w:rPr>
            </w:pPr>
            <w:r>
              <w:rPr>
                <w:spacing w:val="-3"/>
              </w:rPr>
              <w:t>5.</w:t>
            </w:r>
            <w:r>
              <w:rPr>
                <w:rFonts w:ascii="宋体" w:hAnsi="宋体" w:eastAsia="宋体" w:cs="宋体"/>
                <w:spacing w:val="-3"/>
              </w:rPr>
              <w:t>洪水</w:t>
            </w:r>
          </w:p>
        </w:tc>
        <w:tc>
          <w:tcPr>
            <w:tcW w:w="925" w:type="dxa"/>
            <w:vAlign w:val="top"/>
          </w:tcPr>
          <w:p w14:paraId="0D2CD7BA">
            <w:pPr>
              <w:rPr>
                <w:rFonts w:ascii="Arial"/>
                <w:sz w:val="21"/>
              </w:rPr>
            </w:pPr>
          </w:p>
        </w:tc>
        <w:tc>
          <w:tcPr>
            <w:tcW w:w="2154" w:type="dxa"/>
            <w:vAlign w:val="top"/>
          </w:tcPr>
          <w:p w14:paraId="2D782B1C">
            <w:pPr>
              <w:rPr>
                <w:rFonts w:ascii="Arial"/>
                <w:sz w:val="21"/>
              </w:rPr>
            </w:pPr>
          </w:p>
        </w:tc>
        <w:tc>
          <w:tcPr>
            <w:tcW w:w="2474" w:type="dxa"/>
            <w:tcBorders>
              <w:right w:val="single" w:color="000000" w:sz="12" w:space="0"/>
            </w:tcBorders>
            <w:vAlign w:val="top"/>
          </w:tcPr>
          <w:p w14:paraId="56A61F35">
            <w:pPr>
              <w:rPr>
                <w:rFonts w:ascii="Arial"/>
                <w:sz w:val="21"/>
              </w:rPr>
            </w:pPr>
          </w:p>
        </w:tc>
      </w:tr>
      <w:tr w14:paraId="22F40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20B29264">
            <w:pPr>
              <w:pStyle w:val="6"/>
              <w:spacing w:before="102" w:line="213" w:lineRule="auto"/>
              <w:ind w:left="53"/>
            </w:pPr>
            <w:r>
              <w:rPr>
                <w:rFonts w:ascii="宋体" w:hAnsi="宋体" w:eastAsia="宋体" w:cs="宋体"/>
                <w:spacing w:val="-2"/>
              </w:rPr>
              <w:t>设计洪水洪量</w:t>
            </w:r>
            <w:r>
              <w:rPr>
                <w:spacing w:val="-2"/>
              </w:rPr>
              <w:t>(1d)</w:t>
            </w:r>
          </w:p>
        </w:tc>
        <w:tc>
          <w:tcPr>
            <w:tcW w:w="925" w:type="dxa"/>
            <w:vAlign w:val="top"/>
          </w:tcPr>
          <w:p w14:paraId="6C7A3390">
            <w:pPr>
              <w:pStyle w:val="6"/>
              <w:spacing w:before="103" w:line="234" w:lineRule="auto"/>
              <w:ind w:left="148"/>
            </w:pPr>
            <w:r>
              <w:rPr>
                <w:rFonts w:ascii="宋体" w:hAnsi="宋体" w:eastAsia="宋体" w:cs="宋体"/>
                <w:spacing w:val="-4"/>
              </w:rPr>
              <w:t>万</w:t>
            </w:r>
            <w:r>
              <w:rPr>
                <w:rFonts w:ascii="宋体" w:hAnsi="宋体" w:eastAsia="宋体" w:cs="宋体"/>
                <w:spacing w:val="-47"/>
              </w:rPr>
              <w:t xml:space="preserve"> </w:t>
            </w:r>
            <w:r>
              <w:rPr>
                <w:spacing w:val="-4"/>
              </w:rPr>
              <w:t>m</w:t>
            </w:r>
            <w:r>
              <w:rPr>
                <w:spacing w:val="-4"/>
                <w:position w:val="7"/>
                <w:sz w:val="14"/>
                <w:szCs w:val="14"/>
              </w:rPr>
              <w:t>3</w:t>
            </w:r>
            <w:r>
              <w:rPr>
                <w:spacing w:val="-4"/>
              </w:rPr>
              <w:t>/s</w:t>
            </w:r>
          </w:p>
        </w:tc>
        <w:tc>
          <w:tcPr>
            <w:tcW w:w="2154" w:type="dxa"/>
            <w:vAlign w:val="top"/>
          </w:tcPr>
          <w:p w14:paraId="0AF47540">
            <w:pPr>
              <w:pStyle w:val="6"/>
              <w:spacing w:before="136" w:line="232" w:lineRule="auto"/>
              <w:ind w:left="872"/>
            </w:pPr>
            <w:r>
              <w:rPr>
                <w:spacing w:val="-3"/>
              </w:rPr>
              <w:t>3489</w:t>
            </w:r>
          </w:p>
        </w:tc>
        <w:tc>
          <w:tcPr>
            <w:tcW w:w="2474" w:type="dxa"/>
            <w:tcBorders>
              <w:right w:val="single" w:color="000000" w:sz="12" w:space="0"/>
            </w:tcBorders>
            <w:vAlign w:val="top"/>
          </w:tcPr>
          <w:p w14:paraId="2CD89EEF">
            <w:pPr>
              <w:pStyle w:val="6"/>
              <w:spacing w:before="136" w:line="232" w:lineRule="auto"/>
              <w:ind w:left="1033"/>
            </w:pPr>
            <w:r>
              <w:rPr>
                <w:spacing w:val="-2"/>
              </w:rPr>
              <w:t>3849</w:t>
            </w:r>
          </w:p>
        </w:tc>
      </w:tr>
      <w:tr w14:paraId="38C16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9CFDD56">
            <w:pPr>
              <w:pStyle w:val="6"/>
              <w:spacing w:before="103" w:line="213" w:lineRule="auto"/>
              <w:ind w:left="51"/>
            </w:pPr>
            <w:r>
              <w:rPr>
                <w:rFonts w:ascii="宋体" w:hAnsi="宋体" w:eastAsia="宋体" w:cs="宋体"/>
                <w:spacing w:val="-1"/>
              </w:rPr>
              <w:t>校核洪水洪量</w:t>
            </w:r>
            <w:r>
              <w:rPr>
                <w:spacing w:val="-1"/>
              </w:rPr>
              <w:t>(1d)</w:t>
            </w:r>
          </w:p>
        </w:tc>
        <w:tc>
          <w:tcPr>
            <w:tcW w:w="925" w:type="dxa"/>
            <w:vAlign w:val="top"/>
          </w:tcPr>
          <w:p w14:paraId="06CB1AF0">
            <w:pPr>
              <w:pStyle w:val="6"/>
              <w:spacing w:before="103" w:line="234" w:lineRule="auto"/>
              <w:ind w:left="148"/>
            </w:pPr>
            <w:r>
              <w:rPr>
                <w:rFonts w:ascii="宋体" w:hAnsi="宋体" w:eastAsia="宋体" w:cs="宋体"/>
                <w:spacing w:val="-4"/>
              </w:rPr>
              <w:t>万</w:t>
            </w:r>
            <w:r>
              <w:rPr>
                <w:rFonts w:ascii="宋体" w:hAnsi="宋体" w:eastAsia="宋体" w:cs="宋体"/>
                <w:spacing w:val="-47"/>
              </w:rPr>
              <w:t xml:space="preserve"> </w:t>
            </w:r>
            <w:r>
              <w:rPr>
                <w:spacing w:val="-4"/>
              </w:rPr>
              <w:t>m</w:t>
            </w:r>
            <w:r>
              <w:rPr>
                <w:spacing w:val="-4"/>
                <w:position w:val="7"/>
                <w:sz w:val="14"/>
                <w:szCs w:val="14"/>
              </w:rPr>
              <w:t>3</w:t>
            </w:r>
            <w:r>
              <w:rPr>
                <w:spacing w:val="-4"/>
              </w:rPr>
              <w:t>/s</w:t>
            </w:r>
          </w:p>
        </w:tc>
        <w:tc>
          <w:tcPr>
            <w:tcW w:w="2154" w:type="dxa"/>
            <w:vAlign w:val="top"/>
          </w:tcPr>
          <w:p w14:paraId="08CAC47D">
            <w:pPr>
              <w:pStyle w:val="6"/>
              <w:spacing w:before="137" w:line="232" w:lineRule="auto"/>
              <w:ind w:left="873"/>
            </w:pPr>
            <w:r>
              <w:rPr>
                <w:spacing w:val="-3"/>
              </w:rPr>
              <w:t>5934</w:t>
            </w:r>
          </w:p>
        </w:tc>
        <w:tc>
          <w:tcPr>
            <w:tcW w:w="2474" w:type="dxa"/>
            <w:tcBorders>
              <w:right w:val="single" w:color="000000" w:sz="12" w:space="0"/>
            </w:tcBorders>
            <w:vAlign w:val="top"/>
          </w:tcPr>
          <w:p w14:paraId="508FB65A">
            <w:pPr>
              <w:pStyle w:val="6"/>
              <w:spacing w:before="137" w:line="232" w:lineRule="auto"/>
              <w:ind w:left="1032"/>
            </w:pPr>
            <w:r>
              <w:rPr>
                <w:spacing w:val="-2"/>
              </w:rPr>
              <w:t>7120</w:t>
            </w:r>
          </w:p>
        </w:tc>
      </w:tr>
      <w:tr w14:paraId="1BD7E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432028DE">
            <w:pPr>
              <w:pStyle w:val="6"/>
              <w:spacing w:before="104" w:line="236" w:lineRule="auto"/>
              <w:ind w:left="51"/>
              <w:rPr>
                <w:rFonts w:ascii="宋体" w:hAnsi="宋体" w:eastAsia="宋体" w:cs="宋体"/>
              </w:rPr>
            </w:pPr>
            <w:r>
              <w:rPr>
                <w:spacing w:val="-3"/>
              </w:rPr>
              <w:t>6.</w:t>
            </w:r>
            <w:r>
              <w:rPr>
                <w:rFonts w:ascii="宋体" w:hAnsi="宋体" w:eastAsia="宋体" w:cs="宋体"/>
                <w:spacing w:val="-3"/>
              </w:rPr>
              <w:t>泥沙</w:t>
            </w:r>
          </w:p>
        </w:tc>
        <w:tc>
          <w:tcPr>
            <w:tcW w:w="925" w:type="dxa"/>
            <w:vAlign w:val="top"/>
          </w:tcPr>
          <w:p w14:paraId="43A7C644">
            <w:pPr>
              <w:rPr>
                <w:rFonts w:ascii="Arial"/>
                <w:sz w:val="21"/>
              </w:rPr>
            </w:pPr>
          </w:p>
        </w:tc>
        <w:tc>
          <w:tcPr>
            <w:tcW w:w="2154" w:type="dxa"/>
            <w:vAlign w:val="top"/>
          </w:tcPr>
          <w:p w14:paraId="47CF8987">
            <w:pPr>
              <w:rPr>
                <w:rFonts w:ascii="Arial"/>
                <w:sz w:val="21"/>
              </w:rPr>
            </w:pPr>
          </w:p>
        </w:tc>
        <w:tc>
          <w:tcPr>
            <w:tcW w:w="2474" w:type="dxa"/>
            <w:tcBorders>
              <w:right w:val="single" w:color="000000" w:sz="12" w:space="0"/>
            </w:tcBorders>
            <w:vAlign w:val="top"/>
          </w:tcPr>
          <w:p w14:paraId="683763C3">
            <w:pPr>
              <w:rPr>
                <w:rFonts w:ascii="Arial"/>
                <w:sz w:val="21"/>
              </w:rPr>
            </w:pPr>
          </w:p>
        </w:tc>
      </w:tr>
      <w:tr w14:paraId="6A4B1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729E6E39">
            <w:pPr>
              <w:spacing w:before="105" w:line="220" w:lineRule="auto"/>
              <w:ind w:left="60"/>
              <w:rPr>
                <w:rFonts w:ascii="宋体" w:hAnsi="宋体" w:eastAsia="宋体" w:cs="宋体"/>
                <w:sz w:val="21"/>
                <w:szCs w:val="21"/>
              </w:rPr>
            </w:pPr>
            <w:r>
              <w:rPr>
                <w:rFonts w:ascii="宋体" w:hAnsi="宋体" w:eastAsia="宋体" w:cs="宋体"/>
                <w:spacing w:val="-2"/>
                <w:sz w:val="21"/>
                <w:szCs w:val="21"/>
              </w:rPr>
              <w:t>多年平均悬移质输沙量</w:t>
            </w:r>
          </w:p>
        </w:tc>
        <w:tc>
          <w:tcPr>
            <w:tcW w:w="925" w:type="dxa"/>
            <w:vAlign w:val="top"/>
          </w:tcPr>
          <w:p w14:paraId="37E35E95">
            <w:pPr>
              <w:pStyle w:val="6"/>
              <w:spacing w:before="105" w:line="234" w:lineRule="auto"/>
              <w:ind w:left="306"/>
            </w:pPr>
            <w:r>
              <w:rPr>
                <w:rFonts w:ascii="宋体" w:hAnsi="宋体" w:eastAsia="宋体" w:cs="宋体"/>
                <w:spacing w:val="-7"/>
              </w:rPr>
              <w:t>万</w:t>
            </w:r>
            <w:r>
              <w:rPr>
                <w:rFonts w:ascii="宋体" w:hAnsi="宋体" w:eastAsia="宋体" w:cs="宋体"/>
                <w:spacing w:val="-51"/>
              </w:rPr>
              <w:t xml:space="preserve"> </w:t>
            </w:r>
            <w:r>
              <w:rPr>
                <w:spacing w:val="-7"/>
              </w:rPr>
              <w:t>t</w:t>
            </w:r>
          </w:p>
        </w:tc>
        <w:tc>
          <w:tcPr>
            <w:tcW w:w="2154" w:type="dxa"/>
            <w:vAlign w:val="top"/>
          </w:tcPr>
          <w:p w14:paraId="45B867DE">
            <w:pPr>
              <w:pStyle w:val="6"/>
              <w:spacing w:before="139" w:line="232" w:lineRule="auto"/>
              <w:ind w:left="894"/>
            </w:pPr>
            <w:r>
              <w:rPr>
                <w:spacing w:val="-1"/>
              </w:rPr>
              <w:t>20.2</w:t>
            </w:r>
          </w:p>
        </w:tc>
        <w:tc>
          <w:tcPr>
            <w:tcW w:w="2474" w:type="dxa"/>
            <w:tcBorders>
              <w:right w:val="single" w:color="000000" w:sz="12" w:space="0"/>
            </w:tcBorders>
            <w:vAlign w:val="top"/>
          </w:tcPr>
          <w:p w14:paraId="605852D7">
            <w:pPr>
              <w:pStyle w:val="6"/>
              <w:spacing w:before="139" w:line="232" w:lineRule="auto"/>
              <w:ind w:left="1055"/>
            </w:pPr>
            <w:r>
              <w:rPr>
                <w:spacing w:val="-1"/>
              </w:rPr>
              <w:t>20.2</w:t>
            </w:r>
          </w:p>
        </w:tc>
      </w:tr>
      <w:tr w14:paraId="6952E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34271C6">
            <w:pPr>
              <w:spacing w:before="110" w:line="220" w:lineRule="auto"/>
              <w:ind w:left="60"/>
              <w:rPr>
                <w:rFonts w:ascii="宋体" w:hAnsi="宋体" w:eastAsia="宋体" w:cs="宋体"/>
                <w:sz w:val="21"/>
                <w:szCs w:val="21"/>
              </w:rPr>
            </w:pPr>
            <w:r>
              <w:rPr>
                <w:rFonts w:ascii="宋体" w:hAnsi="宋体" w:eastAsia="宋体" w:cs="宋体"/>
                <w:spacing w:val="-3"/>
                <w:sz w:val="21"/>
                <w:szCs w:val="21"/>
              </w:rPr>
              <w:t>多年平均含沙量</w:t>
            </w:r>
          </w:p>
        </w:tc>
        <w:tc>
          <w:tcPr>
            <w:tcW w:w="925" w:type="dxa"/>
            <w:vAlign w:val="top"/>
          </w:tcPr>
          <w:p w14:paraId="68641D2D">
            <w:pPr>
              <w:pStyle w:val="6"/>
              <w:spacing w:before="113" w:line="217" w:lineRule="auto"/>
              <w:ind w:left="203"/>
              <w:rPr>
                <w:sz w:val="14"/>
                <w:szCs w:val="14"/>
              </w:rPr>
            </w:pPr>
            <w:r>
              <w:t>kg/m</w:t>
            </w:r>
            <w:r>
              <w:rPr>
                <w:position w:val="7"/>
                <w:sz w:val="14"/>
                <w:szCs w:val="14"/>
              </w:rPr>
              <w:t>3</w:t>
            </w:r>
          </w:p>
        </w:tc>
        <w:tc>
          <w:tcPr>
            <w:tcW w:w="2154" w:type="dxa"/>
            <w:vAlign w:val="top"/>
          </w:tcPr>
          <w:p w14:paraId="31CED5DF">
            <w:pPr>
              <w:pStyle w:val="6"/>
              <w:spacing w:before="145" w:line="232" w:lineRule="auto"/>
              <w:ind w:left="844"/>
            </w:pPr>
            <w:r>
              <w:rPr>
                <w:spacing w:val="-2"/>
              </w:rPr>
              <w:t>0.932</w:t>
            </w:r>
          </w:p>
        </w:tc>
        <w:tc>
          <w:tcPr>
            <w:tcW w:w="2474" w:type="dxa"/>
            <w:tcBorders>
              <w:right w:val="single" w:color="000000" w:sz="12" w:space="0"/>
            </w:tcBorders>
            <w:vAlign w:val="top"/>
          </w:tcPr>
          <w:p w14:paraId="3B6A5E0E">
            <w:pPr>
              <w:pStyle w:val="6"/>
              <w:spacing w:before="145" w:line="232" w:lineRule="auto"/>
              <w:ind w:left="1005"/>
            </w:pPr>
            <w:r>
              <w:rPr>
                <w:spacing w:val="-2"/>
              </w:rPr>
              <w:t>0.932</w:t>
            </w:r>
          </w:p>
        </w:tc>
      </w:tr>
      <w:tr w14:paraId="5AD06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090BCC26">
            <w:pPr>
              <w:spacing w:before="107" w:line="220" w:lineRule="auto"/>
              <w:ind w:left="60"/>
              <w:rPr>
                <w:rFonts w:ascii="宋体" w:hAnsi="宋体" w:eastAsia="宋体" w:cs="宋体"/>
                <w:sz w:val="21"/>
                <w:szCs w:val="21"/>
              </w:rPr>
            </w:pPr>
            <w:r>
              <w:rPr>
                <w:rFonts w:ascii="宋体" w:hAnsi="宋体" w:eastAsia="宋体" w:cs="宋体"/>
                <w:spacing w:val="-2"/>
                <w:sz w:val="21"/>
                <w:szCs w:val="21"/>
              </w:rPr>
              <w:t>多年平均推移质输沙量</w:t>
            </w:r>
          </w:p>
        </w:tc>
        <w:tc>
          <w:tcPr>
            <w:tcW w:w="925" w:type="dxa"/>
            <w:vAlign w:val="top"/>
          </w:tcPr>
          <w:p w14:paraId="3473C86D">
            <w:pPr>
              <w:pStyle w:val="6"/>
              <w:spacing w:before="108" w:line="234" w:lineRule="auto"/>
              <w:ind w:left="306"/>
            </w:pPr>
            <w:r>
              <w:rPr>
                <w:rFonts w:ascii="宋体" w:hAnsi="宋体" w:eastAsia="宋体" w:cs="宋体"/>
                <w:spacing w:val="-7"/>
              </w:rPr>
              <w:t>万</w:t>
            </w:r>
            <w:r>
              <w:rPr>
                <w:rFonts w:ascii="宋体" w:hAnsi="宋体" w:eastAsia="宋体" w:cs="宋体"/>
                <w:spacing w:val="-51"/>
              </w:rPr>
              <w:t xml:space="preserve"> </w:t>
            </w:r>
            <w:r>
              <w:rPr>
                <w:spacing w:val="-7"/>
              </w:rPr>
              <w:t>t</w:t>
            </w:r>
          </w:p>
        </w:tc>
        <w:tc>
          <w:tcPr>
            <w:tcW w:w="2154" w:type="dxa"/>
            <w:vAlign w:val="top"/>
          </w:tcPr>
          <w:p w14:paraId="150D9D79">
            <w:pPr>
              <w:pStyle w:val="6"/>
              <w:spacing w:before="141" w:line="232" w:lineRule="auto"/>
              <w:ind w:left="946"/>
            </w:pPr>
            <w:r>
              <w:rPr>
                <w:spacing w:val="-2"/>
              </w:rPr>
              <w:t>2.0</w:t>
            </w:r>
          </w:p>
        </w:tc>
        <w:tc>
          <w:tcPr>
            <w:tcW w:w="2474" w:type="dxa"/>
            <w:tcBorders>
              <w:right w:val="single" w:color="000000" w:sz="12" w:space="0"/>
            </w:tcBorders>
            <w:vAlign w:val="top"/>
          </w:tcPr>
          <w:p w14:paraId="2D221B63">
            <w:pPr>
              <w:pStyle w:val="6"/>
              <w:spacing w:before="141" w:line="232" w:lineRule="auto"/>
              <w:ind w:left="1108"/>
            </w:pPr>
            <w:r>
              <w:rPr>
                <w:spacing w:val="-2"/>
              </w:rPr>
              <w:t>2.0</w:t>
            </w:r>
          </w:p>
        </w:tc>
      </w:tr>
      <w:tr w14:paraId="6DF13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364EC1D5">
            <w:pPr>
              <w:spacing w:before="108" w:line="220" w:lineRule="auto"/>
              <w:ind w:left="53"/>
              <w:rPr>
                <w:rFonts w:ascii="宋体" w:hAnsi="宋体" w:eastAsia="宋体" w:cs="宋体"/>
                <w:sz w:val="21"/>
                <w:szCs w:val="21"/>
              </w:rPr>
            </w:pPr>
            <w:r>
              <w:rPr>
                <w:rFonts w:ascii="宋体" w:hAnsi="宋体" w:eastAsia="宋体" w:cs="宋体"/>
                <w:b/>
                <w:bCs/>
                <w:spacing w:val="-4"/>
                <w:sz w:val="21"/>
                <w:szCs w:val="21"/>
              </w:rPr>
              <w:t>二、水库</w:t>
            </w:r>
          </w:p>
        </w:tc>
        <w:tc>
          <w:tcPr>
            <w:tcW w:w="925" w:type="dxa"/>
            <w:vAlign w:val="top"/>
          </w:tcPr>
          <w:p w14:paraId="51464B18">
            <w:pPr>
              <w:rPr>
                <w:rFonts w:ascii="Arial"/>
                <w:sz w:val="21"/>
              </w:rPr>
            </w:pPr>
          </w:p>
        </w:tc>
        <w:tc>
          <w:tcPr>
            <w:tcW w:w="2154" w:type="dxa"/>
            <w:vAlign w:val="top"/>
          </w:tcPr>
          <w:p w14:paraId="67CE7DF3">
            <w:pPr>
              <w:rPr>
                <w:rFonts w:ascii="Arial"/>
                <w:sz w:val="21"/>
              </w:rPr>
            </w:pPr>
          </w:p>
        </w:tc>
        <w:tc>
          <w:tcPr>
            <w:tcW w:w="2474" w:type="dxa"/>
            <w:tcBorders>
              <w:right w:val="single" w:color="000000" w:sz="12" w:space="0"/>
            </w:tcBorders>
            <w:vAlign w:val="top"/>
          </w:tcPr>
          <w:p w14:paraId="2D5575B5">
            <w:pPr>
              <w:rPr>
                <w:rFonts w:ascii="Arial"/>
                <w:sz w:val="21"/>
              </w:rPr>
            </w:pPr>
          </w:p>
        </w:tc>
      </w:tr>
      <w:tr w14:paraId="435DF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5A249F23">
            <w:pPr>
              <w:pStyle w:val="6"/>
              <w:spacing w:before="110" w:line="233" w:lineRule="auto"/>
              <w:ind w:left="66"/>
              <w:rPr>
                <w:rFonts w:ascii="宋体" w:hAnsi="宋体" w:eastAsia="宋体" w:cs="宋体"/>
              </w:rPr>
            </w:pPr>
            <w:r>
              <w:rPr>
                <w:spacing w:val="-4"/>
              </w:rPr>
              <w:t>1.</w:t>
            </w:r>
            <w:r>
              <w:rPr>
                <w:rFonts w:ascii="宋体" w:hAnsi="宋体" w:eastAsia="宋体" w:cs="宋体"/>
                <w:spacing w:val="-4"/>
              </w:rPr>
              <w:t>水库水位</w:t>
            </w:r>
          </w:p>
        </w:tc>
        <w:tc>
          <w:tcPr>
            <w:tcW w:w="925" w:type="dxa"/>
            <w:vAlign w:val="top"/>
          </w:tcPr>
          <w:p w14:paraId="3F927100">
            <w:pPr>
              <w:rPr>
                <w:rFonts w:ascii="Arial"/>
                <w:sz w:val="21"/>
              </w:rPr>
            </w:pPr>
          </w:p>
        </w:tc>
        <w:tc>
          <w:tcPr>
            <w:tcW w:w="2154" w:type="dxa"/>
            <w:vAlign w:val="top"/>
          </w:tcPr>
          <w:p w14:paraId="6C41F850">
            <w:pPr>
              <w:rPr>
                <w:rFonts w:ascii="Arial"/>
                <w:sz w:val="21"/>
              </w:rPr>
            </w:pPr>
          </w:p>
        </w:tc>
        <w:tc>
          <w:tcPr>
            <w:tcW w:w="2474" w:type="dxa"/>
            <w:tcBorders>
              <w:right w:val="single" w:color="000000" w:sz="12" w:space="0"/>
            </w:tcBorders>
            <w:vAlign w:val="top"/>
          </w:tcPr>
          <w:p w14:paraId="3FDD828C">
            <w:pPr>
              <w:rPr>
                <w:rFonts w:ascii="Arial"/>
                <w:sz w:val="21"/>
              </w:rPr>
            </w:pPr>
          </w:p>
        </w:tc>
      </w:tr>
      <w:tr w14:paraId="5FAC0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656B7EA">
            <w:pPr>
              <w:pStyle w:val="6"/>
              <w:spacing w:before="117" w:line="233" w:lineRule="auto"/>
              <w:ind w:left="51"/>
              <w:rPr>
                <w:rFonts w:ascii="宋体" w:hAnsi="宋体" w:eastAsia="宋体" w:cs="宋体"/>
              </w:rPr>
            </w:pPr>
            <w:r>
              <w:rPr>
                <w:rFonts w:ascii="宋体" w:hAnsi="宋体" w:eastAsia="宋体" w:cs="宋体"/>
                <w:spacing w:val="-1"/>
              </w:rPr>
              <w:t>校核洪水位（</w:t>
            </w:r>
            <w:r>
              <w:rPr>
                <w:spacing w:val="-1"/>
              </w:rPr>
              <w:t>P=0.05%</w:t>
            </w:r>
            <w:r>
              <w:rPr>
                <w:rFonts w:ascii="宋体" w:hAnsi="宋体" w:eastAsia="宋体" w:cs="宋体"/>
                <w:spacing w:val="-1"/>
              </w:rPr>
              <w:t>）</w:t>
            </w:r>
          </w:p>
        </w:tc>
        <w:tc>
          <w:tcPr>
            <w:tcW w:w="925" w:type="dxa"/>
            <w:vAlign w:val="top"/>
          </w:tcPr>
          <w:p w14:paraId="3F6FACC5">
            <w:pPr>
              <w:pStyle w:val="6"/>
              <w:spacing w:before="150" w:line="235" w:lineRule="auto"/>
              <w:ind w:left="373"/>
            </w:pPr>
            <w:r>
              <w:t>m</w:t>
            </w:r>
          </w:p>
        </w:tc>
        <w:tc>
          <w:tcPr>
            <w:tcW w:w="2154" w:type="dxa"/>
            <w:vAlign w:val="top"/>
          </w:tcPr>
          <w:p w14:paraId="0531AE41">
            <w:pPr>
              <w:pStyle w:val="6"/>
              <w:spacing w:before="150" w:line="232" w:lineRule="auto"/>
              <w:ind w:left="808"/>
            </w:pPr>
            <w:r>
              <w:rPr>
                <w:spacing w:val="-4"/>
              </w:rPr>
              <w:t>1941.2</w:t>
            </w:r>
          </w:p>
        </w:tc>
        <w:tc>
          <w:tcPr>
            <w:tcW w:w="2474" w:type="dxa"/>
            <w:tcBorders>
              <w:right w:val="single" w:color="000000" w:sz="12" w:space="0"/>
            </w:tcBorders>
            <w:vAlign w:val="top"/>
          </w:tcPr>
          <w:p w14:paraId="172D0DF5">
            <w:pPr>
              <w:pStyle w:val="6"/>
              <w:spacing w:before="150" w:line="232" w:lineRule="auto"/>
              <w:ind w:left="971"/>
            </w:pPr>
            <w:r>
              <w:rPr>
                <w:spacing w:val="-4"/>
              </w:rPr>
              <w:t>1941.2</w:t>
            </w:r>
          </w:p>
        </w:tc>
      </w:tr>
      <w:tr w14:paraId="1025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2B2A3101">
            <w:pPr>
              <w:pStyle w:val="6"/>
              <w:spacing w:before="116" w:line="220" w:lineRule="auto"/>
              <w:ind w:left="53"/>
              <w:rPr>
                <w:rFonts w:ascii="宋体" w:hAnsi="宋体" w:eastAsia="宋体" w:cs="宋体"/>
              </w:rPr>
            </w:pPr>
            <w:r>
              <w:rPr>
                <w:rFonts w:ascii="宋体" w:hAnsi="宋体" w:eastAsia="宋体" w:cs="宋体"/>
                <w:spacing w:val="-2"/>
              </w:rPr>
              <w:t>设计洪水位（</w:t>
            </w:r>
            <w:r>
              <w:rPr>
                <w:spacing w:val="-2"/>
              </w:rPr>
              <w:t>P=1%</w:t>
            </w:r>
            <w:r>
              <w:rPr>
                <w:rFonts w:ascii="宋体" w:hAnsi="宋体" w:eastAsia="宋体" w:cs="宋体"/>
                <w:spacing w:val="-2"/>
              </w:rPr>
              <w:t>）</w:t>
            </w:r>
          </w:p>
        </w:tc>
        <w:tc>
          <w:tcPr>
            <w:tcW w:w="925" w:type="dxa"/>
            <w:vAlign w:val="top"/>
          </w:tcPr>
          <w:p w14:paraId="339766AC">
            <w:pPr>
              <w:pStyle w:val="6"/>
              <w:spacing w:before="150" w:line="235" w:lineRule="auto"/>
              <w:ind w:left="373"/>
            </w:pPr>
            <w:r>
              <w:t>m</w:t>
            </w:r>
          </w:p>
        </w:tc>
        <w:tc>
          <w:tcPr>
            <w:tcW w:w="2154" w:type="dxa"/>
            <w:vAlign w:val="top"/>
          </w:tcPr>
          <w:p w14:paraId="715F381F">
            <w:pPr>
              <w:pStyle w:val="6"/>
              <w:spacing w:before="150" w:line="232" w:lineRule="auto"/>
              <w:ind w:left="808"/>
            </w:pPr>
            <w:r>
              <w:rPr>
                <w:spacing w:val="-4"/>
              </w:rPr>
              <w:t>1938.8</w:t>
            </w:r>
          </w:p>
        </w:tc>
        <w:tc>
          <w:tcPr>
            <w:tcW w:w="2474" w:type="dxa"/>
            <w:tcBorders>
              <w:right w:val="single" w:color="000000" w:sz="12" w:space="0"/>
            </w:tcBorders>
            <w:vAlign w:val="top"/>
          </w:tcPr>
          <w:p w14:paraId="05A1188B">
            <w:pPr>
              <w:pStyle w:val="6"/>
              <w:spacing w:before="150" w:line="232" w:lineRule="auto"/>
              <w:ind w:left="918"/>
            </w:pPr>
            <w:r>
              <w:rPr>
                <w:spacing w:val="-4"/>
              </w:rPr>
              <w:t>1938.75</w:t>
            </w:r>
          </w:p>
        </w:tc>
      </w:tr>
      <w:tr w14:paraId="7E340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379D33F9">
            <w:pPr>
              <w:spacing w:before="119" w:line="220" w:lineRule="auto"/>
              <w:ind w:left="54"/>
              <w:rPr>
                <w:rFonts w:ascii="宋体" w:hAnsi="宋体" w:eastAsia="宋体" w:cs="宋体"/>
                <w:sz w:val="21"/>
                <w:szCs w:val="21"/>
              </w:rPr>
            </w:pPr>
            <w:r>
              <w:rPr>
                <w:rFonts w:ascii="宋体" w:hAnsi="宋体" w:eastAsia="宋体" w:cs="宋体"/>
                <w:spacing w:val="-2"/>
                <w:sz w:val="21"/>
                <w:szCs w:val="21"/>
              </w:rPr>
              <w:t>正常蓄水位</w:t>
            </w:r>
          </w:p>
        </w:tc>
        <w:tc>
          <w:tcPr>
            <w:tcW w:w="925" w:type="dxa"/>
            <w:vAlign w:val="top"/>
          </w:tcPr>
          <w:p w14:paraId="6EED4B13">
            <w:pPr>
              <w:pStyle w:val="6"/>
              <w:spacing w:before="151" w:line="235" w:lineRule="auto"/>
              <w:ind w:left="373"/>
            </w:pPr>
            <w:r>
              <w:t>m</w:t>
            </w:r>
          </w:p>
        </w:tc>
        <w:tc>
          <w:tcPr>
            <w:tcW w:w="2154" w:type="dxa"/>
            <w:vAlign w:val="top"/>
          </w:tcPr>
          <w:p w14:paraId="08A371E2">
            <w:pPr>
              <w:pStyle w:val="6"/>
              <w:spacing w:before="152" w:line="232" w:lineRule="auto"/>
              <w:ind w:left="808"/>
            </w:pPr>
            <w:r>
              <w:rPr>
                <w:spacing w:val="-4"/>
              </w:rPr>
              <w:t>1938.5</w:t>
            </w:r>
          </w:p>
        </w:tc>
        <w:tc>
          <w:tcPr>
            <w:tcW w:w="2474" w:type="dxa"/>
            <w:tcBorders>
              <w:right w:val="single" w:color="000000" w:sz="12" w:space="0"/>
            </w:tcBorders>
            <w:vAlign w:val="top"/>
          </w:tcPr>
          <w:p w14:paraId="58C8A403">
            <w:pPr>
              <w:pStyle w:val="6"/>
              <w:spacing w:before="152" w:line="232" w:lineRule="auto"/>
              <w:ind w:left="971"/>
            </w:pPr>
            <w:r>
              <w:rPr>
                <w:spacing w:val="-4"/>
              </w:rPr>
              <w:t>1938.5</w:t>
            </w:r>
          </w:p>
        </w:tc>
      </w:tr>
      <w:tr w14:paraId="392BE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921" w:type="dxa"/>
            <w:tcBorders>
              <w:left w:val="single" w:color="000000" w:sz="12" w:space="0"/>
              <w:bottom w:val="single" w:color="000000" w:sz="12" w:space="0"/>
            </w:tcBorders>
            <w:vAlign w:val="top"/>
          </w:tcPr>
          <w:p w14:paraId="62A3C7D4">
            <w:pPr>
              <w:spacing w:before="114" w:line="220" w:lineRule="auto"/>
              <w:ind w:left="51"/>
              <w:rPr>
                <w:rFonts w:ascii="宋体" w:hAnsi="宋体" w:eastAsia="宋体" w:cs="宋体"/>
                <w:sz w:val="21"/>
                <w:szCs w:val="21"/>
              </w:rPr>
            </w:pPr>
            <w:r>
              <w:rPr>
                <w:rFonts w:ascii="宋体" w:hAnsi="宋体" w:eastAsia="宋体" w:cs="宋体"/>
                <w:spacing w:val="-3"/>
                <w:sz w:val="21"/>
                <w:szCs w:val="21"/>
              </w:rPr>
              <w:t>死水位</w:t>
            </w:r>
          </w:p>
        </w:tc>
        <w:tc>
          <w:tcPr>
            <w:tcW w:w="925" w:type="dxa"/>
            <w:tcBorders>
              <w:bottom w:val="single" w:color="000000" w:sz="12" w:space="0"/>
            </w:tcBorders>
            <w:vAlign w:val="top"/>
          </w:tcPr>
          <w:p w14:paraId="6EDADFE1">
            <w:pPr>
              <w:pStyle w:val="6"/>
              <w:spacing w:before="148" w:line="235" w:lineRule="auto"/>
              <w:ind w:left="373"/>
            </w:pPr>
            <w:r>
              <w:t>m</w:t>
            </w:r>
          </w:p>
        </w:tc>
        <w:tc>
          <w:tcPr>
            <w:tcW w:w="2154" w:type="dxa"/>
            <w:tcBorders>
              <w:bottom w:val="single" w:color="000000" w:sz="12" w:space="0"/>
            </w:tcBorders>
            <w:vAlign w:val="top"/>
          </w:tcPr>
          <w:p w14:paraId="76B56237">
            <w:pPr>
              <w:pStyle w:val="6"/>
              <w:spacing w:before="148" w:line="232" w:lineRule="auto"/>
              <w:ind w:left="808"/>
            </w:pPr>
            <w:r>
              <w:rPr>
                <w:spacing w:val="-4"/>
              </w:rPr>
              <w:t>1915.3</w:t>
            </w:r>
          </w:p>
        </w:tc>
        <w:tc>
          <w:tcPr>
            <w:tcW w:w="2474" w:type="dxa"/>
            <w:tcBorders>
              <w:bottom w:val="single" w:color="000000" w:sz="12" w:space="0"/>
              <w:right w:val="single" w:color="000000" w:sz="12" w:space="0"/>
            </w:tcBorders>
            <w:vAlign w:val="top"/>
          </w:tcPr>
          <w:p w14:paraId="5131D0F5">
            <w:pPr>
              <w:pStyle w:val="6"/>
              <w:spacing w:before="148" w:line="232" w:lineRule="auto"/>
              <w:ind w:left="971"/>
            </w:pPr>
            <w:r>
              <w:rPr>
                <w:spacing w:val="-4"/>
              </w:rPr>
              <w:t>1915.3</w:t>
            </w:r>
          </w:p>
        </w:tc>
      </w:tr>
    </w:tbl>
    <w:p w14:paraId="0210C3C3">
      <w:pPr>
        <w:rPr>
          <w:rFonts w:ascii="Arial"/>
          <w:sz w:val="21"/>
        </w:rPr>
      </w:pPr>
    </w:p>
    <w:p w14:paraId="11D2B065">
      <w:pPr>
        <w:rPr>
          <w:rFonts w:ascii="Arial" w:hAnsi="Arial" w:eastAsia="Arial" w:cs="Arial"/>
          <w:sz w:val="21"/>
          <w:szCs w:val="21"/>
        </w:rPr>
        <w:sectPr>
          <w:headerReference r:id="rId38" w:type="default"/>
          <w:footerReference r:id="rId39" w:type="default"/>
          <w:pgSz w:w="11907" w:h="16839"/>
          <w:pgMar w:top="1376" w:right="1633" w:bottom="1061" w:left="1671" w:header="999" w:footer="861" w:gutter="0"/>
          <w:cols w:space="720" w:num="1"/>
        </w:sectPr>
      </w:pPr>
    </w:p>
    <w:p w14:paraId="55E70081">
      <w:pPr>
        <w:spacing w:before="148"/>
      </w:pP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1"/>
        <w:gridCol w:w="925"/>
        <w:gridCol w:w="2154"/>
        <w:gridCol w:w="2474"/>
      </w:tblGrid>
      <w:tr w14:paraId="28FD6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2921" w:type="dxa"/>
            <w:vMerge w:val="restart"/>
            <w:tcBorders>
              <w:top w:val="single" w:color="000000" w:sz="12" w:space="0"/>
              <w:left w:val="single" w:color="000000" w:sz="12" w:space="0"/>
              <w:bottom w:val="nil"/>
            </w:tcBorders>
            <w:vAlign w:val="top"/>
          </w:tcPr>
          <w:p w14:paraId="7BD4664E">
            <w:pPr>
              <w:spacing w:before="287" w:line="220" w:lineRule="auto"/>
              <w:ind w:left="1244"/>
              <w:rPr>
                <w:rFonts w:ascii="宋体" w:hAnsi="宋体" w:eastAsia="宋体" w:cs="宋体"/>
                <w:sz w:val="21"/>
                <w:szCs w:val="21"/>
              </w:rPr>
            </w:pPr>
            <w:r>
              <w:rPr>
                <w:rFonts w:ascii="宋体" w:hAnsi="宋体" w:eastAsia="宋体" w:cs="宋体"/>
                <w:spacing w:val="-3"/>
                <w:sz w:val="21"/>
                <w:szCs w:val="21"/>
              </w:rPr>
              <w:t>指标</w:t>
            </w:r>
          </w:p>
        </w:tc>
        <w:tc>
          <w:tcPr>
            <w:tcW w:w="925" w:type="dxa"/>
            <w:vMerge w:val="restart"/>
            <w:tcBorders>
              <w:top w:val="single" w:color="000000" w:sz="12" w:space="0"/>
              <w:bottom w:val="nil"/>
            </w:tcBorders>
            <w:vAlign w:val="top"/>
          </w:tcPr>
          <w:p w14:paraId="0FFEBF56">
            <w:pPr>
              <w:spacing w:before="287" w:line="220" w:lineRule="auto"/>
              <w:ind w:left="20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8"/>
                <w:sz w:val="21"/>
                <w:szCs w:val="21"/>
              </w:rPr>
              <w:t xml:space="preserve"> </w:t>
            </w:r>
            <w:r>
              <w:rPr>
                <w:rFonts w:ascii="宋体" w:hAnsi="宋体" w:eastAsia="宋体" w:cs="宋体"/>
                <w:spacing w:val="-5"/>
                <w:sz w:val="21"/>
                <w:szCs w:val="21"/>
              </w:rPr>
              <w:t>位</w:t>
            </w:r>
          </w:p>
        </w:tc>
        <w:tc>
          <w:tcPr>
            <w:tcW w:w="4628" w:type="dxa"/>
            <w:gridSpan w:val="2"/>
            <w:tcBorders>
              <w:top w:val="single" w:color="000000" w:sz="12" w:space="0"/>
              <w:right w:val="single" w:color="000000" w:sz="12" w:space="0"/>
            </w:tcBorders>
            <w:vAlign w:val="top"/>
          </w:tcPr>
          <w:p w14:paraId="278CFE0D">
            <w:pPr>
              <w:spacing w:before="86" w:line="220" w:lineRule="auto"/>
              <w:ind w:left="1897"/>
              <w:rPr>
                <w:rFonts w:ascii="宋体" w:hAnsi="宋体" w:eastAsia="宋体" w:cs="宋体"/>
                <w:sz w:val="21"/>
                <w:szCs w:val="21"/>
              </w:rPr>
            </w:pPr>
            <w:r>
              <w:rPr>
                <w:rFonts w:ascii="宋体" w:hAnsi="宋体" w:eastAsia="宋体" w:cs="宋体"/>
                <w:spacing w:val="-3"/>
                <w:sz w:val="21"/>
                <w:szCs w:val="21"/>
              </w:rPr>
              <w:t>工程特性</w:t>
            </w:r>
          </w:p>
        </w:tc>
      </w:tr>
      <w:tr w14:paraId="735A0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vMerge w:val="continue"/>
            <w:tcBorders>
              <w:top w:val="nil"/>
              <w:left w:val="single" w:color="000000" w:sz="12" w:space="0"/>
            </w:tcBorders>
            <w:vAlign w:val="top"/>
          </w:tcPr>
          <w:p w14:paraId="1EB0CA43">
            <w:pPr>
              <w:rPr>
                <w:rFonts w:ascii="Arial"/>
                <w:sz w:val="21"/>
              </w:rPr>
            </w:pPr>
          </w:p>
        </w:tc>
        <w:tc>
          <w:tcPr>
            <w:tcW w:w="925" w:type="dxa"/>
            <w:vMerge w:val="continue"/>
            <w:tcBorders>
              <w:top w:val="nil"/>
            </w:tcBorders>
            <w:vAlign w:val="top"/>
          </w:tcPr>
          <w:p w14:paraId="51E97FE1">
            <w:pPr>
              <w:rPr>
                <w:rFonts w:ascii="Arial"/>
                <w:sz w:val="21"/>
              </w:rPr>
            </w:pPr>
          </w:p>
        </w:tc>
        <w:tc>
          <w:tcPr>
            <w:tcW w:w="2154" w:type="dxa"/>
            <w:vAlign w:val="top"/>
          </w:tcPr>
          <w:p w14:paraId="50B4F5FD">
            <w:pPr>
              <w:spacing w:before="87" w:line="220" w:lineRule="auto"/>
              <w:ind w:left="661"/>
              <w:rPr>
                <w:rFonts w:ascii="宋体" w:hAnsi="宋体" w:eastAsia="宋体" w:cs="宋体"/>
                <w:sz w:val="21"/>
                <w:szCs w:val="21"/>
              </w:rPr>
            </w:pPr>
            <w:r>
              <w:rPr>
                <w:rFonts w:ascii="宋体" w:hAnsi="宋体" w:eastAsia="宋体" w:cs="宋体"/>
                <w:spacing w:val="-2"/>
                <w:sz w:val="21"/>
                <w:szCs w:val="21"/>
              </w:rPr>
              <w:t>环评阶段</w:t>
            </w:r>
          </w:p>
        </w:tc>
        <w:tc>
          <w:tcPr>
            <w:tcW w:w="2474" w:type="dxa"/>
            <w:tcBorders>
              <w:right w:val="single" w:color="000000" w:sz="12" w:space="0"/>
            </w:tcBorders>
            <w:vAlign w:val="top"/>
          </w:tcPr>
          <w:p w14:paraId="523FE929">
            <w:pPr>
              <w:spacing w:before="87" w:line="221" w:lineRule="auto"/>
              <w:ind w:left="822"/>
              <w:rPr>
                <w:rFonts w:ascii="宋体" w:hAnsi="宋体" w:eastAsia="宋体" w:cs="宋体"/>
                <w:sz w:val="21"/>
                <w:szCs w:val="21"/>
              </w:rPr>
            </w:pPr>
            <w:r>
              <w:rPr>
                <w:rFonts w:ascii="宋体" w:hAnsi="宋体" w:eastAsia="宋体" w:cs="宋体"/>
                <w:spacing w:val="-2"/>
                <w:sz w:val="21"/>
                <w:szCs w:val="21"/>
              </w:rPr>
              <w:t>初设阶段</w:t>
            </w:r>
          </w:p>
        </w:tc>
      </w:tr>
      <w:tr w14:paraId="61309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2568FFBF">
            <w:pPr>
              <w:pStyle w:val="6"/>
              <w:spacing w:before="93" w:line="233" w:lineRule="auto"/>
              <w:ind w:left="46"/>
              <w:rPr>
                <w:rFonts w:ascii="宋体" w:hAnsi="宋体" w:eastAsia="宋体" w:cs="宋体"/>
              </w:rPr>
            </w:pPr>
            <w:r>
              <w:rPr>
                <w:spacing w:val="-1"/>
              </w:rPr>
              <w:t>2.</w:t>
            </w:r>
            <w:r>
              <w:rPr>
                <w:rFonts w:ascii="宋体" w:hAnsi="宋体" w:eastAsia="宋体" w:cs="宋体"/>
                <w:spacing w:val="-1"/>
              </w:rPr>
              <w:t>正常蓄水位时水库面积</w:t>
            </w:r>
          </w:p>
        </w:tc>
        <w:tc>
          <w:tcPr>
            <w:tcW w:w="925" w:type="dxa"/>
            <w:vAlign w:val="top"/>
          </w:tcPr>
          <w:p w14:paraId="62C4EE3B">
            <w:pPr>
              <w:pStyle w:val="6"/>
              <w:spacing w:before="94" w:line="269" w:lineRule="exact"/>
              <w:ind w:left="285"/>
              <w:rPr>
                <w:sz w:val="14"/>
                <w:szCs w:val="14"/>
              </w:rPr>
            </w:pPr>
            <w:r>
              <w:t>km</w:t>
            </w:r>
            <w:r>
              <w:rPr>
                <w:position w:val="7"/>
                <w:sz w:val="14"/>
                <w:szCs w:val="14"/>
              </w:rPr>
              <w:t>2</w:t>
            </w:r>
          </w:p>
        </w:tc>
        <w:tc>
          <w:tcPr>
            <w:tcW w:w="2154" w:type="dxa"/>
            <w:vAlign w:val="top"/>
          </w:tcPr>
          <w:p w14:paraId="5BB62978">
            <w:pPr>
              <w:pStyle w:val="6"/>
              <w:spacing w:before="126" w:line="232" w:lineRule="auto"/>
              <w:ind w:left="897"/>
            </w:pPr>
            <w:r>
              <w:rPr>
                <w:spacing w:val="-2"/>
              </w:rPr>
              <w:t>7.42</w:t>
            </w:r>
          </w:p>
        </w:tc>
        <w:tc>
          <w:tcPr>
            <w:tcW w:w="2474" w:type="dxa"/>
            <w:tcBorders>
              <w:right w:val="single" w:color="000000" w:sz="12" w:space="0"/>
            </w:tcBorders>
            <w:vAlign w:val="top"/>
          </w:tcPr>
          <w:p w14:paraId="28944238">
            <w:pPr>
              <w:pStyle w:val="6"/>
              <w:spacing w:before="126" w:line="232" w:lineRule="auto"/>
              <w:ind w:left="1058"/>
            </w:pPr>
            <w:r>
              <w:rPr>
                <w:spacing w:val="-2"/>
              </w:rPr>
              <w:t>7.18</w:t>
            </w:r>
          </w:p>
        </w:tc>
      </w:tr>
      <w:tr w14:paraId="03FC6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87C49B5">
            <w:pPr>
              <w:spacing w:before="94" w:line="219" w:lineRule="auto"/>
              <w:ind w:left="70"/>
              <w:rPr>
                <w:rFonts w:ascii="宋体" w:hAnsi="宋体" w:eastAsia="宋体" w:cs="宋体"/>
                <w:sz w:val="21"/>
                <w:szCs w:val="21"/>
              </w:rPr>
            </w:pPr>
            <w:r>
              <w:rPr>
                <w:rFonts w:ascii="宋体" w:hAnsi="宋体" w:eastAsia="宋体" w:cs="宋体"/>
                <w:spacing w:val="-4"/>
                <w:sz w:val="21"/>
                <w:szCs w:val="21"/>
              </w:rPr>
              <w:t>回水长度（马龙河干流）</w:t>
            </w:r>
          </w:p>
        </w:tc>
        <w:tc>
          <w:tcPr>
            <w:tcW w:w="925" w:type="dxa"/>
            <w:vAlign w:val="top"/>
          </w:tcPr>
          <w:p w14:paraId="53C6C6F3">
            <w:pPr>
              <w:pStyle w:val="6"/>
              <w:spacing w:before="128" w:line="235" w:lineRule="auto"/>
              <w:ind w:left="320"/>
            </w:pPr>
            <w:r>
              <w:t>km</w:t>
            </w:r>
          </w:p>
        </w:tc>
        <w:tc>
          <w:tcPr>
            <w:tcW w:w="2154" w:type="dxa"/>
            <w:vAlign w:val="top"/>
          </w:tcPr>
          <w:p w14:paraId="59555959">
            <w:pPr>
              <w:pStyle w:val="6"/>
              <w:spacing w:before="128" w:line="232" w:lineRule="auto"/>
              <w:ind w:left="841"/>
            </w:pPr>
            <w:r>
              <w:rPr>
                <w:spacing w:val="-1"/>
              </w:rPr>
              <w:t>20.95</w:t>
            </w:r>
          </w:p>
        </w:tc>
        <w:tc>
          <w:tcPr>
            <w:tcW w:w="2474" w:type="dxa"/>
            <w:tcBorders>
              <w:right w:val="single" w:color="000000" w:sz="12" w:space="0"/>
            </w:tcBorders>
            <w:vAlign w:val="top"/>
          </w:tcPr>
          <w:p w14:paraId="041F1D37">
            <w:pPr>
              <w:rPr>
                <w:rFonts w:ascii="Arial"/>
                <w:sz w:val="21"/>
              </w:rPr>
            </w:pPr>
          </w:p>
        </w:tc>
      </w:tr>
      <w:tr w14:paraId="521BA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4EBB46B5">
            <w:pPr>
              <w:pStyle w:val="6"/>
              <w:spacing w:before="90" w:line="233" w:lineRule="auto"/>
              <w:ind w:left="50"/>
              <w:rPr>
                <w:rFonts w:ascii="宋体" w:hAnsi="宋体" w:eastAsia="宋体" w:cs="宋体"/>
              </w:rPr>
            </w:pPr>
            <w:r>
              <w:rPr>
                <w:spacing w:val="-2"/>
              </w:rPr>
              <w:t>3.</w:t>
            </w:r>
            <w:r>
              <w:rPr>
                <w:rFonts w:ascii="宋体" w:hAnsi="宋体" w:eastAsia="宋体" w:cs="宋体"/>
                <w:spacing w:val="-2"/>
              </w:rPr>
              <w:t>水库容积</w:t>
            </w:r>
          </w:p>
        </w:tc>
        <w:tc>
          <w:tcPr>
            <w:tcW w:w="925" w:type="dxa"/>
            <w:vAlign w:val="top"/>
          </w:tcPr>
          <w:p w14:paraId="16BE44AA">
            <w:pPr>
              <w:rPr>
                <w:rFonts w:ascii="Arial"/>
                <w:sz w:val="21"/>
              </w:rPr>
            </w:pPr>
          </w:p>
        </w:tc>
        <w:tc>
          <w:tcPr>
            <w:tcW w:w="2154" w:type="dxa"/>
            <w:vAlign w:val="top"/>
          </w:tcPr>
          <w:p w14:paraId="0D3DF9F9">
            <w:pPr>
              <w:rPr>
                <w:rFonts w:ascii="Arial"/>
                <w:sz w:val="21"/>
              </w:rPr>
            </w:pPr>
          </w:p>
        </w:tc>
        <w:tc>
          <w:tcPr>
            <w:tcW w:w="2474" w:type="dxa"/>
            <w:tcBorders>
              <w:right w:val="single" w:color="000000" w:sz="12" w:space="0"/>
            </w:tcBorders>
            <w:vAlign w:val="top"/>
          </w:tcPr>
          <w:p w14:paraId="2F9394C4">
            <w:pPr>
              <w:rPr>
                <w:rFonts w:ascii="Arial"/>
                <w:sz w:val="21"/>
              </w:rPr>
            </w:pPr>
          </w:p>
        </w:tc>
      </w:tr>
      <w:tr w14:paraId="4A74E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B2F74FE">
            <w:pPr>
              <w:spacing w:before="96" w:line="220" w:lineRule="auto"/>
              <w:ind w:left="55"/>
              <w:rPr>
                <w:rFonts w:ascii="宋体" w:hAnsi="宋体" w:eastAsia="宋体" w:cs="宋体"/>
                <w:sz w:val="21"/>
                <w:szCs w:val="21"/>
              </w:rPr>
            </w:pPr>
            <w:r>
              <w:rPr>
                <w:rFonts w:ascii="宋体" w:hAnsi="宋体" w:eastAsia="宋体" w:cs="宋体"/>
                <w:spacing w:val="-4"/>
                <w:sz w:val="21"/>
                <w:szCs w:val="21"/>
              </w:rPr>
              <w:t>总库容</w:t>
            </w:r>
          </w:p>
        </w:tc>
        <w:tc>
          <w:tcPr>
            <w:tcW w:w="925" w:type="dxa"/>
            <w:vAlign w:val="top"/>
          </w:tcPr>
          <w:p w14:paraId="7FE99535">
            <w:pPr>
              <w:pStyle w:val="6"/>
              <w:spacing w:before="96"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64D11F87">
            <w:pPr>
              <w:pStyle w:val="6"/>
              <w:spacing w:before="130" w:line="232" w:lineRule="auto"/>
              <w:ind w:left="835"/>
            </w:pPr>
            <w:r>
              <w:rPr>
                <w:spacing w:val="-4"/>
              </w:rPr>
              <w:t>12449</w:t>
            </w:r>
          </w:p>
        </w:tc>
        <w:tc>
          <w:tcPr>
            <w:tcW w:w="2474" w:type="dxa"/>
            <w:tcBorders>
              <w:right w:val="single" w:color="000000" w:sz="12" w:space="0"/>
            </w:tcBorders>
            <w:vAlign w:val="top"/>
          </w:tcPr>
          <w:p w14:paraId="40840B4E">
            <w:pPr>
              <w:pStyle w:val="6"/>
              <w:spacing w:before="130" w:line="232" w:lineRule="auto"/>
              <w:ind w:left="997"/>
            </w:pPr>
            <w:r>
              <w:rPr>
                <w:spacing w:val="-4"/>
              </w:rPr>
              <w:t>12449</w:t>
            </w:r>
          </w:p>
        </w:tc>
      </w:tr>
      <w:tr w14:paraId="4F80E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553C8EAE">
            <w:pPr>
              <w:spacing w:before="95" w:line="220" w:lineRule="auto"/>
              <w:ind w:left="54"/>
              <w:rPr>
                <w:rFonts w:ascii="宋体" w:hAnsi="宋体" w:eastAsia="宋体" w:cs="宋体"/>
                <w:sz w:val="21"/>
                <w:szCs w:val="21"/>
              </w:rPr>
            </w:pPr>
            <w:r>
              <w:rPr>
                <w:rFonts w:ascii="宋体" w:hAnsi="宋体" w:eastAsia="宋体" w:cs="宋体"/>
                <w:spacing w:val="-3"/>
                <w:sz w:val="21"/>
                <w:szCs w:val="21"/>
              </w:rPr>
              <w:t>正常库容</w:t>
            </w:r>
          </w:p>
        </w:tc>
        <w:tc>
          <w:tcPr>
            <w:tcW w:w="925" w:type="dxa"/>
            <w:vAlign w:val="top"/>
          </w:tcPr>
          <w:p w14:paraId="7522FA3A">
            <w:pPr>
              <w:pStyle w:val="6"/>
              <w:spacing w:before="96"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289C5B4">
            <w:pPr>
              <w:pStyle w:val="6"/>
              <w:spacing w:before="130" w:line="232" w:lineRule="auto"/>
              <w:ind w:left="835"/>
            </w:pPr>
            <w:r>
              <w:rPr>
                <w:spacing w:val="-4"/>
              </w:rPr>
              <w:t>10335</w:t>
            </w:r>
          </w:p>
        </w:tc>
        <w:tc>
          <w:tcPr>
            <w:tcW w:w="2474" w:type="dxa"/>
            <w:tcBorders>
              <w:right w:val="single" w:color="000000" w:sz="12" w:space="0"/>
            </w:tcBorders>
            <w:vAlign w:val="top"/>
          </w:tcPr>
          <w:p w14:paraId="1BE5B99D">
            <w:pPr>
              <w:pStyle w:val="6"/>
              <w:spacing w:before="130" w:line="232" w:lineRule="auto"/>
              <w:ind w:left="997"/>
            </w:pPr>
            <w:r>
              <w:rPr>
                <w:spacing w:val="-4"/>
              </w:rPr>
              <w:t>10335</w:t>
            </w:r>
          </w:p>
        </w:tc>
      </w:tr>
      <w:tr w14:paraId="42F57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3997FA0">
            <w:pPr>
              <w:spacing w:before="97" w:line="220" w:lineRule="auto"/>
              <w:ind w:left="54"/>
              <w:rPr>
                <w:rFonts w:ascii="宋体" w:hAnsi="宋体" w:eastAsia="宋体" w:cs="宋体"/>
                <w:sz w:val="21"/>
                <w:szCs w:val="21"/>
              </w:rPr>
            </w:pPr>
            <w:r>
              <w:rPr>
                <w:rFonts w:ascii="宋体" w:hAnsi="宋体" w:eastAsia="宋体" w:cs="宋体"/>
                <w:spacing w:val="-3"/>
                <w:sz w:val="21"/>
                <w:szCs w:val="21"/>
              </w:rPr>
              <w:t>兴利库容</w:t>
            </w:r>
          </w:p>
        </w:tc>
        <w:tc>
          <w:tcPr>
            <w:tcW w:w="925" w:type="dxa"/>
            <w:vAlign w:val="top"/>
          </w:tcPr>
          <w:p w14:paraId="6570604B">
            <w:pPr>
              <w:pStyle w:val="6"/>
              <w:spacing w:before="97"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06E7833A">
            <w:pPr>
              <w:pStyle w:val="6"/>
              <w:spacing w:before="131" w:line="232" w:lineRule="auto"/>
              <w:ind w:left="876"/>
            </w:pPr>
            <w:r>
              <w:rPr>
                <w:spacing w:val="-3"/>
              </w:rPr>
              <w:t>8981</w:t>
            </w:r>
          </w:p>
        </w:tc>
        <w:tc>
          <w:tcPr>
            <w:tcW w:w="2474" w:type="dxa"/>
            <w:tcBorders>
              <w:right w:val="single" w:color="000000" w:sz="12" w:space="0"/>
            </w:tcBorders>
            <w:vAlign w:val="top"/>
          </w:tcPr>
          <w:p w14:paraId="030B4D0D">
            <w:pPr>
              <w:pStyle w:val="6"/>
              <w:spacing w:before="131" w:line="232" w:lineRule="auto"/>
              <w:ind w:left="1037"/>
            </w:pPr>
            <w:r>
              <w:rPr>
                <w:spacing w:val="-3"/>
              </w:rPr>
              <w:t>8981</w:t>
            </w:r>
          </w:p>
        </w:tc>
      </w:tr>
      <w:tr w14:paraId="69A7F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57C99C77">
            <w:pPr>
              <w:spacing w:before="99" w:line="220" w:lineRule="auto"/>
              <w:ind w:left="51"/>
              <w:rPr>
                <w:rFonts w:ascii="宋体" w:hAnsi="宋体" w:eastAsia="宋体" w:cs="宋体"/>
                <w:sz w:val="21"/>
                <w:szCs w:val="21"/>
              </w:rPr>
            </w:pPr>
            <w:r>
              <w:rPr>
                <w:rFonts w:ascii="宋体" w:hAnsi="宋体" w:eastAsia="宋体" w:cs="宋体"/>
                <w:spacing w:val="-3"/>
                <w:sz w:val="21"/>
                <w:szCs w:val="21"/>
              </w:rPr>
              <w:t>死库容</w:t>
            </w:r>
          </w:p>
        </w:tc>
        <w:tc>
          <w:tcPr>
            <w:tcW w:w="925" w:type="dxa"/>
            <w:vAlign w:val="top"/>
          </w:tcPr>
          <w:p w14:paraId="060F3322">
            <w:pPr>
              <w:pStyle w:val="6"/>
              <w:spacing w:before="99"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4A40ACB">
            <w:pPr>
              <w:pStyle w:val="6"/>
              <w:spacing w:before="133" w:line="232" w:lineRule="auto"/>
              <w:ind w:left="888"/>
            </w:pPr>
            <w:r>
              <w:rPr>
                <w:spacing w:val="-5"/>
              </w:rPr>
              <w:t>1354</w:t>
            </w:r>
          </w:p>
        </w:tc>
        <w:tc>
          <w:tcPr>
            <w:tcW w:w="2474" w:type="dxa"/>
            <w:tcBorders>
              <w:right w:val="single" w:color="000000" w:sz="12" w:space="0"/>
            </w:tcBorders>
            <w:vAlign w:val="top"/>
          </w:tcPr>
          <w:p w14:paraId="0140AC9F">
            <w:pPr>
              <w:pStyle w:val="6"/>
              <w:spacing w:before="133" w:line="232" w:lineRule="auto"/>
              <w:ind w:left="1049"/>
            </w:pPr>
            <w:r>
              <w:rPr>
                <w:spacing w:val="-6"/>
              </w:rPr>
              <w:t>1354</w:t>
            </w:r>
          </w:p>
        </w:tc>
      </w:tr>
      <w:tr w14:paraId="4A1C7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73F1024C">
            <w:pPr>
              <w:pStyle w:val="6"/>
              <w:spacing w:before="99" w:line="233" w:lineRule="auto"/>
              <w:ind w:left="45"/>
              <w:rPr>
                <w:rFonts w:ascii="宋体" w:hAnsi="宋体" w:eastAsia="宋体" w:cs="宋体"/>
              </w:rPr>
            </w:pPr>
            <w:r>
              <w:rPr>
                <w:spacing w:val="-1"/>
              </w:rPr>
              <w:t>4.</w:t>
            </w:r>
            <w:r>
              <w:rPr>
                <w:rFonts w:ascii="宋体" w:hAnsi="宋体" w:eastAsia="宋体" w:cs="宋体"/>
                <w:spacing w:val="-1"/>
              </w:rPr>
              <w:t>库容系数</w:t>
            </w:r>
          </w:p>
        </w:tc>
        <w:tc>
          <w:tcPr>
            <w:tcW w:w="925" w:type="dxa"/>
            <w:vAlign w:val="top"/>
          </w:tcPr>
          <w:p w14:paraId="0B24956A">
            <w:pPr>
              <w:rPr>
                <w:rFonts w:ascii="Arial"/>
                <w:sz w:val="21"/>
              </w:rPr>
            </w:pPr>
          </w:p>
        </w:tc>
        <w:tc>
          <w:tcPr>
            <w:tcW w:w="2154" w:type="dxa"/>
            <w:vAlign w:val="top"/>
          </w:tcPr>
          <w:p w14:paraId="0D04AC06">
            <w:pPr>
              <w:pStyle w:val="6"/>
              <w:spacing w:before="132" w:line="232" w:lineRule="auto"/>
              <w:ind w:left="897"/>
            </w:pPr>
            <w:r>
              <w:rPr>
                <w:spacing w:val="-2"/>
              </w:rPr>
              <w:t>0.51</w:t>
            </w:r>
          </w:p>
        </w:tc>
        <w:tc>
          <w:tcPr>
            <w:tcW w:w="2474" w:type="dxa"/>
            <w:tcBorders>
              <w:right w:val="single" w:color="000000" w:sz="12" w:space="0"/>
            </w:tcBorders>
            <w:vAlign w:val="top"/>
          </w:tcPr>
          <w:p w14:paraId="5C1DA9AF">
            <w:pPr>
              <w:pStyle w:val="6"/>
              <w:spacing w:before="132" w:line="232" w:lineRule="auto"/>
              <w:ind w:left="1058"/>
            </w:pPr>
            <w:r>
              <w:rPr>
                <w:spacing w:val="-2"/>
              </w:rPr>
              <w:t>0.51</w:t>
            </w:r>
          </w:p>
        </w:tc>
      </w:tr>
      <w:tr w14:paraId="01E33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13E21515">
            <w:pPr>
              <w:pStyle w:val="6"/>
              <w:spacing w:before="101" w:line="233" w:lineRule="auto"/>
              <w:ind w:left="52"/>
              <w:rPr>
                <w:rFonts w:ascii="宋体" w:hAnsi="宋体" w:eastAsia="宋体" w:cs="宋体"/>
              </w:rPr>
            </w:pPr>
            <w:r>
              <w:rPr>
                <w:spacing w:val="-2"/>
              </w:rPr>
              <w:t>5.</w:t>
            </w:r>
            <w:r>
              <w:rPr>
                <w:rFonts w:ascii="宋体" w:hAnsi="宋体" w:eastAsia="宋体" w:cs="宋体"/>
                <w:spacing w:val="-2"/>
              </w:rPr>
              <w:t>水量利用系数</w:t>
            </w:r>
          </w:p>
        </w:tc>
        <w:tc>
          <w:tcPr>
            <w:tcW w:w="925" w:type="dxa"/>
            <w:vAlign w:val="top"/>
          </w:tcPr>
          <w:p w14:paraId="7D244BB8">
            <w:pPr>
              <w:rPr>
                <w:rFonts w:ascii="Arial"/>
                <w:sz w:val="21"/>
              </w:rPr>
            </w:pPr>
          </w:p>
        </w:tc>
        <w:tc>
          <w:tcPr>
            <w:tcW w:w="2154" w:type="dxa"/>
            <w:vAlign w:val="top"/>
          </w:tcPr>
          <w:p w14:paraId="592891B1">
            <w:pPr>
              <w:pStyle w:val="6"/>
              <w:spacing w:before="134" w:line="232" w:lineRule="auto"/>
              <w:ind w:left="897"/>
            </w:pPr>
            <w:r>
              <w:rPr>
                <w:spacing w:val="-2"/>
              </w:rPr>
              <w:t>0.41</w:t>
            </w:r>
          </w:p>
        </w:tc>
        <w:tc>
          <w:tcPr>
            <w:tcW w:w="2474" w:type="dxa"/>
            <w:tcBorders>
              <w:right w:val="single" w:color="000000" w:sz="12" w:space="0"/>
            </w:tcBorders>
            <w:vAlign w:val="top"/>
          </w:tcPr>
          <w:p w14:paraId="0B3F11FC">
            <w:pPr>
              <w:pStyle w:val="6"/>
              <w:spacing w:before="134" w:line="232" w:lineRule="auto"/>
              <w:ind w:left="1058"/>
            </w:pPr>
            <w:r>
              <w:rPr>
                <w:spacing w:val="-2"/>
              </w:rPr>
              <w:t>0.41</w:t>
            </w:r>
          </w:p>
        </w:tc>
      </w:tr>
      <w:tr w14:paraId="415B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15BBC4C9">
            <w:pPr>
              <w:pStyle w:val="6"/>
              <w:spacing w:before="103" w:line="233" w:lineRule="auto"/>
              <w:ind w:left="51"/>
              <w:rPr>
                <w:rFonts w:ascii="宋体" w:hAnsi="宋体" w:eastAsia="宋体" w:cs="宋体"/>
              </w:rPr>
            </w:pPr>
            <w:r>
              <w:rPr>
                <w:spacing w:val="-2"/>
              </w:rPr>
              <w:t>6.</w:t>
            </w:r>
            <w:r>
              <w:rPr>
                <w:rFonts w:ascii="宋体" w:hAnsi="宋体" w:eastAsia="宋体" w:cs="宋体"/>
                <w:spacing w:val="-2"/>
              </w:rPr>
              <w:t>调节特性</w:t>
            </w:r>
          </w:p>
        </w:tc>
        <w:tc>
          <w:tcPr>
            <w:tcW w:w="925" w:type="dxa"/>
            <w:vAlign w:val="top"/>
          </w:tcPr>
          <w:p w14:paraId="10577B94">
            <w:pPr>
              <w:rPr>
                <w:rFonts w:ascii="Arial"/>
                <w:sz w:val="21"/>
              </w:rPr>
            </w:pPr>
          </w:p>
        </w:tc>
        <w:tc>
          <w:tcPr>
            <w:tcW w:w="2154" w:type="dxa"/>
            <w:vAlign w:val="top"/>
          </w:tcPr>
          <w:p w14:paraId="439BB76D">
            <w:pPr>
              <w:spacing w:before="102" w:line="220" w:lineRule="auto"/>
              <w:ind w:left="767"/>
              <w:rPr>
                <w:rFonts w:ascii="宋体" w:hAnsi="宋体" w:eastAsia="宋体" w:cs="宋体"/>
                <w:sz w:val="21"/>
                <w:szCs w:val="21"/>
              </w:rPr>
            </w:pPr>
            <w:r>
              <w:rPr>
                <w:rFonts w:ascii="宋体" w:hAnsi="宋体" w:eastAsia="宋体" w:cs="宋体"/>
                <w:spacing w:val="-4"/>
                <w:sz w:val="21"/>
                <w:szCs w:val="21"/>
              </w:rPr>
              <w:t>年调节</w:t>
            </w:r>
          </w:p>
        </w:tc>
        <w:tc>
          <w:tcPr>
            <w:tcW w:w="2474" w:type="dxa"/>
            <w:tcBorders>
              <w:right w:val="single" w:color="000000" w:sz="12" w:space="0"/>
            </w:tcBorders>
            <w:vAlign w:val="top"/>
          </w:tcPr>
          <w:p w14:paraId="7AD17110">
            <w:pPr>
              <w:spacing w:before="102" w:line="220" w:lineRule="auto"/>
              <w:ind w:left="929"/>
              <w:rPr>
                <w:rFonts w:ascii="宋体" w:hAnsi="宋体" w:eastAsia="宋体" w:cs="宋体"/>
                <w:sz w:val="21"/>
                <w:szCs w:val="21"/>
              </w:rPr>
            </w:pPr>
            <w:r>
              <w:rPr>
                <w:rFonts w:ascii="宋体" w:hAnsi="宋体" w:eastAsia="宋体" w:cs="宋体"/>
                <w:spacing w:val="-3"/>
                <w:sz w:val="21"/>
                <w:szCs w:val="21"/>
              </w:rPr>
              <w:t>年调节</w:t>
            </w:r>
          </w:p>
        </w:tc>
      </w:tr>
      <w:tr w14:paraId="4A0ED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B63E465">
            <w:pPr>
              <w:spacing w:before="102" w:line="220" w:lineRule="auto"/>
              <w:ind w:left="50"/>
              <w:rPr>
                <w:rFonts w:ascii="宋体" w:hAnsi="宋体" w:eastAsia="宋体" w:cs="宋体"/>
                <w:sz w:val="21"/>
                <w:szCs w:val="21"/>
              </w:rPr>
            </w:pPr>
            <w:r>
              <w:rPr>
                <w:rFonts w:ascii="宋体" w:hAnsi="宋体" w:eastAsia="宋体" w:cs="宋体"/>
                <w:b/>
                <w:bCs/>
                <w:spacing w:val="-3"/>
                <w:sz w:val="21"/>
                <w:szCs w:val="21"/>
              </w:rPr>
              <w:t>三、工程效益指标</w:t>
            </w:r>
          </w:p>
        </w:tc>
        <w:tc>
          <w:tcPr>
            <w:tcW w:w="925" w:type="dxa"/>
            <w:vAlign w:val="top"/>
          </w:tcPr>
          <w:p w14:paraId="75F99A6D">
            <w:pPr>
              <w:rPr>
                <w:rFonts w:ascii="Arial"/>
                <w:sz w:val="21"/>
              </w:rPr>
            </w:pPr>
          </w:p>
        </w:tc>
        <w:tc>
          <w:tcPr>
            <w:tcW w:w="2154" w:type="dxa"/>
            <w:vAlign w:val="top"/>
          </w:tcPr>
          <w:p w14:paraId="730B97B8">
            <w:pPr>
              <w:rPr>
                <w:rFonts w:ascii="Arial"/>
                <w:sz w:val="21"/>
              </w:rPr>
            </w:pPr>
          </w:p>
        </w:tc>
        <w:tc>
          <w:tcPr>
            <w:tcW w:w="2474" w:type="dxa"/>
            <w:tcBorders>
              <w:right w:val="single" w:color="000000" w:sz="12" w:space="0"/>
            </w:tcBorders>
            <w:vAlign w:val="top"/>
          </w:tcPr>
          <w:p w14:paraId="2C2D835E">
            <w:pPr>
              <w:rPr>
                <w:rFonts w:ascii="Arial"/>
                <w:sz w:val="21"/>
              </w:rPr>
            </w:pPr>
          </w:p>
        </w:tc>
      </w:tr>
      <w:tr w14:paraId="4D429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3B5F4E99">
            <w:pPr>
              <w:pStyle w:val="6"/>
              <w:spacing w:before="102" w:line="233" w:lineRule="auto"/>
              <w:ind w:left="66"/>
              <w:rPr>
                <w:rFonts w:ascii="宋体" w:hAnsi="宋体" w:eastAsia="宋体" w:cs="宋体"/>
              </w:rPr>
            </w:pPr>
            <w:r>
              <w:rPr>
                <w:spacing w:val="-4"/>
              </w:rPr>
              <w:t>1.</w:t>
            </w:r>
            <w:r>
              <w:rPr>
                <w:rFonts w:ascii="宋体" w:hAnsi="宋体" w:eastAsia="宋体" w:cs="宋体"/>
                <w:spacing w:val="-4"/>
              </w:rPr>
              <w:t>总供水量（水库直供）</w:t>
            </w:r>
          </w:p>
        </w:tc>
        <w:tc>
          <w:tcPr>
            <w:tcW w:w="925" w:type="dxa"/>
            <w:vAlign w:val="top"/>
          </w:tcPr>
          <w:p w14:paraId="55C594AA">
            <w:pPr>
              <w:pStyle w:val="6"/>
              <w:spacing w:before="102"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A44A5C7">
            <w:pPr>
              <w:pStyle w:val="6"/>
              <w:spacing w:before="136" w:line="232" w:lineRule="auto"/>
              <w:ind w:left="871"/>
            </w:pPr>
            <w:r>
              <w:rPr>
                <w:spacing w:val="-2"/>
              </w:rPr>
              <w:t>7103</w:t>
            </w:r>
          </w:p>
        </w:tc>
        <w:tc>
          <w:tcPr>
            <w:tcW w:w="2474" w:type="dxa"/>
            <w:tcBorders>
              <w:right w:val="single" w:color="000000" w:sz="12" w:space="0"/>
            </w:tcBorders>
            <w:vAlign w:val="top"/>
          </w:tcPr>
          <w:p w14:paraId="19AD6F37">
            <w:pPr>
              <w:pStyle w:val="6"/>
              <w:spacing w:before="136" w:line="232" w:lineRule="auto"/>
              <w:ind w:left="1032"/>
            </w:pPr>
            <w:r>
              <w:rPr>
                <w:spacing w:val="-2"/>
              </w:rPr>
              <w:t>7135</w:t>
            </w:r>
          </w:p>
        </w:tc>
      </w:tr>
      <w:tr w14:paraId="200C3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370909B2">
            <w:pPr>
              <w:spacing w:before="105" w:line="219" w:lineRule="auto"/>
              <w:ind w:left="51"/>
              <w:rPr>
                <w:rFonts w:ascii="宋体" w:hAnsi="宋体" w:eastAsia="宋体" w:cs="宋体"/>
                <w:sz w:val="21"/>
                <w:szCs w:val="21"/>
              </w:rPr>
            </w:pPr>
            <w:r>
              <w:rPr>
                <w:rFonts w:ascii="宋体" w:hAnsi="宋体" w:eastAsia="宋体" w:cs="宋体"/>
                <w:spacing w:val="-1"/>
                <w:sz w:val="21"/>
                <w:szCs w:val="21"/>
              </w:rPr>
              <w:t>其中：工业供水量</w:t>
            </w:r>
          </w:p>
        </w:tc>
        <w:tc>
          <w:tcPr>
            <w:tcW w:w="925" w:type="dxa"/>
            <w:vAlign w:val="top"/>
          </w:tcPr>
          <w:p w14:paraId="55B4CD08">
            <w:pPr>
              <w:pStyle w:val="6"/>
              <w:spacing w:before="105"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0909DCB3">
            <w:pPr>
              <w:pStyle w:val="6"/>
              <w:spacing w:before="139" w:line="232" w:lineRule="auto"/>
              <w:ind w:left="872"/>
            </w:pPr>
            <w:r>
              <w:rPr>
                <w:spacing w:val="-2"/>
              </w:rPr>
              <w:t>3198</w:t>
            </w:r>
          </w:p>
        </w:tc>
        <w:tc>
          <w:tcPr>
            <w:tcW w:w="2474" w:type="dxa"/>
            <w:tcBorders>
              <w:right w:val="single" w:color="000000" w:sz="12" w:space="0"/>
            </w:tcBorders>
            <w:vAlign w:val="top"/>
          </w:tcPr>
          <w:p w14:paraId="79BE77E5">
            <w:pPr>
              <w:pStyle w:val="6"/>
              <w:spacing w:before="139" w:line="232" w:lineRule="auto"/>
              <w:ind w:left="1033"/>
            </w:pPr>
            <w:r>
              <w:rPr>
                <w:spacing w:val="-2"/>
              </w:rPr>
              <w:t>3739</w:t>
            </w:r>
          </w:p>
        </w:tc>
      </w:tr>
      <w:tr w14:paraId="5A1B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664F617B">
            <w:pPr>
              <w:spacing w:before="104" w:line="219" w:lineRule="auto"/>
              <w:ind w:left="50"/>
              <w:rPr>
                <w:rFonts w:ascii="宋体" w:hAnsi="宋体" w:eastAsia="宋体" w:cs="宋体"/>
                <w:sz w:val="21"/>
                <w:szCs w:val="21"/>
              </w:rPr>
            </w:pPr>
            <w:r>
              <w:rPr>
                <w:rFonts w:ascii="宋体" w:hAnsi="宋体" w:eastAsia="宋体" w:cs="宋体"/>
                <w:spacing w:val="-2"/>
                <w:sz w:val="21"/>
                <w:szCs w:val="21"/>
              </w:rPr>
              <w:t>农业灌溉供水量</w:t>
            </w:r>
          </w:p>
        </w:tc>
        <w:tc>
          <w:tcPr>
            <w:tcW w:w="925" w:type="dxa"/>
            <w:vAlign w:val="top"/>
          </w:tcPr>
          <w:p w14:paraId="5571A9CC">
            <w:pPr>
              <w:pStyle w:val="6"/>
              <w:spacing w:before="105"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0A56462C">
            <w:pPr>
              <w:pStyle w:val="6"/>
              <w:spacing w:before="138" w:line="232" w:lineRule="auto"/>
              <w:ind w:left="872"/>
            </w:pPr>
            <w:r>
              <w:rPr>
                <w:spacing w:val="-2"/>
              </w:rPr>
              <w:t>3905</w:t>
            </w:r>
          </w:p>
        </w:tc>
        <w:tc>
          <w:tcPr>
            <w:tcW w:w="2474" w:type="dxa"/>
            <w:tcBorders>
              <w:right w:val="single" w:color="000000" w:sz="12" w:space="0"/>
            </w:tcBorders>
            <w:vAlign w:val="top"/>
          </w:tcPr>
          <w:p w14:paraId="3F0BA221">
            <w:pPr>
              <w:pStyle w:val="6"/>
              <w:spacing w:before="138" w:line="232" w:lineRule="auto"/>
              <w:ind w:left="1033"/>
            </w:pPr>
            <w:r>
              <w:rPr>
                <w:spacing w:val="-2"/>
              </w:rPr>
              <w:t>3396</w:t>
            </w:r>
          </w:p>
        </w:tc>
      </w:tr>
      <w:tr w14:paraId="14415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7C3136C0">
            <w:pPr>
              <w:pStyle w:val="6"/>
              <w:spacing w:before="106" w:line="233" w:lineRule="auto"/>
              <w:ind w:left="46"/>
              <w:rPr>
                <w:rFonts w:ascii="宋体" w:hAnsi="宋体" w:eastAsia="宋体" w:cs="宋体"/>
              </w:rPr>
            </w:pPr>
            <w:r>
              <w:rPr>
                <w:spacing w:val="-1"/>
              </w:rPr>
              <w:t>2.</w:t>
            </w:r>
            <w:r>
              <w:rPr>
                <w:rFonts w:ascii="宋体" w:hAnsi="宋体" w:eastAsia="宋体" w:cs="宋体"/>
                <w:spacing w:val="-1"/>
              </w:rPr>
              <w:t>灌溉面积</w:t>
            </w:r>
          </w:p>
        </w:tc>
        <w:tc>
          <w:tcPr>
            <w:tcW w:w="925" w:type="dxa"/>
            <w:vAlign w:val="top"/>
          </w:tcPr>
          <w:p w14:paraId="00331779">
            <w:pPr>
              <w:spacing w:before="106" w:line="220" w:lineRule="auto"/>
              <w:ind w:left="256"/>
              <w:rPr>
                <w:rFonts w:ascii="宋体" w:hAnsi="宋体" w:eastAsia="宋体" w:cs="宋体"/>
                <w:sz w:val="21"/>
                <w:szCs w:val="21"/>
              </w:rPr>
            </w:pPr>
            <w:r>
              <w:rPr>
                <w:rFonts w:ascii="宋体" w:hAnsi="宋体" w:eastAsia="宋体" w:cs="宋体"/>
                <w:spacing w:val="-4"/>
                <w:sz w:val="21"/>
                <w:szCs w:val="21"/>
              </w:rPr>
              <w:t>万亩</w:t>
            </w:r>
          </w:p>
        </w:tc>
        <w:tc>
          <w:tcPr>
            <w:tcW w:w="2154" w:type="dxa"/>
            <w:vAlign w:val="top"/>
          </w:tcPr>
          <w:p w14:paraId="5989BBC7">
            <w:pPr>
              <w:pStyle w:val="6"/>
              <w:spacing w:before="139" w:line="232" w:lineRule="auto"/>
              <w:ind w:left="899"/>
            </w:pPr>
            <w:r>
              <w:rPr>
                <w:spacing w:val="-3"/>
              </w:rPr>
              <w:t>6.38</w:t>
            </w:r>
          </w:p>
        </w:tc>
        <w:tc>
          <w:tcPr>
            <w:tcW w:w="2474" w:type="dxa"/>
            <w:tcBorders>
              <w:right w:val="single" w:color="000000" w:sz="12" w:space="0"/>
            </w:tcBorders>
            <w:vAlign w:val="top"/>
          </w:tcPr>
          <w:p w14:paraId="2F6DEAD0">
            <w:pPr>
              <w:pStyle w:val="6"/>
              <w:spacing w:before="139" w:line="232" w:lineRule="auto"/>
              <w:ind w:left="1061"/>
            </w:pPr>
            <w:r>
              <w:rPr>
                <w:spacing w:val="-3"/>
              </w:rPr>
              <w:t>5.48</w:t>
            </w:r>
          </w:p>
        </w:tc>
      </w:tr>
      <w:tr w14:paraId="5700E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ADCAC55">
            <w:pPr>
              <w:spacing w:before="108" w:line="220" w:lineRule="auto"/>
              <w:ind w:left="69"/>
              <w:rPr>
                <w:rFonts w:ascii="宋体" w:hAnsi="宋体" w:eastAsia="宋体" w:cs="宋体"/>
                <w:sz w:val="21"/>
                <w:szCs w:val="21"/>
              </w:rPr>
            </w:pPr>
            <w:r>
              <w:rPr>
                <w:rFonts w:ascii="宋体" w:hAnsi="宋体" w:eastAsia="宋体" w:cs="宋体"/>
                <w:b/>
                <w:bCs/>
                <w:spacing w:val="-5"/>
                <w:sz w:val="21"/>
                <w:szCs w:val="21"/>
              </w:rPr>
              <w:t>四、淹没损失及工程占地</w:t>
            </w:r>
          </w:p>
        </w:tc>
        <w:tc>
          <w:tcPr>
            <w:tcW w:w="925" w:type="dxa"/>
            <w:vAlign w:val="top"/>
          </w:tcPr>
          <w:p w14:paraId="0E965213">
            <w:pPr>
              <w:rPr>
                <w:rFonts w:ascii="Arial"/>
                <w:sz w:val="21"/>
              </w:rPr>
            </w:pPr>
          </w:p>
        </w:tc>
        <w:tc>
          <w:tcPr>
            <w:tcW w:w="2154" w:type="dxa"/>
            <w:vAlign w:val="top"/>
          </w:tcPr>
          <w:p w14:paraId="52A3A8C6">
            <w:pPr>
              <w:rPr>
                <w:rFonts w:ascii="Arial"/>
                <w:sz w:val="21"/>
              </w:rPr>
            </w:pPr>
          </w:p>
        </w:tc>
        <w:tc>
          <w:tcPr>
            <w:tcW w:w="2474" w:type="dxa"/>
            <w:tcBorders>
              <w:right w:val="single" w:color="000000" w:sz="12" w:space="0"/>
            </w:tcBorders>
            <w:vAlign w:val="top"/>
          </w:tcPr>
          <w:p w14:paraId="2112D25C">
            <w:pPr>
              <w:rPr>
                <w:rFonts w:ascii="Arial"/>
                <w:sz w:val="21"/>
              </w:rPr>
            </w:pPr>
          </w:p>
        </w:tc>
      </w:tr>
      <w:tr w14:paraId="6C52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7196B75B">
            <w:pPr>
              <w:pStyle w:val="6"/>
              <w:spacing w:before="107" w:line="233" w:lineRule="auto"/>
              <w:ind w:left="66"/>
              <w:rPr>
                <w:rFonts w:ascii="宋体" w:hAnsi="宋体" w:eastAsia="宋体" w:cs="宋体"/>
              </w:rPr>
            </w:pPr>
            <w:r>
              <w:rPr>
                <w:spacing w:val="-4"/>
              </w:rPr>
              <w:t>1.</w:t>
            </w:r>
            <w:r>
              <w:rPr>
                <w:rFonts w:ascii="宋体" w:hAnsi="宋体" w:eastAsia="宋体" w:cs="宋体"/>
                <w:spacing w:val="-4"/>
              </w:rPr>
              <w:t>淹没耕地</w:t>
            </w:r>
          </w:p>
        </w:tc>
        <w:tc>
          <w:tcPr>
            <w:tcW w:w="925" w:type="dxa"/>
            <w:vAlign w:val="top"/>
          </w:tcPr>
          <w:p w14:paraId="37D8521E">
            <w:pPr>
              <w:spacing w:before="107"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371692C7">
            <w:pPr>
              <w:pStyle w:val="6"/>
              <w:spacing w:before="141" w:line="232" w:lineRule="auto"/>
              <w:ind w:left="739"/>
            </w:pPr>
            <w:r>
              <w:rPr>
                <w:spacing w:val="-2"/>
              </w:rPr>
              <w:t>7078.07</w:t>
            </w:r>
          </w:p>
        </w:tc>
        <w:tc>
          <w:tcPr>
            <w:tcW w:w="2474" w:type="dxa"/>
            <w:tcBorders>
              <w:right w:val="single" w:color="000000" w:sz="12" w:space="0"/>
            </w:tcBorders>
            <w:vAlign w:val="top"/>
          </w:tcPr>
          <w:p w14:paraId="406E79B2">
            <w:pPr>
              <w:pStyle w:val="6"/>
              <w:spacing w:before="141" w:line="232" w:lineRule="auto"/>
              <w:ind w:left="903"/>
            </w:pPr>
            <w:r>
              <w:rPr>
                <w:spacing w:val="-2"/>
              </w:rPr>
              <w:t>6391.48</w:t>
            </w:r>
          </w:p>
        </w:tc>
      </w:tr>
      <w:tr w14:paraId="0FC6D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20C655F">
            <w:pPr>
              <w:spacing w:before="107" w:line="220" w:lineRule="auto"/>
              <w:ind w:left="366"/>
              <w:rPr>
                <w:rFonts w:ascii="宋体" w:hAnsi="宋体" w:eastAsia="宋体" w:cs="宋体"/>
                <w:sz w:val="21"/>
                <w:szCs w:val="21"/>
              </w:rPr>
            </w:pPr>
            <w:r>
              <w:rPr>
                <w:rFonts w:ascii="宋体" w:hAnsi="宋体" w:eastAsia="宋体" w:cs="宋体"/>
                <w:spacing w:val="-2"/>
                <w:sz w:val="21"/>
                <w:szCs w:val="21"/>
              </w:rPr>
              <w:t>其中：水田</w:t>
            </w:r>
          </w:p>
        </w:tc>
        <w:tc>
          <w:tcPr>
            <w:tcW w:w="925" w:type="dxa"/>
            <w:vAlign w:val="top"/>
          </w:tcPr>
          <w:p w14:paraId="0D9332D3">
            <w:pPr>
              <w:spacing w:before="108"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106F1ABC">
            <w:pPr>
              <w:pStyle w:val="6"/>
              <w:spacing w:before="141" w:line="232" w:lineRule="auto"/>
              <w:ind w:left="734"/>
            </w:pPr>
            <w:r>
              <w:rPr>
                <w:spacing w:val="-1"/>
              </w:rPr>
              <w:t>4535.29</w:t>
            </w:r>
          </w:p>
        </w:tc>
        <w:tc>
          <w:tcPr>
            <w:tcW w:w="2474" w:type="dxa"/>
            <w:tcBorders>
              <w:right w:val="single" w:color="000000" w:sz="12" w:space="0"/>
            </w:tcBorders>
            <w:vAlign w:val="top"/>
          </w:tcPr>
          <w:p w14:paraId="525BF055">
            <w:pPr>
              <w:pStyle w:val="6"/>
              <w:spacing w:before="141" w:line="232" w:lineRule="auto"/>
              <w:ind w:left="897"/>
            </w:pPr>
            <w:r>
              <w:rPr>
                <w:spacing w:val="-1"/>
              </w:rPr>
              <w:t>4031.55</w:t>
            </w:r>
          </w:p>
        </w:tc>
      </w:tr>
      <w:tr w14:paraId="60C6E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4C7FDE8B">
            <w:pPr>
              <w:spacing w:before="110" w:line="221" w:lineRule="auto"/>
              <w:ind w:left="998"/>
              <w:rPr>
                <w:rFonts w:ascii="宋体" w:hAnsi="宋体" w:eastAsia="宋体" w:cs="宋体"/>
                <w:sz w:val="21"/>
                <w:szCs w:val="21"/>
              </w:rPr>
            </w:pPr>
            <w:r>
              <w:rPr>
                <w:rFonts w:ascii="宋体" w:hAnsi="宋体" w:eastAsia="宋体" w:cs="宋体"/>
                <w:spacing w:val="-3"/>
                <w:sz w:val="21"/>
                <w:szCs w:val="21"/>
              </w:rPr>
              <w:t>旱地</w:t>
            </w:r>
          </w:p>
        </w:tc>
        <w:tc>
          <w:tcPr>
            <w:tcW w:w="925" w:type="dxa"/>
            <w:vAlign w:val="top"/>
          </w:tcPr>
          <w:p w14:paraId="2E257967">
            <w:pPr>
              <w:spacing w:before="111"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0AF9E6EC">
            <w:pPr>
              <w:pStyle w:val="6"/>
              <w:spacing w:before="144" w:line="232" w:lineRule="auto"/>
              <w:ind w:left="736"/>
            </w:pPr>
            <w:r>
              <w:rPr>
                <w:spacing w:val="-1"/>
              </w:rPr>
              <w:t>2542.78</w:t>
            </w:r>
          </w:p>
        </w:tc>
        <w:tc>
          <w:tcPr>
            <w:tcW w:w="2474" w:type="dxa"/>
            <w:tcBorders>
              <w:right w:val="single" w:color="000000" w:sz="12" w:space="0"/>
            </w:tcBorders>
            <w:vAlign w:val="top"/>
          </w:tcPr>
          <w:p w14:paraId="34ECDFF8">
            <w:pPr>
              <w:pStyle w:val="6"/>
              <w:spacing w:before="144" w:line="232" w:lineRule="auto"/>
              <w:ind w:left="898"/>
            </w:pPr>
            <w:r>
              <w:rPr>
                <w:spacing w:val="-1"/>
              </w:rPr>
              <w:t>2359.93</w:t>
            </w:r>
          </w:p>
        </w:tc>
      </w:tr>
      <w:tr w14:paraId="46CFA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4C0FC173">
            <w:pPr>
              <w:pStyle w:val="6"/>
              <w:spacing w:before="110" w:line="234" w:lineRule="auto"/>
              <w:ind w:left="46"/>
              <w:rPr>
                <w:rFonts w:ascii="宋体" w:hAnsi="宋体" w:eastAsia="宋体" w:cs="宋体"/>
              </w:rPr>
            </w:pPr>
            <w:r>
              <w:rPr>
                <w:spacing w:val="-1"/>
              </w:rPr>
              <w:t>2.</w:t>
            </w:r>
            <w:r>
              <w:rPr>
                <w:rFonts w:ascii="宋体" w:hAnsi="宋体" w:eastAsia="宋体" w:cs="宋体"/>
                <w:spacing w:val="-1"/>
              </w:rPr>
              <w:t>淹没果园</w:t>
            </w:r>
          </w:p>
        </w:tc>
        <w:tc>
          <w:tcPr>
            <w:tcW w:w="925" w:type="dxa"/>
            <w:vAlign w:val="top"/>
          </w:tcPr>
          <w:p w14:paraId="76335EF4">
            <w:pPr>
              <w:spacing w:before="110"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6227466B">
            <w:pPr>
              <w:pStyle w:val="6"/>
              <w:spacing w:before="144" w:line="232" w:lineRule="auto"/>
              <w:ind w:left="794"/>
            </w:pPr>
            <w:r>
              <w:rPr>
                <w:spacing w:val="-2"/>
              </w:rPr>
              <w:t>501.28</w:t>
            </w:r>
          </w:p>
        </w:tc>
        <w:tc>
          <w:tcPr>
            <w:tcW w:w="2474" w:type="dxa"/>
            <w:tcBorders>
              <w:right w:val="single" w:color="000000" w:sz="12" w:space="0"/>
            </w:tcBorders>
            <w:vAlign w:val="top"/>
          </w:tcPr>
          <w:p w14:paraId="7010DED0">
            <w:pPr>
              <w:pStyle w:val="6"/>
              <w:spacing w:before="144" w:line="232" w:lineRule="auto"/>
              <w:ind w:left="956"/>
            </w:pPr>
            <w:r>
              <w:rPr>
                <w:spacing w:val="-2"/>
              </w:rPr>
              <w:t>592.37</w:t>
            </w:r>
          </w:p>
        </w:tc>
      </w:tr>
      <w:tr w14:paraId="083F4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D02970F">
            <w:pPr>
              <w:pStyle w:val="6"/>
              <w:spacing w:before="112" w:line="233" w:lineRule="auto"/>
              <w:ind w:left="50"/>
              <w:rPr>
                <w:rFonts w:ascii="宋体" w:hAnsi="宋体" w:eastAsia="宋体" w:cs="宋体"/>
              </w:rPr>
            </w:pPr>
            <w:r>
              <w:rPr>
                <w:spacing w:val="-2"/>
              </w:rPr>
              <w:t>3.</w:t>
            </w:r>
            <w:r>
              <w:rPr>
                <w:rFonts w:ascii="宋体" w:hAnsi="宋体" w:eastAsia="宋体" w:cs="宋体"/>
                <w:spacing w:val="-2"/>
              </w:rPr>
              <w:t>淹没林地</w:t>
            </w:r>
          </w:p>
        </w:tc>
        <w:tc>
          <w:tcPr>
            <w:tcW w:w="925" w:type="dxa"/>
            <w:vAlign w:val="top"/>
          </w:tcPr>
          <w:p w14:paraId="7DE6B595">
            <w:pPr>
              <w:spacing w:before="112"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2500623A">
            <w:pPr>
              <w:pStyle w:val="6"/>
              <w:spacing w:before="145" w:line="232" w:lineRule="auto"/>
              <w:ind w:left="736"/>
            </w:pPr>
            <w:r>
              <w:rPr>
                <w:spacing w:val="-1"/>
              </w:rPr>
              <w:t>2853.50</w:t>
            </w:r>
          </w:p>
        </w:tc>
        <w:tc>
          <w:tcPr>
            <w:tcW w:w="2474" w:type="dxa"/>
            <w:tcBorders>
              <w:right w:val="single" w:color="000000" w:sz="12" w:space="0"/>
            </w:tcBorders>
            <w:vAlign w:val="top"/>
          </w:tcPr>
          <w:p w14:paraId="5BFED286">
            <w:pPr>
              <w:pStyle w:val="6"/>
              <w:spacing w:before="145" w:line="232" w:lineRule="auto"/>
              <w:ind w:left="898"/>
            </w:pPr>
            <w:r>
              <w:rPr>
                <w:spacing w:val="-1"/>
              </w:rPr>
              <w:t>2591.16</w:t>
            </w:r>
          </w:p>
        </w:tc>
      </w:tr>
      <w:tr w14:paraId="532AF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64911D87">
            <w:pPr>
              <w:spacing w:before="113" w:line="220" w:lineRule="auto"/>
              <w:ind w:left="366"/>
              <w:rPr>
                <w:rFonts w:ascii="宋体" w:hAnsi="宋体" w:eastAsia="宋体" w:cs="宋体"/>
                <w:sz w:val="21"/>
                <w:szCs w:val="21"/>
              </w:rPr>
            </w:pPr>
            <w:r>
              <w:rPr>
                <w:rFonts w:ascii="宋体" w:hAnsi="宋体" w:eastAsia="宋体" w:cs="宋体"/>
                <w:spacing w:val="-2"/>
                <w:sz w:val="21"/>
                <w:szCs w:val="21"/>
              </w:rPr>
              <w:t>其中：有林地</w:t>
            </w:r>
          </w:p>
        </w:tc>
        <w:tc>
          <w:tcPr>
            <w:tcW w:w="925" w:type="dxa"/>
            <w:vAlign w:val="top"/>
          </w:tcPr>
          <w:p w14:paraId="44E93C91">
            <w:pPr>
              <w:spacing w:before="114"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229F70D3">
            <w:pPr>
              <w:pStyle w:val="6"/>
              <w:spacing w:before="147" w:line="232" w:lineRule="auto"/>
              <w:ind w:left="736"/>
            </w:pPr>
            <w:r>
              <w:rPr>
                <w:spacing w:val="-1"/>
              </w:rPr>
              <w:t>2409.26</w:t>
            </w:r>
          </w:p>
        </w:tc>
        <w:tc>
          <w:tcPr>
            <w:tcW w:w="2474" w:type="dxa"/>
            <w:tcBorders>
              <w:right w:val="single" w:color="000000" w:sz="12" w:space="0"/>
            </w:tcBorders>
            <w:vAlign w:val="top"/>
          </w:tcPr>
          <w:p w14:paraId="48F1CDAF">
            <w:pPr>
              <w:pStyle w:val="6"/>
              <w:spacing w:before="147" w:line="232" w:lineRule="auto"/>
              <w:ind w:left="918"/>
            </w:pPr>
            <w:r>
              <w:rPr>
                <w:spacing w:val="-4"/>
              </w:rPr>
              <w:t>1576.66</w:t>
            </w:r>
          </w:p>
        </w:tc>
      </w:tr>
      <w:tr w14:paraId="50ACC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C10B091">
            <w:pPr>
              <w:spacing w:before="113" w:line="220" w:lineRule="auto"/>
              <w:ind w:left="998"/>
              <w:rPr>
                <w:rFonts w:ascii="宋体" w:hAnsi="宋体" w:eastAsia="宋体" w:cs="宋体"/>
                <w:sz w:val="21"/>
                <w:szCs w:val="21"/>
              </w:rPr>
            </w:pPr>
            <w:r>
              <w:rPr>
                <w:rFonts w:ascii="宋体" w:hAnsi="宋体" w:eastAsia="宋体" w:cs="宋体"/>
                <w:spacing w:val="-4"/>
                <w:sz w:val="21"/>
                <w:szCs w:val="21"/>
              </w:rPr>
              <w:t>灌木林</w:t>
            </w:r>
          </w:p>
        </w:tc>
        <w:tc>
          <w:tcPr>
            <w:tcW w:w="925" w:type="dxa"/>
            <w:vAlign w:val="top"/>
          </w:tcPr>
          <w:p w14:paraId="468BB221">
            <w:pPr>
              <w:spacing w:before="113"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063D8D7E">
            <w:pPr>
              <w:pStyle w:val="6"/>
              <w:spacing w:before="147" w:line="232" w:lineRule="auto"/>
              <w:ind w:left="787"/>
            </w:pPr>
            <w:r>
              <w:rPr>
                <w:spacing w:val="-1"/>
              </w:rPr>
              <w:t>444.24</w:t>
            </w:r>
          </w:p>
        </w:tc>
        <w:tc>
          <w:tcPr>
            <w:tcW w:w="2474" w:type="dxa"/>
            <w:tcBorders>
              <w:right w:val="single" w:color="000000" w:sz="12" w:space="0"/>
            </w:tcBorders>
            <w:vAlign w:val="top"/>
          </w:tcPr>
          <w:p w14:paraId="38EF9F2D">
            <w:pPr>
              <w:pStyle w:val="6"/>
              <w:spacing w:before="147" w:line="232" w:lineRule="auto"/>
              <w:ind w:left="918"/>
            </w:pPr>
            <w:r>
              <w:rPr>
                <w:spacing w:val="-4"/>
              </w:rPr>
              <w:t>1014.50</w:t>
            </w:r>
          </w:p>
        </w:tc>
      </w:tr>
      <w:tr w14:paraId="4C581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194C93F4">
            <w:pPr>
              <w:spacing w:before="113" w:line="220" w:lineRule="auto"/>
              <w:ind w:left="997"/>
              <w:rPr>
                <w:rFonts w:ascii="宋体" w:hAnsi="宋体" w:eastAsia="宋体" w:cs="宋体"/>
                <w:sz w:val="21"/>
                <w:szCs w:val="21"/>
              </w:rPr>
            </w:pPr>
            <w:r>
              <w:rPr>
                <w:rFonts w:ascii="宋体" w:hAnsi="宋体" w:eastAsia="宋体" w:cs="宋体"/>
                <w:spacing w:val="-3"/>
                <w:sz w:val="21"/>
                <w:szCs w:val="21"/>
              </w:rPr>
              <w:t>生态公益林</w:t>
            </w:r>
          </w:p>
        </w:tc>
        <w:tc>
          <w:tcPr>
            <w:tcW w:w="925" w:type="dxa"/>
            <w:vAlign w:val="top"/>
          </w:tcPr>
          <w:p w14:paraId="1E7BB8C0">
            <w:pPr>
              <w:spacing w:before="114"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2EB494EA">
            <w:pPr>
              <w:pStyle w:val="6"/>
              <w:spacing w:before="147" w:line="232" w:lineRule="auto"/>
              <w:ind w:left="844"/>
            </w:pPr>
            <w:r>
              <w:rPr>
                <w:spacing w:val="-2"/>
              </w:rPr>
              <w:t>75.15</w:t>
            </w:r>
          </w:p>
        </w:tc>
        <w:tc>
          <w:tcPr>
            <w:tcW w:w="2474" w:type="dxa"/>
            <w:tcBorders>
              <w:right w:val="single" w:color="000000" w:sz="12" w:space="0"/>
            </w:tcBorders>
            <w:vAlign w:val="top"/>
          </w:tcPr>
          <w:p w14:paraId="78CA514B">
            <w:pPr>
              <w:rPr>
                <w:rFonts w:ascii="Arial"/>
                <w:sz w:val="21"/>
              </w:rPr>
            </w:pPr>
          </w:p>
        </w:tc>
      </w:tr>
      <w:tr w14:paraId="183C6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634F7BCD">
            <w:pPr>
              <w:pStyle w:val="6"/>
              <w:spacing w:before="116" w:line="213" w:lineRule="auto"/>
              <w:ind w:left="45"/>
            </w:pPr>
            <w:r>
              <w:rPr>
                <w:spacing w:val="-1"/>
              </w:rPr>
              <w:t>4.</w:t>
            </w:r>
            <w:r>
              <w:rPr>
                <w:rFonts w:ascii="宋体" w:hAnsi="宋体" w:eastAsia="宋体" w:cs="宋体"/>
                <w:spacing w:val="-1"/>
              </w:rPr>
              <w:t>搬迁移民人口</w:t>
            </w:r>
            <w:r>
              <w:rPr>
                <w:spacing w:val="-1"/>
              </w:rPr>
              <w:t>(</w:t>
            </w:r>
            <w:r>
              <w:rPr>
                <w:rFonts w:ascii="宋体" w:hAnsi="宋体" w:eastAsia="宋体" w:cs="宋体"/>
                <w:spacing w:val="-1"/>
              </w:rPr>
              <w:t>设计水平年</w:t>
            </w:r>
            <w:r>
              <w:rPr>
                <w:spacing w:val="-1"/>
              </w:rPr>
              <w:t>)</w:t>
            </w:r>
          </w:p>
        </w:tc>
        <w:tc>
          <w:tcPr>
            <w:tcW w:w="925" w:type="dxa"/>
            <w:vAlign w:val="top"/>
          </w:tcPr>
          <w:p w14:paraId="7BCB143D">
            <w:pPr>
              <w:spacing w:before="117" w:line="222" w:lineRule="auto"/>
              <w:ind w:left="358"/>
              <w:rPr>
                <w:rFonts w:ascii="宋体" w:hAnsi="宋体" w:eastAsia="宋体" w:cs="宋体"/>
                <w:sz w:val="21"/>
                <w:szCs w:val="21"/>
              </w:rPr>
            </w:pPr>
            <w:r>
              <w:rPr>
                <w:rFonts w:ascii="宋体" w:hAnsi="宋体" w:eastAsia="宋体" w:cs="宋体"/>
                <w:sz w:val="21"/>
                <w:szCs w:val="21"/>
              </w:rPr>
              <w:t>人</w:t>
            </w:r>
          </w:p>
        </w:tc>
        <w:tc>
          <w:tcPr>
            <w:tcW w:w="2154" w:type="dxa"/>
            <w:vAlign w:val="top"/>
          </w:tcPr>
          <w:p w14:paraId="2D54BF8A">
            <w:pPr>
              <w:pStyle w:val="6"/>
              <w:spacing w:before="150" w:line="232" w:lineRule="auto"/>
              <w:ind w:left="888"/>
            </w:pPr>
            <w:r>
              <w:rPr>
                <w:spacing w:val="-5"/>
              </w:rPr>
              <w:t>1977</w:t>
            </w:r>
          </w:p>
        </w:tc>
        <w:tc>
          <w:tcPr>
            <w:tcW w:w="2474" w:type="dxa"/>
            <w:tcBorders>
              <w:right w:val="single" w:color="000000" w:sz="12" w:space="0"/>
            </w:tcBorders>
            <w:vAlign w:val="top"/>
          </w:tcPr>
          <w:p w14:paraId="16A8E2C1">
            <w:pPr>
              <w:pStyle w:val="6"/>
              <w:spacing w:before="150" w:line="232" w:lineRule="auto"/>
              <w:ind w:left="1029"/>
            </w:pPr>
            <w:r>
              <w:rPr>
                <w:spacing w:val="-1"/>
              </w:rPr>
              <w:t>2193</w:t>
            </w:r>
          </w:p>
        </w:tc>
      </w:tr>
      <w:tr w14:paraId="6CB45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C676998">
            <w:pPr>
              <w:spacing w:before="116" w:line="220" w:lineRule="auto"/>
              <w:ind w:left="51"/>
              <w:rPr>
                <w:rFonts w:ascii="宋体" w:hAnsi="宋体" w:eastAsia="宋体" w:cs="宋体"/>
                <w:sz w:val="21"/>
                <w:szCs w:val="21"/>
              </w:rPr>
            </w:pPr>
            <w:r>
              <w:rPr>
                <w:rFonts w:ascii="宋体" w:hAnsi="宋体" w:eastAsia="宋体" w:cs="宋体"/>
                <w:spacing w:val="-2"/>
                <w:sz w:val="21"/>
                <w:szCs w:val="21"/>
              </w:rPr>
              <w:t>生产安置人口（设计水平年）</w:t>
            </w:r>
          </w:p>
        </w:tc>
        <w:tc>
          <w:tcPr>
            <w:tcW w:w="925" w:type="dxa"/>
            <w:vAlign w:val="top"/>
          </w:tcPr>
          <w:p w14:paraId="280AFE2C">
            <w:pPr>
              <w:spacing w:before="117" w:line="222" w:lineRule="auto"/>
              <w:ind w:left="358"/>
              <w:rPr>
                <w:rFonts w:ascii="宋体" w:hAnsi="宋体" w:eastAsia="宋体" w:cs="宋体"/>
                <w:sz w:val="21"/>
                <w:szCs w:val="21"/>
              </w:rPr>
            </w:pPr>
            <w:r>
              <w:rPr>
                <w:rFonts w:ascii="宋体" w:hAnsi="宋体" w:eastAsia="宋体" w:cs="宋体"/>
                <w:sz w:val="21"/>
                <w:szCs w:val="21"/>
              </w:rPr>
              <w:t>人</w:t>
            </w:r>
          </w:p>
        </w:tc>
        <w:tc>
          <w:tcPr>
            <w:tcW w:w="2154" w:type="dxa"/>
            <w:vAlign w:val="top"/>
          </w:tcPr>
          <w:p w14:paraId="6EB0A2FC">
            <w:pPr>
              <w:pStyle w:val="6"/>
              <w:spacing w:before="150" w:line="232" w:lineRule="auto"/>
              <w:ind w:left="868"/>
            </w:pPr>
            <w:r>
              <w:rPr>
                <w:spacing w:val="-1"/>
              </w:rPr>
              <w:t>2534</w:t>
            </w:r>
          </w:p>
        </w:tc>
        <w:tc>
          <w:tcPr>
            <w:tcW w:w="2474" w:type="dxa"/>
            <w:tcBorders>
              <w:right w:val="single" w:color="000000" w:sz="12" w:space="0"/>
            </w:tcBorders>
            <w:vAlign w:val="top"/>
          </w:tcPr>
          <w:p w14:paraId="42A11580">
            <w:pPr>
              <w:pStyle w:val="6"/>
              <w:spacing w:before="150" w:line="232" w:lineRule="auto"/>
              <w:ind w:left="1029"/>
            </w:pPr>
            <w:r>
              <w:rPr>
                <w:spacing w:val="-1"/>
              </w:rPr>
              <w:t>2363</w:t>
            </w:r>
          </w:p>
        </w:tc>
      </w:tr>
      <w:tr w14:paraId="39C2A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EE14035">
            <w:pPr>
              <w:pStyle w:val="6"/>
              <w:spacing w:before="117" w:line="234" w:lineRule="auto"/>
              <w:ind w:left="52"/>
              <w:rPr>
                <w:rFonts w:ascii="宋体" w:hAnsi="宋体" w:eastAsia="宋体" w:cs="宋体"/>
              </w:rPr>
            </w:pPr>
            <w:r>
              <w:rPr>
                <w:spacing w:val="-2"/>
              </w:rPr>
              <w:t>5.</w:t>
            </w:r>
            <w:r>
              <w:rPr>
                <w:rFonts w:ascii="宋体" w:hAnsi="宋体" w:eastAsia="宋体" w:cs="宋体"/>
                <w:spacing w:val="-2"/>
              </w:rPr>
              <w:t>永久工程占地</w:t>
            </w:r>
          </w:p>
        </w:tc>
        <w:tc>
          <w:tcPr>
            <w:tcW w:w="925" w:type="dxa"/>
            <w:vAlign w:val="top"/>
          </w:tcPr>
          <w:p w14:paraId="2D10F985">
            <w:pPr>
              <w:spacing w:before="117"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254C05FF">
            <w:pPr>
              <w:pStyle w:val="6"/>
              <w:spacing w:before="150" w:line="232" w:lineRule="auto"/>
              <w:ind w:left="704"/>
            </w:pPr>
            <w:r>
              <w:rPr>
                <w:spacing w:val="-3"/>
              </w:rPr>
              <w:t>12463.89</w:t>
            </w:r>
          </w:p>
        </w:tc>
        <w:tc>
          <w:tcPr>
            <w:tcW w:w="2474" w:type="dxa"/>
            <w:tcBorders>
              <w:right w:val="single" w:color="000000" w:sz="12" w:space="0"/>
            </w:tcBorders>
            <w:vAlign w:val="top"/>
          </w:tcPr>
          <w:p w14:paraId="7325BC9A">
            <w:pPr>
              <w:pStyle w:val="6"/>
              <w:spacing w:before="150" w:line="232" w:lineRule="auto"/>
              <w:ind w:left="865"/>
            </w:pPr>
            <w:r>
              <w:rPr>
                <w:spacing w:val="-3"/>
              </w:rPr>
              <w:t>11751.27</w:t>
            </w:r>
          </w:p>
        </w:tc>
      </w:tr>
      <w:tr w14:paraId="28A29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4AD33147">
            <w:pPr>
              <w:spacing w:before="119" w:line="219" w:lineRule="auto"/>
              <w:ind w:left="366"/>
              <w:rPr>
                <w:rFonts w:ascii="宋体" w:hAnsi="宋体" w:eastAsia="宋体" w:cs="宋体"/>
                <w:sz w:val="21"/>
                <w:szCs w:val="21"/>
              </w:rPr>
            </w:pPr>
            <w:r>
              <w:rPr>
                <w:rFonts w:ascii="宋体" w:hAnsi="宋体" w:eastAsia="宋体" w:cs="宋体"/>
                <w:spacing w:val="-2"/>
                <w:sz w:val="21"/>
                <w:szCs w:val="21"/>
              </w:rPr>
              <w:t>其中：耕地</w:t>
            </w:r>
          </w:p>
        </w:tc>
        <w:tc>
          <w:tcPr>
            <w:tcW w:w="925" w:type="dxa"/>
            <w:vAlign w:val="top"/>
          </w:tcPr>
          <w:p w14:paraId="048B9016">
            <w:pPr>
              <w:spacing w:before="119"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14B1B068">
            <w:pPr>
              <w:pStyle w:val="6"/>
              <w:spacing w:before="153" w:line="232" w:lineRule="auto"/>
              <w:ind w:left="739"/>
            </w:pPr>
            <w:r>
              <w:rPr>
                <w:spacing w:val="-2"/>
              </w:rPr>
              <w:t>7358.48</w:t>
            </w:r>
          </w:p>
        </w:tc>
        <w:tc>
          <w:tcPr>
            <w:tcW w:w="2474" w:type="dxa"/>
            <w:tcBorders>
              <w:right w:val="single" w:color="000000" w:sz="12" w:space="0"/>
            </w:tcBorders>
            <w:vAlign w:val="top"/>
          </w:tcPr>
          <w:p w14:paraId="0E08733A">
            <w:pPr>
              <w:pStyle w:val="6"/>
              <w:spacing w:before="153" w:line="232" w:lineRule="auto"/>
              <w:ind w:left="903"/>
            </w:pPr>
            <w:r>
              <w:rPr>
                <w:spacing w:val="-2"/>
              </w:rPr>
              <w:t>6655.89</w:t>
            </w:r>
          </w:p>
        </w:tc>
      </w:tr>
      <w:tr w14:paraId="22C7F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663DC067">
            <w:pPr>
              <w:spacing w:before="118" w:line="220" w:lineRule="auto"/>
              <w:ind w:left="996"/>
              <w:rPr>
                <w:rFonts w:ascii="宋体" w:hAnsi="宋体" w:eastAsia="宋体" w:cs="宋体"/>
                <w:sz w:val="21"/>
                <w:szCs w:val="21"/>
              </w:rPr>
            </w:pPr>
            <w:r>
              <w:rPr>
                <w:rFonts w:ascii="宋体" w:hAnsi="宋体" w:eastAsia="宋体" w:cs="宋体"/>
                <w:spacing w:val="-3"/>
                <w:sz w:val="21"/>
                <w:szCs w:val="21"/>
              </w:rPr>
              <w:t>林地</w:t>
            </w:r>
          </w:p>
        </w:tc>
        <w:tc>
          <w:tcPr>
            <w:tcW w:w="925" w:type="dxa"/>
            <w:vAlign w:val="top"/>
          </w:tcPr>
          <w:p w14:paraId="7C0937F9">
            <w:pPr>
              <w:spacing w:before="119"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09FDF43B">
            <w:pPr>
              <w:pStyle w:val="6"/>
              <w:spacing w:before="152" w:line="232" w:lineRule="auto"/>
              <w:ind w:left="740"/>
            </w:pPr>
            <w:r>
              <w:rPr>
                <w:spacing w:val="-2"/>
              </w:rPr>
              <w:t>3097.40</w:t>
            </w:r>
          </w:p>
        </w:tc>
        <w:tc>
          <w:tcPr>
            <w:tcW w:w="2474" w:type="dxa"/>
            <w:tcBorders>
              <w:right w:val="single" w:color="000000" w:sz="12" w:space="0"/>
            </w:tcBorders>
            <w:vAlign w:val="top"/>
          </w:tcPr>
          <w:p w14:paraId="00D355AB">
            <w:pPr>
              <w:pStyle w:val="6"/>
              <w:spacing w:before="152" w:line="232" w:lineRule="auto"/>
              <w:ind w:left="898"/>
            </w:pPr>
            <w:r>
              <w:rPr>
                <w:spacing w:val="-1"/>
              </w:rPr>
              <w:t>2859.48</w:t>
            </w:r>
          </w:p>
        </w:tc>
      </w:tr>
      <w:tr w14:paraId="613E3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921" w:type="dxa"/>
            <w:tcBorders>
              <w:left w:val="single" w:color="000000" w:sz="12" w:space="0"/>
              <w:bottom w:val="single" w:color="000000" w:sz="12" w:space="0"/>
            </w:tcBorders>
            <w:vAlign w:val="top"/>
          </w:tcPr>
          <w:p w14:paraId="591C4509">
            <w:pPr>
              <w:spacing w:before="119" w:line="221" w:lineRule="auto"/>
              <w:ind w:left="1117"/>
              <w:rPr>
                <w:rFonts w:ascii="宋体" w:hAnsi="宋体" w:eastAsia="宋体" w:cs="宋体"/>
                <w:sz w:val="21"/>
                <w:szCs w:val="21"/>
              </w:rPr>
            </w:pPr>
            <w:r>
              <w:rPr>
                <w:rFonts w:ascii="宋体" w:hAnsi="宋体" w:eastAsia="宋体" w:cs="宋体"/>
                <w:spacing w:val="-5"/>
                <w:sz w:val="21"/>
                <w:szCs w:val="21"/>
              </w:rPr>
              <w:t>园地及其它</w:t>
            </w:r>
          </w:p>
        </w:tc>
        <w:tc>
          <w:tcPr>
            <w:tcW w:w="925" w:type="dxa"/>
            <w:tcBorders>
              <w:bottom w:val="single" w:color="000000" w:sz="12" w:space="0"/>
            </w:tcBorders>
            <w:vAlign w:val="top"/>
          </w:tcPr>
          <w:p w14:paraId="0503F179">
            <w:pPr>
              <w:spacing w:before="119"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tcBorders>
              <w:bottom w:val="single" w:color="000000" w:sz="12" w:space="0"/>
            </w:tcBorders>
            <w:vAlign w:val="top"/>
          </w:tcPr>
          <w:p w14:paraId="33BB57C3">
            <w:pPr>
              <w:pStyle w:val="6"/>
              <w:spacing w:before="153" w:line="232" w:lineRule="auto"/>
              <w:ind w:left="736"/>
            </w:pPr>
            <w:r>
              <w:rPr>
                <w:spacing w:val="-1"/>
              </w:rPr>
              <w:t>2008.01</w:t>
            </w:r>
          </w:p>
        </w:tc>
        <w:tc>
          <w:tcPr>
            <w:tcW w:w="2474" w:type="dxa"/>
            <w:tcBorders>
              <w:bottom w:val="single" w:color="000000" w:sz="12" w:space="0"/>
              <w:right w:val="single" w:color="000000" w:sz="12" w:space="0"/>
            </w:tcBorders>
            <w:vAlign w:val="top"/>
          </w:tcPr>
          <w:p w14:paraId="74A05899">
            <w:pPr>
              <w:pStyle w:val="6"/>
              <w:spacing w:before="153" w:line="232" w:lineRule="auto"/>
              <w:ind w:left="951"/>
            </w:pPr>
            <w:r>
              <w:rPr>
                <w:spacing w:val="-1"/>
              </w:rPr>
              <w:t>2235.9</w:t>
            </w:r>
          </w:p>
        </w:tc>
      </w:tr>
    </w:tbl>
    <w:p w14:paraId="3F9C3E7B">
      <w:pPr>
        <w:rPr>
          <w:rFonts w:ascii="Arial"/>
          <w:sz w:val="21"/>
        </w:rPr>
      </w:pPr>
    </w:p>
    <w:p w14:paraId="0B068502">
      <w:pPr>
        <w:rPr>
          <w:rFonts w:ascii="Arial" w:hAnsi="Arial" w:eastAsia="Arial" w:cs="Arial"/>
          <w:sz w:val="21"/>
          <w:szCs w:val="21"/>
        </w:rPr>
        <w:sectPr>
          <w:headerReference r:id="rId40" w:type="default"/>
          <w:footerReference r:id="rId41" w:type="default"/>
          <w:pgSz w:w="11907" w:h="16839"/>
          <w:pgMar w:top="1376" w:right="1669" w:bottom="1061" w:left="1671" w:header="999" w:footer="861" w:gutter="0"/>
          <w:cols w:space="720" w:num="1"/>
        </w:sectPr>
      </w:pPr>
    </w:p>
    <w:p w14:paraId="310C468F">
      <w:pPr>
        <w:spacing w:before="148"/>
      </w:pP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1"/>
        <w:gridCol w:w="925"/>
        <w:gridCol w:w="2154"/>
        <w:gridCol w:w="2474"/>
      </w:tblGrid>
      <w:tr w14:paraId="0B760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2921" w:type="dxa"/>
            <w:vMerge w:val="restart"/>
            <w:tcBorders>
              <w:top w:val="single" w:color="000000" w:sz="12" w:space="0"/>
              <w:left w:val="single" w:color="000000" w:sz="12" w:space="0"/>
              <w:bottom w:val="nil"/>
            </w:tcBorders>
            <w:vAlign w:val="top"/>
          </w:tcPr>
          <w:p w14:paraId="57438D78">
            <w:pPr>
              <w:spacing w:before="287" w:line="220" w:lineRule="auto"/>
              <w:ind w:left="1244"/>
              <w:rPr>
                <w:rFonts w:ascii="宋体" w:hAnsi="宋体" w:eastAsia="宋体" w:cs="宋体"/>
                <w:sz w:val="21"/>
                <w:szCs w:val="21"/>
              </w:rPr>
            </w:pPr>
            <w:r>
              <w:rPr>
                <w:rFonts w:ascii="宋体" w:hAnsi="宋体" w:eastAsia="宋体" w:cs="宋体"/>
                <w:spacing w:val="-3"/>
                <w:sz w:val="21"/>
                <w:szCs w:val="21"/>
              </w:rPr>
              <w:t>指标</w:t>
            </w:r>
          </w:p>
        </w:tc>
        <w:tc>
          <w:tcPr>
            <w:tcW w:w="925" w:type="dxa"/>
            <w:vMerge w:val="restart"/>
            <w:tcBorders>
              <w:top w:val="single" w:color="000000" w:sz="12" w:space="0"/>
              <w:bottom w:val="nil"/>
            </w:tcBorders>
            <w:vAlign w:val="top"/>
          </w:tcPr>
          <w:p w14:paraId="269B2B11">
            <w:pPr>
              <w:spacing w:before="287" w:line="220" w:lineRule="auto"/>
              <w:ind w:left="20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8"/>
                <w:sz w:val="21"/>
                <w:szCs w:val="21"/>
              </w:rPr>
              <w:t xml:space="preserve"> </w:t>
            </w:r>
            <w:r>
              <w:rPr>
                <w:rFonts w:ascii="宋体" w:hAnsi="宋体" w:eastAsia="宋体" w:cs="宋体"/>
                <w:spacing w:val="-5"/>
                <w:sz w:val="21"/>
                <w:szCs w:val="21"/>
              </w:rPr>
              <w:t>位</w:t>
            </w:r>
          </w:p>
        </w:tc>
        <w:tc>
          <w:tcPr>
            <w:tcW w:w="4628" w:type="dxa"/>
            <w:gridSpan w:val="2"/>
            <w:tcBorders>
              <w:top w:val="single" w:color="000000" w:sz="12" w:space="0"/>
              <w:right w:val="single" w:color="000000" w:sz="12" w:space="0"/>
            </w:tcBorders>
            <w:vAlign w:val="top"/>
          </w:tcPr>
          <w:p w14:paraId="005F7B15">
            <w:pPr>
              <w:spacing w:before="86" w:line="220" w:lineRule="auto"/>
              <w:ind w:left="1897"/>
              <w:rPr>
                <w:rFonts w:ascii="宋体" w:hAnsi="宋体" w:eastAsia="宋体" w:cs="宋体"/>
                <w:sz w:val="21"/>
                <w:szCs w:val="21"/>
              </w:rPr>
            </w:pPr>
            <w:r>
              <w:rPr>
                <w:rFonts w:ascii="宋体" w:hAnsi="宋体" w:eastAsia="宋体" w:cs="宋体"/>
                <w:spacing w:val="-3"/>
                <w:sz w:val="21"/>
                <w:szCs w:val="21"/>
              </w:rPr>
              <w:t>工程特性</w:t>
            </w:r>
          </w:p>
        </w:tc>
      </w:tr>
      <w:tr w14:paraId="0D38D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vMerge w:val="continue"/>
            <w:tcBorders>
              <w:top w:val="nil"/>
              <w:left w:val="single" w:color="000000" w:sz="12" w:space="0"/>
            </w:tcBorders>
            <w:vAlign w:val="top"/>
          </w:tcPr>
          <w:p w14:paraId="459DE552">
            <w:pPr>
              <w:rPr>
                <w:rFonts w:ascii="Arial"/>
                <w:sz w:val="21"/>
              </w:rPr>
            </w:pPr>
          </w:p>
        </w:tc>
        <w:tc>
          <w:tcPr>
            <w:tcW w:w="925" w:type="dxa"/>
            <w:vMerge w:val="continue"/>
            <w:tcBorders>
              <w:top w:val="nil"/>
            </w:tcBorders>
            <w:vAlign w:val="top"/>
          </w:tcPr>
          <w:p w14:paraId="2F80E3E8">
            <w:pPr>
              <w:rPr>
                <w:rFonts w:ascii="Arial"/>
                <w:sz w:val="21"/>
              </w:rPr>
            </w:pPr>
          </w:p>
        </w:tc>
        <w:tc>
          <w:tcPr>
            <w:tcW w:w="2154" w:type="dxa"/>
            <w:vAlign w:val="top"/>
          </w:tcPr>
          <w:p w14:paraId="68CBDCA0">
            <w:pPr>
              <w:spacing w:before="87" w:line="220" w:lineRule="auto"/>
              <w:ind w:left="661"/>
              <w:rPr>
                <w:rFonts w:ascii="宋体" w:hAnsi="宋体" w:eastAsia="宋体" w:cs="宋体"/>
                <w:sz w:val="21"/>
                <w:szCs w:val="21"/>
              </w:rPr>
            </w:pPr>
            <w:r>
              <w:rPr>
                <w:rFonts w:ascii="宋体" w:hAnsi="宋体" w:eastAsia="宋体" w:cs="宋体"/>
                <w:spacing w:val="-2"/>
                <w:sz w:val="21"/>
                <w:szCs w:val="21"/>
              </w:rPr>
              <w:t>环评阶段</w:t>
            </w:r>
          </w:p>
        </w:tc>
        <w:tc>
          <w:tcPr>
            <w:tcW w:w="2474" w:type="dxa"/>
            <w:tcBorders>
              <w:right w:val="single" w:color="000000" w:sz="12" w:space="0"/>
            </w:tcBorders>
            <w:vAlign w:val="top"/>
          </w:tcPr>
          <w:p w14:paraId="1183507E">
            <w:pPr>
              <w:spacing w:before="87" w:line="221" w:lineRule="auto"/>
              <w:ind w:left="822"/>
              <w:rPr>
                <w:rFonts w:ascii="宋体" w:hAnsi="宋体" w:eastAsia="宋体" w:cs="宋体"/>
                <w:sz w:val="21"/>
                <w:szCs w:val="21"/>
              </w:rPr>
            </w:pPr>
            <w:r>
              <w:rPr>
                <w:rFonts w:ascii="宋体" w:hAnsi="宋体" w:eastAsia="宋体" w:cs="宋体"/>
                <w:spacing w:val="-2"/>
                <w:sz w:val="21"/>
                <w:szCs w:val="21"/>
              </w:rPr>
              <w:t>初设阶段</w:t>
            </w:r>
          </w:p>
        </w:tc>
      </w:tr>
      <w:tr w14:paraId="1F9F6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00B94A49">
            <w:pPr>
              <w:pStyle w:val="6"/>
              <w:spacing w:before="88" w:line="233" w:lineRule="auto"/>
              <w:ind w:left="51"/>
              <w:rPr>
                <w:rFonts w:ascii="宋体" w:hAnsi="宋体" w:eastAsia="宋体" w:cs="宋体"/>
              </w:rPr>
            </w:pPr>
            <w:r>
              <w:rPr>
                <w:spacing w:val="-2"/>
              </w:rPr>
              <w:t>6.</w:t>
            </w:r>
            <w:r>
              <w:rPr>
                <w:rFonts w:ascii="宋体" w:hAnsi="宋体" w:eastAsia="宋体" w:cs="宋体"/>
                <w:spacing w:val="-2"/>
              </w:rPr>
              <w:t>施工临时占地</w:t>
            </w:r>
          </w:p>
        </w:tc>
        <w:tc>
          <w:tcPr>
            <w:tcW w:w="925" w:type="dxa"/>
            <w:vAlign w:val="top"/>
          </w:tcPr>
          <w:p w14:paraId="69ED677A">
            <w:pPr>
              <w:spacing w:before="88"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5137D95A">
            <w:pPr>
              <w:pStyle w:val="6"/>
              <w:spacing w:before="122" w:line="232" w:lineRule="auto"/>
              <w:ind w:left="756"/>
            </w:pPr>
            <w:r>
              <w:rPr>
                <w:spacing w:val="-4"/>
              </w:rPr>
              <w:t>1240.30</w:t>
            </w:r>
          </w:p>
        </w:tc>
        <w:tc>
          <w:tcPr>
            <w:tcW w:w="2474" w:type="dxa"/>
            <w:tcBorders>
              <w:right w:val="single" w:color="000000" w:sz="12" w:space="0"/>
            </w:tcBorders>
            <w:vAlign w:val="top"/>
          </w:tcPr>
          <w:p w14:paraId="0C4F67FF">
            <w:pPr>
              <w:pStyle w:val="6"/>
              <w:spacing w:before="122" w:line="232" w:lineRule="auto"/>
              <w:ind w:left="898"/>
            </w:pPr>
            <w:r>
              <w:rPr>
                <w:spacing w:val="-1"/>
              </w:rPr>
              <w:t>2067.88</w:t>
            </w:r>
          </w:p>
        </w:tc>
      </w:tr>
      <w:tr w14:paraId="6AE77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3F44DF1C">
            <w:pPr>
              <w:spacing w:before="93" w:line="219" w:lineRule="auto"/>
              <w:ind w:left="366"/>
              <w:rPr>
                <w:rFonts w:ascii="宋体" w:hAnsi="宋体" w:eastAsia="宋体" w:cs="宋体"/>
                <w:sz w:val="21"/>
                <w:szCs w:val="21"/>
              </w:rPr>
            </w:pPr>
            <w:r>
              <w:rPr>
                <w:rFonts w:ascii="宋体" w:hAnsi="宋体" w:eastAsia="宋体" w:cs="宋体"/>
                <w:spacing w:val="-2"/>
                <w:sz w:val="21"/>
                <w:szCs w:val="21"/>
              </w:rPr>
              <w:t>其中：耕地</w:t>
            </w:r>
          </w:p>
        </w:tc>
        <w:tc>
          <w:tcPr>
            <w:tcW w:w="925" w:type="dxa"/>
            <w:vAlign w:val="top"/>
          </w:tcPr>
          <w:p w14:paraId="53CB6601">
            <w:pPr>
              <w:spacing w:before="94"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7339DAD7">
            <w:pPr>
              <w:pStyle w:val="6"/>
              <w:spacing w:before="127" w:line="232" w:lineRule="auto"/>
              <w:ind w:left="797"/>
            </w:pPr>
            <w:r>
              <w:rPr>
                <w:spacing w:val="-3"/>
              </w:rPr>
              <w:t>837.11</w:t>
            </w:r>
          </w:p>
        </w:tc>
        <w:tc>
          <w:tcPr>
            <w:tcW w:w="2474" w:type="dxa"/>
            <w:tcBorders>
              <w:right w:val="single" w:color="000000" w:sz="12" w:space="0"/>
            </w:tcBorders>
            <w:vAlign w:val="top"/>
          </w:tcPr>
          <w:p w14:paraId="4A79F4E3">
            <w:pPr>
              <w:pStyle w:val="6"/>
              <w:spacing w:before="127" w:line="232" w:lineRule="auto"/>
              <w:ind w:left="918"/>
            </w:pPr>
            <w:r>
              <w:rPr>
                <w:spacing w:val="-4"/>
              </w:rPr>
              <w:t>1654.01</w:t>
            </w:r>
          </w:p>
        </w:tc>
      </w:tr>
      <w:tr w14:paraId="42425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2FD46551">
            <w:pPr>
              <w:spacing w:before="89" w:line="220" w:lineRule="auto"/>
              <w:ind w:left="996"/>
              <w:rPr>
                <w:rFonts w:ascii="宋体" w:hAnsi="宋体" w:eastAsia="宋体" w:cs="宋体"/>
                <w:sz w:val="21"/>
                <w:szCs w:val="21"/>
              </w:rPr>
            </w:pPr>
            <w:r>
              <w:rPr>
                <w:rFonts w:ascii="宋体" w:hAnsi="宋体" w:eastAsia="宋体" w:cs="宋体"/>
                <w:spacing w:val="-3"/>
                <w:sz w:val="21"/>
                <w:szCs w:val="21"/>
              </w:rPr>
              <w:t>林地</w:t>
            </w:r>
          </w:p>
        </w:tc>
        <w:tc>
          <w:tcPr>
            <w:tcW w:w="925" w:type="dxa"/>
            <w:vAlign w:val="top"/>
          </w:tcPr>
          <w:p w14:paraId="03DAE1A1">
            <w:pPr>
              <w:spacing w:before="90"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1F21AC69">
            <w:pPr>
              <w:pStyle w:val="6"/>
              <w:spacing w:before="123" w:line="232" w:lineRule="auto"/>
              <w:ind w:left="788"/>
            </w:pPr>
            <w:r>
              <w:rPr>
                <w:spacing w:val="-1"/>
              </w:rPr>
              <w:t>277.39</w:t>
            </w:r>
          </w:p>
        </w:tc>
        <w:tc>
          <w:tcPr>
            <w:tcW w:w="2474" w:type="dxa"/>
            <w:tcBorders>
              <w:right w:val="single" w:color="000000" w:sz="12" w:space="0"/>
            </w:tcBorders>
            <w:vAlign w:val="top"/>
          </w:tcPr>
          <w:p w14:paraId="7CE2585E">
            <w:pPr>
              <w:pStyle w:val="6"/>
              <w:spacing w:before="123" w:line="232" w:lineRule="auto"/>
              <w:ind w:left="951"/>
            </w:pPr>
            <w:r>
              <w:rPr>
                <w:spacing w:val="-1"/>
              </w:rPr>
              <w:t>260.80</w:t>
            </w:r>
          </w:p>
        </w:tc>
      </w:tr>
      <w:tr w14:paraId="5C55B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EC5B71F">
            <w:pPr>
              <w:spacing w:before="90" w:line="221" w:lineRule="auto"/>
              <w:ind w:left="1013"/>
              <w:rPr>
                <w:rFonts w:ascii="宋体" w:hAnsi="宋体" w:eastAsia="宋体" w:cs="宋体"/>
                <w:sz w:val="21"/>
                <w:szCs w:val="21"/>
              </w:rPr>
            </w:pPr>
            <w:r>
              <w:rPr>
                <w:rFonts w:ascii="宋体" w:hAnsi="宋体" w:eastAsia="宋体" w:cs="宋体"/>
                <w:spacing w:val="-6"/>
                <w:sz w:val="21"/>
                <w:szCs w:val="21"/>
              </w:rPr>
              <w:t>园地及其它</w:t>
            </w:r>
          </w:p>
        </w:tc>
        <w:tc>
          <w:tcPr>
            <w:tcW w:w="925" w:type="dxa"/>
            <w:vAlign w:val="top"/>
          </w:tcPr>
          <w:p w14:paraId="06A2AB17">
            <w:pPr>
              <w:spacing w:before="91"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07379E33">
            <w:pPr>
              <w:pStyle w:val="6"/>
              <w:spacing w:before="124" w:line="232" w:lineRule="auto"/>
              <w:ind w:left="861"/>
            </w:pPr>
            <w:r>
              <w:rPr>
                <w:spacing w:val="-5"/>
              </w:rPr>
              <w:t>125.8</w:t>
            </w:r>
          </w:p>
        </w:tc>
        <w:tc>
          <w:tcPr>
            <w:tcW w:w="2474" w:type="dxa"/>
            <w:tcBorders>
              <w:right w:val="single" w:color="000000" w:sz="12" w:space="0"/>
            </w:tcBorders>
            <w:vAlign w:val="top"/>
          </w:tcPr>
          <w:p w14:paraId="47D1C09F">
            <w:pPr>
              <w:pStyle w:val="6"/>
              <w:spacing w:before="124" w:line="232" w:lineRule="auto"/>
              <w:ind w:left="971"/>
            </w:pPr>
            <w:r>
              <w:rPr>
                <w:spacing w:val="-4"/>
              </w:rPr>
              <w:t>153.07</w:t>
            </w:r>
          </w:p>
        </w:tc>
      </w:tr>
      <w:tr w14:paraId="5ECB7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7F421548">
            <w:pPr>
              <w:spacing w:before="96" w:line="220" w:lineRule="auto"/>
              <w:ind w:left="53"/>
              <w:rPr>
                <w:rFonts w:ascii="宋体" w:hAnsi="宋体" w:eastAsia="宋体" w:cs="宋体"/>
                <w:sz w:val="21"/>
                <w:szCs w:val="21"/>
              </w:rPr>
            </w:pPr>
            <w:r>
              <w:rPr>
                <w:rFonts w:ascii="宋体" w:hAnsi="宋体" w:eastAsia="宋体" w:cs="宋体"/>
                <w:b/>
                <w:bCs/>
                <w:spacing w:val="-3"/>
                <w:sz w:val="21"/>
                <w:szCs w:val="21"/>
              </w:rPr>
              <w:t>五、主要建筑物及设备</w:t>
            </w:r>
          </w:p>
        </w:tc>
        <w:tc>
          <w:tcPr>
            <w:tcW w:w="925" w:type="dxa"/>
            <w:vAlign w:val="top"/>
          </w:tcPr>
          <w:p w14:paraId="63E2478D">
            <w:pPr>
              <w:rPr>
                <w:rFonts w:ascii="Arial"/>
                <w:sz w:val="21"/>
              </w:rPr>
            </w:pPr>
          </w:p>
        </w:tc>
        <w:tc>
          <w:tcPr>
            <w:tcW w:w="2154" w:type="dxa"/>
            <w:vAlign w:val="top"/>
          </w:tcPr>
          <w:p w14:paraId="1213936E">
            <w:pPr>
              <w:rPr>
                <w:rFonts w:ascii="Arial"/>
                <w:sz w:val="21"/>
              </w:rPr>
            </w:pPr>
          </w:p>
        </w:tc>
        <w:tc>
          <w:tcPr>
            <w:tcW w:w="2474" w:type="dxa"/>
            <w:tcBorders>
              <w:right w:val="single" w:color="000000" w:sz="12" w:space="0"/>
            </w:tcBorders>
            <w:vAlign w:val="top"/>
          </w:tcPr>
          <w:p w14:paraId="3DD34148">
            <w:pPr>
              <w:rPr>
                <w:rFonts w:ascii="Arial"/>
                <w:sz w:val="21"/>
              </w:rPr>
            </w:pPr>
          </w:p>
        </w:tc>
      </w:tr>
      <w:tr w14:paraId="0DF23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41E4F594">
            <w:pPr>
              <w:pStyle w:val="6"/>
              <w:spacing w:before="98" w:line="233" w:lineRule="auto"/>
              <w:ind w:left="66"/>
              <w:rPr>
                <w:rFonts w:ascii="宋体" w:hAnsi="宋体" w:eastAsia="宋体" w:cs="宋体"/>
              </w:rPr>
            </w:pPr>
            <w:r>
              <w:rPr>
                <w:spacing w:val="-3"/>
              </w:rPr>
              <w:t>1</w:t>
            </w:r>
            <w:r>
              <w:rPr>
                <w:rFonts w:ascii="宋体" w:hAnsi="宋体" w:eastAsia="宋体" w:cs="宋体"/>
                <w:spacing w:val="-3"/>
              </w:rPr>
              <w:t>．枢纽拦河坝型式</w:t>
            </w:r>
          </w:p>
        </w:tc>
        <w:tc>
          <w:tcPr>
            <w:tcW w:w="925" w:type="dxa"/>
            <w:vAlign w:val="top"/>
          </w:tcPr>
          <w:p w14:paraId="4220F9DD">
            <w:pPr>
              <w:rPr>
                <w:rFonts w:ascii="Arial"/>
                <w:sz w:val="21"/>
              </w:rPr>
            </w:pPr>
          </w:p>
        </w:tc>
        <w:tc>
          <w:tcPr>
            <w:tcW w:w="2154" w:type="dxa"/>
            <w:vAlign w:val="top"/>
          </w:tcPr>
          <w:p w14:paraId="7114F08D">
            <w:pPr>
              <w:spacing w:before="98" w:line="219" w:lineRule="auto"/>
              <w:ind w:left="244"/>
              <w:rPr>
                <w:rFonts w:ascii="宋体" w:hAnsi="宋体" w:eastAsia="宋体" w:cs="宋体"/>
                <w:sz w:val="21"/>
                <w:szCs w:val="21"/>
              </w:rPr>
            </w:pPr>
            <w:r>
              <w:rPr>
                <w:rFonts w:ascii="宋体" w:hAnsi="宋体" w:eastAsia="宋体" w:cs="宋体"/>
                <w:spacing w:val="-2"/>
                <w:sz w:val="21"/>
                <w:szCs w:val="21"/>
              </w:rPr>
              <w:t>混凝土面板堆石坝</w:t>
            </w:r>
          </w:p>
        </w:tc>
        <w:tc>
          <w:tcPr>
            <w:tcW w:w="2474" w:type="dxa"/>
            <w:tcBorders>
              <w:right w:val="single" w:color="000000" w:sz="12" w:space="0"/>
            </w:tcBorders>
            <w:vAlign w:val="top"/>
          </w:tcPr>
          <w:p w14:paraId="524869D4">
            <w:pPr>
              <w:spacing w:before="98" w:line="219" w:lineRule="auto"/>
              <w:ind w:left="405"/>
              <w:rPr>
                <w:rFonts w:ascii="宋体" w:hAnsi="宋体" w:eastAsia="宋体" w:cs="宋体"/>
                <w:sz w:val="21"/>
                <w:szCs w:val="21"/>
              </w:rPr>
            </w:pPr>
            <w:r>
              <w:rPr>
                <w:rFonts w:ascii="宋体" w:hAnsi="宋体" w:eastAsia="宋体" w:cs="宋体"/>
                <w:spacing w:val="-2"/>
                <w:sz w:val="21"/>
                <w:szCs w:val="21"/>
              </w:rPr>
              <w:t>混凝土面板堆石坝</w:t>
            </w:r>
          </w:p>
        </w:tc>
      </w:tr>
      <w:tr w14:paraId="18844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2921" w:type="dxa"/>
            <w:tcBorders>
              <w:left w:val="single" w:color="000000" w:sz="12" w:space="0"/>
            </w:tcBorders>
            <w:vAlign w:val="top"/>
          </w:tcPr>
          <w:p w14:paraId="7A44440E">
            <w:pPr>
              <w:spacing w:before="230" w:line="220" w:lineRule="auto"/>
              <w:ind w:left="50"/>
              <w:rPr>
                <w:rFonts w:ascii="宋体" w:hAnsi="宋体" w:eastAsia="宋体" w:cs="宋体"/>
                <w:sz w:val="21"/>
                <w:szCs w:val="21"/>
              </w:rPr>
            </w:pPr>
            <w:r>
              <w:rPr>
                <w:rFonts w:ascii="宋体" w:hAnsi="宋体" w:eastAsia="宋体" w:cs="宋体"/>
                <w:spacing w:val="-2"/>
                <w:sz w:val="21"/>
                <w:szCs w:val="21"/>
              </w:rPr>
              <w:t>基础特性</w:t>
            </w:r>
          </w:p>
        </w:tc>
        <w:tc>
          <w:tcPr>
            <w:tcW w:w="925" w:type="dxa"/>
            <w:vAlign w:val="top"/>
          </w:tcPr>
          <w:p w14:paraId="25E79564">
            <w:pPr>
              <w:rPr>
                <w:rFonts w:ascii="Arial"/>
                <w:sz w:val="21"/>
              </w:rPr>
            </w:pPr>
          </w:p>
        </w:tc>
        <w:tc>
          <w:tcPr>
            <w:tcW w:w="2154" w:type="dxa"/>
            <w:vAlign w:val="top"/>
          </w:tcPr>
          <w:p w14:paraId="03CACB53">
            <w:pPr>
              <w:spacing w:before="93" w:line="242" w:lineRule="auto"/>
              <w:ind w:left="872" w:right="126" w:hanging="730"/>
              <w:rPr>
                <w:rFonts w:ascii="宋体" w:hAnsi="宋体" w:eastAsia="宋体" w:cs="宋体"/>
                <w:sz w:val="21"/>
                <w:szCs w:val="21"/>
              </w:rPr>
            </w:pPr>
            <w:r>
              <w:rPr>
                <w:rFonts w:ascii="宋体" w:hAnsi="宋体" w:eastAsia="宋体" w:cs="宋体"/>
                <w:spacing w:val="-2"/>
                <w:sz w:val="21"/>
                <w:szCs w:val="21"/>
              </w:rPr>
              <w:t>志留系关底组强风化</w:t>
            </w:r>
            <w:r>
              <w:rPr>
                <w:rFonts w:ascii="宋体" w:hAnsi="宋体" w:eastAsia="宋体" w:cs="宋体"/>
                <w:spacing w:val="-3"/>
                <w:sz w:val="21"/>
                <w:szCs w:val="21"/>
              </w:rPr>
              <w:t>泥岩</w:t>
            </w:r>
          </w:p>
        </w:tc>
        <w:tc>
          <w:tcPr>
            <w:tcW w:w="2474" w:type="dxa"/>
            <w:tcBorders>
              <w:right w:val="single" w:color="000000" w:sz="12" w:space="0"/>
            </w:tcBorders>
            <w:vAlign w:val="top"/>
          </w:tcPr>
          <w:p w14:paraId="54C085AF">
            <w:pPr>
              <w:spacing w:before="231" w:line="220" w:lineRule="auto"/>
              <w:ind w:left="94"/>
              <w:rPr>
                <w:rFonts w:ascii="宋体" w:hAnsi="宋体" w:eastAsia="宋体" w:cs="宋体"/>
                <w:sz w:val="21"/>
                <w:szCs w:val="21"/>
              </w:rPr>
            </w:pPr>
            <w:r>
              <w:rPr>
                <w:rFonts w:ascii="宋体" w:hAnsi="宋体" w:eastAsia="宋体" w:cs="宋体"/>
                <w:spacing w:val="-2"/>
                <w:sz w:val="21"/>
                <w:szCs w:val="21"/>
              </w:rPr>
              <w:t>志留系关底组强风化泥岩</w:t>
            </w:r>
          </w:p>
        </w:tc>
      </w:tr>
      <w:tr w14:paraId="2652D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32B8B505">
            <w:pPr>
              <w:spacing w:before="99" w:line="219" w:lineRule="auto"/>
              <w:ind w:left="50"/>
              <w:rPr>
                <w:rFonts w:ascii="宋体" w:hAnsi="宋体" w:eastAsia="宋体" w:cs="宋体"/>
                <w:sz w:val="21"/>
                <w:szCs w:val="21"/>
              </w:rPr>
            </w:pPr>
            <w:r>
              <w:rPr>
                <w:rFonts w:ascii="宋体" w:hAnsi="宋体" w:eastAsia="宋体" w:cs="宋体"/>
                <w:spacing w:val="-2"/>
                <w:sz w:val="21"/>
                <w:szCs w:val="21"/>
              </w:rPr>
              <w:t>地震基本烈度</w:t>
            </w:r>
          </w:p>
        </w:tc>
        <w:tc>
          <w:tcPr>
            <w:tcW w:w="925" w:type="dxa"/>
            <w:vAlign w:val="top"/>
          </w:tcPr>
          <w:p w14:paraId="10DEB41D">
            <w:pPr>
              <w:spacing w:before="100" w:line="220" w:lineRule="auto"/>
              <w:ind w:left="355"/>
              <w:rPr>
                <w:rFonts w:ascii="宋体" w:hAnsi="宋体" w:eastAsia="宋体" w:cs="宋体"/>
                <w:sz w:val="21"/>
                <w:szCs w:val="21"/>
              </w:rPr>
            </w:pPr>
            <w:r>
              <w:rPr>
                <w:rFonts w:ascii="宋体" w:hAnsi="宋体" w:eastAsia="宋体" w:cs="宋体"/>
                <w:sz w:val="21"/>
                <w:szCs w:val="21"/>
              </w:rPr>
              <w:t>度</w:t>
            </w:r>
          </w:p>
        </w:tc>
        <w:tc>
          <w:tcPr>
            <w:tcW w:w="2154" w:type="dxa"/>
            <w:vAlign w:val="top"/>
          </w:tcPr>
          <w:p w14:paraId="3359BF14">
            <w:pPr>
              <w:pStyle w:val="6"/>
              <w:spacing w:before="100" w:line="212" w:lineRule="auto"/>
              <w:ind w:left="59"/>
              <w:rPr>
                <w:rFonts w:ascii="宋体" w:hAnsi="宋体" w:eastAsia="宋体" w:cs="宋体"/>
              </w:rPr>
            </w:pPr>
            <w:r>
              <w:rPr>
                <w:spacing w:val="-2"/>
              </w:rPr>
              <w:t>Ⅷ</w:t>
            </w:r>
            <w:r>
              <w:rPr>
                <w:rFonts w:ascii="宋体" w:hAnsi="宋体" w:eastAsia="宋体" w:cs="宋体"/>
                <w:spacing w:val="-2"/>
              </w:rPr>
              <w:t>（动峰值</w:t>
            </w:r>
            <w:r>
              <w:rPr>
                <w:rFonts w:ascii="宋体" w:hAnsi="宋体" w:eastAsia="宋体" w:cs="宋体"/>
                <w:spacing w:val="-31"/>
              </w:rPr>
              <w:t xml:space="preserve"> </w:t>
            </w:r>
            <w:r>
              <w:rPr>
                <w:spacing w:val="-2"/>
              </w:rPr>
              <w:t>0.311g</w:t>
            </w:r>
            <w:r>
              <w:rPr>
                <w:rFonts w:ascii="宋体" w:hAnsi="宋体" w:eastAsia="宋体" w:cs="宋体"/>
                <w:spacing w:val="-2"/>
              </w:rPr>
              <w:t>）</w:t>
            </w:r>
          </w:p>
        </w:tc>
        <w:tc>
          <w:tcPr>
            <w:tcW w:w="2474" w:type="dxa"/>
            <w:tcBorders>
              <w:right w:val="single" w:color="000000" w:sz="12" w:space="0"/>
            </w:tcBorders>
            <w:vAlign w:val="top"/>
          </w:tcPr>
          <w:p w14:paraId="490900DB">
            <w:pPr>
              <w:pStyle w:val="6"/>
              <w:spacing w:before="100" w:line="212" w:lineRule="auto"/>
              <w:ind w:left="221"/>
              <w:rPr>
                <w:rFonts w:ascii="宋体" w:hAnsi="宋体" w:eastAsia="宋体" w:cs="宋体"/>
              </w:rPr>
            </w:pPr>
            <w:r>
              <w:rPr>
                <w:spacing w:val="-2"/>
              </w:rPr>
              <w:t>Ⅷ</w:t>
            </w:r>
            <w:r>
              <w:rPr>
                <w:rFonts w:ascii="宋体" w:hAnsi="宋体" w:eastAsia="宋体" w:cs="宋体"/>
                <w:spacing w:val="-2"/>
              </w:rPr>
              <w:t>（动峰值</w:t>
            </w:r>
            <w:r>
              <w:rPr>
                <w:rFonts w:ascii="宋体" w:hAnsi="宋体" w:eastAsia="宋体" w:cs="宋体"/>
                <w:spacing w:val="-31"/>
              </w:rPr>
              <w:t xml:space="preserve"> </w:t>
            </w:r>
            <w:r>
              <w:rPr>
                <w:spacing w:val="-2"/>
              </w:rPr>
              <w:t>0.311g</w:t>
            </w:r>
            <w:r>
              <w:rPr>
                <w:rFonts w:ascii="宋体" w:hAnsi="宋体" w:eastAsia="宋体" w:cs="宋体"/>
                <w:spacing w:val="-2"/>
              </w:rPr>
              <w:t>）</w:t>
            </w:r>
          </w:p>
        </w:tc>
      </w:tr>
      <w:tr w14:paraId="1F8F3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19127BE7">
            <w:pPr>
              <w:spacing w:before="102" w:line="220" w:lineRule="auto"/>
              <w:ind w:left="49"/>
              <w:rPr>
                <w:rFonts w:ascii="宋体" w:hAnsi="宋体" w:eastAsia="宋体" w:cs="宋体"/>
                <w:sz w:val="21"/>
                <w:szCs w:val="21"/>
              </w:rPr>
            </w:pPr>
            <w:r>
              <w:rPr>
                <w:rFonts w:ascii="宋体" w:hAnsi="宋体" w:eastAsia="宋体" w:cs="宋体"/>
                <w:spacing w:val="-2"/>
                <w:sz w:val="21"/>
                <w:szCs w:val="21"/>
              </w:rPr>
              <w:t>坝顶高程</w:t>
            </w:r>
          </w:p>
        </w:tc>
        <w:tc>
          <w:tcPr>
            <w:tcW w:w="925" w:type="dxa"/>
            <w:vAlign w:val="top"/>
          </w:tcPr>
          <w:p w14:paraId="72EA56A0">
            <w:pPr>
              <w:pStyle w:val="6"/>
              <w:spacing w:before="135" w:line="235" w:lineRule="auto"/>
              <w:ind w:left="373"/>
            </w:pPr>
            <w:r>
              <w:t>m</w:t>
            </w:r>
          </w:p>
        </w:tc>
        <w:tc>
          <w:tcPr>
            <w:tcW w:w="2154" w:type="dxa"/>
            <w:vAlign w:val="top"/>
          </w:tcPr>
          <w:p w14:paraId="3160F2EE">
            <w:pPr>
              <w:pStyle w:val="6"/>
              <w:spacing w:before="135" w:line="232" w:lineRule="auto"/>
              <w:ind w:left="808"/>
            </w:pPr>
            <w:r>
              <w:rPr>
                <w:spacing w:val="-4"/>
              </w:rPr>
              <w:t>1943.2</w:t>
            </w:r>
          </w:p>
        </w:tc>
        <w:tc>
          <w:tcPr>
            <w:tcW w:w="2474" w:type="dxa"/>
            <w:tcBorders>
              <w:right w:val="single" w:color="000000" w:sz="12" w:space="0"/>
            </w:tcBorders>
            <w:vAlign w:val="top"/>
          </w:tcPr>
          <w:p w14:paraId="49345986">
            <w:pPr>
              <w:pStyle w:val="6"/>
              <w:spacing w:before="135" w:line="232" w:lineRule="auto"/>
              <w:ind w:left="971"/>
            </w:pPr>
            <w:r>
              <w:rPr>
                <w:spacing w:val="-4"/>
              </w:rPr>
              <w:t>1943.2</w:t>
            </w:r>
          </w:p>
        </w:tc>
      </w:tr>
      <w:tr w14:paraId="0ED8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0CCEC9C">
            <w:pPr>
              <w:spacing w:before="102" w:line="220" w:lineRule="auto"/>
              <w:ind w:left="52"/>
              <w:rPr>
                <w:rFonts w:ascii="宋体" w:hAnsi="宋体" w:eastAsia="宋体" w:cs="宋体"/>
                <w:sz w:val="21"/>
                <w:szCs w:val="21"/>
              </w:rPr>
            </w:pPr>
            <w:r>
              <w:rPr>
                <w:rFonts w:ascii="宋体" w:hAnsi="宋体" w:eastAsia="宋体" w:cs="宋体"/>
                <w:spacing w:val="-3"/>
                <w:sz w:val="21"/>
                <w:szCs w:val="21"/>
              </w:rPr>
              <w:t>最大坝高</w:t>
            </w:r>
          </w:p>
        </w:tc>
        <w:tc>
          <w:tcPr>
            <w:tcW w:w="925" w:type="dxa"/>
            <w:vAlign w:val="top"/>
          </w:tcPr>
          <w:p w14:paraId="13222D49">
            <w:pPr>
              <w:pStyle w:val="6"/>
              <w:spacing w:before="136" w:line="235" w:lineRule="auto"/>
              <w:ind w:left="373"/>
            </w:pPr>
            <w:r>
              <w:t>m</w:t>
            </w:r>
          </w:p>
        </w:tc>
        <w:tc>
          <w:tcPr>
            <w:tcW w:w="2154" w:type="dxa"/>
            <w:vAlign w:val="top"/>
          </w:tcPr>
          <w:p w14:paraId="460621BA">
            <w:pPr>
              <w:pStyle w:val="6"/>
              <w:spacing w:before="136" w:line="232" w:lineRule="auto"/>
              <w:ind w:left="978"/>
            </w:pPr>
            <w:r>
              <w:rPr>
                <w:spacing w:val="-3"/>
              </w:rPr>
              <w:t>52</w:t>
            </w:r>
          </w:p>
        </w:tc>
        <w:tc>
          <w:tcPr>
            <w:tcW w:w="2474" w:type="dxa"/>
            <w:tcBorders>
              <w:right w:val="single" w:color="000000" w:sz="12" w:space="0"/>
            </w:tcBorders>
            <w:vAlign w:val="top"/>
          </w:tcPr>
          <w:p w14:paraId="7541A69D">
            <w:pPr>
              <w:pStyle w:val="6"/>
              <w:spacing w:before="136" w:line="232" w:lineRule="auto"/>
              <w:ind w:left="1140"/>
            </w:pPr>
            <w:r>
              <w:rPr>
                <w:spacing w:val="-3"/>
              </w:rPr>
              <w:t>52</w:t>
            </w:r>
          </w:p>
        </w:tc>
      </w:tr>
      <w:tr w14:paraId="694D4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222F9248">
            <w:pPr>
              <w:spacing w:before="102" w:line="220" w:lineRule="auto"/>
              <w:ind w:left="49"/>
              <w:rPr>
                <w:rFonts w:ascii="宋体" w:hAnsi="宋体" w:eastAsia="宋体" w:cs="宋体"/>
                <w:sz w:val="21"/>
                <w:szCs w:val="21"/>
              </w:rPr>
            </w:pPr>
            <w:r>
              <w:rPr>
                <w:rFonts w:ascii="宋体" w:hAnsi="宋体" w:eastAsia="宋体" w:cs="宋体"/>
                <w:spacing w:val="-2"/>
                <w:sz w:val="21"/>
                <w:szCs w:val="21"/>
              </w:rPr>
              <w:t>坝顶长度</w:t>
            </w:r>
          </w:p>
        </w:tc>
        <w:tc>
          <w:tcPr>
            <w:tcW w:w="925" w:type="dxa"/>
            <w:vAlign w:val="top"/>
          </w:tcPr>
          <w:p w14:paraId="43C056DF">
            <w:pPr>
              <w:pStyle w:val="6"/>
              <w:spacing w:before="136" w:line="235" w:lineRule="auto"/>
              <w:ind w:left="373"/>
            </w:pPr>
            <w:r>
              <w:t>m</w:t>
            </w:r>
          </w:p>
        </w:tc>
        <w:tc>
          <w:tcPr>
            <w:tcW w:w="2154" w:type="dxa"/>
            <w:vAlign w:val="top"/>
          </w:tcPr>
          <w:p w14:paraId="45592A21">
            <w:pPr>
              <w:pStyle w:val="6"/>
              <w:spacing w:before="136" w:line="235" w:lineRule="auto"/>
              <w:ind w:left="920"/>
            </w:pPr>
            <w:r>
              <w:rPr>
                <w:spacing w:val="-1"/>
              </w:rPr>
              <w:t>214</w:t>
            </w:r>
          </w:p>
        </w:tc>
        <w:tc>
          <w:tcPr>
            <w:tcW w:w="2474" w:type="dxa"/>
            <w:tcBorders>
              <w:right w:val="single" w:color="000000" w:sz="12" w:space="0"/>
            </w:tcBorders>
            <w:vAlign w:val="top"/>
          </w:tcPr>
          <w:p w14:paraId="4A07238B">
            <w:pPr>
              <w:pStyle w:val="6"/>
              <w:spacing w:before="136" w:line="235" w:lineRule="auto"/>
              <w:ind w:left="1082"/>
            </w:pPr>
            <w:r>
              <w:rPr>
                <w:spacing w:val="-1"/>
              </w:rPr>
              <w:t>224</w:t>
            </w:r>
          </w:p>
        </w:tc>
      </w:tr>
      <w:tr w14:paraId="7F7A5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5CAEA6B">
            <w:pPr>
              <w:spacing w:before="105" w:line="220" w:lineRule="auto"/>
              <w:ind w:left="51"/>
              <w:rPr>
                <w:rFonts w:ascii="宋体" w:hAnsi="宋体" w:eastAsia="宋体" w:cs="宋体"/>
                <w:sz w:val="21"/>
                <w:szCs w:val="21"/>
              </w:rPr>
            </w:pPr>
            <w:r>
              <w:rPr>
                <w:rFonts w:ascii="宋体" w:hAnsi="宋体" w:eastAsia="宋体" w:cs="宋体"/>
                <w:spacing w:val="-2"/>
                <w:sz w:val="21"/>
                <w:szCs w:val="21"/>
              </w:rPr>
              <w:t>主要工程量</w:t>
            </w:r>
          </w:p>
        </w:tc>
        <w:tc>
          <w:tcPr>
            <w:tcW w:w="925" w:type="dxa"/>
            <w:vAlign w:val="top"/>
          </w:tcPr>
          <w:p w14:paraId="2B8AC358">
            <w:pPr>
              <w:rPr>
                <w:rFonts w:ascii="Arial"/>
                <w:sz w:val="21"/>
              </w:rPr>
            </w:pPr>
          </w:p>
        </w:tc>
        <w:tc>
          <w:tcPr>
            <w:tcW w:w="2154" w:type="dxa"/>
            <w:vAlign w:val="top"/>
          </w:tcPr>
          <w:p w14:paraId="2E9AFA93">
            <w:pPr>
              <w:rPr>
                <w:rFonts w:ascii="Arial"/>
                <w:sz w:val="21"/>
              </w:rPr>
            </w:pPr>
          </w:p>
        </w:tc>
        <w:tc>
          <w:tcPr>
            <w:tcW w:w="2474" w:type="dxa"/>
            <w:tcBorders>
              <w:right w:val="single" w:color="000000" w:sz="12" w:space="0"/>
            </w:tcBorders>
            <w:vAlign w:val="top"/>
          </w:tcPr>
          <w:p w14:paraId="10FB01BE">
            <w:pPr>
              <w:rPr>
                <w:rFonts w:ascii="Arial"/>
                <w:sz w:val="21"/>
              </w:rPr>
            </w:pPr>
          </w:p>
        </w:tc>
      </w:tr>
      <w:tr w14:paraId="40A51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88F0E7E">
            <w:pPr>
              <w:spacing w:before="104" w:line="220" w:lineRule="auto"/>
              <w:ind w:left="366"/>
              <w:rPr>
                <w:rFonts w:ascii="宋体" w:hAnsi="宋体" w:eastAsia="宋体" w:cs="宋体"/>
                <w:sz w:val="21"/>
                <w:szCs w:val="21"/>
              </w:rPr>
            </w:pPr>
            <w:r>
              <w:rPr>
                <w:rFonts w:ascii="宋体" w:hAnsi="宋体" w:eastAsia="宋体" w:cs="宋体"/>
                <w:spacing w:val="-2"/>
                <w:sz w:val="21"/>
                <w:szCs w:val="21"/>
              </w:rPr>
              <w:t>其中：坝基开挖土石方</w:t>
            </w:r>
          </w:p>
        </w:tc>
        <w:tc>
          <w:tcPr>
            <w:tcW w:w="925" w:type="dxa"/>
            <w:vAlign w:val="top"/>
          </w:tcPr>
          <w:p w14:paraId="444321E6">
            <w:pPr>
              <w:pStyle w:val="6"/>
              <w:spacing w:before="106" w:line="268" w:lineRule="exact"/>
              <w:ind w:left="338"/>
              <w:rPr>
                <w:sz w:val="14"/>
                <w:szCs w:val="14"/>
              </w:rPr>
            </w:pPr>
            <w:r>
              <w:rPr>
                <w:spacing w:val="-1"/>
              </w:rPr>
              <w:t>m</w:t>
            </w:r>
            <w:r>
              <w:rPr>
                <w:spacing w:val="-1"/>
                <w:position w:val="7"/>
                <w:sz w:val="14"/>
                <w:szCs w:val="14"/>
              </w:rPr>
              <w:t>3</w:t>
            </w:r>
          </w:p>
        </w:tc>
        <w:tc>
          <w:tcPr>
            <w:tcW w:w="2154" w:type="dxa"/>
            <w:vAlign w:val="top"/>
          </w:tcPr>
          <w:p w14:paraId="444CBDEC">
            <w:pPr>
              <w:pStyle w:val="6"/>
              <w:spacing w:before="138" w:line="232" w:lineRule="auto"/>
              <w:ind w:left="782"/>
            </w:pPr>
            <w:r>
              <w:rPr>
                <w:spacing w:val="-4"/>
              </w:rPr>
              <w:t>164488</w:t>
            </w:r>
          </w:p>
        </w:tc>
        <w:tc>
          <w:tcPr>
            <w:tcW w:w="2474" w:type="dxa"/>
            <w:tcBorders>
              <w:right w:val="single" w:color="000000" w:sz="12" w:space="0"/>
            </w:tcBorders>
            <w:vAlign w:val="top"/>
          </w:tcPr>
          <w:p w14:paraId="22AB7174">
            <w:pPr>
              <w:pStyle w:val="6"/>
              <w:spacing w:before="138" w:line="232" w:lineRule="auto"/>
              <w:ind w:left="944"/>
            </w:pPr>
            <w:r>
              <w:rPr>
                <w:spacing w:val="-4"/>
              </w:rPr>
              <w:t>151704</w:t>
            </w:r>
          </w:p>
        </w:tc>
      </w:tr>
      <w:tr w14:paraId="30120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0DACE06A">
            <w:pPr>
              <w:pStyle w:val="6"/>
              <w:spacing w:before="106" w:line="233" w:lineRule="auto"/>
              <w:ind w:left="46"/>
              <w:rPr>
                <w:rFonts w:ascii="宋体" w:hAnsi="宋体" w:eastAsia="宋体" w:cs="宋体"/>
              </w:rPr>
            </w:pPr>
            <w:r>
              <w:rPr>
                <w:spacing w:val="-1"/>
              </w:rPr>
              <w:t>2</w:t>
            </w:r>
            <w:r>
              <w:rPr>
                <w:rFonts w:ascii="宋体" w:hAnsi="宋体" w:eastAsia="宋体" w:cs="宋体"/>
                <w:spacing w:val="-1"/>
              </w:rPr>
              <w:t>．水库枢纽溢洪道</w:t>
            </w:r>
          </w:p>
        </w:tc>
        <w:tc>
          <w:tcPr>
            <w:tcW w:w="925" w:type="dxa"/>
            <w:vAlign w:val="top"/>
          </w:tcPr>
          <w:p w14:paraId="1334A552">
            <w:pPr>
              <w:rPr>
                <w:rFonts w:ascii="Arial"/>
                <w:sz w:val="21"/>
              </w:rPr>
            </w:pPr>
          </w:p>
        </w:tc>
        <w:tc>
          <w:tcPr>
            <w:tcW w:w="2154" w:type="dxa"/>
            <w:vAlign w:val="top"/>
          </w:tcPr>
          <w:p w14:paraId="549F8E0C">
            <w:pPr>
              <w:rPr>
                <w:rFonts w:ascii="Arial"/>
                <w:sz w:val="21"/>
              </w:rPr>
            </w:pPr>
          </w:p>
        </w:tc>
        <w:tc>
          <w:tcPr>
            <w:tcW w:w="2474" w:type="dxa"/>
            <w:tcBorders>
              <w:right w:val="single" w:color="000000" w:sz="12" w:space="0"/>
            </w:tcBorders>
            <w:vAlign w:val="top"/>
          </w:tcPr>
          <w:p w14:paraId="27330072">
            <w:pPr>
              <w:rPr>
                <w:rFonts w:ascii="Arial"/>
                <w:sz w:val="21"/>
              </w:rPr>
            </w:pPr>
          </w:p>
        </w:tc>
      </w:tr>
      <w:tr w14:paraId="13B03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19D63AE6">
            <w:pPr>
              <w:spacing w:before="107" w:line="221" w:lineRule="auto"/>
              <w:ind w:left="56"/>
              <w:rPr>
                <w:rFonts w:ascii="宋体" w:hAnsi="宋体" w:eastAsia="宋体" w:cs="宋体"/>
                <w:sz w:val="21"/>
                <w:szCs w:val="21"/>
              </w:rPr>
            </w:pPr>
            <w:r>
              <w:rPr>
                <w:rFonts w:ascii="宋体" w:hAnsi="宋体" w:eastAsia="宋体" w:cs="宋体"/>
                <w:spacing w:val="-4"/>
                <w:sz w:val="21"/>
                <w:szCs w:val="21"/>
              </w:rPr>
              <w:t>型式</w:t>
            </w:r>
          </w:p>
        </w:tc>
        <w:tc>
          <w:tcPr>
            <w:tcW w:w="925" w:type="dxa"/>
            <w:vAlign w:val="top"/>
          </w:tcPr>
          <w:p w14:paraId="5D1DE9EF">
            <w:pPr>
              <w:rPr>
                <w:rFonts w:ascii="Arial"/>
                <w:sz w:val="21"/>
              </w:rPr>
            </w:pPr>
          </w:p>
        </w:tc>
        <w:tc>
          <w:tcPr>
            <w:tcW w:w="2154" w:type="dxa"/>
            <w:vAlign w:val="top"/>
          </w:tcPr>
          <w:p w14:paraId="5BDCD7FE">
            <w:pPr>
              <w:spacing w:before="107" w:line="220" w:lineRule="auto"/>
              <w:ind w:left="662"/>
              <w:rPr>
                <w:rFonts w:ascii="宋体" w:hAnsi="宋体" w:eastAsia="宋体" w:cs="宋体"/>
                <w:sz w:val="21"/>
                <w:szCs w:val="21"/>
              </w:rPr>
            </w:pPr>
            <w:r>
              <w:rPr>
                <w:rFonts w:ascii="宋体" w:hAnsi="宋体" w:eastAsia="宋体" w:cs="宋体"/>
                <w:spacing w:val="-2"/>
                <w:sz w:val="21"/>
                <w:szCs w:val="21"/>
              </w:rPr>
              <w:t>有闸控制</w:t>
            </w:r>
          </w:p>
        </w:tc>
        <w:tc>
          <w:tcPr>
            <w:tcW w:w="2474" w:type="dxa"/>
            <w:tcBorders>
              <w:right w:val="single" w:color="000000" w:sz="12" w:space="0"/>
            </w:tcBorders>
            <w:vAlign w:val="top"/>
          </w:tcPr>
          <w:p w14:paraId="0AC30CC5">
            <w:pPr>
              <w:spacing w:before="107" w:line="220" w:lineRule="auto"/>
              <w:ind w:left="823"/>
              <w:rPr>
                <w:rFonts w:ascii="宋体" w:hAnsi="宋体" w:eastAsia="宋体" w:cs="宋体"/>
                <w:sz w:val="21"/>
                <w:szCs w:val="21"/>
              </w:rPr>
            </w:pPr>
            <w:r>
              <w:rPr>
                <w:rFonts w:ascii="宋体" w:hAnsi="宋体" w:eastAsia="宋体" w:cs="宋体"/>
                <w:spacing w:val="-2"/>
                <w:sz w:val="21"/>
                <w:szCs w:val="21"/>
              </w:rPr>
              <w:t>有闸控制</w:t>
            </w:r>
          </w:p>
        </w:tc>
      </w:tr>
      <w:tr w14:paraId="7FAC3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3879950">
            <w:pPr>
              <w:spacing w:before="106" w:line="220" w:lineRule="auto"/>
              <w:ind w:left="51"/>
              <w:rPr>
                <w:rFonts w:ascii="宋体" w:hAnsi="宋体" w:eastAsia="宋体" w:cs="宋体"/>
                <w:sz w:val="21"/>
                <w:szCs w:val="21"/>
              </w:rPr>
            </w:pPr>
            <w:r>
              <w:rPr>
                <w:rFonts w:ascii="宋体" w:hAnsi="宋体" w:eastAsia="宋体" w:cs="宋体"/>
                <w:spacing w:val="-2"/>
                <w:sz w:val="21"/>
                <w:szCs w:val="21"/>
              </w:rPr>
              <w:t>堰顶高程</w:t>
            </w:r>
          </w:p>
        </w:tc>
        <w:tc>
          <w:tcPr>
            <w:tcW w:w="925" w:type="dxa"/>
            <w:vAlign w:val="top"/>
          </w:tcPr>
          <w:p w14:paraId="1146B9E3">
            <w:pPr>
              <w:pStyle w:val="6"/>
              <w:spacing w:before="140" w:line="235" w:lineRule="auto"/>
              <w:ind w:left="373"/>
            </w:pPr>
            <w:r>
              <w:t>m</w:t>
            </w:r>
          </w:p>
        </w:tc>
        <w:tc>
          <w:tcPr>
            <w:tcW w:w="2154" w:type="dxa"/>
            <w:vAlign w:val="top"/>
          </w:tcPr>
          <w:p w14:paraId="3170E776">
            <w:pPr>
              <w:pStyle w:val="6"/>
              <w:spacing w:before="140" w:line="232" w:lineRule="auto"/>
              <w:ind w:left="808"/>
            </w:pPr>
            <w:r>
              <w:rPr>
                <w:spacing w:val="-4"/>
              </w:rPr>
              <w:t>1932.5</w:t>
            </w:r>
          </w:p>
        </w:tc>
        <w:tc>
          <w:tcPr>
            <w:tcW w:w="2474" w:type="dxa"/>
            <w:tcBorders>
              <w:right w:val="single" w:color="000000" w:sz="12" w:space="0"/>
            </w:tcBorders>
            <w:vAlign w:val="top"/>
          </w:tcPr>
          <w:p w14:paraId="13C2BC9F">
            <w:pPr>
              <w:pStyle w:val="6"/>
              <w:spacing w:before="140" w:line="232" w:lineRule="auto"/>
              <w:ind w:left="971"/>
            </w:pPr>
            <w:r>
              <w:rPr>
                <w:spacing w:val="-4"/>
              </w:rPr>
              <w:t>1932.5</w:t>
            </w:r>
          </w:p>
        </w:tc>
      </w:tr>
      <w:tr w14:paraId="61391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0E6A9C62">
            <w:pPr>
              <w:spacing w:before="107" w:line="220" w:lineRule="auto"/>
              <w:ind w:left="60"/>
              <w:rPr>
                <w:rFonts w:ascii="宋体" w:hAnsi="宋体" w:eastAsia="宋体" w:cs="宋体"/>
                <w:sz w:val="21"/>
                <w:szCs w:val="21"/>
              </w:rPr>
            </w:pPr>
            <w:r>
              <w:rPr>
                <w:rFonts w:ascii="宋体" w:hAnsi="宋体" w:eastAsia="宋体" w:cs="宋体"/>
                <w:spacing w:val="-4"/>
                <w:sz w:val="21"/>
                <w:szCs w:val="21"/>
              </w:rPr>
              <w:t>宽顶堰净宽</w:t>
            </w:r>
          </w:p>
        </w:tc>
        <w:tc>
          <w:tcPr>
            <w:tcW w:w="925" w:type="dxa"/>
            <w:vAlign w:val="top"/>
          </w:tcPr>
          <w:p w14:paraId="049D4EAF">
            <w:pPr>
              <w:pStyle w:val="6"/>
              <w:spacing w:before="141" w:line="235" w:lineRule="auto"/>
              <w:ind w:left="373"/>
            </w:pPr>
            <w:r>
              <w:t>m</w:t>
            </w:r>
          </w:p>
        </w:tc>
        <w:tc>
          <w:tcPr>
            <w:tcW w:w="2154" w:type="dxa"/>
            <w:vAlign w:val="top"/>
          </w:tcPr>
          <w:p w14:paraId="2417A612">
            <w:pPr>
              <w:pStyle w:val="6"/>
              <w:spacing w:before="141" w:line="232" w:lineRule="auto"/>
              <w:ind w:left="992"/>
            </w:pPr>
            <w:r>
              <w:rPr>
                <w:spacing w:val="-6"/>
              </w:rPr>
              <w:t>10</w:t>
            </w:r>
          </w:p>
        </w:tc>
        <w:tc>
          <w:tcPr>
            <w:tcW w:w="2474" w:type="dxa"/>
            <w:tcBorders>
              <w:right w:val="single" w:color="000000" w:sz="12" w:space="0"/>
            </w:tcBorders>
            <w:vAlign w:val="top"/>
          </w:tcPr>
          <w:p w14:paraId="0185F596">
            <w:pPr>
              <w:pStyle w:val="6"/>
              <w:spacing w:before="141" w:line="232" w:lineRule="auto"/>
              <w:ind w:left="1154"/>
            </w:pPr>
            <w:r>
              <w:rPr>
                <w:spacing w:val="-6"/>
              </w:rPr>
              <w:t>10</w:t>
            </w:r>
          </w:p>
        </w:tc>
      </w:tr>
      <w:tr w14:paraId="3BF28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65759D07">
            <w:pPr>
              <w:spacing w:before="109" w:line="221" w:lineRule="auto"/>
              <w:ind w:left="53"/>
              <w:rPr>
                <w:rFonts w:ascii="宋体" w:hAnsi="宋体" w:eastAsia="宋体" w:cs="宋体"/>
                <w:sz w:val="21"/>
                <w:szCs w:val="21"/>
              </w:rPr>
            </w:pPr>
            <w:r>
              <w:rPr>
                <w:rFonts w:ascii="宋体" w:hAnsi="宋体" w:eastAsia="宋体" w:cs="宋体"/>
                <w:spacing w:val="-2"/>
                <w:sz w:val="21"/>
                <w:szCs w:val="21"/>
              </w:rPr>
              <w:t>设计下泄流量</w:t>
            </w:r>
          </w:p>
        </w:tc>
        <w:tc>
          <w:tcPr>
            <w:tcW w:w="925" w:type="dxa"/>
            <w:vAlign w:val="top"/>
          </w:tcPr>
          <w:p w14:paraId="70AD23D4">
            <w:pPr>
              <w:pStyle w:val="6"/>
              <w:spacing w:before="110" w:line="266" w:lineRule="exact"/>
              <w:ind w:left="268"/>
            </w:pPr>
            <w:r>
              <w:rPr>
                <w:spacing w:val="-1"/>
              </w:rPr>
              <w:t>m</w:t>
            </w:r>
            <w:r>
              <w:rPr>
                <w:spacing w:val="-1"/>
                <w:position w:val="7"/>
                <w:sz w:val="14"/>
                <w:szCs w:val="14"/>
              </w:rPr>
              <w:t>3</w:t>
            </w:r>
            <w:r>
              <w:rPr>
                <w:spacing w:val="-1"/>
              </w:rPr>
              <w:t>/s</w:t>
            </w:r>
          </w:p>
        </w:tc>
        <w:tc>
          <w:tcPr>
            <w:tcW w:w="2154" w:type="dxa"/>
            <w:vAlign w:val="top"/>
          </w:tcPr>
          <w:p w14:paraId="1DBED354">
            <w:pPr>
              <w:pStyle w:val="6"/>
              <w:spacing w:before="143" w:line="232" w:lineRule="auto"/>
              <w:ind w:left="841"/>
            </w:pPr>
            <w:r>
              <w:rPr>
                <w:spacing w:val="-1"/>
              </w:rPr>
              <w:t>277.0</w:t>
            </w:r>
          </w:p>
        </w:tc>
        <w:tc>
          <w:tcPr>
            <w:tcW w:w="2474" w:type="dxa"/>
            <w:tcBorders>
              <w:right w:val="single" w:color="000000" w:sz="12" w:space="0"/>
            </w:tcBorders>
            <w:vAlign w:val="top"/>
          </w:tcPr>
          <w:p w14:paraId="0C39C2EF">
            <w:pPr>
              <w:pStyle w:val="6"/>
              <w:spacing w:before="143" w:line="232" w:lineRule="auto"/>
              <w:ind w:left="1002"/>
            </w:pPr>
            <w:r>
              <w:rPr>
                <w:spacing w:val="-1"/>
              </w:rPr>
              <w:t>276.7</w:t>
            </w:r>
          </w:p>
        </w:tc>
      </w:tr>
      <w:tr w14:paraId="76C41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5E1063A8">
            <w:pPr>
              <w:spacing w:before="109" w:line="220" w:lineRule="auto"/>
              <w:ind w:left="51"/>
              <w:rPr>
                <w:rFonts w:ascii="宋体" w:hAnsi="宋体" w:eastAsia="宋体" w:cs="宋体"/>
                <w:sz w:val="21"/>
                <w:szCs w:val="21"/>
              </w:rPr>
            </w:pPr>
            <w:r>
              <w:rPr>
                <w:rFonts w:ascii="宋体" w:hAnsi="宋体" w:eastAsia="宋体" w:cs="宋体"/>
                <w:spacing w:val="-2"/>
                <w:sz w:val="21"/>
                <w:szCs w:val="21"/>
              </w:rPr>
              <w:t>校核下泄流量</w:t>
            </w:r>
          </w:p>
        </w:tc>
        <w:tc>
          <w:tcPr>
            <w:tcW w:w="925" w:type="dxa"/>
            <w:vAlign w:val="top"/>
          </w:tcPr>
          <w:p w14:paraId="20937DB3">
            <w:pPr>
              <w:pStyle w:val="6"/>
              <w:spacing w:before="110" w:line="266" w:lineRule="exact"/>
              <w:ind w:left="268"/>
            </w:pPr>
            <w:r>
              <w:rPr>
                <w:spacing w:val="-1"/>
              </w:rPr>
              <w:t>m</w:t>
            </w:r>
            <w:r>
              <w:rPr>
                <w:spacing w:val="-1"/>
                <w:position w:val="7"/>
                <w:sz w:val="14"/>
                <w:szCs w:val="14"/>
              </w:rPr>
              <w:t>3</w:t>
            </w:r>
            <w:r>
              <w:rPr>
                <w:spacing w:val="-1"/>
              </w:rPr>
              <w:t>/s</w:t>
            </w:r>
          </w:p>
        </w:tc>
        <w:tc>
          <w:tcPr>
            <w:tcW w:w="2154" w:type="dxa"/>
            <w:vAlign w:val="top"/>
          </w:tcPr>
          <w:p w14:paraId="38794BDE">
            <w:pPr>
              <w:pStyle w:val="6"/>
              <w:spacing w:before="142" w:line="232" w:lineRule="auto"/>
              <w:ind w:left="840"/>
            </w:pPr>
            <w:r>
              <w:rPr>
                <w:spacing w:val="-1"/>
              </w:rPr>
              <w:t>455.0</w:t>
            </w:r>
          </w:p>
        </w:tc>
        <w:tc>
          <w:tcPr>
            <w:tcW w:w="2474" w:type="dxa"/>
            <w:tcBorders>
              <w:right w:val="single" w:color="000000" w:sz="12" w:space="0"/>
            </w:tcBorders>
            <w:vAlign w:val="top"/>
          </w:tcPr>
          <w:p w14:paraId="77C3A03C">
            <w:pPr>
              <w:pStyle w:val="6"/>
              <w:spacing w:before="142" w:line="232" w:lineRule="auto"/>
              <w:ind w:left="1001"/>
            </w:pPr>
            <w:r>
              <w:rPr>
                <w:spacing w:val="-1"/>
              </w:rPr>
              <w:t>454.4</w:t>
            </w:r>
          </w:p>
        </w:tc>
      </w:tr>
      <w:tr w14:paraId="734AE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C150026">
            <w:pPr>
              <w:spacing w:before="109" w:line="221" w:lineRule="auto"/>
              <w:ind w:left="54"/>
              <w:rPr>
                <w:rFonts w:ascii="宋体" w:hAnsi="宋体" w:eastAsia="宋体" w:cs="宋体"/>
                <w:sz w:val="21"/>
                <w:szCs w:val="21"/>
              </w:rPr>
            </w:pPr>
            <w:r>
              <w:rPr>
                <w:rFonts w:ascii="宋体" w:hAnsi="宋体" w:eastAsia="宋体" w:cs="宋体"/>
                <w:spacing w:val="-3"/>
                <w:sz w:val="21"/>
                <w:szCs w:val="21"/>
              </w:rPr>
              <w:t>消能型式</w:t>
            </w:r>
          </w:p>
        </w:tc>
        <w:tc>
          <w:tcPr>
            <w:tcW w:w="925" w:type="dxa"/>
            <w:vAlign w:val="top"/>
          </w:tcPr>
          <w:p w14:paraId="2BB3DE0B">
            <w:pPr>
              <w:rPr>
                <w:rFonts w:ascii="Arial"/>
                <w:sz w:val="21"/>
              </w:rPr>
            </w:pPr>
          </w:p>
        </w:tc>
        <w:tc>
          <w:tcPr>
            <w:tcW w:w="2154" w:type="dxa"/>
            <w:vAlign w:val="top"/>
          </w:tcPr>
          <w:p w14:paraId="210D1EB6">
            <w:pPr>
              <w:spacing w:before="109" w:line="221" w:lineRule="auto"/>
              <w:ind w:left="765"/>
              <w:rPr>
                <w:rFonts w:ascii="宋体" w:hAnsi="宋体" w:eastAsia="宋体" w:cs="宋体"/>
                <w:sz w:val="21"/>
                <w:szCs w:val="21"/>
              </w:rPr>
            </w:pPr>
            <w:r>
              <w:rPr>
                <w:rFonts w:ascii="宋体" w:hAnsi="宋体" w:eastAsia="宋体" w:cs="宋体"/>
                <w:spacing w:val="-2"/>
                <w:sz w:val="21"/>
                <w:szCs w:val="21"/>
              </w:rPr>
              <w:t>底流式</w:t>
            </w:r>
          </w:p>
        </w:tc>
        <w:tc>
          <w:tcPr>
            <w:tcW w:w="2474" w:type="dxa"/>
            <w:tcBorders>
              <w:right w:val="single" w:color="000000" w:sz="12" w:space="0"/>
            </w:tcBorders>
            <w:vAlign w:val="top"/>
          </w:tcPr>
          <w:p w14:paraId="5F5E8AFD">
            <w:pPr>
              <w:spacing w:before="109" w:line="221" w:lineRule="auto"/>
              <w:ind w:left="927"/>
              <w:rPr>
                <w:rFonts w:ascii="宋体" w:hAnsi="宋体" w:eastAsia="宋体" w:cs="宋体"/>
                <w:sz w:val="21"/>
                <w:szCs w:val="21"/>
              </w:rPr>
            </w:pPr>
            <w:r>
              <w:rPr>
                <w:rFonts w:ascii="宋体" w:hAnsi="宋体" w:eastAsia="宋体" w:cs="宋体"/>
                <w:spacing w:val="-2"/>
                <w:sz w:val="21"/>
                <w:szCs w:val="21"/>
              </w:rPr>
              <w:t>底流式</w:t>
            </w:r>
          </w:p>
        </w:tc>
      </w:tr>
      <w:tr w14:paraId="252D6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4EF17D24">
            <w:pPr>
              <w:spacing w:before="112" w:line="220" w:lineRule="auto"/>
              <w:ind w:left="51"/>
              <w:rPr>
                <w:rFonts w:ascii="宋体" w:hAnsi="宋体" w:eastAsia="宋体" w:cs="宋体"/>
                <w:sz w:val="21"/>
                <w:szCs w:val="21"/>
              </w:rPr>
            </w:pPr>
            <w:r>
              <w:rPr>
                <w:rFonts w:ascii="宋体" w:hAnsi="宋体" w:eastAsia="宋体" w:cs="宋体"/>
                <w:spacing w:val="-3"/>
                <w:sz w:val="21"/>
                <w:szCs w:val="21"/>
              </w:rPr>
              <w:t>长度</w:t>
            </w:r>
          </w:p>
        </w:tc>
        <w:tc>
          <w:tcPr>
            <w:tcW w:w="925" w:type="dxa"/>
            <w:vAlign w:val="top"/>
          </w:tcPr>
          <w:p w14:paraId="7DEEC929">
            <w:pPr>
              <w:pStyle w:val="6"/>
              <w:spacing w:before="145" w:line="235" w:lineRule="auto"/>
              <w:ind w:left="373"/>
            </w:pPr>
            <w:r>
              <w:t>m</w:t>
            </w:r>
          </w:p>
        </w:tc>
        <w:tc>
          <w:tcPr>
            <w:tcW w:w="2154" w:type="dxa"/>
            <w:vAlign w:val="top"/>
          </w:tcPr>
          <w:p w14:paraId="0C99FEEB">
            <w:pPr>
              <w:pStyle w:val="6"/>
              <w:spacing w:before="146" w:line="232" w:lineRule="auto"/>
              <w:ind w:left="845"/>
            </w:pPr>
            <w:r>
              <w:rPr>
                <w:spacing w:val="-2"/>
              </w:rPr>
              <w:t>343.0</w:t>
            </w:r>
          </w:p>
        </w:tc>
        <w:tc>
          <w:tcPr>
            <w:tcW w:w="2474" w:type="dxa"/>
            <w:tcBorders>
              <w:right w:val="single" w:color="000000" w:sz="12" w:space="0"/>
            </w:tcBorders>
            <w:vAlign w:val="top"/>
          </w:tcPr>
          <w:p w14:paraId="0FCDF55C">
            <w:pPr>
              <w:pStyle w:val="6"/>
              <w:spacing w:before="146" w:line="232" w:lineRule="auto"/>
              <w:ind w:left="1086"/>
            </w:pPr>
            <w:r>
              <w:rPr>
                <w:spacing w:val="-2"/>
              </w:rPr>
              <w:t>345</w:t>
            </w:r>
          </w:p>
        </w:tc>
      </w:tr>
      <w:tr w14:paraId="287DD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4F90915">
            <w:pPr>
              <w:pStyle w:val="6"/>
              <w:spacing w:before="112" w:line="233" w:lineRule="auto"/>
              <w:ind w:left="50"/>
              <w:rPr>
                <w:rFonts w:ascii="宋体" w:hAnsi="宋体" w:eastAsia="宋体" w:cs="宋体"/>
              </w:rPr>
            </w:pPr>
            <w:r>
              <w:rPr>
                <w:spacing w:val="-1"/>
              </w:rPr>
              <w:t>3</w:t>
            </w:r>
            <w:r>
              <w:rPr>
                <w:rFonts w:ascii="宋体" w:hAnsi="宋体" w:eastAsia="宋体" w:cs="宋体"/>
                <w:spacing w:val="-1"/>
              </w:rPr>
              <w:t>．水库枢纽泄洪放空隧洞</w:t>
            </w:r>
          </w:p>
        </w:tc>
        <w:tc>
          <w:tcPr>
            <w:tcW w:w="925" w:type="dxa"/>
            <w:vAlign w:val="top"/>
          </w:tcPr>
          <w:p w14:paraId="6AD722B6">
            <w:pPr>
              <w:rPr>
                <w:rFonts w:ascii="Arial"/>
                <w:sz w:val="21"/>
              </w:rPr>
            </w:pPr>
          </w:p>
        </w:tc>
        <w:tc>
          <w:tcPr>
            <w:tcW w:w="2154" w:type="dxa"/>
            <w:vAlign w:val="top"/>
          </w:tcPr>
          <w:p w14:paraId="61CB4C8C">
            <w:pPr>
              <w:rPr>
                <w:rFonts w:ascii="Arial"/>
                <w:sz w:val="21"/>
              </w:rPr>
            </w:pPr>
          </w:p>
        </w:tc>
        <w:tc>
          <w:tcPr>
            <w:tcW w:w="2474" w:type="dxa"/>
            <w:tcBorders>
              <w:right w:val="single" w:color="000000" w:sz="12" w:space="0"/>
            </w:tcBorders>
            <w:vAlign w:val="top"/>
          </w:tcPr>
          <w:p w14:paraId="14604781">
            <w:pPr>
              <w:rPr>
                <w:rFonts w:ascii="Arial"/>
                <w:sz w:val="21"/>
              </w:rPr>
            </w:pPr>
          </w:p>
        </w:tc>
      </w:tr>
      <w:tr w14:paraId="2F161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38ECD51D">
            <w:pPr>
              <w:spacing w:before="113" w:line="221" w:lineRule="auto"/>
              <w:ind w:left="56"/>
              <w:rPr>
                <w:rFonts w:ascii="宋体" w:hAnsi="宋体" w:eastAsia="宋体" w:cs="宋体"/>
                <w:sz w:val="21"/>
                <w:szCs w:val="21"/>
              </w:rPr>
            </w:pPr>
            <w:r>
              <w:rPr>
                <w:rFonts w:ascii="宋体" w:hAnsi="宋体" w:eastAsia="宋体" w:cs="宋体"/>
                <w:spacing w:val="-4"/>
                <w:sz w:val="21"/>
                <w:szCs w:val="21"/>
              </w:rPr>
              <w:t>型式</w:t>
            </w:r>
          </w:p>
        </w:tc>
        <w:tc>
          <w:tcPr>
            <w:tcW w:w="925" w:type="dxa"/>
            <w:vAlign w:val="top"/>
          </w:tcPr>
          <w:p w14:paraId="5AAE6DE7">
            <w:pPr>
              <w:rPr>
                <w:rFonts w:ascii="Arial"/>
                <w:sz w:val="21"/>
              </w:rPr>
            </w:pPr>
          </w:p>
        </w:tc>
        <w:tc>
          <w:tcPr>
            <w:tcW w:w="2154" w:type="dxa"/>
            <w:vAlign w:val="top"/>
          </w:tcPr>
          <w:p w14:paraId="768D1610">
            <w:pPr>
              <w:spacing w:before="113" w:line="220" w:lineRule="auto"/>
              <w:ind w:left="140"/>
              <w:rPr>
                <w:rFonts w:ascii="宋体" w:hAnsi="宋体" w:eastAsia="宋体" w:cs="宋体"/>
                <w:sz w:val="21"/>
                <w:szCs w:val="21"/>
              </w:rPr>
            </w:pPr>
            <w:r>
              <w:rPr>
                <w:rFonts w:ascii="宋体" w:hAnsi="宋体" w:eastAsia="宋体" w:cs="宋体"/>
                <w:spacing w:val="-2"/>
                <w:sz w:val="21"/>
                <w:szCs w:val="21"/>
              </w:rPr>
              <w:t>竖井前有压、后无压</w:t>
            </w:r>
          </w:p>
        </w:tc>
        <w:tc>
          <w:tcPr>
            <w:tcW w:w="2474" w:type="dxa"/>
            <w:tcBorders>
              <w:right w:val="single" w:color="000000" w:sz="12" w:space="0"/>
            </w:tcBorders>
            <w:vAlign w:val="top"/>
          </w:tcPr>
          <w:p w14:paraId="1B634998">
            <w:pPr>
              <w:spacing w:before="113" w:line="220" w:lineRule="auto"/>
              <w:ind w:left="301"/>
              <w:rPr>
                <w:rFonts w:ascii="宋体" w:hAnsi="宋体" w:eastAsia="宋体" w:cs="宋体"/>
                <w:sz w:val="21"/>
                <w:szCs w:val="21"/>
              </w:rPr>
            </w:pPr>
            <w:r>
              <w:rPr>
                <w:rFonts w:ascii="宋体" w:hAnsi="宋体" w:eastAsia="宋体" w:cs="宋体"/>
                <w:spacing w:val="-2"/>
                <w:sz w:val="21"/>
                <w:szCs w:val="21"/>
              </w:rPr>
              <w:t>前段有压、后段无压</w:t>
            </w:r>
          </w:p>
        </w:tc>
      </w:tr>
      <w:tr w14:paraId="3193D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593AC051">
            <w:pPr>
              <w:spacing w:before="114" w:line="220" w:lineRule="auto"/>
              <w:ind w:left="51"/>
              <w:rPr>
                <w:rFonts w:ascii="宋体" w:hAnsi="宋体" w:eastAsia="宋体" w:cs="宋体"/>
                <w:sz w:val="21"/>
                <w:szCs w:val="21"/>
              </w:rPr>
            </w:pPr>
            <w:r>
              <w:rPr>
                <w:rFonts w:ascii="宋体" w:hAnsi="宋体" w:eastAsia="宋体" w:cs="宋体"/>
                <w:spacing w:val="-2"/>
                <w:sz w:val="21"/>
                <w:szCs w:val="21"/>
              </w:rPr>
              <w:t>有压段洞径</w:t>
            </w:r>
          </w:p>
        </w:tc>
        <w:tc>
          <w:tcPr>
            <w:tcW w:w="925" w:type="dxa"/>
            <w:vAlign w:val="top"/>
          </w:tcPr>
          <w:p w14:paraId="5B283A95">
            <w:pPr>
              <w:pStyle w:val="6"/>
              <w:spacing w:before="148" w:line="235" w:lineRule="auto"/>
              <w:ind w:left="373"/>
            </w:pPr>
            <w:r>
              <w:t>m</w:t>
            </w:r>
          </w:p>
        </w:tc>
        <w:tc>
          <w:tcPr>
            <w:tcW w:w="2154" w:type="dxa"/>
            <w:vAlign w:val="top"/>
          </w:tcPr>
          <w:p w14:paraId="2231F15B">
            <w:pPr>
              <w:pStyle w:val="6"/>
              <w:spacing w:before="115" w:line="235" w:lineRule="auto"/>
              <w:ind w:left="524"/>
              <w:rPr>
                <w:rFonts w:ascii="宋体" w:hAnsi="宋体" w:eastAsia="宋体" w:cs="宋体"/>
              </w:rPr>
            </w:pPr>
            <w:r>
              <w:rPr>
                <w:spacing w:val="-2"/>
              </w:rPr>
              <w:t>4.5</w:t>
            </w:r>
            <w:r>
              <w:rPr>
                <w:rFonts w:ascii="宋体" w:hAnsi="宋体" w:eastAsia="宋体" w:cs="宋体"/>
                <w:spacing w:val="-2"/>
              </w:rPr>
              <w:t>（圆形）</w:t>
            </w:r>
          </w:p>
        </w:tc>
        <w:tc>
          <w:tcPr>
            <w:tcW w:w="2474" w:type="dxa"/>
            <w:tcBorders>
              <w:right w:val="single" w:color="000000" w:sz="12" w:space="0"/>
            </w:tcBorders>
            <w:vAlign w:val="top"/>
          </w:tcPr>
          <w:p w14:paraId="2E40AA02">
            <w:pPr>
              <w:pStyle w:val="6"/>
              <w:spacing w:before="115" w:line="235" w:lineRule="auto"/>
              <w:ind w:left="501"/>
              <w:rPr>
                <w:rFonts w:ascii="宋体" w:hAnsi="宋体" w:eastAsia="宋体" w:cs="宋体"/>
              </w:rPr>
            </w:pPr>
            <w:r>
              <w:rPr>
                <w:spacing w:val="-2"/>
              </w:rPr>
              <w:t>3.2×4.0</w:t>
            </w:r>
            <w:r>
              <w:rPr>
                <w:rFonts w:ascii="宋体" w:hAnsi="宋体" w:eastAsia="宋体" w:cs="宋体"/>
                <w:spacing w:val="-2"/>
              </w:rPr>
              <w:t>（矩形）</w:t>
            </w:r>
          </w:p>
        </w:tc>
      </w:tr>
      <w:tr w14:paraId="4ED93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2C2D1778">
            <w:pPr>
              <w:spacing w:before="114" w:line="219" w:lineRule="auto"/>
              <w:ind w:left="51"/>
              <w:rPr>
                <w:rFonts w:ascii="宋体" w:hAnsi="宋体" w:eastAsia="宋体" w:cs="宋体"/>
                <w:sz w:val="21"/>
                <w:szCs w:val="21"/>
              </w:rPr>
            </w:pPr>
            <w:r>
              <w:rPr>
                <w:rFonts w:ascii="宋体" w:hAnsi="宋体" w:eastAsia="宋体" w:cs="宋体"/>
                <w:spacing w:val="-2"/>
                <w:sz w:val="21"/>
                <w:szCs w:val="21"/>
              </w:rPr>
              <w:t>无压段断面尺寸</w:t>
            </w:r>
          </w:p>
        </w:tc>
        <w:tc>
          <w:tcPr>
            <w:tcW w:w="925" w:type="dxa"/>
            <w:vAlign w:val="top"/>
          </w:tcPr>
          <w:p w14:paraId="7FC185A0">
            <w:pPr>
              <w:pStyle w:val="6"/>
              <w:spacing w:before="148" w:line="235" w:lineRule="auto"/>
              <w:ind w:left="373"/>
            </w:pPr>
            <w:r>
              <w:t>m</w:t>
            </w:r>
          </w:p>
        </w:tc>
        <w:tc>
          <w:tcPr>
            <w:tcW w:w="2154" w:type="dxa"/>
            <w:vAlign w:val="top"/>
          </w:tcPr>
          <w:p w14:paraId="577E019D">
            <w:pPr>
              <w:pStyle w:val="6"/>
              <w:spacing w:before="115" w:line="233" w:lineRule="auto"/>
              <w:ind w:left="125"/>
              <w:rPr>
                <w:rFonts w:ascii="宋体" w:hAnsi="宋体" w:eastAsia="宋体" w:cs="宋体"/>
              </w:rPr>
            </w:pPr>
            <w:r>
              <w:rPr>
                <w:spacing w:val="-2"/>
              </w:rPr>
              <w:t>4.5×6.0</w:t>
            </w:r>
            <w:r>
              <w:rPr>
                <w:rFonts w:ascii="宋体" w:hAnsi="宋体" w:eastAsia="宋体" w:cs="宋体"/>
                <w:spacing w:val="-2"/>
              </w:rPr>
              <w:t>（城门洞型）</w:t>
            </w:r>
          </w:p>
        </w:tc>
        <w:tc>
          <w:tcPr>
            <w:tcW w:w="2474" w:type="dxa"/>
            <w:tcBorders>
              <w:right w:val="single" w:color="000000" w:sz="12" w:space="0"/>
            </w:tcBorders>
            <w:vAlign w:val="top"/>
          </w:tcPr>
          <w:p w14:paraId="665DE779">
            <w:pPr>
              <w:pStyle w:val="6"/>
              <w:spacing w:before="114" w:line="235" w:lineRule="auto"/>
              <w:ind w:left="181"/>
              <w:rPr>
                <w:rFonts w:ascii="宋体" w:hAnsi="宋体" w:eastAsia="宋体" w:cs="宋体"/>
              </w:rPr>
            </w:pPr>
            <w:r>
              <w:rPr>
                <w:spacing w:val="-2"/>
              </w:rPr>
              <w:t>4.0×5.0</w:t>
            </w:r>
            <w:r>
              <w:rPr>
                <w:rFonts w:ascii="宋体" w:hAnsi="宋体" w:eastAsia="宋体" w:cs="宋体"/>
                <w:spacing w:val="-2"/>
              </w:rPr>
              <w:t>（圆拱直墙型）</w:t>
            </w:r>
          </w:p>
        </w:tc>
      </w:tr>
      <w:tr w14:paraId="3916F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6AEDCBA1">
            <w:pPr>
              <w:spacing w:before="116" w:line="219" w:lineRule="auto"/>
              <w:ind w:left="53"/>
              <w:rPr>
                <w:rFonts w:ascii="宋体" w:hAnsi="宋体" w:eastAsia="宋体" w:cs="宋体"/>
                <w:sz w:val="21"/>
                <w:szCs w:val="21"/>
              </w:rPr>
            </w:pPr>
            <w:r>
              <w:rPr>
                <w:rFonts w:ascii="宋体" w:hAnsi="宋体" w:eastAsia="宋体" w:cs="宋体"/>
                <w:spacing w:val="-1"/>
                <w:sz w:val="21"/>
                <w:szCs w:val="21"/>
              </w:rPr>
              <w:t>泄洪放空隧洞进口底板高程</w:t>
            </w:r>
          </w:p>
        </w:tc>
        <w:tc>
          <w:tcPr>
            <w:tcW w:w="925" w:type="dxa"/>
            <w:vAlign w:val="top"/>
          </w:tcPr>
          <w:p w14:paraId="0A5B4C97">
            <w:pPr>
              <w:pStyle w:val="6"/>
              <w:spacing w:before="150" w:line="235" w:lineRule="auto"/>
              <w:ind w:left="373"/>
            </w:pPr>
            <w:r>
              <w:t>m</w:t>
            </w:r>
          </w:p>
        </w:tc>
        <w:tc>
          <w:tcPr>
            <w:tcW w:w="2154" w:type="dxa"/>
            <w:vAlign w:val="top"/>
          </w:tcPr>
          <w:p w14:paraId="6C0C4EA2">
            <w:pPr>
              <w:pStyle w:val="6"/>
              <w:spacing w:before="150" w:line="232" w:lineRule="auto"/>
              <w:ind w:left="756"/>
            </w:pPr>
            <w:r>
              <w:rPr>
                <w:spacing w:val="-4"/>
              </w:rPr>
              <w:t>1899.39</w:t>
            </w:r>
          </w:p>
        </w:tc>
        <w:tc>
          <w:tcPr>
            <w:tcW w:w="2474" w:type="dxa"/>
            <w:tcBorders>
              <w:right w:val="single" w:color="000000" w:sz="12" w:space="0"/>
            </w:tcBorders>
            <w:vAlign w:val="top"/>
          </w:tcPr>
          <w:p w14:paraId="3B4FEDC1">
            <w:pPr>
              <w:pStyle w:val="6"/>
              <w:spacing w:before="150" w:line="232" w:lineRule="auto"/>
              <w:ind w:left="971"/>
            </w:pPr>
            <w:r>
              <w:rPr>
                <w:spacing w:val="-4"/>
              </w:rPr>
              <w:t>1915.3</w:t>
            </w:r>
          </w:p>
        </w:tc>
      </w:tr>
      <w:tr w14:paraId="5A64F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7DC8197D">
            <w:pPr>
              <w:spacing w:before="118" w:line="221" w:lineRule="auto"/>
              <w:ind w:left="53"/>
              <w:rPr>
                <w:rFonts w:ascii="宋体" w:hAnsi="宋体" w:eastAsia="宋体" w:cs="宋体"/>
                <w:sz w:val="21"/>
                <w:szCs w:val="21"/>
              </w:rPr>
            </w:pPr>
            <w:r>
              <w:rPr>
                <w:rFonts w:ascii="宋体" w:hAnsi="宋体" w:eastAsia="宋体" w:cs="宋体"/>
                <w:spacing w:val="-2"/>
                <w:sz w:val="21"/>
                <w:szCs w:val="21"/>
              </w:rPr>
              <w:t>设计下泄流量</w:t>
            </w:r>
          </w:p>
        </w:tc>
        <w:tc>
          <w:tcPr>
            <w:tcW w:w="925" w:type="dxa"/>
            <w:vAlign w:val="top"/>
          </w:tcPr>
          <w:p w14:paraId="22F5E015">
            <w:pPr>
              <w:pStyle w:val="6"/>
              <w:spacing w:before="119" w:line="266" w:lineRule="exact"/>
              <w:ind w:left="268"/>
            </w:pPr>
            <w:r>
              <w:rPr>
                <w:spacing w:val="-1"/>
              </w:rPr>
              <w:t>m</w:t>
            </w:r>
            <w:r>
              <w:rPr>
                <w:spacing w:val="-1"/>
                <w:position w:val="7"/>
                <w:sz w:val="14"/>
                <w:szCs w:val="14"/>
              </w:rPr>
              <w:t>3</w:t>
            </w:r>
            <w:r>
              <w:rPr>
                <w:spacing w:val="-1"/>
              </w:rPr>
              <w:t>/s</w:t>
            </w:r>
          </w:p>
        </w:tc>
        <w:tc>
          <w:tcPr>
            <w:tcW w:w="2154" w:type="dxa"/>
            <w:vAlign w:val="top"/>
          </w:tcPr>
          <w:p w14:paraId="002BB237">
            <w:pPr>
              <w:pStyle w:val="6"/>
              <w:spacing w:before="152" w:line="232" w:lineRule="auto"/>
              <w:ind w:left="841"/>
            </w:pPr>
            <w:r>
              <w:rPr>
                <w:spacing w:val="-1"/>
              </w:rPr>
              <w:t>277.0</w:t>
            </w:r>
          </w:p>
        </w:tc>
        <w:tc>
          <w:tcPr>
            <w:tcW w:w="2474" w:type="dxa"/>
            <w:tcBorders>
              <w:right w:val="single" w:color="000000" w:sz="12" w:space="0"/>
            </w:tcBorders>
            <w:vAlign w:val="top"/>
          </w:tcPr>
          <w:p w14:paraId="7FD92C0E">
            <w:pPr>
              <w:pStyle w:val="6"/>
              <w:spacing w:before="152" w:line="232" w:lineRule="auto"/>
              <w:ind w:left="1002"/>
            </w:pPr>
            <w:r>
              <w:rPr>
                <w:spacing w:val="-1"/>
              </w:rPr>
              <w:t>204.8</w:t>
            </w:r>
          </w:p>
        </w:tc>
      </w:tr>
      <w:tr w14:paraId="28FC3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6ED92FC8">
            <w:pPr>
              <w:spacing w:before="113" w:line="220" w:lineRule="auto"/>
              <w:ind w:left="51"/>
              <w:rPr>
                <w:rFonts w:ascii="宋体" w:hAnsi="宋体" w:eastAsia="宋体" w:cs="宋体"/>
                <w:sz w:val="21"/>
                <w:szCs w:val="21"/>
              </w:rPr>
            </w:pPr>
            <w:r>
              <w:rPr>
                <w:rFonts w:ascii="宋体" w:hAnsi="宋体" w:eastAsia="宋体" w:cs="宋体"/>
                <w:spacing w:val="-2"/>
                <w:sz w:val="21"/>
                <w:szCs w:val="21"/>
              </w:rPr>
              <w:t>校核下泄流量</w:t>
            </w:r>
          </w:p>
        </w:tc>
        <w:tc>
          <w:tcPr>
            <w:tcW w:w="925" w:type="dxa"/>
            <w:vAlign w:val="top"/>
          </w:tcPr>
          <w:p w14:paraId="15CA8B53">
            <w:pPr>
              <w:pStyle w:val="6"/>
              <w:spacing w:before="113" w:line="266" w:lineRule="exact"/>
              <w:ind w:left="268"/>
            </w:pPr>
            <w:r>
              <w:rPr>
                <w:spacing w:val="-1"/>
              </w:rPr>
              <w:t>m</w:t>
            </w:r>
            <w:r>
              <w:rPr>
                <w:spacing w:val="-1"/>
                <w:position w:val="7"/>
                <w:sz w:val="14"/>
                <w:szCs w:val="14"/>
              </w:rPr>
              <w:t>3</w:t>
            </w:r>
            <w:r>
              <w:rPr>
                <w:spacing w:val="-1"/>
              </w:rPr>
              <w:t>/s</w:t>
            </w:r>
          </w:p>
        </w:tc>
        <w:tc>
          <w:tcPr>
            <w:tcW w:w="2154" w:type="dxa"/>
            <w:vAlign w:val="top"/>
          </w:tcPr>
          <w:p w14:paraId="06673403">
            <w:pPr>
              <w:pStyle w:val="6"/>
              <w:spacing w:before="146" w:line="232" w:lineRule="auto"/>
              <w:ind w:left="840"/>
            </w:pPr>
            <w:r>
              <w:rPr>
                <w:spacing w:val="-1"/>
              </w:rPr>
              <w:t>455.0</w:t>
            </w:r>
          </w:p>
        </w:tc>
        <w:tc>
          <w:tcPr>
            <w:tcW w:w="2474" w:type="dxa"/>
            <w:tcBorders>
              <w:right w:val="single" w:color="000000" w:sz="12" w:space="0"/>
            </w:tcBorders>
            <w:vAlign w:val="top"/>
          </w:tcPr>
          <w:p w14:paraId="11910F09">
            <w:pPr>
              <w:pStyle w:val="6"/>
              <w:spacing w:before="146" w:line="232" w:lineRule="auto"/>
              <w:ind w:left="1002"/>
            </w:pPr>
            <w:r>
              <w:rPr>
                <w:spacing w:val="-1"/>
              </w:rPr>
              <w:t>211.8</w:t>
            </w:r>
          </w:p>
        </w:tc>
      </w:tr>
      <w:tr w14:paraId="219E4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921" w:type="dxa"/>
            <w:tcBorders>
              <w:left w:val="single" w:color="000000" w:sz="12" w:space="0"/>
              <w:bottom w:val="single" w:color="000000" w:sz="12" w:space="0"/>
            </w:tcBorders>
            <w:vAlign w:val="top"/>
          </w:tcPr>
          <w:p w14:paraId="55D520C4">
            <w:pPr>
              <w:spacing w:before="119" w:line="221" w:lineRule="auto"/>
              <w:ind w:left="54"/>
              <w:rPr>
                <w:rFonts w:ascii="宋体" w:hAnsi="宋体" w:eastAsia="宋体" w:cs="宋体"/>
                <w:sz w:val="21"/>
                <w:szCs w:val="21"/>
              </w:rPr>
            </w:pPr>
            <w:r>
              <w:rPr>
                <w:rFonts w:ascii="宋体" w:hAnsi="宋体" w:eastAsia="宋体" w:cs="宋体"/>
                <w:spacing w:val="-3"/>
                <w:sz w:val="21"/>
                <w:szCs w:val="21"/>
              </w:rPr>
              <w:t>消能型式</w:t>
            </w:r>
          </w:p>
        </w:tc>
        <w:tc>
          <w:tcPr>
            <w:tcW w:w="925" w:type="dxa"/>
            <w:tcBorders>
              <w:bottom w:val="single" w:color="000000" w:sz="12" w:space="0"/>
            </w:tcBorders>
            <w:vAlign w:val="top"/>
          </w:tcPr>
          <w:p w14:paraId="19F1C6D2">
            <w:pPr>
              <w:pStyle w:val="6"/>
              <w:spacing w:before="120" w:line="266" w:lineRule="exact"/>
              <w:ind w:left="268"/>
            </w:pPr>
            <w:r>
              <w:rPr>
                <w:spacing w:val="-1"/>
              </w:rPr>
              <w:t>m</w:t>
            </w:r>
            <w:r>
              <w:rPr>
                <w:spacing w:val="-1"/>
                <w:position w:val="7"/>
                <w:sz w:val="14"/>
                <w:szCs w:val="14"/>
              </w:rPr>
              <w:t>3</w:t>
            </w:r>
            <w:r>
              <w:rPr>
                <w:spacing w:val="-1"/>
              </w:rPr>
              <w:t>/s</w:t>
            </w:r>
          </w:p>
        </w:tc>
        <w:tc>
          <w:tcPr>
            <w:tcW w:w="2154" w:type="dxa"/>
            <w:tcBorders>
              <w:bottom w:val="single" w:color="000000" w:sz="12" w:space="0"/>
            </w:tcBorders>
            <w:vAlign w:val="top"/>
          </w:tcPr>
          <w:p w14:paraId="13D4A01C">
            <w:pPr>
              <w:spacing w:before="119" w:line="221" w:lineRule="auto"/>
              <w:ind w:left="765"/>
              <w:rPr>
                <w:rFonts w:ascii="宋体" w:hAnsi="宋体" w:eastAsia="宋体" w:cs="宋体"/>
                <w:sz w:val="21"/>
                <w:szCs w:val="21"/>
              </w:rPr>
            </w:pPr>
            <w:r>
              <w:rPr>
                <w:rFonts w:ascii="宋体" w:hAnsi="宋体" w:eastAsia="宋体" w:cs="宋体"/>
                <w:spacing w:val="-2"/>
                <w:sz w:val="21"/>
                <w:szCs w:val="21"/>
              </w:rPr>
              <w:t>底流式</w:t>
            </w:r>
          </w:p>
        </w:tc>
        <w:tc>
          <w:tcPr>
            <w:tcW w:w="2474" w:type="dxa"/>
            <w:tcBorders>
              <w:bottom w:val="single" w:color="000000" w:sz="12" w:space="0"/>
              <w:right w:val="single" w:color="000000" w:sz="12" w:space="0"/>
            </w:tcBorders>
            <w:vAlign w:val="top"/>
          </w:tcPr>
          <w:p w14:paraId="0E4DFBB6">
            <w:pPr>
              <w:spacing w:before="119" w:line="221" w:lineRule="auto"/>
              <w:ind w:left="927"/>
              <w:rPr>
                <w:rFonts w:ascii="宋体" w:hAnsi="宋体" w:eastAsia="宋体" w:cs="宋体"/>
                <w:sz w:val="21"/>
                <w:szCs w:val="21"/>
              </w:rPr>
            </w:pPr>
            <w:r>
              <w:rPr>
                <w:rFonts w:ascii="宋体" w:hAnsi="宋体" w:eastAsia="宋体" w:cs="宋体"/>
                <w:spacing w:val="-2"/>
                <w:sz w:val="21"/>
                <w:szCs w:val="21"/>
              </w:rPr>
              <w:t>底流式</w:t>
            </w:r>
          </w:p>
        </w:tc>
      </w:tr>
    </w:tbl>
    <w:p w14:paraId="5D65A421">
      <w:pPr>
        <w:rPr>
          <w:rFonts w:ascii="Arial"/>
          <w:sz w:val="21"/>
        </w:rPr>
      </w:pPr>
    </w:p>
    <w:p w14:paraId="2ED24837">
      <w:pPr>
        <w:rPr>
          <w:rFonts w:ascii="Arial" w:hAnsi="Arial" w:eastAsia="Arial" w:cs="Arial"/>
          <w:sz w:val="21"/>
          <w:szCs w:val="21"/>
        </w:rPr>
        <w:sectPr>
          <w:footerReference r:id="rId42" w:type="default"/>
          <w:pgSz w:w="11907" w:h="16839"/>
          <w:pgMar w:top="1376" w:right="1669" w:bottom="1061" w:left="1671" w:header="999" w:footer="861" w:gutter="0"/>
          <w:cols w:space="720" w:num="1"/>
        </w:sectPr>
      </w:pPr>
    </w:p>
    <w:p w14:paraId="27540359">
      <w:pPr>
        <w:spacing w:before="148"/>
      </w:pP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1"/>
        <w:gridCol w:w="925"/>
        <w:gridCol w:w="2154"/>
        <w:gridCol w:w="2474"/>
      </w:tblGrid>
      <w:tr w14:paraId="66EA5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2921" w:type="dxa"/>
            <w:vMerge w:val="restart"/>
            <w:tcBorders>
              <w:top w:val="single" w:color="000000" w:sz="12" w:space="0"/>
              <w:left w:val="single" w:color="000000" w:sz="12" w:space="0"/>
              <w:bottom w:val="nil"/>
            </w:tcBorders>
            <w:vAlign w:val="top"/>
          </w:tcPr>
          <w:p w14:paraId="04275ABD">
            <w:pPr>
              <w:spacing w:before="287" w:line="220" w:lineRule="auto"/>
              <w:ind w:left="1244"/>
              <w:rPr>
                <w:rFonts w:ascii="宋体" w:hAnsi="宋体" w:eastAsia="宋体" w:cs="宋体"/>
                <w:sz w:val="21"/>
                <w:szCs w:val="21"/>
              </w:rPr>
            </w:pPr>
            <w:r>
              <w:rPr>
                <w:rFonts w:ascii="宋体" w:hAnsi="宋体" w:eastAsia="宋体" w:cs="宋体"/>
                <w:spacing w:val="-3"/>
                <w:sz w:val="21"/>
                <w:szCs w:val="21"/>
              </w:rPr>
              <w:t>指标</w:t>
            </w:r>
          </w:p>
        </w:tc>
        <w:tc>
          <w:tcPr>
            <w:tcW w:w="925" w:type="dxa"/>
            <w:vMerge w:val="restart"/>
            <w:tcBorders>
              <w:top w:val="single" w:color="000000" w:sz="12" w:space="0"/>
              <w:bottom w:val="nil"/>
            </w:tcBorders>
            <w:vAlign w:val="top"/>
          </w:tcPr>
          <w:p w14:paraId="0709CB9B">
            <w:pPr>
              <w:spacing w:before="287" w:line="220" w:lineRule="auto"/>
              <w:ind w:left="20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8"/>
                <w:sz w:val="21"/>
                <w:szCs w:val="21"/>
              </w:rPr>
              <w:t xml:space="preserve"> </w:t>
            </w:r>
            <w:r>
              <w:rPr>
                <w:rFonts w:ascii="宋体" w:hAnsi="宋体" w:eastAsia="宋体" w:cs="宋体"/>
                <w:spacing w:val="-5"/>
                <w:sz w:val="21"/>
                <w:szCs w:val="21"/>
              </w:rPr>
              <w:t>位</w:t>
            </w:r>
          </w:p>
        </w:tc>
        <w:tc>
          <w:tcPr>
            <w:tcW w:w="4628" w:type="dxa"/>
            <w:gridSpan w:val="2"/>
            <w:tcBorders>
              <w:top w:val="single" w:color="000000" w:sz="12" w:space="0"/>
              <w:right w:val="single" w:color="000000" w:sz="12" w:space="0"/>
            </w:tcBorders>
            <w:vAlign w:val="top"/>
          </w:tcPr>
          <w:p w14:paraId="3EEDE3C9">
            <w:pPr>
              <w:spacing w:before="86" w:line="220" w:lineRule="auto"/>
              <w:ind w:left="1897"/>
              <w:rPr>
                <w:rFonts w:ascii="宋体" w:hAnsi="宋体" w:eastAsia="宋体" w:cs="宋体"/>
                <w:sz w:val="21"/>
                <w:szCs w:val="21"/>
              </w:rPr>
            </w:pPr>
            <w:r>
              <w:rPr>
                <w:rFonts w:ascii="宋体" w:hAnsi="宋体" w:eastAsia="宋体" w:cs="宋体"/>
                <w:spacing w:val="-3"/>
                <w:sz w:val="21"/>
                <w:szCs w:val="21"/>
              </w:rPr>
              <w:t>工程特性</w:t>
            </w:r>
          </w:p>
        </w:tc>
      </w:tr>
      <w:tr w14:paraId="6C00B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vMerge w:val="continue"/>
            <w:tcBorders>
              <w:top w:val="nil"/>
              <w:left w:val="single" w:color="000000" w:sz="12" w:space="0"/>
            </w:tcBorders>
            <w:vAlign w:val="top"/>
          </w:tcPr>
          <w:p w14:paraId="2EFD359D">
            <w:pPr>
              <w:rPr>
                <w:rFonts w:ascii="Arial"/>
                <w:sz w:val="21"/>
              </w:rPr>
            </w:pPr>
          </w:p>
        </w:tc>
        <w:tc>
          <w:tcPr>
            <w:tcW w:w="925" w:type="dxa"/>
            <w:vMerge w:val="continue"/>
            <w:tcBorders>
              <w:top w:val="nil"/>
            </w:tcBorders>
            <w:vAlign w:val="top"/>
          </w:tcPr>
          <w:p w14:paraId="0BDC0EE1">
            <w:pPr>
              <w:rPr>
                <w:rFonts w:ascii="Arial"/>
                <w:sz w:val="21"/>
              </w:rPr>
            </w:pPr>
          </w:p>
        </w:tc>
        <w:tc>
          <w:tcPr>
            <w:tcW w:w="2154" w:type="dxa"/>
            <w:vAlign w:val="top"/>
          </w:tcPr>
          <w:p w14:paraId="43DB70AE">
            <w:pPr>
              <w:spacing w:before="87" w:line="220" w:lineRule="auto"/>
              <w:ind w:left="661"/>
              <w:rPr>
                <w:rFonts w:ascii="宋体" w:hAnsi="宋体" w:eastAsia="宋体" w:cs="宋体"/>
                <w:sz w:val="21"/>
                <w:szCs w:val="21"/>
              </w:rPr>
            </w:pPr>
            <w:r>
              <w:rPr>
                <w:rFonts w:ascii="宋体" w:hAnsi="宋体" w:eastAsia="宋体" w:cs="宋体"/>
                <w:spacing w:val="-2"/>
                <w:sz w:val="21"/>
                <w:szCs w:val="21"/>
              </w:rPr>
              <w:t>环评阶段</w:t>
            </w:r>
          </w:p>
        </w:tc>
        <w:tc>
          <w:tcPr>
            <w:tcW w:w="2474" w:type="dxa"/>
            <w:tcBorders>
              <w:right w:val="single" w:color="000000" w:sz="12" w:space="0"/>
            </w:tcBorders>
            <w:vAlign w:val="top"/>
          </w:tcPr>
          <w:p w14:paraId="48200F6F">
            <w:pPr>
              <w:spacing w:before="87" w:line="221" w:lineRule="auto"/>
              <w:ind w:left="822"/>
              <w:rPr>
                <w:rFonts w:ascii="宋体" w:hAnsi="宋体" w:eastAsia="宋体" w:cs="宋体"/>
                <w:sz w:val="21"/>
                <w:szCs w:val="21"/>
              </w:rPr>
            </w:pPr>
            <w:r>
              <w:rPr>
                <w:rFonts w:ascii="宋体" w:hAnsi="宋体" w:eastAsia="宋体" w:cs="宋体"/>
                <w:spacing w:val="-2"/>
                <w:sz w:val="21"/>
                <w:szCs w:val="21"/>
              </w:rPr>
              <w:t>初设阶段</w:t>
            </w:r>
          </w:p>
        </w:tc>
      </w:tr>
      <w:tr w14:paraId="0227F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23EAC2F4">
            <w:pPr>
              <w:pStyle w:val="6"/>
              <w:spacing w:before="93" w:line="233" w:lineRule="auto"/>
              <w:ind w:left="45"/>
              <w:rPr>
                <w:rFonts w:ascii="宋体" w:hAnsi="宋体" w:eastAsia="宋体" w:cs="宋体"/>
              </w:rPr>
            </w:pPr>
            <w:r>
              <w:rPr>
                <w:spacing w:val="-1"/>
              </w:rPr>
              <w:t>4</w:t>
            </w:r>
            <w:r>
              <w:rPr>
                <w:rFonts w:ascii="宋体" w:hAnsi="宋体" w:eastAsia="宋体" w:cs="宋体"/>
                <w:spacing w:val="-1"/>
              </w:rPr>
              <w:t>．输水建筑物</w:t>
            </w:r>
          </w:p>
        </w:tc>
        <w:tc>
          <w:tcPr>
            <w:tcW w:w="925" w:type="dxa"/>
            <w:vAlign w:val="top"/>
          </w:tcPr>
          <w:p w14:paraId="47EBAF91">
            <w:pPr>
              <w:rPr>
                <w:rFonts w:ascii="Arial"/>
                <w:sz w:val="21"/>
              </w:rPr>
            </w:pPr>
          </w:p>
        </w:tc>
        <w:tc>
          <w:tcPr>
            <w:tcW w:w="2154" w:type="dxa"/>
            <w:vAlign w:val="top"/>
          </w:tcPr>
          <w:p w14:paraId="49B131A4">
            <w:pPr>
              <w:rPr>
                <w:rFonts w:ascii="Arial"/>
                <w:sz w:val="21"/>
              </w:rPr>
            </w:pPr>
          </w:p>
        </w:tc>
        <w:tc>
          <w:tcPr>
            <w:tcW w:w="2474" w:type="dxa"/>
            <w:tcBorders>
              <w:right w:val="single" w:color="000000" w:sz="12" w:space="0"/>
            </w:tcBorders>
            <w:vAlign w:val="top"/>
          </w:tcPr>
          <w:p w14:paraId="561CE3D2">
            <w:pPr>
              <w:rPr>
                <w:rFonts w:ascii="Arial"/>
                <w:sz w:val="21"/>
              </w:rPr>
            </w:pPr>
          </w:p>
        </w:tc>
      </w:tr>
      <w:tr w14:paraId="1503166F">
        <w:tblPrEx>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3160EA5F">
            <w:pPr>
              <w:spacing w:before="94" w:line="219" w:lineRule="auto"/>
              <w:ind w:left="58"/>
              <w:rPr>
                <w:rFonts w:ascii="宋体" w:hAnsi="宋体" w:eastAsia="宋体" w:cs="宋体"/>
                <w:sz w:val="21"/>
                <w:szCs w:val="21"/>
              </w:rPr>
            </w:pPr>
            <w:r>
              <w:rPr>
                <w:rFonts w:ascii="宋体" w:hAnsi="宋体" w:eastAsia="宋体" w:cs="宋体"/>
                <w:spacing w:val="-4"/>
                <w:sz w:val="21"/>
                <w:szCs w:val="21"/>
              </w:rPr>
              <w:t>断面尺寸</w:t>
            </w:r>
          </w:p>
        </w:tc>
        <w:tc>
          <w:tcPr>
            <w:tcW w:w="925" w:type="dxa"/>
            <w:vAlign w:val="top"/>
          </w:tcPr>
          <w:p w14:paraId="6A60C310">
            <w:pPr>
              <w:pStyle w:val="6"/>
              <w:spacing w:before="128" w:line="235" w:lineRule="auto"/>
              <w:ind w:left="373"/>
            </w:pPr>
            <w:r>
              <w:t>m</w:t>
            </w:r>
          </w:p>
        </w:tc>
        <w:tc>
          <w:tcPr>
            <w:tcW w:w="2154" w:type="dxa"/>
            <w:vAlign w:val="top"/>
          </w:tcPr>
          <w:p w14:paraId="049FDE38">
            <w:pPr>
              <w:pStyle w:val="6"/>
              <w:spacing w:before="128" w:line="232" w:lineRule="auto"/>
              <w:ind w:left="756"/>
            </w:pPr>
            <w:r>
              <w:rPr>
                <w:spacing w:val="-1"/>
              </w:rPr>
              <w:t>2.5×3.0</w:t>
            </w:r>
          </w:p>
        </w:tc>
        <w:tc>
          <w:tcPr>
            <w:tcW w:w="2474" w:type="dxa"/>
            <w:tcBorders>
              <w:right w:val="single" w:color="000000" w:sz="12" w:space="0"/>
            </w:tcBorders>
            <w:vAlign w:val="top"/>
          </w:tcPr>
          <w:p w14:paraId="38B043AF">
            <w:pPr>
              <w:pStyle w:val="6"/>
              <w:spacing w:before="128" w:line="232" w:lineRule="auto"/>
              <w:ind w:left="917"/>
            </w:pPr>
            <w:r>
              <w:rPr>
                <w:spacing w:val="-1"/>
              </w:rPr>
              <w:t>2.5×3.0</w:t>
            </w:r>
          </w:p>
        </w:tc>
      </w:tr>
      <w:tr w14:paraId="68722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1916CFD6">
            <w:pPr>
              <w:spacing w:before="94" w:line="223" w:lineRule="auto"/>
              <w:ind w:left="55"/>
              <w:rPr>
                <w:rFonts w:ascii="宋体" w:hAnsi="宋体" w:eastAsia="宋体" w:cs="宋体"/>
                <w:sz w:val="21"/>
                <w:szCs w:val="21"/>
              </w:rPr>
            </w:pPr>
            <w:r>
              <w:rPr>
                <w:rFonts w:ascii="宋体" w:hAnsi="宋体" w:eastAsia="宋体" w:cs="宋体"/>
                <w:spacing w:val="-4"/>
                <w:sz w:val="21"/>
                <w:szCs w:val="21"/>
              </w:rPr>
              <w:t>总长</w:t>
            </w:r>
          </w:p>
        </w:tc>
        <w:tc>
          <w:tcPr>
            <w:tcW w:w="925" w:type="dxa"/>
            <w:vAlign w:val="top"/>
          </w:tcPr>
          <w:p w14:paraId="2A16D8CC">
            <w:pPr>
              <w:pStyle w:val="6"/>
              <w:spacing w:before="128" w:line="235" w:lineRule="auto"/>
              <w:ind w:left="373"/>
            </w:pPr>
            <w:r>
              <w:t>m</w:t>
            </w:r>
          </w:p>
        </w:tc>
        <w:tc>
          <w:tcPr>
            <w:tcW w:w="2154" w:type="dxa"/>
            <w:vAlign w:val="top"/>
          </w:tcPr>
          <w:p w14:paraId="14F23FD4">
            <w:pPr>
              <w:pStyle w:val="6"/>
              <w:spacing w:before="128" w:line="232" w:lineRule="auto"/>
              <w:ind w:left="815"/>
            </w:pPr>
            <w:r>
              <w:rPr>
                <w:spacing w:val="-1"/>
              </w:rPr>
              <w:t>29560</w:t>
            </w:r>
          </w:p>
        </w:tc>
        <w:tc>
          <w:tcPr>
            <w:tcW w:w="2474" w:type="dxa"/>
            <w:tcBorders>
              <w:right w:val="single" w:color="000000" w:sz="12" w:space="0"/>
            </w:tcBorders>
            <w:vAlign w:val="top"/>
          </w:tcPr>
          <w:p w14:paraId="7B588332">
            <w:pPr>
              <w:pStyle w:val="6"/>
              <w:spacing w:before="128" w:line="232" w:lineRule="auto"/>
              <w:ind w:left="977"/>
            </w:pPr>
            <w:r>
              <w:rPr>
                <w:spacing w:val="-1"/>
              </w:rPr>
              <w:t>29623</w:t>
            </w:r>
          </w:p>
        </w:tc>
      </w:tr>
      <w:tr w14:paraId="20640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A853109">
            <w:pPr>
              <w:spacing w:before="95" w:line="221" w:lineRule="auto"/>
              <w:ind w:left="53"/>
              <w:rPr>
                <w:rFonts w:ascii="宋体" w:hAnsi="宋体" w:eastAsia="宋体" w:cs="宋体"/>
                <w:sz w:val="21"/>
                <w:szCs w:val="21"/>
              </w:rPr>
            </w:pPr>
            <w:r>
              <w:rPr>
                <w:rFonts w:ascii="宋体" w:hAnsi="宋体" w:eastAsia="宋体" w:cs="宋体"/>
                <w:spacing w:val="-3"/>
                <w:sz w:val="21"/>
                <w:szCs w:val="21"/>
              </w:rPr>
              <w:t>设计流量</w:t>
            </w:r>
          </w:p>
        </w:tc>
        <w:tc>
          <w:tcPr>
            <w:tcW w:w="925" w:type="dxa"/>
            <w:vAlign w:val="top"/>
          </w:tcPr>
          <w:p w14:paraId="41EDC093">
            <w:pPr>
              <w:pStyle w:val="6"/>
              <w:spacing w:before="96" w:line="266" w:lineRule="exact"/>
              <w:ind w:left="268"/>
            </w:pPr>
            <w:r>
              <w:rPr>
                <w:spacing w:val="-1"/>
              </w:rPr>
              <w:t>m</w:t>
            </w:r>
            <w:r>
              <w:rPr>
                <w:spacing w:val="-1"/>
                <w:position w:val="7"/>
                <w:sz w:val="14"/>
                <w:szCs w:val="14"/>
              </w:rPr>
              <w:t>3</w:t>
            </w:r>
            <w:r>
              <w:rPr>
                <w:spacing w:val="-1"/>
              </w:rPr>
              <w:t>/s</w:t>
            </w:r>
          </w:p>
        </w:tc>
        <w:tc>
          <w:tcPr>
            <w:tcW w:w="2154" w:type="dxa"/>
            <w:vAlign w:val="top"/>
          </w:tcPr>
          <w:p w14:paraId="1A8B0EDB">
            <w:pPr>
              <w:pStyle w:val="6"/>
              <w:spacing w:before="128" w:line="232" w:lineRule="auto"/>
              <w:ind w:left="951"/>
            </w:pPr>
            <w:r>
              <w:rPr>
                <w:spacing w:val="-4"/>
              </w:rPr>
              <w:t>5.8</w:t>
            </w:r>
          </w:p>
        </w:tc>
        <w:tc>
          <w:tcPr>
            <w:tcW w:w="2474" w:type="dxa"/>
            <w:tcBorders>
              <w:right w:val="single" w:color="000000" w:sz="12" w:space="0"/>
            </w:tcBorders>
            <w:vAlign w:val="top"/>
          </w:tcPr>
          <w:p w14:paraId="615F3F42">
            <w:pPr>
              <w:pStyle w:val="6"/>
              <w:spacing w:before="128" w:line="232" w:lineRule="auto"/>
              <w:ind w:left="1114"/>
            </w:pPr>
            <w:r>
              <w:rPr>
                <w:spacing w:val="-4"/>
              </w:rPr>
              <w:t>5.4</w:t>
            </w:r>
          </w:p>
        </w:tc>
      </w:tr>
      <w:tr w14:paraId="40D10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2ACC2907">
            <w:pPr>
              <w:spacing w:before="96" w:line="221" w:lineRule="auto"/>
              <w:ind w:left="60"/>
              <w:rPr>
                <w:rFonts w:ascii="宋体" w:hAnsi="宋体" w:eastAsia="宋体" w:cs="宋体"/>
                <w:sz w:val="21"/>
                <w:szCs w:val="21"/>
              </w:rPr>
            </w:pPr>
            <w:r>
              <w:rPr>
                <w:rFonts w:ascii="宋体" w:hAnsi="宋体" w:eastAsia="宋体" w:cs="宋体"/>
                <w:spacing w:val="-4"/>
                <w:sz w:val="21"/>
                <w:szCs w:val="21"/>
              </w:rPr>
              <w:t>隧洞型式</w:t>
            </w:r>
          </w:p>
        </w:tc>
        <w:tc>
          <w:tcPr>
            <w:tcW w:w="925" w:type="dxa"/>
            <w:vAlign w:val="top"/>
          </w:tcPr>
          <w:p w14:paraId="2B7C0982">
            <w:pPr>
              <w:rPr>
                <w:rFonts w:ascii="Arial"/>
                <w:sz w:val="21"/>
              </w:rPr>
            </w:pPr>
          </w:p>
        </w:tc>
        <w:tc>
          <w:tcPr>
            <w:tcW w:w="2154" w:type="dxa"/>
            <w:vAlign w:val="top"/>
          </w:tcPr>
          <w:p w14:paraId="1CC7E2C0">
            <w:pPr>
              <w:spacing w:before="96" w:line="220" w:lineRule="auto"/>
              <w:ind w:left="346"/>
              <w:rPr>
                <w:rFonts w:ascii="宋体" w:hAnsi="宋体" w:eastAsia="宋体" w:cs="宋体"/>
                <w:sz w:val="21"/>
                <w:szCs w:val="21"/>
              </w:rPr>
            </w:pPr>
            <w:r>
              <w:rPr>
                <w:rFonts w:ascii="宋体" w:hAnsi="宋体" w:eastAsia="宋体" w:cs="宋体"/>
                <w:spacing w:val="-2"/>
                <w:sz w:val="21"/>
                <w:szCs w:val="21"/>
              </w:rPr>
              <w:t>城门洞形，无压</w:t>
            </w:r>
          </w:p>
        </w:tc>
        <w:tc>
          <w:tcPr>
            <w:tcW w:w="2474" w:type="dxa"/>
            <w:tcBorders>
              <w:right w:val="single" w:color="000000" w:sz="12" w:space="0"/>
            </w:tcBorders>
            <w:vAlign w:val="top"/>
          </w:tcPr>
          <w:p w14:paraId="49FC5D11">
            <w:pPr>
              <w:spacing w:before="97" w:line="220" w:lineRule="auto"/>
              <w:ind w:left="301"/>
              <w:rPr>
                <w:rFonts w:ascii="宋体" w:hAnsi="宋体" w:eastAsia="宋体" w:cs="宋体"/>
                <w:sz w:val="21"/>
                <w:szCs w:val="21"/>
              </w:rPr>
            </w:pPr>
            <w:r>
              <w:rPr>
                <w:rFonts w:ascii="宋体" w:hAnsi="宋体" w:eastAsia="宋体" w:cs="宋体"/>
                <w:spacing w:val="-2"/>
                <w:sz w:val="21"/>
                <w:szCs w:val="21"/>
              </w:rPr>
              <w:t>前段有压、后段无压</w:t>
            </w:r>
          </w:p>
        </w:tc>
      </w:tr>
      <w:tr w14:paraId="20A5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726DDE52">
            <w:pPr>
              <w:spacing w:before="96" w:line="219" w:lineRule="auto"/>
              <w:ind w:left="48"/>
              <w:rPr>
                <w:rFonts w:ascii="宋体" w:hAnsi="宋体" w:eastAsia="宋体" w:cs="宋体"/>
                <w:sz w:val="21"/>
                <w:szCs w:val="21"/>
              </w:rPr>
            </w:pPr>
            <w:r>
              <w:rPr>
                <w:rFonts w:ascii="宋体" w:hAnsi="宋体" w:eastAsia="宋体" w:cs="宋体"/>
                <w:spacing w:val="-1"/>
                <w:sz w:val="21"/>
                <w:szCs w:val="21"/>
              </w:rPr>
              <w:t>进口底板高程</w:t>
            </w:r>
          </w:p>
        </w:tc>
        <w:tc>
          <w:tcPr>
            <w:tcW w:w="925" w:type="dxa"/>
            <w:vAlign w:val="top"/>
          </w:tcPr>
          <w:p w14:paraId="61F1D534">
            <w:pPr>
              <w:pStyle w:val="6"/>
              <w:spacing w:before="130" w:line="235" w:lineRule="auto"/>
              <w:ind w:left="373"/>
            </w:pPr>
            <w:r>
              <w:t>m</w:t>
            </w:r>
          </w:p>
        </w:tc>
        <w:tc>
          <w:tcPr>
            <w:tcW w:w="2154" w:type="dxa"/>
            <w:vAlign w:val="top"/>
          </w:tcPr>
          <w:p w14:paraId="596F4B3C">
            <w:pPr>
              <w:pStyle w:val="6"/>
              <w:spacing w:before="130" w:line="232" w:lineRule="auto"/>
              <w:ind w:left="756"/>
            </w:pPr>
            <w:r>
              <w:rPr>
                <w:spacing w:val="-4"/>
              </w:rPr>
              <w:t>1911.50</w:t>
            </w:r>
          </w:p>
        </w:tc>
        <w:tc>
          <w:tcPr>
            <w:tcW w:w="2474" w:type="dxa"/>
            <w:tcBorders>
              <w:right w:val="single" w:color="000000" w:sz="12" w:space="0"/>
            </w:tcBorders>
            <w:vAlign w:val="top"/>
          </w:tcPr>
          <w:p w14:paraId="74E6D45A">
            <w:pPr>
              <w:pStyle w:val="6"/>
              <w:spacing w:before="130" w:line="232" w:lineRule="auto"/>
              <w:ind w:left="918"/>
            </w:pPr>
            <w:r>
              <w:rPr>
                <w:spacing w:val="-4"/>
              </w:rPr>
              <w:t>1911.50</w:t>
            </w:r>
          </w:p>
        </w:tc>
      </w:tr>
      <w:tr w14:paraId="2FCDA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ECACBCC">
            <w:pPr>
              <w:spacing w:before="96" w:line="219" w:lineRule="auto"/>
              <w:ind w:left="68"/>
              <w:rPr>
                <w:rFonts w:ascii="宋体" w:hAnsi="宋体" w:eastAsia="宋体" w:cs="宋体"/>
                <w:sz w:val="21"/>
                <w:szCs w:val="21"/>
              </w:rPr>
            </w:pPr>
            <w:r>
              <w:rPr>
                <w:rFonts w:ascii="宋体" w:hAnsi="宋体" w:eastAsia="宋体" w:cs="宋体"/>
                <w:spacing w:val="-4"/>
                <w:sz w:val="21"/>
                <w:szCs w:val="21"/>
              </w:rPr>
              <w:t>出口底板高程</w:t>
            </w:r>
          </w:p>
        </w:tc>
        <w:tc>
          <w:tcPr>
            <w:tcW w:w="925" w:type="dxa"/>
            <w:vAlign w:val="top"/>
          </w:tcPr>
          <w:p w14:paraId="4355AED5">
            <w:pPr>
              <w:pStyle w:val="6"/>
              <w:spacing w:before="130" w:line="235" w:lineRule="auto"/>
              <w:ind w:left="373"/>
            </w:pPr>
            <w:r>
              <w:t>m</w:t>
            </w:r>
          </w:p>
        </w:tc>
        <w:tc>
          <w:tcPr>
            <w:tcW w:w="2154" w:type="dxa"/>
            <w:vAlign w:val="top"/>
          </w:tcPr>
          <w:p w14:paraId="748CB3AB">
            <w:pPr>
              <w:pStyle w:val="6"/>
              <w:spacing w:before="130" w:line="232" w:lineRule="auto"/>
              <w:ind w:left="756"/>
            </w:pPr>
            <w:r>
              <w:rPr>
                <w:spacing w:val="-4"/>
              </w:rPr>
              <w:t>1897.47</w:t>
            </w:r>
          </w:p>
        </w:tc>
        <w:tc>
          <w:tcPr>
            <w:tcW w:w="2474" w:type="dxa"/>
            <w:tcBorders>
              <w:right w:val="single" w:color="000000" w:sz="12" w:space="0"/>
            </w:tcBorders>
            <w:vAlign w:val="top"/>
          </w:tcPr>
          <w:p w14:paraId="69155268">
            <w:pPr>
              <w:pStyle w:val="6"/>
              <w:spacing w:before="130" w:line="232" w:lineRule="auto"/>
              <w:ind w:left="918"/>
            </w:pPr>
            <w:r>
              <w:rPr>
                <w:spacing w:val="-4"/>
              </w:rPr>
              <w:t>1899.69</w:t>
            </w:r>
          </w:p>
        </w:tc>
      </w:tr>
      <w:tr w14:paraId="226EB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1498A4C8">
            <w:pPr>
              <w:spacing w:before="99" w:line="220" w:lineRule="auto"/>
              <w:ind w:left="51"/>
              <w:rPr>
                <w:rFonts w:ascii="宋体" w:hAnsi="宋体" w:eastAsia="宋体" w:cs="宋体"/>
                <w:sz w:val="21"/>
                <w:szCs w:val="21"/>
              </w:rPr>
            </w:pPr>
            <w:r>
              <w:rPr>
                <w:rFonts w:ascii="宋体" w:hAnsi="宋体" w:eastAsia="宋体" w:cs="宋体"/>
                <w:spacing w:val="-2"/>
                <w:sz w:val="21"/>
                <w:szCs w:val="21"/>
              </w:rPr>
              <w:t>有压段长度</w:t>
            </w:r>
          </w:p>
        </w:tc>
        <w:tc>
          <w:tcPr>
            <w:tcW w:w="925" w:type="dxa"/>
            <w:vAlign w:val="top"/>
          </w:tcPr>
          <w:p w14:paraId="3107F55C">
            <w:pPr>
              <w:pStyle w:val="6"/>
              <w:spacing w:before="132" w:line="235" w:lineRule="auto"/>
              <w:ind w:left="373"/>
            </w:pPr>
            <w:r>
              <w:t>m</w:t>
            </w:r>
          </w:p>
        </w:tc>
        <w:tc>
          <w:tcPr>
            <w:tcW w:w="2154" w:type="dxa"/>
            <w:vAlign w:val="top"/>
          </w:tcPr>
          <w:p w14:paraId="07216EA1">
            <w:pPr>
              <w:pStyle w:val="6"/>
              <w:spacing w:before="132" w:line="232" w:lineRule="auto"/>
              <w:ind w:left="899"/>
            </w:pPr>
            <w:r>
              <w:rPr>
                <w:spacing w:val="-2"/>
              </w:rPr>
              <w:t>69.0</w:t>
            </w:r>
          </w:p>
        </w:tc>
        <w:tc>
          <w:tcPr>
            <w:tcW w:w="2474" w:type="dxa"/>
            <w:tcBorders>
              <w:right w:val="single" w:color="000000" w:sz="12" w:space="0"/>
            </w:tcBorders>
            <w:vAlign w:val="top"/>
          </w:tcPr>
          <w:p w14:paraId="69AF378C">
            <w:pPr>
              <w:pStyle w:val="6"/>
              <w:spacing w:before="132" w:line="232" w:lineRule="auto"/>
              <w:ind w:left="1075"/>
            </w:pPr>
            <w:r>
              <w:rPr>
                <w:spacing w:val="-6"/>
              </w:rPr>
              <w:t>16.8</w:t>
            </w:r>
          </w:p>
        </w:tc>
      </w:tr>
      <w:tr w14:paraId="0C6A3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45881D92">
            <w:pPr>
              <w:spacing w:before="99" w:line="222" w:lineRule="auto"/>
              <w:ind w:left="51"/>
              <w:rPr>
                <w:rFonts w:ascii="宋体" w:hAnsi="宋体" w:eastAsia="宋体" w:cs="宋体"/>
                <w:sz w:val="21"/>
                <w:szCs w:val="21"/>
              </w:rPr>
            </w:pPr>
            <w:r>
              <w:rPr>
                <w:rFonts w:ascii="宋体" w:hAnsi="宋体" w:eastAsia="宋体" w:cs="宋体"/>
                <w:b/>
                <w:bCs/>
                <w:spacing w:val="-4"/>
                <w:sz w:val="21"/>
                <w:szCs w:val="21"/>
              </w:rPr>
              <w:t>六、施工</w:t>
            </w:r>
          </w:p>
        </w:tc>
        <w:tc>
          <w:tcPr>
            <w:tcW w:w="925" w:type="dxa"/>
            <w:vAlign w:val="top"/>
          </w:tcPr>
          <w:p w14:paraId="30BE0323">
            <w:pPr>
              <w:rPr>
                <w:rFonts w:ascii="Arial"/>
                <w:sz w:val="21"/>
              </w:rPr>
            </w:pPr>
          </w:p>
        </w:tc>
        <w:tc>
          <w:tcPr>
            <w:tcW w:w="2154" w:type="dxa"/>
            <w:vAlign w:val="top"/>
          </w:tcPr>
          <w:p w14:paraId="47081539">
            <w:pPr>
              <w:rPr>
                <w:rFonts w:ascii="Arial"/>
                <w:sz w:val="21"/>
              </w:rPr>
            </w:pPr>
          </w:p>
        </w:tc>
        <w:tc>
          <w:tcPr>
            <w:tcW w:w="2474" w:type="dxa"/>
            <w:tcBorders>
              <w:right w:val="single" w:color="000000" w:sz="12" w:space="0"/>
            </w:tcBorders>
            <w:vAlign w:val="top"/>
          </w:tcPr>
          <w:p w14:paraId="79C86681">
            <w:pPr>
              <w:rPr>
                <w:rFonts w:ascii="Arial"/>
                <w:sz w:val="21"/>
              </w:rPr>
            </w:pPr>
          </w:p>
        </w:tc>
      </w:tr>
      <w:tr w14:paraId="03EF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38D29826">
            <w:pPr>
              <w:pStyle w:val="6"/>
              <w:spacing w:before="99" w:line="234" w:lineRule="auto"/>
              <w:ind w:left="66"/>
              <w:rPr>
                <w:rFonts w:ascii="宋体" w:hAnsi="宋体" w:eastAsia="宋体" w:cs="宋体"/>
              </w:rPr>
            </w:pPr>
            <w:r>
              <w:rPr>
                <w:spacing w:val="-3"/>
              </w:rPr>
              <w:t>1</w:t>
            </w:r>
            <w:r>
              <w:rPr>
                <w:rFonts w:ascii="宋体" w:hAnsi="宋体" w:eastAsia="宋体" w:cs="宋体"/>
                <w:spacing w:val="-3"/>
              </w:rPr>
              <w:t>．主体工程工程量</w:t>
            </w:r>
          </w:p>
        </w:tc>
        <w:tc>
          <w:tcPr>
            <w:tcW w:w="925" w:type="dxa"/>
            <w:vAlign w:val="top"/>
          </w:tcPr>
          <w:p w14:paraId="18BE8850">
            <w:pPr>
              <w:rPr>
                <w:rFonts w:ascii="Arial"/>
                <w:sz w:val="21"/>
              </w:rPr>
            </w:pPr>
          </w:p>
        </w:tc>
        <w:tc>
          <w:tcPr>
            <w:tcW w:w="2154" w:type="dxa"/>
            <w:vAlign w:val="top"/>
          </w:tcPr>
          <w:p w14:paraId="5E39CFDB">
            <w:pPr>
              <w:rPr>
                <w:rFonts w:ascii="Arial"/>
                <w:sz w:val="21"/>
              </w:rPr>
            </w:pPr>
          </w:p>
        </w:tc>
        <w:tc>
          <w:tcPr>
            <w:tcW w:w="2474" w:type="dxa"/>
            <w:tcBorders>
              <w:right w:val="single" w:color="000000" w:sz="12" w:space="0"/>
            </w:tcBorders>
            <w:vAlign w:val="top"/>
          </w:tcPr>
          <w:p w14:paraId="41375997">
            <w:pPr>
              <w:rPr>
                <w:rFonts w:ascii="Arial"/>
                <w:sz w:val="21"/>
              </w:rPr>
            </w:pPr>
          </w:p>
        </w:tc>
      </w:tr>
      <w:tr w14:paraId="1718B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DFD1E28">
            <w:pPr>
              <w:spacing w:before="95" w:line="220" w:lineRule="auto"/>
              <w:ind w:left="69"/>
              <w:rPr>
                <w:rFonts w:ascii="宋体" w:hAnsi="宋体" w:eastAsia="宋体" w:cs="宋体"/>
                <w:sz w:val="21"/>
                <w:szCs w:val="21"/>
              </w:rPr>
            </w:pPr>
            <w:r>
              <w:rPr>
                <w:rFonts w:ascii="宋体" w:hAnsi="宋体" w:eastAsia="宋体" w:cs="宋体"/>
                <w:spacing w:val="-5"/>
                <w:sz w:val="21"/>
                <w:szCs w:val="21"/>
              </w:rPr>
              <w:t>明挖土石方</w:t>
            </w:r>
          </w:p>
        </w:tc>
        <w:tc>
          <w:tcPr>
            <w:tcW w:w="925" w:type="dxa"/>
            <w:vAlign w:val="top"/>
          </w:tcPr>
          <w:p w14:paraId="4262C519">
            <w:pPr>
              <w:pStyle w:val="6"/>
              <w:spacing w:before="96"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9A81CC8">
            <w:pPr>
              <w:pStyle w:val="6"/>
              <w:spacing w:before="129" w:line="232" w:lineRule="auto"/>
              <w:ind w:left="845"/>
            </w:pPr>
            <w:r>
              <w:rPr>
                <w:spacing w:val="-2"/>
              </w:rPr>
              <w:t>32.06</w:t>
            </w:r>
          </w:p>
        </w:tc>
        <w:tc>
          <w:tcPr>
            <w:tcW w:w="2474" w:type="dxa"/>
            <w:tcBorders>
              <w:right w:val="single" w:color="000000" w:sz="12" w:space="0"/>
            </w:tcBorders>
            <w:vAlign w:val="top"/>
          </w:tcPr>
          <w:p w14:paraId="5AC5D5B5">
            <w:pPr>
              <w:pStyle w:val="6"/>
              <w:spacing w:before="129" w:line="232" w:lineRule="auto"/>
              <w:ind w:left="1007"/>
            </w:pPr>
            <w:r>
              <w:rPr>
                <w:spacing w:val="-2"/>
              </w:rPr>
              <w:t>38.72</w:t>
            </w:r>
          </w:p>
        </w:tc>
      </w:tr>
      <w:tr w14:paraId="26E81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4B54C17A">
            <w:pPr>
              <w:spacing w:before="97" w:line="220" w:lineRule="auto"/>
              <w:ind w:left="51"/>
              <w:rPr>
                <w:rFonts w:ascii="宋体" w:hAnsi="宋体" w:eastAsia="宋体" w:cs="宋体"/>
                <w:sz w:val="21"/>
                <w:szCs w:val="21"/>
              </w:rPr>
            </w:pPr>
            <w:r>
              <w:rPr>
                <w:rFonts w:ascii="宋体" w:hAnsi="宋体" w:eastAsia="宋体" w:cs="宋体"/>
                <w:spacing w:val="-2"/>
                <w:sz w:val="21"/>
                <w:szCs w:val="21"/>
              </w:rPr>
              <w:t>土石方填筑</w:t>
            </w:r>
          </w:p>
        </w:tc>
        <w:tc>
          <w:tcPr>
            <w:tcW w:w="925" w:type="dxa"/>
            <w:vAlign w:val="top"/>
          </w:tcPr>
          <w:p w14:paraId="0155A793">
            <w:pPr>
              <w:pStyle w:val="6"/>
              <w:spacing w:before="97"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08DA1CFF">
            <w:pPr>
              <w:pStyle w:val="6"/>
              <w:spacing w:before="130" w:line="232" w:lineRule="auto"/>
              <w:ind w:left="847"/>
            </w:pPr>
            <w:r>
              <w:rPr>
                <w:spacing w:val="-2"/>
              </w:rPr>
              <w:t>56.83</w:t>
            </w:r>
          </w:p>
        </w:tc>
        <w:tc>
          <w:tcPr>
            <w:tcW w:w="2474" w:type="dxa"/>
            <w:tcBorders>
              <w:right w:val="single" w:color="000000" w:sz="12" w:space="0"/>
            </w:tcBorders>
            <w:vAlign w:val="top"/>
          </w:tcPr>
          <w:p w14:paraId="01CD5081">
            <w:pPr>
              <w:pStyle w:val="6"/>
              <w:spacing w:before="130" w:line="232" w:lineRule="auto"/>
              <w:ind w:left="1007"/>
            </w:pPr>
            <w:r>
              <w:rPr>
                <w:spacing w:val="-2"/>
              </w:rPr>
              <w:t>60.02</w:t>
            </w:r>
          </w:p>
        </w:tc>
      </w:tr>
      <w:tr w14:paraId="0DA33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0F83FC21">
            <w:pPr>
              <w:spacing w:before="103" w:line="221" w:lineRule="auto"/>
              <w:ind w:left="51"/>
              <w:rPr>
                <w:rFonts w:ascii="宋体" w:hAnsi="宋体" w:eastAsia="宋体" w:cs="宋体"/>
                <w:sz w:val="21"/>
                <w:szCs w:val="21"/>
              </w:rPr>
            </w:pPr>
            <w:r>
              <w:rPr>
                <w:rFonts w:ascii="宋体" w:hAnsi="宋体" w:eastAsia="宋体" w:cs="宋体"/>
                <w:spacing w:val="-2"/>
                <w:sz w:val="21"/>
                <w:szCs w:val="21"/>
              </w:rPr>
              <w:t>洞挖石方</w:t>
            </w:r>
          </w:p>
        </w:tc>
        <w:tc>
          <w:tcPr>
            <w:tcW w:w="925" w:type="dxa"/>
            <w:vAlign w:val="top"/>
          </w:tcPr>
          <w:p w14:paraId="0EDA4EC2">
            <w:pPr>
              <w:pStyle w:val="6"/>
              <w:spacing w:before="103"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FBA8BC5">
            <w:pPr>
              <w:pStyle w:val="6"/>
              <w:spacing w:before="137" w:line="232" w:lineRule="auto"/>
              <w:ind w:left="847"/>
            </w:pPr>
            <w:r>
              <w:rPr>
                <w:spacing w:val="-2"/>
              </w:rPr>
              <w:t>52.18</w:t>
            </w:r>
          </w:p>
        </w:tc>
        <w:tc>
          <w:tcPr>
            <w:tcW w:w="2474" w:type="dxa"/>
            <w:tcBorders>
              <w:right w:val="single" w:color="000000" w:sz="12" w:space="0"/>
            </w:tcBorders>
            <w:vAlign w:val="top"/>
          </w:tcPr>
          <w:p w14:paraId="468A7665">
            <w:pPr>
              <w:pStyle w:val="6"/>
              <w:spacing w:before="137" w:line="232" w:lineRule="auto"/>
              <w:ind w:left="1008"/>
            </w:pPr>
            <w:r>
              <w:rPr>
                <w:spacing w:val="-2"/>
              </w:rPr>
              <w:t>53.39</w:t>
            </w:r>
          </w:p>
        </w:tc>
      </w:tr>
      <w:tr w14:paraId="7C5AE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79108984">
            <w:pPr>
              <w:spacing w:before="102" w:line="220" w:lineRule="auto"/>
              <w:ind w:left="50"/>
              <w:rPr>
                <w:rFonts w:ascii="宋体" w:hAnsi="宋体" w:eastAsia="宋体" w:cs="宋体"/>
                <w:sz w:val="21"/>
                <w:szCs w:val="21"/>
              </w:rPr>
            </w:pPr>
            <w:r>
              <w:rPr>
                <w:rFonts w:ascii="宋体" w:hAnsi="宋体" w:eastAsia="宋体" w:cs="宋体"/>
                <w:spacing w:val="-2"/>
                <w:sz w:val="21"/>
                <w:szCs w:val="21"/>
              </w:rPr>
              <w:t>浆砌石方</w:t>
            </w:r>
          </w:p>
        </w:tc>
        <w:tc>
          <w:tcPr>
            <w:tcW w:w="925" w:type="dxa"/>
            <w:vAlign w:val="top"/>
          </w:tcPr>
          <w:p w14:paraId="2BA5E0E6">
            <w:pPr>
              <w:pStyle w:val="6"/>
              <w:spacing w:before="103"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21AED171">
            <w:pPr>
              <w:pStyle w:val="6"/>
              <w:spacing w:before="137" w:line="232" w:lineRule="auto"/>
              <w:ind w:left="897"/>
            </w:pPr>
            <w:r>
              <w:rPr>
                <w:spacing w:val="-2"/>
              </w:rPr>
              <w:t>0.84</w:t>
            </w:r>
          </w:p>
        </w:tc>
        <w:tc>
          <w:tcPr>
            <w:tcW w:w="2474" w:type="dxa"/>
            <w:tcBorders>
              <w:right w:val="single" w:color="000000" w:sz="12" w:space="0"/>
            </w:tcBorders>
            <w:vAlign w:val="top"/>
          </w:tcPr>
          <w:p w14:paraId="17FFC6E9">
            <w:pPr>
              <w:pStyle w:val="6"/>
              <w:spacing w:before="137" w:line="232" w:lineRule="auto"/>
              <w:ind w:left="1058"/>
            </w:pPr>
            <w:r>
              <w:rPr>
                <w:spacing w:val="-2"/>
              </w:rPr>
              <w:t>0.77</w:t>
            </w:r>
          </w:p>
        </w:tc>
      </w:tr>
      <w:tr w14:paraId="66817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7BE00DC2">
            <w:pPr>
              <w:spacing w:before="99" w:line="220" w:lineRule="auto"/>
              <w:ind w:left="49"/>
              <w:rPr>
                <w:rFonts w:ascii="宋体" w:hAnsi="宋体" w:eastAsia="宋体" w:cs="宋体"/>
                <w:sz w:val="21"/>
                <w:szCs w:val="21"/>
              </w:rPr>
            </w:pPr>
            <w:r>
              <w:rPr>
                <w:rFonts w:ascii="宋体" w:hAnsi="宋体" w:eastAsia="宋体" w:cs="宋体"/>
                <w:spacing w:val="-2"/>
                <w:sz w:val="21"/>
                <w:szCs w:val="21"/>
              </w:rPr>
              <w:t>砼和钢筋砼</w:t>
            </w:r>
          </w:p>
        </w:tc>
        <w:tc>
          <w:tcPr>
            <w:tcW w:w="925" w:type="dxa"/>
            <w:vAlign w:val="top"/>
          </w:tcPr>
          <w:p w14:paraId="4DE2F598">
            <w:pPr>
              <w:pStyle w:val="6"/>
              <w:spacing w:before="99" w:line="234" w:lineRule="auto"/>
              <w:ind w:left="219"/>
              <w:rPr>
                <w:sz w:val="14"/>
                <w:szCs w:val="14"/>
              </w:rPr>
            </w:pPr>
            <w:r>
              <w:rPr>
                <w:rFonts w:ascii="宋体" w:hAnsi="宋体" w:eastAsia="宋体" w:cs="宋体"/>
                <w:spacing w:val="-5"/>
                <w:position w:val="-1"/>
              </w:rPr>
              <w:t>万</w:t>
            </w:r>
            <w:r>
              <w:rPr>
                <w:rFonts w:ascii="宋体" w:hAnsi="宋体" w:eastAsia="宋体" w:cs="宋体"/>
                <w:spacing w:val="-50"/>
                <w:position w:val="-1"/>
              </w:rPr>
              <w:t xml:space="preserve"> </w:t>
            </w:r>
            <w:r>
              <w:rPr>
                <w:spacing w:val="-5"/>
                <w:position w:val="-1"/>
              </w:rPr>
              <w:t>m</w:t>
            </w:r>
            <w:r>
              <w:rPr>
                <w:spacing w:val="-5"/>
                <w:position w:val="6"/>
                <w:sz w:val="14"/>
                <w:szCs w:val="14"/>
              </w:rPr>
              <w:t>3</w:t>
            </w:r>
          </w:p>
        </w:tc>
        <w:tc>
          <w:tcPr>
            <w:tcW w:w="2154" w:type="dxa"/>
            <w:vAlign w:val="top"/>
          </w:tcPr>
          <w:p w14:paraId="7B178633">
            <w:pPr>
              <w:pStyle w:val="6"/>
              <w:spacing w:before="133" w:line="232" w:lineRule="auto"/>
              <w:ind w:left="841"/>
            </w:pPr>
            <w:r>
              <w:rPr>
                <w:spacing w:val="-1"/>
              </w:rPr>
              <w:t>21.96</w:t>
            </w:r>
          </w:p>
        </w:tc>
        <w:tc>
          <w:tcPr>
            <w:tcW w:w="2474" w:type="dxa"/>
            <w:tcBorders>
              <w:right w:val="single" w:color="000000" w:sz="12" w:space="0"/>
            </w:tcBorders>
            <w:vAlign w:val="top"/>
          </w:tcPr>
          <w:p w14:paraId="71BD31F8">
            <w:pPr>
              <w:pStyle w:val="6"/>
              <w:spacing w:before="133" w:line="232" w:lineRule="auto"/>
              <w:ind w:left="1002"/>
            </w:pPr>
            <w:r>
              <w:rPr>
                <w:spacing w:val="-1"/>
              </w:rPr>
              <w:t>24.85</w:t>
            </w:r>
          </w:p>
        </w:tc>
      </w:tr>
      <w:tr w14:paraId="53844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1CD76072">
            <w:pPr>
              <w:pStyle w:val="6"/>
              <w:spacing w:before="100" w:line="233" w:lineRule="auto"/>
              <w:ind w:left="46"/>
              <w:rPr>
                <w:rFonts w:ascii="宋体" w:hAnsi="宋体" w:eastAsia="宋体" w:cs="宋体"/>
              </w:rPr>
            </w:pPr>
            <w:r>
              <w:rPr>
                <w:spacing w:val="-1"/>
              </w:rPr>
              <w:t>2</w:t>
            </w:r>
            <w:r>
              <w:rPr>
                <w:rFonts w:ascii="宋体" w:hAnsi="宋体" w:eastAsia="宋体" w:cs="宋体"/>
                <w:spacing w:val="-1"/>
              </w:rPr>
              <w:t>．主要建筑材料</w:t>
            </w:r>
          </w:p>
        </w:tc>
        <w:tc>
          <w:tcPr>
            <w:tcW w:w="925" w:type="dxa"/>
            <w:vAlign w:val="top"/>
          </w:tcPr>
          <w:p w14:paraId="435BE073">
            <w:pPr>
              <w:rPr>
                <w:rFonts w:ascii="Arial"/>
                <w:sz w:val="21"/>
              </w:rPr>
            </w:pPr>
          </w:p>
        </w:tc>
        <w:tc>
          <w:tcPr>
            <w:tcW w:w="2154" w:type="dxa"/>
            <w:vAlign w:val="top"/>
          </w:tcPr>
          <w:p w14:paraId="2A06BDB4">
            <w:pPr>
              <w:rPr>
                <w:rFonts w:ascii="Arial"/>
                <w:sz w:val="21"/>
              </w:rPr>
            </w:pPr>
          </w:p>
        </w:tc>
        <w:tc>
          <w:tcPr>
            <w:tcW w:w="2474" w:type="dxa"/>
            <w:tcBorders>
              <w:right w:val="single" w:color="000000" w:sz="12" w:space="0"/>
            </w:tcBorders>
            <w:vAlign w:val="top"/>
          </w:tcPr>
          <w:p w14:paraId="0A6CD4F1">
            <w:pPr>
              <w:rPr>
                <w:rFonts w:ascii="Arial"/>
                <w:sz w:val="21"/>
              </w:rPr>
            </w:pPr>
          </w:p>
        </w:tc>
      </w:tr>
      <w:tr w14:paraId="0BAF9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18395257">
            <w:pPr>
              <w:spacing w:before="100" w:line="220" w:lineRule="auto"/>
              <w:ind w:left="52"/>
              <w:rPr>
                <w:rFonts w:ascii="宋体" w:hAnsi="宋体" w:eastAsia="宋体" w:cs="宋体"/>
                <w:sz w:val="21"/>
                <w:szCs w:val="21"/>
              </w:rPr>
            </w:pPr>
            <w:r>
              <w:rPr>
                <w:rFonts w:ascii="宋体" w:hAnsi="宋体" w:eastAsia="宋体" w:cs="宋体"/>
                <w:spacing w:val="-3"/>
                <w:sz w:val="21"/>
                <w:szCs w:val="21"/>
              </w:rPr>
              <w:t>水泥</w:t>
            </w:r>
          </w:p>
        </w:tc>
        <w:tc>
          <w:tcPr>
            <w:tcW w:w="925" w:type="dxa"/>
            <w:vAlign w:val="top"/>
          </w:tcPr>
          <w:p w14:paraId="01B86D7A">
            <w:pPr>
              <w:pStyle w:val="6"/>
              <w:spacing w:before="101" w:line="234" w:lineRule="auto"/>
              <w:ind w:left="306"/>
            </w:pPr>
            <w:r>
              <w:rPr>
                <w:rFonts w:ascii="宋体" w:hAnsi="宋体" w:eastAsia="宋体" w:cs="宋体"/>
                <w:spacing w:val="-7"/>
              </w:rPr>
              <w:t>万</w:t>
            </w:r>
            <w:r>
              <w:rPr>
                <w:rFonts w:ascii="宋体" w:hAnsi="宋体" w:eastAsia="宋体" w:cs="宋体"/>
                <w:spacing w:val="-51"/>
              </w:rPr>
              <w:t xml:space="preserve"> </w:t>
            </w:r>
            <w:r>
              <w:rPr>
                <w:spacing w:val="-7"/>
              </w:rPr>
              <w:t>t</w:t>
            </w:r>
          </w:p>
        </w:tc>
        <w:tc>
          <w:tcPr>
            <w:tcW w:w="2154" w:type="dxa"/>
            <w:vAlign w:val="top"/>
          </w:tcPr>
          <w:p w14:paraId="089AD5B3">
            <w:pPr>
              <w:pStyle w:val="6"/>
              <w:spacing w:before="135" w:line="232" w:lineRule="auto"/>
              <w:ind w:left="914"/>
            </w:pPr>
            <w:r>
              <w:rPr>
                <w:spacing w:val="-6"/>
              </w:rPr>
              <w:t>12.7</w:t>
            </w:r>
          </w:p>
        </w:tc>
        <w:tc>
          <w:tcPr>
            <w:tcW w:w="2474" w:type="dxa"/>
            <w:tcBorders>
              <w:right w:val="single" w:color="000000" w:sz="12" w:space="0"/>
            </w:tcBorders>
            <w:vAlign w:val="top"/>
          </w:tcPr>
          <w:p w14:paraId="454E13BD">
            <w:pPr>
              <w:pStyle w:val="6"/>
              <w:spacing w:before="135" w:line="232" w:lineRule="auto"/>
              <w:ind w:left="1075"/>
            </w:pPr>
            <w:r>
              <w:rPr>
                <w:spacing w:val="-6"/>
              </w:rPr>
              <w:t>12.7</w:t>
            </w:r>
          </w:p>
        </w:tc>
      </w:tr>
      <w:tr w14:paraId="30D17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AEC9498">
            <w:pPr>
              <w:spacing w:before="101" w:line="220" w:lineRule="auto"/>
              <w:ind w:left="48"/>
              <w:rPr>
                <w:rFonts w:ascii="宋体" w:hAnsi="宋体" w:eastAsia="宋体" w:cs="宋体"/>
                <w:sz w:val="21"/>
                <w:szCs w:val="21"/>
              </w:rPr>
            </w:pPr>
            <w:r>
              <w:rPr>
                <w:rFonts w:ascii="宋体" w:hAnsi="宋体" w:eastAsia="宋体" w:cs="宋体"/>
                <w:spacing w:val="-2"/>
                <w:sz w:val="21"/>
                <w:szCs w:val="21"/>
              </w:rPr>
              <w:t>钢筋</w:t>
            </w:r>
          </w:p>
        </w:tc>
        <w:tc>
          <w:tcPr>
            <w:tcW w:w="925" w:type="dxa"/>
            <w:vAlign w:val="top"/>
          </w:tcPr>
          <w:p w14:paraId="18123B38">
            <w:pPr>
              <w:pStyle w:val="6"/>
              <w:spacing w:before="102" w:line="234" w:lineRule="auto"/>
              <w:ind w:left="306"/>
            </w:pPr>
            <w:r>
              <w:rPr>
                <w:rFonts w:ascii="宋体" w:hAnsi="宋体" w:eastAsia="宋体" w:cs="宋体"/>
                <w:spacing w:val="-7"/>
              </w:rPr>
              <w:t>万</w:t>
            </w:r>
            <w:r>
              <w:rPr>
                <w:rFonts w:ascii="宋体" w:hAnsi="宋体" w:eastAsia="宋体" w:cs="宋体"/>
                <w:spacing w:val="-51"/>
              </w:rPr>
              <w:t xml:space="preserve"> </w:t>
            </w:r>
            <w:r>
              <w:rPr>
                <w:spacing w:val="-7"/>
              </w:rPr>
              <w:t>t</w:t>
            </w:r>
          </w:p>
        </w:tc>
        <w:tc>
          <w:tcPr>
            <w:tcW w:w="2154" w:type="dxa"/>
            <w:vAlign w:val="top"/>
          </w:tcPr>
          <w:p w14:paraId="4031F258">
            <w:pPr>
              <w:pStyle w:val="6"/>
              <w:spacing w:before="135" w:line="232" w:lineRule="auto"/>
              <w:ind w:left="966"/>
            </w:pPr>
            <w:r>
              <w:rPr>
                <w:spacing w:val="-8"/>
              </w:rPr>
              <w:t>1.7</w:t>
            </w:r>
          </w:p>
        </w:tc>
        <w:tc>
          <w:tcPr>
            <w:tcW w:w="2474" w:type="dxa"/>
            <w:tcBorders>
              <w:right w:val="single" w:color="000000" w:sz="12" w:space="0"/>
            </w:tcBorders>
            <w:vAlign w:val="top"/>
          </w:tcPr>
          <w:p w14:paraId="0689B151">
            <w:pPr>
              <w:pStyle w:val="6"/>
              <w:spacing w:before="135" w:line="232" w:lineRule="auto"/>
              <w:ind w:left="1128"/>
            </w:pPr>
            <w:r>
              <w:rPr>
                <w:spacing w:val="-8"/>
              </w:rPr>
              <w:t>1.8</w:t>
            </w:r>
          </w:p>
        </w:tc>
      </w:tr>
      <w:tr w14:paraId="12283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7E661D25">
            <w:pPr>
              <w:spacing w:before="108" w:line="220" w:lineRule="auto"/>
              <w:ind w:left="53"/>
              <w:rPr>
                <w:rFonts w:ascii="宋体" w:hAnsi="宋体" w:eastAsia="宋体" w:cs="宋体"/>
                <w:sz w:val="21"/>
                <w:szCs w:val="21"/>
              </w:rPr>
            </w:pPr>
            <w:r>
              <w:rPr>
                <w:rFonts w:ascii="宋体" w:hAnsi="宋体" w:eastAsia="宋体" w:cs="宋体"/>
                <w:spacing w:val="-3"/>
                <w:sz w:val="21"/>
                <w:szCs w:val="21"/>
              </w:rPr>
              <w:t>油料</w:t>
            </w:r>
          </w:p>
        </w:tc>
        <w:tc>
          <w:tcPr>
            <w:tcW w:w="925" w:type="dxa"/>
            <w:vAlign w:val="top"/>
          </w:tcPr>
          <w:p w14:paraId="6BF083D5">
            <w:pPr>
              <w:pStyle w:val="6"/>
              <w:spacing w:before="108" w:line="234" w:lineRule="auto"/>
              <w:ind w:left="306"/>
            </w:pPr>
            <w:r>
              <w:rPr>
                <w:rFonts w:ascii="宋体" w:hAnsi="宋体" w:eastAsia="宋体" w:cs="宋体"/>
                <w:spacing w:val="-7"/>
              </w:rPr>
              <w:t>万</w:t>
            </w:r>
            <w:r>
              <w:rPr>
                <w:rFonts w:ascii="宋体" w:hAnsi="宋体" w:eastAsia="宋体" w:cs="宋体"/>
                <w:spacing w:val="-51"/>
              </w:rPr>
              <w:t xml:space="preserve"> </w:t>
            </w:r>
            <w:r>
              <w:rPr>
                <w:spacing w:val="-7"/>
              </w:rPr>
              <w:t>t</w:t>
            </w:r>
          </w:p>
        </w:tc>
        <w:tc>
          <w:tcPr>
            <w:tcW w:w="2154" w:type="dxa"/>
            <w:vAlign w:val="top"/>
          </w:tcPr>
          <w:p w14:paraId="09F41185">
            <w:pPr>
              <w:pStyle w:val="6"/>
              <w:spacing w:before="141" w:line="232" w:lineRule="auto"/>
              <w:ind w:left="897"/>
            </w:pPr>
            <w:r>
              <w:rPr>
                <w:spacing w:val="-2"/>
              </w:rPr>
              <w:t>0.56</w:t>
            </w:r>
          </w:p>
        </w:tc>
        <w:tc>
          <w:tcPr>
            <w:tcW w:w="2474" w:type="dxa"/>
            <w:tcBorders>
              <w:right w:val="single" w:color="000000" w:sz="12" w:space="0"/>
            </w:tcBorders>
            <w:vAlign w:val="top"/>
          </w:tcPr>
          <w:p w14:paraId="7F06491D">
            <w:pPr>
              <w:pStyle w:val="6"/>
              <w:spacing w:before="141" w:line="232" w:lineRule="auto"/>
              <w:ind w:left="1058"/>
            </w:pPr>
            <w:r>
              <w:rPr>
                <w:spacing w:val="-2"/>
              </w:rPr>
              <w:t>0.56</w:t>
            </w:r>
          </w:p>
        </w:tc>
      </w:tr>
      <w:tr w14:paraId="01F50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F1AB1E8">
            <w:pPr>
              <w:spacing w:before="104" w:line="220" w:lineRule="auto"/>
              <w:ind w:left="52"/>
              <w:rPr>
                <w:rFonts w:ascii="宋体" w:hAnsi="宋体" w:eastAsia="宋体" w:cs="宋体"/>
                <w:sz w:val="21"/>
                <w:szCs w:val="21"/>
              </w:rPr>
            </w:pPr>
            <w:r>
              <w:rPr>
                <w:rFonts w:ascii="宋体" w:hAnsi="宋体" w:eastAsia="宋体" w:cs="宋体"/>
                <w:spacing w:val="-3"/>
                <w:sz w:val="21"/>
                <w:szCs w:val="21"/>
              </w:rPr>
              <w:t>炸药</w:t>
            </w:r>
          </w:p>
        </w:tc>
        <w:tc>
          <w:tcPr>
            <w:tcW w:w="925" w:type="dxa"/>
            <w:vAlign w:val="top"/>
          </w:tcPr>
          <w:p w14:paraId="65A01F1B">
            <w:pPr>
              <w:pStyle w:val="6"/>
              <w:spacing w:before="138" w:line="233" w:lineRule="auto"/>
              <w:ind w:left="426"/>
            </w:pPr>
            <w:r>
              <w:t>t</w:t>
            </w:r>
          </w:p>
        </w:tc>
        <w:tc>
          <w:tcPr>
            <w:tcW w:w="2154" w:type="dxa"/>
            <w:vAlign w:val="top"/>
          </w:tcPr>
          <w:p w14:paraId="53F2D6E0">
            <w:pPr>
              <w:pStyle w:val="6"/>
              <w:spacing w:before="138" w:line="232" w:lineRule="auto"/>
              <w:ind w:left="888"/>
            </w:pPr>
            <w:r>
              <w:rPr>
                <w:spacing w:val="-5"/>
              </w:rPr>
              <w:t>1380</w:t>
            </w:r>
          </w:p>
        </w:tc>
        <w:tc>
          <w:tcPr>
            <w:tcW w:w="2474" w:type="dxa"/>
            <w:tcBorders>
              <w:right w:val="single" w:color="000000" w:sz="12" w:space="0"/>
            </w:tcBorders>
            <w:vAlign w:val="top"/>
          </w:tcPr>
          <w:p w14:paraId="6C8BF3BF">
            <w:pPr>
              <w:pStyle w:val="6"/>
              <w:spacing w:before="138" w:line="232" w:lineRule="auto"/>
              <w:ind w:left="1049"/>
            </w:pPr>
            <w:r>
              <w:rPr>
                <w:spacing w:val="-6"/>
              </w:rPr>
              <w:t>1380</w:t>
            </w:r>
          </w:p>
        </w:tc>
      </w:tr>
      <w:tr w14:paraId="04533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3252A315">
            <w:pPr>
              <w:pStyle w:val="6"/>
              <w:spacing w:before="111" w:line="233" w:lineRule="auto"/>
              <w:ind w:left="50"/>
              <w:rPr>
                <w:rFonts w:ascii="宋体" w:hAnsi="宋体" w:eastAsia="宋体" w:cs="宋体"/>
              </w:rPr>
            </w:pPr>
            <w:r>
              <w:rPr>
                <w:spacing w:val="-2"/>
              </w:rPr>
              <w:t>3</w:t>
            </w:r>
            <w:r>
              <w:rPr>
                <w:rFonts w:ascii="宋体" w:hAnsi="宋体" w:eastAsia="宋体" w:cs="宋体"/>
                <w:spacing w:val="-2"/>
              </w:rPr>
              <w:t>．所需劳动力</w:t>
            </w:r>
          </w:p>
        </w:tc>
        <w:tc>
          <w:tcPr>
            <w:tcW w:w="925" w:type="dxa"/>
            <w:vAlign w:val="top"/>
          </w:tcPr>
          <w:p w14:paraId="6C6AC816">
            <w:pPr>
              <w:rPr>
                <w:rFonts w:ascii="Arial"/>
                <w:sz w:val="21"/>
              </w:rPr>
            </w:pPr>
          </w:p>
        </w:tc>
        <w:tc>
          <w:tcPr>
            <w:tcW w:w="2154" w:type="dxa"/>
            <w:vAlign w:val="top"/>
          </w:tcPr>
          <w:p w14:paraId="7424F86E">
            <w:pPr>
              <w:rPr>
                <w:rFonts w:ascii="Arial"/>
                <w:sz w:val="21"/>
              </w:rPr>
            </w:pPr>
          </w:p>
        </w:tc>
        <w:tc>
          <w:tcPr>
            <w:tcW w:w="2474" w:type="dxa"/>
            <w:tcBorders>
              <w:right w:val="single" w:color="000000" w:sz="12" w:space="0"/>
            </w:tcBorders>
            <w:vAlign w:val="top"/>
          </w:tcPr>
          <w:p w14:paraId="7A107ECE">
            <w:pPr>
              <w:rPr>
                <w:rFonts w:ascii="Arial"/>
                <w:sz w:val="21"/>
              </w:rPr>
            </w:pPr>
          </w:p>
        </w:tc>
      </w:tr>
      <w:tr w14:paraId="3E846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160E408D">
            <w:pPr>
              <w:spacing w:before="111" w:line="220" w:lineRule="auto"/>
              <w:ind w:left="364"/>
              <w:rPr>
                <w:rFonts w:ascii="宋体" w:hAnsi="宋体" w:eastAsia="宋体" w:cs="宋体"/>
                <w:sz w:val="21"/>
                <w:szCs w:val="21"/>
              </w:rPr>
            </w:pPr>
            <w:r>
              <w:rPr>
                <w:rFonts w:ascii="宋体" w:hAnsi="宋体" w:eastAsia="宋体" w:cs="宋体"/>
                <w:spacing w:val="-2"/>
                <w:sz w:val="21"/>
                <w:szCs w:val="21"/>
              </w:rPr>
              <w:t>平均高峰人数</w:t>
            </w:r>
          </w:p>
        </w:tc>
        <w:tc>
          <w:tcPr>
            <w:tcW w:w="925" w:type="dxa"/>
            <w:vAlign w:val="top"/>
          </w:tcPr>
          <w:p w14:paraId="63EE79DF">
            <w:pPr>
              <w:spacing w:before="112" w:line="222" w:lineRule="auto"/>
              <w:ind w:left="358"/>
              <w:rPr>
                <w:rFonts w:ascii="宋体" w:hAnsi="宋体" w:eastAsia="宋体" w:cs="宋体"/>
                <w:sz w:val="21"/>
                <w:szCs w:val="21"/>
              </w:rPr>
            </w:pPr>
            <w:r>
              <w:rPr>
                <w:rFonts w:ascii="宋体" w:hAnsi="宋体" w:eastAsia="宋体" w:cs="宋体"/>
                <w:sz w:val="21"/>
                <w:szCs w:val="21"/>
              </w:rPr>
              <w:t>人</w:t>
            </w:r>
          </w:p>
        </w:tc>
        <w:tc>
          <w:tcPr>
            <w:tcW w:w="2154" w:type="dxa"/>
            <w:vAlign w:val="top"/>
          </w:tcPr>
          <w:p w14:paraId="29EA87ED">
            <w:pPr>
              <w:pStyle w:val="6"/>
              <w:spacing w:before="146" w:line="232" w:lineRule="auto"/>
              <w:ind w:left="868"/>
            </w:pPr>
            <w:r>
              <w:rPr>
                <w:spacing w:val="-1"/>
              </w:rPr>
              <w:t>2160</w:t>
            </w:r>
          </w:p>
        </w:tc>
        <w:tc>
          <w:tcPr>
            <w:tcW w:w="2474" w:type="dxa"/>
            <w:tcBorders>
              <w:right w:val="single" w:color="000000" w:sz="12" w:space="0"/>
            </w:tcBorders>
            <w:vAlign w:val="top"/>
          </w:tcPr>
          <w:p w14:paraId="12E08830">
            <w:pPr>
              <w:pStyle w:val="6"/>
              <w:spacing w:before="146" w:line="232" w:lineRule="auto"/>
              <w:ind w:left="1029"/>
            </w:pPr>
            <w:r>
              <w:rPr>
                <w:spacing w:val="-1"/>
              </w:rPr>
              <w:t>2160</w:t>
            </w:r>
          </w:p>
        </w:tc>
      </w:tr>
      <w:tr w14:paraId="0EE9B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515036FD">
            <w:pPr>
              <w:spacing w:before="113" w:line="220" w:lineRule="auto"/>
              <w:ind w:left="371"/>
              <w:rPr>
                <w:rFonts w:ascii="宋体" w:hAnsi="宋体" w:eastAsia="宋体" w:cs="宋体"/>
                <w:sz w:val="21"/>
                <w:szCs w:val="21"/>
              </w:rPr>
            </w:pPr>
            <w:r>
              <w:rPr>
                <w:rFonts w:ascii="宋体" w:hAnsi="宋体" w:eastAsia="宋体" w:cs="宋体"/>
                <w:spacing w:val="-3"/>
                <w:sz w:val="21"/>
                <w:szCs w:val="21"/>
              </w:rPr>
              <w:t>高峰工人数</w:t>
            </w:r>
          </w:p>
        </w:tc>
        <w:tc>
          <w:tcPr>
            <w:tcW w:w="925" w:type="dxa"/>
            <w:vAlign w:val="top"/>
          </w:tcPr>
          <w:p w14:paraId="37AC82B3">
            <w:pPr>
              <w:spacing w:before="114" w:line="222" w:lineRule="auto"/>
              <w:ind w:left="358"/>
              <w:rPr>
                <w:rFonts w:ascii="宋体" w:hAnsi="宋体" w:eastAsia="宋体" w:cs="宋体"/>
                <w:sz w:val="21"/>
                <w:szCs w:val="21"/>
              </w:rPr>
            </w:pPr>
            <w:r>
              <w:rPr>
                <w:rFonts w:ascii="宋体" w:hAnsi="宋体" w:eastAsia="宋体" w:cs="宋体"/>
                <w:sz w:val="21"/>
                <w:szCs w:val="21"/>
              </w:rPr>
              <w:t>人</w:t>
            </w:r>
          </w:p>
        </w:tc>
        <w:tc>
          <w:tcPr>
            <w:tcW w:w="2154" w:type="dxa"/>
            <w:vAlign w:val="top"/>
          </w:tcPr>
          <w:p w14:paraId="2D214613">
            <w:pPr>
              <w:pStyle w:val="6"/>
              <w:spacing w:before="148" w:line="232" w:lineRule="auto"/>
              <w:ind w:left="868"/>
            </w:pPr>
            <w:r>
              <w:rPr>
                <w:spacing w:val="-1"/>
              </w:rPr>
              <w:t>2802</w:t>
            </w:r>
          </w:p>
        </w:tc>
        <w:tc>
          <w:tcPr>
            <w:tcW w:w="2474" w:type="dxa"/>
            <w:tcBorders>
              <w:right w:val="single" w:color="000000" w:sz="12" w:space="0"/>
            </w:tcBorders>
            <w:vAlign w:val="top"/>
          </w:tcPr>
          <w:p w14:paraId="6A21E7CD">
            <w:pPr>
              <w:pStyle w:val="6"/>
              <w:spacing w:before="147" w:line="232" w:lineRule="auto"/>
              <w:ind w:left="1029"/>
            </w:pPr>
            <w:r>
              <w:rPr>
                <w:spacing w:val="-1"/>
              </w:rPr>
              <w:t>2989</w:t>
            </w:r>
          </w:p>
        </w:tc>
      </w:tr>
      <w:tr w14:paraId="043C4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3AF3D122">
            <w:pPr>
              <w:pStyle w:val="6"/>
              <w:spacing w:before="108" w:line="235" w:lineRule="auto"/>
              <w:ind w:left="45"/>
              <w:rPr>
                <w:rFonts w:ascii="宋体" w:hAnsi="宋体" w:eastAsia="宋体" w:cs="宋体"/>
              </w:rPr>
            </w:pPr>
            <w:r>
              <w:t>4</w:t>
            </w:r>
            <w:r>
              <w:rPr>
                <w:rFonts w:ascii="宋体" w:hAnsi="宋体" w:eastAsia="宋体" w:cs="宋体"/>
              </w:rPr>
              <w:t>．交通</w:t>
            </w:r>
          </w:p>
        </w:tc>
        <w:tc>
          <w:tcPr>
            <w:tcW w:w="925" w:type="dxa"/>
            <w:vAlign w:val="top"/>
          </w:tcPr>
          <w:p w14:paraId="1E17C80A">
            <w:pPr>
              <w:rPr>
                <w:rFonts w:ascii="Arial"/>
                <w:sz w:val="21"/>
              </w:rPr>
            </w:pPr>
          </w:p>
        </w:tc>
        <w:tc>
          <w:tcPr>
            <w:tcW w:w="2154" w:type="dxa"/>
            <w:vAlign w:val="top"/>
          </w:tcPr>
          <w:p w14:paraId="7F80D206">
            <w:pPr>
              <w:rPr>
                <w:rFonts w:ascii="Arial"/>
                <w:sz w:val="21"/>
              </w:rPr>
            </w:pPr>
          </w:p>
        </w:tc>
        <w:tc>
          <w:tcPr>
            <w:tcW w:w="2474" w:type="dxa"/>
            <w:tcBorders>
              <w:right w:val="single" w:color="000000" w:sz="12" w:space="0"/>
            </w:tcBorders>
            <w:vAlign w:val="top"/>
          </w:tcPr>
          <w:p w14:paraId="52916972">
            <w:pPr>
              <w:rPr>
                <w:rFonts w:ascii="Arial"/>
                <w:sz w:val="21"/>
              </w:rPr>
            </w:pPr>
          </w:p>
        </w:tc>
      </w:tr>
      <w:tr w14:paraId="29FE0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2921" w:type="dxa"/>
            <w:tcBorders>
              <w:left w:val="single" w:color="000000" w:sz="12" w:space="0"/>
            </w:tcBorders>
            <w:vAlign w:val="top"/>
          </w:tcPr>
          <w:p w14:paraId="3D580FC0">
            <w:pPr>
              <w:spacing w:before="109" w:line="220" w:lineRule="auto"/>
              <w:ind w:left="366"/>
              <w:rPr>
                <w:rFonts w:ascii="宋体" w:hAnsi="宋体" w:eastAsia="宋体" w:cs="宋体"/>
                <w:sz w:val="21"/>
                <w:szCs w:val="21"/>
              </w:rPr>
            </w:pPr>
            <w:r>
              <w:rPr>
                <w:rFonts w:ascii="宋体" w:hAnsi="宋体" w:eastAsia="宋体" w:cs="宋体"/>
                <w:spacing w:val="-2"/>
                <w:sz w:val="21"/>
                <w:szCs w:val="21"/>
              </w:rPr>
              <w:t>新建进场道路</w:t>
            </w:r>
          </w:p>
        </w:tc>
        <w:tc>
          <w:tcPr>
            <w:tcW w:w="925" w:type="dxa"/>
            <w:vAlign w:val="top"/>
          </w:tcPr>
          <w:p w14:paraId="6965B208">
            <w:pPr>
              <w:pStyle w:val="6"/>
              <w:spacing w:before="143" w:line="235" w:lineRule="auto"/>
              <w:ind w:left="320"/>
            </w:pPr>
            <w:r>
              <w:t>km</w:t>
            </w:r>
          </w:p>
        </w:tc>
        <w:tc>
          <w:tcPr>
            <w:tcW w:w="2154" w:type="dxa"/>
            <w:vAlign w:val="top"/>
          </w:tcPr>
          <w:p w14:paraId="1F6271F4">
            <w:pPr>
              <w:pStyle w:val="6"/>
              <w:spacing w:before="143" w:line="232" w:lineRule="auto"/>
              <w:ind w:left="914"/>
            </w:pPr>
            <w:r>
              <w:rPr>
                <w:spacing w:val="-6"/>
              </w:rPr>
              <w:t>15.8</w:t>
            </w:r>
          </w:p>
        </w:tc>
        <w:tc>
          <w:tcPr>
            <w:tcW w:w="2474" w:type="dxa"/>
            <w:tcBorders>
              <w:right w:val="single" w:color="000000" w:sz="12" w:space="0"/>
            </w:tcBorders>
            <w:vAlign w:val="top"/>
          </w:tcPr>
          <w:p w14:paraId="2F4024A0">
            <w:pPr>
              <w:pStyle w:val="6"/>
              <w:spacing w:before="143" w:line="232" w:lineRule="auto"/>
              <w:ind w:left="1075"/>
            </w:pPr>
            <w:r>
              <w:rPr>
                <w:spacing w:val="-6"/>
              </w:rPr>
              <w:t>17.2</w:t>
            </w:r>
          </w:p>
        </w:tc>
      </w:tr>
      <w:tr w14:paraId="417A1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21" w:type="dxa"/>
            <w:tcBorders>
              <w:left w:val="single" w:color="000000" w:sz="12" w:space="0"/>
            </w:tcBorders>
            <w:vAlign w:val="top"/>
          </w:tcPr>
          <w:p w14:paraId="0E7DAD6E">
            <w:pPr>
              <w:spacing w:before="114" w:line="220" w:lineRule="auto"/>
              <w:ind w:left="364"/>
              <w:rPr>
                <w:rFonts w:ascii="宋体" w:hAnsi="宋体" w:eastAsia="宋体" w:cs="宋体"/>
                <w:sz w:val="21"/>
                <w:szCs w:val="21"/>
              </w:rPr>
            </w:pPr>
            <w:r>
              <w:rPr>
                <w:rFonts w:ascii="宋体" w:hAnsi="宋体" w:eastAsia="宋体" w:cs="宋体"/>
                <w:spacing w:val="-2"/>
                <w:sz w:val="21"/>
                <w:szCs w:val="21"/>
              </w:rPr>
              <w:t>进场道路改扩建</w:t>
            </w:r>
          </w:p>
        </w:tc>
        <w:tc>
          <w:tcPr>
            <w:tcW w:w="925" w:type="dxa"/>
            <w:vAlign w:val="top"/>
          </w:tcPr>
          <w:p w14:paraId="102B4EEE">
            <w:pPr>
              <w:pStyle w:val="6"/>
              <w:spacing w:before="148" w:line="235" w:lineRule="auto"/>
              <w:ind w:left="320"/>
            </w:pPr>
            <w:r>
              <w:t>km</w:t>
            </w:r>
          </w:p>
        </w:tc>
        <w:tc>
          <w:tcPr>
            <w:tcW w:w="2154" w:type="dxa"/>
            <w:vAlign w:val="top"/>
          </w:tcPr>
          <w:p w14:paraId="2B8D9832">
            <w:pPr>
              <w:pStyle w:val="6"/>
              <w:spacing w:before="149" w:line="232" w:lineRule="auto"/>
              <w:ind w:left="914"/>
            </w:pPr>
            <w:r>
              <w:rPr>
                <w:spacing w:val="-6"/>
              </w:rPr>
              <w:t>10.0</w:t>
            </w:r>
          </w:p>
        </w:tc>
        <w:tc>
          <w:tcPr>
            <w:tcW w:w="2474" w:type="dxa"/>
            <w:tcBorders>
              <w:right w:val="single" w:color="000000" w:sz="12" w:space="0"/>
            </w:tcBorders>
            <w:vAlign w:val="top"/>
          </w:tcPr>
          <w:p w14:paraId="09F2B67F">
            <w:pPr>
              <w:pStyle w:val="6"/>
              <w:spacing w:before="149" w:line="232" w:lineRule="auto"/>
              <w:ind w:left="1111"/>
            </w:pPr>
            <w:r>
              <w:rPr>
                <w:spacing w:val="-3"/>
              </w:rPr>
              <w:t>7.4</w:t>
            </w:r>
          </w:p>
        </w:tc>
      </w:tr>
      <w:tr w14:paraId="65FA7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21" w:type="dxa"/>
            <w:tcBorders>
              <w:left w:val="single" w:color="000000" w:sz="12" w:space="0"/>
            </w:tcBorders>
            <w:vAlign w:val="top"/>
          </w:tcPr>
          <w:p w14:paraId="65D54699">
            <w:pPr>
              <w:spacing w:before="116" w:line="220" w:lineRule="auto"/>
              <w:ind w:left="366"/>
              <w:rPr>
                <w:rFonts w:ascii="宋体" w:hAnsi="宋体" w:eastAsia="宋体" w:cs="宋体"/>
                <w:sz w:val="21"/>
                <w:szCs w:val="21"/>
              </w:rPr>
            </w:pPr>
            <w:r>
              <w:rPr>
                <w:rFonts w:ascii="宋体" w:hAnsi="宋体" w:eastAsia="宋体" w:cs="宋体"/>
                <w:spacing w:val="-2"/>
                <w:sz w:val="21"/>
                <w:szCs w:val="21"/>
              </w:rPr>
              <w:t>新建场内道路</w:t>
            </w:r>
          </w:p>
        </w:tc>
        <w:tc>
          <w:tcPr>
            <w:tcW w:w="925" w:type="dxa"/>
            <w:vAlign w:val="top"/>
          </w:tcPr>
          <w:p w14:paraId="006CCD5E">
            <w:pPr>
              <w:pStyle w:val="6"/>
              <w:spacing w:before="150" w:line="235" w:lineRule="auto"/>
              <w:ind w:left="320"/>
            </w:pPr>
            <w:r>
              <w:t>km</w:t>
            </w:r>
          </w:p>
        </w:tc>
        <w:tc>
          <w:tcPr>
            <w:tcW w:w="2154" w:type="dxa"/>
            <w:vAlign w:val="top"/>
          </w:tcPr>
          <w:p w14:paraId="360E396C">
            <w:pPr>
              <w:pStyle w:val="6"/>
              <w:spacing w:before="150" w:line="232" w:lineRule="auto"/>
              <w:ind w:left="861"/>
            </w:pPr>
            <w:r>
              <w:rPr>
                <w:spacing w:val="-5"/>
              </w:rPr>
              <w:t>13.50</w:t>
            </w:r>
          </w:p>
        </w:tc>
        <w:tc>
          <w:tcPr>
            <w:tcW w:w="2474" w:type="dxa"/>
            <w:tcBorders>
              <w:right w:val="single" w:color="000000" w:sz="12" w:space="0"/>
            </w:tcBorders>
            <w:vAlign w:val="top"/>
          </w:tcPr>
          <w:p w14:paraId="74713DFC">
            <w:pPr>
              <w:pStyle w:val="6"/>
              <w:spacing w:before="150" w:line="232" w:lineRule="auto"/>
              <w:ind w:left="1022"/>
            </w:pPr>
            <w:r>
              <w:rPr>
                <w:spacing w:val="-5"/>
              </w:rPr>
              <w:t>12.25</w:t>
            </w:r>
          </w:p>
        </w:tc>
      </w:tr>
      <w:tr w14:paraId="4F124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21" w:type="dxa"/>
            <w:tcBorders>
              <w:left w:val="single" w:color="000000" w:sz="12" w:space="0"/>
            </w:tcBorders>
            <w:vAlign w:val="top"/>
          </w:tcPr>
          <w:p w14:paraId="71926760">
            <w:pPr>
              <w:spacing w:before="118" w:line="220" w:lineRule="auto"/>
              <w:ind w:left="364"/>
              <w:rPr>
                <w:rFonts w:ascii="宋体" w:hAnsi="宋体" w:eastAsia="宋体" w:cs="宋体"/>
                <w:sz w:val="21"/>
                <w:szCs w:val="21"/>
              </w:rPr>
            </w:pPr>
            <w:r>
              <w:rPr>
                <w:rFonts w:ascii="宋体" w:hAnsi="宋体" w:eastAsia="宋体" w:cs="宋体"/>
                <w:spacing w:val="-2"/>
                <w:sz w:val="21"/>
                <w:szCs w:val="21"/>
              </w:rPr>
              <w:t>场内道路改扩建</w:t>
            </w:r>
          </w:p>
        </w:tc>
        <w:tc>
          <w:tcPr>
            <w:tcW w:w="925" w:type="dxa"/>
            <w:vAlign w:val="top"/>
          </w:tcPr>
          <w:p w14:paraId="4F561AB7">
            <w:pPr>
              <w:pStyle w:val="6"/>
              <w:spacing w:before="152" w:line="235" w:lineRule="auto"/>
              <w:ind w:left="320"/>
            </w:pPr>
            <w:r>
              <w:t>km</w:t>
            </w:r>
          </w:p>
        </w:tc>
        <w:tc>
          <w:tcPr>
            <w:tcW w:w="2154" w:type="dxa"/>
            <w:vAlign w:val="top"/>
          </w:tcPr>
          <w:p w14:paraId="51E888E3">
            <w:pPr>
              <w:pStyle w:val="6"/>
              <w:spacing w:before="152" w:line="232" w:lineRule="auto"/>
              <w:ind w:left="914"/>
            </w:pPr>
            <w:r>
              <w:rPr>
                <w:spacing w:val="-6"/>
              </w:rPr>
              <w:t>1.40</w:t>
            </w:r>
          </w:p>
        </w:tc>
        <w:tc>
          <w:tcPr>
            <w:tcW w:w="2474" w:type="dxa"/>
            <w:tcBorders>
              <w:right w:val="single" w:color="000000" w:sz="12" w:space="0"/>
            </w:tcBorders>
            <w:vAlign w:val="top"/>
          </w:tcPr>
          <w:p w14:paraId="67D47031">
            <w:pPr>
              <w:pStyle w:val="6"/>
              <w:spacing w:before="152" w:line="232" w:lineRule="auto"/>
              <w:ind w:left="1108"/>
            </w:pPr>
            <w:r>
              <w:rPr>
                <w:spacing w:val="-2"/>
              </w:rPr>
              <w:t>2.5</w:t>
            </w:r>
          </w:p>
        </w:tc>
      </w:tr>
      <w:tr w14:paraId="0257F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21" w:type="dxa"/>
            <w:tcBorders>
              <w:left w:val="single" w:color="000000" w:sz="12" w:space="0"/>
            </w:tcBorders>
            <w:vAlign w:val="top"/>
          </w:tcPr>
          <w:p w14:paraId="2D1535CB">
            <w:pPr>
              <w:pStyle w:val="6"/>
              <w:spacing w:before="113" w:line="234" w:lineRule="auto"/>
              <w:ind w:left="52"/>
              <w:rPr>
                <w:rFonts w:ascii="宋体" w:hAnsi="宋体" w:eastAsia="宋体" w:cs="宋体"/>
              </w:rPr>
            </w:pPr>
            <w:r>
              <w:rPr>
                <w:spacing w:val="-2"/>
              </w:rPr>
              <w:t>5</w:t>
            </w:r>
            <w:r>
              <w:rPr>
                <w:rFonts w:ascii="宋体" w:hAnsi="宋体" w:eastAsia="宋体" w:cs="宋体"/>
                <w:spacing w:val="-2"/>
              </w:rPr>
              <w:t>．施工占地</w:t>
            </w:r>
          </w:p>
        </w:tc>
        <w:tc>
          <w:tcPr>
            <w:tcW w:w="925" w:type="dxa"/>
            <w:vAlign w:val="top"/>
          </w:tcPr>
          <w:p w14:paraId="286432FC">
            <w:pPr>
              <w:spacing w:before="114" w:line="220" w:lineRule="auto"/>
              <w:ind w:left="356"/>
              <w:rPr>
                <w:rFonts w:ascii="宋体" w:hAnsi="宋体" w:eastAsia="宋体" w:cs="宋体"/>
                <w:sz w:val="21"/>
                <w:szCs w:val="21"/>
              </w:rPr>
            </w:pPr>
            <w:r>
              <w:rPr>
                <w:rFonts w:ascii="宋体" w:hAnsi="宋体" w:eastAsia="宋体" w:cs="宋体"/>
                <w:sz w:val="21"/>
                <w:szCs w:val="21"/>
              </w:rPr>
              <w:t>亩</w:t>
            </w:r>
          </w:p>
        </w:tc>
        <w:tc>
          <w:tcPr>
            <w:tcW w:w="2154" w:type="dxa"/>
            <w:vAlign w:val="top"/>
          </w:tcPr>
          <w:p w14:paraId="28921139">
            <w:pPr>
              <w:pStyle w:val="6"/>
              <w:spacing w:before="146" w:line="232" w:lineRule="auto"/>
              <w:ind w:left="808"/>
            </w:pPr>
            <w:r>
              <w:rPr>
                <w:spacing w:val="-4"/>
              </w:rPr>
              <w:t>1033.5</w:t>
            </w:r>
          </w:p>
        </w:tc>
        <w:tc>
          <w:tcPr>
            <w:tcW w:w="2474" w:type="dxa"/>
            <w:tcBorders>
              <w:right w:val="single" w:color="000000" w:sz="12" w:space="0"/>
            </w:tcBorders>
            <w:vAlign w:val="top"/>
          </w:tcPr>
          <w:p w14:paraId="00CEB58D">
            <w:pPr>
              <w:pStyle w:val="6"/>
              <w:spacing w:before="146" w:line="232" w:lineRule="auto"/>
              <w:ind w:left="918"/>
            </w:pPr>
            <w:r>
              <w:rPr>
                <w:spacing w:val="-4"/>
              </w:rPr>
              <w:t>1828.45</w:t>
            </w:r>
          </w:p>
        </w:tc>
      </w:tr>
      <w:tr w14:paraId="553AF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921" w:type="dxa"/>
            <w:tcBorders>
              <w:left w:val="single" w:color="000000" w:sz="12" w:space="0"/>
              <w:bottom w:val="single" w:color="000000" w:sz="12" w:space="0"/>
            </w:tcBorders>
            <w:vAlign w:val="top"/>
          </w:tcPr>
          <w:p w14:paraId="179A83EA">
            <w:pPr>
              <w:pStyle w:val="6"/>
              <w:spacing w:before="114" w:line="234" w:lineRule="auto"/>
              <w:ind w:left="51"/>
              <w:rPr>
                <w:rFonts w:ascii="宋体" w:hAnsi="宋体" w:eastAsia="宋体" w:cs="宋体"/>
              </w:rPr>
            </w:pPr>
            <w:r>
              <w:rPr>
                <w:spacing w:val="-2"/>
              </w:rPr>
              <w:t>6</w:t>
            </w:r>
            <w:r>
              <w:rPr>
                <w:rFonts w:ascii="宋体" w:hAnsi="宋体" w:eastAsia="宋体" w:cs="宋体"/>
                <w:spacing w:val="-2"/>
              </w:rPr>
              <w:t>．施工总工期</w:t>
            </w:r>
          </w:p>
        </w:tc>
        <w:tc>
          <w:tcPr>
            <w:tcW w:w="925" w:type="dxa"/>
            <w:tcBorders>
              <w:bottom w:val="single" w:color="000000" w:sz="12" w:space="0"/>
            </w:tcBorders>
            <w:vAlign w:val="top"/>
          </w:tcPr>
          <w:p w14:paraId="69ABE5EA">
            <w:pPr>
              <w:spacing w:before="114" w:line="220" w:lineRule="auto"/>
              <w:ind w:left="361"/>
              <w:rPr>
                <w:rFonts w:ascii="宋体" w:hAnsi="宋体" w:eastAsia="宋体" w:cs="宋体"/>
                <w:sz w:val="21"/>
                <w:szCs w:val="21"/>
              </w:rPr>
            </w:pPr>
            <w:r>
              <w:rPr>
                <w:rFonts w:ascii="宋体" w:hAnsi="宋体" w:eastAsia="宋体" w:cs="宋体"/>
                <w:sz w:val="21"/>
                <w:szCs w:val="21"/>
              </w:rPr>
              <w:t>月</w:t>
            </w:r>
          </w:p>
        </w:tc>
        <w:tc>
          <w:tcPr>
            <w:tcW w:w="2154" w:type="dxa"/>
            <w:tcBorders>
              <w:bottom w:val="single" w:color="000000" w:sz="12" w:space="0"/>
            </w:tcBorders>
            <w:vAlign w:val="top"/>
          </w:tcPr>
          <w:p w14:paraId="673C47B7">
            <w:pPr>
              <w:pStyle w:val="6"/>
              <w:spacing w:before="148" w:line="232" w:lineRule="auto"/>
              <w:ind w:left="978"/>
            </w:pPr>
            <w:r>
              <w:rPr>
                <w:spacing w:val="-3"/>
              </w:rPr>
              <w:t>54</w:t>
            </w:r>
          </w:p>
        </w:tc>
        <w:tc>
          <w:tcPr>
            <w:tcW w:w="2474" w:type="dxa"/>
            <w:tcBorders>
              <w:bottom w:val="single" w:color="000000" w:sz="12" w:space="0"/>
              <w:right w:val="single" w:color="000000" w:sz="12" w:space="0"/>
            </w:tcBorders>
            <w:vAlign w:val="top"/>
          </w:tcPr>
          <w:p w14:paraId="4CBD7C50">
            <w:pPr>
              <w:pStyle w:val="6"/>
              <w:spacing w:before="148" w:line="232" w:lineRule="auto"/>
              <w:ind w:left="1140"/>
            </w:pPr>
            <w:r>
              <w:rPr>
                <w:spacing w:val="-5"/>
              </w:rPr>
              <w:t>54</w:t>
            </w:r>
          </w:p>
        </w:tc>
      </w:tr>
    </w:tbl>
    <w:p w14:paraId="52E8F9AC">
      <w:pPr>
        <w:rPr>
          <w:rFonts w:ascii="Arial"/>
          <w:sz w:val="21"/>
        </w:rPr>
      </w:pPr>
    </w:p>
    <w:p w14:paraId="3EE8612E">
      <w:pPr>
        <w:rPr>
          <w:rFonts w:ascii="Arial" w:hAnsi="Arial" w:eastAsia="Arial" w:cs="Arial"/>
          <w:sz w:val="21"/>
          <w:szCs w:val="21"/>
        </w:rPr>
        <w:sectPr>
          <w:footerReference r:id="rId43" w:type="default"/>
          <w:pgSz w:w="11907" w:h="16839"/>
          <w:pgMar w:top="1376" w:right="1669" w:bottom="1061" w:left="1671" w:header="999" w:footer="861" w:gutter="0"/>
          <w:cols w:space="720" w:num="1"/>
        </w:sectPr>
      </w:pPr>
    </w:p>
    <w:p w14:paraId="5BF25FC8">
      <w:pPr>
        <w:spacing w:line="412" w:lineRule="auto"/>
        <w:rPr>
          <w:rFonts w:ascii="Arial"/>
          <w:sz w:val="21"/>
        </w:rPr>
      </w:pPr>
    </w:p>
    <w:p w14:paraId="5291385F">
      <w:pPr>
        <w:pStyle w:val="2"/>
        <w:spacing w:before="88" w:line="225" w:lineRule="auto"/>
        <w:ind w:left="30"/>
        <w:rPr>
          <w:sz w:val="27"/>
          <w:szCs w:val="27"/>
        </w:rPr>
      </w:pPr>
      <w:r>
        <w:rPr>
          <w:rFonts w:ascii="Arial" w:hAnsi="Arial" w:eastAsia="Arial" w:cs="Arial"/>
          <w:spacing w:val="4"/>
          <w:position w:val="1"/>
          <w:sz w:val="24"/>
          <w:szCs w:val="24"/>
        </w:rPr>
        <w:t>3.1.5</w:t>
      </w:r>
      <w:r>
        <w:rPr>
          <w:rFonts w:ascii="Arial" w:hAnsi="Arial" w:eastAsia="Arial" w:cs="Arial"/>
          <w:spacing w:val="10"/>
          <w:position w:val="1"/>
          <w:sz w:val="24"/>
          <w:szCs w:val="24"/>
        </w:rPr>
        <w:t xml:space="preserve">    </w:t>
      </w:r>
      <w:r>
        <w:rPr>
          <w:b/>
          <w:bCs/>
          <w:spacing w:val="4"/>
          <w:position w:val="-1"/>
          <w:sz w:val="27"/>
          <w:szCs w:val="27"/>
        </w:rPr>
        <w:t>工程总体布局</w:t>
      </w:r>
    </w:p>
    <w:p w14:paraId="1338F721">
      <w:pPr>
        <w:pStyle w:val="2"/>
        <w:spacing w:before="264" w:line="338" w:lineRule="auto"/>
        <w:ind w:left="39" w:right="121" w:firstLine="482"/>
        <w:rPr>
          <w:sz w:val="24"/>
          <w:szCs w:val="24"/>
        </w:rPr>
      </w:pPr>
      <w:r>
        <w:rPr>
          <w:spacing w:val="-6"/>
          <w:sz w:val="24"/>
          <w:szCs w:val="24"/>
        </w:rPr>
        <w:t>大坝位于马龙河干流；溢洪道布置在大坝左岸岸坡，为岸边有闸控制溢洪道，</w:t>
      </w:r>
      <w:r>
        <w:rPr>
          <w:spacing w:val="-1"/>
          <w:sz w:val="24"/>
          <w:szCs w:val="24"/>
        </w:rPr>
        <w:t>全长</w:t>
      </w:r>
      <w:r>
        <w:rPr>
          <w:spacing w:val="-50"/>
          <w:sz w:val="24"/>
          <w:szCs w:val="24"/>
        </w:rPr>
        <w:t xml:space="preserve"> </w:t>
      </w:r>
      <w:r>
        <w:rPr>
          <w:rFonts w:ascii="Times New Roman" w:hAnsi="Times New Roman" w:eastAsia="Times New Roman" w:cs="Times New Roman"/>
          <w:spacing w:val="-1"/>
          <w:sz w:val="24"/>
          <w:szCs w:val="24"/>
        </w:rPr>
        <w:t>344m</w:t>
      </w:r>
      <w:r>
        <w:rPr>
          <w:spacing w:val="-1"/>
          <w:sz w:val="24"/>
          <w:szCs w:val="24"/>
        </w:rPr>
        <w:t>；泄洪放空隧洞平行于溢洪道布置于大坝左岸，</w:t>
      </w:r>
      <w:r>
        <w:rPr>
          <w:spacing w:val="-2"/>
          <w:sz w:val="24"/>
          <w:szCs w:val="24"/>
        </w:rPr>
        <w:t>全长</w:t>
      </w:r>
      <w:r>
        <w:rPr>
          <w:spacing w:val="-38"/>
          <w:sz w:val="24"/>
          <w:szCs w:val="24"/>
        </w:rPr>
        <w:t xml:space="preserve"> </w:t>
      </w:r>
      <w:r>
        <w:rPr>
          <w:rFonts w:ascii="Times New Roman" w:hAnsi="Times New Roman" w:eastAsia="Times New Roman" w:cs="Times New Roman"/>
          <w:spacing w:val="-2"/>
          <w:sz w:val="24"/>
          <w:szCs w:val="24"/>
        </w:rPr>
        <w:t>614m</w:t>
      </w:r>
      <w:r>
        <w:rPr>
          <w:spacing w:val="-2"/>
          <w:sz w:val="24"/>
          <w:szCs w:val="24"/>
        </w:rPr>
        <w:t>。</w:t>
      </w:r>
    </w:p>
    <w:p w14:paraId="209E5E51">
      <w:pPr>
        <w:pStyle w:val="2"/>
        <w:spacing w:before="2" w:line="338" w:lineRule="auto"/>
        <w:ind w:left="40" w:firstLine="478"/>
        <w:jc w:val="both"/>
        <w:rPr>
          <w:sz w:val="24"/>
          <w:szCs w:val="24"/>
        </w:rPr>
      </w:pPr>
      <w:r>
        <w:rPr>
          <w:spacing w:val="-1"/>
          <w:sz w:val="24"/>
          <w:szCs w:val="24"/>
        </w:rPr>
        <w:t xml:space="preserve">输水线路长 </w:t>
      </w:r>
      <w:r>
        <w:rPr>
          <w:rFonts w:ascii="Times New Roman" w:hAnsi="Times New Roman" w:eastAsia="Times New Roman" w:cs="Times New Roman"/>
          <w:spacing w:val="-1"/>
          <w:sz w:val="24"/>
          <w:szCs w:val="24"/>
        </w:rPr>
        <w:t>29.623km</w:t>
      </w:r>
      <w:r>
        <w:rPr>
          <w:spacing w:val="-1"/>
          <w:sz w:val="24"/>
          <w:szCs w:val="24"/>
        </w:rPr>
        <w:t>。隧洞进口位于三家村下马龙河河谷转弯处的左岸，在</w:t>
      </w:r>
      <w:r>
        <w:rPr>
          <w:spacing w:val="-4"/>
          <w:sz w:val="24"/>
          <w:szCs w:val="24"/>
        </w:rPr>
        <w:t>面店水库下游王大屯村附近出洞，隧洞出口与面店水库下游剪彩河河道连</w:t>
      </w:r>
      <w:r>
        <w:rPr>
          <w:spacing w:val="-5"/>
          <w:sz w:val="24"/>
          <w:szCs w:val="24"/>
        </w:rPr>
        <w:t>接，水流</w:t>
      </w:r>
      <w:r>
        <w:rPr>
          <w:spacing w:val="-9"/>
          <w:sz w:val="24"/>
          <w:szCs w:val="24"/>
        </w:rPr>
        <w:t>经剪彩河进入白石江后最终归入南盘江。隧洞由进口有压段、竖井段、无压段组成，</w:t>
      </w:r>
      <w:r>
        <w:rPr>
          <w:spacing w:val="-3"/>
          <w:sz w:val="24"/>
          <w:szCs w:val="24"/>
        </w:rPr>
        <w:t>隧洞进口底板高程</w:t>
      </w:r>
      <w:r>
        <w:rPr>
          <w:spacing w:val="-14"/>
          <w:sz w:val="24"/>
          <w:szCs w:val="24"/>
        </w:rPr>
        <w:t xml:space="preserve"> </w:t>
      </w:r>
      <w:r>
        <w:rPr>
          <w:rFonts w:ascii="Times New Roman" w:hAnsi="Times New Roman" w:eastAsia="Times New Roman" w:cs="Times New Roman"/>
          <w:spacing w:val="-3"/>
          <w:sz w:val="24"/>
          <w:szCs w:val="24"/>
        </w:rPr>
        <w:t>1911.5m</w:t>
      </w:r>
      <w:r>
        <w:rPr>
          <w:spacing w:val="-3"/>
          <w:sz w:val="24"/>
          <w:szCs w:val="24"/>
        </w:rPr>
        <w:t>，出口底板高程</w:t>
      </w:r>
      <w:r>
        <w:rPr>
          <w:spacing w:val="-31"/>
          <w:sz w:val="24"/>
          <w:szCs w:val="24"/>
        </w:rPr>
        <w:t xml:space="preserve"> </w:t>
      </w:r>
      <w:r>
        <w:rPr>
          <w:rFonts w:ascii="Times New Roman" w:hAnsi="Times New Roman" w:eastAsia="Times New Roman" w:cs="Times New Roman"/>
          <w:spacing w:val="-3"/>
          <w:sz w:val="24"/>
          <w:szCs w:val="24"/>
        </w:rPr>
        <w:t>1897.47m</w:t>
      </w:r>
      <w:r>
        <w:rPr>
          <w:spacing w:val="-3"/>
          <w:sz w:val="24"/>
          <w:szCs w:val="24"/>
        </w:rPr>
        <w:t>。</w:t>
      </w:r>
    </w:p>
    <w:p w14:paraId="1040A56C">
      <w:pPr>
        <w:pStyle w:val="2"/>
        <w:spacing w:before="1" w:line="232" w:lineRule="auto"/>
        <w:ind w:left="521"/>
        <w:rPr>
          <w:sz w:val="24"/>
          <w:szCs w:val="24"/>
        </w:rPr>
      </w:pPr>
      <w:r>
        <w:rPr>
          <w:spacing w:val="-2"/>
          <w:sz w:val="24"/>
          <w:szCs w:val="24"/>
        </w:rPr>
        <w:t>车马碧水库工程总平面图布置见附图</w:t>
      </w:r>
      <w:r>
        <w:rPr>
          <w:spacing w:val="-36"/>
          <w:sz w:val="24"/>
          <w:szCs w:val="24"/>
        </w:rPr>
        <w:t xml:space="preserve"> </w:t>
      </w:r>
      <w:r>
        <w:rPr>
          <w:rFonts w:ascii="Times New Roman" w:hAnsi="Times New Roman" w:eastAsia="Times New Roman" w:cs="Times New Roman"/>
          <w:spacing w:val="-2"/>
          <w:sz w:val="24"/>
          <w:szCs w:val="24"/>
        </w:rPr>
        <w:t>5</w:t>
      </w:r>
      <w:r>
        <w:rPr>
          <w:spacing w:val="-2"/>
          <w:sz w:val="24"/>
          <w:szCs w:val="24"/>
        </w:rPr>
        <w:t>。</w:t>
      </w:r>
    </w:p>
    <w:p w14:paraId="49CED48B">
      <w:pPr>
        <w:pStyle w:val="2"/>
        <w:spacing w:before="224" w:line="225" w:lineRule="auto"/>
        <w:ind w:left="30"/>
        <w:rPr>
          <w:sz w:val="27"/>
          <w:szCs w:val="27"/>
        </w:rPr>
      </w:pPr>
      <w:r>
        <w:rPr>
          <w:rFonts w:ascii="Arial" w:hAnsi="Arial" w:eastAsia="Arial" w:cs="Arial"/>
          <w:spacing w:val="4"/>
          <w:position w:val="1"/>
          <w:sz w:val="24"/>
          <w:szCs w:val="24"/>
        </w:rPr>
        <w:t>3.1.6</w:t>
      </w:r>
      <w:r>
        <w:rPr>
          <w:rFonts w:ascii="Arial" w:hAnsi="Arial" w:eastAsia="Arial" w:cs="Arial"/>
          <w:spacing w:val="10"/>
          <w:position w:val="1"/>
          <w:sz w:val="24"/>
          <w:szCs w:val="24"/>
        </w:rPr>
        <w:t xml:space="preserve">    </w:t>
      </w:r>
      <w:r>
        <w:rPr>
          <w:b/>
          <w:bCs/>
          <w:spacing w:val="4"/>
          <w:position w:val="-1"/>
          <w:sz w:val="27"/>
          <w:szCs w:val="27"/>
        </w:rPr>
        <w:t>工程施工布置</w:t>
      </w:r>
    </w:p>
    <w:p w14:paraId="4C721E34">
      <w:pPr>
        <w:pStyle w:val="2"/>
        <w:spacing w:before="263"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）施工总布置</w:t>
      </w:r>
    </w:p>
    <w:p w14:paraId="3349C807">
      <w:pPr>
        <w:pStyle w:val="2"/>
        <w:spacing w:before="141" w:line="336" w:lineRule="auto"/>
        <w:ind w:left="39" w:right="66" w:firstLine="479"/>
        <w:jc w:val="both"/>
        <w:rPr>
          <w:sz w:val="24"/>
          <w:szCs w:val="24"/>
        </w:rPr>
      </w:pPr>
      <w:r>
        <w:rPr>
          <w:spacing w:val="-4"/>
          <w:sz w:val="24"/>
          <w:szCs w:val="24"/>
        </w:rPr>
        <w:t>据现场调查，枢纽工程施工较为集中，施工分大坝施</w:t>
      </w:r>
      <w:r>
        <w:rPr>
          <w:spacing w:val="-5"/>
          <w:sz w:val="24"/>
          <w:szCs w:val="24"/>
        </w:rPr>
        <w:t>工区和石料场施工区</w:t>
      </w:r>
      <w:r>
        <w:rPr>
          <w:spacing w:val="-54"/>
          <w:sz w:val="24"/>
          <w:szCs w:val="24"/>
        </w:rPr>
        <w:t xml:space="preserve"> </w:t>
      </w:r>
      <w:r>
        <w:rPr>
          <w:rFonts w:ascii="Times New Roman" w:hAnsi="Times New Roman" w:eastAsia="Times New Roman" w:cs="Times New Roman"/>
          <w:spacing w:val="-5"/>
          <w:sz w:val="24"/>
          <w:szCs w:val="24"/>
        </w:rPr>
        <w:t xml:space="preserve">2 </w:t>
      </w:r>
      <w:r>
        <w:rPr>
          <w:spacing w:val="-5"/>
          <w:sz w:val="24"/>
          <w:szCs w:val="24"/>
        </w:rPr>
        <w:t>个</w:t>
      </w:r>
      <w:r>
        <w:rPr>
          <w:spacing w:val="-1"/>
          <w:sz w:val="24"/>
          <w:szCs w:val="24"/>
        </w:rPr>
        <w:t xml:space="preserve">区施工场地。坝址下游左岸车马碧村附近设置 </w:t>
      </w:r>
      <w:r>
        <w:rPr>
          <w:rFonts w:ascii="Times New Roman" w:hAnsi="Times New Roman" w:eastAsia="Times New Roman" w:cs="Times New Roman"/>
          <w:spacing w:val="-1"/>
          <w:sz w:val="24"/>
          <w:szCs w:val="24"/>
        </w:rPr>
        <w:t xml:space="preserve">1  </w:t>
      </w:r>
      <w:r>
        <w:rPr>
          <w:spacing w:val="-1"/>
          <w:sz w:val="24"/>
          <w:szCs w:val="24"/>
        </w:rPr>
        <w:t>个生产生活区，大坝上游左岸平</w:t>
      </w:r>
      <w:r>
        <w:rPr>
          <w:spacing w:val="-5"/>
          <w:sz w:val="24"/>
          <w:szCs w:val="24"/>
        </w:rPr>
        <w:t>坦位置设置生产区，负责坝址区的施工；象山石料场附近布置砂石加工厂</w:t>
      </w:r>
      <w:r>
        <w:rPr>
          <w:spacing w:val="-22"/>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座，生</w:t>
      </w:r>
      <w:r>
        <w:rPr>
          <w:spacing w:val="-4"/>
          <w:sz w:val="24"/>
          <w:szCs w:val="24"/>
        </w:rPr>
        <w:t>产区在砂石加工厂内统筹设置，负责石料场和土料场的开采、运输以及砂</w:t>
      </w:r>
      <w:r>
        <w:rPr>
          <w:spacing w:val="-5"/>
          <w:sz w:val="24"/>
          <w:szCs w:val="24"/>
        </w:rPr>
        <w:t>石加工系</w:t>
      </w:r>
      <w:r>
        <w:rPr>
          <w:spacing w:val="-6"/>
          <w:sz w:val="24"/>
          <w:szCs w:val="24"/>
        </w:rPr>
        <w:t>统的运行管理。</w:t>
      </w:r>
    </w:p>
    <w:p w14:paraId="0E3BED72">
      <w:pPr>
        <w:pStyle w:val="2"/>
        <w:spacing w:before="13" w:line="339" w:lineRule="auto"/>
        <w:ind w:left="38" w:right="66" w:firstLine="480"/>
        <w:rPr>
          <w:sz w:val="24"/>
          <w:szCs w:val="24"/>
        </w:rPr>
      </w:pPr>
      <w:r>
        <w:rPr>
          <w:spacing w:val="-1"/>
          <w:sz w:val="24"/>
          <w:szCs w:val="24"/>
        </w:rPr>
        <w:t xml:space="preserve">输水隧洞线路施工布置较为分散，在 </w:t>
      </w:r>
      <w:r>
        <w:rPr>
          <w:rFonts w:ascii="Times New Roman" w:hAnsi="Times New Roman" w:eastAsia="Times New Roman" w:cs="Times New Roman"/>
          <w:spacing w:val="-1"/>
          <w:sz w:val="24"/>
          <w:szCs w:val="24"/>
        </w:rPr>
        <w:t>1#~11#</w:t>
      </w:r>
      <w:r>
        <w:rPr>
          <w:spacing w:val="-1"/>
          <w:sz w:val="24"/>
          <w:szCs w:val="24"/>
        </w:rPr>
        <w:t>支洞口及隧洞出口分别布置一个</w:t>
      </w:r>
      <w:r>
        <w:rPr>
          <w:spacing w:val="-2"/>
          <w:sz w:val="24"/>
          <w:szCs w:val="24"/>
        </w:rPr>
        <w:t>施工区，每个施工区布设一个施工营地，并相应布置</w:t>
      </w:r>
      <w:r>
        <w:rPr>
          <w:spacing w:val="-31"/>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个</w:t>
      </w:r>
      <w:r>
        <w:rPr>
          <w:spacing w:val="-3"/>
          <w:sz w:val="24"/>
          <w:szCs w:val="24"/>
        </w:rPr>
        <w:t>弃渣场。</w:t>
      </w:r>
    </w:p>
    <w:p w14:paraId="72D847E5">
      <w:pPr>
        <w:pStyle w:val="2"/>
        <w:spacing w:line="234" w:lineRule="auto"/>
        <w:ind w:left="528"/>
        <w:rPr>
          <w:sz w:val="24"/>
          <w:szCs w:val="24"/>
        </w:rPr>
      </w:pPr>
      <w:r>
        <w:rPr>
          <w:b/>
          <w:bCs/>
          <w:spacing w:val="-7"/>
          <w:sz w:val="24"/>
          <w:szCs w:val="24"/>
        </w:rPr>
        <w:t>（</w:t>
      </w:r>
      <w:r>
        <w:rPr>
          <w:rFonts w:ascii="Times New Roman" w:hAnsi="Times New Roman" w:eastAsia="Times New Roman" w:cs="Times New Roman"/>
          <w:b/>
          <w:bCs/>
          <w:spacing w:val="-7"/>
          <w:sz w:val="24"/>
          <w:szCs w:val="24"/>
        </w:rPr>
        <w:t>2</w:t>
      </w:r>
      <w:r>
        <w:rPr>
          <w:b/>
          <w:bCs/>
          <w:spacing w:val="-7"/>
          <w:sz w:val="24"/>
          <w:szCs w:val="24"/>
        </w:rPr>
        <w:t>）料场</w:t>
      </w:r>
    </w:p>
    <w:p w14:paraId="256D692F">
      <w:pPr>
        <w:pStyle w:val="2"/>
        <w:spacing w:before="130" w:line="339" w:lineRule="auto"/>
        <w:ind w:left="38" w:firstLine="480"/>
        <w:jc w:val="both"/>
        <w:rPr>
          <w:sz w:val="24"/>
          <w:szCs w:val="24"/>
        </w:rPr>
      </w:pPr>
      <w:r>
        <w:rPr>
          <w:spacing w:val="-2"/>
          <w:sz w:val="24"/>
          <w:szCs w:val="24"/>
        </w:rPr>
        <w:t xml:space="preserve">环评阶段枢纽工程共选择石料场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64"/>
          <w:w w:val="101"/>
          <w:sz w:val="24"/>
          <w:szCs w:val="24"/>
        </w:rPr>
        <w:t xml:space="preserve"> </w:t>
      </w:r>
      <w:r>
        <w:rPr>
          <w:spacing w:val="-2"/>
          <w:sz w:val="24"/>
          <w:szCs w:val="24"/>
        </w:rPr>
        <w:t>个：象山Ⅰ</w:t>
      </w:r>
      <w:r>
        <w:rPr>
          <w:rFonts w:ascii="Times New Roman" w:hAnsi="Times New Roman" w:eastAsia="Times New Roman" w:cs="Times New Roman"/>
          <w:spacing w:val="-2"/>
          <w:sz w:val="24"/>
          <w:szCs w:val="24"/>
        </w:rPr>
        <w:t>#</w:t>
      </w:r>
      <w:r>
        <w:rPr>
          <w:spacing w:val="-2"/>
          <w:sz w:val="24"/>
          <w:szCs w:val="24"/>
        </w:rPr>
        <w:t>石料场、象山Ⅱ</w:t>
      </w:r>
      <w:r>
        <w:rPr>
          <w:rFonts w:ascii="Times New Roman" w:hAnsi="Times New Roman" w:eastAsia="Times New Roman" w:cs="Times New Roman"/>
          <w:spacing w:val="-2"/>
          <w:sz w:val="24"/>
          <w:szCs w:val="24"/>
        </w:rPr>
        <w:t>#</w:t>
      </w:r>
      <w:r>
        <w:rPr>
          <w:spacing w:val="-2"/>
          <w:sz w:val="24"/>
          <w:szCs w:val="24"/>
        </w:rPr>
        <w:t xml:space="preserve">石料场的 </w:t>
      </w:r>
      <w:r>
        <w:rPr>
          <w:rFonts w:ascii="Times New Roman" w:hAnsi="Times New Roman" w:eastAsia="Times New Roman" w:cs="Times New Roman"/>
          <w:spacing w:val="-2"/>
          <w:sz w:val="24"/>
          <w:szCs w:val="24"/>
        </w:rPr>
        <w:t>C</w:t>
      </w:r>
      <w:r>
        <w:rPr>
          <w:spacing w:val="-2"/>
          <w:sz w:val="24"/>
          <w:szCs w:val="24"/>
        </w:rPr>
        <w:t xml:space="preserve">区开采料场；土料场 </w:t>
      </w:r>
      <w:r>
        <w:rPr>
          <w:rFonts w:ascii="Times New Roman" w:hAnsi="Times New Roman" w:eastAsia="Times New Roman" w:cs="Times New Roman"/>
          <w:spacing w:val="-2"/>
          <w:sz w:val="24"/>
          <w:szCs w:val="24"/>
        </w:rPr>
        <w:t xml:space="preserve">1  </w:t>
      </w:r>
      <w:r>
        <w:rPr>
          <w:spacing w:val="-2"/>
          <w:sz w:val="24"/>
          <w:szCs w:val="24"/>
        </w:rPr>
        <w:t>个：大罗贵围堰土料开采料场。象山Ⅰ</w:t>
      </w:r>
      <w:r>
        <w:rPr>
          <w:rFonts w:ascii="Times New Roman" w:hAnsi="Times New Roman" w:eastAsia="Times New Roman" w:cs="Times New Roman"/>
          <w:spacing w:val="-2"/>
          <w:sz w:val="24"/>
          <w:szCs w:val="24"/>
        </w:rPr>
        <w:t>#</w:t>
      </w:r>
      <w:r>
        <w:rPr>
          <w:spacing w:val="-2"/>
          <w:sz w:val="24"/>
          <w:szCs w:val="24"/>
        </w:rPr>
        <w:t>石料场位于库区，</w:t>
      </w:r>
      <w:r>
        <w:rPr>
          <w:spacing w:val="8"/>
          <w:sz w:val="24"/>
          <w:szCs w:val="24"/>
        </w:rPr>
        <w:t xml:space="preserve">坝址东北侧的车章河与马龙河交汇口以北 </w:t>
      </w:r>
      <w:r>
        <w:rPr>
          <w:rFonts w:ascii="Times New Roman" w:hAnsi="Times New Roman" w:eastAsia="Times New Roman" w:cs="Times New Roman"/>
          <w:spacing w:val="8"/>
          <w:sz w:val="24"/>
          <w:szCs w:val="24"/>
        </w:rPr>
        <w:t>400m~600m</w:t>
      </w:r>
      <w:r>
        <w:rPr>
          <w:rFonts w:ascii="Times New Roman" w:hAnsi="Times New Roman" w:eastAsia="Times New Roman" w:cs="Times New Roman"/>
          <w:spacing w:val="7"/>
          <w:sz w:val="24"/>
          <w:szCs w:val="24"/>
        </w:rPr>
        <w:t xml:space="preserve">  </w:t>
      </w:r>
      <w:r>
        <w:rPr>
          <w:spacing w:val="7"/>
          <w:sz w:val="24"/>
          <w:szCs w:val="24"/>
        </w:rPr>
        <w:t>处车章河左岸，高程为</w:t>
      </w:r>
      <w:r>
        <w:rPr>
          <w:rFonts w:ascii="Times New Roman" w:hAnsi="Times New Roman" w:eastAsia="Times New Roman" w:cs="Times New Roman"/>
          <w:spacing w:val="-1"/>
          <w:sz w:val="24"/>
          <w:szCs w:val="24"/>
        </w:rPr>
        <w:t>1904m~2016m</w:t>
      </w:r>
      <w:r>
        <w:rPr>
          <w:spacing w:val="-1"/>
          <w:sz w:val="24"/>
          <w:szCs w:val="24"/>
        </w:rPr>
        <w:t>，有用层储量为</w:t>
      </w:r>
      <w:r>
        <w:rPr>
          <w:spacing w:val="-20"/>
          <w:sz w:val="24"/>
          <w:szCs w:val="24"/>
        </w:rPr>
        <w:t xml:space="preserve"> </w:t>
      </w:r>
      <w:r>
        <w:rPr>
          <w:rFonts w:ascii="Times New Roman" w:hAnsi="Times New Roman" w:eastAsia="Times New Roman" w:cs="Times New Roman"/>
          <w:spacing w:val="-1"/>
          <w:sz w:val="24"/>
          <w:szCs w:val="24"/>
        </w:rPr>
        <w:t>207.7</w:t>
      </w:r>
      <w:r>
        <w:rPr>
          <w:rFonts w:ascii="Times New Roman" w:hAnsi="Times New Roman" w:eastAsia="Times New Roman" w:cs="Times New Roman"/>
          <w:spacing w:val="33"/>
          <w:w w:val="101"/>
          <w:sz w:val="24"/>
          <w:szCs w:val="24"/>
        </w:rPr>
        <w:t xml:space="preserve"> </w:t>
      </w:r>
      <w:r>
        <w:rPr>
          <w:spacing w:val="-1"/>
          <w:sz w:val="24"/>
          <w:szCs w:val="24"/>
        </w:rPr>
        <w:t>万</w:t>
      </w:r>
      <w:r>
        <w:rPr>
          <w:spacing w:val="-39"/>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spacing w:val="-1"/>
          <w:sz w:val="24"/>
          <w:szCs w:val="24"/>
        </w:rPr>
        <w:t>。象山Ⅱ</w:t>
      </w:r>
      <w:r>
        <w:rPr>
          <w:rFonts w:ascii="Times New Roman" w:hAnsi="Times New Roman" w:eastAsia="Times New Roman" w:cs="Times New Roman"/>
          <w:spacing w:val="-1"/>
          <w:sz w:val="24"/>
          <w:szCs w:val="24"/>
        </w:rPr>
        <w:t>#</w:t>
      </w:r>
      <w:r>
        <w:rPr>
          <w:spacing w:val="-1"/>
          <w:sz w:val="24"/>
          <w:szCs w:val="24"/>
        </w:rPr>
        <w:t>石料场位于距象山Ⅰ</w:t>
      </w:r>
      <w:r>
        <w:rPr>
          <w:rFonts w:ascii="Times New Roman" w:hAnsi="Times New Roman" w:eastAsia="Times New Roman" w:cs="Times New Roman"/>
          <w:spacing w:val="-1"/>
          <w:sz w:val="24"/>
          <w:szCs w:val="24"/>
        </w:rPr>
        <w:t>#</w:t>
      </w:r>
      <w:r>
        <w:rPr>
          <w:spacing w:val="-1"/>
          <w:sz w:val="24"/>
          <w:szCs w:val="24"/>
        </w:rPr>
        <w:t>石料场约</w:t>
      </w:r>
      <w:r>
        <w:rPr>
          <w:spacing w:val="-50"/>
          <w:sz w:val="24"/>
          <w:szCs w:val="24"/>
        </w:rPr>
        <w:t xml:space="preserve"> </w:t>
      </w:r>
      <w:r>
        <w:rPr>
          <w:rFonts w:ascii="Times New Roman" w:hAnsi="Times New Roman" w:eastAsia="Times New Roman" w:cs="Times New Roman"/>
          <w:spacing w:val="-1"/>
          <w:sz w:val="24"/>
          <w:szCs w:val="24"/>
        </w:rPr>
        <w:t>200m~500m</w:t>
      </w:r>
      <w:r>
        <w:rPr>
          <w:rFonts w:ascii="Times New Roman" w:hAnsi="Times New Roman" w:eastAsia="Times New Roman" w:cs="Times New Roman"/>
          <w:spacing w:val="32"/>
          <w:w w:val="101"/>
          <w:sz w:val="24"/>
          <w:szCs w:val="24"/>
        </w:rPr>
        <w:t xml:space="preserve"> </w:t>
      </w:r>
      <w:r>
        <w:rPr>
          <w:spacing w:val="-1"/>
          <w:sz w:val="24"/>
          <w:szCs w:val="24"/>
        </w:rPr>
        <w:t>的车章河上游左、右岸，距坝址运距约</w:t>
      </w:r>
      <w:r>
        <w:rPr>
          <w:spacing w:val="-43"/>
          <w:sz w:val="24"/>
          <w:szCs w:val="24"/>
        </w:rPr>
        <w:t xml:space="preserve"> </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2"/>
          <w:sz w:val="24"/>
          <w:szCs w:val="24"/>
        </w:rPr>
        <w:t>.3km</w:t>
      </w:r>
      <w:r>
        <w:rPr>
          <w:spacing w:val="-2"/>
          <w:sz w:val="24"/>
          <w:szCs w:val="24"/>
        </w:rPr>
        <w:t>。大罗贵围堰土料场</w:t>
      </w:r>
      <w:r>
        <w:rPr>
          <w:spacing w:val="-4"/>
          <w:sz w:val="24"/>
          <w:szCs w:val="24"/>
        </w:rPr>
        <w:t>位于库内大罗贵村北面，马龙河与白塔河相交三角地带的一级阶地之上，至</w:t>
      </w:r>
      <w:r>
        <w:rPr>
          <w:spacing w:val="-5"/>
          <w:sz w:val="24"/>
          <w:szCs w:val="24"/>
        </w:rPr>
        <w:t>坝址区</w:t>
      </w:r>
      <w:r>
        <w:rPr>
          <w:spacing w:val="-2"/>
          <w:sz w:val="24"/>
          <w:szCs w:val="24"/>
        </w:rPr>
        <w:t>运距约</w:t>
      </w:r>
      <w:r>
        <w:rPr>
          <w:spacing w:val="-32"/>
          <w:sz w:val="24"/>
          <w:szCs w:val="24"/>
        </w:rPr>
        <w:t xml:space="preserve"> </w:t>
      </w:r>
      <w:r>
        <w:rPr>
          <w:rFonts w:ascii="Times New Roman" w:hAnsi="Times New Roman" w:eastAsia="Times New Roman" w:cs="Times New Roman"/>
          <w:spacing w:val="-2"/>
          <w:sz w:val="24"/>
          <w:szCs w:val="24"/>
        </w:rPr>
        <w:t>1.5km</w:t>
      </w:r>
      <w:r>
        <w:rPr>
          <w:spacing w:val="-2"/>
          <w:sz w:val="24"/>
          <w:szCs w:val="24"/>
        </w:rPr>
        <w:t>，分布高程</w:t>
      </w:r>
      <w:r>
        <w:rPr>
          <w:spacing w:val="-31"/>
          <w:sz w:val="24"/>
          <w:szCs w:val="24"/>
        </w:rPr>
        <w:t xml:space="preserve"> </w:t>
      </w:r>
      <w:r>
        <w:rPr>
          <w:rFonts w:ascii="Times New Roman" w:hAnsi="Times New Roman" w:eastAsia="Times New Roman" w:cs="Times New Roman"/>
          <w:spacing w:val="-2"/>
          <w:sz w:val="24"/>
          <w:szCs w:val="24"/>
        </w:rPr>
        <w:t>1900m~1903m</w:t>
      </w:r>
      <w:r>
        <w:rPr>
          <w:spacing w:val="-2"/>
          <w:sz w:val="24"/>
          <w:szCs w:val="24"/>
        </w:rPr>
        <w:t>，有用层储量</w:t>
      </w:r>
      <w:r>
        <w:rPr>
          <w:spacing w:val="-56"/>
          <w:sz w:val="24"/>
          <w:szCs w:val="24"/>
        </w:rPr>
        <w:t xml:space="preserve"> </w:t>
      </w:r>
      <w:r>
        <w:rPr>
          <w:rFonts w:ascii="Times New Roman" w:hAnsi="Times New Roman" w:eastAsia="Times New Roman" w:cs="Times New Roman"/>
          <w:spacing w:val="-2"/>
          <w:sz w:val="24"/>
          <w:szCs w:val="24"/>
        </w:rPr>
        <w:t>44.4</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5"/>
          <w:sz w:val="24"/>
          <w:szCs w:val="24"/>
        </w:rPr>
        <w:t xml:space="preserve"> </w:t>
      </w:r>
      <w:r>
        <w:rPr>
          <w:spacing w:val="-3"/>
          <w:sz w:val="24"/>
          <w:szCs w:val="24"/>
        </w:rPr>
        <w:t>万</w:t>
      </w:r>
      <w:r>
        <w:rPr>
          <w:spacing w:val="-57"/>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w:t>
      </w:r>
    </w:p>
    <w:p w14:paraId="168D8A48">
      <w:pPr>
        <w:pStyle w:val="2"/>
        <w:spacing w:before="5" w:line="338" w:lineRule="auto"/>
        <w:ind w:left="38" w:right="66" w:firstLine="480"/>
        <w:jc w:val="both"/>
        <w:rPr>
          <w:sz w:val="24"/>
          <w:szCs w:val="24"/>
        </w:rPr>
      </w:pPr>
      <w:r>
        <w:rPr>
          <w:spacing w:val="-1"/>
          <w:sz w:val="24"/>
          <w:szCs w:val="24"/>
        </w:rPr>
        <w:t xml:space="preserve">输水工程共选择石料场 </w:t>
      </w:r>
      <w:r>
        <w:rPr>
          <w:rFonts w:ascii="Times New Roman" w:hAnsi="Times New Roman" w:eastAsia="Times New Roman" w:cs="Times New Roman"/>
          <w:spacing w:val="-1"/>
          <w:sz w:val="24"/>
          <w:szCs w:val="24"/>
        </w:rPr>
        <w:t xml:space="preserve">2  </w:t>
      </w:r>
      <w:r>
        <w:rPr>
          <w:spacing w:val="-1"/>
          <w:sz w:val="24"/>
          <w:szCs w:val="24"/>
        </w:rPr>
        <w:t>个：尹堡石料场和新发村石料场。尹堡石料场位于王家庄公社南西方向约</w:t>
      </w:r>
      <w:r>
        <w:rPr>
          <w:spacing w:val="-31"/>
          <w:sz w:val="24"/>
          <w:szCs w:val="24"/>
        </w:rPr>
        <w:t xml:space="preserve"> </w:t>
      </w:r>
      <w:r>
        <w:rPr>
          <w:rFonts w:ascii="Times New Roman" w:hAnsi="Times New Roman" w:eastAsia="Times New Roman" w:cs="Times New Roman"/>
          <w:spacing w:val="-1"/>
          <w:sz w:val="24"/>
          <w:szCs w:val="24"/>
        </w:rPr>
        <w:t>3km</w:t>
      </w:r>
      <w:r>
        <w:rPr>
          <w:rFonts w:ascii="Times New Roman" w:hAnsi="Times New Roman" w:eastAsia="Times New Roman" w:cs="Times New Roman"/>
          <w:spacing w:val="32"/>
          <w:sz w:val="24"/>
          <w:szCs w:val="24"/>
        </w:rPr>
        <w:t xml:space="preserve"> </w:t>
      </w:r>
      <w:r>
        <w:rPr>
          <w:spacing w:val="-1"/>
          <w:sz w:val="24"/>
          <w:szCs w:val="24"/>
        </w:rPr>
        <w:t>处，尹堡村以西</w:t>
      </w:r>
      <w:r>
        <w:rPr>
          <w:spacing w:val="-2"/>
          <w:sz w:val="24"/>
          <w:szCs w:val="24"/>
        </w:rPr>
        <w:t>，该料场现由私人开采，具备完整的</w:t>
      </w:r>
      <w:r>
        <w:rPr>
          <w:spacing w:val="-3"/>
          <w:sz w:val="24"/>
          <w:szCs w:val="24"/>
        </w:rPr>
        <w:t>砂石骨料加工系统，系统生产能力为</w:t>
      </w:r>
      <w:r>
        <w:rPr>
          <w:spacing w:val="-32"/>
          <w:sz w:val="24"/>
          <w:szCs w:val="24"/>
        </w:rPr>
        <w:t xml:space="preserve"> </w:t>
      </w:r>
      <w:r>
        <w:rPr>
          <w:rFonts w:ascii="Times New Roman" w:hAnsi="Times New Roman" w:eastAsia="Times New Roman" w:cs="Times New Roman"/>
          <w:spacing w:val="-3"/>
          <w:sz w:val="24"/>
          <w:szCs w:val="24"/>
        </w:rPr>
        <w:t>180t/h</w:t>
      </w:r>
      <w:r>
        <w:rPr>
          <w:spacing w:val="-3"/>
          <w:sz w:val="24"/>
          <w:szCs w:val="24"/>
        </w:rPr>
        <w:t>。新发村石料场</w:t>
      </w:r>
      <w:r>
        <w:rPr>
          <w:spacing w:val="-4"/>
          <w:sz w:val="24"/>
          <w:szCs w:val="24"/>
        </w:rPr>
        <w:t>位于输水隧洞中部北侧</w:t>
      </w:r>
      <w:r>
        <w:rPr>
          <w:spacing w:val="1"/>
          <w:sz w:val="24"/>
          <w:szCs w:val="24"/>
        </w:rPr>
        <w:t>煤机厂以西约</w:t>
      </w:r>
      <w:r>
        <w:rPr>
          <w:spacing w:val="-34"/>
          <w:sz w:val="24"/>
          <w:szCs w:val="24"/>
        </w:rPr>
        <w:t xml:space="preserve"> </w:t>
      </w:r>
      <w:r>
        <w:rPr>
          <w:rFonts w:ascii="Times New Roman" w:hAnsi="Times New Roman" w:eastAsia="Times New Roman" w:cs="Times New Roman"/>
          <w:spacing w:val="1"/>
          <w:sz w:val="24"/>
          <w:szCs w:val="24"/>
        </w:rPr>
        <w:t xml:space="preserve">700m </w:t>
      </w:r>
      <w:r>
        <w:rPr>
          <w:spacing w:val="1"/>
          <w:sz w:val="24"/>
          <w:szCs w:val="24"/>
        </w:rPr>
        <w:t>处，直线距离输水隧洞约</w:t>
      </w:r>
      <w:r>
        <w:rPr>
          <w:rFonts w:ascii="Times New Roman" w:hAnsi="Times New Roman" w:eastAsia="Times New Roman" w:cs="Times New Roman"/>
          <w:spacing w:val="1"/>
          <w:sz w:val="24"/>
          <w:szCs w:val="24"/>
        </w:rPr>
        <w:t>4.5</w:t>
      </w:r>
      <w:r>
        <w:rPr>
          <w:rFonts w:ascii="Times New Roman" w:hAnsi="Times New Roman" w:eastAsia="Times New Roman" w:cs="Times New Roman"/>
          <w:sz w:val="24"/>
          <w:szCs w:val="24"/>
        </w:rPr>
        <w:t>km</w:t>
      </w:r>
      <w:r>
        <w:rPr>
          <w:spacing w:val="1"/>
          <w:sz w:val="24"/>
          <w:szCs w:val="24"/>
        </w:rPr>
        <w:t>。</w:t>
      </w:r>
    </w:p>
    <w:p w14:paraId="18A5B901">
      <w:pPr>
        <w:spacing w:line="338" w:lineRule="auto"/>
        <w:rPr>
          <w:sz w:val="24"/>
          <w:szCs w:val="24"/>
        </w:rPr>
        <w:sectPr>
          <w:headerReference r:id="rId44" w:type="default"/>
          <w:footerReference r:id="rId45" w:type="default"/>
          <w:pgSz w:w="11907" w:h="16839"/>
          <w:pgMar w:top="1376" w:right="1633" w:bottom="1061" w:left="1671" w:header="999" w:footer="861" w:gutter="0"/>
          <w:cols w:space="720" w:num="1"/>
        </w:sectPr>
      </w:pPr>
    </w:p>
    <w:p w14:paraId="5D759E1B">
      <w:pPr>
        <w:spacing w:line="455" w:lineRule="auto"/>
        <w:rPr>
          <w:rFonts w:ascii="Arial"/>
          <w:sz w:val="21"/>
        </w:rPr>
      </w:pPr>
    </w:p>
    <w:p w14:paraId="0212C8E5">
      <w:pPr>
        <w:pStyle w:val="2"/>
        <w:spacing w:before="78" w:line="331" w:lineRule="auto"/>
        <w:ind w:left="40" w:firstLine="478"/>
        <w:rPr>
          <w:sz w:val="24"/>
          <w:szCs w:val="24"/>
        </w:rPr>
      </w:pPr>
      <w:r>
        <w:rPr>
          <w:spacing w:val="-2"/>
          <w:sz w:val="24"/>
          <w:szCs w:val="24"/>
        </w:rPr>
        <w:t>据现场调查，车马碧枢纽工程仅启用了象山</w:t>
      </w:r>
      <w:r>
        <w:rPr>
          <w:spacing w:val="-12"/>
          <w:sz w:val="24"/>
          <w:szCs w:val="24"/>
        </w:rPr>
        <w:t xml:space="preserve"> </w:t>
      </w:r>
      <w:r>
        <w:rPr>
          <w:spacing w:val="-2"/>
          <w:sz w:val="24"/>
          <w:szCs w:val="24"/>
        </w:rPr>
        <w:t>Ⅰ</w:t>
      </w:r>
      <w:r>
        <w:rPr>
          <w:rFonts w:ascii="Times New Roman" w:hAnsi="Times New Roman" w:eastAsia="Times New Roman" w:cs="Times New Roman"/>
          <w:spacing w:val="-2"/>
          <w:sz w:val="24"/>
          <w:szCs w:val="24"/>
        </w:rPr>
        <w:t>#</w:t>
      </w:r>
      <w:r>
        <w:rPr>
          <w:spacing w:val="-2"/>
          <w:sz w:val="24"/>
          <w:szCs w:val="24"/>
        </w:rPr>
        <w:t>石料场。输水工程利用洞渣，</w:t>
      </w:r>
      <w:r>
        <w:rPr>
          <w:spacing w:val="-5"/>
          <w:sz w:val="24"/>
          <w:szCs w:val="24"/>
        </w:rPr>
        <w:t>两个石料场均未启用。</w:t>
      </w:r>
    </w:p>
    <w:p w14:paraId="6AD19924">
      <w:pPr>
        <w:pStyle w:val="2"/>
        <w:spacing w:before="20" w:line="234" w:lineRule="auto"/>
        <w:ind w:left="528"/>
        <w:rPr>
          <w:sz w:val="24"/>
          <w:szCs w:val="24"/>
        </w:rPr>
      </w:pPr>
      <w:r>
        <w:rPr>
          <w:b/>
          <w:bCs/>
          <w:spacing w:val="-7"/>
          <w:sz w:val="24"/>
          <w:szCs w:val="24"/>
        </w:rPr>
        <w:t>（</w:t>
      </w:r>
      <w:r>
        <w:rPr>
          <w:rFonts w:ascii="Times New Roman" w:hAnsi="Times New Roman" w:eastAsia="Times New Roman" w:cs="Times New Roman"/>
          <w:b/>
          <w:bCs/>
          <w:spacing w:val="-7"/>
          <w:sz w:val="24"/>
          <w:szCs w:val="24"/>
        </w:rPr>
        <w:t>3</w:t>
      </w:r>
      <w:r>
        <w:rPr>
          <w:b/>
          <w:bCs/>
          <w:spacing w:val="-7"/>
          <w:sz w:val="24"/>
          <w:szCs w:val="24"/>
        </w:rPr>
        <w:t>）渣场</w:t>
      </w:r>
    </w:p>
    <w:p w14:paraId="665ECC60">
      <w:pPr>
        <w:pStyle w:val="2"/>
        <w:spacing w:before="136" w:line="338" w:lineRule="auto"/>
        <w:ind w:left="35" w:right="66" w:firstLine="484"/>
        <w:jc w:val="both"/>
        <w:rPr>
          <w:sz w:val="24"/>
          <w:szCs w:val="24"/>
        </w:rPr>
      </w:pPr>
      <w:r>
        <w:rPr>
          <w:spacing w:val="-2"/>
          <w:sz w:val="24"/>
          <w:szCs w:val="24"/>
        </w:rPr>
        <w:t>环评阶段枢纽工程区设置</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16"/>
          <w:sz w:val="24"/>
          <w:szCs w:val="24"/>
        </w:rPr>
        <w:t xml:space="preserve"> </w:t>
      </w:r>
      <w:r>
        <w:rPr>
          <w:spacing w:val="-2"/>
          <w:sz w:val="24"/>
          <w:szCs w:val="24"/>
        </w:rPr>
        <w:t>个弃渣场。其中</w:t>
      </w:r>
      <w:r>
        <w:rPr>
          <w:rFonts w:ascii="Times New Roman" w:hAnsi="Times New Roman" w:eastAsia="Times New Roman" w:cs="Times New Roman"/>
          <w:spacing w:val="-2"/>
          <w:sz w:val="24"/>
          <w:szCs w:val="24"/>
        </w:rPr>
        <w:t>1#</w:t>
      </w:r>
      <w:r>
        <w:rPr>
          <w:spacing w:val="-2"/>
          <w:sz w:val="24"/>
          <w:szCs w:val="24"/>
        </w:rPr>
        <w:t>弃渣场位于坝址下游左岸冲沟，</w:t>
      </w:r>
      <w:r>
        <w:rPr>
          <w:sz w:val="24"/>
          <w:szCs w:val="24"/>
        </w:rPr>
        <w:t xml:space="preserve"> </w:t>
      </w:r>
      <w:r>
        <w:rPr>
          <w:rFonts w:ascii="Times New Roman" w:hAnsi="Times New Roman" w:eastAsia="Times New Roman" w:cs="Times New Roman"/>
          <w:spacing w:val="-4"/>
          <w:sz w:val="24"/>
          <w:szCs w:val="24"/>
        </w:rPr>
        <w:t>2#</w:t>
      </w:r>
      <w:r>
        <w:rPr>
          <w:spacing w:val="-4"/>
          <w:sz w:val="24"/>
          <w:szCs w:val="24"/>
        </w:rPr>
        <w:t>弃渣场位于库内大罗贵附近，</w:t>
      </w:r>
      <w:r>
        <w:rPr>
          <w:rFonts w:ascii="Times New Roman" w:hAnsi="Times New Roman" w:eastAsia="Times New Roman" w:cs="Times New Roman"/>
          <w:spacing w:val="-4"/>
          <w:sz w:val="24"/>
          <w:szCs w:val="24"/>
        </w:rPr>
        <w:t>3#</w:t>
      </w:r>
      <w:r>
        <w:rPr>
          <w:spacing w:val="-4"/>
          <w:sz w:val="24"/>
          <w:szCs w:val="24"/>
        </w:rPr>
        <w:t>弃渣场位于象山石料场附近。输水隧洞沿线设置</w:t>
      </w:r>
      <w:r>
        <w:rPr>
          <w:rFonts w:ascii="Times New Roman" w:hAnsi="Times New Roman" w:eastAsia="Times New Roman" w:cs="Times New Roman"/>
          <w:spacing w:val="-5"/>
          <w:sz w:val="24"/>
          <w:szCs w:val="24"/>
        </w:rPr>
        <w:t xml:space="preserve">11 </w:t>
      </w:r>
      <w:r>
        <w:rPr>
          <w:spacing w:val="-5"/>
          <w:sz w:val="24"/>
          <w:szCs w:val="24"/>
        </w:rPr>
        <w:t>个弃渣场。</w:t>
      </w:r>
    </w:p>
    <w:p w14:paraId="7709F789">
      <w:pPr>
        <w:pStyle w:val="2"/>
        <w:spacing w:before="1" w:line="338" w:lineRule="auto"/>
        <w:ind w:left="38" w:right="65" w:firstLine="480"/>
        <w:jc w:val="both"/>
        <w:rPr>
          <w:sz w:val="24"/>
          <w:szCs w:val="24"/>
        </w:rPr>
      </w:pPr>
      <w:r>
        <w:rPr>
          <w:spacing w:val="-1"/>
          <w:sz w:val="24"/>
          <w:szCs w:val="24"/>
        </w:rPr>
        <w:t xml:space="preserve">据调查，枢纽区 </w:t>
      </w:r>
      <w:r>
        <w:rPr>
          <w:rFonts w:ascii="Times New Roman" w:hAnsi="Times New Roman" w:eastAsia="Times New Roman" w:cs="Times New Roman"/>
          <w:spacing w:val="-1"/>
          <w:sz w:val="24"/>
          <w:szCs w:val="24"/>
        </w:rPr>
        <w:t>2#</w:t>
      </w:r>
      <w:r>
        <w:rPr>
          <w:spacing w:val="-1"/>
          <w:sz w:val="24"/>
          <w:szCs w:val="24"/>
        </w:rPr>
        <w:t>弃渣场未启用，</w:t>
      </w:r>
      <w:r>
        <w:rPr>
          <w:rFonts w:ascii="Times New Roman" w:hAnsi="Times New Roman" w:eastAsia="Times New Roman" w:cs="Times New Roman"/>
          <w:spacing w:val="-1"/>
          <w:sz w:val="24"/>
          <w:szCs w:val="24"/>
        </w:rPr>
        <w:t>1#</w:t>
      </w:r>
      <w:r>
        <w:rPr>
          <w:spacing w:val="-1"/>
          <w:sz w:val="24"/>
          <w:szCs w:val="24"/>
        </w:rPr>
        <w:t>弃渣场由于受鱼道布置影响调整到马龙</w:t>
      </w:r>
      <w:r>
        <w:rPr>
          <w:spacing w:val="-8"/>
          <w:sz w:val="24"/>
          <w:szCs w:val="24"/>
        </w:rPr>
        <w:t>河右岸（鱼类增殖站对面）。输水工程区保家营渣场取消，共启用了</w:t>
      </w:r>
      <w:r>
        <w:rPr>
          <w:spacing w:val="-21"/>
          <w:sz w:val="24"/>
          <w:szCs w:val="24"/>
        </w:rPr>
        <w:t xml:space="preserve"> </w:t>
      </w:r>
      <w:r>
        <w:rPr>
          <w:rFonts w:ascii="Times New Roman" w:hAnsi="Times New Roman" w:eastAsia="Times New Roman" w:cs="Times New Roman"/>
          <w:spacing w:val="-8"/>
          <w:sz w:val="24"/>
          <w:szCs w:val="24"/>
        </w:rPr>
        <w:t xml:space="preserve">10 </w:t>
      </w:r>
      <w:r>
        <w:rPr>
          <w:spacing w:val="-8"/>
          <w:sz w:val="24"/>
          <w:szCs w:val="24"/>
        </w:rPr>
        <w:t>个弃渣场，</w:t>
      </w:r>
      <w:r>
        <w:rPr>
          <w:spacing w:val="-2"/>
          <w:sz w:val="24"/>
          <w:szCs w:val="24"/>
        </w:rPr>
        <w:t>各渣场具体情况见表</w:t>
      </w:r>
      <w:r>
        <w:rPr>
          <w:spacing w:val="-39"/>
          <w:sz w:val="24"/>
          <w:szCs w:val="24"/>
        </w:rPr>
        <w:t xml:space="preserve"> </w:t>
      </w:r>
      <w:r>
        <w:rPr>
          <w:rFonts w:ascii="Times New Roman" w:hAnsi="Times New Roman" w:eastAsia="Times New Roman" w:cs="Times New Roman"/>
          <w:spacing w:val="-2"/>
          <w:sz w:val="24"/>
          <w:szCs w:val="24"/>
        </w:rPr>
        <w:t>3.1-5</w:t>
      </w:r>
      <w:r>
        <w:rPr>
          <w:spacing w:val="-2"/>
          <w:sz w:val="24"/>
          <w:szCs w:val="24"/>
        </w:rPr>
        <w:t>。</w:t>
      </w:r>
    </w:p>
    <w:p w14:paraId="0EA82011">
      <w:pPr>
        <w:pStyle w:val="2"/>
        <w:spacing w:before="1" w:line="225"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3.1.5                                      </w:t>
      </w:r>
      <w:r>
        <w:rPr>
          <w:b/>
          <w:bCs/>
          <w:sz w:val="24"/>
          <w:szCs w:val="24"/>
        </w:rPr>
        <w:t>工程弃渣统计情况表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3"/>
        <w:gridCol w:w="428"/>
        <w:gridCol w:w="2027"/>
        <w:gridCol w:w="1271"/>
        <w:gridCol w:w="1414"/>
        <w:gridCol w:w="2540"/>
      </w:tblGrid>
      <w:tr w14:paraId="50E8F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1" w:hRule="atLeast"/>
        </w:trPr>
        <w:tc>
          <w:tcPr>
            <w:tcW w:w="793" w:type="dxa"/>
            <w:tcBorders>
              <w:top w:val="single" w:color="000000" w:sz="12" w:space="0"/>
              <w:left w:val="single" w:color="000000" w:sz="12" w:space="0"/>
            </w:tcBorders>
            <w:vAlign w:val="top"/>
          </w:tcPr>
          <w:p w14:paraId="13BB8C1D">
            <w:pPr>
              <w:spacing w:before="88" w:line="220" w:lineRule="auto"/>
              <w:ind w:left="70"/>
              <w:rPr>
                <w:rFonts w:ascii="宋体" w:hAnsi="宋体" w:eastAsia="宋体" w:cs="宋体"/>
                <w:sz w:val="21"/>
                <w:szCs w:val="21"/>
              </w:rPr>
            </w:pPr>
            <w:r>
              <w:rPr>
                <w:rFonts w:ascii="宋体" w:hAnsi="宋体" w:eastAsia="宋体" w:cs="宋体"/>
                <w:spacing w:val="-3"/>
                <w:sz w:val="21"/>
                <w:szCs w:val="21"/>
              </w:rPr>
              <w:t>工程区</w:t>
            </w:r>
          </w:p>
        </w:tc>
        <w:tc>
          <w:tcPr>
            <w:tcW w:w="2455" w:type="dxa"/>
            <w:gridSpan w:val="2"/>
            <w:tcBorders>
              <w:top w:val="single" w:color="000000" w:sz="12" w:space="0"/>
            </w:tcBorders>
            <w:vAlign w:val="top"/>
          </w:tcPr>
          <w:p w14:paraId="56C77DE8">
            <w:pPr>
              <w:spacing w:before="87" w:line="220" w:lineRule="auto"/>
              <w:ind w:left="699"/>
              <w:rPr>
                <w:rFonts w:ascii="宋体" w:hAnsi="宋体" w:eastAsia="宋体" w:cs="宋体"/>
                <w:sz w:val="21"/>
                <w:szCs w:val="21"/>
              </w:rPr>
            </w:pPr>
            <w:r>
              <w:rPr>
                <w:rFonts w:ascii="宋体" w:hAnsi="宋体" w:eastAsia="宋体" w:cs="宋体"/>
                <w:spacing w:val="-2"/>
                <w:sz w:val="21"/>
                <w:szCs w:val="21"/>
              </w:rPr>
              <w:t>弃渣场名称</w:t>
            </w:r>
          </w:p>
        </w:tc>
        <w:tc>
          <w:tcPr>
            <w:tcW w:w="1271" w:type="dxa"/>
            <w:tcBorders>
              <w:top w:val="single" w:color="000000" w:sz="12" w:space="0"/>
            </w:tcBorders>
            <w:vAlign w:val="top"/>
          </w:tcPr>
          <w:p w14:paraId="1EEB50DF">
            <w:pPr>
              <w:spacing w:before="87" w:line="220" w:lineRule="auto"/>
              <w:ind w:left="426"/>
              <w:rPr>
                <w:rFonts w:ascii="宋体" w:hAnsi="宋体" w:eastAsia="宋体" w:cs="宋体"/>
                <w:sz w:val="21"/>
                <w:szCs w:val="21"/>
              </w:rPr>
            </w:pPr>
            <w:r>
              <w:rPr>
                <w:rFonts w:ascii="宋体" w:hAnsi="宋体" w:eastAsia="宋体" w:cs="宋体"/>
                <w:spacing w:val="-3"/>
                <w:sz w:val="21"/>
                <w:szCs w:val="21"/>
              </w:rPr>
              <w:t>类型</w:t>
            </w:r>
          </w:p>
        </w:tc>
        <w:tc>
          <w:tcPr>
            <w:tcW w:w="1414" w:type="dxa"/>
            <w:tcBorders>
              <w:top w:val="single" w:color="000000" w:sz="12" w:space="0"/>
            </w:tcBorders>
            <w:vAlign w:val="top"/>
          </w:tcPr>
          <w:p w14:paraId="3061DDD5">
            <w:pPr>
              <w:pStyle w:val="6"/>
              <w:spacing w:before="88" w:line="227" w:lineRule="auto"/>
              <w:ind w:left="72"/>
              <w:rPr>
                <w:rFonts w:ascii="宋体" w:hAnsi="宋体" w:eastAsia="宋体" w:cs="宋体"/>
              </w:rPr>
            </w:pPr>
            <w:r>
              <w:rPr>
                <w:rFonts w:ascii="宋体" w:hAnsi="宋体" w:eastAsia="宋体" w:cs="宋体"/>
                <w:spacing w:val="-2"/>
              </w:rPr>
              <w:t>堆渣量（</w:t>
            </w:r>
            <w:r>
              <w:rPr>
                <w:spacing w:val="-2"/>
              </w:rPr>
              <w:t>m</w:t>
            </w:r>
            <w:r>
              <w:rPr>
                <w:spacing w:val="-2"/>
                <w:position w:val="1"/>
                <w:sz w:val="14"/>
                <w:szCs w:val="14"/>
              </w:rPr>
              <w:t>3</w:t>
            </w:r>
            <w:r>
              <w:rPr>
                <w:rFonts w:ascii="宋体" w:hAnsi="宋体" w:eastAsia="宋体" w:cs="宋体"/>
                <w:spacing w:val="-2"/>
                <w:position w:val="1"/>
              </w:rPr>
              <w:t>）</w:t>
            </w:r>
          </w:p>
        </w:tc>
        <w:tc>
          <w:tcPr>
            <w:tcW w:w="2540" w:type="dxa"/>
            <w:tcBorders>
              <w:top w:val="single" w:color="000000" w:sz="12" w:space="0"/>
              <w:right w:val="single" w:color="000000" w:sz="12" w:space="0"/>
            </w:tcBorders>
            <w:vAlign w:val="top"/>
          </w:tcPr>
          <w:p w14:paraId="3BD33648">
            <w:pPr>
              <w:spacing w:before="87" w:line="220" w:lineRule="auto"/>
              <w:ind w:left="860"/>
              <w:rPr>
                <w:rFonts w:ascii="宋体" w:hAnsi="宋体" w:eastAsia="宋体" w:cs="宋体"/>
                <w:sz w:val="21"/>
                <w:szCs w:val="21"/>
              </w:rPr>
            </w:pPr>
            <w:r>
              <w:rPr>
                <w:rFonts w:ascii="宋体" w:hAnsi="宋体" w:eastAsia="宋体" w:cs="宋体"/>
                <w:spacing w:val="-3"/>
                <w:sz w:val="21"/>
                <w:szCs w:val="21"/>
              </w:rPr>
              <w:t>弃渣来源</w:t>
            </w:r>
          </w:p>
        </w:tc>
      </w:tr>
      <w:tr w14:paraId="42ED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restart"/>
            <w:tcBorders>
              <w:left w:val="single" w:color="000000" w:sz="12" w:space="0"/>
              <w:bottom w:val="nil"/>
            </w:tcBorders>
            <w:vAlign w:val="top"/>
          </w:tcPr>
          <w:p w14:paraId="40634B01">
            <w:pPr>
              <w:spacing w:line="418" w:lineRule="auto"/>
              <w:rPr>
                <w:rFonts w:ascii="Arial"/>
                <w:sz w:val="21"/>
              </w:rPr>
            </w:pPr>
          </w:p>
          <w:p w14:paraId="06EE8853">
            <w:pPr>
              <w:spacing w:before="69" w:line="220" w:lineRule="auto"/>
              <w:ind w:left="67"/>
              <w:rPr>
                <w:rFonts w:ascii="宋体" w:hAnsi="宋体" w:eastAsia="宋体" w:cs="宋体"/>
                <w:sz w:val="21"/>
                <w:szCs w:val="21"/>
              </w:rPr>
            </w:pPr>
            <w:r>
              <w:rPr>
                <w:rFonts w:ascii="宋体" w:hAnsi="宋体" w:eastAsia="宋体" w:cs="宋体"/>
                <w:spacing w:val="-2"/>
                <w:sz w:val="21"/>
                <w:szCs w:val="21"/>
              </w:rPr>
              <w:t>枢纽区</w:t>
            </w:r>
          </w:p>
        </w:tc>
        <w:tc>
          <w:tcPr>
            <w:tcW w:w="428" w:type="dxa"/>
            <w:vAlign w:val="top"/>
          </w:tcPr>
          <w:p w14:paraId="17A07C3C">
            <w:pPr>
              <w:pStyle w:val="6"/>
              <w:spacing w:before="121" w:line="232" w:lineRule="auto"/>
              <w:ind w:left="116"/>
            </w:pPr>
            <w:r>
              <w:rPr>
                <w:spacing w:val="-12"/>
              </w:rPr>
              <w:t>1#</w:t>
            </w:r>
          </w:p>
        </w:tc>
        <w:tc>
          <w:tcPr>
            <w:tcW w:w="2027" w:type="dxa"/>
            <w:vAlign w:val="top"/>
          </w:tcPr>
          <w:p w14:paraId="08DAC0F6">
            <w:pPr>
              <w:pStyle w:val="6"/>
              <w:spacing w:before="88" w:line="233" w:lineRule="auto"/>
              <w:ind w:left="245"/>
              <w:rPr>
                <w:rFonts w:ascii="宋体" w:hAnsi="宋体" w:eastAsia="宋体" w:cs="宋体"/>
              </w:rPr>
            </w:pPr>
            <w:r>
              <w:rPr>
                <w:rFonts w:ascii="宋体" w:hAnsi="宋体" w:eastAsia="宋体" w:cs="宋体"/>
                <w:spacing w:val="-4"/>
              </w:rPr>
              <w:t>枢纽区</w:t>
            </w:r>
            <w:r>
              <w:rPr>
                <w:rFonts w:ascii="宋体" w:hAnsi="宋体" w:eastAsia="宋体" w:cs="宋体"/>
                <w:spacing w:val="-28"/>
              </w:rPr>
              <w:t xml:space="preserve"> </w:t>
            </w:r>
            <w:r>
              <w:rPr>
                <w:spacing w:val="-4"/>
              </w:rPr>
              <w:t>1#</w:t>
            </w:r>
            <w:r>
              <w:rPr>
                <w:rFonts w:ascii="宋体" w:hAnsi="宋体" w:eastAsia="宋体" w:cs="宋体"/>
                <w:spacing w:val="-4"/>
              </w:rPr>
              <w:t>弃渣场</w:t>
            </w:r>
          </w:p>
        </w:tc>
        <w:tc>
          <w:tcPr>
            <w:tcW w:w="1271" w:type="dxa"/>
            <w:vAlign w:val="top"/>
          </w:tcPr>
          <w:p w14:paraId="5F021160">
            <w:pPr>
              <w:spacing w:before="88"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21FF291D">
            <w:pPr>
              <w:pStyle w:val="6"/>
              <w:spacing w:before="121" w:line="232" w:lineRule="auto"/>
              <w:ind w:left="393"/>
            </w:pPr>
            <w:r>
              <w:rPr>
                <w:spacing w:val="-1"/>
              </w:rPr>
              <w:t>480732</w:t>
            </w:r>
          </w:p>
        </w:tc>
        <w:tc>
          <w:tcPr>
            <w:tcW w:w="2540" w:type="dxa"/>
            <w:tcBorders>
              <w:right w:val="single" w:color="000000" w:sz="12" w:space="0"/>
            </w:tcBorders>
            <w:vAlign w:val="top"/>
          </w:tcPr>
          <w:p w14:paraId="295F6281">
            <w:pPr>
              <w:spacing w:before="87" w:line="220" w:lineRule="auto"/>
              <w:ind w:left="229"/>
              <w:rPr>
                <w:rFonts w:ascii="宋体" w:hAnsi="宋体" w:eastAsia="宋体" w:cs="宋体"/>
                <w:sz w:val="21"/>
                <w:szCs w:val="21"/>
              </w:rPr>
            </w:pPr>
            <w:r>
              <w:rPr>
                <w:rFonts w:ascii="宋体" w:hAnsi="宋体" w:eastAsia="宋体" w:cs="宋体"/>
                <w:spacing w:val="-1"/>
                <w:sz w:val="21"/>
                <w:szCs w:val="21"/>
              </w:rPr>
              <w:t>大坝、溢洪道、鱼道等</w:t>
            </w:r>
          </w:p>
        </w:tc>
      </w:tr>
      <w:tr w14:paraId="7626F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045A1501">
            <w:pPr>
              <w:rPr>
                <w:rFonts w:ascii="Arial"/>
                <w:sz w:val="21"/>
              </w:rPr>
            </w:pPr>
          </w:p>
        </w:tc>
        <w:tc>
          <w:tcPr>
            <w:tcW w:w="428" w:type="dxa"/>
            <w:vAlign w:val="top"/>
          </w:tcPr>
          <w:p w14:paraId="66421FC1">
            <w:pPr>
              <w:pStyle w:val="6"/>
              <w:spacing w:before="123" w:line="232" w:lineRule="auto"/>
              <w:ind w:left="96"/>
            </w:pPr>
            <w:r>
              <w:rPr>
                <w:spacing w:val="-1"/>
              </w:rPr>
              <w:t>2#</w:t>
            </w:r>
          </w:p>
        </w:tc>
        <w:tc>
          <w:tcPr>
            <w:tcW w:w="2027" w:type="dxa"/>
            <w:vAlign w:val="top"/>
          </w:tcPr>
          <w:p w14:paraId="448421FF">
            <w:pPr>
              <w:pStyle w:val="6"/>
              <w:spacing w:before="90" w:line="233" w:lineRule="auto"/>
              <w:ind w:left="245"/>
              <w:rPr>
                <w:rFonts w:ascii="宋体" w:hAnsi="宋体" w:eastAsia="宋体" w:cs="宋体"/>
              </w:rPr>
            </w:pPr>
            <w:r>
              <w:rPr>
                <w:rFonts w:ascii="宋体" w:hAnsi="宋体" w:eastAsia="宋体" w:cs="宋体"/>
                <w:spacing w:val="-2"/>
              </w:rPr>
              <w:t>枢纽区</w:t>
            </w:r>
            <w:r>
              <w:rPr>
                <w:rFonts w:ascii="宋体" w:hAnsi="宋体" w:eastAsia="宋体" w:cs="宋体"/>
                <w:spacing w:val="-44"/>
              </w:rPr>
              <w:t xml:space="preserve"> </w:t>
            </w:r>
            <w:r>
              <w:rPr>
                <w:spacing w:val="-2"/>
              </w:rPr>
              <w:t>2#</w:t>
            </w:r>
            <w:r>
              <w:rPr>
                <w:rFonts w:ascii="宋体" w:hAnsi="宋体" w:eastAsia="宋体" w:cs="宋体"/>
                <w:spacing w:val="-2"/>
              </w:rPr>
              <w:t>弃渣场</w:t>
            </w:r>
          </w:p>
        </w:tc>
        <w:tc>
          <w:tcPr>
            <w:tcW w:w="1271" w:type="dxa"/>
            <w:vAlign w:val="top"/>
          </w:tcPr>
          <w:p w14:paraId="0100AEC2">
            <w:pPr>
              <w:spacing w:before="89" w:line="220" w:lineRule="auto"/>
              <w:ind w:left="322"/>
              <w:rPr>
                <w:rFonts w:ascii="宋体" w:hAnsi="宋体" w:eastAsia="宋体" w:cs="宋体"/>
                <w:sz w:val="21"/>
                <w:szCs w:val="21"/>
              </w:rPr>
            </w:pPr>
            <w:r>
              <w:rPr>
                <w:rFonts w:ascii="宋体" w:hAnsi="宋体" w:eastAsia="宋体" w:cs="宋体"/>
                <w:spacing w:val="-3"/>
                <w:sz w:val="21"/>
                <w:szCs w:val="21"/>
              </w:rPr>
              <w:t>库区型</w:t>
            </w:r>
          </w:p>
        </w:tc>
        <w:tc>
          <w:tcPr>
            <w:tcW w:w="1414" w:type="dxa"/>
            <w:vAlign w:val="top"/>
          </w:tcPr>
          <w:p w14:paraId="2107DF02">
            <w:pPr>
              <w:pStyle w:val="6"/>
              <w:spacing w:before="124" w:line="232" w:lineRule="auto"/>
              <w:ind w:left="660"/>
            </w:pPr>
            <w:r>
              <w:t>0</w:t>
            </w:r>
          </w:p>
        </w:tc>
        <w:tc>
          <w:tcPr>
            <w:tcW w:w="2540" w:type="dxa"/>
            <w:tcBorders>
              <w:right w:val="single" w:color="000000" w:sz="12" w:space="0"/>
            </w:tcBorders>
            <w:vAlign w:val="top"/>
          </w:tcPr>
          <w:p w14:paraId="0305FD4C">
            <w:pPr>
              <w:spacing w:before="90" w:line="220" w:lineRule="auto"/>
              <w:ind w:left="965"/>
              <w:rPr>
                <w:rFonts w:ascii="宋体" w:hAnsi="宋体" w:eastAsia="宋体" w:cs="宋体"/>
                <w:sz w:val="21"/>
                <w:szCs w:val="21"/>
              </w:rPr>
            </w:pPr>
            <w:r>
              <w:rPr>
                <w:rFonts w:ascii="宋体" w:hAnsi="宋体" w:eastAsia="宋体" w:cs="宋体"/>
                <w:spacing w:val="-3"/>
                <w:sz w:val="21"/>
                <w:szCs w:val="21"/>
              </w:rPr>
              <w:t>未启用</w:t>
            </w:r>
          </w:p>
        </w:tc>
      </w:tr>
      <w:tr w14:paraId="69F9B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continue"/>
            <w:tcBorders>
              <w:top w:val="nil"/>
              <w:left w:val="single" w:color="000000" w:sz="12" w:space="0"/>
            </w:tcBorders>
            <w:vAlign w:val="top"/>
          </w:tcPr>
          <w:p w14:paraId="43AACB45">
            <w:pPr>
              <w:rPr>
                <w:rFonts w:ascii="Arial"/>
                <w:sz w:val="21"/>
              </w:rPr>
            </w:pPr>
          </w:p>
        </w:tc>
        <w:tc>
          <w:tcPr>
            <w:tcW w:w="428" w:type="dxa"/>
            <w:vAlign w:val="top"/>
          </w:tcPr>
          <w:p w14:paraId="496A1080">
            <w:pPr>
              <w:pStyle w:val="6"/>
              <w:spacing w:before="125" w:line="232" w:lineRule="auto"/>
              <w:ind w:left="100"/>
            </w:pPr>
            <w:r>
              <w:rPr>
                <w:spacing w:val="-3"/>
              </w:rPr>
              <w:t>3#</w:t>
            </w:r>
          </w:p>
        </w:tc>
        <w:tc>
          <w:tcPr>
            <w:tcW w:w="2027" w:type="dxa"/>
            <w:vAlign w:val="top"/>
          </w:tcPr>
          <w:p w14:paraId="0A76747B">
            <w:pPr>
              <w:pStyle w:val="6"/>
              <w:spacing w:before="92" w:line="233" w:lineRule="auto"/>
              <w:ind w:left="245"/>
              <w:rPr>
                <w:rFonts w:ascii="宋体" w:hAnsi="宋体" w:eastAsia="宋体" w:cs="宋体"/>
              </w:rPr>
            </w:pPr>
            <w:r>
              <w:rPr>
                <w:rFonts w:ascii="宋体" w:hAnsi="宋体" w:eastAsia="宋体" w:cs="宋体"/>
                <w:spacing w:val="-2"/>
              </w:rPr>
              <w:t>枢纽区</w:t>
            </w:r>
            <w:r>
              <w:rPr>
                <w:rFonts w:ascii="宋体" w:hAnsi="宋体" w:eastAsia="宋体" w:cs="宋体"/>
                <w:spacing w:val="-44"/>
              </w:rPr>
              <w:t xml:space="preserve"> </w:t>
            </w:r>
            <w:r>
              <w:rPr>
                <w:spacing w:val="-2"/>
              </w:rPr>
              <w:t>3#</w:t>
            </w:r>
            <w:r>
              <w:rPr>
                <w:rFonts w:ascii="宋体" w:hAnsi="宋体" w:eastAsia="宋体" w:cs="宋体"/>
                <w:spacing w:val="-2"/>
              </w:rPr>
              <w:t>弃渣场</w:t>
            </w:r>
          </w:p>
        </w:tc>
        <w:tc>
          <w:tcPr>
            <w:tcW w:w="1271" w:type="dxa"/>
            <w:vAlign w:val="top"/>
          </w:tcPr>
          <w:p w14:paraId="58ED8FD9">
            <w:pPr>
              <w:spacing w:before="91" w:line="220" w:lineRule="auto"/>
              <w:ind w:left="322"/>
              <w:rPr>
                <w:rFonts w:ascii="宋体" w:hAnsi="宋体" w:eastAsia="宋体" w:cs="宋体"/>
                <w:sz w:val="21"/>
                <w:szCs w:val="21"/>
              </w:rPr>
            </w:pPr>
            <w:r>
              <w:rPr>
                <w:rFonts w:ascii="宋体" w:hAnsi="宋体" w:eastAsia="宋体" w:cs="宋体"/>
                <w:spacing w:val="-3"/>
                <w:sz w:val="21"/>
                <w:szCs w:val="21"/>
              </w:rPr>
              <w:t>库区型</w:t>
            </w:r>
          </w:p>
        </w:tc>
        <w:tc>
          <w:tcPr>
            <w:tcW w:w="1414" w:type="dxa"/>
            <w:vAlign w:val="top"/>
          </w:tcPr>
          <w:p w14:paraId="5FDE8749">
            <w:pPr>
              <w:pStyle w:val="6"/>
              <w:spacing w:before="126" w:line="232" w:lineRule="auto"/>
              <w:ind w:left="447"/>
            </w:pPr>
            <w:r>
              <w:rPr>
                <w:spacing w:val="-1"/>
              </w:rPr>
              <w:t>21125</w:t>
            </w:r>
          </w:p>
        </w:tc>
        <w:tc>
          <w:tcPr>
            <w:tcW w:w="2540" w:type="dxa"/>
            <w:tcBorders>
              <w:right w:val="single" w:color="000000" w:sz="12" w:space="0"/>
            </w:tcBorders>
            <w:vAlign w:val="top"/>
          </w:tcPr>
          <w:p w14:paraId="42B51EDE">
            <w:pPr>
              <w:spacing w:before="91" w:line="220" w:lineRule="auto"/>
              <w:ind w:left="332"/>
              <w:rPr>
                <w:rFonts w:ascii="宋体" w:hAnsi="宋体" w:eastAsia="宋体" w:cs="宋体"/>
                <w:sz w:val="21"/>
                <w:szCs w:val="21"/>
              </w:rPr>
            </w:pPr>
            <w:r>
              <w:rPr>
                <w:rFonts w:ascii="宋体" w:hAnsi="宋体" w:eastAsia="宋体" w:cs="宋体"/>
                <w:spacing w:val="-1"/>
                <w:sz w:val="21"/>
                <w:szCs w:val="21"/>
              </w:rPr>
              <w:t>石料场无用层剥离料</w:t>
            </w:r>
          </w:p>
        </w:tc>
      </w:tr>
      <w:tr w14:paraId="7461F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restart"/>
            <w:tcBorders>
              <w:left w:val="single" w:color="000000" w:sz="12" w:space="0"/>
              <w:bottom w:val="nil"/>
            </w:tcBorders>
            <w:vAlign w:val="top"/>
          </w:tcPr>
          <w:p w14:paraId="00AE875E">
            <w:pPr>
              <w:spacing w:line="269" w:lineRule="auto"/>
              <w:rPr>
                <w:rFonts w:ascii="Arial"/>
                <w:sz w:val="21"/>
              </w:rPr>
            </w:pPr>
          </w:p>
          <w:p w14:paraId="3E6D0E31">
            <w:pPr>
              <w:spacing w:line="269" w:lineRule="auto"/>
              <w:rPr>
                <w:rFonts w:ascii="Arial"/>
                <w:sz w:val="21"/>
              </w:rPr>
            </w:pPr>
          </w:p>
          <w:p w14:paraId="1E47D62D">
            <w:pPr>
              <w:spacing w:line="269" w:lineRule="auto"/>
              <w:rPr>
                <w:rFonts w:ascii="Arial"/>
                <w:sz w:val="21"/>
              </w:rPr>
            </w:pPr>
          </w:p>
          <w:p w14:paraId="28390E1C">
            <w:pPr>
              <w:spacing w:line="269" w:lineRule="auto"/>
              <w:rPr>
                <w:rFonts w:ascii="Arial"/>
                <w:sz w:val="21"/>
              </w:rPr>
            </w:pPr>
          </w:p>
          <w:p w14:paraId="64FA481B">
            <w:pPr>
              <w:spacing w:line="269" w:lineRule="auto"/>
              <w:rPr>
                <w:rFonts w:ascii="Arial"/>
                <w:sz w:val="21"/>
              </w:rPr>
            </w:pPr>
          </w:p>
          <w:p w14:paraId="20913A39">
            <w:pPr>
              <w:spacing w:line="269" w:lineRule="auto"/>
              <w:rPr>
                <w:rFonts w:ascii="Arial"/>
                <w:sz w:val="21"/>
              </w:rPr>
            </w:pPr>
          </w:p>
          <w:p w14:paraId="7AFF456A">
            <w:pPr>
              <w:spacing w:line="269" w:lineRule="auto"/>
              <w:rPr>
                <w:rFonts w:ascii="Arial"/>
                <w:sz w:val="21"/>
              </w:rPr>
            </w:pPr>
          </w:p>
          <w:p w14:paraId="7FD2571F">
            <w:pPr>
              <w:spacing w:before="68" w:line="242" w:lineRule="auto"/>
              <w:ind w:left="175" w:right="83" w:hanging="108"/>
              <w:rPr>
                <w:rFonts w:ascii="宋体" w:hAnsi="宋体" w:eastAsia="宋体" w:cs="宋体"/>
                <w:sz w:val="21"/>
                <w:szCs w:val="21"/>
              </w:rPr>
            </w:pPr>
            <w:r>
              <w:rPr>
                <w:rFonts w:ascii="宋体" w:hAnsi="宋体" w:eastAsia="宋体" w:cs="宋体"/>
                <w:spacing w:val="-3"/>
                <w:sz w:val="21"/>
                <w:szCs w:val="21"/>
              </w:rPr>
              <w:t>输水线路区</w:t>
            </w:r>
          </w:p>
        </w:tc>
        <w:tc>
          <w:tcPr>
            <w:tcW w:w="428" w:type="dxa"/>
            <w:vAlign w:val="top"/>
          </w:tcPr>
          <w:p w14:paraId="670DF07A">
            <w:pPr>
              <w:pStyle w:val="6"/>
              <w:spacing w:before="127" w:line="232" w:lineRule="auto"/>
              <w:ind w:left="116"/>
            </w:pPr>
            <w:r>
              <w:rPr>
                <w:spacing w:val="-12"/>
              </w:rPr>
              <w:t>1#</w:t>
            </w:r>
          </w:p>
        </w:tc>
        <w:tc>
          <w:tcPr>
            <w:tcW w:w="2027" w:type="dxa"/>
            <w:vAlign w:val="top"/>
          </w:tcPr>
          <w:p w14:paraId="660522D5">
            <w:pPr>
              <w:spacing w:before="93" w:line="220" w:lineRule="auto"/>
              <w:ind w:left="381"/>
              <w:rPr>
                <w:rFonts w:ascii="宋体" w:hAnsi="宋体" w:eastAsia="宋体" w:cs="宋体"/>
                <w:sz w:val="21"/>
                <w:szCs w:val="21"/>
              </w:rPr>
            </w:pPr>
            <w:r>
              <w:rPr>
                <w:rFonts w:ascii="宋体" w:hAnsi="宋体" w:eastAsia="宋体" w:cs="宋体"/>
                <w:spacing w:val="-2"/>
                <w:sz w:val="21"/>
                <w:szCs w:val="21"/>
              </w:rPr>
              <w:t>大石洞弃渣场</w:t>
            </w:r>
          </w:p>
        </w:tc>
        <w:tc>
          <w:tcPr>
            <w:tcW w:w="1271" w:type="dxa"/>
            <w:vAlign w:val="top"/>
          </w:tcPr>
          <w:p w14:paraId="004A6180">
            <w:pPr>
              <w:spacing w:before="94"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4FF32F57">
            <w:pPr>
              <w:pStyle w:val="6"/>
              <w:spacing w:before="127" w:line="232" w:lineRule="auto"/>
              <w:ind w:left="451"/>
            </w:pPr>
            <w:r>
              <w:rPr>
                <w:spacing w:val="-2"/>
              </w:rPr>
              <w:t>38951</w:t>
            </w:r>
          </w:p>
        </w:tc>
        <w:tc>
          <w:tcPr>
            <w:tcW w:w="2540" w:type="dxa"/>
            <w:tcBorders>
              <w:right w:val="single" w:color="000000" w:sz="12" w:space="0"/>
            </w:tcBorders>
            <w:vAlign w:val="top"/>
          </w:tcPr>
          <w:p w14:paraId="031720B5">
            <w:pPr>
              <w:pStyle w:val="6"/>
              <w:spacing w:before="94" w:line="233" w:lineRule="auto"/>
              <w:ind w:left="343"/>
              <w:rPr>
                <w:rFonts w:ascii="宋体" w:hAnsi="宋体" w:eastAsia="宋体" w:cs="宋体"/>
              </w:rPr>
            </w:pPr>
            <w:r>
              <w:rPr>
                <w:rFonts w:ascii="宋体" w:hAnsi="宋体" w:eastAsia="宋体" w:cs="宋体"/>
                <w:spacing w:val="-2"/>
              </w:rPr>
              <w:t>隧洞进口、</w:t>
            </w:r>
            <w:r>
              <w:rPr>
                <w:spacing w:val="-2"/>
              </w:rPr>
              <w:t>1#</w:t>
            </w:r>
            <w:r>
              <w:rPr>
                <w:rFonts w:ascii="宋体" w:hAnsi="宋体" w:eastAsia="宋体" w:cs="宋体"/>
                <w:spacing w:val="-2"/>
              </w:rPr>
              <w:t>支洞等</w:t>
            </w:r>
          </w:p>
        </w:tc>
      </w:tr>
      <w:tr w14:paraId="25424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continue"/>
            <w:tcBorders>
              <w:top w:val="nil"/>
              <w:left w:val="single" w:color="000000" w:sz="12" w:space="0"/>
              <w:bottom w:val="nil"/>
            </w:tcBorders>
            <w:vAlign w:val="top"/>
          </w:tcPr>
          <w:p w14:paraId="3F347F45">
            <w:pPr>
              <w:rPr>
                <w:rFonts w:ascii="Arial"/>
                <w:sz w:val="21"/>
              </w:rPr>
            </w:pPr>
          </w:p>
        </w:tc>
        <w:tc>
          <w:tcPr>
            <w:tcW w:w="428" w:type="dxa"/>
            <w:vAlign w:val="top"/>
          </w:tcPr>
          <w:p w14:paraId="4975C7B9">
            <w:pPr>
              <w:pStyle w:val="6"/>
              <w:spacing w:before="129" w:line="232" w:lineRule="auto"/>
              <w:ind w:left="96"/>
            </w:pPr>
            <w:r>
              <w:rPr>
                <w:spacing w:val="-1"/>
              </w:rPr>
              <w:t>2#</w:t>
            </w:r>
          </w:p>
        </w:tc>
        <w:tc>
          <w:tcPr>
            <w:tcW w:w="2027" w:type="dxa"/>
            <w:vAlign w:val="top"/>
          </w:tcPr>
          <w:p w14:paraId="2D829498">
            <w:pPr>
              <w:spacing w:before="95" w:line="220" w:lineRule="auto"/>
              <w:ind w:left="380"/>
              <w:rPr>
                <w:rFonts w:ascii="宋体" w:hAnsi="宋体" w:eastAsia="宋体" w:cs="宋体"/>
                <w:sz w:val="21"/>
                <w:szCs w:val="21"/>
              </w:rPr>
            </w:pPr>
            <w:r>
              <w:rPr>
                <w:rFonts w:ascii="宋体" w:hAnsi="宋体" w:eastAsia="宋体" w:cs="宋体"/>
                <w:spacing w:val="-2"/>
                <w:sz w:val="21"/>
                <w:szCs w:val="21"/>
              </w:rPr>
              <w:t>上罗贵弃渣场</w:t>
            </w:r>
          </w:p>
        </w:tc>
        <w:tc>
          <w:tcPr>
            <w:tcW w:w="1271" w:type="dxa"/>
            <w:vAlign w:val="top"/>
          </w:tcPr>
          <w:p w14:paraId="64AD016C">
            <w:pPr>
              <w:spacing w:before="96"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0C20359B">
            <w:pPr>
              <w:pStyle w:val="6"/>
              <w:spacing w:before="129" w:line="232" w:lineRule="auto"/>
              <w:ind w:left="451"/>
            </w:pPr>
            <w:r>
              <w:rPr>
                <w:spacing w:val="-2"/>
              </w:rPr>
              <w:t>61657</w:t>
            </w:r>
          </w:p>
        </w:tc>
        <w:tc>
          <w:tcPr>
            <w:tcW w:w="2540" w:type="dxa"/>
            <w:tcBorders>
              <w:right w:val="single" w:color="000000" w:sz="12" w:space="0"/>
            </w:tcBorders>
            <w:vAlign w:val="top"/>
          </w:tcPr>
          <w:p w14:paraId="4A0E6017">
            <w:pPr>
              <w:pStyle w:val="6"/>
              <w:spacing w:before="96" w:line="233" w:lineRule="auto"/>
              <w:ind w:left="117"/>
              <w:rPr>
                <w:rFonts w:ascii="宋体" w:hAnsi="宋体" w:eastAsia="宋体" w:cs="宋体"/>
              </w:rPr>
            </w:pPr>
            <w:r>
              <w:rPr>
                <w:spacing w:val="-2"/>
              </w:rPr>
              <w:t>2#</w:t>
            </w:r>
            <w:r>
              <w:rPr>
                <w:rFonts w:ascii="宋体" w:hAnsi="宋体" w:eastAsia="宋体" w:cs="宋体"/>
                <w:spacing w:val="-2"/>
              </w:rPr>
              <w:t>施工支洞、道路开挖等</w:t>
            </w:r>
          </w:p>
        </w:tc>
      </w:tr>
      <w:tr w14:paraId="345AA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7DACCE7E">
            <w:pPr>
              <w:rPr>
                <w:rFonts w:ascii="Arial"/>
                <w:sz w:val="21"/>
              </w:rPr>
            </w:pPr>
          </w:p>
        </w:tc>
        <w:tc>
          <w:tcPr>
            <w:tcW w:w="428" w:type="dxa"/>
            <w:vAlign w:val="top"/>
          </w:tcPr>
          <w:p w14:paraId="6EAF3603">
            <w:pPr>
              <w:pStyle w:val="6"/>
              <w:spacing w:before="130" w:line="232" w:lineRule="auto"/>
              <w:ind w:left="100"/>
            </w:pPr>
            <w:r>
              <w:rPr>
                <w:spacing w:val="-3"/>
              </w:rPr>
              <w:t>3#</w:t>
            </w:r>
          </w:p>
        </w:tc>
        <w:tc>
          <w:tcPr>
            <w:tcW w:w="2027" w:type="dxa"/>
            <w:vAlign w:val="top"/>
          </w:tcPr>
          <w:p w14:paraId="1E23FEFD">
            <w:pPr>
              <w:spacing w:before="97" w:line="220" w:lineRule="auto"/>
              <w:ind w:left="378"/>
              <w:rPr>
                <w:rFonts w:ascii="宋体" w:hAnsi="宋体" w:eastAsia="宋体" w:cs="宋体"/>
                <w:sz w:val="21"/>
                <w:szCs w:val="21"/>
              </w:rPr>
            </w:pPr>
            <w:r>
              <w:rPr>
                <w:rFonts w:ascii="宋体" w:hAnsi="宋体" w:eastAsia="宋体" w:cs="宋体"/>
                <w:spacing w:val="-2"/>
                <w:sz w:val="21"/>
                <w:szCs w:val="21"/>
              </w:rPr>
              <w:t>梨树坝弃渣场</w:t>
            </w:r>
          </w:p>
        </w:tc>
        <w:tc>
          <w:tcPr>
            <w:tcW w:w="1271" w:type="dxa"/>
            <w:vAlign w:val="top"/>
          </w:tcPr>
          <w:p w14:paraId="14B91AAE">
            <w:pPr>
              <w:spacing w:before="98"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140D2C31">
            <w:pPr>
              <w:pStyle w:val="6"/>
              <w:spacing w:before="131" w:line="232" w:lineRule="auto"/>
              <w:ind w:left="445"/>
            </w:pPr>
            <w:r>
              <w:rPr>
                <w:spacing w:val="-1"/>
              </w:rPr>
              <w:t>48654</w:t>
            </w:r>
          </w:p>
        </w:tc>
        <w:tc>
          <w:tcPr>
            <w:tcW w:w="2540" w:type="dxa"/>
            <w:tcBorders>
              <w:right w:val="single" w:color="000000" w:sz="12" w:space="0"/>
            </w:tcBorders>
            <w:vAlign w:val="top"/>
          </w:tcPr>
          <w:p w14:paraId="461E58C1">
            <w:pPr>
              <w:pStyle w:val="6"/>
              <w:spacing w:before="98" w:line="233" w:lineRule="auto"/>
              <w:ind w:left="122"/>
              <w:rPr>
                <w:rFonts w:ascii="宋体" w:hAnsi="宋体" w:eastAsia="宋体" w:cs="宋体"/>
              </w:rPr>
            </w:pPr>
            <w:r>
              <w:rPr>
                <w:spacing w:val="-2"/>
              </w:rPr>
              <w:t>3#</w:t>
            </w:r>
            <w:r>
              <w:rPr>
                <w:rFonts w:ascii="宋体" w:hAnsi="宋体" w:eastAsia="宋体" w:cs="宋体"/>
                <w:spacing w:val="-2"/>
              </w:rPr>
              <w:t>施工支洞、道路开挖等</w:t>
            </w:r>
          </w:p>
        </w:tc>
      </w:tr>
      <w:tr w14:paraId="3120D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43F63D28">
            <w:pPr>
              <w:rPr>
                <w:rFonts w:ascii="Arial"/>
                <w:sz w:val="21"/>
              </w:rPr>
            </w:pPr>
          </w:p>
        </w:tc>
        <w:tc>
          <w:tcPr>
            <w:tcW w:w="428" w:type="dxa"/>
            <w:vAlign w:val="top"/>
          </w:tcPr>
          <w:p w14:paraId="79F2B8A2">
            <w:pPr>
              <w:pStyle w:val="6"/>
              <w:spacing w:before="133" w:line="232" w:lineRule="auto"/>
              <w:ind w:left="95"/>
            </w:pPr>
            <w:r>
              <w:rPr>
                <w:spacing w:val="-1"/>
              </w:rPr>
              <w:t>4#</w:t>
            </w:r>
          </w:p>
        </w:tc>
        <w:tc>
          <w:tcPr>
            <w:tcW w:w="2027" w:type="dxa"/>
            <w:vAlign w:val="top"/>
          </w:tcPr>
          <w:p w14:paraId="33DDA517">
            <w:pPr>
              <w:spacing w:before="99" w:line="220" w:lineRule="auto"/>
              <w:ind w:left="379"/>
              <w:rPr>
                <w:rFonts w:ascii="宋体" w:hAnsi="宋体" w:eastAsia="宋体" w:cs="宋体"/>
                <w:sz w:val="21"/>
                <w:szCs w:val="21"/>
              </w:rPr>
            </w:pPr>
            <w:r>
              <w:rPr>
                <w:rFonts w:ascii="宋体" w:hAnsi="宋体" w:eastAsia="宋体" w:cs="宋体"/>
                <w:spacing w:val="-2"/>
                <w:sz w:val="21"/>
                <w:szCs w:val="21"/>
              </w:rPr>
              <w:t>长坡岭弃渣场</w:t>
            </w:r>
          </w:p>
        </w:tc>
        <w:tc>
          <w:tcPr>
            <w:tcW w:w="1271" w:type="dxa"/>
            <w:vAlign w:val="top"/>
          </w:tcPr>
          <w:p w14:paraId="6BFB8B4D">
            <w:pPr>
              <w:spacing w:before="100"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34B878E6">
            <w:pPr>
              <w:pStyle w:val="6"/>
              <w:spacing w:before="134" w:line="232" w:lineRule="auto"/>
              <w:ind w:left="451"/>
            </w:pPr>
            <w:r>
              <w:rPr>
                <w:spacing w:val="-2"/>
              </w:rPr>
              <w:t>64684</w:t>
            </w:r>
          </w:p>
        </w:tc>
        <w:tc>
          <w:tcPr>
            <w:tcW w:w="2540" w:type="dxa"/>
            <w:tcBorders>
              <w:right w:val="single" w:color="000000" w:sz="12" w:space="0"/>
            </w:tcBorders>
            <w:vAlign w:val="top"/>
          </w:tcPr>
          <w:p w14:paraId="225ED5EF">
            <w:pPr>
              <w:pStyle w:val="6"/>
              <w:spacing w:before="100" w:line="233" w:lineRule="auto"/>
              <w:ind w:left="116"/>
              <w:rPr>
                <w:rFonts w:ascii="宋体" w:hAnsi="宋体" w:eastAsia="宋体" w:cs="宋体"/>
              </w:rPr>
            </w:pPr>
            <w:r>
              <w:rPr>
                <w:spacing w:val="-1"/>
              </w:rPr>
              <w:t>4#</w:t>
            </w:r>
            <w:r>
              <w:rPr>
                <w:rFonts w:ascii="宋体" w:hAnsi="宋体" w:eastAsia="宋体" w:cs="宋体"/>
                <w:spacing w:val="-1"/>
              </w:rPr>
              <w:t>施工支洞、道路开挖等</w:t>
            </w:r>
          </w:p>
        </w:tc>
      </w:tr>
      <w:tr w14:paraId="094D1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continue"/>
            <w:tcBorders>
              <w:top w:val="nil"/>
              <w:left w:val="single" w:color="000000" w:sz="12" w:space="0"/>
              <w:bottom w:val="nil"/>
            </w:tcBorders>
            <w:vAlign w:val="top"/>
          </w:tcPr>
          <w:p w14:paraId="591F74D7">
            <w:pPr>
              <w:rPr>
                <w:rFonts w:ascii="Arial"/>
                <w:sz w:val="21"/>
              </w:rPr>
            </w:pPr>
          </w:p>
        </w:tc>
        <w:tc>
          <w:tcPr>
            <w:tcW w:w="428" w:type="dxa"/>
            <w:vAlign w:val="top"/>
          </w:tcPr>
          <w:p w14:paraId="22804A86">
            <w:pPr>
              <w:pStyle w:val="6"/>
              <w:spacing w:before="135" w:line="232" w:lineRule="auto"/>
              <w:ind w:left="101"/>
            </w:pPr>
            <w:r>
              <w:rPr>
                <w:spacing w:val="-3"/>
              </w:rPr>
              <w:t>5#</w:t>
            </w:r>
          </w:p>
        </w:tc>
        <w:tc>
          <w:tcPr>
            <w:tcW w:w="2027" w:type="dxa"/>
            <w:vAlign w:val="top"/>
          </w:tcPr>
          <w:p w14:paraId="1926DA60">
            <w:pPr>
              <w:spacing w:before="101" w:line="220" w:lineRule="auto"/>
              <w:ind w:left="380"/>
              <w:rPr>
                <w:rFonts w:ascii="宋体" w:hAnsi="宋体" w:eastAsia="宋体" w:cs="宋体"/>
                <w:sz w:val="21"/>
                <w:szCs w:val="21"/>
              </w:rPr>
            </w:pPr>
            <w:r>
              <w:rPr>
                <w:rFonts w:ascii="宋体" w:hAnsi="宋体" w:eastAsia="宋体" w:cs="宋体"/>
                <w:spacing w:val="-2"/>
                <w:sz w:val="21"/>
                <w:szCs w:val="21"/>
              </w:rPr>
              <w:t>盛家田弃渣场</w:t>
            </w:r>
          </w:p>
        </w:tc>
        <w:tc>
          <w:tcPr>
            <w:tcW w:w="1271" w:type="dxa"/>
            <w:vAlign w:val="top"/>
          </w:tcPr>
          <w:p w14:paraId="38A8B2E9">
            <w:pPr>
              <w:spacing w:before="102"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03F7E6A9">
            <w:pPr>
              <w:pStyle w:val="6"/>
              <w:spacing w:before="135" w:line="232" w:lineRule="auto"/>
              <w:ind w:left="467"/>
            </w:pPr>
            <w:r>
              <w:rPr>
                <w:spacing w:val="-5"/>
              </w:rPr>
              <w:t>11058</w:t>
            </w:r>
          </w:p>
        </w:tc>
        <w:tc>
          <w:tcPr>
            <w:tcW w:w="2540" w:type="dxa"/>
            <w:tcBorders>
              <w:right w:val="single" w:color="000000" w:sz="12" w:space="0"/>
            </w:tcBorders>
            <w:vAlign w:val="top"/>
          </w:tcPr>
          <w:p w14:paraId="36A8531D">
            <w:pPr>
              <w:pStyle w:val="6"/>
              <w:spacing w:before="102" w:line="233" w:lineRule="auto"/>
              <w:ind w:left="123"/>
              <w:rPr>
                <w:rFonts w:ascii="宋体" w:hAnsi="宋体" w:eastAsia="宋体" w:cs="宋体"/>
              </w:rPr>
            </w:pPr>
            <w:r>
              <w:rPr>
                <w:spacing w:val="-2"/>
              </w:rPr>
              <w:t>5#</w:t>
            </w:r>
            <w:r>
              <w:rPr>
                <w:rFonts w:ascii="宋体" w:hAnsi="宋体" w:eastAsia="宋体" w:cs="宋体"/>
                <w:spacing w:val="-2"/>
              </w:rPr>
              <w:t>施工支洞、道路开挖等</w:t>
            </w:r>
          </w:p>
        </w:tc>
      </w:tr>
      <w:tr w14:paraId="6992C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2EFEC394">
            <w:pPr>
              <w:rPr>
                <w:rFonts w:ascii="Arial"/>
                <w:sz w:val="21"/>
              </w:rPr>
            </w:pPr>
          </w:p>
        </w:tc>
        <w:tc>
          <w:tcPr>
            <w:tcW w:w="428" w:type="dxa"/>
            <w:vAlign w:val="top"/>
          </w:tcPr>
          <w:p w14:paraId="1FA01003">
            <w:pPr>
              <w:pStyle w:val="6"/>
              <w:spacing w:before="137" w:line="232" w:lineRule="auto"/>
              <w:ind w:left="100"/>
            </w:pPr>
            <w:r>
              <w:rPr>
                <w:spacing w:val="-3"/>
              </w:rPr>
              <w:t>6#</w:t>
            </w:r>
          </w:p>
        </w:tc>
        <w:tc>
          <w:tcPr>
            <w:tcW w:w="2027" w:type="dxa"/>
            <w:vAlign w:val="top"/>
          </w:tcPr>
          <w:p w14:paraId="08CB4EE0">
            <w:pPr>
              <w:pStyle w:val="6"/>
              <w:spacing w:before="103" w:line="234" w:lineRule="auto"/>
              <w:ind w:left="353"/>
              <w:rPr>
                <w:rFonts w:ascii="宋体" w:hAnsi="宋体" w:eastAsia="宋体" w:cs="宋体"/>
              </w:rPr>
            </w:pPr>
            <w:r>
              <w:rPr>
                <w:rFonts w:ascii="宋体" w:hAnsi="宋体" w:eastAsia="宋体" w:cs="宋体"/>
                <w:spacing w:val="-5"/>
              </w:rPr>
              <w:t>保家营</w:t>
            </w:r>
            <w:r>
              <w:rPr>
                <w:rFonts w:ascii="宋体" w:hAnsi="宋体" w:eastAsia="宋体" w:cs="宋体"/>
                <w:spacing w:val="-27"/>
              </w:rPr>
              <w:t xml:space="preserve"> </w:t>
            </w:r>
            <w:r>
              <w:rPr>
                <w:spacing w:val="-5"/>
              </w:rPr>
              <w:t>1#</w:t>
            </w:r>
            <w:r>
              <w:rPr>
                <w:rFonts w:ascii="宋体" w:hAnsi="宋体" w:eastAsia="宋体" w:cs="宋体"/>
                <w:spacing w:val="-5"/>
              </w:rPr>
              <w:t>渣场</w:t>
            </w:r>
          </w:p>
        </w:tc>
        <w:tc>
          <w:tcPr>
            <w:tcW w:w="1271" w:type="dxa"/>
            <w:vAlign w:val="top"/>
          </w:tcPr>
          <w:p w14:paraId="304E6F62">
            <w:pPr>
              <w:spacing w:before="104"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68686ED3">
            <w:pPr>
              <w:pStyle w:val="6"/>
              <w:spacing w:before="137" w:line="232" w:lineRule="auto"/>
              <w:ind w:left="660"/>
            </w:pPr>
            <w:r>
              <w:t>0</w:t>
            </w:r>
          </w:p>
        </w:tc>
        <w:tc>
          <w:tcPr>
            <w:tcW w:w="2540" w:type="dxa"/>
            <w:tcBorders>
              <w:right w:val="single" w:color="000000" w:sz="12" w:space="0"/>
            </w:tcBorders>
            <w:vAlign w:val="top"/>
          </w:tcPr>
          <w:p w14:paraId="4EEC8326">
            <w:pPr>
              <w:spacing w:before="103" w:line="221" w:lineRule="auto"/>
              <w:ind w:left="1070"/>
              <w:rPr>
                <w:rFonts w:ascii="宋体" w:hAnsi="宋体" w:eastAsia="宋体" w:cs="宋体"/>
                <w:sz w:val="21"/>
                <w:szCs w:val="21"/>
              </w:rPr>
            </w:pPr>
            <w:r>
              <w:rPr>
                <w:rFonts w:ascii="宋体" w:hAnsi="宋体" w:eastAsia="宋体" w:cs="宋体"/>
                <w:spacing w:val="-3"/>
                <w:sz w:val="21"/>
                <w:szCs w:val="21"/>
              </w:rPr>
              <w:t>取消</w:t>
            </w:r>
          </w:p>
        </w:tc>
      </w:tr>
      <w:tr w14:paraId="5A5EC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continue"/>
            <w:tcBorders>
              <w:top w:val="nil"/>
              <w:left w:val="single" w:color="000000" w:sz="12" w:space="0"/>
              <w:bottom w:val="nil"/>
            </w:tcBorders>
            <w:vAlign w:val="top"/>
          </w:tcPr>
          <w:p w14:paraId="5509B6EF">
            <w:pPr>
              <w:rPr>
                <w:rFonts w:ascii="Arial"/>
                <w:sz w:val="21"/>
              </w:rPr>
            </w:pPr>
          </w:p>
        </w:tc>
        <w:tc>
          <w:tcPr>
            <w:tcW w:w="428" w:type="dxa"/>
            <w:vAlign w:val="top"/>
          </w:tcPr>
          <w:p w14:paraId="6D24E048">
            <w:pPr>
              <w:pStyle w:val="6"/>
              <w:spacing w:before="139" w:line="232" w:lineRule="auto"/>
              <w:ind w:left="99"/>
            </w:pPr>
            <w:r>
              <w:rPr>
                <w:spacing w:val="-2"/>
              </w:rPr>
              <w:t>7#</w:t>
            </w:r>
          </w:p>
        </w:tc>
        <w:tc>
          <w:tcPr>
            <w:tcW w:w="2027" w:type="dxa"/>
            <w:vAlign w:val="top"/>
          </w:tcPr>
          <w:p w14:paraId="10E67696">
            <w:pPr>
              <w:spacing w:before="105" w:line="220" w:lineRule="auto"/>
              <w:ind w:left="380"/>
              <w:rPr>
                <w:rFonts w:ascii="宋体" w:hAnsi="宋体" w:eastAsia="宋体" w:cs="宋体"/>
                <w:sz w:val="21"/>
                <w:szCs w:val="21"/>
              </w:rPr>
            </w:pPr>
            <w:r>
              <w:rPr>
                <w:rFonts w:ascii="宋体" w:hAnsi="宋体" w:eastAsia="宋体" w:cs="宋体"/>
                <w:spacing w:val="-2"/>
                <w:sz w:val="21"/>
                <w:szCs w:val="21"/>
              </w:rPr>
              <w:t>杨外营弃渣场</w:t>
            </w:r>
          </w:p>
        </w:tc>
        <w:tc>
          <w:tcPr>
            <w:tcW w:w="1271" w:type="dxa"/>
            <w:vAlign w:val="top"/>
          </w:tcPr>
          <w:p w14:paraId="3249E1C7">
            <w:pPr>
              <w:spacing w:before="105"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3310B457">
            <w:pPr>
              <w:pStyle w:val="6"/>
              <w:spacing w:before="139" w:line="232" w:lineRule="auto"/>
              <w:ind w:left="498"/>
            </w:pPr>
            <w:r>
              <w:rPr>
                <w:spacing w:val="-1"/>
              </w:rPr>
              <w:t>4615</w:t>
            </w:r>
          </w:p>
        </w:tc>
        <w:tc>
          <w:tcPr>
            <w:tcW w:w="2540" w:type="dxa"/>
            <w:tcBorders>
              <w:right w:val="single" w:color="000000" w:sz="12" w:space="0"/>
            </w:tcBorders>
            <w:vAlign w:val="top"/>
          </w:tcPr>
          <w:p w14:paraId="70C73FE4">
            <w:pPr>
              <w:pStyle w:val="6"/>
              <w:spacing w:before="106" w:line="233" w:lineRule="auto"/>
              <w:ind w:left="228"/>
              <w:rPr>
                <w:rFonts w:ascii="宋体" w:hAnsi="宋体" w:eastAsia="宋体" w:cs="宋体"/>
              </w:rPr>
            </w:pPr>
            <w:r>
              <w:rPr>
                <w:spacing w:val="-3"/>
              </w:rPr>
              <w:t>6#</w:t>
            </w:r>
            <w:r>
              <w:rPr>
                <w:spacing w:val="-26"/>
              </w:rPr>
              <w:t xml:space="preserve"> </w:t>
            </w:r>
            <w:r>
              <w:rPr>
                <w:rFonts w:ascii="宋体" w:hAnsi="宋体" w:eastAsia="宋体" w:cs="宋体"/>
                <w:spacing w:val="-3"/>
              </w:rPr>
              <w:t>、</w:t>
            </w:r>
            <w:r>
              <w:rPr>
                <w:spacing w:val="-3"/>
              </w:rPr>
              <w:t>7#</w:t>
            </w:r>
            <w:r>
              <w:rPr>
                <w:rFonts w:ascii="宋体" w:hAnsi="宋体" w:eastAsia="宋体" w:cs="宋体"/>
                <w:spacing w:val="-3"/>
              </w:rPr>
              <w:t>施工支洞开挖等</w:t>
            </w:r>
          </w:p>
        </w:tc>
      </w:tr>
      <w:tr w14:paraId="3A193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6B9AF9D1">
            <w:pPr>
              <w:rPr>
                <w:rFonts w:ascii="Arial"/>
                <w:sz w:val="21"/>
              </w:rPr>
            </w:pPr>
          </w:p>
        </w:tc>
        <w:tc>
          <w:tcPr>
            <w:tcW w:w="428" w:type="dxa"/>
            <w:vAlign w:val="top"/>
          </w:tcPr>
          <w:p w14:paraId="4430BEEB">
            <w:pPr>
              <w:pStyle w:val="6"/>
              <w:spacing w:before="141" w:line="232" w:lineRule="auto"/>
              <w:ind w:left="104"/>
            </w:pPr>
            <w:r>
              <w:rPr>
                <w:spacing w:val="-4"/>
              </w:rPr>
              <w:t>8#</w:t>
            </w:r>
          </w:p>
        </w:tc>
        <w:tc>
          <w:tcPr>
            <w:tcW w:w="2027" w:type="dxa"/>
            <w:vAlign w:val="top"/>
          </w:tcPr>
          <w:p w14:paraId="364A0126">
            <w:pPr>
              <w:spacing w:before="107" w:line="220" w:lineRule="auto"/>
              <w:ind w:left="486"/>
              <w:rPr>
                <w:rFonts w:ascii="宋体" w:hAnsi="宋体" w:eastAsia="宋体" w:cs="宋体"/>
                <w:sz w:val="21"/>
                <w:szCs w:val="21"/>
              </w:rPr>
            </w:pPr>
            <w:r>
              <w:rPr>
                <w:rFonts w:ascii="宋体" w:hAnsi="宋体" w:eastAsia="宋体" w:cs="宋体"/>
                <w:spacing w:val="-2"/>
                <w:sz w:val="21"/>
                <w:szCs w:val="21"/>
              </w:rPr>
              <w:t>前进弃渣场</w:t>
            </w:r>
          </w:p>
        </w:tc>
        <w:tc>
          <w:tcPr>
            <w:tcW w:w="1271" w:type="dxa"/>
            <w:vAlign w:val="top"/>
          </w:tcPr>
          <w:p w14:paraId="62D21D61">
            <w:pPr>
              <w:spacing w:before="107"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22EE2156">
            <w:pPr>
              <w:pStyle w:val="6"/>
              <w:spacing w:before="141" w:line="232" w:lineRule="auto"/>
              <w:ind w:left="451"/>
            </w:pPr>
            <w:r>
              <w:rPr>
                <w:spacing w:val="-2"/>
              </w:rPr>
              <w:t>31521</w:t>
            </w:r>
          </w:p>
        </w:tc>
        <w:tc>
          <w:tcPr>
            <w:tcW w:w="2540" w:type="dxa"/>
            <w:tcBorders>
              <w:right w:val="single" w:color="000000" w:sz="12" w:space="0"/>
            </w:tcBorders>
            <w:vAlign w:val="top"/>
          </w:tcPr>
          <w:p w14:paraId="4AE2DEAA">
            <w:pPr>
              <w:pStyle w:val="6"/>
              <w:spacing w:before="108" w:line="233" w:lineRule="auto"/>
              <w:ind w:left="126"/>
              <w:rPr>
                <w:rFonts w:ascii="宋体" w:hAnsi="宋体" w:eastAsia="宋体" w:cs="宋体"/>
              </w:rPr>
            </w:pPr>
            <w:r>
              <w:rPr>
                <w:spacing w:val="-2"/>
              </w:rPr>
              <w:t>8#</w:t>
            </w:r>
            <w:r>
              <w:rPr>
                <w:rFonts w:ascii="宋体" w:hAnsi="宋体" w:eastAsia="宋体" w:cs="宋体"/>
                <w:spacing w:val="-2"/>
              </w:rPr>
              <w:t>施工支洞、道路开挖等</w:t>
            </w:r>
          </w:p>
        </w:tc>
      </w:tr>
      <w:tr w14:paraId="01970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93" w:type="dxa"/>
            <w:vMerge w:val="continue"/>
            <w:tcBorders>
              <w:top w:val="nil"/>
              <w:left w:val="single" w:color="000000" w:sz="12" w:space="0"/>
              <w:bottom w:val="nil"/>
            </w:tcBorders>
            <w:vAlign w:val="top"/>
          </w:tcPr>
          <w:p w14:paraId="10002783">
            <w:pPr>
              <w:rPr>
                <w:rFonts w:ascii="Arial"/>
                <w:sz w:val="21"/>
              </w:rPr>
            </w:pPr>
          </w:p>
        </w:tc>
        <w:tc>
          <w:tcPr>
            <w:tcW w:w="428" w:type="dxa"/>
            <w:vAlign w:val="top"/>
          </w:tcPr>
          <w:p w14:paraId="0F17FFB0">
            <w:pPr>
              <w:pStyle w:val="6"/>
              <w:spacing w:before="143" w:line="232" w:lineRule="auto"/>
              <w:ind w:left="100"/>
            </w:pPr>
            <w:r>
              <w:rPr>
                <w:spacing w:val="-2"/>
              </w:rPr>
              <w:t>9#</w:t>
            </w:r>
          </w:p>
        </w:tc>
        <w:tc>
          <w:tcPr>
            <w:tcW w:w="2027" w:type="dxa"/>
            <w:vAlign w:val="top"/>
          </w:tcPr>
          <w:p w14:paraId="54B89B18">
            <w:pPr>
              <w:spacing w:before="108" w:line="220" w:lineRule="auto"/>
              <w:ind w:left="381"/>
              <w:rPr>
                <w:rFonts w:ascii="宋体" w:hAnsi="宋体" w:eastAsia="宋体" w:cs="宋体"/>
                <w:sz w:val="21"/>
                <w:szCs w:val="21"/>
              </w:rPr>
            </w:pPr>
            <w:r>
              <w:rPr>
                <w:rFonts w:ascii="宋体" w:hAnsi="宋体" w:eastAsia="宋体" w:cs="宋体"/>
                <w:spacing w:val="-2"/>
                <w:sz w:val="21"/>
                <w:szCs w:val="21"/>
              </w:rPr>
              <w:t>大海哨弃渣场</w:t>
            </w:r>
          </w:p>
        </w:tc>
        <w:tc>
          <w:tcPr>
            <w:tcW w:w="1271" w:type="dxa"/>
            <w:vAlign w:val="top"/>
          </w:tcPr>
          <w:p w14:paraId="34A9E842">
            <w:pPr>
              <w:spacing w:before="109"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04F5981E">
            <w:pPr>
              <w:pStyle w:val="6"/>
              <w:spacing w:before="143" w:line="232" w:lineRule="auto"/>
              <w:ind w:left="499"/>
            </w:pPr>
            <w:r>
              <w:rPr>
                <w:spacing w:val="-1"/>
              </w:rPr>
              <w:t>2108</w:t>
            </w:r>
          </w:p>
        </w:tc>
        <w:tc>
          <w:tcPr>
            <w:tcW w:w="2540" w:type="dxa"/>
            <w:tcBorders>
              <w:right w:val="single" w:color="000000" w:sz="12" w:space="0"/>
            </w:tcBorders>
            <w:vAlign w:val="top"/>
          </w:tcPr>
          <w:p w14:paraId="1C4E3480">
            <w:pPr>
              <w:pStyle w:val="6"/>
              <w:spacing w:before="109" w:line="233" w:lineRule="auto"/>
              <w:ind w:left="121"/>
              <w:rPr>
                <w:rFonts w:ascii="宋体" w:hAnsi="宋体" w:eastAsia="宋体" w:cs="宋体"/>
              </w:rPr>
            </w:pPr>
            <w:r>
              <w:rPr>
                <w:spacing w:val="-2"/>
              </w:rPr>
              <w:t>9#</w:t>
            </w:r>
            <w:r>
              <w:rPr>
                <w:rFonts w:ascii="宋体" w:hAnsi="宋体" w:eastAsia="宋体" w:cs="宋体"/>
                <w:spacing w:val="-2"/>
              </w:rPr>
              <w:t>施工支洞、道路开挖等</w:t>
            </w:r>
          </w:p>
        </w:tc>
      </w:tr>
      <w:tr w14:paraId="7E688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93" w:type="dxa"/>
            <w:vMerge w:val="continue"/>
            <w:tcBorders>
              <w:top w:val="nil"/>
              <w:left w:val="single" w:color="000000" w:sz="12" w:space="0"/>
              <w:bottom w:val="nil"/>
            </w:tcBorders>
            <w:vAlign w:val="top"/>
          </w:tcPr>
          <w:p w14:paraId="1F3FD733">
            <w:pPr>
              <w:rPr>
                <w:rFonts w:ascii="Arial"/>
                <w:sz w:val="21"/>
              </w:rPr>
            </w:pPr>
          </w:p>
        </w:tc>
        <w:tc>
          <w:tcPr>
            <w:tcW w:w="428" w:type="dxa"/>
            <w:vAlign w:val="top"/>
          </w:tcPr>
          <w:p w14:paraId="3B59244B">
            <w:pPr>
              <w:pStyle w:val="6"/>
              <w:spacing w:before="145" w:line="232" w:lineRule="auto"/>
              <w:ind w:left="63"/>
            </w:pPr>
            <w:r>
              <w:rPr>
                <w:spacing w:val="-8"/>
              </w:rPr>
              <w:t>10#</w:t>
            </w:r>
          </w:p>
        </w:tc>
        <w:tc>
          <w:tcPr>
            <w:tcW w:w="2027" w:type="dxa"/>
            <w:vAlign w:val="top"/>
          </w:tcPr>
          <w:p w14:paraId="1C3DED88">
            <w:pPr>
              <w:spacing w:before="110" w:line="220" w:lineRule="auto"/>
              <w:ind w:left="493"/>
              <w:rPr>
                <w:rFonts w:ascii="宋体" w:hAnsi="宋体" w:eastAsia="宋体" w:cs="宋体"/>
                <w:sz w:val="21"/>
                <w:szCs w:val="21"/>
              </w:rPr>
            </w:pPr>
            <w:r>
              <w:rPr>
                <w:rFonts w:ascii="宋体" w:hAnsi="宋体" w:eastAsia="宋体" w:cs="宋体"/>
                <w:spacing w:val="-4"/>
                <w:sz w:val="21"/>
                <w:szCs w:val="21"/>
              </w:rPr>
              <w:t>响水弃渣场</w:t>
            </w:r>
          </w:p>
        </w:tc>
        <w:tc>
          <w:tcPr>
            <w:tcW w:w="1271" w:type="dxa"/>
            <w:vAlign w:val="top"/>
          </w:tcPr>
          <w:p w14:paraId="3ABF4690">
            <w:pPr>
              <w:spacing w:before="111"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vAlign w:val="top"/>
          </w:tcPr>
          <w:p w14:paraId="12A07247">
            <w:pPr>
              <w:pStyle w:val="6"/>
              <w:spacing w:before="145" w:line="232" w:lineRule="auto"/>
              <w:ind w:left="467"/>
            </w:pPr>
            <w:r>
              <w:rPr>
                <w:spacing w:val="-5"/>
              </w:rPr>
              <w:t>12086</w:t>
            </w:r>
          </w:p>
        </w:tc>
        <w:tc>
          <w:tcPr>
            <w:tcW w:w="2540" w:type="dxa"/>
            <w:tcBorders>
              <w:right w:val="single" w:color="000000" w:sz="12" w:space="0"/>
            </w:tcBorders>
            <w:vAlign w:val="top"/>
          </w:tcPr>
          <w:p w14:paraId="585A7A41">
            <w:pPr>
              <w:pStyle w:val="6"/>
              <w:spacing w:before="111" w:line="233" w:lineRule="auto"/>
              <w:ind w:left="86"/>
              <w:rPr>
                <w:rFonts w:ascii="宋体" w:hAnsi="宋体" w:eastAsia="宋体" w:cs="宋体"/>
              </w:rPr>
            </w:pPr>
            <w:r>
              <w:rPr>
                <w:spacing w:val="-3"/>
              </w:rPr>
              <w:t>10#</w:t>
            </w:r>
            <w:r>
              <w:rPr>
                <w:rFonts w:ascii="宋体" w:hAnsi="宋体" w:eastAsia="宋体" w:cs="宋体"/>
                <w:spacing w:val="-3"/>
              </w:rPr>
              <w:t>施工支洞、道路开挖等</w:t>
            </w:r>
          </w:p>
        </w:tc>
      </w:tr>
      <w:tr w14:paraId="73353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93" w:type="dxa"/>
            <w:vMerge w:val="continue"/>
            <w:tcBorders>
              <w:top w:val="nil"/>
              <w:left w:val="single" w:color="000000" w:sz="12" w:space="0"/>
              <w:bottom w:val="single" w:color="000000" w:sz="12" w:space="0"/>
            </w:tcBorders>
            <w:vAlign w:val="top"/>
          </w:tcPr>
          <w:p w14:paraId="41C0202F">
            <w:pPr>
              <w:rPr>
                <w:rFonts w:ascii="Arial"/>
                <w:sz w:val="21"/>
              </w:rPr>
            </w:pPr>
          </w:p>
        </w:tc>
        <w:tc>
          <w:tcPr>
            <w:tcW w:w="428" w:type="dxa"/>
            <w:tcBorders>
              <w:bottom w:val="single" w:color="000000" w:sz="12" w:space="0"/>
            </w:tcBorders>
            <w:vAlign w:val="top"/>
          </w:tcPr>
          <w:p w14:paraId="5A6E23C2">
            <w:pPr>
              <w:pStyle w:val="6"/>
              <w:spacing w:before="146" w:line="232" w:lineRule="auto"/>
              <w:ind w:left="63"/>
            </w:pPr>
            <w:r>
              <w:rPr>
                <w:spacing w:val="-8"/>
              </w:rPr>
              <w:t>11#</w:t>
            </w:r>
          </w:p>
        </w:tc>
        <w:tc>
          <w:tcPr>
            <w:tcW w:w="2027" w:type="dxa"/>
            <w:tcBorders>
              <w:bottom w:val="single" w:color="000000" w:sz="12" w:space="0"/>
            </w:tcBorders>
            <w:vAlign w:val="top"/>
          </w:tcPr>
          <w:p w14:paraId="09F7496B">
            <w:pPr>
              <w:spacing w:before="112" w:line="220" w:lineRule="auto"/>
              <w:ind w:left="380"/>
              <w:rPr>
                <w:rFonts w:ascii="宋体" w:hAnsi="宋体" w:eastAsia="宋体" w:cs="宋体"/>
                <w:sz w:val="21"/>
                <w:szCs w:val="21"/>
              </w:rPr>
            </w:pPr>
            <w:r>
              <w:rPr>
                <w:rFonts w:ascii="宋体" w:hAnsi="宋体" w:eastAsia="宋体" w:cs="宋体"/>
                <w:spacing w:val="-2"/>
                <w:sz w:val="21"/>
                <w:szCs w:val="21"/>
              </w:rPr>
              <w:t>王大屯弃渣场</w:t>
            </w:r>
          </w:p>
        </w:tc>
        <w:tc>
          <w:tcPr>
            <w:tcW w:w="1271" w:type="dxa"/>
            <w:tcBorders>
              <w:bottom w:val="single" w:color="000000" w:sz="12" w:space="0"/>
            </w:tcBorders>
            <w:vAlign w:val="top"/>
          </w:tcPr>
          <w:p w14:paraId="14625522">
            <w:pPr>
              <w:spacing w:before="113" w:line="220" w:lineRule="auto"/>
              <w:ind w:left="321"/>
              <w:rPr>
                <w:rFonts w:ascii="宋体" w:hAnsi="宋体" w:eastAsia="宋体" w:cs="宋体"/>
                <w:sz w:val="21"/>
                <w:szCs w:val="21"/>
              </w:rPr>
            </w:pPr>
            <w:r>
              <w:rPr>
                <w:rFonts w:ascii="宋体" w:hAnsi="宋体" w:eastAsia="宋体" w:cs="宋体"/>
                <w:spacing w:val="-2"/>
                <w:sz w:val="21"/>
                <w:szCs w:val="21"/>
              </w:rPr>
              <w:t>沟道型</w:t>
            </w:r>
          </w:p>
        </w:tc>
        <w:tc>
          <w:tcPr>
            <w:tcW w:w="1414" w:type="dxa"/>
            <w:tcBorders>
              <w:bottom w:val="single" w:color="000000" w:sz="12" w:space="0"/>
            </w:tcBorders>
            <w:vAlign w:val="top"/>
          </w:tcPr>
          <w:p w14:paraId="63A461C7">
            <w:pPr>
              <w:pStyle w:val="6"/>
              <w:spacing w:before="147" w:line="232" w:lineRule="auto"/>
              <w:ind w:left="451"/>
            </w:pPr>
            <w:r>
              <w:rPr>
                <w:spacing w:val="-2"/>
              </w:rPr>
              <w:t>33238</w:t>
            </w:r>
          </w:p>
        </w:tc>
        <w:tc>
          <w:tcPr>
            <w:tcW w:w="2540" w:type="dxa"/>
            <w:tcBorders>
              <w:bottom w:val="single" w:color="000000" w:sz="12" w:space="0"/>
              <w:right w:val="single" w:color="000000" w:sz="12" w:space="0"/>
            </w:tcBorders>
            <w:vAlign w:val="top"/>
          </w:tcPr>
          <w:p w14:paraId="01DC715E">
            <w:pPr>
              <w:pStyle w:val="6"/>
              <w:spacing w:before="113" w:line="233" w:lineRule="auto"/>
              <w:ind w:left="86"/>
              <w:rPr>
                <w:rFonts w:ascii="宋体" w:hAnsi="宋体" w:eastAsia="宋体" w:cs="宋体"/>
              </w:rPr>
            </w:pPr>
            <w:r>
              <w:rPr>
                <w:spacing w:val="-3"/>
              </w:rPr>
              <w:t>11#</w:t>
            </w:r>
            <w:r>
              <w:rPr>
                <w:rFonts w:ascii="宋体" w:hAnsi="宋体" w:eastAsia="宋体" w:cs="宋体"/>
                <w:spacing w:val="-3"/>
              </w:rPr>
              <w:t>施工支洞、隧洞出口等</w:t>
            </w:r>
          </w:p>
        </w:tc>
      </w:tr>
    </w:tbl>
    <w:p w14:paraId="64358C4D">
      <w:pPr>
        <w:spacing w:line="251" w:lineRule="auto"/>
        <w:rPr>
          <w:rFonts w:ascii="Arial"/>
          <w:sz w:val="21"/>
        </w:rPr>
      </w:pPr>
    </w:p>
    <w:p w14:paraId="59412F88">
      <w:pPr>
        <w:spacing w:line="251" w:lineRule="auto"/>
        <w:rPr>
          <w:rFonts w:ascii="Arial"/>
          <w:sz w:val="21"/>
        </w:rPr>
      </w:pPr>
    </w:p>
    <w:p w14:paraId="3D4E3900">
      <w:pPr>
        <w:pStyle w:val="2"/>
        <w:spacing w:before="97" w:line="234" w:lineRule="auto"/>
        <w:ind w:left="34"/>
        <w:rPr>
          <w:sz w:val="30"/>
          <w:szCs w:val="30"/>
        </w:rPr>
      </w:pPr>
      <w:bookmarkStart w:id="14" w:name="bookmark14"/>
      <w:bookmarkEnd w:id="14"/>
      <w:r>
        <w:rPr>
          <w:rFonts w:ascii="Times New Roman" w:hAnsi="Times New Roman" w:eastAsia="Times New Roman" w:cs="Times New Roman"/>
          <w:b/>
          <w:bCs/>
          <w:spacing w:val="-4"/>
          <w:sz w:val="30"/>
          <w:szCs w:val="30"/>
        </w:rPr>
        <w:t>3.2</w:t>
      </w:r>
      <w:r>
        <w:rPr>
          <w:rFonts w:ascii="Times New Roman" w:hAnsi="Times New Roman" w:eastAsia="Times New Roman" w:cs="Times New Roman"/>
          <w:b/>
          <w:bCs/>
          <w:spacing w:val="27"/>
          <w:sz w:val="30"/>
          <w:szCs w:val="30"/>
        </w:rPr>
        <w:t xml:space="preserve"> </w:t>
      </w:r>
      <w:r>
        <w:rPr>
          <w:b/>
          <w:bCs/>
          <w:spacing w:val="-4"/>
          <w:sz w:val="30"/>
          <w:szCs w:val="30"/>
        </w:rPr>
        <w:t>项目建设过程</w:t>
      </w:r>
    </w:p>
    <w:p w14:paraId="7632F8F3">
      <w:pPr>
        <w:pStyle w:val="2"/>
        <w:spacing w:before="199" w:line="227" w:lineRule="auto"/>
        <w:ind w:left="30"/>
        <w:rPr>
          <w:sz w:val="27"/>
          <w:szCs w:val="27"/>
        </w:rPr>
      </w:pPr>
      <w:r>
        <w:rPr>
          <w:rFonts w:ascii="Arial" w:hAnsi="Arial" w:eastAsia="Arial" w:cs="Arial"/>
          <w:spacing w:val="7"/>
          <w:position w:val="2"/>
          <w:sz w:val="21"/>
          <w:szCs w:val="21"/>
        </w:rPr>
        <w:t xml:space="preserve">3.2.1     </w:t>
      </w:r>
      <w:r>
        <w:rPr>
          <w:b/>
          <w:bCs/>
          <w:spacing w:val="7"/>
          <w:position w:val="-1"/>
          <w:sz w:val="27"/>
          <w:szCs w:val="27"/>
        </w:rPr>
        <w:t>工程设计及批复过程</w:t>
      </w:r>
    </w:p>
    <w:p w14:paraId="34542CF5">
      <w:pPr>
        <w:pStyle w:val="2"/>
        <w:spacing w:before="261" w:line="340" w:lineRule="auto"/>
        <w:ind w:left="68" w:right="64" w:firstLine="452"/>
        <w:rPr>
          <w:sz w:val="24"/>
          <w:szCs w:val="24"/>
        </w:rPr>
      </w:pPr>
      <w:r>
        <w:rPr>
          <w:spacing w:val="-3"/>
          <w:sz w:val="24"/>
          <w:szCs w:val="24"/>
        </w:rPr>
        <w:t>车马碧水库工程于</w:t>
      </w:r>
      <w:r>
        <w:rPr>
          <w:spacing w:val="-42"/>
          <w:sz w:val="24"/>
          <w:szCs w:val="24"/>
        </w:rPr>
        <w:t xml:space="preserve"> </w:t>
      </w:r>
      <w:r>
        <w:rPr>
          <w:rFonts w:ascii="Times New Roman" w:hAnsi="Times New Roman" w:eastAsia="Times New Roman" w:cs="Times New Roman"/>
          <w:spacing w:val="-3"/>
          <w:sz w:val="24"/>
          <w:szCs w:val="24"/>
        </w:rPr>
        <w:t>2006</w:t>
      </w:r>
      <w:r>
        <w:rPr>
          <w:rFonts w:ascii="Times New Roman" w:hAnsi="Times New Roman" w:eastAsia="Times New Roman" w:cs="Times New Roman"/>
          <w:spacing w:val="21"/>
          <w:w w:val="101"/>
          <w:sz w:val="24"/>
          <w:szCs w:val="24"/>
        </w:rPr>
        <w:t xml:space="preserve"> </w:t>
      </w:r>
      <w:r>
        <w:rPr>
          <w:spacing w:val="-3"/>
          <w:sz w:val="24"/>
          <w:szCs w:val="24"/>
        </w:rPr>
        <w:t>年开始筹建，</w:t>
      </w:r>
      <w:r>
        <w:rPr>
          <w:rFonts w:ascii="Times New Roman" w:hAnsi="Times New Roman" w:eastAsia="Times New Roman" w:cs="Times New Roman"/>
          <w:spacing w:val="-3"/>
          <w:sz w:val="24"/>
          <w:szCs w:val="24"/>
        </w:rPr>
        <w:t>2017</w:t>
      </w:r>
      <w:r>
        <w:rPr>
          <w:rFonts w:ascii="Times New Roman" w:hAnsi="Times New Roman" w:eastAsia="Times New Roman" w:cs="Times New Roman"/>
          <w:spacing w:val="21"/>
          <w:sz w:val="24"/>
          <w:szCs w:val="24"/>
        </w:rPr>
        <w:t xml:space="preserve"> </w:t>
      </w:r>
      <w:r>
        <w:rPr>
          <w:spacing w:val="-3"/>
          <w:sz w:val="24"/>
          <w:szCs w:val="24"/>
        </w:rPr>
        <w:t xml:space="preserve">年 </w:t>
      </w:r>
      <w:r>
        <w:rPr>
          <w:rFonts w:ascii="Times New Roman" w:hAnsi="Times New Roman" w:eastAsia="Times New Roman" w:cs="Times New Roman"/>
          <w:spacing w:val="-3"/>
          <w:sz w:val="24"/>
          <w:szCs w:val="24"/>
        </w:rPr>
        <w:t>11</w:t>
      </w:r>
      <w:r>
        <w:rPr>
          <w:rFonts w:ascii="Times New Roman" w:hAnsi="Times New Roman" w:eastAsia="Times New Roman" w:cs="Times New Roman"/>
          <w:spacing w:val="26"/>
          <w:sz w:val="24"/>
          <w:szCs w:val="24"/>
        </w:rPr>
        <w:t xml:space="preserve"> </w:t>
      </w:r>
      <w:r>
        <w:rPr>
          <w:spacing w:val="-3"/>
          <w:sz w:val="24"/>
          <w:szCs w:val="24"/>
        </w:rPr>
        <w:t>月开工建设，工程前期工作</w:t>
      </w:r>
      <w:r>
        <w:rPr>
          <w:spacing w:val="-4"/>
          <w:sz w:val="24"/>
          <w:szCs w:val="24"/>
        </w:rPr>
        <w:t>内容及批复见表</w:t>
      </w:r>
      <w:r>
        <w:rPr>
          <w:spacing w:val="-47"/>
          <w:sz w:val="24"/>
          <w:szCs w:val="24"/>
        </w:rPr>
        <w:t xml:space="preserve"> </w:t>
      </w:r>
      <w:r>
        <w:rPr>
          <w:rFonts w:ascii="Times New Roman" w:hAnsi="Times New Roman" w:eastAsia="Times New Roman" w:cs="Times New Roman"/>
          <w:spacing w:val="-4"/>
          <w:sz w:val="24"/>
          <w:szCs w:val="24"/>
        </w:rPr>
        <w:t>3.2-1</w:t>
      </w:r>
      <w:r>
        <w:rPr>
          <w:spacing w:val="-4"/>
          <w:sz w:val="24"/>
          <w:szCs w:val="24"/>
        </w:rPr>
        <w:t>。</w:t>
      </w:r>
    </w:p>
    <w:p w14:paraId="1934BA3C">
      <w:pPr>
        <w:spacing w:line="340" w:lineRule="auto"/>
        <w:rPr>
          <w:sz w:val="24"/>
          <w:szCs w:val="24"/>
        </w:rPr>
        <w:sectPr>
          <w:headerReference r:id="rId46" w:type="default"/>
          <w:footerReference r:id="rId47" w:type="default"/>
          <w:pgSz w:w="11907" w:h="16839"/>
          <w:pgMar w:top="1376" w:right="1634" w:bottom="1061" w:left="1671" w:header="999" w:footer="859" w:gutter="0"/>
          <w:cols w:space="720" w:num="1"/>
        </w:sectPr>
      </w:pPr>
    </w:p>
    <w:p w14:paraId="15EB802C">
      <w:pPr>
        <w:spacing w:line="454" w:lineRule="auto"/>
        <w:rPr>
          <w:rFonts w:ascii="Arial"/>
          <w:sz w:val="21"/>
        </w:rPr>
      </w:pPr>
    </w:p>
    <w:p w14:paraId="712E3BEE">
      <w:pPr>
        <w:pStyle w:val="2"/>
        <w:spacing w:before="78" w:line="226"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3.2.1                    </w:t>
      </w:r>
      <w:r>
        <w:rPr>
          <w:rFonts w:ascii="Times New Roman" w:hAnsi="Times New Roman" w:eastAsia="Times New Roman" w:cs="Times New Roman"/>
          <w:b/>
          <w:bCs/>
          <w:spacing w:val="-1"/>
          <w:sz w:val="24"/>
          <w:szCs w:val="24"/>
        </w:rPr>
        <w:t xml:space="preserve">    </w:t>
      </w:r>
      <w:r>
        <w:rPr>
          <w:b/>
          <w:bCs/>
          <w:spacing w:val="-1"/>
          <w:sz w:val="24"/>
          <w:szCs w:val="24"/>
        </w:rPr>
        <w:t>工程前期主要工作审批过程及批复情况</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6663"/>
        <w:gridCol w:w="1105"/>
      </w:tblGrid>
      <w:tr w14:paraId="6805F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705" w:type="dxa"/>
            <w:tcBorders>
              <w:top w:val="single" w:color="000000" w:sz="12" w:space="0"/>
              <w:left w:val="single" w:color="000000" w:sz="12" w:space="0"/>
            </w:tcBorders>
            <w:vAlign w:val="top"/>
          </w:tcPr>
          <w:p w14:paraId="6896F582">
            <w:pPr>
              <w:spacing w:before="59" w:line="220" w:lineRule="auto"/>
              <w:ind w:left="131"/>
              <w:rPr>
                <w:rFonts w:ascii="宋体" w:hAnsi="宋体" w:eastAsia="宋体" w:cs="宋体"/>
                <w:sz w:val="21"/>
                <w:szCs w:val="21"/>
              </w:rPr>
            </w:pPr>
            <w:r>
              <w:rPr>
                <w:rFonts w:ascii="宋体" w:hAnsi="宋体" w:eastAsia="宋体" w:cs="宋体"/>
                <w:spacing w:val="-3"/>
                <w:sz w:val="21"/>
                <w:szCs w:val="21"/>
              </w:rPr>
              <w:t>工作</w:t>
            </w:r>
          </w:p>
          <w:p w14:paraId="1233E0A7">
            <w:pPr>
              <w:spacing w:before="22" w:line="221" w:lineRule="auto"/>
              <w:ind w:left="138"/>
              <w:rPr>
                <w:rFonts w:ascii="宋体" w:hAnsi="宋体" w:eastAsia="宋体" w:cs="宋体"/>
                <w:sz w:val="21"/>
                <w:szCs w:val="21"/>
              </w:rPr>
            </w:pPr>
            <w:r>
              <w:rPr>
                <w:rFonts w:ascii="宋体" w:hAnsi="宋体" w:eastAsia="宋体" w:cs="宋体"/>
                <w:spacing w:val="-5"/>
                <w:sz w:val="21"/>
                <w:szCs w:val="21"/>
              </w:rPr>
              <w:t>阶段</w:t>
            </w:r>
          </w:p>
        </w:tc>
        <w:tc>
          <w:tcPr>
            <w:tcW w:w="6663" w:type="dxa"/>
            <w:tcBorders>
              <w:top w:val="single" w:color="000000" w:sz="12" w:space="0"/>
            </w:tcBorders>
            <w:vAlign w:val="top"/>
          </w:tcPr>
          <w:p w14:paraId="527BC32E">
            <w:pPr>
              <w:spacing w:before="194" w:line="220" w:lineRule="auto"/>
              <w:ind w:left="2705"/>
              <w:rPr>
                <w:rFonts w:ascii="宋体" w:hAnsi="宋体" w:eastAsia="宋体" w:cs="宋体"/>
                <w:sz w:val="21"/>
                <w:szCs w:val="21"/>
              </w:rPr>
            </w:pPr>
            <w:r>
              <w:rPr>
                <w:rFonts w:ascii="宋体" w:hAnsi="宋体" w:eastAsia="宋体" w:cs="宋体"/>
                <w:spacing w:val="-2"/>
                <w:sz w:val="21"/>
                <w:szCs w:val="21"/>
              </w:rPr>
              <w:t>主要工作内容</w:t>
            </w:r>
          </w:p>
        </w:tc>
        <w:tc>
          <w:tcPr>
            <w:tcW w:w="1105" w:type="dxa"/>
            <w:tcBorders>
              <w:top w:val="single" w:color="000000" w:sz="12" w:space="0"/>
              <w:right w:val="single" w:color="000000" w:sz="12" w:space="0"/>
            </w:tcBorders>
            <w:vAlign w:val="top"/>
          </w:tcPr>
          <w:p w14:paraId="720D2D4A">
            <w:pPr>
              <w:spacing w:before="195" w:line="221" w:lineRule="auto"/>
              <w:ind w:left="354"/>
              <w:rPr>
                <w:rFonts w:ascii="宋体" w:hAnsi="宋体" w:eastAsia="宋体" w:cs="宋体"/>
                <w:sz w:val="21"/>
                <w:szCs w:val="21"/>
              </w:rPr>
            </w:pPr>
            <w:r>
              <w:rPr>
                <w:rFonts w:ascii="宋体" w:hAnsi="宋体" w:eastAsia="宋体" w:cs="宋体"/>
                <w:spacing w:val="-3"/>
                <w:sz w:val="21"/>
                <w:szCs w:val="21"/>
              </w:rPr>
              <w:t>文号</w:t>
            </w:r>
          </w:p>
        </w:tc>
      </w:tr>
      <w:tr w14:paraId="4E733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restart"/>
            <w:tcBorders>
              <w:left w:val="single" w:color="000000" w:sz="12" w:space="0"/>
              <w:bottom w:val="nil"/>
            </w:tcBorders>
            <w:vAlign w:val="top"/>
          </w:tcPr>
          <w:p w14:paraId="3B8A75B9">
            <w:pPr>
              <w:spacing w:line="243" w:lineRule="auto"/>
              <w:rPr>
                <w:rFonts w:ascii="Arial"/>
                <w:sz w:val="21"/>
              </w:rPr>
            </w:pPr>
          </w:p>
          <w:p w14:paraId="5048E803">
            <w:pPr>
              <w:spacing w:line="243" w:lineRule="auto"/>
              <w:rPr>
                <w:rFonts w:ascii="Arial"/>
                <w:sz w:val="21"/>
              </w:rPr>
            </w:pPr>
          </w:p>
          <w:p w14:paraId="04F1AAF0">
            <w:pPr>
              <w:spacing w:line="243" w:lineRule="auto"/>
              <w:rPr>
                <w:rFonts w:ascii="Arial"/>
                <w:sz w:val="21"/>
              </w:rPr>
            </w:pPr>
          </w:p>
          <w:p w14:paraId="46AD8F3B">
            <w:pPr>
              <w:spacing w:line="244" w:lineRule="auto"/>
              <w:rPr>
                <w:rFonts w:ascii="Arial"/>
                <w:sz w:val="21"/>
              </w:rPr>
            </w:pPr>
          </w:p>
          <w:p w14:paraId="7B5E1D55">
            <w:pPr>
              <w:spacing w:line="244" w:lineRule="auto"/>
              <w:rPr>
                <w:rFonts w:ascii="Arial"/>
                <w:sz w:val="21"/>
              </w:rPr>
            </w:pPr>
          </w:p>
          <w:p w14:paraId="2D5BB343">
            <w:pPr>
              <w:spacing w:line="244" w:lineRule="auto"/>
              <w:rPr>
                <w:rFonts w:ascii="Arial"/>
                <w:sz w:val="21"/>
              </w:rPr>
            </w:pPr>
          </w:p>
          <w:p w14:paraId="1E2F88AF">
            <w:pPr>
              <w:spacing w:line="244" w:lineRule="auto"/>
              <w:rPr>
                <w:rFonts w:ascii="Arial"/>
                <w:sz w:val="21"/>
              </w:rPr>
            </w:pPr>
          </w:p>
          <w:p w14:paraId="7F65F16D">
            <w:pPr>
              <w:spacing w:line="244" w:lineRule="auto"/>
              <w:rPr>
                <w:rFonts w:ascii="Arial"/>
                <w:sz w:val="21"/>
              </w:rPr>
            </w:pPr>
          </w:p>
          <w:p w14:paraId="26ED153D">
            <w:pPr>
              <w:spacing w:line="244" w:lineRule="auto"/>
              <w:rPr>
                <w:rFonts w:ascii="Arial"/>
                <w:sz w:val="21"/>
              </w:rPr>
            </w:pPr>
          </w:p>
          <w:p w14:paraId="4D3FD12B">
            <w:pPr>
              <w:spacing w:line="244" w:lineRule="auto"/>
              <w:rPr>
                <w:rFonts w:ascii="Arial"/>
                <w:sz w:val="21"/>
              </w:rPr>
            </w:pPr>
          </w:p>
          <w:p w14:paraId="11171057">
            <w:pPr>
              <w:spacing w:before="68" w:line="241" w:lineRule="auto"/>
              <w:ind w:left="131" w:right="143"/>
              <w:jc w:val="both"/>
              <w:rPr>
                <w:rFonts w:ascii="宋体" w:hAnsi="宋体" w:eastAsia="宋体" w:cs="宋体"/>
                <w:sz w:val="21"/>
                <w:szCs w:val="21"/>
              </w:rPr>
            </w:pPr>
            <w:r>
              <w:rPr>
                <w:rFonts w:ascii="宋体" w:hAnsi="宋体" w:eastAsia="宋体" w:cs="宋体"/>
                <w:spacing w:val="-6"/>
                <w:sz w:val="21"/>
                <w:szCs w:val="21"/>
              </w:rPr>
              <w:t>项目建议书阶</w:t>
            </w:r>
            <w:r>
              <w:rPr>
                <w:rFonts w:ascii="宋体" w:hAnsi="宋体" w:eastAsia="宋体" w:cs="宋体"/>
                <w:spacing w:val="32"/>
                <w:w w:val="129"/>
                <w:sz w:val="21"/>
                <w:szCs w:val="21"/>
              </w:rPr>
              <w:t>段</w:t>
            </w:r>
          </w:p>
        </w:tc>
        <w:tc>
          <w:tcPr>
            <w:tcW w:w="6663" w:type="dxa"/>
            <w:vAlign w:val="top"/>
          </w:tcPr>
          <w:p w14:paraId="5B870B42">
            <w:pPr>
              <w:pStyle w:val="6"/>
              <w:spacing w:before="58" w:line="235" w:lineRule="auto"/>
              <w:ind w:left="46" w:right="41" w:hanging="3"/>
              <w:rPr>
                <w:rFonts w:ascii="宋体" w:hAnsi="宋体" w:eastAsia="宋体" w:cs="宋体"/>
              </w:rPr>
            </w:pPr>
            <w:r>
              <w:rPr>
                <w:spacing w:val="-1"/>
              </w:rPr>
              <w:t xml:space="preserve">2007 </w:t>
            </w:r>
            <w:r>
              <w:rPr>
                <w:rFonts w:ascii="宋体" w:hAnsi="宋体" w:eastAsia="宋体" w:cs="宋体"/>
                <w:spacing w:val="-1"/>
              </w:rPr>
              <w:t>年</w:t>
            </w:r>
            <w:r>
              <w:rPr>
                <w:rFonts w:ascii="宋体" w:hAnsi="宋体" w:eastAsia="宋体" w:cs="宋体"/>
                <w:spacing w:val="-31"/>
              </w:rPr>
              <w:t xml:space="preserve"> </w:t>
            </w:r>
            <w:r>
              <w:rPr>
                <w:spacing w:val="-1"/>
              </w:rPr>
              <w:t>4</w:t>
            </w:r>
            <w:r>
              <w:rPr>
                <w:spacing w:val="16"/>
                <w:w w:val="101"/>
              </w:rPr>
              <w:t xml:space="preserve"> </w:t>
            </w:r>
            <w:r>
              <w:rPr>
                <w:rFonts w:ascii="宋体" w:hAnsi="宋体" w:eastAsia="宋体" w:cs="宋体"/>
                <w:spacing w:val="-1"/>
              </w:rPr>
              <w:t>月，云南省水利水电勘测设计研究院与曲靖市能阳水利勘察设计有限公司编制完成《云南省曲靖市车马碧水库</w:t>
            </w:r>
            <w:r>
              <w:rPr>
                <w:rFonts w:ascii="宋体" w:hAnsi="宋体" w:eastAsia="宋体" w:cs="宋体"/>
                <w:spacing w:val="-2"/>
              </w:rPr>
              <w:t>工程项目建议书》。</w:t>
            </w:r>
          </w:p>
        </w:tc>
        <w:tc>
          <w:tcPr>
            <w:tcW w:w="1105" w:type="dxa"/>
            <w:tcBorders>
              <w:right w:val="single" w:color="000000" w:sz="12" w:space="0"/>
            </w:tcBorders>
            <w:vAlign w:val="top"/>
          </w:tcPr>
          <w:p w14:paraId="5E2B490C">
            <w:pPr>
              <w:rPr>
                <w:rFonts w:ascii="Arial"/>
                <w:sz w:val="21"/>
              </w:rPr>
            </w:pPr>
          </w:p>
        </w:tc>
      </w:tr>
      <w:tr w14:paraId="20DCE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732A90D0">
            <w:pPr>
              <w:rPr>
                <w:rFonts w:ascii="Arial"/>
                <w:sz w:val="21"/>
              </w:rPr>
            </w:pPr>
          </w:p>
        </w:tc>
        <w:tc>
          <w:tcPr>
            <w:tcW w:w="6663" w:type="dxa"/>
            <w:vAlign w:val="top"/>
          </w:tcPr>
          <w:p w14:paraId="711B8545">
            <w:pPr>
              <w:pStyle w:val="6"/>
              <w:spacing w:before="61" w:line="234" w:lineRule="auto"/>
              <w:ind w:left="54" w:hanging="11"/>
              <w:rPr>
                <w:rFonts w:ascii="宋体" w:hAnsi="宋体" w:eastAsia="宋体" w:cs="宋体"/>
              </w:rPr>
            </w:pPr>
            <w:r>
              <w:rPr>
                <w:spacing w:val="-2"/>
              </w:rPr>
              <w:t>2007</w:t>
            </w:r>
            <w:r>
              <w:rPr>
                <w:spacing w:val="13"/>
              </w:rPr>
              <w:t xml:space="preserve"> </w:t>
            </w:r>
            <w:r>
              <w:rPr>
                <w:rFonts w:ascii="宋体" w:hAnsi="宋体" w:eastAsia="宋体" w:cs="宋体"/>
                <w:spacing w:val="-2"/>
              </w:rPr>
              <w:t>年</w:t>
            </w:r>
            <w:r>
              <w:rPr>
                <w:rFonts w:ascii="宋体" w:hAnsi="宋体" w:eastAsia="宋体" w:cs="宋体"/>
                <w:spacing w:val="-40"/>
              </w:rPr>
              <w:t xml:space="preserve"> </w:t>
            </w:r>
            <w:r>
              <w:rPr>
                <w:spacing w:val="-2"/>
              </w:rPr>
              <w:t>5</w:t>
            </w:r>
            <w:r>
              <w:rPr>
                <w:spacing w:val="16"/>
                <w:w w:val="101"/>
              </w:rPr>
              <w:t xml:space="preserve"> </w:t>
            </w:r>
            <w:r>
              <w:rPr>
                <w:rFonts w:ascii="宋体" w:hAnsi="宋体" w:eastAsia="宋体" w:cs="宋体"/>
                <w:spacing w:val="-2"/>
              </w:rPr>
              <w:t>月，江河水利水电咨询中心组织专家对项目建议书进</w:t>
            </w:r>
            <w:r>
              <w:rPr>
                <w:rFonts w:ascii="宋体" w:hAnsi="宋体" w:eastAsia="宋体" w:cs="宋体"/>
                <w:spacing w:val="-3"/>
              </w:rPr>
              <w:t>行了技术</w:t>
            </w:r>
            <w:r>
              <w:rPr>
                <w:rFonts w:ascii="宋体" w:hAnsi="宋体" w:eastAsia="宋体" w:cs="宋体"/>
                <w:spacing w:val="-4"/>
              </w:rPr>
              <w:t>咨询，开发任务调整为：向曲靖市南海子工业园区和西城工业园区供水。</w:t>
            </w:r>
          </w:p>
        </w:tc>
        <w:tc>
          <w:tcPr>
            <w:tcW w:w="1105" w:type="dxa"/>
            <w:tcBorders>
              <w:right w:val="single" w:color="000000" w:sz="12" w:space="0"/>
            </w:tcBorders>
            <w:vAlign w:val="top"/>
          </w:tcPr>
          <w:p w14:paraId="35FA99FB">
            <w:pPr>
              <w:rPr>
                <w:rFonts w:ascii="Arial"/>
                <w:sz w:val="21"/>
              </w:rPr>
            </w:pPr>
          </w:p>
        </w:tc>
      </w:tr>
      <w:tr w14:paraId="10968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705" w:type="dxa"/>
            <w:vMerge w:val="continue"/>
            <w:tcBorders>
              <w:top w:val="nil"/>
              <w:left w:val="single" w:color="000000" w:sz="12" w:space="0"/>
              <w:bottom w:val="nil"/>
            </w:tcBorders>
            <w:vAlign w:val="top"/>
          </w:tcPr>
          <w:p w14:paraId="491AF91A">
            <w:pPr>
              <w:rPr>
                <w:rFonts w:ascii="Arial"/>
                <w:sz w:val="21"/>
              </w:rPr>
            </w:pPr>
          </w:p>
        </w:tc>
        <w:tc>
          <w:tcPr>
            <w:tcW w:w="6663" w:type="dxa"/>
            <w:vAlign w:val="top"/>
          </w:tcPr>
          <w:p w14:paraId="5C6CD1F7">
            <w:pPr>
              <w:pStyle w:val="6"/>
              <w:spacing w:before="63" w:line="235" w:lineRule="auto"/>
              <w:ind w:left="45" w:right="41" w:hanging="2"/>
              <w:jc w:val="both"/>
              <w:rPr>
                <w:rFonts w:ascii="宋体" w:hAnsi="宋体" w:eastAsia="宋体" w:cs="宋体"/>
              </w:rPr>
            </w:pPr>
            <w:r>
              <w:rPr>
                <w:spacing w:val="-1"/>
              </w:rPr>
              <w:t>2013</w:t>
            </w:r>
            <w:r>
              <w:rPr>
                <w:spacing w:val="13"/>
                <w:w w:val="101"/>
              </w:rPr>
              <w:t xml:space="preserve"> </w:t>
            </w:r>
            <w:r>
              <w:rPr>
                <w:rFonts w:ascii="宋体" w:hAnsi="宋体" w:eastAsia="宋体" w:cs="宋体"/>
                <w:spacing w:val="-1"/>
              </w:rPr>
              <w:t>年</w:t>
            </w:r>
            <w:r>
              <w:rPr>
                <w:rFonts w:ascii="宋体" w:hAnsi="宋体" w:eastAsia="宋体" w:cs="宋体"/>
                <w:spacing w:val="-42"/>
              </w:rPr>
              <w:t xml:space="preserve"> </w:t>
            </w:r>
            <w:r>
              <w:rPr>
                <w:spacing w:val="-1"/>
              </w:rPr>
              <w:t>3</w:t>
            </w:r>
            <w:r>
              <w:rPr>
                <w:spacing w:val="17"/>
              </w:rPr>
              <w:t xml:space="preserve"> </w:t>
            </w:r>
            <w:r>
              <w:rPr>
                <w:rFonts w:ascii="宋体" w:hAnsi="宋体" w:eastAsia="宋体" w:cs="宋体"/>
                <w:spacing w:val="-1"/>
              </w:rPr>
              <w:t>月，云南省水利水电勘测设计研究院完成《云南省曲</w:t>
            </w:r>
            <w:r>
              <w:rPr>
                <w:rFonts w:ascii="宋体" w:hAnsi="宋体" w:eastAsia="宋体" w:cs="宋体"/>
                <w:spacing w:val="-2"/>
              </w:rPr>
              <w:t>靖市车马</w:t>
            </w:r>
            <w:r>
              <w:rPr>
                <w:rFonts w:ascii="宋体" w:hAnsi="宋体" w:eastAsia="宋体" w:cs="宋体"/>
                <w:spacing w:val="-5"/>
              </w:rPr>
              <w:t>碧水库工程水资源配置专题报告》，水库开发任务调整为：工业供水和农</w:t>
            </w:r>
            <w:r>
              <w:rPr>
                <w:rFonts w:ascii="宋体" w:hAnsi="宋体" w:eastAsia="宋体" w:cs="宋体"/>
                <w:spacing w:val="-2"/>
              </w:rPr>
              <w:t>业灌溉供水，并为改善受水区河道内水环境创造条件。</w:t>
            </w:r>
          </w:p>
        </w:tc>
        <w:tc>
          <w:tcPr>
            <w:tcW w:w="1105" w:type="dxa"/>
            <w:tcBorders>
              <w:right w:val="single" w:color="000000" w:sz="12" w:space="0"/>
            </w:tcBorders>
            <w:vAlign w:val="top"/>
          </w:tcPr>
          <w:p w14:paraId="6691DACE">
            <w:pPr>
              <w:rPr>
                <w:rFonts w:ascii="Arial"/>
                <w:sz w:val="21"/>
              </w:rPr>
            </w:pPr>
          </w:p>
        </w:tc>
      </w:tr>
      <w:tr w14:paraId="082F7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1B96FC73">
            <w:pPr>
              <w:rPr>
                <w:rFonts w:ascii="Arial"/>
                <w:sz w:val="21"/>
              </w:rPr>
            </w:pPr>
          </w:p>
        </w:tc>
        <w:tc>
          <w:tcPr>
            <w:tcW w:w="6663" w:type="dxa"/>
            <w:vAlign w:val="top"/>
          </w:tcPr>
          <w:p w14:paraId="78B70229">
            <w:pPr>
              <w:pStyle w:val="6"/>
              <w:spacing w:before="66" w:line="232" w:lineRule="auto"/>
              <w:ind w:left="47" w:right="41" w:hanging="4"/>
              <w:rPr>
                <w:rFonts w:ascii="宋体" w:hAnsi="宋体" w:eastAsia="宋体" w:cs="宋体"/>
              </w:rPr>
            </w:pPr>
            <w:r>
              <w:rPr>
                <w:spacing w:val="-1"/>
              </w:rPr>
              <w:t xml:space="preserve">2013 </w:t>
            </w:r>
            <w:r>
              <w:rPr>
                <w:rFonts w:ascii="宋体" w:hAnsi="宋体" w:eastAsia="宋体" w:cs="宋体"/>
                <w:spacing w:val="-1"/>
              </w:rPr>
              <w:t>年</w:t>
            </w:r>
            <w:r>
              <w:rPr>
                <w:rFonts w:ascii="宋体" w:hAnsi="宋体" w:eastAsia="宋体" w:cs="宋体"/>
                <w:spacing w:val="-31"/>
              </w:rPr>
              <w:t xml:space="preserve"> </w:t>
            </w:r>
            <w:r>
              <w:rPr>
                <w:spacing w:val="-1"/>
              </w:rPr>
              <w:t>5</w:t>
            </w:r>
            <w:r>
              <w:rPr>
                <w:spacing w:val="16"/>
                <w:w w:val="101"/>
              </w:rPr>
              <w:t xml:space="preserve"> </w:t>
            </w:r>
            <w:r>
              <w:rPr>
                <w:rFonts w:ascii="宋体" w:hAnsi="宋体" w:eastAsia="宋体" w:cs="宋体"/>
                <w:spacing w:val="-1"/>
              </w:rPr>
              <w:t>月，云南省水利水电勘测设计研究院根据水库功能调整重新编</w:t>
            </w:r>
            <w:r>
              <w:rPr>
                <w:rFonts w:ascii="宋体" w:hAnsi="宋体" w:eastAsia="宋体" w:cs="宋体"/>
                <w:spacing w:val="-2"/>
              </w:rPr>
              <w:t>制完成《云南省曲靖市车马碧水库工程项目建议书》。</w:t>
            </w:r>
          </w:p>
        </w:tc>
        <w:tc>
          <w:tcPr>
            <w:tcW w:w="1105" w:type="dxa"/>
            <w:tcBorders>
              <w:right w:val="single" w:color="000000" w:sz="12" w:space="0"/>
            </w:tcBorders>
            <w:vAlign w:val="top"/>
          </w:tcPr>
          <w:p w14:paraId="5D7F8EF6">
            <w:pPr>
              <w:rPr>
                <w:rFonts w:ascii="Arial"/>
                <w:sz w:val="21"/>
              </w:rPr>
            </w:pPr>
          </w:p>
        </w:tc>
      </w:tr>
      <w:tr w14:paraId="65283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12DF3FE5">
            <w:pPr>
              <w:rPr>
                <w:rFonts w:ascii="Arial"/>
                <w:sz w:val="21"/>
              </w:rPr>
            </w:pPr>
          </w:p>
        </w:tc>
        <w:tc>
          <w:tcPr>
            <w:tcW w:w="6663" w:type="dxa"/>
            <w:vAlign w:val="top"/>
          </w:tcPr>
          <w:p w14:paraId="08C274FE">
            <w:pPr>
              <w:pStyle w:val="6"/>
              <w:spacing w:before="68" w:line="231" w:lineRule="auto"/>
              <w:ind w:left="50" w:right="41" w:hanging="7"/>
              <w:rPr>
                <w:rFonts w:ascii="宋体" w:hAnsi="宋体" w:eastAsia="宋体" w:cs="宋体"/>
              </w:rPr>
            </w:pPr>
            <w:r>
              <w:rPr>
                <w:spacing w:val="-1"/>
              </w:rPr>
              <w:t>2013</w:t>
            </w:r>
            <w:r>
              <w:rPr>
                <w:spacing w:val="13"/>
              </w:rPr>
              <w:t xml:space="preserve"> </w:t>
            </w:r>
            <w:r>
              <w:rPr>
                <w:rFonts w:ascii="宋体" w:hAnsi="宋体" w:eastAsia="宋体" w:cs="宋体"/>
                <w:spacing w:val="-1"/>
              </w:rPr>
              <w:t>年</w:t>
            </w:r>
            <w:r>
              <w:rPr>
                <w:rFonts w:ascii="宋体" w:hAnsi="宋体" w:eastAsia="宋体" w:cs="宋体"/>
                <w:spacing w:val="-41"/>
              </w:rPr>
              <w:t xml:space="preserve"> </w:t>
            </w:r>
            <w:r>
              <w:rPr>
                <w:spacing w:val="-1"/>
              </w:rPr>
              <w:t>6</w:t>
            </w:r>
            <w:r>
              <w:rPr>
                <w:spacing w:val="16"/>
                <w:w w:val="101"/>
              </w:rPr>
              <w:t xml:space="preserve"> </w:t>
            </w:r>
            <w:r>
              <w:rPr>
                <w:rFonts w:ascii="宋体" w:hAnsi="宋体" w:eastAsia="宋体" w:cs="宋体"/>
                <w:spacing w:val="-1"/>
              </w:rPr>
              <w:t>月，水利部水利水电规划设计总院在北京召开会议，</w:t>
            </w:r>
            <w:r>
              <w:rPr>
                <w:rFonts w:ascii="宋体" w:hAnsi="宋体" w:eastAsia="宋体" w:cs="宋体"/>
                <w:spacing w:val="-2"/>
              </w:rPr>
              <w:t>对《云南省曲靖市车马碧水库工程项目建议书》进行了审查。</w:t>
            </w:r>
          </w:p>
        </w:tc>
        <w:tc>
          <w:tcPr>
            <w:tcW w:w="1105" w:type="dxa"/>
            <w:tcBorders>
              <w:right w:val="single" w:color="000000" w:sz="12" w:space="0"/>
            </w:tcBorders>
            <w:vAlign w:val="top"/>
          </w:tcPr>
          <w:p w14:paraId="0689F836">
            <w:pPr>
              <w:rPr>
                <w:rFonts w:ascii="Arial"/>
                <w:sz w:val="21"/>
              </w:rPr>
            </w:pPr>
          </w:p>
        </w:tc>
      </w:tr>
      <w:tr w14:paraId="1CC10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7BDC6D91">
            <w:pPr>
              <w:rPr>
                <w:rFonts w:ascii="Arial"/>
                <w:sz w:val="21"/>
              </w:rPr>
            </w:pPr>
          </w:p>
        </w:tc>
        <w:tc>
          <w:tcPr>
            <w:tcW w:w="6663" w:type="dxa"/>
            <w:vAlign w:val="top"/>
          </w:tcPr>
          <w:p w14:paraId="474ED7A9">
            <w:pPr>
              <w:pStyle w:val="6"/>
              <w:spacing w:before="68" w:line="231" w:lineRule="auto"/>
              <w:ind w:left="48" w:right="42" w:hanging="5"/>
              <w:rPr>
                <w:rFonts w:ascii="宋体" w:hAnsi="宋体" w:eastAsia="宋体" w:cs="宋体"/>
              </w:rPr>
            </w:pPr>
            <w:r>
              <w:rPr>
                <w:spacing w:val="-4"/>
              </w:rPr>
              <w:t xml:space="preserve">2013 </w:t>
            </w:r>
            <w:r>
              <w:rPr>
                <w:rFonts w:ascii="宋体" w:hAnsi="宋体" w:eastAsia="宋体" w:cs="宋体"/>
                <w:spacing w:val="-4"/>
              </w:rPr>
              <w:t>年</w:t>
            </w:r>
            <w:r>
              <w:rPr>
                <w:rFonts w:ascii="宋体" w:hAnsi="宋体" w:eastAsia="宋体" w:cs="宋体"/>
                <w:spacing w:val="-28"/>
              </w:rPr>
              <w:t xml:space="preserve"> </w:t>
            </w:r>
            <w:r>
              <w:rPr>
                <w:spacing w:val="-4"/>
              </w:rPr>
              <w:t>10</w:t>
            </w:r>
            <w:r>
              <w:rPr>
                <w:spacing w:val="14"/>
              </w:rPr>
              <w:t xml:space="preserve"> </w:t>
            </w:r>
            <w:r>
              <w:rPr>
                <w:rFonts w:ascii="宋体" w:hAnsi="宋体" w:eastAsia="宋体" w:cs="宋体"/>
                <w:spacing w:val="-4"/>
              </w:rPr>
              <w:t>月，水利部水利水电规划设计总院以“关于报送云南省曲靖市</w:t>
            </w:r>
            <w:r>
              <w:rPr>
                <w:rFonts w:ascii="宋体" w:hAnsi="宋体" w:eastAsia="宋体" w:cs="宋体"/>
                <w:spacing w:val="-2"/>
              </w:rPr>
              <w:t>车马碧水库工程项目建议书审查意见的报告”上报水利部。</w:t>
            </w:r>
          </w:p>
        </w:tc>
        <w:tc>
          <w:tcPr>
            <w:tcW w:w="1105" w:type="dxa"/>
            <w:tcBorders>
              <w:right w:val="single" w:color="000000" w:sz="12" w:space="0"/>
            </w:tcBorders>
            <w:vAlign w:val="top"/>
          </w:tcPr>
          <w:p w14:paraId="455A601B">
            <w:pPr>
              <w:pStyle w:val="6"/>
              <w:spacing w:before="68" w:line="231" w:lineRule="auto"/>
              <w:ind w:left="87" w:right="39" w:hanging="13"/>
              <w:rPr>
                <w:rFonts w:ascii="宋体" w:hAnsi="宋体" w:eastAsia="宋体" w:cs="宋体"/>
              </w:rPr>
            </w:pPr>
            <w:r>
              <w:rPr>
                <w:rFonts w:ascii="宋体" w:hAnsi="宋体" w:eastAsia="宋体" w:cs="宋体"/>
                <w:spacing w:val="-14"/>
              </w:rPr>
              <w:t>水总设〔</w:t>
            </w:r>
            <w:r>
              <w:rPr>
                <w:spacing w:val="-14"/>
              </w:rPr>
              <w:t>20</w:t>
            </w:r>
            <w:r>
              <w:rPr>
                <w:spacing w:val="3"/>
              </w:rPr>
              <w:t xml:space="preserve"> </w:t>
            </w:r>
            <w:r>
              <w:rPr>
                <w:spacing w:val="-17"/>
              </w:rPr>
              <w:t>13</w:t>
            </w:r>
            <w:r>
              <w:rPr>
                <w:rFonts w:ascii="宋体" w:hAnsi="宋体" w:eastAsia="宋体" w:cs="宋体"/>
                <w:spacing w:val="-17"/>
              </w:rPr>
              <w:t>〕</w:t>
            </w:r>
            <w:r>
              <w:rPr>
                <w:spacing w:val="-17"/>
              </w:rPr>
              <w:t xml:space="preserve">1000 </w:t>
            </w:r>
            <w:r>
              <w:rPr>
                <w:rFonts w:ascii="宋体" w:hAnsi="宋体" w:eastAsia="宋体" w:cs="宋体"/>
                <w:spacing w:val="-17"/>
              </w:rPr>
              <w:t>号</w:t>
            </w:r>
          </w:p>
        </w:tc>
      </w:tr>
      <w:tr w14:paraId="2177F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2E38F5A6">
            <w:pPr>
              <w:rPr>
                <w:rFonts w:ascii="Arial"/>
                <w:sz w:val="21"/>
              </w:rPr>
            </w:pPr>
          </w:p>
        </w:tc>
        <w:tc>
          <w:tcPr>
            <w:tcW w:w="6663" w:type="dxa"/>
            <w:vAlign w:val="top"/>
          </w:tcPr>
          <w:p w14:paraId="44D2B45C">
            <w:pPr>
              <w:pStyle w:val="6"/>
              <w:spacing w:before="70" w:line="230" w:lineRule="auto"/>
              <w:ind w:left="50" w:right="41" w:hanging="7"/>
              <w:rPr>
                <w:rFonts w:ascii="宋体" w:hAnsi="宋体" w:eastAsia="宋体" w:cs="宋体"/>
              </w:rPr>
            </w:pPr>
            <w:r>
              <w:rPr>
                <w:spacing w:val="-1"/>
              </w:rPr>
              <w:t>2014</w:t>
            </w:r>
            <w:r>
              <w:rPr>
                <w:spacing w:val="13"/>
                <w:w w:val="101"/>
              </w:rPr>
              <w:t xml:space="preserve"> </w:t>
            </w:r>
            <w:r>
              <w:rPr>
                <w:rFonts w:ascii="宋体" w:hAnsi="宋体" w:eastAsia="宋体" w:cs="宋体"/>
                <w:spacing w:val="-1"/>
              </w:rPr>
              <w:t>年</w:t>
            </w:r>
            <w:r>
              <w:rPr>
                <w:rFonts w:ascii="宋体" w:hAnsi="宋体" w:eastAsia="宋体" w:cs="宋体"/>
                <w:spacing w:val="-42"/>
              </w:rPr>
              <w:t xml:space="preserve"> </w:t>
            </w:r>
            <w:r>
              <w:rPr>
                <w:spacing w:val="-1"/>
              </w:rPr>
              <w:t>3</w:t>
            </w:r>
            <w:r>
              <w:rPr>
                <w:spacing w:val="17"/>
              </w:rPr>
              <w:t xml:space="preserve"> </w:t>
            </w:r>
            <w:r>
              <w:rPr>
                <w:rFonts w:ascii="宋体" w:hAnsi="宋体" w:eastAsia="宋体" w:cs="宋体"/>
                <w:spacing w:val="-1"/>
              </w:rPr>
              <w:t>月，水利部以“水利部关于报送云南省曲靖市车马碧</w:t>
            </w:r>
            <w:r>
              <w:rPr>
                <w:rFonts w:ascii="宋体" w:hAnsi="宋体" w:eastAsia="宋体" w:cs="宋体"/>
                <w:spacing w:val="-2"/>
              </w:rPr>
              <w:t>水库工程项目建议书审查意见的函”转报国家发展和改革委员会。</w:t>
            </w:r>
          </w:p>
        </w:tc>
        <w:tc>
          <w:tcPr>
            <w:tcW w:w="1105" w:type="dxa"/>
            <w:tcBorders>
              <w:right w:val="single" w:color="000000" w:sz="12" w:space="0"/>
            </w:tcBorders>
            <w:vAlign w:val="top"/>
          </w:tcPr>
          <w:p w14:paraId="50EE7969">
            <w:pPr>
              <w:pStyle w:val="6"/>
              <w:spacing w:before="70" w:line="230" w:lineRule="auto"/>
              <w:ind w:left="87" w:right="40" w:hanging="13"/>
              <w:rPr>
                <w:rFonts w:ascii="宋体" w:hAnsi="宋体" w:eastAsia="宋体" w:cs="宋体"/>
              </w:rPr>
            </w:pPr>
            <w:r>
              <w:rPr>
                <w:rFonts w:ascii="宋体" w:hAnsi="宋体" w:eastAsia="宋体" w:cs="宋体"/>
                <w:spacing w:val="-14"/>
              </w:rPr>
              <w:t>水规计〔</w:t>
            </w:r>
            <w:r>
              <w:rPr>
                <w:spacing w:val="-14"/>
              </w:rPr>
              <w:t>20</w:t>
            </w:r>
            <w:r>
              <w:rPr>
                <w:spacing w:val="3"/>
              </w:rPr>
              <w:t xml:space="preserve"> </w:t>
            </w:r>
            <w:r>
              <w:rPr>
                <w:spacing w:val="-10"/>
              </w:rPr>
              <w:t>14</w:t>
            </w:r>
            <w:r>
              <w:rPr>
                <w:rFonts w:ascii="宋体" w:hAnsi="宋体" w:eastAsia="宋体" w:cs="宋体"/>
                <w:spacing w:val="-10"/>
              </w:rPr>
              <w:t>﹞</w:t>
            </w:r>
            <w:r>
              <w:rPr>
                <w:rFonts w:ascii="宋体" w:hAnsi="宋体" w:eastAsia="宋体" w:cs="宋体"/>
                <w:spacing w:val="-81"/>
              </w:rPr>
              <w:t xml:space="preserve"> </w:t>
            </w:r>
            <w:r>
              <w:rPr>
                <w:spacing w:val="-10"/>
              </w:rPr>
              <w:t>1</w:t>
            </w:r>
            <w:r>
              <w:rPr>
                <w:spacing w:val="14"/>
                <w:w w:val="101"/>
              </w:rPr>
              <w:t xml:space="preserve"> </w:t>
            </w:r>
            <w:r>
              <w:rPr>
                <w:rFonts w:ascii="宋体" w:hAnsi="宋体" w:eastAsia="宋体" w:cs="宋体"/>
                <w:spacing w:val="-10"/>
              </w:rPr>
              <w:t>号</w:t>
            </w:r>
          </w:p>
        </w:tc>
      </w:tr>
      <w:tr w14:paraId="66D0B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51E4FC71">
            <w:pPr>
              <w:rPr>
                <w:rFonts w:ascii="Arial"/>
                <w:sz w:val="21"/>
              </w:rPr>
            </w:pPr>
          </w:p>
        </w:tc>
        <w:tc>
          <w:tcPr>
            <w:tcW w:w="6663" w:type="dxa"/>
            <w:vAlign w:val="top"/>
          </w:tcPr>
          <w:p w14:paraId="335BABCC">
            <w:pPr>
              <w:pStyle w:val="6"/>
              <w:spacing w:before="73" w:line="229" w:lineRule="auto"/>
              <w:ind w:left="47" w:right="40" w:hanging="4"/>
              <w:rPr>
                <w:rFonts w:ascii="宋体" w:hAnsi="宋体" w:eastAsia="宋体" w:cs="宋体"/>
              </w:rPr>
            </w:pPr>
            <w:r>
              <w:rPr>
                <w:spacing w:val="-1"/>
              </w:rPr>
              <w:t xml:space="preserve">2015 </w:t>
            </w:r>
            <w:r>
              <w:rPr>
                <w:rFonts w:ascii="宋体" w:hAnsi="宋体" w:eastAsia="宋体" w:cs="宋体"/>
                <w:spacing w:val="-1"/>
              </w:rPr>
              <w:t>年</w:t>
            </w:r>
            <w:r>
              <w:rPr>
                <w:rFonts w:ascii="宋体" w:hAnsi="宋体" w:eastAsia="宋体" w:cs="宋体"/>
                <w:spacing w:val="-31"/>
              </w:rPr>
              <w:t xml:space="preserve"> </w:t>
            </w:r>
            <w:r>
              <w:rPr>
                <w:spacing w:val="-1"/>
              </w:rPr>
              <w:t>2</w:t>
            </w:r>
            <w:r>
              <w:rPr>
                <w:spacing w:val="17"/>
              </w:rPr>
              <w:t xml:space="preserve"> </w:t>
            </w:r>
            <w:r>
              <w:rPr>
                <w:rFonts w:ascii="宋体" w:hAnsi="宋体" w:eastAsia="宋体" w:cs="宋体"/>
                <w:spacing w:val="-1"/>
              </w:rPr>
              <w:t>月，受国家发展和改革委员会委托中国水电顾问集团公司组织</w:t>
            </w:r>
            <w:r>
              <w:rPr>
                <w:rFonts w:ascii="宋体" w:hAnsi="宋体" w:eastAsia="宋体" w:cs="宋体"/>
                <w:spacing w:val="-2"/>
              </w:rPr>
              <w:t>专家对《云南省曲靖市车马碧水库工程项目建议书》进行了评估。</w:t>
            </w:r>
          </w:p>
        </w:tc>
        <w:tc>
          <w:tcPr>
            <w:tcW w:w="1105" w:type="dxa"/>
            <w:tcBorders>
              <w:right w:val="single" w:color="000000" w:sz="12" w:space="0"/>
            </w:tcBorders>
            <w:vAlign w:val="top"/>
          </w:tcPr>
          <w:p w14:paraId="0AECB807">
            <w:pPr>
              <w:rPr>
                <w:rFonts w:ascii="Arial"/>
                <w:sz w:val="21"/>
              </w:rPr>
            </w:pPr>
          </w:p>
        </w:tc>
      </w:tr>
      <w:tr w14:paraId="2B072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705" w:type="dxa"/>
            <w:vMerge w:val="continue"/>
            <w:tcBorders>
              <w:top w:val="nil"/>
              <w:left w:val="single" w:color="000000" w:sz="12" w:space="0"/>
            </w:tcBorders>
            <w:vAlign w:val="top"/>
          </w:tcPr>
          <w:p w14:paraId="1582C12A">
            <w:pPr>
              <w:rPr>
                <w:rFonts w:ascii="Arial"/>
                <w:sz w:val="21"/>
              </w:rPr>
            </w:pPr>
          </w:p>
        </w:tc>
        <w:tc>
          <w:tcPr>
            <w:tcW w:w="6663" w:type="dxa"/>
            <w:vAlign w:val="top"/>
          </w:tcPr>
          <w:p w14:paraId="4B3BA5F2">
            <w:pPr>
              <w:pStyle w:val="6"/>
              <w:spacing w:before="211" w:line="235" w:lineRule="auto"/>
              <w:ind w:left="48" w:right="41" w:hanging="5"/>
              <w:rPr>
                <w:rFonts w:ascii="宋体" w:hAnsi="宋体" w:eastAsia="宋体" w:cs="宋体"/>
              </w:rPr>
            </w:pPr>
            <w:r>
              <w:rPr>
                <w:spacing w:val="-1"/>
              </w:rPr>
              <w:t>2015</w:t>
            </w:r>
            <w:r>
              <w:rPr>
                <w:spacing w:val="13"/>
              </w:rPr>
              <w:t xml:space="preserve"> </w:t>
            </w:r>
            <w:r>
              <w:rPr>
                <w:rFonts w:ascii="宋体" w:hAnsi="宋体" w:eastAsia="宋体" w:cs="宋体"/>
                <w:spacing w:val="-1"/>
              </w:rPr>
              <w:t>年</w:t>
            </w:r>
            <w:r>
              <w:rPr>
                <w:rFonts w:ascii="宋体" w:hAnsi="宋体" w:eastAsia="宋体" w:cs="宋体"/>
                <w:spacing w:val="-42"/>
              </w:rPr>
              <w:t xml:space="preserve"> </w:t>
            </w:r>
            <w:r>
              <w:rPr>
                <w:spacing w:val="-1"/>
              </w:rPr>
              <w:t>7</w:t>
            </w:r>
            <w:r>
              <w:rPr>
                <w:spacing w:val="16"/>
                <w:w w:val="101"/>
              </w:rPr>
              <w:t xml:space="preserve"> </w:t>
            </w:r>
            <w:r>
              <w:rPr>
                <w:rFonts w:ascii="宋体" w:hAnsi="宋体" w:eastAsia="宋体" w:cs="宋体"/>
                <w:spacing w:val="-1"/>
              </w:rPr>
              <w:t>月，国家发展和改革委员会下发“国家发展改革委关于</w:t>
            </w:r>
            <w:r>
              <w:rPr>
                <w:rFonts w:ascii="宋体" w:hAnsi="宋体" w:eastAsia="宋体" w:cs="宋体"/>
                <w:spacing w:val="-2"/>
              </w:rPr>
              <w:t>云南省</w:t>
            </w:r>
            <w:r>
              <w:rPr>
                <w:rFonts w:ascii="宋体" w:hAnsi="宋体" w:eastAsia="宋体" w:cs="宋体"/>
                <w:spacing w:val="-3"/>
              </w:rPr>
              <w:t>车马碧水库工程项目建议书的批复”。</w:t>
            </w:r>
          </w:p>
        </w:tc>
        <w:tc>
          <w:tcPr>
            <w:tcW w:w="1105" w:type="dxa"/>
            <w:tcBorders>
              <w:right w:val="single" w:color="000000" w:sz="12" w:space="0"/>
            </w:tcBorders>
            <w:vAlign w:val="top"/>
          </w:tcPr>
          <w:p w14:paraId="1E4328D9">
            <w:pPr>
              <w:pStyle w:val="6"/>
              <w:spacing w:before="74" w:line="232" w:lineRule="auto"/>
              <w:ind w:left="66" w:right="40" w:firstLine="8"/>
              <w:jc w:val="both"/>
              <w:rPr>
                <w:rFonts w:ascii="宋体" w:hAnsi="宋体" w:eastAsia="宋体" w:cs="宋体"/>
              </w:rPr>
            </w:pPr>
            <w:r>
              <w:rPr>
                <w:rFonts w:ascii="宋体" w:hAnsi="宋体" w:eastAsia="宋体" w:cs="宋体"/>
                <w:spacing w:val="32"/>
              </w:rPr>
              <w:t>发改农经</w:t>
            </w:r>
            <w:r>
              <w:rPr>
                <w:rFonts w:ascii="宋体" w:hAnsi="宋体" w:eastAsia="宋体" w:cs="宋体"/>
                <w:spacing w:val="-10"/>
              </w:rPr>
              <w:t>〔</w:t>
            </w:r>
            <w:r>
              <w:rPr>
                <w:spacing w:val="-10"/>
              </w:rPr>
              <w:t>2015</w:t>
            </w:r>
            <w:r>
              <w:rPr>
                <w:rFonts w:ascii="宋体" w:hAnsi="宋体" w:eastAsia="宋体" w:cs="宋体"/>
                <w:spacing w:val="-10"/>
              </w:rPr>
              <w:t>〕</w:t>
            </w:r>
            <w:r>
              <w:rPr>
                <w:spacing w:val="-10"/>
              </w:rPr>
              <w:t>16</w:t>
            </w:r>
            <w:r>
              <w:rPr>
                <w:spacing w:val="6"/>
              </w:rPr>
              <w:t xml:space="preserve"> </w:t>
            </w:r>
            <w:r>
              <w:rPr>
                <w:spacing w:val="-1"/>
              </w:rPr>
              <w:t>44</w:t>
            </w:r>
            <w:r>
              <w:rPr>
                <w:spacing w:val="14"/>
              </w:rPr>
              <w:t xml:space="preserve"> </w:t>
            </w:r>
            <w:r>
              <w:rPr>
                <w:rFonts w:ascii="宋体" w:hAnsi="宋体" w:eastAsia="宋体" w:cs="宋体"/>
                <w:spacing w:val="-1"/>
              </w:rPr>
              <w:t>号</w:t>
            </w:r>
          </w:p>
        </w:tc>
      </w:tr>
      <w:tr w14:paraId="3917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05" w:type="dxa"/>
            <w:vMerge w:val="restart"/>
            <w:tcBorders>
              <w:left w:val="single" w:color="000000" w:sz="12" w:space="0"/>
              <w:bottom w:val="nil"/>
            </w:tcBorders>
            <w:vAlign w:val="top"/>
          </w:tcPr>
          <w:p w14:paraId="49F9EC25">
            <w:pPr>
              <w:spacing w:line="242" w:lineRule="auto"/>
              <w:rPr>
                <w:rFonts w:ascii="Arial"/>
                <w:sz w:val="21"/>
              </w:rPr>
            </w:pPr>
          </w:p>
          <w:p w14:paraId="12E64356">
            <w:pPr>
              <w:spacing w:line="242" w:lineRule="auto"/>
              <w:rPr>
                <w:rFonts w:ascii="Arial"/>
                <w:sz w:val="21"/>
              </w:rPr>
            </w:pPr>
          </w:p>
          <w:p w14:paraId="741F60DE">
            <w:pPr>
              <w:spacing w:before="68" w:line="241" w:lineRule="auto"/>
              <w:ind w:left="131" w:right="143"/>
              <w:jc w:val="both"/>
              <w:rPr>
                <w:rFonts w:ascii="宋体" w:hAnsi="宋体" w:eastAsia="宋体" w:cs="宋体"/>
                <w:sz w:val="21"/>
                <w:szCs w:val="21"/>
              </w:rPr>
            </w:pPr>
            <w:r>
              <w:rPr>
                <w:rFonts w:ascii="宋体" w:hAnsi="宋体" w:eastAsia="宋体" w:cs="宋体"/>
                <w:spacing w:val="-5"/>
                <w:sz w:val="21"/>
                <w:szCs w:val="21"/>
              </w:rPr>
              <w:t>可行</w:t>
            </w:r>
            <w:r>
              <w:rPr>
                <w:rFonts w:ascii="宋体" w:hAnsi="宋体" w:eastAsia="宋体" w:cs="宋体"/>
                <w:spacing w:val="-6"/>
                <w:sz w:val="21"/>
                <w:szCs w:val="21"/>
              </w:rPr>
              <w:t>性研究阶</w:t>
            </w:r>
            <w:r>
              <w:rPr>
                <w:rFonts w:ascii="宋体" w:hAnsi="宋体" w:eastAsia="宋体" w:cs="宋体"/>
                <w:spacing w:val="32"/>
                <w:w w:val="129"/>
                <w:sz w:val="21"/>
                <w:szCs w:val="21"/>
              </w:rPr>
              <w:t>段</w:t>
            </w:r>
          </w:p>
        </w:tc>
        <w:tc>
          <w:tcPr>
            <w:tcW w:w="6663" w:type="dxa"/>
            <w:vAlign w:val="top"/>
          </w:tcPr>
          <w:p w14:paraId="39F595E0">
            <w:pPr>
              <w:pStyle w:val="6"/>
              <w:spacing w:before="76" w:line="228" w:lineRule="auto"/>
              <w:ind w:left="47" w:right="52" w:hanging="4"/>
              <w:rPr>
                <w:rFonts w:ascii="宋体" w:hAnsi="宋体" w:eastAsia="宋体" w:cs="宋体"/>
              </w:rPr>
            </w:pPr>
            <w:r>
              <w:rPr>
                <w:spacing w:val="-4"/>
              </w:rPr>
              <w:t xml:space="preserve">2015 </w:t>
            </w:r>
            <w:r>
              <w:rPr>
                <w:rFonts w:ascii="宋体" w:hAnsi="宋体" w:eastAsia="宋体" w:cs="宋体"/>
                <w:spacing w:val="-4"/>
              </w:rPr>
              <w:t>年</w:t>
            </w:r>
            <w:r>
              <w:rPr>
                <w:rFonts w:ascii="宋体" w:hAnsi="宋体" w:eastAsia="宋体" w:cs="宋体"/>
                <w:spacing w:val="-28"/>
              </w:rPr>
              <w:t xml:space="preserve"> </w:t>
            </w:r>
            <w:r>
              <w:rPr>
                <w:spacing w:val="-4"/>
              </w:rPr>
              <w:t>12</w:t>
            </w:r>
            <w:r>
              <w:rPr>
                <w:spacing w:val="14"/>
                <w:w w:val="101"/>
              </w:rPr>
              <w:t xml:space="preserve"> </w:t>
            </w:r>
            <w:r>
              <w:rPr>
                <w:rFonts w:ascii="宋体" w:hAnsi="宋体" w:eastAsia="宋体" w:cs="宋体"/>
                <w:spacing w:val="-4"/>
              </w:rPr>
              <w:t>月，水利部水利水电规划设计总院对</w:t>
            </w:r>
            <w:r>
              <w:rPr>
                <w:rFonts w:ascii="宋体" w:hAnsi="宋体" w:eastAsia="宋体" w:cs="宋体"/>
                <w:spacing w:val="-5"/>
              </w:rPr>
              <w:t>《云南省曲靖市车马碧水</w:t>
            </w:r>
            <w:r>
              <w:rPr>
                <w:rFonts w:ascii="宋体" w:hAnsi="宋体" w:eastAsia="宋体" w:cs="宋体"/>
                <w:spacing w:val="-3"/>
              </w:rPr>
              <w:t>库工程可行性研究报告》进行了审查。</w:t>
            </w:r>
          </w:p>
        </w:tc>
        <w:tc>
          <w:tcPr>
            <w:tcW w:w="1105" w:type="dxa"/>
            <w:tcBorders>
              <w:right w:val="single" w:color="000000" w:sz="12" w:space="0"/>
            </w:tcBorders>
            <w:vAlign w:val="top"/>
          </w:tcPr>
          <w:p w14:paraId="71036A28">
            <w:pPr>
              <w:rPr>
                <w:rFonts w:ascii="Arial"/>
                <w:sz w:val="21"/>
              </w:rPr>
            </w:pPr>
          </w:p>
        </w:tc>
      </w:tr>
      <w:tr w14:paraId="6A91F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continue"/>
            <w:tcBorders>
              <w:top w:val="nil"/>
              <w:left w:val="single" w:color="000000" w:sz="12" w:space="0"/>
              <w:bottom w:val="nil"/>
            </w:tcBorders>
            <w:vAlign w:val="top"/>
          </w:tcPr>
          <w:p w14:paraId="1565E5F5">
            <w:pPr>
              <w:rPr>
                <w:rFonts w:ascii="Arial"/>
                <w:sz w:val="21"/>
              </w:rPr>
            </w:pPr>
          </w:p>
        </w:tc>
        <w:tc>
          <w:tcPr>
            <w:tcW w:w="6663" w:type="dxa"/>
            <w:vAlign w:val="top"/>
          </w:tcPr>
          <w:p w14:paraId="424E3F6D">
            <w:pPr>
              <w:pStyle w:val="6"/>
              <w:spacing w:before="77" w:line="227" w:lineRule="auto"/>
              <w:ind w:left="47" w:right="41" w:hanging="4"/>
              <w:rPr>
                <w:rFonts w:ascii="宋体" w:hAnsi="宋体" w:eastAsia="宋体" w:cs="宋体"/>
              </w:rPr>
            </w:pPr>
            <w:r>
              <w:rPr>
                <w:spacing w:val="-1"/>
              </w:rPr>
              <w:t>2016</w:t>
            </w:r>
            <w:r>
              <w:rPr>
                <w:spacing w:val="48"/>
              </w:rPr>
              <w:t xml:space="preserve"> </w:t>
            </w:r>
            <w:r>
              <w:rPr>
                <w:rFonts w:ascii="宋体" w:hAnsi="宋体" w:eastAsia="宋体" w:cs="宋体"/>
                <w:spacing w:val="-1"/>
              </w:rPr>
              <w:t xml:space="preserve">年 </w:t>
            </w:r>
            <w:r>
              <w:rPr>
                <w:spacing w:val="-1"/>
              </w:rPr>
              <w:t xml:space="preserve">11  </w:t>
            </w:r>
            <w:r>
              <w:rPr>
                <w:rFonts w:ascii="宋体" w:hAnsi="宋体" w:eastAsia="宋体" w:cs="宋体"/>
                <w:spacing w:val="-1"/>
              </w:rPr>
              <w:t>月，国家发展和改革委员会委托中国水利</w:t>
            </w:r>
            <w:r>
              <w:rPr>
                <w:rFonts w:ascii="宋体" w:hAnsi="宋体" w:eastAsia="宋体" w:cs="宋体"/>
                <w:spacing w:val="-2"/>
              </w:rPr>
              <w:t>水电建设工程咨询</w:t>
            </w:r>
            <w:r>
              <w:rPr>
                <w:rFonts w:ascii="宋体" w:hAnsi="宋体" w:eastAsia="宋体" w:cs="宋体"/>
                <w:spacing w:val="-1"/>
              </w:rPr>
              <w:t>有限公司对《云南省曲靖市车马碧水库可行性研究</w:t>
            </w:r>
            <w:r>
              <w:rPr>
                <w:rFonts w:ascii="宋体" w:hAnsi="宋体" w:eastAsia="宋体" w:cs="宋体"/>
                <w:spacing w:val="-2"/>
              </w:rPr>
              <w:t>报告》进行了评估。</w:t>
            </w:r>
          </w:p>
        </w:tc>
        <w:tc>
          <w:tcPr>
            <w:tcW w:w="1105" w:type="dxa"/>
            <w:tcBorders>
              <w:right w:val="single" w:color="000000" w:sz="12" w:space="0"/>
            </w:tcBorders>
            <w:vAlign w:val="top"/>
          </w:tcPr>
          <w:p w14:paraId="39C302BD">
            <w:pPr>
              <w:rPr>
                <w:rFonts w:ascii="Arial"/>
                <w:sz w:val="21"/>
              </w:rPr>
            </w:pPr>
          </w:p>
        </w:tc>
      </w:tr>
      <w:tr w14:paraId="4518F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705" w:type="dxa"/>
            <w:vMerge w:val="continue"/>
            <w:tcBorders>
              <w:top w:val="nil"/>
              <w:left w:val="single" w:color="000000" w:sz="12" w:space="0"/>
            </w:tcBorders>
            <w:vAlign w:val="top"/>
          </w:tcPr>
          <w:p w14:paraId="52829256">
            <w:pPr>
              <w:rPr>
                <w:rFonts w:ascii="Arial"/>
                <w:sz w:val="21"/>
              </w:rPr>
            </w:pPr>
          </w:p>
        </w:tc>
        <w:tc>
          <w:tcPr>
            <w:tcW w:w="6663" w:type="dxa"/>
            <w:vAlign w:val="top"/>
          </w:tcPr>
          <w:p w14:paraId="79A1D43C">
            <w:pPr>
              <w:pStyle w:val="6"/>
              <w:spacing w:before="214"/>
              <w:ind w:left="45" w:right="54" w:hanging="2"/>
              <w:rPr>
                <w:rFonts w:ascii="宋体" w:hAnsi="宋体" w:eastAsia="宋体" w:cs="宋体"/>
              </w:rPr>
            </w:pPr>
            <w:r>
              <w:rPr>
                <w:spacing w:val="-4"/>
              </w:rPr>
              <w:t xml:space="preserve">2016 </w:t>
            </w:r>
            <w:r>
              <w:rPr>
                <w:rFonts w:ascii="宋体" w:hAnsi="宋体" w:eastAsia="宋体" w:cs="宋体"/>
                <w:spacing w:val="-4"/>
              </w:rPr>
              <w:t>年</w:t>
            </w:r>
            <w:r>
              <w:rPr>
                <w:rFonts w:ascii="宋体" w:hAnsi="宋体" w:eastAsia="宋体" w:cs="宋体"/>
                <w:spacing w:val="-27"/>
              </w:rPr>
              <w:t xml:space="preserve"> </w:t>
            </w:r>
            <w:r>
              <w:rPr>
                <w:spacing w:val="-4"/>
              </w:rPr>
              <w:t>12</w:t>
            </w:r>
            <w:r>
              <w:rPr>
                <w:spacing w:val="14"/>
              </w:rPr>
              <w:t xml:space="preserve"> </w:t>
            </w:r>
            <w:r>
              <w:rPr>
                <w:rFonts w:ascii="宋体" w:hAnsi="宋体" w:eastAsia="宋体" w:cs="宋体"/>
                <w:spacing w:val="-4"/>
              </w:rPr>
              <w:t>月，国家发改委对《云南省曲靖</w:t>
            </w:r>
            <w:r>
              <w:rPr>
                <w:rFonts w:ascii="宋体" w:hAnsi="宋体" w:eastAsia="宋体" w:cs="宋体"/>
                <w:spacing w:val="-5"/>
              </w:rPr>
              <w:t>市车马碧水库工程可行性研究</w:t>
            </w:r>
            <w:r>
              <w:rPr>
                <w:rFonts w:ascii="宋体" w:hAnsi="宋体" w:eastAsia="宋体" w:cs="宋体"/>
                <w:spacing w:val="-1"/>
              </w:rPr>
              <w:t>报告》进行了批复。（见附件</w:t>
            </w:r>
            <w:r>
              <w:rPr>
                <w:rFonts w:ascii="宋体" w:hAnsi="宋体" w:eastAsia="宋体" w:cs="宋体"/>
                <w:spacing w:val="-45"/>
              </w:rPr>
              <w:t xml:space="preserve"> </w:t>
            </w:r>
            <w:r>
              <w:rPr>
                <w:spacing w:val="-1"/>
              </w:rPr>
              <w:t>2</w:t>
            </w:r>
            <w:r>
              <w:rPr>
                <w:rFonts w:ascii="宋体" w:hAnsi="宋体" w:eastAsia="宋体" w:cs="宋体"/>
                <w:spacing w:val="-1"/>
              </w:rPr>
              <w:t>）</w:t>
            </w:r>
          </w:p>
        </w:tc>
        <w:tc>
          <w:tcPr>
            <w:tcW w:w="1105" w:type="dxa"/>
            <w:tcBorders>
              <w:right w:val="single" w:color="000000" w:sz="12" w:space="0"/>
            </w:tcBorders>
            <w:vAlign w:val="top"/>
          </w:tcPr>
          <w:p w14:paraId="28ED9C7F">
            <w:pPr>
              <w:spacing w:before="77" w:line="220" w:lineRule="auto"/>
              <w:ind w:left="145"/>
              <w:rPr>
                <w:rFonts w:ascii="宋体" w:hAnsi="宋体" w:eastAsia="宋体" w:cs="宋体"/>
                <w:sz w:val="21"/>
                <w:szCs w:val="21"/>
              </w:rPr>
            </w:pPr>
            <w:r>
              <w:rPr>
                <w:rFonts w:ascii="宋体" w:hAnsi="宋体" w:eastAsia="宋体" w:cs="宋体"/>
                <w:spacing w:val="-3"/>
                <w:sz w:val="21"/>
                <w:szCs w:val="21"/>
              </w:rPr>
              <w:t>发改农经</w:t>
            </w:r>
          </w:p>
          <w:p w14:paraId="12BEE888">
            <w:pPr>
              <w:pStyle w:val="6"/>
              <w:spacing w:before="23" w:line="239" w:lineRule="auto"/>
              <w:ind w:left="113"/>
            </w:pPr>
            <w:r>
              <w:rPr>
                <w:rFonts w:ascii="宋体" w:hAnsi="宋体" w:eastAsia="宋体" w:cs="宋体"/>
                <w:spacing w:val="-4"/>
              </w:rPr>
              <w:t>〔</w:t>
            </w:r>
            <w:r>
              <w:rPr>
                <w:spacing w:val="-4"/>
              </w:rPr>
              <w:t>2016</w:t>
            </w:r>
            <w:r>
              <w:rPr>
                <w:rFonts w:ascii="宋体" w:hAnsi="宋体" w:eastAsia="宋体" w:cs="宋体"/>
                <w:spacing w:val="-4"/>
              </w:rPr>
              <w:t>﹞</w:t>
            </w:r>
            <w:r>
              <w:rPr>
                <w:spacing w:val="-4"/>
              </w:rPr>
              <w:t>2</w:t>
            </w:r>
          </w:p>
          <w:p w14:paraId="6666DF3C">
            <w:pPr>
              <w:pStyle w:val="6"/>
              <w:spacing w:line="212" w:lineRule="auto"/>
              <w:ind w:left="278"/>
              <w:rPr>
                <w:rFonts w:ascii="宋体" w:hAnsi="宋体" w:eastAsia="宋体" w:cs="宋体"/>
              </w:rPr>
            </w:pPr>
            <w:r>
              <w:rPr>
                <w:spacing w:val="-4"/>
              </w:rPr>
              <w:t>843</w:t>
            </w:r>
            <w:r>
              <w:rPr>
                <w:spacing w:val="16"/>
              </w:rPr>
              <w:t xml:space="preserve"> </w:t>
            </w:r>
            <w:r>
              <w:rPr>
                <w:rFonts w:ascii="宋体" w:hAnsi="宋体" w:eastAsia="宋体" w:cs="宋体"/>
                <w:spacing w:val="-4"/>
              </w:rPr>
              <w:t>号</w:t>
            </w:r>
          </w:p>
        </w:tc>
      </w:tr>
      <w:tr w14:paraId="6C40A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5" w:type="dxa"/>
            <w:vMerge w:val="restart"/>
            <w:tcBorders>
              <w:left w:val="single" w:color="000000" w:sz="12" w:space="0"/>
              <w:bottom w:val="nil"/>
            </w:tcBorders>
            <w:vAlign w:val="top"/>
          </w:tcPr>
          <w:p w14:paraId="73E62BFD">
            <w:pPr>
              <w:spacing w:line="320" w:lineRule="auto"/>
              <w:rPr>
                <w:rFonts w:ascii="Arial"/>
                <w:sz w:val="21"/>
              </w:rPr>
            </w:pPr>
          </w:p>
          <w:p w14:paraId="49258C9D">
            <w:pPr>
              <w:spacing w:before="68" w:line="241" w:lineRule="auto"/>
              <w:ind w:left="132" w:right="143" w:hanging="4"/>
              <w:jc w:val="both"/>
              <w:rPr>
                <w:rFonts w:ascii="宋体" w:hAnsi="宋体" w:eastAsia="宋体" w:cs="宋体"/>
                <w:sz w:val="21"/>
                <w:szCs w:val="21"/>
              </w:rPr>
            </w:pPr>
            <w:r>
              <w:rPr>
                <w:rFonts w:ascii="宋体" w:hAnsi="宋体" w:eastAsia="宋体" w:cs="宋体"/>
                <w:spacing w:val="-4"/>
                <w:sz w:val="21"/>
                <w:szCs w:val="21"/>
              </w:rPr>
              <w:t>初步</w:t>
            </w:r>
            <w:r>
              <w:rPr>
                <w:rFonts w:ascii="宋体" w:hAnsi="宋体" w:eastAsia="宋体" w:cs="宋体"/>
                <w:spacing w:val="-6"/>
                <w:sz w:val="21"/>
                <w:szCs w:val="21"/>
              </w:rPr>
              <w:t>设计阶段</w:t>
            </w:r>
          </w:p>
        </w:tc>
        <w:tc>
          <w:tcPr>
            <w:tcW w:w="6663" w:type="dxa"/>
            <w:vAlign w:val="top"/>
          </w:tcPr>
          <w:p w14:paraId="1643670B">
            <w:pPr>
              <w:pStyle w:val="6"/>
              <w:spacing w:before="82" w:line="225" w:lineRule="auto"/>
              <w:ind w:left="50" w:right="41" w:hanging="7"/>
              <w:rPr>
                <w:rFonts w:ascii="宋体" w:hAnsi="宋体" w:eastAsia="宋体" w:cs="宋体"/>
              </w:rPr>
            </w:pPr>
            <w:r>
              <w:rPr>
                <w:spacing w:val="-1"/>
              </w:rPr>
              <w:t xml:space="preserve">2017 </w:t>
            </w:r>
            <w:r>
              <w:rPr>
                <w:rFonts w:ascii="宋体" w:hAnsi="宋体" w:eastAsia="宋体" w:cs="宋体"/>
                <w:spacing w:val="-1"/>
              </w:rPr>
              <w:t>年</w:t>
            </w:r>
            <w:r>
              <w:rPr>
                <w:rFonts w:ascii="宋体" w:hAnsi="宋体" w:eastAsia="宋体" w:cs="宋体"/>
                <w:spacing w:val="-31"/>
              </w:rPr>
              <w:t xml:space="preserve"> </w:t>
            </w:r>
            <w:r>
              <w:rPr>
                <w:spacing w:val="-1"/>
              </w:rPr>
              <w:t>4</w:t>
            </w:r>
            <w:r>
              <w:rPr>
                <w:spacing w:val="16"/>
                <w:w w:val="101"/>
              </w:rPr>
              <w:t xml:space="preserve"> </w:t>
            </w:r>
            <w:r>
              <w:rPr>
                <w:rFonts w:ascii="宋体" w:hAnsi="宋体" w:eastAsia="宋体" w:cs="宋体"/>
                <w:spacing w:val="-1"/>
              </w:rPr>
              <w:t>月，云南省水利厅委托水利部水利水电规划设计总院对《云南</w:t>
            </w:r>
            <w:r>
              <w:rPr>
                <w:rFonts w:ascii="宋体" w:hAnsi="宋体" w:eastAsia="宋体" w:cs="宋体"/>
                <w:spacing w:val="-2"/>
              </w:rPr>
              <w:t>省曲靖市车马碧水库工程初步设计报告》进行了评审。</w:t>
            </w:r>
          </w:p>
        </w:tc>
        <w:tc>
          <w:tcPr>
            <w:tcW w:w="1105" w:type="dxa"/>
            <w:tcBorders>
              <w:right w:val="single" w:color="000000" w:sz="12" w:space="0"/>
            </w:tcBorders>
            <w:vAlign w:val="top"/>
          </w:tcPr>
          <w:p w14:paraId="7FCF76C6">
            <w:pPr>
              <w:rPr>
                <w:rFonts w:ascii="Arial"/>
                <w:sz w:val="21"/>
              </w:rPr>
            </w:pPr>
          </w:p>
        </w:tc>
      </w:tr>
      <w:tr w14:paraId="1837C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705" w:type="dxa"/>
            <w:vMerge w:val="continue"/>
            <w:tcBorders>
              <w:top w:val="nil"/>
              <w:left w:val="single" w:color="000000" w:sz="12" w:space="0"/>
              <w:bottom w:val="single" w:color="000000" w:sz="12" w:space="0"/>
            </w:tcBorders>
            <w:vAlign w:val="top"/>
          </w:tcPr>
          <w:p w14:paraId="6B6D6528">
            <w:pPr>
              <w:rPr>
                <w:rFonts w:ascii="Arial"/>
                <w:sz w:val="21"/>
              </w:rPr>
            </w:pPr>
          </w:p>
        </w:tc>
        <w:tc>
          <w:tcPr>
            <w:tcW w:w="6663" w:type="dxa"/>
            <w:tcBorders>
              <w:bottom w:val="single" w:color="000000" w:sz="12" w:space="0"/>
            </w:tcBorders>
            <w:vAlign w:val="top"/>
          </w:tcPr>
          <w:p w14:paraId="435B2265">
            <w:pPr>
              <w:pStyle w:val="6"/>
              <w:spacing w:before="219"/>
              <w:ind w:left="45" w:hanging="2"/>
              <w:rPr>
                <w:rFonts w:ascii="宋体" w:hAnsi="宋体" w:eastAsia="宋体" w:cs="宋体"/>
              </w:rPr>
            </w:pPr>
            <w:r>
              <w:rPr>
                <w:spacing w:val="-2"/>
              </w:rPr>
              <w:t>2017</w:t>
            </w:r>
            <w:r>
              <w:rPr>
                <w:spacing w:val="13"/>
              </w:rPr>
              <w:t xml:space="preserve"> </w:t>
            </w:r>
            <w:r>
              <w:rPr>
                <w:rFonts w:ascii="宋体" w:hAnsi="宋体" w:eastAsia="宋体" w:cs="宋体"/>
                <w:spacing w:val="-2"/>
              </w:rPr>
              <w:t>年</w:t>
            </w:r>
            <w:r>
              <w:rPr>
                <w:rFonts w:ascii="宋体" w:hAnsi="宋体" w:eastAsia="宋体" w:cs="宋体"/>
                <w:spacing w:val="-38"/>
              </w:rPr>
              <w:t xml:space="preserve"> </w:t>
            </w:r>
            <w:r>
              <w:rPr>
                <w:spacing w:val="-2"/>
              </w:rPr>
              <w:t>8</w:t>
            </w:r>
            <w:r>
              <w:rPr>
                <w:spacing w:val="16"/>
                <w:w w:val="101"/>
              </w:rPr>
              <w:t xml:space="preserve"> </w:t>
            </w:r>
            <w:r>
              <w:rPr>
                <w:rFonts w:ascii="宋体" w:hAnsi="宋体" w:eastAsia="宋体" w:cs="宋体"/>
                <w:spacing w:val="-2"/>
              </w:rPr>
              <w:t>月，云南省水利厅对《云南省</w:t>
            </w:r>
            <w:r>
              <w:rPr>
                <w:rFonts w:ascii="宋体" w:hAnsi="宋体" w:eastAsia="宋体" w:cs="宋体"/>
                <w:spacing w:val="-3"/>
              </w:rPr>
              <w:t>曲靖市车马碧水库工程初步设计</w:t>
            </w:r>
            <w:r>
              <w:rPr>
                <w:rFonts w:ascii="宋体" w:hAnsi="宋体" w:eastAsia="宋体" w:cs="宋体"/>
                <w:spacing w:val="-2"/>
              </w:rPr>
              <w:t>报告》进行了批复，同意曲靖市车马碧水库工程开工建设</w:t>
            </w:r>
            <w:r>
              <w:rPr>
                <w:rFonts w:ascii="宋体" w:hAnsi="宋体" w:eastAsia="宋体" w:cs="宋体"/>
                <w:spacing w:val="-3"/>
              </w:rPr>
              <w:t>。（见附件</w:t>
            </w:r>
            <w:r>
              <w:rPr>
                <w:rFonts w:ascii="宋体" w:hAnsi="宋体" w:eastAsia="宋体" w:cs="宋体"/>
                <w:spacing w:val="-43"/>
              </w:rPr>
              <w:t xml:space="preserve"> </w:t>
            </w:r>
            <w:r>
              <w:rPr>
                <w:spacing w:val="-3"/>
              </w:rPr>
              <w:t>3</w:t>
            </w:r>
            <w:r>
              <w:rPr>
                <w:rFonts w:ascii="宋体" w:hAnsi="宋体" w:eastAsia="宋体" w:cs="宋体"/>
                <w:spacing w:val="-3"/>
              </w:rPr>
              <w:t>）</w:t>
            </w:r>
          </w:p>
        </w:tc>
        <w:tc>
          <w:tcPr>
            <w:tcW w:w="1105" w:type="dxa"/>
            <w:tcBorders>
              <w:bottom w:val="single" w:color="000000" w:sz="12" w:space="0"/>
              <w:right w:val="single" w:color="000000" w:sz="12" w:space="0"/>
            </w:tcBorders>
            <w:vAlign w:val="top"/>
          </w:tcPr>
          <w:p w14:paraId="5BF4F899">
            <w:pPr>
              <w:spacing w:before="82" w:line="220" w:lineRule="auto"/>
              <w:ind w:left="148"/>
              <w:rPr>
                <w:rFonts w:ascii="宋体" w:hAnsi="宋体" w:eastAsia="宋体" w:cs="宋体"/>
                <w:sz w:val="21"/>
                <w:szCs w:val="21"/>
              </w:rPr>
            </w:pPr>
            <w:r>
              <w:rPr>
                <w:rFonts w:ascii="宋体" w:hAnsi="宋体" w:eastAsia="宋体" w:cs="宋体"/>
                <w:spacing w:val="-3"/>
                <w:sz w:val="21"/>
                <w:szCs w:val="21"/>
              </w:rPr>
              <w:t>云水规计</w:t>
            </w:r>
          </w:p>
          <w:p w14:paraId="795E2F75">
            <w:pPr>
              <w:pStyle w:val="6"/>
              <w:spacing w:before="23" w:line="239" w:lineRule="auto"/>
              <w:ind w:left="113"/>
            </w:pPr>
            <w:r>
              <w:rPr>
                <w:rFonts w:ascii="宋体" w:hAnsi="宋体" w:eastAsia="宋体" w:cs="宋体"/>
                <w:spacing w:val="-5"/>
              </w:rPr>
              <w:t>〔</w:t>
            </w:r>
            <w:r>
              <w:rPr>
                <w:spacing w:val="-5"/>
              </w:rPr>
              <w:t>2017</w:t>
            </w:r>
            <w:r>
              <w:rPr>
                <w:rFonts w:ascii="宋体" w:hAnsi="宋体" w:eastAsia="宋体" w:cs="宋体"/>
                <w:spacing w:val="-5"/>
              </w:rPr>
              <w:t>〕</w:t>
            </w:r>
            <w:r>
              <w:rPr>
                <w:spacing w:val="-5"/>
              </w:rPr>
              <w:t>4</w:t>
            </w:r>
          </w:p>
          <w:p w14:paraId="4BC78F78">
            <w:pPr>
              <w:pStyle w:val="6"/>
              <w:spacing w:line="228" w:lineRule="auto"/>
              <w:ind w:left="383"/>
              <w:rPr>
                <w:rFonts w:ascii="宋体" w:hAnsi="宋体" w:eastAsia="宋体" w:cs="宋体"/>
              </w:rPr>
            </w:pPr>
            <w:r>
              <w:rPr>
                <w:spacing w:val="-7"/>
              </w:rPr>
              <w:t>8</w:t>
            </w:r>
            <w:r>
              <w:rPr>
                <w:spacing w:val="14"/>
              </w:rPr>
              <w:t xml:space="preserve"> </w:t>
            </w:r>
            <w:r>
              <w:rPr>
                <w:rFonts w:ascii="宋体" w:hAnsi="宋体" w:eastAsia="宋体" w:cs="宋体"/>
                <w:spacing w:val="-7"/>
              </w:rPr>
              <w:t>号</w:t>
            </w:r>
          </w:p>
        </w:tc>
      </w:tr>
    </w:tbl>
    <w:p w14:paraId="2B2E1430">
      <w:pPr>
        <w:pStyle w:val="2"/>
        <w:spacing w:before="232" w:line="226" w:lineRule="auto"/>
        <w:ind w:left="30"/>
        <w:rPr>
          <w:sz w:val="27"/>
          <w:szCs w:val="27"/>
        </w:rPr>
      </w:pPr>
      <w:r>
        <w:rPr>
          <w:rFonts w:ascii="Arial" w:hAnsi="Arial" w:eastAsia="Arial" w:cs="Arial"/>
          <w:spacing w:val="10"/>
          <w:position w:val="1"/>
          <w:sz w:val="21"/>
          <w:szCs w:val="21"/>
        </w:rPr>
        <w:t>3.2.2</w:t>
      </w:r>
      <w:r>
        <w:rPr>
          <w:rFonts w:ascii="Arial" w:hAnsi="Arial" w:eastAsia="Arial" w:cs="Arial"/>
          <w:spacing w:val="2"/>
          <w:position w:val="1"/>
          <w:sz w:val="21"/>
          <w:szCs w:val="21"/>
        </w:rPr>
        <w:t xml:space="preserve">     </w:t>
      </w:r>
      <w:r>
        <w:rPr>
          <w:b/>
          <w:bCs/>
          <w:spacing w:val="10"/>
          <w:position w:val="-1"/>
          <w:sz w:val="27"/>
          <w:szCs w:val="27"/>
        </w:rPr>
        <w:t>环评制度执行过程</w:t>
      </w:r>
    </w:p>
    <w:p w14:paraId="5C711E37">
      <w:pPr>
        <w:pStyle w:val="2"/>
        <w:spacing w:before="262" w:line="218" w:lineRule="auto"/>
        <w:jc w:val="right"/>
        <w:rPr>
          <w:sz w:val="24"/>
          <w:szCs w:val="24"/>
        </w:rPr>
      </w:pPr>
      <w:r>
        <w:rPr>
          <w:spacing w:val="-2"/>
          <w:sz w:val="24"/>
          <w:szCs w:val="24"/>
        </w:rPr>
        <w:t>环境影响评价工作在项目可行性研究阶段同步</w:t>
      </w:r>
      <w:r>
        <w:rPr>
          <w:spacing w:val="-3"/>
          <w:sz w:val="24"/>
          <w:szCs w:val="24"/>
        </w:rPr>
        <w:t>开展，环评文件审批过程如下：</w:t>
      </w:r>
    </w:p>
    <w:p w14:paraId="24D7F2E1">
      <w:pPr>
        <w:pStyle w:val="2"/>
        <w:spacing w:before="156" w:line="330" w:lineRule="auto"/>
        <w:ind w:left="38" w:right="64" w:firstLine="476"/>
        <w:rPr>
          <w:sz w:val="24"/>
          <w:szCs w:val="24"/>
        </w:rPr>
      </w:pPr>
      <w:r>
        <w:rPr>
          <w:rFonts w:ascii="Times New Roman" w:hAnsi="Times New Roman" w:eastAsia="Times New Roman" w:cs="Times New Roman"/>
          <w:spacing w:val="-1"/>
          <w:sz w:val="24"/>
          <w:szCs w:val="24"/>
        </w:rPr>
        <w:t>2015</w:t>
      </w:r>
      <w:r>
        <w:rPr>
          <w:rFonts w:ascii="Times New Roman" w:hAnsi="Times New Roman" w:eastAsia="Times New Roman" w:cs="Times New Roman"/>
          <w:spacing w:val="25"/>
          <w:sz w:val="24"/>
          <w:szCs w:val="24"/>
        </w:rPr>
        <w:t xml:space="preserve"> </w:t>
      </w:r>
      <w:r>
        <w:rPr>
          <w:spacing w:val="-1"/>
          <w:sz w:val="24"/>
          <w:szCs w:val="24"/>
        </w:rPr>
        <w:t>年</w:t>
      </w:r>
      <w:r>
        <w:rPr>
          <w:spacing w:val="-37"/>
          <w:sz w:val="24"/>
          <w:szCs w:val="24"/>
        </w:rPr>
        <w:t xml:space="preserve"> </w:t>
      </w:r>
      <w:r>
        <w:rPr>
          <w:rFonts w:ascii="Times New Roman" w:hAnsi="Times New Roman" w:eastAsia="Times New Roman" w:cs="Times New Roman"/>
          <w:spacing w:val="-1"/>
          <w:sz w:val="24"/>
          <w:szCs w:val="24"/>
        </w:rPr>
        <w:t>7</w:t>
      </w:r>
      <w:r>
        <w:rPr>
          <w:rFonts w:ascii="Times New Roman" w:hAnsi="Times New Roman" w:eastAsia="Times New Roman" w:cs="Times New Roman"/>
          <w:spacing w:val="31"/>
          <w:sz w:val="24"/>
          <w:szCs w:val="24"/>
        </w:rPr>
        <w:t xml:space="preserve"> </w:t>
      </w:r>
      <w:r>
        <w:rPr>
          <w:spacing w:val="-1"/>
          <w:sz w:val="24"/>
          <w:szCs w:val="24"/>
        </w:rPr>
        <w:t>月，曲靖市车马碧水库工程建设管理局委托我院承担车</w:t>
      </w:r>
      <w:r>
        <w:rPr>
          <w:spacing w:val="-2"/>
          <w:sz w:val="24"/>
          <w:szCs w:val="24"/>
        </w:rPr>
        <w:t>马碧水库工</w:t>
      </w:r>
      <w:r>
        <w:rPr>
          <w:spacing w:val="-3"/>
          <w:sz w:val="24"/>
          <w:szCs w:val="24"/>
        </w:rPr>
        <w:t>程环境影响报告书的编制工作。</w:t>
      </w:r>
    </w:p>
    <w:p w14:paraId="4E241922">
      <w:pPr>
        <w:pStyle w:val="2"/>
        <w:spacing w:before="22" w:line="232" w:lineRule="auto"/>
        <w:ind w:left="515"/>
        <w:rPr>
          <w:sz w:val="24"/>
          <w:szCs w:val="24"/>
        </w:rPr>
      </w:pPr>
      <w:r>
        <w:rPr>
          <w:rFonts w:ascii="Times New Roman" w:hAnsi="Times New Roman" w:eastAsia="Times New Roman" w:cs="Times New Roman"/>
          <w:spacing w:val="-1"/>
          <w:sz w:val="24"/>
          <w:szCs w:val="24"/>
        </w:rPr>
        <w:t xml:space="preserve">2015  </w:t>
      </w:r>
      <w:r>
        <w:rPr>
          <w:spacing w:val="-1"/>
          <w:sz w:val="24"/>
          <w:szCs w:val="24"/>
        </w:rPr>
        <w:t xml:space="preserve">年 </w:t>
      </w:r>
      <w:r>
        <w:rPr>
          <w:rFonts w:ascii="Times New Roman" w:hAnsi="Times New Roman" w:eastAsia="Times New Roman" w:cs="Times New Roman"/>
          <w:spacing w:val="-1"/>
          <w:sz w:val="24"/>
          <w:szCs w:val="24"/>
        </w:rPr>
        <w:t xml:space="preserve">12  </w:t>
      </w:r>
      <w:r>
        <w:rPr>
          <w:spacing w:val="-1"/>
          <w:sz w:val="24"/>
          <w:szCs w:val="24"/>
        </w:rPr>
        <w:t>月，我院编制完成《云南省曲靖市车马碧水库工程环境影响报告</w:t>
      </w:r>
    </w:p>
    <w:p w14:paraId="51BB665B">
      <w:pPr>
        <w:spacing w:line="232" w:lineRule="auto"/>
        <w:rPr>
          <w:sz w:val="24"/>
          <w:szCs w:val="24"/>
        </w:rPr>
        <w:sectPr>
          <w:headerReference r:id="rId48" w:type="default"/>
          <w:footerReference r:id="rId49" w:type="default"/>
          <w:pgSz w:w="11907" w:h="16839"/>
          <w:pgMar w:top="1376" w:right="1635" w:bottom="1061" w:left="1671" w:header="999" w:footer="859" w:gutter="0"/>
          <w:cols w:space="720" w:num="1"/>
        </w:sectPr>
      </w:pPr>
    </w:p>
    <w:p w14:paraId="6363AD57">
      <w:pPr>
        <w:spacing w:line="453" w:lineRule="auto"/>
        <w:rPr>
          <w:rFonts w:ascii="Arial"/>
          <w:sz w:val="21"/>
        </w:rPr>
      </w:pPr>
    </w:p>
    <w:p w14:paraId="5F642276">
      <w:pPr>
        <w:pStyle w:val="2"/>
        <w:spacing w:before="78" w:line="331" w:lineRule="auto"/>
        <w:ind w:left="44" w:right="30"/>
        <w:rPr>
          <w:sz w:val="24"/>
          <w:szCs w:val="24"/>
        </w:rPr>
      </w:pPr>
      <w:r>
        <w:rPr>
          <w:spacing w:val="-6"/>
          <w:sz w:val="24"/>
          <w:szCs w:val="24"/>
        </w:rPr>
        <w:t xml:space="preserve">书》，水利部水利水电规划设计总院于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57"/>
          <w:w w:val="101"/>
          <w:sz w:val="24"/>
          <w:szCs w:val="24"/>
        </w:rPr>
        <w:t xml:space="preserve"> </w:t>
      </w:r>
      <w:r>
        <w:rPr>
          <w:spacing w:val="-6"/>
          <w:sz w:val="24"/>
          <w:szCs w:val="24"/>
        </w:rPr>
        <w:t>月</w:t>
      </w:r>
      <w:r>
        <w:rPr>
          <w:spacing w:val="-32"/>
          <w:sz w:val="24"/>
          <w:szCs w:val="24"/>
        </w:rPr>
        <w:t xml:space="preserve"> </w:t>
      </w:r>
      <w:r>
        <w:rPr>
          <w:rFonts w:ascii="Times New Roman" w:hAnsi="Times New Roman" w:eastAsia="Times New Roman" w:cs="Times New Roman"/>
          <w:spacing w:val="-6"/>
          <w:sz w:val="24"/>
          <w:szCs w:val="24"/>
        </w:rPr>
        <w:t xml:space="preserve">21~22  </w:t>
      </w:r>
      <w:r>
        <w:rPr>
          <w:spacing w:val="-6"/>
          <w:sz w:val="24"/>
          <w:szCs w:val="24"/>
        </w:rPr>
        <w:t>日在北京主持召开环境影响报</w:t>
      </w:r>
      <w:r>
        <w:rPr>
          <w:spacing w:val="-5"/>
          <w:sz w:val="24"/>
          <w:szCs w:val="24"/>
        </w:rPr>
        <w:t>告书预审会，提出了补充完善意见，会后我院根据意见对报告书进行</w:t>
      </w:r>
      <w:r>
        <w:rPr>
          <w:spacing w:val="-6"/>
          <w:sz w:val="24"/>
          <w:szCs w:val="24"/>
        </w:rPr>
        <w:t>了修改完善。</w:t>
      </w:r>
    </w:p>
    <w:p w14:paraId="4768F3D6">
      <w:pPr>
        <w:pStyle w:val="2"/>
        <w:spacing w:before="22" w:line="338" w:lineRule="auto"/>
        <w:ind w:left="40" w:right="31" w:firstLine="474"/>
        <w:jc w:val="both"/>
        <w:rPr>
          <w:sz w:val="24"/>
          <w:szCs w:val="24"/>
        </w:rPr>
      </w:pPr>
      <w:r>
        <w:rPr>
          <w:rFonts w:ascii="Times New Roman" w:hAnsi="Times New Roman" w:eastAsia="Times New Roman" w:cs="Times New Roman"/>
          <w:spacing w:val="-5"/>
          <w:sz w:val="24"/>
          <w:szCs w:val="24"/>
        </w:rPr>
        <w:t>2016</w:t>
      </w:r>
      <w:r>
        <w:rPr>
          <w:rFonts w:ascii="Times New Roman" w:hAnsi="Times New Roman" w:eastAsia="Times New Roman" w:cs="Times New Roman"/>
          <w:spacing w:val="18"/>
          <w:sz w:val="24"/>
          <w:szCs w:val="24"/>
        </w:rPr>
        <w:t xml:space="preserve"> </w:t>
      </w:r>
      <w:r>
        <w:rPr>
          <w:spacing w:val="-5"/>
          <w:sz w:val="24"/>
          <w:szCs w:val="24"/>
        </w:rPr>
        <w:t>年</w:t>
      </w:r>
      <w:r>
        <w:rPr>
          <w:spacing w:val="-44"/>
          <w:sz w:val="24"/>
          <w:szCs w:val="24"/>
        </w:rPr>
        <w:t xml:space="preserve"> </w:t>
      </w:r>
      <w:r>
        <w:rPr>
          <w:rFonts w:ascii="Times New Roman" w:hAnsi="Times New Roman" w:eastAsia="Times New Roman" w:cs="Times New Roman"/>
          <w:spacing w:val="-5"/>
          <w:sz w:val="24"/>
          <w:szCs w:val="24"/>
        </w:rPr>
        <w:t>7</w:t>
      </w:r>
      <w:r>
        <w:rPr>
          <w:rFonts w:ascii="Times New Roman" w:hAnsi="Times New Roman" w:eastAsia="Times New Roman" w:cs="Times New Roman"/>
          <w:spacing w:val="23"/>
          <w:w w:val="101"/>
          <w:sz w:val="24"/>
          <w:szCs w:val="24"/>
        </w:rPr>
        <w:t xml:space="preserve"> </w:t>
      </w:r>
      <w:r>
        <w:rPr>
          <w:spacing w:val="-5"/>
          <w:sz w:val="24"/>
          <w:szCs w:val="24"/>
        </w:rPr>
        <w:t>月</w:t>
      </w:r>
      <w:r>
        <w:rPr>
          <w:spacing w:val="-25"/>
          <w:sz w:val="24"/>
          <w:szCs w:val="24"/>
        </w:rPr>
        <w:t xml:space="preserve"> </w:t>
      </w:r>
      <w:r>
        <w:rPr>
          <w:rFonts w:ascii="Times New Roman" w:hAnsi="Times New Roman" w:eastAsia="Times New Roman" w:cs="Times New Roman"/>
          <w:spacing w:val="-5"/>
          <w:sz w:val="24"/>
          <w:szCs w:val="24"/>
        </w:rPr>
        <w:t xml:space="preserve">11  </w:t>
      </w:r>
      <w:r>
        <w:rPr>
          <w:spacing w:val="-5"/>
          <w:sz w:val="24"/>
          <w:szCs w:val="24"/>
        </w:rPr>
        <w:t>日至</w:t>
      </w:r>
      <w:r>
        <w:rPr>
          <w:spacing w:val="-25"/>
          <w:sz w:val="24"/>
          <w:szCs w:val="24"/>
        </w:rPr>
        <w:t xml:space="preserve"> </w:t>
      </w:r>
      <w:r>
        <w:rPr>
          <w:rFonts w:ascii="Times New Roman" w:hAnsi="Times New Roman" w:eastAsia="Times New Roman" w:cs="Times New Roman"/>
          <w:spacing w:val="-5"/>
          <w:sz w:val="24"/>
          <w:szCs w:val="24"/>
        </w:rPr>
        <w:t xml:space="preserve">13  </w:t>
      </w:r>
      <w:r>
        <w:rPr>
          <w:spacing w:val="-5"/>
          <w:sz w:val="24"/>
          <w:szCs w:val="24"/>
        </w:rPr>
        <w:t>日，原环保部环境工程评估</w:t>
      </w:r>
      <w:r>
        <w:rPr>
          <w:spacing w:val="-6"/>
          <w:sz w:val="24"/>
          <w:szCs w:val="24"/>
        </w:rPr>
        <w:t>中心在昆明市组织召开了</w:t>
      </w:r>
      <w:r>
        <w:rPr>
          <w:spacing w:val="-4"/>
          <w:sz w:val="24"/>
          <w:szCs w:val="24"/>
        </w:rPr>
        <w:t>《云南省曲靖市车马碧水库工程环境影响报告书》技术评估会，会后我院</w:t>
      </w:r>
      <w:r>
        <w:rPr>
          <w:spacing w:val="-5"/>
          <w:sz w:val="24"/>
          <w:szCs w:val="24"/>
        </w:rPr>
        <w:t>根据评估</w:t>
      </w:r>
      <w:r>
        <w:rPr>
          <w:spacing w:val="-4"/>
          <w:sz w:val="24"/>
          <w:szCs w:val="24"/>
        </w:rPr>
        <w:t>意见对报告书进行了补充完善，完成《云南省曲靖市车马碧水库工程环境</w:t>
      </w:r>
      <w:r>
        <w:rPr>
          <w:spacing w:val="-5"/>
          <w:sz w:val="24"/>
          <w:szCs w:val="24"/>
        </w:rPr>
        <w:t>影响报告</w:t>
      </w:r>
      <w:r>
        <w:rPr>
          <w:spacing w:val="-34"/>
          <w:sz w:val="24"/>
          <w:szCs w:val="24"/>
        </w:rPr>
        <w:t>书》（报批稿）。</w:t>
      </w:r>
    </w:p>
    <w:p w14:paraId="067BFB90">
      <w:pPr>
        <w:pStyle w:val="2"/>
        <w:spacing w:line="339" w:lineRule="auto"/>
        <w:ind w:left="41" w:right="43" w:firstLine="473"/>
        <w:rPr>
          <w:sz w:val="24"/>
          <w:szCs w:val="24"/>
        </w:rPr>
      </w:pPr>
      <w:r>
        <w:rPr>
          <w:rFonts w:ascii="Times New Roman" w:hAnsi="Times New Roman" w:eastAsia="Times New Roman" w:cs="Times New Roman"/>
          <w:spacing w:val="-3"/>
          <w:sz w:val="24"/>
          <w:szCs w:val="24"/>
        </w:rPr>
        <w:t xml:space="preserve">2016 </w:t>
      </w:r>
      <w:r>
        <w:rPr>
          <w:spacing w:val="-3"/>
          <w:sz w:val="24"/>
          <w:szCs w:val="24"/>
        </w:rPr>
        <w:t>年</w:t>
      </w:r>
      <w:r>
        <w:rPr>
          <w:spacing w:val="-50"/>
          <w:sz w:val="24"/>
          <w:szCs w:val="24"/>
        </w:rPr>
        <w:t xml:space="preserve"> </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15"/>
          <w:w w:val="101"/>
          <w:sz w:val="24"/>
          <w:szCs w:val="24"/>
        </w:rPr>
        <w:t xml:space="preserve"> </w:t>
      </w:r>
      <w:r>
        <w:rPr>
          <w:spacing w:val="-3"/>
          <w:sz w:val="24"/>
          <w:szCs w:val="24"/>
        </w:rPr>
        <w:t>月</w:t>
      </w:r>
      <w:r>
        <w:rPr>
          <w:spacing w:val="-55"/>
          <w:sz w:val="24"/>
          <w:szCs w:val="24"/>
        </w:rPr>
        <w:t xml:space="preserve"> </w:t>
      </w:r>
      <w:r>
        <w:rPr>
          <w:rFonts w:ascii="Times New Roman" w:hAnsi="Times New Roman" w:eastAsia="Times New Roman" w:cs="Times New Roman"/>
          <w:spacing w:val="-3"/>
          <w:sz w:val="24"/>
          <w:szCs w:val="24"/>
        </w:rPr>
        <w:t xml:space="preserve">24  </w:t>
      </w:r>
      <w:r>
        <w:rPr>
          <w:spacing w:val="-3"/>
          <w:sz w:val="24"/>
          <w:szCs w:val="24"/>
        </w:rPr>
        <w:t>日，原环境保护部以环审〔</w:t>
      </w:r>
      <w:r>
        <w:rPr>
          <w:rFonts w:ascii="Times New Roman" w:hAnsi="Times New Roman" w:eastAsia="Times New Roman" w:cs="Times New Roman"/>
          <w:spacing w:val="-3"/>
          <w:sz w:val="24"/>
          <w:szCs w:val="24"/>
        </w:rPr>
        <w:t>2016</w:t>
      </w:r>
      <w:r>
        <w:rPr>
          <w:spacing w:val="-4"/>
          <w:sz w:val="24"/>
          <w:szCs w:val="24"/>
        </w:rPr>
        <w:t>〕</w:t>
      </w:r>
      <w:r>
        <w:rPr>
          <w:rFonts w:ascii="Times New Roman" w:hAnsi="Times New Roman" w:eastAsia="Times New Roman" w:cs="Times New Roman"/>
          <w:spacing w:val="-4"/>
          <w:sz w:val="24"/>
          <w:szCs w:val="24"/>
        </w:rPr>
        <w:t>125</w:t>
      </w:r>
      <w:r>
        <w:rPr>
          <w:rFonts w:ascii="Times New Roman" w:hAnsi="Times New Roman" w:eastAsia="Times New Roman" w:cs="Times New Roman"/>
          <w:spacing w:val="15"/>
          <w:sz w:val="24"/>
          <w:szCs w:val="24"/>
        </w:rPr>
        <w:t xml:space="preserve"> </w:t>
      </w:r>
      <w:r>
        <w:rPr>
          <w:spacing w:val="-4"/>
          <w:sz w:val="24"/>
          <w:szCs w:val="24"/>
        </w:rPr>
        <w:t>号文对《云南省曲靖市</w:t>
      </w:r>
      <w:r>
        <w:rPr>
          <w:spacing w:val="-2"/>
          <w:sz w:val="24"/>
          <w:szCs w:val="24"/>
        </w:rPr>
        <w:t>车马碧水库工程环境影响报告书》进行了批复。见附件</w:t>
      </w:r>
      <w:r>
        <w:rPr>
          <w:spacing w:val="-20"/>
          <w:sz w:val="24"/>
          <w:szCs w:val="24"/>
        </w:rPr>
        <w:t xml:space="preserve"> </w:t>
      </w:r>
      <w:r>
        <w:rPr>
          <w:rFonts w:ascii="Times New Roman" w:hAnsi="Times New Roman" w:eastAsia="Times New Roman" w:cs="Times New Roman"/>
          <w:spacing w:val="-2"/>
          <w:sz w:val="24"/>
          <w:szCs w:val="24"/>
        </w:rPr>
        <w:t>1</w:t>
      </w:r>
      <w:r>
        <w:rPr>
          <w:spacing w:val="-2"/>
          <w:sz w:val="24"/>
          <w:szCs w:val="24"/>
        </w:rPr>
        <w:t>。</w:t>
      </w:r>
    </w:p>
    <w:p w14:paraId="497E1546">
      <w:pPr>
        <w:pStyle w:val="2"/>
        <w:spacing w:before="85" w:line="227" w:lineRule="auto"/>
        <w:ind w:left="30"/>
        <w:rPr>
          <w:sz w:val="27"/>
          <w:szCs w:val="27"/>
        </w:rPr>
      </w:pPr>
      <w:r>
        <w:rPr>
          <w:rFonts w:ascii="Arial" w:hAnsi="Arial" w:eastAsia="Arial" w:cs="Arial"/>
          <w:spacing w:val="10"/>
          <w:position w:val="1"/>
          <w:sz w:val="21"/>
          <w:szCs w:val="21"/>
        </w:rPr>
        <w:t>3.2.3</w:t>
      </w:r>
      <w:r>
        <w:rPr>
          <w:rFonts w:ascii="Arial" w:hAnsi="Arial" w:eastAsia="Arial" w:cs="Arial"/>
          <w:spacing w:val="3"/>
          <w:position w:val="1"/>
          <w:sz w:val="21"/>
          <w:szCs w:val="21"/>
        </w:rPr>
        <w:t xml:space="preserve">     </w:t>
      </w:r>
      <w:r>
        <w:rPr>
          <w:b/>
          <w:bCs/>
          <w:spacing w:val="10"/>
          <w:position w:val="-1"/>
          <w:sz w:val="27"/>
          <w:szCs w:val="27"/>
        </w:rPr>
        <w:t>工程建设过程</w:t>
      </w:r>
    </w:p>
    <w:p w14:paraId="53C83C80">
      <w:pPr>
        <w:pStyle w:val="2"/>
        <w:spacing w:before="263" w:line="338" w:lineRule="auto"/>
        <w:ind w:left="38" w:right="30" w:firstLine="476"/>
        <w:jc w:val="both"/>
        <w:rPr>
          <w:sz w:val="24"/>
          <w:szCs w:val="24"/>
        </w:rPr>
      </w:pPr>
      <w:r>
        <w:rPr>
          <w:rFonts w:ascii="Times New Roman" w:hAnsi="Times New Roman" w:eastAsia="Times New Roman" w:cs="Times New Roman"/>
          <w:spacing w:val="-5"/>
          <w:sz w:val="24"/>
          <w:szCs w:val="24"/>
        </w:rPr>
        <w:t>2017</w:t>
      </w:r>
      <w:r>
        <w:rPr>
          <w:rFonts w:ascii="Times New Roman" w:hAnsi="Times New Roman" w:eastAsia="Times New Roman" w:cs="Times New Roman"/>
          <w:spacing w:val="33"/>
          <w:w w:val="101"/>
          <w:sz w:val="24"/>
          <w:szCs w:val="24"/>
        </w:rPr>
        <w:t xml:space="preserve"> </w:t>
      </w:r>
      <w:r>
        <w:rPr>
          <w:spacing w:val="-5"/>
          <w:sz w:val="24"/>
          <w:szCs w:val="24"/>
        </w:rPr>
        <w:t xml:space="preserve">年 </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24"/>
          <w:w w:val="101"/>
          <w:sz w:val="24"/>
          <w:szCs w:val="24"/>
        </w:rPr>
        <w:t xml:space="preserve"> </w:t>
      </w:r>
      <w:r>
        <w:rPr>
          <w:spacing w:val="-5"/>
          <w:sz w:val="24"/>
          <w:szCs w:val="24"/>
        </w:rPr>
        <w:t xml:space="preserve">月 </w:t>
      </w:r>
      <w:r>
        <w:rPr>
          <w:rFonts w:ascii="Times New Roman" w:hAnsi="Times New Roman" w:eastAsia="Times New Roman" w:cs="Times New Roman"/>
          <w:spacing w:val="-5"/>
          <w:sz w:val="24"/>
          <w:szCs w:val="24"/>
        </w:rPr>
        <w:t xml:space="preserve">16  </w:t>
      </w:r>
      <w:r>
        <w:rPr>
          <w:spacing w:val="-5"/>
          <w:sz w:val="24"/>
          <w:szCs w:val="24"/>
        </w:rPr>
        <w:t>日，车马碧水库工程建设管理局提交申请开工备案，上报曲</w:t>
      </w:r>
      <w:r>
        <w:rPr>
          <w:spacing w:val="-2"/>
          <w:sz w:val="24"/>
          <w:szCs w:val="24"/>
        </w:rPr>
        <w:t>靖市水务局、云南省水利厅。</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30"/>
          <w:sz w:val="24"/>
          <w:szCs w:val="24"/>
        </w:rPr>
        <w:t xml:space="preserve"> </w:t>
      </w:r>
      <w:r>
        <w:rPr>
          <w:spacing w:val="-2"/>
          <w:sz w:val="24"/>
          <w:szCs w:val="24"/>
        </w:rPr>
        <w:t>月</w:t>
      </w:r>
      <w:r>
        <w:rPr>
          <w:spacing w:val="-34"/>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日，云南省水利厅批准开工备</w:t>
      </w:r>
      <w:r>
        <w:rPr>
          <w:spacing w:val="-3"/>
          <w:sz w:val="24"/>
          <w:szCs w:val="24"/>
        </w:rPr>
        <w:t>案申请。车马</w:t>
      </w:r>
      <w:r>
        <w:rPr>
          <w:spacing w:val="-1"/>
          <w:sz w:val="24"/>
          <w:szCs w:val="24"/>
        </w:rPr>
        <w:t>碧水库工程主体工程及配套工程建设过程见表</w:t>
      </w:r>
      <w:r>
        <w:rPr>
          <w:spacing w:val="-43"/>
          <w:sz w:val="24"/>
          <w:szCs w:val="24"/>
        </w:rPr>
        <w:t xml:space="preserve"> </w:t>
      </w:r>
      <w:r>
        <w:rPr>
          <w:rFonts w:ascii="Times New Roman" w:hAnsi="Times New Roman" w:eastAsia="Times New Roman" w:cs="Times New Roman"/>
          <w:spacing w:val="-1"/>
          <w:sz w:val="24"/>
          <w:szCs w:val="24"/>
        </w:rPr>
        <w:t>3.2-2</w:t>
      </w:r>
      <w:r>
        <w:rPr>
          <w:spacing w:val="-1"/>
          <w:sz w:val="24"/>
          <w:szCs w:val="24"/>
        </w:rPr>
        <w:t>。</w:t>
      </w:r>
    </w:p>
    <w:p w14:paraId="15801A13">
      <w:pPr>
        <w:pStyle w:val="2"/>
        <w:spacing w:before="1" w:line="225"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3.2.2                          </w:t>
      </w:r>
      <w:r>
        <w:rPr>
          <w:rFonts w:ascii="Times New Roman" w:hAnsi="Times New Roman" w:eastAsia="Times New Roman" w:cs="Times New Roman"/>
          <w:b/>
          <w:bCs/>
          <w:spacing w:val="-1"/>
          <w:sz w:val="24"/>
          <w:szCs w:val="24"/>
        </w:rPr>
        <w:t xml:space="preserve">  </w:t>
      </w:r>
      <w:r>
        <w:rPr>
          <w:b/>
          <w:bCs/>
          <w:spacing w:val="-1"/>
          <w:sz w:val="24"/>
          <w:szCs w:val="24"/>
        </w:rPr>
        <w:t>车马碧水库主体工程开工建设过程</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6918"/>
      </w:tblGrid>
      <w:tr w14:paraId="5D457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555" w:type="dxa"/>
            <w:tcBorders>
              <w:top w:val="single" w:color="000000" w:sz="12" w:space="0"/>
              <w:left w:val="single" w:color="000000" w:sz="12" w:space="0"/>
            </w:tcBorders>
            <w:vAlign w:val="top"/>
          </w:tcPr>
          <w:p w14:paraId="73862BB4">
            <w:pPr>
              <w:spacing w:before="94" w:line="220" w:lineRule="auto"/>
              <w:ind w:left="347"/>
              <w:rPr>
                <w:rFonts w:ascii="宋体" w:hAnsi="宋体" w:eastAsia="宋体" w:cs="宋体"/>
                <w:sz w:val="21"/>
                <w:szCs w:val="21"/>
              </w:rPr>
            </w:pPr>
            <w:r>
              <w:rPr>
                <w:rFonts w:ascii="宋体" w:hAnsi="宋体" w:eastAsia="宋体" w:cs="宋体"/>
                <w:spacing w:val="-3"/>
                <w:sz w:val="21"/>
                <w:szCs w:val="21"/>
              </w:rPr>
              <w:t>工程名称</w:t>
            </w:r>
          </w:p>
        </w:tc>
        <w:tc>
          <w:tcPr>
            <w:tcW w:w="6918" w:type="dxa"/>
            <w:tcBorders>
              <w:top w:val="single" w:color="000000" w:sz="12" w:space="0"/>
              <w:right w:val="single" w:color="000000" w:sz="12" w:space="0"/>
            </w:tcBorders>
            <w:vAlign w:val="top"/>
          </w:tcPr>
          <w:p w14:paraId="0807DA2D">
            <w:pPr>
              <w:spacing w:before="94" w:line="220" w:lineRule="auto"/>
              <w:ind w:left="2830"/>
              <w:rPr>
                <w:rFonts w:ascii="宋体" w:hAnsi="宋体" w:eastAsia="宋体" w:cs="宋体"/>
                <w:sz w:val="21"/>
                <w:szCs w:val="21"/>
              </w:rPr>
            </w:pPr>
            <w:r>
              <w:rPr>
                <w:rFonts w:ascii="宋体" w:hAnsi="宋体" w:eastAsia="宋体" w:cs="宋体"/>
                <w:spacing w:val="-2"/>
                <w:sz w:val="21"/>
                <w:szCs w:val="21"/>
              </w:rPr>
              <w:t>工程建设过程</w:t>
            </w:r>
          </w:p>
        </w:tc>
      </w:tr>
      <w:tr w14:paraId="278CD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55" w:type="dxa"/>
            <w:vMerge w:val="restart"/>
            <w:tcBorders>
              <w:left w:val="single" w:color="000000" w:sz="12" w:space="0"/>
              <w:bottom w:val="nil"/>
            </w:tcBorders>
            <w:vAlign w:val="top"/>
          </w:tcPr>
          <w:p w14:paraId="0490367C">
            <w:pPr>
              <w:spacing w:line="369" w:lineRule="auto"/>
              <w:rPr>
                <w:rFonts w:ascii="Arial"/>
                <w:sz w:val="21"/>
              </w:rPr>
            </w:pPr>
          </w:p>
          <w:p w14:paraId="2852F433">
            <w:pPr>
              <w:spacing w:before="69" w:line="221" w:lineRule="auto"/>
              <w:ind w:left="138"/>
              <w:rPr>
                <w:rFonts w:ascii="宋体" w:hAnsi="宋体" w:eastAsia="宋体" w:cs="宋体"/>
                <w:sz w:val="21"/>
                <w:szCs w:val="21"/>
              </w:rPr>
            </w:pPr>
            <w:r>
              <w:rPr>
                <w:rFonts w:ascii="宋体" w:hAnsi="宋体" w:eastAsia="宋体" w:cs="宋体"/>
                <w:spacing w:val="-2"/>
                <w:sz w:val="21"/>
                <w:szCs w:val="21"/>
              </w:rPr>
              <w:t>泄洪放空隧洞</w:t>
            </w:r>
          </w:p>
          <w:p w14:paraId="398349F3">
            <w:pPr>
              <w:spacing w:before="20" w:line="220" w:lineRule="auto"/>
              <w:ind w:left="141"/>
              <w:rPr>
                <w:rFonts w:ascii="宋体" w:hAnsi="宋体" w:eastAsia="宋体" w:cs="宋体"/>
                <w:sz w:val="21"/>
                <w:szCs w:val="21"/>
              </w:rPr>
            </w:pPr>
            <w:r>
              <w:rPr>
                <w:rFonts w:ascii="宋体" w:hAnsi="宋体" w:eastAsia="宋体" w:cs="宋体"/>
                <w:spacing w:val="-4"/>
                <w:sz w:val="21"/>
                <w:szCs w:val="21"/>
              </w:rPr>
              <w:t>（兼导流洞）</w:t>
            </w:r>
          </w:p>
          <w:p w14:paraId="3E9F838D">
            <w:pPr>
              <w:spacing w:before="22" w:line="220" w:lineRule="auto"/>
              <w:ind w:left="557"/>
              <w:rPr>
                <w:rFonts w:ascii="宋体" w:hAnsi="宋体" w:eastAsia="宋体" w:cs="宋体"/>
                <w:sz w:val="21"/>
                <w:szCs w:val="21"/>
              </w:rPr>
            </w:pPr>
            <w:r>
              <w:rPr>
                <w:rFonts w:ascii="宋体" w:hAnsi="宋体" w:eastAsia="宋体" w:cs="宋体"/>
                <w:spacing w:val="-3"/>
                <w:sz w:val="21"/>
                <w:szCs w:val="21"/>
              </w:rPr>
              <w:t>工程</w:t>
            </w:r>
          </w:p>
        </w:tc>
        <w:tc>
          <w:tcPr>
            <w:tcW w:w="6918" w:type="dxa"/>
            <w:tcBorders>
              <w:right w:val="single" w:color="000000" w:sz="12" w:space="0"/>
            </w:tcBorders>
            <w:vAlign w:val="top"/>
          </w:tcPr>
          <w:p w14:paraId="11F84CEB">
            <w:pPr>
              <w:pStyle w:val="6"/>
              <w:spacing w:before="94" w:line="233" w:lineRule="auto"/>
              <w:ind w:left="47"/>
              <w:rPr>
                <w:rFonts w:ascii="宋体" w:hAnsi="宋体" w:eastAsia="宋体" w:cs="宋体"/>
              </w:rPr>
            </w:pPr>
            <w:r>
              <w:rPr>
                <w:spacing w:val="-5"/>
              </w:rPr>
              <w:t xml:space="preserve">2018 </w:t>
            </w:r>
            <w:r>
              <w:rPr>
                <w:rFonts w:ascii="宋体" w:hAnsi="宋体" w:eastAsia="宋体" w:cs="宋体"/>
                <w:spacing w:val="-5"/>
              </w:rPr>
              <w:t>年</w:t>
            </w:r>
            <w:r>
              <w:rPr>
                <w:rFonts w:ascii="宋体" w:hAnsi="宋体" w:eastAsia="宋体" w:cs="宋体"/>
                <w:spacing w:val="-45"/>
              </w:rPr>
              <w:t xml:space="preserve"> </w:t>
            </w:r>
            <w:r>
              <w:rPr>
                <w:spacing w:val="-5"/>
              </w:rPr>
              <w:t>7</w:t>
            </w:r>
            <w:r>
              <w:rPr>
                <w:spacing w:val="13"/>
                <w:w w:val="101"/>
              </w:rPr>
              <w:t xml:space="preserve"> </w:t>
            </w:r>
            <w:r>
              <w:rPr>
                <w:rFonts w:ascii="宋体" w:hAnsi="宋体" w:eastAsia="宋体" w:cs="宋体"/>
                <w:spacing w:val="-5"/>
              </w:rPr>
              <w:t>月</w:t>
            </w:r>
            <w:r>
              <w:rPr>
                <w:rFonts w:ascii="宋体" w:hAnsi="宋体" w:eastAsia="宋体" w:cs="宋体"/>
                <w:spacing w:val="-29"/>
              </w:rPr>
              <w:t xml:space="preserve"> </w:t>
            </w:r>
            <w:r>
              <w:rPr>
                <w:spacing w:val="-5"/>
              </w:rPr>
              <w:t xml:space="preserve">10  </w:t>
            </w:r>
            <w:r>
              <w:rPr>
                <w:rFonts w:ascii="宋体" w:hAnsi="宋体" w:eastAsia="宋体" w:cs="宋体"/>
                <w:spacing w:val="-5"/>
              </w:rPr>
              <w:t>日，导流泄洪放空</w:t>
            </w:r>
            <w:r>
              <w:rPr>
                <w:rFonts w:ascii="宋体" w:hAnsi="宋体" w:eastAsia="宋体" w:cs="宋体"/>
                <w:spacing w:val="-6"/>
              </w:rPr>
              <w:t>隧洞贯通。</w:t>
            </w:r>
          </w:p>
        </w:tc>
      </w:tr>
      <w:tr w14:paraId="6E724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bottom w:val="nil"/>
            </w:tcBorders>
            <w:vAlign w:val="top"/>
          </w:tcPr>
          <w:p w14:paraId="2E7B66CE">
            <w:pPr>
              <w:rPr>
                <w:rFonts w:ascii="Arial"/>
                <w:sz w:val="21"/>
              </w:rPr>
            </w:pPr>
          </w:p>
        </w:tc>
        <w:tc>
          <w:tcPr>
            <w:tcW w:w="6918" w:type="dxa"/>
            <w:tcBorders>
              <w:right w:val="single" w:color="000000" w:sz="12" w:space="0"/>
            </w:tcBorders>
            <w:vAlign w:val="top"/>
          </w:tcPr>
          <w:p w14:paraId="0AD9B319">
            <w:pPr>
              <w:pStyle w:val="6"/>
              <w:spacing w:before="94" w:line="233" w:lineRule="auto"/>
              <w:ind w:left="47"/>
              <w:rPr>
                <w:rFonts w:ascii="宋体" w:hAnsi="宋体" w:eastAsia="宋体" w:cs="宋体"/>
              </w:rPr>
            </w:pPr>
            <w:r>
              <w:rPr>
                <w:spacing w:val="-5"/>
              </w:rPr>
              <w:t xml:space="preserve">2018 </w:t>
            </w:r>
            <w:r>
              <w:rPr>
                <w:rFonts w:ascii="宋体" w:hAnsi="宋体" w:eastAsia="宋体" w:cs="宋体"/>
                <w:spacing w:val="-5"/>
              </w:rPr>
              <w:t>年</w:t>
            </w:r>
            <w:r>
              <w:rPr>
                <w:rFonts w:ascii="宋体" w:hAnsi="宋体" w:eastAsia="宋体" w:cs="宋体"/>
                <w:spacing w:val="-28"/>
              </w:rPr>
              <w:t xml:space="preserve"> </w:t>
            </w:r>
            <w:r>
              <w:rPr>
                <w:spacing w:val="-5"/>
              </w:rPr>
              <w:t>11</w:t>
            </w:r>
            <w:r>
              <w:rPr>
                <w:spacing w:val="13"/>
              </w:rPr>
              <w:t xml:space="preserve"> </w:t>
            </w:r>
            <w:r>
              <w:rPr>
                <w:rFonts w:ascii="宋体" w:hAnsi="宋体" w:eastAsia="宋体" w:cs="宋体"/>
                <w:spacing w:val="-5"/>
              </w:rPr>
              <w:t>月</w:t>
            </w:r>
            <w:r>
              <w:rPr>
                <w:rFonts w:ascii="宋体" w:hAnsi="宋体" w:eastAsia="宋体" w:cs="宋体"/>
                <w:spacing w:val="-28"/>
              </w:rPr>
              <w:t xml:space="preserve"> </w:t>
            </w:r>
            <w:r>
              <w:rPr>
                <w:spacing w:val="-5"/>
              </w:rPr>
              <w:t xml:space="preserve">16  </w:t>
            </w:r>
            <w:r>
              <w:rPr>
                <w:rFonts w:ascii="宋体" w:hAnsi="宋体" w:eastAsia="宋体" w:cs="宋体"/>
                <w:spacing w:val="-5"/>
              </w:rPr>
              <w:t>日，生态输水</w:t>
            </w:r>
            <w:r>
              <w:rPr>
                <w:rFonts w:ascii="宋体" w:hAnsi="宋体" w:eastAsia="宋体" w:cs="宋体"/>
                <w:spacing w:val="-6"/>
              </w:rPr>
              <w:t>管道全部安装完成。</w:t>
            </w:r>
          </w:p>
        </w:tc>
      </w:tr>
      <w:tr w14:paraId="744C9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55" w:type="dxa"/>
            <w:vMerge w:val="continue"/>
            <w:tcBorders>
              <w:top w:val="nil"/>
              <w:left w:val="single" w:color="000000" w:sz="12" w:space="0"/>
              <w:bottom w:val="nil"/>
            </w:tcBorders>
            <w:vAlign w:val="top"/>
          </w:tcPr>
          <w:p w14:paraId="25192F91">
            <w:pPr>
              <w:rPr>
                <w:rFonts w:ascii="Arial"/>
                <w:sz w:val="21"/>
              </w:rPr>
            </w:pPr>
          </w:p>
        </w:tc>
        <w:tc>
          <w:tcPr>
            <w:tcW w:w="6918" w:type="dxa"/>
            <w:tcBorders>
              <w:right w:val="single" w:color="000000" w:sz="12" w:space="0"/>
            </w:tcBorders>
            <w:vAlign w:val="top"/>
          </w:tcPr>
          <w:p w14:paraId="6E681A6D">
            <w:pPr>
              <w:pStyle w:val="6"/>
              <w:spacing w:before="96" w:line="233" w:lineRule="auto"/>
              <w:ind w:left="47"/>
              <w:rPr>
                <w:rFonts w:ascii="宋体" w:hAnsi="宋体" w:eastAsia="宋体" w:cs="宋体"/>
              </w:rPr>
            </w:pPr>
            <w:r>
              <w:rPr>
                <w:spacing w:val="-6"/>
              </w:rPr>
              <w:t xml:space="preserve">2018 </w:t>
            </w:r>
            <w:r>
              <w:rPr>
                <w:rFonts w:ascii="宋体" w:hAnsi="宋体" w:eastAsia="宋体" w:cs="宋体"/>
                <w:spacing w:val="-6"/>
              </w:rPr>
              <w:t>年</w:t>
            </w:r>
            <w:r>
              <w:rPr>
                <w:rFonts w:ascii="宋体" w:hAnsi="宋体" w:eastAsia="宋体" w:cs="宋体"/>
                <w:spacing w:val="-13"/>
              </w:rPr>
              <w:t xml:space="preserve"> </w:t>
            </w:r>
            <w:r>
              <w:rPr>
                <w:spacing w:val="-6"/>
              </w:rPr>
              <w:t>12</w:t>
            </w:r>
            <w:r>
              <w:rPr>
                <w:spacing w:val="13"/>
              </w:rPr>
              <w:t xml:space="preserve"> </w:t>
            </w:r>
            <w:r>
              <w:rPr>
                <w:rFonts w:ascii="宋体" w:hAnsi="宋体" w:eastAsia="宋体" w:cs="宋体"/>
                <w:spacing w:val="-6"/>
              </w:rPr>
              <w:t>月</w:t>
            </w:r>
            <w:r>
              <w:rPr>
                <w:rFonts w:ascii="宋体" w:hAnsi="宋体" w:eastAsia="宋体" w:cs="宋体"/>
                <w:spacing w:val="-44"/>
              </w:rPr>
              <w:t xml:space="preserve"> </w:t>
            </w:r>
            <w:r>
              <w:rPr>
                <w:spacing w:val="-6"/>
              </w:rPr>
              <w:t xml:space="preserve">30  </w:t>
            </w:r>
            <w:r>
              <w:rPr>
                <w:rFonts w:ascii="宋体" w:hAnsi="宋体" w:eastAsia="宋体" w:cs="宋体"/>
                <w:spacing w:val="-6"/>
              </w:rPr>
              <w:t>日，河道截流。</w:t>
            </w:r>
          </w:p>
        </w:tc>
      </w:tr>
      <w:tr w14:paraId="5FC51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tcBorders>
            <w:vAlign w:val="top"/>
          </w:tcPr>
          <w:p w14:paraId="5893660B">
            <w:pPr>
              <w:rPr>
                <w:rFonts w:ascii="Arial"/>
                <w:sz w:val="21"/>
              </w:rPr>
            </w:pPr>
          </w:p>
        </w:tc>
        <w:tc>
          <w:tcPr>
            <w:tcW w:w="6918" w:type="dxa"/>
            <w:tcBorders>
              <w:right w:val="single" w:color="000000" w:sz="12" w:space="0"/>
            </w:tcBorders>
            <w:vAlign w:val="top"/>
          </w:tcPr>
          <w:p w14:paraId="25537EA9">
            <w:pPr>
              <w:pStyle w:val="6"/>
              <w:spacing w:before="97" w:line="233" w:lineRule="auto"/>
              <w:ind w:left="47"/>
              <w:rPr>
                <w:rFonts w:ascii="宋体" w:hAnsi="宋体" w:eastAsia="宋体" w:cs="宋体"/>
              </w:rPr>
            </w:pPr>
            <w:r>
              <w:rPr>
                <w:spacing w:val="-6"/>
              </w:rPr>
              <w:t xml:space="preserve">2020 </w:t>
            </w:r>
            <w:r>
              <w:rPr>
                <w:rFonts w:ascii="宋体" w:hAnsi="宋体" w:eastAsia="宋体" w:cs="宋体"/>
                <w:spacing w:val="-6"/>
              </w:rPr>
              <w:t>年</w:t>
            </w:r>
            <w:r>
              <w:rPr>
                <w:rFonts w:ascii="宋体" w:hAnsi="宋体" w:eastAsia="宋体" w:cs="宋体"/>
                <w:spacing w:val="-20"/>
              </w:rPr>
              <w:t xml:space="preserve"> </w:t>
            </w:r>
            <w:r>
              <w:rPr>
                <w:spacing w:val="-6"/>
              </w:rPr>
              <w:t>1</w:t>
            </w:r>
            <w:r>
              <w:rPr>
                <w:spacing w:val="13"/>
              </w:rPr>
              <w:t xml:space="preserve"> </w:t>
            </w:r>
            <w:r>
              <w:rPr>
                <w:rFonts w:ascii="宋体" w:hAnsi="宋体" w:eastAsia="宋体" w:cs="宋体"/>
                <w:spacing w:val="-6"/>
              </w:rPr>
              <w:t>月</w:t>
            </w:r>
            <w:r>
              <w:rPr>
                <w:rFonts w:ascii="宋体" w:hAnsi="宋体" w:eastAsia="宋体" w:cs="宋体"/>
                <w:spacing w:val="-51"/>
              </w:rPr>
              <w:t xml:space="preserve"> </w:t>
            </w:r>
            <w:r>
              <w:rPr>
                <w:spacing w:val="-6"/>
              </w:rPr>
              <w:t xml:space="preserve">4  </w:t>
            </w:r>
            <w:r>
              <w:rPr>
                <w:rFonts w:ascii="宋体" w:hAnsi="宋体" w:eastAsia="宋体" w:cs="宋体"/>
                <w:spacing w:val="-6"/>
              </w:rPr>
              <w:t>日，完成所有分部内容。</w:t>
            </w:r>
          </w:p>
        </w:tc>
      </w:tr>
      <w:tr w14:paraId="32283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restart"/>
            <w:tcBorders>
              <w:left w:val="single" w:color="000000" w:sz="12" w:space="0"/>
              <w:bottom w:val="nil"/>
            </w:tcBorders>
            <w:vAlign w:val="top"/>
          </w:tcPr>
          <w:p w14:paraId="42228A94">
            <w:pPr>
              <w:spacing w:line="305" w:lineRule="auto"/>
              <w:rPr>
                <w:rFonts w:ascii="Arial"/>
                <w:sz w:val="21"/>
              </w:rPr>
            </w:pPr>
          </w:p>
          <w:p w14:paraId="4D38DC71">
            <w:pPr>
              <w:spacing w:before="68" w:line="242" w:lineRule="auto"/>
              <w:ind w:left="449" w:right="147" w:hanging="314"/>
              <w:rPr>
                <w:rFonts w:ascii="宋体" w:hAnsi="宋体" w:eastAsia="宋体" w:cs="宋体"/>
                <w:sz w:val="21"/>
                <w:szCs w:val="21"/>
              </w:rPr>
            </w:pPr>
            <w:r>
              <w:rPr>
                <w:rFonts w:ascii="宋体" w:hAnsi="宋体" w:eastAsia="宋体" w:cs="宋体"/>
                <w:spacing w:val="-2"/>
                <w:sz w:val="21"/>
                <w:szCs w:val="21"/>
              </w:rPr>
              <w:t>拦河面板堆石坝工程</w:t>
            </w:r>
          </w:p>
        </w:tc>
        <w:tc>
          <w:tcPr>
            <w:tcW w:w="6918" w:type="dxa"/>
            <w:tcBorders>
              <w:right w:val="single" w:color="000000" w:sz="12" w:space="0"/>
            </w:tcBorders>
            <w:vAlign w:val="top"/>
          </w:tcPr>
          <w:p w14:paraId="3640F8E5">
            <w:pPr>
              <w:pStyle w:val="6"/>
              <w:spacing w:before="99" w:line="233" w:lineRule="auto"/>
              <w:ind w:left="47"/>
              <w:rPr>
                <w:rFonts w:ascii="宋体" w:hAnsi="宋体" w:eastAsia="宋体" w:cs="宋体"/>
              </w:rPr>
            </w:pPr>
            <w:r>
              <w:rPr>
                <w:spacing w:val="-6"/>
              </w:rPr>
              <w:t xml:space="preserve">2018 </w:t>
            </w:r>
            <w:r>
              <w:rPr>
                <w:rFonts w:ascii="宋体" w:hAnsi="宋体" w:eastAsia="宋体" w:cs="宋体"/>
                <w:spacing w:val="-6"/>
              </w:rPr>
              <w:t>年</w:t>
            </w:r>
            <w:r>
              <w:rPr>
                <w:rFonts w:ascii="宋体" w:hAnsi="宋体" w:eastAsia="宋体" w:cs="宋体"/>
                <w:spacing w:val="-25"/>
              </w:rPr>
              <w:t xml:space="preserve"> </w:t>
            </w:r>
            <w:r>
              <w:rPr>
                <w:spacing w:val="-6"/>
              </w:rPr>
              <w:t>9</w:t>
            </w:r>
            <w:r>
              <w:rPr>
                <w:spacing w:val="13"/>
              </w:rPr>
              <w:t xml:space="preserve"> </w:t>
            </w:r>
            <w:r>
              <w:rPr>
                <w:rFonts w:ascii="宋体" w:hAnsi="宋体" w:eastAsia="宋体" w:cs="宋体"/>
                <w:spacing w:val="-6"/>
              </w:rPr>
              <w:t>月</w:t>
            </w:r>
            <w:r>
              <w:rPr>
                <w:rFonts w:ascii="宋体" w:hAnsi="宋体" w:eastAsia="宋体" w:cs="宋体"/>
                <w:spacing w:val="-29"/>
              </w:rPr>
              <w:t xml:space="preserve"> </w:t>
            </w:r>
            <w:r>
              <w:rPr>
                <w:spacing w:val="-6"/>
              </w:rPr>
              <w:t xml:space="preserve">1  </w:t>
            </w:r>
            <w:r>
              <w:rPr>
                <w:rFonts w:ascii="宋体" w:hAnsi="宋体" w:eastAsia="宋体" w:cs="宋体"/>
                <w:spacing w:val="-6"/>
              </w:rPr>
              <w:t>日，大坝基础开挖与处理开工。</w:t>
            </w:r>
          </w:p>
        </w:tc>
      </w:tr>
      <w:tr w14:paraId="6F3BF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bottom w:val="nil"/>
            </w:tcBorders>
            <w:vAlign w:val="top"/>
          </w:tcPr>
          <w:p w14:paraId="75C94827">
            <w:pPr>
              <w:rPr>
                <w:rFonts w:ascii="Arial"/>
                <w:sz w:val="21"/>
              </w:rPr>
            </w:pPr>
          </w:p>
        </w:tc>
        <w:tc>
          <w:tcPr>
            <w:tcW w:w="6918" w:type="dxa"/>
            <w:tcBorders>
              <w:right w:val="single" w:color="000000" w:sz="12" w:space="0"/>
            </w:tcBorders>
            <w:vAlign w:val="top"/>
          </w:tcPr>
          <w:p w14:paraId="3975033E">
            <w:pPr>
              <w:pStyle w:val="6"/>
              <w:spacing w:before="102" w:line="233" w:lineRule="auto"/>
              <w:ind w:left="47"/>
              <w:rPr>
                <w:rFonts w:ascii="宋体" w:hAnsi="宋体" w:eastAsia="宋体" w:cs="宋体"/>
              </w:rPr>
            </w:pPr>
            <w:r>
              <w:rPr>
                <w:spacing w:val="-4"/>
              </w:rPr>
              <w:t xml:space="preserve">2019 </w:t>
            </w:r>
            <w:r>
              <w:rPr>
                <w:rFonts w:ascii="宋体" w:hAnsi="宋体" w:eastAsia="宋体" w:cs="宋体"/>
                <w:spacing w:val="-4"/>
              </w:rPr>
              <w:t>年</w:t>
            </w:r>
            <w:r>
              <w:rPr>
                <w:rFonts w:ascii="宋体" w:hAnsi="宋体" w:eastAsia="宋体" w:cs="宋体"/>
                <w:spacing w:val="-36"/>
              </w:rPr>
              <w:t xml:space="preserve"> </w:t>
            </w:r>
            <w:r>
              <w:rPr>
                <w:spacing w:val="-4"/>
              </w:rPr>
              <w:t>4</w:t>
            </w:r>
            <w:r>
              <w:rPr>
                <w:spacing w:val="13"/>
              </w:rPr>
              <w:t xml:space="preserve"> </w:t>
            </w:r>
            <w:r>
              <w:rPr>
                <w:rFonts w:ascii="宋体" w:hAnsi="宋体" w:eastAsia="宋体" w:cs="宋体"/>
                <w:spacing w:val="-4"/>
              </w:rPr>
              <w:t>月</w:t>
            </w:r>
            <w:r>
              <w:rPr>
                <w:rFonts w:ascii="宋体" w:hAnsi="宋体" w:eastAsia="宋体" w:cs="宋体"/>
                <w:spacing w:val="-49"/>
              </w:rPr>
              <w:t xml:space="preserve"> </w:t>
            </w:r>
            <w:r>
              <w:rPr>
                <w:spacing w:val="-4"/>
              </w:rPr>
              <w:t xml:space="preserve">28  </w:t>
            </w:r>
            <w:r>
              <w:rPr>
                <w:rFonts w:ascii="宋体" w:hAnsi="宋体" w:eastAsia="宋体" w:cs="宋体"/>
                <w:spacing w:val="-4"/>
              </w:rPr>
              <w:t>日，达到度汛高程</w:t>
            </w:r>
            <w:r>
              <w:rPr>
                <w:rFonts w:ascii="宋体" w:hAnsi="宋体" w:eastAsia="宋体" w:cs="宋体"/>
                <w:spacing w:val="-27"/>
              </w:rPr>
              <w:t xml:space="preserve"> </w:t>
            </w:r>
            <w:r>
              <w:rPr>
                <w:spacing w:val="-4"/>
              </w:rPr>
              <w:t>1926.00m</w:t>
            </w:r>
            <w:r>
              <w:rPr>
                <w:rFonts w:ascii="宋体" w:hAnsi="宋体" w:eastAsia="宋体" w:cs="宋体"/>
                <w:spacing w:val="-4"/>
              </w:rPr>
              <w:t>。</w:t>
            </w:r>
          </w:p>
        </w:tc>
      </w:tr>
      <w:tr w14:paraId="5441B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tcBorders>
            <w:vAlign w:val="top"/>
          </w:tcPr>
          <w:p w14:paraId="3D358368">
            <w:pPr>
              <w:rPr>
                <w:rFonts w:ascii="Arial"/>
                <w:sz w:val="21"/>
              </w:rPr>
            </w:pPr>
          </w:p>
        </w:tc>
        <w:tc>
          <w:tcPr>
            <w:tcW w:w="6918" w:type="dxa"/>
            <w:tcBorders>
              <w:right w:val="single" w:color="000000" w:sz="12" w:space="0"/>
            </w:tcBorders>
            <w:vAlign w:val="top"/>
          </w:tcPr>
          <w:p w14:paraId="06426ABB">
            <w:pPr>
              <w:pStyle w:val="6"/>
              <w:spacing w:before="104" w:line="233" w:lineRule="auto"/>
              <w:ind w:left="47"/>
              <w:rPr>
                <w:rFonts w:ascii="宋体" w:hAnsi="宋体" w:eastAsia="宋体" w:cs="宋体"/>
              </w:rPr>
            </w:pPr>
            <w:r>
              <w:t xml:space="preserve">2020 </w:t>
            </w:r>
            <w:r>
              <w:rPr>
                <w:rFonts w:ascii="宋体" w:hAnsi="宋体" w:eastAsia="宋体" w:cs="宋体"/>
              </w:rPr>
              <w:t>年</w:t>
            </w:r>
            <w:r>
              <w:t>4</w:t>
            </w:r>
            <w:r>
              <w:rPr>
                <w:spacing w:val="19"/>
                <w:w w:val="101"/>
              </w:rPr>
              <w:t xml:space="preserve"> </w:t>
            </w:r>
            <w:r>
              <w:rPr>
                <w:rFonts w:ascii="宋体" w:hAnsi="宋体" w:eastAsia="宋体" w:cs="宋体"/>
              </w:rPr>
              <w:t>月底，完成剩余坝顶部分。</w:t>
            </w:r>
          </w:p>
        </w:tc>
      </w:tr>
      <w:tr w14:paraId="53E26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restart"/>
            <w:tcBorders>
              <w:left w:val="single" w:color="000000" w:sz="12" w:space="0"/>
              <w:bottom w:val="nil"/>
            </w:tcBorders>
            <w:vAlign w:val="top"/>
          </w:tcPr>
          <w:p w14:paraId="3C5FA199">
            <w:pPr>
              <w:spacing w:line="242" w:lineRule="auto"/>
              <w:rPr>
                <w:rFonts w:ascii="Arial"/>
                <w:sz w:val="21"/>
              </w:rPr>
            </w:pPr>
          </w:p>
          <w:p w14:paraId="17B93841">
            <w:pPr>
              <w:spacing w:before="68" w:line="220" w:lineRule="auto"/>
              <w:ind w:left="242"/>
              <w:rPr>
                <w:rFonts w:ascii="宋体" w:hAnsi="宋体" w:eastAsia="宋体" w:cs="宋体"/>
                <w:sz w:val="21"/>
                <w:szCs w:val="21"/>
              </w:rPr>
            </w:pPr>
            <w:r>
              <w:rPr>
                <w:rFonts w:ascii="宋体" w:hAnsi="宋体" w:eastAsia="宋体" w:cs="宋体"/>
                <w:spacing w:val="-2"/>
                <w:sz w:val="21"/>
                <w:szCs w:val="21"/>
              </w:rPr>
              <w:t>溢洪道工程</w:t>
            </w:r>
          </w:p>
        </w:tc>
        <w:tc>
          <w:tcPr>
            <w:tcW w:w="6918" w:type="dxa"/>
            <w:tcBorders>
              <w:right w:val="single" w:color="000000" w:sz="12" w:space="0"/>
            </w:tcBorders>
            <w:vAlign w:val="top"/>
          </w:tcPr>
          <w:p w14:paraId="3A90EB75">
            <w:pPr>
              <w:pStyle w:val="6"/>
              <w:spacing w:before="105" w:line="233" w:lineRule="auto"/>
              <w:ind w:left="47"/>
              <w:rPr>
                <w:rFonts w:ascii="宋体" w:hAnsi="宋体" w:eastAsia="宋体" w:cs="宋体"/>
              </w:rPr>
            </w:pPr>
            <w:r>
              <w:rPr>
                <w:spacing w:val="-4"/>
              </w:rPr>
              <w:t xml:space="preserve">2017 </w:t>
            </w:r>
            <w:r>
              <w:rPr>
                <w:rFonts w:ascii="宋体" w:hAnsi="宋体" w:eastAsia="宋体" w:cs="宋体"/>
                <w:spacing w:val="-4"/>
              </w:rPr>
              <w:t>年</w:t>
            </w:r>
            <w:r>
              <w:rPr>
                <w:rFonts w:ascii="宋体" w:hAnsi="宋体" w:eastAsia="宋体" w:cs="宋体"/>
                <w:spacing w:val="-14"/>
              </w:rPr>
              <w:t xml:space="preserve"> </w:t>
            </w:r>
            <w:r>
              <w:rPr>
                <w:spacing w:val="-4"/>
              </w:rPr>
              <w:t>10</w:t>
            </w:r>
            <w:r>
              <w:rPr>
                <w:spacing w:val="13"/>
              </w:rPr>
              <w:t xml:space="preserve"> </w:t>
            </w:r>
            <w:r>
              <w:rPr>
                <w:rFonts w:ascii="宋体" w:hAnsi="宋体" w:eastAsia="宋体" w:cs="宋体"/>
                <w:spacing w:val="-4"/>
              </w:rPr>
              <w:t>月</w:t>
            </w:r>
            <w:r>
              <w:rPr>
                <w:spacing w:val="-4"/>
              </w:rPr>
              <w:t xml:space="preserve">25  </w:t>
            </w:r>
            <w:r>
              <w:rPr>
                <w:rFonts w:ascii="宋体" w:hAnsi="宋体" w:eastAsia="宋体" w:cs="宋体"/>
                <w:spacing w:val="-4"/>
              </w:rPr>
              <w:t>日，开始施工。</w:t>
            </w:r>
          </w:p>
        </w:tc>
      </w:tr>
      <w:tr w14:paraId="1397A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55" w:type="dxa"/>
            <w:vMerge w:val="continue"/>
            <w:tcBorders>
              <w:top w:val="nil"/>
              <w:left w:val="single" w:color="000000" w:sz="12" w:space="0"/>
            </w:tcBorders>
            <w:vAlign w:val="top"/>
          </w:tcPr>
          <w:p w14:paraId="37131D80">
            <w:pPr>
              <w:rPr>
                <w:rFonts w:ascii="Arial"/>
                <w:sz w:val="21"/>
              </w:rPr>
            </w:pPr>
          </w:p>
        </w:tc>
        <w:tc>
          <w:tcPr>
            <w:tcW w:w="6918" w:type="dxa"/>
            <w:tcBorders>
              <w:right w:val="single" w:color="000000" w:sz="12" w:space="0"/>
            </w:tcBorders>
            <w:vAlign w:val="top"/>
          </w:tcPr>
          <w:p w14:paraId="79C6E214">
            <w:pPr>
              <w:pStyle w:val="6"/>
              <w:spacing w:before="107" w:line="233" w:lineRule="auto"/>
              <w:ind w:left="47"/>
              <w:rPr>
                <w:rFonts w:ascii="宋体" w:hAnsi="宋体" w:eastAsia="宋体" w:cs="宋体"/>
              </w:rPr>
            </w:pPr>
            <w:r>
              <w:rPr>
                <w:spacing w:val="-6"/>
              </w:rPr>
              <w:t xml:space="preserve">2020 </w:t>
            </w:r>
            <w:r>
              <w:rPr>
                <w:rFonts w:ascii="宋体" w:hAnsi="宋体" w:eastAsia="宋体" w:cs="宋体"/>
                <w:spacing w:val="-6"/>
              </w:rPr>
              <w:t>年</w:t>
            </w:r>
            <w:r>
              <w:rPr>
                <w:rFonts w:ascii="宋体" w:hAnsi="宋体" w:eastAsia="宋体" w:cs="宋体"/>
                <w:spacing w:val="-19"/>
              </w:rPr>
              <w:t xml:space="preserve"> </w:t>
            </w:r>
            <w:r>
              <w:rPr>
                <w:spacing w:val="-6"/>
              </w:rPr>
              <w:t>1</w:t>
            </w:r>
            <w:r>
              <w:rPr>
                <w:spacing w:val="13"/>
                <w:w w:val="101"/>
              </w:rPr>
              <w:t xml:space="preserve"> </w:t>
            </w:r>
            <w:r>
              <w:rPr>
                <w:rFonts w:ascii="宋体" w:hAnsi="宋体" w:eastAsia="宋体" w:cs="宋体"/>
                <w:spacing w:val="-6"/>
              </w:rPr>
              <w:t>月</w:t>
            </w:r>
            <w:r>
              <w:rPr>
                <w:rFonts w:ascii="宋体" w:hAnsi="宋体" w:eastAsia="宋体" w:cs="宋体"/>
                <w:spacing w:val="-29"/>
              </w:rPr>
              <w:t xml:space="preserve"> </w:t>
            </w:r>
            <w:r>
              <w:rPr>
                <w:spacing w:val="-6"/>
              </w:rPr>
              <w:t xml:space="preserve">18  </w:t>
            </w:r>
            <w:r>
              <w:rPr>
                <w:rFonts w:ascii="宋体" w:hAnsi="宋体" w:eastAsia="宋体" w:cs="宋体"/>
                <w:spacing w:val="-6"/>
              </w:rPr>
              <w:t>日，完成引渠段所有分部内容。</w:t>
            </w:r>
          </w:p>
        </w:tc>
      </w:tr>
      <w:tr w14:paraId="79486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restart"/>
            <w:tcBorders>
              <w:left w:val="single" w:color="000000" w:sz="12" w:space="0"/>
              <w:bottom w:val="nil"/>
            </w:tcBorders>
            <w:vAlign w:val="top"/>
          </w:tcPr>
          <w:p w14:paraId="37832DBC">
            <w:pPr>
              <w:spacing w:line="450" w:lineRule="auto"/>
              <w:rPr>
                <w:rFonts w:ascii="Arial"/>
                <w:sz w:val="21"/>
              </w:rPr>
            </w:pPr>
          </w:p>
          <w:p w14:paraId="5CDE6B10">
            <w:pPr>
              <w:spacing w:before="68" w:line="220" w:lineRule="auto"/>
              <w:ind w:left="134"/>
              <w:rPr>
                <w:rFonts w:ascii="宋体" w:hAnsi="宋体" w:eastAsia="宋体" w:cs="宋体"/>
                <w:sz w:val="21"/>
                <w:szCs w:val="21"/>
              </w:rPr>
            </w:pPr>
            <w:r>
              <w:rPr>
                <w:rFonts w:ascii="宋体" w:hAnsi="宋体" w:eastAsia="宋体" w:cs="宋体"/>
                <w:spacing w:val="-2"/>
                <w:sz w:val="21"/>
                <w:szCs w:val="21"/>
              </w:rPr>
              <w:t>输水隧洞工程</w:t>
            </w:r>
          </w:p>
        </w:tc>
        <w:tc>
          <w:tcPr>
            <w:tcW w:w="6918" w:type="dxa"/>
            <w:tcBorders>
              <w:right w:val="single" w:color="000000" w:sz="12" w:space="0"/>
            </w:tcBorders>
            <w:vAlign w:val="top"/>
          </w:tcPr>
          <w:p w14:paraId="77A7630F">
            <w:pPr>
              <w:pStyle w:val="6"/>
              <w:spacing w:before="108" w:line="233" w:lineRule="auto"/>
              <w:ind w:left="47"/>
              <w:rPr>
                <w:rFonts w:ascii="宋体" w:hAnsi="宋体" w:eastAsia="宋体" w:cs="宋体"/>
              </w:rPr>
            </w:pPr>
            <w:r>
              <w:rPr>
                <w:spacing w:val="-6"/>
              </w:rPr>
              <w:t xml:space="preserve">2018 </w:t>
            </w:r>
            <w:r>
              <w:rPr>
                <w:rFonts w:ascii="宋体" w:hAnsi="宋体" w:eastAsia="宋体" w:cs="宋体"/>
                <w:spacing w:val="-6"/>
              </w:rPr>
              <w:t>年</w:t>
            </w:r>
            <w:r>
              <w:rPr>
                <w:rFonts w:ascii="宋体" w:hAnsi="宋体" w:eastAsia="宋体" w:cs="宋体"/>
                <w:spacing w:val="-44"/>
              </w:rPr>
              <w:t xml:space="preserve"> </w:t>
            </w:r>
            <w:r>
              <w:rPr>
                <w:spacing w:val="-6"/>
              </w:rPr>
              <w:t>7</w:t>
            </w:r>
            <w:r>
              <w:rPr>
                <w:spacing w:val="13"/>
              </w:rPr>
              <w:t xml:space="preserve"> </w:t>
            </w:r>
            <w:r>
              <w:rPr>
                <w:rFonts w:ascii="宋体" w:hAnsi="宋体" w:eastAsia="宋体" w:cs="宋体"/>
                <w:spacing w:val="-6"/>
              </w:rPr>
              <w:t>月</w:t>
            </w:r>
            <w:r>
              <w:rPr>
                <w:rFonts w:ascii="宋体" w:hAnsi="宋体" w:eastAsia="宋体" w:cs="宋体"/>
                <w:spacing w:val="-29"/>
              </w:rPr>
              <w:t xml:space="preserve"> </w:t>
            </w:r>
            <w:r>
              <w:rPr>
                <w:spacing w:val="-6"/>
              </w:rPr>
              <w:t xml:space="preserve">13  </w:t>
            </w:r>
            <w:r>
              <w:rPr>
                <w:rFonts w:ascii="宋体" w:hAnsi="宋体" w:eastAsia="宋体" w:cs="宋体"/>
                <w:spacing w:val="-6"/>
              </w:rPr>
              <w:t>日，支洞开挖完</w:t>
            </w:r>
            <w:r>
              <w:rPr>
                <w:rFonts w:ascii="宋体" w:hAnsi="宋体" w:eastAsia="宋体" w:cs="宋体"/>
                <w:spacing w:val="-7"/>
              </w:rPr>
              <w:t>成。</w:t>
            </w:r>
          </w:p>
        </w:tc>
      </w:tr>
      <w:tr w14:paraId="7A4B4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bottom w:val="nil"/>
            </w:tcBorders>
            <w:vAlign w:val="top"/>
          </w:tcPr>
          <w:p w14:paraId="6E97EB78">
            <w:pPr>
              <w:rPr>
                <w:rFonts w:ascii="Arial"/>
                <w:sz w:val="21"/>
              </w:rPr>
            </w:pPr>
          </w:p>
        </w:tc>
        <w:tc>
          <w:tcPr>
            <w:tcW w:w="6918" w:type="dxa"/>
            <w:tcBorders>
              <w:right w:val="single" w:color="000000" w:sz="12" w:space="0"/>
            </w:tcBorders>
            <w:vAlign w:val="top"/>
          </w:tcPr>
          <w:p w14:paraId="28EA8DC6">
            <w:pPr>
              <w:pStyle w:val="6"/>
              <w:spacing w:before="111" w:line="233" w:lineRule="auto"/>
              <w:ind w:left="47"/>
              <w:rPr>
                <w:rFonts w:ascii="宋体" w:hAnsi="宋体" w:eastAsia="宋体" w:cs="宋体"/>
              </w:rPr>
            </w:pPr>
            <w:r>
              <w:rPr>
                <w:spacing w:val="-3"/>
              </w:rPr>
              <w:t xml:space="preserve">2020 </w:t>
            </w:r>
            <w:r>
              <w:rPr>
                <w:rFonts w:ascii="宋体" w:hAnsi="宋体" w:eastAsia="宋体" w:cs="宋体"/>
                <w:spacing w:val="-3"/>
              </w:rPr>
              <w:t>年</w:t>
            </w:r>
            <w:r>
              <w:rPr>
                <w:rFonts w:ascii="宋体" w:hAnsi="宋体" w:eastAsia="宋体" w:cs="宋体"/>
                <w:spacing w:val="-33"/>
              </w:rPr>
              <w:t xml:space="preserve"> </w:t>
            </w:r>
            <w:r>
              <w:rPr>
                <w:spacing w:val="-3"/>
              </w:rPr>
              <w:t>6</w:t>
            </w:r>
            <w:r>
              <w:rPr>
                <w:spacing w:val="13"/>
                <w:w w:val="101"/>
              </w:rPr>
              <w:t xml:space="preserve"> </w:t>
            </w:r>
            <w:r>
              <w:rPr>
                <w:rFonts w:ascii="宋体" w:hAnsi="宋体" w:eastAsia="宋体" w:cs="宋体"/>
                <w:spacing w:val="-3"/>
              </w:rPr>
              <w:t>月</w:t>
            </w:r>
            <w:r>
              <w:rPr>
                <w:spacing w:val="-3"/>
              </w:rPr>
              <w:t xml:space="preserve">28  </w:t>
            </w:r>
            <w:r>
              <w:rPr>
                <w:rFonts w:ascii="宋体" w:hAnsi="宋体" w:eastAsia="宋体" w:cs="宋体"/>
                <w:spacing w:val="-3"/>
              </w:rPr>
              <w:t>日，竖井浇筑完工。</w:t>
            </w:r>
          </w:p>
        </w:tc>
      </w:tr>
      <w:tr w14:paraId="49B20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vMerge w:val="continue"/>
            <w:tcBorders>
              <w:top w:val="nil"/>
              <w:left w:val="single" w:color="000000" w:sz="12" w:space="0"/>
            </w:tcBorders>
            <w:vAlign w:val="top"/>
          </w:tcPr>
          <w:p w14:paraId="5BD9CA0D">
            <w:pPr>
              <w:rPr>
                <w:rFonts w:ascii="Arial"/>
                <w:sz w:val="21"/>
              </w:rPr>
            </w:pPr>
          </w:p>
        </w:tc>
        <w:tc>
          <w:tcPr>
            <w:tcW w:w="6918" w:type="dxa"/>
            <w:tcBorders>
              <w:right w:val="single" w:color="000000" w:sz="12" w:space="0"/>
            </w:tcBorders>
            <w:vAlign w:val="top"/>
          </w:tcPr>
          <w:p w14:paraId="6D1A3E52">
            <w:pPr>
              <w:pStyle w:val="6"/>
              <w:spacing w:before="113" w:line="233" w:lineRule="auto"/>
              <w:ind w:left="47"/>
              <w:rPr>
                <w:rFonts w:ascii="宋体" w:hAnsi="宋体" w:eastAsia="宋体" w:cs="宋体"/>
              </w:rPr>
            </w:pPr>
            <w:r>
              <w:rPr>
                <w:spacing w:val="-7"/>
              </w:rPr>
              <w:t xml:space="preserve">2020 </w:t>
            </w:r>
            <w:r>
              <w:rPr>
                <w:rFonts w:ascii="宋体" w:hAnsi="宋体" w:eastAsia="宋体" w:cs="宋体"/>
                <w:spacing w:val="-7"/>
              </w:rPr>
              <w:t>年</w:t>
            </w:r>
            <w:r>
              <w:rPr>
                <w:rFonts w:ascii="宋体" w:hAnsi="宋体" w:eastAsia="宋体" w:cs="宋体"/>
                <w:spacing w:val="-28"/>
              </w:rPr>
              <w:t xml:space="preserve"> </w:t>
            </w:r>
            <w:r>
              <w:rPr>
                <w:spacing w:val="-7"/>
              </w:rPr>
              <w:t>5</w:t>
            </w:r>
            <w:r>
              <w:rPr>
                <w:spacing w:val="13"/>
                <w:w w:val="101"/>
              </w:rPr>
              <w:t xml:space="preserve"> </w:t>
            </w:r>
            <w:r>
              <w:rPr>
                <w:rFonts w:ascii="宋体" w:hAnsi="宋体" w:eastAsia="宋体" w:cs="宋体"/>
                <w:spacing w:val="-7"/>
              </w:rPr>
              <w:t>月</w:t>
            </w:r>
            <w:r>
              <w:rPr>
                <w:rFonts w:ascii="宋体" w:hAnsi="宋体" w:eastAsia="宋体" w:cs="宋体"/>
                <w:spacing w:val="-29"/>
              </w:rPr>
              <w:t xml:space="preserve"> </w:t>
            </w:r>
            <w:r>
              <w:rPr>
                <w:spacing w:val="-7"/>
              </w:rPr>
              <w:t xml:space="preserve">16  </w:t>
            </w:r>
            <w:r>
              <w:rPr>
                <w:rFonts w:ascii="宋体" w:hAnsi="宋体" w:eastAsia="宋体" w:cs="宋体"/>
                <w:spacing w:val="-7"/>
              </w:rPr>
              <w:t>日，完工。</w:t>
            </w:r>
          </w:p>
        </w:tc>
      </w:tr>
      <w:tr w14:paraId="45665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tcBorders>
              <w:left w:val="single" w:color="000000" w:sz="12" w:space="0"/>
            </w:tcBorders>
            <w:vAlign w:val="top"/>
          </w:tcPr>
          <w:p w14:paraId="2A486536">
            <w:pPr>
              <w:spacing w:before="114" w:line="220" w:lineRule="auto"/>
              <w:ind w:left="348"/>
              <w:rPr>
                <w:rFonts w:ascii="宋体" w:hAnsi="宋体" w:eastAsia="宋体" w:cs="宋体"/>
                <w:sz w:val="21"/>
                <w:szCs w:val="21"/>
              </w:rPr>
            </w:pPr>
            <w:r>
              <w:rPr>
                <w:rFonts w:ascii="宋体" w:hAnsi="宋体" w:eastAsia="宋体" w:cs="宋体"/>
                <w:spacing w:val="-3"/>
                <w:sz w:val="21"/>
                <w:szCs w:val="21"/>
              </w:rPr>
              <w:t>鱼道工程</w:t>
            </w:r>
          </w:p>
        </w:tc>
        <w:tc>
          <w:tcPr>
            <w:tcW w:w="6918" w:type="dxa"/>
            <w:tcBorders>
              <w:right w:val="single" w:color="000000" w:sz="12" w:space="0"/>
            </w:tcBorders>
            <w:vAlign w:val="top"/>
          </w:tcPr>
          <w:p w14:paraId="4B04614E">
            <w:pPr>
              <w:pStyle w:val="6"/>
              <w:spacing w:before="114" w:line="233" w:lineRule="auto"/>
              <w:ind w:left="47"/>
              <w:rPr>
                <w:rFonts w:ascii="宋体" w:hAnsi="宋体" w:eastAsia="宋体" w:cs="宋体"/>
              </w:rPr>
            </w:pPr>
            <w:r>
              <w:rPr>
                <w:spacing w:val="-1"/>
              </w:rPr>
              <w:t xml:space="preserve">2021 </w:t>
            </w:r>
            <w:r>
              <w:rPr>
                <w:rFonts w:ascii="宋体" w:hAnsi="宋体" w:eastAsia="宋体" w:cs="宋体"/>
                <w:spacing w:val="-1"/>
              </w:rPr>
              <w:t>年</w:t>
            </w:r>
            <w:r>
              <w:rPr>
                <w:rFonts w:ascii="宋体" w:hAnsi="宋体" w:eastAsia="宋体" w:cs="宋体"/>
                <w:spacing w:val="-40"/>
              </w:rPr>
              <w:t xml:space="preserve"> </w:t>
            </w:r>
            <w:r>
              <w:rPr>
                <w:spacing w:val="-1"/>
              </w:rPr>
              <w:t>3</w:t>
            </w:r>
            <w:r>
              <w:rPr>
                <w:spacing w:val="14"/>
                <w:w w:val="101"/>
              </w:rPr>
              <w:t xml:space="preserve"> </w:t>
            </w:r>
            <w:r>
              <w:rPr>
                <w:rFonts w:ascii="宋体" w:hAnsi="宋体" w:eastAsia="宋体" w:cs="宋体"/>
                <w:spacing w:val="-1"/>
              </w:rPr>
              <w:t>月开工建设，鱼道工程已贯通，进出口已基本建设完成。</w:t>
            </w:r>
          </w:p>
        </w:tc>
      </w:tr>
      <w:tr w14:paraId="4588E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555" w:type="dxa"/>
            <w:tcBorders>
              <w:left w:val="single" w:color="000000" w:sz="12" w:space="0"/>
            </w:tcBorders>
            <w:vAlign w:val="top"/>
          </w:tcPr>
          <w:p w14:paraId="1941929C">
            <w:pPr>
              <w:spacing w:before="115" w:line="220" w:lineRule="auto"/>
              <w:ind w:left="244"/>
              <w:rPr>
                <w:rFonts w:ascii="宋体" w:hAnsi="宋体" w:eastAsia="宋体" w:cs="宋体"/>
                <w:sz w:val="21"/>
                <w:szCs w:val="21"/>
              </w:rPr>
            </w:pPr>
            <w:r>
              <w:rPr>
                <w:rFonts w:ascii="宋体" w:hAnsi="宋体" w:eastAsia="宋体" w:cs="宋体"/>
                <w:spacing w:val="-2"/>
                <w:sz w:val="21"/>
                <w:szCs w:val="21"/>
              </w:rPr>
              <w:t>鱼类增殖站</w:t>
            </w:r>
          </w:p>
        </w:tc>
        <w:tc>
          <w:tcPr>
            <w:tcW w:w="6918" w:type="dxa"/>
            <w:tcBorders>
              <w:right w:val="single" w:color="000000" w:sz="12" w:space="0"/>
            </w:tcBorders>
            <w:vAlign w:val="top"/>
          </w:tcPr>
          <w:p w14:paraId="21EA84CF">
            <w:pPr>
              <w:spacing w:before="115" w:line="220" w:lineRule="auto"/>
              <w:ind w:left="51"/>
              <w:rPr>
                <w:rFonts w:ascii="宋体" w:hAnsi="宋体" w:eastAsia="宋体" w:cs="宋体"/>
                <w:sz w:val="21"/>
                <w:szCs w:val="21"/>
              </w:rPr>
            </w:pPr>
            <w:r>
              <w:rPr>
                <w:rFonts w:ascii="宋体" w:hAnsi="宋体" w:eastAsia="宋体" w:cs="宋体"/>
                <w:spacing w:val="-1"/>
                <w:sz w:val="21"/>
                <w:szCs w:val="21"/>
              </w:rPr>
              <w:t>土建工程和设备安装工程已完成。</w:t>
            </w:r>
          </w:p>
        </w:tc>
      </w:tr>
      <w:tr w14:paraId="3AC68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55" w:type="dxa"/>
            <w:tcBorders>
              <w:left w:val="single" w:color="000000" w:sz="12" w:space="0"/>
            </w:tcBorders>
            <w:vAlign w:val="top"/>
          </w:tcPr>
          <w:p w14:paraId="4DA0EDFC">
            <w:pPr>
              <w:spacing w:before="118" w:line="220" w:lineRule="auto"/>
              <w:ind w:left="244"/>
              <w:rPr>
                <w:rFonts w:ascii="宋体" w:hAnsi="宋体" w:eastAsia="宋体" w:cs="宋体"/>
                <w:sz w:val="21"/>
                <w:szCs w:val="21"/>
              </w:rPr>
            </w:pPr>
            <w:r>
              <w:rPr>
                <w:rFonts w:ascii="宋体" w:hAnsi="宋体" w:eastAsia="宋体" w:cs="宋体"/>
                <w:spacing w:val="-2"/>
                <w:sz w:val="21"/>
                <w:szCs w:val="21"/>
              </w:rPr>
              <w:t>鱼类栖息地</w:t>
            </w:r>
          </w:p>
        </w:tc>
        <w:tc>
          <w:tcPr>
            <w:tcW w:w="6918" w:type="dxa"/>
            <w:tcBorders>
              <w:right w:val="single" w:color="000000" w:sz="12" w:space="0"/>
            </w:tcBorders>
            <w:vAlign w:val="top"/>
          </w:tcPr>
          <w:p w14:paraId="3EA94B57">
            <w:pPr>
              <w:spacing w:before="118" w:line="219" w:lineRule="auto"/>
              <w:ind w:left="49"/>
              <w:rPr>
                <w:rFonts w:ascii="宋体" w:hAnsi="宋体" w:eastAsia="宋体" w:cs="宋体"/>
                <w:sz w:val="21"/>
                <w:szCs w:val="21"/>
              </w:rPr>
            </w:pPr>
            <w:r>
              <w:rPr>
                <w:rFonts w:ascii="宋体" w:hAnsi="宋体" w:eastAsia="宋体" w:cs="宋体"/>
                <w:spacing w:val="-1"/>
                <w:sz w:val="21"/>
                <w:szCs w:val="21"/>
              </w:rPr>
              <w:t>河道恢复工程已完成前期征地，保护批文待马龙区</w:t>
            </w:r>
            <w:r>
              <w:rPr>
                <w:rFonts w:ascii="宋体" w:hAnsi="宋体" w:eastAsia="宋体" w:cs="宋体"/>
                <w:spacing w:val="-2"/>
                <w:sz w:val="21"/>
                <w:szCs w:val="21"/>
              </w:rPr>
              <w:t>政府批复后实施。</w:t>
            </w:r>
          </w:p>
        </w:tc>
      </w:tr>
      <w:tr w14:paraId="0EB10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55" w:type="dxa"/>
            <w:tcBorders>
              <w:left w:val="single" w:color="000000" w:sz="12" w:space="0"/>
              <w:bottom w:val="single" w:color="000000" w:sz="12" w:space="0"/>
            </w:tcBorders>
            <w:vAlign w:val="top"/>
          </w:tcPr>
          <w:p w14:paraId="32680AAE">
            <w:pPr>
              <w:spacing w:before="118" w:line="220" w:lineRule="auto"/>
              <w:ind w:left="349"/>
              <w:rPr>
                <w:rFonts w:ascii="宋体" w:hAnsi="宋体" w:eastAsia="宋体" w:cs="宋体"/>
                <w:sz w:val="21"/>
                <w:szCs w:val="21"/>
              </w:rPr>
            </w:pPr>
            <w:r>
              <w:rPr>
                <w:rFonts w:ascii="宋体" w:hAnsi="宋体" w:eastAsia="宋体" w:cs="宋体"/>
                <w:spacing w:val="-3"/>
                <w:sz w:val="21"/>
                <w:szCs w:val="21"/>
              </w:rPr>
              <w:t>旁路系统</w:t>
            </w:r>
          </w:p>
        </w:tc>
        <w:tc>
          <w:tcPr>
            <w:tcW w:w="6918" w:type="dxa"/>
            <w:tcBorders>
              <w:bottom w:val="single" w:color="000000" w:sz="12" w:space="0"/>
              <w:right w:val="single" w:color="000000" w:sz="12" w:space="0"/>
            </w:tcBorders>
            <w:vAlign w:val="top"/>
          </w:tcPr>
          <w:p w14:paraId="54BF5715">
            <w:pPr>
              <w:pStyle w:val="6"/>
              <w:spacing w:before="119" w:line="233" w:lineRule="auto"/>
              <w:ind w:left="47"/>
              <w:rPr>
                <w:rFonts w:ascii="宋体" w:hAnsi="宋体" w:eastAsia="宋体" w:cs="宋体"/>
              </w:rPr>
            </w:pPr>
            <w:r>
              <w:rPr>
                <w:spacing w:val="-5"/>
              </w:rPr>
              <w:t xml:space="preserve">2021 </w:t>
            </w:r>
            <w:r>
              <w:rPr>
                <w:rFonts w:ascii="宋体" w:hAnsi="宋体" w:eastAsia="宋体" w:cs="宋体"/>
                <w:spacing w:val="-5"/>
              </w:rPr>
              <w:t>年</w:t>
            </w:r>
            <w:r>
              <w:rPr>
                <w:rFonts w:ascii="宋体" w:hAnsi="宋体" w:eastAsia="宋体" w:cs="宋体"/>
                <w:spacing w:val="-22"/>
              </w:rPr>
              <w:t xml:space="preserve"> </w:t>
            </w:r>
            <w:r>
              <w:rPr>
                <w:spacing w:val="-5"/>
              </w:rPr>
              <w:t>12</w:t>
            </w:r>
            <w:r>
              <w:rPr>
                <w:spacing w:val="13"/>
                <w:w w:val="101"/>
              </w:rPr>
              <w:t xml:space="preserve"> </w:t>
            </w:r>
            <w:r>
              <w:rPr>
                <w:rFonts w:ascii="宋体" w:hAnsi="宋体" w:eastAsia="宋体" w:cs="宋体"/>
                <w:spacing w:val="-5"/>
              </w:rPr>
              <w:t>月</w:t>
            </w:r>
            <w:r>
              <w:rPr>
                <w:rFonts w:ascii="宋体" w:hAnsi="宋体" w:eastAsia="宋体" w:cs="宋体"/>
                <w:spacing w:val="-44"/>
              </w:rPr>
              <w:t xml:space="preserve"> </w:t>
            </w:r>
            <w:r>
              <w:rPr>
                <w:spacing w:val="-5"/>
              </w:rPr>
              <w:t xml:space="preserve">31  </w:t>
            </w:r>
            <w:r>
              <w:rPr>
                <w:rFonts w:ascii="宋体" w:hAnsi="宋体" w:eastAsia="宋体" w:cs="宋体"/>
                <w:spacing w:val="-5"/>
              </w:rPr>
              <w:t>日方案已通过专家评审，</w:t>
            </w:r>
            <w:r>
              <w:rPr>
                <w:rFonts w:ascii="宋体" w:hAnsi="宋体" w:eastAsia="宋体" w:cs="宋体"/>
                <w:spacing w:val="-56"/>
              </w:rPr>
              <w:t xml:space="preserve"> </w:t>
            </w:r>
            <w:r>
              <w:rPr>
                <w:rFonts w:ascii="宋体" w:hAnsi="宋体" w:eastAsia="宋体" w:cs="宋体"/>
                <w:spacing w:val="-5"/>
              </w:rPr>
              <w:t>目前开始招标工作</w:t>
            </w:r>
          </w:p>
        </w:tc>
      </w:tr>
    </w:tbl>
    <w:p w14:paraId="12FE34AA">
      <w:pPr>
        <w:rPr>
          <w:rFonts w:ascii="Arial"/>
          <w:sz w:val="21"/>
        </w:rPr>
      </w:pPr>
    </w:p>
    <w:p w14:paraId="496094A7">
      <w:pPr>
        <w:rPr>
          <w:rFonts w:ascii="Arial" w:hAnsi="Arial" w:eastAsia="Arial" w:cs="Arial"/>
          <w:sz w:val="21"/>
          <w:szCs w:val="21"/>
        </w:rPr>
        <w:sectPr>
          <w:headerReference r:id="rId50" w:type="default"/>
          <w:footerReference r:id="rId51" w:type="default"/>
          <w:pgSz w:w="11907" w:h="16839"/>
          <w:pgMar w:top="1376" w:right="1669" w:bottom="1061" w:left="1671" w:header="999" w:footer="861" w:gutter="0"/>
          <w:cols w:space="720" w:num="1"/>
        </w:sectPr>
      </w:pPr>
    </w:p>
    <w:p w14:paraId="5909B3D6">
      <w:pPr>
        <w:spacing w:line="412" w:lineRule="auto"/>
        <w:rPr>
          <w:rFonts w:ascii="Arial"/>
          <w:sz w:val="21"/>
        </w:rPr>
      </w:pPr>
    </w:p>
    <w:p w14:paraId="28B67C06">
      <w:pPr>
        <w:pStyle w:val="2"/>
        <w:spacing w:before="87" w:line="227" w:lineRule="auto"/>
        <w:ind w:left="30"/>
        <w:rPr>
          <w:sz w:val="27"/>
          <w:szCs w:val="27"/>
        </w:rPr>
      </w:pPr>
      <w:r>
        <w:rPr>
          <w:rFonts w:ascii="Arial" w:hAnsi="Arial" w:eastAsia="Arial" w:cs="Arial"/>
          <w:spacing w:val="4"/>
          <w:position w:val="1"/>
          <w:sz w:val="24"/>
          <w:szCs w:val="24"/>
        </w:rPr>
        <w:t>3.2.4</w:t>
      </w:r>
      <w:r>
        <w:rPr>
          <w:rFonts w:ascii="Arial" w:hAnsi="Arial" w:eastAsia="Arial" w:cs="Arial"/>
          <w:spacing w:val="10"/>
          <w:position w:val="1"/>
          <w:sz w:val="24"/>
          <w:szCs w:val="24"/>
        </w:rPr>
        <w:t xml:space="preserve">    </w:t>
      </w:r>
      <w:r>
        <w:rPr>
          <w:b/>
          <w:bCs/>
          <w:spacing w:val="4"/>
          <w:position w:val="-1"/>
          <w:sz w:val="27"/>
          <w:szCs w:val="27"/>
        </w:rPr>
        <w:t>主要参建单位</w:t>
      </w:r>
    </w:p>
    <w:p w14:paraId="61D684BB">
      <w:pPr>
        <w:pStyle w:val="2"/>
        <w:spacing w:before="262" w:line="233" w:lineRule="auto"/>
        <w:ind w:right="30"/>
        <w:jc w:val="right"/>
        <w:rPr>
          <w:sz w:val="24"/>
          <w:szCs w:val="24"/>
        </w:rPr>
      </w:pPr>
      <w:r>
        <w:rPr>
          <w:spacing w:val="-6"/>
          <w:sz w:val="24"/>
          <w:szCs w:val="24"/>
        </w:rPr>
        <w:t>根据工程分标规划及实施情况，建设单位、设计单位</w:t>
      </w:r>
      <w:r>
        <w:rPr>
          <w:spacing w:val="-7"/>
          <w:sz w:val="24"/>
          <w:szCs w:val="24"/>
        </w:rPr>
        <w:t>、施工单位等见表</w:t>
      </w:r>
      <w:r>
        <w:rPr>
          <w:spacing w:val="-50"/>
          <w:sz w:val="24"/>
          <w:szCs w:val="24"/>
        </w:rPr>
        <w:t xml:space="preserve"> </w:t>
      </w:r>
      <w:r>
        <w:rPr>
          <w:rFonts w:ascii="Times New Roman" w:hAnsi="Times New Roman" w:eastAsia="Times New Roman" w:cs="Times New Roman"/>
          <w:spacing w:val="-7"/>
          <w:sz w:val="24"/>
          <w:szCs w:val="24"/>
        </w:rPr>
        <w:t>3.2-3</w:t>
      </w:r>
      <w:r>
        <w:rPr>
          <w:spacing w:val="-7"/>
          <w:sz w:val="24"/>
          <w:szCs w:val="24"/>
        </w:rPr>
        <w:t>。</w:t>
      </w:r>
    </w:p>
    <w:p w14:paraId="2EC01FAC">
      <w:pPr>
        <w:pStyle w:val="2"/>
        <w:spacing w:before="136" w:line="226" w:lineRule="auto"/>
        <w:ind w:left="279"/>
        <w:rPr>
          <w:sz w:val="24"/>
          <w:szCs w:val="24"/>
        </w:rPr>
      </w:pPr>
      <w:r>
        <w:rPr>
          <w:b/>
          <w:bCs/>
          <w:spacing w:val="-1"/>
          <w:sz w:val="24"/>
          <w:szCs w:val="24"/>
        </w:rPr>
        <w:t>表</w:t>
      </w:r>
      <w:r>
        <w:rPr>
          <w:spacing w:val="-41"/>
          <w:sz w:val="24"/>
          <w:szCs w:val="24"/>
        </w:rPr>
        <w:t xml:space="preserve"> </w:t>
      </w:r>
      <w:r>
        <w:rPr>
          <w:rFonts w:ascii="Times New Roman" w:hAnsi="Times New Roman" w:eastAsia="Times New Roman" w:cs="Times New Roman"/>
          <w:b/>
          <w:bCs/>
          <w:spacing w:val="-1"/>
          <w:sz w:val="24"/>
          <w:szCs w:val="24"/>
        </w:rPr>
        <w:t xml:space="preserve">3.2-3                            </w:t>
      </w:r>
      <w:r>
        <w:rPr>
          <w:b/>
          <w:bCs/>
          <w:spacing w:val="-1"/>
          <w:sz w:val="24"/>
          <w:szCs w:val="24"/>
        </w:rPr>
        <w:t>车马碧水库工程主要参建单位</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6"/>
        <w:gridCol w:w="6497"/>
      </w:tblGrid>
      <w:tr w14:paraId="64CE8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1976" w:type="dxa"/>
            <w:tcBorders>
              <w:top w:val="single" w:color="000000" w:sz="12" w:space="0"/>
              <w:left w:val="single" w:color="000000" w:sz="12" w:space="0"/>
            </w:tcBorders>
            <w:vAlign w:val="top"/>
          </w:tcPr>
          <w:p w14:paraId="591848C9">
            <w:pPr>
              <w:spacing w:before="87" w:line="220" w:lineRule="auto"/>
              <w:ind w:left="348"/>
              <w:rPr>
                <w:rFonts w:ascii="宋体" w:hAnsi="宋体" w:eastAsia="宋体" w:cs="宋体"/>
                <w:sz w:val="21"/>
                <w:szCs w:val="21"/>
              </w:rPr>
            </w:pPr>
            <w:r>
              <w:rPr>
                <w:rFonts w:ascii="宋体" w:hAnsi="宋体" w:eastAsia="宋体" w:cs="宋体"/>
                <w:spacing w:val="-2"/>
                <w:sz w:val="21"/>
                <w:szCs w:val="21"/>
              </w:rPr>
              <w:t>主要参建单位</w:t>
            </w:r>
          </w:p>
        </w:tc>
        <w:tc>
          <w:tcPr>
            <w:tcW w:w="6497" w:type="dxa"/>
            <w:tcBorders>
              <w:top w:val="single" w:color="000000" w:sz="12" w:space="0"/>
              <w:right w:val="single" w:color="000000" w:sz="12" w:space="0"/>
            </w:tcBorders>
            <w:vAlign w:val="top"/>
          </w:tcPr>
          <w:p w14:paraId="1BF1B8CF">
            <w:pPr>
              <w:spacing w:before="87" w:line="220" w:lineRule="auto"/>
              <w:ind w:left="2409"/>
              <w:rPr>
                <w:rFonts w:ascii="宋体" w:hAnsi="宋体" w:eastAsia="宋体" w:cs="宋体"/>
                <w:sz w:val="21"/>
                <w:szCs w:val="21"/>
              </w:rPr>
            </w:pPr>
            <w:r>
              <w:rPr>
                <w:rFonts w:ascii="宋体" w:hAnsi="宋体" w:eastAsia="宋体" w:cs="宋体"/>
                <w:spacing w:val="-2"/>
                <w:sz w:val="21"/>
                <w:szCs w:val="21"/>
              </w:rPr>
              <w:t>主要参建单位名称</w:t>
            </w:r>
          </w:p>
        </w:tc>
      </w:tr>
      <w:tr w14:paraId="4C0BC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tcBorders>
              <w:left w:val="single" w:color="000000" w:sz="12" w:space="0"/>
            </w:tcBorders>
            <w:vAlign w:val="top"/>
          </w:tcPr>
          <w:p w14:paraId="1BB30E1F">
            <w:pPr>
              <w:spacing w:before="87" w:line="220" w:lineRule="auto"/>
              <w:ind w:left="559"/>
              <w:rPr>
                <w:rFonts w:ascii="宋体" w:hAnsi="宋体" w:eastAsia="宋体" w:cs="宋体"/>
                <w:sz w:val="21"/>
                <w:szCs w:val="21"/>
              </w:rPr>
            </w:pPr>
            <w:r>
              <w:rPr>
                <w:rFonts w:ascii="宋体" w:hAnsi="宋体" w:eastAsia="宋体" w:cs="宋体"/>
                <w:spacing w:val="-3"/>
                <w:sz w:val="21"/>
                <w:szCs w:val="21"/>
              </w:rPr>
              <w:t>建设单位</w:t>
            </w:r>
          </w:p>
        </w:tc>
        <w:tc>
          <w:tcPr>
            <w:tcW w:w="6497" w:type="dxa"/>
            <w:tcBorders>
              <w:right w:val="single" w:color="000000" w:sz="12" w:space="0"/>
            </w:tcBorders>
            <w:vAlign w:val="top"/>
          </w:tcPr>
          <w:p w14:paraId="4C9221D6">
            <w:pPr>
              <w:spacing w:before="86" w:line="219" w:lineRule="auto"/>
              <w:ind w:left="128"/>
              <w:rPr>
                <w:rFonts w:ascii="宋体" w:hAnsi="宋体" w:eastAsia="宋体" w:cs="宋体"/>
                <w:sz w:val="21"/>
                <w:szCs w:val="21"/>
              </w:rPr>
            </w:pPr>
            <w:r>
              <w:rPr>
                <w:rFonts w:ascii="宋体" w:hAnsi="宋体" w:eastAsia="宋体" w:cs="宋体"/>
                <w:spacing w:val="-3"/>
                <w:sz w:val="21"/>
                <w:szCs w:val="21"/>
              </w:rPr>
              <w:t>曲靖市车马碧水库工程建设管理局</w:t>
            </w:r>
          </w:p>
        </w:tc>
      </w:tr>
      <w:tr w14:paraId="4BD9F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tcBorders>
              <w:left w:val="single" w:color="000000" w:sz="12" w:space="0"/>
            </w:tcBorders>
            <w:vAlign w:val="top"/>
          </w:tcPr>
          <w:p w14:paraId="0A0F242D">
            <w:pPr>
              <w:spacing w:before="89" w:line="220" w:lineRule="auto"/>
              <w:ind w:left="559"/>
              <w:rPr>
                <w:rFonts w:ascii="宋体" w:hAnsi="宋体" w:eastAsia="宋体" w:cs="宋体"/>
                <w:sz w:val="21"/>
                <w:szCs w:val="21"/>
              </w:rPr>
            </w:pPr>
            <w:r>
              <w:rPr>
                <w:rFonts w:ascii="宋体" w:hAnsi="宋体" w:eastAsia="宋体" w:cs="宋体"/>
                <w:spacing w:val="-3"/>
                <w:sz w:val="21"/>
                <w:szCs w:val="21"/>
              </w:rPr>
              <w:t>设计单位</w:t>
            </w:r>
          </w:p>
        </w:tc>
        <w:tc>
          <w:tcPr>
            <w:tcW w:w="6497" w:type="dxa"/>
            <w:tcBorders>
              <w:right w:val="single" w:color="000000" w:sz="12" w:space="0"/>
            </w:tcBorders>
            <w:vAlign w:val="top"/>
          </w:tcPr>
          <w:p w14:paraId="057D72C5">
            <w:pPr>
              <w:spacing w:before="88" w:line="219" w:lineRule="auto"/>
              <w:ind w:left="109"/>
              <w:rPr>
                <w:rFonts w:ascii="宋体" w:hAnsi="宋体" w:eastAsia="宋体" w:cs="宋体"/>
                <w:sz w:val="21"/>
                <w:szCs w:val="21"/>
              </w:rPr>
            </w:pPr>
            <w:r>
              <w:rPr>
                <w:rFonts w:ascii="宋体" w:hAnsi="宋体" w:eastAsia="宋体" w:cs="宋体"/>
                <w:spacing w:val="-1"/>
                <w:sz w:val="21"/>
                <w:szCs w:val="21"/>
              </w:rPr>
              <w:t>云南省水利水电勘测设计研究院</w:t>
            </w:r>
          </w:p>
        </w:tc>
      </w:tr>
      <w:tr w14:paraId="6FADB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tcBorders>
              <w:left w:val="single" w:color="000000" w:sz="12" w:space="0"/>
            </w:tcBorders>
            <w:vAlign w:val="top"/>
          </w:tcPr>
          <w:p w14:paraId="7DFF2356">
            <w:pPr>
              <w:spacing w:before="90" w:line="220" w:lineRule="auto"/>
              <w:ind w:left="556"/>
              <w:rPr>
                <w:rFonts w:ascii="宋体" w:hAnsi="宋体" w:eastAsia="宋体" w:cs="宋体"/>
                <w:sz w:val="21"/>
                <w:szCs w:val="21"/>
              </w:rPr>
            </w:pPr>
            <w:r>
              <w:rPr>
                <w:rFonts w:ascii="宋体" w:hAnsi="宋体" w:eastAsia="宋体" w:cs="宋体"/>
                <w:spacing w:val="-2"/>
                <w:sz w:val="21"/>
                <w:szCs w:val="21"/>
              </w:rPr>
              <w:t>环评单位</w:t>
            </w:r>
          </w:p>
        </w:tc>
        <w:tc>
          <w:tcPr>
            <w:tcW w:w="6497" w:type="dxa"/>
            <w:tcBorders>
              <w:right w:val="single" w:color="000000" w:sz="12" w:space="0"/>
            </w:tcBorders>
            <w:vAlign w:val="top"/>
          </w:tcPr>
          <w:p w14:paraId="7484D125">
            <w:pPr>
              <w:spacing w:before="89" w:line="219" w:lineRule="auto"/>
              <w:ind w:left="123"/>
              <w:rPr>
                <w:rFonts w:ascii="宋体" w:hAnsi="宋体" w:eastAsia="宋体" w:cs="宋体"/>
                <w:sz w:val="21"/>
                <w:szCs w:val="21"/>
              </w:rPr>
            </w:pPr>
            <w:r>
              <w:rPr>
                <w:rFonts w:ascii="宋体" w:hAnsi="宋体" w:eastAsia="宋体" w:cs="宋体"/>
                <w:spacing w:val="-2"/>
                <w:sz w:val="21"/>
                <w:szCs w:val="21"/>
              </w:rPr>
              <w:t>中国电建集团北京勘测设计研究院有限公司</w:t>
            </w:r>
          </w:p>
        </w:tc>
      </w:tr>
      <w:tr w14:paraId="71D65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vMerge w:val="restart"/>
            <w:tcBorders>
              <w:left w:val="single" w:color="000000" w:sz="12" w:space="0"/>
              <w:bottom w:val="nil"/>
            </w:tcBorders>
            <w:vAlign w:val="top"/>
          </w:tcPr>
          <w:p w14:paraId="30950C66">
            <w:pPr>
              <w:spacing w:before="293" w:line="220" w:lineRule="auto"/>
              <w:ind w:left="349"/>
              <w:rPr>
                <w:rFonts w:ascii="宋体" w:hAnsi="宋体" w:eastAsia="宋体" w:cs="宋体"/>
                <w:sz w:val="21"/>
                <w:szCs w:val="21"/>
              </w:rPr>
            </w:pPr>
            <w:r>
              <w:rPr>
                <w:rFonts w:ascii="宋体" w:hAnsi="宋体" w:eastAsia="宋体" w:cs="宋体"/>
                <w:spacing w:val="-2"/>
                <w:sz w:val="21"/>
                <w:szCs w:val="21"/>
              </w:rPr>
              <w:t>工程监理单位</w:t>
            </w:r>
          </w:p>
        </w:tc>
        <w:tc>
          <w:tcPr>
            <w:tcW w:w="6497" w:type="dxa"/>
            <w:tcBorders>
              <w:right w:val="single" w:color="000000" w:sz="12" w:space="0"/>
            </w:tcBorders>
            <w:vAlign w:val="top"/>
          </w:tcPr>
          <w:p w14:paraId="57DB0BCF">
            <w:pPr>
              <w:spacing w:before="92" w:line="220" w:lineRule="auto"/>
              <w:ind w:left="102"/>
              <w:rPr>
                <w:rFonts w:ascii="宋体" w:hAnsi="宋体" w:eastAsia="宋体" w:cs="宋体"/>
                <w:sz w:val="21"/>
                <w:szCs w:val="21"/>
              </w:rPr>
            </w:pPr>
            <w:r>
              <w:rPr>
                <w:rFonts w:ascii="宋体" w:hAnsi="宋体" w:eastAsia="宋体" w:cs="宋体"/>
                <w:spacing w:val="-1"/>
                <w:sz w:val="21"/>
                <w:szCs w:val="21"/>
              </w:rPr>
              <w:t>枢纽区工程监理：黄河勘测规划设计有限公司</w:t>
            </w:r>
          </w:p>
        </w:tc>
      </w:tr>
      <w:tr w14:paraId="798AD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vMerge w:val="continue"/>
            <w:tcBorders>
              <w:top w:val="nil"/>
              <w:left w:val="single" w:color="000000" w:sz="12" w:space="0"/>
            </w:tcBorders>
            <w:vAlign w:val="top"/>
          </w:tcPr>
          <w:p w14:paraId="0C0D2B2E">
            <w:pPr>
              <w:rPr>
                <w:rFonts w:ascii="Arial"/>
                <w:sz w:val="21"/>
              </w:rPr>
            </w:pPr>
          </w:p>
        </w:tc>
        <w:tc>
          <w:tcPr>
            <w:tcW w:w="6497" w:type="dxa"/>
            <w:tcBorders>
              <w:right w:val="single" w:color="000000" w:sz="12" w:space="0"/>
            </w:tcBorders>
            <w:vAlign w:val="top"/>
          </w:tcPr>
          <w:p w14:paraId="010D15BB">
            <w:pPr>
              <w:spacing w:before="94" w:line="219" w:lineRule="auto"/>
              <w:ind w:left="102"/>
              <w:rPr>
                <w:rFonts w:ascii="宋体" w:hAnsi="宋体" w:eastAsia="宋体" w:cs="宋体"/>
                <w:sz w:val="21"/>
                <w:szCs w:val="21"/>
              </w:rPr>
            </w:pPr>
            <w:r>
              <w:rPr>
                <w:rFonts w:ascii="宋体" w:hAnsi="宋体" w:eastAsia="宋体" w:cs="宋体"/>
                <w:spacing w:val="-1"/>
                <w:sz w:val="21"/>
                <w:szCs w:val="21"/>
              </w:rPr>
              <w:t>输水隧洞工程监理：中科华水工程管理有限公司</w:t>
            </w:r>
          </w:p>
        </w:tc>
      </w:tr>
      <w:tr w14:paraId="534FC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tcBorders>
              <w:left w:val="single" w:color="000000" w:sz="12" w:space="0"/>
            </w:tcBorders>
            <w:vAlign w:val="top"/>
          </w:tcPr>
          <w:p w14:paraId="6667DA89">
            <w:pPr>
              <w:spacing w:before="96" w:line="220" w:lineRule="auto"/>
              <w:ind w:left="136"/>
              <w:rPr>
                <w:rFonts w:ascii="宋体" w:hAnsi="宋体" w:eastAsia="宋体" w:cs="宋体"/>
                <w:sz w:val="21"/>
                <w:szCs w:val="21"/>
              </w:rPr>
            </w:pPr>
            <w:r>
              <w:rPr>
                <w:rFonts w:ascii="宋体" w:hAnsi="宋体" w:eastAsia="宋体" w:cs="宋体"/>
                <w:spacing w:val="-2"/>
                <w:sz w:val="21"/>
                <w:szCs w:val="21"/>
              </w:rPr>
              <w:t>环保水保监理单位</w:t>
            </w:r>
          </w:p>
        </w:tc>
        <w:tc>
          <w:tcPr>
            <w:tcW w:w="6497" w:type="dxa"/>
            <w:tcBorders>
              <w:right w:val="single" w:color="000000" w:sz="12" w:space="0"/>
            </w:tcBorders>
            <w:vAlign w:val="top"/>
          </w:tcPr>
          <w:p w14:paraId="3C4D4686">
            <w:pPr>
              <w:spacing w:before="96" w:line="219" w:lineRule="auto"/>
              <w:ind w:left="123"/>
              <w:rPr>
                <w:rFonts w:ascii="宋体" w:hAnsi="宋体" w:eastAsia="宋体" w:cs="宋体"/>
                <w:sz w:val="21"/>
                <w:szCs w:val="21"/>
              </w:rPr>
            </w:pPr>
            <w:r>
              <w:rPr>
                <w:rFonts w:ascii="宋体" w:hAnsi="宋体" w:eastAsia="宋体" w:cs="宋体"/>
                <w:spacing w:val="-3"/>
                <w:sz w:val="21"/>
                <w:szCs w:val="21"/>
              </w:rPr>
              <w:t>中科华水工程管理有限公司</w:t>
            </w:r>
          </w:p>
        </w:tc>
      </w:tr>
      <w:tr w14:paraId="420C6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tcBorders>
              <w:left w:val="single" w:color="000000" w:sz="12" w:space="0"/>
            </w:tcBorders>
            <w:vAlign w:val="top"/>
          </w:tcPr>
          <w:p w14:paraId="68F04227">
            <w:pPr>
              <w:spacing w:before="98" w:line="220" w:lineRule="auto"/>
              <w:ind w:left="346"/>
              <w:rPr>
                <w:rFonts w:ascii="宋体" w:hAnsi="宋体" w:eastAsia="宋体" w:cs="宋体"/>
                <w:sz w:val="21"/>
                <w:szCs w:val="21"/>
              </w:rPr>
            </w:pPr>
            <w:r>
              <w:rPr>
                <w:rFonts w:ascii="宋体" w:hAnsi="宋体" w:eastAsia="宋体" w:cs="宋体"/>
                <w:spacing w:val="-2"/>
                <w:sz w:val="21"/>
                <w:szCs w:val="21"/>
              </w:rPr>
              <w:t>环境监测单位</w:t>
            </w:r>
          </w:p>
        </w:tc>
        <w:tc>
          <w:tcPr>
            <w:tcW w:w="6497" w:type="dxa"/>
            <w:tcBorders>
              <w:right w:val="single" w:color="000000" w:sz="12" w:space="0"/>
            </w:tcBorders>
            <w:vAlign w:val="top"/>
          </w:tcPr>
          <w:p w14:paraId="687BEBE0">
            <w:pPr>
              <w:spacing w:before="97" w:line="220" w:lineRule="auto"/>
              <w:ind w:left="109"/>
              <w:rPr>
                <w:rFonts w:ascii="宋体" w:hAnsi="宋体" w:eastAsia="宋体" w:cs="宋体"/>
                <w:sz w:val="21"/>
                <w:szCs w:val="21"/>
              </w:rPr>
            </w:pPr>
            <w:r>
              <w:rPr>
                <w:rFonts w:ascii="宋体" w:hAnsi="宋体" w:eastAsia="宋体" w:cs="宋体"/>
                <w:spacing w:val="-1"/>
                <w:sz w:val="21"/>
                <w:szCs w:val="21"/>
              </w:rPr>
              <w:t>云南环绿环境检测技术有限公司</w:t>
            </w:r>
          </w:p>
        </w:tc>
      </w:tr>
      <w:tr w14:paraId="6F9E6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tcBorders>
              <w:left w:val="single" w:color="000000" w:sz="12" w:space="0"/>
            </w:tcBorders>
            <w:vAlign w:val="top"/>
          </w:tcPr>
          <w:p w14:paraId="72419CE2">
            <w:pPr>
              <w:spacing w:before="99" w:line="220" w:lineRule="auto"/>
              <w:ind w:left="349"/>
              <w:rPr>
                <w:rFonts w:ascii="宋体" w:hAnsi="宋体" w:eastAsia="宋体" w:cs="宋体"/>
                <w:sz w:val="21"/>
                <w:szCs w:val="21"/>
              </w:rPr>
            </w:pPr>
            <w:r>
              <w:rPr>
                <w:rFonts w:ascii="宋体" w:hAnsi="宋体" w:eastAsia="宋体" w:cs="宋体"/>
                <w:spacing w:val="-2"/>
                <w:sz w:val="21"/>
                <w:szCs w:val="21"/>
              </w:rPr>
              <w:t>水保监测单位</w:t>
            </w:r>
          </w:p>
        </w:tc>
        <w:tc>
          <w:tcPr>
            <w:tcW w:w="6497" w:type="dxa"/>
            <w:tcBorders>
              <w:right w:val="single" w:color="000000" w:sz="12" w:space="0"/>
            </w:tcBorders>
            <w:vAlign w:val="top"/>
          </w:tcPr>
          <w:p w14:paraId="67E9C313">
            <w:pPr>
              <w:spacing w:before="100" w:line="219" w:lineRule="auto"/>
              <w:ind w:left="104"/>
              <w:rPr>
                <w:rFonts w:ascii="宋体" w:hAnsi="宋体" w:eastAsia="宋体" w:cs="宋体"/>
                <w:sz w:val="21"/>
                <w:szCs w:val="21"/>
              </w:rPr>
            </w:pPr>
            <w:r>
              <w:rPr>
                <w:rFonts w:ascii="宋体" w:hAnsi="宋体" w:eastAsia="宋体" w:cs="宋体"/>
                <w:spacing w:val="-1"/>
                <w:sz w:val="21"/>
                <w:szCs w:val="21"/>
              </w:rPr>
              <w:t>长江勘测规划设计研究有限责任公司</w:t>
            </w:r>
          </w:p>
        </w:tc>
      </w:tr>
      <w:tr w14:paraId="3798C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vMerge w:val="restart"/>
            <w:tcBorders>
              <w:left w:val="single" w:color="000000" w:sz="12" w:space="0"/>
              <w:bottom w:val="nil"/>
            </w:tcBorders>
            <w:vAlign w:val="top"/>
          </w:tcPr>
          <w:p w14:paraId="7BDDE34F">
            <w:pPr>
              <w:spacing w:line="250" w:lineRule="auto"/>
              <w:rPr>
                <w:rFonts w:ascii="Arial"/>
                <w:sz w:val="21"/>
              </w:rPr>
            </w:pPr>
          </w:p>
          <w:p w14:paraId="3EFA773F">
            <w:pPr>
              <w:spacing w:line="250" w:lineRule="auto"/>
              <w:rPr>
                <w:rFonts w:ascii="Arial"/>
                <w:sz w:val="21"/>
              </w:rPr>
            </w:pPr>
          </w:p>
          <w:p w14:paraId="06E82F0C">
            <w:pPr>
              <w:spacing w:line="250" w:lineRule="auto"/>
              <w:rPr>
                <w:rFonts w:ascii="Arial"/>
                <w:sz w:val="21"/>
              </w:rPr>
            </w:pPr>
          </w:p>
          <w:p w14:paraId="304172E2">
            <w:pPr>
              <w:spacing w:line="250" w:lineRule="auto"/>
              <w:rPr>
                <w:rFonts w:ascii="Arial"/>
                <w:sz w:val="21"/>
              </w:rPr>
            </w:pPr>
          </w:p>
          <w:p w14:paraId="4664698E">
            <w:pPr>
              <w:spacing w:line="251" w:lineRule="auto"/>
              <w:rPr>
                <w:rFonts w:ascii="Arial"/>
                <w:sz w:val="21"/>
              </w:rPr>
            </w:pPr>
          </w:p>
          <w:p w14:paraId="478D4868">
            <w:pPr>
              <w:spacing w:line="251" w:lineRule="auto"/>
              <w:rPr>
                <w:rFonts w:ascii="Arial"/>
                <w:sz w:val="21"/>
              </w:rPr>
            </w:pPr>
          </w:p>
          <w:p w14:paraId="26FBFC94">
            <w:pPr>
              <w:spacing w:before="68" w:line="220" w:lineRule="auto"/>
              <w:ind w:left="348"/>
              <w:rPr>
                <w:rFonts w:ascii="宋体" w:hAnsi="宋体" w:eastAsia="宋体" w:cs="宋体"/>
                <w:sz w:val="21"/>
                <w:szCs w:val="21"/>
              </w:rPr>
            </w:pPr>
            <w:r>
              <w:rPr>
                <w:rFonts w:ascii="宋体" w:hAnsi="宋体" w:eastAsia="宋体" w:cs="宋体"/>
                <w:spacing w:val="-2"/>
                <w:sz w:val="21"/>
                <w:szCs w:val="21"/>
              </w:rPr>
              <w:t>主要施工单位</w:t>
            </w:r>
          </w:p>
        </w:tc>
        <w:tc>
          <w:tcPr>
            <w:tcW w:w="6497" w:type="dxa"/>
            <w:tcBorders>
              <w:right w:val="single" w:color="000000" w:sz="12" w:space="0"/>
            </w:tcBorders>
            <w:vAlign w:val="top"/>
          </w:tcPr>
          <w:p w14:paraId="5DB5CF47">
            <w:pPr>
              <w:spacing w:before="101" w:line="220" w:lineRule="auto"/>
              <w:ind w:left="102"/>
              <w:rPr>
                <w:rFonts w:ascii="宋体" w:hAnsi="宋体" w:eastAsia="宋体" w:cs="宋体"/>
                <w:sz w:val="21"/>
                <w:szCs w:val="21"/>
              </w:rPr>
            </w:pPr>
            <w:r>
              <w:rPr>
                <w:rFonts w:ascii="宋体" w:hAnsi="宋体" w:eastAsia="宋体" w:cs="宋体"/>
                <w:spacing w:val="-1"/>
                <w:sz w:val="21"/>
                <w:szCs w:val="21"/>
              </w:rPr>
              <w:t>枢纽工程区土建标：云南建投第一水利水电建设有限公司</w:t>
            </w:r>
          </w:p>
        </w:tc>
      </w:tr>
      <w:tr w14:paraId="254A8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976" w:type="dxa"/>
            <w:vMerge w:val="continue"/>
            <w:tcBorders>
              <w:top w:val="nil"/>
              <w:left w:val="single" w:color="000000" w:sz="12" w:space="0"/>
              <w:bottom w:val="nil"/>
            </w:tcBorders>
            <w:vAlign w:val="top"/>
          </w:tcPr>
          <w:p w14:paraId="396346FB">
            <w:pPr>
              <w:rPr>
                <w:rFonts w:ascii="Arial"/>
                <w:sz w:val="21"/>
              </w:rPr>
            </w:pPr>
          </w:p>
        </w:tc>
        <w:tc>
          <w:tcPr>
            <w:tcW w:w="6497" w:type="dxa"/>
            <w:tcBorders>
              <w:right w:val="single" w:color="000000" w:sz="12" w:space="0"/>
            </w:tcBorders>
            <w:vAlign w:val="top"/>
          </w:tcPr>
          <w:p w14:paraId="3AC1C585">
            <w:pPr>
              <w:pStyle w:val="6"/>
              <w:spacing w:before="104" w:line="233" w:lineRule="auto"/>
              <w:ind w:left="102"/>
              <w:rPr>
                <w:rFonts w:ascii="宋体" w:hAnsi="宋体" w:eastAsia="宋体" w:cs="宋体"/>
              </w:rPr>
            </w:pPr>
            <w:r>
              <w:rPr>
                <w:rFonts w:ascii="宋体" w:hAnsi="宋体" w:eastAsia="宋体" w:cs="宋体"/>
                <w:spacing w:val="-2"/>
              </w:rPr>
              <w:t>输水隧洞</w:t>
            </w:r>
            <w:r>
              <w:rPr>
                <w:rFonts w:ascii="宋体" w:hAnsi="宋体" w:eastAsia="宋体" w:cs="宋体"/>
                <w:spacing w:val="-13"/>
              </w:rPr>
              <w:t xml:space="preserve"> </w:t>
            </w:r>
            <w:r>
              <w:rPr>
                <w:spacing w:val="-2"/>
              </w:rPr>
              <w:t xml:space="preserve">1 </w:t>
            </w:r>
            <w:r>
              <w:rPr>
                <w:rFonts w:ascii="宋体" w:hAnsi="宋体" w:eastAsia="宋体" w:cs="宋体"/>
                <w:spacing w:val="-2"/>
              </w:rPr>
              <w:t>标：云南建投第一水利水电建设有限公司</w:t>
            </w:r>
          </w:p>
        </w:tc>
      </w:tr>
      <w:tr w14:paraId="697A4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vMerge w:val="continue"/>
            <w:tcBorders>
              <w:top w:val="nil"/>
              <w:left w:val="single" w:color="000000" w:sz="12" w:space="0"/>
              <w:bottom w:val="nil"/>
            </w:tcBorders>
            <w:vAlign w:val="top"/>
          </w:tcPr>
          <w:p w14:paraId="19FBDCA3">
            <w:pPr>
              <w:rPr>
                <w:rFonts w:ascii="Arial"/>
                <w:sz w:val="21"/>
              </w:rPr>
            </w:pPr>
          </w:p>
        </w:tc>
        <w:tc>
          <w:tcPr>
            <w:tcW w:w="6497" w:type="dxa"/>
            <w:tcBorders>
              <w:right w:val="single" w:color="000000" w:sz="12" w:space="0"/>
            </w:tcBorders>
            <w:vAlign w:val="top"/>
          </w:tcPr>
          <w:p w14:paraId="12740F8F">
            <w:pPr>
              <w:pStyle w:val="6"/>
              <w:spacing w:before="105" w:line="233" w:lineRule="auto"/>
              <w:ind w:left="102"/>
              <w:rPr>
                <w:rFonts w:ascii="宋体" w:hAnsi="宋体" w:eastAsia="宋体" w:cs="宋体"/>
              </w:rPr>
            </w:pPr>
            <w:r>
              <w:rPr>
                <w:rFonts w:ascii="宋体" w:hAnsi="宋体" w:eastAsia="宋体" w:cs="宋体"/>
                <w:spacing w:val="-1"/>
              </w:rPr>
              <w:t>输水隧洞</w:t>
            </w:r>
            <w:r>
              <w:rPr>
                <w:rFonts w:ascii="宋体" w:hAnsi="宋体" w:eastAsia="宋体" w:cs="宋体"/>
                <w:spacing w:val="-35"/>
              </w:rPr>
              <w:t xml:space="preserve"> </w:t>
            </w:r>
            <w:r>
              <w:rPr>
                <w:spacing w:val="-1"/>
              </w:rPr>
              <w:t xml:space="preserve">2 </w:t>
            </w:r>
            <w:r>
              <w:rPr>
                <w:rFonts w:ascii="宋体" w:hAnsi="宋体" w:eastAsia="宋体" w:cs="宋体"/>
                <w:spacing w:val="-1"/>
              </w:rPr>
              <w:t>标：水利部长江水利委员会陆水枢纽工程局</w:t>
            </w:r>
          </w:p>
        </w:tc>
      </w:tr>
      <w:tr w14:paraId="6EE24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6" w:type="dxa"/>
            <w:vMerge w:val="continue"/>
            <w:tcBorders>
              <w:top w:val="nil"/>
              <w:left w:val="single" w:color="000000" w:sz="12" w:space="0"/>
              <w:bottom w:val="nil"/>
            </w:tcBorders>
            <w:vAlign w:val="top"/>
          </w:tcPr>
          <w:p w14:paraId="35A6DDDD">
            <w:pPr>
              <w:rPr>
                <w:rFonts w:ascii="Arial"/>
                <w:sz w:val="21"/>
              </w:rPr>
            </w:pPr>
          </w:p>
        </w:tc>
        <w:tc>
          <w:tcPr>
            <w:tcW w:w="6497" w:type="dxa"/>
            <w:tcBorders>
              <w:right w:val="single" w:color="000000" w:sz="12" w:space="0"/>
            </w:tcBorders>
            <w:vAlign w:val="top"/>
          </w:tcPr>
          <w:p w14:paraId="3BA1E4BD">
            <w:pPr>
              <w:pStyle w:val="6"/>
              <w:spacing w:before="108" w:line="233" w:lineRule="auto"/>
              <w:ind w:left="102"/>
              <w:rPr>
                <w:rFonts w:ascii="宋体" w:hAnsi="宋体" w:eastAsia="宋体" w:cs="宋体"/>
              </w:rPr>
            </w:pPr>
            <w:r>
              <w:rPr>
                <w:rFonts w:ascii="宋体" w:hAnsi="宋体" w:eastAsia="宋体" w:cs="宋体"/>
                <w:spacing w:val="-1"/>
              </w:rPr>
              <w:t>输水隧洞</w:t>
            </w:r>
            <w:r>
              <w:rPr>
                <w:rFonts w:ascii="宋体" w:hAnsi="宋体" w:eastAsia="宋体" w:cs="宋体"/>
                <w:spacing w:val="-41"/>
              </w:rPr>
              <w:t xml:space="preserve"> </w:t>
            </w:r>
            <w:r>
              <w:rPr>
                <w:spacing w:val="-1"/>
              </w:rPr>
              <w:t xml:space="preserve">3 </w:t>
            </w:r>
            <w:r>
              <w:rPr>
                <w:rFonts w:ascii="宋体" w:hAnsi="宋体" w:eastAsia="宋体" w:cs="宋体"/>
                <w:spacing w:val="-1"/>
              </w:rPr>
              <w:t>标：中铁十二局集团有限公司</w:t>
            </w:r>
          </w:p>
        </w:tc>
      </w:tr>
      <w:tr w14:paraId="1252C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976" w:type="dxa"/>
            <w:vMerge w:val="continue"/>
            <w:tcBorders>
              <w:top w:val="nil"/>
              <w:left w:val="single" w:color="000000" w:sz="12" w:space="0"/>
              <w:bottom w:val="nil"/>
            </w:tcBorders>
            <w:vAlign w:val="top"/>
          </w:tcPr>
          <w:p w14:paraId="51A31DD1">
            <w:pPr>
              <w:rPr>
                <w:rFonts w:ascii="Arial"/>
                <w:sz w:val="21"/>
              </w:rPr>
            </w:pPr>
          </w:p>
        </w:tc>
        <w:tc>
          <w:tcPr>
            <w:tcW w:w="6497" w:type="dxa"/>
            <w:tcBorders>
              <w:right w:val="single" w:color="000000" w:sz="12" w:space="0"/>
            </w:tcBorders>
            <w:vAlign w:val="top"/>
          </w:tcPr>
          <w:p w14:paraId="0D6E2B80">
            <w:pPr>
              <w:spacing w:before="108" w:line="219" w:lineRule="auto"/>
              <w:ind w:left="104"/>
              <w:rPr>
                <w:rFonts w:ascii="宋体" w:hAnsi="宋体" w:eastAsia="宋体" w:cs="宋体"/>
                <w:sz w:val="21"/>
                <w:szCs w:val="21"/>
              </w:rPr>
            </w:pPr>
            <w:r>
              <w:rPr>
                <w:rFonts w:ascii="宋体" w:hAnsi="宋体" w:eastAsia="宋体" w:cs="宋体"/>
                <w:spacing w:val="-1"/>
                <w:sz w:val="21"/>
                <w:szCs w:val="21"/>
              </w:rPr>
              <w:t>移民安置区环保措施施工：云南誉达市政工程有限公司</w:t>
            </w:r>
          </w:p>
          <w:p w14:paraId="475953E6">
            <w:pPr>
              <w:spacing w:before="22" w:line="220" w:lineRule="auto"/>
              <w:ind w:left="104"/>
              <w:rPr>
                <w:rFonts w:ascii="宋体" w:hAnsi="宋体" w:eastAsia="宋体" w:cs="宋体"/>
                <w:sz w:val="21"/>
                <w:szCs w:val="21"/>
              </w:rPr>
            </w:pPr>
            <w:r>
              <w:rPr>
                <w:rFonts w:ascii="宋体" w:hAnsi="宋体" w:eastAsia="宋体" w:cs="宋体"/>
                <w:spacing w:val="-1"/>
                <w:sz w:val="21"/>
                <w:szCs w:val="21"/>
              </w:rPr>
              <w:t>移民安置区水保措施施工：云南省宣威市城南建筑有限公司</w:t>
            </w:r>
          </w:p>
        </w:tc>
      </w:tr>
      <w:tr w14:paraId="39EB5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976" w:type="dxa"/>
            <w:vMerge w:val="continue"/>
            <w:tcBorders>
              <w:top w:val="nil"/>
              <w:left w:val="single" w:color="000000" w:sz="12" w:space="0"/>
              <w:bottom w:val="nil"/>
            </w:tcBorders>
            <w:vAlign w:val="top"/>
          </w:tcPr>
          <w:p w14:paraId="32C2E75F">
            <w:pPr>
              <w:rPr>
                <w:rFonts w:ascii="Arial"/>
                <w:sz w:val="21"/>
              </w:rPr>
            </w:pPr>
          </w:p>
        </w:tc>
        <w:tc>
          <w:tcPr>
            <w:tcW w:w="6497" w:type="dxa"/>
            <w:tcBorders>
              <w:right w:val="single" w:color="000000" w:sz="12" w:space="0"/>
            </w:tcBorders>
            <w:vAlign w:val="top"/>
          </w:tcPr>
          <w:p w14:paraId="072DF257">
            <w:pPr>
              <w:spacing w:before="110" w:line="237" w:lineRule="auto"/>
              <w:ind w:left="104" w:right="111" w:firstLine="2"/>
              <w:rPr>
                <w:rFonts w:ascii="宋体" w:hAnsi="宋体" w:eastAsia="宋体" w:cs="宋体"/>
                <w:sz w:val="21"/>
                <w:szCs w:val="21"/>
              </w:rPr>
            </w:pPr>
            <w:r>
              <w:rPr>
                <w:rFonts w:ascii="宋体" w:hAnsi="宋体" w:eastAsia="宋体" w:cs="宋体"/>
                <w:spacing w:val="-2"/>
                <w:sz w:val="21"/>
                <w:szCs w:val="21"/>
              </w:rPr>
              <w:t>鱼类增殖站建设及初期运行：武汉中科瑞华生态科技股份有限公司、</w:t>
            </w:r>
            <w:r>
              <w:rPr>
                <w:rFonts w:ascii="宋体" w:hAnsi="宋体" w:eastAsia="宋体" w:cs="宋体"/>
                <w:spacing w:val="-1"/>
                <w:sz w:val="21"/>
                <w:szCs w:val="21"/>
              </w:rPr>
              <w:t>佳伟建设集团有限公司</w:t>
            </w:r>
          </w:p>
        </w:tc>
      </w:tr>
      <w:tr w14:paraId="0C6C5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976" w:type="dxa"/>
            <w:vMerge w:val="continue"/>
            <w:tcBorders>
              <w:top w:val="nil"/>
              <w:left w:val="single" w:color="000000" w:sz="12" w:space="0"/>
              <w:bottom w:val="single" w:color="000000" w:sz="12" w:space="0"/>
            </w:tcBorders>
            <w:vAlign w:val="top"/>
          </w:tcPr>
          <w:p w14:paraId="7D176098">
            <w:pPr>
              <w:rPr>
                <w:rFonts w:ascii="Arial"/>
                <w:sz w:val="21"/>
              </w:rPr>
            </w:pPr>
          </w:p>
        </w:tc>
        <w:tc>
          <w:tcPr>
            <w:tcW w:w="6497" w:type="dxa"/>
            <w:tcBorders>
              <w:bottom w:val="single" w:color="000000" w:sz="12" w:space="0"/>
              <w:right w:val="single" w:color="000000" w:sz="12" w:space="0"/>
            </w:tcBorders>
            <w:vAlign w:val="top"/>
          </w:tcPr>
          <w:p w14:paraId="6DB634C1">
            <w:pPr>
              <w:spacing w:before="114" w:line="219" w:lineRule="auto"/>
              <w:ind w:left="107"/>
              <w:rPr>
                <w:rFonts w:ascii="宋体" w:hAnsi="宋体" w:eastAsia="宋体" w:cs="宋体"/>
                <w:sz w:val="21"/>
                <w:szCs w:val="21"/>
              </w:rPr>
            </w:pPr>
            <w:r>
              <w:rPr>
                <w:rFonts w:ascii="宋体" w:hAnsi="宋体" w:eastAsia="宋体" w:cs="宋体"/>
                <w:spacing w:val="-1"/>
                <w:sz w:val="21"/>
                <w:szCs w:val="21"/>
              </w:rPr>
              <w:t>鱼道及码头建设单位：水利部长江水利委员会陆水枢纽工程局</w:t>
            </w:r>
          </w:p>
        </w:tc>
      </w:tr>
    </w:tbl>
    <w:p w14:paraId="456778CD">
      <w:pPr>
        <w:spacing w:line="251" w:lineRule="auto"/>
        <w:rPr>
          <w:rFonts w:ascii="Arial"/>
          <w:sz w:val="21"/>
        </w:rPr>
      </w:pPr>
    </w:p>
    <w:p w14:paraId="66A48551">
      <w:pPr>
        <w:spacing w:line="252" w:lineRule="auto"/>
        <w:rPr>
          <w:rFonts w:ascii="Arial"/>
          <w:sz w:val="21"/>
        </w:rPr>
      </w:pPr>
    </w:p>
    <w:p w14:paraId="2128E8F3">
      <w:pPr>
        <w:pStyle w:val="2"/>
        <w:spacing w:before="98" w:line="234" w:lineRule="auto"/>
        <w:ind w:left="34"/>
        <w:rPr>
          <w:sz w:val="30"/>
          <w:szCs w:val="30"/>
        </w:rPr>
      </w:pPr>
      <w:bookmarkStart w:id="15" w:name="bookmark15"/>
      <w:bookmarkEnd w:id="15"/>
      <w:r>
        <w:rPr>
          <w:rFonts w:ascii="Times New Roman" w:hAnsi="Times New Roman" w:eastAsia="Times New Roman" w:cs="Times New Roman"/>
          <w:b/>
          <w:bCs/>
          <w:spacing w:val="-4"/>
          <w:sz w:val="30"/>
          <w:szCs w:val="30"/>
        </w:rPr>
        <w:t>3.3</w:t>
      </w:r>
      <w:r>
        <w:rPr>
          <w:rFonts w:ascii="Times New Roman" w:hAnsi="Times New Roman" w:eastAsia="Times New Roman" w:cs="Times New Roman"/>
          <w:b/>
          <w:bCs/>
          <w:spacing w:val="27"/>
          <w:sz w:val="30"/>
          <w:szCs w:val="30"/>
        </w:rPr>
        <w:t xml:space="preserve"> </w:t>
      </w:r>
      <w:r>
        <w:rPr>
          <w:b/>
          <w:bCs/>
          <w:spacing w:val="-4"/>
          <w:sz w:val="30"/>
          <w:szCs w:val="30"/>
        </w:rPr>
        <w:t>项目变动情况</w:t>
      </w:r>
    </w:p>
    <w:p w14:paraId="319274C5">
      <w:pPr>
        <w:pStyle w:val="2"/>
        <w:spacing w:before="197" w:line="227" w:lineRule="auto"/>
        <w:ind w:left="30"/>
        <w:rPr>
          <w:sz w:val="27"/>
          <w:szCs w:val="27"/>
        </w:rPr>
      </w:pPr>
      <w:r>
        <w:rPr>
          <w:rFonts w:ascii="Arial" w:hAnsi="Arial" w:eastAsia="Arial" w:cs="Arial"/>
          <w:spacing w:val="7"/>
          <w:position w:val="1"/>
          <w:sz w:val="21"/>
          <w:szCs w:val="21"/>
        </w:rPr>
        <w:t xml:space="preserve">3.3.1     </w:t>
      </w:r>
      <w:r>
        <w:rPr>
          <w:b/>
          <w:bCs/>
          <w:spacing w:val="7"/>
          <w:position w:val="-1"/>
          <w:sz w:val="27"/>
          <w:szCs w:val="27"/>
        </w:rPr>
        <w:t>主体工程建设调整</w:t>
      </w:r>
    </w:p>
    <w:p w14:paraId="30DCA136">
      <w:pPr>
        <w:pStyle w:val="2"/>
        <w:spacing w:before="261" w:line="340" w:lineRule="auto"/>
        <w:ind w:left="39" w:right="31" w:firstLine="481"/>
        <w:jc w:val="both"/>
        <w:rPr>
          <w:sz w:val="24"/>
          <w:szCs w:val="24"/>
        </w:rPr>
      </w:pPr>
      <w:r>
        <w:rPr>
          <w:spacing w:val="-4"/>
          <w:sz w:val="24"/>
          <w:szCs w:val="24"/>
        </w:rPr>
        <w:t>主体工程不涉及重大设计变更，仅有局部调整。</w:t>
      </w:r>
      <w:r>
        <w:rPr>
          <w:spacing w:val="-5"/>
          <w:sz w:val="24"/>
          <w:szCs w:val="24"/>
        </w:rPr>
        <w:t>其中：大坝仅对坝基局部清基</w:t>
      </w:r>
      <w:r>
        <w:rPr>
          <w:spacing w:val="-4"/>
          <w:sz w:val="24"/>
          <w:szCs w:val="24"/>
        </w:rPr>
        <w:t>加深，属一般性调整。溢洪道在施工过程中根据实际地质条件、设备等原因</w:t>
      </w:r>
      <w:r>
        <w:rPr>
          <w:spacing w:val="-5"/>
          <w:sz w:val="24"/>
          <w:szCs w:val="24"/>
        </w:rPr>
        <w:t>作出局</w:t>
      </w:r>
      <w:r>
        <w:rPr>
          <w:spacing w:val="-3"/>
          <w:sz w:val="24"/>
          <w:szCs w:val="24"/>
        </w:rPr>
        <w:t>部优化调整，均属一般设计变更。</w:t>
      </w:r>
    </w:p>
    <w:p w14:paraId="5693E78F">
      <w:pPr>
        <w:pStyle w:val="2"/>
        <w:spacing w:before="82" w:line="218" w:lineRule="auto"/>
        <w:ind w:left="30"/>
        <w:rPr>
          <w:sz w:val="27"/>
          <w:szCs w:val="27"/>
        </w:rPr>
      </w:pPr>
      <w:r>
        <w:rPr>
          <w:rFonts w:ascii="Arial" w:hAnsi="Arial" w:eastAsia="Arial" w:cs="Arial"/>
          <w:position w:val="2"/>
          <w:sz w:val="27"/>
          <w:szCs w:val="27"/>
        </w:rPr>
        <w:t>3.3.2</w:t>
      </w:r>
      <w:r>
        <w:rPr>
          <w:rFonts w:ascii="Arial" w:hAnsi="Arial" w:eastAsia="Arial" w:cs="Arial"/>
          <w:spacing w:val="2"/>
          <w:position w:val="2"/>
          <w:sz w:val="27"/>
          <w:szCs w:val="27"/>
        </w:rPr>
        <w:t xml:space="preserve">    </w:t>
      </w:r>
      <w:r>
        <w:rPr>
          <w:b/>
          <w:bCs/>
          <w:position w:val="-1"/>
          <w:sz w:val="27"/>
          <w:szCs w:val="27"/>
        </w:rPr>
        <w:t>施工布置及方案调整</w:t>
      </w:r>
    </w:p>
    <w:p w14:paraId="145D6BEA">
      <w:pPr>
        <w:pStyle w:val="2"/>
        <w:spacing w:before="264"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）料场调整</w:t>
      </w:r>
    </w:p>
    <w:p w14:paraId="6FE9FCA9">
      <w:pPr>
        <w:pStyle w:val="2"/>
        <w:spacing w:before="136" w:line="233" w:lineRule="auto"/>
        <w:ind w:right="29"/>
        <w:jc w:val="right"/>
        <w:rPr>
          <w:rFonts w:ascii="Times New Roman" w:hAnsi="Times New Roman" w:eastAsia="Times New Roman" w:cs="Times New Roman"/>
          <w:sz w:val="24"/>
          <w:szCs w:val="24"/>
        </w:rPr>
      </w:pPr>
      <w:r>
        <w:rPr>
          <w:spacing w:val="-6"/>
          <w:sz w:val="24"/>
          <w:szCs w:val="24"/>
        </w:rPr>
        <w:t>环评阶段设计的石料场仅启用了</w:t>
      </w:r>
      <w:r>
        <w:rPr>
          <w:spacing w:val="-17"/>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15"/>
          <w:sz w:val="24"/>
          <w:szCs w:val="24"/>
        </w:rPr>
        <w:t xml:space="preserve"> </w:t>
      </w:r>
      <w:r>
        <w:rPr>
          <w:spacing w:val="-6"/>
          <w:sz w:val="24"/>
          <w:szCs w:val="24"/>
        </w:rPr>
        <w:t>处，即枢纽区的象山</w:t>
      </w:r>
      <w:r>
        <w:rPr>
          <w:spacing w:val="-33"/>
          <w:sz w:val="24"/>
          <w:szCs w:val="24"/>
        </w:rPr>
        <w:t xml:space="preserve"> </w:t>
      </w:r>
      <w:r>
        <w:rPr>
          <w:spacing w:val="-6"/>
          <w:sz w:val="24"/>
          <w:szCs w:val="24"/>
        </w:rPr>
        <w:t>Ⅰ</w:t>
      </w:r>
      <w:r>
        <w:rPr>
          <w:rFonts w:ascii="Times New Roman" w:hAnsi="Times New Roman" w:eastAsia="Times New Roman" w:cs="Times New Roman"/>
          <w:spacing w:val="-6"/>
          <w:sz w:val="24"/>
          <w:szCs w:val="24"/>
        </w:rPr>
        <w:t>#</w:t>
      </w:r>
      <w:r>
        <w:rPr>
          <w:spacing w:val="-6"/>
          <w:sz w:val="24"/>
          <w:szCs w:val="24"/>
        </w:rPr>
        <w:t>石料场，象山Ⅱ</w:t>
      </w:r>
      <w:r>
        <w:rPr>
          <w:rFonts w:ascii="Times New Roman" w:hAnsi="Times New Roman" w:eastAsia="Times New Roman" w:cs="Times New Roman"/>
          <w:spacing w:val="-6"/>
          <w:sz w:val="24"/>
          <w:szCs w:val="24"/>
        </w:rPr>
        <w:t>#C</w:t>
      </w:r>
    </w:p>
    <w:p w14:paraId="37AA58C0">
      <w:pPr>
        <w:spacing w:line="233" w:lineRule="auto"/>
        <w:rPr>
          <w:rFonts w:ascii="Times New Roman" w:hAnsi="Times New Roman" w:eastAsia="Times New Roman" w:cs="Times New Roman"/>
          <w:sz w:val="24"/>
          <w:szCs w:val="24"/>
        </w:rPr>
        <w:sectPr>
          <w:footerReference r:id="rId52" w:type="default"/>
          <w:pgSz w:w="11907" w:h="16839"/>
          <w:pgMar w:top="1376" w:right="1669" w:bottom="1061" w:left="1671" w:header="999" w:footer="859" w:gutter="0"/>
          <w:cols w:space="720" w:num="1"/>
        </w:sectPr>
      </w:pPr>
    </w:p>
    <w:p w14:paraId="5BA16FF2">
      <w:pPr>
        <w:spacing w:line="454" w:lineRule="auto"/>
        <w:rPr>
          <w:rFonts w:ascii="Arial"/>
          <w:sz w:val="21"/>
        </w:rPr>
      </w:pPr>
    </w:p>
    <w:p w14:paraId="1AEE2B72">
      <w:pPr>
        <w:pStyle w:val="2"/>
        <w:spacing w:before="78" w:line="339" w:lineRule="auto"/>
        <w:ind w:left="43" w:right="104" w:firstLine="13"/>
        <w:rPr>
          <w:sz w:val="24"/>
          <w:szCs w:val="24"/>
        </w:rPr>
      </w:pPr>
      <w:r>
        <w:rPr>
          <w:spacing w:val="-5"/>
          <w:sz w:val="24"/>
          <w:szCs w:val="24"/>
        </w:rPr>
        <w:t>区石料场和大罗贵土料场未启用。输水隧洞工程全部利用洞渣，环评阶段设计的新</w:t>
      </w:r>
      <w:r>
        <w:rPr>
          <w:spacing w:val="-3"/>
          <w:sz w:val="24"/>
          <w:szCs w:val="24"/>
        </w:rPr>
        <w:t>发村石料场和尹保村石料场均未启用。</w:t>
      </w:r>
    </w:p>
    <w:p w14:paraId="2A5AC8CA">
      <w:pPr>
        <w:pStyle w:val="2"/>
        <w:spacing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）渣场调整</w:t>
      </w:r>
    </w:p>
    <w:p w14:paraId="0325572D">
      <w:pPr>
        <w:pStyle w:val="2"/>
        <w:spacing w:before="135" w:line="333" w:lineRule="auto"/>
        <w:ind w:left="40" w:right="102" w:firstLine="479"/>
        <w:jc w:val="both"/>
        <w:rPr>
          <w:sz w:val="24"/>
          <w:szCs w:val="24"/>
        </w:rPr>
      </w:pPr>
      <w:r>
        <w:rPr>
          <w:spacing w:val="-1"/>
          <w:sz w:val="24"/>
          <w:szCs w:val="24"/>
        </w:rPr>
        <w:t xml:space="preserve">环评阶段设计的枢纽区 </w:t>
      </w:r>
      <w:r>
        <w:rPr>
          <w:rFonts w:ascii="Times New Roman" w:hAnsi="Times New Roman" w:eastAsia="Times New Roman" w:cs="Times New Roman"/>
          <w:spacing w:val="-1"/>
          <w:sz w:val="24"/>
          <w:szCs w:val="24"/>
        </w:rPr>
        <w:t>2#</w:t>
      </w:r>
      <w:r>
        <w:rPr>
          <w:spacing w:val="-1"/>
          <w:sz w:val="24"/>
          <w:szCs w:val="24"/>
        </w:rPr>
        <w:t>弃渣场取消，</w:t>
      </w:r>
      <w:r>
        <w:rPr>
          <w:rFonts w:ascii="Times New Roman" w:hAnsi="Times New Roman" w:eastAsia="Times New Roman" w:cs="Times New Roman"/>
          <w:spacing w:val="-1"/>
          <w:sz w:val="24"/>
          <w:szCs w:val="24"/>
        </w:rPr>
        <w:t>1#</w:t>
      </w:r>
      <w:r>
        <w:rPr>
          <w:spacing w:val="-1"/>
          <w:sz w:val="24"/>
          <w:szCs w:val="24"/>
        </w:rPr>
        <w:t xml:space="preserve">弃渣场因与鱼道布置位置重叠，调整至河道右岸，新增从坝址至 </w:t>
      </w:r>
      <w:r>
        <w:rPr>
          <w:rFonts w:ascii="Times New Roman" w:hAnsi="Times New Roman" w:eastAsia="Times New Roman" w:cs="Times New Roman"/>
          <w:spacing w:val="-1"/>
          <w:sz w:val="24"/>
          <w:szCs w:val="24"/>
        </w:rPr>
        <w:t>1#</w:t>
      </w:r>
      <w:r>
        <w:rPr>
          <w:spacing w:val="-1"/>
          <w:sz w:val="24"/>
          <w:szCs w:val="24"/>
        </w:rPr>
        <w:t>弃渣场施工道路；输水工程区的保家营弃渣场取</w:t>
      </w:r>
      <w:r>
        <w:rPr>
          <w:spacing w:val="-4"/>
          <w:sz w:val="24"/>
          <w:szCs w:val="24"/>
        </w:rPr>
        <w:t>消，依托杨家营弃渣场。</w:t>
      </w:r>
    </w:p>
    <w:p w14:paraId="3FE7320E">
      <w:pPr>
        <w:pStyle w:val="2"/>
        <w:spacing w:before="21"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3</w:t>
      </w:r>
      <w:r>
        <w:rPr>
          <w:b/>
          <w:bCs/>
          <w:spacing w:val="-3"/>
          <w:sz w:val="24"/>
          <w:szCs w:val="24"/>
        </w:rPr>
        <w:t>）移民安置人数及安置方案局部调整</w:t>
      </w:r>
    </w:p>
    <w:p w14:paraId="0658BF9B">
      <w:pPr>
        <w:pStyle w:val="2"/>
        <w:spacing w:before="138" w:line="341" w:lineRule="auto"/>
        <w:ind w:left="37" w:right="102" w:firstLine="481"/>
        <w:jc w:val="both"/>
        <w:rPr>
          <w:sz w:val="24"/>
          <w:szCs w:val="24"/>
        </w:rPr>
      </w:pPr>
      <w:r>
        <w:rPr>
          <w:spacing w:val="-3"/>
          <w:sz w:val="24"/>
          <w:szCs w:val="24"/>
        </w:rPr>
        <w:t>环评阶段规划水平年共需搬迁安置</w:t>
      </w:r>
      <w:r>
        <w:rPr>
          <w:spacing w:val="-23"/>
          <w:sz w:val="24"/>
          <w:szCs w:val="24"/>
        </w:rPr>
        <w:t xml:space="preserve"> </w:t>
      </w:r>
      <w:r>
        <w:rPr>
          <w:rFonts w:ascii="Times New Roman" w:hAnsi="Times New Roman" w:eastAsia="Times New Roman" w:cs="Times New Roman"/>
          <w:spacing w:val="-3"/>
          <w:sz w:val="24"/>
          <w:szCs w:val="24"/>
        </w:rPr>
        <w:t>1977</w:t>
      </w:r>
      <w:r>
        <w:rPr>
          <w:rFonts w:ascii="Times New Roman" w:hAnsi="Times New Roman" w:eastAsia="Times New Roman" w:cs="Times New Roman"/>
          <w:spacing w:val="20"/>
          <w:sz w:val="24"/>
          <w:szCs w:val="24"/>
        </w:rPr>
        <w:t xml:space="preserve"> </w:t>
      </w:r>
      <w:r>
        <w:rPr>
          <w:spacing w:val="-4"/>
          <w:sz w:val="24"/>
          <w:szCs w:val="24"/>
        </w:rPr>
        <w:t xml:space="preserve">人，选择了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9"/>
          <w:sz w:val="24"/>
          <w:szCs w:val="24"/>
        </w:rPr>
        <w:t xml:space="preserve"> </w:t>
      </w:r>
      <w:r>
        <w:rPr>
          <w:spacing w:val="-4"/>
          <w:sz w:val="24"/>
          <w:szCs w:val="24"/>
        </w:rPr>
        <w:t>个集中移民安置点和</w:t>
      </w:r>
      <w:r>
        <w:rPr>
          <w:spacing w:val="-37"/>
          <w:sz w:val="24"/>
          <w:szCs w:val="24"/>
        </w:rPr>
        <w:t xml:space="preserve"> </w:t>
      </w:r>
      <w:r>
        <w:rPr>
          <w:rFonts w:ascii="Times New Roman" w:hAnsi="Times New Roman" w:eastAsia="Times New Roman" w:cs="Times New Roman"/>
          <w:spacing w:val="-4"/>
          <w:sz w:val="24"/>
          <w:szCs w:val="24"/>
        </w:rPr>
        <w:t>8</w:t>
      </w:r>
      <w:r>
        <w:rPr>
          <w:spacing w:val="-4"/>
          <w:sz w:val="24"/>
          <w:szCs w:val="24"/>
        </w:rPr>
        <w:t>个后靠安置点。根据《云南省曲靖市车马碧水库工程下闸蓄水阶段建设征地移民安置终验报告》，车马碧水库工程共实施完成</w:t>
      </w:r>
      <w:r>
        <w:rPr>
          <w:spacing w:val="-50"/>
          <w:sz w:val="24"/>
          <w:szCs w:val="24"/>
        </w:rPr>
        <w:t xml:space="preserve"> </w:t>
      </w:r>
      <w:r>
        <w:rPr>
          <w:rFonts w:ascii="Times New Roman" w:hAnsi="Times New Roman" w:eastAsia="Times New Roman" w:cs="Times New Roman"/>
          <w:spacing w:val="-4"/>
          <w:sz w:val="24"/>
          <w:szCs w:val="24"/>
        </w:rPr>
        <w:t xml:space="preserve">9 </w:t>
      </w:r>
      <w:r>
        <w:rPr>
          <w:spacing w:val="-4"/>
          <w:sz w:val="24"/>
          <w:szCs w:val="24"/>
        </w:rPr>
        <w:t>个集中安置点基础设</w:t>
      </w:r>
      <w:r>
        <w:rPr>
          <w:spacing w:val="-5"/>
          <w:sz w:val="24"/>
          <w:szCs w:val="24"/>
        </w:rPr>
        <w:t>施建设，完成搬</w:t>
      </w:r>
      <w:r>
        <w:rPr>
          <w:spacing w:val="-4"/>
          <w:sz w:val="24"/>
          <w:szCs w:val="24"/>
        </w:rPr>
        <w:t>迁安置</w:t>
      </w:r>
      <w:r>
        <w:rPr>
          <w:spacing w:val="-41"/>
          <w:sz w:val="24"/>
          <w:szCs w:val="24"/>
        </w:rPr>
        <w:t xml:space="preserve"> </w:t>
      </w:r>
      <w:r>
        <w:rPr>
          <w:rFonts w:ascii="Times New Roman" w:hAnsi="Times New Roman" w:eastAsia="Times New Roman" w:cs="Times New Roman"/>
          <w:spacing w:val="-4"/>
          <w:sz w:val="24"/>
          <w:szCs w:val="24"/>
        </w:rPr>
        <w:t xml:space="preserve">513 </w:t>
      </w:r>
      <w:r>
        <w:rPr>
          <w:spacing w:val="-4"/>
          <w:sz w:val="24"/>
          <w:szCs w:val="24"/>
        </w:rPr>
        <w:t>户</w:t>
      </w:r>
      <w:r>
        <w:rPr>
          <w:spacing w:val="-55"/>
          <w:sz w:val="24"/>
          <w:szCs w:val="24"/>
        </w:rPr>
        <w:t xml:space="preserve"> </w:t>
      </w:r>
      <w:r>
        <w:rPr>
          <w:rFonts w:ascii="Times New Roman" w:hAnsi="Times New Roman" w:eastAsia="Times New Roman" w:cs="Times New Roman"/>
          <w:spacing w:val="-4"/>
          <w:sz w:val="24"/>
          <w:szCs w:val="24"/>
        </w:rPr>
        <w:t>2125</w:t>
      </w:r>
      <w:r>
        <w:rPr>
          <w:rFonts w:ascii="Times New Roman" w:hAnsi="Times New Roman" w:eastAsia="Times New Roman" w:cs="Times New Roman"/>
          <w:spacing w:val="11"/>
          <w:sz w:val="24"/>
          <w:szCs w:val="24"/>
        </w:rPr>
        <w:t xml:space="preserve"> </w:t>
      </w:r>
      <w:r>
        <w:rPr>
          <w:spacing w:val="-4"/>
          <w:sz w:val="24"/>
          <w:szCs w:val="24"/>
        </w:rPr>
        <w:t>人。</w:t>
      </w:r>
    </w:p>
    <w:p w14:paraId="1E1E4133">
      <w:pPr>
        <w:pStyle w:val="2"/>
        <w:spacing w:before="71" w:line="227" w:lineRule="auto"/>
        <w:ind w:left="30"/>
        <w:rPr>
          <w:sz w:val="27"/>
          <w:szCs w:val="27"/>
        </w:rPr>
      </w:pPr>
      <w:r>
        <w:rPr>
          <w:rFonts w:ascii="Arial" w:hAnsi="Arial" w:eastAsia="Arial" w:cs="Arial"/>
          <w:spacing w:val="9"/>
          <w:position w:val="1"/>
          <w:sz w:val="21"/>
          <w:szCs w:val="21"/>
        </w:rPr>
        <w:t>3.3.3</w:t>
      </w:r>
      <w:r>
        <w:rPr>
          <w:rFonts w:ascii="Arial" w:hAnsi="Arial" w:eastAsia="Arial" w:cs="Arial"/>
          <w:spacing w:val="4"/>
          <w:position w:val="1"/>
          <w:sz w:val="21"/>
          <w:szCs w:val="21"/>
        </w:rPr>
        <w:t xml:space="preserve">     </w:t>
      </w:r>
      <w:r>
        <w:rPr>
          <w:b/>
          <w:bCs/>
          <w:spacing w:val="9"/>
          <w:position w:val="-1"/>
          <w:sz w:val="27"/>
          <w:szCs w:val="27"/>
        </w:rPr>
        <w:t>主要环保措施调整</w:t>
      </w:r>
    </w:p>
    <w:p w14:paraId="77DE2A4A">
      <w:pPr>
        <w:pStyle w:val="2"/>
        <w:spacing w:before="262"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1</w:t>
      </w:r>
      <w:r>
        <w:rPr>
          <w:b/>
          <w:bCs/>
          <w:spacing w:val="-3"/>
          <w:sz w:val="24"/>
          <w:szCs w:val="24"/>
        </w:rPr>
        <w:t>）低温水减缓措施（坝前取水方式）</w:t>
      </w:r>
    </w:p>
    <w:p w14:paraId="7E18CA70">
      <w:pPr>
        <w:pStyle w:val="2"/>
        <w:spacing w:before="138" w:line="337" w:lineRule="auto"/>
        <w:ind w:left="42" w:right="102" w:firstLine="477"/>
        <w:jc w:val="both"/>
        <w:rPr>
          <w:sz w:val="24"/>
          <w:szCs w:val="24"/>
        </w:rPr>
      </w:pPr>
      <w:r>
        <w:rPr>
          <w:spacing w:val="-1"/>
          <w:sz w:val="24"/>
          <w:szCs w:val="24"/>
        </w:rPr>
        <w:t xml:space="preserve">环评报告书根据下游生态保护需要和水温计算分析结果，提出 </w:t>
      </w:r>
      <w:r>
        <w:rPr>
          <w:rFonts w:ascii="Times New Roman" w:hAnsi="Times New Roman" w:eastAsia="Times New Roman" w:cs="Times New Roman"/>
          <w:spacing w:val="-1"/>
          <w:sz w:val="24"/>
          <w:szCs w:val="24"/>
        </w:rPr>
        <w:t xml:space="preserve">3~7  </w:t>
      </w:r>
      <w:r>
        <w:rPr>
          <w:spacing w:val="-1"/>
          <w:sz w:val="24"/>
          <w:szCs w:val="24"/>
        </w:rPr>
        <w:t>月有分层</w:t>
      </w:r>
      <w:r>
        <w:rPr>
          <w:spacing w:val="-4"/>
          <w:sz w:val="24"/>
          <w:szCs w:val="24"/>
        </w:rPr>
        <w:t>取水需求。为了分析各分层取水方案低温水改善效果，报告对坝前竖</w:t>
      </w:r>
      <w:r>
        <w:rPr>
          <w:spacing w:val="-5"/>
          <w:sz w:val="24"/>
          <w:szCs w:val="24"/>
        </w:rPr>
        <w:t>井生态、灌溉</w:t>
      </w:r>
      <w:r>
        <w:rPr>
          <w:spacing w:val="-1"/>
          <w:sz w:val="24"/>
          <w:szCs w:val="24"/>
        </w:rPr>
        <w:t>取水方式拟定了两个方案（方案一：固定式分层取水和方案二</w:t>
      </w:r>
      <w:r>
        <w:rPr>
          <w:spacing w:val="-2"/>
          <w:sz w:val="24"/>
          <w:szCs w:val="24"/>
        </w:rPr>
        <w:t>：浮筒式取水口</w:t>
      </w:r>
      <w:r>
        <w:rPr>
          <w:rFonts w:ascii="Times New Roman" w:hAnsi="Times New Roman" w:eastAsia="Times New Roman" w:cs="Times New Roman"/>
          <w:spacing w:val="-2"/>
          <w:sz w:val="24"/>
          <w:szCs w:val="24"/>
        </w:rPr>
        <w:t>+</w:t>
      </w:r>
      <w:r>
        <w:rPr>
          <w:spacing w:val="-2"/>
          <w:sz w:val="24"/>
          <w:szCs w:val="24"/>
        </w:rPr>
        <w:t>固</w:t>
      </w:r>
      <w:r>
        <w:rPr>
          <w:spacing w:val="-4"/>
          <w:sz w:val="24"/>
          <w:szCs w:val="24"/>
        </w:rPr>
        <w:t>定取水口）进行比选，综合分析结果认为两方案均可以起到良好的水</w:t>
      </w:r>
      <w:r>
        <w:rPr>
          <w:spacing w:val="-5"/>
          <w:sz w:val="24"/>
          <w:szCs w:val="24"/>
        </w:rPr>
        <w:t>温改善效果，</w:t>
      </w:r>
      <w:r>
        <w:rPr>
          <w:spacing w:val="-1"/>
          <w:sz w:val="24"/>
          <w:szCs w:val="24"/>
        </w:rPr>
        <w:t>由于方案二（浮筒取水</w:t>
      </w:r>
      <w:r>
        <w:rPr>
          <w:rFonts w:ascii="Times New Roman" w:hAnsi="Times New Roman" w:eastAsia="Times New Roman" w:cs="Times New Roman"/>
          <w:spacing w:val="-1"/>
          <w:sz w:val="24"/>
          <w:szCs w:val="24"/>
        </w:rPr>
        <w:t>+</w:t>
      </w:r>
      <w:r>
        <w:rPr>
          <w:spacing w:val="-1"/>
          <w:sz w:val="24"/>
          <w:szCs w:val="24"/>
        </w:rPr>
        <w:t>固定取水口）运行较为灵活，更易取</w:t>
      </w:r>
      <w:r>
        <w:rPr>
          <w:spacing w:val="-2"/>
          <w:sz w:val="24"/>
          <w:szCs w:val="24"/>
        </w:rPr>
        <w:t>到表层水，水温改善</w:t>
      </w:r>
      <w:r>
        <w:rPr>
          <w:spacing w:val="-1"/>
          <w:sz w:val="24"/>
          <w:szCs w:val="24"/>
        </w:rPr>
        <w:t>效果也较方案一优，故推荐方案二。</w:t>
      </w:r>
    </w:p>
    <w:p w14:paraId="1776E2FD">
      <w:pPr>
        <w:pStyle w:val="2"/>
        <w:spacing w:before="12" w:line="337" w:lineRule="auto"/>
        <w:ind w:left="39" w:right="103" w:firstLine="479"/>
        <w:jc w:val="both"/>
        <w:rPr>
          <w:sz w:val="24"/>
          <w:szCs w:val="24"/>
        </w:rPr>
      </w:pPr>
      <w:r>
        <w:rPr>
          <w:spacing w:val="-5"/>
          <w:sz w:val="24"/>
          <w:szCs w:val="24"/>
        </w:rPr>
        <w:t>初设阶段，设计单位通过市场调查，认为在下放流量较大的情况下方案二（浮</w:t>
      </w:r>
      <w:r>
        <w:rPr>
          <w:spacing w:val="-1"/>
          <w:sz w:val="24"/>
          <w:szCs w:val="24"/>
        </w:rPr>
        <w:t>筒式取水口</w:t>
      </w:r>
      <w:r>
        <w:rPr>
          <w:rFonts w:ascii="Times New Roman" w:hAnsi="Times New Roman" w:eastAsia="Times New Roman" w:cs="Times New Roman"/>
          <w:spacing w:val="-1"/>
          <w:sz w:val="24"/>
          <w:szCs w:val="24"/>
        </w:rPr>
        <w:t>+</w:t>
      </w:r>
      <w:r>
        <w:rPr>
          <w:spacing w:val="-1"/>
          <w:sz w:val="24"/>
          <w:szCs w:val="24"/>
        </w:rPr>
        <w:t>固定取水口）存在较大的技术问题，以目前国内浮动式</w:t>
      </w:r>
      <w:r>
        <w:rPr>
          <w:spacing w:val="-2"/>
          <w:sz w:val="24"/>
          <w:szCs w:val="24"/>
        </w:rPr>
        <w:t>取水口技术的</w:t>
      </w:r>
      <w:r>
        <w:rPr>
          <w:spacing w:val="-4"/>
          <w:sz w:val="24"/>
          <w:szCs w:val="24"/>
        </w:rPr>
        <w:t>发展水平难以解决。因此，初设单位对分层取水措施进行了进一步研究，并</w:t>
      </w:r>
      <w:r>
        <w:rPr>
          <w:spacing w:val="-5"/>
          <w:sz w:val="24"/>
          <w:szCs w:val="24"/>
        </w:rPr>
        <w:t>综合考</w:t>
      </w:r>
      <w:r>
        <w:rPr>
          <w:sz w:val="24"/>
          <w:szCs w:val="24"/>
        </w:rPr>
        <w:t>虑环评阶段水温减缓效果预测结果，推荐采用方案一</w:t>
      </w:r>
      <w:r>
        <w:rPr>
          <w:spacing w:val="-1"/>
          <w:sz w:val="24"/>
          <w:szCs w:val="24"/>
        </w:rPr>
        <w:t>：固定式分层取水口。</w:t>
      </w:r>
    </w:p>
    <w:p w14:paraId="3CF83227">
      <w:pPr>
        <w:pStyle w:val="2"/>
        <w:spacing w:before="10" w:line="336" w:lineRule="auto"/>
        <w:ind w:left="40" w:firstLine="481"/>
        <w:jc w:val="both"/>
        <w:rPr>
          <w:sz w:val="24"/>
          <w:szCs w:val="24"/>
        </w:rPr>
      </w:pPr>
      <w:r>
        <w:rPr>
          <w:spacing w:val="-1"/>
          <w:sz w:val="24"/>
          <w:szCs w:val="24"/>
        </w:rPr>
        <w:t xml:space="preserve">大坝截流时从导流泄洪放空隧洞进口底板高程 </w:t>
      </w:r>
      <w:r>
        <w:rPr>
          <w:rFonts w:ascii="Times New Roman" w:hAnsi="Times New Roman" w:eastAsia="Times New Roman" w:cs="Times New Roman"/>
          <w:spacing w:val="-1"/>
          <w:sz w:val="24"/>
          <w:szCs w:val="24"/>
        </w:rPr>
        <w:t xml:space="preserve">1899.412m  </w:t>
      </w:r>
      <w:r>
        <w:rPr>
          <w:spacing w:val="-1"/>
          <w:sz w:val="24"/>
          <w:szCs w:val="24"/>
        </w:rPr>
        <w:t>下放生态用水，设</w:t>
      </w:r>
      <w:r>
        <w:rPr>
          <w:spacing w:val="-2"/>
          <w:sz w:val="24"/>
          <w:szCs w:val="24"/>
        </w:rPr>
        <w:t xml:space="preserve">两层取水口，上层取水口（孔口尺寸 </w:t>
      </w:r>
      <w:r>
        <w:rPr>
          <w:rFonts w:ascii="Times New Roman" w:hAnsi="Times New Roman" w:eastAsia="Times New Roman" w:cs="Times New Roman"/>
          <w:spacing w:val="-2"/>
          <w:sz w:val="24"/>
          <w:szCs w:val="24"/>
        </w:rPr>
        <w:t>1.5m</w:t>
      </w:r>
      <w:r>
        <w:rPr>
          <w:spacing w:val="-2"/>
          <w:sz w:val="24"/>
          <w:szCs w:val="24"/>
        </w:rPr>
        <w:t>×</w:t>
      </w:r>
      <w:r>
        <w:rPr>
          <w:rFonts w:ascii="Times New Roman" w:hAnsi="Times New Roman" w:eastAsia="Times New Roman" w:cs="Times New Roman"/>
          <w:spacing w:val="-3"/>
          <w:sz w:val="24"/>
          <w:szCs w:val="24"/>
        </w:rPr>
        <w:t>1.8m</w:t>
      </w:r>
      <w:r>
        <w:rPr>
          <w:spacing w:val="-3"/>
          <w:sz w:val="24"/>
          <w:szCs w:val="24"/>
        </w:rPr>
        <w:t>）设置于</w:t>
      </w:r>
      <w:r>
        <w:rPr>
          <w:spacing w:val="-24"/>
          <w:sz w:val="24"/>
          <w:szCs w:val="24"/>
        </w:rPr>
        <w:t xml:space="preserve"> </w:t>
      </w:r>
      <w:r>
        <w:rPr>
          <w:rFonts w:ascii="Times New Roman" w:hAnsi="Times New Roman" w:eastAsia="Times New Roman" w:cs="Times New Roman"/>
          <w:spacing w:val="-3"/>
          <w:sz w:val="24"/>
          <w:szCs w:val="24"/>
        </w:rPr>
        <w:t>1924.5m</w:t>
      </w:r>
      <w:r>
        <w:rPr>
          <w:rFonts w:ascii="Times New Roman" w:hAnsi="Times New Roman" w:eastAsia="Times New Roman" w:cs="Times New Roman"/>
          <w:spacing w:val="24"/>
          <w:w w:val="101"/>
          <w:sz w:val="24"/>
          <w:szCs w:val="24"/>
        </w:rPr>
        <w:t xml:space="preserve"> </w:t>
      </w:r>
      <w:r>
        <w:rPr>
          <w:spacing w:val="-3"/>
          <w:sz w:val="24"/>
          <w:szCs w:val="24"/>
        </w:rPr>
        <w:t>高程的竖井壁</w:t>
      </w:r>
      <w:r>
        <w:rPr>
          <w:spacing w:val="-2"/>
          <w:sz w:val="24"/>
          <w:szCs w:val="24"/>
        </w:rPr>
        <w:t>上，后接</w:t>
      </w:r>
      <w:r>
        <w:rPr>
          <w:spacing w:val="-23"/>
          <w:sz w:val="24"/>
          <w:szCs w:val="24"/>
        </w:rPr>
        <w:t xml:space="preserve"> </w:t>
      </w:r>
      <w:r>
        <w:rPr>
          <w:rFonts w:ascii="Times New Roman" w:hAnsi="Times New Roman" w:eastAsia="Times New Roman" w:cs="Times New Roman"/>
          <w:spacing w:val="-2"/>
          <w:sz w:val="24"/>
          <w:szCs w:val="24"/>
        </w:rPr>
        <w:t>1.5m</w:t>
      </w:r>
      <w:r>
        <w:rPr>
          <w:spacing w:val="-2"/>
          <w:sz w:val="24"/>
          <w:szCs w:val="24"/>
        </w:rPr>
        <w:t>×</w:t>
      </w:r>
      <w:r>
        <w:rPr>
          <w:rFonts w:ascii="Times New Roman" w:hAnsi="Times New Roman" w:eastAsia="Times New Roman" w:cs="Times New Roman"/>
          <w:spacing w:val="-2"/>
          <w:sz w:val="24"/>
          <w:szCs w:val="24"/>
        </w:rPr>
        <w:t>1m</w:t>
      </w:r>
      <w:r>
        <w:rPr>
          <w:spacing w:val="-2"/>
          <w:sz w:val="24"/>
          <w:szCs w:val="24"/>
        </w:rPr>
        <w:t>（长×宽）的过水竖井，</w:t>
      </w:r>
      <w:r>
        <w:rPr>
          <w:spacing w:val="-3"/>
          <w:sz w:val="24"/>
          <w:szCs w:val="24"/>
        </w:rPr>
        <w:t xml:space="preserve">下层取水口（孔口尺寸 </w:t>
      </w:r>
      <w:r>
        <w:rPr>
          <w:rFonts w:ascii="Times New Roman" w:hAnsi="Times New Roman" w:eastAsia="Times New Roman" w:cs="Times New Roman"/>
          <w:spacing w:val="-3"/>
          <w:sz w:val="24"/>
          <w:szCs w:val="24"/>
        </w:rPr>
        <w:t>1.5m</w:t>
      </w:r>
      <w:r>
        <w:rPr>
          <w:spacing w:val="-3"/>
          <w:sz w:val="24"/>
          <w:szCs w:val="24"/>
        </w:rPr>
        <w:t>×</w:t>
      </w:r>
      <w:r>
        <w:rPr>
          <w:rFonts w:ascii="Times New Roman" w:hAnsi="Times New Roman" w:eastAsia="Times New Roman" w:cs="Times New Roman"/>
          <w:spacing w:val="-3"/>
          <w:sz w:val="24"/>
          <w:szCs w:val="24"/>
        </w:rPr>
        <w:t>1.8m</w:t>
      </w:r>
      <w:r>
        <w:rPr>
          <w:spacing w:val="-3"/>
          <w:sz w:val="24"/>
          <w:szCs w:val="24"/>
        </w:rPr>
        <w:t>）</w:t>
      </w:r>
      <w:r>
        <w:rPr>
          <w:spacing w:val="-4"/>
          <w:sz w:val="24"/>
          <w:szCs w:val="24"/>
        </w:rPr>
        <w:t>设置于</w:t>
      </w:r>
      <w:r>
        <w:rPr>
          <w:spacing w:val="-20"/>
          <w:sz w:val="24"/>
          <w:szCs w:val="24"/>
        </w:rPr>
        <w:t xml:space="preserve"> </w:t>
      </w:r>
      <w:r>
        <w:rPr>
          <w:rFonts w:ascii="Times New Roman" w:hAnsi="Times New Roman" w:eastAsia="Times New Roman" w:cs="Times New Roman"/>
          <w:spacing w:val="-4"/>
          <w:sz w:val="24"/>
          <w:szCs w:val="24"/>
        </w:rPr>
        <w:t>1914.5m</w:t>
      </w:r>
      <w:r>
        <w:rPr>
          <w:rFonts w:ascii="Times New Roman" w:hAnsi="Times New Roman" w:eastAsia="Times New Roman" w:cs="Times New Roman"/>
          <w:spacing w:val="15"/>
          <w:sz w:val="24"/>
          <w:szCs w:val="24"/>
        </w:rPr>
        <w:t xml:space="preserve"> </w:t>
      </w:r>
      <w:r>
        <w:rPr>
          <w:spacing w:val="-4"/>
          <w:sz w:val="24"/>
          <w:szCs w:val="24"/>
        </w:rPr>
        <w:t>高程的竖井壁上，后接Φ</w:t>
      </w:r>
      <w:r>
        <w:rPr>
          <w:rFonts w:ascii="Times New Roman" w:hAnsi="Times New Roman" w:eastAsia="Times New Roman" w:cs="Times New Roman"/>
          <w:spacing w:val="-4"/>
          <w:sz w:val="24"/>
          <w:szCs w:val="24"/>
        </w:rPr>
        <w:t>800mm</w:t>
      </w:r>
      <w:r>
        <w:rPr>
          <w:rFonts w:ascii="Times New Roman" w:hAnsi="Times New Roman" w:eastAsia="Times New Roman" w:cs="Times New Roman"/>
          <w:spacing w:val="27"/>
          <w:sz w:val="24"/>
          <w:szCs w:val="24"/>
        </w:rPr>
        <w:t xml:space="preserve"> </w:t>
      </w:r>
      <w:r>
        <w:rPr>
          <w:spacing w:val="-4"/>
          <w:sz w:val="24"/>
          <w:szCs w:val="24"/>
        </w:rPr>
        <w:t>的</w:t>
      </w:r>
      <w:r>
        <w:rPr>
          <w:spacing w:val="-50"/>
          <w:sz w:val="24"/>
          <w:szCs w:val="24"/>
        </w:rPr>
        <w:t xml:space="preserve"> </w:t>
      </w:r>
      <w:r>
        <w:rPr>
          <w:rFonts w:ascii="Times New Roman" w:hAnsi="Times New Roman" w:eastAsia="Times New Roman" w:cs="Times New Roman"/>
          <w:spacing w:val="-4"/>
          <w:sz w:val="24"/>
          <w:szCs w:val="24"/>
        </w:rPr>
        <w:t xml:space="preserve">Q235B </w:t>
      </w:r>
      <w:r>
        <w:rPr>
          <w:spacing w:val="-4"/>
          <w:sz w:val="24"/>
          <w:szCs w:val="24"/>
        </w:rPr>
        <w:t>钢管。分层取水口为常规水工设计，技术上可行，水库运行通过上层、下层闸门开度控制表层</w:t>
      </w:r>
      <w:r>
        <w:rPr>
          <w:spacing w:val="-5"/>
          <w:sz w:val="24"/>
          <w:szCs w:val="24"/>
        </w:rPr>
        <w:t>水的下泄满</w:t>
      </w:r>
      <w:r>
        <w:rPr>
          <w:spacing w:val="-4"/>
          <w:sz w:val="24"/>
          <w:szCs w:val="24"/>
        </w:rPr>
        <w:t>足低温水减缓措施要求。</w:t>
      </w:r>
    </w:p>
    <w:p w14:paraId="54775649">
      <w:pPr>
        <w:spacing w:line="336" w:lineRule="auto"/>
        <w:rPr>
          <w:sz w:val="24"/>
          <w:szCs w:val="24"/>
        </w:rPr>
        <w:sectPr>
          <w:headerReference r:id="rId53" w:type="default"/>
          <w:footerReference r:id="rId54" w:type="default"/>
          <w:pgSz w:w="11907" w:h="16839"/>
          <w:pgMar w:top="1376" w:right="1596" w:bottom="1061" w:left="1671" w:header="999" w:footer="861" w:gutter="0"/>
          <w:cols w:space="720" w:num="1"/>
        </w:sectPr>
      </w:pPr>
    </w:p>
    <w:p w14:paraId="3A256BFF">
      <w:pPr>
        <w:spacing w:line="454" w:lineRule="auto"/>
        <w:rPr>
          <w:rFonts w:ascii="Arial"/>
          <w:sz w:val="21"/>
        </w:rPr>
      </w:pPr>
    </w:p>
    <w:p w14:paraId="0A789C88">
      <w:pPr>
        <w:pStyle w:val="2"/>
        <w:spacing w:before="78" w:line="234"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）河道连通性恢复措施</w:t>
      </w:r>
    </w:p>
    <w:p w14:paraId="48346AA6">
      <w:pPr>
        <w:pStyle w:val="2"/>
        <w:spacing w:before="131" w:line="339" w:lineRule="auto"/>
        <w:ind w:left="38" w:right="66" w:firstLine="480"/>
        <w:jc w:val="both"/>
        <w:rPr>
          <w:sz w:val="24"/>
          <w:szCs w:val="24"/>
        </w:rPr>
      </w:pPr>
      <w:r>
        <w:rPr>
          <w:spacing w:val="-1"/>
          <w:sz w:val="24"/>
          <w:szCs w:val="24"/>
        </w:rPr>
        <w:t xml:space="preserve">环评要求：①车马碧坝址下游 </w:t>
      </w:r>
      <w:r>
        <w:rPr>
          <w:rFonts w:ascii="Times New Roman" w:hAnsi="Times New Roman" w:eastAsia="Times New Roman" w:cs="Times New Roman"/>
          <w:spacing w:val="-1"/>
          <w:sz w:val="24"/>
          <w:szCs w:val="24"/>
        </w:rPr>
        <w:t xml:space="preserve">8.2km  </w:t>
      </w:r>
      <w:r>
        <w:rPr>
          <w:spacing w:val="-1"/>
          <w:sz w:val="24"/>
          <w:szCs w:val="24"/>
        </w:rPr>
        <w:t xml:space="preserve">石仙人滚水坝修建过鱼设施，并通过鱼道下泄一定的生态流量，并设置生态流量泄放管，下泄流量不小于 </w:t>
      </w:r>
      <w:r>
        <w:rPr>
          <w:rFonts w:ascii="Times New Roman" w:hAnsi="Times New Roman" w:eastAsia="Times New Roman" w:cs="Times New Roman"/>
          <w:spacing w:val="-1"/>
          <w:sz w:val="24"/>
          <w:szCs w:val="24"/>
        </w:rPr>
        <w:t>1.313m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/s</w:t>
      </w:r>
      <w:r>
        <w:rPr>
          <w:spacing w:val="-1"/>
          <w:sz w:val="24"/>
          <w:szCs w:val="24"/>
        </w:rPr>
        <w:t xml:space="preserve">；②车马碧库尾以上 </w:t>
      </w:r>
      <w:r>
        <w:rPr>
          <w:rFonts w:ascii="Times New Roman" w:hAnsi="Times New Roman" w:eastAsia="Times New Roman" w:cs="Times New Roman"/>
          <w:spacing w:val="-1"/>
          <w:sz w:val="24"/>
          <w:szCs w:val="24"/>
        </w:rPr>
        <w:t>5.5km</w:t>
      </w:r>
      <w:r>
        <w:rPr>
          <w:rFonts w:ascii="Times New Roman" w:hAnsi="Times New Roman" w:eastAsia="Times New Roman" w:cs="Times New Roman"/>
          <w:spacing w:val="66"/>
          <w:sz w:val="24"/>
          <w:szCs w:val="24"/>
        </w:rPr>
        <w:t xml:space="preserve"> </w:t>
      </w:r>
      <w:r>
        <w:rPr>
          <w:spacing w:val="-1"/>
          <w:sz w:val="24"/>
          <w:szCs w:val="24"/>
        </w:rPr>
        <w:t>滚水坝修建过鱼设施，并通过其下泄一定的生态流量，最</w:t>
      </w:r>
      <w:r>
        <w:rPr>
          <w:spacing w:val="-4"/>
          <w:sz w:val="24"/>
          <w:szCs w:val="24"/>
        </w:rPr>
        <w:t>小下泄流量不小于本断面多年平均天然流量的</w:t>
      </w:r>
      <w:r>
        <w:rPr>
          <w:spacing w:val="-14"/>
          <w:sz w:val="24"/>
          <w:szCs w:val="24"/>
        </w:rPr>
        <w:t xml:space="preserve"> </w:t>
      </w:r>
      <w:r>
        <w:rPr>
          <w:rFonts w:ascii="Times New Roman" w:hAnsi="Times New Roman" w:eastAsia="Times New Roman" w:cs="Times New Roman"/>
          <w:spacing w:val="-4"/>
          <w:sz w:val="24"/>
          <w:szCs w:val="24"/>
        </w:rPr>
        <w:t>13.2%</w:t>
      </w:r>
      <w:r>
        <w:rPr>
          <w:spacing w:val="-4"/>
          <w:sz w:val="24"/>
          <w:szCs w:val="24"/>
        </w:rPr>
        <w:t>；③车马碧库尾以上</w:t>
      </w:r>
      <w:r>
        <w:rPr>
          <w:spacing w:val="-55"/>
          <w:sz w:val="24"/>
          <w:szCs w:val="24"/>
        </w:rPr>
        <w:t xml:space="preserve"> </w:t>
      </w:r>
      <w:r>
        <w:rPr>
          <w:rFonts w:ascii="Times New Roman" w:hAnsi="Times New Roman" w:eastAsia="Times New Roman" w:cs="Times New Roman"/>
          <w:spacing w:val="-4"/>
          <w:sz w:val="24"/>
          <w:szCs w:val="24"/>
        </w:rPr>
        <w:t xml:space="preserve">2.0km </w:t>
      </w:r>
      <w:r>
        <w:rPr>
          <w:spacing w:val="-4"/>
          <w:sz w:val="24"/>
          <w:szCs w:val="24"/>
        </w:rPr>
        <w:t>滚</w:t>
      </w:r>
      <w:r>
        <w:rPr>
          <w:spacing w:val="-1"/>
          <w:sz w:val="24"/>
          <w:szCs w:val="24"/>
        </w:rPr>
        <w:t xml:space="preserve">水坝拆除；④支流白塔河汇口以上 </w:t>
      </w:r>
      <w:r>
        <w:rPr>
          <w:rFonts w:ascii="Times New Roman" w:hAnsi="Times New Roman" w:eastAsia="Times New Roman" w:cs="Times New Roman"/>
          <w:spacing w:val="-1"/>
          <w:sz w:val="24"/>
          <w:szCs w:val="24"/>
        </w:rPr>
        <w:t>6.0km</w:t>
      </w:r>
      <w:r>
        <w:rPr>
          <w:rFonts w:ascii="Times New Roman" w:hAnsi="Times New Roman" w:eastAsia="Times New Roman" w:cs="Times New Roman"/>
          <w:spacing w:val="66"/>
          <w:w w:val="101"/>
          <w:sz w:val="24"/>
          <w:szCs w:val="24"/>
        </w:rPr>
        <w:t xml:space="preserve"> </w:t>
      </w:r>
      <w:r>
        <w:rPr>
          <w:spacing w:val="-1"/>
          <w:sz w:val="24"/>
          <w:szCs w:val="24"/>
        </w:rPr>
        <w:t>滚水坝修建鱼道；⑤建议结合凤龙湾坝</w:t>
      </w:r>
      <w:r>
        <w:rPr>
          <w:spacing w:val="-4"/>
          <w:sz w:val="24"/>
          <w:szCs w:val="24"/>
        </w:rPr>
        <w:t>后电站运行，优化水库调度运行方案，为下泄生态流量提供保障，建议最小</w:t>
      </w:r>
      <w:r>
        <w:rPr>
          <w:spacing w:val="-5"/>
          <w:sz w:val="24"/>
          <w:szCs w:val="24"/>
        </w:rPr>
        <w:t>下泄流量不小于</w:t>
      </w:r>
      <w:r>
        <w:rPr>
          <w:spacing w:val="-28"/>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13m</w:t>
      </w:r>
      <w:r>
        <w:rPr>
          <w:rFonts w:ascii="Times New Roman" w:hAnsi="Times New Roman" w:eastAsia="Times New Roman" w:cs="Times New Roman"/>
          <w:spacing w:val="-5"/>
          <w:position w:val="8"/>
          <w:sz w:val="15"/>
          <w:szCs w:val="15"/>
        </w:rPr>
        <w:t>3</w:t>
      </w:r>
      <w:r>
        <w:rPr>
          <w:rFonts w:ascii="Times New Roman" w:hAnsi="Times New Roman" w:eastAsia="Times New Roman" w:cs="Times New Roman"/>
          <w:spacing w:val="-5"/>
          <w:sz w:val="24"/>
          <w:szCs w:val="24"/>
        </w:rPr>
        <w:t>/s</w:t>
      </w:r>
      <w:r>
        <w:rPr>
          <w:spacing w:val="-5"/>
          <w:sz w:val="24"/>
          <w:szCs w:val="24"/>
        </w:rPr>
        <w:t>。</w:t>
      </w:r>
    </w:p>
    <w:p w14:paraId="30E26703">
      <w:pPr>
        <w:pStyle w:val="2"/>
        <w:spacing w:before="3" w:line="338" w:lineRule="auto"/>
        <w:ind w:left="38" w:right="64" w:firstLine="482"/>
        <w:jc w:val="both"/>
        <w:rPr>
          <w:sz w:val="24"/>
          <w:szCs w:val="24"/>
        </w:rPr>
      </w:pPr>
      <w:r>
        <w:rPr>
          <w:spacing w:val="-4"/>
          <w:sz w:val="24"/>
          <w:szCs w:val="24"/>
        </w:rPr>
        <w:t>落实情况：①石仙人滚水坝修建池式鱼道，位</w:t>
      </w:r>
      <w:r>
        <w:rPr>
          <w:spacing w:val="-5"/>
          <w:sz w:val="24"/>
          <w:szCs w:val="24"/>
        </w:rPr>
        <w:t>于马龙区马过河街道办事处新车站村委会，现场施工用地范围（农田</w:t>
      </w:r>
      <w:r>
        <w:rPr>
          <w:spacing w:val="-25"/>
          <w:sz w:val="24"/>
          <w:szCs w:val="24"/>
        </w:rPr>
        <w:t xml:space="preserve"> </w:t>
      </w:r>
      <w:r>
        <w:rPr>
          <w:rFonts w:ascii="Times New Roman" w:hAnsi="Times New Roman" w:eastAsia="Times New Roman" w:cs="Times New Roman"/>
          <w:spacing w:val="-5"/>
          <w:sz w:val="24"/>
          <w:szCs w:val="24"/>
        </w:rPr>
        <w:t>430m</w:t>
      </w:r>
      <w:r>
        <w:rPr>
          <w:spacing w:val="-5"/>
          <w:sz w:val="24"/>
          <w:szCs w:val="24"/>
        </w:rPr>
        <w:t>²</w:t>
      </w:r>
      <w:r>
        <w:rPr>
          <w:spacing w:val="-85"/>
          <w:sz w:val="24"/>
          <w:szCs w:val="24"/>
        </w:rPr>
        <w:t xml:space="preserve"> </w:t>
      </w:r>
      <w:r>
        <w:rPr>
          <w:spacing w:val="-5"/>
          <w:sz w:val="24"/>
          <w:szCs w:val="24"/>
        </w:rPr>
        <w:t>);</w:t>
      </w:r>
      <w:r>
        <w:rPr>
          <w:spacing w:val="54"/>
          <w:sz w:val="24"/>
          <w:szCs w:val="24"/>
        </w:rPr>
        <w:t xml:space="preserve"> </w:t>
      </w:r>
      <w:r>
        <w:rPr>
          <w:spacing w:val="-5"/>
          <w:sz w:val="24"/>
          <w:szCs w:val="24"/>
        </w:rPr>
        <w:t>②库尾以上</w:t>
      </w:r>
      <w:r>
        <w:rPr>
          <w:spacing w:val="-49"/>
          <w:sz w:val="24"/>
          <w:szCs w:val="24"/>
        </w:rPr>
        <w:t xml:space="preserve"> </w:t>
      </w:r>
      <w:r>
        <w:rPr>
          <w:rFonts w:ascii="Times New Roman" w:hAnsi="Times New Roman" w:eastAsia="Times New Roman" w:cs="Times New Roman"/>
          <w:spacing w:val="-5"/>
          <w:sz w:val="24"/>
          <w:szCs w:val="24"/>
        </w:rPr>
        <w:t>5.5km</w:t>
      </w:r>
      <w:r>
        <w:rPr>
          <w:rFonts w:ascii="Times New Roman" w:hAnsi="Times New Roman" w:eastAsia="Times New Roman" w:cs="Times New Roman"/>
          <w:spacing w:val="28"/>
          <w:sz w:val="24"/>
          <w:szCs w:val="24"/>
        </w:rPr>
        <w:t xml:space="preserve"> </w:t>
      </w:r>
      <w:r>
        <w:rPr>
          <w:spacing w:val="-5"/>
          <w:sz w:val="24"/>
          <w:szCs w:val="24"/>
        </w:rPr>
        <w:t>的滚水坝修建池</w:t>
      </w:r>
      <w:r>
        <w:rPr>
          <w:spacing w:val="-4"/>
          <w:sz w:val="24"/>
          <w:szCs w:val="24"/>
        </w:rPr>
        <w:t>式鱼道，位于马龙区鸡头村街道办高视槽居委</w:t>
      </w:r>
      <w:r>
        <w:rPr>
          <w:spacing w:val="-5"/>
          <w:sz w:val="24"/>
          <w:szCs w:val="24"/>
        </w:rPr>
        <w:t>会八角洞村，现场施工用地范围（农</w:t>
      </w:r>
      <w:r>
        <w:rPr>
          <w:spacing w:val="-6"/>
          <w:sz w:val="24"/>
          <w:szCs w:val="24"/>
        </w:rPr>
        <w:t>田</w:t>
      </w:r>
      <w:r>
        <w:rPr>
          <w:spacing w:val="-55"/>
          <w:sz w:val="24"/>
          <w:szCs w:val="24"/>
        </w:rPr>
        <w:t xml:space="preserve"> </w:t>
      </w:r>
      <w:r>
        <w:rPr>
          <w:rFonts w:ascii="Times New Roman" w:hAnsi="Times New Roman" w:eastAsia="Times New Roman" w:cs="Times New Roman"/>
          <w:spacing w:val="-6"/>
          <w:sz w:val="24"/>
          <w:szCs w:val="24"/>
        </w:rPr>
        <w:t>883m</w:t>
      </w:r>
      <w:r>
        <w:rPr>
          <w:spacing w:val="-6"/>
          <w:sz w:val="24"/>
          <w:szCs w:val="24"/>
        </w:rPr>
        <w:t>²</w:t>
      </w:r>
      <w:r>
        <w:rPr>
          <w:spacing w:val="-85"/>
          <w:sz w:val="24"/>
          <w:szCs w:val="24"/>
        </w:rPr>
        <w:t xml:space="preserve"> </w:t>
      </w:r>
      <w:r>
        <w:rPr>
          <w:spacing w:val="-6"/>
          <w:sz w:val="24"/>
          <w:szCs w:val="24"/>
        </w:rPr>
        <w:t>);③拆除距车马碧库尾</w:t>
      </w:r>
      <w:r>
        <w:rPr>
          <w:spacing w:val="-64"/>
          <w:sz w:val="24"/>
          <w:szCs w:val="24"/>
        </w:rPr>
        <w:t xml:space="preserve"> </w:t>
      </w:r>
      <w:r>
        <w:rPr>
          <w:rFonts w:ascii="Times New Roman" w:hAnsi="Times New Roman" w:eastAsia="Times New Roman" w:cs="Times New Roman"/>
          <w:spacing w:val="-6"/>
          <w:sz w:val="24"/>
          <w:szCs w:val="24"/>
        </w:rPr>
        <w:t>2.0</w:t>
      </w:r>
      <w:r>
        <w:rPr>
          <w:rFonts w:ascii="Times New Roman" w:hAnsi="Times New Roman" w:eastAsia="Times New Roman" w:cs="Times New Roman"/>
          <w:spacing w:val="-7"/>
          <w:sz w:val="24"/>
          <w:szCs w:val="24"/>
        </w:rPr>
        <w:t>km</w:t>
      </w:r>
      <w:r>
        <w:rPr>
          <w:rFonts w:ascii="Times New Roman" w:hAnsi="Times New Roman" w:eastAsia="Times New Roman" w:cs="Times New Roman"/>
          <w:spacing w:val="18"/>
          <w:sz w:val="24"/>
          <w:szCs w:val="24"/>
        </w:rPr>
        <w:t xml:space="preserve"> </w:t>
      </w:r>
      <w:r>
        <w:rPr>
          <w:spacing w:val="-7"/>
          <w:sz w:val="24"/>
          <w:szCs w:val="24"/>
        </w:rPr>
        <w:t>的滚水坝，位于马龙区王家庄镇土官寨村，</w:t>
      </w:r>
      <w:r>
        <w:rPr>
          <w:spacing w:val="-1"/>
          <w:sz w:val="24"/>
          <w:szCs w:val="24"/>
        </w:rPr>
        <w:t>前期已经完成征地。④白塔河汇口以上</w:t>
      </w:r>
      <w:r>
        <w:rPr>
          <w:spacing w:val="-30"/>
          <w:sz w:val="24"/>
          <w:szCs w:val="24"/>
        </w:rPr>
        <w:t xml:space="preserve"> </w:t>
      </w:r>
      <w:r>
        <w:rPr>
          <w:rFonts w:ascii="Times New Roman" w:hAnsi="Times New Roman" w:eastAsia="Times New Roman" w:cs="Times New Roman"/>
          <w:spacing w:val="-1"/>
          <w:sz w:val="24"/>
          <w:szCs w:val="24"/>
        </w:rPr>
        <w:t>6km</w:t>
      </w:r>
      <w:r>
        <w:rPr>
          <w:rFonts w:ascii="Times New Roman" w:hAnsi="Times New Roman" w:eastAsia="Times New Roman" w:cs="Times New Roman"/>
          <w:spacing w:val="48"/>
          <w:sz w:val="24"/>
          <w:szCs w:val="24"/>
        </w:rPr>
        <w:t xml:space="preserve"> </w:t>
      </w:r>
      <w:r>
        <w:rPr>
          <w:spacing w:val="-1"/>
          <w:sz w:val="24"/>
          <w:szCs w:val="24"/>
        </w:rPr>
        <w:t>的滚水</w:t>
      </w:r>
      <w:r>
        <w:rPr>
          <w:spacing w:val="-2"/>
          <w:sz w:val="24"/>
          <w:szCs w:val="24"/>
        </w:rPr>
        <w:t>坝改为拆除。新增位于库尾附近土官寨村的</w:t>
      </w:r>
      <w:r>
        <w:rPr>
          <w:spacing w:val="-55"/>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4"/>
          <w:sz w:val="24"/>
          <w:szCs w:val="24"/>
        </w:rPr>
        <w:t xml:space="preserve"> </w:t>
      </w:r>
      <w:r>
        <w:rPr>
          <w:spacing w:val="-2"/>
          <w:sz w:val="24"/>
          <w:szCs w:val="24"/>
        </w:rPr>
        <w:t>、</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4"/>
          <w:sz w:val="24"/>
          <w:szCs w:val="24"/>
        </w:rPr>
        <w:t xml:space="preserve"> </w:t>
      </w:r>
      <w:r>
        <w:rPr>
          <w:spacing w:val="-2"/>
          <w:sz w:val="24"/>
          <w:szCs w:val="24"/>
        </w:rPr>
        <w:t>、</w:t>
      </w:r>
      <w:r>
        <w:rPr>
          <w:rFonts w:ascii="Times New Roman" w:hAnsi="Times New Roman" w:eastAsia="Times New Roman" w:cs="Times New Roman"/>
          <w:spacing w:val="-2"/>
          <w:sz w:val="24"/>
          <w:szCs w:val="24"/>
        </w:rPr>
        <w:t>4#</w:t>
      </w:r>
      <w:r>
        <w:rPr>
          <w:spacing w:val="-2"/>
          <w:sz w:val="24"/>
          <w:szCs w:val="24"/>
        </w:rPr>
        <w:t>滚水坝修建鱼道，已</w:t>
      </w:r>
      <w:r>
        <w:rPr>
          <w:spacing w:val="-3"/>
          <w:sz w:val="24"/>
          <w:szCs w:val="24"/>
        </w:rPr>
        <w:t>完成前期征地。</w:t>
      </w:r>
    </w:p>
    <w:p w14:paraId="23084BFE">
      <w:pPr>
        <w:pStyle w:val="2"/>
        <w:spacing w:before="1"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）旁路系统</w:t>
      </w:r>
    </w:p>
    <w:p w14:paraId="03F46398">
      <w:pPr>
        <w:pStyle w:val="2"/>
        <w:spacing w:before="131" w:line="339" w:lineRule="auto"/>
        <w:ind w:left="38" w:firstLine="483"/>
        <w:jc w:val="both"/>
        <w:rPr>
          <w:sz w:val="24"/>
          <w:szCs w:val="24"/>
        </w:rPr>
      </w:pPr>
      <w:r>
        <w:rPr>
          <w:spacing w:val="-4"/>
          <w:sz w:val="24"/>
          <w:szCs w:val="24"/>
        </w:rPr>
        <w:t>鉴于</w:t>
      </w:r>
      <w:r>
        <w:rPr>
          <w:spacing w:val="-67"/>
          <w:sz w:val="24"/>
          <w:szCs w:val="24"/>
        </w:rPr>
        <w:t xml:space="preserve"> </w:t>
      </w:r>
      <w:r>
        <w:rPr>
          <w:rFonts w:ascii="Times New Roman" w:hAnsi="Times New Roman" w:eastAsia="Times New Roman" w:cs="Times New Roman"/>
          <w:spacing w:val="-4"/>
          <w:sz w:val="24"/>
          <w:szCs w:val="24"/>
        </w:rPr>
        <w:t xml:space="preserve">2015 </w:t>
      </w:r>
      <w:r>
        <w:rPr>
          <w:spacing w:val="-4"/>
          <w:sz w:val="24"/>
          <w:szCs w:val="24"/>
        </w:rPr>
        <w:t>年</w:t>
      </w:r>
      <w:r>
        <w:rPr>
          <w:rFonts w:ascii="Times New Roman" w:hAnsi="Times New Roman" w:eastAsia="Times New Roman" w:cs="Times New Roman"/>
          <w:spacing w:val="-4"/>
          <w:sz w:val="24"/>
          <w:szCs w:val="24"/>
        </w:rPr>
        <w:t xml:space="preserve">-2016 </w:t>
      </w:r>
      <w:r>
        <w:rPr>
          <w:spacing w:val="-4"/>
          <w:sz w:val="24"/>
          <w:szCs w:val="24"/>
        </w:rPr>
        <w:t>年监测结果显示马龙河水质存在</w:t>
      </w:r>
      <w:r>
        <w:rPr>
          <w:spacing w:val="-5"/>
          <w:sz w:val="24"/>
          <w:szCs w:val="24"/>
        </w:rPr>
        <w:t>不满足水体功能要求的《地</w:t>
      </w:r>
      <w:r>
        <w:rPr>
          <w:spacing w:val="-4"/>
          <w:sz w:val="24"/>
          <w:szCs w:val="24"/>
        </w:rPr>
        <w:t>表水环境质量标准》Ⅲ类标准要求，环评阶段提出“源头减排、过程控源和末端修</w:t>
      </w:r>
      <w:r>
        <w:rPr>
          <w:spacing w:val="-9"/>
          <w:sz w:val="24"/>
          <w:szCs w:val="24"/>
        </w:rPr>
        <w:t>复”的治理思路，对马龙河、车章河和白塔河三条主要入库河流建设旁路系统工程，</w:t>
      </w:r>
      <w:r>
        <w:rPr>
          <w:sz w:val="24"/>
          <w:szCs w:val="24"/>
        </w:rPr>
        <w:t>采用组合型人工湿地（塘表湿地</w:t>
      </w:r>
      <w:r>
        <w:rPr>
          <w:spacing w:val="-61"/>
          <w:w w:val="97"/>
          <w:sz w:val="24"/>
          <w:szCs w:val="24"/>
        </w:rPr>
        <w:t>），</w:t>
      </w:r>
      <w:r>
        <w:rPr>
          <w:spacing w:val="-60"/>
          <w:sz w:val="24"/>
          <w:szCs w:val="24"/>
        </w:rPr>
        <w:t xml:space="preserve"> </w:t>
      </w:r>
      <w:r>
        <w:rPr>
          <w:sz w:val="24"/>
          <w:szCs w:val="24"/>
        </w:rPr>
        <w:t>以河流末端减污为主要目标，兼顾生态</w:t>
      </w:r>
      <w:r>
        <w:rPr>
          <w:spacing w:val="-1"/>
          <w:sz w:val="24"/>
          <w:szCs w:val="24"/>
        </w:rPr>
        <w:t>恢复，</w:t>
      </w:r>
      <w:r>
        <w:rPr>
          <w:spacing w:val="-4"/>
          <w:sz w:val="24"/>
          <w:szCs w:val="24"/>
        </w:rPr>
        <w:t>在对现有鱼塘（尤其是近岸深水鱼塘）基底修复的基础上，建立以挺水植物</w:t>
      </w:r>
      <w:r>
        <w:rPr>
          <w:spacing w:val="-5"/>
          <w:sz w:val="24"/>
          <w:szCs w:val="24"/>
        </w:rPr>
        <w:t>表面流</w:t>
      </w:r>
      <w:r>
        <w:rPr>
          <w:spacing w:val="-4"/>
          <w:sz w:val="24"/>
          <w:szCs w:val="24"/>
        </w:rPr>
        <w:t>湿地为主体，组合少量氧化塘的旁路处理系统，通过配水等辅助手段，对河</w:t>
      </w:r>
      <w:r>
        <w:rPr>
          <w:spacing w:val="-5"/>
          <w:sz w:val="24"/>
          <w:szCs w:val="24"/>
        </w:rPr>
        <w:t>水进行</w:t>
      </w:r>
      <w:r>
        <w:rPr>
          <w:spacing w:val="-4"/>
          <w:sz w:val="24"/>
          <w:szCs w:val="24"/>
        </w:rPr>
        <w:t>均匀配水及净化。处理以村落污染和农田面源为主的微污染河水，在污染源</w:t>
      </w:r>
      <w:r>
        <w:rPr>
          <w:spacing w:val="-5"/>
          <w:sz w:val="24"/>
          <w:szCs w:val="24"/>
        </w:rPr>
        <w:t>传输途</w:t>
      </w:r>
      <w:r>
        <w:rPr>
          <w:spacing w:val="-4"/>
          <w:sz w:val="24"/>
          <w:szCs w:val="24"/>
        </w:rPr>
        <w:t>径上削减入库污染物。</w:t>
      </w:r>
    </w:p>
    <w:p w14:paraId="71BE93E2">
      <w:pPr>
        <w:pStyle w:val="2"/>
        <w:spacing w:before="2" w:line="338" w:lineRule="auto"/>
        <w:ind w:left="38" w:right="66" w:firstLine="485"/>
        <w:jc w:val="both"/>
        <w:rPr>
          <w:sz w:val="24"/>
          <w:szCs w:val="24"/>
        </w:rPr>
      </w:pPr>
      <w:r>
        <w:rPr>
          <w:spacing w:val="-2"/>
          <w:sz w:val="24"/>
          <w:szCs w:val="24"/>
        </w:rPr>
        <w:t>旁路系统设计方案经多次论证修改，于</w:t>
      </w:r>
      <w:r>
        <w:rPr>
          <w:rFonts w:ascii="Times New Roman" w:hAnsi="Times New Roman" w:eastAsia="Times New Roman" w:cs="Times New Roman"/>
          <w:spacing w:val="-2"/>
          <w:sz w:val="24"/>
          <w:szCs w:val="24"/>
        </w:rPr>
        <w:t xml:space="preserve">2021 </w:t>
      </w:r>
      <w:r>
        <w:rPr>
          <w:spacing w:val="-2"/>
          <w:sz w:val="24"/>
          <w:szCs w:val="24"/>
        </w:rPr>
        <w:t>年</w:t>
      </w:r>
      <w:r>
        <w:rPr>
          <w:spacing w:val="-32"/>
          <w:sz w:val="24"/>
          <w:szCs w:val="24"/>
        </w:rPr>
        <w:t xml:space="preserve"> </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15"/>
          <w:w w:val="101"/>
          <w:sz w:val="24"/>
          <w:szCs w:val="24"/>
        </w:rPr>
        <w:t xml:space="preserve"> </w:t>
      </w:r>
      <w:r>
        <w:rPr>
          <w:spacing w:val="-2"/>
          <w:sz w:val="24"/>
          <w:szCs w:val="24"/>
        </w:rPr>
        <w:t>月</w:t>
      </w:r>
      <w:r>
        <w:rPr>
          <w:spacing w:val="-50"/>
          <w:sz w:val="24"/>
          <w:szCs w:val="24"/>
        </w:rPr>
        <w:t xml:space="preserve"> </w:t>
      </w:r>
      <w:r>
        <w:rPr>
          <w:rFonts w:ascii="Times New Roman" w:hAnsi="Times New Roman" w:eastAsia="Times New Roman" w:cs="Times New Roman"/>
          <w:spacing w:val="-2"/>
          <w:sz w:val="24"/>
          <w:szCs w:val="24"/>
        </w:rPr>
        <w:t xml:space="preserve">31  </w:t>
      </w:r>
      <w:r>
        <w:rPr>
          <w:spacing w:val="-2"/>
          <w:sz w:val="24"/>
          <w:szCs w:val="24"/>
        </w:rPr>
        <w:t>日通</w:t>
      </w:r>
      <w:r>
        <w:rPr>
          <w:spacing w:val="-3"/>
          <w:sz w:val="24"/>
          <w:szCs w:val="24"/>
        </w:rPr>
        <w:t>过专家评审，根</w:t>
      </w:r>
      <w:r>
        <w:rPr>
          <w:spacing w:val="3"/>
          <w:sz w:val="24"/>
          <w:szCs w:val="24"/>
        </w:rPr>
        <w:t>据《云南省水利厅关于印送曲靖市车马碧水</w:t>
      </w:r>
      <w:r>
        <w:rPr>
          <w:spacing w:val="2"/>
          <w:sz w:val="24"/>
          <w:szCs w:val="24"/>
        </w:rPr>
        <w:t>库旁路系统工程专项设计报告评审意</w:t>
      </w:r>
      <w:r>
        <w:rPr>
          <w:spacing w:val="-7"/>
          <w:sz w:val="24"/>
          <w:szCs w:val="24"/>
        </w:rPr>
        <w:t>见的通知》（附件</w:t>
      </w:r>
      <w:r>
        <w:rPr>
          <w:spacing w:val="-17"/>
          <w:sz w:val="24"/>
          <w:szCs w:val="24"/>
        </w:rPr>
        <w:t xml:space="preserve"> </w:t>
      </w:r>
      <w:r>
        <w:rPr>
          <w:rFonts w:ascii="Times New Roman" w:hAnsi="Times New Roman" w:eastAsia="Times New Roman" w:cs="Times New Roman"/>
          <w:spacing w:val="-7"/>
          <w:sz w:val="24"/>
          <w:szCs w:val="24"/>
        </w:rPr>
        <w:t>11</w:t>
      </w:r>
      <w:r>
        <w:rPr>
          <w:spacing w:val="-7"/>
          <w:sz w:val="24"/>
          <w:szCs w:val="24"/>
        </w:rPr>
        <w:t>）和《云南省曲靖市车马碧水库旁路系统工程专项设计报告评</w:t>
      </w:r>
      <w:r>
        <w:rPr>
          <w:spacing w:val="-19"/>
          <w:sz w:val="24"/>
          <w:szCs w:val="24"/>
        </w:rPr>
        <w:t>审意见》（附件</w:t>
      </w:r>
      <w:r>
        <w:rPr>
          <w:spacing w:val="-20"/>
          <w:sz w:val="24"/>
          <w:szCs w:val="24"/>
        </w:rPr>
        <w:t xml:space="preserve"> </w:t>
      </w:r>
      <w:r>
        <w:rPr>
          <w:rFonts w:ascii="Times New Roman" w:hAnsi="Times New Roman" w:eastAsia="Times New Roman" w:cs="Times New Roman"/>
          <w:spacing w:val="-19"/>
          <w:sz w:val="24"/>
          <w:szCs w:val="24"/>
        </w:rPr>
        <w:t>12</w:t>
      </w:r>
      <w:r>
        <w:rPr>
          <w:spacing w:val="-43"/>
          <w:sz w:val="24"/>
          <w:szCs w:val="24"/>
        </w:rPr>
        <w:t>）：</w:t>
      </w:r>
    </w:p>
    <w:p w14:paraId="1F617743">
      <w:pPr>
        <w:pStyle w:val="2"/>
        <w:spacing w:before="1" w:line="337" w:lineRule="auto"/>
        <w:ind w:left="38" w:right="66" w:firstLine="480"/>
        <w:jc w:val="both"/>
        <w:rPr>
          <w:sz w:val="24"/>
          <w:szCs w:val="24"/>
        </w:rPr>
      </w:pPr>
      <w:r>
        <w:rPr>
          <w:spacing w:val="-2"/>
          <w:sz w:val="24"/>
          <w:szCs w:val="24"/>
        </w:rPr>
        <w:t>①根据</w:t>
      </w:r>
      <w:r>
        <w:rPr>
          <w:spacing w:val="-55"/>
          <w:sz w:val="24"/>
          <w:szCs w:val="24"/>
        </w:rPr>
        <w:t xml:space="preserve"> </w:t>
      </w:r>
      <w:r>
        <w:rPr>
          <w:rFonts w:ascii="Times New Roman" w:hAnsi="Times New Roman" w:eastAsia="Times New Roman" w:cs="Times New Roman"/>
          <w:spacing w:val="-2"/>
          <w:sz w:val="24"/>
          <w:szCs w:val="24"/>
        </w:rPr>
        <w:t xml:space="preserve">2020 </w:t>
      </w:r>
      <w:r>
        <w:rPr>
          <w:spacing w:val="-2"/>
          <w:sz w:val="24"/>
          <w:szCs w:val="24"/>
        </w:rPr>
        <w:t>年</w:t>
      </w:r>
      <w:r>
        <w:rPr>
          <w:spacing w:val="-32"/>
          <w:sz w:val="24"/>
          <w:szCs w:val="24"/>
        </w:rPr>
        <w:t xml:space="preserve"> </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15"/>
          <w:w w:val="101"/>
          <w:sz w:val="24"/>
          <w:szCs w:val="24"/>
        </w:rPr>
        <w:t xml:space="preserve"> </w:t>
      </w:r>
      <w:r>
        <w:rPr>
          <w:spacing w:val="-2"/>
          <w:sz w:val="24"/>
          <w:szCs w:val="24"/>
        </w:rPr>
        <w:t>月</w:t>
      </w:r>
      <w:r>
        <w:rPr>
          <w:rFonts w:ascii="Times New Roman" w:hAnsi="Times New Roman" w:eastAsia="Times New Roman" w:cs="Times New Roman"/>
          <w:spacing w:val="-2"/>
          <w:sz w:val="24"/>
          <w:szCs w:val="24"/>
        </w:rPr>
        <w:t>-2021</w:t>
      </w:r>
      <w:r>
        <w:rPr>
          <w:spacing w:val="-2"/>
          <w:sz w:val="24"/>
          <w:szCs w:val="24"/>
        </w:rPr>
        <w:t>年</w:t>
      </w:r>
      <w:r>
        <w:rPr>
          <w:spacing w:val="-49"/>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15"/>
          <w:w w:val="101"/>
          <w:sz w:val="24"/>
          <w:szCs w:val="24"/>
        </w:rPr>
        <w:t xml:space="preserve"> </w:t>
      </w:r>
      <w:r>
        <w:rPr>
          <w:spacing w:val="-2"/>
          <w:sz w:val="24"/>
          <w:szCs w:val="24"/>
        </w:rPr>
        <w:t>月先后</w:t>
      </w:r>
      <w:r>
        <w:rPr>
          <w:spacing w:val="-50"/>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16"/>
          <w:sz w:val="24"/>
          <w:szCs w:val="24"/>
        </w:rPr>
        <w:t xml:space="preserve"> </w:t>
      </w:r>
      <w:r>
        <w:rPr>
          <w:spacing w:val="-2"/>
          <w:sz w:val="24"/>
          <w:szCs w:val="24"/>
        </w:rPr>
        <w:t>次对车章河进行水</w:t>
      </w:r>
      <w:r>
        <w:rPr>
          <w:spacing w:val="-3"/>
          <w:sz w:val="24"/>
          <w:szCs w:val="24"/>
        </w:rPr>
        <w:t>环境监测，现状水</w:t>
      </w:r>
      <w:r>
        <w:rPr>
          <w:spacing w:val="-4"/>
          <w:sz w:val="24"/>
          <w:szCs w:val="24"/>
        </w:rPr>
        <w:t>质均达到《地表水环境质量标准》Ⅲ类标准要求，经综合论证，取消建设支流车章</w:t>
      </w:r>
      <w:r>
        <w:rPr>
          <w:spacing w:val="-9"/>
          <w:sz w:val="24"/>
          <w:szCs w:val="24"/>
        </w:rPr>
        <w:t>河旁路系统；</w:t>
      </w:r>
    </w:p>
    <w:p w14:paraId="7D121626">
      <w:pPr>
        <w:spacing w:line="337" w:lineRule="auto"/>
        <w:rPr>
          <w:sz w:val="24"/>
          <w:szCs w:val="24"/>
        </w:rPr>
        <w:sectPr>
          <w:headerReference r:id="rId55" w:type="default"/>
          <w:footerReference r:id="rId56" w:type="default"/>
          <w:pgSz w:w="11907" w:h="16839"/>
          <w:pgMar w:top="1376" w:right="1633" w:bottom="1061" w:left="1671" w:header="999" w:footer="861" w:gutter="0"/>
          <w:cols w:space="720" w:num="1"/>
        </w:sectPr>
      </w:pPr>
    </w:p>
    <w:p w14:paraId="3B8B9B2B">
      <w:pPr>
        <w:spacing w:line="454" w:lineRule="auto"/>
        <w:rPr>
          <w:rFonts w:ascii="Arial"/>
          <w:sz w:val="21"/>
        </w:rPr>
      </w:pPr>
    </w:p>
    <w:p w14:paraId="00F2E538">
      <w:pPr>
        <w:pStyle w:val="2"/>
        <w:spacing w:before="78" w:line="339" w:lineRule="auto"/>
        <w:ind w:left="45" w:right="67" w:firstLine="472"/>
        <w:rPr>
          <w:sz w:val="24"/>
          <w:szCs w:val="24"/>
        </w:rPr>
      </w:pPr>
      <w:r>
        <w:rPr>
          <w:spacing w:val="-4"/>
          <w:sz w:val="24"/>
          <w:szCs w:val="24"/>
        </w:rPr>
        <w:t>②考虑沪昆铁路桥安全、马龙河水质逐年转好等多种因</w:t>
      </w:r>
      <w:r>
        <w:rPr>
          <w:spacing w:val="-5"/>
          <w:sz w:val="24"/>
          <w:szCs w:val="24"/>
        </w:rPr>
        <w:t>素，确定马龙河旁路系</w:t>
      </w:r>
      <w:r>
        <w:rPr>
          <w:spacing w:val="-2"/>
          <w:sz w:val="24"/>
          <w:szCs w:val="24"/>
        </w:rPr>
        <w:t>统处理规模调整为</w:t>
      </w:r>
      <w:r>
        <w:rPr>
          <w:spacing w:val="-36"/>
          <w:sz w:val="24"/>
          <w:szCs w:val="24"/>
        </w:rPr>
        <w:t xml:space="preserve"> </w:t>
      </w:r>
      <w:r>
        <w:rPr>
          <w:rFonts w:ascii="Times New Roman" w:hAnsi="Times New Roman" w:eastAsia="Times New Roman" w:cs="Times New Roman"/>
          <w:spacing w:val="-2"/>
          <w:sz w:val="24"/>
          <w:szCs w:val="24"/>
        </w:rPr>
        <w:t>8000m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，采用</w:t>
      </w:r>
      <w:r>
        <w:rPr>
          <w:spacing w:val="-91"/>
          <w:sz w:val="24"/>
          <w:szCs w:val="24"/>
        </w:rPr>
        <w:t xml:space="preserve"> </w:t>
      </w:r>
      <w:r>
        <w:rPr>
          <w:spacing w:val="-2"/>
          <w:sz w:val="24"/>
          <w:szCs w:val="24"/>
        </w:rPr>
        <w:t>“塘</w:t>
      </w:r>
      <w:r>
        <w:rPr>
          <w:rFonts w:ascii="Times New Roman" w:hAnsi="Times New Roman" w:eastAsia="Times New Roman" w:cs="Times New Roman"/>
          <w:spacing w:val="-2"/>
          <w:sz w:val="24"/>
          <w:szCs w:val="24"/>
        </w:rPr>
        <w:t>+</w:t>
      </w:r>
      <w:r>
        <w:rPr>
          <w:spacing w:val="-2"/>
          <w:sz w:val="24"/>
          <w:szCs w:val="24"/>
        </w:rPr>
        <w:t>表流湿地”处理工艺；</w:t>
      </w:r>
    </w:p>
    <w:p w14:paraId="7496A1B6">
      <w:pPr>
        <w:pStyle w:val="2"/>
        <w:spacing w:line="338" w:lineRule="auto"/>
        <w:ind w:left="22" w:right="78" w:firstLine="494"/>
        <w:rPr>
          <w:sz w:val="24"/>
          <w:szCs w:val="24"/>
        </w:rPr>
      </w:pPr>
      <w:r>
        <w:rPr>
          <w:sz w:val="24"/>
          <w:szCs w:val="24"/>
        </w:rPr>
        <w:t xml:space="preserve">③白塔河旁路系统处理规模按初设阶段方案，确定为 </w:t>
      </w:r>
      <w:r>
        <w:rPr>
          <w:rFonts w:ascii="Times New Roman" w:hAnsi="Times New Roman" w:eastAsia="Times New Roman" w:cs="Times New Roman"/>
          <w:sz w:val="24"/>
          <w:szCs w:val="24"/>
        </w:rPr>
        <w:t>6000m</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/d</w:t>
      </w:r>
      <w:r>
        <w:rPr>
          <w:sz w:val="24"/>
          <w:szCs w:val="24"/>
        </w:rPr>
        <w:t>，</w:t>
      </w:r>
      <w:r>
        <w:rPr>
          <w:spacing w:val="-1"/>
          <w:sz w:val="24"/>
          <w:szCs w:val="24"/>
        </w:rPr>
        <w:t>处理工艺为</w:t>
      </w:r>
      <w:r>
        <w:rPr>
          <w:sz w:val="24"/>
          <w:szCs w:val="24"/>
        </w:rPr>
        <w:t>“塘</w:t>
      </w:r>
      <w:r>
        <w:rPr>
          <w:rFonts w:ascii="Times New Roman" w:hAnsi="Times New Roman" w:eastAsia="Times New Roman" w:cs="Times New Roman"/>
          <w:sz w:val="24"/>
          <w:szCs w:val="24"/>
        </w:rPr>
        <w:t>+</w:t>
      </w:r>
      <w:r>
        <w:rPr>
          <w:sz w:val="24"/>
          <w:szCs w:val="24"/>
        </w:rPr>
        <w:t>表流湿地”。</w:t>
      </w:r>
    </w:p>
    <w:p w14:paraId="06D4DBF3">
      <w:pPr>
        <w:pStyle w:val="2"/>
        <w:spacing w:line="219" w:lineRule="auto"/>
        <w:ind w:left="524"/>
        <w:rPr>
          <w:sz w:val="24"/>
          <w:szCs w:val="24"/>
        </w:rPr>
      </w:pPr>
      <w:r>
        <w:rPr>
          <w:spacing w:val="-3"/>
          <w:sz w:val="24"/>
          <w:szCs w:val="24"/>
        </w:rPr>
        <w:t>旁路系统工程建设征地不涉及移民搬迁。</w:t>
      </w:r>
    </w:p>
    <w:p w14:paraId="7D6A7756">
      <w:pPr>
        <w:pStyle w:val="2"/>
        <w:spacing w:before="240" w:line="227" w:lineRule="auto"/>
        <w:ind w:left="30"/>
        <w:rPr>
          <w:sz w:val="27"/>
          <w:szCs w:val="27"/>
        </w:rPr>
      </w:pPr>
      <w:r>
        <w:rPr>
          <w:rFonts w:ascii="Arial" w:hAnsi="Arial" w:eastAsia="Arial" w:cs="Arial"/>
          <w:spacing w:val="6"/>
          <w:position w:val="2"/>
          <w:sz w:val="24"/>
          <w:szCs w:val="24"/>
        </w:rPr>
        <w:t xml:space="preserve">3.3.4    </w:t>
      </w:r>
      <w:r>
        <w:rPr>
          <w:b/>
          <w:bCs/>
          <w:spacing w:val="6"/>
          <w:position w:val="-1"/>
          <w:sz w:val="27"/>
          <w:szCs w:val="27"/>
        </w:rPr>
        <w:t>重大变动清单对照表</w:t>
      </w:r>
    </w:p>
    <w:p w14:paraId="51B63487">
      <w:pPr>
        <w:pStyle w:val="2"/>
        <w:spacing w:before="264" w:line="338" w:lineRule="auto"/>
        <w:ind w:left="42" w:firstLine="477"/>
        <w:jc w:val="both"/>
        <w:rPr>
          <w:sz w:val="24"/>
          <w:szCs w:val="24"/>
        </w:rPr>
      </w:pPr>
      <w:r>
        <w:rPr>
          <w:spacing w:val="3"/>
          <w:sz w:val="24"/>
          <w:szCs w:val="24"/>
        </w:rPr>
        <w:t>根据《关于印发环评管理中部分行业建设项目重大变动清单的</w:t>
      </w:r>
      <w:r>
        <w:rPr>
          <w:spacing w:val="2"/>
          <w:sz w:val="24"/>
          <w:szCs w:val="24"/>
        </w:rPr>
        <w:t>通知》（环办</w:t>
      </w:r>
      <w:r>
        <w:rPr>
          <w:spacing w:val="-10"/>
          <w:sz w:val="24"/>
          <w:szCs w:val="24"/>
        </w:rPr>
        <w:t>〔</w:t>
      </w:r>
      <w:r>
        <w:rPr>
          <w:rFonts w:ascii="Times New Roman" w:hAnsi="Times New Roman" w:eastAsia="Times New Roman" w:cs="Times New Roman"/>
          <w:spacing w:val="-10"/>
          <w:sz w:val="24"/>
          <w:szCs w:val="24"/>
        </w:rPr>
        <w:t>2015</w:t>
      </w:r>
      <w:r>
        <w:rPr>
          <w:spacing w:val="-10"/>
          <w:sz w:val="24"/>
          <w:szCs w:val="24"/>
        </w:rPr>
        <w:t>〕</w:t>
      </w:r>
      <w:r>
        <w:rPr>
          <w:rFonts w:ascii="Times New Roman" w:hAnsi="Times New Roman" w:eastAsia="Times New Roman" w:cs="Times New Roman"/>
          <w:spacing w:val="-10"/>
          <w:sz w:val="24"/>
          <w:szCs w:val="24"/>
        </w:rPr>
        <w:t xml:space="preserve">52  </w:t>
      </w:r>
      <w:r>
        <w:rPr>
          <w:spacing w:val="-10"/>
          <w:sz w:val="24"/>
          <w:szCs w:val="24"/>
        </w:rPr>
        <w:t>号）《水利建设项目</w:t>
      </w:r>
      <w:r>
        <w:rPr>
          <w:spacing w:val="-11"/>
          <w:sz w:val="24"/>
          <w:szCs w:val="24"/>
        </w:rPr>
        <w:t>（枢纽类和引调水工程）重大变动清单（试行）》，</w:t>
      </w:r>
      <w:r>
        <w:rPr>
          <w:spacing w:val="-1"/>
          <w:sz w:val="24"/>
          <w:szCs w:val="24"/>
        </w:rPr>
        <w:t>工程未发生重大变动，重大变动清单对照表见表</w:t>
      </w:r>
      <w:r>
        <w:rPr>
          <w:spacing w:val="-46"/>
          <w:sz w:val="24"/>
          <w:szCs w:val="24"/>
        </w:rPr>
        <w:t xml:space="preserve"> </w:t>
      </w:r>
      <w:r>
        <w:rPr>
          <w:rFonts w:ascii="Times New Roman" w:hAnsi="Times New Roman" w:eastAsia="Times New Roman" w:cs="Times New Roman"/>
          <w:spacing w:val="-1"/>
          <w:sz w:val="24"/>
          <w:szCs w:val="24"/>
        </w:rPr>
        <w:t>3.3-1</w:t>
      </w:r>
      <w:r>
        <w:rPr>
          <w:spacing w:val="-1"/>
          <w:sz w:val="24"/>
          <w:szCs w:val="24"/>
        </w:rPr>
        <w:t>。</w:t>
      </w:r>
    </w:p>
    <w:p w14:paraId="1E6C2B0B">
      <w:pPr>
        <w:pStyle w:val="2"/>
        <w:spacing w:before="1" w:line="225" w:lineRule="auto"/>
        <w:ind w:left="279"/>
        <w:rPr>
          <w:sz w:val="24"/>
          <w:szCs w:val="24"/>
        </w:rPr>
      </w:pPr>
      <w:r>
        <w:rPr>
          <w:b/>
          <w:bCs/>
          <w:spacing w:val="-1"/>
          <w:sz w:val="24"/>
          <w:szCs w:val="24"/>
        </w:rPr>
        <w:t>表</w:t>
      </w:r>
      <w:r>
        <w:rPr>
          <w:spacing w:val="-42"/>
          <w:sz w:val="24"/>
          <w:szCs w:val="24"/>
        </w:rPr>
        <w:t xml:space="preserve"> </w:t>
      </w:r>
      <w:r>
        <w:rPr>
          <w:rFonts w:ascii="Times New Roman" w:hAnsi="Times New Roman" w:eastAsia="Times New Roman" w:cs="Times New Roman"/>
          <w:b/>
          <w:bCs/>
          <w:spacing w:val="-1"/>
          <w:sz w:val="24"/>
          <w:szCs w:val="24"/>
        </w:rPr>
        <w:t xml:space="preserve">3.3-1                            </w:t>
      </w:r>
      <w:r>
        <w:rPr>
          <w:b/>
          <w:bCs/>
          <w:spacing w:val="-1"/>
          <w:sz w:val="24"/>
          <w:szCs w:val="24"/>
        </w:rPr>
        <w:t>车马碧水库工程重大变动清单对照表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1"/>
        <w:gridCol w:w="2234"/>
        <w:gridCol w:w="2542"/>
        <w:gridCol w:w="2261"/>
        <w:gridCol w:w="985"/>
      </w:tblGrid>
      <w:tr w14:paraId="08965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451" w:type="dxa"/>
            <w:tcBorders>
              <w:top w:val="single" w:color="000000" w:sz="12" w:space="0"/>
              <w:left w:val="single" w:color="000000" w:sz="12" w:space="0"/>
            </w:tcBorders>
            <w:textDirection w:val="tbRlV"/>
            <w:vAlign w:val="top"/>
          </w:tcPr>
          <w:p w14:paraId="736C086C">
            <w:pPr>
              <w:spacing w:before="122" w:line="208" w:lineRule="auto"/>
              <w:ind w:left="88"/>
              <w:rPr>
                <w:rFonts w:ascii="宋体" w:hAnsi="宋体" w:eastAsia="宋体" w:cs="宋体"/>
                <w:sz w:val="21"/>
                <w:szCs w:val="21"/>
              </w:rPr>
            </w:pPr>
            <w:r>
              <w:rPr>
                <w:rFonts w:ascii="宋体" w:hAnsi="宋体" w:eastAsia="宋体" w:cs="宋体"/>
                <w:spacing w:val="31"/>
                <w:sz w:val="21"/>
                <w:szCs w:val="21"/>
              </w:rPr>
              <w:t>分类</w:t>
            </w:r>
          </w:p>
        </w:tc>
        <w:tc>
          <w:tcPr>
            <w:tcW w:w="2234" w:type="dxa"/>
            <w:tcBorders>
              <w:top w:val="single" w:color="000000" w:sz="12" w:space="0"/>
            </w:tcBorders>
            <w:vAlign w:val="top"/>
          </w:tcPr>
          <w:p w14:paraId="2F3EC10E">
            <w:pPr>
              <w:spacing w:before="223" w:line="220" w:lineRule="auto"/>
              <w:ind w:left="690"/>
              <w:rPr>
                <w:rFonts w:ascii="宋体" w:hAnsi="宋体" w:eastAsia="宋体" w:cs="宋体"/>
                <w:sz w:val="21"/>
                <w:szCs w:val="21"/>
              </w:rPr>
            </w:pPr>
            <w:r>
              <w:rPr>
                <w:rFonts w:ascii="宋体" w:hAnsi="宋体" w:eastAsia="宋体" w:cs="宋体"/>
                <w:spacing w:val="-2"/>
                <w:sz w:val="21"/>
                <w:szCs w:val="21"/>
              </w:rPr>
              <w:t>主要内容</w:t>
            </w:r>
          </w:p>
        </w:tc>
        <w:tc>
          <w:tcPr>
            <w:tcW w:w="2542" w:type="dxa"/>
            <w:tcBorders>
              <w:top w:val="single" w:color="000000" w:sz="12" w:space="0"/>
            </w:tcBorders>
            <w:vAlign w:val="top"/>
          </w:tcPr>
          <w:p w14:paraId="64479AE8">
            <w:pPr>
              <w:spacing w:before="224" w:line="220" w:lineRule="auto"/>
              <w:ind w:left="851"/>
              <w:rPr>
                <w:rFonts w:ascii="宋体" w:hAnsi="宋体" w:eastAsia="宋体" w:cs="宋体"/>
                <w:sz w:val="21"/>
                <w:szCs w:val="21"/>
              </w:rPr>
            </w:pPr>
            <w:r>
              <w:rPr>
                <w:rFonts w:ascii="宋体" w:hAnsi="宋体" w:eastAsia="宋体" w:cs="宋体"/>
                <w:spacing w:val="-3"/>
                <w:sz w:val="21"/>
                <w:szCs w:val="21"/>
              </w:rPr>
              <w:t>环评要求</w:t>
            </w:r>
          </w:p>
        </w:tc>
        <w:tc>
          <w:tcPr>
            <w:tcW w:w="2261" w:type="dxa"/>
            <w:tcBorders>
              <w:top w:val="single" w:color="000000" w:sz="12" w:space="0"/>
            </w:tcBorders>
            <w:vAlign w:val="top"/>
          </w:tcPr>
          <w:p w14:paraId="16851817">
            <w:pPr>
              <w:spacing w:before="224" w:line="220" w:lineRule="auto"/>
              <w:ind w:left="515"/>
              <w:rPr>
                <w:rFonts w:ascii="宋体" w:hAnsi="宋体" w:eastAsia="宋体" w:cs="宋体"/>
                <w:sz w:val="21"/>
                <w:szCs w:val="21"/>
              </w:rPr>
            </w:pPr>
            <w:r>
              <w:rPr>
                <w:rFonts w:ascii="宋体" w:hAnsi="宋体" w:eastAsia="宋体" w:cs="宋体"/>
                <w:spacing w:val="-3"/>
                <w:sz w:val="21"/>
                <w:szCs w:val="21"/>
              </w:rPr>
              <w:t>实际建设情况</w:t>
            </w:r>
          </w:p>
        </w:tc>
        <w:tc>
          <w:tcPr>
            <w:tcW w:w="985" w:type="dxa"/>
            <w:tcBorders>
              <w:top w:val="single" w:color="000000" w:sz="12" w:space="0"/>
              <w:right w:val="single" w:color="000000" w:sz="12" w:space="0"/>
            </w:tcBorders>
            <w:vAlign w:val="top"/>
          </w:tcPr>
          <w:p w14:paraId="3F64F687">
            <w:pPr>
              <w:spacing w:before="88" w:line="220" w:lineRule="auto"/>
              <w:ind w:left="85"/>
              <w:rPr>
                <w:rFonts w:ascii="宋体" w:hAnsi="宋体" w:eastAsia="宋体" w:cs="宋体"/>
                <w:sz w:val="21"/>
                <w:szCs w:val="21"/>
              </w:rPr>
            </w:pPr>
            <w:r>
              <w:rPr>
                <w:rFonts w:ascii="宋体" w:hAnsi="宋体" w:eastAsia="宋体" w:cs="宋体"/>
                <w:spacing w:val="-3"/>
                <w:sz w:val="21"/>
                <w:szCs w:val="21"/>
              </w:rPr>
              <w:t>是否发生</w:t>
            </w:r>
          </w:p>
          <w:p w14:paraId="2218CEF8">
            <w:pPr>
              <w:spacing w:before="22" w:line="220" w:lineRule="auto"/>
              <w:ind w:left="83"/>
              <w:rPr>
                <w:rFonts w:ascii="宋体" w:hAnsi="宋体" w:eastAsia="宋体" w:cs="宋体"/>
                <w:sz w:val="21"/>
                <w:szCs w:val="21"/>
              </w:rPr>
            </w:pPr>
            <w:r>
              <w:rPr>
                <w:rFonts w:ascii="宋体" w:hAnsi="宋体" w:eastAsia="宋体" w:cs="宋体"/>
                <w:spacing w:val="-2"/>
                <w:sz w:val="21"/>
                <w:szCs w:val="21"/>
              </w:rPr>
              <w:t>重大变动</w:t>
            </w:r>
          </w:p>
        </w:tc>
      </w:tr>
      <w:tr w14:paraId="62488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451" w:type="dxa"/>
            <w:vMerge w:val="restart"/>
            <w:tcBorders>
              <w:left w:val="single" w:color="000000" w:sz="12" w:space="0"/>
              <w:bottom w:val="nil"/>
            </w:tcBorders>
            <w:textDirection w:val="tbRlV"/>
            <w:vAlign w:val="top"/>
          </w:tcPr>
          <w:p w14:paraId="370D71F6">
            <w:pPr>
              <w:spacing w:before="122" w:line="208" w:lineRule="auto"/>
              <w:ind w:left="1105"/>
              <w:rPr>
                <w:rFonts w:ascii="宋体" w:hAnsi="宋体" w:eastAsia="宋体" w:cs="宋体"/>
                <w:sz w:val="21"/>
                <w:szCs w:val="21"/>
              </w:rPr>
            </w:pPr>
            <w:r>
              <w:rPr>
                <w:rFonts w:ascii="宋体" w:hAnsi="宋体" w:eastAsia="宋体" w:cs="宋体"/>
                <w:spacing w:val="31"/>
                <w:sz w:val="21"/>
                <w:szCs w:val="21"/>
              </w:rPr>
              <w:t>性质</w:t>
            </w:r>
          </w:p>
        </w:tc>
        <w:tc>
          <w:tcPr>
            <w:tcW w:w="2234" w:type="dxa"/>
            <w:vAlign w:val="top"/>
          </w:tcPr>
          <w:p w14:paraId="6B58D91A">
            <w:pPr>
              <w:pStyle w:val="6"/>
              <w:spacing w:before="224" w:line="236" w:lineRule="auto"/>
              <w:ind w:left="46" w:right="61" w:firstLine="15"/>
              <w:rPr>
                <w:rFonts w:ascii="宋体" w:hAnsi="宋体" w:eastAsia="宋体" w:cs="宋体"/>
              </w:rPr>
            </w:pPr>
            <w:r>
              <w:rPr>
                <w:spacing w:val="4"/>
              </w:rPr>
              <w:t>1.</w:t>
            </w:r>
            <w:r>
              <w:rPr>
                <w:rFonts w:ascii="宋体" w:hAnsi="宋体" w:eastAsia="宋体" w:cs="宋体"/>
                <w:spacing w:val="4"/>
              </w:rPr>
              <w:t>主要开发任务发生变</w:t>
            </w:r>
            <w:r>
              <w:rPr>
                <w:rFonts w:ascii="宋体" w:hAnsi="宋体" w:eastAsia="宋体" w:cs="宋体"/>
              </w:rPr>
              <w:t>化</w:t>
            </w:r>
          </w:p>
        </w:tc>
        <w:tc>
          <w:tcPr>
            <w:tcW w:w="2542" w:type="dxa"/>
            <w:vAlign w:val="top"/>
          </w:tcPr>
          <w:p w14:paraId="7D2CD35C">
            <w:pPr>
              <w:spacing w:before="87" w:line="241" w:lineRule="auto"/>
              <w:ind w:left="52" w:firstLine="1"/>
              <w:jc w:val="both"/>
              <w:rPr>
                <w:rFonts w:ascii="宋体" w:hAnsi="宋体" w:eastAsia="宋体" w:cs="宋体"/>
                <w:sz w:val="21"/>
                <w:szCs w:val="21"/>
              </w:rPr>
            </w:pPr>
            <w:r>
              <w:rPr>
                <w:rFonts w:ascii="宋体" w:hAnsi="宋体" w:eastAsia="宋体" w:cs="宋体"/>
                <w:spacing w:val="10"/>
                <w:sz w:val="21"/>
                <w:szCs w:val="21"/>
              </w:rPr>
              <w:t>开发任务为工业供水和农</w:t>
            </w:r>
            <w:r>
              <w:rPr>
                <w:rFonts w:ascii="宋体" w:hAnsi="宋体" w:eastAsia="宋体" w:cs="宋体"/>
                <w:spacing w:val="-8"/>
                <w:sz w:val="21"/>
                <w:szCs w:val="21"/>
              </w:rPr>
              <w:t>业灌溉供水，并为改善受水</w:t>
            </w:r>
            <w:r>
              <w:rPr>
                <w:rFonts w:ascii="宋体" w:hAnsi="宋体" w:eastAsia="宋体" w:cs="宋体"/>
                <w:spacing w:val="-4"/>
                <w:sz w:val="21"/>
                <w:szCs w:val="21"/>
              </w:rPr>
              <w:t>区河道内水环境创造条件。</w:t>
            </w:r>
          </w:p>
        </w:tc>
        <w:tc>
          <w:tcPr>
            <w:tcW w:w="2261" w:type="dxa"/>
            <w:vAlign w:val="top"/>
          </w:tcPr>
          <w:p w14:paraId="21BEEE77">
            <w:pPr>
              <w:spacing w:line="290" w:lineRule="auto"/>
              <w:rPr>
                <w:rFonts w:ascii="Arial"/>
                <w:sz w:val="21"/>
              </w:rPr>
            </w:pPr>
          </w:p>
          <w:p w14:paraId="4465D560">
            <w:pPr>
              <w:spacing w:before="68" w:line="220" w:lineRule="auto"/>
              <w:ind w:left="514"/>
              <w:rPr>
                <w:rFonts w:ascii="宋体" w:hAnsi="宋体" w:eastAsia="宋体" w:cs="宋体"/>
                <w:sz w:val="21"/>
                <w:szCs w:val="21"/>
              </w:rPr>
            </w:pPr>
            <w:r>
              <w:rPr>
                <w:rFonts w:ascii="宋体" w:hAnsi="宋体" w:eastAsia="宋体" w:cs="宋体"/>
                <w:spacing w:val="-3"/>
                <w:sz w:val="21"/>
                <w:szCs w:val="21"/>
              </w:rPr>
              <w:t>与环评一致。</w:t>
            </w:r>
          </w:p>
        </w:tc>
        <w:tc>
          <w:tcPr>
            <w:tcW w:w="985" w:type="dxa"/>
            <w:tcBorders>
              <w:right w:val="single" w:color="000000" w:sz="12" w:space="0"/>
            </w:tcBorders>
            <w:vAlign w:val="top"/>
          </w:tcPr>
          <w:p w14:paraId="0E3F1B41">
            <w:pPr>
              <w:spacing w:line="290" w:lineRule="auto"/>
              <w:rPr>
                <w:rFonts w:ascii="Arial"/>
                <w:sz w:val="21"/>
              </w:rPr>
            </w:pPr>
          </w:p>
          <w:p w14:paraId="1BA9834A">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r w14:paraId="41FBB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7" w:hRule="atLeast"/>
        </w:trPr>
        <w:tc>
          <w:tcPr>
            <w:tcW w:w="451" w:type="dxa"/>
            <w:vMerge w:val="continue"/>
            <w:tcBorders>
              <w:top w:val="nil"/>
              <w:left w:val="single" w:color="000000" w:sz="12" w:space="0"/>
            </w:tcBorders>
            <w:textDirection w:val="tbRlV"/>
            <w:vAlign w:val="top"/>
          </w:tcPr>
          <w:p w14:paraId="0548459D">
            <w:pPr>
              <w:rPr>
                <w:rFonts w:ascii="Arial"/>
                <w:sz w:val="21"/>
              </w:rPr>
            </w:pPr>
          </w:p>
        </w:tc>
        <w:tc>
          <w:tcPr>
            <w:tcW w:w="2234" w:type="dxa"/>
            <w:vAlign w:val="top"/>
          </w:tcPr>
          <w:p w14:paraId="36079145">
            <w:pPr>
              <w:spacing w:line="430" w:lineRule="auto"/>
              <w:rPr>
                <w:rFonts w:ascii="Arial"/>
                <w:sz w:val="21"/>
              </w:rPr>
            </w:pPr>
          </w:p>
          <w:p w14:paraId="7FEB4AC3">
            <w:pPr>
              <w:pStyle w:val="6"/>
              <w:spacing w:before="68" w:line="239" w:lineRule="auto"/>
              <w:ind w:left="47" w:right="59" w:hanging="5"/>
              <w:jc w:val="both"/>
              <w:rPr>
                <w:rFonts w:ascii="宋体" w:hAnsi="宋体" w:eastAsia="宋体" w:cs="宋体"/>
              </w:rPr>
            </w:pPr>
            <w:r>
              <w:rPr>
                <w:spacing w:val="3"/>
              </w:rPr>
              <w:t>2.</w:t>
            </w:r>
            <w:r>
              <w:rPr>
                <w:spacing w:val="-14"/>
              </w:rPr>
              <w:t xml:space="preserve"> </w:t>
            </w:r>
            <w:r>
              <w:rPr>
                <w:rFonts w:ascii="宋体" w:hAnsi="宋体" w:eastAsia="宋体" w:cs="宋体"/>
                <w:spacing w:val="3"/>
              </w:rPr>
              <w:t>引调水供水水源、供</w:t>
            </w:r>
            <w:r>
              <w:rPr>
                <w:rFonts w:ascii="宋体" w:hAnsi="宋体" w:eastAsia="宋体" w:cs="宋体"/>
                <w:spacing w:val="1"/>
              </w:rPr>
              <w:t>水对象、供水结构等发</w:t>
            </w:r>
            <w:r>
              <w:rPr>
                <w:rFonts w:ascii="宋体" w:hAnsi="宋体" w:eastAsia="宋体" w:cs="宋体"/>
                <w:spacing w:val="-2"/>
              </w:rPr>
              <w:t>生较大变化</w:t>
            </w:r>
          </w:p>
        </w:tc>
        <w:tc>
          <w:tcPr>
            <w:tcW w:w="2542" w:type="dxa"/>
            <w:vAlign w:val="top"/>
          </w:tcPr>
          <w:p w14:paraId="30BD2EA3">
            <w:pPr>
              <w:pStyle w:val="6"/>
              <w:spacing w:before="92" w:line="241" w:lineRule="auto"/>
              <w:ind w:left="52" w:right="15" w:firstLine="3"/>
              <w:jc w:val="both"/>
              <w:rPr>
                <w:rFonts w:ascii="宋体" w:hAnsi="宋体" w:eastAsia="宋体" w:cs="宋体"/>
              </w:rPr>
            </w:pPr>
            <w:r>
              <w:rPr>
                <w:rFonts w:ascii="宋体" w:hAnsi="宋体" w:eastAsia="宋体" w:cs="宋体"/>
                <w:spacing w:val="-5"/>
              </w:rPr>
              <w:t>水源区为拟建车马碧水库；</w:t>
            </w:r>
            <w:r>
              <w:rPr>
                <w:rFonts w:ascii="宋体" w:hAnsi="宋体" w:eastAsia="宋体" w:cs="宋体"/>
                <w:spacing w:val="10"/>
              </w:rPr>
              <w:t>供水对象为曲靖市西城工</w:t>
            </w:r>
            <w:r>
              <w:rPr>
                <w:rFonts w:ascii="宋体" w:hAnsi="宋体" w:eastAsia="宋体" w:cs="宋体"/>
                <w:spacing w:val="-8"/>
              </w:rPr>
              <w:t>业园区、旧县和马过河工业</w:t>
            </w:r>
            <w:r>
              <w:rPr>
                <w:rFonts w:ascii="宋体" w:hAnsi="宋体" w:eastAsia="宋体" w:cs="宋体"/>
                <w:spacing w:val="-5"/>
              </w:rPr>
              <w:t>园区（取消）、曲靖灌区；</w:t>
            </w:r>
            <w:r>
              <w:rPr>
                <w:rFonts w:ascii="宋体" w:hAnsi="宋体" w:eastAsia="宋体" w:cs="宋体"/>
                <w:spacing w:val="-7"/>
              </w:rPr>
              <w:t>工业供水</w:t>
            </w:r>
            <w:r>
              <w:rPr>
                <w:rFonts w:ascii="宋体" w:hAnsi="宋体" w:eastAsia="宋体" w:cs="宋体"/>
                <w:spacing w:val="-32"/>
              </w:rPr>
              <w:t xml:space="preserve"> </w:t>
            </w:r>
            <w:r>
              <w:rPr>
                <w:spacing w:val="-7"/>
              </w:rPr>
              <w:t>3198</w:t>
            </w:r>
            <w:r>
              <w:rPr>
                <w:spacing w:val="13"/>
                <w:w w:val="101"/>
              </w:rPr>
              <w:t xml:space="preserve"> </w:t>
            </w:r>
            <w:r>
              <w:rPr>
                <w:rFonts w:ascii="宋体" w:hAnsi="宋体" w:eastAsia="宋体" w:cs="宋体"/>
                <w:spacing w:val="-7"/>
              </w:rPr>
              <w:t>万</w:t>
            </w:r>
            <w:r>
              <w:rPr>
                <w:rFonts w:ascii="宋体" w:hAnsi="宋体" w:eastAsia="宋体" w:cs="宋体"/>
                <w:spacing w:val="-51"/>
              </w:rPr>
              <w:t xml:space="preserve"> </w:t>
            </w:r>
            <w:r>
              <w:rPr>
                <w:spacing w:val="-7"/>
              </w:rPr>
              <w:t>m</w:t>
            </w:r>
            <w:r>
              <w:rPr>
                <w:spacing w:val="-7"/>
                <w:position w:val="7"/>
                <w:sz w:val="14"/>
                <w:szCs w:val="14"/>
              </w:rPr>
              <w:t>3</w:t>
            </w:r>
            <w:r>
              <w:rPr>
                <w:rFonts w:ascii="宋体" w:hAnsi="宋体" w:eastAsia="宋体" w:cs="宋体"/>
                <w:spacing w:val="-7"/>
              </w:rPr>
              <w:t>，灌溉</w:t>
            </w:r>
            <w:r>
              <w:rPr>
                <w:rFonts w:ascii="宋体" w:hAnsi="宋体" w:eastAsia="宋体" w:cs="宋体"/>
                <w:spacing w:val="-4"/>
              </w:rPr>
              <w:t>供水</w:t>
            </w:r>
            <w:r>
              <w:rPr>
                <w:rFonts w:ascii="宋体" w:hAnsi="宋体" w:eastAsia="宋体" w:cs="宋体"/>
                <w:spacing w:val="-38"/>
              </w:rPr>
              <w:t xml:space="preserve"> </w:t>
            </w:r>
            <w:r>
              <w:rPr>
                <w:spacing w:val="-4"/>
              </w:rPr>
              <w:t>3905</w:t>
            </w:r>
            <w:r>
              <w:rPr>
                <w:spacing w:val="14"/>
              </w:rPr>
              <w:t xml:space="preserve"> </w:t>
            </w:r>
            <w:r>
              <w:rPr>
                <w:rFonts w:ascii="宋体" w:hAnsi="宋体" w:eastAsia="宋体" w:cs="宋体"/>
                <w:spacing w:val="-4"/>
              </w:rPr>
              <w:t>万</w:t>
            </w:r>
            <w:r>
              <w:rPr>
                <w:rFonts w:ascii="宋体" w:hAnsi="宋体" w:eastAsia="宋体" w:cs="宋体"/>
                <w:spacing w:val="-52"/>
              </w:rPr>
              <w:t xml:space="preserve"> </w:t>
            </w:r>
            <w:r>
              <w:rPr>
                <w:spacing w:val="-4"/>
              </w:rPr>
              <w:t>m</w:t>
            </w:r>
            <w:r>
              <w:rPr>
                <w:spacing w:val="-4"/>
                <w:position w:val="7"/>
                <w:sz w:val="14"/>
                <w:szCs w:val="14"/>
              </w:rPr>
              <w:t>3</w:t>
            </w:r>
            <w:r>
              <w:rPr>
                <w:rFonts w:ascii="宋体" w:hAnsi="宋体" w:eastAsia="宋体" w:cs="宋体"/>
                <w:spacing w:val="-4"/>
              </w:rPr>
              <w:t>。</w:t>
            </w:r>
          </w:p>
        </w:tc>
        <w:tc>
          <w:tcPr>
            <w:tcW w:w="2261" w:type="dxa"/>
            <w:vAlign w:val="top"/>
          </w:tcPr>
          <w:p w14:paraId="0A7A0E83">
            <w:pPr>
              <w:pStyle w:val="6"/>
              <w:spacing w:before="93" w:line="239" w:lineRule="auto"/>
              <w:ind w:left="62" w:right="41"/>
              <w:jc w:val="both"/>
              <w:rPr>
                <w:rFonts w:ascii="宋体" w:hAnsi="宋体" w:eastAsia="宋体" w:cs="宋体"/>
              </w:rPr>
            </w:pPr>
            <w:r>
              <w:rPr>
                <w:rFonts w:ascii="宋体" w:hAnsi="宋体" w:eastAsia="宋体" w:cs="宋体"/>
                <w:spacing w:val="4"/>
              </w:rPr>
              <w:t>供水水源未变；供水对象根据环评批复要求取消了旧县和马过河工业</w:t>
            </w:r>
            <w:r>
              <w:rPr>
                <w:rFonts w:ascii="宋体" w:hAnsi="宋体" w:eastAsia="宋体" w:cs="宋体"/>
                <w:spacing w:val="-15"/>
              </w:rPr>
              <w:t>园区；供水结构微调，工</w:t>
            </w:r>
            <w:r>
              <w:rPr>
                <w:rFonts w:ascii="宋体" w:hAnsi="宋体" w:eastAsia="宋体" w:cs="宋体"/>
                <w:spacing w:val="-7"/>
              </w:rPr>
              <w:t>业供水</w:t>
            </w:r>
            <w:r>
              <w:rPr>
                <w:rFonts w:ascii="宋体" w:hAnsi="宋体" w:eastAsia="宋体" w:cs="宋体"/>
                <w:spacing w:val="-38"/>
              </w:rPr>
              <w:t xml:space="preserve"> </w:t>
            </w:r>
            <w:r>
              <w:rPr>
                <w:spacing w:val="-7"/>
              </w:rPr>
              <w:t>3739</w:t>
            </w:r>
            <w:r>
              <w:rPr>
                <w:spacing w:val="13"/>
              </w:rPr>
              <w:t xml:space="preserve"> </w:t>
            </w:r>
            <w:r>
              <w:rPr>
                <w:rFonts w:ascii="宋体" w:hAnsi="宋体" w:eastAsia="宋体" w:cs="宋体"/>
                <w:spacing w:val="-7"/>
              </w:rPr>
              <w:t>万</w:t>
            </w:r>
            <w:r>
              <w:rPr>
                <w:rFonts w:ascii="宋体" w:hAnsi="宋体" w:eastAsia="宋体" w:cs="宋体"/>
                <w:spacing w:val="-49"/>
              </w:rPr>
              <w:t xml:space="preserve"> </w:t>
            </w:r>
            <w:r>
              <w:rPr>
                <w:spacing w:val="-7"/>
              </w:rPr>
              <w:t>m</w:t>
            </w:r>
            <w:r>
              <w:rPr>
                <w:spacing w:val="-7"/>
                <w:position w:val="7"/>
                <w:sz w:val="14"/>
                <w:szCs w:val="14"/>
              </w:rPr>
              <w:t>3</w:t>
            </w:r>
            <w:r>
              <w:rPr>
                <w:spacing w:val="-7"/>
              </w:rPr>
              <w:t>/a</w:t>
            </w:r>
            <w:r>
              <w:rPr>
                <w:rFonts w:ascii="宋体" w:hAnsi="宋体" w:eastAsia="宋体" w:cs="宋体"/>
                <w:spacing w:val="-7"/>
              </w:rPr>
              <w:t>，农</w:t>
            </w:r>
          </w:p>
          <w:p w14:paraId="22966658">
            <w:pPr>
              <w:pStyle w:val="6"/>
              <w:spacing w:line="232" w:lineRule="auto"/>
              <w:ind w:left="62"/>
              <w:rPr>
                <w:rFonts w:ascii="宋体" w:hAnsi="宋体" w:eastAsia="宋体" w:cs="宋体"/>
              </w:rPr>
            </w:pPr>
            <w:r>
              <w:rPr>
                <w:rFonts w:ascii="宋体" w:hAnsi="宋体" w:eastAsia="宋体" w:cs="宋体"/>
                <w:spacing w:val="-3"/>
              </w:rPr>
              <w:t>业供水</w:t>
            </w:r>
            <w:r>
              <w:rPr>
                <w:rFonts w:ascii="宋体" w:hAnsi="宋体" w:eastAsia="宋体" w:cs="宋体"/>
                <w:spacing w:val="-38"/>
              </w:rPr>
              <w:t xml:space="preserve"> </w:t>
            </w:r>
            <w:r>
              <w:rPr>
                <w:spacing w:val="-3"/>
              </w:rPr>
              <w:t>3396</w:t>
            </w:r>
            <w:r>
              <w:rPr>
                <w:spacing w:val="13"/>
              </w:rPr>
              <w:t xml:space="preserve"> </w:t>
            </w:r>
            <w:r>
              <w:rPr>
                <w:rFonts w:ascii="宋体" w:hAnsi="宋体" w:eastAsia="宋体" w:cs="宋体"/>
                <w:spacing w:val="-3"/>
              </w:rPr>
              <w:t>万</w:t>
            </w:r>
            <w:r>
              <w:rPr>
                <w:rFonts w:ascii="宋体" w:hAnsi="宋体" w:eastAsia="宋体" w:cs="宋体"/>
                <w:spacing w:val="-50"/>
              </w:rPr>
              <w:t xml:space="preserve"> </w:t>
            </w:r>
            <w:r>
              <w:rPr>
                <w:spacing w:val="-3"/>
              </w:rPr>
              <w:t>m</w:t>
            </w:r>
            <w:r>
              <w:rPr>
                <w:spacing w:val="-3"/>
                <w:position w:val="7"/>
                <w:sz w:val="14"/>
                <w:szCs w:val="14"/>
              </w:rPr>
              <w:t>3</w:t>
            </w:r>
            <w:r>
              <w:rPr>
                <w:spacing w:val="-3"/>
              </w:rPr>
              <w:t>/a</w:t>
            </w:r>
            <w:r>
              <w:rPr>
                <w:rFonts w:ascii="宋体" w:hAnsi="宋体" w:eastAsia="宋体" w:cs="宋体"/>
                <w:spacing w:val="-3"/>
              </w:rPr>
              <w:t>。</w:t>
            </w:r>
          </w:p>
        </w:tc>
        <w:tc>
          <w:tcPr>
            <w:tcW w:w="985" w:type="dxa"/>
            <w:tcBorders>
              <w:right w:val="single" w:color="000000" w:sz="12" w:space="0"/>
            </w:tcBorders>
            <w:vAlign w:val="top"/>
          </w:tcPr>
          <w:p w14:paraId="5CD834B2">
            <w:pPr>
              <w:spacing w:line="349" w:lineRule="auto"/>
              <w:rPr>
                <w:rFonts w:ascii="Arial"/>
                <w:sz w:val="21"/>
              </w:rPr>
            </w:pPr>
          </w:p>
          <w:p w14:paraId="3BA06BFB">
            <w:pPr>
              <w:spacing w:line="350" w:lineRule="auto"/>
              <w:rPr>
                <w:rFonts w:ascii="Arial"/>
                <w:sz w:val="21"/>
              </w:rPr>
            </w:pPr>
          </w:p>
          <w:p w14:paraId="376E9CFF">
            <w:pPr>
              <w:spacing w:before="69" w:line="220" w:lineRule="auto"/>
              <w:ind w:left="403"/>
              <w:rPr>
                <w:rFonts w:ascii="宋体" w:hAnsi="宋体" w:eastAsia="宋体" w:cs="宋体"/>
                <w:sz w:val="21"/>
                <w:szCs w:val="21"/>
              </w:rPr>
            </w:pPr>
            <w:r>
              <w:rPr>
                <w:rFonts w:ascii="宋体" w:hAnsi="宋体" w:eastAsia="宋体" w:cs="宋体"/>
                <w:sz w:val="21"/>
                <w:szCs w:val="21"/>
              </w:rPr>
              <w:t>否</w:t>
            </w:r>
          </w:p>
        </w:tc>
      </w:tr>
      <w:tr w14:paraId="074AD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451" w:type="dxa"/>
            <w:vMerge w:val="restart"/>
            <w:tcBorders>
              <w:left w:val="single" w:color="000000" w:sz="12" w:space="0"/>
              <w:bottom w:val="nil"/>
            </w:tcBorders>
            <w:textDirection w:val="tbRlV"/>
            <w:vAlign w:val="top"/>
          </w:tcPr>
          <w:p w14:paraId="129A7E6B">
            <w:pPr>
              <w:spacing w:before="122" w:line="209" w:lineRule="auto"/>
              <w:ind w:left="1043"/>
              <w:rPr>
                <w:rFonts w:ascii="宋体" w:hAnsi="宋体" w:eastAsia="宋体" w:cs="宋体"/>
                <w:sz w:val="21"/>
                <w:szCs w:val="21"/>
              </w:rPr>
            </w:pPr>
            <w:r>
              <w:rPr>
                <w:rFonts w:ascii="宋体" w:hAnsi="宋体" w:eastAsia="宋体" w:cs="宋体"/>
                <w:spacing w:val="31"/>
                <w:sz w:val="21"/>
                <w:szCs w:val="21"/>
              </w:rPr>
              <w:t>规模</w:t>
            </w:r>
          </w:p>
        </w:tc>
        <w:tc>
          <w:tcPr>
            <w:tcW w:w="2234" w:type="dxa"/>
            <w:vAlign w:val="top"/>
          </w:tcPr>
          <w:p w14:paraId="6333953F">
            <w:pPr>
              <w:pStyle w:val="6"/>
              <w:spacing w:before="97" w:line="242" w:lineRule="auto"/>
              <w:ind w:left="45" w:right="61"/>
              <w:rPr>
                <w:rFonts w:ascii="宋体" w:hAnsi="宋体" w:eastAsia="宋体" w:cs="宋体"/>
              </w:rPr>
            </w:pPr>
            <w:r>
              <w:rPr>
                <w:spacing w:val="6"/>
              </w:rPr>
              <w:t>3.</w:t>
            </w:r>
            <w:r>
              <w:rPr>
                <w:rFonts w:ascii="宋体" w:hAnsi="宋体" w:eastAsia="宋体" w:cs="宋体"/>
                <w:spacing w:val="6"/>
              </w:rPr>
              <w:t>供水量、引调水量增</w:t>
            </w:r>
            <w:r>
              <w:rPr>
                <w:rFonts w:ascii="宋体" w:hAnsi="宋体" w:eastAsia="宋体" w:cs="宋体"/>
                <w:spacing w:val="-4"/>
              </w:rPr>
              <w:t>加</w:t>
            </w:r>
            <w:r>
              <w:rPr>
                <w:rFonts w:ascii="宋体" w:hAnsi="宋体" w:eastAsia="宋体" w:cs="宋体"/>
                <w:spacing w:val="-45"/>
              </w:rPr>
              <w:t xml:space="preserve"> </w:t>
            </w:r>
            <w:r>
              <w:rPr>
                <w:spacing w:val="-4"/>
              </w:rPr>
              <w:t>20%</w:t>
            </w:r>
            <w:r>
              <w:rPr>
                <w:rFonts w:ascii="宋体" w:hAnsi="宋体" w:eastAsia="宋体" w:cs="宋体"/>
                <w:spacing w:val="-4"/>
              </w:rPr>
              <w:t>及以上。</w:t>
            </w:r>
          </w:p>
        </w:tc>
        <w:tc>
          <w:tcPr>
            <w:tcW w:w="2542" w:type="dxa"/>
            <w:vAlign w:val="top"/>
          </w:tcPr>
          <w:p w14:paraId="1A78BE44">
            <w:pPr>
              <w:pStyle w:val="6"/>
              <w:spacing w:before="232" w:line="233" w:lineRule="auto"/>
              <w:jc w:val="right"/>
              <w:rPr>
                <w:rFonts w:ascii="宋体" w:hAnsi="宋体" w:eastAsia="宋体" w:cs="宋体"/>
              </w:rPr>
            </w:pPr>
            <w:r>
              <w:rPr>
                <w:rFonts w:ascii="宋体" w:hAnsi="宋体" w:eastAsia="宋体" w:cs="宋体"/>
                <w:spacing w:val="-5"/>
              </w:rPr>
              <w:t>年平均供水量</w:t>
            </w:r>
            <w:r>
              <w:rPr>
                <w:rFonts w:ascii="宋体" w:hAnsi="宋体" w:eastAsia="宋体" w:cs="宋体"/>
                <w:spacing w:val="-38"/>
              </w:rPr>
              <w:t xml:space="preserve"> </w:t>
            </w:r>
            <w:r>
              <w:rPr>
                <w:spacing w:val="-5"/>
              </w:rPr>
              <w:t>7103</w:t>
            </w:r>
            <w:r>
              <w:rPr>
                <w:spacing w:val="13"/>
                <w:w w:val="101"/>
              </w:rPr>
              <w:t xml:space="preserve"> </w:t>
            </w:r>
            <w:r>
              <w:rPr>
                <w:rFonts w:ascii="宋体" w:hAnsi="宋体" w:eastAsia="宋体" w:cs="宋体"/>
                <w:spacing w:val="-5"/>
              </w:rPr>
              <w:t>万</w:t>
            </w:r>
            <w:r>
              <w:rPr>
                <w:rFonts w:ascii="宋体" w:hAnsi="宋体" w:eastAsia="宋体" w:cs="宋体"/>
                <w:spacing w:val="-51"/>
              </w:rPr>
              <w:t xml:space="preserve"> </w:t>
            </w:r>
            <w:r>
              <w:rPr>
                <w:spacing w:val="-5"/>
              </w:rPr>
              <w:t>m</w:t>
            </w:r>
            <w:r>
              <w:rPr>
                <w:spacing w:val="-5"/>
                <w:position w:val="7"/>
                <w:sz w:val="14"/>
                <w:szCs w:val="14"/>
              </w:rPr>
              <w:t>3</w:t>
            </w:r>
            <w:r>
              <w:rPr>
                <w:rFonts w:ascii="宋体" w:hAnsi="宋体" w:eastAsia="宋体" w:cs="宋体"/>
                <w:spacing w:val="-5"/>
              </w:rPr>
              <w:t>。</w:t>
            </w:r>
          </w:p>
        </w:tc>
        <w:tc>
          <w:tcPr>
            <w:tcW w:w="2261" w:type="dxa"/>
            <w:vAlign w:val="top"/>
          </w:tcPr>
          <w:p w14:paraId="5FCD4AD1">
            <w:pPr>
              <w:pStyle w:val="6"/>
              <w:spacing w:before="98" w:line="243" w:lineRule="auto"/>
              <w:ind w:left="56" w:right="39" w:firstLine="7"/>
              <w:rPr>
                <w:rFonts w:ascii="宋体" w:hAnsi="宋体" w:eastAsia="宋体" w:cs="宋体"/>
              </w:rPr>
            </w:pPr>
            <w:r>
              <w:rPr>
                <w:rFonts w:ascii="宋体" w:hAnsi="宋体" w:eastAsia="宋体" w:cs="宋体"/>
                <w:spacing w:val="2"/>
              </w:rPr>
              <w:t xml:space="preserve">年平均供水量 </w:t>
            </w:r>
            <w:r>
              <w:rPr>
                <w:spacing w:val="2"/>
              </w:rPr>
              <w:t>7135</w:t>
            </w:r>
            <w:r>
              <w:rPr>
                <w:spacing w:val="11"/>
              </w:rPr>
              <w:t xml:space="preserve">  </w:t>
            </w:r>
            <w:r>
              <w:rPr>
                <w:rFonts w:ascii="宋体" w:hAnsi="宋体" w:eastAsia="宋体" w:cs="宋体"/>
                <w:spacing w:val="2"/>
              </w:rPr>
              <w:t>万</w:t>
            </w:r>
            <w:r>
              <w:rPr>
                <w:spacing w:val="-2"/>
                <w:position w:val="-2"/>
              </w:rPr>
              <w:t>m</w:t>
            </w:r>
            <w:r>
              <w:rPr>
                <w:spacing w:val="-2"/>
                <w:position w:val="5"/>
                <w:sz w:val="14"/>
                <w:szCs w:val="14"/>
              </w:rPr>
              <w:t>3</w:t>
            </w:r>
            <w:r>
              <w:rPr>
                <w:rFonts w:ascii="宋体" w:hAnsi="宋体" w:eastAsia="宋体" w:cs="宋体"/>
                <w:spacing w:val="-2"/>
                <w:position w:val="-2"/>
              </w:rPr>
              <w:t>。</w:t>
            </w:r>
          </w:p>
        </w:tc>
        <w:tc>
          <w:tcPr>
            <w:tcW w:w="985" w:type="dxa"/>
            <w:tcBorders>
              <w:right w:val="single" w:color="000000" w:sz="12" w:space="0"/>
            </w:tcBorders>
            <w:vAlign w:val="top"/>
          </w:tcPr>
          <w:p w14:paraId="524435C4">
            <w:pPr>
              <w:spacing w:before="233" w:line="220" w:lineRule="auto"/>
              <w:ind w:left="403"/>
              <w:rPr>
                <w:rFonts w:ascii="宋体" w:hAnsi="宋体" w:eastAsia="宋体" w:cs="宋体"/>
                <w:sz w:val="21"/>
                <w:szCs w:val="21"/>
              </w:rPr>
            </w:pPr>
            <w:r>
              <w:rPr>
                <w:rFonts w:ascii="宋体" w:hAnsi="宋体" w:eastAsia="宋体" w:cs="宋体"/>
                <w:sz w:val="21"/>
                <w:szCs w:val="21"/>
              </w:rPr>
              <w:t>否</w:t>
            </w:r>
          </w:p>
        </w:tc>
      </w:tr>
      <w:tr w14:paraId="47B62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451" w:type="dxa"/>
            <w:vMerge w:val="continue"/>
            <w:tcBorders>
              <w:top w:val="nil"/>
              <w:left w:val="single" w:color="000000" w:sz="12" w:space="0"/>
              <w:bottom w:val="nil"/>
            </w:tcBorders>
            <w:textDirection w:val="tbRlV"/>
            <w:vAlign w:val="top"/>
          </w:tcPr>
          <w:p w14:paraId="334A0D3C">
            <w:pPr>
              <w:rPr>
                <w:rFonts w:ascii="Arial"/>
                <w:sz w:val="21"/>
              </w:rPr>
            </w:pPr>
          </w:p>
        </w:tc>
        <w:tc>
          <w:tcPr>
            <w:tcW w:w="2234" w:type="dxa"/>
            <w:vAlign w:val="top"/>
          </w:tcPr>
          <w:p w14:paraId="3562B66C">
            <w:pPr>
              <w:pStyle w:val="6"/>
              <w:spacing w:before="99" w:line="242" w:lineRule="auto"/>
              <w:ind w:left="46" w:right="61" w:hanging="5"/>
              <w:rPr>
                <w:rFonts w:ascii="宋体" w:hAnsi="宋体" w:eastAsia="宋体" w:cs="宋体"/>
              </w:rPr>
            </w:pPr>
            <w:r>
              <w:rPr>
                <w:spacing w:val="3"/>
              </w:rPr>
              <w:t>4.</w:t>
            </w:r>
            <w:r>
              <w:rPr>
                <w:spacing w:val="-13"/>
              </w:rPr>
              <w:t xml:space="preserve"> </w:t>
            </w:r>
            <w:r>
              <w:rPr>
                <w:rFonts w:ascii="宋体" w:hAnsi="宋体" w:eastAsia="宋体" w:cs="宋体"/>
                <w:spacing w:val="3"/>
              </w:rPr>
              <w:t>引调水线路长度增加</w:t>
            </w:r>
            <w:r>
              <w:rPr>
                <w:spacing w:val="-5"/>
              </w:rPr>
              <w:t>30%</w:t>
            </w:r>
            <w:r>
              <w:rPr>
                <w:rFonts w:ascii="宋体" w:hAnsi="宋体" w:eastAsia="宋体" w:cs="宋体"/>
                <w:spacing w:val="-5"/>
              </w:rPr>
              <w:t>及以上。</w:t>
            </w:r>
          </w:p>
        </w:tc>
        <w:tc>
          <w:tcPr>
            <w:tcW w:w="2542" w:type="dxa"/>
            <w:vAlign w:val="top"/>
          </w:tcPr>
          <w:p w14:paraId="4D3C83F0">
            <w:pPr>
              <w:pStyle w:val="6"/>
              <w:spacing w:before="237" w:line="233" w:lineRule="auto"/>
              <w:ind w:left="52"/>
              <w:rPr>
                <w:rFonts w:ascii="宋体" w:hAnsi="宋体" w:eastAsia="宋体" w:cs="宋体"/>
              </w:rPr>
            </w:pPr>
            <w:r>
              <w:rPr>
                <w:rFonts w:ascii="宋体" w:hAnsi="宋体" w:eastAsia="宋体" w:cs="宋体"/>
                <w:spacing w:val="-1"/>
              </w:rPr>
              <w:t>输水隧洞总长</w:t>
            </w:r>
            <w:r>
              <w:rPr>
                <w:rFonts w:ascii="宋体" w:hAnsi="宋体" w:eastAsia="宋体" w:cs="宋体"/>
                <w:spacing w:val="-46"/>
              </w:rPr>
              <w:t xml:space="preserve"> </w:t>
            </w:r>
            <w:r>
              <w:rPr>
                <w:spacing w:val="-1"/>
              </w:rPr>
              <w:t>29.56km</w:t>
            </w:r>
            <w:r>
              <w:rPr>
                <w:rFonts w:ascii="宋体" w:hAnsi="宋体" w:eastAsia="宋体" w:cs="宋体"/>
                <w:spacing w:val="-1"/>
              </w:rPr>
              <w:t>。</w:t>
            </w:r>
          </w:p>
        </w:tc>
        <w:tc>
          <w:tcPr>
            <w:tcW w:w="2261" w:type="dxa"/>
            <w:vAlign w:val="top"/>
          </w:tcPr>
          <w:p w14:paraId="48D0BE18">
            <w:pPr>
              <w:pStyle w:val="6"/>
              <w:spacing w:before="237" w:line="233" w:lineRule="auto"/>
              <w:jc w:val="right"/>
              <w:rPr>
                <w:rFonts w:ascii="宋体" w:hAnsi="宋体" w:eastAsia="宋体" w:cs="宋体"/>
              </w:rPr>
            </w:pPr>
            <w:r>
              <w:rPr>
                <w:rFonts w:ascii="宋体" w:hAnsi="宋体" w:eastAsia="宋体" w:cs="宋体"/>
                <w:spacing w:val="-6"/>
              </w:rPr>
              <w:t>输水线路总长</w:t>
            </w:r>
            <w:r>
              <w:rPr>
                <w:rFonts w:ascii="宋体" w:hAnsi="宋体" w:eastAsia="宋体" w:cs="宋体"/>
                <w:spacing w:val="-45"/>
              </w:rPr>
              <w:t xml:space="preserve"> </w:t>
            </w:r>
            <w:r>
              <w:rPr>
                <w:spacing w:val="-6"/>
              </w:rPr>
              <w:t>29.62km</w:t>
            </w:r>
            <w:r>
              <w:rPr>
                <w:rFonts w:ascii="宋体" w:hAnsi="宋体" w:eastAsia="宋体" w:cs="宋体"/>
                <w:spacing w:val="-6"/>
              </w:rPr>
              <w:t>。</w:t>
            </w:r>
          </w:p>
        </w:tc>
        <w:tc>
          <w:tcPr>
            <w:tcW w:w="985" w:type="dxa"/>
            <w:tcBorders>
              <w:right w:val="single" w:color="000000" w:sz="12" w:space="0"/>
            </w:tcBorders>
            <w:vAlign w:val="top"/>
          </w:tcPr>
          <w:p w14:paraId="37F0D9D4">
            <w:pPr>
              <w:spacing w:before="236" w:line="220" w:lineRule="auto"/>
              <w:ind w:left="403"/>
              <w:rPr>
                <w:rFonts w:ascii="宋体" w:hAnsi="宋体" w:eastAsia="宋体" w:cs="宋体"/>
                <w:sz w:val="21"/>
                <w:szCs w:val="21"/>
              </w:rPr>
            </w:pPr>
            <w:r>
              <w:rPr>
                <w:rFonts w:ascii="宋体" w:hAnsi="宋体" w:eastAsia="宋体" w:cs="宋体"/>
                <w:sz w:val="21"/>
                <w:szCs w:val="21"/>
              </w:rPr>
              <w:t>否</w:t>
            </w:r>
          </w:p>
        </w:tc>
      </w:tr>
      <w:tr w14:paraId="36978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451" w:type="dxa"/>
            <w:vMerge w:val="continue"/>
            <w:tcBorders>
              <w:top w:val="nil"/>
              <w:left w:val="single" w:color="000000" w:sz="12" w:space="0"/>
            </w:tcBorders>
            <w:textDirection w:val="tbRlV"/>
            <w:vAlign w:val="top"/>
          </w:tcPr>
          <w:p w14:paraId="3708F82C">
            <w:pPr>
              <w:rPr>
                <w:rFonts w:ascii="Arial"/>
                <w:sz w:val="21"/>
              </w:rPr>
            </w:pPr>
          </w:p>
        </w:tc>
        <w:tc>
          <w:tcPr>
            <w:tcW w:w="2234" w:type="dxa"/>
            <w:vAlign w:val="top"/>
          </w:tcPr>
          <w:p w14:paraId="52161472">
            <w:pPr>
              <w:pStyle w:val="6"/>
              <w:spacing w:before="100"/>
              <w:ind w:left="45" w:right="58" w:firstLine="1"/>
              <w:jc w:val="both"/>
              <w:rPr>
                <w:rFonts w:ascii="宋体" w:hAnsi="宋体" w:eastAsia="宋体" w:cs="宋体"/>
              </w:rPr>
            </w:pPr>
            <w:r>
              <w:rPr>
                <w:spacing w:val="6"/>
              </w:rPr>
              <w:t>5.</w:t>
            </w:r>
            <w:r>
              <w:rPr>
                <w:rFonts w:ascii="宋体" w:hAnsi="宋体" w:eastAsia="宋体" w:cs="宋体"/>
                <w:spacing w:val="6"/>
              </w:rPr>
              <w:t>水库特征水位如正常</w:t>
            </w:r>
            <w:r>
              <w:rPr>
                <w:rFonts w:ascii="宋体" w:hAnsi="宋体" w:eastAsia="宋体" w:cs="宋体"/>
                <w:spacing w:val="-18"/>
              </w:rPr>
              <w:t>蓄水位、死水位、汛限水</w:t>
            </w:r>
            <w:r>
              <w:rPr>
                <w:rFonts w:ascii="宋体" w:hAnsi="宋体" w:eastAsia="宋体" w:cs="宋体"/>
                <w:spacing w:val="1"/>
              </w:rPr>
              <w:t>位等发生变化；水库调</w:t>
            </w:r>
            <w:r>
              <w:rPr>
                <w:rFonts w:ascii="宋体" w:hAnsi="宋体" w:eastAsia="宋体" w:cs="宋体"/>
                <w:spacing w:val="-2"/>
              </w:rPr>
              <w:t>节性能发生变化</w:t>
            </w:r>
          </w:p>
        </w:tc>
        <w:tc>
          <w:tcPr>
            <w:tcW w:w="2542" w:type="dxa"/>
            <w:vAlign w:val="top"/>
          </w:tcPr>
          <w:p w14:paraId="3E0709DD">
            <w:pPr>
              <w:pStyle w:val="6"/>
              <w:spacing w:before="239" w:line="236" w:lineRule="auto"/>
              <w:ind w:left="54" w:right="50" w:firstLine="1"/>
              <w:jc w:val="both"/>
              <w:rPr>
                <w:rFonts w:ascii="宋体" w:hAnsi="宋体" w:eastAsia="宋体" w:cs="宋体"/>
              </w:rPr>
            </w:pPr>
            <w:r>
              <w:rPr>
                <w:rFonts w:ascii="宋体" w:hAnsi="宋体" w:eastAsia="宋体" w:cs="宋体"/>
                <w:spacing w:val="-5"/>
              </w:rPr>
              <w:t>水库正常蓄水位</w:t>
            </w:r>
            <w:r>
              <w:rPr>
                <w:rFonts w:ascii="宋体" w:hAnsi="宋体" w:eastAsia="宋体" w:cs="宋体"/>
                <w:spacing w:val="-27"/>
              </w:rPr>
              <w:t xml:space="preserve"> </w:t>
            </w:r>
            <w:r>
              <w:rPr>
                <w:spacing w:val="-5"/>
              </w:rPr>
              <w:t>1938.5m</w:t>
            </w:r>
            <w:r>
              <w:rPr>
                <w:rFonts w:ascii="宋体" w:hAnsi="宋体" w:eastAsia="宋体" w:cs="宋体"/>
                <w:spacing w:val="-5"/>
              </w:rPr>
              <w:t>，死水位</w:t>
            </w:r>
            <w:r>
              <w:rPr>
                <w:rFonts w:ascii="宋体" w:hAnsi="宋体" w:eastAsia="宋体" w:cs="宋体"/>
                <w:spacing w:val="-25"/>
              </w:rPr>
              <w:t xml:space="preserve"> </w:t>
            </w:r>
            <w:r>
              <w:rPr>
                <w:spacing w:val="-5"/>
              </w:rPr>
              <w:t>1915.3m</w:t>
            </w:r>
            <w:r>
              <w:rPr>
                <w:rFonts w:ascii="宋体" w:hAnsi="宋体" w:eastAsia="宋体" w:cs="宋体"/>
                <w:spacing w:val="-5"/>
              </w:rPr>
              <w:t>，不设汛限</w:t>
            </w:r>
            <w:r>
              <w:rPr>
                <w:rFonts w:ascii="宋体" w:hAnsi="宋体" w:eastAsia="宋体" w:cs="宋体"/>
                <w:spacing w:val="-4"/>
              </w:rPr>
              <w:t>水位；具有年调节性能。</w:t>
            </w:r>
          </w:p>
        </w:tc>
        <w:tc>
          <w:tcPr>
            <w:tcW w:w="2261" w:type="dxa"/>
            <w:vAlign w:val="top"/>
          </w:tcPr>
          <w:p w14:paraId="29A53F6F">
            <w:pPr>
              <w:spacing w:line="439" w:lineRule="auto"/>
              <w:rPr>
                <w:rFonts w:ascii="Arial"/>
                <w:sz w:val="21"/>
              </w:rPr>
            </w:pPr>
          </w:p>
          <w:p w14:paraId="09B8E425">
            <w:pPr>
              <w:spacing w:before="68" w:line="220" w:lineRule="auto"/>
              <w:ind w:left="514"/>
              <w:rPr>
                <w:rFonts w:ascii="宋体" w:hAnsi="宋体" w:eastAsia="宋体" w:cs="宋体"/>
                <w:sz w:val="21"/>
                <w:szCs w:val="21"/>
              </w:rPr>
            </w:pPr>
            <w:r>
              <w:rPr>
                <w:rFonts w:ascii="宋体" w:hAnsi="宋体" w:eastAsia="宋体" w:cs="宋体"/>
                <w:spacing w:val="-5"/>
                <w:sz w:val="21"/>
                <w:szCs w:val="21"/>
              </w:rPr>
              <w:t>与环评一致。</w:t>
            </w:r>
          </w:p>
        </w:tc>
        <w:tc>
          <w:tcPr>
            <w:tcW w:w="985" w:type="dxa"/>
            <w:tcBorders>
              <w:right w:val="single" w:color="000000" w:sz="12" w:space="0"/>
            </w:tcBorders>
            <w:vAlign w:val="top"/>
          </w:tcPr>
          <w:p w14:paraId="2DAEC8CF">
            <w:pPr>
              <w:spacing w:line="439" w:lineRule="auto"/>
              <w:rPr>
                <w:rFonts w:ascii="Arial"/>
                <w:sz w:val="21"/>
              </w:rPr>
            </w:pPr>
          </w:p>
          <w:p w14:paraId="16769B63">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r w14:paraId="309ED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451" w:type="dxa"/>
            <w:vMerge w:val="restart"/>
            <w:tcBorders>
              <w:left w:val="single" w:color="000000" w:sz="12" w:space="0"/>
              <w:bottom w:val="nil"/>
            </w:tcBorders>
            <w:textDirection w:val="tbRlV"/>
            <w:vAlign w:val="top"/>
          </w:tcPr>
          <w:p w14:paraId="054AF70A">
            <w:pPr>
              <w:spacing w:before="122" w:line="212" w:lineRule="auto"/>
              <w:ind w:left="1123"/>
              <w:rPr>
                <w:rFonts w:ascii="宋体" w:hAnsi="宋体" w:eastAsia="宋体" w:cs="宋体"/>
                <w:sz w:val="21"/>
                <w:szCs w:val="21"/>
              </w:rPr>
            </w:pPr>
            <w:r>
              <w:rPr>
                <w:rFonts w:ascii="宋体" w:hAnsi="宋体" w:eastAsia="宋体" w:cs="宋体"/>
                <w:spacing w:val="31"/>
                <w:sz w:val="21"/>
                <w:szCs w:val="21"/>
              </w:rPr>
              <w:t>地点</w:t>
            </w:r>
          </w:p>
        </w:tc>
        <w:tc>
          <w:tcPr>
            <w:tcW w:w="2234" w:type="dxa"/>
            <w:vAlign w:val="top"/>
          </w:tcPr>
          <w:p w14:paraId="32455642">
            <w:pPr>
              <w:pStyle w:val="6"/>
              <w:spacing w:before="106" w:line="239" w:lineRule="auto"/>
              <w:ind w:left="45" w:right="59"/>
              <w:jc w:val="both"/>
              <w:rPr>
                <w:rFonts w:ascii="宋体" w:hAnsi="宋体" w:eastAsia="宋体" w:cs="宋体"/>
              </w:rPr>
            </w:pPr>
            <w:r>
              <w:rPr>
                <w:spacing w:val="6"/>
              </w:rPr>
              <w:t>6.</w:t>
            </w:r>
            <w:r>
              <w:rPr>
                <w:rFonts w:ascii="宋体" w:hAnsi="宋体" w:eastAsia="宋体" w:cs="宋体"/>
                <w:spacing w:val="6"/>
              </w:rPr>
              <w:t>坝址重新选址，或坝</w:t>
            </w:r>
            <w:r>
              <w:rPr>
                <w:rFonts w:ascii="宋体" w:hAnsi="宋体" w:eastAsia="宋体" w:cs="宋体"/>
                <w:spacing w:val="1"/>
              </w:rPr>
              <w:t>轴线调整导致新增重大</w:t>
            </w:r>
            <w:r>
              <w:rPr>
                <w:rFonts w:ascii="宋体" w:hAnsi="宋体" w:eastAsia="宋体" w:cs="宋体"/>
                <w:spacing w:val="-5"/>
              </w:rPr>
              <w:t>生态保护目标。</w:t>
            </w:r>
          </w:p>
        </w:tc>
        <w:tc>
          <w:tcPr>
            <w:tcW w:w="2542" w:type="dxa"/>
            <w:vAlign w:val="top"/>
          </w:tcPr>
          <w:p w14:paraId="3311FA5F">
            <w:pPr>
              <w:pStyle w:val="6"/>
              <w:spacing w:before="240" w:line="247" w:lineRule="auto"/>
              <w:ind w:left="55" w:right="49" w:hanging="3"/>
              <w:rPr>
                <w:rFonts w:ascii="宋体" w:hAnsi="宋体" w:eastAsia="宋体" w:cs="宋体"/>
              </w:rPr>
            </w:pPr>
            <w:r>
              <w:rPr>
                <w:rFonts w:ascii="宋体" w:hAnsi="宋体" w:eastAsia="宋体" w:cs="宋体"/>
                <w:spacing w:val="10"/>
              </w:rPr>
              <w:t>坝址位于马龙河干流车马</w:t>
            </w:r>
            <w:r>
              <w:rPr>
                <w:rFonts w:ascii="宋体" w:hAnsi="宋体" w:eastAsia="宋体" w:cs="宋体"/>
                <w:spacing w:val="-2"/>
              </w:rPr>
              <w:t>碧村上游约</w:t>
            </w:r>
            <w:r>
              <w:rPr>
                <w:rFonts w:ascii="宋体" w:hAnsi="宋体" w:eastAsia="宋体" w:cs="宋体"/>
                <w:spacing w:val="-43"/>
              </w:rPr>
              <w:t xml:space="preserve"> </w:t>
            </w:r>
            <w:r>
              <w:rPr>
                <w:spacing w:val="-2"/>
              </w:rPr>
              <w:t>600m</w:t>
            </w:r>
            <w:r>
              <w:rPr>
                <w:rFonts w:ascii="宋体" w:hAnsi="宋体" w:eastAsia="宋体" w:cs="宋体"/>
                <w:spacing w:val="-2"/>
              </w:rPr>
              <w:t>。</w:t>
            </w:r>
          </w:p>
        </w:tc>
        <w:tc>
          <w:tcPr>
            <w:tcW w:w="2261" w:type="dxa"/>
            <w:vAlign w:val="top"/>
          </w:tcPr>
          <w:p w14:paraId="4CCF0F46">
            <w:pPr>
              <w:spacing w:before="241" w:line="242" w:lineRule="auto"/>
              <w:ind w:left="66" w:right="88" w:hanging="4"/>
              <w:rPr>
                <w:rFonts w:ascii="宋体" w:hAnsi="宋体" w:eastAsia="宋体" w:cs="宋体"/>
                <w:sz w:val="21"/>
                <w:szCs w:val="21"/>
              </w:rPr>
            </w:pPr>
            <w:r>
              <w:rPr>
                <w:rFonts w:ascii="宋体" w:hAnsi="宋体" w:eastAsia="宋体" w:cs="宋体"/>
                <w:spacing w:val="-1"/>
                <w:sz w:val="21"/>
                <w:szCs w:val="21"/>
              </w:rPr>
              <w:t>坝址与环评阶段一致，</w:t>
            </w:r>
            <w:r>
              <w:rPr>
                <w:rFonts w:ascii="宋体" w:hAnsi="宋体" w:eastAsia="宋体" w:cs="宋体"/>
                <w:spacing w:val="-2"/>
                <w:sz w:val="21"/>
                <w:szCs w:val="21"/>
              </w:rPr>
              <w:t>未新增生态保护目标。</w:t>
            </w:r>
          </w:p>
        </w:tc>
        <w:tc>
          <w:tcPr>
            <w:tcW w:w="985" w:type="dxa"/>
            <w:tcBorders>
              <w:right w:val="single" w:color="000000" w:sz="12" w:space="0"/>
            </w:tcBorders>
            <w:vAlign w:val="top"/>
          </w:tcPr>
          <w:p w14:paraId="76AB3F51">
            <w:pPr>
              <w:spacing w:line="308" w:lineRule="auto"/>
              <w:rPr>
                <w:rFonts w:ascii="Arial"/>
                <w:sz w:val="21"/>
              </w:rPr>
            </w:pPr>
          </w:p>
          <w:p w14:paraId="0FE82CFA">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r w14:paraId="7C63D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1" w:hRule="atLeast"/>
        </w:trPr>
        <w:tc>
          <w:tcPr>
            <w:tcW w:w="451" w:type="dxa"/>
            <w:vMerge w:val="continue"/>
            <w:tcBorders>
              <w:top w:val="nil"/>
              <w:left w:val="single" w:color="000000" w:sz="12" w:space="0"/>
              <w:bottom w:val="single" w:color="000000" w:sz="12" w:space="0"/>
            </w:tcBorders>
            <w:textDirection w:val="tbRlV"/>
            <w:vAlign w:val="top"/>
          </w:tcPr>
          <w:p w14:paraId="01EC3C89">
            <w:pPr>
              <w:rPr>
                <w:rFonts w:ascii="Arial"/>
                <w:sz w:val="21"/>
              </w:rPr>
            </w:pPr>
          </w:p>
        </w:tc>
        <w:tc>
          <w:tcPr>
            <w:tcW w:w="2234" w:type="dxa"/>
            <w:tcBorders>
              <w:bottom w:val="single" w:color="000000" w:sz="12" w:space="0"/>
            </w:tcBorders>
            <w:vAlign w:val="top"/>
          </w:tcPr>
          <w:p w14:paraId="5BD38FDF">
            <w:pPr>
              <w:spacing w:line="291" w:lineRule="auto"/>
              <w:rPr>
                <w:rFonts w:ascii="Arial"/>
                <w:sz w:val="21"/>
              </w:rPr>
            </w:pPr>
          </w:p>
          <w:p w14:paraId="33A301E2">
            <w:pPr>
              <w:spacing w:line="291" w:lineRule="auto"/>
              <w:rPr>
                <w:rFonts w:ascii="Arial"/>
                <w:sz w:val="21"/>
              </w:rPr>
            </w:pPr>
          </w:p>
          <w:p w14:paraId="0FDADDDF">
            <w:pPr>
              <w:pStyle w:val="6"/>
              <w:spacing w:before="68" w:line="236" w:lineRule="auto"/>
              <w:ind w:left="47" w:right="60" w:hanging="2"/>
              <w:rPr>
                <w:rFonts w:ascii="宋体" w:hAnsi="宋体" w:eastAsia="宋体" w:cs="宋体"/>
              </w:rPr>
            </w:pPr>
            <w:r>
              <w:rPr>
                <w:spacing w:val="-9"/>
              </w:rPr>
              <w:t xml:space="preserve">7. </w:t>
            </w:r>
            <w:r>
              <w:rPr>
                <w:rFonts w:ascii="宋体" w:hAnsi="宋体" w:eastAsia="宋体" w:cs="宋体"/>
                <w:spacing w:val="-9"/>
              </w:rPr>
              <w:t>引</w:t>
            </w:r>
            <w:r>
              <w:rPr>
                <w:rFonts w:ascii="宋体" w:hAnsi="宋体" w:eastAsia="宋体" w:cs="宋体"/>
                <w:spacing w:val="-52"/>
              </w:rPr>
              <w:t xml:space="preserve"> </w:t>
            </w:r>
            <w:r>
              <w:rPr>
                <w:rFonts w:ascii="宋体" w:hAnsi="宋体" w:eastAsia="宋体" w:cs="宋体"/>
                <w:spacing w:val="-9"/>
              </w:rPr>
              <w:t>调</w:t>
            </w:r>
            <w:r>
              <w:rPr>
                <w:rFonts w:ascii="宋体" w:hAnsi="宋体" w:eastAsia="宋体" w:cs="宋体"/>
                <w:spacing w:val="-58"/>
              </w:rPr>
              <w:t xml:space="preserve"> </w:t>
            </w:r>
            <w:r>
              <w:rPr>
                <w:rFonts w:ascii="宋体" w:hAnsi="宋体" w:eastAsia="宋体" w:cs="宋体"/>
                <w:spacing w:val="-9"/>
              </w:rPr>
              <w:t>水</w:t>
            </w:r>
            <w:r>
              <w:rPr>
                <w:rFonts w:ascii="宋体" w:hAnsi="宋体" w:eastAsia="宋体" w:cs="宋体"/>
                <w:spacing w:val="-59"/>
              </w:rPr>
              <w:t xml:space="preserve"> </w:t>
            </w:r>
            <w:r>
              <w:rPr>
                <w:rFonts w:ascii="宋体" w:hAnsi="宋体" w:eastAsia="宋体" w:cs="宋体"/>
                <w:spacing w:val="-9"/>
              </w:rPr>
              <w:t>线</w:t>
            </w:r>
            <w:r>
              <w:rPr>
                <w:rFonts w:ascii="宋体" w:hAnsi="宋体" w:eastAsia="宋体" w:cs="宋体"/>
                <w:spacing w:val="-58"/>
              </w:rPr>
              <w:t xml:space="preserve"> </w:t>
            </w:r>
            <w:r>
              <w:rPr>
                <w:rFonts w:ascii="宋体" w:hAnsi="宋体" w:eastAsia="宋体" w:cs="宋体"/>
                <w:spacing w:val="-9"/>
              </w:rPr>
              <w:t>路</w:t>
            </w:r>
            <w:r>
              <w:rPr>
                <w:rFonts w:ascii="宋体" w:hAnsi="宋体" w:eastAsia="宋体" w:cs="宋体"/>
                <w:spacing w:val="-60"/>
              </w:rPr>
              <w:t xml:space="preserve"> </w:t>
            </w:r>
            <w:r>
              <w:rPr>
                <w:rFonts w:ascii="宋体" w:hAnsi="宋体" w:eastAsia="宋体" w:cs="宋体"/>
                <w:spacing w:val="-9"/>
              </w:rPr>
              <w:t>重</w:t>
            </w:r>
            <w:r>
              <w:rPr>
                <w:rFonts w:ascii="宋体" w:hAnsi="宋体" w:eastAsia="宋体" w:cs="宋体"/>
                <w:spacing w:val="-61"/>
              </w:rPr>
              <w:t xml:space="preserve"> </w:t>
            </w:r>
            <w:r>
              <w:rPr>
                <w:rFonts w:ascii="宋体" w:hAnsi="宋体" w:eastAsia="宋体" w:cs="宋体"/>
                <w:spacing w:val="-9"/>
              </w:rPr>
              <w:t>新</w:t>
            </w:r>
            <w:r>
              <w:rPr>
                <w:rFonts w:ascii="宋体" w:hAnsi="宋体" w:eastAsia="宋体" w:cs="宋体"/>
                <w:spacing w:val="-62"/>
              </w:rPr>
              <w:t xml:space="preserve"> </w:t>
            </w:r>
            <w:r>
              <w:rPr>
                <w:rFonts w:ascii="宋体" w:hAnsi="宋体" w:eastAsia="宋体" w:cs="宋体"/>
                <w:spacing w:val="-9"/>
              </w:rPr>
              <w:t>选</w:t>
            </w:r>
            <w:r>
              <w:rPr>
                <w:rFonts w:ascii="宋体" w:hAnsi="宋体" w:eastAsia="宋体" w:cs="宋体"/>
                <w:spacing w:val="-11"/>
              </w:rPr>
              <w:t>线。</w:t>
            </w:r>
          </w:p>
        </w:tc>
        <w:tc>
          <w:tcPr>
            <w:tcW w:w="2542" w:type="dxa"/>
            <w:tcBorders>
              <w:bottom w:val="single" w:color="000000" w:sz="12" w:space="0"/>
            </w:tcBorders>
            <w:vAlign w:val="top"/>
          </w:tcPr>
          <w:p w14:paraId="24E8BB99">
            <w:pPr>
              <w:spacing w:before="110"/>
              <w:ind w:left="51"/>
              <w:jc w:val="both"/>
              <w:rPr>
                <w:rFonts w:ascii="宋体" w:hAnsi="宋体" w:eastAsia="宋体" w:cs="宋体"/>
                <w:sz w:val="21"/>
                <w:szCs w:val="21"/>
              </w:rPr>
            </w:pPr>
            <w:r>
              <w:rPr>
                <w:rFonts w:ascii="宋体" w:hAnsi="宋体" w:eastAsia="宋体" w:cs="宋体"/>
                <w:spacing w:val="10"/>
                <w:sz w:val="21"/>
                <w:szCs w:val="21"/>
              </w:rPr>
              <w:t>输水隧洞进口位于库区三</w:t>
            </w:r>
            <w:r>
              <w:rPr>
                <w:rFonts w:ascii="宋体" w:hAnsi="宋体" w:eastAsia="宋体" w:cs="宋体"/>
                <w:spacing w:val="-8"/>
                <w:sz w:val="21"/>
                <w:szCs w:val="21"/>
              </w:rPr>
              <w:t>家村附近，经大石洞、象头山、马龙县城、杨外营、前进水库、响水河南侧、面店</w:t>
            </w:r>
            <w:r>
              <w:rPr>
                <w:rFonts w:ascii="宋体" w:hAnsi="宋体" w:eastAsia="宋体" w:cs="宋体"/>
                <w:spacing w:val="10"/>
                <w:sz w:val="21"/>
                <w:szCs w:val="21"/>
              </w:rPr>
              <w:t>水库南侧至王大屯村附近</w:t>
            </w:r>
            <w:r>
              <w:rPr>
                <w:rFonts w:ascii="宋体" w:hAnsi="宋体" w:eastAsia="宋体" w:cs="宋体"/>
                <w:spacing w:val="-4"/>
                <w:sz w:val="21"/>
                <w:szCs w:val="21"/>
              </w:rPr>
              <w:t>剪彩河。基本呈直线布置。</w:t>
            </w:r>
          </w:p>
        </w:tc>
        <w:tc>
          <w:tcPr>
            <w:tcW w:w="2261" w:type="dxa"/>
            <w:tcBorders>
              <w:bottom w:val="single" w:color="000000" w:sz="12" w:space="0"/>
            </w:tcBorders>
            <w:vAlign w:val="top"/>
          </w:tcPr>
          <w:p w14:paraId="731B4088">
            <w:pPr>
              <w:spacing w:line="291" w:lineRule="auto"/>
              <w:rPr>
                <w:rFonts w:ascii="Arial"/>
                <w:sz w:val="21"/>
              </w:rPr>
            </w:pPr>
          </w:p>
          <w:p w14:paraId="5F825BC9">
            <w:pPr>
              <w:spacing w:line="291" w:lineRule="auto"/>
              <w:rPr>
                <w:rFonts w:ascii="Arial"/>
                <w:sz w:val="21"/>
              </w:rPr>
            </w:pPr>
          </w:p>
          <w:p w14:paraId="6DE30F63">
            <w:pPr>
              <w:spacing w:before="69" w:line="242" w:lineRule="auto"/>
              <w:ind w:left="65" w:right="41" w:firstLine="13"/>
              <w:rPr>
                <w:rFonts w:ascii="宋体" w:hAnsi="宋体" w:eastAsia="宋体" w:cs="宋体"/>
                <w:sz w:val="21"/>
                <w:szCs w:val="21"/>
              </w:rPr>
            </w:pPr>
            <w:r>
              <w:rPr>
                <w:rFonts w:ascii="宋体" w:hAnsi="宋体" w:eastAsia="宋体" w:cs="宋体"/>
                <w:spacing w:val="26"/>
                <w:sz w:val="21"/>
                <w:szCs w:val="21"/>
              </w:rPr>
              <w:t>引调水线路未重新选</w:t>
            </w:r>
            <w:r>
              <w:rPr>
                <w:rFonts w:ascii="宋体" w:hAnsi="宋体" w:eastAsia="宋体" w:cs="宋体"/>
                <w:spacing w:val="-2"/>
                <w:sz w:val="21"/>
                <w:szCs w:val="21"/>
              </w:rPr>
              <w:t>线，与环评阶段一致。</w:t>
            </w:r>
          </w:p>
        </w:tc>
        <w:tc>
          <w:tcPr>
            <w:tcW w:w="985" w:type="dxa"/>
            <w:tcBorders>
              <w:bottom w:val="single" w:color="000000" w:sz="12" w:space="0"/>
              <w:right w:val="single" w:color="000000" w:sz="12" w:space="0"/>
            </w:tcBorders>
            <w:vAlign w:val="top"/>
          </w:tcPr>
          <w:p w14:paraId="473A85B5">
            <w:pPr>
              <w:spacing w:line="359" w:lineRule="auto"/>
              <w:rPr>
                <w:rFonts w:ascii="Arial"/>
                <w:sz w:val="21"/>
              </w:rPr>
            </w:pPr>
          </w:p>
          <w:p w14:paraId="1CF7B1EB">
            <w:pPr>
              <w:spacing w:line="360" w:lineRule="auto"/>
              <w:rPr>
                <w:rFonts w:ascii="Arial"/>
                <w:sz w:val="21"/>
              </w:rPr>
            </w:pPr>
          </w:p>
          <w:p w14:paraId="40636B75">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bl>
    <w:p w14:paraId="67A8AD38">
      <w:pPr>
        <w:rPr>
          <w:rFonts w:ascii="Arial"/>
          <w:sz w:val="21"/>
        </w:rPr>
      </w:pPr>
    </w:p>
    <w:p w14:paraId="64342996">
      <w:pPr>
        <w:rPr>
          <w:rFonts w:ascii="Arial" w:hAnsi="Arial" w:eastAsia="Arial" w:cs="Arial"/>
          <w:sz w:val="21"/>
          <w:szCs w:val="21"/>
        </w:rPr>
        <w:sectPr>
          <w:footerReference r:id="rId57" w:type="default"/>
          <w:pgSz w:w="11907" w:h="16839"/>
          <w:pgMar w:top="1376" w:right="1633" w:bottom="1061" w:left="1671" w:header="999" w:footer="861" w:gutter="0"/>
          <w:cols w:space="720" w:num="1"/>
        </w:sectPr>
      </w:pPr>
    </w:p>
    <w:p w14:paraId="30344577">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1"/>
        <w:gridCol w:w="2234"/>
        <w:gridCol w:w="2542"/>
        <w:gridCol w:w="2261"/>
        <w:gridCol w:w="985"/>
      </w:tblGrid>
      <w:tr w14:paraId="6FE20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451" w:type="dxa"/>
            <w:tcBorders>
              <w:top w:val="single" w:color="000000" w:sz="12" w:space="0"/>
              <w:left w:val="single" w:color="000000" w:sz="12" w:space="0"/>
            </w:tcBorders>
            <w:textDirection w:val="tbRlV"/>
            <w:vAlign w:val="top"/>
          </w:tcPr>
          <w:p w14:paraId="7615E02A">
            <w:pPr>
              <w:spacing w:before="122" w:line="208" w:lineRule="auto"/>
              <w:ind w:left="87"/>
              <w:rPr>
                <w:rFonts w:ascii="宋体" w:hAnsi="宋体" w:eastAsia="宋体" w:cs="宋体"/>
                <w:sz w:val="21"/>
                <w:szCs w:val="21"/>
              </w:rPr>
            </w:pPr>
            <w:r>
              <w:rPr>
                <w:rFonts w:ascii="宋体" w:hAnsi="宋体" w:eastAsia="宋体" w:cs="宋体"/>
                <w:spacing w:val="31"/>
                <w:sz w:val="21"/>
                <w:szCs w:val="21"/>
              </w:rPr>
              <w:t>分类</w:t>
            </w:r>
          </w:p>
        </w:tc>
        <w:tc>
          <w:tcPr>
            <w:tcW w:w="2234" w:type="dxa"/>
            <w:tcBorders>
              <w:top w:val="single" w:color="000000" w:sz="12" w:space="0"/>
            </w:tcBorders>
            <w:vAlign w:val="top"/>
          </w:tcPr>
          <w:p w14:paraId="43ACE946">
            <w:pPr>
              <w:spacing w:before="223" w:line="220" w:lineRule="auto"/>
              <w:ind w:left="690"/>
              <w:rPr>
                <w:rFonts w:ascii="宋体" w:hAnsi="宋体" w:eastAsia="宋体" w:cs="宋体"/>
                <w:sz w:val="21"/>
                <w:szCs w:val="21"/>
              </w:rPr>
            </w:pPr>
            <w:r>
              <w:rPr>
                <w:rFonts w:ascii="宋体" w:hAnsi="宋体" w:eastAsia="宋体" w:cs="宋体"/>
                <w:spacing w:val="-2"/>
                <w:sz w:val="21"/>
                <w:szCs w:val="21"/>
              </w:rPr>
              <w:t>主要内容</w:t>
            </w:r>
          </w:p>
        </w:tc>
        <w:tc>
          <w:tcPr>
            <w:tcW w:w="2542" w:type="dxa"/>
            <w:tcBorders>
              <w:top w:val="single" w:color="000000" w:sz="12" w:space="0"/>
            </w:tcBorders>
            <w:vAlign w:val="top"/>
          </w:tcPr>
          <w:p w14:paraId="1F9E25C4">
            <w:pPr>
              <w:spacing w:before="224" w:line="220" w:lineRule="auto"/>
              <w:ind w:left="851"/>
              <w:rPr>
                <w:rFonts w:ascii="宋体" w:hAnsi="宋体" w:eastAsia="宋体" w:cs="宋体"/>
                <w:sz w:val="21"/>
                <w:szCs w:val="21"/>
              </w:rPr>
            </w:pPr>
            <w:r>
              <w:rPr>
                <w:rFonts w:ascii="宋体" w:hAnsi="宋体" w:eastAsia="宋体" w:cs="宋体"/>
                <w:spacing w:val="-3"/>
                <w:sz w:val="21"/>
                <w:szCs w:val="21"/>
              </w:rPr>
              <w:t>环评要求</w:t>
            </w:r>
          </w:p>
        </w:tc>
        <w:tc>
          <w:tcPr>
            <w:tcW w:w="2261" w:type="dxa"/>
            <w:tcBorders>
              <w:top w:val="single" w:color="000000" w:sz="12" w:space="0"/>
            </w:tcBorders>
            <w:vAlign w:val="top"/>
          </w:tcPr>
          <w:p w14:paraId="637C6B07">
            <w:pPr>
              <w:spacing w:before="224" w:line="220" w:lineRule="auto"/>
              <w:ind w:left="515"/>
              <w:rPr>
                <w:rFonts w:ascii="宋体" w:hAnsi="宋体" w:eastAsia="宋体" w:cs="宋体"/>
                <w:sz w:val="21"/>
                <w:szCs w:val="21"/>
              </w:rPr>
            </w:pPr>
            <w:r>
              <w:rPr>
                <w:rFonts w:ascii="宋体" w:hAnsi="宋体" w:eastAsia="宋体" w:cs="宋体"/>
                <w:spacing w:val="-3"/>
                <w:sz w:val="21"/>
                <w:szCs w:val="21"/>
              </w:rPr>
              <w:t>实际建设情况</w:t>
            </w:r>
          </w:p>
        </w:tc>
        <w:tc>
          <w:tcPr>
            <w:tcW w:w="985" w:type="dxa"/>
            <w:tcBorders>
              <w:top w:val="single" w:color="000000" w:sz="12" w:space="0"/>
              <w:right w:val="single" w:color="000000" w:sz="12" w:space="0"/>
            </w:tcBorders>
            <w:vAlign w:val="top"/>
          </w:tcPr>
          <w:p w14:paraId="0BE27A5A">
            <w:pPr>
              <w:spacing w:before="87" w:line="220" w:lineRule="auto"/>
              <w:ind w:left="85"/>
              <w:rPr>
                <w:rFonts w:ascii="宋体" w:hAnsi="宋体" w:eastAsia="宋体" w:cs="宋体"/>
                <w:sz w:val="21"/>
                <w:szCs w:val="21"/>
              </w:rPr>
            </w:pPr>
            <w:r>
              <w:rPr>
                <w:rFonts w:ascii="宋体" w:hAnsi="宋体" w:eastAsia="宋体" w:cs="宋体"/>
                <w:spacing w:val="-3"/>
                <w:sz w:val="21"/>
                <w:szCs w:val="21"/>
              </w:rPr>
              <w:t>是否发生</w:t>
            </w:r>
          </w:p>
          <w:p w14:paraId="7FE0A56D">
            <w:pPr>
              <w:spacing w:before="22" w:line="220" w:lineRule="auto"/>
              <w:ind w:left="83"/>
              <w:rPr>
                <w:rFonts w:ascii="宋体" w:hAnsi="宋体" w:eastAsia="宋体" w:cs="宋体"/>
                <w:sz w:val="21"/>
                <w:szCs w:val="21"/>
              </w:rPr>
            </w:pPr>
            <w:r>
              <w:rPr>
                <w:rFonts w:ascii="宋体" w:hAnsi="宋体" w:eastAsia="宋体" w:cs="宋体"/>
                <w:spacing w:val="-2"/>
                <w:sz w:val="21"/>
                <w:szCs w:val="21"/>
              </w:rPr>
              <w:t>重大变动</w:t>
            </w:r>
          </w:p>
        </w:tc>
      </w:tr>
      <w:tr w14:paraId="25921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3" w:hRule="atLeast"/>
        </w:trPr>
        <w:tc>
          <w:tcPr>
            <w:tcW w:w="451" w:type="dxa"/>
            <w:vMerge w:val="restart"/>
            <w:tcBorders>
              <w:left w:val="single" w:color="000000" w:sz="12" w:space="0"/>
              <w:bottom w:val="nil"/>
            </w:tcBorders>
            <w:textDirection w:val="tbRlV"/>
            <w:vAlign w:val="top"/>
          </w:tcPr>
          <w:p w14:paraId="4DC03C17">
            <w:pPr>
              <w:spacing w:before="122" w:line="208" w:lineRule="auto"/>
              <w:ind w:left="970"/>
              <w:rPr>
                <w:rFonts w:ascii="宋体" w:hAnsi="宋体" w:eastAsia="宋体" w:cs="宋体"/>
                <w:sz w:val="21"/>
                <w:szCs w:val="21"/>
              </w:rPr>
            </w:pPr>
            <w:r>
              <w:rPr>
                <w:rFonts w:ascii="宋体" w:hAnsi="宋体" w:eastAsia="宋体" w:cs="宋体"/>
                <w:spacing w:val="46"/>
                <w:sz w:val="21"/>
                <w:szCs w:val="21"/>
              </w:rPr>
              <w:t>生产工艺</w:t>
            </w:r>
          </w:p>
        </w:tc>
        <w:tc>
          <w:tcPr>
            <w:tcW w:w="2234" w:type="dxa"/>
            <w:vAlign w:val="top"/>
          </w:tcPr>
          <w:p w14:paraId="0EABD4EC">
            <w:pPr>
              <w:spacing w:line="292" w:lineRule="auto"/>
              <w:rPr>
                <w:rFonts w:ascii="Arial"/>
                <w:sz w:val="21"/>
              </w:rPr>
            </w:pPr>
          </w:p>
          <w:p w14:paraId="4E6B2FF3">
            <w:pPr>
              <w:pStyle w:val="6"/>
              <w:spacing w:before="68" w:line="239" w:lineRule="auto"/>
              <w:ind w:left="46" w:right="59" w:firstLine="3"/>
              <w:jc w:val="both"/>
              <w:rPr>
                <w:rFonts w:ascii="宋体" w:hAnsi="宋体" w:eastAsia="宋体" w:cs="宋体"/>
              </w:rPr>
            </w:pPr>
            <w:r>
              <w:rPr>
                <w:spacing w:val="5"/>
              </w:rPr>
              <w:t>8.</w:t>
            </w:r>
            <w:r>
              <w:rPr>
                <w:rFonts w:ascii="宋体" w:hAnsi="宋体" w:eastAsia="宋体" w:cs="宋体"/>
                <w:spacing w:val="5"/>
              </w:rPr>
              <w:t>枢纽坝型变化；输水</w:t>
            </w:r>
            <w:r>
              <w:rPr>
                <w:rFonts w:ascii="宋体" w:hAnsi="宋体" w:eastAsia="宋体" w:cs="宋体"/>
                <w:spacing w:val="1"/>
              </w:rPr>
              <w:t>方式由封闭式变为明渠</w:t>
            </w:r>
            <w:r>
              <w:rPr>
                <w:rFonts w:ascii="宋体" w:hAnsi="宋体" w:eastAsia="宋体" w:cs="宋体"/>
                <w:spacing w:val="-4"/>
              </w:rPr>
              <w:t>导致环境风险增加。</w:t>
            </w:r>
          </w:p>
        </w:tc>
        <w:tc>
          <w:tcPr>
            <w:tcW w:w="2542" w:type="dxa"/>
            <w:vAlign w:val="top"/>
          </w:tcPr>
          <w:p w14:paraId="3C5B60E5">
            <w:pPr>
              <w:spacing w:before="90"/>
              <w:ind w:left="53"/>
              <w:jc w:val="both"/>
              <w:rPr>
                <w:rFonts w:ascii="宋体" w:hAnsi="宋体" w:eastAsia="宋体" w:cs="宋体"/>
                <w:sz w:val="21"/>
                <w:szCs w:val="21"/>
              </w:rPr>
            </w:pPr>
            <w:r>
              <w:rPr>
                <w:rFonts w:ascii="宋体" w:hAnsi="宋体" w:eastAsia="宋体" w:cs="宋体"/>
                <w:spacing w:val="8"/>
                <w:sz w:val="21"/>
                <w:szCs w:val="21"/>
              </w:rPr>
              <w:t>挡水建筑物为混凝土面板</w:t>
            </w:r>
            <w:r>
              <w:rPr>
                <w:rFonts w:ascii="宋体" w:hAnsi="宋体" w:eastAsia="宋体" w:cs="宋体"/>
                <w:spacing w:val="-10"/>
                <w:sz w:val="21"/>
                <w:szCs w:val="21"/>
              </w:rPr>
              <w:t>堆石坝，输水隧洞由进口明</w:t>
            </w:r>
            <w:r>
              <w:rPr>
                <w:rFonts w:ascii="宋体" w:hAnsi="宋体" w:eastAsia="宋体" w:cs="宋体"/>
                <w:spacing w:val="-20"/>
                <w:sz w:val="21"/>
                <w:szCs w:val="21"/>
              </w:rPr>
              <w:t>渠段、有压段、竖井闸室段、</w:t>
            </w:r>
            <w:r>
              <w:rPr>
                <w:rFonts w:ascii="宋体" w:hAnsi="宋体" w:eastAsia="宋体" w:cs="宋体"/>
                <w:spacing w:val="-10"/>
                <w:sz w:val="21"/>
                <w:szCs w:val="21"/>
              </w:rPr>
              <w:t>洞内消能段、无压段、出口</w:t>
            </w:r>
            <w:r>
              <w:rPr>
                <w:rFonts w:ascii="宋体" w:hAnsi="宋体" w:eastAsia="宋体" w:cs="宋体"/>
                <w:spacing w:val="-4"/>
                <w:sz w:val="21"/>
                <w:szCs w:val="21"/>
              </w:rPr>
              <w:t>明渠段组成。</w:t>
            </w:r>
          </w:p>
        </w:tc>
        <w:tc>
          <w:tcPr>
            <w:tcW w:w="2261" w:type="dxa"/>
            <w:vAlign w:val="top"/>
          </w:tcPr>
          <w:p w14:paraId="72C699AE">
            <w:pPr>
              <w:spacing w:line="291" w:lineRule="auto"/>
              <w:rPr>
                <w:rFonts w:ascii="Arial"/>
                <w:sz w:val="21"/>
              </w:rPr>
            </w:pPr>
          </w:p>
          <w:p w14:paraId="6913404A">
            <w:pPr>
              <w:spacing w:before="68" w:line="241" w:lineRule="auto"/>
              <w:ind w:left="62" w:right="41"/>
              <w:jc w:val="both"/>
              <w:rPr>
                <w:rFonts w:ascii="宋体" w:hAnsi="宋体" w:eastAsia="宋体" w:cs="宋体"/>
                <w:sz w:val="21"/>
                <w:szCs w:val="21"/>
              </w:rPr>
            </w:pPr>
            <w:r>
              <w:rPr>
                <w:rFonts w:ascii="宋体" w:hAnsi="宋体" w:eastAsia="宋体" w:cs="宋体"/>
                <w:spacing w:val="4"/>
                <w:sz w:val="21"/>
                <w:szCs w:val="21"/>
              </w:rPr>
              <w:t>坝型与环评阶段要求一</w:t>
            </w:r>
            <w:r>
              <w:rPr>
                <w:rFonts w:ascii="宋体" w:hAnsi="宋体" w:eastAsia="宋体" w:cs="宋体"/>
                <w:spacing w:val="-15"/>
                <w:sz w:val="21"/>
                <w:szCs w:val="21"/>
              </w:rPr>
              <w:t>致，输水方式未变化，未</w:t>
            </w:r>
            <w:r>
              <w:rPr>
                <w:rFonts w:ascii="宋体" w:hAnsi="宋体" w:eastAsia="宋体" w:cs="宋体"/>
                <w:spacing w:val="-4"/>
                <w:sz w:val="21"/>
                <w:szCs w:val="21"/>
              </w:rPr>
              <w:t>导致环境风险增加。</w:t>
            </w:r>
          </w:p>
        </w:tc>
        <w:tc>
          <w:tcPr>
            <w:tcW w:w="985" w:type="dxa"/>
            <w:tcBorders>
              <w:right w:val="single" w:color="000000" w:sz="12" w:space="0"/>
            </w:tcBorders>
            <w:vAlign w:val="top"/>
          </w:tcPr>
          <w:p w14:paraId="1E98350B">
            <w:pPr>
              <w:spacing w:line="281" w:lineRule="auto"/>
              <w:rPr>
                <w:rFonts w:ascii="Arial"/>
                <w:sz w:val="21"/>
              </w:rPr>
            </w:pPr>
          </w:p>
          <w:p w14:paraId="5A20D224">
            <w:pPr>
              <w:spacing w:line="281" w:lineRule="auto"/>
              <w:rPr>
                <w:rFonts w:ascii="Arial"/>
                <w:sz w:val="21"/>
              </w:rPr>
            </w:pPr>
          </w:p>
          <w:p w14:paraId="21827FD1">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r w14:paraId="07C24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3" w:hRule="atLeast"/>
        </w:trPr>
        <w:tc>
          <w:tcPr>
            <w:tcW w:w="451" w:type="dxa"/>
            <w:vMerge w:val="continue"/>
            <w:tcBorders>
              <w:top w:val="nil"/>
              <w:left w:val="single" w:color="000000" w:sz="12" w:space="0"/>
            </w:tcBorders>
            <w:textDirection w:val="tbRlV"/>
            <w:vAlign w:val="top"/>
          </w:tcPr>
          <w:p w14:paraId="3A725684">
            <w:pPr>
              <w:rPr>
                <w:rFonts w:ascii="Arial"/>
                <w:sz w:val="21"/>
              </w:rPr>
            </w:pPr>
          </w:p>
        </w:tc>
        <w:tc>
          <w:tcPr>
            <w:tcW w:w="2234" w:type="dxa"/>
            <w:vAlign w:val="top"/>
          </w:tcPr>
          <w:p w14:paraId="1A8D8BE1">
            <w:pPr>
              <w:pStyle w:val="6"/>
              <w:spacing w:before="98"/>
              <w:ind w:left="45" w:right="59" w:firstLine="1"/>
              <w:jc w:val="both"/>
              <w:rPr>
                <w:rFonts w:ascii="宋体" w:hAnsi="宋体" w:eastAsia="宋体" w:cs="宋体"/>
              </w:rPr>
            </w:pPr>
            <w:r>
              <w:rPr>
                <w:spacing w:val="6"/>
              </w:rPr>
              <w:t>9.</w:t>
            </w:r>
            <w:r>
              <w:rPr>
                <w:rFonts w:ascii="宋体" w:hAnsi="宋体" w:eastAsia="宋体" w:cs="宋体"/>
                <w:spacing w:val="6"/>
              </w:rPr>
              <w:t>施工方案发生变化直</w:t>
            </w:r>
            <w:r>
              <w:rPr>
                <w:rFonts w:ascii="宋体" w:hAnsi="宋体" w:eastAsia="宋体" w:cs="宋体"/>
                <w:spacing w:val="1"/>
              </w:rPr>
              <w:t>接涉及自然保护区、风景名胜区、集中饮用水水源保护区等环境敏感</w:t>
            </w:r>
            <w:r>
              <w:rPr>
                <w:rFonts w:ascii="宋体" w:hAnsi="宋体" w:eastAsia="宋体" w:cs="宋体"/>
                <w:spacing w:val="-10"/>
              </w:rPr>
              <w:t>区。</w:t>
            </w:r>
          </w:p>
        </w:tc>
        <w:tc>
          <w:tcPr>
            <w:tcW w:w="2542" w:type="dxa"/>
            <w:vAlign w:val="top"/>
          </w:tcPr>
          <w:p w14:paraId="3164685A">
            <w:pPr>
              <w:spacing w:before="231" w:line="242" w:lineRule="auto"/>
              <w:ind w:left="54" w:right="48" w:firstLine="1"/>
              <w:jc w:val="both"/>
              <w:rPr>
                <w:rFonts w:ascii="宋体" w:hAnsi="宋体" w:eastAsia="宋体" w:cs="宋体"/>
                <w:sz w:val="21"/>
                <w:szCs w:val="21"/>
              </w:rPr>
            </w:pPr>
            <w:r>
              <w:rPr>
                <w:rFonts w:ascii="宋体" w:hAnsi="宋体" w:eastAsia="宋体" w:cs="宋体"/>
                <w:spacing w:val="-8"/>
                <w:sz w:val="21"/>
                <w:szCs w:val="21"/>
              </w:rPr>
              <w:t>工程不涉及自然保护区、世界自然和文化遗产地、风景名胜区、森林公园等环境敏</w:t>
            </w:r>
            <w:r>
              <w:rPr>
                <w:rFonts w:ascii="宋体" w:hAnsi="宋体" w:eastAsia="宋体" w:cs="宋体"/>
                <w:spacing w:val="-9"/>
                <w:sz w:val="21"/>
                <w:szCs w:val="21"/>
              </w:rPr>
              <w:t>感区。</w:t>
            </w:r>
          </w:p>
        </w:tc>
        <w:tc>
          <w:tcPr>
            <w:tcW w:w="2261" w:type="dxa"/>
            <w:vAlign w:val="top"/>
          </w:tcPr>
          <w:p w14:paraId="65DC4EED">
            <w:pPr>
              <w:spacing w:line="284" w:lineRule="auto"/>
              <w:rPr>
                <w:rFonts w:ascii="Arial"/>
                <w:sz w:val="21"/>
              </w:rPr>
            </w:pPr>
          </w:p>
          <w:p w14:paraId="66D24EC5">
            <w:pPr>
              <w:spacing w:line="285" w:lineRule="auto"/>
              <w:rPr>
                <w:rFonts w:ascii="Arial"/>
                <w:sz w:val="21"/>
              </w:rPr>
            </w:pPr>
          </w:p>
          <w:p w14:paraId="66ECA9C7">
            <w:pPr>
              <w:spacing w:before="69" w:line="220" w:lineRule="auto"/>
              <w:ind w:left="198"/>
              <w:rPr>
                <w:rFonts w:ascii="宋体" w:hAnsi="宋体" w:eastAsia="宋体" w:cs="宋体"/>
                <w:sz w:val="21"/>
                <w:szCs w:val="21"/>
              </w:rPr>
            </w:pPr>
            <w:r>
              <w:rPr>
                <w:rFonts w:ascii="宋体" w:hAnsi="宋体" w:eastAsia="宋体" w:cs="宋体"/>
                <w:spacing w:val="-5"/>
                <w:sz w:val="21"/>
                <w:szCs w:val="21"/>
              </w:rPr>
              <w:t>未新增环境敏感区。</w:t>
            </w:r>
          </w:p>
        </w:tc>
        <w:tc>
          <w:tcPr>
            <w:tcW w:w="985" w:type="dxa"/>
            <w:tcBorders>
              <w:right w:val="single" w:color="000000" w:sz="12" w:space="0"/>
            </w:tcBorders>
            <w:vAlign w:val="top"/>
          </w:tcPr>
          <w:p w14:paraId="0546204C">
            <w:pPr>
              <w:spacing w:line="285" w:lineRule="auto"/>
              <w:rPr>
                <w:rFonts w:ascii="Arial"/>
                <w:sz w:val="21"/>
              </w:rPr>
            </w:pPr>
          </w:p>
          <w:p w14:paraId="70EBFE01">
            <w:pPr>
              <w:spacing w:line="285" w:lineRule="auto"/>
              <w:rPr>
                <w:rFonts w:ascii="Arial"/>
                <w:sz w:val="21"/>
              </w:rPr>
            </w:pPr>
          </w:p>
          <w:p w14:paraId="6E51277C">
            <w:pPr>
              <w:spacing w:before="68" w:line="220" w:lineRule="auto"/>
              <w:ind w:left="403"/>
              <w:rPr>
                <w:rFonts w:ascii="宋体" w:hAnsi="宋体" w:eastAsia="宋体" w:cs="宋体"/>
                <w:sz w:val="21"/>
                <w:szCs w:val="21"/>
              </w:rPr>
            </w:pPr>
            <w:r>
              <w:rPr>
                <w:rFonts w:ascii="宋体" w:hAnsi="宋体" w:eastAsia="宋体" w:cs="宋体"/>
                <w:sz w:val="21"/>
                <w:szCs w:val="21"/>
              </w:rPr>
              <w:t>否</w:t>
            </w:r>
          </w:p>
        </w:tc>
      </w:tr>
      <w:tr w14:paraId="74973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7" w:hRule="atLeast"/>
        </w:trPr>
        <w:tc>
          <w:tcPr>
            <w:tcW w:w="451" w:type="dxa"/>
            <w:tcBorders>
              <w:left w:val="single" w:color="000000" w:sz="12" w:space="0"/>
              <w:bottom w:val="single" w:color="000000" w:sz="12" w:space="0"/>
            </w:tcBorders>
            <w:textDirection w:val="tbRlV"/>
            <w:vAlign w:val="top"/>
          </w:tcPr>
          <w:p w14:paraId="30CEEEFC">
            <w:pPr>
              <w:spacing w:before="122" w:line="209" w:lineRule="auto"/>
              <w:ind w:left="512"/>
              <w:rPr>
                <w:rFonts w:ascii="宋体" w:hAnsi="宋体" w:eastAsia="宋体" w:cs="宋体"/>
                <w:sz w:val="21"/>
                <w:szCs w:val="21"/>
              </w:rPr>
            </w:pPr>
            <w:r>
              <w:rPr>
                <w:rFonts w:ascii="宋体" w:hAnsi="宋体" w:eastAsia="宋体" w:cs="宋体"/>
                <w:spacing w:val="46"/>
                <w:sz w:val="21"/>
                <w:szCs w:val="21"/>
              </w:rPr>
              <w:t>环保措施</w:t>
            </w:r>
          </w:p>
        </w:tc>
        <w:tc>
          <w:tcPr>
            <w:tcW w:w="2234" w:type="dxa"/>
            <w:tcBorders>
              <w:bottom w:val="single" w:color="000000" w:sz="12" w:space="0"/>
            </w:tcBorders>
            <w:vAlign w:val="top"/>
          </w:tcPr>
          <w:p w14:paraId="3EA66C3A">
            <w:pPr>
              <w:spacing w:line="304" w:lineRule="auto"/>
              <w:rPr>
                <w:rFonts w:ascii="Arial"/>
                <w:sz w:val="21"/>
              </w:rPr>
            </w:pPr>
          </w:p>
          <w:p w14:paraId="4850D912">
            <w:pPr>
              <w:pStyle w:val="6"/>
              <w:spacing w:before="69" w:line="241" w:lineRule="auto"/>
              <w:ind w:left="45" w:right="57" w:firstLine="17"/>
              <w:jc w:val="both"/>
              <w:rPr>
                <w:rFonts w:ascii="宋体" w:hAnsi="宋体" w:eastAsia="宋体" w:cs="宋体"/>
              </w:rPr>
            </w:pPr>
            <w:r>
              <w:rPr>
                <w:spacing w:val="11"/>
              </w:rPr>
              <w:t>10.</w:t>
            </w:r>
            <w:r>
              <w:rPr>
                <w:spacing w:val="-16"/>
              </w:rPr>
              <w:t xml:space="preserve"> </w:t>
            </w:r>
            <w:r>
              <w:rPr>
                <w:rFonts w:ascii="宋体" w:hAnsi="宋体" w:eastAsia="宋体" w:cs="宋体"/>
                <w:spacing w:val="11"/>
              </w:rPr>
              <w:t>枢纽布置取消生态</w:t>
            </w:r>
            <w:r>
              <w:rPr>
                <w:rFonts w:ascii="宋体" w:hAnsi="宋体" w:eastAsia="宋体" w:cs="宋体"/>
                <w:spacing w:val="1"/>
              </w:rPr>
              <w:t>流量下泄保障设施、过</w:t>
            </w:r>
            <w:r>
              <w:rPr>
                <w:rFonts w:ascii="宋体" w:hAnsi="宋体" w:eastAsia="宋体" w:cs="宋体"/>
                <w:spacing w:val="2"/>
              </w:rPr>
              <w:t>鱼措施、分层取水水温</w:t>
            </w:r>
            <w:r>
              <w:rPr>
                <w:rFonts w:ascii="宋体" w:hAnsi="宋体" w:eastAsia="宋体" w:cs="宋体"/>
                <w:spacing w:val="1"/>
              </w:rPr>
              <w:t>减缓措施等主要环保措</w:t>
            </w:r>
            <w:r>
              <w:rPr>
                <w:rFonts w:ascii="宋体" w:hAnsi="宋体" w:eastAsia="宋体" w:cs="宋体"/>
                <w:spacing w:val="-10"/>
              </w:rPr>
              <w:t>施。</w:t>
            </w:r>
          </w:p>
        </w:tc>
        <w:tc>
          <w:tcPr>
            <w:tcW w:w="2542" w:type="dxa"/>
            <w:tcBorders>
              <w:bottom w:val="single" w:color="000000" w:sz="12" w:space="0"/>
            </w:tcBorders>
            <w:vAlign w:val="top"/>
          </w:tcPr>
          <w:p w14:paraId="5E1D5684">
            <w:pPr>
              <w:spacing w:before="106"/>
              <w:ind w:left="51" w:right="49" w:firstLine="1"/>
              <w:jc w:val="both"/>
              <w:rPr>
                <w:rFonts w:ascii="宋体" w:hAnsi="宋体" w:eastAsia="宋体" w:cs="宋体"/>
                <w:sz w:val="21"/>
                <w:szCs w:val="21"/>
              </w:rPr>
            </w:pPr>
            <w:r>
              <w:rPr>
                <w:rFonts w:ascii="宋体" w:hAnsi="宋体" w:eastAsia="宋体" w:cs="宋体"/>
                <w:spacing w:val="10"/>
                <w:sz w:val="21"/>
                <w:szCs w:val="21"/>
              </w:rPr>
              <w:t>通过浮筒式取水口分层取</w:t>
            </w:r>
            <w:r>
              <w:rPr>
                <w:rFonts w:ascii="宋体" w:hAnsi="宋体" w:eastAsia="宋体" w:cs="宋体"/>
                <w:spacing w:val="-8"/>
                <w:sz w:val="21"/>
                <w:szCs w:val="21"/>
              </w:rPr>
              <w:t>水减缓低温水影响，建设生态流量管下泄生态流量，大</w:t>
            </w:r>
            <w:r>
              <w:rPr>
                <w:rFonts w:ascii="宋体" w:hAnsi="宋体" w:eastAsia="宋体" w:cs="宋体"/>
                <w:spacing w:val="10"/>
                <w:sz w:val="21"/>
                <w:szCs w:val="21"/>
              </w:rPr>
              <w:t>坝左岸设置鱼道和鱼类增</w:t>
            </w:r>
            <w:r>
              <w:rPr>
                <w:rFonts w:ascii="宋体" w:hAnsi="宋体" w:eastAsia="宋体" w:cs="宋体"/>
                <w:spacing w:val="-8"/>
                <w:sz w:val="21"/>
                <w:szCs w:val="21"/>
              </w:rPr>
              <w:t>殖站，划分鱼类栖息地、设</w:t>
            </w:r>
            <w:r>
              <w:rPr>
                <w:rFonts w:ascii="宋体" w:hAnsi="宋体" w:eastAsia="宋体" w:cs="宋体"/>
                <w:spacing w:val="11"/>
                <w:sz w:val="21"/>
                <w:szCs w:val="21"/>
              </w:rPr>
              <w:t>置拦鱼栅等主要环境保护</w:t>
            </w:r>
            <w:r>
              <w:rPr>
                <w:rFonts w:ascii="宋体" w:hAnsi="宋体" w:eastAsia="宋体" w:cs="宋体"/>
                <w:spacing w:val="-9"/>
                <w:sz w:val="21"/>
                <w:szCs w:val="21"/>
              </w:rPr>
              <w:t>措施。</w:t>
            </w:r>
          </w:p>
        </w:tc>
        <w:tc>
          <w:tcPr>
            <w:tcW w:w="2261" w:type="dxa"/>
            <w:tcBorders>
              <w:bottom w:val="single" w:color="000000" w:sz="12" w:space="0"/>
            </w:tcBorders>
            <w:vAlign w:val="top"/>
          </w:tcPr>
          <w:p w14:paraId="0846F8D9">
            <w:pPr>
              <w:spacing w:line="308" w:lineRule="auto"/>
              <w:rPr>
                <w:rFonts w:ascii="Arial"/>
                <w:sz w:val="21"/>
              </w:rPr>
            </w:pPr>
          </w:p>
          <w:p w14:paraId="40F4E481">
            <w:pPr>
              <w:spacing w:before="69"/>
              <w:ind w:left="63" w:right="41" w:firstLine="1"/>
              <w:jc w:val="both"/>
              <w:rPr>
                <w:rFonts w:ascii="宋体" w:hAnsi="宋体" w:eastAsia="宋体" w:cs="宋体"/>
                <w:sz w:val="21"/>
                <w:szCs w:val="21"/>
              </w:rPr>
            </w:pPr>
            <w:r>
              <w:rPr>
                <w:rFonts w:ascii="宋体" w:hAnsi="宋体" w:eastAsia="宋体" w:cs="宋体"/>
                <w:spacing w:val="4"/>
                <w:sz w:val="21"/>
                <w:szCs w:val="21"/>
              </w:rPr>
              <w:t>主要环保措施与环评要求一致。仅坝前下泄流量分层取水方式由环评推荐的浮筒式调整为固</w:t>
            </w:r>
            <w:r>
              <w:rPr>
                <w:rFonts w:ascii="宋体" w:hAnsi="宋体" w:eastAsia="宋体" w:cs="宋体"/>
                <w:spacing w:val="-5"/>
                <w:sz w:val="21"/>
                <w:szCs w:val="21"/>
              </w:rPr>
              <w:t>定分层取水方式。</w:t>
            </w:r>
          </w:p>
        </w:tc>
        <w:tc>
          <w:tcPr>
            <w:tcW w:w="985" w:type="dxa"/>
            <w:tcBorders>
              <w:bottom w:val="single" w:color="000000" w:sz="12" w:space="0"/>
              <w:right w:val="single" w:color="000000" w:sz="12" w:space="0"/>
            </w:tcBorders>
            <w:vAlign w:val="top"/>
          </w:tcPr>
          <w:p w14:paraId="217BDAA7">
            <w:pPr>
              <w:spacing w:line="282" w:lineRule="auto"/>
              <w:rPr>
                <w:rFonts w:ascii="Arial"/>
                <w:sz w:val="21"/>
              </w:rPr>
            </w:pPr>
          </w:p>
          <w:p w14:paraId="30ECE699">
            <w:pPr>
              <w:spacing w:line="283" w:lineRule="auto"/>
              <w:rPr>
                <w:rFonts w:ascii="Arial"/>
                <w:sz w:val="21"/>
              </w:rPr>
            </w:pPr>
          </w:p>
          <w:p w14:paraId="0BBBE1AB">
            <w:pPr>
              <w:spacing w:line="283" w:lineRule="auto"/>
              <w:rPr>
                <w:rFonts w:ascii="Arial"/>
                <w:sz w:val="21"/>
              </w:rPr>
            </w:pPr>
          </w:p>
          <w:p w14:paraId="64E9C0D7">
            <w:pPr>
              <w:spacing w:before="69" w:line="220" w:lineRule="auto"/>
              <w:ind w:left="403"/>
              <w:rPr>
                <w:rFonts w:ascii="宋体" w:hAnsi="宋体" w:eastAsia="宋体" w:cs="宋体"/>
                <w:sz w:val="21"/>
                <w:szCs w:val="21"/>
              </w:rPr>
            </w:pPr>
            <w:r>
              <w:rPr>
                <w:rFonts w:ascii="宋体" w:hAnsi="宋体" w:eastAsia="宋体" w:cs="宋体"/>
                <w:sz w:val="21"/>
                <w:szCs w:val="21"/>
              </w:rPr>
              <w:t>否</w:t>
            </w:r>
          </w:p>
        </w:tc>
      </w:tr>
    </w:tbl>
    <w:p w14:paraId="547994A8">
      <w:pPr>
        <w:spacing w:line="252" w:lineRule="auto"/>
        <w:rPr>
          <w:rFonts w:ascii="Arial"/>
          <w:sz w:val="21"/>
        </w:rPr>
      </w:pPr>
    </w:p>
    <w:p w14:paraId="486C8113">
      <w:pPr>
        <w:spacing w:line="252" w:lineRule="auto"/>
        <w:rPr>
          <w:rFonts w:ascii="Arial"/>
          <w:sz w:val="21"/>
        </w:rPr>
      </w:pPr>
    </w:p>
    <w:p w14:paraId="2A56516C">
      <w:pPr>
        <w:pStyle w:val="2"/>
        <w:spacing w:before="97" w:line="233" w:lineRule="auto"/>
        <w:ind w:left="34"/>
        <w:rPr>
          <w:sz w:val="30"/>
          <w:szCs w:val="30"/>
        </w:rPr>
      </w:pPr>
      <w:bookmarkStart w:id="16" w:name="bookmark16"/>
      <w:bookmarkEnd w:id="16"/>
      <w:r>
        <w:rPr>
          <w:rFonts w:ascii="Times New Roman" w:hAnsi="Times New Roman" w:eastAsia="Times New Roman" w:cs="Times New Roman"/>
          <w:b/>
          <w:bCs/>
          <w:spacing w:val="-4"/>
          <w:sz w:val="30"/>
          <w:szCs w:val="30"/>
        </w:rPr>
        <w:t>3.4</w:t>
      </w:r>
      <w:r>
        <w:rPr>
          <w:rFonts w:ascii="Times New Roman" w:hAnsi="Times New Roman" w:eastAsia="Times New Roman" w:cs="Times New Roman"/>
          <w:b/>
          <w:bCs/>
          <w:spacing w:val="27"/>
          <w:sz w:val="30"/>
          <w:szCs w:val="30"/>
        </w:rPr>
        <w:t xml:space="preserve"> </w:t>
      </w:r>
      <w:r>
        <w:rPr>
          <w:b/>
          <w:bCs/>
          <w:spacing w:val="-4"/>
          <w:sz w:val="30"/>
          <w:szCs w:val="30"/>
        </w:rPr>
        <w:t>项目验收工况</w:t>
      </w:r>
    </w:p>
    <w:p w14:paraId="7CB35B30">
      <w:pPr>
        <w:pStyle w:val="2"/>
        <w:spacing w:before="231" w:line="337" w:lineRule="auto"/>
        <w:ind w:left="38" w:right="31" w:firstLine="480"/>
        <w:jc w:val="both"/>
        <w:rPr>
          <w:sz w:val="24"/>
          <w:szCs w:val="24"/>
        </w:rPr>
      </w:pPr>
      <w:r>
        <w:rPr>
          <w:sz w:val="24"/>
          <w:szCs w:val="24"/>
        </w:rPr>
        <w:t>截至</w:t>
      </w:r>
      <w:r>
        <w:rPr>
          <w:rFonts w:ascii="Times New Roman" w:hAnsi="Times New Roman" w:eastAsia="Times New Roman" w:cs="Times New Roman"/>
          <w:sz w:val="24"/>
          <w:szCs w:val="24"/>
        </w:rPr>
        <w:t xml:space="preserve">2022 </w:t>
      </w:r>
      <w:r>
        <w:rPr>
          <w:sz w:val="24"/>
          <w:szCs w:val="24"/>
        </w:rPr>
        <w:t>年</w:t>
      </w:r>
      <w:r>
        <w:rPr>
          <w:rFonts w:ascii="Times New Roman" w:hAnsi="Times New Roman" w:eastAsia="Times New Roman" w:cs="Times New Roman"/>
          <w:sz w:val="24"/>
          <w:szCs w:val="24"/>
        </w:rPr>
        <w:t xml:space="preserve">2 </w:t>
      </w:r>
      <w:r>
        <w:rPr>
          <w:sz w:val="24"/>
          <w:szCs w:val="24"/>
        </w:rPr>
        <w:t>月，工程已制订《云南省曲靖市车马碧水库工程蓄水计划和调</w:t>
      </w:r>
      <w:r>
        <w:rPr>
          <w:spacing w:val="-4"/>
          <w:sz w:val="24"/>
          <w:szCs w:val="24"/>
        </w:rPr>
        <w:t>度方案》，已完成水库库底环境保护清理和移民安置专项验收，已与主体工程</w:t>
      </w:r>
      <w:r>
        <w:rPr>
          <w:spacing w:val="-5"/>
          <w:sz w:val="24"/>
          <w:szCs w:val="24"/>
        </w:rPr>
        <w:t>同步</w:t>
      </w:r>
      <w:r>
        <w:rPr>
          <w:spacing w:val="-1"/>
          <w:sz w:val="24"/>
          <w:szCs w:val="24"/>
        </w:rPr>
        <w:t>建设分层取水设施，鱼道工程土建和鱼类增殖站土建及设备安装已基</w:t>
      </w:r>
      <w:r>
        <w:rPr>
          <w:spacing w:val="-2"/>
          <w:sz w:val="24"/>
          <w:szCs w:val="24"/>
        </w:rPr>
        <w:t>本完成。</w:t>
      </w:r>
    </w:p>
    <w:p w14:paraId="28575A0F">
      <w:pPr>
        <w:pStyle w:val="2"/>
        <w:spacing w:before="93" w:line="226" w:lineRule="auto"/>
        <w:ind w:left="30"/>
        <w:rPr>
          <w:sz w:val="27"/>
          <w:szCs w:val="27"/>
        </w:rPr>
      </w:pPr>
      <w:r>
        <w:rPr>
          <w:rFonts w:ascii="Arial" w:hAnsi="Arial" w:eastAsia="Arial" w:cs="Arial"/>
          <w:spacing w:val="7"/>
          <w:position w:val="2"/>
          <w:sz w:val="21"/>
          <w:szCs w:val="21"/>
        </w:rPr>
        <w:t xml:space="preserve">3.4.1     </w:t>
      </w:r>
      <w:r>
        <w:rPr>
          <w:b/>
          <w:bCs/>
          <w:spacing w:val="7"/>
          <w:position w:val="-1"/>
          <w:sz w:val="27"/>
          <w:szCs w:val="27"/>
        </w:rPr>
        <w:t>水库库底环境保护清理</w:t>
      </w:r>
    </w:p>
    <w:p w14:paraId="2EA40093">
      <w:pPr>
        <w:pStyle w:val="2"/>
        <w:spacing w:before="265" w:line="337" w:lineRule="auto"/>
        <w:ind w:left="42" w:right="30" w:firstLine="472"/>
        <w:rPr>
          <w:sz w:val="24"/>
          <w:szCs w:val="24"/>
        </w:rPr>
      </w:pPr>
      <w:r>
        <w:rPr>
          <w:rFonts w:ascii="Times New Roman" w:hAnsi="Times New Roman" w:eastAsia="Times New Roman" w:cs="Times New Roman"/>
          <w:spacing w:val="-3"/>
          <w:sz w:val="24"/>
          <w:szCs w:val="24"/>
        </w:rPr>
        <w:t xml:space="preserve">2018 </w:t>
      </w:r>
      <w:r>
        <w:rPr>
          <w:spacing w:val="-3"/>
          <w:sz w:val="24"/>
          <w:szCs w:val="24"/>
        </w:rPr>
        <w:t>年</w:t>
      </w:r>
      <w:r>
        <w:rPr>
          <w:spacing w:val="-31"/>
          <w:sz w:val="24"/>
          <w:szCs w:val="24"/>
        </w:rPr>
        <w:t xml:space="preserve">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15"/>
          <w:sz w:val="24"/>
          <w:szCs w:val="24"/>
        </w:rPr>
        <w:t xml:space="preserve"> </w:t>
      </w:r>
      <w:r>
        <w:rPr>
          <w:spacing w:val="-3"/>
          <w:sz w:val="24"/>
          <w:szCs w:val="24"/>
        </w:rPr>
        <w:t>月云南省水利水电勘测设计研究院</w:t>
      </w:r>
      <w:r>
        <w:rPr>
          <w:spacing w:val="-4"/>
          <w:sz w:val="24"/>
          <w:szCs w:val="24"/>
        </w:rPr>
        <w:t>编制完成《云南省曲靖市车马碧</w:t>
      </w:r>
      <w:r>
        <w:rPr>
          <w:spacing w:val="-11"/>
          <w:sz w:val="24"/>
          <w:szCs w:val="24"/>
        </w:rPr>
        <w:t>水库工程技施设计阶段水库库底清理技术方案</w:t>
      </w:r>
      <w:r>
        <w:rPr>
          <w:spacing w:val="-12"/>
          <w:sz w:val="24"/>
          <w:szCs w:val="24"/>
        </w:rPr>
        <w:t>》，对建（构）筑物清理、林木清理、</w:t>
      </w:r>
      <w:r>
        <w:rPr>
          <w:spacing w:val="-4"/>
          <w:sz w:val="24"/>
          <w:szCs w:val="24"/>
        </w:rPr>
        <w:t>易漂浮物清理、固体废物清理、卫生清理等均提出了具体要求。水库</w:t>
      </w:r>
      <w:r>
        <w:rPr>
          <w:spacing w:val="-5"/>
          <w:sz w:val="24"/>
          <w:szCs w:val="24"/>
        </w:rPr>
        <w:t>库底清理分三</w:t>
      </w:r>
      <w:r>
        <w:rPr>
          <w:spacing w:val="-4"/>
          <w:sz w:val="24"/>
          <w:szCs w:val="24"/>
        </w:rPr>
        <w:t>期实施：一期清理于</w:t>
      </w:r>
      <w:r>
        <w:rPr>
          <w:spacing w:val="-55"/>
          <w:sz w:val="24"/>
          <w:szCs w:val="24"/>
        </w:rPr>
        <w:t xml:space="preserve"> </w:t>
      </w:r>
      <w:r>
        <w:rPr>
          <w:rFonts w:ascii="Times New Roman" w:hAnsi="Times New Roman" w:eastAsia="Times New Roman" w:cs="Times New Roman"/>
          <w:spacing w:val="-4"/>
          <w:sz w:val="24"/>
          <w:szCs w:val="24"/>
        </w:rPr>
        <w:t xml:space="preserve">2018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6"/>
          <w:sz w:val="24"/>
          <w:szCs w:val="24"/>
        </w:rPr>
        <w:t xml:space="preserve"> </w:t>
      </w:r>
      <w:r>
        <w:rPr>
          <w:spacing w:val="-4"/>
          <w:sz w:val="24"/>
          <w:szCs w:val="24"/>
        </w:rPr>
        <w:t>月</w:t>
      </w:r>
      <w:r>
        <w:rPr>
          <w:spacing w:val="-32"/>
          <w:sz w:val="24"/>
          <w:szCs w:val="24"/>
        </w:rPr>
        <w:t xml:space="preserve"> </w:t>
      </w:r>
      <w:r>
        <w:rPr>
          <w:rFonts w:ascii="Times New Roman" w:hAnsi="Times New Roman" w:eastAsia="Times New Roman" w:cs="Times New Roman"/>
          <w:spacing w:val="-4"/>
          <w:sz w:val="24"/>
          <w:szCs w:val="24"/>
        </w:rPr>
        <w:t xml:space="preserve">10  </w:t>
      </w:r>
      <w:r>
        <w:rPr>
          <w:spacing w:val="-4"/>
          <w:sz w:val="24"/>
          <w:szCs w:val="24"/>
        </w:rPr>
        <w:t>日前完成，清理高程范围为截流后上</w:t>
      </w:r>
      <w:r>
        <w:rPr>
          <w:spacing w:val="-5"/>
          <w:sz w:val="24"/>
          <w:szCs w:val="24"/>
        </w:rPr>
        <w:t>游围堰</w:t>
      </w:r>
      <w:r>
        <w:rPr>
          <w:spacing w:val="-3"/>
          <w:sz w:val="24"/>
          <w:szCs w:val="24"/>
        </w:rPr>
        <w:t xml:space="preserve">最高拦洪水位 </w:t>
      </w:r>
      <w:r>
        <w:rPr>
          <w:rFonts w:ascii="Times New Roman" w:hAnsi="Times New Roman" w:eastAsia="Times New Roman" w:cs="Times New Roman"/>
          <w:spacing w:val="-3"/>
          <w:sz w:val="24"/>
          <w:szCs w:val="24"/>
        </w:rPr>
        <w:t>1902.48m</w:t>
      </w:r>
      <w:r>
        <w:rPr>
          <w:rFonts w:ascii="Times New Roman" w:hAnsi="Times New Roman" w:eastAsia="Times New Roman" w:cs="Times New Roman"/>
          <w:spacing w:val="52"/>
          <w:sz w:val="24"/>
          <w:szCs w:val="24"/>
        </w:rPr>
        <w:t xml:space="preserve"> </w:t>
      </w:r>
      <w:r>
        <w:rPr>
          <w:spacing w:val="-3"/>
          <w:sz w:val="24"/>
          <w:szCs w:val="24"/>
        </w:rPr>
        <w:t>以下；二期清理于</w:t>
      </w:r>
      <w:r>
        <w:rPr>
          <w:spacing w:val="-38"/>
          <w:sz w:val="24"/>
          <w:szCs w:val="24"/>
        </w:rPr>
        <w:t xml:space="preserve"> </w:t>
      </w:r>
      <w:r>
        <w:rPr>
          <w:rFonts w:ascii="Times New Roman" w:hAnsi="Times New Roman" w:eastAsia="Times New Roman" w:cs="Times New Roman"/>
          <w:spacing w:val="-3"/>
          <w:sz w:val="24"/>
          <w:szCs w:val="24"/>
        </w:rPr>
        <w:t>201</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27"/>
          <w:sz w:val="24"/>
          <w:szCs w:val="24"/>
        </w:rPr>
        <w:t xml:space="preserve">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32"/>
          <w:w w:val="101"/>
          <w:sz w:val="24"/>
          <w:szCs w:val="24"/>
        </w:rPr>
        <w:t xml:space="preserve"> </w:t>
      </w:r>
      <w:r>
        <w:rPr>
          <w:spacing w:val="-4"/>
          <w:sz w:val="24"/>
          <w:szCs w:val="24"/>
        </w:rPr>
        <w:t>月底前完成，清理高程范围为度汛水位</w:t>
      </w:r>
      <w:r>
        <w:rPr>
          <w:spacing w:val="-18"/>
          <w:sz w:val="24"/>
          <w:szCs w:val="24"/>
        </w:rPr>
        <w:t xml:space="preserve"> </w:t>
      </w:r>
      <w:r>
        <w:rPr>
          <w:rFonts w:ascii="Times New Roman" w:hAnsi="Times New Roman" w:eastAsia="Times New Roman" w:cs="Times New Roman"/>
          <w:spacing w:val="-4"/>
          <w:sz w:val="24"/>
          <w:szCs w:val="24"/>
        </w:rPr>
        <w:t>1924.88m</w:t>
      </w:r>
      <w:r>
        <w:rPr>
          <w:spacing w:val="-4"/>
          <w:sz w:val="24"/>
          <w:szCs w:val="24"/>
        </w:rPr>
        <w:t>；三期清理于</w:t>
      </w:r>
      <w:r>
        <w:rPr>
          <w:spacing w:val="-54"/>
          <w:sz w:val="24"/>
          <w:szCs w:val="24"/>
        </w:rPr>
        <w:t xml:space="preserve"> </w:t>
      </w:r>
      <w:r>
        <w:rPr>
          <w:rFonts w:ascii="Times New Roman" w:hAnsi="Times New Roman" w:eastAsia="Times New Roman" w:cs="Times New Roman"/>
          <w:spacing w:val="-4"/>
          <w:sz w:val="24"/>
          <w:szCs w:val="24"/>
        </w:rPr>
        <w:t xml:space="preserve">2020 </w:t>
      </w:r>
      <w:r>
        <w:rPr>
          <w:spacing w:val="-4"/>
          <w:sz w:val="24"/>
          <w:szCs w:val="24"/>
        </w:rPr>
        <w:t>年</w:t>
      </w:r>
      <w:r>
        <w:rPr>
          <w:spacing w:val="-51"/>
          <w:sz w:val="24"/>
          <w:szCs w:val="24"/>
        </w:rPr>
        <w:t xml:space="preserve"> </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15"/>
          <w:w w:val="101"/>
          <w:sz w:val="24"/>
          <w:szCs w:val="24"/>
        </w:rPr>
        <w:t xml:space="preserve"> </w:t>
      </w:r>
      <w:r>
        <w:rPr>
          <w:spacing w:val="-4"/>
          <w:sz w:val="24"/>
          <w:szCs w:val="24"/>
        </w:rPr>
        <w:t>月底前完成，清理范围为一期、二期</w:t>
      </w:r>
      <w:r>
        <w:rPr>
          <w:spacing w:val="-5"/>
          <w:sz w:val="24"/>
          <w:szCs w:val="24"/>
        </w:rPr>
        <w:t>以外的剩余清理范围。</w:t>
      </w:r>
    </w:p>
    <w:p w14:paraId="19C71231">
      <w:pPr>
        <w:pStyle w:val="2"/>
        <w:spacing w:before="11" w:line="333" w:lineRule="auto"/>
        <w:ind w:left="38" w:right="30" w:firstLine="476"/>
        <w:jc w:val="both"/>
        <w:rPr>
          <w:sz w:val="24"/>
          <w:szCs w:val="24"/>
        </w:rPr>
      </w:pPr>
      <w:r>
        <w:rPr>
          <w:rFonts w:ascii="Times New Roman" w:hAnsi="Times New Roman" w:eastAsia="Times New Roman" w:cs="Times New Roman"/>
          <w:spacing w:val="-5"/>
          <w:sz w:val="24"/>
          <w:szCs w:val="24"/>
        </w:rPr>
        <w:t xml:space="preserve">2020 </w:t>
      </w:r>
      <w:r>
        <w:rPr>
          <w:spacing w:val="-5"/>
          <w:sz w:val="24"/>
          <w:szCs w:val="24"/>
        </w:rPr>
        <w:t>年</w:t>
      </w:r>
      <w:r>
        <w:rPr>
          <w:spacing w:val="-31"/>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15"/>
          <w:w w:val="101"/>
          <w:sz w:val="24"/>
          <w:szCs w:val="24"/>
        </w:rPr>
        <w:t xml:space="preserve"> </w:t>
      </w:r>
      <w:r>
        <w:rPr>
          <w:spacing w:val="-5"/>
          <w:sz w:val="24"/>
          <w:szCs w:val="24"/>
        </w:rPr>
        <w:t>月</w:t>
      </w:r>
      <w:r>
        <w:rPr>
          <w:spacing w:val="-51"/>
          <w:sz w:val="24"/>
          <w:szCs w:val="24"/>
        </w:rPr>
        <w:t xml:space="preserve"> </w:t>
      </w:r>
      <w:r>
        <w:rPr>
          <w:rFonts w:ascii="Times New Roman" w:hAnsi="Times New Roman" w:eastAsia="Times New Roman" w:cs="Times New Roman"/>
          <w:spacing w:val="-5"/>
          <w:sz w:val="24"/>
          <w:szCs w:val="24"/>
        </w:rPr>
        <w:t xml:space="preserve">7  </w:t>
      </w:r>
      <w:r>
        <w:rPr>
          <w:spacing w:val="-5"/>
          <w:sz w:val="24"/>
          <w:szCs w:val="24"/>
        </w:rPr>
        <w:t>日，马龙区人民政府委托曲靖市马龙区车马碧水库工程建设指</w:t>
      </w:r>
      <w:r>
        <w:rPr>
          <w:spacing w:val="-2"/>
          <w:sz w:val="24"/>
          <w:szCs w:val="24"/>
        </w:rPr>
        <w:t>挥部开展了库底清理专项验收工作。</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30"/>
          <w:sz w:val="24"/>
          <w:szCs w:val="24"/>
        </w:rPr>
        <w:t xml:space="preserve"> </w:t>
      </w:r>
      <w:r>
        <w:rPr>
          <w:spacing w:val="-2"/>
          <w:sz w:val="24"/>
          <w:szCs w:val="24"/>
        </w:rPr>
        <w:t>月</w:t>
      </w:r>
      <w:r>
        <w:rPr>
          <w:spacing w:val="-31"/>
          <w:sz w:val="24"/>
          <w:szCs w:val="24"/>
        </w:rPr>
        <w:t xml:space="preserve"> </w:t>
      </w:r>
      <w:r>
        <w:rPr>
          <w:rFonts w:ascii="Times New Roman" w:hAnsi="Times New Roman" w:eastAsia="Times New Roman" w:cs="Times New Roman"/>
          <w:spacing w:val="-2"/>
          <w:sz w:val="24"/>
          <w:szCs w:val="24"/>
        </w:rPr>
        <w:t xml:space="preserve">8  </w:t>
      </w:r>
      <w:r>
        <w:rPr>
          <w:spacing w:val="-2"/>
          <w:sz w:val="24"/>
          <w:szCs w:val="24"/>
        </w:rPr>
        <w:t>日，马龙区人民政</w:t>
      </w:r>
      <w:r>
        <w:rPr>
          <w:spacing w:val="-3"/>
          <w:sz w:val="24"/>
          <w:szCs w:val="24"/>
        </w:rPr>
        <w:t>府以文件《曲靖市</w:t>
      </w:r>
      <w:r>
        <w:rPr>
          <w:spacing w:val="-4"/>
          <w:sz w:val="24"/>
          <w:szCs w:val="24"/>
        </w:rPr>
        <w:t>人民政府关于车马碧水库库底清理专项验收工作情况的报告》同意通过验收</w:t>
      </w:r>
      <w:r>
        <w:rPr>
          <w:spacing w:val="-5"/>
          <w:sz w:val="24"/>
          <w:szCs w:val="24"/>
        </w:rPr>
        <w:t>。曲靖</w:t>
      </w:r>
    </w:p>
    <w:p w14:paraId="081C0094">
      <w:pPr>
        <w:spacing w:line="333" w:lineRule="auto"/>
        <w:rPr>
          <w:sz w:val="24"/>
          <w:szCs w:val="24"/>
        </w:rPr>
        <w:sectPr>
          <w:headerReference r:id="rId58" w:type="default"/>
          <w:footerReference r:id="rId59" w:type="default"/>
          <w:pgSz w:w="11907" w:h="16839"/>
          <w:pgMar w:top="1376" w:right="1669" w:bottom="1061" w:left="1671" w:header="999" w:footer="861" w:gutter="0"/>
          <w:cols w:space="720" w:num="1"/>
        </w:sectPr>
      </w:pPr>
    </w:p>
    <w:p w14:paraId="2CFB5FA6">
      <w:pPr>
        <w:spacing w:line="452" w:lineRule="auto"/>
        <w:rPr>
          <w:rFonts w:ascii="Arial"/>
          <w:sz w:val="21"/>
        </w:rPr>
      </w:pPr>
    </w:p>
    <w:p w14:paraId="48DC76BA">
      <w:pPr>
        <w:pStyle w:val="2"/>
        <w:spacing w:before="78" w:line="339" w:lineRule="auto"/>
        <w:ind w:left="39" w:right="83" w:firstLine="6"/>
        <w:jc w:val="both"/>
        <w:rPr>
          <w:sz w:val="24"/>
          <w:szCs w:val="24"/>
        </w:rPr>
      </w:pPr>
      <w:r>
        <w:rPr>
          <w:spacing w:val="2"/>
          <w:sz w:val="24"/>
          <w:szCs w:val="24"/>
        </w:rPr>
        <w:t>市马龙区疾病预防控制中心在《曲靖市马龙区疾病预防控制中心关于车马碧水库</w:t>
      </w:r>
      <w:r>
        <w:rPr>
          <w:spacing w:val="-4"/>
          <w:sz w:val="24"/>
          <w:szCs w:val="24"/>
        </w:rPr>
        <w:t>库底卫生清理验收评价意见书》中“库区卫生清理工作均符合规范要求，</w:t>
      </w:r>
      <w:r>
        <w:rPr>
          <w:spacing w:val="-5"/>
          <w:sz w:val="24"/>
          <w:szCs w:val="24"/>
        </w:rPr>
        <w:t>水库淹没</w:t>
      </w:r>
      <w:r>
        <w:rPr>
          <w:spacing w:val="-4"/>
          <w:sz w:val="24"/>
          <w:szCs w:val="24"/>
        </w:rPr>
        <w:t>线下不存在有害病菌及有害人体健康问题的污染物，符合卫生防疫要求，</w:t>
      </w:r>
      <w:r>
        <w:rPr>
          <w:spacing w:val="-5"/>
          <w:sz w:val="24"/>
          <w:szCs w:val="24"/>
        </w:rPr>
        <w:t>满足库底</w:t>
      </w:r>
      <w:r>
        <w:rPr>
          <w:spacing w:val="-1"/>
          <w:sz w:val="24"/>
          <w:szCs w:val="24"/>
        </w:rPr>
        <w:t>清理验收技术要求”。</w:t>
      </w:r>
    </w:p>
    <w:p w14:paraId="6DA2946C">
      <w:pPr>
        <w:pStyle w:val="2"/>
        <w:spacing w:line="232" w:lineRule="auto"/>
        <w:ind w:left="526"/>
        <w:rPr>
          <w:sz w:val="24"/>
          <w:szCs w:val="24"/>
        </w:rPr>
      </w:pPr>
      <w:r>
        <w:rPr>
          <w:spacing w:val="-1"/>
          <w:sz w:val="24"/>
          <w:szCs w:val="24"/>
        </w:rPr>
        <w:t>马龙区人民政府对车马碧水库库底清理工作的专项验收意见见附件</w:t>
      </w:r>
      <w:r>
        <w:rPr>
          <w:spacing w:val="-44"/>
          <w:sz w:val="24"/>
          <w:szCs w:val="24"/>
        </w:rPr>
        <w:t xml:space="preserve"> </w:t>
      </w:r>
      <w:r>
        <w:rPr>
          <w:rFonts w:ascii="Times New Roman" w:hAnsi="Times New Roman" w:eastAsia="Times New Roman" w:cs="Times New Roman"/>
          <w:spacing w:val="-2"/>
          <w:sz w:val="24"/>
          <w:szCs w:val="24"/>
        </w:rPr>
        <w:t>8</w:t>
      </w:r>
      <w:r>
        <w:rPr>
          <w:spacing w:val="-2"/>
          <w:sz w:val="24"/>
          <w:szCs w:val="24"/>
        </w:rPr>
        <w:t>。</w:t>
      </w:r>
    </w:p>
    <w:p w14:paraId="7E7FAD2F">
      <w:pPr>
        <w:pStyle w:val="2"/>
        <w:spacing w:before="137" w:line="233" w:lineRule="auto"/>
        <w:ind w:left="526"/>
        <w:rPr>
          <w:sz w:val="24"/>
          <w:szCs w:val="24"/>
        </w:rPr>
      </w:pPr>
      <w:r>
        <w:rPr>
          <w:spacing w:val="-1"/>
          <w:sz w:val="24"/>
          <w:szCs w:val="24"/>
        </w:rPr>
        <w:t>马龙区疾病预防控制中心对车马碧水库库底卫生清理验收意见见附件</w:t>
      </w:r>
      <w:r>
        <w:rPr>
          <w:spacing w:val="-45"/>
          <w:sz w:val="24"/>
          <w:szCs w:val="24"/>
        </w:rPr>
        <w:t xml:space="preserve"> </w:t>
      </w:r>
      <w:r>
        <w:rPr>
          <w:rFonts w:ascii="Times New Roman" w:hAnsi="Times New Roman" w:eastAsia="Times New Roman" w:cs="Times New Roman"/>
          <w:spacing w:val="-1"/>
          <w:sz w:val="24"/>
          <w:szCs w:val="24"/>
        </w:rPr>
        <w:t>9</w:t>
      </w:r>
      <w:r>
        <w:rPr>
          <w:spacing w:val="-1"/>
          <w:sz w:val="24"/>
          <w:szCs w:val="24"/>
        </w:rPr>
        <w:t>。</w:t>
      </w:r>
    </w:p>
    <w:p w14:paraId="7CDE46BC">
      <w:pPr>
        <w:pStyle w:val="2"/>
        <w:spacing w:before="136" w:line="233" w:lineRule="auto"/>
        <w:ind w:left="521"/>
        <w:rPr>
          <w:sz w:val="24"/>
          <w:szCs w:val="24"/>
        </w:rPr>
      </w:pPr>
      <w:r>
        <w:rPr>
          <w:spacing w:val="-2"/>
          <w:sz w:val="24"/>
          <w:szCs w:val="24"/>
        </w:rPr>
        <w:t>车马碧水库淹没范围图见附图</w:t>
      </w:r>
      <w:r>
        <w:rPr>
          <w:spacing w:val="-42"/>
          <w:sz w:val="24"/>
          <w:szCs w:val="24"/>
        </w:rPr>
        <w:t xml:space="preserve"> </w:t>
      </w:r>
      <w:r>
        <w:rPr>
          <w:rFonts w:ascii="Times New Roman" w:hAnsi="Times New Roman" w:eastAsia="Times New Roman" w:cs="Times New Roman"/>
          <w:spacing w:val="-2"/>
          <w:sz w:val="24"/>
          <w:szCs w:val="24"/>
        </w:rPr>
        <w:t>6</w:t>
      </w:r>
      <w:r>
        <w:rPr>
          <w:spacing w:val="-2"/>
          <w:sz w:val="24"/>
          <w:szCs w:val="24"/>
        </w:rPr>
        <w:t>。</w:t>
      </w:r>
    </w:p>
    <w:p w14:paraId="4E648D14">
      <w:pPr>
        <w:pStyle w:val="2"/>
        <w:spacing w:before="224" w:line="226" w:lineRule="auto"/>
        <w:ind w:left="30"/>
        <w:rPr>
          <w:sz w:val="27"/>
          <w:szCs w:val="27"/>
        </w:rPr>
      </w:pPr>
      <w:r>
        <w:rPr>
          <w:rFonts w:ascii="Arial" w:hAnsi="Arial" w:eastAsia="Arial" w:cs="Arial"/>
          <w:spacing w:val="9"/>
          <w:position w:val="2"/>
          <w:sz w:val="21"/>
          <w:szCs w:val="21"/>
        </w:rPr>
        <w:t>3.4.2</w:t>
      </w:r>
      <w:r>
        <w:rPr>
          <w:rFonts w:ascii="Arial" w:hAnsi="Arial" w:eastAsia="Arial" w:cs="Arial"/>
          <w:spacing w:val="4"/>
          <w:position w:val="2"/>
          <w:sz w:val="21"/>
          <w:szCs w:val="21"/>
        </w:rPr>
        <w:t xml:space="preserve">     </w:t>
      </w:r>
      <w:r>
        <w:rPr>
          <w:b/>
          <w:bCs/>
          <w:spacing w:val="9"/>
          <w:position w:val="-1"/>
          <w:sz w:val="27"/>
          <w:szCs w:val="27"/>
        </w:rPr>
        <w:t>建设征地与移民安置</w:t>
      </w:r>
    </w:p>
    <w:p w14:paraId="6932472F">
      <w:pPr>
        <w:pStyle w:val="2"/>
        <w:spacing w:before="266" w:line="338" w:lineRule="auto"/>
        <w:ind w:left="40" w:firstLine="474"/>
        <w:jc w:val="both"/>
        <w:rPr>
          <w:sz w:val="24"/>
          <w:szCs w:val="24"/>
        </w:rPr>
      </w:pP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4"/>
          <w:w w:val="101"/>
          <w:sz w:val="24"/>
          <w:szCs w:val="24"/>
        </w:rPr>
        <w:t xml:space="preserve"> </w:t>
      </w:r>
      <w:r>
        <w:rPr>
          <w:spacing w:val="-1"/>
          <w:sz w:val="24"/>
          <w:szCs w:val="24"/>
        </w:rPr>
        <w:t>年</w:t>
      </w:r>
      <w:r>
        <w:rPr>
          <w:spacing w:val="-42"/>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31"/>
          <w:sz w:val="24"/>
          <w:szCs w:val="24"/>
        </w:rPr>
        <w:t xml:space="preserve"> </w:t>
      </w:r>
      <w:r>
        <w:rPr>
          <w:spacing w:val="-1"/>
          <w:sz w:val="24"/>
          <w:szCs w:val="24"/>
        </w:rPr>
        <w:t>月，水利部、云南省人民政府批复了《车马碧水库工程建设征地移</w:t>
      </w:r>
      <w:r>
        <w:rPr>
          <w:spacing w:val="-8"/>
          <w:sz w:val="24"/>
          <w:szCs w:val="24"/>
        </w:rPr>
        <w:t>民安置规划大纲》（水规计〔</w:t>
      </w:r>
      <w:r>
        <w:rPr>
          <w:rFonts w:ascii="Times New Roman" w:hAnsi="Times New Roman" w:eastAsia="Times New Roman" w:cs="Times New Roman"/>
          <w:spacing w:val="-8"/>
          <w:sz w:val="24"/>
          <w:szCs w:val="24"/>
        </w:rPr>
        <w:t>2016</w:t>
      </w:r>
      <w:r>
        <w:rPr>
          <w:spacing w:val="-8"/>
          <w:sz w:val="24"/>
          <w:szCs w:val="24"/>
        </w:rPr>
        <w:t>〕</w:t>
      </w:r>
      <w:r>
        <w:rPr>
          <w:rFonts w:ascii="Times New Roman" w:hAnsi="Times New Roman" w:eastAsia="Times New Roman" w:cs="Times New Roman"/>
          <w:spacing w:val="-8"/>
          <w:sz w:val="24"/>
          <w:szCs w:val="24"/>
        </w:rPr>
        <w:t>174</w:t>
      </w:r>
      <w:r>
        <w:rPr>
          <w:rFonts w:ascii="Times New Roman" w:hAnsi="Times New Roman" w:eastAsia="Times New Roman" w:cs="Times New Roman"/>
          <w:spacing w:val="16"/>
          <w:w w:val="101"/>
          <w:sz w:val="24"/>
          <w:szCs w:val="24"/>
        </w:rPr>
        <w:t xml:space="preserve"> </w:t>
      </w:r>
      <w:r>
        <w:rPr>
          <w:spacing w:val="-8"/>
          <w:sz w:val="24"/>
          <w:szCs w:val="24"/>
        </w:rPr>
        <w:t>号</w:t>
      </w:r>
      <w:r>
        <w:rPr>
          <w:spacing w:val="-41"/>
          <w:sz w:val="24"/>
          <w:szCs w:val="24"/>
        </w:rPr>
        <w:t>）；</w:t>
      </w:r>
      <w:r>
        <w:rPr>
          <w:rFonts w:ascii="Times New Roman" w:hAnsi="Times New Roman" w:eastAsia="Times New Roman" w:cs="Times New Roman"/>
          <w:spacing w:val="-9"/>
          <w:sz w:val="24"/>
          <w:szCs w:val="24"/>
        </w:rPr>
        <w:t xml:space="preserve">2016 </w:t>
      </w:r>
      <w:r>
        <w:rPr>
          <w:spacing w:val="-9"/>
          <w:sz w:val="24"/>
          <w:szCs w:val="24"/>
        </w:rPr>
        <w:t>年</w:t>
      </w:r>
      <w:r>
        <w:rPr>
          <w:spacing w:val="-51"/>
          <w:sz w:val="24"/>
          <w:szCs w:val="24"/>
        </w:rPr>
        <w:t xml:space="preserve"> </w:t>
      </w:r>
      <w:r>
        <w:rPr>
          <w:rFonts w:ascii="Times New Roman" w:hAnsi="Times New Roman" w:eastAsia="Times New Roman" w:cs="Times New Roman"/>
          <w:spacing w:val="-9"/>
          <w:sz w:val="24"/>
          <w:szCs w:val="24"/>
        </w:rPr>
        <w:t>9</w:t>
      </w:r>
      <w:r>
        <w:rPr>
          <w:rFonts w:ascii="Times New Roman" w:hAnsi="Times New Roman" w:eastAsia="Times New Roman" w:cs="Times New Roman"/>
          <w:spacing w:val="16"/>
          <w:sz w:val="24"/>
          <w:szCs w:val="24"/>
        </w:rPr>
        <w:t xml:space="preserve"> </w:t>
      </w:r>
      <w:r>
        <w:rPr>
          <w:spacing w:val="-9"/>
          <w:sz w:val="24"/>
          <w:szCs w:val="24"/>
        </w:rPr>
        <w:t>月，云南省移民开发局批复</w:t>
      </w:r>
      <w:r>
        <w:rPr>
          <w:spacing w:val="-2"/>
          <w:sz w:val="24"/>
          <w:szCs w:val="24"/>
        </w:rPr>
        <w:t>了《车马碧水库工程可研阶段建设征地移民安置规划设计报告》（云移发〔</w:t>
      </w:r>
      <w:r>
        <w:rPr>
          <w:rFonts w:ascii="Times New Roman" w:hAnsi="Times New Roman" w:eastAsia="Times New Roman" w:cs="Times New Roman"/>
          <w:spacing w:val="-2"/>
          <w:sz w:val="24"/>
          <w:szCs w:val="24"/>
        </w:rPr>
        <w:t>2016</w:t>
      </w:r>
      <w:r>
        <w:rPr>
          <w:spacing w:val="-2"/>
          <w:sz w:val="24"/>
          <w:szCs w:val="24"/>
        </w:rPr>
        <w:t>〕</w:t>
      </w:r>
      <w:r>
        <w:rPr>
          <w:spacing w:val="11"/>
          <w:sz w:val="24"/>
          <w:szCs w:val="24"/>
        </w:rPr>
        <w:t xml:space="preserve"> </w:t>
      </w:r>
      <w:r>
        <w:rPr>
          <w:rFonts w:ascii="Times New Roman" w:hAnsi="Times New Roman" w:eastAsia="Times New Roman" w:cs="Times New Roman"/>
          <w:spacing w:val="-4"/>
          <w:sz w:val="24"/>
          <w:szCs w:val="24"/>
        </w:rPr>
        <w:t>159</w:t>
      </w:r>
      <w:r>
        <w:rPr>
          <w:rFonts w:ascii="Times New Roman" w:hAnsi="Times New Roman" w:eastAsia="Times New Roman" w:cs="Times New Roman"/>
          <w:spacing w:val="15"/>
          <w:sz w:val="24"/>
          <w:szCs w:val="24"/>
        </w:rPr>
        <w:t xml:space="preserve"> </w:t>
      </w:r>
      <w:r>
        <w:rPr>
          <w:spacing w:val="-4"/>
          <w:sz w:val="24"/>
          <w:szCs w:val="24"/>
        </w:rPr>
        <w:t>号</w:t>
      </w:r>
      <w:r>
        <w:rPr>
          <w:spacing w:val="-24"/>
          <w:sz w:val="24"/>
          <w:szCs w:val="24"/>
        </w:rPr>
        <w:t>）；</w:t>
      </w:r>
      <w:r>
        <w:rPr>
          <w:rFonts w:ascii="Times New Roman" w:hAnsi="Times New Roman" w:eastAsia="Times New Roman" w:cs="Times New Roman"/>
          <w:spacing w:val="-4"/>
          <w:sz w:val="24"/>
          <w:szCs w:val="24"/>
        </w:rPr>
        <w:t xml:space="preserve">2017 </w:t>
      </w:r>
      <w:r>
        <w:rPr>
          <w:spacing w:val="-4"/>
          <w:sz w:val="24"/>
          <w:szCs w:val="24"/>
        </w:rPr>
        <w:t>年</w:t>
      </w:r>
      <w:r>
        <w:rPr>
          <w:spacing w:val="-46"/>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5"/>
          <w:w w:val="101"/>
          <w:sz w:val="24"/>
          <w:szCs w:val="24"/>
        </w:rPr>
        <w:t xml:space="preserve"> </w:t>
      </w:r>
      <w:r>
        <w:rPr>
          <w:spacing w:val="-4"/>
          <w:sz w:val="24"/>
          <w:szCs w:val="24"/>
        </w:rPr>
        <w:t>月，云南省移民开发局对《车马碧水库工程初步设计建设征地</w:t>
      </w:r>
      <w:r>
        <w:rPr>
          <w:spacing w:val="-6"/>
          <w:sz w:val="24"/>
          <w:szCs w:val="24"/>
        </w:rPr>
        <w:t>移民安置规划报告》（云移发〔</w:t>
      </w:r>
      <w:r>
        <w:rPr>
          <w:rFonts w:ascii="Times New Roman" w:hAnsi="Times New Roman" w:eastAsia="Times New Roman" w:cs="Times New Roman"/>
          <w:spacing w:val="-6"/>
          <w:sz w:val="24"/>
          <w:szCs w:val="24"/>
        </w:rPr>
        <w:t>2017</w:t>
      </w:r>
      <w:r>
        <w:rPr>
          <w:spacing w:val="-6"/>
          <w:sz w:val="24"/>
          <w:szCs w:val="24"/>
        </w:rPr>
        <w:t>〕</w:t>
      </w:r>
      <w:r>
        <w:rPr>
          <w:rFonts w:ascii="Times New Roman" w:hAnsi="Times New Roman" w:eastAsia="Times New Roman" w:cs="Times New Roman"/>
          <w:spacing w:val="-6"/>
          <w:sz w:val="24"/>
          <w:szCs w:val="24"/>
        </w:rPr>
        <w:t>113</w:t>
      </w:r>
      <w:r>
        <w:rPr>
          <w:rFonts w:ascii="Times New Roman" w:hAnsi="Times New Roman" w:eastAsia="Times New Roman" w:cs="Times New Roman"/>
          <w:spacing w:val="16"/>
          <w:sz w:val="24"/>
          <w:szCs w:val="24"/>
        </w:rPr>
        <w:t xml:space="preserve"> </w:t>
      </w:r>
      <w:r>
        <w:rPr>
          <w:spacing w:val="-6"/>
          <w:sz w:val="24"/>
          <w:szCs w:val="24"/>
        </w:rPr>
        <w:t>号）进行</w:t>
      </w:r>
      <w:r>
        <w:rPr>
          <w:spacing w:val="-7"/>
          <w:sz w:val="24"/>
          <w:szCs w:val="24"/>
        </w:rPr>
        <w:t>了批复。</w:t>
      </w:r>
    </w:p>
    <w:p w14:paraId="03E960D2">
      <w:pPr>
        <w:pStyle w:val="2"/>
        <w:spacing w:before="7" w:line="338" w:lineRule="auto"/>
        <w:ind w:left="33" w:right="80" w:firstLine="485"/>
        <w:rPr>
          <w:sz w:val="24"/>
          <w:szCs w:val="24"/>
        </w:rPr>
      </w:pPr>
      <w:r>
        <w:rPr>
          <w:spacing w:val="-10"/>
          <w:sz w:val="24"/>
          <w:szCs w:val="24"/>
        </w:rPr>
        <w:t>根据云南省水利厅批复的《车马碧水库工程初步</w:t>
      </w:r>
      <w:r>
        <w:rPr>
          <w:spacing w:val="-11"/>
          <w:sz w:val="24"/>
          <w:szCs w:val="24"/>
        </w:rPr>
        <w:t>设计报告》（云水规计〔</w:t>
      </w:r>
      <w:r>
        <w:rPr>
          <w:rFonts w:ascii="Times New Roman" w:hAnsi="Times New Roman" w:eastAsia="Times New Roman" w:cs="Times New Roman"/>
          <w:spacing w:val="-11"/>
          <w:sz w:val="24"/>
          <w:szCs w:val="24"/>
        </w:rPr>
        <w:t>2017</w:t>
      </w:r>
      <w:r>
        <w:rPr>
          <w:spacing w:val="-11"/>
          <w:sz w:val="24"/>
          <w:szCs w:val="24"/>
        </w:rPr>
        <w:t>〕</w:t>
      </w:r>
      <w:r>
        <w:rPr>
          <w:sz w:val="24"/>
          <w:szCs w:val="24"/>
        </w:rPr>
        <w:t xml:space="preserve"> </w:t>
      </w:r>
      <w:r>
        <w:rPr>
          <w:rFonts w:ascii="Times New Roman" w:hAnsi="Times New Roman" w:eastAsia="Times New Roman" w:cs="Times New Roman"/>
          <w:spacing w:val="-4"/>
          <w:sz w:val="24"/>
          <w:szCs w:val="24"/>
        </w:rPr>
        <w:t>48</w:t>
      </w:r>
      <w:r>
        <w:rPr>
          <w:rFonts w:ascii="Times New Roman" w:hAnsi="Times New Roman" w:eastAsia="Times New Roman" w:cs="Times New Roman"/>
          <w:spacing w:val="36"/>
          <w:w w:val="101"/>
          <w:sz w:val="24"/>
          <w:szCs w:val="24"/>
        </w:rPr>
        <w:t xml:space="preserve"> </w:t>
      </w:r>
      <w:r>
        <w:rPr>
          <w:spacing w:val="-4"/>
          <w:sz w:val="24"/>
          <w:szCs w:val="24"/>
        </w:rPr>
        <w:t>号</w:t>
      </w:r>
      <w:r>
        <w:rPr>
          <w:spacing w:val="-38"/>
          <w:sz w:val="24"/>
          <w:szCs w:val="24"/>
        </w:rPr>
        <w:t>），</w:t>
      </w:r>
      <w:r>
        <w:rPr>
          <w:spacing w:val="-4"/>
          <w:sz w:val="24"/>
          <w:szCs w:val="24"/>
        </w:rPr>
        <w:t xml:space="preserve">建设征地及移民安置投资 </w:t>
      </w:r>
      <w:r>
        <w:rPr>
          <w:rFonts w:ascii="Times New Roman" w:hAnsi="Times New Roman" w:eastAsia="Times New Roman" w:cs="Times New Roman"/>
          <w:spacing w:val="-4"/>
          <w:sz w:val="24"/>
          <w:szCs w:val="24"/>
        </w:rPr>
        <w:t>8.51</w:t>
      </w:r>
      <w:r>
        <w:rPr>
          <w:rFonts w:ascii="Times New Roman" w:hAnsi="Times New Roman" w:eastAsia="Times New Roman" w:cs="Times New Roman"/>
          <w:spacing w:val="30"/>
          <w:w w:val="101"/>
          <w:sz w:val="24"/>
          <w:szCs w:val="24"/>
        </w:rPr>
        <w:t xml:space="preserve"> </w:t>
      </w:r>
      <w:r>
        <w:rPr>
          <w:spacing w:val="-4"/>
          <w:sz w:val="24"/>
          <w:szCs w:val="24"/>
        </w:rPr>
        <w:t xml:space="preserve">亿元。工程建设征地总面积 </w:t>
      </w:r>
      <w:r>
        <w:rPr>
          <w:rFonts w:ascii="Times New Roman" w:hAnsi="Times New Roman" w:eastAsia="Times New Roman" w:cs="Times New Roman"/>
          <w:spacing w:val="-4"/>
          <w:sz w:val="24"/>
          <w:szCs w:val="24"/>
        </w:rPr>
        <w:t>13819</w:t>
      </w:r>
      <w:r>
        <w:rPr>
          <w:rFonts w:ascii="Times New Roman" w:hAnsi="Times New Roman" w:eastAsia="Times New Roman" w:cs="Times New Roman"/>
          <w:spacing w:val="31"/>
          <w:sz w:val="24"/>
          <w:szCs w:val="24"/>
        </w:rPr>
        <w:t xml:space="preserve"> </w:t>
      </w:r>
      <w:r>
        <w:rPr>
          <w:spacing w:val="-4"/>
          <w:sz w:val="24"/>
          <w:szCs w:val="24"/>
        </w:rPr>
        <w:t>亩</w:t>
      </w:r>
      <w:r>
        <w:rPr>
          <w:spacing w:val="-5"/>
          <w:sz w:val="24"/>
          <w:szCs w:val="24"/>
        </w:rPr>
        <w:t>，其</w:t>
      </w:r>
      <w:r>
        <w:rPr>
          <w:spacing w:val="-1"/>
          <w:sz w:val="24"/>
          <w:szCs w:val="24"/>
        </w:rPr>
        <w:t>中永久征地面积</w:t>
      </w:r>
      <w:r>
        <w:rPr>
          <w:spacing w:val="-32"/>
          <w:sz w:val="24"/>
          <w:szCs w:val="24"/>
        </w:rPr>
        <w:t xml:space="preserve"> </w:t>
      </w:r>
      <w:r>
        <w:rPr>
          <w:rFonts w:ascii="Times New Roman" w:hAnsi="Times New Roman" w:eastAsia="Times New Roman" w:cs="Times New Roman"/>
          <w:spacing w:val="-1"/>
          <w:sz w:val="24"/>
          <w:szCs w:val="24"/>
        </w:rPr>
        <w:t xml:space="preserve">11751 </w:t>
      </w:r>
      <w:r>
        <w:rPr>
          <w:spacing w:val="-1"/>
          <w:sz w:val="24"/>
          <w:szCs w:val="24"/>
        </w:rPr>
        <w:t>亩、施工临时占地面积</w:t>
      </w:r>
      <w:r>
        <w:rPr>
          <w:spacing w:val="-55"/>
          <w:sz w:val="24"/>
          <w:szCs w:val="24"/>
        </w:rPr>
        <w:t xml:space="preserve"> </w:t>
      </w:r>
      <w:r>
        <w:rPr>
          <w:rFonts w:ascii="Times New Roman" w:hAnsi="Times New Roman" w:eastAsia="Times New Roman" w:cs="Times New Roman"/>
          <w:spacing w:val="-1"/>
          <w:sz w:val="24"/>
          <w:szCs w:val="24"/>
        </w:rPr>
        <w:t xml:space="preserve">2068 </w:t>
      </w:r>
      <w:r>
        <w:rPr>
          <w:spacing w:val="-2"/>
          <w:sz w:val="24"/>
          <w:szCs w:val="24"/>
        </w:rPr>
        <w:t>亩。马龙区境内工程建设征地</w:t>
      </w:r>
      <w:r>
        <w:rPr>
          <w:rFonts w:ascii="Times New Roman" w:hAnsi="Times New Roman" w:eastAsia="Times New Roman" w:cs="Times New Roman"/>
          <w:spacing w:val="-3"/>
          <w:sz w:val="24"/>
          <w:szCs w:val="24"/>
        </w:rPr>
        <w:t>13489</w:t>
      </w:r>
      <w:r>
        <w:rPr>
          <w:rFonts w:ascii="Times New Roman" w:hAnsi="Times New Roman" w:eastAsia="Times New Roman" w:cs="Times New Roman"/>
          <w:spacing w:val="20"/>
          <w:sz w:val="24"/>
          <w:szCs w:val="24"/>
        </w:rPr>
        <w:t xml:space="preserve"> </w:t>
      </w:r>
      <w:r>
        <w:rPr>
          <w:spacing w:val="-3"/>
          <w:sz w:val="24"/>
          <w:szCs w:val="24"/>
        </w:rPr>
        <w:t xml:space="preserve">亩，其中，永久征地 </w:t>
      </w:r>
      <w:r>
        <w:rPr>
          <w:rFonts w:ascii="Times New Roman" w:hAnsi="Times New Roman" w:eastAsia="Times New Roman" w:cs="Times New Roman"/>
          <w:spacing w:val="-3"/>
          <w:sz w:val="24"/>
          <w:szCs w:val="24"/>
        </w:rPr>
        <w:t>11715</w:t>
      </w:r>
      <w:r>
        <w:rPr>
          <w:rFonts w:ascii="Times New Roman" w:hAnsi="Times New Roman" w:eastAsia="Times New Roman" w:cs="Times New Roman"/>
          <w:spacing w:val="19"/>
          <w:w w:val="101"/>
          <w:sz w:val="24"/>
          <w:szCs w:val="24"/>
        </w:rPr>
        <w:t xml:space="preserve"> </w:t>
      </w:r>
      <w:r>
        <w:rPr>
          <w:spacing w:val="-3"/>
          <w:sz w:val="24"/>
          <w:szCs w:val="24"/>
        </w:rPr>
        <w:t xml:space="preserve">亩，工程临时占地 </w:t>
      </w:r>
      <w:r>
        <w:rPr>
          <w:rFonts w:ascii="Times New Roman" w:hAnsi="Times New Roman" w:eastAsia="Times New Roman" w:cs="Times New Roman"/>
          <w:spacing w:val="-3"/>
          <w:sz w:val="24"/>
          <w:szCs w:val="24"/>
        </w:rPr>
        <w:t>177</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20"/>
          <w:sz w:val="24"/>
          <w:szCs w:val="24"/>
        </w:rPr>
        <w:t xml:space="preserve"> </w:t>
      </w:r>
      <w:r>
        <w:rPr>
          <w:spacing w:val="-4"/>
          <w:sz w:val="24"/>
          <w:szCs w:val="24"/>
        </w:rPr>
        <w:t>亩，拆迁各类房屋面积</w:t>
      </w:r>
      <w:r>
        <w:rPr>
          <w:rFonts w:ascii="Times New Roman" w:hAnsi="Times New Roman" w:eastAsia="Times New Roman" w:cs="Times New Roman"/>
          <w:spacing w:val="-5"/>
          <w:sz w:val="24"/>
          <w:szCs w:val="24"/>
        </w:rPr>
        <w:t>17.67</w:t>
      </w:r>
      <w:r>
        <w:rPr>
          <w:rFonts w:ascii="Times New Roman" w:hAnsi="Times New Roman" w:eastAsia="Times New Roman" w:cs="Times New Roman"/>
          <w:spacing w:val="15"/>
          <w:w w:val="101"/>
          <w:sz w:val="24"/>
          <w:szCs w:val="24"/>
        </w:rPr>
        <w:t xml:space="preserve"> </w:t>
      </w:r>
      <w:r>
        <w:rPr>
          <w:spacing w:val="-5"/>
          <w:sz w:val="24"/>
          <w:szCs w:val="24"/>
        </w:rPr>
        <w:t>万平方米。工程淹没影响涉及旧</w:t>
      </w:r>
      <w:r>
        <w:rPr>
          <w:spacing w:val="-6"/>
          <w:sz w:val="24"/>
          <w:szCs w:val="24"/>
        </w:rPr>
        <w:t>县、马过河、王家庄</w:t>
      </w:r>
      <w:r>
        <w:rPr>
          <w:spacing w:val="-50"/>
          <w:sz w:val="24"/>
          <w:szCs w:val="24"/>
        </w:rPr>
        <w:t xml:space="preserve"> </w:t>
      </w:r>
      <w:r>
        <w:rPr>
          <w:rFonts w:ascii="Times New Roman" w:hAnsi="Times New Roman" w:eastAsia="Times New Roman" w:cs="Times New Roman"/>
          <w:spacing w:val="-6"/>
          <w:sz w:val="24"/>
          <w:szCs w:val="24"/>
        </w:rPr>
        <w:t xml:space="preserve">3 </w:t>
      </w:r>
      <w:r>
        <w:rPr>
          <w:spacing w:val="-6"/>
          <w:sz w:val="24"/>
          <w:szCs w:val="24"/>
        </w:rPr>
        <w:t>个乡镇（街道）、</w:t>
      </w:r>
      <w:r>
        <w:rPr>
          <w:rFonts w:ascii="Times New Roman" w:hAnsi="Times New Roman" w:eastAsia="Times New Roman" w:cs="Times New Roman"/>
          <w:spacing w:val="-6"/>
          <w:sz w:val="24"/>
          <w:szCs w:val="24"/>
        </w:rPr>
        <w:t xml:space="preserve">7 </w:t>
      </w:r>
      <w:r>
        <w:rPr>
          <w:spacing w:val="-6"/>
          <w:sz w:val="24"/>
          <w:szCs w:val="24"/>
        </w:rPr>
        <w:t>个</w:t>
      </w:r>
      <w:r>
        <w:rPr>
          <w:spacing w:val="-5"/>
          <w:sz w:val="24"/>
          <w:szCs w:val="24"/>
        </w:rPr>
        <w:t>村（居）委会</w:t>
      </w:r>
      <w:r>
        <w:rPr>
          <w:spacing w:val="-33"/>
          <w:sz w:val="24"/>
          <w:szCs w:val="24"/>
        </w:rPr>
        <w:t xml:space="preserve"> </w:t>
      </w:r>
      <w:r>
        <w:rPr>
          <w:rFonts w:ascii="Times New Roman" w:hAnsi="Times New Roman" w:eastAsia="Times New Roman" w:cs="Times New Roman"/>
          <w:spacing w:val="-5"/>
          <w:sz w:val="24"/>
          <w:szCs w:val="24"/>
        </w:rPr>
        <w:t xml:space="preserve">33 </w:t>
      </w:r>
      <w:r>
        <w:rPr>
          <w:spacing w:val="-5"/>
          <w:sz w:val="24"/>
          <w:szCs w:val="24"/>
        </w:rPr>
        <w:t>个村（居）民小组，其中，淹地淹房需搬迁安置</w:t>
      </w:r>
      <w:r>
        <w:rPr>
          <w:spacing w:val="-31"/>
          <w:sz w:val="24"/>
          <w:szCs w:val="24"/>
        </w:rPr>
        <w:t xml:space="preserve"> </w:t>
      </w:r>
      <w:r>
        <w:rPr>
          <w:rFonts w:ascii="Times New Roman" w:hAnsi="Times New Roman" w:eastAsia="Times New Roman" w:cs="Times New Roman"/>
          <w:spacing w:val="-5"/>
          <w:sz w:val="24"/>
          <w:szCs w:val="24"/>
        </w:rPr>
        <w:t xml:space="preserve">18 </w:t>
      </w:r>
      <w:r>
        <w:rPr>
          <w:spacing w:val="-5"/>
          <w:sz w:val="24"/>
          <w:szCs w:val="24"/>
        </w:rPr>
        <w:t>个村（居）民</w:t>
      </w:r>
      <w:r>
        <w:rPr>
          <w:spacing w:val="-4"/>
          <w:sz w:val="24"/>
          <w:szCs w:val="24"/>
        </w:rPr>
        <w:t>小组，涉及整村搬迁</w:t>
      </w:r>
      <w:r>
        <w:rPr>
          <w:spacing w:val="-51"/>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个村（居）民小组（旧县街道大罗贵村，马过河镇三家村、</w:t>
      </w:r>
      <w:r>
        <w:rPr>
          <w:spacing w:val="-8"/>
          <w:sz w:val="24"/>
          <w:szCs w:val="24"/>
        </w:rPr>
        <w:t>川洞村</w:t>
      </w:r>
      <w:r>
        <w:rPr>
          <w:spacing w:val="-16"/>
          <w:sz w:val="24"/>
          <w:szCs w:val="24"/>
        </w:rPr>
        <w:t>），</w:t>
      </w:r>
      <w:r>
        <w:rPr>
          <w:spacing w:val="-8"/>
          <w:sz w:val="24"/>
          <w:szCs w:val="24"/>
        </w:rPr>
        <w:t>部分搬迁</w:t>
      </w:r>
      <w:r>
        <w:rPr>
          <w:spacing w:val="-32"/>
          <w:sz w:val="24"/>
          <w:szCs w:val="24"/>
        </w:rPr>
        <w:t xml:space="preserve"> </w:t>
      </w:r>
      <w:r>
        <w:rPr>
          <w:rFonts w:ascii="Times New Roman" w:hAnsi="Times New Roman" w:eastAsia="Times New Roman" w:cs="Times New Roman"/>
          <w:spacing w:val="-8"/>
          <w:sz w:val="24"/>
          <w:szCs w:val="24"/>
        </w:rPr>
        <w:t xml:space="preserve">15 </w:t>
      </w:r>
      <w:r>
        <w:rPr>
          <w:spacing w:val="-8"/>
          <w:sz w:val="24"/>
          <w:szCs w:val="24"/>
        </w:rPr>
        <w:t>个村（居）民小组。基准年（</w:t>
      </w:r>
      <w:r>
        <w:rPr>
          <w:rFonts w:ascii="Times New Roman" w:hAnsi="Times New Roman" w:eastAsia="Times New Roman" w:cs="Times New Roman"/>
          <w:spacing w:val="-8"/>
          <w:sz w:val="24"/>
          <w:szCs w:val="24"/>
        </w:rPr>
        <w:t xml:space="preserve">2017 </w:t>
      </w:r>
      <w:r>
        <w:rPr>
          <w:spacing w:val="-8"/>
          <w:sz w:val="24"/>
          <w:szCs w:val="24"/>
        </w:rPr>
        <w:t>年）搬迁安置人口</w:t>
      </w:r>
      <w:r>
        <w:rPr>
          <w:spacing w:val="-48"/>
          <w:sz w:val="24"/>
          <w:szCs w:val="24"/>
        </w:rPr>
        <w:t xml:space="preserve"> </w:t>
      </w:r>
      <w:r>
        <w:rPr>
          <w:rFonts w:ascii="Times New Roman" w:hAnsi="Times New Roman" w:eastAsia="Times New Roman" w:cs="Times New Roman"/>
          <w:spacing w:val="-8"/>
          <w:sz w:val="24"/>
          <w:szCs w:val="24"/>
        </w:rPr>
        <w:t xml:space="preserve">511 </w:t>
      </w:r>
      <w:r>
        <w:rPr>
          <w:spacing w:val="-8"/>
          <w:sz w:val="24"/>
          <w:szCs w:val="24"/>
        </w:rPr>
        <w:t>户</w:t>
      </w:r>
      <w:r>
        <w:rPr>
          <w:rFonts w:ascii="Times New Roman" w:hAnsi="Times New Roman" w:eastAsia="Times New Roman" w:cs="Times New Roman"/>
          <w:sz w:val="24"/>
          <w:szCs w:val="24"/>
        </w:rPr>
        <w:t xml:space="preserve">2121 </w:t>
      </w:r>
      <w:r>
        <w:rPr>
          <w:sz w:val="24"/>
          <w:szCs w:val="24"/>
        </w:rPr>
        <w:t>人，至规划水平年（</w:t>
      </w:r>
      <w:r>
        <w:rPr>
          <w:rFonts w:ascii="Times New Roman" w:hAnsi="Times New Roman" w:eastAsia="Times New Roman" w:cs="Times New Roman"/>
          <w:sz w:val="24"/>
          <w:szCs w:val="24"/>
        </w:rPr>
        <w:t xml:space="preserve">2020 </w:t>
      </w:r>
      <w:r>
        <w:rPr>
          <w:sz w:val="24"/>
          <w:szCs w:val="24"/>
        </w:rPr>
        <w:t>年）搬迁安置人</w:t>
      </w:r>
      <w:r>
        <w:rPr>
          <w:spacing w:val="-1"/>
          <w:sz w:val="24"/>
          <w:szCs w:val="24"/>
        </w:rPr>
        <w:t>口</w:t>
      </w:r>
      <w:r>
        <w:rPr>
          <w:rFonts w:ascii="Times New Roman" w:hAnsi="Times New Roman" w:eastAsia="Times New Roman" w:cs="Times New Roman"/>
          <w:spacing w:val="-1"/>
          <w:sz w:val="24"/>
          <w:szCs w:val="24"/>
        </w:rPr>
        <w:t xml:space="preserve">544 </w:t>
      </w:r>
      <w:r>
        <w:rPr>
          <w:spacing w:val="-1"/>
          <w:sz w:val="24"/>
          <w:szCs w:val="24"/>
        </w:rPr>
        <w:t>户</w:t>
      </w:r>
      <w:r>
        <w:rPr>
          <w:rFonts w:ascii="Times New Roman" w:hAnsi="Times New Roman" w:eastAsia="Times New Roman" w:cs="Times New Roman"/>
          <w:spacing w:val="-1"/>
          <w:sz w:val="24"/>
          <w:szCs w:val="24"/>
        </w:rPr>
        <w:t xml:space="preserve">2193 </w:t>
      </w:r>
      <w:r>
        <w:rPr>
          <w:spacing w:val="-1"/>
          <w:sz w:val="24"/>
          <w:szCs w:val="24"/>
        </w:rPr>
        <w:t>人。安置采取以农业</w:t>
      </w:r>
      <w:r>
        <w:rPr>
          <w:spacing w:val="-2"/>
          <w:sz w:val="24"/>
          <w:szCs w:val="24"/>
        </w:rPr>
        <w:t>集中安置为主、分散安置为辅的方式，集中安置</w:t>
      </w:r>
      <w:r>
        <w:rPr>
          <w:spacing w:val="-13"/>
          <w:sz w:val="24"/>
          <w:szCs w:val="24"/>
        </w:rPr>
        <w:t xml:space="preserve"> </w:t>
      </w:r>
      <w:r>
        <w:rPr>
          <w:rFonts w:ascii="Times New Roman" w:hAnsi="Times New Roman" w:eastAsia="Times New Roman" w:cs="Times New Roman"/>
          <w:spacing w:val="-2"/>
          <w:sz w:val="24"/>
          <w:szCs w:val="24"/>
        </w:rPr>
        <w:t>521</w:t>
      </w:r>
      <w:r>
        <w:rPr>
          <w:rFonts w:ascii="Times New Roman" w:hAnsi="Times New Roman" w:eastAsia="Times New Roman" w:cs="Times New Roman"/>
          <w:spacing w:val="27"/>
          <w:sz w:val="24"/>
          <w:szCs w:val="24"/>
        </w:rPr>
        <w:t xml:space="preserve"> </w:t>
      </w:r>
      <w:r>
        <w:rPr>
          <w:spacing w:val="-2"/>
          <w:sz w:val="24"/>
          <w:szCs w:val="24"/>
        </w:rPr>
        <w:t>户</w:t>
      </w:r>
      <w:r>
        <w:rPr>
          <w:spacing w:val="-38"/>
          <w:sz w:val="24"/>
          <w:szCs w:val="24"/>
        </w:rPr>
        <w:t xml:space="preserve"> </w:t>
      </w:r>
      <w:r>
        <w:rPr>
          <w:rFonts w:ascii="Times New Roman" w:hAnsi="Times New Roman" w:eastAsia="Times New Roman" w:cs="Times New Roman"/>
          <w:spacing w:val="-2"/>
          <w:sz w:val="24"/>
          <w:szCs w:val="24"/>
        </w:rPr>
        <w:t>2075</w:t>
      </w:r>
      <w:r>
        <w:rPr>
          <w:rFonts w:ascii="Times New Roman" w:hAnsi="Times New Roman" w:eastAsia="Times New Roman" w:cs="Times New Roman"/>
          <w:spacing w:val="29"/>
          <w:sz w:val="24"/>
          <w:szCs w:val="24"/>
        </w:rPr>
        <w:t xml:space="preserve"> </w:t>
      </w:r>
      <w:r>
        <w:rPr>
          <w:spacing w:val="-2"/>
          <w:sz w:val="24"/>
          <w:szCs w:val="24"/>
        </w:rPr>
        <w:t>人，分散安置</w:t>
      </w:r>
      <w:r>
        <w:rPr>
          <w:spacing w:val="-39"/>
          <w:sz w:val="24"/>
          <w:szCs w:val="24"/>
        </w:rPr>
        <w:t xml:space="preserve"> </w:t>
      </w:r>
      <w:r>
        <w:rPr>
          <w:rFonts w:ascii="Times New Roman" w:hAnsi="Times New Roman" w:eastAsia="Times New Roman" w:cs="Times New Roman"/>
          <w:spacing w:val="-2"/>
          <w:sz w:val="24"/>
          <w:szCs w:val="24"/>
        </w:rPr>
        <w:t>23</w:t>
      </w:r>
      <w:r>
        <w:rPr>
          <w:rFonts w:ascii="Times New Roman" w:hAnsi="Times New Roman" w:eastAsia="Times New Roman" w:cs="Times New Roman"/>
          <w:spacing w:val="29"/>
          <w:sz w:val="24"/>
          <w:szCs w:val="24"/>
        </w:rPr>
        <w:t xml:space="preserve"> </w:t>
      </w:r>
      <w:r>
        <w:rPr>
          <w:spacing w:val="-2"/>
          <w:sz w:val="24"/>
          <w:szCs w:val="24"/>
        </w:rPr>
        <w:t>户</w:t>
      </w:r>
      <w:r>
        <w:rPr>
          <w:rFonts w:ascii="Times New Roman" w:hAnsi="Times New Roman" w:eastAsia="Times New Roman" w:cs="Times New Roman"/>
          <w:sz w:val="24"/>
          <w:szCs w:val="24"/>
        </w:rPr>
        <w:t xml:space="preserve">118 </w:t>
      </w:r>
      <w:r>
        <w:rPr>
          <w:sz w:val="24"/>
          <w:szCs w:val="24"/>
        </w:rPr>
        <w:t>人；共规划</w:t>
      </w:r>
      <w:r>
        <w:rPr>
          <w:spacing w:val="-41"/>
          <w:sz w:val="24"/>
          <w:szCs w:val="24"/>
        </w:rPr>
        <w:t xml:space="preserve"> </w:t>
      </w:r>
      <w:r>
        <w:rPr>
          <w:rFonts w:ascii="Times New Roman" w:hAnsi="Times New Roman" w:eastAsia="Times New Roman" w:cs="Times New Roman"/>
          <w:sz w:val="24"/>
          <w:szCs w:val="24"/>
        </w:rPr>
        <w:t xml:space="preserve">9 </w:t>
      </w:r>
      <w:r>
        <w:rPr>
          <w:sz w:val="24"/>
          <w:szCs w:val="24"/>
        </w:rPr>
        <w:t>个集中安置点和</w:t>
      </w:r>
      <w:r>
        <w:rPr>
          <w:rFonts w:ascii="Times New Roman" w:hAnsi="Times New Roman" w:eastAsia="Times New Roman" w:cs="Times New Roman"/>
          <w:sz w:val="24"/>
          <w:szCs w:val="24"/>
        </w:rPr>
        <w:t xml:space="preserve">5 </w:t>
      </w:r>
      <w:r>
        <w:rPr>
          <w:sz w:val="24"/>
          <w:szCs w:val="24"/>
        </w:rPr>
        <w:t>个分散安置点。安置点分布见附图</w:t>
      </w:r>
      <w:r>
        <w:rPr>
          <w:spacing w:val="-32"/>
          <w:sz w:val="24"/>
          <w:szCs w:val="24"/>
        </w:rPr>
        <w:t xml:space="preserve"> </w:t>
      </w:r>
      <w:r>
        <w:rPr>
          <w:rFonts w:ascii="Times New Roman" w:hAnsi="Times New Roman" w:eastAsia="Times New Roman" w:cs="Times New Roman"/>
          <w:sz w:val="24"/>
          <w:szCs w:val="24"/>
        </w:rPr>
        <w:t>12</w:t>
      </w:r>
      <w:r>
        <w:rPr>
          <w:sz w:val="24"/>
          <w:szCs w:val="24"/>
        </w:rPr>
        <w:t>。</w:t>
      </w:r>
    </w:p>
    <w:p w14:paraId="340F6BF0">
      <w:pPr>
        <w:pStyle w:val="2"/>
        <w:spacing w:before="3" w:line="332" w:lineRule="auto"/>
        <w:ind w:left="40" w:right="81" w:firstLine="485"/>
        <w:jc w:val="both"/>
        <w:rPr>
          <w:sz w:val="24"/>
          <w:szCs w:val="24"/>
        </w:rPr>
      </w:pPr>
      <w:r>
        <w:rPr>
          <w:spacing w:val="-1"/>
          <w:sz w:val="24"/>
          <w:szCs w:val="24"/>
        </w:rPr>
        <w:t xml:space="preserve">云南省曲靖市车马碧水库工程下闸蓄水阶段建设征地移民安置委员会于 </w:t>
      </w:r>
      <w:r>
        <w:rPr>
          <w:rFonts w:ascii="Times New Roman" w:hAnsi="Times New Roman" w:eastAsia="Times New Roman" w:cs="Times New Roman"/>
          <w:spacing w:val="-1"/>
          <w:sz w:val="24"/>
          <w:szCs w:val="24"/>
        </w:rPr>
        <w:t>2021</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5"/>
          <w:w w:val="101"/>
          <w:sz w:val="24"/>
          <w:szCs w:val="24"/>
        </w:rPr>
        <w:t xml:space="preserve"> </w:t>
      </w:r>
      <w:r>
        <w:rPr>
          <w:spacing w:val="-4"/>
          <w:sz w:val="24"/>
          <w:szCs w:val="24"/>
        </w:rPr>
        <w:t>月</w:t>
      </w:r>
      <w:r>
        <w:rPr>
          <w:spacing w:val="-55"/>
          <w:sz w:val="24"/>
          <w:szCs w:val="24"/>
        </w:rPr>
        <w:t xml:space="preserve">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50"/>
          <w:w w:val="101"/>
          <w:sz w:val="24"/>
          <w:szCs w:val="24"/>
        </w:rPr>
        <w:t xml:space="preserve"> </w:t>
      </w:r>
      <w:r>
        <w:rPr>
          <w:spacing w:val="-4"/>
          <w:sz w:val="24"/>
          <w:szCs w:val="24"/>
        </w:rPr>
        <w:t>日主持召开了建设征地移民安置终验会议，形成了《云南</w:t>
      </w:r>
      <w:r>
        <w:rPr>
          <w:spacing w:val="-5"/>
          <w:sz w:val="24"/>
          <w:szCs w:val="24"/>
        </w:rPr>
        <w:t>省曲靖市车马</w:t>
      </w:r>
      <w:r>
        <w:rPr>
          <w:spacing w:val="-4"/>
          <w:sz w:val="24"/>
          <w:szCs w:val="24"/>
        </w:rPr>
        <w:t>碧水库工程下闸蓄水阶段建设征地移民安置终验报告》，主要</w:t>
      </w:r>
      <w:r>
        <w:rPr>
          <w:spacing w:val="-5"/>
          <w:sz w:val="24"/>
          <w:szCs w:val="24"/>
        </w:rPr>
        <w:t>内容及结论如下：</w:t>
      </w:r>
    </w:p>
    <w:p w14:paraId="1F921967">
      <w:pPr>
        <w:pStyle w:val="2"/>
        <w:spacing w:before="23"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）验收范围</w:t>
      </w:r>
    </w:p>
    <w:p w14:paraId="1316F588">
      <w:pPr>
        <w:pStyle w:val="2"/>
        <w:spacing w:before="137" w:line="218" w:lineRule="auto"/>
        <w:ind w:right="25"/>
        <w:jc w:val="right"/>
        <w:rPr>
          <w:sz w:val="24"/>
          <w:szCs w:val="24"/>
        </w:rPr>
      </w:pPr>
      <w:r>
        <w:rPr>
          <w:spacing w:val="-3"/>
          <w:sz w:val="24"/>
          <w:szCs w:val="24"/>
        </w:rPr>
        <w:t>包括《云南省车马碧水库工程初步设计阶段建设征地移民安置规划报告》（以</w:t>
      </w:r>
    </w:p>
    <w:p w14:paraId="662D2A69">
      <w:pPr>
        <w:spacing w:line="218" w:lineRule="auto"/>
        <w:rPr>
          <w:sz w:val="24"/>
          <w:szCs w:val="24"/>
        </w:rPr>
        <w:sectPr>
          <w:headerReference r:id="rId60" w:type="default"/>
          <w:footerReference r:id="rId61" w:type="default"/>
          <w:pgSz w:w="11907" w:h="16839"/>
          <w:pgMar w:top="1376" w:right="1617" w:bottom="1061" w:left="1671" w:header="999" w:footer="861" w:gutter="0"/>
          <w:cols w:space="720" w:num="1"/>
        </w:sectPr>
      </w:pPr>
    </w:p>
    <w:p w14:paraId="3D95A9B5">
      <w:pPr>
        <w:spacing w:line="454" w:lineRule="auto"/>
        <w:rPr>
          <w:rFonts w:ascii="Arial"/>
          <w:sz w:val="21"/>
        </w:rPr>
      </w:pPr>
    </w:p>
    <w:p w14:paraId="03BF963F">
      <w:pPr>
        <w:pStyle w:val="2"/>
        <w:spacing w:before="78" w:line="339" w:lineRule="auto"/>
        <w:ind w:left="38" w:right="68" w:firstLine="8"/>
        <w:rPr>
          <w:sz w:val="24"/>
          <w:szCs w:val="24"/>
        </w:rPr>
      </w:pPr>
      <w:r>
        <w:rPr>
          <w:spacing w:val="-4"/>
          <w:sz w:val="24"/>
          <w:szCs w:val="24"/>
        </w:rPr>
        <w:t>下简称“规划报告”）确定的水库淹没影响区、枢纽工程</w:t>
      </w:r>
      <w:r>
        <w:rPr>
          <w:spacing w:val="-5"/>
          <w:sz w:val="24"/>
          <w:szCs w:val="24"/>
        </w:rPr>
        <w:t>建设区、移民安置区、专</w:t>
      </w:r>
      <w:r>
        <w:rPr>
          <w:spacing w:val="-2"/>
          <w:sz w:val="24"/>
          <w:szCs w:val="24"/>
        </w:rPr>
        <w:t>业项目改（复）建、防护工程等移民工程建设所在区域。</w:t>
      </w:r>
    </w:p>
    <w:p w14:paraId="794C79EE">
      <w:pPr>
        <w:pStyle w:val="2"/>
        <w:spacing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）移民安置实施情况</w:t>
      </w:r>
    </w:p>
    <w:p w14:paraId="2A79C87C">
      <w:pPr>
        <w:pStyle w:val="2"/>
        <w:spacing w:before="135" w:line="217" w:lineRule="auto"/>
        <w:ind w:left="518"/>
        <w:rPr>
          <w:sz w:val="24"/>
          <w:szCs w:val="24"/>
        </w:rPr>
      </w:pPr>
      <w:r>
        <w:rPr>
          <w:spacing w:val="-2"/>
          <w:sz w:val="24"/>
          <w:szCs w:val="24"/>
        </w:rPr>
        <w:t>①实物指标</w:t>
      </w:r>
    </w:p>
    <w:p w14:paraId="5E5FF68E">
      <w:pPr>
        <w:pStyle w:val="2"/>
        <w:spacing w:before="155" w:line="339" w:lineRule="auto"/>
        <w:ind w:left="38" w:right="66" w:firstLine="480"/>
        <w:jc w:val="both"/>
        <w:rPr>
          <w:sz w:val="24"/>
          <w:szCs w:val="24"/>
        </w:rPr>
      </w:pPr>
      <w:r>
        <w:rPr>
          <w:spacing w:val="-3"/>
          <w:sz w:val="24"/>
          <w:szCs w:val="24"/>
        </w:rPr>
        <w:t>根据“规划报告”，车马碧水库工程建设征地涉及</w:t>
      </w:r>
      <w:r>
        <w:rPr>
          <w:spacing w:val="-39"/>
          <w:sz w:val="24"/>
          <w:szCs w:val="24"/>
        </w:rPr>
        <w:t xml:space="preserve"> </w:t>
      </w:r>
      <w:r>
        <w:rPr>
          <w:rFonts w:ascii="Times New Roman" w:hAnsi="Times New Roman" w:eastAsia="Times New Roman" w:cs="Times New Roman"/>
          <w:spacing w:val="-3"/>
          <w:sz w:val="24"/>
          <w:szCs w:val="24"/>
        </w:rPr>
        <w:t xml:space="preserve">2 </w:t>
      </w:r>
      <w:r>
        <w:rPr>
          <w:spacing w:val="-3"/>
          <w:sz w:val="24"/>
          <w:szCs w:val="24"/>
        </w:rPr>
        <w:t>个县级行政区</w:t>
      </w:r>
      <w:r>
        <w:rPr>
          <w:rFonts w:ascii="Times New Roman" w:hAnsi="Times New Roman" w:eastAsia="Times New Roman" w:cs="Times New Roman"/>
          <w:spacing w:val="-3"/>
          <w:sz w:val="24"/>
          <w:szCs w:val="24"/>
        </w:rPr>
        <w:t xml:space="preserve">5 </w:t>
      </w:r>
      <w:r>
        <w:rPr>
          <w:spacing w:val="-3"/>
          <w:sz w:val="24"/>
          <w:szCs w:val="24"/>
        </w:rPr>
        <w:t>个乡级行</w:t>
      </w:r>
      <w:r>
        <w:rPr>
          <w:spacing w:val="-2"/>
          <w:sz w:val="24"/>
          <w:szCs w:val="24"/>
        </w:rPr>
        <w:t>政区</w:t>
      </w:r>
      <w:r>
        <w:rPr>
          <w:spacing w:val="-17"/>
          <w:sz w:val="24"/>
          <w:szCs w:val="24"/>
        </w:rPr>
        <w:t xml:space="preserve"> </w:t>
      </w:r>
      <w:r>
        <w:rPr>
          <w:rFonts w:ascii="Times New Roman" w:hAnsi="Times New Roman" w:eastAsia="Times New Roman" w:cs="Times New Roman"/>
          <w:spacing w:val="-2"/>
          <w:sz w:val="24"/>
          <w:szCs w:val="24"/>
        </w:rPr>
        <w:t>14</w:t>
      </w:r>
      <w:r>
        <w:rPr>
          <w:rFonts w:ascii="Times New Roman" w:hAnsi="Times New Roman" w:eastAsia="Times New Roman" w:cs="Times New Roman"/>
          <w:spacing w:val="18"/>
          <w:sz w:val="24"/>
          <w:szCs w:val="24"/>
        </w:rPr>
        <w:t xml:space="preserve"> </w:t>
      </w:r>
      <w:r>
        <w:rPr>
          <w:spacing w:val="-2"/>
          <w:sz w:val="24"/>
          <w:szCs w:val="24"/>
        </w:rPr>
        <w:t>个村（居）委会</w:t>
      </w:r>
      <w:r>
        <w:rPr>
          <w:spacing w:val="-48"/>
          <w:sz w:val="24"/>
          <w:szCs w:val="24"/>
        </w:rPr>
        <w:t xml:space="preserve"> </w:t>
      </w:r>
      <w:r>
        <w:rPr>
          <w:rFonts w:ascii="Times New Roman" w:hAnsi="Times New Roman" w:eastAsia="Times New Roman" w:cs="Times New Roman"/>
          <w:spacing w:val="-2"/>
          <w:sz w:val="24"/>
          <w:szCs w:val="24"/>
        </w:rPr>
        <w:t>44</w:t>
      </w:r>
      <w:r>
        <w:rPr>
          <w:rFonts w:ascii="Times New Roman" w:hAnsi="Times New Roman" w:eastAsia="Times New Roman" w:cs="Times New Roman"/>
          <w:spacing w:val="18"/>
          <w:w w:val="101"/>
          <w:sz w:val="24"/>
          <w:szCs w:val="24"/>
        </w:rPr>
        <w:t xml:space="preserve"> </w:t>
      </w:r>
      <w:r>
        <w:rPr>
          <w:spacing w:val="-2"/>
          <w:sz w:val="24"/>
          <w:szCs w:val="24"/>
        </w:rPr>
        <w:t>个村（居）民小组、</w:t>
      </w:r>
      <w:r>
        <w:rPr>
          <w:rFonts w:ascii="Times New Roman" w:hAnsi="Times New Roman" w:eastAsia="Times New Roman" w:cs="Times New Roman"/>
          <w:spacing w:val="-2"/>
          <w:sz w:val="24"/>
          <w:szCs w:val="24"/>
        </w:rPr>
        <w:t>18</w:t>
      </w:r>
      <w:r>
        <w:rPr>
          <w:rFonts w:ascii="Times New Roman" w:hAnsi="Times New Roman" w:eastAsia="Times New Roman" w:cs="Times New Roman"/>
          <w:spacing w:val="17"/>
          <w:w w:val="101"/>
          <w:sz w:val="24"/>
          <w:szCs w:val="24"/>
        </w:rPr>
        <w:t xml:space="preserve"> </w:t>
      </w:r>
      <w:r>
        <w:rPr>
          <w:spacing w:val="-2"/>
          <w:sz w:val="24"/>
          <w:szCs w:val="24"/>
        </w:rPr>
        <w:t>个农村居民点和云水机械厂的部分旧址；工程建设征地总面积</w:t>
      </w:r>
      <w:r>
        <w:rPr>
          <w:spacing w:val="-23"/>
          <w:sz w:val="24"/>
          <w:szCs w:val="24"/>
        </w:rPr>
        <w:t xml:space="preserve"> </w:t>
      </w:r>
      <w:r>
        <w:rPr>
          <w:rFonts w:ascii="Times New Roman" w:hAnsi="Times New Roman" w:eastAsia="Times New Roman" w:cs="Times New Roman"/>
          <w:spacing w:val="-2"/>
          <w:sz w:val="24"/>
          <w:szCs w:val="24"/>
        </w:rPr>
        <w:t xml:space="preserve">13819.15 </w:t>
      </w:r>
      <w:r>
        <w:rPr>
          <w:spacing w:val="-2"/>
          <w:sz w:val="24"/>
          <w:szCs w:val="24"/>
        </w:rPr>
        <w:t>亩，其中永久征地面积</w:t>
      </w:r>
      <w:r>
        <w:rPr>
          <w:spacing w:val="-32"/>
          <w:sz w:val="24"/>
          <w:szCs w:val="24"/>
        </w:rPr>
        <w:t xml:space="preserve"> </w:t>
      </w:r>
      <w:r>
        <w:rPr>
          <w:rFonts w:ascii="Times New Roman" w:hAnsi="Times New Roman" w:eastAsia="Times New Roman" w:cs="Times New Roman"/>
          <w:spacing w:val="-2"/>
          <w:sz w:val="24"/>
          <w:szCs w:val="24"/>
        </w:rPr>
        <w:t xml:space="preserve">11751.27 </w:t>
      </w:r>
      <w:r>
        <w:rPr>
          <w:spacing w:val="-2"/>
          <w:sz w:val="24"/>
          <w:szCs w:val="24"/>
        </w:rPr>
        <w:t>亩，临时占地面积</w:t>
      </w:r>
      <w:r>
        <w:rPr>
          <w:spacing w:val="-53"/>
          <w:sz w:val="24"/>
          <w:szCs w:val="24"/>
        </w:rPr>
        <w:t xml:space="preserve"> </w:t>
      </w:r>
      <w:r>
        <w:rPr>
          <w:rFonts w:ascii="Times New Roman" w:hAnsi="Times New Roman" w:eastAsia="Times New Roman" w:cs="Times New Roman"/>
          <w:spacing w:val="-2"/>
          <w:sz w:val="24"/>
          <w:szCs w:val="24"/>
        </w:rPr>
        <w:t xml:space="preserve">2067.88 </w:t>
      </w:r>
      <w:r>
        <w:rPr>
          <w:spacing w:val="-2"/>
          <w:sz w:val="24"/>
          <w:szCs w:val="24"/>
        </w:rPr>
        <w:t>亩。</w:t>
      </w:r>
    </w:p>
    <w:p w14:paraId="7E1F64D5">
      <w:pPr>
        <w:pStyle w:val="2"/>
        <w:spacing w:before="1" w:line="338" w:lineRule="auto"/>
        <w:ind w:left="58" w:right="67" w:firstLine="461"/>
        <w:jc w:val="both"/>
        <w:rPr>
          <w:sz w:val="24"/>
          <w:szCs w:val="24"/>
        </w:rPr>
      </w:pPr>
      <w:r>
        <w:rPr>
          <w:spacing w:val="3"/>
          <w:sz w:val="24"/>
          <w:szCs w:val="24"/>
        </w:rPr>
        <w:t>根据管理工作报告，车马碧水库工程完成永久征地</w:t>
      </w:r>
      <w:r>
        <w:rPr>
          <w:spacing w:val="37"/>
          <w:sz w:val="24"/>
          <w:szCs w:val="24"/>
        </w:rPr>
        <w:t xml:space="preserve"> </w:t>
      </w:r>
      <w:r>
        <w:rPr>
          <w:rFonts w:ascii="Times New Roman" w:hAnsi="Times New Roman" w:eastAsia="Times New Roman" w:cs="Times New Roman"/>
          <w:spacing w:val="3"/>
          <w:sz w:val="24"/>
          <w:szCs w:val="24"/>
        </w:rPr>
        <w:t xml:space="preserve">11218.89  </w:t>
      </w:r>
      <w:r>
        <w:rPr>
          <w:spacing w:val="3"/>
          <w:sz w:val="24"/>
          <w:szCs w:val="24"/>
        </w:rPr>
        <w:t>亩，临时占地</w:t>
      </w:r>
      <w:r>
        <w:rPr>
          <w:rFonts w:ascii="Times New Roman" w:hAnsi="Times New Roman" w:eastAsia="Times New Roman" w:cs="Times New Roman"/>
          <w:spacing w:val="-4"/>
          <w:sz w:val="24"/>
          <w:szCs w:val="24"/>
        </w:rPr>
        <w:t xml:space="preserve">1434.40 </w:t>
      </w:r>
      <w:r>
        <w:rPr>
          <w:spacing w:val="-4"/>
          <w:sz w:val="24"/>
          <w:szCs w:val="24"/>
        </w:rPr>
        <w:t>亩，完成土地补偿协议签订</w:t>
      </w:r>
      <w:r>
        <w:rPr>
          <w:spacing w:val="-55"/>
          <w:sz w:val="24"/>
          <w:szCs w:val="24"/>
        </w:rPr>
        <w:t xml:space="preserve"> </w:t>
      </w:r>
      <w:r>
        <w:rPr>
          <w:rFonts w:ascii="Times New Roman" w:hAnsi="Times New Roman" w:eastAsia="Times New Roman" w:cs="Times New Roman"/>
          <w:spacing w:val="-4"/>
          <w:sz w:val="24"/>
          <w:szCs w:val="24"/>
        </w:rPr>
        <w:t xml:space="preserve">2742 </w:t>
      </w:r>
      <w:r>
        <w:rPr>
          <w:spacing w:val="-4"/>
          <w:sz w:val="24"/>
          <w:szCs w:val="24"/>
        </w:rPr>
        <w:t>份，搬迁安置协议签订</w:t>
      </w:r>
      <w:r>
        <w:rPr>
          <w:spacing w:val="-50"/>
          <w:sz w:val="24"/>
          <w:szCs w:val="24"/>
        </w:rPr>
        <w:t xml:space="preserve"> </w:t>
      </w:r>
      <w:r>
        <w:rPr>
          <w:rFonts w:ascii="Times New Roman" w:hAnsi="Times New Roman" w:eastAsia="Times New Roman" w:cs="Times New Roman"/>
          <w:spacing w:val="-4"/>
          <w:sz w:val="24"/>
          <w:szCs w:val="24"/>
        </w:rPr>
        <w:t xml:space="preserve">922 </w:t>
      </w:r>
      <w:r>
        <w:rPr>
          <w:spacing w:val="-4"/>
          <w:sz w:val="24"/>
          <w:szCs w:val="24"/>
        </w:rPr>
        <w:t>份，按照签订</w:t>
      </w:r>
      <w:r>
        <w:rPr>
          <w:spacing w:val="-2"/>
          <w:sz w:val="24"/>
          <w:szCs w:val="24"/>
        </w:rPr>
        <w:t>的协议，基本完成土地等各类实物补偿兑付，兑付补偿补助资金</w:t>
      </w:r>
      <w:r>
        <w:rPr>
          <w:spacing w:val="-44"/>
          <w:sz w:val="24"/>
          <w:szCs w:val="24"/>
        </w:rPr>
        <w:t xml:space="preserve"> </w:t>
      </w:r>
      <w:r>
        <w:rPr>
          <w:rFonts w:ascii="Times New Roman" w:hAnsi="Times New Roman" w:eastAsia="Times New Roman" w:cs="Times New Roman"/>
          <w:spacing w:val="-2"/>
          <w:sz w:val="24"/>
          <w:szCs w:val="24"/>
        </w:rPr>
        <w:t>22002.84</w:t>
      </w:r>
      <w:r>
        <w:rPr>
          <w:rFonts w:ascii="Times New Roman" w:hAnsi="Times New Roman" w:eastAsia="Times New Roman" w:cs="Times New Roman"/>
          <w:spacing w:val="15"/>
          <w:sz w:val="24"/>
          <w:szCs w:val="24"/>
        </w:rPr>
        <w:t xml:space="preserve"> </w:t>
      </w:r>
      <w:r>
        <w:rPr>
          <w:spacing w:val="-2"/>
          <w:sz w:val="24"/>
          <w:szCs w:val="24"/>
        </w:rPr>
        <w:t>万元。</w:t>
      </w:r>
    </w:p>
    <w:p w14:paraId="26B06D32">
      <w:pPr>
        <w:pStyle w:val="2"/>
        <w:spacing w:line="217" w:lineRule="auto"/>
        <w:ind w:left="517"/>
        <w:rPr>
          <w:sz w:val="24"/>
          <w:szCs w:val="24"/>
        </w:rPr>
      </w:pPr>
      <w:r>
        <w:rPr>
          <w:spacing w:val="-1"/>
          <w:sz w:val="24"/>
          <w:szCs w:val="24"/>
        </w:rPr>
        <w:t>②农村移民安置</w:t>
      </w:r>
    </w:p>
    <w:p w14:paraId="42C96B1E">
      <w:pPr>
        <w:pStyle w:val="2"/>
        <w:spacing w:before="155" w:line="339" w:lineRule="auto"/>
        <w:ind w:left="40" w:firstLine="479"/>
        <w:rPr>
          <w:sz w:val="24"/>
          <w:szCs w:val="24"/>
        </w:rPr>
      </w:pPr>
      <w:r>
        <w:rPr>
          <w:spacing w:val="-7"/>
          <w:sz w:val="24"/>
          <w:szCs w:val="24"/>
        </w:rPr>
        <w:t>根据“规划报告”，车马碧水库基准年涉及搬迁安置人口</w:t>
      </w:r>
      <w:r>
        <w:rPr>
          <w:spacing w:val="-48"/>
          <w:sz w:val="24"/>
          <w:szCs w:val="24"/>
        </w:rPr>
        <w:t xml:space="preserve"> </w:t>
      </w:r>
      <w:r>
        <w:rPr>
          <w:rFonts w:ascii="Times New Roman" w:hAnsi="Times New Roman" w:eastAsia="Times New Roman" w:cs="Times New Roman"/>
          <w:spacing w:val="-7"/>
          <w:sz w:val="24"/>
          <w:szCs w:val="24"/>
        </w:rPr>
        <w:t xml:space="preserve">511 </w:t>
      </w:r>
      <w:r>
        <w:rPr>
          <w:spacing w:val="-7"/>
          <w:sz w:val="24"/>
          <w:szCs w:val="24"/>
        </w:rPr>
        <w:t>户</w:t>
      </w:r>
      <w:r>
        <w:rPr>
          <w:spacing w:val="-54"/>
          <w:sz w:val="24"/>
          <w:szCs w:val="24"/>
        </w:rPr>
        <w:t xml:space="preserve"> </w:t>
      </w:r>
      <w:r>
        <w:rPr>
          <w:rFonts w:ascii="Times New Roman" w:hAnsi="Times New Roman" w:eastAsia="Times New Roman" w:cs="Times New Roman"/>
          <w:spacing w:val="-8"/>
          <w:sz w:val="24"/>
          <w:szCs w:val="24"/>
        </w:rPr>
        <w:t xml:space="preserve">2121 </w:t>
      </w:r>
      <w:r>
        <w:rPr>
          <w:spacing w:val="-8"/>
          <w:sz w:val="24"/>
          <w:szCs w:val="24"/>
        </w:rPr>
        <w:t>人，规划</w:t>
      </w:r>
      <w:r>
        <w:rPr>
          <w:spacing w:val="-3"/>
          <w:sz w:val="24"/>
          <w:szCs w:val="24"/>
        </w:rPr>
        <w:t>水平年涉及搬迁安置人口</w:t>
      </w:r>
      <w:r>
        <w:rPr>
          <w:spacing w:val="-13"/>
          <w:sz w:val="24"/>
          <w:szCs w:val="24"/>
        </w:rPr>
        <w:t xml:space="preserve"> </w:t>
      </w:r>
      <w:r>
        <w:rPr>
          <w:rFonts w:ascii="Times New Roman" w:hAnsi="Times New Roman" w:eastAsia="Times New Roman" w:cs="Times New Roman"/>
          <w:spacing w:val="-3"/>
          <w:sz w:val="24"/>
          <w:szCs w:val="24"/>
        </w:rPr>
        <w:t>544</w:t>
      </w:r>
      <w:r>
        <w:rPr>
          <w:rFonts w:ascii="Times New Roman" w:hAnsi="Times New Roman" w:eastAsia="Times New Roman" w:cs="Times New Roman"/>
          <w:spacing w:val="37"/>
          <w:w w:val="101"/>
          <w:sz w:val="24"/>
          <w:szCs w:val="24"/>
        </w:rPr>
        <w:t xml:space="preserve"> </w:t>
      </w:r>
      <w:r>
        <w:rPr>
          <w:spacing w:val="-3"/>
          <w:sz w:val="24"/>
          <w:szCs w:val="24"/>
        </w:rPr>
        <w:t>户</w:t>
      </w:r>
      <w:r>
        <w:rPr>
          <w:spacing w:val="-29"/>
          <w:sz w:val="24"/>
          <w:szCs w:val="24"/>
        </w:rPr>
        <w:t xml:space="preserve"> </w:t>
      </w:r>
      <w:r>
        <w:rPr>
          <w:rFonts w:ascii="Times New Roman" w:hAnsi="Times New Roman" w:eastAsia="Times New Roman" w:cs="Times New Roman"/>
          <w:spacing w:val="-3"/>
          <w:sz w:val="24"/>
          <w:szCs w:val="24"/>
        </w:rPr>
        <w:t>2193</w:t>
      </w:r>
      <w:r>
        <w:rPr>
          <w:rFonts w:ascii="Times New Roman" w:hAnsi="Times New Roman" w:eastAsia="Times New Roman" w:cs="Times New Roman"/>
          <w:spacing w:val="38"/>
          <w:sz w:val="24"/>
          <w:szCs w:val="24"/>
        </w:rPr>
        <w:t xml:space="preserve"> </w:t>
      </w:r>
      <w:r>
        <w:rPr>
          <w:spacing w:val="-3"/>
          <w:sz w:val="24"/>
          <w:szCs w:val="24"/>
        </w:rPr>
        <w:t>人，规划采取本村就近后靠集中安置为主，其中</w:t>
      </w:r>
      <w:r>
        <w:rPr>
          <w:spacing w:val="-39"/>
          <w:sz w:val="24"/>
          <w:szCs w:val="24"/>
        </w:rPr>
        <w:t xml:space="preserve"> </w:t>
      </w:r>
      <w:r>
        <w:rPr>
          <w:rFonts w:ascii="Times New Roman" w:hAnsi="Times New Roman" w:eastAsia="Times New Roman" w:cs="Times New Roman"/>
          <w:spacing w:val="-3"/>
          <w:sz w:val="24"/>
          <w:szCs w:val="24"/>
        </w:rPr>
        <w:t xml:space="preserve">9 </w:t>
      </w:r>
      <w:r>
        <w:rPr>
          <w:spacing w:val="-3"/>
          <w:sz w:val="24"/>
          <w:szCs w:val="24"/>
        </w:rPr>
        <w:t>个集中安置点共安置</w:t>
      </w:r>
      <w:r>
        <w:rPr>
          <w:spacing w:val="-48"/>
          <w:sz w:val="24"/>
          <w:szCs w:val="24"/>
        </w:rPr>
        <w:t xml:space="preserve"> </w:t>
      </w:r>
      <w:r>
        <w:rPr>
          <w:rFonts w:ascii="Times New Roman" w:hAnsi="Times New Roman" w:eastAsia="Times New Roman" w:cs="Times New Roman"/>
          <w:spacing w:val="-3"/>
          <w:sz w:val="24"/>
          <w:szCs w:val="24"/>
        </w:rPr>
        <w:t xml:space="preserve">521 </w:t>
      </w:r>
      <w:r>
        <w:rPr>
          <w:spacing w:val="-3"/>
          <w:sz w:val="24"/>
          <w:szCs w:val="24"/>
        </w:rPr>
        <w:t>户</w:t>
      </w:r>
      <w:r>
        <w:rPr>
          <w:spacing w:val="-55"/>
          <w:sz w:val="24"/>
          <w:szCs w:val="24"/>
        </w:rPr>
        <w:t xml:space="preserve"> </w:t>
      </w:r>
      <w:r>
        <w:rPr>
          <w:rFonts w:ascii="Times New Roman" w:hAnsi="Times New Roman" w:eastAsia="Times New Roman" w:cs="Times New Roman"/>
          <w:spacing w:val="-3"/>
          <w:sz w:val="24"/>
          <w:szCs w:val="24"/>
        </w:rPr>
        <w:t xml:space="preserve">2075 </w:t>
      </w:r>
      <w:r>
        <w:rPr>
          <w:spacing w:val="-3"/>
          <w:sz w:val="24"/>
          <w:szCs w:val="24"/>
        </w:rPr>
        <w:t>人，分散安置</w:t>
      </w:r>
      <w:r>
        <w:rPr>
          <w:spacing w:val="-55"/>
          <w:sz w:val="24"/>
          <w:szCs w:val="24"/>
        </w:rPr>
        <w:t xml:space="preserve"> </w:t>
      </w:r>
      <w:r>
        <w:rPr>
          <w:rFonts w:ascii="Times New Roman" w:hAnsi="Times New Roman" w:eastAsia="Times New Roman" w:cs="Times New Roman"/>
          <w:spacing w:val="-3"/>
          <w:sz w:val="24"/>
          <w:szCs w:val="24"/>
        </w:rPr>
        <w:t xml:space="preserve">23 </w:t>
      </w:r>
      <w:r>
        <w:rPr>
          <w:spacing w:val="-3"/>
          <w:sz w:val="24"/>
          <w:szCs w:val="24"/>
        </w:rPr>
        <w:t>户</w:t>
      </w:r>
      <w:r>
        <w:rPr>
          <w:spacing w:val="-32"/>
          <w:sz w:val="24"/>
          <w:szCs w:val="24"/>
        </w:rPr>
        <w:t xml:space="preserve"> </w:t>
      </w:r>
      <w:r>
        <w:rPr>
          <w:rFonts w:ascii="Times New Roman" w:hAnsi="Times New Roman" w:eastAsia="Times New Roman" w:cs="Times New Roman"/>
          <w:spacing w:val="-3"/>
          <w:sz w:val="24"/>
          <w:szCs w:val="24"/>
        </w:rPr>
        <w:t>118</w:t>
      </w:r>
      <w:r>
        <w:rPr>
          <w:rFonts w:ascii="Times New Roman" w:hAnsi="Times New Roman" w:eastAsia="Times New Roman" w:cs="Times New Roman"/>
          <w:spacing w:val="12"/>
          <w:sz w:val="24"/>
          <w:szCs w:val="24"/>
        </w:rPr>
        <w:t xml:space="preserve"> </w:t>
      </w:r>
      <w:r>
        <w:rPr>
          <w:spacing w:val="-3"/>
          <w:sz w:val="24"/>
          <w:szCs w:val="24"/>
        </w:rPr>
        <w:t>人。</w:t>
      </w:r>
    </w:p>
    <w:p w14:paraId="2B53E6E4">
      <w:pPr>
        <w:pStyle w:val="2"/>
        <w:spacing w:before="12" w:line="336" w:lineRule="auto"/>
        <w:ind w:left="38" w:right="66" w:firstLine="480"/>
        <w:rPr>
          <w:sz w:val="24"/>
          <w:szCs w:val="24"/>
        </w:rPr>
      </w:pPr>
      <w:r>
        <w:rPr>
          <w:spacing w:val="-4"/>
          <w:sz w:val="24"/>
          <w:szCs w:val="24"/>
        </w:rPr>
        <w:t>根据相关报件及现场检查，截至</w:t>
      </w:r>
      <w:r>
        <w:rPr>
          <w:rFonts w:ascii="Times New Roman" w:hAnsi="Times New Roman" w:eastAsia="Times New Roman" w:cs="Times New Roman"/>
          <w:spacing w:val="-4"/>
          <w:sz w:val="24"/>
          <w:szCs w:val="24"/>
        </w:rPr>
        <w:t xml:space="preserve">2020 </w:t>
      </w:r>
      <w:r>
        <w:rPr>
          <w:spacing w:val="-4"/>
          <w:sz w:val="24"/>
          <w:szCs w:val="24"/>
        </w:rPr>
        <w:t>年</w:t>
      </w:r>
      <w:r>
        <w:rPr>
          <w:spacing w:val="-16"/>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5"/>
          <w:sz w:val="24"/>
          <w:szCs w:val="24"/>
        </w:rPr>
        <w:t xml:space="preserve"> </w:t>
      </w:r>
      <w:r>
        <w:rPr>
          <w:spacing w:val="-4"/>
          <w:sz w:val="24"/>
          <w:szCs w:val="24"/>
        </w:rPr>
        <w:t>月</w:t>
      </w:r>
      <w:r>
        <w:rPr>
          <w:spacing w:val="-50"/>
          <w:sz w:val="24"/>
          <w:szCs w:val="24"/>
        </w:rPr>
        <w:t xml:space="preserve"> </w:t>
      </w:r>
      <w:r>
        <w:rPr>
          <w:rFonts w:ascii="Times New Roman" w:hAnsi="Times New Roman" w:eastAsia="Times New Roman" w:cs="Times New Roman"/>
          <w:spacing w:val="-4"/>
          <w:sz w:val="24"/>
          <w:szCs w:val="24"/>
        </w:rPr>
        <w:t xml:space="preserve">31  </w:t>
      </w:r>
      <w:r>
        <w:rPr>
          <w:spacing w:val="-4"/>
          <w:sz w:val="24"/>
          <w:szCs w:val="24"/>
        </w:rPr>
        <w:t>日，车马碧水库工程建设征</w:t>
      </w:r>
      <w:r>
        <w:rPr>
          <w:spacing w:val="-3"/>
          <w:sz w:val="24"/>
          <w:szCs w:val="24"/>
        </w:rPr>
        <w:t>地移民搬迁安置已全面完成，共实施完成</w:t>
      </w:r>
      <w:r>
        <w:rPr>
          <w:spacing w:val="-44"/>
          <w:sz w:val="24"/>
          <w:szCs w:val="24"/>
        </w:rPr>
        <w:t xml:space="preserve"> </w:t>
      </w:r>
      <w:r>
        <w:rPr>
          <w:rFonts w:ascii="Times New Roman" w:hAnsi="Times New Roman" w:eastAsia="Times New Roman" w:cs="Times New Roman"/>
          <w:spacing w:val="-3"/>
          <w:sz w:val="24"/>
          <w:szCs w:val="24"/>
        </w:rPr>
        <w:t xml:space="preserve">9 </w:t>
      </w:r>
      <w:r>
        <w:rPr>
          <w:spacing w:val="-3"/>
          <w:sz w:val="24"/>
          <w:szCs w:val="24"/>
        </w:rPr>
        <w:t>个集中安置点基础设施建设，完成</w:t>
      </w:r>
      <w:r>
        <w:rPr>
          <w:spacing w:val="-48"/>
          <w:sz w:val="24"/>
          <w:szCs w:val="24"/>
        </w:rPr>
        <w:t xml:space="preserve"> </w:t>
      </w:r>
      <w:r>
        <w:rPr>
          <w:rFonts w:ascii="Times New Roman" w:hAnsi="Times New Roman" w:eastAsia="Times New Roman" w:cs="Times New Roman"/>
          <w:spacing w:val="-3"/>
          <w:sz w:val="24"/>
          <w:szCs w:val="24"/>
        </w:rPr>
        <w:t>513</w:t>
      </w:r>
      <w:r>
        <w:rPr>
          <w:spacing w:val="1"/>
          <w:sz w:val="24"/>
          <w:szCs w:val="24"/>
        </w:rPr>
        <w:t>户</w:t>
      </w:r>
      <w:r>
        <w:rPr>
          <w:spacing w:val="-55"/>
          <w:sz w:val="24"/>
          <w:szCs w:val="24"/>
        </w:rPr>
        <w:t xml:space="preserve"> </w:t>
      </w:r>
      <w:r>
        <w:rPr>
          <w:rFonts w:ascii="Times New Roman" w:hAnsi="Times New Roman" w:eastAsia="Times New Roman" w:cs="Times New Roman"/>
          <w:spacing w:val="1"/>
          <w:sz w:val="24"/>
          <w:szCs w:val="24"/>
        </w:rPr>
        <w:t xml:space="preserve">2125 </w:t>
      </w:r>
      <w:r>
        <w:rPr>
          <w:spacing w:val="1"/>
          <w:sz w:val="24"/>
          <w:szCs w:val="24"/>
        </w:rPr>
        <w:t>人的搬迁安置，其中旧县街道完成安置</w:t>
      </w:r>
      <w:r>
        <w:rPr>
          <w:spacing w:val="-55"/>
          <w:sz w:val="24"/>
          <w:szCs w:val="24"/>
        </w:rPr>
        <w:t xml:space="preserve"> </w:t>
      </w:r>
      <w:r>
        <w:rPr>
          <w:rFonts w:ascii="Times New Roman" w:hAnsi="Times New Roman" w:eastAsia="Times New Roman" w:cs="Times New Roman"/>
          <w:sz w:val="24"/>
          <w:szCs w:val="24"/>
        </w:rPr>
        <w:t xml:space="preserve">209 </w:t>
      </w:r>
      <w:r>
        <w:rPr>
          <w:sz w:val="24"/>
          <w:szCs w:val="24"/>
        </w:rPr>
        <w:t>户</w:t>
      </w:r>
      <w:r>
        <w:rPr>
          <w:rFonts w:ascii="Times New Roman" w:hAnsi="Times New Roman" w:eastAsia="Times New Roman" w:cs="Times New Roman"/>
          <w:sz w:val="24"/>
          <w:szCs w:val="24"/>
        </w:rPr>
        <w:t xml:space="preserve">809 </w:t>
      </w:r>
      <w:r>
        <w:rPr>
          <w:sz w:val="24"/>
          <w:szCs w:val="24"/>
        </w:rPr>
        <w:t>人（小水塘安置点集中安置</w:t>
      </w:r>
      <w:r>
        <w:rPr>
          <w:spacing w:val="-32"/>
          <w:sz w:val="24"/>
          <w:szCs w:val="24"/>
        </w:rPr>
        <w:t xml:space="preserve"> </w:t>
      </w:r>
      <w:r>
        <w:rPr>
          <w:rFonts w:ascii="Times New Roman" w:hAnsi="Times New Roman" w:eastAsia="Times New Roman" w:cs="Times New Roman"/>
          <w:sz w:val="24"/>
          <w:szCs w:val="24"/>
        </w:rPr>
        <w:t xml:space="preserve">161 </w:t>
      </w:r>
      <w:r>
        <w:rPr>
          <w:sz w:val="24"/>
          <w:szCs w:val="24"/>
        </w:rPr>
        <w:t>户</w:t>
      </w:r>
      <w:r>
        <w:rPr>
          <w:spacing w:val="-49"/>
          <w:sz w:val="24"/>
          <w:szCs w:val="24"/>
        </w:rPr>
        <w:t xml:space="preserve"> </w:t>
      </w:r>
      <w:r>
        <w:rPr>
          <w:rFonts w:ascii="Times New Roman" w:hAnsi="Times New Roman" w:eastAsia="Times New Roman" w:cs="Times New Roman"/>
          <w:sz w:val="24"/>
          <w:szCs w:val="24"/>
        </w:rPr>
        <w:t xml:space="preserve">606 </w:t>
      </w:r>
      <w:r>
        <w:rPr>
          <w:sz w:val="24"/>
          <w:szCs w:val="24"/>
        </w:rPr>
        <w:t>人、跑马场安置点集中安置</w:t>
      </w:r>
      <w:r>
        <w:rPr>
          <w:spacing w:val="-50"/>
          <w:sz w:val="24"/>
          <w:szCs w:val="24"/>
        </w:rPr>
        <w:t xml:space="preserve"> </w:t>
      </w:r>
      <w:r>
        <w:rPr>
          <w:rFonts w:ascii="Times New Roman" w:hAnsi="Times New Roman" w:eastAsia="Times New Roman" w:cs="Times New Roman"/>
          <w:sz w:val="24"/>
          <w:szCs w:val="24"/>
        </w:rPr>
        <w:t xml:space="preserve">9 </w:t>
      </w:r>
      <w:r>
        <w:rPr>
          <w:sz w:val="24"/>
          <w:szCs w:val="24"/>
        </w:rPr>
        <w:t>户</w:t>
      </w:r>
      <w:r>
        <w:rPr>
          <w:rFonts w:ascii="Times New Roman" w:hAnsi="Times New Roman" w:eastAsia="Times New Roman" w:cs="Times New Roman"/>
          <w:sz w:val="24"/>
          <w:szCs w:val="24"/>
        </w:rPr>
        <w:t>36</w:t>
      </w:r>
      <w:r>
        <w:rPr>
          <w:rFonts w:ascii="Times New Roman" w:hAnsi="Times New Roman" w:eastAsia="Times New Roman" w:cs="Times New Roman"/>
          <w:spacing w:val="-1"/>
          <w:sz w:val="24"/>
          <w:szCs w:val="24"/>
        </w:rPr>
        <w:t xml:space="preserve"> </w:t>
      </w:r>
      <w:r>
        <w:rPr>
          <w:spacing w:val="-1"/>
          <w:sz w:val="24"/>
          <w:szCs w:val="24"/>
        </w:rPr>
        <w:t>人、小冲凹安置点集中安置</w:t>
      </w:r>
      <w:r>
        <w:rPr>
          <w:rFonts w:ascii="Times New Roman" w:hAnsi="Times New Roman" w:eastAsia="Times New Roman" w:cs="Times New Roman"/>
          <w:spacing w:val="-1"/>
          <w:sz w:val="24"/>
          <w:szCs w:val="24"/>
        </w:rPr>
        <w:t>20</w:t>
      </w:r>
      <w:r>
        <w:rPr>
          <w:spacing w:val="-7"/>
          <w:sz w:val="24"/>
          <w:szCs w:val="24"/>
        </w:rPr>
        <w:t>户</w:t>
      </w:r>
      <w:r>
        <w:rPr>
          <w:spacing w:val="-37"/>
          <w:sz w:val="24"/>
          <w:szCs w:val="24"/>
        </w:rPr>
        <w:t xml:space="preserve"> </w:t>
      </w:r>
      <w:r>
        <w:rPr>
          <w:rFonts w:ascii="Times New Roman" w:hAnsi="Times New Roman" w:eastAsia="Times New Roman" w:cs="Times New Roman"/>
          <w:spacing w:val="-7"/>
          <w:sz w:val="24"/>
          <w:szCs w:val="24"/>
        </w:rPr>
        <w:t>72</w:t>
      </w:r>
      <w:r>
        <w:rPr>
          <w:rFonts w:ascii="Times New Roman" w:hAnsi="Times New Roman" w:eastAsia="Times New Roman" w:cs="Times New Roman"/>
          <w:spacing w:val="25"/>
          <w:sz w:val="24"/>
          <w:szCs w:val="24"/>
        </w:rPr>
        <w:t xml:space="preserve"> </w:t>
      </w:r>
      <w:r>
        <w:rPr>
          <w:spacing w:val="-7"/>
          <w:sz w:val="24"/>
          <w:szCs w:val="24"/>
        </w:rPr>
        <w:t xml:space="preserve">人，另有 </w:t>
      </w:r>
      <w:r>
        <w:rPr>
          <w:rFonts w:ascii="Times New Roman" w:hAnsi="Times New Roman" w:eastAsia="Times New Roman" w:cs="Times New Roman"/>
          <w:spacing w:val="-7"/>
          <w:sz w:val="24"/>
          <w:szCs w:val="24"/>
        </w:rPr>
        <w:t>19</w:t>
      </w:r>
      <w:r>
        <w:rPr>
          <w:rFonts w:ascii="Times New Roman" w:hAnsi="Times New Roman" w:eastAsia="Times New Roman" w:cs="Times New Roman"/>
          <w:spacing w:val="23"/>
          <w:w w:val="101"/>
          <w:sz w:val="24"/>
          <w:szCs w:val="24"/>
        </w:rPr>
        <w:t xml:space="preserve"> </w:t>
      </w:r>
      <w:r>
        <w:rPr>
          <w:spacing w:val="-7"/>
          <w:sz w:val="24"/>
          <w:szCs w:val="24"/>
        </w:rPr>
        <w:t>户</w:t>
      </w:r>
      <w:r>
        <w:rPr>
          <w:spacing w:val="-39"/>
          <w:sz w:val="24"/>
          <w:szCs w:val="24"/>
        </w:rPr>
        <w:t xml:space="preserve"> </w:t>
      </w:r>
      <w:r>
        <w:rPr>
          <w:rFonts w:ascii="Times New Roman" w:hAnsi="Times New Roman" w:eastAsia="Times New Roman" w:cs="Times New Roman"/>
          <w:spacing w:val="-7"/>
          <w:sz w:val="24"/>
          <w:szCs w:val="24"/>
        </w:rPr>
        <w:t>95</w:t>
      </w:r>
      <w:r>
        <w:rPr>
          <w:rFonts w:ascii="Times New Roman" w:hAnsi="Times New Roman" w:eastAsia="Times New Roman" w:cs="Times New Roman"/>
          <w:spacing w:val="25"/>
          <w:sz w:val="24"/>
          <w:szCs w:val="24"/>
        </w:rPr>
        <w:t xml:space="preserve"> </w:t>
      </w:r>
      <w:r>
        <w:rPr>
          <w:spacing w:val="-7"/>
          <w:sz w:val="24"/>
          <w:szCs w:val="24"/>
        </w:rPr>
        <w:t>人自行在外建（购）房安置</w:t>
      </w:r>
      <w:r>
        <w:rPr>
          <w:spacing w:val="-6"/>
          <w:sz w:val="24"/>
          <w:szCs w:val="24"/>
        </w:rPr>
        <w:t>），</w:t>
      </w:r>
      <w:r>
        <w:rPr>
          <w:spacing w:val="-7"/>
          <w:sz w:val="24"/>
          <w:szCs w:val="24"/>
        </w:rPr>
        <w:t>马过河镇完</w:t>
      </w:r>
      <w:r>
        <w:rPr>
          <w:spacing w:val="-8"/>
          <w:sz w:val="24"/>
          <w:szCs w:val="24"/>
        </w:rPr>
        <w:t xml:space="preserve">成安置 </w:t>
      </w:r>
      <w:r>
        <w:rPr>
          <w:rFonts w:ascii="Times New Roman" w:hAnsi="Times New Roman" w:eastAsia="Times New Roman" w:cs="Times New Roman"/>
          <w:spacing w:val="-8"/>
          <w:sz w:val="24"/>
          <w:szCs w:val="24"/>
        </w:rPr>
        <w:t>175</w:t>
      </w:r>
      <w:r>
        <w:rPr>
          <w:rFonts w:ascii="Times New Roman" w:hAnsi="Times New Roman" w:eastAsia="Times New Roman" w:cs="Times New Roman"/>
          <w:spacing w:val="23"/>
          <w:w w:val="101"/>
          <w:sz w:val="24"/>
          <w:szCs w:val="24"/>
        </w:rPr>
        <w:t xml:space="preserve"> </w:t>
      </w:r>
      <w:r>
        <w:rPr>
          <w:spacing w:val="-8"/>
          <w:sz w:val="24"/>
          <w:szCs w:val="24"/>
        </w:rPr>
        <w:t>户</w:t>
      </w:r>
      <w:r>
        <w:rPr>
          <w:rFonts w:ascii="Times New Roman" w:hAnsi="Times New Roman" w:eastAsia="Times New Roman" w:cs="Times New Roman"/>
          <w:spacing w:val="-2"/>
          <w:sz w:val="24"/>
          <w:szCs w:val="24"/>
        </w:rPr>
        <w:t xml:space="preserve">779 </w:t>
      </w:r>
      <w:r>
        <w:rPr>
          <w:spacing w:val="-2"/>
          <w:sz w:val="24"/>
          <w:szCs w:val="24"/>
        </w:rPr>
        <w:t>人（关松树安置点集中安置</w:t>
      </w:r>
      <w:r>
        <w:rPr>
          <w:spacing w:val="-50"/>
          <w:sz w:val="24"/>
          <w:szCs w:val="24"/>
        </w:rPr>
        <w:t xml:space="preserve"> </w:t>
      </w:r>
      <w:r>
        <w:rPr>
          <w:rFonts w:ascii="Times New Roman" w:hAnsi="Times New Roman" w:eastAsia="Times New Roman" w:cs="Times New Roman"/>
          <w:spacing w:val="-2"/>
          <w:sz w:val="24"/>
          <w:szCs w:val="24"/>
        </w:rPr>
        <w:t xml:space="preserve">96 </w:t>
      </w:r>
      <w:r>
        <w:rPr>
          <w:spacing w:val="-2"/>
          <w:sz w:val="24"/>
          <w:szCs w:val="24"/>
        </w:rPr>
        <w:t>户</w:t>
      </w:r>
      <w:r>
        <w:rPr>
          <w:rFonts w:ascii="Times New Roman" w:hAnsi="Times New Roman" w:eastAsia="Times New Roman" w:cs="Times New Roman"/>
          <w:spacing w:val="-3"/>
          <w:sz w:val="24"/>
          <w:szCs w:val="24"/>
        </w:rPr>
        <w:t xml:space="preserve">444 </w:t>
      </w:r>
      <w:r>
        <w:rPr>
          <w:spacing w:val="-3"/>
          <w:sz w:val="24"/>
          <w:szCs w:val="24"/>
        </w:rPr>
        <w:t>人、老瘦地安置点集中安置</w:t>
      </w:r>
      <w:r>
        <w:rPr>
          <w:spacing w:val="-54"/>
          <w:sz w:val="24"/>
          <w:szCs w:val="24"/>
        </w:rPr>
        <w:t xml:space="preserve"> </w:t>
      </w:r>
      <w:r>
        <w:rPr>
          <w:rFonts w:ascii="Times New Roman" w:hAnsi="Times New Roman" w:eastAsia="Times New Roman" w:cs="Times New Roman"/>
          <w:spacing w:val="-3"/>
          <w:sz w:val="24"/>
          <w:szCs w:val="24"/>
        </w:rPr>
        <w:t xml:space="preserve">22 </w:t>
      </w:r>
      <w:r>
        <w:rPr>
          <w:spacing w:val="-3"/>
          <w:sz w:val="24"/>
          <w:szCs w:val="24"/>
        </w:rPr>
        <w:t>户</w:t>
      </w:r>
      <w:r>
        <w:rPr>
          <w:rFonts w:ascii="Times New Roman" w:hAnsi="Times New Roman" w:eastAsia="Times New Roman" w:cs="Times New Roman"/>
          <w:spacing w:val="-3"/>
          <w:sz w:val="24"/>
          <w:szCs w:val="24"/>
        </w:rPr>
        <w:t>96</w:t>
      </w:r>
      <w:r>
        <w:rPr>
          <w:rFonts w:ascii="Times New Roman" w:hAnsi="Times New Roman" w:eastAsia="Times New Roman" w:cs="Times New Roman"/>
          <w:spacing w:val="11"/>
          <w:sz w:val="24"/>
          <w:szCs w:val="24"/>
        </w:rPr>
        <w:t xml:space="preserve"> </w:t>
      </w:r>
      <w:r>
        <w:rPr>
          <w:spacing w:val="-3"/>
          <w:sz w:val="24"/>
          <w:szCs w:val="24"/>
        </w:rPr>
        <w:t>人、茶园地安置点集中安置</w:t>
      </w:r>
      <w:r>
        <w:rPr>
          <w:spacing w:val="-48"/>
          <w:sz w:val="24"/>
          <w:szCs w:val="24"/>
        </w:rPr>
        <w:t xml:space="preserve"> </w:t>
      </w:r>
      <w:r>
        <w:rPr>
          <w:rFonts w:ascii="Times New Roman" w:hAnsi="Times New Roman" w:eastAsia="Times New Roman" w:cs="Times New Roman"/>
          <w:spacing w:val="-3"/>
          <w:sz w:val="24"/>
          <w:szCs w:val="24"/>
        </w:rPr>
        <w:t xml:space="preserve">53 </w:t>
      </w:r>
      <w:r>
        <w:rPr>
          <w:spacing w:val="-3"/>
          <w:sz w:val="24"/>
          <w:szCs w:val="24"/>
        </w:rPr>
        <w:t>户</w:t>
      </w:r>
      <w:r>
        <w:rPr>
          <w:spacing w:val="-55"/>
          <w:sz w:val="24"/>
          <w:szCs w:val="24"/>
        </w:rPr>
        <w:t xml:space="preserve"> </w:t>
      </w:r>
      <w:r>
        <w:rPr>
          <w:rFonts w:ascii="Times New Roman" w:hAnsi="Times New Roman" w:eastAsia="Times New Roman" w:cs="Times New Roman"/>
          <w:spacing w:val="-3"/>
          <w:sz w:val="24"/>
          <w:szCs w:val="24"/>
        </w:rPr>
        <w:t xml:space="preserve">209 </w:t>
      </w:r>
      <w:r>
        <w:rPr>
          <w:spacing w:val="-3"/>
          <w:sz w:val="24"/>
          <w:szCs w:val="24"/>
        </w:rPr>
        <w:t>人、另有</w:t>
      </w:r>
      <w:r>
        <w:rPr>
          <w:spacing w:val="-56"/>
          <w:sz w:val="24"/>
          <w:szCs w:val="24"/>
        </w:rPr>
        <w:t xml:space="preserve"> </w:t>
      </w:r>
      <w:r>
        <w:rPr>
          <w:rFonts w:ascii="Times New Roman" w:hAnsi="Times New Roman" w:eastAsia="Times New Roman" w:cs="Times New Roman"/>
          <w:spacing w:val="-3"/>
          <w:sz w:val="24"/>
          <w:szCs w:val="24"/>
        </w:rPr>
        <w:t xml:space="preserve">4 </w:t>
      </w:r>
      <w:r>
        <w:rPr>
          <w:spacing w:val="-3"/>
          <w:sz w:val="24"/>
          <w:szCs w:val="24"/>
        </w:rPr>
        <w:t>户</w:t>
      </w:r>
      <w:r>
        <w:rPr>
          <w:rFonts w:ascii="Times New Roman" w:hAnsi="Times New Roman" w:eastAsia="Times New Roman" w:cs="Times New Roman"/>
          <w:spacing w:val="-3"/>
          <w:sz w:val="24"/>
          <w:szCs w:val="24"/>
        </w:rPr>
        <w:t xml:space="preserve">30 </w:t>
      </w:r>
      <w:r>
        <w:rPr>
          <w:spacing w:val="-3"/>
          <w:sz w:val="24"/>
          <w:szCs w:val="24"/>
        </w:rPr>
        <w:t>人采取分散安置</w:t>
      </w:r>
      <w:r>
        <w:rPr>
          <w:spacing w:val="6"/>
          <w:sz w:val="24"/>
          <w:szCs w:val="24"/>
        </w:rPr>
        <w:t>），</w:t>
      </w:r>
      <w:r>
        <w:rPr>
          <w:spacing w:val="-3"/>
          <w:sz w:val="24"/>
          <w:szCs w:val="24"/>
        </w:rPr>
        <w:t>王家庄街道</w:t>
      </w:r>
      <w:r>
        <w:rPr>
          <w:spacing w:val="-1"/>
          <w:sz w:val="24"/>
          <w:szCs w:val="24"/>
        </w:rPr>
        <w:t>完成安置</w:t>
      </w:r>
      <w:r>
        <w:rPr>
          <w:spacing w:val="-22"/>
          <w:sz w:val="24"/>
          <w:szCs w:val="24"/>
        </w:rPr>
        <w:t xml:space="preserve"> </w:t>
      </w:r>
      <w:r>
        <w:rPr>
          <w:rFonts w:ascii="Times New Roman" w:hAnsi="Times New Roman" w:eastAsia="Times New Roman" w:cs="Times New Roman"/>
          <w:spacing w:val="-1"/>
          <w:sz w:val="24"/>
          <w:szCs w:val="24"/>
        </w:rPr>
        <w:t xml:space="preserve">129 </w:t>
      </w:r>
      <w:r>
        <w:rPr>
          <w:spacing w:val="-1"/>
          <w:sz w:val="24"/>
          <w:szCs w:val="24"/>
        </w:rPr>
        <w:t>户</w:t>
      </w:r>
      <w:r>
        <w:rPr>
          <w:rFonts w:ascii="Times New Roman" w:hAnsi="Times New Roman" w:eastAsia="Times New Roman" w:cs="Times New Roman"/>
          <w:spacing w:val="-1"/>
          <w:sz w:val="24"/>
          <w:szCs w:val="24"/>
        </w:rPr>
        <w:t xml:space="preserve">537 </w:t>
      </w:r>
      <w:r>
        <w:rPr>
          <w:spacing w:val="-1"/>
          <w:sz w:val="24"/>
          <w:szCs w:val="24"/>
        </w:rPr>
        <w:t>人（井沟头安置点集中安置</w:t>
      </w:r>
      <w:r>
        <w:rPr>
          <w:spacing w:val="-50"/>
          <w:sz w:val="24"/>
          <w:szCs w:val="24"/>
        </w:rPr>
        <w:t xml:space="preserve"> </w:t>
      </w:r>
      <w:r>
        <w:rPr>
          <w:rFonts w:ascii="Times New Roman" w:hAnsi="Times New Roman" w:eastAsia="Times New Roman" w:cs="Times New Roman"/>
          <w:spacing w:val="-1"/>
          <w:sz w:val="24"/>
          <w:szCs w:val="24"/>
        </w:rPr>
        <w:t xml:space="preserve">35 </w:t>
      </w:r>
      <w:r>
        <w:rPr>
          <w:spacing w:val="-1"/>
          <w:sz w:val="24"/>
          <w:szCs w:val="24"/>
        </w:rPr>
        <w:t>户</w:t>
      </w:r>
      <w:r>
        <w:rPr>
          <w:spacing w:val="-32"/>
          <w:sz w:val="24"/>
          <w:szCs w:val="24"/>
        </w:rPr>
        <w:t xml:space="preserve"> </w:t>
      </w:r>
      <w:r>
        <w:rPr>
          <w:rFonts w:ascii="Times New Roman" w:hAnsi="Times New Roman" w:eastAsia="Times New Roman" w:cs="Times New Roman"/>
          <w:spacing w:val="-1"/>
          <w:sz w:val="24"/>
          <w:szCs w:val="24"/>
        </w:rPr>
        <w:t xml:space="preserve">157 </w:t>
      </w:r>
      <w:r>
        <w:rPr>
          <w:spacing w:val="-1"/>
          <w:sz w:val="24"/>
          <w:szCs w:val="24"/>
        </w:rPr>
        <w:t>人、四凹子安置点集中</w:t>
      </w:r>
      <w:r>
        <w:rPr>
          <w:spacing w:val="1"/>
          <w:sz w:val="24"/>
          <w:szCs w:val="24"/>
        </w:rPr>
        <w:t>安置</w:t>
      </w:r>
      <w:r>
        <w:rPr>
          <w:spacing w:val="-55"/>
          <w:sz w:val="24"/>
          <w:szCs w:val="24"/>
        </w:rPr>
        <w:t xml:space="preserve"> </w:t>
      </w:r>
      <w:r>
        <w:rPr>
          <w:rFonts w:ascii="Times New Roman" w:hAnsi="Times New Roman" w:eastAsia="Times New Roman" w:cs="Times New Roman"/>
          <w:spacing w:val="1"/>
          <w:sz w:val="24"/>
          <w:szCs w:val="24"/>
        </w:rPr>
        <w:t xml:space="preserve">25 </w:t>
      </w:r>
      <w:r>
        <w:rPr>
          <w:spacing w:val="1"/>
          <w:sz w:val="24"/>
          <w:szCs w:val="24"/>
        </w:rPr>
        <w:t>户</w:t>
      </w:r>
      <w:r>
        <w:rPr>
          <w:rFonts w:ascii="Times New Roman" w:hAnsi="Times New Roman" w:eastAsia="Times New Roman" w:cs="Times New Roman"/>
          <w:spacing w:val="1"/>
          <w:sz w:val="24"/>
          <w:szCs w:val="24"/>
        </w:rPr>
        <w:t xml:space="preserve">94 </w:t>
      </w:r>
      <w:r>
        <w:rPr>
          <w:spacing w:val="1"/>
          <w:sz w:val="24"/>
          <w:szCs w:val="24"/>
        </w:rPr>
        <w:t>人、大麦塘安置点集中安置</w:t>
      </w:r>
      <w:r>
        <w:rPr>
          <w:spacing w:val="-48"/>
          <w:sz w:val="24"/>
          <w:szCs w:val="24"/>
        </w:rPr>
        <w:t xml:space="preserve"> </w:t>
      </w:r>
      <w:r>
        <w:rPr>
          <w:rFonts w:ascii="Times New Roman" w:hAnsi="Times New Roman" w:eastAsia="Times New Roman" w:cs="Times New Roman"/>
          <w:spacing w:val="1"/>
          <w:sz w:val="24"/>
          <w:szCs w:val="24"/>
        </w:rPr>
        <w:t xml:space="preserve">56 </w:t>
      </w:r>
      <w:r>
        <w:rPr>
          <w:spacing w:val="1"/>
          <w:sz w:val="24"/>
          <w:szCs w:val="24"/>
        </w:rPr>
        <w:t>户</w:t>
      </w:r>
      <w:r>
        <w:rPr>
          <w:rFonts w:ascii="Times New Roman" w:hAnsi="Times New Roman" w:eastAsia="Times New Roman" w:cs="Times New Roman"/>
          <w:spacing w:val="1"/>
          <w:sz w:val="24"/>
          <w:szCs w:val="24"/>
        </w:rPr>
        <w:t>22</w:t>
      </w:r>
      <w:r>
        <w:rPr>
          <w:rFonts w:ascii="Times New Roman" w:hAnsi="Times New Roman" w:eastAsia="Times New Roman" w:cs="Times New Roman"/>
          <w:sz w:val="24"/>
          <w:szCs w:val="24"/>
        </w:rPr>
        <w:t xml:space="preserve">2 </w:t>
      </w:r>
      <w:r>
        <w:rPr>
          <w:sz w:val="24"/>
          <w:szCs w:val="24"/>
        </w:rPr>
        <w:t>人、另有</w:t>
      </w:r>
      <w:r>
        <w:rPr>
          <w:spacing w:val="-32"/>
          <w:sz w:val="24"/>
          <w:szCs w:val="24"/>
        </w:rPr>
        <w:t xml:space="preserve"> </w:t>
      </w:r>
      <w:r>
        <w:rPr>
          <w:rFonts w:ascii="Times New Roman" w:hAnsi="Times New Roman" w:eastAsia="Times New Roman" w:cs="Times New Roman"/>
          <w:sz w:val="24"/>
          <w:szCs w:val="24"/>
        </w:rPr>
        <w:t xml:space="preserve">13 </w:t>
      </w:r>
      <w:r>
        <w:rPr>
          <w:sz w:val="24"/>
          <w:szCs w:val="24"/>
        </w:rPr>
        <w:t>户</w:t>
      </w:r>
      <w:r>
        <w:rPr>
          <w:spacing w:val="-50"/>
          <w:sz w:val="24"/>
          <w:szCs w:val="24"/>
        </w:rPr>
        <w:t xml:space="preserve"> </w:t>
      </w:r>
      <w:r>
        <w:rPr>
          <w:rFonts w:ascii="Times New Roman" w:hAnsi="Times New Roman" w:eastAsia="Times New Roman" w:cs="Times New Roman"/>
          <w:sz w:val="24"/>
          <w:szCs w:val="24"/>
        </w:rPr>
        <w:t>64</w:t>
      </w:r>
      <w:r>
        <w:rPr>
          <w:rFonts w:ascii="Times New Roman" w:hAnsi="Times New Roman" w:eastAsia="Times New Roman" w:cs="Times New Roman"/>
          <w:spacing w:val="12"/>
          <w:sz w:val="24"/>
          <w:szCs w:val="24"/>
        </w:rPr>
        <w:t xml:space="preserve"> </w:t>
      </w:r>
      <w:r>
        <w:rPr>
          <w:sz w:val="24"/>
          <w:szCs w:val="24"/>
        </w:rPr>
        <w:t>人采取分散</w:t>
      </w:r>
      <w:r>
        <w:rPr>
          <w:spacing w:val="-37"/>
          <w:sz w:val="24"/>
          <w:szCs w:val="24"/>
        </w:rPr>
        <w:t>安置）。</w:t>
      </w:r>
    </w:p>
    <w:p w14:paraId="253A978E">
      <w:pPr>
        <w:pStyle w:val="2"/>
        <w:spacing w:before="22" w:line="338" w:lineRule="auto"/>
        <w:ind w:left="40" w:right="68" w:firstLine="480"/>
        <w:rPr>
          <w:sz w:val="24"/>
          <w:szCs w:val="24"/>
        </w:rPr>
      </w:pPr>
      <w:r>
        <w:rPr>
          <w:spacing w:val="-4"/>
          <w:sz w:val="24"/>
          <w:szCs w:val="24"/>
        </w:rPr>
        <w:t>经现场访问，移民对安置点基础设施及搬迁安</w:t>
      </w:r>
      <w:r>
        <w:rPr>
          <w:spacing w:val="-5"/>
          <w:sz w:val="24"/>
          <w:szCs w:val="24"/>
        </w:rPr>
        <w:t>置较为满意，移民生活条件较原</w:t>
      </w:r>
      <w:r>
        <w:rPr>
          <w:spacing w:val="-6"/>
          <w:sz w:val="24"/>
          <w:szCs w:val="24"/>
        </w:rPr>
        <w:t>来有较大提高。</w:t>
      </w:r>
    </w:p>
    <w:p w14:paraId="22B6A182">
      <w:pPr>
        <w:pStyle w:val="2"/>
        <w:spacing w:line="217" w:lineRule="auto"/>
        <w:ind w:left="517"/>
        <w:rPr>
          <w:sz w:val="24"/>
          <w:szCs w:val="24"/>
        </w:rPr>
      </w:pPr>
      <w:r>
        <w:rPr>
          <w:spacing w:val="-2"/>
          <w:sz w:val="24"/>
          <w:szCs w:val="24"/>
        </w:rPr>
        <w:t>③生产安置</w:t>
      </w:r>
    </w:p>
    <w:p w14:paraId="1FEB3A3C">
      <w:pPr>
        <w:pStyle w:val="2"/>
        <w:spacing w:before="157" w:line="340" w:lineRule="auto"/>
        <w:ind w:left="39" w:right="67" w:firstLine="480"/>
        <w:rPr>
          <w:sz w:val="24"/>
          <w:szCs w:val="24"/>
        </w:rPr>
      </w:pPr>
      <w:r>
        <w:rPr>
          <w:spacing w:val="-7"/>
          <w:sz w:val="24"/>
          <w:szCs w:val="24"/>
        </w:rPr>
        <w:t>根据“规划报告”，车马碧水库基准年生产安置人口为</w:t>
      </w:r>
      <w:r>
        <w:rPr>
          <w:spacing w:val="-55"/>
          <w:sz w:val="24"/>
          <w:szCs w:val="24"/>
        </w:rPr>
        <w:t xml:space="preserve"> </w:t>
      </w:r>
      <w:r>
        <w:rPr>
          <w:rFonts w:ascii="Times New Roman" w:hAnsi="Times New Roman" w:eastAsia="Times New Roman" w:cs="Times New Roman"/>
          <w:spacing w:val="-8"/>
          <w:sz w:val="24"/>
          <w:szCs w:val="24"/>
        </w:rPr>
        <w:t xml:space="preserve">2261 </w:t>
      </w:r>
      <w:r>
        <w:rPr>
          <w:spacing w:val="-8"/>
          <w:sz w:val="24"/>
          <w:szCs w:val="24"/>
        </w:rPr>
        <w:t>人，其中水库淹没</w:t>
      </w:r>
      <w:r>
        <w:rPr>
          <w:spacing w:val="-2"/>
          <w:sz w:val="24"/>
          <w:szCs w:val="24"/>
        </w:rPr>
        <w:t>影响区</w:t>
      </w:r>
      <w:r>
        <w:rPr>
          <w:spacing w:val="-39"/>
          <w:sz w:val="24"/>
          <w:szCs w:val="24"/>
        </w:rPr>
        <w:t xml:space="preserve"> </w:t>
      </w:r>
      <w:r>
        <w:rPr>
          <w:rFonts w:ascii="Times New Roman" w:hAnsi="Times New Roman" w:eastAsia="Times New Roman" w:cs="Times New Roman"/>
          <w:spacing w:val="-2"/>
          <w:sz w:val="24"/>
          <w:szCs w:val="24"/>
        </w:rPr>
        <w:t>2198</w:t>
      </w:r>
      <w:r>
        <w:rPr>
          <w:rFonts w:ascii="Times New Roman" w:hAnsi="Times New Roman" w:eastAsia="Times New Roman" w:cs="Times New Roman"/>
          <w:spacing w:val="28"/>
          <w:sz w:val="24"/>
          <w:szCs w:val="24"/>
        </w:rPr>
        <w:t xml:space="preserve"> </w:t>
      </w:r>
      <w:r>
        <w:rPr>
          <w:spacing w:val="-2"/>
          <w:sz w:val="24"/>
          <w:szCs w:val="24"/>
        </w:rPr>
        <w:t>人、枢纽工程区</w:t>
      </w:r>
      <w:r>
        <w:rPr>
          <w:spacing w:val="-31"/>
          <w:sz w:val="24"/>
          <w:szCs w:val="24"/>
        </w:rPr>
        <w:t xml:space="preserve"> </w:t>
      </w:r>
      <w:r>
        <w:rPr>
          <w:rFonts w:ascii="Times New Roman" w:hAnsi="Times New Roman" w:eastAsia="Times New Roman" w:cs="Times New Roman"/>
          <w:spacing w:val="-2"/>
          <w:sz w:val="24"/>
          <w:szCs w:val="24"/>
        </w:rPr>
        <w:t>55</w:t>
      </w:r>
      <w:r>
        <w:rPr>
          <w:rFonts w:ascii="Times New Roman" w:hAnsi="Times New Roman" w:eastAsia="Times New Roman" w:cs="Times New Roman"/>
          <w:spacing w:val="29"/>
          <w:sz w:val="24"/>
          <w:szCs w:val="24"/>
        </w:rPr>
        <w:t xml:space="preserve"> </w:t>
      </w:r>
      <w:r>
        <w:rPr>
          <w:spacing w:val="-2"/>
          <w:sz w:val="24"/>
          <w:szCs w:val="24"/>
        </w:rPr>
        <w:t>人、输水隧洞工程区</w:t>
      </w:r>
      <w:r>
        <w:rPr>
          <w:spacing w:val="-29"/>
          <w:sz w:val="24"/>
          <w:szCs w:val="24"/>
        </w:rPr>
        <w:t xml:space="preserve"> </w:t>
      </w:r>
      <w:r>
        <w:rPr>
          <w:rFonts w:ascii="Times New Roman" w:hAnsi="Times New Roman" w:eastAsia="Times New Roman" w:cs="Times New Roman"/>
          <w:spacing w:val="-2"/>
          <w:sz w:val="24"/>
          <w:szCs w:val="24"/>
        </w:rPr>
        <w:t>8</w:t>
      </w:r>
      <w:r>
        <w:rPr>
          <w:rFonts w:ascii="Times New Roman" w:hAnsi="Times New Roman" w:eastAsia="Times New Roman" w:cs="Times New Roman"/>
          <w:spacing w:val="29"/>
          <w:sz w:val="24"/>
          <w:szCs w:val="24"/>
        </w:rPr>
        <w:t xml:space="preserve"> </w:t>
      </w:r>
      <w:r>
        <w:rPr>
          <w:spacing w:val="-2"/>
          <w:sz w:val="24"/>
          <w:szCs w:val="24"/>
        </w:rPr>
        <w:t>人；规划水平年生产安置</w:t>
      </w:r>
    </w:p>
    <w:p w14:paraId="0D476F3C">
      <w:pPr>
        <w:spacing w:line="340" w:lineRule="auto"/>
        <w:rPr>
          <w:sz w:val="24"/>
          <w:szCs w:val="24"/>
        </w:rPr>
        <w:sectPr>
          <w:headerReference r:id="rId62" w:type="default"/>
          <w:footerReference r:id="rId63" w:type="default"/>
          <w:pgSz w:w="11907" w:h="16839"/>
          <w:pgMar w:top="1376" w:right="1633" w:bottom="1061" w:left="1671" w:header="999" w:footer="861" w:gutter="0"/>
          <w:cols w:space="720" w:num="1"/>
        </w:sectPr>
      </w:pPr>
    </w:p>
    <w:p w14:paraId="4F818695">
      <w:pPr>
        <w:spacing w:line="452" w:lineRule="auto"/>
        <w:rPr>
          <w:rFonts w:ascii="Arial"/>
          <w:sz w:val="21"/>
        </w:rPr>
      </w:pPr>
    </w:p>
    <w:p w14:paraId="24A4615C">
      <w:pPr>
        <w:pStyle w:val="2"/>
        <w:spacing w:before="78" w:line="334" w:lineRule="auto"/>
        <w:ind w:left="39" w:right="64" w:firstLine="1"/>
        <w:jc w:val="both"/>
        <w:rPr>
          <w:sz w:val="24"/>
          <w:szCs w:val="24"/>
        </w:rPr>
      </w:pPr>
      <w:r>
        <w:rPr>
          <w:spacing w:val="-1"/>
          <w:sz w:val="24"/>
          <w:szCs w:val="24"/>
        </w:rPr>
        <w:t>人口为</w:t>
      </w:r>
      <w:r>
        <w:rPr>
          <w:spacing w:val="-55"/>
          <w:sz w:val="24"/>
          <w:szCs w:val="24"/>
        </w:rPr>
        <w:t xml:space="preserve"> </w:t>
      </w:r>
      <w:r>
        <w:rPr>
          <w:rFonts w:ascii="Times New Roman" w:hAnsi="Times New Roman" w:eastAsia="Times New Roman" w:cs="Times New Roman"/>
          <w:spacing w:val="-1"/>
          <w:sz w:val="24"/>
          <w:szCs w:val="24"/>
        </w:rPr>
        <w:t xml:space="preserve">2363 </w:t>
      </w:r>
      <w:r>
        <w:rPr>
          <w:spacing w:val="-1"/>
          <w:sz w:val="24"/>
          <w:szCs w:val="24"/>
        </w:rPr>
        <w:t>人，其中水库淹没影响区</w:t>
      </w:r>
      <w:r>
        <w:rPr>
          <w:spacing w:val="-55"/>
          <w:sz w:val="24"/>
          <w:szCs w:val="24"/>
        </w:rPr>
        <w:t xml:space="preserve"> </w:t>
      </w:r>
      <w:r>
        <w:rPr>
          <w:rFonts w:ascii="Times New Roman" w:hAnsi="Times New Roman" w:eastAsia="Times New Roman" w:cs="Times New Roman"/>
          <w:spacing w:val="-1"/>
          <w:sz w:val="24"/>
          <w:szCs w:val="24"/>
        </w:rPr>
        <w:t xml:space="preserve">2300 </w:t>
      </w:r>
      <w:r>
        <w:rPr>
          <w:spacing w:val="-1"/>
          <w:sz w:val="24"/>
          <w:szCs w:val="24"/>
        </w:rPr>
        <w:t>人、枢纽工程区</w:t>
      </w:r>
      <w:r>
        <w:rPr>
          <w:spacing w:val="-48"/>
          <w:sz w:val="24"/>
          <w:szCs w:val="24"/>
        </w:rPr>
        <w:t xml:space="preserve"> </w:t>
      </w:r>
      <w:r>
        <w:rPr>
          <w:rFonts w:ascii="Times New Roman" w:hAnsi="Times New Roman" w:eastAsia="Times New Roman" w:cs="Times New Roman"/>
          <w:spacing w:val="-1"/>
          <w:sz w:val="24"/>
          <w:szCs w:val="24"/>
        </w:rPr>
        <w:t xml:space="preserve">55 </w:t>
      </w:r>
      <w:r>
        <w:rPr>
          <w:spacing w:val="-1"/>
          <w:sz w:val="24"/>
          <w:szCs w:val="24"/>
        </w:rPr>
        <w:t>人、</w:t>
      </w:r>
      <w:r>
        <w:rPr>
          <w:spacing w:val="-2"/>
          <w:sz w:val="24"/>
          <w:szCs w:val="24"/>
        </w:rPr>
        <w:t>输水隧洞工程</w:t>
      </w:r>
      <w:r>
        <w:rPr>
          <w:spacing w:val="-4"/>
          <w:sz w:val="24"/>
          <w:szCs w:val="24"/>
        </w:rPr>
        <w:t>区</w:t>
      </w:r>
      <w:r>
        <w:rPr>
          <w:spacing w:val="-45"/>
          <w:sz w:val="24"/>
          <w:szCs w:val="24"/>
        </w:rPr>
        <w:t xml:space="preserve"> </w:t>
      </w:r>
      <w:r>
        <w:rPr>
          <w:rFonts w:ascii="Times New Roman" w:hAnsi="Times New Roman" w:eastAsia="Times New Roman" w:cs="Times New Roman"/>
          <w:spacing w:val="-4"/>
          <w:sz w:val="24"/>
          <w:szCs w:val="24"/>
        </w:rPr>
        <w:t xml:space="preserve">8 </w:t>
      </w:r>
      <w:r>
        <w:rPr>
          <w:spacing w:val="-4"/>
          <w:sz w:val="24"/>
          <w:szCs w:val="24"/>
        </w:rPr>
        <w:t>人。规划采用农业安置为主、自行安置为辅的</w:t>
      </w:r>
      <w:r>
        <w:rPr>
          <w:spacing w:val="-5"/>
          <w:sz w:val="24"/>
          <w:szCs w:val="24"/>
        </w:rPr>
        <w:t>生产安置方式，对库周中低产耕</w:t>
      </w:r>
      <w:r>
        <w:rPr>
          <w:spacing w:val="-4"/>
          <w:sz w:val="24"/>
          <w:szCs w:val="24"/>
        </w:rPr>
        <w:t>地进行改造恢复生产。</w:t>
      </w:r>
    </w:p>
    <w:p w14:paraId="6BD49284">
      <w:pPr>
        <w:pStyle w:val="2"/>
        <w:spacing w:before="19" w:line="336" w:lineRule="auto"/>
        <w:ind w:left="43" w:right="67" w:firstLine="481"/>
        <w:jc w:val="both"/>
        <w:rPr>
          <w:sz w:val="24"/>
          <w:szCs w:val="24"/>
        </w:rPr>
      </w:pPr>
      <w:r>
        <w:rPr>
          <w:spacing w:val="-5"/>
          <w:sz w:val="24"/>
          <w:szCs w:val="24"/>
        </w:rPr>
        <w:t>实施过程中，因生产安置移民意愿发生变化，马龙区组织相关单位开展了生产</w:t>
      </w:r>
      <w:r>
        <w:rPr>
          <w:spacing w:val="-2"/>
          <w:sz w:val="24"/>
          <w:szCs w:val="24"/>
        </w:rPr>
        <w:t>安置方案意愿调查工作，仅旧县大罗贵居民小组</w:t>
      </w:r>
      <w:r>
        <w:rPr>
          <w:spacing w:val="-17"/>
          <w:sz w:val="24"/>
          <w:szCs w:val="24"/>
        </w:rPr>
        <w:t xml:space="preserve"> </w:t>
      </w:r>
      <w:r>
        <w:rPr>
          <w:rFonts w:ascii="Times New Roman" w:hAnsi="Times New Roman" w:eastAsia="Times New Roman" w:cs="Times New Roman"/>
          <w:spacing w:val="-2"/>
          <w:sz w:val="24"/>
          <w:szCs w:val="24"/>
        </w:rPr>
        <w:t xml:space="preserve">12 </w:t>
      </w:r>
      <w:r>
        <w:rPr>
          <w:spacing w:val="-2"/>
          <w:sz w:val="24"/>
          <w:szCs w:val="24"/>
        </w:rPr>
        <w:t>户选择配置土地，其余均选择</w:t>
      </w:r>
      <w:r>
        <w:rPr>
          <w:spacing w:val="-4"/>
          <w:sz w:val="24"/>
          <w:szCs w:val="24"/>
        </w:rPr>
        <w:t>一次性货币补偿自行安置。</w:t>
      </w:r>
    </w:p>
    <w:p w14:paraId="66E68305">
      <w:pPr>
        <w:pStyle w:val="2"/>
        <w:spacing w:before="11" w:line="338" w:lineRule="auto"/>
        <w:ind w:left="22" w:right="67" w:firstLine="492"/>
        <w:jc w:val="both"/>
        <w:rPr>
          <w:sz w:val="24"/>
          <w:szCs w:val="24"/>
        </w:rPr>
      </w:pPr>
      <w:r>
        <w:rPr>
          <w:rFonts w:ascii="Times New Roman" w:hAnsi="Times New Roman" w:eastAsia="Times New Roman" w:cs="Times New Roman"/>
          <w:spacing w:val="-5"/>
          <w:sz w:val="24"/>
          <w:szCs w:val="24"/>
        </w:rPr>
        <w:t xml:space="preserve">2019 </w:t>
      </w:r>
      <w:r>
        <w:rPr>
          <w:spacing w:val="-5"/>
          <w:sz w:val="24"/>
          <w:szCs w:val="24"/>
        </w:rPr>
        <w:t>年</w:t>
      </w:r>
      <w:r>
        <w:rPr>
          <w:spacing w:val="-32"/>
          <w:sz w:val="24"/>
          <w:szCs w:val="24"/>
        </w:rPr>
        <w:t xml:space="preserve"> </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15"/>
          <w:w w:val="101"/>
          <w:sz w:val="24"/>
          <w:szCs w:val="24"/>
        </w:rPr>
        <w:t xml:space="preserve"> </w:t>
      </w:r>
      <w:r>
        <w:rPr>
          <w:spacing w:val="-5"/>
          <w:sz w:val="24"/>
          <w:szCs w:val="24"/>
        </w:rPr>
        <w:t>月</w:t>
      </w:r>
      <w:r>
        <w:rPr>
          <w:spacing w:val="-49"/>
          <w:sz w:val="24"/>
          <w:szCs w:val="24"/>
        </w:rPr>
        <w:t xml:space="preserve"> </w:t>
      </w:r>
      <w:r>
        <w:rPr>
          <w:rFonts w:ascii="Times New Roman" w:hAnsi="Times New Roman" w:eastAsia="Times New Roman" w:cs="Times New Roman"/>
          <w:spacing w:val="-5"/>
          <w:sz w:val="24"/>
          <w:szCs w:val="24"/>
        </w:rPr>
        <w:t xml:space="preserve">5  </w:t>
      </w:r>
      <w:r>
        <w:rPr>
          <w:spacing w:val="-5"/>
          <w:sz w:val="24"/>
          <w:szCs w:val="24"/>
        </w:rPr>
        <w:t>日，曲靖市马龙区搬迁安置</w:t>
      </w:r>
      <w:r>
        <w:rPr>
          <w:spacing w:val="-6"/>
          <w:sz w:val="24"/>
          <w:szCs w:val="24"/>
        </w:rPr>
        <w:t>办公室提交《曲靖市车马碧水库工</w:t>
      </w:r>
      <w:r>
        <w:rPr>
          <w:spacing w:val="-5"/>
          <w:sz w:val="24"/>
          <w:szCs w:val="24"/>
        </w:rPr>
        <w:t>程移民生产安置设计变更申请报告》，</w:t>
      </w:r>
      <w:r>
        <w:rPr>
          <w:rFonts w:ascii="Times New Roman" w:hAnsi="Times New Roman" w:eastAsia="Times New Roman" w:cs="Times New Roman"/>
          <w:spacing w:val="-5"/>
          <w:sz w:val="24"/>
          <w:szCs w:val="24"/>
        </w:rPr>
        <w:t>2019</w:t>
      </w:r>
      <w:r>
        <w:rPr>
          <w:rFonts w:ascii="Times New Roman" w:hAnsi="Times New Roman" w:eastAsia="Times New Roman" w:cs="Times New Roman"/>
          <w:spacing w:val="43"/>
          <w:sz w:val="24"/>
          <w:szCs w:val="24"/>
        </w:rPr>
        <w:t xml:space="preserve"> </w:t>
      </w:r>
      <w:r>
        <w:rPr>
          <w:spacing w:val="-5"/>
          <w:sz w:val="24"/>
          <w:szCs w:val="24"/>
        </w:rPr>
        <w:t xml:space="preserve">年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48"/>
          <w:sz w:val="24"/>
          <w:szCs w:val="24"/>
        </w:rPr>
        <w:t xml:space="preserve"> </w:t>
      </w:r>
      <w:r>
        <w:rPr>
          <w:spacing w:val="-5"/>
          <w:sz w:val="24"/>
          <w:szCs w:val="24"/>
        </w:rPr>
        <w:t xml:space="preserve">月 </w:t>
      </w:r>
      <w:r>
        <w:rPr>
          <w:rFonts w:ascii="Times New Roman" w:hAnsi="Times New Roman" w:eastAsia="Times New Roman" w:cs="Times New Roman"/>
          <w:spacing w:val="-5"/>
          <w:sz w:val="24"/>
          <w:szCs w:val="24"/>
        </w:rPr>
        <w:t xml:space="preserve">27  </w:t>
      </w:r>
      <w:r>
        <w:rPr>
          <w:spacing w:val="-6"/>
          <w:sz w:val="24"/>
          <w:szCs w:val="24"/>
        </w:rPr>
        <w:t>日，云南省搬迁安置办以</w:t>
      </w:r>
      <w:r>
        <w:rPr>
          <w:spacing w:val="-1"/>
          <w:sz w:val="24"/>
          <w:szCs w:val="24"/>
        </w:rPr>
        <w:t>“云搬复〔</w:t>
      </w:r>
      <w:r>
        <w:rPr>
          <w:rFonts w:ascii="Times New Roman" w:hAnsi="Times New Roman" w:eastAsia="Times New Roman" w:cs="Times New Roman"/>
          <w:spacing w:val="-1"/>
          <w:sz w:val="24"/>
          <w:szCs w:val="24"/>
        </w:rPr>
        <w:t>2019</w:t>
      </w:r>
      <w:r>
        <w:rPr>
          <w:spacing w:val="-1"/>
          <w:sz w:val="24"/>
          <w:szCs w:val="24"/>
        </w:rPr>
        <w:t>〕</w:t>
      </w:r>
      <w:r>
        <w:rPr>
          <w:rFonts w:ascii="Times New Roman" w:hAnsi="Times New Roman" w:eastAsia="Times New Roman" w:cs="Times New Roman"/>
          <w:spacing w:val="-1"/>
          <w:sz w:val="24"/>
          <w:szCs w:val="24"/>
        </w:rPr>
        <w:t>106</w:t>
      </w:r>
      <w:r>
        <w:rPr>
          <w:rFonts w:ascii="Times New Roman" w:hAnsi="Times New Roman" w:eastAsia="Times New Roman" w:cs="Times New Roman"/>
          <w:spacing w:val="16"/>
          <w:sz w:val="24"/>
          <w:szCs w:val="24"/>
        </w:rPr>
        <w:t xml:space="preserve"> </w:t>
      </w:r>
      <w:r>
        <w:rPr>
          <w:spacing w:val="-1"/>
          <w:sz w:val="24"/>
          <w:szCs w:val="24"/>
        </w:rPr>
        <w:t>号”文同意车马碧水库生产安</w:t>
      </w:r>
      <w:r>
        <w:rPr>
          <w:spacing w:val="-2"/>
          <w:sz w:val="24"/>
          <w:szCs w:val="24"/>
        </w:rPr>
        <w:t>置方案设计变更。</w:t>
      </w:r>
    </w:p>
    <w:p w14:paraId="72289CB9">
      <w:pPr>
        <w:pStyle w:val="2"/>
        <w:spacing w:before="3" w:line="336" w:lineRule="auto"/>
        <w:ind w:left="38" w:firstLine="476"/>
        <w:jc w:val="both"/>
        <w:rPr>
          <w:sz w:val="24"/>
          <w:szCs w:val="24"/>
        </w:rPr>
      </w:pPr>
      <w:r>
        <w:rPr>
          <w:rFonts w:ascii="Times New Roman" w:hAnsi="Times New Roman" w:eastAsia="Times New Roman" w:cs="Times New Roman"/>
          <w:spacing w:val="-1"/>
          <w:sz w:val="24"/>
          <w:szCs w:val="24"/>
        </w:rPr>
        <w:t>2020</w:t>
      </w:r>
      <w:r>
        <w:rPr>
          <w:rFonts w:ascii="Times New Roman" w:hAnsi="Times New Roman" w:eastAsia="Times New Roman" w:cs="Times New Roman"/>
          <w:spacing w:val="24"/>
          <w:w w:val="101"/>
          <w:sz w:val="24"/>
          <w:szCs w:val="24"/>
        </w:rPr>
        <w:t xml:space="preserve"> </w:t>
      </w:r>
      <w:r>
        <w:rPr>
          <w:spacing w:val="-1"/>
          <w:sz w:val="24"/>
          <w:szCs w:val="24"/>
        </w:rPr>
        <w:t>年</w:t>
      </w:r>
      <w:r>
        <w:rPr>
          <w:spacing w:val="-42"/>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30"/>
          <w:w w:val="101"/>
          <w:sz w:val="24"/>
          <w:szCs w:val="24"/>
        </w:rPr>
        <w:t xml:space="preserve"> </w:t>
      </w:r>
      <w:r>
        <w:rPr>
          <w:spacing w:val="-1"/>
          <w:sz w:val="24"/>
          <w:szCs w:val="24"/>
        </w:rPr>
        <w:t>月，云南省水利水电勘测设计研究院编制完成《云南省曲靖市车马</w:t>
      </w:r>
      <w:r>
        <w:rPr>
          <w:spacing w:val="-7"/>
          <w:sz w:val="24"/>
          <w:szCs w:val="24"/>
        </w:rPr>
        <w:t>碧水库工程技施阶段移民生产安置方案设计变更报</w:t>
      </w:r>
      <w:r>
        <w:rPr>
          <w:spacing w:val="-8"/>
          <w:sz w:val="24"/>
          <w:szCs w:val="24"/>
        </w:rPr>
        <w:t>告》，</w:t>
      </w:r>
      <w:r>
        <w:rPr>
          <w:rFonts w:ascii="Times New Roman" w:hAnsi="Times New Roman" w:eastAsia="Times New Roman" w:cs="Times New Roman"/>
          <w:spacing w:val="-8"/>
          <w:sz w:val="24"/>
          <w:szCs w:val="24"/>
        </w:rPr>
        <w:t xml:space="preserve">2020 </w:t>
      </w:r>
      <w:r>
        <w:rPr>
          <w:spacing w:val="-8"/>
          <w:sz w:val="24"/>
          <w:szCs w:val="24"/>
        </w:rPr>
        <w:t>年</w:t>
      </w:r>
      <w:r>
        <w:rPr>
          <w:spacing w:val="-50"/>
          <w:sz w:val="24"/>
          <w:szCs w:val="24"/>
        </w:rPr>
        <w:t xml:space="preserve"> </w:t>
      </w:r>
      <w:r>
        <w:rPr>
          <w:rFonts w:ascii="Times New Roman" w:hAnsi="Times New Roman" w:eastAsia="Times New Roman" w:cs="Times New Roman"/>
          <w:spacing w:val="-8"/>
          <w:sz w:val="24"/>
          <w:szCs w:val="24"/>
        </w:rPr>
        <w:t>6</w:t>
      </w:r>
      <w:r>
        <w:rPr>
          <w:rFonts w:ascii="Times New Roman" w:hAnsi="Times New Roman" w:eastAsia="Times New Roman" w:cs="Times New Roman"/>
          <w:spacing w:val="15"/>
          <w:w w:val="101"/>
          <w:sz w:val="24"/>
          <w:szCs w:val="24"/>
        </w:rPr>
        <w:t xml:space="preserve"> </w:t>
      </w:r>
      <w:r>
        <w:rPr>
          <w:spacing w:val="-8"/>
          <w:sz w:val="24"/>
          <w:szCs w:val="24"/>
        </w:rPr>
        <w:t>月</w:t>
      </w:r>
      <w:r>
        <w:rPr>
          <w:spacing w:val="-46"/>
          <w:sz w:val="24"/>
          <w:szCs w:val="24"/>
        </w:rPr>
        <w:t xml:space="preserve"> </w:t>
      </w:r>
      <w:r>
        <w:rPr>
          <w:rFonts w:ascii="Times New Roman" w:hAnsi="Times New Roman" w:eastAsia="Times New Roman" w:cs="Times New Roman"/>
          <w:spacing w:val="-8"/>
          <w:sz w:val="24"/>
          <w:szCs w:val="24"/>
        </w:rPr>
        <w:t xml:space="preserve">8  </w:t>
      </w:r>
      <w:r>
        <w:rPr>
          <w:spacing w:val="-8"/>
          <w:sz w:val="24"/>
          <w:szCs w:val="24"/>
        </w:rPr>
        <w:t>日，云南省</w:t>
      </w:r>
      <w:r>
        <w:rPr>
          <w:spacing w:val="-1"/>
          <w:sz w:val="24"/>
          <w:szCs w:val="24"/>
        </w:rPr>
        <w:t>搬迁安置办以“云搬复〔</w:t>
      </w:r>
      <w:r>
        <w:rPr>
          <w:rFonts w:ascii="Times New Roman" w:hAnsi="Times New Roman" w:eastAsia="Times New Roman" w:cs="Times New Roman"/>
          <w:spacing w:val="-1"/>
          <w:sz w:val="24"/>
          <w:szCs w:val="24"/>
        </w:rPr>
        <w:t>2020</w:t>
      </w:r>
      <w:r>
        <w:rPr>
          <w:spacing w:val="-1"/>
          <w:sz w:val="24"/>
          <w:szCs w:val="24"/>
        </w:rPr>
        <w:t>〕</w:t>
      </w:r>
      <w:r>
        <w:rPr>
          <w:rFonts w:ascii="Times New Roman" w:hAnsi="Times New Roman" w:eastAsia="Times New Roman" w:cs="Times New Roman"/>
          <w:spacing w:val="-1"/>
          <w:sz w:val="24"/>
          <w:szCs w:val="24"/>
        </w:rPr>
        <w:t>26</w:t>
      </w:r>
      <w:r>
        <w:rPr>
          <w:rFonts w:ascii="Times New Roman" w:hAnsi="Times New Roman" w:eastAsia="Times New Roman" w:cs="Times New Roman"/>
          <w:spacing w:val="73"/>
          <w:sz w:val="24"/>
          <w:szCs w:val="24"/>
        </w:rPr>
        <w:t xml:space="preserve"> </w:t>
      </w:r>
      <w:r>
        <w:rPr>
          <w:spacing w:val="-1"/>
          <w:sz w:val="24"/>
          <w:szCs w:val="24"/>
        </w:rPr>
        <w:t>号”文进行了批复，基本同意以一次性货币补</w:t>
      </w:r>
      <w:r>
        <w:rPr>
          <w:spacing w:val="-2"/>
          <w:sz w:val="24"/>
          <w:szCs w:val="24"/>
        </w:rPr>
        <w:t>偿后自行安置为主，对大罗贵居民小组提出统一调剂配置耕地需求</w:t>
      </w:r>
      <w:r>
        <w:rPr>
          <w:spacing w:val="-3"/>
          <w:sz w:val="24"/>
          <w:szCs w:val="24"/>
        </w:rPr>
        <w:t>的少部分农户，</w:t>
      </w:r>
      <w:r>
        <w:rPr>
          <w:spacing w:val="-4"/>
          <w:sz w:val="24"/>
          <w:szCs w:val="24"/>
        </w:rPr>
        <w:t>辅以农业安置的方案。</w:t>
      </w:r>
    </w:p>
    <w:p w14:paraId="5039A7D7">
      <w:pPr>
        <w:pStyle w:val="2"/>
        <w:spacing w:before="14" w:line="338" w:lineRule="auto"/>
        <w:ind w:left="39" w:right="67" w:firstLine="479"/>
        <w:rPr>
          <w:sz w:val="24"/>
          <w:szCs w:val="24"/>
        </w:rPr>
      </w:pPr>
      <w:r>
        <w:rPr>
          <w:spacing w:val="-4"/>
          <w:sz w:val="24"/>
          <w:szCs w:val="24"/>
        </w:rPr>
        <w:t>截至目前，马龙区按批复的生产安置变更方案基本完</w:t>
      </w:r>
      <w:r>
        <w:rPr>
          <w:spacing w:val="-5"/>
          <w:sz w:val="24"/>
          <w:szCs w:val="24"/>
        </w:rPr>
        <w:t>成生产安置工作，配置土</w:t>
      </w:r>
      <w:r>
        <w:rPr>
          <w:spacing w:val="-9"/>
          <w:sz w:val="24"/>
          <w:szCs w:val="24"/>
        </w:rPr>
        <w:t>地面积</w:t>
      </w:r>
      <w:r>
        <w:rPr>
          <w:spacing w:val="-35"/>
          <w:sz w:val="24"/>
          <w:szCs w:val="24"/>
        </w:rPr>
        <w:t xml:space="preserve"> </w:t>
      </w:r>
      <w:r>
        <w:rPr>
          <w:rFonts w:ascii="Times New Roman" w:hAnsi="Times New Roman" w:eastAsia="Times New Roman" w:cs="Times New Roman"/>
          <w:spacing w:val="-9"/>
          <w:sz w:val="24"/>
          <w:szCs w:val="24"/>
        </w:rPr>
        <w:t xml:space="preserve">54.5 </w:t>
      </w:r>
      <w:r>
        <w:rPr>
          <w:spacing w:val="-9"/>
          <w:sz w:val="24"/>
          <w:szCs w:val="24"/>
        </w:rPr>
        <w:t>亩，完成土地补偿</w:t>
      </w:r>
      <w:r>
        <w:rPr>
          <w:spacing w:val="-55"/>
          <w:sz w:val="24"/>
          <w:szCs w:val="24"/>
        </w:rPr>
        <w:t xml:space="preserve"> </w:t>
      </w:r>
      <w:r>
        <w:rPr>
          <w:rFonts w:ascii="Times New Roman" w:hAnsi="Times New Roman" w:eastAsia="Times New Roman" w:cs="Times New Roman"/>
          <w:spacing w:val="-9"/>
          <w:sz w:val="24"/>
          <w:szCs w:val="24"/>
        </w:rPr>
        <w:t>22002.84</w:t>
      </w:r>
      <w:r>
        <w:rPr>
          <w:rFonts w:ascii="Times New Roman" w:hAnsi="Times New Roman" w:eastAsia="Times New Roman" w:cs="Times New Roman"/>
          <w:spacing w:val="15"/>
          <w:w w:val="101"/>
          <w:sz w:val="24"/>
          <w:szCs w:val="24"/>
        </w:rPr>
        <w:t xml:space="preserve"> </w:t>
      </w:r>
      <w:r>
        <w:rPr>
          <w:spacing w:val="-9"/>
          <w:sz w:val="24"/>
          <w:szCs w:val="24"/>
        </w:rPr>
        <w:t>万元（不含开发区补偿投资</w:t>
      </w:r>
      <w:r>
        <w:rPr>
          <w:spacing w:val="-49"/>
          <w:sz w:val="24"/>
          <w:szCs w:val="24"/>
        </w:rPr>
        <w:t xml:space="preserve"> </w:t>
      </w:r>
      <w:r>
        <w:rPr>
          <w:rFonts w:ascii="Times New Roman" w:hAnsi="Times New Roman" w:eastAsia="Times New Roman" w:cs="Times New Roman"/>
          <w:spacing w:val="-9"/>
          <w:sz w:val="24"/>
          <w:szCs w:val="24"/>
        </w:rPr>
        <w:t>604.33</w:t>
      </w:r>
      <w:r>
        <w:rPr>
          <w:rFonts w:ascii="Times New Roman" w:hAnsi="Times New Roman" w:eastAsia="Times New Roman" w:cs="Times New Roman"/>
          <w:spacing w:val="15"/>
          <w:sz w:val="24"/>
          <w:szCs w:val="24"/>
        </w:rPr>
        <w:t xml:space="preserve"> </w:t>
      </w:r>
      <w:r>
        <w:rPr>
          <w:spacing w:val="-9"/>
          <w:sz w:val="24"/>
          <w:szCs w:val="24"/>
        </w:rPr>
        <w:t>万元）。</w:t>
      </w:r>
    </w:p>
    <w:p w14:paraId="0B0CCD8F">
      <w:pPr>
        <w:pStyle w:val="2"/>
        <w:spacing w:before="1" w:line="217" w:lineRule="auto"/>
        <w:ind w:left="517"/>
        <w:rPr>
          <w:sz w:val="24"/>
          <w:szCs w:val="24"/>
        </w:rPr>
      </w:pPr>
      <w:r>
        <w:rPr>
          <w:spacing w:val="-2"/>
          <w:sz w:val="24"/>
          <w:szCs w:val="24"/>
        </w:rPr>
        <w:t>④工矿企业处理（云水机械厂旧址）</w:t>
      </w:r>
    </w:p>
    <w:p w14:paraId="1B3C7985">
      <w:pPr>
        <w:pStyle w:val="2"/>
        <w:spacing w:before="161" w:line="338" w:lineRule="auto"/>
        <w:ind w:left="38" w:right="65" w:firstLine="480"/>
        <w:rPr>
          <w:sz w:val="24"/>
          <w:szCs w:val="24"/>
        </w:rPr>
      </w:pPr>
      <w:r>
        <w:rPr>
          <w:spacing w:val="-4"/>
          <w:sz w:val="24"/>
          <w:szCs w:val="24"/>
        </w:rPr>
        <w:t xml:space="preserve">根据“规划报告”，车马碧水库淹没影响涉及原厂区高程在 </w:t>
      </w:r>
      <w:r>
        <w:rPr>
          <w:rFonts w:ascii="Times New Roman" w:hAnsi="Times New Roman" w:eastAsia="Times New Roman" w:cs="Times New Roman"/>
          <w:spacing w:val="-5"/>
          <w:sz w:val="24"/>
          <w:szCs w:val="24"/>
        </w:rPr>
        <w:t>1940.5m</w:t>
      </w:r>
      <w:r>
        <w:rPr>
          <w:spacing w:val="-5"/>
          <w:sz w:val="24"/>
          <w:szCs w:val="24"/>
        </w:rPr>
        <w:t>（浸没高</w:t>
      </w:r>
      <w:r>
        <w:rPr>
          <w:spacing w:val="-7"/>
          <w:sz w:val="24"/>
          <w:szCs w:val="24"/>
        </w:rPr>
        <w:t>程）以下的部分厂区房屋及附属建筑、设施设备等实物，</w:t>
      </w:r>
      <w:r>
        <w:rPr>
          <w:spacing w:val="-12"/>
          <w:sz w:val="24"/>
          <w:szCs w:val="24"/>
        </w:rPr>
        <w:t xml:space="preserve"> </w:t>
      </w:r>
      <w:r>
        <w:rPr>
          <w:spacing w:val="-7"/>
          <w:sz w:val="24"/>
          <w:szCs w:val="24"/>
        </w:rPr>
        <w:t>淹没主要实物成果为：办</w:t>
      </w:r>
      <w:r>
        <w:rPr>
          <w:spacing w:val="-6"/>
          <w:sz w:val="24"/>
          <w:szCs w:val="24"/>
        </w:rPr>
        <w:t>公用房</w:t>
      </w:r>
      <w:r>
        <w:rPr>
          <w:spacing w:val="-49"/>
          <w:sz w:val="24"/>
          <w:szCs w:val="24"/>
        </w:rPr>
        <w:t xml:space="preserve"> </w:t>
      </w:r>
      <w:r>
        <w:rPr>
          <w:rFonts w:ascii="Times New Roman" w:hAnsi="Times New Roman" w:eastAsia="Times New Roman" w:cs="Times New Roman"/>
          <w:spacing w:val="-6"/>
          <w:sz w:val="24"/>
          <w:szCs w:val="24"/>
        </w:rPr>
        <w:t>2008.7m</w:t>
      </w:r>
      <w:r>
        <w:rPr>
          <w:rFonts w:ascii="Times New Roman" w:hAnsi="Times New Roman" w:eastAsia="Times New Roman" w:cs="Times New Roman"/>
          <w:spacing w:val="-6"/>
          <w:position w:val="8"/>
          <w:sz w:val="15"/>
          <w:szCs w:val="15"/>
        </w:rPr>
        <w:t>2</w:t>
      </w:r>
      <w:r>
        <w:rPr>
          <w:spacing w:val="-6"/>
          <w:sz w:val="24"/>
          <w:szCs w:val="24"/>
        </w:rPr>
        <w:t>、车间厂房</w:t>
      </w:r>
      <w:r>
        <w:rPr>
          <w:spacing w:val="-51"/>
          <w:sz w:val="24"/>
          <w:szCs w:val="24"/>
        </w:rPr>
        <w:t xml:space="preserve"> </w:t>
      </w:r>
      <w:r>
        <w:rPr>
          <w:rFonts w:ascii="Times New Roman" w:hAnsi="Times New Roman" w:eastAsia="Times New Roman" w:cs="Times New Roman"/>
          <w:spacing w:val="-6"/>
          <w:sz w:val="24"/>
          <w:szCs w:val="24"/>
        </w:rPr>
        <w:t>9230.</w:t>
      </w:r>
      <w:r>
        <w:rPr>
          <w:rFonts w:ascii="Times New Roman" w:hAnsi="Times New Roman" w:eastAsia="Times New Roman" w:cs="Times New Roman"/>
          <w:spacing w:val="-7"/>
          <w:sz w:val="24"/>
          <w:szCs w:val="24"/>
        </w:rPr>
        <w:t>25m</w:t>
      </w:r>
      <w:r>
        <w:rPr>
          <w:rFonts w:ascii="Times New Roman" w:hAnsi="Times New Roman" w:eastAsia="Times New Roman" w:cs="Times New Roman"/>
          <w:spacing w:val="-7"/>
          <w:position w:val="8"/>
          <w:sz w:val="15"/>
          <w:szCs w:val="15"/>
        </w:rPr>
        <w:t>2</w:t>
      </w:r>
      <w:r>
        <w:rPr>
          <w:spacing w:val="-7"/>
          <w:sz w:val="24"/>
          <w:szCs w:val="24"/>
        </w:rPr>
        <w:t>、住房</w:t>
      </w:r>
      <w:r>
        <w:rPr>
          <w:spacing w:val="-56"/>
          <w:sz w:val="24"/>
          <w:szCs w:val="24"/>
        </w:rPr>
        <w:t xml:space="preserve"> </w:t>
      </w:r>
      <w:r>
        <w:rPr>
          <w:rFonts w:ascii="Times New Roman" w:hAnsi="Times New Roman" w:eastAsia="Times New Roman" w:cs="Times New Roman"/>
          <w:spacing w:val="-7"/>
          <w:sz w:val="24"/>
          <w:szCs w:val="24"/>
        </w:rPr>
        <w:t>474.77m</w:t>
      </w:r>
      <w:r>
        <w:rPr>
          <w:rFonts w:ascii="Times New Roman" w:hAnsi="Times New Roman" w:eastAsia="Times New Roman" w:cs="Times New Roman"/>
          <w:spacing w:val="-7"/>
          <w:position w:val="8"/>
          <w:sz w:val="15"/>
          <w:szCs w:val="15"/>
        </w:rPr>
        <w:t>2</w:t>
      </w:r>
      <w:r>
        <w:rPr>
          <w:spacing w:val="-7"/>
          <w:sz w:val="24"/>
          <w:szCs w:val="24"/>
        </w:rPr>
        <w:t>、厕所</w:t>
      </w:r>
      <w:r>
        <w:rPr>
          <w:spacing w:val="-31"/>
          <w:sz w:val="24"/>
          <w:szCs w:val="24"/>
        </w:rPr>
        <w:t xml:space="preserve"> </w:t>
      </w:r>
      <w:r>
        <w:rPr>
          <w:rFonts w:ascii="Times New Roman" w:hAnsi="Times New Roman" w:eastAsia="Times New Roman" w:cs="Times New Roman"/>
          <w:spacing w:val="-7"/>
          <w:sz w:val="24"/>
          <w:szCs w:val="24"/>
        </w:rPr>
        <w:t>162.73m</w:t>
      </w:r>
      <w:r>
        <w:rPr>
          <w:rFonts w:ascii="Times New Roman" w:hAnsi="Times New Roman" w:eastAsia="Times New Roman" w:cs="Times New Roman"/>
          <w:spacing w:val="-7"/>
          <w:position w:val="8"/>
          <w:sz w:val="15"/>
          <w:szCs w:val="15"/>
        </w:rPr>
        <w:t>2</w:t>
      </w:r>
      <w:r>
        <w:rPr>
          <w:spacing w:val="-22"/>
          <w:sz w:val="24"/>
          <w:szCs w:val="24"/>
        </w:rPr>
        <w:t>、铁门</w:t>
      </w:r>
      <w:r>
        <w:rPr>
          <w:spacing w:val="-32"/>
          <w:sz w:val="24"/>
          <w:szCs w:val="24"/>
        </w:rPr>
        <w:t xml:space="preserve"> </w:t>
      </w:r>
      <w:r>
        <w:rPr>
          <w:rFonts w:ascii="Times New Roman" w:hAnsi="Times New Roman" w:eastAsia="Times New Roman" w:cs="Times New Roman"/>
          <w:spacing w:val="-22"/>
          <w:sz w:val="24"/>
          <w:szCs w:val="24"/>
        </w:rPr>
        <w:t>1</w:t>
      </w:r>
      <w:r>
        <w:rPr>
          <w:rFonts w:ascii="Times New Roman" w:hAnsi="Times New Roman" w:eastAsia="Times New Roman" w:cs="Times New Roman"/>
          <w:spacing w:val="8"/>
          <w:sz w:val="24"/>
          <w:szCs w:val="24"/>
        </w:rPr>
        <w:t xml:space="preserve"> </w:t>
      </w:r>
      <w:r>
        <w:rPr>
          <w:spacing w:val="-22"/>
          <w:sz w:val="24"/>
          <w:szCs w:val="24"/>
        </w:rPr>
        <w:t>道、</w:t>
      </w:r>
      <w:r>
        <w:rPr>
          <w:spacing w:val="-2"/>
          <w:sz w:val="24"/>
          <w:szCs w:val="24"/>
        </w:rPr>
        <w:t xml:space="preserve">晒场 </w:t>
      </w:r>
      <w:r>
        <w:rPr>
          <w:rFonts w:ascii="Times New Roman" w:hAnsi="Times New Roman" w:eastAsia="Times New Roman" w:cs="Times New Roman"/>
          <w:spacing w:val="-2"/>
          <w:sz w:val="24"/>
          <w:szCs w:val="24"/>
        </w:rPr>
        <w:t>17525.39m</w:t>
      </w:r>
      <w:r>
        <w:rPr>
          <w:rFonts w:ascii="Times New Roman" w:hAnsi="Times New Roman" w:eastAsia="Times New Roman" w:cs="Times New Roman"/>
          <w:spacing w:val="-2"/>
          <w:position w:val="8"/>
          <w:sz w:val="15"/>
          <w:szCs w:val="15"/>
        </w:rPr>
        <w:t>2</w:t>
      </w:r>
      <w:r>
        <w:rPr>
          <w:spacing w:val="-2"/>
          <w:sz w:val="24"/>
          <w:szCs w:val="24"/>
        </w:rPr>
        <w:t>、围墙</w:t>
      </w:r>
      <w:r>
        <w:rPr>
          <w:spacing w:val="-24"/>
          <w:sz w:val="24"/>
          <w:szCs w:val="24"/>
        </w:rPr>
        <w:t xml:space="preserve"> </w:t>
      </w:r>
      <w:r>
        <w:rPr>
          <w:rFonts w:ascii="Times New Roman" w:hAnsi="Times New Roman" w:eastAsia="Times New Roman" w:cs="Times New Roman"/>
          <w:spacing w:val="-2"/>
          <w:sz w:val="24"/>
          <w:szCs w:val="24"/>
        </w:rPr>
        <w:t>5498.7</w:t>
      </w:r>
      <w:r>
        <w:rPr>
          <w:rFonts w:ascii="Times New Roman" w:hAnsi="Times New Roman" w:eastAsia="Times New Roman" w:cs="Times New Roman"/>
          <w:spacing w:val="-3"/>
          <w:sz w:val="24"/>
          <w:szCs w:val="24"/>
        </w:rPr>
        <w:t>3m</w:t>
      </w:r>
      <w:r>
        <w:rPr>
          <w:rFonts w:ascii="Times New Roman" w:hAnsi="Times New Roman" w:eastAsia="Times New Roman" w:cs="Times New Roman"/>
          <w:spacing w:val="-3"/>
          <w:position w:val="8"/>
          <w:sz w:val="15"/>
          <w:szCs w:val="15"/>
        </w:rPr>
        <w:t>2</w:t>
      </w:r>
      <w:r>
        <w:rPr>
          <w:spacing w:val="-3"/>
          <w:sz w:val="24"/>
          <w:szCs w:val="24"/>
        </w:rPr>
        <w:t xml:space="preserve">、水池 </w:t>
      </w:r>
      <w:r>
        <w:rPr>
          <w:rFonts w:ascii="Times New Roman" w:hAnsi="Times New Roman" w:eastAsia="Times New Roman" w:cs="Times New Roman"/>
          <w:spacing w:val="-3"/>
          <w:sz w:val="24"/>
          <w:szCs w:val="24"/>
        </w:rPr>
        <w:t>86.64m</w:t>
      </w:r>
      <w:r>
        <w:rPr>
          <w:rFonts w:ascii="Times New Roman" w:hAnsi="Times New Roman" w:eastAsia="Times New Roman" w:cs="Times New Roman"/>
          <w:spacing w:val="-3"/>
          <w:position w:val="8"/>
          <w:sz w:val="15"/>
          <w:szCs w:val="15"/>
        </w:rPr>
        <w:t>3</w:t>
      </w:r>
      <w:r>
        <w:rPr>
          <w:spacing w:val="-3"/>
          <w:sz w:val="24"/>
          <w:szCs w:val="24"/>
        </w:rPr>
        <w:t>、厂区绿化</w:t>
      </w:r>
      <w:r>
        <w:rPr>
          <w:spacing w:val="-23"/>
          <w:sz w:val="24"/>
          <w:szCs w:val="24"/>
        </w:rPr>
        <w:t xml:space="preserve"> </w:t>
      </w:r>
      <w:r>
        <w:rPr>
          <w:rFonts w:ascii="Times New Roman" w:hAnsi="Times New Roman" w:eastAsia="Times New Roman" w:cs="Times New Roman"/>
          <w:spacing w:val="-3"/>
          <w:sz w:val="24"/>
          <w:szCs w:val="24"/>
        </w:rPr>
        <w:t>58334m</w:t>
      </w:r>
      <w:r>
        <w:rPr>
          <w:rFonts w:ascii="Times New Roman" w:hAnsi="Times New Roman" w:eastAsia="Times New Roman" w:cs="Times New Roman"/>
          <w:spacing w:val="-3"/>
          <w:position w:val="8"/>
          <w:sz w:val="15"/>
          <w:szCs w:val="15"/>
        </w:rPr>
        <w:t>2</w:t>
      </w:r>
      <w:r>
        <w:rPr>
          <w:spacing w:val="-3"/>
          <w:sz w:val="24"/>
          <w:szCs w:val="24"/>
        </w:rPr>
        <w:t>，绿化树木</w:t>
      </w:r>
      <w:r>
        <w:rPr>
          <w:rFonts w:ascii="Times New Roman" w:hAnsi="Times New Roman" w:eastAsia="Times New Roman" w:cs="Times New Roman"/>
          <w:spacing w:val="-4"/>
          <w:sz w:val="24"/>
          <w:szCs w:val="24"/>
        </w:rPr>
        <w:t xml:space="preserve">1944 </w:t>
      </w:r>
      <w:r>
        <w:rPr>
          <w:spacing w:val="-4"/>
          <w:sz w:val="24"/>
          <w:szCs w:val="24"/>
        </w:rPr>
        <w:t>株，设施主要为水泥电杆</w:t>
      </w:r>
      <w:r>
        <w:rPr>
          <w:spacing w:val="-33"/>
          <w:sz w:val="24"/>
          <w:szCs w:val="24"/>
        </w:rPr>
        <w:t xml:space="preserve"> </w:t>
      </w:r>
      <w:r>
        <w:rPr>
          <w:rFonts w:ascii="Times New Roman" w:hAnsi="Times New Roman" w:eastAsia="Times New Roman" w:cs="Times New Roman"/>
          <w:spacing w:val="-4"/>
          <w:sz w:val="24"/>
          <w:szCs w:val="24"/>
        </w:rPr>
        <w:t xml:space="preserve">51 </w:t>
      </w:r>
      <w:r>
        <w:rPr>
          <w:spacing w:val="-4"/>
          <w:sz w:val="24"/>
          <w:szCs w:val="24"/>
        </w:rPr>
        <w:t>根、抽水泵站</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座、深井泵站</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座和抽水站工作</w:t>
      </w:r>
      <w:r>
        <w:rPr>
          <w:spacing w:val="-13"/>
          <w:sz w:val="24"/>
          <w:szCs w:val="24"/>
        </w:rPr>
        <w:t>桥</w:t>
      </w:r>
      <w:r>
        <w:rPr>
          <w:spacing w:val="-32"/>
          <w:sz w:val="24"/>
          <w:szCs w:val="24"/>
        </w:rPr>
        <w:t xml:space="preserve"> </w:t>
      </w:r>
      <w:r>
        <w:rPr>
          <w:rFonts w:ascii="Times New Roman" w:hAnsi="Times New Roman" w:eastAsia="Times New Roman" w:cs="Times New Roman"/>
          <w:spacing w:val="-13"/>
          <w:sz w:val="24"/>
          <w:szCs w:val="24"/>
        </w:rPr>
        <w:t>1</w:t>
      </w:r>
      <w:r>
        <w:rPr>
          <w:rFonts w:ascii="Times New Roman" w:hAnsi="Times New Roman" w:eastAsia="Times New Roman" w:cs="Times New Roman"/>
          <w:spacing w:val="11"/>
          <w:sz w:val="24"/>
          <w:szCs w:val="24"/>
        </w:rPr>
        <w:t xml:space="preserve"> </w:t>
      </w:r>
      <w:r>
        <w:rPr>
          <w:spacing w:val="-13"/>
          <w:sz w:val="24"/>
          <w:szCs w:val="24"/>
        </w:rPr>
        <w:t>座（长</w:t>
      </w:r>
      <w:r>
        <w:rPr>
          <w:spacing w:val="-56"/>
          <w:sz w:val="24"/>
          <w:szCs w:val="24"/>
        </w:rPr>
        <w:t xml:space="preserve"> </w:t>
      </w:r>
      <w:r>
        <w:rPr>
          <w:rFonts w:ascii="Times New Roman" w:hAnsi="Times New Roman" w:eastAsia="Times New Roman" w:cs="Times New Roman"/>
          <w:spacing w:val="-13"/>
          <w:sz w:val="24"/>
          <w:szCs w:val="24"/>
        </w:rPr>
        <w:t>40m</w:t>
      </w:r>
      <w:r>
        <w:rPr>
          <w:spacing w:val="-13"/>
          <w:sz w:val="24"/>
          <w:szCs w:val="24"/>
        </w:rPr>
        <w:t>）。</w:t>
      </w:r>
    </w:p>
    <w:p w14:paraId="731B02AC">
      <w:pPr>
        <w:pStyle w:val="2"/>
        <w:spacing w:before="1" w:line="338" w:lineRule="auto"/>
        <w:ind w:left="65" w:right="120" w:firstLine="460"/>
        <w:rPr>
          <w:sz w:val="24"/>
          <w:szCs w:val="24"/>
        </w:rPr>
      </w:pPr>
      <w:r>
        <w:rPr>
          <w:spacing w:val="-3"/>
          <w:sz w:val="24"/>
          <w:szCs w:val="24"/>
        </w:rPr>
        <w:t>云水机械厂旧址处理概算投资</w:t>
      </w:r>
      <w:r>
        <w:rPr>
          <w:spacing w:val="-16"/>
          <w:sz w:val="24"/>
          <w:szCs w:val="24"/>
        </w:rPr>
        <w:t xml:space="preserve"> </w:t>
      </w:r>
      <w:r>
        <w:rPr>
          <w:rFonts w:ascii="Times New Roman" w:hAnsi="Times New Roman" w:eastAsia="Times New Roman" w:cs="Times New Roman"/>
          <w:spacing w:val="-3"/>
          <w:sz w:val="24"/>
          <w:szCs w:val="24"/>
        </w:rPr>
        <w:t>775.71</w:t>
      </w:r>
      <w:r>
        <w:rPr>
          <w:rFonts w:ascii="Times New Roman" w:hAnsi="Times New Roman" w:eastAsia="Times New Roman" w:cs="Times New Roman"/>
          <w:spacing w:val="37"/>
          <w:sz w:val="24"/>
          <w:szCs w:val="24"/>
        </w:rPr>
        <w:t xml:space="preserve"> </w:t>
      </w:r>
      <w:r>
        <w:rPr>
          <w:spacing w:val="-3"/>
          <w:sz w:val="24"/>
          <w:szCs w:val="24"/>
        </w:rPr>
        <w:t>万元。根据实施工作报告，截至目前，</w:t>
      </w:r>
      <w:r>
        <w:rPr>
          <w:spacing w:val="-4"/>
          <w:sz w:val="24"/>
          <w:szCs w:val="24"/>
        </w:rPr>
        <w:t>已兑付云水机械厂旧址补偿费</w:t>
      </w:r>
      <w:r>
        <w:rPr>
          <w:spacing w:val="-54"/>
          <w:sz w:val="24"/>
          <w:szCs w:val="24"/>
        </w:rPr>
        <w:t xml:space="preserve"> </w:t>
      </w:r>
      <w:r>
        <w:rPr>
          <w:rFonts w:ascii="Times New Roman" w:hAnsi="Times New Roman" w:eastAsia="Times New Roman" w:cs="Times New Roman"/>
          <w:spacing w:val="-4"/>
          <w:sz w:val="24"/>
          <w:szCs w:val="24"/>
        </w:rPr>
        <w:t>400</w:t>
      </w:r>
      <w:r>
        <w:rPr>
          <w:rFonts w:ascii="Times New Roman" w:hAnsi="Times New Roman" w:eastAsia="Times New Roman" w:cs="Times New Roman"/>
          <w:spacing w:val="15"/>
          <w:w w:val="101"/>
          <w:sz w:val="24"/>
          <w:szCs w:val="24"/>
        </w:rPr>
        <w:t xml:space="preserve"> </w:t>
      </w:r>
      <w:r>
        <w:rPr>
          <w:spacing w:val="-4"/>
          <w:sz w:val="24"/>
          <w:szCs w:val="24"/>
        </w:rPr>
        <w:t>万元。</w:t>
      </w:r>
    </w:p>
    <w:p w14:paraId="03063F8C">
      <w:pPr>
        <w:pStyle w:val="2"/>
        <w:spacing w:before="1" w:line="217" w:lineRule="auto"/>
        <w:ind w:left="517"/>
        <w:rPr>
          <w:sz w:val="24"/>
          <w:szCs w:val="24"/>
        </w:rPr>
      </w:pPr>
      <w:r>
        <w:rPr>
          <w:spacing w:val="-1"/>
          <w:sz w:val="24"/>
          <w:szCs w:val="24"/>
        </w:rPr>
        <w:t>⑤专业项目改（复）建及处理</w:t>
      </w:r>
    </w:p>
    <w:p w14:paraId="78ECD5A1">
      <w:pPr>
        <w:pStyle w:val="2"/>
        <w:spacing w:before="156" w:line="336" w:lineRule="auto"/>
        <w:ind w:left="41" w:right="66" w:firstLine="477"/>
        <w:rPr>
          <w:sz w:val="24"/>
          <w:szCs w:val="24"/>
        </w:rPr>
      </w:pPr>
      <w:r>
        <w:rPr>
          <w:spacing w:val="-4"/>
          <w:sz w:val="24"/>
          <w:szCs w:val="24"/>
        </w:rPr>
        <w:t>铁路工程：车马碧水库工程库区淹没涉及沪昆铁路客</w:t>
      </w:r>
      <w:r>
        <w:rPr>
          <w:spacing w:val="-5"/>
          <w:sz w:val="24"/>
          <w:szCs w:val="24"/>
        </w:rPr>
        <w:t>运专线白塔铺特大桥、三</w:t>
      </w:r>
      <w:r>
        <w:rPr>
          <w:spacing w:val="-3"/>
          <w:sz w:val="24"/>
          <w:szCs w:val="24"/>
        </w:rPr>
        <w:t>家特大桥、上罗贵特大桥和马龙河</w:t>
      </w:r>
      <w:r>
        <w:rPr>
          <w:spacing w:val="-45"/>
          <w:sz w:val="24"/>
          <w:szCs w:val="24"/>
        </w:rPr>
        <w:t xml:space="preserve"> </w:t>
      </w:r>
      <w:r>
        <w:rPr>
          <w:rFonts w:ascii="Times New Roman" w:hAnsi="Times New Roman" w:eastAsia="Times New Roman" w:cs="Times New Roman"/>
          <w:spacing w:val="-3"/>
          <w:sz w:val="24"/>
          <w:szCs w:val="24"/>
        </w:rPr>
        <w:t>2#</w:t>
      </w:r>
      <w:r>
        <w:rPr>
          <w:spacing w:val="-3"/>
          <w:sz w:val="24"/>
          <w:szCs w:val="24"/>
        </w:rPr>
        <w:t>大桥桥墩合计</w:t>
      </w:r>
      <w:r>
        <w:rPr>
          <w:spacing w:val="-50"/>
          <w:sz w:val="24"/>
          <w:szCs w:val="24"/>
        </w:rPr>
        <w:t xml:space="preserve"> </w:t>
      </w:r>
      <w:r>
        <w:rPr>
          <w:rFonts w:ascii="Times New Roman" w:hAnsi="Times New Roman" w:eastAsia="Times New Roman" w:cs="Times New Roman"/>
          <w:spacing w:val="-3"/>
          <w:sz w:val="24"/>
          <w:szCs w:val="24"/>
        </w:rPr>
        <w:t xml:space="preserve">36 </w:t>
      </w:r>
      <w:r>
        <w:rPr>
          <w:spacing w:val="-3"/>
          <w:sz w:val="24"/>
          <w:szCs w:val="24"/>
        </w:rPr>
        <w:t>个，涉及贵昆铁路小车章双</w:t>
      </w:r>
      <w:r>
        <w:rPr>
          <w:spacing w:val="-2"/>
          <w:sz w:val="24"/>
          <w:szCs w:val="24"/>
        </w:rPr>
        <w:t>线特大桥和小车章老单线大桥桥墩合计</w:t>
      </w:r>
      <w:r>
        <w:rPr>
          <w:spacing w:val="-14"/>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个。因贵昆铁路小车章老单线大桥已停</w:t>
      </w:r>
      <w:r>
        <w:rPr>
          <w:spacing w:val="-4"/>
          <w:sz w:val="24"/>
          <w:szCs w:val="24"/>
        </w:rPr>
        <w:t>用废弃，不再进行处理，水库库底清理时拆除；对淹没影响的其他桥梁</w:t>
      </w:r>
      <w:r>
        <w:rPr>
          <w:spacing w:val="-5"/>
          <w:sz w:val="24"/>
          <w:szCs w:val="24"/>
        </w:rPr>
        <w:t>桥墩进行加</w:t>
      </w:r>
    </w:p>
    <w:p w14:paraId="751D810E">
      <w:pPr>
        <w:spacing w:line="336" w:lineRule="auto"/>
        <w:rPr>
          <w:sz w:val="24"/>
          <w:szCs w:val="24"/>
        </w:rPr>
        <w:sectPr>
          <w:headerReference r:id="rId64" w:type="default"/>
          <w:footerReference r:id="rId65" w:type="default"/>
          <w:pgSz w:w="11907" w:h="16839"/>
          <w:pgMar w:top="1376" w:right="1633" w:bottom="1061" w:left="1671" w:header="999" w:footer="861" w:gutter="0"/>
          <w:cols w:space="720" w:num="1"/>
        </w:sectPr>
      </w:pPr>
    </w:p>
    <w:p w14:paraId="3E0F7B36">
      <w:pPr>
        <w:spacing w:line="454" w:lineRule="auto"/>
        <w:rPr>
          <w:rFonts w:ascii="Arial"/>
          <w:sz w:val="21"/>
        </w:rPr>
      </w:pPr>
    </w:p>
    <w:p w14:paraId="5CE90613">
      <w:pPr>
        <w:pStyle w:val="2"/>
        <w:spacing w:before="78" w:line="339" w:lineRule="auto"/>
        <w:ind w:left="42" w:right="184" w:firstLine="17"/>
        <w:rPr>
          <w:sz w:val="24"/>
          <w:szCs w:val="24"/>
        </w:rPr>
      </w:pPr>
      <w:r>
        <w:rPr>
          <w:spacing w:val="-7"/>
          <w:sz w:val="24"/>
          <w:szCs w:val="24"/>
        </w:rPr>
        <w:t>固防护处理。根据实施工作报告和现场踏勘，</w:t>
      </w:r>
      <w:r>
        <w:rPr>
          <w:spacing w:val="89"/>
          <w:sz w:val="24"/>
          <w:szCs w:val="24"/>
        </w:rPr>
        <w:t xml:space="preserve"> </w:t>
      </w:r>
      <w:r>
        <w:rPr>
          <w:spacing w:val="-7"/>
          <w:sz w:val="24"/>
          <w:szCs w:val="24"/>
        </w:rPr>
        <w:t>已完成</w:t>
      </w:r>
      <w:r>
        <w:rPr>
          <w:spacing w:val="-55"/>
          <w:sz w:val="24"/>
          <w:szCs w:val="24"/>
        </w:rPr>
        <w:t xml:space="preserve"> </w:t>
      </w:r>
      <w:r>
        <w:rPr>
          <w:rFonts w:ascii="Times New Roman" w:hAnsi="Times New Roman" w:eastAsia="Times New Roman" w:cs="Times New Roman"/>
          <w:spacing w:val="-7"/>
          <w:sz w:val="24"/>
          <w:szCs w:val="24"/>
        </w:rPr>
        <w:t xml:space="preserve">48 </w:t>
      </w:r>
      <w:r>
        <w:rPr>
          <w:spacing w:val="-7"/>
          <w:sz w:val="24"/>
          <w:szCs w:val="24"/>
        </w:rPr>
        <w:t>个桥墩的防护工作，完成</w:t>
      </w:r>
      <w:r>
        <w:rPr>
          <w:spacing w:val="-8"/>
          <w:sz w:val="24"/>
          <w:szCs w:val="24"/>
        </w:rPr>
        <w:t>投资</w:t>
      </w:r>
      <w:r>
        <w:rPr>
          <w:spacing w:val="-27"/>
          <w:sz w:val="24"/>
          <w:szCs w:val="24"/>
        </w:rPr>
        <w:t xml:space="preserve"> </w:t>
      </w:r>
      <w:r>
        <w:rPr>
          <w:rFonts w:ascii="Times New Roman" w:hAnsi="Times New Roman" w:eastAsia="Times New Roman" w:cs="Times New Roman"/>
          <w:spacing w:val="-8"/>
          <w:sz w:val="24"/>
          <w:szCs w:val="24"/>
        </w:rPr>
        <w:t>1811.2</w:t>
      </w:r>
      <w:r>
        <w:rPr>
          <w:rFonts w:ascii="Times New Roman" w:hAnsi="Times New Roman" w:eastAsia="Times New Roman" w:cs="Times New Roman"/>
          <w:spacing w:val="15"/>
          <w:sz w:val="24"/>
          <w:szCs w:val="24"/>
        </w:rPr>
        <w:t xml:space="preserve"> </w:t>
      </w:r>
      <w:r>
        <w:rPr>
          <w:spacing w:val="-8"/>
          <w:sz w:val="24"/>
          <w:szCs w:val="24"/>
        </w:rPr>
        <w:t>万元。</w:t>
      </w:r>
    </w:p>
    <w:p w14:paraId="617B58DB">
      <w:pPr>
        <w:pStyle w:val="2"/>
        <w:spacing w:before="2" w:line="332" w:lineRule="auto"/>
        <w:ind w:left="40" w:right="185" w:firstLine="486"/>
        <w:rPr>
          <w:sz w:val="24"/>
          <w:szCs w:val="24"/>
        </w:rPr>
      </w:pPr>
      <w:r>
        <w:rPr>
          <w:spacing w:val="-1"/>
          <w:sz w:val="24"/>
          <w:szCs w:val="24"/>
        </w:rPr>
        <w:t>尹堡火车站供水站：车马碧水库淹没影响尹堡火</w:t>
      </w:r>
      <w:r>
        <w:rPr>
          <w:spacing w:val="-2"/>
          <w:sz w:val="24"/>
          <w:szCs w:val="24"/>
        </w:rPr>
        <w:t>车站供水站房屋</w:t>
      </w:r>
      <w:r>
        <w:rPr>
          <w:spacing w:val="33"/>
          <w:sz w:val="24"/>
          <w:szCs w:val="24"/>
        </w:rPr>
        <w:t xml:space="preserve"> </w:t>
      </w:r>
      <w:r>
        <w:rPr>
          <w:rFonts w:ascii="Times New Roman" w:hAnsi="Times New Roman" w:eastAsia="Times New Roman" w:cs="Times New Roman"/>
          <w:spacing w:val="-2"/>
          <w:sz w:val="24"/>
          <w:szCs w:val="24"/>
        </w:rPr>
        <w:t>131.58m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12"/>
          <w:position w:val="8"/>
          <w:sz w:val="15"/>
          <w:szCs w:val="15"/>
        </w:rPr>
        <w:t xml:space="preserve"> </w:t>
      </w:r>
      <w:r>
        <w:rPr>
          <w:spacing w:val="-2"/>
          <w:sz w:val="24"/>
          <w:szCs w:val="24"/>
        </w:rPr>
        <w:t>、</w:t>
      </w:r>
      <w:r>
        <w:rPr>
          <w:spacing w:val="-3"/>
          <w:sz w:val="24"/>
          <w:szCs w:val="24"/>
        </w:rPr>
        <w:t>厕所</w:t>
      </w:r>
      <w:r>
        <w:rPr>
          <w:spacing w:val="-56"/>
          <w:sz w:val="24"/>
          <w:szCs w:val="24"/>
        </w:rPr>
        <w:t xml:space="preserve"> </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2</w:t>
      </w:r>
      <w:r>
        <w:rPr>
          <w:spacing w:val="-3"/>
          <w:sz w:val="24"/>
          <w:szCs w:val="24"/>
        </w:rPr>
        <w:t>、铁门一道、水泥晒场</w:t>
      </w:r>
      <w:r>
        <w:rPr>
          <w:spacing w:val="-55"/>
          <w:sz w:val="24"/>
          <w:szCs w:val="24"/>
        </w:rPr>
        <w:t xml:space="preserve"> </w:t>
      </w:r>
      <w:r>
        <w:rPr>
          <w:rFonts w:ascii="Times New Roman" w:hAnsi="Times New Roman" w:eastAsia="Times New Roman" w:cs="Times New Roman"/>
          <w:spacing w:val="-3"/>
          <w:sz w:val="24"/>
          <w:szCs w:val="24"/>
        </w:rPr>
        <w:t>411.40</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2</w:t>
      </w:r>
      <w:r>
        <w:rPr>
          <w:spacing w:val="-3"/>
          <w:sz w:val="24"/>
          <w:szCs w:val="24"/>
        </w:rPr>
        <w:t>、水池</w:t>
      </w:r>
      <w:r>
        <w:rPr>
          <w:spacing w:val="-48"/>
          <w:sz w:val="24"/>
          <w:szCs w:val="24"/>
        </w:rPr>
        <w:t xml:space="preserve"> </w:t>
      </w:r>
      <w:r>
        <w:rPr>
          <w:rFonts w:ascii="Times New Roman" w:hAnsi="Times New Roman" w:eastAsia="Times New Roman" w:cs="Times New Roman"/>
          <w:spacing w:val="-3"/>
          <w:sz w:val="24"/>
          <w:szCs w:val="24"/>
        </w:rPr>
        <w:t>58</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4"/>
          <w:position w:val="8"/>
          <w:sz w:val="15"/>
          <w:szCs w:val="15"/>
        </w:rPr>
        <w:t>3</w:t>
      </w:r>
      <w:r>
        <w:rPr>
          <w:spacing w:val="-4"/>
          <w:sz w:val="24"/>
          <w:szCs w:val="24"/>
        </w:rPr>
        <w:t>，零星树木</w:t>
      </w:r>
      <w:r>
        <w:rPr>
          <w:spacing w:val="-51"/>
          <w:sz w:val="24"/>
          <w:szCs w:val="24"/>
        </w:rPr>
        <w:t xml:space="preserve"> </w:t>
      </w:r>
      <w:r>
        <w:rPr>
          <w:rFonts w:ascii="Times New Roman" w:hAnsi="Times New Roman" w:eastAsia="Times New Roman" w:cs="Times New Roman"/>
          <w:spacing w:val="-4"/>
          <w:sz w:val="24"/>
          <w:szCs w:val="24"/>
        </w:rPr>
        <w:t xml:space="preserve">7 </w:t>
      </w:r>
      <w:r>
        <w:rPr>
          <w:spacing w:val="-4"/>
          <w:sz w:val="24"/>
          <w:szCs w:val="24"/>
        </w:rPr>
        <w:t>株。因贵昆铁</w:t>
      </w:r>
      <w:r>
        <w:rPr>
          <w:spacing w:val="-1"/>
          <w:sz w:val="24"/>
          <w:szCs w:val="24"/>
        </w:rPr>
        <w:t>路改线后，尹堡火车站已停用废弃，规划采取一</w:t>
      </w:r>
      <w:r>
        <w:rPr>
          <w:spacing w:val="-2"/>
          <w:sz w:val="24"/>
          <w:szCs w:val="24"/>
        </w:rPr>
        <w:t>次性补偿后，不再迁建。</w:t>
      </w:r>
    </w:p>
    <w:p w14:paraId="2B4A9C93">
      <w:pPr>
        <w:pStyle w:val="2"/>
        <w:spacing w:before="23" w:line="337" w:lineRule="auto"/>
        <w:ind w:left="32" w:right="183" w:firstLine="494"/>
        <w:rPr>
          <w:sz w:val="24"/>
          <w:szCs w:val="24"/>
        </w:rPr>
      </w:pPr>
      <w:r>
        <w:rPr>
          <w:spacing w:val="-3"/>
          <w:sz w:val="24"/>
          <w:szCs w:val="24"/>
        </w:rPr>
        <w:t>公路工程：车马碧水库工程建设征地影响四级公路</w:t>
      </w:r>
      <w:r>
        <w:rPr>
          <w:spacing w:val="-56"/>
          <w:sz w:val="24"/>
          <w:szCs w:val="24"/>
        </w:rPr>
        <w:t xml:space="preserve"> </w:t>
      </w:r>
      <w:r>
        <w:rPr>
          <w:rFonts w:ascii="Times New Roman" w:hAnsi="Times New Roman" w:eastAsia="Times New Roman" w:cs="Times New Roman"/>
          <w:spacing w:val="-3"/>
          <w:sz w:val="24"/>
          <w:szCs w:val="24"/>
        </w:rPr>
        <w:t xml:space="preserve">4  </w:t>
      </w:r>
      <w:r>
        <w:rPr>
          <w:spacing w:val="-3"/>
          <w:sz w:val="24"/>
          <w:szCs w:val="24"/>
        </w:rPr>
        <w:t>条（王家庄</w:t>
      </w:r>
      <w:r>
        <w:rPr>
          <w:rFonts w:ascii="Times New Roman" w:hAnsi="Times New Roman" w:eastAsia="Times New Roman" w:cs="Times New Roman"/>
          <w:spacing w:val="-3"/>
          <w:sz w:val="24"/>
          <w:szCs w:val="24"/>
        </w:rPr>
        <w:t>~</w:t>
      </w:r>
      <w:r>
        <w:rPr>
          <w:spacing w:val="-3"/>
          <w:sz w:val="24"/>
          <w:szCs w:val="24"/>
        </w:rPr>
        <w:t>干冲、角家</w:t>
      </w:r>
      <w:r>
        <w:rPr>
          <w:rFonts w:ascii="Times New Roman" w:hAnsi="Times New Roman" w:eastAsia="Times New Roman" w:cs="Times New Roman"/>
          <w:spacing w:val="-10"/>
          <w:sz w:val="24"/>
          <w:szCs w:val="24"/>
        </w:rPr>
        <w:t>~</w:t>
      </w:r>
      <w:r>
        <w:rPr>
          <w:spacing w:val="-10"/>
          <w:sz w:val="24"/>
          <w:szCs w:val="24"/>
        </w:rPr>
        <w:t>车章、秧田冲</w:t>
      </w:r>
      <w:r>
        <w:rPr>
          <w:rFonts w:ascii="Times New Roman" w:hAnsi="Times New Roman" w:eastAsia="Times New Roman" w:cs="Times New Roman"/>
          <w:spacing w:val="-10"/>
          <w:sz w:val="24"/>
          <w:szCs w:val="24"/>
        </w:rPr>
        <w:t>~</w:t>
      </w:r>
      <w:r>
        <w:rPr>
          <w:spacing w:val="-10"/>
          <w:sz w:val="24"/>
          <w:szCs w:val="24"/>
        </w:rPr>
        <w:t>川洞、犁园哨</w:t>
      </w:r>
      <w:r>
        <w:rPr>
          <w:rFonts w:ascii="Times New Roman" w:hAnsi="Times New Roman" w:eastAsia="Times New Roman" w:cs="Times New Roman"/>
          <w:spacing w:val="-10"/>
          <w:sz w:val="24"/>
          <w:szCs w:val="24"/>
        </w:rPr>
        <w:t>~</w:t>
      </w:r>
      <w:r>
        <w:rPr>
          <w:spacing w:val="-10"/>
          <w:sz w:val="24"/>
          <w:szCs w:val="24"/>
        </w:rPr>
        <w:t>黄土坡）</w:t>
      </w:r>
      <w:r>
        <w:rPr>
          <w:rFonts w:ascii="Times New Roman" w:hAnsi="Times New Roman" w:eastAsia="Times New Roman" w:cs="Times New Roman"/>
          <w:spacing w:val="-10"/>
          <w:sz w:val="24"/>
          <w:szCs w:val="24"/>
        </w:rPr>
        <w:t>5.32km</w:t>
      </w:r>
      <w:r>
        <w:rPr>
          <w:spacing w:val="-10"/>
          <w:sz w:val="24"/>
          <w:szCs w:val="24"/>
        </w:rPr>
        <w:t>；农村道路</w:t>
      </w:r>
      <w:r>
        <w:rPr>
          <w:spacing w:val="-22"/>
          <w:sz w:val="24"/>
          <w:szCs w:val="24"/>
        </w:rPr>
        <w:t xml:space="preserve"> </w:t>
      </w:r>
      <w:r>
        <w:rPr>
          <w:rFonts w:ascii="Times New Roman" w:hAnsi="Times New Roman" w:eastAsia="Times New Roman" w:cs="Times New Roman"/>
          <w:spacing w:val="-10"/>
          <w:sz w:val="24"/>
          <w:szCs w:val="24"/>
        </w:rPr>
        <w:t>11</w:t>
      </w:r>
      <w:r>
        <w:rPr>
          <w:rFonts w:ascii="Times New Roman" w:hAnsi="Times New Roman" w:eastAsia="Times New Roman" w:cs="Times New Roman"/>
          <w:spacing w:val="12"/>
          <w:sz w:val="24"/>
          <w:szCs w:val="24"/>
        </w:rPr>
        <w:t xml:space="preserve"> </w:t>
      </w:r>
      <w:r>
        <w:rPr>
          <w:spacing w:val="-10"/>
          <w:sz w:val="24"/>
          <w:szCs w:val="24"/>
        </w:rPr>
        <w:t>条（</w:t>
      </w:r>
      <w:r>
        <w:rPr>
          <w:rFonts w:ascii="Times New Roman" w:hAnsi="Times New Roman" w:eastAsia="Times New Roman" w:cs="Times New Roman"/>
          <w:spacing w:val="-10"/>
          <w:sz w:val="24"/>
          <w:szCs w:val="24"/>
        </w:rPr>
        <w:t xml:space="preserve">14 </w:t>
      </w:r>
      <w:r>
        <w:rPr>
          <w:spacing w:val="-10"/>
          <w:sz w:val="24"/>
          <w:szCs w:val="24"/>
        </w:rPr>
        <w:t>段）</w:t>
      </w:r>
      <w:r>
        <w:rPr>
          <w:rFonts w:ascii="Times New Roman" w:hAnsi="Times New Roman" w:eastAsia="Times New Roman" w:cs="Times New Roman"/>
          <w:spacing w:val="-10"/>
          <w:sz w:val="24"/>
          <w:szCs w:val="24"/>
        </w:rPr>
        <w:t>27.</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0"/>
          <w:sz w:val="24"/>
          <w:szCs w:val="24"/>
        </w:rPr>
        <w:t>19km</w:t>
      </w:r>
      <w:r>
        <w:rPr>
          <w:rFonts w:ascii="Times New Roman" w:hAnsi="Times New Roman" w:eastAsia="Times New Roman" w:cs="Times New Roman"/>
          <w:spacing w:val="-29"/>
          <w:sz w:val="24"/>
          <w:szCs w:val="24"/>
        </w:rPr>
        <w:t xml:space="preserve"> </w:t>
      </w:r>
      <w:r>
        <w:rPr>
          <w:spacing w:val="-10"/>
          <w:sz w:val="24"/>
          <w:szCs w:val="24"/>
        </w:rPr>
        <w:t>。</w:t>
      </w:r>
      <w:r>
        <w:rPr>
          <w:spacing w:val="-2"/>
          <w:sz w:val="24"/>
          <w:szCs w:val="24"/>
        </w:rPr>
        <w:t>规划对发胯至云水厂段县道四级公路进行改复建处理，长</w:t>
      </w:r>
      <w:r>
        <w:rPr>
          <w:spacing w:val="-55"/>
          <w:sz w:val="24"/>
          <w:szCs w:val="24"/>
        </w:rPr>
        <w:t xml:space="preserve"> </w:t>
      </w:r>
      <w:r>
        <w:rPr>
          <w:rFonts w:ascii="Times New Roman" w:hAnsi="Times New Roman" w:eastAsia="Times New Roman" w:cs="Times New Roman"/>
          <w:spacing w:val="-2"/>
          <w:sz w:val="24"/>
          <w:szCs w:val="24"/>
        </w:rPr>
        <w:t>2.576km</w:t>
      </w:r>
      <w:r>
        <w:rPr>
          <w:spacing w:val="-2"/>
          <w:sz w:val="24"/>
          <w:szCs w:val="24"/>
        </w:rPr>
        <w:t>，新</w:t>
      </w:r>
      <w:r>
        <w:rPr>
          <w:spacing w:val="-3"/>
          <w:sz w:val="24"/>
          <w:szCs w:val="24"/>
        </w:rPr>
        <w:t>建</w:t>
      </w:r>
      <w:r>
        <w:rPr>
          <w:spacing w:val="-31"/>
          <w:sz w:val="24"/>
          <w:szCs w:val="24"/>
        </w:rPr>
        <w:t xml:space="preserve"> </w:t>
      </w:r>
      <w:r>
        <w:rPr>
          <w:rFonts w:ascii="Times New Roman" w:hAnsi="Times New Roman" w:eastAsia="Times New Roman" w:cs="Times New Roman"/>
          <w:spacing w:val="-3"/>
          <w:sz w:val="24"/>
          <w:szCs w:val="24"/>
        </w:rPr>
        <w:t>156.</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16m</w:t>
      </w:r>
      <w:r>
        <w:rPr>
          <w:spacing w:val="-7"/>
          <w:sz w:val="24"/>
          <w:szCs w:val="24"/>
        </w:rPr>
        <w:t>长公路连接桥</w:t>
      </w:r>
      <w:r>
        <w:rPr>
          <w:spacing w:val="-56"/>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16"/>
          <w:sz w:val="24"/>
          <w:szCs w:val="24"/>
        </w:rPr>
        <w:t xml:space="preserve"> </w:t>
      </w:r>
      <w:r>
        <w:rPr>
          <w:spacing w:val="-7"/>
          <w:sz w:val="24"/>
          <w:szCs w:val="24"/>
        </w:rPr>
        <w:t>座；规划对角家至车章段县级四级公路进行路基防护，长</w:t>
      </w:r>
      <w:r>
        <w:rPr>
          <w:rFonts w:ascii="Times New Roman" w:hAnsi="Times New Roman" w:eastAsia="Times New Roman" w:cs="Times New Roman"/>
          <w:spacing w:val="-7"/>
          <w:sz w:val="24"/>
          <w:szCs w:val="24"/>
        </w:rPr>
        <w:t>1.953km</w:t>
      </w:r>
      <w:r>
        <w:rPr>
          <w:rFonts w:ascii="Times New Roman" w:hAnsi="Times New Roman" w:eastAsia="Times New Roman" w:cs="Times New Roman"/>
          <w:spacing w:val="-32"/>
          <w:sz w:val="24"/>
          <w:szCs w:val="24"/>
        </w:rPr>
        <w:t xml:space="preserve"> </w:t>
      </w:r>
      <w:r>
        <w:rPr>
          <w:spacing w:val="-7"/>
          <w:sz w:val="24"/>
          <w:szCs w:val="24"/>
        </w:rPr>
        <w:t>，</w:t>
      </w:r>
      <w:r>
        <w:rPr>
          <w:spacing w:val="-1"/>
          <w:sz w:val="24"/>
          <w:szCs w:val="24"/>
        </w:rPr>
        <w:t xml:space="preserve">对车章桥 </w:t>
      </w:r>
      <w:r>
        <w:rPr>
          <w:rFonts w:ascii="Times New Roman" w:hAnsi="Times New Roman" w:eastAsia="Times New Roman" w:cs="Times New Roman"/>
          <w:spacing w:val="-1"/>
          <w:sz w:val="24"/>
          <w:szCs w:val="24"/>
        </w:rPr>
        <w:t xml:space="preserve">1  </w:t>
      </w:r>
      <w:r>
        <w:rPr>
          <w:spacing w:val="-1"/>
          <w:sz w:val="24"/>
          <w:szCs w:val="24"/>
        </w:rPr>
        <w:t>座桥墩进行加固防护；规划对农村基本级道路进行改复建、新建和硬</w:t>
      </w:r>
      <w:r>
        <w:rPr>
          <w:spacing w:val="-3"/>
          <w:sz w:val="24"/>
          <w:szCs w:val="24"/>
        </w:rPr>
        <w:t>化处理，其中改复建长</w:t>
      </w:r>
      <w:r>
        <w:rPr>
          <w:spacing w:val="-32"/>
          <w:sz w:val="24"/>
          <w:szCs w:val="24"/>
        </w:rPr>
        <w:t xml:space="preserve"> </w:t>
      </w:r>
      <w:r>
        <w:rPr>
          <w:rFonts w:ascii="Times New Roman" w:hAnsi="Times New Roman" w:eastAsia="Times New Roman" w:cs="Times New Roman"/>
          <w:spacing w:val="-3"/>
          <w:sz w:val="24"/>
          <w:szCs w:val="24"/>
        </w:rPr>
        <w:t>17.615km</w:t>
      </w:r>
      <w:r>
        <w:rPr>
          <w:spacing w:val="-3"/>
          <w:sz w:val="24"/>
          <w:szCs w:val="24"/>
        </w:rPr>
        <w:t>，新建</w:t>
      </w:r>
      <w:r>
        <w:rPr>
          <w:spacing w:val="-51"/>
          <w:sz w:val="24"/>
          <w:szCs w:val="24"/>
        </w:rPr>
        <w:t xml:space="preserve"> </w:t>
      </w:r>
      <w:r>
        <w:rPr>
          <w:rFonts w:ascii="Times New Roman" w:hAnsi="Times New Roman" w:eastAsia="Times New Roman" w:cs="Times New Roman"/>
          <w:spacing w:val="-3"/>
          <w:sz w:val="24"/>
          <w:szCs w:val="24"/>
        </w:rPr>
        <w:t>7.753km</w:t>
      </w:r>
      <w:r>
        <w:rPr>
          <w:spacing w:val="-3"/>
          <w:sz w:val="24"/>
          <w:szCs w:val="24"/>
        </w:rPr>
        <w:t>，硬化</w:t>
      </w:r>
      <w:r>
        <w:rPr>
          <w:spacing w:val="-51"/>
          <w:sz w:val="24"/>
          <w:szCs w:val="24"/>
        </w:rPr>
        <w:t xml:space="preserve"> </w:t>
      </w:r>
      <w:r>
        <w:rPr>
          <w:rFonts w:ascii="Times New Roman" w:hAnsi="Times New Roman" w:eastAsia="Times New Roman" w:cs="Times New Roman"/>
          <w:spacing w:val="-3"/>
          <w:sz w:val="24"/>
          <w:szCs w:val="24"/>
        </w:rPr>
        <w:t>9.862km</w:t>
      </w:r>
      <w:r>
        <w:rPr>
          <w:spacing w:val="-3"/>
          <w:sz w:val="24"/>
          <w:szCs w:val="24"/>
        </w:rPr>
        <w:t>；规</w:t>
      </w:r>
      <w:r>
        <w:rPr>
          <w:spacing w:val="-4"/>
          <w:sz w:val="24"/>
          <w:szCs w:val="24"/>
        </w:rPr>
        <w:t>划新建机耕路</w:t>
      </w:r>
      <w:r>
        <w:rPr>
          <w:rFonts w:ascii="Times New Roman" w:hAnsi="Times New Roman" w:eastAsia="Times New Roman" w:cs="Times New Roman"/>
          <w:spacing w:val="-6"/>
          <w:sz w:val="24"/>
          <w:szCs w:val="24"/>
        </w:rPr>
        <w:t>6.169km</w:t>
      </w:r>
      <w:r>
        <w:rPr>
          <w:spacing w:val="-6"/>
          <w:sz w:val="24"/>
          <w:szCs w:val="24"/>
        </w:rPr>
        <w:t>。根据实施工作报告，</w:t>
      </w:r>
      <w:r>
        <w:rPr>
          <w:spacing w:val="88"/>
          <w:sz w:val="24"/>
          <w:szCs w:val="24"/>
        </w:rPr>
        <w:t xml:space="preserve"> </w:t>
      </w:r>
      <w:r>
        <w:rPr>
          <w:spacing w:val="-6"/>
          <w:sz w:val="24"/>
          <w:szCs w:val="24"/>
        </w:rPr>
        <w:t>除县道四级公路改（复）建工程路面铺设和公路桥</w:t>
      </w:r>
      <w:r>
        <w:rPr>
          <w:spacing w:val="-1"/>
          <w:sz w:val="24"/>
          <w:szCs w:val="24"/>
        </w:rPr>
        <w:t xml:space="preserve">梁 </w:t>
      </w:r>
      <w:r>
        <w:rPr>
          <w:rFonts w:ascii="Times New Roman" w:hAnsi="Times New Roman" w:eastAsia="Times New Roman" w:cs="Times New Roman"/>
          <w:spacing w:val="-1"/>
          <w:sz w:val="24"/>
          <w:szCs w:val="24"/>
        </w:rPr>
        <w:t xml:space="preserve">2  </w:t>
      </w:r>
      <w:r>
        <w:rPr>
          <w:spacing w:val="-1"/>
          <w:sz w:val="24"/>
          <w:szCs w:val="24"/>
        </w:rPr>
        <w:t>座因林地手续审批时间延长导致正实</w:t>
      </w:r>
      <w:r>
        <w:rPr>
          <w:spacing w:val="-2"/>
          <w:sz w:val="24"/>
          <w:szCs w:val="24"/>
        </w:rPr>
        <w:t>施收尾工作外，其它工程已全面完工。</w:t>
      </w:r>
      <w:r>
        <w:rPr>
          <w:spacing w:val="-4"/>
          <w:sz w:val="24"/>
          <w:szCs w:val="24"/>
        </w:rPr>
        <w:t>经验收专家组现场踏勘，县道四级公路改（复）建工程路面还未铺设沥青，公路桥</w:t>
      </w:r>
      <w:r>
        <w:rPr>
          <w:spacing w:val="-2"/>
          <w:sz w:val="24"/>
          <w:szCs w:val="24"/>
        </w:rPr>
        <w:t>梁正在进行人行道护栏施工等收尾工作。</w:t>
      </w:r>
    </w:p>
    <w:p w14:paraId="395C3A3A">
      <w:pPr>
        <w:pStyle w:val="2"/>
        <w:spacing w:before="15" w:line="339" w:lineRule="auto"/>
        <w:ind w:left="39" w:firstLine="507"/>
        <w:jc w:val="both"/>
        <w:rPr>
          <w:sz w:val="24"/>
          <w:szCs w:val="24"/>
        </w:rPr>
      </w:pPr>
      <w:r>
        <w:rPr>
          <w:spacing w:val="-8"/>
          <w:sz w:val="24"/>
          <w:szCs w:val="24"/>
        </w:rPr>
        <w:t>电力、通讯线路： 根据实施工作报告和现</w:t>
      </w:r>
      <w:r>
        <w:rPr>
          <w:spacing w:val="-9"/>
          <w:sz w:val="24"/>
          <w:szCs w:val="24"/>
        </w:rPr>
        <w:t>场踏勘，电力、通信线路改（复）建</w:t>
      </w:r>
      <w:r>
        <w:rPr>
          <w:spacing w:val="-10"/>
          <w:sz w:val="24"/>
          <w:szCs w:val="24"/>
        </w:rPr>
        <w:t>工作由权属单位实施，现已全部完成，功能得到恢复。完成复建</w:t>
      </w:r>
      <w:r>
        <w:rPr>
          <w:spacing w:val="-29"/>
          <w:sz w:val="24"/>
          <w:szCs w:val="24"/>
        </w:rPr>
        <w:t xml:space="preserve"> </w:t>
      </w:r>
      <w:r>
        <w:rPr>
          <w:rFonts w:ascii="Times New Roman" w:hAnsi="Times New Roman" w:eastAsia="Times New Roman" w:cs="Times New Roman"/>
          <w:spacing w:val="-10"/>
          <w:sz w:val="24"/>
          <w:szCs w:val="24"/>
        </w:rPr>
        <w:t xml:space="preserve">110kV </w:t>
      </w:r>
      <w:r>
        <w:rPr>
          <w:spacing w:val="-10"/>
          <w:sz w:val="24"/>
          <w:szCs w:val="24"/>
        </w:rPr>
        <w:t>线路</w:t>
      </w:r>
      <w:r>
        <w:rPr>
          <w:rFonts w:ascii="Times New Roman" w:hAnsi="Times New Roman" w:eastAsia="Times New Roman" w:cs="Times New Roman"/>
          <w:spacing w:val="-10"/>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0"/>
          <w:sz w:val="24"/>
          <w:szCs w:val="24"/>
        </w:rPr>
        <w:t>143km</w:t>
      </w:r>
      <w:r>
        <w:rPr>
          <w:spacing w:val="-10"/>
          <w:sz w:val="24"/>
          <w:szCs w:val="24"/>
        </w:rPr>
        <w:t>，</w:t>
      </w:r>
      <w:r>
        <w:rPr>
          <w:sz w:val="24"/>
          <w:szCs w:val="24"/>
        </w:rPr>
        <w:t xml:space="preserve"> </w:t>
      </w:r>
      <w:r>
        <w:rPr>
          <w:rFonts w:ascii="Times New Roman" w:hAnsi="Times New Roman" w:eastAsia="Times New Roman" w:cs="Times New Roman"/>
          <w:spacing w:val="-3"/>
          <w:sz w:val="24"/>
          <w:szCs w:val="24"/>
        </w:rPr>
        <w:t>35kV</w:t>
      </w:r>
      <w:r>
        <w:rPr>
          <w:rFonts w:ascii="Times New Roman" w:hAnsi="Times New Roman" w:eastAsia="Times New Roman" w:cs="Times New Roman"/>
          <w:spacing w:val="20"/>
          <w:sz w:val="24"/>
          <w:szCs w:val="24"/>
        </w:rPr>
        <w:t xml:space="preserve"> </w:t>
      </w:r>
      <w:r>
        <w:rPr>
          <w:spacing w:val="-3"/>
          <w:sz w:val="24"/>
          <w:szCs w:val="24"/>
        </w:rPr>
        <w:t>线路</w:t>
      </w:r>
      <w:r>
        <w:rPr>
          <w:spacing w:val="-45"/>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18km</w:t>
      </w:r>
      <w:r>
        <w:rPr>
          <w:rFonts w:ascii="Times New Roman" w:hAnsi="Times New Roman" w:eastAsia="Times New Roman" w:cs="Times New Roman"/>
          <w:spacing w:val="-33"/>
          <w:sz w:val="24"/>
          <w:szCs w:val="24"/>
        </w:rPr>
        <w:t xml:space="preserve"> </w:t>
      </w:r>
      <w:r>
        <w:rPr>
          <w:spacing w:val="-3"/>
          <w:sz w:val="24"/>
          <w:szCs w:val="24"/>
        </w:rPr>
        <w:t>，</w:t>
      </w:r>
      <w:r>
        <w:rPr>
          <w:rFonts w:ascii="Times New Roman" w:hAnsi="Times New Roman" w:eastAsia="Times New Roman" w:cs="Times New Roman"/>
          <w:spacing w:val="-3"/>
          <w:sz w:val="24"/>
          <w:szCs w:val="24"/>
        </w:rPr>
        <w:t>10kV</w:t>
      </w:r>
      <w:r>
        <w:rPr>
          <w:rFonts w:ascii="Times New Roman" w:hAnsi="Times New Roman" w:eastAsia="Times New Roman" w:cs="Times New Roman"/>
          <w:spacing w:val="17"/>
          <w:sz w:val="24"/>
          <w:szCs w:val="24"/>
        </w:rPr>
        <w:t xml:space="preserve"> </w:t>
      </w:r>
      <w:r>
        <w:rPr>
          <w:spacing w:val="-3"/>
          <w:sz w:val="24"/>
          <w:szCs w:val="24"/>
        </w:rPr>
        <w:t>及以下线路</w:t>
      </w:r>
      <w:r>
        <w:rPr>
          <w:spacing w:val="-46"/>
          <w:sz w:val="24"/>
          <w:szCs w:val="24"/>
        </w:rPr>
        <w:t xml:space="preserve"> </w:t>
      </w:r>
      <w:r>
        <w:rPr>
          <w:rFonts w:ascii="Times New Roman" w:hAnsi="Times New Roman" w:eastAsia="Times New Roman" w:cs="Times New Roman"/>
          <w:spacing w:val="-3"/>
          <w:sz w:val="24"/>
          <w:szCs w:val="24"/>
        </w:rPr>
        <w:t>20.78km</w:t>
      </w:r>
      <w:r>
        <w:rPr>
          <w:spacing w:val="-3"/>
          <w:sz w:val="24"/>
          <w:szCs w:val="24"/>
        </w:rPr>
        <w:t>，投资</w:t>
      </w:r>
      <w:r>
        <w:rPr>
          <w:spacing w:val="-25"/>
          <w:sz w:val="24"/>
          <w:szCs w:val="24"/>
        </w:rPr>
        <w:t xml:space="preserve"> </w:t>
      </w:r>
      <w:r>
        <w:rPr>
          <w:rFonts w:ascii="Times New Roman" w:hAnsi="Times New Roman" w:eastAsia="Times New Roman" w:cs="Times New Roman"/>
          <w:spacing w:val="-3"/>
          <w:sz w:val="24"/>
          <w:szCs w:val="24"/>
        </w:rPr>
        <w:t>713.11</w:t>
      </w:r>
      <w:r>
        <w:rPr>
          <w:rFonts w:ascii="Times New Roman" w:hAnsi="Times New Roman" w:eastAsia="Times New Roman" w:cs="Times New Roman"/>
          <w:spacing w:val="24"/>
          <w:sz w:val="24"/>
          <w:szCs w:val="24"/>
        </w:rPr>
        <w:t xml:space="preserve"> </w:t>
      </w:r>
      <w:r>
        <w:rPr>
          <w:spacing w:val="-3"/>
          <w:sz w:val="24"/>
          <w:szCs w:val="24"/>
        </w:rPr>
        <w:t>万元；完</w:t>
      </w:r>
      <w:r>
        <w:rPr>
          <w:spacing w:val="-4"/>
          <w:sz w:val="24"/>
          <w:szCs w:val="24"/>
        </w:rPr>
        <w:t>成通讯线路</w:t>
      </w:r>
      <w:r>
        <w:rPr>
          <w:spacing w:val="-6"/>
          <w:sz w:val="24"/>
          <w:szCs w:val="24"/>
        </w:rPr>
        <w:t>改复建投资</w:t>
      </w:r>
      <w:r>
        <w:rPr>
          <w:spacing w:val="-29"/>
          <w:sz w:val="24"/>
          <w:szCs w:val="24"/>
        </w:rPr>
        <w:t xml:space="preserve"> </w:t>
      </w:r>
      <w:r>
        <w:rPr>
          <w:rFonts w:ascii="Times New Roman" w:hAnsi="Times New Roman" w:eastAsia="Times New Roman" w:cs="Times New Roman"/>
          <w:spacing w:val="-6"/>
          <w:sz w:val="24"/>
          <w:szCs w:val="24"/>
        </w:rPr>
        <w:t>118.33</w:t>
      </w:r>
      <w:r>
        <w:rPr>
          <w:rFonts w:ascii="Times New Roman" w:hAnsi="Times New Roman" w:eastAsia="Times New Roman" w:cs="Times New Roman"/>
          <w:spacing w:val="15"/>
          <w:w w:val="101"/>
          <w:sz w:val="24"/>
          <w:szCs w:val="24"/>
        </w:rPr>
        <w:t xml:space="preserve"> </w:t>
      </w:r>
      <w:r>
        <w:rPr>
          <w:spacing w:val="-6"/>
          <w:sz w:val="24"/>
          <w:szCs w:val="24"/>
        </w:rPr>
        <w:t>万元。</w:t>
      </w:r>
    </w:p>
    <w:p w14:paraId="07BCB62C">
      <w:pPr>
        <w:pStyle w:val="2"/>
        <w:spacing w:line="217" w:lineRule="auto"/>
        <w:ind w:left="517"/>
        <w:rPr>
          <w:sz w:val="24"/>
          <w:szCs w:val="24"/>
        </w:rPr>
      </w:pPr>
      <w:r>
        <w:rPr>
          <w:spacing w:val="-2"/>
          <w:sz w:val="24"/>
          <w:szCs w:val="24"/>
        </w:rPr>
        <w:t>⑥防护工程</w:t>
      </w:r>
    </w:p>
    <w:p w14:paraId="56C07886">
      <w:pPr>
        <w:pStyle w:val="2"/>
        <w:spacing w:before="159" w:line="338" w:lineRule="auto"/>
        <w:ind w:left="38" w:right="118" w:firstLine="480"/>
        <w:rPr>
          <w:sz w:val="24"/>
          <w:szCs w:val="24"/>
        </w:rPr>
      </w:pPr>
      <w:r>
        <w:rPr>
          <w:spacing w:val="-5"/>
          <w:sz w:val="24"/>
          <w:szCs w:val="24"/>
        </w:rPr>
        <w:t xml:space="preserve">根据“规划报告”，车马碧水库防护工程主要任务为对库尾 </w:t>
      </w:r>
      <w:r>
        <w:rPr>
          <w:rFonts w:ascii="Times New Roman" w:hAnsi="Times New Roman" w:eastAsia="Times New Roman" w:cs="Times New Roman"/>
          <w:spacing w:val="-5"/>
          <w:sz w:val="24"/>
          <w:szCs w:val="24"/>
        </w:rPr>
        <w:t>706.9</w:t>
      </w:r>
      <w:r>
        <w:rPr>
          <w:rFonts w:ascii="Times New Roman" w:hAnsi="Times New Roman" w:eastAsia="Times New Roman" w:cs="Times New Roman"/>
          <w:spacing w:val="39"/>
          <w:sz w:val="24"/>
          <w:szCs w:val="24"/>
        </w:rPr>
        <w:t xml:space="preserve"> </w:t>
      </w:r>
      <w:r>
        <w:rPr>
          <w:spacing w:val="-5"/>
          <w:sz w:val="24"/>
          <w:szCs w:val="24"/>
        </w:rPr>
        <w:t>亩水田进行</w:t>
      </w:r>
      <w:r>
        <w:rPr>
          <w:spacing w:val="-3"/>
          <w:sz w:val="24"/>
          <w:szCs w:val="24"/>
        </w:rPr>
        <w:t>垫高防护。根据实施工作报告和现场踏勘，防护工程于</w:t>
      </w:r>
      <w:r>
        <w:rPr>
          <w:spacing w:val="-22"/>
          <w:sz w:val="24"/>
          <w:szCs w:val="24"/>
        </w:rPr>
        <w:t xml:space="preserve"> </w:t>
      </w:r>
      <w:r>
        <w:rPr>
          <w:rFonts w:ascii="Times New Roman" w:hAnsi="Times New Roman" w:eastAsia="Times New Roman" w:cs="Times New Roman"/>
          <w:spacing w:val="-3"/>
          <w:sz w:val="24"/>
          <w:szCs w:val="24"/>
        </w:rPr>
        <w:t>2020</w:t>
      </w:r>
      <w:r>
        <w:rPr>
          <w:rFonts w:ascii="Times New Roman" w:hAnsi="Times New Roman" w:eastAsia="Times New Roman" w:cs="Times New Roman"/>
          <w:spacing w:val="37"/>
          <w:sz w:val="24"/>
          <w:szCs w:val="24"/>
        </w:rPr>
        <w:t xml:space="preserve"> </w:t>
      </w:r>
      <w:r>
        <w:rPr>
          <w:spacing w:val="-3"/>
          <w:sz w:val="24"/>
          <w:szCs w:val="24"/>
        </w:rPr>
        <w:t>年</w:t>
      </w:r>
      <w:r>
        <w:rPr>
          <w:spacing w:val="-24"/>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42"/>
          <w:sz w:val="24"/>
          <w:szCs w:val="24"/>
        </w:rPr>
        <w:t xml:space="preserve"> </w:t>
      </w:r>
      <w:r>
        <w:rPr>
          <w:spacing w:val="-3"/>
          <w:sz w:val="24"/>
          <w:szCs w:val="24"/>
        </w:rPr>
        <w:t>月已全部完成，共完成防护土地面积</w:t>
      </w:r>
      <w:r>
        <w:rPr>
          <w:spacing w:val="-41"/>
          <w:sz w:val="24"/>
          <w:szCs w:val="24"/>
        </w:rPr>
        <w:t xml:space="preserve"> </w:t>
      </w:r>
      <w:r>
        <w:rPr>
          <w:rFonts w:ascii="Times New Roman" w:hAnsi="Times New Roman" w:eastAsia="Times New Roman" w:cs="Times New Roman"/>
          <w:spacing w:val="-3"/>
          <w:sz w:val="24"/>
          <w:szCs w:val="24"/>
        </w:rPr>
        <w:t xml:space="preserve">723.06 </w:t>
      </w:r>
      <w:r>
        <w:rPr>
          <w:spacing w:val="-3"/>
          <w:sz w:val="24"/>
          <w:szCs w:val="24"/>
        </w:rPr>
        <w:t>亩，投资</w:t>
      </w:r>
      <w:r>
        <w:rPr>
          <w:spacing w:val="-32"/>
          <w:sz w:val="24"/>
          <w:szCs w:val="24"/>
        </w:rPr>
        <w:t xml:space="preserve"> </w:t>
      </w:r>
      <w:r>
        <w:rPr>
          <w:rFonts w:ascii="Times New Roman" w:hAnsi="Times New Roman" w:eastAsia="Times New Roman" w:cs="Times New Roman"/>
          <w:spacing w:val="-3"/>
          <w:sz w:val="24"/>
          <w:szCs w:val="24"/>
        </w:rPr>
        <w:t>1317.37</w:t>
      </w:r>
      <w:r>
        <w:rPr>
          <w:rFonts w:ascii="Times New Roman" w:hAnsi="Times New Roman" w:eastAsia="Times New Roman" w:cs="Times New Roman"/>
          <w:spacing w:val="15"/>
          <w:w w:val="101"/>
          <w:sz w:val="24"/>
          <w:szCs w:val="24"/>
        </w:rPr>
        <w:t xml:space="preserve"> </w:t>
      </w:r>
      <w:r>
        <w:rPr>
          <w:spacing w:val="-3"/>
          <w:sz w:val="24"/>
          <w:szCs w:val="24"/>
        </w:rPr>
        <w:t>万元。</w:t>
      </w:r>
    </w:p>
    <w:p w14:paraId="27D71A8E">
      <w:pPr>
        <w:pStyle w:val="2"/>
        <w:spacing w:before="1" w:line="217" w:lineRule="auto"/>
        <w:ind w:left="517"/>
        <w:rPr>
          <w:sz w:val="24"/>
          <w:szCs w:val="24"/>
        </w:rPr>
      </w:pPr>
      <w:r>
        <w:rPr>
          <w:spacing w:val="-2"/>
          <w:sz w:val="24"/>
          <w:szCs w:val="24"/>
        </w:rPr>
        <w:t>⑦库底清理</w:t>
      </w:r>
    </w:p>
    <w:p w14:paraId="44CFD785">
      <w:pPr>
        <w:pStyle w:val="2"/>
        <w:spacing w:before="156" w:line="220" w:lineRule="auto"/>
        <w:ind w:left="545"/>
        <w:rPr>
          <w:sz w:val="24"/>
          <w:szCs w:val="24"/>
        </w:rPr>
      </w:pPr>
      <w:r>
        <w:rPr>
          <w:spacing w:val="-10"/>
          <w:sz w:val="24"/>
          <w:szCs w:val="24"/>
        </w:rPr>
        <w:t>已通过验收。</w:t>
      </w:r>
    </w:p>
    <w:p w14:paraId="737BF571">
      <w:pPr>
        <w:pStyle w:val="2"/>
        <w:spacing w:before="155"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）验收结论</w:t>
      </w:r>
    </w:p>
    <w:p w14:paraId="5C7C2C31">
      <w:pPr>
        <w:pStyle w:val="2"/>
        <w:spacing w:before="140" w:line="339" w:lineRule="auto"/>
        <w:ind w:left="42" w:right="187" w:firstLine="479"/>
        <w:jc w:val="both"/>
        <w:rPr>
          <w:sz w:val="24"/>
          <w:szCs w:val="24"/>
        </w:rPr>
      </w:pPr>
      <w:r>
        <w:rPr>
          <w:spacing w:val="3"/>
          <w:sz w:val="24"/>
          <w:szCs w:val="24"/>
        </w:rPr>
        <w:t>车马碧水库工程下闸蓄水阶段建设征地移民搬</w:t>
      </w:r>
      <w:r>
        <w:rPr>
          <w:spacing w:val="2"/>
          <w:sz w:val="24"/>
          <w:szCs w:val="24"/>
        </w:rPr>
        <w:t>迁安置基本完成，移民生产生</w:t>
      </w:r>
      <w:r>
        <w:rPr>
          <w:spacing w:val="-4"/>
          <w:sz w:val="24"/>
          <w:szCs w:val="24"/>
        </w:rPr>
        <w:t>活得到了恢复和提高，移民个人和集体财产基本完成补偿兑付；专</w:t>
      </w:r>
      <w:r>
        <w:rPr>
          <w:spacing w:val="-5"/>
          <w:sz w:val="24"/>
          <w:szCs w:val="24"/>
        </w:rPr>
        <w:t>业项目改（复）</w:t>
      </w:r>
      <w:r>
        <w:rPr>
          <w:spacing w:val="-4"/>
          <w:sz w:val="24"/>
          <w:szCs w:val="24"/>
        </w:rPr>
        <w:t>建和补偿基本实施完毕，功能基本得到恢复；库底清理基本完成，</w:t>
      </w:r>
      <w:r>
        <w:rPr>
          <w:spacing w:val="-5"/>
          <w:sz w:val="24"/>
          <w:szCs w:val="24"/>
        </w:rPr>
        <w:t>并通过了专项验</w:t>
      </w:r>
      <w:r>
        <w:rPr>
          <w:spacing w:val="-4"/>
          <w:sz w:val="24"/>
          <w:szCs w:val="24"/>
        </w:rPr>
        <w:t>收；移民资金使用管理基本符合相关规定；移民档案阶段性收集、</w:t>
      </w:r>
      <w:r>
        <w:rPr>
          <w:spacing w:val="-5"/>
          <w:sz w:val="24"/>
          <w:szCs w:val="24"/>
        </w:rPr>
        <w:t>整理工作基本完</w:t>
      </w:r>
    </w:p>
    <w:p w14:paraId="5F307D38">
      <w:pPr>
        <w:spacing w:line="339" w:lineRule="auto"/>
        <w:rPr>
          <w:sz w:val="24"/>
          <w:szCs w:val="24"/>
        </w:rPr>
        <w:sectPr>
          <w:headerReference r:id="rId66" w:type="default"/>
          <w:footerReference r:id="rId67" w:type="default"/>
          <w:pgSz w:w="11907" w:h="16839"/>
          <w:pgMar w:top="1376" w:right="1513" w:bottom="1061" w:left="1671" w:header="999" w:footer="861" w:gutter="0"/>
          <w:cols w:space="720" w:num="1"/>
        </w:sectPr>
      </w:pPr>
    </w:p>
    <w:p w14:paraId="554FA0AB">
      <w:pPr>
        <w:spacing w:line="453" w:lineRule="auto"/>
        <w:rPr>
          <w:rFonts w:ascii="Arial"/>
          <w:sz w:val="21"/>
        </w:rPr>
      </w:pPr>
    </w:p>
    <w:p w14:paraId="7EC58E27">
      <w:pPr>
        <w:pStyle w:val="2"/>
        <w:spacing w:before="78" w:line="350" w:lineRule="auto"/>
        <w:ind w:left="62" w:right="29" w:hanging="21"/>
        <w:rPr>
          <w:sz w:val="24"/>
          <w:szCs w:val="24"/>
        </w:rPr>
      </w:pPr>
      <w:r>
        <w:rPr>
          <w:spacing w:val="-7"/>
          <w:sz w:val="24"/>
          <w:szCs w:val="24"/>
        </w:rPr>
        <w:t>成；参建各方验收报件基本齐全，结论明确。综上， 曲靖市车马</w:t>
      </w:r>
      <w:r>
        <w:rPr>
          <w:spacing w:val="-8"/>
          <w:sz w:val="24"/>
          <w:szCs w:val="24"/>
        </w:rPr>
        <w:t>碧水库建设征地移</w:t>
      </w:r>
      <w:r>
        <w:rPr>
          <w:spacing w:val="-2"/>
          <w:sz w:val="24"/>
          <w:szCs w:val="24"/>
        </w:rPr>
        <w:t>民安置工作基本满足水库工程下闸蓄水要求。移民安置专项验收意见见附件</w:t>
      </w:r>
      <w:r>
        <w:rPr>
          <w:spacing w:val="-22"/>
          <w:sz w:val="24"/>
          <w:szCs w:val="24"/>
        </w:rPr>
        <w:t xml:space="preserve"> </w:t>
      </w:r>
      <w:r>
        <w:rPr>
          <w:rFonts w:ascii="Times New Roman" w:hAnsi="Times New Roman" w:eastAsia="Times New Roman" w:cs="Times New Roman"/>
          <w:spacing w:val="-2"/>
          <w:sz w:val="24"/>
          <w:szCs w:val="24"/>
        </w:rPr>
        <w:t>10</w:t>
      </w:r>
      <w:r>
        <w:rPr>
          <w:spacing w:val="-2"/>
          <w:sz w:val="24"/>
          <w:szCs w:val="24"/>
        </w:rPr>
        <w:t>。</w:t>
      </w:r>
    </w:p>
    <w:p w14:paraId="60703FE4">
      <w:pPr>
        <w:pStyle w:val="2"/>
        <w:spacing w:before="57" w:line="226" w:lineRule="auto"/>
        <w:ind w:left="30"/>
        <w:rPr>
          <w:sz w:val="27"/>
          <w:szCs w:val="27"/>
        </w:rPr>
      </w:pPr>
      <w:r>
        <w:rPr>
          <w:rFonts w:ascii="Arial" w:hAnsi="Arial" w:eastAsia="Arial" w:cs="Arial"/>
          <w:position w:val="1"/>
          <w:sz w:val="27"/>
          <w:szCs w:val="27"/>
        </w:rPr>
        <w:t xml:space="preserve">3.4.3    </w:t>
      </w:r>
      <w:r>
        <w:rPr>
          <w:b/>
          <w:bCs/>
          <w:position w:val="-1"/>
          <w:sz w:val="27"/>
          <w:szCs w:val="27"/>
        </w:rPr>
        <w:t>工程初期蓄水计划</w:t>
      </w:r>
    </w:p>
    <w:p w14:paraId="6DE6DB5C">
      <w:pPr>
        <w:pStyle w:val="2"/>
        <w:spacing w:before="261" w:line="339" w:lineRule="auto"/>
        <w:ind w:left="38" w:right="46" w:firstLine="480"/>
        <w:rPr>
          <w:sz w:val="24"/>
          <w:szCs w:val="24"/>
        </w:rPr>
      </w:pPr>
      <w:r>
        <w:rPr>
          <w:spacing w:val="-5"/>
          <w:sz w:val="24"/>
          <w:szCs w:val="24"/>
        </w:rPr>
        <w:t>根据《云南省曲靖市车马碧水库工程蓄水计划和调度方案》（云南省水利水电</w:t>
      </w:r>
      <w:r>
        <w:rPr>
          <w:spacing w:val="-4"/>
          <w:sz w:val="24"/>
          <w:szCs w:val="24"/>
        </w:rPr>
        <w:t>勘测设计研究院，</w:t>
      </w:r>
      <w:r>
        <w:rPr>
          <w:rFonts w:ascii="Times New Roman" w:hAnsi="Times New Roman" w:eastAsia="Times New Roman" w:cs="Times New Roman"/>
          <w:spacing w:val="-4"/>
          <w:sz w:val="24"/>
          <w:szCs w:val="24"/>
        </w:rPr>
        <w:t xml:space="preserve">2021 </w:t>
      </w:r>
      <w:r>
        <w:rPr>
          <w:spacing w:val="-4"/>
          <w:sz w:val="24"/>
          <w:szCs w:val="24"/>
        </w:rPr>
        <w:t>年</w:t>
      </w:r>
      <w:r>
        <w:rPr>
          <w:spacing w:val="-50"/>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15"/>
          <w:w w:val="101"/>
          <w:sz w:val="24"/>
          <w:szCs w:val="24"/>
        </w:rPr>
        <w:t xml:space="preserve"> </w:t>
      </w:r>
      <w:r>
        <w:rPr>
          <w:spacing w:val="-4"/>
          <w:sz w:val="24"/>
          <w:szCs w:val="24"/>
        </w:rPr>
        <w:t>月</w:t>
      </w:r>
      <w:r>
        <w:rPr>
          <w:spacing w:val="-39"/>
          <w:sz w:val="24"/>
          <w:szCs w:val="24"/>
        </w:rPr>
        <w:t>），</w:t>
      </w:r>
      <w:r>
        <w:rPr>
          <w:spacing w:val="-4"/>
          <w:sz w:val="24"/>
          <w:szCs w:val="24"/>
        </w:rPr>
        <w:t>车马碧水库初期蓄水计划方案如</w:t>
      </w:r>
      <w:r>
        <w:rPr>
          <w:spacing w:val="-5"/>
          <w:sz w:val="24"/>
          <w:szCs w:val="24"/>
        </w:rPr>
        <w:t>下：</w:t>
      </w:r>
    </w:p>
    <w:p w14:paraId="7727A85A">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）蓄水原则</w:t>
      </w:r>
    </w:p>
    <w:p w14:paraId="1E81ECCF">
      <w:pPr>
        <w:pStyle w:val="2"/>
        <w:spacing w:before="135" w:line="339" w:lineRule="auto"/>
        <w:ind w:left="38" w:right="32" w:firstLine="482"/>
        <w:rPr>
          <w:sz w:val="24"/>
          <w:szCs w:val="24"/>
        </w:rPr>
      </w:pPr>
      <w:r>
        <w:rPr>
          <w:spacing w:val="-4"/>
          <w:sz w:val="24"/>
          <w:szCs w:val="24"/>
        </w:rPr>
        <w:t>车马碧水库初期蓄水，在确保水库工程安全、</w:t>
      </w:r>
      <w:r>
        <w:rPr>
          <w:spacing w:val="-5"/>
          <w:sz w:val="24"/>
          <w:szCs w:val="24"/>
        </w:rPr>
        <w:t>满足下游河道生态基流、下游农</w:t>
      </w:r>
      <w:r>
        <w:rPr>
          <w:spacing w:val="-1"/>
          <w:sz w:val="24"/>
          <w:szCs w:val="24"/>
        </w:rPr>
        <w:t>业及工业用水需求，不影响工程施工进度前提</w:t>
      </w:r>
      <w:r>
        <w:rPr>
          <w:spacing w:val="-2"/>
          <w:sz w:val="24"/>
          <w:szCs w:val="24"/>
        </w:rPr>
        <w:t>下，初期蓄水分两期进行。</w:t>
      </w:r>
    </w:p>
    <w:p w14:paraId="1CF5F77A">
      <w:pPr>
        <w:pStyle w:val="2"/>
        <w:spacing w:before="2" w:line="338" w:lineRule="auto"/>
        <w:ind w:left="39" w:right="31" w:firstLine="479"/>
        <w:jc w:val="both"/>
        <w:rPr>
          <w:sz w:val="24"/>
          <w:szCs w:val="24"/>
        </w:rPr>
      </w:pPr>
      <w:r>
        <w:rPr>
          <w:spacing w:val="-6"/>
          <w:sz w:val="24"/>
          <w:szCs w:val="24"/>
        </w:rPr>
        <w:t>第一期蓄水，</w:t>
      </w:r>
      <w:r>
        <w:rPr>
          <w:rFonts w:ascii="Times New Roman" w:hAnsi="Times New Roman" w:eastAsia="Times New Roman" w:cs="Times New Roman"/>
          <w:spacing w:val="-6"/>
          <w:sz w:val="24"/>
          <w:szCs w:val="24"/>
        </w:rPr>
        <w:t xml:space="preserve">2021 </w:t>
      </w:r>
      <w:r>
        <w:rPr>
          <w:spacing w:val="-6"/>
          <w:sz w:val="24"/>
          <w:szCs w:val="24"/>
        </w:rPr>
        <w:t>年</w:t>
      </w:r>
      <w:r>
        <w:rPr>
          <w:spacing w:val="-32"/>
          <w:sz w:val="24"/>
          <w:szCs w:val="24"/>
        </w:rPr>
        <w:t xml:space="preserve">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15"/>
          <w:w w:val="101"/>
          <w:sz w:val="24"/>
          <w:szCs w:val="24"/>
        </w:rPr>
        <w:t xml:space="preserve"> </w:t>
      </w:r>
      <w:r>
        <w:rPr>
          <w:spacing w:val="-6"/>
          <w:sz w:val="24"/>
          <w:szCs w:val="24"/>
        </w:rPr>
        <w:t>月</w:t>
      </w:r>
      <w:r>
        <w:rPr>
          <w:spacing w:val="-32"/>
          <w:sz w:val="24"/>
          <w:szCs w:val="24"/>
        </w:rPr>
        <w:t xml:space="preserve"> </w:t>
      </w:r>
      <w:r>
        <w:rPr>
          <w:rFonts w:ascii="Times New Roman" w:hAnsi="Times New Roman" w:eastAsia="Times New Roman" w:cs="Times New Roman"/>
          <w:spacing w:val="-6"/>
          <w:sz w:val="24"/>
          <w:szCs w:val="24"/>
        </w:rPr>
        <w:t xml:space="preserve">1  </w:t>
      </w:r>
      <w:r>
        <w:rPr>
          <w:spacing w:val="-6"/>
          <w:sz w:val="24"/>
          <w:szCs w:val="24"/>
        </w:rPr>
        <w:t>日下闸</w:t>
      </w:r>
      <w:r>
        <w:rPr>
          <w:rFonts w:ascii="Times New Roman" w:hAnsi="Times New Roman" w:eastAsia="Times New Roman" w:cs="Times New Roman"/>
          <w:spacing w:val="-6"/>
          <w:sz w:val="24"/>
          <w:szCs w:val="24"/>
        </w:rPr>
        <w:t xml:space="preserve">~2022 </w:t>
      </w:r>
      <w:r>
        <w:rPr>
          <w:spacing w:val="-6"/>
          <w:sz w:val="24"/>
          <w:szCs w:val="24"/>
        </w:rPr>
        <w:t>年</w:t>
      </w:r>
      <w:r>
        <w:rPr>
          <w:spacing w:val="-32"/>
          <w:sz w:val="24"/>
          <w:szCs w:val="24"/>
        </w:rPr>
        <w:t xml:space="preserve"> </w:t>
      </w:r>
      <w:r>
        <w:rPr>
          <w:rFonts w:ascii="Times New Roman" w:hAnsi="Times New Roman" w:eastAsia="Times New Roman" w:cs="Times New Roman"/>
          <w:spacing w:val="-6"/>
          <w:sz w:val="24"/>
          <w:szCs w:val="24"/>
        </w:rPr>
        <w:t>12</w:t>
      </w:r>
      <w:r>
        <w:rPr>
          <w:rFonts w:ascii="Times New Roman" w:hAnsi="Times New Roman" w:eastAsia="Times New Roman" w:cs="Times New Roman"/>
          <w:spacing w:val="15"/>
          <w:w w:val="101"/>
          <w:sz w:val="24"/>
          <w:szCs w:val="24"/>
        </w:rPr>
        <w:t xml:space="preserve"> </w:t>
      </w:r>
      <w:r>
        <w:rPr>
          <w:spacing w:val="-6"/>
          <w:sz w:val="24"/>
          <w:szCs w:val="24"/>
        </w:rPr>
        <w:t>月</w:t>
      </w:r>
      <w:r>
        <w:rPr>
          <w:spacing w:val="-50"/>
          <w:sz w:val="24"/>
          <w:szCs w:val="24"/>
        </w:rPr>
        <w:t xml:space="preserve"> </w:t>
      </w:r>
      <w:r>
        <w:rPr>
          <w:rFonts w:ascii="Times New Roman" w:hAnsi="Times New Roman" w:eastAsia="Times New Roman" w:cs="Times New Roman"/>
          <w:spacing w:val="-6"/>
          <w:sz w:val="24"/>
          <w:szCs w:val="24"/>
        </w:rPr>
        <w:t>31</w:t>
      </w:r>
      <w:r>
        <w:rPr>
          <w:rFonts w:ascii="Times New Roman" w:hAnsi="Times New Roman" w:eastAsia="Times New Roman" w:cs="Times New Roman"/>
          <w:spacing w:val="-7"/>
          <w:sz w:val="24"/>
          <w:szCs w:val="24"/>
        </w:rPr>
        <w:t xml:space="preserve">  </w:t>
      </w:r>
      <w:r>
        <w:rPr>
          <w:spacing w:val="-7"/>
          <w:sz w:val="24"/>
          <w:szCs w:val="24"/>
        </w:rPr>
        <w:t>日，水库从导流隧洞底</w:t>
      </w:r>
      <w:r>
        <w:rPr>
          <w:sz w:val="24"/>
          <w:szCs w:val="24"/>
        </w:rPr>
        <w:t xml:space="preserve">板高程 </w:t>
      </w:r>
      <w:r>
        <w:rPr>
          <w:rFonts w:ascii="Times New Roman" w:hAnsi="Times New Roman" w:eastAsia="Times New Roman" w:cs="Times New Roman"/>
          <w:sz w:val="24"/>
          <w:szCs w:val="24"/>
        </w:rPr>
        <w:t xml:space="preserve">1899.39m  </w:t>
      </w:r>
      <w:r>
        <w:rPr>
          <w:sz w:val="24"/>
          <w:szCs w:val="24"/>
        </w:rPr>
        <w:t xml:space="preserve">开始蓄水，控制最高蓄水位为 </w:t>
      </w:r>
      <w:r>
        <w:rPr>
          <w:rFonts w:ascii="Times New Roman" w:hAnsi="Times New Roman" w:eastAsia="Times New Roman" w:cs="Times New Roman"/>
          <w:sz w:val="24"/>
          <w:szCs w:val="24"/>
        </w:rPr>
        <w:t>1925.0m</w:t>
      </w:r>
      <w:r>
        <w:rPr>
          <w:sz w:val="24"/>
          <w:szCs w:val="24"/>
        </w:rPr>
        <w:t>（</w:t>
      </w:r>
      <w:r>
        <w:rPr>
          <w:rFonts w:ascii="Times New Roman" w:hAnsi="Times New Roman" w:eastAsia="Times New Roman" w:cs="Times New Roman"/>
          <w:sz w:val="24"/>
          <w:szCs w:val="24"/>
        </w:rPr>
        <w:t>1925m</w:t>
      </w:r>
      <w:r>
        <w:rPr>
          <w:rFonts w:ascii="Times New Roman" w:hAnsi="Times New Roman" w:eastAsia="Times New Roman" w:cs="Times New Roman"/>
          <w:spacing w:val="6"/>
          <w:sz w:val="24"/>
          <w:szCs w:val="24"/>
        </w:rPr>
        <w:t xml:space="preserve">  </w:t>
      </w:r>
      <w:r>
        <w:rPr>
          <w:sz w:val="24"/>
          <w:szCs w:val="24"/>
        </w:rPr>
        <w:t>水位处坝高为</w:t>
      </w:r>
      <w:r>
        <w:rPr>
          <w:rFonts w:ascii="Times New Roman" w:hAnsi="Times New Roman" w:eastAsia="Times New Roman" w:cs="Times New Roman"/>
          <w:spacing w:val="-7"/>
          <w:sz w:val="24"/>
          <w:szCs w:val="24"/>
        </w:rPr>
        <w:t>33.8m</w:t>
      </w:r>
      <w:r>
        <w:rPr>
          <w:spacing w:val="-7"/>
          <w:sz w:val="24"/>
          <w:szCs w:val="24"/>
        </w:rPr>
        <w:t>，占总坝高的</w:t>
      </w:r>
      <w:r>
        <w:rPr>
          <w:spacing w:val="-36"/>
          <w:sz w:val="24"/>
          <w:szCs w:val="24"/>
        </w:rPr>
        <w:t xml:space="preserve"> </w:t>
      </w:r>
      <w:r>
        <w:rPr>
          <w:rFonts w:ascii="Times New Roman" w:hAnsi="Times New Roman" w:eastAsia="Times New Roman" w:cs="Times New Roman"/>
          <w:spacing w:val="-7"/>
          <w:sz w:val="24"/>
          <w:szCs w:val="24"/>
        </w:rPr>
        <w:t>65%</w:t>
      </w:r>
      <w:r>
        <w:rPr>
          <w:spacing w:val="-7"/>
          <w:sz w:val="24"/>
          <w:szCs w:val="24"/>
        </w:rPr>
        <w:t>）。</w:t>
      </w:r>
    </w:p>
    <w:p w14:paraId="42E63B93">
      <w:pPr>
        <w:pStyle w:val="2"/>
        <w:spacing w:before="1" w:line="336" w:lineRule="auto"/>
        <w:ind w:left="39" w:right="31" w:firstLine="480"/>
        <w:jc w:val="both"/>
        <w:rPr>
          <w:sz w:val="24"/>
          <w:szCs w:val="24"/>
        </w:rPr>
      </w:pPr>
      <w:r>
        <w:rPr>
          <w:spacing w:val="-7"/>
          <w:sz w:val="24"/>
          <w:szCs w:val="24"/>
        </w:rPr>
        <w:t>第二期蓄水期，</w:t>
      </w:r>
      <w:r>
        <w:rPr>
          <w:rFonts w:ascii="Times New Roman" w:hAnsi="Times New Roman" w:eastAsia="Times New Roman" w:cs="Times New Roman"/>
          <w:spacing w:val="-7"/>
          <w:sz w:val="24"/>
          <w:szCs w:val="24"/>
        </w:rPr>
        <w:t>2023</w:t>
      </w:r>
      <w:r>
        <w:rPr>
          <w:rFonts w:ascii="Times New Roman" w:hAnsi="Times New Roman" w:eastAsia="Times New Roman" w:cs="Times New Roman"/>
          <w:spacing w:val="35"/>
          <w:sz w:val="24"/>
          <w:szCs w:val="24"/>
        </w:rPr>
        <w:t xml:space="preserve"> </w:t>
      </w:r>
      <w:r>
        <w:rPr>
          <w:spacing w:val="-7"/>
          <w:sz w:val="24"/>
          <w:szCs w:val="24"/>
        </w:rPr>
        <w:t>年</w:t>
      </w:r>
      <w:r>
        <w:rPr>
          <w:spacing w:val="-25"/>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23"/>
          <w:sz w:val="24"/>
          <w:szCs w:val="24"/>
        </w:rPr>
        <w:t xml:space="preserve"> </w:t>
      </w:r>
      <w:r>
        <w:rPr>
          <w:spacing w:val="-7"/>
          <w:sz w:val="24"/>
          <w:szCs w:val="24"/>
        </w:rPr>
        <w:t>月</w:t>
      </w:r>
      <w:r>
        <w:rPr>
          <w:spacing w:val="-25"/>
          <w:sz w:val="24"/>
          <w:szCs w:val="24"/>
        </w:rPr>
        <w:t xml:space="preserve"> </w:t>
      </w:r>
      <w:r>
        <w:rPr>
          <w:rFonts w:ascii="Times New Roman" w:hAnsi="Times New Roman" w:eastAsia="Times New Roman" w:cs="Times New Roman"/>
          <w:spacing w:val="-7"/>
          <w:sz w:val="24"/>
          <w:szCs w:val="24"/>
        </w:rPr>
        <w:t xml:space="preserve">1  </w:t>
      </w:r>
      <w:r>
        <w:rPr>
          <w:spacing w:val="-7"/>
          <w:sz w:val="24"/>
          <w:szCs w:val="24"/>
        </w:rPr>
        <w:t>日</w:t>
      </w:r>
      <w:r>
        <w:rPr>
          <w:rFonts w:ascii="Times New Roman" w:hAnsi="Times New Roman" w:eastAsia="Times New Roman" w:cs="Times New Roman"/>
          <w:spacing w:val="-7"/>
          <w:sz w:val="24"/>
          <w:szCs w:val="24"/>
        </w:rPr>
        <w:t>~2023</w:t>
      </w:r>
      <w:r>
        <w:rPr>
          <w:rFonts w:ascii="Times New Roman" w:hAnsi="Times New Roman" w:eastAsia="Times New Roman" w:cs="Times New Roman"/>
          <w:spacing w:val="17"/>
          <w:w w:val="101"/>
          <w:sz w:val="24"/>
          <w:szCs w:val="24"/>
        </w:rPr>
        <w:t xml:space="preserve"> </w:t>
      </w:r>
      <w:r>
        <w:rPr>
          <w:spacing w:val="-7"/>
          <w:sz w:val="24"/>
          <w:szCs w:val="24"/>
        </w:rPr>
        <w:t>年</w:t>
      </w:r>
      <w:r>
        <w:rPr>
          <w:spacing w:val="-25"/>
          <w:sz w:val="24"/>
          <w:szCs w:val="24"/>
        </w:rPr>
        <w:t xml:space="preserve"> </w:t>
      </w:r>
      <w:r>
        <w:rPr>
          <w:rFonts w:ascii="Times New Roman" w:hAnsi="Times New Roman" w:eastAsia="Times New Roman" w:cs="Times New Roman"/>
          <w:spacing w:val="-7"/>
          <w:sz w:val="24"/>
          <w:szCs w:val="24"/>
        </w:rPr>
        <w:t>12</w:t>
      </w:r>
      <w:r>
        <w:rPr>
          <w:rFonts w:ascii="Times New Roman" w:hAnsi="Times New Roman" w:eastAsia="Times New Roman" w:cs="Times New Roman"/>
          <w:spacing w:val="22"/>
          <w:w w:val="101"/>
          <w:sz w:val="24"/>
          <w:szCs w:val="24"/>
        </w:rPr>
        <w:t xml:space="preserve"> </w:t>
      </w:r>
      <w:r>
        <w:rPr>
          <w:spacing w:val="-7"/>
          <w:sz w:val="24"/>
          <w:szCs w:val="24"/>
        </w:rPr>
        <w:t>月</w:t>
      </w:r>
      <w:r>
        <w:rPr>
          <w:spacing w:val="-43"/>
          <w:sz w:val="24"/>
          <w:szCs w:val="24"/>
        </w:rPr>
        <w:t xml:space="preserve"> </w:t>
      </w:r>
      <w:r>
        <w:rPr>
          <w:rFonts w:ascii="Times New Roman" w:hAnsi="Times New Roman" w:eastAsia="Times New Roman" w:cs="Times New Roman"/>
          <w:spacing w:val="-7"/>
          <w:sz w:val="24"/>
          <w:szCs w:val="24"/>
        </w:rPr>
        <w:t xml:space="preserve">31  </w:t>
      </w:r>
      <w:r>
        <w:rPr>
          <w:spacing w:val="-7"/>
          <w:sz w:val="24"/>
          <w:szCs w:val="24"/>
        </w:rPr>
        <w:t>日，水位从</w:t>
      </w:r>
      <w:r>
        <w:rPr>
          <w:spacing w:val="-24"/>
          <w:sz w:val="24"/>
          <w:szCs w:val="24"/>
        </w:rPr>
        <w:t xml:space="preserve"> </w:t>
      </w:r>
      <w:r>
        <w:rPr>
          <w:rFonts w:ascii="Times New Roman" w:hAnsi="Times New Roman" w:eastAsia="Times New Roman" w:cs="Times New Roman"/>
          <w:spacing w:val="-7"/>
          <w:sz w:val="24"/>
          <w:szCs w:val="24"/>
        </w:rPr>
        <w:t>1925.0m</w:t>
      </w:r>
      <w:r>
        <w:rPr>
          <w:rFonts w:ascii="Times New Roman" w:hAnsi="Times New Roman" w:eastAsia="Times New Roman" w:cs="Times New Roman"/>
          <w:spacing w:val="15"/>
          <w:w w:val="101"/>
          <w:sz w:val="24"/>
          <w:szCs w:val="24"/>
        </w:rPr>
        <w:t xml:space="preserve"> </w:t>
      </w:r>
      <w:r>
        <w:rPr>
          <w:spacing w:val="-7"/>
          <w:sz w:val="24"/>
          <w:szCs w:val="24"/>
        </w:rPr>
        <w:t>逐步</w:t>
      </w:r>
      <w:r>
        <w:rPr>
          <w:spacing w:val="-3"/>
          <w:sz w:val="24"/>
          <w:szCs w:val="24"/>
        </w:rPr>
        <w:t>蓄水至正常水位</w:t>
      </w:r>
      <w:r>
        <w:rPr>
          <w:spacing w:val="-32"/>
          <w:sz w:val="24"/>
          <w:szCs w:val="24"/>
        </w:rPr>
        <w:t xml:space="preserve"> </w:t>
      </w:r>
      <w:r>
        <w:rPr>
          <w:rFonts w:ascii="Times New Roman" w:hAnsi="Times New Roman" w:eastAsia="Times New Roman" w:cs="Times New Roman"/>
          <w:spacing w:val="-3"/>
          <w:sz w:val="24"/>
          <w:szCs w:val="24"/>
        </w:rPr>
        <w:t>1938.5m</w:t>
      </w:r>
      <w:r>
        <w:rPr>
          <w:spacing w:val="-3"/>
          <w:sz w:val="24"/>
          <w:szCs w:val="24"/>
        </w:rPr>
        <w:t>。二期蓄水期间，由输水隧洞向曲靖进行供水</w:t>
      </w:r>
      <w:r>
        <w:rPr>
          <w:spacing w:val="-4"/>
          <w:sz w:val="24"/>
          <w:szCs w:val="24"/>
        </w:rPr>
        <w:t>，由泵站从</w:t>
      </w:r>
      <w:r>
        <w:rPr>
          <w:spacing w:val="2"/>
          <w:sz w:val="24"/>
          <w:szCs w:val="24"/>
        </w:rPr>
        <w:t>库区提水后向马龙工业园区供水，由导流泄洪隧洞内的生态灌溉输水管向下游生</w:t>
      </w:r>
      <w:r>
        <w:rPr>
          <w:spacing w:val="-1"/>
          <w:sz w:val="24"/>
          <w:szCs w:val="24"/>
        </w:rPr>
        <w:t>态、农业供水，弃水通过泄洪隧洞下泄。</w:t>
      </w:r>
    </w:p>
    <w:p w14:paraId="32C1F02C">
      <w:pPr>
        <w:pStyle w:val="2"/>
        <w:spacing w:before="12"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）蓄水阶段划分</w:t>
      </w:r>
    </w:p>
    <w:p w14:paraId="0F7609CD">
      <w:pPr>
        <w:pStyle w:val="2"/>
        <w:spacing w:before="138" w:line="338" w:lineRule="auto"/>
        <w:ind w:left="42" w:right="31" w:firstLine="483"/>
        <w:rPr>
          <w:sz w:val="24"/>
          <w:szCs w:val="24"/>
        </w:rPr>
      </w:pPr>
      <w:r>
        <w:rPr>
          <w:spacing w:val="-4"/>
          <w:sz w:val="24"/>
          <w:szCs w:val="24"/>
        </w:rPr>
        <w:t>导流隧洞计划下闸封堵时间为</w:t>
      </w:r>
      <w:r>
        <w:rPr>
          <w:spacing w:val="-38"/>
          <w:sz w:val="24"/>
          <w:szCs w:val="24"/>
        </w:rPr>
        <w:t xml:space="preserve"> </w:t>
      </w:r>
      <w:r>
        <w:rPr>
          <w:rFonts w:ascii="Times New Roman" w:hAnsi="Times New Roman" w:eastAsia="Times New Roman" w:cs="Times New Roman"/>
          <w:spacing w:val="-4"/>
          <w:sz w:val="24"/>
          <w:szCs w:val="24"/>
        </w:rPr>
        <w:t>2021</w:t>
      </w:r>
      <w:r>
        <w:rPr>
          <w:rFonts w:ascii="Times New Roman" w:hAnsi="Times New Roman" w:eastAsia="Times New Roman" w:cs="Times New Roman"/>
          <w:spacing w:val="27"/>
          <w:w w:val="101"/>
          <w:sz w:val="24"/>
          <w:szCs w:val="24"/>
        </w:rPr>
        <w:t xml:space="preserve"> </w:t>
      </w:r>
      <w:r>
        <w:rPr>
          <w:spacing w:val="-4"/>
          <w:sz w:val="24"/>
          <w:szCs w:val="24"/>
        </w:rPr>
        <w:t xml:space="preserve">年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33"/>
          <w:sz w:val="24"/>
          <w:szCs w:val="24"/>
        </w:rPr>
        <w:t xml:space="preserve"> </w:t>
      </w:r>
      <w:r>
        <w:rPr>
          <w:spacing w:val="-5"/>
          <w:sz w:val="24"/>
          <w:szCs w:val="24"/>
        </w:rPr>
        <w:t xml:space="preserve">月 </w:t>
      </w:r>
      <w:r>
        <w:rPr>
          <w:rFonts w:ascii="Times New Roman" w:hAnsi="Times New Roman" w:eastAsia="Times New Roman" w:cs="Times New Roman"/>
          <w:spacing w:val="-5"/>
          <w:sz w:val="24"/>
          <w:szCs w:val="24"/>
        </w:rPr>
        <w:t xml:space="preserve">1  </w:t>
      </w:r>
      <w:r>
        <w:rPr>
          <w:spacing w:val="-5"/>
          <w:sz w:val="24"/>
          <w:szCs w:val="24"/>
        </w:rPr>
        <w:t>日，车马碧水库初期蓄水拟分</w:t>
      </w:r>
      <w:r>
        <w:rPr>
          <w:spacing w:val="-1"/>
          <w:sz w:val="24"/>
          <w:szCs w:val="24"/>
        </w:rPr>
        <w:t>为两期进行，初期蓄水计划表见表</w:t>
      </w:r>
      <w:r>
        <w:rPr>
          <w:spacing w:val="-50"/>
          <w:sz w:val="24"/>
          <w:szCs w:val="24"/>
        </w:rPr>
        <w:t xml:space="preserve"> </w:t>
      </w:r>
      <w:r>
        <w:rPr>
          <w:rFonts w:ascii="Times New Roman" w:hAnsi="Times New Roman" w:eastAsia="Times New Roman" w:cs="Times New Roman"/>
          <w:spacing w:val="-1"/>
          <w:sz w:val="24"/>
          <w:szCs w:val="24"/>
        </w:rPr>
        <w:t>3.4-</w:t>
      </w:r>
      <w:r>
        <w:rPr>
          <w:rFonts w:ascii="Times New Roman" w:hAnsi="Times New Roman" w:eastAsia="Times New Roman" w:cs="Times New Roman"/>
          <w:spacing w:val="-2"/>
          <w:sz w:val="24"/>
          <w:szCs w:val="24"/>
        </w:rPr>
        <w:t>1</w:t>
      </w:r>
      <w:r>
        <w:rPr>
          <w:spacing w:val="-2"/>
          <w:sz w:val="24"/>
          <w:szCs w:val="24"/>
        </w:rPr>
        <w:t>。</w:t>
      </w:r>
    </w:p>
    <w:p w14:paraId="4BC9D6E0">
      <w:pPr>
        <w:pStyle w:val="2"/>
        <w:spacing w:before="1" w:line="225" w:lineRule="auto"/>
        <w:ind w:left="279"/>
        <w:rPr>
          <w:sz w:val="24"/>
          <w:szCs w:val="24"/>
        </w:rPr>
      </w:pPr>
      <w:r>
        <w:rPr>
          <w:b/>
          <w:bCs/>
          <w:sz w:val="24"/>
          <w:szCs w:val="24"/>
        </w:rPr>
        <w:t>表</w:t>
      </w:r>
      <w:r>
        <w:rPr>
          <w:spacing w:val="-55"/>
          <w:sz w:val="24"/>
          <w:szCs w:val="24"/>
        </w:rPr>
        <w:t xml:space="preserve"> </w:t>
      </w:r>
      <w:r>
        <w:rPr>
          <w:rFonts w:ascii="Times New Roman" w:hAnsi="Times New Roman" w:eastAsia="Times New Roman" w:cs="Times New Roman"/>
          <w:b/>
          <w:bCs/>
          <w:sz w:val="24"/>
          <w:szCs w:val="24"/>
        </w:rPr>
        <w:t xml:space="preserve">3.4.1                                    </w:t>
      </w:r>
      <w:r>
        <w:rPr>
          <w:b/>
          <w:bCs/>
          <w:sz w:val="24"/>
          <w:szCs w:val="24"/>
        </w:rPr>
        <w:t>车马碧</w:t>
      </w:r>
      <w:r>
        <w:rPr>
          <w:b/>
          <w:bCs/>
          <w:spacing w:val="-1"/>
          <w:sz w:val="24"/>
          <w:szCs w:val="24"/>
        </w:rPr>
        <w:t>水库初期蓄水计划表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2141"/>
        <w:gridCol w:w="988"/>
        <w:gridCol w:w="989"/>
        <w:gridCol w:w="1130"/>
        <w:gridCol w:w="1398"/>
        <w:gridCol w:w="1001"/>
      </w:tblGrid>
      <w:tr w14:paraId="3D90A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826" w:type="dxa"/>
            <w:tcBorders>
              <w:top w:val="single" w:color="000000" w:sz="12" w:space="0"/>
              <w:left w:val="single" w:color="000000" w:sz="12" w:space="0"/>
            </w:tcBorders>
            <w:vAlign w:val="top"/>
          </w:tcPr>
          <w:p w14:paraId="1DD31539">
            <w:pPr>
              <w:spacing w:before="223" w:line="220" w:lineRule="auto"/>
              <w:ind w:left="92"/>
              <w:rPr>
                <w:rFonts w:ascii="宋体" w:hAnsi="宋体" w:eastAsia="宋体" w:cs="宋体"/>
                <w:sz w:val="21"/>
                <w:szCs w:val="21"/>
              </w:rPr>
            </w:pPr>
            <w:r>
              <w:rPr>
                <w:rFonts w:ascii="宋体" w:hAnsi="宋体" w:eastAsia="宋体" w:cs="宋体"/>
                <w:spacing w:val="-4"/>
                <w:sz w:val="21"/>
                <w:szCs w:val="21"/>
              </w:rPr>
              <w:t>蓄水期</w:t>
            </w:r>
          </w:p>
        </w:tc>
        <w:tc>
          <w:tcPr>
            <w:tcW w:w="2141" w:type="dxa"/>
            <w:tcBorders>
              <w:top w:val="single" w:color="000000" w:sz="12" w:space="0"/>
            </w:tcBorders>
            <w:vAlign w:val="top"/>
          </w:tcPr>
          <w:p w14:paraId="503BA5C2">
            <w:pPr>
              <w:spacing w:before="223" w:line="221" w:lineRule="auto"/>
              <w:ind w:left="865"/>
              <w:rPr>
                <w:rFonts w:ascii="宋体" w:hAnsi="宋体" w:eastAsia="宋体" w:cs="宋体"/>
                <w:sz w:val="21"/>
                <w:szCs w:val="21"/>
              </w:rPr>
            </w:pPr>
            <w:r>
              <w:rPr>
                <w:rFonts w:ascii="宋体" w:hAnsi="宋体" w:eastAsia="宋体" w:cs="宋体"/>
                <w:spacing w:val="-5"/>
                <w:sz w:val="21"/>
                <w:szCs w:val="21"/>
              </w:rPr>
              <w:t>时段</w:t>
            </w:r>
          </w:p>
        </w:tc>
        <w:tc>
          <w:tcPr>
            <w:tcW w:w="988" w:type="dxa"/>
            <w:tcBorders>
              <w:top w:val="single" w:color="000000" w:sz="12" w:space="0"/>
            </w:tcBorders>
            <w:vAlign w:val="top"/>
          </w:tcPr>
          <w:p w14:paraId="0513BAE9">
            <w:pPr>
              <w:pStyle w:val="6"/>
              <w:spacing w:before="89" w:line="243" w:lineRule="auto"/>
              <w:ind w:left="207" w:right="72" w:hanging="133"/>
              <w:rPr>
                <w:rFonts w:ascii="宋体" w:hAnsi="宋体" w:eastAsia="宋体" w:cs="宋体"/>
              </w:rPr>
            </w:pPr>
            <w:r>
              <w:rPr>
                <w:rFonts w:ascii="宋体" w:hAnsi="宋体" w:eastAsia="宋体" w:cs="宋体"/>
                <w:spacing w:val="-3"/>
              </w:rPr>
              <w:t>起始水位</w:t>
            </w:r>
            <w:r>
              <w:rPr>
                <w:rFonts w:ascii="宋体" w:hAnsi="宋体" w:eastAsia="宋体" w:cs="宋体"/>
                <w:spacing w:val="-5"/>
              </w:rPr>
              <w:t>（</w:t>
            </w:r>
            <w:r>
              <w:rPr>
                <w:spacing w:val="-5"/>
              </w:rPr>
              <w:t>m</w:t>
            </w:r>
            <w:r>
              <w:rPr>
                <w:rFonts w:ascii="宋体" w:hAnsi="宋体" w:eastAsia="宋体" w:cs="宋体"/>
                <w:spacing w:val="-5"/>
              </w:rPr>
              <w:t>）</w:t>
            </w:r>
          </w:p>
        </w:tc>
        <w:tc>
          <w:tcPr>
            <w:tcW w:w="989" w:type="dxa"/>
            <w:tcBorders>
              <w:top w:val="single" w:color="000000" w:sz="12" w:space="0"/>
            </w:tcBorders>
            <w:vAlign w:val="top"/>
          </w:tcPr>
          <w:p w14:paraId="4395B914">
            <w:pPr>
              <w:pStyle w:val="6"/>
              <w:spacing w:before="87" w:line="235" w:lineRule="auto"/>
              <w:ind w:left="36" w:right="37" w:firstLine="41"/>
              <w:rPr>
                <w:rFonts w:ascii="宋体" w:hAnsi="宋体" w:eastAsia="宋体" w:cs="宋体"/>
              </w:rPr>
            </w:pPr>
            <w:r>
              <w:rPr>
                <w:rFonts w:ascii="宋体" w:hAnsi="宋体" w:eastAsia="宋体" w:cs="宋体"/>
                <w:spacing w:val="-3"/>
              </w:rPr>
              <w:t>起始库容</w:t>
            </w:r>
            <w:r>
              <w:rPr>
                <w:rFonts w:ascii="宋体" w:hAnsi="宋体" w:eastAsia="宋体" w:cs="宋体"/>
                <w:spacing w:val="-5"/>
                <w:position w:val="-1"/>
              </w:rPr>
              <w:t>（</w:t>
            </w:r>
            <w:r>
              <w:rPr>
                <w:spacing w:val="-5"/>
                <w:position w:val="-1"/>
              </w:rPr>
              <w:t>10</w:t>
            </w:r>
            <w:r>
              <w:rPr>
                <w:spacing w:val="-5"/>
                <w:position w:val="6"/>
                <w:sz w:val="14"/>
                <w:szCs w:val="14"/>
              </w:rPr>
              <w:t>4</w:t>
            </w:r>
            <w:r>
              <w:rPr>
                <w:spacing w:val="-5"/>
                <w:position w:val="-1"/>
              </w:rPr>
              <w:t>m</w:t>
            </w:r>
            <w:r>
              <w:rPr>
                <w:spacing w:val="-5"/>
                <w:position w:val="1"/>
                <w:sz w:val="14"/>
                <w:szCs w:val="14"/>
              </w:rPr>
              <w:t>3</w:t>
            </w:r>
            <w:r>
              <w:rPr>
                <w:rFonts w:ascii="宋体" w:hAnsi="宋体" w:eastAsia="宋体" w:cs="宋体"/>
                <w:spacing w:val="-5"/>
                <w:position w:val="1"/>
              </w:rPr>
              <w:t>）</w:t>
            </w:r>
          </w:p>
        </w:tc>
        <w:tc>
          <w:tcPr>
            <w:tcW w:w="1130" w:type="dxa"/>
            <w:tcBorders>
              <w:top w:val="single" w:color="000000" w:sz="12" w:space="0"/>
            </w:tcBorders>
            <w:vAlign w:val="top"/>
          </w:tcPr>
          <w:p w14:paraId="599AEC84">
            <w:pPr>
              <w:spacing w:before="87" w:line="220" w:lineRule="auto"/>
              <w:ind w:left="49"/>
              <w:rPr>
                <w:rFonts w:ascii="宋体" w:hAnsi="宋体" w:eastAsia="宋体" w:cs="宋体"/>
                <w:sz w:val="21"/>
                <w:szCs w:val="21"/>
              </w:rPr>
            </w:pPr>
            <w:r>
              <w:rPr>
                <w:rFonts w:ascii="宋体" w:hAnsi="宋体" w:eastAsia="宋体" w:cs="宋体"/>
                <w:spacing w:val="-2"/>
                <w:sz w:val="21"/>
                <w:szCs w:val="21"/>
              </w:rPr>
              <w:t>最高蓄水位</w:t>
            </w:r>
          </w:p>
          <w:p w14:paraId="71AD7FD4">
            <w:pPr>
              <w:pStyle w:val="6"/>
              <w:spacing w:before="22" w:line="280" w:lineRule="exact"/>
              <w:ind w:left="287"/>
              <w:rPr>
                <w:rFonts w:ascii="宋体" w:hAnsi="宋体" w:eastAsia="宋体" w:cs="宋体"/>
              </w:rPr>
            </w:pPr>
            <w:r>
              <w:rPr>
                <w:rFonts w:ascii="宋体" w:hAnsi="宋体" w:eastAsia="宋体" w:cs="宋体"/>
                <w:spacing w:val="-5"/>
                <w:position w:val="1"/>
              </w:rPr>
              <w:t>（</w:t>
            </w:r>
            <w:r>
              <w:rPr>
                <w:spacing w:val="-5"/>
                <w:position w:val="1"/>
              </w:rPr>
              <w:t>m</w:t>
            </w:r>
            <w:r>
              <w:rPr>
                <w:rFonts w:ascii="宋体" w:hAnsi="宋体" w:eastAsia="宋体" w:cs="宋体"/>
                <w:spacing w:val="-5"/>
                <w:position w:val="1"/>
              </w:rPr>
              <w:t>）</w:t>
            </w:r>
          </w:p>
        </w:tc>
        <w:tc>
          <w:tcPr>
            <w:tcW w:w="1398" w:type="dxa"/>
            <w:tcBorders>
              <w:top w:val="single" w:color="000000" w:sz="12" w:space="0"/>
            </w:tcBorders>
            <w:vAlign w:val="top"/>
          </w:tcPr>
          <w:p w14:paraId="75E11806">
            <w:pPr>
              <w:pStyle w:val="6"/>
              <w:spacing w:before="87" w:line="235" w:lineRule="auto"/>
              <w:ind w:left="249" w:right="54" w:hanging="166"/>
              <w:rPr>
                <w:rFonts w:ascii="宋体" w:hAnsi="宋体" w:eastAsia="宋体" w:cs="宋体"/>
              </w:rPr>
            </w:pPr>
            <w:r>
              <w:rPr>
                <w:rFonts w:ascii="宋体" w:hAnsi="宋体" w:eastAsia="宋体" w:cs="宋体"/>
                <w:spacing w:val="-2"/>
              </w:rPr>
              <w:t>最大蓄水库容</w:t>
            </w:r>
            <w:r>
              <w:rPr>
                <w:rFonts w:ascii="宋体" w:hAnsi="宋体" w:eastAsia="宋体" w:cs="宋体"/>
                <w:spacing w:val="-3"/>
                <w:position w:val="-1"/>
              </w:rPr>
              <w:t>（</w:t>
            </w:r>
            <w:r>
              <w:rPr>
                <w:spacing w:val="-3"/>
                <w:position w:val="-1"/>
              </w:rPr>
              <w:t>10</w:t>
            </w:r>
            <w:r>
              <w:rPr>
                <w:spacing w:val="-3"/>
                <w:position w:val="6"/>
                <w:sz w:val="14"/>
                <w:szCs w:val="14"/>
              </w:rPr>
              <w:t>4</w:t>
            </w:r>
            <w:r>
              <w:rPr>
                <w:spacing w:val="-3"/>
                <w:position w:val="-1"/>
              </w:rPr>
              <w:t>m</w:t>
            </w:r>
            <w:r>
              <w:rPr>
                <w:spacing w:val="-3"/>
                <w:position w:val="1"/>
                <w:sz w:val="14"/>
                <w:szCs w:val="14"/>
              </w:rPr>
              <w:t>3</w:t>
            </w:r>
            <w:r>
              <w:rPr>
                <w:rFonts w:ascii="宋体" w:hAnsi="宋体" w:eastAsia="宋体" w:cs="宋体"/>
                <w:spacing w:val="-3"/>
                <w:position w:val="1"/>
              </w:rPr>
              <w:t>）</w:t>
            </w:r>
          </w:p>
        </w:tc>
        <w:tc>
          <w:tcPr>
            <w:tcW w:w="1001" w:type="dxa"/>
            <w:tcBorders>
              <w:top w:val="single" w:color="000000" w:sz="12" w:space="0"/>
              <w:right w:val="single" w:color="000000" w:sz="12" w:space="0"/>
            </w:tcBorders>
            <w:vAlign w:val="top"/>
          </w:tcPr>
          <w:p w14:paraId="28C092B8">
            <w:pPr>
              <w:pStyle w:val="6"/>
              <w:spacing w:before="87" w:line="235" w:lineRule="auto"/>
              <w:ind w:left="49" w:right="27" w:firstLine="154"/>
              <w:rPr>
                <w:rFonts w:ascii="宋体" w:hAnsi="宋体" w:eastAsia="宋体" w:cs="宋体"/>
              </w:rPr>
            </w:pPr>
            <w:r>
              <w:rPr>
                <w:rFonts w:ascii="宋体" w:hAnsi="宋体" w:eastAsia="宋体" w:cs="宋体"/>
                <w:spacing w:val="-6"/>
              </w:rPr>
              <w:t>蓄水量</w:t>
            </w:r>
            <w:r>
              <w:rPr>
                <w:rFonts w:ascii="宋体" w:hAnsi="宋体" w:eastAsia="宋体" w:cs="宋体"/>
                <w:spacing w:val="-5"/>
                <w:position w:val="-1"/>
              </w:rPr>
              <w:t>（</w:t>
            </w:r>
            <w:r>
              <w:rPr>
                <w:spacing w:val="-5"/>
                <w:position w:val="-1"/>
              </w:rPr>
              <w:t>10</w:t>
            </w:r>
            <w:r>
              <w:rPr>
                <w:spacing w:val="-5"/>
                <w:position w:val="6"/>
                <w:sz w:val="14"/>
                <w:szCs w:val="14"/>
              </w:rPr>
              <w:t>4</w:t>
            </w:r>
            <w:r>
              <w:rPr>
                <w:spacing w:val="-5"/>
                <w:position w:val="-1"/>
              </w:rPr>
              <w:t>m</w:t>
            </w:r>
            <w:r>
              <w:rPr>
                <w:spacing w:val="-5"/>
                <w:position w:val="1"/>
                <w:sz w:val="14"/>
                <w:szCs w:val="14"/>
              </w:rPr>
              <w:t>3</w:t>
            </w:r>
            <w:r>
              <w:rPr>
                <w:rFonts w:ascii="宋体" w:hAnsi="宋体" w:eastAsia="宋体" w:cs="宋体"/>
                <w:spacing w:val="-5"/>
                <w:position w:val="1"/>
              </w:rPr>
              <w:t>）</w:t>
            </w:r>
          </w:p>
        </w:tc>
      </w:tr>
      <w:tr w14:paraId="34E6D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26" w:type="dxa"/>
            <w:tcBorders>
              <w:left w:val="single" w:color="000000" w:sz="12" w:space="0"/>
            </w:tcBorders>
            <w:vAlign w:val="top"/>
          </w:tcPr>
          <w:p w14:paraId="45846D04">
            <w:pPr>
              <w:spacing w:before="99" w:line="220" w:lineRule="auto"/>
              <w:ind w:left="83"/>
              <w:rPr>
                <w:rFonts w:ascii="宋体" w:hAnsi="宋体" w:eastAsia="宋体" w:cs="宋体"/>
                <w:sz w:val="21"/>
                <w:szCs w:val="21"/>
              </w:rPr>
            </w:pPr>
            <w:r>
              <w:rPr>
                <w:rFonts w:ascii="宋体" w:hAnsi="宋体" w:eastAsia="宋体" w:cs="宋体"/>
                <w:spacing w:val="-3"/>
                <w:sz w:val="21"/>
                <w:szCs w:val="21"/>
              </w:rPr>
              <w:t>第一期</w:t>
            </w:r>
          </w:p>
        </w:tc>
        <w:tc>
          <w:tcPr>
            <w:tcW w:w="2141" w:type="dxa"/>
            <w:vAlign w:val="top"/>
          </w:tcPr>
          <w:p w14:paraId="023B9653">
            <w:pPr>
              <w:pStyle w:val="6"/>
              <w:spacing w:before="133" w:line="232" w:lineRule="auto"/>
              <w:ind w:left="112"/>
            </w:pPr>
            <w:r>
              <w:rPr>
                <w:spacing w:val="-1"/>
              </w:rPr>
              <w:t>2021.12.1~2022.12.31</w:t>
            </w:r>
          </w:p>
        </w:tc>
        <w:tc>
          <w:tcPr>
            <w:tcW w:w="988" w:type="dxa"/>
            <w:vAlign w:val="top"/>
          </w:tcPr>
          <w:p w14:paraId="1BA3CBD2">
            <w:pPr>
              <w:pStyle w:val="6"/>
              <w:spacing w:before="133" w:line="232" w:lineRule="auto"/>
              <w:ind w:left="169"/>
            </w:pPr>
            <w:r>
              <w:rPr>
                <w:spacing w:val="-4"/>
              </w:rPr>
              <w:t>1899.39</w:t>
            </w:r>
          </w:p>
        </w:tc>
        <w:tc>
          <w:tcPr>
            <w:tcW w:w="989" w:type="dxa"/>
            <w:vAlign w:val="top"/>
          </w:tcPr>
          <w:p w14:paraId="0A5B6668">
            <w:pPr>
              <w:pStyle w:val="6"/>
              <w:spacing w:before="133" w:line="232" w:lineRule="auto"/>
              <w:ind w:left="389"/>
            </w:pPr>
            <w:r>
              <w:rPr>
                <w:spacing w:val="-2"/>
              </w:rPr>
              <w:t>29</w:t>
            </w:r>
          </w:p>
        </w:tc>
        <w:tc>
          <w:tcPr>
            <w:tcW w:w="1130" w:type="dxa"/>
            <w:vAlign w:val="top"/>
          </w:tcPr>
          <w:p w14:paraId="05CF61B3">
            <w:pPr>
              <w:pStyle w:val="6"/>
              <w:spacing w:before="133" w:line="232" w:lineRule="auto"/>
              <w:ind w:left="300"/>
            </w:pPr>
            <w:r>
              <w:rPr>
                <w:spacing w:val="-4"/>
              </w:rPr>
              <w:t>1925.0</w:t>
            </w:r>
          </w:p>
        </w:tc>
        <w:tc>
          <w:tcPr>
            <w:tcW w:w="1398" w:type="dxa"/>
            <w:vAlign w:val="top"/>
          </w:tcPr>
          <w:p w14:paraId="6F91D46A">
            <w:pPr>
              <w:pStyle w:val="6"/>
              <w:spacing w:before="133" w:line="232" w:lineRule="auto"/>
              <w:ind w:left="502"/>
            </w:pPr>
            <w:r>
              <w:rPr>
                <w:spacing w:val="-3"/>
              </w:rPr>
              <w:t>3637</w:t>
            </w:r>
          </w:p>
        </w:tc>
        <w:tc>
          <w:tcPr>
            <w:tcW w:w="1001" w:type="dxa"/>
            <w:tcBorders>
              <w:right w:val="single" w:color="000000" w:sz="12" w:space="0"/>
            </w:tcBorders>
            <w:vAlign w:val="top"/>
          </w:tcPr>
          <w:p w14:paraId="6CDC833E">
            <w:pPr>
              <w:pStyle w:val="6"/>
              <w:spacing w:before="133" w:line="232" w:lineRule="auto"/>
              <w:ind w:left="300"/>
            </w:pPr>
            <w:r>
              <w:rPr>
                <w:spacing w:val="-3"/>
              </w:rPr>
              <w:t>3608</w:t>
            </w:r>
          </w:p>
        </w:tc>
      </w:tr>
      <w:tr w14:paraId="43E68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826" w:type="dxa"/>
            <w:tcBorders>
              <w:left w:val="single" w:color="000000" w:sz="12" w:space="0"/>
              <w:bottom w:val="single" w:color="000000" w:sz="12" w:space="0"/>
            </w:tcBorders>
            <w:vAlign w:val="top"/>
          </w:tcPr>
          <w:p w14:paraId="22380113">
            <w:pPr>
              <w:spacing w:before="107" w:line="220" w:lineRule="auto"/>
              <w:ind w:left="83"/>
              <w:rPr>
                <w:rFonts w:ascii="宋体" w:hAnsi="宋体" w:eastAsia="宋体" w:cs="宋体"/>
                <w:sz w:val="21"/>
                <w:szCs w:val="21"/>
              </w:rPr>
            </w:pPr>
            <w:r>
              <w:rPr>
                <w:rFonts w:ascii="宋体" w:hAnsi="宋体" w:eastAsia="宋体" w:cs="宋体"/>
                <w:spacing w:val="-2"/>
                <w:sz w:val="21"/>
                <w:szCs w:val="21"/>
              </w:rPr>
              <w:t>第二期</w:t>
            </w:r>
          </w:p>
        </w:tc>
        <w:tc>
          <w:tcPr>
            <w:tcW w:w="2141" w:type="dxa"/>
            <w:tcBorders>
              <w:bottom w:val="single" w:color="000000" w:sz="12" w:space="0"/>
            </w:tcBorders>
            <w:vAlign w:val="top"/>
          </w:tcPr>
          <w:p w14:paraId="413A277F">
            <w:pPr>
              <w:pStyle w:val="6"/>
              <w:spacing w:before="141" w:line="232" w:lineRule="auto"/>
              <w:ind w:left="164"/>
            </w:pPr>
            <w:r>
              <w:rPr>
                <w:spacing w:val="-1"/>
              </w:rPr>
              <w:t>2023.1.1~2023.12.31</w:t>
            </w:r>
          </w:p>
        </w:tc>
        <w:tc>
          <w:tcPr>
            <w:tcW w:w="988" w:type="dxa"/>
            <w:tcBorders>
              <w:bottom w:val="single" w:color="000000" w:sz="12" w:space="0"/>
            </w:tcBorders>
            <w:vAlign w:val="top"/>
          </w:tcPr>
          <w:p w14:paraId="1D13D461">
            <w:pPr>
              <w:pStyle w:val="6"/>
              <w:spacing w:before="141" w:line="232" w:lineRule="auto"/>
              <w:ind w:left="222"/>
            </w:pPr>
            <w:r>
              <w:rPr>
                <w:spacing w:val="-4"/>
              </w:rPr>
              <w:t>1925.0</w:t>
            </w:r>
          </w:p>
        </w:tc>
        <w:tc>
          <w:tcPr>
            <w:tcW w:w="989" w:type="dxa"/>
            <w:tcBorders>
              <w:bottom w:val="single" w:color="000000" w:sz="12" w:space="0"/>
            </w:tcBorders>
            <w:vAlign w:val="top"/>
          </w:tcPr>
          <w:p w14:paraId="1C236190">
            <w:pPr>
              <w:pStyle w:val="6"/>
              <w:spacing w:before="141" w:line="232" w:lineRule="auto"/>
              <w:ind w:left="288"/>
            </w:pPr>
            <w:r>
              <w:rPr>
                <w:spacing w:val="-3"/>
              </w:rPr>
              <w:t>3637</w:t>
            </w:r>
          </w:p>
        </w:tc>
        <w:tc>
          <w:tcPr>
            <w:tcW w:w="1130" w:type="dxa"/>
            <w:tcBorders>
              <w:bottom w:val="single" w:color="000000" w:sz="12" w:space="0"/>
            </w:tcBorders>
            <w:vAlign w:val="top"/>
          </w:tcPr>
          <w:p w14:paraId="19AA4F10">
            <w:pPr>
              <w:pStyle w:val="6"/>
              <w:spacing w:before="141" w:line="232" w:lineRule="auto"/>
              <w:ind w:left="300"/>
            </w:pPr>
            <w:r>
              <w:rPr>
                <w:spacing w:val="-4"/>
              </w:rPr>
              <w:t>1938.5</w:t>
            </w:r>
          </w:p>
        </w:tc>
        <w:tc>
          <w:tcPr>
            <w:tcW w:w="1398" w:type="dxa"/>
            <w:tcBorders>
              <w:bottom w:val="single" w:color="000000" w:sz="12" w:space="0"/>
            </w:tcBorders>
            <w:vAlign w:val="top"/>
          </w:tcPr>
          <w:p w14:paraId="6E9B864C">
            <w:pPr>
              <w:pStyle w:val="6"/>
              <w:spacing w:before="141" w:line="232" w:lineRule="auto"/>
              <w:ind w:left="387"/>
            </w:pPr>
            <w:r>
              <w:rPr>
                <w:spacing w:val="-4"/>
              </w:rPr>
              <w:t>10334.5</w:t>
            </w:r>
          </w:p>
        </w:tc>
        <w:tc>
          <w:tcPr>
            <w:tcW w:w="1001" w:type="dxa"/>
            <w:tcBorders>
              <w:bottom w:val="single" w:color="000000" w:sz="12" w:space="0"/>
              <w:right w:val="single" w:color="000000" w:sz="12" w:space="0"/>
            </w:tcBorders>
            <w:vAlign w:val="top"/>
          </w:tcPr>
          <w:p w14:paraId="42A88D58">
            <w:pPr>
              <w:pStyle w:val="6"/>
              <w:spacing w:before="141" w:line="232" w:lineRule="auto"/>
              <w:ind w:left="221"/>
            </w:pPr>
            <w:r>
              <w:rPr>
                <w:spacing w:val="-2"/>
              </w:rPr>
              <w:t>6697.5</w:t>
            </w:r>
          </w:p>
        </w:tc>
      </w:tr>
    </w:tbl>
    <w:p w14:paraId="50462077">
      <w:pPr>
        <w:pStyle w:val="2"/>
        <w:spacing w:before="148" w:line="334" w:lineRule="auto"/>
        <w:ind w:left="50" w:right="29" w:firstLine="468"/>
        <w:jc w:val="both"/>
        <w:rPr>
          <w:sz w:val="24"/>
          <w:szCs w:val="24"/>
        </w:rPr>
      </w:pPr>
      <w:r>
        <w:rPr>
          <w:spacing w:val="-8"/>
          <w:sz w:val="24"/>
          <w:szCs w:val="24"/>
        </w:rPr>
        <w:t>第一期蓄水从</w:t>
      </w:r>
      <w:r>
        <w:rPr>
          <w:spacing w:val="-42"/>
          <w:sz w:val="24"/>
          <w:szCs w:val="24"/>
        </w:rPr>
        <w:t xml:space="preserve"> </w:t>
      </w:r>
      <w:r>
        <w:rPr>
          <w:rFonts w:ascii="Times New Roman" w:hAnsi="Times New Roman" w:eastAsia="Times New Roman" w:cs="Times New Roman"/>
          <w:spacing w:val="-8"/>
          <w:sz w:val="24"/>
          <w:szCs w:val="24"/>
        </w:rPr>
        <w:t xml:space="preserve">2021 </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6"/>
          <w:sz w:val="24"/>
          <w:szCs w:val="24"/>
        </w:rPr>
        <w:t xml:space="preserve"> </w:t>
      </w:r>
      <w:r>
        <w:rPr>
          <w:spacing w:val="-8"/>
          <w:sz w:val="24"/>
          <w:szCs w:val="24"/>
        </w:rPr>
        <w:t>月</w:t>
      </w:r>
      <w:r>
        <w:rPr>
          <w:spacing w:val="-32"/>
          <w:sz w:val="24"/>
          <w:szCs w:val="24"/>
        </w:rPr>
        <w:t xml:space="preserve"> </w:t>
      </w:r>
      <w:r>
        <w:rPr>
          <w:rFonts w:ascii="Times New Roman" w:hAnsi="Times New Roman" w:eastAsia="Times New Roman" w:cs="Times New Roman"/>
          <w:spacing w:val="-8"/>
          <w:sz w:val="24"/>
          <w:szCs w:val="24"/>
        </w:rPr>
        <w:t xml:space="preserve">1  </w:t>
      </w:r>
      <w:r>
        <w:rPr>
          <w:spacing w:val="-8"/>
          <w:sz w:val="24"/>
          <w:szCs w:val="24"/>
        </w:rPr>
        <w:t>日</w:t>
      </w:r>
      <w:r>
        <w:rPr>
          <w:rFonts w:ascii="Times New Roman" w:hAnsi="Times New Roman" w:eastAsia="Times New Roman" w:cs="Times New Roman"/>
          <w:spacing w:val="-8"/>
          <w:sz w:val="24"/>
          <w:szCs w:val="24"/>
        </w:rPr>
        <w:t xml:space="preserve">~2022 </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5"/>
          <w:sz w:val="24"/>
          <w:szCs w:val="24"/>
        </w:rPr>
        <w:t xml:space="preserve"> </w:t>
      </w:r>
      <w:r>
        <w:rPr>
          <w:spacing w:val="-8"/>
          <w:sz w:val="24"/>
          <w:szCs w:val="24"/>
        </w:rPr>
        <w:t>月</w:t>
      </w:r>
      <w:r>
        <w:rPr>
          <w:spacing w:val="-50"/>
          <w:sz w:val="24"/>
          <w:szCs w:val="24"/>
        </w:rPr>
        <w:t xml:space="preserve"> </w:t>
      </w:r>
      <w:r>
        <w:rPr>
          <w:rFonts w:ascii="Times New Roman" w:hAnsi="Times New Roman" w:eastAsia="Times New Roman" w:cs="Times New Roman"/>
          <w:spacing w:val="-8"/>
          <w:sz w:val="24"/>
          <w:szCs w:val="24"/>
        </w:rPr>
        <w:t xml:space="preserve">31  </w:t>
      </w:r>
      <w:r>
        <w:rPr>
          <w:spacing w:val="-8"/>
          <w:sz w:val="24"/>
          <w:szCs w:val="24"/>
        </w:rPr>
        <w:t>日，由导流洞进口底板高程</w:t>
      </w:r>
      <w:r>
        <w:rPr>
          <w:rFonts w:ascii="Times New Roman" w:hAnsi="Times New Roman" w:eastAsia="Times New Roman" w:cs="Times New Roman"/>
          <w:spacing w:val="3"/>
          <w:sz w:val="24"/>
          <w:szCs w:val="24"/>
        </w:rPr>
        <w:t xml:space="preserve">1899.39m  </w:t>
      </w:r>
      <w:r>
        <w:rPr>
          <w:spacing w:val="3"/>
          <w:sz w:val="24"/>
          <w:szCs w:val="24"/>
        </w:rPr>
        <w:t>开始蓄水，最高控制水位</w:t>
      </w:r>
      <w:r>
        <w:rPr>
          <w:spacing w:val="36"/>
          <w:sz w:val="24"/>
          <w:szCs w:val="24"/>
        </w:rPr>
        <w:t xml:space="preserve"> </w:t>
      </w:r>
      <w:r>
        <w:rPr>
          <w:rFonts w:ascii="Times New Roman" w:hAnsi="Times New Roman" w:eastAsia="Times New Roman" w:cs="Times New Roman"/>
          <w:spacing w:val="3"/>
          <w:sz w:val="24"/>
          <w:szCs w:val="24"/>
        </w:rPr>
        <w:t>1925</w:t>
      </w:r>
      <w:r>
        <w:rPr>
          <w:rFonts w:ascii="Times New Roman" w:hAnsi="Times New Roman" w:eastAsia="Times New Roman" w:cs="Times New Roman"/>
          <w:spacing w:val="2"/>
          <w:sz w:val="24"/>
          <w:szCs w:val="24"/>
        </w:rPr>
        <w:t>.0m</w:t>
      </w:r>
      <w:r>
        <w:rPr>
          <w:rFonts w:ascii="Times New Roman" w:hAnsi="Times New Roman" w:eastAsia="Times New Roman" w:cs="Times New Roman"/>
          <w:spacing w:val="-21"/>
          <w:sz w:val="24"/>
          <w:szCs w:val="24"/>
        </w:rPr>
        <w:t xml:space="preserve"> </w:t>
      </w:r>
      <w:r>
        <w:rPr>
          <w:spacing w:val="2"/>
          <w:sz w:val="24"/>
          <w:szCs w:val="24"/>
        </w:rPr>
        <w:t>。一期蓄水期间，水位低于死水位</w:t>
      </w:r>
      <w:r>
        <w:rPr>
          <w:rFonts w:ascii="Times New Roman" w:hAnsi="Times New Roman" w:eastAsia="Times New Roman" w:cs="Times New Roman"/>
          <w:spacing w:val="-7"/>
          <w:sz w:val="24"/>
          <w:szCs w:val="24"/>
        </w:rPr>
        <w:t>1915.3m</w:t>
      </w:r>
      <w:r>
        <w:rPr>
          <w:rFonts w:ascii="Times New Roman" w:hAnsi="Times New Roman" w:eastAsia="Times New Roman" w:cs="Times New Roman"/>
          <w:spacing w:val="36"/>
          <w:w w:val="101"/>
          <w:sz w:val="24"/>
          <w:szCs w:val="24"/>
        </w:rPr>
        <w:t xml:space="preserve"> </w:t>
      </w:r>
      <w:r>
        <w:rPr>
          <w:spacing w:val="-7"/>
          <w:sz w:val="24"/>
          <w:szCs w:val="24"/>
        </w:rPr>
        <w:t>时，由泵站从库区提水至泄洪洞下放生态、农业水量；</w:t>
      </w:r>
      <w:r>
        <w:rPr>
          <w:spacing w:val="59"/>
          <w:sz w:val="24"/>
          <w:szCs w:val="24"/>
        </w:rPr>
        <w:t xml:space="preserve"> </w:t>
      </w:r>
      <w:r>
        <w:rPr>
          <w:spacing w:val="-7"/>
          <w:sz w:val="24"/>
          <w:szCs w:val="24"/>
        </w:rPr>
        <w:t>水位高于</w:t>
      </w:r>
      <w:r>
        <w:rPr>
          <w:spacing w:val="-31"/>
          <w:sz w:val="24"/>
          <w:szCs w:val="24"/>
        </w:rPr>
        <w:t xml:space="preserve"> </w:t>
      </w:r>
      <w:r>
        <w:rPr>
          <w:rFonts w:ascii="Times New Roman" w:hAnsi="Times New Roman" w:eastAsia="Times New Roman" w:cs="Times New Roman"/>
          <w:spacing w:val="-7"/>
          <w:sz w:val="24"/>
          <w:szCs w:val="24"/>
        </w:rPr>
        <w:t>1915.3m</w:t>
      </w:r>
      <w:r>
        <w:rPr>
          <w:spacing w:val="-2"/>
          <w:sz w:val="24"/>
          <w:szCs w:val="24"/>
        </w:rPr>
        <w:t>时，由泄洪洞直接放生态、农业水量，并通过输水隧洞向西城工业园区供水。</w:t>
      </w:r>
    </w:p>
    <w:p w14:paraId="08AB7856">
      <w:pPr>
        <w:pStyle w:val="2"/>
        <w:spacing w:before="23" w:line="333" w:lineRule="auto"/>
        <w:ind w:left="43" w:right="30" w:firstLine="476"/>
        <w:jc w:val="both"/>
        <w:rPr>
          <w:sz w:val="24"/>
          <w:szCs w:val="24"/>
        </w:rPr>
      </w:pPr>
      <w:r>
        <w:rPr>
          <w:spacing w:val="-8"/>
          <w:sz w:val="24"/>
          <w:szCs w:val="24"/>
        </w:rPr>
        <w:t>第二期蓄水从</w:t>
      </w:r>
      <w:r>
        <w:rPr>
          <w:spacing w:val="-42"/>
          <w:sz w:val="24"/>
          <w:szCs w:val="24"/>
        </w:rPr>
        <w:t xml:space="preserve"> </w:t>
      </w:r>
      <w:r>
        <w:rPr>
          <w:rFonts w:ascii="Times New Roman" w:hAnsi="Times New Roman" w:eastAsia="Times New Roman" w:cs="Times New Roman"/>
          <w:spacing w:val="-8"/>
          <w:sz w:val="24"/>
          <w:szCs w:val="24"/>
        </w:rPr>
        <w:t xml:space="preserve">2023 </w:t>
      </w:r>
      <w:r>
        <w:rPr>
          <w:spacing w:val="-8"/>
          <w:sz w:val="24"/>
          <w:szCs w:val="24"/>
        </w:rPr>
        <w:t>年</w:t>
      </w:r>
      <w:r>
        <w:rPr>
          <w:spacing w:val="-31"/>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5"/>
          <w:sz w:val="24"/>
          <w:szCs w:val="24"/>
        </w:rPr>
        <w:t xml:space="preserve"> </w:t>
      </w:r>
      <w:r>
        <w:rPr>
          <w:spacing w:val="-8"/>
          <w:sz w:val="24"/>
          <w:szCs w:val="24"/>
        </w:rPr>
        <w:t>月</w:t>
      </w:r>
      <w:r>
        <w:rPr>
          <w:spacing w:val="-32"/>
          <w:sz w:val="24"/>
          <w:szCs w:val="24"/>
        </w:rPr>
        <w:t xml:space="preserve"> </w:t>
      </w:r>
      <w:r>
        <w:rPr>
          <w:rFonts w:ascii="Times New Roman" w:hAnsi="Times New Roman" w:eastAsia="Times New Roman" w:cs="Times New Roman"/>
          <w:spacing w:val="-8"/>
          <w:sz w:val="24"/>
          <w:szCs w:val="24"/>
        </w:rPr>
        <w:t xml:space="preserve">1  </w:t>
      </w:r>
      <w:r>
        <w:rPr>
          <w:spacing w:val="-8"/>
          <w:sz w:val="24"/>
          <w:szCs w:val="24"/>
        </w:rPr>
        <w:t>日～</w:t>
      </w:r>
      <w:r>
        <w:rPr>
          <w:rFonts w:ascii="Times New Roman" w:hAnsi="Times New Roman" w:eastAsia="Times New Roman" w:cs="Times New Roman"/>
          <w:spacing w:val="-8"/>
          <w:sz w:val="24"/>
          <w:szCs w:val="24"/>
        </w:rPr>
        <w:t xml:space="preserve">2023 </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5"/>
          <w:w w:val="101"/>
          <w:sz w:val="24"/>
          <w:szCs w:val="24"/>
        </w:rPr>
        <w:t xml:space="preserve"> </w:t>
      </w:r>
      <w:r>
        <w:rPr>
          <w:spacing w:val="-8"/>
          <w:sz w:val="24"/>
          <w:szCs w:val="24"/>
        </w:rPr>
        <w:t>月</w:t>
      </w:r>
      <w:r>
        <w:rPr>
          <w:spacing w:val="-50"/>
          <w:sz w:val="24"/>
          <w:szCs w:val="24"/>
        </w:rPr>
        <w:t xml:space="preserve"> </w:t>
      </w:r>
      <w:r>
        <w:rPr>
          <w:rFonts w:ascii="Times New Roman" w:hAnsi="Times New Roman" w:eastAsia="Times New Roman" w:cs="Times New Roman"/>
          <w:spacing w:val="-8"/>
          <w:sz w:val="24"/>
          <w:szCs w:val="24"/>
        </w:rPr>
        <w:t xml:space="preserve">31  </w:t>
      </w:r>
      <w:r>
        <w:rPr>
          <w:spacing w:val="-8"/>
          <w:sz w:val="24"/>
          <w:szCs w:val="24"/>
        </w:rPr>
        <w:t>日，库水位从</w:t>
      </w:r>
      <w:r>
        <w:rPr>
          <w:spacing w:val="-32"/>
          <w:sz w:val="24"/>
          <w:szCs w:val="24"/>
        </w:rPr>
        <w:t xml:space="preserve"> </w:t>
      </w:r>
      <w:r>
        <w:rPr>
          <w:rFonts w:ascii="Times New Roman" w:hAnsi="Times New Roman" w:eastAsia="Times New Roman" w:cs="Times New Roman"/>
          <w:spacing w:val="-8"/>
          <w:sz w:val="24"/>
          <w:szCs w:val="24"/>
        </w:rPr>
        <w:t xml:space="preserve">1925.0m </w:t>
      </w:r>
      <w:r>
        <w:rPr>
          <w:spacing w:val="-8"/>
          <w:sz w:val="24"/>
          <w:szCs w:val="24"/>
        </w:rPr>
        <w:t>逐步</w:t>
      </w:r>
      <w:r>
        <w:rPr>
          <w:spacing w:val="-2"/>
          <w:sz w:val="24"/>
          <w:szCs w:val="24"/>
        </w:rPr>
        <w:t xml:space="preserve">蓄水至正常蓄水位 </w:t>
      </w:r>
      <w:r>
        <w:rPr>
          <w:rFonts w:ascii="Times New Roman" w:hAnsi="Times New Roman" w:eastAsia="Times New Roman" w:cs="Times New Roman"/>
          <w:spacing w:val="-2"/>
          <w:sz w:val="24"/>
          <w:szCs w:val="24"/>
        </w:rPr>
        <w:t>1938.5m</w:t>
      </w:r>
      <w:r>
        <w:rPr>
          <w:spacing w:val="-2"/>
          <w:sz w:val="24"/>
          <w:szCs w:val="24"/>
        </w:rPr>
        <w:t xml:space="preserve">，正常库容 </w:t>
      </w:r>
      <w:r>
        <w:rPr>
          <w:rFonts w:ascii="Times New Roman" w:hAnsi="Times New Roman" w:eastAsia="Times New Roman" w:cs="Times New Roman"/>
          <w:spacing w:val="-2"/>
          <w:sz w:val="24"/>
          <w:szCs w:val="24"/>
        </w:rPr>
        <w:t>1033</w:t>
      </w:r>
      <w:r>
        <w:rPr>
          <w:rFonts w:ascii="Times New Roman" w:hAnsi="Times New Roman" w:eastAsia="Times New Roman" w:cs="Times New Roman"/>
          <w:spacing w:val="-3"/>
          <w:sz w:val="24"/>
          <w:szCs w:val="24"/>
        </w:rPr>
        <w:t>4.5</w:t>
      </w:r>
      <w:r>
        <w:rPr>
          <w:rFonts w:ascii="Times New Roman" w:hAnsi="Times New Roman" w:eastAsia="Times New Roman" w:cs="Times New Roman"/>
          <w:spacing w:val="38"/>
          <w:sz w:val="24"/>
          <w:szCs w:val="24"/>
        </w:rPr>
        <w:t xml:space="preserve"> </w:t>
      </w:r>
      <w:r>
        <w:rPr>
          <w:spacing w:val="-3"/>
          <w:sz w:val="24"/>
          <w:szCs w:val="24"/>
        </w:rPr>
        <w:t>万</w:t>
      </w:r>
      <w:r>
        <w:rPr>
          <w:spacing w:val="-35"/>
          <w:sz w:val="24"/>
          <w:szCs w:val="24"/>
        </w:rPr>
        <w:t xml:space="preserve"> </w:t>
      </w:r>
      <w:r>
        <w:rPr>
          <w:rFonts w:ascii="Times New Roman" w:hAnsi="Times New Roman" w:eastAsia="Times New Roman" w:cs="Times New Roman"/>
          <w:spacing w:val="-3"/>
          <w:sz w:val="24"/>
          <w:szCs w:val="24"/>
        </w:rPr>
        <w:t>m</w:t>
      </w:r>
      <w:r>
        <w:rPr>
          <w:spacing w:val="-3"/>
          <w:sz w:val="24"/>
          <w:szCs w:val="24"/>
        </w:rPr>
        <w:t>³。二期蓄水期间，在优先下</w:t>
      </w:r>
      <w:r>
        <w:rPr>
          <w:spacing w:val="-6"/>
          <w:sz w:val="24"/>
          <w:szCs w:val="24"/>
        </w:rPr>
        <w:t>泄下游生态用水，满足下游农业灌溉及部分工业园区、灌区用</w:t>
      </w:r>
      <w:r>
        <w:rPr>
          <w:spacing w:val="-7"/>
          <w:sz w:val="24"/>
          <w:szCs w:val="24"/>
        </w:rPr>
        <w:t>水的条件下，</w:t>
      </w:r>
      <w:r>
        <w:rPr>
          <w:spacing w:val="-46"/>
          <w:sz w:val="24"/>
          <w:szCs w:val="24"/>
        </w:rPr>
        <w:t xml:space="preserve"> </w:t>
      </w:r>
      <w:r>
        <w:rPr>
          <w:spacing w:val="-7"/>
          <w:sz w:val="24"/>
          <w:szCs w:val="24"/>
        </w:rPr>
        <w:t>尽量拦</w:t>
      </w:r>
    </w:p>
    <w:p w14:paraId="3AA49CF9">
      <w:pPr>
        <w:spacing w:line="333" w:lineRule="auto"/>
        <w:rPr>
          <w:sz w:val="24"/>
          <w:szCs w:val="24"/>
        </w:rPr>
        <w:sectPr>
          <w:headerReference r:id="rId68" w:type="default"/>
          <w:footerReference r:id="rId69" w:type="default"/>
          <w:pgSz w:w="11907" w:h="16839"/>
          <w:pgMar w:top="1376" w:right="1669" w:bottom="1061" w:left="1671" w:header="999" w:footer="861" w:gutter="0"/>
          <w:cols w:space="720" w:num="1"/>
        </w:sectPr>
      </w:pPr>
    </w:p>
    <w:p w14:paraId="0B07EC46">
      <w:pPr>
        <w:spacing w:line="455" w:lineRule="auto"/>
        <w:rPr>
          <w:rFonts w:ascii="Arial"/>
          <w:sz w:val="21"/>
        </w:rPr>
      </w:pPr>
    </w:p>
    <w:p w14:paraId="6E9AC5EA">
      <w:pPr>
        <w:pStyle w:val="2"/>
        <w:spacing w:before="78" w:line="233" w:lineRule="auto"/>
        <w:ind w:left="49"/>
        <w:rPr>
          <w:sz w:val="24"/>
          <w:szCs w:val="24"/>
        </w:rPr>
      </w:pPr>
      <w:r>
        <w:rPr>
          <w:spacing w:val="-2"/>
          <w:sz w:val="24"/>
          <w:szCs w:val="24"/>
        </w:rPr>
        <w:t>蓄来水，在主汛期结束之前蓄至正常蓄水位</w:t>
      </w:r>
      <w:r>
        <w:rPr>
          <w:spacing w:val="-26"/>
          <w:sz w:val="24"/>
          <w:szCs w:val="24"/>
        </w:rPr>
        <w:t xml:space="preserve"> </w:t>
      </w:r>
      <w:r>
        <w:rPr>
          <w:rFonts w:ascii="Times New Roman" w:hAnsi="Times New Roman" w:eastAsia="Times New Roman" w:cs="Times New Roman"/>
          <w:spacing w:val="-2"/>
          <w:sz w:val="24"/>
          <w:szCs w:val="24"/>
        </w:rPr>
        <w:t>1938.5m</w:t>
      </w:r>
      <w:r>
        <w:rPr>
          <w:spacing w:val="-2"/>
          <w:sz w:val="24"/>
          <w:szCs w:val="24"/>
        </w:rPr>
        <w:t>。</w:t>
      </w:r>
    </w:p>
    <w:p w14:paraId="2D9694FA">
      <w:pPr>
        <w:pStyle w:val="2"/>
        <w:spacing w:before="137" w:line="233" w:lineRule="auto"/>
        <w:ind w:left="528"/>
        <w:outlineLvl w:val="1"/>
        <w:rPr>
          <w:sz w:val="24"/>
          <w:szCs w:val="24"/>
        </w:rPr>
      </w:pPr>
      <w:bookmarkStart w:id="17" w:name="bookmark36"/>
      <w:bookmarkEnd w:id="17"/>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）蓄水计划结论</w:t>
      </w:r>
    </w:p>
    <w:p w14:paraId="116F25EF">
      <w:pPr>
        <w:pStyle w:val="2"/>
        <w:spacing w:before="139" w:line="338" w:lineRule="auto"/>
        <w:ind w:left="39" w:right="65" w:firstLine="480"/>
        <w:jc w:val="both"/>
        <w:rPr>
          <w:sz w:val="24"/>
          <w:szCs w:val="24"/>
        </w:rPr>
      </w:pPr>
      <w:r>
        <w:rPr>
          <w:spacing w:val="-14"/>
          <w:sz w:val="24"/>
          <w:szCs w:val="24"/>
        </w:rPr>
        <w:t>第一期蓄水周期（</w:t>
      </w:r>
      <w:r>
        <w:rPr>
          <w:rFonts w:ascii="Times New Roman" w:hAnsi="Times New Roman" w:eastAsia="Times New Roman" w:cs="Times New Roman"/>
          <w:spacing w:val="-14"/>
          <w:sz w:val="24"/>
          <w:szCs w:val="24"/>
        </w:rPr>
        <w:t>2021</w:t>
      </w:r>
      <w:r>
        <w:rPr>
          <w:rFonts w:ascii="Times New Roman" w:hAnsi="Times New Roman" w:eastAsia="Times New Roman" w:cs="Times New Roman"/>
          <w:spacing w:val="11"/>
          <w:sz w:val="24"/>
          <w:szCs w:val="24"/>
        </w:rPr>
        <w:t xml:space="preserve"> </w:t>
      </w:r>
      <w:r>
        <w:rPr>
          <w:spacing w:val="-14"/>
          <w:sz w:val="24"/>
          <w:szCs w:val="24"/>
        </w:rPr>
        <w:t>年</w:t>
      </w:r>
      <w:r>
        <w:rPr>
          <w:spacing w:val="-31"/>
          <w:sz w:val="24"/>
          <w:szCs w:val="24"/>
        </w:rPr>
        <w:t xml:space="preserve"> </w:t>
      </w:r>
      <w:r>
        <w:rPr>
          <w:rFonts w:ascii="Times New Roman" w:hAnsi="Times New Roman" w:eastAsia="Times New Roman" w:cs="Times New Roman"/>
          <w:spacing w:val="-14"/>
          <w:sz w:val="24"/>
          <w:szCs w:val="24"/>
        </w:rPr>
        <w:t>12</w:t>
      </w:r>
      <w:r>
        <w:rPr>
          <w:rFonts w:ascii="Times New Roman" w:hAnsi="Times New Roman" w:eastAsia="Times New Roman" w:cs="Times New Roman"/>
          <w:spacing w:val="15"/>
          <w:sz w:val="24"/>
          <w:szCs w:val="24"/>
        </w:rPr>
        <w:t xml:space="preserve"> </w:t>
      </w:r>
      <w:r>
        <w:rPr>
          <w:spacing w:val="-14"/>
          <w:sz w:val="24"/>
          <w:szCs w:val="24"/>
        </w:rPr>
        <w:t>月</w:t>
      </w:r>
      <w:r>
        <w:rPr>
          <w:spacing w:val="-32"/>
          <w:sz w:val="24"/>
          <w:szCs w:val="24"/>
        </w:rPr>
        <w:t xml:space="preserve"> </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51"/>
          <w:sz w:val="24"/>
          <w:szCs w:val="24"/>
        </w:rPr>
        <w:t xml:space="preserve"> </w:t>
      </w:r>
      <w:r>
        <w:rPr>
          <w:spacing w:val="-14"/>
          <w:sz w:val="24"/>
          <w:szCs w:val="24"/>
        </w:rPr>
        <w:t>日～</w:t>
      </w:r>
      <w:r>
        <w:rPr>
          <w:rFonts w:ascii="Times New Roman" w:hAnsi="Times New Roman" w:eastAsia="Times New Roman" w:cs="Times New Roman"/>
          <w:spacing w:val="-14"/>
          <w:sz w:val="24"/>
          <w:szCs w:val="24"/>
        </w:rPr>
        <w:t>2022</w:t>
      </w:r>
      <w:r>
        <w:rPr>
          <w:rFonts w:ascii="Times New Roman" w:hAnsi="Times New Roman" w:eastAsia="Times New Roman" w:cs="Times New Roman"/>
          <w:spacing w:val="10"/>
          <w:sz w:val="24"/>
          <w:szCs w:val="24"/>
        </w:rPr>
        <w:t xml:space="preserve"> </w:t>
      </w:r>
      <w:r>
        <w:rPr>
          <w:spacing w:val="-14"/>
          <w:sz w:val="24"/>
          <w:szCs w:val="24"/>
        </w:rPr>
        <w:t>年</w:t>
      </w:r>
      <w:r>
        <w:rPr>
          <w:spacing w:val="-32"/>
          <w:sz w:val="24"/>
          <w:szCs w:val="24"/>
        </w:rPr>
        <w:t xml:space="preserve"> </w:t>
      </w:r>
      <w:r>
        <w:rPr>
          <w:rFonts w:ascii="Times New Roman" w:hAnsi="Times New Roman" w:eastAsia="Times New Roman" w:cs="Times New Roman"/>
          <w:spacing w:val="-14"/>
          <w:sz w:val="24"/>
          <w:szCs w:val="24"/>
        </w:rPr>
        <w:t>12</w:t>
      </w:r>
      <w:r>
        <w:rPr>
          <w:rFonts w:ascii="Times New Roman" w:hAnsi="Times New Roman" w:eastAsia="Times New Roman" w:cs="Times New Roman"/>
          <w:spacing w:val="15"/>
          <w:sz w:val="24"/>
          <w:szCs w:val="24"/>
        </w:rPr>
        <w:t xml:space="preserve"> </w:t>
      </w:r>
      <w:r>
        <w:rPr>
          <w:spacing w:val="-14"/>
          <w:sz w:val="24"/>
          <w:szCs w:val="24"/>
        </w:rPr>
        <w:t>月</w:t>
      </w:r>
      <w:r>
        <w:rPr>
          <w:spacing w:val="-50"/>
          <w:sz w:val="24"/>
          <w:szCs w:val="24"/>
        </w:rPr>
        <w:t xml:space="preserve"> </w:t>
      </w:r>
      <w:r>
        <w:rPr>
          <w:rFonts w:ascii="Times New Roman" w:hAnsi="Times New Roman" w:eastAsia="Times New Roman" w:cs="Times New Roman"/>
          <w:spacing w:val="-14"/>
          <w:sz w:val="24"/>
          <w:szCs w:val="24"/>
        </w:rPr>
        <w:t>31</w:t>
      </w:r>
      <w:r>
        <w:rPr>
          <w:rFonts w:ascii="Times New Roman" w:hAnsi="Times New Roman" w:eastAsia="Times New Roman" w:cs="Times New Roman"/>
          <w:spacing w:val="51"/>
          <w:sz w:val="24"/>
          <w:szCs w:val="24"/>
        </w:rPr>
        <w:t xml:space="preserve"> </w:t>
      </w:r>
      <w:r>
        <w:rPr>
          <w:spacing w:val="-14"/>
          <w:sz w:val="24"/>
          <w:szCs w:val="24"/>
        </w:rPr>
        <w:t>日</w:t>
      </w:r>
      <w:r>
        <w:rPr>
          <w:spacing w:val="-61"/>
          <w:w w:val="97"/>
          <w:sz w:val="24"/>
          <w:szCs w:val="24"/>
        </w:rPr>
        <w:t>），</w:t>
      </w:r>
      <w:r>
        <w:rPr>
          <w:spacing w:val="-14"/>
          <w:sz w:val="24"/>
          <w:szCs w:val="24"/>
        </w:rPr>
        <w:t>丰水年、平水年、</w:t>
      </w:r>
      <w:r>
        <w:rPr>
          <w:spacing w:val="-7"/>
          <w:sz w:val="24"/>
          <w:szCs w:val="24"/>
        </w:rPr>
        <w:t>枯水年、特枯年频率下，车马碧水库在</w:t>
      </w:r>
      <w:r>
        <w:rPr>
          <w:spacing w:val="-54"/>
          <w:sz w:val="24"/>
          <w:szCs w:val="24"/>
        </w:rPr>
        <w:t xml:space="preserve"> </w:t>
      </w:r>
      <w:r>
        <w:rPr>
          <w:rFonts w:ascii="Times New Roman" w:hAnsi="Times New Roman" w:eastAsia="Times New Roman" w:cs="Times New Roman"/>
          <w:spacing w:val="-7"/>
          <w:sz w:val="24"/>
          <w:szCs w:val="24"/>
        </w:rPr>
        <w:t xml:space="preserve">2022 </w:t>
      </w:r>
      <w:r>
        <w:rPr>
          <w:spacing w:val="-7"/>
          <w:sz w:val="24"/>
          <w:szCs w:val="24"/>
        </w:rPr>
        <w:t>年</w:t>
      </w:r>
      <w:r>
        <w:rPr>
          <w:spacing w:val="-50"/>
          <w:sz w:val="24"/>
          <w:szCs w:val="24"/>
        </w:rPr>
        <w:t xml:space="preserve"> </w:t>
      </w:r>
      <w:r>
        <w:rPr>
          <w:rFonts w:ascii="Times New Roman" w:hAnsi="Times New Roman" w:eastAsia="Times New Roman" w:cs="Times New Roman"/>
          <w:spacing w:val="-7"/>
          <w:sz w:val="24"/>
          <w:szCs w:val="24"/>
        </w:rPr>
        <w:t>6~8</w:t>
      </w:r>
      <w:r>
        <w:rPr>
          <w:rFonts w:ascii="Times New Roman" w:hAnsi="Times New Roman" w:eastAsia="Times New Roman" w:cs="Times New Roman"/>
          <w:spacing w:val="15"/>
          <w:w w:val="101"/>
          <w:sz w:val="24"/>
          <w:szCs w:val="24"/>
        </w:rPr>
        <w:t xml:space="preserve"> </w:t>
      </w:r>
      <w:r>
        <w:rPr>
          <w:spacing w:val="-7"/>
          <w:sz w:val="24"/>
          <w:szCs w:val="24"/>
        </w:rPr>
        <w:t>月</w:t>
      </w:r>
      <w:r>
        <w:rPr>
          <w:spacing w:val="-8"/>
          <w:sz w:val="24"/>
          <w:szCs w:val="24"/>
        </w:rPr>
        <w:t>份可蓄至控制水位</w:t>
      </w:r>
      <w:r>
        <w:rPr>
          <w:spacing w:val="-32"/>
          <w:sz w:val="24"/>
          <w:szCs w:val="24"/>
        </w:rPr>
        <w:t xml:space="preserve"> </w:t>
      </w:r>
      <w:r>
        <w:rPr>
          <w:rFonts w:ascii="Times New Roman" w:hAnsi="Times New Roman" w:eastAsia="Times New Roman" w:cs="Times New Roman"/>
          <w:spacing w:val="-8"/>
          <w:sz w:val="24"/>
          <w:szCs w:val="24"/>
        </w:rPr>
        <w:t>1925.0m</w:t>
      </w:r>
      <w:r>
        <w:rPr>
          <w:spacing w:val="-8"/>
          <w:sz w:val="24"/>
          <w:szCs w:val="24"/>
        </w:rPr>
        <w:t>，</w:t>
      </w:r>
      <w:r>
        <w:rPr>
          <w:spacing w:val="-3"/>
          <w:sz w:val="24"/>
          <w:szCs w:val="24"/>
        </w:rPr>
        <w:t>相应库容</w:t>
      </w:r>
      <w:r>
        <w:rPr>
          <w:spacing w:val="-49"/>
          <w:sz w:val="24"/>
          <w:szCs w:val="24"/>
        </w:rPr>
        <w:t xml:space="preserve"> </w:t>
      </w:r>
      <w:r>
        <w:rPr>
          <w:rFonts w:ascii="Times New Roman" w:hAnsi="Times New Roman" w:eastAsia="Times New Roman" w:cs="Times New Roman"/>
          <w:spacing w:val="-3"/>
          <w:sz w:val="24"/>
          <w:szCs w:val="24"/>
        </w:rPr>
        <w:t>3637</w:t>
      </w:r>
      <w:r>
        <w:rPr>
          <w:rFonts w:ascii="Times New Roman" w:hAnsi="Times New Roman" w:eastAsia="Times New Roman" w:cs="Times New Roman"/>
          <w:spacing w:val="15"/>
          <w:w w:val="101"/>
          <w:sz w:val="24"/>
          <w:szCs w:val="24"/>
        </w:rPr>
        <w:t xml:space="preserve"> </w:t>
      </w:r>
      <w:r>
        <w:rPr>
          <w:spacing w:val="-3"/>
          <w:sz w:val="24"/>
          <w:szCs w:val="24"/>
        </w:rPr>
        <w:t>万</w:t>
      </w:r>
      <w:r>
        <w:rPr>
          <w:spacing w:val="-57"/>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w:t>
      </w:r>
    </w:p>
    <w:p w14:paraId="4E84F31E">
      <w:pPr>
        <w:pStyle w:val="2"/>
        <w:spacing w:before="4" w:line="340" w:lineRule="auto"/>
        <w:ind w:left="38" w:right="41" w:firstLine="480"/>
        <w:rPr>
          <w:sz w:val="24"/>
          <w:szCs w:val="24"/>
        </w:rPr>
      </w:pPr>
      <w:r>
        <w:rPr>
          <w:spacing w:val="-8"/>
          <w:sz w:val="24"/>
          <w:szCs w:val="24"/>
        </w:rPr>
        <w:t>第二期蓄水周期（</w:t>
      </w:r>
      <w:r>
        <w:rPr>
          <w:rFonts w:ascii="Times New Roman" w:hAnsi="Times New Roman" w:eastAsia="Times New Roman" w:cs="Times New Roman"/>
          <w:spacing w:val="-8"/>
          <w:sz w:val="24"/>
          <w:szCs w:val="24"/>
        </w:rPr>
        <w:t>2023</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6"/>
          <w:sz w:val="24"/>
          <w:szCs w:val="24"/>
        </w:rPr>
        <w:t xml:space="preserve"> </w:t>
      </w:r>
      <w:r>
        <w:rPr>
          <w:spacing w:val="-8"/>
          <w:sz w:val="24"/>
          <w:szCs w:val="24"/>
        </w:rPr>
        <w:t>月</w:t>
      </w:r>
      <w:r>
        <w:rPr>
          <w:spacing w:val="-32"/>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50"/>
          <w:w w:val="101"/>
          <w:sz w:val="24"/>
          <w:szCs w:val="24"/>
        </w:rPr>
        <w:t xml:space="preserve"> </w:t>
      </w:r>
      <w:r>
        <w:rPr>
          <w:spacing w:val="-8"/>
          <w:sz w:val="24"/>
          <w:szCs w:val="24"/>
        </w:rPr>
        <w:t>日～</w:t>
      </w:r>
      <w:r>
        <w:rPr>
          <w:rFonts w:ascii="Times New Roman" w:hAnsi="Times New Roman" w:eastAsia="Times New Roman" w:cs="Times New Roman"/>
          <w:spacing w:val="-8"/>
          <w:sz w:val="24"/>
          <w:szCs w:val="24"/>
        </w:rPr>
        <w:t>2023</w:t>
      </w:r>
      <w:r>
        <w:rPr>
          <w:spacing w:val="-8"/>
          <w:sz w:val="24"/>
          <w:szCs w:val="24"/>
        </w:rPr>
        <w:t>年</w:t>
      </w:r>
      <w:r>
        <w:rPr>
          <w:spacing w:val="-32"/>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5"/>
          <w:sz w:val="24"/>
          <w:szCs w:val="24"/>
        </w:rPr>
        <w:t xml:space="preserve"> </w:t>
      </w:r>
      <w:r>
        <w:rPr>
          <w:spacing w:val="-8"/>
          <w:sz w:val="24"/>
          <w:szCs w:val="24"/>
        </w:rPr>
        <w:t>月</w:t>
      </w:r>
      <w:r>
        <w:rPr>
          <w:spacing w:val="-50"/>
          <w:sz w:val="24"/>
          <w:szCs w:val="24"/>
        </w:rPr>
        <w:t xml:space="preserve"> </w:t>
      </w:r>
      <w:r>
        <w:rPr>
          <w:rFonts w:ascii="Times New Roman" w:hAnsi="Times New Roman" w:eastAsia="Times New Roman" w:cs="Times New Roman"/>
          <w:spacing w:val="-8"/>
          <w:sz w:val="24"/>
          <w:szCs w:val="24"/>
        </w:rPr>
        <w:t>31</w:t>
      </w:r>
      <w:r>
        <w:rPr>
          <w:rFonts w:ascii="Times New Roman" w:hAnsi="Times New Roman" w:eastAsia="Times New Roman" w:cs="Times New Roman"/>
          <w:spacing w:val="50"/>
          <w:w w:val="101"/>
          <w:sz w:val="24"/>
          <w:szCs w:val="24"/>
        </w:rPr>
        <w:t xml:space="preserve"> </w:t>
      </w:r>
      <w:r>
        <w:rPr>
          <w:spacing w:val="-8"/>
          <w:sz w:val="24"/>
          <w:szCs w:val="24"/>
        </w:rPr>
        <w:t>日</w:t>
      </w:r>
      <w:r>
        <w:rPr>
          <w:spacing w:val="-56"/>
          <w:sz w:val="24"/>
          <w:szCs w:val="24"/>
        </w:rPr>
        <w:t>），</w:t>
      </w:r>
      <w:r>
        <w:rPr>
          <w:spacing w:val="-8"/>
          <w:sz w:val="24"/>
          <w:szCs w:val="24"/>
        </w:rPr>
        <w:t>丰水年、平水年、</w:t>
      </w:r>
      <w:r>
        <w:rPr>
          <w:spacing w:val="-2"/>
          <w:sz w:val="24"/>
          <w:szCs w:val="24"/>
        </w:rPr>
        <w:t>枯水年频率下，车马碧水库在</w:t>
      </w:r>
      <w:r>
        <w:rPr>
          <w:spacing w:val="-48"/>
          <w:sz w:val="24"/>
          <w:szCs w:val="24"/>
        </w:rPr>
        <w:t xml:space="preserve"> </w:t>
      </w:r>
      <w:r>
        <w:rPr>
          <w:rFonts w:ascii="Times New Roman" w:hAnsi="Times New Roman" w:eastAsia="Times New Roman" w:cs="Times New Roman"/>
          <w:spacing w:val="-2"/>
          <w:sz w:val="24"/>
          <w:szCs w:val="24"/>
        </w:rPr>
        <w:t>2023</w:t>
      </w:r>
      <w:r>
        <w:rPr>
          <w:rFonts w:ascii="Times New Roman" w:hAnsi="Times New Roman" w:eastAsia="Times New Roman" w:cs="Times New Roman"/>
          <w:spacing w:val="16"/>
          <w:w w:val="101"/>
          <w:sz w:val="24"/>
          <w:szCs w:val="24"/>
        </w:rPr>
        <w:t xml:space="preserve"> </w:t>
      </w:r>
      <w:r>
        <w:rPr>
          <w:spacing w:val="-2"/>
          <w:sz w:val="24"/>
          <w:szCs w:val="24"/>
        </w:rPr>
        <w:t>年</w:t>
      </w:r>
      <w:r>
        <w:rPr>
          <w:spacing w:val="-45"/>
          <w:sz w:val="24"/>
          <w:szCs w:val="24"/>
        </w:rPr>
        <w:t xml:space="preserve"> </w:t>
      </w:r>
      <w:r>
        <w:rPr>
          <w:rFonts w:ascii="Times New Roman" w:hAnsi="Times New Roman" w:eastAsia="Times New Roman" w:cs="Times New Roman"/>
          <w:spacing w:val="-2"/>
          <w:sz w:val="24"/>
          <w:szCs w:val="24"/>
        </w:rPr>
        <w:t>7~9</w:t>
      </w:r>
      <w:r>
        <w:rPr>
          <w:rFonts w:ascii="Times New Roman" w:hAnsi="Times New Roman" w:eastAsia="Times New Roman" w:cs="Times New Roman"/>
          <w:spacing w:val="20"/>
          <w:w w:val="101"/>
          <w:sz w:val="24"/>
          <w:szCs w:val="24"/>
        </w:rPr>
        <w:t xml:space="preserve"> </w:t>
      </w:r>
      <w:r>
        <w:rPr>
          <w:spacing w:val="-2"/>
          <w:sz w:val="24"/>
          <w:szCs w:val="24"/>
        </w:rPr>
        <w:t>月份可蓄至正常蓄水位</w:t>
      </w:r>
      <w:r>
        <w:rPr>
          <w:spacing w:val="-26"/>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
          <w:sz w:val="24"/>
          <w:szCs w:val="24"/>
        </w:rPr>
        <w:t>938.5m</w:t>
      </w:r>
      <w:r>
        <w:rPr>
          <w:spacing w:val="-3"/>
          <w:sz w:val="24"/>
          <w:szCs w:val="24"/>
        </w:rPr>
        <w:t>，下游</w:t>
      </w:r>
      <w:r>
        <w:rPr>
          <w:spacing w:val="12"/>
          <w:sz w:val="24"/>
          <w:szCs w:val="24"/>
        </w:rPr>
        <w:t>河道生态和农业工业供水均可得到满足。特枯年（</w:t>
      </w:r>
      <w:r>
        <w:rPr>
          <w:rFonts w:ascii="Times New Roman" w:hAnsi="Times New Roman" w:eastAsia="Times New Roman" w:cs="Times New Roman"/>
          <w:spacing w:val="11"/>
          <w:sz w:val="24"/>
          <w:szCs w:val="24"/>
        </w:rPr>
        <w:t>P=95%</w:t>
      </w:r>
      <w:r>
        <w:rPr>
          <w:spacing w:val="-60"/>
          <w:sz w:val="24"/>
          <w:szCs w:val="24"/>
        </w:rPr>
        <w:t>），</w:t>
      </w:r>
      <w:r>
        <w:rPr>
          <w:spacing w:val="-61"/>
          <w:sz w:val="24"/>
          <w:szCs w:val="24"/>
        </w:rPr>
        <w:t xml:space="preserve"> </w:t>
      </w:r>
      <w:r>
        <w:rPr>
          <w:spacing w:val="11"/>
          <w:sz w:val="24"/>
          <w:szCs w:val="24"/>
        </w:rPr>
        <w:t>水库最高可蓄至</w:t>
      </w:r>
      <w:r>
        <w:rPr>
          <w:rFonts w:ascii="Times New Roman" w:hAnsi="Times New Roman" w:eastAsia="Times New Roman" w:cs="Times New Roman"/>
          <w:spacing w:val="-1"/>
          <w:sz w:val="24"/>
          <w:szCs w:val="24"/>
        </w:rPr>
        <w:t>1930.6m</w:t>
      </w:r>
      <w:r>
        <w:rPr>
          <w:spacing w:val="-1"/>
          <w:sz w:val="24"/>
          <w:szCs w:val="24"/>
        </w:rPr>
        <w:t>，在保证河道生态水量的条件下，最大可供水量为</w:t>
      </w:r>
      <w:r>
        <w:rPr>
          <w:spacing w:val="-44"/>
          <w:sz w:val="24"/>
          <w:szCs w:val="24"/>
        </w:rPr>
        <w:t xml:space="preserve"> </w:t>
      </w:r>
      <w:r>
        <w:rPr>
          <w:rFonts w:ascii="Times New Roman" w:hAnsi="Times New Roman" w:eastAsia="Times New Roman" w:cs="Times New Roman"/>
          <w:spacing w:val="-1"/>
          <w:sz w:val="24"/>
          <w:szCs w:val="24"/>
        </w:rPr>
        <w:t>4427.3</w:t>
      </w:r>
      <w:r>
        <w:rPr>
          <w:rFonts w:ascii="Times New Roman" w:hAnsi="Times New Roman" w:eastAsia="Times New Roman" w:cs="Times New Roman"/>
          <w:spacing w:val="15"/>
          <w:w w:val="101"/>
          <w:sz w:val="24"/>
          <w:szCs w:val="24"/>
        </w:rPr>
        <w:t xml:space="preserve"> </w:t>
      </w:r>
      <w:r>
        <w:rPr>
          <w:spacing w:val="-1"/>
          <w:sz w:val="24"/>
          <w:szCs w:val="24"/>
        </w:rPr>
        <w:t>万</w:t>
      </w:r>
      <w:r>
        <w:rPr>
          <w:spacing w:val="-57"/>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spacing w:val="-1"/>
          <w:sz w:val="24"/>
          <w:szCs w:val="24"/>
        </w:rPr>
        <w:t>。</w:t>
      </w:r>
    </w:p>
    <w:p w14:paraId="458F04F2">
      <w:pPr>
        <w:pStyle w:val="2"/>
        <w:spacing w:before="74" w:line="226" w:lineRule="auto"/>
        <w:ind w:left="30"/>
        <w:rPr>
          <w:sz w:val="27"/>
          <w:szCs w:val="27"/>
        </w:rPr>
      </w:pPr>
      <w:r>
        <w:rPr>
          <w:rFonts w:ascii="Arial" w:hAnsi="Arial" w:eastAsia="Arial" w:cs="Arial"/>
          <w:spacing w:val="4"/>
          <w:position w:val="1"/>
          <w:sz w:val="24"/>
          <w:szCs w:val="24"/>
        </w:rPr>
        <w:t>3.4.4</w:t>
      </w:r>
      <w:r>
        <w:rPr>
          <w:rFonts w:ascii="Arial" w:hAnsi="Arial" w:eastAsia="Arial" w:cs="Arial"/>
          <w:spacing w:val="9"/>
          <w:position w:val="1"/>
          <w:sz w:val="24"/>
          <w:szCs w:val="24"/>
        </w:rPr>
        <w:t xml:space="preserve">    </w:t>
      </w:r>
      <w:r>
        <w:rPr>
          <w:b/>
          <w:bCs/>
          <w:spacing w:val="4"/>
          <w:position w:val="-1"/>
          <w:sz w:val="27"/>
          <w:szCs w:val="27"/>
        </w:rPr>
        <w:t>工程验收工况</w:t>
      </w:r>
    </w:p>
    <w:p w14:paraId="25740DBB">
      <w:pPr>
        <w:pStyle w:val="2"/>
        <w:spacing w:before="258" w:line="339" w:lineRule="auto"/>
        <w:ind w:left="40" w:right="31" w:firstLine="478"/>
        <w:rPr>
          <w:sz w:val="24"/>
          <w:szCs w:val="24"/>
        </w:rPr>
      </w:pPr>
      <w:r>
        <w:rPr>
          <w:spacing w:val="-6"/>
          <w:sz w:val="24"/>
          <w:szCs w:val="24"/>
        </w:rPr>
        <w:t>截至</w:t>
      </w:r>
      <w:r>
        <w:rPr>
          <w:rFonts w:ascii="Times New Roman" w:hAnsi="Times New Roman" w:eastAsia="Times New Roman" w:cs="Times New Roman"/>
          <w:spacing w:val="-6"/>
          <w:sz w:val="24"/>
          <w:szCs w:val="24"/>
        </w:rPr>
        <w:t xml:space="preserve">2022 </w:t>
      </w:r>
      <w:r>
        <w:rPr>
          <w:spacing w:val="-6"/>
          <w:sz w:val="24"/>
          <w:szCs w:val="24"/>
        </w:rPr>
        <w:t>年</w:t>
      </w:r>
      <w:r>
        <w:rPr>
          <w:spacing w:val="-55"/>
          <w:sz w:val="24"/>
          <w:szCs w:val="24"/>
        </w:rPr>
        <w:t xml:space="preserve"> </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15"/>
          <w:sz w:val="24"/>
          <w:szCs w:val="24"/>
        </w:rPr>
        <w:t xml:space="preserve"> </w:t>
      </w:r>
      <w:r>
        <w:rPr>
          <w:spacing w:val="-6"/>
          <w:sz w:val="24"/>
          <w:szCs w:val="24"/>
        </w:rPr>
        <w:t>月，大坝、泄洪放空隧洞、溢洪道等主</w:t>
      </w:r>
      <w:r>
        <w:rPr>
          <w:spacing w:val="-7"/>
          <w:sz w:val="24"/>
          <w:szCs w:val="24"/>
        </w:rPr>
        <w:t>体工程已完工，</w:t>
      </w:r>
      <w:r>
        <w:rPr>
          <w:spacing w:val="62"/>
          <w:sz w:val="24"/>
          <w:szCs w:val="24"/>
        </w:rPr>
        <w:t xml:space="preserve"> </w:t>
      </w:r>
      <w:r>
        <w:rPr>
          <w:spacing w:val="-7"/>
          <w:sz w:val="24"/>
          <w:szCs w:val="24"/>
        </w:rPr>
        <w:t>工作闸门、检修闸门已安装调试完成。输水隧洞工程进口、竖井已全部完工，</w:t>
      </w:r>
      <w:r>
        <w:rPr>
          <w:spacing w:val="-16"/>
          <w:sz w:val="24"/>
          <w:szCs w:val="24"/>
        </w:rPr>
        <w:t xml:space="preserve"> </w:t>
      </w:r>
      <w:r>
        <w:rPr>
          <w:spacing w:val="-7"/>
          <w:sz w:val="24"/>
          <w:szCs w:val="24"/>
        </w:rPr>
        <w:t>检修闸门、</w:t>
      </w:r>
      <w:r>
        <w:rPr>
          <w:spacing w:val="-4"/>
          <w:sz w:val="24"/>
          <w:szCs w:val="24"/>
        </w:rPr>
        <w:t>工作闸门已安装调试完成。枢纽区鱼道及码头工程已基本完成。鱼类增殖</w:t>
      </w:r>
      <w:r>
        <w:rPr>
          <w:spacing w:val="-5"/>
          <w:sz w:val="24"/>
          <w:szCs w:val="24"/>
        </w:rPr>
        <w:t>站已完成</w:t>
      </w:r>
      <w:r>
        <w:rPr>
          <w:spacing w:val="-4"/>
          <w:sz w:val="24"/>
          <w:szCs w:val="24"/>
        </w:rPr>
        <w:t>土建和设备安装。蓄水淹没范围内移民搬迁安置和库底清理已通过验收。</w:t>
      </w:r>
      <w:r>
        <w:rPr>
          <w:spacing w:val="-5"/>
          <w:sz w:val="24"/>
          <w:szCs w:val="24"/>
        </w:rPr>
        <w:t>水库度汛方案已获得云南省水利厅批准。工程已通过下闸蓄水技术预验收。安全监测</w:t>
      </w:r>
      <w:r>
        <w:rPr>
          <w:spacing w:val="-6"/>
          <w:sz w:val="24"/>
          <w:szCs w:val="24"/>
        </w:rPr>
        <w:t>仪器、</w:t>
      </w:r>
      <w:r>
        <w:rPr>
          <w:spacing w:val="-3"/>
          <w:sz w:val="24"/>
          <w:szCs w:val="24"/>
        </w:rPr>
        <w:t>设备已按设计要求安装调试完成。</w:t>
      </w:r>
    </w:p>
    <w:p w14:paraId="6670A762">
      <w:pPr>
        <w:pStyle w:val="2"/>
        <w:spacing w:before="1" w:line="289" w:lineRule="auto"/>
        <w:ind w:left="46" w:right="36" w:firstLine="479"/>
        <w:rPr>
          <w:sz w:val="24"/>
          <w:szCs w:val="24"/>
        </w:rPr>
      </w:pPr>
      <w:r>
        <w:rPr>
          <w:spacing w:val="2"/>
          <w:sz w:val="24"/>
          <w:szCs w:val="24"/>
        </w:rPr>
        <w:t>导流封堵期间采用临时泵站抽水至泄洪放空隧洞进水口，经生态流量泄放管</w:t>
      </w:r>
      <w:r>
        <w:rPr>
          <w:spacing w:val="-1"/>
          <w:sz w:val="24"/>
          <w:szCs w:val="24"/>
        </w:rPr>
        <w:t>下泄生态流量，生态流量泄放管及主体工程形象面貌见图</w:t>
      </w:r>
      <w:r>
        <w:rPr>
          <w:spacing w:val="-46"/>
          <w:sz w:val="24"/>
          <w:szCs w:val="24"/>
        </w:rPr>
        <w:t xml:space="preserve"> </w:t>
      </w:r>
      <w:r>
        <w:rPr>
          <w:rFonts w:ascii="Times New Roman" w:hAnsi="Times New Roman" w:eastAsia="Times New Roman" w:cs="Times New Roman"/>
          <w:spacing w:val="-1"/>
          <w:sz w:val="24"/>
          <w:szCs w:val="24"/>
        </w:rPr>
        <w:t>3.4-1</w:t>
      </w:r>
      <w:r>
        <w:rPr>
          <w:spacing w:val="-1"/>
          <w:sz w:val="24"/>
          <w:szCs w:val="24"/>
        </w:rPr>
        <w:t>。</w:t>
      </w:r>
    </w:p>
    <w:p w14:paraId="6E5C4376">
      <w:pPr>
        <w:spacing w:line="289" w:lineRule="auto"/>
        <w:rPr>
          <w:sz w:val="24"/>
          <w:szCs w:val="24"/>
        </w:rPr>
        <w:sectPr>
          <w:headerReference r:id="rId70" w:type="default"/>
          <w:footerReference r:id="rId71" w:type="default"/>
          <w:pgSz w:w="11907" w:h="16839"/>
          <w:pgMar w:top="1376" w:right="1669" w:bottom="1061" w:left="1671" w:header="999" w:footer="861" w:gutter="0"/>
          <w:cols w:equalWidth="0" w:num="1">
            <w:col w:w="8566"/>
          </w:cols>
        </w:sectPr>
      </w:pPr>
    </w:p>
    <w:p w14:paraId="73FE78EA">
      <w:pPr>
        <w:spacing w:line="2996" w:lineRule="exact"/>
        <w:ind w:firstLine="165"/>
      </w:pPr>
      <w:r>
        <w:rPr>
          <w:position w:val="-59"/>
        </w:rPr>
        <w:drawing>
          <wp:inline distT="0" distB="0" distL="0" distR="0">
            <wp:extent cx="2531745" cy="19018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347"/>
                    <a:stretch>
                      <a:fillRect/>
                    </a:stretch>
                  </pic:blipFill>
                  <pic:spPr>
                    <a:xfrm>
                      <a:off x="0" y="0"/>
                      <a:ext cx="2532379" cy="1902459"/>
                    </a:xfrm>
                    <a:prstGeom prst="rect">
                      <a:avLst/>
                    </a:prstGeom>
                  </pic:spPr>
                </pic:pic>
              </a:graphicData>
            </a:graphic>
          </wp:inline>
        </w:drawing>
      </w:r>
    </w:p>
    <w:p w14:paraId="362AA938">
      <w:pPr>
        <w:pStyle w:val="2"/>
        <w:spacing w:before="188" w:line="185" w:lineRule="auto"/>
        <w:ind w:left="1456"/>
        <w:rPr>
          <w:sz w:val="24"/>
          <w:szCs w:val="24"/>
        </w:rPr>
      </w:pPr>
      <w:r>
        <w:rPr>
          <w:spacing w:val="-4"/>
          <w:sz w:val="24"/>
          <w:szCs w:val="24"/>
        </w:rPr>
        <w:t>临时泵站抽水</w:t>
      </w:r>
    </w:p>
    <w:p w14:paraId="66C0609B">
      <w:pPr>
        <w:spacing w:line="14" w:lineRule="auto"/>
        <w:rPr>
          <w:rFonts w:ascii="Arial"/>
          <w:sz w:val="2"/>
        </w:rPr>
      </w:pPr>
      <w:r>
        <w:rPr>
          <w:rFonts w:ascii="Arial" w:hAnsi="Arial" w:eastAsia="Arial" w:cs="Arial"/>
          <w:sz w:val="2"/>
          <w:szCs w:val="2"/>
        </w:rPr>
        <w:br w:type="column"/>
      </w:r>
    </w:p>
    <w:p w14:paraId="03C735E1">
      <w:pPr>
        <w:spacing w:line="2995" w:lineRule="exact"/>
      </w:pPr>
      <w:r>
        <w:rPr>
          <w:position w:val="-59"/>
        </w:rPr>
        <w:drawing>
          <wp:inline distT="0" distB="0" distL="0" distR="0">
            <wp:extent cx="2531745" cy="190119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348"/>
                    <a:stretch>
                      <a:fillRect/>
                    </a:stretch>
                  </pic:blipFill>
                  <pic:spPr>
                    <a:xfrm>
                      <a:off x="0" y="0"/>
                      <a:ext cx="2532379" cy="1901583"/>
                    </a:xfrm>
                    <a:prstGeom prst="rect">
                      <a:avLst/>
                    </a:prstGeom>
                  </pic:spPr>
                </pic:pic>
              </a:graphicData>
            </a:graphic>
          </wp:inline>
        </w:drawing>
      </w:r>
    </w:p>
    <w:p w14:paraId="7A13FB23">
      <w:pPr>
        <w:pStyle w:val="2"/>
        <w:spacing w:before="188" w:line="185" w:lineRule="auto"/>
        <w:ind w:left="921"/>
        <w:rPr>
          <w:sz w:val="24"/>
          <w:szCs w:val="24"/>
        </w:rPr>
      </w:pPr>
      <w:r>
        <w:rPr>
          <w:spacing w:val="-2"/>
          <w:sz w:val="24"/>
          <w:szCs w:val="24"/>
        </w:rPr>
        <w:t>生态流量孔泄放流量</w:t>
      </w:r>
    </w:p>
    <w:p w14:paraId="779FDFFA">
      <w:pPr>
        <w:spacing w:line="185" w:lineRule="auto"/>
        <w:rPr>
          <w:sz w:val="24"/>
          <w:szCs w:val="24"/>
        </w:rPr>
        <w:sectPr>
          <w:type w:val="continuous"/>
          <w:pgSz w:w="11907" w:h="16839"/>
          <w:pgMar w:top="1376" w:right="1669" w:bottom="1061" w:left="1671" w:header="999" w:footer="861" w:gutter="0"/>
          <w:cols w:equalWidth="0" w:num="2">
            <w:col w:w="4318" w:space="100"/>
            <w:col w:w="4149"/>
          </w:cols>
        </w:sectPr>
      </w:pPr>
    </w:p>
    <w:p w14:paraId="13BCDD50">
      <w:pPr>
        <w:spacing w:before="168"/>
      </w:pPr>
    </w:p>
    <w:p w14:paraId="5CD840B2">
      <w:pPr>
        <w:spacing w:line="6225" w:lineRule="exact"/>
        <w:ind w:firstLine="156"/>
      </w:pPr>
      <w:r>
        <w:rPr>
          <w:position w:val="-124"/>
        </w:rPr>
        <w:pict>
          <v:shape id="_x0000_s1028" o:spid="_x0000_s1028" style="height:311.25pt;width:414.85pt;" filled="f" stroked="t" coordsize="8297,6225" path="m5,6220l8291,6220,8291,5,5,5,5,6220xe">
            <v:fill on="f" focussize="0,0"/>
            <v:stroke weight="0.5pt" color="#000000" miterlimit="10"/>
            <v:imagedata o:title=""/>
            <o:lock v:ext="edit"/>
            <w10:wrap type="none"/>
            <w10:anchorlock/>
          </v:shape>
        </w:pict>
      </w:r>
    </w:p>
    <w:p w14:paraId="22FC827F">
      <w:pPr>
        <w:pStyle w:val="2"/>
        <w:spacing w:before="198" w:line="219" w:lineRule="auto"/>
        <w:ind w:left="3092"/>
        <w:rPr>
          <w:sz w:val="24"/>
          <w:szCs w:val="24"/>
        </w:rPr>
      </w:pPr>
      <w:r>
        <w:drawing>
          <wp:anchor distT="0" distB="0" distL="0" distR="0" simplePos="0" relativeHeight="251686912" behindDoc="0" locked="0" layoutInCell="1" allowOverlap="1">
            <wp:simplePos x="0" y="0"/>
            <wp:positionH relativeFrom="column">
              <wp:posOffset>106045</wp:posOffset>
            </wp:positionH>
            <wp:positionV relativeFrom="paragraph">
              <wp:posOffset>-3946525</wp:posOffset>
            </wp:positionV>
            <wp:extent cx="5255895" cy="3940175"/>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349"/>
                    <a:stretch>
                      <a:fillRect/>
                    </a:stretch>
                  </pic:blipFill>
                  <pic:spPr>
                    <a:xfrm>
                      <a:off x="0" y="0"/>
                      <a:ext cx="5255894" cy="3940175"/>
                    </a:xfrm>
                    <a:prstGeom prst="rect">
                      <a:avLst/>
                    </a:prstGeom>
                  </pic:spPr>
                </pic:pic>
              </a:graphicData>
            </a:graphic>
          </wp:anchor>
        </w:drawing>
      </w:r>
      <w:r>
        <w:rPr>
          <w:spacing w:val="-2"/>
          <w:sz w:val="24"/>
          <w:szCs w:val="24"/>
        </w:rPr>
        <w:t>大坝主体工程建设面貌</w:t>
      </w:r>
    </w:p>
    <w:p w14:paraId="4FA599CB">
      <w:pPr>
        <w:pStyle w:val="2"/>
        <w:spacing w:before="182" w:line="198" w:lineRule="auto"/>
        <w:ind w:left="1202"/>
        <w:rPr>
          <w:sz w:val="24"/>
          <w:szCs w:val="24"/>
        </w:rPr>
      </w:pPr>
      <w:r>
        <w:rPr>
          <w:b/>
          <w:bCs/>
          <w:spacing w:val="-2"/>
          <w:sz w:val="24"/>
          <w:szCs w:val="24"/>
        </w:rPr>
        <w:t>图</w:t>
      </w:r>
      <w:r>
        <w:rPr>
          <w:spacing w:val="-55"/>
          <w:sz w:val="24"/>
          <w:szCs w:val="24"/>
        </w:rPr>
        <w:t xml:space="preserve"> </w:t>
      </w:r>
      <w:r>
        <w:rPr>
          <w:rFonts w:ascii="Times New Roman" w:hAnsi="Times New Roman" w:eastAsia="Times New Roman" w:cs="Times New Roman"/>
          <w:b/>
          <w:bCs/>
          <w:spacing w:val="-2"/>
          <w:sz w:val="24"/>
          <w:szCs w:val="24"/>
        </w:rPr>
        <w:t xml:space="preserve">3.4-1      </w:t>
      </w:r>
      <w:r>
        <w:rPr>
          <w:b/>
          <w:bCs/>
          <w:spacing w:val="-2"/>
          <w:sz w:val="24"/>
          <w:szCs w:val="24"/>
        </w:rPr>
        <w:t>导流洞封堵期间生态流量泄放管和</w:t>
      </w:r>
      <w:r>
        <w:rPr>
          <w:b/>
          <w:bCs/>
          <w:spacing w:val="-3"/>
          <w:sz w:val="24"/>
          <w:szCs w:val="24"/>
        </w:rPr>
        <w:t>工程形象面貌</w:t>
      </w:r>
    </w:p>
    <w:p w14:paraId="443548B9">
      <w:pPr>
        <w:spacing w:line="198" w:lineRule="auto"/>
        <w:rPr>
          <w:sz w:val="24"/>
          <w:szCs w:val="24"/>
        </w:rPr>
        <w:sectPr>
          <w:headerReference r:id="rId72" w:type="default"/>
          <w:footerReference r:id="rId73" w:type="default"/>
          <w:pgSz w:w="11907" w:h="16839"/>
          <w:pgMar w:top="1376" w:right="1669" w:bottom="1061" w:left="1671" w:header="999" w:footer="861" w:gutter="0"/>
          <w:cols w:equalWidth="0" w:num="1">
            <w:col w:w="8566"/>
          </w:cols>
        </w:sectPr>
      </w:pPr>
    </w:p>
    <w:p w14:paraId="47BFA728">
      <w:pPr>
        <w:spacing w:line="359" w:lineRule="auto"/>
        <w:rPr>
          <w:rFonts w:ascii="Arial"/>
          <w:sz w:val="21"/>
        </w:rPr>
      </w:pPr>
    </w:p>
    <w:p w14:paraId="36409AC2">
      <w:pPr>
        <w:spacing w:line="360" w:lineRule="auto"/>
        <w:rPr>
          <w:rFonts w:ascii="Arial"/>
          <w:sz w:val="21"/>
        </w:rPr>
      </w:pPr>
    </w:p>
    <w:p w14:paraId="17C57568">
      <w:pPr>
        <w:pStyle w:val="2"/>
        <w:spacing w:before="104" w:line="233" w:lineRule="auto"/>
        <w:ind w:left="3139"/>
      </w:pPr>
      <w:bookmarkStart w:id="18" w:name="bookmark17"/>
      <w:bookmarkEnd w:id="18"/>
      <w:r>
        <w:rPr>
          <w:rFonts w:ascii="Times New Roman" w:hAnsi="Times New Roman" w:eastAsia="Times New Roman" w:cs="Times New Roman"/>
          <w:b/>
          <w:bCs/>
          <w:spacing w:val="-5"/>
        </w:rPr>
        <w:t>4</w:t>
      </w:r>
      <w:r>
        <w:rPr>
          <w:rFonts w:ascii="Times New Roman" w:hAnsi="Times New Roman" w:eastAsia="Times New Roman" w:cs="Times New Roman"/>
          <w:b/>
          <w:bCs/>
          <w:spacing w:val="21"/>
        </w:rPr>
        <w:t xml:space="preserve"> </w:t>
      </w:r>
      <w:r>
        <w:rPr>
          <w:b/>
          <w:bCs/>
          <w:spacing w:val="-5"/>
        </w:rPr>
        <w:t>验收调查依据</w:t>
      </w:r>
    </w:p>
    <w:p w14:paraId="1D7E95CB">
      <w:pPr>
        <w:spacing w:line="262" w:lineRule="auto"/>
        <w:rPr>
          <w:rFonts w:ascii="Arial"/>
          <w:sz w:val="21"/>
        </w:rPr>
      </w:pPr>
    </w:p>
    <w:p w14:paraId="1021CA8F">
      <w:pPr>
        <w:pStyle w:val="2"/>
        <w:spacing w:before="98" w:line="232" w:lineRule="auto"/>
        <w:ind w:left="37"/>
        <w:rPr>
          <w:sz w:val="30"/>
          <w:szCs w:val="30"/>
        </w:rPr>
      </w:pPr>
      <w:bookmarkStart w:id="19" w:name="bookmark18"/>
      <w:bookmarkEnd w:id="19"/>
      <w:r>
        <w:rPr>
          <w:rFonts w:ascii="Times New Roman" w:hAnsi="Times New Roman" w:eastAsia="Times New Roman" w:cs="Times New Roman"/>
          <w:b/>
          <w:bCs/>
          <w:spacing w:val="-3"/>
          <w:sz w:val="30"/>
          <w:szCs w:val="30"/>
        </w:rPr>
        <w:t>4.1</w:t>
      </w:r>
      <w:r>
        <w:rPr>
          <w:rFonts w:ascii="Times New Roman" w:hAnsi="Times New Roman" w:eastAsia="Times New Roman" w:cs="Times New Roman"/>
          <w:b/>
          <w:bCs/>
          <w:spacing w:val="20"/>
          <w:sz w:val="30"/>
          <w:szCs w:val="30"/>
        </w:rPr>
        <w:t xml:space="preserve"> </w:t>
      </w:r>
      <w:r>
        <w:rPr>
          <w:b/>
          <w:bCs/>
          <w:spacing w:val="-3"/>
          <w:sz w:val="30"/>
          <w:szCs w:val="30"/>
        </w:rPr>
        <w:t>环境报告书主要结论与建议</w:t>
      </w:r>
    </w:p>
    <w:p w14:paraId="65E1BB5D">
      <w:pPr>
        <w:pStyle w:val="2"/>
        <w:spacing w:before="202" w:line="217" w:lineRule="auto"/>
        <w:ind w:left="33"/>
        <w:rPr>
          <w:sz w:val="27"/>
          <w:szCs w:val="27"/>
        </w:rPr>
      </w:pPr>
      <w:r>
        <w:rPr>
          <w:rFonts w:ascii="Arial" w:hAnsi="Arial" w:eastAsia="Arial" w:cs="Arial"/>
          <w:spacing w:val="1"/>
          <w:position w:val="2"/>
          <w:sz w:val="27"/>
          <w:szCs w:val="27"/>
        </w:rPr>
        <w:t xml:space="preserve">4.1.1    </w:t>
      </w:r>
      <w:r>
        <w:rPr>
          <w:b/>
          <w:bCs/>
          <w:spacing w:val="1"/>
          <w:position w:val="-1"/>
          <w:sz w:val="27"/>
          <w:szCs w:val="27"/>
        </w:rPr>
        <w:t>环境影响报告书评价结论</w:t>
      </w:r>
    </w:p>
    <w:p w14:paraId="09F54F37">
      <w:pPr>
        <w:pStyle w:val="2"/>
        <w:spacing w:before="262" w:line="339" w:lineRule="auto"/>
        <w:ind w:left="38" w:right="30" w:firstLine="482"/>
        <w:jc w:val="both"/>
        <w:rPr>
          <w:sz w:val="24"/>
          <w:szCs w:val="24"/>
        </w:rPr>
      </w:pPr>
      <w:r>
        <w:rPr>
          <w:spacing w:val="3"/>
          <w:sz w:val="24"/>
          <w:szCs w:val="24"/>
        </w:rPr>
        <w:t>车马碧水库工程建设符合国家产业政策，工程</w:t>
      </w:r>
      <w:r>
        <w:rPr>
          <w:spacing w:val="2"/>
          <w:sz w:val="24"/>
          <w:szCs w:val="24"/>
        </w:rPr>
        <w:t>建成后将为曲靖灌区内的西城</w:t>
      </w:r>
      <w:r>
        <w:rPr>
          <w:spacing w:val="3"/>
          <w:sz w:val="24"/>
          <w:szCs w:val="24"/>
        </w:rPr>
        <w:t>工业园区及水库下游将建设的旧县和马过河工业园区供给</w:t>
      </w:r>
      <w:r>
        <w:rPr>
          <w:spacing w:val="2"/>
          <w:sz w:val="24"/>
          <w:szCs w:val="24"/>
        </w:rPr>
        <w:t>工业用水，解决西城工</w:t>
      </w:r>
      <w:r>
        <w:rPr>
          <w:spacing w:val="3"/>
          <w:sz w:val="24"/>
          <w:szCs w:val="24"/>
        </w:rPr>
        <w:t>业园区工业用水的缺水问题，并为旧县和马</w:t>
      </w:r>
      <w:r>
        <w:rPr>
          <w:spacing w:val="2"/>
          <w:sz w:val="24"/>
          <w:szCs w:val="24"/>
        </w:rPr>
        <w:t>过河工业园区的建设和发展提供工业</w:t>
      </w:r>
      <w:r>
        <w:rPr>
          <w:spacing w:val="-4"/>
          <w:sz w:val="24"/>
          <w:szCs w:val="24"/>
        </w:rPr>
        <w:t>用水水源支撑；为曲靖灌区内位置较低的灌区提供农业灌溉用水，减轻曲靖</w:t>
      </w:r>
      <w:r>
        <w:rPr>
          <w:spacing w:val="-5"/>
          <w:sz w:val="24"/>
          <w:szCs w:val="24"/>
        </w:rPr>
        <w:t>主城区</w:t>
      </w:r>
      <w:r>
        <w:rPr>
          <w:spacing w:val="3"/>
          <w:sz w:val="24"/>
          <w:szCs w:val="24"/>
        </w:rPr>
        <w:t>和陆良县城的城市生活用水供水水源潇湘水</w:t>
      </w:r>
      <w:r>
        <w:rPr>
          <w:spacing w:val="2"/>
          <w:sz w:val="24"/>
          <w:szCs w:val="24"/>
        </w:rPr>
        <w:t>库、西河水库和莲花田水库的供水压</w:t>
      </w:r>
      <w:r>
        <w:rPr>
          <w:spacing w:val="-7"/>
          <w:sz w:val="24"/>
          <w:szCs w:val="24"/>
        </w:rPr>
        <w:t>力；同时，为西河、潇湘和莲花田水库泄放生态基流提供支撑， 为改</w:t>
      </w:r>
      <w:r>
        <w:rPr>
          <w:spacing w:val="-8"/>
          <w:sz w:val="24"/>
          <w:szCs w:val="24"/>
        </w:rPr>
        <w:t>善曲靖灌区河</w:t>
      </w:r>
      <w:r>
        <w:rPr>
          <w:spacing w:val="-4"/>
          <w:sz w:val="24"/>
          <w:szCs w:val="24"/>
        </w:rPr>
        <w:t>道内水环境创造条件；具有明显的社会效益、经济效益和环境效益。工程对</w:t>
      </w:r>
      <w:r>
        <w:rPr>
          <w:spacing w:val="-5"/>
          <w:sz w:val="24"/>
          <w:szCs w:val="24"/>
        </w:rPr>
        <w:t>环境的</w:t>
      </w:r>
      <w:r>
        <w:rPr>
          <w:spacing w:val="-4"/>
          <w:sz w:val="24"/>
          <w:szCs w:val="24"/>
        </w:rPr>
        <w:t>不利影响可通过采取相应的环保措施予以减缓。工程建设不涉及自然保护区</w:t>
      </w:r>
      <w:r>
        <w:rPr>
          <w:spacing w:val="-5"/>
          <w:sz w:val="24"/>
          <w:szCs w:val="24"/>
        </w:rPr>
        <w:t>、世界</w:t>
      </w:r>
      <w:r>
        <w:rPr>
          <w:spacing w:val="-6"/>
          <w:sz w:val="24"/>
          <w:szCs w:val="24"/>
        </w:rPr>
        <w:t>自然和文化遗产地、风景名胜区、森林公园等环境敏感区，</w:t>
      </w:r>
      <w:r>
        <w:rPr>
          <w:spacing w:val="-44"/>
          <w:sz w:val="24"/>
          <w:szCs w:val="24"/>
        </w:rPr>
        <w:t xml:space="preserve"> </w:t>
      </w:r>
      <w:r>
        <w:rPr>
          <w:spacing w:val="-6"/>
          <w:sz w:val="24"/>
          <w:szCs w:val="24"/>
        </w:rPr>
        <w:t>不存在</w:t>
      </w:r>
      <w:r>
        <w:rPr>
          <w:spacing w:val="-7"/>
          <w:sz w:val="24"/>
          <w:szCs w:val="24"/>
        </w:rPr>
        <w:t>环境制约因素，</w:t>
      </w:r>
      <w:r>
        <w:rPr>
          <w:spacing w:val="-3"/>
          <w:sz w:val="24"/>
          <w:szCs w:val="24"/>
        </w:rPr>
        <w:t>从环境保护角度分析，工程建设可行。</w:t>
      </w:r>
    </w:p>
    <w:p w14:paraId="04A82144">
      <w:pPr>
        <w:pStyle w:val="2"/>
        <w:spacing w:before="81" w:line="227" w:lineRule="auto"/>
        <w:ind w:left="33"/>
        <w:rPr>
          <w:sz w:val="27"/>
          <w:szCs w:val="27"/>
        </w:rPr>
      </w:pPr>
      <w:r>
        <w:rPr>
          <w:rFonts w:ascii="Arial" w:hAnsi="Arial" w:eastAsia="Arial" w:cs="Arial"/>
          <w:spacing w:val="9"/>
          <w:position w:val="2"/>
          <w:sz w:val="21"/>
          <w:szCs w:val="21"/>
        </w:rPr>
        <w:t>4.1.2</w:t>
      </w:r>
      <w:r>
        <w:rPr>
          <w:rFonts w:ascii="Arial" w:hAnsi="Arial" w:eastAsia="Arial" w:cs="Arial"/>
          <w:spacing w:val="4"/>
          <w:position w:val="2"/>
          <w:sz w:val="21"/>
          <w:szCs w:val="21"/>
        </w:rPr>
        <w:t xml:space="preserve">     </w:t>
      </w:r>
      <w:r>
        <w:rPr>
          <w:b/>
          <w:bCs/>
          <w:spacing w:val="9"/>
          <w:position w:val="-1"/>
          <w:sz w:val="27"/>
          <w:szCs w:val="27"/>
        </w:rPr>
        <w:t>主要环境保护设施要求</w:t>
      </w:r>
    </w:p>
    <w:p w14:paraId="0E011F3C">
      <w:pPr>
        <w:pStyle w:val="2"/>
        <w:spacing w:before="261" w:line="220" w:lineRule="auto"/>
        <w:ind w:left="522"/>
        <w:rPr>
          <w:sz w:val="24"/>
          <w:szCs w:val="24"/>
        </w:rPr>
      </w:pPr>
      <w:r>
        <w:rPr>
          <w:spacing w:val="-1"/>
          <w:sz w:val="24"/>
          <w:szCs w:val="24"/>
        </w:rPr>
        <w:t>工程主要环保设施包括生态保护设施和施工期污染防治设施。</w:t>
      </w:r>
    </w:p>
    <w:p w14:paraId="4E18CEEB">
      <w:pPr>
        <w:pStyle w:val="2"/>
        <w:spacing w:before="156" w:line="338" w:lineRule="auto"/>
        <w:ind w:left="39" w:right="29" w:firstLine="479"/>
        <w:rPr>
          <w:sz w:val="24"/>
          <w:szCs w:val="24"/>
        </w:rPr>
      </w:pPr>
      <w:r>
        <w:rPr>
          <w:spacing w:val="-4"/>
          <w:sz w:val="24"/>
          <w:szCs w:val="24"/>
        </w:rPr>
        <w:t>施工期生态保护设施主要包括：库底清理和移民安置、</w:t>
      </w:r>
      <w:r>
        <w:rPr>
          <w:spacing w:val="-5"/>
          <w:sz w:val="24"/>
          <w:szCs w:val="24"/>
        </w:rPr>
        <w:t>生态流量泄放设施及在</w:t>
      </w:r>
      <w:r>
        <w:rPr>
          <w:spacing w:val="-7"/>
          <w:sz w:val="24"/>
          <w:szCs w:val="24"/>
        </w:rPr>
        <w:t>线监测设施、低温水减缓措施、 鱼道工程、鱼类增殖站、鱼类栖息地</w:t>
      </w:r>
      <w:r>
        <w:rPr>
          <w:spacing w:val="-8"/>
          <w:sz w:val="24"/>
          <w:szCs w:val="24"/>
        </w:rPr>
        <w:t>保护及河道连</w:t>
      </w:r>
      <w:r>
        <w:rPr>
          <w:spacing w:val="-2"/>
          <w:sz w:val="24"/>
          <w:szCs w:val="24"/>
        </w:rPr>
        <w:t>通性恢复、拦鱼栅网、旁路系统、植被恢复工程等。</w:t>
      </w:r>
    </w:p>
    <w:p w14:paraId="0F55EEFD">
      <w:pPr>
        <w:pStyle w:val="2"/>
        <w:spacing w:before="3" w:line="339" w:lineRule="auto"/>
        <w:ind w:left="39" w:right="28" w:firstLine="479"/>
        <w:jc w:val="both"/>
        <w:rPr>
          <w:sz w:val="24"/>
          <w:szCs w:val="24"/>
        </w:rPr>
      </w:pPr>
      <w:r>
        <w:rPr>
          <w:spacing w:val="-4"/>
          <w:sz w:val="24"/>
          <w:szCs w:val="24"/>
        </w:rPr>
        <w:t>施工期污染防治设施主要包括：砂石料加工系统废水</w:t>
      </w:r>
      <w:r>
        <w:rPr>
          <w:spacing w:val="-5"/>
          <w:sz w:val="24"/>
          <w:szCs w:val="24"/>
        </w:rPr>
        <w:t>处理设施、混凝土拌和系</w:t>
      </w:r>
      <w:r>
        <w:rPr>
          <w:spacing w:val="-4"/>
          <w:sz w:val="24"/>
          <w:szCs w:val="24"/>
        </w:rPr>
        <w:t>统废水处理设施、修配系统废水处理设施、隧洞施工废水处理设施、基坑</w:t>
      </w:r>
      <w:r>
        <w:rPr>
          <w:spacing w:val="-5"/>
          <w:sz w:val="24"/>
          <w:szCs w:val="24"/>
        </w:rPr>
        <w:t>废水处理</w:t>
      </w:r>
      <w:r>
        <w:rPr>
          <w:spacing w:val="-7"/>
          <w:sz w:val="24"/>
          <w:szCs w:val="24"/>
        </w:rPr>
        <w:t>设施、生活污水处理设施等水环境保护措施；</w:t>
      </w:r>
      <w:r>
        <w:rPr>
          <w:spacing w:val="-12"/>
          <w:sz w:val="24"/>
          <w:szCs w:val="24"/>
        </w:rPr>
        <w:t xml:space="preserve"> </w:t>
      </w:r>
      <w:r>
        <w:rPr>
          <w:spacing w:val="-7"/>
          <w:sz w:val="24"/>
          <w:szCs w:val="24"/>
        </w:rPr>
        <w:t>道路洒水、车辆及装备密闭、砂石料</w:t>
      </w:r>
      <w:r>
        <w:rPr>
          <w:spacing w:val="2"/>
          <w:sz w:val="24"/>
          <w:szCs w:val="24"/>
        </w:rPr>
        <w:t>加工系统及混凝土拌和系统除尘装置等大气污染防治措施；施工降噪设施和敏感</w:t>
      </w:r>
      <w:r>
        <w:rPr>
          <w:spacing w:val="-2"/>
          <w:sz w:val="24"/>
          <w:szCs w:val="24"/>
        </w:rPr>
        <w:t>点保护隔声窗等；生活垃圾收集、运输装备</w:t>
      </w:r>
      <w:r>
        <w:rPr>
          <w:spacing w:val="-3"/>
          <w:sz w:val="24"/>
          <w:szCs w:val="24"/>
        </w:rPr>
        <w:t>等。</w:t>
      </w:r>
    </w:p>
    <w:p w14:paraId="1E42E38F">
      <w:pPr>
        <w:pStyle w:val="2"/>
        <w:spacing w:before="80" w:line="227" w:lineRule="auto"/>
        <w:ind w:left="33"/>
        <w:rPr>
          <w:sz w:val="27"/>
          <w:szCs w:val="27"/>
        </w:rPr>
      </w:pPr>
      <w:r>
        <w:rPr>
          <w:rFonts w:ascii="Arial" w:hAnsi="Arial" w:eastAsia="Arial" w:cs="Arial"/>
          <w:spacing w:val="7"/>
          <w:position w:val="2"/>
          <w:sz w:val="21"/>
          <w:szCs w:val="21"/>
        </w:rPr>
        <w:t xml:space="preserve">4.1.3     </w:t>
      </w:r>
      <w:r>
        <w:rPr>
          <w:b/>
          <w:bCs/>
          <w:spacing w:val="7"/>
          <w:sz w:val="27"/>
          <w:szCs w:val="27"/>
        </w:rPr>
        <w:t>工程建设对环境的影响及要求</w:t>
      </w:r>
    </w:p>
    <w:p w14:paraId="42D2ABD8">
      <w:pPr>
        <w:pStyle w:val="2"/>
        <w:spacing w:before="263" w:line="339" w:lineRule="auto"/>
        <w:ind w:left="41" w:right="30" w:firstLine="477"/>
        <w:jc w:val="both"/>
        <w:rPr>
          <w:sz w:val="24"/>
          <w:szCs w:val="24"/>
        </w:rPr>
      </w:pPr>
      <w:r>
        <w:rPr>
          <w:spacing w:val="-4"/>
          <w:sz w:val="24"/>
          <w:szCs w:val="24"/>
        </w:rPr>
        <w:t>施工期项目产生的生产废水和生活污水经处理后回用，</w:t>
      </w:r>
      <w:r>
        <w:rPr>
          <w:spacing w:val="-5"/>
          <w:sz w:val="24"/>
          <w:szCs w:val="24"/>
        </w:rPr>
        <w:t>禁止外排。施工期大气</w:t>
      </w:r>
      <w:r>
        <w:rPr>
          <w:spacing w:val="-4"/>
          <w:sz w:val="24"/>
          <w:szCs w:val="24"/>
        </w:rPr>
        <w:t>污染物主要来自燃油、炸药产生的废气及砂石料加工系统、混凝土拌</w:t>
      </w:r>
      <w:r>
        <w:rPr>
          <w:spacing w:val="-5"/>
          <w:sz w:val="24"/>
          <w:szCs w:val="24"/>
        </w:rPr>
        <w:t>和系统、开挖</w:t>
      </w:r>
      <w:r>
        <w:rPr>
          <w:spacing w:val="-1"/>
          <w:sz w:val="24"/>
          <w:szCs w:val="24"/>
        </w:rPr>
        <w:t>与爆破等产生的粉尘和交通扬尘，主要污染物为</w:t>
      </w:r>
      <w:r>
        <w:rPr>
          <w:spacing w:val="-22"/>
          <w:sz w:val="24"/>
          <w:szCs w:val="24"/>
        </w:rPr>
        <w:t xml:space="preserve"> </w:t>
      </w:r>
      <w:r>
        <w:rPr>
          <w:rFonts w:ascii="Times New Roman" w:hAnsi="Times New Roman" w:eastAsia="Times New Roman" w:cs="Times New Roman"/>
          <w:spacing w:val="-1"/>
          <w:sz w:val="24"/>
          <w:szCs w:val="24"/>
        </w:rPr>
        <w:t>TSP</w:t>
      </w:r>
      <w:r>
        <w:rPr>
          <w:rFonts w:ascii="Times New Roman" w:hAnsi="Times New Roman" w:eastAsia="Times New Roman" w:cs="Times New Roman"/>
          <w:spacing w:val="36"/>
          <w:w w:val="101"/>
          <w:sz w:val="24"/>
          <w:szCs w:val="24"/>
        </w:rPr>
        <w:t xml:space="preserve"> </w:t>
      </w:r>
      <w:r>
        <w:rPr>
          <w:spacing w:val="-1"/>
          <w:sz w:val="24"/>
          <w:szCs w:val="24"/>
        </w:rPr>
        <w:t>等。施工期大气污染物排放</w:t>
      </w:r>
    </w:p>
    <w:p w14:paraId="5D598C03">
      <w:pPr>
        <w:spacing w:line="339" w:lineRule="auto"/>
        <w:rPr>
          <w:sz w:val="24"/>
          <w:szCs w:val="24"/>
        </w:rPr>
        <w:sectPr>
          <w:footerReference r:id="rId74" w:type="default"/>
          <w:pgSz w:w="11907" w:h="16839"/>
          <w:pgMar w:top="1376" w:right="1669" w:bottom="1061" w:left="1671" w:header="999" w:footer="861" w:gutter="0"/>
          <w:cols w:space="720" w:num="1"/>
        </w:sectPr>
      </w:pPr>
    </w:p>
    <w:p w14:paraId="5A917A3C">
      <w:pPr>
        <w:spacing w:line="454" w:lineRule="auto"/>
        <w:rPr>
          <w:rFonts w:ascii="Arial"/>
          <w:sz w:val="21"/>
        </w:rPr>
      </w:pPr>
    </w:p>
    <w:p w14:paraId="17E5F172">
      <w:pPr>
        <w:pStyle w:val="2"/>
        <w:spacing w:before="78" w:line="339" w:lineRule="auto"/>
        <w:ind w:left="39" w:right="202"/>
        <w:jc w:val="both"/>
        <w:rPr>
          <w:sz w:val="24"/>
          <w:szCs w:val="24"/>
        </w:rPr>
      </w:pPr>
      <w:r>
        <w:rPr>
          <w:spacing w:val="-8"/>
          <w:sz w:val="24"/>
          <w:szCs w:val="24"/>
        </w:rPr>
        <w:t>执行《大气污染物综合排放标准》（</w:t>
      </w:r>
      <w:r>
        <w:rPr>
          <w:rFonts w:ascii="Times New Roman" w:hAnsi="Times New Roman" w:eastAsia="Times New Roman" w:cs="Times New Roman"/>
          <w:spacing w:val="-8"/>
          <w:sz w:val="24"/>
          <w:szCs w:val="24"/>
        </w:rPr>
        <w:t>GB</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8"/>
          <w:sz w:val="24"/>
          <w:szCs w:val="24"/>
        </w:rPr>
        <w:t>16297-1996</w:t>
      </w:r>
      <w:r>
        <w:rPr>
          <w:spacing w:val="-8"/>
          <w:sz w:val="24"/>
          <w:szCs w:val="24"/>
        </w:rPr>
        <w:t>）表</w:t>
      </w:r>
      <w:r>
        <w:rPr>
          <w:spacing w:val="-44"/>
          <w:sz w:val="24"/>
          <w:szCs w:val="24"/>
        </w:rPr>
        <w:t xml:space="preserve"> </w:t>
      </w:r>
      <w:r>
        <w:rPr>
          <w:rFonts w:ascii="Times New Roman" w:hAnsi="Times New Roman" w:eastAsia="Times New Roman" w:cs="Times New Roman"/>
          <w:spacing w:val="-8"/>
          <w:sz w:val="24"/>
          <w:szCs w:val="24"/>
        </w:rPr>
        <w:t>2</w:t>
      </w:r>
      <w:r>
        <w:rPr>
          <w:rFonts w:ascii="Times New Roman" w:hAnsi="Times New Roman" w:eastAsia="Times New Roman" w:cs="Times New Roman"/>
          <w:spacing w:val="32"/>
          <w:sz w:val="24"/>
          <w:szCs w:val="24"/>
        </w:rPr>
        <w:t xml:space="preserve"> </w:t>
      </w:r>
      <w:r>
        <w:rPr>
          <w:spacing w:val="-8"/>
          <w:sz w:val="24"/>
          <w:szCs w:val="24"/>
        </w:rPr>
        <w:t>中无组织排放监控浓度限</w:t>
      </w:r>
      <w:r>
        <w:rPr>
          <w:spacing w:val="-4"/>
          <w:sz w:val="24"/>
          <w:szCs w:val="24"/>
        </w:rPr>
        <w:t>值，不得对区域大气环境造成明显影响。施工期噪声源主要包括爆破、钻孔、</w:t>
      </w:r>
      <w:r>
        <w:rPr>
          <w:spacing w:val="-5"/>
          <w:sz w:val="24"/>
          <w:szCs w:val="24"/>
        </w:rPr>
        <w:t>渣场</w:t>
      </w:r>
      <w:r>
        <w:rPr>
          <w:spacing w:val="-4"/>
          <w:sz w:val="24"/>
          <w:szCs w:val="24"/>
        </w:rPr>
        <w:t>料场施工作业、砂石料加工系统、其它施工工厂等产生的固定噪声和交通运</w:t>
      </w:r>
      <w:r>
        <w:rPr>
          <w:spacing w:val="-5"/>
          <w:sz w:val="24"/>
          <w:szCs w:val="24"/>
        </w:rPr>
        <w:t>输产生</w:t>
      </w:r>
      <w:r>
        <w:rPr>
          <w:spacing w:val="-4"/>
          <w:sz w:val="24"/>
          <w:szCs w:val="24"/>
        </w:rPr>
        <w:t>的流动噪声，其中岩石爆破产生的是瞬时噪声。通过合理布置施工，采用低</w:t>
      </w:r>
      <w:r>
        <w:rPr>
          <w:spacing w:val="-5"/>
          <w:sz w:val="24"/>
          <w:szCs w:val="24"/>
        </w:rPr>
        <w:t>噪声工</w:t>
      </w:r>
      <w:r>
        <w:rPr>
          <w:spacing w:val="-4"/>
          <w:sz w:val="24"/>
          <w:szCs w:val="24"/>
        </w:rPr>
        <w:t>艺等措施，不降低区域声环境质量标准。控制占地范围，减少对陆生生态干扰，尽</w:t>
      </w:r>
      <w:r>
        <w:rPr>
          <w:spacing w:val="-3"/>
          <w:sz w:val="24"/>
          <w:szCs w:val="24"/>
        </w:rPr>
        <w:t>可能降低施工对陆生生态和水生生态的影响。</w:t>
      </w:r>
    </w:p>
    <w:p w14:paraId="60BF25B7">
      <w:pPr>
        <w:pStyle w:val="2"/>
        <w:spacing w:before="14" w:line="233" w:lineRule="auto"/>
        <w:ind w:left="37"/>
        <w:rPr>
          <w:sz w:val="30"/>
          <w:szCs w:val="30"/>
        </w:rPr>
      </w:pPr>
      <w:bookmarkStart w:id="20" w:name="bookmark19"/>
      <w:bookmarkEnd w:id="20"/>
      <w:r>
        <w:rPr>
          <w:rFonts w:ascii="Times New Roman" w:hAnsi="Times New Roman" w:eastAsia="Times New Roman" w:cs="Times New Roman"/>
          <w:b/>
          <w:bCs/>
          <w:spacing w:val="-4"/>
          <w:sz w:val="30"/>
          <w:szCs w:val="30"/>
        </w:rPr>
        <w:t>4.2</w:t>
      </w:r>
      <w:r>
        <w:rPr>
          <w:rFonts w:ascii="Times New Roman" w:hAnsi="Times New Roman" w:eastAsia="Times New Roman" w:cs="Times New Roman"/>
          <w:b/>
          <w:bCs/>
          <w:spacing w:val="25"/>
          <w:sz w:val="30"/>
          <w:szCs w:val="30"/>
        </w:rPr>
        <w:t xml:space="preserve"> </w:t>
      </w:r>
      <w:r>
        <w:rPr>
          <w:b/>
          <w:bCs/>
          <w:spacing w:val="-4"/>
          <w:sz w:val="30"/>
          <w:szCs w:val="30"/>
        </w:rPr>
        <w:t>环保部审批决定</w:t>
      </w:r>
    </w:p>
    <w:p w14:paraId="3F05032A">
      <w:pPr>
        <w:pStyle w:val="2"/>
        <w:spacing w:before="231" w:line="330" w:lineRule="auto"/>
        <w:ind w:left="43" w:right="202" w:firstLine="471"/>
        <w:rPr>
          <w:sz w:val="24"/>
          <w:szCs w:val="24"/>
        </w:rPr>
      </w:pPr>
      <w:r>
        <w:rPr>
          <w:rFonts w:ascii="Times New Roman" w:hAnsi="Times New Roman" w:eastAsia="Times New Roman" w:cs="Times New Roman"/>
          <w:spacing w:val="-3"/>
          <w:sz w:val="24"/>
          <w:szCs w:val="24"/>
        </w:rPr>
        <w:t xml:space="preserve">2016 </w:t>
      </w:r>
      <w:r>
        <w:rPr>
          <w:spacing w:val="-3"/>
          <w:sz w:val="24"/>
          <w:szCs w:val="24"/>
        </w:rPr>
        <w:t>年</w:t>
      </w:r>
      <w:r>
        <w:rPr>
          <w:spacing w:val="-50"/>
          <w:sz w:val="24"/>
          <w:szCs w:val="24"/>
        </w:rPr>
        <w:t xml:space="preserve"> </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15"/>
          <w:w w:val="101"/>
          <w:sz w:val="24"/>
          <w:szCs w:val="24"/>
        </w:rPr>
        <w:t xml:space="preserve"> </w:t>
      </w:r>
      <w:r>
        <w:rPr>
          <w:spacing w:val="-3"/>
          <w:sz w:val="24"/>
          <w:szCs w:val="24"/>
        </w:rPr>
        <w:t>月</w:t>
      </w:r>
      <w:r>
        <w:rPr>
          <w:spacing w:val="-55"/>
          <w:sz w:val="24"/>
          <w:szCs w:val="24"/>
        </w:rPr>
        <w:t xml:space="preserve"> </w:t>
      </w:r>
      <w:r>
        <w:rPr>
          <w:rFonts w:ascii="Times New Roman" w:hAnsi="Times New Roman" w:eastAsia="Times New Roman" w:cs="Times New Roman"/>
          <w:spacing w:val="-3"/>
          <w:sz w:val="24"/>
          <w:szCs w:val="24"/>
        </w:rPr>
        <w:t xml:space="preserve">24  </w:t>
      </w:r>
      <w:r>
        <w:rPr>
          <w:spacing w:val="-3"/>
          <w:sz w:val="24"/>
          <w:szCs w:val="24"/>
        </w:rPr>
        <w:t>日，原环境保护部以“环审〔</w:t>
      </w:r>
      <w:r>
        <w:rPr>
          <w:rFonts w:ascii="Times New Roman" w:hAnsi="Times New Roman" w:eastAsia="Times New Roman" w:cs="Times New Roman"/>
          <w:spacing w:val="-3"/>
          <w:sz w:val="24"/>
          <w:szCs w:val="24"/>
        </w:rPr>
        <w:t>2016</w:t>
      </w:r>
      <w:r>
        <w:rPr>
          <w:spacing w:val="-3"/>
          <w:sz w:val="24"/>
          <w:szCs w:val="24"/>
        </w:rPr>
        <w:t>〕</w:t>
      </w:r>
      <w:r>
        <w:rPr>
          <w:rFonts w:ascii="Times New Roman" w:hAnsi="Times New Roman" w:eastAsia="Times New Roman" w:cs="Times New Roman"/>
          <w:spacing w:val="-3"/>
          <w:sz w:val="24"/>
          <w:szCs w:val="24"/>
        </w:rPr>
        <w:t>125</w:t>
      </w:r>
      <w:r>
        <w:rPr>
          <w:rFonts w:ascii="Times New Roman" w:hAnsi="Times New Roman" w:eastAsia="Times New Roman" w:cs="Times New Roman"/>
          <w:spacing w:val="15"/>
          <w:w w:val="101"/>
          <w:sz w:val="24"/>
          <w:szCs w:val="24"/>
        </w:rPr>
        <w:t xml:space="preserve"> </w:t>
      </w:r>
      <w:r>
        <w:rPr>
          <w:spacing w:val="-3"/>
          <w:sz w:val="24"/>
          <w:szCs w:val="24"/>
        </w:rPr>
        <w:t>号”下发“关于云南</w:t>
      </w:r>
      <w:r>
        <w:rPr>
          <w:spacing w:val="-6"/>
          <w:sz w:val="24"/>
          <w:szCs w:val="24"/>
        </w:rPr>
        <w:t>省曲靖市车马碧水库工程环境影响报告书的批复”，批复意见如下：</w:t>
      </w:r>
    </w:p>
    <w:p w14:paraId="01CFE679">
      <w:pPr>
        <w:pStyle w:val="2"/>
        <w:spacing w:before="16" w:line="339" w:lineRule="auto"/>
        <w:ind w:left="38" w:firstLine="484"/>
        <w:jc w:val="both"/>
        <w:rPr>
          <w:sz w:val="24"/>
          <w:szCs w:val="24"/>
        </w:rPr>
      </w:pPr>
      <w:r>
        <w:rPr>
          <w:spacing w:val="-4"/>
          <w:sz w:val="24"/>
          <w:szCs w:val="24"/>
        </w:rPr>
        <w:t>一、车马碧水库位于云南省曲靖市马龙县金</w:t>
      </w:r>
      <w:r>
        <w:rPr>
          <w:spacing w:val="-5"/>
          <w:sz w:val="24"/>
          <w:szCs w:val="24"/>
        </w:rPr>
        <w:t>沙江流域牛栏江支流马龙河上，工</w:t>
      </w:r>
      <w:r>
        <w:rPr>
          <w:sz w:val="24"/>
          <w:szCs w:val="24"/>
        </w:rPr>
        <w:t>程开发任务为工业供水和农业灌溉供水，并为改善受水区河</w:t>
      </w:r>
      <w:r>
        <w:rPr>
          <w:spacing w:val="-1"/>
          <w:sz w:val="24"/>
          <w:szCs w:val="24"/>
        </w:rPr>
        <w:t>道内水环境创造条件。</w:t>
      </w:r>
      <w:r>
        <w:rPr>
          <w:spacing w:val="-4"/>
          <w:sz w:val="24"/>
          <w:szCs w:val="24"/>
        </w:rPr>
        <w:t>本工程属于跨流域调水，水源区为拟建车马碧水库，受水区为水库下游的旧</w:t>
      </w:r>
      <w:r>
        <w:rPr>
          <w:spacing w:val="-5"/>
          <w:sz w:val="24"/>
          <w:szCs w:val="24"/>
        </w:rPr>
        <w:t>县、马</w:t>
      </w:r>
      <w:r>
        <w:rPr>
          <w:spacing w:val="-4"/>
          <w:sz w:val="24"/>
          <w:szCs w:val="24"/>
        </w:rPr>
        <w:t>过河工业园区和珠江水系南盘江流域曲靖灌区的麒麟区、沾益县和陆良县。</w:t>
      </w:r>
      <w:r>
        <w:rPr>
          <w:spacing w:val="-5"/>
          <w:sz w:val="24"/>
          <w:szCs w:val="24"/>
        </w:rPr>
        <w:t>工程多</w:t>
      </w:r>
      <w:r>
        <w:rPr>
          <w:spacing w:val="-2"/>
          <w:sz w:val="24"/>
          <w:szCs w:val="24"/>
        </w:rPr>
        <w:t>年平均供水量</w:t>
      </w:r>
      <w:r>
        <w:rPr>
          <w:spacing w:val="-51"/>
          <w:sz w:val="24"/>
          <w:szCs w:val="24"/>
        </w:rPr>
        <w:t xml:space="preserve"> </w:t>
      </w:r>
      <w:r>
        <w:rPr>
          <w:rFonts w:ascii="Times New Roman" w:hAnsi="Times New Roman" w:eastAsia="Times New Roman" w:cs="Times New Roman"/>
          <w:spacing w:val="-2"/>
          <w:sz w:val="24"/>
          <w:szCs w:val="24"/>
        </w:rPr>
        <w:t>7103</w:t>
      </w:r>
      <w:r>
        <w:rPr>
          <w:rFonts w:ascii="Times New Roman" w:hAnsi="Times New Roman" w:eastAsia="Times New Roman" w:cs="Times New Roman"/>
          <w:spacing w:val="15"/>
          <w:w w:val="101"/>
          <w:sz w:val="24"/>
          <w:szCs w:val="24"/>
        </w:rPr>
        <w:t xml:space="preserve"> </w:t>
      </w:r>
      <w:r>
        <w:rPr>
          <w:spacing w:val="-2"/>
          <w:sz w:val="24"/>
          <w:szCs w:val="24"/>
        </w:rPr>
        <w:t>万立方米，其中工业</w:t>
      </w:r>
      <w:r>
        <w:rPr>
          <w:spacing w:val="-3"/>
          <w:sz w:val="24"/>
          <w:szCs w:val="24"/>
        </w:rPr>
        <w:t>供水</w:t>
      </w:r>
      <w:r>
        <w:rPr>
          <w:spacing w:val="-50"/>
          <w:sz w:val="24"/>
          <w:szCs w:val="24"/>
        </w:rPr>
        <w:t xml:space="preserve"> </w:t>
      </w:r>
      <w:r>
        <w:rPr>
          <w:rFonts w:ascii="Times New Roman" w:hAnsi="Times New Roman" w:eastAsia="Times New Roman" w:cs="Times New Roman"/>
          <w:spacing w:val="-3"/>
          <w:sz w:val="24"/>
          <w:szCs w:val="24"/>
        </w:rPr>
        <w:t>3198</w:t>
      </w:r>
      <w:r>
        <w:rPr>
          <w:rFonts w:ascii="Times New Roman" w:hAnsi="Times New Roman" w:eastAsia="Times New Roman" w:cs="Times New Roman"/>
          <w:spacing w:val="15"/>
          <w:w w:val="101"/>
          <w:sz w:val="24"/>
          <w:szCs w:val="24"/>
        </w:rPr>
        <w:t xml:space="preserve"> </w:t>
      </w:r>
      <w:r>
        <w:rPr>
          <w:spacing w:val="-3"/>
          <w:sz w:val="24"/>
          <w:szCs w:val="24"/>
        </w:rPr>
        <w:t>万立方米，灌溉供水</w:t>
      </w:r>
      <w:r>
        <w:rPr>
          <w:spacing w:val="-50"/>
          <w:sz w:val="24"/>
          <w:szCs w:val="24"/>
        </w:rPr>
        <w:t xml:space="preserve"> </w:t>
      </w:r>
      <w:r>
        <w:rPr>
          <w:rFonts w:ascii="Times New Roman" w:hAnsi="Times New Roman" w:eastAsia="Times New Roman" w:cs="Times New Roman"/>
          <w:spacing w:val="-3"/>
          <w:sz w:val="24"/>
          <w:szCs w:val="24"/>
        </w:rPr>
        <w:t>3905</w:t>
      </w:r>
      <w:r>
        <w:rPr>
          <w:rFonts w:ascii="Times New Roman" w:hAnsi="Times New Roman" w:eastAsia="Times New Roman" w:cs="Times New Roman"/>
          <w:spacing w:val="15"/>
          <w:sz w:val="24"/>
          <w:szCs w:val="24"/>
        </w:rPr>
        <w:t xml:space="preserve"> </w:t>
      </w:r>
      <w:r>
        <w:rPr>
          <w:spacing w:val="-3"/>
          <w:sz w:val="24"/>
          <w:szCs w:val="24"/>
        </w:rPr>
        <w:t>万立</w:t>
      </w:r>
      <w:r>
        <w:rPr>
          <w:spacing w:val="-5"/>
          <w:sz w:val="24"/>
          <w:szCs w:val="24"/>
        </w:rPr>
        <w:t>方米。工程包括水库枢纽和输水隧洞两部分。枢纽工程主要建筑物包括挡水建筑物、</w:t>
      </w:r>
      <w:r>
        <w:rPr>
          <w:spacing w:val="-7"/>
          <w:sz w:val="24"/>
          <w:szCs w:val="24"/>
        </w:rPr>
        <w:t>泄洪建筑物、过鱼设施、生态灌溉输水管等。挡水建筑物为混凝土面板堆</w:t>
      </w:r>
      <w:r>
        <w:rPr>
          <w:spacing w:val="-8"/>
          <w:sz w:val="24"/>
          <w:szCs w:val="24"/>
        </w:rPr>
        <w:t>石坝， 最</w:t>
      </w:r>
      <w:r>
        <w:rPr>
          <w:spacing w:val="-3"/>
          <w:sz w:val="24"/>
          <w:szCs w:val="24"/>
        </w:rPr>
        <w:t>大坝高</w:t>
      </w:r>
      <w:r>
        <w:rPr>
          <w:spacing w:val="-43"/>
          <w:sz w:val="24"/>
          <w:szCs w:val="24"/>
        </w:rPr>
        <w:t xml:space="preserve"> </w:t>
      </w:r>
      <w:r>
        <w:rPr>
          <w:rFonts w:ascii="Times New Roman" w:hAnsi="Times New Roman" w:eastAsia="Times New Roman" w:cs="Times New Roman"/>
          <w:spacing w:val="-3"/>
          <w:sz w:val="24"/>
          <w:szCs w:val="24"/>
        </w:rPr>
        <w:t>52</w:t>
      </w:r>
      <w:r>
        <w:rPr>
          <w:rFonts w:ascii="Times New Roman" w:hAnsi="Times New Roman" w:eastAsia="Times New Roman" w:cs="Times New Roman"/>
          <w:spacing w:val="15"/>
          <w:sz w:val="24"/>
          <w:szCs w:val="24"/>
        </w:rPr>
        <w:t xml:space="preserve"> </w:t>
      </w:r>
      <w:r>
        <w:rPr>
          <w:spacing w:val="-3"/>
          <w:sz w:val="24"/>
          <w:szCs w:val="24"/>
        </w:rPr>
        <w:t>米，水库正常蓄水位</w:t>
      </w:r>
      <w:r>
        <w:rPr>
          <w:spacing w:val="-26"/>
          <w:sz w:val="24"/>
          <w:szCs w:val="24"/>
        </w:rPr>
        <w:t xml:space="preserve"> </w:t>
      </w:r>
      <w:r>
        <w:rPr>
          <w:rFonts w:ascii="Times New Roman" w:hAnsi="Times New Roman" w:eastAsia="Times New Roman" w:cs="Times New Roman"/>
          <w:spacing w:val="-3"/>
          <w:sz w:val="24"/>
          <w:szCs w:val="24"/>
        </w:rPr>
        <w:t>1938.5</w:t>
      </w:r>
      <w:r>
        <w:rPr>
          <w:rFonts w:ascii="Times New Roman" w:hAnsi="Times New Roman" w:eastAsia="Times New Roman" w:cs="Times New Roman"/>
          <w:spacing w:val="15"/>
          <w:w w:val="101"/>
          <w:sz w:val="24"/>
          <w:szCs w:val="24"/>
        </w:rPr>
        <w:t xml:space="preserve"> </w:t>
      </w:r>
      <w:r>
        <w:rPr>
          <w:spacing w:val="-3"/>
          <w:sz w:val="24"/>
          <w:szCs w:val="24"/>
        </w:rPr>
        <w:t>米，死水位</w:t>
      </w:r>
      <w:r>
        <w:rPr>
          <w:spacing w:val="-26"/>
          <w:sz w:val="24"/>
          <w:szCs w:val="24"/>
        </w:rPr>
        <w:t xml:space="preserve"> </w:t>
      </w:r>
      <w:r>
        <w:rPr>
          <w:rFonts w:ascii="Times New Roman" w:hAnsi="Times New Roman" w:eastAsia="Times New Roman" w:cs="Times New Roman"/>
          <w:spacing w:val="-3"/>
          <w:sz w:val="24"/>
          <w:szCs w:val="24"/>
        </w:rPr>
        <w:t>191</w:t>
      </w:r>
      <w:r>
        <w:rPr>
          <w:rFonts w:ascii="Times New Roman" w:hAnsi="Times New Roman" w:eastAsia="Times New Roman" w:cs="Times New Roman"/>
          <w:spacing w:val="-4"/>
          <w:sz w:val="24"/>
          <w:szCs w:val="24"/>
        </w:rPr>
        <w:t>5.3</w:t>
      </w:r>
      <w:r>
        <w:rPr>
          <w:rFonts w:ascii="Times New Roman" w:hAnsi="Times New Roman" w:eastAsia="Times New Roman" w:cs="Times New Roman"/>
          <w:spacing w:val="15"/>
          <w:w w:val="101"/>
          <w:sz w:val="24"/>
          <w:szCs w:val="24"/>
        </w:rPr>
        <w:t xml:space="preserve"> </w:t>
      </w:r>
      <w:r>
        <w:rPr>
          <w:spacing w:val="-4"/>
          <w:sz w:val="24"/>
          <w:szCs w:val="24"/>
        </w:rPr>
        <w:t>米，总库容</w:t>
      </w:r>
      <w:r>
        <w:rPr>
          <w:spacing w:val="-26"/>
          <w:sz w:val="24"/>
          <w:szCs w:val="24"/>
        </w:rPr>
        <w:t xml:space="preserve"> </w:t>
      </w:r>
      <w:r>
        <w:rPr>
          <w:rFonts w:ascii="Times New Roman" w:hAnsi="Times New Roman" w:eastAsia="Times New Roman" w:cs="Times New Roman"/>
          <w:spacing w:val="-4"/>
          <w:sz w:val="24"/>
          <w:szCs w:val="24"/>
        </w:rPr>
        <w:t>1.24</w:t>
      </w:r>
      <w:r>
        <w:rPr>
          <w:rFonts w:ascii="Times New Roman" w:hAnsi="Times New Roman" w:eastAsia="Times New Roman" w:cs="Times New Roman"/>
          <w:spacing w:val="15"/>
          <w:w w:val="101"/>
          <w:sz w:val="24"/>
          <w:szCs w:val="24"/>
        </w:rPr>
        <w:t xml:space="preserve"> </w:t>
      </w:r>
      <w:r>
        <w:rPr>
          <w:spacing w:val="-4"/>
          <w:sz w:val="24"/>
          <w:szCs w:val="24"/>
        </w:rPr>
        <w:t>亿立方</w:t>
      </w:r>
      <w:r>
        <w:rPr>
          <w:spacing w:val="-3"/>
          <w:sz w:val="24"/>
          <w:szCs w:val="24"/>
        </w:rPr>
        <w:t>米，具有多年调节性能。输水隧洞总长</w:t>
      </w:r>
      <w:r>
        <w:rPr>
          <w:spacing w:val="-49"/>
          <w:sz w:val="24"/>
          <w:szCs w:val="24"/>
        </w:rPr>
        <w:t xml:space="preserve"> </w:t>
      </w:r>
      <w:r>
        <w:rPr>
          <w:rFonts w:ascii="Times New Roman" w:hAnsi="Times New Roman" w:eastAsia="Times New Roman" w:cs="Times New Roman"/>
          <w:spacing w:val="-3"/>
          <w:sz w:val="24"/>
          <w:szCs w:val="24"/>
        </w:rPr>
        <w:t>29.56</w:t>
      </w:r>
      <w:r>
        <w:rPr>
          <w:rFonts w:ascii="Times New Roman" w:hAnsi="Times New Roman" w:eastAsia="Times New Roman" w:cs="Times New Roman"/>
          <w:spacing w:val="17"/>
          <w:sz w:val="24"/>
          <w:szCs w:val="24"/>
        </w:rPr>
        <w:t xml:space="preserve"> </w:t>
      </w:r>
      <w:r>
        <w:rPr>
          <w:spacing w:val="-3"/>
          <w:sz w:val="24"/>
          <w:szCs w:val="24"/>
        </w:rPr>
        <w:t>公里，采用无压自流，设计引水流量</w:t>
      </w:r>
      <w:r>
        <w:rPr>
          <w:spacing w:val="-4"/>
          <w:sz w:val="24"/>
          <w:szCs w:val="24"/>
        </w:rPr>
        <w:t>为</w:t>
      </w:r>
      <w:r>
        <w:rPr>
          <w:spacing w:val="-43"/>
          <w:sz w:val="24"/>
          <w:szCs w:val="24"/>
        </w:rPr>
        <w:t xml:space="preserve"> </w:t>
      </w:r>
      <w:r>
        <w:rPr>
          <w:rFonts w:ascii="Times New Roman" w:hAnsi="Times New Roman" w:eastAsia="Times New Roman" w:cs="Times New Roman"/>
          <w:spacing w:val="-4"/>
          <w:sz w:val="24"/>
          <w:szCs w:val="24"/>
        </w:rPr>
        <w:t xml:space="preserve">5.8 </w:t>
      </w:r>
      <w:r>
        <w:rPr>
          <w:spacing w:val="-4"/>
          <w:sz w:val="24"/>
          <w:szCs w:val="24"/>
        </w:rPr>
        <w:t>立方米</w:t>
      </w:r>
      <w:r>
        <w:rPr>
          <w:rFonts w:ascii="Times New Roman" w:hAnsi="Times New Roman" w:eastAsia="Times New Roman" w:cs="Times New Roman"/>
          <w:spacing w:val="-4"/>
          <w:sz w:val="24"/>
          <w:szCs w:val="24"/>
        </w:rPr>
        <w:t>/</w:t>
      </w:r>
      <w:r>
        <w:rPr>
          <w:spacing w:val="-4"/>
          <w:sz w:val="24"/>
          <w:szCs w:val="24"/>
        </w:rPr>
        <w:t>秒。</w:t>
      </w:r>
    </w:p>
    <w:p w14:paraId="1A3D5A6F">
      <w:pPr>
        <w:pStyle w:val="2"/>
        <w:spacing w:before="4" w:line="338" w:lineRule="auto"/>
        <w:ind w:left="41" w:right="118" w:firstLine="481"/>
        <w:jc w:val="both"/>
        <w:rPr>
          <w:sz w:val="24"/>
          <w:szCs w:val="24"/>
        </w:rPr>
      </w:pPr>
      <w:r>
        <w:rPr>
          <w:spacing w:val="-12"/>
          <w:sz w:val="24"/>
          <w:szCs w:val="24"/>
        </w:rPr>
        <w:t>该项目列入《长江流域综合规划（</w:t>
      </w:r>
      <w:r>
        <w:rPr>
          <w:rFonts w:ascii="Times New Roman" w:hAnsi="Times New Roman" w:eastAsia="Times New Roman" w:cs="Times New Roman"/>
          <w:spacing w:val="-12"/>
          <w:sz w:val="24"/>
          <w:szCs w:val="24"/>
        </w:rPr>
        <w:t>2012~203</w:t>
      </w:r>
      <w:r>
        <w:rPr>
          <w:rFonts w:ascii="Times New Roman" w:hAnsi="Times New Roman" w:eastAsia="Times New Roman" w:cs="Times New Roman"/>
          <w:spacing w:val="-13"/>
          <w:sz w:val="24"/>
          <w:szCs w:val="24"/>
        </w:rPr>
        <w:t xml:space="preserve">0 </w:t>
      </w:r>
      <w:r>
        <w:rPr>
          <w:spacing w:val="-13"/>
          <w:sz w:val="24"/>
          <w:szCs w:val="24"/>
        </w:rPr>
        <w:t>年）》《牛栏江流域（云南省部分）</w:t>
      </w:r>
      <w:r>
        <w:rPr>
          <w:spacing w:val="-4"/>
          <w:sz w:val="24"/>
          <w:szCs w:val="24"/>
        </w:rPr>
        <w:t>水资源综合利用规划修编报告》，符合《牛栏江流域（云南省部分）水资源</w:t>
      </w:r>
      <w:r>
        <w:rPr>
          <w:spacing w:val="-5"/>
          <w:sz w:val="24"/>
          <w:szCs w:val="24"/>
        </w:rPr>
        <w:t>综合利</w:t>
      </w:r>
      <w:r>
        <w:rPr>
          <w:spacing w:val="-8"/>
          <w:sz w:val="24"/>
          <w:szCs w:val="24"/>
        </w:rPr>
        <w:t>用规划修编环境影响报告书》及审查意见的要求。该项目建设对水环</w:t>
      </w:r>
      <w:r>
        <w:rPr>
          <w:spacing w:val="-9"/>
          <w:sz w:val="24"/>
          <w:szCs w:val="24"/>
        </w:rPr>
        <w:t>境、水生生态、</w:t>
      </w:r>
      <w:r>
        <w:rPr>
          <w:spacing w:val="-4"/>
          <w:sz w:val="24"/>
          <w:szCs w:val="24"/>
        </w:rPr>
        <w:t>陆生生态等将产生一定不利影响，必须全面落实各项生态保护和污染</w:t>
      </w:r>
      <w:r>
        <w:rPr>
          <w:spacing w:val="-5"/>
          <w:sz w:val="24"/>
          <w:szCs w:val="24"/>
        </w:rPr>
        <w:t>防治措施，减</w:t>
      </w:r>
      <w:r>
        <w:rPr>
          <w:spacing w:val="-4"/>
          <w:sz w:val="24"/>
          <w:szCs w:val="24"/>
        </w:rPr>
        <w:t>缓不利环境影响。我部原则同意环境影响报告书中所列建设项目的性</w:t>
      </w:r>
      <w:r>
        <w:rPr>
          <w:spacing w:val="-5"/>
          <w:sz w:val="24"/>
          <w:szCs w:val="24"/>
        </w:rPr>
        <w:t>质、规模、地</w:t>
      </w:r>
      <w:r>
        <w:rPr>
          <w:spacing w:val="-4"/>
          <w:sz w:val="24"/>
          <w:szCs w:val="24"/>
        </w:rPr>
        <w:t>点和拟采取的环境保护措施。</w:t>
      </w:r>
    </w:p>
    <w:p w14:paraId="052CCF16">
      <w:pPr>
        <w:pStyle w:val="2"/>
        <w:spacing w:line="219" w:lineRule="auto"/>
        <w:ind w:left="525"/>
        <w:rPr>
          <w:sz w:val="24"/>
          <w:szCs w:val="24"/>
        </w:rPr>
      </w:pPr>
      <w:r>
        <w:rPr>
          <w:b/>
          <w:bCs/>
          <w:spacing w:val="-3"/>
          <w:sz w:val="24"/>
          <w:szCs w:val="24"/>
        </w:rPr>
        <w:t>二、项目建设和运行管理中应重点做好的工作</w:t>
      </w:r>
    </w:p>
    <w:p w14:paraId="76597079">
      <w:pPr>
        <w:pStyle w:val="2"/>
        <w:spacing w:before="155" w:line="340" w:lineRule="auto"/>
        <w:ind w:left="40" w:right="202" w:firstLine="487"/>
        <w:jc w:val="both"/>
        <w:rPr>
          <w:sz w:val="24"/>
          <w:szCs w:val="24"/>
        </w:rPr>
      </w:pPr>
      <w:r>
        <w:rPr>
          <w:b/>
          <w:bCs/>
          <w:spacing w:val="-7"/>
          <w:sz w:val="24"/>
          <w:szCs w:val="24"/>
        </w:rPr>
        <w:t>（一）优化区域水资源配置，严格落实生态流量下泄措施。</w:t>
      </w:r>
      <w:r>
        <w:rPr>
          <w:spacing w:val="-7"/>
          <w:sz w:val="24"/>
          <w:szCs w:val="24"/>
        </w:rPr>
        <w:t>根据《云南省牛栏</w:t>
      </w:r>
      <w:r>
        <w:rPr>
          <w:spacing w:val="-9"/>
          <w:sz w:val="24"/>
          <w:szCs w:val="24"/>
        </w:rPr>
        <w:t>江保护条例》，不得向位于重点污染控制区内的旧县、</w:t>
      </w:r>
      <w:r>
        <w:rPr>
          <w:spacing w:val="-10"/>
          <w:sz w:val="24"/>
          <w:szCs w:val="24"/>
        </w:rPr>
        <w:t>马过河工业园区供水，</w:t>
      </w:r>
      <w:r>
        <w:rPr>
          <w:spacing w:val="70"/>
          <w:sz w:val="24"/>
          <w:szCs w:val="24"/>
        </w:rPr>
        <w:t xml:space="preserve"> </w:t>
      </w:r>
      <w:r>
        <w:rPr>
          <w:spacing w:val="-10"/>
          <w:sz w:val="24"/>
          <w:szCs w:val="24"/>
        </w:rPr>
        <w:t>多出</w:t>
      </w:r>
      <w:r>
        <w:rPr>
          <w:spacing w:val="2"/>
          <w:sz w:val="24"/>
          <w:szCs w:val="24"/>
        </w:rPr>
        <w:t>的水量优先用于车马碧水库坝下游河流生态用水。制定工程蓄水和运行期下泄生</w:t>
      </w:r>
    </w:p>
    <w:p w14:paraId="56F9B127">
      <w:pPr>
        <w:spacing w:line="340" w:lineRule="auto"/>
        <w:rPr>
          <w:sz w:val="24"/>
          <w:szCs w:val="24"/>
        </w:rPr>
        <w:sectPr>
          <w:headerReference r:id="rId75" w:type="default"/>
          <w:footerReference r:id="rId76" w:type="default"/>
          <w:pgSz w:w="11907" w:h="16839"/>
          <w:pgMar w:top="1376" w:right="1495" w:bottom="1061" w:left="1671" w:header="999" w:footer="861" w:gutter="0"/>
          <w:cols w:space="720" w:num="1"/>
        </w:sectPr>
      </w:pPr>
    </w:p>
    <w:p w14:paraId="58969094">
      <w:pPr>
        <w:spacing w:line="452" w:lineRule="auto"/>
        <w:rPr>
          <w:rFonts w:ascii="Arial"/>
          <w:sz w:val="21"/>
        </w:rPr>
      </w:pPr>
    </w:p>
    <w:p w14:paraId="082521FD">
      <w:pPr>
        <w:pStyle w:val="2"/>
        <w:spacing w:before="78" w:line="338" w:lineRule="auto"/>
        <w:ind w:left="38" w:right="30"/>
        <w:jc w:val="both"/>
        <w:rPr>
          <w:sz w:val="24"/>
          <w:szCs w:val="24"/>
        </w:rPr>
      </w:pPr>
      <w:r>
        <w:rPr>
          <w:spacing w:val="-2"/>
          <w:sz w:val="24"/>
          <w:szCs w:val="24"/>
        </w:rPr>
        <w:t>态流量调度方案，流量下泄过程应满足生态需求</w:t>
      </w:r>
      <w:r>
        <w:rPr>
          <w:spacing w:val="-3"/>
          <w:sz w:val="24"/>
          <w:szCs w:val="24"/>
        </w:rPr>
        <w:t>。鱼类主要繁殖期</w:t>
      </w:r>
      <w:r>
        <w:rPr>
          <w:spacing w:val="-22"/>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42"/>
          <w:sz w:val="24"/>
          <w:szCs w:val="24"/>
        </w:rPr>
        <w:t xml:space="preserve"> </w:t>
      </w:r>
      <w:r>
        <w:rPr>
          <w:spacing w:val="-3"/>
          <w:sz w:val="24"/>
          <w:szCs w:val="24"/>
        </w:rPr>
        <w:t xml:space="preserve">月至 </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41"/>
          <w:w w:val="101"/>
          <w:sz w:val="24"/>
          <w:szCs w:val="24"/>
        </w:rPr>
        <w:t xml:space="preserve"> </w:t>
      </w:r>
      <w:r>
        <w:rPr>
          <w:spacing w:val="-3"/>
          <w:sz w:val="24"/>
          <w:szCs w:val="24"/>
        </w:rPr>
        <w:t>月瞬</w:t>
      </w:r>
      <w:r>
        <w:rPr>
          <w:spacing w:val="-1"/>
          <w:sz w:val="24"/>
          <w:szCs w:val="24"/>
        </w:rPr>
        <w:t xml:space="preserve">时下泄生态流量不低于 </w:t>
      </w:r>
      <w:r>
        <w:rPr>
          <w:rFonts w:ascii="Times New Roman" w:hAnsi="Times New Roman" w:eastAsia="Times New Roman" w:cs="Times New Roman"/>
          <w:spacing w:val="-1"/>
          <w:sz w:val="24"/>
          <w:szCs w:val="24"/>
        </w:rPr>
        <w:t xml:space="preserve">2.18  </w:t>
      </w:r>
      <w:r>
        <w:rPr>
          <w:spacing w:val="-1"/>
          <w:sz w:val="24"/>
          <w:szCs w:val="24"/>
        </w:rPr>
        <w:t>立方米</w:t>
      </w:r>
      <w:r>
        <w:rPr>
          <w:rFonts w:ascii="Times New Roman" w:hAnsi="Times New Roman" w:eastAsia="Times New Roman" w:cs="Times New Roman"/>
          <w:spacing w:val="-1"/>
          <w:sz w:val="24"/>
          <w:szCs w:val="24"/>
        </w:rPr>
        <w:t>/</w:t>
      </w:r>
      <w:r>
        <w:rPr>
          <w:spacing w:val="-1"/>
          <w:sz w:val="24"/>
          <w:szCs w:val="24"/>
        </w:rPr>
        <w:t>秒，</w:t>
      </w:r>
      <w:r>
        <w:rPr>
          <w:rFonts w:ascii="Times New Roman" w:hAnsi="Times New Roman" w:eastAsia="Times New Roman" w:cs="Times New Roman"/>
          <w:spacing w:val="-1"/>
          <w:sz w:val="24"/>
          <w:szCs w:val="24"/>
        </w:rPr>
        <w:t xml:space="preserve">10  </w:t>
      </w:r>
      <w:r>
        <w:rPr>
          <w:spacing w:val="-1"/>
          <w:sz w:val="24"/>
          <w:szCs w:val="24"/>
        </w:rPr>
        <w:t>月无灌溉需求时下泄生态流量不低于</w:t>
      </w:r>
      <w:r>
        <w:rPr>
          <w:rFonts w:ascii="Times New Roman" w:hAnsi="Times New Roman" w:eastAsia="Times New Roman" w:cs="Times New Roman"/>
          <w:spacing w:val="-3"/>
          <w:sz w:val="24"/>
          <w:szCs w:val="24"/>
        </w:rPr>
        <w:t xml:space="preserve">0.91 </w:t>
      </w:r>
      <w:r>
        <w:rPr>
          <w:spacing w:val="-3"/>
          <w:sz w:val="24"/>
          <w:szCs w:val="24"/>
        </w:rPr>
        <w:t>立方米</w:t>
      </w:r>
      <w:r>
        <w:rPr>
          <w:rFonts w:ascii="Times New Roman" w:hAnsi="Times New Roman" w:eastAsia="Times New Roman" w:cs="Times New Roman"/>
          <w:spacing w:val="-3"/>
          <w:sz w:val="24"/>
          <w:szCs w:val="24"/>
        </w:rPr>
        <w:t>/</w:t>
      </w:r>
      <w:r>
        <w:rPr>
          <w:spacing w:val="-3"/>
          <w:sz w:val="24"/>
          <w:szCs w:val="24"/>
        </w:rPr>
        <w:t>秒，其他月份下泄生态流量不低于</w:t>
      </w:r>
      <w:r>
        <w:rPr>
          <w:spacing w:val="-31"/>
          <w:sz w:val="24"/>
          <w:szCs w:val="24"/>
        </w:rPr>
        <w:t xml:space="preserve"> </w:t>
      </w:r>
      <w:r>
        <w:rPr>
          <w:rFonts w:ascii="Times New Roman" w:hAnsi="Times New Roman" w:eastAsia="Times New Roman" w:cs="Times New Roman"/>
          <w:spacing w:val="-3"/>
          <w:sz w:val="24"/>
          <w:szCs w:val="24"/>
        </w:rPr>
        <w:t xml:space="preserve">1.03 </w:t>
      </w:r>
      <w:r>
        <w:rPr>
          <w:spacing w:val="-3"/>
          <w:sz w:val="24"/>
          <w:szCs w:val="24"/>
        </w:rPr>
        <w:t>立方米</w:t>
      </w:r>
      <w:r>
        <w:rPr>
          <w:rFonts w:ascii="Times New Roman" w:hAnsi="Times New Roman" w:eastAsia="Times New Roman" w:cs="Times New Roman"/>
          <w:spacing w:val="-3"/>
          <w:sz w:val="24"/>
          <w:szCs w:val="24"/>
        </w:rPr>
        <w:t>/</w:t>
      </w:r>
      <w:r>
        <w:rPr>
          <w:spacing w:val="-3"/>
          <w:sz w:val="24"/>
          <w:szCs w:val="24"/>
        </w:rPr>
        <w:t>秒；若来流量小于生态</w:t>
      </w:r>
      <w:r>
        <w:rPr>
          <w:spacing w:val="-4"/>
          <w:sz w:val="24"/>
          <w:szCs w:val="24"/>
        </w:rPr>
        <w:t>流量，按实际来流量下泄。初期蓄水期间通过导流泄洪洞下泄生态流量，运</w:t>
      </w:r>
      <w:r>
        <w:rPr>
          <w:spacing w:val="-5"/>
          <w:sz w:val="24"/>
          <w:szCs w:val="24"/>
        </w:rPr>
        <w:t>行期通</w:t>
      </w:r>
      <w:r>
        <w:rPr>
          <w:spacing w:val="-4"/>
          <w:sz w:val="24"/>
          <w:szCs w:val="24"/>
        </w:rPr>
        <w:t>过浮筒式取水口和闸门下泄生态流量。同步安装生态流量在线监测系统，进</w:t>
      </w:r>
      <w:r>
        <w:rPr>
          <w:spacing w:val="-5"/>
          <w:sz w:val="24"/>
          <w:szCs w:val="24"/>
        </w:rPr>
        <w:t>行实时</w:t>
      </w:r>
      <w:r>
        <w:rPr>
          <w:spacing w:val="-10"/>
          <w:sz w:val="24"/>
          <w:szCs w:val="24"/>
        </w:rPr>
        <w:t>监测。</w:t>
      </w:r>
    </w:p>
    <w:p w14:paraId="662F6F2B">
      <w:pPr>
        <w:pStyle w:val="2"/>
        <w:spacing w:before="7" w:line="337" w:lineRule="auto"/>
        <w:ind w:left="42" w:right="29" w:firstLine="485"/>
        <w:rPr>
          <w:sz w:val="24"/>
          <w:szCs w:val="24"/>
        </w:rPr>
      </w:pPr>
      <w:r>
        <w:rPr>
          <w:b/>
          <w:bCs/>
          <w:spacing w:val="-3"/>
          <w:sz w:val="24"/>
          <w:szCs w:val="24"/>
        </w:rPr>
        <w:t>（二）落实分层取水措施，减缓低温水影响。</w:t>
      </w:r>
      <w:r>
        <w:rPr>
          <w:spacing w:val="-3"/>
          <w:sz w:val="24"/>
          <w:szCs w:val="24"/>
        </w:rPr>
        <w:t>水库</w:t>
      </w:r>
      <w:r>
        <w:rPr>
          <w:spacing w:val="-26"/>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6"/>
          <w:sz w:val="24"/>
          <w:szCs w:val="24"/>
        </w:rPr>
        <w:t xml:space="preserve"> </w:t>
      </w:r>
      <w:r>
        <w:rPr>
          <w:spacing w:val="-3"/>
          <w:sz w:val="24"/>
          <w:szCs w:val="24"/>
        </w:rPr>
        <w:t>月至</w:t>
      </w:r>
      <w:r>
        <w:rPr>
          <w:spacing w:val="-31"/>
          <w:sz w:val="24"/>
          <w:szCs w:val="24"/>
        </w:rPr>
        <w:t xml:space="preserve"> </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36"/>
          <w:sz w:val="24"/>
          <w:szCs w:val="24"/>
        </w:rPr>
        <w:t xml:space="preserve"> </w:t>
      </w:r>
      <w:r>
        <w:rPr>
          <w:spacing w:val="-3"/>
          <w:sz w:val="24"/>
          <w:szCs w:val="24"/>
        </w:rPr>
        <w:t>月存在下泄低温</w:t>
      </w:r>
      <w:r>
        <w:rPr>
          <w:spacing w:val="-4"/>
          <w:sz w:val="24"/>
          <w:szCs w:val="24"/>
        </w:rPr>
        <w:t>水影响，下阶段需对分层取水专项设计深入研究，分层取水设施应</w:t>
      </w:r>
      <w:r>
        <w:rPr>
          <w:spacing w:val="-5"/>
          <w:sz w:val="24"/>
          <w:szCs w:val="24"/>
        </w:rPr>
        <w:t>与主体工程同步</w:t>
      </w:r>
      <w:r>
        <w:rPr>
          <w:spacing w:val="-2"/>
          <w:sz w:val="24"/>
          <w:szCs w:val="24"/>
        </w:rPr>
        <w:t>建成。运行期对库区及大坝下游水温开展全面系统的监测工作。</w:t>
      </w:r>
    </w:p>
    <w:p w14:paraId="2871BA09">
      <w:pPr>
        <w:pStyle w:val="2"/>
        <w:spacing w:line="339" w:lineRule="auto"/>
        <w:ind w:left="39" w:right="29" w:firstLine="488"/>
        <w:rPr>
          <w:sz w:val="24"/>
          <w:szCs w:val="24"/>
        </w:rPr>
      </w:pPr>
      <w:r>
        <w:rPr>
          <w:b/>
          <w:bCs/>
          <w:spacing w:val="-6"/>
          <w:sz w:val="24"/>
          <w:szCs w:val="24"/>
        </w:rPr>
        <w:t>（三）严格落实水环境保护措施。</w:t>
      </w:r>
      <w:r>
        <w:rPr>
          <w:spacing w:val="-6"/>
          <w:sz w:val="24"/>
          <w:szCs w:val="24"/>
        </w:rPr>
        <w:t>制定水库清理环境保护方案，蓄水前开展水</w:t>
      </w:r>
      <w:r>
        <w:rPr>
          <w:spacing w:val="-4"/>
          <w:sz w:val="24"/>
          <w:szCs w:val="24"/>
        </w:rPr>
        <w:t>库库底环境保护清理工作。加强库周及上游汇水范围内污染源治理，切实</w:t>
      </w:r>
      <w:r>
        <w:rPr>
          <w:spacing w:val="-5"/>
          <w:sz w:val="24"/>
          <w:szCs w:val="24"/>
        </w:rPr>
        <w:t>保证库区</w:t>
      </w:r>
      <w:r>
        <w:rPr>
          <w:spacing w:val="-7"/>
          <w:sz w:val="24"/>
          <w:szCs w:val="24"/>
        </w:rPr>
        <w:t>水质达标。高度重视受退水区水污染治理， 以区域水环境质量</w:t>
      </w:r>
      <w:r>
        <w:rPr>
          <w:spacing w:val="-8"/>
          <w:sz w:val="24"/>
          <w:szCs w:val="24"/>
        </w:rPr>
        <w:t>改善为目标，完善具</w:t>
      </w:r>
      <w:r>
        <w:rPr>
          <w:spacing w:val="-4"/>
          <w:sz w:val="24"/>
          <w:szCs w:val="24"/>
        </w:rPr>
        <w:t>体治污方案。落实西城工业园区污水处理厂及配套管网建设工程、分散污</w:t>
      </w:r>
      <w:r>
        <w:rPr>
          <w:spacing w:val="-5"/>
          <w:sz w:val="24"/>
          <w:szCs w:val="24"/>
        </w:rPr>
        <w:t>染源综合</w:t>
      </w:r>
      <w:r>
        <w:rPr>
          <w:spacing w:val="-7"/>
          <w:sz w:val="24"/>
          <w:szCs w:val="24"/>
        </w:rPr>
        <w:t>治理工程、河道污染治理工程等，</w:t>
      </w:r>
      <w:r>
        <w:rPr>
          <w:spacing w:val="-16"/>
          <w:sz w:val="24"/>
          <w:szCs w:val="24"/>
        </w:rPr>
        <w:t xml:space="preserve"> </w:t>
      </w:r>
      <w:r>
        <w:rPr>
          <w:spacing w:val="-7"/>
          <w:sz w:val="24"/>
          <w:szCs w:val="24"/>
        </w:rPr>
        <w:t>明确责任主体，确保按期完成各项治污工程及水</w:t>
      </w:r>
      <w:r>
        <w:rPr>
          <w:spacing w:val="-6"/>
          <w:sz w:val="24"/>
          <w:szCs w:val="24"/>
        </w:rPr>
        <w:t>污染防治措施。</w:t>
      </w:r>
    </w:p>
    <w:p w14:paraId="237BCD5E">
      <w:pPr>
        <w:pStyle w:val="2"/>
        <w:spacing w:before="2" w:line="338" w:lineRule="auto"/>
        <w:ind w:left="38" w:right="29" w:firstLine="489"/>
        <w:rPr>
          <w:sz w:val="24"/>
          <w:szCs w:val="24"/>
        </w:rPr>
      </w:pPr>
      <w:r>
        <w:rPr>
          <w:b/>
          <w:bCs/>
          <w:spacing w:val="-6"/>
          <w:sz w:val="24"/>
          <w:szCs w:val="24"/>
        </w:rPr>
        <w:t>（四）做好水生生态保护工作。</w:t>
      </w:r>
      <w:r>
        <w:rPr>
          <w:spacing w:val="-6"/>
          <w:sz w:val="24"/>
          <w:szCs w:val="24"/>
        </w:rPr>
        <w:t>采取设置鱼类栖息地、建设鱼道和增殖放流等</w:t>
      </w:r>
      <w:r>
        <w:rPr>
          <w:spacing w:val="-5"/>
          <w:sz w:val="24"/>
          <w:szCs w:val="24"/>
        </w:rPr>
        <w:t>保护措施。严格落实“以新带老”措施，拆除库尾以上</w:t>
      </w:r>
      <w:r>
        <w:rPr>
          <w:spacing w:val="-43"/>
          <w:sz w:val="24"/>
          <w:szCs w:val="24"/>
        </w:rPr>
        <w:t xml:space="preserve"> </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16"/>
          <w:w w:val="101"/>
          <w:sz w:val="24"/>
          <w:szCs w:val="24"/>
        </w:rPr>
        <w:t xml:space="preserve"> </w:t>
      </w:r>
      <w:r>
        <w:rPr>
          <w:spacing w:val="-5"/>
          <w:sz w:val="24"/>
          <w:szCs w:val="24"/>
        </w:rPr>
        <w:t>公里处滚水坝，在库尾以</w:t>
      </w:r>
      <w:r>
        <w:rPr>
          <w:spacing w:val="-6"/>
          <w:sz w:val="24"/>
          <w:szCs w:val="24"/>
        </w:rPr>
        <w:t>上</w:t>
      </w:r>
      <w:r>
        <w:rPr>
          <w:spacing w:val="-31"/>
          <w:sz w:val="24"/>
          <w:szCs w:val="24"/>
        </w:rPr>
        <w:t xml:space="preserve"> </w:t>
      </w:r>
      <w:r>
        <w:rPr>
          <w:rFonts w:ascii="Times New Roman" w:hAnsi="Times New Roman" w:eastAsia="Times New Roman" w:cs="Times New Roman"/>
          <w:spacing w:val="-6"/>
          <w:sz w:val="24"/>
          <w:szCs w:val="24"/>
        </w:rPr>
        <w:t>5.5</w:t>
      </w:r>
      <w:r>
        <w:rPr>
          <w:rFonts w:ascii="Times New Roman" w:hAnsi="Times New Roman" w:eastAsia="Times New Roman" w:cs="Times New Roman"/>
          <w:spacing w:val="17"/>
          <w:sz w:val="24"/>
          <w:szCs w:val="24"/>
        </w:rPr>
        <w:t xml:space="preserve"> </w:t>
      </w:r>
      <w:r>
        <w:rPr>
          <w:spacing w:val="-6"/>
          <w:sz w:val="24"/>
          <w:szCs w:val="24"/>
        </w:rPr>
        <w:t>公里处拦河坝及坝下石仙人坝、支流白塔河上滚水坝等处修建池式鱼道，</w:t>
      </w:r>
      <w:r>
        <w:rPr>
          <w:spacing w:val="-31"/>
          <w:sz w:val="24"/>
          <w:szCs w:val="24"/>
        </w:rPr>
        <w:t xml:space="preserve"> </w:t>
      </w:r>
      <w:r>
        <w:rPr>
          <w:spacing w:val="-6"/>
          <w:sz w:val="24"/>
          <w:szCs w:val="24"/>
        </w:rPr>
        <w:t>恢</w:t>
      </w:r>
      <w:r>
        <w:rPr>
          <w:spacing w:val="-4"/>
          <w:sz w:val="24"/>
          <w:szCs w:val="24"/>
        </w:rPr>
        <w:t>复河流连通性。将车马碧坝址至凤龙湾库尾之间的干流、车马碧库尾以上干</w:t>
      </w:r>
      <w:r>
        <w:rPr>
          <w:spacing w:val="-5"/>
          <w:sz w:val="24"/>
          <w:szCs w:val="24"/>
        </w:rPr>
        <w:t>流、支</w:t>
      </w:r>
      <w:r>
        <w:rPr>
          <w:spacing w:val="-4"/>
          <w:sz w:val="24"/>
          <w:szCs w:val="24"/>
        </w:rPr>
        <w:t>流白塔河汇口至四旗田水库坝址等河段划为鱼类栖息地，不再开发，并采取有</w:t>
      </w:r>
      <w:r>
        <w:rPr>
          <w:spacing w:val="-5"/>
          <w:sz w:val="24"/>
          <w:szCs w:val="24"/>
        </w:rPr>
        <w:t>效措</w:t>
      </w:r>
      <w:r>
        <w:rPr>
          <w:spacing w:val="-4"/>
          <w:sz w:val="24"/>
          <w:szCs w:val="24"/>
        </w:rPr>
        <w:t>施予以保护，截流前完成鱼类栖息地建设。下一步开展鱼道水工模型实验，</w:t>
      </w:r>
      <w:r>
        <w:rPr>
          <w:spacing w:val="-5"/>
          <w:sz w:val="24"/>
          <w:szCs w:val="24"/>
        </w:rPr>
        <w:t>优化设</w:t>
      </w:r>
      <w:r>
        <w:rPr>
          <w:spacing w:val="-4"/>
          <w:sz w:val="24"/>
          <w:szCs w:val="24"/>
        </w:rPr>
        <w:t>计方案，蓄水前建成鱼道，后期开展过鱼效果监测与评估。截流前完成鱼类</w:t>
      </w:r>
      <w:r>
        <w:rPr>
          <w:spacing w:val="-5"/>
          <w:sz w:val="24"/>
          <w:szCs w:val="24"/>
        </w:rPr>
        <w:t>增殖站</w:t>
      </w:r>
      <w:r>
        <w:rPr>
          <w:spacing w:val="-7"/>
          <w:sz w:val="24"/>
          <w:szCs w:val="24"/>
        </w:rPr>
        <w:t>建设，放流对象为滇池金线䰾、云南盘鮈、云南光唇鱼， 开展增殖放流</w:t>
      </w:r>
      <w:r>
        <w:rPr>
          <w:spacing w:val="-8"/>
          <w:sz w:val="24"/>
          <w:szCs w:val="24"/>
        </w:rPr>
        <w:t>标志跟踪监</w:t>
      </w:r>
      <w:r>
        <w:rPr>
          <w:spacing w:val="-7"/>
          <w:sz w:val="24"/>
          <w:szCs w:val="24"/>
        </w:rPr>
        <w:t>测和评估。</w:t>
      </w:r>
    </w:p>
    <w:p w14:paraId="53A97CB0">
      <w:pPr>
        <w:pStyle w:val="2"/>
        <w:spacing w:line="339" w:lineRule="auto"/>
        <w:ind w:left="40" w:right="31" w:firstLine="487"/>
        <w:rPr>
          <w:sz w:val="24"/>
          <w:szCs w:val="24"/>
        </w:rPr>
      </w:pPr>
      <w:r>
        <w:rPr>
          <w:b/>
          <w:bCs/>
          <w:spacing w:val="-6"/>
          <w:sz w:val="24"/>
          <w:szCs w:val="24"/>
        </w:rPr>
        <w:t>（五）做好陆生生态保护工作。</w:t>
      </w:r>
      <w:r>
        <w:rPr>
          <w:spacing w:val="-6"/>
          <w:sz w:val="24"/>
          <w:szCs w:val="24"/>
        </w:rPr>
        <w:t>严格控制施工活动范围，落实水土保持措施，</w:t>
      </w:r>
      <w:r>
        <w:rPr>
          <w:spacing w:val="-4"/>
          <w:sz w:val="24"/>
          <w:szCs w:val="24"/>
        </w:rPr>
        <w:t>重点对渣场、料场、临时施工占地区、施工道路及其影响区和枢纽建筑</w:t>
      </w:r>
      <w:r>
        <w:rPr>
          <w:spacing w:val="-5"/>
          <w:sz w:val="24"/>
          <w:szCs w:val="24"/>
        </w:rPr>
        <w:t>物占地区进</w:t>
      </w:r>
      <w:r>
        <w:rPr>
          <w:spacing w:val="-6"/>
          <w:sz w:val="24"/>
          <w:szCs w:val="24"/>
        </w:rPr>
        <w:t>行水土流失防治。渣场应做到先挡后弃，</w:t>
      </w:r>
      <w:r>
        <w:rPr>
          <w:spacing w:val="-45"/>
          <w:sz w:val="24"/>
          <w:szCs w:val="24"/>
        </w:rPr>
        <w:t xml:space="preserve"> </w:t>
      </w:r>
      <w:r>
        <w:rPr>
          <w:spacing w:val="-6"/>
          <w:sz w:val="24"/>
          <w:szCs w:val="24"/>
        </w:rPr>
        <w:t>工程弃渣应运至规定的</w:t>
      </w:r>
      <w:r>
        <w:rPr>
          <w:spacing w:val="-7"/>
          <w:sz w:val="24"/>
          <w:szCs w:val="24"/>
        </w:rPr>
        <w:t>弃渣场，严禁向马龙河干、支流弃渣。收集施工区表土， 单独堆放，后续回用。</w:t>
      </w:r>
      <w:r>
        <w:rPr>
          <w:spacing w:val="-8"/>
          <w:sz w:val="24"/>
          <w:szCs w:val="24"/>
        </w:rPr>
        <w:t>施工结束后及时对施</w:t>
      </w:r>
      <w:r>
        <w:rPr>
          <w:spacing w:val="-2"/>
          <w:sz w:val="24"/>
          <w:szCs w:val="24"/>
        </w:rPr>
        <w:t>工迹地等实施生态修复，植被恢复优先选择当地适生植物。</w:t>
      </w:r>
    </w:p>
    <w:p w14:paraId="2264CFC4">
      <w:pPr>
        <w:pStyle w:val="2"/>
        <w:spacing w:before="1" w:line="219" w:lineRule="auto"/>
        <w:ind w:right="37"/>
        <w:jc w:val="right"/>
        <w:rPr>
          <w:sz w:val="24"/>
          <w:szCs w:val="24"/>
        </w:rPr>
      </w:pPr>
      <w:r>
        <w:rPr>
          <w:b/>
          <w:bCs/>
          <w:spacing w:val="-7"/>
          <w:sz w:val="24"/>
          <w:szCs w:val="24"/>
        </w:rPr>
        <w:t>（六）加强施工期环境管理，落实水环境保护、生活垃</w:t>
      </w:r>
      <w:r>
        <w:rPr>
          <w:b/>
          <w:bCs/>
          <w:spacing w:val="-8"/>
          <w:sz w:val="24"/>
          <w:szCs w:val="24"/>
        </w:rPr>
        <w:t>圾处置和扬尘、噪声污</w:t>
      </w:r>
    </w:p>
    <w:p w14:paraId="39B2CF51">
      <w:pPr>
        <w:spacing w:line="219" w:lineRule="auto"/>
        <w:rPr>
          <w:sz w:val="24"/>
          <w:szCs w:val="24"/>
        </w:rPr>
        <w:sectPr>
          <w:headerReference r:id="rId77" w:type="default"/>
          <w:footerReference r:id="rId78" w:type="default"/>
          <w:pgSz w:w="11907" w:h="16839"/>
          <w:pgMar w:top="1376" w:right="1669" w:bottom="1061" w:left="1671" w:header="999" w:footer="861" w:gutter="0"/>
          <w:cols w:space="720" w:num="1"/>
        </w:sectPr>
      </w:pPr>
    </w:p>
    <w:p w14:paraId="190A5476">
      <w:pPr>
        <w:spacing w:line="452" w:lineRule="auto"/>
        <w:rPr>
          <w:rFonts w:ascii="Arial"/>
          <w:sz w:val="21"/>
        </w:rPr>
      </w:pPr>
    </w:p>
    <w:p w14:paraId="24639F90">
      <w:pPr>
        <w:pStyle w:val="2"/>
        <w:spacing w:before="78" w:line="339" w:lineRule="auto"/>
        <w:ind w:left="40" w:right="32" w:firstLine="2"/>
        <w:jc w:val="both"/>
        <w:rPr>
          <w:sz w:val="24"/>
          <w:szCs w:val="24"/>
        </w:rPr>
      </w:pPr>
      <w:r>
        <w:rPr>
          <w:b/>
          <w:bCs/>
          <w:spacing w:val="-7"/>
          <w:sz w:val="24"/>
          <w:szCs w:val="24"/>
        </w:rPr>
        <w:t>染防治等措施。</w:t>
      </w:r>
      <w:r>
        <w:rPr>
          <w:spacing w:val="-7"/>
          <w:sz w:val="24"/>
          <w:szCs w:val="24"/>
        </w:rPr>
        <w:t>施工废水、生活污水经处理后循环利用或回用，</w:t>
      </w:r>
      <w:r>
        <w:rPr>
          <w:spacing w:val="-37"/>
          <w:sz w:val="24"/>
          <w:szCs w:val="24"/>
        </w:rPr>
        <w:t xml:space="preserve"> </w:t>
      </w:r>
      <w:r>
        <w:rPr>
          <w:spacing w:val="-7"/>
          <w:sz w:val="24"/>
          <w:szCs w:val="24"/>
        </w:rPr>
        <w:t>生活垃圾统一收集</w:t>
      </w:r>
      <w:r>
        <w:rPr>
          <w:spacing w:val="-4"/>
          <w:sz w:val="24"/>
          <w:szCs w:val="24"/>
        </w:rPr>
        <w:t>后委托当地环卫部门定期清运，采取优化施工工艺、洒水降尘、密封运</w:t>
      </w:r>
      <w:r>
        <w:rPr>
          <w:spacing w:val="-5"/>
          <w:sz w:val="24"/>
          <w:szCs w:val="24"/>
        </w:rPr>
        <w:t>输等措施控</w:t>
      </w:r>
      <w:r>
        <w:rPr>
          <w:spacing w:val="-4"/>
          <w:sz w:val="24"/>
          <w:szCs w:val="24"/>
        </w:rPr>
        <w:t>制施工扬尘，采取优化施工时间、选用低噪声设备、设置隔声屏等措施</w:t>
      </w:r>
      <w:r>
        <w:rPr>
          <w:spacing w:val="-5"/>
          <w:sz w:val="24"/>
          <w:szCs w:val="24"/>
        </w:rPr>
        <w:t>控制噪声污</w:t>
      </w:r>
      <w:r>
        <w:rPr>
          <w:spacing w:val="-12"/>
          <w:sz w:val="24"/>
          <w:szCs w:val="24"/>
        </w:rPr>
        <w:t>染。</w:t>
      </w:r>
    </w:p>
    <w:p w14:paraId="3E533AF1">
      <w:pPr>
        <w:pStyle w:val="2"/>
        <w:spacing w:before="1" w:line="338" w:lineRule="auto"/>
        <w:ind w:left="40" w:right="30" w:firstLine="487"/>
        <w:jc w:val="both"/>
        <w:rPr>
          <w:sz w:val="24"/>
          <w:szCs w:val="24"/>
        </w:rPr>
      </w:pPr>
      <w:r>
        <w:rPr>
          <w:b/>
          <w:bCs/>
          <w:spacing w:val="-6"/>
          <w:sz w:val="24"/>
          <w:szCs w:val="24"/>
        </w:rPr>
        <w:t>（七）做好移民安置环境保护工作。</w:t>
      </w:r>
      <w:r>
        <w:rPr>
          <w:spacing w:val="-6"/>
          <w:sz w:val="24"/>
          <w:szCs w:val="24"/>
        </w:rPr>
        <w:t>需结合当地自然条件和土地资源条件，合</w:t>
      </w:r>
      <w:r>
        <w:rPr>
          <w:spacing w:val="-4"/>
          <w:sz w:val="24"/>
          <w:szCs w:val="24"/>
        </w:rPr>
        <w:t>理选择具体的移民安置区及生产方式，加强安置地生态保护、水土流失</w:t>
      </w:r>
      <w:r>
        <w:rPr>
          <w:spacing w:val="-5"/>
          <w:sz w:val="24"/>
          <w:szCs w:val="24"/>
        </w:rPr>
        <w:t>防治、水环</w:t>
      </w:r>
      <w:r>
        <w:rPr>
          <w:spacing w:val="-2"/>
          <w:sz w:val="24"/>
          <w:szCs w:val="24"/>
        </w:rPr>
        <w:t>境保护与垃圾处置等措施。落实迁复建工程环保措施。</w:t>
      </w:r>
    </w:p>
    <w:p w14:paraId="19C64D4E">
      <w:pPr>
        <w:pStyle w:val="2"/>
        <w:spacing w:before="5" w:line="338" w:lineRule="auto"/>
        <w:ind w:left="39" w:right="30" w:firstLine="480"/>
        <w:rPr>
          <w:sz w:val="24"/>
          <w:szCs w:val="24"/>
        </w:rPr>
      </w:pPr>
      <w:r>
        <w:rPr>
          <w:spacing w:val="-4"/>
          <w:sz w:val="24"/>
          <w:szCs w:val="24"/>
        </w:rPr>
        <w:t>三、工程建设必须严格执行环境保护设施与主体工</w:t>
      </w:r>
      <w:r>
        <w:rPr>
          <w:spacing w:val="-5"/>
          <w:sz w:val="24"/>
          <w:szCs w:val="24"/>
        </w:rPr>
        <w:t>程同时设计、同时施工、同</w:t>
      </w:r>
      <w:r>
        <w:rPr>
          <w:spacing w:val="-4"/>
          <w:sz w:val="24"/>
          <w:szCs w:val="24"/>
        </w:rPr>
        <w:t>时投产使用的环境保护“三同时”制度，落实各项环境保护措施。落实建设单</w:t>
      </w:r>
      <w:r>
        <w:rPr>
          <w:spacing w:val="-5"/>
          <w:sz w:val="24"/>
          <w:szCs w:val="24"/>
        </w:rPr>
        <w:t>位内</w:t>
      </w:r>
      <w:r>
        <w:rPr>
          <w:spacing w:val="-6"/>
          <w:sz w:val="24"/>
          <w:szCs w:val="24"/>
        </w:rPr>
        <w:t>部环境管理部门、人员和制度，</w:t>
      </w:r>
      <w:r>
        <w:rPr>
          <w:spacing w:val="-49"/>
          <w:sz w:val="24"/>
          <w:szCs w:val="24"/>
        </w:rPr>
        <w:t xml:space="preserve"> </w:t>
      </w:r>
      <w:r>
        <w:rPr>
          <w:spacing w:val="-6"/>
          <w:sz w:val="24"/>
          <w:szCs w:val="24"/>
        </w:rPr>
        <w:t>进一步明确环境保护责任。根据批复的环保</w:t>
      </w:r>
      <w:r>
        <w:rPr>
          <w:spacing w:val="-7"/>
          <w:sz w:val="24"/>
          <w:szCs w:val="24"/>
        </w:rPr>
        <w:t>措施重新核定环保投资概算，落实环保投资。落实环保设计合同，</w:t>
      </w:r>
      <w:r>
        <w:rPr>
          <w:spacing w:val="-16"/>
          <w:sz w:val="24"/>
          <w:szCs w:val="24"/>
        </w:rPr>
        <w:t xml:space="preserve"> </w:t>
      </w:r>
      <w:r>
        <w:rPr>
          <w:spacing w:val="-7"/>
          <w:sz w:val="24"/>
          <w:szCs w:val="24"/>
        </w:rPr>
        <w:t>同步进行环境保护初步</w:t>
      </w:r>
      <w:r>
        <w:rPr>
          <w:spacing w:val="-6"/>
          <w:sz w:val="24"/>
          <w:szCs w:val="24"/>
        </w:rPr>
        <w:t>设计、招标设计和技术施工设计。开展环境保护工程招标，</w:t>
      </w:r>
      <w:r>
        <w:rPr>
          <w:spacing w:val="-49"/>
          <w:sz w:val="24"/>
          <w:szCs w:val="24"/>
        </w:rPr>
        <w:t xml:space="preserve"> </w:t>
      </w:r>
      <w:r>
        <w:rPr>
          <w:spacing w:val="-6"/>
          <w:sz w:val="24"/>
          <w:szCs w:val="24"/>
        </w:rPr>
        <w:t>将环保措施纳入</w:t>
      </w:r>
      <w:r>
        <w:rPr>
          <w:spacing w:val="-7"/>
          <w:sz w:val="24"/>
          <w:szCs w:val="24"/>
        </w:rPr>
        <w:t>施工承</w:t>
      </w:r>
      <w:r>
        <w:rPr>
          <w:spacing w:val="-4"/>
          <w:sz w:val="24"/>
          <w:szCs w:val="24"/>
        </w:rPr>
        <w:t>包合同中。严格落实施工期环境监测和环境监理工作，定期向当地环保部</w:t>
      </w:r>
      <w:r>
        <w:rPr>
          <w:spacing w:val="-5"/>
          <w:sz w:val="24"/>
          <w:szCs w:val="24"/>
        </w:rPr>
        <w:t>门报送环</w:t>
      </w:r>
      <w:r>
        <w:rPr>
          <w:spacing w:val="-10"/>
          <w:sz w:val="24"/>
          <w:szCs w:val="24"/>
        </w:rPr>
        <w:t xml:space="preserve">境监理报告。落实各项环境监测计划， 增加水质、生态等监测内容、 </w:t>
      </w:r>
      <w:r>
        <w:rPr>
          <w:spacing w:val="-11"/>
          <w:sz w:val="24"/>
          <w:szCs w:val="24"/>
        </w:rPr>
        <w:t>频次和费用。</w:t>
      </w:r>
      <w:r>
        <w:rPr>
          <w:spacing w:val="-6"/>
          <w:sz w:val="24"/>
          <w:szCs w:val="24"/>
        </w:rPr>
        <w:t>工程建成后，须按规定程序实施竣工环境保护验收。经验收合格</w:t>
      </w:r>
      <w:r>
        <w:rPr>
          <w:spacing w:val="-7"/>
          <w:sz w:val="24"/>
          <w:szCs w:val="24"/>
        </w:rPr>
        <w:t>后，</w:t>
      </w:r>
      <w:r>
        <w:rPr>
          <w:spacing w:val="-44"/>
          <w:sz w:val="24"/>
          <w:szCs w:val="24"/>
        </w:rPr>
        <w:t xml:space="preserve"> </w:t>
      </w:r>
      <w:r>
        <w:rPr>
          <w:spacing w:val="-7"/>
          <w:sz w:val="24"/>
          <w:szCs w:val="24"/>
        </w:rPr>
        <w:t>项目方可正式</w:t>
      </w:r>
      <w:r>
        <w:rPr>
          <w:spacing w:val="-8"/>
          <w:sz w:val="24"/>
          <w:szCs w:val="24"/>
        </w:rPr>
        <w:t>投入使用。</w:t>
      </w:r>
    </w:p>
    <w:p w14:paraId="73A23FE9">
      <w:pPr>
        <w:pStyle w:val="2"/>
        <w:spacing w:before="2" w:line="337" w:lineRule="auto"/>
        <w:ind w:left="37" w:right="30" w:firstLine="504"/>
        <w:rPr>
          <w:sz w:val="24"/>
          <w:szCs w:val="24"/>
        </w:rPr>
      </w:pPr>
      <w:r>
        <w:rPr>
          <w:spacing w:val="-5"/>
          <w:sz w:val="24"/>
          <w:szCs w:val="24"/>
        </w:rPr>
        <w:t>四、你局在开展可行性研究工作时，应将各项环境保护措施纳入可行性研究报</w:t>
      </w:r>
      <w:r>
        <w:rPr>
          <w:spacing w:val="-7"/>
          <w:sz w:val="24"/>
          <w:szCs w:val="24"/>
        </w:rPr>
        <w:t>告。环境影响报告书经批准后， 项目的性质、规模、地点或者防治</w:t>
      </w:r>
      <w:r>
        <w:rPr>
          <w:spacing w:val="-8"/>
          <w:sz w:val="24"/>
          <w:szCs w:val="24"/>
        </w:rPr>
        <w:t>污染、防止生态</w:t>
      </w:r>
      <w:r>
        <w:rPr>
          <w:spacing w:val="-4"/>
          <w:sz w:val="24"/>
          <w:szCs w:val="24"/>
        </w:rPr>
        <w:t>破坏的措施发生重大变动的，应当重新报批该项目的环境影响报告书。自环境</w:t>
      </w:r>
      <w:r>
        <w:rPr>
          <w:spacing w:val="-5"/>
          <w:sz w:val="24"/>
          <w:szCs w:val="24"/>
        </w:rPr>
        <w:t>影响</w:t>
      </w:r>
      <w:r>
        <w:rPr>
          <w:spacing w:val="-1"/>
          <w:sz w:val="24"/>
          <w:szCs w:val="24"/>
        </w:rPr>
        <w:t xml:space="preserve">报告书批复文件批准之日起，如超过 </w:t>
      </w:r>
      <w:r>
        <w:rPr>
          <w:rFonts w:ascii="Times New Roman" w:hAnsi="Times New Roman" w:eastAsia="Times New Roman" w:cs="Times New Roman"/>
          <w:spacing w:val="-1"/>
          <w:sz w:val="24"/>
          <w:szCs w:val="24"/>
        </w:rPr>
        <w:t xml:space="preserve">5  </w:t>
      </w:r>
      <w:r>
        <w:rPr>
          <w:spacing w:val="-1"/>
          <w:sz w:val="24"/>
          <w:szCs w:val="24"/>
        </w:rPr>
        <w:t>年方决定工程开工建设的，环境影响报告</w:t>
      </w:r>
      <w:r>
        <w:rPr>
          <w:spacing w:val="-2"/>
          <w:sz w:val="24"/>
          <w:szCs w:val="24"/>
        </w:rPr>
        <w:t>书应当报我部重新审核。项目竣工环保验收后运行</w:t>
      </w:r>
      <w:r>
        <w:rPr>
          <w:spacing w:val="-5"/>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7"/>
          <w:w w:val="101"/>
          <w:sz w:val="24"/>
          <w:szCs w:val="24"/>
        </w:rPr>
        <w:t xml:space="preserve"> </w:t>
      </w:r>
      <w:r>
        <w:rPr>
          <w:spacing w:val="-2"/>
          <w:sz w:val="24"/>
          <w:szCs w:val="24"/>
        </w:rPr>
        <w:t>至</w:t>
      </w:r>
      <w:r>
        <w:rPr>
          <w:spacing w:val="-23"/>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6"/>
          <w:w w:val="101"/>
          <w:sz w:val="24"/>
          <w:szCs w:val="24"/>
        </w:rPr>
        <w:t xml:space="preserve"> </w:t>
      </w:r>
      <w:r>
        <w:rPr>
          <w:spacing w:val="-2"/>
          <w:sz w:val="24"/>
          <w:szCs w:val="24"/>
        </w:rPr>
        <w:t>年时，应开展环境影响</w:t>
      </w:r>
      <w:r>
        <w:rPr>
          <w:spacing w:val="-6"/>
          <w:sz w:val="24"/>
          <w:szCs w:val="24"/>
        </w:rPr>
        <w:t>后评价工作。</w:t>
      </w:r>
    </w:p>
    <w:p w14:paraId="256BDCA2">
      <w:pPr>
        <w:pStyle w:val="2"/>
        <w:spacing w:before="9" w:line="341" w:lineRule="auto"/>
        <w:ind w:left="85" w:right="46" w:firstLine="438"/>
        <w:rPr>
          <w:sz w:val="24"/>
          <w:szCs w:val="24"/>
        </w:rPr>
      </w:pPr>
      <w:r>
        <w:rPr>
          <w:spacing w:val="-5"/>
          <w:sz w:val="24"/>
          <w:szCs w:val="24"/>
        </w:rPr>
        <w:t>五、我部委托西南环境保护督查中心和云南省环境保护厅，分别组织开展该项目的“三同时”监督检查和监督管理工作。</w:t>
      </w:r>
    </w:p>
    <w:p w14:paraId="5C579174">
      <w:pPr>
        <w:pStyle w:val="2"/>
        <w:spacing w:before="12" w:line="233" w:lineRule="auto"/>
        <w:ind w:left="37"/>
        <w:rPr>
          <w:sz w:val="30"/>
          <w:szCs w:val="30"/>
        </w:rPr>
      </w:pPr>
      <w:bookmarkStart w:id="21" w:name="bookmark20"/>
      <w:bookmarkEnd w:id="21"/>
      <w:r>
        <w:rPr>
          <w:rFonts w:ascii="Times New Roman" w:hAnsi="Times New Roman" w:eastAsia="Times New Roman" w:cs="Times New Roman"/>
          <w:b/>
          <w:bCs/>
          <w:spacing w:val="-2"/>
          <w:sz w:val="30"/>
          <w:szCs w:val="30"/>
        </w:rPr>
        <w:t xml:space="preserve">4.3 </w:t>
      </w:r>
      <w:r>
        <w:rPr>
          <w:b/>
          <w:bCs/>
          <w:spacing w:val="-2"/>
          <w:sz w:val="30"/>
          <w:szCs w:val="30"/>
        </w:rPr>
        <w:t>验收执行标准</w:t>
      </w:r>
    </w:p>
    <w:p w14:paraId="496C8DA2">
      <w:pPr>
        <w:pStyle w:val="2"/>
        <w:spacing w:before="232" w:line="346" w:lineRule="auto"/>
        <w:ind w:left="39" w:right="29" w:firstLine="479"/>
        <w:jc w:val="both"/>
        <w:rPr>
          <w:sz w:val="24"/>
          <w:szCs w:val="24"/>
        </w:rPr>
      </w:pPr>
      <w:r>
        <w:rPr>
          <w:spacing w:val="3"/>
          <w:sz w:val="24"/>
          <w:szCs w:val="24"/>
        </w:rPr>
        <w:t>验收期间的环境质量评价执行现行有效的环境质量标准。验收期间的</w:t>
      </w:r>
      <w:r>
        <w:rPr>
          <w:spacing w:val="2"/>
          <w:sz w:val="24"/>
          <w:szCs w:val="24"/>
        </w:rPr>
        <w:t>污染物</w:t>
      </w:r>
      <w:r>
        <w:rPr>
          <w:spacing w:val="-4"/>
          <w:sz w:val="24"/>
          <w:szCs w:val="24"/>
        </w:rPr>
        <w:t>排放标准采用《云南省曲靖市车马碧水库工程环境影响报告书》及其审批部</w:t>
      </w:r>
      <w:r>
        <w:rPr>
          <w:spacing w:val="-5"/>
          <w:sz w:val="24"/>
          <w:szCs w:val="24"/>
        </w:rPr>
        <w:t>门规定</w:t>
      </w:r>
      <w:r>
        <w:rPr>
          <w:spacing w:val="-2"/>
          <w:sz w:val="24"/>
          <w:szCs w:val="24"/>
        </w:rPr>
        <w:t>的评价标准（见附件</w:t>
      </w:r>
      <w:r>
        <w:rPr>
          <w:spacing w:val="-56"/>
          <w:sz w:val="24"/>
          <w:szCs w:val="24"/>
        </w:rPr>
        <w:t xml:space="preserve"> </w:t>
      </w:r>
      <w:r>
        <w:rPr>
          <w:rFonts w:ascii="Times New Roman" w:hAnsi="Times New Roman" w:eastAsia="Times New Roman" w:cs="Times New Roman"/>
          <w:spacing w:val="-2"/>
          <w:sz w:val="24"/>
          <w:szCs w:val="24"/>
        </w:rPr>
        <w:t>4</w:t>
      </w:r>
      <w:r>
        <w:rPr>
          <w:spacing w:val="-52"/>
          <w:sz w:val="24"/>
          <w:szCs w:val="24"/>
        </w:rPr>
        <w:t>），</w:t>
      </w:r>
      <w:r>
        <w:rPr>
          <w:spacing w:val="-2"/>
          <w:sz w:val="24"/>
          <w:szCs w:val="24"/>
        </w:rPr>
        <w:t>环评批复后新修订或发布的标准作为参考标准。</w:t>
      </w:r>
    </w:p>
    <w:p w14:paraId="067C1C45">
      <w:pPr>
        <w:spacing w:line="346" w:lineRule="auto"/>
        <w:rPr>
          <w:sz w:val="24"/>
          <w:szCs w:val="24"/>
        </w:rPr>
        <w:sectPr>
          <w:footerReference r:id="rId79" w:type="default"/>
          <w:pgSz w:w="11907" w:h="16839"/>
          <w:pgMar w:top="1376" w:right="1669" w:bottom="1061" w:left="1671" w:header="999" w:footer="861" w:gutter="0"/>
          <w:cols w:space="720" w:num="1"/>
        </w:sectPr>
      </w:pPr>
    </w:p>
    <w:p w14:paraId="03F39BD5">
      <w:pPr>
        <w:spacing w:line="412" w:lineRule="auto"/>
        <w:rPr>
          <w:rFonts w:ascii="Arial"/>
          <w:sz w:val="21"/>
        </w:rPr>
      </w:pPr>
    </w:p>
    <w:p w14:paraId="0F17A574">
      <w:pPr>
        <w:pStyle w:val="2"/>
        <w:spacing w:before="87" w:line="227" w:lineRule="auto"/>
        <w:ind w:left="33"/>
        <w:rPr>
          <w:sz w:val="27"/>
          <w:szCs w:val="27"/>
        </w:rPr>
      </w:pPr>
      <w:r>
        <w:rPr>
          <w:rFonts w:ascii="Arial" w:hAnsi="Arial" w:eastAsia="Arial" w:cs="Arial"/>
          <w:spacing w:val="7"/>
          <w:position w:val="1"/>
          <w:sz w:val="21"/>
          <w:szCs w:val="21"/>
        </w:rPr>
        <w:t xml:space="preserve">4.3.1     </w:t>
      </w:r>
      <w:r>
        <w:rPr>
          <w:b/>
          <w:bCs/>
          <w:spacing w:val="7"/>
          <w:position w:val="-1"/>
          <w:sz w:val="27"/>
          <w:szCs w:val="27"/>
        </w:rPr>
        <w:t>环境质量标准</w:t>
      </w:r>
    </w:p>
    <w:p w14:paraId="4C7D055E">
      <w:pPr>
        <w:pStyle w:val="2"/>
        <w:spacing w:before="262" w:line="338" w:lineRule="auto"/>
        <w:ind w:left="40" w:right="228" w:firstLine="479"/>
        <w:rPr>
          <w:sz w:val="24"/>
          <w:szCs w:val="24"/>
        </w:rPr>
      </w:pPr>
      <w:r>
        <w:rPr>
          <w:spacing w:val="3"/>
          <w:sz w:val="24"/>
          <w:szCs w:val="24"/>
        </w:rPr>
        <w:t>地表水环境：调出区马龙河流域干支流、马龙河汇口附</w:t>
      </w:r>
      <w:r>
        <w:rPr>
          <w:spacing w:val="2"/>
          <w:sz w:val="24"/>
          <w:szCs w:val="24"/>
        </w:rPr>
        <w:t>近牛栏江干流段执行</w:t>
      </w:r>
      <w:r>
        <w:rPr>
          <w:spacing w:val="-5"/>
          <w:sz w:val="24"/>
          <w:szCs w:val="24"/>
        </w:rPr>
        <w:t>《地表水环境质量标准》（</w:t>
      </w:r>
      <w:r>
        <w:rPr>
          <w:rFonts w:ascii="Times New Roman" w:hAnsi="Times New Roman" w:eastAsia="Times New Roman" w:cs="Times New Roman"/>
          <w:spacing w:val="-5"/>
          <w:sz w:val="24"/>
          <w:szCs w:val="24"/>
        </w:rPr>
        <w:t>GB3838-20</w:t>
      </w:r>
      <w:r>
        <w:rPr>
          <w:rFonts w:ascii="Times New Roman" w:hAnsi="Times New Roman" w:eastAsia="Times New Roman" w:cs="Times New Roman"/>
          <w:spacing w:val="-6"/>
          <w:sz w:val="24"/>
          <w:szCs w:val="24"/>
        </w:rPr>
        <w:t>02</w:t>
      </w:r>
      <w:r>
        <w:rPr>
          <w:spacing w:val="-6"/>
          <w:sz w:val="24"/>
          <w:szCs w:val="24"/>
        </w:rPr>
        <w:t>）Ⅲ类水标准。</w:t>
      </w:r>
    </w:p>
    <w:p w14:paraId="661630D9">
      <w:pPr>
        <w:pStyle w:val="2"/>
        <w:spacing w:line="233" w:lineRule="auto"/>
        <w:ind w:left="519"/>
        <w:rPr>
          <w:sz w:val="24"/>
          <w:szCs w:val="24"/>
        </w:rPr>
      </w:pPr>
      <w:r>
        <w:rPr>
          <w:spacing w:val="-4"/>
          <w:sz w:val="24"/>
          <w:szCs w:val="24"/>
        </w:rPr>
        <w:t>地下水环境：执行《地下水质量标准》（</w:t>
      </w:r>
      <w:r>
        <w:rPr>
          <w:rFonts w:ascii="Times New Roman" w:hAnsi="Times New Roman" w:eastAsia="Times New Roman" w:cs="Times New Roman"/>
          <w:spacing w:val="-4"/>
          <w:sz w:val="24"/>
          <w:szCs w:val="24"/>
        </w:rPr>
        <w:t>GB/T14848-2017</w:t>
      </w:r>
      <w:r>
        <w:rPr>
          <w:spacing w:val="-4"/>
          <w:sz w:val="24"/>
          <w:szCs w:val="24"/>
        </w:rPr>
        <w:t>）Ⅲ类</w:t>
      </w:r>
      <w:r>
        <w:rPr>
          <w:spacing w:val="-5"/>
          <w:sz w:val="24"/>
          <w:szCs w:val="24"/>
        </w:rPr>
        <w:t>标准。</w:t>
      </w:r>
    </w:p>
    <w:p w14:paraId="7D8F8128">
      <w:pPr>
        <w:pStyle w:val="2"/>
        <w:spacing w:before="137" w:line="233" w:lineRule="auto"/>
        <w:ind w:left="519"/>
        <w:rPr>
          <w:sz w:val="24"/>
          <w:szCs w:val="24"/>
        </w:rPr>
      </w:pPr>
      <w:r>
        <w:rPr>
          <w:spacing w:val="-5"/>
          <w:sz w:val="24"/>
          <w:szCs w:val="24"/>
        </w:rPr>
        <w:t>环境空气：执行《环境空气质量标准》（</w:t>
      </w:r>
      <w:r>
        <w:rPr>
          <w:rFonts w:ascii="Times New Roman" w:hAnsi="Times New Roman" w:eastAsia="Times New Roman" w:cs="Times New Roman"/>
          <w:spacing w:val="-5"/>
          <w:sz w:val="24"/>
          <w:szCs w:val="24"/>
        </w:rPr>
        <w:t>GB3095-2012</w:t>
      </w:r>
      <w:r>
        <w:rPr>
          <w:spacing w:val="-5"/>
          <w:sz w:val="24"/>
          <w:szCs w:val="24"/>
        </w:rPr>
        <w:t>）二级标准。</w:t>
      </w:r>
    </w:p>
    <w:p w14:paraId="207B7A0A">
      <w:pPr>
        <w:pStyle w:val="2"/>
        <w:spacing w:before="136" w:line="339" w:lineRule="auto"/>
        <w:ind w:left="43" w:right="236" w:firstLine="480"/>
        <w:rPr>
          <w:sz w:val="24"/>
          <w:szCs w:val="24"/>
        </w:rPr>
      </w:pPr>
      <w:r>
        <w:rPr>
          <w:spacing w:val="-12"/>
          <w:sz w:val="24"/>
          <w:szCs w:val="24"/>
        </w:rPr>
        <w:t>声环境：执行《声环境质量标准》（</w:t>
      </w:r>
      <w:r>
        <w:rPr>
          <w:rFonts w:ascii="Times New Roman" w:hAnsi="Times New Roman" w:eastAsia="Times New Roman" w:cs="Times New Roman"/>
          <w:spacing w:val="-12"/>
          <w:sz w:val="24"/>
          <w:szCs w:val="24"/>
        </w:rPr>
        <w:t>GB3096-2008</w:t>
      </w:r>
      <w:r>
        <w:rPr>
          <w:spacing w:val="-12"/>
          <w:sz w:val="24"/>
          <w:szCs w:val="24"/>
        </w:rPr>
        <w:t>）</w:t>
      </w:r>
      <w:r>
        <w:rPr>
          <w:rFonts w:ascii="Times New Roman" w:hAnsi="Times New Roman" w:eastAsia="Times New Roman" w:cs="Times New Roman"/>
          <w:spacing w:val="-12"/>
          <w:sz w:val="24"/>
          <w:szCs w:val="24"/>
        </w:rPr>
        <w:t xml:space="preserve">1 </w:t>
      </w:r>
      <w:r>
        <w:rPr>
          <w:spacing w:val="-13"/>
          <w:sz w:val="24"/>
          <w:szCs w:val="24"/>
        </w:rPr>
        <w:t>类标准，涉及交通干线（二</w:t>
      </w:r>
      <w:r>
        <w:rPr>
          <w:spacing w:val="-3"/>
          <w:sz w:val="24"/>
          <w:szCs w:val="24"/>
        </w:rPr>
        <w:t>级路及以上）道路两侧</w:t>
      </w:r>
      <w:r>
        <w:rPr>
          <w:spacing w:val="-57"/>
          <w:sz w:val="24"/>
          <w:szCs w:val="24"/>
        </w:rPr>
        <w:t xml:space="preserve"> </w:t>
      </w:r>
      <w:r>
        <w:rPr>
          <w:rFonts w:ascii="Times New Roman" w:hAnsi="Times New Roman" w:eastAsia="Times New Roman" w:cs="Times New Roman"/>
          <w:spacing w:val="-3"/>
          <w:sz w:val="24"/>
          <w:szCs w:val="24"/>
        </w:rPr>
        <w:t>45m</w:t>
      </w:r>
      <w:r>
        <w:rPr>
          <w:rFonts w:ascii="Times New Roman" w:hAnsi="Times New Roman" w:eastAsia="Times New Roman" w:cs="Times New Roman"/>
          <w:spacing w:val="35"/>
          <w:w w:val="101"/>
          <w:sz w:val="24"/>
          <w:szCs w:val="24"/>
        </w:rPr>
        <w:t xml:space="preserve"> </w:t>
      </w:r>
      <w:r>
        <w:rPr>
          <w:spacing w:val="-3"/>
          <w:sz w:val="24"/>
          <w:szCs w:val="24"/>
        </w:rPr>
        <w:t>以内区域执行</w:t>
      </w:r>
      <w:r>
        <w:rPr>
          <w:spacing w:val="-56"/>
          <w:sz w:val="24"/>
          <w:szCs w:val="24"/>
        </w:rPr>
        <w:t xml:space="preserve"> </w:t>
      </w:r>
      <w:r>
        <w:rPr>
          <w:rFonts w:ascii="Times New Roman" w:hAnsi="Times New Roman" w:eastAsia="Times New Roman" w:cs="Times New Roman"/>
          <w:spacing w:val="-3"/>
          <w:sz w:val="24"/>
          <w:szCs w:val="24"/>
        </w:rPr>
        <w:t xml:space="preserve">4a </w:t>
      </w:r>
      <w:r>
        <w:rPr>
          <w:spacing w:val="-3"/>
          <w:sz w:val="24"/>
          <w:szCs w:val="24"/>
        </w:rPr>
        <w:t>类标</w:t>
      </w:r>
      <w:r>
        <w:rPr>
          <w:spacing w:val="-4"/>
          <w:sz w:val="24"/>
          <w:szCs w:val="24"/>
        </w:rPr>
        <w:t>准。</w:t>
      </w:r>
    </w:p>
    <w:p w14:paraId="6C72ED8B">
      <w:pPr>
        <w:pStyle w:val="2"/>
        <w:spacing w:before="85" w:line="227" w:lineRule="auto"/>
        <w:ind w:left="33"/>
        <w:rPr>
          <w:sz w:val="27"/>
          <w:szCs w:val="27"/>
        </w:rPr>
      </w:pPr>
      <w:r>
        <w:rPr>
          <w:rFonts w:ascii="Arial" w:hAnsi="Arial" w:eastAsia="Arial" w:cs="Arial"/>
          <w:spacing w:val="9"/>
          <w:position w:val="1"/>
          <w:sz w:val="21"/>
          <w:szCs w:val="21"/>
        </w:rPr>
        <w:t>4.3.2</w:t>
      </w:r>
      <w:r>
        <w:rPr>
          <w:rFonts w:ascii="Arial" w:hAnsi="Arial" w:eastAsia="Arial" w:cs="Arial"/>
          <w:spacing w:val="4"/>
          <w:position w:val="1"/>
          <w:sz w:val="21"/>
          <w:szCs w:val="21"/>
        </w:rPr>
        <w:t xml:space="preserve">     </w:t>
      </w:r>
      <w:r>
        <w:rPr>
          <w:b/>
          <w:bCs/>
          <w:spacing w:val="9"/>
          <w:position w:val="-1"/>
          <w:sz w:val="27"/>
          <w:szCs w:val="27"/>
        </w:rPr>
        <w:t>污染物排放标准</w:t>
      </w:r>
    </w:p>
    <w:p w14:paraId="53E6066A">
      <w:pPr>
        <w:pStyle w:val="2"/>
        <w:spacing w:before="262" w:line="220" w:lineRule="auto"/>
        <w:ind w:left="518"/>
        <w:rPr>
          <w:sz w:val="24"/>
          <w:szCs w:val="24"/>
        </w:rPr>
      </w:pPr>
      <w:r>
        <w:rPr>
          <w:spacing w:val="-2"/>
          <w:sz w:val="24"/>
          <w:szCs w:val="24"/>
        </w:rPr>
        <w:t>废水：施工期产生的生产废水和生活污水经处理后回用，禁止外排。</w:t>
      </w:r>
    </w:p>
    <w:p w14:paraId="20363E27">
      <w:pPr>
        <w:pStyle w:val="2"/>
        <w:spacing w:before="154" w:line="233" w:lineRule="auto"/>
        <w:jc w:val="right"/>
        <w:rPr>
          <w:sz w:val="24"/>
          <w:szCs w:val="24"/>
        </w:rPr>
      </w:pPr>
      <w:r>
        <w:rPr>
          <w:spacing w:val="-11"/>
          <w:sz w:val="24"/>
          <w:szCs w:val="24"/>
        </w:rPr>
        <w:t>大气：施工期大气污染物排放执行《大气污染物综合排放标准》（</w:t>
      </w:r>
      <w:r>
        <w:rPr>
          <w:rFonts w:ascii="Times New Roman" w:hAnsi="Times New Roman" w:eastAsia="Times New Roman" w:cs="Times New Roman"/>
          <w:spacing w:val="-11"/>
          <w:sz w:val="24"/>
          <w:szCs w:val="24"/>
        </w:rPr>
        <w:t>GB16297-1996</w:t>
      </w:r>
      <w:r>
        <w:rPr>
          <w:spacing w:val="-11"/>
          <w:sz w:val="24"/>
          <w:szCs w:val="24"/>
        </w:rPr>
        <w:t>）</w:t>
      </w:r>
    </w:p>
    <w:p w14:paraId="0E66ACA8">
      <w:pPr>
        <w:pStyle w:val="2"/>
        <w:spacing w:before="138" w:line="233" w:lineRule="auto"/>
        <w:ind w:left="38"/>
        <w:rPr>
          <w:sz w:val="24"/>
          <w:szCs w:val="24"/>
        </w:rPr>
      </w:pPr>
      <w:r>
        <w:rPr>
          <w:spacing w:val="-6"/>
          <w:sz w:val="24"/>
          <w:szCs w:val="24"/>
        </w:rPr>
        <w:t>表</w:t>
      </w:r>
      <w:r>
        <w:rPr>
          <w:spacing w:val="-41"/>
          <w:sz w:val="24"/>
          <w:szCs w:val="24"/>
        </w:rPr>
        <w:t xml:space="preserve"> </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31"/>
          <w:w w:val="101"/>
          <w:sz w:val="24"/>
          <w:szCs w:val="24"/>
        </w:rPr>
        <w:t xml:space="preserve"> </w:t>
      </w:r>
      <w:r>
        <w:rPr>
          <w:spacing w:val="-6"/>
          <w:sz w:val="24"/>
          <w:szCs w:val="24"/>
        </w:rPr>
        <w:t>中无组织排放监控浓度限值。</w:t>
      </w:r>
    </w:p>
    <w:p w14:paraId="6C2EE377">
      <w:pPr>
        <w:pStyle w:val="2"/>
        <w:spacing w:before="137" w:line="349" w:lineRule="auto"/>
        <w:ind w:left="45" w:right="239" w:firstLine="484"/>
        <w:rPr>
          <w:sz w:val="24"/>
          <w:szCs w:val="24"/>
        </w:rPr>
      </w:pPr>
      <w:r>
        <w:rPr>
          <w:spacing w:val="10"/>
          <w:sz w:val="24"/>
          <w:szCs w:val="24"/>
        </w:rPr>
        <w:t>噪声：施工期建筑施工场界噪声执行《建筑施</w:t>
      </w:r>
      <w:r>
        <w:rPr>
          <w:spacing w:val="9"/>
          <w:sz w:val="24"/>
          <w:szCs w:val="24"/>
        </w:rPr>
        <w:t>工场界环境噪声排放标准》</w:t>
      </w:r>
      <w:r>
        <w:rPr>
          <w:sz w:val="24"/>
          <w:szCs w:val="24"/>
        </w:rPr>
        <w:t xml:space="preserve"> </w:t>
      </w:r>
      <w:r>
        <w:rPr>
          <w:spacing w:val="-8"/>
          <w:sz w:val="24"/>
          <w:szCs w:val="24"/>
        </w:rPr>
        <w:t>（</w:t>
      </w:r>
      <w:r>
        <w:rPr>
          <w:rFonts w:ascii="Times New Roman" w:hAnsi="Times New Roman" w:eastAsia="Times New Roman" w:cs="Times New Roman"/>
          <w:spacing w:val="-8"/>
          <w:sz w:val="24"/>
          <w:szCs w:val="24"/>
        </w:rPr>
        <w:t>GB12523-2011</w:t>
      </w:r>
      <w:r>
        <w:rPr>
          <w:spacing w:val="-64"/>
          <w:sz w:val="24"/>
          <w:szCs w:val="24"/>
        </w:rPr>
        <w:t>），</w:t>
      </w:r>
      <w:r>
        <w:rPr>
          <w:spacing w:val="-8"/>
          <w:sz w:val="24"/>
          <w:szCs w:val="24"/>
        </w:rPr>
        <w:t>即昼间</w:t>
      </w:r>
      <w:r>
        <w:rPr>
          <w:spacing w:val="-50"/>
          <w:sz w:val="24"/>
          <w:szCs w:val="24"/>
        </w:rPr>
        <w:t xml:space="preserve"> </w:t>
      </w:r>
      <w:r>
        <w:rPr>
          <w:rFonts w:ascii="Times New Roman" w:hAnsi="Times New Roman" w:eastAsia="Times New Roman" w:cs="Times New Roman"/>
          <w:spacing w:val="-8"/>
          <w:sz w:val="24"/>
          <w:szCs w:val="24"/>
        </w:rPr>
        <w:t>70dB</w:t>
      </w:r>
      <w:r>
        <w:rPr>
          <w:spacing w:val="-8"/>
          <w:sz w:val="24"/>
          <w:szCs w:val="24"/>
        </w:rPr>
        <w:t>（</w:t>
      </w:r>
      <w:r>
        <w:rPr>
          <w:rFonts w:ascii="Times New Roman" w:hAnsi="Times New Roman" w:eastAsia="Times New Roman" w:cs="Times New Roman"/>
          <w:spacing w:val="-8"/>
          <w:sz w:val="24"/>
          <w:szCs w:val="24"/>
        </w:rPr>
        <w:t>A</w:t>
      </w:r>
      <w:r>
        <w:rPr>
          <w:spacing w:val="-8"/>
          <w:sz w:val="24"/>
          <w:szCs w:val="24"/>
        </w:rPr>
        <w:t>）、夜间</w:t>
      </w:r>
      <w:r>
        <w:rPr>
          <w:spacing w:val="-25"/>
          <w:sz w:val="24"/>
          <w:szCs w:val="24"/>
        </w:rPr>
        <w:t xml:space="preserve"> </w:t>
      </w:r>
      <w:r>
        <w:rPr>
          <w:rFonts w:ascii="Times New Roman" w:hAnsi="Times New Roman" w:eastAsia="Times New Roman" w:cs="Times New Roman"/>
          <w:spacing w:val="-8"/>
          <w:sz w:val="24"/>
          <w:szCs w:val="24"/>
        </w:rPr>
        <w:t>55dB</w:t>
      </w:r>
      <w:r>
        <w:rPr>
          <w:spacing w:val="-8"/>
          <w:sz w:val="24"/>
          <w:szCs w:val="24"/>
        </w:rPr>
        <w:t>（</w:t>
      </w:r>
      <w:r>
        <w:rPr>
          <w:rFonts w:ascii="Times New Roman" w:hAnsi="Times New Roman" w:eastAsia="Times New Roman" w:cs="Times New Roman"/>
          <w:spacing w:val="-8"/>
          <w:sz w:val="24"/>
          <w:szCs w:val="24"/>
        </w:rPr>
        <w:t>A</w:t>
      </w:r>
      <w:r>
        <w:rPr>
          <w:spacing w:val="-8"/>
          <w:sz w:val="24"/>
          <w:szCs w:val="24"/>
        </w:rPr>
        <w:t>）。</w:t>
      </w:r>
    </w:p>
    <w:p w14:paraId="01B27A28">
      <w:pPr>
        <w:spacing w:line="349" w:lineRule="auto"/>
        <w:rPr>
          <w:sz w:val="24"/>
          <w:szCs w:val="24"/>
        </w:rPr>
        <w:sectPr>
          <w:headerReference r:id="rId80" w:type="default"/>
          <w:footerReference r:id="rId81" w:type="default"/>
          <w:pgSz w:w="11907" w:h="16839"/>
          <w:pgMar w:top="1376" w:right="1475" w:bottom="1061" w:left="1671" w:header="999" w:footer="861" w:gutter="0"/>
          <w:cols w:space="720" w:num="1"/>
        </w:sectPr>
      </w:pPr>
    </w:p>
    <w:p w14:paraId="79E6E4DA">
      <w:pPr>
        <w:spacing w:line="359" w:lineRule="auto"/>
        <w:rPr>
          <w:rFonts w:ascii="Arial"/>
          <w:sz w:val="21"/>
        </w:rPr>
      </w:pPr>
    </w:p>
    <w:p w14:paraId="35FF76CF">
      <w:pPr>
        <w:spacing w:line="360" w:lineRule="auto"/>
        <w:rPr>
          <w:rFonts w:ascii="Arial"/>
          <w:sz w:val="21"/>
        </w:rPr>
      </w:pPr>
    </w:p>
    <w:p w14:paraId="53172A68">
      <w:pPr>
        <w:pStyle w:val="2"/>
        <w:spacing w:before="104" w:line="234" w:lineRule="auto"/>
        <w:ind w:left="2821"/>
      </w:pPr>
      <w:bookmarkStart w:id="22" w:name="bookmark22"/>
      <w:bookmarkEnd w:id="22"/>
      <w:bookmarkStart w:id="23" w:name="bookmark21"/>
      <w:bookmarkEnd w:id="23"/>
      <w:r>
        <w:rPr>
          <w:rFonts w:ascii="Times New Roman" w:hAnsi="Times New Roman" w:eastAsia="Times New Roman" w:cs="Times New Roman"/>
          <w:b/>
          <w:bCs/>
          <w:spacing w:val="-5"/>
        </w:rPr>
        <w:t>5</w:t>
      </w:r>
      <w:r>
        <w:rPr>
          <w:rFonts w:ascii="Times New Roman" w:hAnsi="Times New Roman" w:eastAsia="Times New Roman" w:cs="Times New Roman"/>
          <w:b/>
          <w:bCs/>
          <w:spacing w:val="23"/>
          <w:w w:val="101"/>
        </w:rPr>
        <w:t xml:space="preserve"> </w:t>
      </w:r>
      <w:r>
        <w:rPr>
          <w:b/>
          <w:bCs/>
          <w:spacing w:val="-5"/>
        </w:rPr>
        <w:t>环境保护设施调查</w:t>
      </w:r>
    </w:p>
    <w:p w14:paraId="4E1B6997">
      <w:pPr>
        <w:spacing w:line="260" w:lineRule="auto"/>
        <w:rPr>
          <w:rFonts w:ascii="Arial"/>
          <w:sz w:val="21"/>
        </w:rPr>
      </w:pPr>
    </w:p>
    <w:p w14:paraId="4117C60F">
      <w:pPr>
        <w:pStyle w:val="2"/>
        <w:spacing w:before="97" w:line="234" w:lineRule="auto"/>
        <w:ind w:left="40"/>
        <w:rPr>
          <w:sz w:val="30"/>
          <w:szCs w:val="30"/>
        </w:rPr>
      </w:pPr>
      <w:r>
        <w:rPr>
          <w:rFonts w:ascii="Times New Roman" w:hAnsi="Times New Roman" w:eastAsia="Times New Roman" w:cs="Times New Roman"/>
          <w:b/>
          <w:bCs/>
          <w:spacing w:val="-4"/>
          <w:sz w:val="30"/>
          <w:szCs w:val="30"/>
        </w:rPr>
        <w:t>5.1</w:t>
      </w:r>
      <w:r>
        <w:rPr>
          <w:rFonts w:ascii="Times New Roman" w:hAnsi="Times New Roman" w:eastAsia="Times New Roman" w:cs="Times New Roman"/>
          <w:b/>
          <w:bCs/>
          <w:spacing w:val="26"/>
          <w:w w:val="101"/>
          <w:sz w:val="30"/>
          <w:szCs w:val="30"/>
        </w:rPr>
        <w:t xml:space="preserve"> </w:t>
      </w:r>
      <w:r>
        <w:rPr>
          <w:b/>
          <w:bCs/>
          <w:spacing w:val="-4"/>
          <w:sz w:val="30"/>
          <w:szCs w:val="30"/>
        </w:rPr>
        <w:t>生态保护工程和设施</w:t>
      </w:r>
    </w:p>
    <w:p w14:paraId="79227B55">
      <w:pPr>
        <w:pStyle w:val="2"/>
        <w:spacing w:before="233" w:line="338" w:lineRule="auto"/>
        <w:ind w:left="38" w:right="28" w:firstLine="480"/>
        <w:jc w:val="both"/>
        <w:rPr>
          <w:sz w:val="24"/>
          <w:szCs w:val="24"/>
        </w:rPr>
      </w:pPr>
      <w:r>
        <w:rPr>
          <w:spacing w:val="3"/>
          <w:sz w:val="24"/>
          <w:szCs w:val="24"/>
        </w:rPr>
        <w:t>根据环境影响报告书和环评批复文件，本工程生态</w:t>
      </w:r>
      <w:r>
        <w:rPr>
          <w:spacing w:val="2"/>
          <w:sz w:val="24"/>
          <w:szCs w:val="24"/>
        </w:rPr>
        <w:t>保护工程主要包括生态流</w:t>
      </w:r>
      <w:r>
        <w:rPr>
          <w:spacing w:val="-7"/>
          <w:sz w:val="24"/>
          <w:szCs w:val="24"/>
        </w:rPr>
        <w:t>量下泄设施、低温水减缓设施、鱼类保护工程、工程占地及植被恢复工程</w:t>
      </w:r>
      <w:r>
        <w:rPr>
          <w:spacing w:val="-8"/>
          <w:sz w:val="24"/>
          <w:szCs w:val="24"/>
        </w:rPr>
        <w:t>等， 各工</w:t>
      </w:r>
      <w:r>
        <w:rPr>
          <w:spacing w:val="-2"/>
          <w:sz w:val="24"/>
          <w:szCs w:val="24"/>
        </w:rPr>
        <w:t>程名称及主要功能见表</w:t>
      </w:r>
      <w:r>
        <w:rPr>
          <w:spacing w:val="-37"/>
          <w:sz w:val="24"/>
          <w:szCs w:val="24"/>
        </w:rPr>
        <w:t xml:space="preserve"> </w:t>
      </w:r>
      <w:r>
        <w:rPr>
          <w:rFonts w:ascii="Times New Roman" w:hAnsi="Times New Roman" w:eastAsia="Times New Roman" w:cs="Times New Roman"/>
          <w:spacing w:val="-2"/>
          <w:sz w:val="24"/>
          <w:szCs w:val="24"/>
        </w:rPr>
        <w:t>5.1-1</w:t>
      </w:r>
      <w:r>
        <w:rPr>
          <w:spacing w:val="-2"/>
          <w:sz w:val="24"/>
          <w:szCs w:val="24"/>
        </w:rPr>
        <w:t>。</w:t>
      </w:r>
    </w:p>
    <w:p w14:paraId="461B7016">
      <w:pPr>
        <w:pStyle w:val="2"/>
        <w:spacing w:before="1" w:line="225" w:lineRule="auto"/>
        <w:ind w:left="279"/>
        <w:rPr>
          <w:sz w:val="24"/>
          <w:szCs w:val="24"/>
        </w:rPr>
      </w:pPr>
      <w:r>
        <w:rPr>
          <w:b/>
          <w:bCs/>
          <w:spacing w:val="-1"/>
          <w:sz w:val="24"/>
          <w:szCs w:val="24"/>
        </w:rPr>
        <w:t>表</w:t>
      </w:r>
      <w:r>
        <w:rPr>
          <w:spacing w:val="-49"/>
          <w:sz w:val="24"/>
          <w:szCs w:val="24"/>
        </w:rPr>
        <w:t xml:space="preserve"> </w:t>
      </w:r>
      <w:r>
        <w:rPr>
          <w:rFonts w:ascii="Times New Roman" w:hAnsi="Times New Roman" w:eastAsia="Times New Roman" w:cs="Times New Roman"/>
          <w:b/>
          <w:bCs/>
          <w:spacing w:val="-1"/>
          <w:sz w:val="24"/>
          <w:szCs w:val="24"/>
        </w:rPr>
        <w:t xml:space="preserve">5.1-1                        </w:t>
      </w:r>
      <w:r>
        <w:rPr>
          <w:b/>
          <w:bCs/>
          <w:spacing w:val="-1"/>
          <w:sz w:val="24"/>
          <w:szCs w:val="24"/>
        </w:rPr>
        <w:t>车马碧工程主要生态保护工程和设施</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553"/>
        <w:gridCol w:w="6215"/>
      </w:tblGrid>
      <w:tr w14:paraId="7C27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7" w:hRule="atLeast"/>
        </w:trPr>
        <w:tc>
          <w:tcPr>
            <w:tcW w:w="2258" w:type="dxa"/>
            <w:gridSpan w:val="2"/>
            <w:tcBorders>
              <w:top w:val="single" w:color="000000" w:sz="12" w:space="0"/>
              <w:left w:val="single" w:color="000000" w:sz="12" w:space="0"/>
            </w:tcBorders>
            <w:vAlign w:val="top"/>
          </w:tcPr>
          <w:p w14:paraId="543BB953">
            <w:pPr>
              <w:spacing w:before="64" w:line="220" w:lineRule="auto"/>
              <w:ind w:left="701"/>
              <w:rPr>
                <w:rFonts w:ascii="宋体" w:hAnsi="宋体" w:eastAsia="宋体" w:cs="宋体"/>
                <w:sz w:val="21"/>
                <w:szCs w:val="21"/>
              </w:rPr>
            </w:pPr>
            <w:r>
              <w:rPr>
                <w:rFonts w:ascii="宋体" w:hAnsi="宋体" w:eastAsia="宋体" w:cs="宋体"/>
                <w:spacing w:val="-3"/>
                <w:sz w:val="21"/>
                <w:szCs w:val="21"/>
              </w:rPr>
              <w:t>工程名称</w:t>
            </w:r>
          </w:p>
        </w:tc>
        <w:tc>
          <w:tcPr>
            <w:tcW w:w="6215" w:type="dxa"/>
            <w:tcBorders>
              <w:top w:val="single" w:color="000000" w:sz="12" w:space="0"/>
              <w:right w:val="single" w:color="000000" w:sz="12" w:space="0"/>
            </w:tcBorders>
            <w:vAlign w:val="top"/>
          </w:tcPr>
          <w:p w14:paraId="4CEAA5B0">
            <w:pPr>
              <w:spacing w:before="64" w:line="220" w:lineRule="auto"/>
              <w:ind w:left="2269"/>
              <w:rPr>
                <w:rFonts w:ascii="宋体" w:hAnsi="宋体" w:eastAsia="宋体" w:cs="宋体"/>
                <w:sz w:val="21"/>
                <w:szCs w:val="21"/>
              </w:rPr>
            </w:pPr>
            <w:r>
              <w:rPr>
                <w:rFonts w:ascii="宋体" w:hAnsi="宋体" w:eastAsia="宋体" w:cs="宋体"/>
                <w:spacing w:val="-2"/>
                <w:sz w:val="21"/>
                <w:szCs w:val="21"/>
              </w:rPr>
              <w:t>主要生态保护功能</w:t>
            </w:r>
          </w:p>
        </w:tc>
      </w:tr>
      <w:tr w14:paraId="56389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restart"/>
            <w:tcBorders>
              <w:left w:val="single" w:color="000000" w:sz="12" w:space="0"/>
              <w:bottom w:val="nil"/>
            </w:tcBorders>
            <w:vAlign w:val="top"/>
          </w:tcPr>
          <w:p w14:paraId="1539E6FB">
            <w:pPr>
              <w:spacing w:line="315" w:lineRule="auto"/>
              <w:rPr>
                <w:rFonts w:ascii="Arial"/>
                <w:sz w:val="21"/>
              </w:rPr>
            </w:pPr>
          </w:p>
          <w:p w14:paraId="3080C776">
            <w:pPr>
              <w:spacing w:line="316" w:lineRule="auto"/>
              <w:rPr>
                <w:rFonts w:ascii="Arial"/>
                <w:sz w:val="21"/>
              </w:rPr>
            </w:pPr>
          </w:p>
          <w:p w14:paraId="77F6FA7B">
            <w:pPr>
              <w:spacing w:line="316" w:lineRule="auto"/>
              <w:rPr>
                <w:rFonts w:ascii="Arial"/>
                <w:sz w:val="21"/>
              </w:rPr>
            </w:pPr>
          </w:p>
          <w:p w14:paraId="642316DC">
            <w:pPr>
              <w:spacing w:before="68" w:line="241" w:lineRule="auto"/>
              <w:ind w:left="130" w:right="143" w:firstLine="2"/>
              <w:jc w:val="both"/>
              <w:rPr>
                <w:rFonts w:ascii="宋体" w:hAnsi="宋体" w:eastAsia="宋体" w:cs="宋体"/>
                <w:sz w:val="21"/>
                <w:szCs w:val="21"/>
              </w:rPr>
            </w:pPr>
            <w:r>
              <w:rPr>
                <w:rFonts w:ascii="宋体" w:hAnsi="宋体" w:eastAsia="宋体" w:cs="宋体"/>
                <w:spacing w:val="-6"/>
                <w:sz w:val="21"/>
                <w:szCs w:val="21"/>
              </w:rPr>
              <w:t>鱼类</w:t>
            </w:r>
            <w:r>
              <w:rPr>
                <w:rFonts w:ascii="宋体" w:hAnsi="宋体" w:eastAsia="宋体" w:cs="宋体"/>
                <w:spacing w:val="-5"/>
                <w:sz w:val="21"/>
                <w:szCs w:val="21"/>
              </w:rPr>
              <w:t>保护工程</w:t>
            </w:r>
          </w:p>
        </w:tc>
        <w:tc>
          <w:tcPr>
            <w:tcW w:w="1553" w:type="dxa"/>
            <w:vAlign w:val="top"/>
          </w:tcPr>
          <w:p w14:paraId="088A0690">
            <w:pPr>
              <w:spacing w:before="193" w:line="220" w:lineRule="auto"/>
              <w:ind w:left="353"/>
              <w:rPr>
                <w:rFonts w:ascii="宋体" w:hAnsi="宋体" w:eastAsia="宋体" w:cs="宋体"/>
                <w:sz w:val="21"/>
                <w:szCs w:val="21"/>
              </w:rPr>
            </w:pPr>
            <w:r>
              <w:rPr>
                <w:rFonts w:ascii="宋体" w:hAnsi="宋体" w:eastAsia="宋体" w:cs="宋体"/>
                <w:spacing w:val="-3"/>
                <w:sz w:val="21"/>
                <w:szCs w:val="21"/>
              </w:rPr>
              <w:t>鱼道工程</w:t>
            </w:r>
          </w:p>
        </w:tc>
        <w:tc>
          <w:tcPr>
            <w:tcW w:w="6215" w:type="dxa"/>
            <w:tcBorders>
              <w:right w:val="single" w:color="000000" w:sz="12" w:space="0"/>
            </w:tcBorders>
            <w:vAlign w:val="top"/>
          </w:tcPr>
          <w:p w14:paraId="014CA664">
            <w:pPr>
              <w:spacing w:before="56" w:line="236" w:lineRule="auto"/>
              <w:ind w:left="55" w:right="52" w:firstLine="1"/>
              <w:rPr>
                <w:rFonts w:ascii="宋体" w:hAnsi="宋体" w:eastAsia="宋体" w:cs="宋体"/>
                <w:sz w:val="21"/>
                <w:szCs w:val="21"/>
              </w:rPr>
            </w:pPr>
            <w:r>
              <w:rPr>
                <w:rFonts w:ascii="宋体" w:hAnsi="宋体" w:eastAsia="宋体" w:cs="宋体"/>
                <w:sz w:val="21"/>
                <w:szCs w:val="21"/>
              </w:rPr>
              <w:t>帮助鱼类上下迁徙，使大坝上、下种群之间可以进</w:t>
            </w:r>
            <w:r>
              <w:rPr>
                <w:rFonts w:ascii="宋体" w:hAnsi="宋体" w:eastAsia="宋体" w:cs="宋体"/>
                <w:spacing w:val="-1"/>
                <w:sz w:val="21"/>
                <w:szCs w:val="21"/>
              </w:rPr>
              <w:t>行基因交流，减缓工程阻隔对鱼类的不利影响。</w:t>
            </w:r>
          </w:p>
        </w:tc>
      </w:tr>
      <w:tr w14:paraId="0522C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bottom w:val="nil"/>
            </w:tcBorders>
            <w:vAlign w:val="top"/>
          </w:tcPr>
          <w:p w14:paraId="48C3DBCA">
            <w:pPr>
              <w:rPr>
                <w:rFonts w:ascii="Arial"/>
                <w:sz w:val="21"/>
              </w:rPr>
            </w:pPr>
          </w:p>
        </w:tc>
        <w:tc>
          <w:tcPr>
            <w:tcW w:w="1553" w:type="dxa"/>
            <w:vAlign w:val="top"/>
          </w:tcPr>
          <w:p w14:paraId="2F7B8DD1">
            <w:pPr>
              <w:spacing w:before="195" w:line="220" w:lineRule="auto"/>
              <w:ind w:left="247"/>
              <w:rPr>
                <w:rFonts w:ascii="宋体" w:hAnsi="宋体" w:eastAsia="宋体" w:cs="宋体"/>
                <w:sz w:val="21"/>
                <w:szCs w:val="21"/>
              </w:rPr>
            </w:pPr>
            <w:r>
              <w:rPr>
                <w:rFonts w:ascii="宋体" w:hAnsi="宋体" w:eastAsia="宋体" w:cs="宋体"/>
                <w:spacing w:val="-2"/>
                <w:sz w:val="21"/>
                <w:szCs w:val="21"/>
              </w:rPr>
              <w:t>鱼类增殖站</w:t>
            </w:r>
          </w:p>
        </w:tc>
        <w:tc>
          <w:tcPr>
            <w:tcW w:w="6215" w:type="dxa"/>
            <w:tcBorders>
              <w:right w:val="single" w:color="000000" w:sz="12" w:space="0"/>
            </w:tcBorders>
            <w:vAlign w:val="top"/>
          </w:tcPr>
          <w:p w14:paraId="559F8A23">
            <w:pPr>
              <w:spacing w:before="58" w:line="235" w:lineRule="auto"/>
              <w:ind w:left="52" w:right="39" w:firstLine="4"/>
              <w:rPr>
                <w:rFonts w:ascii="宋体" w:hAnsi="宋体" w:eastAsia="宋体" w:cs="宋体"/>
                <w:sz w:val="21"/>
                <w:szCs w:val="21"/>
              </w:rPr>
            </w:pPr>
            <w:r>
              <w:rPr>
                <w:rFonts w:ascii="宋体" w:hAnsi="宋体" w:eastAsia="宋体" w:cs="宋体"/>
                <w:sz w:val="21"/>
                <w:szCs w:val="21"/>
              </w:rPr>
              <w:t>鱼类增殖放流通过补充鱼类种群数量，可在一定程度上缓解水利工程对鱼类资源的不利影响，对鱼类种群数量恢</w:t>
            </w:r>
            <w:r>
              <w:rPr>
                <w:rFonts w:ascii="宋体" w:hAnsi="宋体" w:eastAsia="宋体" w:cs="宋体"/>
                <w:spacing w:val="-1"/>
                <w:sz w:val="21"/>
                <w:szCs w:val="21"/>
              </w:rPr>
              <w:t>复有一定积极作用。</w:t>
            </w:r>
          </w:p>
        </w:tc>
      </w:tr>
      <w:tr w14:paraId="74F18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bottom w:val="nil"/>
            </w:tcBorders>
            <w:vAlign w:val="top"/>
          </w:tcPr>
          <w:p w14:paraId="6B2158FA">
            <w:pPr>
              <w:rPr>
                <w:rFonts w:ascii="Arial"/>
                <w:sz w:val="21"/>
              </w:rPr>
            </w:pPr>
          </w:p>
        </w:tc>
        <w:tc>
          <w:tcPr>
            <w:tcW w:w="1553" w:type="dxa"/>
            <w:vAlign w:val="top"/>
          </w:tcPr>
          <w:p w14:paraId="030217B6">
            <w:pPr>
              <w:spacing w:before="198" w:line="220" w:lineRule="auto"/>
              <w:ind w:left="349"/>
              <w:rPr>
                <w:rFonts w:ascii="宋体" w:hAnsi="宋体" w:eastAsia="宋体" w:cs="宋体"/>
                <w:sz w:val="21"/>
                <w:szCs w:val="21"/>
              </w:rPr>
            </w:pPr>
            <w:r>
              <w:rPr>
                <w:rFonts w:ascii="宋体" w:hAnsi="宋体" w:eastAsia="宋体" w:cs="宋体"/>
                <w:spacing w:val="-2"/>
                <w:sz w:val="21"/>
                <w:szCs w:val="21"/>
              </w:rPr>
              <w:t>拦鱼措施</w:t>
            </w:r>
          </w:p>
        </w:tc>
        <w:tc>
          <w:tcPr>
            <w:tcW w:w="6215" w:type="dxa"/>
            <w:tcBorders>
              <w:right w:val="single" w:color="000000" w:sz="12" w:space="0"/>
            </w:tcBorders>
            <w:vAlign w:val="top"/>
          </w:tcPr>
          <w:p w14:paraId="46A80CB8">
            <w:pPr>
              <w:spacing w:before="62" w:line="233" w:lineRule="auto"/>
              <w:ind w:left="52" w:right="38" w:firstLine="1"/>
              <w:rPr>
                <w:rFonts w:ascii="宋体" w:hAnsi="宋体" w:eastAsia="宋体" w:cs="宋体"/>
                <w:sz w:val="21"/>
                <w:szCs w:val="21"/>
              </w:rPr>
            </w:pPr>
            <w:r>
              <w:rPr>
                <w:rFonts w:ascii="宋体" w:hAnsi="宋体" w:eastAsia="宋体" w:cs="宋体"/>
                <w:sz w:val="21"/>
                <w:szCs w:val="21"/>
              </w:rPr>
              <w:t>长输水隧洞进水口处设置细目拦鱼栅网，防止引水期间库区鱼类误</w:t>
            </w:r>
            <w:r>
              <w:rPr>
                <w:rFonts w:ascii="宋体" w:hAnsi="宋体" w:eastAsia="宋体" w:cs="宋体"/>
                <w:spacing w:val="-3"/>
                <w:sz w:val="21"/>
                <w:szCs w:val="21"/>
              </w:rPr>
              <w:t>入，通过隧洞进入南盘江。</w:t>
            </w:r>
          </w:p>
        </w:tc>
      </w:tr>
      <w:tr w14:paraId="7A7F2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bottom w:val="nil"/>
            </w:tcBorders>
            <w:vAlign w:val="top"/>
          </w:tcPr>
          <w:p w14:paraId="3FC534BD">
            <w:pPr>
              <w:rPr>
                <w:rFonts w:ascii="Arial"/>
                <w:sz w:val="21"/>
              </w:rPr>
            </w:pPr>
          </w:p>
        </w:tc>
        <w:tc>
          <w:tcPr>
            <w:tcW w:w="1553" w:type="dxa"/>
            <w:vAlign w:val="top"/>
          </w:tcPr>
          <w:p w14:paraId="1527BF4B">
            <w:pPr>
              <w:spacing w:before="201" w:line="220" w:lineRule="auto"/>
              <w:ind w:left="245"/>
              <w:rPr>
                <w:rFonts w:ascii="宋体" w:hAnsi="宋体" w:eastAsia="宋体" w:cs="宋体"/>
                <w:sz w:val="21"/>
                <w:szCs w:val="21"/>
              </w:rPr>
            </w:pPr>
            <w:r>
              <w:rPr>
                <w:rFonts w:ascii="宋体" w:hAnsi="宋体" w:eastAsia="宋体" w:cs="宋体"/>
                <w:spacing w:val="-2"/>
                <w:sz w:val="21"/>
                <w:szCs w:val="21"/>
              </w:rPr>
              <w:t>栖息地保护</w:t>
            </w:r>
          </w:p>
        </w:tc>
        <w:tc>
          <w:tcPr>
            <w:tcW w:w="6215" w:type="dxa"/>
            <w:tcBorders>
              <w:right w:val="single" w:color="000000" w:sz="12" w:space="0"/>
            </w:tcBorders>
            <w:vAlign w:val="top"/>
          </w:tcPr>
          <w:p w14:paraId="6F3C6403">
            <w:pPr>
              <w:spacing w:before="65" w:line="232" w:lineRule="auto"/>
              <w:ind w:left="55" w:right="41"/>
              <w:rPr>
                <w:rFonts w:ascii="宋体" w:hAnsi="宋体" w:eastAsia="宋体" w:cs="宋体"/>
                <w:sz w:val="21"/>
                <w:szCs w:val="21"/>
              </w:rPr>
            </w:pPr>
            <w:r>
              <w:rPr>
                <w:rFonts w:ascii="宋体" w:hAnsi="宋体" w:eastAsia="宋体" w:cs="宋体"/>
                <w:sz w:val="21"/>
                <w:szCs w:val="21"/>
              </w:rPr>
              <w:t>为受影响鱼类提供一定的替代生境，保护鱼类资源及鱼类重要栖息</w:t>
            </w:r>
            <w:r>
              <w:rPr>
                <w:rFonts w:ascii="宋体" w:hAnsi="宋体" w:eastAsia="宋体" w:cs="宋体"/>
                <w:spacing w:val="-2"/>
                <w:sz w:val="21"/>
                <w:szCs w:val="21"/>
              </w:rPr>
              <w:t>生境，使鱼类在其内可以完成产卵、育幼等生活史过程。</w:t>
            </w:r>
          </w:p>
        </w:tc>
      </w:tr>
      <w:tr w14:paraId="777C1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5" w:type="dxa"/>
            <w:vMerge w:val="continue"/>
            <w:tcBorders>
              <w:top w:val="nil"/>
              <w:left w:val="single" w:color="000000" w:sz="12" w:space="0"/>
            </w:tcBorders>
            <w:vAlign w:val="top"/>
          </w:tcPr>
          <w:p w14:paraId="4ABD5806">
            <w:pPr>
              <w:rPr>
                <w:rFonts w:ascii="Arial"/>
                <w:sz w:val="21"/>
              </w:rPr>
            </w:pPr>
          </w:p>
        </w:tc>
        <w:tc>
          <w:tcPr>
            <w:tcW w:w="1553" w:type="dxa"/>
            <w:vAlign w:val="top"/>
          </w:tcPr>
          <w:p w14:paraId="62B64E59">
            <w:pPr>
              <w:spacing w:before="73" w:line="220" w:lineRule="auto"/>
              <w:ind w:left="245"/>
              <w:rPr>
                <w:rFonts w:ascii="宋体" w:hAnsi="宋体" w:eastAsia="宋体" w:cs="宋体"/>
                <w:sz w:val="21"/>
                <w:szCs w:val="21"/>
              </w:rPr>
            </w:pPr>
            <w:r>
              <w:rPr>
                <w:rFonts w:ascii="宋体" w:hAnsi="宋体" w:eastAsia="宋体" w:cs="宋体"/>
                <w:spacing w:val="-2"/>
                <w:sz w:val="21"/>
                <w:szCs w:val="21"/>
              </w:rPr>
              <w:t>连通性恢复</w:t>
            </w:r>
          </w:p>
        </w:tc>
        <w:tc>
          <w:tcPr>
            <w:tcW w:w="6215" w:type="dxa"/>
            <w:tcBorders>
              <w:right w:val="single" w:color="000000" w:sz="12" w:space="0"/>
            </w:tcBorders>
            <w:vAlign w:val="top"/>
          </w:tcPr>
          <w:p w14:paraId="079F3AE2">
            <w:pPr>
              <w:spacing w:before="73" w:line="219" w:lineRule="auto"/>
              <w:ind w:left="53"/>
              <w:rPr>
                <w:rFonts w:ascii="宋体" w:hAnsi="宋体" w:eastAsia="宋体" w:cs="宋体"/>
                <w:sz w:val="21"/>
                <w:szCs w:val="21"/>
              </w:rPr>
            </w:pPr>
            <w:r>
              <w:rPr>
                <w:rFonts w:ascii="宋体" w:hAnsi="宋体" w:eastAsia="宋体" w:cs="宋体"/>
                <w:spacing w:val="-3"/>
                <w:sz w:val="21"/>
                <w:szCs w:val="21"/>
              </w:rPr>
              <w:t>减轻阻隔影响，促进鱼类种群基因交流。</w:t>
            </w:r>
          </w:p>
        </w:tc>
      </w:tr>
      <w:tr w14:paraId="3488E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restart"/>
            <w:tcBorders>
              <w:left w:val="single" w:color="000000" w:sz="12" w:space="0"/>
              <w:bottom w:val="nil"/>
            </w:tcBorders>
            <w:vAlign w:val="top"/>
          </w:tcPr>
          <w:p w14:paraId="55CE40B0">
            <w:pPr>
              <w:spacing w:line="343" w:lineRule="auto"/>
              <w:rPr>
                <w:rFonts w:ascii="Arial"/>
                <w:sz w:val="21"/>
              </w:rPr>
            </w:pPr>
          </w:p>
          <w:p w14:paraId="16B60641">
            <w:pPr>
              <w:spacing w:before="68"/>
              <w:ind w:left="130" w:right="143"/>
              <w:jc w:val="both"/>
              <w:rPr>
                <w:rFonts w:ascii="宋体" w:hAnsi="宋体" w:eastAsia="宋体" w:cs="宋体"/>
                <w:sz w:val="21"/>
                <w:szCs w:val="21"/>
              </w:rPr>
            </w:pPr>
            <w:r>
              <w:rPr>
                <w:rFonts w:ascii="宋体" w:hAnsi="宋体" w:eastAsia="宋体" w:cs="宋体"/>
                <w:spacing w:val="-5"/>
                <w:sz w:val="21"/>
                <w:szCs w:val="21"/>
              </w:rPr>
              <w:t>生态流量泄放工程</w:t>
            </w:r>
          </w:p>
        </w:tc>
        <w:tc>
          <w:tcPr>
            <w:tcW w:w="1553" w:type="dxa"/>
            <w:vAlign w:val="top"/>
          </w:tcPr>
          <w:p w14:paraId="343F4991">
            <w:pPr>
              <w:spacing w:before="67" w:line="231" w:lineRule="auto"/>
              <w:ind w:left="350" w:right="151" w:hanging="210"/>
              <w:rPr>
                <w:rFonts w:ascii="宋体" w:hAnsi="宋体" w:eastAsia="宋体" w:cs="宋体"/>
                <w:sz w:val="21"/>
                <w:szCs w:val="21"/>
              </w:rPr>
            </w:pPr>
            <w:r>
              <w:rPr>
                <w:rFonts w:ascii="宋体" w:hAnsi="宋体" w:eastAsia="宋体" w:cs="宋体"/>
                <w:spacing w:val="-2"/>
                <w:sz w:val="21"/>
                <w:szCs w:val="21"/>
              </w:rPr>
              <w:t>制定生态流量调度方案</w:t>
            </w:r>
          </w:p>
        </w:tc>
        <w:tc>
          <w:tcPr>
            <w:tcW w:w="6215" w:type="dxa"/>
            <w:tcBorders>
              <w:right w:val="single" w:color="000000" w:sz="12" w:space="0"/>
            </w:tcBorders>
            <w:vAlign w:val="top"/>
          </w:tcPr>
          <w:p w14:paraId="6F3A7017">
            <w:pPr>
              <w:spacing w:before="203" w:line="220" w:lineRule="auto"/>
              <w:ind w:left="54"/>
              <w:rPr>
                <w:rFonts w:ascii="宋体" w:hAnsi="宋体" w:eastAsia="宋体" w:cs="宋体"/>
                <w:sz w:val="21"/>
                <w:szCs w:val="21"/>
              </w:rPr>
            </w:pPr>
            <w:r>
              <w:rPr>
                <w:rFonts w:ascii="宋体" w:hAnsi="宋体" w:eastAsia="宋体" w:cs="宋体"/>
                <w:spacing w:val="-3"/>
                <w:sz w:val="21"/>
                <w:szCs w:val="21"/>
              </w:rPr>
              <w:t>使不同时期下泄生态流量满足生态需求。</w:t>
            </w:r>
          </w:p>
        </w:tc>
      </w:tr>
      <w:tr w14:paraId="72D1F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bottom w:val="nil"/>
            </w:tcBorders>
            <w:vAlign w:val="top"/>
          </w:tcPr>
          <w:p w14:paraId="50586B9D">
            <w:pPr>
              <w:rPr>
                <w:rFonts w:ascii="Arial"/>
                <w:sz w:val="21"/>
              </w:rPr>
            </w:pPr>
          </w:p>
        </w:tc>
        <w:tc>
          <w:tcPr>
            <w:tcW w:w="1553" w:type="dxa"/>
            <w:vAlign w:val="top"/>
          </w:tcPr>
          <w:p w14:paraId="52EF08CA">
            <w:pPr>
              <w:spacing w:before="72" w:line="229" w:lineRule="auto"/>
              <w:ind w:left="352" w:right="151" w:hanging="213"/>
              <w:rPr>
                <w:rFonts w:ascii="宋体" w:hAnsi="宋体" w:eastAsia="宋体" w:cs="宋体"/>
                <w:sz w:val="21"/>
                <w:szCs w:val="21"/>
              </w:rPr>
            </w:pPr>
            <w:r>
              <w:rPr>
                <w:rFonts w:ascii="宋体" w:hAnsi="宋体" w:eastAsia="宋体" w:cs="宋体"/>
                <w:spacing w:val="-2"/>
                <w:sz w:val="21"/>
                <w:szCs w:val="21"/>
              </w:rPr>
              <w:t>修建生态流量</w:t>
            </w:r>
            <w:r>
              <w:rPr>
                <w:rFonts w:ascii="宋体" w:hAnsi="宋体" w:eastAsia="宋体" w:cs="宋体"/>
                <w:spacing w:val="-3"/>
                <w:sz w:val="21"/>
                <w:szCs w:val="21"/>
              </w:rPr>
              <w:t>泄放设施</w:t>
            </w:r>
          </w:p>
        </w:tc>
        <w:tc>
          <w:tcPr>
            <w:tcW w:w="6215" w:type="dxa"/>
            <w:tcBorders>
              <w:right w:val="single" w:color="000000" w:sz="12" w:space="0"/>
            </w:tcBorders>
            <w:vAlign w:val="top"/>
          </w:tcPr>
          <w:p w14:paraId="2FEBEC6D">
            <w:pPr>
              <w:spacing w:before="72" w:line="229" w:lineRule="auto"/>
              <w:ind w:left="55" w:right="41" w:firstLine="1"/>
              <w:rPr>
                <w:rFonts w:ascii="宋体" w:hAnsi="宋体" w:eastAsia="宋体" w:cs="宋体"/>
                <w:sz w:val="21"/>
                <w:szCs w:val="21"/>
              </w:rPr>
            </w:pPr>
            <w:r>
              <w:rPr>
                <w:rFonts w:ascii="宋体" w:hAnsi="宋体" w:eastAsia="宋体" w:cs="宋体"/>
                <w:sz w:val="21"/>
                <w:szCs w:val="21"/>
              </w:rPr>
              <w:t>维持坝下具有一定的水流和水深，以满足鱼类基本的繁殖和生存需</w:t>
            </w:r>
            <w:r>
              <w:rPr>
                <w:rFonts w:ascii="宋体" w:hAnsi="宋体" w:eastAsia="宋体" w:cs="宋体"/>
                <w:spacing w:val="-11"/>
                <w:sz w:val="21"/>
                <w:szCs w:val="21"/>
              </w:rPr>
              <w:t>求。</w:t>
            </w:r>
          </w:p>
        </w:tc>
      </w:tr>
      <w:tr w14:paraId="47295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tcBorders>
            <w:vAlign w:val="top"/>
          </w:tcPr>
          <w:p w14:paraId="4D3BABFB">
            <w:pPr>
              <w:rPr>
                <w:rFonts w:ascii="Arial"/>
                <w:sz w:val="21"/>
              </w:rPr>
            </w:pPr>
          </w:p>
        </w:tc>
        <w:tc>
          <w:tcPr>
            <w:tcW w:w="1553" w:type="dxa"/>
            <w:vAlign w:val="top"/>
          </w:tcPr>
          <w:p w14:paraId="7E299FC9">
            <w:pPr>
              <w:spacing w:before="74" w:line="228" w:lineRule="auto"/>
              <w:ind w:left="139" w:right="151" w:firstLine="5"/>
              <w:rPr>
                <w:rFonts w:ascii="宋体" w:hAnsi="宋体" w:eastAsia="宋体" w:cs="宋体"/>
                <w:sz w:val="21"/>
                <w:szCs w:val="21"/>
              </w:rPr>
            </w:pPr>
            <w:r>
              <w:rPr>
                <w:rFonts w:ascii="宋体" w:hAnsi="宋体" w:eastAsia="宋体" w:cs="宋体"/>
                <w:spacing w:val="-3"/>
                <w:sz w:val="21"/>
                <w:szCs w:val="21"/>
              </w:rPr>
              <w:t>安装生态流量</w:t>
            </w:r>
            <w:r>
              <w:rPr>
                <w:rFonts w:ascii="宋体" w:hAnsi="宋体" w:eastAsia="宋体" w:cs="宋体"/>
                <w:spacing w:val="-2"/>
                <w:sz w:val="21"/>
                <w:szCs w:val="21"/>
              </w:rPr>
              <w:t>在线监测系统</w:t>
            </w:r>
          </w:p>
        </w:tc>
        <w:tc>
          <w:tcPr>
            <w:tcW w:w="6215" w:type="dxa"/>
            <w:tcBorders>
              <w:right w:val="single" w:color="000000" w:sz="12" w:space="0"/>
            </w:tcBorders>
            <w:vAlign w:val="top"/>
          </w:tcPr>
          <w:p w14:paraId="2F7EFADB">
            <w:pPr>
              <w:spacing w:before="74" w:line="228" w:lineRule="auto"/>
              <w:ind w:left="55" w:right="41" w:firstLine="3"/>
              <w:rPr>
                <w:rFonts w:ascii="宋体" w:hAnsi="宋体" w:eastAsia="宋体" w:cs="宋体"/>
                <w:sz w:val="21"/>
                <w:szCs w:val="21"/>
              </w:rPr>
            </w:pPr>
            <w:r>
              <w:rPr>
                <w:rFonts w:ascii="宋体" w:hAnsi="宋体" w:eastAsia="宋体" w:cs="宋体"/>
                <w:sz w:val="21"/>
                <w:szCs w:val="21"/>
              </w:rPr>
              <w:t>实施监测生态流量，使不同时期下泄生态流量满足生态需水下泄要</w:t>
            </w:r>
            <w:r>
              <w:rPr>
                <w:rFonts w:ascii="宋体" w:hAnsi="宋体" w:eastAsia="宋体" w:cs="宋体"/>
                <w:spacing w:val="-11"/>
                <w:sz w:val="21"/>
                <w:szCs w:val="21"/>
              </w:rPr>
              <w:t>求。</w:t>
            </w:r>
          </w:p>
        </w:tc>
      </w:tr>
      <w:tr w14:paraId="20F2B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restart"/>
            <w:tcBorders>
              <w:left w:val="single" w:color="000000" w:sz="12" w:space="0"/>
              <w:bottom w:val="nil"/>
            </w:tcBorders>
            <w:vAlign w:val="top"/>
          </w:tcPr>
          <w:p w14:paraId="6501E152">
            <w:pPr>
              <w:spacing w:before="111" w:line="221" w:lineRule="auto"/>
              <w:ind w:left="128"/>
              <w:rPr>
                <w:rFonts w:ascii="宋体" w:hAnsi="宋体" w:eastAsia="宋体" w:cs="宋体"/>
                <w:sz w:val="21"/>
                <w:szCs w:val="21"/>
              </w:rPr>
            </w:pPr>
            <w:r>
              <w:rPr>
                <w:rFonts w:ascii="宋体" w:hAnsi="宋体" w:eastAsia="宋体" w:cs="宋体"/>
                <w:spacing w:val="-2"/>
                <w:sz w:val="21"/>
                <w:szCs w:val="21"/>
              </w:rPr>
              <w:t>低温</w:t>
            </w:r>
          </w:p>
          <w:p w14:paraId="169BF834">
            <w:pPr>
              <w:spacing w:before="20" w:line="220" w:lineRule="auto"/>
              <w:ind w:left="131"/>
              <w:rPr>
                <w:rFonts w:ascii="宋体" w:hAnsi="宋体" w:eastAsia="宋体" w:cs="宋体"/>
                <w:sz w:val="21"/>
                <w:szCs w:val="21"/>
              </w:rPr>
            </w:pPr>
            <w:r>
              <w:rPr>
                <w:rFonts w:ascii="宋体" w:hAnsi="宋体" w:eastAsia="宋体" w:cs="宋体"/>
                <w:spacing w:val="-3"/>
                <w:sz w:val="21"/>
                <w:szCs w:val="21"/>
              </w:rPr>
              <w:t>水减</w:t>
            </w:r>
          </w:p>
          <w:p w14:paraId="18DBFA89">
            <w:pPr>
              <w:spacing w:before="21" w:line="242" w:lineRule="auto"/>
              <w:ind w:left="232" w:right="143" w:hanging="101"/>
              <w:rPr>
                <w:rFonts w:ascii="宋体" w:hAnsi="宋体" w:eastAsia="宋体" w:cs="宋体"/>
                <w:sz w:val="21"/>
                <w:szCs w:val="21"/>
              </w:rPr>
            </w:pPr>
            <w:r>
              <w:rPr>
                <w:rFonts w:ascii="宋体" w:hAnsi="宋体" w:eastAsia="宋体" w:cs="宋体"/>
                <w:spacing w:val="-6"/>
                <w:sz w:val="21"/>
                <w:szCs w:val="21"/>
              </w:rPr>
              <w:t>缓设</w:t>
            </w:r>
            <w:r>
              <w:rPr>
                <w:rFonts w:ascii="宋体" w:hAnsi="宋体" w:eastAsia="宋体" w:cs="宋体"/>
                <w:sz w:val="21"/>
                <w:szCs w:val="21"/>
              </w:rPr>
              <w:t>施</w:t>
            </w:r>
          </w:p>
        </w:tc>
        <w:tc>
          <w:tcPr>
            <w:tcW w:w="1553" w:type="dxa"/>
            <w:vAlign w:val="top"/>
          </w:tcPr>
          <w:p w14:paraId="56AAB83D">
            <w:pPr>
              <w:spacing w:before="76" w:line="227" w:lineRule="auto"/>
              <w:ind w:left="243" w:right="151" w:hanging="104"/>
              <w:rPr>
                <w:rFonts w:ascii="宋体" w:hAnsi="宋体" w:eastAsia="宋体" w:cs="宋体"/>
                <w:sz w:val="21"/>
                <w:szCs w:val="21"/>
              </w:rPr>
            </w:pPr>
            <w:r>
              <w:rPr>
                <w:rFonts w:ascii="宋体" w:hAnsi="宋体" w:eastAsia="宋体" w:cs="宋体"/>
                <w:spacing w:val="-2"/>
                <w:sz w:val="21"/>
                <w:szCs w:val="21"/>
              </w:rPr>
              <w:t>坝前生态、灌溉分层取水</w:t>
            </w:r>
          </w:p>
        </w:tc>
        <w:tc>
          <w:tcPr>
            <w:tcW w:w="6215" w:type="dxa"/>
            <w:tcBorders>
              <w:right w:val="single" w:color="000000" w:sz="12" w:space="0"/>
            </w:tcBorders>
            <w:vAlign w:val="top"/>
          </w:tcPr>
          <w:p w14:paraId="1F93D4D2">
            <w:pPr>
              <w:pStyle w:val="6"/>
              <w:spacing w:before="76" w:line="227" w:lineRule="auto"/>
              <w:ind w:left="54" w:right="41" w:hanging="1"/>
              <w:rPr>
                <w:rFonts w:ascii="宋体" w:hAnsi="宋体" w:eastAsia="宋体" w:cs="宋体"/>
              </w:rPr>
            </w:pPr>
            <w:r>
              <w:rPr>
                <w:rFonts w:ascii="宋体" w:hAnsi="宋体" w:eastAsia="宋体" w:cs="宋体"/>
                <w:spacing w:val="-2"/>
              </w:rPr>
              <w:t>通过分层取水，改善</w:t>
            </w:r>
            <w:r>
              <w:rPr>
                <w:rFonts w:ascii="宋体" w:hAnsi="宋体" w:eastAsia="宋体" w:cs="宋体"/>
                <w:spacing w:val="-28"/>
              </w:rPr>
              <w:t xml:space="preserve"> </w:t>
            </w:r>
            <w:r>
              <w:rPr>
                <w:spacing w:val="-2"/>
              </w:rPr>
              <w:t>3</w:t>
            </w:r>
            <w:r>
              <w:rPr>
                <w:spacing w:val="13"/>
              </w:rPr>
              <w:t xml:space="preserve"> </w:t>
            </w:r>
            <w:r>
              <w:rPr>
                <w:rFonts w:ascii="宋体" w:hAnsi="宋体" w:eastAsia="宋体" w:cs="宋体"/>
                <w:spacing w:val="-2"/>
              </w:rPr>
              <w:t>月</w:t>
            </w:r>
            <w:r>
              <w:rPr>
                <w:spacing w:val="-2"/>
              </w:rPr>
              <w:t>-7</w:t>
            </w:r>
            <w:r>
              <w:rPr>
                <w:spacing w:val="14"/>
              </w:rPr>
              <w:t xml:space="preserve"> </w:t>
            </w:r>
            <w:r>
              <w:rPr>
                <w:rFonts w:ascii="宋体" w:hAnsi="宋体" w:eastAsia="宋体" w:cs="宋体"/>
                <w:spacing w:val="-2"/>
              </w:rPr>
              <w:t>月由于库区水温分层下泄低温水对下游</w:t>
            </w:r>
            <w:r>
              <w:rPr>
                <w:rFonts w:ascii="宋体" w:hAnsi="宋体" w:eastAsia="宋体" w:cs="宋体"/>
                <w:spacing w:val="-4"/>
              </w:rPr>
              <w:t>生态、农业的影响。</w:t>
            </w:r>
          </w:p>
        </w:tc>
      </w:tr>
      <w:tr w14:paraId="45C56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5" w:type="dxa"/>
            <w:vMerge w:val="continue"/>
            <w:tcBorders>
              <w:top w:val="nil"/>
              <w:left w:val="single" w:color="000000" w:sz="12" w:space="0"/>
            </w:tcBorders>
            <w:vAlign w:val="top"/>
          </w:tcPr>
          <w:p w14:paraId="7381FBA3">
            <w:pPr>
              <w:rPr>
                <w:rFonts w:ascii="Arial"/>
                <w:sz w:val="21"/>
              </w:rPr>
            </w:pPr>
          </w:p>
        </w:tc>
        <w:tc>
          <w:tcPr>
            <w:tcW w:w="1553" w:type="dxa"/>
            <w:vAlign w:val="top"/>
          </w:tcPr>
          <w:p w14:paraId="48E8460A">
            <w:pPr>
              <w:spacing w:before="78" w:line="220" w:lineRule="auto"/>
              <w:ind w:left="140"/>
              <w:rPr>
                <w:rFonts w:ascii="宋体" w:hAnsi="宋体" w:eastAsia="宋体" w:cs="宋体"/>
                <w:sz w:val="21"/>
                <w:szCs w:val="21"/>
              </w:rPr>
            </w:pPr>
            <w:r>
              <w:rPr>
                <w:rFonts w:ascii="宋体" w:hAnsi="宋体" w:eastAsia="宋体" w:cs="宋体"/>
                <w:spacing w:val="-2"/>
                <w:sz w:val="21"/>
                <w:szCs w:val="21"/>
              </w:rPr>
              <w:t>库中长距输水</w:t>
            </w:r>
          </w:p>
          <w:p w14:paraId="4E6D5A8B">
            <w:pPr>
              <w:spacing w:before="22" w:line="212" w:lineRule="auto"/>
              <w:ind w:left="150"/>
              <w:rPr>
                <w:rFonts w:ascii="宋体" w:hAnsi="宋体" w:eastAsia="宋体" w:cs="宋体"/>
                <w:sz w:val="21"/>
                <w:szCs w:val="21"/>
              </w:rPr>
            </w:pPr>
            <w:r>
              <w:rPr>
                <w:rFonts w:ascii="宋体" w:hAnsi="宋体" w:eastAsia="宋体" w:cs="宋体"/>
                <w:spacing w:val="-3"/>
                <w:sz w:val="21"/>
                <w:szCs w:val="21"/>
              </w:rPr>
              <w:t>隧洞分层取水</w:t>
            </w:r>
          </w:p>
        </w:tc>
        <w:tc>
          <w:tcPr>
            <w:tcW w:w="6215" w:type="dxa"/>
            <w:tcBorders>
              <w:right w:val="single" w:color="000000" w:sz="12" w:space="0"/>
            </w:tcBorders>
            <w:vAlign w:val="top"/>
          </w:tcPr>
          <w:p w14:paraId="08159E28">
            <w:pPr>
              <w:pStyle w:val="6"/>
              <w:spacing w:before="78" w:line="226" w:lineRule="auto"/>
              <w:ind w:left="68" w:right="41" w:hanging="15"/>
              <w:rPr>
                <w:rFonts w:ascii="宋体" w:hAnsi="宋体" w:eastAsia="宋体" w:cs="宋体"/>
              </w:rPr>
            </w:pPr>
            <w:r>
              <w:rPr>
                <w:rFonts w:ascii="宋体" w:hAnsi="宋体" w:eastAsia="宋体" w:cs="宋体"/>
                <w:spacing w:val="-2"/>
              </w:rPr>
              <w:t>通过分层取水，改善</w:t>
            </w:r>
            <w:r>
              <w:rPr>
                <w:rFonts w:ascii="宋体" w:hAnsi="宋体" w:eastAsia="宋体" w:cs="宋体"/>
                <w:spacing w:val="-28"/>
              </w:rPr>
              <w:t xml:space="preserve"> </w:t>
            </w:r>
            <w:r>
              <w:rPr>
                <w:spacing w:val="-2"/>
              </w:rPr>
              <w:t>3</w:t>
            </w:r>
            <w:r>
              <w:rPr>
                <w:spacing w:val="13"/>
              </w:rPr>
              <w:t xml:space="preserve"> </w:t>
            </w:r>
            <w:r>
              <w:rPr>
                <w:rFonts w:ascii="宋体" w:hAnsi="宋体" w:eastAsia="宋体" w:cs="宋体"/>
                <w:spacing w:val="-2"/>
              </w:rPr>
              <w:t>月</w:t>
            </w:r>
            <w:r>
              <w:rPr>
                <w:spacing w:val="-2"/>
              </w:rPr>
              <w:t>-7</w:t>
            </w:r>
            <w:r>
              <w:rPr>
                <w:spacing w:val="14"/>
              </w:rPr>
              <w:t xml:space="preserve"> </w:t>
            </w:r>
            <w:r>
              <w:rPr>
                <w:rFonts w:ascii="宋体" w:hAnsi="宋体" w:eastAsia="宋体" w:cs="宋体"/>
                <w:spacing w:val="-2"/>
              </w:rPr>
              <w:t>月由于库区水温分层下泄低温水对受水</w:t>
            </w:r>
            <w:r>
              <w:rPr>
                <w:rFonts w:ascii="宋体" w:hAnsi="宋体" w:eastAsia="宋体" w:cs="宋体"/>
                <w:spacing w:val="-5"/>
              </w:rPr>
              <w:t>区生态、农业的影响。</w:t>
            </w:r>
          </w:p>
        </w:tc>
      </w:tr>
      <w:tr w14:paraId="528D8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2258" w:type="dxa"/>
            <w:gridSpan w:val="2"/>
            <w:tcBorders>
              <w:left w:val="single" w:color="000000" w:sz="12" w:space="0"/>
            </w:tcBorders>
            <w:vAlign w:val="top"/>
          </w:tcPr>
          <w:p w14:paraId="72C3FB1A">
            <w:pPr>
              <w:spacing w:before="88" w:line="216" w:lineRule="auto"/>
              <w:ind w:left="177"/>
              <w:rPr>
                <w:rFonts w:ascii="宋体" w:hAnsi="宋体" w:eastAsia="宋体" w:cs="宋体"/>
                <w:sz w:val="21"/>
                <w:szCs w:val="21"/>
              </w:rPr>
            </w:pPr>
            <w:r>
              <w:rPr>
                <w:rFonts w:ascii="宋体" w:hAnsi="宋体" w:eastAsia="宋体" w:cs="宋体"/>
                <w:spacing w:val="-2"/>
                <w:sz w:val="21"/>
                <w:szCs w:val="21"/>
              </w:rPr>
              <w:t>安置区环境保护工程</w:t>
            </w:r>
          </w:p>
        </w:tc>
        <w:tc>
          <w:tcPr>
            <w:tcW w:w="6215" w:type="dxa"/>
            <w:tcBorders>
              <w:right w:val="single" w:color="000000" w:sz="12" w:space="0"/>
            </w:tcBorders>
            <w:vAlign w:val="top"/>
          </w:tcPr>
          <w:p w14:paraId="010C8E05">
            <w:pPr>
              <w:spacing w:before="88" w:line="216" w:lineRule="auto"/>
              <w:ind w:left="53"/>
              <w:rPr>
                <w:rFonts w:ascii="宋体" w:hAnsi="宋体" w:eastAsia="宋体" w:cs="宋体"/>
                <w:sz w:val="21"/>
                <w:szCs w:val="21"/>
              </w:rPr>
            </w:pPr>
            <w:r>
              <w:rPr>
                <w:rFonts w:ascii="宋体" w:hAnsi="宋体" w:eastAsia="宋体" w:cs="宋体"/>
                <w:spacing w:val="-1"/>
                <w:sz w:val="21"/>
                <w:szCs w:val="21"/>
              </w:rPr>
              <w:t>减少移民安置点占地产生的生态破坏和新的</w:t>
            </w:r>
            <w:r>
              <w:rPr>
                <w:rFonts w:ascii="宋体" w:hAnsi="宋体" w:eastAsia="宋体" w:cs="宋体"/>
                <w:spacing w:val="-2"/>
                <w:sz w:val="21"/>
                <w:szCs w:val="21"/>
              </w:rPr>
              <w:t>污染源对环境的污染。</w:t>
            </w:r>
          </w:p>
        </w:tc>
      </w:tr>
      <w:tr w14:paraId="5289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2258" w:type="dxa"/>
            <w:gridSpan w:val="2"/>
            <w:tcBorders>
              <w:left w:val="single" w:color="000000" w:sz="12" w:space="0"/>
            </w:tcBorders>
            <w:vAlign w:val="top"/>
          </w:tcPr>
          <w:p w14:paraId="131AE0DE">
            <w:pPr>
              <w:spacing w:before="218" w:line="220" w:lineRule="auto"/>
              <w:ind w:left="176"/>
              <w:rPr>
                <w:rFonts w:ascii="宋体" w:hAnsi="宋体" w:eastAsia="宋体" w:cs="宋体"/>
                <w:sz w:val="21"/>
                <w:szCs w:val="21"/>
              </w:rPr>
            </w:pPr>
            <w:r>
              <w:rPr>
                <w:rFonts w:ascii="宋体" w:hAnsi="宋体" w:eastAsia="宋体" w:cs="宋体"/>
                <w:spacing w:val="-2"/>
                <w:sz w:val="21"/>
                <w:szCs w:val="21"/>
              </w:rPr>
              <w:t>工程占地及恢复工程</w:t>
            </w:r>
          </w:p>
        </w:tc>
        <w:tc>
          <w:tcPr>
            <w:tcW w:w="6215" w:type="dxa"/>
            <w:tcBorders>
              <w:right w:val="single" w:color="000000" w:sz="12" w:space="0"/>
            </w:tcBorders>
            <w:vAlign w:val="top"/>
          </w:tcPr>
          <w:p w14:paraId="02725D6F">
            <w:pPr>
              <w:spacing w:before="83" w:line="224" w:lineRule="auto"/>
              <w:ind w:left="52" w:right="41"/>
              <w:rPr>
                <w:rFonts w:ascii="宋体" w:hAnsi="宋体" w:eastAsia="宋体" w:cs="宋体"/>
                <w:sz w:val="21"/>
                <w:szCs w:val="21"/>
              </w:rPr>
            </w:pPr>
            <w:r>
              <w:rPr>
                <w:rFonts w:ascii="宋体" w:hAnsi="宋体" w:eastAsia="宋体" w:cs="宋体"/>
                <w:sz w:val="21"/>
                <w:szCs w:val="21"/>
              </w:rPr>
              <w:t>控制占地范围，及时恢复植被，尽可能减少对陆生生态的破坏和干</w:t>
            </w:r>
            <w:r>
              <w:rPr>
                <w:rFonts w:ascii="宋体" w:hAnsi="宋体" w:eastAsia="宋体" w:cs="宋体"/>
                <w:spacing w:val="-10"/>
                <w:sz w:val="21"/>
                <w:szCs w:val="21"/>
              </w:rPr>
              <w:t>扰。</w:t>
            </w:r>
          </w:p>
        </w:tc>
      </w:tr>
      <w:tr w14:paraId="004D1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258" w:type="dxa"/>
            <w:gridSpan w:val="2"/>
            <w:tcBorders>
              <w:left w:val="single" w:color="000000" w:sz="12" w:space="0"/>
              <w:bottom w:val="single" w:color="000000" w:sz="12" w:space="0"/>
            </w:tcBorders>
            <w:vAlign w:val="top"/>
          </w:tcPr>
          <w:p w14:paraId="63159F12">
            <w:pPr>
              <w:spacing w:before="165" w:line="220" w:lineRule="auto"/>
              <w:ind w:left="180"/>
              <w:rPr>
                <w:rFonts w:ascii="宋体" w:hAnsi="宋体" w:eastAsia="宋体" w:cs="宋体"/>
                <w:sz w:val="21"/>
                <w:szCs w:val="21"/>
              </w:rPr>
            </w:pPr>
            <w:r>
              <w:rPr>
                <w:rFonts w:ascii="宋体" w:hAnsi="宋体" w:eastAsia="宋体" w:cs="宋体"/>
                <w:spacing w:val="-2"/>
                <w:sz w:val="21"/>
                <w:szCs w:val="21"/>
              </w:rPr>
              <w:t>马龙河旁路系统工程</w:t>
            </w:r>
          </w:p>
        </w:tc>
        <w:tc>
          <w:tcPr>
            <w:tcW w:w="6215" w:type="dxa"/>
            <w:tcBorders>
              <w:bottom w:val="single" w:color="000000" w:sz="12" w:space="0"/>
              <w:right w:val="single" w:color="000000" w:sz="12" w:space="0"/>
            </w:tcBorders>
            <w:vAlign w:val="top"/>
          </w:tcPr>
          <w:p w14:paraId="5804FFC0">
            <w:pPr>
              <w:spacing w:before="165" w:line="220" w:lineRule="auto"/>
              <w:ind w:left="53"/>
              <w:rPr>
                <w:rFonts w:ascii="宋体" w:hAnsi="宋体" w:eastAsia="宋体" w:cs="宋体"/>
                <w:sz w:val="21"/>
                <w:szCs w:val="21"/>
              </w:rPr>
            </w:pPr>
            <w:r>
              <w:rPr>
                <w:rFonts w:ascii="宋体" w:hAnsi="宋体" w:eastAsia="宋体" w:cs="宋体"/>
                <w:spacing w:val="-1"/>
                <w:sz w:val="21"/>
                <w:szCs w:val="21"/>
              </w:rPr>
              <w:t>通过建立人工湿地减少径流区入库污染物，</w:t>
            </w:r>
            <w:r>
              <w:rPr>
                <w:rFonts w:ascii="宋体" w:hAnsi="宋体" w:eastAsia="宋体" w:cs="宋体"/>
                <w:spacing w:val="-2"/>
                <w:sz w:val="21"/>
                <w:szCs w:val="21"/>
              </w:rPr>
              <w:t>兼顾生态恢复和景观。</w:t>
            </w:r>
          </w:p>
        </w:tc>
      </w:tr>
    </w:tbl>
    <w:p w14:paraId="63BA28C3">
      <w:pPr>
        <w:pStyle w:val="2"/>
        <w:spacing w:before="147" w:line="338" w:lineRule="auto"/>
        <w:ind w:left="38" w:right="31" w:firstLine="554"/>
        <w:jc w:val="both"/>
        <w:rPr>
          <w:sz w:val="24"/>
          <w:szCs w:val="24"/>
        </w:rPr>
      </w:pPr>
      <w:r>
        <w:rPr>
          <w:spacing w:val="-2"/>
          <w:sz w:val="24"/>
          <w:szCs w:val="24"/>
        </w:rPr>
        <w:t>截至</w:t>
      </w:r>
      <w:r>
        <w:rPr>
          <w:rFonts w:ascii="Times New Roman" w:hAnsi="Times New Roman" w:eastAsia="Times New Roman" w:cs="Times New Roman"/>
          <w:spacing w:val="-2"/>
          <w:sz w:val="24"/>
          <w:szCs w:val="24"/>
        </w:rPr>
        <w:t>2022</w:t>
      </w:r>
      <w:r>
        <w:rPr>
          <w:rFonts w:ascii="Times New Roman" w:hAnsi="Times New Roman" w:eastAsia="Times New Roman" w:cs="Times New Roman"/>
          <w:spacing w:val="24"/>
          <w:sz w:val="24"/>
          <w:szCs w:val="24"/>
        </w:rPr>
        <w:t xml:space="preserve"> </w:t>
      </w:r>
      <w:r>
        <w:rPr>
          <w:spacing w:val="-2"/>
          <w:sz w:val="24"/>
          <w:szCs w:val="24"/>
        </w:rPr>
        <w:t>年</w:t>
      </w:r>
      <w:r>
        <w:rPr>
          <w:spacing w:val="-41"/>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0"/>
          <w:sz w:val="24"/>
          <w:szCs w:val="24"/>
        </w:rPr>
        <w:t xml:space="preserve"> </w:t>
      </w:r>
      <w:r>
        <w:rPr>
          <w:spacing w:val="-2"/>
          <w:sz w:val="24"/>
          <w:szCs w:val="24"/>
        </w:rPr>
        <w:t>月，表</w:t>
      </w:r>
      <w:r>
        <w:rPr>
          <w:spacing w:val="-35"/>
          <w:sz w:val="24"/>
          <w:szCs w:val="24"/>
        </w:rPr>
        <w:t xml:space="preserve"> </w:t>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47"/>
          <w:sz w:val="24"/>
          <w:szCs w:val="24"/>
        </w:rPr>
        <w:t xml:space="preserve"> </w:t>
      </w:r>
      <w:r>
        <w:rPr>
          <w:spacing w:val="-2"/>
          <w:sz w:val="24"/>
          <w:szCs w:val="24"/>
        </w:rPr>
        <w:t>中所列各项生态保护工</w:t>
      </w:r>
      <w:r>
        <w:rPr>
          <w:spacing w:val="-3"/>
          <w:sz w:val="24"/>
          <w:szCs w:val="24"/>
        </w:rPr>
        <w:t>程进展情况为：低温水减</w:t>
      </w:r>
      <w:r>
        <w:rPr>
          <w:spacing w:val="3"/>
          <w:sz w:val="24"/>
          <w:szCs w:val="24"/>
        </w:rPr>
        <w:t>缓工程坝前和库中分层取水工程已与主体工</w:t>
      </w:r>
      <w:r>
        <w:rPr>
          <w:spacing w:val="2"/>
          <w:sz w:val="24"/>
          <w:szCs w:val="24"/>
        </w:rPr>
        <w:t>程同步建设完成；安置区环境保护措</w:t>
      </w:r>
      <w:r>
        <w:rPr>
          <w:spacing w:val="-4"/>
          <w:sz w:val="24"/>
          <w:szCs w:val="24"/>
        </w:rPr>
        <w:t>施项目已通过专项验收；鱼道工程已基本完成施工；鱼类增殖站已完成土建和</w:t>
      </w:r>
      <w:r>
        <w:rPr>
          <w:spacing w:val="-5"/>
          <w:sz w:val="24"/>
          <w:szCs w:val="24"/>
        </w:rPr>
        <w:t>设备</w:t>
      </w:r>
      <w:r>
        <w:rPr>
          <w:spacing w:val="-4"/>
          <w:sz w:val="24"/>
          <w:szCs w:val="24"/>
        </w:rPr>
        <w:t>安装；栖息地保护划分工作马龙区人民政府已完成各部门征求意见；河道连</w:t>
      </w:r>
      <w:r>
        <w:rPr>
          <w:spacing w:val="-5"/>
          <w:sz w:val="24"/>
          <w:szCs w:val="24"/>
        </w:rPr>
        <w:t>通性工</w:t>
      </w:r>
    </w:p>
    <w:p w14:paraId="4244F062">
      <w:pPr>
        <w:spacing w:line="338" w:lineRule="auto"/>
        <w:rPr>
          <w:sz w:val="24"/>
          <w:szCs w:val="24"/>
        </w:rPr>
        <w:sectPr>
          <w:headerReference r:id="rId82" w:type="default"/>
          <w:footerReference r:id="rId83" w:type="default"/>
          <w:pgSz w:w="11907" w:h="16839"/>
          <w:pgMar w:top="1376" w:right="1669" w:bottom="1061" w:left="1671" w:header="999" w:footer="859" w:gutter="0"/>
          <w:cols w:space="720" w:num="1"/>
        </w:sectPr>
      </w:pPr>
    </w:p>
    <w:p w14:paraId="4BFB30FF">
      <w:pPr>
        <w:spacing w:line="453" w:lineRule="auto"/>
        <w:rPr>
          <w:rFonts w:ascii="Arial"/>
          <w:sz w:val="21"/>
        </w:rPr>
      </w:pPr>
    </w:p>
    <w:p w14:paraId="4CB65994">
      <w:pPr>
        <w:pStyle w:val="2"/>
        <w:spacing w:before="78" w:line="339" w:lineRule="auto"/>
        <w:ind w:left="39" w:hanging="1"/>
        <w:jc w:val="both"/>
        <w:rPr>
          <w:sz w:val="24"/>
          <w:szCs w:val="24"/>
        </w:rPr>
      </w:pPr>
      <w:r>
        <w:rPr>
          <w:spacing w:val="-2"/>
          <w:sz w:val="24"/>
          <w:szCs w:val="24"/>
        </w:rPr>
        <w:t>程中滚水坝拆除和修建池式鱼道工程已完成前期征地；生态流量调</w:t>
      </w:r>
      <w:r>
        <w:rPr>
          <w:spacing w:val="-3"/>
          <w:sz w:val="24"/>
          <w:szCs w:val="24"/>
        </w:rPr>
        <w:t>度方案已制定，</w:t>
      </w:r>
      <w:r>
        <w:rPr>
          <w:spacing w:val="3"/>
          <w:sz w:val="24"/>
          <w:szCs w:val="24"/>
        </w:rPr>
        <w:t>生态流量输水管已与主体工程同步建设，已安装临时生态流</w:t>
      </w:r>
      <w:r>
        <w:rPr>
          <w:spacing w:val="2"/>
          <w:sz w:val="24"/>
          <w:szCs w:val="24"/>
        </w:rPr>
        <w:t>量在线监测系统并开</w:t>
      </w:r>
      <w:r>
        <w:rPr>
          <w:spacing w:val="-1"/>
          <w:sz w:val="24"/>
          <w:szCs w:val="24"/>
        </w:rPr>
        <w:t>始监测；马龙河旁路系统设计方案已通过专家审查，下一步进</w:t>
      </w:r>
      <w:r>
        <w:rPr>
          <w:spacing w:val="-2"/>
          <w:sz w:val="24"/>
          <w:szCs w:val="24"/>
        </w:rPr>
        <w:t>入招标施工阶段。</w:t>
      </w:r>
    </w:p>
    <w:p w14:paraId="7CB10EDD">
      <w:pPr>
        <w:pStyle w:val="2"/>
        <w:spacing w:line="220" w:lineRule="auto"/>
        <w:ind w:left="522"/>
        <w:rPr>
          <w:sz w:val="24"/>
          <w:szCs w:val="24"/>
        </w:rPr>
      </w:pPr>
      <w:r>
        <w:rPr>
          <w:spacing w:val="-3"/>
          <w:sz w:val="24"/>
          <w:szCs w:val="24"/>
        </w:rPr>
        <w:t>各项生态保护工程具体要求及实施情况分述如下：</w:t>
      </w:r>
    </w:p>
    <w:p w14:paraId="7EF27B65">
      <w:pPr>
        <w:pStyle w:val="2"/>
        <w:spacing w:before="240" w:line="226" w:lineRule="auto"/>
        <w:ind w:left="35"/>
        <w:rPr>
          <w:sz w:val="27"/>
          <w:szCs w:val="27"/>
        </w:rPr>
      </w:pPr>
      <w:r>
        <w:rPr>
          <w:rFonts w:ascii="Arial" w:hAnsi="Arial" w:eastAsia="Arial" w:cs="Arial"/>
          <w:spacing w:val="7"/>
          <w:position w:val="1"/>
          <w:sz w:val="21"/>
          <w:szCs w:val="21"/>
        </w:rPr>
        <w:t xml:space="preserve">5.1.1     </w:t>
      </w:r>
      <w:r>
        <w:rPr>
          <w:b/>
          <w:bCs/>
          <w:spacing w:val="7"/>
          <w:position w:val="-1"/>
          <w:sz w:val="27"/>
          <w:szCs w:val="27"/>
        </w:rPr>
        <w:t>鱼类保护工程</w:t>
      </w:r>
    </w:p>
    <w:p w14:paraId="2721C46D">
      <w:pPr>
        <w:pStyle w:val="2"/>
        <w:spacing w:before="264" w:line="220" w:lineRule="auto"/>
        <w:ind w:left="34"/>
        <w:rPr>
          <w:sz w:val="24"/>
          <w:szCs w:val="24"/>
        </w:rPr>
      </w:pPr>
      <w:r>
        <w:rPr>
          <w:rFonts w:ascii="Arial" w:hAnsi="Arial" w:eastAsia="Arial" w:cs="Arial"/>
          <w:spacing w:val="6"/>
          <w:sz w:val="18"/>
          <w:szCs w:val="18"/>
        </w:rPr>
        <w:t>5.1.1.1</w:t>
      </w:r>
      <w:r>
        <w:rPr>
          <w:rFonts w:ascii="Arial" w:hAnsi="Arial" w:eastAsia="Arial" w:cs="Arial"/>
          <w:spacing w:val="51"/>
          <w:sz w:val="18"/>
          <w:szCs w:val="18"/>
        </w:rPr>
        <w:t xml:space="preserve"> </w:t>
      </w:r>
      <w:r>
        <w:rPr>
          <w:b/>
          <w:bCs/>
          <w:spacing w:val="6"/>
          <w:sz w:val="24"/>
          <w:szCs w:val="24"/>
        </w:rPr>
        <w:t>鱼道工程</w:t>
      </w:r>
    </w:p>
    <w:p w14:paraId="085B4C82">
      <w:pPr>
        <w:pStyle w:val="2"/>
        <w:spacing w:before="268" w:line="339" w:lineRule="auto"/>
        <w:ind w:left="38" w:right="65" w:firstLine="484"/>
        <w:rPr>
          <w:sz w:val="24"/>
          <w:szCs w:val="24"/>
        </w:rPr>
      </w:pPr>
      <w:r>
        <w:rPr>
          <w:spacing w:val="-3"/>
          <w:sz w:val="24"/>
          <w:szCs w:val="24"/>
        </w:rPr>
        <w:t>鱼道类型为横隔板槽式鱼道，布置于大坝左岸，全长约</w:t>
      </w:r>
      <w:r>
        <w:rPr>
          <w:spacing w:val="-45"/>
          <w:sz w:val="24"/>
          <w:szCs w:val="24"/>
        </w:rPr>
        <w:t xml:space="preserve"> </w:t>
      </w:r>
      <w:r>
        <w:rPr>
          <w:rFonts w:ascii="Times New Roman" w:hAnsi="Times New Roman" w:eastAsia="Times New Roman" w:cs="Times New Roman"/>
          <w:spacing w:val="-3"/>
          <w:sz w:val="24"/>
          <w:szCs w:val="24"/>
        </w:rPr>
        <w:t>3696.6m</w:t>
      </w:r>
      <w:r>
        <w:rPr>
          <w:spacing w:val="-3"/>
          <w:sz w:val="24"/>
          <w:szCs w:val="24"/>
        </w:rPr>
        <w:t>，分为明槽段</w:t>
      </w:r>
      <w:r>
        <w:rPr>
          <w:spacing w:val="-7"/>
          <w:sz w:val="24"/>
          <w:szCs w:val="24"/>
        </w:rPr>
        <w:t xml:space="preserve">（长 </w:t>
      </w:r>
      <w:r>
        <w:rPr>
          <w:rFonts w:ascii="Times New Roman" w:hAnsi="Times New Roman" w:eastAsia="Times New Roman" w:cs="Times New Roman"/>
          <w:spacing w:val="-7"/>
          <w:sz w:val="24"/>
          <w:szCs w:val="24"/>
        </w:rPr>
        <w:t>1979.0m</w:t>
      </w:r>
      <w:r>
        <w:rPr>
          <w:spacing w:val="-7"/>
          <w:sz w:val="24"/>
          <w:szCs w:val="24"/>
        </w:rPr>
        <w:t xml:space="preserve">）与隧洞段（长 </w:t>
      </w:r>
      <w:r>
        <w:rPr>
          <w:rFonts w:ascii="Times New Roman" w:hAnsi="Times New Roman" w:eastAsia="Times New Roman" w:cs="Times New Roman"/>
          <w:spacing w:val="-7"/>
          <w:sz w:val="24"/>
          <w:szCs w:val="24"/>
        </w:rPr>
        <w:t>1717.6m</w:t>
      </w:r>
      <w:r>
        <w:rPr>
          <w:spacing w:val="-61"/>
          <w:w w:val="97"/>
          <w:sz w:val="24"/>
          <w:szCs w:val="24"/>
        </w:rPr>
        <w:t>），</w:t>
      </w:r>
      <w:r>
        <w:rPr>
          <w:spacing w:val="-7"/>
          <w:sz w:val="24"/>
          <w:szCs w:val="24"/>
        </w:rPr>
        <w:t>主要建筑物包括进口、过鱼池、休息池、</w:t>
      </w:r>
      <w:r>
        <w:rPr>
          <w:spacing w:val="-3"/>
          <w:sz w:val="24"/>
          <w:szCs w:val="24"/>
        </w:rPr>
        <w:t>出口等。设</w:t>
      </w:r>
      <w:r>
        <w:rPr>
          <w:spacing w:val="-21"/>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9"/>
          <w:sz w:val="24"/>
          <w:szCs w:val="24"/>
        </w:rPr>
        <w:t xml:space="preserve"> </w:t>
      </w:r>
      <w:r>
        <w:rPr>
          <w:spacing w:val="-3"/>
          <w:sz w:val="24"/>
          <w:szCs w:val="24"/>
        </w:rPr>
        <w:t xml:space="preserve">个鱼道进口，布置于泄洪放空隧洞消力池下游约 </w:t>
      </w:r>
      <w:r>
        <w:rPr>
          <w:rFonts w:ascii="Times New Roman" w:hAnsi="Times New Roman" w:eastAsia="Times New Roman" w:cs="Times New Roman"/>
          <w:spacing w:val="-3"/>
          <w:sz w:val="24"/>
          <w:szCs w:val="24"/>
        </w:rPr>
        <w:t>50m</w:t>
      </w:r>
      <w:r>
        <w:rPr>
          <w:rFonts w:ascii="Times New Roman" w:hAnsi="Times New Roman" w:eastAsia="Times New Roman" w:cs="Times New Roman"/>
          <w:spacing w:val="21"/>
          <w:w w:val="101"/>
          <w:sz w:val="24"/>
          <w:szCs w:val="24"/>
        </w:rPr>
        <w:t xml:space="preserve"> </w:t>
      </w:r>
      <w:r>
        <w:rPr>
          <w:spacing w:val="-3"/>
          <w:sz w:val="24"/>
          <w:szCs w:val="24"/>
        </w:rPr>
        <w:t>处，利用原有天然河沟布置，进鱼口底板高程</w:t>
      </w:r>
      <w:r>
        <w:rPr>
          <w:spacing w:val="-32"/>
          <w:sz w:val="24"/>
          <w:szCs w:val="24"/>
        </w:rPr>
        <w:t xml:space="preserve"> </w:t>
      </w:r>
      <w:r>
        <w:rPr>
          <w:rFonts w:ascii="Times New Roman" w:hAnsi="Times New Roman" w:eastAsia="Times New Roman" w:cs="Times New Roman"/>
          <w:spacing w:val="-3"/>
          <w:sz w:val="24"/>
          <w:szCs w:val="24"/>
        </w:rPr>
        <w:t>1892.3m</w:t>
      </w:r>
      <w:r>
        <w:rPr>
          <w:spacing w:val="-3"/>
          <w:sz w:val="24"/>
          <w:szCs w:val="24"/>
        </w:rPr>
        <w:t>。大坝上游设</w:t>
      </w:r>
      <w:r>
        <w:rPr>
          <w:spacing w:val="-50"/>
          <w:sz w:val="24"/>
          <w:szCs w:val="24"/>
        </w:rPr>
        <w:t xml:space="preserve"> </w:t>
      </w:r>
      <w:r>
        <w:rPr>
          <w:rFonts w:ascii="Times New Roman" w:hAnsi="Times New Roman" w:eastAsia="Times New Roman" w:cs="Times New Roman"/>
          <w:spacing w:val="-3"/>
          <w:sz w:val="24"/>
          <w:szCs w:val="24"/>
        </w:rPr>
        <w:t xml:space="preserve">7 </w:t>
      </w:r>
      <w:r>
        <w:rPr>
          <w:spacing w:val="-3"/>
          <w:sz w:val="24"/>
          <w:szCs w:val="24"/>
        </w:rPr>
        <w:t>个鱼道出口，</w:t>
      </w:r>
      <w:r>
        <w:rPr>
          <w:rFonts w:ascii="Times New Roman" w:hAnsi="Times New Roman" w:eastAsia="Times New Roman" w:cs="Times New Roman"/>
          <w:spacing w:val="-3"/>
          <w:sz w:val="24"/>
          <w:szCs w:val="24"/>
        </w:rPr>
        <w:t>1#</w:t>
      </w:r>
      <w:r>
        <w:rPr>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4"/>
          <w:sz w:val="24"/>
          <w:szCs w:val="24"/>
        </w:rPr>
        <w:t>#</w:t>
      </w:r>
      <w:r>
        <w:rPr>
          <w:spacing w:val="-4"/>
          <w:sz w:val="24"/>
          <w:szCs w:val="24"/>
        </w:rPr>
        <w:t>出口</w:t>
      </w:r>
      <w:r>
        <w:rPr>
          <w:spacing w:val="-3"/>
          <w:sz w:val="24"/>
          <w:szCs w:val="24"/>
        </w:rPr>
        <w:t>的底板高程依次为</w:t>
      </w:r>
      <w:r>
        <w:rPr>
          <w:spacing w:val="-28"/>
          <w:sz w:val="24"/>
          <w:szCs w:val="24"/>
        </w:rPr>
        <w:t xml:space="preserve"> </w:t>
      </w:r>
      <w:r>
        <w:rPr>
          <w:rFonts w:ascii="Times New Roman" w:hAnsi="Times New Roman" w:eastAsia="Times New Roman" w:cs="Times New Roman"/>
          <w:spacing w:val="-3"/>
          <w:sz w:val="24"/>
          <w:szCs w:val="24"/>
        </w:rPr>
        <w:t>1937.0m</w:t>
      </w:r>
      <w:r>
        <w:rPr>
          <w:rFonts w:ascii="Times New Roman" w:hAnsi="Times New Roman" w:eastAsia="Times New Roman" w:cs="Times New Roman"/>
          <w:spacing w:val="-36"/>
          <w:sz w:val="24"/>
          <w:szCs w:val="24"/>
        </w:rPr>
        <w:t xml:space="preserve"> </w:t>
      </w:r>
      <w:r>
        <w:rPr>
          <w:spacing w:val="-3"/>
          <w:sz w:val="24"/>
          <w:szCs w:val="24"/>
        </w:rPr>
        <w:t>、</w:t>
      </w:r>
      <w:r>
        <w:rPr>
          <w:rFonts w:ascii="Times New Roman" w:hAnsi="Times New Roman" w:eastAsia="Times New Roman" w:cs="Times New Roman"/>
          <w:spacing w:val="-3"/>
          <w:sz w:val="24"/>
          <w:szCs w:val="24"/>
        </w:rPr>
        <w:t>1935.5m</w:t>
      </w:r>
      <w:r>
        <w:rPr>
          <w:rFonts w:ascii="Times New Roman" w:hAnsi="Times New Roman" w:eastAsia="Times New Roman" w:cs="Times New Roman"/>
          <w:spacing w:val="-35"/>
          <w:sz w:val="24"/>
          <w:szCs w:val="24"/>
        </w:rPr>
        <w:t xml:space="preserve"> </w:t>
      </w:r>
      <w:r>
        <w:rPr>
          <w:spacing w:val="-3"/>
          <w:sz w:val="24"/>
          <w:szCs w:val="24"/>
        </w:rPr>
        <w:t>、</w:t>
      </w:r>
      <w:r>
        <w:rPr>
          <w:rFonts w:ascii="Times New Roman" w:hAnsi="Times New Roman" w:eastAsia="Times New Roman" w:cs="Times New Roman"/>
          <w:spacing w:val="-3"/>
          <w:sz w:val="24"/>
          <w:szCs w:val="24"/>
        </w:rPr>
        <w:t>1934.0m</w:t>
      </w:r>
      <w:r>
        <w:rPr>
          <w:rFonts w:ascii="Times New Roman" w:hAnsi="Times New Roman" w:eastAsia="Times New Roman" w:cs="Times New Roman"/>
          <w:spacing w:val="-35"/>
          <w:sz w:val="24"/>
          <w:szCs w:val="24"/>
        </w:rPr>
        <w:t xml:space="preserve"> </w:t>
      </w:r>
      <w:r>
        <w:rPr>
          <w:spacing w:val="-3"/>
          <w:sz w:val="24"/>
          <w:szCs w:val="24"/>
        </w:rPr>
        <w:t>、</w:t>
      </w:r>
      <w:r>
        <w:rPr>
          <w:rFonts w:ascii="Times New Roman" w:hAnsi="Times New Roman" w:eastAsia="Times New Roman" w:cs="Times New Roman"/>
          <w:spacing w:val="-3"/>
          <w:sz w:val="24"/>
          <w:szCs w:val="24"/>
        </w:rPr>
        <w:t>1932.5</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35"/>
          <w:sz w:val="24"/>
          <w:szCs w:val="24"/>
        </w:rPr>
        <w:t xml:space="preserve"> </w:t>
      </w:r>
      <w:r>
        <w:rPr>
          <w:spacing w:val="-4"/>
          <w:sz w:val="24"/>
          <w:szCs w:val="24"/>
        </w:rPr>
        <w:t>、</w:t>
      </w:r>
      <w:r>
        <w:rPr>
          <w:rFonts w:ascii="Times New Roman" w:hAnsi="Times New Roman" w:eastAsia="Times New Roman" w:cs="Times New Roman"/>
          <w:spacing w:val="-4"/>
          <w:sz w:val="24"/>
          <w:szCs w:val="24"/>
        </w:rPr>
        <w:t>1931.0m</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1929.5m</w:t>
      </w:r>
      <w:r>
        <w:rPr>
          <w:rFonts w:ascii="Times New Roman" w:hAnsi="Times New Roman" w:eastAsia="Times New Roman" w:cs="Times New Roman"/>
          <w:spacing w:val="-36"/>
          <w:sz w:val="24"/>
          <w:szCs w:val="24"/>
        </w:rPr>
        <w:t xml:space="preserve"> </w:t>
      </w:r>
      <w:r>
        <w:rPr>
          <w:spacing w:val="-4"/>
          <w:sz w:val="24"/>
          <w:szCs w:val="24"/>
        </w:rPr>
        <w:t>、</w:t>
      </w:r>
      <w:r>
        <w:rPr>
          <w:sz w:val="24"/>
          <w:szCs w:val="24"/>
        </w:rPr>
        <w:t xml:space="preserve"> </w:t>
      </w:r>
      <w:r>
        <w:rPr>
          <w:rFonts w:ascii="Times New Roman" w:hAnsi="Times New Roman" w:eastAsia="Times New Roman" w:cs="Times New Roman"/>
          <w:spacing w:val="-1"/>
          <w:sz w:val="24"/>
          <w:szCs w:val="24"/>
        </w:rPr>
        <w:t>1928.0m</w:t>
      </w:r>
      <w:r>
        <w:rPr>
          <w:spacing w:val="-1"/>
          <w:sz w:val="24"/>
          <w:szCs w:val="24"/>
        </w:rPr>
        <w:t>。每个出口处设置闸门竖井，在鱼道运行时，打开与库区水位相对应的鱼道出口闸门，其余闸门处于关闭状态。鱼道工程总平面布置示意图见附图</w:t>
      </w:r>
      <w:r>
        <w:rPr>
          <w:spacing w:val="-31"/>
          <w:sz w:val="24"/>
          <w:szCs w:val="24"/>
        </w:rPr>
        <w:t xml:space="preserve"> </w:t>
      </w:r>
      <w:r>
        <w:rPr>
          <w:rFonts w:ascii="Times New Roman" w:hAnsi="Times New Roman" w:eastAsia="Times New Roman" w:cs="Times New Roman"/>
          <w:spacing w:val="-2"/>
          <w:sz w:val="24"/>
          <w:szCs w:val="24"/>
        </w:rPr>
        <w:t>10</w:t>
      </w:r>
      <w:r>
        <w:rPr>
          <w:spacing w:val="-2"/>
          <w:sz w:val="24"/>
          <w:szCs w:val="24"/>
        </w:rPr>
        <w:t>。</w:t>
      </w:r>
    </w:p>
    <w:p w14:paraId="510560E6">
      <w:pPr>
        <w:pStyle w:val="2"/>
        <w:spacing w:line="232" w:lineRule="auto"/>
        <w:ind w:left="565"/>
        <w:rPr>
          <w:sz w:val="24"/>
          <w:szCs w:val="24"/>
        </w:rPr>
      </w:pPr>
      <w:r>
        <w:rPr>
          <w:spacing w:val="-2"/>
          <w:sz w:val="24"/>
          <w:szCs w:val="24"/>
        </w:rPr>
        <w:t>目前，鱼道主体工程已基本完工，进出口建设情况见</w:t>
      </w:r>
      <w:r>
        <w:rPr>
          <w:spacing w:val="-3"/>
          <w:sz w:val="24"/>
          <w:szCs w:val="24"/>
        </w:rPr>
        <w:t>图</w:t>
      </w:r>
      <w:r>
        <w:rPr>
          <w:spacing w:val="-48"/>
          <w:sz w:val="24"/>
          <w:szCs w:val="24"/>
        </w:rPr>
        <w:t xml:space="preserve"> </w:t>
      </w:r>
      <w:r>
        <w:rPr>
          <w:rFonts w:ascii="Times New Roman" w:hAnsi="Times New Roman" w:eastAsia="Times New Roman" w:cs="Times New Roman"/>
          <w:spacing w:val="-3"/>
          <w:sz w:val="24"/>
          <w:szCs w:val="24"/>
        </w:rPr>
        <w:t>5.1-1</w:t>
      </w:r>
      <w:r>
        <w:rPr>
          <w:spacing w:val="-3"/>
          <w:sz w:val="24"/>
          <w:szCs w:val="24"/>
        </w:rPr>
        <w:t>。</w:t>
      </w:r>
    </w:p>
    <w:p w14:paraId="5F69E1CC">
      <w:pPr>
        <w:spacing w:before="10" w:line="2996" w:lineRule="exact"/>
        <w:ind w:firstLine="162"/>
      </w:pPr>
      <w:r>
        <w:drawing>
          <wp:anchor distT="0" distB="0" distL="0" distR="0" simplePos="0" relativeHeight="251692032" behindDoc="0" locked="0" layoutInCell="1" allowOverlap="1">
            <wp:simplePos x="0" y="0"/>
            <wp:positionH relativeFrom="column">
              <wp:posOffset>2803525</wp:posOffset>
            </wp:positionH>
            <wp:positionV relativeFrom="paragraph">
              <wp:posOffset>10795</wp:posOffset>
            </wp:positionV>
            <wp:extent cx="2519680" cy="1889760"/>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50"/>
                    <a:stretch>
                      <a:fillRect/>
                    </a:stretch>
                  </pic:blipFill>
                  <pic:spPr>
                    <a:xfrm>
                      <a:off x="0" y="0"/>
                      <a:ext cx="2519679" cy="1889760"/>
                    </a:xfrm>
                    <a:prstGeom prst="rect">
                      <a:avLst/>
                    </a:prstGeom>
                  </pic:spPr>
                </pic:pic>
              </a:graphicData>
            </a:graphic>
          </wp:anchor>
        </w:drawing>
      </w:r>
      <w:r>
        <w:rPr>
          <w:position w:val="-59"/>
        </w:rPr>
        <w:drawing>
          <wp:inline distT="0" distB="0" distL="0" distR="0">
            <wp:extent cx="2531745" cy="190182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51"/>
                    <a:stretch>
                      <a:fillRect/>
                    </a:stretch>
                  </pic:blipFill>
                  <pic:spPr>
                    <a:xfrm>
                      <a:off x="0" y="0"/>
                      <a:ext cx="2532379" cy="1902459"/>
                    </a:xfrm>
                    <a:prstGeom prst="rect">
                      <a:avLst/>
                    </a:prstGeom>
                  </pic:spPr>
                </pic:pic>
              </a:graphicData>
            </a:graphic>
          </wp:inline>
        </w:drawing>
      </w:r>
    </w:p>
    <w:p w14:paraId="67388751">
      <w:pPr>
        <w:pStyle w:val="2"/>
        <w:spacing w:before="189" w:line="233" w:lineRule="auto"/>
        <w:ind w:left="2407"/>
        <w:rPr>
          <w:sz w:val="24"/>
          <w:szCs w:val="24"/>
        </w:rPr>
      </w:pPr>
      <w:r>
        <w:rPr>
          <w:b/>
          <w:bCs/>
          <w:spacing w:val="-3"/>
          <w:sz w:val="24"/>
          <w:szCs w:val="24"/>
        </w:rPr>
        <w:t>图</w:t>
      </w:r>
      <w:r>
        <w:rPr>
          <w:spacing w:val="-32"/>
          <w:sz w:val="24"/>
          <w:szCs w:val="24"/>
        </w:rPr>
        <w:t xml:space="preserve"> </w:t>
      </w:r>
      <w:r>
        <w:rPr>
          <w:rFonts w:ascii="Times New Roman" w:hAnsi="Times New Roman" w:eastAsia="Times New Roman" w:cs="Times New Roman"/>
          <w:b/>
          <w:bCs/>
          <w:spacing w:val="-3"/>
          <w:sz w:val="24"/>
          <w:szCs w:val="24"/>
        </w:rPr>
        <w:t xml:space="preserve">5.1-1          </w:t>
      </w:r>
      <w:r>
        <w:rPr>
          <w:b/>
          <w:bCs/>
          <w:spacing w:val="-3"/>
          <w:sz w:val="24"/>
          <w:szCs w:val="24"/>
        </w:rPr>
        <w:t>鱼道进、出口建设现状</w:t>
      </w:r>
    </w:p>
    <w:p w14:paraId="3B199390">
      <w:pPr>
        <w:pStyle w:val="2"/>
        <w:spacing w:before="119" w:line="339" w:lineRule="auto"/>
        <w:ind w:left="45" w:right="65" w:firstLine="473"/>
        <w:rPr>
          <w:sz w:val="24"/>
          <w:szCs w:val="24"/>
        </w:rPr>
      </w:pPr>
      <w:r>
        <w:rPr>
          <w:spacing w:val="-3"/>
          <w:sz w:val="24"/>
          <w:szCs w:val="24"/>
        </w:rPr>
        <w:t>根据蓄水计划，一期蓄水最高控制水位为</w:t>
      </w:r>
      <w:r>
        <w:rPr>
          <w:spacing w:val="-31"/>
          <w:sz w:val="24"/>
          <w:szCs w:val="24"/>
        </w:rPr>
        <w:t xml:space="preserve"> </w:t>
      </w:r>
      <w:r>
        <w:rPr>
          <w:rFonts w:ascii="Times New Roman" w:hAnsi="Times New Roman" w:eastAsia="Times New Roman" w:cs="Times New Roman"/>
          <w:spacing w:val="-3"/>
          <w:sz w:val="24"/>
          <w:szCs w:val="24"/>
        </w:rPr>
        <w:t>1925.0m</w:t>
      </w:r>
      <w:r>
        <w:rPr>
          <w:spacing w:val="-3"/>
          <w:sz w:val="24"/>
          <w:szCs w:val="24"/>
        </w:rPr>
        <w:t>，低</w:t>
      </w:r>
      <w:r>
        <w:rPr>
          <w:spacing w:val="-4"/>
          <w:sz w:val="24"/>
          <w:szCs w:val="24"/>
        </w:rPr>
        <w:t>于鱼道出水口最低底板</w:t>
      </w:r>
      <w:r>
        <w:rPr>
          <w:spacing w:val="-2"/>
          <w:sz w:val="24"/>
          <w:szCs w:val="24"/>
        </w:rPr>
        <w:t>高程</w:t>
      </w:r>
      <w:r>
        <w:rPr>
          <w:spacing w:val="-32"/>
          <w:sz w:val="24"/>
          <w:szCs w:val="24"/>
        </w:rPr>
        <w:t xml:space="preserve"> </w:t>
      </w:r>
      <w:r>
        <w:rPr>
          <w:rFonts w:ascii="Times New Roman" w:hAnsi="Times New Roman" w:eastAsia="Times New Roman" w:cs="Times New Roman"/>
          <w:spacing w:val="-2"/>
          <w:sz w:val="24"/>
          <w:szCs w:val="24"/>
        </w:rPr>
        <w:t>1928.0m</w:t>
      </w:r>
      <w:r>
        <w:rPr>
          <w:spacing w:val="-2"/>
          <w:sz w:val="24"/>
          <w:szCs w:val="24"/>
        </w:rPr>
        <w:t>，因此，一期蓄水期间，库区水位</w:t>
      </w:r>
      <w:r>
        <w:rPr>
          <w:spacing w:val="-3"/>
          <w:sz w:val="24"/>
          <w:szCs w:val="24"/>
        </w:rPr>
        <w:t>不会淹没鱼道出口。</w:t>
      </w:r>
    </w:p>
    <w:p w14:paraId="4156C656">
      <w:pPr>
        <w:pStyle w:val="2"/>
        <w:spacing w:before="118" w:line="220" w:lineRule="auto"/>
        <w:ind w:left="34"/>
        <w:rPr>
          <w:sz w:val="24"/>
          <w:szCs w:val="24"/>
        </w:rPr>
      </w:pPr>
      <w:r>
        <w:rPr>
          <w:rFonts w:ascii="Arial" w:hAnsi="Arial" w:eastAsia="Arial" w:cs="Arial"/>
          <w:spacing w:val="6"/>
          <w:position w:val="1"/>
          <w:sz w:val="18"/>
          <w:szCs w:val="18"/>
        </w:rPr>
        <w:t>5.1.1.2</w:t>
      </w:r>
      <w:r>
        <w:rPr>
          <w:rFonts w:ascii="Arial" w:hAnsi="Arial" w:eastAsia="Arial" w:cs="Arial"/>
          <w:spacing w:val="41"/>
          <w:w w:val="101"/>
          <w:position w:val="1"/>
          <w:sz w:val="18"/>
          <w:szCs w:val="18"/>
        </w:rPr>
        <w:t xml:space="preserve"> </w:t>
      </w:r>
      <w:r>
        <w:rPr>
          <w:b/>
          <w:bCs/>
          <w:spacing w:val="6"/>
          <w:position w:val="-1"/>
          <w:sz w:val="24"/>
          <w:szCs w:val="24"/>
        </w:rPr>
        <w:t>鱼类增殖站</w:t>
      </w:r>
    </w:p>
    <w:p w14:paraId="6C7EF919">
      <w:pPr>
        <w:pStyle w:val="2"/>
        <w:spacing w:before="276" w:line="334" w:lineRule="auto"/>
        <w:ind w:left="38" w:right="66" w:firstLine="484"/>
        <w:jc w:val="both"/>
        <w:rPr>
          <w:sz w:val="24"/>
          <w:szCs w:val="24"/>
        </w:rPr>
      </w:pPr>
      <w:r>
        <w:rPr>
          <w:spacing w:val="2"/>
          <w:sz w:val="24"/>
          <w:szCs w:val="24"/>
        </w:rPr>
        <w:t xml:space="preserve">鱼类增殖站布置于坝址下游左岸滩地，总用地面积约 </w:t>
      </w:r>
      <w:r>
        <w:rPr>
          <w:rFonts w:ascii="Times New Roman" w:hAnsi="Times New Roman" w:eastAsia="Times New Roman" w:cs="Times New Roman"/>
          <w:spacing w:val="2"/>
          <w:sz w:val="24"/>
          <w:szCs w:val="24"/>
        </w:rPr>
        <w:t>1.06</w:t>
      </w:r>
      <w:r>
        <w:rPr>
          <w:rFonts w:ascii="Times New Roman" w:hAnsi="Times New Roman" w:eastAsia="Times New Roman" w:cs="Times New Roman"/>
          <w:sz w:val="24"/>
          <w:szCs w:val="24"/>
        </w:rPr>
        <w:t>hm</w:t>
      </w:r>
      <w:r>
        <w:rPr>
          <w:rFonts w:ascii="Times New Roman" w:hAnsi="Times New Roman" w:eastAsia="Times New Roman" w:cs="Times New Roman"/>
          <w:spacing w:val="2"/>
          <w:position w:val="8"/>
          <w:sz w:val="15"/>
          <w:szCs w:val="15"/>
        </w:rPr>
        <w:t xml:space="preserve">2 </w:t>
      </w:r>
      <w:r>
        <w:rPr>
          <w:spacing w:val="2"/>
          <w:sz w:val="24"/>
          <w:szCs w:val="24"/>
        </w:rPr>
        <w:t>，总建筑面积</w:t>
      </w:r>
      <w:r>
        <w:rPr>
          <w:rFonts w:ascii="Times New Roman" w:hAnsi="Times New Roman" w:eastAsia="Times New Roman" w:cs="Times New Roman"/>
          <w:spacing w:val="-1"/>
          <w:sz w:val="24"/>
          <w:szCs w:val="24"/>
        </w:rPr>
        <w:t>1659.80m</w:t>
      </w:r>
      <w:r>
        <w:rPr>
          <w:rFonts w:ascii="Times New Roman" w:hAnsi="Times New Roman" w:eastAsia="Times New Roman" w:cs="Times New Roman"/>
          <w:spacing w:val="-1"/>
          <w:position w:val="8"/>
          <w:sz w:val="15"/>
          <w:szCs w:val="15"/>
        </w:rPr>
        <w:t xml:space="preserve">2 </w:t>
      </w:r>
      <w:r>
        <w:rPr>
          <w:spacing w:val="-1"/>
          <w:sz w:val="24"/>
          <w:szCs w:val="24"/>
        </w:rPr>
        <w:t>。增殖放流对象为：滇池金线鲃、云南盘鮈、云南光唇鱼。增殖放流规模为：</w:t>
      </w:r>
      <w:r>
        <w:rPr>
          <w:rFonts w:ascii="Times New Roman" w:hAnsi="Times New Roman" w:eastAsia="Times New Roman" w:cs="Times New Roman"/>
          <w:spacing w:val="-1"/>
          <w:sz w:val="24"/>
          <w:szCs w:val="24"/>
        </w:rPr>
        <w:t>16</w:t>
      </w:r>
      <w:r>
        <w:rPr>
          <w:rFonts w:ascii="Times New Roman" w:hAnsi="Times New Roman" w:eastAsia="Times New Roman" w:cs="Times New Roman"/>
          <w:spacing w:val="15"/>
          <w:w w:val="101"/>
          <w:sz w:val="24"/>
          <w:szCs w:val="24"/>
        </w:rPr>
        <w:t xml:space="preserve"> </w:t>
      </w:r>
      <w:r>
        <w:rPr>
          <w:spacing w:val="-1"/>
          <w:sz w:val="24"/>
          <w:szCs w:val="24"/>
        </w:rPr>
        <w:t>万尾</w:t>
      </w:r>
      <w:r>
        <w:rPr>
          <w:rFonts w:ascii="Times New Roman" w:hAnsi="Times New Roman" w:eastAsia="Times New Roman" w:cs="Times New Roman"/>
          <w:spacing w:val="-1"/>
          <w:sz w:val="24"/>
          <w:szCs w:val="24"/>
        </w:rPr>
        <w:t>/</w:t>
      </w:r>
      <w:r>
        <w:rPr>
          <w:spacing w:val="-1"/>
          <w:sz w:val="24"/>
          <w:szCs w:val="24"/>
        </w:rPr>
        <w:t>年。生产工艺流程包括苗种生产和放流，</w:t>
      </w:r>
      <w:r>
        <w:rPr>
          <w:spacing w:val="-2"/>
          <w:sz w:val="24"/>
          <w:szCs w:val="24"/>
        </w:rPr>
        <w:t>采用循环水养殖模式。增</w:t>
      </w:r>
      <w:r>
        <w:rPr>
          <w:spacing w:val="-4"/>
          <w:sz w:val="24"/>
          <w:szCs w:val="24"/>
        </w:rPr>
        <w:t>殖站生活给水取自场区旁边的水库管理所供水，养殖给水取自站水库水，由生</w:t>
      </w:r>
      <w:r>
        <w:rPr>
          <w:spacing w:val="-5"/>
          <w:sz w:val="24"/>
          <w:szCs w:val="24"/>
        </w:rPr>
        <w:t>态灌</w:t>
      </w:r>
    </w:p>
    <w:p w14:paraId="2F9B51A5">
      <w:pPr>
        <w:spacing w:line="334" w:lineRule="auto"/>
        <w:rPr>
          <w:sz w:val="24"/>
          <w:szCs w:val="24"/>
        </w:rPr>
        <w:sectPr>
          <w:headerReference r:id="rId84" w:type="default"/>
          <w:footerReference r:id="rId85" w:type="default"/>
          <w:pgSz w:w="11907" w:h="16839"/>
          <w:pgMar w:top="1376" w:right="1633" w:bottom="1061" w:left="1671" w:header="999" w:footer="859" w:gutter="0"/>
          <w:cols w:space="720" w:num="1"/>
        </w:sectPr>
      </w:pPr>
    </w:p>
    <w:p w14:paraId="42F83F3E">
      <w:pPr>
        <w:spacing w:line="454" w:lineRule="auto"/>
        <w:rPr>
          <w:rFonts w:ascii="Arial"/>
          <w:sz w:val="21"/>
        </w:rPr>
      </w:pPr>
    </w:p>
    <w:p w14:paraId="1AC7D690">
      <w:pPr>
        <w:pStyle w:val="2"/>
        <w:spacing w:before="78" w:line="339" w:lineRule="auto"/>
        <w:ind w:left="41" w:right="210"/>
        <w:rPr>
          <w:sz w:val="24"/>
          <w:szCs w:val="24"/>
        </w:rPr>
      </w:pPr>
      <w:r>
        <w:rPr>
          <w:spacing w:val="2"/>
          <w:sz w:val="24"/>
          <w:szCs w:val="24"/>
        </w:rPr>
        <w:t>灌溉输水管的闸阀接直管自流供水至站区蓄水沉淀池，再由蓄水沉淀池均匀供水</w:t>
      </w:r>
      <w:r>
        <w:rPr>
          <w:spacing w:val="-6"/>
          <w:sz w:val="24"/>
          <w:szCs w:val="24"/>
        </w:rPr>
        <w:t>至各养殖用水点。</w:t>
      </w:r>
    </w:p>
    <w:p w14:paraId="46B8A35B">
      <w:pPr>
        <w:pStyle w:val="2"/>
        <w:spacing w:line="338" w:lineRule="auto"/>
        <w:ind w:left="42" w:right="240" w:firstLine="480"/>
        <w:rPr>
          <w:sz w:val="24"/>
          <w:szCs w:val="24"/>
        </w:rPr>
      </w:pPr>
      <w:r>
        <w:rPr>
          <w:spacing w:val="-6"/>
          <w:sz w:val="24"/>
          <w:szCs w:val="24"/>
        </w:rPr>
        <w:t>鱼类增殖站建筑物由综合楼、催产孵化车间、鱼苗培育车间、鱼种培育车间、</w:t>
      </w:r>
      <w:r>
        <w:rPr>
          <w:spacing w:val="-2"/>
          <w:sz w:val="24"/>
          <w:szCs w:val="24"/>
        </w:rPr>
        <w:t>亲鱼池等组成。鱼类增殖站总平面图布置见附图</w:t>
      </w:r>
      <w:r>
        <w:rPr>
          <w:spacing w:val="-32"/>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
          <w:sz w:val="24"/>
          <w:szCs w:val="24"/>
        </w:rPr>
        <w:t>1</w:t>
      </w:r>
      <w:r>
        <w:rPr>
          <w:spacing w:val="-3"/>
          <w:sz w:val="24"/>
          <w:szCs w:val="24"/>
        </w:rPr>
        <w:t>。</w:t>
      </w:r>
    </w:p>
    <w:p w14:paraId="1E767B9B">
      <w:pPr>
        <w:pStyle w:val="2"/>
        <w:spacing w:before="3" w:line="305" w:lineRule="auto"/>
        <w:ind w:left="40" w:right="204" w:firstLine="474"/>
        <w:jc w:val="both"/>
        <w:rPr>
          <w:sz w:val="24"/>
          <w:szCs w:val="24"/>
        </w:rPr>
      </w:pPr>
      <w:r>
        <w:rPr>
          <w:rFonts w:ascii="Times New Roman" w:hAnsi="Times New Roman" w:eastAsia="Times New Roman" w:cs="Times New Roman"/>
          <w:spacing w:val="-1"/>
          <w:sz w:val="24"/>
          <w:szCs w:val="24"/>
        </w:rPr>
        <w:t>2020</w:t>
      </w:r>
      <w:r>
        <w:rPr>
          <w:rFonts w:ascii="Times New Roman" w:hAnsi="Times New Roman" w:eastAsia="Times New Roman" w:cs="Times New Roman"/>
          <w:spacing w:val="25"/>
          <w:sz w:val="24"/>
          <w:szCs w:val="24"/>
        </w:rPr>
        <w:t xml:space="preserve"> </w:t>
      </w:r>
      <w:r>
        <w:rPr>
          <w:spacing w:val="-1"/>
          <w:sz w:val="24"/>
          <w:szCs w:val="24"/>
        </w:rPr>
        <w:t>年</w:t>
      </w:r>
      <w:r>
        <w:rPr>
          <w:spacing w:val="-36"/>
          <w:sz w:val="24"/>
          <w:szCs w:val="24"/>
        </w:rPr>
        <w:t xml:space="preserve"> </w:t>
      </w:r>
      <w:r>
        <w:rPr>
          <w:rFonts w:ascii="Times New Roman" w:hAnsi="Times New Roman" w:eastAsia="Times New Roman" w:cs="Times New Roman"/>
          <w:spacing w:val="-1"/>
          <w:sz w:val="24"/>
          <w:szCs w:val="24"/>
        </w:rPr>
        <w:t>9</w:t>
      </w:r>
      <w:r>
        <w:rPr>
          <w:rFonts w:ascii="Times New Roman" w:hAnsi="Times New Roman" w:eastAsia="Times New Roman" w:cs="Times New Roman"/>
          <w:spacing w:val="31"/>
          <w:sz w:val="24"/>
          <w:szCs w:val="24"/>
        </w:rPr>
        <w:t xml:space="preserve"> </w:t>
      </w:r>
      <w:r>
        <w:rPr>
          <w:spacing w:val="-1"/>
          <w:sz w:val="24"/>
          <w:szCs w:val="24"/>
        </w:rPr>
        <w:t>月，建设单位委托武汉中科瑞华生态科技股份有限公</w:t>
      </w:r>
      <w:r>
        <w:rPr>
          <w:spacing w:val="-2"/>
          <w:sz w:val="24"/>
          <w:szCs w:val="24"/>
        </w:rPr>
        <w:t>司承担鱼类增</w:t>
      </w:r>
      <w:r>
        <w:rPr>
          <w:spacing w:val="1"/>
          <w:sz w:val="24"/>
          <w:szCs w:val="24"/>
        </w:rPr>
        <w:t>殖站建设及初期运行工作。截至</w:t>
      </w:r>
      <w:r>
        <w:rPr>
          <w:rFonts w:ascii="Times New Roman" w:hAnsi="Times New Roman" w:eastAsia="Times New Roman" w:cs="Times New Roman"/>
          <w:spacing w:val="1"/>
          <w:sz w:val="24"/>
          <w:szCs w:val="24"/>
        </w:rPr>
        <w:t xml:space="preserve">2022 </w:t>
      </w:r>
      <w:r>
        <w:rPr>
          <w:spacing w:val="1"/>
          <w:sz w:val="24"/>
          <w:szCs w:val="24"/>
        </w:rPr>
        <w:t>年</w:t>
      </w:r>
      <w:r>
        <w:rPr>
          <w:rFonts w:ascii="Times New Roman" w:hAnsi="Times New Roman" w:eastAsia="Times New Roman" w:cs="Times New Roman"/>
          <w:spacing w:val="1"/>
          <w:sz w:val="24"/>
          <w:szCs w:val="24"/>
        </w:rPr>
        <w:t xml:space="preserve">2 </w:t>
      </w:r>
      <w:r>
        <w:rPr>
          <w:spacing w:val="1"/>
          <w:sz w:val="24"/>
          <w:szCs w:val="24"/>
        </w:rPr>
        <w:t>月，鱼类增殖站已基</w:t>
      </w:r>
      <w:r>
        <w:rPr>
          <w:sz w:val="24"/>
          <w:szCs w:val="24"/>
        </w:rPr>
        <w:t>本完成土建工作和</w:t>
      </w:r>
      <w:r>
        <w:rPr>
          <w:spacing w:val="-1"/>
          <w:sz w:val="24"/>
          <w:szCs w:val="24"/>
        </w:rPr>
        <w:t>设备安装工作。鱼类增殖站建设情况见图</w:t>
      </w:r>
      <w:r>
        <w:rPr>
          <w:spacing w:val="-47"/>
          <w:sz w:val="24"/>
          <w:szCs w:val="24"/>
        </w:rPr>
        <w:t xml:space="preserve"> </w:t>
      </w:r>
      <w:r>
        <w:rPr>
          <w:rFonts w:ascii="Times New Roman" w:hAnsi="Times New Roman" w:eastAsia="Times New Roman" w:cs="Times New Roman"/>
          <w:spacing w:val="-1"/>
          <w:sz w:val="24"/>
          <w:szCs w:val="24"/>
        </w:rPr>
        <w:t>5.1-2</w:t>
      </w:r>
      <w:r>
        <w:rPr>
          <w:spacing w:val="-1"/>
          <w:sz w:val="24"/>
          <w:szCs w:val="24"/>
        </w:rPr>
        <w:t>。</w:t>
      </w:r>
    </w:p>
    <w:p w14:paraId="04A92F86">
      <w:pPr>
        <w:spacing w:line="305" w:lineRule="auto"/>
        <w:rPr>
          <w:sz w:val="24"/>
          <w:szCs w:val="24"/>
        </w:rPr>
        <w:sectPr>
          <w:headerReference r:id="rId86" w:type="default"/>
          <w:footerReference r:id="rId87" w:type="default"/>
          <w:pgSz w:w="11907" w:h="16839"/>
          <w:pgMar w:top="1376" w:right="1495" w:bottom="1061" w:left="1671" w:header="999" w:footer="861" w:gutter="0"/>
          <w:cols w:equalWidth="0" w:num="1">
            <w:col w:w="8740"/>
          </w:cols>
        </w:sectPr>
      </w:pPr>
    </w:p>
    <w:p w14:paraId="709BA62E">
      <w:pPr>
        <w:spacing w:line="2996" w:lineRule="exact"/>
        <w:ind w:firstLine="162"/>
      </w:pPr>
      <w:r>
        <w:rPr>
          <w:position w:val="-59"/>
        </w:rPr>
        <w:drawing>
          <wp:inline distT="0" distB="0" distL="0" distR="0">
            <wp:extent cx="2531745" cy="190182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52"/>
                    <a:stretch>
                      <a:fillRect/>
                    </a:stretch>
                  </pic:blipFill>
                  <pic:spPr>
                    <a:xfrm>
                      <a:off x="0" y="0"/>
                      <a:ext cx="2532379" cy="1902459"/>
                    </a:xfrm>
                    <a:prstGeom prst="rect">
                      <a:avLst/>
                    </a:prstGeom>
                  </pic:spPr>
                </pic:pic>
              </a:graphicData>
            </a:graphic>
          </wp:inline>
        </w:drawing>
      </w:r>
    </w:p>
    <w:p w14:paraId="0DD1DB5B">
      <w:pPr>
        <w:pStyle w:val="2"/>
        <w:spacing w:before="187" w:line="219" w:lineRule="auto"/>
        <w:ind w:left="1084"/>
        <w:rPr>
          <w:sz w:val="24"/>
          <w:szCs w:val="24"/>
        </w:rPr>
      </w:pPr>
      <w:r>
        <w:rPr>
          <w:spacing w:val="-3"/>
          <w:sz w:val="24"/>
          <w:szCs w:val="24"/>
        </w:rPr>
        <w:t>鱼类增殖站（全貌）</w:t>
      </w:r>
    </w:p>
    <w:p w14:paraId="64D3BB0C">
      <w:pPr>
        <w:spacing w:line="40" w:lineRule="auto"/>
        <w:rPr>
          <w:rFonts w:ascii="Arial"/>
          <w:sz w:val="2"/>
        </w:rPr>
      </w:pPr>
    </w:p>
    <w:p w14:paraId="57FF3597">
      <w:pPr>
        <w:spacing w:line="14" w:lineRule="auto"/>
        <w:rPr>
          <w:rFonts w:ascii="Arial"/>
          <w:sz w:val="2"/>
        </w:rPr>
      </w:pPr>
      <w:r>
        <w:rPr>
          <w:rFonts w:ascii="Arial" w:hAnsi="Arial" w:eastAsia="Arial" w:cs="Arial"/>
          <w:sz w:val="2"/>
          <w:szCs w:val="2"/>
        </w:rPr>
        <w:br w:type="column"/>
      </w:r>
    </w:p>
    <w:p w14:paraId="6071B754">
      <w:pPr>
        <w:spacing w:line="2994" w:lineRule="exact"/>
      </w:pPr>
      <w:r>
        <w:rPr>
          <w:position w:val="-59"/>
        </w:rPr>
        <w:drawing>
          <wp:inline distT="0" distB="0" distL="0" distR="0">
            <wp:extent cx="2531745" cy="190119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53"/>
                    <a:stretch>
                      <a:fillRect/>
                    </a:stretch>
                  </pic:blipFill>
                  <pic:spPr>
                    <a:xfrm>
                      <a:off x="0" y="0"/>
                      <a:ext cx="2532379" cy="1901583"/>
                    </a:xfrm>
                    <a:prstGeom prst="rect">
                      <a:avLst/>
                    </a:prstGeom>
                  </pic:spPr>
                </pic:pic>
              </a:graphicData>
            </a:graphic>
          </wp:inline>
        </w:drawing>
      </w:r>
    </w:p>
    <w:p w14:paraId="58C08D79">
      <w:pPr>
        <w:pStyle w:val="2"/>
        <w:spacing w:before="187" w:line="220" w:lineRule="auto"/>
        <w:ind w:left="1400"/>
        <w:rPr>
          <w:sz w:val="24"/>
          <w:szCs w:val="24"/>
        </w:rPr>
      </w:pPr>
      <w:r>
        <w:rPr>
          <w:spacing w:val="-3"/>
          <w:sz w:val="24"/>
          <w:szCs w:val="24"/>
        </w:rPr>
        <w:t>孵化培育间</w:t>
      </w:r>
    </w:p>
    <w:p w14:paraId="4DF4CA16">
      <w:pPr>
        <w:spacing w:line="220" w:lineRule="auto"/>
        <w:rPr>
          <w:sz w:val="24"/>
          <w:szCs w:val="24"/>
        </w:rPr>
        <w:sectPr>
          <w:type w:val="continuous"/>
          <w:pgSz w:w="11907" w:h="16839"/>
          <w:pgMar w:top="1376" w:right="1495" w:bottom="1061" w:left="1671" w:header="999" w:footer="861" w:gutter="0"/>
          <w:cols w:equalWidth="0" w:num="2">
            <w:col w:w="4310" w:space="100"/>
            <w:col w:w="4330"/>
          </w:cols>
        </w:sectPr>
      </w:pPr>
    </w:p>
    <w:p w14:paraId="1391EFBD">
      <w:pPr>
        <w:spacing w:line="163" w:lineRule="exact"/>
      </w:pPr>
    </w:p>
    <w:p w14:paraId="18F62401">
      <w:pPr>
        <w:spacing w:line="163" w:lineRule="exact"/>
        <w:sectPr>
          <w:type w:val="continuous"/>
          <w:pgSz w:w="11907" w:h="16839"/>
          <w:pgMar w:top="1376" w:right="1495" w:bottom="1061" w:left="1671" w:header="999" w:footer="861" w:gutter="0"/>
          <w:cols w:equalWidth="0" w:num="1">
            <w:col w:w="8740"/>
          </w:cols>
        </w:sectPr>
      </w:pPr>
    </w:p>
    <w:p w14:paraId="3EC14380">
      <w:pPr>
        <w:spacing w:line="2996" w:lineRule="exact"/>
        <w:ind w:firstLine="162"/>
      </w:pPr>
      <w:r>
        <w:rPr>
          <w:position w:val="-59"/>
        </w:rPr>
        <w:drawing>
          <wp:inline distT="0" distB="0" distL="0" distR="0">
            <wp:extent cx="2531745" cy="190246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54"/>
                    <a:stretch>
                      <a:fillRect/>
                    </a:stretch>
                  </pic:blipFill>
                  <pic:spPr>
                    <a:xfrm>
                      <a:off x="0" y="0"/>
                      <a:ext cx="2532379" cy="1902460"/>
                    </a:xfrm>
                    <a:prstGeom prst="rect">
                      <a:avLst/>
                    </a:prstGeom>
                  </pic:spPr>
                </pic:pic>
              </a:graphicData>
            </a:graphic>
          </wp:inline>
        </w:drawing>
      </w:r>
    </w:p>
    <w:p w14:paraId="24F29396">
      <w:pPr>
        <w:pStyle w:val="2"/>
        <w:spacing w:before="187" w:line="220" w:lineRule="auto"/>
        <w:ind w:left="1444"/>
        <w:rPr>
          <w:sz w:val="24"/>
          <w:szCs w:val="24"/>
        </w:rPr>
      </w:pPr>
      <w:r>
        <w:rPr>
          <w:spacing w:val="-3"/>
          <w:sz w:val="24"/>
          <w:szCs w:val="24"/>
        </w:rPr>
        <w:t>鱼苗培育车间</w:t>
      </w:r>
    </w:p>
    <w:p w14:paraId="7E33E454">
      <w:pPr>
        <w:spacing w:line="29" w:lineRule="auto"/>
        <w:rPr>
          <w:rFonts w:ascii="Arial"/>
          <w:sz w:val="2"/>
        </w:rPr>
      </w:pPr>
    </w:p>
    <w:p w14:paraId="0CA4AA52">
      <w:pPr>
        <w:spacing w:line="14" w:lineRule="auto"/>
        <w:rPr>
          <w:rFonts w:ascii="Arial"/>
          <w:sz w:val="2"/>
        </w:rPr>
      </w:pPr>
      <w:r>
        <w:rPr>
          <w:rFonts w:ascii="Arial" w:hAnsi="Arial" w:eastAsia="Arial" w:cs="Arial"/>
          <w:sz w:val="2"/>
          <w:szCs w:val="2"/>
        </w:rPr>
        <w:br w:type="column"/>
      </w:r>
    </w:p>
    <w:p w14:paraId="6B5045DF">
      <w:pPr>
        <w:spacing w:line="2995" w:lineRule="exact"/>
      </w:pPr>
      <w:r>
        <w:rPr>
          <w:position w:val="-59"/>
        </w:rPr>
        <w:drawing>
          <wp:inline distT="0" distB="0" distL="0" distR="0">
            <wp:extent cx="2531745" cy="190119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55"/>
                    <a:stretch>
                      <a:fillRect/>
                    </a:stretch>
                  </pic:blipFill>
                  <pic:spPr>
                    <a:xfrm>
                      <a:off x="0" y="0"/>
                      <a:ext cx="2532379" cy="1901583"/>
                    </a:xfrm>
                    <a:prstGeom prst="rect">
                      <a:avLst/>
                    </a:prstGeom>
                  </pic:spPr>
                </pic:pic>
              </a:graphicData>
            </a:graphic>
          </wp:inline>
        </w:drawing>
      </w:r>
    </w:p>
    <w:p w14:paraId="03A3A3F1">
      <w:pPr>
        <w:pStyle w:val="2"/>
        <w:spacing w:before="186" w:line="220" w:lineRule="auto"/>
        <w:ind w:left="1403"/>
        <w:rPr>
          <w:sz w:val="24"/>
          <w:szCs w:val="24"/>
        </w:rPr>
      </w:pPr>
      <w:r>
        <w:rPr>
          <w:spacing w:val="-3"/>
          <w:sz w:val="24"/>
          <w:szCs w:val="24"/>
        </w:rPr>
        <w:t>鱼种培育间</w:t>
      </w:r>
    </w:p>
    <w:p w14:paraId="0B3FCE3D">
      <w:pPr>
        <w:spacing w:line="220" w:lineRule="auto"/>
        <w:rPr>
          <w:sz w:val="24"/>
          <w:szCs w:val="24"/>
        </w:rPr>
        <w:sectPr>
          <w:type w:val="continuous"/>
          <w:pgSz w:w="11907" w:h="16839"/>
          <w:pgMar w:top="1376" w:right="1495" w:bottom="1061" w:left="1671" w:header="999" w:footer="861" w:gutter="0"/>
          <w:cols w:equalWidth="0" w:num="2">
            <w:col w:w="4310" w:space="100"/>
            <w:col w:w="4330"/>
          </w:cols>
        </w:sectPr>
      </w:pPr>
    </w:p>
    <w:p w14:paraId="77F05A16">
      <w:pPr>
        <w:pStyle w:val="2"/>
        <w:spacing w:before="179" w:line="233" w:lineRule="auto"/>
        <w:ind w:left="2648"/>
        <w:rPr>
          <w:sz w:val="24"/>
          <w:szCs w:val="24"/>
        </w:rPr>
      </w:pPr>
      <w:r>
        <w:rPr>
          <w:b/>
          <w:bCs/>
          <w:spacing w:val="-2"/>
          <w:sz w:val="24"/>
          <w:szCs w:val="24"/>
        </w:rPr>
        <w:t>图</w:t>
      </w:r>
      <w:r>
        <w:rPr>
          <w:spacing w:val="-48"/>
          <w:sz w:val="24"/>
          <w:szCs w:val="24"/>
        </w:rPr>
        <w:t xml:space="preserve"> </w:t>
      </w:r>
      <w:r>
        <w:rPr>
          <w:rFonts w:ascii="Times New Roman" w:hAnsi="Times New Roman" w:eastAsia="Times New Roman" w:cs="Times New Roman"/>
          <w:b/>
          <w:bCs/>
          <w:spacing w:val="-2"/>
          <w:sz w:val="24"/>
          <w:szCs w:val="24"/>
        </w:rPr>
        <w:t xml:space="preserve">5.1.2      </w:t>
      </w:r>
      <w:r>
        <w:rPr>
          <w:b/>
          <w:bCs/>
          <w:spacing w:val="-2"/>
          <w:sz w:val="24"/>
          <w:szCs w:val="24"/>
        </w:rPr>
        <w:t>鱼类增殖站建设现状</w:t>
      </w:r>
    </w:p>
    <w:p w14:paraId="3AD3290F">
      <w:pPr>
        <w:spacing w:line="315" w:lineRule="auto"/>
        <w:rPr>
          <w:rFonts w:ascii="Arial"/>
          <w:sz w:val="21"/>
        </w:rPr>
      </w:pPr>
    </w:p>
    <w:p w14:paraId="58EBC8C3">
      <w:pPr>
        <w:pStyle w:val="2"/>
        <w:spacing w:before="79" w:line="220" w:lineRule="auto"/>
        <w:ind w:left="34"/>
        <w:rPr>
          <w:sz w:val="24"/>
          <w:szCs w:val="24"/>
        </w:rPr>
      </w:pPr>
      <w:r>
        <w:rPr>
          <w:rFonts w:ascii="Arial" w:hAnsi="Arial" w:eastAsia="Arial" w:cs="Arial"/>
          <w:spacing w:val="8"/>
          <w:sz w:val="18"/>
          <w:szCs w:val="18"/>
        </w:rPr>
        <w:t>5.1.1.3</w:t>
      </w:r>
      <w:r>
        <w:rPr>
          <w:rFonts w:ascii="Arial" w:hAnsi="Arial" w:eastAsia="Arial" w:cs="Arial"/>
          <w:spacing w:val="38"/>
          <w:sz w:val="18"/>
          <w:szCs w:val="18"/>
        </w:rPr>
        <w:t xml:space="preserve"> </w:t>
      </w:r>
      <w:r>
        <w:rPr>
          <w:b/>
          <w:bCs/>
          <w:spacing w:val="8"/>
          <w:sz w:val="24"/>
          <w:szCs w:val="24"/>
        </w:rPr>
        <w:t>拦鱼栅</w:t>
      </w:r>
    </w:p>
    <w:p w14:paraId="0189ED65">
      <w:pPr>
        <w:pStyle w:val="2"/>
        <w:spacing w:before="271" w:line="304" w:lineRule="auto"/>
        <w:ind w:left="41" w:firstLine="480"/>
        <w:jc w:val="both"/>
        <w:rPr>
          <w:sz w:val="24"/>
          <w:szCs w:val="24"/>
        </w:rPr>
      </w:pPr>
      <w:r>
        <w:rPr>
          <w:spacing w:val="-5"/>
          <w:sz w:val="24"/>
          <w:szCs w:val="24"/>
        </w:rPr>
        <w:t>按环评报告要求，为防止鱼类误入，长输水隧洞进水口处设</w:t>
      </w:r>
      <w:r>
        <w:rPr>
          <w:spacing w:val="-6"/>
          <w:sz w:val="24"/>
          <w:szCs w:val="24"/>
        </w:rPr>
        <w:t>置了细目拦鱼栅网。</w:t>
      </w:r>
      <w:r>
        <w:rPr>
          <w:spacing w:val="-3"/>
          <w:sz w:val="24"/>
          <w:szCs w:val="24"/>
        </w:rPr>
        <w:t>上、下两层输水口均布置</w:t>
      </w:r>
      <w:r>
        <w:rPr>
          <w:spacing w:val="-26"/>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5"/>
          <w:w w:val="101"/>
          <w:sz w:val="24"/>
          <w:szCs w:val="24"/>
        </w:rPr>
        <w:t xml:space="preserve"> </w:t>
      </w:r>
      <w:r>
        <w:rPr>
          <w:spacing w:val="-3"/>
          <w:sz w:val="24"/>
          <w:szCs w:val="24"/>
        </w:rPr>
        <w:t>个，共布置</w:t>
      </w:r>
      <w:r>
        <w:rPr>
          <w:spacing w:val="-49"/>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w w:val="101"/>
          <w:sz w:val="24"/>
          <w:szCs w:val="24"/>
        </w:rPr>
        <w:t xml:space="preserve"> </w:t>
      </w:r>
      <w:r>
        <w:rPr>
          <w:spacing w:val="-3"/>
          <w:sz w:val="24"/>
          <w:szCs w:val="24"/>
        </w:rPr>
        <w:t>个。拦鱼栅尺寸为</w:t>
      </w:r>
      <w:r>
        <w:rPr>
          <w:spacing w:val="-26"/>
          <w:sz w:val="24"/>
          <w:szCs w:val="24"/>
        </w:rPr>
        <w:t xml:space="preserve"> </w:t>
      </w:r>
      <w:r>
        <w:rPr>
          <w:rFonts w:ascii="Times New Roman" w:hAnsi="Times New Roman" w:eastAsia="Times New Roman" w:cs="Times New Roman"/>
          <w:spacing w:val="-3"/>
          <w:sz w:val="24"/>
          <w:szCs w:val="24"/>
        </w:rPr>
        <w:t>1.8m</w:t>
      </w:r>
      <w:r>
        <w:rPr>
          <w:spacing w:val="-3"/>
          <w:sz w:val="24"/>
          <w:szCs w:val="24"/>
        </w:rPr>
        <w:t>×</w:t>
      </w:r>
      <w:r>
        <w:rPr>
          <w:rFonts w:ascii="Times New Roman" w:hAnsi="Times New Roman" w:eastAsia="Times New Roman" w:cs="Times New Roman"/>
          <w:spacing w:val="-3"/>
          <w:sz w:val="24"/>
          <w:szCs w:val="24"/>
        </w:rPr>
        <w:t>1.8m</w:t>
      </w:r>
      <w:r>
        <w:rPr>
          <w:rFonts w:ascii="Times New Roman" w:hAnsi="Times New Roman" w:eastAsia="Times New Roman" w:cs="Times New Roman"/>
          <w:spacing w:val="-32"/>
          <w:sz w:val="24"/>
          <w:szCs w:val="24"/>
        </w:rPr>
        <w:t xml:space="preserve"> </w:t>
      </w:r>
      <w:r>
        <w:rPr>
          <w:spacing w:val="-3"/>
          <w:sz w:val="24"/>
          <w:szCs w:val="24"/>
        </w:rPr>
        <w:t>，细</w:t>
      </w:r>
      <w:r>
        <w:rPr>
          <w:spacing w:val="-4"/>
          <w:sz w:val="24"/>
          <w:szCs w:val="24"/>
        </w:rPr>
        <w:t>目拦鱼网由铁丝网制成，可活动，孔口设置以拦截</w:t>
      </w:r>
      <w:r>
        <w:rPr>
          <w:spacing w:val="-28"/>
          <w:sz w:val="24"/>
          <w:szCs w:val="24"/>
        </w:rPr>
        <w:t xml:space="preserve"> </w:t>
      </w:r>
      <w:r>
        <w:rPr>
          <w:rFonts w:ascii="Times New Roman" w:hAnsi="Times New Roman" w:eastAsia="Times New Roman" w:cs="Times New Roman"/>
          <w:spacing w:val="-4"/>
          <w:sz w:val="24"/>
          <w:szCs w:val="24"/>
        </w:rPr>
        <w:t>10cm</w:t>
      </w:r>
      <w:r>
        <w:rPr>
          <w:rFonts w:ascii="Times New Roman" w:hAnsi="Times New Roman" w:eastAsia="Times New Roman" w:cs="Times New Roman"/>
          <w:spacing w:val="35"/>
          <w:w w:val="101"/>
          <w:sz w:val="24"/>
          <w:szCs w:val="24"/>
        </w:rPr>
        <w:t xml:space="preserve"> </w:t>
      </w:r>
      <w:r>
        <w:rPr>
          <w:spacing w:val="-4"/>
          <w:sz w:val="24"/>
          <w:szCs w:val="24"/>
        </w:rPr>
        <w:t>以上的鱼为主。输水隧洞上下</w:t>
      </w:r>
      <w:r>
        <w:rPr>
          <w:spacing w:val="-2"/>
          <w:sz w:val="24"/>
          <w:szCs w:val="24"/>
        </w:rPr>
        <w:t>取水口拦鱼栅网见图</w:t>
      </w:r>
      <w:r>
        <w:rPr>
          <w:spacing w:val="-42"/>
          <w:sz w:val="24"/>
          <w:szCs w:val="24"/>
        </w:rPr>
        <w:t xml:space="preserve"> </w:t>
      </w:r>
      <w:r>
        <w:rPr>
          <w:rFonts w:ascii="Times New Roman" w:hAnsi="Times New Roman" w:eastAsia="Times New Roman" w:cs="Times New Roman"/>
          <w:spacing w:val="-2"/>
          <w:sz w:val="24"/>
          <w:szCs w:val="24"/>
        </w:rPr>
        <w:t>5.1-3</w:t>
      </w:r>
      <w:r>
        <w:rPr>
          <w:spacing w:val="-2"/>
          <w:sz w:val="24"/>
          <w:szCs w:val="24"/>
        </w:rPr>
        <w:t>。</w:t>
      </w:r>
    </w:p>
    <w:p w14:paraId="01225326">
      <w:pPr>
        <w:spacing w:line="304" w:lineRule="auto"/>
        <w:rPr>
          <w:sz w:val="24"/>
          <w:szCs w:val="24"/>
        </w:rPr>
        <w:sectPr>
          <w:type w:val="continuous"/>
          <w:pgSz w:w="11907" w:h="16839"/>
          <w:pgMar w:top="1376" w:right="1495" w:bottom="1061" w:left="1671" w:header="999" w:footer="861" w:gutter="0"/>
          <w:cols w:equalWidth="0" w:num="1">
            <w:col w:w="8740"/>
          </w:cols>
        </w:sectPr>
      </w:pPr>
    </w:p>
    <w:p w14:paraId="28221689">
      <w:pPr>
        <w:spacing w:line="412" w:lineRule="auto"/>
        <w:rPr>
          <w:rFonts w:ascii="Arial"/>
          <w:sz w:val="21"/>
        </w:rPr>
      </w:pPr>
    </w:p>
    <w:p w14:paraId="6DDBD0D7">
      <w:pPr>
        <w:spacing w:line="5304" w:lineRule="exact"/>
        <w:ind w:firstLine="172"/>
      </w:pPr>
      <w:r>
        <w:drawing>
          <wp:anchor distT="0" distB="0" distL="0" distR="0" simplePos="0" relativeHeight="251693056" behindDoc="0" locked="0" layoutInCell="1" allowOverlap="1">
            <wp:simplePos x="0" y="0"/>
            <wp:positionH relativeFrom="column">
              <wp:posOffset>2806065</wp:posOffset>
            </wp:positionH>
            <wp:positionV relativeFrom="paragraph">
              <wp:posOffset>0</wp:posOffset>
            </wp:positionV>
            <wp:extent cx="2526030" cy="336804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56"/>
                    <a:stretch>
                      <a:fillRect/>
                    </a:stretch>
                  </pic:blipFill>
                  <pic:spPr>
                    <a:xfrm>
                      <a:off x="0" y="0"/>
                      <a:ext cx="2526030" cy="3368293"/>
                    </a:xfrm>
                    <a:prstGeom prst="rect">
                      <a:avLst/>
                    </a:prstGeom>
                  </pic:spPr>
                </pic:pic>
              </a:graphicData>
            </a:graphic>
          </wp:anchor>
        </w:drawing>
      </w:r>
      <w:r>
        <w:rPr>
          <w:position w:val="-106"/>
        </w:rPr>
        <w:drawing>
          <wp:inline distT="0" distB="0" distL="0" distR="0">
            <wp:extent cx="2525395" cy="336804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57"/>
                    <a:stretch>
                      <a:fillRect/>
                    </a:stretch>
                  </pic:blipFill>
                  <pic:spPr>
                    <a:xfrm>
                      <a:off x="0" y="0"/>
                      <a:ext cx="2526029" cy="3368293"/>
                    </a:xfrm>
                    <a:prstGeom prst="rect">
                      <a:avLst/>
                    </a:prstGeom>
                  </pic:spPr>
                </pic:pic>
              </a:graphicData>
            </a:graphic>
          </wp:inline>
        </w:drawing>
      </w:r>
    </w:p>
    <w:p w14:paraId="4982485D">
      <w:pPr>
        <w:spacing w:line="277" w:lineRule="auto"/>
        <w:rPr>
          <w:rFonts w:ascii="Arial"/>
          <w:sz w:val="21"/>
        </w:rPr>
      </w:pPr>
    </w:p>
    <w:p w14:paraId="7B9F63C0">
      <w:pPr>
        <w:pStyle w:val="2"/>
        <w:spacing w:before="78" w:line="233" w:lineRule="auto"/>
        <w:ind w:left="2407"/>
        <w:rPr>
          <w:sz w:val="24"/>
          <w:szCs w:val="24"/>
        </w:rPr>
      </w:pPr>
      <w:r>
        <w:rPr>
          <w:b/>
          <w:bCs/>
          <w:spacing w:val="-3"/>
          <w:sz w:val="24"/>
          <w:szCs w:val="24"/>
        </w:rPr>
        <w:t>图</w:t>
      </w:r>
      <w:r>
        <w:rPr>
          <w:spacing w:val="-45"/>
          <w:sz w:val="24"/>
          <w:szCs w:val="24"/>
        </w:rPr>
        <w:t xml:space="preserve"> </w:t>
      </w:r>
      <w:r>
        <w:rPr>
          <w:rFonts w:ascii="Times New Roman" w:hAnsi="Times New Roman" w:eastAsia="Times New Roman" w:cs="Times New Roman"/>
          <w:b/>
          <w:bCs/>
          <w:spacing w:val="-3"/>
          <w:sz w:val="24"/>
          <w:szCs w:val="24"/>
        </w:rPr>
        <w:t xml:space="preserve">5.1-3      </w:t>
      </w:r>
      <w:r>
        <w:rPr>
          <w:b/>
          <w:bCs/>
          <w:spacing w:val="-3"/>
          <w:sz w:val="24"/>
          <w:szCs w:val="24"/>
        </w:rPr>
        <w:t>输水隧洞进水口拦鱼栅网</w:t>
      </w:r>
    </w:p>
    <w:p w14:paraId="13F80AFB">
      <w:pPr>
        <w:pStyle w:val="2"/>
        <w:spacing w:before="238" w:line="220" w:lineRule="auto"/>
        <w:ind w:left="770"/>
        <w:rPr>
          <w:sz w:val="24"/>
          <w:szCs w:val="24"/>
        </w:rPr>
      </w:pPr>
      <w:r>
        <w:rPr>
          <w:b/>
          <w:bCs/>
          <w:spacing w:val="-4"/>
          <w:sz w:val="24"/>
          <w:szCs w:val="24"/>
        </w:rPr>
        <w:t>鱼类栖息地保护</w:t>
      </w:r>
    </w:p>
    <w:p w14:paraId="5641B133">
      <w:pPr>
        <w:pStyle w:val="2"/>
        <w:spacing w:before="277" w:line="338" w:lineRule="auto"/>
        <w:ind w:left="38" w:right="102" w:firstLine="483"/>
        <w:jc w:val="both"/>
        <w:rPr>
          <w:sz w:val="24"/>
          <w:szCs w:val="24"/>
        </w:rPr>
      </w:pPr>
      <w:r>
        <w:rPr>
          <w:spacing w:val="-8"/>
          <w:sz w:val="24"/>
          <w:szCs w:val="24"/>
        </w:rPr>
        <w:t>为保护流水性鱼类（云南光唇鱼、云南盘鮈、前鳍高原鳅等） 及其它鱼类的生</w:t>
      </w:r>
      <w:r>
        <w:rPr>
          <w:spacing w:val="-4"/>
          <w:sz w:val="24"/>
          <w:szCs w:val="24"/>
        </w:rPr>
        <w:t>存和繁殖，环评阶段提出将以下河段划为鱼类栖息地进行保护，不再开发，并</w:t>
      </w:r>
      <w:r>
        <w:rPr>
          <w:spacing w:val="-5"/>
          <w:sz w:val="24"/>
          <w:szCs w:val="24"/>
        </w:rPr>
        <w:t>采取有效措施予以保护：马龙河干流（车马碧坝址</w:t>
      </w:r>
      <w:r>
        <w:rPr>
          <w:rFonts w:ascii="Times New Roman" w:hAnsi="Times New Roman" w:eastAsia="Times New Roman" w:cs="Times New Roman"/>
          <w:spacing w:val="-5"/>
          <w:sz w:val="24"/>
          <w:szCs w:val="24"/>
        </w:rPr>
        <w:t>~</w:t>
      </w:r>
      <w:r>
        <w:rPr>
          <w:spacing w:val="-5"/>
          <w:sz w:val="24"/>
          <w:szCs w:val="24"/>
        </w:rPr>
        <w:t>凤龙湾库尾约</w:t>
      </w:r>
      <w:r>
        <w:rPr>
          <w:spacing w:val="-32"/>
          <w:sz w:val="24"/>
          <w:szCs w:val="24"/>
        </w:rPr>
        <w:t xml:space="preserve"> </w:t>
      </w:r>
      <w:r>
        <w:rPr>
          <w:rFonts w:ascii="Times New Roman" w:hAnsi="Times New Roman" w:eastAsia="Times New Roman" w:cs="Times New Roman"/>
          <w:spacing w:val="-5"/>
          <w:sz w:val="24"/>
          <w:szCs w:val="24"/>
        </w:rPr>
        <w:t>11km</w:t>
      </w:r>
      <w:r>
        <w:rPr>
          <w:spacing w:val="-5"/>
          <w:sz w:val="24"/>
          <w:szCs w:val="24"/>
        </w:rPr>
        <w:t>；车马碧水库库</w:t>
      </w:r>
      <w:r>
        <w:rPr>
          <w:spacing w:val="-6"/>
          <w:sz w:val="24"/>
          <w:szCs w:val="24"/>
        </w:rPr>
        <w:t>尾以上约</w:t>
      </w:r>
      <w:r>
        <w:rPr>
          <w:rFonts w:ascii="Times New Roman" w:hAnsi="Times New Roman" w:eastAsia="Times New Roman" w:cs="Times New Roman"/>
          <w:spacing w:val="-6"/>
          <w:sz w:val="24"/>
          <w:szCs w:val="24"/>
        </w:rPr>
        <w:t>7km</w:t>
      </w:r>
      <w:r>
        <w:rPr>
          <w:spacing w:val="-6"/>
          <w:sz w:val="24"/>
          <w:szCs w:val="24"/>
        </w:rPr>
        <w:t>）、支流白塔河（汇口至四旗田水库坝址约</w:t>
      </w:r>
      <w:r>
        <w:rPr>
          <w:spacing w:val="-14"/>
          <w:sz w:val="24"/>
          <w:szCs w:val="24"/>
        </w:rPr>
        <w:t xml:space="preserve"> </w:t>
      </w:r>
      <w:r>
        <w:rPr>
          <w:rFonts w:ascii="Times New Roman" w:hAnsi="Times New Roman" w:eastAsia="Times New Roman" w:cs="Times New Roman"/>
          <w:spacing w:val="-6"/>
          <w:sz w:val="24"/>
          <w:szCs w:val="24"/>
        </w:rPr>
        <w:t>16km</w:t>
      </w:r>
      <w:r>
        <w:rPr>
          <w:spacing w:val="-6"/>
          <w:sz w:val="24"/>
          <w:szCs w:val="24"/>
        </w:rPr>
        <w:t>）。</w:t>
      </w:r>
    </w:p>
    <w:p w14:paraId="5FE7E9E8">
      <w:pPr>
        <w:pStyle w:val="2"/>
        <w:spacing w:line="233" w:lineRule="auto"/>
        <w:ind w:left="523"/>
        <w:rPr>
          <w:sz w:val="24"/>
          <w:szCs w:val="24"/>
        </w:rPr>
      </w:pPr>
      <w:r>
        <w:rPr>
          <w:spacing w:val="-2"/>
          <w:sz w:val="24"/>
          <w:szCs w:val="24"/>
        </w:rPr>
        <w:t>鱼类栖息地保护河段划分情况见图</w:t>
      </w:r>
      <w:r>
        <w:rPr>
          <w:spacing w:val="-32"/>
          <w:sz w:val="24"/>
          <w:szCs w:val="24"/>
        </w:rPr>
        <w:t xml:space="preserve"> </w:t>
      </w:r>
      <w:r>
        <w:rPr>
          <w:rFonts w:ascii="Times New Roman" w:hAnsi="Times New Roman" w:eastAsia="Times New Roman" w:cs="Times New Roman"/>
          <w:spacing w:val="-2"/>
          <w:sz w:val="24"/>
          <w:szCs w:val="24"/>
        </w:rPr>
        <w:t>5.1-4</w:t>
      </w:r>
      <w:r>
        <w:rPr>
          <w:spacing w:val="-2"/>
          <w:sz w:val="24"/>
          <w:szCs w:val="24"/>
        </w:rPr>
        <w:t>。</w:t>
      </w:r>
    </w:p>
    <w:p w14:paraId="0B702832">
      <w:pPr>
        <w:pStyle w:val="2"/>
        <w:spacing w:before="133" w:line="339" w:lineRule="auto"/>
        <w:ind w:left="38" w:firstLine="476"/>
        <w:rPr>
          <w:sz w:val="24"/>
          <w:szCs w:val="24"/>
        </w:rPr>
      </w:pPr>
      <w:r>
        <w:rPr>
          <w:rFonts w:ascii="Times New Roman" w:hAnsi="Times New Roman" w:eastAsia="Times New Roman" w:cs="Times New Roman"/>
          <w:spacing w:val="-2"/>
          <w:sz w:val="24"/>
          <w:szCs w:val="24"/>
        </w:rPr>
        <w:t>2021</w:t>
      </w:r>
      <w:r>
        <w:rPr>
          <w:rFonts w:ascii="Times New Roman" w:hAnsi="Times New Roman" w:eastAsia="Times New Roman" w:cs="Times New Roman"/>
          <w:spacing w:val="22"/>
          <w:sz w:val="24"/>
          <w:szCs w:val="24"/>
        </w:rPr>
        <w:t xml:space="preserve"> </w:t>
      </w:r>
      <w:r>
        <w:rPr>
          <w:spacing w:val="-2"/>
          <w:sz w:val="24"/>
          <w:szCs w:val="24"/>
        </w:rPr>
        <w:t xml:space="preserve">年 </w:t>
      </w:r>
      <w:r>
        <w:rPr>
          <w:rFonts w:ascii="Times New Roman" w:hAnsi="Times New Roman" w:eastAsia="Times New Roman" w:cs="Times New Roman"/>
          <w:spacing w:val="-2"/>
          <w:sz w:val="24"/>
          <w:szCs w:val="24"/>
        </w:rPr>
        <w:t>11</w:t>
      </w:r>
      <w:r>
        <w:rPr>
          <w:rFonts w:ascii="Times New Roman" w:hAnsi="Times New Roman" w:eastAsia="Times New Roman" w:cs="Times New Roman"/>
          <w:spacing w:val="28"/>
          <w:w w:val="101"/>
          <w:sz w:val="24"/>
          <w:szCs w:val="24"/>
        </w:rPr>
        <w:t xml:space="preserve"> </w:t>
      </w:r>
      <w:r>
        <w:rPr>
          <w:spacing w:val="-2"/>
          <w:sz w:val="24"/>
          <w:szCs w:val="24"/>
        </w:rPr>
        <w:t>月，马龙区人民政府以《曲靖市马龙</w:t>
      </w:r>
      <w:r>
        <w:rPr>
          <w:spacing w:val="-3"/>
          <w:sz w:val="24"/>
          <w:szCs w:val="24"/>
        </w:rPr>
        <w:t>人民政府办公室关于</w:t>
      </w:r>
      <w:r>
        <w:rPr>
          <w:rFonts w:ascii="Times New Roman" w:hAnsi="Times New Roman" w:eastAsia="Times New Roman" w:cs="Times New Roman"/>
          <w:spacing w:val="-3"/>
          <w:sz w:val="24"/>
          <w:szCs w:val="24"/>
        </w:rPr>
        <w:t>&lt;</w:t>
      </w:r>
      <w:r>
        <w:rPr>
          <w:spacing w:val="-3"/>
          <w:sz w:val="24"/>
          <w:szCs w:val="24"/>
        </w:rPr>
        <w:t>加强车</w:t>
      </w:r>
      <w:r>
        <w:rPr>
          <w:spacing w:val="-1"/>
          <w:sz w:val="24"/>
          <w:szCs w:val="24"/>
        </w:rPr>
        <w:t>马碧水库相关河段鱼类栖息地保护方案</w:t>
      </w:r>
      <w:r>
        <w:rPr>
          <w:rFonts w:ascii="Times New Roman" w:hAnsi="Times New Roman" w:eastAsia="Times New Roman" w:cs="Times New Roman"/>
          <w:spacing w:val="-1"/>
          <w:sz w:val="24"/>
          <w:szCs w:val="24"/>
        </w:rPr>
        <w:t>&gt;</w:t>
      </w:r>
      <w:r>
        <w:rPr>
          <w:spacing w:val="-1"/>
          <w:sz w:val="24"/>
          <w:szCs w:val="24"/>
        </w:rPr>
        <w:t>征求意见的通知》发文给各相关</w:t>
      </w:r>
      <w:r>
        <w:rPr>
          <w:spacing w:val="-2"/>
          <w:sz w:val="24"/>
          <w:szCs w:val="24"/>
        </w:rPr>
        <w:t>部门，其</w:t>
      </w:r>
      <w:r>
        <w:rPr>
          <w:spacing w:val="3"/>
          <w:sz w:val="24"/>
          <w:szCs w:val="24"/>
        </w:rPr>
        <w:t>中马龙区农业农村局和旧县街道提出具体建议，要点如下：建议</w:t>
      </w:r>
      <w:r>
        <w:rPr>
          <w:spacing w:val="2"/>
          <w:sz w:val="24"/>
          <w:szCs w:val="24"/>
        </w:rPr>
        <w:t>增加支流永发河</w:t>
      </w:r>
      <w:r>
        <w:rPr>
          <w:spacing w:val="-8"/>
          <w:sz w:val="24"/>
          <w:szCs w:val="24"/>
        </w:rPr>
        <w:t>（汇口至永发水库坝下河段）、支流车章河（车章河尾水处至五里箐水库坝下河段）</w:t>
      </w:r>
      <w:r>
        <w:rPr>
          <w:spacing w:val="-4"/>
          <w:sz w:val="24"/>
          <w:szCs w:val="24"/>
        </w:rPr>
        <w:t>干流、支流红桥河（汇口至马过河镇中和村千工坝下河段）也划为栖息地保护</w:t>
      </w:r>
      <w:r>
        <w:rPr>
          <w:spacing w:val="-5"/>
          <w:sz w:val="24"/>
          <w:szCs w:val="24"/>
        </w:rPr>
        <w:t>区；</w:t>
      </w:r>
      <w:r>
        <w:rPr>
          <w:spacing w:val="3"/>
          <w:sz w:val="24"/>
          <w:szCs w:val="24"/>
        </w:rPr>
        <w:t>建议将车马碧水库建成后蓄水区域划定为鱼</w:t>
      </w:r>
      <w:r>
        <w:rPr>
          <w:spacing w:val="2"/>
          <w:sz w:val="24"/>
          <w:szCs w:val="24"/>
        </w:rPr>
        <w:t>类栖息地保护地，同样设为常年禁渔</w:t>
      </w:r>
      <w:r>
        <w:rPr>
          <w:spacing w:val="-11"/>
          <w:sz w:val="24"/>
          <w:szCs w:val="24"/>
        </w:rPr>
        <w:t>区。</w:t>
      </w:r>
    </w:p>
    <w:p w14:paraId="55045956">
      <w:pPr>
        <w:pStyle w:val="2"/>
        <w:spacing w:before="1" w:line="232" w:lineRule="auto"/>
        <w:ind w:left="524"/>
        <w:rPr>
          <w:sz w:val="24"/>
          <w:szCs w:val="24"/>
        </w:rPr>
      </w:pPr>
      <w:r>
        <w:rPr>
          <w:spacing w:val="-5"/>
          <w:sz w:val="24"/>
          <w:szCs w:val="24"/>
        </w:rPr>
        <w:t>具体意见见附件</w:t>
      </w:r>
      <w:r>
        <w:rPr>
          <w:spacing w:val="-26"/>
          <w:sz w:val="24"/>
          <w:szCs w:val="24"/>
        </w:rPr>
        <w:t xml:space="preserve"> </w:t>
      </w:r>
      <w:r>
        <w:rPr>
          <w:rFonts w:ascii="Times New Roman" w:hAnsi="Times New Roman" w:eastAsia="Times New Roman" w:cs="Times New Roman"/>
          <w:spacing w:val="-5"/>
          <w:sz w:val="24"/>
          <w:szCs w:val="24"/>
        </w:rPr>
        <w:t>14</w:t>
      </w:r>
      <w:r>
        <w:rPr>
          <w:spacing w:val="-5"/>
          <w:sz w:val="24"/>
          <w:szCs w:val="24"/>
        </w:rPr>
        <w:t>。</w:t>
      </w:r>
    </w:p>
    <w:p w14:paraId="0115DF8E">
      <w:pPr>
        <w:spacing w:line="232" w:lineRule="auto"/>
        <w:rPr>
          <w:sz w:val="24"/>
          <w:szCs w:val="24"/>
        </w:rPr>
        <w:sectPr>
          <w:headerReference r:id="rId88" w:type="default"/>
          <w:footerReference r:id="rId89" w:type="default"/>
          <w:pgSz w:w="11907" w:h="16839"/>
          <w:pgMar w:top="1376" w:right="1596" w:bottom="1061" w:left="1671" w:header="999" w:footer="859" w:gutter="0"/>
          <w:cols w:space="720" w:num="1"/>
        </w:sectPr>
      </w:pPr>
    </w:p>
    <w:p w14:paraId="36C744C9">
      <w:pPr>
        <w:spacing w:line="388" w:lineRule="auto"/>
        <w:rPr>
          <w:rFonts w:ascii="Arial"/>
          <w:sz w:val="21"/>
        </w:rPr>
      </w:pPr>
    </w:p>
    <w:p w14:paraId="15F5416E">
      <w:pPr>
        <w:spacing w:line="8100" w:lineRule="exact"/>
        <w:ind w:firstLine="192"/>
      </w:pPr>
      <w:r>
        <w:rPr>
          <w:position w:val="-162"/>
        </w:rPr>
        <w:drawing>
          <wp:inline distT="0" distB="0" distL="0" distR="0">
            <wp:extent cx="8317865" cy="514350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358"/>
                    <a:stretch>
                      <a:fillRect/>
                    </a:stretch>
                  </pic:blipFill>
                  <pic:spPr>
                    <a:xfrm>
                      <a:off x="0" y="0"/>
                      <a:ext cx="8317865" cy="5143500"/>
                    </a:xfrm>
                    <a:prstGeom prst="rect">
                      <a:avLst/>
                    </a:prstGeom>
                  </pic:spPr>
                </pic:pic>
              </a:graphicData>
            </a:graphic>
          </wp:inline>
        </w:drawing>
      </w:r>
    </w:p>
    <w:p w14:paraId="5E6B19DB">
      <w:pPr>
        <w:pStyle w:val="2"/>
        <w:spacing w:before="35" w:line="233" w:lineRule="auto"/>
        <w:ind w:left="3790"/>
        <w:rPr>
          <w:sz w:val="24"/>
          <w:szCs w:val="24"/>
        </w:rPr>
      </w:pPr>
      <w:r>
        <w:rPr>
          <w:b/>
          <w:bCs/>
          <w:spacing w:val="-3"/>
          <w:sz w:val="24"/>
          <w:szCs w:val="24"/>
        </w:rPr>
        <w:t>图</w:t>
      </w:r>
      <w:r>
        <w:rPr>
          <w:spacing w:val="-33"/>
          <w:sz w:val="24"/>
          <w:szCs w:val="24"/>
        </w:rPr>
        <w:t xml:space="preserve"> </w:t>
      </w:r>
      <w:r>
        <w:rPr>
          <w:rFonts w:ascii="Times New Roman" w:hAnsi="Times New Roman" w:eastAsia="Times New Roman" w:cs="Times New Roman"/>
          <w:b/>
          <w:bCs/>
          <w:spacing w:val="-3"/>
          <w:sz w:val="24"/>
          <w:szCs w:val="24"/>
        </w:rPr>
        <w:t xml:space="preserve">5.1-4      </w:t>
      </w:r>
      <w:r>
        <w:rPr>
          <w:b/>
          <w:bCs/>
          <w:spacing w:val="-3"/>
          <w:sz w:val="24"/>
          <w:szCs w:val="24"/>
        </w:rPr>
        <w:t>马龙河干流及白塔河支流栖息地保护河段范围</w:t>
      </w:r>
    </w:p>
    <w:p w14:paraId="420F3CA5">
      <w:pPr>
        <w:spacing w:line="233" w:lineRule="auto"/>
        <w:rPr>
          <w:sz w:val="24"/>
          <w:szCs w:val="24"/>
        </w:rPr>
        <w:sectPr>
          <w:headerReference r:id="rId90" w:type="default"/>
          <w:footerReference r:id="rId91" w:type="default"/>
          <w:pgSz w:w="16839" w:h="11907"/>
          <w:pgMar w:top="1376" w:right="1669" w:bottom="1061" w:left="1671" w:header="999" w:footer="861" w:gutter="0"/>
          <w:cols w:space="720" w:num="1"/>
        </w:sectPr>
      </w:pPr>
    </w:p>
    <w:p w14:paraId="120817FC">
      <w:pPr>
        <w:spacing w:line="453" w:lineRule="auto"/>
        <w:rPr>
          <w:rFonts w:ascii="Arial"/>
          <w:sz w:val="21"/>
        </w:rPr>
      </w:pPr>
    </w:p>
    <w:p w14:paraId="0582F30B">
      <w:pPr>
        <w:pStyle w:val="2"/>
        <w:spacing w:before="78" w:line="339" w:lineRule="auto"/>
        <w:ind w:left="39" w:right="29" w:firstLine="480"/>
        <w:jc w:val="both"/>
        <w:rPr>
          <w:sz w:val="24"/>
          <w:szCs w:val="24"/>
        </w:rPr>
      </w:pPr>
      <w:r>
        <w:rPr>
          <w:spacing w:val="-4"/>
          <w:sz w:val="24"/>
          <w:szCs w:val="24"/>
        </w:rPr>
        <w:t>栖息地保护措施还包括恢复河道连通性、水质保</w:t>
      </w:r>
      <w:r>
        <w:rPr>
          <w:spacing w:val="-5"/>
          <w:sz w:val="24"/>
          <w:szCs w:val="24"/>
        </w:rPr>
        <w:t>护和管理措施、生态流量泄放</w:t>
      </w:r>
      <w:r>
        <w:rPr>
          <w:spacing w:val="-7"/>
          <w:sz w:val="24"/>
          <w:szCs w:val="24"/>
        </w:rPr>
        <w:t>措施、加强渔政管理措施、长期维护和巡视措施、科研和监测措施等，</w:t>
      </w:r>
      <w:r>
        <w:rPr>
          <w:spacing w:val="-8"/>
          <w:sz w:val="24"/>
          <w:szCs w:val="24"/>
        </w:rPr>
        <w:t xml:space="preserve"> 各项措施落</w:t>
      </w:r>
      <w:r>
        <w:rPr>
          <w:spacing w:val="-2"/>
          <w:sz w:val="24"/>
          <w:szCs w:val="24"/>
        </w:rPr>
        <w:t>实情况见表</w:t>
      </w:r>
      <w:r>
        <w:rPr>
          <w:spacing w:val="-48"/>
          <w:sz w:val="24"/>
          <w:szCs w:val="24"/>
        </w:rPr>
        <w:t xml:space="preserve"> </w:t>
      </w:r>
      <w:r>
        <w:rPr>
          <w:rFonts w:ascii="Times New Roman" w:hAnsi="Times New Roman" w:eastAsia="Times New Roman" w:cs="Times New Roman"/>
          <w:spacing w:val="-2"/>
          <w:sz w:val="24"/>
          <w:szCs w:val="24"/>
        </w:rPr>
        <w:t>5.1-2</w:t>
      </w:r>
      <w:r>
        <w:rPr>
          <w:spacing w:val="-2"/>
          <w:sz w:val="24"/>
          <w:szCs w:val="24"/>
        </w:rPr>
        <w:t>。</w:t>
      </w:r>
    </w:p>
    <w:p w14:paraId="015FC4EC">
      <w:pPr>
        <w:pStyle w:val="2"/>
        <w:spacing w:before="1" w:line="225" w:lineRule="auto"/>
        <w:ind w:left="279"/>
        <w:rPr>
          <w:sz w:val="24"/>
          <w:szCs w:val="24"/>
        </w:rPr>
      </w:pPr>
      <w:r>
        <w:rPr>
          <w:b/>
          <w:bCs/>
          <w:sz w:val="24"/>
          <w:szCs w:val="24"/>
        </w:rPr>
        <w:t>表</w:t>
      </w:r>
      <w:r>
        <w:rPr>
          <w:spacing w:val="-51"/>
          <w:sz w:val="24"/>
          <w:szCs w:val="24"/>
        </w:rPr>
        <w:t xml:space="preserve"> </w:t>
      </w:r>
      <w:r>
        <w:rPr>
          <w:rFonts w:ascii="Times New Roman" w:hAnsi="Times New Roman" w:eastAsia="Times New Roman" w:cs="Times New Roman"/>
          <w:b/>
          <w:bCs/>
          <w:sz w:val="24"/>
          <w:szCs w:val="24"/>
        </w:rPr>
        <w:t xml:space="preserve">5.1.2                        </w:t>
      </w:r>
      <w:r>
        <w:rPr>
          <w:rFonts w:ascii="Times New Roman" w:hAnsi="Times New Roman" w:eastAsia="Times New Roman" w:cs="Times New Roman"/>
          <w:b/>
          <w:bCs/>
          <w:spacing w:val="-1"/>
          <w:sz w:val="24"/>
          <w:szCs w:val="24"/>
        </w:rPr>
        <w:t xml:space="preserve">    </w:t>
      </w:r>
      <w:r>
        <w:rPr>
          <w:b/>
          <w:bCs/>
          <w:spacing w:val="-1"/>
          <w:sz w:val="24"/>
          <w:szCs w:val="24"/>
        </w:rPr>
        <w:t>鱼类栖息地保护措施落实情况</w:t>
      </w: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5"/>
        <w:gridCol w:w="3106"/>
        <w:gridCol w:w="2682"/>
        <w:gridCol w:w="1411"/>
      </w:tblGrid>
      <w:tr w14:paraId="3930F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5" w:type="dxa"/>
            <w:tcBorders>
              <w:top w:val="single" w:color="000000" w:sz="12" w:space="0"/>
              <w:left w:val="single" w:color="000000" w:sz="12" w:space="0"/>
            </w:tcBorders>
            <w:vAlign w:val="top"/>
          </w:tcPr>
          <w:p w14:paraId="08FCD140">
            <w:pPr>
              <w:spacing w:before="53" w:line="220" w:lineRule="auto"/>
              <w:ind w:left="204"/>
              <w:rPr>
                <w:rFonts w:ascii="宋体" w:hAnsi="宋体" w:eastAsia="宋体" w:cs="宋体"/>
                <w:sz w:val="21"/>
                <w:szCs w:val="21"/>
              </w:rPr>
            </w:pPr>
            <w:r>
              <w:rPr>
                <w:rFonts w:ascii="宋体" w:hAnsi="宋体" w:eastAsia="宋体" w:cs="宋体"/>
                <w:spacing w:val="-2"/>
                <w:sz w:val="21"/>
                <w:szCs w:val="21"/>
              </w:rPr>
              <w:t>措施名称</w:t>
            </w:r>
          </w:p>
        </w:tc>
        <w:tc>
          <w:tcPr>
            <w:tcW w:w="5788" w:type="dxa"/>
            <w:gridSpan w:val="2"/>
            <w:tcBorders>
              <w:top w:val="single" w:color="000000" w:sz="12" w:space="0"/>
            </w:tcBorders>
            <w:vAlign w:val="top"/>
          </w:tcPr>
          <w:p w14:paraId="715393F7">
            <w:pPr>
              <w:spacing w:before="53" w:line="220" w:lineRule="auto"/>
              <w:ind w:left="2475"/>
              <w:rPr>
                <w:rFonts w:ascii="宋体" w:hAnsi="宋体" w:eastAsia="宋体" w:cs="宋体"/>
                <w:sz w:val="21"/>
                <w:szCs w:val="21"/>
              </w:rPr>
            </w:pPr>
            <w:r>
              <w:rPr>
                <w:rFonts w:ascii="宋体" w:hAnsi="宋体" w:eastAsia="宋体" w:cs="宋体"/>
                <w:spacing w:val="-2"/>
                <w:sz w:val="21"/>
                <w:szCs w:val="21"/>
              </w:rPr>
              <w:t>环评要求</w:t>
            </w:r>
          </w:p>
        </w:tc>
        <w:tc>
          <w:tcPr>
            <w:tcW w:w="1411" w:type="dxa"/>
            <w:tcBorders>
              <w:top w:val="single" w:color="000000" w:sz="12" w:space="0"/>
              <w:right w:val="single" w:color="000000" w:sz="12" w:space="0"/>
            </w:tcBorders>
            <w:vAlign w:val="top"/>
          </w:tcPr>
          <w:p w14:paraId="23D18A3A">
            <w:pPr>
              <w:spacing w:before="53" w:line="220" w:lineRule="auto"/>
              <w:ind w:left="294"/>
              <w:rPr>
                <w:rFonts w:ascii="宋体" w:hAnsi="宋体" w:eastAsia="宋体" w:cs="宋体"/>
                <w:sz w:val="21"/>
                <w:szCs w:val="21"/>
              </w:rPr>
            </w:pPr>
            <w:r>
              <w:rPr>
                <w:rFonts w:ascii="宋体" w:hAnsi="宋体" w:eastAsia="宋体" w:cs="宋体"/>
                <w:spacing w:val="-2"/>
                <w:sz w:val="21"/>
                <w:szCs w:val="21"/>
              </w:rPr>
              <w:t>落实情况</w:t>
            </w:r>
          </w:p>
        </w:tc>
      </w:tr>
      <w:tr w14:paraId="61A69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5" w:type="dxa"/>
            <w:vMerge w:val="restart"/>
            <w:tcBorders>
              <w:left w:val="single" w:color="000000" w:sz="12" w:space="0"/>
              <w:bottom w:val="nil"/>
            </w:tcBorders>
            <w:vAlign w:val="top"/>
          </w:tcPr>
          <w:p w14:paraId="64673A4E">
            <w:pPr>
              <w:spacing w:before="249" w:line="242" w:lineRule="auto"/>
              <w:ind w:left="208" w:right="113" w:hanging="110"/>
              <w:rPr>
                <w:rFonts w:ascii="宋体" w:hAnsi="宋体" w:eastAsia="宋体" w:cs="宋体"/>
                <w:sz w:val="21"/>
                <w:szCs w:val="21"/>
              </w:rPr>
            </w:pPr>
            <w:r>
              <w:rPr>
                <w:rFonts w:ascii="宋体" w:hAnsi="宋体" w:eastAsia="宋体" w:cs="宋体"/>
                <w:spacing w:val="-2"/>
                <w:sz w:val="21"/>
                <w:szCs w:val="21"/>
              </w:rPr>
              <w:t>划定保留的</w:t>
            </w:r>
            <w:r>
              <w:rPr>
                <w:rFonts w:ascii="宋体" w:hAnsi="宋体" w:eastAsia="宋体" w:cs="宋体"/>
                <w:spacing w:val="-3"/>
                <w:sz w:val="21"/>
                <w:szCs w:val="21"/>
              </w:rPr>
              <w:t>天然河段</w:t>
            </w:r>
          </w:p>
        </w:tc>
        <w:tc>
          <w:tcPr>
            <w:tcW w:w="5788" w:type="dxa"/>
            <w:gridSpan w:val="2"/>
            <w:vAlign w:val="top"/>
          </w:tcPr>
          <w:p w14:paraId="63EEF582">
            <w:pPr>
              <w:pStyle w:val="6"/>
              <w:spacing w:before="52" w:line="228" w:lineRule="auto"/>
              <w:ind w:left="55"/>
              <w:rPr>
                <w:rFonts w:ascii="宋体" w:hAnsi="宋体" w:eastAsia="宋体" w:cs="宋体"/>
              </w:rPr>
            </w:pPr>
            <w:r>
              <w:rPr>
                <w:rFonts w:ascii="宋体" w:hAnsi="宋体" w:eastAsia="宋体" w:cs="宋体"/>
                <w:spacing w:val="-2"/>
              </w:rPr>
              <w:t>马龙河干流：车马碧水库坝址至凤龙湾水库库尾</w:t>
            </w:r>
            <w:r>
              <w:rPr>
                <w:rFonts w:ascii="宋体" w:hAnsi="宋体" w:eastAsia="宋体" w:cs="宋体"/>
                <w:spacing w:val="-10"/>
              </w:rPr>
              <w:t xml:space="preserve"> </w:t>
            </w:r>
            <w:r>
              <w:rPr>
                <w:spacing w:val="-2"/>
              </w:rPr>
              <w:t xml:space="preserve">11km </w:t>
            </w:r>
            <w:r>
              <w:rPr>
                <w:rFonts w:ascii="宋体" w:hAnsi="宋体" w:eastAsia="宋体" w:cs="宋体"/>
                <w:spacing w:val="-2"/>
              </w:rPr>
              <w:t>河段</w:t>
            </w:r>
          </w:p>
        </w:tc>
        <w:tc>
          <w:tcPr>
            <w:tcW w:w="1411" w:type="dxa"/>
            <w:vMerge w:val="restart"/>
            <w:tcBorders>
              <w:bottom w:val="nil"/>
              <w:right w:val="single" w:color="000000" w:sz="12" w:space="0"/>
            </w:tcBorders>
            <w:vAlign w:val="top"/>
          </w:tcPr>
          <w:p w14:paraId="3866A5A3">
            <w:pPr>
              <w:spacing w:before="114" w:line="241" w:lineRule="auto"/>
              <w:ind w:left="70" w:right="42" w:hanging="2"/>
              <w:jc w:val="both"/>
              <w:rPr>
                <w:rFonts w:ascii="宋体" w:hAnsi="宋体" w:eastAsia="宋体" w:cs="宋体"/>
                <w:sz w:val="21"/>
                <w:szCs w:val="21"/>
              </w:rPr>
            </w:pPr>
            <w:r>
              <w:rPr>
                <w:rFonts w:ascii="宋体" w:hAnsi="宋体" w:eastAsia="宋体" w:cs="宋体"/>
                <w:spacing w:val="3"/>
                <w:sz w:val="21"/>
                <w:szCs w:val="21"/>
              </w:rPr>
              <w:t>政府已完成征</w:t>
            </w:r>
            <w:r>
              <w:rPr>
                <w:rFonts w:ascii="宋体" w:hAnsi="宋体" w:eastAsia="宋体" w:cs="宋体"/>
                <w:spacing w:val="2"/>
                <w:sz w:val="21"/>
                <w:szCs w:val="21"/>
              </w:rPr>
              <w:t>求意见，待正</w:t>
            </w:r>
            <w:r>
              <w:rPr>
                <w:rFonts w:ascii="宋体" w:hAnsi="宋体" w:eastAsia="宋体" w:cs="宋体"/>
                <w:spacing w:val="-3"/>
                <w:sz w:val="21"/>
                <w:szCs w:val="21"/>
              </w:rPr>
              <w:t>式批文</w:t>
            </w:r>
          </w:p>
        </w:tc>
      </w:tr>
      <w:tr w14:paraId="07127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75" w:type="dxa"/>
            <w:vMerge w:val="continue"/>
            <w:tcBorders>
              <w:top w:val="nil"/>
              <w:left w:val="single" w:color="000000" w:sz="12" w:space="0"/>
              <w:bottom w:val="nil"/>
            </w:tcBorders>
            <w:vAlign w:val="top"/>
          </w:tcPr>
          <w:p w14:paraId="3B64DC96">
            <w:pPr>
              <w:rPr>
                <w:rFonts w:ascii="Arial"/>
                <w:sz w:val="21"/>
              </w:rPr>
            </w:pPr>
          </w:p>
        </w:tc>
        <w:tc>
          <w:tcPr>
            <w:tcW w:w="5788" w:type="dxa"/>
            <w:gridSpan w:val="2"/>
            <w:vAlign w:val="top"/>
          </w:tcPr>
          <w:p w14:paraId="4EC50966">
            <w:pPr>
              <w:pStyle w:val="6"/>
              <w:spacing w:before="53" w:line="226" w:lineRule="auto"/>
              <w:ind w:left="55"/>
              <w:rPr>
                <w:rFonts w:ascii="宋体" w:hAnsi="宋体" w:eastAsia="宋体" w:cs="宋体"/>
              </w:rPr>
            </w:pPr>
            <w:r>
              <w:rPr>
                <w:rFonts w:ascii="宋体" w:hAnsi="宋体" w:eastAsia="宋体" w:cs="宋体"/>
                <w:spacing w:val="-1"/>
              </w:rPr>
              <w:t>马龙河干流：车马碧水库库尾至库尾上游</w:t>
            </w:r>
            <w:r>
              <w:rPr>
                <w:rFonts w:ascii="宋体" w:hAnsi="宋体" w:eastAsia="宋体" w:cs="宋体"/>
                <w:spacing w:val="-40"/>
              </w:rPr>
              <w:t xml:space="preserve"> </w:t>
            </w:r>
            <w:r>
              <w:rPr>
                <w:spacing w:val="-1"/>
              </w:rPr>
              <w:t xml:space="preserve">7km </w:t>
            </w:r>
            <w:r>
              <w:rPr>
                <w:rFonts w:ascii="宋体" w:hAnsi="宋体" w:eastAsia="宋体" w:cs="宋体"/>
                <w:spacing w:val="-1"/>
              </w:rPr>
              <w:t>河段</w:t>
            </w:r>
          </w:p>
        </w:tc>
        <w:tc>
          <w:tcPr>
            <w:tcW w:w="1411" w:type="dxa"/>
            <w:vMerge w:val="continue"/>
            <w:tcBorders>
              <w:top w:val="nil"/>
              <w:bottom w:val="nil"/>
              <w:right w:val="single" w:color="000000" w:sz="12" w:space="0"/>
            </w:tcBorders>
            <w:vAlign w:val="top"/>
          </w:tcPr>
          <w:p w14:paraId="58187F6F">
            <w:pPr>
              <w:rPr>
                <w:rFonts w:ascii="Arial"/>
                <w:sz w:val="21"/>
              </w:rPr>
            </w:pPr>
          </w:p>
        </w:tc>
      </w:tr>
      <w:tr w14:paraId="2134A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75" w:type="dxa"/>
            <w:vMerge w:val="continue"/>
            <w:tcBorders>
              <w:top w:val="nil"/>
              <w:left w:val="single" w:color="000000" w:sz="12" w:space="0"/>
            </w:tcBorders>
            <w:vAlign w:val="top"/>
          </w:tcPr>
          <w:p w14:paraId="29D1B2C7">
            <w:pPr>
              <w:rPr>
                <w:rFonts w:ascii="Arial"/>
                <w:sz w:val="21"/>
              </w:rPr>
            </w:pPr>
          </w:p>
        </w:tc>
        <w:tc>
          <w:tcPr>
            <w:tcW w:w="5788" w:type="dxa"/>
            <w:gridSpan w:val="2"/>
            <w:vAlign w:val="top"/>
          </w:tcPr>
          <w:p w14:paraId="73677E27">
            <w:pPr>
              <w:pStyle w:val="6"/>
              <w:spacing w:before="55" w:line="226" w:lineRule="auto"/>
              <w:ind w:left="55"/>
              <w:rPr>
                <w:rFonts w:ascii="宋体" w:hAnsi="宋体" w:eastAsia="宋体" w:cs="宋体"/>
              </w:rPr>
            </w:pPr>
            <w:r>
              <w:rPr>
                <w:rFonts w:ascii="宋体" w:hAnsi="宋体" w:eastAsia="宋体" w:cs="宋体"/>
                <w:spacing w:val="-2"/>
              </w:rPr>
              <w:t>马龙河支流：白塔河汇入口至四旗田水库坝址</w:t>
            </w:r>
            <w:r>
              <w:rPr>
                <w:rFonts w:ascii="宋体" w:hAnsi="宋体" w:eastAsia="宋体" w:cs="宋体"/>
                <w:spacing w:val="-12"/>
              </w:rPr>
              <w:t xml:space="preserve"> </w:t>
            </w:r>
            <w:r>
              <w:rPr>
                <w:spacing w:val="-2"/>
              </w:rPr>
              <w:t xml:space="preserve">16km </w:t>
            </w:r>
            <w:r>
              <w:rPr>
                <w:rFonts w:ascii="宋体" w:hAnsi="宋体" w:eastAsia="宋体" w:cs="宋体"/>
                <w:spacing w:val="-2"/>
              </w:rPr>
              <w:t>河段</w:t>
            </w:r>
          </w:p>
        </w:tc>
        <w:tc>
          <w:tcPr>
            <w:tcW w:w="1411" w:type="dxa"/>
            <w:vMerge w:val="continue"/>
            <w:tcBorders>
              <w:top w:val="nil"/>
              <w:right w:val="single" w:color="000000" w:sz="12" w:space="0"/>
            </w:tcBorders>
            <w:vAlign w:val="top"/>
          </w:tcPr>
          <w:p w14:paraId="238B1DD1">
            <w:pPr>
              <w:rPr>
                <w:rFonts w:ascii="Arial"/>
                <w:sz w:val="21"/>
              </w:rPr>
            </w:pPr>
          </w:p>
        </w:tc>
      </w:tr>
      <w:tr w14:paraId="1BD04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75" w:type="dxa"/>
            <w:vMerge w:val="restart"/>
            <w:tcBorders>
              <w:left w:val="single" w:color="000000" w:sz="12" w:space="0"/>
              <w:bottom w:val="nil"/>
            </w:tcBorders>
            <w:vAlign w:val="top"/>
          </w:tcPr>
          <w:p w14:paraId="2EA2003B">
            <w:pPr>
              <w:spacing w:line="349" w:lineRule="auto"/>
              <w:rPr>
                <w:rFonts w:ascii="Arial"/>
                <w:sz w:val="21"/>
              </w:rPr>
            </w:pPr>
          </w:p>
          <w:p w14:paraId="55BFDB58">
            <w:pPr>
              <w:pStyle w:val="6"/>
              <w:spacing w:before="68" w:line="247" w:lineRule="auto"/>
              <w:ind w:left="206" w:right="113" w:hanging="105"/>
              <w:rPr>
                <w:rFonts w:ascii="宋体" w:hAnsi="宋体" w:eastAsia="宋体" w:cs="宋体"/>
              </w:rPr>
            </w:pPr>
            <w:r>
              <w:rPr>
                <w:rFonts w:ascii="宋体" w:hAnsi="宋体" w:eastAsia="宋体" w:cs="宋体"/>
                <w:spacing w:val="-2"/>
              </w:rPr>
              <w:t>恢复连通性</w:t>
            </w:r>
            <w:r>
              <w:rPr>
                <w:spacing w:val="-2"/>
              </w:rPr>
              <w:t>5.1.1.5</w:t>
            </w:r>
            <w:r>
              <w:rPr>
                <w:spacing w:val="14"/>
              </w:rPr>
              <w:t xml:space="preserve"> </w:t>
            </w:r>
            <w:r>
              <w:rPr>
                <w:rFonts w:ascii="宋体" w:hAnsi="宋体" w:eastAsia="宋体" w:cs="宋体"/>
                <w:spacing w:val="-2"/>
              </w:rPr>
              <w:t>节</w:t>
            </w:r>
          </w:p>
        </w:tc>
        <w:tc>
          <w:tcPr>
            <w:tcW w:w="3106" w:type="dxa"/>
            <w:vAlign w:val="top"/>
          </w:tcPr>
          <w:p w14:paraId="77207F65">
            <w:pPr>
              <w:pStyle w:val="6"/>
              <w:spacing w:before="55" w:line="225" w:lineRule="auto"/>
              <w:ind w:left="76"/>
              <w:rPr>
                <w:rFonts w:ascii="宋体" w:hAnsi="宋体" w:eastAsia="宋体" w:cs="宋体"/>
              </w:rPr>
            </w:pPr>
            <w:r>
              <w:rPr>
                <w:rFonts w:ascii="宋体" w:hAnsi="宋体" w:eastAsia="宋体" w:cs="宋体"/>
                <w:spacing w:val="-2"/>
              </w:rPr>
              <w:t>坝址下游</w:t>
            </w:r>
            <w:r>
              <w:rPr>
                <w:rFonts w:ascii="宋体" w:hAnsi="宋体" w:eastAsia="宋体" w:cs="宋体"/>
                <w:spacing w:val="-29"/>
              </w:rPr>
              <w:t xml:space="preserve"> </w:t>
            </w:r>
            <w:r>
              <w:rPr>
                <w:spacing w:val="-2"/>
              </w:rPr>
              <w:t xml:space="preserve">8.2km </w:t>
            </w:r>
            <w:r>
              <w:rPr>
                <w:rFonts w:ascii="宋体" w:hAnsi="宋体" w:eastAsia="宋体" w:cs="宋体"/>
                <w:spacing w:val="-2"/>
              </w:rPr>
              <w:t>处石仙人滚水坝</w:t>
            </w:r>
          </w:p>
        </w:tc>
        <w:tc>
          <w:tcPr>
            <w:tcW w:w="2682" w:type="dxa"/>
            <w:vAlign w:val="top"/>
          </w:tcPr>
          <w:p w14:paraId="52B70BDB">
            <w:pPr>
              <w:spacing w:before="55" w:line="220" w:lineRule="auto"/>
              <w:ind w:left="59"/>
              <w:rPr>
                <w:rFonts w:ascii="宋体" w:hAnsi="宋体" w:eastAsia="宋体" w:cs="宋体"/>
                <w:sz w:val="21"/>
                <w:szCs w:val="21"/>
              </w:rPr>
            </w:pPr>
            <w:r>
              <w:rPr>
                <w:rFonts w:ascii="宋体" w:hAnsi="宋体" w:eastAsia="宋体" w:cs="宋体"/>
                <w:spacing w:val="-1"/>
                <w:sz w:val="21"/>
                <w:szCs w:val="21"/>
              </w:rPr>
              <w:t>修建鱼道，泄放生态流量</w:t>
            </w:r>
          </w:p>
        </w:tc>
        <w:tc>
          <w:tcPr>
            <w:tcW w:w="1411" w:type="dxa"/>
            <w:tcBorders>
              <w:right w:val="single" w:color="000000" w:sz="12" w:space="0"/>
            </w:tcBorders>
            <w:vAlign w:val="top"/>
          </w:tcPr>
          <w:p w14:paraId="191D579C">
            <w:pPr>
              <w:spacing w:before="55" w:line="220" w:lineRule="auto"/>
              <w:ind w:left="211"/>
              <w:rPr>
                <w:rFonts w:ascii="宋体" w:hAnsi="宋体" w:eastAsia="宋体" w:cs="宋体"/>
                <w:sz w:val="21"/>
                <w:szCs w:val="21"/>
              </w:rPr>
            </w:pPr>
            <w:r>
              <w:rPr>
                <w:rFonts w:ascii="宋体" w:hAnsi="宋体" w:eastAsia="宋体" w:cs="宋体"/>
                <w:spacing w:val="-5"/>
                <w:sz w:val="21"/>
                <w:szCs w:val="21"/>
              </w:rPr>
              <w:t>已完成征地</w:t>
            </w:r>
          </w:p>
        </w:tc>
      </w:tr>
      <w:tr w14:paraId="0A59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75" w:type="dxa"/>
            <w:vMerge w:val="continue"/>
            <w:tcBorders>
              <w:top w:val="nil"/>
              <w:left w:val="single" w:color="000000" w:sz="12" w:space="0"/>
              <w:bottom w:val="nil"/>
            </w:tcBorders>
            <w:vAlign w:val="top"/>
          </w:tcPr>
          <w:p w14:paraId="08DA8361">
            <w:pPr>
              <w:rPr>
                <w:rFonts w:ascii="Arial"/>
                <w:sz w:val="21"/>
              </w:rPr>
            </w:pPr>
          </w:p>
        </w:tc>
        <w:tc>
          <w:tcPr>
            <w:tcW w:w="3106" w:type="dxa"/>
            <w:vAlign w:val="top"/>
          </w:tcPr>
          <w:p w14:paraId="0AE68472">
            <w:pPr>
              <w:pStyle w:val="6"/>
              <w:spacing w:before="58" w:line="224" w:lineRule="auto"/>
              <w:ind w:left="78"/>
              <w:rPr>
                <w:rFonts w:ascii="宋体" w:hAnsi="宋体" w:eastAsia="宋体" w:cs="宋体"/>
              </w:rPr>
            </w:pPr>
            <w:r>
              <w:rPr>
                <w:rFonts w:ascii="宋体" w:hAnsi="宋体" w:eastAsia="宋体" w:cs="宋体"/>
                <w:spacing w:val="-1"/>
              </w:rPr>
              <w:t>车马碧库尾以上</w:t>
            </w:r>
            <w:r>
              <w:rPr>
                <w:rFonts w:ascii="宋体" w:hAnsi="宋体" w:eastAsia="宋体" w:cs="宋体"/>
                <w:spacing w:val="-43"/>
              </w:rPr>
              <w:t xml:space="preserve"> </w:t>
            </w:r>
            <w:r>
              <w:rPr>
                <w:spacing w:val="-1"/>
              </w:rPr>
              <w:t xml:space="preserve">2.0km </w:t>
            </w:r>
            <w:r>
              <w:rPr>
                <w:rFonts w:ascii="宋体" w:hAnsi="宋体" w:eastAsia="宋体" w:cs="宋体"/>
                <w:spacing w:val="-1"/>
              </w:rPr>
              <w:t>处滚水坝</w:t>
            </w:r>
          </w:p>
        </w:tc>
        <w:tc>
          <w:tcPr>
            <w:tcW w:w="2682" w:type="dxa"/>
            <w:vAlign w:val="top"/>
          </w:tcPr>
          <w:p w14:paraId="0B5F2467">
            <w:pPr>
              <w:spacing w:before="57" w:line="220" w:lineRule="auto"/>
              <w:ind w:left="59"/>
              <w:rPr>
                <w:rFonts w:ascii="宋体" w:hAnsi="宋体" w:eastAsia="宋体" w:cs="宋体"/>
                <w:sz w:val="21"/>
                <w:szCs w:val="21"/>
              </w:rPr>
            </w:pPr>
            <w:r>
              <w:rPr>
                <w:rFonts w:ascii="宋体" w:hAnsi="宋体" w:eastAsia="宋体" w:cs="宋体"/>
                <w:spacing w:val="-3"/>
                <w:sz w:val="21"/>
                <w:szCs w:val="21"/>
              </w:rPr>
              <w:t>拆除</w:t>
            </w:r>
          </w:p>
        </w:tc>
        <w:tc>
          <w:tcPr>
            <w:tcW w:w="1411" w:type="dxa"/>
            <w:tcBorders>
              <w:right w:val="single" w:color="000000" w:sz="12" w:space="0"/>
            </w:tcBorders>
            <w:vAlign w:val="top"/>
          </w:tcPr>
          <w:p w14:paraId="08DBC30A">
            <w:pPr>
              <w:spacing w:before="51" w:line="220" w:lineRule="auto"/>
              <w:ind w:left="211"/>
              <w:rPr>
                <w:rFonts w:ascii="宋体" w:hAnsi="宋体" w:eastAsia="宋体" w:cs="宋体"/>
                <w:sz w:val="21"/>
                <w:szCs w:val="21"/>
              </w:rPr>
            </w:pPr>
            <w:r>
              <w:rPr>
                <w:rFonts w:ascii="宋体" w:hAnsi="宋体" w:eastAsia="宋体" w:cs="宋体"/>
                <w:spacing w:val="-5"/>
                <w:sz w:val="21"/>
                <w:szCs w:val="21"/>
              </w:rPr>
              <w:t>已完成征地</w:t>
            </w:r>
          </w:p>
        </w:tc>
      </w:tr>
      <w:tr w14:paraId="05CCD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75" w:type="dxa"/>
            <w:vMerge w:val="continue"/>
            <w:tcBorders>
              <w:top w:val="nil"/>
              <w:left w:val="single" w:color="000000" w:sz="12" w:space="0"/>
              <w:bottom w:val="nil"/>
            </w:tcBorders>
            <w:vAlign w:val="top"/>
          </w:tcPr>
          <w:p w14:paraId="00E75B89">
            <w:pPr>
              <w:rPr>
                <w:rFonts w:ascii="Arial"/>
                <w:sz w:val="21"/>
              </w:rPr>
            </w:pPr>
          </w:p>
        </w:tc>
        <w:tc>
          <w:tcPr>
            <w:tcW w:w="3106" w:type="dxa"/>
            <w:vAlign w:val="top"/>
          </w:tcPr>
          <w:p w14:paraId="3400DCA9">
            <w:pPr>
              <w:pStyle w:val="6"/>
              <w:spacing w:before="57" w:line="223" w:lineRule="auto"/>
              <w:ind w:left="78"/>
              <w:rPr>
                <w:rFonts w:ascii="宋体" w:hAnsi="宋体" w:eastAsia="宋体" w:cs="宋体"/>
              </w:rPr>
            </w:pPr>
            <w:r>
              <w:rPr>
                <w:rFonts w:ascii="宋体" w:hAnsi="宋体" w:eastAsia="宋体" w:cs="宋体"/>
                <w:spacing w:val="-1"/>
              </w:rPr>
              <w:t>车马碧库尾以上</w:t>
            </w:r>
            <w:r>
              <w:rPr>
                <w:rFonts w:ascii="宋体" w:hAnsi="宋体" w:eastAsia="宋体" w:cs="宋体"/>
                <w:spacing w:val="-43"/>
              </w:rPr>
              <w:t xml:space="preserve"> </w:t>
            </w:r>
            <w:r>
              <w:rPr>
                <w:spacing w:val="-1"/>
              </w:rPr>
              <w:t xml:space="preserve">5.5km </w:t>
            </w:r>
            <w:r>
              <w:rPr>
                <w:rFonts w:ascii="宋体" w:hAnsi="宋体" w:eastAsia="宋体" w:cs="宋体"/>
                <w:spacing w:val="-1"/>
              </w:rPr>
              <w:t>处滚水坝</w:t>
            </w:r>
          </w:p>
        </w:tc>
        <w:tc>
          <w:tcPr>
            <w:tcW w:w="2682" w:type="dxa"/>
            <w:vAlign w:val="top"/>
          </w:tcPr>
          <w:p w14:paraId="5730BCE1">
            <w:pPr>
              <w:spacing w:before="57" w:line="220" w:lineRule="auto"/>
              <w:ind w:left="59"/>
              <w:rPr>
                <w:rFonts w:ascii="宋体" w:hAnsi="宋体" w:eastAsia="宋体" w:cs="宋体"/>
                <w:sz w:val="21"/>
                <w:szCs w:val="21"/>
              </w:rPr>
            </w:pPr>
            <w:r>
              <w:rPr>
                <w:rFonts w:ascii="宋体" w:hAnsi="宋体" w:eastAsia="宋体" w:cs="宋体"/>
                <w:spacing w:val="-1"/>
                <w:sz w:val="21"/>
                <w:szCs w:val="21"/>
              </w:rPr>
              <w:t>修建鱼道，泄放生态流量</w:t>
            </w:r>
          </w:p>
        </w:tc>
        <w:tc>
          <w:tcPr>
            <w:tcW w:w="1411" w:type="dxa"/>
            <w:tcBorders>
              <w:right w:val="single" w:color="000000" w:sz="12" w:space="0"/>
            </w:tcBorders>
            <w:vAlign w:val="top"/>
          </w:tcPr>
          <w:p w14:paraId="2F3C5C8B">
            <w:pPr>
              <w:spacing w:before="51" w:line="220" w:lineRule="auto"/>
              <w:ind w:left="211"/>
              <w:rPr>
                <w:rFonts w:ascii="宋体" w:hAnsi="宋体" w:eastAsia="宋体" w:cs="宋体"/>
                <w:sz w:val="21"/>
                <w:szCs w:val="21"/>
              </w:rPr>
            </w:pPr>
            <w:r>
              <w:rPr>
                <w:rFonts w:ascii="宋体" w:hAnsi="宋体" w:eastAsia="宋体" w:cs="宋体"/>
                <w:spacing w:val="-5"/>
                <w:sz w:val="21"/>
                <w:szCs w:val="21"/>
              </w:rPr>
              <w:t>已完成征地</w:t>
            </w:r>
          </w:p>
        </w:tc>
      </w:tr>
      <w:tr w14:paraId="45030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5" w:type="dxa"/>
            <w:vMerge w:val="continue"/>
            <w:tcBorders>
              <w:top w:val="nil"/>
              <w:left w:val="single" w:color="000000" w:sz="12" w:space="0"/>
            </w:tcBorders>
            <w:vAlign w:val="top"/>
          </w:tcPr>
          <w:p w14:paraId="7B129DDB">
            <w:pPr>
              <w:rPr>
                <w:rFonts w:ascii="Arial"/>
                <w:sz w:val="21"/>
              </w:rPr>
            </w:pPr>
          </w:p>
        </w:tc>
        <w:tc>
          <w:tcPr>
            <w:tcW w:w="3106" w:type="dxa"/>
            <w:vAlign w:val="top"/>
          </w:tcPr>
          <w:p w14:paraId="3B2ED879">
            <w:pPr>
              <w:pStyle w:val="6"/>
              <w:spacing w:before="60" w:line="221" w:lineRule="auto"/>
              <w:ind w:left="80"/>
              <w:rPr>
                <w:rFonts w:ascii="宋体" w:hAnsi="宋体" w:eastAsia="宋体" w:cs="宋体"/>
              </w:rPr>
            </w:pPr>
            <w:r>
              <w:rPr>
                <w:rFonts w:ascii="宋体" w:hAnsi="宋体" w:eastAsia="宋体" w:cs="宋体"/>
                <w:spacing w:val="-3"/>
              </w:rPr>
              <w:t>白塔河上汇口上游</w:t>
            </w:r>
            <w:r>
              <w:rPr>
                <w:rFonts w:ascii="宋体" w:hAnsi="宋体" w:eastAsia="宋体" w:cs="宋体"/>
                <w:spacing w:val="-41"/>
              </w:rPr>
              <w:t xml:space="preserve"> </w:t>
            </w:r>
            <w:r>
              <w:rPr>
                <w:spacing w:val="-3"/>
              </w:rPr>
              <w:t xml:space="preserve">6km </w:t>
            </w:r>
            <w:r>
              <w:rPr>
                <w:rFonts w:ascii="宋体" w:hAnsi="宋体" w:eastAsia="宋体" w:cs="宋体"/>
                <w:spacing w:val="-3"/>
              </w:rPr>
              <w:t>处滚水坝</w:t>
            </w:r>
          </w:p>
        </w:tc>
        <w:tc>
          <w:tcPr>
            <w:tcW w:w="2682" w:type="dxa"/>
            <w:vAlign w:val="top"/>
          </w:tcPr>
          <w:p w14:paraId="0FE1CC5A">
            <w:pPr>
              <w:spacing w:before="59" w:line="220" w:lineRule="auto"/>
              <w:ind w:left="59"/>
              <w:rPr>
                <w:rFonts w:ascii="宋体" w:hAnsi="宋体" w:eastAsia="宋体" w:cs="宋体"/>
                <w:sz w:val="21"/>
                <w:szCs w:val="21"/>
              </w:rPr>
            </w:pPr>
            <w:r>
              <w:rPr>
                <w:rFonts w:ascii="宋体" w:hAnsi="宋体" w:eastAsia="宋体" w:cs="宋体"/>
                <w:spacing w:val="-1"/>
                <w:sz w:val="21"/>
                <w:szCs w:val="21"/>
              </w:rPr>
              <w:t>修建鱼道，监测后完善措施</w:t>
            </w:r>
          </w:p>
        </w:tc>
        <w:tc>
          <w:tcPr>
            <w:tcW w:w="1411" w:type="dxa"/>
            <w:tcBorders>
              <w:right w:val="single" w:color="000000" w:sz="12" w:space="0"/>
            </w:tcBorders>
            <w:vAlign w:val="top"/>
          </w:tcPr>
          <w:p w14:paraId="46E807D5">
            <w:pPr>
              <w:spacing w:before="53" w:line="220" w:lineRule="auto"/>
              <w:ind w:left="502"/>
              <w:rPr>
                <w:rFonts w:ascii="宋体" w:hAnsi="宋体" w:eastAsia="宋体" w:cs="宋体"/>
                <w:sz w:val="21"/>
                <w:szCs w:val="21"/>
              </w:rPr>
            </w:pPr>
            <w:r>
              <w:rPr>
                <w:rFonts w:ascii="宋体" w:hAnsi="宋体" w:eastAsia="宋体" w:cs="宋体"/>
                <w:spacing w:val="-3"/>
                <w:sz w:val="21"/>
                <w:szCs w:val="21"/>
              </w:rPr>
              <w:t>拆除</w:t>
            </w:r>
          </w:p>
        </w:tc>
      </w:tr>
      <w:tr w14:paraId="6A395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275" w:type="dxa"/>
            <w:tcBorders>
              <w:left w:val="single" w:color="000000" w:sz="12" w:space="0"/>
            </w:tcBorders>
            <w:vAlign w:val="top"/>
          </w:tcPr>
          <w:p w14:paraId="6948096E">
            <w:pPr>
              <w:spacing w:before="55" w:line="227" w:lineRule="auto"/>
              <w:ind w:left="209" w:right="113" w:hanging="108"/>
              <w:rPr>
                <w:rFonts w:ascii="宋体" w:hAnsi="宋体" w:eastAsia="宋体" w:cs="宋体"/>
                <w:sz w:val="21"/>
                <w:szCs w:val="21"/>
              </w:rPr>
            </w:pPr>
            <w:r>
              <w:rPr>
                <w:rFonts w:ascii="宋体" w:hAnsi="宋体" w:eastAsia="宋体" w:cs="宋体"/>
                <w:spacing w:val="-3"/>
                <w:sz w:val="21"/>
                <w:szCs w:val="21"/>
              </w:rPr>
              <w:t>水质保护和管理措施</w:t>
            </w:r>
          </w:p>
        </w:tc>
        <w:tc>
          <w:tcPr>
            <w:tcW w:w="5788" w:type="dxa"/>
            <w:gridSpan w:val="2"/>
            <w:vAlign w:val="top"/>
          </w:tcPr>
          <w:p w14:paraId="5CECA1B9">
            <w:pPr>
              <w:spacing w:before="55" w:line="227" w:lineRule="auto"/>
              <w:ind w:left="49" w:right="44" w:hanging="1"/>
              <w:rPr>
                <w:rFonts w:ascii="宋体" w:hAnsi="宋体" w:eastAsia="宋体" w:cs="宋体"/>
                <w:sz w:val="21"/>
                <w:szCs w:val="21"/>
              </w:rPr>
            </w:pPr>
            <w:r>
              <w:rPr>
                <w:rFonts w:ascii="宋体" w:hAnsi="宋体" w:eastAsia="宋体" w:cs="宋体"/>
                <w:sz w:val="21"/>
                <w:szCs w:val="21"/>
              </w:rPr>
              <w:t>环评阶段实地踏勘过程中发现干流和支流河道中均有少量漂浮</w:t>
            </w:r>
            <w:r>
              <w:rPr>
                <w:rFonts w:ascii="宋体" w:hAnsi="宋体" w:eastAsia="宋体" w:cs="宋体"/>
                <w:spacing w:val="-2"/>
                <w:sz w:val="21"/>
                <w:szCs w:val="21"/>
              </w:rPr>
              <w:t>垃圾，在工程实施后，应对河道进行污染清理。</w:t>
            </w:r>
          </w:p>
        </w:tc>
        <w:tc>
          <w:tcPr>
            <w:tcW w:w="1411" w:type="dxa"/>
            <w:tcBorders>
              <w:right w:val="single" w:color="000000" w:sz="12" w:space="0"/>
            </w:tcBorders>
            <w:vAlign w:val="top"/>
          </w:tcPr>
          <w:p w14:paraId="795F9118">
            <w:pPr>
              <w:spacing w:before="191" w:line="220" w:lineRule="auto"/>
              <w:ind w:left="421"/>
              <w:rPr>
                <w:rFonts w:ascii="宋体" w:hAnsi="宋体" w:eastAsia="宋体" w:cs="宋体"/>
                <w:sz w:val="21"/>
                <w:szCs w:val="21"/>
              </w:rPr>
            </w:pPr>
            <w:r>
              <w:rPr>
                <w:rFonts w:ascii="宋体" w:hAnsi="宋体" w:eastAsia="宋体" w:cs="宋体"/>
                <w:spacing w:val="-7"/>
                <w:sz w:val="21"/>
                <w:szCs w:val="21"/>
              </w:rPr>
              <w:t>已清理</w:t>
            </w:r>
          </w:p>
        </w:tc>
      </w:tr>
      <w:tr w14:paraId="5048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1275" w:type="dxa"/>
            <w:tcBorders>
              <w:left w:val="single" w:color="000000" w:sz="12" w:space="0"/>
            </w:tcBorders>
            <w:vAlign w:val="top"/>
          </w:tcPr>
          <w:p w14:paraId="558672EF">
            <w:pPr>
              <w:spacing w:before="56" w:line="226" w:lineRule="auto"/>
              <w:ind w:left="519" w:right="113" w:hanging="418"/>
              <w:rPr>
                <w:rFonts w:ascii="宋体" w:hAnsi="宋体" w:eastAsia="宋体" w:cs="宋体"/>
                <w:sz w:val="21"/>
                <w:szCs w:val="21"/>
              </w:rPr>
            </w:pPr>
            <w:r>
              <w:rPr>
                <w:rFonts w:ascii="宋体" w:hAnsi="宋体" w:eastAsia="宋体" w:cs="宋体"/>
                <w:spacing w:val="-2"/>
                <w:sz w:val="21"/>
                <w:szCs w:val="21"/>
              </w:rPr>
              <w:t>生态流量泄</w:t>
            </w:r>
            <w:r>
              <w:rPr>
                <w:rFonts w:ascii="宋体" w:hAnsi="宋体" w:eastAsia="宋体" w:cs="宋体"/>
                <w:sz w:val="21"/>
                <w:szCs w:val="21"/>
              </w:rPr>
              <w:t>放</w:t>
            </w:r>
          </w:p>
        </w:tc>
        <w:tc>
          <w:tcPr>
            <w:tcW w:w="5788" w:type="dxa"/>
            <w:gridSpan w:val="2"/>
            <w:vAlign w:val="top"/>
          </w:tcPr>
          <w:p w14:paraId="5934DF31">
            <w:pPr>
              <w:spacing w:before="56" w:line="226" w:lineRule="auto"/>
              <w:ind w:left="48" w:right="45"/>
              <w:rPr>
                <w:rFonts w:ascii="宋体" w:hAnsi="宋体" w:eastAsia="宋体" w:cs="宋体"/>
                <w:sz w:val="21"/>
                <w:szCs w:val="21"/>
              </w:rPr>
            </w:pPr>
            <w:r>
              <w:rPr>
                <w:rFonts w:ascii="宋体" w:hAnsi="宋体" w:eastAsia="宋体" w:cs="宋体"/>
                <w:sz w:val="21"/>
                <w:szCs w:val="21"/>
              </w:rPr>
              <w:t>支流白塔河上游建有一座四旗田水库，建议该水库泄放生态流</w:t>
            </w:r>
            <w:r>
              <w:rPr>
                <w:rFonts w:ascii="宋体" w:hAnsi="宋体" w:eastAsia="宋体" w:cs="宋体"/>
                <w:spacing w:val="-3"/>
                <w:sz w:val="21"/>
                <w:szCs w:val="21"/>
              </w:rPr>
              <w:t>量，以维持白塔河有一定的流水生境。</w:t>
            </w:r>
          </w:p>
        </w:tc>
        <w:tc>
          <w:tcPr>
            <w:tcW w:w="1411" w:type="dxa"/>
            <w:tcBorders>
              <w:right w:val="single" w:color="000000" w:sz="12" w:space="0"/>
            </w:tcBorders>
            <w:vAlign w:val="top"/>
          </w:tcPr>
          <w:p w14:paraId="22BE90DF">
            <w:pPr>
              <w:spacing w:before="192" w:line="220" w:lineRule="auto"/>
              <w:ind w:left="190"/>
              <w:rPr>
                <w:rFonts w:ascii="宋体" w:hAnsi="宋体" w:eastAsia="宋体" w:cs="宋体"/>
                <w:sz w:val="21"/>
                <w:szCs w:val="21"/>
              </w:rPr>
            </w:pPr>
            <w:r>
              <w:rPr>
                <w:rFonts w:ascii="宋体" w:hAnsi="宋体" w:eastAsia="宋体" w:cs="宋体"/>
                <w:spacing w:val="-2"/>
                <w:sz w:val="21"/>
                <w:szCs w:val="21"/>
              </w:rPr>
              <w:t>待正式批文</w:t>
            </w:r>
          </w:p>
        </w:tc>
      </w:tr>
      <w:tr w14:paraId="2356C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 w:hRule="atLeast"/>
        </w:trPr>
        <w:tc>
          <w:tcPr>
            <w:tcW w:w="1275" w:type="dxa"/>
            <w:tcBorders>
              <w:left w:val="single" w:color="000000" w:sz="12" w:space="0"/>
            </w:tcBorders>
            <w:vAlign w:val="top"/>
          </w:tcPr>
          <w:p w14:paraId="702FF098">
            <w:pPr>
              <w:spacing w:line="396" w:lineRule="auto"/>
              <w:rPr>
                <w:rFonts w:ascii="Arial"/>
                <w:sz w:val="21"/>
              </w:rPr>
            </w:pPr>
          </w:p>
          <w:p w14:paraId="25F4BC0F">
            <w:pPr>
              <w:spacing w:before="68" w:line="242" w:lineRule="auto"/>
              <w:ind w:left="517" w:right="113" w:hanging="415"/>
              <w:rPr>
                <w:rFonts w:ascii="宋体" w:hAnsi="宋体" w:eastAsia="宋体" w:cs="宋体"/>
                <w:sz w:val="21"/>
                <w:szCs w:val="21"/>
              </w:rPr>
            </w:pPr>
            <w:r>
              <w:rPr>
                <w:rFonts w:ascii="宋体" w:hAnsi="宋体" w:eastAsia="宋体" w:cs="宋体"/>
                <w:spacing w:val="-3"/>
                <w:sz w:val="21"/>
                <w:szCs w:val="21"/>
              </w:rPr>
              <w:t>宣传牌、界</w:t>
            </w:r>
            <w:r>
              <w:rPr>
                <w:rFonts w:ascii="宋体" w:hAnsi="宋体" w:eastAsia="宋体" w:cs="宋体"/>
                <w:sz w:val="21"/>
                <w:szCs w:val="21"/>
              </w:rPr>
              <w:t>碑</w:t>
            </w:r>
          </w:p>
        </w:tc>
        <w:tc>
          <w:tcPr>
            <w:tcW w:w="5788" w:type="dxa"/>
            <w:gridSpan w:val="2"/>
            <w:vAlign w:val="top"/>
          </w:tcPr>
          <w:p w14:paraId="58E00891">
            <w:pPr>
              <w:pStyle w:val="6"/>
              <w:spacing w:before="61" w:line="233" w:lineRule="auto"/>
              <w:ind w:left="47"/>
              <w:jc w:val="both"/>
              <w:rPr>
                <w:rFonts w:ascii="宋体" w:hAnsi="宋体" w:eastAsia="宋体" w:cs="宋体"/>
              </w:rPr>
            </w:pPr>
            <w:r>
              <w:rPr>
                <w:rFonts w:ascii="宋体" w:hAnsi="宋体" w:eastAsia="宋体" w:cs="宋体"/>
              </w:rPr>
              <w:t>地方政府应加强鱼类栖息地管理，在栖息地沿线设置鱼类栖息地宣传牌和界碑，开展鱼类保护日常巡查及栖息地环境调查，</w:t>
            </w:r>
            <w:r>
              <w:rPr>
                <w:rFonts w:ascii="宋体" w:hAnsi="宋体" w:eastAsia="宋体" w:cs="宋体"/>
                <w:spacing w:val="-5"/>
              </w:rPr>
              <w:t>并进行鱼类保护法律法规宣传。宣传牌设置</w:t>
            </w:r>
            <w:r>
              <w:rPr>
                <w:rFonts w:ascii="宋体" w:hAnsi="宋体" w:eastAsia="宋体" w:cs="宋体"/>
                <w:spacing w:val="-11"/>
              </w:rPr>
              <w:t xml:space="preserve"> </w:t>
            </w:r>
            <w:r>
              <w:rPr>
                <w:spacing w:val="-5"/>
              </w:rPr>
              <w:t xml:space="preserve">10 </w:t>
            </w:r>
            <w:r>
              <w:rPr>
                <w:rFonts w:ascii="宋体" w:hAnsi="宋体" w:eastAsia="宋体" w:cs="宋体"/>
                <w:spacing w:val="-5"/>
              </w:rPr>
              <w:t>块，分别在保护</w:t>
            </w:r>
            <w:r>
              <w:rPr>
                <w:rFonts w:ascii="宋体" w:hAnsi="宋体" w:eastAsia="宋体" w:cs="宋体"/>
                <w:spacing w:val="-7"/>
              </w:rPr>
              <w:t>河段始末各设置</w:t>
            </w:r>
            <w:r>
              <w:rPr>
                <w:rFonts w:ascii="宋体" w:hAnsi="宋体" w:eastAsia="宋体" w:cs="宋体"/>
                <w:spacing w:val="-20"/>
              </w:rPr>
              <w:t xml:space="preserve"> </w:t>
            </w:r>
            <w:r>
              <w:rPr>
                <w:spacing w:val="-7"/>
              </w:rPr>
              <w:t xml:space="preserve">1 </w:t>
            </w:r>
            <w:r>
              <w:rPr>
                <w:rFonts w:ascii="宋体" w:hAnsi="宋体" w:eastAsia="宋体" w:cs="宋体"/>
                <w:spacing w:val="-7"/>
              </w:rPr>
              <w:t>块，保护河段沿线有居民活动段各设置</w:t>
            </w:r>
            <w:r>
              <w:rPr>
                <w:rFonts w:ascii="宋体" w:hAnsi="宋体" w:eastAsia="宋体" w:cs="宋体"/>
                <w:spacing w:val="-26"/>
              </w:rPr>
              <w:t xml:space="preserve"> </w:t>
            </w:r>
            <w:r>
              <w:rPr>
                <w:spacing w:val="-7"/>
              </w:rPr>
              <w:t xml:space="preserve">1 </w:t>
            </w:r>
            <w:r>
              <w:rPr>
                <w:rFonts w:ascii="宋体" w:hAnsi="宋体" w:eastAsia="宋体" w:cs="宋体"/>
                <w:spacing w:val="-7"/>
              </w:rPr>
              <w:t>块；</w:t>
            </w:r>
            <w:r>
              <w:rPr>
                <w:rFonts w:ascii="宋体" w:hAnsi="宋体" w:eastAsia="宋体" w:cs="宋体"/>
                <w:spacing w:val="-3"/>
              </w:rPr>
              <w:t>界碑设置</w:t>
            </w:r>
            <w:r>
              <w:rPr>
                <w:rFonts w:ascii="宋体" w:hAnsi="宋体" w:eastAsia="宋体" w:cs="宋体"/>
                <w:spacing w:val="-41"/>
              </w:rPr>
              <w:t xml:space="preserve"> </w:t>
            </w:r>
            <w:r>
              <w:rPr>
                <w:spacing w:val="-3"/>
              </w:rPr>
              <w:t xml:space="preserve">4 </w:t>
            </w:r>
            <w:r>
              <w:rPr>
                <w:rFonts w:ascii="宋体" w:hAnsi="宋体" w:eastAsia="宋体" w:cs="宋体"/>
                <w:spacing w:val="-3"/>
              </w:rPr>
              <w:t>块，保护河段始末各设置</w:t>
            </w:r>
            <w:r>
              <w:rPr>
                <w:rFonts w:ascii="宋体" w:hAnsi="宋体" w:eastAsia="宋体" w:cs="宋体"/>
                <w:spacing w:val="-28"/>
              </w:rPr>
              <w:t xml:space="preserve"> </w:t>
            </w:r>
            <w:r>
              <w:rPr>
                <w:spacing w:val="-3"/>
              </w:rPr>
              <w:t xml:space="preserve">1 </w:t>
            </w:r>
            <w:r>
              <w:rPr>
                <w:rFonts w:ascii="宋体" w:hAnsi="宋体" w:eastAsia="宋体" w:cs="宋体"/>
                <w:spacing w:val="-3"/>
              </w:rPr>
              <w:t>块。</w:t>
            </w:r>
          </w:p>
        </w:tc>
        <w:tc>
          <w:tcPr>
            <w:tcW w:w="1411" w:type="dxa"/>
            <w:tcBorders>
              <w:right w:val="single" w:color="000000" w:sz="12" w:space="0"/>
            </w:tcBorders>
            <w:vAlign w:val="top"/>
          </w:tcPr>
          <w:p w14:paraId="5E5337AC">
            <w:pPr>
              <w:spacing w:line="396" w:lineRule="auto"/>
              <w:rPr>
                <w:rFonts w:ascii="Arial"/>
                <w:sz w:val="21"/>
              </w:rPr>
            </w:pPr>
          </w:p>
          <w:p w14:paraId="2D9D73F8">
            <w:pPr>
              <w:spacing w:before="68" w:line="243" w:lineRule="auto"/>
              <w:ind w:left="505" w:right="56" w:hanging="421"/>
              <w:rPr>
                <w:rFonts w:ascii="宋体" w:hAnsi="宋体" w:eastAsia="宋体" w:cs="宋体"/>
                <w:sz w:val="21"/>
                <w:szCs w:val="21"/>
              </w:rPr>
            </w:pPr>
            <w:r>
              <w:rPr>
                <w:rFonts w:ascii="宋体" w:hAnsi="宋体" w:eastAsia="宋体" w:cs="宋体"/>
                <w:spacing w:val="-2"/>
                <w:sz w:val="21"/>
                <w:szCs w:val="21"/>
              </w:rPr>
              <w:t>待正式批文后</w:t>
            </w:r>
            <w:r>
              <w:rPr>
                <w:rFonts w:ascii="宋体" w:hAnsi="宋体" w:eastAsia="宋体" w:cs="宋体"/>
                <w:spacing w:val="-3"/>
                <w:sz w:val="21"/>
                <w:szCs w:val="21"/>
              </w:rPr>
              <w:t>设立</w:t>
            </w:r>
          </w:p>
        </w:tc>
      </w:tr>
      <w:tr w14:paraId="5B2AE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 w:hRule="atLeast"/>
        </w:trPr>
        <w:tc>
          <w:tcPr>
            <w:tcW w:w="1275" w:type="dxa"/>
            <w:tcBorders>
              <w:left w:val="single" w:color="000000" w:sz="12" w:space="0"/>
            </w:tcBorders>
            <w:vAlign w:val="top"/>
          </w:tcPr>
          <w:p w14:paraId="679EA57D">
            <w:pPr>
              <w:spacing w:line="400" w:lineRule="auto"/>
              <w:rPr>
                <w:rFonts w:ascii="Arial"/>
                <w:sz w:val="21"/>
              </w:rPr>
            </w:pPr>
          </w:p>
          <w:p w14:paraId="125B10C4">
            <w:pPr>
              <w:spacing w:before="68" w:line="247" w:lineRule="auto"/>
              <w:ind w:left="521" w:right="113" w:hanging="422"/>
              <w:rPr>
                <w:rFonts w:ascii="宋体" w:hAnsi="宋体" w:eastAsia="宋体" w:cs="宋体"/>
                <w:sz w:val="21"/>
                <w:szCs w:val="21"/>
              </w:rPr>
            </w:pPr>
            <w:r>
              <w:rPr>
                <w:rFonts w:ascii="宋体" w:hAnsi="宋体" w:eastAsia="宋体" w:cs="宋体"/>
                <w:spacing w:val="-2"/>
                <w:sz w:val="21"/>
                <w:szCs w:val="21"/>
              </w:rPr>
              <w:t>加强渔政管</w:t>
            </w:r>
            <w:r>
              <w:rPr>
                <w:rFonts w:ascii="宋体" w:hAnsi="宋体" w:eastAsia="宋体" w:cs="宋体"/>
                <w:sz w:val="21"/>
                <w:szCs w:val="21"/>
              </w:rPr>
              <w:t>理</w:t>
            </w:r>
          </w:p>
        </w:tc>
        <w:tc>
          <w:tcPr>
            <w:tcW w:w="5788" w:type="dxa"/>
            <w:gridSpan w:val="2"/>
            <w:vAlign w:val="top"/>
          </w:tcPr>
          <w:p w14:paraId="2640E845">
            <w:pPr>
              <w:spacing w:before="61" w:line="233" w:lineRule="auto"/>
              <w:ind w:left="47" w:right="45"/>
              <w:jc w:val="both"/>
              <w:rPr>
                <w:rFonts w:ascii="宋体" w:hAnsi="宋体" w:eastAsia="宋体" w:cs="宋体"/>
                <w:sz w:val="21"/>
                <w:szCs w:val="21"/>
              </w:rPr>
            </w:pPr>
            <w:r>
              <w:rPr>
                <w:rFonts w:ascii="宋体" w:hAnsi="宋体" w:eastAsia="宋体" w:cs="宋体"/>
                <w:sz w:val="21"/>
                <w:szCs w:val="21"/>
              </w:rPr>
              <w:t>地方有关部门加强对栖息地保护河段渔政管理，应禁止在该区域进行渔业捕捞，特别要禁止电鱼、炸鱼、毒鱼等违法捕鱼行为，禁止任何破坏河道及沿岸带生境的行为。对栖息地保护范围内的河段，严格限制涉水工程建设，禁渔区和禁渔期严禁一</w:t>
            </w:r>
            <w:r>
              <w:rPr>
                <w:rFonts w:ascii="宋体" w:hAnsi="宋体" w:eastAsia="宋体" w:cs="宋体"/>
                <w:spacing w:val="-2"/>
                <w:sz w:val="21"/>
                <w:szCs w:val="21"/>
              </w:rPr>
              <w:t>切捕捞行为，严禁采砂等破坏河流生境的行为。</w:t>
            </w:r>
          </w:p>
        </w:tc>
        <w:tc>
          <w:tcPr>
            <w:tcW w:w="1411" w:type="dxa"/>
            <w:tcBorders>
              <w:right w:val="single" w:color="000000" w:sz="12" w:space="0"/>
            </w:tcBorders>
            <w:vAlign w:val="top"/>
          </w:tcPr>
          <w:p w14:paraId="29CA64A5">
            <w:pPr>
              <w:spacing w:line="267" w:lineRule="auto"/>
              <w:rPr>
                <w:rFonts w:ascii="Arial"/>
                <w:sz w:val="21"/>
              </w:rPr>
            </w:pPr>
          </w:p>
          <w:p w14:paraId="15BD67F9">
            <w:pPr>
              <w:spacing w:line="268" w:lineRule="auto"/>
              <w:rPr>
                <w:rFonts w:ascii="Arial"/>
                <w:sz w:val="21"/>
              </w:rPr>
            </w:pPr>
          </w:p>
          <w:p w14:paraId="6C62A99E">
            <w:pPr>
              <w:spacing w:before="68" w:line="220" w:lineRule="auto"/>
              <w:ind w:left="190"/>
              <w:rPr>
                <w:rFonts w:ascii="宋体" w:hAnsi="宋体" w:eastAsia="宋体" w:cs="宋体"/>
                <w:sz w:val="21"/>
                <w:szCs w:val="21"/>
              </w:rPr>
            </w:pPr>
            <w:r>
              <w:rPr>
                <w:rFonts w:ascii="宋体" w:hAnsi="宋体" w:eastAsia="宋体" w:cs="宋体"/>
                <w:spacing w:val="-2"/>
                <w:sz w:val="21"/>
                <w:szCs w:val="21"/>
              </w:rPr>
              <w:t>待正式批文</w:t>
            </w:r>
          </w:p>
        </w:tc>
      </w:tr>
      <w:tr w14:paraId="2297A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trPr>
        <w:tc>
          <w:tcPr>
            <w:tcW w:w="1275" w:type="dxa"/>
            <w:tcBorders>
              <w:left w:val="single" w:color="000000" w:sz="12" w:space="0"/>
            </w:tcBorders>
            <w:vAlign w:val="top"/>
          </w:tcPr>
          <w:p w14:paraId="1FB7D959">
            <w:pPr>
              <w:spacing w:before="203" w:line="242" w:lineRule="auto"/>
              <w:ind w:left="205" w:right="113" w:hanging="108"/>
              <w:rPr>
                <w:rFonts w:ascii="宋体" w:hAnsi="宋体" w:eastAsia="宋体" w:cs="宋体"/>
                <w:sz w:val="21"/>
                <w:szCs w:val="21"/>
              </w:rPr>
            </w:pPr>
            <w:r>
              <w:rPr>
                <w:rFonts w:ascii="宋体" w:hAnsi="宋体" w:eastAsia="宋体" w:cs="宋体"/>
                <w:spacing w:val="-2"/>
                <w:sz w:val="21"/>
                <w:szCs w:val="21"/>
              </w:rPr>
              <w:t>进行长期维</w:t>
            </w:r>
            <w:r>
              <w:rPr>
                <w:rFonts w:ascii="宋体" w:hAnsi="宋体" w:eastAsia="宋体" w:cs="宋体"/>
                <w:spacing w:val="-3"/>
                <w:sz w:val="21"/>
                <w:szCs w:val="21"/>
              </w:rPr>
              <w:t>护和巡视</w:t>
            </w:r>
          </w:p>
        </w:tc>
        <w:tc>
          <w:tcPr>
            <w:tcW w:w="5788" w:type="dxa"/>
            <w:gridSpan w:val="2"/>
            <w:vAlign w:val="top"/>
          </w:tcPr>
          <w:p w14:paraId="6FDB3B7B">
            <w:pPr>
              <w:pStyle w:val="6"/>
              <w:spacing w:before="67" w:line="227" w:lineRule="auto"/>
              <w:ind w:left="47" w:right="42"/>
              <w:jc w:val="both"/>
              <w:rPr>
                <w:rFonts w:ascii="宋体" w:hAnsi="宋体" w:eastAsia="宋体" w:cs="宋体"/>
              </w:rPr>
            </w:pPr>
            <w:r>
              <w:rPr>
                <w:rFonts w:ascii="宋体" w:hAnsi="宋体" w:eastAsia="宋体" w:cs="宋体"/>
                <w:spacing w:val="-1"/>
              </w:rPr>
              <w:t>对距车马碧库尾</w:t>
            </w:r>
            <w:r>
              <w:rPr>
                <w:rFonts w:ascii="宋体" w:hAnsi="宋体" w:eastAsia="宋体" w:cs="宋体"/>
                <w:spacing w:val="-34"/>
              </w:rPr>
              <w:t xml:space="preserve"> </w:t>
            </w:r>
            <w:r>
              <w:rPr>
                <w:spacing w:val="-1"/>
              </w:rPr>
              <w:t>2.0km</w:t>
            </w:r>
            <w:r>
              <w:rPr>
                <w:spacing w:val="21"/>
              </w:rPr>
              <w:t xml:space="preserve"> </w:t>
            </w:r>
            <w:r>
              <w:rPr>
                <w:rFonts w:ascii="宋体" w:hAnsi="宋体" w:eastAsia="宋体" w:cs="宋体"/>
                <w:spacing w:val="-1"/>
              </w:rPr>
              <w:t>处已废弃的滚水坝进行拆除，并修复受</w:t>
            </w:r>
            <w:r>
              <w:rPr>
                <w:rFonts w:ascii="宋体" w:hAnsi="宋体" w:eastAsia="宋体" w:cs="宋体"/>
              </w:rPr>
              <w:t>损河段。工程建成后，形成长期、有效的维护和巡视制度，及</w:t>
            </w:r>
            <w:r>
              <w:rPr>
                <w:rFonts w:ascii="宋体" w:hAnsi="宋体" w:eastAsia="宋体" w:cs="宋体"/>
                <w:spacing w:val="-2"/>
              </w:rPr>
              <w:t>时发现栖息地内可能有阻塞、损坏的河段并加以维护。</w:t>
            </w:r>
          </w:p>
        </w:tc>
        <w:tc>
          <w:tcPr>
            <w:tcW w:w="1411" w:type="dxa"/>
            <w:tcBorders>
              <w:right w:val="single" w:color="000000" w:sz="12" w:space="0"/>
            </w:tcBorders>
            <w:vAlign w:val="top"/>
          </w:tcPr>
          <w:p w14:paraId="5BE94C4F">
            <w:pPr>
              <w:spacing w:line="269" w:lineRule="auto"/>
              <w:rPr>
                <w:rFonts w:ascii="Arial"/>
                <w:sz w:val="21"/>
              </w:rPr>
            </w:pPr>
          </w:p>
          <w:p w14:paraId="3B207AF1">
            <w:pPr>
              <w:spacing w:before="68" w:line="220" w:lineRule="auto"/>
              <w:ind w:left="190"/>
              <w:rPr>
                <w:rFonts w:ascii="宋体" w:hAnsi="宋体" w:eastAsia="宋体" w:cs="宋体"/>
                <w:sz w:val="21"/>
                <w:szCs w:val="21"/>
              </w:rPr>
            </w:pPr>
            <w:r>
              <w:rPr>
                <w:rFonts w:ascii="宋体" w:hAnsi="宋体" w:eastAsia="宋体" w:cs="宋体"/>
                <w:spacing w:val="-2"/>
                <w:sz w:val="21"/>
                <w:szCs w:val="21"/>
              </w:rPr>
              <w:t>待正式批文</w:t>
            </w:r>
          </w:p>
        </w:tc>
      </w:tr>
      <w:tr w14:paraId="4EA16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9" w:hRule="atLeast"/>
        </w:trPr>
        <w:tc>
          <w:tcPr>
            <w:tcW w:w="1275" w:type="dxa"/>
            <w:tcBorders>
              <w:left w:val="single" w:color="000000" w:sz="12" w:space="0"/>
              <w:bottom w:val="single" w:color="000000" w:sz="12" w:space="0"/>
            </w:tcBorders>
            <w:vAlign w:val="top"/>
          </w:tcPr>
          <w:p w14:paraId="30529E27">
            <w:pPr>
              <w:spacing w:line="272" w:lineRule="auto"/>
              <w:rPr>
                <w:rFonts w:ascii="Arial"/>
                <w:sz w:val="21"/>
              </w:rPr>
            </w:pPr>
          </w:p>
          <w:p w14:paraId="21FE3747">
            <w:pPr>
              <w:spacing w:line="272" w:lineRule="auto"/>
              <w:rPr>
                <w:rFonts w:ascii="Arial"/>
                <w:sz w:val="21"/>
              </w:rPr>
            </w:pPr>
          </w:p>
          <w:p w14:paraId="550081C2">
            <w:pPr>
              <w:spacing w:before="68" w:line="219" w:lineRule="auto"/>
              <w:ind w:left="99"/>
              <w:rPr>
                <w:rFonts w:ascii="宋体" w:hAnsi="宋体" w:eastAsia="宋体" w:cs="宋体"/>
                <w:sz w:val="21"/>
                <w:szCs w:val="21"/>
              </w:rPr>
            </w:pPr>
            <w:r>
              <w:rPr>
                <w:rFonts w:ascii="宋体" w:hAnsi="宋体" w:eastAsia="宋体" w:cs="宋体"/>
                <w:spacing w:val="-2"/>
                <w:sz w:val="21"/>
                <w:szCs w:val="21"/>
              </w:rPr>
              <w:t>科研和监测</w:t>
            </w:r>
          </w:p>
        </w:tc>
        <w:tc>
          <w:tcPr>
            <w:tcW w:w="5788" w:type="dxa"/>
            <w:gridSpan w:val="2"/>
            <w:tcBorders>
              <w:bottom w:val="single" w:color="000000" w:sz="12" w:space="0"/>
            </w:tcBorders>
            <w:vAlign w:val="top"/>
          </w:tcPr>
          <w:p w14:paraId="29AA0D74">
            <w:pPr>
              <w:spacing w:before="72" w:line="235" w:lineRule="auto"/>
              <w:ind w:left="48" w:firstLine="2"/>
              <w:jc w:val="both"/>
              <w:rPr>
                <w:rFonts w:ascii="宋体" w:hAnsi="宋体" w:eastAsia="宋体" w:cs="宋体"/>
                <w:sz w:val="21"/>
                <w:szCs w:val="21"/>
              </w:rPr>
            </w:pPr>
            <w:r>
              <w:rPr>
                <w:rFonts w:ascii="宋体" w:hAnsi="宋体" w:eastAsia="宋体" w:cs="宋体"/>
                <w:spacing w:val="-1"/>
                <w:sz w:val="21"/>
                <w:szCs w:val="21"/>
              </w:rPr>
              <w:t>工程建成后，应对栖息地保护河段进行长期的水质、鱼类和水生生物、重要生境等生态环境监测，从鱼类种类组成与资源数量上验证鱼类栖息地保护效果。通过开展鱼类、环境等长期的监测工作，全方位、全过程了解栖息地的保护情况，为加强鱼</w:t>
            </w:r>
            <w:r>
              <w:rPr>
                <w:rFonts w:ascii="宋体" w:hAnsi="宋体" w:eastAsia="宋体" w:cs="宋体"/>
                <w:spacing w:val="-6"/>
                <w:sz w:val="21"/>
                <w:szCs w:val="21"/>
              </w:rPr>
              <w:t>类资源保护的适应性管理，为栖息地及鱼类保护提供数据依据。</w:t>
            </w:r>
          </w:p>
        </w:tc>
        <w:tc>
          <w:tcPr>
            <w:tcW w:w="1411" w:type="dxa"/>
            <w:tcBorders>
              <w:bottom w:val="single" w:color="000000" w:sz="12" w:space="0"/>
              <w:right w:val="single" w:color="000000" w:sz="12" w:space="0"/>
            </w:tcBorders>
            <w:vAlign w:val="top"/>
          </w:tcPr>
          <w:p w14:paraId="09778893">
            <w:pPr>
              <w:spacing w:line="409" w:lineRule="auto"/>
              <w:rPr>
                <w:rFonts w:ascii="Arial"/>
                <w:sz w:val="21"/>
              </w:rPr>
            </w:pPr>
          </w:p>
          <w:p w14:paraId="0B7ED9E5">
            <w:pPr>
              <w:spacing w:before="68" w:line="242" w:lineRule="auto"/>
              <w:ind w:left="187" w:right="56" w:hanging="101"/>
              <w:rPr>
                <w:rFonts w:ascii="宋体" w:hAnsi="宋体" w:eastAsia="宋体" w:cs="宋体"/>
                <w:sz w:val="21"/>
                <w:szCs w:val="21"/>
              </w:rPr>
            </w:pPr>
            <w:r>
              <w:rPr>
                <w:rFonts w:ascii="宋体" w:hAnsi="宋体" w:eastAsia="宋体" w:cs="宋体"/>
                <w:spacing w:val="-3"/>
                <w:sz w:val="21"/>
                <w:szCs w:val="21"/>
              </w:rPr>
              <w:t>列入运行期科</w:t>
            </w:r>
            <w:r>
              <w:rPr>
                <w:rFonts w:ascii="宋体" w:hAnsi="宋体" w:eastAsia="宋体" w:cs="宋体"/>
                <w:spacing w:val="-2"/>
                <w:sz w:val="21"/>
                <w:szCs w:val="21"/>
              </w:rPr>
              <w:t>研监测计划</w:t>
            </w:r>
          </w:p>
        </w:tc>
      </w:tr>
    </w:tbl>
    <w:p w14:paraId="127FAAC2">
      <w:pPr>
        <w:pStyle w:val="2"/>
        <w:spacing w:before="266" w:line="220" w:lineRule="auto"/>
        <w:ind w:left="34"/>
        <w:rPr>
          <w:sz w:val="24"/>
          <w:szCs w:val="24"/>
        </w:rPr>
      </w:pPr>
      <w:r>
        <w:rPr>
          <w:rFonts w:ascii="Arial" w:hAnsi="Arial" w:eastAsia="Arial" w:cs="Arial"/>
          <w:spacing w:val="-2"/>
          <w:position w:val="1"/>
          <w:sz w:val="21"/>
          <w:szCs w:val="21"/>
        </w:rPr>
        <w:t>5.1.1.5</w:t>
      </w:r>
      <w:r>
        <w:rPr>
          <w:rFonts w:ascii="Arial" w:hAnsi="Arial" w:eastAsia="Arial" w:cs="Arial"/>
          <w:spacing w:val="36"/>
          <w:position w:val="1"/>
          <w:sz w:val="21"/>
          <w:szCs w:val="21"/>
        </w:rPr>
        <w:t xml:space="preserve"> </w:t>
      </w:r>
      <w:r>
        <w:rPr>
          <w:b/>
          <w:bCs/>
          <w:spacing w:val="-2"/>
          <w:position w:val="-1"/>
          <w:sz w:val="24"/>
          <w:szCs w:val="24"/>
        </w:rPr>
        <w:t>河道连通性恢复</w:t>
      </w:r>
    </w:p>
    <w:p w14:paraId="7A1C2280">
      <w:pPr>
        <w:pStyle w:val="2"/>
        <w:spacing w:before="271" w:line="336" w:lineRule="auto"/>
        <w:ind w:left="38" w:right="31" w:firstLine="480"/>
        <w:jc w:val="both"/>
        <w:rPr>
          <w:sz w:val="24"/>
          <w:szCs w:val="24"/>
        </w:rPr>
      </w:pPr>
      <w:r>
        <w:rPr>
          <w:spacing w:val="-4"/>
          <w:sz w:val="24"/>
          <w:szCs w:val="24"/>
        </w:rPr>
        <w:t>河道连通性恢复工程是栖息地保护工程的重要组成部分</w:t>
      </w:r>
      <w:r>
        <w:rPr>
          <w:spacing w:val="-5"/>
          <w:sz w:val="24"/>
          <w:szCs w:val="24"/>
        </w:rPr>
        <w:t>。环评文件要求：在车</w:t>
      </w:r>
      <w:r>
        <w:rPr>
          <w:spacing w:val="-2"/>
          <w:sz w:val="24"/>
          <w:szCs w:val="24"/>
        </w:rPr>
        <w:t>马碧坝址以下</w:t>
      </w:r>
      <w:r>
        <w:rPr>
          <w:spacing w:val="-8"/>
          <w:sz w:val="24"/>
          <w:szCs w:val="24"/>
        </w:rPr>
        <w:t xml:space="preserve"> </w:t>
      </w:r>
      <w:r>
        <w:rPr>
          <w:rFonts w:ascii="Times New Roman" w:hAnsi="Times New Roman" w:eastAsia="Times New Roman" w:cs="Times New Roman"/>
          <w:spacing w:val="-2"/>
          <w:sz w:val="24"/>
          <w:szCs w:val="24"/>
        </w:rPr>
        <w:t>8.2km</w:t>
      </w:r>
      <w:r>
        <w:rPr>
          <w:rFonts w:ascii="Times New Roman" w:hAnsi="Times New Roman" w:eastAsia="Times New Roman" w:cs="Times New Roman"/>
          <w:spacing w:val="36"/>
          <w:w w:val="101"/>
          <w:sz w:val="24"/>
          <w:szCs w:val="24"/>
        </w:rPr>
        <w:t xml:space="preserve"> </w:t>
      </w:r>
      <w:r>
        <w:rPr>
          <w:spacing w:val="-2"/>
          <w:sz w:val="24"/>
          <w:szCs w:val="24"/>
        </w:rPr>
        <w:t>处的石仙人滚水坝、库尾上游</w:t>
      </w:r>
      <w:r>
        <w:rPr>
          <w:spacing w:val="-26"/>
          <w:sz w:val="24"/>
          <w:szCs w:val="24"/>
        </w:rPr>
        <w:t xml:space="preserve"> </w:t>
      </w:r>
      <w:r>
        <w:rPr>
          <w:rFonts w:ascii="Times New Roman" w:hAnsi="Times New Roman" w:eastAsia="Times New Roman" w:cs="Times New Roman"/>
          <w:spacing w:val="-2"/>
          <w:sz w:val="24"/>
          <w:szCs w:val="24"/>
        </w:rPr>
        <w:t>5.5km</w:t>
      </w:r>
      <w:r>
        <w:rPr>
          <w:rFonts w:ascii="Times New Roman" w:hAnsi="Times New Roman" w:eastAsia="Times New Roman" w:cs="Times New Roman"/>
          <w:spacing w:val="36"/>
          <w:sz w:val="24"/>
          <w:szCs w:val="24"/>
        </w:rPr>
        <w:t xml:space="preserve"> </w:t>
      </w:r>
      <w:r>
        <w:rPr>
          <w:spacing w:val="-2"/>
          <w:sz w:val="24"/>
          <w:szCs w:val="24"/>
        </w:rPr>
        <w:t>处的滚水坝、支流白塔</w:t>
      </w:r>
      <w:r>
        <w:rPr>
          <w:spacing w:val="-1"/>
          <w:sz w:val="24"/>
          <w:szCs w:val="24"/>
        </w:rPr>
        <w:t>河汇口上游</w:t>
      </w:r>
      <w:r>
        <w:rPr>
          <w:spacing w:val="-42"/>
          <w:sz w:val="24"/>
          <w:szCs w:val="24"/>
        </w:rPr>
        <w:t xml:space="preserve"> </w:t>
      </w:r>
      <w:r>
        <w:rPr>
          <w:rFonts w:ascii="Times New Roman" w:hAnsi="Times New Roman" w:eastAsia="Times New Roman" w:cs="Times New Roman"/>
          <w:spacing w:val="-1"/>
          <w:sz w:val="24"/>
          <w:szCs w:val="24"/>
        </w:rPr>
        <w:t>6km</w:t>
      </w:r>
      <w:r>
        <w:rPr>
          <w:rFonts w:ascii="Times New Roman" w:hAnsi="Times New Roman" w:eastAsia="Times New Roman" w:cs="Times New Roman"/>
          <w:spacing w:val="20"/>
          <w:sz w:val="24"/>
          <w:szCs w:val="24"/>
        </w:rPr>
        <w:t xml:space="preserve"> </w:t>
      </w:r>
      <w:r>
        <w:rPr>
          <w:spacing w:val="-1"/>
          <w:sz w:val="24"/>
          <w:szCs w:val="24"/>
        </w:rPr>
        <w:t>处的滚水坝修建池式鱼道，对车马碧库尾</w:t>
      </w:r>
      <w:r>
        <w:rPr>
          <w:spacing w:val="-2"/>
          <w:sz w:val="24"/>
          <w:szCs w:val="24"/>
        </w:rPr>
        <w:t>上游</w:t>
      </w:r>
      <w:r>
        <w:rPr>
          <w:spacing w:val="-47"/>
          <w:sz w:val="24"/>
          <w:szCs w:val="24"/>
        </w:rPr>
        <w:t xml:space="preserve"> </w:t>
      </w:r>
      <w:r>
        <w:rPr>
          <w:rFonts w:ascii="Times New Roman" w:hAnsi="Times New Roman" w:eastAsia="Times New Roman" w:cs="Times New Roman"/>
          <w:spacing w:val="-2"/>
          <w:sz w:val="24"/>
          <w:szCs w:val="24"/>
        </w:rPr>
        <w:t>2.0km</w:t>
      </w:r>
      <w:r>
        <w:rPr>
          <w:rFonts w:ascii="Times New Roman" w:hAnsi="Times New Roman" w:eastAsia="Times New Roman" w:cs="Times New Roman"/>
          <w:spacing w:val="20"/>
          <w:sz w:val="24"/>
          <w:szCs w:val="24"/>
        </w:rPr>
        <w:t xml:space="preserve"> </w:t>
      </w:r>
      <w:r>
        <w:rPr>
          <w:spacing w:val="-2"/>
          <w:sz w:val="24"/>
          <w:szCs w:val="24"/>
        </w:rPr>
        <w:t>处的滚水坝</w:t>
      </w:r>
      <w:r>
        <w:rPr>
          <w:spacing w:val="-3"/>
          <w:sz w:val="24"/>
          <w:szCs w:val="24"/>
        </w:rPr>
        <w:t>予以拆除，</w:t>
      </w:r>
      <w:r>
        <w:rPr>
          <w:spacing w:val="-47"/>
          <w:sz w:val="24"/>
          <w:szCs w:val="24"/>
        </w:rPr>
        <w:t xml:space="preserve"> </w:t>
      </w:r>
      <w:r>
        <w:rPr>
          <w:spacing w:val="-3"/>
          <w:sz w:val="24"/>
          <w:szCs w:val="24"/>
        </w:rPr>
        <w:t>目前均已完成前期征地，拆除和修建池式鱼道工作正在建设中。</w:t>
      </w:r>
    </w:p>
    <w:p w14:paraId="053F5683">
      <w:pPr>
        <w:spacing w:line="336" w:lineRule="auto"/>
        <w:rPr>
          <w:sz w:val="24"/>
          <w:szCs w:val="24"/>
        </w:rPr>
        <w:sectPr>
          <w:headerReference r:id="rId92" w:type="default"/>
          <w:footerReference r:id="rId93" w:type="default"/>
          <w:pgSz w:w="11907" w:h="16839"/>
          <w:pgMar w:top="1376" w:right="1669" w:bottom="1061" w:left="1671" w:header="999" w:footer="861" w:gutter="0"/>
          <w:cols w:space="720" w:num="1"/>
        </w:sectPr>
      </w:pPr>
    </w:p>
    <w:p w14:paraId="0A979C19">
      <w:pPr>
        <w:spacing w:line="412" w:lineRule="auto"/>
        <w:rPr>
          <w:rFonts w:ascii="Arial"/>
          <w:sz w:val="21"/>
        </w:rPr>
      </w:pPr>
    </w:p>
    <w:p w14:paraId="6FC07D80">
      <w:pPr>
        <w:pStyle w:val="2"/>
        <w:spacing w:before="88" w:line="226" w:lineRule="auto"/>
        <w:ind w:left="35"/>
        <w:rPr>
          <w:sz w:val="27"/>
          <w:szCs w:val="27"/>
        </w:rPr>
      </w:pPr>
      <w:r>
        <w:rPr>
          <w:rFonts w:ascii="Arial" w:hAnsi="Arial" w:eastAsia="Arial" w:cs="Arial"/>
          <w:spacing w:val="2"/>
          <w:position w:val="2"/>
          <w:sz w:val="27"/>
          <w:szCs w:val="27"/>
        </w:rPr>
        <w:t>5.1.2</w:t>
      </w:r>
      <w:r>
        <w:rPr>
          <w:rFonts w:ascii="Arial" w:hAnsi="Arial" w:eastAsia="Arial" w:cs="Arial"/>
          <w:spacing w:val="3"/>
          <w:position w:val="2"/>
          <w:sz w:val="27"/>
          <w:szCs w:val="27"/>
        </w:rPr>
        <w:t xml:space="preserve">    </w:t>
      </w:r>
      <w:r>
        <w:rPr>
          <w:b/>
          <w:bCs/>
          <w:spacing w:val="2"/>
          <w:sz w:val="27"/>
          <w:szCs w:val="27"/>
        </w:rPr>
        <w:t>生态流量泄放设施及在线监测设施</w:t>
      </w:r>
    </w:p>
    <w:p w14:paraId="7EE97D54">
      <w:pPr>
        <w:pStyle w:val="2"/>
        <w:spacing w:before="257" w:line="339" w:lineRule="auto"/>
        <w:ind w:left="39" w:right="65" w:firstLine="486"/>
        <w:rPr>
          <w:sz w:val="24"/>
          <w:szCs w:val="24"/>
        </w:rPr>
      </w:pPr>
      <w:r>
        <w:rPr>
          <w:spacing w:val="-3"/>
          <w:sz w:val="24"/>
          <w:szCs w:val="24"/>
        </w:rPr>
        <w:t>云南省水利水电勘测设计研究院</w:t>
      </w:r>
      <w:r>
        <w:rPr>
          <w:spacing w:val="-11"/>
          <w:sz w:val="24"/>
          <w:szCs w:val="24"/>
        </w:rPr>
        <w:t xml:space="preserve"> </w:t>
      </w:r>
      <w:r>
        <w:rPr>
          <w:rFonts w:ascii="Times New Roman" w:hAnsi="Times New Roman" w:eastAsia="Times New Roman" w:cs="Times New Roman"/>
          <w:spacing w:val="-3"/>
          <w:sz w:val="24"/>
          <w:szCs w:val="24"/>
        </w:rPr>
        <w:t>2021</w:t>
      </w:r>
      <w:r>
        <w:rPr>
          <w:rFonts w:ascii="Times New Roman" w:hAnsi="Times New Roman" w:eastAsia="Times New Roman" w:cs="Times New Roman"/>
          <w:spacing w:val="36"/>
          <w:w w:val="101"/>
          <w:sz w:val="24"/>
          <w:szCs w:val="24"/>
        </w:rPr>
        <w:t xml:space="preserve"> </w:t>
      </w:r>
      <w:r>
        <w:rPr>
          <w:spacing w:val="-3"/>
          <w:sz w:val="24"/>
          <w:szCs w:val="24"/>
        </w:rPr>
        <w:t xml:space="preserve">年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40"/>
          <w:sz w:val="24"/>
          <w:szCs w:val="24"/>
        </w:rPr>
        <w:t xml:space="preserve"> </w:t>
      </w:r>
      <w:r>
        <w:rPr>
          <w:spacing w:val="-3"/>
          <w:sz w:val="24"/>
          <w:szCs w:val="24"/>
        </w:rPr>
        <w:t>月编制完成的《云南省曲靖市车</w:t>
      </w:r>
      <w:r>
        <w:rPr>
          <w:spacing w:val="-4"/>
          <w:sz w:val="24"/>
          <w:szCs w:val="24"/>
        </w:rPr>
        <w:t>马碧水库工程蓄水计划和调度方案》，根据初期蓄水计划，第一期蓄水期间</w:t>
      </w:r>
      <w:r>
        <w:rPr>
          <w:spacing w:val="-5"/>
          <w:sz w:val="24"/>
          <w:szCs w:val="24"/>
        </w:rPr>
        <w:t>水位低于</w:t>
      </w:r>
      <w:r>
        <w:rPr>
          <w:spacing w:val="-32"/>
          <w:sz w:val="24"/>
          <w:szCs w:val="24"/>
        </w:rPr>
        <w:t xml:space="preserve"> </w:t>
      </w:r>
      <w:r>
        <w:rPr>
          <w:rFonts w:ascii="Times New Roman" w:hAnsi="Times New Roman" w:eastAsia="Times New Roman" w:cs="Times New Roman"/>
          <w:spacing w:val="-5"/>
          <w:sz w:val="24"/>
          <w:szCs w:val="24"/>
        </w:rPr>
        <w:t>1915.3m</w:t>
      </w:r>
      <w:r>
        <w:rPr>
          <w:rFonts w:ascii="Times New Roman" w:hAnsi="Times New Roman" w:eastAsia="Times New Roman" w:cs="Times New Roman"/>
          <w:spacing w:val="20"/>
          <w:w w:val="101"/>
          <w:sz w:val="24"/>
          <w:szCs w:val="24"/>
        </w:rPr>
        <w:t xml:space="preserve"> </w:t>
      </w:r>
      <w:r>
        <w:rPr>
          <w:spacing w:val="-5"/>
          <w:sz w:val="24"/>
          <w:szCs w:val="24"/>
        </w:rPr>
        <w:t>时，河道生态及下游农业用水没有供水通道，为保障河道</w:t>
      </w:r>
      <w:r>
        <w:rPr>
          <w:spacing w:val="-6"/>
          <w:sz w:val="24"/>
          <w:szCs w:val="24"/>
        </w:rPr>
        <w:t>的生态基流，</w:t>
      </w:r>
      <w:r>
        <w:rPr>
          <w:spacing w:val="-4"/>
          <w:sz w:val="24"/>
          <w:szCs w:val="24"/>
        </w:rPr>
        <w:t>同时保障下游农业用水需求，采用在库区布置浮船式泵站的方式，由泵站</w:t>
      </w:r>
      <w:r>
        <w:rPr>
          <w:spacing w:val="-5"/>
          <w:sz w:val="24"/>
          <w:szCs w:val="24"/>
        </w:rPr>
        <w:t>从库区提</w:t>
      </w:r>
      <w:r>
        <w:rPr>
          <w:spacing w:val="-3"/>
          <w:sz w:val="24"/>
          <w:szCs w:val="24"/>
        </w:rPr>
        <w:t>水至泄洪洞（底板高程</w:t>
      </w:r>
      <w:r>
        <w:rPr>
          <w:spacing w:val="-24"/>
          <w:sz w:val="24"/>
          <w:szCs w:val="24"/>
        </w:rPr>
        <w:t xml:space="preserve"> </w:t>
      </w:r>
      <w:r>
        <w:rPr>
          <w:rFonts w:ascii="Times New Roman" w:hAnsi="Times New Roman" w:eastAsia="Times New Roman" w:cs="Times New Roman"/>
          <w:spacing w:val="-3"/>
          <w:sz w:val="24"/>
          <w:szCs w:val="24"/>
        </w:rPr>
        <w:t>1915.3m</w:t>
      </w:r>
      <w:r>
        <w:rPr>
          <w:spacing w:val="-3"/>
          <w:sz w:val="24"/>
          <w:szCs w:val="24"/>
        </w:rPr>
        <w:t>）下泄河道生态流量及</w:t>
      </w:r>
      <w:r>
        <w:rPr>
          <w:spacing w:val="-4"/>
          <w:sz w:val="24"/>
          <w:szCs w:val="24"/>
        </w:rPr>
        <w:t>下游工农业用水量。第一期</w:t>
      </w:r>
      <w:r>
        <w:rPr>
          <w:spacing w:val="-1"/>
          <w:sz w:val="24"/>
          <w:szCs w:val="24"/>
        </w:rPr>
        <w:t xml:space="preserve">蓄水期间水位高于 </w:t>
      </w:r>
      <w:r>
        <w:rPr>
          <w:rFonts w:ascii="Times New Roman" w:hAnsi="Times New Roman" w:eastAsia="Times New Roman" w:cs="Times New Roman"/>
          <w:spacing w:val="-1"/>
          <w:sz w:val="24"/>
          <w:szCs w:val="24"/>
        </w:rPr>
        <w:t xml:space="preserve">1915.3m  </w:t>
      </w:r>
      <w:r>
        <w:rPr>
          <w:spacing w:val="-1"/>
          <w:sz w:val="24"/>
          <w:szCs w:val="24"/>
        </w:rPr>
        <w:t>时，直接由泄洪洞下泄河道生态流量及下游农业用水量。泵站最大提水能力为</w:t>
      </w:r>
      <w:r>
        <w:rPr>
          <w:spacing w:val="-40"/>
          <w:sz w:val="24"/>
          <w:szCs w:val="24"/>
        </w:rPr>
        <w:t xml:space="preserve"> </w:t>
      </w:r>
      <w:r>
        <w:rPr>
          <w:rFonts w:ascii="Times New Roman" w:hAnsi="Times New Roman" w:eastAsia="Times New Roman" w:cs="Times New Roman"/>
          <w:spacing w:val="-1"/>
          <w:sz w:val="24"/>
          <w:szCs w:val="24"/>
        </w:rPr>
        <w:t>2.26m</w:t>
      </w:r>
      <w:r>
        <w:rPr>
          <w:spacing w:val="-1"/>
          <w:sz w:val="24"/>
          <w:szCs w:val="24"/>
        </w:rPr>
        <w:t>³</w:t>
      </w:r>
      <w:r>
        <w:rPr>
          <w:rFonts w:ascii="Times New Roman" w:hAnsi="Times New Roman" w:eastAsia="Times New Roman" w:cs="Times New Roman"/>
          <w:spacing w:val="-1"/>
          <w:sz w:val="24"/>
          <w:szCs w:val="24"/>
        </w:rPr>
        <w:t>/s</w:t>
      </w:r>
      <w:r>
        <w:rPr>
          <w:spacing w:val="-1"/>
          <w:sz w:val="24"/>
          <w:szCs w:val="24"/>
        </w:rPr>
        <w:t>，能满足生态流量要求。</w:t>
      </w:r>
    </w:p>
    <w:p w14:paraId="775BC149">
      <w:pPr>
        <w:pStyle w:val="2"/>
        <w:spacing w:before="5" w:line="338" w:lineRule="auto"/>
        <w:ind w:left="40" w:firstLine="479"/>
        <w:jc w:val="both"/>
        <w:rPr>
          <w:sz w:val="24"/>
          <w:szCs w:val="24"/>
        </w:rPr>
      </w:pPr>
      <w:r>
        <w:rPr>
          <w:spacing w:val="-4"/>
          <w:sz w:val="24"/>
          <w:szCs w:val="24"/>
        </w:rPr>
        <w:t>根据调查，生态流量放水管已经安装完成，结合固定</w:t>
      </w:r>
      <w:r>
        <w:rPr>
          <w:spacing w:val="-5"/>
          <w:sz w:val="24"/>
          <w:szCs w:val="24"/>
        </w:rPr>
        <w:t>分层取水塔设置，将生态</w:t>
      </w:r>
      <w:r>
        <w:rPr>
          <w:spacing w:val="17"/>
          <w:sz w:val="24"/>
          <w:szCs w:val="24"/>
        </w:rPr>
        <w:t>灌溉输水管的两个取水口布置在竖井右侧边墙上，其中上层取水口底板高程</w:t>
      </w:r>
      <w:r>
        <w:rPr>
          <w:rFonts w:ascii="Times New Roman" w:hAnsi="Times New Roman" w:eastAsia="Times New Roman" w:cs="Times New Roman"/>
          <w:spacing w:val="-1"/>
          <w:sz w:val="24"/>
          <w:szCs w:val="24"/>
        </w:rPr>
        <w:t>1924.5m</w:t>
      </w:r>
      <w:r>
        <w:rPr>
          <w:spacing w:val="-1"/>
          <w:sz w:val="24"/>
          <w:szCs w:val="24"/>
        </w:rPr>
        <w:t xml:space="preserve">，下层取水口底板高程 </w:t>
      </w:r>
      <w:r>
        <w:rPr>
          <w:rFonts w:ascii="Times New Roman" w:hAnsi="Times New Roman" w:eastAsia="Times New Roman" w:cs="Times New Roman"/>
          <w:spacing w:val="-1"/>
          <w:sz w:val="24"/>
          <w:szCs w:val="24"/>
        </w:rPr>
        <w:t>1914.5m</w:t>
      </w:r>
      <w:r>
        <w:rPr>
          <w:spacing w:val="-1"/>
          <w:sz w:val="24"/>
          <w:szCs w:val="24"/>
        </w:rPr>
        <w:t>，两取水口前均设置拦污栅，共用一道平</w:t>
      </w:r>
      <w:r>
        <w:rPr>
          <w:spacing w:val="-7"/>
          <w:sz w:val="24"/>
          <w:szCs w:val="24"/>
        </w:rPr>
        <w:t>板钢闸门。下层取水口闸门槽后为</w:t>
      </w:r>
      <w:r>
        <w:rPr>
          <w:rFonts w:ascii="Times New Roman" w:hAnsi="Times New Roman" w:eastAsia="Times New Roman" w:cs="Times New Roman"/>
          <w:spacing w:val="-7"/>
          <w:sz w:val="24"/>
          <w:szCs w:val="24"/>
        </w:rPr>
        <w:t xml:space="preserve">DN800mm </w:t>
      </w:r>
      <w:r>
        <w:rPr>
          <w:spacing w:val="-7"/>
          <w:sz w:val="24"/>
          <w:szCs w:val="24"/>
        </w:rPr>
        <w:t>的生态灌溉输水钢管，钢管壁厚</w:t>
      </w:r>
      <w:r>
        <w:rPr>
          <w:rFonts w:ascii="Times New Roman" w:hAnsi="Times New Roman" w:eastAsia="Times New Roman" w:cs="Times New Roman"/>
          <w:spacing w:val="-7"/>
          <w:sz w:val="24"/>
          <w:szCs w:val="24"/>
        </w:rPr>
        <w:t>8mm</w:t>
      </w:r>
      <w:r>
        <w:rPr>
          <w:spacing w:val="-7"/>
          <w:sz w:val="24"/>
          <w:szCs w:val="24"/>
        </w:rPr>
        <w:t>，</w:t>
      </w:r>
      <w:r>
        <w:rPr>
          <w:spacing w:val="-4"/>
          <w:sz w:val="24"/>
          <w:szCs w:val="24"/>
        </w:rPr>
        <w:t>管道全长</w:t>
      </w:r>
      <w:r>
        <w:rPr>
          <w:spacing w:val="-48"/>
          <w:sz w:val="24"/>
          <w:szCs w:val="24"/>
        </w:rPr>
        <w:t xml:space="preserve"> </w:t>
      </w:r>
      <w:r>
        <w:rPr>
          <w:rFonts w:ascii="Times New Roman" w:hAnsi="Times New Roman" w:eastAsia="Times New Roman" w:cs="Times New Roman"/>
          <w:spacing w:val="-4"/>
          <w:sz w:val="24"/>
          <w:szCs w:val="24"/>
        </w:rPr>
        <w:t>340m</w:t>
      </w:r>
      <w:r>
        <w:rPr>
          <w:spacing w:val="-4"/>
          <w:sz w:val="24"/>
          <w:szCs w:val="24"/>
        </w:rPr>
        <w:t>。管道沿竖井边墙埋设到竖井底板</w:t>
      </w:r>
      <w:r>
        <w:rPr>
          <w:spacing w:val="-32"/>
          <w:sz w:val="24"/>
          <w:szCs w:val="24"/>
        </w:rPr>
        <w:t xml:space="preserve"> </w:t>
      </w:r>
      <w:r>
        <w:rPr>
          <w:rFonts w:ascii="Times New Roman" w:hAnsi="Times New Roman" w:eastAsia="Times New Roman" w:cs="Times New Roman"/>
          <w:spacing w:val="-4"/>
          <w:sz w:val="24"/>
          <w:szCs w:val="24"/>
        </w:rPr>
        <w:t>1898m</w:t>
      </w:r>
      <w:r>
        <w:rPr>
          <w:rFonts w:ascii="Times New Roman" w:hAnsi="Times New Roman" w:eastAsia="Times New Roman" w:cs="Times New Roman"/>
          <w:spacing w:val="15"/>
          <w:w w:val="101"/>
          <w:sz w:val="24"/>
          <w:szCs w:val="24"/>
        </w:rPr>
        <w:t xml:space="preserve"> </w:t>
      </w:r>
      <w:r>
        <w:rPr>
          <w:spacing w:val="-4"/>
          <w:sz w:val="24"/>
          <w:szCs w:val="24"/>
        </w:rPr>
        <w:t>高程后转而沿隧洞底板向隧洞出口方向埋设，出口经消力池后进入下游河道，管道出口设置生态放</w:t>
      </w:r>
      <w:r>
        <w:rPr>
          <w:spacing w:val="-5"/>
          <w:sz w:val="24"/>
          <w:szCs w:val="24"/>
        </w:rPr>
        <w:t>水管检修</w:t>
      </w:r>
      <w:r>
        <w:rPr>
          <w:spacing w:val="-2"/>
          <w:sz w:val="24"/>
          <w:szCs w:val="24"/>
        </w:rPr>
        <w:t>阀，阀前水头</w:t>
      </w:r>
      <w:r>
        <w:rPr>
          <w:spacing w:val="-50"/>
          <w:sz w:val="24"/>
          <w:szCs w:val="24"/>
        </w:rPr>
        <w:t xml:space="preserve"> </w:t>
      </w:r>
      <w:r>
        <w:rPr>
          <w:rFonts w:ascii="Times New Roman" w:hAnsi="Times New Roman" w:eastAsia="Times New Roman" w:cs="Times New Roman"/>
          <w:spacing w:val="-2"/>
          <w:sz w:val="24"/>
          <w:szCs w:val="24"/>
        </w:rPr>
        <w:t>41.3m</w:t>
      </w:r>
      <w:r>
        <w:rPr>
          <w:spacing w:val="-2"/>
          <w:sz w:val="24"/>
          <w:szCs w:val="24"/>
        </w:rPr>
        <w:t>，选用</w:t>
      </w:r>
      <w:r>
        <w:rPr>
          <w:spacing w:val="-56"/>
          <w:sz w:val="24"/>
          <w:szCs w:val="24"/>
        </w:rPr>
        <w:t xml:space="preserve"> </w:t>
      </w:r>
      <w:r>
        <w:rPr>
          <w:rFonts w:ascii="Times New Roman" w:hAnsi="Times New Roman" w:eastAsia="Times New Roman" w:cs="Times New Roman"/>
          <w:spacing w:val="-2"/>
          <w:sz w:val="24"/>
          <w:szCs w:val="24"/>
        </w:rPr>
        <w:t>DN800mm</w:t>
      </w:r>
      <w:r>
        <w:rPr>
          <w:rFonts w:ascii="Times New Roman" w:hAnsi="Times New Roman" w:eastAsia="Times New Roman" w:cs="Times New Roman"/>
          <w:spacing w:val="-35"/>
          <w:sz w:val="24"/>
          <w:szCs w:val="24"/>
        </w:rPr>
        <w:t xml:space="preserve"> </w:t>
      </w:r>
      <w:r>
        <w:rPr>
          <w:spacing w:val="-2"/>
          <w:sz w:val="24"/>
          <w:szCs w:val="24"/>
        </w:rPr>
        <w:t>、</w:t>
      </w:r>
      <w:r>
        <w:rPr>
          <w:rFonts w:ascii="Times New Roman" w:hAnsi="Times New Roman" w:eastAsia="Times New Roman" w:cs="Times New Roman"/>
          <w:spacing w:val="-2"/>
          <w:sz w:val="24"/>
          <w:szCs w:val="24"/>
        </w:rPr>
        <w:t>PN1.0MPa</w:t>
      </w:r>
      <w:r>
        <w:rPr>
          <w:rFonts w:ascii="Times New Roman" w:hAnsi="Times New Roman" w:eastAsia="Times New Roman" w:cs="Times New Roman"/>
          <w:spacing w:val="30"/>
          <w:sz w:val="24"/>
          <w:szCs w:val="24"/>
        </w:rPr>
        <w:t xml:space="preserve"> </w:t>
      </w:r>
      <w:r>
        <w:rPr>
          <w:spacing w:val="-2"/>
          <w:sz w:val="24"/>
          <w:szCs w:val="24"/>
        </w:rPr>
        <w:t>的偏心半球阀，采用手</w:t>
      </w:r>
      <w:r>
        <w:rPr>
          <w:rFonts w:ascii="Times New Roman" w:hAnsi="Times New Roman" w:eastAsia="Times New Roman" w:cs="Times New Roman"/>
          <w:spacing w:val="-2"/>
          <w:sz w:val="24"/>
          <w:szCs w:val="24"/>
        </w:rPr>
        <w:t>/</w:t>
      </w:r>
      <w:r>
        <w:rPr>
          <w:spacing w:val="-2"/>
          <w:sz w:val="24"/>
          <w:szCs w:val="24"/>
        </w:rPr>
        <w:t>电动操</w:t>
      </w:r>
      <w:r>
        <w:rPr>
          <w:spacing w:val="-4"/>
          <w:sz w:val="24"/>
          <w:szCs w:val="24"/>
        </w:rPr>
        <w:t>作，设置为常开运行，当其后的工作阀门、管道故障或检修维护时关闭使用。</w:t>
      </w:r>
      <w:r>
        <w:rPr>
          <w:spacing w:val="-5"/>
          <w:sz w:val="24"/>
          <w:szCs w:val="24"/>
        </w:rPr>
        <w:t>检修阀及生态放水阀各</w:t>
      </w:r>
      <w:r>
        <w:rPr>
          <w:spacing w:val="-24"/>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套。</w:t>
      </w:r>
    </w:p>
    <w:p w14:paraId="3C02B2A6">
      <w:pPr>
        <w:pStyle w:val="2"/>
        <w:spacing w:line="232" w:lineRule="auto"/>
        <w:ind w:left="521"/>
        <w:rPr>
          <w:sz w:val="24"/>
          <w:szCs w:val="24"/>
        </w:rPr>
      </w:pPr>
      <w:r>
        <w:rPr>
          <w:spacing w:val="-2"/>
          <w:sz w:val="24"/>
          <w:szCs w:val="24"/>
        </w:rPr>
        <w:t>生态流量泄放设施平面布置见附图</w:t>
      </w:r>
      <w:r>
        <w:rPr>
          <w:spacing w:val="-38"/>
          <w:sz w:val="24"/>
          <w:szCs w:val="24"/>
        </w:rPr>
        <w:t xml:space="preserve"> </w:t>
      </w:r>
      <w:r>
        <w:rPr>
          <w:rFonts w:ascii="Times New Roman" w:hAnsi="Times New Roman" w:eastAsia="Times New Roman" w:cs="Times New Roman"/>
          <w:spacing w:val="-2"/>
          <w:sz w:val="24"/>
          <w:szCs w:val="24"/>
        </w:rPr>
        <w:t>7</w:t>
      </w:r>
      <w:r>
        <w:rPr>
          <w:spacing w:val="-2"/>
          <w:sz w:val="24"/>
          <w:szCs w:val="24"/>
        </w:rPr>
        <w:t>。</w:t>
      </w:r>
    </w:p>
    <w:p w14:paraId="2BF8FD8D">
      <w:pPr>
        <w:pStyle w:val="2"/>
        <w:spacing w:before="136" w:line="226" w:lineRule="auto"/>
        <w:ind w:left="521"/>
        <w:rPr>
          <w:sz w:val="24"/>
          <w:szCs w:val="24"/>
        </w:rPr>
      </w:pPr>
      <w:r>
        <w:rPr>
          <w:spacing w:val="-2"/>
          <w:sz w:val="24"/>
          <w:szCs w:val="24"/>
        </w:rPr>
        <w:t>生态流量泄放孔及管阀室见图</w:t>
      </w:r>
      <w:r>
        <w:rPr>
          <w:spacing w:val="-34"/>
          <w:sz w:val="24"/>
          <w:szCs w:val="24"/>
        </w:rPr>
        <w:t xml:space="preserve"> </w:t>
      </w:r>
      <w:r>
        <w:rPr>
          <w:rFonts w:ascii="Times New Roman" w:hAnsi="Times New Roman" w:eastAsia="Times New Roman" w:cs="Times New Roman"/>
          <w:spacing w:val="-2"/>
          <w:sz w:val="24"/>
          <w:szCs w:val="24"/>
        </w:rPr>
        <w:t>5.1-5</w:t>
      </w:r>
      <w:r>
        <w:rPr>
          <w:spacing w:val="-2"/>
          <w:sz w:val="24"/>
          <w:szCs w:val="24"/>
        </w:rPr>
        <w:t>。</w:t>
      </w:r>
    </w:p>
    <w:p w14:paraId="584BE000">
      <w:pPr>
        <w:spacing w:line="2976" w:lineRule="exact"/>
        <w:ind w:firstLine="137"/>
      </w:pPr>
      <w:r>
        <w:drawing>
          <wp:anchor distT="0" distB="0" distL="0" distR="0" simplePos="0" relativeHeight="251695104" behindDoc="0" locked="0" layoutInCell="1" allowOverlap="1">
            <wp:simplePos x="0" y="0"/>
            <wp:positionH relativeFrom="column">
              <wp:posOffset>2795905</wp:posOffset>
            </wp:positionH>
            <wp:positionV relativeFrom="paragraph">
              <wp:posOffset>12700</wp:posOffset>
            </wp:positionV>
            <wp:extent cx="2532380" cy="190246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59"/>
                    <a:stretch>
                      <a:fillRect/>
                    </a:stretch>
                  </pic:blipFill>
                  <pic:spPr>
                    <a:xfrm>
                      <a:off x="0" y="0"/>
                      <a:ext cx="2532379" cy="1902459"/>
                    </a:xfrm>
                    <a:prstGeom prst="rect">
                      <a:avLst/>
                    </a:prstGeom>
                  </pic:spPr>
                </pic:pic>
              </a:graphicData>
            </a:graphic>
          </wp:anchor>
        </w:drawing>
      </w:r>
      <w:r>
        <w:rPr>
          <w:position w:val="-59"/>
        </w:rPr>
        <w:drawing>
          <wp:inline distT="0" distB="0" distL="0" distR="0">
            <wp:extent cx="2519045" cy="18891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60"/>
                    <a:stretch>
                      <a:fillRect/>
                    </a:stretch>
                  </pic:blipFill>
                  <pic:spPr>
                    <a:xfrm>
                      <a:off x="0" y="0"/>
                      <a:ext cx="2519679" cy="1889759"/>
                    </a:xfrm>
                    <a:prstGeom prst="rect">
                      <a:avLst/>
                    </a:prstGeom>
                  </pic:spPr>
                </pic:pic>
              </a:graphicData>
            </a:graphic>
          </wp:inline>
        </w:drawing>
      </w:r>
    </w:p>
    <w:p w14:paraId="2A74ADF4">
      <w:pPr>
        <w:pStyle w:val="2"/>
        <w:spacing w:before="303"/>
        <w:ind w:left="1891"/>
        <w:rPr>
          <w:sz w:val="24"/>
          <w:szCs w:val="24"/>
        </w:rPr>
      </w:pPr>
      <w:r>
        <w:rPr>
          <w:position w:val="-6"/>
          <w:sz w:val="24"/>
          <w:szCs w:val="24"/>
        </w:rPr>
        <w:drawing>
          <wp:inline distT="0" distB="0" distL="0" distR="0">
            <wp:extent cx="1905" cy="19812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61"/>
                    <a:stretch>
                      <a:fillRect/>
                    </a:stretch>
                  </pic:blipFill>
                  <pic:spPr>
                    <a:xfrm>
                      <a:off x="0" y="0"/>
                      <a:ext cx="2286" cy="198120"/>
                    </a:xfrm>
                    <a:prstGeom prst="rect">
                      <a:avLst/>
                    </a:prstGeom>
                  </pic:spPr>
                </pic:pic>
              </a:graphicData>
            </a:graphic>
          </wp:inline>
        </w:drawing>
      </w:r>
      <w:r>
        <w:rPr>
          <w:b/>
          <w:bCs/>
          <w:spacing w:val="-1"/>
          <w:sz w:val="24"/>
          <w:szCs w:val="24"/>
        </w:rPr>
        <w:t>图</w:t>
      </w:r>
      <w:r>
        <w:rPr>
          <w:spacing w:val="-51"/>
          <w:sz w:val="24"/>
          <w:szCs w:val="24"/>
        </w:rPr>
        <w:t xml:space="preserve"> </w:t>
      </w:r>
      <w:r>
        <w:rPr>
          <w:rFonts w:ascii="Times New Roman" w:hAnsi="Times New Roman" w:eastAsia="Times New Roman" w:cs="Times New Roman"/>
          <w:b/>
          <w:bCs/>
          <w:spacing w:val="-1"/>
          <w:sz w:val="24"/>
          <w:szCs w:val="24"/>
        </w:rPr>
        <w:t xml:space="preserve">5.1-5      </w:t>
      </w:r>
      <w:r>
        <w:rPr>
          <w:b/>
          <w:bCs/>
          <w:spacing w:val="-1"/>
          <w:sz w:val="24"/>
          <w:szCs w:val="24"/>
        </w:rPr>
        <w:t>生态流量泄放孔</w:t>
      </w:r>
      <w:r>
        <w:rPr>
          <w:b/>
          <w:bCs/>
          <w:spacing w:val="-2"/>
          <w:sz w:val="24"/>
          <w:szCs w:val="24"/>
        </w:rPr>
        <w:t>及生态流量管阀室</w:t>
      </w:r>
    </w:p>
    <w:p w14:paraId="613F0D2F">
      <w:pPr>
        <w:pStyle w:val="2"/>
        <w:spacing w:before="156" w:line="349" w:lineRule="auto"/>
        <w:ind w:left="42" w:right="78" w:firstLine="479"/>
        <w:rPr>
          <w:sz w:val="24"/>
          <w:szCs w:val="24"/>
        </w:rPr>
      </w:pPr>
      <w:r>
        <w:rPr>
          <w:spacing w:val="-5"/>
          <w:sz w:val="24"/>
          <w:szCs w:val="24"/>
        </w:rPr>
        <w:t>生态流量在线监测系统已安装，现阶段尚未与地方联网。生态流量在线监测设</w:t>
      </w:r>
      <w:r>
        <w:rPr>
          <w:spacing w:val="-3"/>
          <w:sz w:val="24"/>
          <w:szCs w:val="24"/>
        </w:rPr>
        <w:t>备见图</w:t>
      </w:r>
      <w:r>
        <w:rPr>
          <w:spacing w:val="-46"/>
          <w:sz w:val="24"/>
          <w:szCs w:val="24"/>
        </w:rPr>
        <w:t xml:space="preserve"> </w:t>
      </w:r>
      <w:r>
        <w:rPr>
          <w:rFonts w:ascii="Times New Roman" w:hAnsi="Times New Roman" w:eastAsia="Times New Roman" w:cs="Times New Roman"/>
          <w:spacing w:val="-3"/>
          <w:sz w:val="24"/>
          <w:szCs w:val="24"/>
        </w:rPr>
        <w:t>5.1-6</w:t>
      </w:r>
      <w:r>
        <w:rPr>
          <w:spacing w:val="-3"/>
          <w:sz w:val="24"/>
          <w:szCs w:val="24"/>
        </w:rPr>
        <w:t>。</w:t>
      </w:r>
    </w:p>
    <w:p w14:paraId="3814860F">
      <w:pPr>
        <w:spacing w:line="349" w:lineRule="auto"/>
        <w:rPr>
          <w:sz w:val="24"/>
          <w:szCs w:val="24"/>
        </w:rPr>
        <w:sectPr>
          <w:headerReference r:id="rId94" w:type="default"/>
          <w:footerReference r:id="rId95" w:type="default"/>
          <w:pgSz w:w="11907" w:h="16839"/>
          <w:pgMar w:top="1376" w:right="1633" w:bottom="1061" w:left="1671" w:header="999" w:footer="861" w:gutter="0"/>
          <w:cols w:space="720" w:num="1"/>
        </w:sectPr>
      </w:pPr>
    </w:p>
    <w:p w14:paraId="1AF137D2">
      <w:pPr>
        <w:spacing w:line="407" w:lineRule="auto"/>
        <w:rPr>
          <w:rFonts w:ascii="Arial"/>
          <w:sz w:val="21"/>
        </w:rPr>
      </w:pPr>
    </w:p>
    <w:p w14:paraId="2EB523FC">
      <w:pPr>
        <w:spacing w:line="2996" w:lineRule="exact"/>
        <w:ind w:firstLine="4403"/>
      </w:pPr>
      <w:r>
        <w:drawing>
          <wp:anchor distT="0" distB="0" distL="0" distR="0" simplePos="0" relativeHeight="251696128" behindDoc="0" locked="0" layoutInCell="1" allowOverlap="1">
            <wp:simplePos x="0" y="0"/>
            <wp:positionH relativeFrom="column">
              <wp:posOffset>99060</wp:posOffset>
            </wp:positionH>
            <wp:positionV relativeFrom="paragraph">
              <wp:posOffset>0</wp:posOffset>
            </wp:positionV>
            <wp:extent cx="2532380" cy="190246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362"/>
                    <a:stretch>
                      <a:fillRect/>
                    </a:stretch>
                  </pic:blipFill>
                  <pic:spPr>
                    <a:xfrm>
                      <a:off x="0" y="0"/>
                      <a:ext cx="2532379" cy="1902459"/>
                    </a:xfrm>
                    <a:prstGeom prst="rect">
                      <a:avLst/>
                    </a:prstGeom>
                  </pic:spPr>
                </pic:pic>
              </a:graphicData>
            </a:graphic>
          </wp:anchor>
        </w:drawing>
      </w:r>
      <w:r>
        <w:rPr>
          <w:position w:val="-59"/>
        </w:rPr>
        <w:drawing>
          <wp:inline distT="0" distB="0" distL="0" distR="0">
            <wp:extent cx="2531745" cy="190182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363"/>
                    <a:stretch>
                      <a:fillRect/>
                    </a:stretch>
                  </pic:blipFill>
                  <pic:spPr>
                    <a:xfrm>
                      <a:off x="0" y="0"/>
                      <a:ext cx="2532379" cy="1902459"/>
                    </a:xfrm>
                    <a:prstGeom prst="rect">
                      <a:avLst/>
                    </a:prstGeom>
                  </pic:spPr>
                </pic:pic>
              </a:graphicData>
            </a:graphic>
          </wp:inline>
        </w:drawing>
      </w:r>
    </w:p>
    <w:p w14:paraId="3988CD6D">
      <w:pPr>
        <w:pStyle w:val="2"/>
        <w:spacing w:before="262"/>
        <w:ind w:left="2493"/>
        <w:rPr>
          <w:sz w:val="24"/>
          <w:szCs w:val="24"/>
        </w:rPr>
      </w:pPr>
      <w:r>
        <w:rPr>
          <w:position w:val="-6"/>
          <w:sz w:val="24"/>
          <w:szCs w:val="24"/>
        </w:rPr>
        <w:drawing>
          <wp:inline distT="0" distB="0" distL="0" distR="0">
            <wp:extent cx="1905" cy="19748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364"/>
                    <a:stretch>
                      <a:fillRect/>
                    </a:stretch>
                  </pic:blipFill>
                  <pic:spPr>
                    <a:xfrm>
                      <a:off x="0" y="0"/>
                      <a:ext cx="2285" cy="198119"/>
                    </a:xfrm>
                    <a:prstGeom prst="rect">
                      <a:avLst/>
                    </a:prstGeom>
                  </pic:spPr>
                </pic:pic>
              </a:graphicData>
            </a:graphic>
          </wp:inline>
        </w:drawing>
      </w:r>
      <w:r>
        <w:rPr>
          <w:b/>
          <w:bCs/>
          <w:spacing w:val="-2"/>
          <w:sz w:val="24"/>
          <w:szCs w:val="24"/>
        </w:rPr>
        <w:t>图</w:t>
      </w:r>
      <w:r>
        <w:rPr>
          <w:spacing w:val="-33"/>
          <w:sz w:val="24"/>
          <w:szCs w:val="24"/>
        </w:rPr>
        <w:t xml:space="preserve"> </w:t>
      </w:r>
      <w:r>
        <w:rPr>
          <w:rFonts w:ascii="Times New Roman" w:hAnsi="Times New Roman" w:eastAsia="Times New Roman" w:cs="Times New Roman"/>
          <w:b/>
          <w:bCs/>
          <w:spacing w:val="-2"/>
          <w:sz w:val="24"/>
          <w:szCs w:val="24"/>
        </w:rPr>
        <w:t xml:space="preserve">5.1-6      </w:t>
      </w:r>
      <w:r>
        <w:rPr>
          <w:b/>
          <w:bCs/>
          <w:spacing w:val="-2"/>
          <w:sz w:val="24"/>
          <w:szCs w:val="24"/>
        </w:rPr>
        <w:t>生态流量在线监测设备</w:t>
      </w:r>
    </w:p>
    <w:p w14:paraId="751EC2F3">
      <w:pPr>
        <w:pStyle w:val="2"/>
        <w:spacing w:before="240" w:line="226" w:lineRule="auto"/>
        <w:ind w:left="35"/>
        <w:rPr>
          <w:sz w:val="27"/>
          <w:szCs w:val="27"/>
        </w:rPr>
      </w:pPr>
      <w:r>
        <w:rPr>
          <w:rFonts w:ascii="Arial" w:hAnsi="Arial" w:eastAsia="Arial" w:cs="Arial"/>
          <w:spacing w:val="9"/>
          <w:position w:val="1"/>
          <w:sz w:val="21"/>
          <w:szCs w:val="21"/>
        </w:rPr>
        <w:t>5.1.3</w:t>
      </w:r>
      <w:r>
        <w:rPr>
          <w:rFonts w:ascii="Arial" w:hAnsi="Arial" w:eastAsia="Arial" w:cs="Arial"/>
          <w:spacing w:val="4"/>
          <w:position w:val="1"/>
          <w:sz w:val="21"/>
          <w:szCs w:val="21"/>
        </w:rPr>
        <w:t xml:space="preserve">     </w:t>
      </w:r>
      <w:r>
        <w:rPr>
          <w:b/>
          <w:bCs/>
          <w:spacing w:val="9"/>
          <w:position w:val="-1"/>
          <w:sz w:val="27"/>
          <w:szCs w:val="27"/>
        </w:rPr>
        <w:t>低温水减缓设施</w:t>
      </w:r>
    </w:p>
    <w:p w14:paraId="21A3E9D9">
      <w:pPr>
        <w:pStyle w:val="2"/>
        <w:spacing w:before="263" w:line="220" w:lineRule="auto"/>
        <w:ind w:left="34"/>
        <w:rPr>
          <w:sz w:val="24"/>
          <w:szCs w:val="24"/>
        </w:rPr>
      </w:pPr>
      <w:r>
        <w:rPr>
          <w:rFonts w:ascii="Arial" w:hAnsi="Arial" w:eastAsia="Arial" w:cs="Arial"/>
          <w:spacing w:val="2"/>
          <w:position w:val="1"/>
          <w:sz w:val="18"/>
          <w:szCs w:val="18"/>
        </w:rPr>
        <w:t>5.1.3.1</w:t>
      </w:r>
      <w:r>
        <w:rPr>
          <w:rFonts w:ascii="Arial" w:hAnsi="Arial" w:eastAsia="Arial" w:cs="Arial"/>
          <w:spacing w:val="58"/>
          <w:position w:val="1"/>
          <w:sz w:val="18"/>
          <w:szCs w:val="18"/>
        </w:rPr>
        <w:t xml:space="preserve"> </w:t>
      </w:r>
      <w:r>
        <w:rPr>
          <w:b/>
          <w:bCs/>
          <w:spacing w:val="2"/>
          <w:position w:val="-1"/>
          <w:sz w:val="24"/>
          <w:szCs w:val="24"/>
        </w:rPr>
        <w:t>坝下生态灌溉低温水减缓设施</w:t>
      </w:r>
    </w:p>
    <w:p w14:paraId="27719508">
      <w:pPr>
        <w:pStyle w:val="2"/>
        <w:spacing w:before="277" w:line="337" w:lineRule="auto"/>
        <w:ind w:left="39" w:right="28" w:firstLine="480"/>
        <w:jc w:val="both"/>
        <w:rPr>
          <w:sz w:val="24"/>
          <w:szCs w:val="24"/>
        </w:rPr>
      </w:pPr>
      <w:r>
        <w:rPr>
          <w:spacing w:val="-1"/>
          <w:sz w:val="24"/>
          <w:szCs w:val="24"/>
        </w:rPr>
        <w:t xml:space="preserve">环评报告书根据生态保护需要和水温计算分析结果，提出在 </w:t>
      </w:r>
      <w:r>
        <w:rPr>
          <w:rFonts w:ascii="Times New Roman" w:hAnsi="Times New Roman" w:eastAsia="Times New Roman" w:cs="Times New Roman"/>
          <w:spacing w:val="-1"/>
          <w:sz w:val="24"/>
          <w:szCs w:val="24"/>
        </w:rPr>
        <w:t xml:space="preserve">3~7  </w:t>
      </w:r>
      <w:r>
        <w:rPr>
          <w:spacing w:val="-1"/>
          <w:sz w:val="24"/>
          <w:szCs w:val="24"/>
        </w:rPr>
        <w:t>月有分层取</w:t>
      </w:r>
      <w:r>
        <w:rPr>
          <w:spacing w:val="-4"/>
          <w:sz w:val="24"/>
          <w:szCs w:val="24"/>
        </w:rPr>
        <w:t>水需求。报告对坝前竖井生态、灌溉取水方式拟定了两个方案（方案一：固定式分</w:t>
      </w:r>
      <w:r>
        <w:rPr>
          <w:spacing w:val="-1"/>
          <w:sz w:val="24"/>
          <w:szCs w:val="24"/>
        </w:rPr>
        <w:t>层取水；方案二：浮筒式取水口</w:t>
      </w:r>
      <w:r>
        <w:rPr>
          <w:rFonts w:ascii="Times New Roman" w:hAnsi="Times New Roman" w:eastAsia="Times New Roman" w:cs="Times New Roman"/>
          <w:spacing w:val="-1"/>
          <w:sz w:val="24"/>
          <w:szCs w:val="24"/>
        </w:rPr>
        <w:t>+</w:t>
      </w:r>
      <w:r>
        <w:rPr>
          <w:spacing w:val="-1"/>
          <w:sz w:val="24"/>
          <w:szCs w:val="24"/>
        </w:rPr>
        <w:t>固定取水口）并进行了综合比选</w:t>
      </w:r>
      <w:r>
        <w:rPr>
          <w:spacing w:val="-2"/>
          <w:sz w:val="24"/>
          <w:szCs w:val="24"/>
        </w:rPr>
        <w:t>，比选结果认为</w:t>
      </w:r>
      <w:r>
        <w:rPr>
          <w:spacing w:val="-4"/>
          <w:sz w:val="24"/>
          <w:szCs w:val="24"/>
        </w:rPr>
        <w:t>两个方案均可以起到良好的水温改善效果，考虑方案二运行较为灵活，更易</w:t>
      </w:r>
      <w:r>
        <w:rPr>
          <w:spacing w:val="-5"/>
          <w:sz w:val="24"/>
          <w:szCs w:val="24"/>
        </w:rPr>
        <w:t>取到表</w:t>
      </w:r>
      <w:r>
        <w:rPr>
          <w:spacing w:val="-2"/>
          <w:sz w:val="24"/>
          <w:szCs w:val="24"/>
        </w:rPr>
        <w:t>层水，水温改善效果也较方案一优，故推荐了方案二。</w:t>
      </w:r>
    </w:p>
    <w:p w14:paraId="70227C8B">
      <w:pPr>
        <w:pStyle w:val="2"/>
        <w:spacing w:before="8" w:line="337" w:lineRule="auto"/>
        <w:ind w:left="38" w:right="30" w:firstLine="480"/>
        <w:jc w:val="both"/>
        <w:rPr>
          <w:sz w:val="24"/>
          <w:szCs w:val="24"/>
        </w:rPr>
      </w:pPr>
      <w:r>
        <w:rPr>
          <w:spacing w:val="-4"/>
          <w:sz w:val="24"/>
          <w:szCs w:val="24"/>
        </w:rPr>
        <w:t>初设阶段，设计单位通过市场调查，认为在泄放流量较</w:t>
      </w:r>
      <w:r>
        <w:rPr>
          <w:spacing w:val="-5"/>
          <w:sz w:val="24"/>
          <w:szCs w:val="24"/>
        </w:rPr>
        <w:t>大的情况下方案二浮筒</w:t>
      </w:r>
      <w:r>
        <w:rPr>
          <w:spacing w:val="-1"/>
          <w:sz w:val="24"/>
          <w:szCs w:val="24"/>
        </w:rPr>
        <w:t>式取水口</w:t>
      </w:r>
      <w:r>
        <w:rPr>
          <w:rFonts w:ascii="Times New Roman" w:hAnsi="Times New Roman" w:eastAsia="Times New Roman" w:cs="Times New Roman"/>
          <w:spacing w:val="-1"/>
          <w:sz w:val="24"/>
          <w:szCs w:val="24"/>
        </w:rPr>
        <w:t>+</w:t>
      </w:r>
      <w:r>
        <w:rPr>
          <w:spacing w:val="-1"/>
          <w:sz w:val="24"/>
          <w:szCs w:val="24"/>
        </w:rPr>
        <w:t>固定取水口存在较大的技术问题，以目前国内浮动式取水口</w:t>
      </w:r>
      <w:r>
        <w:rPr>
          <w:spacing w:val="-2"/>
          <w:sz w:val="24"/>
          <w:szCs w:val="24"/>
        </w:rPr>
        <w:t>技术的发展</w:t>
      </w:r>
      <w:r>
        <w:rPr>
          <w:spacing w:val="-4"/>
          <w:sz w:val="24"/>
          <w:szCs w:val="24"/>
        </w:rPr>
        <w:t>水平难以解决。因此，初设单位对分层取水措施进行了进一步研究，并综合考</w:t>
      </w:r>
      <w:r>
        <w:rPr>
          <w:spacing w:val="-5"/>
          <w:sz w:val="24"/>
          <w:szCs w:val="24"/>
        </w:rPr>
        <w:t>虑环</w:t>
      </w:r>
      <w:r>
        <w:rPr>
          <w:sz w:val="24"/>
          <w:szCs w:val="24"/>
        </w:rPr>
        <w:t>评报告两方案均可行的比选结果，推荐取水口采用方案</w:t>
      </w:r>
      <w:r>
        <w:rPr>
          <w:spacing w:val="-1"/>
          <w:sz w:val="24"/>
          <w:szCs w:val="24"/>
        </w:rPr>
        <w:t>一固定式分层取水口。</w:t>
      </w:r>
    </w:p>
    <w:p w14:paraId="190C85DA">
      <w:pPr>
        <w:pStyle w:val="2"/>
        <w:spacing w:before="5" w:line="233" w:lineRule="auto"/>
        <w:ind w:left="518"/>
        <w:rPr>
          <w:sz w:val="24"/>
          <w:szCs w:val="24"/>
        </w:rPr>
      </w:pPr>
      <w:r>
        <w:rPr>
          <w:spacing w:val="-1"/>
          <w:sz w:val="24"/>
          <w:szCs w:val="24"/>
        </w:rPr>
        <w:t>坝下灌溉生态流量分层取水设施剖面图见附</w:t>
      </w:r>
      <w:r>
        <w:rPr>
          <w:spacing w:val="-2"/>
          <w:sz w:val="24"/>
          <w:szCs w:val="24"/>
        </w:rPr>
        <w:t>图</w:t>
      </w:r>
      <w:r>
        <w:rPr>
          <w:spacing w:val="-44"/>
          <w:sz w:val="24"/>
          <w:szCs w:val="24"/>
        </w:rPr>
        <w:t xml:space="preserve"> </w:t>
      </w:r>
      <w:r>
        <w:rPr>
          <w:rFonts w:ascii="Times New Roman" w:hAnsi="Times New Roman" w:eastAsia="Times New Roman" w:cs="Times New Roman"/>
          <w:spacing w:val="-2"/>
          <w:sz w:val="24"/>
          <w:szCs w:val="24"/>
        </w:rPr>
        <w:t>8</w:t>
      </w:r>
      <w:r>
        <w:rPr>
          <w:spacing w:val="-2"/>
          <w:sz w:val="24"/>
          <w:szCs w:val="24"/>
        </w:rPr>
        <w:t>。</w:t>
      </w:r>
    </w:p>
    <w:p w14:paraId="64EC7E3E">
      <w:pPr>
        <w:pStyle w:val="2"/>
        <w:spacing w:before="138" w:line="233" w:lineRule="auto"/>
        <w:ind w:left="518"/>
        <w:rPr>
          <w:sz w:val="24"/>
          <w:szCs w:val="24"/>
        </w:rPr>
      </w:pPr>
      <w:r>
        <w:rPr>
          <w:spacing w:val="-1"/>
          <w:sz w:val="24"/>
          <w:szCs w:val="24"/>
        </w:rPr>
        <w:t>坝前竖井固定分层取水设施已与主体工程同步建设完成，见图</w:t>
      </w:r>
      <w:r>
        <w:rPr>
          <w:spacing w:val="-36"/>
          <w:sz w:val="24"/>
          <w:szCs w:val="24"/>
        </w:rPr>
        <w:t xml:space="preserve"> </w:t>
      </w:r>
      <w:r>
        <w:rPr>
          <w:rFonts w:ascii="Times New Roman" w:hAnsi="Times New Roman" w:eastAsia="Times New Roman" w:cs="Times New Roman"/>
          <w:spacing w:val="-1"/>
          <w:sz w:val="24"/>
          <w:szCs w:val="24"/>
        </w:rPr>
        <w:t>5.1-7</w:t>
      </w:r>
      <w:r>
        <w:rPr>
          <w:spacing w:val="-1"/>
          <w:sz w:val="24"/>
          <w:szCs w:val="24"/>
        </w:rPr>
        <w:t>。</w:t>
      </w:r>
    </w:p>
    <w:p w14:paraId="783CCBCF">
      <w:pPr>
        <w:pStyle w:val="2"/>
        <w:spacing w:before="256" w:line="220" w:lineRule="auto"/>
        <w:ind w:left="34"/>
        <w:rPr>
          <w:sz w:val="24"/>
          <w:szCs w:val="24"/>
        </w:rPr>
      </w:pPr>
      <w:r>
        <w:rPr>
          <w:rFonts w:ascii="Arial" w:hAnsi="Arial" w:eastAsia="Arial" w:cs="Arial"/>
          <w:spacing w:val="3"/>
          <w:position w:val="1"/>
          <w:sz w:val="18"/>
          <w:szCs w:val="18"/>
        </w:rPr>
        <w:t>5.1.3.2</w:t>
      </w:r>
      <w:r>
        <w:rPr>
          <w:rFonts w:ascii="Arial" w:hAnsi="Arial" w:eastAsia="Arial" w:cs="Arial"/>
          <w:spacing w:val="38"/>
          <w:position w:val="1"/>
          <w:sz w:val="18"/>
          <w:szCs w:val="18"/>
        </w:rPr>
        <w:t xml:space="preserve"> </w:t>
      </w:r>
      <w:r>
        <w:rPr>
          <w:b/>
          <w:bCs/>
          <w:spacing w:val="3"/>
          <w:sz w:val="24"/>
          <w:szCs w:val="24"/>
        </w:rPr>
        <w:t>输水隧洞取水低温水减缓设施</w:t>
      </w:r>
    </w:p>
    <w:p w14:paraId="41A04590">
      <w:pPr>
        <w:pStyle w:val="2"/>
        <w:spacing w:before="274" w:line="336" w:lineRule="auto"/>
        <w:ind w:left="38" w:right="31" w:firstLine="481"/>
        <w:jc w:val="both"/>
        <w:rPr>
          <w:sz w:val="24"/>
          <w:szCs w:val="24"/>
        </w:rPr>
      </w:pPr>
      <w:r>
        <w:rPr>
          <w:spacing w:val="23"/>
          <w:sz w:val="24"/>
          <w:szCs w:val="24"/>
        </w:rPr>
        <w:t>库中长距离输水隧洞采用</w:t>
      </w:r>
      <w:r>
        <w:rPr>
          <w:spacing w:val="-59"/>
          <w:sz w:val="24"/>
          <w:szCs w:val="24"/>
        </w:rPr>
        <w:t xml:space="preserve"> </w:t>
      </w:r>
      <w:r>
        <w:rPr>
          <w:spacing w:val="23"/>
          <w:sz w:val="24"/>
          <w:szCs w:val="24"/>
        </w:rPr>
        <w:t>固定两层分层取水，</w:t>
      </w:r>
      <w:r>
        <w:rPr>
          <w:spacing w:val="-52"/>
          <w:sz w:val="24"/>
          <w:szCs w:val="24"/>
        </w:rPr>
        <w:t xml:space="preserve"> </w:t>
      </w:r>
      <w:r>
        <w:rPr>
          <w:spacing w:val="23"/>
          <w:sz w:val="24"/>
          <w:szCs w:val="24"/>
        </w:rPr>
        <w:t>取</w:t>
      </w:r>
      <w:r>
        <w:rPr>
          <w:spacing w:val="22"/>
          <w:sz w:val="24"/>
          <w:szCs w:val="24"/>
        </w:rPr>
        <w:t>水口底板高程分别为</w:t>
      </w:r>
      <w:r>
        <w:rPr>
          <w:rFonts w:ascii="Times New Roman" w:hAnsi="Times New Roman" w:eastAsia="Times New Roman" w:cs="Times New Roman"/>
          <w:spacing w:val="-5"/>
          <w:sz w:val="24"/>
          <w:szCs w:val="24"/>
        </w:rPr>
        <w:t>1911.50m</w:t>
      </w:r>
      <w:r>
        <w:rPr>
          <w:spacing w:val="-5"/>
          <w:sz w:val="24"/>
          <w:szCs w:val="24"/>
        </w:rPr>
        <w:t>、</w:t>
      </w:r>
      <w:r>
        <w:rPr>
          <w:rFonts w:ascii="Times New Roman" w:hAnsi="Times New Roman" w:eastAsia="Times New Roman" w:cs="Times New Roman"/>
          <w:spacing w:val="-5"/>
          <w:sz w:val="24"/>
          <w:szCs w:val="24"/>
        </w:rPr>
        <w:t>1924.50m</w:t>
      </w:r>
      <w:r>
        <w:rPr>
          <w:spacing w:val="-5"/>
          <w:sz w:val="24"/>
          <w:szCs w:val="24"/>
        </w:rPr>
        <w:t>。两个取水口前均设置</w:t>
      </w:r>
      <w:r>
        <w:rPr>
          <w:spacing w:val="-55"/>
          <w:sz w:val="24"/>
          <w:szCs w:val="24"/>
        </w:rPr>
        <w:t xml:space="preserve"> </w:t>
      </w:r>
      <w:r>
        <w:rPr>
          <w:rFonts w:ascii="Times New Roman" w:hAnsi="Times New Roman" w:eastAsia="Times New Roman" w:cs="Times New Roman"/>
          <w:spacing w:val="-5"/>
          <w:sz w:val="24"/>
          <w:szCs w:val="24"/>
        </w:rPr>
        <w:t>2.4m</w:t>
      </w:r>
      <w:r>
        <w:rPr>
          <w:spacing w:val="-6"/>
          <w:sz w:val="24"/>
          <w:szCs w:val="24"/>
        </w:rPr>
        <w:t>×</w:t>
      </w:r>
      <w:r>
        <w:rPr>
          <w:rFonts w:ascii="Times New Roman" w:hAnsi="Times New Roman" w:eastAsia="Times New Roman" w:cs="Times New Roman"/>
          <w:spacing w:val="-6"/>
          <w:sz w:val="24"/>
          <w:szCs w:val="24"/>
        </w:rPr>
        <w:t>3.5m</w:t>
      </w:r>
      <w:r>
        <w:rPr>
          <w:rFonts w:ascii="Times New Roman" w:hAnsi="Times New Roman" w:eastAsia="Times New Roman" w:cs="Times New Roman"/>
          <w:spacing w:val="28"/>
          <w:w w:val="101"/>
          <w:sz w:val="24"/>
          <w:szCs w:val="24"/>
        </w:rPr>
        <w:t xml:space="preserve"> </w:t>
      </w:r>
      <w:r>
        <w:rPr>
          <w:spacing w:val="-6"/>
          <w:sz w:val="24"/>
          <w:szCs w:val="24"/>
        </w:rPr>
        <w:t>的拦污栅和</w:t>
      </w:r>
      <w:r>
        <w:rPr>
          <w:spacing w:val="-32"/>
          <w:sz w:val="24"/>
          <w:szCs w:val="24"/>
        </w:rPr>
        <w:t xml:space="preserve"> </w:t>
      </w:r>
      <w:r>
        <w:rPr>
          <w:rFonts w:ascii="Times New Roman" w:hAnsi="Times New Roman" w:eastAsia="Times New Roman" w:cs="Times New Roman"/>
          <w:spacing w:val="-6"/>
          <w:sz w:val="24"/>
          <w:szCs w:val="24"/>
        </w:rPr>
        <w:t>1.8m</w:t>
      </w:r>
      <w:r>
        <w:rPr>
          <w:spacing w:val="-6"/>
          <w:sz w:val="24"/>
          <w:szCs w:val="24"/>
        </w:rPr>
        <w:t>×</w:t>
      </w:r>
      <w:r>
        <w:rPr>
          <w:rFonts w:ascii="Times New Roman" w:hAnsi="Times New Roman" w:eastAsia="Times New Roman" w:cs="Times New Roman"/>
          <w:spacing w:val="-6"/>
          <w:sz w:val="24"/>
          <w:szCs w:val="24"/>
        </w:rPr>
        <w:t>1.8m</w:t>
      </w:r>
      <w:r>
        <w:rPr>
          <w:rFonts w:ascii="Times New Roman" w:hAnsi="Times New Roman" w:eastAsia="Times New Roman" w:cs="Times New Roman"/>
          <w:spacing w:val="27"/>
          <w:w w:val="101"/>
          <w:sz w:val="24"/>
          <w:szCs w:val="24"/>
        </w:rPr>
        <w:t xml:space="preserve"> </w:t>
      </w:r>
      <w:r>
        <w:rPr>
          <w:spacing w:val="-6"/>
          <w:sz w:val="24"/>
          <w:szCs w:val="24"/>
        </w:rPr>
        <w:t>的平板检修闸门。</w:t>
      </w:r>
    </w:p>
    <w:p w14:paraId="064604AC">
      <w:pPr>
        <w:pStyle w:val="2"/>
        <w:spacing w:before="10" w:line="339" w:lineRule="auto"/>
        <w:ind w:left="42" w:right="36" w:firstLine="478"/>
        <w:rPr>
          <w:sz w:val="24"/>
          <w:szCs w:val="24"/>
        </w:rPr>
      </w:pPr>
      <w:r>
        <w:rPr>
          <w:spacing w:val="3"/>
          <w:sz w:val="24"/>
          <w:szCs w:val="24"/>
        </w:rPr>
        <w:t>库中长距离输水隧洞取水口两层分层取水方案未</w:t>
      </w:r>
      <w:r>
        <w:rPr>
          <w:spacing w:val="2"/>
          <w:sz w:val="24"/>
          <w:szCs w:val="24"/>
        </w:rPr>
        <w:t>发生变化，已与主体工程同</w:t>
      </w:r>
      <w:r>
        <w:rPr>
          <w:spacing w:val="-2"/>
          <w:sz w:val="24"/>
          <w:szCs w:val="24"/>
        </w:rPr>
        <w:t>步建设完成。分层取水设施剖面图见附图</w:t>
      </w:r>
      <w:r>
        <w:rPr>
          <w:spacing w:val="-33"/>
          <w:sz w:val="24"/>
          <w:szCs w:val="24"/>
        </w:rPr>
        <w:t xml:space="preserve"> </w:t>
      </w:r>
      <w:r>
        <w:rPr>
          <w:rFonts w:ascii="Times New Roman" w:hAnsi="Times New Roman" w:eastAsia="Times New Roman" w:cs="Times New Roman"/>
          <w:spacing w:val="-2"/>
          <w:sz w:val="24"/>
          <w:szCs w:val="24"/>
        </w:rPr>
        <w:t>9</w:t>
      </w:r>
      <w:r>
        <w:rPr>
          <w:spacing w:val="-2"/>
          <w:sz w:val="24"/>
          <w:szCs w:val="24"/>
        </w:rPr>
        <w:t>。</w:t>
      </w:r>
    </w:p>
    <w:p w14:paraId="0E14C79D">
      <w:pPr>
        <w:pStyle w:val="2"/>
        <w:spacing w:line="233" w:lineRule="auto"/>
        <w:ind w:left="524"/>
        <w:rPr>
          <w:sz w:val="24"/>
          <w:szCs w:val="24"/>
        </w:rPr>
      </w:pPr>
      <w:r>
        <w:rPr>
          <w:spacing w:val="-2"/>
          <w:sz w:val="24"/>
          <w:szCs w:val="24"/>
        </w:rPr>
        <w:t>竖井分层取水设施见图</w:t>
      </w:r>
      <w:r>
        <w:rPr>
          <w:spacing w:val="-43"/>
          <w:sz w:val="24"/>
          <w:szCs w:val="24"/>
        </w:rPr>
        <w:t xml:space="preserve"> </w:t>
      </w:r>
      <w:r>
        <w:rPr>
          <w:rFonts w:ascii="Times New Roman" w:hAnsi="Times New Roman" w:eastAsia="Times New Roman" w:cs="Times New Roman"/>
          <w:spacing w:val="-2"/>
          <w:sz w:val="24"/>
          <w:szCs w:val="24"/>
        </w:rPr>
        <w:t>5.1-7</w:t>
      </w:r>
      <w:r>
        <w:rPr>
          <w:spacing w:val="-2"/>
          <w:sz w:val="24"/>
          <w:szCs w:val="24"/>
        </w:rPr>
        <w:t>。</w:t>
      </w:r>
    </w:p>
    <w:p w14:paraId="14922272">
      <w:pPr>
        <w:spacing w:line="233" w:lineRule="auto"/>
        <w:rPr>
          <w:sz w:val="24"/>
          <w:szCs w:val="24"/>
        </w:rPr>
        <w:sectPr>
          <w:headerReference r:id="rId96" w:type="default"/>
          <w:footerReference r:id="rId97" w:type="default"/>
          <w:pgSz w:w="11907" w:h="16839"/>
          <w:pgMar w:top="1376" w:right="1669" w:bottom="1061" w:left="1671" w:header="999" w:footer="861" w:gutter="0"/>
          <w:cols w:space="720" w:num="1"/>
        </w:sectPr>
      </w:pPr>
    </w:p>
    <w:p w14:paraId="3D779625">
      <w:pPr>
        <w:spacing w:before="168"/>
      </w:pPr>
    </w:p>
    <w:p w14:paraId="01F3A578">
      <w:pPr>
        <w:sectPr>
          <w:footerReference r:id="rId98" w:type="default"/>
          <w:pgSz w:w="11907" w:h="16839"/>
          <w:pgMar w:top="1376" w:right="1669" w:bottom="1061" w:left="1671" w:header="999" w:footer="861" w:gutter="0"/>
          <w:cols w:equalWidth="0" w:num="1">
            <w:col w:w="8566"/>
          </w:cols>
        </w:sectPr>
      </w:pPr>
    </w:p>
    <w:p w14:paraId="5100AFBA">
      <w:pPr>
        <w:spacing w:line="2995" w:lineRule="exact"/>
        <w:ind w:firstLine="167"/>
      </w:pPr>
      <w:r>
        <w:rPr>
          <w:position w:val="-59"/>
        </w:rPr>
        <w:drawing>
          <wp:inline distT="0" distB="0" distL="0" distR="0">
            <wp:extent cx="2532380" cy="19018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65"/>
                    <a:stretch>
                      <a:fillRect/>
                    </a:stretch>
                  </pic:blipFill>
                  <pic:spPr>
                    <a:xfrm>
                      <a:off x="0" y="0"/>
                      <a:ext cx="2532380" cy="1902459"/>
                    </a:xfrm>
                    <a:prstGeom prst="rect">
                      <a:avLst/>
                    </a:prstGeom>
                  </pic:spPr>
                </pic:pic>
              </a:graphicData>
            </a:graphic>
          </wp:inline>
        </w:drawing>
      </w:r>
    </w:p>
    <w:p w14:paraId="01BF8AC6">
      <w:pPr>
        <w:pStyle w:val="2"/>
        <w:spacing w:before="204" w:line="220" w:lineRule="auto"/>
        <w:ind w:left="965"/>
        <w:rPr>
          <w:sz w:val="24"/>
          <w:szCs w:val="24"/>
        </w:rPr>
      </w:pPr>
      <w:r>
        <w:rPr>
          <w:spacing w:val="-1"/>
          <w:sz w:val="24"/>
          <w:szCs w:val="24"/>
        </w:rPr>
        <w:t>坝前竖井分层取水设施</w:t>
      </w:r>
    </w:p>
    <w:p w14:paraId="1ADE8648">
      <w:pPr>
        <w:spacing w:line="27" w:lineRule="auto"/>
        <w:rPr>
          <w:rFonts w:ascii="Arial"/>
          <w:sz w:val="2"/>
        </w:rPr>
      </w:pPr>
    </w:p>
    <w:p w14:paraId="32164C3E">
      <w:pPr>
        <w:spacing w:line="14" w:lineRule="auto"/>
        <w:rPr>
          <w:rFonts w:ascii="Arial"/>
          <w:sz w:val="2"/>
        </w:rPr>
      </w:pPr>
      <w:r>
        <w:rPr>
          <w:rFonts w:ascii="Arial" w:hAnsi="Arial" w:eastAsia="Arial" w:cs="Arial"/>
          <w:sz w:val="2"/>
          <w:szCs w:val="2"/>
        </w:rPr>
        <w:br w:type="column"/>
      </w:r>
    </w:p>
    <w:p w14:paraId="6B1D9E02">
      <w:pPr>
        <w:spacing w:before="14" w:line="2976" w:lineRule="exact"/>
      </w:pPr>
      <w:r>
        <w:rPr>
          <w:position w:val="-59"/>
        </w:rPr>
        <w:drawing>
          <wp:inline distT="0" distB="0" distL="0" distR="0">
            <wp:extent cx="2519045" cy="188912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66"/>
                    <a:stretch>
                      <a:fillRect/>
                    </a:stretch>
                  </pic:blipFill>
                  <pic:spPr>
                    <a:xfrm>
                      <a:off x="0" y="0"/>
                      <a:ext cx="2519679" cy="1889759"/>
                    </a:xfrm>
                    <a:prstGeom prst="rect">
                      <a:avLst/>
                    </a:prstGeom>
                  </pic:spPr>
                </pic:pic>
              </a:graphicData>
            </a:graphic>
          </wp:inline>
        </w:drawing>
      </w:r>
    </w:p>
    <w:p w14:paraId="2F348DC7">
      <w:pPr>
        <w:pStyle w:val="2"/>
        <w:spacing w:before="208" w:line="220" w:lineRule="auto"/>
        <w:ind w:left="552"/>
        <w:rPr>
          <w:sz w:val="24"/>
          <w:szCs w:val="24"/>
        </w:rPr>
      </w:pPr>
      <w:r>
        <w:rPr>
          <w:spacing w:val="-1"/>
          <w:sz w:val="24"/>
          <w:szCs w:val="24"/>
        </w:rPr>
        <w:t>输水隧洞库中分层取水设施</w:t>
      </w:r>
    </w:p>
    <w:p w14:paraId="5650885E">
      <w:pPr>
        <w:spacing w:line="220" w:lineRule="auto"/>
        <w:rPr>
          <w:sz w:val="24"/>
          <w:szCs w:val="24"/>
        </w:rPr>
        <w:sectPr>
          <w:type w:val="continuous"/>
          <w:pgSz w:w="11907" w:h="16839"/>
          <w:pgMar w:top="1376" w:right="1669" w:bottom="1061" w:left="1671" w:header="999" w:footer="861" w:gutter="0"/>
          <w:cols w:equalWidth="0" w:num="2">
            <w:col w:w="4321" w:space="100"/>
            <w:col w:w="4145"/>
          </w:cols>
        </w:sectPr>
      </w:pPr>
    </w:p>
    <w:p w14:paraId="47372B7A">
      <w:pPr>
        <w:pStyle w:val="2"/>
        <w:spacing w:before="290" w:line="233" w:lineRule="auto"/>
        <w:ind w:left="1866"/>
        <w:rPr>
          <w:sz w:val="24"/>
          <w:szCs w:val="24"/>
        </w:rPr>
      </w:pPr>
      <w:r>
        <w:rPr>
          <w:b/>
          <w:bCs/>
          <w:spacing w:val="-2"/>
          <w:sz w:val="24"/>
          <w:szCs w:val="24"/>
        </w:rPr>
        <w:t>图</w:t>
      </w:r>
      <w:r>
        <w:rPr>
          <w:spacing w:val="-35"/>
          <w:sz w:val="24"/>
          <w:szCs w:val="24"/>
        </w:rPr>
        <w:t xml:space="preserve"> </w:t>
      </w:r>
      <w:r>
        <w:rPr>
          <w:rFonts w:ascii="Times New Roman" w:hAnsi="Times New Roman" w:eastAsia="Times New Roman" w:cs="Times New Roman"/>
          <w:b/>
          <w:bCs/>
          <w:spacing w:val="-2"/>
          <w:sz w:val="24"/>
          <w:szCs w:val="24"/>
        </w:rPr>
        <w:t xml:space="preserve">5.1.7        </w:t>
      </w:r>
      <w:r>
        <w:rPr>
          <w:b/>
          <w:bCs/>
          <w:spacing w:val="-2"/>
          <w:sz w:val="24"/>
          <w:szCs w:val="24"/>
        </w:rPr>
        <w:t>低温水减缓（两层分层取水）设施</w:t>
      </w:r>
    </w:p>
    <w:p w14:paraId="5946A50A">
      <w:pPr>
        <w:pStyle w:val="2"/>
        <w:spacing w:before="222" w:line="227" w:lineRule="auto"/>
        <w:ind w:left="35"/>
        <w:rPr>
          <w:sz w:val="27"/>
          <w:szCs w:val="27"/>
        </w:rPr>
      </w:pPr>
      <w:r>
        <w:rPr>
          <w:rFonts w:ascii="Arial" w:hAnsi="Arial" w:eastAsia="Arial" w:cs="Arial"/>
          <w:spacing w:val="9"/>
          <w:position w:val="2"/>
          <w:sz w:val="21"/>
          <w:szCs w:val="21"/>
        </w:rPr>
        <w:t>5.1.4</w:t>
      </w:r>
      <w:r>
        <w:rPr>
          <w:rFonts w:ascii="Arial" w:hAnsi="Arial" w:eastAsia="Arial" w:cs="Arial"/>
          <w:spacing w:val="3"/>
          <w:position w:val="2"/>
          <w:sz w:val="21"/>
          <w:szCs w:val="21"/>
        </w:rPr>
        <w:t xml:space="preserve">     </w:t>
      </w:r>
      <w:r>
        <w:rPr>
          <w:b/>
          <w:bCs/>
          <w:spacing w:val="9"/>
          <w:position w:val="-1"/>
          <w:sz w:val="27"/>
          <w:szCs w:val="27"/>
        </w:rPr>
        <w:t>工程占地及恢复工程</w:t>
      </w:r>
    </w:p>
    <w:p w14:paraId="623F32DF">
      <w:pPr>
        <w:pStyle w:val="2"/>
        <w:spacing w:before="263" w:line="314" w:lineRule="auto"/>
        <w:ind w:left="38" w:right="31" w:firstLine="480"/>
        <w:rPr>
          <w:sz w:val="24"/>
          <w:szCs w:val="24"/>
        </w:rPr>
      </w:pPr>
      <w:r>
        <w:rPr>
          <w:spacing w:val="-9"/>
          <w:sz w:val="24"/>
          <w:szCs w:val="24"/>
        </w:rPr>
        <w:t>据调查，料场目前处于小范围开挖取料中，启用的</w:t>
      </w:r>
      <w:r>
        <w:rPr>
          <w:spacing w:val="-36"/>
          <w:sz w:val="24"/>
          <w:szCs w:val="24"/>
        </w:rPr>
        <w:t xml:space="preserve"> </w:t>
      </w:r>
      <w:r>
        <w:rPr>
          <w:rFonts w:ascii="Times New Roman" w:hAnsi="Times New Roman" w:eastAsia="Times New Roman" w:cs="Times New Roman"/>
          <w:spacing w:val="-9"/>
          <w:sz w:val="24"/>
          <w:szCs w:val="24"/>
        </w:rPr>
        <w:t xml:space="preserve">12 </w:t>
      </w:r>
      <w:r>
        <w:rPr>
          <w:spacing w:val="-9"/>
          <w:sz w:val="24"/>
          <w:szCs w:val="24"/>
        </w:rPr>
        <w:t>个弃渣场中响水弃渣场、</w:t>
      </w:r>
      <w:r>
        <w:rPr>
          <w:spacing w:val="-4"/>
          <w:sz w:val="24"/>
          <w:szCs w:val="24"/>
        </w:rPr>
        <w:t>小水塘弃渣场等部分弃渣场已使用完毕，正处于植被恢复阶段，移民安置区</w:t>
      </w:r>
      <w:r>
        <w:rPr>
          <w:spacing w:val="-5"/>
          <w:sz w:val="24"/>
          <w:szCs w:val="24"/>
        </w:rPr>
        <w:t>植物措</w:t>
      </w:r>
      <w:r>
        <w:rPr>
          <w:spacing w:val="-4"/>
          <w:sz w:val="24"/>
          <w:szCs w:val="24"/>
        </w:rPr>
        <w:t>施已基本恢复，管道安装完成部分已基本同步完成土地复垦工作，工程弃渣按</w:t>
      </w:r>
      <w:r>
        <w:rPr>
          <w:spacing w:val="-5"/>
          <w:sz w:val="24"/>
          <w:szCs w:val="24"/>
        </w:rPr>
        <w:t>建管</w:t>
      </w:r>
      <w:r>
        <w:rPr>
          <w:spacing w:val="-1"/>
          <w:sz w:val="24"/>
          <w:szCs w:val="24"/>
        </w:rPr>
        <w:t>处要求运至指定弃渣场，未向马龙河河道弃渣。渣场植被恢复情况见图</w:t>
      </w:r>
      <w:r>
        <w:rPr>
          <w:spacing w:val="-32"/>
          <w:sz w:val="24"/>
          <w:szCs w:val="24"/>
        </w:rPr>
        <w:t xml:space="preserve"> </w:t>
      </w:r>
      <w:r>
        <w:rPr>
          <w:rFonts w:ascii="Times New Roman" w:hAnsi="Times New Roman" w:eastAsia="Times New Roman" w:cs="Times New Roman"/>
          <w:spacing w:val="-1"/>
          <w:sz w:val="24"/>
          <w:szCs w:val="24"/>
        </w:rPr>
        <w:t>5.1-8</w:t>
      </w:r>
      <w:r>
        <w:rPr>
          <w:spacing w:val="-1"/>
          <w:sz w:val="24"/>
          <w:szCs w:val="24"/>
        </w:rPr>
        <w:t>。</w:t>
      </w:r>
    </w:p>
    <w:p w14:paraId="2F2AAD9C">
      <w:pPr>
        <w:spacing w:line="314" w:lineRule="auto"/>
        <w:rPr>
          <w:sz w:val="24"/>
          <w:szCs w:val="24"/>
        </w:rPr>
        <w:sectPr>
          <w:type w:val="continuous"/>
          <w:pgSz w:w="11907" w:h="16839"/>
          <w:pgMar w:top="1376" w:right="1669" w:bottom="1061" w:left="1671" w:header="999" w:footer="861" w:gutter="0"/>
          <w:cols w:equalWidth="0" w:num="1">
            <w:col w:w="8566"/>
          </w:cols>
        </w:sectPr>
      </w:pPr>
    </w:p>
    <w:p w14:paraId="472EEB04">
      <w:pPr>
        <w:spacing w:line="2854" w:lineRule="exact"/>
        <w:ind w:firstLine="167"/>
      </w:pPr>
      <w:r>
        <w:rPr>
          <w:position w:val="-57"/>
        </w:rPr>
        <w:drawing>
          <wp:inline distT="0" distB="0" distL="0" distR="0">
            <wp:extent cx="2531745" cy="181165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367"/>
                    <a:stretch>
                      <a:fillRect/>
                    </a:stretch>
                  </pic:blipFill>
                  <pic:spPr>
                    <a:xfrm>
                      <a:off x="0" y="0"/>
                      <a:ext cx="2532125" cy="1812289"/>
                    </a:xfrm>
                    <a:prstGeom prst="rect">
                      <a:avLst/>
                    </a:prstGeom>
                  </pic:spPr>
                </pic:pic>
              </a:graphicData>
            </a:graphic>
          </wp:inline>
        </w:drawing>
      </w:r>
    </w:p>
    <w:p w14:paraId="18970153">
      <w:pPr>
        <w:pStyle w:val="2"/>
        <w:spacing w:before="41" w:line="220" w:lineRule="auto"/>
        <w:ind w:left="1325"/>
        <w:rPr>
          <w:sz w:val="24"/>
          <w:szCs w:val="24"/>
        </w:rPr>
      </w:pPr>
      <w:r>
        <w:rPr>
          <w:spacing w:val="-2"/>
          <w:sz w:val="24"/>
          <w:szCs w:val="24"/>
        </w:rPr>
        <w:t>输水隧洞弃渣场</w:t>
      </w:r>
    </w:p>
    <w:p w14:paraId="6982391E">
      <w:pPr>
        <w:spacing w:line="28" w:lineRule="auto"/>
        <w:rPr>
          <w:rFonts w:ascii="Arial"/>
          <w:sz w:val="2"/>
        </w:rPr>
      </w:pPr>
    </w:p>
    <w:p w14:paraId="35E38D71">
      <w:pPr>
        <w:spacing w:line="14" w:lineRule="auto"/>
        <w:rPr>
          <w:rFonts w:ascii="Arial"/>
          <w:sz w:val="2"/>
        </w:rPr>
      </w:pPr>
      <w:r>
        <w:rPr>
          <w:rFonts w:ascii="Arial" w:hAnsi="Arial" w:eastAsia="Arial" w:cs="Arial"/>
          <w:sz w:val="2"/>
          <w:szCs w:val="2"/>
        </w:rPr>
        <w:br w:type="column"/>
      </w:r>
    </w:p>
    <w:p w14:paraId="00091658">
      <w:pPr>
        <w:spacing w:line="2853" w:lineRule="exact"/>
      </w:pPr>
      <w:r>
        <w:rPr>
          <w:position w:val="-57"/>
        </w:rPr>
        <w:drawing>
          <wp:inline distT="0" distB="0" distL="0" distR="0">
            <wp:extent cx="2531745" cy="1811020"/>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368"/>
                    <a:stretch>
                      <a:fillRect/>
                    </a:stretch>
                  </pic:blipFill>
                  <pic:spPr>
                    <a:xfrm>
                      <a:off x="0" y="0"/>
                      <a:ext cx="2532126" cy="1811413"/>
                    </a:xfrm>
                    <a:prstGeom prst="rect">
                      <a:avLst/>
                    </a:prstGeom>
                  </pic:spPr>
                </pic:pic>
              </a:graphicData>
            </a:graphic>
          </wp:inline>
        </w:drawing>
      </w:r>
    </w:p>
    <w:p w14:paraId="70914753">
      <w:pPr>
        <w:pStyle w:val="2"/>
        <w:spacing w:before="40" w:line="220" w:lineRule="auto"/>
        <w:ind w:left="1158"/>
        <w:rPr>
          <w:sz w:val="24"/>
          <w:szCs w:val="24"/>
        </w:rPr>
      </w:pPr>
      <w:r>
        <w:rPr>
          <w:spacing w:val="-2"/>
          <w:sz w:val="24"/>
          <w:szCs w:val="24"/>
        </w:rPr>
        <w:t>输水隧洞弃渣场</w:t>
      </w:r>
    </w:p>
    <w:p w14:paraId="453C6C93">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2AE0EEDF">
      <w:pPr>
        <w:spacing w:line="83" w:lineRule="auto"/>
        <w:rPr>
          <w:rFonts w:ascii="Arial"/>
          <w:sz w:val="2"/>
        </w:rPr>
      </w:pPr>
    </w:p>
    <w:p w14:paraId="4BA4757B">
      <w:pPr>
        <w:spacing w:line="83"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736027A2">
      <w:pPr>
        <w:spacing w:line="2854" w:lineRule="exact"/>
        <w:ind w:firstLine="167"/>
      </w:pPr>
      <w:r>
        <w:rPr>
          <w:position w:val="-57"/>
        </w:rPr>
        <w:drawing>
          <wp:inline distT="0" distB="0" distL="0" distR="0">
            <wp:extent cx="2531745" cy="181165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69"/>
                    <a:stretch>
                      <a:fillRect/>
                    </a:stretch>
                  </pic:blipFill>
                  <pic:spPr>
                    <a:xfrm>
                      <a:off x="0" y="0"/>
                      <a:ext cx="2532125" cy="1812289"/>
                    </a:xfrm>
                    <a:prstGeom prst="rect">
                      <a:avLst/>
                    </a:prstGeom>
                  </pic:spPr>
                </pic:pic>
              </a:graphicData>
            </a:graphic>
          </wp:inline>
        </w:drawing>
      </w:r>
    </w:p>
    <w:p w14:paraId="798587D5">
      <w:pPr>
        <w:pStyle w:val="2"/>
        <w:spacing w:before="41" w:line="220" w:lineRule="auto"/>
        <w:ind w:left="727"/>
        <w:rPr>
          <w:sz w:val="24"/>
          <w:szCs w:val="24"/>
        </w:rPr>
      </w:pPr>
      <w:r>
        <w:rPr>
          <w:spacing w:val="-1"/>
          <w:sz w:val="24"/>
          <w:szCs w:val="24"/>
        </w:rPr>
        <w:t>移民安置区弃渣场植被恢复</w:t>
      </w:r>
    </w:p>
    <w:p w14:paraId="5F5DAE50">
      <w:pPr>
        <w:spacing w:line="36" w:lineRule="auto"/>
        <w:rPr>
          <w:rFonts w:ascii="Arial"/>
          <w:sz w:val="2"/>
        </w:rPr>
      </w:pPr>
    </w:p>
    <w:p w14:paraId="2A735469">
      <w:pPr>
        <w:spacing w:line="14" w:lineRule="auto"/>
        <w:rPr>
          <w:rFonts w:ascii="Arial"/>
          <w:sz w:val="2"/>
        </w:rPr>
      </w:pPr>
      <w:r>
        <w:rPr>
          <w:rFonts w:ascii="Arial" w:hAnsi="Arial" w:eastAsia="Arial" w:cs="Arial"/>
          <w:sz w:val="2"/>
          <w:szCs w:val="2"/>
        </w:rPr>
        <w:br w:type="column"/>
      </w:r>
    </w:p>
    <w:p w14:paraId="08F0A1BF">
      <w:pPr>
        <w:spacing w:line="2852" w:lineRule="exact"/>
      </w:pPr>
      <w:r>
        <w:rPr>
          <w:position w:val="-57"/>
        </w:rPr>
        <w:drawing>
          <wp:inline distT="0" distB="0" distL="0" distR="0">
            <wp:extent cx="2531745" cy="181102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370"/>
                    <a:stretch>
                      <a:fillRect/>
                    </a:stretch>
                  </pic:blipFill>
                  <pic:spPr>
                    <a:xfrm>
                      <a:off x="0" y="0"/>
                      <a:ext cx="2532126" cy="1811413"/>
                    </a:xfrm>
                    <a:prstGeom prst="rect">
                      <a:avLst/>
                    </a:prstGeom>
                  </pic:spPr>
                </pic:pic>
              </a:graphicData>
            </a:graphic>
          </wp:inline>
        </w:drawing>
      </w:r>
    </w:p>
    <w:p w14:paraId="5CC770F2">
      <w:pPr>
        <w:pStyle w:val="2"/>
        <w:spacing w:before="43" w:line="220" w:lineRule="auto"/>
        <w:ind w:left="920"/>
        <w:rPr>
          <w:sz w:val="24"/>
          <w:szCs w:val="24"/>
        </w:rPr>
      </w:pPr>
      <w:r>
        <w:rPr>
          <w:spacing w:val="-2"/>
          <w:sz w:val="24"/>
          <w:szCs w:val="24"/>
        </w:rPr>
        <w:t>移民安置区渣场恢复</w:t>
      </w:r>
    </w:p>
    <w:p w14:paraId="1E7F71CE">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4DDC1A13">
      <w:pPr>
        <w:spacing w:before="135" w:line="198" w:lineRule="auto"/>
        <w:ind w:left="2398"/>
        <w:rPr>
          <w:rFonts w:ascii="黑体" w:hAnsi="黑体" w:eastAsia="黑体" w:cs="黑体"/>
          <w:sz w:val="24"/>
          <w:szCs w:val="24"/>
        </w:rPr>
      </w:pPr>
      <w:r>
        <w:rPr>
          <w:rFonts w:ascii="黑体" w:hAnsi="黑体" w:eastAsia="黑体" w:cs="黑体"/>
          <w:b/>
          <w:bCs/>
          <w:spacing w:val="-2"/>
          <w:sz w:val="24"/>
          <w:szCs w:val="24"/>
        </w:rPr>
        <w:t>图</w:t>
      </w:r>
      <w:r>
        <w:rPr>
          <w:rFonts w:ascii="黑体" w:hAnsi="黑体" w:eastAsia="黑体" w:cs="黑体"/>
          <w:spacing w:val="-38"/>
          <w:sz w:val="24"/>
          <w:szCs w:val="24"/>
        </w:rPr>
        <w:t xml:space="preserve"> </w:t>
      </w:r>
      <w:r>
        <w:rPr>
          <w:rFonts w:ascii="Times New Roman" w:hAnsi="Times New Roman" w:eastAsia="Times New Roman" w:cs="Times New Roman"/>
          <w:b/>
          <w:bCs/>
          <w:spacing w:val="-2"/>
          <w:sz w:val="24"/>
          <w:szCs w:val="24"/>
        </w:rPr>
        <w:t xml:space="preserve">5.1.8      </w:t>
      </w:r>
      <w:r>
        <w:rPr>
          <w:rFonts w:ascii="黑体" w:hAnsi="黑体" w:eastAsia="黑体" w:cs="黑体"/>
          <w:b/>
          <w:bCs/>
          <w:spacing w:val="-2"/>
          <w:sz w:val="24"/>
          <w:szCs w:val="24"/>
        </w:rPr>
        <w:t>施工期渣场植被恢复状况</w:t>
      </w:r>
    </w:p>
    <w:p w14:paraId="6063CDF5">
      <w:pPr>
        <w:spacing w:line="198" w:lineRule="auto"/>
        <w:rPr>
          <w:rFonts w:ascii="黑体" w:hAnsi="黑体" w:eastAsia="黑体" w:cs="黑体"/>
          <w:sz w:val="24"/>
          <w:szCs w:val="24"/>
        </w:rPr>
        <w:sectPr>
          <w:type w:val="continuous"/>
          <w:pgSz w:w="11907" w:h="16839"/>
          <w:pgMar w:top="1376" w:right="1669" w:bottom="1061" w:left="1671" w:header="999" w:footer="861" w:gutter="0"/>
          <w:cols w:equalWidth="0" w:num="1">
            <w:col w:w="8566"/>
          </w:cols>
        </w:sectPr>
      </w:pPr>
    </w:p>
    <w:p w14:paraId="60DB4361">
      <w:pPr>
        <w:spacing w:line="412" w:lineRule="auto"/>
        <w:rPr>
          <w:rFonts w:ascii="Arial"/>
          <w:sz w:val="21"/>
        </w:rPr>
      </w:pPr>
    </w:p>
    <w:p w14:paraId="7F99C861">
      <w:pPr>
        <w:pStyle w:val="2"/>
        <w:spacing w:before="88" w:line="226" w:lineRule="auto"/>
        <w:ind w:left="35"/>
        <w:rPr>
          <w:sz w:val="27"/>
          <w:szCs w:val="27"/>
        </w:rPr>
      </w:pPr>
      <w:r>
        <w:rPr>
          <w:rFonts w:ascii="Arial" w:hAnsi="Arial" w:eastAsia="Arial" w:cs="Arial"/>
          <w:spacing w:val="9"/>
          <w:position w:val="2"/>
          <w:sz w:val="21"/>
          <w:szCs w:val="21"/>
        </w:rPr>
        <w:t>5.1.5</w:t>
      </w:r>
      <w:r>
        <w:rPr>
          <w:rFonts w:ascii="Arial" w:hAnsi="Arial" w:eastAsia="Arial" w:cs="Arial"/>
          <w:spacing w:val="2"/>
          <w:position w:val="2"/>
          <w:sz w:val="21"/>
          <w:szCs w:val="21"/>
        </w:rPr>
        <w:t xml:space="preserve">     </w:t>
      </w:r>
      <w:r>
        <w:rPr>
          <w:b/>
          <w:bCs/>
          <w:spacing w:val="9"/>
          <w:sz w:val="27"/>
          <w:szCs w:val="27"/>
        </w:rPr>
        <w:t>水库径流区污染源治理工程</w:t>
      </w:r>
    </w:p>
    <w:p w14:paraId="03BEDFD7">
      <w:pPr>
        <w:pStyle w:val="2"/>
        <w:spacing w:before="262" w:line="220" w:lineRule="auto"/>
        <w:ind w:left="34"/>
        <w:rPr>
          <w:sz w:val="24"/>
          <w:szCs w:val="24"/>
        </w:rPr>
      </w:pPr>
      <w:r>
        <w:rPr>
          <w:rFonts w:ascii="Arial" w:hAnsi="Arial" w:eastAsia="Arial" w:cs="Arial"/>
          <w:spacing w:val="3"/>
          <w:position w:val="1"/>
          <w:sz w:val="18"/>
          <w:szCs w:val="18"/>
        </w:rPr>
        <w:t xml:space="preserve">5.1.5.1  </w:t>
      </w:r>
      <w:r>
        <w:rPr>
          <w:b/>
          <w:bCs/>
          <w:spacing w:val="3"/>
          <w:position w:val="-1"/>
          <w:sz w:val="24"/>
          <w:szCs w:val="24"/>
        </w:rPr>
        <w:t>马龙河旁路系统工程</w:t>
      </w:r>
    </w:p>
    <w:p w14:paraId="517AD518">
      <w:pPr>
        <w:pStyle w:val="2"/>
        <w:spacing w:before="272" w:line="337" w:lineRule="auto"/>
        <w:ind w:left="41" w:right="28" w:firstLine="477"/>
        <w:jc w:val="both"/>
        <w:rPr>
          <w:sz w:val="24"/>
          <w:szCs w:val="24"/>
        </w:rPr>
      </w:pPr>
      <w:r>
        <w:rPr>
          <w:spacing w:val="-4"/>
          <w:sz w:val="24"/>
          <w:szCs w:val="24"/>
        </w:rPr>
        <w:t>在“源头减排、过程控源和末端修复”的治理思路下，环评</w:t>
      </w:r>
      <w:r>
        <w:rPr>
          <w:spacing w:val="-5"/>
          <w:sz w:val="24"/>
          <w:szCs w:val="24"/>
        </w:rPr>
        <w:t>阶段设计了库周及</w:t>
      </w:r>
      <w:r>
        <w:rPr>
          <w:spacing w:val="-4"/>
          <w:sz w:val="24"/>
          <w:szCs w:val="24"/>
        </w:rPr>
        <w:t>上游汇水范围污染源治理措施，即在马龙河、车章河和白塔河入库末端</w:t>
      </w:r>
      <w:r>
        <w:rPr>
          <w:spacing w:val="-5"/>
          <w:sz w:val="24"/>
          <w:szCs w:val="24"/>
        </w:rPr>
        <w:t>设置旁路系</w:t>
      </w:r>
      <w:r>
        <w:rPr>
          <w:sz w:val="24"/>
          <w:szCs w:val="24"/>
        </w:rPr>
        <w:t xml:space="preserve">统，环评报告书阶段马龙河人工湿地处理能力为 </w:t>
      </w:r>
      <w:r>
        <w:rPr>
          <w:rFonts w:ascii="Times New Roman" w:hAnsi="Times New Roman" w:eastAsia="Times New Roman" w:cs="Times New Roman"/>
          <w:sz w:val="24"/>
          <w:szCs w:val="24"/>
        </w:rPr>
        <w:t>100000m</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/d</w:t>
      </w:r>
      <w:r>
        <w:rPr>
          <w:sz w:val="24"/>
          <w:szCs w:val="24"/>
        </w:rPr>
        <w:t>，车章河人工湿地处</w:t>
      </w:r>
      <w:r>
        <w:rPr>
          <w:spacing w:val="-2"/>
          <w:sz w:val="24"/>
          <w:szCs w:val="24"/>
        </w:rPr>
        <w:t xml:space="preserve">理能力为平均 </w:t>
      </w:r>
      <w:r>
        <w:rPr>
          <w:rFonts w:ascii="Times New Roman" w:hAnsi="Times New Roman" w:eastAsia="Times New Roman" w:cs="Times New Roman"/>
          <w:spacing w:val="-2"/>
          <w:sz w:val="24"/>
          <w:szCs w:val="24"/>
        </w:rPr>
        <w:t>10000m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，白塔河人工湿</w:t>
      </w:r>
      <w:r>
        <w:rPr>
          <w:spacing w:val="-3"/>
          <w:sz w:val="24"/>
          <w:szCs w:val="24"/>
        </w:rPr>
        <w:t xml:space="preserve">地处理能力为平均 </w:t>
      </w:r>
      <w:r>
        <w:rPr>
          <w:rFonts w:ascii="Times New Roman" w:hAnsi="Times New Roman" w:eastAsia="Times New Roman" w:cs="Times New Roman"/>
          <w:spacing w:val="-3"/>
          <w:sz w:val="24"/>
          <w:szCs w:val="24"/>
        </w:rPr>
        <w:t>10000m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/d</w:t>
      </w:r>
      <w:r>
        <w:rPr>
          <w:rFonts w:ascii="Times New Roman" w:hAnsi="Times New Roman" w:eastAsia="Times New Roman" w:cs="Times New Roman"/>
          <w:spacing w:val="-28"/>
          <w:sz w:val="24"/>
          <w:szCs w:val="24"/>
        </w:rPr>
        <w:t xml:space="preserve"> </w:t>
      </w:r>
      <w:r>
        <w:rPr>
          <w:spacing w:val="-3"/>
          <w:sz w:val="24"/>
          <w:szCs w:val="24"/>
        </w:rPr>
        <w:t>。处理系统</w:t>
      </w:r>
      <w:r>
        <w:rPr>
          <w:spacing w:val="-2"/>
          <w:sz w:val="24"/>
          <w:szCs w:val="24"/>
        </w:rPr>
        <w:t>以挺水植物表面流湿地为主体，组合少量氧化塘。</w:t>
      </w:r>
    </w:p>
    <w:p w14:paraId="41613AF2">
      <w:pPr>
        <w:pStyle w:val="2"/>
        <w:spacing w:before="15" w:line="339" w:lineRule="auto"/>
        <w:ind w:left="38" w:right="30" w:firstLine="484"/>
        <w:rPr>
          <w:sz w:val="24"/>
          <w:szCs w:val="24"/>
        </w:rPr>
      </w:pPr>
      <w:r>
        <w:rPr>
          <w:spacing w:val="-4"/>
          <w:sz w:val="24"/>
          <w:szCs w:val="24"/>
        </w:rPr>
        <w:t>设计单位在对现场实地调查，从工程占地、水</w:t>
      </w:r>
      <w:r>
        <w:rPr>
          <w:spacing w:val="-5"/>
          <w:sz w:val="24"/>
          <w:szCs w:val="24"/>
        </w:rPr>
        <w:t>质净化效果、地形、水库运行及</w:t>
      </w:r>
      <w:r>
        <w:rPr>
          <w:spacing w:val="-4"/>
          <w:sz w:val="24"/>
          <w:szCs w:val="24"/>
        </w:rPr>
        <w:t>河道防洪、库尾现有防护工程等因素综合比选，经云南省水利水电工程技术</w:t>
      </w:r>
      <w:r>
        <w:rPr>
          <w:spacing w:val="-5"/>
          <w:sz w:val="24"/>
          <w:szCs w:val="24"/>
        </w:rPr>
        <w:t>评审中</w:t>
      </w:r>
      <w:r>
        <w:rPr>
          <w:spacing w:val="-3"/>
          <w:sz w:val="24"/>
          <w:szCs w:val="24"/>
        </w:rPr>
        <w:t>心专家多次讨论和云南省水利水电勘测设计研究院多次修改完善后，于</w:t>
      </w:r>
      <w:r>
        <w:rPr>
          <w:spacing w:val="-54"/>
          <w:sz w:val="24"/>
          <w:szCs w:val="24"/>
        </w:rPr>
        <w:t xml:space="preserve"> </w:t>
      </w:r>
      <w:r>
        <w:rPr>
          <w:rFonts w:ascii="Times New Roman" w:hAnsi="Times New Roman" w:eastAsia="Times New Roman" w:cs="Times New Roman"/>
          <w:spacing w:val="-3"/>
          <w:sz w:val="24"/>
          <w:szCs w:val="24"/>
        </w:rPr>
        <w:t xml:space="preserve">2021 </w:t>
      </w:r>
      <w:r>
        <w:rPr>
          <w:spacing w:val="-3"/>
          <w:sz w:val="24"/>
          <w:szCs w:val="24"/>
        </w:rPr>
        <w:t>年</w:t>
      </w:r>
      <w:r>
        <w:rPr>
          <w:spacing w:val="-32"/>
          <w:sz w:val="24"/>
          <w:szCs w:val="24"/>
        </w:rPr>
        <w:t xml:space="preserve"> </w:t>
      </w:r>
      <w:r>
        <w:rPr>
          <w:rFonts w:ascii="Times New Roman" w:hAnsi="Times New Roman" w:eastAsia="Times New Roman" w:cs="Times New Roman"/>
          <w:spacing w:val="-4"/>
          <w:sz w:val="24"/>
          <w:szCs w:val="24"/>
        </w:rPr>
        <w:t>12</w:t>
      </w:r>
      <w:r>
        <w:rPr>
          <w:spacing w:val="-2"/>
          <w:sz w:val="24"/>
          <w:szCs w:val="24"/>
        </w:rPr>
        <w:t>月</w:t>
      </w:r>
      <w:r>
        <w:rPr>
          <w:spacing w:val="-51"/>
          <w:sz w:val="24"/>
          <w:szCs w:val="24"/>
        </w:rPr>
        <w:t xml:space="preserve"> </w:t>
      </w:r>
      <w:r>
        <w:rPr>
          <w:rFonts w:ascii="Times New Roman" w:hAnsi="Times New Roman" w:eastAsia="Times New Roman" w:cs="Times New Roman"/>
          <w:spacing w:val="-2"/>
          <w:sz w:val="24"/>
          <w:szCs w:val="24"/>
        </w:rPr>
        <w:t>31</w:t>
      </w:r>
      <w:r>
        <w:rPr>
          <w:rFonts w:ascii="Times New Roman" w:hAnsi="Times New Roman" w:eastAsia="Times New Roman" w:cs="Times New Roman"/>
          <w:spacing w:val="51"/>
          <w:w w:val="101"/>
          <w:sz w:val="24"/>
          <w:szCs w:val="24"/>
        </w:rPr>
        <w:t xml:space="preserve"> </w:t>
      </w:r>
      <w:r>
        <w:rPr>
          <w:spacing w:val="-2"/>
          <w:sz w:val="24"/>
          <w:szCs w:val="24"/>
        </w:rPr>
        <w:t>日通过专家评审，并取得云南省水利厅《关</w:t>
      </w:r>
      <w:r>
        <w:rPr>
          <w:spacing w:val="-3"/>
          <w:sz w:val="24"/>
          <w:szCs w:val="24"/>
        </w:rPr>
        <w:t>于印送曲靖市车马碧水库旁路系</w:t>
      </w:r>
      <w:r>
        <w:rPr>
          <w:spacing w:val="-16"/>
          <w:sz w:val="24"/>
          <w:szCs w:val="24"/>
        </w:rPr>
        <w:t>统工程专项设计报告评审意见的通知》（云水建管〔</w:t>
      </w:r>
      <w:r>
        <w:rPr>
          <w:rFonts w:ascii="Times New Roman" w:hAnsi="Times New Roman" w:eastAsia="Times New Roman" w:cs="Times New Roman"/>
          <w:spacing w:val="-16"/>
          <w:sz w:val="24"/>
          <w:szCs w:val="24"/>
        </w:rPr>
        <w:t>2022</w:t>
      </w:r>
      <w:r>
        <w:rPr>
          <w:spacing w:val="-16"/>
          <w:sz w:val="24"/>
          <w:szCs w:val="24"/>
        </w:rPr>
        <w:t>〕</w:t>
      </w:r>
      <w:r>
        <w:rPr>
          <w:rFonts w:ascii="Times New Roman" w:hAnsi="Times New Roman" w:eastAsia="Times New Roman" w:cs="Times New Roman"/>
          <w:spacing w:val="-16"/>
          <w:sz w:val="24"/>
          <w:szCs w:val="24"/>
        </w:rPr>
        <w:t>2</w:t>
      </w:r>
      <w:r>
        <w:rPr>
          <w:rFonts w:ascii="Times New Roman" w:hAnsi="Times New Roman" w:eastAsia="Times New Roman" w:cs="Times New Roman"/>
          <w:spacing w:val="19"/>
          <w:sz w:val="24"/>
          <w:szCs w:val="24"/>
        </w:rPr>
        <w:t xml:space="preserve"> </w:t>
      </w:r>
      <w:r>
        <w:rPr>
          <w:spacing w:val="-16"/>
          <w:sz w:val="24"/>
          <w:szCs w:val="24"/>
        </w:rPr>
        <w:t>号）。最终方案确定为：</w:t>
      </w:r>
      <w:r>
        <w:rPr>
          <w:sz w:val="24"/>
          <w:szCs w:val="24"/>
        </w:rPr>
        <w:t xml:space="preserve">取消建设车章河旁路系统，马龙河系统处理规模调整为 </w:t>
      </w:r>
      <w:r>
        <w:rPr>
          <w:rFonts w:ascii="Times New Roman" w:hAnsi="Times New Roman" w:eastAsia="Times New Roman" w:cs="Times New Roman"/>
          <w:sz w:val="24"/>
          <w:szCs w:val="24"/>
        </w:rPr>
        <w:t>8000m</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/d</w:t>
      </w:r>
      <w:r>
        <w:rPr>
          <w:sz w:val="24"/>
          <w:szCs w:val="24"/>
        </w:rPr>
        <w:t>，白塔河系统处</w:t>
      </w:r>
      <w:r>
        <w:rPr>
          <w:spacing w:val="-4"/>
          <w:sz w:val="24"/>
          <w:szCs w:val="24"/>
        </w:rPr>
        <w:t>理规模调整为</w:t>
      </w:r>
      <w:r>
        <w:rPr>
          <w:spacing w:val="-50"/>
          <w:sz w:val="24"/>
          <w:szCs w:val="24"/>
        </w:rPr>
        <w:t xml:space="preserve"> </w:t>
      </w:r>
      <w:r>
        <w:rPr>
          <w:rFonts w:ascii="Times New Roman" w:hAnsi="Times New Roman" w:eastAsia="Times New Roman" w:cs="Times New Roman"/>
          <w:spacing w:val="-4"/>
          <w:sz w:val="24"/>
          <w:szCs w:val="24"/>
        </w:rPr>
        <w:t>6000m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，处理工艺采用“塘</w:t>
      </w:r>
      <w:r>
        <w:rPr>
          <w:rFonts w:ascii="Times New Roman" w:hAnsi="Times New Roman" w:eastAsia="Times New Roman" w:cs="Times New Roman"/>
          <w:spacing w:val="-4"/>
          <w:sz w:val="24"/>
          <w:szCs w:val="24"/>
        </w:rPr>
        <w:t>+</w:t>
      </w:r>
      <w:r>
        <w:rPr>
          <w:spacing w:val="-4"/>
          <w:sz w:val="24"/>
          <w:szCs w:val="24"/>
        </w:rPr>
        <w:t>表流湿地”，目前正</w:t>
      </w:r>
      <w:r>
        <w:rPr>
          <w:spacing w:val="-5"/>
          <w:sz w:val="24"/>
          <w:szCs w:val="24"/>
        </w:rPr>
        <w:t>在施工招标。</w:t>
      </w:r>
    </w:p>
    <w:p w14:paraId="15C41424">
      <w:pPr>
        <w:pStyle w:val="2"/>
        <w:spacing w:before="112" w:line="220" w:lineRule="auto"/>
        <w:ind w:left="34"/>
        <w:rPr>
          <w:sz w:val="24"/>
          <w:szCs w:val="24"/>
        </w:rPr>
      </w:pPr>
      <w:r>
        <w:rPr>
          <w:rFonts w:ascii="Arial" w:hAnsi="Arial" w:eastAsia="Arial" w:cs="Arial"/>
          <w:spacing w:val="4"/>
          <w:position w:val="1"/>
          <w:sz w:val="18"/>
          <w:szCs w:val="18"/>
        </w:rPr>
        <w:t>5.1.5.2</w:t>
      </w:r>
      <w:r>
        <w:rPr>
          <w:rFonts w:ascii="Arial" w:hAnsi="Arial" w:eastAsia="Arial" w:cs="Arial"/>
          <w:spacing w:val="41"/>
          <w:position w:val="1"/>
          <w:sz w:val="18"/>
          <w:szCs w:val="18"/>
        </w:rPr>
        <w:t xml:space="preserve"> </w:t>
      </w:r>
      <w:r>
        <w:rPr>
          <w:b/>
          <w:bCs/>
          <w:spacing w:val="4"/>
          <w:position w:val="-1"/>
          <w:sz w:val="24"/>
          <w:szCs w:val="24"/>
        </w:rPr>
        <w:t>安置点污染防治工程</w:t>
      </w:r>
    </w:p>
    <w:p w14:paraId="2ED31B2B">
      <w:pPr>
        <w:pStyle w:val="2"/>
        <w:spacing w:before="275" w:line="336" w:lineRule="auto"/>
        <w:ind w:left="38" w:right="30" w:firstLine="480"/>
        <w:jc w:val="both"/>
        <w:rPr>
          <w:sz w:val="24"/>
          <w:szCs w:val="24"/>
        </w:rPr>
      </w:pPr>
      <w:r>
        <w:rPr>
          <w:spacing w:val="-1"/>
          <w:sz w:val="24"/>
          <w:szCs w:val="24"/>
        </w:rPr>
        <w:t xml:space="preserve">根据调查，车马碧水库工程共实施完成 </w:t>
      </w:r>
      <w:r>
        <w:rPr>
          <w:rFonts w:ascii="Times New Roman" w:hAnsi="Times New Roman" w:eastAsia="Times New Roman" w:cs="Times New Roman"/>
          <w:spacing w:val="-1"/>
          <w:sz w:val="24"/>
          <w:szCs w:val="24"/>
        </w:rPr>
        <w:t xml:space="preserve">9  </w:t>
      </w:r>
      <w:r>
        <w:rPr>
          <w:spacing w:val="-1"/>
          <w:sz w:val="24"/>
          <w:szCs w:val="24"/>
        </w:rPr>
        <w:t>个集中安置点基础设施建设，完成</w:t>
      </w:r>
      <w:r>
        <w:rPr>
          <w:spacing w:val="-4"/>
          <w:sz w:val="24"/>
          <w:szCs w:val="24"/>
        </w:rPr>
        <w:t>搬迁安置</w:t>
      </w:r>
      <w:r>
        <w:rPr>
          <w:spacing w:val="-41"/>
          <w:sz w:val="24"/>
          <w:szCs w:val="24"/>
        </w:rPr>
        <w:t xml:space="preserve"> </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15"/>
          <w:w w:val="101"/>
          <w:sz w:val="24"/>
          <w:szCs w:val="24"/>
        </w:rPr>
        <w:t xml:space="preserve"> </w:t>
      </w:r>
      <w:r>
        <w:rPr>
          <w:spacing w:val="-4"/>
          <w:sz w:val="24"/>
          <w:szCs w:val="24"/>
        </w:rPr>
        <w:t>户</w:t>
      </w:r>
      <w:r>
        <w:rPr>
          <w:spacing w:val="-51"/>
          <w:sz w:val="24"/>
          <w:szCs w:val="24"/>
        </w:rPr>
        <w:t xml:space="preserve"> </w:t>
      </w:r>
      <w:r>
        <w:rPr>
          <w:rFonts w:ascii="Times New Roman" w:hAnsi="Times New Roman" w:eastAsia="Times New Roman" w:cs="Times New Roman"/>
          <w:spacing w:val="-4"/>
          <w:sz w:val="24"/>
          <w:szCs w:val="24"/>
        </w:rPr>
        <w:t>2125</w:t>
      </w:r>
      <w:r>
        <w:rPr>
          <w:rFonts w:ascii="Times New Roman" w:hAnsi="Times New Roman" w:eastAsia="Times New Roman" w:cs="Times New Roman"/>
          <w:spacing w:val="16"/>
          <w:w w:val="101"/>
          <w:sz w:val="24"/>
          <w:szCs w:val="24"/>
        </w:rPr>
        <w:t xml:space="preserve"> </w:t>
      </w:r>
      <w:r>
        <w:rPr>
          <w:spacing w:val="-4"/>
          <w:sz w:val="24"/>
          <w:szCs w:val="24"/>
        </w:rPr>
        <w:t>人。</w:t>
      </w:r>
      <w:r>
        <w:rPr>
          <w:rFonts w:ascii="Times New Roman" w:hAnsi="Times New Roman" w:eastAsia="Times New Roman" w:cs="Times New Roman"/>
          <w:spacing w:val="-4"/>
          <w:sz w:val="24"/>
          <w:szCs w:val="24"/>
        </w:rPr>
        <w:t>2021</w:t>
      </w:r>
      <w:r>
        <w:rPr>
          <w:rFonts w:ascii="Times New Roman" w:hAnsi="Times New Roman" w:eastAsia="Times New Roman" w:cs="Times New Roman"/>
          <w:spacing w:val="15"/>
          <w:w w:val="101"/>
          <w:sz w:val="24"/>
          <w:szCs w:val="24"/>
        </w:rPr>
        <w:t xml:space="preserve"> </w:t>
      </w:r>
      <w:r>
        <w:rPr>
          <w:spacing w:val="-4"/>
          <w:sz w:val="24"/>
          <w:szCs w:val="24"/>
        </w:rPr>
        <w:t>年</w:t>
      </w:r>
      <w:r>
        <w:rPr>
          <w:spacing w:val="-27"/>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20"/>
          <w:sz w:val="24"/>
          <w:szCs w:val="24"/>
        </w:rPr>
        <w:t xml:space="preserve"> </w:t>
      </w:r>
      <w:r>
        <w:rPr>
          <w:spacing w:val="-4"/>
          <w:sz w:val="24"/>
          <w:szCs w:val="24"/>
        </w:rPr>
        <w:t>月</w:t>
      </w:r>
      <w:r>
        <w:rPr>
          <w:spacing w:val="-51"/>
          <w:sz w:val="24"/>
          <w:szCs w:val="24"/>
        </w:rPr>
        <w:t xml:space="preserve">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56"/>
          <w:sz w:val="24"/>
          <w:szCs w:val="24"/>
        </w:rPr>
        <w:t xml:space="preserve"> </w:t>
      </w:r>
      <w:r>
        <w:rPr>
          <w:spacing w:val="-4"/>
          <w:sz w:val="24"/>
          <w:szCs w:val="24"/>
        </w:rPr>
        <w:t>日已通过建设征地移民安置终验委员会</w:t>
      </w:r>
      <w:r>
        <w:rPr>
          <w:spacing w:val="-1"/>
          <w:sz w:val="24"/>
          <w:szCs w:val="24"/>
        </w:rPr>
        <w:t>验收。</w:t>
      </w:r>
      <w:r>
        <w:rPr>
          <w:rFonts w:ascii="Times New Roman" w:hAnsi="Times New Roman" w:eastAsia="Times New Roman" w:cs="Times New Roman"/>
          <w:spacing w:val="-1"/>
          <w:sz w:val="24"/>
          <w:szCs w:val="24"/>
        </w:rPr>
        <w:t>9</w:t>
      </w:r>
      <w:r>
        <w:rPr>
          <w:rFonts w:ascii="Times New Roman" w:hAnsi="Times New Roman" w:eastAsia="Times New Roman" w:cs="Times New Roman"/>
          <w:spacing w:val="55"/>
          <w:w w:val="101"/>
          <w:sz w:val="24"/>
          <w:szCs w:val="24"/>
        </w:rPr>
        <w:t xml:space="preserve"> </w:t>
      </w:r>
      <w:r>
        <w:rPr>
          <w:spacing w:val="-1"/>
          <w:sz w:val="24"/>
          <w:szCs w:val="24"/>
        </w:rPr>
        <w:t>个安置点均单独建设了污水处理站，采用“氧化塘</w:t>
      </w:r>
      <w:r>
        <w:rPr>
          <w:rFonts w:ascii="Times New Roman" w:hAnsi="Times New Roman" w:eastAsia="Times New Roman" w:cs="Times New Roman"/>
          <w:spacing w:val="-1"/>
          <w:sz w:val="24"/>
          <w:szCs w:val="24"/>
        </w:rPr>
        <w:t>+</w:t>
      </w:r>
      <w:r>
        <w:rPr>
          <w:spacing w:val="-1"/>
          <w:sz w:val="24"/>
          <w:szCs w:val="24"/>
        </w:rPr>
        <w:t>快渗池”处理工艺，出水稳定达到一级</w:t>
      </w:r>
      <w:r>
        <w:rPr>
          <w:spacing w:val="-19"/>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36"/>
          <w:sz w:val="24"/>
          <w:szCs w:val="24"/>
        </w:rPr>
        <w:t xml:space="preserve"> </w:t>
      </w:r>
      <w:r>
        <w:rPr>
          <w:spacing w:val="-1"/>
          <w:sz w:val="24"/>
          <w:szCs w:val="24"/>
        </w:rPr>
        <w:t>标，用于农田灌溉。各村配套生活垃圾集运设施，由所在地</w:t>
      </w:r>
      <w:r>
        <w:rPr>
          <w:spacing w:val="-3"/>
          <w:sz w:val="24"/>
          <w:szCs w:val="24"/>
        </w:rPr>
        <w:t>环卫部门定期清理，统一清运。</w:t>
      </w:r>
    </w:p>
    <w:p w14:paraId="4FDF3597">
      <w:pPr>
        <w:pStyle w:val="2"/>
        <w:spacing w:before="15" w:line="233" w:lineRule="auto"/>
        <w:ind w:left="524"/>
        <w:rPr>
          <w:sz w:val="24"/>
          <w:szCs w:val="24"/>
        </w:rPr>
      </w:pPr>
      <w:r>
        <w:rPr>
          <w:spacing w:val="-1"/>
          <w:sz w:val="24"/>
          <w:szCs w:val="24"/>
        </w:rPr>
        <w:t>安置点污水处理设施和生活垃圾处理措施见图</w:t>
      </w:r>
      <w:r>
        <w:rPr>
          <w:spacing w:val="-49"/>
          <w:sz w:val="24"/>
          <w:szCs w:val="24"/>
        </w:rPr>
        <w:t xml:space="preserve"> </w:t>
      </w:r>
      <w:r>
        <w:rPr>
          <w:rFonts w:ascii="Times New Roman" w:hAnsi="Times New Roman" w:eastAsia="Times New Roman" w:cs="Times New Roman"/>
          <w:spacing w:val="-1"/>
          <w:sz w:val="24"/>
          <w:szCs w:val="24"/>
        </w:rPr>
        <w:t>5.1-9</w:t>
      </w:r>
      <w:r>
        <w:rPr>
          <w:spacing w:val="-1"/>
          <w:sz w:val="24"/>
          <w:szCs w:val="24"/>
        </w:rPr>
        <w:t>。</w:t>
      </w:r>
    </w:p>
    <w:p w14:paraId="3E2C4B0B">
      <w:pPr>
        <w:spacing w:line="233" w:lineRule="auto"/>
        <w:rPr>
          <w:sz w:val="24"/>
          <w:szCs w:val="24"/>
        </w:rPr>
        <w:sectPr>
          <w:footerReference r:id="rId99" w:type="default"/>
          <w:pgSz w:w="11907" w:h="16839"/>
          <w:pgMar w:top="1376" w:right="1669" w:bottom="1061" w:left="1671" w:header="999" w:footer="861" w:gutter="0"/>
          <w:cols w:space="720" w:num="1"/>
        </w:sectPr>
      </w:pPr>
    </w:p>
    <w:p w14:paraId="24399F3B">
      <w:pPr>
        <w:spacing w:before="168"/>
      </w:pPr>
    </w:p>
    <w:p w14:paraId="738DBC89">
      <w:pPr>
        <w:sectPr>
          <w:footerReference r:id="rId100" w:type="default"/>
          <w:pgSz w:w="11907" w:h="16839"/>
          <w:pgMar w:top="1376" w:right="1669" w:bottom="1061" w:left="1671" w:header="999" w:footer="861" w:gutter="0"/>
          <w:cols w:equalWidth="0" w:num="1">
            <w:col w:w="8566"/>
          </w:cols>
        </w:sectPr>
      </w:pPr>
    </w:p>
    <w:p w14:paraId="0C8D85E8">
      <w:pPr>
        <w:spacing w:line="2854" w:lineRule="exact"/>
        <w:ind w:firstLine="167"/>
      </w:pPr>
      <w:r>
        <w:rPr>
          <w:position w:val="-57"/>
        </w:rPr>
        <w:drawing>
          <wp:inline distT="0" distB="0" distL="0" distR="0">
            <wp:extent cx="2531745" cy="181229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371"/>
                    <a:stretch>
                      <a:fillRect/>
                    </a:stretch>
                  </pic:blipFill>
                  <pic:spPr>
                    <a:xfrm>
                      <a:off x="0" y="0"/>
                      <a:ext cx="2532125" cy="1812290"/>
                    </a:xfrm>
                    <a:prstGeom prst="rect">
                      <a:avLst/>
                    </a:prstGeom>
                  </pic:spPr>
                </pic:pic>
              </a:graphicData>
            </a:graphic>
          </wp:inline>
        </w:drawing>
      </w:r>
    </w:p>
    <w:p w14:paraId="3C321FA5">
      <w:pPr>
        <w:pStyle w:val="2"/>
        <w:spacing w:before="41" w:line="219" w:lineRule="auto"/>
        <w:ind w:left="1121"/>
        <w:rPr>
          <w:sz w:val="24"/>
          <w:szCs w:val="24"/>
        </w:rPr>
      </w:pPr>
      <w:r>
        <w:rPr>
          <w:spacing w:val="-5"/>
          <w:sz w:val="24"/>
          <w:szCs w:val="24"/>
        </w:rPr>
        <w:t>白塔村污水处理设施</w:t>
      </w:r>
    </w:p>
    <w:p w14:paraId="20AD0D4F">
      <w:pPr>
        <w:spacing w:line="37" w:lineRule="auto"/>
        <w:rPr>
          <w:rFonts w:ascii="Arial"/>
          <w:sz w:val="2"/>
        </w:rPr>
      </w:pPr>
    </w:p>
    <w:p w14:paraId="1B040CD9">
      <w:pPr>
        <w:spacing w:line="14" w:lineRule="auto"/>
        <w:rPr>
          <w:rFonts w:ascii="Arial"/>
          <w:sz w:val="2"/>
        </w:rPr>
      </w:pPr>
      <w:r>
        <w:rPr>
          <w:rFonts w:ascii="Arial" w:hAnsi="Arial" w:eastAsia="Arial" w:cs="Arial"/>
          <w:sz w:val="2"/>
          <w:szCs w:val="2"/>
        </w:rPr>
        <w:br w:type="column"/>
      </w:r>
    </w:p>
    <w:p w14:paraId="3A9FC57A">
      <w:pPr>
        <w:spacing w:line="2852" w:lineRule="exact"/>
      </w:pPr>
      <w:r>
        <w:rPr>
          <w:position w:val="-57"/>
        </w:rPr>
        <w:drawing>
          <wp:inline distT="0" distB="0" distL="0" distR="0">
            <wp:extent cx="2531745" cy="181102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372"/>
                    <a:stretch>
                      <a:fillRect/>
                    </a:stretch>
                  </pic:blipFill>
                  <pic:spPr>
                    <a:xfrm>
                      <a:off x="0" y="0"/>
                      <a:ext cx="2532126" cy="1811414"/>
                    </a:xfrm>
                    <a:prstGeom prst="rect">
                      <a:avLst/>
                    </a:prstGeom>
                  </pic:spPr>
                </pic:pic>
              </a:graphicData>
            </a:graphic>
          </wp:inline>
        </w:drawing>
      </w:r>
    </w:p>
    <w:p w14:paraId="1F660AA7">
      <w:pPr>
        <w:pStyle w:val="2"/>
        <w:spacing w:before="41" w:line="219" w:lineRule="auto"/>
        <w:ind w:left="801"/>
        <w:rPr>
          <w:sz w:val="24"/>
          <w:szCs w:val="24"/>
        </w:rPr>
      </w:pPr>
      <w:r>
        <w:rPr>
          <w:spacing w:val="-2"/>
          <w:sz w:val="24"/>
          <w:szCs w:val="24"/>
        </w:rPr>
        <w:t>罗贵新村污水处理设施</w:t>
      </w:r>
    </w:p>
    <w:p w14:paraId="7A45CCA0">
      <w:pPr>
        <w:spacing w:line="219" w:lineRule="auto"/>
        <w:rPr>
          <w:sz w:val="24"/>
          <w:szCs w:val="24"/>
        </w:rPr>
        <w:sectPr>
          <w:type w:val="continuous"/>
          <w:pgSz w:w="11907" w:h="16839"/>
          <w:pgMar w:top="1376" w:right="1669" w:bottom="1061" w:left="1671" w:header="999" w:footer="861" w:gutter="0"/>
          <w:cols w:equalWidth="0" w:num="2">
            <w:col w:w="4315" w:space="100"/>
            <w:col w:w="4151"/>
          </w:cols>
        </w:sectPr>
      </w:pPr>
    </w:p>
    <w:p w14:paraId="2D1992A4">
      <w:pPr>
        <w:spacing w:line="76" w:lineRule="auto"/>
        <w:rPr>
          <w:rFonts w:ascii="Arial"/>
          <w:sz w:val="2"/>
        </w:rPr>
      </w:pPr>
    </w:p>
    <w:p w14:paraId="157BEE4F">
      <w:pPr>
        <w:spacing w:line="76"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7EF2287A">
      <w:pPr>
        <w:spacing w:line="2853" w:lineRule="exact"/>
        <w:ind w:firstLine="167"/>
      </w:pPr>
      <w:r>
        <w:rPr>
          <w:position w:val="-57"/>
        </w:rPr>
        <w:drawing>
          <wp:inline distT="0" distB="0" distL="0" distR="0">
            <wp:extent cx="2531745" cy="181165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373"/>
                    <a:stretch>
                      <a:fillRect/>
                    </a:stretch>
                  </pic:blipFill>
                  <pic:spPr>
                    <a:xfrm>
                      <a:off x="0" y="0"/>
                      <a:ext cx="2532125" cy="1812289"/>
                    </a:xfrm>
                    <a:prstGeom prst="rect">
                      <a:avLst/>
                    </a:prstGeom>
                  </pic:spPr>
                </pic:pic>
              </a:graphicData>
            </a:graphic>
          </wp:inline>
        </w:drawing>
      </w:r>
    </w:p>
    <w:p w14:paraId="170A772C">
      <w:pPr>
        <w:pStyle w:val="2"/>
        <w:spacing w:before="41" w:line="219" w:lineRule="auto"/>
        <w:ind w:left="968"/>
        <w:rPr>
          <w:sz w:val="24"/>
          <w:szCs w:val="24"/>
        </w:rPr>
      </w:pPr>
      <w:r>
        <w:rPr>
          <w:spacing w:val="-2"/>
          <w:sz w:val="24"/>
          <w:szCs w:val="24"/>
        </w:rPr>
        <w:t>车章新村污水处理设施</w:t>
      </w:r>
    </w:p>
    <w:p w14:paraId="239196CC">
      <w:pPr>
        <w:spacing w:line="37" w:lineRule="auto"/>
        <w:rPr>
          <w:rFonts w:ascii="Arial"/>
          <w:sz w:val="2"/>
        </w:rPr>
      </w:pPr>
    </w:p>
    <w:p w14:paraId="4489BEFF">
      <w:pPr>
        <w:spacing w:line="14" w:lineRule="auto"/>
        <w:rPr>
          <w:rFonts w:ascii="Arial"/>
          <w:sz w:val="2"/>
        </w:rPr>
      </w:pPr>
      <w:r>
        <w:rPr>
          <w:rFonts w:ascii="Arial" w:hAnsi="Arial" w:eastAsia="Arial" w:cs="Arial"/>
          <w:sz w:val="2"/>
          <w:szCs w:val="2"/>
        </w:rPr>
        <w:br w:type="column"/>
      </w:r>
    </w:p>
    <w:p w14:paraId="038F0260">
      <w:pPr>
        <w:spacing w:line="2852" w:lineRule="exact"/>
      </w:pPr>
      <w:r>
        <w:rPr>
          <w:position w:val="-57"/>
        </w:rPr>
        <w:drawing>
          <wp:inline distT="0" distB="0" distL="0" distR="0">
            <wp:extent cx="2531745" cy="181102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374"/>
                    <a:stretch>
                      <a:fillRect/>
                    </a:stretch>
                  </pic:blipFill>
                  <pic:spPr>
                    <a:xfrm>
                      <a:off x="0" y="0"/>
                      <a:ext cx="2532126" cy="1811413"/>
                    </a:xfrm>
                    <a:prstGeom prst="rect">
                      <a:avLst/>
                    </a:prstGeom>
                  </pic:spPr>
                </pic:pic>
              </a:graphicData>
            </a:graphic>
          </wp:inline>
        </w:drawing>
      </w:r>
    </w:p>
    <w:p w14:paraId="6B5A147D">
      <w:pPr>
        <w:pStyle w:val="2"/>
        <w:spacing w:before="41" w:line="219" w:lineRule="auto"/>
        <w:ind w:left="806"/>
        <w:rPr>
          <w:sz w:val="24"/>
          <w:szCs w:val="24"/>
        </w:rPr>
      </w:pPr>
      <w:r>
        <w:rPr>
          <w:spacing w:val="-2"/>
          <w:sz w:val="24"/>
          <w:szCs w:val="24"/>
        </w:rPr>
        <w:t>川硐新村污水处理设施</w:t>
      </w:r>
    </w:p>
    <w:p w14:paraId="6D5F7A2D">
      <w:pPr>
        <w:spacing w:line="219" w:lineRule="auto"/>
        <w:rPr>
          <w:sz w:val="24"/>
          <w:szCs w:val="24"/>
        </w:rPr>
        <w:sectPr>
          <w:type w:val="continuous"/>
          <w:pgSz w:w="11907" w:h="16839"/>
          <w:pgMar w:top="1376" w:right="1669" w:bottom="1061" w:left="1671" w:header="999" w:footer="861" w:gutter="0"/>
          <w:cols w:equalWidth="0" w:num="2">
            <w:col w:w="4315" w:space="100"/>
            <w:col w:w="4151"/>
          </w:cols>
        </w:sectPr>
      </w:pPr>
    </w:p>
    <w:p w14:paraId="06E7B758">
      <w:pPr>
        <w:spacing w:line="83" w:lineRule="auto"/>
        <w:rPr>
          <w:rFonts w:ascii="Arial"/>
          <w:sz w:val="2"/>
        </w:rPr>
      </w:pPr>
    </w:p>
    <w:p w14:paraId="091592FF">
      <w:pPr>
        <w:spacing w:line="83"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49BC8FDF">
      <w:pPr>
        <w:spacing w:line="2854" w:lineRule="exact"/>
        <w:ind w:firstLine="167"/>
      </w:pPr>
      <w:r>
        <w:rPr>
          <w:position w:val="-57"/>
        </w:rPr>
        <w:drawing>
          <wp:inline distT="0" distB="0" distL="0" distR="0">
            <wp:extent cx="2531745" cy="181165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375"/>
                    <a:stretch>
                      <a:fillRect/>
                    </a:stretch>
                  </pic:blipFill>
                  <pic:spPr>
                    <a:xfrm>
                      <a:off x="0" y="0"/>
                      <a:ext cx="2532125" cy="1812289"/>
                    </a:xfrm>
                    <a:prstGeom prst="rect">
                      <a:avLst/>
                    </a:prstGeom>
                  </pic:spPr>
                </pic:pic>
              </a:graphicData>
            </a:graphic>
          </wp:inline>
        </w:drawing>
      </w:r>
    </w:p>
    <w:p w14:paraId="7B0B2782">
      <w:pPr>
        <w:pStyle w:val="2"/>
        <w:spacing w:before="40" w:line="220" w:lineRule="auto"/>
        <w:ind w:left="1568"/>
        <w:rPr>
          <w:sz w:val="24"/>
          <w:szCs w:val="24"/>
        </w:rPr>
      </w:pPr>
      <w:r>
        <w:rPr>
          <w:spacing w:val="-2"/>
          <w:sz w:val="24"/>
          <w:szCs w:val="24"/>
        </w:rPr>
        <w:t>垃圾收运车</w:t>
      </w:r>
    </w:p>
    <w:p w14:paraId="7327BAE6">
      <w:pPr>
        <w:spacing w:line="34" w:lineRule="auto"/>
        <w:rPr>
          <w:rFonts w:ascii="Arial"/>
          <w:sz w:val="2"/>
        </w:rPr>
      </w:pPr>
    </w:p>
    <w:p w14:paraId="0CD1DFBF">
      <w:pPr>
        <w:spacing w:line="14" w:lineRule="auto"/>
        <w:rPr>
          <w:rFonts w:ascii="Arial"/>
          <w:sz w:val="2"/>
        </w:rPr>
      </w:pPr>
      <w:r>
        <w:rPr>
          <w:rFonts w:ascii="Arial" w:hAnsi="Arial" w:eastAsia="Arial" w:cs="Arial"/>
          <w:sz w:val="2"/>
          <w:szCs w:val="2"/>
        </w:rPr>
        <w:br w:type="column"/>
      </w:r>
    </w:p>
    <w:p w14:paraId="6CA31008">
      <w:pPr>
        <w:spacing w:line="2852" w:lineRule="exact"/>
      </w:pPr>
      <w:r>
        <w:rPr>
          <w:position w:val="-57"/>
        </w:rPr>
        <w:drawing>
          <wp:inline distT="0" distB="0" distL="0" distR="0">
            <wp:extent cx="2531745" cy="181102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376"/>
                    <a:stretch>
                      <a:fillRect/>
                    </a:stretch>
                  </pic:blipFill>
                  <pic:spPr>
                    <a:xfrm>
                      <a:off x="0" y="0"/>
                      <a:ext cx="2532126" cy="1811413"/>
                    </a:xfrm>
                    <a:prstGeom prst="rect">
                      <a:avLst/>
                    </a:prstGeom>
                  </pic:spPr>
                </pic:pic>
              </a:graphicData>
            </a:graphic>
          </wp:inline>
        </w:drawing>
      </w:r>
    </w:p>
    <w:p w14:paraId="6BC910C4">
      <w:pPr>
        <w:pStyle w:val="2"/>
        <w:spacing w:before="41" w:line="220" w:lineRule="auto"/>
        <w:ind w:left="1401"/>
        <w:rPr>
          <w:sz w:val="24"/>
          <w:szCs w:val="24"/>
        </w:rPr>
      </w:pPr>
      <w:r>
        <w:rPr>
          <w:spacing w:val="-2"/>
          <w:sz w:val="24"/>
          <w:szCs w:val="24"/>
        </w:rPr>
        <w:t>垃圾收集箱</w:t>
      </w:r>
    </w:p>
    <w:p w14:paraId="08838C66">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453FF274">
      <w:pPr>
        <w:spacing w:line="83" w:lineRule="auto"/>
        <w:rPr>
          <w:rFonts w:ascii="Arial"/>
          <w:sz w:val="2"/>
        </w:rPr>
      </w:pPr>
    </w:p>
    <w:p w14:paraId="4AA1A346">
      <w:pPr>
        <w:spacing w:line="83"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52579BC0">
      <w:pPr>
        <w:spacing w:line="2854" w:lineRule="exact"/>
        <w:ind w:firstLine="167"/>
      </w:pPr>
      <w:r>
        <w:rPr>
          <w:position w:val="-57"/>
        </w:rPr>
        <w:drawing>
          <wp:inline distT="0" distB="0" distL="0" distR="0">
            <wp:extent cx="2531745" cy="181165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377"/>
                    <a:stretch>
                      <a:fillRect/>
                    </a:stretch>
                  </pic:blipFill>
                  <pic:spPr>
                    <a:xfrm>
                      <a:off x="0" y="0"/>
                      <a:ext cx="2532125" cy="1812289"/>
                    </a:xfrm>
                    <a:prstGeom prst="rect">
                      <a:avLst/>
                    </a:prstGeom>
                  </pic:spPr>
                </pic:pic>
              </a:graphicData>
            </a:graphic>
          </wp:inline>
        </w:drawing>
      </w:r>
    </w:p>
    <w:p w14:paraId="27B71FE3">
      <w:pPr>
        <w:pStyle w:val="2"/>
        <w:spacing w:before="41" w:line="220" w:lineRule="auto"/>
        <w:ind w:left="1569"/>
        <w:rPr>
          <w:sz w:val="24"/>
          <w:szCs w:val="24"/>
        </w:rPr>
      </w:pPr>
      <w:r>
        <w:rPr>
          <w:spacing w:val="-3"/>
          <w:sz w:val="24"/>
          <w:szCs w:val="24"/>
        </w:rPr>
        <w:t>分类垃圾桶</w:t>
      </w:r>
    </w:p>
    <w:p w14:paraId="47C94034">
      <w:pPr>
        <w:spacing w:line="36" w:lineRule="auto"/>
        <w:rPr>
          <w:rFonts w:ascii="Arial"/>
          <w:sz w:val="2"/>
        </w:rPr>
      </w:pPr>
    </w:p>
    <w:p w14:paraId="16DD924E">
      <w:pPr>
        <w:spacing w:line="14" w:lineRule="auto"/>
        <w:rPr>
          <w:rFonts w:ascii="Arial"/>
          <w:sz w:val="2"/>
        </w:rPr>
      </w:pPr>
      <w:r>
        <w:rPr>
          <w:rFonts w:ascii="Arial" w:hAnsi="Arial" w:eastAsia="Arial" w:cs="Arial"/>
          <w:sz w:val="2"/>
          <w:szCs w:val="2"/>
        </w:rPr>
        <w:br w:type="column"/>
      </w:r>
    </w:p>
    <w:p w14:paraId="484D294E">
      <w:pPr>
        <w:spacing w:line="2852" w:lineRule="exact"/>
      </w:pPr>
      <w:r>
        <w:rPr>
          <w:position w:val="-57"/>
        </w:rPr>
        <w:drawing>
          <wp:inline distT="0" distB="0" distL="0" distR="0">
            <wp:extent cx="2531745" cy="181102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378"/>
                    <a:stretch>
                      <a:fillRect/>
                    </a:stretch>
                  </pic:blipFill>
                  <pic:spPr>
                    <a:xfrm>
                      <a:off x="0" y="0"/>
                      <a:ext cx="2532126" cy="1811413"/>
                    </a:xfrm>
                    <a:prstGeom prst="rect">
                      <a:avLst/>
                    </a:prstGeom>
                  </pic:spPr>
                </pic:pic>
              </a:graphicData>
            </a:graphic>
          </wp:inline>
        </w:drawing>
      </w:r>
    </w:p>
    <w:p w14:paraId="42146B7B">
      <w:pPr>
        <w:pStyle w:val="2"/>
        <w:spacing w:before="42" w:line="220" w:lineRule="auto"/>
        <w:ind w:left="1401"/>
        <w:rPr>
          <w:sz w:val="24"/>
          <w:szCs w:val="24"/>
        </w:rPr>
      </w:pPr>
      <w:r>
        <w:rPr>
          <w:spacing w:val="-2"/>
          <w:sz w:val="24"/>
          <w:szCs w:val="24"/>
        </w:rPr>
        <w:t>垃圾收集箱</w:t>
      </w:r>
    </w:p>
    <w:p w14:paraId="45546B6F">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14553030">
      <w:pPr>
        <w:pStyle w:val="2"/>
        <w:spacing w:before="135" w:line="198" w:lineRule="auto"/>
        <w:ind w:left="1324"/>
        <w:rPr>
          <w:sz w:val="24"/>
          <w:szCs w:val="24"/>
        </w:rPr>
      </w:pPr>
      <w:r>
        <w:rPr>
          <w:b/>
          <w:bCs/>
          <w:spacing w:val="-2"/>
          <w:sz w:val="24"/>
          <w:szCs w:val="24"/>
        </w:rPr>
        <w:t>图</w:t>
      </w:r>
      <w:r>
        <w:rPr>
          <w:spacing w:val="-50"/>
          <w:sz w:val="24"/>
          <w:szCs w:val="24"/>
        </w:rPr>
        <w:t xml:space="preserve"> </w:t>
      </w:r>
      <w:r>
        <w:rPr>
          <w:rFonts w:ascii="Times New Roman" w:hAnsi="Times New Roman" w:eastAsia="Times New Roman" w:cs="Times New Roman"/>
          <w:b/>
          <w:bCs/>
          <w:spacing w:val="-2"/>
          <w:sz w:val="24"/>
          <w:szCs w:val="24"/>
        </w:rPr>
        <w:t xml:space="preserve">5.1-9      </w:t>
      </w:r>
      <w:r>
        <w:rPr>
          <w:b/>
          <w:bCs/>
          <w:spacing w:val="-2"/>
          <w:sz w:val="24"/>
          <w:szCs w:val="24"/>
        </w:rPr>
        <w:t>移民安置区生活</w:t>
      </w:r>
      <w:r>
        <w:rPr>
          <w:b/>
          <w:bCs/>
          <w:spacing w:val="-3"/>
          <w:sz w:val="24"/>
          <w:szCs w:val="24"/>
        </w:rPr>
        <w:t>污水处理和生活垃圾集运设施</w:t>
      </w:r>
    </w:p>
    <w:p w14:paraId="2507AE70">
      <w:pPr>
        <w:spacing w:line="198" w:lineRule="auto"/>
        <w:rPr>
          <w:sz w:val="24"/>
          <w:szCs w:val="24"/>
        </w:rPr>
        <w:sectPr>
          <w:type w:val="continuous"/>
          <w:pgSz w:w="11907" w:h="16839"/>
          <w:pgMar w:top="1376" w:right="1669" w:bottom="1061" w:left="1671" w:header="999" w:footer="861" w:gutter="0"/>
          <w:cols w:equalWidth="0" w:num="1">
            <w:col w:w="8566"/>
          </w:cols>
        </w:sectPr>
      </w:pPr>
    </w:p>
    <w:p w14:paraId="45622C6B">
      <w:pPr>
        <w:spacing w:line="455" w:lineRule="auto"/>
        <w:rPr>
          <w:rFonts w:ascii="Arial"/>
          <w:sz w:val="21"/>
        </w:rPr>
      </w:pPr>
    </w:p>
    <w:p w14:paraId="21A54780">
      <w:pPr>
        <w:pStyle w:val="2"/>
        <w:spacing w:before="78" w:line="219" w:lineRule="auto"/>
        <w:ind w:left="34"/>
        <w:rPr>
          <w:sz w:val="24"/>
          <w:szCs w:val="24"/>
        </w:rPr>
      </w:pPr>
      <w:r>
        <w:rPr>
          <w:rFonts w:ascii="Arial" w:hAnsi="Arial" w:eastAsia="Arial" w:cs="Arial"/>
          <w:spacing w:val="2"/>
          <w:position w:val="1"/>
          <w:sz w:val="18"/>
          <w:szCs w:val="18"/>
        </w:rPr>
        <w:t>5.1.5.3</w:t>
      </w:r>
      <w:r>
        <w:rPr>
          <w:rFonts w:ascii="Arial" w:hAnsi="Arial" w:eastAsia="Arial" w:cs="Arial"/>
          <w:spacing w:val="54"/>
          <w:w w:val="101"/>
          <w:position w:val="1"/>
          <w:sz w:val="18"/>
          <w:szCs w:val="18"/>
        </w:rPr>
        <w:t xml:space="preserve"> </w:t>
      </w:r>
      <w:r>
        <w:rPr>
          <w:b/>
          <w:bCs/>
          <w:spacing w:val="2"/>
          <w:sz w:val="24"/>
          <w:szCs w:val="24"/>
        </w:rPr>
        <w:t>地方政府规划的污染源治理工程</w:t>
      </w:r>
    </w:p>
    <w:p w14:paraId="679240EF">
      <w:pPr>
        <w:pStyle w:val="2"/>
        <w:spacing w:before="274" w:line="333" w:lineRule="auto"/>
        <w:ind w:left="38" w:right="120" w:firstLine="476"/>
        <w:rPr>
          <w:sz w:val="24"/>
          <w:szCs w:val="24"/>
        </w:rPr>
      </w:pP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4"/>
          <w:w w:val="101"/>
          <w:sz w:val="24"/>
          <w:szCs w:val="24"/>
        </w:rPr>
        <w:t xml:space="preserve"> </w:t>
      </w:r>
      <w:r>
        <w:rPr>
          <w:spacing w:val="-1"/>
          <w:sz w:val="24"/>
          <w:szCs w:val="24"/>
        </w:rPr>
        <w:t>年</w:t>
      </w:r>
      <w:r>
        <w:rPr>
          <w:spacing w:val="-34"/>
          <w:sz w:val="24"/>
          <w:szCs w:val="24"/>
        </w:rPr>
        <w:t xml:space="preserve"> </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30"/>
          <w:w w:val="101"/>
          <w:sz w:val="24"/>
          <w:szCs w:val="24"/>
        </w:rPr>
        <w:t xml:space="preserve"> </w:t>
      </w:r>
      <w:r>
        <w:rPr>
          <w:spacing w:val="-1"/>
          <w:sz w:val="24"/>
          <w:szCs w:val="24"/>
        </w:rPr>
        <w:t>月，马龙县人民政府以“马龙县人民政府关于承</w:t>
      </w:r>
      <w:r>
        <w:rPr>
          <w:spacing w:val="-2"/>
          <w:sz w:val="24"/>
          <w:szCs w:val="24"/>
        </w:rPr>
        <w:t>诺落实车马碧水库</w:t>
      </w:r>
      <w:r>
        <w:rPr>
          <w:spacing w:val="-4"/>
          <w:sz w:val="24"/>
          <w:szCs w:val="24"/>
        </w:rPr>
        <w:t xml:space="preserve">建设环境保护对策相关事宜的函”（附件 </w:t>
      </w:r>
      <w:r>
        <w:rPr>
          <w:rFonts w:ascii="Times New Roman" w:hAnsi="Times New Roman" w:eastAsia="Times New Roman" w:cs="Times New Roman"/>
          <w:spacing w:val="-4"/>
          <w:sz w:val="24"/>
          <w:szCs w:val="24"/>
        </w:rPr>
        <w:t>7</w:t>
      </w:r>
      <w:r>
        <w:rPr>
          <w:spacing w:val="-4"/>
          <w:sz w:val="24"/>
          <w:szCs w:val="24"/>
        </w:rPr>
        <w:t>）承诺：一、对水库上</w:t>
      </w:r>
      <w:r>
        <w:rPr>
          <w:spacing w:val="-5"/>
          <w:sz w:val="24"/>
          <w:szCs w:val="24"/>
        </w:rPr>
        <w:t>游及径流区污染</w:t>
      </w:r>
      <w:r>
        <w:rPr>
          <w:spacing w:val="-4"/>
          <w:sz w:val="24"/>
          <w:szCs w:val="24"/>
        </w:rPr>
        <w:t>源进行削减，并加强工业点源的监督管理，杜绝偷排水现</w:t>
      </w:r>
      <w:r>
        <w:rPr>
          <w:spacing w:val="-5"/>
          <w:sz w:val="24"/>
          <w:szCs w:val="24"/>
        </w:rPr>
        <w:t>象，加强监督管理；二、</w:t>
      </w:r>
    </w:p>
    <w:p w14:paraId="1DBDAAB0">
      <w:pPr>
        <w:pStyle w:val="2"/>
        <w:spacing w:before="23" w:line="338" w:lineRule="auto"/>
        <w:ind w:left="38"/>
        <w:rPr>
          <w:sz w:val="24"/>
          <w:szCs w:val="24"/>
        </w:rPr>
      </w:pPr>
      <w:r>
        <w:rPr>
          <w:spacing w:val="-8"/>
          <w:sz w:val="24"/>
          <w:szCs w:val="24"/>
        </w:rPr>
        <w:t>对水库上游及径流区集中养殖场、农业面源进行集中治理，保障库区水质安</w:t>
      </w:r>
      <w:r>
        <w:rPr>
          <w:spacing w:val="-9"/>
          <w:sz w:val="24"/>
          <w:szCs w:val="24"/>
        </w:rPr>
        <w:t>全。三、</w:t>
      </w:r>
      <w:r>
        <w:rPr>
          <w:spacing w:val="-1"/>
          <w:sz w:val="24"/>
          <w:szCs w:val="24"/>
        </w:rPr>
        <w:t>研究建立马龙河流域环境保护综合管理体制，加强对马龙河流域的环境管理，统筹</w:t>
      </w:r>
      <w:r>
        <w:rPr>
          <w:spacing w:val="-4"/>
          <w:sz w:val="24"/>
          <w:szCs w:val="24"/>
        </w:rPr>
        <w:t>落实流域环境保护措施。</w:t>
      </w:r>
    </w:p>
    <w:p w14:paraId="794D0212">
      <w:pPr>
        <w:pStyle w:val="2"/>
        <w:spacing w:before="8" w:line="338" w:lineRule="auto"/>
        <w:ind w:left="37" w:right="43" w:firstLine="480"/>
        <w:rPr>
          <w:sz w:val="24"/>
          <w:szCs w:val="24"/>
        </w:rPr>
      </w:pPr>
      <w:r>
        <w:rPr>
          <w:spacing w:val="-1"/>
          <w:sz w:val="24"/>
          <w:szCs w:val="24"/>
        </w:rPr>
        <w:t>据调查，</w:t>
      </w:r>
      <w:r>
        <w:rPr>
          <w:rFonts w:ascii="Times New Roman" w:hAnsi="Times New Roman" w:eastAsia="Times New Roman" w:cs="Times New Roman"/>
          <w:spacing w:val="-1"/>
          <w:sz w:val="24"/>
          <w:szCs w:val="24"/>
        </w:rPr>
        <w:t>2016</w:t>
      </w:r>
      <w:r>
        <w:rPr>
          <w:rFonts w:ascii="Times New Roman" w:hAnsi="Times New Roman" w:eastAsia="Times New Roman" w:cs="Times New Roman"/>
          <w:spacing w:val="60"/>
          <w:sz w:val="24"/>
          <w:szCs w:val="24"/>
        </w:rPr>
        <w:t xml:space="preserve"> </w:t>
      </w:r>
      <w:r>
        <w:rPr>
          <w:spacing w:val="-1"/>
          <w:sz w:val="24"/>
          <w:szCs w:val="24"/>
        </w:rPr>
        <w:t>年以来，曲靖市生态环境局马龙分局制定印发了《马龙区全面</w:t>
      </w:r>
      <w:r>
        <w:rPr>
          <w:spacing w:val="-4"/>
          <w:sz w:val="24"/>
          <w:szCs w:val="24"/>
        </w:rPr>
        <w:t>加强生态环境保护坚决打好污染防治攻坚战实施方案》、</w:t>
      </w:r>
      <w:r>
        <w:rPr>
          <w:spacing w:val="-5"/>
          <w:sz w:val="24"/>
          <w:szCs w:val="24"/>
        </w:rPr>
        <w:t>《马龙区全面推行河长制</w:t>
      </w:r>
      <w:r>
        <w:rPr>
          <w:spacing w:val="-11"/>
          <w:sz w:val="24"/>
          <w:szCs w:val="24"/>
        </w:rPr>
        <w:t>工作实施方案》、《马龙区水源地保护攻坚战实施方案》，编制了《曲靖市马龙区水</w:t>
      </w:r>
      <w:r>
        <w:rPr>
          <w:spacing w:val="-8"/>
          <w:sz w:val="24"/>
          <w:szCs w:val="24"/>
        </w:rPr>
        <w:t>污染防治规划》、《长江流域牛栏江支流马龙河径流区污</w:t>
      </w:r>
      <w:r>
        <w:rPr>
          <w:spacing w:val="-9"/>
          <w:sz w:val="24"/>
          <w:szCs w:val="24"/>
        </w:rPr>
        <w:t>染治理可行性研究报告》、</w:t>
      </w:r>
      <w:r>
        <w:rPr>
          <w:sz w:val="24"/>
          <w:szCs w:val="24"/>
        </w:rPr>
        <w:t xml:space="preserve"> </w:t>
      </w:r>
      <w:r>
        <w:rPr>
          <w:spacing w:val="-4"/>
          <w:sz w:val="24"/>
          <w:szCs w:val="24"/>
        </w:rPr>
        <w:t>《南盘江流域马龙径流区环境综合整治工程实施方案》、《长江流域牛</w:t>
      </w:r>
      <w:r>
        <w:rPr>
          <w:spacing w:val="-5"/>
          <w:sz w:val="24"/>
          <w:szCs w:val="24"/>
        </w:rPr>
        <w:t>栏江支流马</w:t>
      </w:r>
      <w:r>
        <w:rPr>
          <w:spacing w:val="-4"/>
          <w:sz w:val="24"/>
          <w:szCs w:val="24"/>
        </w:rPr>
        <w:t>龙河径流区污染治理项目》等，各项污染防治规划正在逐步实施中，在流域点源、</w:t>
      </w:r>
      <w:r>
        <w:rPr>
          <w:spacing w:val="-1"/>
          <w:sz w:val="24"/>
          <w:szCs w:val="24"/>
        </w:rPr>
        <w:t xml:space="preserve">面源治理方面已取得一定效果。争取省级环保资金 </w:t>
      </w:r>
      <w:r>
        <w:rPr>
          <w:rFonts w:ascii="Times New Roman" w:hAnsi="Times New Roman" w:eastAsia="Times New Roman" w:cs="Times New Roman"/>
          <w:spacing w:val="-1"/>
          <w:sz w:val="24"/>
          <w:szCs w:val="24"/>
        </w:rPr>
        <w:t xml:space="preserve">800  </w:t>
      </w:r>
      <w:r>
        <w:rPr>
          <w:spacing w:val="-1"/>
          <w:sz w:val="24"/>
          <w:szCs w:val="24"/>
        </w:rPr>
        <w:t>万元对王家庄街道整乡推</w:t>
      </w:r>
      <w:r>
        <w:rPr>
          <w:spacing w:val="3"/>
          <w:sz w:val="24"/>
          <w:szCs w:val="24"/>
        </w:rPr>
        <w:t>进综合治理及马过河镇等村庄开展农村环境综合整治。利用中</w:t>
      </w:r>
      <w:r>
        <w:rPr>
          <w:spacing w:val="2"/>
          <w:sz w:val="24"/>
          <w:szCs w:val="24"/>
        </w:rPr>
        <w:t>央土壤污染防治资</w:t>
      </w:r>
      <w:r>
        <w:rPr>
          <w:spacing w:val="-1"/>
          <w:sz w:val="24"/>
          <w:szCs w:val="24"/>
        </w:rPr>
        <w:t>金</w:t>
      </w:r>
      <w:r>
        <w:rPr>
          <w:spacing w:val="-47"/>
          <w:sz w:val="24"/>
          <w:szCs w:val="24"/>
        </w:rPr>
        <w:t xml:space="preserve"> </w:t>
      </w:r>
      <w:r>
        <w:rPr>
          <w:rFonts w:ascii="Times New Roman" w:hAnsi="Times New Roman" w:eastAsia="Times New Roman" w:cs="Times New Roman"/>
          <w:spacing w:val="-1"/>
          <w:sz w:val="24"/>
          <w:szCs w:val="24"/>
        </w:rPr>
        <w:t xml:space="preserve">3000 </w:t>
      </w:r>
      <w:r>
        <w:rPr>
          <w:spacing w:val="-1"/>
          <w:sz w:val="24"/>
          <w:szCs w:val="24"/>
        </w:rPr>
        <w:t>余万元开展了王家庄永发历史遗留锌废渣堆置场地污染管控治理、云水机械场原厂址污染场地修复治理，利用水污染防治专项资</w:t>
      </w:r>
      <w:r>
        <w:rPr>
          <w:spacing w:val="-2"/>
          <w:sz w:val="24"/>
          <w:szCs w:val="24"/>
        </w:rPr>
        <w:t>金</w:t>
      </w:r>
      <w:r>
        <w:rPr>
          <w:spacing w:val="-49"/>
          <w:sz w:val="24"/>
          <w:szCs w:val="24"/>
        </w:rPr>
        <w:t xml:space="preserve"> </w:t>
      </w:r>
      <w:r>
        <w:rPr>
          <w:rFonts w:ascii="Times New Roman" w:hAnsi="Times New Roman" w:eastAsia="Times New Roman" w:cs="Times New Roman"/>
          <w:spacing w:val="-2"/>
          <w:sz w:val="24"/>
          <w:szCs w:val="24"/>
        </w:rPr>
        <w:t>6710</w:t>
      </w:r>
      <w:r>
        <w:rPr>
          <w:rFonts w:ascii="Times New Roman" w:hAnsi="Times New Roman" w:eastAsia="Times New Roman" w:cs="Times New Roman"/>
          <w:spacing w:val="15"/>
          <w:w w:val="101"/>
          <w:sz w:val="24"/>
          <w:szCs w:val="24"/>
        </w:rPr>
        <w:t xml:space="preserve"> </w:t>
      </w:r>
      <w:r>
        <w:rPr>
          <w:spacing w:val="-2"/>
          <w:sz w:val="24"/>
          <w:szCs w:val="24"/>
        </w:rPr>
        <w:t>万元开展马龙河流</w:t>
      </w:r>
      <w:r>
        <w:rPr>
          <w:spacing w:val="-4"/>
          <w:sz w:val="24"/>
          <w:szCs w:val="24"/>
        </w:rPr>
        <w:t>域污染防治工作，累计完成</w:t>
      </w:r>
      <w:r>
        <w:rPr>
          <w:spacing w:val="-50"/>
          <w:sz w:val="24"/>
          <w:szCs w:val="24"/>
        </w:rPr>
        <w:t xml:space="preserve"> </w:t>
      </w:r>
      <w:r>
        <w:rPr>
          <w:rFonts w:ascii="Times New Roman" w:hAnsi="Times New Roman" w:eastAsia="Times New Roman" w:cs="Times New Roman"/>
          <w:spacing w:val="-4"/>
          <w:sz w:val="24"/>
          <w:szCs w:val="24"/>
        </w:rPr>
        <w:t xml:space="preserve">92 </w:t>
      </w:r>
      <w:r>
        <w:rPr>
          <w:spacing w:val="-4"/>
          <w:sz w:val="24"/>
          <w:szCs w:val="24"/>
        </w:rPr>
        <w:t>个村庄污水治理任务，建设污水处理系统</w:t>
      </w:r>
      <w:r>
        <w:rPr>
          <w:spacing w:val="-56"/>
          <w:sz w:val="24"/>
          <w:szCs w:val="24"/>
        </w:rPr>
        <w:t xml:space="preserve"> </w:t>
      </w:r>
      <w:r>
        <w:rPr>
          <w:rFonts w:ascii="Times New Roman" w:hAnsi="Times New Roman" w:eastAsia="Times New Roman" w:cs="Times New Roman"/>
          <w:spacing w:val="-4"/>
          <w:sz w:val="24"/>
          <w:szCs w:val="24"/>
        </w:rPr>
        <w:t xml:space="preserve">49 </w:t>
      </w:r>
      <w:r>
        <w:rPr>
          <w:spacing w:val="-5"/>
          <w:sz w:val="24"/>
          <w:szCs w:val="24"/>
        </w:rPr>
        <w:t>座，自</w:t>
      </w:r>
      <w:r>
        <w:rPr>
          <w:spacing w:val="-2"/>
          <w:sz w:val="24"/>
          <w:szCs w:val="24"/>
        </w:rPr>
        <w:t xml:space="preserve">然村污水处理率达 </w:t>
      </w:r>
      <w:r>
        <w:rPr>
          <w:rFonts w:ascii="Times New Roman" w:hAnsi="Times New Roman" w:eastAsia="Times New Roman" w:cs="Times New Roman"/>
          <w:spacing w:val="-2"/>
          <w:sz w:val="24"/>
          <w:szCs w:val="24"/>
        </w:rPr>
        <w:t>20.44%</w:t>
      </w:r>
      <w:r>
        <w:rPr>
          <w:rFonts w:ascii="Times New Roman" w:hAnsi="Times New Roman" w:eastAsia="Times New Roman" w:cs="Times New Roman"/>
          <w:spacing w:val="-16"/>
          <w:sz w:val="24"/>
          <w:szCs w:val="24"/>
        </w:rPr>
        <w:t xml:space="preserve"> </w:t>
      </w:r>
      <w:r>
        <w:rPr>
          <w:spacing w:val="-2"/>
          <w:sz w:val="24"/>
          <w:szCs w:val="24"/>
        </w:rPr>
        <w:t xml:space="preserve">。督促呈钢公司投资 </w:t>
      </w:r>
      <w:r>
        <w:rPr>
          <w:rFonts w:ascii="Times New Roman" w:hAnsi="Times New Roman" w:eastAsia="Times New Roman" w:cs="Times New Roman"/>
          <w:spacing w:val="-2"/>
          <w:sz w:val="24"/>
          <w:szCs w:val="24"/>
        </w:rPr>
        <w:t xml:space="preserve">4000  </w:t>
      </w:r>
      <w:r>
        <w:rPr>
          <w:spacing w:val="-2"/>
          <w:sz w:val="24"/>
          <w:szCs w:val="24"/>
        </w:rPr>
        <w:t xml:space="preserve">余万元建设污水收集系统 </w:t>
      </w:r>
      <w:r>
        <w:rPr>
          <w:rFonts w:ascii="Times New Roman" w:hAnsi="Times New Roman" w:eastAsia="Times New Roman" w:cs="Times New Roman"/>
          <w:spacing w:val="-2"/>
          <w:sz w:val="24"/>
          <w:szCs w:val="24"/>
        </w:rPr>
        <w:t>1</w:t>
      </w:r>
      <w:r>
        <w:rPr>
          <w:spacing w:val="-2"/>
          <w:sz w:val="24"/>
          <w:szCs w:val="24"/>
        </w:rPr>
        <w:t>套，钢渣尾渣处置场</w:t>
      </w:r>
      <w:r>
        <w:rPr>
          <w:spacing w:val="-30"/>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个；督促马龙污水处理厂完成总磷总氮的在线验收工作。</w:t>
      </w:r>
    </w:p>
    <w:p w14:paraId="2B76FBA8">
      <w:pPr>
        <w:pStyle w:val="2"/>
        <w:spacing w:before="1" w:line="232"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）曲靖市节水政策</w:t>
      </w:r>
    </w:p>
    <w:p w14:paraId="32421D70">
      <w:pPr>
        <w:pStyle w:val="2"/>
        <w:spacing w:before="134" w:line="339" w:lineRule="auto"/>
        <w:ind w:left="38" w:right="120" w:firstLine="479"/>
        <w:jc w:val="both"/>
        <w:rPr>
          <w:sz w:val="24"/>
          <w:szCs w:val="24"/>
        </w:rPr>
      </w:pPr>
      <w:r>
        <w:rPr>
          <w:spacing w:val="-5"/>
          <w:sz w:val="24"/>
          <w:szCs w:val="24"/>
        </w:rPr>
        <w:t xml:space="preserve">据调查，“十三五”期间，曲靖共投入资金 </w:t>
      </w:r>
      <w:r>
        <w:rPr>
          <w:rFonts w:ascii="Times New Roman" w:hAnsi="Times New Roman" w:eastAsia="Times New Roman" w:cs="Times New Roman"/>
          <w:spacing w:val="-5"/>
          <w:sz w:val="24"/>
          <w:szCs w:val="24"/>
        </w:rPr>
        <w:t>14.23</w:t>
      </w:r>
      <w:r>
        <w:rPr>
          <w:rFonts w:ascii="Times New Roman" w:hAnsi="Times New Roman" w:eastAsia="Times New Roman" w:cs="Times New Roman"/>
          <w:spacing w:val="39"/>
          <w:sz w:val="24"/>
          <w:szCs w:val="24"/>
        </w:rPr>
        <w:t xml:space="preserve"> </w:t>
      </w:r>
      <w:r>
        <w:rPr>
          <w:spacing w:val="-5"/>
          <w:sz w:val="24"/>
          <w:szCs w:val="24"/>
        </w:rPr>
        <w:t>亿元，建设高效节水灌溉项</w:t>
      </w:r>
      <w:r>
        <w:rPr>
          <w:spacing w:val="-2"/>
          <w:sz w:val="24"/>
          <w:szCs w:val="24"/>
        </w:rPr>
        <w:t>目</w:t>
      </w:r>
      <w:r>
        <w:rPr>
          <w:spacing w:val="-19"/>
          <w:sz w:val="24"/>
          <w:szCs w:val="24"/>
        </w:rPr>
        <w:t xml:space="preserve"> </w:t>
      </w:r>
      <w:r>
        <w:rPr>
          <w:rFonts w:ascii="Times New Roman" w:hAnsi="Times New Roman" w:eastAsia="Times New Roman" w:cs="Times New Roman"/>
          <w:spacing w:val="-2"/>
          <w:sz w:val="24"/>
          <w:szCs w:val="24"/>
        </w:rPr>
        <w:t>83</w:t>
      </w:r>
      <w:r>
        <w:rPr>
          <w:rFonts w:ascii="Times New Roman" w:hAnsi="Times New Roman" w:eastAsia="Times New Roman" w:cs="Times New Roman"/>
          <w:spacing w:val="20"/>
          <w:sz w:val="24"/>
          <w:szCs w:val="24"/>
        </w:rPr>
        <w:t xml:space="preserve"> </w:t>
      </w:r>
      <w:r>
        <w:rPr>
          <w:spacing w:val="-2"/>
          <w:sz w:val="24"/>
          <w:szCs w:val="24"/>
        </w:rPr>
        <w:t>个，发展高效节水灌溉农田面积</w:t>
      </w:r>
      <w:r>
        <w:rPr>
          <w:spacing w:val="-37"/>
          <w:sz w:val="24"/>
          <w:szCs w:val="24"/>
        </w:rPr>
        <w:t xml:space="preserve"> </w:t>
      </w:r>
      <w:r>
        <w:rPr>
          <w:rFonts w:ascii="Times New Roman" w:hAnsi="Times New Roman" w:eastAsia="Times New Roman" w:cs="Times New Roman"/>
          <w:spacing w:val="-2"/>
          <w:sz w:val="24"/>
          <w:szCs w:val="24"/>
        </w:rPr>
        <w:t>56.42</w:t>
      </w:r>
      <w:r>
        <w:rPr>
          <w:rFonts w:ascii="Times New Roman" w:hAnsi="Times New Roman" w:eastAsia="Times New Roman" w:cs="Times New Roman"/>
          <w:spacing w:val="25"/>
          <w:w w:val="101"/>
          <w:sz w:val="24"/>
          <w:szCs w:val="24"/>
        </w:rPr>
        <w:t xml:space="preserve"> </w:t>
      </w:r>
      <w:r>
        <w:rPr>
          <w:spacing w:val="-2"/>
          <w:sz w:val="24"/>
          <w:szCs w:val="24"/>
        </w:rPr>
        <w:t>万亩，项目区灌溉水利用系数提高到</w:t>
      </w:r>
      <w:r>
        <w:rPr>
          <w:rFonts w:ascii="Times New Roman" w:hAnsi="Times New Roman" w:eastAsia="Times New Roman" w:cs="Times New Roman"/>
          <w:spacing w:val="-5"/>
          <w:sz w:val="24"/>
          <w:szCs w:val="24"/>
        </w:rPr>
        <w:t>0.86</w:t>
      </w:r>
      <w:r>
        <w:rPr>
          <w:rFonts w:ascii="Times New Roman" w:hAnsi="Times New Roman" w:eastAsia="Times New Roman" w:cs="Times New Roman"/>
          <w:spacing w:val="53"/>
          <w:sz w:val="24"/>
          <w:szCs w:val="24"/>
        </w:rPr>
        <w:t xml:space="preserve"> </w:t>
      </w:r>
      <w:r>
        <w:rPr>
          <w:spacing w:val="-5"/>
          <w:sz w:val="24"/>
          <w:szCs w:val="24"/>
        </w:rPr>
        <w:t>以上，灌溉保证率提高到</w:t>
      </w:r>
      <w:r>
        <w:rPr>
          <w:spacing w:val="-45"/>
          <w:sz w:val="24"/>
          <w:szCs w:val="24"/>
        </w:rPr>
        <w:t xml:space="preserve"> </w:t>
      </w:r>
      <w:r>
        <w:rPr>
          <w:rFonts w:ascii="Times New Roman" w:hAnsi="Times New Roman" w:eastAsia="Times New Roman" w:cs="Times New Roman"/>
          <w:spacing w:val="-5"/>
          <w:sz w:val="24"/>
          <w:szCs w:val="24"/>
        </w:rPr>
        <w:t>85%</w:t>
      </w:r>
      <w:r>
        <w:rPr>
          <w:spacing w:val="-5"/>
          <w:sz w:val="24"/>
          <w:szCs w:val="24"/>
        </w:rPr>
        <w:t>以上，年新增节水能力</w:t>
      </w:r>
      <w:r>
        <w:rPr>
          <w:spacing w:val="-50"/>
          <w:sz w:val="24"/>
          <w:szCs w:val="24"/>
        </w:rPr>
        <w:t xml:space="preserve"> </w:t>
      </w:r>
      <w:r>
        <w:rPr>
          <w:rFonts w:ascii="Times New Roman" w:hAnsi="Times New Roman" w:eastAsia="Times New Roman" w:cs="Times New Roman"/>
          <w:spacing w:val="-5"/>
          <w:sz w:val="24"/>
          <w:szCs w:val="24"/>
        </w:rPr>
        <w:t>6.3</w:t>
      </w:r>
      <w:r>
        <w:rPr>
          <w:rFonts w:ascii="Times New Roman" w:hAnsi="Times New Roman" w:eastAsia="Times New Roman" w:cs="Times New Roman"/>
          <w:spacing w:val="16"/>
          <w:sz w:val="24"/>
          <w:szCs w:val="24"/>
        </w:rPr>
        <w:t xml:space="preserve"> </w:t>
      </w:r>
      <w:r>
        <w:rPr>
          <w:spacing w:val="-5"/>
          <w:sz w:val="24"/>
          <w:szCs w:val="24"/>
        </w:rPr>
        <w:t>万立方米，新增灌溉</w:t>
      </w:r>
      <w:r>
        <w:rPr>
          <w:spacing w:val="-2"/>
          <w:sz w:val="24"/>
          <w:szCs w:val="24"/>
        </w:rPr>
        <w:t>效益</w:t>
      </w:r>
      <w:r>
        <w:rPr>
          <w:spacing w:val="-51"/>
          <w:sz w:val="24"/>
          <w:szCs w:val="24"/>
        </w:rPr>
        <w:t xml:space="preserve"> </w:t>
      </w:r>
      <w:r>
        <w:rPr>
          <w:rFonts w:ascii="Times New Roman" w:hAnsi="Times New Roman" w:eastAsia="Times New Roman" w:cs="Times New Roman"/>
          <w:spacing w:val="-2"/>
          <w:sz w:val="24"/>
          <w:szCs w:val="24"/>
        </w:rPr>
        <w:t xml:space="preserve">2.7 </w:t>
      </w:r>
      <w:r>
        <w:rPr>
          <w:spacing w:val="-2"/>
          <w:sz w:val="24"/>
          <w:szCs w:val="24"/>
        </w:rPr>
        <w:t>亿元，实现“政府、企业、群众”三方受益。</w:t>
      </w:r>
    </w:p>
    <w:p w14:paraId="3068626F">
      <w:pPr>
        <w:pStyle w:val="2"/>
        <w:spacing w:line="337" w:lineRule="auto"/>
        <w:ind w:left="39" w:right="173" w:firstLine="486"/>
        <w:jc w:val="both"/>
        <w:rPr>
          <w:sz w:val="24"/>
          <w:szCs w:val="24"/>
        </w:rPr>
      </w:pPr>
      <w:r>
        <w:rPr>
          <w:spacing w:val="-7"/>
          <w:sz w:val="24"/>
          <w:szCs w:val="24"/>
        </w:rPr>
        <w:t>市县均成立以政府分管领导为组长的高效节水灌溉工作领导小组，每年</w:t>
      </w:r>
      <w:r>
        <w:rPr>
          <w:spacing w:val="-21"/>
          <w:sz w:val="24"/>
          <w:szCs w:val="24"/>
        </w:rPr>
        <w:t xml:space="preserve"> </w:t>
      </w:r>
      <w:r>
        <w:rPr>
          <w:rFonts w:ascii="Times New Roman" w:hAnsi="Times New Roman" w:eastAsia="Times New Roman" w:cs="Times New Roman"/>
          <w:spacing w:val="-7"/>
          <w:sz w:val="24"/>
          <w:szCs w:val="24"/>
        </w:rPr>
        <w:t xml:space="preserve">1 </w:t>
      </w:r>
      <w:r>
        <w:rPr>
          <w:spacing w:val="-7"/>
          <w:sz w:val="24"/>
          <w:szCs w:val="24"/>
        </w:rPr>
        <w:t>月，</w:t>
      </w:r>
      <w:r>
        <w:rPr>
          <w:spacing w:val="-6"/>
          <w:sz w:val="24"/>
          <w:szCs w:val="24"/>
        </w:rPr>
        <w:t>市水、财政、国土、烟草联合下文分解建设任务，并分别与对口部门签订责任书，</w:t>
      </w:r>
      <w:r>
        <w:rPr>
          <w:spacing w:val="-2"/>
          <w:sz w:val="24"/>
          <w:szCs w:val="24"/>
        </w:rPr>
        <w:t>层层压实建设责任，合力推进高效节水灌溉建设。</w:t>
      </w:r>
    </w:p>
    <w:p w14:paraId="46C4B292">
      <w:pPr>
        <w:pStyle w:val="2"/>
        <w:spacing w:before="6" w:line="341" w:lineRule="auto"/>
        <w:ind w:left="40" w:right="121" w:firstLine="480"/>
        <w:rPr>
          <w:sz w:val="24"/>
          <w:szCs w:val="24"/>
        </w:rPr>
      </w:pPr>
      <w:r>
        <w:rPr>
          <w:spacing w:val="3"/>
          <w:sz w:val="24"/>
          <w:szCs w:val="24"/>
        </w:rPr>
        <w:t>重点围绕昆曲绿色经济带建设和高原特色农业发</w:t>
      </w:r>
      <w:r>
        <w:rPr>
          <w:spacing w:val="2"/>
          <w:sz w:val="24"/>
          <w:szCs w:val="24"/>
        </w:rPr>
        <w:t>展，全面统筹大中型灌区水</w:t>
      </w:r>
      <w:r>
        <w:rPr>
          <w:spacing w:val="-4"/>
          <w:sz w:val="24"/>
          <w:szCs w:val="24"/>
        </w:rPr>
        <w:t>利建设和高原特色农业产业发展规划，根据水源有保障、土地已流转、</w:t>
      </w:r>
      <w:r>
        <w:rPr>
          <w:spacing w:val="-5"/>
          <w:sz w:val="24"/>
          <w:szCs w:val="24"/>
        </w:rPr>
        <w:t>企业已入驻</w:t>
      </w:r>
    </w:p>
    <w:p w14:paraId="7767DC8A">
      <w:pPr>
        <w:spacing w:line="341" w:lineRule="auto"/>
        <w:rPr>
          <w:sz w:val="24"/>
          <w:szCs w:val="24"/>
        </w:rPr>
        <w:sectPr>
          <w:headerReference r:id="rId101" w:type="default"/>
          <w:footerReference r:id="rId102" w:type="default"/>
          <w:pgSz w:w="11907" w:h="16839"/>
          <w:pgMar w:top="1376" w:right="1579" w:bottom="1061" w:left="1671" w:header="999" w:footer="861" w:gutter="0"/>
          <w:cols w:space="720" w:num="1"/>
        </w:sectPr>
      </w:pPr>
    </w:p>
    <w:p w14:paraId="5599AE78">
      <w:pPr>
        <w:spacing w:line="455" w:lineRule="auto"/>
        <w:rPr>
          <w:rFonts w:ascii="Arial"/>
          <w:sz w:val="21"/>
        </w:rPr>
      </w:pPr>
    </w:p>
    <w:p w14:paraId="794850A3">
      <w:pPr>
        <w:pStyle w:val="2"/>
        <w:spacing w:before="78" w:line="331" w:lineRule="auto"/>
        <w:ind w:left="61" w:right="185" w:hanging="22"/>
        <w:rPr>
          <w:sz w:val="24"/>
          <w:szCs w:val="24"/>
        </w:rPr>
      </w:pPr>
      <w:r>
        <w:rPr>
          <w:spacing w:val="-10"/>
          <w:sz w:val="24"/>
          <w:szCs w:val="24"/>
        </w:rPr>
        <w:t>且积极性高、发展高原特色农业产业的原则， 项目覆盖全市</w:t>
      </w:r>
      <w:r>
        <w:rPr>
          <w:spacing w:val="-50"/>
          <w:sz w:val="24"/>
          <w:szCs w:val="24"/>
        </w:rPr>
        <w:t xml:space="preserve"> </w:t>
      </w:r>
      <w:r>
        <w:rPr>
          <w:rFonts w:ascii="Times New Roman" w:hAnsi="Times New Roman" w:eastAsia="Times New Roman" w:cs="Times New Roman"/>
          <w:spacing w:val="-10"/>
          <w:sz w:val="24"/>
          <w:szCs w:val="24"/>
        </w:rPr>
        <w:t xml:space="preserve">9 </w:t>
      </w:r>
      <w:r>
        <w:rPr>
          <w:spacing w:val="-10"/>
          <w:sz w:val="24"/>
          <w:szCs w:val="24"/>
        </w:rPr>
        <w:t>个县（</w:t>
      </w:r>
      <w:r>
        <w:rPr>
          <w:spacing w:val="-11"/>
          <w:sz w:val="24"/>
          <w:szCs w:val="24"/>
        </w:rPr>
        <w:t>市、区） 的大</w:t>
      </w:r>
      <w:r>
        <w:rPr>
          <w:spacing w:val="-6"/>
          <w:sz w:val="24"/>
          <w:szCs w:val="24"/>
        </w:rPr>
        <w:t>中小型灌区及部分山区。</w:t>
      </w:r>
    </w:p>
    <w:p w14:paraId="657339B9">
      <w:pPr>
        <w:pStyle w:val="2"/>
        <w:spacing w:before="21" w:line="338" w:lineRule="auto"/>
        <w:ind w:left="38" w:right="184" w:firstLine="486"/>
        <w:jc w:val="both"/>
        <w:rPr>
          <w:sz w:val="24"/>
          <w:szCs w:val="24"/>
        </w:rPr>
      </w:pPr>
      <w:r>
        <w:rPr>
          <w:spacing w:val="-5"/>
          <w:sz w:val="24"/>
          <w:szCs w:val="24"/>
        </w:rPr>
        <w:t>实行定期报告制度，责任部门定期向市政府汇报高效节水灌溉进展情况。建立</w:t>
      </w:r>
      <w:r>
        <w:rPr>
          <w:spacing w:val="-7"/>
          <w:sz w:val="24"/>
          <w:szCs w:val="24"/>
        </w:rPr>
        <w:t>部门联席会议制度，水务、发改、财政、农业、国土、烟草是联席会议成</w:t>
      </w:r>
      <w:r>
        <w:rPr>
          <w:spacing w:val="-8"/>
          <w:sz w:val="24"/>
          <w:szCs w:val="24"/>
        </w:rPr>
        <w:t>员， 轮流</w:t>
      </w:r>
      <w:r>
        <w:rPr>
          <w:spacing w:val="-4"/>
          <w:sz w:val="24"/>
          <w:szCs w:val="24"/>
        </w:rPr>
        <w:t>定期召集召开联席会议，及时协调解决项目立项、建设、资金、土地流转等方面存</w:t>
      </w:r>
      <w:r>
        <w:rPr>
          <w:spacing w:val="-2"/>
          <w:sz w:val="24"/>
          <w:szCs w:val="24"/>
        </w:rPr>
        <w:t>在的困难和问题，合力推力高效节水灌溉项目建设工作。</w:t>
      </w:r>
    </w:p>
    <w:p w14:paraId="4F3B98AA">
      <w:pPr>
        <w:pStyle w:val="2"/>
        <w:spacing w:before="1" w:line="338" w:lineRule="auto"/>
        <w:ind w:left="40" w:right="185" w:firstLine="479"/>
        <w:jc w:val="both"/>
        <w:rPr>
          <w:sz w:val="24"/>
          <w:szCs w:val="24"/>
        </w:rPr>
      </w:pPr>
      <w:r>
        <w:rPr>
          <w:spacing w:val="-1"/>
          <w:sz w:val="24"/>
          <w:szCs w:val="24"/>
        </w:rPr>
        <w:t>通过</w:t>
      </w:r>
      <w:r>
        <w:rPr>
          <w:spacing w:val="-17"/>
          <w:sz w:val="24"/>
          <w:szCs w:val="24"/>
        </w:rPr>
        <w:t xml:space="preserve"> </w:t>
      </w:r>
      <w:r>
        <w:rPr>
          <w:rFonts w:ascii="Times New Roman" w:hAnsi="Times New Roman" w:eastAsia="Times New Roman" w:cs="Times New Roman"/>
          <w:spacing w:val="-1"/>
          <w:sz w:val="24"/>
          <w:szCs w:val="24"/>
        </w:rPr>
        <w:t>PPP</w:t>
      </w:r>
      <w:r>
        <w:rPr>
          <w:rFonts w:ascii="Times New Roman" w:hAnsi="Times New Roman" w:eastAsia="Times New Roman" w:cs="Times New Roman"/>
          <w:spacing w:val="44"/>
          <w:w w:val="101"/>
          <w:sz w:val="24"/>
          <w:szCs w:val="24"/>
        </w:rPr>
        <w:t xml:space="preserve"> </w:t>
      </w:r>
      <w:r>
        <w:rPr>
          <w:spacing w:val="-1"/>
          <w:sz w:val="24"/>
          <w:szCs w:val="24"/>
        </w:rPr>
        <w:t>等模式，广泛吸引企业、个体户参与高效节水灌溉项目建设，一方</w:t>
      </w:r>
      <w:r>
        <w:rPr>
          <w:spacing w:val="-4"/>
          <w:sz w:val="24"/>
          <w:szCs w:val="24"/>
        </w:rPr>
        <w:t>面减轻财政压力，另一方面提高了参与方的建管积极性，在高效节水灌</w:t>
      </w:r>
      <w:r>
        <w:rPr>
          <w:spacing w:val="-5"/>
          <w:sz w:val="24"/>
          <w:szCs w:val="24"/>
        </w:rPr>
        <w:t>溉方面取得</w:t>
      </w:r>
      <w:r>
        <w:rPr>
          <w:spacing w:val="-8"/>
          <w:sz w:val="24"/>
          <w:szCs w:val="24"/>
        </w:rPr>
        <w:t>良好效益。</w:t>
      </w:r>
    </w:p>
    <w:p w14:paraId="48FC93D8">
      <w:pPr>
        <w:pStyle w:val="2"/>
        <w:spacing w:line="232"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）曲靖中心城区污水处理设施概况</w:t>
      </w:r>
    </w:p>
    <w:p w14:paraId="0EFE6F85">
      <w:pPr>
        <w:pStyle w:val="2"/>
        <w:spacing w:before="137" w:line="337" w:lineRule="auto"/>
        <w:ind w:left="40" w:right="184" w:firstLine="480"/>
        <w:jc w:val="both"/>
        <w:rPr>
          <w:sz w:val="24"/>
          <w:szCs w:val="24"/>
        </w:rPr>
      </w:pPr>
      <w:r>
        <w:rPr>
          <w:spacing w:val="-5"/>
          <w:sz w:val="24"/>
          <w:szCs w:val="24"/>
        </w:rPr>
        <w:t>经调查，曲靖市规划区域已建污水处理厂</w:t>
      </w:r>
      <w:r>
        <w:rPr>
          <w:spacing w:val="-33"/>
          <w:sz w:val="24"/>
          <w:szCs w:val="24"/>
        </w:rPr>
        <w:t xml:space="preserve"> </w:t>
      </w:r>
      <w:r>
        <w:rPr>
          <w:rFonts w:ascii="Times New Roman" w:hAnsi="Times New Roman" w:eastAsia="Times New Roman" w:cs="Times New Roman"/>
          <w:spacing w:val="-5"/>
          <w:sz w:val="24"/>
          <w:szCs w:val="24"/>
        </w:rPr>
        <w:t xml:space="preserve">5 </w:t>
      </w:r>
      <w:r>
        <w:rPr>
          <w:spacing w:val="-5"/>
          <w:sz w:val="24"/>
          <w:szCs w:val="24"/>
        </w:rPr>
        <w:t>座，分别为：西城污水处理厂、两</w:t>
      </w:r>
      <w:r>
        <w:rPr>
          <w:spacing w:val="-4"/>
          <w:sz w:val="24"/>
          <w:szCs w:val="24"/>
        </w:rPr>
        <w:t>江口污水处理厂、沾益区污水处理厂、麒麟区城南片区污水处理厂和马龙</w:t>
      </w:r>
      <w:r>
        <w:rPr>
          <w:spacing w:val="-5"/>
          <w:sz w:val="24"/>
          <w:szCs w:val="24"/>
        </w:rPr>
        <w:t>区污水处</w:t>
      </w:r>
      <w:r>
        <w:rPr>
          <w:spacing w:val="-4"/>
          <w:sz w:val="24"/>
          <w:szCs w:val="24"/>
        </w:rPr>
        <w:t>理厂，各污水处理厂基本情况如下：</w:t>
      </w:r>
    </w:p>
    <w:p w14:paraId="2F4FDFB6">
      <w:pPr>
        <w:pStyle w:val="2"/>
        <w:spacing w:before="7" w:line="217" w:lineRule="auto"/>
        <w:ind w:left="518"/>
        <w:rPr>
          <w:sz w:val="24"/>
          <w:szCs w:val="24"/>
        </w:rPr>
      </w:pPr>
      <w:r>
        <w:rPr>
          <w:spacing w:val="-2"/>
          <w:sz w:val="24"/>
          <w:szCs w:val="24"/>
        </w:rPr>
        <w:t>①西城污水处理厂</w:t>
      </w:r>
    </w:p>
    <w:p w14:paraId="2883AC3A">
      <w:pPr>
        <w:pStyle w:val="2"/>
        <w:spacing w:before="160" w:line="338" w:lineRule="auto"/>
        <w:ind w:left="42" w:right="190" w:firstLine="477"/>
        <w:rPr>
          <w:sz w:val="24"/>
          <w:szCs w:val="24"/>
        </w:rPr>
      </w:pPr>
      <w:r>
        <w:rPr>
          <w:spacing w:val="3"/>
          <w:sz w:val="24"/>
          <w:szCs w:val="24"/>
        </w:rPr>
        <w:t>地理位置：西城污水处理厂位于曲靖市麒麟区西城</w:t>
      </w:r>
      <w:r>
        <w:rPr>
          <w:spacing w:val="2"/>
          <w:sz w:val="24"/>
          <w:szCs w:val="24"/>
        </w:rPr>
        <w:t>街道办事处贵昆铁路复线</w:t>
      </w:r>
      <w:r>
        <w:rPr>
          <w:spacing w:val="-14"/>
          <w:sz w:val="24"/>
          <w:szCs w:val="24"/>
        </w:rPr>
        <w:t>以东（白石江南侧，菁萁凹片区域上东侧，云南模具二厂西侧</w:t>
      </w:r>
      <w:r>
        <w:rPr>
          <w:spacing w:val="-22"/>
          <w:sz w:val="24"/>
          <w:szCs w:val="24"/>
        </w:rPr>
        <w:t>），</w:t>
      </w:r>
      <w:r>
        <w:rPr>
          <w:spacing w:val="-14"/>
          <w:sz w:val="24"/>
          <w:szCs w:val="24"/>
        </w:rPr>
        <w:t>占地面积</w:t>
      </w:r>
      <w:r>
        <w:rPr>
          <w:spacing w:val="-45"/>
          <w:sz w:val="24"/>
          <w:szCs w:val="24"/>
        </w:rPr>
        <w:t xml:space="preserve"> </w:t>
      </w:r>
      <w:r>
        <w:rPr>
          <w:rFonts w:ascii="Times New Roman" w:hAnsi="Times New Roman" w:eastAsia="Times New Roman" w:cs="Times New Roman"/>
          <w:spacing w:val="-14"/>
          <w:sz w:val="24"/>
          <w:szCs w:val="24"/>
        </w:rPr>
        <w:t xml:space="preserve">82.69 </w:t>
      </w:r>
      <w:r>
        <w:rPr>
          <w:spacing w:val="-14"/>
          <w:sz w:val="24"/>
          <w:szCs w:val="24"/>
        </w:rPr>
        <w:t>亩。</w:t>
      </w:r>
      <w:r>
        <w:rPr>
          <w:spacing w:val="-6"/>
          <w:sz w:val="24"/>
          <w:szCs w:val="24"/>
        </w:rPr>
        <w:t>厂区中心坐标为：</w:t>
      </w:r>
      <w:r>
        <w:rPr>
          <w:rFonts w:ascii="Times New Roman" w:hAnsi="Times New Roman" w:eastAsia="Times New Roman" w:cs="Times New Roman"/>
          <w:spacing w:val="-6"/>
          <w:sz w:val="24"/>
          <w:szCs w:val="24"/>
        </w:rPr>
        <w:t>N25</w:t>
      </w:r>
      <w:r>
        <w:rPr>
          <w:rFonts w:ascii="Times New Roman" w:hAnsi="Times New Roman" w:eastAsia="Times New Roman" w:cs="Times New Roman"/>
          <w:spacing w:val="-29"/>
          <w:sz w:val="24"/>
          <w:szCs w:val="24"/>
        </w:rPr>
        <w:t xml:space="preserve"> </w:t>
      </w:r>
      <w:r>
        <w:rPr>
          <w:spacing w:val="-6"/>
          <w:sz w:val="24"/>
          <w:szCs w:val="24"/>
        </w:rPr>
        <w:t>°</w:t>
      </w:r>
      <w:r>
        <w:rPr>
          <w:rFonts w:ascii="Times New Roman" w:hAnsi="Times New Roman" w:eastAsia="Times New Roman" w:cs="Times New Roman"/>
          <w:spacing w:val="-6"/>
          <w:sz w:val="24"/>
          <w:szCs w:val="24"/>
        </w:rPr>
        <w:t>31</w:t>
      </w:r>
      <w:r>
        <w:rPr>
          <w:rFonts w:ascii="Times New Roman" w:hAnsi="Times New Roman" w:eastAsia="Times New Roman" w:cs="Times New Roman"/>
          <w:spacing w:val="-17"/>
          <w:sz w:val="24"/>
          <w:szCs w:val="24"/>
        </w:rPr>
        <w:t xml:space="preserve"> </w:t>
      </w:r>
      <w:r>
        <w:rPr>
          <w:spacing w:val="-6"/>
          <w:sz w:val="24"/>
          <w:szCs w:val="24"/>
        </w:rPr>
        <w:t>′</w:t>
      </w:r>
      <w:r>
        <w:rPr>
          <w:rFonts w:ascii="Times New Roman" w:hAnsi="Times New Roman" w:eastAsia="Times New Roman" w:cs="Times New Roman"/>
          <w:spacing w:val="-6"/>
          <w:sz w:val="24"/>
          <w:szCs w:val="24"/>
        </w:rPr>
        <w:t>6</w:t>
      </w:r>
      <w:r>
        <w:rPr>
          <w:spacing w:val="-6"/>
          <w:sz w:val="24"/>
          <w:szCs w:val="24"/>
        </w:rPr>
        <w:t>″，</w:t>
      </w:r>
      <w:r>
        <w:rPr>
          <w:rFonts w:ascii="Times New Roman" w:hAnsi="Times New Roman" w:eastAsia="Times New Roman" w:cs="Times New Roman"/>
          <w:spacing w:val="-6"/>
          <w:sz w:val="24"/>
          <w:szCs w:val="24"/>
        </w:rPr>
        <w:t>E103</w:t>
      </w:r>
      <w:r>
        <w:rPr>
          <w:rFonts w:ascii="Times New Roman" w:hAnsi="Times New Roman" w:eastAsia="Times New Roman" w:cs="Times New Roman"/>
          <w:spacing w:val="-29"/>
          <w:sz w:val="24"/>
          <w:szCs w:val="24"/>
        </w:rPr>
        <w:t xml:space="preserve"> </w:t>
      </w:r>
      <w:r>
        <w:rPr>
          <w:spacing w:val="-6"/>
          <w:sz w:val="24"/>
          <w:szCs w:val="24"/>
        </w:rPr>
        <w:t>°</w:t>
      </w:r>
      <w:r>
        <w:rPr>
          <w:rFonts w:ascii="Times New Roman" w:hAnsi="Times New Roman" w:eastAsia="Times New Roman" w:cs="Times New Roman"/>
          <w:spacing w:val="-7"/>
          <w:sz w:val="24"/>
          <w:szCs w:val="24"/>
        </w:rPr>
        <w:t>47</w:t>
      </w:r>
      <w:r>
        <w:rPr>
          <w:rFonts w:ascii="Times New Roman" w:hAnsi="Times New Roman" w:eastAsia="Times New Roman" w:cs="Times New Roman"/>
          <w:spacing w:val="-16"/>
          <w:sz w:val="24"/>
          <w:szCs w:val="24"/>
        </w:rPr>
        <w:t xml:space="preserve"> </w:t>
      </w:r>
      <w:r>
        <w:rPr>
          <w:spacing w:val="-7"/>
          <w:sz w:val="24"/>
          <w:szCs w:val="24"/>
        </w:rPr>
        <w:t>′</w:t>
      </w:r>
      <w:r>
        <w:rPr>
          <w:rFonts w:ascii="Times New Roman" w:hAnsi="Times New Roman" w:eastAsia="Times New Roman" w:cs="Times New Roman"/>
          <w:spacing w:val="-7"/>
          <w:sz w:val="24"/>
          <w:szCs w:val="24"/>
        </w:rPr>
        <w:t>9</w:t>
      </w:r>
      <w:r>
        <w:rPr>
          <w:spacing w:val="-7"/>
          <w:sz w:val="24"/>
          <w:szCs w:val="24"/>
        </w:rPr>
        <w:t>″。</w:t>
      </w:r>
    </w:p>
    <w:p w14:paraId="733E7813">
      <w:pPr>
        <w:pStyle w:val="2"/>
        <w:spacing w:before="5" w:line="338" w:lineRule="auto"/>
        <w:ind w:left="40" w:right="183" w:firstLine="479"/>
        <w:jc w:val="both"/>
        <w:rPr>
          <w:sz w:val="24"/>
          <w:szCs w:val="24"/>
        </w:rPr>
      </w:pPr>
      <w:r>
        <w:rPr>
          <w:spacing w:val="-5"/>
          <w:sz w:val="24"/>
          <w:szCs w:val="24"/>
        </w:rPr>
        <w:t>服务范围：主要接纳中心城区西片区约</w:t>
      </w:r>
      <w:r>
        <w:rPr>
          <w:spacing w:val="-31"/>
          <w:sz w:val="24"/>
          <w:szCs w:val="24"/>
        </w:rPr>
        <w:t xml:space="preserve"> </w:t>
      </w:r>
      <w:r>
        <w:rPr>
          <w:rFonts w:ascii="Times New Roman" w:hAnsi="Times New Roman" w:eastAsia="Times New Roman" w:cs="Times New Roman"/>
          <w:spacing w:val="-5"/>
          <w:sz w:val="24"/>
          <w:szCs w:val="24"/>
        </w:rPr>
        <w:t>10km</w:t>
      </w:r>
      <w:r>
        <w:rPr>
          <w:rFonts w:ascii="Times New Roman" w:hAnsi="Times New Roman" w:eastAsia="Times New Roman" w:cs="Times New Roman"/>
          <w:spacing w:val="-5"/>
          <w:position w:val="8"/>
          <w:sz w:val="15"/>
          <w:szCs w:val="15"/>
        </w:rPr>
        <w:t>2</w:t>
      </w:r>
      <w:r>
        <w:rPr>
          <w:rFonts w:ascii="Times New Roman" w:hAnsi="Times New Roman" w:eastAsia="Times New Roman" w:cs="Times New Roman"/>
          <w:spacing w:val="19"/>
          <w:position w:val="8"/>
          <w:sz w:val="15"/>
          <w:szCs w:val="15"/>
        </w:rPr>
        <w:t xml:space="preserve"> </w:t>
      </w:r>
      <w:r>
        <w:rPr>
          <w:spacing w:val="-6"/>
          <w:sz w:val="24"/>
          <w:szCs w:val="24"/>
        </w:rPr>
        <w:t>范围内（含经开区）的企业和居</w:t>
      </w:r>
      <w:r>
        <w:rPr>
          <w:spacing w:val="-4"/>
          <w:sz w:val="24"/>
          <w:szCs w:val="24"/>
        </w:rPr>
        <w:t>民区处理达到《污水排入城镇下水道水质标准》（</w:t>
      </w:r>
      <w:r>
        <w:rPr>
          <w:rFonts w:ascii="Times New Roman" w:hAnsi="Times New Roman" w:eastAsia="Times New Roman" w:cs="Times New Roman"/>
          <w:spacing w:val="-4"/>
          <w:sz w:val="24"/>
          <w:szCs w:val="24"/>
        </w:rPr>
        <w:t>GB/T31962-2015</w:t>
      </w:r>
      <w:r>
        <w:rPr>
          <w:spacing w:val="-4"/>
          <w:sz w:val="24"/>
          <w:szCs w:val="24"/>
        </w:rPr>
        <w:t>）</w:t>
      </w:r>
      <w:r>
        <w:rPr>
          <w:rFonts w:ascii="Times New Roman" w:hAnsi="Times New Roman" w:eastAsia="Times New Roman" w:cs="Times New Roman"/>
          <w:spacing w:val="-4"/>
          <w:sz w:val="24"/>
          <w:szCs w:val="24"/>
        </w:rPr>
        <w:t xml:space="preserve">A </w:t>
      </w:r>
      <w:r>
        <w:rPr>
          <w:spacing w:val="-4"/>
          <w:sz w:val="24"/>
          <w:szCs w:val="24"/>
        </w:rPr>
        <w:t>等标准后的</w:t>
      </w:r>
      <w:r>
        <w:rPr>
          <w:spacing w:val="-9"/>
          <w:sz w:val="24"/>
          <w:szCs w:val="24"/>
        </w:rPr>
        <w:t>生产、生活污水，</w:t>
      </w:r>
      <w:r>
        <w:rPr>
          <w:spacing w:val="55"/>
          <w:sz w:val="24"/>
          <w:szCs w:val="24"/>
        </w:rPr>
        <w:t xml:space="preserve"> </w:t>
      </w:r>
      <w:r>
        <w:rPr>
          <w:spacing w:val="-9"/>
          <w:sz w:val="24"/>
          <w:szCs w:val="24"/>
        </w:rPr>
        <w:t>目前片区内已建成瑞和西路、和兴街、环北路、靖阳路、学府路</w:t>
      </w:r>
      <w:r>
        <w:rPr>
          <w:spacing w:val="-1"/>
          <w:sz w:val="24"/>
          <w:szCs w:val="24"/>
        </w:rPr>
        <w:t xml:space="preserve">等市政道路配套已建污水管网长度约 </w:t>
      </w:r>
      <w:r>
        <w:rPr>
          <w:rFonts w:ascii="Times New Roman" w:hAnsi="Times New Roman" w:eastAsia="Times New Roman" w:cs="Times New Roman"/>
          <w:spacing w:val="-1"/>
          <w:sz w:val="24"/>
          <w:szCs w:val="24"/>
        </w:rPr>
        <w:t>128.14km</w:t>
      </w:r>
      <w:r>
        <w:rPr>
          <w:spacing w:val="-1"/>
          <w:sz w:val="24"/>
          <w:szCs w:val="24"/>
        </w:rPr>
        <w:t>，为确保经开区水环境白石江水质改善目标的要求，</w:t>
      </w:r>
      <w:r>
        <w:rPr>
          <w:rFonts w:ascii="Times New Roman" w:hAnsi="Times New Roman" w:eastAsia="Times New Roman" w:cs="Times New Roman"/>
          <w:spacing w:val="-1"/>
          <w:sz w:val="24"/>
          <w:szCs w:val="24"/>
        </w:rPr>
        <w:t>2018</w:t>
      </w:r>
      <w:r>
        <w:rPr>
          <w:rFonts w:ascii="Times New Roman" w:hAnsi="Times New Roman" w:eastAsia="Times New Roman" w:cs="Times New Roman"/>
          <w:spacing w:val="63"/>
          <w:w w:val="101"/>
          <w:sz w:val="24"/>
          <w:szCs w:val="24"/>
        </w:rPr>
        <w:t xml:space="preserve"> </w:t>
      </w:r>
      <w:r>
        <w:rPr>
          <w:spacing w:val="-1"/>
          <w:sz w:val="24"/>
          <w:szCs w:val="24"/>
        </w:rPr>
        <w:t>年</w:t>
      </w:r>
      <w:r>
        <w:rPr>
          <w:rFonts w:ascii="Times New Roman" w:hAnsi="Times New Roman" w:eastAsia="Times New Roman" w:cs="Times New Roman"/>
          <w:spacing w:val="-1"/>
          <w:sz w:val="24"/>
          <w:szCs w:val="24"/>
        </w:rPr>
        <w:t>~2019</w:t>
      </w:r>
      <w:r>
        <w:rPr>
          <w:rFonts w:ascii="Times New Roman" w:hAnsi="Times New Roman" w:eastAsia="Times New Roman" w:cs="Times New Roman"/>
          <w:spacing w:val="59"/>
          <w:sz w:val="24"/>
          <w:szCs w:val="24"/>
        </w:rPr>
        <w:t xml:space="preserve"> </w:t>
      </w:r>
      <w:r>
        <w:rPr>
          <w:spacing w:val="-1"/>
          <w:sz w:val="24"/>
          <w:szCs w:val="24"/>
        </w:rPr>
        <w:t>年政府相关部门加大了污水管网的投资建设，在</w:t>
      </w:r>
      <w:r>
        <w:rPr>
          <w:spacing w:val="-2"/>
          <w:sz w:val="24"/>
          <w:szCs w:val="24"/>
        </w:rPr>
        <w:t>建污水管网约</w:t>
      </w:r>
      <w:r>
        <w:rPr>
          <w:spacing w:val="-32"/>
          <w:sz w:val="24"/>
          <w:szCs w:val="24"/>
        </w:rPr>
        <w:t xml:space="preserve"> </w:t>
      </w:r>
      <w:r>
        <w:rPr>
          <w:rFonts w:ascii="Times New Roman" w:hAnsi="Times New Roman" w:eastAsia="Times New Roman" w:cs="Times New Roman"/>
          <w:spacing w:val="-2"/>
          <w:sz w:val="24"/>
          <w:szCs w:val="24"/>
        </w:rPr>
        <w:t>13.4km</w:t>
      </w:r>
      <w:r>
        <w:rPr>
          <w:spacing w:val="-2"/>
          <w:sz w:val="24"/>
          <w:szCs w:val="24"/>
        </w:rPr>
        <w:t>，拟建</w:t>
      </w:r>
      <w:r>
        <w:rPr>
          <w:spacing w:val="-45"/>
          <w:sz w:val="24"/>
          <w:szCs w:val="24"/>
        </w:rPr>
        <w:t xml:space="preserve"> </w:t>
      </w:r>
      <w:r>
        <w:rPr>
          <w:rFonts w:ascii="Times New Roman" w:hAnsi="Times New Roman" w:eastAsia="Times New Roman" w:cs="Times New Roman"/>
          <w:spacing w:val="-2"/>
          <w:sz w:val="24"/>
          <w:szCs w:val="24"/>
        </w:rPr>
        <w:t xml:space="preserve">8km </w:t>
      </w:r>
      <w:r>
        <w:rPr>
          <w:spacing w:val="-2"/>
          <w:sz w:val="24"/>
          <w:szCs w:val="24"/>
        </w:rPr>
        <w:t>污水支线管网联通主干管，目前园区内生活</w:t>
      </w:r>
      <w:r>
        <w:rPr>
          <w:spacing w:val="-3"/>
          <w:sz w:val="24"/>
          <w:szCs w:val="24"/>
        </w:rPr>
        <w:t>污水</w:t>
      </w:r>
      <w:r>
        <w:rPr>
          <w:sz w:val="24"/>
          <w:szCs w:val="24"/>
        </w:rPr>
        <w:t xml:space="preserve">约 </w:t>
      </w:r>
      <w:r>
        <w:rPr>
          <w:rFonts w:ascii="Times New Roman" w:hAnsi="Times New Roman" w:eastAsia="Times New Roman" w:cs="Times New Roman"/>
          <w:sz w:val="24"/>
          <w:szCs w:val="24"/>
        </w:rPr>
        <w:t>75%</w:t>
      </w:r>
      <w:r>
        <w:rPr>
          <w:sz w:val="24"/>
          <w:szCs w:val="24"/>
        </w:rPr>
        <w:t>左右，区域生活污水收集后排入西城污水处理厂处理，处理后尾水排入白</w:t>
      </w:r>
      <w:r>
        <w:rPr>
          <w:spacing w:val="-5"/>
          <w:sz w:val="24"/>
          <w:szCs w:val="24"/>
        </w:rPr>
        <w:t>石江。排污口位置坐标：</w:t>
      </w:r>
      <w:r>
        <w:rPr>
          <w:rFonts w:ascii="Times New Roman" w:hAnsi="Times New Roman" w:eastAsia="Times New Roman" w:cs="Times New Roman"/>
          <w:spacing w:val="-5"/>
          <w:sz w:val="24"/>
          <w:szCs w:val="24"/>
        </w:rPr>
        <w:t>N25</w:t>
      </w:r>
      <w:r>
        <w:rPr>
          <w:rFonts w:ascii="Times New Roman" w:hAnsi="Times New Roman" w:eastAsia="Times New Roman" w:cs="Times New Roman"/>
          <w:spacing w:val="-29"/>
          <w:sz w:val="24"/>
          <w:szCs w:val="24"/>
        </w:rPr>
        <w:t xml:space="preserve"> </w:t>
      </w:r>
      <w:r>
        <w:rPr>
          <w:spacing w:val="-5"/>
          <w:sz w:val="24"/>
          <w:szCs w:val="24"/>
        </w:rPr>
        <w:t>°</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17"/>
          <w:sz w:val="24"/>
          <w:szCs w:val="24"/>
        </w:rPr>
        <w:t xml:space="preserve"> </w:t>
      </w:r>
      <w:r>
        <w:rPr>
          <w:spacing w:val="-5"/>
          <w:sz w:val="24"/>
          <w:szCs w:val="24"/>
        </w:rPr>
        <w:t>′</w:t>
      </w:r>
      <w:r>
        <w:rPr>
          <w:rFonts w:ascii="Times New Roman" w:hAnsi="Times New Roman" w:eastAsia="Times New Roman" w:cs="Times New Roman"/>
          <w:spacing w:val="-5"/>
          <w:sz w:val="24"/>
          <w:szCs w:val="24"/>
        </w:rPr>
        <w:t>5.59</w:t>
      </w:r>
      <w:r>
        <w:rPr>
          <w:spacing w:val="-5"/>
          <w:sz w:val="24"/>
          <w:szCs w:val="24"/>
        </w:rPr>
        <w:t>″，</w:t>
      </w:r>
      <w:r>
        <w:rPr>
          <w:rFonts w:ascii="Times New Roman" w:hAnsi="Times New Roman" w:eastAsia="Times New Roman" w:cs="Times New Roman"/>
          <w:spacing w:val="-5"/>
          <w:sz w:val="24"/>
          <w:szCs w:val="24"/>
        </w:rPr>
        <w:t>E103</w:t>
      </w:r>
      <w:r>
        <w:rPr>
          <w:rFonts w:ascii="Times New Roman" w:hAnsi="Times New Roman" w:eastAsia="Times New Roman" w:cs="Times New Roman"/>
          <w:spacing w:val="-29"/>
          <w:sz w:val="24"/>
          <w:szCs w:val="24"/>
        </w:rPr>
        <w:t xml:space="preserve"> </w:t>
      </w:r>
      <w:r>
        <w:rPr>
          <w:spacing w:val="-6"/>
          <w:sz w:val="24"/>
          <w:szCs w:val="24"/>
        </w:rPr>
        <w:t>°</w:t>
      </w:r>
      <w:r>
        <w:rPr>
          <w:rFonts w:ascii="Times New Roman" w:hAnsi="Times New Roman" w:eastAsia="Times New Roman" w:cs="Times New Roman"/>
          <w:spacing w:val="-6"/>
          <w:sz w:val="24"/>
          <w:szCs w:val="24"/>
        </w:rPr>
        <w:t>47</w:t>
      </w:r>
      <w:r>
        <w:rPr>
          <w:rFonts w:ascii="Times New Roman" w:hAnsi="Times New Roman" w:eastAsia="Times New Roman" w:cs="Times New Roman"/>
          <w:spacing w:val="-16"/>
          <w:sz w:val="24"/>
          <w:szCs w:val="24"/>
        </w:rPr>
        <w:t xml:space="preserve"> </w:t>
      </w:r>
      <w:r>
        <w:rPr>
          <w:spacing w:val="-6"/>
          <w:sz w:val="24"/>
          <w:szCs w:val="24"/>
        </w:rPr>
        <w:t>′</w:t>
      </w:r>
      <w:r>
        <w:rPr>
          <w:spacing w:val="-92"/>
          <w:sz w:val="24"/>
          <w:szCs w:val="24"/>
        </w:rPr>
        <w:t xml:space="preserve"> </w:t>
      </w:r>
      <w:r>
        <w:rPr>
          <w:rFonts w:ascii="Times New Roman" w:hAnsi="Times New Roman" w:eastAsia="Times New Roman" w:cs="Times New Roman"/>
          <w:spacing w:val="-6"/>
          <w:sz w:val="24"/>
          <w:szCs w:val="24"/>
        </w:rPr>
        <w:t>14.24</w:t>
      </w:r>
      <w:r>
        <w:rPr>
          <w:spacing w:val="-6"/>
          <w:sz w:val="24"/>
          <w:szCs w:val="24"/>
        </w:rPr>
        <w:t>″。</w:t>
      </w:r>
    </w:p>
    <w:p w14:paraId="790E2E16">
      <w:pPr>
        <w:pStyle w:val="2"/>
        <w:tabs>
          <w:tab w:val="left" w:pos="8717"/>
        </w:tabs>
        <w:spacing w:before="1" w:line="340" w:lineRule="auto"/>
        <w:ind w:left="42" w:firstLine="481"/>
        <w:jc w:val="both"/>
        <w:rPr>
          <w:sz w:val="24"/>
          <w:szCs w:val="24"/>
        </w:rPr>
      </w:pPr>
      <w:r>
        <w:rPr>
          <w:spacing w:val="-1"/>
          <w:sz w:val="24"/>
          <w:szCs w:val="24"/>
        </w:rPr>
        <w:t>处理能力：西城污水处理厂近期处理规模</w:t>
      </w:r>
      <w:r>
        <w:rPr>
          <w:spacing w:val="-29"/>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
          <w:sz w:val="24"/>
          <w:szCs w:val="24"/>
        </w:rPr>
        <w:t>0.0</w:t>
      </w:r>
      <w:r>
        <w:rPr>
          <w:rFonts w:ascii="Times New Roman" w:hAnsi="Times New Roman" w:eastAsia="Times New Roman" w:cs="Times New Roman"/>
          <w:spacing w:val="19"/>
          <w:sz w:val="24"/>
          <w:szCs w:val="24"/>
        </w:rPr>
        <w:t xml:space="preserve"> </w:t>
      </w:r>
      <w:r>
        <w:rPr>
          <w:spacing w:val="-2"/>
          <w:sz w:val="24"/>
          <w:szCs w:val="24"/>
        </w:rPr>
        <w:t>万</w:t>
      </w:r>
      <w:r>
        <w:rPr>
          <w:spacing w:val="-54"/>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，分三期建设，一期建</w:t>
      </w:r>
      <w:r>
        <w:rPr>
          <w:spacing w:val="-4"/>
          <w:sz w:val="24"/>
          <w:szCs w:val="24"/>
        </w:rPr>
        <w:t>设规模为日处理</w:t>
      </w:r>
      <w:r>
        <w:rPr>
          <w:spacing w:val="-40"/>
          <w:sz w:val="24"/>
          <w:szCs w:val="24"/>
        </w:rPr>
        <w:t xml:space="preserve"> </w:t>
      </w:r>
      <w:r>
        <w:rPr>
          <w:rFonts w:ascii="Times New Roman" w:hAnsi="Times New Roman" w:eastAsia="Times New Roman" w:cs="Times New Roman"/>
          <w:spacing w:val="-4"/>
          <w:sz w:val="24"/>
          <w:szCs w:val="24"/>
        </w:rPr>
        <w:t>3.0</w:t>
      </w:r>
      <w:r>
        <w:rPr>
          <w:rFonts w:ascii="Times New Roman" w:hAnsi="Times New Roman" w:eastAsia="Times New Roman" w:cs="Times New Roman"/>
          <w:spacing w:val="15"/>
          <w:sz w:val="24"/>
          <w:szCs w:val="24"/>
        </w:rPr>
        <w:t xml:space="preserve"> </w:t>
      </w:r>
      <w:r>
        <w:rPr>
          <w:spacing w:val="-4"/>
          <w:sz w:val="24"/>
          <w:szCs w:val="24"/>
        </w:rPr>
        <w:t>万</w:t>
      </w:r>
      <w:r>
        <w:rPr>
          <w:spacing w:val="-58"/>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，污水处理工艺类型为生物处理法，污水处理工艺方式</w:t>
      </w:r>
      <w:r>
        <w:rPr>
          <w:spacing w:val="-6"/>
          <w:sz w:val="24"/>
          <w:szCs w:val="24"/>
        </w:rPr>
        <w:t>为传统活性污泥法，由曲靖市供排水总公司建设，曲靖创业水务有限公司负责经营，</w:t>
      </w:r>
      <w:r>
        <w:rPr>
          <w:spacing w:val="-4"/>
          <w:sz w:val="24"/>
          <w:szCs w:val="24"/>
        </w:rPr>
        <w:t>工程于</w:t>
      </w:r>
      <w:r>
        <w:rPr>
          <w:spacing w:val="-43"/>
          <w:sz w:val="24"/>
          <w:szCs w:val="24"/>
        </w:rPr>
        <w:t xml:space="preserve"> </w:t>
      </w:r>
      <w:r>
        <w:rPr>
          <w:rFonts w:ascii="Times New Roman" w:hAnsi="Times New Roman" w:eastAsia="Times New Roman" w:cs="Times New Roman"/>
          <w:spacing w:val="-4"/>
          <w:sz w:val="24"/>
          <w:szCs w:val="24"/>
        </w:rPr>
        <w:t>2009</w:t>
      </w:r>
      <w:r>
        <w:rPr>
          <w:rFonts w:ascii="Times New Roman" w:hAnsi="Times New Roman" w:eastAsia="Times New Roman" w:cs="Times New Roman"/>
          <w:spacing w:val="16"/>
          <w:sz w:val="24"/>
          <w:szCs w:val="24"/>
        </w:rPr>
        <w:t xml:space="preserve"> </w:t>
      </w:r>
      <w:r>
        <w:rPr>
          <w:spacing w:val="-4"/>
          <w:sz w:val="24"/>
          <w:szCs w:val="24"/>
        </w:rPr>
        <w:t>年</w:t>
      </w:r>
      <w:r>
        <w:rPr>
          <w:spacing w:val="-46"/>
          <w:sz w:val="24"/>
          <w:szCs w:val="24"/>
        </w:rPr>
        <w:t xml:space="preserve"> </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20"/>
          <w:sz w:val="24"/>
          <w:szCs w:val="24"/>
        </w:rPr>
        <w:t xml:space="preserve"> </w:t>
      </w:r>
      <w:r>
        <w:rPr>
          <w:spacing w:val="-4"/>
          <w:sz w:val="24"/>
          <w:szCs w:val="24"/>
        </w:rPr>
        <w:t>月</w:t>
      </w:r>
      <w:r>
        <w:rPr>
          <w:spacing w:val="-50"/>
          <w:sz w:val="24"/>
          <w:szCs w:val="24"/>
        </w:rPr>
        <w:t xml:space="preserve"> </w:t>
      </w:r>
      <w:r>
        <w:rPr>
          <w:rFonts w:ascii="Times New Roman" w:hAnsi="Times New Roman" w:eastAsia="Times New Roman" w:cs="Times New Roman"/>
          <w:spacing w:val="-4"/>
          <w:sz w:val="24"/>
          <w:szCs w:val="24"/>
        </w:rPr>
        <w:t>25</w:t>
      </w:r>
      <w:r>
        <w:rPr>
          <w:rFonts w:ascii="Times New Roman" w:hAnsi="Times New Roman" w:eastAsia="Times New Roman" w:cs="Times New Roman"/>
          <w:spacing w:val="55"/>
          <w:w w:val="101"/>
          <w:sz w:val="24"/>
          <w:szCs w:val="24"/>
        </w:rPr>
        <w:t xml:space="preserve"> </w:t>
      </w:r>
      <w:r>
        <w:rPr>
          <w:spacing w:val="-4"/>
          <w:sz w:val="24"/>
          <w:szCs w:val="24"/>
        </w:rPr>
        <w:t>日开工建设，</w:t>
      </w:r>
      <w:r>
        <w:rPr>
          <w:rFonts w:ascii="Times New Roman" w:hAnsi="Times New Roman" w:eastAsia="Times New Roman" w:cs="Times New Roman"/>
          <w:spacing w:val="-4"/>
          <w:sz w:val="24"/>
          <w:szCs w:val="24"/>
        </w:rPr>
        <w:t>2010</w:t>
      </w:r>
      <w:r>
        <w:rPr>
          <w:rFonts w:ascii="Times New Roman" w:hAnsi="Times New Roman" w:eastAsia="Times New Roman" w:cs="Times New Roman"/>
          <w:spacing w:val="15"/>
          <w:sz w:val="24"/>
          <w:szCs w:val="24"/>
        </w:rPr>
        <w:t xml:space="preserve"> </w:t>
      </w:r>
      <w:r>
        <w:rPr>
          <w:spacing w:val="-4"/>
          <w:sz w:val="24"/>
          <w:szCs w:val="24"/>
        </w:rPr>
        <w:t>年</w:t>
      </w:r>
      <w:r>
        <w:rPr>
          <w:spacing w:val="-47"/>
          <w:sz w:val="24"/>
          <w:szCs w:val="24"/>
        </w:rPr>
        <w:t xml:space="preserve"> </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20"/>
          <w:w w:val="101"/>
          <w:sz w:val="24"/>
          <w:szCs w:val="24"/>
        </w:rPr>
        <w:t xml:space="preserve"> </w:t>
      </w:r>
      <w:r>
        <w:rPr>
          <w:spacing w:val="-4"/>
          <w:sz w:val="24"/>
          <w:szCs w:val="24"/>
        </w:rPr>
        <w:t>月完工投入试运行，总投资</w:t>
      </w:r>
      <w:r>
        <w:rPr>
          <w:spacing w:val="-41"/>
          <w:sz w:val="24"/>
          <w:szCs w:val="24"/>
        </w:rPr>
        <w:t xml:space="preserve"> </w:t>
      </w:r>
      <w:r>
        <w:rPr>
          <w:rFonts w:ascii="Times New Roman" w:hAnsi="Times New Roman" w:eastAsia="Times New Roman" w:cs="Times New Roman"/>
          <w:spacing w:val="-4"/>
          <w:sz w:val="24"/>
          <w:szCs w:val="24"/>
        </w:rPr>
        <w:t>8608.6</w:t>
      </w:r>
      <w:r>
        <w:rPr>
          <w:spacing w:val="-2"/>
          <w:sz w:val="24"/>
          <w:szCs w:val="24"/>
        </w:rPr>
        <w:t>万元，处理后尾水水质满足《城镇污水处理厂污染物排放标准》（</w:t>
      </w:r>
      <w:r>
        <w:rPr>
          <w:rFonts w:ascii="Times New Roman" w:hAnsi="Times New Roman" w:eastAsia="Times New Roman" w:cs="Times New Roman"/>
          <w:spacing w:val="-2"/>
          <w:sz w:val="24"/>
          <w:szCs w:val="24"/>
        </w:rPr>
        <w:t>GB18918-2002</w:t>
      </w:r>
      <w:r>
        <w:rPr>
          <w:spacing w:val="-2"/>
          <w:sz w:val="24"/>
          <w:szCs w:val="24"/>
        </w:rPr>
        <w:t>）</w:t>
      </w:r>
    </w:p>
    <w:p w14:paraId="338A2846">
      <w:pPr>
        <w:spacing w:line="340" w:lineRule="auto"/>
        <w:rPr>
          <w:sz w:val="24"/>
          <w:szCs w:val="24"/>
        </w:rPr>
        <w:sectPr>
          <w:headerReference r:id="rId103" w:type="default"/>
          <w:footerReference r:id="rId104" w:type="default"/>
          <w:pgSz w:w="11907" w:h="16839"/>
          <w:pgMar w:top="1376" w:right="1514" w:bottom="1061" w:left="1671" w:header="999" w:footer="861" w:gutter="0"/>
          <w:cols w:space="720" w:num="1"/>
        </w:sectPr>
      </w:pPr>
    </w:p>
    <w:p w14:paraId="67ACF09A">
      <w:pPr>
        <w:spacing w:line="453" w:lineRule="auto"/>
        <w:rPr>
          <w:rFonts w:ascii="Arial"/>
          <w:sz w:val="21"/>
        </w:rPr>
      </w:pPr>
    </w:p>
    <w:p w14:paraId="396A3F01">
      <w:pPr>
        <w:pStyle w:val="2"/>
        <w:spacing w:before="78" w:line="334" w:lineRule="auto"/>
        <w:ind w:left="42" w:right="96"/>
        <w:jc w:val="both"/>
        <w:rPr>
          <w:sz w:val="24"/>
          <w:szCs w:val="24"/>
        </w:rPr>
      </w:pPr>
      <w:r>
        <w:rPr>
          <w:spacing w:val="-3"/>
          <w:sz w:val="24"/>
          <w:szCs w:val="24"/>
        </w:rPr>
        <w:t>一级</w:t>
      </w:r>
      <w:r>
        <w:rPr>
          <w:spacing w:val="-49"/>
          <w:sz w:val="24"/>
          <w:szCs w:val="24"/>
        </w:rPr>
        <w:t xml:space="preserve"> </w:t>
      </w:r>
      <w:r>
        <w:rPr>
          <w:rFonts w:ascii="Times New Roman" w:hAnsi="Times New Roman" w:eastAsia="Times New Roman" w:cs="Times New Roman"/>
          <w:spacing w:val="-3"/>
          <w:sz w:val="24"/>
          <w:szCs w:val="24"/>
        </w:rPr>
        <w:t xml:space="preserve">A </w:t>
      </w:r>
      <w:r>
        <w:rPr>
          <w:spacing w:val="-3"/>
          <w:sz w:val="24"/>
          <w:szCs w:val="24"/>
        </w:rPr>
        <w:t>标准后排入白石江。远期处理规模为</w:t>
      </w:r>
      <w:r>
        <w:rPr>
          <w:spacing w:val="-32"/>
          <w:sz w:val="24"/>
          <w:szCs w:val="24"/>
        </w:rPr>
        <w:t xml:space="preserve"> </w:t>
      </w:r>
      <w:r>
        <w:rPr>
          <w:rFonts w:ascii="Times New Roman" w:hAnsi="Times New Roman" w:eastAsia="Times New Roman" w:cs="Times New Roman"/>
          <w:spacing w:val="-3"/>
          <w:sz w:val="24"/>
          <w:szCs w:val="24"/>
        </w:rPr>
        <w:t>13.0</w:t>
      </w:r>
      <w:r>
        <w:rPr>
          <w:rFonts w:ascii="Times New Roman" w:hAnsi="Times New Roman" w:eastAsia="Times New Roman" w:cs="Times New Roman"/>
          <w:spacing w:val="15"/>
          <w:w w:val="101"/>
          <w:sz w:val="24"/>
          <w:szCs w:val="24"/>
        </w:rPr>
        <w:t xml:space="preserve"> </w:t>
      </w:r>
      <w:r>
        <w:rPr>
          <w:spacing w:val="-3"/>
          <w:sz w:val="24"/>
          <w:szCs w:val="24"/>
        </w:rPr>
        <w:t>万</w:t>
      </w:r>
      <w:r>
        <w:rPr>
          <w:spacing w:val="-58"/>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/d</w:t>
      </w:r>
      <w:r>
        <w:rPr>
          <w:spacing w:val="-3"/>
          <w:sz w:val="24"/>
          <w:szCs w:val="24"/>
        </w:rPr>
        <w:t>，目前实际日平均处理污</w:t>
      </w:r>
      <w:r>
        <w:rPr>
          <w:spacing w:val="-5"/>
          <w:sz w:val="24"/>
          <w:szCs w:val="24"/>
        </w:rPr>
        <w:t>水</w:t>
      </w:r>
      <w:r>
        <w:rPr>
          <w:spacing w:val="-43"/>
          <w:sz w:val="24"/>
          <w:szCs w:val="24"/>
        </w:rPr>
        <w:t xml:space="preserve"> </w:t>
      </w:r>
      <w:r>
        <w:rPr>
          <w:rFonts w:ascii="Times New Roman" w:hAnsi="Times New Roman" w:eastAsia="Times New Roman" w:cs="Times New Roman"/>
          <w:spacing w:val="-5"/>
          <w:sz w:val="24"/>
          <w:szCs w:val="24"/>
        </w:rPr>
        <w:t>2.5</w:t>
      </w:r>
      <w:r>
        <w:rPr>
          <w:rFonts w:ascii="Times New Roman" w:hAnsi="Times New Roman" w:eastAsia="Times New Roman" w:cs="Times New Roman"/>
          <w:spacing w:val="15"/>
          <w:w w:val="101"/>
          <w:sz w:val="24"/>
          <w:szCs w:val="24"/>
        </w:rPr>
        <w:t xml:space="preserve"> </w:t>
      </w:r>
      <w:r>
        <w:rPr>
          <w:spacing w:val="-5"/>
          <w:sz w:val="24"/>
          <w:szCs w:val="24"/>
        </w:rPr>
        <w:t>万</w:t>
      </w:r>
      <w:r>
        <w:rPr>
          <w:spacing w:val="-57"/>
          <w:sz w:val="24"/>
          <w:szCs w:val="24"/>
        </w:rPr>
        <w:t xml:space="preserve"> </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5"/>
          <w:position w:val="8"/>
          <w:sz w:val="15"/>
          <w:szCs w:val="15"/>
        </w:rPr>
        <w:t>3</w:t>
      </w:r>
      <w:r>
        <w:rPr>
          <w:rFonts w:ascii="Times New Roman" w:hAnsi="Times New Roman" w:eastAsia="Times New Roman" w:cs="Times New Roman"/>
          <w:spacing w:val="-5"/>
          <w:sz w:val="24"/>
          <w:szCs w:val="24"/>
        </w:rPr>
        <w:t>/d</w:t>
      </w:r>
      <w:r>
        <w:rPr>
          <w:spacing w:val="-5"/>
          <w:sz w:val="24"/>
          <w:szCs w:val="24"/>
        </w:rPr>
        <w:t>，运行负荷率达到设计能力的</w:t>
      </w:r>
      <w:r>
        <w:rPr>
          <w:spacing w:val="-45"/>
          <w:sz w:val="24"/>
          <w:szCs w:val="24"/>
        </w:rPr>
        <w:t xml:space="preserve"> </w:t>
      </w:r>
      <w:r>
        <w:rPr>
          <w:rFonts w:ascii="Times New Roman" w:hAnsi="Times New Roman" w:eastAsia="Times New Roman" w:cs="Times New Roman"/>
          <w:spacing w:val="-5"/>
          <w:sz w:val="24"/>
          <w:szCs w:val="24"/>
        </w:rPr>
        <w:t>80%</w:t>
      </w:r>
      <w:r>
        <w:rPr>
          <w:spacing w:val="-5"/>
          <w:sz w:val="24"/>
          <w:szCs w:val="24"/>
        </w:rPr>
        <w:t>，各项指标均达到排放标准，运行</w:t>
      </w:r>
      <w:r>
        <w:rPr>
          <w:spacing w:val="-11"/>
          <w:sz w:val="24"/>
          <w:szCs w:val="24"/>
        </w:rPr>
        <w:t>正常。</w:t>
      </w:r>
    </w:p>
    <w:p w14:paraId="0FF52CCC">
      <w:pPr>
        <w:pStyle w:val="2"/>
        <w:spacing w:before="19" w:line="217" w:lineRule="auto"/>
        <w:ind w:left="517"/>
        <w:rPr>
          <w:sz w:val="24"/>
          <w:szCs w:val="24"/>
        </w:rPr>
      </w:pPr>
      <w:r>
        <w:rPr>
          <w:spacing w:val="-1"/>
          <w:sz w:val="24"/>
          <w:szCs w:val="24"/>
        </w:rPr>
        <w:t>②两江口污水处理厂</w:t>
      </w:r>
    </w:p>
    <w:p w14:paraId="34D403EB">
      <w:pPr>
        <w:pStyle w:val="2"/>
        <w:spacing w:before="161" w:line="338" w:lineRule="auto"/>
        <w:ind w:left="31" w:right="84" w:firstLine="488"/>
        <w:rPr>
          <w:sz w:val="24"/>
          <w:szCs w:val="24"/>
        </w:rPr>
      </w:pPr>
      <w:r>
        <w:rPr>
          <w:spacing w:val="-4"/>
          <w:sz w:val="24"/>
          <w:szCs w:val="24"/>
        </w:rPr>
        <w:t>两江口污水处理厂位于曲靖市白石江、潇湘江两</w:t>
      </w:r>
      <w:r>
        <w:rPr>
          <w:spacing w:val="-5"/>
          <w:sz w:val="24"/>
          <w:szCs w:val="24"/>
        </w:rPr>
        <w:t>江交汇的北岸，原设计采用活</w:t>
      </w:r>
      <w:r>
        <w:rPr>
          <w:spacing w:val="-2"/>
          <w:sz w:val="24"/>
          <w:szCs w:val="24"/>
        </w:rPr>
        <w:t>性污泥法</w:t>
      </w:r>
      <w:r>
        <w:rPr>
          <w:spacing w:val="-57"/>
          <w:sz w:val="24"/>
          <w:szCs w:val="24"/>
        </w:rPr>
        <w:t xml:space="preserve"> </w:t>
      </w:r>
      <w:r>
        <w:rPr>
          <w:rFonts w:ascii="Times New Roman" w:hAnsi="Times New Roman" w:eastAsia="Times New Roman" w:cs="Times New Roman"/>
          <w:spacing w:val="-2"/>
          <w:sz w:val="24"/>
          <w:szCs w:val="24"/>
        </w:rPr>
        <w:t>AB</w:t>
      </w:r>
      <w:r>
        <w:rPr>
          <w:rFonts w:ascii="Times New Roman" w:hAnsi="Times New Roman" w:eastAsia="Times New Roman" w:cs="Times New Roman"/>
          <w:spacing w:val="15"/>
          <w:sz w:val="24"/>
          <w:szCs w:val="24"/>
        </w:rPr>
        <w:t xml:space="preserve"> </w:t>
      </w:r>
      <w:r>
        <w:rPr>
          <w:spacing w:val="-2"/>
          <w:sz w:val="24"/>
          <w:szCs w:val="24"/>
        </w:rPr>
        <w:t>处理工艺，于</w:t>
      </w:r>
      <w:r>
        <w:rPr>
          <w:spacing w:val="-40"/>
          <w:sz w:val="24"/>
          <w:szCs w:val="24"/>
        </w:rPr>
        <w:t xml:space="preserve"> </w:t>
      </w:r>
      <w:r>
        <w:rPr>
          <w:rFonts w:ascii="Times New Roman" w:hAnsi="Times New Roman" w:eastAsia="Times New Roman" w:cs="Times New Roman"/>
          <w:spacing w:val="-2"/>
          <w:sz w:val="24"/>
          <w:szCs w:val="24"/>
        </w:rPr>
        <w:t xml:space="preserve">2006 </w:t>
      </w:r>
      <w:r>
        <w:rPr>
          <w:spacing w:val="-2"/>
          <w:sz w:val="24"/>
          <w:szCs w:val="24"/>
        </w:rPr>
        <w:t>年</w:t>
      </w:r>
      <w:r>
        <w:rPr>
          <w:spacing w:val="-31"/>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7"/>
          <w:sz w:val="24"/>
          <w:szCs w:val="24"/>
        </w:rPr>
        <w:t xml:space="preserve"> </w:t>
      </w:r>
      <w:r>
        <w:rPr>
          <w:spacing w:val="-2"/>
          <w:sz w:val="24"/>
          <w:szCs w:val="24"/>
        </w:rPr>
        <w:t>月公司正式投产运行。由于出水水质不能满</w:t>
      </w:r>
      <w:r>
        <w:rPr>
          <w:spacing w:val="-8"/>
          <w:sz w:val="24"/>
          <w:szCs w:val="24"/>
        </w:rPr>
        <w:t>足《城镇污水处理厂污染物排放标准》一级</w:t>
      </w:r>
      <w:r>
        <w:rPr>
          <w:spacing w:val="-57"/>
          <w:sz w:val="24"/>
          <w:szCs w:val="24"/>
        </w:rPr>
        <w:t xml:space="preserve"> </w:t>
      </w:r>
      <w:r>
        <w:rPr>
          <w:rFonts w:ascii="Times New Roman" w:hAnsi="Times New Roman" w:eastAsia="Times New Roman" w:cs="Times New Roman"/>
          <w:spacing w:val="-8"/>
          <w:sz w:val="24"/>
          <w:szCs w:val="24"/>
        </w:rPr>
        <w:t xml:space="preserve">A </w:t>
      </w:r>
      <w:r>
        <w:rPr>
          <w:spacing w:val="-8"/>
          <w:sz w:val="24"/>
          <w:szCs w:val="24"/>
        </w:rPr>
        <w:t>排放标</w:t>
      </w:r>
      <w:r>
        <w:rPr>
          <w:spacing w:val="-9"/>
          <w:sz w:val="24"/>
          <w:szCs w:val="24"/>
        </w:rPr>
        <w:t>注要求，</w:t>
      </w:r>
      <w:r>
        <w:rPr>
          <w:rFonts w:ascii="Times New Roman" w:hAnsi="Times New Roman" w:eastAsia="Times New Roman" w:cs="Times New Roman"/>
          <w:spacing w:val="-9"/>
          <w:sz w:val="24"/>
          <w:szCs w:val="24"/>
        </w:rPr>
        <w:t xml:space="preserve">2008 </w:t>
      </w:r>
      <w:r>
        <w:rPr>
          <w:spacing w:val="-9"/>
          <w:sz w:val="24"/>
          <w:szCs w:val="24"/>
        </w:rPr>
        <w:t>年</w:t>
      </w:r>
      <w:r>
        <w:rPr>
          <w:spacing w:val="-32"/>
          <w:sz w:val="24"/>
          <w:szCs w:val="24"/>
        </w:rPr>
        <w:t xml:space="preserve"> </w:t>
      </w:r>
      <w:r>
        <w:rPr>
          <w:rFonts w:ascii="Times New Roman" w:hAnsi="Times New Roman" w:eastAsia="Times New Roman" w:cs="Times New Roman"/>
          <w:spacing w:val="-9"/>
          <w:sz w:val="24"/>
          <w:szCs w:val="24"/>
        </w:rPr>
        <w:t>12</w:t>
      </w:r>
      <w:r>
        <w:rPr>
          <w:rFonts w:ascii="Times New Roman" w:hAnsi="Times New Roman" w:eastAsia="Times New Roman" w:cs="Times New Roman"/>
          <w:spacing w:val="15"/>
          <w:sz w:val="24"/>
          <w:szCs w:val="24"/>
        </w:rPr>
        <w:t xml:space="preserve"> </w:t>
      </w:r>
      <w:r>
        <w:rPr>
          <w:spacing w:val="-9"/>
          <w:sz w:val="24"/>
          <w:szCs w:val="24"/>
        </w:rPr>
        <w:t>月</w:t>
      </w:r>
      <w:r>
        <w:rPr>
          <w:spacing w:val="-55"/>
          <w:sz w:val="24"/>
          <w:szCs w:val="24"/>
        </w:rPr>
        <w:t xml:space="preserve"> </w:t>
      </w:r>
      <w:r>
        <w:rPr>
          <w:rFonts w:ascii="Times New Roman" w:hAnsi="Times New Roman" w:eastAsia="Times New Roman" w:cs="Times New Roman"/>
          <w:spacing w:val="-9"/>
          <w:sz w:val="24"/>
          <w:szCs w:val="24"/>
        </w:rPr>
        <w:t xml:space="preserve">23  </w:t>
      </w:r>
      <w:r>
        <w:rPr>
          <w:spacing w:val="-9"/>
          <w:sz w:val="24"/>
          <w:szCs w:val="24"/>
        </w:rPr>
        <w:t>日，</w:t>
      </w:r>
      <w:r>
        <w:rPr>
          <w:spacing w:val="3"/>
          <w:sz w:val="24"/>
          <w:szCs w:val="24"/>
        </w:rPr>
        <w:t>曲靖创业水务有限公司对两江口污水处理厂进行升级改造</w:t>
      </w:r>
      <w:r>
        <w:rPr>
          <w:spacing w:val="2"/>
          <w:sz w:val="24"/>
          <w:szCs w:val="24"/>
        </w:rPr>
        <w:t>，升级改造采用改良型</w:t>
      </w:r>
      <w:r>
        <w:rPr>
          <w:rFonts w:ascii="Times New Roman" w:hAnsi="Times New Roman" w:eastAsia="Times New Roman" w:cs="Times New Roman"/>
          <w:spacing w:val="-3"/>
          <w:sz w:val="24"/>
          <w:szCs w:val="24"/>
        </w:rPr>
        <w:t xml:space="preserve">A/O </w:t>
      </w:r>
      <w:r>
        <w:rPr>
          <w:spacing w:val="-3"/>
          <w:sz w:val="24"/>
          <w:szCs w:val="24"/>
        </w:rPr>
        <w:t>脱氮除磷工艺，改造后的两江口污水处理厂于</w:t>
      </w:r>
      <w:r>
        <w:rPr>
          <w:spacing w:val="-54"/>
          <w:sz w:val="24"/>
          <w:szCs w:val="24"/>
        </w:rPr>
        <w:t xml:space="preserve"> </w:t>
      </w:r>
      <w:r>
        <w:rPr>
          <w:rFonts w:ascii="Times New Roman" w:hAnsi="Times New Roman" w:eastAsia="Times New Roman" w:cs="Times New Roman"/>
          <w:spacing w:val="-3"/>
          <w:sz w:val="24"/>
          <w:szCs w:val="24"/>
        </w:rPr>
        <w:t xml:space="preserve">2010 </w:t>
      </w:r>
      <w:r>
        <w:rPr>
          <w:spacing w:val="-3"/>
          <w:sz w:val="24"/>
          <w:szCs w:val="24"/>
        </w:rPr>
        <w:t>年</w:t>
      </w:r>
      <w:r>
        <w:rPr>
          <w:spacing w:val="-50"/>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15"/>
          <w:w w:val="101"/>
          <w:sz w:val="24"/>
          <w:szCs w:val="24"/>
        </w:rPr>
        <w:t xml:space="preserve"> </w:t>
      </w:r>
      <w:r>
        <w:rPr>
          <w:spacing w:val="-3"/>
          <w:sz w:val="24"/>
          <w:szCs w:val="24"/>
        </w:rPr>
        <w:t>月</w:t>
      </w:r>
      <w:r>
        <w:rPr>
          <w:spacing w:val="-32"/>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日</w:t>
      </w:r>
      <w:r>
        <w:rPr>
          <w:spacing w:val="-4"/>
          <w:sz w:val="24"/>
          <w:szCs w:val="24"/>
        </w:rPr>
        <w:t>正式进入试生</w:t>
      </w:r>
      <w:r>
        <w:rPr>
          <w:spacing w:val="-2"/>
          <w:sz w:val="24"/>
          <w:szCs w:val="24"/>
        </w:rPr>
        <w:t>产阶段，污水处理量提高到</w:t>
      </w:r>
      <w:r>
        <w:rPr>
          <w:spacing w:val="-33"/>
          <w:sz w:val="24"/>
          <w:szCs w:val="24"/>
        </w:rPr>
        <w:t xml:space="preserve"> </w:t>
      </w:r>
      <w:r>
        <w:rPr>
          <w:rFonts w:ascii="Times New Roman" w:hAnsi="Times New Roman" w:eastAsia="Times New Roman" w:cs="Times New Roman"/>
          <w:spacing w:val="-2"/>
          <w:sz w:val="24"/>
          <w:szCs w:val="24"/>
        </w:rPr>
        <w:t>5.5</w:t>
      </w:r>
      <w:r>
        <w:rPr>
          <w:rFonts w:ascii="Times New Roman" w:hAnsi="Times New Roman" w:eastAsia="Times New Roman" w:cs="Times New Roman"/>
          <w:spacing w:val="16"/>
          <w:sz w:val="24"/>
          <w:szCs w:val="24"/>
        </w:rPr>
        <w:t xml:space="preserve"> </w:t>
      </w:r>
      <w:r>
        <w:rPr>
          <w:spacing w:val="-2"/>
          <w:sz w:val="24"/>
          <w:szCs w:val="24"/>
        </w:rPr>
        <w:t>万</w:t>
      </w:r>
      <w:r>
        <w:rPr>
          <w:spacing w:val="-58"/>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，远期</w:t>
      </w:r>
      <w:r>
        <w:rPr>
          <w:spacing w:val="-51"/>
          <w:sz w:val="24"/>
          <w:szCs w:val="24"/>
        </w:rPr>
        <w:t xml:space="preserve"> </w:t>
      </w:r>
      <w:r>
        <w:rPr>
          <w:rFonts w:ascii="Times New Roman" w:hAnsi="Times New Roman" w:eastAsia="Times New Roman" w:cs="Times New Roman"/>
          <w:spacing w:val="-2"/>
          <w:sz w:val="24"/>
          <w:szCs w:val="24"/>
        </w:rPr>
        <w:t>7.0</w:t>
      </w:r>
      <w:r>
        <w:rPr>
          <w:rFonts w:ascii="Times New Roman" w:hAnsi="Times New Roman" w:eastAsia="Times New Roman" w:cs="Times New Roman"/>
          <w:spacing w:val="15"/>
          <w:sz w:val="24"/>
          <w:szCs w:val="24"/>
        </w:rPr>
        <w:t xml:space="preserve"> </w:t>
      </w:r>
      <w:r>
        <w:rPr>
          <w:spacing w:val="-2"/>
          <w:sz w:val="24"/>
          <w:szCs w:val="24"/>
        </w:rPr>
        <w:t>万</w:t>
      </w:r>
      <w:r>
        <w:rPr>
          <w:spacing w:val="-57"/>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w:t>
      </w:r>
    </w:p>
    <w:p w14:paraId="7823122E">
      <w:pPr>
        <w:pStyle w:val="2"/>
        <w:spacing w:line="217" w:lineRule="auto"/>
        <w:ind w:left="517"/>
        <w:rPr>
          <w:sz w:val="24"/>
          <w:szCs w:val="24"/>
        </w:rPr>
      </w:pPr>
      <w:r>
        <w:rPr>
          <w:spacing w:val="-1"/>
          <w:sz w:val="24"/>
          <w:szCs w:val="24"/>
        </w:rPr>
        <w:t>③沾益区污水处理厂</w:t>
      </w:r>
    </w:p>
    <w:p w14:paraId="0E07EAE1">
      <w:pPr>
        <w:pStyle w:val="2"/>
        <w:spacing w:before="161" w:line="338" w:lineRule="auto"/>
        <w:ind w:left="38" w:right="18" w:firstLine="486"/>
        <w:rPr>
          <w:sz w:val="24"/>
          <w:szCs w:val="24"/>
        </w:rPr>
      </w:pPr>
      <w:r>
        <w:rPr>
          <w:spacing w:val="2"/>
          <w:sz w:val="24"/>
          <w:szCs w:val="24"/>
        </w:rPr>
        <w:t>沾益区污水处理厂位于曲靖市沾益区金龙街道曲胜高速公路旁，污水处理厂</w:t>
      </w:r>
      <w:r>
        <w:rPr>
          <w:spacing w:val="-4"/>
          <w:sz w:val="24"/>
          <w:szCs w:val="24"/>
        </w:rPr>
        <w:t>于</w:t>
      </w:r>
      <w:r>
        <w:rPr>
          <w:spacing w:val="-45"/>
          <w:sz w:val="24"/>
          <w:szCs w:val="24"/>
        </w:rPr>
        <w:t xml:space="preserve"> </w:t>
      </w:r>
      <w:r>
        <w:rPr>
          <w:rFonts w:ascii="Times New Roman" w:hAnsi="Times New Roman" w:eastAsia="Times New Roman" w:cs="Times New Roman"/>
          <w:spacing w:val="-4"/>
          <w:sz w:val="24"/>
          <w:szCs w:val="24"/>
        </w:rPr>
        <w:t>2009</w:t>
      </w:r>
      <w:r>
        <w:rPr>
          <w:rFonts w:ascii="Times New Roman" w:hAnsi="Times New Roman" w:eastAsia="Times New Roman" w:cs="Times New Roman"/>
          <w:spacing w:val="15"/>
          <w:w w:val="101"/>
          <w:sz w:val="24"/>
          <w:szCs w:val="24"/>
        </w:rPr>
        <w:t xml:space="preserve"> </w:t>
      </w:r>
      <w:r>
        <w:rPr>
          <w:spacing w:val="-4"/>
          <w:sz w:val="24"/>
          <w:szCs w:val="24"/>
        </w:rPr>
        <w:t>年</w:t>
      </w:r>
      <w:r>
        <w:rPr>
          <w:spacing w:val="-52"/>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20"/>
          <w:w w:val="101"/>
          <w:sz w:val="24"/>
          <w:szCs w:val="24"/>
        </w:rPr>
        <w:t xml:space="preserve"> </w:t>
      </w:r>
      <w:r>
        <w:rPr>
          <w:spacing w:val="-4"/>
          <w:sz w:val="24"/>
          <w:szCs w:val="24"/>
        </w:rPr>
        <w:t>月开工建设，</w:t>
      </w:r>
      <w:r>
        <w:rPr>
          <w:rFonts w:ascii="Times New Roman" w:hAnsi="Times New Roman" w:eastAsia="Times New Roman" w:cs="Times New Roman"/>
          <w:spacing w:val="-4"/>
          <w:sz w:val="24"/>
          <w:szCs w:val="24"/>
        </w:rPr>
        <w:t>2010</w:t>
      </w:r>
      <w:r>
        <w:rPr>
          <w:rFonts w:ascii="Times New Roman" w:hAnsi="Times New Roman" w:eastAsia="Times New Roman" w:cs="Times New Roman"/>
          <w:spacing w:val="15"/>
          <w:w w:val="101"/>
          <w:sz w:val="24"/>
          <w:szCs w:val="24"/>
        </w:rPr>
        <w:t xml:space="preserve"> </w:t>
      </w:r>
      <w:r>
        <w:rPr>
          <w:spacing w:val="-4"/>
          <w:sz w:val="24"/>
          <w:szCs w:val="24"/>
        </w:rPr>
        <w:t>年</w:t>
      </w:r>
      <w:r>
        <w:rPr>
          <w:spacing w:val="-45"/>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20"/>
          <w:sz w:val="24"/>
          <w:szCs w:val="24"/>
        </w:rPr>
        <w:t xml:space="preserve"> </w:t>
      </w:r>
      <w:r>
        <w:rPr>
          <w:spacing w:val="-4"/>
          <w:sz w:val="24"/>
          <w:szCs w:val="24"/>
        </w:rPr>
        <w:t>月建成投入运行，主体工艺采用</w:t>
      </w:r>
      <w:r>
        <w:rPr>
          <w:spacing w:val="-47"/>
          <w:sz w:val="24"/>
          <w:szCs w:val="24"/>
        </w:rPr>
        <w:t xml:space="preserve"> </w:t>
      </w:r>
      <w:r>
        <w:rPr>
          <w:rFonts w:ascii="Times New Roman" w:hAnsi="Times New Roman" w:eastAsia="Times New Roman" w:cs="Times New Roman"/>
          <w:spacing w:val="-4"/>
          <w:sz w:val="24"/>
          <w:szCs w:val="24"/>
        </w:rPr>
        <w:t>CASS</w:t>
      </w:r>
      <w:r>
        <w:rPr>
          <w:rFonts w:ascii="Times New Roman" w:hAnsi="Times New Roman" w:eastAsia="Times New Roman" w:cs="Times New Roman"/>
          <w:spacing w:val="17"/>
          <w:w w:val="101"/>
          <w:sz w:val="24"/>
          <w:szCs w:val="24"/>
        </w:rPr>
        <w:t xml:space="preserve"> </w:t>
      </w:r>
      <w:r>
        <w:rPr>
          <w:spacing w:val="-4"/>
          <w:sz w:val="24"/>
          <w:szCs w:val="24"/>
        </w:rPr>
        <w:t>工艺，</w:t>
      </w:r>
      <w:r>
        <w:rPr>
          <w:spacing w:val="-1"/>
          <w:sz w:val="24"/>
          <w:szCs w:val="24"/>
        </w:rPr>
        <w:t xml:space="preserve">近期日处理规模为 </w:t>
      </w:r>
      <w:r>
        <w:rPr>
          <w:rFonts w:ascii="Times New Roman" w:hAnsi="Times New Roman" w:eastAsia="Times New Roman" w:cs="Times New Roman"/>
          <w:spacing w:val="-1"/>
          <w:sz w:val="24"/>
          <w:szCs w:val="24"/>
        </w:rPr>
        <w:t xml:space="preserve">2.0  </w:t>
      </w:r>
      <w:r>
        <w:rPr>
          <w:spacing w:val="-1"/>
          <w:sz w:val="24"/>
          <w:szCs w:val="24"/>
        </w:rPr>
        <w:t xml:space="preserve">万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/d</w:t>
      </w:r>
      <w:r>
        <w:rPr>
          <w:spacing w:val="-1"/>
          <w:sz w:val="24"/>
          <w:szCs w:val="24"/>
        </w:rPr>
        <w:t>。</w:t>
      </w:r>
      <w:r>
        <w:rPr>
          <w:spacing w:val="-2"/>
          <w:sz w:val="24"/>
          <w:szCs w:val="24"/>
        </w:rPr>
        <w:t>主要收集处理沾益规划建成区及职教园区的生活污水。为加快区域水环境治理步伐，建设单位于</w:t>
      </w:r>
      <w:r>
        <w:rPr>
          <w:spacing w:val="-27"/>
          <w:sz w:val="24"/>
          <w:szCs w:val="24"/>
        </w:rPr>
        <w:t xml:space="preserve"> </w:t>
      </w:r>
      <w:r>
        <w:rPr>
          <w:rFonts w:ascii="Times New Roman" w:hAnsi="Times New Roman" w:eastAsia="Times New Roman" w:cs="Times New Roman"/>
          <w:spacing w:val="-2"/>
          <w:sz w:val="24"/>
          <w:szCs w:val="24"/>
        </w:rPr>
        <w:t>2017</w:t>
      </w:r>
      <w:r>
        <w:rPr>
          <w:rFonts w:ascii="Times New Roman" w:hAnsi="Times New Roman" w:eastAsia="Times New Roman" w:cs="Times New Roman"/>
          <w:spacing w:val="36"/>
          <w:w w:val="101"/>
          <w:sz w:val="24"/>
          <w:szCs w:val="24"/>
        </w:rPr>
        <w:t xml:space="preserve"> </w:t>
      </w:r>
      <w:r>
        <w:rPr>
          <w:spacing w:val="-2"/>
          <w:sz w:val="24"/>
          <w:szCs w:val="24"/>
        </w:rPr>
        <w:t xml:space="preserve">年 </w:t>
      </w:r>
      <w:r>
        <w:rPr>
          <w:rFonts w:ascii="Times New Roman" w:hAnsi="Times New Roman" w:eastAsia="Times New Roman" w:cs="Times New Roman"/>
          <w:spacing w:val="-2"/>
          <w:sz w:val="24"/>
          <w:szCs w:val="24"/>
        </w:rPr>
        <w:t>10</w:t>
      </w:r>
      <w:r>
        <w:rPr>
          <w:rFonts w:ascii="Times New Roman" w:hAnsi="Times New Roman" w:eastAsia="Times New Roman" w:cs="Times New Roman"/>
          <w:spacing w:val="42"/>
          <w:sz w:val="24"/>
          <w:szCs w:val="24"/>
        </w:rPr>
        <w:t xml:space="preserve"> </w:t>
      </w:r>
      <w:r>
        <w:rPr>
          <w:spacing w:val="-2"/>
          <w:sz w:val="24"/>
          <w:szCs w:val="24"/>
        </w:rPr>
        <w:t>月开始进行扩容工程</w:t>
      </w:r>
      <w:r>
        <w:rPr>
          <w:spacing w:val="-4"/>
          <w:sz w:val="24"/>
          <w:szCs w:val="24"/>
        </w:rPr>
        <w:t>设计，扩容工程处理规模为</w:t>
      </w:r>
      <w:r>
        <w:rPr>
          <w:spacing w:val="-39"/>
          <w:sz w:val="24"/>
          <w:szCs w:val="24"/>
        </w:rPr>
        <w:t xml:space="preserve"> </w:t>
      </w:r>
      <w:r>
        <w:rPr>
          <w:rFonts w:ascii="Times New Roman" w:hAnsi="Times New Roman" w:eastAsia="Times New Roman" w:cs="Times New Roman"/>
          <w:spacing w:val="-4"/>
          <w:sz w:val="24"/>
          <w:szCs w:val="24"/>
        </w:rPr>
        <w:t>3.0</w:t>
      </w:r>
      <w:r>
        <w:rPr>
          <w:rFonts w:ascii="Times New Roman" w:hAnsi="Times New Roman" w:eastAsia="Times New Roman" w:cs="Times New Roman"/>
          <w:spacing w:val="15"/>
          <w:w w:val="101"/>
          <w:sz w:val="24"/>
          <w:szCs w:val="24"/>
        </w:rPr>
        <w:t xml:space="preserve"> </w:t>
      </w:r>
      <w:r>
        <w:rPr>
          <w:spacing w:val="-4"/>
          <w:sz w:val="24"/>
          <w:szCs w:val="24"/>
        </w:rPr>
        <w:t>万</w:t>
      </w:r>
      <w:r>
        <w:rPr>
          <w:spacing w:val="-58"/>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，于</w:t>
      </w:r>
      <w:r>
        <w:rPr>
          <w:spacing w:val="-41"/>
          <w:sz w:val="24"/>
          <w:szCs w:val="24"/>
        </w:rPr>
        <w:t xml:space="preserve"> </w:t>
      </w:r>
      <w:r>
        <w:rPr>
          <w:rFonts w:ascii="Times New Roman" w:hAnsi="Times New Roman" w:eastAsia="Times New Roman" w:cs="Times New Roman"/>
          <w:spacing w:val="-4"/>
          <w:sz w:val="24"/>
          <w:szCs w:val="24"/>
        </w:rPr>
        <w:t xml:space="preserve">2018 </w:t>
      </w:r>
      <w:r>
        <w:rPr>
          <w:spacing w:val="-4"/>
          <w:sz w:val="24"/>
          <w:szCs w:val="24"/>
        </w:rPr>
        <w:t>年年初开工建设，预计于</w:t>
      </w:r>
      <w:r>
        <w:rPr>
          <w:spacing w:val="-55"/>
          <w:sz w:val="24"/>
          <w:szCs w:val="24"/>
        </w:rPr>
        <w:t xml:space="preserve"> </w:t>
      </w:r>
      <w:r>
        <w:rPr>
          <w:rFonts w:ascii="Times New Roman" w:hAnsi="Times New Roman" w:eastAsia="Times New Roman" w:cs="Times New Roman"/>
          <w:spacing w:val="-4"/>
          <w:sz w:val="24"/>
          <w:szCs w:val="24"/>
        </w:rPr>
        <w:t xml:space="preserve">2018 </w:t>
      </w:r>
      <w:r>
        <w:rPr>
          <w:spacing w:val="-4"/>
          <w:sz w:val="24"/>
          <w:szCs w:val="24"/>
        </w:rPr>
        <w:t>年</w:t>
      </w:r>
      <w:r>
        <w:rPr>
          <w:rFonts w:ascii="Times New Roman" w:hAnsi="Times New Roman" w:eastAsia="Times New Roman" w:cs="Times New Roman"/>
          <w:spacing w:val="-2"/>
          <w:sz w:val="24"/>
          <w:szCs w:val="24"/>
        </w:rPr>
        <w:t>11</w:t>
      </w:r>
      <w:r>
        <w:rPr>
          <w:rFonts w:ascii="Times New Roman" w:hAnsi="Times New Roman" w:eastAsia="Times New Roman" w:cs="Times New Roman"/>
          <w:spacing w:val="41"/>
          <w:w w:val="101"/>
          <w:sz w:val="24"/>
          <w:szCs w:val="24"/>
        </w:rPr>
        <w:t xml:space="preserve"> </w:t>
      </w:r>
      <w:r>
        <w:rPr>
          <w:spacing w:val="-2"/>
          <w:sz w:val="24"/>
          <w:szCs w:val="24"/>
        </w:rPr>
        <w:t>月底建设投产试运行，扩容后沾益区污水处理厂处理规模为</w:t>
      </w:r>
      <w:r>
        <w:rPr>
          <w:spacing w:val="-30"/>
          <w:sz w:val="24"/>
          <w:szCs w:val="24"/>
        </w:rPr>
        <w:t xml:space="preserve"> </w:t>
      </w:r>
      <w:r>
        <w:rPr>
          <w:rFonts w:ascii="Times New Roman" w:hAnsi="Times New Roman" w:eastAsia="Times New Roman" w:cs="Times New Roman"/>
          <w:spacing w:val="-2"/>
          <w:sz w:val="24"/>
          <w:szCs w:val="24"/>
        </w:rPr>
        <w:t>7.5</w:t>
      </w:r>
      <w:r>
        <w:rPr>
          <w:rFonts w:ascii="Times New Roman" w:hAnsi="Times New Roman" w:eastAsia="Times New Roman" w:cs="Times New Roman"/>
          <w:spacing w:val="34"/>
          <w:sz w:val="24"/>
          <w:szCs w:val="24"/>
        </w:rPr>
        <w:t xml:space="preserve"> </w:t>
      </w:r>
      <w:r>
        <w:rPr>
          <w:spacing w:val="-2"/>
          <w:sz w:val="24"/>
          <w:szCs w:val="24"/>
        </w:rPr>
        <w:t>万</w:t>
      </w:r>
      <w:r>
        <w:rPr>
          <w:spacing w:val="-38"/>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。远期</w:t>
      </w:r>
      <w:r>
        <w:rPr>
          <w:spacing w:val="-3"/>
          <w:sz w:val="24"/>
          <w:szCs w:val="24"/>
        </w:rPr>
        <w:t>规划处理规模为</w:t>
      </w:r>
      <w:r>
        <w:rPr>
          <w:spacing w:val="-31"/>
          <w:sz w:val="24"/>
          <w:szCs w:val="24"/>
        </w:rPr>
        <w:t xml:space="preserve"> </w:t>
      </w:r>
      <w:r>
        <w:rPr>
          <w:rFonts w:ascii="Times New Roman" w:hAnsi="Times New Roman" w:eastAsia="Times New Roman" w:cs="Times New Roman"/>
          <w:spacing w:val="-3"/>
          <w:sz w:val="24"/>
          <w:szCs w:val="24"/>
        </w:rPr>
        <w:t>10.0</w:t>
      </w:r>
      <w:r>
        <w:rPr>
          <w:rFonts w:ascii="Times New Roman" w:hAnsi="Times New Roman" w:eastAsia="Times New Roman" w:cs="Times New Roman"/>
          <w:spacing w:val="15"/>
          <w:sz w:val="24"/>
          <w:szCs w:val="24"/>
        </w:rPr>
        <w:t xml:space="preserve"> </w:t>
      </w:r>
      <w:r>
        <w:rPr>
          <w:spacing w:val="-3"/>
          <w:sz w:val="24"/>
          <w:szCs w:val="24"/>
        </w:rPr>
        <w:t>万</w:t>
      </w:r>
      <w:r>
        <w:rPr>
          <w:spacing w:val="-57"/>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/d</w:t>
      </w:r>
      <w:r>
        <w:rPr>
          <w:spacing w:val="-3"/>
          <w:sz w:val="24"/>
          <w:szCs w:val="24"/>
        </w:rPr>
        <w:t>。</w:t>
      </w:r>
    </w:p>
    <w:p w14:paraId="28F1EE07">
      <w:pPr>
        <w:pStyle w:val="2"/>
        <w:spacing w:line="217" w:lineRule="auto"/>
        <w:ind w:left="517"/>
        <w:rPr>
          <w:sz w:val="24"/>
          <w:szCs w:val="24"/>
        </w:rPr>
      </w:pPr>
      <w:r>
        <w:rPr>
          <w:spacing w:val="-1"/>
          <w:sz w:val="24"/>
          <w:szCs w:val="24"/>
        </w:rPr>
        <w:t>④麒麟区城南片区污水处理厂</w:t>
      </w:r>
    </w:p>
    <w:p w14:paraId="713C2290">
      <w:pPr>
        <w:pStyle w:val="2"/>
        <w:spacing w:before="161" w:line="338" w:lineRule="auto"/>
        <w:ind w:left="33" w:firstLine="484"/>
        <w:rPr>
          <w:sz w:val="24"/>
          <w:szCs w:val="24"/>
        </w:rPr>
      </w:pPr>
      <w:r>
        <w:rPr>
          <w:spacing w:val="3"/>
          <w:sz w:val="24"/>
          <w:szCs w:val="24"/>
        </w:rPr>
        <w:t>麒麟区城南片区污水处理厂位于曲靖市麒麟区</w:t>
      </w:r>
      <w:r>
        <w:rPr>
          <w:spacing w:val="2"/>
          <w:sz w:val="24"/>
          <w:szCs w:val="24"/>
        </w:rPr>
        <w:t>沿江街道龚家坝南盘江西侧，</w:t>
      </w:r>
      <w:r>
        <w:rPr>
          <w:spacing w:val="-2"/>
          <w:sz w:val="24"/>
          <w:szCs w:val="24"/>
        </w:rPr>
        <w:t>总设计规模</w:t>
      </w:r>
      <w:r>
        <w:rPr>
          <w:spacing w:val="-45"/>
          <w:sz w:val="24"/>
          <w:szCs w:val="24"/>
        </w:rPr>
        <w:t xml:space="preserve"> </w:t>
      </w:r>
      <w:r>
        <w:rPr>
          <w:rFonts w:ascii="Times New Roman" w:hAnsi="Times New Roman" w:eastAsia="Times New Roman" w:cs="Times New Roman"/>
          <w:spacing w:val="-2"/>
          <w:sz w:val="24"/>
          <w:szCs w:val="24"/>
        </w:rPr>
        <w:t>9.6</w:t>
      </w:r>
      <w:r>
        <w:rPr>
          <w:rFonts w:ascii="Times New Roman" w:hAnsi="Times New Roman" w:eastAsia="Times New Roman" w:cs="Times New Roman"/>
          <w:spacing w:val="22"/>
          <w:sz w:val="24"/>
          <w:szCs w:val="24"/>
        </w:rPr>
        <w:t xml:space="preserve"> </w:t>
      </w:r>
      <w:r>
        <w:rPr>
          <w:spacing w:val="-2"/>
          <w:sz w:val="24"/>
          <w:szCs w:val="24"/>
        </w:rPr>
        <w:t>万</w:t>
      </w:r>
      <w:r>
        <w:rPr>
          <w:spacing w:val="-51"/>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，其中近期建设规模为</w:t>
      </w:r>
      <w:r>
        <w:rPr>
          <w:spacing w:val="-45"/>
          <w:sz w:val="24"/>
          <w:szCs w:val="24"/>
        </w:rPr>
        <w:t xml:space="preserve"> </w:t>
      </w:r>
      <w:r>
        <w:rPr>
          <w:rFonts w:ascii="Times New Roman" w:hAnsi="Times New Roman" w:eastAsia="Times New Roman" w:cs="Times New Roman"/>
          <w:spacing w:val="-2"/>
          <w:sz w:val="24"/>
          <w:szCs w:val="24"/>
        </w:rPr>
        <w:t>7.3</w:t>
      </w:r>
      <w:r>
        <w:rPr>
          <w:rFonts w:ascii="Times New Roman" w:hAnsi="Times New Roman" w:eastAsia="Times New Roman" w:cs="Times New Roman"/>
          <w:spacing w:val="21"/>
          <w:sz w:val="24"/>
          <w:szCs w:val="24"/>
        </w:rPr>
        <w:t xml:space="preserve"> </w:t>
      </w:r>
      <w:r>
        <w:rPr>
          <w:spacing w:val="-2"/>
          <w:sz w:val="24"/>
          <w:szCs w:val="24"/>
        </w:rPr>
        <w:t>万</w:t>
      </w:r>
      <w:r>
        <w:rPr>
          <w:spacing w:val="-51"/>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/d</w:t>
      </w:r>
      <w:r>
        <w:rPr>
          <w:spacing w:val="-2"/>
          <w:sz w:val="24"/>
          <w:szCs w:val="24"/>
        </w:rPr>
        <w:t>，主要收集处理南片区、</w:t>
      </w:r>
      <w:r>
        <w:rPr>
          <w:spacing w:val="-5"/>
          <w:sz w:val="24"/>
          <w:szCs w:val="24"/>
        </w:rPr>
        <w:t>金江生态园区、山地城镇金麟湾、温泉片区、罗汉山物流园区、三宝组团及三宝、</w:t>
      </w:r>
      <w:r>
        <w:rPr>
          <w:spacing w:val="-4"/>
          <w:sz w:val="24"/>
          <w:szCs w:val="24"/>
        </w:rPr>
        <w:t>沿江部分村庄等区域的生活污水，污水收集面积约</w:t>
      </w:r>
      <w:r>
        <w:rPr>
          <w:spacing w:val="-51"/>
          <w:sz w:val="24"/>
          <w:szCs w:val="24"/>
        </w:rPr>
        <w:t xml:space="preserve"> </w:t>
      </w:r>
      <w:r>
        <w:rPr>
          <w:rFonts w:ascii="Times New Roman" w:hAnsi="Times New Roman" w:eastAsia="Times New Roman" w:cs="Times New Roman"/>
          <w:spacing w:val="-4"/>
          <w:sz w:val="24"/>
          <w:szCs w:val="24"/>
        </w:rPr>
        <w:t>75.5km</w:t>
      </w:r>
      <w:r>
        <w:rPr>
          <w:rFonts w:ascii="Times New Roman" w:hAnsi="Times New Roman" w:eastAsia="Times New Roman" w:cs="Times New Roman"/>
          <w:spacing w:val="-4"/>
          <w:position w:val="8"/>
          <w:sz w:val="15"/>
          <w:szCs w:val="15"/>
        </w:rPr>
        <w:t>2</w:t>
      </w:r>
      <w:r>
        <w:rPr>
          <w:spacing w:val="-4"/>
          <w:sz w:val="24"/>
          <w:szCs w:val="24"/>
        </w:rPr>
        <w:t>。污水</w:t>
      </w:r>
      <w:r>
        <w:rPr>
          <w:spacing w:val="-5"/>
          <w:sz w:val="24"/>
          <w:szCs w:val="24"/>
        </w:rPr>
        <w:t>处理厂于</w:t>
      </w:r>
      <w:r>
        <w:rPr>
          <w:spacing w:val="-54"/>
          <w:sz w:val="24"/>
          <w:szCs w:val="24"/>
        </w:rPr>
        <w:t xml:space="preserve"> </w:t>
      </w:r>
      <w:r>
        <w:rPr>
          <w:rFonts w:ascii="Times New Roman" w:hAnsi="Times New Roman" w:eastAsia="Times New Roman" w:cs="Times New Roman"/>
          <w:spacing w:val="-5"/>
          <w:sz w:val="24"/>
          <w:szCs w:val="24"/>
        </w:rPr>
        <w:t xml:space="preserve">2017 </w:t>
      </w:r>
      <w:r>
        <w:rPr>
          <w:spacing w:val="-5"/>
          <w:sz w:val="24"/>
          <w:szCs w:val="24"/>
        </w:rPr>
        <w:t>年</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1"/>
          <w:w w:val="101"/>
          <w:sz w:val="24"/>
          <w:szCs w:val="24"/>
        </w:rPr>
        <w:t xml:space="preserve"> </w:t>
      </w:r>
      <w:r>
        <w:rPr>
          <w:spacing w:val="-3"/>
          <w:sz w:val="24"/>
          <w:szCs w:val="24"/>
        </w:rPr>
        <w:t>月开工建设，</w:t>
      </w:r>
      <w:r>
        <w:rPr>
          <w:rFonts w:ascii="Times New Roman" w:hAnsi="Times New Roman" w:eastAsia="Times New Roman" w:cs="Times New Roman"/>
          <w:spacing w:val="-3"/>
          <w:sz w:val="24"/>
          <w:szCs w:val="24"/>
        </w:rPr>
        <w:t xml:space="preserve">2018 </w:t>
      </w:r>
      <w:r>
        <w:rPr>
          <w:spacing w:val="-3"/>
          <w:sz w:val="24"/>
          <w:szCs w:val="24"/>
        </w:rPr>
        <w:t>年</w:t>
      </w:r>
      <w:r>
        <w:rPr>
          <w:spacing w:val="-50"/>
          <w:sz w:val="24"/>
          <w:szCs w:val="24"/>
        </w:rPr>
        <w:t xml:space="preserve"> </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15"/>
          <w:w w:val="101"/>
          <w:sz w:val="24"/>
          <w:szCs w:val="24"/>
        </w:rPr>
        <w:t xml:space="preserve"> </w:t>
      </w:r>
      <w:r>
        <w:rPr>
          <w:spacing w:val="-3"/>
          <w:sz w:val="24"/>
          <w:szCs w:val="24"/>
        </w:rPr>
        <w:t>月一期工程建成并投入试运行。</w:t>
      </w:r>
    </w:p>
    <w:p w14:paraId="6F326D7A">
      <w:pPr>
        <w:pStyle w:val="2"/>
        <w:spacing w:line="217" w:lineRule="auto"/>
        <w:ind w:left="517"/>
        <w:rPr>
          <w:sz w:val="24"/>
          <w:szCs w:val="24"/>
        </w:rPr>
      </w:pPr>
      <w:r>
        <w:rPr>
          <w:spacing w:val="-1"/>
          <w:sz w:val="24"/>
          <w:szCs w:val="24"/>
        </w:rPr>
        <w:t>⑤马龙区污水处理厂</w:t>
      </w:r>
    </w:p>
    <w:p w14:paraId="4672881F">
      <w:pPr>
        <w:pStyle w:val="2"/>
        <w:spacing w:before="156" w:line="335" w:lineRule="auto"/>
        <w:ind w:left="41" w:right="85" w:firstLine="485"/>
        <w:rPr>
          <w:sz w:val="24"/>
          <w:szCs w:val="24"/>
        </w:rPr>
      </w:pPr>
      <w:r>
        <w:rPr>
          <w:spacing w:val="-4"/>
          <w:sz w:val="24"/>
          <w:szCs w:val="24"/>
        </w:rPr>
        <w:t>马龙区污水处理厂占地面积</w:t>
      </w:r>
      <w:r>
        <w:rPr>
          <w:spacing w:val="-16"/>
          <w:sz w:val="24"/>
          <w:szCs w:val="24"/>
        </w:rPr>
        <w:t xml:space="preserve"> </w:t>
      </w:r>
      <w:r>
        <w:rPr>
          <w:rFonts w:ascii="Times New Roman" w:hAnsi="Times New Roman" w:eastAsia="Times New Roman" w:cs="Times New Roman"/>
          <w:spacing w:val="-4"/>
          <w:sz w:val="24"/>
          <w:szCs w:val="24"/>
        </w:rPr>
        <w:t>54</w:t>
      </w:r>
      <w:r>
        <w:rPr>
          <w:rFonts w:ascii="Times New Roman" w:hAnsi="Times New Roman" w:eastAsia="Times New Roman" w:cs="Times New Roman"/>
          <w:spacing w:val="29"/>
          <w:sz w:val="24"/>
          <w:szCs w:val="24"/>
        </w:rPr>
        <w:t xml:space="preserve"> </w:t>
      </w:r>
      <w:r>
        <w:rPr>
          <w:spacing w:val="-4"/>
          <w:sz w:val="24"/>
          <w:szCs w:val="24"/>
        </w:rPr>
        <w:t xml:space="preserve">亩，于 </w:t>
      </w:r>
      <w:r>
        <w:rPr>
          <w:rFonts w:ascii="Times New Roman" w:hAnsi="Times New Roman" w:eastAsia="Times New Roman" w:cs="Times New Roman"/>
          <w:spacing w:val="-4"/>
          <w:sz w:val="24"/>
          <w:szCs w:val="24"/>
        </w:rPr>
        <w:t>2011</w:t>
      </w:r>
      <w:r>
        <w:rPr>
          <w:rFonts w:ascii="Times New Roman" w:hAnsi="Times New Roman" w:eastAsia="Times New Roman" w:cs="Times New Roman"/>
          <w:spacing w:val="28"/>
          <w:w w:val="101"/>
          <w:sz w:val="24"/>
          <w:szCs w:val="24"/>
        </w:rPr>
        <w:t xml:space="preserve"> </w:t>
      </w:r>
      <w:r>
        <w:rPr>
          <w:spacing w:val="-4"/>
          <w:sz w:val="24"/>
          <w:szCs w:val="24"/>
        </w:rPr>
        <w:t>年</w:t>
      </w:r>
      <w:r>
        <w:rPr>
          <w:spacing w:val="-27"/>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35"/>
          <w:sz w:val="24"/>
          <w:szCs w:val="24"/>
        </w:rPr>
        <w:t xml:space="preserve"> </w:t>
      </w:r>
      <w:r>
        <w:rPr>
          <w:spacing w:val="-4"/>
          <w:sz w:val="24"/>
          <w:szCs w:val="24"/>
        </w:rPr>
        <w:t>月投入试运行，主要收集马</w:t>
      </w:r>
      <w:r>
        <w:rPr>
          <w:spacing w:val="-3"/>
          <w:sz w:val="24"/>
          <w:szCs w:val="24"/>
        </w:rPr>
        <w:t>龙区城区生活污水，污水处理厂处理规模为近期</w:t>
      </w:r>
      <w:r>
        <w:rPr>
          <w:spacing w:val="-54"/>
          <w:sz w:val="24"/>
          <w:szCs w:val="24"/>
        </w:rPr>
        <w:t xml:space="preserve">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15"/>
          <w:sz w:val="24"/>
          <w:szCs w:val="24"/>
        </w:rPr>
        <w:t xml:space="preserve">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，远期</w:t>
      </w:r>
      <w:r>
        <w:rPr>
          <w:spacing w:val="-50"/>
          <w:sz w:val="24"/>
          <w:szCs w:val="24"/>
        </w:rPr>
        <w:t xml:space="preserve"> </w:t>
      </w:r>
      <w:r>
        <w:rPr>
          <w:rFonts w:ascii="Times New Roman" w:hAnsi="Times New Roman" w:eastAsia="Times New Roman" w:cs="Times New Roman"/>
          <w:spacing w:val="-4"/>
          <w:sz w:val="24"/>
          <w:szCs w:val="24"/>
        </w:rPr>
        <w:t>3.0</w:t>
      </w:r>
      <w:r>
        <w:rPr>
          <w:rFonts w:ascii="Times New Roman" w:hAnsi="Times New Roman" w:eastAsia="Times New Roman" w:cs="Times New Roman"/>
          <w:spacing w:val="15"/>
          <w:w w:val="101"/>
          <w:sz w:val="24"/>
          <w:szCs w:val="24"/>
        </w:rPr>
        <w:t xml:space="preserve"> </w:t>
      </w:r>
      <w:r>
        <w:rPr>
          <w:spacing w:val="-4"/>
          <w:sz w:val="24"/>
          <w:szCs w:val="24"/>
        </w:rPr>
        <w:t>万</w:t>
      </w:r>
      <w:r>
        <w:rPr>
          <w:spacing w:val="-57"/>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。经</w:t>
      </w:r>
      <w:r>
        <w:rPr>
          <w:sz w:val="24"/>
          <w:szCs w:val="24"/>
        </w:rPr>
        <w:t xml:space="preserve">调查，污水处理厂现阶段实际处理污水量约 </w:t>
      </w:r>
      <w:r>
        <w:rPr>
          <w:rFonts w:ascii="Times New Roman" w:hAnsi="Times New Roman" w:eastAsia="Times New Roman" w:cs="Times New Roman"/>
          <w:sz w:val="24"/>
          <w:szCs w:val="24"/>
        </w:rPr>
        <w:t>6500m</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/d</w:t>
      </w:r>
      <w:r>
        <w:rPr>
          <w:sz w:val="24"/>
          <w:szCs w:val="24"/>
        </w:rPr>
        <w:t>，出水水质《城镇污水处理</w:t>
      </w:r>
      <w:r>
        <w:rPr>
          <w:spacing w:val="-3"/>
          <w:sz w:val="24"/>
          <w:szCs w:val="24"/>
        </w:rPr>
        <w:t>厂污染物排放标准》一级</w:t>
      </w:r>
      <w:r>
        <w:rPr>
          <w:spacing w:val="-45"/>
          <w:sz w:val="24"/>
          <w:szCs w:val="24"/>
        </w:rPr>
        <w:t xml:space="preserve"> </w:t>
      </w:r>
      <w:r>
        <w:rPr>
          <w:rFonts w:ascii="Times New Roman" w:hAnsi="Times New Roman" w:eastAsia="Times New Roman" w:cs="Times New Roman"/>
          <w:spacing w:val="-3"/>
          <w:sz w:val="24"/>
          <w:szCs w:val="24"/>
        </w:rPr>
        <w:t xml:space="preserve">A </w:t>
      </w:r>
      <w:r>
        <w:rPr>
          <w:spacing w:val="-3"/>
          <w:sz w:val="24"/>
          <w:szCs w:val="24"/>
        </w:rPr>
        <w:t>标准。</w:t>
      </w:r>
    </w:p>
    <w:p w14:paraId="230323BF">
      <w:pPr>
        <w:pStyle w:val="2"/>
        <w:spacing w:before="21" w:line="233" w:lineRule="auto"/>
        <w:ind w:left="547"/>
        <w:rPr>
          <w:sz w:val="24"/>
          <w:szCs w:val="24"/>
        </w:rPr>
      </w:pPr>
      <w:r>
        <w:rPr>
          <w:spacing w:val="-3"/>
          <w:sz w:val="24"/>
          <w:szCs w:val="24"/>
        </w:rPr>
        <w:t>曲靖市</w:t>
      </w:r>
      <w:r>
        <w:rPr>
          <w:spacing w:val="-41"/>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座污水处理厂具体情况见表</w:t>
      </w:r>
      <w:r>
        <w:rPr>
          <w:spacing w:val="-48"/>
          <w:sz w:val="24"/>
          <w:szCs w:val="24"/>
        </w:rPr>
        <w:t xml:space="preserve"> </w:t>
      </w:r>
      <w:r>
        <w:rPr>
          <w:rFonts w:ascii="Times New Roman" w:hAnsi="Times New Roman" w:eastAsia="Times New Roman" w:cs="Times New Roman"/>
          <w:spacing w:val="-3"/>
          <w:sz w:val="24"/>
          <w:szCs w:val="24"/>
        </w:rPr>
        <w:t>5.1-3</w:t>
      </w:r>
      <w:r>
        <w:rPr>
          <w:spacing w:val="-3"/>
          <w:sz w:val="24"/>
          <w:szCs w:val="24"/>
        </w:rPr>
        <w:t>。</w:t>
      </w:r>
    </w:p>
    <w:p w14:paraId="0951219A">
      <w:pPr>
        <w:spacing w:line="233" w:lineRule="auto"/>
        <w:rPr>
          <w:sz w:val="24"/>
          <w:szCs w:val="24"/>
        </w:rPr>
        <w:sectPr>
          <w:headerReference r:id="rId105" w:type="default"/>
          <w:footerReference r:id="rId106" w:type="default"/>
          <w:pgSz w:w="11907" w:h="16839"/>
          <w:pgMar w:top="1376" w:right="1615" w:bottom="1061" w:left="1671" w:header="999" w:footer="861" w:gutter="0"/>
          <w:cols w:space="720" w:num="1"/>
        </w:sectPr>
      </w:pPr>
    </w:p>
    <w:p w14:paraId="29C964D8">
      <w:pPr>
        <w:spacing w:line="454" w:lineRule="auto"/>
        <w:rPr>
          <w:rFonts w:ascii="Arial"/>
          <w:sz w:val="21"/>
        </w:rPr>
      </w:pPr>
    </w:p>
    <w:p w14:paraId="55F3C9D4">
      <w:pPr>
        <w:pStyle w:val="2"/>
        <w:spacing w:before="78" w:line="226"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5.1-3                        </w:t>
      </w:r>
      <w:r>
        <w:rPr>
          <w:b/>
          <w:bCs/>
          <w:spacing w:val="-1"/>
          <w:sz w:val="24"/>
          <w:szCs w:val="24"/>
        </w:rPr>
        <w:t>曲靖市规划区域城镇污水处理厂建设情况</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2817"/>
        <w:gridCol w:w="1130"/>
        <w:gridCol w:w="1130"/>
        <w:gridCol w:w="1553"/>
        <w:gridCol w:w="1129"/>
      </w:tblGrid>
      <w:tr w14:paraId="7B78B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14" w:type="dxa"/>
            <w:vMerge w:val="restart"/>
            <w:tcBorders>
              <w:top w:val="single" w:color="000000" w:sz="12" w:space="0"/>
              <w:left w:val="single" w:color="000000" w:sz="12" w:space="0"/>
              <w:bottom w:val="nil"/>
            </w:tcBorders>
            <w:vAlign w:val="top"/>
          </w:tcPr>
          <w:p w14:paraId="112BAF0B">
            <w:pPr>
              <w:spacing w:line="57" w:lineRule="exact"/>
            </w:pPr>
            <w:r>
              <w:rPr>
                <w:position w:val="-1"/>
              </w:rPr>
              <w:pict>
                <v:shape id="_x0000_s1029" o:spid="_x0000_s1029" style="height:2.9pt;width:34pt;" fillcolor="#FFFFFF" filled="t" stroked="f" coordsize="680,58" path="m0,57l679,57,679,0,0,0,0,57xe">
                  <v:path/>
                  <v:fill on="t" focussize="0,0"/>
                  <v:stroke on="f"/>
                  <v:imagedata o:title=""/>
                  <o:lock v:ext="edit"/>
                  <w10:wrap type="none"/>
                  <w10:anchorlock/>
                </v:shape>
              </w:pict>
            </w:r>
          </w:p>
          <w:p w14:paraId="3DFB51E7">
            <w:pPr>
              <w:spacing w:before="231" w:line="220" w:lineRule="auto"/>
              <w:ind w:left="134"/>
              <w:rPr>
                <w:rFonts w:ascii="宋体" w:hAnsi="宋体" w:eastAsia="宋体" w:cs="宋体"/>
                <w:sz w:val="21"/>
                <w:szCs w:val="21"/>
              </w:rPr>
            </w:pPr>
            <w:r>
              <w:rPr>
                <w:rFonts w:ascii="宋体" w:hAnsi="宋体" w:eastAsia="宋体" w:cs="宋体"/>
                <w:spacing w:val="-3"/>
                <w:sz w:val="21"/>
                <w:szCs w:val="21"/>
              </w:rPr>
              <w:t>编号</w:t>
            </w:r>
          </w:p>
          <w:p w14:paraId="493A50AD">
            <w:pPr>
              <w:spacing w:before="192" w:line="48" w:lineRule="exact"/>
            </w:pPr>
            <w:r>
              <w:rPr>
                <w:position w:val="-1"/>
              </w:rPr>
              <w:pict>
                <v:shape id="_x0000_s1030" o:spid="_x0000_s1030" style="height:2.9pt;width:35.05pt;" fillcolor="#FFFFFF" filled="t" stroked="f" coordsize="700,58" path="m0,57l700,57,700,0,0,0,0,57xe">
                  <v:path/>
                  <v:fill on="t" focussize="0,0"/>
                  <v:stroke on="f"/>
                  <v:imagedata o:title=""/>
                  <o:lock v:ext="edit"/>
                  <w10:wrap type="none"/>
                  <w10:anchorlock/>
                </v:shape>
              </w:pict>
            </w:r>
          </w:p>
        </w:tc>
        <w:tc>
          <w:tcPr>
            <w:tcW w:w="2817" w:type="dxa"/>
            <w:vMerge w:val="restart"/>
            <w:tcBorders>
              <w:top w:val="single" w:color="000000" w:sz="12" w:space="0"/>
              <w:bottom w:val="nil"/>
            </w:tcBorders>
            <w:vAlign w:val="top"/>
          </w:tcPr>
          <w:p w14:paraId="7B3ECEEA">
            <w:pPr>
              <w:spacing w:line="57" w:lineRule="exact"/>
              <w:ind w:firstLine="5"/>
            </w:pPr>
            <w:r>
              <w:rPr>
                <w:position w:val="-1"/>
              </w:rPr>
              <w:pict>
                <v:shape id="_x0000_s1031" o:spid="_x0000_s1031" style="height:2.9pt;width:139.9pt;" fillcolor="#FFFFFF" filled="t" stroked="f" coordsize="2797,58" path="m0,57l2797,57,2797,0,0,0,0,57xe">
                  <v:path/>
                  <v:fill on="t" focussize="0,0"/>
                  <v:stroke on="f"/>
                  <v:imagedata o:title=""/>
                  <o:lock v:ext="edit"/>
                  <w10:wrap type="none"/>
                  <w10:anchorlock/>
                </v:shape>
              </w:pict>
            </w:r>
          </w:p>
          <w:p w14:paraId="40BA5DA2">
            <w:pPr>
              <w:spacing w:before="231" w:line="220" w:lineRule="auto"/>
              <w:ind w:left="774"/>
              <w:rPr>
                <w:rFonts w:ascii="宋体" w:hAnsi="宋体" w:eastAsia="宋体" w:cs="宋体"/>
                <w:sz w:val="21"/>
                <w:szCs w:val="21"/>
              </w:rPr>
            </w:pPr>
            <w:r>
              <w:rPr>
                <w:rFonts w:ascii="宋体" w:hAnsi="宋体" w:eastAsia="宋体" w:cs="宋体"/>
                <w:spacing w:val="-2"/>
                <w:sz w:val="21"/>
                <w:szCs w:val="21"/>
              </w:rPr>
              <w:t>污水处理名称</w:t>
            </w:r>
          </w:p>
          <w:p w14:paraId="02860D2D">
            <w:pPr>
              <w:spacing w:before="192" w:line="48" w:lineRule="exact"/>
            </w:pPr>
            <w:r>
              <w:rPr>
                <w:position w:val="-1"/>
              </w:rPr>
              <w:pict>
                <v:shape id="_x0000_s1032" o:spid="_x0000_s1032" style="height:2.9pt;width:141.4pt;" fillcolor="#FFFFFF" filled="t" stroked="f" coordsize="2827,58" path="m0,57l2827,57,2827,0,0,0,0,57xe">
                  <v:path/>
                  <v:fill on="t" focussize="0,0"/>
                  <v:stroke on="f"/>
                  <v:imagedata o:title=""/>
                  <o:lock v:ext="edit"/>
                  <w10:wrap type="none"/>
                  <w10:anchorlock/>
                </v:shape>
              </w:pict>
            </w:r>
          </w:p>
        </w:tc>
        <w:tc>
          <w:tcPr>
            <w:tcW w:w="2260" w:type="dxa"/>
            <w:gridSpan w:val="2"/>
            <w:tcBorders>
              <w:top w:val="single" w:color="000000" w:sz="12" w:space="0"/>
            </w:tcBorders>
            <w:vAlign w:val="top"/>
          </w:tcPr>
          <w:p w14:paraId="6B6B90AA">
            <w:pPr>
              <w:spacing w:line="57" w:lineRule="exact"/>
              <w:ind w:firstLine="15"/>
            </w:pPr>
            <w:r>
              <w:rPr>
                <w:position w:val="-1"/>
              </w:rPr>
              <w:pict>
                <v:shape id="_x0000_s1033" o:spid="_x0000_s1033" style="height:2.9pt;width:111.9pt;" fillcolor="#FFFFFF" filled="t" stroked="f" coordsize="2238,58" path="m0,57l2237,57,2237,0,0,0,0,57xe">
                  <v:path/>
                  <v:fill on="t" focussize="0,0"/>
                  <v:stroke on="f"/>
                  <v:imagedata o:title=""/>
                  <o:lock v:ext="edit"/>
                  <w10:wrap type="none"/>
                  <w10:anchorlock/>
                </v:shape>
              </w:pict>
            </w:r>
          </w:p>
          <w:p w14:paraId="5F27738C">
            <w:pPr>
              <w:pStyle w:val="6"/>
              <w:spacing w:before="31" w:line="211" w:lineRule="auto"/>
              <w:ind w:left="179"/>
              <w:rPr>
                <w:rFonts w:ascii="宋体" w:hAnsi="宋体" w:eastAsia="宋体" w:cs="宋体"/>
              </w:rPr>
            </w:pPr>
            <w:r>
              <w:rPr>
                <w:rFonts w:ascii="宋体" w:hAnsi="宋体" w:eastAsia="宋体" w:cs="宋体"/>
                <w:spacing w:val="-2"/>
              </w:rPr>
              <w:t>处理规模（万</w:t>
            </w:r>
            <w:r>
              <w:rPr>
                <w:rFonts w:ascii="宋体" w:hAnsi="宋体" w:eastAsia="宋体" w:cs="宋体"/>
                <w:spacing w:val="-44"/>
              </w:rPr>
              <w:t xml:space="preserve"> </w:t>
            </w:r>
            <w:r>
              <w:rPr>
                <w:spacing w:val="-2"/>
              </w:rPr>
              <w:t>m</w:t>
            </w:r>
            <w:r>
              <w:rPr>
                <w:spacing w:val="-2"/>
                <w:position w:val="7"/>
                <w:sz w:val="14"/>
                <w:szCs w:val="14"/>
              </w:rPr>
              <w:t>3</w:t>
            </w:r>
            <w:r>
              <w:rPr>
                <w:spacing w:val="-2"/>
              </w:rPr>
              <w:t>/d</w:t>
            </w:r>
            <w:r>
              <w:rPr>
                <w:rFonts w:ascii="宋体" w:hAnsi="宋体" w:eastAsia="宋体" w:cs="宋体"/>
                <w:spacing w:val="-2"/>
              </w:rPr>
              <w:t>）</w:t>
            </w:r>
          </w:p>
          <w:p w14:paraId="3E182362">
            <w:pPr>
              <w:spacing w:line="51" w:lineRule="exact"/>
            </w:pPr>
            <w:r>
              <w:rPr>
                <w:position w:val="-1"/>
              </w:rPr>
              <w:pict>
                <v:shape id="_x0000_s1034" o:spid="_x0000_s1034" style="height:2.9pt;width:113.4pt;" fillcolor="#FFFFFF" filled="t" stroked="f" coordsize="2268,58" path="m0,57l2267,57,2267,0,0,0,0,57xe">
                  <v:path/>
                  <v:fill on="t" focussize="0,0"/>
                  <v:stroke on="f"/>
                  <v:imagedata o:title=""/>
                  <o:lock v:ext="edit"/>
                  <w10:wrap type="none"/>
                  <w10:anchorlock/>
                </v:shape>
              </w:pict>
            </w:r>
          </w:p>
        </w:tc>
        <w:tc>
          <w:tcPr>
            <w:tcW w:w="1553" w:type="dxa"/>
            <w:vMerge w:val="restart"/>
            <w:tcBorders>
              <w:top w:val="single" w:color="000000" w:sz="12" w:space="0"/>
              <w:bottom w:val="nil"/>
            </w:tcBorders>
            <w:vAlign w:val="top"/>
          </w:tcPr>
          <w:p w14:paraId="7BEF0E1D">
            <w:pPr>
              <w:spacing w:line="57" w:lineRule="exact"/>
              <w:ind w:firstLine="23"/>
            </w:pPr>
            <w:r>
              <w:rPr>
                <w:position w:val="-1"/>
              </w:rPr>
              <w:pict>
                <v:shape id="_x0000_s1035" o:spid="_x0000_s1035" style="height:2.9pt;width:76.5pt;" fillcolor="#FFFFFF" filled="t" stroked="f" coordsize="1530,58" path="m0,57l1529,57,1529,0,0,0,0,57xe">
                  <v:path/>
                  <v:fill on="t" focussize="0,0"/>
                  <v:stroke on="f"/>
                  <v:imagedata o:title=""/>
                  <o:lock v:ext="edit"/>
                  <w10:wrap type="none"/>
                  <w10:anchorlock/>
                </v:shape>
              </w:pict>
            </w:r>
          </w:p>
          <w:p w14:paraId="3F71D0BE">
            <w:pPr>
              <w:spacing w:before="231" w:line="224" w:lineRule="auto"/>
              <w:ind w:left="372"/>
              <w:rPr>
                <w:rFonts w:ascii="宋体" w:hAnsi="宋体" w:eastAsia="宋体" w:cs="宋体"/>
                <w:sz w:val="21"/>
                <w:szCs w:val="21"/>
              </w:rPr>
            </w:pPr>
            <w:r>
              <w:rPr>
                <w:rFonts w:ascii="宋体" w:hAnsi="宋体" w:eastAsia="宋体" w:cs="宋体"/>
                <w:spacing w:val="-3"/>
                <w:sz w:val="21"/>
                <w:szCs w:val="21"/>
              </w:rPr>
              <w:t>处理工艺</w:t>
            </w:r>
          </w:p>
          <w:p w14:paraId="57CAF0E4">
            <w:pPr>
              <w:spacing w:before="187" w:line="48" w:lineRule="exact"/>
            </w:pPr>
            <w:r>
              <w:rPr>
                <w:position w:val="-1"/>
              </w:rPr>
              <w:pict>
                <v:shape id="_x0000_s1036" o:spid="_x0000_s1036" style="height:2.9pt;width:78pt;" fillcolor="#FFFFFF" filled="t" stroked="f" coordsize="1560,58" path="m0,57l1559,57,1559,0,0,0,0,57xe">
                  <v:path/>
                  <v:fill on="t" focussize="0,0"/>
                  <v:stroke on="f"/>
                  <v:imagedata o:title=""/>
                  <o:lock v:ext="edit"/>
                  <w10:wrap type="none"/>
                  <w10:anchorlock/>
                </v:shape>
              </w:pict>
            </w:r>
          </w:p>
        </w:tc>
        <w:tc>
          <w:tcPr>
            <w:tcW w:w="1129" w:type="dxa"/>
            <w:vMerge w:val="restart"/>
            <w:tcBorders>
              <w:top w:val="single" w:color="000000" w:sz="12" w:space="0"/>
              <w:bottom w:val="nil"/>
              <w:right w:val="single" w:color="000000" w:sz="12" w:space="0"/>
            </w:tcBorders>
            <w:vAlign w:val="top"/>
          </w:tcPr>
          <w:p w14:paraId="6C8DCDCA">
            <w:pPr>
              <w:spacing w:line="57" w:lineRule="exact"/>
              <w:ind w:firstLine="29"/>
            </w:pPr>
            <w:r>
              <w:rPr>
                <w:position w:val="-1"/>
              </w:rPr>
              <w:pict>
                <v:shape id="_x0000_s1037" o:spid="_x0000_s1037" style="height:2.9pt;width:54pt;" fillcolor="#FFFFFF" filled="t" stroked="f" coordsize="1080,58" path="m0,57l1080,57,1080,0,0,0,0,57xe">
                  <v:path/>
                  <v:fill on="t" focussize="0,0"/>
                  <v:stroke on="f"/>
                  <v:imagedata o:title=""/>
                  <o:lock v:ext="edit"/>
                  <w10:wrap type="none"/>
                  <w10:anchorlock/>
                </v:shape>
              </w:pict>
            </w:r>
          </w:p>
          <w:p w14:paraId="1FACBB43">
            <w:pPr>
              <w:spacing w:before="231" w:line="220" w:lineRule="auto"/>
              <w:ind w:left="153"/>
              <w:rPr>
                <w:rFonts w:ascii="宋体" w:hAnsi="宋体" w:eastAsia="宋体" w:cs="宋体"/>
                <w:sz w:val="21"/>
                <w:szCs w:val="21"/>
              </w:rPr>
            </w:pPr>
            <w:r>
              <w:rPr>
                <w:rFonts w:ascii="宋体" w:hAnsi="宋体" w:eastAsia="宋体" w:cs="宋体"/>
                <w:spacing w:val="-2"/>
                <w:sz w:val="21"/>
                <w:szCs w:val="21"/>
              </w:rPr>
              <w:t>排放标准</w:t>
            </w:r>
          </w:p>
          <w:p w14:paraId="2508959B">
            <w:pPr>
              <w:spacing w:before="191" w:line="48" w:lineRule="exact"/>
              <w:ind w:firstLine="7"/>
            </w:pPr>
            <w:r>
              <w:rPr>
                <w:position w:val="-1"/>
              </w:rPr>
              <w:pict>
                <v:shape id="_x0000_s1038" o:spid="_x0000_s1038" style="height:2.9pt;width:55.95pt;" fillcolor="#FFFFFF" filled="t" stroked="f" coordsize="1119,58" path="m0,57l1118,57,1118,0,0,0,0,57xe">
                  <v:path/>
                  <v:fill on="t" focussize="0,0"/>
                  <v:stroke on="f"/>
                  <v:imagedata o:title=""/>
                  <o:lock v:ext="edit"/>
                  <w10:wrap type="none"/>
                  <w10:anchorlock/>
                </v:shape>
              </w:pict>
            </w:r>
          </w:p>
        </w:tc>
      </w:tr>
      <w:tr w14:paraId="6830F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14" w:type="dxa"/>
            <w:vMerge w:val="continue"/>
            <w:tcBorders>
              <w:top w:val="nil"/>
              <w:left w:val="single" w:color="000000" w:sz="12" w:space="0"/>
            </w:tcBorders>
            <w:vAlign w:val="top"/>
          </w:tcPr>
          <w:p w14:paraId="085DFA18">
            <w:pPr>
              <w:rPr>
                <w:rFonts w:ascii="Arial"/>
                <w:sz w:val="21"/>
              </w:rPr>
            </w:pPr>
          </w:p>
        </w:tc>
        <w:tc>
          <w:tcPr>
            <w:tcW w:w="2817" w:type="dxa"/>
            <w:vMerge w:val="continue"/>
            <w:tcBorders>
              <w:top w:val="nil"/>
            </w:tcBorders>
            <w:vAlign w:val="top"/>
          </w:tcPr>
          <w:p w14:paraId="72510752">
            <w:pPr>
              <w:rPr>
                <w:rFonts w:ascii="Arial"/>
                <w:sz w:val="21"/>
              </w:rPr>
            </w:pPr>
          </w:p>
        </w:tc>
        <w:tc>
          <w:tcPr>
            <w:tcW w:w="1130" w:type="dxa"/>
            <w:vAlign w:val="top"/>
          </w:tcPr>
          <w:p w14:paraId="406D980F">
            <w:pPr>
              <w:spacing w:before="1" w:line="57" w:lineRule="exact"/>
            </w:pPr>
            <w:r>
              <w:rPr>
                <w:position w:val="-1"/>
              </w:rPr>
              <w:pict>
                <v:shape id="_x0000_s1039" o:spid="_x0000_s1039" style="height:2.9pt;width:56pt;" fillcolor="#FFFFFF" filled="t" stroked="f" coordsize="1120,58" path="m0,57l1119,57,1119,0,0,0,0,57xe">
                  <v:path/>
                  <v:fill on="t" focussize="0,0"/>
                  <v:stroke on="f"/>
                  <v:imagedata o:title=""/>
                  <o:lock v:ext="edit"/>
                  <w10:wrap type="none"/>
                  <w10:anchorlock/>
                </v:shape>
              </w:pict>
            </w:r>
          </w:p>
          <w:p w14:paraId="4C7852C7">
            <w:pPr>
              <w:spacing w:before="31" w:line="212" w:lineRule="auto"/>
              <w:ind w:left="356"/>
              <w:rPr>
                <w:rFonts w:ascii="宋体" w:hAnsi="宋体" w:eastAsia="宋体" w:cs="宋体"/>
                <w:sz w:val="21"/>
                <w:szCs w:val="21"/>
              </w:rPr>
            </w:pPr>
            <w:r>
              <w:rPr>
                <w:rFonts w:ascii="宋体" w:hAnsi="宋体" w:eastAsia="宋体" w:cs="宋体"/>
                <w:spacing w:val="-2"/>
                <w:sz w:val="21"/>
                <w:szCs w:val="21"/>
              </w:rPr>
              <w:t>近期</w:t>
            </w:r>
          </w:p>
          <w:p w14:paraId="0FBABC9F">
            <w:pPr>
              <w:spacing w:line="47" w:lineRule="exact"/>
            </w:pPr>
            <w:r>
              <w:rPr>
                <w:position w:val="-1"/>
              </w:rPr>
              <w:pict>
                <v:shape id="_x0000_s1040" o:spid="_x0000_s1040"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29D07D6C">
            <w:pPr>
              <w:spacing w:before="1" w:line="57" w:lineRule="exact"/>
              <w:ind w:firstLine="4"/>
            </w:pPr>
            <w:r>
              <w:rPr>
                <w:position w:val="-1"/>
              </w:rPr>
              <w:pict>
                <v:shape id="_x0000_s1041" o:spid="_x0000_s1041" style="height:2.9pt;width:56pt;" fillcolor="#FFFFFF" filled="t" stroked="f" coordsize="1120,58" path="m0,57l1119,57,1119,0,0,0,0,57xe">
                  <v:path/>
                  <v:fill on="t" focussize="0,0"/>
                  <v:stroke on="f"/>
                  <v:imagedata o:title=""/>
                  <o:lock v:ext="edit"/>
                  <w10:wrap type="none"/>
                  <w10:anchorlock/>
                </v:shape>
              </w:pict>
            </w:r>
          </w:p>
          <w:p w14:paraId="3EAA58E3">
            <w:pPr>
              <w:spacing w:before="31" w:line="212" w:lineRule="auto"/>
              <w:ind w:left="361"/>
              <w:rPr>
                <w:rFonts w:ascii="宋体" w:hAnsi="宋体" w:eastAsia="宋体" w:cs="宋体"/>
                <w:sz w:val="21"/>
                <w:szCs w:val="21"/>
              </w:rPr>
            </w:pPr>
            <w:r>
              <w:rPr>
                <w:rFonts w:ascii="宋体" w:hAnsi="宋体" w:eastAsia="宋体" w:cs="宋体"/>
                <w:spacing w:val="-3"/>
                <w:sz w:val="21"/>
                <w:szCs w:val="21"/>
              </w:rPr>
              <w:t>远期</w:t>
            </w:r>
          </w:p>
          <w:p w14:paraId="01CEAF58">
            <w:pPr>
              <w:spacing w:line="47" w:lineRule="exact"/>
            </w:pPr>
            <w:r>
              <w:rPr>
                <w:position w:val="-1"/>
              </w:rPr>
              <w:pict>
                <v:shape id="_x0000_s1042" o:spid="_x0000_s1042" style="height:2.9pt;width:56.75pt;" fillcolor="#FFFFFF" filled="t" stroked="f" coordsize="1135,58" path="m0,57l1134,57,1134,0,0,0,0,57xe">
                  <v:path/>
                  <v:fill on="t" focussize="0,0"/>
                  <v:stroke on="f"/>
                  <v:imagedata o:title=""/>
                  <o:lock v:ext="edit"/>
                  <w10:wrap type="none"/>
                  <w10:anchorlock/>
                </v:shape>
              </w:pict>
            </w:r>
          </w:p>
        </w:tc>
        <w:tc>
          <w:tcPr>
            <w:tcW w:w="1553" w:type="dxa"/>
            <w:vMerge w:val="continue"/>
            <w:tcBorders>
              <w:top w:val="nil"/>
            </w:tcBorders>
            <w:vAlign w:val="top"/>
          </w:tcPr>
          <w:p w14:paraId="193A0BCF">
            <w:pPr>
              <w:rPr>
                <w:rFonts w:ascii="Arial"/>
                <w:sz w:val="21"/>
              </w:rPr>
            </w:pPr>
          </w:p>
        </w:tc>
        <w:tc>
          <w:tcPr>
            <w:tcW w:w="1129" w:type="dxa"/>
            <w:vMerge w:val="continue"/>
            <w:tcBorders>
              <w:top w:val="nil"/>
              <w:right w:val="single" w:color="000000" w:sz="12" w:space="0"/>
            </w:tcBorders>
            <w:vAlign w:val="top"/>
          </w:tcPr>
          <w:p w14:paraId="133795E4">
            <w:pPr>
              <w:rPr>
                <w:rFonts w:ascii="Arial"/>
                <w:sz w:val="21"/>
              </w:rPr>
            </w:pPr>
          </w:p>
        </w:tc>
      </w:tr>
      <w:tr w14:paraId="57309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714" w:type="dxa"/>
            <w:tcBorders>
              <w:left w:val="single" w:color="000000" w:sz="12" w:space="0"/>
            </w:tcBorders>
            <w:vAlign w:val="top"/>
          </w:tcPr>
          <w:p w14:paraId="3F14F2CA">
            <w:pPr>
              <w:spacing w:before="4" w:line="57" w:lineRule="exact"/>
            </w:pPr>
            <w:r>
              <w:rPr>
                <w:position w:val="-1"/>
              </w:rPr>
              <w:pict>
                <v:shape id="_x0000_s1043" o:spid="_x0000_s1043" style="height:2.9pt;width:34pt;" fillcolor="#FFFFFF" filled="t" stroked="f" coordsize="680,58" path="m0,57l679,57,679,0,0,0,0,57xe">
                  <v:path/>
                  <v:fill on="t" focussize="0,0"/>
                  <v:stroke on="f"/>
                  <v:imagedata o:title=""/>
                  <o:lock v:ext="edit"/>
                  <w10:wrap type="none"/>
                  <w10:anchorlock/>
                </v:shape>
              </w:pict>
            </w:r>
          </w:p>
          <w:p w14:paraId="67ADB7A2">
            <w:pPr>
              <w:pStyle w:val="6"/>
              <w:spacing w:before="64" w:line="205" w:lineRule="auto"/>
              <w:ind w:left="306"/>
            </w:pPr>
            <w:r>
              <w:t>1</w:t>
            </w:r>
          </w:p>
          <w:p w14:paraId="128DA857">
            <w:pPr>
              <w:spacing w:line="43" w:lineRule="exact"/>
            </w:pPr>
            <w:r>
              <w:rPr>
                <w:position w:val="-2"/>
              </w:rPr>
              <w:pict>
                <v:shape id="_x0000_s1044" o:spid="_x0000_s1044" style="height:2.9pt;width:35.05pt;" fillcolor="#FFFFFF" filled="t" stroked="f" coordsize="700,58" path="m0,57l700,57,700,0,0,0,0,57xe">
                  <v:path/>
                  <v:fill on="t" focussize="0,0"/>
                  <v:stroke on="f"/>
                  <v:imagedata o:title=""/>
                  <o:lock v:ext="edit"/>
                  <w10:wrap type="none"/>
                  <w10:anchorlock/>
                </v:shape>
              </w:pict>
            </w:r>
          </w:p>
        </w:tc>
        <w:tc>
          <w:tcPr>
            <w:tcW w:w="2817" w:type="dxa"/>
            <w:vAlign w:val="top"/>
          </w:tcPr>
          <w:p w14:paraId="30ED9108">
            <w:pPr>
              <w:spacing w:before="4" w:line="57" w:lineRule="exact"/>
            </w:pPr>
            <w:r>
              <w:rPr>
                <w:position w:val="-1"/>
              </w:rPr>
              <w:pict>
                <v:shape id="_x0000_s1045" o:spid="_x0000_s1045" style="height:2.9pt;width:140.7pt;" fillcolor="#FFFFFF" filled="t" stroked="f" coordsize="2813,58" path="m0,57l2813,57,2813,0,0,0,0,57xe">
                  <v:path/>
                  <v:fill on="t" focussize="0,0"/>
                  <v:stroke on="f"/>
                  <v:imagedata o:title=""/>
                  <o:lock v:ext="edit"/>
                  <w10:wrap type="none"/>
                  <w10:anchorlock/>
                </v:shape>
              </w:pict>
            </w:r>
          </w:p>
          <w:p w14:paraId="4ECADCCB">
            <w:pPr>
              <w:spacing w:before="31" w:line="211" w:lineRule="auto"/>
              <w:ind w:left="673"/>
              <w:rPr>
                <w:rFonts w:ascii="宋体" w:hAnsi="宋体" w:eastAsia="宋体" w:cs="宋体"/>
                <w:sz w:val="21"/>
                <w:szCs w:val="21"/>
              </w:rPr>
            </w:pPr>
            <w:r>
              <w:rPr>
                <w:rFonts w:ascii="宋体" w:hAnsi="宋体" w:eastAsia="宋体" w:cs="宋体"/>
                <w:spacing w:val="-2"/>
                <w:sz w:val="21"/>
                <w:szCs w:val="21"/>
              </w:rPr>
              <w:t>西城污水处理厂</w:t>
            </w:r>
          </w:p>
          <w:p w14:paraId="6504CDDD">
            <w:pPr>
              <w:spacing w:line="43" w:lineRule="exact"/>
            </w:pPr>
            <w:r>
              <w:rPr>
                <w:position w:val="-2"/>
              </w:rPr>
              <w:pict>
                <v:shape id="_x0000_s1046" o:spid="_x0000_s1046" style="height:2.9pt;width:141.4pt;" fillcolor="#FFFFFF" filled="t" stroked="f" coordsize="2827,58" path="m0,57l2827,57,2827,0,0,0,0,57xe">
                  <v:path/>
                  <v:fill on="t" focussize="0,0"/>
                  <v:stroke on="f"/>
                  <v:imagedata o:title=""/>
                  <o:lock v:ext="edit"/>
                  <w10:wrap type="none"/>
                  <w10:anchorlock/>
                </v:shape>
              </w:pict>
            </w:r>
          </w:p>
        </w:tc>
        <w:tc>
          <w:tcPr>
            <w:tcW w:w="1130" w:type="dxa"/>
            <w:vAlign w:val="top"/>
          </w:tcPr>
          <w:p w14:paraId="6E195758">
            <w:pPr>
              <w:spacing w:before="4" w:line="57" w:lineRule="exact"/>
            </w:pPr>
            <w:r>
              <w:rPr>
                <w:position w:val="-1"/>
              </w:rPr>
              <w:pict>
                <v:shape id="_x0000_s1047" o:spid="_x0000_s1047" style="height:2.9pt;width:56pt;" fillcolor="#FFFFFF" filled="t" stroked="f" coordsize="1120,58" path="m0,57l1119,57,1119,0,0,0,0,57xe">
                  <v:path/>
                  <v:fill on="t" focussize="0,0"/>
                  <v:stroke on="f"/>
                  <v:imagedata o:title=""/>
                  <o:lock v:ext="edit"/>
                  <w10:wrap type="none"/>
                  <w10:anchorlock/>
                </v:shape>
              </w:pict>
            </w:r>
          </w:p>
          <w:p w14:paraId="11F0F5A4">
            <w:pPr>
              <w:pStyle w:val="6"/>
              <w:spacing w:before="64" w:line="205" w:lineRule="auto"/>
              <w:ind w:left="400"/>
            </w:pPr>
            <w:r>
              <w:rPr>
                <w:spacing w:val="-6"/>
              </w:rPr>
              <w:t>10.0</w:t>
            </w:r>
          </w:p>
          <w:p w14:paraId="2990E657">
            <w:pPr>
              <w:spacing w:line="43" w:lineRule="exact"/>
            </w:pPr>
            <w:r>
              <w:rPr>
                <w:position w:val="-2"/>
              </w:rPr>
              <w:pict>
                <v:shape id="_x0000_s1048" o:spid="_x0000_s1048"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6621E5E5">
            <w:pPr>
              <w:spacing w:before="4" w:line="57" w:lineRule="exact"/>
              <w:ind w:firstLine="4"/>
            </w:pPr>
            <w:r>
              <w:rPr>
                <w:position w:val="-1"/>
              </w:rPr>
              <w:pict>
                <v:shape id="_x0000_s1049" o:spid="_x0000_s1049" style="height:2.9pt;width:56pt;" fillcolor="#FFFFFF" filled="t" stroked="f" coordsize="1120,58" path="m0,57l1119,57,1119,0,0,0,0,57xe">
                  <v:path/>
                  <v:fill on="t" focussize="0,0"/>
                  <v:stroke on="f"/>
                  <v:imagedata o:title=""/>
                  <o:lock v:ext="edit"/>
                  <w10:wrap type="none"/>
                  <w10:anchorlock/>
                </v:shape>
              </w:pict>
            </w:r>
          </w:p>
          <w:p w14:paraId="70EA8752">
            <w:pPr>
              <w:pStyle w:val="6"/>
              <w:spacing w:before="64" w:line="205" w:lineRule="auto"/>
              <w:ind w:left="404"/>
            </w:pPr>
            <w:r>
              <w:rPr>
                <w:spacing w:val="-6"/>
              </w:rPr>
              <w:t>13.0</w:t>
            </w:r>
          </w:p>
          <w:p w14:paraId="3F11EDD7">
            <w:pPr>
              <w:spacing w:line="43" w:lineRule="exact"/>
            </w:pPr>
            <w:r>
              <w:rPr>
                <w:position w:val="-2"/>
              </w:rPr>
              <w:pict>
                <v:shape id="_x0000_s1050" o:spid="_x0000_s1050" style="height:2.9pt;width:56.75pt;" fillcolor="#FFFFFF" filled="t" stroked="f" coordsize="1135,58" path="m0,57l1134,57,1134,0,0,0,0,57xe">
                  <v:path/>
                  <v:fill on="t" focussize="0,0"/>
                  <v:stroke on="f"/>
                  <v:imagedata o:title=""/>
                  <o:lock v:ext="edit"/>
                  <w10:wrap type="none"/>
                  <w10:anchorlock/>
                </v:shape>
              </w:pict>
            </w:r>
          </w:p>
        </w:tc>
        <w:tc>
          <w:tcPr>
            <w:tcW w:w="1553" w:type="dxa"/>
            <w:vAlign w:val="top"/>
          </w:tcPr>
          <w:p w14:paraId="09A8BAB1">
            <w:pPr>
              <w:spacing w:before="4" w:line="57" w:lineRule="exact"/>
              <w:ind w:firstLine="8"/>
            </w:pPr>
            <w:r>
              <w:rPr>
                <w:position w:val="-1"/>
              </w:rPr>
              <w:pict>
                <v:shape id="_x0000_s1051" o:spid="_x0000_s1051" style="height:2.9pt;width:77.25pt;" fillcolor="#FFFFFF" filled="t" stroked="f" coordsize="1545,58" path="m0,57l1544,57,1544,0,0,0,0,57xe">
                  <v:path/>
                  <v:fill on="t" focussize="0,0"/>
                  <v:stroke on="f"/>
                  <v:imagedata o:title=""/>
                  <o:lock v:ext="edit"/>
                  <w10:wrap type="none"/>
                  <w10:anchorlock/>
                </v:shape>
              </w:pict>
            </w:r>
          </w:p>
          <w:p w14:paraId="6706B557">
            <w:pPr>
              <w:spacing w:before="31" w:line="211" w:lineRule="auto"/>
              <w:ind w:left="264"/>
              <w:rPr>
                <w:rFonts w:ascii="宋体" w:hAnsi="宋体" w:eastAsia="宋体" w:cs="宋体"/>
                <w:sz w:val="21"/>
                <w:szCs w:val="21"/>
              </w:rPr>
            </w:pPr>
            <w:r>
              <w:rPr>
                <w:rFonts w:ascii="宋体" w:hAnsi="宋体" w:eastAsia="宋体" w:cs="宋体"/>
                <w:spacing w:val="-2"/>
                <w:sz w:val="21"/>
                <w:szCs w:val="21"/>
              </w:rPr>
              <w:t>生物处理法</w:t>
            </w:r>
          </w:p>
          <w:p w14:paraId="657F8FAF">
            <w:pPr>
              <w:spacing w:line="43" w:lineRule="exact"/>
            </w:pPr>
            <w:r>
              <w:rPr>
                <w:position w:val="-2"/>
              </w:rPr>
              <w:pict>
                <v:shape id="_x0000_s1052" o:spid="_x0000_s1052" style="height:2.9pt;width:78pt;" fillcolor="#FFFFFF" filled="t" stroked="f" coordsize="1560,58" path="m0,57l1559,57,1559,0,0,0,0,57xe">
                  <v:path/>
                  <v:fill on="t" focussize="0,0"/>
                  <v:stroke on="f"/>
                  <v:imagedata o:title=""/>
                  <o:lock v:ext="edit"/>
                  <w10:wrap type="none"/>
                  <w10:anchorlock/>
                </v:shape>
              </w:pict>
            </w:r>
          </w:p>
        </w:tc>
        <w:tc>
          <w:tcPr>
            <w:tcW w:w="1129" w:type="dxa"/>
            <w:vMerge w:val="restart"/>
            <w:tcBorders>
              <w:bottom w:val="nil"/>
              <w:right w:val="single" w:color="000000" w:sz="12" w:space="0"/>
            </w:tcBorders>
            <w:vAlign w:val="top"/>
          </w:tcPr>
          <w:p w14:paraId="611EBEF6">
            <w:pPr>
              <w:spacing w:before="4" w:line="57" w:lineRule="exact"/>
              <w:ind w:firstLine="14"/>
            </w:pPr>
            <w:r>
              <w:rPr>
                <w:position w:val="-1"/>
              </w:rPr>
              <w:pict>
                <v:shape id="_x0000_s1053" o:spid="_x0000_s1053" style="height:2.9pt;width:54.8pt;" fillcolor="#FFFFFF" filled="t" stroked="f" coordsize="1095,58" path="m0,57l1095,57,1095,0,0,0,0,57xe">
                  <v:path/>
                  <v:fill on="t" focussize="0,0"/>
                  <v:stroke on="f"/>
                  <v:imagedata o:title=""/>
                  <o:lock v:ext="edit"/>
                  <w10:wrap type="none"/>
                  <w10:anchorlock/>
                </v:shape>
              </w:pict>
            </w:r>
          </w:p>
          <w:p w14:paraId="757BA032">
            <w:pPr>
              <w:spacing w:line="253" w:lineRule="auto"/>
              <w:rPr>
                <w:rFonts w:ascii="Arial"/>
                <w:sz w:val="21"/>
              </w:rPr>
            </w:pPr>
          </w:p>
          <w:p w14:paraId="23112234">
            <w:pPr>
              <w:spacing w:line="254" w:lineRule="auto"/>
              <w:rPr>
                <w:rFonts w:ascii="Arial"/>
                <w:sz w:val="21"/>
              </w:rPr>
            </w:pPr>
          </w:p>
          <w:p w14:paraId="40EBFECE">
            <w:pPr>
              <w:spacing w:line="254" w:lineRule="auto"/>
              <w:rPr>
                <w:rFonts w:ascii="Arial"/>
                <w:sz w:val="21"/>
              </w:rPr>
            </w:pPr>
          </w:p>
          <w:p w14:paraId="0CB2C0DC">
            <w:pPr>
              <w:pStyle w:val="6"/>
              <w:spacing w:before="68" w:line="242" w:lineRule="auto"/>
              <w:ind w:left="468" w:right="101" w:hanging="336"/>
              <w:rPr>
                <w:rFonts w:ascii="宋体" w:hAnsi="宋体" w:eastAsia="宋体" w:cs="宋体"/>
              </w:rPr>
            </w:pPr>
            <w:r>
              <w:rPr>
                <w:rFonts w:ascii="宋体" w:hAnsi="宋体" w:eastAsia="宋体" w:cs="宋体"/>
                <w:spacing w:val="-6"/>
              </w:rPr>
              <w:t>一级</w:t>
            </w:r>
            <w:r>
              <w:rPr>
                <w:rFonts w:ascii="宋体" w:hAnsi="宋体" w:eastAsia="宋体" w:cs="宋体"/>
                <w:spacing w:val="-50"/>
              </w:rPr>
              <w:t xml:space="preserve"> </w:t>
            </w:r>
            <w:r>
              <w:rPr>
                <w:spacing w:val="-6"/>
              </w:rPr>
              <w:t>A</w:t>
            </w:r>
            <w:r>
              <w:rPr>
                <w:spacing w:val="9"/>
              </w:rPr>
              <w:t xml:space="preserve"> </w:t>
            </w:r>
            <w:r>
              <w:rPr>
                <w:rFonts w:ascii="宋体" w:hAnsi="宋体" w:eastAsia="宋体" w:cs="宋体"/>
                <w:spacing w:val="-6"/>
              </w:rPr>
              <w:t>标</w:t>
            </w:r>
            <w:r>
              <w:rPr>
                <w:rFonts w:ascii="宋体" w:hAnsi="宋体" w:eastAsia="宋体" w:cs="宋体"/>
              </w:rPr>
              <w:t>准</w:t>
            </w:r>
          </w:p>
          <w:p w14:paraId="23DB01AD">
            <w:pPr>
              <w:spacing w:line="253" w:lineRule="auto"/>
              <w:rPr>
                <w:rFonts w:ascii="Arial"/>
                <w:sz w:val="21"/>
              </w:rPr>
            </w:pPr>
          </w:p>
          <w:p w14:paraId="74D8177A">
            <w:pPr>
              <w:spacing w:line="253" w:lineRule="auto"/>
              <w:rPr>
                <w:rFonts w:ascii="Arial"/>
                <w:sz w:val="21"/>
              </w:rPr>
            </w:pPr>
          </w:p>
          <w:p w14:paraId="07D2928C">
            <w:pPr>
              <w:spacing w:line="253" w:lineRule="auto"/>
              <w:rPr>
                <w:rFonts w:ascii="Arial"/>
                <w:sz w:val="21"/>
              </w:rPr>
            </w:pPr>
          </w:p>
          <w:p w14:paraId="7A2EA2BC">
            <w:pPr>
              <w:spacing w:line="28" w:lineRule="exact"/>
              <w:ind w:firstLine="7"/>
            </w:pPr>
            <w:r>
              <w:rPr>
                <w:position w:val="-3"/>
              </w:rPr>
              <w:pict>
                <v:shape id="_x0000_s1054" o:spid="_x0000_s1054" style="height:2.9pt;width:55.95pt;" fillcolor="#FFFFFF" filled="t" stroked="f" coordsize="1119,58" path="m0,57l1118,57,1118,0,0,0,0,57xe">
                  <v:path/>
                  <v:fill on="t" focussize="0,0"/>
                  <v:stroke on="f"/>
                  <v:imagedata o:title=""/>
                  <o:lock v:ext="edit"/>
                  <w10:wrap type="none"/>
                  <w10:anchorlock/>
                </v:shape>
              </w:pict>
            </w:r>
          </w:p>
        </w:tc>
      </w:tr>
      <w:tr w14:paraId="79DBE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714" w:type="dxa"/>
            <w:tcBorders>
              <w:left w:val="single" w:color="000000" w:sz="12" w:space="0"/>
            </w:tcBorders>
            <w:vAlign w:val="top"/>
          </w:tcPr>
          <w:p w14:paraId="426DE287">
            <w:pPr>
              <w:spacing w:before="8" w:line="57" w:lineRule="exact"/>
            </w:pPr>
            <w:r>
              <w:rPr>
                <w:position w:val="-1"/>
              </w:rPr>
              <w:pict>
                <v:shape id="_x0000_s1055" o:spid="_x0000_s1055" style="height:2.9pt;width:34pt;" fillcolor="#FFFFFF" filled="t" stroked="f" coordsize="680,58" path="m0,57l679,57,679,0,0,0,0,57xe">
                  <v:path/>
                  <v:fill on="t" focussize="0,0"/>
                  <v:stroke on="f"/>
                  <v:imagedata o:title=""/>
                  <o:lock v:ext="edit"/>
                  <w10:wrap type="none"/>
                  <w10:anchorlock/>
                </v:shape>
              </w:pict>
            </w:r>
          </w:p>
          <w:p w14:paraId="506CF569">
            <w:pPr>
              <w:pStyle w:val="6"/>
              <w:spacing w:before="201" w:line="235" w:lineRule="auto"/>
              <w:ind w:left="286"/>
            </w:pPr>
            <w:r>
              <w:t>2</w:t>
            </w:r>
          </w:p>
          <w:p w14:paraId="2794ADCA">
            <w:pPr>
              <w:spacing w:before="107" w:line="38" w:lineRule="exact"/>
            </w:pPr>
            <w:r>
              <w:rPr>
                <w:position w:val="-2"/>
              </w:rPr>
              <w:pict>
                <v:shape id="_x0000_s1056" o:spid="_x0000_s1056" style="height:2.9pt;width:35.05pt;" fillcolor="#FFFFFF" filled="t" stroked="f" coordsize="700,58" path="m0,57l700,57,700,0,0,0,0,57xe">
                  <v:path/>
                  <v:fill on="t" focussize="0,0"/>
                  <v:stroke on="f"/>
                  <v:imagedata o:title=""/>
                  <o:lock v:ext="edit"/>
                  <w10:wrap type="none"/>
                  <w10:anchorlock/>
                </v:shape>
              </w:pict>
            </w:r>
          </w:p>
        </w:tc>
        <w:tc>
          <w:tcPr>
            <w:tcW w:w="2817" w:type="dxa"/>
            <w:vAlign w:val="top"/>
          </w:tcPr>
          <w:p w14:paraId="3B1568E4">
            <w:pPr>
              <w:spacing w:before="8" w:line="57" w:lineRule="exact"/>
            </w:pPr>
            <w:r>
              <w:rPr>
                <w:position w:val="-1"/>
              </w:rPr>
              <w:pict>
                <v:shape id="_x0000_s1057" o:spid="_x0000_s1057" style="height:2.9pt;width:140.7pt;" fillcolor="#FFFFFF" filled="t" stroked="f" coordsize="2813,58" path="m0,57l2813,57,2813,0,0,0,0,57xe">
                  <v:path/>
                  <v:fill on="t" focussize="0,0"/>
                  <v:stroke on="f"/>
                  <v:imagedata o:title=""/>
                  <o:lock v:ext="edit"/>
                  <w10:wrap type="none"/>
                  <w10:anchorlock/>
                </v:shape>
              </w:pict>
            </w:r>
          </w:p>
          <w:p w14:paraId="7E172D28">
            <w:pPr>
              <w:spacing w:before="167" w:line="220" w:lineRule="auto"/>
              <w:ind w:left="563"/>
              <w:rPr>
                <w:rFonts w:ascii="宋体" w:hAnsi="宋体" w:eastAsia="宋体" w:cs="宋体"/>
                <w:sz w:val="21"/>
                <w:szCs w:val="21"/>
              </w:rPr>
            </w:pPr>
            <w:r>
              <w:rPr>
                <w:rFonts w:ascii="宋体" w:hAnsi="宋体" w:eastAsia="宋体" w:cs="宋体"/>
                <w:spacing w:val="-1"/>
                <w:sz w:val="21"/>
                <w:szCs w:val="21"/>
              </w:rPr>
              <w:t>两江口污水处理厂</w:t>
            </w:r>
          </w:p>
          <w:p w14:paraId="0AADFB56">
            <w:pPr>
              <w:spacing w:before="127" w:line="39" w:lineRule="exact"/>
            </w:pPr>
            <w:r>
              <w:rPr>
                <w:position w:val="-2"/>
              </w:rPr>
              <w:pict>
                <v:shape id="_x0000_s1058" o:spid="_x0000_s1058" style="height:2.9pt;width:141.4pt;" fillcolor="#FFFFFF" filled="t" stroked="f" coordsize="2827,58" path="m0,57l2827,57,2827,0,0,0,0,57xe">
                  <v:path/>
                  <v:fill on="t" focussize="0,0"/>
                  <v:stroke on="f"/>
                  <v:imagedata o:title=""/>
                  <o:lock v:ext="edit"/>
                  <w10:wrap type="none"/>
                  <w10:anchorlock/>
                </v:shape>
              </w:pict>
            </w:r>
          </w:p>
        </w:tc>
        <w:tc>
          <w:tcPr>
            <w:tcW w:w="1130" w:type="dxa"/>
            <w:vAlign w:val="top"/>
          </w:tcPr>
          <w:p w14:paraId="7E5326B4">
            <w:pPr>
              <w:spacing w:before="8" w:line="57" w:lineRule="exact"/>
            </w:pPr>
            <w:r>
              <w:rPr>
                <w:position w:val="-1"/>
              </w:rPr>
              <w:pict>
                <v:shape id="_x0000_s1059" o:spid="_x0000_s1059" style="height:2.9pt;width:56pt;" fillcolor="#FFFFFF" filled="t" stroked="f" coordsize="1120,58" path="m0,57l1119,57,1119,0,0,0,0,57xe">
                  <v:path/>
                  <v:fill on="t" focussize="0,0"/>
                  <v:stroke on="f"/>
                  <v:imagedata o:title=""/>
                  <o:lock v:ext="edit"/>
                  <w10:wrap type="none"/>
                  <w10:anchorlock/>
                </v:shape>
              </w:pict>
            </w:r>
          </w:p>
          <w:p w14:paraId="63666A4F">
            <w:pPr>
              <w:pStyle w:val="6"/>
              <w:spacing w:before="201" w:line="232" w:lineRule="auto"/>
              <w:ind w:left="436"/>
            </w:pPr>
            <w:r>
              <w:rPr>
                <w:spacing w:val="-3"/>
              </w:rPr>
              <w:t>7.3</w:t>
            </w:r>
          </w:p>
          <w:p w14:paraId="7E6A77F3">
            <w:pPr>
              <w:spacing w:before="110" w:line="38" w:lineRule="exact"/>
            </w:pPr>
            <w:r>
              <w:rPr>
                <w:position w:val="-2"/>
              </w:rPr>
              <w:pict>
                <v:shape id="_x0000_s1060" o:spid="_x0000_s1060"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7037C6E5">
            <w:pPr>
              <w:spacing w:before="8" w:line="57" w:lineRule="exact"/>
              <w:ind w:firstLine="4"/>
            </w:pPr>
            <w:r>
              <w:rPr>
                <w:position w:val="-1"/>
              </w:rPr>
              <w:pict>
                <v:shape id="_x0000_s1061" o:spid="_x0000_s1061" style="height:2.9pt;width:56pt;" fillcolor="#FFFFFF" filled="t" stroked="f" coordsize="1120,58" path="m0,57l1119,57,1119,0,0,0,0,57xe">
                  <v:path/>
                  <v:fill on="t" focussize="0,0"/>
                  <v:stroke on="f"/>
                  <v:imagedata o:title=""/>
                  <o:lock v:ext="edit"/>
                  <w10:wrap type="none"/>
                  <w10:anchorlock/>
                </v:shape>
              </w:pict>
            </w:r>
          </w:p>
          <w:p w14:paraId="58A0C2DD">
            <w:pPr>
              <w:pStyle w:val="6"/>
              <w:spacing w:before="201" w:line="232" w:lineRule="auto"/>
              <w:ind w:left="440"/>
            </w:pPr>
            <w:r>
              <w:rPr>
                <w:spacing w:val="-3"/>
              </w:rPr>
              <w:t>9.6</w:t>
            </w:r>
          </w:p>
          <w:p w14:paraId="58DED8C3">
            <w:pPr>
              <w:spacing w:before="110" w:line="38" w:lineRule="exact"/>
            </w:pPr>
            <w:r>
              <w:rPr>
                <w:position w:val="-2"/>
              </w:rPr>
              <w:pict>
                <v:shape id="_x0000_s1062" o:spid="_x0000_s1062" style="height:2.9pt;width:56.75pt;" fillcolor="#FFFFFF" filled="t" stroked="f" coordsize="1135,58" path="m0,57l1134,57,1134,0,0,0,0,57xe">
                  <v:path/>
                  <v:fill on="t" focussize="0,0"/>
                  <v:stroke on="f"/>
                  <v:imagedata o:title=""/>
                  <o:lock v:ext="edit"/>
                  <w10:wrap type="none"/>
                  <w10:anchorlock/>
                </v:shape>
              </w:pict>
            </w:r>
          </w:p>
        </w:tc>
        <w:tc>
          <w:tcPr>
            <w:tcW w:w="1553" w:type="dxa"/>
            <w:vAlign w:val="top"/>
          </w:tcPr>
          <w:p w14:paraId="7A679E4D">
            <w:pPr>
              <w:spacing w:before="8" w:line="57" w:lineRule="exact"/>
              <w:ind w:firstLine="8"/>
            </w:pPr>
            <w:r>
              <w:rPr>
                <w:position w:val="-1"/>
              </w:rPr>
              <w:pict>
                <v:shape id="_x0000_s1063" o:spid="_x0000_s1063" style="height:2.9pt;width:77.25pt;" fillcolor="#FFFFFF" filled="t" stroked="f" coordsize="1545,58" path="m0,57l1544,57,1544,0,0,0,0,57xe">
                  <v:path/>
                  <v:fill on="t" focussize="0,0"/>
                  <v:stroke on="f"/>
                  <v:imagedata o:title=""/>
                  <o:lock v:ext="edit"/>
                  <w10:wrap type="none"/>
                  <w10:anchorlock/>
                </v:shape>
              </w:pict>
            </w:r>
          </w:p>
          <w:p w14:paraId="6F501F94">
            <w:pPr>
              <w:pStyle w:val="6"/>
              <w:spacing w:before="30" w:line="226" w:lineRule="auto"/>
              <w:ind w:left="260" w:right="110" w:hanging="119"/>
              <w:rPr>
                <w:rFonts w:ascii="宋体" w:hAnsi="宋体" w:eastAsia="宋体" w:cs="宋体"/>
              </w:rPr>
            </w:pPr>
            <w:r>
              <w:rPr>
                <w:rFonts w:ascii="宋体" w:hAnsi="宋体" w:eastAsia="宋体" w:cs="宋体"/>
                <w:spacing w:val="-3"/>
              </w:rPr>
              <w:t>改良型</w:t>
            </w:r>
            <w:r>
              <w:rPr>
                <w:rFonts w:ascii="宋体" w:hAnsi="宋体" w:eastAsia="宋体" w:cs="宋体"/>
                <w:spacing w:val="-45"/>
              </w:rPr>
              <w:t xml:space="preserve"> </w:t>
            </w:r>
            <w:r>
              <w:rPr>
                <w:spacing w:val="-3"/>
              </w:rPr>
              <w:t xml:space="preserve">A/O </w:t>
            </w:r>
            <w:r>
              <w:rPr>
                <w:rFonts w:ascii="宋体" w:hAnsi="宋体" w:eastAsia="宋体" w:cs="宋体"/>
                <w:spacing w:val="-3"/>
              </w:rPr>
              <w:t>脱</w:t>
            </w:r>
            <w:r>
              <w:rPr>
                <w:rFonts w:ascii="宋体" w:hAnsi="宋体" w:eastAsia="宋体" w:cs="宋体"/>
                <w:spacing w:val="-2"/>
              </w:rPr>
              <w:t>氮除磷工艺</w:t>
            </w:r>
          </w:p>
          <w:p w14:paraId="364F2117">
            <w:pPr>
              <w:spacing w:line="38" w:lineRule="exact"/>
            </w:pPr>
            <w:r>
              <w:rPr>
                <w:position w:val="-2"/>
              </w:rPr>
              <w:pict>
                <v:shape id="_x0000_s1064" o:spid="_x0000_s1064" style="height:2.9pt;width:78pt;" fillcolor="#FFFFFF" filled="t" stroked="f" coordsize="1560,58" path="m0,57l1559,57,1559,0,0,0,0,57xe">
                  <v:path/>
                  <v:fill on="t" focussize="0,0"/>
                  <v:stroke on="f"/>
                  <v:imagedata o:title=""/>
                  <o:lock v:ext="edit"/>
                  <w10:wrap type="none"/>
                  <w10:anchorlock/>
                </v:shape>
              </w:pict>
            </w:r>
          </w:p>
        </w:tc>
        <w:tc>
          <w:tcPr>
            <w:tcW w:w="1129" w:type="dxa"/>
            <w:vMerge w:val="continue"/>
            <w:tcBorders>
              <w:top w:val="nil"/>
              <w:bottom w:val="nil"/>
              <w:right w:val="single" w:color="000000" w:sz="12" w:space="0"/>
            </w:tcBorders>
            <w:vAlign w:val="top"/>
          </w:tcPr>
          <w:p w14:paraId="4E74446F">
            <w:pPr>
              <w:rPr>
                <w:rFonts w:ascii="Arial"/>
                <w:sz w:val="21"/>
              </w:rPr>
            </w:pPr>
          </w:p>
        </w:tc>
      </w:tr>
      <w:tr w14:paraId="18766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714" w:type="dxa"/>
            <w:tcBorders>
              <w:left w:val="single" w:color="000000" w:sz="12" w:space="0"/>
            </w:tcBorders>
            <w:vAlign w:val="top"/>
          </w:tcPr>
          <w:p w14:paraId="22E9B664">
            <w:pPr>
              <w:spacing w:before="13" w:line="58" w:lineRule="exact"/>
            </w:pPr>
            <w:r>
              <w:rPr>
                <w:position w:val="-1"/>
              </w:rPr>
              <w:pict>
                <v:shape id="_x0000_s1065" o:spid="_x0000_s1065" style="height:2.9pt;width:34pt;" fillcolor="#FFFFFF" filled="t" stroked="f" coordsize="680,58" path="m0,57l679,57,679,0,0,0,0,57xe">
                  <v:path/>
                  <v:fill on="t" focussize="0,0"/>
                  <v:stroke on="f"/>
                  <v:imagedata o:title=""/>
                  <o:lock v:ext="edit"/>
                  <w10:wrap type="none"/>
                  <w10:anchorlock/>
                </v:shape>
              </w:pict>
            </w:r>
          </w:p>
          <w:p w14:paraId="5BF4E370">
            <w:pPr>
              <w:pStyle w:val="6"/>
              <w:spacing w:before="62" w:line="207" w:lineRule="auto"/>
              <w:ind w:left="290"/>
            </w:pPr>
            <w:r>
              <w:t>3</w:t>
            </w:r>
          </w:p>
          <w:p w14:paraId="21FAA202">
            <w:pPr>
              <w:spacing w:line="34" w:lineRule="exact"/>
            </w:pPr>
            <w:r>
              <w:rPr>
                <w:position w:val="-2"/>
              </w:rPr>
              <w:pict>
                <v:shape id="_x0000_s1066" o:spid="_x0000_s1066" style="height:2.9pt;width:35.05pt;" fillcolor="#FFFFFF" filled="t" stroked="f" coordsize="700,58" path="m0,57l700,57,700,0,0,0,0,57xe">
                  <v:path/>
                  <v:fill on="t" focussize="0,0"/>
                  <v:stroke on="f"/>
                  <v:imagedata o:title=""/>
                  <o:lock v:ext="edit"/>
                  <w10:wrap type="none"/>
                  <w10:anchorlock/>
                </v:shape>
              </w:pict>
            </w:r>
          </w:p>
        </w:tc>
        <w:tc>
          <w:tcPr>
            <w:tcW w:w="2817" w:type="dxa"/>
            <w:vAlign w:val="top"/>
          </w:tcPr>
          <w:p w14:paraId="350F3811">
            <w:pPr>
              <w:spacing w:before="13" w:line="58" w:lineRule="exact"/>
            </w:pPr>
            <w:r>
              <w:rPr>
                <w:position w:val="-1"/>
              </w:rPr>
              <w:pict>
                <v:shape id="_x0000_s1067" o:spid="_x0000_s1067" style="height:2.9pt;width:140.7pt;" fillcolor="#FFFFFF" filled="t" stroked="f" coordsize="2813,58" path="m0,57l2813,57,2813,0,0,0,0,57xe">
                  <v:path/>
                  <v:fill on="t" focussize="0,0"/>
                  <v:stroke on="f"/>
                  <v:imagedata o:title=""/>
                  <o:lock v:ext="edit"/>
                  <w10:wrap type="none"/>
                  <w10:anchorlock/>
                </v:shape>
              </w:pict>
            </w:r>
          </w:p>
          <w:p w14:paraId="3307B9C0">
            <w:pPr>
              <w:spacing w:before="31" w:line="211" w:lineRule="auto"/>
              <w:ind w:left="568"/>
              <w:rPr>
                <w:rFonts w:ascii="宋体" w:hAnsi="宋体" w:eastAsia="宋体" w:cs="宋体"/>
                <w:sz w:val="21"/>
                <w:szCs w:val="21"/>
              </w:rPr>
            </w:pPr>
            <w:r>
              <w:rPr>
                <w:rFonts w:ascii="宋体" w:hAnsi="宋体" w:eastAsia="宋体" w:cs="宋体"/>
                <w:spacing w:val="-2"/>
                <w:sz w:val="21"/>
                <w:szCs w:val="21"/>
              </w:rPr>
              <w:t>沾益区污水处理厂</w:t>
            </w:r>
          </w:p>
          <w:p w14:paraId="64440C29">
            <w:pPr>
              <w:spacing w:line="34" w:lineRule="exact"/>
            </w:pPr>
            <w:r>
              <w:rPr>
                <w:position w:val="-2"/>
              </w:rPr>
              <w:pict>
                <v:shape id="_x0000_s1068" o:spid="_x0000_s1068" style="height:2.9pt;width:141.4pt;" fillcolor="#FFFFFF" filled="t" stroked="f" coordsize="2827,58" path="m0,57l2827,57,2827,0,0,0,0,57xe">
                  <v:path/>
                  <v:fill on="t" focussize="0,0"/>
                  <v:stroke on="f"/>
                  <v:imagedata o:title=""/>
                  <o:lock v:ext="edit"/>
                  <w10:wrap type="none"/>
                  <w10:anchorlock/>
                </v:shape>
              </w:pict>
            </w:r>
          </w:p>
        </w:tc>
        <w:tc>
          <w:tcPr>
            <w:tcW w:w="1130" w:type="dxa"/>
            <w:vAlign w:val="top"/>
          </w:tcPr>
          <w:p w14:paraId="00B8A95B">
            <w:pPr>
              <w:spacing w:before="13" w:line="58" w:lineRule="exact"/>
            </w:pPr>
            <w:r>
              <w:rPr>
                <w:position w:val="-1"/>
              </w:rPr>
              <w:pict>
                <v:shape id="_x0000_s1069" o:spid="_x0000_s1069" style="height:2.9pt;width:56pt;" fillcolor="#FFFFFF" filled="t" stroked="f" coordsize="1120,58" path="m0,57l1119,57,1119,0,0,0,0,57xe">
                  <v:path/>
                  <v:fill on="t" focussize="0,0"/>
                  <v:stroke on="f"/>
                  <v:imagedata o:title=""/>
                  <o:lock v:ext="edit"/>
                  <w10:wrap type="none"/>
                  <w10:anchorlock/>
                </v:shape>
              </w:pict>
            </w:r>
          </w:p>
          <w:p w14:paraId="0C1C121D">
            <w:pPr>
              <w:pStyle w:val="6"/>
              <w:spacing w:before="62" w:line="207" w:lineRule="auto"/>
              <w:ind w:left="436"/>
            </w:pPr>
            <w:r>
              <w:rPr>
                <w:spacing w:val="-3"/>
              </w:rPr>
              <w:t>7.5</w:t>
            </w:r>
          </w:p>
          <w:p w14:paraId="4722326C">
            <w:pPr>
              <w:spacing w:line="34" w:lineRule="exact"/>
            </w:pPr>
            <w:r>
              <w:rPr>
                <w:position w:val="-2"/>
              </w:rPr>
              <w:pict>
                <v:shape id="_x0000_s1070" o:spid="_x0000_s1070"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79830CBC">
            <w:pPr>
              <w:spacing w:before="13" w:line="58" w:lineRule="exact"/>
              <w:ind w:firstLine="4"/>
            </w:pPr>
            <w:r>
              <w:rPr>
                <w:position w:val="-1"/>
              </w:rPr>
              <w:pict>
                <v:shape id="_x0000_s1071" o:spid="_x0000_s1071" style="height:2.9pt;width:56pt;" fillcolor="#FFFFFF" filled="t" stroked="f" coordsize="1120,58" path="m0,57l1119,57,1119,0,0,0,0,57xe">
                  <v:path/>
                  <v:fill on="t" focussize="0,0"/>
                  <v:stroke on="f"/>
                  <v:imagedata o:title=""/>
                  <o:lock v:ext="edit"/>
                  <w10:wrap type="none"/>
                  <w10:anchorlock/>
                </v:shape>
              </w:pict>
            </w:r>
          </w:p>
          <w:p w14:paraId="6542E8EC">
            <w:pPr>
              <w:pStyle w:val="6"/>
              <w:spacing w:before="62" w:line="207" w:lineRule="auto"/>
              <w:ind w:left="404"/>
            </w:pPr>
            <w:r>
              <w:rPr>
                <w:spacing w:val="-6"/>
              </w:rPr>
              <w:t>10.0</w:t>
            </w:r>
          </w:p>
          <w:p w14:paraId="3C53046B">
            <w:pPr>
              <w:spacing w:line="34" w:lineRule="exact"/>
            </w:pPr>
            <w:r>
              <w:rPr>
                <w:position w:val="-2"/>
              </w:rPr>
              <w:pict>
                <v:shape id="_x0000_s1072" o:spid="_x0000_s1072" style="height:2.9pt;width:56.75pt;" fillcolor="#FFFFFF" filled="t" stroked="f" coordsize="1135,58" path="m0,57l1134,57,1134,0,0,0,0,57xe">
                  <v:path/>
                  <v:fill on="t" focussize="0,0"/>
                  <v:stroke on="f"/>
                  <v:imagedata o:title=""/>
                  <o:lock v:ext="edit"/>
                  <w10:wrap type="none"/>
                  <w10:anchorlock/>
                </v:shape>
              </w:pict>
            </w:r>
          </w:p>
        </w:tc>
        <w:tc>
          <w:tcPr>
            <w:tcW w:w="1553" w:type="dxa"/>
            <w:vAlign w:val="top"/>
          </w:tcPr>
          <w:p w14:paraId="22CCA788">
            <w:pPr>
              <w:spacing w:before="13" w:line="58" w:lineRule="exact"/>
              <w:ind w:firstLine="8"/>
            </w:pPr>
            <w:r>
              <w:rPr>
                <w:position w:val="-1"/>
              </w:rPr>
              <w:pict>
                <v:shape id="_x0000_s1073" o:spid="_x0000_s1073" style="height:2.9pt;width:77.25pt;" fillcolor="#FFFFFF" filled="t" stroked="f" coordsize="1545,58" path="m0,57l1544,57,1544,0,0,0,0,57xe">
                  <v:path/>
                  <v:fill on="t" focussize="0,0"/>
                  <v:stroke on="f"/>
                  <v:imagedata o:title=""/>
                  <o:lock v:ext="edit"/>
                  <w10:wrap type="none"/>
                  <w10:anchorlock/>
                </v:shape>
              </w:pict>
            </w:r>
          </w:p>
          <w:p w14:paraId="1825860C">
            <w:pPr>
              <w:pStyle w:val="6"/>
              <w:spacing w:before="31" w:line="211" w:lineRule="auto"/>
              <w:ind w:left="288"/>
              <w:rPr>
                <w:rFonts w:ascii="宋体" w:hAnsi="宋体" w:eastAsia="宋体" w:cs="宋体"/>
              </w:rPr>
            </w:pPr>
            <w:r>
              <w:rPr>
                <w:spacing w:val="-3"/>
              </w:rPr>
              <w:t>CASS</w:t>
            </w:r>
            <w:r>
              <w:rPr>
                <w:spacing w:val="14"/>
                <w:w w:val="101"/>
              </w:rPr>
              <w:t xml:space="preserve"> </w:t>
            </w:r>
            <w:r>
              <w:rPr>
                <w:rFonts w:ascii="宋体" w:hAnsi="宋体" w:eastAsia="宋体" w:cs="宋体"/>
                <w:spacing w:val="-3"/>
              </w:rPr>
              <w:t>工艺</w:t>
            </w:r>
          </w:p>
          <w:p w14:paraId="0D705D03">
            <w:pPr>
              <w:spacing w:line="34" w:lineRule="exact"/>
            </w:pPr>
            <w:r>
              <w:rPr>
                <w:position w:val="-2"/>
              </w:rPr>
              <w:pict>
                <v:shape id="_x0000_s1074" o:spid="_x0000_s1074" style="height:2.9pt;width:78pt;" fillcolor="#FFFFFF" filled="t" stroked="f" coordsize="1560,58" path="m0,57l1559,57,1559,0,0,0,0,57xe">
                  <v:path/>
                  <v:fill on="t" focussize="0,0"/>
                  <v:stroke on="f"/>
                  <v:imagedata o:title=""/>
                  <o:lock v:ext="edit"/>
                  <w10:wrap type="none"/>
                  <w10:anchorlock/>
                </v:shape>
              </w:pict>
            </w:r>
          </w:p>
        </w:tc>
        <w:tc>
          <w:tcPr>
            <w:tcW w:w="1129" w:type="dxa"/>
            <w:vMerge w:val="continue"/>
            <w:tcBorders>
              <w:top w:val="nil"/>
              <w:bottom w:val="nil"/>
              <w:right w:val="single" w:color="000000" w:sz="12" w:space="0"/>
            </w:tcBorders>
            <w:vAlign w:val="top"/>
          </w:tcPr>
          <w:p w14:paraId="36AD9D6B">
            <w:pPr>
              <w:rPr>
                <w:rFonts w:ascii="Arial"/>
                <w:sz w:val="21"/>
              </w:rPr>
            </w:pPr>
          </w:p>
        </w:tc>
      </w:tr>
      <w:tr w14:paraId="4EEC7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14" w:type="dxa"/>
            <w:tcBorders>
              <w:left w:val="single" w:color="000000" w:sz="12" w:space="0"/>
            </w:tcBorders>
            <w:vAlign w:val="top"/>
          </w:tcPr>
          <w:p w14:paraId="6EF50856">
            <w:pPr>
              <w:spacing w:before="17" w:line="57" w:lineRule="exact"/>
            </w:pPr>
            <w:r>
              <w:rPr>
                <w:position w:val="-1"/>
              </w:rPr>
              <w:pict>
                <v:shape id="_x0000_s1075" o:spid="_x0000_s1075" style="height:2.9pt;width:34pt;" fillcolor="#FFFFFF" filled="t" stroked="f" coordsize="680,58" path="m0,57l679,57,679,0,0,0,0,57xe">
                  <v:path/>
                  <v:fill on="t" focussize="0,0"/>
                  <v:stroke on="f"/>
                  <v:imagedata o:title=""/>
                  <o:lock v:ext="edit"/>
                  <w10:wrap type="none"/>
                  <w10:anchorlock/>
                </v:shape>
              </w:pict>
            </w:r>
          </w:p>
          <w:p w14:paraId="345E883D">
            <w:pPr>
              <w:pStyle w:val="6"/>
              <w:spacing w:before="64" w:line="207" w:lineRule="auto"/>
              <w:ind w:left="285"/>
            </w:pPr>
            <w:r>
              <w:t>4</w:t>
            </w:r>
          </w:p>
          <w:p w14:paraId="7024CEA7">
            <w:pPr>
              <w:spacing w:line="31" w:lineRule="exact"/>
            </w:pPr>
            <w:r>
              <w:rPr>
                <w:position w:val="-3"/>
              </w:rPr>
              <w:pict>
                <v:shape id="_x0000_s1076" o:spid="_x0000_s1076" style="height:2.9pt;width:35.05pt;" fillcolor="#FFFFFF" filled="t" stroked="f" coordsize="700,58" path="m0,57l700,57,700,0,0,0,0,57xe">
                  <v:path/>
                  <v:fill on="t" focussize="0,0"/>
                  <v:stroke on="f"/>
                  <v:imagedata o:title=""/>
                  <o:lock v:ext="edit"/>
                  <w10:wrap type="none"/>
                  <w10:anchorlock/>
                </v:shape>
              </w:pict>
            </w:r>
          </w:p>
        </w:tc>
        <w:tc>
          <w:tcPr>
            <w:tcW w:w="2817" w:type="dxa"/>
            <w:vAlign w:val="top"/>
          </w:tcPr>
          <w:p w14:paraId="1D5B67F3">
            <w:pPr>
              <w:spacing w:before="17" w:line="57" w:lineRule="exact"/>
            </w:pPr>
            <w:r>
              <w:rPr>
                <w:position w:val="-1"/>
              </w:rPr>
              <w:pict>
                <v:shape id="_x0000_s1077" o:spid="_x0000_s1077" style="height:2.9pt;width:140.7pt;" fillcolor="#FFFFFF" filled="t" stroked="f" coordsize="2813,58" path="m0,57l2813,57,2813,0,0,0,0,57xe">
                  <v:path/>
                  <v:fill on="t" focussize="0,0"/>
                  <v:stroke on="f"/>
                  <v:imagedata o:title=""/>
                  <o:lock v:ext="edit"/>
                  <w10:wrap type="none"/>
                  <w10:anchorlock/>
                </v:shape>
              </w:pict>
            </w:r>
          </w:p>
          <w:p w14:paraId="0ED401B7">
            <w:pPr>
              <w:spacing w:before="31" w:line="212" w:lineRule="auto"/>
              <w:ind w:left="142"/>
              <w:rPr>
                <w:rFonts w:ascii="宋体" w:hAnsi="宋体" w:eastAsia="宋体" w:cs="宋体"/>
                <w:sz w:val="21"/>
                <w:szCs w:val="21"/>
              </w:rPr>
            </w:pPr>
            <w:r>
              <w:rPr>
                <w:rFonts w:ascii="宋体" w:hAnsi="宋体" w:eastAsia="宋体" w:cs="宋体"/>
                <w:spacing w:val="-1"/>
                <w:sz w:val="21"/>
                <w:szCs w:val="21"/>
              </w:rPr>
              <w:t>麒麟区城南片区污水处理厂</w:t>
            </w:r>
          </w:p>
          <w:p w14:paraId="42F43BFD">
            <w:pPr>
              <w:spacing w:line="31" w:lineRule="exact"/>
            </w:pPr>
            <w:r>
              <w:rPr>
                <w:position w:val="-3"/>
              </w:rPr>
              <w:pict>
                <v:shape id="_x0000_s1078" o:spid="_x0000_s1078" style="height:2.9pt;width:141.4pt;" fillcolor="#FFFFFF" filled="t" stroked="f" coordsize="2827,58" path="m0,57l2827,57,2827,0,0,0,0,57xe">
                  <v:path/>
                  <v:fill on="t" focussize="0,0"/>
                  <v:stroke on="f"/>
                  <v:imagedata o:title=""/>
                  <o:lock v:ext="edit"/>
                  <w10:wrap type="none"/>
                  <w10:anchorlock/>
                </v:shape>
              </w:pict>
            </w:r>
          </w:p>
        </w:tc>
        <w:tc>
          <w:tcPr>
            <w:tcW w:w="1130" w:type="dxa"/>
            <w:vAlign w:val="top"/>
          </w:tcPr>
          <w:p w14:paraId="74B983FC">
            <w:pPr>
              <w:spacing w:before="17" w:line="57" w:lineRule="exact"/>
            </w:pPr>
            <w:r>
              <w:rPr>
                <w:position w:val="-1"/>
              </w:rPr>
              <w:pict>
                <v:shape id="_x0000_s1079" o:spid="_x0000_s1079" style="height:2.9pt;width:56pt;" fillcolor="#FFFFFF" filled="t" stroked="f" coordsize="1120,58" path="m0,57l1119,57,1119,0,0,0,0,57xe">
                  <v:path/>
                  <v:fill on="t" focussize="0,0"/>
                  <v:stroke on="f"/>
                  <v:imagedata o:title=""/>
                  <o:lock v:ext="edit"/>
                  <w10:wrap type="none"/>
                  <w10:anchorlock/>
                </v:shape>
              </w:pict>
            </w:r>
          </w:p>
          <w:p w14:paraId="3416BFA6">
            <w:pPr>
              <w:pStyle w:val="6"/>
              <w:spacing w:before="64" w:line="207" w:lineRule="auto"/>
              <w:ind w:left="438"/>
            </w:pPr>
            <w:r>
              <w:rPr>
                <w:spacing w:val="-4"/>
              </w:rPr>
              <w:t>5.5</w:t>
            </w:r>
          </w:p>
          <w:p w14:paraId="74405C93">
            <w:pPr>
              <w:spacing w:line="31" w:lineRule="exact"/>
            </w:pPr>
            <w:r>
              <w:rPr>
                <w:position w:val="-3"/>
              </w:rPr>
              <w:pict>
                <v:shape id="_x0000_s1080" o:spid="_x0000_s1080"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10FE15DD">
            <w:pPr>
              <w:spacing w:before="17" w:line="57" w:lineRule="exact"/>
              <w:ind w:firstLine="4"/>
            </w:pPr>
            <w:r>
              <w:rPr>
                <w:position w:val="-1"/>
              </w:rPr>
              <w:pict>
                <v:shape id="_x0000_s1081" o:spid="_x0000_s1081" style="height:2.9pt;width:56pt;" fillcolor="#FFFFFF" filled="t" stroked="f" coordsize="1120,58" path="m0,57l1119,57,1119,0,0,0,0,57xe">
                  <v:path/>
                  <v:fill on="t" focussize="0,0"/>
                  <v:stroke on="f"/>
                  <v:imagedata o:title=""/>
                  <o:lock v:ext="edit"/>
                  <w10:wrap type="none"/>
                  <w10:anchorlock/>
                </v:shape>
              </w:pict>
            </w:r>
          </w:p>
          <w:p w14:paraId="547503C2">
            <w:pPr>
              <w:pStyle w:val="6"/>
              <w:spacing w:before="64" w:line="207" w:lineRule="auto"/>
              <w:ind w:left="440"/>
            </w:pPr>
            <w:r>
              <w:rPr>
                <w:spacing w:val="-3"/>
              </w:rPr>
              <w:t>7.0</w:t>
            </w:r>
          </w:p>
          <w:p w14:paraId="05EB86EA">
            <w:pPr>
              <w:spacing w:line="31" w:lineRule="exact"/>
            </w:pPr>
            <w:r>
              <w:rPr>
                <w:position w:val="-3"/>
              </w:rPr>
              <w:pict>
                <v:shape id="_x0000_s1082" o:spid="_x0000_s1082" style="height:2.9pt;width:56.75pt;" fillcolor="#FFFFFF" filled="t" stroked="f" coordsize="1135,58" path="m0,57l1134,57,1134,0,0,0,0,57xe">
                  <v:path/>
                  <v:fill on="t" focussize="0,0"/>
                  <v:stroke on="f"/>
                  <v:imagedata o:title=""/>
                  <o:lock v:ext="edit"/>
                  <w10:wrap type="none"/>
                  <w10:anchorlock/>
                </v:shape>
              </w:pict>
            </w:r>
          </w:p>
        </w:tc>
        <w:tc>
          <w:tcPr>
            <w:tcW w:w="1553" w:type="dxa"/>
            <w:vAlign w:val="top"/>
          </w:tcPr>
          <w:p w14:paraId="5A3E37C4">
            <w:pPr>
              <w:spacing w:before="17" w:line="57" w:lineRule="exact"/>
              <w:ind w:firstLine="8"/>
            </w:pPr>
            <w:r>
              <w:rPr>
                <w:position w:val="-1"/>
              </w:rPr>
              <w:pict>
                <v:shape id="_x0000_s1083" o:spid="_x0000_s1083" style="height:2.9pt;width:77.25pt;" fillcolor="#FFFFFF" filled="t" stroked="f" coordsize="1545,58" path="m0,57l1544,57,1544,0,0,0,0,57xe">
                  <v:path/>
                  <v:fill on="t" focussize="0,0"/>
                  <v:stroke on="f"/>
                  <v:imagedata o:title=""/>
                  <o:lock v:ext="edit"/>
                  <w10:wrap type="none"/>
                  <w10:anchorlock/>
                </v:shape>
              </w:pict>
            </w:r>
          </w:p>
          <w:p w14:paraId="49CBAC52">
            <w:pPr>
              <w:spacing w:line="270" w:lineRule="auto"/>
              <w:rPr>
                <w:rFonts w:ascii="Arial"/>
                <w:sz w:val="21"/>
              </w:rPr>
            </w:pPr>
          </w:p>
          <w:p w14:paraId="609C0147">
            <w:pPr>
              <w:spacing w:line="32" w:lineRule="exact"/>
            </w:pPr>
            <w:r>
              <w:rPr>
                <w:position w:val="-3"/>
              </w:rPr>
              <w:pict>
                <v:shape id="_x0000_s1084" o:spid="_x0000_s1084" style="height:2.9pt;width:78pt;" fillcolor="#FFFFFF" filled="t" stroked="f" coordsize="1560,58" path="m0,57l1559,57,1559,0,0,0,0,57xe">
                  <v:path/>
                  <v:fill on="t" focussize="0,0"/>
                  <v:stroke on="f"/>
                  <v:imagedata o:title=""/>
                  <o:lock v:ext="edit"/>
                  <w10:wrap type="none"/>
                  <w10:anchorlock/>
                </v:shape>
              </w:pict>
            </w:r>
          </w:p>
        </w:tc>
        <w:tc>
          <w:tcPr>
            <w:tcW w:w="1129" w:type="dxa"/>
            <w:vMerge w:val="continue"/>
            <w:tcBorders>
              <w:top w:val="nil"/>
              <w:bottom w:val="nil"/>
              <w:right w:val="single" w:color="000000" w:sz="12" w:space="0"/>
            </w:tcBorders>
            <w:vAlign w:val="top"/>
          </w:tcPr>
          <w:p w14:paraId="02E37A8C">
            <w:pPr>
              <w:rPr>
                <w:rFonts w:ascii="Arial"/>
                <w:sz w:val="21"/>
              </w:rPr>
            </w:pPr>
          </w:p>
        </w:tc>
      </w:tr>
      <w:tr w14:paraId="61001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714" w:type="dxa"/>
            <w:tcBorders>
              <w:left w:val="single" w:color="000000" w:sz="12" w:space="0"/>
            </w:tcBorders>
            <w:vAlign w:val="top"/>
          </w:tcPr>
          <w:p w14:paraId="2740662E">
            <w:pPr>
              <w:spacing w:before="20" w:line="57" w:lineRule="exact"/>
            </w:pPr>
            <w:r>
              <w:rPr>
                <w:position w:val="-1"/>
              </w:rPr>
              <w:pict>
                <v:shape id="_x0000_s1085" o:spid="_x0000_s1085" style="height:2.9pt;width:34pt;" fillcolor="#FFFFFF" filled="t" stroked="f" coordsize="680,58" path="m0,57l679,57,679,0,0,0,0,57xe">
                  <v:path/>
                  <v:fill on="t" focussize="0,0"/>
                  <v:stroke on="f"/>
                  <v:imagedata o:title=""/>
                  <o:lock v:ext="edit"/>
                  <w10:wrap type="none"/>
                  <w10:anchorlock/>
                </v:shape>
              </w:pict>
            </w:r>
          </w:p>
          <w:p w14:paraId="40C2F942">
            <w:pPr>
              <w:pStyle w:val="6"/>
              <w:spacing w:before="62" w:line="207" w:lineRule="auto"/>
              <w:ind w:left="292"/>
            </w:pPr>
            <w:r>
              <w:t>5</w:t>
            </w:r>
          </w:p>
          <w:p w14:paraId="18E621D8">
            <w:pPr>
              <w:spacing w:line="27" w:lineRule="exact"/>
            </w:pPr>
            <w:r>
              <w:rPr>
                <w:position w:val="-3"/>
              </w:rPr>
              <w:pict>
                <v:shape id="_x0000_s1086" o:spid="_x0000_s1086" style="height:2.9pt;width:35.05pt;" fillcolor="#FFFFFF" filled="t" stroked="f" coordsize="700,58" path="m0,57l700,57,700,0,0,0,0,57xe">
                  <v:path/>
                  <v:fill on="t" focussize="0,0"/>
                  <v:stroke on="f"/>
                  <v:imagedata o:title=""/>
                  <o:lock v:ext="edit"/>
                  <w10:wrap type="none"/>
                  <w10:anchorlock/>
                </v:shape>
              </w:pict>
            </w:r>
          </w:p>
        </w:tc>
        <w:tc>
          <w:tcPr>
            <w:tcW w:w="2817" w:type="dxa"/>
            <w:vAlign w:val="top"/>
          </w:tcPr>
          <w:p w14:paraId="74EC6B39">
            <w:pPr>
              <w:spacing w:before="20" w:line="57" w:lineRule="exact"/>
            </w:pPr>
            <w:r>
              <w:rPr>
                <w:position w:val="-1"/>
              </w:rPr>
              <w:pict>
                <v:shape id="_x0000_s1087" o:spid="_x0000_s1087" style="height:2.9pt;width:140.7pt;" fillcolor="#FFFFFF" filled="t" stroked="f" coordsize="2813,58" path="m0,57l2813,57,2813,0,0,0,0,57xe">
                  <v:path/>
                  <v:fill on="t" focussize="0,0"/>
                  <v:stroke on="f"/>
                  <v:imagedata o:title=""/>
                  <o:lock v:ext="edit"/>
                  <w10:wrap type="none"/>
                  <w10:anchorlock/>
                </v:shape>
              </w:pict>
            </w:r>
          </w:p>
          <w:p w14:paraId="5B1072BA">
            <w:pPr>
              <w:spacing w:before="30" w:line="212" w:lineRule="auto"/>
              <w:ind w:left="569"/>
              <w:rPr>
                <w:rFonts w:ascii="宋体" w:hAnsi="宋体" w:eastAsia="宋体" w:cs="宋体"/>
                <w:sz w:val="21"/>
                <w:szCs w:val="21"/>
              </w:rPr>
            </w:pPr>
            <w:r>
              <w:rPr>
                <w:rFonts w:ascii="宋体" w:hAnsi="宋体" w:eastAsia="宋体" w:cs="宋体"/>
                <w:spacing w:val="-2"/>
                <w:sz w:val="21"/>
                <w:szCs w:val="21"/>
              </w:rPr>
              <w:t>马龙区污水处理厂</w:t>
            </w:r>
          </w:p>
          <w:p w14:paraId="0133E6EC">
            <w:pPr>
              <w:spacing w:line="27" w:lineRule="exact"/>
            </w:pPr>
            <w:r>
              <w:rPr>
                <w:position w:val="-3"/>
              </w:rPr>
              <w:pict>
                <v:shape id="_x0000_s1088" o:spid="_x0000_s1088" style="height:2.9pt;width:141.4pt;" fillcolor="#FFFFFF" filled="t" stroked="f" coordsize="2827,58" path="m0,57l2827,57,2827,0,0,0,0,57xe">
                  <v:path/>
                  <v:fill on="t" focussize="0,0"/>
                  <v:stroke on="f"/>
                  <v:imagedata o:title=""/>
                  <o:lock v:ext="edit"/>
                  <w10:wrap type="none"/>
                  <w10:anchorlock/>
                </v:shape>
              </w:pict>
            </w:r>
          </w:p>
        </w:tc>
        <w:tc>
          <w:tcPr>
            <w:tcW w:w="1130" w:type="dxa"/>
            <w:vAlign w:val="top"/>
          </w:tcPr>
          <w:p w14:paraId="0ED60405">
            <w:pPr>
              <w:spacing w:before="20" w:line="57" w:lineRule="exact"/>
            </w:pPr>
            <w:r>
              <w:rPr>
                <w:position w:val="-1"/>
              </w:rPr>
              <w:pict>
                <v:shape id="_x0000_s1089" o:spid="_x0000_s1089" style="height:2.9pt;width:56pt;" fillcolor="#FFFFFF" filled="t" stroked="f" coordsize="1120,58" path="m0,57l1119,57,1119,0,0,0,0,57xe">
                  <v:path/>
                  <v:fill on="t" focussize="0,0"/>
                  <v:stroke on="f"/>
                  <v:imagedata o:title=""/>
                  <o:lock v:ext="edit"/>
                  <w10:wrap type="none"/>
                  <w10:anchorlock/>
                </v:shape>
              </w:pict>
            </w:r>
          </w:p>
          <w:p w14:paraId="53738864">
            <w:pPr>
              <w:pStyle w:val="6"/>
              <w:spacing w:before="62" w:line="207" w:lineRule="auto"/>
              <w:ind w:left="433"/>
            </w:pPr>
            <w:r>
              <w:rPr>
                <w:spacing w:val="-2"/>
              </w:rPr>
              <w:t>2.0</w:t>
            </w:r>
          </w:p>
          <w:p w14:paraId="70E0FF55">
            <w:pPr>
              <w:spacing w:line="27" w:lineRule="exact"/>
            </w:pPr>
            <w:r>
              <w:rPr>
                <w:position w:val="-3"/>
              </w:rPr>
              <w:pict>
                <v:shape id="_x0000_s1090" o:spid="_x0000_s1090" style="height:2.9pt;width:56.75pt;" fillcolor="#FFFFFF" filled="t" stroked="f" coordsize="1135,58" path="m0,57l1134,57,1134,0,0,0,0,57xe">
                  <v:path/>
                  <v:fill on="t" focussize="0,0"/>
                  <v:stroke on="f"/>
                  <v:imagedata o:title=""/>
                  <o:lock v:ext="edit"/>
                  <w10:wrap type="none"/>
                  <w10:anchorlock/>
                </v:shape>
              </w:pict>
            </w:r>
          </w:p>
        </w:tc>
        <w:tc>
          <w:tcPr>
            <w:tcW w:w="1130" w:type="dxa"/>
            <w:vAlign w:val="top"/>
          </w:tcPr>
          <w:p w14:paraId="35BF4441">
            <w:pPr>
              <w:spacing w:before="20" w:line="57" w:lineRule="exact"/>
              <w:ind w:firstLine="4"/>
            </w:pPr>
            <w:r>
              <w:rPr>
                <w:position w:val="-1"/>
              </w:rPr>
              <w:pict>
                <v:shape id="_x0000_s1091" o:spid="_x0000_s1091" style="height:2.9pt;width:56pt;" fillcolor="#FFFFFF" filled="t" stroked="f" coordsize="1120,58" path="m0,57l1119,57,1119,0,0,0,0,57xe">
                  <v:path/>
                  <v:fill on="t" focussize="0,0"/>
                  <v:stroke on="f"/>
                  <v:imagedata o:title=""/>
                  <o:lock v:ext="edit"/>
                  <w10:wrap type="none"/>
                  <w10:anchorlock/>
                </v:shape>
              </w:pict>
            </w:r>
          </w:p>
          <w:p w14:paraId="3ADB8B60">
            <w:pPr>
              <w:pStyle w:val="6"/>
              <w:spacing w:before="62" w:line="207" w:lineRule="auto"/>
              <w:ind w:left="441"/>
            </w:pPr>
            <w:r>
              <w:rPr>
                <w:spacing w:val="-3"/>
              </w:rPr>
              <w:t>3.0</w:t>
            </w:r>
          </w:p>
          <w:p w14:paraId="46CA452E">
            <w:pPr>
              <w:spacing w:line="27" w:lineRule="exact"/>
            </w:pPr>
            <w:r>
              <w:rPr>
                <w:position w:val="-3"/>
              </w:rPr>
              <w:pict>
                <v:shape id="_x0000_s1092" o:spid="_x0000_s1092" style="height:2.9pt;width:56.75pt;" fillcolor="#FFFFFF" filled="t" stroked="f" coordsize="1135,58" path="m0,57l1134,57,1134,0,0,0,0,57xe">
                  <v:path/>
                  <v:fill on="t" focussize="0,0"/>
                  <v:stroke on="f"/>
                  <v:imagedata o:title=""/>
                  <o:lock v:ext="edit"/>
                  <w10:wrap type="none"/>
                  <w10:anchorlock/>
                </v:shape>
              </w:pict>
            </w:r>
          </w:p>
        </w:tc>
        <w:tc>
          <w:tcPr>
            <w:tcW w:w="1553" w:type="dxa"/>
            <w:vAlign w:val="top"/>
          </w:tcPr>
          <w:p w14:paraId="6245F3CB">
            <w:pPr>
              <w:spacing w:before="20" w:line="57" w:lineRule="exact"/>
              <w:ind w:firstLine="8"/>
            </w:pPr>
            <w:r>
              <w:rPr>
                <w:position w:val="-1"/>
              </w:rPr>
              <w:pict>
                <v:shape id="_x0000_s1093" o:spid="_x0000_s1093" style="height:2.9pt;width:77.25pt;" fillcolor="#FFFFFF" filled="t" stroked="f" coordsize="1545,58" path="m0,57l1544,57,1544,0,0,0,0,57xe">
                  <v:path/>
                  <v:fill on="t" focussize="0,0"/>
                  <v:stroke on="f"/>
                  <v:imagedata o:title=""/>
                  <o:lock v:ext="edit"/>
                  <w10:wrap type="none"/>
                  <w10:anchorlock/>
                </v:shape>
              </w:pict>
            </w:r>
          </w:p>
          <w:p w14:paraId="1F7800CE">
            <w:pPr>
              <w:spacing w:line="269" w:lineRule="auto"/>
              <w:rPr>
                <w:rFonts w:ascii="Arial"/>
                <w:sz w:val="21"/>
              </w:rPr>
            </w:pPr>
          </w:p>
          <w:p w14:paraId="33565D36">
            <w:pPr>
              <w:spacing w:line="28" w:lineRule="exact"/>
            </w:pPr>
            <w:r>
              <w:rPr>
                <w:position w:val="-3"/>
              </w:rPr>
              <w:pict>
                <v:shape id="_x0000_s1094" o:spid="_x0000_s1094" style="height:2.9pt;width:78pt;" fillcolor="#FFFFFF" filled="t" stroked="f" coordsize="1560,58" path="m0,57l1559,57,1559,0,0,0,0,57xe">
                  <v:path/>
                  <v:fill on="t" focussize="0,0"/>
                  <v:stroke on="f"/>
                  <v:imagedata o:title=""/>
                  <o:lock v:ext="edit"/>
                  <w10:wrap type="none"/>
                  <w10:anchorlock/>
                </v:shape>
              </w:pict>
            </w:r>
          </w:p>
        </w:tc>
        <w:tc>
          <w:tcPr>
            <w:tcW w:w="1129" w:type="dxa"/>
            <w:vMerge w:val="continue"/>
            <w:tcBorders>
              <w:top w:val="nil"/>
              <w:right w:val="single" w:color="000000" w:sz="12" w:space="0"/>
            </w:tcBorders>
            <w:vAlign w:val="top"/>
          </w:tcPr>
          <w:p w14:paraId="14CB6D3B">
            <w:pPr>
              <w:rPr>
                <w:rFonts w:ascii="Arial"/>
                <w:sz w:val="21"/>
              </w:rPr>
            </w:pPr>
          </w:p>
        </w:tc>
      </w:tr>
      <w:tr w14:paraId="469F2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3531" w:type="dxa"/>
            <w:gridSpan w:val="2"/>
            <w:tcBorders>
              <w:left w:val="single" w:color="000000" w:sz="12" w:space="0"/>
              <w:bottom w:val="single" w:color="000000" w:sz="12" w:space="0"/>
            </w:tcBorders>
            <w:vAlign w:val="top"/>
          </w:tcPr>
          <w:p w14:paraId="0CB2748A">
            <w:pPr>
              <w:spacing w:before="24" w:line="57" w:lineRule="exact"/>
            </w:pPr>
            <w:r>
              <w:rPr>
                <w:position w:val="-1"/>
              </w:rPr>
              <w:pict>
                <v:shape id="_x0000_s1095" o:spid="_x0000_s1095" style="height:2.9pt;width:175.35pt;" fillcolor="#FFFFFF" filled="t" stroked="f" coordsize="3507,58" path="m0,57l679,57,679,0,0,0,0,57xem693,57l3506,57,3506,0,693,0,693,57xe">
                  <v:path/>
                  <v:fill on="t" focussize="0,0"/>
                  <v:stroke on="f"/>
                  <v:imagedata o:title=""/>
                  <o:lock v:ext="edit"/>
                  <w10:wrap type="none"/>
                  <w10:anchorlock/>
                </v:shape>
              </w:pict>
            </w:r>
          </w:p>
          <w:p w14:paraId="0AF08CDE">
            <w:pPr>
              <w:spacing w:before="31" w:line="211" w:lineRule="auto"/>
              <w:ind w:left="1547"/>
              <w:rPr>
                <w:rFonts w:ascii="宋体" w:hAnsi="宋体" w:eastAsia="宋体" w:cs="宋体"/>
                <w:sz w:val="21"/>
                <w:szCs w:val="21"/>
              </w:rPr>
            </w:pPr>
            <w:r>
              <w:rPr>
                <w:rFonts w:ascii="宋体" w:hAnsi="宋体" w:eastAsia="宋体" w:cs="宋体"/>
                <w:spacing w:val="-3"/>
                <w:sz w:val="21"/>
                <w:szCs w:val="21"/>
              </w:rPr>
              <w:t>合计</w:t>
            </w:r>
          </w:p>
          <w:p w14:paraId="61195B24">
            <w:pPr>
              <w:spacing w:line="47" w:lineRule="exact"/>
            </w:pPr>
            <w:r>
              <w:rPr>
                <w:position w:val="-1"/>
              </w:rPr>
              <w:pict>
                <v:shape id="_x0000_s1096" o:spid="_x0000_s1096" style="height:2.9pt;width:176.45pt;" fillcolor="#FFFFFF" filled="t" stroked="f" coordsize="3528,58" path="m0,57l3528,57,3528,0,0,0,0,57xe">
                  <v:path/>
                  <v:fill on="t" focussize="0,0"/>
                  <v:stroke on="f"/>
                  <v:imagedata o:title=""/>
                  <o:lock v:ext="edit"/>
                  <w10:wrap type="none"/>
                  <w10:anchorlock/>
                </v:shape>
              </w:pict>
            </w:r>
          </w:p>
        </w:tc>
        <w:tc>
          <w:tcPr>
            <w:tcW w:w="1130" w:type="dxa"/>
            <w:tcBorders>
              <w:bottom w:val="single" w:color="000000" w:sz="12" w:space="0"/>
            </w:tcBorders>
            <w:vAlign w:val="top"/>
          </w:tcPr>
          <w:p w14:paraId="70818944">
            <w:pPr>
              <w:spacing w:before="24" w:line="57" w:lineRule="exact"/>
            </w:pPr>
            <w:r>
              <w:rPr>
                <w:position w:val="-1"/>
              </w:rPr>
              <w:pict>
                <v:shape id="_x0000_s1097" o:spid="_x0000_s1097" style="height:2.9pt;width:56pt;" fillcolor="#FFFFFF" filled="t" stroked="f" coordsize="1120,58" path="m0,57l1119,57,1119,0,0,0,0,57xe">
                  <v:path/>
                  <v:fill on="t" focussize="0,0"/>
                  <v:stroke on="f"/>
                  <v:imagedata o:title=""/>
                  <o:lock v:ext="edit"/>
                  <w10:wrap type="none"/>
                  <w10:anchorlock/>
                </v:shape>
              </w:pict>
            </w:r>
          </w:p>
          <w:p w14:paraId="49EFD752">
            <w:pPr>
              <w:pStyle w:val="6"/>
              <w:spacing w:before="64" w:line="205" w:lineRule="auto"/>
              <w:ind w:left="384"/>
            </w:pPr>
            <w:r>
              <w:rPr>
                <w:spacing w:val="-3"/>
              </w:rPr>
              <w:t>32.3</w:t>
            </w:r>
          </w:p>
          <w:p w14:paraId="330C6CA9">
            <w:pPr>
              <w:spacing w:line="47" w:lineRule="exact"/>
            </w:pPr>
            <w:r>
              <w:rPr>
                <w:position w:val="-1"/>
              </w:rPr>
              <w:pict>
                <v:shape id="_x0000_s1098" o:spid="_x0000_s1098" style="height:2.9pt;width:56.75pt;" fillcolor="#FFFFFF" filled="t" stroked="f" coordsize="1135,58" path="m0,57l1134,57,1134,0,0,0,0,57xe">
                  <v:path/>
                  <v:fill on="t" focussize="0,0"/>
                  <v:stroke on="f"/>
                  <v:imagedata o:title=""/>
                  <o:lock v:ext="edit"/>
                  <w10:wrap type="none"/>
                  <w10:anchorlock/>
                </v:shape>
              </w:pict>
            </w:r>
          </w:p>
        </w:tc>
        <w:tc>
          <w:tcPr>
            <w:tcW w:w="1130" w:type="dxa"/>
            <w:tcBorders>
              <w:bottom w:val="single" w:color="000000" w:sz="12" w:space="0"/>
            </w:tcBorders>
            <w:vAlign w:val="top"/>
          </w:tcPr>
          <w:p w14:paraId="53A89E1A">
            <w:pPr>
              <w:spacing w:before="24" w:line="57" w:lineRule="exact"/>
              <w:ind w:firstLine="4"/>
            </w:pPr>
            <w:r>
              <w:rPr>
                <w:position w:val="-1"/>
              </w:rPr>
              <w:pict>
                <v:shape id="_x0000_s1099" o:spid="_x0000_s1099" style="height:2.9pt;width:56pt;" fillcolor="#FFFFFF" filled="t" stroked="f" coordsize="1120,58" path="m0,57l1119,57,1119,0,0,0,0,57xe">
                  <v:path/>
                  <v:fill on="t" focussize="0,0"/>
                  <v:stroke on="f"/>
                  <v:imagedata o:title=""/>
                  <o:lock v:ext="edit"/>
                  <w10:wrap type="none"/>
                  <w10:anchorlock/>
                </v:shape>
              </w:pict>
            </w:r>
          </w:p>
          <w:p w14:paraId="2131DD10">
            <w:pPr>
              <w:pStyle w:val="6"/>
              <w:spacing w:before="64" w:line="205" w:lineRule="auto"/>
              <w:ind w:left="383"/>
            </w:pPr>
            <w:r>
              <w:rPr>
                <w:spacing w:val="-1"/>
              </w:rPr>
              <w:t>42.6</w:t>
            </w:r>
          </w:p>
          <w:p w14:paraId="52DB1321">
            <w:pPr>
              <w:spacing w:line="47" w:lineRule="exact"/>
            </w:pPr>
            <w:r>
              <w:rPr>
                <w:position w:val="-1"/>
              </w:rPr>
              <w:pict>
                <v:shape id="_x0000_s1100" o:spid="_x0000_s1100" style="height:2.9pt;width:56.75pt;" fillcolor="#FFFFFF" filled="t" stroked="f" coordsize="1135,58" path="m0,57l1134,57,1134,0,0,0,0,57xe">
                  <v:path/>
                  <v:fill on="t" focussize="0,0"/>
                  <v:stroke on="f"/>
                  <v:imagedata o:title=""/>
                  <o:lock v:ext="edit"/>
                  <w10:wrap type="none"/>
                  <w10:anchorlock/>
                </v:shape>
              </w:pict>
            </w:r>
          </w:p>
        </w:tc>
        <w:tc>
          <w:tcPr>
            <w:tcW w:w="1553" w:type="dxa"/>
            <w:tcBorders>
              <w:bottom w:val="single" w:color="000000" w:sz="12" w:space="0"/>
            </w:tcBorders>
            <w:vAlign w:val="top"/>
          </w:tcPr>
          <w:p w14:paraId="271A2412">
            <w:pPr>
              <w:spacing w:before="24" w:line="57" w:lineRule="exact"/>
              <w:ind w:firstLine="8"/>
            </w:pPr>
            <w:r>
              <w:rPr>
                <w:position w:val="-1"/>
              </w:rPr>
              <w:pict>
                <v:shape id="_x0000_s1101" o:spid="_x0000_s1101" style="height:2.9pt;width:77.25pt;" fillcolor="#FFFFFF" filled="t" stroked="f" coordsize="1545,58" path="m0,57l1544,57,1544,0,0,0,0,57xe">
                  <v:path/>
                  <v:fill on="t" focussize="0,0"/>
                  <v:stroke on="f"/>
                  <v:imagedata o:title=""/>
                  <o:lock v:ext="edit"/>
                  <w10:wrap type="none"/>
                  <w10:anchorlock/>
                </v:shape>
              </w:pict>
            </w:r>
          </w:p>
          <w:p w14:paraId="769ACB7A">
            <w:pPr>
              <w:spacing w:line="269" w:lineRule="auto"/>
              <w:rPr>
                <w:rFonts w:ascii="Arial"/>
                <w:sz w:val="21"/>
              </w:rPr>
            </w:pPr>
          </w:p>
          <w:p w14:paraId="33D49884">
            <w:pPr>
              <w:spacing w:line="47" w:lineRule="exact"/>
            </w:pPr>
            <w:r>
              <w:rPr>
                <w:position w:val="-1"/>
              </w:rPr>
              <w:pict>
                <v:shape id="_x0000_s1102" o:spid="_x0000_s1102" style="height:2.9pt;width:78pt;" fillcolor="#FFFFFF" filled="t" stroked="f" coordsize="1560,58" path="m0,57l1559,57,1559,0,0,0,0,57xe">
                  <v:path/>
                  <v:fill on="t" focussize="0,0"/>
                  <v:stroke on="f"/>
                  <v:imagedata o:title=""/>
                  <o:lock v:ext="edit"/>
                  <w10:wrap type="none"/>
                  <w10:anchorlock/>
                </v:shape>
              </w:pict>
            </w:r>
          </w:p>
        </w:tc>
        <w:tc>
          <w:tcPr>
            <w:tcW w:w="1129" w:type="dxa"/>
            <w:tcBorders>
              <w:bottom w:val="single" w:color="000000" w:sz="12" w:space="0"/>
              <w:right w:val="single" w:color="000000" w:sz="12" w:space="0"/>
            </w:tcBorders>
            <w:vAlign w:val="top"/>
          </w:tcPr>
          <w:p w14:paraId="137D48C7">
            <w:pPr>
              <w:spacing w:before="24" w:line="57" w:lineRule="exact"/>
              <w:ind w:firstLine="14"/>
            </w:pPr>
            <w:r>
              <w:rPr>
                <w:position w:val="-1"/>
              </w:rPr>
              <w:pict>
                <v:shape id="_x0000_s1103" o:spid="_x0000_s1103" style="height:2.9pt;width:54.8pt;" fillcolor="#FFFFFF" filled="t" stroked="f" coordsize="1095,58" path="m0,57l1095,57,1095,0,0,0,0,57xe">
                  <v:path/>
                  <v:fill on="t" focussize="0,0"/>
                  <v:stroke on="f"/>
                  <v:imagedata o:title=""/>
                  <o:lock v:ext="edit"/>
                  <w10:wrap type="none"/>
                  <w10:anchorlock/>
                </v:shape>
              </w:pict>
            </w:r>
          </w:p>
          <w:p w14:paraId="5DE59580">
            <w:pPr>
              <w:spacing w:line="269" w:lineRule="auto"/>
              <w:rPr>
                <w:rFonts w:ascii="Arial"/>
                <w:sz w:val="21"/>
              </w:rPr>
            </w:pPr>
          </w:p>
          <w:p w14:paraId="10084D03">
            <w:pPr>
              <w:spacing w:line="47" w:lineRule="exact"/>
              <w:ind w:firstLine="7"/>
            </w:pPr>
            <w:r>
              <w:rPr>
                <w:position w:val="-1"/>
              </w:rPr>
              <w:pict>
                <v:shape id="_x0000_s1104" o:spid="_x0000_s1104" style="height:2.9pt;width:55.95pt;" fillcolor="#FFFFFF" filled="t" stroked="f" coordsize="1119,58" path="m0,57l1118,57,1118,0,0,0,0,57xe">
                  <v:path/>
                  <v:fill on="t" focussize="0,0"/>
                  <v:stroke on="f"/>
                  <v:imagedata o:title=""/>
                  <o:lock v:ext="edit"/>
                  <w10:wrap type="none"/>
                  <w10:anchorlock/>
                </v:shape>
              </w:pict>
            </w:r>
          </w:p>
        </w:tc>
      </w:tr>
    </w:tbl>
    <w:p w14:paraId="35068167">
      <w:pPr>
        <w:spacing w:line="253" w:lineRule="auto"/>
        <w:rPr>
          <w:rFonts w:ascii="Arial"/>
          <w:sz w:val="21"/>
        </w:rPr>
      </w:pPr>
    </w:p>
    <w:p w14:paraId="4B885261">
      <w:pPr>
        <w:spacing w:line="254" w:lineRule="auto"/>
        <w:rPr>
          <w:rFonts w:ascii="Arial"/>
          <w:sz w:val="21"/>
        </w:rPr>
      </w:pPr>
    </w:p>
    <w:p w14:paraId="2596EA86">
      <w:pPr>
        <w:pStyle w:val="2"/>
        <w:spacing w:before="78" w:line="336" w:lineRule="auto"/>
        <w:ind w:left="31" w:right="83" w:firstLine="516"/>
        <w:jc w:val="both"/>
        <w:rPr>
          <w:sz w:val="24"/>
          <w:szCs w:val="24"/>
        </w:rPr>
      </w:pPr>
      <w:r>
        <w:rPr>
          <w:spacing w:val="-3"/>
          <w:sz w:val="24"/>
          <w:szCs w:val="24"/>
        </w:rPr>
        <w:t>由表</w:t>
      </w:r>
      <w:r>
        <w:rPr>
          <w:spacing w:val="-23"/>
          <w:sz w:val="24"/>
          <w:szCs w:val="24"/>
        </w:rPr>
        <w:t xml:space="preserve"> </w:t>
      </w:r>
      <w:r>
        <w:rPr>
          <w:rFonts w:ascii="Times New Roman" w:hAnsi="Times New Roman" w:eastAsia="Times New Roman" w:cs="Times New Roman"/>
          <w:spacing w:val="-3"/>
          <w:sz w:val="24"/>
          <w:szCs w:val="24"/>
        </w:rPr>
        <w:t>5.1-3</w:t>
      </w:r>
      <w:r>
        <w:rPr>
          <w:rFonts w:ascii="Times New Roman" w:hAnsi="Times New Roman" w:eastAsia="Times New Roman" w:cs="Times New Roman"/>
          <w:spacing w:val="35"/>
          <w:sz w:val="24"/>
          <w:szCs w:val="24"/>
        </w:rPr>
        <w:t xml:space="preserve"> </w:t>
      </w:r>
      <w:r>
        <w:rPr>
          <w:spacing w:val="-3"/>
          <w:sz w:val="24"/>
          <w:szCs w:val="24"/>
        </w:rPr>
        <w:t>可知，曲靖市</w:t>
      </w:r>
      <w:r>
        <w:rPr>
          <w:spacing w:val="-24"/>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35"/>
          <w:sz w:val="24"/>
          <w:szCs w:val="24"/>
        </w:rPr>
        <w:t xml:space="preserve"> </w:t>
      </w:r>
      <w:r>
        <w:rPr>
          <w:spacing w:val="-3"/>
          <w:sz w:val="24"/>
          <w:szCs w:val="24"/>
        </w:rPr>
        <w:t>座污水处理厂现阶段污水处理能力合计为</w:t>
      </w:r>
      <w:r>
        <w:rPr>
          <w:spacing w:val="-26"/>
          <w:sz w:val="24"/>
          <w:szCs w:val="24"/>
        </w:rPr>
        <w:t xml:space="preserve"> </w:t>
      </w:r>
      <w:r>
        <w:rPr>
          <w:rFonts w:ascii="Times New Roman" w:hAnsi="Times New Roman" w:eastAsia="Times New Roman" w:cs="Times New Roman"/>
          <w:spacing w:val="-3"/>
          <w:sz w:val="24"/>
          <w:szCs w:val="24"/>
        </w:rPr>
        <w:t>32.3</w:t>
      </w:r>
      <w:r>
        <w:rPr>
          <w:rFonts w:ascii="Times New Roman" w:hAnsi="Times New Roman" w:eastAsia="Times New Roman" w:cs="Times New Roman"/>
          <w:spacing w:val="39"/>
          <w:w w:val="101"/>
          <w:sz w:val="24"/>
          <w:szCs w:val="24"/>
        </w:rPr>
        <w:t xml:space="preserve"> </w:t>
      </w:r>
      <w:r>
        <w:rPr>
          <w:spacing w:val="-3"/>
          <w:sz w:val="24"/>
          <w:szCs w:val="24"/>
        </w:rPr>
        <w:t>万</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/d</w:t>
      </w:r>
      <w:r>
        <w:rPr>
          <w:spacing w:val="-1"/>
          <w:sz w:val="24"/>
          <w:szCs w:val="24"/>
        </w:rPr>
        <w:t>，远期污水处理能力合计为</w:t>
      </w:r>
      <w:r>
        <w:rPr>
          <w:spacing w:val="-34"/>
          <w:sz w:val="24"/>
          <w:szCs w:val="24"/>
        </w:rPr>
        <w:t xml:space="preserve"> </w:t>
      </w:r>
      <w:r>
        <w:rPr>
          <w:rFonts w:ascii="Times New Roman" w:hAnsi="Times New Roman" w:eastAsia="Times New Roman" w:cs="Times New Roman"/>
          <w:spacing w:val="-1"/>
          <w:sz w:val="24"/>
          <w:szCs w:val="24"/>
        </w:rPr>
        <w:t>42.6</w:t>
      </w:r>
      <w:r>
        <w:rPr>
          <w:rFonts w:ascii="Times New Roman" w:hAnsi="Times New Roman" w:eastAsia="Times New Roman" w:cs="Times New Roman"/>
          <w:spacing w:val="28"/>
          <w:sz w:val="24"/>
          <w:szCs w:val="24"/>
        </w:rPr>
        <w:t xml:space="preserve"> </w:t>
      </w:r>
      <w:r>
        <w:rPr>
          <w:spacing w:val="-1"/>
          <w:sz w:val="24"/>
          <w:szCs w:val="24"/>
        </w:rPr>
        <w:t>万</w:t>
      </w:r>
      <w:r>
        <w:rPr>
          <w:spacing w:val="-45"/>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/d</w:t>
      </w:r>
      <w:r>
        <w:rPr>
          <w:spacing w:val="-1"/>
          <w:sz w:val="24"/>
          <w:szCs w:val="24"/>
        </w:rPr>
        <w:t>。其中西城工业园区周边污水管网已</w:t>
      </w:r>
      <w:r>
        <w:rPr>
          <w:spacing w:val="-5"/>
          <w:sz w:val="24"/>
          <w:szCs w:val="24"/>
        </w:rPr>
        <w:t>经建设完成（北侧和兴街、南侧瑞和西路、东侧靖</w:t>
      </w:r>
      <w:r>
        <w:rPr>
          <w:spacing w:val="-6"/>
          <w:sz w:val="24"/>
          <w:szCs w:val="24"/>
        </w:rPr>
        <w:t>阳路</w:t>
      </w:r>
      <w:r>
        <w:rPr>
          <w:spacing w:val="22"/>
          <w:sz w:val="24"/>
          <w:szCs w:val="24"/>
        </w:rPr>
        <w:t>），</w:t>
      </w:r>
      <w:r>
        <w:rPr>
          <w:spacing w:val="-6"/>
          <w:sz w:val="24"/>
          <w:szCs w:val="24"/>
        </w:rPr>
        <w:t>园区工业废水和生活污</w:t>
      </w:r>
      <w:r>
        <w:rPr>
          <w:spacing w:val="-1"/>
          <w:sz w:val="24"/>
          <w:szCs w:val="24"/>
        </w:rPr>
        <w:t>水经处理达标后排入西城污水处理厂进一步处理达标后，汇</w:t>
      </w:r>
      <w:r>
        <w:rPr>
          <w:spacing w:val="-2"/>
          <w:sz w:val="24"/>
          <w:szCs w:val="24"/>
        </w:rPr>
        <w:t>入白石江。</w:t>
      </w:r>
    </w:p>
    <w:p w14:paraId="02FD221A">
      <w:pPr>
        <w:pStyle w:val="2"/>
        <w:spacing w:before="11"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3</w:t>
      </w:r>
      <w:r>
        <w:rPr>
          <w:b/>
          <w:bCs/>
          <w:spacing w:val="-3"/>
          <w:sz w:val="24"/>
          <w:szCs w:val="24"/>
        </w:rPr>
        <w:t>）分散污染源综合治理工程</w:t>
      </w:r>
    </w:p>
    <w:p w14:paraId="642CB4A7">
      <w:pPr>
        <w:pStyle w:val="2"/>
        <w:spacing w:before="137" w:line="217" w:lineRule="auto"/>
        <w:ind w:left="518"/>
        <w:rPr>
          <w:sz w:val="24"/>
          <w:szCs w:val="24"/>
        </w:rPr>
      </w:pPr>
      <w:r>
        <w:rPr>
          <w:spacing w:val="-1"/>
          <w:sz w:val="24"/>
          <w:szCs w:val="24"/>
        </w:rPr>
        <w:t>①废旧农膜回收利用</w:t>
      </w:r>
    </w:p>
    <w:p w14:paraId="07AD88F7">
      <w:pPr>
        <w:pStyle w:val="2"/>
        <w:spacing w:before="163" w:line="338" w:lineRule="auto"/>
        <w:ind w:left="39" w:firstLine="480"/>
        <w:jc w:val="both"/>
        <w:rPr>
          <w:sz w:val="24"/>
          <w:szCs w:val="24"/>
        </w:rPr>
      </w:pPr>
      <w:r>
        <w:rPr>
          <w:spacing w:val="-5"/>
          <w:sz w:val="24"/>
          <w:szCs w:val="24"/>
        </w:rPr>
        <w:t>根据《关于做好废旧农膜回收利用推进环境污染防治工作的实施意见》（曲农〔</w:t>
      </w:r>
      <w:r>
        <w:rPr>
          <w:rFonts w:ascii="Times New Roman" w:hAnsi="Times New Roman" w:eastAsia="Times New Roman" w:cs="Times New Roman"/>
          <w:spacing w:val="-5"/>
          <w:sz w:val="24"/>
          <w:szCs w:val="24"/>
        </w:rPr>
        <w:t>2019</w:t>
      </w:r>
      <w:r>
        <w:rPr>
          <w:spacing w:val="-5"/>
          <w:sz w:val="24"/>
          <w:szCs w:val="24"/>
        </w:rPr>
        <w:t>〕</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17"/>
          <w:sz w:val="24"/>
          <w:szCs w:val="24"/>
        </w:rPr>
        <w:t xml:space="preserve"> </w:t>
      </w:r>
      <w:r>
        <w:rPr>
          <w:spacing w:val="-5"/>
          <w:sz w:val="24"/>
          <w:szCs w:val="24"/>
        </w:rPr>
        <w:t>号</w:t>
      </w:r>
      <w:r>
        <w:rPr>
          <w:spacing w:val="-19"/>
          <w:sz w:val="24"/>
          <w:szCs w:val="24"/>
        </w:rPr>
        <w:t>），</w:t>
      </w:r>
      <w:r>
        <w:rPr>
          <w:spacing w:val="-5"/>
          <w:sz w:val="24"/>
          <w:szCs w:val="24"/>
        </w:rPr>
        <w:t>由各级农业农村部门负责农膜的科学合理使用、回收利用的指导</w:t>
      </w:r>
      <w:r>
        <w:rPr>
          <w:spacing w:val="-4"/>
          <w:sz w:val="24"/>
          <w:szCs w:val="24"/>
        </w:rPr>
        <w:t>工作；发展改革部门负责做好项目备案工作；工业和信息化部门负责农膜</w:t>
      </w:r>
      <w:r>
        <w:rPr>
          <w:spacing w:val="-5"/>
          <w:sz w:val="24"/>
          <w:szCs w:val="24"/>
        </w:rPr>
        <w:t>生产、回</w:t>
      </w:r>
      <w:r>
        <w:rPr>
          <w:spacing w:val="-4"/>
          <w:sz w:val="24"/>
          <w:szCs w:val="24"/>
        </w:rPr>
        <w:t>收加工企业的指导工作；财政部门会同行业部门负责扶持资金管理工作；</w:t>
      </w:r>
      <w:r>
        <w:rPr>
          <w:spacing w:val="-5"/>
          <w:sz w:val="24"/>
          <w:szCs w:val="24"/>
        </w:rPr>
        <w:t>生态环境</w:t>
      </w:r>
      <w:r>
        <w:rPr>
          <w:spacing w:val="2"/>
          <w:sz w:val="24"/>
          <w:szCs w:val="24"/>
        </w:rPr>
        <w:t>部门负责农膜回收利用过程的环境污染防治监督管理工作；市场监管部门对农膜</w:t>
      </w:r>
      <w:r>
        <w:rPr>
          <w:spacing w:val="-2"/>
          <w:sz w:val="24"/>
          <w:szCs w:val="24"/>
        </w:rPr>
        <w:t>质量开展监督检查，依法查处生产和流通领域不符合强制性国家标准的违法行为。</w:t>
      </w:r>
      <w:r>
        <w:rPr>
          <w:spacing w:val="-4"/>
          <w:sz w:val="24"/>
          <w:szCs w:val="24"/>
        </w:rPr>
        <w:t>地方政府积极协调落实企业用地、用电、税收等相关政策。监督指导农膜生产、销售、使用各主体认真履行主体责任。其中车马碧水库引水工程的受水区麒</w:t>
      </w:r>
      <w:r>
        <w:rPr>
          <w:spacing w:val="-5"/>
          <w:sz w:val="24"/>
          <w:szCs w:val="24"/>
        </w:rPr>
        <w:t>麟区、沾</w:t>
      </w:r>
      <w:r>
        <w:rPr>
          <w:spacing w:val="-11"/>
          <w:sz w:val="24"/>
          <w:szCs w:val="24"/>
        </w:rPr>
        <w:t>益区、陆良县、马龙县被划为曲靖市废旧农膜污染防治重点县（区）和重点区域（珠</w:t>
      </w:r>
      <w:r>
        <w:rPr>
          <w:spacing w:val="-49"/>
          <w:sz w:val="24"/>
          <w:szCs w:val="24"/>
        </w:rPr>
        <w:t>江）。</w:t>
      </w:r>
    </w:p>
    <w:p w14:paraId="64D703B5">
      <w:pPr>
        <w:pStyle w:val="2"/>
        <w:spacing w:line="217" w:lineRule="auto"/>
        <w:ind w:left="517"/>
        <w:rPr>
          <w:sz w:val="24"/>
          <w:szCs w:val="24"/>
        </w:rPr>
      </w:pPr>
      <w:r>
        <w:rPr>
          <w:spacing w:val="-1"/>
          <w:sz w:val="24"/>
          <w:szCs w:val="24"/>
        </w:rPr>
        <w:t>②畜禽养殖废弃物资源化利用</w:t>
      </w:r>
    </w:p>
    <w:p w14:paraId="313153AB">
      <w:pPr>
        <w:pStyle w:val="2"/>
        <w:spacing w:before="157" w:line="336" w:lineRule="auto"/>
        <w:ind w:left="40" w:right="84" w:firstLine="479"/>
        <w:rPr>
          <w:sz w:val="24"/>
          <w:szCs w:val="24"/>
        </w:rPr>
      </w:pPr>
      <w:r>
        <w:rPr>
          <w:spacing w:val="3"/>
          <w:sz w:val="24"/>
          <w:szCs w:val="24"/>
        </w:rPr>
        <w:t>根据《曲靖市人民政府关于印发曲靖市畜禽养殖废</w:t>
      </w:r>
      <w:r>
        <w:rPr>
          <w:spacing w:val="2"/>
          <w:sz w:val="24"/>
          <w:szCs w:val="24"/>
        </w:rPr>
        <w:t>弃物资源化利用实施方案</w:t>
      </w:r>
      <w:r>
        <w:rPr>
          <w:spacing w:val="-7"/>
          <w:sz w:val="24"/>
          <w:szCs w:val="24"/>
        </w:rPr>
        <w:t>的通知》（曲政办发〔</w:t>
      </w:r>
      <w:r>
        <w:rPr>
          <w:rFonts w:ascii="Times New Roman" w:hAnsi="Times New Roman" w:eastAsia="Times New Roman" w:cs="Times New Roman"/>
          <w:spacing w:val="-7"/>
          <w:sz w:val="24"/>
          <w:szCs w:val="24"/>
        </w:rPr>
        <w:t>2018</w:t>
      </w:r>
      <w:r>
        <w:rPr>
          <w:spacing w:val="-7"/>
          <w:sz w:val="24"/>
          <w:szCs w:val="24"/>
        </w:rPr>
        <w:t>〕</w:t>
      </w:r>
      <w:r>
        <w:rPr>
          <w:rFonts w:ascii="Times New Roman" w:hAnsi="Times New Roman" w:eastAsia="Times New Roman" w:cs="Times New Roman"/>
          <w:spacing w:val="-7"/>
          <w:sz w:val="24"/>
          <w:szCs w:val="24"/>
        </w:rPr>
        <w:t>33</w:t>
      </w:r>
      <w:r>
        <w:rPr>
          <w:rFonts w:ascii="Times New Roman" w:hAnsi="Times New Roman" w:eastAsia="Times New Roman" w:cs="Times New Roman"/>
          <w:spacing w:val="15"/>
          <w:sz w:val="24"/>
          <w:szCs w:val="24"/>
        </w:rPr>
        <w:t xml:space="preserve"> </w:t>
      </w:r>
      <w:r>
        <w:rPr>
          <w:spacing w:val="-7"/>
          <w:sz w:val="24"/>
          <w:szCs w:val="24"/>
        </w:rPr>
        <w:t>号</w:t>
      </w:r>
      <w:r>
        <w:rPr>
          <w:spacing w:val="-27"/>
          <w:sz w:val="24"/>
          <w:szCs w:val="24"/>
        </w:rPr>
        <w:t>），</w:t>
      </w:r>
      <w:r>
        <w:rPr>
          <w:spacing w:val="-7"/>
          <w:sz w:val="24"/>
          <w:szCs w:val="24"/>
        </w:rPr>
        <w:t>到</w:t>
      </w:r>
      <w:r>
        <w:rPr>
          <w:spacing w:val="-55"/>
          <w:sz w:val="24"/>
          <w:szCs w:val="24"/>
        </w:rPr>
        <w:t xml:space="preserve"> </w:t>
      </w:r>
      <w:r>
        <w:rPr>
          <w:rFonts w:ascii="Times New Roman" w:hAnsi="Times New Roman" w:eastAsia="Times New Roman" w:cs="Times New Roman"/>
          <w:spacing w:val="-7"/>
          <w:sz w:val="24"/>
          <w:szCs w:val="24"/>
        </w:rPr>
        <w:t xml:space="preserve">2020 </w:t>
      </w:r>
      <w:r>
        <w:rPr>
          <w:spacing w:val="-7"/>
          <w:sz w:val="24"/>
          <w:szCs w:val="24"/>
        </w:rPr>
        <w:t>年，建</w:t>
      </w:r>
      <w:r>
        <w:rPr>
          <w:spacing w:val="-8"/>
          <w:sz w:val="24"/>
          <w:szCs w:val="24"/>
        </w:rPr>
        <w:t>立科学规范、权责清晰、约束</w:t>
      </w:r>
      <w:r>
        <w:rPr>
          <w:spacing w:val="2"/>
          <w:sz w:val="24"/>
          <w:szCs w:val="24"/>
        </w:rPr>
        <w:t>有力的畜禽养殖环境保护和畜禽养殖废弃物资源化利用制度，构建种养循环发展</w:t>
      </w:r>
    </w:p>
    <w:p w14:paraId="11928B21">
      <w:pPr>
        <w:spacing w:line="336" w:lineRule="auto"/>
        <w:rPr>
          <w:sz w:val="24"/>
          <w:szCs w:val="24"/>
        </w:rPr>
        <w:sectPr>
          <w:headerReference r:id="rId107" w:type="default"/>
          <w:footerReference r:id="rId108" w:type="default"/>
          <w:pgSz w:w="11907" w:h="16839"/>
          <w:pgMar w:top="1376" w:right="1614" w:bottom="1061" w:left="1671" w:header="999" w:footer="861" w:gutter="0"/>
          <w:cols w:space="720" w:num="1"/>
        </w:sectPr>
      </w:pPr>
    </w:p>
    <w:p w14:paraId="30BEFDFC">
      <w:pPr>
        <w:spacing w:line="450" w:lineRule="auto"/>
        <w:rPr>
          <w:rFonts w:ascii="Arial"/>
          <w:sz w:val="21"/>
        </w:rPr>
      </w:pPr>
    </w:p>
    <w:p w14:paraId="33335A9B">
      <w:pPr>
        <w:pStyle w:val="2"/>
        <w:spacing w:before="78" w:line="339" w:lineRule="auto"/>
        <w:ind w:left="38"/>
        <w:jc w:val="both"/>
        <w:rPr>
          <w:sz w:val="24"/>
          <w:szCs w:val="24"/>
        </w:rPr>
      </w:pPr>
      <w:r>
        <w:rPr>
          <w:sz w:val="24"/>
          <w:szCs w:val="24"/>
        </w:rPr>
        <w:t xml:space="preserve">机制，全市畜禽粪污综合利用率达到 </w:t>
      </w:r>
      <w:r>
        <w:rPr>
          <w:rFonts w:ascii="Times New Roman" w:hAnsi="Times New Roman" w:eastAsia="Times New Roman" w:cs="Times New Roman"/>
          <w:sz w:val="24"/>
          <w:szCs w:val="24"/>
        </w:rPr>
        <w:t>75%</w:t>
      </w:r>
      <w:r>
        <w:rPr>
          <w:sz w:val="24"/>
          <w:szCs w:val="24"/>
        </w:rPr>
        <w:t>以上，规模养殖场粪污处理设施装备配</w:t>
      </w:r>
      <w:r>
        <w:rPr>
          <w:spacing w:val="-1"/>
          <w:sz w:val="24"/>
          <w:szCs w:val="24"/>
        </w:rPr>
        <w:t>套率达到</w:t>
      </w:r>
      <w:r>
        <w:rPr>
          <w:spacing w:val="-30"/>
          <w:sz w:val="24"/>
          <w:szCs w:val="24"/>
        </w:rPr>
        <w:t xml:space="preserve"> </w:t>
      </w:r>
      <w:r>
        <w:rPr>
          <w:rFonts w:ascii="Times New Roman" w:hAnsi="Times New Roman" w:eastAsia="Times New Roman" w:cs="Times New Roman"/>
          <w:spacing w:val="-1"/>
          <w:sz w:val="24"/>
          <w:szCs w:val="24"/>
        </w:rPr>
        <w:t>95%</w:t>
      </w:r>
      <w:r>
        <w:rPr>
          <w:spacing w:val="-1"/>
          <w:sz w:val="24"/>
          <w:szCs w:val="24"/>
        </w:rPr>
        <w:t>以上。</w:t>
      </w:r>
      <w:r>
        <w:rPr>
          <w:rFonts w:ascii="Times New Roman" w:hAnsi="Times New Roman" w:eastAsia="Times New Roman" w:cs="Times New Roman"/>
          <w:spacing w:val="-1"/>
          <w:sz w:val="24"/>
          <w:szCs w:val="24"/>
        </w:rPr>
        <w:t>2018</w:t>
      </w:r>
      <w:r>
        <w:rPr>
          <w:rFonts w:ascii="Times New Roman" w:hAnsi="Times New Roman" w:eastAsia="Times New Roman" w:cs="Times New Roman"/>
          <w:spacing w:val="23"/>
          <w:sz w:val="24"/>
          <w:szCs w:val="24"/>
        </w:rPr>
        <w:t xml:space="preserve"> </w:t>
      </w:r>
      <w:r>
        <w:rPr>
          <w:spacing w:val="-1"/>
          <w:sz w:val="24"/>
          <w:szCs w:val="24"/>
        </w:rPr>
        <w:t>年，启动沾益区畜禽养殖废弃物资源化利用整县推进项</w:t>
      </w:r>
      <w:r>
        <w:rPr>
          <w:sz w:val="24"/>
          <w:szCs w:val="24"/>
        </w:rPr>
        <w:t xml:space="preserve">目，全市畜禽粪污综合利用率达到 </w:t>
      </w:r>
      <w:r>
        <w:rPr>
          <w:rFonts w:ascii="Times New Roman" w:hAnsi="Times New Roman" w:eastAsia="Times New Roman" w:cs="Times New Roman"/>
          <w:sz w:val="24"/>
          <w:szCs w:val="24"/>
        </w:rPr>
        <w:t>73%</w:t>
      </w:r>
      <w:r>
        <w:rPr>
          <w:sz w:val="24"/>
          <w:szCs w:val="24"/>
        </w:rPr>
        <w:t>以上，规模养殖场粪污处理设施装备配套</w:t>
      </w:r>
      <w:r>
        <w:rPr>
          <w:spacing w:val="-3"/>
          <w:sz w:val="24"/>
          <w:szCs w:val="24"/>
        </w:rPr>
        <w:t>率达到</w:t>
      </w:r>
      <w:r>
        <w:rPr>
          <w:spacing w:val="-51"/>
          <w:sz w:val="24"/>
          <w:szCs w:val="24"/>
        </w:rPr>
        <w:t xml:space="preserve"> </w:t>
      </w:r>
      <w:r>
        <w:rPr>
          <w:rFonts w:ascii="Times New Roman" w:hAnsi="Times New Roman" w:eastAsia="Times New Roman" w:cs="Times New Roman"/>
          <w:spacing w:val="-3"/>
          <w:sz w:val="24"/>
          <w:szCs w:val="24"/>
        </w:rPr>
        <w:t>90%</w:t>
      </w:r>
      <w:r>
        <w:rPr>
          <w:spacing w:val="-3"/>
          <w:sz w:val="24"/>
          <w:szCs w:val="24"/>
        </w:rPr>
        <w:t>以上，大型规模化养殖场粪污处理设施装备配</w:t>
      </w:r>
      <w:r>
        <w:rPr>
          <w:spacing w:val="-4"/>
          <w:sz w:val="24"/>
          <w:szCs w:val="24"/>
        </w:rPr>
        <w:t>套率达到</w:t>
      </w:r>
      <w:r>
        <w:rPr>
          <w:rFonts w:ascii="Times New Roman" w:hAnsi="Times New Roman" w:eastAsia="Times New Roman" w:cs="Times New Roman"/>
          <w:spacing w:val="-4"/>
          <w:sz w:val="24"/>
          <w:szCs w:val="24"/>
        </w:rPr>
        <w:t>95%</w:t>
      </w:r>
      <w:r>
        <w:rPr>
          <w:spacing w:val="-4"/>
          <w:sz w:val="24"/>
          <w:szCs w:val="24"/>
        </w:rPr>
        <w:t>以上；</w:t>
      </w:r>
      <w:r>
        <w:rPr>
          <w:rFonts w:ascii="Times New Roman" w:hAnsi="Times New Roman" w:eastAsia="Times New Roman" w:cs="Times New Roman"/>
          <w:spacing w:val="-4"/>
          <w:sz w:val="24"/>
          <w:szCs w:val="24"/>
        </w:rPr>
        <w:t>2019</w:t>
      </w:r>
      <w:r>
        <w:rPr>
          <w:sz w:val="24"/>
          <w:szCs w:val="24"/>
        </w:rPr>
        <w:t xml:space="preserve">年全市畜禽粪污综合利用率达到 </w:t>
      </w:r>
      <w:r>
        <w:rPr>
          <w:rFonts w:ascii="Times New Roman" w:hAnsi="Times New Roman" w:eastAsia="Times New Roman" w:cs="Times New Roman"/>
          <w:sz w:val="24"/>
          <w:szCs w:val="24"/>
        </w:rPr>
        <w:t>74%</w:t>
      </w:r>
      <w:r>
        <w:rPr>
          <w:sz w:val="24"/>
          <w:szCs w:val="24"/>
        </w:rPr>
        <w:t>以上，规模养殖场粪污处理设施装备配套率</w:t>
      </w:r>
      <w:r>
        <w:rPr>
          <w:spacing w:val="-3"/>
          <w:sz w:val="24"/>
          <w:szCs w:val="24"/>
        </w:rPr>
        <w:t xml:space="preserve">达到 </w:t>
      </w:r>
      <w:r>
        <w:rPr>
          <w:rFonts w:ascii="Times New Roman" w:hAnsi="Times New Roman" w:eastAsia="Times New Roman" w:cs="Times New Roman"/>
          <w:spacing w:val="-3"/>
          <w:sz w:val="24"/>
          <w:szCs w:val="24"/>
        </w:rPr>
        <w:t>93%</w:t>
      </w:r>
      <w:r>
        <w:rPr>
          <w:spacing w:val="-3"/>
          <w:sz w:val="24"/>
          <w:szCs w:val="24"/>
        </w:rPr>
        <w:t>以上，大型规模化养殖场粪污处理设施装备配套</w:t>
      </w:r>
      <w:r>
        <w:rPr>
          <w:spacing w:val="-4"/>
          <w:sz w:val="24"/>
          <w:szCs w:val="24"/>
        </w:rPr>
        <w:t xml:space="preserve">率达到 </w:t>
      </w:r>
      <w:r>
        <w:rPr>
          <w:rFonts w:ascii="Times New Roman" w:hAnsi="Times New Roman" w:eastAsia="Times New Roman" w:cs="Times New Roman"/>
          <w:spacing w:val="-4"/>
          <w:sz w:val="24"/>
          <w:szCs w:val="24"/>
        </w:rPr>
        <w:t>100%</w:t>
      </w:r>
      <w:r>
        <w:rPr>
          <w:rFonts w:ascii="Times New Roman" w:hAnsi="Times New Roman" w:eastAsia="Times New Roman" w:cs="Times New Roman"/>
          <w:spacing w:val="-26"/>
          <w:sz w:val="24"/>
          <w:szCs w:val="24"/>
        </w:rPr>
        <w:t xml:space="preserve"> </w:t>
      </w:r>
      <w:r>
        <w:rPr>
          <w:spacing w:val="-4"/>
          <w:sz w:val="24"/>
          <w:szCs w:val="24"/>
        </w:rPr>
        <w:t>。据调查，</w:t>
      </w:r>
      <w:r>
        <w:rPr>
          <w:spacing w:val="-2"/>
          <w:sz w:val="24"/>
          <w:szCs w:val="24"/>
        </w:rPr>
        <w:t>麒麟区纳入养殖场直联直报信息系统统计粪污资源化利用的规模养</w:t>
      </w:r>
      <w:r>
        <w:rPr>
          <w:spacing w:val="-3"/>
          <w:sz w:val="24"/>
          <w:szCs w:val="24"/>
        </w:rPr>
        <w:t>殖场共</w:t>
      </w:r>
      <w:r>
        <w:rPr>
          <w:spacing w:val="-34"/>
          <w:sz w:val="24"/>
          <w:szCs w:val="24"/>
        </w:rPr>
        <w:t xml:space="preserve"> </w:t>
      </w:r>
      <w:r>
        <w:rPr>
          <w:rFonts w:ascii="Times New Roman" w:hAnsi="Times New Roman" w:eastAsia="Times New Roman" w:cs="Times New Roman"/>
          <w:spacing w:val="-3"/>
          <w:sz w:val="24"/>
          <w:szCs w:val="24"/>
        </w:rPr>
        <w:t xml:space="preserve">113 </w:t>
      </w:r>
      <w:r>
        <w:rPr>
          <w:spacing w:val="-3"/>
          <w:sz w:val="24"/>
          <w:szCs w:val="24"/>
        </w:rPr>
        <w:t>个。</w:t>
      </w:r>
    </w:p>
    <w:p w14:paraId="4D189BFF">
      <w:pPr>
        <w:pStyle w:val="2"/>
        <w:spacing w:line="217" w:lineRule="auto"/>
        <w:ind w:left="517"/>
        <w:rPr>
          <w:sz w:val="24"/>
          <w:szCs w:val="24"/>
        </w:rPr>
      </w:pPr>
      <w:r>
        <w:rPr>
          <w:spacing w:val="-2"/>
          <w:sz w:val="24"/>
          <w:szCs w:val="24"/>
        </w:rPr>
        <w:t>③化肥农药减量</w:t>
      </w:r>
    </w:p>
    <w:p w14:paraId="5B20B92A">
      <w:pPr>
        <w:pStyle w:val="2"/>
        <w:spacing w:before="163" w:line="338" w:lineRule="auto"/>
        <w:ind w:left="22" w:right="84" w:firstLine="496"/>
        <w:rPr>
          <w:sz w:val="24"/>
          <w:szCs w:val="24"/>
        </w:rPr>
      </w:pPr>
      <w:r>
        <w:rPr>
          <w:spacing w:val="-8"/>
          <w:sz w:val="24"/>
          <w:szCs w:val="24"/>
        </w:rPr>
        <w:t>根据《曲靖市农业农村局关于印发</w:t>
      </w:r>
      <w:r>
        <w:rPr>
          <w:spacing w:val="-44"/>
          <w:sz w:val="24"/>
          <w:szCs w:val="24"/>
        </w:rPr>
        <w:t xml:space="preserve"> </w:t>
      </w:r>
      <w:r>
        <w:rPr>
          <w:rFonts w:ascii="Times New Roman" w:hAnsi="Times New Roman" w:eastAsia="Times New Roman" w:cs="Times New Roman"/>
          <w:spacing w:val="-8"/>
          <w:sz w:val="24"/>
          <w:szCs w:val="24"/>
        </w:rPr>
        <w:t xml:space="preserve">2021 </w:t>
      </w:r>
      <w:r>
        <w:rPr>
          <w:spacing w:val="-8"/>
          <w:sz w:val="24"/>
          <w:szCs w:val="24"/>
        </w:rPr>
        <w:t>年化</w:t>
      </w:r>
      <w:r>
        <w:rPr>
          <w:spacing w:val="-9"/>
          <w:sz w:val="24"/>
          <w:szCs w:val="24"/>
        </w:rPr>
        <w:t>肥农药减量工作方案的通知》（曲</w:t>
      </w:r>
      <w:r>
        <w:rPr>
          <w:spacing w:val="-4"/>
          <w:sz w:val="24"/>
          <w:szCs w:val="24"/>
        </w:rPr>
        <w:t>农〔</w:t>
      </w:r>
      <w:r>
        <w:rPr>
          <w:rFonts w:ascii="Times New Roman" w:hAnsi="Times New Roman" w:eastAsia="Times New Roman" w:cs="Times New Roman"/>
          <w:spacing w:val="-4"/>
          <w:sz w:val="24"/>
          <w:szCs w:val="24"/>
        </w:rPr>
        <w:t>2021</w:t>
      </w:r>
      <w:r>
        <w:rPr>
          <w:spacing w:val="-4"/>
          <w:sz w:val="24"/>
          <w:szCs w:val="24"/>
        </w:rPr>
        <w:t>〕</w:t>
      </w:r>
      <w:r>
        <w:rPr>
          <w:rFonts w:ascii="Times New Roman" w:hAnsi="Times New Roman" w:eastAsia="Times New Roman" w:cs="Times New Roman"/>
          <w:spacing w:val="-4"/>
          <w:sz w:val="24"/>
          <w:szCs w:val="24"/>
        </w:rPr>
        <w:t>49</w:t>
      </w:r>
      <w:r>
        <w:rPr>
          <w:rFonts w:ascii="Times New Roman" w:hAnsi="Times New Roman" w:eastAsia="Times New Roman" w:cs="Times New Roman"/>
          <w:spacing w:val="15"/>
          <w:w w:val="101"/>
          <w:sz w:val="24"/>
          <w:szCs w:val="24"/>
        </w:rPr>
        <w:t xml:space="preserve"> </w:t>
      </w:r>
      <w:r>
        <w:rPr>
          <w:spacing w:val="-4"/>
          <w:sz w:val="24"/>
          <w:szCs w:val="24"/>
        </w:rPr>
        <w:t>号</w:t>
      </w:r>
      <w:r>
        <w:rPr>
          <w:spacing w:val="-29"/>
          <w:sz w:val="24"/>
          <w:szCs w:val="24"/>
        </w:rPr>
        <w:t>），</w:t>
      </w:r>
      <w:r>
        <w:rPr>
          <w:spacing w:val="-4"/>
          <w:sz w:val="24"/>
          <w:szCs w:val="24"/>
        </w:rPr>
        <w:t>化肥减量目标任务为：全市主要农作物测土配方施肥技术覆盖</w:t>
      </w:r>
      <w:r>
        <w:rPr>
          <w:spacing w:val="-1"/>
          <w:sz w:val="24"/>
          <w:szCs w:val="24"/>
        </w:rPr>
        <w:t xml:space="preserve">率稳定在 </w:t>
      </w:r>
      <w:r>
        <w:rPr>
          <w:rFonts w:ascii="Times New Roman" w:hAnsi="Times New Roman" w:eastAsia="Times New Roman" w:cs="Times New Roman"/>
          <w:spacing w:val="-1"/>
          <w:sz w:val="24"/>
          <w:szCs w:val="24"/>
        </w:rPr>
        <w:t>90%</w:t>
      </w:r>
      <w:r>
        <w:rPr>
          <w:spacing w:val="-1"/>
          <w:sz w:val="24"/>
          <w:szCs w:val="24"/>
        </w:rPr>
        <w:t>以上，化肥利用率达到</w:t>
      </w:r>
      <w:r>
        <w:rPr>
          <w:spacing w:val="-11"/>
          <w:sz w:val="24"/>
          <w:szCs w:val="24"/>
        </w:rPr>
        <w:t xml:space="preserve"> </w:t>
      </w:r>
      <w:r>
        <w:rPr>
          <w:rFonts w:ascii="Times New Roman" w:hAnsi="Times New Roman" w:eastAsia="Times New Roman" w:cs="Times New Roman"/>
          <w:spacing w:val="-1"/>
          <w:sz w:val="24"/>
          <w:szCs w:val="24"/>
        </w:rPr>
        <w:t>40%</w:t>
      </w:r>
      <w:r>
        <w:rPr>
          <w:spacing w:val="-1"/>
          <w:sz w:val="24"/>
          <w:szCs w:val="24"/>
        </w:rPr>
        <w:t>以上，化肥使用总量保持负增长。加大</w:t>
      </w:r>
      <w:r>
        <w:rPr>
          <w:spacing w:val="1"/>
          <w:sz w:val="24"/>
          <w:szCs w:val="24"/>
        </w:rPr>
        <w:t>“两江”流域推广化肥减量措施，力争“两江”流域化肥使用量比上</w:t>
      </w:r>
      <w:r>
        <w:rPr>
          <w:sz w:val="24"/>
          <w:szCs w:val="24"/>
        </w:rPr>
        <w:t>年减少</w:t>
      </w:r>
      <w:r>
        <w:rPr>
          <w:rFonts w:ascii="Times New Roman" w:hAnsi="Times New Roman" w:eastAsia="Times New Roman" w:cs="Times New Roman"/>
          <w:sz w:val="24"/>
          <w:szCs w:val="24"/>
        </w:rPr>
        <w:t>3%</w:t>
      </w:r>
      <w:r>
        <w:rPr>
          <w:sz w:val="24"/>
          <w:szCs w:val="24"/>
        </w:rPr>
        <w:t>以</w:t>
      </w:r>
      <w:r>
        <w:rPr>
          <w:spacing w:val="-6"/>
          <w:sz w:val="24"/>
          <w:szCs w:val="24"/>
        </w:rPr>
        <w:t>上。农药减量增效目标任务：</w:t>
      </w:r>
      <w:r>
        <w:rPr>
          <w:spacing w:val="-56"/>
          <w:sz w:val="24"/>
          <w:szCs w:val="24"/>
        </w:rPr>
        <w:t xml:space="preserve"> </w:t>
      </w:r>
      <w:r>
        <w:rPr>
          <w:spacing w:val="-6"/>
          <w:sz w:val="24"/>
          <w:szCs w:val="24"/>
        </w:rPr>
        <w:t>主要农作物绿色防控覆盖率达到</w:t>
      </w:r>
      <w:r>
        <w:rPr>
          <w:spacing w:val="-50"/>
          <w:sz w:val="24"/>
          <w:szCs w:val="24"/>
        </w:rPr>
        <w:t xml:space="preserve"> </w:t>
      </w:r>
      <w:r>
        <w:rPr>
          <w:rFonts w:ascii="Times New Roman" w:hAnsi="Times New Roman" w:eastAsia="Times New Roman" w:cs="Times New Roman"/>
          <w:spacing w:val="-6"/>
          <w:sz w:val="24"/>
          <w:szCs w:val="24"/>
        </w:rPr>
        <w:t>36%</w:t>
      </w:r>
      <w:r>
        <w:rPr>
          <w:spacing w:val="-6"/>
          <w:sz w:val="24"/>
          <w:szCs w:val="24"/>
        </w:rPr>
        <w:t>以上，主要农作</w:t>
      </w:r>
      <w:r>
        <w:rPr>
          <w:spacing w:val="-2"/>
          <w:sz w:val="24"/>
          <w:szCs w:val="24"/>
        </w:rPr>
        <w:t>物统防统治覆盖率达到</w:t>
      </w:r>
      <w:r>
        <w:rPr>
          <w:spacing w:val="-57"/>
          <w:sz w:val="24"/>
          <w:szCs w:val="24"/>
        </w:rPr>
        <w:t xml:space="preserve"> </w:t>
      </w:r>
      <w:r>
        <w:rPr>
          <w:rFonts w:ascii="Times New Roman" w:hAnsi="Times New Roman" w:eastAsia="Times New Roman" w:cs="Times New Roman"/>
          <w:spacing w:val="-2"/>
          <w:sz w:val="24"/>
          <w:szCs w:val="24"/>
        </w:rPr>
        <w:t>45%</w:t>
      </w:r>
      <w:r>
        <w:rPr>
          <w:spacing w:val="-2"/>
          <w:sz w:val="24"/>
          <w:szCs w:val="24"/>
        </w:rPr>
        <w:t>；化学农药使用量降低</w:t>
      </w:r>
      <w:r>
        <w:rPr>
          <w:spacing w:val="-54"/>
          <w:sz w:val="24"/>
          <w:szCs w:val="24"/>
        </w:rPr>
        <w:t xml:space="preserve"> </w:t>
      </w:r>
      <w:r>
        <w:rPr>
          <w:rFonts w:ascii="Times New Roman" w:hAnsi="Times New Roman" w:eastAsia="Times New Roman" w:cs="Times New Roman"/>
          <w:spacing w:val="-2"/>
          <w:sz w:val="24"/>
          <w:szCs w:val="24"/>
        </w:rPr>
        <w:t>2</w:t>
      </w:r>
      <w:r>
        <w:rPr>
          <w:spacing w:val="-14"/>
          <w:sz w:val="24"/>
          <w:szCs w:val="24"/>
        </w:rPr>
        <w:t>％，</w:t>
      </w:r>
      <w:r>
        <w:rPr>
          <w:spacing w:val="-2"/>
          <w:sz w:val="24"/>
          <w:szCs w:val="24"/>
        </w:rPr>
        <w:t>低微毒农药的使用量提升</w:t>
      </w:r>
      <w:r>
        <w:rPr>
          <w:spacing w:val="-5"/>
          <w:sz w:val="24"/>
          <w:szCs w:val="24"/>
        </w:rPr>
        <w:t>到</w:t>
      </w:r>
      <w:r>
        <w:rPr>
          <w:spacing w:val="-42"/>
          <w:sz w:val="24"/>
          <w:szCs w:val="24"/>
        </w:rPr>
        <w:t xml:space="preserve"> </w:t>
      </w:r>
      <w:r>
        <w:rPr>
          <w:rFonts w:ascii="Times New Roman" w:hAnsi="Times New Roman" w:eastAsia="Times New Roman" w:cs="Times New Roman"/>
          <w:spacing w:val="-5"/>
          <w:sz w:val="24"/>
          <w:szCs w:val="24"/>
        </w:rPr>
        <w:t>77%</w:t>
      </w:r>
      <w:r>
        <w:rPr>
          <w:spacing w:val="-5"/>
          <w:sz w:val="24"/>
          <w:szCs w:val="24"/>
        </w:rPr>
        <w:t>以上，农药利用率达到</w:t>
      </w:r>
      <w:r>
        <w:rPr>
          <w:spacing w:val="-56"/>
          <w:sz w:val="24"/>
          <w:szCs w:val="24"/>
        </w:rPr>
        <w:t xml:space="preserve"> </w:t>
      </w:r>
      <w:r>
        <w:rPr>
          <w:rFonts w:ascii="Times New Roman" w:hAnsi="Times New Roman" w:eastAsia="Times New Roman" w:cs="Times New Roman"/>
          <w:spacing w:val="-5"/>
          <w:sz w:val="24"/>
          <w:szCs w:val="24"/>
        </w:rPr>
        <w:t>41%</w:t>
      </w:r>
      <w:r>
        <w:rPr>
          <w:spacing w:val="-5"/>
          <w:sz w:val="24"/>
          <w:szCs w:val="24"/>
        </w:rPr>
        <w:t>。在“两江”流域推广农药减量措施，推动农药</w:t>
      </w:r>
      <w:r>
        <w:rPr>
          <w:spacing w:val="3"/>
          <w:sz w:val="24"/>
          <w:szCs w:val="24"/>
        </w:rPr>
        <w:t>科学合理使用。车马碧水库工程水源区马龙区和受水区麒麟区、沾益区、陆良县</w:t>
      </w:r>
      <w:r>
        <w:rPr>
          <w:rFonts w:ascii="Times New Roman" w:hAnsi="Times New Roman" w:eastAsia="Times New Roman" w:cs="Times New Roman"/>
          <w:sz w:val="24"/>
          <w:szCs w:val="24"/>
        </w:rPr>
        <w:t xml:space="preserve">2021 </w:t>
      </w:r>
      <w:r>
        <w:rPr>
          <w:sz w:val="24"/>
          <w:szCs w:val="24"/>
        </w:rPr>
        <w:t>年化肥减量增效指导性任务见表</w:t>
      </w:r>
      <w:r>
        <w:rPr>
          <w:spacing w:val="-48"/>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pacing w:val="-1"/>
          <w:sz w:val="24"/>
          <w:szCs w:val="24"/>
        </w:rPr>
        <w:t>.1-4</w:t>
      </w:r>
      <w:r>
        <w:rPr>
          <w:spacing w:val="-1"/>
          <w:sz w:val="24"/>
          <w:szCs w:val="24"/>
        </w:rPr>
        <w:t>。</w:t>
      </w:r>
    </w:p>
    <w:p w14:paraId="4B00B1DF">
      <w:pPr>
        <w:pStyle w:val="2"/>
        <w:spacing w:before="1" w:line="225" w:lineRule="auto"/>
        <w:ind w:left="279"/>
        <w:rPr>
          <w:sz w:val="24"/>
          <w:szCs w:val="24"/>
        </w:rPr>
      </w:pPr>
      <w:r>
        <w:rPr>
          <w:b/>
          <w:bCs/>
          <w:spacing w:val="-1"/>
          <w:sz w:val="24"/>
          <w:szCs w:val="24"/>
        </w:rPr>
        <w:t>表</w:t>
      </w:r>
      <w:r>
        <w:rPr>
          <w:spacing w:val="-40"/>
          <w:sz w:val="24"/>
          <w:szCs w:val="24"/>
        </w:rPr>
        <w:t xml:space="preserve"> </w:t>
      </w:r>
      <w:r>
        <w:rPr>
          <w:rFonts w:ascii="Times New Roman" w:hAnsi="Times New Roman" w:eastAsia="Times New Roman" w:cs="Times New Roman"/>
          <w:b/>
          <w:bCs/>
          <w:spacing w:val="-1"/>
          <w:sz w:val="24"/>
          <w:szCs w:val="24"/>
        </w:rPr>
        <w:t xml:space="preserve">5.1.4                        </w:t>
      </w:r>
      <w:r>
        <w:rPr>
          <w:b/>
          <w:bCs/>
          <w:spacing w:val="-1"/>
          <w:sz w:val="24"/>
          <w:szCs w:val="24"/>
        </w:rPr>
        <w:t>曲靖市</w:t>
      </w:r>
      <w:r>
        <w:rPr>
          <w:spacing w:val="-52"/>
          <w:sz w:val="24"/>
          <w:szCs w:val="24"/>
        </w:rPr>
        <w:t xml:space="preserve"> </w:t>
      </w:r>
      <w:r>
        <w:rPr>
          <w:rFonts w:ascii="Times New Roman" w:hAnsi="Times New Roman" w:eastAsia="Times New Roman" w:cs="Times New Roman"/>
          <w:b/>
          <w:bCs/>
          <w:spacing w:val="-1"/>
          <w:sz w:val="24"/>
          <w:szCs w:val="24"/>
        </w:rPr>
        <w:t>2021</w:t>
      </w:r>
      <w:r>
        <w:rPr>
          <w:rFonts w:ascii="Times New Roman" w:hAnsi="Times New Roman" w:eastAsia="Times New Roman" w:cs="Times New Roman"/>
          <w:b/>
          <w:bCs/>
          <w:spacing w:val="10"/>
          <w:sz w:val="24"/>
          <w:szCs w:val="24"/>
        </w:rPr>
        <w:t xml:space="preserve"> </w:t>
      </w:r>
      <w:r>
        <w:rPr>
          <w:b/>
          <w:bCs/>
          <w:spacing w:val="-1"/>
          <w:sz w:val="24"/>
          <w:szCs w:val="24"/>
        </w:rPr>
        <w:t>年化肥减量增效指导性任务</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8"/>
        <w:gridCol w:w="1365"/>
        <w:gridCol w:w="1365"/>
        <w:gridCol w:w="1367"/>
        <w:gridCol w:w="1408"/>
      </w:tblGrid>
      <w:tr w14:paraId="6EAC3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968" w:type="dxa"/>
            <w:vMerge w:val="restart"/>
            <w:tcBorders>
              <w:top w:val="single" w:color="000000" w:sz="12" w:space="0"/>
              <w:left w:val="single" w:color="000000" w:sz="12" w:space="0"/>
              <w:bottom w:val="nil"/>
            </w:tcBorders>
            <w:vAlign w:val="top"/>
          </w:tcPr>
          <w:p w14:paraId="36F4D52C">
            <w:pPr>
              <w:spacing w:line="57" w:lineRule="exact"/>
            </w:pPr>
            <w:r>
              <w:rPr>
                <w:position w:val="-1"/>
              </w:rPr>
              <w:pict>
                <v:shape id="_x0000_s1105" o:spid="_x0000_s1105" style="height:2.9pt;width:147.1pt;" fillcolor="#FFFFFF" filled="t" stroked="f" coordsize="2942,58" path="m0,57l2941,57,2941,0,0,0,0,57xe">
                  <v:path/>
                  <v:fill on="t" focussize="0,0"/>
                  <v:stroke on="f"/>
                  <v:imagedata o:title=""/>
                  <o:lock v:ext="edit"/>
                  <w10:wrap type="none"/>
                  <w10:anchorlock/>
                </v:shape>
              </w:pict>
            </w:r>
          </w:p>
          <w:p w14:paraId="4FCEE884">
            <w:pPr>
              <w:spacing w:before="230" w:line="220" w:lineRule="auto"/>
              <w:ind w:left="1265"/>
              <w:rPr>
                <w:rFonts w:ascii="宋体" w:hAnsi="宋体" w:eastAsia="宋体" w:cs="宋体"/>
                <w:sz w:val="21"/>
                <w:szCs w:val="21"/>
              </w:rPr>
            </w:pPr>
            <w:r>
              <w:rPr>
                <w:rFonts w:ascii="宋体" w:hAnsi="宋体" w:eastAsia="宋体" w:cs="宋体"/>
                <w:spacing w:val="-3"/>
                <w:sz w:val="21"/>
                <w:szCs w:val="21"/>
              </w:rPr>
              <w:t>指标</w:t>
            </w:r>
          </w:p>
          <w:p w14:paraId="6B7949F9">
            <w:pPr>
              <w:spacing w:before="191" w:line="48" w:lineRule="exact"/>
            </w:pPr>
            <w:r>
              <w:rPr>
                <w:position w:val="-1"/>
              </w:rPr>
              <w:pict>
                <v:shape id="_x0000_s1106" o:spid="_x0000_s1106" style="height:2.9pt;width:148.15pt;" fillcolor="#FFFFFF" filled="t" stroked="f" coordsize="2962,58" path="m0,57l2962,57,2962,0,0,0,0,57xe">
                  <v:path/>
                  <v:fill on="t" focussize="0,0"/>
                  <v:stroke on="f"/>
                  <v:imagedata o:title=""/>
                  <o:lock v:ext="edit"/>
                  <w10:wrap type="none"/>
                  <w10:anchorlock/>
                </v:shape>
              </w:pict>
            </w:r>
          </w:p>
        </w:tc>
        <w:tc>
          <w:tcPr>
            <w:tcW w:w="4097" w:type="dxa"/>
            <w:gridSpan w:val="3"/>
            <w:tcBorders>
              <w:top w:val="single" w:color="000000" w:sz="12" w:space="0"/>
            </w:tcBorders>
            <w:vAlign w:val="top"/>
          </w:tcPr>
          <w:p w14:paraId="4C31E80B">
            <w:pPr>
              <w:spacing w:line="57" w:lineRule="exact"/>
              <w:ind w:firstLine="13"/>
            </w:pPr>
            <w:r>
              <w:rPr>
                <w:position w:val="-1"/>
              </w:rPr>
              <w:pict>
                <v:shape id="_x0000_s1107" o:spid="_x0000_s1107" style="height:2.9pt;width:204.15pt;" fillcolor="#FFFFFF" filled="t" stroked="f" coordsize="4082,58" path="m0,57l4082,57,4082,0,0,0,0,57xe">
                  <v:path/>
                  <v:fill on="t" focussize="0,0"/>
                  <v:stroke on="f"/>
                  <v:imagedata o:title=""/>
                  <o:lock v:ext="edit"/>
                  <w10:wrap type="none"/>
                  <w10:anchorlock/>
                </v:shape>
              </w:pict>
            </w:r>
          </w:p>
          <w:p w14:paraId="70203618">
            <w:pPr>
              <w:spacing w:before="30" w:line="212" w:lineRule="auto"/>
              <w:ind w:left="1741"/>
              <w:rPr>
                <w:rFonts w:ascii="宋体" w:hAnsi="宋体" w:eastAsia="宋体" w:cs="宋体"/>
                <w:sz w:val="21"/>
                <w:szCs w:val="21"/>
              </w:rPr>
            </w:pPr>
            <w:r>
              <w:rPr>
                <w:rFonts w:ascii="宋体" w:hAnsi="宋体" w:eastAsia="宋体" w:cs="宋体"/>
                <w:spacing w:val="-3"/>
                <w:sz w:val="21"/>
                <w:szCs w:val="21"/>
              </w:rPr>
              <w:t>受水区</w:t>
            </w:r>
          </w:p>
          <w:p w14:paraId="26F881E8">
            <w:pPr>
              <w:spacing w:line="51" w:lineRule="exact"/>
            </w:pPr>
            <w:r>
              <w:rPr>
                <w:position w:val="-1"/>
              </w:rPr>
              <w:pict>
                <v:shape id="_x0000_s1108" o:spid="_x0000_s1108" style="height:2.9pt;width:205.6pt;" fillcolor="#FFFFFF" filled="t" stroked="f" coordsize="4112,58" path="m0,57l4111,57,4111,0,0,0,0,57xe">
                  <v:path/>
                  <v:fill on="t" focussize="0,0"/>
                  <v:stroke on="f"/>
                  <v:imagedata o:title=""/>
                  <o:lock v:ext="edit"/>
                  <w10:wrap type="none"/>
                  <w10:anchorlock/>
                </v:shape>
              </w:pict>
            </w:r>
          </w:p>
        </w:tc>
        <w:tc>
          <w:tcPr>
            <w:tcW w:w="1408" w:type="dxa"/>
            <w:tcBorders>
              <w:top w:val="single" w:color="000000" w:sz="12" w:space="0"/>
              <w:right w:val="single" w:color="000000" w:sz="12" w:space="0"/>
            </w:tcBorders>
            <w:vAlign w:val="top"/>
          </w:tcPr>
          <w:p w14:paraId="31196579">
            <w:pPr>
              <w:spacing w:line="57" w:lineRule="exact"/>
              <w:ind w:firstLine="28"/>
            </w:pPr>
            <w:r>
              <w:rPr>
                <w:position w:val="-1"/>
              </w:rPr>
              <w:pict>
                <v:shape id="_x0000_s1109" o:spid="_x0000_s1109" style="height:2.9pt;width:68.05pt;" fillcolor="#FFFFFF" filled="t" stroked="f" coordsize="1361,58" path="m0,57l1360,57,1360,0,0,0,0,57xe">
                  <v:path/>
                  <v:fill on="t" focussize="0,0"/>
                  <v:stroke on="f"/>
                  <v:imagedata o:title=""/>
                  <o:lock v:ext="edit"/>
                  <w10:wrap type="none"/>
                  <w10:anchorlock/>
                </v:shape>
              </w:pict>
            </w:r>
          </w:p>
          <w:p w14:paraId="20846A64">
            <w:pPr>
              <w:spacing w:before="30" w:line="212" w:lineRule="auto"/>
              <w:ind w:left="400"/>
              <w:rPr>
                <w:rFonts w:ascii="宋体" w:hAnsi="宋体" w:eastAsia="宋体" w:cs="宋体"/>
                <w:sz w:val="21"/>
                <w:szCs w:val="21"/>
              </w:rPr>
            </w:pPr>
            <w:r>
              <w:rPr>
                <w:rFonts w:ascii="宋体" w:hAnsi="宋体" w:eastAsia="宋体" w:cs="宋体"/>
                <w:spacing w:val="-3"/>
                <w:sz w:val="21"/>
                <w:szCs w:val="21"/>
              </w:rPr>
              <w:t>水源区</w:t>
            </w:r>
          </w:p>
          <w:p w14:paraId="3AA6B285">
            <w:pPr>
              <w:spacing w:line="51" w:lineRule="exact"/>
              <w:ind w:firstLine="5"/>
            </w:pPr>
            <w:r>
              <w:rPr>
                <w:position w:val="-1"/>
              </w:rPr>
              <w:pict>
                <v:shape id="_x0000_s1110" o:spid="_x0000_s1110" style="height:2.9pt;width:70pt;" fillcolor="#FFFFFF" filled="t" stroked="f" coordsize="1400,58" path="m0,57l1399,57,1399,0,0,0,0,57xe">
                  <v:path/>
                  <v:fill on="t" focussize="0,0"/>
                  <v:stroke on="f"/>
                  <v:imagedata o:title=""/>
                  <o:lock v:ext="edit"/>
                  <w10:wrap type="none"/>
                  <w10:anchorlock/>
                </v:shape>
              </w:pict>
            </w:r>
          </w:p>
        </w:tc>
      </w:tr>
      <w:tr w14:paraId="2BA71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968" w:type="dxa"/>
            <w:vMerge w:val="continue"/>
            <w:tcBorders>
              <w:top w:val="nil"/>
              <w:left w:val="single" w:color="000000" w:sz="12" w:space="0"/>
            </w:tcBorders>
            <w:vAlign w:val="top"/>
          </w:tcPr>
          <w:p w14:paraId="13C50F69">
            <w:pPr>
              <w:rPr>
                <w:rFonts w:ascii="Arial"/>
                <w:sz w:val="21"/>
              </w:rPr>
            </w:pPr>
          </w:p>
        </w:tc>
        <w:tc>
          <w:tcPr>
            <w:tcW w:w="1365" w:type="dxa"/>
            <w:vAlign w:val="top"/>
          </w:tcPr>
          <w:p w14:paraId="715A7A78">
            <w:pPr>
              <w:spacing w:line="58" w:lineRule="exact"/>
            </w:pPr>
            <w:r>
              <w:rPr>
                <w:position w:val="-1"/>
              </w:rPr>
              <w:pict>
                <v:shape id="_x0000_s1111" o:spid="_x0000_s1111" style="height:2.9pt;width:67.8pt;" fillcolor="#FFFFFF" filled="t" stroked="f" coordsize="1356,58" path="m0,57l1355,57,1355,0,0,0,0,57xe">
                  <v:path/>
                  <v:fill on="t" focussize="0,0"/>
                  <v:stroke on="f"/>
                  <v:imagedata o:title=""/>
                  <o:lock v:ext="edit"/>
                  <w10:wrap type="none"/>
                  <w10:anchorlock/>
                </v:shape>
              </w:pict>
            </w:r>
          </w:p>
          <w:p w14:paraId="72CE7E37">
            <w:pPr>
              <w:spacing w:before="31" w:line="211" w:lineRule="auto"/>
              <w:ind w:left="366"/>
              <w:rPr>
                <w:rFonts w:ascii="宋体" w:hAnsi="宋体" w:eastAsia="宋体" w:cs="宋体"/>
                <w:sz w:val="21"/>
                <w:szCs w:val="21"/>
              </w:rPr>
            </w:pPr>
            <w:r>
              <w:rPr>
                <w:rFonts w:ascii="宋体" w:hAnsi="宋体" w:eastAsia="宋体" w:cs="宋体"/>
                <w:spacing w:val="-2"/>
                <w:sz w:val="21"/>
                <w:szCs w:val="21"/>
              </w:rPr>
              <w:t>麒麟区</w:t>
            </w:r>
          </w:p>
          <w:p w14:paraId="56EFC43C">
            <w:pPr>
              <w:spacing w:line="48" w:lineRule="exact"/>
            </w:pPr>
            <w:r>
              <w:rPr>
                <w:position w:val="-1"/>
              </w:rPr>
              <w:pict>
                <v:shape id="_x0000_s1112" o:spid="_x0000_s111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796C582A">
            <w:pPr>
              <w:spacing w:line="58" w:lineRule="exact"/>
              <w:ind w:firstLine="2"/>
            </w:pPr>
            <w:r>
              <w:rPr>
                <w:position w:val="-1"/>
              </w:rPr>
              <w:pict>
                <v:shape id="_x0000_s1113" o:spid="_x0000_s1113" style="height:2.9pt;width:67.8pt;" fillcolor="#FFFFFF" filled="t" stroked="f" coordsize="1356,58" path="m0,57l1355,57,1355,0,0,0,0,57xe">
                  <v:path/>
                  <v:fill on="t" focussize="0,0"/>
                  <v:stroke on="f"/>
                  <v:imagedata o:title=""/>
                  <o:lock v:ext="edit"/>
                  <w10:wrap type="none"/>
                  <w10:anchorlock/>
                </v:shape>
              </w:pict>
            </w:r>
          </w:p>
          <w:p w14:paraId="625D398F">
            <w:pPr>
              <w:spacing w:before="31" w:line="211" w:lineRule="auto"/>
              <w:ind w:left="377"/>
              <w:rPr>
                <w:rFonts w:ascii="宋体" w:hAnsi="宋体" w:eastAsia="宋体" w:cs="宋体"/>
                <w:sz w:val="21"/>
                <w:szCs w:val="21"/>
              </w:rPr>
            </w:pPr>
            <w:r>
              <w:rPr>
                <w:rFonts w:ascii="宋体" w:hAnsi="宋体" w:eastAsia="宋体" w:cs="宋体"/>
                <w:spacing w:val="-3"/>
                <w:sz w:val="21"/>
                <w:szCs w:val="21"/>
              </w:rPr>
              <w:t>沾益区</w:t>
            </w:r>
          </w:p>
          <w:p w14:paraId="43AB7141">
            <w:pPr>
              <w:spacing w:line="48" w:lineRule="exact"/>
            </w:pPr>
            <w:r>
              <w:rPr>
                <w:position w:val="-1"/>
              </w:rPr>
              <w:pict>
                <v:shape id="_x0000_s1114" o:spid="_x0000_s111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5F7C472C">
            <w:pPr>
              <w:spacing w:line="58" w:lineRule="exact"/>
              <w:ind w:firstLine="7"/>
            </w:pPr>
            <w:r>
              <w:rPr>
                <w:position w:val="-1"/>
              </w:rPr>
              <w:pict>
                <v:shape id="_x0000_s1115" o:spid="_x0000_s1115" style="height:2.9pt;width:67.9pt;" fillcolor="#FFFFFF" filled="t" stroked="f" coordsize="1358,58" path="m0,57l1357,57,1357,0,0,0,0,57xe">
                  <v:path/>
                  <v:fill on="t" focussize="0,0"/>
                  <v:stroke on="f"/>
                  <v:imagedata o:title=""/>
                  <o:lock v:ext="edit"/>
                  <w10:wrap type="none"/>
                  <w10:anchorlock/>
                </v:shape>
              </w:pict>
            </w:r>
          </w:p>
          <w:p w14:paraId="19E20D37">
            <w:pPr>
              <w:spacing w:before="31" w:line="211" w:lineRule="auto"/>
              <w:ind w:left="390"/>
              <w:rPr>
                <w:rFonts w:ascii="宋体" w:hAnsi="宋体" w:eastAsia="宋体" w:cs="宋体"/>
                <w:sz w:val="21"/>
                <w:szCs w:val="21"/>
              </w:rPr>
            </w:pPr>
            <w:r>
              <w:rPr>
                <w:rFonts w:ascii="宋体" w:hAnsi="宋体" w:eastAsia="宋体" w:cs="宋体"/>
                <w:spacing w:val="-5"/>
                <w:sz w:val="21"/>
                <w:szCs w:val="21"/>
              </w:rPr>
              <w:t>陆良县</w:t>
            </w:r>
          </w:p>
          <w:p w14:paraId="7C0E1899">
            <w:pPr>
              <w:spacing w:line="48" w:lineRule="exact"/>
            </w:pPr>
            <w:r>
              <w:rPr>
                <w:position w:val="-1"/>
              </w:rPr>
              <w:pict>
                <v:shape id="_x0000_s1116" o:spid="_x0000_s111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52E158BB">
            <w:pPr>
              <w:spacing w:line="58" w:lineRule="exact"/>
              <w:ind w:firstLine="12"/>
            </w:pPr>
            <w:r>
              <w:rPr>
                <w:position w:val="-1"/>
              </w:rPr>
              <w:pict>
                <v:shape id="_x0000_s1117" o:spid="_x0000_s1117" style="height:2.9pt;width:68.85pt;" fillcolor="#FFFFFF" filled="t" stroked="f" coordsize="1376,58" path="m0,57l1376,57,1376,0,0,0,0,57xe">
                  <v:path/>
                  <v:fill on="t" focussize="0,0"/>
                  <v:stroke on="f"/>
                  <v:imagedata o:title=""/>
                  <o:lock v:ext="edit"/>
                  <w10:wrap type="none"/>
                  <w10:anchorlock/>
                </v:shape>
              </w:pict>
            </w:r>
          </w:p>
          <w:p w14:paraId="07DE318E">
            <w:pPr>
              <w:spacing w:before="31" w:line="211" w:lineRule="auto"/>
              <w:ind w:left="404"/>
              <w:rPr>
                <w:rFonts w:ascii="宋体" w:hAnsi="宋体" w:eastAsia="宋体" w:cs="宋体"/>
                <w:sz w:val="21"/>
                <w:szCs w:val="21"/>
              </w:rPr>
            </w:pPr>
            <w:r>
              <w:rPr>
                <w:rFonts w:ascii="宋体" w:hAnsi="宋体" w:eastAsia="宋体" w:cs="宋体"/>
                <w:spacing w:val="-5"/>
                <w:sz w:val="21"/>
                <w:szCs w:val="21"/>
              </w:rPr>
              <w:t>马龙区</w:t>
            </w:r>
          </w:p>
          <w:p w14:paraId="67CFAF89">
            <w:pPr>
              <w:spacing w:line="48" w:lineRule="exact"/>
              <w:ind w:firstLine="5"/>
            </w:pPr>
            <w:r>
              <w:rPr>
                <w:position w:val="-1"/>
              </w:rPr>
              <w:pict>
                <v:shape id="_x0000_s1118" o:spid="_x0000_s1118" style="height:2.9pt;width:70pt;" fillcolor="#FFFFFF" filled="t" stroked="f" coordsize="1400,58" path="m0,57l1399,57,1399,0,0,0,0,57xe">
                  <v:path/>
                  <v:fill on="t" focussize="0,0"/>
                  <v:stroke on="f"/>
                  <v:imagedata o:title=""/>
                  <o:lock v:ext="edit"/>
                  <w10:wrap type="none"/>
                  <w10:anchorlock/>
                </v:shape>
              </w:pict>
            </w:r>
          </w:p>
        </w:tc>
      </w:tr>
      <w:tr w14:paraId="12194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2968" w:type="dxa"/>
            <w:tcBorders>
              <w:left w:val="single" w:color="000000" w:sz="12" w:space="0"/>
            </w:tcBorders>
            <w:vAlign w:val="top"/>
          </w:tcPr>
          <w:p w14:paraId="2F537423">
            <w:pPr>
              <w:spacing w:before="3" w:line="58" w:lineRule="exact"/>
            </w:pPr>
            <w:r>
              <w:rPr>
                <w:position w:val="-1"/>
              </w:rPr>
              <w:pict>
                <v:shape id="_x0000_s1119" o:spid="_x0000_s1119" style="height:2.9pt;width:147.1pt;" fillcolor="#FFFFFF" filled="t" stroked="f" coordsize="2942,58" path="m0,57l2941,57,2941,0,0,0,0,57xe">
                  <v:path/>
                  <v:fill on="t" focussize="0,0"/>
                  <v:stroke on="f"/>
                  <v:imagedata o:title=""/>
                  <o:lock v:ext="edit"/>
                  <w10:wrap type="none"/>
                  <w10:anchorlock/>
                </v:shape>
              </w:pict>
            </w:r>
          </w:p>
          <w:p w14:paraId="3F265781">
            <w:pPr>
              <w:spacing w:before="31" w:line="212" w:lineRule="auto"/>
              <w:ind w:left="424"/>
              <w:rPr>
                <w:rFonts w:ascii="宋体" w:hAnsi="宋体" w:eastAsia="宋体" w:cs="宋体"/>
                <w:sz w:val="21"/>
                <w:szCs w:val="21"/>
              </w:rPr>
            </w:pPr>
            <w:r>
              <w:rPr>
                <w:rFonts w:ascii="宋体" w:hAnsi="宋体" w:eastAsia="宋体" w:cs="宋体"/>
                <w:spacing w:val="-3"/>
                <w:sz w:val="21"/>
                <w:szCs w:val="21"/>
              </w:rPr>
              <w:t>测土配方施肥（万亩）</w:t>
            </w:r>
          </w:p>
          <w:p w14:paraId="5A7CAD00">
            <w:pPr>
              <w:spacing w:line="45" w:lineRule="exact"/>
            </w:pPr>
            <w:r>
              <w:rPr>
                <w:position w:val="-2"/>
              </w:rPr>
              <w:pict>
                <v:shape id="_x0000_s1120" o:spid="_x0000_s1120" style="height:2.9pt;width:148.15pt;" fillcolor="#FFFFFF" filled="t" stroked="f" coordsize="2962,58" path="m0,57l2962,57,2962,0,0,0,0,57xe">
                  <v:path/>
                  <v:fill on="t" focussize="0,0"/>
                  <v:stroke on="f"/>
                  <v:imagedata o:title=""/>
                  <o:lock v:ext="edit"/>
                  <w10:wrap type="none"/>
                  <w10:anchorlock/>
                </v:shape>
              </w:pict>
            </w:r>
          </w:p>
        </w:tc>
        <w:tc>
          <w:tcPr>
            <w:tcW w:w="1365" w:type="dxa"/>
            <w:vAlign w:val="top"/>
          </w:tcPr>
          <w:p w14:paraId="7D0F8CB2">
            <w:pPr>
              <w:spacing w:before="3" w:line="58" w:lineRule="exact"/>
            </w:pPr>
            <w:r>
              <w:rPr>
                <w:position w:val="-1"/>
              </w:rPr>
              <w:pict>
                <v:shape id="_x0000_s1121" o:spid="_x0000_s1121" style="height:2.9pt;width:67.8pt;" fillcolor="#FFFFFF" filled="t" stroked="f" coordsize="1356,58" path="m0,57l1355,57,1355,0,0,0,0,57xe">
                  <v:path/>
                  <v:fill on="t" focussize="0,0"/>
                  <v:stroke on="f"/>
                  <v:imagedata o:title=""/>
                  <o:lock v:ext="edit"/>
                  <w10:wrap type="none"/>
                  <w10:anchorlock/>
                </v:shape>
              </w:pict>
            </w:r>
          </w:p>
          <w:p w14:paraId="7ADDD256">
            <w:pPr>
              <w:pStyle w:val="6"/>
              <w:spacing w:before="64" w:line="207" w:lineRule="auto"/>
              <w:ind w:left="440"/>
            </w:pPr>
            <w:r>
              <w:rPr>
                <w:spacing w:val="-1"/>
              </w:rPr>
              <w:t>45.00</w:t>
            </w:r>
          </w:p>
          <w:p w14:paraId="78EB2F10">
            <w:pPr>
              <w:spacing w:line="45" w:lineRule="exact"/>
            </w:pPr>
            <w:r>
              <w:rPr>
                <w:position w:val="-2"/>
              </w:rPr>
              <w:pict>
                <v:shape id="_x0000_s1122" o:spid="_x0000_s112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759DB5A7">
            <w:pPr>
              <w:spacing w:before="3" w:line="58" w:lineRule="exact"/>
              <w:ind w:firstLine="2"/>
            </w:pPr>
            <w:r>
              <w:rPr>
                <w:position w:val="-1"/>
              </w:rPr>
              <w:pict>
                <v:shape id="_x0000_s1123" o:spid="_x0000_s1123" style="height:2.9pt;width:67.8pt;" fillcolor="#FFFFFF" filled="t" stroked="f" coordsize="1356,58" path="m0,57l1355,57,1355,0,0,0,0,57xe">
                  <v:path/>
                  <v:fill on="t" focussize="0,0"/>
                  <v:stroke on="f"/>
                  <v:imagedata o:title=""/>
                  <o:lock v:ext="edit"/>
                  <w10:wrap type="none"/>
                  <w10:anchorlock/>
                </v:shape>
              </w:pict>
            </w:r>
          </w:p>
          <w:p w14:paraId="417C604F">
            <w:pPr>
              <w:pStyle w:val="6"/>
              <w:spacing w:before="64" w:line="207" w:lineRule="auto"/>
              <w:ind w:left="451"/>
            </w:pPr>
            <w:r>
              <w:rPr>
                <w:spacing w:val="-2"/>
              </w:rPr>
              <w:t>67.00</w:t>
            </w:r>
          </w:p>
          <w:p w14:paraId="2C63071F">
            <w:pPr>
              <w:spacing w:line="45" w:lineRule="exact"/>
            </w:pPr>
            <w:r>
              <w:rPr>
                <w:position w:val="-2"/>
              </w:rPr>
              <w:pict>
                <v:shape id="_x0000_s1124" o:spid="_x0000_s112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58F41E5B">
            <w:pPr>
              <w:spacing w:before="3" w:line="58" w:lineRule="exact"/>
              <w:ind w:firstLine="7"/>
            </w:pPr>
            <w:r>
              <w:rPr>
                <w:position w:val="-1"/>
              </w:rPr>
              <w:pict>
                <v:shape id="_x0000_s1125" o:spid="_x0000_s1125" style="height:2.9pt;width:67.9pt;" fillcolor="#FFFFFF" filled="t" stroked="f" coordsize="1358,58" path="m0,57l1357,57,1357,0,0,0,0,57xe">
                  <v:path/>
                  <v:fill on="t" focussize="0,0"/>
                  <v:stroke on="f"/>
                  <v:imagedata o:title=""/>
                  <o:lock v:ext="edit"/>
                  <w10:wrap type="none"/>
                  <w10:anchorlock/>
                </v:shape>
              </w:pict>
            </w:r>
          </w:p>
          <w:p w14:paraId="7FAF9023">
            <w:pPr>
              <w:pStyle w:val="6"/>
              <w:spacing w:before="64" w:line="207" w:lineRule="auto"/>
              <w:ind w:left="456"/>
            </w:pPr>
            <w:r>
              <w:rPr>
                <w:spacing w:val="-2"/>
              </w:rPr>
              <w:t>70.00</w:t>
            </w:r>
          </w:p>
          <w:p w14:paraId="49F6C078">
            <w:pPr>
              <w:spacing w:line="45" w:lineRule="exact"/>
            </w:pPr>
            <w:r>
              <w:rPr>
                <w:position w:val="-2"/>
              </w:rPr>
              <w:pict>
                <v:shape id="_x0000_s1126" o:spid="_x0000_s112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17D0EEFC">
            <w:pPr>
              <w:spacing w:before="3" w:line="58" w:lineRule="exact"/>
              <w:ind w:firstLine="12"/>
            </w:pPr>
            <w:r>
              <w:rPr>
                <w:position w:val="-1"/>
              </w:rPr>
              <w:pict>
                <v:shape id="_x0000_s1127" o:spid="_x0000_s1127" style="height:2.9pt;width:68.85pt;" fillcolor="#FFFFFF" filled="t" stroked="f" coordsize="1376,58" path="m0,57l1376,57,1376,0,0,0,0,57xe">
                  <v:path/>
                  <v:fill on="t" focussize="0,0"/>
                  <v:stroke on="f"/>
                  <v:imagedata o:title=""/>
                  <o:lock v:ext="edit"/>
                  <w10:wrap type="none"/>
                  <w10:anchorlock/>
                </v:shape>
              </w:pict>
            </w:r>
          </w:p>
          <w:p w14:paraId="0DA40C65">
            <w:pPr>
              <w:pStyle w:val="6"/>
              <w:spacing w:before="49" w:line="222" w:lineRule="auto"/>
              <w:ind w:left="470"/>
            </w:pPr>
            <w:r>
              <w:rPr>
                <w:spacing w:val="-1"/>
              </w:rPr>
              <w:t>44.00</w:t>
            </w:r>
          </w:p>
          <w:p w14:paraId="38787A31">
            <w:pPr>
              <w:spacing w:line="45" w:lineRule="exact"/>
              <w:ind w:firstLine="5"/>
            </w:pPr>
            <w:r>
              <w:rPr>
                <w:position w:val="-2"/>
              </w:rPr>
              <w:pict>
                <v:shape id="_x0000_s1128" o:spid="_x0000_s1128" style="height:2.9pt;width:70pt;" fillcolor="#FFFFFF" filled="t" stroked="f" coordsize="1400,58" path="m0,57l1399,57,1399,0,0,0,0,57xe">
                  <v:path/>
                  <v:fill on="t" focussize="0,0"/>
                  <v:stroke on="f"/>
                  <v:imagedata o:title=""/>
                  <o:lock v:ext="edit"/>
                  <w10:wrap type="none"/>
                  <w10:anchorlock/>
                </v:shape>
              </w:pict>
            </w:r>
          </w:p>
        </w:tc>
      </w:tr>
      <w:tr w14:paraId="7D538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968" w:type="dxa"/>
            <w:tcBorders>
              <w:left w:val="single" w:color="000000" w:sz="12" w:space="0"/>
            </w:tcBorders>
            <w:vAlign w:val="top"/>
          </w:tcPr>
          <w:p w14:paraId="1FA0E775">
            <w:pPr>
              <w:spacing w:before="6" w:line="58" w:lineRule="exact"/>
            </w:pPr>
            <w:r>
              <w:rPr>
                <w:position w:val="-1"/>
              </w:rPr>
              <w:pict>
                <v:shape id="_x0000_s1129" o:spid="_x0000_s1129" style="height:2.9pt;width:147.1pt;" fillcolor="#FFFFFF" filled="t" stroked="f" coordsize="2942,58" path="m0,57l2941,57,2941,0,0,0,0,57xe">
                  <v:path/>
                  <v:fill on="t" focussize="0,0"/>
                  <v:stroke on="f"/>
                  <v:imagedata o:title=""/>
                  <o:lock v:ext="edit"/>
                  <w10:wrap type="none"/>
                  <w10:anchorlock/>
                </v:shape>
              </w:pict>
            </w:r>
          </w:p>
          <w:p w14:paraId="14479EDE">
            <w:pPr>
              <w:spacing w:before="30" w:line="212" w:lineRule="auto"/>
              <w:ind w:left="635"/>
              <w:rPr>
                <w:rFonts w:ascii="宋体" w:hAnsi="宋体" w:eastAsia="宋体" w:cs="宋体"/>
                <w:sz w:val="21"/>
                <w:szCs w:val="21"/>
              </w:rPr>
            </w:pPr>
            <w:r>
              <w:rPr>
                <w:rFonts w:ascii="宋体" w:hAnsi="宋体" w:eastAsia="宋体" w:cs="宋体"/>
                <w:spacing w:val="-3"/>
                <w:sz w:val="21"/>
                <w:szCs w:val="21"/>
              </w:rPr>
              <w:t>绿肥种植（万亩）</w:t>
            </w:r>
          </w:p>
          <w:p w14:paraId="32D8FBF8">
            <w:pPr>
              <w:spacing w:line="42" w:lineRule="exact"/>
            </w:pPr>
            <w:r>
              <w:rPr>
                <w:position w:val="-2"/>
              </w:rPr>
              <w:pict>
                <v:shape id="_x0000_s1130" o:spid="_x0000_s1130" style="height:2.9pt;width:148.15pt;" fillcolor="#FFFFFF" filled="t" stroked="f" coordsize="2962,58" path="m0,57l2962,57,2962,0,0,0,0,57xe">
                  <v:path/>
                  <v:fill on="t" focussize="0,0"/>
                  <v:stroke on="f"/>
                  <v:imagedata o:title=""/>
                  <o:lock v:ext="edit"/>
                  <w10:wrap type="none"/>
                  <w10:anchorlock/>
                </v:shape>
              </w:pict>
            </w:r>
          </w:p>
        </w:tc>
        <w:tc>
          <w:tcPr>
            <w:tcW w:w="1365" w:type="dxa"/>
            <w:vAlign w:val="top"/>
          </w:tcPr>
          <w:p w14:paraId="2099581D">
            <w:pPr>
              <w:spacing w:before="6" w:line="58" w:lineRule="exact"/>
            </w:pPr>
            <w:r>
              <w:rPr>
                <w:position w:val="-1"/>
              </w:rPr>
              <w:pict>
                <v:shape id="_x0000_s1131" o:spid="_x0000_s1131" style="height:2.9pt;width:67.8pt;" fillcolor="#FFFFFF" filled="t" stroked="f" coordsize="1356,58" path="m0,57l1355,57,1355,0,0,0,0,57xe">
                  <v:path/>
                  <v:fill on="t" focussize="0,0"/>
                  <v:stroke on="f"/>
                  <v:imagedata o:title=""/>
                  <o:lock v:ext="edit"/>
                  <w10:wrap type="none"/>
                  <w10:anchorlock/>
                </v:shape>
              </w:pict>
            </w:r>
          </w:p>
          <w:p w14:paraId="26572E98">
            <w:pPr>
              <w:pStyle w:val="6"/>
              <w:spacing w:before="62" w:line="207" w:lineRule="auto"/>
              <w:ind w:left="461"/>
            </w:pPr>
            <w:r>
              <w:rPr>
                <w:spacing w:val="-5"/>
              </w:rPr>
              <w:t>10.00</w:t>
            </w:r>
          </w:p>
          <w:p w14:paraId="7C1EC2F1">
            <w:pPr>
              <w:spacing w:line="42" w:lineRule="exact"/>
            </w:pPr>
            <w:r>
              <w:rPr>
                <w:position w:val="-2"/>
              </w:rPr>
              <w:pict>
                <v:shape id="_x0000_s1132" o:spid="_x0000_s113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352D390E">
            <w:pPr>
              <w:spacing w:before="6" w:line="58" w:lineRule="exact"/>
              <w:ind w:firstLine="2"/>
            </w:pPr>
            <w:r>
              <w:rPr>
                <w:position w:val="-1"/>
              </w:rPr>
              <w:pict>
                <v:shape id="_x0000_s1133" o:spid="_x0000_s1133" style="height:2.9pt;width:67.8pt;" fillcolor="#FFFFFF" filled="t" stroked="f" coordsize="1356,58" path="m0,57l1355,57,1355,0,0,0,0,57xe">
                  <v:path/>
                  <v:fill on="t" focussize="0,0"/>
                  <v:stroke on="f"/>
                  <v:imagedata o:title=""/>
                  <o:lock v:ext="edit"/>
                  <w10:wrap type="none"/>
                  <w10:anchorlock/>
                </v:shape>
              </w:pict>
            </w:r>
          </w:p>
          <w:p w14:paraId="368F3CF5">
            <w:pPr>
              <w:pStyle w:val="6"/>
              <w:spacing w:before="62" w:line="207" w:lineRule="auto"/>
              <w:ind w:left="467"/>
            </w:pPr>
            <w:r>
              <w:rPr>
                <w:spacing w:val="-5"/>
              </w:rPr>
              <w:t>16.00</w:t>
            </w:r>
          </w:p>
          <w:p w14:paraId="534DF521">
            <w:pPr>
              <w:spacing w:line="42" w:lineRule="exact"/>
            </w:pPr>
            <w:r>
              <w:rPr>
                <w:position w:val="-2"/>
              </w:rPr>
              <w:pict>
                <v:shape id="_x0000_s1134" o:spid="_x0000_s113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0CD61EB8">
            <w:pPr>
              <w:spacing w:before="6" w:line="58" w:lineRule="exact"/>
              <w:ind w:firstLine="7"/>
            </w:pPr>
            <w:r>
              <w:rPr>
                <w:position w:val="-1"/>
              </w:rPr>
              <w:pict>
                <v:shape id="_x0000_s1135" o:spid="_x0000_s1135" style="height:2.9pt;width:67.9pt;" fillcolor="#FFFFFF" filled="t" stroked="f" coordsize="1358,58" path="m0,57l1357,57,1357,0,0,0,0,57xe">
                  <v:path/>
                  <v:fill on="t" focussize="0,0"/>
                  <v:stroke on="f"/>
                  <v:imagedata o:title=""/>
                  <o:lock v:ext="edit"/>
                  <w10:wrap type="none"/>
                  <w10:anchorlock/>
                </v:shape>
              </w:pict>
            </w:r>
          </w:p>
          <w:p w14:paraId="5E003BF9">
            <w:pPr>
              <w:pStyle w:val="6"/>
              <w:spacing w:before="62" w:line="207" w:lineRule="auto"/>
              <w:ind w:left="473"/>
            </w:pPr>
            <w:r>
              <w:rPr>
                <w:spacing w:val="-5"/>
              </w:rPr>
              <w:t>14.00</w:t>
            </w:r>
          </w:p>
          <w:p w14:paraId="16B6256B">
            <w:pPr>
              <w:spacing w:line="42" w:lineRule="exact"/>
            </w:pPr>
            <w:r>
              <w:rPr>
                <w:position w:val="-2"/>
              </w:rPr>
              <w:pict>
                <v:shape id="_x0000_s1136" o:spid="_x0000_s113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7E82F173">
            <w:pPr>
              <w:spacing w:before="6" w:line="58" w:lineRule="exact"/>
              <w:ind w:firstLine="12"/>
            </w:pPr>
            <w:r>
              <w:rPr>
                <w:position w:val="-1"/>
              </w:rPr>
              <w:pict>
                <v:shape id="_x0000_s1137" o:spid="_x0000_s1137" style="height:2.9pt;width:68.85pt;" fillcolor="#FFFFFF" filled="t" stroked="f" coordsize="1376,58" path="m0,57l1376,57,1376,0,0,0,0,57xe">
                  <v:path/>
                  <v:fill on="t" focussize="0,0"/>
                  <v:stroke on="f"/>
                  <v:imagedata o:title=""/>
                  <o:lock v:ext="edit"/>
                  <w10:wrap type="none"/>
                  <w10:anchorlock/>
                </v:shape>
              </w:pict>
            </w:r>
          </w:p>
          <w:p w14:paraId="2F405A0D">
            <w:pPr>
              <w:pStyle w:val="6"/>
              <w:spacing w:before="48" w:line="221" w:lineRule="auto"/>
              <w:ind w:left="533"/>
            </w:pPr>
            <w:r>
              <w:rPr>
                <w:spacing w:val="-4"/>
              </w:rPr>
              <w:t>8.00</w:t>
            </w:r>
          </w:p>
          <w:p w14:paraId="7441AAA8">
            <w:pPr>
              <w:spacing w:line="42" w:lineRule="exact"/>
              <w:ind w:firstLine="5"/>
            </w:pPr>
            <w:r>
              <w:rPr>
                <w:position w:val="-2"/>
              </w:rPr>
              <w:pict>
                <v:shape id="_x0000_s1138" o:spid="_x0000_s1138" style="height:2.9pt;width:70pt;" fillcolor="#FFFFFF" filled="t" stroked="f" coordsize="1400,58" path="m0,57l1399,57,1399,0,0,0,0,57xe">
                  <v:path/>
                  <v:fill on="t" focussize="0,0"/>
                  <v:stroke on="f"/>
                  <v:imagedata o:title=""/>
                  <o:lock v:ext="edit"/>
                  <w10:wrap type="none"/>
                  <w10:anchorlock/>
                </v:shape>
              </w:pict>
            </w:r>
          </w:p>
        </w:tc>
      </w:tr>
      <w:tr w14:paraId="471E5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968" w:type="dxa"/>
            <w:tcBorders>
              <w:left w:val="single" w:color="000000" w:sz="12" w:space="0"/>
            </w:tcBorders>
            <w:vAlign w:val="top"/>
          </w:tcPr>
          <w:p w14:paraId="6FCED83E">
            <w:pPr>
              <w:spacing w:before="9" w:line="58" w:lineRule="exact"/>
            </w:pPr>
            <w:r>
              <w:rPr>
                <w:position w:val="-1"/>
              </w:rPr>
              <w:pict>
                <v:shape id="_x0000_s1139" o:spid="_x0000_s1139" style="height:2.9pt;width:147.1pt;" fillcolor="#FFFFFF" filled="t" stroked="f" coordsize="2942,58" path="m0,57l2941,57,2941,0,0,0,0,57xe">
                  <v:path/>
                  <v:fill on="t" focussize="0,0"/>
                  <v:stroke on="f"/>
                  <v:imagedata o:title=""/>
                  <o:lock v:ext="edit"/>
                  <w10:wrap type="none"/>
                  <w10:anchorlock/>
                </v:shape>
              </w:pict>
            </w:r>
          </w:p>
          <w:p w14:paraId="5B2E2C8E">
            <w:pPr>
              <w:spacing w:before="31" w:line="211" w:lineRule="auto"/>
              <w:ind w:left="633"/>
              <w:rPr>
                <w:rFonts w:ascii="宋体" w:hAnsi="宋体" w:eastAsia="宋体" w:cs="宋体"/>
                <w:sz w:val="21"/>
                <w:szCs w:val="21"/>
              </w:rPr>
            </w:pPr>
            <w:r>
              <w:rPr>
                <w:rFonts w:ascii="宋体" w:hAnsi="宋体" w:eastAsia="宋体" w:cs="宋体"/>
                <w:spacing w:val="-3"/>
                <w:sz w:val="21"/>
                <w:szCs w:val="21"/>
              </w:rPr>
              <w:t>秸秆还田（万亩）</w:t>
            </w:r>
          </w:p>
          <w:p w14:paraId="00F6B5F8">
            <w:pPr>
              <w:spacing w:line="39" w:lineRule="exact"/>
            </w:pPr>
            <w:r>
              <w:rPr>
                <w:position w:val="-2"/>
              </w:rPr>
              <w:pict>
                <v:shape id="_x0000_s1140" o:spid="_x0000_s1140" style="height:2.9pt;width:148.15pt;" fillcolor="#FFFFFF" filled="t" stroked="f" coordsize="2962,58" path="m0,57l2962,57,2962,0,0,0,0,57xe">
                  <v:path/>
                  <v:fill on="t" focussize="0,0"/>
                  <v:stroke on="f"/>
                  <v:imagedata o:title=""/>
                  <o:lock v:ext="edit"/>
                  <w10:wrap type="none"/>
                  <w10:anchorlock/>
                </v:shape>
              </w:pict>
            </w:r>
          </w:p>
        </w:tc>
        <w:tc>
          <w:tcPr>
            <w:tcW w:w="1365" w:type="dxa"/>
            <w:vAlign w:val="top"/>
          </w:tcPr>
          <w:p w14:paraId="263F4FC3">
            <w:pPr>
              <w:spacing w:before="9" w:line="58" w:lineRule="exact"/>
            </w:pPr>
            <w:r>
              <w:rPr>
                <w:position w:val="-1"/>
              </w:rPr>
              <w:pict>
                <v:shape id="_x0000_s1141" o:spid="_x0000_s1141" style="height:2.9pt;width:67.8pt;" fillcolor="#FFFFFF" filled="t" stroked="f" coordsize="1356,58" path="m0,57l1355,57,1355,0,0,0,0,57xe">
                  <v:path/>
                  <v:fill on="t" focussize="0,0"/>
                  <v:stroke on="f"/>
                  <v:imagedata o:title=""/>
                  <o:lock v:ext="edit"/>
                  <w10:wrap type="none"/>
                  <w10:anchorlock/>
                </v:shape>
              </w:pict>
            </w:r>
          </w:p>
          <w:p w14:paraId="58EC349F">
            <w:pPr>
              <w:pStyle w:val="6"/>
              <w:spacing w:before="64" w:line="205" w:lineRule="auto"/>
              <w:ind w:left="440"/>
            </w:pPr>
            <w:r>
              <w:rPr>
                <w:spacing w:val="-1"/>
              </w:rPr>
              <w:t>40.20</w:t>
            </w:r>
          </w:p>
          <w:p w14:paraId="36094985">
            <w:pPr>
              <w:spacing w:line="39" w:lineRule="exact"/>
            </w:pPr>
            <w:r>
              <w:rPr>
                <w:position w:val="-2"/>
              </w:rPr>
              <w:pict>
                <v:shape id="_x0000_s1142" o:spid="_x0000_s114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4390C3A1">
            <w:pPr>
              <w:spacing w:before="9" w:line="58" w:lineRule="exact"/>
              <w:ind w:firstLine="2"/>
            </w:pPr>
            <w:r>
              <w:rPr>
                <w:position w:val="-1"/>
              </w:rPr>
              <w:pict>
                <v:shape id="_x0000_s1143" o:spid="_x0000_s1143" style="height:2.9pt;width:67.8pt;" fillcolor="#FFFFFF" filled="t" stroked="f" coordsize="1356,58" path="m0,57l1355,57,1355,0,0,0,0,57xe">
                  <v:path/>
                  <v:fill on="t" focussize="0,0"/>
                  <v:stroke on="f"/>
                  <v:imagedata o:title=""/>
                  <o:lock v:ext="edit"/>
                  <w10:wrap type="none"/>
                  <w10:anchorlock/>
                </v:shape>
              </w:pict>
            </w:r>
          </w:p>
          <w:p w14:paraId="5EE3BD97">
            <w:pPr>
              <w:pStyle w:val="6"/>
              <w:spacing w:before="64" w:line="205" w:lineRule="auto"/>
              <w:ind w:left="452"/>
            </w:pPr>
            <w:r>
              <w:rPr>
                <w:spacing w:val="-2"/>
              </w:rPr>
              <w:t>51.50</w:t>
            </w:r>
          </w:p>
          <w:p w14:paraId="158705FD">
            <w:pPr>
              <w:spacing w:line="39" w:lineRule="exact"/>
            </w:pPr>
            <w:r>
              <w:rPr>
                <w:position w:val="-2"/>
              </w:rPr>
              <w:pict>
                <v:shape id="_x0000_s1144" o:spid="_x0000_s114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78A4AA55">
            <w:pPr>
              <w:spacing w:before="9" w:line="58" w:lineRule="exact"/>
              <w:ind w:firstLine="7"/>
            </w:pPr>
            <w:r>
              <w:rPr>
                <w:position w:val="-1"/>
              </w:rPr>
              <w:pict>
                <v:shape id="_x0000_s1145" o:spid="_x0000_s1145" style="height:2.9pt;width:67.9pt;" fillcolor="#FFFFFF" filled="t" stroked="f" coordsize="1358,58" path="m0,57l1357,57,1357,0,0,0,0,57xe">
                  <v:path/>
                  <v:fill on="t" focussize="0,0"/>
                  <v:stroke on="f"/>
                  <v:imagedata o:title=""/>
                  <o:lock v:ext="edit"/>
                  <w10:wrap type="none"/>
                  <w10:anchorlock/>
                </v:shape>
              </w:pict>
            </w:r>
          </w:p>
          <w:p w14:paraId="674CB3F2">
            <w:pPr>
              <w:pStyle w:val="6"/>
              <w:spacing w:before="64" w:line="205" w:lineRule="auto"/>
              <w:ind w:left="457"/>
            </w:pPr>
            <w:r>
              <w:rPr>
                <w:spacing w:val="-2"/>
              </w:rPr>
              <w:t>37.10</w:t>
            </w:r>
          </w:p>
          <w:p w14:paraId="3A70B489">
            <w:pPr>
              <w:spacing w:line="39" w:lineRule="exact"/>
            </w:pPr>
            <w:r>
              <w:rPr>
                <w:position w:val="-2"/>
              </w:rPr>
              <w:pict>
                <v:shape id="_x0000_s1146" o:spid="_x0000_s114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0B3C55D1">
            <w:pPr>
              <w:spacing w:before="9" w:line="58" w:lineRule="exact"/>
              <w:ind w:firstLine="12"/>
            </w:pPr>
            <w:r>
              <w:rPr>
                <w:position w:val="-1"/>
              </w:rPr>
              <w:pict>
                <v:shape id="_x0000_s1147" o:spid="_x0000_s1147" style="height:2.9pt;width:68.85pt;" fillcolor="#FFFFFF" filled="t" stroked="f" coordsize="1376,58" path="m0,57l1376,57,1376,0,0,0,0,57xe">
                  <v:path/>
                  <v:fill on="t" focussize="0,0"/>
                  <v:stroke on="f"/>
                  <v:imagedata o:title=""/>
                  <o:lock v:ext="edit"/>
                  <w10:wrap type="none"/>
                  <w10:anchorlock/>
                </v:shape>
              </w:pict>
            </w:r>
          </w:p>
          <w:p w14:paraId="348E123E">
            <w:pPr>
              <w:pStyle w:val="6"/>
              <w:spacing w:before="48" w:line="221" w:lineRule="auto"/>
              <w:ind w:left="471"/>
            </w:pPr>
            <w:r>
              <w:rPr>
                <w:spacing w:val="-1"/>
              </w:rPr>
              <w:t>23.70</w:t>
            </w:r>
          </w:p>
          <w:p w14:paraId="3DA00201">
            <w:pPr>
              <w:spacing w:line="39" w:lineRule="exact"/>
              <w:ind w:firstLine="5"/>
            </w:pPr>
            <w:r>
              <w:rPr>
                <w:position w:val="-2"/>
              </w:rPr>
              <w:pict>
                <v:shape id="_x0000_s1148" o:spid="_x0000_s1148" style="height:2.9pt;width:70pt;" fillcolor="#FFFFFF" filled="t" stroked="f" coordsize="1400,58" path="m0,57l1399,57,1399,0,0,0,0,57xe">
                  <v:path/>
                  <v:fill on="t" focussize="0,0"/>
                  <v:stroke on="f"/>
                  <v:imagedata o:title=""/>
                  <o:lock v:ext="edit"/>
                  <w10:wrap type="none"/>
                  <w10:anchorlock/>
                </v:shape>
              </w:pict>
            </w:r>
          </w:p>
        </w:tc>
      </w:tr>
      <w:tr w14:paraId="04208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2968" w:type="dxa"/>
            <w:tcBorders>
              <w:left w:val="single" w:color="000000" w:sz="12" w:space="0"/>
            </w:tcBorders>
            <w:vAlign w:val="top"/>
          </w:tcPr>
          <w:p w14:paraId="65491949">
            <w:pPr>
              <w:spacing w:before="12" w:line="57" w:lineRule="exact"/>
            </w:pPr>
            <w:r>
              <w:rPr>
                <w:position w:val="-1"/>
              </w:rPr>
              <w:pict>
                <v:shape id="_x0000_s1149" o:spid="_x0000_s1149" style="height:2.9pt;width:147.1pt;" fillcolor="#FFFFFF" filled="t" stroked="f" coordsize="2942,58" path="m0,57l2941,57,2941,0,0,0,0,57xe">
                  <v:path/>
                  <v:fill on="t" focussize="0,0"/>
                  <v:stroke on="f"/>
                  <v:imagedata o:title=""/>
                  <o:lock v:ext="edit"/>
                  <w10:wrap type="none"/>
                  <w10:anchorlock/>
                </v:shape>
              </w:pict>
            </w:r>
          </w:p>
          <w:p w14:paraId="1E878863">
            <w:pPr>
              <w:spacing w:before="31" w:line="212" w:lineRule="auto"/>
              <w:ind w:left="533"/>
              <w:rPr>
                <w:rFonts w:ascii="宋体" w:hAnsi="宋体" w:eastAsia="宋体" w:cs="宋体"/>
                <w:sz w:val="21"/>
                <w:szCs w:val="21"/>
              </w:rPr>
            </w:pPr>
            <w:r>
              <w:rPr>
                <w:rFonts w:ascii="宋体" w:hAnsi="宋体" w:eastAsia="宋体" w:cs="宋体"/>
                <w:spacing w:val="-3"/>
                <w:sz w:val="21"/>
                <w:szCs w:val="21"/>
              </w:rPr>
              <w:t>商品有机肥（万亩）</w:t>
            </w:r>
          </w:p>
          <w:p w14:paraId="3CED6B2B">
            <w:pPr>
              <w:spacing w:line="36" w:lineRule="exact"/>
            </w:pPr>
            <w:r>
              <w:rPr>
                <w:position w:val="-2"/>
              </w:rPr>
              <w:pict>
                <v:shape id="_x0000_s1150" o:spid="_x0000_s1150" style="height:2.9pt;width:148.15pt;" fillcolor="#FFFFFF" filled="t" stroked="f" coordsize="2962,58" path="m0,57l2962,57,2962,0,0,0,0,57xe">
                  <v:path/>
                  <v:fill on="t" focussize="0,0"/>
                  <v:stroke on="f"/>
                  <v:imagedata o:title=""/>
                  <o:lock v:ext="edit"/>
                  <w10:wrap type="none"/>
                  <w10:anchorlock/>
                </v:shape>
              </w:pict>
            </w:r>
          </w:p>
        </w:tc>
        <w:tc>
          <w:tcPr>
            <w:tcW w:w="1365" w:type="dxa"/>
            <w:vAlign w:val="top"/>
          </w:tcPr>
          <w:p w14:paraId="0674FC76">
            <w:pPr>
              <w:spacing w:before="12" w:line="57" w:lineRule="exact"/>
            </w:pPr>
            <w:r>
              <w:rPr>
                <w:position w:val="-1"/>
              </w:rPr>
              <w:pict>
                <v:shape id="_x0000_s1151" o:spid="_x0000_s1151" style="height:2.9pt;width:67.8pt;" fillcolor="#FFFFFF" filled="t" stroked="f" coordsize="1356,58" path="m0,57l1355,57,1355,0,0,0,0,57xe">
                  <v:path/>
                  <v:fill on="t" focussize="0,0"/>
                  <v:stroke on="f"/>
                  <v:imagedata o:title=""/>
                  <o:lock v:ext="edit"/>
                  <w10:wrap type="none"/>
                  <w10:anchorlock/>
                </v:shape>
              </w:pict>
            </w:r>
          </w:p>
          <w:p w14:paraId="65024C07">
            <w:pPr>
              <w:pStyle w:val="6"/>
              <w:spacing w:before="64" w:line="207" w:lineRule="auto"/>
              <w:ind w:left="552"/>
            </w:pPr>
            <w:r>
              <w:rPr>
                <w:spacing w:val="-4"/>
              </w:rPr>
              <w:t>5.2</w:t>
            </w:r>
          </w:p>
          <w:p w14:paraId="4F97D955">
            <w:pPr>
              <w:spacing w:line="36" w:lineRule="exact"/>
            </w:pPr>
            <w:r>
              <w:rPr>
                <w:position w:val="-2"/>
              </w:rPr>
              <w:pict>
                <v:shape id="_x0000_s1152" o:spid="_x0000_s115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5BB8E6E9">
            <w:pPr>
              <w:spacing w:before="12" w:line="57" w:lineRule="exact"/>
              <w:ind w:firstLine="2"/>
            </w:pPr>
            <w:r>
              <w:rPr>
                <w:position w:val="-1"/>
              </w:rPr>
              <w:pict>
                <v:shape id="_x0000_s1153" o:spid="_x0000_s1153" style="height:2.9pt;width:67.8pt;" fillcolor="#FFFFFF" filled="t" stroked="f" coordsize="1356,58" path="m0,57l1355,57,1355,0,0,0,0,57xe">
                  <v:path/>
                  <v:fill on="t" focussize="0,0"/>
                  <v:stroke on="f"/>
                  <v:imagedata o:title=""/>
                  <o:lock v:ext="edit"/>
                  <w10:wrap type="none"/>
                  <w10:anchorlock/>
                </v:shape>
              </w:pict>
            </w:r>
          </w:p>
          <w:p w14:paraId="59B8A75F">
            <w:pPr>
              <w:pStyle w:val="6"/>
              <w:spacing w:before="64" w:line="207" w:lineRule="auto"/>
              <w:ind w:left="557"/>
            </w:pPr>
            <w:r>
              <w:rPr>
                <w:spacing w:val="-3"/>
              </w:rPr>
              <w:t>6.1</w:t>
            </w:r>
          </w:p>
          <w:p w14:paraId="3CB2BAC3">
            <w:pPr>
              <w:spacing w:line="36" w:lineRule="exact"/>
            </w:pPr>
            <w:r>
              <w:rPr>
                <w:position w:val="-2"/>
              </w:rPr>
              <w:pict>
                <v:shape id="_x0000_s1154" o:spid="_x0000_s115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528D5444">
            <w:pPr>
              <w:spacing w:before="12" w:line="57" w:lineRule="exact"/>
              <w:ind w:firstLine="7"/>
            </w:pPr>
            <w:r>
              <w:rPr>
                <w:position w:val="-1"/>
              </w:rPr>
              <w:pict>
                <v:shape id="_x0000_s1155" o:spid="_x0000_s1155" style="height:2.9pt;width:67.9pt;" fillcolor="#FFFFFF" filled="t" stroked="f" coordsize="1358,58" path="m0,57l1357,57,1357,0,0,0,0,57xe">
                  <v:path/>
                  <v:fill on="t" focussize="0,0"/>
                  <v:stroke on="f"/>
                  <v:imagedata o:title=""/>
                  <o:lock v:ext="edit"/>
                  <w10:wrap type="none"/>
                  <w10:anchorlock/>
                </v:shape>
              </w:pict>
            </w:r>
          </w:p>
          <w:p w14:paraId="22FD708B">
            <w:pPr>
              <w:pStyle w:val="6"/>
              <w:spacing w:before="64" w:line="207" w:lineRule="auto"/>
              <w:ind w:left="563"/>
            </w:pPr>
            <w:r>
              <w:rPr>
                <w:spacing w:val="-3"/>
              </w:rPr>
              <w:t>6.7</w:t>
            </w:r>
          </w:p>
          <w:p w14:paraId="1FAF507B">
            <w:pPr>
              <w:spacing w:line="36" w:lineRule="exact"/>
            </w:pPr>
            <w:r>
              <w:rPr>
                <w:position w:val="-2"/>
              </w:rPr>
              <w:pict>
                <v:shape id="_x0000_s1156" o:spid="_x0000_s115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532CE812">
            <w:pPr>
              <w:spacing w:before="12" w:line="57" w:lineRule="exact"/>
              <w:ind w:firstLine="12"/>
            </w:pPr>
            <w:r>
              <w:rPr>
                <w:position w:val="-1"/>
              </w:rPr>
              <w:pict>
                <v:shape id="_x0000_s1157" o:spid="_x0000_s1157" style="height:2.9pt;width:68.85pt;" fillcolor="#FFFFFF" filled="t" stroked="f" coordsize="1376,58" path="m0,57l1376,57,1376,0,0,0,0,57xe">
                  <v:path/>
                  <v:fill on="t" focussize="0,0"/>
                  <v:stroke on="f"/>
                  <v:imagedata o:title=""/>
                  <o:lock v:ext="edit"/>
                  <w10:wrap type="none"/>
                  <w10:anchorlock/>
                </v:shape>
              </w:pict>
            </w:r>
          </w:p>
          <w:p w14:paraId="203BAAA6">
            <w:pPr>
              <w:pStyle w:val="6"/>
              <w:spacing w:before="49" w:line="222" w:lineRule="auto"/>
              <w:ind w:left="582"/>
            </w:pPr>
            <w:r>
              <w:rPr>
                <w:spacing w:val="-3"/>
              </w:rPr>
              <w:t>6.2</w:t>
            </w:r>
          </w:p>
          <w:p w14:paraId="0E1B9BDF">
            <w:pPr>
              <w:spacing w:line="36" w:lineRule="exact"/>
              <w:ind w:firstLine="5"/>
            </w:pPr>
            <w:r>
              <w:rPr>
                <w:position w:val="-2"/>
              </w:rPr>
              <w:pict>
                <v:shape id="_x0000_s1158" o:spid="_x0000_s1158" style="height:2.9pt;width:70pt;" fillcolor="#FFFFFF" filled="t" stroked="f" coordsize="1400,58" path="m0,57l1399,57,1399,0,0,0,0,57xe">
                  <v:path/>
                  <v:fill on="t" focussize="0,0"/>
                  <v:stroke on="f"/>
                  <v:imagedata o:title=""/>
                  <o:lock v:ext="edit"/>
                  <w10:wrap type="none"/>
                  <w10:anchorlock/>
                </v:shape>
              </w:pict>
            </w:r>
          </w:p>
        </w:tc>
      </w:tr>
      <w:tr w14:paraId="172C1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968" w:type="dxa"/>
            <w:tcBorders>
              <w:left w:val="single" w:color="000000" w:sz="12" w:space="0"/>
            </w:tcBorders>
            <w:vAlign w:val="top"/>
          </w:tcPr>
          <w:p w14:paraId="15836806">
            <w:pPr>
              <w:spacing w:before="15" w:line="57" w:lineRule="exact"/>
            </w:pPr>
            <w:r>
              <w:rPr>
                <w:position w:val="-1"/>
              </w:rPr>
              <w:pict>
                <v:shape id="_x0000_s1159" o:spid="_x0000_s1159" style="height:2.9pt;width:147.1pt;" fillcolor="#FFFFFF" filled="t" stroked="f" coordsize="2942,58" path="m0,57l2941,57,2941,0,0,0,0,57xe">
                  <v:path/>
                  <v:fill on="t" focussize="0,0"/>
                  <v:stroke on="f"/>
                  <v:imagedata o:title=""/>
                  <o:lock v:ext="edit"/>
                  <w10:wrap type="none"/>
                  <w10:anchorlock/>
                </v:shape>
              </w:pict>
            </w:r>
          </w:p>
          <w:p w14:paraId="15C5B19A">
            <w:pPr>
              <w:spacing w:before="31" w:line="211" w:lineRule="auto"/>
              <w:ind w:left="531"/>
              <w:rPr>
                <w:rFonts w:ascii="宋体" w:hAnsi="宋体" w:eastAsia="宋体" w:cs="宋体"/>
                <w:sz w:val="21"/>
                <w:szCs w:val="21"/>
              </w:rPr>
            </w:pPr>
            <w:r>
              <w:rPr>
                <w:rFonts w:ascii="宋体" w:hAnsi="宋体" w:eastAsia="宋体" w:cs="宋体"/>
                <w:spacing w:val="-3"/>
                <w:sz w:val="21"/>
                <w:szCs w:val="21"/>
              </w:rPr>
              <w:t>水肥一体化（万亩）</w:t>
            </w:r>
          </w:p>
          <w:p w14:paraId="627BE6BA">
            <w:pPr>
              <w:spacing w:line="33" w:lineRule="exact"/>
            </w:pPr>
            <w:r>
              <w:rPr>
                <w:position w:val="-3"/>
              </w:rPr>
              <w:pict>
                <v:shape id="_x0000_s1160" o:spid="_x0000_s1160" style="height:2.9pt;width:148.15pt;" fillcolor="#FFFFFF" filled="t" stroked="f" coordsize="2962,58" path="m0,57l2962,57,2962,0,0,0,0,57xe">
                  <v:path/>
                  <v:fill on="t" focussize="0,0"/>
                  <v:stroke on="f"/>
                  <v:imagedata o:title=""/>
                  <o:lock v:ext="edit"/>
                  <w10:wrap type="none"/>
                  <w10:anchorlock/>
                </v:shape>
              </w:pict>
            </w:r>
          </w:p>
        </w:tc>
        <w:tc>
          <w:tcPr>
            <w:tcW w:w="1365" w:type="dxa"/>
            <w:vAlign w:val="top"/>
          </w:tcPr>
          <w:p w14:paraId="209D4CB9">
            <w:pPr>
              <w:spacing w:before="15" w:line="57" w:lineRule="exact"/>
            </w:pPr>
            <w:r>
              <w:rPr>
                <w:position w:val="-1"/>
              </w:rPr>
              <w:pict>
                <v:shape id="_x0000_s1161" o:spid="_x0000_s1161" style="height:2.9pt;width:67.8pt;" fillcolor="#FFFFFF" filled="t" stroked="f" coordsize="1356,58" path="m0,57l1355,57,1355,0,0,0,0,57xe">
                  <v:path/>
                  <v:fill on="t" focussize="0,0"/>
                  <v:stroke on="f"/>
                  <v:imagedata o:title=""/>
                  <o:lock v:ext="edit"/>
                  <w10:wrap type="none"/>
                  <w10:anchorlock/>
                </v:shape>
              </w:pict>
            </w:r>
          </w:p>
          <w:p w14:paraId="598FFC01">
            <w:pPr>
              <w:pStyle w:val="6"/>
              <w:spacing w:before="64" w:line="205" w:lineRule="auto"/>
              <w:ind w:left="550"/>
            </w:pPr>
            <w:r>
              <w:rPr>
                <w:spacing w:val="-3"/>
              </w:rPr>
              <w:t>0.7</w:t>
            </w:r>
          </w:p>
          <w:p w14:paraId="0D507E6B">
            <w:pPr>
              <w:spacing w:line="33" w:lineRule="exact"/>
            </w:pPr>
            <w:r>
              <w:rPr>
                <w:position w:val="-3"/>
              </w:rPr>
              <w:pict>
                <v:shape id="_x0000_s1162" o:spid="_x0000_s1162" style="height:2.9pt;width:68.5pt;" fillcolor="#FFFFFF" filled="t" stroked="f" coordsize="1370,58" path="m0,57l1369,57,1369,0,0,0,0,57xe">
                  <v:path/>
                  <v:fill on="t" focussize="0,0"/>
                  <v:stroke on="f"/>
                  <v:imagedata o:title=""/>
                  <o:lock v:ext="edit"/>
                  <w10:wrap type="none"/>
                  <w10:anchorlock/>
                </v:shape>
              </w:pict>
            </w:r>
          </w:p>
        </w:tc>
        <w:tc>
          <w:tcPr>
            <w:tcW w:w="1365" w:type="dxa"/>
            <w:vAlign w:val="top"/>
          </w:tcPr>
          <w:p w14:paraId="033BC0F0">
            <w:pPr>
              <w:spacing w:before="15" w:line="57" w:lineRule="exact"/>
              <w:ind w:firstLine="2"/>
            </w:pPr>
            <w:r>
              <w:rPr>
                <w:position w:val="-1"/>
              </w:rPr>
              <w:pict>
                <v:shape id="_x0000_s1163" o:spid="_x0000_s1163" style="height:2.9pt;width:67.8pt;" fillcolor="#FFFFFF" filled="t" stroked="f" coordsize="1356,58" path="m0,57l1355,57,1355,0,0,0,0,57xe">
                  <v:path/>
                  <v:fill on="t" focussize="0,0"/>
                  <v:stroke on="f"/>
                  <v:imagedata o:title=""/>
                  <o:lock v:ext="edit"/>
                  <w10:wrap type="none"/>
                  <w10:anchorlock/>
                </v:shape>
              </w:pict>
            </w:r>
          </w:p>
          <w:p w14:paraId="08302D2B">
            <w:pPr>
              <w:pStyle w:val="6"/>
              <w:spacing w:before="64" w:line="205" w:lineRule="auto"/>
              <w:ind w:left="556"/>
            </w:pPr>
            <w:r>
              <w:rPr>
                <w:spacing w:val="-3"/>
              </w:rPr>
              <w:t>3.2</w:t>
            </w:r>
          </w:p>
          <w:p w14:paraId="3EE35F54">
            <w:pPr>
              <w:spacing w:line="33" w:lineRule="exact"/>
            </w:pPr>
            <w:r>
              <w:rPr>
                <w:position w:val="-3"/>
              </w:rPr>
              <w:pict>
                <v:shape id="_x0000_s1164" o:spid="_x0000_s1164" style="height:2.9pt;width:68.55pt;" fillcolor="#FFFFFF" filled="t" stroked="f" coordsize="1371,58" path="m0,57l1370,57,1370,0,0,0,0,57xe">
                  <v:path/>
                  <v:fill on="t" focussize="0,0"/>
                  <v:stroke on="f"/>
                  <v:imagedata o:title=""/>
                  <o:lock v:ext="edit"/>
                  <w10:wrap type="none"/>
                  <w10:anchorlock/>
                </v:shape>
              </w:pict>
            </w:r>
          </w:p>
        </w:tc>
        <w:tc>
          <w:tcPr>
            <w:tcW w:w="1367" w:type="dxa"/>
            <w:vAlign w:val="top"/>
          </w:tcPr>
          <w:p w14:paraId="7EA1304F">
            <w:pPr>
              <w:spacing w:before="15" w:line="57" w:lineRule="exact"/>
              <w:ind w:firstLine="7"/>
            </w:pPr>
            <w:r>
              <w:rPr>
                <w:position w:val="-1"/>
              </w:rPr>
              <w:pict>
                <v:shape id="_x0000_s1165" o:spid="_x0000_s1165" style="height:2.9pt;width:67.9pt;" fillcolor="#FFFFFF" filled="t" stroked="f" coordsize="1358,58" path="m0,57l1357,57,1357,0,0,0,0,57xe">
                  <v:path/>
                  <v:fill on="t" focussize="0,0"/>
                  <v:stroke on="f"/>
                  <v:imagedata o:title=""/>
                  <o:lock v:ext="edit"/>
                  <w10:wrap type="none"/>
                  <w10:anchorlock/>
                </v:shape>
              </w:pict>
            </w:r>
          </w:p>
          <w:p w14:paraId="71AE4314">
            <w:pPr>
              <w:pStyle w:val="6"/>
              <w:spacing w:before="64" w:line="205" w:lineRule="auto"/>
              <w:ind w:left="559"/>
            </w:pPr>
            <w:r>
              <w:rPr>
                <w:spacing w:val="-2"/>
              </w:rPr>
              <w:t>2.4</w:t>
            </w:r>
          </w:p>
          <w:p w14:paraId="171604CD">
            <w:pPr>
              <w:spacing w:line="33" w:lineRule="exact"/>
            </w:pPr>
            <w:r>
              <w:rPr>
                <w:position w:val="-3"/>
              </w:rPr>
              <w:pict>
                <v:shape id="_x0000_s1166" o:spid="_x0000_s1166" style="height:2.9pt;width:68.65pt;" fillcolor="#FFFFFF" filled="t" stroked="f" coordsize="1373,58" path="m0,57l1372,57,1372,0,0,0,0,57xe">
                  <v:path/>
                  <v:fill on="t" focussize="0,0"/>
                  <v:stroke on="f"/>
                  <v:imagedata o:title=""/>
                  <o:lock v:ext="edit"/>
                  <w10:wrap type="none"/>
                  <w10:anchorlock/>
                </v:shape>
              </w:pict>
            </w:r>
          </w:p>
        </w:tc>
        <w:tc>
          <w:tcPr>
            <w:tcW w:w="1408" w:type="dxa"/>
            <w:tcBorders>
              <w:right w:val="single" w:color="000000" w:sz="12" w:space="0"/>
            </w:tcBorders>
            <w:vAlign w:val="top"/>
          </w:tcPr>
          <w:p w14:paraId="47CF40D7">
            <w:pPr>
              <w:spacing w:before="15" w:line="57" w:lineRule="exact"/>
              <w:ind w:firstLine="12"/>
            </w:pPr>
            <w:r>
              <w:rPr>
                <w:position w:val="-1"/>
              </w:rPr>
              <w:pict>
                <v:shape id="_x0000_s1167" o:spid="_x0000_s1167" style="height:2.9pt;width:68.85pt;" fillcolor="#FFFFFF" filled="t" stroked="f" coordsize="1376,58" path="m0,57l1376,57,1376,0,0,0,0,57xe">
                  <v:path/>
                  <v:fill on="t" focussize="0,0"/>
                  <v:stroke on="f"/>
                  <v:imagedata o:title=""/>
                  <o:lock v:ext="edit"/>
                  <w10:wrap type="none"/>
                  <w10:anchorlock/>
                </v:shape>
              </w:pict>
            </w:r>
          </w:p>
          <w:p w14:paraId="0A18D978">
            <w:pPr>
              <w:pStyle w:val="6"/>
              <w:spacing w:before="48" w:line="221" w:lineRule="auto"/>
              <w:ind w:left="581"/>
            </w:pPr>
            <w:r>
              <w:rPr>
                <w:spacing w:val="-3"/>
              </w:rPr>
              <w:t>3.0</w:t>
            </w:r>
          </w:p>
          <w:p w14:paraId="3479F910">
            <w:pPr>
              <w:spacing w:line="33" w:lineRule="exact"/>
              <w:ind w:firstLine="5"/>
            </w:pPr>
            <w:r>
              <w:rPr>
                <w:position w:val="-3"/>
              </w:rPr>
              <w:pict>
                <v:shape id="_x0000_s1168" o:spid="_x0000_s1168" style="height:2.9pt;width:70pt;" fillcolor="#FFFFFF" filled="t" stroked="f" coordsize="1400,58" path="m0,57l1399,57,1399,0,0,0,0,57xe">
                  <v:path/>
                  <v:fill on="t" focussize="0,0"/>
                  <v:stroke on="f"/>
                  <v:imagedata o:title=""/>
                  <o:lock v:ext="edit"/>
                  <w10:wrap type="none"/>
                  <w10:anchorlock/>
                </v:shape>
              </w:pict>
            </w:r>
          </w:p>
        </w:tc>
      </w:tr>
      <w:tr w14:paraId="372E4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968" w:type="dxa"/>
            <w:tcBorders>
              <w:top w:val="nil"/>
              <w:left w:val="single" w:color="000000" w:sz="12" w:space="0"/>
            </w:tcBorders>
            <w:vAlign w:val="top"/>
          </w:tcPr>
          <w:p w14:paraId="5BF65298">
            <w:pPr>
              <w:spacing w:before="18" w:line="57" w:lineRule="exact"/>
            </w:pPr>
            <w:r>
              <w:rPr>
                <w:position w:val="-1"/>
              </w:rPr>
              <w:pict>
                <v:shape id="_x0000_s1169" o:spid="_x0000_s1169" style="height:2.9pt;width:147.1pt;" fillcolor="#FFFFFF" filled="t" stroked="f" coordsize="2942,58" path="m0,57l2941,57,2941,0,0,0,0,57xe">
                  <v:path/>
                  <v:fill on="t" focussize="0,0"/>
                  <v:stroke on="f"/>
                  <v:imagedata o:title=""/>
                  <o:lock v:ext="edit"/>
                  <w10:wrap type="none"/>
                  <w10:anchorlock/>
                </v:shape>
              </w:pict>
            </w:r>
          </w:p>
          <w:p w14:paraId="3467BF17">
            <w:pPr>
              <w:spacing w:before="31" w:line="212" w:lineRule="auto"/>
              <w:ind w:left="423"/>
              <w:rPr>
                <w:rFonts w:ascii="宋体" w:hAnsi="宋体" w:eastAsia="宋体" w:cs="宋体"/>
                <w:sz w:val="21"/>
                <w:szCs w:val="21"/>
              </w:rPr>
            </w:pPr>
            <w:r>
              <w:rPr>
                <w:rFonts w:ascii="宋体" w:hAnsi="宋体" w:eastAsia="宋体" w:cs="宋体"/>
                <w:spacing w:val="-2"/>
                <w:sz w:val="21"/>
                <w:szCs w:val="21"/>
              </w:rPr>
              <w:t>农户施肥调查点（个）</w:t>
            </w:r>
          </w:p>
          <w:p w14:paraId="461605D0">
            <w:pPr>
              <w:spacing w:line="26" w:lineRule="exact"/>
            </w:pPr>
            <w:r>
              <w:rPr>
                <w:position w:val="-3"/>
              </w:rPr>
              <w:pict>
                <v:shape id="_x0000_s1170" o:spid="_x0000_s1170" style="height:2.9pt;width:148.15pt;" fillcolor="#FFFFFF" filled="t" stroked="f" coordsize="2962,58" path="m0,57l2962,57,2962,0,0,0,0,57xe">
                  <v:path/>
                  <v:fill on="t" focussize="0,0"/>
                  <v:stroke on="f"/>
                  <v:imagedata o:title=""/>
                  <o:lock v:ext="edit"/>
                  <w10:wrap type="none"/>
                  <w10:anchorlock/>
                </v:shape>
              </w:pict>
            </w:r>
          </w:p>
        </w:tc>
        <w:tc>
          <w:tcPr>
            <w:tcW w:w="1365" w:type="dxa"/>
            <w:tcBorders>
              <w:top w:val="nil"/>
            </w:tcBorders>
            <w:vAlign w:val="top"/>
          </w:tcPr>
          <w:p w14:paraId="6B653021">
            <w:pPr>
              <w:spacing w:before="18" w:line="57" w:lineRule="exact"/>
            </w:pPr>
            <w:r>
              <w:rPr>
                <w:position w:val="-1"/>
              </w:rPr>
              <w:pict>
                <v:shape id="_x0000_s1171" o:spid="_x0000_s1171" style="height:2.9pt;width:67.8pt;" fillcolor="#FFFFFF" filled="t" stroked="f" coordsize="1356,58" path="m0,57l1355,57,1355,0,0,0,0,57xe">
                  <v:path/>
                  <v:fill on="t" focussize="0,0"/>
                  <v:stroke on="f"/>
                  <v:imagedata o:title=""/>
                  <o:lock v:ext="edit"/>
                  <w10:wrap type="none"/>
                  <w10:anchorlock/>
                </v:shape>
              </w:pict>
            </w:r>
          </w:p>
          <w:p w14:paraId="19390101">
            <w:pPr>
              <w:pStyle w:val="6"/>
              <w:spacing w:before="64" w:line="207" w:lineRule="auto"/>
              <w:ind w:left="488"/>
            </w:pPr>
            <w:r>
              <w:rPr>
                <w:spacing w:val="-6"/>
              </w:rPr>
              <w:t>1340</w:t>
            </w:r>
          </w:p>
          <w:p w14:paraId="1EAB3EC0">
            <w:pPr>
              <w:spacing w:line="26" w:lineRule="exact"/>
            </w:pPr>
            <w:r>
              <w:rPr>
                <w:position w:val="-3"/>
              </w:rPr>
              <w:pict>
                <v:shape id="_x0000_s1172" o:spid="_x0000_s1172" style="height:2.9pt;width:68.5pt;" fillcolor="#FFFFFF" filled="t" stroked="f" coordsize="1370,58" path="m0,57l1369,57,1369,0,0,0,0,57xe">
                  <v:path/>
                  <v:fill on="t" focussize="0,0"/>
                  <v:stroke on="f"/>
                  <v:imagedata o:title=""/>
                  <o:lock v:ext="edit"/>
                  <w10:wrap type="none"/>
                  <w10:anchorlock/>
                </v:shape>
              </w:pict>
            </w:r>
          </w:p>
        </w:tc>
        <w:tc>
          <w:tcPr>
            <w:tcW w:w="1365" w:type="dxa"/>
            <w:tcBorders>
              <w:top w:val="nil"/>
            </w:tcBorders>
            <w:vAlign w:val="top"/>
          </w:tcPr>
          <w:p w14:paraId="38C9A147">
            <w:pPr>
              <w:spacing w:before="18" w:line="57" w:lineRule="exact"/>
              <w:ind w:firstLine="2"/>
            </w:pPr>
            <w:r>
              <w:rPr>
                <w:position w:val="-1"/>
              </w:rPr>
              <w:pict>
                <v:shape id="_x0000_s1173" o:spid="_x0000_s1173" style="height:2.9pt;width:67.8pt;" fillcolor="#FFFFFF" filled="t" stroked="f" coordsize="1356,58" path="m0,57l1355,57,1355,0,0,0,0,57xe">
                  <v:path/>
                  <v:fill on="t" focussize="0,0"/>
                  <v:stroke on="f"/>
                  <v:imagedata o:title=""/>
                  <o:lock v:ext="edit"/>
                  <w10:wrap type="none"/>
                  <w10:anchorlock/>
                </v:shape>
              </w:pict>
            </w:r>
          </w:p>
          <w:p w14:paraId="0DBCBAF2">
            <w:pPr>
              <w:pStyle w:val="6"/>
              <w:spacing w:before="64" w:line="207" w:lineRule="auto"/>
              <w:ind w:left="493"/>
            </w:pPr>
            <w:r>
              <w:rPr>
                <w:spacing w:val="-6"/>
              </w:rPr>
              <w:t>1420</w:t>
            </w:r>
          </w:p>
          <w:p w14:paraId="77CF436A">
            <w:pPr>
              <w:spacing w:line="26" w:lineRule="exact"/>
            </w:pPr>
            <w:r>
              <w:rPr>
                <w:position w:val="-3"/>
              </w:rPr>
              <w:pict>
                <v:shape id="_x0000_s1174" o:spid="_x0000_s1174" style="height:2.9pt;width:68.55pt;" fillcolor="#FFFFFF" filled="t" stroked="f" coordsize="1371,58" path="m0,57l1370,57,1370,0,0,0,0,57xe">
                  <v:path/>
                  <v:fill on="t" focussize="0,0"/>
                  <v:stroke on="f"/>
                  <v:imagedata o:title=""/>
                  <o:lock v:ext="edit"/>
                  <w10:wrap type="none"/>
                  <w10:anchorlock/>
                </v:shape>
              </w:pict>
            </w:r>
          </w:p>
        </w:tc>
        <w:tc>
          <w:tcPr>
            <w:tcW w:w="1367" w:type="dxa"/>
            <w:tcBorders>
              <w:top w:val="nil"/>
            </w:tcBorders>
            <w:vAlign w:val="top"/>
          </w:tcPr>
          <w:p w14:paraId="1E787DFE">
            <w:pPr>
              <w:spacing w:before="18" w:line="57" w:lineRule="exact"/>
              <w:ind w:firstLine="7"/>
            </w:pPr>
            <w:r>
              <w:rPr>
                <w:position w:val="-1"/>
              </w:rPr>
              <w:pict>
                <v:shape id="_x0000_s1175" o:spid="_x0000_s1175" style="height:2.9pt;width:67.9pt;" fillcolor="#FFFFFF" filled="t" stroked="f" coordsize="1358,58" path="m0,57l1357,57,1357,0,0,0,0,57xe">
                  <v:path/>
                  <v:fill on="t" focussize="0,0"/>
                  <v:stroke on="f"/>
                  <v:imagedata o:title=""/>
                  <o:lock v:ext="edit"/>
                  <w10:wrap type="none"/>
                  <w10:anchorlock/>
                </v:shape>
              </w:pict>
            </w:r>
          </w:p>
          <w:p w14:paraId="7067A307">
            <w:pPr>
              <w:pStyle w:val="6"/>
              <w:spacing w:before="64" w:line="207" w:lineRule="auto"/>
              <w:ind w:left="500"/>
            </w:pPr>
            <w:r>
              <w:rPr>
                <w:spacing w:val="-6"/>
              </w:rPr>
              <w:t>1480</w:t>
            </w:r>
          </w:p>
          <w:p w14:paraId="651805D9">
            <w:pPr>
              <w:spacing w:line="26" w:lineRule="exact"/>
            </w:pPr>
            <w:r>
              <w:rPr>
                <w:position w:val="-3"/>
              </w:rPr>
              <w:pict>
                <v:shape id="_x0000_s1176" o:spid="_x0000_s1176" style="height:2.9pt;width:68.65pt;" fillcolor="#FFFFFF" filled="t" stroked="f" coordsize="1373,58" path="m0,57l1372,57,1372,0,0,0,0,57xe">
                  <v:path/>
                  <v:fill on="t" focussize="0,0"/>
                  <v:stroke on="f"/>
                  <v:imagedata o:title=""/>
                  <o:lock v:ext="edit"/>
                  <w10:wrap type="none"/>
                  <w10:anchorlock/>
                </v:shape>
              </w:pict>
            </w:r>
          </w:p>
        </w:tc>
        <w:tc>
          <w:tcPr>
            <w:tcW w:w="1408" w:type="dxa"/>
            <w:tcBorders>
              <w:top w:val="nil"/>
              <w:right w:val="single" w:color="000000" w:sz="12" w:space="0"/>
            </w:tcBorders>
            <w:vAlign w:val="top"/>
          </w:tcPr>
          <w:p w14:paraId="2CE9B20F">
            <w:pPr>
              <w:spacing w:before="18" w:line="57" w:lineRule="exact"/>
              <w:ind w:firstLine="12"/>
            </w:pPr>
            <w:r>
              <w:rPr>
                <w:position w:val="-1"/>
              </w:rPr>
              <w:pict>
                <v:shape id="_x0000_s1177" o:spid="_x0000_s1177" style="height:2.9pt;width:68.85pt;" fillcolor="#FFFFFF" filled="t" stroked="f" coordsize="1376,58" path="m0,57l1376,57,1376,0,0,0,0,57xe">
                  <v:path/>
                  <v:fill on="t" focussize="0,0"/>
                  <v:stroke on="f"/>
                  <v:imagedata o:title=""/>
                  <o:lock v:ext="edit"/>
                  <w10:wrap type="none"/>
                  <w10:anchorlock/>
                </v:shape>
              </w:pict>
            </w:r>
          </w:p>
          <w:p w14:paraId="66933979">
            <w:pPr>
              <w:pStyle w:val="6"/>
              <w:spacing w:before="49" w:line="222" w:lineRule="auto"/>
              <w:ind w:left="554"/>
            </w:pPr>
            <w:r>
              <w:rPr>
                <w:spacing w:val="-3"/>
              </w:rPr>
              <w:t>730</w:t>
            </w:r>
          </w:p>
          <w:p w14:paraId="65F4219D">
            <w:pPr>
              <w:spacing w:line="26" w:lineRule="exact"/>
              <w:ind w:firstLine="5"/>
            </w:pPr>
            <w:r>
              <w:rPr>
                <w:position w:val="-3"/>
              </w:rPr>
              <w:pict>
                <v:shape id="_x0000_s1178" o:spid="_x0000_s1178" style="height:2.9pt;width:70pt;" fillcolor="#FFFFFF" filled="t" stroked="f" coordsize="1400,58" path="m0,57l1399,57,1399,0,0,0,0,57xe">
                  <v:path/>
                  <v:fill on="t" focussize="0,0"/>
                  <v:stroke on="f"/>
                  <v:imagedata o:title=""/>
                  <o:lock v:ext="edit"/>
                  <w10:wrap type="none"/>
                  <w10:anchorlock/>
                </v:shape>
              </w:pict>
            </w:r>
          </w:p>
        </w:tc>
      </w:tr>
      <w:tr w14:paraId="59399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2968" w:type="dxa"/>
            <w:tcBorders>
              <w:left w:val="single" w:color="000000" w:sz="12" w:space="0"/>
              <w:bottom w:val="single" w:color="000000" w:sz="12" w:space="0"/>
            </w:tcBorders>
            <w:vAlign w:val="top"/>
          </w:tcPr>
          <w:p w14:paraId="1237D91A">
            <w:pPr>
              <w:spacing w:before="25" w:line="57" w:lineRule="exact"/>
            </w:pPr>
            <w:r>
              <w:rPr>
                <w:position w:val="-1"/>
              </w:rPr>
              <w:pict>
                <v:shape id="_x0000_s1179" o:spid="_x0000_s1179" style="height:2.9pt;width:147.1pt;" fillcolor="#FFFFFF" filled="t" stroked="f" coordsize="2942,58" path="m0,57l2941,57,2941,0,0,0,0,57xe">
                  <v:path/>
                  <v:fill on="t" focussize="0,0"/>
                  <v:stroke on="f"/>
                  <v:imagedata o:title=""/>
                  <o:lock v:ext="edit"/>
                  <w10:wrap type="none"/>
                  <w10:anchorlock/>
                </v:shape>
              </w:pict>
            </w:r>
          </w:p>
          <w:p w14:paraId="04C8F773">
            <w:pPr>
              <w:spacing w:before="31" w:line="211" w:lineRule="auto"/>
              <w:ind w:left="213"/>
              <w:rPr>
                <w:rFonts w:ascii="宋体" w:hAnsi="宋体" w:eastAsia="宋体" w:cs="宋体"/>
                <w:sz w:val="21"/>
                <w:szCs w:val="21"/>
              </w:rPr>
            </w:pPr>
            <w:r>
              <w:rPr>
                <w:rFonts w:ascii="宋体" w:hAnsi="宋体" w:eastAsia="宋体" w:cs="宋体"/>
                <w:spacing w:val="-2"/>
                <w:sz w:val="21"/>
                <w:szCs w:val="21"/>
              </w:rPr>
              <w:t>耕地质量等级调查点（个）</w:t>
            </w:r>
          </w:p>
          <w:p w14:paraId="0EE0D000">
            <w:pPr>
              <w:spacing w:line="47" w:lineRule="exact"/>
            </w:pPr>
            <w:r>
              <w:rPr>
                <w:position w:val="-1"/>
              </w:rPr>
              <w:pict>
                <v:shape id="_x0000_s1180" o:spid="_x0000_s1180" style="height:2.9pt;width:148.15pt;" fillcolor="#FFFFFF" filled="t" stroked="f" coordsize="2962,58" path="m0,57l2962,57,2962,0,0,0,0,57xe">
                  <v:path/>
                  <v:fill on="t" focussize="0,0"/>
                  <v:stroke on="f"/>
                  <v:imagedata o:title=""/>
                  <o:lock v:ext="edit"/>
                  <w10:wrap type="none"/>
                  <w10:anchorlock/>
                </v:shape>
              </w:pict>
            </w:r>
          </w:p>
        </w:tc>
        <w:tc>
          <w:tcPr>
            <w:tcW w:w="1365" w:type="dxa"/>
            <w:tcBorders>
              <w:bottom w:val="single" w:color="000000" w:sz="12" w:space="0"/>
            </w:tcBorders>
            <w:vAlign w:val="top"/>
          </w:tcPr>
          <w:p w14:paraId="73EB4244">
            <w:pPr>
              <w:spacing w:before="25" w:line="57" w:lineRule="exact"/>
            </w:pPr>
            <w:r>
              <w:rPr>
                <w:position w:val="-1"/>
              </w:rPr>
              <w:pict>
                <v:shape id="_x0000_s1181" o:spid="_x0000_s1181" style="height:2.9pt;width:67.8pt;" fillcolor="#FFFFFF" filled="t" stroked="f" coordsize="1356,58" path="m0,57l1355,57,1355,0,0,0,0,57xe">
                  <v:path/>
                  <v:fill on="t" focussize="0,0"/>
                  <v:stroke on="f"/>
                  <v:imagedata o:title=""/>
                  <o:lock v:ext="edit"/>
                  <w10:wrap type="none"/>
                  <w10:anchorlock/>
                </v:shape>
              </w:pict>
            </w:r>
          </w:p>
          <w:p w14:paraId="1144DB66">
            <w:pPr>
              <w:pStyle w:val="6"/>
              <w:spacing w:before="64" w:line="205" w:lineRule="auto"/>
              <w:ind w:left="578"/>
            </w:pPr>
            <w:r>
              <w:rPr>
                <w:spacing w:val="-5"/>
              </w:rPr>
              <w:t>64</w:t>
            </w:r>
          </w:p>
          <w:p w14:paraId="0C85703C">
            <w:pPr>
              <w:spacing w:line="47" w:lineRule="exact"/>
            </w:pPr>
            <w:r>
              <w:rPr>
                <w:position w:val="-1"/>
              </w:rPr>
              <w:pict>
                <v:shape id="_x0000_s1182" o:spid="_x0000_s1182" style="height:2.9pt;width:68.5pt;" fillcolor="#FFFFFF" filled="t" stroked="f" coordsize="1370,58" path="m0,57l1369,57,1369,0,0,0,0,57xe">
                  <v:path/>
                  <v:fill on="t" focussize="0,0"/>
                  <v:stroke on="f"/>
                  <v:imagedata o:title=""/>
                  <o:lock v:ext="edit"/>
                  <w10:wrap type="none"/>
                  <w10:anchorlock/>
                </v:shape>
              </w:pict>
            </w:r>
          </w:p>
        </w:tc>
        <w:tc>
          <w:tcPr>
            <w:tcW w:w="1365" w:type="dxa"/>
            <w:tcBorders>
              <w:bottom w:val="single" w:color="000000" w:sz="12" w:space="0"/>
            </w:tcBorders>
            <w:vAlign w:val="top"/>
          </w:tcPr>
          <w:p w14:paraId="5E0ECE50">
            <w:pPr>
              <w:spacing w:before="25" w:line="57" w:lineRule="exact"/>
              <w:ind w:firstLine="2"/>
            </w:pPr>
            <w:r>
              <w:rPr>
                <w:position w:val="-1"/>
              </w:rPr>
              <w:pict>
                <v:shape id="_x0000_s1183" o:spid="_x0000_s1183" style="height:2.9pt;width:67.8pt;" fillcolor="#FFFFFF" filled="t" stroked="f" coordsize="1356,58" path="m0,57l1355,57,1355,0,0,0,0,57xe">
                  <v:path/>
                  <v:fill on="t" focussize="0,0"/>
                  <v:stroke on="f"/>
                  <v:imagedata o:title=""/>
                  <o:lock v:ext="edit"/>
                  <w10:wrap type="none"/>
                  <w10:anchorlock/>
                </v:shape>
              </w:pict>
            </w:r>
          </w:p>
          <w:p w14:paraId="19633E4C">
            <w:pPr>
              <w:pStyle w:val="6"/>
              <w:spacing w:before="64" w:line="205" w:lineRule="auto"/>
              <w:ind w:left="587"/>
            </w:pPr>
            <w:r>
              <w:rPr>
                <w:spacing w:val="-7"/>
              </w:rPr>
              <w:t>82</w:t>
            </w:r>
          </w:p>
          <w:p w14:paraId="1E25E64B">
            <w:pPr>
              <w:spacing w:line="47" w:lineRule="exact"/>
            </w:pPr>
            <w:r>
              <w:rPr>
                <w:position w:val="-1"/>
              </w:rPr>
              <w:pict>
                <v:shape id="_x0000_s1184" o:spid="_x0000_s1184" style="height:2.9pt;width:68.55pt;" fillcolor="#FFFFFF" filled="t" stroked="f" coordsize="1371,58" path="m0,57l1370,57,1370,0,0,0,0,57xe">
                  <v:path/>
                  <v:fill on="t" focussize="0,0"/>
                  <v:stroke on="f"/>
                  <v:imagedata o:title=""/>
                  <o:lock v:ext="edit"/>
                  <w10:wrap type="none"/>
                  <w10:anchorlock/>
                </v:shape>
              </w:pict>
            </w:r>
          </w:p>
        </w:tc>
        <w:tc>
          <w:tcPr>
            <w:tcW w:w="1367" w:type="dxa"/>
            <w:tcBorders>
              <w:bottom w:val="single" w:color="000000" w:sz="12" w:space="0"/>
            </w:tcBorders>
            <w:vAlign w:val="top"/>
          </w:tcPr>
          <w:p w14:paraId="060A47D0">
            <w:pPr>
              <w:spacing w:before="25" w:line="57" w:lineRule="exact"/>
              <w:ind w:firstLine="7"/>
            </w:pPr>
            <w:r>
              <w:rPr>
                <w:position w:val="-1"/>
              </w:rPr>
              <w:pict>
                <v:shape id="_x0000_s1185" o:spid="_x0000_s1185" style="height:2.9pt;width:67.9pt;" fillcolor="#FFFFFF" filled="t" stroked="f" coordsize="1358,58" path="m0,57l1357,57,1357,0,0,0,0,57xe">
                  <v:path/>
                  <v:fill on="t" focussize="0,0"/>
                  <v:stroke on="f"/>
                  <v:imagedata o:title=""/>
                  <o:lock v:ext="edit"/>
                  <w10:wrap type="none"/>
                  <w10:anchorlock/>
                </v:shape>
              </w:pict>
            </w:r>
          </w:p>
          <w:p w14:paraId="26180377">
            <w:pPr>
              <w:pStyle w:val="6"/>
              <w:spacing w:before="64" w:line="205" w:lineRule="auto"/>
              <w:ind w:left="589"/>
            </w:pPr>
            <w:r>
              <w:rPr>
                <w:spacing w:val="-4"/>
              </w:rPr>
              <w:t>91</w:t>
            </w:r>
          </w:p>
          <w:p w14:paraId="71A8BC5F">
            <w:pPr>
              <w:spacing w:line="47" w:lineRule="exact"/>
            </w:pPr>
            <w:r>
              <w:rPr>
                <w:position w:val="-1"/>
              </w:rPr>
              <w:pict>
                <v:shape id="_x0000_s1186" o:spid="_x0000_s1186" style="height:2.9pt;width:68.65pt;" fillcolor="#FFFFFF" filled="t" stroked="f" coordsize="1373,58" path="m0,57l1372,57,1372,0,0,0,0,57xe">
                  <v:path/>
                  <v:fill on="t" focussize="0,0"/>
                  <v:stroke on="f"/>
                  <v:imagedata o:title=""/>
                  <o:lock v:ext="edit"/>
                  <w10:wrap type="none"/>
                  <w10:anchorlock/>
                </v:shape>
              </w:pict>
            </w:r>
          </w:p>
        </w:tc>
        <w:tc>
          <w:tcPr>
            <w:tcW w:w="1408" w:type="dxa"/>
            <w:tcBorders>
              <w:bottom w:val="single" w:color="000000" w:sz="12" w:space="0"/>
              <w:right w:val="single" w:color="000000" w:sz="12" w:space="0"/>
            </w:tcBorders>
            <w:vAlign w:val="top"/>
          </w:tcPr>
          <w:p w14:paraId="507BC1F6">
            <w:pPr>
              <w:spacing w:before="25" w:line="57" w:lineRule="exact"/>
              <w:ind w:firstLine="12"/>
            </w:pPr>
            <w:r>
              <w:rPr>
                <w:position w:val="-1"/>
              </w:rPr>
              <w:pict>
                <v:shape id="_x0000_s1187" o:spid="_x0000_s1187" style="height:2.9pt;width:68.85pt;" fillcolor="#FFFFFF" filled="t" stroked="f" coordsize="1376,58" path="m0,57l1376,57,1376,0,0,0,0,57xe">
                  <v:path/>
                  <v:fill on="t" focussize="0,0"/>
                  <v:stroke on="f"/>
                  <v:imagedata o:title=""/>
                  <o:lock v:ext="edit"/>
                  <w10:wrap type="none"/>
                  <w10:anchorlock/>
                </v:shape>
              </w:pict>
            </w:r>
          </w:p>
          <w:p w14:paraId="6B6A7271">
            <w:pPr>
              <w:pStyle w:val="6"/>
              <w:spacing w:before="48" w:line="221" w:lineRule="auto"/>
              <w:ind w:left="602"/>
            </w:pPr>
            <w:r>
              <w:rPr>
                <w:spacing w:val="-2"/>
              </w:rPr>
              <w:t>44</w:t>
            </w:r>
          </w:p>
          <w:p w14:paraId="39D4B9D0">
            <w:pPr>
              <w:spacing w:line="47" w:lineRule="exact"/>
              <w:ind w:firstLine="5"/>
            </w:pPr>
            <w:r>
              <w:rPr>
                <w:position w:val="-1"/>
              </w:rPr>
              <w:pict>
                <v:shape id="_x0000_s1188" o:spid="_x0000_s1188" style="height:2.9pt;width:70pt;" fillcolor="#FFFFFF" filled="t" stroked="f" coordsize="1400,58" path="m0,57l1399,57,1399,0,0,0,0,57xe">
                  <v:path/>
                  <v:fill on="t" focussize="0,0"/>
                  <v:stroke on="f"/>
                  <v:imagedata o:title=""/>
                  <o:lock v:ext="edit"/>
                  <w10:wrap type="none"/>
                  <w10:anchorlock/>
                </v:shape>
              </w:pict>
            </w:r>
          </w:p>
        </w:tc>
      </w:tr>
    </w:tbl>
    <w:p w14:paraId="428BDE31">
      <w:pPr>
        <w:spacing w:line="253" w:lineRule="auto"/>
        <w:rPr>
          <w:rFonts w:ascii="Arial"/>
          <w:sz w:val="21"/>
        </w:rPr>
      </w:pPr>
    </w:p>
    <w:p w14:paraId="03B4F8CA">
      <w:pPr>
        <w:spacing w:line="253" w:lineRule="auto"/>
        <w:rPr>
          <w:rFonts w:ascii="Arial"/>
          <w:sz w:val="21"/>
        </w:rPr>
      </w:pPr>
    </w:p>
    <w:p w14:paraId="109F26B0">
      <w:pPr>
        <w:pStyle w:val="2"/>
        <w:spacing w:before="78"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）河道污染防治措施</w:t>
      </w:r>
    </w:p>
    <w:p w14:paraId="5AF518D1">
      <w:pPr>
        <w:pStyle w:val="2"/>
        <w:spacing w:before="134" w:line="341" w:lineRule="auto"/>
        <w:ind w:left="45" w:right="97" w:firstLine="480"/>
        <w:rPr>
          <w:sz w:val="24"/>
          <w:szCs w:val="24"/>
        </w:rPr>
      </w:pPr>
      <w:r>
        <w:rPr>
          <w:spacing w:val="-5"/>
          <w:sz w:val="24"/>
          <w:szCs w:val="24"/>
        </w:rPr>
        <w:t>马龙区秉承绿水青山就是金山银山的理念，坚持节约优先、保护优先、自然恢</w:t>
      </w:r>
      <w:r>
        <w:rPr>
          <w:spacing w:val="-11"/>
          <w:sz w:val="24"/>
          <w:szCs w:val="24"/>
        </w:rPr>
        <w:t>复为主，深入实施“生态文明建设排头兵”马龙</w:t>
      </w:r>
      <w:r>
        <w:rPr>
          <w:spacing w:val="-12"/>
          <w:sz w:val="24"/>
          <w:szCs w:val="24"/>
        </w:rPr>
        <w:t>行动，环境保护工作取得积极进展。</w:t>
      </w:r>
    </w:p>
    <w:p w14:paraId="22BB0053">
      <w:pPr>
        <w:spacing w:line="341" w:lineRule="auto"/>
        <w:rPr>
          <w:sz w:val="24"/>
          <w:szCs w:val="24"/>
        </w:rPr>
        <w:sectPr>
          <w:headerReference r:id="rId109" w:type="default"/>
          <w:footerReference r:id="rId110" w:type="default"/>
          <w:pgSz w:w="11907" w:h="16839"/>
          <w:pgMar w:top="1376" w:right="1614" w:bottom="1061" w:left="1671" w:header="999" w:footer="861" w:gutter="0"/>
          <w:cols w:space="720" w:num="1"/>
        </w:sectPr>
      </w:pPr>
    </w:p>
    <w:p w14:paraId="08236568">
      <w:pPr>
        <w:spacing w:line="455" w:lineRule="auto"/>
        <w:rPr>
          <w:rFonts w:ascii="Arial"/>
          <w:sz w:val="21"/>
        </w:rPr>
      </w:pPr>
    </w:p>
    <w:p w14:paraId="6D91E08F">
      <w:pPr>
        <w:pStyle w:val="2"/>
        <w:spacing w:before="78" w:line="338" w:lineRule="auto"/>
        <w:ind w:left="22"/>
        <w:jc w:val="both"/>
        <w:rPr>
          <w:sz w:val="24"/>
          <w:szCs w:val="24"/>
        </w:rPr>
      </w:pPr>
      <w:r>
        <w:rPr>
          <w:spacing w:val="-1"/>
          <w:sz w:val="24"/>
          <w:szCs w:val="24"/>
        </w:rPr>
        <w:t>“十三五”期间，马龙区建成城区污水处理厂及配套污水收集管网。全区</w:t>
      </w:r>
      <w:r>
        <w:rPr>
          <w:spacing w:val="-31"/>
          <w:sz w:val="24"/>
          <w:szCs w:val="24"/>
        </w:rPr>
        <w:t xml:space="preserve"> </w:t>
      </w:r>
      <w:r>
        <w:rPr>
          <w:rFonts w:ascii="Times New Roman" w:hAnsi="Times New Roman" w:eastAsia="Times New Roman" w:cs="Times New Roman"/>
          <w:spacing w:val="-1"/>
          <w:sz w:val="24"/>
          <w:szCs w:val="24"/>
        </w:rPr>
        <w:t xml:space="preserve">10 </w:t>
      </w:r>
      <w:r>
        <w:rPr>
          <w:spacing w:val="-1"/>
          <w:sz w:val="24"/>
          <w:szCs w:val="24"/>
        </w:rPr>
        <w:t>个乡</w:t>
      </w:r>
      <w:r>
        <w:rPr>
          <w:spacing w:val="-7"/>
          <w:sz w:val="24"/>
          <w:szCs w:val="24"/>
        </w:rPr>
        <w:t>镇（街道）全部创成省级生态文明乡镇，在全市率先通过省级生态文明区考核验收。</w:t>
      </w:r>
      <w:r>
        <w:rPr>
          <w:spacing w:val="-2"/>
          <w:sz w:val="24"/>
          <w:szCs w:val="24"/>
        </w:rPr>
        <w:t>集镇生活污水处理和生活垃圾处理设施实现全覆盖</w:t>
      </w:r>
      <w:r>
        <w:rPr>
          <w:spacing w:val="-3"/>
          <w:sz w:val="24"/>
          <w:szCs w:val="24"/>
        </w:rPr>
        <w:t>，</w:t>
      </w:r>
      <w:r>
        <w:rPr>
          <w:rFonts w:ascii="Times New Roman" w:hAnsi="Times New Roman" w:eastAsia="Times New Roman" w:cs="Times New Roman"/>
          <w:spacing w:val="-3"/>
          <w:sz w:val="24"/>
          <w:szCs w:val="24"/>
        </w:rPr>
        <w:t>95%</w:t>
      </w:r>
      <w:r>
        <w:rPr>
          <w:spacing w:val="-3"/>
          <w:sz w:val="24"/>
          <w:szCs w:val="24"/>
        </w:rPr>
        <w:t>以上村庄生活垃圾得到有</w:t>
      </w:r>
      <w:r>
        <w:rPr>
          <w:spacing w:val="-5"/>
          <w:sz w:val="24"/>
          <w:szCs w:val="24"/>
        </w:rPr>
        <w:t>效治理。</w:t>
      </w:r>
      <w:r>
        <w:rPr>
          <w:rFonts w:ascii="Times New Roman" w:hAnsi="Times New Roman" w:eastAsia="Times New Roman" w:cs="Times New Roman"/>
          <w:spacing w:val="-5"/>
          <w:sz w:val="24"/>
          <w:szCs w:val="24"/>
        </w:rPr>
        <w:t xml:space="preserve">2020 </w:t>
      </w:r>
      <w:r>
        <w:rPr>
          <w:spacing w:val="-5"/>
          <w:sz w:val="24"/>
          <w:szCs w:val="24"/>
        </w:rPr>
        <w:t>年，划定城市集中式饮用水</w:t>
      </w:r>
      <w:r>
        <w:rPr>
          <w:spacing w:val="-6"/>
          <w:sz w:val="24"/>
          <w:szCs w:val="24"/>
        </w:rPr>
        <w:t>水源地</w:t>
      </w:r>
      <w:r>
        <w:rPr>
          <w:spacing w:val="-31"/>
          <w:sz w:val="24"/>
          <w:szCs w:val="24"/>
        </w:rPr>
        <w:t xml:space="preserve"> </w:t>
      </w:r>
      <w:r>
        <w:rPr>
          <w:rFonts w:ascii="Times New Roman" w:hAnsi="Times New Roman" w:eastAsia="Times New Roman" w:cs="Times New Roman"/>
          <w:spacing w:val="-6"/>
          <w:sz w:val="24"/>
          <w:szCs w:val="24"/>
        </w:rPr>
        <w:t xml:space="preserve">1 </w:t>
      </w:r>
      <w:r>
        <w:rPr>
          <w:spacing w:val="-6"/>
          <w:sz w:val="24"/>
          <w:szCs w:val="24"/>
        </w:rPr>
        <w:t>个、“千吨万人”饮用水水源地</w:t>
      </w:r>
      <w:r>
        <w:rPr>
          <w:spacing w:val="1"/>
          <w:sz w:val="24"/>
          <w:szCs w:val="24"/>
        </w:rPr>
        <w:t>保护区</w:t>
      </w:r>
      <w:r>
        <w:rPr>
          <w:spacing w:val="-48"/>
          <w:sz w:val="24"/>
          <w:szCs w:val="24"/>
        </w:rPr>
        <w:t xml:space="preserve"> </w:t>
      </w:r>
      <w:r>
        <w:rPr>
          <w:rFonts w:ascii="Times New Roman" w:hAnsi="Times New Roman" w:eastAsia="Times New Roman" w:cs="Times New Roman"/>
          <w:spacing w:val="1"/>
          <w:sz w:val="24"/>
          <w:szCs w:val="24"/>
        </w:rPr>
        <w:t xml:space="preserve">5 </w:t>
      </w:r>
      <w:r>
        <w:rPr>
          <w:spacing w:val="1"/>
          <w:sz w:val="24"/>
          <w:szCs w:val="24"/>
        </w:rPr>
        <w:t>个、乡镇级饮用水水源地保护区</w:t>
      </w:r>
      <w:r>
        <w:rPr>
          <w:rFonts w:ascii="Times New Roman" w:hAnsi="Times New Roman" w:eastAsia="Times New Roman" w:cs="Times New Roman"/>
          <w:spacing w:val="1"/>
          <w:sz w:val="24"/>
          <w:szCs w:val="24"/>
        </w:rPr>
        <w:t xml:space="preserve">7 </w:t>
      </w:r>
      <w:r>
        <w:rPr>
          <w:spacing w:val="1"/>
          <w:sz w:val="24"/>
          <w:szCs w:val="24"/>
        </w:rPr>
        <w:t>个；投资</w:t>
      </w:r>
      <w:r>
        <w:rPr>
          <w:spacing w:val="-50"/>
          <w:sz w:val="24"/>
          <w:szCs w:val="24"/>
        </w:rPr>
        <w:t xml:space="preserve"> </w:t>
      </w:r>
      <w:r>
        <w:rPr>
          <w:rFonts w:ascii="Times New Roman" w:hAnsi="Times New Roman" w:eastAsia="Times New Roman" w:cs="Times New Roman"/>
          <w:spacing w:val="1"/>
          <w:sz w:val="24"/>
          <w:szCs w:val="24"/>
        </w:rPr>
        <w:t>300</w:t>
      </w:r>
      <w:r>
        <w:rPr>
          <w:rFonts w:ascii="Times New Roman" w:hAnsi="Times New Roman" w:eastAsia="Times New Roman" w:cs="Times New Roman"/>
          <w:sz w:val="24"/>
          <w:szCs w:val="24"/>
        </w:rPr>
        <w:t xml:space="preserve">0 </w:t>
      </w:r>
      <w:r>
        <w:rPr>
          <w:sz w:val="24"/>
          <w:szCs w:val="24"/>
        </w:rPr>
        <w:t>余万元开展原云水机械</w:t>
      </w:r>
      <w:r>
        <w:rPr>
          <w:spacing w:val="-1"/>
          <w:sz w:val="24"/>
          <w:szCs w:val="24"/>
        </w:rPr>
        <w:t>厂污染场地修复治理、王家庄永发历史遗留锌废渣堆置场污染治理，投资</w:t>
      </w:r>
      <w:r>
        <w:rPr>
          <w:spacing w:val="-48"/>
          <w:sz w:val="24"/>
          <w:szCs w:val="24"/>
        </w:rPr>
        <w:t xml:space="preserve"> </w:t>
      </w:r>
      <w:r>
        <w:rPr>
          <w:rFonts w:ascii="Times New Roman" w:hAnsi="Times New Roman" w:eastAsia="Times New Roman" w:cs="Times New Roman"/>
          <w:spacing w:val="-1"/>
          <w:sz w:val="24"/>
          <w:szCs w:val="24"/>
        </w:rPr>
        <w:t>6710</w:t>
      </w:r>
      <w:r>
        <w:rPr>
          <w:rFonts w:ascii="Times New Roman" w:hAnsi="Times New Roman" w:eastAsia="Times New Roman" w:cs="Times New Roman"/>
          <w:spacing w:val="15"/>
          <w:sz w:val="24"/>
          <w:szCs w:val="24"/>
        </w:rPr>
        <w:t xml:space="preserve"> </w:t>
      </w:r>
      <w:r>
        <w:rPr>
          <w:spacing w:val="-1"/>
          <w:sz w:val="24"/>
          <w:szCs w:val="24"/>
        </w:rPr>
        <w:t>万</w:t>
      </w:r>
      <w:r>
        <w:rPr>
          <w:spacing w:val="-4"/>
          <w:sz w:val="24"/>
          <w:szCs w:val="24"/>
        </w:rPr>
        <w:t>元开展马龙河流域污染防治，完成</w:t>
      </w:r>
      <w:r>
        <w:rPr>
          <w:spacing w:val="-32"/>
          <w:sz w:val="24"/>
          <w:szCs w:val="24"/>
        </w:rPr>
        <w:t xml:space="preserve"> </w:t>
      </w:r>
      <w:r>
        <w:rPr>
          <w:rFonts w:ascii="Times New Roman" w:hAnsi="Times New Roman" w:eastAsia="Times New Roman" w:cs="Times New Roman"/>
          <w:spacing w:val="-4"/>
          <w:sz w:val="24"/>
          <w:szCs w:val="24"/>
        </w:rPr>
        <w:t xml:space="preserve">82 </w:t>
      </w:r>
      <w:r>
        <w:rPr>
          <w:spacing w:val="-4"/>
          <w:sz w:val="24"/>
          <w:szCs w:val="24"/>
        </w:rPr>
        <w:t>个村庄污水治理，建设污水处理系统</w:t>
      </w:r>
      <w:r>
        <w:rPr>
          <w:spacing w:val="-51"/>
          <w:sz w:val="24"/>
          <w:szCs w:val="24"/>
        </w:rPr>
        <w:t xml:space="preserve"> </w:t>
      </w:r>
      <w:r>
        <w:rPr>
          <w:rFonts w:ascii="Times New Roman" w:hAnsi="Times New Roman" w:eastAsia="Times New Roman" w:cs="Times New Roman"/>
          <w:spacing w:val="-4"/>
          <w:sz w:val="24"/>
          <w:szCs w:val="24"/>
        </w:rPr>
        <w:t xml:space="preserve">74 </w:t>
      </w:r>
      <w:r>
        <w:rPr>
          <w:spacing w:val="-4"/>
          <w:sz w:val="24"/>
          <w:szCs w:val="24"/>
        </w:rPr>
        <w:t>座，</w:t>
      </w:r>
      <w:r>
        <w:rPr>
          <w:sz w:val="24"/>
          <w:szCs w:val="24"/>
        </w:rPr>
        <w:t>马鸣、月望、大庄垃圾热解处理场建成使用。完成农村无害化户厕</w:t>
      </w:r>
      <w:r>
        <w:rPr>
          <w:spacing w:val="-1"/>
          <w:sz w:val="24"/>
          <w:szCs w:val="24"/>
        </w:rPr>
        <w:t xml:space="preserve">改造 </w:t>
      </w:r>
      <w:r>
        <w:rPr>
          <w:rFonts w:ascii="Times New Roman" w:hAnsi="Times New Roman" w:eastAsia="Times New Roman" w:cs="Times New Roman"/>
          <w:spacing w:val="-1"/>
          <w:sz w:val="24"/>
          <w:szCs w:val="24"/>
        </w:rPr>
        <w:t xml:space="preserve">4192  </w:t>
      </w:r>
      <w:r>
        <w:rPr>
          <w:spacing w:val="-1"/>
          <w:sz w:val="24"/>
          <w:szCs w:val="24"/>
        </w:rPr>
        <w:t>座。</w:t>
      </w:r>
      <w:r>
        <w:rPr>
          <w:spacing w:val="-4"/>
          <w:sz w:val="24"/>
          <w:szCs w:val="24"/>
        </w:rPr>
        <w:t>马龙区严格落实河长制，实施水安全保障、水资源保护、水环境治理、水生态修复等行动，积极推进生态河湖建设，加大水质监测和巡河保洁力度，水环境质量持续改善，城区集中式饮用水水源地黄草坪水库水质保持Ⅱ类标准，马龙河及主要河库</w:t>
      </w:r>
      <w:r>
        <w:rPr>
          <w:spacing w:val="-7"/>
          <w:sz w:val="24"/>
          <w:szCs w:val="24"/>
        </w:rPr>
        <w:t>水质达地表水Ⅲ类以上，基本实现“河长治、湖常清”。创新机制，将“十年禁渔”</w:t>
      </w:r>
      <w:r>
        <w:rPr>
          <w:spacing w:val="-4"/>
          <w:sz w:val="24"/>
          <w:szCs w:val="24"/>
        </w:rPr>
        <w:t>及长江流域水生态修复保护内容纳入河长制考核范围，压实河长职责，坚决把长江</w:t>
      </w:r>
      <w:r>
        <w:rPr>
          <w:spacing w:val="-1"/>
          <w:sz w:val="24"/>
          <w:szCs w:val="24"/>
        </w:rPr>
        <w:t>“禁渔令”落到实处。完成</w:t>
      </w:r>
      <w:r>
        <w:rPr>
          <w:spacing w:val="-31"/>
          <w:sz w:val="24"/>
          <w:szCs w:val="24"/>
        </w:rPr>
        <w:t xml:space="preserve"> </w:t>
      </w:r>
      <w:r>
        <w:rPr>
          <w:rFonts w:ascii="Times New Roman" w:hAnsi="Times New Roman" w:eastAsia="Times New Roman" w:cs="Times New Roman"/>
          <w:spacing w:val="-1"/>
          <w:sz w:val="24"/>
          <w:szCs w:val="24"/>
        </w:rPr>
        <w:t xml:space="preserve">17 </w:t>
      </w:r>
      <w:r>
        <w:rPr>
          <w:spacing w:val="-1"/>
          <w:sz w:val="24"/>
          <w:szCs w:val="24"/>
        </w:rPr>
        <w:t>个砖厂转型升级改造工作。实施中央财政补贴造林</w:t>
      </w:r>
      <w:r>
        <w:rPr>
          <w:sz w:val="24"/>
          <w:szCs w:val="24"/>
        </w:rPr>
        <w:t xml:space="preserve"> </w:t>
      </w:r>
      <w:r>
        <w:rPr>
          <w:rFonts w:ascii="Times New Roman" w:hAnsi="Times New Roman" w:eastAsia="Times New Roman" w:cs="Times New Roman"/>
          <w:spacing w:val="-2"/>
          <w:sz w:val="24"/>
          <w:szCs w:val="24"/>
        </w:rPr>
        <w:t>2000</w:t>
      </w:r>
      <w:r>
        <w:rPr>
          <w:rFonts w:ascii="Times New Roman" w:hAnsi="Times New Roman" w:eastAsia="Times New Roman" w:cs="Times New Roman"/>
          <w:spacing w:val="22"/>
          <w:w w:val="101"/>
          <w:sz w:val="24"/>
          <w:szCs w:val="24"/>
        </w:rPr>
        <w:t xml:space="preserve"> </w:t>
      </w:r>
      <w:r>
        <w:rPr>
          <w:spacing w:val="-2"/>
          <w:sz w:val="24"/>
          <w:szCs w:val="24"/>
        </w:rPr>
        <w:t>亩，义务植树</w:t>
      </w:r>
      <w:r>
        <w:rPr>
          <w:spacing w:val="-36"/>
          <w:sz w:val="24"/>
          <w:szCs w:val="24"/>
        </w:rPr>
        <w:t xml:space="preserve"> </w:t>
      </w:r>
      <w:r>
        <w:rPr>
          <w:rFonts w:ascii="Times New Roman" w:hAnsi="Times New Roman" w:eastAsia="Times New Roman" w:cs="Times New Roman"/>
          <w:spacing w:val="-2"/>
          <w:sz w:val="24"/>
          <w:szCs w:val="24"/>
        </w:rPr>
        <w:t>53.2</w:t>
      </w:r>
      <w:r>
        <w:rPr>
          <w:rFonts w:ascii="Times New Roman" w:hAnsi="Times New Roman" w:eastAsia="Times New Roman" w:cs="Times New Roman"/>
          <w:spacing w:val="29"/>
          <w:sz w:val="24"/>
          <w:szCs w:val="24"/>
        </w:rPr>
        <w:t xml:space="preserve"> </w:t>
      </w:r>
      <w:r>
        <w:rPr>
          <w:spacing w:val="-2"/>
          <w:sz w:val="24"/>
          <w:szCs w:val="24"/>
        </w:rPr>
        <w:t>万株。城区绿地率达</w:t>
      </w:r>
      <w:r>
        <w:rPr>
          <w:spacing w:val="-37"/>
          <w:sz w:val="24"/>
          <w:szCs w:val="24"/>
        </w:rPr>
        <w:t xml:space="preserve"> </w:t>
      </w:r>
      <w:r>
        <w:rPr>
          <w:rFonts w:ascii="Times New Roman" w:hAnsi="Times New Roman" w:eastAsia="Times New Roman" w:cs="Times New Roman"/>
          <w:spacing w:val="-2"/>
          <w:sz w:val="24"/>
          <w:szCs w:val="24"/>
        </w:rPr>
        <w:t>35.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w:t>
      </w:r>
      <w:r>
        <w:rPr>
          <w:spacing w:val="-3"/>
          <w:sz w:val="24"/>
          <w:szCs w:val="24"/>
        </w:rPr>
        <w:t>，绿化覆盖率达</w:t>
      </w:r>
      <w:r>
        <w:rPr>
          <w:spacing w:val="-42"/>
          <w:sz w:val="24"/>
          <w:szCs w:val="24"/>
        </w:rPr>
        <w:t xml:space="preserve"> </w:t>
      </w:r>
      <w:r>
        <w:rPr>
          <w:rFonts w:ascii="Times New Roman" w:hAnsi="Times New Roman" w:eastAsia="Times New Roman" w:cs="Times New Roman"/>
          <w:spacing w:val="-3"/>
          <w:sz w:val="24"/>
          <w:szCs w:val="24"/>
        </w:rPr>
        <w:t>40.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spacing w:val="-3"/>
          <w:sz w:val="24"/>
          <w:szCs w:val="24"/>
        </w:rPr>
        <w:t>，均高于全市平均水平。</w:t>
      </w:r>
    </w:p>
    <w:p w14:paraId="517D984C">
      <w:pPr>
        <w:pStyle w:val="2"/>
        <w:spacing w:before="27" w:line="234" w:lineRule="auto"/>
        <w:ind w:left="40"/>
        <w:rPr>
          <w:sz w:val="30"/>
          <w:szCs w:val="30"/>
        </w:rPr>
      </w:pPr>
      <w:bookmarkStart w:id="24" w:name="bookmark23"/>
      <w:bookmarkEnd w:id="24"/>
      <w:r>
        <w:rPr>
          <w:rFonts w:ascii="Times New Roman" w:hAnsi="Times New Roman" w:eastAsia="Times New Roman" w:cs="Times New Roman"/>
          <w:b/>
          <w:bCs/>
          <w:spacing w:val="-4"/>
          <w:sz w:val="30"/>
          <w:szCs w:val="30"/>
        </w:rPr>
        <w:t>5.2</w:t>
      </w:r>
      <w:r>
        <w:rPr>
          <w:rFonts w:ascii="Times New Roman" w:hAnsi="Times New Roman" w:eastAsia="Times New Roman" w:cs="Times New Roman"/>
          <w:b/>
          <w:bCs/>
          <w:spacing w:val="26"/>
          <w:w w:val="101"/>
          <w:sz w:val="30"/>
          <w:szCs w:val="30"/>
        </w:rPr>
        <w:t xml:space="preserve"> </w:t>
      </w:r>
      <w:r>
        <w:rPr>
          <w:b/>
          <w:bCs/>
          <w:spacing w:val="-4"/>
          <w:sz w:val="30"/>
          <w:szCs w:val="30"/>
        </w:rPr>
        <w:t>污染防治和处置设施</w:t>
      </w:r>
    </w:p>
    <w:p w14:paraId="14EA2914">
      <w:pPr>
        <w:pStyle w:val="2"/>
        <w:spacing w:before="198" w:line="226" w:lineRule="auto"/>
        <w:ind w:left="35"/>
        <w:rPr>
          <w:sz w:val="27"/>
          <w:szCs w:val="27"/>
        </w:rPr>
      </w:pPr>
      <w:r>
        <w:rPr>
          <w:rFonts w:ascii="Arial" w:hAnsi="Arial" w:eastAsia="Arial" w:cs="Arial"/>
          <w:spacing w:val="7"/>
          <w:position w:val="1"/>
          <w:sz w:val="21"/>
          <w:szCs w:val="21"/>
        </w:rPr>
        <w:t xml:space="preserve">5.2.1     </w:t>
      </w:r>
      <w:r>
        <w:rPr>
          <w:b/>
          <w:bCs/>
          <w:spacing w:val="7"/>
          <w:position w:val="-1"/>
          <w:sz w:val="27"/>
          <w:szCs w:val="27"/>
        </w:rPr>
        <w:t>水污染防治设施</w:t>
      </w:r>
    </w:p>
    <w:p w14:paraId="6D7F52E2">
      <w:pPr>
        <w:pStyle w:val="2"/>
        <w:spacing w:before="261" w:line="220" w:lineRule="auto"/>
        <w:ind w:left="34"/>
        <w:rPr>
          <w:sz w:val="24"/>
          <w:szCs w:val="24"/>
        </w:rPr>
      </w:pPr>
      <w:r>
        <w:rPr>
          <w:rFonts w:ascii="Arial" w:hAnsi="Arial" w:eastAsia="Arial" w:cs="Arial"/>
          <w:spacing w:val="2"/>
          <w:position w:val="1"/>
          <w:sz w:val="18"/>
          <w:szCs w:val="18"/>
        </w:rPr>
        <w:t>5.2.1.1</w:t>
      </w:r>
      <w:r>
        <w:rPr>
          <w:rFonts w:ascii="Arial" w:hAnsi="Arial" w:eastAsia="Arial" w:cs="Arial"/>
          <w:spacing w:val="60"/>
          <w:w w:val="101"/>
          <w:position w:val="1"/>
          <w:sz w:val="18"/>
          <w:szCs w:val="18"/>
        </w:rPr>
        <w:t xml:space="preserve"> </w:t>
      </w:r>
      <w:r>
        <w:rPr>
          <w:b/>
          <w:bCs/>
          <w:spacing w:val="2"/>
          <w:sz w:val="24"/>
          <w:szCs w:val="24"/>
        </w:rPr>
        <w:t>砂石料加工系统废水处理设施</w:t>
      </w:r>
    </w:p>
    <w:p w14:paraId="13C0473C">
      <w:pPr>
        <w:pStyle w:val="2"/>
        <w:spacing w:before="276" w:line="338" w:lineRule="auto"/>
        <w:ind w:left="40" w:right="52" w:firstLine="479"/>
        <w:jc w:val="both"/>
        <w:rPr>
          <w:sz w:val="24"/>
          <w:szCs w:val="24"/>
        </w:rPr>
      </w:pPr>
      <w:r>
        <w:rPr>
          <w:spacing w:val="-1"/>
          <w:sz w:val="24"/>
          <w:szCs w:val="24"/>
        </w:rPr>
        <w:t xml:space="preserve">环评阶段，车马碧工程枢纽区和输水工程区各规划 </w:t>
      </w:r>
      <w:r>
        <w:rPr>
          <w:rFonts w:ascii="Times New Roman" w:hAnsi="Times New Roman" w:eastAsia="Times New Roman" w:cs="Times New Roman"/>
          <w:spacing w:val="-1"/>
          <w:sz w:val="24"/>
          <w:szCs w:val="24"/>
        </w:rPr>
        <w:t xml:space="preserve">1  </w:t>
      </w:r>
      <w:r>
        <w:rPr>
          <w:spacing w:val="-1"/>
          <w:sz w:val="24"/>
          <w:szCs w:val="24"/>
        </w:rPr>
        <w:t>处砂石料加工系统，砂</w:t>
      </w:r>
      <w:r>
        <w:rPr>
          <w:spacing w:val="-2"/>
          <w:sz w:val="24"/>
          <w:szCs w:val="24"/>
        </w:rPr>
        <w:t>石料冲洗废水主要污染物为</w:t>
      </w:r>
      <w:r>
        <w:rPr>
          <w:spacing w:val="-27"/>
          <w:sz w:val="24"/>
          <w:szCs w:val="24"/>
        </w:rPr>
        <w:t xml:space="preserve"> </w:t>
      </w:r>
      <w:r>
        <w:rPr>
          <w:rFonts w:ascii="Times New Roman" w:hAnsi="Times New Roman" w:eastAsia="Times New Roman" w:cs="Times New Roman"/>
          <w:spacing w:val="-2"/>
          <w:sz w:val="24"/>
          <w:szCs w:val="24"/>
        </w:rPr>
        <w:t>SS</w:t>
      </w:r>
      <w:r>
        <w:rPr>
          <w:spacing w:val="-2"/>
          <w:sz w:val="24"/>
          <w:szCs w:val="24"/>
        </w:rPr>
        <w:t>，浓度一般在</w:t>
      </w:r>
      <w:r>
        <w:rPr>
          <w:spacing w:val="-32"/>
          <w:sz w:val="24"/>
          <w:szCs w:val="24"/>
        </w:rPr>
        <w:t xml:space="preserve"> </w:t>
      </w:r>
      <w:r>
        <w:rPr>
          <w:rFonts w:ascii="Times New Roman" w:hAnsi="Times New Roman" w:eastAsia="Times New Roman" w:cs="Times New Roman"/>
          <w:spacing w:val="-2"/>
          <w:sz w:val="24"/>
          <w:szCs w:val="24"/>
        </w:rPr>
        <w:t>30000</w:t>
      </w:r>
      <w:r>
        <w:rPr>
          <w:spacing w:val="-2"/>
          <w:sz w:val="24"/>
          <w:szCs w:val="24"/>
        </w:rPr>
        <w:t>～</w:t>
      </w:r>
      <w:r>
        <w:rPr>
          <w:rFonts w:ascii="Times New Roman" w:hAnsi="Times New Roman" w:eastAsia="Times New Roman" w:cs="Times New Roman"/>
          <w:spacing w:val="-2"/>
          <w:sz w:val="24"/>
          <w:szCs w:val="24"/>
        </w:rPr>
        <w:t>50000mg/L</w:t>
      </w:r>
      <w:r>
        <w:rPr>
          <w:spacing w:val="-2"/>
          <w:sz w:val="24"/>
          <w:szCs w:val="24"/>
        </w:rPr>
        <w:t>，废水连续</w:t>
      </w:r>
      <w:r>
        <w:rPr>
          <w:spacing w:val="-3"/>
          <w:sz w:val="24"/>
          <w:szCs w:val="24"/>
        </w:rPr>
        <w:t>排放，各系统高峰期废水产生量为</w:t>
      </w:r>
      <w:r>
        <w:rPr>
          <w:rFonts w:ascii="Times New Roman" w:hAnsi="Times New Roman" w:eastAsia="Times New Roman" w:cs="Times New Roman"/>
          <w:spacing w:val="-3"/>
          <w:sz w:val="24"/>
          <w:szCs w:val="24"/>
        </w:rPr>
        <w:t>54m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/h</w:t>
      </w:r>
      <w:r>
        <w:rPr>
          <w:spacing w:val="-3"/>
          <w:sz w:val="24"/>
          <w:szCs w:val="24"/>
        </w:rPr>
        <w:t>，施工期砂石料加工系统废水总排放量为</w:t>
      </w:r>
      <w:r>
        <w:rPr>
          <w:spacing w:val="-50"/>
          <w:sz w:val="24"/>
          <w:szCs w:val="24"/>
        </w:rPr>
        <w:t xml:space="preserve"> </w:t>
      </w:r>
      <w:r>
        <w:rPr>
          <w:rFonts w:ascii="Times New Roman" w:hAnsi="Times New Roman" w:eastAsia="Times New Roman" w:cs="Times New Roman"/>
          <w:spacing w:val="-3"/>
          <w:sz w:val="24"/>
          <w:szCs w:val="24"/>
        </w:rPr>
        <w:t>103.46</w:t>
      </w:r>
      <w:r>
        <w:rPr>
          <w:sz w:val="24"/>
          <w:szCs w:val="24"/>
        </w:rPr>
        <w:t>万</w:t>
      </w:r>
      <w:r>
        <w:rPr>
          <w:spacing w:val="-57"/>
          <w:sz w:val="24"/>
          <w:szCs w:val="24"/>
        </w:rPr>
        <w:t xml:space="preserve"> </w:t>
      </w:r>
      <w:r>
        <w:rPr>
          <w:rFonts w:ascii="Times New Roman" w:hAnsi="Times New Roman" w:eastAsia="Times New Roman" w:cs="Times New Roman"/>
          <w:sz w:val="24"/>
          <w:szCs w:val="24"/>
        </w:rPr>
        <w:t>m</w:t>
      </w:r>
      <w:r>
        <w:rPr>
          <w:rFonts w:ascii="Times New Roman" w:hAnsi="Times New Roman" w:eastAsia="Times New Roman" w:cs="Times New Roman"/>
          <w:position w:val="8"/>
          <w:sz w:val="15"/>
          <w:szCs w:val="15"/>
        </w:rPr>
        <w:t xml:space="preserve">3 </w:t>
      </w:r>
      <w:r>
        <w:rPr>
          <w:sz w:val="24"/>
          <w:szCs w:val="24"/>
        </w:rPr>
        <w:t>。设计采用</w:t>
      </w:r>
      <w:r>
        <w:rPr>
          <w:rFonts w:ascii="Times New Roman" w:hAnsi="Times New Roman" w:eastAsia="Times New Roman" w:cs="Times New Roman"/>
          <w:sz w:val="24"/>
          <w:szCs w:val="24"/>
        </w:rPr>
        <w:t>DH</w:t>
      </w:r>
      <w:r>
        <w:rPr>
          <w:rFonts w:ascii="Times New Roman" w:hAnsi="Times New Roman" w:eastAsia="Times New Roman" w:cs="Times New Roman"/>
          <w:spacing w:val="16"/>
          <w:w w:val="101"/>
          <w:sz w:val="24"/>
          <w:szCs w:val="24"/>
        </w:rPr>
        <w:t xml:space="preserve"> </w:t>
      </w:r>
      <w:r>
        <w:rPr>
          <w:sz w:val="24"/>
          <w:szCs w:val="24"/>
        </w:rPr>
        <w:t>高效（旋流）污水净化法对砂石料冲洗废水进行</w:t>
      </w:r>
      <w:r>
        <w:rPr>
          <w:spacing w:val="-1"/>
          <w:sz w:val="24"/>
          <w:szCs w:val="24"/>
        </w:rPr>
        <w:t>处理。</w:t>
      </w:r>
    </w:p>
    <w:p w14:paraId="4E611904">
      <w:pPr>
        <w:pStyle w:val="2"/>
        <w:spacing w:before="2" w:line="338" w:lineRule="auto"/>
        <w:ind w:left="75" w:right="118" w:firstLine="449"/>
        <w:rPr>
          <w:sz w:val="24"/>
          <w:szCs w:val="24"/>
        </w:rPr>
      </w:pPr>
      <w:r>
        <w:rPr>
          <w:spacing w:val="-5"/>
          <w:sz w:val="24"/>
          <w:szCs w:val="24"/>
        </w:rPr>
        <w:t>实际建设期间，仅启用了枢纽工程区象山砂石料场，位于车章河与马龙河交汇</w:t>
      </w:r>
      <w:r>
        <w:rPr>
          <w:spacing w:val="-2"/>
          <w:sz w:val="24"/>
          <w:szCs w:val="24"/>
        </w:rPr>
        <w:t>口上游马龙河右岸的缓坡地带，采用干法加</w:t>
      </w:r>
      <w:r>
        <w:rPr>
          <w:spacing w:val="-3"/>
          <w:sz w:val="24"/>
          <w:szCs w:val="24"/>
        </w:rPr>
        <w:t>工工艺，基本不产生生产废水。</w:t>
      </w:r>
    </w:p>
    <w:p w14:paraId="73017692">
      <w:pPr>
        <w:pStyle w:val="2"/>
        <w:spacing w:before="1" w:line="233" w:lineRule="auto"/>
        <w:ind w:left="527"/>
        <w:rPr>
          <w:sz w:val="24"/>
          <w:szCs w:val="24"/>
        </w:rPr>
      </w:pPr>
      <w:r>
        <w:rPr>
          <w:spacing w:val="-1"/>
          <w:sz w:val="24"/>
          <w:szCs w:val="24"/>
        </w:rPr>
        <w:t>象山砂石料场与工程的位置关系及砂石料加工系统生产区现状见图</w:t>
      </w:r>
      <w:r>
        <w:rPr>
          <w:spacing w:val="-43"/>
          <w:sz w:val="24"/>
          <w:szCs w:val="24"/>
        </w:rPr>
        <w:t xml:space="preserve"> </w:t>
      </w:r>
      <w:r>
        <w:rPr>
          <w:rFonts w:ascii="Times New Roman" w:hAnsi="Times New Roman" w:eastAsia="Times New Roman" w:cs="Times New Roman"/>
          <w:spacing w:val="-1"/>
          <w:sz w:val="24"/>
          <w:szCs w:val="24"/>
        </w:rPr>
        <w:t>5.2-1</w:t>
      </w:r>
      <w:r>
        <w:rPr>
          <w:spacing w:val="-1"/>
          <w:sz w:val="24"/>
          <w:szCs w:val="24"/>
        </w:rPr>
        <w:t>。</w:t>
      </w:r>
    </w:p>
    <w:p w14:paraId="666BDA77">
      <w:pPr>
        <w:spacing w:line="233" w:lineRule="auto"/>
        <w:rPr>
          <w:sz w:val="24"/>
          <w:szCs w:val="24"/>
        </w:rPr>
        <w:sectPr>
          <w:headerReference r:id="rId111" w:type="default"/>
          <w:footerReference r:id="rId112" w:type="default"/>
          <w:pgSz w:w="11907" w:h="16839"/>
          <w:pgMar w:top="1376" w:right="1581" w:bottom="1061" w:left="1671" w:header="999" w:footer="861" w:gutter="0"/>
          <w:cols w:space="720" w:num="1"/>
        </w:sectPr>
      </w:pPr>
    </w:p>
    <w:p w14:paraId="7E7596E5">
      <w:pPr>
        <w:spacing w:line="434" w:lineRule="auto"/>
        <w:rPr>
          <w:rFonts w:ascii="Arial"/>
          <w:sz w:val="21"/>
        </w:rPr>
      </w:pPr>
    </w:p>
    <w:p w14:paraId="61D732E3">
      <w:pPr>
        <w:spacing w:line="2854" w:lineRule="exact"/>
        <w:ind w:firstLine="4311"/>
      </w:pPr>
      <w:r>
        <w:drawing>
          <wp:anchor distT="0" distB="0" distL="0" distR="0" simplePos="0" relativeHeight="251699200" behindDoc="0" locked="0" layoutInCell="1" allowOverlap="1">
            <wp:simplePos x="0" y="0"/>
            <wp:positionH relativeFrom="column">
              <wp:posOffset>38100</wp:posOffset>
            </wp:positionH>
            <wp:positionV relativeFrom="paragraph">
              <wp:posOffset>0</wp:posOffset>
            </wp:positionV>
            <wp:extent cx="2659380" cy="1812290"/>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379"/>
                    <a:stretch>
                      <a:fillRect/>
                    </a:stretch>
                  </pic:blipFill>
                  <pic:spPr>
                    <a:xfrm>
                      <a:off x="0" y="0"/>
                      <a:ext cx="2659634" cy="1812290"/>
                    </a:xfrm>
                    <a:prstGeom prst="rect">
                      <a:avLst/>
                    </a:prstGeom>
                  </pic:spPr>
                </pic:pic>
              </a:graphicData>
            </a:graphic>
          </wp:anchor>
        </w:drawing>
      </w:r>
      <w:r>
        <w:rPr>
          <w:position w:val="-57"/>
        </w:rPr>
        <w:drawing>
          <wp:inline distT="0" distB="0" distL="0" distR="0">
            <wp:extent cx="2659380" cy="1812290"/>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380"/>
                    <a:stretch>
                      <a:fillRect/>
                    </a:stretch>
                  </pic:blipFill>
                  <pic:spPr>
                    <a:xfrm>
                      <a:off x="0" y="0"/>
                      <a:ext cx="2659634" cy="1812290"/>
                    </a:xfrm>
                    <a:prstGeom prst="rect">
                      <a:avLst/>
                    </a:prstGeom>
                  </pic:spPr>
                </pic:pic>
              </a:graphicData>
            </a:graphic>
          </wp:inline>
        </w:drawing>
      </w:r>
    </w:p>
    <w:p w14:paraId="13640131">
      <w:pPr>
        <w:pStyle w:val="2"/>
        <w:spacing w:before="97" w:line="220" w:lineRule="auto"/>
        <w:ind w:left="1452"/>
        <w:rPr>
          <w:sz w:val="24"/>
          <w:szCs w:val="24"/>
        </w:rPr>
      </w:pPr>
      <w:r>
        <w:rPr>
          <w:spacing w:val="-2"/>
          <w:sz w:val="24"/>
          <w:szCs w:val="24"/>
        </w:rPr>
        <w:t>象山砂石料场</w:t>
      </w:r>
      <w:r>
        <w:rPr>
          <w:spacing w:val="2"/>
          <w:sz w:val="24"/>
          <w:szCs w:val="24"/>
        </w:rPr>
        <w:t xml:space="preserve">                      </w:t>
      </w:r>
      <w:r>
        <w:rPr>
          <w:spacing w:val="-2"/>
          <w:sz w:val="24"/>
          <w:szCs w:val="24"/>
        </w:rPr>
        <w:t>砂石料加工系统</w:t>
      </w:r>
    </w:p>
    <w:p w14:paraId="44C920DA">
      <w:pPr>
        <w:spacing w:before="65" w:line="4555" w:lineRule="exact"/>
        <w:ind w:firstLine="146"/>
      </w:pPr>
      <w:r>
        <w:rPr>
          <w:position w:val="-91"/>
        </w:rPr>
        <w:drawing>
          <wp:inline distT="0" distB="0" distL="0" distR="0">
            <wp:extent cx="5257800" cy="289242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381"/>
                    <a:stretch>
                      <a:fillRect/>
                    </a:stretch>
                  </pic:blipFill>
                  <pic:spPr>
                    <a:xfrm>
                      <a:off x="0" y="0"/>
                      <a:ext cx="5258180" cy="2892425"/>
                    </a:xfrm>
                    <a:prstGeom prst="rect">
                      <a:avLst/>
                    </a:prstGeom>
                  </pic:spPr>
                </pic:pic>
              </a:graphicData>
            </a:graphic>
          </wp:inline>
        </w:drawing>
      </w:r>
    </w:p>
    <w:p w14:paraId="7BDA684C">
      <w:pPr>
        <w:pStyle w:val="2"/>
        <w:spacing w:before="218" w:line="233" w:lineRule="auto"/>
        <w:ind w:left="1986"/>
        <w:rPr>
          <w:sz w:val="24"/>
          <w:szCs w:val="24"/>
        </w:rPr>
      </w:pPr>
      <w:r>
        <w:rPr>
          <w:b/>
          <w:bCs/>
          <w:spacing w:val="-3"/>
          <w:sz w:val="24"/>
          <w:szCs w:val="24"/>
        </w:rPr>
        <w:t>图</w:t>
      </w:r>
      <w:r>
        <w:rPr>
          <w:spacing w:val="-33"/>
          <w:sz w:val="24"/>
          <w:szCs w:val="24"/>
        </w:rPr>
        <w:t xml:space="preserve"> </w:t>
      </w:r>
      <w:r>
        <w:rPr>
          <w:rFonts w:ascii="Times New Roman" w:hAnsi="Times New Roman" w:eastAsia="Times New Roman" w:cs="Times New Roman"/>
          <w:b/>
          <w:bCs/>
          <w:spacing w:val="-3"/>
          <w:sz w:val="24"/>
          <w:szCs w:val="24"/>
        </w:rPr>
        <w:t xml:space="preserve">5.2-1        </w:t>
      </w:r>
      <w:r>
        <w:rPr>
          <w:b/>
          <w:bCs/>
          <w:spacing w:val="-3"/>
          <w:sz w:val="24"/>
          <w:szCs w:val="24"/>
        </w:rPr>
        <w:t>象山砂石料场及砂石料加工系统</w:t>
      </w:r>
    </w:p>
    <w:p w14:paraId="26A231C9">
      <w:pPr>
        <w:pStyle w:val="2"/>
        <w:spacing w:before="284" w:line="220" w:lineRule="auto"/>
        <w:ind w:left="34"/>
        <w:rPr>
          <w:sz w:val="24"/>
          <w:szCs w:val="24"/>
        </w:rPr>
      </w:pPr>
      <w:r>
        <w:rPr>
          <w:rFonts w:ascii="Arial" w:hAnsi="Arial" w:eastAsia="Arial" w:cs="Arial"/>
          <w:spacing w:val="3"/>
          <w:position w:val="1"/>
          <w:sz w:val="18"/>
          <w:szCs w:val="18"/>
        </w:rPr>
        <w:t>5.2.1.2</w:t>
      </w:r>
      <w:r>
        <w:rPr>
          <w:rFonts w:ascii="Arial" w:hAnsi="Arial" w:eastAsia="Arial" w:cs="Arial"/>
          <w:spacing w:val="38"/>
          <w:w w:val="101"/>
          <w:position w:val="1"/>
          <w:sz w:val="18"/>
          <w:szCs w:val="18"/>
        </w:rPr>
        <w:t xml:space="preserve"> </w:t>
      </w:r>
      <w:r>
        <w:rPr>
          <w:b/>
          <w:bCs/>
          <w:spacing w:val="3"/>
          <w:sz w:val="24"/>
          <w:szCs w:val="24"/>
        </w:rPr>
        <w:t>混凝土拌和系统废水处理措施</w:t>
      </w:r>
    </w:p>
    <w:p w14:paraId="2580A7F1">
      <w:pPr>
        <w:pStyle w:val="2"/>
        <w:spacing w:before="274" w:line="334" w:lineRule="auto"/>
        <w:ind w:left="29" w:firstLine="489"/>
        <w:jc w:val="both"/>
        <w:rPr>
          <w:sz w:val="24"/>
          <w:szCs w:val="24"/>
        </w:rPr>
      </w:pPr>
      <w:r>
        <w:rPr>
          <w:spacing w:val="-2"/>
          <w:sz w:val="24"/>
          <w:szCs w:val="24"/>
        </w:rPr>
        <w:t>环评阶段，工程共规划布置</w:t>
      </w:r>
      <w:r>
        <w:rPr>
          <w:spacing w:val="-23"/>
          <w:sz w:val="24"/>
          <w:szCs w:val="24"/>
        </w:rPr>
        <w:t xml:space="preserve"> </w:t>
      </w:r>
      <w:r>
        <w:rPr>
          <w:rFonts w:ascii="Times New Roman" w:hAnsi="Times New Roman" w:eastAsia="Times New Roman" w:cs="Times New Roman"/>
          <w:spacing w:val="-2"/>
          <w:sz w:val="24"/>
          <w:szCs w:val="24"/>
        </w:rPr>
        <w:t xml:space="preserve">15 </w:t>
      </w:r>
      <w:r>
        <w:rPr>
          <w:spacing w:val="-2"/>
          <w:sz w:val="24"/>
          <w:szCs w:val="24"/>
        </w:rPr>
        <w:t>座混凝土生产系统，其中，枢纽区</w:t>
      </w:r>
      <w:r>
        <w:rPr>
          <w:spacing w:val="-49"/>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座，布置</w:t>
      </w:r>
      <w:r>
        <w:rPr>
          <w:spacing w:val="-4"/>
          <w:sz w:val="24"/>
          <w:szCs w:val="24"/>
        </w:rPr>
        <w:t>在大坝下游右岸及导流泄洪放空隧洞进出口；输水工程区</w:t>
      </w:r>
      <w:r>
        <w:rPr>
          <w:spacing w:val="-14"/>
          <w:sz w:val="24"/>
          <w:szCs w:val="24"/>
        </w:rPr>
        <w:t xml:space="preserve"> </w:t>
      </w:r>
      <w:r>
        <w:rPr>
          <w:rFonts w:ascii="Times New Roman" w:hAnsi="Times New Roman" w:eastAsia="Times New Roman" w:cs="Times New Roman"/>
          <w:spacing w:val="-4"/>
          <w:sz w:val="24"/>
          <w:szCs w:val="24"/>
        </w:rPr>
        <w:t xml:space="preserve">12 </w:t>
      </w:r>
      <w:r>
        <w:rPr>
          <w:spacing w:val="-4"/>
          <w:sz w:val="24"/>
          <w:szCs w:val="24"/>
        </w:rPr>
        <w:t>座，布置在</w:t>
      </w:r>
      <w:r>
        <w:rPr>
          <w:spacing w:val="-32"/>
          <w:sz w:val="24"/>
          <w:szCs w:val="24"/>
        </w:rPr>
        <w:t xml:space="preserve"> </w:t>
      </w:r>
      <w:r>
        <w:rPr>
          <w:rFonts w:ascii="Times New Roman" w:hAnsi="Times New Roman" w:eastAsia="Times New Roman" w:cs="Times New Roman"/>
          <w:spacing w:val="-4"/>
          <w:sz w:val="24"/>
          <w:szCs w:val="24"/>
        </w:rPr>
        <w:t>1#~11#</w:t>
      </w:r>
      <w:r>
        <w:rPr>
          <w:spacing w:val="-4"/>
          <w:sz w:val="24"/>
          <w:szCs w:val="24"/>
        </w:rPr>
        <w:t>支洞及隧洞出水口施工区。废水主要污染物为</w:t>
      </w:r>
      <w:r>
        <w:rPr>
          <w:spacing w:val="-19"/>
          <w:sz w:val="24"/>
          <w:szCs w:val="24"/>
        </w:rPr>
        <w:t xml:space="preserve"> </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pH</w:t>
      </w:r>
      <w:r>
        <w:rPr>
          <w:rFonts w:ascii="Times New Roman" w:hAnsi="Times New Roman" w:eastAsia="Times New Roman" w:cs="Times New Roman"/>
          <w:spacing w:val="-31"/>
          <w:sz w:val="24"/>
          <w:szCs w:val="24"/>
        </w:rPr>
        <w:t xml:space="preserve"> </w:t>
      </w:r>
      <w:r>
        <w:rPr>
          <w:spacing w:val="-4"/>
          <w:sz w:val="24"/>
          <w:szCs w:val="24"/>
        </w:rPr>
        <w:t>，</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28"/>
          <w:w w:val="101"/>
          <w:sz w:val="24"/>
          <w:szCs w:val="24"/>
        </w:rPr>
        <w:t xml:space="preserve"> </w:t>
      </w:r>
      <w:r>
        <w:rPr>
          <w:spacing w:val="-4"/>
          <w:sz w:val="24"/>
          <w:szCs w:val="24"/>
        </w:rPr>
        <w:t>浓度在</w:t>
      </w:r>
      <w:r>
        <w:rPr>
          <w:spacing w:val="-29"/>
          <w:sz w:val="24"/>
          <w:szCs w:val="24"/>
        </w:rPr>
        <w:t xml:space="preserve"> </w:t>
      </w:r>
      <w:r>
        <w:rPr>
          <w:rFonts w:ascii="Times New Roman" w:hAnsi="Times New Roman" w:eastAsia="Times New Roman" w:cs="Times New Roman"/>
          <w:spacing w:val="-4"/>
          <w:sz w:val="24"/>
          <w:szCs w:val="24"/>
        </w:rPr>
        <w:t>5000mg/L</w:t>
      </w:r>
      <w:r>
        <w:rPr>
          <w:rFonts w:ascii="Times New Roman" w:hAnsi="Times New Roman" w:eastAsia="Times New Roman" w:cs="Times New Roman"/>
          <w:spacing w:val="31"/>
          <w:sz w:val="24"/>
          <w:szCs w:val="24"/>
        </w:rPr>
        <w:t xml:space="preserve"> </w:t>
      </w:r>
      <w:r>
        <w:rPr>
          <w:spacing w:val="-4"/>
          <w:sz w:val="24"/>
          <w:szCs w:val="24"/>
        </w:rPr>
        <w:t>左右，</w:t>
      </w:r>
      <w:r>
        <w:rPr>
          <w:sz w:val="24"/>
          <w:szCs w:val="24"/>
        </w:rPr>
        <w:t xml:space="preserve"> </w:t>
      </w:r>
      <w:r>
        <w:rPr>
          <w:rFonts w:ascii="Times New Roman" w:hAnsi="Times New Roman" w:eastAsia="Times New Roman" w:cs="Times New Roman"/>
          <w:spacing w:val="-3"/>
          <w:sz w:val="24"/>
          <w:szCs w:val="24"/>
        </w:rPr>
        <w:t xml:space="preserve">pH </w:t>
      </w:r>
      <w:r>
        <w:rPr>
          <w:spacing w:val="-3"/>
          <w:sz w:val="24"/>
          <w:szCs w:val="24"/>
        </w:rPr>
        <w:t>一般大于</w:t>
      </w:r>
      <w:r>
        <w:rPr>
          <w:spacing w:val="-22"/>
          <w:sz w:val="24"/>
          <w:szCs w:val="24"/>
        </w:rPr>
        <w:t xml:space="preserve">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28"/>
          <w:sz w:val="24"/>
          <w:szCs w:val="24"/>
        </w:rPr>
        <w:t xml:space="preserve"> </w:t>
      </w:r>
      <w:r>
        <w:rPr>
          <w:spacing w:val="-3"/>
          <w:sz w:val="24"/>
          <w:szCs w:val="24"/>
        </w:rPr>
        <w:t>。废水经沉淀池处理满足要求后全部回用于自身，不外排。</w:t>
      </w:r>
    </w:p>
    <w:p w14:paraId="39E00B40">
      <w:pPr>
        <w:pStyle w:val="2"/>
        <w:spacing w:before="23" w:line="339" w:lineRule="auto"/>
        <w:ind w:left="38" w:firstLine="483"/>
        <w:rPr>
          <w:sz w:val="24"/>
          <w:szCs w:val="24"/>
        </w:rPr>
      </w:pPr>
      <w:r>
        <w:rPr>
          <w:spacing w:val="-2"/>
          <w:sz w:val="24"/>
          <w:szCs w:val="24"/>
        </w:rPr>
        <w:t>工程建设期间，枢纽区混凝土拌和站和输水</w:t>
      </w:r>
      <w:r>
        <w:rPr>
          <w:spacing w:val="-3"/>
          <w:sz w:val="24"/>
          <w:szCs w:val="24"/>
        </w:rPr>
        <w:t>隧洞施工支洞口均设置了沉淀池，</w:t>
      </w:r>
      <w:r>
        <w:rPr>
          <w:spacing w:val="-4"/>
          <w:sz w:val="24"/>
          <w:szCs w:val="24"/>
        </w:rPr>
        <w:t>废水经沉淀处理后全部回用。</w:t>
      </w:r>
    </w:p>
    <w:p w14:paraId="3E5DF6CA">
      <w:pPr>
        <w:pStyle w:val="2"/>
        <w:spacing w:before="1" w:line="233" w:lineRule="auto"/>
        <w:ind w:left="518"/>
        <w:rPr>
          <w:sz w:val="24"/>
          <w:szCs w:val="24"/>
        </w:rPr>
      </w:pPr>
      <w:r>
        <w:rPr>
          <w:spacing w:val="-1"/>
          <w:sz w:val="24"/>
          <w:szCs w:val="24"/>
        </w:rPr>
        <w:t>枢纽区混凝土拌合站沉淀池现状照片及输水隧洞支洞沉淀池现状见图</w:t>
      </w:r>
      <w:r>
        <w:rPr>
          <w:spacing w:val="-33"/>
          <w:sz w:val="24"/>
          <w:szCs w:val="24"/>
        </w:rPr>
        <w:t xml:space="preserve"> </w:t>
      </w:r>
      <w:r>
        <w:rPr>
          <w:rFonts w:ascii="Times New Roman" w:hAnsi="Times New Roman" w:eastAsia="Times New Roman" w:cs="Times New Roman"/>
          <w:spacing w:val="-1"/>
          <w:sz w:val="24"/>
          <w:szCs w:val="24"/>
        </w:rPr>
        <w:t>5.2-2</w:t>
      </w:r>
      <w:r>
        <w:rPr>
          <w:spacing w:val="-1"/>
          <w:sz w:val="24"/>
          <w:szCs w:val="24"/>
        </w:rPr>
        <w:t>。</w:t>
      </w:r>
    </w:p>
    <w:p w14:paraId="4FAE3400">
      <w:pPr>
        <w:spacing w:line="233" w:lineRule="auto"/>
        <w:rPr>
          <w:sz w:val="24"/>
          <w:szCs w:val="24"/>
        </w:rPr>
        <w:sectPr>
          <w:headerReference r:id="rId113" w:type="default"/>
          <w:footerReference r:id="rId114" w:type="default"/>
          <w:pgSz w:w="11907" w:h="16839"/>
          <w:pgMar w:top="1376" w:right="1633" w:bottom="1061" w:left="1671" w:header="999" w:footer="861" w:gutter="0"/>
          <w:cols w:space="720" w:num="1"/>
        </w:sectPr>
      </w:pPr>
    </w:p>
    <w:p w14:paraId="4B9BD366">
      <w:pPr>
        <w:spacing w:before="168"/>
      </w:pPr>
    </w:p>
    <w:p w14:paraId="6F37A8B7">
      <w:pPr>
        <w:sectPr>
          <w:headerReference r:id="rId115" w:type="default"/>
          <w:footerReference r:id="rId116" w:type="default"/>
          <w:pgSz w:w="11907" w:h="16839"/>
          <w:pgMar w:top="1376" w:right="1669" w:bottom="1061" w:left="1671" w:header="999" w:footer="861" w:gutter="0"/>
          <w:cols w:equalWidth="0" w:num="1">
            <w:col w:w="8566"/>
          </w:cols>
        </w:sectPr>
      </w:pPr>
    </w:p>
    <w:p w14:paraId="7F27A652">
      <w:pPr>
        <w:spacing w:line="2854" w:lineRule="exact"/>
        <w:ind w:firstLine="153"/>
      </w:pPr>
      <w:r>
        <w:rPr>
          <w:position w:val="-57"/>
        </w:rPr>
        <w:drawing>
          <wp:inline distT="0" distB="0" distL="0" distR="0">
            <wp:extent cx="2531745" cy="181229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382"/>
                    <a:stretch>
                      <a:fillRect/>
                    </a:stretch>
                  </pic:blipFill>
                  <pic:spPr>
                    <a:xfrm>
                      <a:off x="0" y="0"/>
                      <a:ext cx="2532126" cy="1812290"/>
                    </a:xfrm>
                    <a:prstGeom prst="rect">
                      <a:avLst/>
                    </a:prstGeom>
                  </pic:spPr>
                </pic:pic>
              </a:graphicData>
            </a:graphic>
          </wp:inline>
        </w:drawing>
      </w:r>
    </w:p>
    <w:p w14:paraId="7152E5AF">
      <w:pPr>
        <w:pStyle w:val="2"/>
        <w:spacing w:before="41" w:line="220" w:lineRule="auto"/>
        <w:ind w:left="1432"/>
        <w:rPr>
          <w:sz w:val="24"/>
          <w:szCs w:val="24"/>
        </w:rPr>
      </w:pPr>
      <w:r>
        <w:rPr>
          <w:spacing w:val="-2"/>
          <w:sz w:val="24"/>
          <w:szCs w:val="24"/>
        </w:rPr>
        <w:t>枢纽区沉淀池</w:t>
      </w:r>
    </w:p>
    <w:p w14:paraId="659495E9">
      <w:pPr>
        <w:spacing w:line="27" w:lineRule="auto"/>
        <w:rPr>
          <w:rFonts w:ascii="Arial"/>
          <w:sz w:val="2"/>
        </w:rPr>
      </w:pPr>
    </w:p>
    <w:p w14:paraId="4B7D6CDE">
      <w:pPr>
        <w:spacing w:line="14" w:lineRule="auto"/>
        <w:rPr>
          <w:rFonts w:ascii="Arial"/>
          <w:sz w:val="2"/>
        </w:rPr>
      </w:pPr>
      <w:r>
        <w:rPr>
          <w:rFonts w:ascii="Arial" w:hAnsi="Arial" w:eastAsia="Arial" w:cs="Arial"/>
          <w:sz w:val="2"/>
          <w:szCs w:val="2"/>
        </w:rPr>
        <w:br w:type="column"/>
      </w:r>
    </w:p>
    <w:p w14:paraId="3F49BF15">
      <w:pPr>
        <w:spacing w:line="2852" w:lineRule="exact"/>
      </w:pPr>
      <w:r>
        <w:rPr>
          <w:position w:val="-57"/>
        </w:rPr>
        <w:drawing>
          <wp:inline distT="0" distB="0" distL="0" distR="0">
            <wp:extent cx="2531745" cy="1811020"/>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383"/>
                    <a:stretch>
                      <a:fillRect/>
                    </a:stretch>
                  </pic:blipFill>
                  <pic:spPr>
                    <a:xfrm>
                      <a:off x="0" y="0"/>
                      <a:ext cx="2532126" cy="1811414"/>
                    </a:xfrm>
                    <a:prstGeom prst="rect">
                      <a:avLst/>
                    </a:prstGeom>
                  </pic:spPr>
                </pic:pic>
              </a:graphicData>
            </a:graphic>
          </wp:inline>
        </w:drawing>
      </w:r>
    </w:p>
    <w:p w14:paraId="79BC8CA1">
      <w:pPr>
        <w:pStyle w:val="2"/>
        <w:spacing w:before="42" w:line="220" w:lineRule="auto"/>
        <w:ind w:left="1159"/>
        <w:rPr>
          <w:sz w:val="24"/>
          <w:szCs w:val="24"/>
        </w:rPr>
      </w:pPr>
      <w:r>
        <w:rPr>
          <w:spacing w:val="-2"/>
          <w:sz w:val="24"/>
          <w:szCs w:val="24"/>
        </w:rPr>
        <w:t>砼加工区沉淀池</w:t>
      </w:r>
    </w:p>
    <w:p w14:paraId="3FBCF39F">
      <w:pPr>
        <w:spacing w:line="220" w:lineRule="auto"/>
        <w:rPr>
          <w:sz w:val="24"/>
          <w:szCs w:val="24"/>
        </w:rPr>
        <w:sectPr>
          <w:type w:val="continuous"/>
          <w:pgSz w:w="11907" w:h="16839"/>
          <w:pgMar w:top="1376" w:right="1669" w:bottom="1061" w:left="1671" w:header="999" w:footer="861" w:gutter="0"/>
          <w:cols w:equalWidth="0" w:num="2">
            <w:col w:w="4301" w:space="100"/>
            <w:col w:w="4165"/>
          </w:cols>
        </w:sectPr>
      </w:pPr>
    </w:p>
    <w:p w14:paraId="62F3713A">
      <w:pPr>
        <w:spacing w:line="43" w:lineRule="auto"/>
        <w:rPr>
          <w:rFonts w:ascii="Arial"/>
          <w:sz w:val="2"/>
        </w:rPr>
      </w:pPr>
    </w:p>
    <w:p w14:paraId="7A4EAEC4">
      <w:pPr>
        <w:spacing w:line="43"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7F0E957B">
      <w:pPr>
        <w:spacing w:line="2854" w:lineRule="exact"/>
        <w:ind w:firstLine="156"/>
      </w:pPr>
      <w:r>
        <w:rPr>
          <w:position w:val="-57"/>
        </w:rPr>
        <w:drawing>
          <wp:inline distT="0" distB="0" distL="0" distR="0">
            <wp:extent cx="2531745" cy="181229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384"/>
                    <a:stretch>
                      <a:fillRect/>
                    </a:stretch>
                  </pic:blipFill>
                  <pic:spPr>
                    <a:xfrm>
                      <a:off x="0" y="0"/>
                      <a:ext cx="2532126" cy="1812290"/>
                    </a:xfrm>
                    <a:prstGeom prst="rect">
                      <a:avLst/>
                    </a:prstGeom>
                  </pic:spPr>
                </pic:pic>
              </a:graphicData>
            </a:graphic>
          </wp:inline>
        </w:drawing>
      </w:r>
    </w:p>
    <w:p w14:paraId="3D2739AA">
      <w:pPr>
        <w:pStyle w:val="2"/>
        <w:spacing w:before="44" w:line="228" w:lineRule="auto"/>
        <w:ind w:left="1315"/>
        <w:rPr>
          <w:sz w:val="24"/>
          <w:szCs w:val="24"/>
        </w:rPr>
      </w:pPr>
      <w:r>
        <w:rPr>
          <w:rFonts w:ascii="Times New Roman" w:hAnsi="Times New Roman" w:eastAsia="Times New Roman" w:cs="Times New Roman"/>
          <w:spacing w:val="-2"/>
          <w:sz w:val="24"/>
          <w:szCs w:val="24"/>
        </w:rPr>
        <w:t>5#</w:t>
      </w:r>
      <w:r>
        <w:rPr>
          <w:spacing w:val="-2"/>
          <w:sz w:val="24"/>
          <w:szCs w:val="24"/>
        </w:rPr>
        <w:t>支洞口沉淀池</w:t>
      </w:r>
    </w:p>
    <w:p w14:paraId="075BDA32">
      <w:pPr>
        <w:spacing w:line="14" w:lineRule="auto"/>
        <w:rPr>
          <w:rFonts w:ascii="Arial"/>
          <w:sz w:val="2"/>
        </w:rPr>
      </w:pPr>
      <w:r>
        <w:rPr>
          <w:rFonts w:ascii="Arial" w:hAnsi="Arial" w:eastAsia="Arial" w:cs="Arial"/>
          <w:sz w:val="2"/>
          <w:szCs w:val="2"/>
        </w:rPr>
        <w:br w:type="column"/>
      </w:r>
    </w:p>
    <w:p w14:paraId="6768E214">
      <w:pPr>
        <w:spacing w:before="1" w:line="2854" w:lineRule="exact"/>
      </w:pPr>
      <w:r>
        <w:rPr>
          <w:position w:val="-57"/>
        </w:rPr>
        <w:drawing>
          <wp:inline distT="0" distB="0" distL="0" distR="0">
            <wp:extent cx="2531745" cy="181165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385"/>
                    <a:stretch>
                      <a:fillRect/>
                    </a:stretch>
                  </pic:blipFill>
                  <pic:spPr>
                    <a:xfrm>
                      <a:off x="0" y="0"/>
                      <a:ext cx="2532126" cy="1812289"/>
                    </a:xfrm>
                    <a:prstGeom prst="rect">
                      <a:avLst/>
                    </a:prstGeom>
                  </pic:spPr>
                </pic:pic>
              </a:graphicData>
            </a:graphic>
          </wp:inline>
        </w:drawing>
      </w:r>
    </w:p>
    <w:p w14:paraId="10CDBEC4">
      <w:pPr>
        <w:pStyle w:val="2"/>
        <w:spacing w:before="41" w:line="228" w:lineRule="auto"/>
        <w:ind w:left="1160"/>
        <w:rPr>
          <w:sz w:val="24"/>
          <w:szCs w:val="24"/>
        </w:rPr>
      </w:pPr>
      <w:r>
        <w:drawing>
          <wp:anchor distT="0" distB="0" distL="0" distR="0" simplePos="0" relativeHeight="251701248" behindDoc="0" locked="0" layoutInCell="1" allowOverlap="1">
            <wp:simplePos x="0" y="0"/>
            <wp:positionH relativeFrom="column">
              <wp:posOffset>0</wp:posOffset>
            </wp:positionH>
            <wp:positionV relativeFrom="paragraph">
              <wp:posOffset>213360</wp:posOffset>
            </wp:positionV>
            <wp:extent cx="2532380" cy="1812290"/>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386"/>
                    <a:stretch>
                      <a:fillRect/>
                    </a:stretch>
                  </pic:blipFill>
                  <pic:spPr>
                    <a:xfrm>
                      <a:off x="0" y="0"/>
                      <a:ext cx="2532126" cy="1812289"/>
                    </a:xfrm>
                    <a:prstGeom prst="rect">
                      <a:avLst/>
                    </a:prstGeom>
                  </pic:spPr>
                </pic:pic>
              </a:graphicData>
            </a:graphic>
          </wp:anchor>
        </w:drawing>
      </w:r>
      <w:r>
        <w:rPr>
          <w:rFonts w:ascii="Times New Roman" w:hAnsi="Times New Roman" w:eastAsia="Times New Roman" w:cs="Times New Roman"/>
          <w:spacing w:val="-2"/>
          <w:sz w:val="24"/>
          <w:szCs w:val="24"/>
        </w:rPr>
        <w:t>3#</w:t>
      </w:r>
      <w:r>
        <w:rPr>
          <w:spacing w:val="-2"/>
          <w:sz w:val="24"/>
          <w:szCs w:val="24"/>
        </w:rPr>
        <w:t>支洞口沉淀池</w:t>
      </w:r>
    </w:p>
    <w:p w14:paraId="3D1CE3DD">
      <w:pPr>
        <w:spacing w:line="228" w:lineRule="auto"/>
        <w:rPr>
          <w:sz w:val="24"/>
          <w:szCs w:val="24"/>
        </w:rPr>
        <w:sectPr>
          <w:type w:val="continuous"/>
          <w:pgSz w:w="11907" w:h="16839"/>
          <w:pgMar w:top="1376" w:right="1669" w:bottom="1061" w:left="1671" w:header="999" w:footer="861" w:gutter="0"/>
          <w:cols w:equalWidth="0" w:num="2">
            <w:col w:w="4301" w:space="100"/>
            <w:col w:w="4165"/>
          </w:cols>
        </w:sectPr>
      </w:pPr>
    </w:p>
    <w:p w14:paraId="5642AE17">
      <w:pPr>
        <w:spacing w:line="2853" w:lineRule="exact"/>
        <w:ind w:firstLine="153"/>
      </w:pPr>
      <w:r>
        <w:rPr>
          <w:position w:val="-57"/>
        </w:rPr>
        <w:drawing>
          <wp:inline distT="0" distB="0" distL="0" distR="0">
            <wp:extent cx="2531745" cy="181165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387"/>
                    <a:stretch>
                      <a:fillRect/>
                    </a:stretch>
                  </pic:blipFill>
                  <pic:spPr>
                    <a:xfrm>
                      <a:off x="0" y="0"/>
                      <a:ext cx="2532126" cy="1812289"/>
                    </a:xfrm>
                    <a:prstGeom prst="rect">
                      <a:avLst/>
                    </a:prstGeom>
                  </pic:spPr>
                </pic:pic>
              </a:graphicData>
            </a:graphic>
          </wp:inline>
        </w:drawing>
      </w:r>
    </w:p>
    <w:p w14:paraId="5C06A499">
      <w:pPr>
        <w:pStyle w:val="2"/>
        <w:spacing w:before="40" w:line="228" w:lineRule="auto"/>
        <w:ind w:left="2925"/>
        <w:rPr>
          <w:sz w:val="24"/>
          <w:szCs w:val="24"/>
        </w:rPr>
      </w:pPr>
      <w:r>
        <w:rPr>
          <w:spacing w:val="-2"/>
          <w:sz w:val="24"/>
          <w:szCs w:val="24"/>
        </w:rPr>
        <w:t>输水线路</w:t>
      </w:r>
      <w:r>
        <w:rPr>
          <w:spacing w:val="-45"/>
          <w:sz w:val="24"/>
          <w:szCs w:val="24"/>
        </w:rPr>
        <w:t xml:space="preserve"> </w:t>
      </w:r>
      <w:r>
        <w:rPr>
          <w:rFonts w:ascii="Times New Roman" w:hAnsi="Times New Roman" w:eastAsia="Times New Roman" w:cs="Times New Roman"/>
          <w:spacing w:val="-2"/>
          <w:sz w:val="24"/>
          <w:szCs w:val="24"/>
        </w:rPr>
        <w:t>8#</w:t>
      </w:r>
      <w:r>
        <w:rPr>
          <w:spacing w:val="-2"/>
          <w:sz w:val="24"/>
          <w:szCs w:val="24"/>
        </w:rPr>
        <w:t>支洞口沉淀池</w:t>
      </w:r>
    </w:p>
    <w:p w14:paraId="66DD4A45">
      <w:pPr>
        <w:spacing w:line="2854" w:lineRule="exact"/>
        <w:ind w:firstLine="153"/>
      </w:pPr>
      <w:r>
        <w:drawing>
          <wp:anchor distT="0" distB="0" distL="0" distR="0" simplePos="0" relativeHeight="251700224" behindDoc="0" locked="0" layoutInCell="1" allowOverlap="1">
            <wp:simplePos x="0" y="0"/>
            <wp:positionH relativeFrom="column">
              <wp:posOffset>2794000</wp:posOffset>
            </wp:positionH>
            <wp:positionV relativeFrom="paragraph">
              <wp:posOffset>0</wp:posOffset>
            </wp:positionV>
            <wp:extent cx="2532380" cy="1812290"/>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388"/>
                    <a:stretch>
                      <a:fillRect/>
                    </a:stretch>
                  </pic:blipFill>
                  <pic:spPr>
                    <a:xfrm>
                      <a:off x="0" y="0"/>
                      <a:ext cx="2532126" cy="1812289"/>
                    </a:xfrm>
                    <a:prstGeom prst="rect">
                      <a:avLst/>
                    </a:prstGeom>
                  </pic:spPr>
                </pic:pic>
              </a:graphicData>
            </a:graphic>
          </wp:anchor>
        </w:drawing>
      </w:r>
      <w:r>
        <w:rPr>
          <w:position w:val="-57"/>
        </w:rPr>
        <w:drawing>
          <wp:inline distT="0" distB="0" distL="0" distR="0">
            <wp:extent cx="2531745" cy="181165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389"/>
                    <a:stretch>
                      <a:fillRect/>
                    </a:stretch>
                  </pic:blipFill>
                  <pic:spPr>
                    <a:xfrm>
                      <a:off x="0" y="0"/>
                      <a:ext cx="2532126" cy="1812289"/>
                    </a:xfrm>
                    <a:prstGeom prst="rect">
                      <a:avLst/>
                    </a:prstGeom>
                  </pic:spPr>
                </pic:pic>
              </a:graphicData>
            </a:graphic>
          </wp:inline>
        </w:drawing>
      </w:r>
    </w:p>
    <w:p w14:paraId="329D3BD1">
      <w:pPr>
        <w:pStyle w:val="2"/>
        <w:spacing w:before="43" w:line="198" w:lineRule="auto"/>
        <w:ind w:left="2575"/>
        <w:rPr>
          <w:sz w:val="24"/>
          <w:szCs w:val="24"/>
        </w:rPr>
      </w:pPr>
      <w:r>
        <w:rPr>
          <w:spacing w:val="-1"/>
          <w:sz w:val="24"/>
          <w:szCs w:val="24"/>
        </w:rPr>
        <w:t>输水线路</w:t>
      </w:r>
      <w:r>
        <w:rPr>
          <w:rFonts w:ascii="Times New Roman" w:hAnsi="Times New Roman" w:eastAsia="Times New Roman" w:cs="Times New Roman"/>
          <w:spacing w:val="-1"/>
          <w:sz w:val="24"/>
          <w:szCs w:val="24"/>
        </w:rPr>
        <w:t>-10#</w:t>
      </w:r>
      <w:r>
        <w:rPr>
          <w:spacing w:val="-1"/>
          <w:sz w:val="24"/>
          <w:szCs w:val="24"/>
        </w:rPr>
        <w:t>施工支洞口</w:t>
      </w:r>
      <w:r>
        <w:rPr>
          <w:rFonts w:ascii="Times New Roman" w:hAnsi="Times New Roman" w:eastAsia="Times New Roman" w:cs="Times New Roman"/>
          <w:spacing w:val="-1"/>
          <w:sz w:val="24"/>
          <w:szCs w:val="24"/>
        </w:rPr>
        <w:t>-</w:t>
      </w:r>
      <w:r>
        <w:rPr>
          <w:spacing w:val="-1"/>
          <w:sz w:val="24"/>
          <w:szCs w:val="24"/>
        </w:rPr>
        <w:t>沉淀池</w:t>
      </w:r>
    </w:p>
    <w:p w14:paraId="1A04D607">
      <w:pPr>
        <w:spacing w:line="198" w:lineRule="auto"/>
        <w:rPr>
          <w:sz w:val="24"/>
          <w:szCs w:val="24"/>
        </w:rPr>
        <w:sectPr>
          <w:type w:val="continuous"/>
          <w:pgSz w:w="11907" w:h="16839"/>
          <w:pgMar w:top="1376" w:right="1669" w:bottom="1061" w:left="1671" w:header="999" w:footer="861" w:gutter="0"/>
          <w:cols w:equalWidth="0" w:num="1">
            <w:col w:w="8566"/>
          </w:cols>
        </w:sectPr>
      </w:pPr>
    </w:p>
    <w:p w14:paraId="1856A984">
      <w:pPr>
        <w:spacing w:line="407" w:lineRule="auto"/>
        <w:rPr>
          <w:rFonts w:ascii="Arial"/>
          <w:sz w:val="21"/>
        </w:rPr>
      </w:pPr>
    </w:p>
    <w:p w14:paraId="5D47E92A">
      <w:pPr>
        <w:spacing w:line="2854" w:lineRule="exact"/>
        <w:ind w:firstLine="153"/>
      </w:pPr>
      <w:r>
        <w:pict>
          <v:shape id="_x0000_s1189" o:spid="_x0000_s1189" style="position:absolute;left:0pt;margin-left:220.25pt;margin-top:0.5pt;height:142.25pt;width:0.5pt;z-index:251703296;mso-width-relative:page;mso-height-relative:page;" filled="f" stroked="t" coordsize="10,2845" path="m5,0l5,2844e">
            <v:fill on="f" focussize="0,0"/>
            <v:stroke weight="0.5pt" color="#000000" miterlimit="10"/>
            <v:imagedata o:title=""/>
            <o:lock v:ext="edit"/>
          </v:shape>
        </w:pict>
      </w:r>
      <w:r>
        <w:drawing>
          <wp:anchor distT="0" distB="0" distL="0" distR="0" simplePos="0" relativeHeight="251702272" behindDoc="0" locked="0" layoutInCell="1" allowOverlap="1">
            <wp:simplePos x="0" y="0"/>
            <wp:positionH relativeFrom="column">
              <wp:posOffset>2797175</wp:posOffset>
            </wp:positionH>
            <wp:positionV relativeFrom="paragraph">
              <wp:posOffset>0</wp:posOffset>
            </wp:positionV>
            <wp:extent cx="2529205" cy="181229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390"/>
                    <a:stretch>
                      <a:fillRect/>
                    </a:stretch>
                  </pic:blipFill>
                  <pic:spPr>
                    <a:xfrm>
                      <a:off x="0" y="0"/>
                      <a:ext cx="2528951" cy="1812290"/>
                    </a:xfrm>
                    <a:prstGeom prst="rect">
                      <a:avLst/>
                    </a:prstGeom>
                  </pic:spPr>
                </pic:pic>
              </a:graphicData>
            </a:graphic>
          </wp:anchor>
        </w:drawing>
      </w:r>
      <w:r>
        <w:rPr>
          <w:position w:val="-57"/>
        </w:rPr>
        <w:drawing>
          <wp:inline distT="0" distB="0" distL="0" distR="0">
            <wp:extent cx="2531745" cy="181229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391"/>
                    <a:stretch>
                      <a:fillRect/>
                    </a:stretch>
                  </pic:blipFill>
                  <pic:spPr>
                    <a:xfrm>
                      <a:off x="0" y="0"/>
                      <a:ext cx="2532126" cy="1812290"/>
                    </a:xfrm>
                    <a:prstGeom prst="rect">
                      <a:avLst/>
                    </a:prstGeom>
                  </pic:spPr>
                </pic:pic>
              </a:graphicData>
            </a:graphic>
          </wp:inline>
        </w:drawing>
      </w:r>
    </w:p>
    <w:p w14:paraId="0E1E424C">
      <w:pPr>
        <w:pStyle w:val="2"/>
        <w:spacing w:before="42" w:line="227" w:lineRule="auto"/>
        <w:ind w:left="2635"/>
        <w:rPr>
          <w:sz w:val="24"/>
          <w:szCs w:val="24"/>
        </w:rPr>
      </w:pPr>
      <w:r>
        <w:rPr>
          <w:spacing w:val="-1"/>
          <w:sz w:val="24"/>
          <w:szCs w:val="24"/>
        </w:rPr>
        <w:t>输水线路</w:t>
      </w:r>
      <w:r>
        <w:rPr>
          <w:rFonts w:ascii="Times New Roman" w:hAnsi="Times New Roman" w:eastAsia="Times New Roman" w:cs="Times New Roman"/>
          <w:spacing w:val="-1"/>
          <w:sz w:val="24"/>
          <w:szCs w:val="24"/>
        </w:rPr>
        <w:t>-9#</w:t>
      </w:r>
      <w:r>
        <w:rPr>
          <w:spacing w:val="-1"/>
          <w:sz w:val="24"/>
          <w:szCs w:val="24"/>
        </w:rPr>
        <w:t>施工支洞口</w:t>
      </w:r>
      <w:r>
        <w:rPr>
          <w:rFonts w:ascii="Times New Roman" w:hAnsi="Times New Roman" w:eastAsia="Times New Roman" w:cs="Times New Roman"/>
          <w:spacing w:val="-1"/>
          <w:sz w:val="24"/>
          <w:szCs w:val="24"/>
        </w:rPr>
        <w:t>-</w:t>
      </w:r>
      <w:r>
        <w:rPr>
          <w:spacing w:val="-1"/>
          <w:sz w:val="24"/>
          <w:szCs w:val="24"/>
        </w:rPr>
        <w:t>沉淀池</w:t>
      </w:r>
    </w:p>
    <w:p w14:paraId="25D6EEB5">
      <w:pPr>
        <w:spacing w:line="2853" w:lineRule="exact"/>
        <w:ind w:firstLine="153"/>
      </w:pPr>
      <w:r>
        <w:rPr>
          <w:position w:val="-57"/>
        </w:rPr>
        <w:drawing>
          <wp:inline distT="0" distB="0" distL="0" distR="0">
            <wp:extent cx="5228590" cy="181165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392"/>
                    <a:stretch>
                      <a:fillRect/>
                    </a:stretch>
                  </pic:blipFill>
                  <pic:spPr>
                    <a:xfrm>
                      <a:off x="0" y="0"/>
                      <a:ext cx="5229034" cy="1812289"/>
                    </a:xfrm>
                    <a:prstGeom prst="rect">
                      <a:avLst/>
                    </a:prstGeom>
                  </pic:spPr>
                </pic:pic>
              </a:graphicData>
            </a:graphic>
          </wp:inline>
        </w:drawing>
      </w:r>
    </w:p>
    <w:p w14:paraId="58B1F7F4">
      <w:pPr>
        <w:pStyle w:val="2"/>
        <w:spacing w:before="40" w:line="220" w:lineRule="auto"/>
        <w:ind w:left="3075"/>
        <w:rPr>
          <w:sz w:val="24"/>
          <w:szCs w:val="24"/>
        </w:rPr>
      </w:pPr>
      <w:r>
        <w:rPr>
          <w:spacing w:val="-1"/>
          <w:sz w:val="24"/>
          <w:szCs w:val="24"/>
        </w:rPr>
        <w:t>输水隧洞出口处沉淀池</w:t>
      </w:r>
    </w:p>
    <w:p w14:paraId="5D574FB1">
      <w:pPr>
        <w:pStyle w:val="2"/>
        <w:spacing w:before="137" w:line="233" w:lineRule="auto"/>
        <w:ind w:left="1670"/>
        <w:rPr>
          <w:sz w:val="24"/>
          <w:szCs w:val="24"/>
        </w:rPr>
      </w:pPr>
      <w:r>
        <w:rPr>
          <w:b/>
          <w:bCs/>
          <w:spacing w:val="-3"/>
          <w:sz w:val="24"/>
          <w:szCs w:val="24"/>
        </w:rPr>
        <w:t>图</w:t>
      </w:r>
      <w:r>
        <w:rPr>
          <w:spacing w:val="-37"/>
          <w:sz w:val="24"/>
          <w:szCs w:val="24"/>
        </w:rPr>
        <w:t xml:space="preserve"> </w:t>
      </w:r>
      <w:r>
        <w:rPr>
          <w:rFonts w:ascii="Times New Roman" w:hAnsi="Times New Roman" w:eastAsia="Times New Roman" w:cs="Times New Roman"/>
          <w:b/>
          <w:bCs/>
          <w:spacing w:val="-3"/>
          <w:sz w:val="24"/>
          <w:szCs w:val="24"/>
        </w:rPr>
        <w:t xml:space="preserve">5.2-2      </w:t>
      </w:r>
      <w:r>
        <w:rPr>
          <w:b/>
          <w:bCs/>
          <w:spacing w:val="-3"/>
          <w:sz w:val="24"/>
          <w:szCs w:val="24"/>
        </w:rPr>
        <w:t>混凝土拌合站及输水隧洞支洞口沉淀池</w:t>
      </w:r>
    </w:p>
    <w:p w14:paraId="4DAC27D8">
      <w:pPr>
        <w:pStyle w:val="2"/>
        <w:spacing w:before="257" w:line="220" w:lineRule="auto"/>
        <w:ind w:left="34"/>
        <w:rPr>
          <w:sz w:val="24"/>
          <w:szCs w:val="24"/>
        </w:rPr>
      </w:pPr>
      <w:r>
        <w:rPr>
          <w:rFonts w:ascii="Arial" w:hAnsi="Arial" w:eastAsia="Arial" w:cs="Arial"/>
          <w:spacing w:val="-7"/>
          <w:position w:val="1"/>
          <w:sz w:val="24"/>
          <w:szCs w:val="24"/>
        </w:rPr>
        <w:t>5.2.1.3</w:t>
      </w:r>
      <w:r>
        <w:rPr>
          <w:rFonts w:ascii="Arial" w:hAnsi="Arial" w:eastAsia="Arial" w:cs="Arial"/>
          <w:spacing w:val="28"/>
          <w:position w:val="1"/>
          <w:sz w:val="24"/>
          <w:szCs w:val="24"/>
        </w:rPr>
        <w:t xml:space="preserve"> </w:t>
      </w:r>
      <w:r>
        <w:rPr>
          <w:b/>
          <w:bCs/>
          <w:spacing w:val="-7"/>
          <w:sz w:val="24"/>
          <w:szCs w:val="24"/>
        </w:rPr>
        <w:t>施工废污水水质达标情况</w:t>
      </w:r>
    </w:p>
    <w:p w14:paraId="72E60A34">
      <w:pPr>
        <w:pStyle w:val="2"/>
        <w:spacing w:before="273" w:line="339" w:lineRule="auto"/>
        <w:ind w:left="38" w:right="84" w:firstLine="480"/>
        <w:rPr>
          <w:sz w:val="24"/>
          <w:szCs w:val="24"/>
        </w:rPr>
      </w:pPr>
      <w:r>
        <w:rPr>
          <w:spacing w:val="-2"/>
          <w:sz w:val="24"/>
          <w:szCs w:val="24"/>
        </w:rPr>
        <w:t>根据云南环绿环境检测技术有限公司</w:t>
      </w:r>
      <w:r>
        <w:rPr>
          <w:spacing w:val="-27"/>
          <w:sz w:val="24"/>
          <w:szCs w:val="24"/>
        </w:rPr>
        <w:t xml:space="preserve"> </w:t>
      </w:r>
      <w:r>
        <w:rPr>
          <w:rFonts w:ascii="Times New Roman" w:hAnsi="Times New Roman" w:eastAsia="Times New Roman" w:cs="Times New Roman"/>
          <w:spacing w:val="-2"/>
          <w:sz w:val="24"/>
          <w:szCs w:val="24"/>
        </w:rPr>
        <w:t>2019</w:t>
      </w:r>
      <w:r>
        <w:rPr>
          <w:rFonts w:ascii="Times New Roman" w:hAnsi="Times New Roman" w:eastAsia="Times New Roman" w:cs="Times New Roman"/>
          <w:spacing w:val="38"/>
          <w:sz w:val="24"/>
          <w:szCs w:val="24"/>
        </w:rPr>
        <w:t xml:space="preserve"> </w:t>
      </w:r>
      <w:r>
        <w:rPr>
          <w:spacing w:val="-2"/>
          <w:sz w:val="24"/>
          <w:szCs w:val="24"/>
        </w:rPr>
        <w:t>年</w:t>
      </w:r>
      <w:r>
        <w:rPr>
          <w:rFonts w:ascii="Times New Roman" w:hAnsi="Times New Roman" w:eastAsia="Times New Roman" w:cs="Times New Roman"/>
          <w:spacing w:val="-2"/>
          <w:sz w:val="24"/>
          <w:szCs w:val="24"/>
        </w:rPr>
        <w:t>-</w:t>
      </w:r>
      <w:r>
        <w:rPr>
          <w:rFonts w:ascii="Times New Roman" w:hAnsi="Times New Roman" w:eastAsia="Times New Roman" w:cs="Times New Roman"/>
          <w:spacing w:val="-3"/>
          <w:sz w:val="24"/>
          <w:szCs w:val="24"/>
        </w:rPr>
        <w:t>2021</w:t>
      </w:r>
      <w:r>
        <w:rPr>
          <w:rFonts w:ascii="Times New Roman" w:hAnsi="Times New Roman" w:eastAsia="Times New Roman" w:cs="Times New Roman"/>
          <w:spacing w:val="38"/>
          <w:sz w:val="24"/>
          <w:szCs w:val="24"/>
        </w:rPr>
        <w:t xml:space="preserve"> </w:t>
      </w:r>
      <w:r>
        <w:rPr>
          <w:spacing w:val="-3"/>
          <w:sz w:val="24"/>
          <w:szCs w:val="24"/>
        </w:rPr>
        <w:t>年各季度废水监测报告，</w:t>
      </w:r>
      <w:r>
        <w:rPr>
          <w:sz w:val="24"/>
          <w:szCs w:val="24"/>
        </w:rPr>
        <w:t>施工期共设置了</w:t>
      </w:r>
      <w:r>
        <w:rPr>
          <w:rFonts w:ascii="Times New Roman" w:hAnsi="Times New Roman" w:eastAsia="Times New Roman" w:cs="Times New Roman"/>
          <w:sz w:val="24"/>
          <w:szCs w:val="24"/>
        </w:rPr>
        <w:t xml:space="preserve">24 </w:t>
      </w:r>
      <w:r>
        <w:rPr>
          <w:sz w:val="24"/>
          <w:szCs w:val="24"/>
        </w:rPr>
        <w:t>个废水监测点，其中：</w:t>
      </w:r>
    </w:p>
    <w:p w14:paraId="1E066FF2">
      <w:pPr>
        <w:pStyle w:val="2"/>
        <w:spacing w:before="1"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）生产废水达标情况</w:t>
      </w:r>
    </w:p>
    <w:p w14:paraId="020993E5">
      <w:pPr>
        <w:pStyle w:val="2"/>
        <w:spacing w:before="136" w:line="329" w:lineRule="auto"/>
        <w:ind w:left="46" w:right="30" w:firstLine="474"/>
        <w:rPr>
          <w:sz w:val="24"/>
          <w:szCs w:val="24"/>
        </w:rPr>
      </w:pPr>
      <w:r>
        <w:rPr>
          <w:spacing w:val="-4"/>
          <w:sz w:val="24"/>
          <w:szCs w:val="24"/>
        </w:rPr>
        <w:t>生产废水监测点</w:t>
      </w:r>
      <w:r>
        <w:rPr>
          <w:spacing w:val="-16"/>
          <w:sz w:val="24"/>
          <w:szCs w:val="24"/>
        </w:rPr>
        <w:t xml:space="preserve"> </w:t>
      </w:r>
      <w:r>
        <w:rPr>
          <w:rFonts w:ascii="Times New Roman" w:hAnsi="Times New Roman" w:eastAsia="Times New Roman" w:cs="Times New Roman"/>
          <w:spacing w:val="-4"/>
          <w:sz w:val="24"/>
          <w:szCs w:val="24"/>
        </w:rPr>
        <w:t xml:space="preserve">19 </w:t>
      </w:r>
      <w:r>
        <w:rPr>
          <w:spacing w:val="-4"/>
          <w:sz w:val="24"/>
          <w:szCs w:val="24"/>
        </w:rPr>
        <w:t>个，分布在</w:t>
      </w:r>
      <w:r>
        <w:rPr>
          <w:spacing w:val="-50"/>
          <w:sz w:val="24"/>
          <w:szCs w:val="24"/>
        </w:rPr>
        <w:t xml:space="preserve"> </w:t>
      </w:r>
      <w:r>
        <w:rPr>
          <w:rFonts w:ascii="Times New Roman" w:hAnsi="Times New Roman" w:eastAsia="Times New Roman" w:cs="Times New Roman"/>
          <w:spacing w:val="-4"/>
          <w:sz w:val="24"/>
          <w:szCs w:val="24"/>
        </w:rPr>
        <w:t>3#~11#</w:t>
      </w:r>
      <w:r>
        <w:rPr>
          <w:spacing w:val="-4"/>
          <w:sz w:val="24"/>
          <w:szCs w:val="24"/>
        </w:rPr>
        <w:t>隧洞排放废水处理系统进、出口和坝址</w:t>
      </w:r>
      <w:r>
        <w:rPr>
          <w:spacing w:val="-2"/>
          <w:sz w:val="24"/>
          <w:szCs w:val="24"/>
        </w:rPr>
        <w:t>下游左岸混凝土拌合站沉淀池出口，监测指标包括</w:t>
      </w:r>
      <w:r>
        <w:rPr>
          <w:spacing w:val="-39"/>
          <w:sz w:val="24"/>
          <w:szCs w:val="24"/>
        </w:rPr>
        <w:t xml:space="preserve"> </w:t>
      </w:r>
      <w:r>
        <w:rPr>
          <w:rFonts w:ascii="Times New Roman" w:hAnsi="Times New Roman" w:eastAsia="Times New Roman" w:cs="Times New Roman"/>
          <w:spacing w:val="-2"/>
          <w:sz w:val="24"/>
          <w:szCs w:val="24"/>
        </w:rPr>
        <w:t>SS</w:t>
      </w:r>
      <w:r>
        <w:rPr>
          <w:rFonts w:ascii="Times New Roman" w:hAnsi="Times New Roman" w:eastAsia="Times New Roman" w:cs="Times New Roman"/>
          <w:spacing w:val="-34"/>
          <w:sz w:val="24"/>
          <w:szCs w:val="24"/>
        </w:rPr>
        <w:t xml:space="preserve"> </w:t>
      </w:r>
      <w:r>
        <w:rPr>
          <w:spacing w:val="-2"/>
          <w:sz w:val="24"/>
          <w:szCs w:val="24"/>
        </w:rPr>
        <w:t>、</w:t>
      </w:r>
      <w:r>
        <w:rPr>
          <w:rFonts w:ascii="Times New Roman" w:hAnsi="Times New Roman" w:eastAsia="Times New Roman" w:cs="Times New Roman"/>
          <w:spacing w:val="-2"/>
          <w:sz w:val="24"/>
          <w:szCs w:val="24"/>
        </w:rPr>
        <w:t xml:space="preserve">pH </w:t>
      </w:r>
      <w:r>
        <w:rPr>
          <w:spacing w:val="-2"/>
          <w:sz w:val="24"/>
          <w:szCs w:val="24"/>
        </w:rPr>
        <w:t>和石油类。</w:t>
      </w:r>
    </w:p>
    <w:p w14:paraId="4B35F6DB">
      <w:pPr>
        <w:pStyle w:val="2"/>
        <w:spacing w:before="25" w:line="233" w:lineRule="auto"/>
        <w:ind w:left="515"/>
        <w:rPr>
          <w:sz w:val="24"/>
          <w:szCs w:val="24"/>
        </w:rPr>
      </w:pP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 xml:space="preserve">~2021 </w:t>
      </w:r>
      <w:r>
        <w:rPr>
          <w:spacing w:val="-1"/>
          <w:sz w:val="24"/>
          <w:szCs w:val="24"/>
        </w:rPr>
        <w:t>年施工期生产废水处理系统进、出口水质见表</w:t>
      </w:r>
      <w:r>
        <w:rPr>
          <w:spacing w:val="-32"/>
          <w:sz w:val="24"/>
          <w:szCs w:val="24"/>
        </w:rPr>
        <w:t xml:space="preserve"> </w:t>
      </w:r>
      <w:r>
        <w:rPr>
          <w:rFonts w:ascii="Times New Roman" w:hAnsi="Times New Roman" w:eastAsia="Times New Roman" w:cs="Times New Roman"/>
          <w:spacing w:val="-1"/>
          <w:sz w:val="24"/>
          <w:szCs w:val="24"/>
        </w:rPr>
        <w:t>5.2-1~</w:t>
      </w:r>
      <w:r>
        <w:rPr>
          <w:spacing w:val="-1"/>
          <w:sz w:val="24"/>
          <w:szCs w:val="24"/>
        </w:rPr>
        <w:t>表</w:t>
      </w:r>
      <w:r>
        <w:rPr>
          <w:spacing w:val="-48"/>
          <w:sz w:val="24"/>
          <w:szCs w:val="24"/>
        </w:rPr>
        <w:t xml:space="preserve"> </w:t>
      </w:r>
      <w:r>
        <w:rPr>
          <w:rFonts w:ascii="Times New Roman" w:hAnsi="Times New Roman" w:eastAsia="Times New Roman" w:cs="Times New Roman"/>
          <w:spacing w:val="-1"/>
          <w:sz w:val="24"/>
          <w:szCs w:val="24"/>
        </w:rPr>
        <w:t>5.1-3</w:t>
      </w:r>
      <w:r>
        <w:rPr>
          <w:spacing w:val="-1"/>
          <w:sz w:val="24"/>
          <w:szCs w:val="24"/>
        </w:rPr>
        <w:t>。</w:t>
      </w:r>
    </w:p>
    <w:p w14:paraId="601F2012">
      <w:pPr>
        <w:pStyle w:val="2"/>
        <w:spacing w:before="138" w:line="333" w:lineRule="auto"/>
        <w:ind w:left="39" w:right="30" w:firstLine="480"/>
        <w:rPr>
          <w:sz w:val="24"/>
          <w:szCs w:val="24"/>
        </w:rPr>
      </w:pPr>
      <w:r>
        <w:rPr>
          <w:spacing w:val="-3"/>
          <w:sz w:val="24"/>
          <w:szCs w:val="24"/>
        </w:rPr>
        <w:t>根据各季度监测结果，除</w:t>
      </w:r>
      <w:r>
        <w:rPr>
          <w:spacing w:val="-50"/>
          <w:sz w:val="24"/>
          <w:szCs w:val="24"/>
        </w:rPr>
        <w:t xml:space="preserve"> </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10#</w:t>
      </w:r>
      <w:r>
        <w:rPr>
          <w:spacing w:val="-3"/>
          <w:sz w:val="24"/>
          <w:szCs w:val="24"/>
        </w:rPr>
        <w:t>隧洞排水处</w:t>
      </w:r>
      <w:r>
        <w:rPr>
          <w:spacing w:val="-4"/>
          <w:sz w:val="24"/>
          <w:szCs w:val="24"/>
        </w:rPr>
        <w:t>理设施监测结果全部达标外，其</w:t>
      </w:r>
      <w:r>
        <w:rPr>
          <w:spacing w:val="-1"/>
          <w:sz w:val="24"/>
          <w:szCs w:val="24"/>
        </w:rPr>
        <w:t>余各监测点位各季度均有不同程度的超标，</w:t>
      </w:r>
      <w:r>
        <w:rPr>
          <w:rFonts w:ascii="Times New Roman" w:hAnsi="Times New Roman" w:eastAsia="Times New Roman" w:cs="Times New Roman"/>
          <w:spacing w:val="-1"/>
          <w:sz w:val="24"/>
          <w:szCs w:val="24"/>
        </w:rPr>
        <w:t>2019</w:t>
      </w:r>
      <w:r>
        <w:rPr>
          <w:rFonts w:ascii="Times New Roman" w:hAnsi="Times New Roman" w:eastAsia="Times New Roman" w:cs="Times New Roman"/>
          <w:spacing w:val="36"/>
          <w:w w:val="101"/>
          <w:sz w:val="24"/>
          <w:szCs w:val="24"/>
        </w:rPr>
        <w:t xml:space="preserve"> </w:t>
      </w:r>
      <w:r>
        <w:rPr>
          <w:spacing w:val="-1"/>
          <w:sz w:val="24"/>
          <w:szCs w:val="24"/>
        </w:rPr>
        <w:t>年和</w:t>
      </w:r>
      <w:r>
        <w:rPr>
          <w:spacing w:val="-29"/>
          <w:sz w:val="24"/>
          <w:szCs w:val="24"/>
        </w:rPr>
        <w:t xml:space="preserve"> </w:t>
      </w:r>
      <w:r>
        <w:rPr>
          <w:rFonts w:ascii="Times New Roman" w:hAnsi="Times New Roman" w:eastAsia="Times New Roman" w:cs="Times New Roman"/>
          <w:spacing w:val="-1"/>
          <w:sz w:val="24"/>
          <w:szCs w:val="24"/>
        </w:rPr>
        <w:t>2020</w:t>
      </w:r>
      <w:r>
        <w:rPr>
          <w:rFonts w:ascii="Times New Roman" w:hAnsi="Times New Roman" w:eastAsia="Times New Roman" w:cs="Times New Roman"/>
          <w:spacing w:val="37"/>
          <w:sz w:val="24"/>
          <w:szCs w:val="24"/>
        </w:rPr>
        <w:t xml:space="preserve"> </w:t>
      </w:r>
      <w:r>
        <w:rPr>
          <w:spacing w:val="-1"/>
          <w:sz w:val="24"/>
          <w:szCs w:val="24"/>
        </w:rPr>
        <w:t>年水质较</w:t>
      </w:r>
      <w:r>
        <w:rPr>
          <w:spacing w:val="-2"/>
          <w:sz w:val="24"/>
          <w:szCs w:val="24"/>
        </w:rPr>
        <w:t>差，</w:t>
      </w:r>
      <w:r>
        <w:rPr>
          <w:rFonts w:ascii="Times New Roman" w:hAnsi="Times New Roman" w:eastAsia="Times New Roman" w:cs="Times New Roman"/>
          <w:spacing w:val="-2"/>
          <w:sz w:val="24"/>
          <w:szCs w:val="24"/>
        </w:rPr>
        <w:t>2021</w:t>
      </w:r>
      <w:r>
        <w:rPr>
          <w:rFonts w:ascii="Times New Roman" w:hAnsi="Times New Roman" w:eastAsia="Times New Roman" w:cs="Times New Roman"/>
          <w:spacing w:val="37"/>
          <w:sz w:val="24"/>
          <w:szCs w:val="24"/>
        </w:rPr>
        <w:t xml:space="preserve"> </w:t>
      </w:r>
      <w:r>
        <w:rPr>
          <w:spacing w:val="-2"/>
          <w:sz w:val="24"/>
          <w:szCs w:val="24"/>
        </w:rPr>
        <w:t>年</w:t>
      </w:r>
      <w:r>
        <w:rPr>
          <w:spacing w:val="-4"/>
          <w:sz w:val="24"/>
          <w:szCs w:val="24"/>
        </w:rPr>
        <w:t>相对改善，各监测点水质达标情况如下：</w:t>
      </w:r>
    </w:p>
    <w:p w14:paraId="63479A74">
      <w:pPr>
        <w:pStyle w:val="2"/>
        <w:spacing w:before="20" w:line="233" w:lineRule="auto"/>
        <w:ind w:left="519"/>
        <w:rPr>
          <w:sz w:val="24"/>
          <w:szCs w:val="24"/>
        </w:rPr>
      </w:pPr>
      <w:r>
        <w:rPr>
          <w:rFonts w:ascii="Times New Roman" w:hAnsi="Times New Roman" w:eastAsia="Times New Roman" w:cs="Times New Roman"/>
          <w:spacing w:val="-2"/>
          <w:sz w:val="24"/>
          <w:szCs w:val="24"/>
        </w:rPr>
        <w:t>3#</w:t>
      </w:r>
      <w:r>
        <w:rPr>
          <w:spacing w:val="-2"/>
          <w:sz w:val="24"/>
          <w:szCs w:val="24"/>
        </w:rPr>
        <w:t>隧洞排水处理系统出水口：</w:t>
      </w:r>
      <w:r>
        <w:rPr>
          <w:rFonts w:ascii="Times New Roman" w:hAnsi="Times New Roman" w:eastAsia="Times New Roman" w:cs="Times New Roman"/>
          <w:spacing w:val="-2"/>
          <w:sz w:val="24"/>
          <w:szCs w:val="24"/>
        </w:rPr>
        <w:t xml:space="preserve">2019 </w:t>
      </w:r>
      <w:r>
        <w:rPr>
          <w:spacing w:val="-2"/>
          <w:sz w:val="24"/>
          <w:szCs w:val="24"/>
        </w:rPr>
        <w:t>年</w:t>
      </w:r>
      <w:r>
        <w:rPr>
          <w:spacing w:val="-27"/>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季度</w:t>
      </w:r>
      <w:r>
        <w:rPr>
          <w:spacing w:val="-44"/>
          <w:sz w:val="24"/>
          <w:szCs w:val="24"/>
        </w:rPr>
        <w:t xml:space="preserve"> </w:t>
      </w:r>
      <w:r>
        <w:rPr>
          <w:rFonts w:ascii="Times New Roman" w:hAnsi="Times New Roman" w:eastAsia="Times New Roman" w:cs="Times New Roman"/>
          <w:spacing w:val="-2"/>
          <w:sz w:val="24"/>
          <w:szCs w:val="24"/>
        </w:rPr>
        <w:t xml:space="preserve">SS </w:t>
      </w:r>
      <w:r>
        <w:rPr>
          <w:spacing w:val="-2"/>
          <w:sz w:val="24"/>
          <w:szCs w:val="24"/>
        </w:rPr>
        <w:t>超标。</w:t>
      </w:r>
    </w:p>
    <w:p w14:paraId="01F019B9">
      <w:pPr>
        <w:pStyle w:val="2"/>
        <w:spacing w:before="138" w:line="329" w:lineRule="auto"/>
        <w:ind w:left="40" w:right="31" w:firstLine="473"/>
        <w:rPr>
          <w:sz w:val="24"/>
          <w:szCs w:val="24"/>
        </w:rPr>
      </w:pPr>
      <w:r>
        <w:rPr>
          <w:rFonts w:ascii="Times New Roman" w:hAnsi="Times New Roman" w:eastAsia="Times New Roman" w:cs="Times New Roman"/>
          <w:spacing w:val="-4"/>
          <w:sz w:val="24"/>
          <w:szCs w:val="24"/>
        </w:rPr>
        <w:t>4#</w:t>
      </w:r>
      <w:r>
        <w:rPr>
          <w:spacing w:val="-4"/>
          <w:sz w:val="24"/>
          <w:szCs w:val="24"/>
        </w:rPr>
        <w:t>隧洞排水处理系统出水口：</w:t>
      </w:r>
      <w:r>
        <w:rPr>
          <w:rFonts w:ascii="Times New Roman" w:hAnsi="Times New Roman" w:eastAsia="Times New Roman" w:cs="Times New Roman"/>
          <w:spacing w:val="-4"/>
          <w:sz w:val="24"/>
          <w:szCs w:val="24"/>
        </w:rPr>
        <w:t xml:space="preserve">2019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季度</w:t>
      </w:r>
      <w:r>
        <w:rPr>
          <w:spacing w:val="-45"/>
          <w:sz w:val="24"/>
          <w:szCs w:val="24"/>
        </w:rPr>
        <w:t xml:space="preserve"> </w:t>
      </w:r>
      <w:r>
        <w:rPr>
          <w:rFonts w:ascii="Times New Roman" w:hAnsi="Times New Roman" w:eastAsia="Times New Roman" w:cs="Times New Roman"/>
          <w:spacing w:val="-4"/>
          <w:sz w:val="24"/>
          <w:szCs w:val="24"/>
        </w:rPr>
        <w:t xml:space="preserve">SS </w:t>
      </w:r>
      <w:r>
        <w:rPr>
          <w:spacing w:val="-4"/>
          <w:sz w:val="24"/>
          <w:szCs w:val="24"/>
        </w:rPr>
        <w:t>超标；</w:t>
      </w:r>
      <w:r>
        <w:rPr>
          <w:rFonts w:ascii="Times New Roman" w:hAnsi="Times New Roman" w:eastAsia="Times New Roman" w:cs="Times New Roman"/>
          <w:spacing w:val="-4"/>
          <w:sz w:val="24"/>
          <w:szCs w:val="24"/>
        </w:rPr>
        <w:t xml:space="preserve">2020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1~3</w:t>
      </w:r>
      <w:r>
        <w:rPr>
          <w:rFonts w:ascii="Times New Roman" w:hAnsi="Times New Roman" w:eastAsia="Times New Roman" w:cs="Times New Roman"/>
          <w:spacing w:val="11"/>
          <w:sz w:val="24"/>
          <w:szCs w:val="24"/>
        </w:rPr>
        <w:t xml:space="preserve"> </w:t>
      </w:r>
      <w:r>
        <w:rPr>
          <w:spacing w:val="-4"/>
          <w:sz w:val="24"/>
          <w:szCs w:val="24"/>
        </w:rPr>
        <w:t>季度</w:t>
      </w:r>
      <w:r>
        <w:rPr>
          <w:spacing w:val="-45"/>
          <w:sz w:val="24"/>
          <w:szCs w:val="24"/>
        </w:rPr>
        <w:t xml:space="preserve"> </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5"/>
          <w:sz w:val="24"/>
          <w:szCs w:val="24"/>
        </w:rPr>
        <w:t xml:space="preserve"> </w:t>
      </w:r>
      <w:r>
        <w:rPr>
          <w:spacing w:val="-5"/>
          <w:sz w:val="24"/>
          <w:szCs w:val="24"/>
        </w:rPr>
        <w:t>超</w:t>
      </w:r>
      <w:r>
        <w:rPr>
          <w:spacing w:val="-4"/>
          <w:sz w:val="24"/>
          <w:szCs w:val="24"/>
        </w:rPr>
        <w:t>标；</w:t>
      </w:r>
      <w:r>
        <w:rPr>
          <w:rFonts w:ascii="Times New Roman" w:hAnsi="Times New Roman" w:eastAsia="Times New Roman" w:cs="Times New Roman"/>
          <w:spacing w:val="-4"/>
          <w:sz w:val="24"/>
          <w:szCs w:val="24"/>
        </w:rPr>
        <w:t xml:space="preserve">2021 </w:t>
      </w:r>
      <w:r>
        <w:rPr>
          <w:spacing w:val="-4"/>
          <w:sz w:val="24"/>
          <w:szCs w:val="24"/>
        </w:rPr>
        <w:t>年</w:t>
      </w:r>
      <w:r>
        <w:rPr>
          <w:spacing w:val="-2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季度</w:t>
      </w:r>
      <w:r>
        <w:rPr>
          <w:spacing w:val="-45"/>
          <w:sz w:val="24"/>
          <w:szCs w:val="24"/>
        </w:rPr>
        <w:t xml:space="preserve"> </w:t>
      </w:r>
      <w:r>
        <w:rPr>
          <w:rFonts w:ascii="Times New Roman" w:hAnsi="Times New Roman" w:eastAsia="Times New Roman" w:cs="Times New Roman"/>
          <w:spacing w:val="-4"/>
          <w:sz w:val="24"/>
          <w:szCs w:val="24"/>
        </w:rPr>
        <w:t xml:space="preserve">SS </w:t>
      </w:r>
      <w:r>
        <w:rPr>
          <w:spacing w:val="-4"/>
          <w:sz w:val="24"/>
          <w:szCs w:val="24"/>
        </w:rPr>
        <w:t>超标、</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10"/>
          <w:sz w:val="24"/>
          <w:szCs w:val="24"/>
        </w:rPr>
        <w:t xml:space="preserve"> </w:t>
      </w:r>
      <w:r>
        <w:rPr>
          <w:spacing w:val="-4"/>
          <w:sz w:val="24"/>
          <w:szCs w:val="24"/>
        </w:rPr>
        <w:t>季度</w:t>
      </w:r>
      <w:r>
        <w:rPr>
          <w:spacing w:val="-60"/>
          <w:sz w:val="24"/>
          <w:szCs w:val="24"/>
        </w:rPr>
        <w:t xml:space="preserve"> </w:t>
      </w:r>
      <w:r>
        <w:rPr>
          <w:rFonts w:ascii="Times New Roman" w:hAnsi="Times New Roman" w:eastAsia="Times New Roman" w:cs="Times New Roman"/>
          <w:spacing w:val="-4"/>
          <w:sz w:val="24"/>
          <w:szCs w:val="24"/>
        </w:rPr>
        <w:t>pH</w:t>
      </w:r>
      <w:r>
        <w:rPr>
          <w:rFonts w:ascii="Times New Roman" w:hAnsi="Times New Roman" w:eastAsia="Times New Roman" w:cs="Times New Roman"/>
          <w:spacing w:val="9"/>
          <w:sz w:val="24"/>
          <w:szCs w:val="24"/>
        </w:rPr>
        <w:t xml:space="preserve"> </w:t>
      </w:r>
      <w:r>
        <w:rPr>
          <w:spacing w:val="-4"/>
          <w:sz w:val="24"/>
          <w:szCs w:val="24"/>
        </w:rPr>
        <w:t>值超标。</w:t>
      </w:r>
    </w:p>
    <w:p w14:paraId="4CC2085B">
      <w:pPr>
        <w:pStyle w:val="2"/>
        <w:spacing w:before="24" w:line="233" w:lineRule="auto"/>
        <w:ind w:right="20"/>
        <w:jc w:val="right"/>
        <w:rPr>
          <w:sz w:val="24"/>
          <w:szCs w:val="24"/>
        </w:rPr>
      </w:pPr>
      <w:r>
        <w:rPr>
          <w:rFonts w:ascii="Times New Roman" w:hAnsi="Times New Roman" w:eastAsia="Times New Roman" w:cs="Times New Roman"/>
          <w:spacing w:val="-3"/>
          <w:sz w:val="24"/>
          <w:szCs w:val="24"/>
        </w:rPr>
        <w:t>5#</w:t>
      </w:r>
      <w:r>
        <w:rPr>
          <w:spacing w:val="-3"/>
          <w:sz w:val="24"/>
          <w:szCs w:val="24"/>
        </w:rPr>
        <w:t>隧洞排水处理系统出水口：</w:t>
      </w:r>
      <w:r>
        <w:rPr>
          <w:rFonts w:ascii="Times New Roman" w:hAnsi="Times New Roman" w:eastAsia="Times New Roman" w:cs="Times New Roman"/>
          <w:spacing w:val="-3"/>
          <w:sz w:val="24"/>
          <w:szCs w:val="24"/>
        </w:rPr>
        <w:t>2019</w:t>
      </w:r>
      <w:r>
        <w:rPr>
          <w:rFonts w:ascii="Times New Roman" w:hAnsi="Times New Roman" w:eastAsia="Times New Roman" w:cs="Times New Roman"/>
          <w:spacing w:val="18"/>
          <w:sz w:val="24"/>
          <w:szCs w:val="24"/>
        </w:rPr>
        <w:t xml:space="preserve"> </w:t>
      </w:r>
      <w:r>
        <w:rPr>
          <w:spacing w:val="-3"/>
          <w:sz w:val="24"/>
          <w:szCs w:val="24"/>
        </w:rPr>
        <w:t>年</w:t>
      </w:r>
      <w:r>
        <w:rPr>
          <w:spacing w:val="-25"/>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8"/>
          <w:sz w:val="24"/>
          <w:szCs w:val="24"/>
        </w:rPr>
        <w:t xml:space="preserve"> </w:t>
      </w:r>
      <w:r>
        <w:rPr>
          <w:spacing w:val="-3"/>
          <w:sz w:val="24"/>
          <w:szCs w:val="24"/>
        </w:rPr>
        <w:t>季度</w:t>
      </w:r>
      <w:r>
        <w:rPr>
          <w:spacing w:val="-38"/>
          <w:sz w:val="24"/>
          <w:szCs w:val="24"/>
        </w:rPr>
        <w:t xml:space="preserve"> </w:t>
      </w:r>
      <w:r>
        <w:rPr>
          <w:rFonts w:ascii="Times New Roman" w:hAnsi="Times New Roman" w:eastAsia="Times New Roman" w:cs="Times New Roman"/>
          <w:spacing w:val="-3"/>
          <w:sz w:val="24"/>
          <w:szCs w:val="24"/>
        </w:rPr>
        <w:t>SS</w:t>
      </w:r>
      <w:r>
        <w:rPr>
          <w:rFonts w:ascii="Times New Roman" w:hAnsi="Times New Roman" w:eastAsia="Times New Roman" w:cs="Times New Roman"/>
          <w:spacing w:val="15"/>
          <w:w w:val="101"/>
          <w:sz w:val="24"/>
          <w:szCs w:val="24"/>
        </w:rPr>
        <w:t xml:space="preserve"> </w:t>
      </w:r>
      <w:r>
        <w:rPr>
          <w:spacing w:val="-3"/>
          <w:sz w:val="24"/>
          <w:szCs w:val="24"/>
        </w:rPr>
        <w:t>超标；</w:t>
      </w:r>
      <w:r>
        <w:rPr>
          <w:rFonts w:ascii="Times New Roman" w:hAnsi="Times New Roman" w:eastAsia="Times New Roman" w:cs="Times New Roman"/>
          <w:spacing w:val="-3"/>
          <w:sz w:val="24"/>
          <w:szCs w:val="24"/>
        </w:rPr>
        <w:t>2020</w:t>
      </w:r>
      <w:r>
        <w:rPr>
          <w:rFonts w:ascii="Times New Roman" w:hAnsi="Times New Roman" w:eastAsia="Times New Roman" w:cs="Times New Roman"/>
          <w:spacing w:val="17"/>
          <w:w w:val="101"/>
          <w:sz w:val="24"/>
          <w:szCs w:val="24"/>
        </w:rPr>
        <w:t xml:space="preserve"> </w:t>
      </w:r>
      <w:r>
        <w:rPr>
          <w:spacing w:val="-3"/>
          <w:sz w:val="24"/>
          <w:szCs w:val="24"/>
        </w:rPr>
        <w:t>年</w:t>
      </w:r>
      <w:r>
        <w:rPr>
          <w:spacing w:val="-42"/>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17"/>
          <w:w w:val="101"/>
          <w:sz w:val="24"/>
          <w:szCs w:val="24"/>
        </w:rPr>
        <w:t xml:space="preserve"> </w:t>
      </w:r>
      <w:r>
        <w:rPr>
          <w:spacing w:val="-3"/>
          <w:sz w:val="24"/>
          <w:szCs w:val="24"/>
        </w:rPr>
        <w:t>季度</w:t>
      </w:r>
      <w:r>
        <w:rPr>
          <w:spacing w:val="-4"/>
          <w:sz w:val="24"/>
          <w:szCs w:val="24"/>
        </w:rPr>
        <w:t>和</w:t>
      </w:r>
      <w:r>
        <w:rPr>
          <w:spacing w:val="-49"/>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19"/>
          <w:sz w:val="24"/>
          <w:szCs w:val="24"/>
        </w:rPr>
        <w:t xml:space="preserve"> </w:t>
      </w:r>
      <w:r>
        <w:rPr>
          <w:spacing w:val="-4"/>
          <w:sz w:val="24"/>
          <w:szCs w:val="24"/>
        </w:rPr>
        <w:t>季</w:t>
      </w:r>
    </w:p>
    <w:p w14:paraId="327C094A">
      <w:pPr>
        <w:spacing w:line="233" w:lineRule="auto"/>
        <w:rPr>
          <w:sz w:val="24"/>
          <w:szCs w:val="24"/>
        </w:rPr>
        <w:sectPr>
          <w:footerReference r:id="rId117" w:type="default"/>
          <w:pgSz w:w="11907" w:h="16839"/>
          <w:pgMar w:top="1376" w:right="1669" w:bottom="1061" w:left="1671" w:header="999" w:footer="861" w:gutter="0"/>
          <w:cols w:space="720" w:num="1"/>
        </w:sectPr>
      </w:pPr>
    </w:p>
    <w:p w14:paraId="332D03C7">
      <w:pPr>
        <w:spacing w:line="455" w:lineRule="auto"/>
        <w:rPr>
          <w:rFonts w:ascii="Arial"/>
          <w:sz w:val="21"/>
        </w:rPr>
      </w:pPr>
    </w:p>
    <w:p w14:paraId="685F0A3A">
      <w:pPr>
        <w:pStyle w:val="2"/>
        <w:spacing w:before="78" w:line="220" w:lineRule="auto"/>
        <w:ind w:left="38"/>
        <w:rPr>
          <w:sz w:val="24"/>
          <w:szCs w:val="24"/>
        </w:rPr>
      </w:pPr>
      <w:r>
        <w:rPr>
          <w:spacing w:val="-4"/>
          <w:sz w:val="24"/>
          <w:szCs w:val="24"/>
        </w:rPr>
        <w:t>度</w:t>
      </w:r>
      <w:r>
        <w:rPr>
          <w:spacing w:val="-42"/>
          <w:sz w:val="24"/>
          <w:szCs w:val="24"/>
        </w:rPr>
        <w:t xml:space="preserve"> </w:t>
      </w:r>
      <w:r>
        <w:rPr>
          <w:rFonts w:ascii="Times New Roman" w:hAnsi="Times New Roman" w:eastAsia="Times New Roman" w:cs="Times New Roman"/>
          <w:spacing w:val="-4"/>
          <w:sz w:val="24"/>
          <w:szCs w:val="24"/>
        </w:rPr>
        <w:t xml:space="preserve">SS </w:t>
      </w:r>
      <w:r>
        <w:rPr>
          <w:spacing w:val="-4"/>
          <w:sz w:val="24"/>
          <w:szCs w:val="24"/>
        </w:rPr>
        <w:t>超标。</w:t>
      </w:r>
    </w:p>
    <w:p w14:paraId="674C5CE8">
      <w:pPr>
        <w:pStyle w:val="2"/>
        <w:spacing w:before="153" w:line="332" w:lineRule="auto"/>
        <w:ind w:left="38" w:right="87" w:firstLine="481"/>
        <w:rPr>
          <w:sz w:val="24"/>
          <w:szCs w:val="24"/>
        </w:rPr>
      </w:pPr>
      <w:r>
        <w:rPr>
          <w:rFonts w:ascii="Times New Roman" w:hAnsi="Times New Roman" w:eastAsia="Times New Roman" w:cs="Times New Roman"/>
          <w:spacing w:val="-4"/>
          <w:sz w:val="24"/>
          <w:szCs w:val="24"/>
        </w:rPr>
        <w:t>6#</w:t>
      </w:r>
      <w:r>
        <w:rPr>
          <w:spacing w:val="-4"/>
          <w:sz w:val="24"/>
          <w:szCs w:val="24"/>
        </w:rPr>
        <w:t>隧洞排水处理系统出水口：</w:t>
      </w:r>
      <w:r>
        <w:rPr>
          <w:rFonts w:ascii="Times New Roman" w:hAnsi="Times New Roman" w:eastAsia="Times New Roman" w:cs="Times New Roman"/>
          <w:spacing w:val="-4"/>
          <w:sz w:val="24"/>
          <w:szCs w:val="24"/>
        </w:rPr>
        <w:t>2019</w:t>
      </w:r>
      <w:r>
        <w:rPr>
          <w:rFonts w:ascii="Times New Roman" w:hAnsi="Times New Roman" w:eastAsia="Times New Roman" w:cs="Times New Roman"/>
          <w:spacing w:val="20"/>
          <w:sz w:val="24"/>
          <w:szCs w:val="24"/>
        </w:rPr>
        <w:t xml:space="preserve"> </w:t>
      </w:r>
      <w:r>
        <w:rPr>
          <w:spacing w:val="-4"/>
          <w:sz w:val="24"/>
          <w:szCs w:val="24"/>
        </w:rPr>
        <w:t>年</w:t>
      </w:r>
      <w:r>
        <w:rPr>
          <w:spacing w:val="-25"/>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spacing w:val="-4"/>
          <w:sz w:val="24"/>
          <w:szCs w:val="24"/>
        </w:rPr>
        <w:t>季度和</w:t>
      </w:r>
      <w:r>
        <w:rPr>
          <w:spacing w:val="-43"/>
          <w:sz w:val="24"/>
          <w:szCs w:val="24"/>
        </w:rPr>
        <w:t xml:space="preserve"> </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17"/>
          <w:w w:val="101"/>
          <w:sz w:val="24"/>
          <w:szCs w:val="24"/>
        </w:rPr>
        <w:t xml:space="preserve"> </w:t>
      </w:r>
      <w:r>
        <w:rPr>
          <w:spacing w:val="-4"/>
          <w:sz w:val="24"/>
          <w:szCs w:val="24"/>
        </w:rPr>
        <w:t>季度</w:t>
      </w:r>
      <w:r>
        <w:rPr>
          <w:spacing w:val="-38"/>
          <w:sz w:val="24"/>
          <w:szCs w:val="24"/>
        </w:rPr>
        <w:t xml:space="preserve"> </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16"/>
          <w:sz w:val="24"/>
          <w:szCs w:val="24"/>
        </w:rPr>
        <w:t xml:space="preserve"> </w:t>
      </w:r>
      <w:r>
        <w:rPr>
          <w:spacing w:val="-4"/>
          <w:sz w:val="24"/>
          <w:szCs w:val="24"/>
        </w:rPr>
        <w:t>超标；</w:t>
      </w:r>
      <w:r>
        <w:rPr>
          <w:rFonts w:ascii="Times New Roman" w:hAnsi="Times New Roman" w:eastAsia="Times New Roman" w:cs="Times New Roman"/>
          <w:spacing w:val="-4"/>
          <w:sz w:val="24"/>
          <w:szCs w:val="24"/>
        </w:rPr>
        <w:t>2021</w:t>
      </w:r>
      <w:r>
        <w:rPr>
          <w:rFonts w:ascii="Times New Roman" w:hAnsi="Times New Roman" w:eastAsia="Times New Roman" w:cs="Times New Roman"/>
          <w:spacing w:val="18"/>
          <w:sz w:val="24"/>
          <w:szCs w:val="24"/>
        </w:rPr>
        <w:t xml:space="preserve"> </w:t>
      </w:r>
      <w:r>
        <w:rPr>
          <w:spacing w:val="-4"/>
          <w:sz w:val="24"/>
          <w:szCs w:val="24"/>
        </w:rPr>
        <w:t>年</w:t>
      </w:r>
      <w:r>
        <w:rPr>
          <w:spacing w:val="-25"/>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7"/>
          <w:w w:val="101"/>
          <w:sz w:val="24"/>
          <w:szCs w:val="24"/>
        </w:rPr>
        <w:t xml:space="preserve"> </w:t>
      </w:r>
      <w:r>
        <w:rPr>
          <w:spacing w:val="-4"/>
          <w:sz w:val="24"/>
          <w:szCs w:val="24"/>
        </w:rPr>
        <w:t>季度</w:t>
      </w:r>
      <w:r>
        <w:rPr>
          <w:spacing w:val="-42"/>
          <w:sz w:val="24"/>
          <w:szCs w:val="24"/>
        </w:rPr>
        <w:t xml:space="preserve"> </w:t>
      </w:r>
      <w:r>
        <w:rPr>
          <w:rFonts w:ascii="Times New Roman" w:hAnsi="Times New Roman" w:eastAsia="Times New Roman" w:cs="Times New Roman"/>
          <w:spacing w:val="-4"/>
          <w:sz w:val="24"/>
          <w:szCs w:val="24"/>
        </w:rPr>
        <w:t xml:space="preserve">SS </w:t>
      </w:r>
      <w:r>
        <w:rPr>
          <w:spacing w:val="-4"/>
          <w:sz w:val="24"/>
          <w:szCs w:val="24"/>
        </w:rPr>
        <w:t>超标。</w:t>
      </w:r>
    </w:p>
    <w:p w14:paraId="16B1E885">
      <w:pPr>
        <w:pStyle w:val="2"/>
        <w:spacing w:before="17" w:line="331" w:lineRule="auto"/>
        <w:ind w:left="40" w:right="85" w:firstLine="478"/>
        <w:rPr>
          <w:sz w:val="24"/>
          <w:szCs w:val="24"/>
        </w:rPr>
      </w:pPr>
      <w:r>
        <w:rPr>
          <w:rFonts w:ascii="Times New Roman" w:hAnsi="Times New Roman" w:eastAsia="Times New Roman" w:cs="Times New Roman"/>
          <w:spacing w:val="-3"/>
          <w:sz w:val="24"/>
          <w:szCs w:val="24"/>
        </w:rPr>
        <w:t>7#</w:t>
      </w:r>
      <w:r>
        <w:rPr>
          <w:spacing w:val="-3"/>
          <w:sz w:val="24"/>
          <w:szCs w:val="24"/>
        </w:rPr>
        <w:t>隧洞排水处理系统出水口：</w:t>
      </w:r>
      <w:r>
        <w:rPr>
          <w:rFonts w:ascii="Times New Roman" w:hAnsi="Times New Roman" w:eastAsia="Times New Roman" w:cs="Times New Roman"/>
          <w:spacing w:val="-3"/>
          <w:sz w:val="24"/>
          <w:szCs w:val="24"/>
        </w:rPr>
        <w:t>2019</w:t>
      </w:r>
      <w:r>
        <w:rPr>
          <w:rFonts w:ascii="Times New Roman" w:hAnsi="Times New Roman" w:eastAsia="Times New Roman" w:cs="Times New Roman"/>
          <w:spacing w:val="25"/>
          <w:w w:val="101"/>
          <w:sz w:val="24"/>
          <w:szCs w:val="24"/>
        </w:rPr>
        <w:t xml:space="preserve"> </w:t>
      </w:r>
      <w:r>
        <w:rPr>
          <w:spacing w:val="-3"/>
          <w:sz w:val="24"/>
          <w:szCs w:val="24"/>
        </w:rPr>
        <w:t>年</w:t>
      </w:r>
      <w:r>
        <w:rPr>
          <w:spacing w:val="-41"/>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5"/>
          <w:sz w:val="24"/>
          <w:szCs w:val="24"/>
        </w:rPr>
        <w:t xml:space="preserve"> </w:t>
      </w:r>
      <w:r>
        <w:rPr>
          <w:spacing w:val="-3"/>
          <w:sz w:val="24"/>
          <w:szCs w:val="24"/>
        </w:rPr>
        <w:t>季度和</w:t>
      </w:r>
      <w:r>
        <w:rPr>
          <w:spacing w:val="-42"/>
          <w:sz w:val="24"/>
          <w:szCs w:val="24"/>
        </w:rPr>
        <w:t xml:space="preserve"> </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5"/>
          <w:sz w:val="24"/>
          <w:szCs w:val="24"/>
        </w:rPr>
        <w:t xml:space="preserve"> </w:t>
      </w:r>
      <w:r>
        <w:rPr>
          <w:spacing w:val="-3"/>
          <w:sz w:val="24"/>
          <w:szCs w:val="24"/>
        </w:rPr>
        <w:t>季度</w:t>
      </w:r>
      <w:r>
        <w:rPr>
          <w:spacing w:val="-31"/>
          <w:sz w:val="24"/>
          <w:szCs w:val="24"/>
        </w:rPr>
        <w:t xml:space="preserve"> </w:t>
      </w:r>
      <w:r>
        <w:rPr>
          <w:rFonts w:ascii="Times New Roman" w:hAnsi="Times New Roman" w:eastAsia="Times New Roman" w:cs="Times New Roman"/>
          <w:spacing w:val="-3"/>
          <w:sz w:val="24"/>
          <w:szCs w:val="24"/>
        </w:rPr>
        <w:t>SS</w:t>
      </w:r>
      <w:r>
        <w:rPr>
          <w:rFonts w:ascii="Times New Roman" w:hAnsi="Times New Roman" w:eastAsia="Times New Roman" w:cs="Times New Roman"/>
          <w:spacing w:val="23"/>
          <w:sz w:val="24"/>
          <w:szCs w:val="24"/>
        </w:rPr>
        <w:t xml:space="preserve"> </w:t>
      </w:r>
      <w:r>
        <w:rPr>
          <w:spacing w:val="-3"/>
          <w:sz w:val="24"/>
          <w:szCs w:val="24"/>
        </w:rPr>
        <w:t>超</w:t>
      </w:r>
      <w:r>
        <w:rPr>
          <w:spacing w:val="-4"/>
          <w:sz w:val="24"/>
          <w:szCs w:val="24"/>
        </w:rPr>
        <w:t>标；</w:t>
      </w:r>
      <w:r>
        <w:rPr>
          <w:rFonts w:ascii="Times New Roman" w:hAnsi="Times New Roman" w:eastAsia="Times New Roman" w:cs="Times New Roman"/>
          <w:spacing w:val="-4"/>
          <w:sz w:val="24"/>
          <w:szCs w:val="24"/>
        </w:rPr>
        <w:t>2020</w:t>
      </w:r>
      <w:r>
        <w:rPr>
          <w:rFonts w:ascii="Times New Roman" w:hAnsi="Times New Roman" w:eastAsia="Times New Roman" w:cs="Times New Roman"/>
          <w:spacing w:val="24"/>
          <w:w w:val="101"/>
          <w:sz w:val="24"/>
          <w:szCs w:val="24"/>
        </w:rPr>
        <w:t xml:space="preserve"> </w:t>
      </w:r>
      <w:r>
        <w:rPr>
          <w:spacing w:val="-4"/>
          <w:sz w:val="24"/>
          <w:szCs w:val="24"/>
        </w:rPr>
        <w:t xml:space="preserve">年 </w:t>
      </w:r>
      <w:r>
        <w:rPr>
          <w:rFonts w:ascii="Times New Roman" w:hAnsi="Times New Roman" w:eastAsia="Times New Roman" w:cs="Times New Roman"/>
          <w:spacing w:val="-4"/>
          <w:sz w:val="24"/>
          <w:szCs w:val="24"/>
        </w:rPr>
        <w:t>1~4</w:t>
      </w:r>
      <w:r>
        <w:rPr>
          <w:spacing w:val="-2"/>
          <w:sz w:val="24"/>
          <w:szCs w:val="24"/>
        </w:rPr>
        <w:t>季度</w:t>
      </w:r>
      <w:r>
        <w:rPr>
          <w:spacing w:val="-44"/>
          <w:sz w:val="24"/>
          <w:szCs w:val="24"/>
        </w:rPr>
        <w:t xml:space="preserve"> </w:t>
      </w:r>
      <w:r>
        <w:rPr>
          <w:rFonts w:ascii="Times New Roman" w:hAnsi="Times New Roman" w:eastAsia="Times New Roman" w:cs="Times New Roman"/>
          <w:spacing w:val="-2"/>
          <w:sz w:val="24"/>
          <w:szCs w:val="24"/>
        </w:rPr>
        <w:t xml:space="preserve">SS </w:t>
      </w:r>
      <w:r>
        <w:rPr>
          <w:spacing w:val="-2"/>
          <w:sz w:val="24"/>
          <w:szCs w:val="24"/>
        </w:rPr>
        <w:t>均有不同程度超标。</w:t>
      </w:r>
    </w:p>
    <w:p w14:paraId="4992701D">
      <w:pPr>
        <w:pStyle w:val="2"/>
        <w:spacing w:before="20" w:line="328" w:lineRule="auto"/>
        <w:ind w:left="38" w:right="86" w:firstLine="486"/>
        <w:rPr>
          <w:sz w:val="24"/>
          <w:szCs w:val="24"/>
        </w:rPr>
      </w:pPr>
      <w:r>
        <w:rPr>
          <w:rFonts w:ascii="Times New Roman" w:hAnsi="Times New Roman" w:eastAsia="Times New Roman" w:cs="Times New Roman"/>
          <w:spacing w:val="-3"/>
          <w:sz w:val="24"/>
          <w:szCs w:val="24"/>
        </w:rPr>
        <w:t>8#</w:t>
      </w:r>
      <w:r>
        <w:rPr>
          <w:spacing w:val="-3"/>
          <w:sz w:val="24"/>
          <w:szCs w:val="24"/>
        </w:rPr>
        <w:t>隧洞排水处理系统出水口：</w:t>
      </w:r>
      <w:r>
        <w:rPr>
          <w:rFonts w:ascii="Times New Roman" w:hAnsi="Times New Roman" w:eastAsia="Times New Roman" w:cs="Times New Roman"/>
          <w:spacing w:val="-3"/>
          <w:sz w:val="24"/>
          <w:szCs w:val="24"/>
        </w:rPr>
        <w:t>2019</w:t>
      </w:r>
      <w:r>
        <w:rPr>
          <w:rFonts w:ascii="Times New Roman" w:hAnsi="Times New Roman" w:eastAsia="Times New Roman" w:cs="Times New Roman"/>
          <w:spacing w:val="18"/>
          <w:sz w:val="24"/>
          <w:szCs w:val="24"/>
        </w:rPr>
        <w:t xml:space="preserve"> </w:t>
      </w:r>
      <w:r>
        <w:rPr>
          <w:spacing w:val="-3"/>
          <w:sz w:val="24"/>
          <w:szCs w:val="24"/>
        </w:rPr>
        <w:t>年</w:t>
      </w:r>
      <w:r>
        <w:rPr>
          <w:spacing w:val="-48"/>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8"/>
          <w:sz w:val="24"/>
          <w:szCs w:val="24"/>
        </w:rPr>
        <w:t xml:space="preserve"> </w:t>
      </w:r>
      <w:r>
        <w:rPr>
          <w:spacing w:val="-3"/>
          <w:sz w:val="24"/>
          <w:szCs w:val="24"/>
        </w:rPr>
        <w:t>季度</w:t>
      </w:r>
      <w:r>
        <w:rPr>
          <w:spacing w:val="-38"/>
          <w:sz w:val="24"/>
          <w:szCs w:val="24"/>
        </w:rPr>
        <w:t xml:space="preserve"> </w:t>
      </w:r>
      <w:r>
        <w:rPr>
          <w:rFonts w:ascii="Times New Roman" w:hAnsi="Times New Roman" w:eastAsia="Times New Roman" w:cs="Times New Roman"/>
          <w:spacing w:val="-3"/>
          <w:sz w:val="24"/>
          <w:szCs w:val="24"/>
        </w:rPr>
        <w:t>SS</w:t>
      </w:r>
      <w:r>
        <w:rPr>
          <w:rFonts w:ascii="Times New Roman" w:hAnsi="Times New Roman" w:eastAsia="Times New Roman" w:cs="Times New Roman"/>
          <w:spacing w:val="15"/>
          <w:w w:val="101"/>
          <w:sz w:val="24"/>
          <w:szCs w:val="24"/>
        </w:rPr>
        <w:t xml:space="preserve"> </w:t>
      </w:r>
      <w:r>
        <w:rPr>
          <w:spacing w:val="-3"/>
          <w:sz w:val="24"/>
          <w:szCs w:val="24"/>
        </w:rPr>
        <w:t>超</w:t>
      </w:r>
      <w:r>
        <w:rPr>
          <w:spacing w:val="-4"/>
          <w:sz w:val="24"/>
          <w:szCs w:val="24"/>
        </w:rPr>
        <w:t>标；</w:t>
      </w:r>
      <w:r>
        <w:rPr>
          <w:rFonts w:ascii="Times New Roman" w:hAnsi="Times New Roman" w:eastAsia="Times New Roman" w:cs="Times New Roman"/>
          <w:spacing w:val="-4"/>
          <w:sz w:val="24"/>
          <w:szCs w:val="24"/>
        </w:rPr>
        <w:t>2020</w:t>
      </w:r>
      <w:r>
        <w:rPr>
          <w:rFonts w:ascii="Times New Roman" w:hAnsi="Times New Roman" w:eastAsia="Times New Roman" w:cs="Times New Roman"/>
          <w:spacing w:val="17"/>
          <w:w w:val="101"/>
          <w:sz w:val="24"/>
          <w:szCs w:val="24"/>
        </w:rPr>
        <w:t xml:space="preserve"> </w:t>
      </w:r>
      <w:r>
        <w:rPr>
          <w:spacing w:val="-4"/>
          <w:sz w:val="24"/>
          <w:szCs w:val="24"/>
        </w:rPr>
        <w:t>年</w:t>
      </w:r>
      <w:r>
        <w:rPr>
          <w:spacing w:val="-24"/>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spacing w:val="-4"/>
          <w:sz w:val="24"/>
          <w:szCs w:val="24"/>
        </w:rPr>
        <w:t>季度和</w:t>
      </w:r>
      <w:r>
        <w:rPr>
          <w:spacing w:val="-48"/>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19"/>
          <w:sz w:val="24"/>
          <w:szCs w:val="24"/>
        </w:rPr>
        <w:t xml:space="preserve"> </w:t>
      </w:r>
      <w:r>
        <w:rPr>
          <w:spacing w:val="-4"/>
          <w:sz w:val="24"/>
          <w:szCs w:val="24"/>
        </w:rPr>
        <w:t>季度</w:t>
      </w:r>
      <w:r>
        <w:rPr>
          <w:spacing w:val="-43"/>
          <w:sz w:val="24"/>
          <w:szCs w:val="24"/>
        </w:rPr>
        <w:t xml:space="preserve"> </w:t>
      </w:r>
      <w:r>
        <w:rPr>
          <w:rFonts w:ascii="Times New Roman" w:hAnsi="Times New Roman" w:eastAsia="Times New Roman" w:cs="Times New Roman"/>
          <w:spacing w:val="-4"/>
          <w:sz w:val="24"/>
          <w:szCs w:val="24"/>
        </w:rPr>
        <w:t xml:space="preserve">SS </w:t>
      </w:r>
      <w:r>
        <w:rPr>
          <w:spacing w:val="-4"/>
          <w:sz w:val="24"/>
          <w:szCs w:val="24"/>
        </w:rPr>
        <w:t>超标；</w:t>
      </w:r>
      <w:r>
        <w:rPr>
          <w:rFonts w:ascii="Times New Roman" w:hAnsi="Times New Roman" w:eastAsia="Times New Roman" w:cs="Times New Roman"/>
          <w:spacing w:val="-4"/>
          <w:sz w:val="24"/>
          <w:szCs w:val="24"/>
        </w:rPr>
        <w:t xml:space="preserve">2021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季度</w:t>
      </w:r>
      <w:r>
        <w:rPr>
          <w:spacing w:val="-60"/>
          <w:sz w:val="24"/>
          <w:szCs w:val="24"/>
        </w:rPr>
        <w:t xml:space="preserve"> </w:t>
      </w:r>
      <w:r>
        <w:rPr>
          <w:rFonts w:ascii="Times New Roman" w:hAnsi="Times New Roman" w:eastAsia="Times New Roman" w:cs="Times New Roman"/>
          <w:spacing w:val="-4"/>
          <w:sz w:val="24"/>
          <w:szCs w:val="24"/>
        </w:rPr>
        <w:t xml:space="preserve">pH </w:t>
      </w:r>
      <w:r>
        <w:rPr>
          <w:spacing w:val="-4"/>
          <w:sz w:val="24"/>
          <w:szCs w:val="24"/>
        </w:rPr>
        <w:t>值超标，</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10"/>
          <w:sz w:val="24"/>
          <w:szCs w:val="24"/>
        </w:rPr>
        <w:t xml:space="preserve"> </w:t>
      </w:r>
      <w:r>
        <w:rPr>
          <w:spacing w:val="-4"/>
          <w:sz w:val="24"/>
          <w:szCs w:val="24"/>
        </w:rPr>
        <w:t>季度</w:t>
      </w:r>
      <w:r>
        <w:rPr>
          <w:spacing w:val="-45"/>
          <w:sz w:val="24"/>
          <w:szCs w:val="24"/>
        </w:rPr>
        <w:t xml:space="preserve"> </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8"/>
          <w:sz w:val="24"/>
          <w:szCs w:val="24"/>
        </w:rPr>
        <w:t xml:space="preserve"> </w:t>
      </w:r>
      <w:r>
        <w:rPr>
          <w:spacing w:val="-4"/>
          <w:sz w:val="24"/>
          <w:szCs w:val="24"/>
        </w:rPr>
        <w:t>超标。</w:t>
      </w:r>
    </w:p>
    <w:p w14:paraId="410E8EC2">
      <w:pPr>
        <w:pStyle w:val="2"/>
        <w:spacing w:before="26" w:line="233" w:lineRule="auto"/>
        <w:ind w:left="519"/>
        <w:rPr>
          <w:sz w:val="24"/>
          <w:szCs w:val="24"/>
        </w:rPr>
      </w:pPr>
      <w:r>
        <w:rPr>
          <w:rFonts w:ascii="Times New Roman" w:hAnsi="Times New Roman" w:eastAsia="Times New Roman" w:cs="Times New Roman"/>
          <w:spacing w:val="-3"/>
          <w:sz w:val="24"/>
          <w:szCs w:val="24"/>
        </w:rPr>
        <w:t>9#</w:t>
      </w:r>
      <w:r>
        <w:rPr>
          <w:spacing w:val="-3"/>
          <w:sz w:val="24"/>
          <w:szCs w:val="24"/>
        </w:rPr>
        <w:t>隧洞排水处理系统出水口：均达标。</w:t>
      </w:r>
    </w:p>
    <w:p w14:paraId="2788E577">
      <w:pPr>
        <w:pStyle w:val="2"/>
        <w:spacing w:before="137" w:line="233" w:lineRule="auto"/>
        <w:ind w:left="538"/>
        <w:rPr>
          <w:sz w:val="24"/>
          <w:szCs w:val="24"/>
        </w:rPr>
      </w:pPr>
      <w:r>
        <w:rPr>
          <w:rFonts w:ascii="Times New Roman" w:hAnsi="Times New Roman" w:eastAsia="Times New Roman" w:cs="Times New Roman"/>
          <w:spacing w:val="-3"/>
          <w:sz w:val="24"/>
          <w:szCs w:val="24"/>
        </w:rPr>
        <w:t>10#</w:t>
      </w:r>
      <w:r>
        <w:rPr>
          <w:spacing w:val="-3"/>
          <w:sz w:val="24"/>
          <w:szCs w:val="24"/>
        </w:rPr>
        <w:t>隧洞排水处理系统出水口：均达标。</w:t>
      </w:r>
    </w:p>
    <w:p w14:paraId="1D4F1F39">
      <w:pPr>
        <w:pStyle w:val="2"/>
        <w:spacing w:before="136" w:line="213" w:lineRule="auto"/>
        <w:ind w:left="538"/>
        <w:rPr>
          <w:sz w:val="24"/>
          <w:szCs w:val="24"/>
        </w:rPr>
      </w:pPr>
      <w:r>
        <w:rPr>
          <w:rFonts w:ascii="Times New Roman" w:hAnsi="Times New Roman" w:eastAsia="Times New Roman" w:cs="Times New Roman"/>
          <w:spacing w:val="-1"/>
          <w:sz w:val="24"/>
          <w:szCs w:val="24"/>
        </w:rPr>
        <w:t>11#</w:t>
      </w:r>
      <w:r>
        <w:rPr>
          <w:spacing w:val="-1"/>
          <w:sz w:val="24"/>
          <w:szCs w:val="24"/>
        </w:rPr>
        <w:t>隧洞排水处理系统出水口：</w:t>
      </w:r>
      <w:r>
        <w:rPr>
          <w:rFonts w:ascii="Times New Roman" w:hAnsi="Times New Roman" w:eastAsia="Times New Roman" w:cs="Times New Roman"/>
          <w:spacing w:val="-1"/>
          <w:sz w:val="24"/>
          <w:szCs w:val="24"/>
        </w:rPr>
        <w:t xml:space="preserve">2020 </w:t>
      </w:r>
      <w:r>
        <w:rPr>
          <w:spacing w:val="-1"/>
          <w:sz w:val="24"/>
          <w:szCs w:val="24"/>
        </w:rPr>
        <w:t>年</w:t>
      </w:r>
      <w:r>
        <w:rPr>
          <w:spacing w:val="-50"/>
          <w:sz w:val="24"/>
          <w:szCs w:val="24"/>
        </w:rPr>
        <w:t xml:space="preserve"> </w:t>
      </w:r>
      <w:r>
        <w:rPr>
          <w:rFonts w:ascii="Times New Roman" w:hAnsi="Times New Roman" w:eastAsia="Times New Roman" w:cs="Times New Roman"/>
          <w:spacing w:val="-1"/>
          <w:sz w:val="24"/>
          <w:szCs w:val="24"/>
        </w:rPr>
        <w:t xml:space="preserve">3 </w:t>
      </w:r>
      <w:r>
        <w:rPr>
          <w:spacing w:val="-2"/>
          <w:sz w:val="24"/>
          <w:szCs w:val="24"/>
        </w:rPr>
        <w:t>季度和</w:t>
      </w:r>
      <w:r>
        <w:rPr>
          <w:spacing w:val="-56"/>
          <w:sz w:val="24"/>
          <w:szCs w:val="24"/>
        </w:rPr>
        <w:t xml:space="preserve"> </w:t>
      </w:r>
      <w:r>
        <w:rPr>
          <w:rFonts w:ascii="Times New Roman" w:hAnsi="Times New Roman" w:eastAsia="Times New Roman" w:cs="Times New Roman"/>
          <w:spacing w:val="-2"/>
          <w:sz w:val="24"/>
          <w:szCs w:val="24"/>
        </w:rPr>
        <w:t xml:space="preserve">4 </w:t>
      </w:r>
      <w:r>
        <w:rPr>
          <w:spacing w:val="-2"/>
          <w:sz w:val="24"/>
          <w:szCs w:val="24"/>
        </w:rPr>
        <w:t>季度</w:t>
      </w:r>
      <w:r>
        <w:rPr>
          <w:spacing w:val="-61"/>
          <w:sz w:val="24"/>
          <w:szCs w:val="24"/>
        </w:rPr>
        <w:t xml:space="preserve"> </w:t>
      </w:r>
      <w:r>
        <w:rPr>
          <w:rFonts w:ascii="Times New Roman" w:hAnsi="Times New Roman" w:eastAsia="Times New Roman" w:cs="Times New Roman"/>
          <w:spacing w:val="-2"/>
          <w:sz w:val="24"/>
          <w:szCs w:val="24"/>
        </w:rPr>
        <w:t xml:space="preserve">pH </w:t>
      </w:r>
      <w:r>
        <w:rPr>
          <w:spacing w:val="-2"/>
          <w:sz w:val="24"/>
          <w:szCs w:val="24"/>
        </w:rPr>
        <w:t>值超标、</w:t>
      </w:r>
    </w:p>
    <w:p w14:paraId="6EB981C3">
      <w:pPr>
        <w:pStyle w:val="2"/>
        <w:spacing w:before="164" w:line="332" w:lineRule="auto"/>
        <w:ind w:left="35" w:right="1" w:firstLine="483"/>
        <w:rPr>
          <w:sz w:val="24"/>
          <w:szCs w:val="24"/>
        </w:rPr>
      </w:pPr>
      <w:r>
        <w:rPr>
          <w:spacing w:val="-2"/>
          <w:sz w:val="24"/>
          <w:szCs w:val="24"/>
        </w:rPr>
        <w:t>坝址下游左岸混凝土拌合站沉淀池出水口：</w:t>
      </w:r>
      <w:r>
        <w:rPr>
          <w:rFonts w:ascii="Times New Roman" w:hAnsi="Times New Roman" w:eastAsia="Times New Roman" w:cs="Times New Roman"/>
          <w:spacing w:val="-2"/>
          <w:sz w:val="24"/>
          <w:szCs w:val="24"/>
        </w:rPr>
        <w:t xml:space="preserve">2019 </w:t>
      </w:r>
      <w:r>
        <w:rPr>
          <w:spacing w:val="-2"/>
          <w:sz w:val="24"/>
          <w:szCs w:val="24"/>
        </w:rPr>
        <w:t>年</w:t>
      </w:r>
      <w:r>
        <w:rPr>
          <w:spacing w:val="-29"/>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季度和</w:t>
      </w:r>
      <w:r>
        <w:rPr>
          <w:spacing w:val="-54"/>
          <w:sz w:val="24"/>
          <w:szCs w:val="24"/>
        </w:rPr>
        <w:t xml:space="preserve"> </w:t>
      </w:r>
      <w:r>
        <w:rPr>
          <w:rFonts w:ascii="Times New Roman" w:hAnsi="Times New Roman" w:eastAsia="Times New Roman" w:cs="Times New Roman"/>
          <w:spacing w:val="-2"/>
          <w:sz w:val="24"/>
          <w:szCs w:val="24"/>
        </w:rPr>
        <w:t xml:space="preserve">4 </w:t>
      </w:r>
      <w:r>
        <w:rPr>
          <w:spacing w:val="-2"/>
          <w:sz w:val="24"/>
          <w:szCs w:val="24"/>
        </w:rPr>
        <w:t>季度</w:t>
      </w:r>
      <w:r>
        <w:rPr>
          <w:spacing w:val="-43"/>
          <w:sz w:val="24"/>
          <w:szCs w:val="24"/>
        </w:rPr>
        <w:t xml:space="preserve"> </w:t>
      </w:r>
      <w:r>
        <w:rPr>
          <w:rFonts w:ascii="Times New Roman" w:hAnsi="Times New Roman" w:eastAsia="Times New Roman" w:cs="Times New Roman"/>
          <w:spacing w:val="-2"/>
          <w:sz w:val="24"/>
          <w:szCs w:val="24"/>
        </w:rPr>
        <w:t xml:space="preserve">SS </w:t>
      </w:r>
      <w:r>
        <w:rPr>
          <w:spacing w:val="-2"/>
          <w:sz w:val="24"/>
          <w:szCs w:val="24"/>
        </w:rPr>
        <w:t>超</w:t>
      </w:r>
      <w:r>
        <w:rPr>
          <w:spacing w:val="-3"/>
          <w:sz w:val="24"/>
          <w:szCs w:val="24"/>
        </w:rPr>
        <w:t>标、</w:t>
      </w:r>
      <w:r>
        <w:rPr>
          <w:sz w:val="24"/>
          <w:szCs w:val="24"/>
        </w:rPr>
        <w:t xml:space="preserve"> </w:t>
      </w:r>
      <w:r>
        <w:rPr>
          <w:rFonts w:ascii="Times New Roman" w:hAnsi="Times New Roman" w:eastAsia="Times New Roman" w:cs="Times New Roman"/>
          <w:spacing w:val="-4"/>
          <w:sz w:val="24"/>
          <w:szCs w:val="24"/>
        </w:rPr>
        <w:t>2019</w:t>
      </w:r>
      <w:r>
        <w:rPr>
          <w:rFonts w:ascii="Times New Roman" w:hAnsi="Times New Roman" w:eastAsia="Times New Roman" w:cs="Times New Roman"/>
          <w:spacing w:val="38"/>
          <w:sz w:val="24"/>
          <w:szCs w:val="24"/>
        </w:rPr>
        <w:t xml:space="preserve"> </w:t>
      </w:r>
      <w:r>
        <w:rPr>
          <w:spacing w:val="-4"/>
          <w:sz w:val="24"/>
          <w:szCs w:val="24"/>
        </w:rPr>
        <w:t xml:space="preserve">年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25"/>
          <w:sz w:val="24"/>
          <w:szCs w:val="24"/>
        </w:rPr>
        <w:t xml:space="preserve"> </w:t>
      </w:r>
      <w:r>
        <w:rPr>
          <w:spacing w:val="-4"/>
          <w:sz w:val="24"/>
          <w:szCs w:val="24"/>
        </w:rPr>
        <w:t>季度、</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23"/>
          <w:sz w:val="24"/>
          <w:szCs w:val="24"/>
        </w:rPr>
        <w:t xml:space="preserve"> </w:t>
      </w:r>
      <w:r>
        <w:rPr>
          <w:spacing w:val="-4"/>
          <w:sz w:val="24"/>
          <w:szCs w:val="24"/>
        </w:rPr>
        <w:t>季度和</w:t>
      </w:r>
      <w:r>
        <w:rPr>
          <w:spacing w:val="-43"/>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24"/>
          <w:sz w:val="24"/>
          <w:szCs w:val="24"/>
        </w:rPr>
        <w:t xml:space="preserve"> </w:t>
      </w:r>
      <w:r>
        <w:rPr>
          <w:spacing w:val="-4"/>
          <w:sz w:val="24"/>
          <w:szCs w:val="24"/>
        </w:rPr>
        <w:t>季度</w:t>
      </w:r>
      <w:r>
        <w:rPr>
          <w:spacing w:val="-47"/>
          <w:sz w:val="24"/>
          <w:szCs w:val="24"/>
        </w:rPr>
        <w:t xml:space="preserve"> </w:t>
      </w:r>
      <w:r>
        <w:rPr>
          <w:rFonts w:ascii="Times New Roman" w:hAnsi="Times New Roman" w:eastAsia="Times New Roman" w:cs="Times New Roman"/>
          <w:spacing w:val="-4"/>
          <w:sz w:val="24"/>
          <w:szCs w:val="24"/>
        </w:rPr>
        <w:t>pH</w:t>
      </w:r>
      <w:r>
        <w:rPr>
          <w:rFonts w:ascii="Times New Roman" w:hAnsi="Times New Roman" w:eastAsia="Times New Roman" w:cs="Times New Roman"/>
          <w:spacing w:val="22"/>
          <w:sz w:val="24"/>
          <w:szCs w:val="24"/>
        </w:rPr>
        <w:t xml:space="preserve"> </w:t>
      </w:r>
      <w:r>
        <w:rPr>
          <w:spacing w:val="-4"/>
          <w:sz w:val="24"/>
          <w:szCs w:val="24"/>
        </w:rPr>
        <w:t>值超标；</w:t>
      </w:r>
      <w:r>
        <w:rPr>
          <w:rFonts w:ascii="Times New Roman" w:hAnsi="Times New Roman" w:eastAsia="Times New Roman" w:cs="Times New Roman"/>
          <w:spacing w:val="-4"/>
          <w:sz w:val="24"/>
          <w:szCs w:val="24"/>
        </w:rPr>
        <w:t>2020</w:t>
      </w:r>
      <w:r>
        <w:rPr>
          <w:rFonts w:ascii="Times New Roman" w:hAnsi="Times New Roman" w:eastAsia="Times New Roman" w:cs="Times New Roman"/>
          <w:spacing w:val="23"/>
          <w:w w:val="101"/>
          <w:sz w:val="24"/>
          <w:szCs w:val="24"/>
        </w:rPr>
        <w:t xml:space="preserve"> </w:t>
      </w:r>
      <w:r>
        <w:rPr>
          <w:spacing w:val="-4"/>
          <w:sz w:val="24"/>
          <w:szCs w:val="24"/>
        </w:rPr>
        <w:t>年</w:t>
      </w:r>
      <w:r>
        <w:rPr>
          <w:spacing w:val="-42"/>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24"/>
          <w:sz w:val="24"/>
          <w:szCs w:val="24"/>
        </w:rPr>
        <w:t xml:space="preserve"> </w:t>
      </w:r>
      <w:r>
        <w:rPr>
          <w:spacing w:val="-4"/>
          <w:sz w:val="24"/>
          <w:szCs w:val="24"/>
        </w:rPr>
        <w:t>季度和</w:t>
      </w:r>
      <w:r>
        <w:rPr>
          <w:spacing w:val="-37"/>
          <w:sz w:val="24"/>
          <w:szCs w:val="24"/>
        </w:rPr>
        <w:t xml:space="preserve"> </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23"/>
          <w:sz w:val="24"/>
          <w:szCs w:val="24"/>
        </w:rPr>
        <w:t xml:space="preserve"> </w:t>
      </w:r>
      <w:r>
        <w:rPr>
          <w:spacing w:val="-4"/>
          <w:sz w:val="24"/>
          <w:szCs w:val="24"/>
        </w:rPr>
        <w:t>季度</w:t>
      </w:r>
      <w:r>
        <w:rPr>
          <w:spacing w:val="-32"/>
          <w:sz w:val="24"/>
          <w:szCs w:val="24"/>
        </w:rPr>
        <w:t xml:space="preserve"> </w:t>
      </w:r>
      <w:r>
        <w:rPr>
          <w:rFonts w:ascii="Times New Roman" w:hAnsi="Times New Roman" w:eastAsia="Times New Roman" w:cs="Times New Roman"/>
          <w:spacing w:val="-4"/>
          <w:sz w:val="24"/>
          <w:szCs w:val="24"/>
        </w:rPr>
        <w:t>SS</w:t>
      </w:r>
      <w:r>
        <w:rPr>
          <w:rFonts w:ascii="Times New Roman" w:hAnsi="Times New Roman" w:eastAsia="Times New Roman" w:cs="Times New Roman"/>
          <w:spacing w:val="22"/>
          <w:sz w:val="24"/>
          <w:szCs w:val="24"/>
        </w:rPr>
        <w:t xml:space="preserve"> </w:t>
      </w:r>
      <w:r>
        <w:rPr>
          <w:spacing w:val="-4"/>
          <w:sz w:val="24"/>
          <w:szCs w:val="24"/>
        </w:rPr>
        <w:t>超标、</w:t>
      </w:r>
      <w:r>
        <w:rPr>
          <w:sz w:val="24"/>
          <w:szCs w:val="24"/>
        </w:rPr>
        <w:t xml:space="preserve"> </w:t>
      </w:r>
      <w:r>
        <w:rPr>
          <w:rFonts w:ascii="Times New Roman" w:hAnsi="Times New Roman" w:eastAsia="Times New Roman" w:cs="Times New Roman"/>
          <w:spacing w:val="-2"/>
          <w:sz w:val="24"/>
          <w:szCs w:val="24"/>
        </w:rPr>
        <w:t xml:space="preserve">2020 </w:t>
      </w:r>
      <w:r>
        <w:rPr>
          <w:spacing w:val="-2"/>
          <w:sz w:val="24"/>
          <w:szCs w:val="24"/>
        </w:rPr>
        <w:t>年</w:t>
      </w:r>
      <w:r>
        <w:rPr>
          <w:spacing w:val="-32"/>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季度</w:t>
      </w:r>
      <w:r>
        <w:rPr>
          <w:spacing w:val="-61"/>
          <w:sz w:val="24"/>
          <w:szCs w:val="24"/>
        </w:rPr>
        <w:t xml:space="preserve"> </w:t>
      </w:r>
      <w:r>
        <w:rPr>
          <w:rFonts w:ascii="Times New Roman" w:hAnsi="Times New Roman" w:eastAsia="Times New Roman" w:cs="Times New Roman"/>
          <w:spacing w:val="-2"/>
          <w:sz w:val="24"/>
          <w:szCs w:val="24"/>
        </w:rPr>
        <w:t xml:space="preserve">pH </w:t>
      </w:r>
      <w:r>
        <w:rPr>
          <w:spacing w:val="-2"/>
          <w:sz w:val="24"/>
          <w:szCs w:val="24"/>
        </w:rPr>
        <w:t>值均超标；</w:t>
      </w:r>
      <w:r>
        <w:rPr>
          <w:rFonts w:ascii="Times New Roman" w:hAnsi="Times New Roman" w:eastAsia="Times New Roman" w:cs="Times New Roman"/>
          <w:spacing w:val="-2"/>
          <w:sz w:val="24"/>
          <w:szCs w:val="24"/>
        </w:rPr>
        <w:t>2021</w:t>
      </w:r>
      <w:r>
        <w:rPr>
          <w:rFonts w:ascii="Times New Roman" w:hAnsi="Times New Roman" w:eastAsia="Times New Roman" w:cs="Times New Roman"/>
          <w:spacing w:val="-3"/>
          <w:sz w:val="24"/>
          <w:szCs w:val="24"/>
        </w:rPr>
        <w:t xml:space="preserve"> </w:t>
      </w:r>
      <w:r>
        <w:rPr>
          <w:spacing w:val="-3"/>
          <w:sz w:val="24"/>
          <w:szCs w:val="24"/>
        </w:rPr>
        <w:t>年</w:t>
      </w:r>
      <w:r>
        <w:rPr>
          <w:spacing w:val="-56"/>
          <w:sz w:val="24"/>
          <w:szCs w:val="24"/>
        </w:rPr>
        <w:t xml:space="preserve"> </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10"/>
          <w:sz w:val="24"/>
          <w:szCs w:val="24"/>
        </w:rPr>
        <w:t xml:space="preserve"> </w:t>
      </w:r>
      <w:r>
        <w:rPr>
          <w:spacing w:val="-3"/>
          <w:sz w:val="24"/>
          <w:szCs w:val="24"/>
        </w:rPr>
        <w:t>季度</w:t>
      </w:r>
      <w:r>
        <w:rPr>
          <w:spacing w:val="-60"/>
          <w:sz w:val="24"/>
          <w:szCs w:val="24"/>
        </w:rPr>
        <w:t xml:space="preserve"> </w:t>
      </w:r>
      <w:r>
        <w:rPr>
          <w:rFonts w:ascii="Times New Roman" w:hAnsi="Times New Roman" w:eastAsia="Times New Roman" w:cs="Times New Roman"/>
          <w:spacing w:val="-3"/>
          <w:sz w:val="24"/>
          <w:szCs w:val="24"/>
        </w:rPr>
        <w:t>pH</w:t>
      </w:r>
      <w:r>
        <w:rPr>
          <w:rFonts w:ascii="Times New Roman" w:hAnsi="Times New Roman" w:eastAsia="Times New Roman" w:cs="Times New Roman"/>
          <w:spacing w:val="9"/>
          <w:sz w:val="24"/>
          <w:szCs w:val="24"/>
        </w:rPr>
        <w:t xml:space="preserve"> </w:t>
      </w:r>
      <w:r>
        <w:rPr>
          <w:spacing w:val="-3"/>
          <w:sz w:val="24"/>
          <w:szCs w:val="24"/>
        </w:rPr>
        <w:t>值超标。</w:t>
      </w:r>
    </w:p>
    <w:p w14:paraId="239354C3">
      <w:pPr>
        <w:pStyle w:val="2"/>
        <w:spacing w:before="25"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）生活污水达标情况</w:t>
      </w:r>
    </w:p>
    <w:p w14:paraId="689869D1">
      <w:pPr>
        <w:pStyle w:val="2"/>
        <w:spacing w:before="139" w:line="334" w:lineRule="auto"/>
        <w:ind w:left="27" w:right="85" w:firstLine="494"/>
        <w:jc w:val="both"/>
        <w:rPr>
          <w:sz w:val="24"/>
          <w:szCs w:val="24"/>
        </w:rPr>
      </w:pPr>
      <w:r>
        <w:rPr>
          <w:spacing w:val="-1"/>
          <w:sz w:val="24"/>
          <w:szCs w:val="24"/>
        </w:rPr>
        <w:t xml:space="preserve">生活污水监测点 </w:t>
      </w:r>
      <w:r>
        <w:rPr>
          <w:rFonts w:ascii="Times New Roman" w:hAnsi="Times New Roman" w:eastAsia="Times New Roman" w:cs="Times New Roman"/>
          <w:spacing w:val="-1"/>
          <w:sz w:val="24"/>
          <w:szCs w:val="24"/>
        </w:rPr>
        <w:t xml:space="preserve">6  </w:t>
      </w:r>
      <w:r>
        <w:rPr>
          <w:spacing w:val="-1"/>
          <w:sz w:val="24"/>
          <w:szCs w:val="24"/>
        </w:rPr>
        <w:t>个，分布在枢纽工程生活污水处理设施出口、</w:t>
      </w:r>
      <w:r>
        <w:rPr>
          <w:rFonts w:ascii="Times New Roman" w:hAnsi="Times New Roman" w:eastAsia="Times New Roman" w:cs="Times New Roman"/>
          <w:spacing w:val="-1"/>
          <w:sz w:val="24"/>
          <w:szCs w:val="24"/>
        </w:rPr>
        <w:t>5#</w:t>
      </w:r>
      <w:r>
        <w:rPr>
          <w:spacing w:val="-1"/>
          <w:sz w:val="24"/>
          <w:szCs w:val="24"/>
        </w:rPr>
        <w:t>支洞生活</w:t>
      </w:r>
      <w:r>
        <w:rPr>
          <w:sz w:val="24"/>
          <w:szCs w:val="24"/>
        </w:rPr>
        <w:t>区生活污水进出口、</w:t>
      </w:r>
      <w:r>
        <w:rPr>
          <w:rFonts w:ascii="Times New Roman" w:hAnsi="Times New Roman" w:eastAsia="Times New Roman" w:cs="Times New Roman"/>
          <w:sz w:val="24"/>
          <w:szCs w:val="24"/>
        </w:rPr>
        <w:t>8#</w:t>
      </w:r>
      <w:r>
        <w:rPr>
          <w:sz w:val="24"/>
          <w:szCs w:val="24"/>
        </w:rPr>
        <w:t>支洞生活区生活污水进出口、</w:t>
      </w:r>
      <w:r>
        <w:rPr>
          <w:rFonts w:ascii="Times New Roman" w:hAnsi="Times New Roman" w:eastAsia="Times New Roman" w:cs="Times New Roman"/>
          <w:spacing w:val="-1"/>
          <w:sz w:val="24"/>
          <w:szCs w:val="24"/>
        </w:rPr>
        <w:t>11#</w:t>
      </w:r>
      <w:r>
        <w:rPr>
          <w:spacing w:val="-1"/>
          <w:sz w:val="24"/>
          <w:szCs w:val="24"/>
        </w:rPr>
        <w:t>支洞生活区生活污水进出</w:t>
      </w:r>
      <w:r>
        <w:rPr>
          <w:spacing w:val="-6"/>
          <w:sz w:val="24"/>
          <w:szCs w:val="24"/>
        </w:rPr>
        <w:t>口、</w:t>
      </w:r>
      <w:r>
        <w:rPr>
          <w:rFonts w:ascii="Times New Roman" w:hAnsi="Times New Roman" w:eastAsia="Times New Roman" w:cs="Times New Roman"/>
          <w:spacing w:val="-6"/>
          <w:sz w:val="24"/>
          <w:szCs w:val="24"/>
        </w:rPr>
        <w:t xml:space="preserve">2 </w:t>
      </w:r>
      <w:r>
        <w:rPr>
          <w:spacing w:val="-6"/>
          <w:sz w:val="24"/>
          <w:szCs w:val="24"/>
        </w:rPr>
        <w:t>标段项目部让田村、</w:t>
      </w:r>
      <w:r>
        <w:rPr>
          <w:rFonts w:ascii="Times New Roman" w:hAnsi="Times New Roman" w:eastAsia="Times New Roman" w:cs="Times New Roman"/>
          <w:spacing w:val="-6"/>
          <w:sz w:val="24"/>
          <w:szCs w:val="24"/>
        </w:rPr>
        <w:t xml:space="preserve">3 </w:t>
      </w:r>
      <w:r>
        <w:rPr>
          <w:spacing w:val="-6"/>
          <w:sz w:val="24"/>
          <w:szCs w:val="24"/>
        </w:rPr>
        <w:t>标段生活区出口，监测指标为</w:t>
      </w:r>
      <w:r>
        <w:rPr>
          <w:spacing w:val="-48"/>
          <w:sz w:val="24"/>
          <w:szCs w:val="24"/>
        </w:rPr>
        <w:t xml:space="preserve"> </w:t>
      </w:r>
      <w:r>
        <w:rPr>
          <w:rFonts w:ascii="Times New Roman" w:hAnsi="Times New Roman" w:eastAsia="Times New Roman" w:cs="Times New Roman"/>
          <w:spacing w:val="-6"/>
          <w:sz w:val="24"/>
          <w:szCs w:val="24"/>
        </w:rPr>
        <w:t>BOD</w:t>
      </w:r>
      <w:r>
        <w:rPr>
          <w:rFonts w:ascii="Times New Roman" w:hAnsi="Times New Roman" w:eastAsia="Times New Roman" w:cs="Times New Roman"/>
          <w:spacing w:val="-6"/>
          <w:sz w:val="15"/>
          <w:szCs w:val="15"/>
        </w:rPr>
        <w:t>5</w:t>
      </w:r>
      <w:r>
        <w:rPr>
          <w:spacing w:val="-6"/>
          <w:sz w:val="24"/>
          <w:szCs w:val="24"/>
        </w:rPr>
        <w:t>、</w:t>
      </w:r>
      <w:r>
        <w:rPr>
          <w:rFonts w:ascii="Times New Roman" w:hAnsi="Times New Roman" w:eastAsia="Times New Roman" w:cs="Times New Roman"/>
          <w:spacing w:val="-6"/>
          <w:sz w:val="24"/>
          <w:szCs w:val="24"/>
        </w:rPr>
        <w:t>COD</w:t>
      </w:r>
      <w:r>
        <w:rPr>
          <w:spacing w:val="-6"/>
          <w:sz w:val="24"/>
          <w:szCs w:val="24"/>
        </w:rPr>
        <w:t>、</w:t>
      </w:r>
      <w:r>
        <w:rPr>
          <w:rFonts w:ascii="Times New Roman" w:hAnsi="Times New Roman" w:eastAsia="Times New Roman" w:cs="Times New Roman"/>
          <w:spacing w:val="-6"/>
          <w:sz w:val="24"/>
          <w:szCs w:val="24"/>
        </w:rPr>
        <w:t>SS</w:t>
      </w:r>
      <w:r>
        <w:rPr>
          <w:spacing w:val="-6"/>
          <w:sz w:val="24"/>
          <w:szCs w:val="24"/>
        </w:rPr>
        <w:t>、</w:t>
      </w:r>
      <w:r>
        <w:rPr>
          <w:rFonts w:ascii="Times New Roman" w:hAnsi="Times New Roman" w:eastAsia="Times New Roman" w:cs="Times New Roman"/>
          <w:spacing w:val="-6"/>
          <w:sz w:val="24"/>
          <w:szCs w:val="24"/>
        </w:rPr>
        <w:t>NH</w:t>
      </w:r>
      <w:r>
        <w:rPr>
          <w:rFonts w:ascii="Times New Roman" w:hAnsi="Times New Roman" w:eastAsia="Times New Roman" w:cs="Times New Roman"/>
          <w:spacing w:val="-6"/>
          <w:sz w:val="15"/>
          <w:szCs w:val="15"/>
        </w:rPr>
        <w:t>3</w:t>
      </w:r>
      <w:r>
        <w:rPr>
          <w:rFonts w:ascii="Times New Roman" w:hAnsi="Times New Roman" w:eastAsia="Times New Roman" w:cs="Times New Roman"/>
          <w:spacing w:val="-6"/>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N</w:t>
      </w:r>
      <w:r>
        <w:rPr>
          <w:rFonts w:ascii="Times New Roman" w:hAnsi="Times New Roman" w:eastAsia="Times New Roman" w:cs="Times New Roman"/>
          <w:spacing w:val="-34"/>
          <w:sz w:val="24"/>
          <w:szCs w:val="24"/>
        </w:rPr>
        <w:t xml:space="preserve"> </w:t>
      </w:r>
      <w:r>
        <w:rPr>
          <w:spacing w:val="-2"/>
          <w:sz w:val="24"/>
          <w:szCs w:val="24"/>
        </w:rPr>
        <w:t>、</w:t>
      </w:r>
      <w:r>
        <w:rPr>
          <w:rFonts w:ascii="Times New Roman" w:hAnsi="Times New Roman" w:eastAsia="Times New Roman" w:cs="Times New Roman"/>
          <w:spacing w:val="-2"/>
          <w:sz w:val="24"/>
          <w:szCs w:val="24"/>
        </w:rPr>
        <w:t>TP</w:t>
      </w:r>
      <w:r>
        <w:rPr>
          <w:rFonts w:ascii="Times New Roman" w:hAnsi="Times New Roman" w:eastAsia="Times New Roman" w:cs="Times New Roman"/>
          <w:spacing w:val="-34"/>
          <w:sz w:val="24"/>
          <w:szCs w:val="24"/>
        </w:rPr>
        <w:t xml:space="preserve"> </w:t>
      </w:r>
      <w:r>
        <w:rPr>
          <w:spacing w:val="-2"/>
          <w:sz w:val="24"/>
          <w:szCs w:val="24"/>
        </w:rPr>
        <w:t>、动植物油、粪大肠菌群和阴离子表面活性剂。</w:t>
      </w:r>
    </w:p>
    <w:p w14:paraId="183E7B12">
      <w:pPr>
        <w:pStyle w:val="2"/>
        <w:spacing w:before="22" w:line="233" w:lineRule="auto"/>
        <w:ind w:left="515"/>
        <w:rPr>
          <w:sz w:val="24"/>
          <w:szCs w:val="24"/>
        </w:rPr>
      </w:pP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 xml:space="preserve">~2021 </w:t>
      </w:r>
      <w:r>
        <w:rPr>
          <w:spacing w:val="-1"/>
          <w:sz w:val="24"/>
          <w:szCs w:val="24"/>
        </w:rPr>
        <w:t>年施工期生活污水处理系统进出口水质见表</w:t>
      </w:r>
      <w:r>
        <w:rPr>
          <w:spacing w:val="-33"/>
          <w:sz w:val="24"/>
          <w:szCs w:val="24"/>
        </w:rPr>
        <w:t xml:space="preserve"> </w:t>
      </w:r>
      <w:r>
        <w:rPr>
          <w:rFonts w:ascii="Times New Roman" w:hAnsi="Times New Roman" w:eastAsia="Times New Roman" w:cs="Times New Roman"/>
          <w:spacing w:val="-1"/>
          <w:sz w:val="24"/>
          <w:szCs w:val="24"/>
        </w:rPr>
        <w:t>5.2-4~</w:t>
      </w:r>
      <w:r>
        <w:rPr>
          <w:spacing w:val="-1"/>
          <w:sz w:val="24"/>
          <w:szCs w:val="24"/>
        </w:rPr>
        <w:t>表</w:t>
      </w:r>
      <w:r>
        <w:rPr>
          <w:spacing w:val="-48"/>
          <w:sz w:val="24"/>
          <w:szCs w:val="24"/>
        </w:rPr>
        <w:t xml:space="preserve"> </w:t>
      </w:r>
      <w:r>
        <w:rPr>
          <w:rFonts w:ascii="Times New Roman" w:hAnsi="Times New Roman" w:eastAsia="Times New Roman" w:cs="Times New Roman"/>
          <w:spacing w:val="-1"/>
          <w:sz w:val="24"/>
          <w:szCs w:val="24"/>
        </w:rPr>
        <w:t>5.1-6</w:t>
      </w:r>
      <w:r>
        <w:rPr>
          <w:spacing w:val="-1"/>
          <w:sz w:val="24"/>
          <w:szCs w:val="24"/>
        </w:rPr>
        <w:t>。</w:t>
      </w:r>
    </w:p>
    <w:p w14:paraId="69A2F2A3">
      <w:pPr>
        <w:pStyle w:val="2"/>
        <w:spacing w:before="137" w:line="338" w:lineRule="auto"/>
        <w:ind w:left="51" w:right="106" w:firstLine="467"/>
        <w:rPr>
          <w:sz w:val="24"/>
          <w:szCs w:val="24"/>
        </w:rPr>
      </w:pPr>
      <w:r>
        <w:rPr>
          <w:spacing w:val="-5"/>
          <w:sz w:val="24"/>
          <w:szCs w:val="24"/>
        </w:rPr>
        <w:t>根据各季度监测结果，生活污水各监测点位各季度均有不同程度超标，各监测</w:t>
      </w:r>
      <w:r>
        <w:rPr>
          <w:spacing w:val="-7"/>
          <w:sz w:val="24"/>
          <w:szCs w:val="24"/>
        </w:rPr>
        <w:t>点水质达标情况如下：</w:t>
      </w:r>
    </w:p>
    <w:p w14:paraId="654EF3FE">
      <w:pPr>
        <w:pStyle w:val="2"/>
        <w:spacing w:before="1" w:line="333" w:lineRule="auto"/>
        <w:ind w:left="27" w:right="85" w:firstLine="491"/>
        <w:rPr>
          <w:sz w:val="24"/>
          <w:szCs w:val="24"/>
        </w:rPr>
      </w:pPr>
      <w:r>
        <w:rPr>
          <w:spacing w:val="-4"/>
          <w:sz w:val="24"/>
          <w:szCs w:val="24"/>
        </w:rPr>
        <w:t>枢纽工程生活污水处理设施出口：</w:t>
      </w:r>
      <w:r>
        <w:rPr>
          <w:rFonts w:ascii="Times New Roman" w:hAnsi="Times New Roman" w:eastAsia="Times New Roman" w:cs="Times New Roman"/>
          <w:spacing w:val="-4"/>
          <w:sz w:val="24"/>
          <w:szCs w:val="24"/>
        </w:rPr>
        <w:t>2019</w:t>
      </w:r>
      <w:r>
        <w:rPr>
          <w:rFonts w:ascii="Times New Roman" w:hAnsi="Times New Roman" w:eastAsia="Times New Roman" w:cs="Times New Roman"/>
          <w:spacing w:val="14"/>
          <w:sz w:val="24"/>
          <w:szCs w:val="24"/>
        </w:rPr>
        <w:t xml:space="preserve"> </w:t>
      </w:r>
      <w:r>
        <w:rPr>
          <w:spacing w:val="-4"/>
          <w:sz w:val="24"/>
          <w:szCs w:val="24"/>
        </w:rPr>
        <w:t>年</w:t>
      </w:r>
      <w:r>
        <w:rPr>
          <w:spacing w:val="-29"/>
          <w:sz w:val="24"/>
          <w:szCs w:val="24"/>
        </w:rPr>
        <w:t xml:space="preserve"> </w:t>
      </w:r>
      <w:r>
        <w:rPr>
          <w:rFonts w:ascii="Times New Roman" w:hAnsi="Times New Roman" w:eastAsia="Times New Roman" w:cs="Times New Roman"/>
          <w:spacing w:val="-4"/>
          <w:sz w:val="24"/>
          <w:szCs w:val="24"/>
        </w:rPr>
        <w:t>1~4</w:t>
      </w:r>
      <w:r>
        <w:rPr>
          <w:rFonts w:ascii="Times New Roman" w:hAnsi="Times New Roman" w:eastAsia="Times New Roman" w:cs="Times New Roman"/>
          <w:spacing w:val="14"/>
          <w:sz w:val="24"/>
          <w:szCs w:val="24"/>
        </w:rPr>
        <w:t xml:space="preserve"> </w:t>
      </w:r>
      <w:r>
        <w:rPr>
          <w:spacing w:val="-4"/>
          <w:sz w:val="24"/>
          <w:szCs w:val="24"/>
        </w:rPr>
        <w:t>季度</w:t>
      </w:r>
      <w:r>
        <w:rPr>
          <w:spacing w:val="-52"/>
          <w:sz w:val="24"/>
          <w:szCs w:val="24"/>
        </w:rPr>
        <w:t xml:space="preserve"> </w:t>
      </w:r>
      <w:r>
        <w:rPr>
          <w:rFonts w:ascii="Times New Roman" w:hAnsi="Times New Roman" w:eastAsia="Times New Roman" w:cs="Times New Roman"/>
          <w:spacing w:val="-4"/>
          <w:sz w:val="24"/>
          <w:szCs w:val="24"/>
        </w:rPr>
        <w:t>BOD</w:t>
      </w:r>
      <w:r>
        <w:rPr>
          <w:rFonts w:ascii="Times New Roman" w:hAnsi="Times New Roman" w:eastAsia="Times New Roman" w:cs="Times New Roman"/>
          <w:spacing w:val="-4"/>
          <w:sz w:val="15"/>
          <w:szCs w:val="15"/>
        </w:rPr>
        <w:t>5</w:t>
      </w:r>
      <w:r>
        <w:rPr>
          <w:rFonts w:ascii="Times New Roman" w:hAnsi="Times New Roman" w:eastAsia="Times New Roman" w:cs="Times New Roman"/>
          <w:spacing w:val="-11"/>
          <w:sz w:val="15"/>
          <w:szCs w:val="15"/>
        </w:rPr>
        <w:t xml:space="preserve"> </w:t>
      </w:r>
      <w:r>
        <w:rPr>
          <w:spacing w:val="-4"/>
          <w:sz w:val="24"/>
          <w:szCs w:val="24"/>
        </w:rPr>
        <w:t>、</w:t>
      </w:r>
      <w:r>
        <w:rPr>
          <w:rFonts w:ascii="Times New Roman" w:hAnsi="Times New Roman" w:eastAsia="Times New Roman" w:cs="Times New Roman"/>
          <w:spacing w:val="-4"/>
          <w:sz w:val="24"/>
          <w:szCs w:val="24"/>
        </w:rPr>
        <w:t>COD</w:t>
      </w:r>
      <w:r>
        <w:rPr>
          <w:rFonts w:ascii="Times New Roman" w:hAnsi="Times New Roman" w:eastAsia="Times New Roman" w:cs="Times New Roman"/>
          <w:spacing w:val="-33"/>
          <w:sz w:val="24"/>
          <w:szCs w:val="24"/>
        </w:rPr>
        <w:t xml:space="preserve"> </w:t>
      </w:r>
      <w:r>
        <w:rPr>
          <w:spacing w:val="-4"/>
          <w:sz w:val="24"/>
          <w:szCs w:val="24"/>
        </w:rPr>
        <w:t>、</w:t>
      </w:r>
      <w:r>
        <w:rPr>
          <w:rFonts w:ascii="Times New Roman" w:hAnsi="Times New Roman" w:eastAsia="Times New Roman" w:cs="Times New Roman"/>
          <w:spacing w:val="-4"/>
          <w:sz w:val="24"/>
          <w:szCs w:val="24"/>
        </w:rPr>
        <w:t>TP</w:t>
      </w:r>
      <w:r>
        <w:rPr>
          <w:rFonts w:ascii="Times New Roman" w:hAnsi="Times New Roman" w:eastAsia="Times New Roman" w:cs="Times New Roman"/>
          <w:spacing w:val="-34"/>
          <w:sz w:val="24"/>
          <w:szCs w:val="24"/>
        </w:rPr>
        <w:t xml:space="preserve"> </w:t>
      </w:r>
      <w:r>
        <w:rPr>
          <w:spacing w:val="-5"/>
          <w:sz w:val="24"/>
          <w:szCs w:val="24"/>
        </w:rPr>
        <w:t>、</w:t>
      </w:r>
      <w:r>
        <w:rPr>
          <w:rFonts w:ascii="Times New Roman" w:hAnsi="Times New Roman" w:eastAsia="Times New Roman" w:cs="Times New Roman"/>
          <w:spacing w:val="-5"/>
          <w:sz w:val="24"/>
          <w:szCs w:val="24"/>
        </w:rPr>
        <w:t>SS</w:t>
      </w:r>
      <w:r>
        <w:rPr>
          <w:rFonts w:ascii="Times New Roman" w:hAnsi="Times New Roman" w:eastAsia="Times New Roman" w:cs="Times New Roman"/>
          <w:spacing w:val="-33"/>
          <w:sz w:val="24"/>
          <w:szCs w:val="24"/>
        </w:rPr>
        <w:t xml:space="preserve"> </w:t>
      </w:r>
      <w:r>
        <w:rPr>
          <w:spacing w:val="-5"/>
          <w:sz w:val="24"/>
          <w:szCs w:val="24"/>
        </w:rPr>
        <w:t>、</w:t>
      </w:r>
      <w:r>
        <w:rPr>
          <w:spacing w:val="-3"/>
          <w:sz w:val="24"/>
          <w:szCs w:val="24"/>
        </w:rPr>
        <w:t>动植物油、粪大肠菌群均有不同程度超标；</w:t>
      </w:r>
      <w:r>
        <w:rPr>
          <w:rFonts w:ascii="Times New Roman" w:hAnsi="Times New Roman" w:eastAsia="Times New Roman" w:cs="Times New Roman"/>
          <w:spacing w:val="-3"/>
          <w:sz w:val="24"/>
          <w:szCs w:val="24"/>
        </w:rPr>
        <w:t>2020</w:t>
      </w:r>
      <w:r>
        <w:rPr>
          <w:rFonts w:ascii="Times New Roman" w:hAnsi="Times New Roman" w:eastAsia="Times New Roman" w:cs="Times New Roman"/>
          <w:spacing w:val="40"/>
          <w:w w:val="101"/>
          <w:sz w:val="24"/>
          <w:szCs w:val="24"/>
        </w:rPr>
        <w:t xml:space="preserve"> </w:t>
      </w:r>
      <w:r>
        <w:rPr>
          <w:spacing w:val="-3"/>
          <w:sz w:val="24"/>
          <w:szCs w:val="24"/>
        </w:rPr>
        <w:t xml:space="preserve">年 </w:t>
      </w:r>
      <w:r>
        <w:rPr>
          <w:rFonts w:ascii="Times New Roman" w:hAnsi="Times New Roman" w:eastAsia="Times New Roman" w:cs="Times New Roman"/>
          <w:spacing w:val="-3"/>
          <w:sz w:val="24"/>
          <w:szCs w:val="24"/>
        </w:rPr>
        <w:t>1~4</w:t>
      </w:r>
      <w:r>
        <w:rPr>
          <w:rFonts w:ascii="Times New Roman" w:hAnsi="Times New Roman" w:eastAsia="Times New Roman" w:cs="Times New Roman"/>
          <w:spacing w:val="25"/>
          <w:sz w:val="24"/>
          <w:szCs w:val="24"/>
        </w:rPr>
        <w:t xml:space="preserve"> </w:t>
      </w:r>
      <w:r>
        <w:rPr>
          <w:spacing w:val="-3"/>
          <w:sz w:val="24"/>
          <w:szCs w:val="24"/>
        </w:rPr>
        <w:t>季度</w:t>
      </w:r>
      <w:r>
        <w:rPr>
          <w:spacing w:val="-43"/>
          <w:sz w:val="24"/>
          <w:szCs w:val="24"/>
        </w:rPr>
        <w:t xml:space="preserve"> </w:t>
      </w:r>
      <w:r>
        <w:rPr>
          <w:rFonts w:ascii="Times New Roman" w:hAnsi="Times New Roman" w:eastAsia="Times New Roman" w:cs="Times New Roman"/>
          <w:spacing w:val="-3"/>
          <w:sz w:val="24"/>
          <w:szCs w:val="24"/>
        </w:rPr>
        <w:t>BOD</w:t>
      </w:r>
      <w:r>
        <w:rPr>
          <w:rFonts w:ascii="Times New Roman" w:hAnsi="Times New Roman" w:eastAsia="Times New Roman" w:cs="Times New Roman"/>
          <w:spacing w:val="-3"/>
          <w:sz w:val="15"/>
          <w:szCs w:val="15"/>
        </w:rPr>
        <w:t>5</w:t>
      </w:r>
      <w:r>
        <w:rPr>
          <w:rFonts w:ascii="Times New Roman" w:hAnsi="Times New Roman" w:eastAsia="Times New Roman" w:cs="Times New Roman"/>
          <w:spacing w:val="-11"/>
          <w:sz w:val="15"/>
          <w:szCs w:val="15"/>
        </w:rPr>
        <w:t xml:space="preserve"> </w:t>
      </w:r>
      <w:r>
        <w:rPr>
          <w:spacing w:val="-3"/>
          <w:sz w:val="24"/>
          <w:szCs w:val="24"/>
        </w:rPr>
        <w:t>、</w:t>
      </w:r>
      <w:r>
        <w:rPr>
          <w:rFonts w:ascii="Times New Roman" w:hAnsi="Times New Roman" w:eastAsia="Times New Roman" w:cs="Times New Roman"/>
          <w:spacing w:val="-3"/>
          <w:sz w:val="24"/>
          <w:szCs w:val="24"/>
        </w:rPr>
        <w:t>COD</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NH</w:t>
      </w:r>
      <w:r>
        <w:rPr>
          <w:rFonts w:ascii="Times New Roman" w:hAnsi="Times New Roman" w:eastAsia="Times New Roman" w:cs="Times New Roman"/>
          <w:spacing w:val="-3"/>
          <w:sz w:val="15"/>
          <w:szCs w:val="15"/>
        </w:rPr>
        <w:t>3</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N</w:t>
      </w:r>
      <w:r>
        <w:rPr>
          <w:rFonts w:ascii="Times New Roman" w:hAnsi="Times New Roman" w:eastAsia="Times New Roman" w:cs="Times New Roman"/>
          <w:spacing w:val="-34"/>
          <w:sz w:val="24"/>
          <w:szCs w:val="24"/>
        </w:rPr>
        <w:t xml:space="preserve"> </w:t>
      </w:r>
      <w:r>
        <w:rPr>
          <w:spacing w:val="-1"/>
          <w:sz w:val="24"/>
          <w:szCs w:val="24"/>
        </w:rPr>
        <w:t>、</w:t>
      </w:r>
      <w:r>
        <w:rPr>
          <w:rFonts w:ascii="Times New Roman" w:hAnsi="Times New Roman" w:eastAsia="Times New Roman" w:cs="Times New Roman"/>
          <w:spacing w:val="-1"/>
          <w:sz w:val="24"/>
          <w:szCs w:val="24"/>
        </w:rPr>
        <w:t>TP</w:t>
      </w:r>
      <w:r>
        <w:rPr>
          <w:rFonts w:ascii="Times New Roman" w:hAnsi="Times New Roman" w:eastAsia="Times New Roman" w:cs="Times New Roman"/>
          <w:spacing w:val="-35"/>
          <w:sz w:val="24"/>
          <w:szCs w:val="24"/>
        </w:rPr>
        <w:t xml:space="preserve"> </w:t>
      </w:r>
      <w:r>
        <w:rPr>
          <w:spacing w:val="-1"/>
          <w:sz w:val="24"/>
          <w:szCs w:val="24"/>
        </w:rPr>
        <w:t>、</w:t>
      </w:r>
      <w:r>
        <w:rPr>
          <w:rFonts w:ascii="Times New Roman" w:hAnsi="Times New Roman" w:eastAsia="Times New Roman" w:cs="Times New Roman"/>
          <w:spacing w:val="-1"/>
          <w:sz w:val="24"/>
          <w:szCs w:val="24"/>
        </w:rPr>
        <w:t>SS</w:t>
      </w:r>
      <w:r>
        <w:rPr>
          <w:spacing w:val="-1"/>
          <w:sz w:val="24"/>
          <w:szCs w:val="24"/>
        </w:rPr>
        <w:t>、动植物油、粪大肠菌群和阴离子</w:t>
      </w:r>
      <w:r>
        <w:rPr>
          <w:spacing w:val="-2"/>
          <w:sz w:val="24"/>
          <w:szCs w:val="24"/>
        </w:rPr>
        <w:t>表面活性剂均有不同程度超标。</w:t>
      </w:r>
    </w:p>
    <w:p w14:paraId="00B98798">
      <w:pPr>
        <w:pStyle w:val="2"/>
        <w:spacing w:before="19" w:line="339" w:lineRule="auto"/>
        <w:ind w:left="40" w:firstLine="481"/>
        <w:rPr>
          <w:sz w:val="24"/>
          <w:szCs w:val="24"/>
        </w:rPr>
      </w:pPr>
      <w:r>
        <w:rPr>
          <w:rFonts w:ascii="Times New Roman" w:hAnsi="Times New Roman" w:eastAsia="Times New Roman" w:cs="Times New Roman"/>
          <w:spacing w:val="-4"/>
          <w:sz w:val="24"/>
          <w:szCs w:val="24"/>
        </w:rPr>
        <w:t>5#</w:t>
      </w:r>
      <w:r>
        <w:rPr>
          <w:spacing w:val="-4"/>
          <w:sz w:val="24"/>
          <w:szCs w:val="24"/>
        </w:rPr>
        <w:t>支洞生活区生活污水进出口：</w:t>
      </w:r>
      <w:r>
        <w:rPr>
          <w:rFonts w:ascii="Times New Roman" w:hAnsi="Times New Roman" w:eastAsia="Times New Roman" w:cs="Times New Roman"/>
          <w:spacing w:val="-4"/>
          <w:sz w:val="24"/>
          <w:szCs w:val="24"/>
        </w:rPr>
        <w:t>2019</w:t>
      </w:r>
      <w:r>
        <w:rPr>
          <w:rFonts w:ascii="Times New Roman" w:hAnsi="Times New Roman" w:eastAsia="Times New Roman" w:cs="Times New Roman"/>
          <w:spacing w:val="20"/>
          <w:sz w:val="24"/>
          <w:szCs w:val="24"/>
        </w:rPr>
        <w:t xml:space="preserve"> </w:t>
      </w:r>
      <w:r>
        <w:rPr>
          <w:spacing w:val="-4"/>
          <w:sz w:val="24"/>
          <w:szCs w:val="24"/>
        </w:rPr>
        <w:t>年</w:t>
      </w:r>
      <w:r>
        <w:rPr>
          <w:spacing w:val="-28"/>
          <w:sz w:val="24"/>
          <w:szCs w:val="24"/>
        </w:rPr>
        <w:t xml:space="preserve"> </w:t>
      </w:r>
      <w:r>
        <w:rPr>
          <w:rFonts w:ascii="Times New Roman" w:hAnsi="Times New Roman" w:eastAsia="Times New Roman" w:cs="Times New Roman"/>
          <w:spacing w:val="-4"/>
          <w:sz w:val="24"/>
          <w:szCs w:val="24"/>
        </w:rPr>
        <w:t>1~4</w:t>
      </w:r>
      <w:r>
        <w:rPr>
          <w:rFonts w:ascii="Times New Roman" w:hAnsi="Times New Roman" w:eastAsia="Times New Roman" w:cs="Times New Roman"/>
          <w:spacing w:val="14"/>
          <w:sz w:val="24"/>
          <w:szCs w:val="24"/>
        </w:rPr>
        <w:t xml:space="preserve"> </w:t>
      </w:r>
      <w:r>
        <w:rPr>
          <w:spacing w:val="-4"/>
          <w:sz w:val="24"/>
          <w:szCs w:val="24"/>
        </w:rPr>
        <w:t>季度</w:t>
      </w:r>
      <w:r>
        <w:rPr>
          <w:spacing w:val="-53"/>
          <w:sz w:val="24"/>
          <w:szCs w:val="24"/>
        </w:rPr>
        <w:t xml:space="preserve"> </w:t>
      </w:r>
      <w:r>
        <w:rPr>
          <w:rFonts w:ascii="Times New Roman" w:hAnsi="Times New Roman" w:eastAsia="Times New Roman" w:cs="Times New Roman"/>
          <w:spacing w:val="-4"/>
          <w:sz w:val="24"/>
          <w:szCs w:val="24"/>
        </w:rPr>
        <w:t>BOD</w:t>
      </w:r>
      <w:r>
        <w:rPr>
          <w:rFonts w:ascii="Times New Roman" w:hAnsi="Times New Roman" w:eastAsia="Times New Roman" w:cs="Times New Roman"/>
          <w:spacing w:val="-4"/>
          <w:sz w:val="15"/>
          <w:szCs w:val="15"/>
        </w:rPr>
        <w:t>5</w:t>
      </w:r>
      <w:r>
        <w:rPr>
          <w:rFonts w:ascii="Times New Roman" w:hAnsi="Times New Roman" w:eastAsia="Times New Roman" w:cs="Times New Roman"/>
          <w:spacing w:val="-9"/>
          <w:sz w:val="15"/>
          <w:szCs w:val="15"/>
        </w:rPr>
        <w:t xml:space="preserve"> </w:t>
      </w:r>
      <w:r>
        <w:rPr>
          <w:spacing w:val="-4"/>
          <w:sz w:val="24"/>
          <w:szCs w:val="24"/>
        </w:rPr>
        <w:t>、</w:t>
      </w:r>
      <w:r>
        <w:rPr>
          <w:rFonts w:ascii="Times New Roman" w:hAnsi="Times New Roman" w:eastAsia="Times New Roman" w:cs="Times New Roman"/>
          <w:spacing w:val="-4"/>
          <w:sz w:val="24"/>
          <w:szCs w:val="24"/>
        </w:rPr>
        <w:t>COD</w:t>
      </w:r>
      <w:r>
        <w:rPr>
          <w:rFonts w:ascii="Times New Roman" w:hAnsi="Times New Roman" w:eastAsia="Times New Roman" w:cs="Times New Roman"/>
          <w:spacing w:val="-35"/>
          <w:sz w:val="24"/>
          <w:szCs w:val="24"/>
        </w:rPr>
        <w:t xml:space="preserve"> </w:t>
      </w:r>
      <w:r>
        <w:rPr>
          <w:spacing w:val="-4"/>
          <w:sz w:val="24"/>
          <w:szCs w:val="24"/>
        </w:rPr>
        <w:t>、</w:t>
      </w:r>
      <w:r>
        <w:rPr>
          <w:rFonts w:ascii="Times New Roman" w:hAnsi="Times New Roman" w:eastAsia="Times New Roman" w:cs="Times New Roman"/>
          <w:spacing w:val="-4"/>
          <w:sz w:val="24"/>
          <w:szCs w:val="24"/>
        </w:rPr>
        <w:t>TP</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SS</w:t>
      </w:r>
      <w:r>
        <w:rPr>
          <w:spacing w:val="-4"/>
          <w:sz w:val="24"/>
          <w:szCs w:val="24"/>
        </w:rPr>
        <w:t>、动</w:t>
      </w:r>
      <w:r>
        <w:rPr>
          <w:spacing w:val="-2"/>
          <w:sz w:val="24"/>
          <w:szCs w:val="24"/>
        </w:rPr>
        <w:t>植物油、粪大肠菌群均有不同程度超标；</w:t>
      </w:r>
      <w:r>
        <w:rPr>
          <w:rFonts w:ascii="Times New Roman" w:hAnsi="Times New Roman" w:eastAsia="Times New Roman" w:cs="Times New Roman"/>
          <w:spacing w:val="-2"/>
          <w:sz w:val="24"/>
          <w:szCs w:val="24"/>
        </w:rPr>
        <w:t>2020</w:t>
      </w:r>
      <w:r>
        <w:rPr>
          <w:rFonts w:ascii="Times New Roman" w:hAnsi="Times New Roman" w:eastAsia="Times New Roman" w:cs="Times New Roman"/>
          <w:spacing w:val="-3"/>
          <w:sz w:val="24"/>
          <w:szCs w:val="24"/>
        </w:rPr>
        <w:t xml:space="preserve"> </w:t>
      </w:r>
      <w:r>
        <w:rPr>
          <w:spacing w:val="-3"/>
          <w:sz w:val="24"/>
          <w:szCs w:val="24"/>
        </w:rPr>
        <w:t>年</w:t>
      </w:r>
      <w:r>
        <w:rPr>
          <w:spacing w:val="-32"/>
          <w:sz w:val="24"/>
          <w:szCs w:val="24"/>
        </w:rPr>
        <w:t xml:space="preserve"> </w:t>
      </w:r>
      <w:r>
        <w:rPr>
          <w:rFonts w:ascii="Times New Roman" w:hAnsi="Times New Roman" w:eastAsia="Times New Roman" w:cs="Times New Roman"/>
          <w:spacing w:val="-3"/>
          <w:sz w:val="24"/>
          <w:szCs w:val="24"/>
        </w:rPr>
        <w:t xml:space="preserve">1~4 </w:t>
      </w:r>
      <w:r>
        <w:rPr>
          <w:spacing w:val="-3"/>
          <w:sz w:val="24"/>
          <w:szCs w:val="24"/>
        </w:rPr>
        <w:t>季度</w:t>
      </w:r>
      <w:r>
        <w:rPr>
          <w:spacing w:val="-55"/>
          <w:sz w:val="24"/>
          <w:szCs w:val="24"/>
        </w:rPr>
        <w:t xml:space="preserve"> </w:t>
      </w:r>
      <w:r>
        <w:rPr>
          <w:rFonts w:ascii="Times New Roman" w:hAnsi="Times New Roman" w:eastAsia="Times New Roman" w:cs="Times New Roman"/>
          <w:spacing w:val="-3"/>
          <w:sz w:val="24"/>
          <w:szCs w:val="24"/>
        </w:rPr>
        <w:t>BOD</w:t>
      </w:r>
      <w:r>
        <w:rPr>
          <w:rFonts w:ascii="Times New Roman" w:hAnsi="Times New Roman" w:eastAsia="Times New Roman" w:cs="Times New Roman"/>
          <w:spacing w:val="-3"/>
          <w:sz w:val="15"/>
          <w:szCs w:val="15"/>
        </w:rPr>
        <w:t>5</w:t>
      </w:r>
      <w:r>
        <w:rPr>
          <w:rFonts w:ascii="Times New Roman" w:hAnsi="Times New Roman" w:eastAsia="Times New Roman" w:cs="Times New Roman"/>
          <w:spacing w:val="-11"/>
          <w:sz w:val="15"/>
          <w:szCs w:val="15"/>
        </w:rPr>
        <w:t xml:space="preserve"> </w:t>
      </w:r>
      <w:r>
        <w:rPr>
          <w:spacing w:val="-3"/>
          <w:sz w:val="24"/>
          <w:szCs w:val="24"/>
        </w:rPr>
        <w:t>、</w:t>
      </w:r>
      <w:r>
        <w:rPr>
          <w:rFonts w:ascii="Times New Roman" w:hAnsi="Times New Roman" w:eastAsia="Times New Roman" w:cs="Times New Roman"/>
          <w:spacing w:val="-3"/>
          <w:sz w:val="24"/>
          <w:szCs w:val="24"/>
        </w:rPr>
        <w:t>COD</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 xml:space="preserve">TP </w:t>
      </w:r>
      <w:r>
        <w:rPr>
          <w:spacing w:val="-3"/>
          <w:sz w:val="24"/>
          <w:szCs w:val="24"/>
        </w:rPr>
        <w:t>和粪</w:t>
      </w:r>
      <w:r>
        <w:rPr>
          <w:spacing w:val="-2"/>
          <w:sz w:val="24"/>
          <w:szCs w:val="24"/>
        </w:rPr>
        <w:t>大肠菌群均有不同程度超标；</w:t>
      </w:r>
      <w:r>
        <w:rPr>
          <w:rFonts w:ascii="Times New Roman" w:hAnsi="Times New Roman" w:eastAsia="Times New Roman" w:cs="Times New Roman"/>
          <w:spacing w:val="-2"/>
          <w:sz w:val="24"/>
          <w:szCs w:val="24"/>
        </w:rPr>
        <w:t xml:space="preserve">2021 </w:t>
      </w:r>
      <w:r>
        <w:rPr>
          <w:spacing w:val="-2"/>
          <w:sz w:val="24"/>
          <w:szCs w:val="24"/>
        </w:rPr>
        <w:t>年</w:t>
      </w:r>
      <w:r>
        <w:rPr>
          <w:spacing w:val="-27"/>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季度</w:t>
      </w:r>
      <w:r>
        <w:rPr>
          <w:spacing w:val="-52"/>
          <w:sz w:val="24"/>
          <w:szCs w:val="24"/>
        </w:rPr>
        <w:t xml:space="preserve"> </w:t>
      </w:r>
      <w:r>
        <w:rPr>
          <w:rFonts w:ascii="Times New Roman" w:hAnsi="Times New Roman" w:eastAsia="Times New Roman" w:cs="Times New Roman"/>
          <w:spacing w:val="-2"/>
          <w:sz w:val="24"/>
          <w:szCs w:val="24"/>
        </w:rPr>
        <w:t xml:space="preserve">TP </w:t>
      </w:r>
      <w:r>
        <w:rPr>
          <w:spacing w:val="-2"/>
          <w:sz w:val="24"/>
          <w:szCs w:val="24"/>
        </w:rPr>
        <w:t>和粪大肠菌群均有不同程度超标。</w:t>
      </w:r>
    </w:p>
    <w:p w14:paraId="3DAF7BBA">
      <w:pPr>
        <w:pStyle w:val="2"/>
        <w:spacing w:before="1" w:line="333" w:lineRule="auto"/>
        <w:ind w:left="42" w:right="95" w:firstLine="482"/>
        <w:rPr>
          <w:sz w:val="24"/>
          <w:szCs w:val="24"/>
        </w:rPr>
      </w:pPr>
      <w:r>
        <w:rPr>
          <w:rFonts w:ascii="Times New Roman" w:hAnsi="Times New Roman" w:eastAsia="Times New Roman" w:cs="Times New Roman"/>
          <w:spacing w:val="-5"/>
          <w:sz w:val="24"/>
          <w:szCs w:val="24"/>
        </w:rPr>
        <w:t>8#</w:t>
      </w:r>
      <w:r>
        <w:rPr>
          <w:spacing w:val="-5"/>
          <w:sz w:val="24"/>
          <w:szCs w:val="24"/>
        </w:rPr>
        <w:t>支洞生活区生活污水进出口：</w:t>
      </w:r>
      <w:r>
        <w:rPr>
          <w:rFonts w:ascii="Times New Roman" w:hAnsi="Times New Roman" w:eastAsia="Times New Roman" w:cs="Times New Roman"/>
          <w:spacing w:val="-5"/>
          <w:sz w:val="24"/>
          <w:szCs w:val="24"/>
        </w:rPr>
        <w:t xml:space="preserve">2019 </w:t>
      </w:r>
      <w:r>
        <w:rPr>
          <w:spacing w:val="-5"/>
          <w:sz w:val="24"/>
          <w:szCs w:val="24"/>
        </w:rPr>
        <w:t>年</w:t>
      </w:r>
      <w:r>
        <w:rPr>
          <w:spacing w:val="-40"/>
          <w:sz w:val="24"/>
          <w:szCs w:val="24"/>
        </w:rPr>
        <w:t xml:space="preserve"> </w:t>
      </w:r>
      <w:r>
        <w:rPr>
          <w:rFonts w:ascii="Times New Roman" w:hAnsi="Times New Roman" w:eastAsia="Times New Roman" w:cs="Times New Roman"/>
          <w:spacing w:val="-5"/>
          <w:sz w:val="24"/>
          <w:szCs w:val="24"/>
        </w:rPr>
        <w:t xml:space="preserve">2~4 </w:t>
      </w:r>
      <w:r>
        <w:rPr>
          <w:spacing w:val="-5"/>
          <w:sz w:val="24"/>
          <w:szCs w:val="24"/>
        </w:rPr>
        <w:t>季度</w:t>
      </w:r>
      <w:r>
        <w:rPr>
          <w:spacing w:val="-56"/>
          <w:sz w:val="24"/>
          <w:szCs w:val="24"/>
        </w:rPr>
        <w:t xml:space="preserve"> </w:t>
      </w:r>
      <w:r>
        <w:rPr>
          <w:rFonts w:ascii="Times New Roman" w:hAnsi="Times New Roman" w:eastAsia="Times New Roman" w:cs="Times New Roman"/>
          <w:spacing w:val="-5"/>
          <w:sz w:val="24"/>
          <w:szCs w:val="24"/>
        </w:rPr>
        <w:t>BOD</w:t>
      </w:r>
      <w:r>
        <w:rPr>
          <w:rFonts w:ascii="Times New Roman" w:hAnsi="Times New Roman" w:eastAsia="Times New Roman" w:cs="Times New Roman"/>
          <w:spacing w:val="-5"/>
          <w:sz w:val="15"/>
          <w:szCs w:val="15"/>
        </w:rPr>
        <w:t>5</w:t>
      </w:r>
      <w:r>
        <w:rPr>
          <w:spacing w:val="-5"/>
          <w:sz w:val="24"/>
          <w:szCs w:val="24"/>
        </w:rPr>
        <w:t>、</w:t>
      </w:r>
      <w:r>
        <w:rPr>
          <w:rFonts w:ascii="Times New Roman" w:hAnsi="Times New Roman" w:eastAsia="Times New Roman" w:cs="Times New Roman"/>
          <w:spacing w:val="-5"/>
          <w:sz w:val="24"/>
          <w:szCs w:val="24"/>
        </w:rPr>
        <w:t>COD</w:t>
      </w:r>
      <w:r>
        <w:rPr>
          <w:spacing w:val="-5"/>
          <w:sz w:val="24"/>
          <w:szCs w:val="24"/>
        </w:rPr>
        <w:t>、</w:t>
      </w:r>
      <w:r>
        <w:rPr>
          <w:rFonts w:ascii="Times New Roman" w:hAnsi="Times New Roman" w:eastAsia="Times New Roman" w:cs="Times New Roman"/>
          <w:spacing w:val="-5"/>
          <w:sz w:val="24"/>
          <w:szCs w:val="24"/>
        </w:rPr>
        <w:t>NH</w:t>
      </w:r>
      <w:r>
        <w:rPr>
          <w:rFonts w:ascii="Times New Roman" w:hAnsi="Times New Roman" w:eastAsia="Times New Roman" w:cs="Times New Roman"/>
          <w:spacing w:val="-5"/>
          <w:sz w:val="15"/>
          <w:szCs w:val="15"/>
        </w:rPr>
        <w:t>3</w:t>
      </w:r>
      <w:r>
        <w:rPr>
          <w:rFonts w:ascii="Times New Roman" w:hAnsi="Times New Roman" w:eastAsia="Times New Roman" w:cs="Times New Roman"/>
          <w:spacing w:val="-5"/>
          <w:sz w:val="24"/>
          <w:szCs w:val="24"/>
        </w:rPr>
        <w:t>-N</w:t>
      </w:r>
      <w:r>
        <w:rPr>
          <w:spacing w:val="-5"/>
          <w:sz w:val="24"/>
          <w:szCs w:val="24"/>
        </w:rPr>
        <w:t>、</w:t>
      </w:r>
      <w:r>
        <w:rPr>
          <w:rFonts w:ascii="Times New Roman" w:hAnsi="Times New Roman" w:eastAsia="Times New Roman" w:cs="Times New Roman"/>
          <w:spacing w:val="-5"/>
          <w:sz w:val="24"/>
          <w:szCs w:val="24"/>
        </w:rPr>
        <w:t>TP</w:t>
      </w:r>
      <w:r>
        <w:rPr>
          <w:rFonts w:ascii="Times New Roman" w:hAnsi="Times New Roman" w:eastAsia="Times New Roman" w:cs="Times New Roman"/>
          <w:spacing w:val="-34"/>
          <w:sz w:val="24"/>
          <w:szCs w:val="24"/>
        </w:rPr>
        <w:t xml:space="preserve"> </w:t>
      </w:r>
      <w:r>
        <w:rPr>
          <w:spacing w:val="-5"/>
          <w:sz w:val="24"/>
          <w:szCs w:val="24"/>
        </w:rPr>
        <w:t>、</w:t>
      </w:r>
      <w:r>
        <w:rPr>
          <w:sz w:val="24"/>
          <w:szCs w:val="24"/>
        </w:rPr>
        <w:t xml:space="preserve"> </w:t>
      </w:r>
      <w:r>
        <w:rPr>
          <w:rFonts w:ascii="Times New Roman" w:hAnsi="Times New Roman" w:eastAsia="Times New Roman" w:cs="Times New Roman"/>
          <w:spacing w:val="-2"/>
          <w:sz w:val="24"/>
          <w:szCs w:val="24"/>
        </w:rPr>
        <w:t>SS</w:t>
      </w:r>
      <w:r>
        <w:rPr>
          <w:spacing w:val="-2"/>
          <w:sz w:val="24"/>
          <w:szCs w:val="24"/>
        </w:rPr>
        <w:t>、动植物油、粪大肠菌群均有不同程度超标；</w:t>
      </w:r>
      <w:r>
        <w:rPr>
          <w:rFonts w:ascii="Times New Roman" w:hAnsi="Times New Roman" w:eastAsia="Times New Roman" w:cs="Times New Roman"/>
          <w:spacing w:val="-2"/>
          <w:sz w:val="24"/>
          <w:szCs w:val="24"/>
        </w:rPr>
        <w:t>2020</w:t>
      </w:r>
      <w:r>
        <w:rPr>
          <w:rFonts w:ascii="Times New Roman" w:hAnsi="Times New Roman" w:eastAsia="Times New Roman" w:cs="Times New Roman"/>
          <w:spacing w:val="20"/>
          <w:sz w:val="24"/>
          <w:szCs w:val="24"/>
        </w:rPr>
        <w:t xml:space="preserve"> </w:t>
      </w:r>
      <w:r>
        <w:rPr>
          <w:spacing w:val="-2"/>
          <w:sz w:val="24"/>
          <w:szCs w:val="24"/>
        </w:rPr>
        <w:t>年</w:t>
      </w:r>
      <w:r>
        <w:rPr>
          <w:spacing w:val="-22"/>
          <w:sz w:val="24"/>
          <w:szCs w:val="24"/>
        </w:rPr>
        <w:t xml:space="preserve"> </w:t>
      </w:r>
      <w:r>
        <w:rPr>
          <w:rFonts w:ascii="Times New Roman" w:hAnsi="Times New Roman" w:eastAsia="Times New Roman" w:cs="Times New Roman"/>
          <w:spacing w:val="-3"/>
          <w:sz w:val="24"/>
          <w:szCs w:val="24"/>
        </w:rPr>
        <w:t>1~4</w:t>
      </w:r>
      <w:r>
        <w:rPr>
          <w:rFonts w:ascii="Times New Roman" w:hAnsi="Times New Roman" w:eastAsia="Times New Roman" w:cs="Times New Roman"/>
          <w:spacing w:val="20"/>
          <w:sz w:val="24"/>
          <w:szCs w:val="24"/>
        </w:rPr>
        <w:t xml:space="preserve"> </w:t>
      </w:r>
      <w:r>
        <w:rPr>
          <w:spacing w:val="-3"/>
          <w:sz w:val="24"/>
          <w:szCs w:val="24"/>
        </w:rPr>
        <w:t>季度</w:t>
      </w:r>
      <w:r>
        <w:rPr>
          <w:spacing w:val="-46"/>
          <w:sz w:val="24"/>
          <w:szCs w:val="24"/>
        </w:rPr>
        <w:t xml:space="preserve"> </w:t>
      </w:r>
      <w:r>
        <w:rPr>
          <w:rFonts w:ascii="Times New Roman" w:hAnsi="Times New Roman" w:eastAsia="Times New Roman" w:cs="Times New Roman"/>
          <w:spacing w:val="-3"/>
          <w:sz w:val="24"/>
          <w:szCs w:val="24"/>
        </w:rPr>
        <w:t>BOD</w:t>
      </w:r>
      <w:r>
        <w:rPr>
          <w:rFonts w:ascii="Times New Roman" w:hAnsi="Times New Roman" w:eastAsia="Times New Roman" w:cs="Times New Roman"/>
          <w:spacing w:val="-3"/>
          <w:sz w:val="15"/>
          <w:szCs w:val="15"/>
        </w:rPr>
        <w:t>5</w:t>
      </w:r>
      <w:r>
        <w:rPr>
          <w:rFonts w:ascii="Times New Roman" w:hAnsi="Times New Roman" w:eastAsia="Times New Roman" w:cs="Times New Roman"/>
          <w:spacing w:val="-11"/>
          <w:sz w:val="15"/>
          <w:szCs w:val="15"/>
        </w:rPr>
        <w:t xml:space="preserve"> </w:t>
      </w:r>
      <w:r>
        <w:rPr>
          <w:spacing w:val="-3"/>
          <w:sz w:val="24"/>
          <w:szCs w:val="24"/>
        </w:rPr>
        <w:t>、</w:t>
      </w:r>
      <w:r>
        <w:rPr>
          <w:rFonts w:ascii="Times New Roman" w:hAnsi="Times New Roman" w:eastAsia="Times New Roman" w:cs="Times New Roman"/>
          <w:spacing w:val="-3"/>
          <w:sz w:val="24"/>
          <w:szCs w:val="24"/>
        </w:rPr>
        <w:t>TP</w:t>
      </w:r>
      <w:r>
        <w:rPr>
          <w:spacing w:val="-3"/>
          <w:sz w:val="24"/>
          <w:szCs w:val="24"/>
        </w:rPr>
        <w:t>、粪</w:t>
      </w:r>
      <w:r>
        <w:rPr>
          <w:spacing w:val="-1"/>
          <w:sz w:val="24"/>
          <w:szCs w:val="24"/>
        </w:rPr>
        <w:t>大肠菌群和阴离子表面活性剂均有不同程度超标。</w:t>
      </w:r>
    </w:p>
    <w:p w14:paraId="33E94B98">
      <w:pPr>
        <w:spacing w:line="333" w:lineRule="auto"/>
        <w:rPr>
          <w:sz w:val="24"/>
          <w:szCs w:val="24"/>
        </w:rPr>
        <w:sectPr>
          <w:headerReference r:id="rId118" w:type="default"/>
          <w:footerReference r:id="rId119" w:type="default"/>
          <w:pgSz w:w="11907" w:h="16839"/>
          <w:pgMar w:top="1376" w:right="1614" w:bottom="1061" w:left="1671" w:header="999" w:footer="861" w:gutter="0"/>
          <w:cols w:space="720" w:num="1"/>
        </w:sectPr>
      </w:pPr>
    </w:p>
    <w:p w14:paraId="3BFEC793">
      <w:pPr>
        <w:spacing w:line="455" w:lineRule="auto"/>
        <w:rPr>
          <w:rFonts w:ascii="Arial"/>
          <w:sz w:val="21"/>
        </w:rPr>
      </w:pPr>
    </w:p>
    <w:p w14:paraId="6DC1E7AA">
      <w:pPr>
        <w:pStyle w:val="2"/>
        <w:spacing w:before="78" w:line="331" w:lineRule="auto"/>
        <w:ind w:left="45" w:right="118" w:firstLine="492"/>
        <w:rPr>
          <w:sz w:val="24"/>
          <w:szCs w:val="24"/>
        </w:rPr>
      </w:pPr>
      <w:r>
        <w:rPr>
          <w:rFonts w:ascii="Times New Roman" w:hAnsi="Times New Roman" w:eastAsia="Times New Roman" w:cs="Times New Roman"/>
          <w:spacing w:val="-8"/>
          <w:sz w:val="24"/>
          <w:szCs w:val="24"/>
        </w:rPr>
        <w:t>11#</w:t>
      </w:r>
      <w:r>
        <w:rPr>
          <w:spacing w:val="-8"/>
          <w:sz w:val="24"/>
          <w:szCs w:val="24"/>
        </w:rPr>
        <w:t>支洞生活区生活污水进出口：</w:t>
      </w:r>
      <w:r>
        <w:rPr>
          <w:rFonts w:ascii="Times New Roman" w:hAnsi="Times New Roman" w:eastAsia="Times New Roman" w:cs="Times New Roman"/>
          <w:spacing w:val="-8"/>
          <w:sz w:val="24"/>
          <w:szCs w:val="24"/>
        </w:rPr>
        <w:t xml:space="preserve">2019 </w:t>
      </w:r>
      <w:r>
        <w:rPr>
          <w:spacing w:val="-8"/>
          <w:sz w:val="24"/>
          <w:szCs w:val="24"/>
        </w:rPr>
        <w:t>年</w:t>
      </w:r>
      <w:r>
        <w:rPr>
          <w:spacing w:val="-29"/>
          <w:sz w:val="24"/>
          <w:szCs w:val="24"/>
        </w:rPr>
        <w:t xml:space="preserve"> </w:t>
      </w:r>
      <w:r>
        <w:rPr>
          <w:rFonts w:ascii="Times New Roman" w:hAnsi="Times New Roman" w:eastAsia="Times New Roman" w:cs="Times New Roman"/>
          <w:spacing w:val="-8"/>
          <w:sz w:val="24"/>
          <w:szCs w:val="24"/>
        </w:rPr>
        <w:t xml:space="preserve">1~4 </w:t>
      </w:r>
      <w:r>
        <w:rPr>
          <w:spacing w:val="-8"/>
          <w:sz w:val="24"/>
          <w:szCs w:val="24"/>
        </w:rPr>
        <w:t>季度</w:t>
      </w:r>
      <w:r>
        <w:rPr>
          <w:spacing w:val="-55"/>
          <w:sz w:val="24"/>
          <w:szCs w:val="24"/>
        </w:rPr>
        <w:t xml:space="preserve"> </w:t>
      </w:r>
      <w:r>
        <w:rPr>
          <w:rFonts w:ascii="Times New Roman" w:hAnsi="Times New Roman" w:eastAsia="Times New Roman" w:cs="Times New Roman"/>
          <w:spacing w:val="-8"/>
          <w:sz w:val="24"/>
          <w:szCs w:val="24"/>
        </w:rPr>
        <w:t>BOD</w:t>
      </w:r>
      <w:r>
        <w:rPr>
          <w:rFonts w:ascii="Times New Roman" w:hAnsi="Times New Roman" w:eastAsia="Times New Roman" w:cs="Times New Roman"/>
          <w:spacing w:val="-8"/>
          <w:sz w:val="15"/>
          <w:szCs w:val="15"/>
        </w:rPr>
        <w:t>5</w:t>
      </w:r>
      <w:r>
        <w:rPr>
          <w:spacing w:val="-8"/>
          <w:sz w:val="24"/>
          <w:szCs w:val="24"/>
        </w:rPr>
        <w:t>、</w:t>
      </w:r>
      <w:r>
        <w:rPr>
          <w:rFonts w:ascii="Times New Roman" w:hAnsi="Times New Roman" w:eastAsia="Times New Roman" w:cs="Times New Roman"/>
          <w:spacing w:val="-8"/>
          <w:sz w:val="24"/>
          <w:szCs w:val="24"/>
        </w:rPr>
        <w:t>COD</w:t>
      </w:r>
      <w:r>
        <w:rPr>
          <w:spacing w:val="-8"/>
          <w:sz w:val="24"/>
          <w:szCs w:val="24"/>
        </w:rPr>
        <w:t>、</w:t>
      </w:r>
      <w:r>
        <w:rPr>
          <w:rFonts w:ascii="Times New Roman" w:hAnsi="Times New Roman" w:eastAsia="Times New Roman" w:cs="Times New Roman"/>
          <w:spacing w:val="-8"/>
          <w:sz w:val="24"/>
          <w:szCs w:val="24"/>
        </w:rPr>
        <w:t>NH</w:t>
      </w:r>
      <w:r>
        <w:rPr>
          <w:rFonts w:ascii="Times New Roman" w:hAnsi="Times New Roman" w:eastAsia="Times New Roman" w:cs="Times New Roman"/>
          <w:spacing w:val="-8"/>
          <w:sz w:val="15"/>
          <w:szCs w:val="15"/>
        </w:rPr>
        <w:t>3</w:t>
      </w:r>
      <w:r>
        <w:rPr>
          <w:rFonts w:ascii="Times New Roman" w:hAnsi="Times New Roman" w:eastAsia="Times New Roman" w:cs="Times New Roman"/>
          <w:spacing w:val="-8"/>
          <w:sz w:val="24"/>
          <w:szCs w:val="24"/>
        </w:rPr>
        <w:t>-N</w:t>
      </w:r>
      <w:r>
        <w:rPr>
          <w:spacing w:val="-8"/>
          <w:sz w:val="24"/>
          <w:szCs w:val="24"/>
        </w:rPr>
        <w:t>、</w:t>
      </w:r>
      <w:r>
        <w:rPr>
          <w:rFonts w:ascii="Times New Roman" w:hAnsi="Times New Roman" w:eastAsia="Times New Roman" w:cs="Times New Roman"/>
          <w:spacing w:val="-8"/>
          <w:sz w:val="24"/>
          <w:szCs w:val="24"/>
        </w:rPr>
        <w:t>TP</w:t>
      </w:r>
      <w:r>
        <w:rPr>
          <w:spacing w:val="-8"/>
          <w:sz w:val="24"/>
          <w:szCs w:val="24"/>
        </w:rPr>
        <w:t>、</w:t>
      </w:r>
      <w:r>
        <w:rPr>
          <w:sz w:val="24"/>
          <w:szCs w:val="24"/>
        </w:rPr>
        <w:t xml:space="preserve"> </w:t>
      </w:r>
      <w:r>
        <w:rPr>
          <w:rFonts w:ascii="Times New Roman" w:hAnsi="Times New Roman" w:eastAsia="Times New Roman" w:cs="Times New Roman"/>
          <w:spacing w:val="-1"/>
          <w:sz w:val="24"/>
          <w:szCs w:val="24"/>
        </w:rPr>
        <w:t>SS</w:t>
      </w:r>
      <w:r>
        <w:rPr>
          <w:spacing w:val="-1"/>
          <w:sz w:val="24"/>
          <w:szCs w:val="24"/>
        </w:rPr>
        <w:t>、动植物油、粪大肠菌群均有不同程度超标。</w:t>
      </w:r>
    </w:p>
    <w:p w14:paraId="0ED9259B">
      <w:pPr>
        <w:pStyle w:val="2"/>
        <w:spacing w:before="20" w:line="330" w:lineRule="auto"/>
        <w:ind w:left="43" w:right="97" w:firstLine="471"/>
        <w:rPr>
          <w:sz w:val="24"/>
          <w:szCs w:val="24"/>
        </w:rPr>
      </w:pPr>
      <w:r>
        <w:rPr>
          <w:rFonts w:ascii="Times New Roman" w:hAnsi="Times New Roman" w:eastAsia="Times New Roman" w:cs="Times New Roman"/>
          <w:spacing w:val="-4"/>
          <w:sz w:val="24"/>
          <w:szCs w:val="24"/>
        </w:rPr>
        <w:t xml:space="preserve">2 </w:t>
      </w:r>
      <w:r>
        <w:rPr>
          <w:spacing w:val="-4"/>
          <w:sz w:val="24"/>
          <w:szCs w:val="24"/>
        </w:rPr>
        <w:t>标段项目部让田村：</w:t>
      </w:r>
      <w:r>
        <w:rPr>
          <w:rFonts w:ascii="Times New Roman" w:hAnsi="Times New Roman" w:eastAsia="Times New Roman" w:cs="Times New Roman"/>
          <w:spacing w:val="-4"/>
          <w:sz w:val="24"/>
          <w:szCs w:val="24"/>
        </w:rPr>
        <w:t xml:space="preserve">2019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季度</w:t>
      </w:r>
      <w:r>
        <w:rPr>
          <w:spacing w:val="-56"/>
          <w:sz w:val="24"/>
          <w:szCs w:val="24"/>
        </w:rPr>
        <w:t xml:space="preserve"> </w:t>
      </w:r>
      <w:r>
        <w:rPr>
          <w:rFonts w:ascii="Times New Roman" w:hAnsi="Times New Roman" w:eastAsia="Times New Roman" w:cs="Times New Roman"/>
          <w:spacing w:val="-4"/>
          <w:sz w:val="24"/>
          <w:szCs w:val="24"/>
        </w:rPr>
        <w:t>BOD</w:t>
      </w:r>
      <w:r>
        <w:rPr>
          <w:rFonts w:ascii="Times New Roman" w:hAnsi="Times New Roman" w:eastAsia="Times New Roman" w:cs="Times New Roman"/>
          <w:spacing w:val="-4"/>
          <w:sz w:val="15"/>
          <w:szCs w:val="15"/>
        </w:rPr>
        <w:t>5</w:t>
      </w:r>
      <w:r>
        <w:rPr>
          <w:spacing w:val="-4"/>
          <w:sz w:val="24"/>
          <w:szCs w:val="24"/>
        </w:rPr>
        <w:t>、</w:t>
      </w:r>
      <w:r>
        <w:rPr>
          <w:rFonts w:ascii="Times New Roman" w:hAnsi="Times New Roman" w:eastAsia="Times New Roman" w:cs="Times New Roman"/>
          <w:spacing w:val="-4"/>
          <w:sz w:val="24"/>
          <w:szCs w:val="24"/>
        </w:rPr>
        <w:t>COD</w:t>
      </w:r>
      <w:r>
        <w:rPr>
          <w:spacing w:val="-4"/>
          <w:sz w:val="24"/>
          <w:szCs w:val="24"/>
        </w:rPr>
        <w:t>、</w:t>
      </w:r>
      <w:r>
        <w:rPr>
          <w:rFonts w:ascii="Times New Roman" w:hAnsi="Times New Roman" w:eastAsia="Times New Roman" w:cs="Times New Roman"/>
          <w:spacing w:val="-4"/>
          <w:sz w:val="24"/>
          <w:szCs w:val="24"/>
        </w:rPr>
        <w:t>NH</w:t>
      </w:r>
      <w:r>
        <w:rPr>
          <w:rFonts w:ascii="Times New Roman" w:hAnsi="Times New Roman" w:eastAsia="Times New Roman" w:cs="Times New Roman"/>
          <w:spacing w:val="-4"/>
          <w:sz w:val="15"/>
          <w:szCs w:val="15"/>
        </w:rPr>
        <w:t>3</w:t>
      </w:r>
      <w:r>
        <w:rPr>
          <w:rFonts w:ascii="Times New Roman" w:hAnsi="Times New Roman" w:eastAsia="Times New Roman" w:cs="Times New Roman"/>
          <w:spacing w:val="-4"/>
          <w:sz w:val="24"/>
          <w:szCs w:val="24"/>
        </w:rPr>
        <w:t>-N</w:t>
      </w:r>
      <w:r>
        <w:rPr>
          <w:spacing w:val="-4"/>
          <w:sz w:val="24"/>
          <w:szCs w:val="24"/>
        </w:rPr>
        <w:t>、</w:t>
      </w:r>
      <w:r>
        <w:rPr>
          <w:rFonts w:ascii="Times New Roman" w:hAnsi="Times New Roman" w:eastAsia="Times New Roman" w:cs="Times New Roman"/>
          <w:spacing w:val="-4"/>
          <w:sz w:val="24"/>
          <w:szCs w:val="24"/>
        </w:rPr>
        <w:t>TP</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SS</w:t>
      </w:r>
      <w:r>
        <w:rPr>
          <w:spacing w:val="-4"/>
          <w:sz w:val="24"/>
          <w:szCs w:val="24"/>
        </w:rPr>
        <w:t>、</w:t>
      </w:r>
      <w:r>
        <w:rPr>
          <w:spacing w:val="-5"/>
          <w:sz w:val="24"/>
          <w:szCs w:val="24"/>
        </w:rPr>
        <w:t>动植物</w:t>
      </w:r>
      <w:r>
        <w:rPr>
          <w:spacing w:val="-1"/>
          <w:sz w:val="24"/>
          <w:szCs w:val="24"/>
        </w:rPr>
        <w:t>油、粪大肠菌群均有不同程度超标。</w:t>
      </w:r>
    </w:p>
    <w:p w14:paraId="5D9047F5">
      <w:pPr>
        <w:pStyle w:val="2"/>
        <w:spacing w:before="21" w:line="331" w:lineRule="auto"/>
        <w:ind w:left="45" w:firstLine="474"/>
        <w:rPr>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16"/>
          <w:w w:val="101"/>
          <w:sz w:val="24"/>
          <w:szCs w:val="24"/>
        </w:rPr>
        <w:t xml:space="preserve"> </w:t>
      </w:r>
      <w:r>
        <w:rPr>
          <w:spacing w:val="-4"/>
          <w:sz w:val="24"/>
          <w:szCs w:val="24"/>
        </w:rPr>
        <w:t>标段生活区污水处理系统出口：</w:t>
      </w:r>
      <w:r>
        <w:rPr>
          <w:rFonts w:ascii="Times New Roman" w:hAnsi="Times New Roman" w:eastAsia="Times New Roman" w:cs="Times New Roman"/>
          <w:spacing w:val="-4"/>
          <w:sz w:val="24"/>
          <w:szCs w:val="24"/>
        </w:rPr>
        <w:t>2019</w:t>
      </w:r>
      <w:r>
        <w:rPr>
          <w:rFonts w:ascii="Times New Roman" w:hAnsi="Times New Roman" w:eastAsia="Times New Roman" w:cs="Times New Roman"/>
          <w:spacing w:val="16"/>
          <w:sz w:val="24"/>
          <w:szCs w:val="24"/>
        </w:rPr>
        <w:t xml:space="preserve"> </w:t>
      </w:r>
      <w:r>
        <w:rPr>
          <w:spacing w:val="-4"/>
          <w:sz w:val="24"/>
          <w:szCs w:val="24"/>
        </w:rPr>
        <w:t>年</w:t>
      </w:r>
      <w:r>
        <w:rPr>
          <w:spacing w:val="-26"/>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6"/>
          <w:w w:val="101"/>
          <w:sz w:val="24"/>
          <w:szCs w:val="24"/>
        </w:rPr>
        <w:t xml:space="preserve"> </w:t>
      </w:r>
      <w:r>
        <w:rPr>
          <w:spacing w:val="-4"/>
          <w:sz w:val="24"/>
          <w:szCs w:val="24"/>
        </w:rPr>
        <w:t>季度</w:t>
      </w:r>
      <w:r>
        <w:rPr>
          <w:spacing w:val="-50"/>
          <w:sz w:val="24"/>
          <w:szCs w:val="24"/>
        </w:rPr>
        <w:t xml:space="preserve"> </w:t>
      </w:r>
      <w:r>
        <w:rPr>
          <w:rFonts w:ascii="Times New Roman" w:hAnsi="Times New Roman" w:eastAsia="Times New Roman" w:cs="Times New Roman"/>
          <w:spacing w:val="-4"/>
          <w:sz w:val="24"/>
          <w:szCs w:val="24"/>
        </w:rPr>
        <w:t>BOD</w:t>
      </w:r>
      <w:r>
        <w:rPr>
          <w:rFonts w:ascii="Times New Roman" w:hAnsi="Times New Roman" w:eastAsia="Times New Roman" w:cs="Times New Roman"/>
          <w:spacing w:val="-4"/>
          <w:sz w:val="15"/>
          <w:szCs w:val="15"/>
        </w:rPr>
        <w:t>5</w:t>
      </w:r>
      <w:r>
        <w:rPr>
          <w:rFonts w:ascii="Times New Roman" w:hAnsi="Times New Roman" w:eastAsia="Times New Roman" w:cs="Times New Roman"/>
          <w:spacing w:val="-10"/>
          <w:sz w:val="15"/>
          <w:szCs w:val="15"/>
        </w:rPr>
        <w:t xml:space="preserve"> </w:t>
      </w:r>
      <w:r>
        <w:rPr>
          <w:spacing w:val="-5"/>
          <w:sz w:val="24"/>
          <w:szCs w:val="24"/>
        </w:rPr>
        <w:t>、</w:t>
      </w:r>
      <w:r>
        <w:rPr>
          <w:rFonts w:ascii="Times New Roman" w:hAnsi="Times New Roman" w:eastAsia="Times New Roman" w:cs="Times New Roman"/>
          <w:spacing w:val="-5"/>
          <w:sz w:val="24"/>
          <w:szCs w:val="24"/>
        </w:rPr>
        <w:t>COD</w:t>
      </w:r>
      <w:r>
        <w:rPr>
          <w:rFonts w:ascii="Times New Roman" w:hAnsi="Times New Roman" w:eastAsia="Times New Roman" w:cs="Times New Roman"/>
          <w:spacing w:val="-34"/>
          <w:sz w:val="24"/>
          <w:szCs w:val="24"/>
        </w:rPr>
        <w:t xml:space="preserve"> </w:t>
      </w:r>
      <w:r>
        <w:rPr>
          <w:spacing w:val="-5"/>
          <w:sz w:val="24"/>
          <w:szCs w:val="24"/>
        </w:rPr>
        <w:t>、</w:t>
      </w:r>
      <w:r>
        <w:rPr>
          <w:rFonts w:ascii="Times New Roman" w:hAnsi="Times New Roman" w:eastAsia="Times New Roman" w:cs="Times New Roman"/>
          <w:spacing w:val="-5"/>
          <w:sz w:val="24"/>
          <w:szCs w:val="24"/>
        </w:rPr>
        <w:t>NH</w:t>
      </w:r>
      <w:r>
        <w:rPr>
          <w:rFonts w:ascii="Times New Roman" w:hAnsi="Times New Roman" w:eastAsia="Times New Roman" w:cs="Times New Roman"/>
          <w:spacing w:val="-5"/>
          <w:sz w:val="15"/>
          <w:szCs w:val="15"/>
        </w:rPr>
        <w:t>3</w:t>
      </w:r>
      <w:r>
        <w:rPr>
          <w:rFonts w:ascii="Times New Roman" w:hAnsi="Times New Roman" w:eastAsia="Times New Roman" w:cs="Times New Roman"/>
          <w:spacing w:val="-5"/>
          <w:sz w:val="24"/>
          <w:szCs w:val="24"/>
        </w:rPr>
        <w:t>-N</w:t>
      </w:r>
      <w:r>
        <w:rPr>
          <w:rFonts w:ascii="Times New Roman" w:hAnsi="Times New Roman" w:eastAsia="Times New Roman" w:cs="Times New Roman"/>
          <w:spacing w:val="-34"/>
          <w:sz w:val="24"/>
          <w:szCs w:val="24"/>
        </w:rPr>
        <w:t xml:space="preserve"> </w:t>
      </w:r>
      <w:r>
        <w:rPr>
          <w:spacing w:val="-5"/>
          <w:sz w:val="24"/>
          <w:szCs w:val="24"/>
        </w:rPr>
        <w:t>、</w:t>
      </w:r>
      <w:r>
        <w:rPr>
          <w:rFonts w:ascii="Times New Roman" w:hAnsi="Times New Roman" w:eastAsia="Times New Roman" w:cs="Times New Roman"/>
          <w:spacing w:val="-5"/>
          <w:sz w:val="24"/>
          <w:szCs w:val="24"/>
        </w:rPr>
        <w:t>TP</w:t>
      </w:r>
      <w:r>
        <w:rPr>
          <w:spacing w:val="-5"/>
          <w:sz w:val="24"/>
          <w:szCs w:val="24"/>
        </w:rPr>
        <w:t>、</w:t>
      </w:r>
      <w:r>
        <w:rPr>
          <w:sz w:val="24"/>
          <w:szCs w:val="24"/>
        </w:rPr>
        <w:t xml:space="preserve"> </w:t>
      </w:r>
      <w:r>
        <w:rPr>
          <w:rFonts w:ascii="Times New Roman" w:hAnsi="Times New Roman" w:eastAsia="Times New Roman" w:cs="Times New Roman"/>
          <w:spacing w:val="-1"/>
          <w:sz w:val="24"/>
          <w:szCs w:val="24"/>
        </w:rPr>
        <w:t>SS</w:t>
      </w:r>
      <w:r>
        <w:rPr>
          <w:spacing w:val="-1"/>
          <w:sz w:val="24"/>
          <w:szCs w:val="24"/>
        </w:rPr>
        <w:t>、动植物油、粪大肠菌群均有不同程度超标。</w:t>
      </w:r>
    </w:p>
    <w:p w14:paraId="0BC0970D">
      <w:pPr>
        <w:pStyle w:val="2"/>
        <w:spacing w:before="16" w:line="334" w:lineRule="auto"/>
        <w:ind w:left="38" w:right="84" w:firstLine="480"/>
        <w:jc w:val="both"/>
        <w:rPr>
          <w:sz w:val="24"/>
          <w:szCs w:val="24"/>
        </w:rPr>
      </w:pPr>
      <w:r>
        <w:rPr>
          <w:spacing w:val="-2"/>
          <w:sz w:val="24"/>
          <w:szCs w:val="24"/>
        </w:rPr>
        <w:t>输水隧洞生活污水处理系统出口：</w:t>
      </w:r>
      <w:r>
        <w:rPr>
          <w:rFonts w:ascii="Times New Roman" w:hAnsi="Times New Roman" w:eastAsia="Times New Roman" w:cs="Times New Roman"/>
          <w:spacing w:val="-2"/>
          <w:sz w:val="24"/>
          <w:szCs w:val="24"/>
        </w:rPr>
        <w:t>2019</w:t>
      </w:r>
      <w:r>
        <w:rPr>
          <w:rFonts w:ascii="Times New Roman" w:hAnsi="Times New Roman" w:eastAsia="Times New Roman" w:cs="Times New Roman"/>
          <w:spacing w:val="53"/>
          <w:sz w:val="24"/>
          <w:szCs w:val="24"/>
        </w:rPr>
        <w:t xml:space="preserve"> </w:t>
      </w:r>
      <w:r>
        <w:rPr>
          <w:spacing w:val="-2"/>
          <w:sz w:val="24"/>
          <w:szCs w:val="24"/>
        </w:rPr>
        <w:t>年</w:t>
      </w:r>
      <w:r>
        <w:rPr>
          <w:spacing w:val="-30"/>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5"/>
          <w:sz w:val="24"/>
          <w:szCs w:val="24"/>
        </w:rPr>
        <w:t xml:space="preserve"> </w:t>
      </w:r>
      <w:r>
        <w:rPr>
          <w:spacing w:val="-2"/>
          <w:sz w:val="24"/>
          <w:szCs w:val="24"/>
        </w:rPr>
        <w:t>季度</w:t>
      </w:r>
      <w:r>
        <w:rPr>
          <w:spacing w:val="-28"/>
          <w:sz w:val="24"/>
          <w:szCs w:val="24"/>
        </w:rPr>
        <w:t xml:space="preserve"> </w:t>
      </w:r>
      <w:r>
        <w:rPr>
          <w:rFonts w:ascii="Times New Roman" w:hAnsi="Times New Roman" w:eastAsia="Times New Roman" w:cs="Times New Roman"/>
          <w:spacing w:val="-2"/>
          <w:sz w:val="24"/>
          <w:szCs w:val="24"/>
        </w:rPr>
        <w:t>TP</w:t>
      </w:r>
      <w:r>
        <w:rPr>
          <w:rFonts w:ascii="Times New Roman" w:hAnsi="Times New Roman" w:eastAsia="Times New Roman" w:cs="Times New Roman"/>
          <w:spacing w:val="35"/>
          <w:w w:val="101"/>
          <w:sz w:val="24"/>
          <w:szCs w:val="24"/>
        </w:rPr>
        <w:t xml:space="preserve"> </w:t>
      </w:r>
      <w:r>
        <w:rPr>
          <w:spacing w:val="-2"/>
          <w:sz w:val="24"/>
          <w:szCs w:val="24"/>
        </w:rPr>
        <w:t>和粪大肠菌群均有不同程度超标，</w:t>
      </w:r>
      <w:r>
        <w:rPr>
          <w:rFonts w:ascii="Times New Roman" w:hAnsi="Times New Roman" w:eastAsia="Times New Roman" w:cs="Times New Roman"/>
          <w:spacing w:val="-2"/>
          <w:sz w:val="24"/>
          <w:szCs w:val="24"/>
        </w:rPr>
        <w:t xml:space="preserve">3 </w:t>
      </w:r>
      <w:r>
        <w:rPr>
          <w:spacing w:val="-2"/>
          <w:sz w:val="24"/>
          <w:szCs w:val="24"/>
        </w:rPr>
        <w:t>季度</w:t>
      </w:r>
      <w:r>
        <w:rPr>
          <w:spacing w:val="-53"/>
          <w:sz w:val="24"/>
          <w:szCs w:val="24"/>
        </w:rPr>
        <w:t xml:space="preserve"> </w:t>
      </w:r>
      <w:r>
        <w:rPr>
          <w:rFonts w:ascii="Times New Roman" w:hAnsi="Times New Roman" w:eastAsia="Times New Roman" w:cs="Times New Roman"/>
          <w:spacing w:val="-2"/>
          <w:sz w:val="24"/>
          <w:szCs w:val="24"/>
        </w:rPr>
        <w:t xml:space="preserve">2019 </w:t>
      </w:r>
      <w:r>
        <w:rPr>
          <w:spacing w:val="-2"/>
          <w:sz w:val="24"/>
          <w:szCs w:val="24"/>
        </w:rPr>
        <w:t>年</w:t>
      </w:r>
      <w:r>
        <w:rPr>
          <w:spacing w:val="-29"/>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季度</w:t>
      </w:r>
      <w:r>
        <w:rPr>
          <w:spacing w:val="-54"/>
          <w:sz w:val="24"/>
          <w:szCs w:val="24"/>
        </w:rPr>
        <w:t xml:space="preserve"> </w:t>
      </w:r>
      <w:r>
        <w:rPr>
          <w:rFonts w:ascii="Times New Roman" w:hAnsi="Times New Roman" w:eastAsia="Times New Roman" w:cs="Times New Roman"/>
          <w:spacing w:val="-3"/>
          <w:sz w:val="24"/>
          <w:szCs w:val="24"/>
        </w:rPr>
        <w:t>BOD</w:t>
      </w:r>
      <w:r>
        <w:rPr>
          <w:rFonts w:ascii="Times New Roman" w:hAnsi="Times New Roman" w:eastAsia="Times New Roman" w:cs="Times New Roman"/>
          <w:spacing w:val="-3"/>
          <w:sz w:val="15"/>
          <w:szCs w:val="15"/>
        </w:rPr>
        <w:t>5</w:t>
      </w:r>
      <w:r>
        <w:rPr>
          <w:rFonts w:ascii="Times New Roman" w:hAnsi="Times New Roman" w:eastAsia="Times New Roman" w:cs="Times New Roman"/>
          <w:spacing w:val="-10"/>
          <w:sz w:val="15"/>
          <w:szCs w:val="15"/>
        </w:rPr>
        <w:t xml:space="preserve"> </w:t>
      </w:r>
      <w:r>
        <w:rPr>
          <w:spacing w:val="-3"/>
          <w:sz w:val="24"/>
          <w:szCs w:val="24"/>
        </w:rPr>
        <w:t>、</w:t>
      </w:r>
      <w:r>
        <w:rPr>
          <w:rFonts w:ascii="Times New Roman" w:hAnsi="Times New Roman" w:eastAsia="Times New Roman" w:cs="Times New Roman"/>
          <w:spacing w:val="-3"/>
          <w:sz w:val="24"/>
          <w:szCs w:val="24"/>
        </w:rPr>
        <w:t>COD</w:t>
      </w:r>
      <w:r>
        <w:rPr>
          <w:rFonts w:ascii="Times New Roman" w:hAnsi="Times New Roman" w:eastAsia="Times New Roman" w:cs="Times New Roman"/>
          <w:spacing w:val="-35"/>
          <w:sz w:val="24"/>
          <w:szCs w:val="24"/>
        </w:rPr>
        <w:t xml:space="preserve"> </w:t>
      </w:r>
      <w:r>
        <w:rPr>
          <w:spacing w:val="-3"/>
          <w:sz w:val="24"/>
          <w:szCs w:val="24"/>
        </w:rPr>
        <w:t>、</w:t>
      </w:r>
      <w:r>
        <w:rPr>
          <w:rFonts w:ascii="Times New Roman" w:hAnsi="Times New Roman" w:eastAsia="Times New Roman" w:cs="Times New Roman"/>
          <w:spacing w:val="-3"/>
          <w:sz w:val="24"/>
          <w:szCs w:val="24"/>
        </w:rPr>
        <w:t>TP</w:t>
      </w:r>
      <w:r>
        <w:rPr>
          <w:rFonts w:ascii="Times New Roman" w:hAnsi="Times New Roman" w:eastAsia="Times New Roman" w:cs="Times New Roman"/>
          <w:spacing w:val="-33"/>
          <w:sz w:val="24"/>
          <w:szCs w:val="24"/>
        </w:rPr>
        <w:t xml:space="preserve"> </w:t>
      </w:r>
      <w:r>
        <w:rPr>
          <w:spacing w:val="-3"/>
          <w:sz w:val="24"/>
          <w:szCs w:val="24"/>
        </w:rPr>
        <w:t>、</w:t>
      </w:r>
      <w:r>
        <w:rPr>
          <w:rFonts w:ascii="Times New Roman" w:hAnsi="Times New Roman" w:eastAsia="Times New Roman" w:cs="Times New Roman"/>
          <w:spacing w:val="-3"/>
          <w:sz w:val="24"/>
          <w:szCs w:val="24"/>
        </w:rPr>
        <w:t>SS</w:t>
      </w:r>
      <w:r>
        <w:rPr>
          <w:spacing w:val="-3"/>
          <w:sz w:val="24"/>
          <w:szCs w:val="24"/>
        </w:rPr>
        <w:t>、粪大肠菌群均有不同</w:t>
      </w:r>
      <w:r>
        <w:rPr>
          <w:spacing w:val="-2"/>
          <w:sz w:val="24"/>
          <w:szCs w:val="24"/>
        </w:rPr>
        <w:t>程度超标。</w:t>
      </w:r>
    </w:p>
    <w:p w14:paraId="328934DB">
      <w:pPr>
        <w:pStyle w:val="2"/>
        <w:spacing w:before="19"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5.2.1                      2019 </w:t>
      </w:r>
      <w:r>
        <w:rPr>
          <w:b/>
          <w:bCs/>
          <w:sz w:val="24"/>
          <w:szCs w:val="24"/>
        </w:rPr>
        <w:t>年施</w:t>
      </w:r>
      <w:r>
        <w:rPr>
          <w:b/>
          <w:bCs/>
          <w:spacing w:val="-1"/>
          <w:sz w:val="24"/>
          <w:szCs w:val="24"/>
        </w:rPr>
        <w:t>工期生产废水处理系统进、出口水质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1"/>
        <w:gridCol w:w="423"/>
        <w:gridCol w:w="1554"/>
        <w:gridCol w:w="892"/>
        <w:gridCol w:w="892"/>
        <w:gridCol w:w="892"/>
        <w:gridCol w:w="892"/>
        <w:gridCol w:w="891"/>
        <w:gridCol w:w="906"/>
      </w:tblGrid>
      <w:tr w14:paraId="0DDF7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131" w:type="dxa"/>
            <w:vMerge w:val="restart"/>
            <w:tcBorders>
              <w:top w:val="single" w:color="000000" w:sz="12" w:space="0"/>
              <w:left w:val="single" w:color="000000" w:sz="12" w:space="0"/>
              <w:bottom w:val="nil"/>
            </w:tcBorders>
            <w:vAlign w:val="top"/>
          </w:tcPr>
          <w:p w14:paraId="279BBA9C">
            <w:pPr>
              <w:spacing w:before="255" w:line="221" w:lineRule="auto"/>
              <w:ind w:left="133"/>
              <w:rPr>
                <w:rFonts w:ascii="宋体" w:hAnsi="宋体" w:eastAsia="宋体" w:cs="宋体"/>
                <w:sz w:val="21"/>
                <w:szCs w:val="21"/>
              </w:rPr>
            </w:pPr>
            <w:r>
              <w:rPr>
                <w:rFonts w:ascii="宋体" w:hAnsi="宋体" w:eastAsia="宋体" w:cs="宋体"/>
                <w:spacing w:val="-2"/>
                <w:sz w:val="21"/>
                <w:szCs w:val="21"/>
              </w:rPr>
              <w:t>监测点位</w:t>
            </w:r>
          </w:p>
        </w:tc>
        <w:tc>
          <w:tcPr>
            <w:tcW w:w="1977" w:type="dxa"/>
            <w:gridSpan w:val="2"/>
            <w:vMerge w:val="restart"/>
            <w:tcBorders>
              <w:top w:val="single" w:color="000000" w:sz="12" w:space="0"/>
              <w:bottom w:val="nil"/>
            </w:tcBorders>
            <w:vAlign w:val="top"/>
          </w:tcPr>
          <w:p w14:paraId="2E449BD2">
            <w:pPr>
              <w:spacing w:before="255" w:line="221" w:lineRule="auto"/>
              <w:ind w:left="56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193ADE60">
            <w:pPr>
              <w:pStyle w:val="6"/>
              <w:spacing w:before="71"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08998DEC">
            <w:pPr>
              <w:pStyle w:val="6"/>
              <w:spacing w:before="71"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3E94440C">
            <w:pPr>
              <w:pStyle w:val="6"/>
              <w:spacing w:before="71"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42782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131" w:type="dxa"/>
            <w:vMerge w:val="continue"/>
            <w:tcBorders>
              <w:top w:val="nil"/>
              <w:left w:val="single" w:color="000000" w:sz="12" w:space="0"/>
            </w:tcBorders>
            <w:vAlign w:val="top"/>
          </w:tcPr>
          <w:p w14:paraId="48CC8808">
            <w:pPr>
              <w:rPr>
                <w:rFonts w:ascii="Arial"/>
                <w:sz w:val="21"/>
              </w:rPr>
            </w:pPr>
          </w:p>
        </w:tc>
        <w:tc>
          <w:tcPr>
            <w:tcW w:w="1977" w:type="dxa"/>
            <w:gridSpan w:val="2"/>
            <w:vMerge w:val="continue"/>
            <w:tcBorders>
              <w:top w:val="nil"/>
            </w:tcBorders>
            <w:vAlign w:val="top"/>
          </w:tcPr>
          <w:p w14:paraId="2DF25AF4">
            <w:pPr>
              <w:rPr>
                <w:rFonts w:ascii="Arial"/>
                <w:sz w:val="21"/>
              </w:rPr>
            </w:pPr>
          </w:p>
        </w:tc>
        <w:tc>
          <w:tcPr>
            <w:tcW w:w="892" w:type="dxa"/>
            <w:vAlign w:val="top"/>
          </w:tcPr>
          <w:p w14:paraId="08CFD509">
            <w:pPr>
              <w:spacing w:before="71"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AF45733">
            <w:pPr>
              <w:spacing w:before="70"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69B8B827">
            <w:pPr>
              <w:spacing w:before="71"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960EA46">
            <w:pPr>
              <w:spacing w:before="70"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59696BCF">
            <w:pPr>
              <w:spacing w:before="71"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421E71A0">
            <w:pPr>
              <w:spacing w:before="70"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67256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restart"/>
            <w:tcBorders>
              <w:left w:val="single" w:color="000000" w:sz="12" w:space="0"/>
              <w:bottom w:val="nil"/>
            </w:tcBorders>
            <w:vAlign w:val="top"/>
          </w:tcPr>
          <w:p w14:paraId="67981578">
            <w:pPr>
              <w:spacing w:line="259" w:lineRule="auto"/>
              <w:rPr>
                <w:rFonts w:ascii="Arial"/>
                <w:sz w:val="21"/>
              </w:rPr>
            </w:pPr>
          </w:p>
          <w:p w14:paraId="357D5C66">
            <w:pPr>
              <w:spacing w:line="259" w:lineRule="auto"/>
              <w:rPr>
                <w:rFonts w:ascii="Arial"/>
                <w:sz w:val="21"/>
              </w:rPr>
            </w:pPr>
          </w:p>
          <w:p w14:paraId="71C115E9">
            <w:pPr>
              <w:spacing w:line="259" w:lineRule="auto"/>
              <w:rPr>
                <w:rFonts w:ascii="Arial"/>
                <w:sz w:val="21"/>
              </w:rPr>
            </w:pPr>
          </w:p>
          <w:p w14:paraId="7BB1FF00">
            <w:pPr>
              <w:spacing w:line="259" w:lineRule="auto"/>
              <w:rPr>
                <w:rFonts w:ascii="Arial"/>
                <w:sz w:val="21"/>
              </w:rPr>
            </w:pPr>
          </w:p>
          <w:p w14:paraId="1EE7B39E">
            <w:pPr>
              <w:spacing w:line="260" w:lineRule="auto"/>
              <w:rPr>
                <w:rFonts w:ascii="Arial"/>
                <w:sz w:val="21"/>
              </w:rPr>
            </w:pPr>
          </w:p>
          <w:p w14:paraId="424C8E43">
            <w:pPr>
              <w:spacing w:line="260" w:lineRule="auto"/>
              <w:rPr>
                <w:rFonts w:ascii="Arial"/>
                <w:sz w:val="21"/>
              </w:rPr>
            </w:pPr>
          </w:p>
          <w:p w14:paraId="4449D12D">
            <w:pPr>
              <w:pStyle w:val="6"/>
              <w:spacing w:before="68" w:line="235" w:lineRule="auto"/>
              <w:ind w:left="133"/>
              <w:rPr>
                <w:rFonts w:ascii="宋体" w:hAnsi="宋体" w:eastAsia="宋体" w:cs="宋体"/>
              </w:rPr>
            </w:pPr>
            <w:r>
              <w:rPr>
                <w:spacing w:val="-2"/>
              </w:rPr>
              <w:t>3#</w:t>
            </w:r>
            <w:r>
              <w:rPr>
                <w:rFonts w:ascii="宋体" w:hAnsi="宋体" w:eastAsia="宋体" w:cs="宋体"/>
                <w:spacing w:val="-2"/>
              </w:rPr>
              <w:t>隧洞排</w:t>
            </w:r>
          </w:p>
          <w:p w14:paraId="5B19BCBC">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19168E42">
            <w:pPr>
              <w:spacing w:before="22"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075E9BFB">
            <w:pPr>
              <w:pStyle w:val="6"/>
              <w:spacing w:before="153" w:line="223" w:lineRule="auto"/>
              <w:ind w:left="168"/>
            </w:pPr>
            <w:r>
              <w:t>1</w:t>
            </w:r>
          </w:p>
          <w:p w14:paraId="3ED526C7">
            <w:pPr>
              <w:spacing w:line="219" w:lineRule="auto"/>
              <w:ind w:left="100"/>
              <w:rPr>
                <w:rFonts w:ascii="宋体" w:hAnsi="宋体" w:eastAsia="宋体" w:cs="宋体"/>
                <w:sz w:val="21"/>
                <w:szCs w:val="21"/>
              </w:rPr>
            </w:pPr>
            <w:r>
              <w:rPr>
                <w:rFonts w:ascii="宋体" w:hAnsi="宋体" w:eastAsia="宋体" w:cs="宋体"/>
                <w:sz w:val="21"/>
                <w:szCs w:val="21"/>
              </w:rPr>
              <w:t>季</w:t>
            </w:r>
          </w:p>
          <w:p w14:paraId="2634C362">
            <w:pPr>
              <w:spacing w:before="21"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77FD26FB">
            <w:pPr>
              <w:pStyle w:val="6"/>
              <w:spacing w:before="89" w:line="224" w:lineRule="auto"/>
              <w:ind w:left="343"/>
            </w:pPr>
            <w:r>
              <w:rPr>
                <w:spacing w:val="-1"/>
              </w:rPr>
              <w:t>2019/1/15</w:t>
            </w:r>
          </w:p>
        </w:tc>
        <w:tc>
          <w:tcPr>
            <w:tcW w:w="892" w:type="dxa"/>
            <w:vAlign w:val="top"/>
          </w:tcPr>
          <w:p w14:paraId="64E7BC9B">
            <w:pPr>
              <w:pStyle w:val="6"/>
              <w:spacing w:before="89" w:line="224" w:lineRule="auto"/>
              <w:ind w:left="304"/>
            </w:pPr>
            <w:r>
              <w:rPr>
                <w:spacing w:val="-6"/>
              </w:rPr>
              <w:t>123</w:t>
            </w:r>
          </w:p>
        </w:tc>
        <w:tc>
          <w:tcPr>
            <w:tcW w:w="892" w:type="dxa"/>
            <w:vAlign w:val="top"/>
          </w:tcPr>
          <w:p w14:paraId="1E1FEBDD">
            <w:pPr>
              <w:pStyle w:val="6"/>
              <w:spacing w:before="94" w:line="219" w:lineRule="auto"/>
              <w:ind w:left="343"/>
            </w:pPr>
            <w:r>
              <w:rPr>
                <w:b/>
                <w:bCs/>
                <w:spacing w:val="-2"/>
              </w:rPr>
              <w:t>77</w:t>
            </w:r>
          </w:p>
        </w:tc>
        <w:tc>
          <w:tcPr>
            <w:tcW w:w="892" w:type="dxa"/>
            <w:vAlign w:val="top"/>
          </w:tcPr>
          <w:p w14:paraId="591102AF">
            <w:pPr>
              <w:pStyle w:val="6"/>
              <w:spacing w:before="89" w:line="224" w:lineRule="auto"/>
              <w:ind w:left="268"/>
            </w:pPr>
            <w:r>
              <w:rPr>
                <w:spacing w:val="-2"/>
              </w:rPr>
              <w:t>7.76</w:t>
            </w:r>
          </w:p>
        </w:tc>
        <w:tc>
          <w:tcPr>
            <w:tcW w:w="892" w:type="dxa"/>
            <w:vAlign w:val="top"/>
          </w:tcPr>
          <w:p w14:paraId="7A339A51">
            <w:pPr>
              <w:pStyle w:val="6"/>
              <w:spacing w:before="89" w:line="224" w:lineRule="auto"/>
              <w:ind w:left="271"/>
            </w:pPr>
            <w:r>
              <w:rPr>
                <w:spacing w:val="-2"/>
              </w:rPr>
              <w:t>7.36</w:t>
            </w:r>
          </w:p>
        </w:tc>
        <w:tc>
          <w:tcPr>
            <w:tcW w:w="891" w:type="dxa"/>
            <w:vAlign w:val="top"/>
          </w:tcPr>
          <w:p w14:paraId="17DACA7C">
            <w:pPr>
              <w:pStyle w:val="6"/>
              <w:spacing w:before="89" w:line="224" w:lineRule="auto"/>
              <w:ind w:left="274"/>
            </w:pPr>
            <w:r>
              <w:rPr>
                <w:spacing w:val="-2"/>
              </w:rPr>
              <w:t>0.95</w:t>
            </w:r>
          </w:p>
        </w:tc>
        <w:tc>
          <w:tcPr>
            <w:tcW w:w="906" w:type="dxa"/>
            <w:tcBorders>
              <w:right w:val="single" w:color="000000" w:sz="12" w:space="0"/>
            </w:tcBorders>
            <w:vAlign w:val="top"/>
          </w:tcPr>
          <w:p w14:paraId="562D4298">
            <w:pPr>
              <w:pStyle w:val="6"/>
              <w:spacing w:before="89" w:line="224" w:lineRule="auto"/>
              <w:ind w:left="277"/>
            </w:pPr>
            <w:r>
              <w:rPr>
                <w:spacing w:val="-2"/>
              </w:rPr>
              <w:t>0.06</w:t>
            </w:r>
          </w:p>
        </w:tc>
      </w:tr>
      <w:tr w14:paraId="65219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61E0DD42">
            <w:pPr>
              <w:rPr>
                <w:rFonts w:ascii="Arial"/>
                <w:sz w:val="21"/>
              </w:rPr>
            </w:pPr>
          </w:p>
        </w:tc>
        <w:tc>
          <w:tcPr>
            <w:tcW w:w="423" w:type="dxa"/>
            <w:vMerge w:val="continue"/>
            <w:tcBorders>
              <w:top w:val="nil"/>
              <w:bottom w:val="nil"/>
            </w:tcBorders>
            <w:vAlign w:val="top"/>
          </w:tcPr>
          <w:p w14:paraId="2AAE46A3">
            <w:pPr>
              <w:rPr>
                <w:rFonts w:ascii="Arial"/>
                <w:sz w:val="21"/>
              </w:rPr>
            </w:pPr>
          </w:p>
        </w:tc>
        <w:tc>
          <w:tcPr>
            <w:tcW w:w="1554" w:type="dxa"/>
            <w:vAlign w:val="top"/>
          </w:tcPr>
          <w:p w14:paraId="70B7952F">
            <w:pPr>
              <w:pStyle w:val="6"/>
              <w:spacing w:before="90" w:line="224" w:lineRule="auto"/>
              <w:ind w:left="343"/>
            </w:pPr>
            <w:r>
              <w:rPr>
                <w:spacing w:val="-1"/>
              </w:rPr>
              <w:t>2019/1/16</w:t>
            </w:r>
          </w:p>
        </w:tc>
        <w:tc>
          <w:tcPr>
            <w:tcW w:w="892" w:type="dxa"/>
            <w:vAlign w:val="top"/>
          </w:tcPr>
          <w:p w14:paraId="31AB2D2C">
            <w:pPr>
              <w:pStyle w:val="6"/>
              <w:spacing w:before="90" w:line="224" w:lineRule="auto"/>
              <w:ind w:left="304"/>
            </w:pPr>
            <w:r>
              <w:rPr>
                <w:spacing w:val="-6"/>
              </w:rPr>
              <w:t>118</w:t>
            </w:r>
          </w:p>
        </w:tc>
        <w:tc>
          <w:tcPr>
            <w:tcW w:w="892" w:type="dxa"/>
            <w:vAlign w:val="top"/>
          </w:tcPr>
          <w:p w14:paraId="13F18530">
            <w:pPr>
              <w:pStyle w:val="6"/>
              <w:spacing w:before="95" w:line="219" w:lineRule="auto"/>
              <w:ind w:left="343"/>
            </w:pPr>
            <w:r>
              <w:rPr>
                <w:b/>
                <w:bCs/>
                <w:spacing w:val="-2"/>
              </w:rPr>
              <w:t>74</w:t>
            </w:r>
          </w:p>
        </w:tc>
        <w:tc>
          <w:tcPr>
            <w:tcW w:w="892" w:type="dxa"/>
            <w:vAlign w:val="top"/>
          </w:tcPr>
          <w:p w14:paraId="4ABCD41C">
            <w:pPr>
              <w:pStyle w:val="6"/>
              <w:spacing w:before="90" w:line="224" w:lineRule="auto"/>
              <w:ind w:left="268"/>
            </w:pPr>
            <w:r>
              <w:rPr>
                <w:spacing w:val="-2"/>
              </w:rPr>
              <w:t>7.84</w:t>
            </w:r>
          </w:p>
        </w:tc>
        <w:tc>
          <w:tcPr>
            <w:tcW w:w="892" w:type="dxa"/>
            <w:vAlign w:val="top"/>
          </w:tcPr>
          <w:p w14:paraId="5AFB0968">
            <w:pPr>
              <w:pStyle w:val="6"/>
              <w:spacing w:before="90" w:line="224" w:lineRule="auto"/>
              <w:ind w:left="271"/>
            </w:pPr>
            <w:r>
              <w:rPr>
                <w:spacing w:val="-2"/>
              </w:rPr>
              <w:t>7.44</w:t>
            </w:r>
          </w:p>
        </w:tc>
        <w:tc>
          <w:tcPr>
            <w:tcW w:w="891" w:type="dxa"/>
            <w:vAlign w:val="top"/>
          </w:tcPr>
          <w:p w14:paraId="7B1821CE">
            <w:pPr>
              <w:pStyle w:val="6"/>
              <w:spacing w:before="90" w:line="224" w:lineRule="auto"/>
              <w:ind w:left="274"/>
            </w:pPr>
            <w:r>
              <w:rPr>
                <w:spacing w:val="-2"/>
              </w:rPr>
              <w:t>0.99</w:t>
            </w:r>
          </w:p>
        </w:tc>
        <w:tc>
          <w:tcPr>
            <w:tcW w:w="906" w:type="dxa"/>
            <w:tcBorders>
              <w:right w:val="single" w:color="000000" w:sz="12" w:space="0"/>
            </w:tcBorders>
            <w:vAlign w:val="top"/>
          </w:tcPr>
          <w:p w14:paraId="1E960FE0">
            <w:pPr>
              <w:pStyle w:val="6"/>
              <w:spacing w:before="90" w:line="224" w:lineRule="auto"/>
              <w:ind w:left="277"/>
            </w:pPr>
            <w:r>
              <w:rPr>
                <w:spacing w:val="-2"/>
              </w:rPr>
              <w:t>0.09</w:t>
            </w:r>
          </w:p>
        </w:tc>
      </w:tr>
      <w:tr w14:paraId="7BAEE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E91D9C0">
            <w:pPr>
              <w:rPr>
                <w:rFonts w:ascii="Arial"/>
                <w:sz w:val="21"/>
              </w:rPr>
            </w:pPr>
          </w:p>
        </w:tc>
        <w:tc>
          <w:tcPr>
            <w:tcW w:w="423" w:type="dxa"/>
            <w:vMerge w:val="continue"/>
            <w:tcBorders>
              <w:top w:val="nil"/>
            </w:tcBorders>
            <w:vAlign w:val="top"/>
          </w:tcPr>
          <w:p w14:paraId="22E6C4FB">
            <w:pPr>
              <w:rPr>
                <w:rFonts w:ascii="Arial"/>
                <w:sz w:val="21"/>
              </w:rPr>
            </w:pPr>
          </w:p>
        </w:tc>
        <w:tc>
          <w:tcPr>
            <w:tcW w:w="1554" w:type="dxa"/>
            <w:vAlign w:val="top"/>
          </w:tcPr>
          <w:p w14:paraId="7327C348">
            <w:pPr>
              <w:pStyle w:val="6"/>
              <w:spacing w:before="92" w:line="221" w:lineRule="auto"/>
              <w:ind w:left="343"/>
            </w:pPr>
            <w:r>
              <w:rPr>
                <w:spacing w:val="-1"/>
              </w:rPr>
              <w:t>2019/1/17</w:t>
            </w:r>
          </w:p>
        </w:tc>
        <w:tc>
          <w:tcPr>
            <w:tcW w:w="892" w:type="dxa"/>
            <w:vAlign w:val="top"/>
          </w:tcPr>
          <w:p w14:paraId="087ABFFA">
            <w:pPr>
              <w:pStyle w:val="6"/>
              <w:spacing w:before="92" w:line="221" w:lineRule="auto"/>
              <w:ind w:left="304"/>
            </w:pPr>
            <w:r>
              <w:rPr>
                <w:spacing w:val="-6"/>
              </w:rPr>
              <w:t>121</w:t>
            </w:r>
          </w:p>
        </w:tc>
        <w:tc>
          <w:tcPr>
            <w:tcW w:w="892" w:type="dxa"/>
            <w:vAlign w:val="top"/>
          </w:tcPr>
          <w:p w14:paraId="05409B57">
            <w:pPr>
              <w:pStyle w:val="6"/>
              <w:spacing w:before="96" w:line="217" w:lineRule="auto"/>
              <w:ind w:left="343"/>
            </w:pPr>
            <w:r>
              <w:rPr>
                <w:b/>
                <w:bCs/>
                <w:spacing w:val="-2"/>
              </w:rPr>
              <w:t>71</w:t>
            </w:r>
          </w:p>
        </w:tc>
        <w:tc>
          <w:tcPr>
            <w:tcW w:w="892" w:type="dxa"/>
            <w:vAlign w:val="top"/>
          </w:tcPr>
          <w:p w14:paraId="1963C5AA">
            <w:pPr>
              <w:pStyle w:val="6"/>
              <w:spacing w:before="92" w:line="221" w:lineRule="auto"/>
              <w:ind w:left="268"/>
            </w:pPr>
            <w:r>
              <w:rPr>
                <w:spacing w:val="-2"/>
              </w:rPr>
              <w:t>7.73</w:t>
            </w:r>
          </w:p>
        </w:tc>
        <w:tc>
          <w:tcPr>
            <w:tcW w:w="892" w:type="dxa"/>
            <w:vAlign w:val="top"/>
          </w:tcPr>
          <w:p w14:paraId="423E64CE">
            <w:pPr>
              <w:pStyle w:val="6"/>
              <w:spacing w:before="92" w:line="221" w:lineRule="auto"/>
              <w:ind w:left="271"/>
            </w:pPr>
            <w:r>
              <w:rPr>
                <w:spacing w:val="-2"/>
              </w:rPr>
              <w:t>7.29</w:t>
            </w:r>
          </w:p>
        </w:tc>
        <w:tc>
          <w:tcPr>
            <w:tcW w:w="891" w:type="dxa"/>
            <w:vAlign w:val="top"/>
          </w:tcPr>
          <w:p w14:paraId="7BFC37E7">
            <w:pPr>
              <w:pStyle w:val="6"/>
              <w:spacing w:before="92" w:line="221" w:lineRule="auto"/>
              <w:ind w:left="274"/>
            </w:pPr>
            <w:r>
              <w:rPr>
                <w:spacing w:val="-2"/>
              </w:rPr>
              <w:t>0.91</w:t>
            </w:r>
          </w:p>
        </w:tc>
        <w:tc>
          <w:tcPr>
            <w:tcW w:w="906" w:type="dxa"/>
            <w:tcBorders>
              <w:right w:val="single" w:color="000000" w:sz="12" w:space="0"/>
            </w:tcBorders>
            <w:vAlign w:val="top"/>
          </w:tcPr>
          <w:p w14:paraId="3612D855">
            <w:pPr>
              <w:pStyle w:val="6"/>
              <w:spacing w:before="92" w:line="221" w:lineRule="auto"/>
              <w:ind w:left="277"/>
            </w:pPr>
            <w:r>
              <w:rPr>
                <w:spacing w:val="-2"/>
              </w:rPr>
              <w:t>0.08</w:t>
            </w:r>
          </w:p>
        </w:tc>
      </w:tr>
      <w:tr w14:paraId="0E5AA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74D5FD2A">
            <w:pPr>
              <w:rPr>
                <w:rFonts w:ascii="Arial"/>
                <w:sz w:val="21"/>
              </w:rPr>
            </w:pPr>
          </w:p>
        </w:tc>
        <w:tc>
          <w:tcPr>
            <w:tcW w:w="423" w:type="dxa"/>
            <w:vMerge w:val="restart"/>
            <w:tcBorders>
              <w:bottom w:val="nil"/>
            </w:tcBorders>
            <w:vAlign w:val="top"/>
          </w:tcPr>
          <w:p w14:paraId="5D5472A3">
            <w:pPr>
              <w:pStyle w:val="6"/>
              <w:spacing w:before="158" w:line="222" w:lineRule="auto"/>
              <w:ind w:left="148"/>
            </w:pPr>
            <w:r>
              <w:t>2</w:t>
            </w:r>
          </w:p>
          <w:p w14:paraId="2AF41785">
            <w:pPr>
              <w:spacing w:line="219" w:lineRule="auto"/>
              <w:ind w:left="100"/>
              <w:rPr>
                <w:rFonts w:ascii="宋体" w:hAnsi="宋体" w:eastAsia="宋体" w:cs="宋体"/>
                <w:sz w:val="21"/>
                <w:szCs w:val="21"/>
              </w:rPr>
            </w:pPr>
            <w:r>
              <w:rPr>
                <w:rFonts w:ascii="宋体" w:hAnsi="宋体" w:eastAsia="宋体" w:cs="宋体"/>
                <w:sz w:val="21"/>
                <w:szCs w:val="21"/>
              </w:rPr>
              <w:t>季</w:t>
            </w:r>
          </w:p>
          <w:p w14:paraId="01A9130D">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9901926">
            <w:pPr>
              <w:pStyle w:val="6"/>
              <w:spacing w:before="93" w:line="221" w:lineRule="auto"/>
              <w:ind w:left="343"/>
            </w:pPr>
            <w:r>
              <w:rPr>
                <w:spacing w:val="-1"/>
              </w:rPr>
              <w:t>2019/5/10</w:t>
            </w:r>
          </w:p>
        </w:tc>
        <w:tc>
          <w:tcPr>
            <w:tcW w:w="892" w:type="dxa"/>
            <w:vAlign w:val="top"/>
          </w:tcPr>
          <w:p w14:paraId="16B536B2">
            <w:pPr>
              <w:pStyle w:val="6"/>
              <w:spacing w:before="93" w:line="221" w:lineRule="auto"/>
              <w:ind w:left="252"/>
            </w:pPr>
            <w:r>
              <w:rPr>
                <w:spacing w:val="-5"/>
              </w:rPr>
              <w:t>1080</w:t>
            </w:r>
          </w:p>
        </w:tc>
        <w:tc>
          <w:tcPr>
            <w:tcW w:w="892" w:type="dxa"/>
            <w:vAlign w:val="top"/>
          </w:tcPr>
          <w:p w14:paraId="15794C6F">
            <w:pPr>
              <w:pStyle w:val="6"/>
              <w:spacing w:before="93" w:line="221" w:lineRule="auto"/>
              <w:ind w:left="346"/>
            </w:pPr>
            <w:r>
              <w:rPr>
                <w:spacing w:val="-3"/>
              </w:rPr>
              <w:t>57</w:t>
            </w:r>
          </w:p>
        </w:tc>
        <w:tc>
          <w:tcPr>
            <w:tcW w:w="892" w:type="dxa"/>
            <w:vAlign w:val="top"/>
          </w:tcPr>
          <w:p w14:paraId="66ECAACD">
            <w:pPr>
              <w:pStyle w:val="6"/>
              <w:spacing w:before="93" w:line="221" w:lineRule="auto"/>
              <w:ind w:left="268"/>
            </w:pPr>
            <w:r>
              <w:rPr>
                <w:spacing w:val="-2"/>
              </w:rPr>
              <w:t>7.72</w:t>
            </w:r>
          </w:p>
        </w:tc>
        <w:tc>
          <w:tcPr>
            <w:tcW w:w="892" w:type="dxa"/>
            <w:vAlign w:val="top"/>
          </w:tcPr>
          <w:p w14:paraId="45688CEA">
            <w:pPr>
              <w:pStyle w:val="6"/>
              <w:spacing w:before="93" w:line="221" w:lineRule="auto"/>
              <w:ind w:left="271"/>
            </w:pPr>
            <w:r>
              <w:rPr>
                <w:spacing w:val="-2"/>
              </w:rPr>
              <w:t>7.37</w:t>
            </w:r>
          </w:p>
        </w:tc>
        <w:tc>
          <w:tcPr>
            <w:tcW w:w="891" w:type="dxa"/>
            <w:vAlign w:val="top"/>
          </w:tcPr>
          <w:p w14:paraId="3205A1BE">
            <w:pPr>
              <w:pStyle w:val="6"/>
              <w:spacing w:before="93" w:line="221" w:lineRule="auto"/>
              <w:ind w:left="291"/>
            </w:pPr>
            <w:r>
              <w:rPr>
                <w:spacing w:val="-6"/>
              </w:rPr>
              <w:t>1.16</w:t>
            </w:r>
          </w:p>
        </w:tc>
        <w:tc>
          <w:tcPr>
            <w:tcW w:w="906" w:type="dxa"/>
            <w:tcBorders>
              <w:right w:val="single" w:color="000000" w:sz="12" w:space="0"/>
            </w:tcBorders>
            <w:vAlign w:val="top"/>
          </w:tcPr>
          <w:p w14:paraId="755E9CA8">
            <w:pPr>
              <w:pStyle w:val="6"/>
              <w:spacing w:before="93" w:line="221" w:lineRule="auto"/>
              <w:ind w:left="277"/>
            </w:pPr>
            <w:r>
              <w:rPr>
                <w:spacing w:val="-2"/>
              </w:rPr>
              <w:t>0.11</w:t>
            </w:r>
          </w:p>
        </w:tc>
      </w:tr>
      <w:tr w14:paraId="52454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39F53899">
            <w:pPr>
              <w:rPr>
                <w:rFonts w:ascii="Arial"/>
                <w:sz w:val="21"/>
              </w:rPr>
            </w:pPr>
          </w:p>
        </w:tc>
        <w:tc>
          <w:tcPr>
            <w:tcW w:w="423" w:type="dxa"/>
            <w:vMerge w:val="continue"/>
            <w:tcBorders>
              <w:top w:val="nil"/>
              <w:bottom w:val="nil"/>
            </w:tcBorders>
            <w:vAlign w:val="top"/>
          </w:tcPr>
          <w:p w14:paraId="57630E6E">
            <w:pPr>
              <w:rPr>
                <w:rFonts w:ascii="Arial"/>
                <w:sz w:val="21"/>
              </w:rPr>
            </w:pPr>
          </w:p>
        </w:tc>
        <w:tc>
          <w:tcPr>
            <w:tcW w:w="1554" w:type="dxa"/>
            <w:vAlign w:val="top"/>
          </w:tcPr>
          <w:p w14:paraId="496AAD43">
            <w:pPr>
              <w:pStyle w:val="6"/>
              <w:spacing w:before="94" w:line="219" w:lineRule="auto"/>
              <w:ind w:left="343"/>
            </w:pPr>
            <w:r>
              <w:rPr>
                <w:spacing w:val="-1"/>
              </w:rPr>
              <w:t>2019/5/11</w:t>
            </w:r>
          </w:p>
        </w:tc>
        <w:tc>
          <w:tcPr>
            <w:tcW w:w="892" w:type="dxa"/>
            <w:vAlign w:val="top"/>
          </w:tcPr>
          <w:p w14:paraId="1E6CB612">
            <w:pPr>
              <w:pStyle w:val="6"/>
              <w:spacing w:before="94" w:line="219" w:lineRule="auto"/>
              <w:ind w:left="288"/>
            </w:pPr>
            <w:r>
              <w:rPr>
                <w:spacing w:val="-2"/>
              </w:rPr>
              <w:t>998</w:t>
            </w:r>
          </w:p>
        </w:tc>
        <w:tc>
          <w:tcPr>
            <w:tcW w:w="892" w:type="dxa"/>
            <w:vAlign w:val="top"/>
          </w:tcPr>
          <w:p w14:paraId="5A5FFEA0">
            <w:pPr>
              <w:pStyle w:val="6"/>
              <w:spacing w:before="94" w:line="219" w:lineRule="auto"/>
              <w:ind w:left="339"/>
            </w:pPr>
            <w:r>
              <w:rPr>
                <w:spacing w:val="-1"/>
              </w:rPr>
              <w:t>49</w:t>
            </w:r>
          </w:p>
        </w:tc>
        <w:tc>
          <w:tcPr>
            <w:tcW w:w="892" w:type="dxa"/>
            <w:vAlign w:val="top"/>
          </w:tcPr>
          <w:p w14:paraId="76E82F36">
            <w:pPr>
              <w:pStyle w:val="6"/>
              <w:spacing w:before="94" w:line="219" w:lineRule="auto"/>
              <w:ind w:left="268"/>
            </w:pPr>
            <w:r>
              <w:rPr>
                <w:spacing w:val="-2"/>
              </w:rPr>
              <w:t>7.82</w:t>
            </w:r>
          </w:p>
        </w:tc>
        <w:tc>
          <w:tcPr>
            <w:tcW w:w="892" w:type="dxa"/>
            <w:vAlign w:val="top"/>
          </w:tcPr>
          <w:p w14:paraId="40C48562">
            <w:pPr>
              <w:pStyle w:val="6"/>
              <w:spacing w:before="94" w:line="219" w:lineRule="auto"/>
              <w:ind w:left="271"/>
            </w:pPr>
            <w:r>
              <w:rPr>
                <w:spacing w:val="-2"/>
              </w:rPr>
              <w:t>7.44</w:t>
            </w:r>
          </w:p>
        </w:tc>
        <w:tc>
          <w:tcPr>
            <w:tcW w:w="891" w:type="dxa"/>
            <w:vAlign w:val="top"/>
          </w:tcPr>
          <w:p w14:paraId="36EE76A1">
            <w:pPr>
              <w:pStyle w:val="6"/>
              <w:spacing w:before="94" w:line="219" w:lineRule="auto"/>
              <w:ind w:left="291"/>
            </w:pPr>
            <w:r>
              <w:rPr>
                <w:spacing w:val="-6"/>
              </w:rPr>
              <w:t>1.17</w:t>
            </w:r>
          </w:p>
        </w:tc>
        <w:tc>
          <w:tcPr>
            <w:tcW w:w="906" w:type="dxa"/>
            <w:tcBorders>
              <w:right w:val="single" w:color="000000" w:sz="12" w:space="0"/>
            </w:tcBorders>
            <w:vAlign w:val="top"/>
          </w:tcPr>
          <w:p w14:paraId="6A9A3817">
            <w:pPr>
              <w:pStyle w:val="6"/>
              <w:spacing w:before="94" w:line="219" w:lineRule="auto"/>
              <w:ind w:left="277"/>
            </w:pPr>
            <w:r>
              <w:rPr>
                <w:spacing w:val="-2"/>
              </w:rPr>
              <w:t>0.08</w:t>
            </w:r>
          </w:p>
        </w:tc>
      </w:tr>
      <w:tr w14:paraId="27EA7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575659D">
            <w:pPr>
              <w:rPr>
                <w:rFonts w:ascii="Arial"/>
                <w:sz w:val="21"/>
              </w:rPr>
            </w:pPr>
          </w:p>
        </w:tc>
        <w:tc>
          <w:tcPr>
            <w:tcW w:w="423" w:type="dxa"/>
            <w:vMerge w:val="continue"/>
            <w:tcBorders>
              <w:top w:val="nil"/>
            </w:tcBorders>
            <w:vAlign w:val="top"/>
          </w:tcPr>
          <w:p w14:paraId="2D78FE42">
            <w:pPr>
              <w:rPr>
                <w:rFonts w:ascii="Arial"/>
                <w:sz w:val="21"/>
              </w:rPr>
            </w:pPr>
          </w:p>
        </w:tc>
        <w:tc>
          <w:tcPr>
            <w:tcW w:w="1554" w:type="dxa"/>
            <w:vAlign w:val="top"/>
          </w:tcPr>
          <w:p w14:paraId="5D0CBCAE">
            <w:pPr>
              <w:pStyle w:val="6"/>
              <w:spacing w:before="95" w:line="218" w:lineRule="auto"/>
              <w:ind w:left="343"/>
            </w:pPr>
            <w:r>
              <w:rPr>
                <w:spacing w:val="-1"/>
              </w:rPr>
              <w:t>2019/5/12</w:t>
            </w:r>
          </w:p>
        </w:tc>
        <w:tc>
          <w:tcPr>
            <w:tcW w:w="892" w:type="dxa"/>
            <w:vAlign w:val="top"/>
          </w:tcPr>
          <w:p w14:paraId="7CC1A610">
            <w:pPr>
              <w:pStyle w:val="6"/>
              <w:spacing w:before="95" w:line="218" w:lineRule="auto"/>
              <w:ind w:left="252"/>
            </w:pPr>
            <w:r>
              <w:rPr>
                <w:spacing w:val="-5"/>
              </w:rPr>
              <w:t>1020</w:t>
            </w:r>
          </w:p>
        </w:tc>
        <w:tc>
          <w:tcPr>
            <w:tcW w:w="892" w:type="dxa"/>
            <w:vAlign w:val="top"/>
          </w:tcPr>
          <w:p w14:paraId="7840371E">
            <w:pPr>
              <w:pStyle w:val="6"/>
              <w:spacing w:before="95" w:line="218" w:lineRule="auto"/>
              <w:ind w:left="346"/>
            </w:pPr>
            <w:r>
              <w:rPr>
                <w:spacing w:val="-3"/>
              </w:rPr>
              <w:t>54</w:t>
            </w:r>
          </w:p>
        </w:tc>
        <w:tc>
          <w:tcPr>
            <w:tcW w:w="892" w:type="dxa"/>
            <w:vAlign w:val="top"/>
          </w:tcPr>
          <w:p w14:paraId="7E52B9EE">
            <w:pPr>
              <w:pStyle w:val="6"/>
              <w:spacing w:before="95" w:line="218" w:lineRule="auto"/>
              <w:ind w:left="268"/>
            </w:pPr>
            <w:r>
              <w:rPr>
                <w:spacing w:val="-2"/>
              </w:rPr>
              <w:t>7.77</w:t>
            </w:r>
          </w:p>
        </w:tc>
        <w:tc>
          <w:tcPr>
            <w:tcW w:w="892" w:type="dxa"/>
            <w:vAlign w:val="top"/>
          </w:tcPr>
          <w:p w14:paraId="0C8A812A">
            <w:pPr>
              <w:pStyle w:val="6"/>
              <w:spacing w:before="95" w:line="218" w:lineRule="auto"/>
              <w:ind w:left="271"/>
            </w:pPr>
            <w:r>
              <w:rPr>
                <w:spacing w:val="-2"/>
              </w:rPr>
              <w:t>7.29</w:t>
            </w:r>
          </w:p>
        </w:tc>
        <w:tc>
          <w:tcPr>
            <w:tcW w:w="891" w:type="dxa"/>
            <w:vAlign w:val="top"/>
          </w:tcPr>
          <w:p w14:paraId="2A6BE1B1">
            <w:pPr>
              <w:pStyle w:val="6"/>
              <w:spacing w:before="95" w:line="218" w:lineRule="auto"/>
              <w:ind w:left="291"/>
            </w:pPr>
            <w:r>
              <w:rPr>
                <w:spacing w:val="-6"/>
              </w:rPr>
              <w:t>1.14</w:t>
            </w:r>
          </w:p>
        </w:tc>
        <w:tc>
          <w:tcPr>
            <w:tcW w:w="906" w:type="dxa"/>
            <w:tcBorders>
              <w:right w:val="single" w:color="000000" w:sz="12" w:space="0"/>
            </w:tcBorders>
            <w:vAlign w:val="top"/>
          </w:tcPr>
          <w:p w14:paraId="2C41334A">
            <w:pPr>
              <w:pStyle w:val="6"/>
              <w:spacing w:before="95" w:line="218" w:lineRule="auto"/>
              <w:ind w:left="277"/>
            </w:pPr>
            <w:r>
              <w:rPr>
                <w:spacing w:val="-2"/>
              </w:rPr>
              <w:t>0.08</w:t>
            </w:r>
          </w:p>
        </w:tc>
      </w:tr>
      <w:tr w14:paraId="566CA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6AE26300">
            <w:pPr>
              <w:rPr>
                <w:rFonts w:ascii="Arial"/>
                <w:sz w:val="21"/>
              </w:rPr>
            </w:pPr>
          </w:p>
        </w:tc>
        <w:tc>
          <w:tcPr>
            <w:tcW w:w="423" w:type="dxa"/>
            <w:vMerge w:val="restart"/>
            <w:tcBorders>
              <w:bottom w:val="nil"/>
            </w:tcBorders>
            <w:vAlign w:val="top"/>
          </w:tcPr>
          <w:p w14:paraId="65F97995">
            <w:pPr>
              <w:pStyle w:val="6"/>
              <w:spacing w:before="161" w:line="222" w:lineRule="auto"/>
              <w:ind w:left="152"/>
            </w:pPr>
            <w:r>
              <w:t>3</w:t>
            </w:r>
          </w:p>
          <w:p w14:paraId="1732A210">
            <w:pPr>
              <w:spacing w:line="219" w:lineRule="auto"/>
              <w:ind w:left="100"/>
              <w:rPr>
                <w:rFonts w:ascii="宋体" w:hAnsi="宋体" w:eastAsia="宋体" w:cs="宋体"/>
                <w:sz w:val="21"/>
                <w:szCs w:val="21"/>
              </w:rPr>
            </w:pPr>
            <w:r>
              <w:rPr>
                <w:rFonts w:ascii="宋体" w:hAnsi="宋体" w:eastAsia="宋体" w:cs="宋体"/>
                <w:sz w:val="21"/>
                <w:szCs w:val="21"/>
              </w:rPr>
              <w:t>季</w:t>
            </w:r>
          </w:p>
          <w:p w14:paraId="36A8F686">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7356609">
            <w:pPr>
              <w:pStyle w:val="6"/>
              <w:spacing w:before="96" w:line="218" w:lineRule="auto"/>
              <w:ind w:left="343"/>
            </w:pPr>
            <w:r>
              <w:rPr>
                <w:spacing w:val="-1"/>
              </w:rPr>
              <w:t>2019/8/06</w:t>
            </w:r>
          </w:p>
        </w:tc>
        <w:tc>
          <w:tcPr>
            <w:tcW w:w="892" w:type="dxa"/>
            <w:vAlign w:val="top"/>
          </w:tcPr>
          <w:p w14:paraId="24F828C7">
            <w:pPr>
              <w:pStyle w:val="6"/>
              <w:spacing w:before="96" w:line="218" w:lineRule="auto"/>
              <w:ind w:left="304"/>
            </w:pPr>
            <w:r>
              <w:rPr>
                <w:spacing w:val="-6"/>
              </w:rPr>
              <w:t>139</w:t>
            </w:r>
          </w:p>
        </w:tc>
        <w:tc>
          <w:tcPr>
            <w:tcW w:w="892" w:type="dxa"/>
            <w:vAlign w:val="top"/>
          </w:tcPr>
          <w:p w14:paraId="5E2A92D5">
            <w:pPr>
              <w:pStyle w:val="6"/>
              <w:spacing w:before="96" w:line="218" w:lineRule="auto"/>
              <w:ind w:left="345"/>
            </w:pPr>
            <w:r>
              <w:rPr>
                <w:spacing w:val="-3"/>
              </w:rPr>
              <w:t>35</w:t>
            </w:r>
          </w:p>
        </w:tc>
        <w:tc>
          <w:tcPr>
            <w:tcW w:w="892" w:type="dxa"/>
            <w:vAlign w:val="top"/>
          </w:tcPr>
          <w:p w14:paraId="02C49FA0">
            <w:pPr>
              <w:pStyle w:val="6"/>
              <w:spacing w:before="96" w:line="218" w:lineRule="auto"/>
              <w:ind w:left="268"/>
            </w:pPr>
            <w:r>
              <w:rPr>
                <w:spacing w:val="-2"/>
              </w:rPr>
              <w:t>7.43</w:t>
            </w:r>
          </w:p>
        </w:tc>
        <w:tc>
          <w:tcPr>
            <w:tcW w:w="892" w:type="dxa"/>
            <w:vAlign w:val="top"/>
          </w:tcPr>
          <w:p w14:paraId="737E847F">
            <w:pPr>
              <w:pStyle w:val="6"/>
              <w:spacing w:before="96" w:line="218" w:lineRule="auto"/>
              <w:ind w:left="271"/>
            </w:pPr>
            <w:r>
              <w:rPr>
                <w:spacing w:val="-2"/>
              </w:rPr>
              <w:t>7.31</w:t>
            </w:r>
          </w:p>
        </w:tc>
        <w:tc>
          <w:tcPr>
            <w:tcW w:w="891" w:type="dxa"/>
            <w:vAlign w:val="top"/>
          </w:tcPr>
          <w:p w14:paraId="56AEDFDA">
            <w:pPr>
              <w:pStyle w:val="6"/>
              <w:spacing w:before="96" w:line="218" w:lineRule="auto"/>
              <w:ind w:left="274"/>
            </w:pPr>
            <w:r>
              <w:rPr>
                <w:spacing w:val="-2"/>
              </w:rPr>
              <w:t>0.20</w:t>
            </w:r>
          </w:p>
        </w:tc>
        <w:tc>
          <w:tcPr>
            <w:tcW w:w="906" w:type="dxa"/>
            <w:tcBorders>
              <w:right w:val="single" w:color="000000" w:sz="12" w:space="0"/>
            </w:tcBorders>
            <w:vAlign w:val="top"/>
          </w:tcPr>
          <w:p w14:paraId="3EEB9E5C">
            <w:pPr>
              <w:pStyle w:val="6"/>
              <w:spacing w:before="96" w:line="218" w:lineRule="auto"/>
              <w:ind w:left="277"/>
            </w:pPr>
            <w:r>
              <w:rPr>
                <w:spacing w:val="-2"/>
              </w:rPr>
              <w:t>0.09</w:t>
            </w:r>
          </w:p>
        </w:tc>
      </w:tr>
      <w:tr w14:paraId="459B7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521AE8A">
            <w:pPr>
              <w:rPr>
                <w:rFonts w:ascii="Arial"/>
                <w:sz w:val="21"/>
              </w:rPr>
            </w:pPr>
          </w:p>
        </w:tc>
        <w:tc>
          <w:tcPr>
            <w:tcW w:w="423" w:type="dxa"/>
            <w:vMerge w:val="continue"/>
            <w:tcBorders>
              <w:top w:val="nil"/>
              <w:bottom w:val="nil"/>
            </w:tcBorders>
            <w:vAlign w:val="top"/>
          </w:tcPr>
          <w:p w14:paraId="4C314F07">
            <w:pPr>
              <w:rPr>
                <w:rFonts w:ascii="Arial"/>
                <w:sz w:val="21"/>
              </w:rPr>
            </w:pPr>
          </w:p>
        </w:tc>
        <w:tc>
          <w:tcPr>
            <w:tcW w:w="1554" w:type="dxa"/>
            <w:vAlign w:val="top"/>
          </w:tcPr>
          <w:p w14:paraId="4CBA67B0">
            <w:pPr>
              <w:pStyle w:val="6"/>
              <w:spacing w:before="97" w:line="216" w:lineRule="auto"/>
              <w:ind w:left="343"/>
            </w:pPr>
            <w:r>
              <w:rPr>
                <w:spacing w:val="-1"/>
              </w:rPr>
              <w:t>2019/8/07</w:t>
            </w:r>
          </w:p>
        </w:tc>
        <w:tc>
          <w:tcPr>
            <w:tcW w:w="892" w:type="dxa"/>
            <w:vAlign w:val="top"/>
          </w:tcPr>
          <w:p w14:paraId="532C8BFD">
            <w:pPr>
              <w:pStyle w:val="6"/>
              <w:spacing w:before="97" w:line="216" w:lineRule="auto"/>
              <w:ind w:left="304"/>
            </w:pPr>
            <w:r>
              <w:rPr>
                <w:spacing w:val="-6"/>
              </w:rPr>
              <w:t>151</w:t>
            </w:r>
          </w:p>
        </w:tc>
        <w:tc>
          <w:tcPr>
            <w:tcW w:w="892" w:type="dxa"/>
            <w:vAlign w:val="top"/>
          </w:tcPr>
          <w:p w14:paraId="2AEFE57D">
            <w:pPr>
              <w:pStyle w:val="6"/>
              <w:spacing w:before="97" w:line="216" w:lineRule="auto"/>
              <w:ind w:left="339"/>
            </w:pPr>
            <w:r>
              <w:rPr>
                <w:spacing w:val="-1"/>
              </w:rPr>
              <w:t>41</w:t>
            </w:r>
          </w:p>
        </w:tc>
        <w:tc>
          <w:tcPr>
            <w:tcW w:w="892" w:type="dxa"/>
            <w:vAlign w:val="top"/>
          </w:tcPr>
          <w:p w14:paraId="675DE60F">
            <w:pPr>
              <w:pStyle w:val="6"/>
              <w:spacing w:before="97" w:line="216" w:lineRule="auto"/>
              <w:ind w:left="268"/>
            </w:pPr>
            <w:r>
              <w:rPr>
                <w:spacing w:val="-2"/>
              </w:rPr>
              <w:t>7.39</w:t>
            </w:r>
          </w:p>
        </w:tc>
        <w:tc>
          <w:tcPr>
            <w:tcW w:w="892" w:type="dxa"/>
            <w:vAlign w:val="top"/>
          </w:tcPr>
          <w:p w14:paraId="18EDD637">
            <w:pPr>
              <w:pStyle w:val="6"/>
              <w:spacing w:before="97" w:line="216" w:lineRule="auto"/>
              <w:ind w:left="271"/>
            </w:pPr>
            <w:r>
              <w:rPr>
                <w:spacing w:val="-2"/>
              </w:rPr>
              <w:t>7.26</w:t>
            </w:r>
          </w:p>
        </w:tc>
        <w:tc>
          <w:tcPr>
            <w:tcW w:w="891" w:type="dxa"/>
            <w:vAlign w:val="top"/>
          </w:tcPr>
          <w:p w14:paraId="03013B44">
            <w:pPr>
              <w:pStyle w:val="6"/>
              <w:spacing w:before="97" w:line="216" w:lineRule="auto"/>
              <w:ind w:left="274"/>
            </w:pPr>
            <w:r>
              <w:rPr>
                <w:spacing w:val="-2"/>
              </w:rPr>
              <w:t>0.18</w:t>
            </w:r>
          </w:p>
        </w:tc>
        <w:tc>
          <w:tcPr>
            <w:tcW w:w="906" w:type="dxa"/>
            <w:tcBorders>
              <w:right w:val="single" w:color="000000" w:sz="12" w:space="0"/>
            </w:tcBorders>
            <w:vAlign w:val="top"/>
          </w:tcPr>
          <w:p w14:paraId="384F4003">
            <w:pPr>
              <w:pStyle w:val="6"/>
              <w:spacing w:before="97" w:line="216" w:lineRule="auto"/>
              <w:ind w:left="277"/>
            </w:pPr>
            <w:r>
              <w:rPr>
                <w:spacing w:val="-2"/>
              </w:rPr>
              <w:t>0.10</w:t>
            </w:r>
          </w:p>
        </w:tc>
      </w:tr>
      <w:tr w14:paraId="374FA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7D4C3E95">
            <w:pPr>
              <w:rPr>
                <w:rFonts w:ascii="Arial"/>
                <w:sz w:val="21"/>
              </w:rPr>
            </w:pPr>
          </w:p>
        </w:tc>
        <w:tc>
          <w:tcPr>
            <w:tcW w:w="423" w:type="dxa"/>
            <w:vMerge w:val="continue"/>
            <w:tcBorders>
              <w:top w:val="nil"/>
            </w:tcBorders>
            <w:vAlign w:val="top"/>
          </w:tcPr>
          <w:p w14:paraId="71707538">
            <w:pPr>
              <w:rPr>
                <w:rFonts w:ascii="Arial"/>
                <w:sz w:val="21"/>
              </w:rPr>
            </w:pPr>
          </w:p>
        </w:tc>
        <w:tc>
          <w:tcPr>
            <w:tcW w:w="1554" w:type="dxa"/>
            <w:vAlign w:val="top"/>
          </w:tcPr>
          <w:p w14:paraId="09F446D8">
            <w:pPr>
              <w:pStyle w:val="6"/>
              <w:spacing w:before="98" w:line="216" w:lineRule="auto"/>
              <w:ind w:left="343"/>
            </w:pPr>
            <w:r>
              <w:rPr>
                <w:spacing w:val="-1"/>
              </w:rPr>
              <w:t>2019/8/08</w:t>
            </w:r>
          </w:p>
        </w:tc>
        <w:tc>
          <w:tcPr>
            <w:tcW w:w="892" w:type="dxa"/>
            <w:vAlign w:val="top"/>
          </w:tcPr>
          <w:p w14:paraId="6AB36D0A">
            <w:pPr>
              <w:pStyle w:val="6"/>
              <w:spacing w:before="98" w:line="216" w:lineRule="auto"/>
              <w:ind w:left="304"/>
            </w:pPr>
            <w:r>
              <w:rPr>
                <w:spacing w:val="-6"/>
              </w:rPr>
              <w:t>126</w:t>
            </w:r>
          </w:p>
        </w:tc>
        <w:tc>
          <w:tcPr>
            <w:tcW w:w="892" w:type="dxa"/>
            <w:vAlign w:val="top"/>
          </w:tcPr>
          <w:p w14:paraId="395445A1">
            <w:pPr>
              <w:pStyle w:val="6"/>
              <w:spacing w:before="98" w:line="216" w:lineRule="auto"/>
              <w:ind w:left="345"/>
            </w:pPr>
            <w:r>
              <w:rPr>
                <w:spacing w:val="-3"/>
              </w:rPr>
              <w:t>38</w:t>
            </w:r>
          </w:p>
        </w:tc>
        <w:tc>
          <w:tcPr>
            <w:tcW w:w="892" w:type="dxa"/>
            <w:vAlign w:val="top"/>
          </w:tcPr>
          <w:p w14:paraId="04F56C7E">
            <w:pPr>
              <w:pStyle w:val="6"/>
              <w:spacing w:before="98" w:line="216" w:lineRule="auto"/>
              <w:ind w:left="268"/>
            </w:pPr>
            <w:r>
              <w:rPr>
                <w:spacing w:val="-2"/>
              </w:rPr>
              <w:t>7.48</w:t>
            </w:r>
          </w:p>
        </w:tc>
        <w:tc>
          <w:tcPr>
            <w:tcW w:w="892" w:type="dxa"/>
            <w:vAlign w:val="top"/>
          </w:tcPr>
          <w:p w14:paraId="43F3DE0C">
            <w:pPr>
              <w:pStyle w:val="6"/>
              <w:spacing w:before="98" w:line="216" w:lineRule="auto"/>
              <w:ind w:left="271"/>
            </w:pPr>
            <w:r>
              <w:rPr>
                <w:spacing w:val="-2"/>
              </w:rPr>
              <w:t>7.31</w:t>
            </w:r>
          </w:p>
        </w:tc>
        <w:tc>
          <w:tcPr>
            <w:tcW w:w="891" w:type="dxa"/>
            <w:vAlign w:val="top"/>
          </w:tcPr>
          <w:p w14:paraId="4CCF09D7">
            <w:pPr>
              <w:pStyle w:val="6"/>
              <w:spacing w:before="98" w:line="216" w:lineRule="auto"/>
              <w:ind w:left="274"/>
            </w:pPr>
            <w:r>
              <w:rPr>
                <w:spacing w:val="-2"/>
              </w:rPr>
              <w:t>0.17</w:t>
            </w:r>
          </w:p>
        </w:tc>
        <w:tc>
          <w:tcPr>
            <w:tcW w:w="906" w:type="dxa"/>
            <w:tcBorders>
              <w:right w:val="single" w:color="000000" w:sz="12" w:space="0"/>
            </w:tcBorders>
            <w:vAlign w:val="top"/>
          </w:tcPr>
          <w:p w14:paraId="56C6F32A">
            <w:pPr>
              <w:pStyle w:val="6"/>
              <w:spacing w:before="98" w:line="216" w:lineRule="auto"/>
              <w:ind w:left="277"/>
            </w:pPr>
            <w:r>
              <w:rPr>
                <w:spacing w:val="-2"/>
              </w:rPr>
              <w:t>0.08</w:t>
            </w:r>
          </w:p>
        </w:tc>
      </w:tr>
      <w:tr w14:paraId="53F58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645C3607">
            <w:pPr>
              <w:rPr>
                <w:rFonts w:ascii="Arial"/>
                <w:sz w:val="21"/>
              </w:rPr>
            </w:pPr>
          </w:p>
        </w:tc>
        <w:tc>
          <w:tcPr>
            <w:tcW w:w="423" w:type="dxa"/>
            <w:vMerge w:val="restart"/>
            <w:tcBorders>
              <w:bottom w:val="nil"/>
            </w:tcBorders>
            <w:vAlign w:val="top"/>
          </w:tcPr>
          <w:p w14:paraId="7C4CAEF7">
            <w:pPr>
              <w:pStyle w:val="6"/>
              <w:spacing w:before="163" w:line="222" w:lineRule="auto"/>
              <w:ind w:left="147"/>
            </w:pPr>
            <w:r>
              <w:t>4</w:t>
            </w:r>
          </w:p>
          <w:p w14:paraId="7D1A1109">
            <w:pPr>
              <w:spacing w:line="219" w:lineRule="auto"/>
              <w:ind w:left="100"/>
              <w:rPr>
                <w:rFonts w:ascii="宋体" w:hAnsi="宋体" w:eastAsia="宋体" w:cs="宋体"/>
                <w:sz w:val="21"/>
                <w:szCs w:val="21"/>
              </w:rPr>
            </w:pPr>
            <w:r>
              <w:rPr>
                <w:rFonts w:ascii="宋体" w:hAnsi="宋体" w:eastAsia="宋体" w:cs="宋体"/>
                <w:sz w:val="21"/>
                <w:szCs w:val="21"/>
              </w:rPr>
              <w:t>季</w:t>
            </w:r>
          </w:p>
          <w:p w14:paraId="1CC1D534">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171CD0FE">
            <w:pPr>
              <w:pStyle w:val="6"/>
              <w:spacing w:before="100" w:line="213" w:lineRule="auto"/>
              <w:ind w:left="343"/>
            </w:pPr>
            <w:r>
              <w:rPr>
                <w:spacing w:val="-1"/>
              </w:rPr>
              <w:t>2019/11/9</w:t>
            </w:r>
          </w:p>
        </w:tc>
        <w:tc>
          <w:tcPr>
            <w:tcW w:w="892" w:type="dxa"/>
            <w:vAlign w:val="top"/>
          </w:tcPr>
          <w:p w14:paraId="378DEA14">
            <w:pPr>
              <w:pStyle w:val="6"/>
              <w:spacing w:before="100" w:line="213" w:lineRule="auto"/>
              <w:ind w:left="284"/>
            </w:pPr>
            <w:r>
              <w:rPr>
                <w:spacing w:val="-1"/>
              </w:rPr>
              <w:t>225</w:t>
            </w:r>
          </w:p>
        </w:tc>
        <w:tc>
          <w:tcPr>
            <w:tcW w:w="892" w:type="dxa"/>
            <w:vAlign w:val="top"/>
          </w:tcPr>
          <w:p w14:paraId="43C7A18E">
            <w:pPr>
              <w:pStyle w:val="6"/>
              <w:spacing w:before="100" w:line="213" w:lineRule="auto"/>
              <w:ind w:left="399"/>
            </w:pPr>
            <w:r>
              <w:t>5</w:t>
            </w:r>
          </w:p>
        </w:tc>
        <w:tc>
          <w:tcPr>
            <w:tcW w:w="892" w:type="dxa"/>
            <w:vAlign w:val="top"/>
          </w:tcPr>
          <w:p w14:paraId="2430B124">
            <w:pPr>
              <w:pStyle w:val="6"/>
              <w:spacing w:before="100" w:line="213" w:lineRule="auto"/>
              <w:ind w:left="268"/>
            </w:pPr>
            <w:r>
              <w:rPr>
                <w:spacing w:val="-2"/>
              </w:rPr>
              <w:t>7.78</w:t>
            </w:r>
          </w:p>
        </w:tc>
        <w:tc>
          <w:tcPr>
            <w:tcW w:w="892" w:type="dxa"/>
            <w:vAlign w:val="top"/>
          </w:tcPr>
          <w:p w14:paraId="7C7B4D0D">
            <w:pPr>
              <w:pStyle w:val="6"/>
              <w:spacing w:before="100" w:line="213" w:lineRule="auto"/>
              <w:ind w:left="271"/>
            </w:pPr>
            <w:r>
              <w:rPr>
                <w:spacing w:val="-2"/>
              </w:rPr>
              <w:t>7.37</w:t>
            </w:r>
          </w:p>
        </w:tc>
        <w:tc>
          <w:tcPr>
            <w:tcW w:w="891" w:type="dxa"/>
            <w:vAlign w:val="top"/>
          </w:tcPr>
          <w:p w14:paraId="210E37E1">
            <w:pPr>
              <w:pStyle w:val="6"/>
              <w:spacing w:before="100" w:line="213" w:lineRule="auto"/>
              <w:ind w:left="274"/>
            </w:pPr>
            <w:r>
              <w:rPr>
                <w:spacing w:val="-2"/>
              </w:rPr>
              <w:t>0.16</w:t>
            </w:r>
          </w:p>
        </w:tc>
        <w:tc>
          <w:tcPr>
            <w:tcW w:w="906" w:type="dxa"/>
            <w:tcBorders>
              <w:right w:val="single" w:color="000000" w:sz="12" w:space="0"/>
            </w:tcBorders>
            <w:vAlign w:val="top"/>
          </w:tcPr>
          <w:p w14:paraId="3B6C1697">
            <w:pPr>
              <w:pStyle w:val="6"/>
              <w:spacing w:before="100" w:line="213" w:lineRule="auto"/>
              <w:ind w:left="277"/>
            </w:pPr>
            <w:r>
              <w:rPr>
                <w:spacing w:val="-2"/>
              </w:rPr>
              <w:t>0.12</w:t>
            </w:r>
          </w:p>
        </w:tc>
      </w:tr>
      <w:tr w14:paraId="06646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DF60DD0">
            <w:pPr>
              <w:rPr>
                <w:rFonts w:ascii="Arial"/>
                <w:sz w:val="21"/>
              </w:rPr>
            </w:pPr>
          </w:p>
        </w:tc>
        <w:tc>
          <w:tcPr>
            <w:tcW w:w="423" w:type="dxa"/>
            <w:vMerge w:val="continue"/>
            <w:tcBorders>
              <w:top w:val="nil"/>
              <w:bottom w:val="nil"/>
            </w:tcBorders>
            <w:vAlign w:val="top"/>
          </w:tcPr>
          <w:p w14:paraId="681BE870">
            <w:pPr>
              <w:rPr>
                <w:rFonts w:ascii="Arial"/>
                <w:sz w:val="21"/>
              </w:rPr>
            </w:pPr>
          </w:p>
        </w:tc>
        <w:tc>
          <w:tcPr>
            <w:tcW w:w="1554" w:type="dxa"/>
            <w:vAlign w:val="top"/>
          </w:tcPr>
          <w:p w14:paraId="6CB900D2">
            <w:pPr>
              <w:pStyle w:val="6"/>
              <w:spacing w:before="101" w:line="212" w:lineRule="auto"/>
              <w:ind w:left="290"/>
            </w:pPr>
            <w:r>
              <w:rPr>
                <w:spacing w:val="-1"/>
              </w:rPr>
              <w:t>2019/11/10</w:t>
            </w:r>
          </w:p>
        </w:tc>
        <w:tc>
          <w:tcPr>
            <w:tcW w:w="892" w:type="dxa"/>
            <w:vAlign w:val="top"/>
          </w:tcPr>
          <w:p w14:paraId="3A1DCC2C">
            <w:pPr>
              <w:pStyle w:val="6"/>
              <w:spacing w:before="101" w:line="212" w:lineRule="auto"/>
              <w:ind w:left="284"/>
            </w:pPr>
            <w:r>
              <w:rPr>
                <w:spacing w:val="-1"/>
              </w:rPr>
              <w:t>217</w:t>
            </w:r>
          </w:p>
        </w:tc>
        <w:tc>
          <w:tcPr>
            <w:tcW w:w="892" w:type="dxa"/>
            <w:vAlign w:val="top"/>
          </w:tcPr>
          <w:p w14:paraId="32008C5A">
            <w:pPr>
              <w:pStyle w:val="6"/>
              <w:spacing w:before="101" w:line="212" w:lineRule="auto"/>
              <w:ind w:left="396"/>
            </w:pPr>
            <w:r>
              <w:t>7</w:t>
            </w:r>
          </w:p>
        </w:tc>
        <w:tc>
          <w:tcPr>
            <w:tcW w:w="892" w:type="dxa"/>
            <w:vAlign w:val="top"/>
          </w:tcPr>
          <w:p w14:paraId="2E65E50A">
            <w:pPr>
              <w:pStyle w:val="6"/>
              <w:spacing w:before="101" w:line="212" w:lineRule="auto"/>
              <w:ind w:left="268"/>
            </w:pPr>
            <w:r>
              <w:rPr>
                <w:spacing w:val="-2"/>
              </w:rPr>
              <w:t>7.85</w:t>
            </w:r>
          </w:p>
        </w:tc>
        <w:tc>
          <w:tcPr>
            <w:tcW w:w="892" w:type="dxa"/>
            <w:vAlign w:val="top"/>
          </w:tcPr>
          <w:p w14:paraId="31B72564">
            <w:pPr>
              <w:pStyle w:val="6"/>
              <w:spacing w:before="101" w:line="212" w:lineRule="auto"/>
              <w:ind w:left="271"/>
            </w:pPr>
            <w:r>
              <w:rPr>
                <w:spacing w:val="-2"/>
              </w:rPr>
              <w:t>7.34</w:t>
            </w:r>
          </w:p>
        </w:tc>
        <w:tc>
          <w:tcPr>
            <w:tcW w:w="891" w:type="dxa"/>
            <w:vAlign w:val="top"/>
          </w:tcPr>
          <w:p w14:paraId="084E26BC">
            <w:pPr>
              <w:pStyle w:val="6"/>
              <w:spacing w:before="101" w:line="212" w:lineRule="auto"/>
              <w:ind w:left="274"/>
            </w:pPr>
            <w:r>
              <w:rPr>
                <w:spacing w:val="-2"/>
              </w:rPr>
              <w:t>0.17</w:t>
            </w:r>
          </w:p>
        </w:tc>
        <w:tc>
          <w:tcPr>
            <w:tcW w:w="906" w:type="dxa"/>
            <w:tcBorders>
              <w:right w:val="single" w:color="000000" w:sz="12" w:space="0"/>
            </w:tcBorders>
            <w:vAlign w:val="top"/>
          </w:tcPr>
          <w:p w14:paraId="10FDC41D">
            <w:pPr>
              <w:pStyle w:val="6"/>
              <w:spacing w:before="101" w:line="212" w:lineRule="auto"/>
              <w:ind w:left="277"/>
            </w:pPr>
            <w:r>
              <w:rPr>
                <w:spacing w:val="-2"/>
              </w:rPr>
              <w:t>0.11</w:t>
            </w:r>
          </w:p>
        </w:tc>
      </w:tr>
      <w:tr w14:paraId="1FC75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tcBorders>
            <w:vAlign w:val="top"/>
          </w:tcPr>
          <w:p w14:paraId="3EC522B6">
            <w:pPr>
              <w:rPr>
                <w:rFonts w:ascii="Arial"/>
                <w:sz w:val="21"/>
              </w:rPr>
            </w:pPr>
          </w:p>
        </w:tc>
        <w:tc>
          <w:tcPr>
            <w:tcW w:w="423" w:type="dxa"/>
            <w:vMerge w:val="continue"/>
            <w:tcBorders>
              <w:top w:val="nil"/>
            </w:tcBorders>
            <w:vAlign w:val="top"/>
          </w:tcPr>
          <w:p w14:paraId="40230D64">
            <w:pPr>
              <w:rPr>
                <w:rFonts w:ascii="Arial"/>
                <w:sz w:val="21"/>
              </w:rPr>
            </w:pPr>
          </w:p>
        </w:tc>
        <w:tc>
          <w:tcPr>
            <w:tcW w:w="1554" w:type="dxa"/>
            <w:vAlign w:val="top"/>
          </w:tcPr>
          <w:p w14:paraId="51A9B1F0">
            <w:pPr>
              <w:pStyle w:val="6"/>
              <w:spacing w:before="102" w:line="212" w:lineRule="auto"/>
              <w:ind w:left="290"/>
            </w:pPr>
            <w:r>
              <w:rPr>
                <w:spacing w:val="-1"/>
              </w:rPr>
              <w:t>2019/11/11</w:t>
            </w:r>
          </w:p>
        </w:tc>
        <w:tc>
          <w:tcPr>
            <w:tcW w:w="892" w:type="dxa"/>
            <w:vAlign w:val="top"/>
          </w:tcPr>
          <w:p w14:paraId="3642FBF5">
            <w:pPr>
              <w:pStyle w:val="6"/>
              <w:spacing w:before="102" w:line="212" w:lineRule="auto"/>
              <w:ind w:left="284"/>
            </w:pPr>
            <w:r>
              <w:rPr>
                <w:spacing w:val="-1"/>
              </w:rPr>
              <w:t>231</w:t>
            </w:r>
          </w:p>
        </w:tc>
        <w:tc>
          <w:tcPr>
            <w:tcW w:w="892" w:type="dxa"/>
            <w:vAlign w:val="top"/>
          </w:tcPr>
          <w:p w14:paraId="074E95D4">
            <w:pPr>
              <w:pStyle w:val="6"/>
              <w:spacing w:before="102" w:line="212" w:lineRule="auto"/>
              <w:ind w:left="398"/>
            </w:pPr>
            <w:r>
              <w:t>6</w:t>
            </w:r>
          </w:p>
        </w:tc>
        <w:tc>
          <w:tcPr>
            <w:tcW w:w="892" w:type="dxa"/>
            <w:vAlign w:val="top"/>
          </w:tcPr>
          <w:p w14:paraId="2DE224B1">
            <w:pPr>
              <w:pStyle w:val="6"/>
              <w:spacing w:before="102" w:line="212" w:lineRule="auto"/>
              <w:ind w:left="268"/>
            </w:pPr>
            <w:r>
              <w:rPr>
                <w:spacing w:val="-2"/>
              </w:rPr>
              <w:t>7.82</w:t>
            </w:r>
          </w:p>
        </w:tc>
        <w:tc>
          <w:tcPr>
            <w:tcW w:w="892" w:type="dxa"/>
            <w:vAlign w:val="top"/>
          </w:tcPr>
          <w:p w14:paraId="515F94C0">
            <w:pPr>
              <w:pStyle w:val="6"/>
              <w:spacing w:before="102" w:line="212" w:lineRule="auto"/>
              <w:ind w:left="271"/>
            </w:pPr>
            <w:r>
              <w:rPr>
                <w:spacing w:val="-2"/>
              </w:rPr>
              <w:t>7.31</w:t>
            </w:r>
          </w:p>
        </w:tc>
        <w:tc>
          <w:tcPr>
            <w:tcW w:w="891" w:type="dxa"/>
            <w:vAlign w:val="top"/>
          </w:tcPr>
          <w:p w14:paraId="31C3F650">
            <w:pPr>
              <w:pStyle w:val="6"/>
              <w:spacing w:before="102" w:line="212" w:lineRule="auto"/>
              <w:ind w:left="274"/>
            </w:pPr>
            <w:r>
              <w:rPr>
                <w:spacing w:val="-2"/>
              </w:rPr>
              <w:t>0.18</w:t>
            </w:r>
          </w:p>
        </w:tc>
        <w:tc>
          <w:tcPr>
            <w:tcW w:w="906" w:type="dxa"/>
            <w:tcBorders>
              <w:right w:val="single" w:color="000000" w:sz="12" w:space="0"/>
            </w:tcBorders>
            <w:vAlign w:val="top"/>
          </w:tcPr>
          <w:p w14:paraId="2979393D">
            <w:pPr>
              <w:pStyle w:val="6"/>
              <w:spacing w:before="102" w:line="212" w:lineRule="auto"/>
              <w:ind w:left="277"/>
            </w:pPr>
            <w:r>
              <w:rPr>
                <w:spacing w:val="-2"/>
              </w:rPr>
              <w:t>0.11</w:t>
            </w:r>
          </w:p>
        </w:tc>
      </w:tr>
      <w:tr w14:paraId="620B8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restart"/>
            <w:tcBorders>
              <w:left w:val="single" w:color="000000" w:sz="12" w:space="0"/>
              <w:bottom w:val="nil"/>
            </w:tcBorders>
            <w:vAlign w:val="top"/>
          </w:tcPr>
          <w:p w14:paraId="1B289EDE">
            <w:pPr>
              <w:spacing w:line="261" w:lineRule="auto"/>
              <w:rPr>
                <w:rFonts w:ascii="Arial"/>
                <w:sz w:val="21"/>
              </w:rPr>
            </w:pPr>
          </w:p>
          <w:p w14:paraId="7E2FFEB5">
            <w:pPr>
              <w:spacing w:line="261" w:lineRule="auto"/>
              <w:rPr>
                <w:rFonts w:ascii="Arial"/>
                <w:sz w:val="21"/>
              </w:rPr>
            </w:pPr>
          </w:p>
          <w:p w14:paraId="242BDD5C">
            <w:pPr>
              <w:spacing w:line="261" w:lineRule="auto"/>
              <w:rPr>
                <w:rFonts w:ascii="Arial"/>
                <w:sz w:val="21"/>
              </w:rPr>
            </w:pPr>
          </w:p>
          <w:p w14:paraId="17C2D5B4">
            <w:pPr>
              <w:spacing w:line="262" w:lineRule="auto"/>
              <w:rPr>
                <w:rFonts w:ascii="Arial"/>
                <w:sz w:val="21"/>
              </w:rPr>
            </w:pPr>
          </w:p>
          <w:p w14:paraId="0D8CC2C5">
            <w:pPr>
              <w:spacing w:line="262" w:lineRule="auto"/>
              <w:rPr>
                <w:rFonts w:ascii="Arial"/>
                <w:sz w:val="21"/>
              </w:rPr>
            </w:pPr>
          </w:p>
          <w:p w14:paraId="4761FF0A">
            <w:pPr>
              <w:spacing w:line="262" w:lineRule="auto"/>
              <w:rPr>
                <w:rFonts w:ascii="Arial"/>
                <w:sz w:val="21"/>
              </w:rPr>
            </w:pPr>
          </w:p>
          <w:p w14:paraId="5B3338E2">
            <w:pPr>
              <w:pStyle w:val="6"/>
              <w:spacing w:before="68" w:line="235" w:lineRule="auto"/>
              <w:ind w:left="128"/>
              <w:rPr>
                <w:rFonts w:ascii="宋体" w:hAnsi="宋体" w:eastAsia="宋体" w:cs="宋体"/>
              </w:rPr>
            </w:pPr>
            <w:r>
              <w:rPr>
                <w:spacing w:val="-1"/>
              </w:rPr>
              <w:t>4#</w:t>
            </w:r>
            <w:r>
              <w:rPr>
                <w:rFonts w:ascii="宋体" w:hAnsi="宋体" w:eastAsia="宋体" w:cs="宋体"/>
                <w:spacing w:val="-1"/>
              </w:rPr>
              <w:t>隧洞排</w:t>
            </w:r>
          </w:p>
          <w:p w14:paraId="74260A2D">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36802289">
            <w:pPr>
              <w:spacing w:before="22"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43E39584">
            <w:pPr>
              <w:pStyle w:val="6"/>
              <w:spacing w:before="166" w:line="222" w:lineRule="auto"/>
              <w:ind w:left="168"/>
            </w:pPr>
            <w:r>
              <w:t>1</w:t>
            </w:r>
          </w:p>
          <w:p w14:paraId="20ABAA8C">
            <w:pPr>
              <w:spacing w:line="219" w:lineRule="auto"/>
              <w:ind w:left="100"/>
              <w:rPr>
                <w:rFonts w:ascii="宋体" w:hAnsi="宋体" w:eastAsia="宋体" w:cs="宋体"/>
                <w:sz w:val="21"/>
                <w:szCs w:val="21"/>
              </w:rPr>
            </w:pPr>
            <w:r>
              <w:rPr>
                <w:rFonts w:ascii="宋体" w:hAnsi="宋体" w:eastAsia="宋体" w:cs="宋体"/>
                <w:sz w:val="21"/>
                <w:szCs w:val="21"/>
              </w:rPr>
              <w:t>季</w:t>
            </w:r>
          </w:p>
          <w:p w14:paraId="7DCA9C7F">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DA0C554">
            <w:pPr>
              <w:pStyle w:val="6"/>
              <w:spacing w:before="103" w:line="210" w:lineRule="auto"/>
              <w:ind w:left="343"/>
            </w:pPr>
            <w:r>
              <w:rPr>
                <w:spacing w:val="-1"/>
              </w:rPr>
              <w:t>2019/1/15</w:t>
            </w:r>
          </w:p>
        </w:tc>
        <w:tc>
          <w:tcPr>
            <w:tcW w:w="892" w:type="dxa"/>
            <w:vAlign w:val="top"/>
          </w:tcPr>
          <w:p w14:paraId="64968EA1">
            <w:pPr>
              <w:pStyle w:val="6"/>
              <w:spacing w:before="103" w:line="210" w:lineRule="auto"/>
              <w:ind w:left="288"/>
            </w:pPr>
            <w:r>
              <w:rPr>
                <w:spacing w:val="-2"/>
              </w:rPr>
              <w:t>783</w:t>
            </w:r>
          </w:p>
        </w:tc>
        <w:tc>
          <w:tcPr>
            <w:tcW w:w="892" w:type="dxa"/>
            <w:vAlign w:val="top"/>
          </w:tcPr>
          <w:p w14:paraId="2FB49E7A">
            <w:pPr>
              <w:pStyle w:val="6"/>
              <w:spacing w:before="107" w:line="206" w:lineRule="auto"/>
              <w:ind w:left="297"/>
            </w:pPr>
            <w:r>
              <w:rPr>
                <w:b/>
                <w:bCs/>
                <w:spacing w:val="-4"/>
              </w:rPr>
              <w:t>136</w:t>
            </w:r>
          </w:p>
        </w:tc>
        <w:tc>
          <w:tcPr>
            <w:tcW w:w="892" w:type="dxa"/>
            <w:vAlign w:val="top"/>
          </w:tcPr>
          <w:p w14:paraId="1D03F403">
            <w:pPr>
              <w:pStyle w:val="6"/>
              <w:spacing w:before="103" w:line="210" w:lineRule="auto"/>
              <w:ind w:left="273"/>
            </w:pPr>
            <w:r>
              <w:rPr>
                <w:spacing w:val="-4"/>
              </w:rPr>
              <w:t>8.11</w:t>
            </w:r>
          </w:p>
        </w:tc>
        <w:tc>
          <w:tcPr>
            <w:tcW w:w="892" w:type="dxa"/>
            <w:vAlign w:val="top"/>
          </w:tcPr>
          <w:p w14:paraId="2382084A">
            <w:pPr>
              <w:pStyle w:val="6"/>
              <w:spacing w:before="103" w:line="210" w:lineRule="auto"/>
              <w:ind w:left="272"/>
            </w:pPr>
            <w:r>
              <w:rPr>
                <w:spacing w:val="-3"/>
              </w:rPr>
              <w:t>6.08</w:t>
            </w:r>
          </w:p>
        </w:tc>
        <w:tc>
          <w:tcPr>
            <w:tcW w:w="891" w:type="dxa"/>
            <w:vAlign w:val="top"/>
          </w:tcPr>
          <w:p w14:paraId="0E01743D">
            <w:pPr>
              <w:pStyle w:val="6"/>
              <w:spacing w:before="103" w:line="210" w:lineRule="auto"/>
              <w:ind w:left="274"/>
            </w:pPr>
            <w:r>
              <w:rPr>
                <w:spacing w:val="-2"/>
              </w:rPr>
              <w:t>0.22</w:t>
            </w:r>
          </w:p>
        </w:tc>
        <w:tc>
          <w:tcPr>
            <w:tcW w:w="906" w:type="dxa"/>
            <w:tcBorders>
              <w:right w:val="single" w:color="000000" w:sz="12" w:space="0"/>
            </w:tcBorders>
            <w:vAlign w:val="top"/>
          </w:tcPr>
          <w:p w14:paraId="7CAF75C9">
            <w:pPr>
              <w:pStyle w:val="6"/>
              <w:spacing w:before="103" w:line="210" w:lineRule="auto"/>
              <w:ind w:left="277"/>
            </w:pPr>
            <w:r>
              <w:rPr>
                <w:spacing w:val="-2"/>
              </w:rPr>
              <w:t>0.10</w:t>
            </w:r>
          </w:p>
        </w:tc>
      </w:tr>
      <w:tr w14:paraId="7D002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28A3620B">
            <w:pPr>
              <w:rPr>
                <w:rFonts w:ascii="Arial"/>
                <w:sz w:val="21"/>
              </w:rPr>
            </w:pPr>
          </w:p>
        </w:tc>
        <w:tc>
          <w:tcPr>
            <w:tcW w:w="423" w:type="dxa"/>
            <w:vMerge w:val="continue"/>
            <w:tcBorders>
              <w:top w:val="nil"/>
              <w:bottom w:val="nil"/>
            </w:tcBorders>
            <w:vAlign w:val="top"/>
          </w:tcPr>
          <w:p w14:paraId="4EE9811C">
            <w:pPr>
              <w:rPr>
                <w:rFonts w:ascii="Arial"/>
                <w:sz w:val="21"/>
              </w:rPr>
            </w:pPr>
          </w:p>
        </w:tc>
        <w:tc>
          <w:tcPr>
            <w:tcW w:w="1554" w:type="dxa"/>
            <w:vAlign w:val="top"/>
          </w:tcPr>
          <w:p w14:paraId="6157671D">
            <w:pPr>
              <w:pStyle w:val="6"/>
              <w:spacing w:before="104" w:line="210" w:lineRule="auto"/>
              <w:ind w:left="343"/>
            </w:pPr>
            <w:r>
              <w:rPr>
                <w:spacing w:val="-1"/>
              </w:rPr>
              <w:t>2019/1/16</w:t>
            </w:r>
          </w:p>
        </w:tc>
        <w:tc>
          <w:tcPr>
            <w:tcW w:w="892" w:type="dxa"/>
            <w:vAlign w:val="top"/>
          </w:tcPr>
          <w:p w14:paraId="2251257F">
            <w:pPr>
              <w:pStyle w:val="6"/>
              <w:spacing w:before="104" w:line="210" w:lineRule="auto"/>
              <w:ind w:left="288"/>
            </w:pPr>
            <w:r>
              <w:rPr>
                <w:spacing w:val="-2"/>
              </w:rPr>
              <w:t>769</w:t>
            </w:r>
          </w:p>
        </w:tc>
        <w:tc>
          <w:tcPr>
            <w:tcW w:w="892" w:type="dxa"/>
            <w:vAlign w:val="top"/>
          </w:tcPr>
          <w:p w14:paraId="65C28C35">
            <w:pPr>
              <w:pStyle w:val="6"/>
              <w:spacing w:before="108" w:line="206" w:lineRule="auto"/>
              <w:ind w:left="297"/>
            </w:pPr>
            <w:r>
              <w:rPr>
                <w:b/>
                <w:bCs/>
                <w:spacing w:val="-4"/>
              </w:rPr>
              <w:t>142</w:t>
            </w:r>
          </w:p>
        </w:tc>
        <w:tc>
          <w:tcPr>
            <w:tcW w:w="892" w:type="dxa"/>
            <w:vAlign w:val="top"/>
          </w:tcPr>
          <w:p w14:paraId="380EDC0B">
            <w:pPr>
              <w:pStyle w:val="6"/>
              <w:spacing w:before="104" w:line="210" w:lineRule="auto"/>
              <w:ind w:left="268"/>
            </w:pPr>
            <w:r>
              <w:rPr>
                <w:spacing w:val="-2"/>
              </w:rPr>
              <w:t>7.16</w:t>
            </w:r>
          </w:p>
        </w:tc>
        <w:tc>
          <w:tcPr>
            <w:tcW w:w="892" w:type="dxa"/>
            <w:vAlign w:val="top"/>
          </w:tcPr>
          <w:p w14:paraId="2C3C4FC1">
            <w:pPr>
              <w:pStyle w:val="6"/>
              <w:spacing w:before="104" w:line="210" w:lineRule="auto"/>
              <w:ind w:left="272"/>
            </w:pPr>
            <w:r>
              <w:rPr>
                <w:spacing w:val="-3"/>
              </w:rPr>
              <w:t>6.14</w:t>
            </w:r>
          </w:p>
        </w:tc>
        <w:tc>
          <w:tcPr>
            <w:tcW w:w="891" w:type="dxa"/>
            <w:vAlign w:val="top"/>
          </w:tcPr>
          <w:p w14:paraId="0D4E7AE6">
            <w:pPr>
              <w:pStyle w:val="6"/>
              <w:spacing w:before="104" w:line="210" w:lineRule="auto"/>
              <w:ind w:left="274"/>
            </w:pPr>
            <w:r>
              <w:rPr>
                <w:spacing w:val="-2"/>
              </w:rPr>
              <w:t>0.24</w:t>
            </w:r>
          </w:p>
        </w:tc>
        <w:tc>
          <w:tcPr>
            <w:tcW w:w="906" w:type="dxa"/>
            <w:tcBorders>
              <w:right w:val="single" w:color="000000" w:sz="12" w:space="0"/>
            </w:tcBorders>
            <w:vAlign w:val="top"/>
          </w:tcPr>
          <w:p w14:paraId="50A9DBF7">
            <w:pPr>
              <w:pStyle w:val="6"/>
              <w:spacing w:before="104" w:line="210" w:lineRule="auto"/>
              <w:ind w:left="277"/>
            </w:pPr>
            <w:r>
              <w:rPr>
                <w:spacing w:val="-2"/>
              </w:rPr>
              <w:t>0.13</w:t>
            </w:r>
          </w:p>
        </w:tc>
      </w:tr>
      <w:tr w14:paraId="0A860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6AD680AD">
            <w:pPr>
              <w:rPr>
                <w:rFonts w:ascii="Arial"/>
                <w:sz w:val="21"/>
              </w:rPr>
            </w:pPr>
          </w:p>
        </w:tc>
        <w:tc>
          <w:tcPr>
            <w:tcW w:w="423" w:type="dxa"/>
            <w:vMerge w:val="continue"/>
            <w:tcBorders>
              <w:top w:val="nil"/>
            </w:tcBorders>
            <w:vAlign w:val="top"/>
          </w:tcPr>
          <w:p w14:paraId="07E8D8A5">
            <w:pPr>
              <w:rPr>
                <w:rFonts w:ascii="Arial"/>
                <w:sz w:val="21"/>
              </w:rPr>
            </w:pPr>
          </w:p>
        </w:tc>
        <w:tc>
          <w:tcPr>
            <w:tcW w:w="1554" w:type="dxa"/>
            <w:vAlign w:val="top"/>
          </w:tcPr>
          <w:p w14:paraId="4896F8E6">
            <w:pPr>
              <w:pStyle w:val="6"/>
              <w:spacing w:before="105" w:line="208" w:lineRule="auto"/>
              <w:ind w:left="343"/>
            </w:pPr>
            <w:r>
              <w:rPr>
                <w:spacing w:val="-1"/>
              </w:rPr>
              <w:t>2019/1/17</w:t>
            </w:r>
          </w:p>
        </w:tc>
        <w:tc>
          <w:tcPr>
            <w:tcW w:w="892" w:type="dxa"/>
            <w:vAlign w:val="top"/>
          </w:tcPr>
          <w:p w14:paraId="46E0EF31">
            <w:pPr>
              <w:pStyle w:val="6"/>
              <w:spacing w:before="105" w:line="208" w:lineRule="auto"/>
              <w:ind w:left="288"/>
            </w:pPr>
            <w:r>
              <w:rPr>
                <w:spacing w:val="-2"/>
              </w:rPr>
              <w:t>774</w:t>
            </w:r>
          </w:p>
        </w:tc>
        <w:tc>
          <w:tcPr>
            <w:tcW w:w="892" w:type="dxa"/>
            <w:vAlign w:val="top"/>
          </w:tcPr>
          <w:p w14:paraId="464EF5E6">
            <w:pPr>
              <w:pStyle w:val="6"/>
              <w:spacing w:before="109" w:line="204" w:lineRule="auto"/>
              <w:ind w:left="297"/>
            </w:pPr>
            <w:r>
              <w:rPr>
                <w:b/>
                <w:bCs/>
                <w:spacing w:val="-4"/>
              </w:rPr>
              <w:t>128</w:t>
            </w:r>
          </w:p>
        </w:tc>
        <w:tc>
          <w:tcPr>
            <w:tcW w:w="892" w:type="dxa"/>
            <w:vAlign w:val="top"/>
          </w:tcPr>
          <w:p w14:paraId="1D3B0720">
            <w:pPr>
              <w:pStyle w:val="6"/>
              <w:spacing w:before="105" w:line="208" w:lineRule="auto"/>
              <w:ind w:left="273"/>
            </w:pPr>
            <w:r>
              <w:rPr>
                <w:spacing w:val="-4"/>
              </w:rPr>
              <w:t>8.20</w:t>
            </w:r>
          </w:p>
        </w:tc>
        <w:tc>
          <w:tcPr>
            <w:tcW w:w="892" w:type="dxa"/>
            <w:vAlign w:val="top"/>
          </w:tcPr>
          <w:p w14:paraId="4F63F26D">
            <w:pPr>
              <w:pStyle w:val="6"/>
              <w:spacing w:before="105" w:line="208" w:lineRule="auto"/>
              <w:ind w:left="272"/>
            </w:pPr>
            <w:r>
              <w:rPr>
                <w:spacing w:val="-3"/>
              </w:rPr>
              <w:t>6.21</w:t>
            </w:r>
          </w:p>
        </w:tc>
        <w:tc>
          <w:tcPr>
            <w:tcW w:w="891" w:type="dxa"/>
            <w:vAlign w:val="top"/>
          </w:tcPr>
          <w:p w14:paraId="55C299AD">
            <w:pPr>
              <w:pStyle w:val="6"/>
              <w:spacing w:before="105" w:line="208" w:lineRule="auto"/>
              <w:ind w:left="274"/>
            </w:pPr>
            <w:r>
              <w:rPr>
                <w:spacing w:val="-2"/>
              </w:rPr>
              <w:t>0.21</w:t>
            </w:r>
          </w:p>
        </w:tc>
        <w:tc>
          <w:tcPr>
            <w:tcW w:w="906" w:type="dxa"/>
            <w:tcBorders>
              <w:right w:val="single" w:color="000000" w:sz="12" w:space="0"/>
            </w:tcBorders>
            <w:vAlign w:val="top"/>
          </w:tcPr>
          <w:p w14:paraId="538B445A">
            <w:pPr>
              <w:pStyle w:val="6"/>
              <w:spacing w:before="105" w:line="208" w:lineRule="auto"/>
              <w:ind w:left="277"/>
            </w:pPr>
            <w:r>
              <w:rPr>
                <w:spacing w:val="-2"/>
              </w:rPr>
              <w:t>0.09</w:t>
            </w:r>
          </w:p>
        </w:tc>
      </w:tr>
      <w:tr w14:paraId="33BBE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1BFC119">
            <w:pPr>
              <w:rPr>
                <w:rFonts w:ascii="Arial"/>
                <w:sz w:val="21"/>
              </w:rPr>
            </w:pPr>
          </w:p>
        </w:tc>
        <w:tc>
          <w:tcPr>
            <w:tcW w:w="423" w:type="dxa"/>
            <w:vMerge w:val="restart"/>
            <w:tcBorders>
              <w:bottom w:val="nil"/>
            </w:tcBorders>
            <w:vAlign w:val="top"/>
          </w:tcPr>
          <w:p w14:paraId="1BC76D7E">
            <w:pPr>
              <w:pStyle w:val="6"/>
              <w:spacing w:before="170" w:line="223" w:lineRule="auto"/>
              <w:ind w:left="148"/>
            </w:pPr>
            <w:r>
              <w:t>2</w:t>
            </w:r>
          </w:p>
          <w:p w14:paraId="077D5198">
            <w:pPr>
              <w:spacing w:line="219" w:lineRule="auto"/>
              <w:ind w:left="100"/>
              <w:rPr>
                <w:rFonts w:ascii="宋体" w:hAnsi="宋体" w:eastAsia="宋体" w:cs="宋体"/>
                <w:sz w:val="21"/>
                <w:szCs w:val="21"/>
              </w:rPr>
            </w:pPr>
            <w:r>
              <w:rPr>
                <w:rFonts w:ascii="宋体" w:hAnsi="宋体" w:eastAsia="宋体" w:cs="宋体"/>
                <w:sz w:val="21"/>
                <w:szCs w:val="21"/>
              </w:rPr>
              <w:t>季</w:t>
            </w:r>
          </w:p>
          <w:p w14:paraId="27481133">
            <w:pPr>
              <w:spacing w:before="21"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7BE1408C">
            <w:pPr>
              <w:pStyle w:val="6"/>
              <w:spacing w:before="106" w:line="207" w:lineRule="auto"/>
              <w:ind w:left="343"/>
            </w:pPr>
            <w:r>
              <w:rPr>
                <w:spacing w:val="-1"/>
              </w:rPr>
              <w:t>2019/5/10</w:t>
            </w:r>
          </w:p>
        </w:tc>
        <w:tc>
          <w:tcPr>
            <w:tcW w:w="892" w:type="dxa"/>
            <w:vAlign w:val="top"/>
          </w:tcPr>
          <w:p w14:paraId="7173DC6E">
            <w:pPr>
              <w:pStyle w:val="6"/>
              <w:spacing w:before="106" w:line="207" w:lineRule="auto"/>
              <w:ind w:left="357"/>
            </w:pPr>
            <w:r>
              <w:rPr>
                <w:spacing w:val="-6"/>
              </w:rPr>
              <w:t>13</w:t>
            </w:r>
          </w:p>
        </w:tc>
        <w:tc>
          <w:tcPr>
            <w:tcW w:w="892" w:type="dxa"/>
            <w:vAlign w:val="top"/>
          </w:tcPr>
          <w:p w14:paraId="03E142D7">
            <w:pPr>
              <w:pStyle w:val="6"/>
              <w:spacing w:before="106" w:line="207" w:lineRule="auto"/>
              <w:ind w:left="396"/>
            </w:pPr>
            <w:r>
              <w:t>7</w:t>
            </w:r>
          </w:p>
        </w:tc>
        <w:tc>
          <w:tcPr>
            <w:tcW w:w="892" w:type="dxa"/>
            <w:vAlign w:val="top"/>
          </w:tcPr>
          <w:p w14:paraId="6D536153">
            <w:pPr>
              <w:pStyle w:val="6"/>
              <w:spacing w:before="106" w:line="207" w:lineRule="auto"/>
              <w:ind w:left="273"/>
            </w:pPr>
            <w:r>
              <w:rPr>
                <w:spacing w:val="-4"/>
              </w:rPr>
              <w:t>8.09</w:t>
            </w:r>
          </w:p>
        </w:tc>
        <w:tc>
          <w:tcPr>
            <w:tcW w:w="892" w:type="dxa"/>
            <w:vAlign w:val="top"/>
          </w:tcPr>
          <w:p w14:paraId="4C4D8F18">
            <w:pPr>
              <w:pStyle w:val="6"/>
              <w:spacing w:before="106" w:line="207" w:lineRule="auto"/>
              <w:ind w:left="271"/>
            </w:pPr>
            <w:r>
              <w:rPr>
                <w:spacing w:val="-2"/>
              </w:rPr>
              <w:t>7.14</w:t>
            </w:r>
          </w:p>
        </w:tc>
        <w:tc>
          <w:tcPr>
            <w:tcW w:w="891" w:type="dxa"/>
            <w:vAlign w:val="top"/>
          </w:tcPr>
          <w:p w14:paraId="0DA4B323">
            <w:pPr>
              <w:pStyle w:val="6"/>
              <w:spacing w:before="106" w:line="207" w:lineRule="auto"/>
              <w:ind w:left="274"/>
            </w:pPr>
            <w:r>
              <w:rPr>
                <w:spacing w:val="-2"/>
              </w:rPr>
              <w:t>0.21</w:t>
            </w:r>
          </w:p>
        </w:tc>
        <w:tc>
          <w:tcPr>
            <w:tcW w:w="906" w:type="dxa"/>
            <w:tcBorders>
              <w:right w:val="single" w:color="000000" w:sz="12" w:space="0"/>
            </w:tcBorders>
            <w:vAlign w:val="top"/>
          </w:tcPr>
          <w:p w14:paraId="41DD6852">
            <w:pPr>
              <w:pStyle w:val="6"/>
              <w:spacing w:before="106" w:line="207" w:lineRule="auto"/>
              <w:ind w:left="277"/>
            </w:pPr>
            <w:r>
              <w:rPr>
                <w:spacing w:val="-2"/>
              </w:rPr>
              <w:t>0.10</w:t>
            </w:r>
          </w:p>
        </w:tc>
      </w:tr>
      <w:tr w14:paraId="52E85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0B190F9E">
            <w:pPr>
              <w:rPr>
                <w:rFonts w:ascii="Arial"/>
                <w:sz w:val="21"/>
              </w:rPr>
            </w:pPr>
          </w:p>
        </w:tc>
        <w:tc>
          <w:tcPr>
            <w:tcW w:w="423" w:type="dxa"/>
            <w:vMerge w:val="continue"/>
            <w:tcBorders>
              <w:top w:val="nil"/>
              <w:bottom w:val="nil"/>
            </w:tcBorders>
            <w:vAlign w:val="top"/>
          </w:tcPr>
          <w:p w14:paraId="26CCC92C">
            <w:pPr>
              <w:rPr>
                <w:rFonts w:ascii="Arial"/>
                <w:sz w:val="21"/>
              </w:rPr>
            </w:pPr>
          </w:p>
        </w:tc>
        <w:tc>
          <w:tcPr>
            <w:tcW w:w="1554" w:type="dxa"/>
            <w:vAlign w:val="top"/>
          </w:tcPr>
          <w:p w14:paraId="2BB088A1">
            <w:pPr>
              <w:pStyle w:val="6"/>
              <w:spacing w:before="107" w:line="207" w:lineRule="auto"/>
              <w:ind w:left="343"/>
            </w:pPr>
            <w:r>
              <w:rPr>
                <w:spacing w:val="-1"/>
              </w:rPr>
              <w:t>2019/5/11</w:t>
            </w:r>
          </w:p>
        </w:tc>
        <w:tc>
          <w:tcPr>
            <w:tcW w:w="892" w:type="dxa"/>
            <w:vAlign w:val="top"/>
          </w:tcPr>
          <w:p w14:paraId="2079096A">
            <w:pPr>
              <w:pStyle w:val="6"/>
              <w:spacing w:before="107" w:line="207" w:lineRule="auto"/>
              <w:ind w:left="357"/>
            </w:pPr>
            <w:r>
              <w:rPr>
                <w:spacing w:val="-6"/>
              </w:rPr>
              <w:t>11</w:t>
            </w:r>
          </w:p>
        </w:tc>
        <w:tc>
          <w:tcPr>
            <w:tcW w:w="892" w:type="dxa"/>
            <w:vAlign w:val="top"/>
          </w:tcPr>
          <w:p w14:paraId="2AEC5841">
            <w:pPr>
              <w:pStyle w:val="6"/>
              <w:spacing w:before="107" w:line="207" w:lineRule="auto"/>
              <w:ind w:left="397"/>
            </w:pPr>
            <w:r>
              <w:t>9</w:t>
            </w:r>
          </w:p>
        </w:tc>
        <w:tc>
          <w:tcPr>
            <w:tcW w:w="892" w:type="dxa"/>
            <w:vAlign w:val="top"/>
          </w:tcPr>
          <w:p w14:paraId="34AF4850">
            <w:pPr>
              <w:pStyle w:val="6"/>
              <w:spacing w:before="107" w:line="207" w:lineRule="auto"/>
              <w:ind w:left="273"/>
            </w:pPr>
            <w:r>
              <w:rPr>
                <w:spacing w:val="-4"/>
              </w:rPr>
              <w:t>8.14</w:t>
            </w:r>
          </w:p>
        </w:tc>
        <w:tc>
          <w:tcPr>
            <w:tcW w:w="892" w:type="dxa"/>
            <w:vAlign w:val="top"/>
          </w:tcPr>
          <w:p w14:paraId="799FAADC">
            <w:pPr>
              <w:pStyle w:val="6"/>
              <w:spacing w:before="107" w:line="207" w:lineRule="auto"/>
              <w:ind w:left="271"/>
            </w:pPr>
            <w:r>
              <w:rPr>
                <w:spacing w:val="-2"/>
              </w:rPr>
              <w:t>7.11</w:t>
            </w:r>
          </w:p>
        </w:tc>
        <w:tc>
          <w:tcPr>
            <w:tcW w:w="891" w:type="dxa"/>
            <w:vAlign w:val="top"/>
          </w:tcPr>
          <w:p w14:paraId="364EB47E">
            <w:pPr>
              <w:pStyle w:val="6"/>
              <w:spacing w:before="107" w:line="207" w:lineRule="auto"/>
              <w:ind w:left="274"/>
            </w:pPr>
            <w:r>
              <w:rPr>
                <w:spacing w:val="-2"/>
              </w:rPr>
              <w:t>0.24</w:t>
            </w:r>
          </w:p>
        </w:tc>
        <w:tc>
          <w:tcPr>
            <w:tcW w:w="906" w:type="dxa"/>
            <w:tcBorders>
              <w:right w:val="single" w:color="000000" w:sz="12" w:space="0"/>
            </w:tcBorders>
            <w:vAlign w:val="top"/>
          </w:tcPr>
          <w:p w14:paraId="13CD1D89">
            <w:pPr>
              <w:pStyle w:val="6"/>
              <w:spacing w:before="107" w:line="207" w:lineRule="auto"/>
              <w:ind w:left="277"/>
            </w:pPr>
            <w:r>
              <w:rPr>
                <w:spacing w:val="-2"/>
              </w:rPr>
              <w:t>0.08</w:t>
            </w:r>
          </w:p>
        </w:tc>
      </w:tr>
      <w:tr w14:paraId="0237A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F629648">
            <w:pPr>
              <w:rPr>
                <w:rFonts w:ascii="Arial"/>
                <w:sz w:val="21"/>
              </w:rPr>
            </w:pPr>
          </w:p>
        </w:tc>
        <w:tc>
          <w:tcPr>
            <w:tcW w:w="423" w:type="dxa"/>
            <w:vMerge w:val="continue"/>
            <w:tcBorders>
              <w:top w:val="nil"/>
            </w:tcBorders>
            <w:vAlign w:val="top"/>
          </w:tcPr>
          <w:p w14:paraId="12B19A7E">
            <w:pPr>
              <w:rPr>
                <w:rFonts w:ascii="Arial"/>
                <w:sz w:val="21"/>
              </w:rPr>
            </w:pPr>
          </w:p>
        </w:tc>
        <w:tc>
          <w:tcPr>
            <w:tcW w:w="1554" w:type="dxa"/>
            <w:vAlign w:val="top"/>
          </w:tcPr>
          <w:p w14:paraId="54A38BA6">
            <w:pPr>
              <w:pStyle w:val="6"/>
              <w:spacing w:before="108" w:line="205" w:lineRule="auto"/>
              <w:ind w:left="343"/>
            </w:pPr>
            <w:r>
              <w:rPr>
                <w:spacing w:val="-1"/>
              </w:rPr>
              <w:t>2019/5/12</w:t>
            </w:r>
          </w:p>
        </w:tc>
        <w:tc>
          <w:tcPr>
            <w:tcW w:w="892" w:type="dxa"/>
            <w:vAlign w:val="top"/>
          </w:tcPr>
          <w:p w14:paraId="1EB78434">
            <w:pPr>
              <w:pStyle w:val="6"/>
              <w:spacing w:before="108" w:line="205" w:lineRule="auto"/>
              <w:ind w:left="357"/>
            </w:pPr>
            <w:r>
              <w:rPr>
                <w:spacing w:val="-6"/>
              </w:rPr>
              <w:t>10</w:t>
            </w:r>
          </w:p>
        </w:tc>
        <w:tc>
          <w:tcPr>
            <w:tcW w:w="892" w:type="dxa"/>
            <w:vAlign w:val="top"/>
          </w:tcPr>
          <w:p w14:paraId="2FF98494">
            <w:pPr>
              <w:pStyle w:val="6"/>
              <w:spacing w:before="108" w:line="205" w:lineRule="auto"/>
              <w:ind w:left="402"/>
            </w:pPr>
            <w:r>
              <w:t>8</w:t>
            </w:r>
          </w:p>
        </w:tc>
        <w:tc>
          <w:tcPr>
            <w:tcW w:w="892" w:type="dxa"/>
            <w:vAlign w:val="top"/>
          </w:tcPr>
          <w:p w14:paraId="52586FD1">
            <w:pPr>
              <w:pStyle w:val="6"/>
              <w:spacing w:before="108" w:line="205" w:lineRule="auto"/>
              <w:ind w:left="273"/>
            </w:pPr>
            <w:r>
              <w:rPr>
                <w:spacing w:val="-4"/>
              </w:rPr>
              <w:t>8.18</w:t>
            </w:r>
          </w:p>
        </w:tc>
        <w:tc>
          <w:tcPr>
            <w:tcW w:w="892" w:type="dxa"/>
            <w:vAlign w:val="top"/>
          </w:tcPr>
          <w:p w14:paraId="0D0B1F6E">
            <w:pPr>
              <w:pStyle w:val="6"/>
              <w:spacing w:before="108" w:line="205" w:lineRule="auto"/>
              <w:ind w:left="271"/>
            </w:pPr>
            <w:r>
              <w:rPr>
                <w:spacing w:val="-2"/>
              </w:rPr>
              <w:t>7.09</w:t>
            </w:r>
          </w:p>
        </w:tc>
        <w:tc>
          <w:tcPr>
            <w:tcW w:w="891" w:type="dxa"/>
            <w:vAlign w:val="top"/>
          </w:tcPr>
          <w:p w14:paraId="5D397EDA">
            <w:pPr>
              <w:pStyle w:val="6"/>
              <w:spacing w:before="108" w:line="205" w:lineRule="auto"/>
              <w:ind w:left="274"/>
            </w:pPr>
            <w:r>
              <w:rPr>
                <w:spacing w:val="-2"/>
              </w:rPr>
              <w:t>0.25</w:t>
            </w:r>
          </w:p>
        </w:tc>
        <w:tc>
          <w:tcPr>
            <w:tcW w:w="906" w:type="dxa"/>
            <w:tcBorders>
              <w:right w:val="single" w:color="000000" w:sz="12" w:space="0"/>
            </w:tcBorders>
            <w:vAlign w:val="top"/>
          </w:tcPr>
          <w:p w14:paraId="1FC196B9">
            <w:pPr>
              <w:pStyle w:val="6"/>
              <w:spacing w:before="108" w:line="205" w:lineRule="auto"/>
              <w:ind w:left="277"/>
            </w:pPr>
            <w:r>
              <w:rPr>
                <w:spacing w:val="-2"/>
              </w:rPr>
              <w:t>0.10</w:t>
            </w:r>
          </w:p>
        </w:tc>
      </w:tr>
      <w:tr w14:paraId="4E5C8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1F0F1C8B">
            <w:pPr>
              <w:rPr>
                <w:rFonts w:ascii="Arial"/>
                <w:sz w:val="21"/>
              </w:rPr>
            </w:pPr>
          </w:p>
        </w:tc>
        <w:tc>
          <w:tcPr>
            <w:tcW w:w="423" w:type="dxa"/>
            <w:vMerge w:val="restart"/>
            <w:tcBorders>
              <w:bottom w:val="nil"/>
            </w:tcBorders>
            <w:vAlign w:val="top"/>
          </w:tcPr>
          <w:p w14:paraId="483AD83F">
            <w:pPr>
              <w:pStyle w:val="6"/>
              <w:spacing w:before="174" w:line="222" w:lineRule="auto"/>
              <w:ind w:left="152"/>
            </w:pPr>
            <w:r>
              <w:t>3</w:t>
            </w:r>
          </w:p>
          <w:p w14:paraId="35DD2D67">
            <w:pPr>
              <w:spacing w:line="219" w:lineRule="auto"/>
              <w:ind w:left="100"/>
              <w:rPr>
                <w:rFonts w:ascii="宋体" w:hAnsi="宋体" w:eastAsia="宋体" w:cs="宋体"/>
                <w:sz w:val="21"/>
                <w:szCs w:val="21"/>
              </w:rPr>
            </w:pPr>
            <w:r>
              <w:rPr>
                <w:rFonts w:ascii="宋体" w:hAnsi="宋体" w:eastAsia="宋体" w:cs="宋体"/>
                <w:sz w:val="21"/>
                <w:szCs w:val="21"/>
              </w:rPr>
              <w:t>季</w:t>
            </w:r>
          </w:p>
          <w:p w14:paraId="45DC8E20">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A6EB490">
            <w:pPr>
              <w:pStyle w:val="6"/>
              <w:spacing w:before="109" w:line="205" w:lineRule="auto"/>
              <w:ind w:left="343"/>
            </w:pPr>
            <w:r>
              <w:rPr>
                <w:spacing w:val="-1"/>
              </w:rPr>
              <w:t>2019/8/06</w:t>
            </w:r>
          </w:p>
        </w:tc>
        <w:tc>
          <w:tcPr>
            <w:tcW w:w="892" w:type="dxa"/>
            <w:vAlign w:val="top"/>
          </w:tcPr>
          <w:p w14:paraId="0F0619A8">
            <w:pPr>
              <w:pStyle w:val="6"/>
              <w:spacing w:before="109" w:line="205" w:lineRule="auto"/>
              <w:ind w:left="398"/>
            </w:pPr>
            <w:r>
              <w:t>8</w:t>
            </w:r>
          </w:p>
        </w:tc>
        <w:tc>
          <w:tcPr>
            <w:tcW w:w="892" w:type="dxa"/>
            <w:vAlign w:val="top"/>
          </w:tcPr>
          <w:p w14:paraId="2D09E9EF">
            <w:pPr>
              <w:pStyle w:val="6"/>
              <w:spacing w:before="109" w:line="205" w:lineRule="auto"/>
              <w:ind w:left="399"/>
            </w:pPr>
            <w:r>
              <w:t>5</w:t>
            </w:r>
          </w:p>
        </w:tc>
        <w:tc>
          <w:tcPr>
            <w:tcW w:w="892" w:type="dxa"/>
            <w:vAlign w:val="top"/>
          </w:tcPr>
          <w:p w14:paraId="1069A5FE">
            <w:pPr>
              <w:pStyle w:val="6"/>
              <w:spacing w:before="109" w:line="205" w:lineRule="auto"/>
              <w:ind w:left="269"/>
            </w:pPr>
            <w:r>
              <w:rPr>
                <w:spacing w:val="-3"/>
              </w:rPr>
              <w:t>6.59</w:t>
            </w:r>
          </w:p>
        </w:tc>
        <w:tc>
          <w:tcPr>
            <w:tcW w:w="892" w:type="dxa"/>
            <w:vAlign w:val="top"/>
          </w:tcPr>
          <w:p w14:paraId="23EC4421">
            <w:pPr>
              <w:pStyle w:val="6"/>
              <w:spacing w:before="109" w:line="205" w:lineRule="auto"/>
              <w:ind w:left="272"/>
            </w:pPr>
            <w:r>
              <w:rPr>
                <w:spacing w:val="-3"/>
              </w:rPr>
              <w:t>6.49</w:t>
            </w:r>
          </w:p>
        </w:tc>
        <w:tc>
          <w:tcPr>
            <w:tcW w:w="891" w:type="dxa"/>
            <w:vAlign w:val="top"/>
          </w:tcPr>
          <w:p w14:paraId="62B6AF18">
            <w:pPr>
              <w:pStyle w:val="6"/>
              <w:spacing w:before="109" w:line="205" w:lineRule="auto"/>
              <w:ind w:left="274"/>
            </w:pPr>
            <w:r>
              <w:rPr>
                <w:spacing w:val="-2"/>
              </w:rPr>
              <w:t>0.21</w:t>
            </w:r>
          </w:p>
        </w:tc>
        <w:tc>
          <w:tcPr>
            <w:tcW w:w="906" w:type="dxa"/>
            <w:tcBorders>
              <w:right w:val="single" w:color="000000" w:sz="12" w:space="0"/>
            </w:tcBorders>
            <w:vAlign w:val="top"/>
          </w:tcPr>
          <w:p w14:paraId="32590C67">
            <w:pPr>
              <w:pStyle w:val="6"/>
              <w:spacing w:before="109" w:line="205" w:lineRule="auto"/>
              <w:ind w:left="214"/>
            </w:pPr>
            <w:r>
              <w:rPr>
                <w:spacing w:val="-2"/>
              </w:rPr>
              <w:t>0.06L</w:t>
            </w:r>
          </w:p>
        </w:tc>
      </w:tr>
      <w:tr w14:paraId="71CF0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349EA17">
            <w:pPr>
              <w:rPr>
                <w:rFonts w:ascii="Arial"/>
                <w:sz w:val="21"/>
              </w:rPr>
            </w:pPr>
          </w:p>
        </w:tc>
        <w:tc>
          <w:tcPr>
            <w:tcW w:w="423" w:type="dxa"/>
            <w:vMerge w:val="continue"/>
            <w:tcBorders>
              <w:top w:val="nil"/>
              <w:bottom w:val="nil"/>
            </w:tcBorders>
            <w:vAlign w:val="top"/>
          </w:tcPr>
          <w:p w14:paraId="5238C2E9">
            <w:pPr>
              <w:rPr>
                <w:rFonts w:ascii="Arial"/>
                <w:sz w:val="21"/>
              </w:rPr>
            </w:pPr>
          </w:p>
        </w:tc>
        <w:tc>
          <w:tcPr>
            <w:tcW w:w="1554" w:type="dxa"/>
            <w:vAlign w:val="top"/>
          </w:tcPr>
          <w:p w14:paraId="03517DA3">
            <w:pPr>
              <w:pStyle w:val="6"/>
              <w:spacing w:before="109" w:line="204" w:lineRule="auto"/>
              <w:ind w:left="343"/>
            </w:pPr>
            <w:r>
              <w:rPr>
                <w:spacing w:val="-1"/>
              </w:rPr>
              <w:t>2019/8/07</w:t>
            </w:r>
          </w:p>
        </w:tc>
        <w:tc>
          <w:tcPr>
            <w:tcW w:w="892" w:type="dxa"/>
            <w:vAlign w:val="top"/>
          </w:tcPr>
          <w:p w14:paraId="7AD8D882">
            <w:pPr>
              <w:pStyle w:val="6"/>
              <w:spacing w:before="109" w:line="204" w:lineRule="auto"/>
              <w:ind w:left="393"/>
            </w:pPr>
            <w:r>
              <w:t>7</w:t>
            </w:r>
          </w:p>
        </w:tc>
        <w:tc>
          <w:tcPr>
            <w:tcW w:w="892" w:type="dxa"/>
            <w:vAlign w:val="top"/>
          </w:tcPr>
          <w:p w14:paraId="607F6C9C">
            <w:pPr>
              <w:pStyle w:val="6"/>
              <w:spacing w:before="109" w:line="204" w:lineRule="auto"/>
              <w:ind w:left="392"/>
            </w:pPr>
            <w:r>
              <w:t>4</w:t>
            </w:r>
          </w:p>
        </w:tc>
        <w:tc>
          <w:tcPr>
            <w:tcW w:w="892" w:type="dxa"/>
            <w:vAlign w:val="top"/>
          </w:tcPr>
          <w:p w14:paraId="4BE7C1B8">
            <w:pPr>
              <w:pStyle w:val="6"/>
              <w:spacing w:before="109" w:line="204" w:lineRule="auto"/>
              <w:ind w:left="269"/>
            </w:pPr>
            <w:r>
              <w:rPr>
                <w:spacing w:val="-3"/>
              </w:rPr>
              <w:t>6.65</w:t>
            </w:r>
          </w:p>
        </w:tc>
        <w:tc>
          <w:tcPr>
            <w:tcW w:w="892" w:type="dxa"/>
            <w:vAlign w:val="top"/>
          </w:tcPr>
          <w:p w14:paraId="4931F101">
            <w:pPr>
              <w:pStyle w:val="6"/>
              <w:spacing w:before="109" w:line="204" w:lineRule="auto"/>
              <w:ind w:left="272"/>
            </w:pPr>
            <w:r>
              <w:rPr>
                <w:spacing w:val="-3"/>
              </w:rPr>
              <w:t>6.53</w:t>
            </w:r>
          </w:p>
        </w:tc>
        <w:tc>
          <w:tcPr>
            <w:tcW w:w="891" w:type="dxa"/>
            <w:vAlign w:val="top"/>
          </w:tcPr>
          <w:p w14:paraId="3F66BE4C">
            <w:pPr>
              <w:pStyle w:val="6"/>
              <w:spacing w:before="109" w:line="204" w:lineRule="auto"/>
              <w:ind w:left="274"/>
            </w:pPr>
            <w:r>
              <w:rPr>
                <w:spacing w:val="-2"/>
              </w:rPr>
              <w:t>0.20</w:t>
            </w:r>
          </w:p>
        </w:tc>
        <w:tc>
          <w:tcPr>
            <w:tcW w:w="906" w:type="dxa"/>
            <w:tcBorders>
              <w:right w:val="single" w:color="000000" w:sz="12" w:space="0"/>
            </w:tcBorders>
            <w:vAlign w:val="top"/>
          </w:tcPr>
          <w:p w14:paraId="555C3711">
            <w:pPr>
              <w:pStyle w:val="6"/>
              <w:spacing w:before="109" w:line="204" w:lineRule="auto"/>
              <w:ind w:left="214"/>
            </w:pPr>
            <w:r>
              <w:rPr>
                <w:spacing w:val="-2"/>
              </w:rPr>
              <w:t>0.06L</w:t>
            </w:r>
          </w:p>
        </w:tc>
      </w:tr>
      <w:tr w14:paraId="1DB57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3AEE519">
            <w:pPr>
              <w:rPr>
                <w:rFonts w:ascii="Arial"/>
                <w:sz w:val="21"/>
              </w:rPr>
            </w:pPr>
          </w:p>
        </w:tc>
        <w:tc>
          <w:tcPr>
            <w:tcW w:w="423" w:type="dxa"/>
            <w:vMerge w:val="continue"/>
            <w:tcBorders>
              <w:top w:val="nil"/>
            </w:tcBorders>
            <w:vAlign w:val="top"/>
          </w:tcPr>
          <w:p w14:paraId="2454F73B">
            <w:pPr>
              <w:rPr>
                <w:rFonts w:ascii="Arial"/>
                <w:sz w:val="21"/>
              </w:rPr>
            </w:pPr>
          </w:p>
        </w:tc>
        <w:tc>
          <w:tcPr>
            <w:tcW w:w="1554" w:type="dxa"/>
            <w:vAlign w:val="top"/>
          </w:tcPr>
          <w:p w14:paraId="423C231D">
            <w:pPr>
              <w:pStyle w:val="6"/>
              <w:spacing w:before="112" w:line="201" w:lineRule="auto"/>
              <w:ind w:left="343"/>
            </w:pPr>
            <w:r>
              <w:rPr>
                <w:spacing w:val="-1"/>
              </w:rPr>
              <w:t>2019/8/08</w:t>
            </w:r>
          </w:p>
        </w:tc>
        <w:tc>
          <w:tcPr>
            <w:tcW w:w="892" w:type="dxa"/>
            <w:vAlign w:val="top"/>
          </w:tcPr>
          <w:p w14:paraId="2E122BDF">
            <w:pPr>
              <w:pStyle w:val="6"/>
              <w:spacing w:before="112" w:line="201" w:lineRule="auto"/>
              <w:ind w:left="394"/>
            </w:pPr>
            <w:r>
              <w:t>9</w:t>
            </w:r>
          </w:p>
        </w:tc>
        <w:tc>
          <w:tcPr>
            <w:tcW w:w="892" w:type="dxa"/>
            <w:vAlign w:val="top"/>
          </w:tcPr>
          <w:p w14:paraId="5B255A50">
            <w:pPr>
              <w:pStyle w:val="6"/>
              <w:spacing w:before="112" w:line="201" w:lineRule="auto"/>
              <w:ind w:left="398"/>
            </w:pPr>
            <w:r>
              <w:t>6</w:t>
            </w:r>
          </w:p>
        </w:tc>
        <w:tc>
          <w:tcPr>
            <w:tcW w:w="892" w:type="dxa"/>
            <w:vAlign w:val="top"/>
          </w:tcPr>
          <w:p w14:paraId="4761F4B8">
            <w:pPr>
              <w:pStyle w:val="6"/>
              <w:spacing w:before="112" w:line="201" w:lineRule="auto"/>
              <w:ind w:left="269"/>
            </w:pPr>
            <w:r>
              <w:rPr>
                <w:spacing w:val="-3"/>
              </w:rPr>
              <w:t>6.69</w:t>
            </w:r>
          </w:p>
        </w:tc>
        <w:tc>
          <w:tcPr>
            <w:tcW w:w="892" w:type="dxa"/>
            <w:vAlign w:val="top"/>
          </w:tcPr>
          <w:p w14:paraId="26D7D0FC">
            <w:pPr>
              <w:pStyle w:val="6"/>
              <w:spacing w:before="112" w:line="201" w:lineRule="auto"/>
              <w:ind w:left="272"/>
            </w:pPr>
            <w:r>
              <w:rPr>
                <w:spacing w:val="-3"/>
              </w:rPr>
              <w:t>6.47</w:t>
            </w:r>
          </w:p>
        </w:tc>
        <w:tc>
          <w:tcPr>
            <w:tcW w:w="891" w:type="dxa"/>
            <w:vAlign w:val="top"/>
          </w:tcPr>
          <w:p w14:paraId="2E790AF0">
            <w:pPr>
              <w:pStyle w:val="6"/>
              <w:spacing w:before="112" w:line="201" w:lineRule="auto"/>
              <w:ind w:left="274"/>
            </w:pPr>
            <w:r>
              <w:rPr>
                <w:spacing w:val="-2"/>
              </w:rPr>
              <w:t>0.21</w:t>
            </w:r>
          </w:p>
        </w:tc>
        <w:tc>
          <w:tcPr>
            <w:tcW w:w="906" w:type="dxa"/>
            <w:tcBorders>
              <w:right w:val="single" w:color="000000" w:sz="12" w:space="0"/>
            </w:tcBorders>
            <w:vAlign w:val="top"/>
          </w:tcPr>
          <w:p w14:paraId="2BF4A31F">
            <w:pPr>
              <w:pStyle w:val="6"/>
              <w:spacing w:before="112" w:line="201" w:lineRule="auto"/>
              <w:ind w:left="214"/>
            </w:pPr>
            <w:r>
              <w:rPr>
                <w:spacing w:val="-2"/>
              </w:rPr>
              <w:t>0.06L</w:t>
            </w:r>
          </w:p>
        </w:tc>
      </w:tr>
      <w:tr w14:paraId="312CA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51B75C90">
            <w:pPr>
              <w:rPr>
                <w:rFonts w:ascii="Arial"/>
                <w:sz w:val="21"/>
              </w:rPr>
            </w:pPr>
          </w:p>
        </w:tc>
        <w:tc>
          <w:tcPr>
            <w:tcW w:w="423" w:type="dxa"/>
            <w:vMerge w:val="restart"/>
            <w:tcBorders>
              <w:bottom w:val="nil"/>
            </w:tcBorders>
            <w:vAlign w:val="top"/>
          </w:tcPr>
          <w:p w14:paraId="67315A60">
            <w:pPr>
              <w:pStyle w:val="6"/>
              <w:spacing w:before="178" w:line="222" w:lineRule="auto"/>
              <w:ind w:left="147"/>
            </w:pPr>
            <w:r>
              <w:t>4</w:t>
            </w:r>
          </w:p>
          <w:p w14:paraId="15E9D6D8">
            <w:pPr>
              <w:spacing w:line="219" w:lineRule="auto"/>
              <w:ind w:left="100"/>
              <w:rPr>
                <w:rFonts w:ascii="宋体" w:hAnsi="宋体" w:eastAsia="宋体" w:cs="宋体"/>
                <w:sz w:val="21"/>
                <w:szCs w:val="21"/>
              </w:rPr>
            </w:pPr>
            <w:r>
              <w:rPr>
                <w:rFonts w:ascii="宋体" w:hAnsi="宋体" w:eastAsia="宋体" w:cs="宋体"/>
                <w:sz w:val="21"/>
                <w:szCs w:val="21"/>
              </w:rPr>
              <w:t>季</w:t>
            </w:r>
          </w:p>
          <w:p w14:paraId="408A0167">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070F00E5">
            <w:pPr>
              <w:pStyle w:val="6"/>
              <w:spacing w:before="113" w:line="201" w:lineRule="auto"/>
              <w:ind w:left="343"/>
            </w:pPr>
            <w:r>
              <w:rPr>
                <w:spacing w:val="-1"/>
              </w:rPr>
              <w:t>2019/11/9</w:t>
            </w:r>
          </w:p>
        </w:tc>
        <w:tc>
          <w:tcPr>
            <w:tcW w:w="892" w:type="dxa"/>
            <w:vAlign w:val="top"/>
          </w:tcPr>
          <w:p w14:paraId="1C5A3A9E">
            <w:pPr>
              <w:pStyle w:val="6"/>
              <w:spacing w:before="113" w:line="201" w:lineRule="auto"/>
              <w:ind w:left="304"/>
            </w:pPr>
            <w:r>
              <w:rPr>
                <w:spacing w:val="-6"/>
              </w:rPr>
              <w:t>155</w:t>
            </w:r>
          </w:p>
        </w:tc>
        <w:tc>
          <w:tcPr>
            <w:tcW w:w="892" w:type="dxa"/>
            <w:vAlign w:val="top"/>
          </w:tcPr>
          <w:p w14:paraId="529BEAB2">
            <w:pPr>
              <w:pStyle w:val="6"/>
              <w:spacing w:before="113" w:line="201" w:lineRule="auto"/>
              <w:ind w:left="345"/>
            </w:pPr>
            <w:r>
              <w:rPr>
                <w:spacing w:val="-3"/>
              </w:rPr>
              <w:t>60</w:t>
            </w:r>
          </w:p>
        </w:tc>
        <w:tc>
          <w:tcPr>
            <w:tcW w:w="892" w:type="dxa"/>
            <w:vAlign w:val="top"/>
          </w:tcPr>
          <w:p w14:paraId="6C39294E">
            <w:pPr>
              <w:pStyle w:val="6"/>
              <w:spacing w:before="113" w:line="201" w:lineRule="auto"/>
              <w:ind w:left="273"/>
            </w:pPr>
            <w:r>
              <w:rPr>
                <w:spacing w:val="-4"/>
              </w:rPr>
              <w:t>8.01</w:t>
            </w:r>
          </w:p>
        </w:tc>
        <w:tc>
          <w:tcPr>
            <w:tcW w:w="892" w:type="dxa"/>
            <w:vAlign w:val="top"/>
          </w:tcPr>
          <w:p w14:paraId="2C2ADD86">
            <w:pPr>
              <w:pStyle w:val="6"/>
              <w:spacing w:before="113" w:line="201" w:lineRule="auto"/>
              <w:ind w:left="271"/>
            </w:pPr>
            <w:r>
              <w:rPr>
                <w:spacing w:val="-2"/>
              </w:rPr>
              <w:t>7.15</w:t>
            </w:r>
          </w:p>
        </w:tc>
        <w:tc>
          <w:tcPr>
            <w:tcW w:w="891" w:type="dxa"/>
            <w:vAlign w:val="top"/>
          </w:tcPr>
          <w:p w14:paraId="37BE368C">
            <w:pPr>
              <w:pStyle w:val="6"/>
              <w:spacing w:before="113" w:line="201" w:lineRule="auto"/>
              <w:ind w:left="274"/>
            </w:pPr>
            <w:r>
              <w:rPr>
                <w:spacing w:val="-2"/>
              </w:rPr>
              <w:t>0.28</w:t>
            </w:r>
          </w:p>
        </w:tc>
        <w:tc>
          <w:tcPr>
            <w:tcW w:w="906" w:type="dxa"/>
            <w:tcBorders>
              <w:right w:val="single" w:color="000000" w:sz="12" w:space="0"/>
            </w:tcBorders>
            <w:vAlign w:val="top"/>
          </w:tcPr>
          <w:p w14:paraId="1993108D">
            <w:pPr>
              <w:pStyle w:val="6"/>
              <w:spacing w:before="113" w:line="201" w:lineRule="auto"/>
              <w:ind w:left="214"/>
            </w:pPr>
            <w:r>
              <w:rPr>
                <w:spacing w:val="-2"/>
              </w:rPr>
              <w:t>0.06L</w:t>
            </w:r>
          </w:p>
        </w:tc>
      </w:tr>
      <w:tr w14:paraId="41124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DF2C4BC">
            <w:pPr>
              <w:rPr>
                <w:rFonts w:ascii="Arial"/>
                <w:sz w:val="21"/>
              </w:rPr>
            </w:pPr>
          </w:p>
        </w:tc>
        <w:tc>
          <w:tcPr>
            <w:tcW w:w="423" w:type="dxa"/>
            <w:vMerge w:val="continue"/>
            <w:tcBorders>
              <w:top w:val="nil"/>
              <w:bottom w:val="nil"/>
            </w:tcBorders>
            <w:vAlign w:val="top"/>
          </w:tcPr>
          <w:p w14:paraId="714532D2">
            <w:pPr>
              <w:rPr>
                <w:rFonts w:ascii="Arial"/>
                <w:sz w:val="21"/>
              </w:rPr>
            </w:pPr>
          </w:p>
        </w:tc>
        <w:tc>
          <w:tcPr>
            <w:tcW w:w="1554" w:type="dxa"/>
            <w:vAlign w:val="top"/>
          </w:tcPr>
          <w:p w14:paraId="7D0FC351">
            <w:pPr>
              <w:pStyle w:val="6"/>
              <w:spacing w:before="114" w:line="199" w:lineRule="auto"/>
              <w:ind w:left="290"/>
            </w:pPr>
            <w:r>
              <w:rPr>
                <w:spacing w:val="-1"/>
              </w:rPr>
              <w:t>2019/11/10</w:t>
            </w:r>
          </w:p>
        </w:tc>
        <w:tc>
          <w:tcPr>
            <w:tcW w:w="892" w:type="dxa"/>
            <w:vAlign w:val="top"/>
          </w:tcPr>
          <w:p w14:paraId="7C76E732">
            <w:pPr>
              <w:pStyle w:val="6"/>
              <w:spacing w:before="114" w:line="199" w:lineRule="auto"/>
              <w:ind w:left="304"/>
            </w:pPr>
            <w:r>
              <w:rPr>
                <w:spacing w:val="-6"/>
              </w:rPr>
              <w:t>143</w:t>
            </w:r>
          </w:p>
        </w:tc>
        <w:tc>
          <w:tcPr>
            <w:tcW w:w="892" w:type="dxa"/>
            <w:vAlign w:val="top"/>
          </w:tcPr>
          <w:p w14:paraId="6A9CBD3D">
            <w:pPr>
              <w:pStyle w:val="6"/>
              <w:spacing w:before="114" w:line="199" w:lineRule="auto"/>
              <w:ind w:left="346"/>
            </w:pPr>
            <w:r>
              <w:rPr>
                <w:spacing w:val="-3"/>
              </w:rPr>
              <w:t>55</w:t>
            </w:r>
          </w:p>
        </w:tc>
        <w:tc>
          <w:tcPr>
            <w:tcW w:w="892" w:type="dxa"/>
            <w:vAlign w:val="top"/>
          </w:tcPr>
          <w:p w14:paraId="67DF34A6">
            <w:pPr>
              <w:pStyle w:val="6"/>
              <w:spacing w:before="114" w:line="199" w:lineRule="auto"/>
              <w:ind w:left="273"/>
            </w:pPr>
            <w:r>
              <w:rPr>
                <w:spacing w:val="-4"/>
              </w:rPr>
              <w:t>8.08</w:t>
            </w:r>
          </w:p>
        </w:tc>
        <w:tc>
          <w:tcPr>
            <w:tcW w:w="892" w:type="dxa"/>
            <w:vAlign w:val="top"/>
          </w:tcPr>
          <w:p w14:paraId="13FF9A67">
            <w:pPr>
              <w:pStyle w:val="6"/>
              <w:spacing w:before="114" w:line="199" w:lineRule="auto"/>
              <w:ind w:left="271"/>
            </w:pPr>
            <w:r>
              <w:rPr>
                <w:spacing w:val="-2"/>
              </w:rPr>
              <w:t>7.13</w:t>
            </w:r>
          </w:p>
        </w:tc>
        <w:tc>
          <w:tcPr>
            <w:tcW w:w="891" w:type="dxa"/>
            <w:vAlign w:val="top"/>
          </w:tcPr>
          <w:p w14:paraId="59BC51B3">
            <w:pPr>
              <w:pStyle w:val="6"/>
              <w:spacing w:before="114" w:line="199" w:lineRule="auto"/>
              <w:ind w:left="274"/>
            </w:pPr>
            <w:r>
              <w:rPr>
                <w:spacing w:val="-2"/>
              </w:rPr>
              <w:t>0.27</w:t>
            </w:r>
          </w:p>
        </w:tc>
        <w:tc>
          <w:tcPr>
            <w:tcW w:w="906" w:type="dxa"/>
            <w:tcBorders>
              <w:right w:val="single" w:color="000000" w:sz="12" w:space="0"/>
            </w:tcBorders>
            <w:vAlign w:val="top"/>
          </w:tcPr>
          <w:p w14:paraId="25D0BADB">
            <w:pPr>
              <w:pStyle w:val="6"/>
              <w:spacing w:before="114" w:line="199" w:lineRule="auto"/>
              <w:ind w:left="214"/>
            </w:pPr>
            <w:r>
              <w:rPr>
                <w:spacing w:val="-2"/>
              </w:rPr>
              <w:t>0.06L</w:t>
            </w:r>
          </w:p>
        </w:tc>
      </w:tr>
      <w:tr w14:paraId="79F21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131" w:type="dxa"/>
            <w:vMerge w:val="continue"/>
            <w:tcBorders>
              <w:top w:val="nil"/>
              <w:left w:val="single" w:color="000000" w:sz="12" w:space="0"/>
              <w:bottom w:val="single" w:color="000000" w:sz="12" w:space="0"/>
            </w:tcBorders>
            <w:vAlign w:val="top"/>
          </w:tcPr>
          <w:p w14:paraId="675774D4">
            <w:pPr>
              <w:rPr>
                <w:rFonts w:ascii="Arial"/>
                <w:sz w:val="21"/>
              </w:rPr>
            </w:pPr>
          </w:p>
        </w:tc>
        <w:tc>
          <w:tcPr>
            <w:tcW w:w="423" w:type="dxa"/>
            <w:vMerge w:val="continue"/>
            <w:tcBorders>
              <w:top w:val="nil"/>
              <w:bottom w:val="single" w:color="000000" w:sz="12" w:space="0"/>
            </w:tcBorders>
            <w:vAlign w:val="top"/>
          </w:tcPr>
          <w:p w14:paraId="46037FA1">
            <w:pPr>
              <w:rPr>
                <w:rFonts w:ascii="Arial"/>
                <w:sz w:val="21"/>
              </w:rPr>
            </w:pPr>
          </w:p>
        </w:tc>
        <w:tc>
          <w:tcPr>
            <w:tcW w:w="1554" w:type="dxa"/>
            <w:tcBorders>
              <w:bottom w:val="single" w:color="000000" w:sz="12" w:space="0"/>
            </w:tcBorders>
            <w:vAlign w:val="top"/>
          </w:tcPr>
          <w:p w14:paraId="23A7F540">
            <w:pPr>
              <w:pStyle w:val="6"/>
              <w:spacing w:before="115" w:line="221" w:lineRule="auto"/>
              <w:ind w:left="290"/>
            </w:pPr>
            <w:r>
              <w:rPr>
                <w:spacing w:val="-1"/>
              </w:rPr>
              <w:t>2019/11/11</w:t>
            </w:r>
          </w:p>
        </w:tc>
        <w:tc>
          <w:tcPr>
            <w:tcW w:w="892" w:type="dxa"/>
            <w:tcBorders>
              <w:bottom w:val="single" w:color="000000" w:sz="12" w:space="0"/>
            </w:tcBorders>
            <w:vAlign w:val="top"/>
          </w:tcPr>
          <w:p w14:paraId="0B5F42B3">
            <w:pPr>
              <w:pStyle w:val="6"/>
              <w:spacing w:before="115" w:line="221" w:lineRule="auto"/>
              <w:ind w:left="304"/>
            </w:pPr>
            <w:r>
              <w:rPr>
                <w:spacing w:val="-6"/>
              </w:rPr>
              <w:t>128</w:t>
            </w:r>
          </w:p>
        </w:tc>
        <w:tc>
          <w:tcPr>
            <w:tcW w:w="892" w:type="dxa"/>
            <w:tcBorders>
              <w:bottom w:val="single" w:color="000000" w:sz="12" w:space="0"/>
            </w:tcBorders>
            <w:vAlign w:val="top"/>
          </w:tcPr>
          <w:p w14:paraId="47AFB4FF">
            <w:pPr>
              <w:pStyle w:val="6"/>
              <w:spacing w:before="115" w:line="221" w:lineRule="auto"/>
              <w:ind w:left="345"/>
            </w:pPr>
            <w:r>
              <w:rPr>
                <w:spacing w:val="-3"/>
              </w:rPr>
              <w:t>67</w:t>
            </w:r>
          </w:p>
        </w:tc>
        <w:tc>
          <w:tcPr>
            <w:tcW w:w="892" w:type="dxa"/>
            <w:tcBorders>
              <w:bottom w:val="single" w:color="000000" w:sz="12" w:space="0"/>
            </w:tcBorders>
            <w:vAlign w:val="top"/>
          </w:tcPr>
          <w:p w14:paraId="60A83EDD">
            <w:pPr>
              <w:pStyle w:val="6"/>
              <w:spacing w:before="115" w:line="221" w:lineRule="auto"/>
              <w:ind w:left="273"/>
            </w:pPr>
            <w:r>
              <w:rPr>
                <w:spacing w:val="-4"/>
              </w:rPr>
              <w:t>8.13</w:t>
            </w:r>
          </w:p>
        </w:tc>
        <w:tc>
          <w:tcPr>
            <w:tcW w:w="892" w:type="dxa"/>
            <w:tcBorders>
              <w:bottom w:val="single" w:color="000000" w:sz="12" w:space="0"/>
            </w:tcBorders>
            <w:vAlign w:val="top"/>
          </w:tcPr>
          <w:p w14:paraId="28BA397C">
            <w:pPr>
              <w:pStyle w:val="6"/>
              <w:spacing w:before="115" w:line="221" w:lineRule="auto"/>
              <w:ind w:left="271"/>
            </w:pPr>
            <w:r>
              <w:rPr>
                <w:spacing w:val="-2"/>
              </w:rPr>
              <w:t>7.08</w:t>
            </w:r>
          </w:p>
        </w:tc>
        <w:tc>
          <w:tcPr>
            <w:tcW w:w="891" w:type="dxa"/>
            <w:tcBorders>
              <w:bottom w:val="single" w:color="000000" w:sz="12" w:space="0"/>
            </w:tcBorders>
            <w:vAlign w:val="top"/>
          </w:tcPr>
          <w:p w14:paraId="2493F5AB">
            <w:pPr>
              <w:pStyle w:val="6"/>
              <w:spacing w:before="115" w:line="221" w:lineRule="auto"/>
              <w:ind w:left="274"/>
            </w:pPr>
            <w:r>
              <w:rPr>
                <w:spacing w:val="-2"/>
              </w:rPr>
              <w:t>0.27</w:t>
            </w:r>
          </w:p>
        </w:tc>
        <w:tc>
          <w:tcPr>
            <w:tcW w:w="906" w:type="dxa"/>
            <w:tcBorders>
              <w:bottom w:val="single" w:color="000000" w:sz="12" w:space="0"/>
              <w:right w:val="single" w:color="000000" w:sz="12" w:space="0"/>
            </w:tcBorders>
            <w:vAlign w:val="top"/>
          </w:tcPr>
          <w:p w14:paraId="6585FF92">
            <w:pPr>
              <w:pStyle w:val="6"/>
              <w:spacing w:before="115" w:line="221" w:lineRule="auto"/>
              <w:ind w:left="214"/>
            </w:pPr>
            <w:r>
              <w:rPr>
                <w:spacing w:val="-2"/>
              </w:rPr>
              <w:t>0.06L</w:t>
            </w:r>
          </w:p>
        </w:tc>
      </w:tr>
    </w:tbl>
    <w:p w14:paraId="65432606">
      <w:pPr>
        <w:rPr>
          <w:rFonts w:ascii="Arial"/>
          <w:sz w:val="21"/>
        </w:rPr>
      </w:pPr>
    </w:p>
    <w:p w14:paraId="4B41E94F">
      <w:pPr>
        <w:rPr>
          <w:rFonts w:ascii="Arial" w:hAnsi="Arial" w:eastAsia="Arial" w:cs="Arial"/>
          <w:sz w:val="21"/>
          <w:szCs w:val="21"/>
        </w:rPr>
        <w:sectPr>
          <w:headerReference r:id="rId120" w:type="default"/>
          <w:footerReference r:id="rId121" w:type="default"/>
          <w:pgSz w:w="11907" w:h="16839"/>
          <w:pgMar w:top="1376" w:right="1615" w:bottom="1061" w:left="1671" w:header="999" w:footer="861" w:gutter="0"/>
          <w:cols w:space="720" w:num="1"/>
        </w:sectPr>
      </w:pPr>
    </w:p>
    <w:p w14:paraId="36DFBCBE">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1"/>
        <w:gridCol w:w="423"/>
        <w:gridCol w:w="1554"/>
        <w:gridCol w:w="892"/>
        <w:gridCol w:w="892"/>
        <w:gridCol w:w="892"/>
        <w:gridCol w:w="892"/>
        <w:gridCol w:w="891"/>
        <w:gridCol w:w="906"/>
      </w:tblGrid>
      <w:tr w14:paraId="45D23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131" w:type="dxa"/>
            <w:vMerge w:val="restart"/>
            <w:tcBorders>
              <w:top w:val="single" w:color="000000" w:sz="12" w:space="0"/>
              <w:left w:val="single" w:color="000000" w:sz="12" w:space="0"/>
              <w:bottom w:val="nil"/>
            </w:tcBorders>
            <w:vAlign w:val="top"/>
          </w:tcPr>
          <w:p w14:paraId="356FDC13">
            <w:pPr>
              <w:spacing w:before="253" w:line="221" w:lineRule="auto"/>
              <w:ind w:left="133"/>
              <w:rPr>
                <w:rFonts w:ascii="宋体" w:hAnsi="宋体" w:eastAsia="宋体" w:cs="宋体"/>
                <w:sz w:val="21"/>
                <w:szCs w:val="21"/>
              </w:rPr>
            </w:pPr>
            <w:r>
              <w:rPr>
                <w:rFonts w:ascii="宋体" w:hAnsi="宋体" w:eastAsia="宋体" w:cs="宋体"/>
                <w:spacing w:val="-2"/>
                <w:sz w:val="21"/>
                <w:szCs w:val="21"/>
              </w:rPr>
              <w:t>监测点位</w:t>
            </w:r>
          </w:p>
        </w:tc>
        <w:tc>
          <w:tcPr>
            <w:tcW w:w="1977" w:type="dxa"/>
            <w:gridSpan w:val="2"/>
            <w:vMerge w:val="restart"/>
            <w:tcBorders>
              <w:top w:val="single" w:color="000000" w:sz="12" w:space="0"/>
              <w:bottom w:val="nil"/>
            </w:tcBorders>
            <w:vAlign w:val="top"/>
          </w:tcPr>
          <w:p w14:paraId="2584BB77">
            <w:pPr>
              <w:spacing w:before="253" w:line="221" w:lineRule="auto"/>
              <w:ind w:left="56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0986E18A">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7E3CC48A">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12CE4F51">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7ABD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131" w:type="dxa"/>
            <w:vMerge w:val="continue"/>
            <w:tcBorders>
              <w:top w:val="nil"/>
              <w:left w:val="single" w:color="000000" w:sz="12" w:space="0"/>
            </w:tcBorders>
            <w:vAlign w:val="top"/>
          </w:tcPr>
          <w:p w14:paraId="609F0448">
            <w:pPr>
              <w:rPr>
                <w:rFonts w:ascii="Arial"/>
                <w:sz w:val="21"/>
              </w:rPr>
            </w:pPr>
          </w:p>
        </w:tc>
        <w:tc>
          <w:tcPr>
            <w:tcW w:w="1977" w:type="dxa"/>
            <w:gridSpan w:val="2"/>
            <w:vMerge w:val="continue"/>
            <w:tcBorders>
              <w:top w:val="nil"/>
            </w:tcBorders>
            <w:vAlign w:val="top"/>
          </w:tcPr>
          <w:p w14:paraId="0C796B27">
            <w:pPr>
              <w:rPr>
                <w:rFonts w:ascii="Arial"/>
                <w:sz w:val="21"/>
              </w:rPr>
            </w:pPr>
          </w:p>
        </w:tc>
        <w:tc>
          <w:tcPr>
            <w:tcW w:w="892" w:type="dxa"/>
            <w:vAlign w:val="top"/>
          </w:tcPr>
          <w:p w14:paraId="4957C5E2">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4F10E850">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6B693391">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CB56D59">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712C6CAA">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462AD434">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074F1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restart"/>
            <w:tcBorders>
              <w:left w:val="single" w:color="000000" w:sz="12" w:space="0"/>
              <w:bottom w:val="nil"/>
            </w:tcBorders>
            <w:vAlign w:val="top"/>
          </w:tcPr>
          <w:p w14:paraId="6D3D836A">
            <w:pPr>
              <w:spacing w:line="259" w:lineRule="auto"/>
              <w:rPr>
                <w:rFonts w:ascii="Arial"/>
                <w:sz w:val="21"/>
              </w:rPr>
            </w:pPr>
          </w:p>
          <w:p w14:paraId="2DD6D15F">
            <w:pPr>
              <w:spacing w:line="259" w:lineRule="auto"/>
              <w:rPr>
                <w:rFonts w:ascii="Arial"/>
                <w:sz w:val="21"/>
              </w:rPr>
            </w:pPr>
          </w:p>
          <w:p w14:paraId="455FD287">
            <w:pPr>
              <w:spacing w:line="259" w:lineRule="auto"/>
              <w:rPr>
                <w:rFonts w:ascii="Arial"/>
                <w:sz w:val="21"/>
              </w:rPr>
            </w:pPr>
          </w:p>
          <w:p w14:paraId="37BEC4C5">
            <w:pPr>
              <w:spacing w:line="259" w:lineRule="auto"/>
              <w:rPr>
                <w:rFonts w:ascii="Arial"/>
                <w:sz w:val="21"/>
              </w:rPr>
            </w:pPr>
          </w:p>
          <w:p w14:paraId="2E7E954F">
            <w:pPr>
              <w:spacing w:line="260" w:lineRule="auto"/>
              <w:rPr>
                <w:rFonts w:ascii="Arial"/>
                <w:sz w:val="21"/>
              </w:rPr>
            </w:pPr>
          </w:p>
          <w:p w14:paraId="02758037">
            <w:pPr>
              <w:spacing w:line="260" w:lineRule="auto"/>
              <w:rPr>
                <w:rFonts w:ascii="Arial"/>
                <w:sz w:val="21"/>
              </w:rPr>
            </w:pPr>
          </w:p>
          <w:p w14:paraId="64337157">
            <w:pPr>
              <w:pStyle w:val="6"/>
              <w:spacing w:before="68" w:line="235" w:lineRule="auto"/>
              <w:ind w:left="134"/>
              <w:rPr>
                <w:rFonts w:ascii="宋体" w:hAnsi="宋体" w:eastAsia="宋体" w:cs="宋体"/>
              </w:rPr>
            </w:pPr>
            <w:r>
              <w:rPr>
                <w:spacing w:val="-2"/>
              </w:rPr>
              <w:t>5#</w:t>
            </w:r>
            <w:r>
              <w:rPr>
                <w:rFonts w:ascii="宋体" w:hAnsi="宋体" w:eastAsia="宋体" w:cs="宋体"/>
                <w:spacing w:val="-2"/>
              </w:rPr>
              <w:t>隧洞排</w:t>
            </w:r>
          </w:p>
          <w:p w14:paraId="6FFAB5AE">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746C1071">
            <w:pPr>
              <w:spacing w:before="21"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039E3D06">
            <w:pPr>
              <w:pStyle w:val="6"/>
              <w:spacing w:before="153" w:line="222" w:lineRule="auto"/>
              <w:ind w:left="168"/>
            </w:pPr>
            <w:r>
              <w:t>1</w:t>
            </w:r>
          </w:p>
          <w:p w14:paraId="6EF3D16D">
            <w:pPr>
              <w:spacing w:line="219" w:lineRule="auto"/>
              <w:ind w:left="100"/>
              <w:rPr>
                <w:rFonts w:ascii="宋体" w:hAnsi="宋体" w:eastAsia="宋体" w:cs="宋体"/>
                <w:sz w:val="21"/>
                <w:szCs w:val="21"/>
              </w:rPr>
            </w:pPr>
            <w:r>
              <w:rPr>
                <w:rFonts w:ascii="宋体" w:hAnsi="宋体" w:eastAsia="宋体" w:cs="宋体"/>
                <w:sz w:val="21"/>
                <w:szCs w:val="21"/>
              </w:rPr>
              <w:t>季</w:t>
            </w:r>
          </w:p>
          <w:p w14:paraId="63B87EFC">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6DCD29DD">
            <w:pPr>
              <w:pStyle w:val="6"/>
              <w:spacing w:before="89" w:line="226" w:lineRule="auto"/>
              <w:ind w:left="343"/>
            </w:pPr>
            <w:r>
              <w:rPr>
                <w:spacing w:val="-1"/>
              </w:rPr>
              <w:t>2019/1/15</w:t>
            </w:r>
          </w:p>
        </w:tc>
        <w:tc>
          <w:tcPr>
            <w:tcW w:w="892" w:type="dxa"/>
            <w:vAlign w:val="top"/>
          </w:tcPr>
          <w:p w14:paraId="30D2F877">
            <w:pPr>
              <w:pStyle w:val="6"/>
              <w:spacing w:before="89" w:line="226" w:lineRule="auto"/>
              <w:ind w:left="289"/>
            </w:pPr>
            <w:r>
              <w:rPr>
                <w:spacing w:val="-3"/>
              </w:rPr>
              <w:t>625</w:t>
            </w:r>
          </w:p>
        </w:tc>
        <w:tc>
          <w:tcPr>
            <w:tcW w:w="892" w:type="dxa"/>
            <w:vAlign w:val="top"/>
          </w:tcPr>
          <w:p w14:paraId="3DA94270">
            <w:pPr>
              <w:pStyle w:val="6"/>
              <w:spacing w:before="93" w:line="222" w:lineRule="auto"/>
              <w:ind w:left="343"/>
            </w:pPr>
            <w:r>
              <w:rPr>
                <w:b/>
                <w:bCs/>
                <w:spacing w:val="-2"/>
              </w:rPr>
              <w:t>84</w:t>
            </w:r>
          </w:p>
        </w:tc>
        <w:tc>
          <w:tcPr>
            <w:tcW w:w="892" w:type="dxa"/>
            <w:vAlign w:val="top"/>
          </w:tcPr>
          <w:p w14:paraId="41FCD2B2">
            <w:pPr>
              <w:pStyle w:val="6"/>
              <w:spacing w:before="89" w:line="226" w:lineRule="auto"/>
              <w:ind w:left="269"/>
            </w:pPr>
            <w:r>
              <w:rPr>
                <w:spacing w:val="-3"/>
              </w:rPr>
              <w:t>6.30</w:t>
            </w:r>
          </w:p>
        </w:tc>
        <w:tc>
          <w:tcPr>
            <w:tcW w:w="892" w:type="dxa"/>
            <w:vAlign w:val="top"/>
          </w:tcPr>
          <w:p w14:paraId="5BCE0667">
            <w:pPr>
              <w:pStyle w:val="6"/>
              <w:spacing w:before="89" w:line="226" w:lineRule="auto"/>
              <w:ind w:left="272"/>
            </w:pPr>
            <w:r>
              <w:rPr>
                <w:spacing w:val="-3"/>
              </w:rPr>
              <w:t>6.22</w:t>
            </w:r>
          </w:p>
        </w:tc>
        <w:tc>
          <w:tcPr>
            <w:tcW w:w="891" w:type="dxa"/>
            <w:vAlign w:val="top"/>
          </w:tcPr>
          <w:p w14:paraId="594EC4D7">
            <w:pPr>
              <w:pStyle w:val="6"/>
              <w:spacing w:before="89" w:line="226" w:lineRule="auto"/>
              <w:ind w:left="274"/>
            </w:pPr>
            <w:r>
              <w:rPr>
                <w:spacing w:val="-2"/>
              </w:rPr>
              <w:t>0.48</w:t>
            </w:r>
          </w:p>
        </w:tc>
        <w:tc>
          <w:tcPr>
            <w:tcW w:w="906" w:type="dxa"/>
            <w:tcBorders>
              <w:right w:val="single" w:color="000000" w:sz="12" w:space="0"/>
            </w:tcBorders>
            <w:vAlign w:val="top"/>
          </w:tcPr>
          <w:p w14:paraId="4A7416B1">
            <w:pPr>
              <w:pStyle w:val="6"/>
              <w:spacing w:before="89" w:line="226" w:lineRule="auto"/>
              <w:ind w:left="277"/>
            </w:pPr>
            <w:r>
              <w:rPr>
                <w:spacing w:val="-2"/>
              </w:rPr>
              <w:t>0.48</w:t>
            </w:r>
          </w:p>
        </w:tc>
      </w:tr>
      <w:tr w14:paraId="25374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441DD1B">
            <w:pPr>
              <w:rPr>
                <w:rFonts w:ascii="Arial"/>
                <w:sz w:val="21"/>
              </w:rPr>
            </w:pPr>
          </w:p>
        </w:tc>
        <w:tc>
          <w:tcPr>
            <w:tcW w:w="423" w:type="dxa"/>
            <w:vMerge w:val="continue"/>
            <w:tcBorders>
              <w:top w:val="nil"/>
              <w:bottom w:val="nil"/>
            </w:tcBorders>
            <w:vAlign w:val="top"/>
          </w:tcPr>
          <w:p w14:paraId="688582F7">
            <w:pPr>
              <w:rPr>
                <w:rFonts w:ascii="Arial"/>
                <w:sz w:val="21"/>
              </w:rPr>
            </w:pPr>
          </w:p>
        </w:tc>
        <w:tc>
          <w:tcPr>
            <w:tcW w:w="1554" w:type="dxa"/>
            <w:vAlign w:val="top"/>
          </w:tcPr>
          <w:p w14:paraId="742DDE87">
            <w:pPr>
              <w:pStyle w:val="6"/>
              <w:spacing w:before="89" w:line="224" w:lineRule="auto"/>
              <w:ind w:left="343"/>
            </w:pPr>
            <w:r>
              <w:rPr>
                <w:spacing w:val="-1"/>
              </w:rPr>
              <w:t>2019/1/16</w:t>
            </w:r>
          </w:p>
        </w:tc>
        <w:tc>
          <w:tcPr>
            <w:tcW w:w="892" w:type="dxa"/>
            <w:vAlign w:val="top"/>
          </w:tcPr>
          <w:p w14:paraId="48184C38">
            <w:pPr>
              <w:pStyle w:val="6"/>
              <w:spacing w:before="89" w:line="224" w:lineRule="auto"/>
              <w:ind w:left="289"/>
            </w:pPr>
            <w:r>
              <w:rPr>
                <w:spacing w:val="-3"/>
              </w:rPr>
              <w:t>617</w:t>
            </w:r>
          </w:p>
        </w:tc>
        <w:tc>
          <w:tcPr>
            <w:tcW w:w="892" w:type="dxa"/>
            <w:vAlign w:val="top"/>
          </w:tcPr>
          <w:p w14:paraId="38F63FBF">
            <w:pPr>
              <w:pStyle w:val="6"/>
              <w:spacing w:before="93" w:line="220" w:lineRule="auto"/>
              <w:ind w:left="343"/>
            </w:pPr>
            <w:r>
              <w:rPr>
                <w:b/>
                <w:bCs/>
                <w:spacing w:val="-2"/>
              </w:rPr>
              <w:t>89</w:t>
            </w:r>
          </w:p>
        </w:tc>
        <w:tc>
          <w:tcPr>
            <w:tcW w:w="892" w:type="dxa"/>
            <w:vAlign w:val="top"/>
          </w:tcPr>
          <w:p w14:paraId="33AB0A76">
            <w:pPr>
              <w:pStyle w:val="6"/>
              <w:spacing w:before="89" w:line="224" w:lineRule="auto"/>
              <w:ind w:left="269"/>
            </w:pPr>
            <w:r>
              <w:rPr>
                <w:spacing w:val="-3"/>
              </w:rPr>
              <w:t>6.23</w:t>
            </w:r>
          </w:p>
        </w:tc>
        <w:tc>
          <w:tcPr>
            <w:tcW w:w="892" w:type="dxa"/>
            <w:vAlign w:val="top"/>
          </w:tcPr>
          <w:p w14:paraId="1A222604">
            <w:pPr>
              <w:pStyle w:val="6"/>
              <w:spacing w:before="89" w:line="224" w:lineRule="auto"/>
              <w:ind w:left="272"/>
            </w:pPr>
            <w:r>
              <w:rPr>
                <w:spacing w:val="-3"/>
              </w:rPr>
              <w:t>6.23</w:t>
            </w:r>
          </w:p>
        </w:tc>
        <w:tc>
          <w:tcPr>
            <w:tcW w:w="891" w:type="dxa"/>
            <w:vAlign w:val="top"/>
          </w:tcPr>
          <w:p w14:paraId="75D96E38">
            <w:pPr>
              <w:pStyle w:val="6"/>
              <w:spacing w:before="89" w:line="224" w:lineRule="auto"/>
              <w:ind w:left="274"/>
            </w:pPr>
            <w:r>
              <w:rPr>
                <w:spacing w:val="-2"/>
              </w:rPr>
              <w:t>0.52</w:t>
            </w:r>
          </w:p>
        </w:tc>
        <w:tc>
          <w:tcPr>
            <w:tcW w:w="906" w:type="dxa"/>
            <w:tcBorders>
              <w:right w:val="single" w:color="000000" w:sz="12" w:space="0"/>
            </w:tcBorders>
            <w:vAlign w:val="top"/>
          </w:tcPr>
          <w:p w14:paraId="4C497D0B">
            <w:pPr>
              <w:pStyle w:val="6"/>
              <w:spacing w:before="89" w:line="224" w:lineRule="auto"/>
              <w:ind w:left="277"/>
            </w:pPr>
            <w:r>
              <w:rPr>
                <w:spacing w:val="-2"/>
              </w:rPr>
              <w:t>0.52</w:t>
            </w:r>
          </w:p>
        </w:tc>
      </w:tr>
      <w:tr w14:paraId="61854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E3FD120">
            <w:pPr>
              <w:rPr>
                <w:rFonts w:ascii="Arial"/>
                <w:sz w:val="21"/>
              </w:rPr>
            </w:pPr>
          </w:p>
        </w:tc>
        <w:tc>
          <w:tcPr>
            <w:tcW w:w="423" w:type="dxa"/>
            <w:vMerge w:val="continue"/>
            <w:tcBorders>
              <w:top w:val="nil"/>
            </w:tcBorders>
            <w:vAlign w:val="top"/>
          </w:tcPr>
          <w:p w14:paraId="3C15CBF8">
            <w:pPr>
              <w:rPr>
                <w:rFonts w:ascii="Arial"/>
                <w:sz w:val="21"/>
              </w:rPr>
            </w:pPr>
          </w:p>
        </w:tc>
        <w:tc>
          <w:tcPr>
            <w:tcW w:w="1554" w:type="dxa"/>
            <w:vAlign w:val="top"/>
          </w:tcPr>
          <w:p w14:paraId="1ECE4009">
            <w:pPr>
              <w:pStyle w:val="6"/>
              <w:spacing w:before="90" w:line="224" w:lineRule="auto"/>
              <w:ind w:left="343"/>
            </w:pPr>
            <w:r>
              <w:rPr>
                <w:spacing w:val="-1"/>
              </w:rPr>
              <w:t>2019/1/17</w:t>
            </w:r>
          </w:p>
        </w:tc>
        <w:tc>
          <w:tcPr>
            <w:tcW w:w="892" w:type="dxa"/>
            <w:vAlign w:val="top"/>
          </w:tcPr>
          <w:p w14:paraId="68787E51">
            <w:pPr>
              <w:pStyle w:val="6"/>
              <w:spacing w:before="90" w:line="224" w:lineRule="auto"/>
              <w:ind w:left="289"/>
            </w:pPr>
            <w:r>
              <w:rPr>
                <w:spacing w:val="-3"/>
              </w:rPr>
              <w:t>612</w:t>
            </w:r>
          </w:p>
        </w:tc>
        <w:tc>
          <w:tcPr>
            <w:tcW w:w="892" w:type="dxa"/>
            <w:vAlign w:val="top"/>
          </w:tcPr>
          <w:p w14:paraId="3F55B1EB">
            <w:pPr>
              <w:pStyle w:val="6"/>
              <w:spacing w:before="94" w:line="220" w:lineRule="auto"/>
              <w:ind w:left="343"/>
            </w:pPr>
            <w:r>
              <w:rPr>
                <w:b/>
                <w:bCs/>
                <w:spacing w:val="-2"/>
              </w:rPr>
              <w:t>87</w:t>
            </w:r>
          </w:p>
        </w:tc>
        <w:tc>
          <w:tcPr>
            <w:tcW w:w="892" w:type="dxa"/>
            <w:vAlign w:val="top"/>
          </w:tcPr>
          <w:p w14:paraId="79CDB28E">
            <w:pPr>
              <w:pStyle w:val="6"/>
              <w:spacing w:before="90" w:line="224" w:lineRule="auto"/>
              <w:ind w:left="269"/>
            </w:pPr>
            <w:r>
              <w:rPr>
                <w:spacing w:val="-3"/>
              </w:rPr>
              <w:t>6.34</w:t>
            </w:r>
          </w:p>
        </w:tc>
        <w:tc>
          <w:tcPr>
            <w:tcW w:w="892" w:type="dxa"/>
            <w:vAlign w:val="top"/>
          </w:tcPr>
          <w:p w14:paraId="5F611FC8">
            <w:pPr>
              <w:pStyle w:val="6"/>
              <w:spacing w:before="90" w:line="224" w:lineRule="auto"/>
              <w:ind w:left="272"/>
            </w:pPr>
            <w:r>
              <w:rPr>
                <w:spacing w:val="-3"/>
              </w:rPr>
              <w:t>6.34</w:t>
            </w:r>
          </w:p>
        </w:tc>
        <w:tc>
          <w:tcPr>
            <w:tcW w:w="891" w:type="dxa"/>
            <w:vAlign w:val="top"/>
          </w:tcPr>
          <w:p w14:paraId="59A8ED87">
            <w:pPr>
              <w:pStyle w:val="6"/>
              <w:spacing w:before="90" w:line="224" w:lineRule="auto"/>
              <w:ind w:left="274"/>
            </w:pPr>
            <w:r>
              <w:rPr>
                <w:spacing w:val="-2"/>
              </w:rPr>
              <w:t>0.46</w:t>
            </w:r>
          </w:p>
        </w:tc>
        <w:tc>
          <w:tcPr>
            <w:tcW w:w="906" w:type="dxa"/>
            <w:tcBorders>
              <w:right w:val="single" w:color="000000" w:sz="12" w:space="0"/>
            </w:tcBorders>
            <w:vAlign w:val="top"/>
          </w:tcPr>
          <w:p w14:paraId="39AE4877">
            <w:pPr>
              <w:pStyle w:val="6"/>
              <w:spacing w:before="90" w:line="224" w:lineRule="auto"/>
              <w:ind w:left="277"/>
            </w:pPr>
            <w:r>
              <w:rPr>
                <w:spacing w:val="-2"/>
              </w:rPr>
              <w:t>0.46</w:t>
            </w:r>
          </w:p>
        </w:tc>
      </w:tr>
      <w:tr w14:paraId="79520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A2DE42C">
            <w:pPr>
              <w:rPr>
                <w:rFonts w:ascii="Arial"/>
                <w:sz w:val="21"/>
              </w:rPr>
            </w:pPr>
          </w:p>
        </w:tc>
        <w:tc>
          <w:tcPr>
            <w:tcW w:w="423" w:type="dxa"/>
            <w:vMerge w:val="restart"/>
            <w:tcBorders>
              <w:bottom w:val="nil"/>
            </w:tcBorders>
            <w:vAlign w:val="top"/>
          </w:tcPr>
          <w:p w14:paraId="0FD8682F">
            <w:pPr>
              <w:pStyle w:val="6"/>
              <w:spacing w:before="155" w:line="222" w:lineRule="auto"/>
              <w:ind w:left="148"/>
            </w:pPr>
            <w:r>
              <w:t>2</w:t>
            </w:r>
          </w:p>
          <w:p w14:paraId="62AD93AE">
            <w:pPr>
              <w:spacing w:line="219" w:lineRule="auto"/>
              <w:ind w:left="100"/>
              <w:rPr>
                <w:rFonts w:ascii="宋体" w:hAnsi="宋体" w:eastAsia="宋体" w:cs="宋体"/>
                <w:sz w:val="21"/>
                <w:szCs w:val="21"/>
              </w:rPr>
            </w:pPr>
            <w:r>
              <w:rPr>
                <w:rFonts w:ascii="宋体" w:hAnsi="宋体" w:eastAsia="宋体" w:cs="宋体"/>
                <w:sz w:val="21"/>
                <w:szCs w:val="21"/>
              </w:rPr>
              <w:t>季</w:t>
            </w:r>
          </w:p>
          <w:p w14:paraId="2873CA0A">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79672C52">
            <w:pPr>
              <w:pStyle w:val="6"/>
              <w:spacing w:before="90" w:line="223" w:lineRule="auto"/>
              <w:ind w:left="343"/>
            </w:pPr>
            <w:r>
              <w:rPr>
                <w:spacing w:val="-1"/>
              </w:rPr>
              <w:t>2019/5/10</w:t>
            </w:r>
          </w:p>
        </w:tc>
        <w:tc>
          <w:tcPr>
            <w:tcW w:w="892" w:type="dxa"/>
            <w:vAlign w:val="top"/>
          </w:tcPr>
          <w:p w14:paraId="125C429F">
            <w:pPr>
              <w:pStyle w:val="6"/>
              <w:spacing w:before="90" w:line="223" w:lineRule="auto"/>
              <w:ind w:left="342"/>
            </w:pPr>
            <w:r>
              <w:rPr>
                <w:spacing w:val="-3"/>
              </w:rPr>
              <w:t>65</w:t>
            </w:r>
          </w:p>
        </w:tc>
        <w:tc>
          <w:tcPr>
            <w:tcW w:w="892" w:type="dxa"/>
            <w:vAlign w:val="top"/>
          </w:tcPr>
          <w:p w14:paraId="78656478">
            <w:pPr>
              <w:pStyle w:val="6"/>
              <w:spacing w:before="90" w:line="223" w:lineRule="auto"/>
              <w:ind w:left="339"/>
            </w:pPr>
            <w:r>
              <w:rPr>
                <w:spacing w:val="-1"/>
              </w:rPr>
              <w:t>41</w:t>
            </w:r>
          </w:p>
        </w:tc>
        <w:tc>
          <w:tcPr>
            <w:tcW w:w="892" w:type="dxa"/>
            <w:vAlign w:val="top"/>
          </w:tcPr>
          <w:p w14:paraId="44EBF55C">
            <w:pPr>
              <w:pStyle w:val="6"/>
              <w:spacing w:before="90" w:line="223" w:lineRule="auto"/>
              <w:ind w:left="268"/>
            </w:pPr>
            <w:r>
              <w:rPr>
                <w:spacing w:val="-2"/>
              </w:rPr>
              <w:t>7.05</w:t>
            </w:r>
          </w:p>
        </w:tc>
        <w:tc>
          <w:tcPr>
            <w:tcW w:w="892" w:type="dxa"/>
            <w:vAlign w:val="top"/>
          </w:tcPr>
          <w:p w14:paraId="256826C2">
            <w:pPr>
              <w:pStyle w:val="6"/>
              <w:spacing w:before="90" w:line="223" w:lineRule="auto"/>
              <w:ind w:left="271"/>
            </w:pPr>
            <w:r>
              <w:rPr>
                <w:spacing w:val="-2"/>
              </w:rPr>
              <w:t>7.16</w:t>
            </w:r>
          </w:p>
        </w:tc>
        <w:tc>
          <w:tcPr>
            <w:tcW w:w="891" w:type="dxa"/>
            <w:vAlign w:val="top"/>
          </w:tcPr>
          <w:p w14:paraId="41144CDF">
            <w:pPr>
              <w:pStyle w:val="6"/>
              <w:spacing w:before="90" w:line="223" w:lineRule="auto"/>
              <w:ind w:left="271"/>
            </w:pPr>
            <w:r>
              <w:rPr>
                <w:spacing w:val="-1"/>
              </w:rPr>
              <w:t>2.27</w:t>
            </w:r>
          </w:p>
        </w:tc>
        <w:tc>
          <w:tcPr>
            <w:tcW w:w="906" w:type="dxa"/>
            <w:tcBorders>
              <w:right w:val="single" w:color="000000" w:sz="12" w:space="0"/>
            </w:tcBorders>
            <w:vAlign w:val="top"/>
          </w:tcPr>
          <w:p w14:paraId="38BFE7F6">
            <w:pPr>
              <w:pStyle w:val="6"/>
              <w:spacing w:before="90" w:line="223" w:lineRule="auto"/>
              <w:ind w:left="277"/>
            </w:pPr>
            <w:r>
              <w:rPr>
                <w:spacing w:val="-2"/>
              </w:rPr>
              <w:t>0.23</w:t>
            </w:r>
          </w:p>
        </w:tc>
      </w:tr>
      <w:tr w14:paraId="25617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97304B3">
            <w:pPr>
              <w:rPr>
                <w:rFonts w:ascii="Arial"/>
                <w:sz w:val="21"/>
              </w:rPr>
            </w:pPr>
          </w:p>
        </w:tc>
        <w:tc>
          <w:tcPr>
            <w:tcW w:w="423" w:type="dxa"/>
            <w:vMerge w:val="continue"/>
            <w:tcBorders>
              <w:top w:val="nil"/>
              <w:bottom w:val="nil"/>
            </w:tcBorders>
            <w:vAlign w:val="top"/>
          </w:tcPr>
          <w:p w14:paraId="6D0B5D31">
            <w:pPr>
              <w:rPr>
                <w:rFonts w:ascii="Arial"/>
                <w:sz w:val="21"/>
              </w:rPr>
            </w:pPr>
          </w:p>
        </w:tc>
        <w:tc>
          <w:tcPr>
            <w:tcW w:w="1554" w:type="dxa"/>
            <w:vAlign w:val="top"/>
          </w:tcPr>
          <w:p w14:paraId="394A762B">
            <w:pPr>
              <w:pStyle w:val="6"/>
              <w:spacing w:before="92" w:line="221" w:lineRule="auto"/>
              <w:ind w:left="343"/>
            </w:pPr>
            <w:r>
              <w:rPr>
                <w:spacing w:val="-1"/>
              </w:rPr>
              <w:t>2019/5/11</w:t>
            </w:r>
          </w:p>
        </w:tc>
        <w:tc>
          <w:tcPr>
            <w:tcW w:w="892" w:type="dxa"/>
            <w:vAlign w:val="top"/>
          </w:tcPr>
          <w:p w14:paraId="667E62AD">
            <w:pPr>
              <w:pStyle w:val="6"/>
              <w:spacing w:before="92" w:line="221" w:lineRule="auto"/>
              <w:ind w:left="340"/>
            </w:pPr>
            <w:r>
              <w:rPr>
                <w:spacing w:val="-2"/>
              </w:rPr>
              <w:t>71</w:t>
            </w:r>
          </w:p>
        </w:tc>
        <w:tc>
          <w:tcPr>
            <w:tcW w:w="892" w:type="dxa"/>
            <w:vAlign w:val="top"/>
          </w:tcPr>
          <w:p w14:paraId="69AFA9B5">
            <w:pPr>
              <w:pStyle w:val="6"/>
              <w:spacing w:before="92" w:line="221" w:lineRule="auto"/>
              <w:ind w:left="345"/>
            </w:pPr>
            <w:r>
              <w:rPr>
                <w:spacing w:val="-3"/>
              </w:rPr>
              <w:t>38</w:t>
            </w:r>
          </w:p>
        </w:tc>
        <w:tc>
          <w:tcPr>
            <w:tcW w:w="892" w:type="dxa"/>
            <w:vAlign w:val="top"/>
          </w:tcPr>
          <w:p w14:paraId="7C47097A">
            <w:pPr>
              <w:pStyle w:val="6"/>
              <w:spacing w:before="92" w:line="221" w:lineRule="auto"/>
              <w:ind w:left="269"/>
            </w:pPr>
            <w:r>
              <w:rPr>
                <w:spacing w:val="-3"/>
              </w:rPr>
              <w:t>6.97</w:t>
            </w:r>
          </w:p>
        </w:tc>
        <w:tc>
          <w:tcPr>
            <w:tcW w:w="892" w:type="dxa"/>
            <w:vAlign w:val="top"/>
          </w:tcPr>
          <w:p w14:paraId="39A7B21C">
            <w:pPr>
              <w:pStyle w:val="6"/>
              <w:spacing w:before="92" w:line="221" w:lineRule="auto"/>
              <w:ind w:left="271"/>
            </w:pPr>
            <w:r>
              <w:rPr>
                <w:spacing w:val="-2"/>
              </w:rPr>
              <w:t>7.12</w:t>
            </w:r>
          </w:p>
        </w:tc>
        <w:tc>
          <w:tcPr>
            <w:tcW w:w="891" w:type="dxa"/>
            <w:vAlign w:val="top"/>
          </w:tcPr>
          <w:p w14:paraId="1CC095CC">
            <w:pPr>
              <w:pStyle w:val="6"/>
              <w:spacing w:before="92" w:line="221" w:lineRule="auto"/>
              <w:ind w:left="271"/>
            </w:pPr>
            <w:r>
              <w:rPr>
                <w:spacing w:val="-1"/>
              </w:rPr>
              <w:t>2.34</w:t>
            </w:r>
          </w:p>
        </w:tc>
        <w:tc>
          <w:tcPr>
            <w:tcW w:w="906" w:type="dxa"/>
            <w:tcBorders>
              <w:right w:val="single" w:color="000000" w:sz="12" w:space="0"/>
            </w:tcBorders>
            <w:vAlign w:val="top"/>
          </w:tcPr>
          <w:p w14:paraId="2DFDF6A1">
            <w:pPr>
              <w:pStyle w:val="6"/>
              <w:spacing w:before="92" w:line="221" w:lineRule="auto"/>
              <w:ind w:left="277"/>
            </w:pPr>
            <w:r>
              <w:rPr>
                <w:spacing w:val="-2"/>
              </w:rPr>
              <w:t>0.25</w:t>
            </w:r>
          </w:p>
        </w:tc>
      </w:tr>
      <w:tr w14:paraId="28355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538E0FF7">
            <w:pPr>
              <w:rPr>
                <w:rFonts w:ascii="Arial"/>
                <w:sz w:val="21"/>
              </w:rPr>
            </w:pPr>
          </w:p>
        </w:tc>
        <w:tc>
          <w:tcPr>
            <w:tcW w:w="423" w:type="dxa"/>
            <w:vMerge w:val="continue"/>
            <w:tcBorders>
              <w:top w:val="nil"/>
            </w:tcBorders>
            <w:vAlign w:val="top"/>
          </w:tcPr>
          <w:p w14:paraId="1900A207">
            <w:pPr>
              <w:rPr>
                <w:rFonts w:ascii="Arial"/>
                <w:sz w:val="21"/>
              </w:rPr>
            </w:pPr>
          </w:p>
        </w:tc>
        <w:tc>
          <w:tcPr>
            <w:tcW w:w="1554" w:type="dxa"/>
            <w:vAlign w:val="top"/>
          </w:tcPr>
          <w:p w14:paraId="41EC906B">
            <w:pPr>
              <w:pStyle w:val="6"/>
              <w:spacing w:before="93" w:line="221" w:lineRule="auto"/>
              <w:ind w:left="343"/>
            </w:pPr>
            <w:r>
              <w:rPr>
                <w:spacing w:val="-1"/>
              </w:rPr>
              <w:t>2019/5/12</w:t>
            </w:r>
          </w:p>
        </w:tc>
        <w:tc>
          <w:tcPr>
            <w:tcW w:w="892" w:type="dxa"/>
            <w:vAlign w:val="top"/>
          </w:tcPr>
          <w:p w14:paraId="5A496B88">
            <w:pPr>
              <w:pStyle w:val="6"/>
              <w:spacing w:before="93" w:line="221" w:lineRule="auto"/>
              <w:ind w:left="342"/>
            </w:pPr>
            <w:r>
              <w:rPr>
                <w:spacing w:val="-3"/>
              </w:rPr>
              <w:t>67</w:t>
            </w:r>
          </w:p>
        </w:tc>
        <w:tc>
          <w:tcPr>
            <w:tcW w:w="892" w:type="dxa"/>
            <w:vAlign w:val="top"/>
          </w:tcPr>
          <w:p w14:paraId="4163C2D8">
            <w:pPr>
              <w:pStyle w:val="6"/>
              <w:spacing w:before="93" w:line="221" w:lineRule="auto"/>
              <w:ind w:left="339"/>
            </w:pPr>
            <w:r>
              <w:rPr>
                <w:spacing w:val="-1"/>
              </w:rPr>
              <w:t>43</w:t>
            </w:r>
          </w:p>
        </w:tc>
        <w:tc>
          <w:tcPr>
            <w:tcW w:w="892" w:type="dxa"/>
            <w:vAlign w:val="top"/>
          </w:tcPr>
          <w:p w14:paraId="586C365D">
            <w:pPr>
              <w:pStyle w:val="6"/>
              <w:spacing w:before="93" w:line="221" w:lineRule="auto"/>
              <w:ind w:left="268"/>
            </w:pPr>
            <w:r>
              <w:rPr>
                <w:spacing w:val="-2"/>
              </w:rPr>
              <w:t>7.01</w:t>
            </w:r>
          </w:p>
        </w:tc>
        <w:tc>
          <w:tcPr>
            <w:tcW w:w="892" w:type="dxa"/>
            <w:vAlign w:val="top"/>
          </w:tcPr>
          <w:p w14:paraId="7E7829F2">
            <w:pPr>
              <w:pStyle w:val="6"/>
              <w:spacing w:before="93" w:line="221" w:lineRule="auto"/>
              <w:ind w:left="271"/>
            </w:pPr>
            <w:r>
              <w:rPr>
                <w:spacing w:val="-2"/>
              </w:rPr>
              <w:t>7.15</w:t>
            </w:r>
          </w:p>
        </w:tc>
        <w:tc>
          <w:tcPr>
            <w:tcW w:w="891" w:type="dxa"/>
            <w:vAlign w:val="top"/>
          </w:tcPr>
          <w:p w14:paraId="45D688B8">
            <w:pPr>
              <w:pStyle w:val="6"/>
              <w:spacing w:before="93" w:line="221" w:lineRule="auto"/>
              <w:ind w:left="271"/>
            </w:pPr>
            <w:r>
              <w:rPr>
                <w:spacing w:val="-1"/>
              </w:rPr>
              <w:t>2.29</w:t>
            </w:r>
          </w:p>
        </w:tc>
        <w:tc>
          <w:tcPr>
            <w:tcW w:w="906" w:type="dxa"/>
            <w:tcBorders>
              <w:right w:val="single" w:color="000000" w:sz="12" w:space="0"/>
            </w:tcBorders>
            <w:vAlign w:val="top"/>
          </w:tcPr>
          <w:p w14:paraId="1C5AEDEA">
            <w:pPr>
              <w:pStyle w:val="6"/>
              <w:spacing w:before="93" w:line="221" w:lineRule="auto"/>
              <w:ind w:left="277"/>
            </w:pPr>
            <w:r>
              <w:rPr>
                <w:spacing w:val="-2"/>
              </w:rPr>
              <w:t>0.24</w:t>
            </w:r>
          </w:p>
        </w:tc>
      </w:tr>
      <w:tr w14:paraId="2B2CE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115434E">
            <w:pPr>
              <w:rPr>
                <w:rFonts w:ascii="Arial"/>
                <w:sz w:val="21"/>
              </w:rPr>
            </w:pPr>
          </w:p>
        </w:tc>
        <w:tc>
          <w:tcPr>
            <w:tcW w:w="423" w:type="dxa"/>
            <w:vMerge w:val="restart"/>
            <w:tcBorders>
              <w:bottom w:val="nil"/>
            </w:tcBorders>
            <w:vAlign w:val="top"/>
          </w:tcPr>
          <w:p w14:paraId="511DD28B">
            <w:pPr>
              <w:pStyle w:val="6"/>
              <w:spacing w:before="158" w:line="222" w:lineRule="auto"/>
              <w:ind w:left="152"/>
            </w:pPr>
            <w:r>
              <w:t>3</w:t>
            </w:r>
          </w:p>
          <w:p w14:paraId="062759F6">
            <w:pPr>
              <w:spacing w:line="219" w:lineRule="auto"/>
              <w:ind w:left="100"/>
              <w:rPr>
                <w:rFonts w:ascii="宋体" w:hAnsi="宋体" w:eastAsia="宋体" w:cs="宋体"/>
                <w:sz w:val="21"/>
                <w:szCs w:val="21"/>
              </w:rPr>
            </w:pPr>
            <w:r>
              <w:rPr>
                <w:rFonts w:ascii="宋体" w:hAnsi="宋体" w:eastAsia="宋体" w:cs="宋体"/>
                <w:sz w:val="21"/>
                <w:szCs w:val="21"/>
              </w:rPr>
              <w:t>季</w:t>
            </w:r>
          </w:p>
          <w:p w14:paraId="77615C59">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118F8481">
            <w:pPr>
              <w:pStyle w:val="6"/>
              <w:spacing w:before="94" w:line="219" w:lineRule="auto"/>
              <w:ind w:left="343"/>
            </w:pPr>
            <w:r>
              <w:rPr>
                <w:spacing w:val="-1"/>
              </w:rPr>
              <w:t>2019/8/06</w:t>
            </w:r>
          </w:p>
        </w:tc>
        <w:tc>
          <w:tcPr>
            <w:tcW w:w="892" w:type="dxa"/>
            <w:vAlign w:val="top"/>
          </w:tcPr>
          <w:p w14:paraId="27F732BD">
            <w:pPr>
              <w:pStyle w:val="6"/>
              <w:spacing w:before="94" w:line="219" w:lineRule="auto"/>
              <w:ind w:left="304"/>
            </w:pPr>
            <w:r>
              <w:rPr>
                <w:spacing w:val="-6"/>
              </w:rPr>
              <w:t>183</w:t>
            </w:r>
          </w:p>
        </w:tc>
        <w:tc>
          <w:tcPr>
            <w:tcW w:w="892" w:type="dxa"/>
            <w:vAlign w:val="top"/>
          </w:tcPr>
          <w:p w14:paraId="13B04C8A">
            <w:pPr>
              <w:pStyle w:val="6"/>
              <w:spacing w:before="99" w:line="214" w:lineRule="auto"/>
              <w:ind w:left="343"/>
            </w:pPr>
            <w:r>
              <w:rPr>
                <w:b/>
                <w:bCs/>
                <w:spacing w:val="-2"/>
              </w:rPr>
              <w:t>74</w:t>
            </w:r>
          </w:p>
        </w:tc>
        <w:tc>
          <w:tcPr>
            <w:tcW w:w="892" w:type="dxa"/>
            <w:vAlign w:val="top"/>
          </w:tcPr>
          <w:p w14:paraId="75507D4B">
            <w:pPr>
              <w:pStyle w:val="6"/>
              <w:spacing w:before="94" w:line="219" w:lineRule="auto"/>
              <w:ind w:left="269"/>
            </w:pPr>
            <w:r>
              <w:rPr>
                <w:spacing w:val="-3"/>
              </w:rPr>
              <w:t>6.36</w:t>
            </w:r>
          </w:p>
        </w:tc>
        <w:tc>
          <w:tcPr>
            <w:tcW w:w="892" w:type="dxa"/>
            <w:vAlign w:val="top"/>
          </w:tcPr>
          <w:p w14:paraId="2A6CAB17">
            <w:pPr>
              <w:pStyle w:val="6"/>
              <w:spacing w:before="94" w:line="219" w:lineRule="auto"/>
              <w:ind w:left="272"/>
            </w:pPr>
            <w:r>
              <w:rPr>
                <w:spacing w:val="-3"/>
              </w:rPr>
              <w:t>6.21</w:t>
            </w:r>
          </w:p>
        </w:tc>
        <w:tc>
          <w:tcPr>
            <w:tcW w:w="891" w:type="dxa"/>
            <w:vAlign w:val="top"/>
          </w:tcPr>
          <w:p w14:paraId="10FD06B2">
            <w:pPr>
              <w:pStyle w:val="6"/>
              <w:spacing w:before="94" w:line="219" w:lineRule="auto"/>
              <w:ind w:left="291"/>
            </w:pPr>
            <w:r>
              <w:rPr>
                <w:spacing w:val="-6"/>
              </w:rPr>
              <w:t>1.72</w:t>
            </w:r>
          </w:p>
        </w:tc>
        <w:tc>
          <w:tcPr>
            <w:tcW w:w="906" w:type="dxa"/>
            <w:tcBorders>
              <w:right w:val="single" w:color="000000" w:sz="12" w:space="0"/>
            </w:tcBorders>
            <w:vAlign w:val="top"/>
          </w:tcPr>
          <w:p w14:paraId="233B1393">
            <w:pPr>
              <w:pStyle w:val="6"/>
              <w:spacing w:before="94" w:line="219" w:lineRule="auto"/>
              <w:ind w:left="277"/>
            </w:pPr>
            <w:r>
              <w:rPr>
                <w:spacing w:val="-2"/>
              </w:rPr>
              <w:t>0.23</w:t>
            </w:r>
          </w:p>
        </w:tc>
      </w:tr>
      <w:tr w14:paraId="0487E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DC53B14">
            <w:pPr>
              <w:rPr>
                <w:rFonts w:ascii="Arial"/>
                <w:sz w:val="21"/>
              </w:rPr>
            </w:pPr>
          </w:p>
        </w:tc>
        <w:tc>
          <w:tcPr>
            <w:tcW w:w="423" w:type="dxa"/>
            <w:vMerge w:val="continue"/>
            <w:tcBorders>
              <w:top w:val="nil"/>
              <w:bottom w:val="nil"/>
            </w:tcBorders>
            <w:vAlign w:val="top"/>
          </w:tcPr>
          <w:p w14:paraId="4A20423D">
            <w:pPr>
              <w:rPr>
                <w:rFonts w:ascii="Arial"/>
                <w:sz w:val="21"/>
              </w:rPr>
            </w:pPr>
          </w:p>
        </w:tc>
        <w:tc>
          <w:tcPr>
            <w:tcW w:w="1554" w:type="dxa"/>
            <w:vAlign w:val="top"/>
          </w:tcPr>
          <w:p w14:paraId="4CC4F4D5">
            <w:pPr>
              <w:pStyle w:val="6"/>
              <w:spacing w:before="95" w:line="219" w:lineRule="auto"/>
              <w:ind w:left="343"/>
            </w:pPr>
            <w:r>
              <w:rPr>
                <w:spacing w:val="-1"/>
              </w:rPr>
              <w:t>2019/8/07</w:t>
            </w:r>
          </w:p>
        </w:tc>
        <w:tc>
          <w:tcPr>
            <w:tcW w:w="892" w:type="dxa"/>
            <w:vAlign w:val="top"/>
          </w:tcPr>
          <w:p w14:paraId="387E08FD">
            <w:pPr>
              <w:pStyle w:val="6"/>
              <w:spacing w:before="95" w:line="219" w:lineRule="auto"/>
              <w:ind w:left="304"/>
            </w:pPr>
            <w:r>
              <w:rPr>
                <w:spacing w:val="-6"/>
              </w:rPr>
              <w:t>169</w:t>
            </w:r>
          </w:p>
        </w:tc>
        <w:tc>
          <w:tcPr>
            <w:tcW w:w="892" w:type="dxa"/>
            <w:vAlign w:val="top"/>
          </w:tcPr>
          <w:p w14:paraId="175B2A2C">
            <w:pPr>
              <w:pStyle w:val="6"/>
              <w:spacing w:before="95" w:line="219" w:lineRule="auto"/>
              <w:ind w:left="345"/>
            </w:pPr>
            <w:r>
              <w:rPr>
                <w:spacing w:val="-3"/>
              </w:rPr>
              <w:t>69</w:t>
            </w:r>
          </w:p>
        </w:tc>
        <w:tc>
          <w:tcPr>
            <w:tcW w:w="892" w:type="dxa"/>
            <w:vAlign w:val="top"/>
          </w:tcPr>
          <w:p w14:paraId="3800BAEC">
            <w:pPr>
              <w:pStyle w:val="6"/>
              <w:spacing w:before="95" w:line="219" w:lineRule="auto"/>
              <w:ind w:left="269"/>
            </w:pPr>
            <w:r>
              <w:rPr>
                <w:spacing w:val="-3"/>
              </w:rPr>
              <w:t>6.31</w:t>
            </w:r>
          </w:p>
        </w:tc>
        <w:tc>
          <w:tcPr>
            <w:tcW w:w="892" w:type="dxa"/>
            <w:vAlign w:val="top"/>
          </w:tcPr>
          <w:p w14:paraId="6499AE73">
            <w:pPr>
              <w:pStyle w:val="6"/>
              <w:spacing w:before="95" w:line="219" w:lineRule="auto"/>
              <w:ind w:left="272"/>
            </w:pPr>
            <w:r>
              <w:rPr>
                <w:spacing w:val="-3"/>
              </w:rPr>
              <w:t>6.26</w:t>
            </w:r>
          </w:p>
        </w:tc>
        <w:tc>
          <w:tcPr>
            <w:tcW w:w="891" w:type="dxa"/>
            <w:vAlign w:val="top"/>
          </w:tcPr>
          <w:p w14:paraId="766C2EE2">
            <w:pPr>
              <w:pStyle w:val="6"/>
              <w:spacing w:before="95" w:line="219" w:lineRule="auto"/>
              <w:ind w:left="291"/>
            </w:pPr>
            <w:r>
              <w:rPr>
                <w:spacing w:val="-6"/>
              </w:rPr>
              <w:t>1.67</w:t>
            </w:r>
          </w:p>
        </w:tc>
        <w:tc>
          <w:tcPr>
            <w:tcW w:w="906" w:type="dxa"/>
            <w:tcBorders>
              <w:right w:val="single" w:color="000000" w:sz="12" w:space="0"/>
            </w:tcBorders>
            <w:vAlign w:val="top"/>
          </w:tcPr>
          <w:p w14:paraId="22DBD4AE">
            <w:pPr>
              <w:pStyle w:val="6"/>
              <w:spacing w:before="95" w:line="219" w:lineRule="auto"/>
              <w:ind w:left="277"/>
            </w:pPr>
            <w:r>
              <w:rPr>
                <w:spacing w:val="-2"/>
              </w:rPr>
              <w:t>0.22</w:t>
            </w:r>
          </w:p>
        </w:tc>
      </w:tr>
      <w:tr w14:paraId="43A83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3BDE571D">
            <w:pPr>
              <w:rPr>
                <w:rFonts w:ascii="Arial"/>
                <w:sz w:val="21"/>
              </w:rPr>
            </w:pPr>
          </w:p>
        </w:tc>
        <w:tc>
          <w:tcPr>
            <w:tcW w:w="423" w:type="dxa"/>
            <w:vMerge w:val="continue"/>
            <w:tcBorders>
              <w:top w:val="nil"/>
            </w:tcBorders>
            <w:vAlign w:val="top"/>
          </w:tcPr>
          <w:p w14:paraId="02440C98">
            <w:pPr>
              <w:rPr>
                <w:rFonts w:ascii="Arial"/>
                <w:sz w:val="21"/>
              </w:rPr>
            </w:pPr>
          </w:p>
        </w:tc>
        <w:tc>
          <w:tcPr>
            <w:tcW w:w="1554" w:type="dxa"/>
            <w:vAlign w:val="top"/>
          </w:tcPr>
          <w:p w14:paraId="06C0EEA4">
            <w:pPr>
              <w:pStyle w:val="6"/>
              <w:spacing w:before="95" w:line="218" w:lineRule="auto"/>
              <w:ind w:left="343"/>
            </w:pPr>
            <w:r>
              <w:rPr>
                <w:spacing w:val="-1"/>
              </w:rPr>
              <w:t>2019/8/08</w:t>
            </w:r>
          </w:p>
        </w:tc>
        <w:tc>
          <w:tcPr>
            <w:tcW w:w="892" w:type="dxa"/>
            <w:vAlign w:val="top"/>
          </w:tcPr>
          <w:p w14:paraId="38EEE7D2">
            <w:pPr>
              <w:pStyle w:val="6"/>
              <w:spacing w:before="95" w:line="218" w:lineRule="auto"/>
              <w:ind w:left="304"/>
            </w:pPr>
            <w:r>
              <w:rPr>
                <w:spacing w:val="-6"/>
              </w:rPr>
              <w:t>173</w:t>
            </w:r>
          </w:p>
        </w:tc>
        <w:tc>
          <w:tcPr>
            <w:tcW w:w="892" w:type="dxa"/>
            <w:vAlign w:val="top"/>
          </w:tcPr>
          <w:p w14:paraId="1BBE6749">
            <w:pPr>
              <w:pStyle w:val="6"/>
              <w:spacing w:before="95" w:line="218" w:lineRule="auto"/>
              <w:ind w:left="345"/>
            </w:pPr>
            <w:r>
              <w:rPr>
                <w:spacing w:val="-3"/>
              </w:rPr>
              <w:t>64</w:t>
            </w:r>
          </w:p>
        </w:tc>
        <w:tc>
          <w:tcPr>
            <w:tcW w:w="892" w:type="dxa"/>
            <w:vAlign w:val="top"/>
          </w:tcPr>
          <w:p w14:paraId="3FF1C66B">
            <w:pPr>
              <w:pStyle w:val="6"/>
              <w:spacing w:before="95" w:line="218" w:lineRule="auto"/>
              <w:ind w:left="269"/>
            </w:pPr>
            <w:r>
              <w:rPr>
                <w:spacing w:val="-3"/>
              </w:rPr>
              <w:t>6.38</w:t>
            </w:r>
          </w:p>
        </w:tc>
        <w:tc>
          <w:tcPr>
            <w:tcW w:w="892" w:type="dxa"/>
            <w:vAlign w:val="top"/>
          </w:tcPr>
          <w:p w14:paraId="0F658FB0">
            <w:pPr>
              <w:pStyle w:val="6"/>
              <w:spacing w:before="95" w:line="218" w:lineRule="auto"/>
              <w:ind w:left="272"/>
            </w:pPr>
            <w:r>
              <w:rPr>
                <w:spacing w:val="-3"/>
              </w:rPr>
              <w:t>6.30</w:t>
            </w:r>
          </w:p>
        </w:tc>
        <w:tc>
          <w:tcPr>
            <w:tcW w:w="891" w:type="dxa"/>
            <w:vAlign w:val="top"/>
          </w:tcPr>
          <w:p w14:paraId="49260668">
            <w:pPr>
              <w:pStyle w:val="6"/>
              <w:spacing w:before="95" w:line="218" w:lineRule="auto"/>
              <w:ind w:left="291"/>
            </w:pPr>
            <w:r>
              <w:rPr>
                <w:spacing w:val="-6"/>
              </w:rPr>
              <w:t>1.68</w:t>
            </w:r>
          </w:p>
        </w:tc>
        <w:tc>
          <w:tcPr>
            <w:tcW w:w="906" w:type="dxa"/>
            <w:tcBorders>
              <w:right w:val="single" w:color="000000" w:sz="12" w:space="0"/>
            </w:tcBorders>
            <w:vAlign w:val="top"/>
          </w:tcPr>
          <w:p w14:paraId="64C035D1">
            <w:pPr>
              <w:pStyle w:val="6"/>
              <w:spacing w:before="95" w:line="218" w:lineRule="auto"/>
              <w:ind w:left="277"/>
            </w:pPr>
            <w:r>
              <w:rPr>
                <w:spacing w:val="-2"/>
              </w:rPr>
              <w:t>0.23</w:t>
            </w:r>
          </w:p>
        </w:tc>
      </w:tr>
      <w:tr w14:paraId="5DEFA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2D364C8">
            <w:pPr>
              <w:rPr>
                <w:rFonts w:ascii="Arial"/>
                <w:sz w:val="21"/>
              </w:rPr>
            </w:pPr>
          </w:p>
        </w:tc>
        <w:tc>
          <w:tcPr>
            <w:tcW w:w="423" w:type="dxa"/>
            <w:vMerge w:val="restart"/>
            <w:tcBorders>
              <w:bottom w:val="nil"/>
            </w:tcBorders>
            <w:vAlign w:val="top"/>
          </w:tcPr>
          <w:p w14:paraId="564BA963">
            <w:pPr>
              <w:pStyle w:val="6"/>
              <w:spacing w:before="161" w:line="222" w:lineRule="auto"/>
              <w:ind w:left="147"/>
            </w:pPr>
            <w:r>
              <w:t>4</w:t>
            </w:r>
          </w:p>
          <w:p w14:paraId="0A8B69FC">
            <w:pPr>
              <w:spacing w:line="219" w:lineRule="auto"/>
              <w:ind w:left="100"/>
              <w:rPr>
                <w:rFonts w:ascii="宋体" w:hAnsi="宋体" w:eastAsia="宋体" w:cs="宋体"/>
                <w:sz w:val="21"/>
                <w:szCs w:val="21"/>
              </w:rPr>
            </w:pPr>
            <w:r>
              <w:rPr>
                <w:rFonts w:ascii="宋体" w:hAnsi="宋体" w:eastAsia="宋体" w:cs="宋体"/>
                <w:sz w:val="21"/>
                <w:szCs w:val="21"/>
              </w:rPr>
              <w:t>季</w:t>
            </w:r>
          </w:p>
          <w:p w14:paraId="02E3C2C5">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51E03734">
            <w:pPr>
              <w:pStyle w:val="6"/>
              <w:spacing w:before="97" w:line="216" w:lineRule="auto"/>
              <w:ind w:left="343"/>
            </w:pPr>
            <w:r>
              <w:rPr>
                <w:spacing w:val="-1"/>
              </w:rPr>
              <w:t>2019/11/9</w:t>
            </w:r>
          </w:p>
        </w:tc>
        <w:tc>
          <w:tcPr>
            <w:tcW w:w="892" w:type="dxa"/>
            <w:vAlign w:val="top"/>
          </w:tcPr>
          <w:p w14:paraId="11C5505D">
            <w:pPr>
              <w:pStyle w:val="6"/>
              <w:spacing w:before="97" w:line="216" w:lineRule="auto"/>
              <w:ind w:left="357"/>
            </w:pPr>
            <w:r>
              <w:rPr>
                <w:spacing w:val="-6"/>
              </w:rPr>
              <w:t>15</w:t>
            </w:r>
          </w:p>
        </w:tc>
        <w:tc>
          <w:tcPr>
            <w:tcW w:w="892" w:type="dxa"/>
            <w:vAlign w:val="top"/>
          </w:tcPr>
          <w:p w14:paraId="74BA0F0C">
            <w:pPr>
              <w:pStyle w:val="6"/>
              <w:spacing w:before="97" w:line="216" w:lineRule="auto"/>
              <w:ind w:left="392"/>
            </w:pPr>
            <w:r>
              <w:t>4</w:t>
            </w:r>
          </w:p>
        </w:tc>
        <w:tc>
          <w:tcPr>
            <w:tcW w:w="892" w:type="dxa"/>
            <w:vAlign w:val="top"/>
          </w:tcPr>
          <w:p w14:paraId="78D4CB16">
            <w:pPr>
              <w:pStyle w:val="6"/>
              <w:spacing w:before="97" w:line="216" w:lineRule="auto"/>
              <w:ind w:left="268"/>
            </w:pPr>
            <w:r>
              <w:rPr>
                <w:spacing w:val="-2"/>
              </w:rPr>
              <w:t>7.09</w:t>
            </w:r>
          </w:p>
        </w:tc>
        <w:tc>
          <w:tcPr>
            <w:tcW w:w="892" w:type="dxa"/>
            <w:vAlign w:val="top"/>
          </w:tcPr>
          <w:p w14:paraId="18C11619">
            <w:pPr>
              <w:pStyle w:val="6"/>
              <w:spacing w:before="97" w:line="216" w:lineRule="auto"/>
              <w:ind w:left="271"/>
            </w:pPr>
            <w:r>
              <w:rPr>
                <w:spacing w:val="-2"/>
              </w:rPr>
              <w:t>7.21</w:t>
            </w:r>
          </w:p>
        </w:tc>
        <w:tc>
          <w:tcPr>
            <w:tcW w:w="891" w:type="dxa"/>
            <w:vAlign w:val="top"/>
          </w:tcPr>
          <w:p w14:paraId="26496500">
            <w:pPr>
              <w:pStyle w:val="6"/>
              <w:spacing w:before="97" w:line="216" w:lineRule="auto"/>
              <w:ind w:left="274"/>
            </w:pPr>
            <w:r>
              <w:rPr>
                <w:spacing w:val="-2"/>
              </w:rPr>
              <w:t>0.85</w:t>
            </w:r>
          </w:p>
        </w:tc>
        <w:tc>
          <w:tcPr>
            <w:tcW w:w="906" w:type="dxa"/>
            <w:tcBorders>
              <w:right w:val="single" w:color="000000" w:sz="12" w:space="0"/>
            </w:tcBorders>
            <w:vAlign w:val="top"/>
          </w:tcPr>
          <w:p w14:paraId="1B71086C">
            <w:pPr>
              <w:pStyle w:val="6"/>
              <w:spacing w:before="97" w:line="216" w:lineRule="auto"/>
              <w:ind w:left="277"/>
            </w:pPr>
            <w:r>
              <w:rPr>
                <w:spacing w:val="-2"/>
              </w:rPr>
              <w:t>0.13</w:t>
            </w:r>
          </w:p>
        </w:tc>
      </w:tr>
      <w:tr w14:paraId="0AABD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397F9F53">
            <w:pPr>
              <w:rPr>
                <w:rFonts w:ascii="Arial"/>
                <w:sz w:val="21"/>
              </w:rPr>
            </w:pPr>
          </w:p>
        </w:tc>
        <w:tc>
          <w:tcPr>
            <w:tcW w:w="423" w:type="dxa"/>
            <w:vMerge w:val="continue"/>
            <w:tcBorders>
              <w:top w:val="nil"/>
              <w:bottom w:val="nil"/>
            </w:tcBorders>
            <w:vAlign w:val="top"/>
          </w:tcPr>
          <w:p w14:paraId="3D9DF72C">
            <w:pPr>
              <w:rPr>
                <w:rFonts w:ascii="Arial"/>
                <w:sz w:val="21"/>
              </w:rPr>
            </w:pPr>
          </w:p>
        </w:tc>
        <w:tc>
          <w:tcPr>
            <w:tcW w:w="1554" w:type="dxa"/>
            <w:vAlign w:val="top"/>
          </w:tcPr>
          <w:p w14:paraId="3CD51FF5">
            <w:pPr>
              <w:pStyle w:val="6"/>
              <w:spacing w:before="98" w:line="217" w:lineRule="auto"/>
              <w:ind w:left="290"/>
            </w:pPr>
            <w:r>
              <w:rPr>
                <w:spacing w:val="-1"/>
              </w:rPr>
              <w:t>2019/11/10</w:t>
            </w:r>
          </w:p>
        </w:tc>
        <w:tc>
          <w:tcPr>
            <w:tcW w:w="892" w:type="dxa"/>
            <w:vAlign w:val="top"/>
          </w:tcPr>
          <w:p w14:paraId="27AA4C3D">
            <w:pPr>
              <w:pStyle w:val="6"/>
              <w:spacing w:before="98" w:line="217" w:lineRule="auto"/>
              <w:ind w:left="357"/>
            </w:pPr>
            <w:r>
              <w:rPr>
                <w:spacing w:val="-6"/>
              </w:rPr>
              <w:t>12</w:t>
            </w:r>
          </w:p>
        </w:tc>
        <w:tc>
          <w:tcPr>
            <w:tcW w:w="892" w:type="dxa"/>
            <w:vAlign w:val="top"/>
          </w:tcPr>
          <w:p w14:paraId="343393F3">
            <w:pPr>
              <w:pStyle w:val="6"/>
              <w:spacing w:before="98" w:line="217" w:lineRule="auto"/>
              <w:ind w:left="399"/>
            </w:pPr>
            <w:r>
              <w:t>5</w:t>
            </w:r>
          </w:p>
        </w:tc>
        <w:tc>
          <w:tcPr>
            <w:tcW w:w="892" w:type="dxa"/>
            <w:vAlign w:val="top"/>
          </w:tcPr>
          <w:p w14:paraId="603A200E">
            <w:pPr>
              <w:pStyle w:val="6"/>
              <w:spacing w:before="98" w:line="217" w:lineRule="auto"/>
              <w:ind w:left="268"/>
            </w:pPr>
            <w:r>
              <w:rPr>
                <w:spacing w:val="-2"/>
              </w:rPr>
              <w:t>7.01</w:t>
            </w:r>
          </w:p>
        </w:tc>
        <w:tc>
          <w:tcPr>
            <w:tcW w:w="892" w:type="dxa"/>
            <w:vAlign w:val="top"/>
          </w:tcPr>
          <w:p w14:paraId="6843E357">
            <w:pPr>
              <w:pStyle w:val="6"/>
              <w:spacing w:before="98" w:line="217" w:lineRule="auto"/>
              <w:ind w:left="271"/>
            </w:pPr>
            <w:r>
              <w:rPr>
                <w:spacing w:val="-2"/>
              </w:rPr>
              <w:t>7.15</w:t>
            </w:r>
          </w:p>
        </w:tc>
        <w:tc>
          <w:tcPr>
            <w:tcW w:w="891" w:type="dxa"/>
            <w:vAlign w:val="top"/>
          </w:tcPr>
          <w:p w14:paraId="6C5CD932">
            <w:pPr>
              <w:pStyle w:val="6"/>
              <w:spacing w:before="98" w:line="217" w:lineRule="auto"/>
              <w:ind w:left="274"/>
            </w:pPr>
            <w:r>
              <w:rPr>
                <w:spacing w:val="-2"/>
              </w:rPr>
              <w:t>0.83</w:t>
            </w:r>
          </w:p>
        </w:tc>
        <w:tc>
          <w:tcPr>
            <w:tcW w:w="906" w:type="dxa"/>
            <w:tcBorders>
              <w:right w:val="single" w:color="000000" w:sz="12" w:space="0"/>
            </w:tcBorders>
            <w:vAlign w:val="top"/>
          </w:tcPr>
          <w:p w14:paraId="45B8AB01">
            <w:pPr>
              <w:pStyle w:val="6"/>
              <w:spacing w:before="98" w:line="217" w:lineRule="auto"/>
              <w:ind w:left="277"/>
            </w:pPr>
            <w:r>
              <w:rPr>
                <w:spacing w:val="-2"/>
              </w:rPr>
              <w:t>0.14</w:t>
            </w:r>
          </w:p>
        </w:tc>
      </w:tr>
      <w:tr w14:paraId="6F99B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tcBorders>
            <w:vAlign w:val="top"/>
          </w:tcPr>
          <w:p w14:paraId="115B7E2F">
            <w:pPr>
              <w:rPr>
                <w:rFonts w:ascii="Arial"/>
                <w:sz w:val="21"/>
              </w:rPr>
            </w:pPr>
          </w:p>
        </w:tc>
        <w:tc>
          <w:tcPr>
            <w:tcW w:w="423" w:type="dxa"/>
            <w:vMerge w:val="continue"/>
            <w:tcBorders>
              <w:top w:val="nil"/>
            </w:tcBorders>
            <w:vAlign w:val="top"/>
          </w:tcPr>
          <w:p w14:paraId="6BAFD0E4">
            <w:pPr>
              <w:rPr>
                <w:rFonts w:ascii="Arial"/>
                <w:sz w:val="21"/>
              </w:rPr>
            </w:pPr>
          </w:p>
        </w:tc>
        <w:tc>
          <w:tcPr>
            <w:tcW w:w="1554" w:type="dxa"/>
            <w:vAlign w:val="top"/>
          </w:tcPr>
          <w:p w14:paraId="79636AE8">
            <w:pPr>
              <w:pStyle w:val="6"/>
              <w:spacing w:before="99" w:line="214" w:lineRule="auto"/>
              <w:ind w:left="290"/>
            </w:pPr>
            <w:r>
              <w:rPr>
                <w:spacing w:val="-1"/>
              </w:rPr>
              <w:t>2019/11/11</w:t>
            </w:r>
          </w:p>
        </w:tc>
        <w:tc>
          <w:tcPr>
            <w:tcW w:w="892" w:type="dxa"/>
            <w:vAlign w:val="top"/>
          </w:tcPr>
          <w:p w14:paraId="00170903">
            <w:pPr>
              <w:pStyle w:val="6"/>
              <w:spacing w:before="99" w:line="214" w:lineRule="auto"/>
              <w:ind w:left="357"/>
            </w:pPr>
            <w:r>
              <w:rPr>
                <w:spacing w:val="-6"/>
              </w:rPr>
              <w:t>14</w:t>
            </w:r>
          </w:p>
        </w:tc>
        <w:tc>
          <w:tcPr>
            <w:tcW w:w="892" w:type="dxa"/>
            <w:vAlign w:val="top"/>
          </w:tcPr>
          <w:p w14:paraId="35BAD6FD">
            <w:pPr>
              <w:pStyle w:val="6"/>
              <w:spacing w:before="99" w:line="214" w:lineRule="auto"/>
              <w:ind w:left="392"/>
            </w:pPr>
            <w:r>
              <w:t>4</w:t>
            </w:r>
          </w:p>
        </w:tc>
        <w:tc>
          <w:tcPr>
            <w:tcW w:w="892" w:type="dxa"/>
            <w:vAlign w:val="top"/>
          </w:tcPr>
          <w:p w14:paraId="13C8FEEE">
            <w:pPr>
              <w:pStyle w:val="6"/>
              <w:spacing w:before="99" w:line="214" w:lineRule="auto"/>
              <w:ind w:left="268"/>
            </w:pPr>
            <w:r>
              <w:rPr>
                <w:spacing w:val="-2"/>
              </w:rPr>
              <w:t>7.05</w:t>
            </w:r>
          </w:p>
        </w:tc>
        <w:tc>
          <w:tcPr>
            <w:tcW w:w="892" w:type="dxa"/>
            <w:vAlign w:val="top"/>
          </w:tcPr>
          <w:p w14:paraId="7B11789D">
            <w:pPr>
              <w:pStyle w:val="6"/>
              <w:spacing w:before="99" w:line="214" w:lineRule="auto"/>
              <w:ind w:left="271"/>
            </w:pPr>
            <w:r>
              <w:rPr>
                <w:spacing w:val="-2"/>
              </w:rPr>
              <w:t>7.20</w:t>
            </w:r>
          </w:p>
        </w:tc>
        <w:tc>
          <w:tcPr>
            <w:tcW w:w="891" w:type="dxa"/>
            <w:vAlign w:val="top"/>
          </w:tcPr>
          <w:p w14:paraId="590294E6">
            <w:pPr>
              <w:pStyle w:val="6"/>
              <w:spacing w:before="99" w:line="214" w:lineRule="auto"/>
              <w:ind w:left="274"/>
            </w:pPr>
            <w:r>
              <w:rPr>
                <w:spacing w:val="-2"/>
              </w:rPr>
              <w:t>0.83</w:t>
            </w:r>
          </w:p>
        </w:tc>
        <w:tc>
          <w:tcPr>
            <w:tcW w:w="906" w:type="dxa"/>
            <w:tcBorders>
              <w:right w:val="single" w:color="000000" w:sz="12" w:space="0"/>
            </w:tcBorders>
            <w:vAlign w:val="top"/>
          </w:tcPr>
          <w:p w14:paraId="1532AB31">
            <w:pPr>
              <w:pStyle w:val="6"/>
              <w:spacing w:before="99" w:line="214" w:lineRule="auto"/>
              <w:ind w:left="277"/>
            </w:pPr>
            <w:r>
              <w:rPr>
                <w:spacing w:val="-2"/>
              </w:rPr>
              <w:t>0.15</w:t>
            </w:r>
          </w:p>
        </w:tc>
      </w:tr>
      <w:tr w14:paraId="2DC9C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restart"/>
            <w:tcBorders>
              <w:left w:val="single" w:color="000000" w:sz="12" w:space="0"/>
              <w:bottom w:val="nil"/>
            </w:tcBorders>
            <w:vAlign w:val="top"/>
          </w:tcPr>
          <w:p w14:paraId="444BCEC0">
            <w:pPr>
              <w:spacing w:line="261" w:lineRule="auto"/>
              <w:rPr>
                <w:rFonts w:ascii="Arial"/>
                <w:sz w:val="21"/>
              </w:rPr>
            </w:pPr>
          </w:p>
          <w:p w14:paraId="75AA3A76">
            <w:pPr>
              <w:spacing w:line="261" w:lineRule="auto"/>
              <w:rPr>
                <w:rFonts w:ascii="Arial"/>
                <w:sz w:val="21"/>
              </w:rPr>
            </w:pPr>
          </w:p>
          <w:p w14:paraId="367CF0C9">
            <w:pPr>
              <w:spacing w:line="261" w:lineRule="auto"/>
              <w:rPr>
                <w:rFonts w:ascii="Arial"/>
                <w:sz w:val="21"/>
              </w:rPr>
            </w:pPr>
          </w:p>
          <w:p w14:paraId="406C5A1A">
            <w:pPr>
              <w:spacing w:line="261" w:lineRule="auto"/>
              <w:rPr>
                <w:rFonts w:ascii="Arial"/>
                <w:sz w:val="21"/>
              </w:rPr>
            </w:pPr>
          </w:p>
          <w:p w14:paraId="0D30076D">
            <w:pPr>
              <w:spacing w:line="261" w:lineRule="auto"/>
              <w:rPr>
                <w:rFonts w:ascii="Arial"/>
                <w:sz w:val="21"/>
              </w:rPr>
            </w:pPr>
          </w:p>
          <w:p w14:paraId="01AD6E53">
            <w:pPr>
              <w:spacing w:line="261" w:lineRule="auto"/>
              <w:rPr>
                <w:rFonts w:ascii="Arial"/>
                <w:sz w:val="21"/>
              </w:rPr>
            </w:pPr>
          </w:p>
          <w:p w14:paraId="305927A3">
            <w:pPr>
              <w:pStyle w:val="6"/>
              <w:spacing w:before="69" w:line="235" w:lineRule="auto"/>
              <w:ind w:left="133"/>
              <w:rPr>
                <w:rFonts w:ascii="宋体" w:hAnsi="宋体" w:eastAsia="宋体" w:cs="宋体"/>
              </w:rPr>
            </w:pPr>
            <w:r>
              <w:rPr>
                <w:spacing w:val="-2"/>
              </w:rPr>
              <w:t>6#</w:t>
            </w:r>
            <w:r>
              <w:rPr>
                <w:rFonts w:ascii="宋体" w:hAnsi="宋体" w:eastAsia="宋体" w:cs="宋体"/>
                <w:spacing w:val="-2"/>
              </w:rPr>
              <w:t>隧洞排</w:t>
            </w:r>
          </w:p>
          <w:p w14:paraId="2C1C7DE2">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40BC1A8B">
            <w:pPr>
              <w:spacing w:before="22"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3D6D683C">
            <w:pPr>
              <w:pStyle w:val="6"/>
              <w:spacing w:before="163" w:line="223" w:lineRule="auto"/>
              <w:ind w:left="168"/>
            </w:pPr>
            <w:r>
              <w:t>1</w:t>
            </w:r>
          </w:p>
          <w:p w14:paraId="4FD3C757">
            <w:pPr>
              <w:spacing w:line="219" w:lineRule="auto"/>
              <w:ind w:left="100"/>
              <w:rPr>
                <w:rFonts w:ascii="宋体" w:hAnsi="宋体" w:eastAsia="宋体" w:cs="宋体"/>
                <w:sz w:val="21"/>
                <w:szCs w:val="21"/>
              </w:rPr>
            </w:pPr>
            <w:r>
              <w:rPr>
                <w:rFonts w:ascii="宋体" w:hAnsi="宋体" w:eastAsia="宋体" w:cs="宋体"/>
                <w:sz w:val="21"/>
                <w:szCs w:val="21"/>
              </w:rPr>
              <w:t>季</w:t>
            </w:r>
          </w:p>
          <w:p w14:paraId="38B58193">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02894A4">
            <w:pPr>
              <w:pStyle w:val="6"/>
              <w:spacing w:before="100" w:line="215" w:lineRule="auto"/>
              <w:ind w:left="343"/>
            </w:pPr>
            <w:r>
              <w:rPr>
                <w:spacing w:val="-1"/>
              </w:rPr>
              <w:t>2019/1/15</w:t>
            </w:r>
          </w:p>
        </w:tc>
        <w:tc>
          <w:tcPr>
            <w:tcW w:w="892" w:type="dxa"/>
            <w:vAlign w:val="top"/>
          </w:tcPr>
          <w:p w14:paraId="7CA60FDE">
            <w:pPr>
              <w:pStyle w:val="6"/>
              <w:spacing w:before="100" w:line="215" w:lineRule="auto"/>
              <w:ind w:left="293"/>
            </w:pPr>
            <w:r>
              <w:rPr>
                <w:spacing w:val="-3"/>
              </w:rPr>
              <w:t>807</w:t>
            </w:r>
          </w:p>
        </w:tc>
        <w:tc>
          <w:tcPr>
            <w:tcW w:w="892" w:type="dxa"/>
            <w:vAlign w:val="top"/>
          </w:tcPr>
          <w:p w14:paraId="4DFE8A4B">
            <w:pPr>
              <w:pStyle w:val="6"/>
              <w:spacing w:before="104" w:line="211" w:lineRule="auto"/>
              <w:ind w:left="297"/>
            </w:pPr>
            <w:r>
              <w:rPr>
                <w:b/>
                <w:bCs/>
                <w:spacing w:val="-4"/>
              </w:rPr>
              <w:t>173</w:t>
            </w:r>
          </w:p>
        </w:tc>
        <w:tc>
          <w:tcPr>
            <w:tcW w:w="892" w:type="dxa"/>
            <w:vAlign w:val="top"/>
          </w:tcPr>
          <w:p w14:paraId="12559D29">
            <w:pPr>
              <w:pStyle w:val="6"/>
              <w:spacing w:before="100" w:line="215" w:lineRule="auto"/>
              <w:ind w:left="268"/>
            </w:pPr>
            <w:r>
              <w:rPr>
                <w:spacing w:val="-2"/>
              </w:rPr>
              <w:t>7.24</w:t>
            </w:r>
          </w:p>
        </w:tc>
        <w:tc>
          <w:tcPr>
            <w:tcW w:w="892" w:type="dxa"/>
            <w:vAlign w:val="top"/>
          </w:tcPr>
          <w:p w14:paraId="4FE04593">
            <w:pPr>
              <w:pStyle w:val="6"/>
              <w:spacing w:before="100" w:line="215" w:lineRule="auto"/>
              <w:ind w:left="272"/>
            </w:pPr>
            <w:r>
              <w:rPr>
                <w:spacing w:val="-3"/>
              </w:rPr>
              <w:t>6.70</w:t>
            </w:r>
          </w:p>
        </w:tc>
        <w:tc>
          <w:tcPr>
            <w:tcW w:w="891" w:type="dxa"/>
            <w:vAlign w:val="top"/>
          </w:tcPr>
          <w:p w14:paraId="0590381E">
            <w:pPr>
              <w:pStyle w:val="6"/>
              <w:spacing w:before="100" w:line="215" w:lineRule="auto"/>
              <w:ind w:left="274"/>
            </w:pPr>
            <w:r>
              <w:rPr>
                <w:spacing w:val="-2"/>
              </w:rPr>
              <w:t>0.21</w:t>
            </w:r>
          </w:p>
        </w:tc>
        <w:tc>
          <w:tcPr>
            <w:tcW w:w="906" w:type="dxa"/>
            <w:tcBorders>
              <w:right w:val="single" w:color="000000" w:sz="12" w:space="0"/>
            </w:tcBorders>
            <w:vAlign w:val="top"/>
          </w:tcPr>
          <w:p w14:paraId="59748010">
            <w:pPr>
              <w:pStyle w:val="6"/>
              <w:spacing w:before="100" w:line="215" w:lineRule="auto"/>
              <w:ind w:left="214"/>
            </w:pPr>
            <w:r>
              <w:rPr>
                <w:spacing w:val="-2"/>
              </w:rPr>
              <w:t>0.06L</w:t>
            </w:r>
          </w:p>
        </w:tc>
      </w:tr>
      <w:tr w14:paraId="0DC82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33A38ECB">
            <w:pPr>
              <w:rPr>
                <w:rFonts w:ascii="Arial"/>
                <w:sz w:val="21"/>
              </w:rPr>
            </w:pPr>
          </w:p>
        </w:tc>
        <w:tc>
          <w:tcPr>
            <w:tcW w:w="423" w:type="dxa"/>
            <w:vMerge w:val="continue"/>
            <w:tcBorders>
              <w:top w:val="nil"/>
              <w:bottom w:val="nil"/>
            </w:tcBorders>
            <w:vAlign w:val="top"/>
          </w:tcPr>
          <w:p w14:paraId="4A1C2E2B">
            <w:pPr>
              <w:rPr>
                <w:rFonts w:ascii="Arial"/>
                <w:sz w:val="21"/>
              </w:rPr>
            </w:pPr>
          </w:p>
        </w:tc>
        <w:tc>
          <w:tcPr>
            <w:tcW w:w="1554" w:type="dxa"/>
            <w:vAlign w:val="top"/>
          </w:tcPr>
          <w:p w14:paraId="35D6389E">
            <w:pPr>
              <w:pStyle w:val="6"/>
              <w:spacing w:before="99" w:line="214" w:lineRule="auto"/>
              <w:ind w:left="343"/>
            </w:pPr>
            <w:r>
              <w:rPr>
                <w:spacing w:val="-1"/>
              </w:rPr>
              <w:t>2019/1/16</w:t>
            </w:r>
          </w:p>
        </w:tc>
        <w:tc>
          <w:tcPr>
            <w:tcW w:w="892" w:type="dxa"/>
            <w:vAlign w:val="top"/>
          </w:tcPr>
          <w:p w14:paraId="3548C32A">
            <w:pPr>
              <w:pStyle w:val="6"/>
              <w:spacing w:before="99" w:line="214" w:lineRule="auto"/>
              <w:ind w:left="288"/>
            </w:pPr>
            <w:r>
              <w:rPr>
                <w:spacing w:val="-2"/>
              </w:rPr>
              <w:t>798</w:t>
            </w:r>
          </w:p>
        </w:tc>
        <w:tc>
          <w:tcPr>
            <w:tcW w:w="892" w:type="dxa"/>
            <w:vAlign w:val="top"/>
          </w:tcPr>
          <w:p w14:paraId="20D018F2">
            <w:pPr>
              <w:pStyle w:val="6"/>
              <w:spacing w:before="103" w:line="210" w:lineRule="auto"/>
              <w:ind w:left="297"/>
            </w:pPr>
            <w:r>
              <w:rPr>
                <w:b/>
                <w:bCs/>
                <w:spacing w:val="-4"/>
              </w:rPr>
              <w:t>162</w:t>
            </w:r>
          </w:p>
        </w:tc>
        <w:tc>
          <w:tcPr>
            <w:tcW w:w="892" w:type="dxa"/>
            <w:vAlign w:val="top"/>
          </w:tcPr>
          <w:p w14:paraId="7668DEF6">
            <w:pPr>
              <w:pStyle w:val="6"/>
              <w:spacing w:before="99" w:line="214" w:lineRule="auto"/>
              <w:ind w:left="268"/>
            </w:pPr>
            <w:r>
              <w:rPr>
                <w:spacing w:val="-2"/>
              </w:rPr>
              <w:t>7.19</w:t>
            </w:r>
          </w:p>
        </w:tc>
        <w:tc>
          <w:tcPr>
            <w:tcW w:w="892" w:type="dxa"/>
            <w:vAlign w:val="top"/>
          </w:tcPr>
          <w:p w14:paraId="256EB802">
            <w:pPr>
              <w:pStyle w:val="6"/>
              <w:spacing w:before="99" w:line="214" w:lineRule="auto"/>
              <w:ind w:left="272"/>
            </w:pPr>
            <w:r>
              <w:rPr>
                <w:spacing w:val="-3"/>
              </w:rPr>
              <w:t>6.76</w:t>
            </w:r>
          </w:p>
        </w:tc>
        <w:tc>
          <w:tcPr>
            <w:tcW w:w="891" w:type="dxa"/>
            <w:vAlign w:val="top"/>
          </w:tcPr>
          <w:p w14:paraId="779CD6A4">
            <w:pPr>
              <w:pStyle w:val="6"/>
              <w:spacing w:before="99" w:line="214" w:lineRule="auto"/>
              <w:ind w:left="274"/>
            </w:pPr>
            <w:r>
              <w:rPr>
                <w:spacing w:val="-2"/>
              </w:rPr>
              <w:t>0.19</w:t>
            </w:r>
          </w:p>
        </w:tc>
        <w:tc>
          <w:tcPr>
            <w:tcW w:w="906" w:type="dxa"/>
            <w:tcBorders>
              <w:right w:val="single" w:color="000000" w:sz="12" w:space="0"/>
            </w:tcBorders>
            <w:vAlign w:val="top"/>
          </w:tcPr>
          <w:p w14:paraId="0BB45EC3">
            <w:pPr>
              <w:pStyle w:val="6"/>
              <w:spacing w:before="99" w:line="214" w:lineRule="auto"/>
              <w:ind w:left="277"/>
            </w:pPr>
            <w:r>
              <w:rPr>
                <w:spacing w:val="-2"/>
              </w:rPr>
              <w:t>0.06</w:t>
            </w:r>
          </w:p>
        </w:tc>
      </w:tr>
      <w:tr w14:paraId="6ACD2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6364794D">
            <w:pPr>
              <w:rPr>
                <w:rFonts w:ascii="Arial"/>
                <w:sz w:val="21"/>
              </w:rPr>
            </w:pPr>
          </w:p>
        </w:tc>
        <w:tc>
          <w:tcPr>
            <w:tcW w:w="423" w:type="dxa"/>
            <w:vMerge w:val="continue"/>
            <w:tcBorders>
              <w:top w:val="nil"/>
            </w:tcBorders>
            <w:vAlign w:val="top"/>
          </w:tcPr>
          <w:p w14:paraId="61B23B97">
            <w:pPr>
              <w:rPr>
                <w:rFonts w:ascii="Arial"/>
                <w:sz w:val="21"/>
              </w:rPr>
            </w:pPr>
          </w:p>
        </w:tc>
        <w:tc>
          <w:tcPr>
            <w:tcW w:w="1554" w:type="dxa"/>
            <w:vAlign w:val="top"/>
          </w:tcPr>
          <w:p w14:paraId="32E3370B">
            <w:pPr>
              <w:pStyle w:val="6"/>
              <w:spacing w:before="101" w:line="212" w:lineRule="auto"/>
              <w:ind w:left="343"/>
            </w:pPr>
            <w:r>
              <w:rPr>
                <w:spacing w:val="-1"/>
              </w:rPr>
              <w:t>2019/1/17</w:t>
            </w:r>
          </w:p>
        </w:tc>
        <w:tc>
          <w:tcPr>
            <w:tcW w:w="892" w:type="dxa"/>
            <w:vAlign w:val="top"/>
          </w:tcPr>
          <w:p w14:paraId="633A6190">
            <w:pPr>
              <w:pStyle w:val="6"/>
              <w:spacing w:before="101" w:line="212" w:lineRule="auto"/>
              <w:ind w:left="288"/>
            </w:pPr>
            <w:r>
              <w:rPr>
                <w:spacing w:val="-2"/>
              </w:rPr>
              <w:t>788</w:t>
            </w:r>
          </w:p>
        </w:tc>
        <w:tc>
          <w:tcPr>
            <w:tcW w:w="892" w:type="dxa"/>
            <w:vAlign w:val="top"/>
          </w:tcPr>
          <w:p w14:paraId="41584F3E">
            <w:pPr>
              <w:pStyle w:val="6"/>
              <w:spacing w:before="105" w:line="208" w:lineRule="auto"/>
              <w:ind w:left="297"/>
            </w:pPr>
            <w:r>
              <w:rPr>
                <w:b/>
                <w:bCs/>
                <w:spacing w:val="-4"/>
              </w:rPr>
              <w:t>168</w:t>
            </w:r>
          </w:p>
        </w:tc>
        <w:tc>
          <w:tcPr>
            <w:tcW w:w="892" w:type="dxa"/>
            <w:vAlign w:val="top"/>
          </w:tcPr>
          <w:p w14:paraId="1E244CC9">
            <w:pPr>
              <w:pStyle w:val="6"/>
              <w:spacing w:before="101" w:line="212" w:lineRule="auto"/>
              <w:ind w:left="268"/>
            </w:pPr>
            <w:r>
              <w:rPr>
                <w:spacing w:val="-2"/>
              </w:rPr>
              <w:t>7.25</w:t>
            </w:r>
          </w:p>
        </w:tc>
        <w:tc>
          <w:tcPr>
            <w:tcW w:w="892" w:type="dxa"/>
            <w:vAlign w:val="top"/>
          </w:tcPr>
          <w:p w14:paraId="48F1A192">
            <w:pPr>
              <w:pStyle w:val="6"/>
              <w:spacing w:before="101" w:line="212" w:lineRule="auto"/>
              <w:ind w:left="272"/>
            </w:pPr>
            <w:r>
              <w:rPr>
                <w:spacing w:val="-3"/>
              </w:rPr>
              <w:t>6.81</w:t>
            </w:r>
          </w:p>
        </w:tc>
        <w:tc>
          <w:tcPr>
            <w:tcW w:w="891" w:type="dxa"/>
            <w:vAlign w:val="top"/>
          </w:tcPr>
          <w:p w14:paraId="69E74DFF">
            <w:pPr>
              <w:pStyle w:val="6"/>
              <w:spacing w:before="101" w:line="212" w:lineRule="auto"/>
              <w:ind w:left="274"/>
            </w:pPr>
            <w:r>
              <w:rPr>
                <w:spacing w:val="-2"/>
              </w:rPr>
              <w:t>0.23</w:t>
            </w:r>
          </w:p>
        </w:tc>
        <w:tc>
          <w:tcPr>
            <w:tcW w:w="906" w:type="dxa"/>
            <w:tcBorders>
              <w:right w:val="single" w:color="000000" w:sz="12" w:space="0"/>
            </w:tcBorders>
            <w:vAlign w:val="top"/>
          </w:tcPr>
          <w:p w14:paraId="4353CBF5">
            <w:pPr>
              <w:pStyle w:val="6"/>
              <w:spacing w:before="101" w:line="212" w:lineRule="auto"/>
              <w:ind w:left="214"/>
            </w:pPr>
            <w:r>
              <w:rPr>
                <w:spacing w:val="-2"/>
              </w:rPr>
              <w:t>0.06L</w:t>
            </w:r>
          </w:p>
        </w:tc>
      </w:tr>
      <w:tr w14:paraId="560B5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7307DA47">
            <w:pPr>
              <w:rPr>
                <w:rFonts w:ascii="Arial"/>
                <w:sz w:val="21"/>
              </w:rPr>
            </w:pPr>
          </w:p>
        </w:tc>
        <w:tc>
          <w:tcPr>
            <w:tcW w:w="423" w:type="dxa"/>
            <w:vMerge w:val="restart"/>
            <w:tcBorders>
              <w:bottom w:val="nil"/>
            </w:tcBorders>
            <w:vAlign w:val="top"/>
          </w:tcPr>
          <w:p w14:paraId="004137F2">
            <w:pPr>
              <w:pStyle w:val="6"/>
              <w:spacing w:before="167" w:line="222" w:lineRule="auto"/>
              <w:ind w:left="148"/>
            </w:pPr>
            <w:r>
              <w:t>2</w:t>
            </w:r>
          </w:p>
          <w:p w14:paraId="45060975">
            <w:pPr>
              <w:spacing w:line="219" w:lineRule="auto"/>
              <w:ind w:left="100"/>
              <w:rPr>
                <w:rFonts w:ascii="宋体" w:hAnsi="宋体" w:eastAsia="宋体" w:cs="宋体"/>
                <w:sz w:val="21"/>
                <w:szCs w:val="21"/>
              </w:rPr>
            </w:pPr>
            <w:r>
              <w:rPr>
                <w:rFonts w:ascii="宋体" w:hAnsi="宋体" w:eastAsia="宋体" w:cs="宋体"/>
                <w:sz w:val="21"/>
                <w:szCs w:val="21"/>
              </w:rPr>
              <w:t>季</w:t>
            </w:r>
          </w:p>
          <w:p w14:paraId="6B1BD42B">
            <w:pPr>
              <w:spacing w:before="23"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67ED95FE">
            <w:pPr>
              <w:pStyle w:val="6"/>
              <w:spacing w:before="102" w:line="213" w:lineRule="auto"/>
              <w:ind w:left="343"/>
            </w:pPr>
            <w:r>
              <w:rPr>
                <w:spacing w:val="-1"/>
              </w:rPr>
              <w:t>2019/5/10</w:t>
            </w:r>
          </w:p>
        </w:tc>
        <w:tc>
          <w:tcPr>
            <w:tcW w:w="892" w:type="dxa"/>
            <w:vAlign w:val="top"/>
          </w:tcPr>
          <w:p w14:paraId="6373D91D">
            <w:pPr>
              <w:pStyle w:val="6"/>
              <w:spacing w:before="102" w:line="213" w:lineRule="auto"/>
              <w:ind w:left="336"/>
            </w:pPr>
            <w:r>
              <w:rPr>
                <w:spacing w:val="-1"/>
              </w:rPr>
              <w:t>45</w:t>
            </w:r>
          </w:p>
        </w:tc>
        <w:tc>
          <w:tcPr>
            <w:tcW w:w="892" w:type="dxa"/>
            <w:vAlign w:val="top"/>
          </w:tcPr>
          <w:p w14:paraId="446E4E72">
            <w:pPr>
              <w:pStyle w:val="6"/>
              <w:spacing w:before="102" w:line="213" w:lineRule="auto"/>
              <w:ind w:left="360"/>
            </w:pPr>
            <w:r>
              <w:rPr>
                <w:spacing w:val="-6"/>
              </w:rPr>
              <w:t>18</w:t>
            </w:r>
          </w:p>
        </w:tc>
        <w:tc>
          <w:tcPr>
            <w:tcW w:w="892" w:type="dxa"/>
            <w:vAlign w:val="top"/>
          </w:tcPr>
          <w:p w14:paraId="5E661508">
            <w:pPr>
              <w:pStyle w:val="6"/>
              <w:spacing w:before="102" w:line="213" w:lineRule="auto"/>
              <w:ind w:left="268"/>
            </w:pPr>
            <w:r>
              <w:rPr>
                <w:spacing w:val="-2"/>
              </w:rPr>
              <w:t>7.24</w:t>
            </w:r>
          </w:p>
        </w:tc>
        <w:tc>
          <w:tcPr>
            <w:tcW w:w="892" w:type="dxa"/>
            <w:vAlign w:val="top"/>
          </w:tcPr>
          <w:p w14:paraId="674E71C4">
            <w:pPr>
              <w:pStyle w:val="6"/>
              <w:spacing w:before="102" w:line="213" w:lineRule="auto"/>
              <w:ind w:left="272"/>
            </w:pPr>
            <w:r>
              <w:rPr>
                <w:spacing w:val="-3"/>
              </w:rPr>
              <w:t>6.74</w:t>
            </w:r>
          </w:p>
        </w:tc>
        <w:tc>
          <w:tcPr>
            <w:tcW w:w="891" w:type="dxa"/>
            <w:vAlign w:val="top"/>
          </w:tcPr>
          <w:p w14:paraId="156EF9A0">
            <w:pPr>
              <w:pStyle w:val="6"/>
              <w:spacing w:before="102" w:line="213" w:lineRule="auto"/>
              <w:ind w:left="274"/>
            </w:pPr>
            <w:r>
              <w:rPr>
                <w:spacing w:val="-2"/>
              </w:rPr>
              <w:t>0.13</w:t>
            </w:r>
          </w:p>
        </w:tc>
        <w:tc>
          <w:tcPr>
            <w:tcW w:w="906" w:type="dxa"/>
            <w:tcBorders>
              <w:right w:val="single" w:color="000000" w:sz="12" w:space="0"/>
            </w:tcBorders>
            <w:vAlign w:val="top"/>
          </w:tcPr>
          <w:p w14:paraId="70902DE9">
            <w:pPr>
              <w:pStyle w:val="6"/>
              <w:spacing w:before="102" w:line="213" w:lineRule="auto"/>
              <w:ind w:left="277"/>
            </w:pPr>
            <w:r>
              <w:rPr>
                <w:spacing w:val="-2"/>
              </w:rPr>
              <w:t>0.09</w:t>
            </w:r>
          </w:p>
        </w:tc>
      </w:tr>
      <w:tr w14:paraId="3F399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73903DD3">
            <w:pPr>
              <w:rPr>
                <w:rFonts w:ascii="Arial"/>
                <w:sz w:val="21"/>
              </w:rPr>
            </w:pPr>
          </w:p>
        </w:tc>
        <w:tc>
          <w:tcPr>
            <w:tcW w:w="423" w:type="dxa"/>
            <w:vMerge w:val="continue"/>
            <w:tcBorders>
              <w:top w:val="nil"/>
              <w:bottom w:val="nil"/>
            </w:tcBorders>
            <w:vAlign w:val="top"/>
          </w:tcPr>
          <w:p w14:paraId="6B70E272">
            <w:pPr>
              <w:rPr>
                <w:rFonts w:ascii="Arial"/>
                <w:sz w:val="21"/>
              </w:rPr>
            </w:pPr>
          </w:p>
        </w:tc>
        <w:tc>
          <w:tcPr>
            <w:tcW w:w="1554" w:type="dxa"/>
            <w:vAlign w:val="top"/>
          </w:tcPr>
          <w:p w14:paraId="45E6BC58">
            <w:pPr>
              <w:pStyle w:val="6"/>
              <w:spacing w:before="102" w:line="212" w:lineRule="auto"/>
              <w:ind w:left="343"/>
            </w:pPr>
            <w:r>
              <w:rPr>
                <w:spacing w:val="-1"/>
              </w:rPr>
              <w:t>2019/5/11</w:t>
            </w:r>
          </w:p>
        </w:tc>
        <w:tc>
          <w:tcPr>
            <w:tcW w:w="892" w:type="dxa"/>
            <w:vAlign w:val="top"/>
          </w:tcPr>
          <w:p w14:paraId="540E658F">
            <w:pPr>
              <w:pStyle w:val="6"/>
              <w:spacing w:before="102" w:line="212" w:lineRule="auto"/>
              <w:ind w:left="336"/>
            </w:pPr>
            <w:r>
              <w:rPr>
                <w:spacing w:val="-1"/>
              </w:rPr>
              <w:t>48</w:t>
            </w:r>
          </w:p>
        </w:tc>
        <w:tc>
          <w:tcPr>
            <w:tcW w:w="892" w:type="dxa"/>
            <w:vAlign w:val="top"/>
          </w:tcPr>
          <w:p w14:paraId="0059E87E">
            <w:pPr>
              <w:pStyle w:val="6"/>
              <w:spacing w:before="102" w:line="212" w:lineRule="auto"/>
              <w:ind w:left="360"/>
            </w:pPr>
            <w:r>
              <w:rPr>
                <w:spacing w:val="-6"/>
              </w:rPr>
              <w:t>15</w:t>
            </w:r>
          </w:p>
        </w:tc>
        <w:tc>
          <w:tcPr>
            <w:tcW w:w="892" w:type="dxa"/>
            <w:vAlign w:val="top"/>
          </w:tcPr>
          <w:p w14:paraId="2ECDAE7C">
            <w:pPr>
              <w:pStyle w:val="6"/>
              <w:spacing w:before="102" w:line="212" w:lineRule="auto"/>
              <w:ind w:left="268"/>
            </w:pPr>
            <w:r>
              <w:rPr>
                <w:spacing w:val="-2"/>
              </w:rPr>
              <w:t>7.21</w:t>
            </w:r>
          </w:p>
        </w:tc>
        <w:tc>
          <w:tcPr>
            <w:tcW w:w="892" w:type="dxa"/>
            <w:vAlign w:val="top"/>
          </w:tcPr>
          <w:p w14:paraId="66E31F68">
            <w:pPr>
              <w:pStyle w:val="6"/>
              <w:spacing w:before="102" w:line="212" w:lineRule="auto"/>
              <w:ind w:left="272"/>
            </w:pPr>
            <w:r>
              <w:rPr>
                <w:spacing w:val="-3"/>
              </w:rPr>
              <w:t>6.83</w:t>
            </w:r>
          </w:p>
        </w:tc>
        <w:tc>
          <w:tcPr>
            <w:tcW w:w="891" w:type="dxa"/>
            <w:vAlign w:val="top"/>
          </w:tcPr>
          <w:p w14:paraId="48F315C4">
            <w:pPr>
              <w:pStyle w:val="6"/>
              <w:spacing w:before="102" w:line="212" w:lineRule="auto"/>
              <w:ind w:left="274"/>
            </w:pPr>
            <w:r>
              <w:rPr>
                <w:spacing w:val="-2"/>
              </w:rPr>
              <w:t>0.12</w:t>
            </w:r>
          </w:p>
        </w:tc>
        <w:tc>
          <w:tcPr>
            <w:tcW w:w="906" w:type="dxa"/>
            <w:tcBorders>
              <w:right w:val="single" w:color="000000" w:sz="12" w:space="0"/>
            </w:tcBorders>
            <w:vAlign w:val="top"/>
          </w:tcPr>
          <w:p w14:paraId="40558B70">
            <w:pPr>
              <w:pStyle w:val="6"/>
              <w:spacing w:before="102" w:line="212" w:lineRule="auto"/>
              <w:ind w:left="277"/>
            </w:pPr>
            <w:r>
              <w:rPr>
                <w:spacing w:val="-2"/>
              </w:rPr>
              <w:t>0.07</w:t>
            </w:r>
          </w:p>
        </w:tc>
      </w:tr>
      <w:tr w14:paraId="35034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112771A5">
            <w:pPr>
              <w:rPr>
                <w:rFonts w:ascii="Arial"/>
                <w:sz w:val="21"/>
              </w:rPr>
            </w:pPr>
          </w:p>
        </w:tc>
        <w:tc>
          <w:tcPr>
            <w:tcW w:w="423" w:type="dxa"/>
            <w:vMerge w:val="continue"/>
            <w:tcBorders>
              <w:top w:val="nil"/>
            </w:tcBorders>
            <w:vAlign w:val="top"/>
          </w:tcPr>
          <w:p w14:paraId="5515F1A2">
            <w:pPr>
              <w:rPr>
                <w:rFonts w:ascii="Arial"/>
                <w:sz w:val="21"/>
              </w:rPr>
            </w:pPr>
          </w:p>
        </w:tc>
        <w:tc>
          <w:tcPr>
            <w:tcW w:w="1554" w:type="dxa"/>
            <w:vAlign w:val="top"/>
          </w:tcPr>
          <w:p w14:paraId="4CD1594E">
            <w:pPr>
              <w:pStyle w:val="6"/>
              <w:spacing w:before="102" w:line="213" w:lineRule="auto"/>
              <w:ind w:left="343"/>
            </w:pPr>
            <w:r>
              <w:rPr>
                <w:spacing w:val="-1"/>
              </w:rPr>
              <w:t>2019/5/12</w:t>
            </w:r>
          </w:p>
        </w:tc>
        <w:tc>
          <w:tcPr>
            <w:tcW w:w="892" w:type="dxa"/>
            <w:vAlign w:val="top"/>
          </w:tcPr>
          <w:p w14:paraId="467752F9">
            <w:pPr>
              <w:pStyle w:val="6"/>
              <w:spacing w:before="102" w:line="213" w:lineRule="auto"/>
              <w:ind w:left="336"/>
            </w:pPr>
            <w:r>
              <w:rPr>
                <w:spacing w:val="-1"/>
              </w:rPr>
              <w:t>43</w:t>
            </w:r>
          </w:p>
        </w:tc>
        <w:tc>
          <w:tcPr>
            <w:tcW w:w="892" w:type="dxa"/>
            <w:vAlign w:val="top"/>
          </w:tcPr>
          <w:p w14:paraId="3E47E2F0">
            <w:pPr>
              <w:pStyle w:val="6"/>
              <w:spacing w:before="102" w:line="213" w:lineRule="auto"/>
              <w:ind w:left="360"/>
            </w:pPr>
            <w:r>
              <w:rPr>
                <w:spacing w:val="-6"/>
              </w:rPr>
              <w:t>17</w:t>
            </w:r>
          </w:p>
        </w:tc>
        <w:tc>
          <w:tcPr>
            <w:tcW w:w="892" w:type="dxa"/>
            <w:vAlign w:val="top"/>
          </w:tcPr>
          <w:p w14:paraId="2B4F2D70">
            <w:pPr>
              <w:pStyle w:val="6"/>
              <w:spacing w:before="102" w:line="213" w:lineRule="auto"/>
              <w:ind w:left="268"/>
            </w:pPr>
            <w:r>
              <w:rPr>
                <w:spacing w:val="-2"/>
              </w:rPr>
              <w:t>7.23</w:t>
            </w:r>
          </w:p>
        </w:tc>
        <w:tc>
          <w:tcPr>
            <w:tcW w:w="892" w:type="dxa"/>
            <w:vAlign w:val="top"/>
          </w:tcPr>
          <w:p w14:paraId="671404F6">
            <w:pPr>
              <w:pStyle w:val="6"/>
              <w:spacing w:before="102" w:line="213" w:lineRule="auto"/>
              <w:ind w:left="272"/>
            </w:pPr>
            <w:r>
              <w:rPr>
                <w:spacing w:val="-3"/>
              </w:rPr>
              <w:t>6.81</w:t>
            </w:r>
          </w:p>
        </w:tc>
        <w:tc>
          <w:tcPr>
            <w:tcW w:w="891" w:type="dxa"/>
            <w:vAlign w:val="top"/>
          </w:tcPr>
          <w:p w14:paraId="21C00889">
            <w:pPr>
              <w:pStyle w:val="6"/>
              <w:spacing w:before="102" w:line="213" w:lineRule="auto"/>
              <w:ind w:left="274"/>
            </w:pPr>
            <w:r>
              <w:rPr>
                <w:spacing w:val="-2"/>
              </w:rPr>
              <w:t>0.17</w:t>
            </w:r>
          </w:p>
        </w:tc>
        <w:tc>
          <w:tcPr>
            <w:tcW w:w="906" w:type="dxa"/>
            <w:tcBorders>
              <w:right w:val="single" w:color="000000" w:sz="12" w:space="0"/>
            </w:tcBorders>
            <w:vAlign w:val="top"/>
          </w:tcPr>
          <w:p w14:paraId="2987C4B2">
            <w:pPr>
              <w:pStyle w:val="6"/>
              <w:spacing w:before="102" w:line="213" w:lineRule="auto"/>
              <w:ind w:left="277"/>
            </w:pPr>
            <w:r>
              <w:rPr>
                <w:spacing w:val="-2"/>
              </w:rPr>
              <w:t>0.08</w:t>
            </w:r>
          </w:p>
        </w:tc>
      </w:tr>
      <w:tr w14:paraId="7C16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BE3BB91">
            <w:pPr>
              <w:rPr>
                <w:rFonts w:ascii="Arial"/>
                <w:sz w:val="21"/>
              </w:rPr>
            </w:pPr>
          </w:p>
        </w:tc>
        <w:tc>
          <w:tcPr>
            <w:tcW w:w="423" w:type="dxa"/>
            <w:vMerge w:val="restart"/>
            <w:tcBorders>
              <w:bottom w:val="nil"/>
            </w:tcBorders>
            <w:vAlign w:val="top"/>
          </w:tcPr>
          <w:p w14:paraId="061168EA">
            <w:pPr>
              <w:pStyle w:val="6"/>
              <w:spacing w:before="166" w:line="222" w:lineRule="auto"/>
              <w:ind w:left="152"/>
            </w:pPr>
            <w:r>
              <w:t>3</w:t>
            </w:r>
          </w:p>
          <w:p w14:paraId="31E4EADA">
            <w:pPr>
              <w:spacing w:line="219" w:lineRule="auto"/>
              <w:ind w:left="100"/>
              <w:rPr>
                <w:rFonts w:ascii="宋体" w:hAnsi="宋体" w:eastAsia="宋体" w:cs="宋体"/>
                <w:sz w:val="21"/>
                <w:szCs w:val="21"/>
              </w:rPr>
            </w:pPr>
            <w:r>
              <w:rPr>
                <w:rFonts w:ascii="宋体" w:hAnsi="宋体" w:eastAsia="宋体" w:cs="宋体"/>
                <w:sz w:val="21"/>
                <w:szCs w:val="21"/>
              </w:rPr>
              <w:t>季</w:t>
            </w:r>
          </w:p>
          <w:p w14:paraId="4DF82486">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5EECC2E4">
            <w:pPr>
              <w:pStyle w:val="6"/>
              <w:spacing w:before="101" w:line="212" w:lineRule="auto"/>
              <w:ind w:left="343"/>
            </w:pPr>
            <w:r>
              <w:rPr>
                <w:spacing w:val="-1"/>
              </w:rPr>
              <w:t>2019/8/06</w:t>
            </w:r>
          </w:p>
        </w:tc>
        <w:tc>
          <w:tcPr>
            <w:tcW w:w="892" w:type="dxa"/>
            <w:vAlign w:val="top"/>
          </w:tcPr>
          <w:p w14:paraId="5137A84A">
            <w:pPr>
              <w:pStyle w:val="6"/>
              <w:spacing w:before="101" w:line="212" w:lineRule="auto"/>
              <w:ind w:left="304"/>
            </w:pPr>
            <w:r>
              <w:rPr>
                <w:spacing w:val="-6"/>
              </w:rPr>
              <w:t>163</w:t>
            </w:r>
          </w:p>
        </w:tc>
        <w:tc>
          <w:tcPr>
            <w:tcW w:w="892" w:type="dxa"/>
            <w:vAlign w:val="top"/>
          </w:tcPr>
          <w:p w14:paraId="4963D9B0">
            <w:pPr>
              <w:pStyle w:val="6"/>
              <w:spacing w:before="106" w:line="207" w:lineRule="auto"/>
              <w:ind w:left="297"/>
            </w:pPr>
            <w:r>
              <w:rPr>
                <w:b/>
                <w:bCs/>
                <w:spacing w:val="-4"/>
              </w:rPr>
              <w:t>163</w:t>
            </w:r>
          </w:p>
        </w:tc>
        <w:tc>
          <w:tcPr>
            <w:tcW w:w="892" w:type="dxa"/>
            <w:vAlign w:val="top"/>
          </w:tcPr>
          <w:p w14:paraId="6DA1A858">
            <w:pPr>
              <w:pStyle w:val="6"/>
              <w:spacing w:before="101" w:line="212" w:lineRule="auto"/>
              <w:ind w:left="268"/>
            </w:pPr>
            <w:r>
              <w:rPr>
                <w:spacing w:val="-2"/>
              </w:rPr>
              <w:t>7.24</w:t>
            </w:r>
          </w:p>
        </w:tc>
        <w:tc>
          <w:tcPr>
            <w:tcW w:w="892" w:type="dxa"/>
            <w:vAlign w:val="top"/>
          </w:tcPr>
          <w:p w14:paraId="1F4215A1">
            <w:pPr>
              <w:pStyle w:val="6"/>
              <w:spacing w:before="101" w:line="212" w:lineRule="auto"/>
              <w:ind w:left="271"/>
            </w:pPr>
            <w:r>
              <w:rPr>
                <w:spacing w:val="-2"/>
              </w:rPr>
              <w:t>7.24</w:t>
            </w:r>
          </w:p>
        </w:tc>
        <w:tc>
          <w:tcPr>
            <w:tcW w:w="891" w:type="dxa"/>
            <w:vAlign w:val="top"/>
          </w:tcPr>
          <w:p w14:paraId="6D425A8B">
            <w:pPr>
              <w:pStyle w:val="6"/>
              <w:spacing w:before="101" w:line="212" w:lineRule="auto"/>
              <w:ind w:left="274"/>
            </w:pPr>
            <w:r>
              <w:rPr>
                <w:spacing w:val="-2"/>
              </w:rPr>
              <w:t>0.19</w:t>
            </w:r>
          </w:p>
        </w:tc>
        <w:tc>
          <w:tcPr>
            <w:tcW w:w="906" w:type="dxa"/>
            <w:tcBorders>
              <w:right w:val="single" w:color="000000" w:sz="12" w:space="0"/>
            </w:tcBorders>
            <w:vAlign w:val="top"/>
          </w:tcPr>
          <w:p w14:paraId="72E05143">
            <w:pPr>
              <w:pStyle w:val="6"/>
              <w:spacing w:before="101" w:line="212" w:lineRule="auto"/>
              <w:ind w:left="277"/>
            </w:pPr>
            <w:r>
              <w:rPr>
                <w:spacing w:val="-2"/>
              </w:rPr>
              <w:t>0.19</w:t>
            </w:r>
          </w:p>
        </w:tc>
      </w:tr>
      <w:tr w14:paraId="4B030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DD8BE63">
            <w:pPr>
              <w:rPr>
                <w:rFonts w:ascii="Arial"/>
                <w:sz w:val="21"/>
              </w:rPr>
            </w:pPr>
          </w:p>
        </w:tc>
        <w:tc>
          <w:tcPr>
            <w:tcW w:w="423" w:type="dxa"/>
            <w:vMerge w:val="continue"/>
            <w:tcBorders>
              <w:top w:val="nil"/>
              <w:bottom w:val="nil"/>
            </w:tcBorders>
            <w:vAlign w:val="top"/>
          </w:tcPr>
          <w:p w14:paraId="3D024EF9">
            <w:pPr>
              <w:rPr>
                <w:rFonts w:ascii="Arial"/>
                <w:sz w:val="21"/>
              </w:rPr>
            </w:pPr>
          </w:p>
        </w:tc>
        <w:tc>
          <w:tcPr>
            <w:tcW w:w="1554" w:type="dxa"/>
            <w:vAlign w:val="top"/>
          </w:tcPr>
          <w:p w14:paraId="5107AFAD">
            <w:pPr>
              <w:pStyle w:val="6"/>
              <w:spacing w:before="104" w:line="209" w:lineRule="auto"/>
              <w:ind w:left="343"/>
            </w:pPr>
            <w:r>
              <w:rPr>
                <w:spacing w:val="-1"/>
              </w:rPr>
              <w:t>2019/8/07</w:t>
            </w:r>
          </w:p>
        </w:tc>
        <w:tc>
          <w:tcPr>
            <w:tcW w:w="892" w:type="dxa"/>
            <w:vAlign w:val="top"/>
          </w:tcPr>
          <w:p w14:paraId="6BB7C901">
            <w:pPr>
              <w:pStyle w:val="6"/>
              <w:spacing w:before="104" w:line="209" w:lineRule="auto"/>
              <w:ind w:left="304"/>
            </w:pPr>
            <w:r>
              <w:rPr>
                <w:spacing w:val="-6"/>
              </w:rPr>
              <w:t>147</w:t>
            </w:r>
          </w:p>
        </w:tc>
        <w:tc>
          <w:tcPr>
            <w:tcW w:w="892" w:type="dxa"/>
            <w:vAlign w:val="top"/>
          </w:tcPr>
          <w:p w14:paraId="25F358EC">
            <w:pPr>
              <w:pStyle w:val="6"/>
              <w:spacing w:before="108" w:line="205" w:lineRule="auto"/>
              <w:ind w:left="297"/>
            </w:pPr>
            <w:r>
              <w:rPr>
                <w:b/>
                <w:bCs/>
                <w:spacing w:val="-4"/>
              </w:rPr>
              <w:t>147</w:t>
            </w:r>
          </w:p>
        </w:tc>
        <w:tc>
          <w:tcPr>
            <w:tcW w:w="892" w:type="dxa"/>
            <w:vAlign w:val="top"/>
          </w:tcPr>
          <w:p w14:paraId="4FF4D54C">
            <w:pPr>
              <w:pStyle w:val="6"/>
              <w:spacing w:before="104" w:line="209" w:lineRule="auto"/>
              <w:ind w:left="268"/>
            </w:pPr>
            <w:r>
              <w:rPr>
                <w:spacing w:val="-2"/>
              </w:rPr>
              <w:t>7.21</w:t>
            </w:r>
          </w:p>
        </w:tc>
        <w:tc>
          <w:tcPr>
            <w:tcW w:w="892" w:type="dxa"/>
            <w:vAlign w:val="top"/>
          </w:tcPr>
          <w:p w14:paraId="0C094355">
            <w:pPr>
              <w:pStyle w:val="6"/>
              <w:spacing w:before="104" w:line="209" w:lineRule="auto"/>
              <w:ind w:left="271"/>
            </w:pPr>
            <w:r>
              <w:rPr>
                <w:spacing w:val="-2"/>
              </w:rPr>
              <w:t>7.21</w:t>
            </w:r>
          </w:p>
        </w:tc>
        <w:tc>
          <w:tcPr>
            <w:tcW w:w="891" w:type="dxa"/>
            <w:vAlign w:val="top"/>
          </w:tcPr>
          <w:p w14:paraId="6D35868C">
            <w:pPr>
              <w:pStyle w:val="6"/>
              <w:spacing w:before="104" w:line="209" w:lineRule="auto"/>
              <w:ind w:left="274"/>
            </w:pPr>
            <w:r>
              <w:rPr>
                <w:spacing w:val="-2"/>
              </w:rPr>
              <w:t>0.17</w:t>
            </w:r>
          </w:p>
        </w:tc>
        <w:tc>
          <w:tcPr>
            <w:tcW w:w="906" w:type="dxa"/>
            <w:tcBorders>
              <w:right w:val="single" w:color="000000" w:sz="12" w:space="0"/>
            </w:tcBorders>
            <w:vAlign w:val="top"/>
          </w:tcPr>
          <w:p w14:paraId="4F06A5F7">
            <w:pPr>
              <w:pStyle w:val="6"/>
              <w:spacing w:before="104" w:line="209" w:lineRule="auto"/>
              <w:ind w:left="277"/>
            </w:pPr>
            <w:r>
              <w:rPr>
                <w:spacing w:val="-2"/>
              </w:rPr>
              <w:t>0.17</w:t>
            </w:r>
          </w:p>
        </w:tc>
      </w:tr>
      <w:tr w14:paraId="7B76D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4FBFA5D9">
            <w:pPr>
              <w:rPr>
                <w:rFonts w:ascii="Arial"/>
                <w:sz w:val="21"/>
              </w:rPr>
            </w:pPr>
          </w:p>
        </w:tc>
        <w:tc>
          <w:tcPr>
            <w:tcW w:w="423" w:type="dxa"/>
            <w:vMerge w:val="continue"/>
            <w:tcBorders>
              <w:top w:val="nil"/>
            </w:tcBorders>
            <w:vAlign w:val="top"/>
          </w:tcPr>
          <w:p w14:paraId="2EA9B9A3">
            <w:pPr>
              <w:rPr>
                <w:rFonts w:ascii="Arial"/>
                <w:sz w:val="21"/>
              </w:rPr>
            </w:pPr>
          </w:p>
        </w:tc>
        <w:tc>
          <w:tcPr>
            <w:tcW w:w="1554" w:type="dxa"/>
            <w:vAlign w:val="top"/>
          </w:tcPr>
          <w:p w14:paraId="4AEF7E82">
            <w:pPr>
              <w:pStyle w:val="6"/>
              <w:spacing w:before="105" w:line="210" w:lineRule="auto"/>
              <w:ind w:left="343"/>
            </w:pPr>
            <w:r>
              <w:rPr>
                <w:spacing w:val="-1"/>
              </w:rPr>
              <w:t>2019/8/08</w:t>
            </w:r>
          </w:p>
        </w:tc>
        <w:tc>
          <w:tcPr>
            <w:tcW w:w="892" w:type="dxa"/>
            <w:vAlign w:val="top"/>
          </w:tcPr>
          <w:p w14:paraId="5D290BF0">
            <w:pPr>
              <w:pStyle w:val="6"/>
              <w:spacing w:before="105" w:line="210" w:lineRule="auto"/>
              <w:ind w:left="304"/>
            </w:pPr>
            <w:r>
              <w:rPr>
                <w:spacing w:val="-6"/>
              </w:rPr>
              <w:t>153</w:t>
            </w:r>
          </w:p>
        </w:tc>
        <w:tc>
          <w:tcPr>
            <w:tcW w:w="892" w:type="dxa"/>
            <w:vAlign w:val="top"/>
          </w:tcPr>
          <w:p w14:paraId="5D4CA6F9">
            <w:pPr>
              <w:pStyle w:val="6"/>
              <w:spacing w:before="109" w:line="206" w:lineRule="auto"/>
              <w:ind w:left="297"/>
            </w:pPr>
            <w:r>
              <w:rPr>
                <w:b/>
                <w:bCs/>
                <w:spacing w:val="-4"/>
              </w:rPr>
              <w:t>153</w:t>
            </w:r>
          </w:p>
        </w:tc>
        <w:tc>
          <w:tcPr>
            <w:tcW w:w="892" w:type="dxa"/>
            <w:vAlign w:val="top"/>
          </w:tcPr>
          <w:p w14:paraId="2EDECF68">
            <w:pPr>
              <w:pStyle w:val="6"/>
              <w:spacing w:before="105" w:line="210" w:lineRule="auto"/>
              <w:ind w:left="268"/>
            </w:pPr>
            <w:r>
              <w:rPr>
                <w:spacing w:val="-2"/>
              </w:rPr>
              <w:t>7.23</w:t>
            </w:r>
          </w:p>
        </w:tc>
        <w:tc>
          <w:tcPr>
            <w:tcW w:w="892" w:type="dxa"/>
            <w:vAlign w:val="top"/>
          </w:tcPr>
          <w:p w14:paraId="19480F49">
            <w:pPr>
              <w:pStyle w:val="6"/>
              <w:spacing w:before="105" w:line="210" w:lineRule="auto"/>
              <w:ind w:left="271"/>
            </w:pPr>
            <w:r>
              <w:rPr>
                <w:spacing w:val="-2"/>
              </w:rPr>
              <w:t>7.23</w:t>
            </w:r>
          </w:p>
        </w:tc>
        <w:tc>
          <w:tcPr>
            <w:tcW w:w="891" w:type="dxa"/>
            <w:vAlign w:val="top"/>
          </w:tcPr>
          <w:p w14:paraId="67BC1A14">
            <w:pPr>
              <w:pStyle w:val="6"/>
              <w:spacing w:before="105" w:line="210" w:lineRule="auto"/>
              <w:ind w:left="274"/>
            </w:pPr>
            <w:r>
              <w:rPr>
                <w:spacing w:val="-2"/>
              </w:rPr>
              <w:t>0.19</w:t>
            </w:r>
          </w:p>
        </w:tc>
        <w:tc>
          <w:tcPr>
            <w:tcW w:w="906" w:type="dxa"/>
            <w:tcBorders>
              <w:right w:val="single" w:color="000000" w:sz="12" w:space="0"/>
            </w:tcBorders>
            <w:vAlign w:val="top"/>
          </w:tcPr>
          <w:p w14:paraId="24D8E307">
            <w:pPr>
              <w:pStyle w:val="6"/>
              <w:spacing w:before="105" w:line="210" w:lineRule="auto"/>
              <w:ind w:left="277"/>
            </w:pPr>
            <w:r>
              <w:rPr>
                <w:spacing w:val="-2"/>
              </w:rPr>
              <w:t>0.19</w:t>
            </w:r>
          </w:p>
        </w:tc>
      </w:tr>
      <w:tr w14:paraId="40349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1DE5259">
            <w:pPr>
              <w:rPr>
                <w:rFonts w:ascii="Arial"/>
                <w:sz w:val="21"/>
              </w:rPr>
            </w:pPr>
          </w:p>
        </w:tc>
        <w:tc>
          <w:tcPr>
            <w:tcW w:w="423" w:type="dxa"/>
            <w:vMerge w:val="restart"/>
            <w:tcBorders>
              <w:bottom w:val="nil"/>
            </w:tcBorders>
            <w:vAlign w:val="top"/>
          </w:tcPr>
          <w:p w14:paraId="048DE389">
            <w:pPr>
              <w:pStyle w:val="6"/>
              <w:spacing w:before="168" w:line="222" w:lineRule="auto"/>
              <w:ind w:left="147"/>
            </w:pPr>
            <w:r>
              <w:t>4</w:t>
            </w:r>
          </w:p>
          <w:p w14:paraId="630F7A62">
            <w:pPr>
              <w:spacing w:line="219" w:lineRule="auto"/>
              <w:ind w:left="100"/>
              <w:rPr>
                <w:rFonts w:ascii="宋体" w:hAnsi="宋体" w:eastAsia="宋体" w:cs="宋体"/>
                <w:sz w:val="21"/>
                <w:szCs w:val="21"/>
              </w:rPr>
            </w:pPr>
            <w:r>
              <w:rPr>
                <w:rFonts w:ascii="宋体" w:hAnsi="宋体" w:eastAsia="宋体" w:cs="宋体"/>
                <w:sz w:val="21"/>
                <w:szCs w:val="21"/>
              </w:rPr>
              <w:t>季</w:t>
            </w:r>
          </w:p>
          <w:p w14:paraId="05EE6AB3">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7C39886">
            <w:pPr>
              <w:pStyle w:val="6"/>
              <w:spacing w:before="105" w:line="208" w:lineRule="auto"/>
              <w:ind w:left="343"/>
            </w:pPr>
            <w:r>
              <w:rPr>
                <w:spacing w:val="-1"/>
              </w:rPr>
              <w:t>2019/11/9</w:t>
            </w:r>
          </w:p>
        </w:tc>
        <w:tc>
          <w:tcPr>
            <w:tcW w:w="892" w:type="dxa"/>
            <w:vAlign w:val="top"/>
          </w:tcPr>
          <w:p w14:paraId="7AAE3DC0">
            <w:pPr>
              <w:pStyle w:val="6"/>
              <w:spacing w:before="105" w:line="208" w:lineRule="auto"/>
              <w:ind w:left="336"/>
            </w:pPr>
            <w:r>
              <w:rPr>
                <w:spacing w:val="-1"/>
              </w:rPr>
              <w:t>49</w:t>
            </w:r>
          </w:p>
        </w:tc>
        <w:tc>
          <w:tcPr>
            <w:tcW w:w="892" w:type="dxa"/>
            <w:vAlign w:val="top"/>
          </w:tcPr>
          <w:p w14:paraId="7F66FEF1">
            <w:pPr>
              <w:pStyle w:val="6"/>
              <w:spacing w:before="105" w:line="208" w:lineRule="auto"/>
              <w:ind w:left="345"/>
            </w:pPr>
            <w:r>
              <w:rPr>
                <w:spacing w:val="-3"/>
              </w:rPr>
              <w:t>35</w:t>
            </w:r>
          </w:p>
        </w:tc>
        <w:tc>
          <w:tcPr>
            <w:tcW w:w="892" w:type="dxa"/>
            <w:vAlign w:val="top"/>
          </w:tcPr>
          <w:p w14:paraId="7EC2564C">
            <w:pPr>
              <w:pStyle w:val="6"/>
              <w:spacing w:before="105" w:line="208" w:lineRule="auto"/>
              <w:ind w:left="268"/>
            </w:pPr>
            <w:r>
              <w:rPr>
                <w:spacing w:val="-2"/>
              </w:rPr>
              <w:t>7.21</w:t>
            </w:r>
          </w:p>
        </w:tc>
        <w:tc>
          <w:tcPr>
            <w:tcW w:w="892" w:type="dxa"/>
            <w:vAlign w:val="top"/>
          </w:tcPr>
          <w:p w14:paraId="5A54F5EE">
            <w:pPr>
              <w:pStyle w:val="6"/>
              <w:spacing w:before="105" w:line="208" w:lineRule="auto"/>
              <w:ind w:left="272"/>
            </w:pPr>
            <w:r>
              <w:rPr>
                <w:spacing w:val="-3"/>
              </w:rPr>
              <w:t>6.81</w:t>
            </w:r>
          </w:p>
        </w:tc>
        <w:tc>
          <w:tcPr>
            <w:tcW w:w="891" w:type="dxa"/>
            <w:vAlign w:val="top"/>
          </w:tcPr>
          <w:p w14:paraId="0DB70FA5">
            <w:pPr>
              <w:pStyle w:val="6"/>
              <w:spacing w:before="105" w:line="208" w:lineRule="auto"/>
              <w:ind w:left="274"/>
            </w:pPr>
            <w:r>
              <w:rPr>
                <w:spacing w:val="-2"/>
              </w:rPr>
              <w:t>0.13</w:t>
            </w:r>
          </w:p>
        </w:tc>
        <w:tc>
          <w:tcPr>
            <w:tcW w:w="906" w:type="dxa"/>
            <w:tcBorders>
              <w:right w:val="single" w:color="000000" w:sz="12" w:space="0"/>
            </w:tcBorders>
            <w:vAlign w:val="top"/>
          </w:tcPr>
          <w:p w14:paraId="593058FF">
            <w:pPr>
              <w:pStyle w:val="6"/>
              <w:spacing w:before="105" w:line="208" w:lineRule="auto"/>
              <w:ind w:left="277"/>
            </w:pPr>
            <w:r>
              <w:rPr>
                <w:spacing w:val="-2"/>
              </w:rPr>
              <w:t>0.09</w:t>
            </w:r>
          </w:p>
        </w:tc>
      </w:tr>
      <w:tr w14:paraId="4D529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6A6529C2">
            <w:pPr>
              <w:rPr>
                <w:rFonts w:ascii="Arial"/>
                <w:sz w:val="21"/>
              </w:rPr>
            </w:pPr>
          </w:p>
        </w:tc>
        <w:tc>
          <w:tcPr>
            <w:tcW w:w="423" w:type="dxa"/>
            <w:vMerge w:val="continue"/>
            <w:tcBorders>
              <w:top w:val="nil"/>
              <w:bottom w:val="nil"/>
            </w:tcBorders>
            <w:vAlign w:val="top"/>
          </w:tcPr>
          <w:p w14:paraId="2B978DEB">
            <w:pPr>
              <w:rPr>
                <w:rFonts w:ascii="Arial"/>
                <w:sz w:val="21"/>
              </w:rPr>
            </w:pPr>
          </w:p>
        </w:tc>
        <w:tc>
          <w:tcPr>
            <w:tcW w:w="1554" w:type="dxa"/>
            <w:vAlign w:val="top"/>
          </w:tcPr>
          <w:p w14:paraId="4CD4FA19">
            <w:pPr>
              <w:pStyle w:val="6"/>
              <w:spacing w:before="106" w:line="209" w:lineRule="auto"/>
              <w:ind w:left="290"/>
            </w:pPr>
            <w:r>
              <w:rPr>
                <w:spacing w:val="-1"/>
              </w:rPr>
              <w:t>2019/11/10</w:t>
            </w:r>
          </w:p>
        </w:tc>
        <w:tc>
          <w:tcPr>
            <w:tcW w:w="892" w:type="dxa"/>
            <w:vAlign w:val="top"/>
          </w:tcPr>
          <w:p w14:paraId="32AA66E8">
            <w:pPr>
              <w:pStyle w:val="6"/>
              <w:spacing w:before="106" w:line="209" w:lineRule="auto"/>
              <w:ind w:left="343"/>
            </w:pPr>
            <w:r>
              <w:rPr>
                <w:spacing w:val="-3"/>
              </w:rPr>
              <w:t>53</w:t>
            </w:r>
          </w:p>
        </w:tc>
        <w:tc>
          <w:tcPr>
            <w:tcW w:w="892" w:type="dxa"/>
            <w:vAlign w:val="top"/>
          </w:tcPr>
          <w:p w14:paraId="208D92D9">
            <w:pPr>
              <w:pStyle w:val="6"/>
              <w:spacing w:before="106" w:line="209" w:lineRule="auto"/>
              <w:ind w:left="345"/>
            </w:pPr>
            <w:r>
              <w:rPr>
                <w:spacing w:val="-3"/>
              </w:rPr>
              <w:t>38</w:t>
            </w:r>
          </w:p>
        </w:tc>
        <w:tc>
          <w:tcPr>
            <w:tcW w:w="892" w:type="dxa"/>
            <w:vAlign w:val="top"/>
          </w:tcPr>
          <w:p w14:paraId="6F24B6B7">
            <w:pPr>
              <w:pStyle w:val="6"/>
              <w:spacing w:before="106" w:line="209" w:lineRule="auto"/>
              <w:ind w:left="268"/>
            </w:pPr>
            <w:r>
              <w:rPr>
                <w:spacing w:val="-2"/>
              </w:rPr>
              <w:t>7.18</w:t>
            </w:r>
          </w:p>
        </w:tc>
        <w:tc>
          <w:tcPr>
            <w:tcW w:w="892" w:type="dxa"/>
            <w:vAlign w:val="top"/>
          </w:tcPr>
          <w:p w14:paraId="03004C48">
            <w:pPr>
              <w:pStyle w:val="6"/>
              <w:spacing w:before="106" w:line="209" w:lineRule="auto"/>
              <w:ind w:left="272"/>
            </w:pPr>
            <w:r>
              <w:rPr>
                <w:spacing w:val="-3"/>
              </w:rPr>
              <w:t>6.91</w:t>
            </w:r>
          </w:p>
        </w:tc>
        <w:tc>
          <w:tcPr>
            <w:tcW w:w="891" w:type="dxa"/>
            <w:vAlign w:val="top"/>
          </w:tcPr>
          <w:p w14:paraId="7397CF06">
            <w:pPr>
              <w:pStyle w:val="6"/>
              <w:spacing w:before="106" w:line="209" w:lineRule="auto"/>
              <w:ind w:left="274"/>
            </w:pPr>
            <w:r>
              <w:rPr>
                <w:spacing w:val="-2"/>
              </w:rPr>
              <w:t>0.13</w:t>
            </w:r>
          </w:p>
        </w:tc>
        <w:tc>
          <w:tcPr>
            <w:tcW w:w="906" w:type="dxa"/>
            <w:tcBorders>
              <w:right w:val="single" w:color="000000" w:sz="12" w:space="0"/>
            </w:tcBorders>
            <w:vAlign w:val="top"/>
          </w:tcPr>
          <w:p w14:paraId="1518437B">
            <w:pPr>
              <w:pStyle w:val="6"/>
              <w:spacing w:before="106" w:line="209" w:lineRule="auto"/>
              <w:ind w:left="277"/>
            </w:pPr>
            <w:r>
              <w:rPr>
                <w:spacing w:val="-2"/>
              </w:rPr>
              <w:t>0.10</w:t>
            </w:r>
          </w:p>
        </w:tc>
      </w:tr>
      <w:tr w14:paraId="03022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tcBorders>
            <w:vAlign w:val="top"/>
          </w:tcPr>
          <w:p w14:paraId="23144692">
            <w:pPr>
              <w:rPr>
                <w:rFonts w:ascii="Arial"/>
                <w:sz w:val="21"/>
              </w:rPr>
            </w:pPr>
          </w:p>
        </w:tc>
        <w:tc>
          <w:tcPr>
            <w:tcW w:w="423" w:type="dxa"/>
            <w:vMerge w:val="continue"/>
            <w:tcBorders>
              <w:top w:val="nil"/>
            </w:tcBorders>
            <w:vAlign w:val="top"/>
          </w:tcPr>
          <w:p w14:paraId="02ABB206">
            <w:pPr>
              <w:rPr>
                <w:rFonts w:ascii="Arial"/>
                <w:sz w:val="21"/>
              </w:rPr>
            </w:pPr>
          </w:p>
        </w:tc>
        <w:tc>
          <w:tcPr>
            <w:tcW w:w="1554" w:type="dxa"/>
            <w:vAlign w:val="top"/>
          </w:tcPr>
          <w:p w14:paraId="5E2B189E">
            <w:pPr>
              <w:pStyle w:val="6"/>
              <w:spacing w:before="105" w:line="208" w:lineRule="auto"/>
              <w:ind w:left="290"/>
            </w:pPr>
            <w:r>
              <w:rPr>
                <w:spacing w:val="-1"/>
              </w:rPr>
              <w:t>2019/11/11</w:t>
            </w:r>
          </w:p>
        </w:tc>
        <w:tc>
          <w:tcPr>
            <w:tcW w:w="892" w:type="dxa"/>
            <w:vAlign w:val="top"/>
          </w:tcPr>
          <w:p w14:paraId="770EE13B">
            <w:pPr>
              <w:pStyle w:val="6"/>
              <w:spacing w:before="105" w:line="208" w:lineRule="auto"/>
              <w:ind w:left="336"/>
            </w:pPr>
            <w:r>
              <w:rPr>
                <w:spacing w:val="-1"/>
              </w:rPr>
              <w:t>45</w:t>
            </w:r>
          </w:p>
        </w:tc>
        <w:tc>
          <w:tcPr>
            <w:tcW w:w="892" w:type="dxa"/>
            <w:vAlign w:val="top"/>
          </w:tcPr>
          <w:p w14:paraId="0087C0AB">
            <w:pPr>
              <w:pStyle w:val="6"/>
              <w:spacing w:before="105" w:line="208" w:lineRule="auto"/>
              <w:ind w:left="345"/>
            </w:pPr>
            <w:r>
              <w:rPr>
                <w:spacing w:val="-3"/>
              </w:rPr>
              <w:t>32</w:t>
            </w:r>
          </w:p>
        </w:tc>
        <w:tc>
          <w:tcPr>
            <w:tcW w:w="892" w:type="dxa"/>
            <w:vAlign w:val="top"/>
          </w:tcPr>
          <w:p w14:paraId="43EAA145">
            <w:pPr>
              <w:pStyle w:val="6"/>
              <w:spacing w:before="105" w:line="208" w:lineRule="auto"/>
              <w:ind w:left="268"/>
            </w:pPr>
            <w:r>
              <w:rPr>
                <w:spacing w:val="-2"/>
              </w:rPr>
              <w:t>7.19</w:t>
            </w:r>
          </w:p>
        </w:tc>
        <w:tc>
          <w:tcPr>
            <w:tcW w:w="892" w:type="dxa"/>
            <w:vAlign w:val="top"/>
          </w:tcPr>
          <w:p w14:paraId="07428098">
            <w:pPr>
              <w:pStyle w:val="6"/>
              <w:spacing w:before="105" w:line="208" w:lineRule="auto"/>
              <w:ind w:left="272"/>
            </w:pPr>
            <w:r>
              <w:rPr>
                <w:spacing w:val="-3"/>
              </w:rPr>
              <w:t>6.87</w:t>
            </w:r>
          </w:p>
        </w:tc>
        <w:tc>
          <w:tcPr>
            <w:tcW w:w="891" w:type="dxa"/>
            <w:vAlign w:val="top"/>
          </w:tcPr>
          <w:p w14:paraId="39DFDAA0">
            <w:pPr>
              <w:pStyle w:val="6"/>
              <w:spacing w:before="105" w:line="208" w:lineRule="auto"/>
              <w:ind w:left="274"/>
            </w:pPr>
            <w:r>
              <w:rPr>
                <w:spacing w:val="-2"/>
              </w:rPr>
              <w:t>0.14</w:t>
            </w:r>
          </w:p>
        </w:tc>
        <w:tc>
          <w:tcPr>
            <w:tcW w:w="906" w:type="dxa"/>
            <w:tcBorders>
              <w:right w:val="single" w:color="000000" w:sz="12" w:space="0"/>
            </w:tcBorders>
            <w:vAlign w:val="top"/>
          </w:tcPr>
          <w:p w14:paraId="5CC2C31F">
            <w:pPr>
              <w:pStyle w:val="6"/>
              <w:spacing w:before="105" w:line="208" w:lineRule="auto"/>
              <w:ind w:left="277"/>
            </w:pPr>
            <w:r>
              <w:rPr>
                <w:spacing w:val="-2"/>
              </w:rPr>
              <w:t>0.09</w:t>
            </w:r>
          </w:p>
        </w:tc>
      </w:tr>
      <w:tr w14:paraId="3F219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restart"/>
            <w:tcBorders>
              <w:left w:val="single" w:color="000000" w:sz="12" w:space="0"/>
              <w:bottom w:val="nil"/>
            </w:tcBorders>
            <w:vAlign w:val="top"/>
          </w:tcPr>
          <w:p w14:paraId="4CCD290B">
            <w:pPr>
              <w:spacing w:line="246" w:lineRule="auto"/>
              <w:rPr>
                <w:rFonts w:ascii="Arial"/>
                <w:sz w:val="21"/>
              </w:rPr>
            </w:pPr>
          </w:p>
          <w:p w14:paraId="1840EB2C">
            <w:pPr>
              <w:spacing w:line="246" w:lineRule="auto"/>
              <w:rPr>
                <w:rFonts w:ascii="Arial"/>
                <w:sz w:val="21"/>
              </w:rPr>
            </w:pPr>
          </w:p>
          <w:p w14:paraId="641061B1">
            <w:pPr>
              <w:spacing w:line="246" w:lineRule="auto"/>
              <w:rPr>
                <w:rFonts w:ascii="Arial"/>
                <w:sz w:val="21"/>
              </w:rPr>
            </w:pPr>
          </w:p>
          <w:p w14:paraId="411014FF">
            <w:pPr>
              <w:spacing w:line="246" w:lineRule="auto"/>
              <w:rPr>
                <w:rFonts w:ascii="Arial"/>
                <w:sz w:val="21"/>
              </w:rPr>
            </w:pPr>
          </w:p>
          <w:p w14:paraId="1887B472">
            <w:pPr>
              <w:spacing w:line="246" w:lineRule="auto"/>
              <w:rPr>
                <w:rFonts w:ascii="Arial"/>
                <w:sz w:val="21"/>
              </w:rPr>
            </w:pPr>
          </w:p>
          <w:p w14:paraId="751BFDD7">
            <w:pPr>
              <w:spacing w:line="246" w:lineRule="auto"/>
              <w:rPr>
                <w:rFonts w:ascii="Arial"/>
                <w:sz w:val="21"/>
              </w:rPr>
            </w:pPr>
          </w:p>
          <w:p w14:paraId="70BDAB18">
            <w:pPr>
              <w:spacing w:line="246" w:lineRule="auto"/>
              <w:rPr>
                <w:rFonts w:ascii="Arial"/>
                <w:sz w:val="21"/>
              </w:rPr>
            </w:pPr>
          </w:p>
          <w:p w14:paraId="4D718AD8">
            <w:pPr>
              <w:pStyle w:val="6"/>
              <w:spacing w:before="69" w:line="235" w:lineRule="auto"/>
              <w:ind w:left="132"/>
              <w:rPr>
                <w:rFonts w:ascii="宋体" w:hAnsi="宋体" w:eastAsia="宋体" w:cs="宋体"/>
              </w:rPr>
            </w:pPr>
            <w:r>
              <w:rPr>
                <w:spacing w:val="-2"/>
              </w:rPr>
              <w:t>7#</w:t>
            </w:r>
            <w:r>
              <w:rPr>
                <w:rFonts w:ascii="宋体" w:hAnsi="宋体" w:eastAsia="宋体" w:cs="宋体"/>
                <w:spacing w:val="-2"/>
              </w:rPr>
              <w:t>隧洞排</w:t>
            </w:r>
          </w:p>
          <w:p w14:paraId="34A7A6D5">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73182588">
            <w:pPr>
              <w:spacing w:before="21"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3906B080">
            <w:pPr>
              <w:pStyle w:val="6"/>
              <w:spacing w:before="171" w:line="222" w:lineRule="auto"/>
              <w:ind w:left="168"/>
            </w:pPr>
            <w:r>
              <w:t>1</w:t>
            </w:r>
          </w:p>
          <w:p w14:paraId="002173B1">
            <w:pPr>
              <w:spacing w:line="219" w:lineRule="auto"/>
              <w:ind w:left="100"/>
              <w:rPr>
                <w:rFonts w:ascii="宋体" w:hAnsi="宋体" w:eastAsia="宋体" w:cs="宋体"/>
                <w:sz w:val="21"/>
                <w:szCs w:val="21"/>
              </w:rPr>
            </w:pPr>
            <w:r>
              <w:rPr>
                <w:rFonts w:ascii="宋体" w:hAnsi="宋体" w:eastAsia="宋体" w:cs="宋体"/>
                <w:sz w:val="21"/>
                <w:szCs w:val="21"/>
              </w:rPr>
              <w:t>季</w:t>
            </w:r>
          </w:p>
          <w:p w14:paraId="5006C2E7">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08EA4145">
            <w:pPr>
              <w:pStyle w:val="6"/>
              <w:spacing w:before="107" w:line="206" w:lineRule="auto"/>
              <w:ind w:left="343"/>
            </w:pPr>
            <w:r>
              <w:rPr>
                <w:spacing w:val="-1"/>
              </w:rPr>
              <w:t>2019/1/15</w:t>
            </w:r>
          </w:p>
        </w:tc>
        <w:tc>
          <w:tcPr>
            <w:tcW w:w="892" w:type="dxa"/>
            <w:vAlign w:val="top"/>
          </w:tcPr>
          <w:p w14:paraId="2FCCBF3B">
            <w:pPr>
              <w:pStyle w:val="6"/>
              <w:spacing w:before="107" w:line="206" w:lineRule="auto"/>
              <w:ind w:left="336"/>
            </w:pPr>
            <w:r>
              <w:rPr>
                <w:spacing w:val="-1"/>
              </w:rPr>
              <w:t>43</w:t>
            </w:r>
          </w:p>
        </w:tc>
        <w:tc>
          <w:tcPr>
            <w:tcW w:w="892" w:type="dxa"/>
            <w:vAlign w:val="top"/>
          </w:tcPr>
          <w:p w14:paraId="653478C0">
            <w:pPr>
              <w:pStyle w:val="6"/>
              <w:spacing w:before="107" w:line="206" w:lineRule="auto"/>
              <w:ind w:left="339"/>
            </w:pPr>
            <w:r>
              <w:rPr>
                <w:spacing w:val="-1"/>
              </w:rPr>
              <w:t>42</w:t>
            </w:r>
          </w:p>
        </w:tc>
        <w:tc>
          <w:tcPr>
            <w:tcW w:w="892" w:type="dxa"/>
            <w:vAlign w:val="top"/>
          </w:tcPr>
          <w:p w14:paraId="55660642">
            <w:pPr>
              <w:pStyle w:val="6"/>
              <w:spacing w:before="107" w:line="206" w:lineRule="auto"/>
              <w:ind w:left="268"/>
            </w:pPr>
            <w:r>
              <w:rPr>
                <w:spacing w:val="-2"/>
              </w:rPr>
              <w:t>7.20</w:t>
            </w:r>
          </w:p>
        </w:tc>
        <w:tc>
          <w:tcPr>
            <w:tcW w:w="892" w:type="dxa"/>
            <w:vAlign w:val="top"/>
          </w:tcPr>
          <w:p w14:paraId="0180293D">
            <w:pPr>
              <w:pStyle w:val="6"/>
              <w:spacing w:before="107" w:line="206" w:lineRule="auto"/>
              <w:ind w:left="324"/>
            </w:pPr>
            <w:r>
              <w:rPr>
                <w:spacing w:val="-3"/>
              </w:rPr>
              <w:t>7.2</w:t>
            </w:r>
          </w:p>
        </w:tc>
        <w:tc>
          <w:tcPr>
            <w:tcW w:w="891" w:type="dxa"/>
            <w:vAlign w:val="top"/>
          </w:tcPr>
          <w:p w14:paraId="6C025821">
            <w:pPr>
              <w:pStyle w:val="6"/>
              <w:spacing w:before="107" w:line="206" w:lineRule="auto"/>
              <w:ind w:left="274"/>
            </w:pPr>
            <w:r>
              <w:rPr>
                <w:spacing w:val="-2"/>
              </w:rPr>
              <w:t>0.10</w:t>
            </w:r>
          </w:p>
        </w:tc>
        <w:tc>
          <w:tcPr>
            <w:tcW w:w="906" w:type="dxa"/>
            <w:tcBorders>
              <w:right w:val="single" w:color="000000" w:sz="12" w:space="0"/>
            </w:tcBorders>
            <w:vAlign w:val="top"/>
          </w:tcPr>
          <w:p w14:paraId="579F06ED">
            <w:pPr>
              <w:pStyle w:val="6"/>
              <w:spacing w:before="107" w:line="206" w:lineRule="auto"/>
              <w:ind w:left="277"/>
            </w:pPr>
            <w:r>
              <w:rPr>
                <w:spacing w:val="-2"/>
              </w:rPr>
              <w:t>0.10</w:t>
            </w:r>
          </w:p>
        </w:tc>
      </w:tr>
      <w:tr w14:paraId="5D41B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290B47BB">
            <w:pPr>
              <w:rPr>
                <w:rFonts w:ascii="Arial"/>
                <w:sz w:val="21"/>
              </w:rPr>
            </w:pPr>
          </w:p>
        </w:tc>
        <w:tc>
          <w:tcPr>
            <w:tcW w:w="423" w:type="dxa"/>
            <w:vMerge w:val="continue"/>
            <w:tcBorders>
              <w:top w:val="nil"/>
              <w:bottom w:val="nil"/>
            </w:tcBorders>
            <w:vAlign w:val="top"/>
          </w:tcPr>
          <w:p w14:paraId="0C0C48A8">
            <w:pPr>
              <w:rPr>
                <w:rFonts w:ascii="Arial"/>
                <w:sz w:val="21"/>
              </w:rPr>
            </w:pPr>
          </w:p>
        </w:tc>
        <w:tc>
          <w:tcPr>
            <w:tcW w:w="1554" w:type="dxa"/>
            <w:vAlign w:val="top"/>
          </w:tcPr>
          <w:p w14:paraId="5286A7BA">
            <w:pPr>
              <w:pStyle w:val="6"/>
              <w:spacing w:before="108" w:line="207" w:lineRule="auto"/>
              <w:ind w:left="343"/>
            </w:pPr>
            <w:r>
              <w:rPr>
                <w:spacing w:val="-1"/>
              </w:rPr>
              <w:t>2019/1/16</w:t>
            </w:r>
          </w:p>
        </w:tc>
        <w:tc>
          <w:tcPr>
            <w:tcW w:w="892" w:type="dxa"/>
            <w:vAlign w:val="top"/>
          </w:tcPr>
          <w:p w14:paraId="72447268">
            <w:pPr>
              <w:pStyle w:val="6"/>
              <w:spacing w:before="108" w:line="207" w:lineRule="auto"/>
              <w:ind w:left="336"/>
            </w:pPr>
            <w:r>
              <w:rPr>
                <w:spacing w:val="-1"/>
              </w:rPr>
              <w:t>48</w:t>
            </w:r>
          </w:p>
        </w:tc>
        <w:tc>
          <w:tcPr>
            <w:tcW w:w="892" w:type="dxa"/>
            <w:vAlign w:val="top"/>
          </w:tcPr>
          <w:p w14:paraId="3CF7061B">
            <w:pPr>
              <w:pStyle w:val="6"/>
              <w:spacing w:before="108" w:line="207" w:lineRule="auto"/>
              <w:ind w:left="345"/>
            </w:pPr>
            <w:r>
              <w:rPr>
                <w:spacing w:val="-3"/>
              </w:rPr>
              <w:t>38</w:t>
            </w:r>
          </w:p>
        </w:tc>
        <w:tc>
          <w:tcPr>
            <w:tcW w:w="892" w:type="dxa"/>
            <w:vAlign w:val="top"/>
          </w:tcPr>
          <w:p w14:paraId="618387AE">
            <w:pPr>
              <w:pStyle w:val="6"/>
              <w:spacing w:before="108" w:line="207" w:lineRule="auto"/>
              <w:ind w:left="268"/>
            </w:pPr>
            <w:r>
              <w:rPr>
                <w:spacing w:val="-2"/>
              </w:rPr>
              <w:t>7.26</w:t>
            </w:r>
          </w:p>
        </w:tc>
        <w:tc>
          <w:tcPr>
            <w:tcW w:w="892" w:type="dxa"/>
            <w:vAlign w:val="top"/>
          </w:tcPr>
          <w:p w14:paraId="3A120511">
            <w:pPr>
              <w:pStyle w:val="6"/>
              <w:spacing w:before="108" w:line="207" w:lineRule="auto"/>
              <w:ind w:left="271"/>
            </w:pPr>
            <w:r>
              <w:rPr>
                <w:spacing w:val="-2"/>
              </w:rPr>
              <w:t>7.26</w:t>
            </w:r>
          </w:p>
        </w:tc>
        <w:tc>
          <w:tcPr>
            <w:tcW w:w="891" w:type="dxa"/>
            <w:vAlign w:val="top"/>
          </w:tcPr>
          <w:p w14:paraId="4B49E30D">
            <w:pPr>
              <w:pStyle w:val="6"/>
              <w:spacing w:before="108" w:line="207" w:lineRule="auto"/>
              <w:ind w:left="274"/>
            </w:pPr>
            <w:r>
              <w:rPr>
                <w:spacing w:val="-2"/>
              </w:rPr>
              <w:t>0.14</w:t>
            </w:r>
          </w:p>
        </w:tc>
        <w:tc>
          <w:tcPr>
            <w:tcW w:w="906" w:type="dxa"/>
            <w:tcBorders>
              <w:right w:val="single" w:color="000000" w:sz="12" w:space="0"/>
            </w:tcBorders>
            <w:vAlign w:val="top"/>
          </w:tcPr>
          <w:p w14:paraId="19119F90">
            <w:pPr>
              <w:pStyle w:val="6"/>
              <w:spacing w:before="108" w:line="207" w:lineRule="auto"/>
              <w:ind w:left="277"/>
            </w:pPr>
            <w:r>
              <w:rPr>
                <w:spacing w:val="-2"/>
              </w:rPr>
              <w:t>0.14</w:t>
            </w:r>
          </w:p>
        </w:tc>
      </w:tr>
      <w:tr w14:paraId="2B427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B9F9928">
            <w:pPr>
              <w:rPr>
                <w:rFonts w:ascii="Arial"/>
                <w:sz w:val="21"/>
              </w:rPr>
            </w:pPr>
          </w:p>
        </w:tc>
        <w:tc>
          <w:tcPr>
            <w:tcW w:w="423" w:type="dxa"/>
            <w:vMerge w:val="continue"/>
            <w:tcBorders>
              <w:top w:val="nil"/>
            </w:tcBorders>
            <w:vAlign w:val="top"/>
          </w:tcPr>
          <w:p w14:paraId="5ACC3768">
            <w:pPr>
              <w:rPr>
                <w:rFonts w:ascii="Arial"/>
                <w:sz w:val="21"/>
              </w:rPr>
            </w:pPr>
          </w:p>
        </w:tc>
        <w:tc>
          <w:tcPr>
            <w:tcW w:w="1554" w:type="dxa"/>
            <w:vAlign w:val="top"/>
          </w:tcPr>
          <w:p w14:paraId="1AEC2C65">
            <w:pPr>
              <w:pStyle w:val="6"/>
              <w:spacing w:before="108" w:line="205" w:lineRule="auto"/>
              <w:ind w:left="343"/>
            </w:pPr>
            <w:r>
              <w:rPr>
                <w:spacing w:val="-1"/>
              </w:rPr>
              <w:t>2019/1/17</w:t>
            </w:r>
          </w:p>
        </w:tc>
        <w:tc>
          <w:tcPr>
            <w:tcW w:w="892" w:type="dxa"/>
            <w:vAlign w:val="top"/>
          </w:tcPr>
          <w:p w14:paraId="62945355">
            <w:pPr>
              <w:pStyle w:val="6"/>
              <w:spacing w:before="108" w:line="205" w:lineRule="auto"/>
              <w:ind w:left="336"/>
            </w:pPr>
            <w:r>
              <w:rPr>
                <w:spacing w:val="-1"/>
              </w:rPr>
              <w:t>46</w:t>
            </w:r>
          </w:p>
        </w:tc>
        <w:tc>
          <w:tcPr>
            <w:tcW w:w="892" w:type="dxa"/>
            <w:vAlign w:val="top"/>
          </w:tcPr>
          <w:p w14:paraId="3CD7BF52">
            <w:pPr>
              <w:pStyle w:val="6"/>
              <w:spacing w:before="108" w:line="205" w:lineRule="auto"/>
              <w:ind w:left="345"/>
            </w:pPr>
            <w:r>
              <w:rPr>
                <w:spacing w:val="-3"/>
              </w:rPr>
              <w:t>39</w:t>
            </w:r>
          </w:p>
        </w:tc>
        <w:tc>
          <w:tcPr>
            <w:tcW w:w="892" w:type="dxa"/>
            <w:vAlign w:val="top"/>
          </w:tcPr>
          <w:p w14:paraId="62C7AAB4">
            <w:pPr>
              <w:pStyle w:val="6"/>
              <w:spacing w:before="108" w:line="205" w:lineRule="auto"/>
              <w:ind w:left="268"/>
            </w:pPr>
            <w:r>
              <w:rPr>
                <w:spacing w:val="-2"/>
              </w:rPr>
              <w:t>7.15</w:t>
            </w:r>
          </w:p>
        </w:tc>
        <w:tc>
          <w:tcPr>
            <w:tcW w:w="892" w:type="dxa"/>
            <w:vAlign w:val="top"/>
          </w:tcPr>
          <w:p w14:paraId="7D00128B">
            <w:pPr>
              <w:pStyle w:val="6"/>
              <w:spacing w:before="108" w:line="205" w:lineRule="auto"/>
              <w:ind w:left="271"/>
            </w:pPr>
            <w:r>
              <w:rPr>
                <w:spacing w:val="-2"/>
              </w:rPr>
              <w:t>7.15</w:t>
            </w:r>
          </w:p>
        </w:tc>
        <w:tc>
          <w:tcPr>
            <w:tcW w:w="891" w:type="dxa"/>
            <w:vAlign w:val="top"/>
          </w:tcPr>
          <w:p w14:paraId="7CAA803E">
            <w:pPr>
              <w:pStyle w:val="6"/>
              <w:spacing w:before="108" w:line="205" w:lineRule="auto"/>
              <w:ind w:left="274"/>
            </w:pPr>
            <w:r>
              <w:rPr>
                <w:spacing w:val="-2"/>
              </w:rPr>
              <w:t>0.13</w:t>
            </w:r>
          </w:p>
        </w:tc>
        <w:tc>
          <w:tcPr>
            <w:tcW w:w="906" w:type="dxa"/>
            <w:tcBorders>
              <w:right w:val="single" w:color="000000" w:sz="12" w:space="0"/>
            </w:tcBorders>
            <w:vAlign w:val="top"/>
          </w:tcPr>
          <w:p w14:paraId="4907A7AE">
            <w:pPr>
              <w:pStyle w:val="6"/>
              <w:spacing w:before="108" w:line="205" w:lineRule="auto"/>
              <w:ind w:left="277"/>
            </w:pPr>
            <w:r>
              <w:rPr>
                <w:spacing w:val="-2"/>
              </w:rPr>
              <w:t>0.13</w:t>
            </w:r>
          </w:p>
        </w:tc>
      </w:tr>
      <w:tr w14:paraId="15DEA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2395C886">
            <w:pPr>
              <w:rPr>
                <w:rFonts w:ascii="Arial"/>
                <w:sz w:val="21"/>
              </w:rPr>
            </w:pPr>
          </w:p>
        </w:tc>
        <w:tc>
          <w:tcPr>
            <w:tcW w:w="423" w:type="dxa"/>
            <w:vMerge w:val="restart"/>
            <w:tcBorders>
              <w:bottom w:val="nil"/>
            </w:tcBorders>
            <w:vAlign w:val="top"/>
          </w:tcPr>
          <w:p w14:paraId="6F4D333A">
            <w:pPr>
              <w:pStyle w:val="6"/>
              <w:spacing w:before="173" w:line="223" w:lineRule="auto"/>
              <w:ind w:left="148"/>
            </w:pPr>
            <w:r>
              <w:t>2</w:t>
            </w:r>
          </w:p>
          <w:p w14:paraId="3C462A85">
            <w:pPr>
              <w:spacing w:line="219" w:lineRule="auto"/>
              <w:ind w:left="100"/>
              <w:rPr>
                <w:rFonts w:ascii="宋体" w:hAnsi="宋体" w:eastAsia="宋体" w:cs="宋体"/>
                <w:sz w:val="21"/>
                <w:szCs w:val="21"/>
              </w:rPr>
            </w:pPr>
            <w:r>
              <w:rPr>
                <w:rFonts w:ascii="宋体" w:hAnsi="宋体" w:eastAsia="宋体" w:cs="宋体"/>
                <w:sz w:val="21"/>
                <w:szCs w:val="21"/>
              </w:rPr>
              <w:t>季</w:t>
            </w:r>
          </w:p>
          <w:p w14:paraId="52351F8C">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528569E">
            <w:pPr>
              <w:pStyle w:val="6"/>
              <w:spacing w:before="109" w:line="206" w:lineRule="auto"/>
              <w:ind w:left="343"/>
            </w:pPr>
            <w:r>
              <w:rPr>
                <w:spacing w:val="-1"/>
              </w:rPr>
              <w:t>2019/5/10</w:t>
            </w:r>
          </w:p>
        </w:tc>
        <w:tc>
          <w:tcPr>
            <w:tcW w:w="892" w:type="dxa"/>
            <w:vAlign w:val="top"/>
          </w:tcPr>
          <w:p w14:paraId="46084A60">
            <w:pPr>
              <w:pStyle w:val="6"/>
              <w:spacing w:before="109" w:line="206" w:lineRule="auto"/>
              <w:ind w:left="284"/>
            </w:pPr>
            <w:r>
              <w:rPr>
                <w:spacing w:val="-1"/>
              </w:rPr>
              <w:t>212</w:t>
            </w:r>
          </w:p>
        </w:tc>
        <w:tc>
          <w:tcPr>
            <w:tcW w:w="892" w:type="dxa"/>
            <w:vAlign w:val="top"/>
          </w:tcPr>
          <w:p w14:paraId="34F97AC6">
            <w:pPr>
              <w:pStyle w:val="6"/>
              <w:spacing w:before="114" w:line="201" w:lineRule="auto"/>
              <w:ind w:left="297"/>
            </w:pPr>
            <w:r>
              <w:rPr>
                <w:b/>
                <w:bCs/>
                <w:spacing w:val="-4"/>
              </w:rPr>
              <w:t>188</w:t>
            </w:r>
          </w:p>
        </w:tc>
        <w:tc>
          <w:tcPr>
            <w:tcW w:w="892" w:type="dxa"/>
            <w:vAlign w:val="top"/>
          </w:tcPr>
          <w:p w14:paraId="3A4B54CB">
            <w:pPr>
              <w:pStyle w:val="6"/>
              <w:spacing w:before="109" w:line="206" w:lineRule="auto"/>
              <w:ind w:left="268"/>
            </w:pPr>
            <w:r>
              <w:rPr>
                <w:spacing w:val="-2"/>
              </w:rPr>
              <w:t>7.19</w:t>
            </w:r>
          </w:p>
        </w:tc>
        <w:tc>
          <w:tcPr>
            <w:tcW w:w="892" w:type="dxa"/>
            <w:vAlign w:val="top"/>
          </w:tcPr>
          <w:p w14:paraId="448EC58A">
            <w:pPr>
              <w:pStyle w:val="6"/>
              <w:spacing w:before="109" w:line="206" w:lineRule="auto"/>
              <w:ind w:left="272"/>
            </w:pPr>
            <w:r>
              <w:rPr>
                <w:spacing w:val="-3"/>
              </w:rPr>
              <w:t>6.91</w:t>
            </w:r>
          </w:p>
        </w:tc>
        <w:tc>
          <w:tcPr>
            <w:tcW w:w="891" w:type="dxa"/>
            <w:vAlign w:val="top"/>
          </w:tcPr>
          <w:p w14:paraId="3E74487E">
            <w:pPr>
              <w:pStyle w:val="6"/>
              <w:spacing w:before="109" w:line="206" w:lineRule="auto"/>
              <w:ind w:left="274"/>
            </w:pPr>
            <w:r>
              <w:rPr>
                <w:spacing w:val="-2"/>
              </w:rPr>
              <w:t>0.26</w:t>
            </w:r>
          </w:p>
        </w:tc>
        <w:tc>
          <w:tcPr>
            <w:tcW w:w="906" w:type="dxa"/>
            <w:tcBorders>
              <w:right w:val="single" w:color="000000" w:sz="12" w:space="0"/>
            </w:tcBorders>
            <w:vAlign w:val="top"/>
          </w:tcPr>
          <w:p w14:paraId="530FF66B">
            <w:pPr>
              <w:pStyle w:val="6"/>
              <w:spacing w:before="109" w:line="206" w:lineRule="auto"/>
              <w:ind w:left="277"/>
            </w:pPr>
            <w:r>
              <w:rPr>
                <w:spacing w:val="-2"/>
              </w:rPr>
              <w:t>0.10</w:t>
            </w:r>
          </w:p>
        </w:tc>
      </w:tr>
      <w:tr w14:paraId="1F6A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6BFA5BCF">
            <w:pPr>
              <w:rPr>
                <w:rFonts w:ascii="Arial"/>
                <w:sz w:val="21"/>
              </w:rPr>
            </w:pPr>
          </w:p>
        </w:tc>
        <w:tc>
          <w:tcPr>
            <w:tcW w:w="423" w:type="dxa"/>
            <w:vMerge w:val="continue"/>
            <w:tcBorders>
              <w:top w:val="nil"/>
              <w:bottom w:val="nil"/>
            </w:tcBorders>
            <w:vAlign w:val="top"/>
          </w:tcPr>
          <w:p w14:paraId="50EA739B">
            <w:pPr>
              <w:rPr>
                <w:rFonts w:ascii="Arial"/>
                <w:sz w:val="21"/>
              </w:rPr>
            </w:pPr>
          </w:p>
        </w:tc>
        <w:tc>
          <w:tcPr>
            <w:tcW w:w="1554" w:type="dxa"/>
            <w:vAlign w:val="top"/>
          </w:tcPr>
          <w:p w14:paraId="2C681A70">
            <w:pPr>
              <w:pStyle w:val="6"/>
              <w:spacing w:before="108" w:line="205" w:lineRule="auto"/>
              <w:ind w:left="343"/>
            </w:pPr>
            <w:r>
              <w:rPr>
                <w:spacing w:val="-1"/>
              </w:rPr>
              <w:t>2019/5/11</w:t>
            </w:r>
          </w:p>
        </w:tc>
        <w:tc>
          <w:tcPr>
            <w:tcW w:w="892" w:type="dxa"/>
            <w:vAlign w:val="top"/>
          </w:tcPr>
          <w:p w14:paraId="1E92C2CF">
            <w:pPr>
              <w:pStyle w:val="6"/>
              <w:spacing w:before="108" w:line="205" w:lineRule="auto"/>
              <w:ind w:left="284"/>
            </w:pPr>
            <w:r>
              <w:rPr>
                <w:spacing w:val="-1"/>
              </w:rPr>
              <w:t>209</w:t>
            </w:r>
          </w:p>
        </w:tc>
        <w:tc>
          <w:tcPr>
            <w:tcW w:w="892" w:type="dxa"/>
            <w:vAlign w:val="top"/>
          </w:tcPr>
          <w:p w14:paraId="31F2C711">
            <w:pPr>
              <w:pStyle w:val="6"/>
              <w:spacing w:before="113" w:line="200" w:lineRule="auto"/>
              <w:ind w:left="297"/>
            </w:pPr>
            <w:r>
              <w:rPr>
                <w:b/>
                <w:bCs/>
                <w:spacing w:val="-4"/>
              </w:rPr>
              <w:t>192</w:t>
            </w:r>
          </w:p>
        </w:tc>
        <w:tc>
          <w:tcPr>
            <w:tcW w:w="892" w:type="dxa"/>
            <w:vAlign w:val="top"/>
          </w:tcPr>
          <w:p w14:paraId="5B2DCC8B">
            <w:pPr>
              <w:pStyle w:val="6"/>
              <w:spacing w:before="108" w:line="205" w:lineRule="auto"/>
              <w:ind w:left="268"/>
            </w:pPr>
            <w:r>
              <w:rPr>
                <w:spacing w:val="-2"/>
              </w:rPr>
              <w:t>7.18</w:t>
            </w:r>
          </w:p>
        </w:tc>
        <w:tc>
          <w:tcPr>
            <w:tcW w:w="892" w:type="dxa"/>
            <w:vAlign w:val="top"/>
          </w:tcPr>
          <w:p w14:paraId="225AAF7E">
            <w:pPr>
              <w:pStyle w:val="6"/>
              <w:spacing w:before="108" w:line="205" w:lineRule="auto"/>
              <w:ind w:left="272"/>
            </w:pPr>
            <w:r>
              <w:rPr>
                <w:spacing w:val="-3"/>
              </w:rPr>
              <w:t>6.87</w:t>
            </w:r>
          </w:p>
        </w:tc>
        <w:tc>
          <w:tcPr>
            <w:tcW w:w="891" w:type="dxa"/>
            <w:vAlign w:val="top"/>
          </w:tcPr>
          <w:p w14:paraId="7EE02279">
            <w:pPr>
              <w:pStyle w:val="6"/>
              <w:spacing w:before="108" w:line="205" w:lineRule="auto"/>
              <w:ind w:left="274"/>
            </w:pPr>
            <w:r>
              <w:rPr>
                <w:spacing w:val="-2"/>
              </w:rPr>
              <w:t>0.24</w:t>
            </w:r>
          </w:p>
        </w:tc>
        <w:tc>
          <w:tcPr>
            <w:tcW w:w="906" w:type="dxa"/>
            <w:tcBorders>
              <w:right w:val="single" w:color="000000" w:sz="12" w:space="0"/>
            </w:tcBorders>
            <w:vAlign w:val="top"/>
          </w:tcPr>
          <w:p w14:paraId="461E3535">
            <w:pPr>
              <w:pStyle w:val="6"/>
              <w:spacing w:before="108" w:line="205" w:lineRule="auto"/>
              <w:ind w:left="277"/>
            </w:pPr>
            <w:r>
              <w:rPr>
                <w:spacing w:val="-2"/>
              </w:rPr>
              <w:t>0.06</w:t>
            </w:r>
          </w:p>
        </w:tc>
      </w:tr>
      <w:tr w14:paraId="7E8D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3E8D6AA0">
            <w:pPr>
              <w:rPr>
                <w:rFonts w:ascii="Arial"/>
                <w:sz w:val="21"/>
              </w:rPr>
            </w:pPr>
          </w:p>
        </w:tc>
        <w:tc>
          <w:tcPr>
            <w:tcW w:w="423" w:type="dxa"/>
            <w:vMerge w:val="continue"/>
            <w:tcBorders>
              <w:top w:val="nil"/>
            </w:tcBorders>
            <w:vAlign w:val="top"/>
          </w:tcPr>
          <w:p w14:paraId="4CA58AFF">
            <w:pPr>
              <w:rPr>
                <w:rFonts w:ascii="Arial"/>
                <w:sz w:val="21"/>
              </w:rPr>
            </w:pPr>
          </w:p>
        </w:tc>
        <w:tc>
          <w:tcPr>
            <w:tcW w:w="1554" w:type="dxa"/>
            <w:vAlign w:val="top"/>
          </w:tcPr>
          <w:p w14:paraId="54D5DD40">
            <w:pPr>
              <w:pStyle w:val="6"/>
              <w:spacing w:before="110" w:line="203" w:lineRule="auto"/>
              <w:ind w:left="343"/>
            </w:pPr>
            <w:r>
              <w:rPr>
                <w:spacing w:val="-1"/>
              </w:rPr>
              <w:t>2019/5/12</w:t>
            </w:r>
          </w:p>
        </w:tc>
        <w:tc>
          <w:tcPr>
            <w:tcW w:w="892" w:type="dxa"/>
            <w:vAlign w:val="top"/>
          </w:tcPr>
          <w:p w14:paraId="01A650E8">
            <w:pPr>
              <w:pStyle w:val="6"/>
              <w:spacing w:before="110" w:line="203" w:lineRule="auto"/>
              <w:ind w:left="284"/>
            </w:pPr>
            <w:r>
              <w:rPr>
                <w:spacing w:val="-1"/>
              </w:rPr>
              <w:t>220</w:t>
            </w:r>
          </w:p>
        </w:tc>
        <w:tc>
          <w:tcPr>
            <w:tcW w:w="892" w:type="dxa"/>
            <w:vAlign w:val="top"/>
          </w:tcPr>
          <w:p w14:paraId="7839FF81">
            <w:pPr>
              <w:pStyle w:val="6"/>
              <w:spacing w:before="115" w:line="198" w:lineRule="auto"/>
              <w:ind w:left="297"/>
            </w:pPr>
            <w:r>
              <w:rPr>
                <w:b/>
                <w:bCs/>
                <w:spacing w:val="-4"/>
              </w:rPr>
              <w:t>182</w:t>
            </w:r>
          </w:p>
        </w:tc>
        <w:tc>
          <w:tcPr>
            <w:tcW w:w="892" w:type="dxa"/>
            <w:vAlign w:val="top"/>
          </w:tcPr>
          <w:p w14:paraId="76C0C81F">
            <w:pPr>
              <w:pStyle w:val="6"/>
              <w:spacing w:before="110" w:line="203" w:lineRule="auto"/>
              <w:ind w:left="268"/>
            </w:pPr>
            <w:r>
              <w:rPr>
                <w:spacing w:val="-2"/>
              </w:rPr>
              <w:t>7.21</w:t>
            </w:r>
          </w:p>
        </w:tc>
        <w:tc>
          <w:tcPr>
            <w:tcW w:w="892" w:type="dxa"/>
            <w:vAlign w:val="top"/>
          </w:tcPr>
          <w:p w14:paraId="4A036B3F">
            <w:pPr>
              <w:pStyle w:val="6"/>
              <w:spacing w:before="110" w:line="203" w:lineRule="auto"/>
              <w:ind w:left="272"/>
            </w:pPr>
            <w:r>
              <w:rPr>
                <w:spacing w:val="-3"/>
              </w:rPr>
              <w:t>6.94</w:t>
            </w:r>
          </w:p>
        </w:tc>
        <w:tc>
          <w:tcPr>
            <w:tcW w:w="891" w:type="dxa"/>
            <w:vAlign w:val="top"/>
          </w:tcPr>
          <w:p w14:paraId="4269A898">
            <w:pPr>
              <w:pStyle w:val="6"/>
              <w:spacing w:before="110" w:line="203" w:lineRule="auto"/>
              <w:ind w:left="274"/>
            </w:pPr>
            <w:r>
              <w:rPr>
                <w:spacing w:val="-2"/>
              </w:rPr>
              <w:t>0.26</w:t>
            </w:r>
          </w:p>
        </w:tc>
        <w:tc>
          <w:tcPr>
            <w:tcW w:w="906" w:type="dxa"/>
            <w:tcBorders>
              <w:right w:val="single" w:color="000000" w:sz="12" w:space="0"/>
            </w:tcBorders>
            <w:vAlign w:val="top"/>
          </w:tcPr>
          <w:p w14:paraId="34BA5E10">
            <w:pPr>
              <w:pStyle w:val="6"/>
              <w:spacing w:before="110" w:line="203" w:lineRule="auto"/>
              <w:ind w:left="277"/>
            </w:pPr>
            <w:r>
              <w:rPr>
                <w:spacing w:val="-2"/>
              </w:rPr>
              <w:t>0.06</w:t>
            </w:r>
          </w:p>
        </w:tc>
      </w:tr>
      <w:tr w14:paraId="2A1E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348F56E4">
            <w:pPr>
              <w:rPr>
                <w:rFonts w:ascii="Arial"/>
                <w:sz w:val="21"/>
              </w:rPr>
            </w:pPr>
          </w:p>
        </w:tc>
        <w:tc>
          <w:tcPr>
            <w:tcW w:w="423" w:type="dxa"/>
            <w:vMerge w:val="restart"/>
            <w:tcBorders>
              <w:bottom w:val="nil"/>
            </w:tcBorders>
            <w:vAlign w:val="top"/>
          </w:tcPr>
          <w:p w14:paraId="57D88003">
            <w:pPr>
              <w:pStyle w:val="6"/>
              <w:spacing w:before="176" w:line="222" w:lineRule="auto"/>
              <w:ind w:left="152"/>
            </w:pPr>
            <w:r>
              <w:t>3</w:t>
            </w:r>
          </w:p>
          <w:p w14:paraId="2A885A75">
            <w:pPr>
              <w:spacing w:line="219" w:lineRule="auto"/>
              <w:ind w:left="100"/>
              <w:rPr>
                <w:rFonts w:ascii="宋体" w:hAnsi="宋体" w:eastAsia="宋体" w:cs="宋体"/>
                <w:sz w:val="21"/>
                <w:szCs w:val="21"/>
              </w:rPr>
            </w:pPr>
            <w:r>
              <w:rPr>
                <w:rFonts w:ascii="宋体" w:hAnsi="宋体" w:eastAsia="宋体" w:cs="宋体"/>
                <w:sz w:val="21"/>
                <w:szCs w:val="21"/>
              </w:rPr>
              <w:t>季</w:t>
            </w:r>
          </w:p>
          <w:p w14:paraId="3ECC23D1">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FC9F147">
            <w:pPr>
              <w:pStyle w:val="6"/>
              <w:spacing w:before="111" w:line="204" w:lineRule="auto"/>
              <w:ind w:left="343"/>
            </w:pPr>
            <w:r>
              <w:rPr>
                <w:spacing w:val="-1"/>
              </w:rPr>
              <w:t>2019/8/06</w:t>
            </w:r>
          </w:p>
        </w:tc>
        <w:tc>
          <w:tcPr>
            <w:tcW w:w="892" w:type="dxa"/>
            <w:vAlign w:val="top"/>
          </w:tcPr>
          <w:p w14:paraId="6B524A20">
            <w:pPr>
              <w:pStyle w:val="6"/>
              <w:spacing w:before="111" w:line="204" w:lineRule="auto"/>
              <w:ind w:left="342"/>
            </w:pPr>
            <w:r>
              <w:rPr>
                <w:spacing w:val="-3"/>
              </w:rPr>
              <w:t>69</w:t>
            </w:r>
          </w:p>
        </w:tc>
        <w:tc>
          <w:tcPr>
            <w:tcW w:w="892" w:type="dxa"/>
            <w:vAlign w:val="top"/>
          </w:tcPr>
          <w:p w14:paraId="1B85DC03">
            <w:pPr>
              <w:pStyle w:val="6"/>
              <w:spacing w:before="111" w:line="204" w:lineRule="auto"/>
              <w:ind w:left="339"/>
            </w:pPr>
            <w:r>
              <w:rPr>
                <w:spacing w:val="-1"/>
              </w:rPr>
              <w:t>46</w:t>
            </w:r>
          </w:p>
        </w:tc>
        <w:tc>
          <w:tcPr>
            <w:tcW w:w="892" w:type="dxa"/>
            <w:vAlign w:val="top"/>
          </w:tcPr>
          <w:p w14:paraId="39E38B67">
            <w:pPr>
              <w:pStyle w:val="6"/>
              <w:spacing w:before="111" w:line="204" w:lineRule="auto"/>
              <w:ind w:left="268"/>
            </w:pPr>
            <w:r>
              <w:rPr>
                <w:spacing w:val="-2"/>
              </w:rPr>
              <w:t>7.18</w:t>
            </w:r>
          </w:p>
        </w:tc>
        <w:tc>
          <w:tcPr>
            <w:tcW w:w="892" w:type="dxa"/>
            <w:vAlign w:val="top"/>
          </w:tcPr>
          <w:p w14:paraId="70DB6409">
            <w:pPr>
              <w:pStyle w:val="6"/>
              <w:spacing w:before="111" w:line="204" w:lineRule="auto"/>
              <w:ind w:left="271"/>
            </w:pPr>
            <w:r>
              <w:rPr>
                <w:spacing w:val="-2"/>
              </w:rPr>
              <w:t>7.11</w:t>
            </w:r>
          </w:p>
        </w:tc>
        <w:tc>
          <w:tcPr>
            <w:tcW w:w="891" w:type="dxa"/>
            <w:vAlign w:val="top"/>
          </w:tcPr>
          <w:p w14:paraId="6E7C31D6">
            <w:pPr>
              <w:pStyle w:val="6"/>
              <w:spacing w:before="111" w:line="204" w:lineRule="auto"/>
              <w:ind w:left="274"/>
            </w:pPr>
            <w:r>
              <w:rPr>
                <w:spacing w:val="-2"/>
              </w:rPr>
              <w:t>0.30</w:t>
            </w:r>
          </w:p>
        </w:tc>
        <w:tc>
          <w:tcPr>
            <w:tcW w:w="906" w:type="dxa"/>
            <w:tcBorders>
              <w:right w:val="single" w:color="000000" w:sz="12" w:space="0"/>
            </w:tcBorders>
            <w:vAlign w:val="top"/>
          </w:tcPr>
          <w:p w14:paraId="269F16F3">
            <w:pPr>
              <w:pStyle w:val="6"/>
              <w:spacing w:before="111" w:line="204" w:lineRule="auto"/>
              <w:ind w:left="277"/>
            </w:pPr>
            <w:r>
              <w:rPr>
                <w:spacing w:val="-2"/>
              </w:rPr>
              <w:t>0.11</w:t>
            </w:r>
          </w:p>
        </w:tc>
      </w:tr>
      <w:tr w14:paraId="72977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404068F">
            <w:pPr>
              <w:rPr>
                <w:rFonts w:ascii="Arial"/>
                <w:sz w:val="21"/>
              </w:rPr>
            </w:pPr>
          </w:p>
        </w:tc>
        <w:tc>
          <w:tcPr>
            <w:tcW w:w="423" w:type="dxa"/>
            <w:vMerge w:val="continue"/>
            <w:tcBorders>
              <w:top w:val="nil"/>
              <w:bottom w:val="nil"/>
            </w:tcBorders>
            <w:vAlign w:val="top"/>
          </w:tcPr>
          <w:p w14:paraId="75FCA65C">
            <w:pPr>
              <w:rPr>
                <w:rFonts w:ascii="Arial"/>
                <w:sz w:val="21"/>
              </w:rPr>
            </w:pPr>
          </w:p>
        </w:tc>
        <w:tc>
          <w:tcPr>
            <w:tcW w:w="1554" w:type="dxa"/>
            <w:vAlign w:val="top"/>
          </w:tcPr>
          <w:p w14:paraId="3E68B809">
            <w:pPr>
              <w:pStyle w:val="6"/>
              <w:spacing w:before="112" w:line="201" w:lineRule="auto"/>
              <w:ind w:left="343"/>
            </w:pPr>
            <w:r>
              <w:rPr>
                <w:spacing w:val="-1"/>
              </w:rPr>
              <w:t>2019/8/07</w:t>
            </w:r>
          </w:p>
        </w:tc>
        <w:tc>
          <w:tcPr>
            <w:tcW w:w="892" w:type="dxa"/>
            <w:vAlign w:val="top"/>
          </w:tcPr>
          <w:p w14:paraId="06BC9A6D">
            <w:pPr>
              <w:pStyle w:val="6"/>
              <w:spacing w:before="112" w:line="201" w:lineRule="auto"/>
              <w:ind w:left="340"/>
            </w:pPr>
            <w:r>
              <w:rPr>
                <w:spacing w:val="-2"/>
              </w:rPr>
              <w:t>77</w:t>
            </w:r>
          </w:p>
        </w:tc>
        <w:tc>
          <w:tcPr>
            <w:tcW w:w="892" w:type="dxa"/>
            <w:vAlign w:val="top"/>
          </w:tcPr>
          <w:p w14:paraId="01FA2F82">
            <w:pPr>
              <w:pStyle w:val="6"/>
              <w:spacing w:before="112" w:line="201" w:lineRule="auto"/>
              <w:ind w:left="339"/>
            </w:pPr>
            <w:r>
              <w:rPr>
                <w:spacing w:val="-1"/>
              </w:rPr>
              <w:t>43</w:t>
            </w:r>
          </w:p>
        </w:tc>
        <w:tc>
          <w:tcPr>
            <w:tcW w:w="892" w:type="dxa"/>
            <w:vAlign w:val="top"/>
          </w:tcPr>
          <w:p w14:paraId="682BC44E">
            <w:pPr>
              <w:pStyle w:val="6"/>
              <w:spacing w:before="112" w:line="201" w:lineRule="auto"/>
              <w:ind w:left="268"/>
            </w:pPr>
            <w:r>
              <w:rPr>
                <w:spacing w:val="-2"/>
              </w:rPr>
              <w:t>7.21</w:t>
            </w:r>
          </w:p>
        </w:tc>
        <w:tc>
          <w:tcPr>
            <w:tcW w:w="892" w:type="dxa"/>
            <w:vAlign w:val="top"/>
          </w:tcPr>
          <w:p w14:paraId="6DF39D3A">
            <w:pPr>
              <w:pStyle w:val="6"/>
              <w:spacing w:before="112" w:line="201" w:lineRule="auto"/>
              <w:ind w:left="271"/>
            </w:pPr>
            <w:r>
              <w:rPr>
                <w:spacing w:val="-2"/>
              </w:rPr>
              <w:t>7.15</w:t>
            </w:r>
          </w:p>
        </w:tc>
        <w:tc>
          <w:tcPr>
            <w:tcW w:w="891" w:type="dxa"/>
            <w:vAlign w:val="top"/>
          </w:tcPr>
          <w:p w14:paraId="540A1D33">
            <w:pPr>
              <w:pStyle w:val="6"/>
              <w:spacing w:before="112" w:line="201" w:lineRule="auto"/>
              <w:ind w:left="274"/>
            </w:pPr>
            <w:r>
              <w:rPr>
                <w:spacing w:val="-2"/>
              </w:rPr>
              <w:t>0.27</w:t>
            </w:r>
          </w:p>
        </w:tc>
        <w:tc>
          <w:tcPr>
            <w:tcW w:w="906" w:type="dxa"/>
            <w:tcBorders>
              <w:right w:val="single" w:color="000000" w:sz="12" w:space="0"/>
            </w:tcBorders>
            <w:vAlign w:val="top"/>
          </w:tcPr>
          <w:p w14:paraId="7AEEDA75">
            <w:pPr>
              <w:pStyle w:val="6"/>
              <w:spacing w:before="112" w:line="201" w:lineRule="auto"/>
              <w:ind w:left="277"/>
            </w:pPr>
            <w:r>
              <w:rPr>
                <w:spacing w:val="-2"/>
              </w:rPr>
              <w:t>0.09</w:t>
            </w:r>
          </w:p>
        </w:tc>
      </w:tr>
      <w:tr w14:paraId="20D33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6F7B5505">
            <w:pPr>
              <w:rPr>
                <w:rFonts w:ascii="Arial"/>
                <w:sz w:val="21"/>
              </w:rPr>
            </w:pPr>
          </w:p>
        </w:tc>
        <w:tc>
          <w:tcPr>
            <w:tcW w:w="423" w:type="dxa"/>
            <w:vMerge w:val="continue"/>
            <w:tcBorders>
              <w:top w:val="nil"/>
            </w:tcBorders>
            <w:vAlign w:val="top"/>
          </w:tcPr>
          <w:p w14:paraId="7A14ED39">
            <w:pPr>
              <w:rPr>
                <w:rFonts w:ascii="Arial"/>
                <w:sz w:val="21"/>
              </w:rPr>
            </w:pPr>
          </w:p>
        </w:tc>
        <w:tc>
          <w:tcPr>
            <w:tcW w:w="1554" w:type="dxa"/>
            <w:vAlign w:val="top"/>
          </w:tcPr>
          <w:p w14:paraId="01FD9C4D">
            <w:pPr>
              <w:pStyle w:val="6"/>
              <w:spacing w:before="113" w:line="201" w:lineRule="auto"/>
              <w:ind w:left="343"/>
            </w:pPr>
            <w:r>
              <w:rPr>
                <w:spacing w:val="-1"/>
              </w:rPr>
              <w:t>2019/8/08</w:t>
            </w:r>
          </w:p>
        </w:tc>
        <w:tc>
          <w:tcPr>
            <w:tcW w:w="892" w:type="dxa"/>
            <w:vAlign w:val="top"/>
          </w:tcPr>
          <w:p w14:paraId="22FB5B11">
            <w:pPr>
              <w:pStyle w:val="6"/>
              <w:spacing w:before="113" w:line="201" w:lineRule="auto"/>
              <w:ind w:left="346"/>
            </w:pPr>
            <w:r>
              <w:rPr>
                <w:spacing w:val="-4"/>
              </w:rPr>
              <w:t>81</w:t>
            </w:r>
          </w:p>
        </w:tc>
        <w:tc>
          <w:tcPr>
            <w:tcW w:w="892" w:type="dxa"/>
            <w:vAlign w:val="top"/>
          </w:tcPr>
          <w:p w14:paraId="10174079">
            <w:pPr>
              <w:pStyle w:val="6"/>
              <w:spacing w:before="113" w:line="201" w:lineRule="auto"/>
              <w:ind w:left="345"/>
            </w:pPr>
            <w:r>
              <w:rPr>
                <w:spacing w:val="-3"/>
              </w:rPr>
              <w:t>37</w:t>
            </w:r>
          </w:p>
        </w:tc>
        <w:tc>
          <w:tcPr>
            <w:tcW w:w="892" w:type="dxa"/>
            <w:vAlign w:val="top"/>
          </w:tcPr>
          <w:p w14:paraId="0F4331D0">
            <w:pPr>
              <w:pStyle w:val="6"/>
              <w:spacing w:before="113" w:line="201" w:lineRule="auto"/>
              <w:ind w:left="268"/>
            </w:pPr>
            <w:r>
              <w:rPr>
                <w:spacing w:val="-2"/>
              </w:rPr>
              <w:t>7.25</w:t>
            </w:r>
          </w:p>
        </w:tc>
        <w:tc>
          <w:tcPr>
            <w:tcW w:w="892" w:type="dxa"/>
            <w:vAlign w:val="top"/>
          </w:tcPr>
          <w:p w14:paraId="5252C715">
            <w:pPr>
              <w:pStyle w:val="6"/>
              <w:spacing w:before="113" w:line="201" w:lineRule="auto"/>
              <w:ind w:left="271"/>
            </w:pPr>
            <w:r>
              <w:rPr>
                <w:spacing w:val="-2"/>
              </w:rPr>
              <w:t>7.19</w:t>
            </w:r>
          </w:p>
        </w:tc>
        <w:tc>
          <w:tcPr>
            <w:tcW w:w="891" w:type="dxa"/>
            <w:vAlign w:val="top"/>
          </w:tcPr>
          <w:p w14:paraId="436D16A1">
            <w:pPr>
              <w:pStyle w:val="6"/>
              <w:spacing w:before="113" w:line="201" w:lineRule="auto"/>
              <w:ind w:left="274"/>
            </w:pPr>
            <w:r>
              <w:rPr>
                <w:spacing w:val="-2"/>
              </w:rPr>
              <w:t>0.29</w:t>
            </w:r>
          </w:p>
        </w:tc>
        <w:tc>
          <w:tcPr>
            <w:tcW w:w="906" w:type="dxa"/>
            <w:tcBorders>
              <w:right w:val="single" w:color="000000" w:sz="12" w:space="0"/>
            </w:tcBorders>
            <w:vAlign w:val="top"/>
          </w:tcPr>
          <w:p w14:paraId="67F81687">
            <w:pPr>
              <w:pStyle w:val="6"/>
              <w:spacing w:before="113" w:line="201" w:lineRule="auto"/>
              <w:ind w:left="277"/>
            </w:pPr>
            <w:r>
              <w:rPr>
                <w:spacing w:val="-2"/>
              </w:rPr>
              <w:t>0.08</w:t>
            </w:r>
          </w:p>
        </w:tc>
      </w:tr>
      <w:tr w14:paraId="658E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09FFC43">
            <w:pPr>
              <w:rPr>
                <w:rFonts w:ascii="Arial"/>
                <w:sz w:val="21"/>
              </w:rPr>
            </w:pPr>
          </w:p>
        </w:tc>
        <w:tc>
          <w:tcPr>
            <w:tcW w:w="423" w:type="dxa"/>
            <w:vMerge w:val="restart"/>
            <w:tcBorders>
              <w:bottom w:val="nil"/>
            </w:tcBorders>
            <w:vAlign w:val="top"/>
          </w:tcPr>
          <w:p w14:paraId="38787E17">
            <w:pPr>
              <w:spacing w:line="265" w:lineRule="auto"/>
              <w:rPr>
                <w:rFonts w:ascii="Arial"/>
                <w:sz w:val="21"/>
              </w:rPr>
            </w:pPr>
          </w:p>
          <w:p w14:paraId="3A9FD3D4">
            <w:pPr>
              <w:pStyle w:val="6"/>
              <w:spacing w:before="61" w:line="230" w:lineRule="auto"/>
              <w:ind w:left="98" w:right="111" w:firstLine="48"/>
              <w:jc w:val="both"/>
              <w:rPr>
                <w:rFonts w:ascii="宋体" w:hAnsi="宋体" w:eastAsia="宋体" w:cs="宋体"/>
              </w:rPr>
            </w:pPr>
            <w:r>
              <w:rPr>
                <w:spacing w:val="-4"/>
              </w:rPr>
              <w:t>4</w:t>
            </w:r>
            <w:r>
              <w:rPr>
                <w:rFonts w:ascii="宋体" w:hAnsi="宋体" w:eastAsia="宋体" w:cs="宋体"/>
                <w:spacing w:val="-8"/>
              </w:rPr>
              <w:t>季度</w:t>
            </w:r>
          </w:p>
        </w:tc>
        <w:tc>
          <w:tcPr>
            <w:tcW w:w="1554" w:type="dxa"/>
            <w:vAlign w:val="top"/>
          </w:tcPr>
          <w:p w14:paraId="7E72B92B">
            <w:pPr>
              <w:pStyle w:val="6"/>
              <w:spacing w:before="113" w:line="201" w:lineRule="auto"/>
              <w:ind w:left="343"/>
            </w:pPr>
            <w:r>
              <w:rPr>
                <w:spacing w:val="-1"/>
              </w:rPr>
              <w:t>2019/11/9</w:t>
            </w:r>
          </w:p>
        </w:tc>
        <w:tc>
          <w:tcPr>
            <w:tcW w:w="892" w:type="dxa"/>
            <w:vAlign w:val="top"/>
          </w:tcPr>
          <w:p w14:paraId="2761E0F3">
            <w:pPr>
              <w:pStyle w:val="6"/>
              <w:spacing w:before="113" w:line="201" w:lineRule="auto"/>
              <w:ind w:left="304"/>
            </w:pPr>
            <w:r>
              <w:rPr>
                <w:spacing w:val="-6"/>
              </w:rPr>
              <w:t>103</w:t>
            </w:r>
          </w:p>
        </w:tc>
        <w:tc>
          <w:tcPr>
            <w:tcW w:w="892" w:type="dxa"/>
            <w:vAlign w:val="top"/>
          </w:tcPr>
          <w:p w14:paraId="36E3ED10">
            <w:pPr>
              <w:pStyle w:val="6"/>
              <w:spacing w:before="117" w:line="197" w:lineRule="auto"/>
              <w:ind w:left="343"/>
            </w:pPr>
            <w:r>
              <w:rPr>
                <w:b/>
                <w:bCs/>
                <w:spacing w:val="-2"/>
              </w:rPr>
              <w:t>87</w:t>
            </w:r>
          </w:p>
        </w:tc>
        <w:tc>
          <w:tcPr>
            <w:tcW w:w="892" w:type="dxa"/>
            <w:vAlign w:val="top"/>
          </w:tcPr>
          <w:p w14:paraId="539B80F4">
            <w:pPr>
              <w:pStyle w:val="6"/>
              <w:spacing w:before="113" w:line="201" w:lineRule="auto"/>
              <w:ind w:left="268"/>
            </w:pPr>
            <w:r>
              <w:rPr>
                <w:spacing w:val="-2"/>
              </w:rPr>
              <w:t>7.22</w:t>
            </w:r>
          </w:p>
        </w:tc>
        <w:tc>
          <w:tcPr>
            <w:tcW w:w="892" w:type="dxa"/>
            <w:vAlign w:val="top"/>
          </w:tcPr>
          <w:p w14:paraId="2847AB79">
            <w:pPr>
              <w:pStyle w:val="6"/>
              <w:spacing w:before="113" w:line="201" w:lineRule="auto"/>
              <w:ind w:left="325"/>
            </w:pPr>
            <w:r>
              <w:rPr>
                <w:spacing w:val="-3"/>
              </w:rPr>
              <w:t>6.9</w:t>
            </w:r>
          </w:p>
        </w:tc>
        <w:tc>
          <w:tcPr>
            <w:tcW w:w="891" w:type="dxa"/>
            <w:vAlign w:val="top"/>
          </w:tcPr>
          <w:p w14:paraId="19B0B3B2">
            <w:pPr>
              <w:pStyle w:val="6"/>
              <w:spacing w:before="113" w:line="201" w:lineRule="auto"/>
              <w:ind w:left="274"/>
            </w:pPr>
            <w:r>
              <w:rPr>
                <w:spacing w:val="-2"/>
              </w:rPr>
              <w:t>0.26</w:t>
            </w:r>
          </w:p>
        </w:tc>
        <w:tc>
          <w:tcPr>
            <w:tcW w:w="906" w:type="dxa"/>
            <w:tcBorders>
              <w:right w:val="single" w:color="000000" w:sz="12" w:space="0"/>
            </w:tcBorders>
            <w:vAlign w:val="top"/>
          </w:tcPr>
          <w:p w14:paraId="03670701">
            <w:pPr>
              <w:pStyle w:val="6"/>
              <w:spacing w:before="113" w:line="201" w:lineRule="auto"/>
              <w:ind w:left="277"/>
            </w:pPr>
            <w:r>
              <w:rPr>
                <w:spacing w:val="-2"/>
              </w:rPr>
              <w:t>0.09</w:t>
            </w:r>
          </w:p>
        </w:tc>
      </w:tr>
      <w:tr w14:paraId="6DDAC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E7EF4A2">
            <w:pPr>
              <w:rPr>
                <w:rFonts w:ascii="Arial"/>
                <w:sz w:val="21"/>
              </w:rPr>
            </w:pPr>
          </w:p>
        </w:tc>
        <w:tc>
          <w:tcPr>
            <w:tcW w:w="423" w:type="dxa"/>
            <w:vMerge w:val="continue"/>
            <w:tcBorders>
              <w:top w:val="nil"/>
              <w:bottom w:val="nil"/>
            </w:tcBorders>
            <w:vAlign w:val="top"/>
          </w:tcPr>
          <w:p w14:paraId="08041CF0">
            <w:pPr>
              <w:rPr>
                <w:rFonts w:ascii="Arial"/>
                <w:sz w:val="21"/>
              </w:rPr>
            </w:pPr>
          </w:p>
        </w:tc>
        <w:tc>
          <w:tcPr>
            <w:tcW w:w="1554" w:type="dxa"/>
            <w:vAlign w:val="top"/>
          </w:tcPr>
          <w:p w14:paraId="0B170E2F">
            <w:pPr>
              <w:pStyle w:val="6"/>
              <w:spacing w:before="114" w:line="199" w:lineRule="auto"/>
              <w:ind w:left="290"/>
            </w:pPr>
            <w:r>
              <w:rPr>
                <w:spacing w:val="-1"/>
              </w:rPr>
              <w:t>2019/11/10</w:t>
            </w:r>
          </w:p>
        </w:tc>
        <w:tc>
          <w:tcPr>
            <w:tcW w:w="892" w:type="dxa"/>
            <w:vAlign w:val="top"/>
          </w:tcPr>
          <w:p w14:paraId="3EFBE99B">
            <w:pPr>
              <w:pStyle w:val="6"/>
              <w:spacing w:before="114" w:line="199" w:lineRule="auto"/>
              <w:ind w:left="304"/>
            </w:pPr>
            <w:r>
              <w:rPr>
                <w:spacing w:val="-6"/>
              </w:rPr>
              <w:t>115</w:t>
            </w:r>
          </w:p>
        </w:tc>
        <w:tc>
          <w:tcPr>
            <w:tcW w:w="892" w:type="dxa"/>
            <w:vAlign w:val="top"/>
          </w:tcPr>
          <w:p w14:paraId="43134E95">
            <w:pPr>
              <w:pStyle w:val="6"/>
              <w:spacing w:before="119" w:line="194" w:lineRule="auto"/>
              <w:ind w:left="342"/>
            </w:pPr>
            <w:r>
              <w:rPr>
                <w:b/>
                <w:bCs/>
                <w:spacing w:val="-2"/>
              </w:rPr>
              <w:t>93</w:t>
            </w:r>
          </w:p>
        </w:tc>
        <w:tc>
          <w:tcPr>
            <w:tcW w:w="892" w:type="dxa"/>
            <w:vAlign w:val="top"/>
          </w:tcPr>
          <w:p w14:paraId="056E0D4A">
            <w:pPr>
              <w:pStyle w:val="6"/>
              <w:spacing w:before="114" w:line="199" w:lineRule="auto"/>
              <w:ind w:left="268"/>
            </w:pPr>
            <w:r>
              <w:rPr>
                <w:spacing w:val="-2"/>
              </w:rPr>
              <w:t>7.21</w:t>
            </w:r>
          </w:p>
        </w:tc>
        <w:tc>
          <w:tcPr>
            <w:tcW w:w="892" w:type="dxa"/>
            <w:vAlign w:val="top"/>
          </w:tcPr>
          <w:p w14:paraId="19655690">
            <w:pPr>
              <w:pStyle w:val="6"/>
              <w:spacing w:before="114" w:line="199" w:lineRule="auto"/>
              <w:ind w:left="271"/>
            </w:pPr>
            <w:r>
              <w:rPr>
                <w:spacing w:val="-2"/>
              </w:rPr>
              <w:t>7.02</w:t>
            </w:r>
          </w:p>
        </w:tc>
        <w:tc>
          <w:tcPr>
            <w:tcW w:w="891" w:type="dxa"/>
            <w:vAlign w:val="top"/>
          </w:tcPr>
          <w:p w14:paraId="0C8A53DB">
            <w:pPr>
              <w:pStyle w:val="6"/>
              <w:spacing w:before="114" w:line="199" w:lineRule="auto"/>
              <w:ind w:left="274"/>
            </w:pPr>
            <w:r>
              <w:rPr>
                <w:spacing w:val="-2"/>
              </w:rPr>
              <w:t>0.23</w:t>
            </w:r>
          </w:p>
        </w:tc>
        <w:tc>
          <w:tcPr>
            <w:tcW w:w="906" w:type="dxa"/>
            <w:tcBorders>
              <w:right w:val="single" w:color="000000" w:sz="12" w:space="0"/>
            </w:tcBorders>
            <w:vAlign w:val="top"/>
          </w:tcPr>
          <w:p w14:paraId="33F7C82E">
            <w:pPr>
              <w:pStyle w:val="6"/>
              <w:spacing w:before="114" w:line="199" w:lineRule="auto"/>
              <w:ind w:left="277"/>
            </w:pPr>
            <w:r>
              <w:rPr>
                <w:spacing w:val="-2"/>
              </w:rPr>
              <w:t>0.08</w:t>
            </w:r>
          </w:p>
        </w:tc>
      </w:tr>
      <w:tr w14:paraId="00A6A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131" w:type="dxa"/>
            <w:vMerge w:val="continue"/>
            <w:tcBorders>
              <w:top w:val="nil"/>
              <w:left w:val="single" w:color="000000" w:sz="12" w:space="0"/>
              <w:bottom w:val="single" w:color="000000" w:sz="12" w:space="0"/>
            </w:tcBorders>
            <w:vAlign w:val="top"/>
          </w:tcPr>
          <w:p w14:paraId="3376DD0D">
            <w:pPr>
              <w:rPr>
                <w:rFonts w:ascii="Arial"/>
                <w:sz w:val="21"/>
              </w:rPr>
            </w:pPr>
          </w:p>
        </w:tc>
        <w:tc>
          <w:tcPr>
            <w:tcW w:w="423" w:type="dxa"/>
            <w:vMerge w:val="continue"/>
            <w:tcBorders>
              <w:top w:val="nil"/>
              <w:bottom w:val="single" w:color="000000" w:sz="12" w:space="0"/>
            </w:tcBorders>
            <w:vAlign w:val="top"/>
          </w:tcPr>
          <w:p w14:paraId="0B47BE4E">
            <w:pPr>
              <w:rPr>
                <w:rFonts w:ascii="Arial"/>
                <w:sz w:val="21"/>
              </w:rPr>
            </w:pPr>
          </w:p>
        </w:tc>
        <w:tc>
          <w:tcPr>
            <w:tcW w:w="1554" w:type="dxa"/>
            <w:tcBorders>
              <w:bottom w:val="single" w:color="000000" w:sz="12" w:space="0"/>
            </w:tcBorders>
            <w:vAlign w:val="top"/>
          </w:tcPr>
          <w:p w14:paraId="28CABC44">
            <w:pPr>
              <w:pStyle w:val="6"/>
              <w:spacing w:before="265" w:line="232" w:lineRule="auto"/>
              <w:ind w:left="290"/>
            </w:pPr>
            <w:r>
              <w:rPr>
                <w:spacing w:val="-1"/>
              </w:rPr>
              <w:t>2019/11/11</w:t>
            </w:r>
          </w:p>
        </w:tc>
        <w:tc>
          <w:tcPr>
            <w:tcW w:w="892" w:type="dxa"/>
            <w:tcBorders>
              <w:bottom w:val="single" w:color="000000" w:sz="12" w:space="0"/>
            </w:tcBorders>
            <w:vAlign w:val="top"/>
          </w:tcPr>
          <w:p w14:paraId="498D36F9">
            <w:pPr>
              <w:pStyle w:val="6"/>
              <w:spacing w:before="265" w:line="232" w:lineRule="auto"/>
              <w:ind w:left="304"/>
            </w:pPr>
            <w:r>
              <w:rPr>
                <w:spacing w:val="-6"/>
              </w:rPr>
              <w:t>109</w:t>
            </w:r>
          </w:p>
        </w:tc>
        <w:tc>
          <w:tcPr>
            <w:tcW w:w="892" w:type="dxa"/>
            <w:tcBorders>
              <w:bottom w:val="single" w:color="000000" w:sz="12" w:space="0"/>
            </w:tcBorders>
            <w:vAlign w:val="top"/>
          </w:tcPr>
          <w:p w14:paraId="2847DB83">
            <w:pPr>
              <w:pStyle w:val="6"/>
              <w:spacing w:before="270" w:line="229" w:lineRule="auto"/>
              <w:ind w:left="343"/>
            </w:pPr>
            <w:r>
              <w:rPr>
                <w:b/>
                <w:bCs/>
                <w:spacing w:val="-2"/>
              </w:rPr>
              <w:t>79</w:t>
            </w:r>
          </w:p>
        </w:tc>
        <w:tc>
          <w:tcPr>
            <w:tcW w:w="892" w:type="dxa"/>
            <w:tcBorders>
              <w:bottom w:val="single" w:color="000000" w:sz="12" w:space="0"/>
            </w:tcBorders>
            <w:vAlign w:val="top"/>
          </w:tcPr>
          <w:p w14:paraId="09E46AE6">
            <w:pPr>
              <w:pStyle w:val="6"/>
              <w:spacing w:before="265" w:line="232" w:lineRule="auto"/>
              <w:ind w:left="268"/>
            </w:pPr>
            <w:r>
              <w:rPr>
                <w:spacing w:val="-2"/>
              </w:rPr>
              <w:t>7.24</w:t>
            </w:r>
          </w:p>
        </w:tc>
        <w:tc>
          <w:tcPr>
            <w:tcW w:w="892" w:type="dxa"/>
            <w:tcBorders>
              <w:bottom w:val="single" w:color="000000" w:sz="12" w:space="0"/>
            </w:tcBorders>
            <w:vAlign w:val="top"/>
          </w:tcPr>
          <w:p w14:paraId="6716B65D">
            <w:pPr>
              <w:pStyle w:val="6"/>
              <w:spacing w:before="265" w:line="232" w:lineRule="auto"/>
              <w:ind w:left="271"/>
            </w:pPr>
            <w:r>
              <w:rPr>
                <w:spacing w:val="-2"/>
              </w:rPr>
              <w:t>7.04</w:t>
            </w:r>
          </w:p>
        </w:tc>
        <w:tc>
          <w:tcPr>
            <w:tcW w:w="891" w:type="dxa"/>
            <w:tcBorders>
              <w:bottom w:val="single" w:color="000000" w:sz="12" w:space="0"/>
            </w:tcBorders>
            <w:vAlign w:val="top"/>
          </w:tcPr>
          <w:p w14:paraId="72847659">
            <w:pPr>
              <w:pStyle w:val="6"/>
              <w:spacing w:before="265" w:line="232" w:lineRule="auto"/>
              <w:ind w:left="274"/>
            </w:pPr>
            <w:r>
              <w:rPr>
                <w:spacing w:val="-2"/>
              </w:rPr>
              <w:t>0.26</w:t>
            </w:r>
          </w:p>
        </w:tc>
        <w:tc>
          <w:tcPr>
            <w:tcW w:w="906" w:type="dxa"/>
            <w:tcBorders>
              <w:bottom w:val="single" w:color="000000" w:sz="12" w:space="0"/>
              <w:right w:val="single" w:color="000000" w:sz="12" w:space="0"/>
            </w:tcBorders>
            <w:vAlign w:val="top"/>
          </w:tcPr>
          <w:p w14:paraId="32DCAEBF">
            <w:pPr>
              <w:pStyle w:val="6"/>
              <w:spacing w:before="265" w:line="232" w:lineRule="auto"/>
              <w:ind w:left="277"/>
            </w:pPr>
            <w:r>
              <w:rPr>
                <w:spacing w:val="-2"/>
              </w:rPr>
              <w:t>0.09</w:t>
            </w:r>
          </w:p>
        </w:tc>
      </w:tr>
    </w:tbl>
    <w:p w14:paraId="5BB8F72F">
      <w:pPr>
        <w:rPr>
          <w:rFonts w:ascii="Arial"/>
          <w:sz w:val="21"/>
        </w:rPr>
      </w:pPr>
    </w:p>
    <w:p w14:paraId="6D876ED5">
      <w:pPr>
        <w:rPr>
          <w:rFonts w:ascii="Arial" w:hAnsi="Arial" w:eastAsia="Arial" w:cs="Arial"/>
          <w:sz w:val="21"/>
          <w:szCs w:val="21"/>
        </w:rPr>
        <w:sectPr>
          <w:headerReference r:id="rId122" w:type="default"/>
          <w:footerReference r:id="rId123" w:type="default"/>
          <w:pgSz w:w="11907" w:h="16839"/>
          <w:pgMar w:top="1376" w:right="1669" w:bottom="1061" w:left="1671" w:header="999" w:footer="861" w:gutter="0"/>
          <w:cols w:space="720" w:num="1"/>
        </w:sectPr>
      </w:pPr>
    </w:p>
    <w:p w14:paraId="479A5D39">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1"/>
        <w:gridCol w:w="423"/>
        <w:gridCol w:w="1554"/>
        <w:gridCol w:w="892"/>
        <w:gridCol w:w="892"/>
        <w:gridCol w:w="892"/>
        <w:gridCol w:w="892"/>
        <w:gridCol w:w="891"/>
        <w:gridCol w:w="906"/>
      </w:tblGrid>
      <w:tr w14:paraId="59BE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131" w:type="dxa"/>
            <w:vMerge w:val="restart"/>
            <w:tcBorders>
              <w:top w:val="single" w:color="000000" w:sz="12" w:space="0"/>
              <w:left w:val="single" w:color="000000" w:sz="12" w:space="0"/>
              <w:bottom w:val="nil"/>
            </w:tcBorders>
            <w:vAlign w:val="top"/>
          </w:tcPr>
          <w:p w14:paraId="6BA5A2CC">
            <w:pPr>
              <w:spacing w:before="253" w:line="221" w:lineRule="auto"/>
              <w:ind w:left="133"/>
              <w:rPr>
                <w:rFonts w:ascii="宋体" w:hAnsi="宋体" w:eastAsia="宋体" w:cs="宋体"/>
                <w:sz w:val="21"/>
                <w:szCs w:val="21"/>
              </w:rPr>
            </w:pPr>
            <w:r>
              <w:rPr>
                <w:rFonts w:ascii="宋体" w:hAnsi="宋体" w:eastAsia="宋体" w:cs="宋体"/>
                <w:spacing w:val="-2"/>
                <w:sz w:val="21"/>
                <w:szCs w:val="21"/>
              </w:rPr>
              <w:t>监测点位</w:t>
            </w:r>
          </w:p>
        </w:tc>
        <w:tc>
          <w:tcPr>
            <w:tcW w:w="1977" w:type="dxa"/>
            <w:gridSpan w:val="2"/>
            <w:vMerge w:val="restart"/>
            <w:tcBorders>
              <w:top w:val="single" w:color="000000" w:sz="12" w:space="0"/>
              <w:bottom w:val="nil"/>
            </w:tcBorders>
            <w:vAlign w:val="top"/>
          </w:tcPr>
          <w:p w14:paraId="50CD93CC">
            <w:pPr>
              <w:spacing w:before="253" w:line="221" w:lineRule="auto"/>
              <w:ind w:left="56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13C3B245">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6A0A2A3C">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6CB22F01">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40A08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131" w:type="dxa"/>
            <w:vMerge w:val="continue"/>
            <w:tcBorders>
              <w:top w:val="nil"/>
              <w:left w:val="single" w:color="000000" w:sz="12" w:space="0"/>
            </w:tcBorders>
            <w:vAlign w:val="top"/>
          </w:tcPr>
          <w:p w14:paraId="4AA13540">
            <w:pPr>
              <w:rPr>
                <w:rFonts w:ascii="Arial"/>
                <w:sz w:val="21"/>
              </w:rPr>
            </w:pPr>
          </w:p>
        </w:tc>
        <w:tc>
          <w:tcPr>
            <w:tcW w:w="1977" w:type="dxa"/>
            <w:gridSpan w:val="2"/>
            <w:vMerge w:val="continue"/>
            <w:tcBorders>
              <w:top w:val="nil"/>
            </w:tcBorders>
            <w:vAlign w:val="top"/>
          </w:tcPr>
          <w:p w14:paraId="6DC0FA27">
            <w:pPr>
              <w:rPr>
                <w:rFonts w:ascii="Arial"/>
                <w:sz w:val="21"/>
              </w:rPr>
            </w:pPr>
          </w:p>
        </w:tc>
        <w:tc>
          <w:tcPr>
            <w:tcW w:w="892" w:type="dxa"/>
            <w:vAlign w:val="top"/>
          </w:tcPr>
          <w:p w14:paraId="05034DAC">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91A84AD">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6914E4BB">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4A65662D">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17DBED3C">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362A5CEC">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7CD3E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restart"/>
            <w:tcBorders>
              <w:left w:val="single" w:color="000000" w:sz="12" w:space="0"/>
              <w:bottom w:val="nil"/>
            </w:tcBorders>
            <w:vAlign w:val="top"/>
          </w:tcPr>
          <w:p w14:paraId="0A3943E2">
            <w:pPr>
              <w:spacing w:line="259" w:lineRule="auto"/>
              <w:rPr>
                <w:rFonts w:ascii="Arial"/>
                <w:sz w:val="21"/>
              </w:rPr>
            </w:pPr>
          </w:p>
          <w:p w14:paraId="6055A0AF">
            <w:pPr>
              <w:spacing w:line="259" w:lineRule="auto"/>
              <w:rPr>
                <w:rFonts w:ascii="Arial"/>
                <w:sz w:val="21"/>
              </w:rPr>
            </w:pPr>
          </w:p>
          <w:p w14:paraId="03D23A94">
            <w:pPr>
              <w:spacing w:line="259" w:lineRule="auto"/>
              <w:rPr>
                <w:rFonts w:ascii="Arial"/>
                <w:sz w:val="21"/>
              </w:rPr>
            </w:pPr>
          </w:p>
          <w:p w14:paraId="0B656476">
            <w:pPr>
              <w:spacing w:line="259" w:lineRule="auto"/>
              <w:rPr>
                <w:rFonts w:ascii="Arial"/>
                <w:sz w:val="21"/>
              </w:rPr>
            </w:pPr>
          </w:p>
          <w:p w14:paraId="4BAEDF0A">
            <w:pPr>
              <w:spacing w:line="260" w:lineRule="auto"/>
              <w:rPr>
                <w:rFonts w:ascii="Arial"/>
                <w:sz w:val="21"/>
              </w:rPr>
            </w:pPr>
          </w:p>
          <w:p w14:paraId="6C3C5D64">
            <w:pPr>
              <w:spacing w:line="260" w:lineRule="auto"/>
              <w:rPr>
                <w:rFonts w:ascii="Arial"/>
                <w:sz w:val="21"/>
              </w:rPr>
            </w:pPr>
          </w:p>
          <w:p w14:paraId="44EF9DDF">
            <w:pPr>
              <w:pStyle w:val="6"/>
              <w:spacing w:before="68" w:line="235" w:lineRule="auto"/>
              <w:ind w:left="137"/>
              <w:rPr>
                <w:rFonts w:ascii="宋体" w:hAnsi="宋体" w:eastAsia="宋体" w:cs="宋体"/>
              </w:rPr>
            </w:pPr>
            <w:r>
              <w:rPr>
                <w:spacing w:val="-3"/>
              </w:rPr>
              <w:t>8#</w:t>
            </w:r>
            <w:r>
              <w:rPr>
                <w:rFonts w:ascii="宋体" w:hAnsi="宋体" w:eastAsia="宋体" w:cs="宋体"/>
                <w:spacing w:val="-3"/>
              </w:rPr>
              <w:t>隧洞排</w:t>
            </w:r>
          </w:p>
          <w:p w14:paraId="0E0382CB">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523F4737">
            <w:pPr>
              <w:spacing w:before="21"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5F0E4B82">
            <w:pPr>
              <w:pStyle w:val="6"/>
              <w:spacing w:before="153" w:line="222" w:lineRule="auto"/>
              <w:ind w:left="168"/>
            </w:pPr>
            <w:r>
              <w:t>1</w:t>
            </w:r>
          </w:p>
          <w:p w14:paraId="548BAA96">
            <w:pPr>
              <w:spacing w:line="219" w:lineRule="auto"/>
              <w:ind w:left="100"/>
              <w:rPr>
                <w:rFonts w:ascii="宋体" w:hAnsi="宋体" w:eastAsia="宋体" w:cs="宋体"/>
                <w:sz w:val="21"/>
                <w:szCs w:val="21"/>
              </w:rPr>
            </w:pPr>
            <w:r>
              <w:rPr>
                <w:rFonts w:ascii="宋体" w:hAnsi="宋体" w:eastAsia="宋体" w:cs="宋体"/>
                <w:sz w:val="21"/>
                <w:szCs w:val="21"/>
              </w:rPr>
              <w:t>季</w:t>
            </w:r>
          </w:p>
          <w:p w14:paraId="0FFEC3F7">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72E7121">
            <w:pPr>
              <w:pStyle w:val="6"/>
              <w:spacing w:before="89" w:line="226" w:lineRule="auto"/>
              <w:ind w:left="343"/>
            </w:pPr>
            <w:r>
              <w:rPr>
                <w:spacing w:val="-1"/>
              </w:rPr>
              <w:t>2019/1/15</w:t>
            </w:r>
          </w:p>
        </w:tc>
        <w:tc>
          <w:tcPr>
            <w:tcW w:w="892" w:type="dxa"/>
            <w:vAlign w:val="top"/>
          </w:tcPr>
          <w:p w14:paraId="2ADD77AE">
            <w:pPr>
              <w:pStyle w:val="6"/>
              <w:spacing w:before="89" w:line="226" w:lineRule="auto"/>
              <w:ind w:left="357"/>
            </w:pPr>
            <w:r>
              <w:rPr>
                <w:spacing w:val="-6"/>
              </w:rPr>
              <w:t>10</w:t>
            </w:r>
          </w:p>
        </w:tc>
        <w:tc>
          <w:tcPr>
            <w:tcW w:w="892" w:type="dxa"/>
            <w:vAlign w:val="top"/>
          </w:tcPr>
          <w:p w14:paraId="3CAC1674">
            <w:pPr>
              <w:pStyle w:val="6"/>
              <w:spacing w:before="89" w:line="226" w:lineRule="auto"/>
              <w:ind w:left="399"/>
            </w:pPr>
            <w:r>
              <w:t>5</w:t>
            </w:r>
          </w:p>
        </w:tc>
        <w:tc>
          <w:tcPr>
            <w:tcW w:w="892" w:type="dxa"/>
            <w:vAlign w:val="top"/>
          </w:tcPr>
          <w:p w14:paraId="1D4884B0">
            <w:pPr>
              <w:pStyle w:val="6"/>
              <w:spacing w:before="89" w:line="226" w:lineRule="auto"/>
              <w:ind w:left="269"/>
            </w:pPr>
            <w:r>
              <w:rPr>
                <w:spacing w:val="-3"/>
              </w:rPr>
              <w:t>6.41</w:t>
            </w:r>
          </w:p>
        </w:tc>
        <w:tc>
          <w:tcPr>
            <w:tcW w:w="892" w:type="dxa"/>
            <w:vAlign w:val="top"/>
          </w:tcPr>
          <w:p w14:paraId="66A88ACE">
            <w:pPr>
              <w:pStyle w:val="6"/>
              <w:spacing w:before="89" w:line="226" w:lineRule="auto"/>
              <w:ind w:left="272"/>
            </w:pPr>
            <w:r>
              <w:rPr>
                <w:spacing w:val="-3"/>
              </w:rPr>
              <w:t>6.21</w:t>
            </w:r>
          </w:p>
        </w:tc>
        <w:tc>
          <w:tcPr>
            <w:tcW w:w="891" w:type="dxa"/>
            <w:vAlign w:val="top"/>
          </w:tcPr>
          <w:p w14:paraId="43285580">
            <w:pPr>
              <w:pStyle w:val="6"/>
              <w:spacing w:before="89" w:line="226" w:lineRule="auto"/>
              <w:ind w:left="274"/>
            </w:pPr>
            <w:r>
              <w:rPr>
                <w:spacing w:val="-2"/>
              </w:rPr>
              <w:t>0.48</w:t>
            </w:r>
          </w:p>
        </w:tc>
        <w:tc>
          <w:tcPr>
            <w:tcW w:w="906" w:type="dxa"/>
            <w:tcBorders>
              <w:right w:val="single" w:color="000000" w:sz="12" w:space="0"/>
            </w:tcBorders>
            <w:vAlign w:val="top"/>
          </w:tcPr>
          <w:p w14:paraId="23426C23">
            <w:pPr>
              <w:pStyle w:val="6"/>
              <w:spacing w:before="89" w:line="226" w:lineRule="auto"/>
              <w:ind w:left="214"/>
            </w:pPr>
            <w:r>
              <w:rPr>
                <w:spacing w:val="-2"/>
              </w:rPr>
              <w:t>0.06L</w:t>
            </w:r>
          </w:p>
        </w:tc>
      </w:tr>
      <w:tr w14:paraId="18E76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D6F4E6C">
            <w:pPr>
              <w:rPr>
                <w:rFonts w:ascii="Arial"/>
                <w:sz w:val="21"/>
              </w:rPr>
            </w:pPr>
          </w:p>
        </w:tc>
        <w:tc>
          <w:tcPr>
            <w:tcW w:w="423" w:type="dxa"/>
            <w:vMerge w:val="continue"/>
            <w:tcBorders>
              <w:top w:val="nil"/>
              <w:bottom w:val="nil"/>
            </w:tcBorders>
            <w:vAlign w:val="top"/>
          </w:tcPr>
          <w:p w14:paraId="0C9AA105">
            <w:pPr>
              <w:rPr>
                <w:rFonts w:ascii="Arial"/>
                <w:sz w:val="21"/>
              </w:rPr>
            </w:pPr>
          </w:p>
        </w:tc>
        <w:tc>
          <w:tcPr>
            <w:tcW w:w="1554" w:type="dxa"/>
            <w:vAlign w:val="top"/>
          </w:tcPr>
          <w:p w14:paraId="3797FD6C">
            <w:pPr>
              <w:pStyle w:val="6"/>
              <w:spacing w:before="89" w:line="224" w:lineRule="auto"/>
              <w:ind w:left="343"/>
            </w:pPr>
            <w:r>
              <w:rPr>
                <w:spacing w:val="-1"/>
              </w:rPr>
              <w:t>2019/1/16</w:t>
            </w:r>
          </w:p>
        </w:tc>
        <w:tc>
          <w:tcPr>
            <w:tcW w:w="892" w:type="dxa"/>
            <w:vAlign w:val="top"/>
          </w:tcPr>
          <w:p w14:paraId="7E4D4606">
            <w:pPr>
              <w:pStyle w:val="6"/>
              <w:spacing w:before="89" w:line="224" w:lineRule="auto"/>
              <w:ind w:left="357"/>
            </w:pPr>
            <w:r>
              <w:rPr>
                <w:spacing w:val="-6"/>
              </w:rPr>
              <w:t>12</w:t>
            </w:r>
          </w:p>
        </w:tc>
        <w:tc>
          <w:tcPr>
            <w:tcW w:w="892" w:type="dxa"/>
            <w:vAlign w:val="top"/>
          </w:tcPr>
          <w:p w14:paraId="3A96F021">
            <w:pPr>
              <w:pStyle w:val="6"/>
              <w:spacing w:before="89" w:line="224" w:lineRule="auto"/>
              <w:ind w:left="396"/>
            </w:pPr>
            <w:r>
              <w:t>7</w:t>
            </w:r>
          </w:p>
        </w:tc>
        <w:tc>
          <w:tcPr>
            <w:tcW w:w="892" w:type="dxa"/>
            <w:vAlign w:val="top"/>
          </w:tcPr>
          <w:p w14:paraId="0851E09A">
            <w:pPr>
              <w:pStyle w:val="6"/>
              <w:spacing w:before="89" w:line="224" w:lineRule="auto"/>
              <w:ind w:left="269"/>
            </w:pPr>
            <w:r>
              <w:rPr>
                <w:spacing w:val="-3"/>
              </w:rPr>
              <w:t>6.35</w:t>
            </w:r>
          </w:p>
        </w:tc>
        <w:tc>
          <w:tcPr>
            <w:tcW w:w="892" w:type="dxa"/>
            <w:vAlign w:val="top"/>
          </w:tcPr>
          <w:p w14:paraId="0A24CA94">
            <w:pPr>
              <w:pStyle w:val="6"/>
              <w:spacing w:before="89" w:line="224" w:lineRule="auto"/>
              <w:ind w:left="272"/>
            </w:pPr>
            <w:r>
              <w:rPr>
                <w:spacing w:val="-3"/>
              </w:rPr>
              <w:t>6.30</w:t>
            </w:r>
          </w:p>
        </w:tc>
        <w:tc>
          <w:tcPr>
            <w:tcW w:w="891" w:type="dxa"/>
            <w:vAlign w:val="top"/>
          </w:tcPr>
          <w:p w14:paraId="18721ACB">
            <w:pPr>
              <w:pStyle w:val="6"/>
              <w:spacing w:before="89" w:line="224" w:lineRule="auto"/>
              <w:ind w:left="274"/>
            </w:pPr>
            <w:r>
              <w:rPr>
                <w:spacing w:val="-2"/>
              </w:rPr>
              <w:t>0.51</w:t>
            </w:r>
          </w:p>
        </w:tc>
        <w:tc>
          <w:tcPr>
            <w:tcW w:w="906" w:type="dxa"/>
            <w:tcBorders>
              <w:right w:val="single" w:color="000000" w:sz="12" w:space="0"/>
            </w:tcBorders>
            <w:vAlign w:val="top"/>
          </w:tcPr>
          <w:p w14:paraId="7E6B1EFB">
            <w:pPr>
              <w:pStyle w:val="6"/>
              <w:spacing w:before="89" w:line="224" w:lineRule="auto"/>
              <w:ind w:left="277"/>
            </w:pPr>
            <w:r>
              <w:rPr>
                <w:spacing w:val="-2"/>
              </w:rPr>
              <w:t>0.06</w:t>
            </w:r>
          </w:p>
        </w:tc>
      </w:tr>
      <w:tr w14:paraId="575BA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0FE74C6F">
            <w:pPr>
              <w:rPr>
                <w:rFonts w:ascii="Arial"/>
                <w:sz w:val="21"/>
              </w:rPr>
            </w:pPr>
          </w:p>
        </w:tc>
        <w:tc>
          <w:tcPr>
            <w:tcW w:w="423" w:type="dxa"/>
            <w:vMerge w:val="continue"/>
            <w:tcBorders>
              <w:top w:val="nil"/>
            </w:tcBorders>
            <w:vAlign w:val="top"/>
          </w:tcPr>
          <w:p w14:paraId="74BD1C6B">
            <w:pPr>
              <w:rPr>
                <w:rFonts w:ascii="Arial"/>
                <w:sz w:val="21"/>
              </w:rPr>
            </w:pPr>
          </w:p>
        </w:tc>
        <w:tc>
          <w:tcPr>
            <w:tcW w:w="1554" w:type="dxa"/>
            <w:vAlign w:val="top"/>
          </w:tcPr>
          <w:p w14:paraId="159ABE5F">
            <w:pPr>
              <w:pStyle w:val="6"/>
              <w:spacing w:before="90" w:line="224" w:lineRule="auto"/>
              <w:ind w:left="343"/>
            </w:pPr>
            <w:r>
              <w:rPr>
                <w:spacing w:val="-1"/>
              </w:rPr>
              <w:t>2019/1/17</w:t>
            </w:r>
          </w:p>
        </w:tc>
        <w:tc>
          <w:tcPr>
            <w:tcW w:w="892" w:type="dxa"/>
            <w:vAlign w:val="top"/>
          </w:tcPr>
          <w:p w14:paraId="559CF462">
            <w:pPr>
              <w:pStyle w:val="6"/>
              <w:spacing w:before="90" w:line="224" w:lineRule="auto"/>
              <w:ind w:left="357"/>
            </w:pPr>
            <w:r>
              <w:rPr>
                <w:spacing w:val="-6"/>
              </w:rPr>
              <w:t>13</w:t>
            </w:r>
          </w:p>
        </w:tc>
        <w:tc>
          <w:tcPr>
            <w:tcW w:w="892" w:type="dxa"/>
            <w:vAlign w:val="top"/>
          </w:tcPr>
          <w:p w14:paraId="32970F48">
            <w:pPr>
              <w:pStyle w:val="6"/>
              <w:spacing w:before="90" w:line="224" w:lineRule="auto"/>
              <w:ind w:left="398"/>
            </w:pPr>
            <w:r>
              <w:t>6</w:t>
            </w:r>
          </w:p>
        </w:tc>
        <w:tc>
          <w:tcPr>
            <w:tcW w:w="892" w:type="dxa"/>
            <w:vAlign w:val="top"/>
          </w:tcPr>
          <w:p w14:paraId="7BC27169">
            <w:pPr>
              <w:pStyle w:val="6"/>
              <w:spacing w:before="90" w:line="224" w:lineRule="auto"/>
              <w:ind w:left="269"/>
            </w:pPr>
            <w:r>
              <w:rPr>
                <w:spacing w:val="-3"/>
              </w:rPr>
              <w:t>6.45</w:t>
            </w:r>
          </w:p>
        </w:tc>
        <w:tc>
          <w:tcPr>
            <w:tcW w:w="892" w:type="dxa"/>
            <w:vAlign w:val="top"/>
          </w:tcPr>
          <w:p w14:paraId="3FAFB2ED">
            <w:pPr>
              <w:pStyle w:val="6"/>
              <w:spacing w:before="90" w:line="224" w:lineRule="auto"/>
              <w:ind w:left="272"/>
            </w:pPr>
            <w:r>
              <w:rPr>
                <w:spacing w:val="-3"/>
              </w:rPr>
              <w:t>6.39</w:t>
            </w:r>
          </w:p>
        </w:tc>
        <w:tc>
          <w:tcPr>
            <w:tcW w:w="891" w:type="dxa"/>
            <w:vAlign w:val="top"/>
          </w:tcPr>
          <w:p w14:paraId="693D7BE3">
            <w:pPr>
              <w:pStyle w:val="6"/>
              <w:spacing w:before="90" w:line="224" w:lineRule="auto"/>
              <w:ind w:left="274"/>
            </w:pPr>
            <w:r>
              <w:rPr>
                <w:spacing w:val="-2"/>
              </w:rPr>
              <w:t>0.46</w:t>
            </w:r>
          </w:p>
        </w:tc>
        <w:tc>
          <w:tcPr>
            <w:tcW w:w="906" w:type="dxa"/>
            <w:tcBorders>
              <w:right w:val="single" w:color="000000" w:sz="12" w:space="0"/>
            </w:tcBorders>
            <w:vAlign w:val="top"/>
          </w:tcPr>
          <w:p w14:paraId="237DCDD1">
            <w:pPr>
              <w:pStyle w:val="6"/>
              <w:spacing w:before="90" w:line="224" w:lineRule="auto"/>
              <w:ind w:left="214"/>
            </w:pPr>
            <w:r>
              <w:rPr>
                <w:spacing w:val="-2"/>
              </w:rPr>
              <w:t>0.06L</w:t>
            </w:r>
          </w:p>
        </w:tc>
      </w:tr>
      <w:tr w14:paraId="064F8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68015A5">
            <w:pPr>
              <w:rPr>
                <w:rFonts w:ascii="Arial"/>
                <w:sz w:val="21"/>
              </w:rPr>
            </w:pPr>
          </w:p>
        </w:tc>
        <w:tc>
          <w:tcPr>
            <w:tcW w:w="423" w:type="dxa"/>
            <w:vMerge w:val="restart"/>
            <w:tcBorders>
              <w:bottom w:val="nil"/>
            </w:tcBorders>
            <w:vAlign w:val="top"/>
          </w:tcPr>
          <w:p w14:paraId="2D3187DD">
            <w:pPr>
              <w:pStyle w:val="6"/>
              <w:spacing w:before="155" w:line="222" w:lineRule="auto"/>
              <w:ind w:left="148"/>
            </w:pPr>
            <w:r>
              <w:t>2</w:t>
            </w:r>
          </w:p>
          <w:p w14:paraId="2B16C5A7">
            <w:pPr>
              <w:spacing w:line="219" w:lineRule="auto"/>
              <w:ind w:left="100"/>
              <w:rPr>
                <w:rFonts w:ascii="宋体" w:hAnsi="宋体" w:eastAsia="宋体" w:cs="宋体"/>
                <w:sz w:val="21"/>
                <w:szCs w:val="21"/>
              </w:rPr>
            </w:pPr>
            <w:r>
              <w:rPr>
                <w:rFonts w:ascii="宋体" w:hAnsi="宋体" w:eastAsia="宋体" w:cs="宋体"/>
                <w:sz w:val="21"/>
                <w:szCs w:val="21"/>
              </w:rPr>
              <w:t>季</w:t>
            </w:r>
          </w:p>
          <w:p w14:paraId="506F0C4A">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E077B70">
            <w:pPr>
              <w:pStyle w:val="6"/>
              <w:spacing w:before="90" w:line="223" w:lineRule="auto"/>
              <w:ind w:left="343"/>
            </w:pPr>
            <w:r>
              <w:rPr>
                <w:spacing w:val="-1"/>
              </w:rPr>
              <w:t>2019/5/10</w:t>
            </w:r>
          </w:p>
        </w:tc>
        <w:tc>
          <w:tcPr>
            <w:tcW w:w="892" w:type="dxa"/>
            <w:vAlign w:val="top"/>
          </w:tcPr>
          <w:p w14:paraId="5B98C3ED">
            <w:pPr>
              <w:pStyle w:val="6"/>
              <w:spacing w:before="90" w:line="223" w:lineRule="auto"/>
              <w:ind w:left="290"/>
            </w:pPr>
            <w:r>
              <w:rPr>
                <w:spacing w:val="-3"/>
              </w:rPr>
              <w:t>504</w:t>
            </w:r>
          </w:p>
        </w:tc>
        <w:tc>
          <w:tcPr>
            <w:tcW w:w="892" w:type="dxa"/>
            <w:vAlign w:val="top"/>
          </w:tcPr>
          <w:p w14:paraId="0311A7C6">
            <w:pPr>
              <w:pStyle w:val="6"/>
              <w:spacing w:before="90" w:line="223" w:lineRule="auto"/>
              <w:ind w:left="344"/>
            </w:pPr>
            <w:r>
              <w:rPr>
                <w:spacing w:val="-2"/>
              </w:rPr>
              <w:t>70</w:t>
            </w:r>
          </w:p>
        </w:tc>
        <w:tc>
          <w:tcPr>
            <w:tcW w:w="892" w:type="dxa"/>
            <w:vAlign w:val="top"/>
          </w:tcPr>
          <w:p w14:paraId="3B57433B">
            <w:pPr>
              <w:pStyle w:val="6"/>
              <w:spacing w:before="90" w:line="223" w:lineRule="auto"/>
              <w:ind w:left="269"/>
            </w:pPr>
            <w:r>
              <w:rPr>
                <w:spacing w:val="-3"/>
              </w:rPr>
              <w:t>6.44</w:t>
            </w:r>
          </w:p>
        </w:tc>
        <w:tc>
          <w:tcPr>
            <w:tcW w:w="892" w:type="dxa"/>
            <w:vAlign w:val="top"/>
          </w:tcPr>
          <w:p w14:paraId="0609E0CB">
            <w:pPr>
              <w:pStyle w:val="6"/>
              <w:spacing w:before="90" w:line="223" w:lineRule="auto"/>
              <w:ind w:left="272"/>
            </w:pPr>
            <w:r>
              <w:rPr>
                <w:spacing w:val="-3"/>
              </w:rPr>
              <w:t>6.36</w:t>
            </w:r>
          </w:p>
        </w:tc>
        <w:tc>
          <w:tcPr>
            <w:tcW w:w="891" w:type="dxa"/>
            <w:vAlign w:val="top"/>
          </w:tcPr>
          <w:p w14:paraId="4EFD425B">
            <w:pPr>
              <w:pStyle w:val="6"/>
              <w:spacing w:before="90" w:line="223" w:lineRule="auto"/>
              <w:ind w:left="271"/>
            </w:pPr>
            <w:r>
              <w:rPr>
                <w:spacing w:val="-1"/>
              </w:rPr>
              <w:t>2.33</w:t>
            </w:r>
          </w:p>
        </w:tc>
        <w:tc>
          <w:tcPr>
            <w:tcW w:w="906" w:type="dxa"/>
            <w:tcBorders>
              <w:right w:val="single" w:color="000000" w:sz="12" w:space="0"/>
            </w:tcBorders>
            <w:vAlign w:val="top"/>
          </w:tcPr>
          <w:p w14:paraId="79DF0FA7">
            <w:pPr>
              <w:pStyle w:val="6"/>
              <w:spacing w:before="90" w:line="223" w:lineRule="auto"/>
              <w:ind w:left="277"/>
            </w:pPr>
            <w:r>
              <w:rPr>
                <w:spacing w:val="-2"/>
              </w:rPr>
              <w:t>0.11</w:t>
            </w:r>
          </w:p>
        </w:tc>
      </w:tr>
      <w:tr w14:paraId="5F856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0A79F75">
            <w:pPr>
              <w:rPr>
                <w:rFonts w:ascii="Arial"/>
                <w:sz w:val="21"/>
              </w:rPr>
            </w:pPr>
          </w:p>
        </w:tc>
        <w:tc>
          <w:tcPr>
            <w:tcW w:w="423" w:type="dxa"/>
            <w:vMerge w:val="continue"/>
            <w:tcBorders>
              <w:top w:val="nil"/>
              <w:bottom w:val="nil"/>
            </w:tcBorders>
            <w:vAlign w:val="top"/>
          </w:tcPr>
          <w:p w14:paraId="6439E673">
            <w:pPr>
              <w:rPr>
                <w:rFonts w:ascii="Arial"/>
                <w:sz w:val="21"/>
              </w:rPr>
            </w:pPr>
          </w:p>
        </w:tc>
        <w:tc>
          <w:tcPr>
            <w:tcW w:w="1554" w:type="dxa"/>
            <w:vAlign w:val="top"/>
          </w:tcPr>
          <w:p w14:paraId="7B239D92">
            <w:pPr>
              <w:pStyle w:val="6"/>
              <w:spacing w:before="92" w:line="221" w:lineRule="auto"/>
              <w:ind w:left="343"/>
            </w:pPr>
            <w:r>
              <w:rPr>
                <w:spacing w:val="-1"/>
              </w:rPr>
              <w:t>2019/5/11</w:t>
            </w:r>
          </w:p>
        </w:tc>
        <w:tc>
          <w:tcPr>
            <w:tcW w:w="892" w:type="dxa"/>
            <w:vAlign w:val="top"/>
          </w:tcPr>
          <w:p w14:paraId="5039C92E">
            <w:pPr>
              <w:pStyle w:val="6"/>
              <w:spacing w:before="92" w:line="221" w:lineRule="auto"/>
              <w:ind w:left="283"/>
            </w:pPr>
            <w:r>
              <w:rPr>
                <w:spacing w:val="-1"/>
              </w:rPr>
              <w:t>492</w:t>
            </w:r>
          </w:p>
        </w:tc>
        <w:tc>
          <w:tcPr>
            <w:tcW w:w="892" w:type="dxa"/>
            <w:vAlign w:val="top"/>
          </w:tcPr>
          <w:p w14:paraId="606DFC5B">
            <w:pPr>
              <w:pStyle w:val="6"/>
              <w:spacing w:before="97" w:line="216" w:lineRule="auto"/>
              <w:ind w:left="343"/>
            </w:pPr>
            <w:r>
              <w:rPr>
                <w:b/>
                <w:bCs/>
                <w:spacing w:val="-2"/>
              </w:rPr>
              <w:t>86</w:t>
            </w:r>
          </w:p>
        </w:tc>
        <w:tc>
          <w:tcPr>
            <w:tcW w:w="892" w:type="dxa"/>
            <w:vAlign w:val="top"/>
          </w:tcPr>
          <w:p w14:paraId="024815DF">
            <w:pPr>
              <w:pStyle w:val="6"/>
              <w:spacing w:before="92" w:line="221" w:lineRule="auto"/>
              <w:ind w:left="269"/>
            </w:pPr>
            <w:r>
              <w:rPr>
                <w:spacing w:val="-3"/>
              </w:rPr>
              <w:t>6.42</w:t>
            </w:r>
          </w:p>
        </w:tc>
        <w:tc>
          <w:tcPr>
            <w:tcW w:w="892" w:type="dxa"/>
            <w:vAlign w:val="top"/>
          </w:tcPr>
          <w:p w14:paraId="619FE804">
            <w:pPr>
              <w:pStyle w:val="6"/>
              <w:spacing w:before="92" w:line="221" w:lineRule="auto"/>
              <w:ind w:left="272"/>
            </w:pPr>
            <w:r>
              <w:rPr>
                <w:spacing w:val="-3"/>
              </w:rPr>
              <w:t>6.32</w:t>
            </w:r>
          </w:p>
        </w:tc>
        <w:tc>
          <w:tcPr>
            <w:tcW w:w="891" w:type="dxa"/>
            <w:vAlign w:val="top"/>
          </w:tcPr>
          <w:p w14:paraId="46806D63">
            <w:pPr>
              <w:pStyle w:val="6"/>
              <w:spacing w:before="92" w:line="221" w:lineRule="auto"/>
              <w:ind w:left="271"/>
            </w:pPr>
            <w:r>
              <w:rPr>
                <w:spacing w:val="-1"/>
              </w:rPr>
              <w:t>2.30</w:t>
            </w:r>
          </w:p>
        </w:tc>
        <w:tc>
          <w:tcPr>
            <w:tcW w:w="906" w:type="dxa"/>
            <w:tcBorders>
              <w:right w:val="single" w:color="000000" w:sz="12" w:space="0"/>
            </w:tcBorders>
            <w:vAlign w:val="top"/>
          </w:tcPr>
          <w:p w14:paraId="49DCA0FD">
            <w:pPr>
              <w:pStyle w:val="6"/>
              <w:spacing w:before="92" w:line="221" w:lineRule="auto"/>
              <w:ind w:left="277"/>
            </w:pPr>
            <w:r>
              <w:rPr>
                <w:spacing w:val="-2"/>
              </w:rPr>
              <w:t>0.08</w:t>
            </w:r>
          </w:p>
        </w:tc>
      </w:tr>
      <w:tr w14:paraId="08EA5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30F9A410">
            <w:pPr>
              <w:rPr>
                <w:rFonts w:ascii="Arial"/>
                <w:sz w:val="21"/>
              </w:rPr>
            </w:pPr>
          </w:p>
        </w:tc>
        <w:tc>
          <w:tcPr>
            <w:tcW w:w="423" w:type="dxa"/>
            <w:vMerge w:val="continue"/>
            <w:tcBorders>
              <w:top w:val="nil"/>
            </w:tcBorders>
            <w:vAlign w:val="top"/>
          </w:tcPr>
          <w:p w14:paraId="7478DF85">
            <w:pPr>
              <w:rPr>
                <w:rFonts w:ascii="Arial"/>
                <w:sz w:val="21"/>
              </w:rPr>
            </w:pPr>
          </w:p>
        </w:tc>
        <w:tc>
          <w:tcPr>
            <w:tcW w:w="1554" w:type="dxa"/>
            <w:vAlign w:val="top"/>
          </w:tcPr>
          <w:p w14:paraId="0A16B14D">
            <w:pPr>
              <w:pStyle w:val="6"/>
              <w:spacing w:before="93" w:line="221" w:lineRule="auto"/>
              <w:ind w:left="343"/>
            </w:pPr>
            <w:r>
              <w:rPr>
                <w:spacing w:val="-1"/>
              </w:rPr>
              <w:t>2019/5/12</w:t>
            </w:r>
          </w:p>
        </w:tc>
        <w:tc>
          <w:tcPr>
            <w:tcW w:w="892" w:type="dxa"/>
            <w:vAlign w:val="top"/>
          </w:tcPr>
          <w:p w14:paraId="61DE7724">
            <w:pPr>
              <w:pStyle w:val="6"/>
              <w:spacing w:before="93" w:line="221" w:lineRule="auto"/>
              <w:ind w:left="283"/>
            </w:pPr>
            <w:r>
              <w:rPr>
                <w:spacing w:val="-1"/>
              </w:rPr>
              <w:t>481</w:t>
            </w:r>
          </w:p>
        </w:tc>
        <w:tc>
          <w:tcPr>
            <w:tcW w:w="892" w:type="dxa"/>
            <w:vAlign w:val="top"/>
          </w:tcPr>
          <w:p w14:paraId="725D5FA1">
            <w:pPr>
              <w:pStyle w:val="6"/>
              <w:spacing w:before="98" w:line="216" w:lineRule="auto"/>
              <w:ind w:left="343"/>
            </w:pPr>
            <w:r>
              <w:rPr>
                <w:b/>
                <w:bCs/>
                <w:spacing w:val="-2"/>
              </w:rPr>
              <w:t>78</w:t>
            </w:r>
          </w:p>
        </w:tc>
        <w:tc>
          <w:tcPr>
            <w:tcW w:w="892" w:type="dxa"/>
            <w:vAlign w:val="top"/>
          </w:tcPr>
          <w:p w14:paraId="2AC69636">
            <w:pPr>
              <w:pStyle w:val="6"/>
              <w:spacing w:before="93" w:line="221" w:lineRule="auto"/>
              <w:ind w:left="269"/>
            </w:pPr>
            <w:r>
              <w:rPr>
                <w:spacing w:val="-3"/>
              </w:rPr>
              <w:t>6.41</w:t>
            </w:r>
          </w:p>
        </w:tc>
        <w:tc>
          <w:tcPr>
            <w:tcW w:w="892" w:type="dxa"/>
            <w:vAlign w:val="top"/>
          </w:tcPr>
          <w:p w14:paraId="24476EB6">
            <w:pPr>
              <w:pStyle w:val="6"/>
              <w:spacing w:before="93" w:line="221" w:lineRule="auto"/>
              <w:ind w:left="272"/>
            </w:pPr>
            <w:r>
              <w:rPr>
                <w:spacing w:val="-3"/>
              </w:rPr>
              <w:t>6.31</w:t>
            </w:r>
          </w:p>
        </w:tc>
        <w:tc>
          <w:tcPr>
            <w:tcW w:w="891" w:type="dxa"/>
            <w:vAlign w:val="top"/>
          </w:tcPr>
          <w:p w14:paraId="284BFDC9">
            <w:pPr>
              <w:pStyle w:val="6"/>
              <w:spacing w:before="93" w:line="221" w:lineRule="auto"/>
              <w:ind w:left="271"/>
            </w:pPr>
            <w:r>
              <w:rPr>
                <w:spacing w:val="-1"/>
              </w:rPr>
              <w:t>2.25</w:t>
            </w:r>
          </w:p>
        </w:tc>
        <w:tc>
          <w:tcPr>
            <w:tcW w:w="906" w:type="dxa"/>
            <w:tcBorders>
              <w:right w:val="single" w:color="000000" w:sz="12" w:space="0"/>
            </w:tcBorders>
            <w:vAlign w:val="top"/>
          </w:tcPr>
          <w:p w14:paraId="13CE9B5D">
            <w:pPr>
              <w:pStyle w:val="6"/>
              <w:spacing w:before="93" w:line="221" w:lineRule="auto"/>
              <w:ind w:left="277"/>
            </w:pPr>
            <w:r>
              <w:rPr>
                <w:spacing w:val="-2"/>
              </w:rPr>
              <w:t>0.09</w:t>
            </w:r>
          </w:p>
        </w:tc>
      </w:tr>
      <w:tr w14:paraId="45B66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57D7681">
            <w:pPr>
              <w:rPr>
                <w:rFonts w:ascii="Arial"/>
                <w:sz w:val="21"/>
              </w:rPr>
            </w:pPr>
          </w:p>
        </w:tc>
        <w:tc>
          <w:tcPr>
            <w:tcW w:w="423" w:type="dxa"/>
            <w:vMerge w:val="restart"/>
            <w:tcBorders>
              <w:bottom w:val="nil"/>
            </w:tcBorders>
            <w:vAlign w:val="top"/>
          </w:tcPr>
          <w:p w14:paraId="7BB8FB82">
            <w:pPr>
              <w:pStyle w:val="6"/>
              <w:spacing w:before="158" w:line="222" w:lineRule="auto"/>
              <w:ind w:left="152"/>
            </w:pPr>
            <w:r>
              <w:t>3</w:t>
            </w:r>
          </w:p>
          <w:p w14:paraId="7A66C4BE">
            <w:pPr>
              <w:spacing w:line="219" w:lineRule="auto"/>
              <w:ind w:left="100"/>
              <w:rPr>
                <w:rFonts w:ascii="宋体" w:hAnsi="宋体" w:eastAsia="宋体" w:cs="宋体"/>
                <w:sz w:val="21"/>
                <w:szCs w:val="21"/>
              </w:rPr>
            </w:pPr>
            <w:r>
              <w:rPr>
                <w:rFonts w:ascii="宋体" w:hAnsi="宋体" w:eastAsia="宋体" w:cs="宋体"/>
                <w:sz w:val="21"/>
                <w:szCs w:val="21"/>
              </w:rPr>
              <w:t>季</w:t>
            </w:r>
          </w:p>
          <w:p w14:paraId="50490E10">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771DCFEC">
            <w:pPr>
              <w:pStyle w:val="6"/>
              <w:spacing w:before="94" w:line="219" w:lineRule="auto"/>
              <w:ind w:left="343"/>
            </w:pPr>
            <w:r>
              <w:rPr>
                <w:spacing w:val="-1"/>
              </w:rPr>
              <w:t>2019/8/06</w:t>
            </w:r>
          </w:p>
        </w:tc>
        <w:tc>
          <w:tcPr>
            <w:tcW w:w="892" w:type="dxa"/>
            <w:vAlign w:val="top"/>
          </w:tcPr>
          <w:p w14:paraId="3F7514D1">
            <w:pPr>
              <w:pStyle w:val="6"/>
              <w:spacing w:before="94" w:line="219" w:lineRule="auto"/>
              <w:ind w:left="398"/>
            </w:pPr>
            <w:r>
              <w:t>8</w:t>
            </w:r>
          </w:p>
        </w:tc>
        <w:tc>
          <w:tcPr>
            <w:tcW w:w="892" w:type="dxa"/>
            <w:vAlign w:val="top"/>
          </w:tcPr>
          <w:p w14:paraId="5F418AA7">
            <w:pPr>
              <w:pStyle w:val="6"/>
              <w:spacing w:before="94" w:line="219" w:lineRule="auto"/>
              <w:ind w:left="402"/>
            </w:pPr>
            <w:r>
              <w:t>8</w:t>
            </w:r>
          </w:p>
        </w:tc>
        <w:tc>
          <w:tcPr>
            <w:tcW w:w="892" w:type="dxa"/>
            <w:vAlign w:val="top"/>
          </w:tcPr>
          <w:p w14:paraId="6C159CCB">
            <w:pPr>
              <w:pStyle w:val="6"/>
              <w:spacing w:before="94" w:line="219" w:lineRule="auto"/>
              <w:ind w:left="269"/>
            </w:pPr>
            <w:r>
              <w:rPr>
                <w:spacing w:val="-3"/>
              </w:rPr>
              <w:t>6.96</w:t>
            </w:r>
          </w:p>
        </w:tc>
        <w:tc>
          <w:tcPr>
            <w:tcW w:w="892" w:type="dxa"/>
            <w:vAlign w:val="top"/>
          </w:tcPr>
          <w:p w14:paraId="7636A6F1">
            <w:pPr>
              <w:pStyle w:val="6"/>
              <w:spacing w:before="94" w:line="219" w:lineRule="auto"/>
              <w:ind w:left="272"/>
            </w:pPr>
            <w:r>
              <w:rPr>
                <w:spacing w:val="-3"/>
              </w:rPr>
              <w:t>6.96</w:t>
            </w:r>
          </w:p>
        </w:tc>
        <w:tc>
          <w:tcPr>
            <w:tcW w:w="891" w:type="dxa"/>
            <w:vAlign w:val="top"/>
          </w:tcPr>
          <w:p w14:paraId="72725A13">
            <w:pPr>
              <w:pStyle w:val="6"/>
              <w:spacing w:before="94" w:line="219" w:lineRule="auto"/>
              <w:ind w:left="211"/>
            </w:pPr>
            <w:r>
              <w:rPr>
                <w:spacing w:val="-2"/>
              </w:rPr>
              <w:t>0.06L</w:t>
            </w:r>
          </w:p>
        </w:tc>
        <w:tc>
          <w:tcPr>
            <w:tcW w:w="906" w:type="dxa"/>
            <w:tcBorders>
              <w:right w:val="single" w:color="000000" w:sz="12" w:space="0"/>
            </w:tcBorders>
            <w:vAlign w:val="top"/>
          </w:tcPr>
          <w:p w14:paraId="75B09335">
            <w:pPr>
              <w:pStyle w:val="6"/>
              <w:spacing w:before="94" w:line="219" w:lineRule="auto"/>
              <w:ind w:left="214"/>
            </w:pPr>
            <w:r>
              <w:rPr>
                <w:spacing w:val="-2"/>
              </w:rPr>
              <w:t>0.06L</w:t>
            </w:r>
          </w:p>
        </w:tc>
      </w:tr>
      <w:tr w14:paraId="28C10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6CA46F21">
            <w:pPr>
              <w:rPr>
                <w:rFonts w:ascii="Arial"/>
                <w:sz w:val="21"/>
              </w:rPr>
            </w:pPr>
          </w:p>
        </w:tc>
        <w:tc>
          <w:tcPr>
            <w:tcW w:w="423" w:type="dxa"/>
            <w:vMerge w:val="continue"/>
            <w:tcBorders>
              <w:top w:val="nil"/>
              <w:bottom w:val="nil"/>
            </w:tcBorders>
            <w:vAlign w:val="top"/>
          </w:tcPr>
          <w:p w14:paraId="51616C9E">
            <w:pPr>
              <w:rPr>
                <w:rFonts w:ascii="Arial"/>
                <w:sz w:val="21"/>
              </w:rPr>
            </w:pPr>
          </w:p>
        </w:tc>
        <w:tc>
          <w:tcPr>
            <w:tcW w:w="1554" w:type="dxa"/>
            <w:vAlign w:val="top"/>
          </w:tcPr>
          <w:p w14:paraId="045BCB6D">
            <w:pPr>
              <w:pStyle w:val="6"/>
              <w:spacing w:before="95" w:line="219" w:lineRule="auto"/>
              <w:ind w:left="343"/>
            </w:pPr>
            <w:r>
              <w:rPr>
                <w:spacing w:val="-1"/>
              </w:rPr>
              <w:t>2019/8/07</w:t>
            </w:r>
          </w:p>
        </w:tc>
        <w:tc>
          <w:tcPr>
            <w:tcW w:w="892" w:type="dxa"/>
            <w:vAlign w:val="top"/>
          </w:tcPr>
          <w:p w14:paraId="685E83A2">
            <w:pPr>
              <w:pStyle w:val="6"/>
              <w:spacing w:before="95" w:line="219" w:lineRule="auto"/>
              <w:ind w:left="396"/>
            </w:pPr>
            <w:r>
              <w:t>5</w:t>
            </w:r>
          </w:p>
        </w:tc>
        <w:tc>
          <w:tcPr>
            <w:tcW w:w="892" w:type="dxa"/>
            <w:vAlign w:val="top"/>
          </w:tcPr>
          <w:p w14:paraId="18CD27EC">
            <w:pPr>
              <w:pStyle w:val="6"/>
              <w:spacing w:before="95" w:line="219" w:lineRule="auto"/>
              <w:ind w:left="399"/>
            </w:pPr>
            <w:r>
              <w:t>5</w:t>
            </w:r>
          </w:p>
        </w:tc>
        <w:tc>
          <w:tcPr>
            <w:tcW w:w="892" w:type="dxa"/>
            <w:vAlign w:val="top"/>
          </w:tcPr>
          <w:p w14:paraId="6E05FED6">
            <w:pPr>
              <w:pStyle w:val="6"/>
              <w:spacing w:before="95" w:line="219" w:lineRule="auto"/>
              <w:ind w:left="269"/>
            </w:pPr>
            <w:r>
              <w:rPr>
                <w:spacing w:val="-3"/>
              </w:rPr>
              <w:t>6.86</w:t>
            </w:r>
          </w:p>
        </w:tc>
        <w:tc>
          <w:tcPr>
            <w:tcW w:w="892" w:type="dxa"/>
            <w:vAlign w:val="top"/>
          </w:tcPr>
          <w:p w14:paraId="1A98B1A3">
            <w:pPr>
              <w:pStyle w:val="6"/>
              <w:spacing w:before="95" w:line="219" w:lineRule="auto"/>
              <w:ind w:left="272"/>
            </w:pPr>
            <w:r>
              <w:rPr>
                <w:spacing w:val="-3"/>
              </w:rPr>
              <w:t>6.86</w:t>
            </w:r>
          </w:p>
        </w:tc>
        <w:tc>
          <w:tcPr>
            <w:tcW w:w="891" w:type="dxa"/>
            <w:vAlign w:val="top"/>
          </w:tcPr>
          <w:p w14:paraId="39C4F548">
            <w:pPr>
              <w:pStyle w:val="6"/>
              <w:spacing w:before="95" w:line="219" w:lineRule="auto"/>
              <w:ind w:left="211"/>
            </w:pPr>
            <w:r>
              <w:rPr>
                <w:spacing w:val="-2"/>
              </w:rPr>
              <w:t>0.06L</w:t>
            </w:r>
          </w:p>
        </w:tc>
        <w:tc>
          <w:tcPr>
            <w:tcW w:w="906" w:type="dxa"/>
            <w:tcBorders>
              <w:right w:val="single" w:color="000000" w:sz="12" w:space="0"/>
            </w:tcBorders>
            <w:vAlign w:val="top"/>
          </w:tcPr>
          <w:p w14:paraId="350BF1E5">
            <w:pPr>
              <w:pStyle w:val="6"/>
              <w:spacing w:before="95" w:line="219" w:lineRule="auto"/>
              <w:ind w:left="214"/>
            </w:pPr>
            <w:r>
              <w:rPr>
                <w:spacing w:val="-2"/>
              </w:rPr>
              <w:t>0.06L</w:t>
            </w:r>
          </w:p>
        </w:tc>
      </w:tr>
      <w:tr w14:paraId="527D1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9175639">
            <w:pPr>
              <w:rPr>
                <w:rFonts w:ascii="Arial"/>
                <w:sz w:val="21"/>
              </w:rPr>
            </w:pPr>
          </w:p>
        </w:tc>
        <w:tc>
          <w:tcPr>
            <w:tcW w:w="423" w:type="dxa"/>
            <w:vMerge w:val="continue"/>
            <w:tcBorders>
              <w:top w:val="nil"/>
            </w:tcBorders>
            <w:vAlign w:val="top"/>
          </w:tcPr>
          <w:p w14:paraId="7EA60434">
            <w:pPr>
              <w:rPr>
                <w:rFonts w:ascii="Arial"/>
                <w:sz w:val="21"/>
              </w:rPr>
            </w:pPr>
          </w:p>
        </w:tc>
        <w:tc>
          <w:tcPr>
            <w:tcW w:w="1554" w:type="dxa"/>
            <w:vAlign w:val="top"/>
          </w:tcPr>
          <w:p w14:paraId="48CDE929">
            <w:pPr>
              <w:pStyle w:val="6"/>
              <w:spacing w:before="95" w:line="218" w:lineRule="auto"/>
              <w:ind w:left="343"/>
            </w:pPr>
            <w:r>
              <w:rPr>
                <w:spacing w:val="-1"/>
              </w:rPr>
              <w:t>2019/8/08</w:t>
            </w:r>
          </w:p>
        </w:tc>
        <w:tc>
          <w:tcPr>
            <w:tcW w:w="892" w:type="dxa"/>
            <w:vAlign w:val="top"/>
          </w:tcPr>
          <w:p w14:paraId="5504EE37">
            <w:pPr>
              <w:pStyle w:val="6"/>
              <w:spacing w:before="95" w:line="218" w:lineRule="auto"/>
              <w:ind w:left="393"/>
            </w:pPr>
            <w:r>
              <w:t>7</w:t>
            </w:r>
          </w:p>
        </w:tc>
        <w:tc>
          <w:tcPr>
            <w:tcW w:w="892" w:type="dxa"/>
            <w:vAlign w:val="top"/>
          </w:tcPr>
          <w:p w14:paraId="0ED3F9EE">
            <w:pPr>
              <w:pStyle w:val="6"/>
              <w:spacing w:before="95" w:line="218" w:lineRule="auto"/>
              <w:ind w:left="396"/>
            </w:pPr>
            <w:r>
              <w:t>7</w:t>
            </w:r>
          </w:p>
        </w:tc>
        <w:tc>
          <w:tcPr>
            <w:tcW w:w="892" w:type="dxa"/>
            <w:vAlign w:val="top"/>
          </w:tcPr>
          <w:p w14:paraId="068A23D6">
            <w:pPr>
              <w:pStyle w:val="6"/>
              <w:spacing w:before="95" w:line="218" w:lineRule="auto"/>
              <w:ind w:left="269"/>
            </w:pPr>
            <w:r>
              <w:rPr>
                <w:spacing w:val="-3"/>
              </w:rPr>
              <w:t>6.89</w:t>
            </w:r>
          </w:p>
        </w:tc>
        <w:tc>
          <w:tcPr>
            <w:tcW w:w="892" w:type="dxa"/>
            <w:vAlign w:val="top"/>
          </w:tcPr>
          <w:p w14:paraId="1FBD776C">
            <w:pPr>
              <w:pStyle w:val="6"/>
              <w:spacing w:before="95" w:line="218" w:lineRule="auto"/>
              <w:ind w:left="272"/>
            </w:pPr>
            <w:r>
              <w:rPr>
                <w:spacing w:val="-3"/>
              </w:rPr>
              <w:t>6.89</w:t>
            </w:r>
          </w:p>
        </w:tc>
        <w:tc>
          <w:tcPr>
            <w:tcW w:w="891" w:type="dxa"/>
            <w:vAlign w:val="top"/>
          </w:tcPr>
          <w:p w14:paraId="16DCF211">
            <w:pPr>
              <w:pStyle w:val="6"/>
              <w:spacing w:before="95" w:line="218" w:lineRule="auto"/>
              <w:ind w:left="211"/>
            </w:pPr>
            <w:r>
              <w:rPr>
                <w:spacing w:val="-2"/>
              </w:rPr>
              <w:t>0.06L</w:t>
            </w:r>
          </w:p>
        </w:tc>
        <w:tc>
          <w:tcPr>
            <w:tcW w:w="906" w:type="dxa"/>
            <w:tcBorders>
              <w:right w:val="single" w:color="000000" w:sz="12" w:space="0"/>
            </w:tcBorders>
            <w:vAlign w:val="top"/>
          </w:tcPr>
          <w:p w14:paraId="110B6EE6">
            <w:pPr>
              <w:pStyle w:val="6"/>
              <w:spacing w:before="95" w:line="218" w:lineRule="auto"/>
              <w:ind w:left="214"/>
            </w:pPr>
            <w:r>
              <w:rPr>
                <w:spacing w:val="-2"/>
              </w:rPr>
              <w:t>0.06L</w:t>
            </w:r>
          </w:p>
        </w:tc>
      </w:tr>
      <w:tr w14:paraId="5C62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FDD9F3B">
            <w:pPr>
              <w:rPr>
                <w:rFonts w:ascii="Arial"/>
                <w:sz w:val="21"/>
              </w:rPr>
            </w:pPr>
          </w:p>
        </w:tc>
        <w:tc>
          <w:tcPr>
            <w:tcW w:w="423" w:type="dxa"/>
            <w:vMerge w:val="restart"/>
            <w:tcBorders>
              <w:bottom w:val="nil"/>
            </w:tcBorders>
            <w:vAlign w:val="top"/>
          </w:tcPr>
          <w:p w14:paraId="01005203">
            <w:pPr>
              <w:pStyle w:val="6"/>
              <w:spacing w:before="161" w:line="222" w:lineRule="auto"/>
              <w:ind w:left="147"/>
            </w:pPr>
            <w:r>
              <w:t>4</w:t>
            </w:r>
          </w:p>
          <w:p w14:paraId="05076652">
            <w:pPr>
              <w:spacing w:line="219" w:lineRule="auto"/>
              <w:ind w:left="100"/>
              <w:rPr>
                <w:rFonts w:ascii="宋体" w:hAnsi="宋体" w:eastAsia="宋体" w:cs="宋体"/>
                <w:sz w:val="21"/>
                <w:szCs w:val="21"/>
              </w:rPr>
            </w:pPr>
            <w:r>
              <w:rPr>
                <w:rFonts w:ascii="宋体" w:hAnsi="宋体" w:eastAsia="宋体" w:cs="宋体"/>
                <w:sz w:val="21"/>
                <w:szCs w:val="21"/>
              </w:rPr>
              <w:t>季</w:t>
            </w:r>
          </w:p>
          <w:p w14:paraId="48B1D7DB">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1328150C">
            <w:pPr>
              <w:pStyle w:val="6"/>
              <w:spacing w:before="97" w:line="216" w:lineRule="auto"/>
              <w:ind w:left="343"/>
            </w:pPr>
            <w:r>
              <w:rPr>
                <w:spacing w:val="-1"/>
              </w:rPr>
              <w:t>2019/11/9</w:t>
            </w:r>
          </w:p>
        </w:tc>
        <w:tc>
          <w:tcPr>
            <w:tcW w:w="892" w:type="dxa"/>
            <w:vAlign w:val="top"/>
          </w:tcPr>
          <w:p w14:paraId="4B80668C">
            <w:pPr>
              <w:pStyle w:val="6"/>
              <w:spacing w:before="97" w:line="216" w:lineRule="auto"/>
              <w:ind w:left="337"/>
            </w:pPr>
            <w:r>
              <w:rPr>
                <w:spacing w:val="-1"/>
              </w:rPr>
              <w:t>24</w:t>
            </w:r>
          </w:p>
        </w:tc>
        <w:tc>
          <w:tcPr>
            <w:tcW w:w="892" w:type="dxa"/>
            <w:vAlign w:val="top"/>
          </w:tcPr>
          <w:p w14:paraId="1334DBBC">
            <w:pPr>
              <w:pStyle w:val="6"/>
              <w:spacing w:before="97" w:line="216" w:lineRule="auto"/>
              <w:ind w:left="402"/>
            </w:pPr>
            <w:r>
              <w:t>8</w:t>
            </w:r>
          </w:p>
        </w:tc>
        <w:tc>
          <w:tcPr>
            <w:tcW w:w="892" w:type="dxa"/>
            <w:vAlign w:val="top"/>
          </w:tcPr>
          <w:p w14:paraId="63B38391">
            <w:pPr>
              <w:pStyle w:val="6"/>
              <w:spacing w:before="97" w:line="216" w:lineRule="auto"/>
              <w:ind w:left="269"/>
            </w:pPr>
            <w:r>
              <w:rPr>
                <w:spacing w:val="-3"/>
              </w:rPr>
              <w:t>6.43</w:t>
            </w:r>
          </w:p>
        </w:tc>
        <w:tc>
          <w:tcPr>
            <w:tcW w:w="892" w:type="dxa"/>
            <w:vAlign w:val="top"/>
          </w:tcPr>
          <w:p w14:paraId="2E970F51">
            <w:pPr>
              <w:pStyle w:val="6"/>
              <w:spacing w:before="97" w:line="216" w:lineRule="auto"/>
              <w:ind w:left="272"/>
            </w:pPr>
            <w:r>
              <w:rPr>
                <w:spacing w:val="-3"/>
              </w:rPr>
              <w:t>6.46</w:t>
            </w:r>
          </w:p>
        </w:tc>
        <w:tc>
          <w:tcPr>
            <w:tcW w:w="891" w:type="dxa"/>
            <w:vAlign w:val="top"/>
          </w:tcPr>
          <w:p w14:paraId="0938D8E6">
            <w:pPr>
              <w:pStyle w:val="6"/>
              <w:spacing w:before="97" w:line="216" w:lineRule="auto"/>
              <w:ind w:left="274"/>
            </w:pPr>
            <w:r>
              <w:rPr>
                <w:spacing w:val="-2"/>
              </w:rPr>
              <w:t>0.12</w:t>
            </w:r>
          </w:p>
        </w:tc>
        <w:tc>
          <w:tcPr>
            <w:tcW w:w="906" w:type="dxa"/>
            <w:tcBorders>
              <w:right w:val="single" w:color="000000" w:sz="12" w:space="0"/>
            </w:tcBorders>
            <w:vAlign w:val="top"/>
          </w:tcPr>
          <w:p w14:paraId="38DA3E0C">
            <w:pPr>
              <w:pStyle w:val="6"/>
              <w:spacing w:before="97" w:line="216" w:lineRule="auto"/>
              <w:ind w:left="277"/>
            </w:pPr>
            <w:r>
              <w:rPr>
                <w:spacing w:val="-2"/>
              </w:rPr>
              <w:t>0.09</w:t>
            </w:r>
          </w:p>
        </w:tc>
      </w:tr>
      <w:tr w14:paraId="569A4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0D1F646E">
            <w:pPr>
              <w:rPr>
                <w:rFonts w:ascii="Arial"/>
                <w:sz w:val="21"/>
              </w:rPr>
            </w:pPr>
          </w:p>
        </w:tc>
        <w:tc>
          <w:tcPr>
            <w:tcW w:w="423" w:type="dxa"/>
            <w:vMerge w:val="continue"/>
            <w:tcBorders>
              <w:top w:val="nil"/>
              <w:bottom w:val="nil"/>
            </w:tcBorders>
            <w:vAlign w:val="top"/>
          </w:tcPr>
          <w:p w14:paraId="610D7B7E">
            <w:pPr>
              <w:rPr>
                <w:rFonts w:ascii="Arial"/>
                <w:sz w:val="21"/>
              </w:rPr>
            </w:pPr>
          </w:p>
        </w:tc>
        <w:tc>
          <w:tcPr>
            <w:tcW w:w="1554" w:type="dxa"/>
            <w:vAlign w:val="top"/>
          </w:tcPr>
          <w:p w14:paraId="4C3BCC7E">
            <w:pPr>
              <w:pStyle w:val="6"/>
              <w:spacing w:before="98" w:line="217" w:lineRule="auto"/>
              <w:ind w:left="290"/>
            </w:pPr>
            <w:r>
              <w:rPr>
                <w:spacing w:val="-1"/>
              </w:rPr>
              <w:t>2019/11/10</w:t>
            </w:r>
          </w:p>
        </w:tc>
        <w:tc>
          <w:tcPr>
            <w:tcW w:w="892" w:type="dxa"/>
            <w:vAlign w:val="top"/>
          </w:tcPr>
          <w:p w14:paraId="02447BEF">
            <w:pPr>
              <w:pStyle w:val="6"/>
              <w:spacing w:before="98" w:line="217" w:lineRule="auto"/>
              <w:ind w:left="337"/>
            </w:pPr>
            <w:r>
              <w:rPr>
                <w:spacing w:val="-1"/>
              </w:rPr>
              <w:t>27</w:t>
            </w:r>
          </w:p>
        </w:tc>
        <w:tc>
          <w:tcPr>
            <w:tcW w:w="892" w:type="dxa"/>
            <w:vAlign w:val="top"/>
          </w:tcPr>
          <w:p w14:paraId="203B7C30">
            <w:pPr>
              <w:pStyle w:val="6"/>
              <w:spacing w:before="98" w:line="217" w:lineRule="auto"/>
              <w:ind w:left="396"/>
            </w:pPr>
            <w:r>
              <w:t>7</w:t>
            </w:r>
          </w:p>
        </w:tc>
        <w:tc>
          <w:tcPr>
            <w:tcW w:w="892" w:type="dxa"/>
            <w:vAlign w:val="top"/>
          </w:tcPr>
          <w:p w14:paraId="1FE7A257">
            <w:pPr>
              <w:pStyle w:val="6"/>
              <w:spacing w:before="98" w:line="217" w:lineRule="auto"/>
              <w:ind w:left="269"/>
            </w:pPr>
            <w:r>
              <w:rPr>
                <w:spacing w:val="-3"/>
              </w:rPr>
              <w:t>6.41</w:t>
            </w:r>
          </w:p>
        </w:tc>
        <w:tc>
          <w:tcPr>
            <w:tcW w:w="892" w:type="dxa"/>
            <w:vAlign w:val="top"/>
          </w:tcPr>
          <w:p w14:paraId="1209045C">
            <w:pPr>
              <w:pStyle w:val="6"/>
              <w:spacing w:before="98" w:line="217" w:lineRule="auto"/>
              <w:ind w:left="272"/>
            </w:pPr>
            <w:r>
              <w:rPr>
                <w:spacing w:val="-3"/>
              </w:rPr>
              <w:t>6.40</w:t>
            </w:r>
          </w:p>
        </w:tc>
        <w:tc>
          <w:tcPr>
            <w:tcW w:w="891" w:type="dxa"/>
            <w:vAlign w:val="top"/>
          </w:tcPr>
          <w:p w14:paraId="5C74C19C">
            <w:pPr>
              <w:pStyle w:val="6"/>
              <w:spacing w:before="98" w:line="217" w:lineRule="auto"/>
              <w:ind w:left="274"/>
            </w:pPr>
            <w:r>
              <w:rPr>
                <w:spacing w:val="-2"/>
              </w:rPr>
              <w:t>0.13</w:t>
            </w:r>
          </w:p>
        </w:tc>
        <w:tc>
          <w:tcPr>
            <w:tcW w:w="906" w:type="dxa"/>
            <w:tcBorders>
              <w:right w:val="single" w:color="000000" w:sz="12" w:space="0"/>
            </w:tcBorders>
            <w:vAlign w:val="top"/>
          </w:tcPr>
          <w:p w14:paraId="2590B622">
            <w:pPr>
              <w:pStyle w:val="6"/>
              <w:spacing w:before="98" w:line="217" w:lineRule="auto"/>
              <w:ind w:left="277"/>
            </w:pPr>
            <w:r>
              <w:rPr>
                <w:spacing w:val="-2"/>
              </w:rPr>
              <w:t>0.08</w:t>
            </w:r>
          </w:p>
        </w:tc>
      </w:tr>
      <w:tr w14:paraId="18E19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tcBorders>
            <w:vAlign w:val="top"/>
          </w:tcPr>
          <w:p w14:paraId="2170821A">
            <w:pPr>
              <w:rPr>
                <w:rFonts w:ascii="Arial"/>
                <w:sz w:val="21"/>
              </w:rPr>
            </w:pPr>
          </w:p>
        </w:tc>
        <w:tc>
          <w:tcPr>
            <w:tcW w:w="423" w:type="dxa"/>
            <w:vMerge w:val="continue"/>
            <w:tcBorders>
              <w:top w:val="nil"/>
            </w:tcBorders>
            <w:vAlign w:val="top"/>
          </w:tcPr>
          <w:p w14:paraId="4C9A5D4D">
            <w:pPr>
              <w:rPr>
                <w:rFonts w:ascii="Arial"/>
                <w:sz w:val="21"/>
              </w:rPr>
            </w:pPr>
          </w:p>
        </w:tc>
        <w:tc>
          <w:tcPr>
            <w:tcW w:w="1554" w:type="dxa"/>
            <w:vAlign w:val="top"/>
          </w:tcPr>
          <w:p w14:paraId="79674EA4">
            <w:pPr>
              <w:pStyle w:val="6"/>
              <w:spacing w:before="99" w:line="214" w:lineRule="auto"/>
              <w:ind w:left="290"/>
            </w:pPr>
            <w:r>
              <w:rPr>
                <w:spacing w:val="-1"/>
              </w:rPr>
              <w:t>2019/11/11</w:t>
            </w:r>
          </w:p>
        </w:tc>
        <w:tc>
          <w:tcPr>
            <w:tcW w:w="892" w:type="dxa"/>
            <w:vAlign w:val="top"/>
          </w:tcPr>
          <w:p w14:paraId="3C830303">
            <w:pPr>
              <w:pStyle w:val="6"/>
              <w:spacing w:before="99" w:line="214" w:lineRule="auto"/>
              <w:ind w:left="337"/>
            </w:pPr>
            <w:r>
              <w:rPr>
                <w:spacing w:val="-1"/>
              </w:rPr>
              <w:t>23</w:t>
            </w:r>
          </w:p>
        </w:tc>
        <w:tc>
          <w:tcPr>
            <w:tcW w:w="892" w:type="dxa"/>
            <w:vAlign w:val="top"/>
          </w:tcPr>
          <w:p w14:paraId="5C3667D0">
            <w:pPr>
              <w:pStyle w:val="6"/>
              <w:spacing w:before="99" w:line="214" w:lineRule="auto"/>
              <w:ind w:left="397"/>
            </w:pPr>
            <w:r>
              <w:t>9</w:t>
            </w:r>
          </w:p>
        </w:tc>
        <w:tc>
          <w:tcPr>
            <w:tcW w:w="892" w:type="dxa"/>
            <w:vAlign w:val="top"/>
          </w:tcPr>
          <w:p w14:paraId="70911495">
            <w:pPr>
              <w:pStyle w:val="6"/>
              <w:spacing w:before="99" w:line="214" w:lineRule="auto"/>
              <w:ind w:left="269"/>
            </w:pPr>
            <w:r>
              <w:rPr>
                <w:spacing w:val="-3"/>
              </w:rPr>
              <w:t>6.39</w:t>
            </w:r>
          </w:p>
        </w:tc>
        <w:tc>
          <w:tcPr>
            <w:tcW w:w="892" w:type="dxa"/>
            <w:vAlign w:val="top"/>
          </w:tcPr>
          <w:p w14:paraId="7647AB46">
            <w:pPr>
              <w:pStyle w:val="6"/>
              <w:spacing w:before="99" w:line="214" w:lineRule="auto"/>
              <w:ind w:left="272"/>
            </w:pPr>
            <w:r>
              <w:rPr>
                <w:spacing w:val="-3"/>
              </w:rPr>
              <w:t>6.43</w:t>
            </w:r>
          </w:p>
        </w:tc>
        <w:tc>
          <w:tcPr>
            <w:tcW w:w="891" w:type="dxa"/>
            <w:vAlign w:val="top"/>
          </w:tcPr>
          <w:p w14:paraId="0EA20E57">
            <w:pPr>
              <w:pStyle w:val="6"/>
              <w:spacing w:before="99" w:line="214" w:lineRule="auto"/>
              <w:ind w:left="274"/>
            </w:pPr>
            <w:r>
              <w:rPr>
                <w:spacing w:val="-2"/>
              </w:rPr>
              <w:t>0.13</w:t>
            </w:r>
          </w:p>
        </w:tc>
        <w:tc>
          <w:tcPr>
            <w:tcW w:w="906" w:type="dxa"/>
            <w:tcBorders>
              <w:right w:val="single" w:color="000000" w:sz="12" w:space="0"/>
            </w:tcBorders>
            <w:vAlign w:val="top"/>
          </w:tcPr>
          <w:p w14:paraId="19C0E05E">
            <w:pPr>
              <w:pStyle w:val="6"/>
              <w:spacing w:before="99" w:line="214" w:lineRule="auto"/>
              <w:ind w:left="277"/>
            </w:pPr>
            <w:r>
              <w:rPr>
                <w:spacing w:val="-2"/>
              </w:rPr>
              <w:t>0.08</w:t>
            </w:r>
          </w:p>
        </w:tc>
      </w:tr>
      <w:tr w14:paraId="7898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restart"/>
            <w:tcBorders>
              <w:left w:val="single" w:color="000000" w:sz="12" w:space="0"/>
              <w:bottom w:val="nil"/>
            </w:tcBorders>
            <w:vAlign w:val="top"/>
          </w:tcPr>
          <w:p w14:paraId="457179BD">
            <w:pPr>
              <w:spacing w:line="261" w:lineRule="auto"/>
              <w:rPr>
                <w:rFonts w:ascii="Arial"/>
                <w:sz w:val="21"/>
              </w:rPr>
            </w:pPr>
          </w:p>
          <w:p w14:paraId="4AEBD75A">
            <w:pPr>
              <w:spacing w:line="261" w:lineRule="auto"/>
              <w:rPr>
                <w:rFonts w:ascii="Arial"/>
                <w:sz w:val="21"/>
              </w:rPr>
            </w:pPr>
          </w:p>
          <w:p w14:paraId="2C62BC07">
            <w:pPr>
              <w:spacing w:line="261" w:lineRule="auto"/>
              <w:rPr>
                <w:rFonts w:ascii="Arial"/>
                <w:sz w:val="21"/>
              </w:rPr>
            </w:pPr>
          </w:p>
          <w:p w14:paraId="69536A3D">
            <w:pPr>
              <w:spacing w:line="261" w:lineRule="auto"/>
              <w:rPr>
                <w:rFonts w:ascii="Arial"/>
                <w:sz w:val="21"/>
              </w:rPr>
            </w:pPr>
          </w:p>
          <w:p w14:paraId="0F78D15D">
            <w:pPr>
              <w:spacing w:line="261" w:lineRule="auto"/>
              <w:rPr>
                <w:rFonts w:ascii="Arial"/>
                <w:sz w:val="21"/>
              </w:rPr>
            </w:pPr>
          </w:p>
          <w:p w14:paraId="0D94DF7D">
            <w:pPr>
              <w:spacing w:line="261" w:lineRule="auto"/>
              <w:rPr>
                <w:rFonts w:ascii="Arial"/>
                <w:sz w:val="21"/>
              </w:rPr>
            </w:pPr>
          </w:p>
          <w:p w14:paraId="2CE8B2D6">
            <w:pPr>
              <w:pStyle w:val="6"/>
              <w:spacing w:before="69" w:line="235" w:lineRule="auto"/>
              <w:ind w:left="133"/>
              <w:rPr>
                <w:rFonts w:ascii="宋体" w:hAnsi="宋体" w:eastAsia="宋体" w:cs="宋体"/>
              </w:rPr>
            </w:pPr>
            <w:r>
              <w:rPr>
                <w:spacing w:val="-2"/>
              </w:rPr>
              <w:t>9#</w:t>
            </w:r>
            <w:r>
              <w:rPr>
                <w:rFonts w:ascii="宋体" w:hAnsi="宋体" w:eastAsia="宋体" w:cs="宋体"/>
                <w:spacing w:val="-2"/>
              </w:rPr>
              <w:t>隧洞排</w:t>
            </w:r>
          </w:p>
          <w:p w14:paraId="6FE4B690">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5CFA11B3">
            <w:pPr>
              <w:spacing w:before="22"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47D3E88E">
            <w:pPr>
              <w:pStyle w:val="6"/>
              <w:spacing w:before="163" w:line="223" w:lineRule="auto"/>
              <w:ind w:left="168"/>
            </w:pPr>
            <w:r>
              <w:t>1</w:t>
            </w:r>
          </w:p>
          <w:p w14:paraId="14D7B7D1">
            <w:pPr>
              <w:spacing w:line="219" w:lineRule="auto"/>
              <w:ind w:left="100"/>
              <w:rPr>
                <w:rFonts w:ascii="宋体" w:hAnsi="宋体" w:eastAsia="宋体" w:cs="宋体"/>
                <w:sz w:val="21"/>
                <w:szCs w:val="21"/>
              </w:rPr>
            </w:pPr>
            <w:r>
              <w:rPr>
                <w:rFonts w:ascii="宋体" w:hAnsi="宋体" w:eastAsia="宋体" w:cs="宋体"/>
                <w:sz w:val="21"/>
                <w:szCs w:val="21"/>
              </w:rPr>
              <w:t>季</w:t>
            </w:r>
          </w:p>
          <w:p w14:paraId="4A6247EB">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6FDB4209">
            <w:pPr>
              <w:pStyle w:val="6"/>
              <w:spacing w:before="100" w:line="215" w:lineRule="auto"/>
              <w:ind w:left="343"/>
            </w:pPr>
            <w:r>
              <w:rPr>
                <w:spacing w:val="-1"/>
              </w:rPr>
              <w:t>2019/1/15</w:t>
            </w:r>
          </w:p>
        </w:tc>
        <w:tc>
          <w:tcPr>
            <w:tcW w:w="892" w:type="dxa"/>
            <w:vAlign w:val="top"/>
          </w:tcPr>
          <w:p w14:paraId="0D9F7A7F">
            <w:pPr>
              <w:pStyle w:val="6"/>
              <w:spacing w:before="100" w:line="215" w:lineRule="auto"/>
              <w:ind w:left="252"/>
            </w:pPr>
            <w:r>
              <w:rPr>
                <w:spacing w:val="-5"/>
              </w:rPr>
              <w:t>1688</w:t>
            </w:r>
          </w:p>
        </w:tc>
        <w:tc>
          <w:tcPr>
            <w:tcW w:w="892" w:type="dxa"/>
            <w:vAlign w:val="top"/>
          </w:tcPr>
          <w:p w14:paraId="2AA54572">
            <w:pPr>
              <w:pStyle w:val="6"/>
              <w:spacing w:before="100" w:line="215" w:lineRule="auto"/>
              <w:ind w:left="360"/>
            </w:pPr>
            <w:r>
              <w:rPr>
                <w:spacing w:val="-6"/>
              </w:rPr>
              <w:t>13</w:t>
            </w:r>
          </w:p>
        </w:tc>
        <w:tc>
          <w:tcPr>
            <w:tcW w:w="892" w:type="dxa"/>
            <w:vAlign w:val="top"/>
          </w:tcPr>
          <w:p w14:paraId="75F1F0FC">
            <w:pPr>
              <w:pStyle w:val="6"/>
              <w:spacing w:before="100" w:line="215" w:lineRule="auto"/>
              <w:ind w:left="269"/>
            </w:pPr>
            <w:r>
              <w:rPr>
                <w:spacing w:val="-3"/>
              </w:rPr>
              <w:t>6.41</w:t>
            </w:r>
          </w:p>
        </w:tc>
        <w:tc>
          <w:tcPr>
            <w:tcW w:w="892" w:type="dxa"/>
            <w:vAlign w:val="top"/>
          </w:tcPr>
          <w:p w14:paraId="0ACB9038">
            <w:pPr>
              <w:pStyle w:val="6"/>
              <w:spacing w:before="100" w:line="215" w:lineRule="auto"/>
              <w:ind w:left="276"/>
            </w:pPr>
            <w:r>
              <w:rPr>
                <w:spacing w:val="-4"/>
              </w:rPr>
              <w:t>8.74</w:t>
            </w:r>
          </w:p>
        </w:tc>
        <w:tc>
          <w:tcPr>
            <w:tcW w:w="891" w:type="dxa"/>
            <w:vAlign w:val="top"/>
          </w:tcPr>
          <w:p w14:paraId="2EA7298E">
            <w:pPr>
              <w:pStyle w:val="6"/>
              <w:spacing w:before="100" w:line="215" w:lineRule="auto"/>
              <w:ind w:left="274"/>
            </w:pPr>
            <w:r>
              <w:rPr>
                <w:spacing w:val="-2"/>
              </w:rPr>
              <w:t>0.09</w:t>
            </w:r>
          </w:p>
        </w:tc>
        <w:tc>
          <w:tcPr>
            <w:tcW w:w="906" w:type="dxa"/>
            <w:tcBorders>
              <w:right w:val="single" w:color="000000" w:sz="12" w:space="0"/>
            </w:tcBorders>
            <w:vAlign w:val="top"/>
          </w:tcPr>
          <w:p w14:paraId="29601C97">
            <w:pPr>
              <w:pStyle w:val="6"/>
              <w:spacing w:before="100" w:line="215" w:lineRule="auto"/>
              <w:ind w:left="214"/>
            </w:pPr>
            <w:r>
              <w:rPr>
                <w:spacing w:val="-2"/>
              </w:rPr>
              <w:t>0.06L</w:t>
            </w:r>
          </w:p>
        </w:tc>
      </w:tr>
      <w:tr w14:paraId="2222F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C1922EE">
            <w:pPr>
              <w:rPr>
                <w:rFonts w:ascii="Arial"/>
                <w:sz w:val="21"/>
              </w:rPr>
            </w:pPr>
          </w:p>
        </w:tc>
        <w:tc>
          <w:tcPr>
            <w:tcW w:w="423" w:type="dxa"/>
            <w:vMerge w:val="continue"/>
            <w:tcBorders>
              <w:top w:val="nil"/>
              <w:bottom w:val="nil"/>
            </w:tcBorders>
            <w:vAlign w:val="top"/>
          </w:tcPr>
          <w:p w14:paraId="115943E5">
            <w:pPr>
              <w:rPr>
                <w:rFonts w:ascii="Arial"/>
                <w:sz w:val="21"/>
              </w:rPr>
            </w:pPr>
          </w:p>
        </w:tc>
        <w:tc>
          <w:tcPr>
            <w:tcW w:w="1554" w:type="dxa"/>
            <w:vAlign w:val="top"/>
          </w:tcPr>
          <w:p w14:paraId="3D297DA5">
            <w:pPr>
              <w:pStyle w:val="6"/>
              <w:spacing w:before="99" w:line="214" w:lineRule="auto"/>
              <w:ind w:left="343"/>
            </w:pPr>
            <w:r>
              <w:rPr>
                <w:spacing w:val="-1"/>
              </w:rPr>
              <w:t>2019/1/16</w:t>
            </w:r>
          </w:p>
        </w:tc>
        <w:tc>
          <w:tcPr>
            <w:tcW w:w="892" w:type="dxa"/>
            <w:vAlign w:val="top"/>
          </w:tcPr>
          <w:p w14:paraId="40C2A36C">
            <w:pPr>
              <w:pStyle w:val="6"/>
              <w:spacing w:before="99" w:line="214" w:lineRule="auto"/>
              <w:ind w:left="252"/>
            </w:pPr>
            <w:r>
              <w:rPr>
                <w:spacing w:val="-5"/>
              </w:rPr>
              <w:t>1512</w:t>
            </w:r>
          </w:p>
        </w:tc>
        <w:tc>
          <w:tcPr>
            <w:tcW w:w="892" w:type="dxa"/>
            <w:vAlign w:val="top"/>
          </w:tcPr>
          <w:p w14:paraId="3AF09E70">
            <w:pPr>
              <w:pStyle w:val="6"/>
              <w:spacing w:before="99" w:line="214" w:lineRule="auto"/>
              <w:ind w:left="360"/>
            </w:pPr>
            <w:r>
              <w:rPr>
                <w:spacing w:val="-6"/>
              </w:rPr>
              <w:t>15</w:t>
            </w:r>
          </w:p>
        </w:tc>
        <w:tc>
          <w:tcPr>
            <w:tcW w:w="892" w:type="dxa"/>
            <w:vAlign w:val="top"/>
          </w:tcPr>
          <w:p w14:paraId="31157A8A">
            <w:pPr>
              <w:pStyle w:val="6"/>
              <w:spacing w:before="99" w:line="214" w:lineRule="auto"/>
              <w:ind w:left="269"/>
            </w:pPr>
            <w:r>
              <w:rPr>
                <w:spacing w:val="-3"/>
              </w:rPr>
              <w:t>6.35</w:t>
            </w:r>
          </w:p>
        </w:tc>
        <w:tc>
          <w:tcPr>
            <w:tcW w:w="892" w:type="dxa"/>
            <w:vAlign w:val="top"/>
          </w:tcPr>
          <w:p w14:paraId="1EE2DF8F">
            <w:pPr>
              <w:pStyle w:val="6"/>
              <w:spacing w:before="99" w:line="214" w:lineRule="auto"/>
              <w:ind w:left="276"/>
            </w:pPr>
            <w:r>
              <w:rPr>
                <w:spacing w:val="-4"/>
              </w:rPr>
              <w:t>8.81</w:t>
            </w:r>
          </w:p>
        </w:tc>
        <w:tc>
          <w:tcPr>
            <w:tcW w:w="891" w:type="dxa"/>
            <w:vAlign w:val="top"/>
          </w:tcPr>
          <w:p w14:paraId="59CC78C7">
            <w:pPr>
              <w:pStyle w:val="6"/>
              <w:spacing w:before="99" w:line="214" w:lineRule="auto"/>
              <w:ind w:left="274"/>
            </w:pPr>
            <w:r>
              <w:rPr>
                <w:spacing w:val="-2"/>
              </w:rPr>
              <w:t>0.07</w:t>
            </w:r>
          </w:p>
        </w:tc>
        <w:tc>
          <w:tcPr>
            <w:tcW w:w="906" w:type="dxa"/>
            <w:tcBorders>
              <w:right w:val="single" w:color="000000" w:sz="12" w:space="0"/>
            </w:tcBorders>
            <w:vAlign w:val="top"/>
          </w:tcPr>
          <w:p w14:paraId="1E7A5164">
            <w:pPr>
              <w:pStyle w:val="6"/>
              <w:spacing w:before="99" w:line="214" w:lineRule="auto"/>
              <w:ind w:left="214"/>
            </w:pPr>
            <w:r>
              <w:rPr>
                <w:spacing w:val="-2"/>
              </w:rPr>
              <w:t>0.06L</w:t>
            </w:r>
          </w:p>
        </w:tc>
      </w:tr>
      <w:tr w14:paraId="0C172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CF34B07">
            <w:pPr>
              <w:rPr>
                <w:rFonts w:ascii="Arial"/>
                <w:sz w:val="21"/>
              </w:rPr>
            </w:pPr>
          </w:p>
        </w:tc>
        <w:tc>
          <w:tcPr>
            <w:tcW w:w="423" w:type="dxa"/>
            <w:vMerge w:val="continue"/>
            <w:tcBorders>
              <w:top w:val="nil"/>
            </w:tcBorders>
            <w:vAlign w:val="top"/>
          </w:tcPr>
          <w:p w14:paraId="47D48929">
            <w:pPr>
              <w:rPr>
                <w:rFonts w:ascii="Arial"/>
                <w:sz w:val="21"/>
              </w:rPr>
            </w:pPr>
          </w:p>
        </w:tc>
        <w:tc>
          <w:tcPr>
            <w:tcW w:w="1554" w:type="dxa"/>
            <w:vAlign w:val="top"/>
          </w:tcPr>
          <w:p w14:paraId="32697991">
            <w:pPr>
              <w:pStyle w:val="6"/>
              <w:spacing w:before="101" w:line="212" w:lineRule="auto"/>
              <w:ind w:left="343"/>
            </w:pPr>
            <w:r>
              <w:rPr>
                <w:spacing w:val="-1"/>
              </w:rPr>
              <w:t>2019/1/17</w:t>
            </w:r>
          </w:p>
        </w:tc>
        <w:tc>
          <w:tcPr>
            <w:tcW w:w="892" w:type="dxa"/>
            <w:vAlign w:val="top"/>
          </w:tcPr>
          <w:p w14:paraId="0D42BFCC">
            <w:pPr>
              <w:pStyle w:val="6"/>
              <w:spacing w:before="101" w:line="212" w:lineRule="auto"/>
              <w:ind w:left="252"/>
            </w:pPr>
            <w:r>
              <w:rPr>
                <w:spacing w:val="-5"/>
              </w:rPr>
              <w:t>1598</w:t>
            </w:r>
          </w:p>
        </w:tc>
        <w:tc>
          <w:tcPr>
            <w:tcW w:w="892" w:type="dxa"/>
            <w:vAlign w:val="top"/>
          </w:tcPr>
          <w:p w14:paraId="510892E6">
            <w:pPr>
              <w:pStyle w:val="6"/>
              <w:spacing w:before="101" w:line="212" w:lineRule="auto"/>
              <w:ind w:left="360"/>
            </w:pPr>
            <w:r>
              <w:rPr>
                <w:spacing w:val="-6"/>
              </w:rPr>
              <w:t>14</w:t>
            </w:r>
          </w:p>
        </w:tc>
        <w:tc>
          <w:tcPr>
            <w:tcW w:w="892" w:type="dxa"/>
            <w:vAlign w:val="top"/>
          </w:tcPr>
          <w:p w14:paraId="6A46C12A">
            <w:pPr>
              <w:pStyle w:val="6"/>
              <w:spacing w:before="101" w:line="212" w:lineRule="auto"/>
              <w:ind w:left="269"/>
            </w:pPr>
            <w:r>
              <w:rPr>
                <w:spacing w:val="-3"/>
              </w:rPr>
              <w:t>6.45</w:t>
            </w:r>
          </w:p>
        </w:tc>
        <w:tc>
          <w:tcPr>
            <w:tcW w:w="892" w:type="dxa"/>
            <w:vAlign w:val="top"/>
          </w:tcPr>
          <w:p w14:paraId="51B048DD">
            <w:pPr>
              <w:pStyle w:val="6"/>
              <w:spacing w:before="101" w:line="212" w:lineRule="auto"/>
              <w:ind w:left="276"/>
            </w:pPr>
            <w:r>
              <w:rPr>
                <w:spacing w:val="-4"/>
              </w:rPr>
              <w:t>8.70</w:t>
            </w:r>
          </w:p>
        </w:tc>
        <w:tc>
          <w:tcPr>
            <w:tcW w:w="891" w:type="dxa"/>
            <w:vAlign w:val="top"/>
          </w:tcPr>
          <w:p w14:paraId="40BDE013">
            <w:pPr>
              <w:pStyle w:val="6"/>
              <w:spacing w:before="101" w:line="212" w:lineRule="auto"/>
              <w:ind w:left="274"/>
            </w:pPr>
            <w:r>
              <w:rPr>
                <w:spacing w:val="-2"/>
              </w:rPr>
              <w:t>0.08</w:t>
            </w:r>
          </w:p>
        </w:tc>
        <w:tc>
          <w:tcPr>
            <w:tcW w:w="906" w:type="dxa"/>
            <w:tcBorders>
              <w:right w:val="single" w:color="000000" w:sz="12" w:space="0"/>
            </w:tcBorders>
            <w:vAlign w:val="top"/>
          </w:tcPr>
          <w:p w14:paraId="53B6C1AD">
            <w:pPr>
              <w:pStyle w:val="6"/>
              <w:spacing w:before="101" w:line="212" w:lineRule="auto"/>
              <w:ind w:left="214"/>
            </w:pPr>
            <w:r>
              <w:rPr>
                <w:spacing w:val="-2"/>
              </w:rPr>
              <w:t>0.06L</w:t>
            </w:r>
          </w:p>
        </w:tc>
      </w:tr>
      <w:tr w14:paraId="7FF4C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5941C654">
            <w:pPr>
              <w:rPr>
                <w:rFonts w:ascii="Arial"/>
                <w:sz w:val="21"/>
              </w:rPr>
            </w:pPr>
          </w:p>
        </w:tc>
        <w:tc>
          <w:tcPr>
            <w:tcW w:w="423" w:type="dxa"/>
            <w:vMerge w:val="restart"/>
            <w:tcBorders>
              <w:bottom w:val="nil"/>
            </w:tcBorders>
            <w:vAlign w:val="top"/>
          </w:tcPr>
          <w:p w14:paraId="2C227C1E">
            <w:pPr>
              <w:pStyle w:val="6"/>
              <w:spacing w:before="167" w:line="222" w:lineRule="auto"/>
              <w:ind w:left="148"/>
            </w:pPr>
            <w:r>
              <w:t>2</w:t>
            </w:r>
          </w:p>
          <w:p w14:paraId="34B309F5">
            <w:pPr>
              <w:spacing w:line="219" w:lineRule="auto"/>
              <w:ind w:left="100"/>
              <w:rPr>
                <w:rFonts w:ascii="宋体" w:hAnsi="宋体" w:eastAsia="宋体" w:cs="宋体"/>
                <w:sz w:val="21"/>
                <w:szCs w:val="21"/>
              </w:rPr>
            </w:pPr>
            <w:r>
              <w:rPr>
                <w:rFonts w:ascii="宋体" w:hAnsi="宋体" w:eastAsia="宋体" w:cs="宋体"/>
                <w:sz w:val="21"/>
                <w:szCs w:val="21"/>
              </w:rPr>
              <w:t>季</w:t>
            </w:r>
          </w:p>
          <w:p w14:paraId="054723EE">
            <w:pPr>
              <w:spacing w:before="23"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65A07149">
            <w:pPr>
              <w:pStyle w:val="6"/>
              <w:spacing w:before="102" w:line="213" w:lineRule="auto"/>
              <w:ind w:left="343"/>
            </w:pPr>
            <w:r>
              <w:rPr>
                <w:spacing w:val="-1"/>
              </w:rPr>
              <w:t>2019/5/10</w:t>
            </w:r>
          </w:p>
        </w:tc>
        <w:tc>
          <w:tcPr>
            <w:tcW w:w="892" w:type="dxa"/>
            <w:vAlign w:val="top"/>
          </w:tcPr>
          <w:p w14:paraId="18A714B4">
            <w:pPr>
              <w:pStyle w:val="6"/>
              <w:spacing w:before="102" w:line="213" w:lineRule="auto"/>
              <w:ind w:left="357"/>
            </w:pPr>
            <w:r>
              <w:rPr>
                <w:spacing w:val="-6"/>
              </w:rPr>
              <w:t>13</w:t>
            </w:r>
          </w:p>
        </w:tc>
        <w:tc>
          <w:tcPr>
            <w:tcW w:w="892" w:type="dxa"/>
            <w:vAlign w:val="top"/>
          </w:tcPr>
          <w:p w14:paraId="77943533">
            <w:pPr>
              <w:pStyle w:val="6"/>
              <w:spacing w:before="102" w:line="213" w:lineRule="auto"/>
              <w:ind w:left="360"/>
            </w:pPr>
            <w:r>
              <w:rPr>
                <w:spacing w:val="-6"/>
              </w:rPr>
              <w:t>11</w:t>
            </w:r>
          </w:p>
        </w:tc>
        <w:tc>
          <w:tcPr>
            <w:tcW w:w="892" w:type="dxa"/>
            <w:vAlign w:val="top"/>
          </w:tcPr>
          <w:p w14:paraId="32965092">
            <w:pPr>
              <w:pStyle w:val="6"/>
              <w:spacing w:before="102" w:line="213" w:lineRule="auto"/>
              <w:ind w:left="269"/>
            </w:pPr>
            <w:r>
              <w:rPr>
                <w:spacing w:val="-3"/>
              </w:rPr>
              <w:t>6.42</w:t>
            </w:r>
          </w:p>
        </w:tc>
        <w:tc>
          <w:tcPr>
            <w:tcW w:w="892" w:type="dxa"/>
            <w:vAlign w:val="top"/>
          </w:tcPr>
          <w:p w14:paraId="27209E2D">
            <w:pPr>
              <w:pStyle w:val="6"/>
              <w:spacing w:before="102" w:line="213" w:lineRule="auto"/>
              <w:ind w:left="276"/>
            </w:pPr>
            <w:r>
              <w:rPr>
                <w:spacing w:val="-4"/>
              </w:rPr>
              <w:t>8.74</w:t>
            </w:r>
          </w:p>
        </w:tc>
        <w:tc>
          <w:tcPr>
            <w:tcW w:w="891" w:type="dxa"/>
            <w:vAlign w:val="top"/>
          </w:tcPr>
          <w:p w14:paraId="2A870F25">
            <w:pPr>
              <w:pStyle w:val="6"/>
              <w:spacing w:before="102" w:line="213" w:lineRule="auto"/>
              <w:ind w:left="274"/>
            </w:pPr>
            <w:r>
              <w:rPr>
                <w:spacing w:val="-2"/>
              </w:rPr>
              <w:t>0.09</w:t>
            </w:r>
          </w:p>
        </w:tc>
        <w:tc>
          <w:tcPr>
            <w:tcW w:w="906" w:type="dxa"/>
            <w:tcBorders>
              <w:right w:val="single" w:color="000000" w:sz="12" w:space="0"/>
            </w:tcBorders>
            <w:vAlign w:val="top"/>
          </w:tcPr>
          <w:p w14:paraId="4D8AF6AB">
            <w:pPr>
              <w:pStyle w:val="6"/>
              <w:spacing w:before="102" w:line="213" w:lineRule="auto"/>
              <w:ind w:left="277"/>
            </w:pPr>
            <w:r>
              <w:rPr>
                <w:spacing w:val="-2"/>
              </w:rPr>
              <w:t>0.07</w:t>
            </w:r>
          </w:p>
        </w:tc>
      </w:tr>
      <w:tr w14:paraId="3F17D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AFBAB67">
            <w:pPr>
              <w:rPr>
                <w:rFonts w:ascii="Arial"/>
                <w:sz w:val="21"/>
              </w:rPr>
            </w:pPr>
          </w:p>
        </w:tc>
        <w:tc>
          <w:tcPr>
            <w:tcW w:w="423" w:type="dxa"/>
            <w:vMerge w:val="continue"/>
            <w:tcBorders>
              <w:top w:val="nil"/>
              <w:bottom w:val="nil"/>
            </w:tcBorders>
            <w:vAlign w:val="top"/>
          </w:tcPr>
          <w:p w14:paraId="626C3170">
            <w:pPr>
              <w:rPr>
                <w:rFonts w:ascii="Arial"/>
                <w:sz w:val="21"/>
              </w:rPr>
            </w:pPr>
          </w:p>
        </w:tc>
        <w:tc>
          <w:tcPr>
            <w:tcW w:w="1554" w:type="dxa"/>
            <w:vAlign w:val="top"/>
          </w:tcPr>
          <w:p w14:paraId="42A7C789">
            <w:pPr>
              <w:pStyle w:val="6"/>
              <w:spacing w:before="102" w:line="212" w:lineRule="auto"/>
              <w:ind w:left="343"/>
            </w:pPr>
            <w:r>
              <w:rPr>
                <w:spacing w:val="-1"/>
              </w:rPr>
              <w:t>2019/5/11</w:t>
            </w:r>
          </w:p>
        </w:tc>
        <w:tc>
          <w:tcPr>
            <w:tcW w:w="892" w:type="dxa"/>
            <w:vAlign w:val="top"/>
          </w:tcPr>
          <w:p w14:paraId="26D723A2">
            <w:pPr>
              <w:pStyle w:val="6"/>
              <w:spacing w:before="102" w:line="212" w:lineRule="auto"/>
              <w:ind w:left="357"/>
            </w:pPr>
            <w:r>
              <w:rPr>
                <w:spacing w:val="-6"/>
              </w:rPr>
              <w:t>15</w:t>
            </w:r>
          </w:p>
        </w:tc>
        <w:tc>
          <w:tcPr>
            <w:tcW w:w="892" w:type="dxa"/>
            <w:vAlign w:val="top"/>
          </w:tcPr>
          <w:p w14:paraId="424B5CA2">
            <w:pPr>
              <w:pStyle w:val="6"/>
              <w:spacing w:before="102" w:line="212" w:lineRule="auto"/>
              <w:ind w:left="397"/>
            </w:pPr>
            <w:r>
              <w:t>9</w:t>
            </w:r>
          </w:p>
        </w:tc>
        <w:tc>
          <w:tcPr>
            <w:tcW w:w="892" w:type="dxa"/>
            <w:vAlign w:val="top"/>
          </w:tcPr>
          <w:p w14:paraId="028136C9">
            <w:pPr>
              <w:pStyle w:val="6"/>
              <w:spacing w:before="102" w:line="212" w:lineRule="auto"/>
              <w:ind w:left="269"/>
            </w:pPr>
            <w:r>
              <w:rPr>
                <w:spacing w:val="-3"/>
              </w:rPr>
              <w:t>6.34</w:t>
            </w:r>
          </w:p>
        </w:tc>
        <w:tc>
          <w:tcPr>
            <w:tcW w:w="892" w:type="dxa"/>
            <w:vAlign w:val="top"/>
          </w:tcPr>
          <w:p w14:paraId="08C9DAF7">
            <w:pPr>
              <w:pStyle w:val="6"/>
              <w:spacing w:before="102" w:line="212" w:lineRule="auto"/>
              <w:ind w:left="276"/>
            </w:pPr>
            <w:r>
              <w:rPr>
                <w:spacing w:val="-4"/>
              </w:rPr>
              <w:t>8.81</w:t>
            </w:r>
          </w:p>
        </w:tc>
        <w:tc>
          <w:tcPr>
            <w:tcW w:w="891" w:type="dxa"/>
            <w:vAlign w:val="top"/>
          </w:tcPr>
          <w:p w14:paraId="6F7B25F6">
            <w:pPr>
              <w:pStyle w:val="6"/>
              <w:spacing w:before="102" w:line="212" w:lineRule="auto"/>
              <w:ind w:left="274"/>
            </w:pPr>
            <w:r>
              <w:rPr>
                <w:spacing w:val="-2"/>
              </w:rPr>
              <w:t>0.09</w:t>
            </w:r>
          </w:p>
        </w:tc>
        <w:tc>
          <w:tcPr>
            <w:tcW w:w="906" w:type="dxa"/>
            <w:tcBorders>
              <w:right w:val="single" w:color="000000" w:sz="12" w:space="0"/>
            </w:tcBorders>
            <w:vAlign w:val="top"/>
          </w:tcPr>
          <w:p w14:paraId="38A20816">
            <w:pPr>
              <w:pStyle w:val="6"/>
              <w:spacing w:before="102" w:line="212" w:lineRule="auto"/>
              <w:ind w:left="277"/>
            </w:pPr>
            <w:r>
              <w:rPr>
                <w:spacing w:val="-2"/>
              </w:rPr>
              <w:t>0.08</w:t>
            </w:r>
          </w:p>
        </w:tc>
      </w:tr>
      <w:tr w14:paraId="4E875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6BCBFD34">
            <w:pPr>
              <w:rPr>
                <w:rFonts w:ascii="Arial"/>
                <w:sz w:val="21"/>
              </w:rPr>
            </w:pPr>
          </w:p>
        </w:tc>
        <w:tc>
          <w:tcPr>
            <w:tcW w:w="423" w:type="dxa"/>
            <w:vMerge w:val="continue"/>
            <w:tcBorders>
              <w:top w:val="nil"/>
            </w:tcBorders>
            <w:vAlign w:val="top"/>
          </w:tcPr>
          <w:p w14:paraId="655665B1">
            <w:pPr>
              <w:rPr>
                <w:rFonts w:ascii="Arial"/>
                <w:sz w:val="21"/>
              </w:rPr>
            </w:pPr>
          </w:p>
        </w:tc>
        <w:tc>
          <w:tcPr>
            <w:tcW w:w="1554" w:type="dxa"/>
            <w:vAlign w:val="top"/>
          </w:tcPr>
          <w:p w14:paraId="3BD2603E">
            <w:pPr>
              <w:pStyle w:val="6"/>
              <w:spacing w:before="102" w:line="213" w:lineRule="auto"/>
              <w:ind w:left="343"/>
            </w:pPr>
            <w:r>
              <w:rPr>
                <w:spacing w:val="-1"/>
              </w:rPr>
              <w:t>2019/5/12</w:t>
            </w:r>
          </w:p>
        </w:tc>
        <w:tc>
          <w:tcPr>
            <w:tcW w:w="892" w:type="dxa"/>
            <w:vAlign w:val="top"/>
          </w:tcPr>
          <w:p w14:paraId="3DC054A0">
            <w:pPr>
              <w:pStyle w:val="6"/>
              <w:spacing w:before="102" w:line="213" w:lineRule="auto"/>
              <w:ind w:left="357"/>
            </w:pPr>
            <w:r>
              <w:rPr>
                <w:spacing w:val="-6"/>
              </w:rPr>
              <w:t>12</w:t>
            </w:r>
          </w:p>
        </w:tc>
        <w:tc>
          <w:tcPr>
            <w:tcW w:w="892" w:type="dxa"/>
            <w:vAlign w:val="top"/>
          </w:tcPr>
          <w:p w14:paraId="4A3DEC2D">
            <w:pPr>
              <w:pStyle w:val="6"/>
              <w:spacing w:before="102" w:line="213" w:lineRule="auto"/>
              <w:ind w:left="360"/>
            </w:pPr>
            <w:r>
              <w:rPr>
                <w:spacing w:val="-6"/>
              </w:rPr>
              <w:t>10</w:t>
            </w:r>
          </w:p>
        </w:tc>
        <w:tc>
          <w:tcPr>
            <w:tcW w:w="892" w:type="dxa"/>
            <w:vAlign w:val="top"/>
          </w:tcPr>
          <w:p w14:paraId="125BDD13">
            <w:pPr>
              <w:pStyle w:val="6"/>
              <w:spacing w:before="102" w:line="213" w:lineRule="auto"/>
              <w:ind w:left="269"/>
            </w:pPr>
            <w:r>
              <w:rPr>
                <w:spacing w:val="-3"/>
              </w:rPr>
              <w:t>6.44</w:t>
            </w:r>
          </w:p>
        </w:tc>
        <w:tc>
          <w:tcPr>
            <w:tcW w:w="892" w:type="dxa"/>
            <w:vAlign w:val="top"/>
          </w:tcPr>
          <w:p w14:paraId="3F83D06F">
            <w:pPr>
              <w:pStyle w:val="6"/>
              <w:spacing w:before="102" w:line="213" w:lineRule="auto"/>
              <w:ind w:left="276"/>
            </w:pPr>
            <w:r>
              <w:rPr>
                <w:spacing w:val="-4"/>
              </w:rPr>
              <w:t>8.74</w:t>
            </w:r>
          </w:p>
        </w:tc>
        <w:tc>
          <w:tcPr>
            <w:tcW w:w="891" w:type="dxa"/>
            <w:vAlign w:val="top"/>
          </w:tcPr>
          <w:p w14:paraId="73510265">
            <w:pPr>
              <w:pStyle w:val="6"/>
              <w:spacing w:before="102" w:line="213" w:lineRule="auto"/>
              <w:ind w:left="274"/>
            </w:pPr>
            <w:r>
              <w:rPr>
                <w:spacing w:val="-2"/>
              </w:rPr>
              <w:t>0.10</w:t>
            </w:r>
          </w:p>
        </w:tc>
        <w:tc>
          <w:tcPr>
            <w:tcW w:w="906" w:type="dxa"/>
            <w:tcBorders>
              <w:right w:val="single" w:color="000000" w:sz="12" w:space="0"/>
            </w:tcBorders>
            <w:vAlign w:val="top"/>
          </w:tcPr>
          <w:p w14:paraId="6A58AC7D">
            <w:pPr>
              <w:pStyle w:val="6"/>
              <w:spacing w:before="102" w:line="213" w:lineRule="auto"/>
              <w:ind w:left="277"/>
            </w:pPr>
            <w:r>
              <w:rPr>
                <w:spacing w:val="-2"/>
              </w:rPr>
              <w:t>0.07</w:t>
            </w:r>
          </w:p>
        </w:tc>
      </w:tr>
      <w:tr w14:paraId="45461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FF9C536">
            <w:pPr>
              <w:rPr>
                <w:rFonts w:ascii="Arial"/>
                <w:sz w:val="21"/>
              </w:rPr>
            </w:pPr>
          </w:p>
        </w:tc>
        <w:tc>
          <w:tcPr>
            <w:tcW w:w="423" w:type="dxa"/>
            <w:vMerge w:val="restart"/>
            <w:tcBorders>
              <w:bottom w:val="nil"/>
            </w:tcBorders>
            <w:vAlign w:val="top"/>
          </w:tcPr>
          <w:p w14:paraId="0F9FA529">
            <w:pPr>
              <w:pStyle w:val="6"/>
              <w:spacing w:before="166" w:line="222" w:lineRule="auto"/>
              <w:ind w:left="152"/>
            </w:pPr>
            <w:r>
              <w:t>3</w:t>
            </w:r>
          </w:p>
          <w:p w14:paraId="561E0A1F">
            <w:pPr>
              <w:spacing w:line="219" w:lineRule="auto"/>
              <w:ind w:left="100"/>
              <w:rPr>
                <w:rFonts w:ascii="宋体" w:hAnsi="宋体" w:eastAsia="宋体" w:cs="宋体"/>
                <w:sz w:val="21"/>
                <w:szCs w:val="21"/>
              </w:rPr>
            </w:pPr>
            <w:r>
              <w:rPr>
                <w:rFonts w:ascii="宋体" w:hAnsi="宋体" w:eastAsia="宋体" w:cs="宋体"/>
                <w:sz w:val="21"/>
                <w:szCs w:val="21"/>
              </w:rPr>
              <w:t>季</w:t>
            </w:r>
          </w:p>
          <w:p w14:paraId="04F56DFF">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8C6922D">
            <w:pPr>
              <w:pStyle w:val="6"/>
              <w:spacing w:before="101" w:line="212" w:lineRule="auto"/>
              <w:ind w:left="343"/>
            </w:pPr>
            <w:r>
              <w:rPr>
                <w:spacing w:val="-1"/>
              </w:rPr>
              <w:t>2019/8/06</w:t>
            </w:r>
          </w:p>
        </w:tc>
        <w:tc>
          <w:tcPr>
            <w:tcW w:w="892" w:type="dxa"/>
            <w:vAlign w:val="top"/>
          </w:tcPr>
          <w:p w14:paraId="4E64D035">
            <w:pPr>
              <w:pStyle w:val="6"/>
              <w:spacing w:before="101" w:line="212" w:lineRule="auto"/>
              <w:ind w:left="337"/>
            </w:pPr>
            <w:r>
              <w:rPr>
                <w:spacing w:val="-1"/>
              </w:rPr>
              <w:t>22</w:t>
            </w:r>
          </w:p>
        </w:tc>
        <w:tc>
          <w:tcPr>
            <w:tcW w:w="892" w:type="dxa"/>
            <w:vAlign w:val="top"/>
          </w:tcPr>
          <w:p w14:paraId="5A07F9C1">
            <w:pPr>
              <w:pStyle w:val="6"/>
              <w:spacing w:before="101" w:line="212" w:lineRule="auto"/>
              <w:ind w:left="397"/>
            </w:pPr>
            <w:r>
              <w:t>9</w:t>
            </w:r>
          </w:p>
        </w:tc>
        <w:tc>
          <w:tcPr>
            <w:tcW w:w="892" w:type="dxa"/>
            <w:vAlign w:val="top"/>
          </w:tcPr>
          <w:p w14:paraId="5EE34F0D">
            <w:pPr>
              <w:pStyle w:val="6"/>
              <w:spacing w:before="101" w:line="212" w:lineRule="auto"/>
              <w:ind w:left="269"/>
            </w:pPr>
            <w:r>
              <w:rPr>
                <w:spacing w:val="-3"/>
              </w:rPr>
              <w:t>6.39</w:t>
            </w:r>
          </w:p>
        </w:tc>
        <w:tc>
          <w:tcPr>
            <w:tcW w:w="892" w:type="dxa"/>
            <w:vAlign w:val="top"/>
          </w:tcPr>
          <w:p w14:paraId="0E267F9A">
            <w:pPr>
              <w:pStyle w:val="6"/>
              <w:spacing w:before="101" w:line="212" w:lineRule="auto"/>
              <w:ind w:left="271"/>
            </w:pPr>
            <w:r>
              <w:rPr>
                <w:spacing w:val="-2"/>
              </w:rPr>
              <w:t>7.03</w:t>
            </w:r>
          </w:p>
        </w:tc>
        <w:tc>
          <w:tcPr>
            <w:tcW w:w="891" w:type="dxa"/>
            <w:vAlign w:val="top"/>
          </w:tcPr>
          <w:p w14:paraId="78E992FB">
            <w:pPr>
              <w:pStyle w:val="6"/>
              <w:spacing w:before="101" w:line="212" w:lineRule="auto"/>
              <w:ind w:left="274"/>
            </w:pPr>
            <w:r>
              <w:rPr>
                <w:spacing w:val="-2"/>
              </w:rPr>
              <w:t>0.16</w:t>
            </w:r>
          </w:p>
        </w:tc>
        <w:tc>
          <w:tcPr>
            <w:tcW w:w="906" w:type="dxa"/>
            <w:tcBorders>
              <w:right w:val="single" w:color="000000" w:sz="12" w:space="0"/>
            </w:tcBorders>
            <w:vAlign w:val="top"/>
          </w:tcPr>
          <w:p w14:paraId="3627064F">
            <w:pPr>
              <w:pStyle w:val="6"/>
              <w:spacing w:before="101" w:line="212" w:lineRule="auto"/>
              <w:ind w:left="277"/>
            </w:pPr>
            <w:r>
              <w:rPr>
                <w:spacing w:val="-2"/>
              </w:rPr>
              <w:t>0.12</w:t>
            </w:r>
          </w:p>
        </w:tc>
      </w:tr>
      <w:tr w14:paraId="16004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3618F1F">
            <w:pPr>
              <w:rPr>
                <w:rFonts w:ascii="Arial"/>
                <w:sz w:val="21"/>
              </w:rPr>
            </w:pPr>
          </w:p>
        </w:tc>
        <w:tc>
          <w:tcPr>
            <w:tcW w:w="423" w:type="dxa"/>
            <w:vMerge w:val="continue"/>
            <w:tcBorders>
              <w:top w:val="nil"/>
              <w:bottom w:val="nil"/>
            </w:tcBorders>
            <w:vAlign w:val="top"/>
          </w:tcPr>
          <w:p w14:paraId="7F2BE40C">
            <w:pPr>
              <w:rPr>
                <w:rFonts w:ascii="Arial"/>
                <w:sz w:val="21"/>
              </w:rPr>
            </w:pPr>
          </w:p>
        </w:tc>
        <w:tc>
          <w:tcPr>
            <w:tcW w:w="1554" w:type="dxa"/>
            <w:vAlign w:val="top"/>
          </w:tcPr>
          <w:p w14:paraId="401401CC">
            <w:pPr>
              <w:pStyle w:val="6"/>
              <w:spacing w:before="104" w:line="209" w:lineRule="auto"/>
              <w:ind w:left="343"/>
            </w:pPr>
            <w:r>
              <w:rPr>
                <w:spacing w:val="-1"/>
              </w:rPr>
              <w:t>2019/8/07</w:t>
            </w:r>
          </w:p>
        </w:tc>
        <w:tc>
          <w:tcPr>
            <w:tcW w:w="892" w:type="dxa"/>
            <w:vAlign w:val="top"/>
          </w:tcPr>
          <w:p w14:paraId="7E3A5CD4">
            <w:pPr>
              <w:pStyle w:val="6"/>
              <w:spacing w:before="104" w:line="209" w:lineRule="auto"/>
              <w:ind w:left="357"/>
            </w:pPr>
            <w:r>
              <w:rPr>
                <w:spacing w:val="-6"/>
              </w:rPr>
              <w:t>18</w:t>
            </w:r>
          </w:p>
        </w:tc>
        <w:tc>
          <w:tcPr>
            <w:tcW w:w="892" w:type="dxa"/>
            <w:vAlign w:val="top"/>
          </w:tcPr>
          <w:p w14:paraId="6C9058A8">
            <w:pPr>
              <w:pStyle w:val="6"/>
              <w:spacing w:before="104" w:line="209" w:lineRule="auto"/>
              <w:ind w:left="396"/>
            </w:pPr>
            <w:r>
              <w:t>7</w:t>
            </w:r>
          </w:p>
        </w:tc>
        <w:tc>
          <w:tcPr>
            <w:tcW w:w="892" w:type="dxa"/>
            <w:vAlign w:val="top"/>
          </w:tcPr>
          <w:p w14:paraId="5BD43E83">
            <w:pPr>
              <w:pStyle w:val="6"/>
              <w:spacing w:before="104" w:line="209" w:lineRule="auto"/>
              <w:ind w:left="269"/>
            </w:pPr>
            <w:r>
              <w:rPr>
                <w:spacing w:val="-3"/>
              </w:rPr>
              <w:t>6.44</w:t>
            </w:r>
          </w:p>
        </w:tc>
        <w:tc>
          <w:tcPr>
            <w:tcW w:w="892" w:type="dxa"/>
            <w:vAlign w:val="top"/>
          </w:tcPr>
          <w:p w14:paraId="18B1E8B7">
            <w:pPr>
              <w:pStyle w:val="6"/>
              <w:spacing w:before="104" w:line="209" w:lineRule="auto"/>
              <w:ind w:left="271"/>
            </w:pPr>
            <w:r>
              <w:rPr>
                <w:spacing w:val="-2"/>
              </w:rPr>
              <w:t>7.08</w:t>
            </w:r>
          </w:p>
        </w:tc>
        <w:tc>
          <w:tcPr>
            <w:tcW w:w="891" w:type="dxa"/>
            <w:vAlign w:val="top"/>
          </w:tcPr>
          <w:p w14:paraId="3C20A3DD">
            <w:pPr>
              <w:pStyle w:val="6"/>
              <w:spacing w:before="104" w:line="209" w:lineRule="auto"/>
              <w:ind w:left="274"/>
            </w:pPr>
            <w:r>
              <w:rPr>
                <w:spacing w:val="-2"/>
              </w:rPr>
              <w:t>0.19</w:t>
            </w:r>
          </w:p>
        </w:tc>
        <w:tc>
          <w:tcPr>
            <w:tcW w:w="906" w:type="dxa"/>
            <w:tcBorders>
              <w:right w:val="single" w:color="000000" w:sz="12" w:space="0"/>
            </w:tcBorders>
            <w:vAlign w:val="top"/>
          </w:tcPr>
          <w:p w14:paraId="09B2D7C5">
            <w:pPr>
              <w:pStyle w:val="6"/>
              <w:spacing w:before="104" w:line="209" w:lineRule="auto"/>
              <w:ind w:left="277"/>
            </w:pPr>
            <w:r>
              <w:rPr>
                <w:spacing w:val="-2"/>
              </w:rPr>
              <w:t>0.10</w:t>
            </w:r>
          </w:p>
        </w:tc>
      </w:tr>
      <w:tr w14:paraId="306F7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20B2719C">
            <w:pPr>
              <w:rPr>
                <w:rFonts w:ascii="Arial"/>
                <w:sz w:val="21"/>
              </w:rPr>
            </w:pPr>
          </w:p>
        </w:tc>
        <w:tc>
          <w:tcPr>
            <w:tcW w:w="423" w:type="dxa"/>
            <w:vMerge w:val="continue"/>
            <w:tcBorders>
              <w:top w:val="nil"/>
            </w:tcBorders>
            <w:vAlign w:val="top"/>
          </w:tcPr>
          <w:p w14:paraId="216B40FC">
            <w:pPr>
              <w:rPr>
                <w:rFonts w:ascii="Arial"/>
                <w:sz w:val="21"/>
              </w:rPr>
            </w:pPr>
          </w:p>
        </w:tc>
        <w:tc>
          <w:tcPr>
            <w:tcW w:w="1554" w:type="dxa"/>
            <w:vAlign w:val="top"/>
          </w:tcPr>
          <w:p w14:paraId="32B16890">
            <w:pPr>
              <w:pStyle w:val="6"/>
              <w:spacing w:before="105" w:line="210" w:lineRule="auto"/>
              <w:ind w:left="343"/>
            </w:pPr>
            <w:r>
              <w:rPr>
                <w:spacing w:val="-1"/>
              </w:rPr>
              <w:t>2019/8/08</w:t>
            </w:r>
          </w:p>
        </w:tc>
        <w:tc>
          <w:tcPr>
            <w:tcW w:w="892" w:type="dxa"/>
            <w:vAlign w:val="top"/>
          </w:tcPr>
          <w:p w14:paraId="1F5BC90D">
            <w:pPr>
              <w:pStyle w:val="6"/>
              <w:spacing w:before="105" w:line="210" w:lineRule="auto"/>
              <w:ind w:left="337"/>
            </w:pPr>
            <w:r>
              <w:rPr>
                <w:spacing w:val="-1"/>
              </w:rPr>
              <w:t>23</w:t>
            </w:r>
          </w:p>
        </w:tc>
        <w:tc>
          <w:tcPr>
            <w:tcW w:w="892" w:type="dxa"/>
            <w:vAlign w:val="top"/>
          </w:tcPr>
          <w:p w14:paraId="64CA7ACB">
            <w:pPr>
              <w:pStyle w:val="6"/>
              <w:spacing w:before="105" w:line="210" w:lineRule="auto"/>
              <w:ind w:left="402"/>
            </w:pPr>
            <w:r>
              <w:t>8</w:t>
            </w:r>
          </w:p>
        </w:tc>
        <w:tc>
          <w:tcPr>
            <w:tcW w:w="892" w:type="dxa"/>
            <w:vAlign w:val="top"/>
          </w:tcPr>
          <w:p w14:paraId="67BEBA7A">
            <w:pPr>
              <w:pStyle w:val="6"/>
              <w:spacing w:before="105" w:line="210" w:lineRule="auto"/>
              <w:ind w:left="269"/>
            </w:pPr>
            <w:r>
              <w:rPr>
                <w:spacing w:val="-3"/>
              </w:rPr>
              <w:t>6.33</w:t>
            </w:r>
          </w:p>
        </w:tc>
        <w:tc>
          <w:tcPr>
            <w:tcW w:w="892" w:type="dxa"/>
            <w:vAlign w:val="top"/>
          </w:tcPr>
          <w:p w14:paraId="06682E30">
            <w:pPr>
              <w:pStyle w:val="6"/>
              <w:spacing w:before="105" w:line="210" w:lineRule="auto"/>
              <w:ind w:left="272"/>
            </w:pPr>
            <w:r>
              <w:rPr>
                <w:spacing w:val="-3"/>
              </w:rPr>
              <w:t>6.99</w:t>
            </w:r>
          </w:p>
        </w:tc>
        <w:tc>
          <w:tcPr>
            <w:tcW w:w="891" w:type="dxa"/>
            <w:vAlign w:val="top"/>
          </w:tcPr>
          <w:p w14:paraId="3B97A0AE">
            <w:pPr>
              <w:pStyle w:val="6"/>
              <w:spacing w:before="105" w:line="210" w:lineRule="auto"/>
              <w:ind w:left="274"/>
            </w:pPr>
            <w:r>
              <w:rPr>
                <w:spacing w:val="-2"/>
              </w:rPr>
              <w:t>0.20</w:t>
            </w:r>
          </w:p>
        </w:tc>
        <w:tc>
          <w:tcPr>
            <w:tcW w:w="906" w:type="dxa"/>
            <w:tcBorders>
              <w:right w:val="single" w:color="000000" w:sz="12" w:space="0"/>
            </w:tcBorders>
            <w:vAlign w:val="top"/>
          </w:tcPr>
          <w:p w14:paraId="351E1799">
            <w:pPr>
              <w:pStyle w:val="6"/>
              <w:spacing w:before="105" w:line="210" w:lineRule="auto"/>
              <w:ind w:left="277"/>
            </w:pPr>
            <w:r>
              <w:rPr>
                <w:spacing w:val="-2"/>
              </w:rPr>
              <w:t>0.08</w:t>
            </w:r>
          </w:p>
        </w:tc>
      </w:tr>
      <w:tr w14:paraId="7EA6A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925DDFF">
            <w:pPr>
              <w:rPr>
                <w:rFonts w:ascii="Arial"/>
                <w:sz w:val="21"/>
              </w:rPr>
            </w:pPr>
          </w:p>
        </w:tc>
        <w:tc>
          <w:tcPr>
            <w:tcW w:w="423" w:type="dxa"/>
            <w:vMerge w:val="restart"/>
            <w:tcBorders>
              <w:bottom w:val="nil"/>
            </w:tcBorders>
            <w:vAlign w:val="top"/>
          </w:tcPr>
          <w:p w14:paraId="53473EDF">
            <w:pPr>
              <w:pStyle w:val="6"/>
              <w:spacing w:before="168" w:line="222" w:lineRule="auto"/>
              <w:ind w:left="147"/>
            </w:pPr>
            <w:r>
              <w:t>4</w:t>
            </w:r>
          </w:p>
          <w:p w14:paraId="5C5D20C0">
            <w:pPr>
              <w:spacing w:line="219" w:lineRule="auto"/>
              <w:ind w:left="100"/>
              <w:rPr>
                <w:rFonts w:ascii="宋体" w:hAnsi="宋体" w:eastAsia="宋体" w:cs="宋体"/>
                <w:sz w:val="21"/>
                <w:szCs w:val="21"/>
              </w:rPr>
            </w:pPr>
            <w:r>
              <w:rPr>
                <w:rFonts w:ascii="宋体" w:hAnsi="宋体" w:eastAsia="宋体" w:cs="宋体"/>
                <w:sz w:val="21"/>
                <w:szCs w:val="21"/>
              </w:rPr>
              <w:t>季</w:t>
            </w:r>
          </w:p>
          <w:p w14:paraId="0FFF86C5">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17EE11F1">
            <w:pPr>
              <w:pStyle w:val="6"/>
              <w:spacing w:before="105" w:line="208" w:lineRule="auto"/>
              <w:ind w:left="343"/>
            </w:pPr>
            <w:r>
              <w:rPr>
                <w:spacing w:val="-1"/>
              </w:rPr>
              <w:t>2019/11/9</w:t>
            </w:r>
          </w:p>
        </w:tc>
        <w:tc>
          <w:tcPr>
            <w:tcW w:w="892" w:type="dxa"/>
            <w:vAlign w:val="top"/>
          </w:tcPr>
          <w:p w14:paraId="2EF98E6B">
            <w:pPr>
              <w:pStyle w:val="6"/>
              <w:spacing w:before="105" w:line="208" w:lineRule="auto"/>
              <w:ind w:left="341"/>
            </w:pPr>
            <w:r>
              <w:rPr>
                <w:spacing w:val="-3"/>
              </w:rPr>
              <w:t>32</w:t>
            </w:r>
          </w:p>
        </w:tc>
        <w:tc>
          <w:tcPr>
            <w:tcW w:w="892" w:type="dxa"/>
            <w:vAlign w:val="top"/>
          </w:tcPr>
          <w:p w14:paraId="611343A3">
            <w:pPr>
              <w:pStyle w:val="6"/>
              <w:spacing w:before="105" w:line="208" w:lineRule="auto"/>
              <w:ind w:left="340"/>
            </w:pPr>
            <w:r>
              <w:rPr>
                <w:spacing w:val="-1"/>
              </w:rPr>
              <w:t>28</w:t>
            </w:r>
          </w:p>
        </w:tc>
        <w:tc>
          <w:tcPr>
            <w:tcW w:w="892" w:type="dxa"/>
            <w:vAlign w:val="top"/>
          </w:tcPr>
          <w:p w14:paraId="5C1B4990">
            <w:pPr>
              <w:pStyle w:val="6"/>
              <w:spacing w:before="105" w:line="208" w:lineRule="auto"/>
              <w:ind w:left="269"/>
            </w:pPr>
            <w:r>
              <w:rPr>
                <w:spacing w:val="-3"/>
              </w:rPr>
              <w:t>6.52</w:t>
            </w:r>
          </w:p>
        </w:tc>
        <w:tc>
          <w:tcPr>
            <w:tcW w:w="892" w:type="dxa"/>
            <w:vAlign w:val="top"/>
          </w:tcPr>
          <w:p w14:paraId="42127FCA">
            <w:pPr>
              <w:pStyle w:val="6"/>
              <w:spacing w:before="105" w:line="208" w:lineRule="auto"/>
              <w:ind w:left="276"/>
            </w:pPr>
            <w:r>
              <w:rPr>
                <w:spacing w:val="-4"/>
              </w:rPr>
              <w:t>8.55</w:t>
            </w:r>
          </w:p>
        </w:tc>
        <w:tc>
          <w:tcPr>
            <w:tcW w:w="891" w:type="dxa"/>
            <w:vAlign w:val="top"/>
          </w:tcPr>
          <w:p w14:paraId="5C4963F7">
            <w:pPr>
              <w:pStyle w:val="6"/>
              <w:spacing w:before="105" w:line="208" w:lineRule="auto"/>
              <w:ind w:left="274"/>
            </w:pPr>
            <w:r>
              <w:rPr>
                <w:spacing w:val="-2"/>
              </w:rPr>
              <w:t>0.21</w:t>
            </w:r>
          </w:p>
        </w:tc>
        <w:tc>
          <w:tcPr>
            <w:tcW w:w="906" w:type="dxa"/>
            <w:tcBorders>
              <w:right w:val="single" w:color="000000" w:sz="12" w:space="0"/>
            </w:tcBorders>
            <w:vAlign w:val="top"/>
          </w:tcPr>
          <w:p w14:paraId="59447FE7">
            <w:pPr>
              <w:pStyle w:val="6"/>
              <w:spacing w:before="105" w:line="208" w:lineRule="auto"/>
              <w:ind w:left="277"/>
            </w:pPr>
            <w:r>
              <w:rPr>
                <w:spacing w:val="-2"/>
              </w:rPr>
              <w:t>0.14</w:t>
            </w:r>
          </w:p>
        </w:tc>
      </w:tr>
      <w:tr w14:paraId="63A64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1B1CF3F7">
            <w:pPr>
              <w:rPr>
                <w:rFonts w:ascii="Arial"/>
                <w:sz w:val="21"/>
              </w:rPr>
            </w:pPr>
          </w:p>
        </w:tc>
        <w:tc>
          <w:tcPr>
            <w:tcW w:w="423" w:type="dxa"/>
            <w:vMerge w:val="continue"/>
            <w:tcBorders>
              <w:top w:val="nil"/>
              <w:bottom w:val="nil"/>
            </w:tcBorders>
            <w:vAlign w:val="top"/>
          </w:tcPr>
          <w:p w14:paraId="502EDD8A">
            <w:pPr>
              <w:rPr>
                <w:rFonts w:ascii="Arial"/>
                <w:sz w:val="21"/>
              </w:rPr>
            </w:pPr>
          </w:p>
        </w:tc>
        <w:tc>
          <w:tcPr>
            <w:tcW w:w="1554" w:type="dxa"/>
            <w:vAlign w:val="top"/>
          </w:tcPr>
          <w:p w14:paraId="7E43D665">
            <w:pPr>
              <w:pStyle w:val="6"/>
              <w:spacing w:before="106" w:line="209" w:lineRule="auto"/>
              <w:ind w:left="290"/>
            </w:pPr>
            <w:r>
              <w:rPr>
                <w:spacing w:val="-1"/>
              </w:rPr>
              <w:t>2019/11/10</w:t>
            </w:r>
          </w:p>
        </w:tc>
        <w:tc>
          <w:tcPr>
            <w:tcW w:w="892" w:type="dxa"/>
            <w:vAlign w:val="top"/>
          </w:tcPr>
          <w:p w14:paraId="42D48569">
            <w:pPr>
              <w:pStyle w:val="6"/>
              <w:spacing w:before="106" w:line="209" w:lineRule="auto"/>
              <w:ind w:left="341"/>
            </w:pPr>
            <w:r>
              <w:rPr>
                <w:spacing w:val="-3"/>
              </w:rPr>
              <w:t>39</w:t>
            </w:r>
          </w:p>
        </w:tc>
        <w:tc>
          <w:tcPr>
            <w:tcW w:w="892" w:type="dxa"/>
            <w:vAlign w:val="top"/>
          </w:tcPr>
          <w:p w14:paraId="1726AF33">
            <w:pPr>
              <w:pStyle w:val="6"/>
              <w:spacing w:before="106" w:line="209" w:lineRule="auto"/>
              <w:ind w:left="345"/>
            </w:pPr>
            <w:r>
              <w:rPr>
                <w:spacing w:val="-3"/>
              </w:rPr>
              <w:t>30</w:t>
            </w:r>
          </w:p>
        </w:tc>
        <w:tc>
          <w:tcPr>
            <w:tcW w:w="892" w:type="dxa"/>
            <w:vAlign w:val="top"/>
          </w:tcPr>
          <w:p w14:paraId="77E8A236">
            <w:pPr>
              <w:pStyle w:val="6"/>
              <w:spacing w:before="106" w:line="209" w:lineRule="auto"/>
              <w:ind w:left="269"/>
            </w:pPr>
            <w:r>
              <w:rPr>
                <w:spacing w:val="-3"/>
              </w:rPr>
              <w:t>6.51</w:t>
            </w:r>
          </w:p>
        </w:tc>
        <w:tc>
          <w:tcPr>
            <w:tcW w:w="892" w:type="dxa"/>
            <w:vAlign w:val="top"/>
          </w:tcPr>
          <w:p w14:paraId="5CEB6051">
            <w:pPr>
              <w:pStyle w:val="6"/>
              <w:spacing w:before="106" w:line="209" w:lineRule="auto"/>
              <w:ind w:left="276"/>
            </w:pPr>
            <w:r>
              <w:rPr>
                <w:spacing w:val="-4"/>
              </w:rPr>
              <w:t>8.51</w:t>
            </w:r>
          </w:p>
        </w:tc>
        <w:tc>
          <w:tcPr>
            <w:tcW w:w="891" w:type="dxa"/>
            <w:vAlign w:val="top"/>
          </w:tcPr>
          <w:p w14:paraId="7BBE9455">
            <w:pPr>
              <w:pStyle w:val="6"/>
              <w:spacing w:before="106" w:line="209" w:lineRule="auto"/>
              <w:ind w:left="274"/>
            </w:pPr>
            <w:r>
              <w:rPr>
                <w:spacing w:val="-2"/>
              </w:rPr>
              <w:t>0.21</w:t>
            </w:r>
          </w:p>
        </w:tc>
        <w:tc>
          <w:tcPr>
            <w:tcW w:w="906" w:type="dxa"/>
            <w:tcBorders>
              <w:right w:val="single" w:color="000000" w:sz="12" w:space="0"/>
            </w:tcBorders>
            <w:vAlign w:val="top"/>
          </w:tcPr>
          <w:p w14:paraId="23091A0F">
            <w:pPr>
              <w:pStyle w:val="6"/>
              <w:spacing w:before="106" w:line="209" w:lineRule="auto"/>
              <w:ind w:left="277"/>
            </w:pPr>
            <w:r>
              <w:rPr>
                <w:spacing w:val="-2"/>
              </w:rPr>
              <w:t>0.14</w:t>
            </w:r>
          </w:p>
        </w:tc>
      </w:tr>
      <w:tr w14:paraId="3A974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tcBorders>
            <w:vAlign w:val="top"/>
          </w:tcPr>
          <w:p w14:paraId="77D57B2A">
            <w:pPr>
              <w:rPr>
                <w:rFonts w:ascii="Arial"/>
                <w:sz w:val="21"/>
              </w:rPr>
            </w:pPr>
          </w:p>
        </w:tc>
        <w:tc>
          <w:tcPr>
            <w:tcW w:w="423" w:type="dxa"/>
            <w:vMerge w:val="continue"/>
            <w:tcBorders>
              <w:top w:val="nil"/>
            </w:tcBorders>
            <w:vAlign w:val="top"/>
          </w:tcPr>
          <w:p w14:paraId="5F00135D">
            <w:pPr>
              <w:rPr>
                <w:rFonts w:ascii="Arial"/>
                <w:sz w:val="21"/>
              </w:rPr>
            </w:pPr>
          </w:p>
        </w:tc>
        <w:tc>
          <w:tcPr>
            <w:tcW w:w="1554" w:type="dxa"/>
            <w:vAlign w:val="top"/>
          </w:tcPr>
          <w:p w14:paraId="171F9AE7">
            <w:pPr>
              <w:pStyle w:val="6"/>
              <w:spacing w:before="105" w:line="208" w:lineRule="auto"/>
              <w:ind w:left="290"/>
            </w:pPr>
            <w:r>
              <w:rPr>
                <w:spacing w:val="-1"/>
              </w:rPr>
              <w:t>2019/11/11</w:t>
            </w:r>
          </w:p>
        </w:tc>
        <w:tc>
          <w:tcPr>
            <w:tcW w:w="892" w:type="dxa"/>
            <w:vAlign w:val="top"/>
          </w:tcPr>
          <w:p w14:paraId="4AEF8CE3">
            <w:pPr>
              <w:pStyle w:val="6"/>
              <w:spacing w:before="105" w:line="208" w:lineRule="auto"/>
              <w:ind w:left="341"/>
            </w:pPr>
            <w:r>
              <w:rPr>
                <w:spacing w:val="-3"/>
              </w:rPr>
              <w:t>36</w:t>
            </w:r>
          </w:p>
        </w:tc>
        <w:tc>
          <w:tcPr>
            <w:tcW w:w="892" w:type="dxa"/>
            <w:vAlign w:val="top"/>
          </w:tcPr>
          <w:p w14:paraId="7EBD3B92">
            <w:pPr>
              <w:pStyle w:val="6"/>
              <w:spacing w:before="105" w:line="208" w:lineRule="auto"/>
              <w:ind w:left="340"/>
            </w:pPr>
            <w:r>
              <w:rPr>
                <w:spacing w:val="-1"/>
              </w:rPr>
              <w:t>25</w:t>
            </w:r>
          </w:p>
        </w:tc>
        <w:tc>
          <w:tcPr>
            <w:tcW w:w="892" w:type="dxa"/>
            <w:vAlign w:val="top"/>
          </w:tcPr>
          <w:p w14:paraId="52491B50">
            <w:pPr>
              <w:pStyle w:val="6"/>
              <w:spacing w:before="105" w:line="208" w:lineRule="auto"/>
              <w:ind w:left="269"/>
            </w:pPr>
            <w:r>
              <w:rPr>
                <w:spacing w:val="-3"/>
              </w:rPr>
              <w:t>6.56</w:t>
            </w:r>
          </w:p>
        </w:tc>
        <w:tc>
          <w:tcPr>
            <w:tcW w:w="892" w:type="dxa"/>
            <w:vAlign w:val="top"/>
          </w:tcPr>
          <w:p w14:paraId="743E0133">
            <w:pPr>
              <w:pStyle w:val="6"/>
              <w:spacing w:before="105" w:line="208" w:lineRule="auto"/>
              <w:ind w:left="276"/>
            </w:pPr>
            <w:r>
              <w:rPr>
                <w:spacing w:val="-4"/>
              </w:rPr>
              <w:t>8.54</w:t>
            </w:r>
          </w:p>
        </w:tc>
        <w:tc>
          <w:tcPr>
            <w:tcW w:w="891" w:type="dxa"/>
            <w:vAlign w:val="top"/>
          </w:tcPr>
          <w:p w14:paraId="05B8FAB4">
            <w:pPr>
              <w:pStyle w:val="6"/>
              <w:spacing w:before="105" w:line="208" w:lineRule="auto"/>
              <w:ind w:left="274"/>
            </w:pPr>
            <w:r>
              <w:rPr>
                <w:spacing w:val="-2"/>
              </w:rPr>
              <w:t>0.20</w:t>
            </w:r>
          </w:p>
        </w:tc>
        <w:tc>
          <w:tcPr>
            <w:tcW w:w="906" w:type="dxa"/>
            <w:tcBorders>
              <w:right w:val="single" w:color="000000" w:sz="12" w:space="0"/>
            </w:tcBorders>
            <w:vAlign w:val="top"/>
          </w:tcPr>
          <w:p w14:paraId="63AC5549">
            <w:pPr>
              <w:pStyle w:val="6"/>
              <w:spacing w:before="105" w:line="208" w:lineRule="auto"/>
              <w:ind w:left="277"/>
            </w:pPr>
            <w:r>
              <w:rPr>
                <w:spacing w:val="-2"/>
              </w:rPr>
              <w:t>0.13</w:t>
            </w:r>
          </w:p>
        </w:tc>
      </w:tr>
      <w:tr w14:paraId="7CAD2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restart"/>
            <w:tcBorders>
              <w:left w:val="single" w:color="000000" w:sz="12" w:space="0"/>
              <w:bottom w:val="nil"/>
            </w:tcBorders>
            <w:vAlign w:val="top"/>
          </w:tcPr>
          <w:p w14:paraId="3E632A25">
            <w:pPr>
              <w:spacing w:line="246" w:lineRule="auto"/>
              <w:rPr>
                <w:rFonts w:ascii="Arial"/>
                <w:sz w:val="21"/>
              </w:rPr>
            </w:pPr>
          </w:p>
          <w:p w14:paraId="2113925C">
            <w:pPr>
              <w:spacing w:line="246" w:lineRule="auto"/>
              <w:rPr>
                <w:rFonts w:ascii="Arial"/>
                <w:sz w:val="21"/>
              </w:rPr>
            </w:pPr>
          </w:p>
          <w:p w14:paraId="7B5772C9">
            <w:pPr>
              <w:spacing w:line="246" w:lineRule="auto"/>
              <w:rPr>
                <w:rFonts w:ascii="Arial"/>
                <w:sz w:val="21"/>
              </w:rPr>
            </w:pPr>
          </w:p>
          <w:p w14:paraId="78EB9B42">
            <w:pPr>
              <w:spacing w:line="246" w:lineRule="auto"/>
              <w:rPr>
                <w:rFonts w:ascii="Arial"/>
                <w:sz w:val="21"/>
              </w:rPr>
            </w:pPr>
          </w:p>
          <w:p w14:paraId="79135FFA">
            <w:pPr>
              <w:spacing w:line="246" w:lineRule="auto"/>
              <w:rPr>
                <w:rFonts w:ascii="Arial"/>
                <w:sz w:val="21"/>
              </w:rPr>
            </w:pPr>
          </w:p>
          <w:p w14:paraId="3018B440">
            <w:pPr>
              <w:spacing w:line="246" w:lineRule="auto"/>
              <w:rPr>
                <w:rFonts w:ascii="Arial"/>
                <w:sz w:val="21"/>
              </w:rPr>
            </w:pPr>
          </w:p>
          <w:p w14:paraId="04218CA4">
            <w:pPr>
              <w:spacing w:line="246" w:lineRule="auto"/>
              <w:rPr>
                <w:rFonts w:ascii="Arial"/>
                <w:sz w:val="21"/>
              </w:rPr>
            </w:pPr>
          </w:p>
          <w:p w14:paraId="20EA8A57">
            <w:pPr>
              <w:pStyle w:val="6"/>
              <w:spacing w:before="69" w:line="235" w:lineRule="auto"/>
              <w:ind w:left="96"/>
              <w:rPr>
                <w:rFonts w:ascii="宋体" w:hAnsi="宋体" w:eastAsia="宋体" w:cs="宋体"/>
              </w:rPr>
            </w:pPr>
            <w:r>
              <w:rPr>
                <w:spacing w:val="-4"/>
              </w:rPr>
              <w:t>10#</w:t>
            </w:r>
            <w:r>
              <w:rPr>
                <w:rFonts w:ascii="宋体" w:hAnsi="宋体" w:eastAsia="宋体" w:cs="宋体"/>
                <w:spacing w:val="-4"/>
              </w:rPr>
              <w:t>隧洞排</w:t>
            </w:r>
          </w:p>
          <w:p w14:paraId="708D7984">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15147AA1">
            <w:pPr>
              <w:spacing w:before="21"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5089FA9D">
            <w:pPr>
              <w:pStyle w:val="6"/>
              <w:spacing w:before="171" w:line="222" w:lineRule="auto"/>
              <w:ind w:left="168"/>
            </w:pPr>
            <w:r>
              <w:t>1</w:t>
            </w:r>
          </w:p>
          <w:p w14:paraId="057BC4F3">
            <w:pPr>
              <w:spacing w:line="219" w:lineRule="auto"/>
              <w:ind w:left="100"/>
              <w:rPr>
                <w:rFonts w:ascii="宋体" w:hAnsi="宋体" w:eastAsia="宋体" w:cs="宋体"/>
                <w:sz w:val="21"/>
                <w:szCs w:val="21"/>
              </w:rPr>
            </w:pPr>
            <w:r>
              <w:rPr>
                <w:rFonts w:ascii="宋体" w:hAnsi="宋体" w:eastAsia="宋体" w:cs="宋体"/>
                <w:sz w:val="21"/>
                <w:szCs w:val="21"/>
              </w:rPr>
              <w:t>季</w:t>
            </w:r>
          </w:p>
          <w:p w14:paraId="23480CD5">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31160AB">
            <w:pPr>
              <w:pStyle w:val="6"/>
              <w:spacing w:before="107" w:line="206" w:lineRule="auto"/>
              <w:ind w:left="343"/>
            </w:pPr>
            <w:r>
              <w:rPr>
                <w:spacing w:val="-1"/>
              </w:rPr>
              <w:t>2019/1/15</w:t>
            </w:r>
          </w:p>
        </w:tc>
        <w:tc>
          <w:tcPr>
            <w:tcW w:w="892" w:type="dxa"/>
            <w:vAlign w:val="top"/>
          </w:tcPr>
          <w:p w14:paraId="3DA90D6E">
            <w:pPr>
              <w:pStyle w:val="6"/>
              <w:spacing w:before="107" w:line="206" w:lineRule="auto"/>
              <w:ind w:left="341"/>
            </w:pPr>
            <w:r>
              <w:rPr>
                <w:spacing w:val="-2"/>
              </w:rPr>
              <w:t>93</w:t>
            </w:r>
          </w:p>
        </w:tc>
        <w:tc>
          <w:tcPr>
            <w:tcW w:w="892" w:type="dxa"/>
            <w:vAlign w:val="top"/>
          </w:tcPr>
          <w:p w14:paraId="2BEA2310">
            <w:pPr>
              <w:pStyle w:val="6"/>
              <w:spacing w:before="107" w:line="206" w:lineRule="auto"/>
              <w:ind w:left="398"/>
            </w:pPr>
            <w:r>
              <w:t>6</w:t>
            </w:r>
          </w:p>
        </w:tc>
        <w:tc>
          <w:tcPr>
            <w:tcW w:w="892" w:type="dxa"/>
            <w:vAlign w:val="top"/>
          </w:tcPr>
          <w:p w14:paraId="7F67035F">
            <w:pPr>
              <w:pStyle w:val="6"/>
              <w:spacing w:before="107" w:line="206" w:lineRule="auto"/>
              <w:ind w:left="269"/>
            </w:pPr>
            <w:r>
              <w:rPr>
                <w:spacing w:val="-3"/>
              </w:rPr>
              <w:t>6.40</w:t>
            </w:r>
          </w:p>
        </w:tc>
        <w:tc>
          <w:tcPr>
            <w:tcW w:w="892" w:type="dxa"/>
            <w:vAlign w:val="top"/>
          </w:tcPr>
          <w:p w14:paraId="3C87AB61">
            <w:pPr>
              <w:pStyle w:val="6"/>
              <w:spacing w:before="107" w:line="206" w:lineRule="auto"/>
              <w:ind w:left="271"/>
            </w:pPr>
            <w:r>
              <w:rPr>
                <w:spacing w:val="-2"/>
              </w:rPr>
              <w:t>7.05</w:t>
            </w:r>
          </w:p>
        </w:tc>
        <w:tc>
          <w:tcPr>
            <w:tcW w:w="891" w:type="dxa"/>
            <w:vAlign w:val="top"/>
          </w:tcPr>
          <w:p w14:paraId="7A22EDFB">
            <w:pPr>
              <w:pStyle w:val="6"/>
              <w:spacing w:before="107" w:line="206" w:lineRule="auto"/>
              <w:ind w:left="274"/>
            </w:pPr>
            <w:r>
              <w:rPr>
                <w:spacing w:val="-2"/>
              </w:rPr>
              <w:t>0.08</w:t>
            </w:r>
          </w:p>
        </w:tc>
        <w:tc>
          <w:tcPr>
            <w:tcW w:w="906" w:type="dxa"/>
            <w:tcBorders>
              <w:right w:val="single" w:color="000000" w:sz="12" w:space="0"/>
            </w:tcBorders>
            <w:vAlign w:val="top"/>
          </w:tcPr>
          <w:p w14:paraId="265403BF">
            <w:pPr>
              <w:pStyle w:val="6"/>
              <w:spacing w:before="107" w:line="206" w:lineRule="auto"/>
              <w:ind w:left="214"/>
            </w:pPr>
            <w:r>
              <w:rPr>
                <w:spacing w:val="-2"/>
              </w:rPr>
              <w:t>0.06L</w:t>
            </w:r>
          </w:p>
        </w:tc>
      </w:tr>
      <w:tr w14:paraId="5DCC7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4F5AE588">
            <w:pPr>
              <w:rPr>
                <w:rFonts w:ascii="Arial"/>
                <w:sz w:val="21"/>
              </w:rPr>
            </w:pPr>
          </w:p>
        </w:tc>
        <w:tc>
          <w:tcPr>
            <w:tcW w:w="423" w:type="dxa"/>
            <w:vMerge w:val="continue"/>
            <w:tcBorders>
              <w:top w:val="nil"/>
              <w:bottom w:val="nil"/>
            </w:tcBorders>
            <w:vAlign w:val="top"/>
          </w:tcPr>
          <w:p w14:paraId="78EDD3EB">
            <w:pPr>
              <w:rPr>
                <w:rFonts w:ascii="Arial"/>
                <w:sz w:val="21"/>
              </w:rPr>
            </w:pPr>
          </w:p>
        </w:tc>
        <w:tc>
          <w:tcPr>
            <w:tcW w:w="1554" w:type="dxa"/>
            <w:vAlign w:val="top"/>
          </w:tcPr>
          <w:p w14:paraId="4B4C8DD1">
            <w:pPr>
              <w:pStyle w:val="6"/>
              <w:spacing w:before="108" w:line="207" w:lineRule="auto"/>
              <w:ind w:left="343"/>
            </w:pPr>
            <w:r>
              <w:rPr>
                <w:spacing w:val="-1"/>
              </w:rPr>
              <w:t>2019/1/16</w:t>
            </w:r>
          </w:p>
        </w:tc>
        <w:tc>
          <w:tcPr>
            <w:tcW w:w="892" w:type="dxa"/>
            <w:vAlign w:val="top"/>
          </w:tcPr>
          <w:p w14:paraId="6272DE05">
            <w:pPr>
              <w:pStyle w:val="6"/>
              <w:spacing w:before="108" w:line="207" w:lineRule="auto"/>
              <w:ind w:left="341"/>
            </w:pPr>
            <w:r>
              <w:rPr>
                <w:spacing w:val="-2"/>
              </w:rPr>
              <w:t>97</w:t>
            </w:r>
          </w:p>
        </w:tc>
        <w:tc>
          <w:tcPr>
            <w:tcW w:w="892" w:type="dxa"/>
            <w:vAlign w:val="top"/>
          </w:tcPr>
          <w:p w14:paraId="747EDB6C">
            <w:pPr>
              <w:pStyle w:val="6"/>
              <w:spacing w:before="108" w:line="207" w:lineRule="auto"/>
              <w:ind w:left="396"/>
            </w:pPr>
            <w:r>
              <w:t>7</w:t>
            </w:r>
          </w:p>
        </w:tc>
        <w:tc>
          <w:tcPr>
            <w:tcW w:w="892" w:type="dxa"/>
            <w:vAlign w:val="top"/>
          </w:tcPr>
          <w:p w14:paraId="21D2E734">
            <w:pPr>
              <w:pStyle w:val="6"/>
              <w:spacing w:before="108" w:line="207" w:lineRule="auto"/>
              <w:ind w:left="269"/>
            </w:pPr>
            <w:r>
              <w:rPr>
                <w:spacing w:val="-3"/>
              </w:rPr>
              <w:t>6.48</w:t>
            </w:r>
          </w:p>
        </w:tc>
        <w:tc>
          <w:tcPr>
            <w:tcW w:w="892" w:type="dxa"/>
            <w:vAlign w:val="top"/>
          </w:tcPr>
          <w:p w14:paraId="65FA517B">
            <w:pPr>
              <w:pStyle w:val="6"/>
              <w:spacing w:before="108" w:line="207" w:lineRule="auto"/>
              <w:ind w:left="271"/>
            </w:pPr>
            <w:r>
              <w:rPr>
                <w:spacing w:val="-2"/>
              </w:rPr>
              <w:t>7.14</w:t>
            </w:r>
          </w:p>
        </w:tc>
        <w:tc>
          <w:tcPr>
            <w:tcW w:w="891" w:type="dxa"/>
            <w:vAlign w:val="top"/>
          </w:tcPr>
          <w:p w14:paraId="2C63E831">
            <w:pPr>
              <w:pStyle w:val="6"/>
              <w:spacing w:before="108" w:line="207" w:lineRule="auto"/>
              <w:ind w:left="274"/>
            </w:pPr>
            <w:r>
              <w:rPr>
                <w:spacing w:val="-2"/>
              </w:rPr>
              <w:t>0.09</w:t>
            </w:r>
          </w:p>
        </w:tc>
        <w:tc>
          <w:tcPr>
            <w:tcW w:w="906" w:type="dxa"/>
            <w:tcBorders>
              <w:right w:val="single" w:color="000000" w:sz="12" w:space="0"/>
            </w:tcBorders>
            <w:vAlign w:val="top"/>
          </w:tcPr>
          <w:p w14:paraId="250B7A5A">
            <w:pPr>
              <w:pStyle w:val="6"/>
              <w:spacing w:before="108" w:line="207" w:lineRule="auto"/>
              <w:ind w:left="214"/>
            </w:pPr>
            <w:r>
              <w:rPr>
                <w:spacing w:val="-2"/>
              </w:rPr>
              <w:t>0.06L</w:t>
            </w:r>
          </w:p>
        </w:tc>
      </w:tr>
      <w:tr w14:paraId="13A54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CE068FE">
            <w:pPr>
              <w:rPr>
                <w:rFonts w:ascii="Arial"/>
                <w:sz w:val="21"/>
              </w:rPr>
            </w:pPr>
          </w:p>
        </w:tc>
        <w:tc>
          <w:tcPr>
            <w:tcW w:w="423" w:type="dxa"/>
            <w:vMerge w:val="continue"/>
            <w:tcBorders>
              <w:top w:val="nil"/>
            </w:tcBorders>
            <w:vAlign w:val="top"/>
          </w:tcPr>
          <w:p w14:paraId="21BEAFAC">
            <w:pPr>
              <w:rPr>
                <w:rFonts w:ascii="Arial"/>
                <w:sz w:val="21"/>
              </w:rPr>
            </w:pPr>
          </w:p>
        </w:tc>
        <w:tc>
          <w:tcPr>
            <w:tcW w:w="1554" w:type="dxa"/>
            <w:vAlign w:val="top"/>
          </w:tcPr>
          <w:p w14:paraId="0033F134">
            <w:pPr>
              <w:pStyle w:val="6"/>
              <w:spacing w:before="108" w:line="205" w:lineRule="auto"/>
              <w:ind w:left="343"/>
            </w:pPr>
            <w:r>
              <w:rPr>
                <w:spacing w:val="-1"/>
              </w:rPr>
              <w:t>2019/1/17</w:t>
            </w:r>
          </w:p>
        </w:tc>
        <w:tc>
          <w:tcPr>
            <w:tcW w:w="892" w:type="dxa"/>
            <w:vAlign w:val="top"/>
          </w:tcPr>
          <w:p w14:paraId="3849321B">
            <w:pPr>
              <w:pStyle w:val="6"/>
              <w:spacing w:before="108" w:line="205" w:lineRule="auto"/>
              <w:ind w:left="341"/>
            </w:pPr>
            <w:r>
              <w:rPr>
                <w:spacing w:val="-2"/>
              </w:rPr>
              <w:t>95</w:t>
            </w:r>
          </w:p>
        </w:tc>
        <w:tc>
          <w:tcPr>
            <w:tcW w:w="892" w:type="dxa"/>
            <w:vAlign w:val="top"/>
          </w:tcPr>
          <w:p w14:paraId="383DB676">
            <w:pPr>
              <w:pStyle w:val="6"/>
              <w:spacing w:before="108" w:line="205" w:lineRule="auto"/>
              <w:ind w:left="398"/>
            </w:pPr>
            <w:r>
              <w:t>6</w:t>
            </w:r>
          </w:p>
        </w:tc>
        <w:tc>
          <w:tcPr>
            <w:tcW w:w="892" w:type="dxa"/>
            <w:vAlign w:val="top"/>
          </w:tcPr>
          <w:p w14:paraId="59196478">
            <w:pPr>
              <w:pStyle w:val="6"/>
              <w:spacing w:before="108" w:line="205" w:lineRule="auto"/>
              <w:ind w:left="269"/>
            </w:pPr>
            <w:r>
              <w:rPr>
                <w:spacing w:val="-3"/>
              </w:rPr>
              <w:t>6.39</w:t>
            </w:r>
          </w:p>
        </w:tc>
        <w:tc>
          <w:tcPr>
            <w:tcW w:w="892" w:type="dxa"/>
            <w:vAlign w:val="top"/>
          </w:tcPr>
          <w:p w14:paraId="5CFA4811">
            <w:pPr>
              <w:pStyle w:val="6"/>
              <w:spacing w:before="108" w:line="205" w:lineRule="auto"/>
              <w:ind w:left="271"/>
            </w:pPr>
            <w:r>
              <w:rPr>
                <w:spacing w:val="-2"/>
              </w:rPr>
              <w:t>7.21</w:t>
            </w:r>
          </w:p>
        </w:tc>
        <w:tc>
          <w:tcPr>
            <w:tcW w:w="891" w:type="dxa"/>
            <w:vAlign w:val="top"/>
          </w:tcPr>
          <w:p w14:paraId="4118A963">
            <w:pPr>
              <w:pStyle w:val="6"/>
              <w:spacing w:before="108" w:line="205" w:lineRule="auto"/>
              <w:ind w:left="274"/>
            </w:pPr>
            <w:r>
              <w:rPr>
                <w:spacing w:val="-2"/>
              </w:rPr>
              <w:t>0.07</w:t>
            </w:r>
          </w:p>
        </w:tc>
        <w:tc>
          <w:tcPr>
            <w:tcW w:w="906" w:type="dxa"/>
            <w:tcBorders>
              <w:right w:val="single" w:color="000000" w:sz="12" w:space="0"/>
            </w:tcBorders>
            <w:vAlign w:val="top"/>
          </w:tcPr>
          <w:p w14:paraId="67DCF493">
            <w:pPr>
              <w:pStyle w:val="6"/>
              <w:spacing w:before="108" w:line="205" w:lineRule="auto"/>
              <w:ind w:left="277"/>
            </w:pPr>
            <w:r>
              <w:rPr>
                <w:spacing w:val="-2"/>
              </w:rPr>
              <w:t>0.06</w:t>
            </w:r>
          </w:p>
        </w:tc>
      </w:tr>
      <w:tr w14:paraId="51D00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3454D19B">
            <w:pPr>
              <w:rPr>
                <w:rFonts w:ascii="Arial"/>
                <w:sz w:val="21"/>
              </w:rPr>
            </w:pPr>
          </w:p>
        </w:tc>
        <w:tc>
          <w:tcPr>
            <w:tcW w:w="423" w:type="dxa"/>
            <w:vMerge w:val="restart"/>
            <w:tcBorders>
              <w:bottom w:val="nil"/>
            </w:tcBorders>
            <w:vAlign w:val="top"/>
          </w:tcPr>
          <w:p w14:paraId="1A3601DD">
            <w:pPr>
              <w:pStyle w:val="6"/>
              <w:spacing w:before="173" w:line="223" w:lineRule="auto"/>
              <w:ind w:left="148"/>
            </w:pPr>
            <w:r>
              <w:t>2</w:t>
            </w:r>
          </w:p>
          <w:p w14:paraId="410F891E">
            <w:pPr>
              <w:spacing w:line="219" w:lineRule="auto"/>
              <w:ind w:left="100"/>
              <w:rPr>
                <w:rFonts w:ascii="宋体" w:hAnsi="宋体" w:eastAsia="宋体" w:cs="宋体"/>
                <w:sz w:val="21"/>
                <w:szCs w:val="21"/>
              </w:rPr>
            </w:pPr>
            <w:r>
              <w:rPr>
                <w:rFonts w:ascii="宋体" w:hAnsi="宋体" w:eastAsia="宋体" w:cs="宋体"/>
                <w:sz w:val="21"/>
                <w:szCs w:val="21"/>
              </w:rPr>
              <w:t>季</w:t>
            </w:r>
          </w:p>
          <w:p w14:paraId="5ABD1DE4">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E040444">
            <w:pPr>
              <w:pStyle w:val="6"/>
              <w:spacing w:before="109" w:line="206" w:lineRule="auto"/>
              <w:ind w:left="343"/>
            </w:pPr>
            <w:r>
              <w:rPr>
                <w:spacing w:val="-1"/>
              </w:rPr>
              <w:t>2019/5/10</w:t>
            </w:r>
          </w:p>
        </w:tc>
        <w:tc>
          <w:tcPr>
            <w:tcW w:w="892" w:type="dxa"/>
            <w:vAlign w:val="top"/>
          </w:tcPr>
          <w:p w14:paraId="3B0D46D4">
            <w:pPr>
              <w:pStyle w:val="6"/>
              <w:spacing w:before="109" w:line="206" w:lineRule="auto"/>
              <w:ind w:left="357"/>
            </w:pPr>
            <w:r>
              <w:rPr>
                <w:spacing w:val="-6"/>
              </w:rPr>
              <w:t>15</w:t>
            </w:r>
          </w:p>
        </w:tc>
        <w:tc>
          <w:tcPr>
            <w:tcW w:w="892" w:type="dxa"/>
            <w:vAlign w:val="top"/>
          </w:tcPr>
          <w:p w14:paraId="25361ABC">
            <w:pPr>
              <w:pStyle w:val="6"/>
              <w:spacing w:before="109" w:line="206" w:lineRule="auto"/>
              <w:ind w:left="360"/>
            </w:pPr>
            <w:r>
              <w:rPr>
                <w:spacing w:val="-6"/>
              </w:rPr>
              <w:t>11</w:t>
            </w:r>
          </w:p>
        </w:tc>
        <w:tc>
          <w:tcPr>
            <w:tcW w:w="892" w:type="dxa"/>
            <w:vAlign w:val="top"/>
          </w:tcPr>
          <w:p w14:paraId="12A209D1">
            <w:pPr>
              <w:pStyle w:val="6"/>
              <w:spacing w:before="109" w:line="206" w:lineRule="auto"/>
              <w:ind w:left="269"/>
            </w:pPr>
            <w:r>
              <w:rPr>
                <w:spacing w:val="-3"/>
              </w:rPr>
              <w:t>6.45</w:t>
            </w:r>
          </w:p>
        </w:tc>
        <w:tc>
          <w:tcPr>
            <w:tcW w:w="892" w:type="dxa"/>
            <w:vAlign w:val="top"/>
          </w:tcPr>
          <w:p w14:paraId="5968FDE8">
            <w:pPr>
              <w:pStyle w:val="6"/>
              <w:spacing w:before="109" w:line="206" w:lineRule="auto"/>
              <w:ind w:left="271"/>
            </w:pPr>
            <w:r>
              <w:rPr>
                <w:spacing w:val="-2"/>
              </w:rPr>
              <w:t>7.22</w:t>
            </w:r>
          </w:p>
        </w:tc>
        <w:tc>
          <w:tcPr>
            <w:tcW w:w="891" w:type="dxa"/>
            <w:vAlign w:val="top"/>
          </w:tcPr>
          <w:p w14:paraId="50F000A5">
            <w:pPr>
              <w:pStyle w:val="6"/>
              <w:spacing w:before="109" w:line="206" w:lineRule="auto"/>
              <w:ind w:left="274"/>
            </w:pPr>
            <w:r>
              <w:rPr>
                <w:spacing w:val="-2"/>
              </w:rPr>
              <w:t>0.13</w:t>
            </w:r>
          </w:p>
        </w:tc>
        <w:tc>
          <w:tcPr>
            <w:tcW w:w="906" w:type="dxa"/>
            <w:tcBorders>
              <w:right w:val="single" w:color="000000" w:sz="12" w:space="0"/>
            </w:tcBorders>
            <w:vAlign w:val="top"/>
          </w:tcPr>
          <w:p w14:paraId="25426D42">
            <w:pPr>
              <w:pStyle w:val="6"/>
              <w:spacing w:before="109" w:line="206" w:lineRule="auto"/>
              <w:ind w:left="277"/>
            </w:pPr>
            <w:r>
              <w:rPr>
                <w:spacing w:val="-2"/>
              </w:rPr>
              <w:t>0.11</w:t>
            </w:r>
          </w:p>
        </w:tc>
      </w:tr>
      <w:tr w14:paraId="7CD1F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6627028A">
            <w:pPr>
              <w:rPr>
                <w:rFonts w:ascii="Arial"/>
                <w:sz w:val="21"/>
              </w:rPr>
            </w:pPr>
          </w:p>
        </w:tc>
        <w:tc>
          <w:tcPr>
            <w:tcW w:w="423" w:type="dxa"/>
            <w:vMerge w:val="continue"/>
            <w:tcBorders>
              <w:top w:val="nil"/>
              <w:bottom w:val="nil"/>
            </w:tcBorders>
            <w:vAlign w:val="top"/>
          </w:tcPr>
          <w:p w14:paraId="4A18ABB6">
            <w:pPr>
              <w:rPr>
                <w:rFonts w:ascii="Arial"/>
                <w:sz w:val="21"/>
              </w:rPr>
            </w:pPr>
          </w:p>
        </w:tc>
        <w:tc>
          <w:tcPr>
            <w:tcW w:w="1554" w:type="dxa"/>
            <w:vAlign w:val="top"/>
          </w:tcPr>
          <w:p w14:paraId="4C34E144">
            <w:pPr>
              <w:pStyle w:val="6"/>
              <w:spacing w:before="108" w:line="205" w:lineRule="auto"/>
              <w:ind w:left="343"/>
            </w:pPr>
            <w:r>
              <w:rPr>
                <w:spacing w:val="-1"/>
              </w:rPr>
              <w:t>2019/5/11</w:t>
            </w:r>
          </w:p>
        </w:tc>
        <w:tc>
          <w:tcPr>
            <w:tcW w:w="892" w:type="dxa"/>
            <w:vAlign w:val="top"/>
          </w:tcPr>
          <w:p w14:paraId="78ED3108">
            <w:pPr>
              <w:pStyle w:val="6"/>
              <w:spacing w:before="108" w:line="205" w:lineRule="auto"/>
              <w:ind w:left="357"/>
            </w:pPr>
            <w:r>
              <w:rPr>
                <w:spacing w:val="-6"/>
              </w:rPr>
              <w:t>19</w:t>
            </w:r>
          </w:p>
        </w:tc>
        <w:tc>
          <w:tcPr>
            <w:tcW w:w="892" w:type="dxa"/>
            <w:vAlign w:val="top"/>
          </w:tcPr>
          <w:p w14:paraId="0B7FCE23">
            <w:pPr>
              <w:pStyle w:val="6"/>
              <w:spacing w:before="108" w:line="205" w:lineRule="auto"/>
              <w:ind w:left="360"/>
            </w:pPr>
            <w:r>
              <w:rPr>
                <w:spacing w:val="-6"/>
              </w:rPr>
              <w:t>14</w:t>
            </w:r>
          </w:p>
        </w:tc>
        <w:tc>
          <w:tcPr>
            <w:tcW w:w="892" w:type="dxa"/>
            <w:vAlign w:val="top"/>
          </w:tcPr>
          <w:p w14:paraId="607429E9">
            <w:pPr>
              <w:pStyle w:val="6"/>
              <w:spacing w:before="108" w:line="205" w:lineRule="auto"/>
              <w:ind w:left="269"/>
            </w:pPr>
            <w:r>
              <w:rPr>
                <w:spacing w:val="-3"/>
              </w:rPr>
              <w:t>6.53</w:t>
            </w:r>
          </w:p>
        </w:tc>
        <w:tc>
          <w:tcPr>
            <w:tcW w:w="892" w:type="dxa"/>
            <w:vAlign w:val="top"/>
          </w:tcPr>
          <w:p w14:paraId="5B6E7030">
            <w:pPr>
              <w:pStyle w:val="6"/>
              <w:spacing w:before="108" w:line="205" w:lineRule="auto"/>
              <w:ind w:left="271"/>
            </w:pPr>
            <w:r>
              <w:rPr>
                <w:spacing w:val="-2"/>
              </w:rPr>
              <w:t>7.27</w:t>
            </w:r>
          </w:p>
        </w:tc>
        <w:tc>
          <w:tcPr>
            <w:tcW w:w="891" w:type="dxa"/>
            <w:vAlign w:val="top"/>
          </w:tcPr>
          <w:p w14:paraId="1AACFDF5">
            <w:pPr>
              <w:pStyle w:val="6"/>
              <w:spacing w:before="108" w:line="205" w:lineRule="auto"/>
              <w:ind w:left="274"/>
            </w:pPr>
            <w:r>
              <w:rPr>
                <w:spacing w:val="-2"/>
              </w:rPr>
              <w:t>0.14</w:t>
            </w:r>
          </w:p>
        </w:tc>
        <w:tc>
          <w:tcPr>
            <w:tcW w:w="906" w:type="dxa"/>
            <w:tcBorders>
              <w:right w:val="single" w:color="000000" w:sz="12" w:space="0"/>
            </w:tcBorders>
            <w:vAlign w:val="top"/>
          </w:tcPr>
          <w:p w14:paraId="7F25F331">
            <w:pPr>
              <w:pStyle w:val="6"/>
              <w:spacing w:before="108" w:line="205" w:lineRule="auto"/>
              <w:ind w:left="277"/>
            </w:pPr>
            <w:r>
              <w:rPr>
                <w:spacing w:val="-2"/>
              </w:rPr>
              <w:t>0.10</w:t>
            </w:r>
          </w:p>
        </w:tc>
      </w:tr>
      <w:tr w14:paraId="4224C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D59EEDD">
            <w:pPr>
              <w:rPr>
                <w:rFonts w:ascii="Arial"/>
                <w:sz w:val="21"/>
              </w:rPr>
            </w:pPr>
          </w:p>
        </w:tc>
        <w:tc>
          <w:tcPr>
            <w:tcW w:w="423" w:type="dxa"/>
            <w:vMerge w:val="continue"/>
            <w:tcBorders>
              <w:top w:val="nil"/>
            </w:tcBorders>
            <w:vAlign w:val="top"/>
          </w:tcPr>
          <w:p w14:paraId="17EED695">
            <w:pPr>
              <w:rPr>
                <w:rFonts w:ascii="Arial"/>
                <w:sz w:val="21"/>
              </w:rPr>
            </w:pPr>
          </w:p>
        </w:tc>
        <w:tc>
          <w:tcPr>
            <w:tcW w:w="1554" w:type="dxa"/>
            <w:vAlign w:val="top"/>
          </w:tcPr>
          <w:p w14:paraId="4D45E35E">
            <w:pPr>
              <w:pStyle w:val="6"/>
              <w:spacing w:before="110" w:line="203" w:lineRule="auto"/>
              <w:ind w:left="343"/>
            </w:pPr>
            <w:r>
              <w:rPr>
                <w:spacing w:val="-1"/>
              </w:rPr>
              <w:t>2019/5/12</w:t>
            </w:r>
          </w:p>
        </w:tc>
        <w:tc>
          <w:tcPr>
            <w:tcW w:w="892" w:type="dxa"/>
            <w:vAlign w:val="top"/>
          </w:tcPr>
          <w:p w14:paraId="0F3A8F01">
            <w:pPr>
              <w:pStyle w:val="6"/>
              <w:spacing w:before="110" w:line="203" w:lineRule="auto"/>
              <w:ind w:left="357"/>
            </w:pPr>
            <w:r>
              <w:rPr>
                <w:spacing w:val="-6"/>
              </w:rPr>
              <w:t>17</w:t>
            </w:r>
          </w:p>
        </w:tc>
        <w:tc>
          <w:tcPr>
            <w:tcW w:w="892" w:type="dxa"/>
            <w:vAlign w:val="top"/>
          </w:tcPr>
          <w:p w14:paraId="064C39BE">
            <w:pPr>
              <w:pStyle w:val="6"/>
              <w:spacing w:before="110" w:line="203" w:lineRule="auto"/>
              <w:ind w:left="360"/>
            </w:pPr>
            <w:r>
              <w:rPr>
                <w:spacing w:val="-6"/>
              </w:rPr>
              <w:t>12</w:t>
            </w:r>
          </w:p>
        </w:tc>
        <w:tc>
          <w:tcPr>
            <w:tcW w:w="892" w:type="dxa"/>
            <w:vAlign w:val="top"/>
          </w:tcPr>
          <w:p w14:paraId="28D7F596">
            <w:pPr>
              <w:pStyle w:val="6"/>
              <w:spacing w:before="110" w:line="203" w:lineRule="auto"/>
              <w:ind w:left="269"/>
            </w:pPr>
            <w:r>
              <w:rPr>
                <w:spacing w:val="-3"/>
              </w:rPr>
              <w:t>6.51</w:t>
            </w:r>
          </w:p>
        </w:tc>
        <w:tc>
          <w:tcPr>
            <w:tcW w:w="892" w:type="dxa"/>
            <w:vAlign w:val="top"/>
          </w:tcPr>
          <w:p w14:paraId="37C89062">
            <w:pPr>
              <w:pStyle w:val="6"/>
              <w:spacing w:before="110" w:line="203" w:lineRule="auto"/>
              <w:ind w:left="271"/>
            </w:pPr>
            <w:r>
              <w:rPr>
                <w:spacing w:val="-2"/>
              </w:rPr>
              <w:t>7.25</w:t>
            </w:r>
          </w:p>
        </w:tc>
        <w:tc>
          <w:tcPr>
            <w:tcW w:w="891" w:type="dxa"/>
            <w:vAlign w:val="top"/>
          </w:tcPr>
          <w:p w14:paraId="1B087FE4">
            <w:pPr>
              <w:pStyle w:val="6"/>
              <w:spacing w:before="110" w:line="203" w:lineRule="auto"/>
              <w:ind w:left="274"/>
            </w:pPr>
            <w:r>
              <w:rPr>
                <w:spacing w:val="-2"/>
              </w:rPr>
              <w:t>0.12</w:t>
            </w:r>
          </w:p>
        </w:tc>
        <w:tc>
          <w:tcPr>
            <w:tcW w:w="906" w:type="dxa"/>
            <w:tcBorders>
              <w:right w:val="single" w:color="000000" w:sz="12" w:space="0"/>
            </w:tcBorders>
            <w:vAlign w:val="top"/>
          </w:tcPr>
          <w:p w14:paraId="3C040251">
            <w:pPr>
              <w:pStyle w:val="6"/>
              <w:spacing w:before="110" w:line="203" w:lineRule="auto"/>
              <w:ind w:left="277"/>
            </w:pPr>
            <w:r>
              <w:rPr>
                <w:spacing w:val="-2"/>
              </w:rPr>
              <w:t>0.11</w:t>
            </w:r>
          </w:p>
        </w:tc>
      </w:tr>
      <w:tr w14:paraId="68DB6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1" w:type="dxa"/>
            <w:vMerge w:val="continue"/>
            <w:tcBorders>
              <w:top w:val="nil"/>
              <w:left w:val="single" w:color="000000" w:sz="12" w:space="0"/>
              <w:bottom w:val="nil"/>
            </w:tcBorders>
            <w:vAlign w:val="top"/>
          </w:tcPr>
          <w:p w14:paraId="3B34221F">
            <w:pPr>
              <w:rPr>
                <w:rFonts w:ascii="Arial"/>
                <w:sz w:val="21"/>
              </w:rPr>
            </w:pPr>
          </w:p>
        </w:tc>
        <w:tc>
          <w:tcPr>
            <w:tcW w:w="423" w:type="dxa"/>
            <w:vMerge w:val="restart"/>
            <w:tcBorders>
              <w:bottom w:val="nil"/>
            </w:tcBorders>
            <w:vAlign w:val="top"/>
          </w:tcPr>
          <w:p w14:paraId="0831A24E">
            <w:pPr>
              <w:pStyle w:val="6"/>
              <w:spacing w:before="176" w:line="222" w:lineRule="auto"/>
              <w:ind w:left="152"/>
            </w:pPr>
            <w:r>
              <w:t>3</w:t>
            </w:r>
          </w:p>
          <w:p w14:paraId="79297D01">
            <w:pPr>
              <w:spacing w:line="219" w:lineRule="auto"/>
              <w:ind w:left="100"/>
              <w:rPr>
                <w:rFonts w:ascii="宋体" w:hAnsi="宋体" w:eastAsia="宋体" w:cs="宋体"/>
                <w:sz w:val="21"/>
                <w:szCs w:val="21"/>
              </w:rPr>
            </w:pPr>
            <w:r>
              <w:rPr>
                <w:rFonts w:ascii="宋体" w:hAnsi="宋体" w:eastAsia="宋体" w:cs="宋体"/>
                <w:sz w:val="21"/>
                <w:szCs w:val="21"/>
              </w:rPr>
              <w:t>季</w:t>
            </w:r>
          </w:p>
          <w:p w14:paraId="52029BC6">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0858C56C">
            <w:pPr>
              <w:pStyle w:val="6"/>
              <w:spacing w:before="111" w:line="204" w:lineRule="auto"/>
              <w:ind w:left="343"/>
            </w:pPr>
            <w:r>
              <w:rPr>
                <w:spacing w:val="-1"/>
              </w:rPr>
              <w:t>2019/8/06</w:t>
            </w:r>
          </w:p>
        </w:tc>
        <w:tc>
          <w:tcPr>
            <w:tcW w:w="892" w:type="dxa"/>
            <w:vAlign w:val="top"/>
          </w:tcPr>
          <w:p w14:paraId="70CB8F35">
            <w:pPr>
              <w:pStyle w:val="6"/>
              <w:spacing w:before="111" w:line="204" w:lineRule="auto"/>
              <w:ind w:left="337"/>
            </w:pPr>
            <w:r>
              <w:rPr>
                <w:spacing w:val="-1"/>
              </w:rPr>
              <w:t>24</w:t>
            </w:r>
          </w:p>
        </w:tc>
        <w:tc>
          <w:tcPr>
            <w:tcW w:w="892" w:type="dxa"/>
            <w:vAlign w:val="top"/>
          </w:tcPr>
          <w:p w14:paraId="283DCF7A">
            <w:pPr>
              <w:pStyle w:val="6"/>
              <w:spacing w:before="111" w:line="204" w:lineRule="auto"/>
              <w:ind w:left="340"/>
            </w:pPr>
            <w:r>
              <w:rPr>
                <w:spacing w:val="-1"/>
              </w:rPr>
              <w:t>24</w:t>
            </w:r>
          </w:p>
        </w:tc>
        <w:tc>
          <w:tcPr>
            <w:tcW w:w="892" w:type="dxa"/>
            <w:vAlign w:val="top"/>
          </w:tcPr>
          <w:p w14:paraId="5C567D96">
            <w:pPr>
              <w:pStyle w:val="6"/>
              <w:spacing w:before="111" w:line="204" w:lineRule="auto"/>
              <w:ind w:left="269"/>
            </w:pPr>
            <w:r>
              <w:rPr>
                <w:spacing w:val="-3"/>
              </w:rPr>
              <w:t>6.39</w:t>
            </w:r>
          </w:p>
        </w:tc>
        <w:tc>
          <w:tcPr>
            <w:tcW w:w="892" w:type="dxa"/>
            <w:vAlign w:val="top"/>
          </w:tcPr>
          <w:p w14:paraId="362C3742">
            <w:pPr>
              <w:pStyle w:val="6"/>
              <w:spacing w:before="111" w:line="204" w:lineRule="auto"/>
              <w:ind w:left="272"/>
            </w:pPr>
            <w:r>
              <w:rPr>
                <w:spacing w:val="-3"/>
              </w:rPr>
              <w:t>6.39</w:t>
            </w:r>
          </w:p>
        </w:tc>
        <w:tc>
          <w:tcPr>
            <w:tcW w:w="891" w:type="dxa"/>
            <w:vAlign w:val="top"/>
          </w:tcPr>
          <w:p w14:paraId="73013784">
            <w:pPr>
              <w:pStyle w:val="6"/>
              <w:spacing w:before="111" w:line="204" w:lineRule="auto"/>
              <w:ind w:left="274"/>
            </w:pPr>
            <w:r>
              <w:rPr>
                <w:spacing w:val="-2"/>
              </w:rPr>
              <w:t>0.17</w:t>
            </w:r>
          </w:p>
        </w:tc>
        <w:tc>
          <w:tcPr>
            <w:tcW w:w="906" w:type="dxa"/>
            <w:tcBorders>
              <w:right w:val="single" w:color="000000" w:sz="12" w:space="0"/>
            </w:tcBorders>
            <w:vAlign w:val="top"/>
          </w:tcPr>
          <w:p w14:paraId="5B062BF4">
            <w:pPr>
              <w:pStyle w:val="6"/>
              <w:spacing w:before="111" w:line="204" w:lineRule="auto"/>
              <w:ind w:left="277"/>
            </w:pPr>
            <w:r>
              <w:rPr>
                <w:spacing w:val="-2"/>
              </w:rPr>
              <w:t>0.17</w:t>
            </w:r>
          </w:p>
        </w:tc>
      </w:tr>
      <w:tr w14:paraId="1B45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BF91160">
            <w:pPr>
              <w:rPr>
                <w:rFonts w:ascii="Arial"/>
                <w:sz w:val="21"/>
              </w:rPr>
            </w:pPr>
          </w:p>
        </w:tc>
        <w:tc>
          <w:tcPr>
            <w:tcW w:w="423" w:type="dxa"/>
            <w:vMerge w:val="continue"/>
            <w:tcBorders>
              <w:top w:val="nil"/>
              <w:bottom w:val="nil"/>
            </w:tcBorders>
            <w:vAlign w:val="top"/>
          </w:tcPr>
          <w:p w14:paraId="4858AEF4">
            <w:pPr>
              <w:rPr>
                <w:rFonts w:ascii="Arial"/>
                <w:sz w:val="21"/>
              </w:rPr>
            </w:pPr>
          </w:p>
        </w:tc>
        <w:tc>
          <w:tcPr>
            <w:tcW w:w="1554" w:type="dxa"/>
            <w:vAlign w:val="top"/>
          </w:tcPr>
          <w:p w14:paraId="22842328">
            <w:pPr>
              <w:pStyle w:val="6"/>
              <w:spacing w:before="112" w:line="201" w:lineRule="auto"/>
              <w:ind w:left="343"/>
            </w:pPr>
            <w:r>
              <w:rPr>
                <w:spacing w:val="-1"/>
              </w:rPr>
              <w:t>2019/8/07</w:t>
            </w:r>
          </w:p>
        </w:tc>
        <w:tc>
          <w:tcPr>
            <w:tcW w:w="892" w:type="dxa"/>
            <w:vAlign w:val="top"/>
          </w:tcPr>
          <w:p w14:paraId="66CE4AEA">
            <w:pPr>
              <w:pStyle w:val="6"/>
              <w:spacing w:before="112" w:line="201" w:lineRule="auto"/>
              <w:ind w:left="357"/>
            </w:pPr>
            <w:r>
              <w:rPr>
                <w:spacing w:val="-6"/>
              </w:rPr>
              <w:t>16</w:t>
            </w:r>
          </w:p>
        </w:tc>
        <w:tc>
          <w:tcPr>
            <w:tcW w:w="892" w:type="dxa"/>
            <w:vAlign w:val="top"/>
          </w:tcPr>
          <w:p w14:paraId="295000E5">
            <w:pPr>
              <w:pStyle w:val="6"/>
              <w:spacing w:before="112" w:line="201" w:lineRule="auto"/>
              <w:ind w:left="340"/>
            </w:pPr>
            <w:r>
              <w:rPr>
                <w:spacing w:val="-1"/>
              </w:rPr>
              <w:t>26</w:t>
            </w:r>
          </w:p>
        </w:tc>
        <w:tc>
          <w:tcPr>
            <w:tcW w:w="892" w:type="dxa"/>
            <w:vAlign w:val="top"/>
          </w:tcPr>
          <w:p w14:paraId="1D1AB58B">
            <w:pPr>
              <w:pStyle w:val="6"/>
              <w:spacing w:before="112" w:line="201" w:lineRule="auto"/>
              <w:ind w:left="269"/>
            </w:pPr>
            <w:r>
              <w:rPr>
                <w:spacing w:val="-3"/>
              </w:rPr>
              <w:t>6.43</w:t>
            </w:r>
          </w:p>
        </w:tc>
        <w:tc>
          <w:tcPr>
            <w:tcW w:w="892" w:type="dxa"/>
            <w:vAlign w:val="top"/>
          </w:tcPr>
          <w:p w14:paraId="4AA7173F">
            <w:pPr>
              <w:pStyle w:val="6"/>
              <w:spacing w:before="112" w:line="201" w:lineRule="auto"/>
              <w:ind w:left="272"/>
            </w:pPr>
            <w:r>
              <w:rPr>
                <w:spacing w:val="-3"/>
              </w:rPr>
              <w:t>6.43</w:t>
            </w:r>
          </w:p>
        </w:tc>
        <w:tc>
          <w:tcPr>
            <w:tcW w:w="891" w:type="dxa"/>
            <w:vAlign w:val="top"/>
          </w:tcPr>
          <w:p w14:paraId="007C9E4D">
            <w:pPr>
              <w:pStyle w:val="6"/>
              <w:spacing w:before="112" w:line="201" w:lineRule="auto"/>
              <w:ind w:left="274"/>
            </w:pPr>
            <w:r>
              <w:rPr>
                <w:spacing w:val="-2"/>
              </w:rPr>
              <w:t>0.18</w:t>
            </w:r>
          </w:p>
        </w:tc>
        <w:tc>
          <w:tcPr>
            <w:tcW w:w="906" w:type="dxa"/>
            <w:tcBorders>
              <w:right w:val="single" w:color="000000" w:sz="12" w:space="0"/>
            </w:tcBorders>
            <w:vAlign w:val="top"/>
          </w:tcPr>
          <w:p w14:paraId="63D45512">
            <w:pPr>
              <w:pStyle w:val="6"/>
              <w:spacing w:before="112" w:line="201" w:lineRule="auto"/>
              <w:ind w:left="277"/>
            </w:pPr>
            <w:r>
              <w:rPr>
                <w:spacing w:val="-2"/>
              </w:rPr>
              <w:t>0.18</w:t>
            </w:r>
          </w:p>
        </w:tc>
      </w:tr>
      <w:tr w14:paraId="3CE47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2FBB4CD4">
            <w:pPr>
              <w:rPr>
                <w:rFonts w:ascii="Arial"/>
                <w:sz w:val="21"/>
              </w:rPr>
            </w:pPr>
          </w:p>
        </w:tc>
        <w:tc>
          <w:tcPr>
            <w:tcW w:w="423" w:type="dxa"/>
            <w:vMerge w:val="continue"/>
            <w:tcBorders>
              <w:top w:val="nil"/>
            </w:tcBorders>
            <w:vAlign w:val="top"/>
          </w:tcPr>
          <w:p w14:paraId="548741A9">
            <w:pPr>
              <w:rPr>
                <w:rFonts w:ascii="Arial"/>
                <w:sz w:val="21"/>
              </w:rPr>
            </w:pPr>
          </w:p>
        </w:tc>
        <w:tc>
          <w:tcPr>
            <w:tcW w:w="1554" w:type="dxa"/>
            <w:vAlign w:val="top"/>
          </w:tcPr>
          <w:p w14:paraId="5883CF66">
            <w:pPr>
              <w:pStyle w:val="6"/>
              <w:spacing w:before="113" w:line="201" w:lineRule="auto"/>
              <w:ind w:left="343"/>
            </w:pPr>
            <w:r>
              <w:rPr>
                <w:spacing w:val="-1"/>
              </w:rPr>
              <w:t>2019/8/08</w:t>
            </w:r>
          </w:p>
        </w:tc>
        <w:tc>
          <w:tcPr>
            <w:tcW w:w="892" w:type="dxa"/>
            <w:vAlign w:val="top"/>
          </w:tcPr>
          <w:p w14:paraId="4C409F3F">
            <w:pPr>
              <w:pStyle w:val="6"/>
              <w:spacing w:before="113" w:line="201" w:lineRule="auto"/>
              <w:ind w:left="337"/>
            </w:pPr>
            <w:r>
              <w:rPr>
                <w:spacing w:val="-1"/>
              </w:rPr>
              <w:t>23</w:t>
            </w:r>
          </w:p>
        </w:tc>
        <w:tc>
          <w:tcPr>
            <w:tcW w:w="892" w:type="dxa"/>
            <w:vAlign w:val="top"/>
          </w:tcPr>
          <w:p w14:paraId="2E684C1E">
            <w:pPr>
              <w:pStyle w:val="6"/>
              <w:spacing w:before="113" w:line="201" w:lineRule="auto"/>
              <w:ind w:left="340"/>
            </w:pPr>
            <w:r>
              <w:rPr>
                <w:spacing w:val="-1"/>
              </w:rPr>
              <w:t>23</w:t>
            </w:r>
          </w:p>
        </w:tc>
        <w:tc>
          <w:tcPr>
            <w:tcW w:w="892" w:type="dxa"/>
            <w:vAlign w:val="top"/>
          </w:tcPr>
          <w:p w14:paraId="00550BAD">
            <w:pPr>
              <w:pStyle w:val="6"/>
              <w:spacing w:before="113" w:line="201" w:lineRule="auto"/>
              <w:ind w:left="269"/>
            </w:pPr>
            <w:r>
              <w:rPr>
                <w:spacing w:val="-3"/>
              </w:rPr>
              <w:t>6.45</w:t>
            </w:r>
          </w:p>
        </w:tc>
        <w:tc>
          <w:tcPr>
            <w:tcW w:w="892" w:type="dxa"/>
            <w:vAlign w:val="top"/>
          </w:tcPr>
          <w:p w14:paraId="5E792785">
            <w:pPr>
              <w:pStyle w:val="6"/>
              <w:spacing w:before="113" w:line="201" w:lineRule="auto"/>
              <w:ind w:left="272"/>
            </w:pPr>
            <w:r>
              <w:rPr>
                <w:spacing w:val="-3"/>
              </w:rPr>
              <w:t>6.45</w:t>
            </w:r>
          </w:p>
        </w:tc>
        <w:tc>
          <w:tcPr>
            <w:tcW w:w="891" w:type="dxa"/>
            <w:vAlign w:val="top"/>
          </w:tcPr>
          <w:p w14:paraId="748F69A8">
            <w:pPr>
              <w:pStyle w:val="6"/>
              <w:spacing w:before="113" w:line="201" w:lineRule="auto"/>
              <w:ind w:left="274"/>
            </w:pPr>
            <w:r>
              <w:rPr>
                <w:spacing w:val="-2"/>
              </w:rPr>
              <w:t>0.19</w:t>
            </w:r>
          </w:p>
        </w:tc>
        <w:tc>
          <w:tcPr>
            <w:tcW w:w="906" w:type="dxa"/>
            <w:tcBorders>
              <w:right w:val="single" w:color="000000" w:sz="12" w:space="0"/>
            </w:tcBorders>
            <w:vAlign w:val="top"/>
          </w:tcPr>
          <w:p w14:paraId="6AC5B47E">
            <w:pPr>
              <w:pStyle w:val="6"/>
              <w:spacing w:before="113" w:line="201" w:lineRule="auto"/>
              <w:ind w:left="277"/>
            </w:pPr>
            <w:r>
              <w:rPr>
                <w:spacing w:val="-2"/>
              </w:rPr>
              <w:t>0.19</w:t>
            </w:r>
          </w:p>
        </w:tc>
      </w:tr>
      <w:tr w14:paraId="6A1A7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108AB625">
            <w:pPr>
              <w:rPr>
                <w:rFonts w:ascii="Arial"/>
                <w:sz w:val="21"/>
              </w:rPr>
            </w:pPr>
          </w:p>
        </w:tc>
        <w:tc>
          <w:tcPr>
            <w:tcW w:w="423" w:type="dxa"/>
            <w:vMerge w:val="restart"/>
            <w:tcBorders>
              <w:bottom w:val="nil"/>
            </w:tcBorders>
            <w:vAlign w:val="top"/>
          </w:tcPr>
          <w:p w14:paraId="7D6752FA">
            <w:pPr>
              <w:spacing w:line="265" w:lineRule="auto"/>
              <w:rPr>
                <w:rFonts w:ascii="Arial"/>
                <w:sz w:val="21"/>
              </w:rPr>
            </w:pPr>
          </w:p>
          <w:p w14:paraId="3162DC91">
            <w:pPr>
              <w:pStyle w:val="6"/>
              <w:spacing w:before="61" w:line="230" w:lineRule="auto"/>
              <w:ind w:left="98" w:right="111" w:firstLine="48"/>
              <w:jc w:val="both"/>
              <w:rPr>
                <w:rFonts w:ascii="宋体" w:hAnsi="宋体" w:eastAsia="宋体" w:cs="宋体"/>
              </w:rPr>
            </w:pPr>
            <w:r>
              <w:rPr>
                <w:spacing w:val="-4"/>
              </w:rPr>
              <w:t>4</w:t>
            </w:r>
            <w:r>
              <w:rPr>
                <w:rFonts w:ascii="宋体" w:hAnsi="宋体" w:eastAsia="宋体" w:cs="宋体"/>
                <w:spacing w:val="-8"/>
              </w:rPr>
              <w:t>季度</w:t>
            </w:r>
          </w:p>
        </w:tc>
        <w:tc>
          <w:tcPr>
            <w:tcW w:w="1554" w:type="dxa"/>
            <w:vAlign w:val="top"/>
          </w:tcPr>
          <w:p w14:paraId="315DA518">
            <w:pPr>
              <w:pStyle w:val="6"/>
              <w:spacing w:before="113" w:line="201" w:lineRule="auto"/>
              <w:ind w:left="343"/>
            </w:pPr>
            <w:r>
              <w:rPr>
                <w:spacing w:val="-1"/>
              </w:rPr>
              <w:t>2019/11/9</w:t>
            </w:r>
          </w:p>
        </w:tc>
        <w:tc>
          <w:tcPr>
            <w:tcW w:w="892" w:type="dxa"/>
            <w:vAlign w:val="top"/>
          </w:tcPr>
          <w:p w14:paraId="48D61C4C">
            <w:pPr>
              <w:pStyle w:val="6"/>
              <w:spacing w:before="113" w:line="201" w:lineRule="auto"/>
              <w:ind w:left="337"/>
            </w:pPr>
            <w:r>
              <w:rPr>
                <w:spacing w:val="-1"/>
              </w:rPr>
              <w:t>28</w:t>
            </w:r>
          </w:p>
        </w:tc>
        <w:tc>
          <w:tcPr>
            <w:tcW w:w="892" w:type="dxa"/>
            <w:vAlign w:val="top"/>
          </w:tcPr>
          <w:p w14:paraId="1B5C43CC">
            <w:pPr>
              <w:pStyle w:val="6"/>
              <w:spacing w:before="113" w:line="201" w:lineRule="auto"/>
              <w:ind w:left="340"/>
            </w:pPr>
            <w:r>
              <w:rPr>
                <w:spacing w:val="-1"/>
              </w:rPr>
              <w:t>28</w:t>
            </w:r>
          </w:p>
        </w:tc>
        <w:tc>
          <w:tcPr>
            <w:tcW w:w="892" w:type="dxa"/>
            <w:vAlign w:val="top"/>
          </w:tcPr>
          <w:p w14:paraId="05A0A326">
            <w:pPr>
              <w:pStyle w:val="6"/>
              <w:spacing w:before="113" w:line="201" w:lineRule="auto"/>
              <w:ind w:left="268"/>
            </w:pPr>
            <w:r>
              <w:rPr>
                <w:spacing w:val="-2"/>
              </w:rPr>
              <w:t>7.23</w:t>
            </w:r>
          </w:p>
        </w:tc>
        <w:tc>
          <w:tcPr>
            <w:tcW w:w="892" w:type="dxa"/>
            <w:vAlign w:val="top"/>
          </w:tcPr>
          <w:p w14:paraId="70913A61">
            <w:pPr>
              <w:pStyle w:val="6"/>
              <w:spacing w:before="113" w:line="201" w:lineRule="auto"/>
              <w:ind w:left="271"/>
            </w:pPr>
            <w:r>
              <w:rPr>
                <w:spacing w:val="-2"/>
              </w:rPr>
              <w:t>7.23</w:t>
            </w:r>
          </w:p>
        </w:tc>
        <w:tc>
          <w:tcPr>
            <w:tcW w:w="891" w:type="dxa"/>
            <w:vAlign w:val="top"/>
          </w:tcPr>
          <w:p w14:paraId="04322599">
            <w:pPr>
              <w:pStyle w:val="6"/>
              <w:spacing w:before="113" w:line="201" w:lineRule="auto"/>
              <w:ind w:left="274"/>
            </w:pPr>
            <w:r>
              <w:rPr>
                <w:spacing w:val="-2"/>
              </w:rPr>
              <w:t>0.14</w:t>
            </w:r>
          </w:p>
        </w:tc>
        <w:tc>
          <w:tcPr>
            <w:tcW w:w="906" w:type="dxa"/>
            <w:tcBorders>
              <w:right w:val="single" w:color="000000" w:sz="12" w:space="0"/>
            </w:tcBorders>
            <w:vAlign w:val="top"/>
          </w:tcPr>
          <w:p w14:paraId="676E3E1D">
            <w:pPr>
              <w:pStyle w:val="6"/>
              <w:spacing w:before="113" w:line="201" w:lineRule="auto"/>
              <w:ind w:left="277"/>
            </w:pPr>
            <w:r>
              <w:rPr>
                <w:spacing w:val="-2"/>
              </w:rPr>
              <w:t>0.14</w:t>
            </w:r>
          </w:p>
        </w:tc>
      </w:tr>
      <w:tr w14:paraId="3A5D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D3B0E1D">
            <w:pPr>
              <w:rPr>
                <w:rFonts w:ascii="Arial"/>
                <w:sz w:val="21"/>
              </w:rPr>
            </w:pPr>
          </w:p>
        </w:tc>
        <w:tc>
          <w:tcPr>
            <w:tcW w:w="423" w:type="dxa"/>
            <w:vMerge w:val="continue"/>
            <w:tcBorders>
              <w:top w:val="nil"/>
              <w:bottom w:val="nil"/>
            </w:tcBorders>
            <w:vAlign w:val="top"/>
          </w:tcPr>
          <w:p w14:paraId="1529FFE6">
            <w:pPr>
              <w:rPr>
                <w:rFonts w:ascii="Arial"/>
                <w:sz w:val="21"/>
              </w:rPr>
            </w:pPr>
          </w:p>
        </w:tc>
        <w:tc>
          <w:tcPr>
            <w:tcW w:w="1554" w:type="dxa"/>
            <w:vAlign w:val="top"/>
          </w:tcPr>
          <w:p w14:paraId="5BAB19BB">
            <w:pPr>
              <w:pStyle w:val="6"/>
              <w:spacing w:before="114" w:line="199" w:lineRule="auto"/>
              <w:ind w:left="290"/>
            </w:pPr>
            <w:r>
              <w:rPr>
                <w:spacing w:val="-1"/>
              </w:rPr>
              <w:t>2019/11/10</w:t>
            </w:r>
          </w:p>
        </w:tc>
        <w:tc>
          <w:tcPr>
            <w:tcW w:w="892" w:type="dxa"/>
            <w:vAlign w:val="top"/>
          </w:tcPr>
          <w:p w14:paraId="1DB773D1">
            <w:pPr>
              <w:pStyle w:val="6"/>
              <w:spacing w:before="114" w:line="199" w:lineRule="auto"/>
              <w:ind w:left="341"/>
            </w:pPr>
            <w:r>
              <w:rPr>
                <w:spacing w:val="-3"/>
              </w:rPr>
              <w:t>34</w:t>
            </w:r>
          </w:p>
        </w:tc>
        <w:tc>
          <w:tcPr>
            <w:tcW w:w="892" w:type="dxa"/>
            <w:vAlign w:val="top"/>
          </w:tcPr>
          <w:p w14:paraId="2E892693">
            <w:pPr>
              <w:pStyle w:val="6"/>
              <w:spacing w:before="114" w:line="199" w:lineRule="auto"/>
              <w:ind w:left="345"/>
            </w:pPr>
            <w:r>
              <w:rPr>
                <w:spacing w:val="-3"/>
              </w:rPr>
              <w:t>34</w:t>
            </w:r>
          </w:p>
        </w:tc>
        <w:tc>
          <w:tcPr>
            <w:tcW w:w="892" w:type="dxa"/>
            <w:vAlign w:val="top"/>
          </w:tcPr>
          <w:p w14:paraId="2E26257D">
            <w:pPr>
              <w:pStyle w:val="6"/>
              <w:spacing w:before="114" w:line="199" w:lineRule="auto"/>
              <w:ind w:left="268"/>
            </w:pPr>
            <w:r>
              <w:rPr>
                <w:spacing w:val="-2"/>
              </w:rPr>
              <w:t>7.21</w:t>
            </w:r>
          </w:p>
        </w:tc>
        <w:tc>
          <w:tcPr>
            <w:tcW w:w="892" w:type="dxa"/>
            <w:vAlign w:val="top"/>
          </w:tcPr>
          <w:p w14:paraId="2ED0FBC1">
            <w:pPr>
              <w:pStyle w:val="6"/>
              <w:spacing w:before="114" w:line="199" w:lineRule="auto"/>
              <w:ind w:left="271"/>
            </w:pPr>
            <w:r>
              <w:rPr>
                <w:spacing w:val="-2"/>
              </w:rPr>
              <w:t>7.21</w:t>
            </w:r>
          </w:p>
        </w:tc>
        <w:tc>
          <w:tcPr>
            <w:tcW w:w="891" w:type="dxa"/>
            <w:vAlign w:val="top"/>
          </w:tcPr>
          <w:p w14:paraId="6295E78C">
            <w:pPr>
              <w:pStyle w:val="6"/>
              <w:spacing w:before="114" w:line="199" w:lineRule="auto"/>
              <w:ind w:left="274"/>
            </w:pPr>
            <w:r>
              <w:rPr>
                <w:spacing w:val="-2"/>
              </w:rPr>
              <w:t>0.14</w:t>
            </w:r>
          </w:p>
        </w:tc>
        <w:tc>
          <w:tcPr>
            <w:tcW w:w="906" w:type="dxa"/>
            <w:tcBorders>
              <w:right w:val="single" w:color="000000" w:sz="12" w:space="0"/>
            </w:tcBorders>
            <w:vAlign w:val="top"/>
          </w:tcPr>
          <w:p w14:paraId="6C78D371">
            <w:pPr>
              <w:pStyle w:val="6"/>
              <w:spacing w:before="114" w:line="199" w:lineRule="auto"/>
              <w:ind w:left="277"/>
            </w:pPr>
            <w:r>
              <w:rPr>
                <w:spacing w:val="-2"/>
              </w:rPr>
              <w:t>0.13</w:t>
            </w:r>
          </w:p>
        </w:tc>
      </w:tr>
      <w:tr w14:paraId="51843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131" w:type="dxa"/>
            <w:vMerge w:val="continue"/>
            <w:tcBorders>
              <w:top w:val="nil"/>
              <w:left w:val="single" w:color="000000" w:sz="12" w:space="0"/>
              <w:bottom w:val="single" w:color="000000" w:sz="12" w:space="0"/>
            </w:tcBorders>
            <w:vAlign w:val="top"/>
          </w:tcPr>
          <w:p w14:paraId="79397C73">
            <w:pPr>
              <w:rPr>
                <w:rFonts w:ascii="Arial"/>
                <w:sz w:val="21"/>
              </w:rPr>
            </w:pPr>
          </w:p>
        </w:tc>
        <w:tc>
          <w:tcPr>
            <w:tcW w:w="423" w:type="dxa"/>
            <w:vMerge w:val="continue"/>
            <w:tcBorders>
              <w:top w:val="nil"/>
              <w:bottom w:val="single" w:color="000000" w:sz="12" w:space="0"/>
            </w:tcBorders>
            <w:vAlign w:val="top"/>
          </w:tcPr>
          <w:p w14:paraId="2F4755A7">
            <w:pPr>
              <w:rPr>
                <w:rFonts w:ascii="Arial"/>
                <w:sz w:val="21"/>
              </w:rPr>
            </w:pPr>
          </w:p>
        </w:tc>
        <w:tc>
          <w:tcPr>
            <w:tcW w:w="1554" w:type="dxa"/>
            <w:tcBorders>
              <w:bottom w:val="single" w:color="000000" w:sz="12" w:space="0"/>
            </w:tcBorders>
            <w:vAlign w:val="top"/>
          </w:tcPr>
          <w:p w14:paraId="709C7DCD">
            <w:pPr>
              <w:pStyle w:val="6"/>
              <w:spacing w:before="265" w:line="232" w:lineRule="auto"/>
              <w:ind w:left="290"/>
            </w:pPr>
            <w:r>
              <w:rPr>
                <w:spacing w:val="-1"/>
              </w:rPr>
              <w:t>2019/11/11</w:t>
            </w:r>
          </w:p>
        </w:tc>
        <w:tc>
          <w:tcPr>
            <w:tcW w:w="892" w:type="dxa"/>
            <w:tcBorders>
              <w:bottom w:val="single" w:color="000000" w:sz="12" w:space="0"/>
            </w:tcBorders>
            <w:vAlign w:val="top"/>
          </w:tcPr>
          <w:p w14:paraId="6D0896A1">
            <w:pPr>
              <w:pStyle w:val="6"/>
              <w:spacing w:before="266" w:line="232" w:lineRule="auto"/>
              <w:ind w:left="341"/>
            </w:pPr>
            <w:r>
              <w:rPr>
                <w:spacing w:val="-3"/>
              </w:rPr>
              <w:t>30</w:t>
            </w:r>
          </w:p>
        </w:tc>
        <w:tc>
          <w:tcPr>
            <w:tcW w:w="892" w:type="dxa"/>
            <w:tcBorders>
              <w:bottom w:val="single" w:color="000000" w:sz="12" w:space="0"/>
            </w:tcBorders>
            <w:vAlign w:val="top"/>
          </w:tcPr>
          <w:p w14:paraId="0F499481">
            <w:pPr>
              <w:pStyle w:val="6"/>
              <w:spacing w:before="266" w:line="232" w:lineRule="auto"/>
              <w:ind w:left="345"/>
            </w:pPr>
            <w:r>
              <w:rPr>
                <w:spacing w:val="-3"/>
              </w:rPr>
              <w:t>30</w:t>
            </w:r>
          </w:p>
        </w:tc>
        <w:tc>
          <w:tcPr>
            <w:tcW w:w="892" w:type="dxa"/>
            <w:tcBorders>
              <w:bottom w:val="single" w:color="000000" w:sz="12" w:space="0"/>
            </w:tcBorders>
            <w:vAlign w:val="top"/>
          </w:tcPr>
          <w:p w14:paraId="116CF893">
            <w:pPr>
              <w:pStyle w:val="6"/>
              <w:spacing w:before="265" w:line="232" w:lineRule="auto"/>
              <w:ind w:left="268"/>
            </w:pPr>
            <w:r>
              <w:rPr>
                <w:spacing w:val="-2"/>
              </w:rPr>
              <w:t>7.17</w:t>
            </w:r>
          </w:p>
        </w:tc>
        <w:tc>
          <w:tcPr>
            <w:tcW w:w="892" w:type="dxa"/>
            <w:tcBorders>
              <w:bottom w:val="single" w:color="000000" w:sz="12" w:space="0"/>
            </w:tcBorders>
            <w:vAlign w:val="top"/>
          </w:tcPr>
          <w:p w14:paraId="49DB7727">
            <w:pPr>
              <w:pStyle w:val="6"/>
              <w:spacing w:before="265" w:line="232" w:lineRule="auto"/>
              <w:ind w:left="271"/>
            </w:pPr>
            <w:r>
              <w:rPr>
                <w:spacing w:val="-2"/>
              </w:rPr>
              <w:t>7.17</w:t>
            </w:r>
          </w:p>
        </w:tc>
        <w:tc>
          <w:tcPr>
            <w:tcW w:w="891" w:type="dxa"/>
            <w:tcBorders>
              <w:bottom w:val="single" w:color="000000" w:sz="12" w:space="0"/>
            </w:tcBorders>
            <w:vAlign w:val="top"/>
          </w:tcPr>
          <w:p w14:paraId="7F768E05">
            <w:pPr>
              <w:pStyle w:val="6"/>
              <w:spacing w:before="265" w:line="232" w:lineRule="auto"/>
              <w:ind w:left="274"/>
            </w:pPr>
            <w:r>
              <w:rPr>
                <w:spacing w:val="-2"/>
              </w:rPr>
              <w:t>0.13</w:t>
            </w:r>
          </w:p>
        </w:tc>
        <w:tc>
          <w:tcPr>
            <w:tcW w:w="906" w:type="dxa"/>
            <w:tcBorders>
              <w:bottom w:val="single" w:color="000000" w:sz="12" w:space="0"/>
              <w:right w:val="single" w:color="000000" w:sz="12" w:space="0"/>
            </w:tcBorders>
            <w:vAlign w:val="top"/>
          </w:tcPr>
          <w:p w14:paraId="48E9C36E">
            <w:pPr>
              <w:pStyle w:val="6"/>
              <w:spacing w:before="265" w:line="232" w:lineRule="auto"/>
              <w:ind w:left="277"/>
            </w:pPr>
            <w:r>
              <w:rPr>
                <w:spacing w:val="-2"/>
              </w:rPr>
              <w:t>0.13</w:t>
            </w:r>
          </w:p>
        </w:tc>
      </w:tr>
    </w:tbl>
    <w:p w14:paraId="281A8C78">
      <w:pPr>
        <w:rPr>
          <w:rFonts w:ascii="Arial"/>
          <w:sz w:val="21"/>
        </w:rPr>
      </w:pPr>
    </w:p>
    <w:p w14:paraId="4756D547">
      <w:pPr>
        <w:rPr>
          <w:rFonts w:ascii="Arial" w:hAnsi="Arial" w:eastAsia="Arial" w:cs="Arial"/>
          <w:sz w:val="21"/>
          <w:szCs w:val="21"/>
        </w:rPr>
        <w:sectPr>
          <w:footerReference r:id="rId124" w:type="default"/>
          <w:pgSz w:w="11907" w:h="16839"/>
          <w:pgMar w:top="1376" w:right="1669" w:bottom="1061" w:left="1671" w:header="999" w:footer="861" w:gutter="0"/>
          <w:cols w:space="720" w:num="1"/>
        </w:sectPr>
      </w:pPr>
    </w:p>
    <w:p w14:paraId="7D64C207">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1"/>
        <w:gridCol w:w="423"/>
        <w:gridCol w:w="1554"/>
        <w:gridCol w:w="892"/>
        <w:gridCol w:w="892"/>
        <w:gridCol w:w="892"/>
        <w:gridCol w:w="892"/>
        <w:gridCol w:w="891"/>
        <w:gridCol w:w="906"/>
      </w:tblGrid>
      <w:tr w14:paraId="25F35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131" w:type="dxa"/>
            <w:vMerge w:val="restart"/>
            <w:tcBorders>
              <w:top w:val="single" w:color="000000" w:sz="12" w:space="0"/>
              <w:left w:val="single" w:color="000000" w:sz="12" w:space="0"/>
              <w:bottom w:val="nil"/>
            </w:tcBorders>
            <w:vAlign w:val="top"/>
          </w:tcPr>
          <w:p w14:paraId="3A027ADD">
            <w:pPr>
              <w:spacing w:before="253" w:line="221" w:lineRule="auto"/>
              <w:ind w:left="133"/>
              <w:rPr>
                <w:rFonts w:ascii="宋体" w:hAnsi="宋体" w:eastAsia="宋体" w:cs="宋体"/>
                <w:sz w:val="21"/>
                <w:szCs w:val="21"/>
              </w:rPr>
            </w:pPr>
            <w:r>
              <w:rPr>
                <w:rFonts w:ascii="宋体" w:hAnsi="宋体" w:eastAsia="宋体" w:cs="宋体"/>
                <w:spacing w:val="-2"/>
                <w:sz w:val="21"/>
                <w:szCs w:val="21"/>
              </w:rPr>
              <w:t>监测点位</w:t>
            </w:r>
          </w:p>
        </w:tc>
        <w:tc>
          <w:tcPr>
            <w:tcW w:w="1977" w:type="dxa"/>
            <w:gridSpan w:val="2"/>
            <w:vMerge w:val="restart"/>
            <w:tcBorders>
              <w:top w:val="single" w:color="000000" w:sz="12" w:space="0"/>
              <w:bottom w:val="nil"/>
            </w:tcBorders>
            <w:vAlign w:val="top"/>
          </w:tcPr>
          <w:p w14:paraId="23436529">
            <w:pPr>
              <w:spacing w:before="253" w:line="221" w:lineRule="auto"/>
              <w:ind w:left="56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49F4A588">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47497DE9">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29A3F6FF">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557A8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131" w:type="dxa"/>
            <w:vMerge w:val="continue"/>
            <w:tcBorders>
              <w:top w:val="nil"/>
              <w:left w:val="single" w:color="000000" w:sz="12" w:space="0"/>
            </w:tcBorders>
            <w:vAlign w:val="top"/>
          </w:tcPr>
          <w:p w14:paraId="104F9C13">
            <w:pPr>
              <w:rPr>
                <w:rFonts w:ascii="Arial"/>
                <w:sz w:val="21"/>
              </w:rPr>
            </w:pPr>
          </w:p>
        </w:tc>
        <w:tc>
          <w:tcPr>
            <w:tcW w:w="1977" w:type="dxa"/>
            <w:gridSpan w:val="2"/>
            <w:vMerge w:val="continue"/>
            <w:tcBorders>
              <w:top w:val="nil"/>
            </w:tcBorders>
            <w:vAlign w:val="top"/>
          </w:tcPr>
          <w:p w14:paraId="5C09FCDA">
            <w:pPr>
              <w:rPr>
                <w:rFonts w:ascii="Arial"/>
                <w:sz w:val="21"/>
              </w:rPr>
            </w:pPr>
          </w:p>
        </w:tc>
        <w:tc>
          <w:tcPr>
            <w:tcW w:w="892" w:type="dxa"/>
            <w:vAlign w:val="top"/>
          </w:tcPr>
          <w:p w14:paraId="6893E273">
            <w:pPr>
              <w:spacing w:before="70"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19D7A8F">
            <w:pPr>
              <w:spacing w:before="70"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5DC7B817">
            <w:pPr>
              <w:spacing w:before="70"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423C369">
            <w:pPr>
              <w:spacing w:before="70"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1DDCA708">
            <w:pPr>
              <w:spacing w:before="70"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47F9FADE">
            <w:pPr>
              <w:spacing w:before="70"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3FEF2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restart"/>
            <w:tcBorders>
              <w:left w:val="single" w:color="000000" w:sz="12" w:space="0"/>
              <w:bottom w:val="nil"/>
            </w:tcBorders>
            <w:vAlign w:val="top"/>
          </w:tcPr>
          <w:p w14:paraId="2F036104">
            <w:pPr>
              <w:spacing w:line="259" w:lineRule="auto"/>
              <w:rPr>
                <w:rFonts w:ascii="Arial"/>
                <w:sz w:val="21"/>
              </w:rPr>
            </w:pPr>
          </w:p>
          <w:p w14:paraId="729AA8EE">
            <w:pPr>
              <w:spacing w:line="259" w:lineRule="auto"/>
              <w:rPr>
                <w:rFonts w:ascii="Arial"/>
                <w:sz w:val="21"/>
              </w:rPr>
            </w:pPr>
          </w:p>
          <w:p w14:paraId="515CFB2C">
            <w:pPr>
              <w:spacing w:line="259" w:lineRule="auto"/>
              <w:rPr>
                <w:rFonts w:ascii="Arial"/>
                <w:sz w:val="21"/>
              </w:rPr>
            </w:pPr>
          </w:p>
          <w:p w14:paraId="1627C569">
            <w:pPr>
              <w:spacing w:line="260" w:lineRule="auto"/>
              <w:rPr>
                <w:rFonts w:ascii="Arial"/>
                <w:sz w:val="21"/>
              </w:rPr>
            </w:pPr>
          </w:p>
          <w:p w14:paraId="2C9E8AC0">
            <w:pPr>
              <w:spacing w:line="260" w:lineRule="auto"/>
              <w:rPr>
                <w:rFonts w:ascii="Arial"/>
                <w:sz w:val="21"/>
              </w:rPr>
            </w:pPr>
          </w:p>
          <w:p w14:paraId="61F17D17">
            <w:pPr>
              <w:spacing w:line="260" w:lineRule="auto"/>
              <w:rPr>
                <w:rFonts w:ascii="Arial"/>
                <w:sz w:val="21"/>
              </w:rPr>
            </w:pPr>
          </w:p>
          <w:p w14:paraId="1A86E81E">
            <w:pPr>
              <w:pStyle w:val="6"/>
              <w:spacing w:before="68" w:line="235" w:lineRule="auto"/>
              <w:ind w:left="96"/>
              <w:rPr>
                <w:rFonts w:ascii="宋体" w:hAnsi="宋体" w:eastAsia="宋体" w:cs="宋体"/>
              </w:rPr>
            </w:pPr>
            <w:r>
              <w:rPr>
                <w:spacing w:val="-4"/>
              </w:rPr>
              <w:t>11#</w:t>
            </w:r>
            <w:r>
              <w:rPr>
                <w:rFonts w:ascii="宋体" w:hAnsi="宋体" w:eastAsia="宋体" w:cs="宋体"/>
                <w:spacing w:val="-4"/>
              </w:rPr>
              <w:t>隧洞排</w:t>
            </w:r>
          </w:p>
          <w:p w14:paraId="77CCB28C">
            <w:pPr>
              <w:spacing w:before="4" w:line="220" w:lineRule="auto"/>
              <w:ind w:left="135"/>
              <w:rPr>
                <w:rFonts w:ascii="宋体" w:hAnsi="宋体" w:eastAsia="宋体" w:cs="宋体"/>
                <w:sz w:val="21"/>
                <w:szCs w:val="21"/>
              </w:rPr>
            </w:pPr>
            <w:r>
              <w:rPr>
                <w:rFonts w:ascii="宋体" w:hAnsi="宋体" w:eastAsia="宋体" w:cs="宋体"/>
                <w:spacing w:val="-3"/>
                <w:sz w:val="21"/>
                <w:szCs w:val="21"/>
              </w:rPr>
              <w:t>水处理系</w:t>
            </w:r>
          </w:p>
          <w:p w14:paraId="4B7B6529">
            <w:pPr>
              <w:spacing w:before="21" w:line="221" w:lineRule="auto"/>
              <w:ind w:left="452"/>
              <w:rPr>
                <w:rFonts w:ascii="宋体" w:hAnsi="宋体" w:eastAsia="宋体" w:cs="宋体"/>
                <w:sz w:val="21"/>
                <w:szCs w:val="21"/>
              </w:rPr>
            </w:pPr>
            <w:r>
              <w:rPr>
                <w:rFonts w:ascii="宋体" w:hAnsi="宋体" w:eastAsia="宋体" w:cs="宋体"/>
                <w:sz w:val="21"/>
                <w:szCs w:val="21"/>
              </w:rPr>
              <w:t>统</w:t>
            </w:r>
          </w:p>
        </w:tc>
        <w:tc>
          <w:tcPr>
            <w:tcW w:w="423" w:type="dxa"/>
            <w:vMerge w:val="restart"/>
            <w:tcBorders>
              <w:bottom w:val="nil"/>
            </w:tcBorders>
            <w:vAlign w:val="top"/>
          </w:tcPr>
          <w:p w14:paraId="54F427E6">
            <w:pPr>
              <w:pStyle w:val="6"/>
              <w:spacing w:before="154" w:line="222" w:lineRule="auto"/>
              <w:ind w:left="168"/>
            </w:pPr>
            <w:r>
              <w:t>1</w:t>
            </w:r>
          </w:p>
          <w:p w14:paraId="143960F9">
            <w:pPr>
              <w:spacing w:line="219" w:lineRule="auto"/>
              <w:ind w:left="100"/>
              <w:rPr>
                <w:rFonts w:ascii="宋体" w:hAnsi="宋体" w:eastAsia="宋体" w:cs="宋体"/>
                <w:sz w:val="21"/>
                <w:szCs w:val="21"/>
              </w:rPr>
            </w:pPr>
            <w:r>
              <w:rPr>
                <w:rFonts w:ascii="宋体" w:hAnsi="宋体" w:eastAsia="宋体" w:cs="宋体"/>
                <w:sz w:val="21"/>
                <w:szCs w:val="21"/>
              </w:rPr>
              <w:t>季</w:t>
            </w:r>
          </w:p>
          <w:p w14:paraId="0A7AA79A">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331A75D9">
            <w:pPr>
              <w:pStyle w:val="6"/>
              <w:spacing w:before="90" w:line="224" w:lineRule="auto"/>
              <w:ind w:left="343"/>
            </w:pPr>
            <w:r>
              <w:rPr>
                <w:spacing w:val="-1"/>
              </w:rPr>
              <w:t>2019/1/15</w:t>
            </w:r>
          </w:p>
        </w:tc>
        <w:tc>
          <w:tcPr>
            <w:tcW w:w="892" w:type="dxa"/>
            <w:vAlign w:val="top"/>
          </w:tcPr>
          <w:p w14:paraId="4EBF5FF3">
            <w:pPr>
              <w:pStyle w:val="6"/>
              <w:spacing w:before="90" w:line="224" w:lineRule="auto"/>
              <w:ind w:left="232"/>
            </w:pPr>
            <w:r>
              <w:rPr>
                <w:spacing w:val="-1"/>
              </w:rPr>
              <w:t>2660</w:t>
            </w:r>
          </w:p>
        </w:tc>
        <w:tc>
          <w:tcPr>
            <w:tcW w:w="892" w:type="dxa"/>
            <w:vAlign w:val="top"/>
          </w:tcPr>
          <w:p w14:paraId="272BDCA1">
            <w:pPr>
              <w:pStyle w:val="6"/>
              <w:spacing w:before="90" w:line="224" w:lineRule="auto"/>
              <w:ind w:left="360"/>
            </w:pPr>
            <w:r>
              <w:rPr>
                <w:spacing w:val="-6"/>
              </w:rPr>
              <w:t>18</w:t>
            </w:r>
          </w:p>
        </w:tc>
        <w:tc>
          <w:tcPr>
            <w:tcW w:w="892" w:type="dxa"/>
            <w:vAlign w:val="top"/>
          </w:tcPr>
          <w:p w14:paraId="7F10394A">
            <w:pPr>
              <w:pStyle w:val="6"/>
              <w:spacing w:before="90" w:line="224" w:lineRule="auto"/>
              <w:ind w:left="268"/>
            </w:pPr>
            <w:r>
              <w:rPr>
                <w:spacing w:val="-2"/>
              </w:rPr>
              <w:t>7.62</w:t>
            </w:r>
          </w:p>
        </w:tc>
        <w:tc>
          <w:tcPr>
            <w:tcW w:w="892" w:type="dxa"/>
            <w:vAlign w:val="top"/>
          </w:tcPr>
          <w:p w14:paraId="241C8A72">
            <w:pPr>
              <w:pStyle w:val="6"/>
              <w:spacing w:before="90" w:line="224" w:lineRule="auto"/>
              <w:ind w:left="276"/>
            </w:pPr>
            <w:r>
              <w:rPr>
                <w:spacing w:val="-4"/>
              </w:rPr>
              <w:t>8.81</w:t>
            </w:r>
          </w:p>
        </w:tc>
        <w:tc>
          <w:tcPr>
            <w:tcW w:w="891" w:type="dxa"/>
            <w:vAlign w:val="top"/>
          </w:tcPr>
          <w:p w14:paraId="3F530B8E">
            <w:pPr>
              <w:pStyle w:val="6"/>
              <w:spacing w:before="90" w:line="224" w:lineRule="auto"/>
              <w:ind w:left="274"/>
            </w:pPr>
            <w:r>
              <w:rPr>
                <w:spacing w:val="-2"/>
              </w:rPr>
              <w:t>0.10</w:t>
            </w:r>
          </w:p>
        </w:tc>
        <w:tc>
          <w:tcPr>
            <w:tcW w:w="906" w:type="dxa"/>
            <w:tcBorders>
              <w:right w:val="single" w:color="000000" w:sz="12" w:space="0"/>
            </w:tcBorders>
            <w:vAlign w:val="top"/>
          </w:tcPr>
          <w:p w14:paraId="1EEAA49B">
            <w:pPr>
              <w:pStyle w:val="6"/>
              <w:spacing w:before="90" w:line="224" w:lineRule="auto"/>
              <w:ind w:left="214"/>
            </w:pPr>
            <w:r>
              <w:rPr>
                <w:spacing w:val="-2"/>
              </w:rPr>
              <w:t>0.06L</w:t>
            </w:r>
          </w:p>
        </w:tc>
      </w:tr>
      <w:tr w14:paraId="04584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398C2BF8">
            <w:pPr>
              <w:rPr>
                <w:rFonts w:ascii="Arial"/>
                <w:sz w:val="21"/>
              </w:rPr>
            </w:pPr>
          </w:p>
        </w:tc>
        <w:tc>
          <w:tcPr>
            <w:tcW w:w="423" w:type="dxa"/>
            <w:vMerge w:val="continue"/>
            <w:tcBorders>
              <w:top w:val="nil"/>
              <w:bottom w:val="nil"/>
            </w:tcBorders>
            <w:vAlign w:val="top"/>
          </w:tcPr>
          <w:p w14:paraId="11B4157F">
            <w:pPr>
              <w:rPr>
                <w:rFonts w:ascii="Arial"/>
                <w:sz w:val="21"/>
              </w:rPr>
            </w:pPr>
          </w:p>
        </w:tc>
        <w:tc>
          <w:tcPr>
            <w:tcW w:w="1554" w:type="dxa"/>
            <w:vAlign w:val="top"/>
          </w:tcPr>
          <w:p w14:paraId="03A8FB06">
            <w:pPr>
              <w:pStyle w:val="6"/>
              <w:spacing w:before="91" w:line="222" w:lineRule="auto"/>
              <w:ind w:left="343"/>
            </w:pPr>
            <w:r>
              <w:rPr>
                <w:spacing w:val="-1"/>
              </w:rPr>
              <w:t>2019/1/16</w:t>
            </w:r>
          </w:p>
        </w:tc>
        <w:tc>
          <w:tcPr>
            <w:tcW w:w="892" w:type="dxa"/>
            <w:vAlign w:val="top"/>
          </w:tcPr>
          <w:p w14:paraId="284D944D">
            <w:pPr>
              <w:pStyle w:val="6"/>
              <w:spacing w:before="91" w:line="222" w:lineRule="auto"/>
              <w:ind w:left="232"/>
            </w:pPr>
            <w:r>
              <w:rPr>
                <w:spacing w:val="-1"/>
              </w:rPr>
              <w:t>2598</w:t>
            </w:r>
          </w:p>
        </w:tc>
        <w:tc>
          <w:tcPr>
            <w:tcW w:w="892" w:type="dxa"/>
            <w:vAlign w:val="top"/>
          </w:tcPr>
          <w:p w14:paraId="5E812B80">
            <w:pPr>
              <w:pStyle w:val="6"/>
              <w:spacing w:before="91" w:line="222" w:lineRule="auto"/>
              <w:ind w:left="360"/>
            </w:pPr>
            <w:r>
              <w:rPr>
                <w:spacing w:val="-6"/>
              </w:rPr>
              <w:t>19</w:t>
            </w:r>
          </w:p>
        </w:tc>
        <w:tc>
          <w:tcPr>
            <w:tcW w:w="892" w:type="dxa"/>
            <w:vAlign w:val="top"/>
          </w:tcPr>
          <w:p w14:paraId="08D536B4">
            <w:pPr>
              <w:pStyle w:val="6"/>
              <w:spacing w:before="91" w:line="222" w:lineRule="auto"/>
              <w:ind w:left="268"/>
            </w:pPr>
            <w:r>
              <w:rPr>
                <w:spacing w:val="-2"/>
              </w:rPr>
              <w:t>7.68</w:t>
            </w:r>
          </w:p>
        </w:tc>
        <w:tc>
          <w:tcPr>
            <w:tcW w:w="892" w:type="dxa"/>
            <w:vAlign w:val="top"/>
          </w:tcPr>
          <w:p w14:paraId="6060BFF9">
            <w:pPr>
              <w:pStyle w:val="6"/>
              <w:spacing w:before="91" w:line="222" w:lineRule="auto"/>
              <w:ind w:left="276"/>
            </w:pPr>
            <w:r>
              <w:rPr>
                <w:spacing w:val="-4"/>
              </w:rPr>
              <w:t>8.75</w:t>
            </w:r>
          </w:p>
        </w:tc>
        <w:tc>
          <w:tcPr>
            <w:tcW w:w="891" w:type="dxa"/>
            <w:vAlign w:val="top"/>
          </w:tcPr>
          <w:p w14:paraId="79A4613E">
            <w:pPr>
              <w:pStyle w:val="6"/>
              <w:spacing w:before="91" w:line="222" w:lineRule="auto"/>
              <w:ind w:left="274"/>
            </w:pPr>
            <w:r>
              <w:rPr>
                <w:spacing w:val="-2"/>
              </w:rPr>
              <w:t>0.12</w:t>
            </w:r>
          </w:p>
        </w:tc>
        <w:tc>
          <w:tcPr>
            <w:tcW w:w="906" w:type="dxa"/>
            <w:tcBorders>
              <w:right w:val="single" w:color="000000" w:sz="12" w:space="0"/>
            </w:tcBorders>
            <w:vAlign w:val="top"/>
          </w:tcPr>
          <w:p w14:paraId="21EA2BDD">
            <w:pPr>
              <w:pStyle w:val="6"/>
              <w:spacing w:before="91" w:line="222" w:lineRule="auto"/>
              <w:ind w:left="214"/>
            </w:pPr>
            <w:r>
              <w:rPr>
                <w:spacing w:val="-2"/>
              </w:rPr>
              <w:t>0.06L</w:t>
            </w:r>
          </w:p>
        </w:tc>
      </w:tr>
      <w:tr w14:paraId="28754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735F91A">
            <w:pPr>
              <w:rPr>
                <w:rFonts w:ascii="Arial"/>
                <w:sz w:val="21"/>
              </w:rPr>
            </w:pPr>
          </w:p>
        </w:tc>
        <w:tc>
          <w:tcPr>
            <w:tcW w:w="423" w:type="dxa"/>
            <w:vMerge w:val="continue"/>
            <w:tcBorders>
              <w:top w:val="nil"/>
            </w:tcBorders>
            <w:vAlign w:val="top"/>
          </w:tcPr>
          <w:p w14:paraId="5C7A10F1">
            <w:pPr>
              <w:rPr>
                <w:rFonts w:ascii="Arial"/>
                <w:sz w:val="21"/>
              </w:rPr>
            </w:pPr>
          </w:p>
        </w:tc>
        <w:tc>
          <w:tcPr>
            <w:tcW w:w="1554" w:type="dxa"/>
            <w:vAlign w:val="top"/>
          </w:tcPr>
          <w:p w14:paraId="107A6E6A">
            <w:pPr>
              <w:pStyle w:val="6"/>
              <w:spacing w:before="92" w:line="222" w:lineRule="auto"/>
              <w:ind w:left="343"/>
            </w:pPr>
            <w:r>
              <w:rPr>
                <w:spacing w:val="-1"/>
              </w:rPr>
              <w:t>2019/1/17</w:t>
            </w:r>
          </w:p>
        </w:tc>
        <w:tc>
          <w:tcPr>
            <w:tcW w:w="892" w:type="dxa"/>
            <w:vAlign w:val="top"/>
          </w:tcPr>
          <w:p w14:paraId="26BC4F30">
            <w:pPr>
              <w:pStyle w:val="6"/>
              <w:spacing w:before="92" w:line="222" w:lineRule="auto"/>
              <w:ind w:left="232"/>
            </w:pPr>
            <w:r>
              <w:rPr>
                <w:spacing w:val="-1"/>
              </w:rPr>
              <w:t>2510</w:t>
            </w:r>
          </w:p>
        </w:tc>
        <w:tc>
          <w:tcPr>
            <w:tcW w:w="892" w:type="dxa"/>
            <w:vAlign w:val="top"/>
          </w:tcPr>
          <w:p w14:paraId="0FF17A5B">
            <w:pPr>
              <w:pStyle w:val="6"/>
              <w:spacing w:before="92" w:line="222" w:lineRule="auto"/>
              <w:ind w:left="360"/>
            </w:pPr>
            <w:r>
              <w:rPr>
                <w:spacing w:val="-6"/>
              </w:rPr>
              <w:t>17</w:t>
            </w:r>
          </w:p>
        </w:tc>
        <w:tc>
          <w:tcPr>
            <w:tcW w:w="892" w:type="dxa"/>
            <w:vAlign w:val="top"/>
          </w:tcPr>
          <w:p w14:paraId="30CC0F54">
            <w:pPr>
              <w:pStyle w:val="6"/>
              <w:spacing w:before="92" w:line="222" w:lineRule="auto"/>
              <w:ind w:left="268"/>
            </w:pPr>
            <w:r>
              <w:rPr>
                <w:spacing w:val="-2"/>
              </w:rPr>
              <w:t>7.74</w:t>
            </w:r>
          </w:p>
        </w:tc>
        <w:tc>
          <w:tcPr>
            <w:tcW w:w="892" w:type="dxa"/>
            <w:vAlign w:val="top"/>
          </w:tcPr>
          <w:p w14:paraId="14BA490A">
            <w:pPr>
              <w:pStyle w:val="6"/>
              <w:spacing w:before="92" w:line="222" w:lineRule="auto"/>
              <w:ind w:left="276"/>
            </w:pPr>
            <w:r>
              <w:rPr>
                <w:spacing w:val="-4"/>
              </w:rPr>
              <w:t>8.65</w:t>
            </w:r>
          </w:p>
        </w:tc>
        <w:tc>
          <w:tcPr>
            <w:tcW w:w="891" w:type="dxa"/>
            <w:vAlign w:val="top"/>
          </w:tcPr>
          <w:p w14:paraId="57E6B6AB">
            <w:pPr>
              <w:pStyle w:val="6"/>
              <w:spacing w:before="92" w:line="222" w:lineRule="auto"/>
              <w:ind w:left="274"/>
            </w:pPr>
            <w:r>
              <w:rPr>
                <w:spacing w:val="-2"/>
              </w:rPr>
              <w:t>0.13</w:t>
            </w:r>
          </w:p>
        </w:tc>
        <w:tc>
          <w:tcPr>
            <w:tcW w:w="906" w:type="dxa"/>
            <w:tcBorders>
              <w:right w:val="single" w:color="000000" w:sz="12" w:space="0"/>
            </w:tcBorders>
            <w:vAlign w:val="top"/>
          </w:tcPr>
          <w:p w14:paraId="40F41E13">
            <w:pPr>
              <w:pStyle w:val="6"/>
              <w:spacing w:before="92" w:line="222" w:lineRule="auto"/>
              <w:ind w:left="214"/>
            </w:pPr>
            <w:r>
              <w:rPr>
                <w:spacing w:val="-2"/>
              </w:rPr>
              <w:t>0.06L</w:t>
            </w:r>
          </w:p>
        </w:tc>
      </w:tr>
      <w:tr w14:paraId="3DD06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A51A78B">
            <w:pPr>
              <w:rPr>
                <w:rFonts w:ascii="Arial"/>
                <w:sz w:val="21"/>
              </w:rPr>
            </w:pPr>
          </w:p>
        </w:tc>
        <w:tc>
          <w:tcPr>
            <w:tcW w:w="423" w:type="dxa"/>
            <w:vMerge w:val="restart"/>
            <w:tcBorders>
              <w:bottom w:val="nil"/>
            </w:tcBorders>
            <w:vAlign w:val="top"/>
          </w:tcPr>
          <w:p w14:paraId="4CEF645B">
            <w:pPr>
              <w:pStyle w:val="6"/>
              <w:spacing w:before="157" w:line="222" w:lineRule="auto"/>
              <w:ind w:left="148"/>
            </w:pPr>
            <w:r>
              <w:t>2</w:t>
            </w:r>
          </w:p>
          <w:p w14:paraId="2181E98C">
            <w:pPr>
              <w:spacing w:line="219" w:lineRule="auto"/>
              <w:ind w:left="100"/>
              <w:rPr>
                <w:rFonts w:ascii="宋体" w:hAnsi="宋体" w:eastAsia="宋体" w:cs="宋体"/>
                <w:sz w:val="21"/>
                <w:szCs w:val="21"/>
              </w:rPr>
            </w:pPr>
            <w:r>
              <w:rPr>
                <w:rFonts w:ascii="宋体" w:hAnsi="宋体" w:eastAsia="宋体" w:cs="宋体"/>
                <w:sz w:val="21"/>
                <w:szCs w:val="21"/>
              </w:rPr>
              <w:t>季</w:t>
            </w:r>
          </w:p>
          <w:p w14:paraId="743786D0">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1575139">
            <w:pPr>
              <w:pStyle w:val="6"/>
              <w:spacing w:before="92" w:line="221" w:lineRule="auto"/>
              <w:ind w:left="343"/>
            </w:pPr>
            <w:r>
              <w:rPr>
                <w:spacing w:val="-1"/>
              </w:rPr>
              <w:t>2019/5/10</w:t>
            </w:r>
          </w:p>
        </w:tc>
        <w:tc>
          <w:tcPr>
            <w:tcW w:w="892" w:type="dxa"/>
            <w:vAlign w:val="top"/>
          </w:tcPr>
          <w:p w14:paraId="693F84D4">
            <w:pPr>
              <w:pStyle w:val="6"/>
              <w:spacing w:before="92" w:line="221" w:lineRule="auto"/>
              <w:ind w:left="337"/>
            </w:pPr>
            <w:r>
              <w:rPr>
                <w:spacing w:val="-1"/>
              </w:rPr>
              <w:t>27</w:t>
            </w:r>
          </w:p>
        </w:tc>
        <w:tc>
          <w:tcPr>
            <w:tcW w:w="892" w:type="dxa"/>
            <w:vAlign w:val="top"/>
          </w:tcPr>
          <w:p w14:paraId="6D2A4439">
            <w:pPr>
              <w:pStyle w:val="6"/>
              <w:spacing w:before="92" w:line="221" w:lineRule="auto"/>
              <w:ind w:left="360"/>
            </w:pPr>
            <w:r>
              <w:rPr>
                <w:spacing w:val="-6"/>
              </w:rPr>
              <w:t>17</w:t>
            </w:r>
          </w:p>
        </w:tc>
        <w:tc>
          <w:tcPr>
            <w:tcW w:w="892" w:type="dxa"/>
            <w:vAlign w:val="top"/>
          </w:tcPr>
          <w:p w14:paraId="7769B868">
            <w:pPr>
              <w:pStyle w:val="6"/>
              <w:spacing w:before="92" w:line="221" w:lineRule="auto"/>
              <w:ind w:left="268"/>
            </w:pPr>
            <w:r>
              <w:rPr>
                <w:spacing w:val="-2"/>
              </w:rPr>
              <w:t>7.61</w:t>
            </w:r>
          </w:p>
        </w:tc>
        <w:tc>
          <w:tcPr>
            <w:tcW w:w="892" w:type="dxa"/>
            <w:vAlign w:val="top"/>
          </w:tcPr>
          <w:p w14:paraId="5E3FC73C">
            <w:pPr>
              <w:pStyle w:val="6"/>
              <w:spacing w:before="92" w:line="221" w:lineRule="auto"/>
              <w:ind w:left="276"/>
            </w:pPr>
            <w:r>
              <w:rPr>
                <w:spacing w:val="-4"/>
              </w:rPr>
              <w:t>8.79</w:t>
            </w:r>
          </w:p>
        </w:tc>
        <w:tc>
          <w:tcPr>
            <w:tcW w:w="891" w:type="dxa"/>
            <w:vAlign w:val="top"/>
          </w:tcPr>
          <w:p w14:paraId="2DA6B4F1">
            <w:pPr>
              <w:pStyle w:val="6"/>
              <w:spacing w:before="92" w:line="221" w:lineRule="auto"/>
              <w:ind w:left="274"/>
            </w:pPr>
            <w:r>
              <w:rPr>
                <w:spacing w:val="-2"/>
              </w:rPr>
              <w:t>0.16</w:t>
            </w:r>
          </w:p>
        </w:tc>
        <w:tc>
          <w:tcPr>
            <w:tcW w:w="906" w:type="dxa"/>
            <w:tcBorders>
              <w:right w:val="single" w:color="000000" w:sz="12" w:space="0"/>
            </w:tcBorders>
            <w:vAlign w:val="top"/>
          </w:tcPr>
          <w:p w14:paraId="7E02B959">
            <w:pPr>
              <w:pStyle w:val="6"/>
              <w:spacing w:before="92" w:line="221" w:lineRule="auto"/>
              <w:ind w:left="277"/>
            </w:pPr>
            <w:r>
              <w:rPr>
                <w:spacing w:val="-2"/>
              </w:rPr>
              <w:t>0.15</w:t>
            </w:r>
          </w:p>
        </w:tc>
      </w:tr>
      <w:tr w14:paraId="6CFB0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42789AA">
            <w:pPr>
              <w:rPr>
                <w:rFonts w:ascii="Arial"/>
                <w:sz w:val="21"/>
              </w:rPr>
            </w:pPr>
          </w:p>
        </w:tc>
        <w:tc>
          <w:tcPr>
            <w:tcW w:w="423" w:type="dxa"/>
            <w:vMerge w:val="continue"/>
            <w:tcBorders>
              <w:top w:val="nil"/>
              <w:bottom w:val="nil"/>
            </w:tcBorders>
            <w:vAlign w:val="top"/>
          </w:tcPr>
          <w:p w14:paraId="119D63B4">
            <w:pPr>
              <w:rPr>
                <w:rFonts w:ascii="Arial"/>
                <w:sz w:val="21"/>
              </w:rPr>
            </w:pPr>
          </w:p>
        </w:tc>
        <w:tc>
          <w:tcPr>
            <w:tcW w:w="1554" w:type="dxa"/>
            <w:vAlign w:val="top"/>
          </w:tcPr>
          <w:p w14:paraId="38A72FF0">
            <w:pPr>
              <w:pStyle w:val="6"/>
              <w:spacing w:before="94" w:line="219" w:lineRule="auto"/>
              <w:ind w:left="343"/>
            </w:pPr>
            <w:r>
              <w:rPr>
                <w:spacing w:val="-1"/>
              </w:rPr>
              <w:t>2019/5/11</w:t>
            </w:r>
          </w:p>
        </w:tc>
        <w:tc>
          <w:tcPr>
            <w:tcW w:w="892" w:type="dxa"/>
            <w:vAlign w:val="top"/>
          </w:tcPr>
          <w:p w14:paraId="0806D7E2">
            <w:pPr>
              <w:pStyle w:val="6"/>
              <w:spacing w:before="94" w:line="219" w:lineRule="auto"/>
              <w:ind w:left="337"/>
            </w:pPr>
            <w:r>
              <w:rPr>
                <w:spacing w:val="-1"/>
              </w:rPr>
              <w:t>25</w:t>
            </w:r>
          </w:p>
        </w:tc>
        <w:tc>
          <w:tcPr>
            <w:tcW w:w="892" w:type="dxa"/>
            <w:vAlign w:val="top"/>
          </w:tcPr>
          <w:p w14:paraId="3DBAB454">
            <w:pPr>
              <w:pStyle w:val="6"/>
              <w:spacing w:before="94" w:line="219" w:lineRule="auto"/>
              <w:ind w:left="360"/>
            </w:pPr>
            <w:r>
              <w:rPr>
                <w:spacing w:val="-6"/>
              </w:rPr>
              <w:t>19</w:t>
            </w:r>
          </w:p>
        </w:tc>
        <w:tc>
          <w:tcPr>
            <w:tcW w:w="892" w:type="dxa"/>
            <w:vAlign w:val="top"/>
          </w:tcPr>
          <w:p w14:paraId="524BBF98">
            <w:pPr>
              <w:pStyle w:val="6"/>
              <w:spacing w:before="94" w:line="219" w:lineRule="auto"/>
              <w:ind w:left="268"/>
            </w:pPr>
            <w:r>
              <w:rPr>
                <w:spacing w:val="-2"/>
              </w:rPr>
              <w:t>7.57</w:t>
            </w:r>
          </w:p>
        </w:tc>
        <w:tc>
          <w:tcPr>
            <w:tcW w:w="892" w:type="dxa"/>
            <w:vAlign w:val="top"/>
          </w:tcPr>
          <w:p w14:paraId="573907F7">
            <w:pPr>
              <w:pStyle w:val="6"/>
              <w:spacing w:before="94" w:line="219" w:lineRule="auto"/>
              <w:ind w:left="276"/>
            </w:pPr>
            <w:r>
              <w:rPr>
                <w:spacing w:val="-4"/>
              </w:rPr>
              <w:t>8.76</w:t>
            </w:r>
          </w:p>
        </w:tc>
        <w:tc>
          <w:tcPr>
            <w:tcW w:w="891" w:type="dxa"/>
            <w:vAlign w:val="top"/>
          </w:tcPr>
          <w:p w14:paraId="1F1FBF06">
            <w:pPr>
              <w:pStyle w:val="6"/>
              <w:spacing w:before="94" w:line="219" w:lineRule="auto"/>
              <w:ind w:left="274"/>
            </w:pPr>
            <w:r>
              <w:rPr>
                <w:spacing w:val="-2"/>
              </w:rPr>
              <w:t>0.18</w:t>
            </w:r>
          </w:p>
        </w:tc>
        <w:tc>
          <w:tcPr>
            <w:tcW w:w="906" w:type="dxa"/>
            <w:tcBorders>
              <w:right w:val="single" w:color="000000" w:sz="12" w:space="0"/>
            </w:tcBorders>
            <w:vAlign w:val="top"/>
          </w:tcPr>
          <w:p w14:paraId="5B58FF3F">
            <w:pPr>
              <w:pStyle w:val="6"/>
              <w:spacing w:before="94" w:line="219" w:lineRule="auto"/>
              <w:ind w:left="277"/>
            </w:pPr>
            <w:r>
              <w:rPr>
                <w:spacing w:val="-2"/>
              </w:rPr>
              <w:t>0.13</w:t>
            </w:r>
          </w:p>
        </w:tc>
      </w:tr>
      <w:tr w14:paraId="2F7C4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16A097A">
            <w:pPr>
              <w:rPr>
                <w:rFonts w:ascii="Arial"/>
                <w:sz w:val="21"/>
              </w:rPr>
            </w:pPr>
          </w:p>
        </w:tc>
        <w:tc>
          <w:tcPr>
            <w:tcW w:w="423" w:type="dxa"/>
            <w:vMerge w:val="continue"/>
            <w:tcBorders>
              <w:top w:val="nil"/>
            </w:tcBorders>
            <w:vAlign w:val="top"/>
          </w:tcPr>
          <w:p w14:paraId="73BEF268">
            <w:pPr>
              <w:rPr>
                <w:rFonts w:ascii="Arial"/>
                <w:sz w:val="21"/>
              </w:rPr>
            </w:pPr>
          </w:p>
        </w:tc>
        <w:tc>
          <w:tcPr>
            <w:tcW w:w="1554" w:type="dxa"/>
            <w:vAlign w:val="top"/>
          </w:tcPr>
          <w:p w14:paraId="72B56919">
            <w:pPr>
              <w:pStyle w:val="6"/>
              <w:spacing w:before="95" w:line="219" w:lineRule="auto"/>
              <w:ind w:left="343"/>
            </w:pPr>
            <w:r>
              <w:rPr>
                <w:spacing w:val="-1"/>
              </w:rPr>
              <w:t>2019/5/12</w:t>
            </w:r>
          </w:p>
        </w:tc>
        <w:tc>
          <w:tcPr>
            <w:tcW w:w="892" w:type="dxa"/>
            <w:vAlign w:val="top"/>
          </w:tcPr>
          <w:p w14:paraId="1B2B9973">
            <w:pPr>
              <w:pStyle w:val="6"/>
              <w:spacing w:before="95" w:line="219" w:lineRule="auto"/>
              <w:ind w:left="337"/>
            </w:pPr>
            <w:r>
              <w:rPr>
                <w:spacing w:val="-1"/>
              </w:rPr>
              <w:t>22</w:t>
            </w:r>
          </w:p>
        </w:tc>
        <w:tc>
          <w:tcPr>
            <w:tcW w:w="892" w:type="dxa"/>
            <w:vAlign w:val="top"/>
          </w:tcPr>
          <w:p w14:paraId="487A583F">
            <w:pPr>
              <w:pStyle w:val="6"/>
              <w:spacing w:before="95" w:line="219" w:lineRule="auto"/>
              <w:ind w:left="360"/>
            </w:pPr>
            <w:r>
              <w:rPr>
                <w:spacing w:val="-6"/>
              </w:rPr>
              <w:t>18</w:t>
            </w:r>
          </w:p>
        </w:tc>
        <w:tc>
          <w:tcPr>
            <w:tcW w:w="892" w:type="dxa"/>
            <w:vAlign w:val="top"/>
          </w:tcPr>
          <w:p w14:paraId="7FC75EBF">
            <w:pPr>
              <w:pStyle w:val="6"/>
              <w:spacing w:before="95" w:line="219" w:lineRule="auto"/>
              <w:ind w:left="268"/>
            </w:pPr>
            <w:r>
              <w:rPr>
                <w:spacing w:val="-2"/>
              </w:rPr>
              <w:t>7.64</w:t>
            </w:r>
          </w:p>
        </w:tc>
        <w:tc>
          <w:tcPr>
            <w:tcW w:w="892" w:type="dxa"/>
            <w:vAlign w:val="top"/>
          </w:tcPr>
          <w:p w14:paraId="2E546E8D">
            <w:pPr>
              <w:pStyle w:val="6"/>
              <w:spacing w:before="95" w:line="219" w:lineRule="auto"/>
              <w:ind w:left="272"/>
            </w:pPr>
            <w:r>
              <w:rPr>
                <w:spacing w:val="-3"/>
              </w:rPr>
              <w:t>6.66</w:t>
            </w:r>
          </w:p>
        </w:tc>
        <w:tc>
          <w:tcPr>
            <w:tcW w:w="891" w:type="dxa"/>
            <w:vAlign w:val="top"/>
          </w:tcPr>
          <w:p w14:paraId="3CA81130">
            <w:pPr>
              <w:pStyle w:val="6"/>
              <w:spacing w:before="95" w:line="219" w:lineRule="auto"/>
              <w:ind w:left="274"/>
            </w:pPr>
            <w:r>
              <w:rPr>
                <w:spacing w:val="-2"/>
              </w:rPr>
              <w:t>0.17</w:t>
            </w:r>
          </w:p>
        </w:tc>
        <w:tc>
          <w:tcPr>
            <w:tcW w:w="906" w:type="dxa"/>
            <w:tcBorders>
              <w:right w:val="single" w:color="000000" w:sz="12" w:space="0"/>
            </w:tcBorders>
            <w:vAlign w:val="top"/>
          </w:tcPr>
          <w:p w14:paraId="199F306A">
            <w:pPr>
              <w:pStyle w:val="6"/>
              <w:spacing w:before="95" w:line="219" w:lineRule="auto"/>
              <w:ind w:left="277"/>
            </w:pPr>
            <w:r>
              <w:rPr>
                <w:spacing w:val="-2"/>
              </w:rPr>
              <w:t>0.14</w:t>
            </w:r>
          </w:p>
        </w:tc>
      </w:tr>
      <w:tr w14:paraId="7CB7C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241584A0">
            <w:pPr>
              <w:rPr>
                <w:rFonts w:ascii="Arial"/>
                <w:sz w:val="21"/>
              </w:rPr>
            </w:pPr>
          </w:p>
        </w:tc>
        <w:tc>
          <w:tcPr>
            <w:tcW w:w="423" w:type="dxa"/>
            <w:vMerge w:val="restart"/>
            <w:tcBorders>
              <w:bottom w:val="nil"/>
            </w:tcBorders>
            <w:vAlign w:val="top"/>
          </w:tcPr>
          <w:p w14:paraId="114B4110">
            <w:pPr>
              <w:pStyle w:val="6"/>
              <w:spacing w:before="160" w:line="222" w:lineRule="auto"/>
              <w:ind w:left="152"/>
            </w:pPr>
            <w:r>
              <w:t>3</w:t>
            </w:r>
          </w:p>
          <w:p w14:paraId="4FC70217">
            <w:pPr>
              <w:spacing w:line="219" w:lineRule="auto"/>
              <w:ind w:left="100"/>
              <w:rPr>
                <w:rFonts w:ascii="宋体" w:hAnsi="宋体" w:eastAsia="宋体" w:cs="宋体"/>
                <w:sz w:val="21"/>
                <w:szCs w:val="21"/>
              </w:rPr>
            </w:pPr>
            <w:r>
              <w:rPr>
                <w:rFonts w:ascii="宋体" w:hAnsi="宋体" w:eastAsia="宋体" w:cs="宋体"/>
                <w:sz w:val="21"/>
                <w:szCs w:val="21"/>
              </w:rPr>
              <w:t>季</w:t>
            </w:r>
          </w:p>
          <w:p w14:paraId="52E46814">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53FB087D">
            <w:pPr>
              <w:pStyle w:val="6"/>
              <w:spacing w:before="96" w:line="217" w:lineRule="auto"/>
              <w:ind w:left="343"/>
            </w:pPr>
            <w:r>
              <w:rPr>
                <w:spacing w:val="-1"/>
              </w:rPr>
              <w:t>2019/8/06</w:t>
            </w:r>
          </w:p>
        </w:tc>
        <w:tc>
          <w:tcPr>
            <w:tcW w:w="892" w:type="dxa"/>
            <w:vAlign w:val="top"/>
          </w:tcPr>
          <w:p w14:paraId="39DBF6F1">
            <w:pPr>
              <w:pStyle w:val="6"/>
              <w:spacing w:before="96" w:line="217" w:lineRule="auto"/>
              <w:ind w:left="284"/>
            </w:pPr>
            <w:r>
              <w:rPr>
                <w:spacing w:val="-1"/>
              </w:rPr>
              <w:t>235</w:t>
            </w:r>
          </w:p>
        </w:tc>
        <w:tc>
          <w:tcPr>
            <w:tcW w:w="892" w:type="dxa"/>
            <w:vAlign w:val="top"/>
          </w:tcPr>
          <w:p w14:paraId="3A2753AE">
            <w:pPr>
              <w:pStyle w:val="6"/>
              <w:spacing w:before="96" w:line="217" w:lineRule="auto"/>
              <w:ind w:left="345"/>
            </w:pPr>
            <w:r>
              <w:rPr>
                <w:spacing w:val="-3"/>
              </w:rPr>
              <w:t>30</w:t>
            </w:r>
          </w:p>
        </w:tc>
        <w:tc>
          <w:tcPr>
            <w:tcW w:w="892" w:type="dxa"/>
            <w:vAlign w:val="top"/>
          </w:tcPr>
          <w:p w14:paraId="0AA5D7B4">
            <w:pPr>
              <w:pStyle w:val="6"/>
              <w:spacing w:before="96" w:line="217" w:lineRule="auto"/>
              <w:ind w:left="268"/>
            </w:pPr>
            <w:r>
              <w:rPr>
                <w:spacing w:val="-2"/>
              </w:rPr>
              <w:t>7.33</w:t>
            </w:r>
          </w:p>
        </w:tc>
        <w:tc>
          <w:tcPr>
            <w:tcW w:w="892" w:type="dxa"/>
            <w:vAlign w:val="top"/>
          </w:tcPr>
          <w:p w14:paraId="713C421D">
            <w:pPr>
              <w:pStyle w:val="6"/>
              <w:spacing w:before="96" w:line="217" w:lineRule="auto"/>
              <w:ind w:left="276"/>
            </w:pPr>
            <w:r>
              <w:rPr>
                <w:spacing w:val="-4"/>
              </w:rPr>
              <w:t>8.11</w:t>
            </w:r>
          </w:p>
        </w:tc>
        <w:tc>
          <w:tcPr>
            <w:tcW w:w="891" w:type="dxa"/>
            <w:vAlign w:val="top"/>
          </w:tcPr>
          <w:p w14:paraId="63E9780E">
            <w:pPr>
              <w:pStyle w:val="6"/>
              <w:spacing w:before="96" w:line="217" w:lineRule="auto"/>
              <w:ind w:left="291"/>
            </w:pPr>
            <w:r>
              <w:rPr>
                <w:spacing w:val="-6"/>
              </w:rPr>
              <w:t>1.85</w:t>
            </w:r>
          </w:p>
        </w:tc>
        <w:tc>
          <w:tcPr>
            <w:tcW w:w="906" w:type="dxa"/>
            <w:tcBorders>
              <w:right w:val="single" w:color="000000" w:sz="12" w:space="0"/>
            </w:tcBorders>
            <w:vAlign w:val="top"/>
          </w:tcPr>
          <w:p w14:paraId="146A65DC">
            <w:pPr>
              <w:pStyle w:val="6"/>
              <w:spacing w:before="96" w:line="217" w:lineRule="auto"/>
              <w:ind w:left="277"/>
            </w:pPr>
            <w:r>
              <w:rPr>
                <w:spacing w:val="-2"/>
              </w:rPr>
              <w:t>0.14</w:t>
            </w:r>
          </w:p>
        </w:tc>
      </w:tr>
      <w:tr w14:paraId="604EA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4693222A">
            <w:pPr>
              <w:rPr>
                <w:rFonts w:ascii="Arial"/>
                <w:sz w:val="21"/>
              </w:rPr>
            </w:pPr>
          </w:p>
        </w:tc>
        <w:tc>
          <w:tcPr>
            <w:tcW w:w="423" w:type="dxa"/>
            <w:vMerge w:val="continue"/>
            <w:tcBorders>
              <w:top w:val="nil"/>
              <w:bottom w:val="nil"/>
            </w:tcBorders>
            <w:vAlign w:val="top"/>
          </w:tcPr>
          <w:p w14:paraId="41A51371">
            <w:pPr>
              <w:rPr>
                <w:rFonts w:ascii="Arial"/>
                <w:sz w:val="21"/>
              </w:rPr>
            </w:pPr>
          </w:p>
        </w:tc>
        <w:tc>
          <w:tcPr>
            <w:tcW w:w="1554" w:type="dxa"/>
            <w:vAlign w:val="top"/>
          </w:tcPr>
          <w:p w14:paraId="29E0B925">
            <w:pPr>
              <w:pStyle w:val="6"/>
              <w:spacing w:before="97" w:line="217" w:lineRule="auto"/>
              <w:ind w:left="343"/>
            </w:pPr>
            <w:r>
              <w:rPr>
                <w:spacing w:val="-1"/>
              </w:rPr>
              <w:t>2019/8/07</w:t>
            </w:r>
          </w:p>
        </w:tc>
        <w:tc>
          <w:tcPr>
            <w:tcW w:w="892" w:type="dxa"/>
            <w:vAlign w:val="top"/>
          </w:tcPr>
          <w:p w14:paraId="60410D95">
            <w:pPr>
              <w:pStyle w:val="6"/>
              <w:spacing w:before="97" w:line="217" w:lineRule="auto"/>
              <w:ind w:left="284"/>
            </w:pPr>
            <w:r>
              <w:rPr>
                <w:spacing w:val="-1"/>
              </w:rPr>
              <w:t>251</w:t>
            </w:r>
          </w:p>
        </w:tc>
        <w:tc>
          <w:tcPr>
            <w:tcW w:w="892" w:type="dxa"/>
            <w:vAlign w:val="top"/>
          </w:tcPr>
          <w:p w14:paraId="2374C928">
            <w:pPr>
              <w:pStyle w:val="6"/>
              <w:spacing w:before="97" w:line="217" w:lineRule="auto"/>
              <w:ind w:left="340"/>
            </w:pPr>
            <w:r>
              <w:rPr>
                <w:spacing w:val="-1"/>
              </w:rPr>
              <w:t>27</w:t>
            </w:r>
          </w:p>
        </w:tc>
        <w:tc>
          <w:tcPr>
            <w:tcW w:w="892" w:type="dxa"/>
            <w:vAlign w:val="top"/>
          </w:tcPr>
          <w:p w14:paraId="78A4A33E">
            <w:pPr>
              <w:pStyle w:val="6"/>
              <w:spacing w:before="97" w:line="217" w:lineRule="auto"/>
              <w:ind w:left="268"/>
            </w:pPr>
            <w:r>
              <w:rPr>
                <w:spacing w:val="-2"/>
              </w:rPr>
              <w:t>7.36</w:t>
            </w:r>
          </w:p>
        </w:tc>
        <w:tc>
          <w:tcPr>
            <w:tcW w:w="892" w:type="dxa"/>
            <w:vAlign w:val="top"/>
          </w:tcPr>
          <w:p w14:paraId="1C8A2CF1">
            <w:pPr>
              <w:pStyle w:val="6"/>
              <w:spacing w:before="97" w:line="217" w:lineRule="auto"/>
              <w:ind w:left="276"/>
            </w:pPr>
            <w:r>
              <w:rPr>
                <w:spacing w:val="-4"/>
              </w:rPr>
              <w:t>8.15</w:t>
            </w:r>
          </w:p>
        </w:tc>
        <w:tc>
          <w:tcPr>
            <w:tcW w:w="891" w:type="dxa"/>
            <w:vAlign w:val="top"/>
          </w:tcPr>
          <w:p w14:paraId="0B0CE264">
            <w:pPr>
              <w:pStyle w:val="6"/>
              <w:spacing w:before="97" w:line="217" w:lineRule="auto"/>
              <w:ind w:left="291"/>
            </w:pPr>
            <w:r>
              <w:rPr>
                <w:spacing w:val="-6"/>
              </w:rPr>
              <w:t>1.79</w:t>
            </w:r>
          </w:p>
        </w:tc>
        <w:tc>
          <w:tcPr>
            <w:tcW w:w="906" w:type="dxa"/>
            <w:tcBorders>
              <w:right w:val="single" w:color="000000" w:sz="12" w:space="0"/>
            </w:tcBorders>
            <w:vAlign w:val="top"/>
          </w:tcPr>
          <w:p w14:paraId="09F059AA">
            <w:pPr>
              <w:pStyle w:val="6"/>
              <w:spacing w:before="97" w:line="217" w:lineRule="auto"/>
              <w:ind w:left="277"/>
            </w:pPr>
            <w:r>
              <w:rPr>
                <w:spacing w:val="-2"/>
              </w:rPr>
              <w:t>0.13</w:t>
            </w:r>
          </w:p>
        </w:tc>
      </w:tr>
      <w:tr w14:paraId="76548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709D672B">
            <w:pPr>
              <w:rPr>
                <w:rFonts w:ascii="Arial"/>
                <w:sz w:val="21"/>
              </w:rPr>
            </w:pPr>
          </w:p>
        </w:tc>
        <w:tc>
          <w:tcPr>
            <w:tcW w:w="423" w:type="dxa"/>
            <w:vMerge w:val="continue"/>
            <w:tcBorders>
              <w:top w:val="nil"/>
            </w:tcBorders>
            <w:vAlign w:val="top"/>
          </w:tcPr>
          <w:p w14:paraId="1019F784">
            <w:pPr>
              <w:rPr>
                <w:rFonts w:ascii="Arial"/>
                <w:sz w:val="21"/>
              </w:rPr>
            </w:pPr>
          </w:p>
        </w:tc>
        <w:tc>
          <w:tcPr>
            <w:tcW w:w="1554" w:type="dxa"/>
            <w:vAlign w:val="top"/>
          </w:tcPr>
          <w:p w14:paraId="78FDCBF0">
            <w:pPr>
              <w:pStyle w:val="6"/>
              <w:spacing w:before="97" w:line="216" w:lineRule="auto"/>
              <w:ind w:left="343"/>
            </w:pPr>
            <w:r>
              <w:rPr>
                <w:spacing w:val="-1"/>
              </w:rPr>
              <w:t>2019/8/08</w:t>
            </w:r>
          </w:p>
        </w:tc>
        <w:tc>
          <w:tcPr>
            <w:tcW w:w="892" w:type="dxa"/>
            <w:vAlign w:val="top"/>
          </w:tcPr>
          <w:p w14:paraId="3BD25AD2">
            <w:pPr>
              <w:pStyle w:val="6"/>
              <w:spacing w:before="97" w:line="216" w:lineRule="auto"/>
              <w:ind w:left="284"/>
            </w:pPr>
            <w:r>
              <w:rPr>
                <w:spacing w:val="-1"/>
              </w:rPr>
              <w:t>227</w:t>
            </w:r>
          </w:p>
        </w:tc>
        <w:tc>
          <w:tcPr>
            <w:tcW w:w="892" w:type="dxa"/>
            <w:vAlign w:val="top"/>
          </w:tcPr>
          <w:p w14:paraId="384DD633">
            <w:pPr>
              <w:pStyle w:val="6"/>
              <w:spacing w:before="97" w:line="216" w:lineRule="auto"/>
              <w:ind w:left="345"/>
            </w:pPr>
            <w:r>
              <w:rPr>
                <w:spacing w:val="-3"/>
              </w:rPr>
              <w:t>33</w:t>
            </w:r>
          </w:p>
        </w:tc>
        <w:tc>
          <w:tcPr>
            <w:tcW w:w="892" w:type="dxa"/>
            <w:vAlign w:val="top"/>
          </w:tcPr>
          <w:p w14:paraId="43AC2321">
            <w:pPr>
              <w:pStyle w:val="6"/>
              <w:spacing w:before="97" w:line="216" w:lineRule="auto"/>
              <w:ind w:left="268"/>
            </w:pPr>
            <w:r>
              <w:rPr>
                <w:spacing w:val="-2"/>
              </w:rPr>
              <w:t>7.41</w:t>
            </w:r>
          </w:p>
        </w:tc>
        <w:tc>
          <w:tcPr>
            <w:tcW w:w="892" w:type="dxa"/>
            <w:vAlign w:val="top"/>
          </w:tcPr>
          <w:p w14:paraId="3A0B3D51">
            <w:pPr>
              <w:pStyle w:val="6"/>
              <w:spacing w:before="97" w:line="216" w:lineRule="auto"/>
              <w:ind w:left="276"/>
            </w:pPr>
            <w:r>
              <w:rPr>
                <w:spacing w:val="-4"/>
              </w:rPr>
              <w:t>8.21</w:t>
            </w:r>
          </w:p>
        </w:tc>
        <w:tc>
          <w:tcPr>
            <w:tcW w:w="891" w:type="dxa"/>
            <w:vAlign w:val="top"/>
          </w:tcPr>
          <w:p w14:paraId="66CD6AEB">
            <w:pPr>
              <w:pStyle w:val="6"/>
              <w:spacing w:before="97" w:line="216" w:lineRule="auto"/>
              <w:ind w:left="291"/>
            </w:pPr>
            <w:r>
              <w:rPr>
                <w:spacing w:val="-6"/>
              </w:rPr>
              <w:t>1.83</w:t>
            </w:r>
          </w:p>
        </w:tc>
        <w:tc>
          <w:tcPr>
            <w:tcW w:w="906" w:type="dxa"/>
            <w:tcBorders>
              <w:right w:val="single" w:color="000000" w:sz="12" w:space="0"/>
            </w:tcBorders>
            <w:vAlign w:val="top"/>
          </w:tcPr>
          <w:p w14:paraId="64F9FD8A">
            <w:pPr>
              <w:pStyle w:val="6"/>
              <w:spacing w:before="97" w:line="216" w:lineRule="auto"/>
              <w:ind w:left="277"/>
            </w:pPr>
            <w:r>
              <w:rPr>
                <w:spacing w:val="-2"/>
              </w:rPr>
              <w:t>0.12</w:t>
            </w:r>
          </w:p>
        </w:tc>
      </w:tr>
      <w:tr w14:paraId="0C641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6FE3BF7">
            <w:pPr>
              <w:rPr>
                <w:rFonts w:ascii="Arial"/>
                <w:sz w:val="21"/>
              </w:rPr>
            </w:pPr>
          </w:p>
        </w:tc>
        <w:tc>
          <w:tcPr>
            <w:tcW w:w="423" w:type="dxa"/>
            <w:vMerge w:val="restart"/>
            <w:tcBorders>
              <w:bottom w:val="nil"/>
            </w:tcBorders>
            <w:vAlign w:val="top"/>
          </w:tcPr>
          <w:p w14:paraId="509FB3D8">
            <w:pPr>
              <w:pStyle w:val="6"/>
              <w:spacing w:before="163" w:line="222" w:lineRule="auto"/>
              <w:ind w:left="147"/>
            </w:pPr>
            <w:r>
              <w:t>4</w:t>
            </w:r>
          </w:p>
          <w:p w14:paraId="4F326CD3">
            <w:pPr>
              <w:spacing w:line="219" w:lineRule="auto"/>
              <w:ind w:left="100"/>
              <w:rPr>
                <w:rFonts w:ascii="宋体" w:hAnsi="宋体" w:eastAsia="宋体" w:cs="宋体"/>
                <w:sz w:val="21"/>
                <w:szCs w:val="21"/>
              </w:rPr>
            </w:pPr>
            <w:r>
              <w:rPr>
                <w:rFonts w:ascii="宋体" w:hAnsi="宋体" w:eastAsia="宋体" w:cs="宋体"/>
                <w:sz w:val="21"/>
                <w:szCs w:val="21"/>
              </w:rPr>
              <w:t>季</w:t>
            </w:r>
          </w:p>
          <w:p w14:paraId="7D3D1158">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4A9EB880">
            <w:pPr>
              <w:pStyle w:val="6"/>
              <w:spacing w:before="99" w:line="214" w:lineRule="auto"/>
              <w:ind w:left="343"/>
            </w:pPr>
            <w:r>
              <w:rPr>
                <w:spacing w:val="-1"/>
              </w:rPr>
              <w:t>2019/11/9</w:t>
            </w:r>
          </w:p>
        </w:tc>
        <w:tc>
          <w:tcPr>
            <w:tcW w:w="892" w:type="dxa"/>
            <w:vAlign w:val="top"/>
          </w:tcPr>
          <w:p w14:paraId="16D2B97E">
            <w:pPr>
              <w:pStyle w:val="6"/>
              <w:spacing w:before="99" w:line="214" w:lineRule="auto"/>
              <w:ind w:left="343"/>
            </w:pPr>
            <w:r>
              <w:rPr>
                <w:spacing w:val="-3"/>
              </w:rPr>
              <w:t>56</w:t>
            </w:r>
          </w:p>
        </w:tc>
        <w:tc>
          <w:tcPr>
            <w:tcW w:w="892" w:type="dxa"/>
            <w:vAlign w:val="top"/>
          </w:tcPr>
          <w:p w14:paraId="4E7A54F6">
            <w:pPr>
              <w:pStyle w:val="6"/>
              <w:spacing w:before="99" w:line="214" w:lineRule="auto"/>
              <w:ind w:left="340"/>
            </w:pPr>
            <w:r>
              <w:rPr>
                <w:spacing w:val="-1"/>
              </w:rPr>
              <w:t>21</w:t>
            </w:r>
          </w:p>
        </w:tc>
        <w:tc>
          <w:tcPr>
            <w:tcW w:w="892" w:type="dxa"/>
            <w:vAlign w:val="top"/>
          </w:tcPr>
          <w:p w14:paraId="52955FE1">
            <w:pPr>
              <w:pStyle w:val="6"/>
              <w:spacing w:before="99" w:line="214" w:lineRule="auto"/>
              <w:ind w:left="273"/>
            </w:pPr>
            <w:r>
              <w:rPr>
                <w:spacing w:val="-4"/>
              </w:rPr>
              <w:t>8.04</w:t>
            </w:r>
          </w:p>
        </w:tc>
        <w:tc>
          <w:tcPr>
            <w:tcW w:w="892" w:type="dxa"/>
            <w:vAlign w:val="top"/>
          </w:tcPr>
          <w:p w14:paraId="68DD2F64">
            <w:pPr>
              <w:pStyle w:val="6"/>
              <w:spacing w:before="99" w:line="214" w:lineRule="auto"/>
              <w:ind w:left="276"/>
            </w:pPr>
            <w:r>
              <w:rPr>
                <w:spacing w:val="-4"/>
              </w:rPr>
              <w:t>8.40</w:t>
            </w:r>
          </w:p>
        </w:tc>
        <w:tc>
          <w:tcPr>
            <w:tcW w:w="891" w:type="dxa"/>
            <w:vAlign w:val="top"/>
          </w:tcPr>
          <w:p w14:paraId="13C8ED1C">
            <w:pPr>
              <w:pStyle w:val="6"/>
              <w:spacing w:before="99" w:line="214" w:lineRule="auto"/>
              <w:ind w:left="274"/>
            </w:pPr>
            <w:r>
              <w:rPr>
                <w:spacing w:val="-2"/>
              </w:rPr>
              <w:t>0.08</w:t>
            </w:r>
          </w:p>
        </w:tc>
        <w:tc>
          <w:tcPr>
            <w:tcW w:w="906" w:type="dxa"/>
            <w:tcBorders>
              <w:right w:val="single" w:color="000000" w:sz="12" w:space="0"/>
            </w:tcBorders>
            <w:vAlign w:val="top"/>
          </w:tcPr>
          <w:p w14:paraId="15BF4A98">
            <w:pPr>
              <w:pStyle w:val="6"/>
              <w:spacing w:before="99" w:line="214" w:lineRule="auto"/>
              <w:ind w:left="214"/>
            </w:pPr>
            <w:r>
              <w:rPr>
                <w:spacing w:val="-2"/>
              </w:rPr>
              <w:t>0.06L</w:t>
            </w:r>
          </w:p>
        </w:tc>
      </w:tr>
      <w:tr w14:paraId="0A3AE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13B80E1B">
            <w:pPr>
              <w:rPr>
                <w:rFonts w:ascii="Arial"/>
                <w:sz w:val="21"/>
              </w:rPr>
            </w:pPr>
          </w:p>
        </w:tc>
        <w:tc>
          <w:tcPr>
            <w:tcW w:w="423" w:type="dxa"/>
            <w:vMerge w:val="continue"/>
            <w:tcBorders>
              <w:top w:val="nil"/>
              <w:bottom w:val="nil"/>
            </w:tcBorders>
            <w:vAlign w:val="top"/>
          </w:tcPr>
          <w:p w14:paraId="799E1777">
            <w:pPr>
              <w:rPr>
                <w:rFonts w:ascii="Arial"/>
                <w:sz w:val="21"/>
              </w:rPr>
            </w:pPr>
          </w:p>
        </w:tc>
        <w:tc>
          <w:tcPr>
            <w:tcW w:w="1554" w:type="dxa"/>
            <w:vAlign w:val="top"/>
          </w:tcPr>
          <w:p w14:paraId="1FA3EBAF">
            <w:pPr>
              <w:pStyle w:val="6"/>
              <w:spacing w:before="100" w:line="214" w:lineRule="auto"/>
              <w:ind w:left="290"/>
            </w:pPr>
            <w:r>
              <w:rPr>
                <w:spacing w:val="-1"/>
              </w:rPr>
              <w:t>2019/11/10</w:t>
            </w:r>
          </w:p>
        </w:tc>
        <w:tc>
          <w:tcPr>
            <w:tcW w:w="892" w:type="dxa"/>
            <w:vAlign w:val="top"/>
          </w:tcPr>
          <w:p w14:paraId="5B59DFA6">
            <w:pPr>
              <w:pStyle w:val="6"/>
              <w:spacing w:before="100" w:line="214" w:lineRule="auto"/>
              <w:ind w:left="342"/>
            </w:pPr>
            <w:r>
              <w:rPr>
                <w:spacing w:val="-3"/>
              </w:rPr>
              <w:t>63</w:t>
            </w:r>
          </w:p>
        </w:tc>
        <w:tc>
          <w:tcPr>
            <w:tcW w:w="892" w:type="dxa"/>
            <w:vAlign w:val="top"/>
          </w:tcPr>
          <w:p w14:paraId="5951B8A3">
            <w:pPr>
              <w:pStyle w:val="6"/>
              <w:spacing w:before="100" w:line="214" w:lineRule="auto"/>
              <w:ind w:left="360"/>
            </w:pPr>
            <w:r>
              <w:rPr>
                <w:spacing w:val="-6"/>
              </w:rPr>
              <w:t>19</w:t>
            </w:r>
          </w:p>
        </w:tc>
        <w:tc>
          <w:tcPr>
            <w:tcW w:w="892" w:type="dxa"/>
            <w:vAlign w:val="top"/>
          </w:tcPr>
          <w:p w14:paraId="1837C561">
            <w:pPr>
              <w:pStyle w:val="6"/>
              <w:spacing w:before="100" w:line="214" w:lineRule="auto"/>
              <w:ind w:left="268"/>
            </w:pPr>
            <w:r>
              <w:rPr>
                <w:spacing w:val="-2"/>
              </w:rPr>
              <w:t>7.61</w:t>
            </w:r>
          </w:p>
        </w:tc>
        <w:tc>
          <w:tcPr>
            <w:tcW w:w="892" w:type="dxa"/>
            <w:vAlign w:val="top"/>
          </w:tcPr>
          <w:p w14:paraId="72690919">
            <w:pPr>
              <w:pStyle w:val="6"/>
              <w:spacing w:before="100" w:line="214" w:lineRule="auto"/>
              <w:ind w:left="276"/>
            </w:pPr>
            <w:r>
              <w:rPr>
                <w:spacing w:val="-4"/>
              </w:rPr>
              <w:t>8.32</w:t>
            </w:r>
          </w:p>
        </w:tc>
        <w:tc>
          <w:tcPr>
            <w:tcW w:w="891" w:type="dxa"/>
            <w:vAlign w:val="top"/>
          </w:tcPr>
          <w:p w14:paraId="61107D83">
            <w:pPr>
              <w:pStyle w:val="6"/>
              <w:spacing w:before="100" w:line="214" w:lineRule="auto"/>
              <w:ind w:left="274"/>
            </w:pPr>
            <w:r>
              <w:rPr>
                <w:spacing w:val="-2"/>
              </w:rPr>
              <w:t>0.07</w:t>
            </w:r>
          </w:p>
        </w:tc>
        <w:tc>
          <w:tcPr>
            <w:tcW w:w="906" w:type="dxa"/>
            <w:tcBorders>
              <w:right w:val="single" w:color="000000" w:sz="12" w:space="0"/>
            </w:tcBorders>
            <w:vAlign w:val="top"/>
          </w:tcPr>
          <w:p w14:paraId="409EC4ED">
            <w:pPr>
              <w:pStyle w:val="6"/>
              <w:spacing w:before="100" w:line="214" w:lineRule="auto"/>
              <w:ind w:left="214"/>
            </w:pPr>
            <w:r>
              <w:rPr>
                <w:spacing w:val="-2"/>
              </w:rPr>
              <w:t>0.06L</w:t>
            </w:r>
          </w:p>
        </w:tc>
      </w:tr>
      <w:tr w14:paraId="6A44B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tcBorders>
            <w:vAlign w:val="top"/>
          </w:tcPr>
          <w:p w14:paraId="1867FA52">
            <w:pPr>
              <w:rPr>
                <w:rFonts w:ascii="Arial"/>
                <w:sz w:val="21"/>
              </w:rPr>
            </w:pPr>
          </w:p>
        </w:tc>
        <w:tc>
          <w:tcPr>
            <w:tcW w:w="423" w:type="dxa"/>
            <w:vMerge w:val="continue"/>
            <w:tcBorders>
              <w:top w:val="nil"/>
            </w:tcBorders>
            <w:vAlign w:val="top"/>
          </w:tcPr>
          <w:p w14:paraId="1D5BDB3B">
            <w:pPr>
              <w:rPr>
                <w:rFonts w:ascii="Arial"/>
                <w:sz w:val="21"/>
              </w:rPr>
            </w:pPr>
          </w:p>
        </w:tc>
        <w:tc>
          <w:tcPr>
            <w:tcW w:w="1554" w:type="dxa"/>
            <w:vAlign w:val="top"/>
          </w:tcPr>
          <w:p w14:paraId="067D614A">
            <w:pPr>
              <w:pStyle w:val="6"/>
              <w:spacing w:before="102" w:line="211" w:lineRule="auto"/>
              <w:ind w:left="290"/>
            </w:pPr>
            <w:r>
              <w:rPr>
                <w:spacing w:val="-1"/>
              </w:rPr>
              <w:t>2019/11/11</w:t>
            </w:r>
          </w:p>
        </w:tc>
        <w:tc>
          <w:tcPr>
            <w:tcW w:w="892" w:type="dxa"/>
            <w:vAlign w:val="top"/>
          </w:tcPr>
          <w:p w14:paraId="71DC7225">
            <w:pPr>
              <w:pStyle w:val="6"/>
              <w:spacing w:before="102" w:line="211" w:lineRule="auto"/>
              <w:ind w:left="343"/>
            </w:pPr>
            <w:r>
              <w:rPr>
                <w:spacing w:val="-3"/>
              </w:rPr>
              <w:t>59</w:t>
            </w:r>
          </w:p>
        </w:tc>
        <w:tc>
          <w:tcPr>
            <w:tcW w:w="892" w:type="dxa"/>
            <w:vAlign w:val="top"/>
          </w:tcPr>
          <w:p w14:paraId="51B60C17">
            <w:pPr>
              <w:pStyle w:val="6"/>
              <w:spacing w:before="102" w:line="211" w:lineRule="auto"/>
              <w:ind w:left="340"/>
            </w:pPr>
            <w:r>
              <w:rPr>
                <w:spacing w:val="-1"/>
              </w:rPr>
              <w:t>24</w:t>
            </w:r>
          </w:p>
        </w:tc>
        <w:tc>
          <w:tcPr>
            <w:tcW w:w="892" w:type="dxa"/>
            <w:vAlign w:val="top"/>
          </w:tcPr>
          <w:p w14:paraId="1061C9CA">
            <w:pPr>
              <w:pStyle w:val="6"/>
              <w:spacing w:before="102" w:line="211" w:lineRule="auto"/>
              <w:ind w:left="268"/>
            </w:pPr>
            <w:r>
              <w:rPr>
                <w:spacing w:val="-2"/>
              </w:rPr>
              <w:t>7.66</w:t>
            </w:r>
          </w:p>
        </w:tc>
        <w:tc>
          <w:tcPr>
            <w:tcW w:w="892" w:type="dxa"/>
            <w:vAlign w:val="top"/>
          </w:tcPr>
          <w:p w14:paraId="5DE9C094">
            <w:pPr>
              <w:pStyle w:val="6"/>
              <w:spacing w:before="102" w:line="211" w:lineRule="auto"/>
              <w:ind w:left="276"/>
            </w:pPr>
            <w:r>
              <w:rPr>
                <w:spacing w:val="-4"/>
              </w:rPr>
              <w:t>8.28</w:t>
            </w:r>
          </w:p>
        </w:tc>
        <w:tc>
          <w:tcPr>
            <w:tcW w:w="891" w:type="dxa"/>
            <w:vAlign w:val="top"/>
          </w:tcPr>
          <w:p w14:paraId="5FDD8123">
            <w:pPr>
              <w:pStyle w:val="6"/>
              <w:spacing w:before="102" w:line="211" w:lineRule="auto"/>
              <w:ind w:left="274"/>
            </w:pPr>
            <w:r>
              <w:rPr>
                <w:spacing w:val="-2"/>
              </w:rPr>
              <w:t>0.07</w:t>
            </w:r>
          </w:p>
        </w:tc>
        <w:tc>
          <w:tcPr>
            <w:tcW w:w="906" w:type="dxa"/>
            <w:tcBorders>
              <w:right w:val="single" w:color="000000" w:sz="12" w:space="0"/>
            </w:tcBorders>
            <w:vAlign w:val="top"/>
          </w:tcPr>
          <w:p w14:paraId="31B4767F">
            <w:pPr>
              <w:pStyle w:val="6"/>
              <w:spacing w:before="102" w:line="211" w:lineRule="auto"/>
              <w:ind w:left="214"/>
            </w:pPr>
            <w:r>
              <w:rPr>
                <w:spacing w:val="-2"/>
              </w:rPr>
              <w:t>0.06L</w:t>
            </w:r>
          </w:p>
        </w:tc>
      </w:tr>
      <w:tr w14:paraId="34FA8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restart"/>
            <w:tcBorders>
              <w:left w:val="single" w:color="000000" w:sz="12" w:space="0"/>
              <w:bottom w:val="nil"/>
            </w:tcBorders>
            <w:vAlign w:val="top"/>
          </w:tcPr>
          <w:p w14:paraId="41A52267">
            <w:pPr>
              <w:spacing w:line="286" w:lineRule="auto"/>
              <w:rPr>
                <w:rFonts w:ascii="Arial"/>
                <w:sz w:val="21"/>
              </w:rPr>
            </w:pPr>
          </w:p>
          <w:p w14:paraId="22161821">
            <w:pPr>
              <w:spacing w:line="286" w:lineRule="auto"/>
              <w:rPr>
                <w:rFonts w:ascii="Arial"/>
                <w:sz w:val="21"/>
              </w:rPr>
            </w:pPr>
          </w:p>
          <w:p w14:paraId="53CA2F21">
            <w:pPr>
              <w:spacing w:line="287" w:lineRule="auto"/>
              <w:rPr>
                <w:rFonts w:ascii="Arial"/>
                <w:sz w:val="21"/>
              </w:rPr>
            </w:pPr>
          </w:p>
          <w:p w14:paraId="15AB2D91">
            <w:pPr>
              <w:spacing w:line="287" w:lineRule="auto"/>
              <w:rPr>
                <w:rFonts w:ascii="Arial"/>
                <w:sz w:val="21"/>
              </w:rPr>
            </w:pPr>
          </w:p>
          <w:p w14:paraId="5069A9D9">
            <w:pPr>
              <w:spacing w:line="287" w:lineRule="auto"/>
              <w:rPr>
                <w:rFonts w:ascii="Arial"/>
                <w:sz w:val="21"/>
              </w:rPr>
            </w:pPr>
          </w:p>
          <w:p w14:paraId="603AAF5D">
            <w:pPr>
              <w:spacing w:before="69" w:line="241" w:lineRule="auto"/>
              <w:ind w:left="133" w:right="146" w:hanging="1"/>
              <w:jc w:val="both"/>
              <w:rPr>
                <w:rFonts w:ascii="宋体" w:hAnsi="宋体" w:eastAsia="宋体" w:cs="宋体"/>
                <w:sz w:val="21"/>
                <w:szCs w:val="21"/>
              </w:rPr>
            </w:pPr>
            <w:r>
              <w:rPr>
                <w:rFonts w:ascii="宋体" w:hAnsi="宋体" w:eastAsia="宋体" w:cs="宋体"/>
                <w:spacing w:val="-2"/>
                <w:sz w:val="21"/>
                <w:szCs w:val="21"/>
              </w:rPr>
              <w:t>坝址下游</w:t>
            </w:r>
            <w:r>
              <w:rPr>
                <w:rFonts w:ascii="宋体" w:hAnsi="宋体" w:eastAsia="宋体" w:cs="宋体"/>
                <w:spacing w:val="-3"/>
                <w:sz w:val="21"/>
                <w:szCs w:val="21"/>
              </w:rPr>
              <w:t>左岸混凝土拌合站</w:t>
            </w:r>
            <w:r>
              <w:rPr>
                <w:rFonts w:ascii="宋体" w:hAnsi="宋体" w:eastAsia="宋体" w:cs="宋体"/>
                <w:spacing w:val="31"/>
                <w:sz w:val="21"/>
                <w:szCs w:val="21"/>
              </w:rPr>
              <w:t>沉淀池</w:t>
            </w:r>
          </w:p>
        </w:tc>
        <w:tc>
          <w:tcPr>
            <w:tcW w:w="423" w:type="dxa"/>
            <w:vMerge w:val="restart"/>
            <w:tcBorders>
              <w:bottom w:val="nil"/>
            </w:tcBorders>
            <w:vAlign w:val="top"/>
          </w:tcPr>
          <w:p w14:paraId="062EFED9">
            <w:pPr>
              <w:pStyle w:val="6"/>
              <w:spacing w:before="166" w:line="223" w:lineRule="auto"/>
              <w:ind w:left="168"/>
            </w:pPr>
            <w:r>
              <w:t>1</w:t>
            </w:r>
          </w:p>
          <w:p w14:paraId="3B31907C">
            <w:pPr>
              <w:spacing w:line="219" w:lineRule="auto"/>
              <w:ind w:left="100"/>
              <w:rPr>
                <w:rFonts w:ascii="宋体" w:hAnsi="宋体" w:eastAsia="宋体" w:cs="宋体"/>
                <w:sz w:val="21"/>
                <w:szCs w:val="21"/>
              </w:rPr>
            </w:pPr>
            <w:r>
              <w:rPr>
                <w:rFonts w:ascii="宋体" w:hAnsi="宋体" w:eastAsia="宋体" w:cs="宋体"/>
                <w:sz w:val="21"/>
                <w:szCs w:val="21"/>
              </w:rPr>
              <w:t>季</w:t>
            </w:r>
          </w:p>
          <w:p w14:paraId="2D08C9AC">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02D9289">
            <w:pPr>
              <w:pStyle w:val="6"/>
              <w:spacing w:before="103" w:line="211" w:lineRule="auto"/>
              <w:ind w:left="343"/>
            </w:pPr>
            <w:r>
              <w:rPr>
                <w:spacing w:val="-1"/>
              </w:rPr>
              <w:t>2019/1/15</w:t>
            </w:r>
          </w:p>
        </w:tc>
        <w:tc>
          <w:tcPr>
            <w:tcW w:w="892" w:type="dxa"/>
            <w:vAlign w:val="top"/>
          </w:tcPr>
          <w:p w14:paraId="55AF0DEA">
            <w:pPr>
              <w:pStyle w:val="6"/>
              <w:spacing w:before="103" w:line="211" w:lineRule="auto"/>
              <w:ind w:left="409"/>
            </w:pPr>
            <w:r>
              <w:t>/</w:t>
            </w:r>
          </w:p>
        </w:tc>
        <w:tc>
          <w:tcPr>
            <w:tcW w:w="892" w:type="dxa"/>
            <w:vAlign w:val="top"/>
          </w:tcPr>
          <w:p w14:paraId="68278A48">
            <w:pPr>
              <w:pStyle w:val="6"/>
              <w:spacing w:before="107" w:line="207" w:lineRule="auto"/>
              <w:ind w:left="286"/>
            </w:pPr>
            <w:r>
              <w:rPr>
                <w:b/>
                <w:bCs/>
                <w:spacing w:val="-1"/>
              </w:rPr>
              <w:t>322</w:t>
            </w:r>
          </w:p>
        </w:tc>
        <w:tc>
          <w:tcPr>
            <w:tcW w:w="892" w:type="dxa"/>
            <w:vAlign w:val="top"/>
          </w:tcPr>
          <w:p w14:paraId="3178C7BD">
            <w:pPr>
              <w:pStyle w:val="6"/>
              <w:spacing w:before="103" w:line="211" w:lineRule="auto"/>
              <w:ind w:left="415"/>
            </w:pPr>
            <w:r>
              <w:t>/</w:t>
            </w:r>
          </w:p>
        </w:tc>
        <w:tc>
          <w:tcPr>
            <w:tcW w:w="892" w:type="dxa"/>
            <w:vAlign w:val="top"/>
          </w:tcPr>
          <w:p w14:paraId="7F28E152">
            <w:pPr>
              <w:pStyle w:val="6"/>
              <w:spacing w:before="107" w:line="207" w:lineRule="auto"/>
              <w:ind w:left="277"/>
            </w:pPr>
            <w:r>
              <w:rPr>
                <w:b/>
                <w:bCs/>
                <w:spacing w:val="-4"/>
              </w:rPr>
              <w:t>12.4</w:t>
            </w:r>
          </w:p>
        </w:tc>
        <w:tc>
          <w:tcPr>
            <w:tcW w:w="891" w:type="dxa"/>
            <w:vAlign w:val="top"/>
          </w:tcPr>
          <w:p w14:paraId="15E6F14D">
            <w:pPr>
              <w:pStyle w:val="6"/>
              <w:spacing w:before="103" w:line="211" w:lineRule="auto"/>
              <w:ind w:left="422"/>
            </w:pPr>
            <w:r>
              <w:t>/</w:t>
            </w:r>
          </w:p>
        </w:tc>
        <w:tc>
          <w:tcPr>
            <w:tcW w:w="906" w:type="dxa"/>
            <w:tcBorders>
              <w:right w:val="single" w:color="000000" w:sz="12" w:space="0"/>
            </w:tcBorders>
            <w:vAlign w:val="top"/>
          </w:tcPr>
          <w:p w14:paraId="410CB6F0">
            <w:pPr>
              <w:pStyle w:val="6"/>
              <w:spacing w:before="103" w:line="211" w:lineRule="auto"/>
              <w:ind w:left="425"/>
            </w:pPr>
            <w:r>
              <w:t>/</w:t>
            </w:r>
          </w:p>
        </w:tc>
      </w:tr>
      <w:tr w14:paraId="5D298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50719FD">
            <w:pPr>
              <w:rPr>
                <w:rFonts w:ascii="Arial"/>
                <w:sz w:val="21"/>
              </w:rPr>
            </w:pPr>
          </w:p>
        </w:tc>
        <w:tc>
          <w:tcPr>
            <w:tcW w:w="423" w:type="dxa"/>
            <w:vMerge w:val="continue"/>
            <w:tcBorders>
              <w:top w:val="nil"/>
              <w:bottom w:val="nil"/>
            </w:tcBorders>
            <w:vAlign w:val="top"/>
          </w:tcPr>
          <w:p w14:paraId="5370A7FE">
            <w:pPr>
              <w:rPr>
                <w:rFonts w:ascii="Arial"/>
                <w:sz w:val="21"/>
              </w:rPr>
            </w:pPr>
          </w:p>
        </w:tc>
        <w:tc>
          <w:tcPr>
            <w:tcW w:w="1554" w:type="dxa"/>
            <w:vAlign w:val="top"/>
          </w:tcPr>
          <w:p w14:paraId="56E28EED">
            <w:pPr>
              <w:pStyle w:val="6"/>
              <w:spacing w:before="103" w:line="210" w:lineRule="auto"/>
              <w:ind w:left="343"/>
            </w:pPr>
            <w:r>
              <w:rPr>
                <w:spacing w:val="-1"/>
              </w:rPr>
              <w:t>2019/1/16</w:t>
            </w:r>
          </w:p>
        </w:tc>
        <w:tc>
          <w:tcPr>
            <w:tcW w:w="892" w:type="dxa"/>
            <w:vAlign w:val="top"/>
          </w:tcPr>
          <w:p w14:paraId="0808B16B">
            <w:pPr>
              <w:pStyle w:val="6"/>
              <w:spacing w:before="103" w:line="210" w:lineRule="auto"/>
              <w:ind w:left="409"/>
            </w:pPr>
            <w:r>
              <w:t>/</w:t>
            </w:r>
          </w:p>
        </w:tc>
        <w:tc>
          <w:tcPr>
            <w:tcW w:w="892" w:type="dxa"/>
            <w:vAlign w:val="top"/>
          </w:tcPr>
          <w:p w14:paraId="363FEB5E">
            <w:pPr>
              <w:pStyle w:val="6"/>
              <w:spacing w:before="107" w:line="206" w:lineRule="auto"/>
              <w:ind w:left="286"/>
            </w:pPr>
            <w:r>
              <w:rPr>
                <w:b/>
                <w:bCs/>
                <w:spacing w:val="-1"/>
              </w:rPr>
              <w:t>308</w:t>
            </w:r>
          </w:p>
        </w:tc>
        <w:tc>
          <w:tcPr>
            <w:tcW w:w="892" w:type="dxa"/>
            <w:vAlign w:val="top"/>
          </w:tcPr>
          <w:p w14:paraId="7CACF98C">
            <w:pPr>
              <w:pStyle w:val="6"/>
              <w:spacing w:before="103" w:line="210" w:lineRule="auto"/>
              <w:ind w:left="415"/>
            </w:pPr>
            <w:r>
              <w:t>/</w:t>
            </w:r>
          </w:p>
        </w:tc>
        <w:tc>
          <w:tcPr>
            <w:tcW w:w="892" w:type="dxa"/>
            <w:vAlign w:val="top"/>
          </w:tcPr>
          <w:p w14:paraId="6541C88F">
            <w:pPr>
              <w:pStyle w:val="6"/>
              <w:spacing w:before="107" w:line="206" w:lineRule="auto"/>
              <w:ind w:left="277"/>
            </w:pPr>
            <w:r>
              <w:rPr>
                <w:b/>
                <w:bCs/>
                <w:spacing w:val="-4"/>
              </w:rPr>
              <w:t>13.1</w:t>
            </w:r>
          </w:p>
        </w:tc>
        <w:tc>
          <w:tcPr>
            <w:tcW w:w="891" w:type="dxa"/>
            <w:vAlign w:val="top"/>
          </w:tcPr>
          <w:p w14:paraId="4462E7B3">
            <w:pPr>
              <w:pStyle w:val="6"/>
              <w:spacing w:before="103" w:line="210" w:lineRule="auto"/>
              <w:ind w:left="422"/>
            </w:pPr>
            <w:r>
              <w:t>/</w:t>
            </w:r>
          </w:p>
        </w:tc>
        <w:tc>
          <w:tcPr>
            <w:tcW w:w="906" w:type="dxa"/>
            <w:tcBorders>
              <w:right w:val="single" w:color="000000" w:sz="12" w:space="0"/>
            </w:tcBorders>
            <w:vAlign w:val="top"/>
          </w:tcPr>
          <w:p w14:paraId="1D65E042">
            <w:pPr>
              <w:pStyle w:val="6"/>
              <w:spacing w:before="103" w:line="210" w:lineRule="auto"/>
              <w:ind w:left="425"/>
            </w:pPr>
            <w:r>
              <w:t>/</w:t>
            </w:r>
          </w:p>
        </w:tc>
      </w:tr>
      <w:tr w14:paraId="146A5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035729DF">
            <w:pPr>
              <w:rPr>
                <w:rFonts w:ascii="Arial"/>
                <w:sz w:val="21"/>
              </w:rPr>
            </w:pPr>
          </w:p>
        </w:tc>
        <w:tc>
          <w:tcPr>
            <w:tcW w:w="423" w:type="dxa"/>
            <w:vMerge w:val="continue"/>
            <w:tcBorders>
              <w:top w:val="nil"/>
            </w:tcBorders>
            <w:vAlign w:val="top"/>
          </w:tcPr>
          <w:p w14:paraId="18AF4E97">
            <w:pPr>
              <w:rPr>
                <w:rFonts w:ascii="Arial"/>
                <w:sz w:val="21"/>
              </w:rPr>
            </w:pPr>
          </w:p>
        </w:tc>
        <w:tc>
          <w:tcPr>
            <w:tcW w:w="1554" w:type="dxa"/>
            <w:vAlign w:val="top"/>
          </w:tcPr>
          <w:p w14:paraId="43231352">
            <w:pPr>
              <w:pStyle w:val="6"/>
              <w:spacing w:before="105" w:line="208" w:lineRule="auto"/>
              <w:ind w:left="343"/>
            </w:pPr>
            <w:r>
              <w:rPr>
                <w:spacing w:val="-1"/>
              </w:rPr>
              <w:t>2019/1/17</w:t>
            </w:r>
          </w:p>
        </w:tc>
        <w:tc>
          <w:tcPr>
            <w:tcW w:w="892" w:type="dxa"/>
            <w:vAlign w:val="top"/>
          </w:tcPr>
          <w:p w14:paraId="34C98721">
            <w:pPr>
              <w:pStyle w:val="6"/>
              <w:spacing w:before="105" w:line="208" w:lineRule="auto"/>
              <w:ind w:left="409"/>
            </w:pPr>
            <w:r>
              <w:t>/</w:t>
            </w:r>
          </w:p>
        </w:tc>
        <w:tc>
          <w:tcPr>
            <w:tcW w:w="892" w:type="dxa"/>
            <w:vAlign w:val="top"/>
          </w:tcPr>
          <w:p w14:paraId="02AC3496">
            <w:pPr>
              <w:pStyle w:val="6"/>
              <w:spacing w:before="109" w:line="204" w:lineRule="auto"/>
              <w:ind w:left="286"/>
            </w:pPr>
            <w:r>
              <w:rPr>
                <w:b/>
                <w:bCs/>
                <w:spacing w:val="-1"/>
              </w:rPr>
              <w:t>314</w:t>
            </w:r>
          </w:p>
        </w:tc>
        <w:tc>
          <w:tcPr>
            <w:tcW w:w="892" w:type="dxa"/>
            <w:vAlign w:val="top"/>
          </w:tcPr>
          <w:p w14:paraId="4267AF98">
            <w:pPr>
              <w:pStyle w:val="6"/>
              <w:spacing w:before="105" w:line="208" w:lineRule="auto"/>
              <w:ind w:left="415"/>
            </w:pPr>
            <w:r>
              <w:t>/</w:t>
            </w:r>
          </w:p>
        </w:tc>
        <w:tc>
          <w:tcPr>
            <w:tcW w:w="892" w:type="dxa"/>
            <w:vAlign w:val="top"/>
          </w:tcPr>
          <w:p w14:paraId="743A55AA">
            <w:pPr>
              <w:pStyle w:val="6"/>
              <w:spacing w:before="109" w:line="204" w:lineRule="auto"/>
              <w:ind w:left="277"/>
            </w:pPr>
            <w:r>
              <w:rPr>
                <w:b/>
                <w:bCs/>
                <w:spacing w:val="-4"/>
              </w:rPr>
              <w:t>11.9</w:t>
            </w:r>
          </w:p>
        </w:tc>
        <w:tc>
          <w:tcPr>
            <w:tcW w:w="891" w:type="dxa"/>
            <w:vAlign w:val="top"/>
          </w:tcPr>
          <w:p w14:paraId="33A1405A">
            <w:pPr>
              <w:pStyle w:val="6"/>
              <w:spacing w:before="105" w:line="208" w:lineRule="auto"/>
              <w:ind w:left="422"/>
            </w:pPr>
            <w:r>
              <w:t>/</w:t>
            </w:r>
          </w:p>
        </w:tc>
        <w:tc>
          <w:tcPr>
            <w:tcW w:w="906" w:type="dxa"/>
            <w:tcBorders>
              <w:right w:val="single" w:color="000000" w:sz="12" w:space="0"/>
            </w:tcBorders>
            <w:vAlign w:val="top"/>
          </w:tcPr>
          <w:p w14:paraId="3D256189">
            <w:pPr>
              <w:pStyle w:val="6"/>
              <w:spacing w:before="105" w:line="208" w:lineRule="auto"/>
              <w:ind w:left="425"/>
            </w:pPr>
            <w:r>
              <w:t>/</w:t>
            </w:r>
          </w:p>
        </w:tc>
      </w:tr>
      <w:tr w14:paraId="3F4A6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06FFD931">
            <w:pPr>
              <w:rPr>
                <w:rFonts w:ascii="Arial"/>
                <w:sz w:val="21"/>
              </w:rPr>
            </w:pPr>
          </w:p>
        </w:tc>
        <w:tc>
          <w:tcPr>
            <w:tcW w:w="423" w:type="dxa"/>
            <w:vMerge w:val="restart"/>
            <w:tcBorders>
              <w:bottom w:val="nil"/>
            </w:tcBorders>
            <w:vAlign w:val="top"/>
          </w:tcPr>
          <w:p w14:paraId="184A4C47">
            <w:pPr>
              <w:pStyle w:val="6"/>
              <w:spacing w:before="171" w:line="222" w:lineRule="auto"/>
              <w:ind w:left="148"/>
            </w:pPr>
            <w:r>
              <w:t>2</w:t>
            </w:r>
          </w:p>
          <w:p w14:paraId="0B6D9F02">
            <w:pPr>
              <w:spacing w:line="219" w:lineRule="auto"/>
              <w:ind w:left="100"/>
              <w:rPr>
                <w:rFonts w:ascii="宋体" w:hAnsi="宋体" w:eastAsia="宋体" w:cs="宋体"/>
                <w:sz w:val="21"/>
                <w:szCs w:val="21"/>
              </w:rPr>
            </w:pPr>
            <w:r>
              <w:rPr>
                <w:rFonts w:ascii="宋体" w:hAnsi="宋体" w:eastAsia="宋体" w:cs="宋体"/>
                <w:sz w:val="21"/>
                <w:szCs w:val="21"/>
              </w:rPr>
              <w:t>季</w:t>
            </w:r>
          </w:p>
          <w:p w14:paraId="6BE287D8">
            <w:pPr>
              <w:spacing w:before="23"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51F939BB">
            <w:pPr>
              <w:pStyle w:val="6"/>
              <w:spacing w:before="106" w:line="208" w:lineRule="auto"/>
              <w:ind w:left="343"/>
            </w:pPr>
            <w:r>
              <w:rPr>
                <w:spacing w:val="-1"/>
              </w:rPr>
              <w:t>2019/5/10</w:t>
            </w:r>
          </w:p>
        </w:tc>
        <w:tc>
          <w:tcPr>
            <w:tcW w:w="892" w:type="dxa"/>
            <w:vAlign w:val="top"/>
          </w:tcPr>
          <w:p w14:paraId="1904C536">
            <w:pPr>
              <w:pStyle w:val="6"/>
              <w:spacing w:before="106" w:line="208" w:lineRule="auto"/>
              <w:ind w:left="409"/>
            </w:pPr>
            <w:r>
              <w:t>/</w:t>
            </w:r>
          </w:p>
        </w:tc>
        <w:tc>
          <w:tcPr>
            <w:tcW w:w="892" w:type="dxa"/>
            <w:vAlign w:val="top"/>
          </w:tcPr>
          <w:p w14:paraId="32C5D69F">
            <w:pPr>
              <w:pStyle w:val="6"/>
              <w:spacing w:before="106" w:line="208" w:lineRule="auto"/>
              <w:ind w:left="339"/>
            </w:pPr>
            <w:r>
              <w:rPr>
                <w:spacing w:val="-1"/>
              </w:rPr>
              <w:t>46</w:t>
            </w:r>
          </w:p>
        </w:tc>
        <w:tc>
          <w:tcPr>
            <w:tcW w:w="892" w:type="dxa"/>
            <w:vAlign w:val="top"/>
          </w:tcPr>
          <w:p w14:paraId="0AA36FAB">
            <w:pPr>
              <w:pStyle w:val="6"/>
              <w:spacing w:before="106" w:line="208" w:lineRule="auto"/>
              <w:ind w:left="415"/>
            </w:pPr>
            <w:r>
              <w:t>/</w:t>
            </w:r>
          </w:p>
        </w:tc>
        <w:tc>
          <w:tcPr>
            <w:tcW w:w="892" w:type="dxa"/>
            <w:vAlign w:val="top"/>
          </w:tcPr>
          <w:p w14:paraId="2DF9CB06">
            <w:pPr>
              <w:pStyle w:val="6"/>
              <w:spacing w:before="110" w:line="204" w:lineRule="auto"/>
              <w:ind w:left="224"/>
            </w:pPr>
            <w:r>
              <w:rPr>
                <w:b/>
                <w:bCs/>
                <w:spacing w:val="-3"/>
              </w:rPr>
              <w:t>10.98</w:t>
            </w:r>
          </w:p>
        </w:tc>
        <w:tc>
          <w:tcPr>
            <w:tcW w:w="891" w:type="dxa"/>
            <w:vAlign w:val="top"/>
          </w:tcPr>
          <w:p w14:paraId="0298E3D2">
            <w:pPr>
              <w:pStyle w:val="6"/>
              <w:spacing w:before="106" w:line="208" w:lineRule="auto"/>
              <w:ind w:left="422"/>
            </w:pPr>
            <w:r>
              <w:t>/</w:t>
            </w:r>
          </w:p>
        </w:tc>
        <w:tc>
          <w:tcPr>
            <w:tcW w:w="906" w:type="dxa"/>
            <w:tcBorders>
              <w:right w:val="single" w:color="000000" w:sz="12" w:space="0"/>
            </w:tcBorders>
            <w:vAlign w:val="top"/>
          </w:tcPr>
          <w:p w14:paraId="3746561A">
            <w:pPr>
              <w:pStyle w:val="6"/>
              <w:spacing w:before="106" w:line="208" w:lineRule="auto"/>
              <w:ind w:left="425"/>
            </w:pPr>
            <w:r>
              <w:t>/</w:t>
            </w:r>
          </w:p>
        </w:tc>
      </w:tr>
      <w:tr w14:paraId="48E30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5A4D4E1">
            <w:pPr>
              <w:rPr>
                <w:rFonts w:ascii="Arial"/>
                <w:sz w:val="21"/>
              </w:rPr>
            </w:pPr>
          </w:p>
        </w:tc>
        <w:tc>
          <w:tcPr>
            <w:tcW w:w="423" w:type="dxa"/>
            <w:vMerge w:val="continue"/>
            <w:tcBorders>
              <w:top w:val="nil"/>
              <w:bottom w:val="nil"/>
            </w:tcBorders>
            <w:vAlign w:val="top"/>
          </w:tcPr>
          <w:p w14:paraId="503BEF4F">
            <w:pPr>
              <w:rPr>
                <w:rFonts w:ascii="Arial"/>
                <w:sz w:val="21"/>
              </w:rPr>
            </w:pPr>
          </w:p>
        </w:tc>
        <w:tc>
          <w:tcPr>
            <w:tcW w:w="1554" w:type="dxa"/>
            <w:vAlign w:val="top"/>
          </w:tcPr>
          <w:p w14:paraId="18350189">
            <w:pPr>
              <w:pStyle w:val="6"/>
              <w:spacing w:before="107" w:line="206" w:lineRule="auto"/>
              <w:ind w:left="343"/>
            </w:pPr>
            <w:r>
              <w:rPr>
                <w:spacing w:val="-1"/>
              </w:rPr>
              <w:t>2019/5/11</w:t>
            </w:r>
          </w:p>
        </w:tc>
        <w:tc>
          <w:tcPr>
            <w:tcW w:w="892" w:type="dxa"/>
            <w:vAlign w:val="top"/>
          </w:tcPr>
          <w:p w14:paraId="1FF10A0E">
            <w:pPr>
              <w:pStyle w:val="6"/>
              <w:spacing w:before="107" w:line="206" w:lineRule="auto"/>
              <w:ind w:left="409"/>
            </w:pPr>
            <w:r>
              <w:t>/</w:t>
            </w:r>
          </w:p>
        </w:tc>
        <w:tc>
          <w:tcPr>
            <w:tcW w:w="892" w:type="dxa"/>
            <w:vAlign w:val="top"/>
          </w:tcPr>
          <w:p w14:paraId="1E32468F">
            <w:pPr>
              <w:pStyle w:val="6"/>
              <w:spacing w:before="107" w:line="206" w:lineRule="auto"/>
              <w:ind w:left="339"/>
            </w:pPr>
            <w:r>
              <w:rPr>
                <w:spacing w:val="-1"/>
              </w:rPr>
              <w:t>41</w:t>
            </w:r>
          </w:p>
        </w:tc>
        <w:tc>
          <w:tcPr>
            <w:tcW w:w="892" w:type="dxa"/>
            <w:vAlign w:val="top"/>
          </w:tcPr>
          <w:p w14:paraId="08444EA4">
            <w:pPr>
              <w:pStyle w:val="6"/>
              <w:spacing w:before="107" w:line="206" w:lineRule="auto"/>
              <w:ind w:left="415"/>
            </w:pPr>
            <w:r>
              <w:t>/</w:t>
            </w:r>
          </w:p>
        </w:tc>
        <w:tc>
          <w:tcPr>
            <w:tcW w:w="892" w:type="dxa"/>
            <w:vAlign w:val="top"/>
          </w:tcPr>
          <w:p w14:paraId="46FF286B">
            <w:pPr>
              <w:pStyle w:val="6"/>
              <w:spacing w:before="111" w:line="202" w:lineRule="auto"/>
              <w:ind w:left="224"/>
            </w:pPr>
            <w:r>
              <w:rPr>
                <w:b/>
                <w:bCs/>
                <w:spacing w:val="-3"/>
              </w:rPr>
              <w:t>10.92</w:t>
            </w:r>
          </w:p>
        </w:tc>
        <w:tc>
          <w:tcPr>
            <w:tcW w:w="891" w:type="dxa"/>
            <w:vAlign w:val="top"/>
          </w:tcPr>
          <w:p w14:paraId="5033DC52">
            <w:pPr>
              <w:pStyle w:val="6"/>
              <w:spacing w:before="107" w:line="206" w:lineRule="auto"/>
              <w:ind w:left="422"/>
            </w:pPr>
            <w:r>
              <w:t>/</w:t>
            </w:r>
          </w:p>
        </w:tc>
        <w:tc>
          <w:tcPr>
            <w:tcW w:w="906" w:type="dxa"/>
            <w:tcBorders>
              <w:right w:val="single" w:color="000000" w:sz="12" w:space="0"/>
            </w:tcBorders>
            <w:vAlign w:val="top"/>
          </w:tcPr>
          <w:p w14:paraId="5E01BFBD">
            <w:pPr>
              <w:pStyle w:val="6"/>
              <w:spacing w:before="107" w:line="206" w:lineRule="auto"/>
              <w:ind w:left="425"/>
            </w:pPr>
            <w:r>
              <w:t>/</w:t>
            </w:r>
          </w:p>
        </w:tc>
      </w:tr>
      <w:tr w14:paraId="06430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70E99D6B">
            <w:pPr>
              <w:rPr>
                <w:rFonts w:ascii="Arial"/>
                <w:sz w:val="21"/>
              </w:rPr>
            </w:pPr>
          </w:p>
        </w:tc>
        <w:tc>
          <w:tcPr>
            <w:tcW w:w="423" w:type="dxa"/>
            <w:vMerge w:val="continue"/>
            <w:tcBorders>
              <w:top w:val="nil"/>
            </w:tcBorders>
            <w:vAlign w:val="top"/>
          </w:tcPr>
          <w:p w14:paraId="6FFEBF64">
            <w:pPr>
              <w:rPr>
                <w:rFonts w:ascii="Arial"/>
                <w:sz w:val="21"/>
              </w:rPr>
            </w:pPr>
          </w:p>
        </w:tc>
        <w:tc>
          <w:tcPr>
            <w:tcW w:w="1554" w:type="dxa"/>
            <w:vAlign w:val="top"/>
          </w:tcPr>
          <w:p w14:paraId="184A93F1">
            <w:pPr>
              <w:pStyle w:val="6"/>
              <w:spacing w:before="108" w:line="206" w:lineRule="auto"/>
              <w:ind w:left="343"/>
            </w:pPr>
            <w:r>
              <w:rPr>
                <w:spacing w:val="-1"/>
              </w:rPr>
              <w:t>2019/5/12</w:t>
            </w:r>
          </w:p>
        </w:tc>
        <w:tc>
          <w:tcPr>
            <w:tcW w:w="892" w:type="dxa"/>
            <w:vAlign w:val="top"/>
          </w:tcPr>
          <w:p w14:paraId="5C89FF9B">
            <w:pPr>
              <w:pStyle w:val="6"/>
              <w:spacing w:before="108" w:line="206" w:lineRule="auto"/>
              <w:ind w:left="409"/>
            </w:pPr>
            <w:r>
              <w:t>/</w:t>
            </w:r>
          </w:p>
        </w:tc>
        <w:tc>
          <w:tcPr>
            <w:tcW w:w="892" w:type="dxa"/>
            <w:vAlign w:val="top"/>
          </w:tcPr>
          <w:p w14:paraId="0DC4F5D4">
            <w:pPr>
              <w:pStyle w:val="6"/>
              <w:spacing w:before="108" w:line="206" w:lineRule="auto"/>
              <w:ind w:left="339"/>
            </w:pPr>
            <w:r>
              <w:rPr>
                <w:spacing w:val="-1"/>
              </w:rPr>
              <w:t>44</w:t>
            </w:r>
          </w:p>
        </w:tc>
        <w:tc>
          <w:tcPr>
            <w:tcW w:w="892" w:type="dxa"/>
            <w:vAlign w:val="top"/>
          </w:tcPr>
          <w:p w14:paraId="04CD1506">
            <w:pPr>
              <w:pStyle w:val="6"/>
              <w:spacing w:before="108" w:line="206" w:lineRule="auto"/>
              <w:ind w:left="415"/>
            </w:pPr>
            <w:r>
              <w:t>/</w:t>
            </w:r>
          </w:p>
        </w:tc>
        <w:tc>
          <w:tcPr>
            <w:tcW w:w="892" w:type="dxa"/>
            <w:vAlign w:val="top"/>
          </w:tcPr>
          <w:p w14:paraId="1205C079">
            <w:pPr>
              <w:pStyle w:val="6"/>
              <w:spacing w:before="113" w:line="201" w:lineRule="auto"/>
              <w:ind w:left="224"/>
            </w:pPr>
            <w:r>
              <w:rPr>
                <w:b/>
                <w:bCs/>
                <w:spacing w:val="-3"/>
              </w:rPr>
              <w:t>10.94</w:t>
            </w:r>
          </w:p>
        </w:tc>
        <w:tc>
          <w:tcPr>
            <w:tcW w:w="891" w:type="dxa"/>
            <w:vAlign w:val="top"/>
          </w:tcPr>
          <w:p w14:paraId="529A8F1C">
            <w:pPr>
              <w:pStyle w:val="6"/>
              <w:spacing w:before="108" w:line="206" w:lineRule="auto"/>
              <w:ind w:left="422"/>
            </w:pPr>
            <w:r>
              <w:t>/</w:t>
            </w:r>
          </w:p>
        </w:tc>
        <w:tc>
          <w:tcPr>
            <w:tcW w:w="906" w:type="dxa"/>
            <w:tcBorders>
              <w:right w:val="single" w:color="000000" w:sz="12" w:space="0"/>
            </w:tcBorders>
            <w:vAlign w:val="top"/>
          </w:tcPr>
          <w:p w14:paraId="35779C82">
            <w:pPr>
              <w:pStyle w:val="6"/>
              <w:spacing w:before="108" w:line="206" w:lineRule="auto"/>
              <w:ind w:left="425"/>
            </w:pPr>
            <w:r>
              <w:t>/</w:t>
            </w:r>
          </w:p>
        </w:tc>
      </w:tr>
      <w:tr w14:paraId="06B13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1019A0D7">
            <w:pPr>
              <w:rPr>
                <w:rFonts w:ascii="Arial"/>
                <w:sz w:val="21"/>
              </w:rPr>
            </w:pPr>
          </w:p>
        </w:tc>
        <w:tc>
          <w:tcPr>
            <w:tcW w:w="423" w:type="dxa"/>
            <w:vMerge w:val="restart"/>
            <w:tcBorders>
              <w:bottom w:val="nil"/>
            </w:tcBorders>
            <w:vAlign w:val="top"/>
          </w:tcPr>
          <w:p w14:paraId="58CD2B41">
            <w:pPr>
              <w:pStyle w:val="6"/>
              <w:spacing w:before="173" w:line="222" w:lineRule="auto"/>
              <w:ind w:left="152"/>
            </w:pPr>
            <w:r>
              <w:t>3</w:t>
            </w:r>
          </w:p>
          <w:p w14:paraId="151C8917">
            <w:pPr>
              <w:spacing w:line="219" w:lineRule="auto"/>
              <w:ind w:left="100"/>
              <w:rPr>
                <w:rFonts w:ascii="宋体" w:hAnsi="宋体" w:eastAsia="宋体" w:cs="宋体"/>
                <w:sz w:val="21"/>
                <w:szCs w:val="21"/>
              </w:rPr>
            </w:pPr>
            <w:r>
              <w:rPr>
                <w:rFonts w:ascii="宋体" w:hAnsi="宋体" w:eastAsia="宋体" w:cs="宋体"/>
                <w:sz w:val="21"/>
                <w:szCs w:val="21"/>
              </w:rPr>
              <w:t>季</w:t>
            </w:r>
          </w:p>
          <w:p w14:paraId="70C93E80">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2A1B5F53">
            <w:pPr>
              <w:pStyle w:val="6"/>
              <w:spacing w:before="108" w:line="205" w:lineRule="auto"/>
              <w:ind w:left="343"/>
            </w:pPr>
            <w:r>
              <w:rPr>
                <w:spacing w:val="-1"/>
              </w:rPr>
              <w:t>2019/8/06</w:t>
            </w:r>
          </w:p>
        </w:tc>
        <w:tc>
          <w:tcPr>
            <w:tcW w:w="892" w:type="dxa"/>
            <w:vAlign w:val="top"/>
          </w:tcPr>
          <w:p w14:paraId="5DD54B58">
            <w:pPr>
              <w:pStyle w:val="6"/>
              <w:spacing w:before="108" w:line="205" w:lineRule="auto"/>
              <w:ind w:left="409"/>
            </w:pPr>
            <w:r>
              <w:t>/</w:t>
            </w:r>
          </w:p>
        </w:tc>
        <w:tc>
          <w:tcPr>
            <w:tcW w:w="892" w:type="dxa"/>
            <w:vAlign w:val="top"/>
          </w:tcPr>
          <w:p w14:paraId="03F93D0D">
            <w:pPr>
              <w:pStyle w:val="6"/>
              <w:spacing w:before="108" w:line="205" w:lineRule="auto"/>
              <w:ind w:left="346"/>
            </w:pPr>
            <w:r>
              <w:rPr>
                <w:spacing w:val="-3"/>
              </w:rPr>
              <w:t>52</w:t>
            </w:r>
          </w:p>
        </w:tc>
        <w:tc>
          <w:tcPr>
            <w:tcW w:w="892" w:type="dxa"/>
            <w:vAlign w:val="top"/>
          </w:tcPr>
          <w:p w14:paraId="1040B58A">
            <w:pPr>
              <w:pStyle w:val="6"/>
              <w:spacing w:before="108" w:line="205" w:lineRule="auto"/>
              <w:ind w:left="415"/>
            </w:pPr>
            <w:r>
              <w:t>/</w:t>
            </w:r>
          </w:p>
        </w:tc>
        <w:tc>
          <w:tcPr>
            <w:tcW w:w="892" w:type="dxa"/>
            <w:vAlign w:val="top"/>
          </w:tcPr>
          <w:p w14:paraId="35C9592F">
            <w:pPr>
              <w:pStyle w:val="6"/>
              <w:spacing w:before="108" w:line="205" w:lineRule="auto"/>
              <w:ind w:left="271"/>
            </w:pPr>
            <w:r>
              <w:rPr>
                <w:spacing w:val="-2"/>
              </w:rPr>
              <w:t>7.03</w:t>
            </w:r>
          </w:p>
        </w:tc>
        <w:tc>
          <w:tcPr>
            <w:tcW w:w="891" w:type="dxa"/>
            <w:vAlign w:val="top"/>
          </w:tcPr>
          <w:p w14:paraId="4FD5581F">
            <w:pPr>
              <w:pStyle w:val="6"/>
              <w:spacing w:before="108" w:line="205" w:lineRule="auto"/>
              <w:ind w:left="422"/>
            </w:pPr>
            <w:r>
              <w:t>/</w:t>
            </w:r>
          </w:p>
        </w:tc>
        <w:tc>
          <w:tcPr>
            <w:tcW w:w="906" w:type="dxa"/>
            <w:tcBorders>
              <w:right w:val="single" w:color="000000" w:sz="12" w:space="0"/>
            </w:tcBorders>
            <w:vAlign w:val="top"/>
          </w:tcPr>
          <w:p w14:paraId="0D44F69E">
            <w:pPr>
              <w:pStyle w:val="6"/>
              <w:spacing w:before="108" w:line="205" w:lineRule="auto"/>
              <w:ind w:left="425"/>
            </w:pPr>
            <w:r>
              <w:t>/</w:t>
            </w:r>
          </w:p>
        </w:tc>
      </w:tr>
      <w:tr w14:paraId="6564D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598110A9">
            <w:pPr>
              <w:rPr>
                <w:rFonts w:ascii="Arial"/>
                <w:sz w:val="21"/>
              </w:rPr>
            </w:pPr>
          </w:p>
        </w:tc>
        <w:tc>
          <w:tcPr>
            <w:tcW w:w="423" w:type="dxa"/>
            <w:vMerge w:val="continue"/>
            <w:tcBorders>
              <w:top w:val="nil"/>
              <w:bottom w:val="nil"/>
            </w:tcBorders>
            <w:vAlign w:val="top"/>
          </w:tcPr>
          <w:p w14:paraId="7827FEDD">
            <w:pPr>
              <w:rPr>
                <w:rFonts w:ascii="Arial"/>
                <w:sz w:val="21"/>
              </w:rPr>
            </w:pPr>
          </w:p>
        </w:tc>
        <w:tc>
          <w:tcPr>
            <w:tcW w:w="1554" w:type="dxa"/>
            <w:vAlign w:val="top"/>
          </w:tcPr>
          <w:p w14:paraId="41B360CA">
            <w:pPr>
              <w:pStyle w:val="6"/>
              <w:spacing w:before="111" w:line="202" w:lineRule="auto"/>
              <w:ind w:left="343"/>
            </w:pPr>
            <w:r>
              <w:rPr>
                <w:spacing w:val="-1"/>
              </w:rPr>
              <w:t>2019/8/07</w:t>
            </w:r>
          </w:p>
        </w:tc>
        <w:tc>
          <w:tcPr>
            <w:tcW w:w="892" w:type="dxa"/>
            <w:vAlign w:val="top"/>
          </w:tcPr>
          <w:p w14:paraId="08134274">
            <w:pPr>
              <w:pStyle w:val="6"/>
              <w:spacing w:before="111" w:line="202" w:lineRule="auto"/>
              <w:ind w:left="409"/>
            </w:pPr>
            <w:r>
              <w:t>/</w:t>
            </w:r>
          </w:p>
        </w:tc>
        <w:tc>
          <w:tcPr>
            <w:tcW w:w="892" w:type="dxa"/>
            <w:vAlign w:val="top"/>
          </w:tcPr>
          <w:p w14:paraId="5769A3B7">
            <w:pPr>
              <w:pStyle w:val="6"/>
              <w:spacing w:before="111" w:line="202" w:lineRule="auto"/>
              <w:ind w:left="339"/>
            </w:pPr>
            <w:r>
              <w:rPr>
                <w:spacing w:val="-1"/>
              </w:rPr>
              <w:t>46</w:t>
            </w:r>
          </w:p>
        </w:tc>
        <w:tc>
          <w:tcPr>
            <w:tcW w:w="892" w:type="dxa"/>
            <w:vAlign w:val="top"/>
          </w:tcPr>
          <w:p w14:paraId="0FC99CEC">
            <w:pPr>
              <w:pStyle w:val="6"/>
              <w:spacing w:before="111" w:line="202" w:lineRule="auto"/>
              <w:ind w:left="415"/>
            </w:pPr>
            <w:r>
              <w:t>/</w:t>
            </w:r>
          </w:p>
        </w:tc>
        <w:tc>
          <w:tcPr>
            <w:tcW w:w="892" w:type="dxa"/>
            <w:vAlign w:val="top"/>
          </w:tcPr>
          <w:p w14:paraId="65910BA8">
            <w:pPr>
              <w:pStyle w:val="6"/>
              <w:spacing w:before="111" w:line="202" w:lineRule="auto"/>
              <w:ind w:left="272"/>
            </w:pPr>
            <w:r>
              <w:rPr>
                <w:spacing w:val="-3"/>
              </w:rPr>
              <w:t>6.99</w:t>
            </w:r>
          </w:p>
        </w:tc>
        <w:tc>
          <w:tcPr>
            <w:tcW w:w="891" w:type="dxa"/>
            <w:vAlign w:val="top"/>
          </w:tcPr>
          <w:p w14:paraId="6F84473F">
            <w:pPr>
              <w:pStyle w:val="6"/>
              <w:spacing w:before="111" w:line="202" w:lineRule="auto"/>
              <w:ind w:left="422"/>
            </w:pPr>
            <w:r>
              <w:t>/</w:t>
            </w:r>
          </w:p>
        </w:tc>
        <w:tc>
          <w:tcPr>
            <w:tcW w:w="906" w:type="dxa"/>
            <w:tcBorders>
              <w:right w:val="single" w:color="000000" w:sz="12" w:space="0"/>
            </w:tcBorders>
            <w:vAlign w:val="top"/>
          </w:tcPr>
          <w:p w14:paraId="12FF9CE6">
            <w:pPr>
              <w:pStyle w:val="6"/>
              <w:spacing w:before="111" w:line="202" w:lineRule="auto"/>
              <w:ind w:left="425"/>
            </w:pPr>
            <w:r>
              <w:t>/</w:t>
            </w:r>
          </w:p>
        </w:tc>
      </w:tr>
      <w:tr w14:paraId="72FD9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0D6DB391">
            <w:pPr>
              <w:rPr>
                <w:rFonts w:ascii="Arial"/>
                <w:sz w:val="21"/>
              </w:rPr>
            </w:pPr>
          </w:p>
        </w:tc>
        <w:tc>
          <w:tcPr>
            <w:tcW w:w="423" w:type="dxa"/>
            <w:vMerge w:val="continue"/>
            <w:tcBorders>
              <w:top w:val="nil"/>
            </w:tcBorders>
            <w:vAlign w:val="top"/>
          </w:tcPr>
          <w:p w14:paraId="283211AC">
            <w:pPr>
              <w:rPr>
                <w:rFonts w:ascii="Arial"/>
                <w:sz w:val="21"/>
              </w:rPr>
            </w:pPr>
          </w:p>
        </w:tc>
        <w:tc>
          <w:tcPr>
            <w:tcW w:w="1554" w:type="dxa"/>
            <w:vAlign w:val="top"/>
          </w:tcPr>
          <w:p w14:paraId="3EAEF81E">
            <w:pPr>
              <w:pStyle w:val="6"/>
              <w:spacing w:before="112" w:line="202" w:lineRule="auto"/>
              <w:ind w:left="343"/>
            </w:pPr>
            <w:r>
              <w:rPr>
                <w:spacing w:val="-1"/>
              </w:rPr>
              <w:t>2019/8/08</w:t>
            </w:r>
          </w:p>
        </w:tc>
        <w:tc>
          <w:tcPr>
            <w:tcW w:w="892" w:type="dxa"/>
            <w:vAlign w:val="top"/>
          </w:tcPr>
          <w:p w14:paraId="0F944D47">
            <w:pPr>
              <w:pStyle w:val="6"/>
              <w:spacing w:before="112" w:line="202" w:lineRule="auto"/>
              <w:ind w:left="409"/>
            </w:pPr>
            <w:r>
              <w:t>/</w:t>
            </w:r>
          </w:p>
        </w:tc>
        <w:tc>
          <w:tcPr>
            <w:tcW w:w="892" w:type="dxa"/>
            <w:vAlign w:val="top"/>
          </w:tcPr>
          <w:p w14:paraId="492EA1F8">
            <w:pPr>
              <w:pStyle w:val="6"/>
              <w:spacing w:before="112" w:line="202" w:lineRule="auto"/>
              <w:ind w:left="346"/>
            </w:pPr>
            <w:r>
              <w:rPr>
                <w:spacing w:val="-3"/>
              </w:rPr>
              <w:t>54</w:t>
            </w:r>
          </w:p>
        </w:tc>
        <w:tc>
          <w:tcPr>
            <w:tcW w:w="892" w:type="dxa"/>
            <w:vAlign w:val="top"/>
          </w:tcPr>
          <w:p w14:paraId="50EF3A05">
            <w:pPr>
              <w:pStyle w:val="6"/>
              <w:spacing w:before="112" w:line="202" w:lineRule="auto"/>
              <w:ind w:left="415"/>
            </w:pPr>
            <w:r>
              <w:t>/</w:t>
            </w:r>
          </w:p>
        </w:tc>
        <w:tc>
          <w:tcPr>
            <w:tcW w:w="892" w:type="dxa"/>
            <w:vAlign w:val="top"/>
          </w:tcPr>
          <w:p w14:paraId="5361CC71">
            <w:pPr>
              <w:pStyle w:val="6"/>
              <w:spacing w:before="112" w:line="202" w:lineRule="auto"/>
              <w:ind w:left="271"/>
            </w:pPr>
            <w:r>
              <w:rPr>
                <w:spacing w:val="-2"/>
              </w:rPr>
              <w:t>7.06</w:t>
            </w:r>
          </w:p>
        </w:tc>
        <w:tc>
          <w:tcPr>
            <w:tcW w:w="891" w:type="dxa"/>
            <w:vAlign w:val="top"/>
          </w:tcPr>
          <w:p w14:paraId="30845847">
            <w:pPr>
              <w:pStyle w:val="6"/>
              <w:spacing w:before="112" w:line="202" w:lineRule="auto"/>
              <w:ind w:left="422"/>
            </w:pPr>
            <w:r>
              <w:t>/</w:t>
            </w:r>
          </w:p>
        </w:tc>
        <w:tc>
          <w:tcPr>
            <w:tcW w:w="906" w:type="dxa"/>
            <w:tcBorders>
              <w:right w:val="single" w:color="000000" w:sz="12" w:space="0"/>
            </w:tcBorders>
            <w:vAlign w:val="top"/>
          </w:tcPr>
          <w:p w14:paraId="74F40FF0">
            <w:pPr>
              <w:pStyle w:val="6"/>
              <w:spacing w:before="112" w:line="202" w:lineRule="auto"/>
              <w:ind w:left="425"/>
            </w:pPr>
            <w:r>
              <w:t>/</w:t>
            </w:r>
          </w:p>
        </w:tc>
      </w:tr>
      <w:tr w14:paraId="1B5D8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1" w:type="dxa"/>
            <w:vMerge w:val="continue"/>
            <w:tcBorders>
              <w:top w:val="nil"/>
              <w:left w:val="single" w:color="000000" w:sz="12" w:space="0"/>
              <w:bottom w:val="nil"/>
            </w:tcBorders>
            <w:vAlign w:val="top"/>
          </w:tcPr>
          <w:p w14:paraId="4181E757">
            <w:pPr>
              <w:rPr>
                <w:rFonts w:ascii="Arial"/>
                <w:sz w:val="21"/>
              </w:rPr>
            </w:pPr>
          </w:p>
        </w:tc>
        <w:tc>
          <w:tcPr>
            <w:tcW w:w="423" w:type="dxa"/>
            <w:vMerge w:val="restart"/>
            <w:tcBorders>
              <w:bottom w:val="nil"/>
            </w:tcBorders>
            <w:vAlign w:val="top"/>
          </w:tcPr>
          <w:p w14:paraId="0EB83E76">
            <w:pPr>
              <w:pStyle w:val="6"/>
              <w:spacing w:before="176" w:line="222" w:lineRule="auto"/>
              <w:ind w:left="147"/>
            </w:pPr>
            <w:r>
              <w:t>4</w:t>
            </w:r>
          </w:p>
          <w:p w14:paraId="378E21F5">
            <w:pPr>
              <w:spacing w:line="219" w:lineRule="auto"/>
              <w:ind w:left="100"/>
              <w:rPr>
                <w:rFonts w:ascii="宋体" w:hAnsi="宋体" w:eastAsia="宋体" w:cs="宋体"/>
                <w:sz w:val="21"/>
                <w:szCs w:val="21"/>
              </w:rPr>
            </w:pPr>
            <w:r>
              <w:rPr>
                <w:rFonts w:ascii="宋体" w:hAnsi="宋体" w:eastAsia="宋体" w:cs="宋体"/>
                <w:sz w:val="21"/>
                <w:szCs w:val="21"/>
              </w:rPr>
              <w:t>季</w:t>
            </w:r>
          </w:p>
          <w:p w14:paraId="32079FB8">
            <w:pPr>
              <w:spacing w:before="22" w:line="220" w:lineRule="auto"/>
              <w:ind w:left="98"/>
              <w:rPr>
                <w:rFonts w:ascii="宋体" w:hAnsi="宋体" w:eastAsia="宋体" w:cs="宋体"/>
                <w:sz w:val="21"/>
                <w:szCs w:val="21"/>
              </w:rPr>
            </w:pPr>
            <w:r>
              <w:rPr>
                <w:rFonts w:ascii="宋体" w:hAnsi="宋体" w:eastAsia="宋体" w:cs="宋体"/>
                <w:sz w:val="21"/>
                <w:szCs w:val="21"/>
              </w:rPr>
              <w:t>度</w:t>
            </w:r>
          </w:p>
        </w:tc>
        <w:tc>
          <w:tcPr>
            <w:tcW w:w="1554" w:type="dxa"/>
            <w:vAlign w:val="top"/>
          </w:tcPr>
          <w:p w14:paraId="795DB46F">
            <w:pPr>
              <w:pStyle w:val="6"/>
              <w:spacing w:before="113" w:line="200" w:lineRule="auto"/>
              <w:ind w:left="343"/>
            </w:pPr>
            <w:r>
              <w:rPr>
                <w:spacing w:val="-1"/>
              </w:rPr>
              <w:t>2019/11/9</w:t>
            </w:r>
          </w:p>
        </w:tc>
        <w:tc>
          <w:tcPr>
            <w:tcW w:w="892" w:type="dxa"/>
            <w:vAlign w:val="top"/>
          </w:tcPr>
          <w:p w14:paraId="4AC7E9BA">
            <w:pPr>
              <w:pStyle w:val="6"/>
              <w:spacing w:before="113" w:line="200" w:lineRule="auto"/>
              <w:ind w:left="409"/>
            </w:pPr>
            <w:r>
              <w:t>/</w:t>
            </w:r>
          </w:p>
        </w:tc>
        <w:tc>
          <w:tcPr>
            <w:tcW w:w="892" w:type="dxa"/>
            <w:vAlign w:val="top"/>
          </w:tcPr>
          <w:p w14:paraId="142E3B07">
            <w:pPr>
              <w:pStyle w:val="6"/>
              <w:spacing w:before="117" w:line="196" w:lineRule="auto"/>
              <w:ind w:left="288"/>
            </w:pPr>
            <w:r>
              <w:rPr>
                <w:b/>
                <w:bCs/>
                <w:spacing w:val="-2"/>
              </w:rPr>
              <w:t>273</w:t>
            </w:r>
          </w:p>
        </w:tc>
        <w:tc>
          <w:tcPr>
            <w:tcW w:w="892" w:type="dxa"/>
            <w:vAlign w:val="top"/>
          </w:tcPr>
          <w:p w14:paraId="0F4F92FC">
            <w:pPr>
              <w:pStyle w:val="6"/>
              <w:spacing w:before="113" w:line="200" w:lineRule="auto"/>
              <w:ind w:left="415"/>
            </w:pPr>
            <w:r>
              <w:t>/</w:t>
            </w:r>
          </w:p>
        </w:tc>
        <w:tc>
          <w:tcPr>
            <w:tcW w:w="892" w:type="dxa"/>
            <w:vAlign w:val="top"/>
          </w:tcPr>
          <w:p w14:paraId="662FF13E">
            <w:pPr>
              <w:pStyle w:val="6"/>
              <w:spacing w:before="117" w:line="196" w:lineRule="auto"/>
              <w:ind w:left="224"/>
            </w:pPr>
            <w:r>
              <w:rPr>
                <w:b/>
                <w:bCs/>
                <w:spacing w:val="-3"/>
              </w:rPr>
              <w:t>11.06</w:t>
            </w:r>
          </w:p>
        </w:tc>
        <w:tc>
          <w:tcPr>
            <w:tcW w:w="891" w:type="dxa"/>
            <w:vAlign w:val="top"/>
          </w:tcPr>
          <w:p w14:paraId="44965DCA">
            <w:pPr>
              <w:pStyle w:val="6"/>
              <w:spacing w:before="113" w:line="200" w:lineRule="auto"/>
              <w:ind w:left="422"/>
            </w:pPr>
            <w:r>
              <w:t>/</w:t>
            </w:r>
          </w:p>
        </w:tc>
        <w:tc>
          <w:tcPr>
            <w:tcW w:w="906" w:type="dxa"/>
            <w:tcBorders>
              <w:right w:val="single" w:color="000000" w:sz="12" w:space="0"/>
            </w:tcBorders>
            <w:vAlign w:val="top"/>
          </w:tcPr>
          <w:p w14:paraId="4509B78B">
            <w:pPr>
              <w:pStyle w:val="6"/>
              <w:spacing w:before="113" w:line="200" w:lineRule="auto"/>
              <w:ind w:left="425"/>
            </w:pPr>
            <w:r>
              <w:t>/</w:t>
            </w:r>
          </w:p>
        </w:tc>
      </w:tr>
      <w:tr w14:paraId="36700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1" w:type="dxa"/>
            <w:vMerge w:val="continue"/>
            <w:tcBorders>
              <w:top w:val="nil"/>
              <w:left w:val="single" w:color="000000" w:sz="12" w:space="0"/>
              <w:bottom w:val="nil"/>
            </w:tcBorders>
            <w:vAlign w:val="top"/>
          </w:tcPr>
          <w:p w14:paraId="726D8286">
            <w:pPr>
              <w:rPr>
                <w:rFonts w:ascii="Arial"/>
                <w:sz w:val="21"/>
              </w:rPr>
            </w:pPr>
          </w:p>
        </w:tc>
        <w:tc>
          <w:tcPr>
            <w:tcW w:w="423" w:type="dxa"/>
            <w:vMerge w:val="continue"/>
            <w:tcBorders>
              <w:top w:val="nil"/>
              <w:bottom w:val="nil"/>
            </w:tcBorders>
            <w:vAlign w:val="top"/>
          </w:tcPr>
          <w:p w14:paraId="285F9E18">
            <w:pPr>
              <w:rPr>
                <w:rFonts w:ascii="Arial"/>
                <w:sz w:val="21"/>
              </w:rPr>
            </w:pPr>
          </w:p>
        </w:tc>
        <w:tc>
          <w:tcPr>
            <w:tcW w:w="1554" w:type="dxa"/>
            <w:vAlign w:val="top"/>
          </w:tcPr>
          <w:p w14:paraId="3DB78019">
            <w:pPr>
              <w:pStyle w:val="6"/>
              <w:spacing w:before="114" w:line="200" w:lineRule="auto"/>
              <w:ind w:left="290"/>
            </w:pPr>
            <w:r>
              <w:rPr>
                <w:spacing w:val="-1"/>
              </w:rPr>
              <w:t>2019/11/10</w:t>
            </w:r>
          </w:p>
        </w:tc>
        <w:tc>
          <w:tcPr>
            <w:tcW w:w="892" w:type="dxa"/>
            <w:vAlign w:val="top"/>
          </w:tcPr>
          <w:p w14:paraId="724D5D59">
            <w:pPr>
              <w:pStyle w:val="6"/>
              <w:spacing w:before="114" w:line="200" w:lineRule="auto"/>
              <w:ind w:left="409"/>
            </w:pPr>
            <w:r>
              <w:t>/</w:t>
            </w:r>
          </w:p>
        </w:tc>
        <w:tc>
          <w:tcPr>
            <w:tcW w:w="892" w:type="dxa"/>
            <w:vAlign w:val="top"/>
          </w:tcPr>
          <w:p w14:paraId="6845402D">
            <w:pPr>
              <w:pStyle w:val="6"/>
              <w:spacing w:before="118" w:line="196" w:lineRule="auto"/>
              <w:ind w:left="288"/>
            </w:pPr>
            <w:r>
              <w:rPr>
                <w:b/>
                <w:bCs/>
                <w:spacing w:val="-2"/>
              </w:rPr>
              <w:t>281</w:t>
            </w:r>
          </w:p>
        </w:tc>
        <w:tc>
          <w:tcPr>
            <w:tcW w:w="892" w:type="dxa"/>
            <w:vAlign w:val="top"/>
          </w:tcPr>
          <w:p w14:paraId="2A28FFC8">
            <w:pPr>
              <w:pStyle w:val="6"/>
              <w:spacing w:before="114" w:line="200" w:lineRule="auto"/>
              <w:ind w:left="415"/>
            </w:pPr>
            <w:r>
              <w:t>/</w:t>
            </w:r>
          </w:p>
        </w:tc>
        <w:tc>
          <w:tcPr>
            <w:tcW w:w="892" w:type="dxa"/>
            <w:vAlign w:val="top"/>
          </w:tcPr>
          <w:p w14:paraId="4F0A5065">
            <w:pPr>
              <w:pStyle w:val="6"/>
              <w:spacing w:before="118" w:line="196" w:lineRule="auto"/>
              <w:ind w:left="224"/>
            </w:pPr>
            <w:r>
              <w:rPr>
                <w:b/>
                <w:bCs/>
                <w:spacing w:val="-3"/>
              </w:rPr>
              <w:t>10.96</w:t>
            </w:r>
          </w:p>
        </w:tc>
        <w:tc>
          <w:tcPr>
            <w:tcW w:w="891" w:type="dxa"/>
            <w:vAlign w:val="top"/>
          </w:tcPr>
          <w:p w14:paraId="439ABF2A">
            <w:pPr>
              <w:pStyle w:val="6"/>
              <w:spacing w:before="114" w:line="200" w:lineRule="auto"/>
              <w:ind w:left="422"/>
            </w:pPr>
            <w:r>
              <w:t>/</w:t>
            </w:r>
          </w:p>
        </w:tc>
        <w:tc>
          <w:tcPr>
            <w:tcW w:w="906" w:type="dxa"/>
            <w:tcBorders>
              <w:right w:val="single" w:color="000000" w:sz="12" w:space="0"/>
            </w:tcBorders>
            <w:vAlign w:val="top"/>
          </w:tcPr>
          <w:p w14:paraId="055414BA">
            <w:pPr>
              <w:pStyle w:val="6"/>
              <w:spacing w:before="114" w:line="200" w:lineRule="auto"/>
              <w:ind w:left="425"/>
            </w:pPr>
            <w:r>
              <w:t>/</w:t>
            </w:r>
          </w:p>
        </w:tc>
      </w:tr>
      <w:tr w14:paraId="373B9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1131" w:type="dxa"/>
            <w:vMerge w:val="continue"/>
            <w:tcBorders>
              <w:top w:val="nil"/>
              <w:left w:val="single" w:color="000000" w:sz="12" w:space="0"/>
              <w:bottom w:val="single" w:color="000000" w:sz="12" w:space="0"/>
            </w:tcBorders>
            <w:vAlign w:val="top"/>
          </w:tcPr>
          <w:p w14:paraId="457AA0CC">
            <w:pPr>
              <w:rPr>
                <w:rFonts w:ascii="Arial"/>
                <w:sz w:val="21"/>
              </w:rPr>
            </w:pPr>
          </w:p>
        </w:tc>
        <w:tc>
          <w:tcPr>
            <w:tcW w:w="423" w:type="dxa"/>
            <w:vMerge w:val="continue"/>
            <w:tcBorders>
              <w:top w:val="nil"/>
              <w:bottom w:val="single" w:color="000000" w:sz="12" w:space="0"/>
            </w:tcBorders>
            <w:vAlign w:val="top"/>
          </w:tcPr>
          <w:p w14:paraId="78C11C4D">
            <w:pPr>
              <w:rPr>
                <w:rFonts w:ascii="Arial"/>
                <w:sz w:val="21"/>
              </w:rPr>
            </w:pPr>
          </w:p>
        </w:tc>
        <w:tc>
          <w:tcPr>
            <w:tcW w:w="1554" w:type="dxa"/>
            <w:tcBorders>
              <w:bottom w:val="single" w:color="000000" w:sz="12" w:space="0"/>
            </w:tcBorders>
            <w:vAlign w:val="top"/>
          </w:tcPr>
          <w:p w14:paraId="4C20CC9C">
            <w:pPr>
              <w:pStyle w:val="6"/>
              <w:spacing w:before="114" w:line="221" w:lineRule="auto"/>
              <w:ind w:left="290"/>
            </w:pPr>
            <w:r>
              <w:rPr>
                <w:spacing w:val="-1"/>
              </w:rPr>
              <w:t>2019/11/11</w:t>
            </w:r>
          </w:p>
        </w:tc>
        <w:tc>
          <w:tcPr>
            <w:tcW w:w="892" w:type="dxa"/>
            <w:tcBorders>
              <w:bottom w:val="single" w:color="000000" w:sz="12" w:space="0"/>
            </w:tcBorders>
            <w:vAlign w:val="top"/>
          </w:tcPr>
          <w:p w14:paraId="51F64090">
            <w:pPr>
              <w:pStyle w:val="6"/>
              <w:spacing w:before="114" w:line="221" w:lineRule="auto"/>
              <w:ind w:left="409"/>
            </w:pPr>
            <w:r>
              <w:t>/</w:t>
            </w:r>
          </w:p>
        </w:tc>
        <w:tc>
          <w:tcPr>
            <w:tcW w:w="892" w:type="dxa"/>
            <w:tcBorders>
              <w:bottom w:val="single" w:color="000000" w:sz="12" w:space="0"/>
            </w:tcBorders>
            <w:vAlign w:val="top"/>
          </w:tcPr>
          <w:p w14:paraId="0DF72372">
            <w:pPr>
              <w:pStyle w:val="6"/>
              <w:spacing w:before="118" w:line="217" w:lineRule="auto"/>
              <w:ind w:left="288"/>
            </w:pPr>
            <w:r>
              <w:rPr>
                <w:b/>
                <w:bCs/>
                <w:spacing w:val="-2"/>
              </w:rPr>
              <w:t>266</w:t>
            </w:r>
          </w:p>
        </w:tc>
        <w:tc>
          <w:tcPr>
            <w:tcW w:w="892" w:type="dxa"/>
            <w:tcBorders>
              <w:bottom w:val="single" w:color="000000" w:sz="12" w:space="0"/>
            </w:tcBorders>
            <w:vAlign w:val="top"/>
          </w:tcPr>
          <w:p w14:paraId="586D6CE2">
            <w:pPr>
              <w:pStyle w:val="6"/>
              <w:spacing w:before="114" w:line="221" w:lineRule="auto"/>
              <w:ind w:left="415"/>
            </w:pPr>
            <w:r>
              <w:t>/</w:t>
            </w:r>
          </w:p>
        </w:tc>
        <w:tc>
          <w:tcPr>
            <w:tcW w:w="892" w:type="dxa"/>
            <w:tcBorders>
              <w:bottom w:val="single" w:color="000000" w:sz="12" w:space="0"/>
            </w:tcBorders>
            <w:vAlign w:val="top"/>
          </w:tcPr>
          <w:p w14:paraId="186781B8">
            <w:pPr>
              <w:pStyle w:val="6"/>
              <w:spacing w:before="118" w:line="217" w:lineRule="auto"/>
              <w:ind w:left="224"/>
            </w:pPr>
            <w:r>
              <w:rPr>
                <w:b/>
                <w:bCs/>
                <w:spacing w:val="-3"/>
              </w:rPr>
              <w:t>11.09</w:t>
            </w:r>
          </w:p>
        </w:tc>
        <w:tc>
          <w:tcPr>
            <w:tcW w:w="891" w:type="dxa"/>
            <w:tcBorders>
              <w:bottom w:val="single" w:color="000000" w:sz="12" w:space="0"/>
            </w:tcBorders>
            <w:vAlign w:val="top"/>
          </w:tcPr>
          <w:p w14:paraId="1D87285A">
            <w:pPr>
              <w:pStyle w:val="6"/>
              <w:spacing w:before="114" w:line="221" w:lineRule="auto"/>
              <w:ind w:left="422"/>
            </w:pPr>
            <w:r>
              <w:t>/</w:t>
            </w:r>
          </w:p>
        </w:tc>
        <w:tc>
          <w:tcPr>
            <w:tcW w:w="906" w:type="dxa"/>
            <w:tcBorders>
              <w:bottom w:val="single" w:color="000000" w:sz="12" w:space="0"/>
              <w:right w:val="single" w:color="000000" w:sz="12" w:space="0"/>
            </w:tcBorders>
            <w:vAlign w:val="top"/>
          </w:tcPr>
          <w:p w14:paraId="54A336B7">
            <w:pPr>
              <w:pStyle w:val="6"/>
              <w:spacing w:before="114" w:line="221" w:lineRule="auto"/>
              <w:ind w:left="425"/>
            </w:pPr>
            <w:r>
              <w:t>/</w:t>
            </w:r>
          </w:p>
        </w:tc>
      </w:tr>
    </w:tbl>
    <w:p w14:paraId="2019EF40">
      <w:pPr>
        <w:pStyle w:val="2"/>
        <w:spacing w:before="31" w:line="233" w:lineRule="auto"/>
        <w:ind w:left="40"/>
        <w:rPr>
          <w:sz w:val="21"/>
          <w:szCs w:val="21"/>
        </w:rPr>
      </w:pPr>
      <w:r>
        <w:rPr>
          <w:spacing w:val="-4"/>
          <w:sz w:val="21"/>
          <w:szCs w:val="21"/>
        </w:rPr>
        <w:t>备注：表中带“</w:t>
      </w:r>
      <w:r>
        <w:rPr>
          <w:rFonts w:ascii="Times New Roman" w:hAnsi="Times New Roman" w:eastAsia="Times New Roman" w:cs="Times New Roman"/>
          <w:spacing w:val="-4"/>
          <w:sz w:val="21"/>
          <w:szCs w:val="21"/>
        </w:rPr>
        <w:t>L</w:t>
      </w:r>
      <w:r>
        <w:rPr>
          <w:spacing w:val="-4"/>
          <w:sz w:val="21"/>
          <w:szCs w:val="21"/>
        </w:rPr>
        <w:t>”数据表示低于方法检出限，“</w:t>
      </w:r>
      <w:r>
        <w:rPr>
          <w:rFonts w:ascii="Times New Roman" w:hAnsi="Times New Roman" w:eastAsia="Times New Roman" w:cs="Times New Roman"/>
          <w:spacing w:val="-4"/>
          <w:sz w:val="21"/>
          <w:szCs w:val="21"/>
        </w:rPr>
        <w:t>/</w:t>
      </w:r>
      <w:r>
        <w:rPr>
          <w:spacing w:val="-4"/>
          <w:sz w:val="21"/>
          <w:szCs w:val="21"/>
        </w:rPr>
        <w:t>”表示未进行监测。</w:t>
      </w:r>
    </w:p>
    <w:p w14:paraId="4E650B78">
      <w:pPr>
        <w:spacing w:line="254" w:lineRule="auto"/>
        <w:rPr>
          <w:rFonts w:ascii="Arial"/>
          <w:sz w:val="21"/>
        </w:rPr>
      </w:pPr>
    </w:p>
    <w:p w14:paraId="5B90D677">
      <w:pPr>
        <w:spacing w:line="254" w:lineRule="auto"/>
        <w:rPr>
          <w:rFonts w:ascii="Arial"/>
          <w:sz w:val="21"/>
        </w:rPr>
      </w:pPr>
    </w:p>
    <w:p w14:paraId="1EB8A56B">
      <w:pPr>
        <w:spacing w:line="255" w:lineRule="auto"/>
        <w:rPr>
          <w:rFonts w:ascii="Arial"/>
          <w:sz w:val="21"/>
        </w:rPr>
      </w:pPr>
    </w:p>
    <w:p w14:paraId="4D5174D1">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5.1.2                      2020 </w:t>
      </w:r>
      <w:r>
        <w:rPr>
          <w:b/>
          <w:bCs/>
          <w:sz w:val="24"/>
          <w:szCs w:val="24"/>
        </w:rPr>
        <w:t>年施</w:t>
      </w:r>
      <w:r>
        <w:rPr>
          <w:b/>
          <w:bCs/>
          <w:spacing w:val="-1"/>
          <w:sz w:val="24"/>
          <w:szCs w:val="24"/>
        </w:rPr>
        <w:t>工期生产废水处理系统进、出口水质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202F2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restart"/>
            <w:tcBorders>
              <w:top w:val="single" w:color="000000" w:sz="12" w:space="0"/>
              <w:left w:val="single" w:color="000000" w:sz="12" w:space="0"/>
              <w:bottom w:val="nil"/>
            </w:tcBorders>
            <w:vAlign w:val="top"/>
          </w:tcPr>
          <w:p w14:paraId="42A0DF6E">
            <w:pPr>
              <w:spacing w:before="255"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1836" w:type="dxa"/>
            <w:gridSpan w:val="2"/>
            <w:vMerge w:val="restart"/>
            <w:tcBorders>
              <w:top w:val="single" w:color="000000" w:sz="12" w:space="0"/>
              <w:bottom w:val="nil"/>
            </w:tcBorders>
            <w:vAlign w:val="top"/>
          </w:tcPr>
          <w:p w14:paraId="5B56D799">
            <w:pPr>
              <w:spacing w:before="255" w:line="221" w:lineRule="auto"/>
              <w:ind w:left="49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38359E57">
            <w:pPr>
              <w:pStyle w:val="6"/>
              <w:spacing w:before="71"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0733E25D">
            <w:pPr>
              <w:pStyle w:val="6"/>
              <w:spacing w:before="71"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38B9D39F">
            <w:pPr>
              <w:pStyle w:val="6"/>
              <w:spacing w:before="71"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63B57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272" w:type="dxa"/>
            <w:vMerge w:val="continue"/>
            <w:tcBorders>
              <w:top w:val="nil"/>
              <w:left w:val="single" w:color="000000" w:sz="12" w:space="0"/>
            </w:tcBorders>
            <w:vAlign w:val="top"/>
          </w:tcPr>
          <w:p w14:paraId="41871D31">
            <w:pPr>
              <w:rPr>
                <w:rFonts w:ascii="Arial"/>
                <w:sz w:val="21"/>
              </w:rPr>
            </w:pPr>
          </w:p>
        </w:tc>
        <w:tc>
          <w:tcPr>
            <w:tcW w:w="1836" w:type="dxa"/>
            <w:gridSpan w:val="2"/>
            <w:vMerge w:val="continue"/>
            <w:tcBorders>
              <w:top w:val="nil"/>
            </w:tcBorders>
            <w:vAlign w:val="top"/>
          </w:tcPr>
          <w:p w14:paraId="0662B797">
            <w:pPr>
              <w:rPr>
                <w:rFonts w:ascii="Arial"/>
                <w:sz w:val="21"/>
              </w:rPr>
            </w:pPr>
          </w:p>
        </w:tc>
        <w:tc>
          <w:tcPr>
            <w:tcW w:w="892" w:type="dxa"/>
            <w:vAlign w:val="top"/>
          </w:tcPr>
          <w:p w14:paraId="50DBF3FD">
            <w:pPr>
              <w:spacing w:before="73"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BA1FC20">
            <w:pPr>
              <w:spacing w:before="72"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403A762E">
            <w:pPr>
              <w:spacing w:before="73"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2AE467E8">
            <w:pPr>
              <w:spacing w:before="72"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3DD5245C">
            <w:pPr>
              <w:spacing w:before="73"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27064322">
            <w:pPr>
              <w:spacing w:before="72"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7B313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restart"/>
            <w:tcBorders>
              <w:left w:val="single" w:color="000000" w:sz="12" w:space="0"/>
              <w:bottom w:val="nil"/>
            </w:tcBorders>
            <w:vAlign w:val="top"/>
          </w:tcPr>
          <w:p w14:paraId="74E839E3">
            <w:pPr>
              <w:spacing w:line="347" w:lineRule="auto"/>
              <w:rPr>
                <w:rFonts w:ascii="Arial"/>
                <w:sz w:val="21"/>
              </w:rPr>
            </w:pPr>
          </w:p>
          <w:p w14:paraId="5F4631C6">
            <w:pPr>
              <w:spacing w:line="348" w:lineRule="auto"/>
              <w:rPr>
                <w:rFonts w:ascii="Arial"/>
                <w:sz w:val="21"/>
              </w:rPr>
            </w:pPr>
          </w:p>
          <w:p w14:paraId="49880BFB">
            <w:pPr>
              <w:pStyle w:val="6"/>
              <w:spacing w:before="68" w:line="235" w:lineRule="auto"/>
              <w:ind w:left="207" w:right="109" w:hanging="108"/>
              <w:rPr>
                <w:rFonts w:ascii="宋体" w:hAnsi="宋体" w:eastAsia="宋体" w:cs="宋体"/>
              </w:rPr>
            </w:pPr>
            <w:r>
              <w:rPr>
                <w:spacing w:val="-2"/>
              </w:rPr>
              <w:t>3#</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22C5F746">
            <w:pPr>
              <w:pStyle w:val="6"/>
              <w:spacing w:before="158" w:line="223" w:lineRule="auto"/>
              <w:ind w:left="167"/>
            </w:pPr>
            <w:r>
              <w:t>1</w:t>
            </w:r>
          </w:p>
          <w:p w14:paraId="2A3BA83F">
            <w:pPr>
              <w:spacing w:line="219" w:lineRule="auto"/>
              <w:ind w:left="99"/>
              <w:rPr>
                <w:rFonts w:ascii="宋体" w:hAnsi="宋体" w:eastAsia="宋体" w:cs="宋体"/>
                <w:sz w:val="21"/>
                <w:szCs w:val="21"/>
              </w:rPr>
            </w:pPr>
            <w:r>
              <w:rPr>
                <w:rFonts w:ascii="宋体" w:hAnsi="宋体" w:eastAsia="宋体" w:cs="宋体"/>
                <w:sz w:val="21"/>
                <w:szCs w:val="21"/>
              </w:rPr>
              <w:t>季</w:t>
            </w:r>
          </w:p>
          <w:p w14:paraId="5F033F96">
            <w:pPr>
              <w:spacing w:before="21"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A84A642">
            <w:pPr>
              <w:pStyle w:val="6"/>
              <w:spacing w:before="94" w:line="216" w:lineRule="auto"/>
              <w:ind w:left="274"/>
            </w:pPr>
            <w:r>
              <w:rPr>
                <w:spacing w:val="-1"/>
              </w:rPr>
              <w:t>2020/3/10</w:t>
            </w:r>
          </w:p>
        </w:tc>
        <w:tc>
          <w:tcPr>
            <w:tcW w:w="892" w:type="dxa"/>
            <w:vAlign w:val="top"/>
          </w:tcPr>
          <w:p w14:paraId="60224FE9">
            <w:pPr>
              <w:pStyle w:val="6"/>
              <w:spacing w:before="94" w:line="216" w:lineRule="auto"/>
              <w:ind w:left="290"/>
            </w:pPr>
            <w:r>
              <w:rPr>
                <w:spacing w:val="-3"/>
              </w:rPr>
              <w:t>572</w:t>
            </w:r>
          </w:p>
        </w:tc>
        <w:tc>
          <w:tcPr>
            <w:tcW w:w="892" w:type="dxa"/>
            <w:vAlign w:val="top"/>
          </w:tcPr>
          <w:p w14:paraId="0F58AE14">
            <w:pPr>
              <w:pStyle w:val="6"/>
              <w:spacing w:before="94" w:line="216" w:lineRule="auto"/>
              <w:ind w:left="399"/>
            </w:pPr>
            <w:r>
              <w:t>5</w:t>
            </w:r>
          </w:p>
        </w:tc>
        <w:tc>
          <w:tcPr>
            <w:tcW w:w="892" w:type="dxa"/>
            <w:vAlign w:val="top"/>
          </w:tcPr>
          <w:p w14:paraId="1504FA63">
            <w:pPr>
              <w:pStyle w:val="6"/>
              <w:spacing w:before="94" w:line="216" w:lineRule="auto"/>
              <w:ind w:left="268"/>
            </w:pPr>
            <w:r>
              <w:rPr>
                <w:spacing w:val="-2"/>
              </w:rPr>
              <w:t>7.23</w:t>
            </w:r>
          </w:p>
        </w:tc>
        <w:tc>
          <w:tcPr>
            <w:tcW w:w="892" w:type="dxa"/>
            <w:vAlign w:val="top"/>
          </w:tcPr>
          <w:p w14:paraId="2A6D22A4">
            <w:pPr>
              <w:pStyle w:val="6"/>
              <w:spacing w:before="94" w:line="216" w:lineRule="auto"/>
              <w:ind w:left="271"/>
            </w:pPr>
            <w:r>
              <w:rPr>
                <w:spacing w:val="-2"/>
              </w:rPr>
              <w:t>7.38</w:t>
            </w:r>
          </w:p>
        </w:tc>
        <w:tc>
          <w:tcPr>
            <w:tcW w:w="891" w:type="dxa"/>
            <w:vAlign w:val="top"/>
          </w:tcPr>
          <w:p w14:paraId="5B7456C1">
            <w:pPr>
              <w:pStyle w:val="6"/>
              <w:spacing w:before="94" w:line="216" w:lineRule="auto"/>
              <w:ind w:left="274"/>
            </w:pPr>
            <w:r>
              <w:rPr>
                <w:spacing w:val="-2"/>
              </w:rPr>
              <w:t>0.16</w:t>
            </w:r>
          </w:p>
        </w:tc>
        <w:tc>
          <w:tcPr>
            <w:tcW w:w="906" w:type="dxa"/>
            <w:tcBorders>
              <w:right w:val="single" w:color="000000" w:sz="12" w:space="0"/>
            </w:tcBorders>
            <w:vAlign w:val="top"/>
          </w:tcPr>
          <w:p w14:paraId="0AC3D079">
            <w:pPr>
              <w:pStyle w:val="6"/>
              <w:spacing w:before="94" w:line="216" w:lineRule="auto"/>
              <w:ind w:left="214"/>
            </w:pPr>
            <w:r>
              <w:rPr>
                <w:spacing w:val="-2"/>
              </w:rPr>
              <w:t>0.06L</w:t>
            </w:r>
          </w:p>
        </w:tc>
      </w:tr>
      <w:tr w14:paraId="13CAD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2" w:type="dxa"/>
            <w:vMerge w:val="continue"/>
            <w:tcBorders>
              <w:top w:val="nil"/>
              <w:left w:val="single" w:color="000000" w:sz="12" w:space="0"/>
              <w:bottom w:val="nil"/>
            </w:tcBorders>
            <w:vAlign w:val="top"/>
          </w:tcPr>
          <w:p w14:paraId="72A1ACA4">
            <w:pPr>
              <w:rPr>
                <w:rFonts w:ascii="Arial"/>
                <w:sz w:val="21"/>
              </w:rPr>
            </w:pPr>
          </w:p>
        </w:tc>
        <w:tc>
          <w:tcPr>
            <w:tcW w:w="422" w:type="dxa"/>
            <w:vMerge w:val="continue"/>
            <w:tcBorders>
              <w:top w:val="nil"/>
              <w:bottom w:val="nil"/>
            </w:tcBorders>
            <w:vAlign w:val="top"/>
          </w:tcPr>
          <w:p w14:paraId="3528BA01">
            <w:pPr>
              <w:rPr>
                <w:rFonts w:ascii="Arial"/>
                <w:sz w:val="21"/>
              </w:rPr>
            </w:pPr>
          </w:p>
        </w:tc>
        <w:tc>
          <w:tcPr>
            <w:tcW w:w="1414" w:type="dxa"/>
            <w:vAlign w:val="top"/>
          </w:tcPr>
          <w:p w14:paraId="50E1B7EF">
            <w:pPr>
              <w:pStyle w:val="6"/>
              <w:spacing w:before="98" w:line="214" w:lineRule="auto"/>
              <w:ind w:left="274"/>
            </w:pPr>
            <w:r>
              <w:rPr>
                <w:spacing w:val="-1"/>
              </w:rPr>
              <w:t>2020/3/11</w:t>
            </w:r>
          </w:p>
        </w:tc>
        <w:tc>
          <w:tcPr>
            <w:tcW w:w="892" w:type="dxa"/>
            <w:vAlign w:val="top"/>
          </w:tcPr>
          <w:p w14:paraId="00E9F276">
            <w:pPr>
              <w:pStyle w:val="6"/>
              <w:spacing w:before="98" w:line="214" w:lineRule="auto"/>
              <w:ind w:left="290"/>
            </w:pPr>
            <w:r>
              <w:rPr>
                <w:spacing w:val="-3"/>
              </w:rPr>
              <w:t>555</w:t>
            </w:r>
          </w:p>
        </w:tc>
        <w:tc>
          <w:tcPr>
            <w:tcW w:w="892" w:type="dxa"/>
            <w:vAlign w:val="top"/>
          </w:tcPr>
          <w:p w14:paraId="58993328">
            <w:pPr>
              <w:pStyle w:val="6"/>
              <w:spacing w:before="98" w:line="214" w:lineRule="auto"/>
              <w:ind w:left="398"/>
            </w:pPr>
            <w:r>
              <w:t>6</w:t>
            </w:r>
          </w:p>
        </w:tc>
        <w:tc>
          <w:tcPr>
            <w:tcW w:w="892" w:type="dxa"/>
            <w:vAlign w:val="top"/>
          </w:tcPr>
          <w:p w14:paraId="0EDF2782">
            <w:pPr>
              <w:pStyle w:val="6"/>
              <w:spacing w:before="98" w:line="214" w:lineRule="auto"/>
              <w:ind w:left="268"/>
            </w:pPr>
            <w:r>
              <w:rPr>
                <w:spacing w:val="-2"/>
              </w:rPr>
              <w:t>7.34</w:t>
            </w:r>
          </w:p>
        </w:tc>
        <w:tc>
          <w:tcPr>
            <w:tcW w:w="892" w:type="dxa"/>
            <w:vAlign w:val="top"/>
          </w:tcPr>
          <w:p w14:paraId="0A094983">
            <w:pPr>
              <w:pStyle w:val="6"/>
              <w:spacing w:before="98" w:line="214" w:lineRule="auto"/>
              <w:ind w:left="271"/>
            </w:pPr>
            <w:r>
              <w:rPr>
                <w:spacing w:val="-2"/>
              </w:rPr>
              <w:t>7.31</w:t>
            </w:r>
          </w:p>
        </w:tc>
        <w:tc>
          <w:tcPr>
            <w:tcW w:w="891" w:type="dxa"/>
            <w:vAlign w:val="top"/>
          </w:tcPr>
          <w:p w14:paraId="2C446075">
            <w:pPr>
              <w:pStyle w:val="6"/>
              <w:spacing w:before="98" w:line="214" w:lineRule="auto"/>
              <w:ind w:left="274"/>
            </w:pPr>
            <w:r>
              <w:rPr>
                <w:spacing w:val="-2"/>
              </w:rPr>
              <w:t>0.14</w:t>
            </w:r>
          </w:p>
        </w:tc>
        <w:tc>
          <w:tcPr>
            <w:tcW w:w="906" w:type="dxa"/>
            <w:tcBorders>
              <w:right w:val="single" w:color="000000" w:sz="12" w:space="0"/>
            </w:tcBorders>
            <w:vAlign w:val="top"/>
          </w:tcPr>
          <w:p w14:paraId="586C6A50">
            <w:pPr>
              <w:pStyle w:val="6"/>
              <w:spacing w:before="98" w:line="214" w:lineRule="auto"/>
              <w:ind w:left="214"/>
            </w:pPr>
            <w:r>
              <w:rPr>
                <w:spacing w:val="-2"/>
              </w:rPr>
              <w:t>0.06L</w:t>
            </w:r>
          </w:p>
        </w:tc>
      </w:tr>
      <w:tr w14:paraId="45E75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continue"/>
            <w:tcBorders>
              <w:top w:val="nil"/>
              <w:left w:val="single" w:color="000000" w:sz="12" w:space="0"/>
              <w:bottom w:val="nil"/>
            </w:tcBorders>
            <w:vAlign w:val="top"/>
          </w:tcPr>
          <w:p w14:paraId="2A727ADC">
            <w:pPr>
              <w:rPr>
                <w:rFonts w:ascii="Arial"/>
                <w:sz w:val="21"/>
              </w:rPr>
            </w:pPr>
          </w:p>
        </w:tc>
        <w:tc>
          <w:tcPr>
            <w:tcW w:w="422" w:type="dxa"/>
            <w:vMerge w:val="continue"/>
            <w:tcBorders>
              <w:top w:val="nil"/>
            </w:tcBorders>
            <w:vAlign w:val="top"/>
          </w:tcPr>
          <w:p w14:paraId="17C4DA7F">
            <w:pPr>
              <w:rPr>
                <w:rFonts w:ascii="Arial"/>
                <w:sz w:val="21"/>
              </w:rPr>
            </w:pPr>
          </w:p>
        </w:tc>
        <w:tc>
          <w:tcPr>
            <w:tcW w:w="1414" w:type="dxa"/>
            <w:vAlign w:val="top"/>
          </w:tcPr>
          <w:p w14:paraId="6E5EDA63">
            <w:pPr>
              <w:pStyle w:val="6"/>
              <w:spacing w:before="102" w:line="208" w:lineRule="auto"/>
              <w:ind w:left="274"/>
            </w:pPr>
            <w:r>
              <w:rPr>
                <w:spacing w:val="-1"/>
              </w:rPr>
              <w:t>2020/3/12</w:t>
            </w:r>
          </w:p>
        </w:tc>
        <w:tc>
          <w:tcPr>
            <w:tcW w:w="892" w:type="dxa"/>
            <w:vAlign w:val="top"/>
          </w:tcPr>
          <w:p w14:paraId="234CF4F1">
            <w:pPr>
              <w:pStyle w:val="6"/>
              <w:spacing w:before="102" w:line="208" w:lineRule="auto"/>
              <w:ind w:left="290"/>
            </w:pPr>
            <w:r>
              <w:rPr>
                <w:spacing w:val="-3"/>
              </w:rPr>
              <w:t>581</w:t>
            </w:r>
          </w:p>
        </w:tc>
        <w:tc>
          <w:tcPr>
            <w:tcW w:w="892" w:type="dxa"/>
            <w:vAlign w:val="top"/>
          </w:tcPr>
          <w:p w14:paraId="6F27FA14">
            <w:pPr>
              <w:pStyle w:val="6"/>
              <w:spacing w:before="102" w:line="208" w:lineRule="auto"/>
              <w:ind w:left="399"/>
            </w:pPr>
            <w:r>
              <w:t>5</w:t>
            </w:r>
          </w:p>
        </w:tc>
        <w:tc>
          <w:tcPr>
            <w:tcW w:w="892" w:type="dxa"/>
            <w:vAlign w:val="top"/>
          </w:tcPr>
          <w:p w14:paraId="0F10A105">
            <w:pPr>
              <w:pStyle w:val="6"/>
              <w:spacing w:before="102" w:line="208" w:lineRule="auto"/>
              <w:ind w:left="268"/>
            </w:pPr>
            <w:r>
              <w:rPr>
                <w:spacing w:val="-2"/>
              </w:rPr>
              <w:t>7.18</w:t>
            </w:r>
          </w:p>
        </w:tc>
        <w:tc>
          <w:tcPr>
            <w:tcW w:w="892" w:type="dxa"/>
            <w:vAlign w:val="top"/>
          </w:tcPr>
          <w:p w14:paraId="12A9EC5C">
            <w:pPr>
              <w:pStyle w:val="6"/>
              <w:spacing w:before="102" w:line="208" w:lineRule="auto"/>
              <w:ind w:left="271"/>
            </w:pPr>
            <w:r>
              <w:rPr>
                <w:spacing w:val="-2"/>
              </w:rPr>
              <w:t>7.34</w:t>
            </w:r>
          </w:p>
        </w:tc>
        <w:tc>
          <w:tcPr>
            <w:tcW w:w="891" w:type="dxa"/>
            <w:vAlign w:val="top"/>
          </w:tcPr>
          <w:p w14:paraId="3E2DAFE9">
            <w:pPr>
              <w:pStyle w:val="6"/>
              <w:spacing w:before="102" w:line="208" w:lineRule="auto"/>
              <w:ind w:left="274"/>
            </w:pPr>
            <w:r>
              <w:rPr>
                <w:spacing w:val="-2"/>
              </w:rPr>
              <w:t>0.15</w:t>
            </w:r>
          </w:p>
        </w:tc>
        <w:tc>
          <w:tcPr>
            <w:tcW w:w="906" w:type="dxa"/>
            <w:tcBorders>
              <w:right w:val="single" w:color="000000" w:sz="12" w:space="0"/>
            </w:tcBorders>
            <w:vAlign w:val="top"/>
          </w:tcPr>
          <w:p w14:paraId="4E671FD5">
            <w:pPr>
              <w:pStyle w:val="6"/>
              <w:spacing w:before="102" w:line="208" w:lineRule="auto"/>
              <w:ind w:left="214"/>
            </w:pPr>
            <w:r>
              <w:rPr>
                <w:spacing w:val="-2"/>
              </w:rPr>
              <w:t>0.06L</w:t>
            </w:r>
          </w:p>
        </w:tc>
      </w:tr>
      <w:tr w14:paraId="535E7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2" w:type="dxa"/>
            <w:vMerge w:val="continue"/>
            <w:tcBorders>
              <w:top w:val="nil"/>
              <w:left w:val="single" w:color="000000" w:sz="12" w:space="0"/>
              <w:bottom w:val="nil"/>
            </w:tcBorders>
            <w:vAlign w:val="top"/>
          </w:tcPr>
          <w:p w14:paraId="426ED406">
            <w:pPr>
              <w:rPr>
                <w:rFonts w:ascii="Arial"/>
                <w:sz w:val="21"/>
              </w:rPr>
            </w:pPr>
          </w:p>
        </w:tc>
        <w:tc>
          <w:tcPr>
            <w:tcW w:w="422" w:type="dxa"/>
            <w:vMerge w:val="restart"/>
            <w:tcBorders>
              <w:bottom w:val="nil"/>
            </w:tcBorders>
            <w:vAlign w:val="top"/>
          </w:tcPr>
          <w:p w14:paraId="75744867">
            <w:pPr>
              <w:pStyle w:val="6"/>
              <w:spacing w:before="171" w:line="222" w:lineRule="auto"/>
              <w:ind w:left="147"/>
            </w:pPr>
            <w:r>
              <w:t>2</w:t>
            </w:r>
          </w:p>
          <w:p w14:paraId="27E890AE">
            <w:pPr>
              <w:spacing w:line="219" w:lineRule="auto"/>
              <w:ind w:left="99"/>
              <w:rPr>
                <w:rFonts w:ascii="宋体" w:hAnsi="宋体" w:eastAsia="宋体" w:cs="宋体"/>
                <w:sz w:val="21"/>
                <w:szCs w:val="21"/>
              </w:rPr>
            </w:pPr>
            <w:r>
              <w:rPr>
                <w:rFonts w:ascii="宋体" w:hAnsi="宋体" w:eastAsia="宋体" w:cs="宋体"/>
                <w:sz w:val="21"/>
                <w:szCs w:val="21"/>
              </w:rPr>
              <w:t>季</w:t>
            </w:r>
          </w:p>
          <w:p w14:paraId="696B2F00">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2427FDA">
            <w:pPr>
              <w:pStyle w:val="6"/>
              <w:spacing w:before="106" w:line="206" w:lineRule="auto"/>
              <w:ind w:left="274"/>
            </w:pPr>
            <w:r>
              <w:rPr>
                <w:spacing w:val="-1"/>
              </w:rPr>
              <w:t>2020/5/20</w:t>
            </w:r>
          </w:p>
        </w:tc>
        <w:tc>
          <w:tcPr>
            <w:tcW w:w="892" w:type="dxa"/>
            <w:vAlign w:val="top"/>
          </w:tcPr>
          <w:p w14:paraId="54743D91">
            <w:pPr>
              <w:pStyle w:val="6"/>
              <w:spacing w:before="106" w:line="206" w:lineRule="auto"/>
              <w:ind w:left="357"/>
            </w:pPr>
            <w:r>
              <w:rPr>
                <w:spacing w:val="-6"/>
              </w:rPr>
              <w:t>17</w:t>
            </w:r>
          </w:p>
        </w:tc>
        <w:tc>
          <w:tcPr>
            <w:tcW w:w="892" w:type="dxa"/>
            <w:vAlign w:val="top"/>
          </w:tcPr>
          <w:p w14:paraId="451F3D92">
            <w:pPr>
              <w:pStyle w:val="6"/>
              <w:spacing w:before="106" w:line="206" w:lineRule="auto"/>
              <w:ind w:left="398"/>
            </w:pPr>
            <w:r>
              <w:t>6</w:t>
            </w:r>
          </w:p>
        </w:tc>
        <w:tc>
          <w:tcPr>
            <w:tcW w:w="892" w:type="dxa"/>
            <w:vAlign w:val="top"/>
          </w:tcPr>
          <w:p w14:paraId="6DB5D108">
            <w:pPr>
              <w:pStyle w:val="6"/>
              <w:spacing w:before="106" w:line="206" w:lineRule="auto"/>
              <w:ind w:left="268"/>
            </w:pPr>
            <w:r>
              <w:rPr>
                <w:spacing w:val="-2"/>
              </w:rPr>
              <w:t>7.67</w:t>
            </w:r>
          </w:p>
        </w:tc>
        <w:tc>
          <w:tcPr>
            <w:tcW w:w="892" w:type="dxa"/>
            <w:vAlign w:val="top"/>
          </w:tcPr>
          <w:p w14:paraId="4FF4A73E">
            <w:pPr>
              <w:pStyle w:val="6"/>
              <w:spacing w:before="106" w:line="206" w:lineRule="auto"/>
              <w:ind w:left="271"/>
            </w:pPr>
            <w:r>
              <w:rPr>
                <w:spacing w:val="-2"/>
              </w:rPr>
              <w:t>7.75</w:t>
            </w:r>
          </w:p>
        </w:tc>
        <w:tc>
          <w:tcPr>
            <w:tcW w:w="891" w:type="dxa"/>
            <w:vAlign w:val="top"/>
          </w:tcPr>
          <w:p w14:paraId="32009837">
            <w:pPr>
              <w:pStyle w:val="6"/>
              <w:spacing w:before="106" w:line="206" w:lineRule="auto"/>
              <w:ind w:left="274"/>
            </w:pPr>
            <w:r>
              <w:rPr>
                <w:spacing w:val="-2"/>
              </w:rPr>
              <w:t>0.27</w:t>
            </w:r>
          </w:p>
        </w:tc>
        <w:tc>
          <w:tcPr>
            <w:tcW w:w="906" w:type="dxa"/>
            <w:tcBorders>
              <w:right w:val="single" w:color="000000" w:sz="12" w:space="0"/>
            </w:tcBorders>
            <w:vAlign w:val="top"/>
          </w:tcPr>
          <w:p w14:paraId="2CBCB010">
            <w:pPr>
              <w:pStyle w:val="6"/>
              <w:spacing w:before="106" w:line="206" w:lineRule="auto"/>
              <w:ind w:left="277"/>
            </w:pPr>
            <w:r>
              <w:rPr>
                <w:spacing w:val="-2"/>
              </w:rPr>
              <w:t>0.09</w:t>
            </w:r>
          </w:p>
        </w:tc>
      </w:tr>
      <w:tr w14:paraId="1AFE2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continue"/>
            <w:tcBorders>
              <w:top w:val="nil"/>
              <w:left w:val="single" w:color="000000" w:sz="12" w:space="0"/>
              <w:bottom w:val="nil"/>
            </w:tcBorders>
            <w:vAlign w:val="top"/>
          </w:tcPr>
          <w:p w14:paraId="6EAC2517">
            <w:pPr>
              <w:rPr>
                <w:rFonts w:ascii="Arial"/>
                <w:sz w:val="21"/>
              </w:rPr>
            </w:pPr>
          </w:p>
        </w:tc>
        <w:tc>
          <w:tcPr>
            <w:tcW w:w="422" w:type="dxa"/>
            <w:vMerge w:val="continue"/>
            <w:tcBorders>
              <w:top w:val="nil"/>
              <w:bottom w:val="nil"/>
            </w:tcBorders>
            <w:vAlign w:val="top"/>
          </w:tcPr>
          <w:p w14:paraId="66818546">
            <w:pPr>
              <w:rPr>
                <w:rFonts w:ascii="Arial"/>
                <w:sz w:val="21"/>
              </w:rPr>
            </w:pPr>
          </w:p>
        </w:tc>
        <w:tc>
          <w:tcPr>
            <w:tcW w:w="1414" w:type="dxa"/>
            <w:vAlign w:val="top"/>
          </w:tcPr>
          <w:p w14:paraId="4F4CA5E9">
            <w:pPr>
              <w:pStyle w:val="6"/>
              <w:spacing w:before="108" w:line="202" w:lineRule="auto"/>
              <w:ind w:left="274"/>
            </w:pPr>
            <w:r>
              <w:rPr>
                <w:spacing w:val="-1"/>
              </w:rPr>
              <w:t>2020/5/21</w:t>
            </w:r>
          </w:p>
        </w:tc>
        <w:tc>
          <w:tcPr>
            <w:tcW w:w="892" w:type="dxa"/>
            <w:vAlign w:val="top"/>
          </w:tcPr>
          <w:p w14:paraId="3F154A90">
            <w:pPr>
              <w:pStyle w:val="6"/>
              <w:spacing w:before="108" w:line="202" w:lineRule="auto"/>
              <w:ind w:left="357"/>
            </w:pPr>
            <w:r>
              <w:rPr>
                <w:spacing w:val="-6"/>
              </w:rPr>
              <w:t>13</w:t>
            </w:r>
          </w:p>
        </w:tc>
        <w:tc>
          <w:tcPr>
            <w:tcW w:w="892" w:type="dxa"/>
            <w:vAlign w:val="top"/>
          </w:tcPr>
          <w:p w14:paraId="5B5CA3BD">
            <w:pPr>
              <w:pStyle w:val="6"/>
              <w:spacing w:before="108" w:line="202" w:lineRule="auto"/>
              <w:ind w:left="402"/>
            </w:pPr>
            <w:r>
              <w:t>8</w:t>
            </w:r>
          </w:p>
        </w:tc>
        <w:tc>
          <w:tcPr>
            <w:tcW w:w="892" w:type="dxa"/>
            <w:vAlign w:val="top"/>
          </w:tcPr>
          <w:p w14:paraId="6D205922">
            <w:pPr>
              <w:pStyle w:val="6"/>
              <w:spacing w:before="108" w:line="202" w:lineRule="auto"/>
              <w:ind w:left="268"/>
            </w:pPr>
            <w:r>
              <w:rPr>
                <w:spacing w:val="-2"/>
              </w:rPr>
              <w:t>7.64</w:t>
            </w:r>
          </w:p>
        </w:tc>
        <w:tc>
          <w:tcPr>
            <w:tcW w:w="892" w:type="dxa"/>
            <w:vAlign w:val="top"/>
          </w:tcPr>
          <w:p w14:paraId="62C6CB48">
            <w:pPr>
              <w:pStyle w:val="6"/>
              <w:spacing w:before="108" w:line="202" w:lineRule="auto"/>
              <w:ind w:left="271"/>
            </w:pPr>
            <w:r>
              <w:rPr>
                <w:spacing w:val="-2"/>
              </w:rPr>
              <w:t>7.78</w:t>
            </w:r>
          </w:p>
        </w:tc>
        <w:tc>
          <w:tcPr>
            <w:tcW w:w="891" w:type="dxa"/>
            <w:vAlign w:val="top"/>
          </w:tcPr>
          <w:p w14:paraId="7F5D9EAF">
            <w:pPr>
              <w:pStyle w:val="6"/>
              <w:spacing w:before="108" w:line="202" w:lineRule="auto"/>
              <w:ind w:left="274"/>
            </w:pPr>
            <w:r>
              <w:rPr>
                <w:spacing w:val="-2"/>
              </w:rPr>
              <w:t>0.26</w:t>
            </w:r>
          </w:p>
        </w:tc>
        <w:tc>
          <w:tcPr>
            <w:tcW w:w="906" w:type="dxa"/>
            <w:tcBorders>
              <w:right w:val="single" w:color="000000" w:sz="12" w:space="0"/>
            </w:tcBorders>
            <w:vAlign w:val="top"/>
          </w:tcPr>
          <w:p w14:paraId="61D6C105">
            <w:pPr>
              <w:pStyle w:val="6"/>
              <w:spacing w:before="108" w:line="202" w:lineRule="auto"/>
              <w:ind w:left="277"/>
            </w:pPr>
            <w:r>
              <w:rPr>
                <w:spacing w:val="-2"/>
              </w:rPr>
              <w:t>0.06</w:t>
            </w:r>
          </w:p>
        </w:tc>
      </w:tr>
      <w:tr w14:paraId="64612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272" w:type="dxa"/>
            <w:vMerge w:val="continue"/>
            <w:tcBorders>
              <w:top w:val="nil"/>
              <w:left w:val="single" w:color="000000" w:sz="12" w:space="0"/>
              <w:bottom w:val="single" w:color="000000" w:sz="12" w:space="0"/>
            </w:tcBorders>
            <w:vAlign w:val="top"/>
          </w:tcPr>
          <w:p w14:paraId="305B0939">
            <w:pPr>
              <w:rPr>
                <w:rFonts w:ascii="Arial"/>
                <w:sz w:val="21"/>
              </w:rPr>
            </w:pPr>
          </w:p>
        </w:tc>
        <w:tc>
          <w:tcPr>
            <w:tcW w:w="422" w:type="dxa"/>
            <w:vMerge w:val="continue"/>
            <w:tcBorders>
              <w:top w:val="nil"/>
              <w:bottom w:val="single" w:color="000000" w:sz="12" w:space="0"/>
            </w:tcBorders>
            <w:vAlign w:val="top"/>
          </w:tcPr>
          <w:p w14:paraId="6E6168FC">
            <w:pPr>
              <w:rPr>
                <w:rFonts w:ascii="Arial"/>
                <w:sz w:val="21"/>
              </w:rPr>
            </w:pPr>
          </w:p>
        </w:tc>
        <w:tc>
          <w:tcPr>
            <w:tcW w:w="1414" w:type="dxa"/>
            <w:tcBorders>
              <w:bottom w:val="single" w:color="000000" w:sz="12" w:space="0"/>
            </w:tcBorders>
            <w:vAlign w:val="top"/>
          </w:tcPr>
          <w:p w14:paraId="75D2EBA7">
            <w:pPr>
              <w:pStyle w:val="6"/>
              <w:spacing w:before="113" w:line="220" w:lineRule="auto"/>
              <w:ind w:left="274"/>
            </w:pPr>
            <w:r>
              <w:rPr>
                <w:spacing w:val="-1"/>
              </w:rPr>
              <w:t>2020/5/22</w:t>
            </w:r>
          </w:p>
        </w:tc>
        <w:tc>
          <w:tcPr>
            <w:tcW w:w="892" w:type="dxa"/>
            <w:tcBorders>
              <w:bottom w:val="single" w:color="000000" w:sz="12" w:space="0"/>
            </w:tcBorders>
            <w:vAlign w:val="top"/>
          </w:tcPr>
          <w:p w14:paraId="24D0C075">
            <w:pPr>
              <w:pStyle w:val="6"/>
              <w:spacing w:before="113" w:line="220" w:lineRule="auto"/>
              <w:ind w:left="357"/>
            </w:pPr>
            <w:r>
              <w:rPr>
                <w:spacing w:val="-6"/>
              </w:rPr>
              <w:t>15</w:t>
            </w:r>
          </w:p>
        </w:tc>
        <w:tc>
          <w:tcPr>
            <w:tcW w:w="892" w:type="dxa"/>
            <w:tcBorders>
              <w:bottom w:val="single" w:color="000000" w:sz="12" w:space="0"/>
            </w:tcBorders>
            <w:vAlign w:val="top"/>
          </w:tcPr>
          <w:p w14:paraId="6E1AED24">
            <w:pPr>
              <w:pStyle w:val="6"/>
              <w:spacing w:before="113" w:line="220" w:lineRule="auto"/>
              <w:ind w:left="396"/>
            </w:pPr>
            <w:r>
              <w:t>7</w:t>
            </w:r>
          </w:p>
        </w:tc>
        <w:tc>
          <w:tcPr>
            <w:tcW w:w="892" w:type="dxa"/>
            <w:tcBorders>
              <w:bottom w:val="single" w:color="000000" w:sz="12" w:space="0"/>
            </w:tcBorders>
            <w:vAlign w:val="top"/>
          </w:tcPr>
          <w:p w14:paraId="65776927">
            <w:pPr>
              <w:pStyle w:val="6"/>
              <w:spacing w:before="113" w:line="220" w:lineRule="auto"/>
              <w:ind w:left="268"/>
            </w:pPr>
            <w:r>
              <w:rPr>
                <w:spacing w:val="-2"/>
              </w:rPr>
              <w:t>7.69</w:t>
            </w:r>
          </w:p>
        </w:tc>
        <w:tc>
          <w:tcPr>
            <w:tcW w:w="892" w:type="dxa"/>
            <w:tcBorders>
              <w:bottom w:val="single" w:color="000000" w:sz="12" w:space="0"/>
            </w:tcBorders>
            <w:vAlign w:val="top"/>
          </w:tcPr>
          <w:p w14:paraId="151D475B">
            <w:pPr>
              <w:pStyle w:val="6"/>
              <w:spacing w:before="113" w:line="220" w:lineRule="auto"/>
              <w:ind w:left="271"/>
            </w:pPr>
            <w:r>
              <w:rPr>
                <w:spacing w:val="-2"/>
              </w:rPr>
              <w:t>7.77</w:t>
            </w:r>
          </w:p>
        </w:tc>
        <w:tc>
          <w:tcPr>
            <w:tcW w:w="891" w:type="dxa"/>
            <w:tcBorders>
              <w:bottom w:val="single" w:color="000000" w:sz="12" w:space="0"/>
            </w:tcBorders>
            <w:vAlign w:val="top"/>
          </w:tcPr>
          <w:p w14:paraId="513E8DF9">
            <w:pPr>
              <w:pStyle w:val="6"/>
              <w:spacing w:before="113" w:line="220" w:lineRule="auto"/>
              <w:ind w:left="274"/>
            </w:pPr>
            <w:r>
              <w:rPr>
                <w:spacing w:val="-2"/>
              </w:rPr>
              <w:t>0.28</w:t>
            </w:r>
          </w:p>
        </w:tc>
        <w:tc>
          <w:tcPr>
            <w:tcW w:w="906" w:type="dxa"/>
            <w:tcBorders>
              <w:bottom w:val="single" w:color="000000" w:sz="12" w:space="0"/>
              <w:right w:val="single" w:color="000000" w:sz="12" w:space="0"/>
            </w:tcBorders>
            <w:vAlign w:val="top"/>
          </w:tcPr>
          <w:p w14:paraId="4CF4FE58">
            <w:pPr>
              <w:pStyle w:val="6"/>
              <w:spacing w:before="113" w:line="220" w:lineRule="auto"/>
              <w:ind w:left="277"/>
            </w:pPr>
            <w:r>
              <w:rPr>
                <w:spacing w:val="-2"/>
              </w:rPr>
              <w:t>0.06</w:t>
            </w:r>
          </w:p>
        </w:tc>
      </w:tr>
    </w:tbl>
    <w:p w14:paraId="15A9C7BE">
      <w:pPr>
        <w:rPr>
          <w:rFonts w:ascii="Arial"/>
          <w:sz w:val="21"/>
        </w:rPr>
      </w:pPr>
    </w:p>
    <w:p w14:paraId="0B3107E4">
      <w:pPr>
        <w:rPr>
          <w:rFonts w:ascii="Arial" w:hAnsi="Arial" w:eastAsia="Arial" w:cs="Arial"/>
          <w:sz w:val="21"/>
          <w:szCs w:val="21"/>
        </w:rPr>
        <w:sectPr>
          <w:footerReference r:id="rId125" w:type="default"/>
          <w:pgSz w:w="11907" w:h="16839"/>
          <w:pgMar w:top="1376" w:right="1669" w:bottom="1061" w:left="1671" w:header="999" w:footer="861" w:gutter="0"/>
          <w:cols w:space="720" w:num="1"/>
        </w:sectPr>
      </w:pPr>
    </w:p>
    <w:p w14:paraId="087FD8C2">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53204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79BA513B">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422" w:type="dxa"/>
            <w:vMerge w:val="restart"/>
            <w:tcBorders>
              <w:top w:val="single" w:color="000000" w:sz="12" w:space="0"/>
              <w:bottom w:val="nil"/>
              <w:right w:val="nil"/>
            </w:tcBorders>
            <w:vAlign w:val="top"/>
          </w:tcPr>
          <w:p w14:paraId="39B6513E">
            <w:pPr>
              <w:rPr>
                <w:rFonts w:ascii="Arial"/>
                <w:sz w:val="21"/>
              </w:rPr>
            </w:pPr>
          </w:p>
        </w:tc>
        <w:tc>
          <w:tcPr>
            <w:tcW w:w="1414" w:type="dxa"/>
            <w:vMerge w:val="restart"/>
            <w:tcBorders>
              <w:top w:val="single" w:color="000000" w:sz="12" w:space="0"/>
              <w:left w:val="nil"/>
              <w:bottom w:val="nil"/>
            </w:tcBorders>
            <w:vAlign w:val="top"/>
          </w:tcPr>
          <w:p w14:paraId="65C374E9">
            <w:pPr>
              <w:spacing w:before="253" w:line="221" w:lineRule="auto"/>
              <w:ind w:left="77"/>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4F35C961">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6EAB254F">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597A288E">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462E1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bottom w:val="nil"/>
            </w:tcBorders>
            <w:vAlign w:val="top"/>
          </w:tcPr>
          <w:p w14:paraId="2C7E3250">
            <w:pPr>
              <w:rPr>
                <w:rFonts w:ascii="Arial"/>
                <w:sz w:val="21"/>
              </w:rPr>
            </w:pPr>
          </w:p>
        </w:tc>
        <w:tc>
          <w:tcPr>
            <w:tcW w:w="422" w:type="dxa"/>
            <w:vMerge w:val="continue"/>
            <w:tcBorders>
              <w:top w:val="nil"/>
              <w:right w:val="nil"/>
            </w:tcBorders>
            <w:vAlign w:val="top"/>
          </w:tcPr>
          <w:p w14:paraId="631DF244">
            <w:pPr>
              <w:rPr>
                <w:rFonts w:ascii="Arial"/>
                <w:sz w:val="21"/>
              </w:rPr>
            </w:pPr>
          </w:p>
        </w:tc>
        <w:tc>
          <w:tcPr>
            <w:tcW w:w="1414" w:type="dxa"/>
            <w:vMerge w:val="continue"/>
            <w:tcBorders>
              <w:top w:val="nil"/>
              <w:left w:val="nil"/>
            </w:tcBorders>
            <w:vAlign w:val="top"/>
          </w:tcPr>
          <w:p w14:paraId="56B4D0B1">
            <w:pPr>
              <w:rPr>
                <w:rFonts w:ascii="Arial"/>
                <w:sz w:val="21"/>
              </w:rPr>
            </w:pPr>
          </w:p>
        </w:tc>
        <w:tc>
          <w:tcPr>
            <w:tcW w:w="892" w:type="dxa"/>
            <w:vAlign w:val="top"/>
          </w:tcPr>
          <w:p w14:paraId="271F32BF">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2FD33286">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4AAF5F00">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803B565">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744C10D9">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78AB4B62">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4E4B6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46856DAA">
            <w:pPr>
              <w:rPr>
                <w:rFonts w:ascii="Arial"/>
                <w:sz w:val="21"/>
              </w:rPr>
            </w:pPr>
          </w:p>
        </w:tc>
        <w:tc>
          <w:tcPr>
            <w:tcW w:w="422" w:type="dxa"/>
            <w:vMerge w:val="restart"/>
            <w:tcBorders>
              <w:bottom w:val="nil"/>
            </w:tcBorders>
            <w:vAlign w:val="top"/>
          </w:tcPr>
          <w:p w14:paraId="733ADBD1">
            <w:pPr>
              <w:pStyle w:val="6"/>
              <w:spacing w:before="153" w:line="222" w:lineRule="auto"/>
              <w:ind w:left="151"/>
            </w:pPr>
            <w:r>
              <w:t>3</w:t>
            </w:r>
          </w:p>
          <w:p w14:paraId="5265AE78">
            <w:pPr>
              <w:spacing w:line="219" w:lineRule="auto"/>
              <w:ind w:left="99"/>
              <w:rPr>
                <w:rFonts w:ascii="宋体" w:hAnsi="宋体" w:eastAsia="宋体" w:cs="宋体"/>
                <w:sz w:val="21"/>
                <w:szCs w:val="21"/>
              </w:rPr>
            </w:pPr>
            <w:r>
              <w:rPr>
                <w:rFonts w:ascii="宋体" w:hAnsi="宋体" w:eastAsia="宋体" w:cs="宋体"/>
                <w:sz w:val="21"/>
                <w:szCs w:val="21"/>
              </w:rPr>
              <w:t>季</w:t>
            </w:r>
          </w:p>
          <w:p w14:paraId="2E18C33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EADA7F6">
            <w:pPr>
              <w:pStyle w:val="6"/>
              <w:spacing w:before="89" w:line="226" w:lineRule="auto"/>
              <w:ind w:left="274"/>
            </w:pPr>
            <w:r>
              <w:rPr>
                <w:spacing w:val="-1"/>
              </w:rPr>
              <w:t>2020/8/20</w:t>
            </w:r>
          </w:p>
        </w:tc>
        <w:tc>
          <w:tcPr>
            <w:tcW w:w="892" w:type="dxa"/>
            <w:vAlign w:val="top"/>
          </w:tcPr>
          <w:p w14:paraId="5A4783C7">
            <w:pPr>
              <w:pStyle w:val="6"/>
              <w:spacing w:before="89" w:line="226" w:lineRule="auto"/>
              <w:ind w:left="357"/>
            </w:pPr>
            <w:r>
              <w:rPr>
                <w:spacing w:val="-6"/>
              </w:rPr>
              <w:t>12</w:t>
            </w:r>
          </w:p>
        </w:tc>
        <w:tc>
          <w:tcPr>
            <w:tcW w:w="892" w:type="dxa"/>
            <w:vAlign w:val="top"/>
          </w:tcPr>
          <w:p w14:paraId="63EBA324">
            <w:pPr>
              <w:pStyle w:val="6"/>
              <w:spacing w:before="89" w:line="226" w:lineRule="auto"/>
              <w:ind w:left="402"/>
            </w:pPr>
            <w:r>
              <w:t>8</w:t>
            </w:r>
          </w:p>
        </w:tc>
        <w:tc>
          <w:tcPr>
            <w:tcW w:w="892" w:type="dxa"/>
            <w:vAlign w:val="top"/>
          </w:tcPr>
          <w:p w14:paraId="3501C36B">
            <w:pPr>
              <w:pStyle w:val="6"/>
              <w:spacing w:before="89" w:line="226" w:lineRule="auto"/>
              <w:ind w:left="268"/>
            </w:pPr>
            <w:r>
              <w:rPr>
                <w:spacing w:val="-2"/>
              </w:rPr>
              <w:t>7.75</w:t>
            </w:r>
          </w:p>
        </w:tc>
        <w:tc>
          <w:tcPr>
            <w:tcW w:w="892" w:type="dxa"/>
            <w:vAlign w:val="top"/>
          </w:tcPr>
          <w:p w14:paraId="2E0791A0">
            <w:pPr>
              <w:pStyle w:val="6"/>
              <w:spacing w:before="89" w:line="226" w:lineRule="auto"/>
              <w:ind w:left="276"/>
            </w:pPr>
            <w:r>
              <w:rPr>
                <w:spacing w:val="-4"/>
              </w:rPr>
              <w:t>8.93</w:t>
            </w:r>
          </w:p>
        </w:tc>
        <w:tc>
          <w:tcPr>
            <w:tcW w:w="891" w:type="dxa"/>
            <w:vAlign w:val="top"/>
          </w:tcPr>
          <w:p w14:paraId="4A3EECF9">
            <w:pPr>
              <w:pStyle w:val="6"/>
              <w:spacing w:before="89" w:line="226" w:lineRule="auto"/>
              <w:ind w:left="274"/>
            </w:pPr>
            <w:r>
              <w:rPr>
                <w:spacing w:val="-2"/>
              </w:rPr>
              <w:t>0.07</w:t>
            </w:r>
          </w:p>
        </w:tc>
        <w:tc>
          <w:tcPr>
            <w:tcW w:w="906" w:type="dxa"/>
            <w:tcBorders>
              <w:right w:val="single" w:color="000000" w:sz="12" w:space="0"/>
            </w:tcBorders>
            <w:vAlign w:val="top"/>
          </w:tcPr>
          <w:p w14:paraId="1794D480">
            <w:pPr>
              <w:pStyle w:val="6"/>
              <w:spacing w:before="89" w:line="226" w:lineRule="auto"/>
              <w:ind w:left="214"/>
            </w:pPr>
            <w:r>
              <w:rPr>
                <w:spacing w:val="-2"/>
              </w:rPr>
              <w:t>0.06L</w:t>
            </w:r>
          </w:p>
        </w:tc>
      </w:tr>
      <w:tr w14:paraId="74922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48F1F84">
            <w:pPr>
              <w:rPr>
                <w:rFonts w:ascii="Arial"/>
                <w:sz w:val="21"/>
              </w:rPr>
            </w:pPr>
          </w:p>
        </w:tc>
        <w:tc>
          <w:tcPr>
            <w:tcW w:w="422" w:type="dxa"/>
            <w:vMerge w:val="continue"/>
            <w:tcBorders>
              <w:top w:val="nil"/>
              <w:bottom w:val="nil"/>
            </w:tcBorders>
            <w:vAlign w:val="top"/>
          </w:tcPr>
          <w:p w14:paraId="10BB5017">
            <w:pPr>
              <w:rPr>
                <w:rFonts w:ascii="Arial"/>
                <w:sz w:val="21"/>
              </w:rPr>
            </w:pPr>
          </w:p>
        </w:tc>
        <w:tc>
          <w:tcPr>
            <w:tcW w:w="1414" w:type="dxa"/>
            <w:vAlign w:val="top"/>
          </w:tcPr>
          <w:p w14:paraId="46388933">
            <w:pPr>
              <w:pStyle w:val="6"/>
              <w:spacing w:before="89" w:line="224" w:lineRule="auto"/>
              <w:ind w:left="274"/>
            </w:pPr>
            <w:r>
              <w:rPr>
                <w:spacing w:val="-1"/>
              </w:rPr>
              <w:t>2020/8/21</w:t>
            </w:r>
          </w:p>
        </w:tc>
        <w:tc>
          <w:tcPr>
            <w:tcW w:w="892" w:type="dxa"/>
            <w:vAlign w:val="top"/>
          </w:tcPr>
          <w:p w14:paraId="667A2B48">
            <w:pPr>
              <w:pStyle w:val="6"/>
              <w:spacing w:before="89" w:line="224" w:lineRule="auto"/>
              <w:ind w:left="357"/>
            </w:pPr>
            <w:r>
              <w:rPr>
                <w:spacing w:val="-6"/>
              </w:rPr>
              <w:t>15</w:t>
            </w:r>
          </w:p>
        </w:tc>
        <w:tc>
          <w:tcPr>
            <w:tcW w:w="892" w:type="dxa"/>
            <w:vAlign w:val="top"/>
          </w:tcPr>
          <w:p w14:paraId="4BB10CD5">
            <w:pPr>
              <w:pStyle w:val="6"/>
              <w:spacing w:before="89" w:line="224" w:lineRule="auto"/>
              <w:ind w:left="396"/>
            </w:pPr>
            <w:r>
              <w:t>7</w:t>
            </w:r>
          </w:p>
        </w:tc>
        <w:tc>
          <w:tcPr>
            <w:tcW w:w="892" w:type="dxa"/>
            <w:vAlign w:val="top"/>
          </w:tcPr>
          <w:p w14:paraId="44E4553E">
            <w:pPr>
              <w:pStyle w:val="6"/>
              <w:spacing w:before="89" w:line="224" w:lineRule="auto"/>
              <w:ind w:left="268"/>
            </w:pPr>
            <w:r>
              <w:rPr>
                <w:spacing w:val="-2"/>
              </w:rPr>
              <w:t>7.69</w:t>
            </w:r>
          </w:p>
        </w:tc>
        <w:tc>
          <w:tcPr>
            <w:tcW w:w="892" w:type="dxa"/>
            <w:vAlign w:val="top"/>
          </w:tcPr>
          <w:p w14:paraId="31EA94FB">
            <w:pPr>
              <w:pStyle w:val="6"/>
              <w:spacing w:before="89" w:line="224" w:lineRule="auto"/>
              <w:ind w:left="276"/>
            </w:pPr>
            <w:r>
              <w:rPr>
                <w:spacing w:val="-4"/>
              </w:rPr>
              <w:t>8.87</w:t>
            </w:r>
          </w:p>
        </w:tc>
        <w:tc>
          <w:tcPr>
            <w:tcW w:w="891" w:type="dxa"/>
            <w:vAlign w:val="top"/>
          </w:tcPr>
          <w:p w14:paraId="01C5737C">
            <w:pPr>
              <w:pStyle w:val="6"/>
              <w:spacing w:before="89" w:line="224" w:lineRule="auto"/>
              <w:ind w:left="274"/>
            </w:pPr>
            <w:r>
              <w:rPr>
                <w:spacing w:val="-2"/>
              </w:rPr>
              <w:t>0.08</w:t>
            </w:r>
          </w:p>
        </w:tc>
        <w:tc>
          <w:tcPr>
            <w:tcW w:w="906" w:type="dxa"/>
            <w:tcBorders>
              <w:right w:val="single" w:color="000000" w:sz="12" w:space="0"/>
            </w:tcBorders>
            <w:vAlign w:val="top"/>
          </w:tcPr>
          <w:p w14:paraId="6A59E050">
            <w:pPr>
              <w:pStyle w:val="6"/>
              <w:spacing w:before="89" w:line="224" w:lineRule="auto"/>
              <w:ind w:left="214"/>
            </w:pPr>
            <w:r>
              <w:rPr>
                <w:spacing w:val="-2"/>
              </w:rPr>
              <w:t>0.06L</w:t>
            </w:r>
          </w:p>
        </w:tc>
      </w:tr>
      <w:tr w14:paraId="33460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9FD84E2">
            <w:pPr>
              <w:rPr>
                <w:rFonts w:ascii="Arial"/>
                <w:sz w:val="21"/>
              </w:rPr>
            </w:pPr>
          </w:p>
        </w:tc>
        <w:tc>
          <w:tcPr>
            <w:tcW w:w="422" w:type="dxa"/>
            <w:vMerge w:val="continue"/>
            <w:tcBorders>
              <w:top w:val="nil"/>
            </w:tcBorders>
            <w:vAlign w:val="top"/>
          </w:tcPr>
          <w:p w14:paraId="4C3DD6CD">
            <w:pPr>
              <w:rPr>
                <w:rFonts w:ascii="Arial"/>
                <w:sz w:val="21"/>
              </w:rPr>
            </w:pPr>
          </w:p>
        </w:tc>
        <w:tc>
          <w:tcPr>
            <w:tcW w:w="1414" w:type="dxa"/>
            <w:vAlign w:val="top"/>
          </w:tcPr>
          <w:p w14:paraId="18926014">
            <w:pPr>
              <w:pStyle w:val="6"/>
              <w:spacing w:before="90" w:line="224" w:lineRule="auto"/>
              <w:ind w:left="274"/>
            </w:pPr>
            <w:r>
              <w:rPr>
                <w:spacing w:val="-1"/>
              </w:rPr>
              <w:t>2020/8/22</w:t>
            </w:r>
          </w:p>
        </w:tc>
        <w:tc>
          <w:tcPr>
            <w:tcW w:w="892" w:type="dxa"/>
            <w:vAlign w:val="top"/>
          </w:tcPr>
          <w:p w14:paraId="18A6A7DF">
            <w:pPr>
              <w:pStyle w:val="6"/>
              <w:spacing w:before="90" w:line="224" w:lineRule="auto"/>
              <w:ind w:left="357"/>
            </w:pPr>
            <w:r>
              <w:rPr>
                <w:spacing w:val="-6"/>
              </w:rPr>
              <w:t>13</w:t>
            </w:r>
          </w:p>
        </w:tc>
        <w:tc>
          <w:tcPr>
            <w:tcW w:w="892" w:type="dxa"/>
            <w:vAlign w:val="top"/>
          </w:tcPr>
          <w:p w14:paraId="003AF95B">
            <w:pPr>
              <w:pStyle w:val="6"/>
              <w:spacing w:before="90" w:line="224" w:lineRule="auto"/>
              <w:ind w:left="360"/>
            </w:pPr>
            <w:r>
              <w:rPr>
                <w:spacing w:val="-12"/>
              </w:rPr>
              <w:t>10</w:t>
            </w:r>
          </w:p>
        </w:tc>
        <w:tc>
          <w:tcPr>
            <w:tcW w:w="892" w:type="dxa"/>
            <w:vAlign w:val="top"/>
          </w:tcPr>
          <w:p w14:paraId="2FF63B37">
            <w:pPr>
              <w:pStyle w:val="6"/>
              <w:spacing w:before="90" w:line="224" w:lineRule="auto"/>
              <w:ind w:left="268"/>
            </w:pPr>
            <w:r>
              <w:rPr>
                <w:spacing w:val="-2"/>
              </w:rPr>
              <w:t>7.78</w:t>
            </w:r>
          </w:p>
        </w:tc>
        <w:tc>
          <w:tcPr>
            <w:tcW w:w="892" w:type="dxa"/>
            <w:vAlign w:val="top"/>
          </w:tcPr>
          <w:p w14:paraId="3E922ADB">
            <w:pPr>
              <w:pStyle w:val="6"/>
              <w:spacing w:before="90" w:line="224" w:lineRule="auto"/>
              <w:ind w:left="276"/>
            </w:pPr>
            <w:r>
              <w:rPr>
                <w:spacing w:val="-4"/>
              </w:rPr>
              <w:t>8.83</w:t>
            </w:r>
          </w:p>
        </w:tc>
        <w:tc>
          <w:tcPr>
            <w:tcW w:w="891" w:type="dxa"/>
            <w:vAlign w:val="top"/>
          </w:tcPr>
          <w:p w14:paraId="35A26336">
            <w:pPr>
              <w:pStyle w:val="6"/>
              <w:spacing w:before="90" w:line="224" w:lineRule="auto"/>
              <w:ind w:left="274"/>
            </w:pPr>
            <w:r>
              <w:rPr>
                <w:spacing w:val="-2"/>
              </w:rPr>
              <w:t>0.08</w:t>
            </w:r>
          </w:p>
        </w:tc>
        <w:tc>
          <w:tcPr>
            <w:tcW w:w="906" w:type="dxa"/>
            <w:tcBorders>
              <w:right w:val="single" w:color="000000" w:sz="12" w:space="0"/>
            </w:tcBorders>
            <w:vAlign w:val="top"/>
          </w:tcPr>
          <w:p w14:paraId="374E250F">
            <w:pPr>
              <w:pStyle w:val="6"/>
              <w:spacing w:before="90" w:line="224" w:lineRule="auto"/>
              <w:ind w:left="214"/>
            </w:pPr>
            <w:r>
              <w:rPr>
                <w:spacing w:val="-2"/>
              </w:rPr>
              <w:t>0.06L</w:t>
            </w:r>
          </w:p>
        </w:tc>
      </w:tr>
      <w:tr w14:paraId="3F89F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B2A4AC0">
            <w:pPr>
              <w:rPr>
                <w:rFonts w:ascii="Arial"/>
                <w:sz w:val="21"/>
              </w:rPr>
            </w:pPr>
          </w:p>
        </w:tc>
        <w:tc>
          <w:tcPr>
            <w:tcW w:w="422" w:type="dxa"/>
            <w:vMerge w:val="restart"/>
            <w:tcBorders>
              <w:bottom w:val="nil"/>
            </w:tcBorders>
            <w:vAlign w:val="top"/>
          </w:tcPr>
          <w:p w14:paraId="26812892">
            <w:pPr>
              <w:pStyle w:val="6"/>
              <w:spacing w:before="155" w:line="222" w:lineRule="auto"/>
              <w:ind w:left="146"/>
            </w:pPr>
            <w:r>
              <w:t>4</w:t>
            </w:r>
          </w:p>
          <w:p w14:paraId="4BF1B931">
            <w:pPr>
              <w:spacing w:line="219" w:lineRule="auto"/>
              <w:ind w:left="99"/>
              <w:rPr>
                <w:rFonts w:ascii="宋体" w:hAnsi="宋体" w:eastAsia="宋体" w:cs="宋体"/>
                <w:sz w:val="21"/>
                <w:szCs w:val="21"/>
              </w:rPr>
            </w:pPr>
            <w:r>
              <w:rPr>
                <w:rFonts w:ascii="宋体" w:hAnsi="宋体" w:eastAsia="宋体" w:cs="宋体"/>
                <w:sz w:val="21"/>
                <w:szCs w:val="21"/>
              </w:rPr>
              <w:t>季</w:t>
            </w:r>
          </w:p>
          <w:p w14:paraId="695B8CC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287BBB3">
            <w:pPr>
              <w:pStyle w:val="6"/>
              <w:spacing w:before="90" w:line="223" w:lineRule="auto"/>
              <w:ind w:left="221"/>
            </w:pPr>
            <w:r>
              <w:rPr>
                <w:spacing w:val="-1"/>
              </w:rPr>
              <w:t>2020/11/15</w:t>
            </w:r>
          </w:p>
        </w:tc>
        <w:tc>
          <w:tcPr>
            <w:tcW w:w="892" w:type="dxa"/>
            <w:vAlign w:val="top"/>
          </w:tcPr>
          <w:p w14:paraId="21B8B15B">
            <w:pPr>
              <w:pStyle w:val="6"/>
              <w:spacing w:before="90" w:line="223" w:lineRule="auto"/>
              <w:ind w:left="343"/>
            </w:pPr>
            <w:r>
              <w:rPr>
                <w:spacing w:val="-3"/>
              </w:rPr>
              <w:t>54</w:t>
            </w:r>
          </w:p>
        </w:tc>
        <w:tc>
          <w:tcPr>
            <w:tcW w:w="892" w:type="dxa"/>
            <w:vAlign w:val="top"/>
          </w:tcPr>
          <w:p w14:paraId="33A23E20">
            <w:pPr>
              <w:pStyle w:val="6"/>
              <w:spacing w:before="90" w:line="223" w:lineRule="auto"/>
              <w:ind w:left="360"/>
            </w:pPr>
            <w:r>
              <w:rPr>
                <w:spacing w:val="-6"/>
              </w:rPr>
              <w:t>11</w:t>
            </w:r>
          </w:p>
        </w:tc>
        <w:tc>
          <w:tcPr>
            <w:tcW w:w="892" w:type="dxa"/>
            <w:vAlign w:val="top"/>
          </w:tcPr>
          <w:p w14:paraId="718E91EF">
            <w:pPr>
              <w:pStyle w:val="6"/>
              <w:spacing w:before="90" w:line="223" w:lineRule="auto"/>
              <w:ind w:left="268"/>
            </w:pPr>
            <w:r>
              <w:rPr>
                <w:spacing w:val="-2"/>
              </w:rPr>
              <w:t>7.59</w:t>
            </w:r>
          </w:p>
        </w:tc>
        <w:tc>
          <w:tcPr>
            <w:tcW w:w="892" w:type="dxa"/>
            <w:vAlign w:val="top"/>
          </w:tcPr>
          <w:p w14:paraId="6F345F2E">
            <w:pPr>
              <w:pStyle w:val="6"/>
              <w:spacing w:before="90" w:line="223" w:lineRule="auto"/>
              <w:ind w:left="276"/>
            </w:pPr>
            <w:r>
              <w:rPr>
                <w:spacing w:val="-4"/>
              </w:rPr>
              <w:t>8.82</w:t>
            </w:r>
          </w:p>
        </w:tc>
        <w:tc>
          <w:tcPr>
            <w:tcW w:w="891" w:type="dxa"/>
            <w:vAlign w:val="top"/>
          </w:tcPr>
          <w:p w14:paraId="2EA0F969">
            <w:pPr>
              <w:pStyle w:val="6"/>
              <w:spacing w:before="90" w:line="223" w:lineRule="auto"/>
              <w:ind w:left="211"/>
            </w:pPr>
            <w:r>
              <w:rPr>
                <w:spacing w:val="-2"/>
              </w:rPr>
              <w:t>0.06L</w:t>
            </w:r>
          </w:p>
        </w:tc>
        <w:tc>
          <w:tcPr>
            <w:tcW w:w="906" w:type="dxa"/>
            <w:tcBorders>
              <w:right w:val="single" w:color="000000" w:sz="12" w:space="0"/>
            </w:tcBorders>
            <w:vAlign w:val="top"/>
          </w:tcPr>
          <w:p w14:paraId="40312992">
            <w:pPr>
              <w:pStyle w:val="6"/>
              <w:spacing w:before="90" w:line="223" w:lineRule="auto"/>
              <w:ind w:left="214"/>
            </w:pPr>
            <w:r>
              <w:rPr>
                <w:spacing w:val="-2"/>
              </w:rPr>
              <w:t>0.06L</w:t>
            </w:r>
          </w:p>
        </w:tc>
      </w:tr>
      <w:tr w14:paraId="5CEC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5963159">
            <w:pPr>
              <w:rPr>
                <w:rFonts w:ascii="Arial"/>
                <w:sz w:val="21"/>
              </w:rPr>
            </w:pPr>
          </w:p>
        </w:tc>
        <w:tc>
          <w:tcPr>
            <w:tcW w:w="422" w:type="dxa"/>
            <w:vMerge w:val="continue"/>
            <w:tcBorders>
              <w:top w:val="nil"/>
              <w:bottom w:val="nil"/>
            </w:tcBorders>
            <w:vAlign w:val="top"/>
          </w:tcPr>
          <w:p w14:paraId="7C56038A">
            <w:pPr>
              <w:rPr>
                <w:rFonts w:ascii="Arial"/>
                <w:sz w:val="21"/>
              </w:rPr>
            </w:pPr>
          </w:p>
        </w:tc>
        <w:tc>
          <w:tcPr>
            <w:tcW w:w="1414" w:type="dxa"/>
            <w:vAlign w:val="top"/>
          </w:tcPr>
          <w:p w14:paraId="285FD8B1">
            <w:pPr>
              <w:pStyle w:val="6"/>
              <w:spacing w:before="92" w:line="221" w:lineRule="auto"/>
              <w:ind w:left="221"/>
            </w:pPr>
            <w:r>
              <w:rPr>
                <w:spacing w:val="-1"/>
              </w:rPr>
              <w:t>2020/11/16</w:t>
            </w:r>
          </w:p>
        </w:tc>
        <w:tc>
          <w:tcPr>
            <w:tcW w:w="892" w:type="dxa"/>
            <w:vAlign w:val="top"/>
          </w:tcPr>
          <w:p w14:paraId="1DC4C58C">
            <w:pPr>
              <w:pStyle w:val="6"/>
              <w:spacing w:before="92" w:line="221" w:lineRule="auto"/>
              <w:ind w:left="336"/>
            </w:pPr>
            <w:r>
              <w:rPr>
                <w:spacing w:val="-1"/>
              </w:rPr>
              <w:t>47</w:t>
            </w:r>
          </w:p>
        </w:tc>
        <w:tc>
          <w:tcPr>
            <w:tcW w:w="892" w:type="dxa"/>
            <w:vAlign w:val="top"/>
          </w:tcPr>
          <w:p w14:paraId="3CAA2A8F">
            <w:pPr>
              <w:pStyle w:val="6"/>
              <w:spacing w:before="92" w:line="221" w:lineRule="auto"/>
              <w:ind w:left="360"/>
            </w:pPr>
            <w:r>
              <w:rPr>
                <w:spacing w:val="-6"/>
              </w:rPr>
              <w:t>15</w:t>
            </w:r>
          </w:p>
        </w:tc>
        <w:tc>
          <w:tcPr>
            <w:tcW w:w="892" w:type="dxa"/>
            <w:vAlign w:val="top"/>
          </w:tcPr>
          <w:p w14:paraId="69B70640">
            <w:pPr>
              <w:pStyle w:val="6"/>
              <w:spacing w:before="92" w:line="221" w:lineRule="auto"/>
              <w:ind w:left="268"/>
            </w:pPr>
            <w:r>
              <w:rPr>
                <w:spacing w:val="-2"/>
              </w:rPr>
              <w:t>7.70</w:t>
            </w:r>
          </w:p>
        </w:tc>
        <w:tc>
          <w:tcPr>
            <w:tcW w:w="892" w:type="dxa"/>
            <w:vAlign w:val="top"/>
          </w:tcPr>
          <w:p w14:paraId="46FB2C15">
            <w:pPr>
              <w:pStyle w:val="6"/>
              <w:spacing w:before="92" w:line="221" w:lineRule="auto"/>
              <w:ind w:left="276"/>
            </w:pPr>
            <w:r>
              <w:rPr>
                <w:spacing w:val="-4"/>
              </w:rPr>
              <w:t>8.76</w:t>
            </w:r>
          </w:p>
        </w:tc>
        <w:tc>
          <w:tcPr>
            <w:tcW w:w="891" w:type="dxa"/>
            <w:vAlign w:val="top"/>
          </w:tcPr>
          <w:p w14:paraId="2E935953">
            <w:pPr>
              <w:pStyle w:val="6"/>
              <w:spacing w:before="92" w:line="221" w:lineRule="auto"/>
              <w:ind w:left="211"/>
            </w:pPr>
            <w:r>
              <w:rPr>
                <w:spacing w:val="-2"/>
              </w:rPr>
              <w:t>0.06L</w:t>
            </w:r>
          </w:p>
        </w:tc>
        <w:tc>
          <w:tcPr>
            <w:tcW w:w="906" w:type="dxa"/>
            <w:tcBorders>
              <w:right w:val="single" w:color="000000" w:sz="12" w:space="0"/>
            </w:tcBorders>
            <w:vAlign w:val="top"/>
          </w:tcPr>
          <w:p w14:paraId="41B28549">
            <w:pPr>
              <w:pStyle w:val="6"/>
              <w:spacing w:before="92" w:line="221" w:lineRule="auto"/>
              <w:ind w:left="214"/>
            </w:pPr>
            <w:r>
              <w:rPr>
                <w:spacing w:val="-2"/>
              </w:rPr>
              <w:t>0.06L</w:t>
            </w:r>
          </w:p>
        </w:tc>
      </w:tr>
      <w:tr w14:paraId="18D6A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tcBorders>
            <w:vAlign w:val="top"/>
          </w:tcPr>
          <w:p w14:paraId="4B6ABDE9">
            <w:pPr>
              <w:rPr>
                <w:rFonts w:ascii="Arial"/>
                <w:sz w:val="21"/>
              </w:rPr>
            </w:pPr>
          </w:p>
        </w:tc>
        <w:tc>
          <w:tcPr>
            <w:tcW w:w="422" w:type="dxa"/>
            <w:vMerge w:val="continue"/>
            <w:tcBorders>
              <w:top w:val="nil"/>
            </w:tcBorders>
            <w:vAlign w:val="top"/>
          </w:tcPr>
          <w:p w14:paraId="2EB1CA99">
            <w:pPr>
              <w:rPr>
                <w:rFonts w:ascii="Arial"/>
                <w:sz w:val="21"/>
              </w:rPr>
            </w:pPr>
          </w:p>
        </w:tc>
        <w:tc>
          <w:tcPr>
            <w:tcW w:w="1414" w:type="dxa"/>
            <w:vAlign w:val="top"/>
          </w:tcPr>
          <w:p w14:paraId="145A2E49">
            <w:pPr>
              <w:pStyle w:val="6"/>
              <w:spacing w:before="93" w:line="221" w:lineRule="auto"/>
              <w:ind w:left="221"/>
            </w:pPr>
            <w:r>
              <w:rPr>
                <w:spacing w:val="-1"/>
              </w:rPr>
              <w:t>2020/11/17</w:t>
            </w:r>
          </w:p>
        </w:tc>
        <w:tc>
          <w:tcPr>
            <w:tcW w:w="892" w:type="dxa"/>
            <w:vAlign w:val="top"/>
          </w:tcPr>
          <w:p w14:paraId="2C533381">
            <w:pPr>
              <w:pStyle w:val="6"/>
              <w:spacing w:before="93" w:line="221" w:lineRule="auto"/>
              <w:ind w:left="343"/>
            </w:pPr>
            <w:r>
              <w:rPr>
                <w:spacing w:val="-3"/>
              </w:rPr>
              <w:t>51</w:t>
            </w:r>
          </w:p>
        </w:tc>
        <w:tc>
          <w:tcPr>
            <w:tcW w:w="892" w:type="dxa"/>
            <w:vAlign w:val="top"/>
          </w:tcPr>
          <w:p w14:paraId="6391D447">
            <w:pPr>
              <w:pStyle w:val="6"/>
              <w:spacing w:before="93" w:line="221" w:lineRule="auto"/>
              <w:ind w:left="360"/>
            </w:pPr>
            <w:r>
              <w:rPr>
                <w:spacing w:val="-6"/>
              </w:rPr>
              <w:t>13</w:t>
            </w:r>
          </w:p>
        </w:tc>
        <w:tc>
          <w:tcPr>
            <w:tcW w:w="892" w:type="dxa"/>
            <w:vAlign w:val="top"/>
          </w:tcPr>
          <w:p w14:paraId="64C29E9E">
            <w:pPr>
              <w:pStyle w:val="6"/>
              <w:spacing w:before="93" w:line="221" w:lineRule="auto"/>
              <w:ind w:left="268"/>
            </w:pPr>
            <w:r>
              <w:rPr>
                <w:spacing w:val="-2"/>
              </w:rPr>
              <w:t>7.74</w:t>
            </w:r>
          </w:p>
        </w:tc>
        <w:tc>
          <w:tcPr>
            <w:tcW w:w="892" w:type="dxa"/>
            <w:vAlign w:val="top"/>
          </w:tcPr>
          <w:p w14:paraId="645F8013">
            <w:pPr>
              <w:pStyle w:val="6"/>
              <w:spacing w:before="93" w:line="221" w:lineRule="auto"/>
              <w:ind w:left="276"/>
            </w:pPr>
            <w:r>
              <w:rPr>
                <w:spacing w:val="-4"/>
              </w:rPr>
              <w:t>8.69</w:t>
            </w:r>
          </w:p>
        </w:tc>
        <w:tc>
          <w:tcPr>
            <w:tcW w:w="891" w:type="dxa"/>
            <w:vAlign w:val="top"/>
          </w:tcPr>
          <w:p w14:paraId="4F980C90">
            <w:pPr>
              <w:pStyle w:val="6"/>
              <w:spacing w:before="93" w:line="221" w:lineRule="auto"/>
              <w:ind w:left="211"/>
            </w:pPr>
            <w:r>
              <w:rPr>
                <w:spacing w:val="-2"/>
              </w:rPr>
              <w:t>0.06L</w:t>
            </w:r>
          </w:p>
        </w:tc>
        <w:tc>
          <w:tcPr>
            <w:tcW w:w="906" w:type="dxa"/>
            <w:tcBorders>
              <w:right w:val="single" w:color="000000" w:sz="12" w:space="0"/>
            </w:tcBorders>
            <w:vAlign w:val="top"/>
          </w:tcPr>
          <w:p w14:paraId="1DD62BBE">
            <w:pPr>
              <w:pStyle w:val="6"/>
              <w:spacing w:before="93" w:line="221" w:lineRule="auto"/>
              <w:ind w:left="214"/>
            </w:pPr>
            <w:r>
              <w:rPr>
                <w:spacing w:val="-2"/>
              </w:rPr>
              <w:t>0.06L</w:t>
            </w:r>
          </w:p>
        </w:tc>
      </w:tr>
      <w:tr w14:paraId="4D14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3F2C91B3">
            <w:pPr>
              <w:spacing w:line="242" w:lineRule="auto"/>
              <w:rPr>
                <w:rFonts w:ascii="Arial"/>
                <w:sz w:val="21"/>
              </w:rPr>
            </w:pPr>
          </w:p>
          <w:p w14:paraId="3D79ED2D">
            <w:pPr>
              <w:spacing w:line="242" w:lineRule="auto"/>
              <w:rPr>
                <w:rFonts w:ascii="Arial"/>
                <w:sz w:val="21"/>
              </w:rPr>
            </w:pPr>
          </w:p>
          <w:p w14:paraId="5735EEEE">
            <w:pPr>
              <w:spacing w:line="242" w:lineRule="auto"/>
              <w:rPr>
                <w:rFonts w:ascii="Arial"/>
                <w:sz w:val="21"/>
              </w:rPr>
            </w:pPr>
          </w:p>
          <w:p w14:paraId="253EBEB3">
            <w:pPr>
              <w:spacing w:line="242" w:lineRule="auto"/>
              <w:rPr>
                <w:rFonts w:ascii="Arial"/>
                <w:sz w:val="21"/>
              </w:rPr>
            </w:pPr>
          </w:p>
          <w:p w14:paraId="580EAA3C">
            <w:pPr>
              <w:spacing w:line="242" w:lineRule="auto"/>
              <w:rPr>
                <w:rFonts w:ascii="Arial"/>
                <w:sz w:val="21"/>
              </w:rPr>
            </w:pPr>
          </w:p>
          <w:p w14:paraId="11C7BA27">
            <w:pPr>
              <w:spacing w:line="243" w:lineRule="auto"/>
              <w:rPr>
                <w:rFonts w:ascii="Arial"/>
                <w:sz w:val="21"/>
              </w:rPr>
            </w:pPr>
          </w:p>
          <w:p w14:paraId="758E83B6">
            <w:pPr>
              <w:spacing w:line="243" w:lineRule="auto"/>
              <w:rPr>
                <w:rFonts w:ascii="Arial"/>
                <w:sz w:val="21"/>
              </w:rPr>
            </w:pPr>
          </w:p>
          <w:p w14:paraId="73BA7DF6">
            <w:pPr>
              <w:pStyle w:val="6"/>
              <w:spacing w:before="68" w:line="236" w:lineRule="auto"/>
              <w:ind w:left="207" w:right="109" w:hanging="113"/>
              <w:rPr>
                <w:rFonts w:ascii="宋体" w:hAnsi="宋体" w:eastAsia="宋体" w:cs="宋体"/>
              </w:rPr>
            </w:pPr>
            <w:r>
              <w:rPr>
                <w:spacing w:val="-1"/>
              </w:rPr>
              <w:t>4#</w:t>
            </w:r>
            <w:r>
              <w:rPr>
                <w:rFonts w:ascii="宋体" w:hAnsi="宋体" w:eastAsia="宋体" w:cs="宋体"/>
                <w:spacing w:val="-1"/>
              </w:rPr>
              <w:t>隧洞排水</w:t>
            </w:r>
            <w:r>
              <w:rPr>
                <w:rFonts w:ascii="宋体" w:hAnsi="宋体" w:eastAsia="宋体" w:cs="宋体"/>
                <w:spacing w:val="-3"/>
              </w:rPr>
              <w:t>处理系统</w:t>
            </w:r>
          </w:p>
        </w:tc>
        <w:tc>
          <w:tcPr>
            <w:tcW w:w="422" w:type="dxa"/>
            <w:vMerge w:val="restart"/>
            <w:tcBorders>
              <w:bottom w:val="nil"/>
            </w:tcBorders>
            <w:vAlign w:val="top"/>
          </w:tcPr>
          <w:p w14:paraId="071909FE">
            <w:pPr>
              <w:pStyle w:val="6"/>
              <w:spacing w:before="158" w:line="222" w:lineRule="auto"/>
              <w:ind w:left="167"/>
            </w:pPr>
            <w:r>
              <w:t>1</w:t>
            </w:r>
          </w:p>
          <w:p w14:paraId="3E658732">
            <w:pPr>
              <w:spacing w:line="219" w:lineRule="auto"/>
              <w:ind w:left="99"/>
              <w:rPr>
                <w:rFonts w:ascii="宋体" w:hAnsi="宋体" w:eastAsia="宋体" w:cs="宋体"/>
                <w:sz w:val="21"/>
                <w:szCs w:val="21"/>
              </w:rPr>
            </w:pPr>
            <w:r>
              <w:rPr>
                <w:rFonts w:ascii="宋体" w:hAnsi="宋体" w:eastAsia="宋体" w:cs="宋体"/>
                <w:sz w:val="21"/>
                <w:szCs w:val="21"/>
              </w:rPr>
              <w:t>季</w:t>
            </w:r>
          </w:p>
          <w:p w14:paraId="26455B9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36410E7">
            <w:pPr>
              <w:pStyle w:val="6"/>
              <w:spacing w:before="94" w:line="219" w:lineRule="auto"/>
              <w:ind w:left="274"/>
            </w:pPr>
            <w:r>
              <w:rPr>
                <w:spacing w:val="-1"/>
              </w:rPr>
              <w:t>2020/3/10</w:t>
            </w:r>
          </w:p>
        </w:tc>
        <w:tc>
          <w:tcPr>
            <w:tcW w:w="892" w:type="dxa"/>
            <w:vAlign w:val="top"/>
          </w:tcPr>
          <w:p w14:paraId="65DA8A53">
            <w:pPr>
              <w:pStyle w:val="6"/>
              <w:spacing w:before="94" w:line="219" w:lineRule="auto"/>
              <w:ind w:left="293"/>
            </w:pPr>
            <w:r>
              <w:rPr>
                <w:spacing w:val="-3"/>
              </w:rPr>
              <w:t>813</w:t>
            </w:r>
          </w:p>
        </w:tc>
        <w:tc>
          <w:tcPr>
            <w:tcW w:w="892" w:type="dxa"/>
            <w:vAlign w:val="top"/>
          </w:tcPr>
          <w:p w14:paraId="1EB9AAB8">
            <w:pPr>
              <w:pStyle w:val="6"/>
              <w:spacing w:before="99" w:line="214" w:lineRule="auto"/>
              <w:ind w:left="343"/>
            </w:pPr>
            <w:r>
              <w:rPr>
                <w:b/>
                <w:bCs/>
                <w:spacing w:val="-2"/>
              </w:rPr>
              <w:t>76</w:t>
            </w:r>
          </w:p>
        </w:tc>
        <w:tc>
          <w:tcPr>
            <w:tcW w:w="892" w:type="dxa"/>
            <w:vAlign w:val="top"/>
          </w:tcPr>
          <w:p w14:paraId="4A9B9C41">
            <w:pPr>
              <w:pStyle w:val="6"/>
              <w:spacing w:before="94" w:line="219" w:lineRule="auto"/>
              <w:ind w:left="268"/>
            </w:pPr>
            <w:r>
              <w:rPr>
                <w:spacing w:val="-2"/>
              </w:rPr>
              <w:t>7.13</w:t>
            </w:r>
          </w:p>
        </w:tc>
        <w:tc>
          <w:tcPr>
            <w:tcW w:w="892" w:type="dxa"/>
            <w:vAlign w:val="top"/>
          </w:tcPr>
          <w:p w14:paraId="1BD5BC5F">
            <w:pPr>
              <w:pStyle w:val="6"/>
              <w:spacing w:before="94" w:line="219" w:lineRule="auto"/>
              <w:ind w:left="272"/>
            </w:pPr>
            <w:r>
              <w:rPr>
                <w:spacing w:val="-3"/>
              </w:rPr>
              <w:t>6.89</w:t>
            </w:r>
          </w:p>
        </w:tc>
        <w:tc>
          <w:tcPr>
            <w:tcW w:w="891" w:type="dxa"/>
            <w:vAlign w:val="top"/>
          </w:tcPr>
          <w:p w14:paraId="38881AD1">
            <w:pPr>
              <w:pStyle w:val="6"/>
              <w:spacing w:before="94" w:line="219" w:lineRule="auto"/>
              <w:ind w:left="274"/>
            </w:pPr>
            <w:r>
              <w:rPr>
                <w:spacing w:val="-2"/>
              </w:rPr>
              <w:t>0.20</w:t>
            </w:r>
          </w:p>
        </w:tc>
        <w:tc>
          <w:tcPr>
            <w:tcW w:w="906" w:type="dxa"/>
            <w:tcBorders>
              <w:right w:val="single" w:color="000000" w:sz="12" w:space="0"/>
            </w:tcBorders>
            <w:vAlign w:val="top"/>
          </w:tcPr>
          <w:p w14:paraId="70C911F8">
            <w:pPr>
              <w:pStyle w:val="6"/>
              <w:spacing w:before="94" w:line="219" w:lineRule="auto"/>
              <w:ind w:left="277"/>
            </w:pPr>
            <w:r>
              <w:rPr>
                <w:spacing w:val="-2"/>
              </w:rPr>
              <w:t>0.07</w:t>
            </w:r>
          </w:p>
        </w:tc>
      </w:tr>
      <w:tr w14:paraId="2E4FD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695970A1">
            <w:pPr>
              <w:rPr>
                <w:rFonts w:ascii="Arial"/>
                <w:sz w:val="21"/>
              </w:rPr>
            </w:pPr>
          </w:p>
        </w:tc>
        <w:tc>
          <w:tcPr>
            <w:tcW w:w="422" w:type="dxa"/>
            <w:vMerge w:val="continue"/>
            <w:tcBorders>
              <w:top w:val="nil"/>
              <w:bottom w:val="nil"/>
            </w:tcBorders>
            <w:vAlign w:val="top"/>
          </w:tcPr>
          <w:p w14:paraId="3FD0C418">
            <w:pPr>
              <w:rPr>
                <w:rFonts w:ascii="Arial"/>
                <w:sz w:val="21"/>
              </w:rPr>
            </w:pPr>
          </w:p>
        </w:tc>
        <w:tc>
          <w:tcPr>
            <w:tcW w:w="1414" w:type="dxa"/>
            <w:vAlign w:val="top"/>
          </w:tcPr>
          <w:p w14:paraId="1E1227A1">
            <w:pPr>
              <w:pStyle w:val="6"/>
              <w:spacing w:before="95" w:line="219" w:lineRule="auto"/>
              <w:ind w:left="274"/>
            </w:pPr>
            <w:r>
              <w:rPr>
                <w:spacing w:val="-1"/>
              </w:rPr>
              <w:t>2020/3/11</w:t>
            </w:r>
          </w:p>
        </w:tc>
        <w:tc>
          <w:tcPr>
            <w:tcW w:w="892" w:type="dxa"/>
            <w:vAlign w:val="top"/>
          </w:tcPr>
          <w:p w14:paraId="1C4526B5">
            <w:pPr>
              <w:pStyle w:val="6"/>
              <w:spacing w:before="95" w:line="219" w:lineRule="auto"/>
              <w:ind w:left="288"/>
            </w:pPr>
            <w:r>
              <w:rPr>
                <w:spacing w:val="-2"/>
              </w:rPr>
              <w:t>787</w:t>
            </w:r>
          </w:p>
        </w:tc>
        <w:tc>
          <w:tcPr>
            <w:tcW w:w="892" w:type="dxa"/>
            <w:vAlign w:val="top"/>
          </w:tcPr>
          <w:p w14:paraId="38D7E524">
            <w:pPr>
              <w:pStyle w:val="6"/>
              <w:spacing w:before="100" w:line="214" w:lineRule="auto"/>
              <w:ind w:left="343"/>
            </w:pPr>
            <w:r>
              <w:rPr>
                <w:b/>
                <w:bCs/>
                <w:spacing w:val="-2"/>
              </w:rPr>
              <w:t>85</w:t>
            </w:r>
          </w:p>
        </w:tc>
        <w:tc>
          <w:tcPr>
            <w:tcW w:w="892" w:type="dxa"/>
            <w:vAlign w:val="top"/>
          </w:tcPr>
          <w:p w14:paraId="5ABF0A18">
            <w:pPr>
              <w:pStyle w:val="6"/>
              <w:spacing w:before="95" w:line="219" w:lineRule="auto"/>
              <w:ind w:left="268"/>
            </w:pPr>
            <w:r>
              <w:rPr>
                <w:spacing w:val="-2"/>
              </w:rPr>
              <w:t>7.04</w:t>
            </w:r>
          </w:p>
        </w:tc>
        <w:tc>
          <w:tcPr>
            <w:tcW w:w="892" w:type="dxa"/>
            <w:vAlign w:val="top"/>
          </w:tcPr>
          <w:p w14:paraId="282D885C">
            <w:pPr>
              <w:pStyle w:val="6"/>
              <w:spacing w:before="95" w:line="219" w:lineRule="auto"/>
              <w:ind w:left="272"/>
            </w:pPr>
            <w:r>
              <w:rPr>
                <w:spacing w:val="-3"/>
              </w:rPr>
              <w:t>6.84</w:t>
            </w:r>
          </w:p>
        </w:tc>
        <w:tc>
          <w:tcPr>
            <w:tcW w:w="891" w:type="dxa"/>
            <w:vAlign w:val="top"/>
          </w:tcPr>
          <w:p w14:paraId="707A5F59">
            <w:pPr>
              <w:pStyle w:val="6"/>
              <w:spacing w:before="95" w:line="219" w:lineRule="auto"/>
              <w:ind w:left="274"/>
            </w:pPr>
            <w:r>
              <w:rPr>
                <w:spacing w:val="-2"/>
              </w:rPr>
              <w:t>0.17</w:t>
            </w:r>
          </w:p>
        </w:tc>
        <w:tc>
          <w:tcPr>
            <w:tcW w:w="906" w:type="dxa"/>
            <w:tcBorders>
              <w:right w:val="single" w:color="000000" w:sz="12" w:space="0"/>
            </w:tcBorders>
            <w:vAlign w:val="top"/>
          </w:tcPr>
          <w:p w14:paraId="1D367FF0">
            <w:pPr>
              <w:pStyle w:val="6"/>
              <w:spacing w:before="95" w:line="219" w:lineRule="auto"/>
              <w:ind w:left="277"/>
            </w:pPr>
            <w:r>
              <w:rPr>
                <w:spacing w:val="-2"/>
              </w:rPr>
              <w:t>0.08</w:t>
            </w:r>
          </w:p>
        </w:tc>
      </w:tr>
      <w:tr w14:paraId="1CF0F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4C83B51">
            <w:pPr>
              <w:rPr>
                <w:rFonts w:ascii="Arial"/>
                <w:sz w:val="21"/>
              </w:rPr>
            </w:pPr>
          </w:p>
        </w:tc>
        <w:tc>
          <w:tcPr>
            <w:tcW w:w="422" w:type="dxa"/>
            <w:vMerge w:val="continue"/>
            <w:tcBorders>
              <w:top w:val="nil"/>
            </w:tcBorders>
            <w:vAlign w:val="top"/>
          </w:tcPr>
          <w:p w14:paraId="12AC17A2">
            <w:pPr>
              <w:rPr>
                <w:rFonts w:ascii="Arial"/>
                <w:sz w:val="21"/>
              </w:rPr>
            </w:pPr>
          </w:p>
        </w:tc>
        <w:tc>
          <w:tcPr>
            <w:tcW w:w="1414" w:type="dxa"/>
            <w:vAlign w:val="top"/>
          </w:tcPr>
          <w:p w14:paraId="2D45B0FF">
            <w:pPr>
              <w:pStyle w:val="6"/>
              <w:spacing w:before="95" w:line="218" w:lineRule="auto"/>
              <w:ind w:left="274"/>
            </w:pPr>
            <w:r>
              <w:rPr>
                <w:spacing w:val="-1"/>
              </w:rPr>
              <w:t>2020/3/12</w:t>
            </w:r>
          </w:p>
        </w:tc>
        <w:tc>
          <w:tcPr>
            <w:tcW w:w="892" w:type="dxa"/>
            <w:vAlign w:val="top"/>
          </w:tcPr>
          <w:p w14:paraId="755BBA9B">
            <w:pPr>
              <w:pStyle w:val="6"/>
              <w:spacing w:before="95" w:line="218" w:lineRule="auto"/>
              <w:ind w:left="293"/>
            </w:pPr>
            <w:r>
              <w:rPr>
                <w:spacing w:val="-3"/>
              </w:rPr>
              <w:t>805</w:t>
            </w:r>
          </w:p>
        </w:tc>
        <w:tc>
          <w:tcPr>
            <w:tcW w:w="892" w:type="dxa"/>
            <w:vAlign w:val="top"/>
          </w:tcPr>
          <w:p w14:paraId="6AA8024A">
            <w:pPr>
              <w:pStyle w:val="6"/>
              <w:spacing w:before="100" w:line="213" w:lineRule="auto"/>
              <w:ind w:left="343"/>
            </w:pPr>
            <w:r>
              <w:rPr>
                <w:b/>
                <w:bCs/>
                <w:spacing w:val="-2"/>
              </w:rPr>
              <w:t>71</w:t>
            </w:r>
          </w:p>
        </w:tc>
        <w:tc>
          <w:tcPr>
            <w:tcW w:w="892" w:type="dxa"/>
            <w:vAlign w:val="top"/>
          </w:tcPr>
          <w:p w14:paraId="194F841B">
            <w:pPr>
              <w:pStyle w:val="6"/>
              <w:spacing w:before="95" w:line="218" w:lineRule="auto"/>
              <w:ind w:left="268"/>
            </w:pPr>
            <w:r>
              <w:rPr>
                <w:spacing w:val="-2"/>
              </w:rPr>
              <w:t>7.10</w:t>
            </w:r>
          </w:p>
        </w:tc>
        <w:tc>
          <w:tcPr>
            <w:tcW w:w="892" w:type="dxa"/>
            <w:vAlign w:val="top"/>
          </w:tcPr>
          <w:p w14:paraId="1D966EE8">
            <w:pPr>
              <w:pStyle w:val="6"/>
              <w:spacing w:before="95" w:line="218" w:lineRule="auto"/>
              <w:ind w:left="272"/>
            </w:pPr>
            <w:r>
              <w:rPr>
                <w:spacing w:val="-3"/>
              </w:rPr>
              <w:t>6.91</w:t>
            </w:r>
          </w:p>
        </w:tc>
        <w:tc>
          <w:tcPr>
            <w:tcW w:w="891" w:type="dxa"/>
            <w:vAlign w:val="top"/>
          </w:tcPr>
          <w:p w14:paraId="56A92F73">
            <w:pPr>
              <w:pStyle w:val="6"/>
              <w:spacing w:before="95" w:line="218" w:lineRule="auto"/>
              <w:ind w:left="274"/>
            </w:pPr>
            <w:r>
              <w:rPr>
                <w:spacing w:val="-2"/>
              </w:rPr>
              <w:t>0.20</w:t>
            </w:r>
          </w:p>
        </w:tc>
        <w:tc>
          <w:tcPr>
            <w:tcW w:w="906" w:type="dxa"/>
            <w:tcBorders>
              <w:right w:val="single" w:color="000000" w:sz="12" w:space="0"/>
            </w:tcBorders>
            <w:vAlign w:val="top"/>
          </w:tcPr>
          <w:p w14:paraId="11BF9EB0">
            <w:pPr>
              <w:pStyle w:val="6"/>
              <w:spacing w:before="95" w:line="218" w:lineRule="auto"/>
              <w:ind w:left="277"/>
            </w:pPr>
            <w:r>
              <w:rPr>
                <w:spacing w:val="-2"/>
              </w:rPr>
              <w:t>0.07</w:t>
            </w:r>
          </w:p>
        </w:tc>
      </w:tr>
      <w:tr w14:paraId="4D00B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EC9C7E7">
            <w:pPr>
              <w:rPr>
                <w:rFonts w:ascii="Arial"/>
                <w:sz w:val="21"/>
              </w:rPr>
            </w:pPr>
          </w:p>
        </w:tc>
        <w:tc>
          <w:tcPr>
            <w:tcW w:w="422" w:type="dxa"/>
            <w:vMerge w:val="restart"/>
            <w:tcBorders>
              <w:bottom w:val="nil"/>
            </w:tcBorders>
            <w:vAlign w:val="top"/>
          </w:tcPr>
          <w:p w14:paraId="1F69A046">
            <w:pPr>
              <w:pStyle w:val="6"/>
              <w:spacing w:before="161" w:line="222" w:lineRule="auto"/>
              <w:ind w:left="147"/>
            </w:pPr>
            <w:r>
              <w:t>2</w:t>
            </w:r>
          </w:p>
          <w:p w14:paraId="40B3CDFD">
            <w:pPr>
              <w:spacing w:line="219" w:lineRule="auto"/>
              <w:ind w:left="99"/>
              <w:rPr>
                <w:rFonts w:ascii="宋体" w:hAnsi="宋体" w:eastAsia="宋体" w:cs="宋体"/>
                <w:sz w:val="21"/>
                <w:szCs w:val="21"/>
              </w:rPr>
            </w:pPr>
            <w:r>
              <w:rPr>
                <w:rFonts w:ascii="宋体" w:hAnsi="宋体" w:eastAsia="宋体" w:cs="宋体"/>
                <w:sz w:val="21"/>
                <w:szCs w:val="21"/>
              </w:rPr>
              <w:t>季</w:t>
            </w:r>
          </w:p>
          <w:p w14:paraId="6141DD11">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52350123">
            <w:pPr>
              <w:pStyle w:val="6"/>
              <w:spacing w:before="97" w:line="216" w:lineRule="auto"/>
              <w:ind w:left="274"/>
            </w:pPr>
            <w:r>
              <w:rPr>
                <w:spacing w:val="-1"/>
              </w:rPr>
              <w:t>2020/5/20</w:t>
            </w:r>
          </w:p>
        </w:tc>
        <w:tc>
          <w:tcPr>
            <w:tcW w:w="892" w:type="dxa"/>
            <w:vAlign w:val="top"/>
          </w:tcPr>
          <w:p w14:paraId="2BE2FDCD">
            <w:pPr>
              <w:pStyle w:val="6"/>
              <w:spacing w:before="97" w:line="216" w:lineRule="auto"/>
              <w:ind w:left="346"/>
            </w:pPr>
            <w:r>
              <w:rPr>
                <w:spacing w:val="-4"/>
              </w:rPr>
              <w:t>87</w:t>
            </w:r>
          </w:p>
        </w:tc>
        <w:tc>
          <w:tcPr>
            <w:tcW w:w="892" w:type="dxa"/>
            <w:vAlign w:val="top"/>
          </w:tcPr>
          <w:p w14:paraId="17C325D6">
            <w:pPr>
              <w:pStyle w:val="6"/>
              <w:spacing w:before="102" w:line="211" w:lineRule="auto"/>
              <w:ind w:left="342"/>
            </w:pPr>
            <w:r>
              <w:rPr>
                <w:b/>
                <w:bCs/>
                <w:spacing w:val="-2"/>
              </w:rPr>
              <w:t>96</w:t>
            </w:r>
          </w:p>
        </w:tc>
        <w:tc>
          <w:tcPr>
            <w:tcW w:w="892" w:type="dxa"/>
            <w:vAlign w:val="top"/>
          </w:tcPr>
          <w:p w14:paraId="2CCC262A">
            <w:pPr>
              <w:pStyle w:val="6"/>
              <w:spacing w:before="97" w:line="216" w:lineRule="auto"/>
              <w:ind w:left="268"/>
            </w:pPr>
            <w:r>
              <w:rPr>
                <w:spacing w:val="-2"/>
              </w:rPr>
              <w:t>7.60</w:t>
            </w:r>
          </w:p>
        </w:tc>
        <w:tc>
          <w:tcPr>
            <w:tcW w:w="892" w:type="dxa"/>
            <w:vAlign w:val="top"/>
          </w:tcPr>
          <w:p w14:paraId="23C86917">
            <w:pPr>
              <w:pStyle w:val="6"/>
              <w:spacing w:before="97" w:line="216" w:lineRule="auto"/>
              <w:ind w:left="271"/>
            </w:pPr>
            <w:r>
              <w:rPr>
                <w:spacing w:val="-2"/>
              </w:rPr>
              <w:t>7.73</w:t>
            </w:r>
          </w:p>
        </w:tc>
        <w:tc>
          <w:tcPr>
            <w:tcW w:w="891" w:type="dxa"/>
            <w:vAlign w:val="top"/>
          </w:tcPr>
          <w:p w14:paraId="654C9FC9">
            <w:pPr>
              <w:pStyle w:val="6"/>
              <w:spacing w:before="97" w:line="216" w:lineRule="auto"/>
              <w:ind w:left="211"/>
            </w:pPr>
            <w:r>
              <w:rPr>
                <w:spacing w:val="-2"/>
              </w:rPr>
              <w:t>0.06L</w:t>
            </w:r>
          </w:p>
        </w:tc>
        <w:tc>
          <w:tcPr>
            <w:tcW w:w="906" w:type="dxa"/>
            <w:tcBorders>
              <w:right w:val="single" w:color="000000" w:sz="12" w:space="0"/>
            </w:tcBorders>
            <w:vAlign w:val="top"/>
          </w:tcPr>
          <w:p w14:paraId="0DC2A83A">
            <w:pPr>
              <w:pStyle w:val="6"/>
              <w:spacing w:before="97" w:line="216" w:lineRule="auto"/>
              <w:ind w:left="214"/>
            </w:pPr>
            <w:r>
              <w:rPr>
                <w:spacing w:val="-2"/>
              </w:rPr>
              <w:t>0.06L</w:t>
            </w:r>
          </w:p>
        </w:tc>
      </w:tr>
      <w:tr w14:paraId="2F1E5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56F9BC20">
            <w:pPr>
              <w:rPr>
                <w:rFonts w:ascii="Arial"/>
                <w:sz w:val="21"/>
              </w:rPr>
            </w:pPr>
          </w:p>
        </w:tc>
        <w:tc>
          <w:tcPr>
            <w:tcW w:w="422" w:type="dxa"/>
            <w:vMerge w:val="continue"/>
            <w:tcBorders>
              <w:top w:val="nil"/>
              <w:bottom w:val="nil"/>
            </w:tcBorders>
            <w:vAlign w:val="top"/>
          </w:tcPr>
          <w:p w14:paraId="56DDFF55">
            <w:pPr>
              <w:rPr>
                <w:rFonts w:ascii="Arial"/>
                <w:sz w:val="21"/>
              </w:rPr>
            </w:pPr>
          </w:p>
        </w:tc>
        <w:tc>
          <w:tcPr>
            <w:tcW w:w="1414" w:type="dxa"/>
            <w:vAlign w:val="top"/>
          </w:tcPr>
          <w:p w14:paraId="6F8716D8">
            <w:pPr>
              <w:pStyle w:val="6"/>
              <w:spacing w:before="98" w:line="217" w:lineRule="auto"/>
              <w:ind w:left="274"/>
            </w:pPr>
            <w:r>
              <w:rPr>
                <w:spacing w:val="-1"/>
              </w:rPr>
              <w:t>2020/5/21</w:t>
            </w:r>
          </w:p>
        </w:tc>
        <w:tc>
          <w:tcPr>
            <w:tcW w:w="892" w:type="dxa"/>
            <w:vAlign w:val="top"/>
          </w:tcPr>
          <w:p w14:paraId="7CB21B43">
            <w:pPr>
              <w:pStyle w:val="6"/>
              <w:spacing w:before="98" w:line="217" w:lineRule="auto"/>
              <w:ind w:left="341"/>
            </w:pPr>
            <w:r>
              <w:rPr>
                <w:spacing w:val="-2"/>
              </w:rPr>
              <w:t>95</w:t>
            </w:r>
          </w:p>
        </w:tc>
        <w:tc>
          <w:tcPr>
            <w:tcW w:w="892" w:type="dxa"/>
            <w:vAlign w:val="top"/>
          </w:tcPr>
          <w:p w14:paraId="1ADBA04F">
            <w:pPr>
              <w:pStyle w:val="6"/>
              <w:spacing w:before="103" w:line="212" w:lineRule="auto"/>
              <w:ind w:left="342"/>
            </w:pPr>
            <w:r>
              <w:rPr>
                <w:b/>
                <w:bCs/>
                <w:spacing w:val="-2"/>
              </w:rPr>
              <w:t>91</w:t>
            </w:r>
          </w:p>
        </w:tc>
        <w:tc>
          <w:tcPr>
            <w:tcW w:w="892" w:type="dxa"/>
            <w:vAlign w:val="top"/>
          </w:tcPr>
          <w:p w14:paraId="46357069">
            <w:pPr>
              <w:pStyle w:val="6"/>
              <w:spacing w:before="98" w:line="217" w:lineRule="auto"/>
              <w:ind w:left="268"/>
            </w:pPr>
            <w:r>
              <w:rPr>
                <w:spacing w:val="-2"/>
              </w:rPr>
              <w:t>7.61</w:t>
            </w:r>
          </w:p>
        </w:tc>
        <w:tc>
          <w:tcPr>
            <w:tcW w:w="892" w:type="dxa"/>
            <w:vAlign w:val="top"/>
          </w:tcPr>
          <w:p w14:paraId="695A0772">
            <w:pPr>
              <w:pStyle w:val="6"/>
              <w:spacing w:before="98" w:line="217" w:lineRule="auto"/>
              <w:ind w:left="271"/>
            </w:pPr>
            <w:r>
              <w:rPr>
                <w:spacing w:val="-2"/>
              </w:rPr>
              <w:t>7.69</w:t>
            </w:r>
          </w:p>
        </w:tc>
        <w:tc>
          <w:tcPr>
            <w:tcW w:w="891" w:type="dxa"/>
            <w:vAlign w:val="top"/>
          </w:tcPr>
          <w:p w14:paraId="524F02A3">
            <w:pPr>
              <w:pStyle w:val="6"/>
              <w:spacing w:before="98" w:line="217" w:lineRule="auto"/>
              <w:ind w:left="211"/>
            </w:pPr>
            <w:r>
              <w:rPr>
                <w:spacing w:val="-2"/>
              </w:rPr>
              <w:t>0.06L</w:t>
            </w:r>
          </w:p>
        </w:tc>
        <w:tc>
          <w:tcPr>
            <w:tcW w:w="906" w:type="dxa"/>
            <w:tcBorders>
              <w:right w:val="single" w:color="000000" w:sz="12" w:space="0"/>
            </w:tcBorders>
            <w:vAlign w:val="top"/>
          </w:tcPr>
          <w:p w14:paraId="5878533B">
            <w:pPr>
              <w:pStyle w:val="6"/>
              <w:spacing w:before="98" w:line="217" w:lineRule="auto"/>
              <w:ind w:left="214"/>
            </w:pPr>
            <w:r>
              <w:rPr>
                <w:spacing w:val="-2"/>
              </w:rPr>
              <w:t>0.06L</w:t>
            </w:r>
          </w:p>
        </w:tc>
      </w:tr>
      <w:tr w14:paraId="258F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8563865">
            <w:pPr>
              <w:rPr>
                <w:rFonts w:ascii="Arial"/>
                <w:sz w:val="21"/>
              </w:rPr>
            </w:pPr>
          </w:p>
        </w:tc>
        <w:tc>
          <w:tcPr>
            <w:tcW w:w="422" w:type="dxa"/>
            <w:vMerge w:val="continue"/>
            <w:tcBorders>
              <w:top w:val="nil"/>
            </w:tcBorders>
            <w:vAlign w:val="top"/>
          </w:tcPr>
          <w:p w14:paraId="4F05B0AC">
            <w:pPr>
              <w:rPr>
                <w:rFonts w:ascii="Arial"/>
                <w:sz w:val="21"/>
              </w:rPr>
            </w:pPr>
          </w:p>
        </w:tc>
        <w:tc>
          <w:tcPr>
            <w:tcW w:w="1414" w:type="dxa"/>
            <w:vAlign w:val="top"/>
          </w:tcPr>
          <w:p w14:paraId="7342F92A">
            <w:pPr>
              <w:pStyle w:val="6"/>
              <w:spacing w:before="99" w:line="214" w:lineRule="auto"/>
              <w:ind w:left="274"/>
            </w:pPr>
            <w:r>
              <w:rPr>
                <w:spacing w:val="-1"/>
              </w:rPr>
              <w:t>2020/5/22</w:t>
            </w:r>
          </w:p>
        </w:tc>
        <w:tc>
          <w:tcPr>
            <w:tcW w:w="892" w:type="dxa"/>
            <w:vAlign w:val="top"/>
          </w:tcPr>
          <w:p w14:paraId="48B4172F">
            <w:pPr>
              <w:pStyle w:val="6"/>
              <w:spacing w:before="99" w:line="214" w:lineRule="auto"/>
              <w:ind w:left="341"/>
            </w:pPr>
            <w:r>
              <w:rPr>
                <w:spacing w:val="-2"/>
              </w:rPr>
              <w:t>91</w:t>
            </w:r>
          </w:p>
        </w:tc>
        <w:tc>
          <w:tcPr>
            <w:tcW w:w="892" w:type="dxa"/>
            <w:vAlign w:val="top"/>
          </w:tcPr>
          <w:p w14:paraId="16E7C82A">
            <w:pPr>
              <w:pStyle w:val="6"/>
              <w:spacing w:before="103" w:line="210" w:lineRule="auto"/>
              <w:ind w:left="343"/>
            </w:pPr>
            <w:r>
              <w:rPr>
                <w:b/>
                <w:bCs/>
                <w:spacing w:val="-2"/>
              </w:rPr>
              <w:t>89</w:t>
            </w:r>
          </w:p>
        </w:tc>
        <w:tc>
          <w:tcPr>
            <w:tcW w:w="892" w:type="dxa"/>
            <w:vAlign w:val="top"/>
          </w:tcPr>
          <w:p w14:paraId="1109D3B0">
            <w:pPr>
              <w:pStyle w:val="6"/>
              <w:spacing w:before="99" w:line="214" w:lineRule="auto"/>
              <w:ind w:left="268"/>
            </w:pPr>
            <w:r>
              <w:rPr>
                <w:spacing w:val="-2"/>
              </w:rPr>
              <w:t>7.64</w:t>
            </w:r>
          </w:p>
        </w:tc>
        <w:tc>
          <w:tcPr>
            <w:tcW w:w="892" w:type="dxa"/>
            <w:vAlign w:val="top"/>
          </w:tcPr>
          <w:p w14:paraId="105ADDE1">
            <w:pPr>
              <w:pStyle w:val="6"/>
              <w:spacing w:before="99" w:line="214" w:lineRule="auto"/>
              <w:ind w:left="271"/>
            </w:pPr>
            <w:r>
              <w:rPr>
                <w:spacing w:val="-2"/>
              </w:rPr>
              <w:t>7.77</w:t>
            </w:r>
          </w:p>
        </w:tc>
        <w:tc>
          <w:tcPr>
            <w:tcW w:w="891" w:type="dxa"/>
            <w:vAlign w:val="top"/>
          </w:tcPr>
          <w:p w14:paraId="2B0BD0CA">
            <w:pPr>
              <w:pStyle w:val="6"/>
              <w:spacing w:before="99" w:line="214" w:lineRule="auto"/>
              <w:ind w:left="211"/>
            </w:pPr>
            <w:r>
              <w:rPr>
                <w:spacing w:val="-2"/>
              </w:rPr>
              <w:t>0.06L</w:t>
            </w:r>
          </w:p>
        </w:tc>
        <w:tc>
          <w:tcPr>
            <w:tcW w:w="906" w:type="dxa"/>
            <w:tcBorders>
              <w:right w:val="single" w:color="000000" w:sz="12" w:space="0"/>
            </w:tcBorders>
            <w:vAlign w:val="top"/>
          </w:tcPr>
          <w:p w14:paraId="4355EF74">
            <w:pPr>
              <w:pStyle w:val="6"/>
              <w:spacing w:before="99" w:line="214" w:lineRule="auto"/>
              <w:ind w:left="214"/>
            </w:pPr>
            <w:r>
              <w:rPr>
                <w:spacing w:val="-2"/>
              </w:rPr>
              <w:t>0.06L</w:t>
            </w:r>
          </w:p>
        </w:tc>
      </w:tr>
      <w:tr w14:paraId="1F243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52CA223C">
            <w:pPr>
              <w:rPr>
                <w:rFonts w:ascii="Arial"/>
                <w:sz w:val="21"/>
              </w:rPr>
            </w:pPr>
          </w:p>
        </w:tc>
        <w:tc>
          <w:tcPr>
            <w:tcW w:w="422" w:type="dxa"/>
            <w:vMerge w:val="restart"/>
            <w:tcBorders>
              <w:bottom w:val="nil"/>
            </w:tcBorders>
            <w:vAlign w:val="top"/>
          </w:tcPr>
          <w:p w14:paraId="4254A019">
            <w:pPr>
              <w:pStyle w:val="6"/>
              <w:spacing w:before="163" w:line="223" w:lineRule="auto"/>
              <w:ind w:left="151"/>
            </w:pPr>
            <w:r>
              <w:t>3</w:t>
            </w:r>
          </w:p>
          <w:p w14:paraId="283B56FD">
            <w:pPr>
              <w:spacing w:line="219" w:lineRule="auto"/>
              <w:ind w:left="99"/>
              <w:rPr>
                <w:rFonts w:ascii="宋体" w:hAnsi="宋体" w:eastAsia="宋体" w:cs="宋体"/>
                <w:sz w:val="21"/>
                <w:szCs w:val="21"/>
              </w:rPr>
            </w:pPr>
            <w:r>
              <w:rPr>
                <w:rFonts w:ascii="宋体" w:hAnsi="宋体" w:eastAsia="宋体" w:cs="宋体"/>
                <w:sz w:val="21"/>
                <w:szCs w:val="21"/>
              </w:rPr>
              <w:t>季</w:t>
            </w:r>
          </w:p>
          <w:p w14:paraId="1C7E4F85">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402879F">
            <w:pPr>
              <w:pStyle w:val="6"/>
              <w:spacing w:before="100" w:line="215" w:lineRule="auto"/>
              <w:ind w:left="274"/>
            </w:pPr>
            <w:r>
              <w:rPr>
                <w:spacing w:val="-1"/>
              </w:rPr>
              <w:t>2020/8/20</w:t>
            </w:r>
          </w:p>
        </w:tc>
        <w:tc>
          <w:tcPr>
            <w:tcW w:w="892" w:type="dxa"/>
            <w:vAlign w:val="top"/>
          </w:tcPr>
          <w:p w14:paraId="7C751883">
            <w:pPr>
              <w:pStyle w:val="6"/>
              <w:spacing w:before="100" w:line="215" w:lineRule="auto"/>
              <w:ind w:left="252"/>
            </w:pPr>
            <w:r>
              <w:rPr>
                <w:spacing w:val="-5"/>
              </w:rPr>
              <w:t>1093</w:t>
            </w:r>
          </w:p>
        </w:tc>
        <w:tc>
          <w:tcPr>
            <w:tcW w:w="892" w:type="dxa"/>
            <w:vAlign w:val="top"/>
          </w:tcPr>
          <w:p w14:paraId="03066652">
            <w:pPr>
              <w:pStyle w:val="6"/>
              <w:spacing w:before="104" w:line="211" w:lineRule="auto"/>
              <w:ind w:left="342"/>
            </w:pPr>
            <w:r>
              <w:rPr>
                <w:b/>
                <w:bCs/>
                <w:spacing w:val="-2"/>
              </w:rPr>
              <w:t>98</w:t>
            </w:r>
          </w:p>
        </w:tc>
        <w:tc>
          <w:tcPr>
            <w:tcW w:w="892" w:type="dxa"/>
            <w:vAlign w:val="top"/>
          </w:tcPr>
          <w:p w14:paraId="78D6D017">
            <w:pPr>
              <w:pStyle w:val="6"/>
              <w:spacing w:before="100" w:line="215" w:lineRule="auto"/>
              <w:ind w:left="273"/>
            </w:pPr>
            <w:r>
              <w:rPr>
                <w:spacing w:val="-4"/>
              </w:rPr>
              <w:t>8.64</w:t>
            </w:r>
          </w:p>
        </w:tc>
        <w:tc>
          <w:tcPr>
            <w:tcW w:w="892" w:type="dxa"/>
            <w:vAlign w:val="top"/>
          </w:tcPr>
          <w:p w14:paraId="2168EE14">
            <w:pPr>
              <w:pStyle w:val="6"/>
              <w:spacing w:before="100" w:line="215" w:lineRule="auto"/>
              <w:ind w:left="276"/>
            </w:pPr>
            <w:r>
              <w:rPr>
                <w:spacing w:val="-4"/>
              </w:rPr>
              <w:t>8.25</w:t>
            </w:r>
          </w:p>
        </w:tc>
        <w:tc>
          <w:tcPr>
            <w:tcW w:w="891" w:type="dxa"/>
            <w:vAlign w:val="top"/>
          </w:tcPr>
          <w:p w14:paraId="12AA69AF">
            <w:pPr>
              <w:pStyle w:val="6"/>
              <w:spacing w:before="100" w:line="215" w:lineRule="auto"/>
              <w:ind w:left="274"/>
            </w:pPr>
            <w:r>
              <w:rPr>
                <w:spacing w:val="-2"/>
              </w:rPr>
              <w:t>0.06</w:t>
            </w:r>
          </w:p>
        </w:tc>
        <w:tc>
          <w:tcPr>
            <w:tcW w:w="906" w:type="dxa"/>
            <w:tcBorders>
              <w:right w:val="single" w:color="000000" w:sz="12" w:space="0"/>
            </w:tcBorders>
            <w:vAlign w:val="top"/>
          </w:tcPr>
          <w:p w14:paraId="3D2A7610">
            <w:pPr>
              <w:pStyle w:val="6"/>
              <w:spacing w:before="100" w:line="215" w:lineRule="auto"/>
              <w:ind w:left="214"/>
            </w:pPr>
            <w:r>
              <w:rPr>
                <w:spacing w:val="-2"/>
              </w:rPr>
              <w:t>0.06L</w:t>
            </w:r>
          </w:p>
        </w:tc>
      </w:tr>
      <w:tr w14:paraId="067F4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0ABE0A1">
            <w:pPr>
              <w:rPr>
                <w:rFonts w:ascii="Arial"/>
                <w:sz w:val="21"/>
              </w:rPr>
            </w:pPr>
          </w:p>
        </w:tc>
        <w:tc>
          <w:tcPr>
            <w:tcW w:w="422" w:type="dxa"/>
            <w:vMerge w:val="continue"/>
            <w:tcBorders>
              <w:top w:val="nil"/>
              <w:bottom w:val="nil"/>
            </w:tcBorders>
            <w:vAlign w:val="top"/>
          </w:tcPr>
          <w:p w14:paraId="54D19613">
            <w:pPr>
              <w:rPr>
                <w:rFonts w:ascii="Arial"/>
                <w:sz w:val="21"/>
              </w:rPr>
            </w:pPr>
          </w:p>
        </w:tc>
        <w:tc>
          <w:tcPr>
            <w:tcW w:w="1414" w:type="dxa"/>
            <w:vAlign w:val="top"/>
          </w:tcPr>
          <w:p w14:paraId="66862B5C">
            <w:pPr>
              <w:pStyle w:val="6"/>
              <w:spacing w:before="99" w:line="214" w:lineRule="auto"/>
              <w:ind w:left="274"/>
            </w:pPr>
            <w:r>
              <w:rPr>
                <w:spacing w:val="-1"/>
              </w:rPr>
              <w:t>2020/8/21</w:t>
            </w:r>
          </w:p>
        </w:tc>
        <w:tc>
          <w:tcPr>
            <w:tcW w:w="892" w:type="dxa"/>
            <w:vAlign w:val="top"/>
          </w:tcPr>
          <w:p w14:paraId="07C76F13">
            <w:pPr>
              <w:pStyle w:val="6"/>
              <w:spacing w:before="99" w:line="214" w:lineRule="auto"/>
              <w:ind w:left="288"/>
            </w:pPr>
            <w:r>
              <w:rPr>
                <w:spacing w:val="-2"/>
              </w:rPr>
              <w:t>988</w:t>
            </w:r>
          </w:p>
        </w:tc>
        <w:tc>
          <w:tcPr>
            <w:tcW w:w="892" w:type="dxa"/>
            <w:vAlign w:val="top"/>
          </w:tcPr>
          <w:p w14:paraId="45AAED8C">
            <w:pPr>
              <w:pStyle w:val="6"/>
              <w:spacing w:before="103" w:line="210" w:lineRule="auto"/>
              <w:ind w:left="343"/>
            </w:pPr>
            <w:r>
              <w:rPr>
                <w:b/>
                <w:bCs/>
                <w:spacing w:val="-2"/>
              </w:rPr>
              <w:t>78</w:t>
            </w:r>
          </w:p>
        </w:tc>
        <w:tc>
          <w:tcPr>
            <w:tcW w:w="892" w:type="dxa"/>
            <w:vAlign w:val="top"/>
          </w:tcPr>
          <w:p w14:paraId="2C9012A8">
            <w:pPr>
              <w:pStyle w:val="6"/>
              <w:spacing w:before="99" w:line="214" w:lineRule="auto"/>
              <w:ind w:left="273"/>
            </w:pPr>
            <w:r>
              <w:rPr>
                <w:spacing w:val="-4"/>
              </w:rPr>
              <w:t>8.57</w:t>
            </w:r>
          </w:p>
        </w:tc>
        <w:tc>
          <w:tcPr>
            <w:tcW w:w="892" w:type="dxa"/>
            <w:vAlign w:val="top"/>
          </w:tcPr>
          <w:p w14:paraId="5287727D">
            <w:pPr>
              <w:pStyle w:val="6"/>
              <w:spacing w:before="99" w:line="214" w:lineRule="auto"/>
              <w:ind w:left="276"/>
            </w:pPr>
            <w:r>
              <w:rPr>
                <w:spacing w:val="-4"/>
              </w:rPr>
              <w:t>8.19</w:t>
            </w:r>
          </w:p>
        </w:tc>
        <w:tc>
          <w:tcPr>
            <w:tcW w:w="891" w:type="dxa"/>
            <w:vAlign w:val="top"/>
          </w:tcPr>
          <w:p w14:paraId="5A33A952">
            <w:pPr>
              <w:pStyle w:val="6"/>
              <w:spacing w:before="99" w:line="214" w:lineRule="auto"/>
              <w:ind w:left="274"/>
            </w:pPr>
            <w:r>
              <w:rPr>
                <w:spacing w:val="-2"/>
              </w:rPr>
              <w:t>0.06</w:t>
            </w:r>
          </w:p>
        </w:tc>
        <w:tc>
          <w:tcPr>
            <w:tcW w:w="906" w:type="dxa"/>
            <w:tcBorders>
              <w:right w:val="single" w:color="000000" w:sz="12" w:space="0"/>
            </w:tcBorders>
            <w:vAlign w:val="top"/>
          </w:tcPr>
          <w:p w14:paraId="326D5826">
            <w:pPr>
              <w:pStyle w:val="6"/>
              <w:spacing w:before="99" w:line="214" w:lineRule="auto"/>
              <w:ind w:left="214"/>
            </w:pPr>
            <w:r>
              <w:rPr>
                <w:spacing w:val="-2"/>
              </w:rPr>
              <w:t>0.06L</w:t>
            </w:r>
          </w:p>
        </w:tc>
      </w:tr>
      <w:tr w14:paraId="3317A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85D1581">
            <w:pPr>
              <w:rPr>
                <w:rFonts w:ascii="Arial"/>
                <w:sz w:val="21"/>
              </w:rPr>
            </w:pPr>
          </w:p>
        </w:tc>
        <w:tc>
          <w:tcPr>
            <w:tcW w:w="422" w:type="dxa"/>
            <w:vMerge w:val="continue"/>
            <w:tcBorders>
              <w:top w:val="nil"/>
            </w:tcBorders>
            <w:vAlign w:val="top"/>
          </w:tcPr>
          <w:p w14:paraId="55564E11">
            <w:pPr>
              <w:rPr>
                <w:rFonts w:ascii="Arial"/>
                <w:sz w:val="21"/>
              </w:rPr>
            </w:pPr>
          </w:p>
        </w:tc>
        <w:tc>
          <w:tcPr>
            <w:tcW w:w="1414" w:type="dxa"/>
            <w:vAlign w:val="top"/>
          </w:tcPr>
          <w:p w14:paraId="2622E0E5">
            <w:pPr>
              <w:pStyle w:val="6"/>
              <w:spacing w:before="101" w:line="212" w:lineRule="auto"/>
              <w:ind w:left="274"/>
            </w:pPr>
            <w:r>
              <w:rPr>
                <w:spacing w:val="-1"/>
              </w:rPr>
              <w:t>2020/8/22</w:t>
            </w:r>
          </w:p>
        </w:tc>
        <w:tc>
          <w:tcPr>
            <w:tcW w:w="892" w:type="dxa"/>
            <w:vAlign w:val="top"/>
          </w:tcPr>
          <w:p w14:paraId="568993AA">
            <w:pPr>
              <w:pStyle w:val="6"/>
              <w:spacing w:before="101" w:line="212" w:lineRule="auto"/>
              <w:ind w:left="252"/>
            </w:pPr>
            <w:r>
              <w:rPr>
                <w:spacing w:val="-6"/>
              </w:rPr>
              <w:t>1018</w:t>
            </w:r>
          </w:p>
        </w:tc>
        <w:tc>
          <w:tcPr>
            <w:tcW w:w="892" w:type="dxa"/>
            <w:vAlign w:val="top"/>
          </w:tcPr>
          <w:p w14:paraId="10460D23">
            <w:pPr>
              <w:pStyle w:val="6"/>
              <w:spacing w:before="105" w:line="208" w:lineRule="auto"/>
              <w:ind w:left="343"/>
            </w:pPr>
            <w:r>
              <w:rPr>
                <w:b/>
                <w:bCs/>
                <w:spacing w:val="-2"/>
              </w:rPr>
              <w:t>85</w:t>
            </w:r>
          </w:p>
        </w:tc>
        <w:tc>
          <w:tcPr>
            <w:tcW w:w="892" w:type="dxa"/>
            <w:vAlign w:val="top"/>
          </w:tcPr>
          <w:p w14:paraId="22A15EFF">
            <w:pPr>
              <w:pStyle w:val="6"/>
              <w:spacing w:before="101" w:line="212" w:lineRule="auto"/>
              <w:ind w:left="273"/>
            </w:pPr>
            <w:r>
              <w:rPr>
                <w:spacing w:val="-4"/>
              </w:rPr>
              <w:t>8.66</w:t>
            </w:r>
          </w:p>
        </w:tc>
        <w:tc>
          <w:tcPr>
            <w:tcW w:w="892" w:type="dxa"/>
            <w:vAlign w:val="top"/>
          </w:tcPr>
          <w:p w14:paraId="4E91BF66">
            <w:pPr>
              <w:pStyle w:val="6"/>
              <w:spacing w:before="101" w:line="212" w:lineRule="auto"/>
              <w:ind w:left="276"/>
            </w:pPr>
            <w:r>
              <w:rPr>
                <w:spacing w:val="-4"/>
              </w:rPr>
              <w:t>8.28</w:t>
            </w:r>
          </w:p>
        </w:tc>
        <w:tc>
          <w:tcPr>
            <w:tcW w:w="891" w:type="dxa"/>
            <w:vAlign w:val="top"/>
          </w:tcPr>
          <w:p w14:paraId="2EF83A09">
            <w:pPr>
              <w:pStyle w:val="6"/>
              <w:spacing w:before="101" w:line="212" w:lineRule="auto"/>
              <w:ind w:left="274"/>
            </w:pPr>
            <w:r>
              <w:rPr>
                <w:spacing w:val="-2"/>
              </w:rPr>
              <w:t>0.06</w:t>
            </w:r>
          </w:p>
        </w:tc>
        <w:tc>
          <w:tcPr>
            <w:tcW w:w="906" w:type="dxa"/>
            <w:tcBorders>
              <w:right w:val="single" w:color="000000" w:sz="12" w:space="0"/>
            </w:tcBorders>
            <w:vAlign w:val="top"/>
          </w:tcPr>
          <w:p w14:paraId="736842E3">
            <w:pPr>
              <w:pStyle w:val="6"/>
              <w:spacing w:before="101" w:line="212" w:lineRule="auto"/>
              <w:ind w:left="214"/>
            </w:pPr>
            <w:r>
              <w:rPr>
                <w:spacing w:val="-2"/>
              </w:rPr>
              <w:t>0.06L</w:t>
            </w:r>
          </w:p>
        </w:tc>
      </w:tr>
      <w:tr w14:paraId="5A17F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041E5254">
            <w:pPr>
              <w:rPr>
                <w:rFonts w:ascii="Arial"/>
                <w:sz w:val="21"/>
              </w:rPr>
            </w:pPr>
          </w:p>
        </w:tc>
        <w:tc>
          <w:tcPr>
            <w:tcW w:w="422" w:type="dxa"/>
            <w:vMerge w:val="restart"/>
            <w:tcBorders>
              <w:bottom w:val="nil"/>
            </w:tcBorders>
            <w:vAlign w:val="top"/>
          </w:tcPr>
          <w:p w14:paraId="2A654D7E">
            <w:pPr>
              <w:pStyle w:val="6"/>
              <w:spacing w:before="167" w:line="222" w:lineRule="auto"/>
              <w:ind w:left="146"/>
            </w:pPr>
            <w:r>
              <w:t>4</w:t>
            </w:r>
          </w:p>
          <w:p w14:paraId="3288A1DC">
            <w:pPr>
              <w:spacing w:line="219" w:lineRule="auto"/>
              <w:ind w:left="99"/>
              <w:rPr>
                <w:rFonts w:ascii="宋体" w:hAnsi="宋体" w:eastAsia="宋体" w:cs="宋体"/>
                <w:sz w:val="21"/>
                <w:szCs w:val="21"/>
              </w:rPr>
            </w:pPr>
            <w:r>
              <w:rPr>
                <w:rFonts w:ascii="宋体" w:hAnsi="宋体" w:eastAsia="宋体" w:cs="宋体"/>
                <w:sz w:val="21"/>
                <w:szCs w:val="21"/>
              </w:rPr>
              <w:t>季</w:t>
            </w:r>
          </w:p>
          <w:p w14:paraId="0D0CE0A2">
            <w:pPr>
              <w:spacing w:before="23"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63FB4B1">
            <w:pPr>
              <w:pStyle w:val="6"/>
              <w:spacing w:before="102" w:line="213" w:lineRule="auto"/>
              <w:ind w:left="221"/>
            </w:pPr>
            <w:r>
              <w:rPr>
                <w:spacing w:val="-1"/>
              </w:rPr>
              <w:t>2020/11/15</w:t>
            </w:r>
          </w:p>
        </w:tc>
        <w:tc>
          <w:tcPr>
            <w:tcW w:w="892" w:type="dxa"/>
            <w:vAlign w:val="top"/>
          </w:tcPr>
          <w:p w14:paraId="71508045">
            <w:pPr>
              <w:pStyle w:val="6"/>
              <w:spacing w:before="102" w:line="213" w:lineRule="auto"/>
              <w:ind w:left="357"/>
            </w:pPr>
            <w:r>
              <w:rPr>
                <w:spacing w:val="-6"/>
              </w:rPr>
              <w:t>16</w:t>
            </w:r>
          </w:p>
        </w:tc>
        <w:tc>
          <w:tcPr>
            <w:tcW w:w="892" w:type="dxa"/>
            <w:vAlign w:val="top"/>
          </w:tcPr>
          <w:p w14:paraId="63454BB5">
            <w:pPr>
              <w:pStyle w:val="6"/>
              <w:spacing w:before="102" w:line="213" w:lineRule="auto"/>
              <w:ind w:left="360"/>
            </w:pPr>
            <w:r>
              <w:rPr>
                <w:spacing w:val="-6"/>
              </w:rPr>
              <w:t>14</w:t>
            </w:r>
          </w:p>
        </w:tc>
        <w:tc>
          <w:tcPr>
            <w:tcW w:w="892" w:type="dxa"/>
            <w:vAlign w:val="top"/>
          </w:tcPr>
          <w:p w14:paraId="6BBA99C5">
            <w:pPr>
              <w:pStyle w:val="6"/>
              <w:spacing w:before="102" w:line="213" w:lineRule="auto"/>
              <w:ind w:left="273"/>
            </w:pPr>
            <w:r>
              <w:rPr>
                <w:spacing w:val="-4"/>
              </w:rPr>
              <w:t>8.69</w:t>
            </w:r>
          </w:p>
        </w:tc>
        <w:tc>
          <w:tcPr>
            <w:tcW w:w="892" w:type="dxa"/>
            <w:vAlign w:val="top"/>
          </w:tcPr>
          <w:p w14:paraId="44D82DEE">
            <w:pPr>
              <w:pStyle w:val="6"/>
              <w:spacing w:before="102" w:line="213" w:lineRule="auto"/>
              <w:ind w:left="276"/>
            </w:pPr>
            <w:r>
              <w:rPr>
                <w:spacing w:val="-4"/>
              </w:rPr>
              <w:t>8.19</w:t>
            </w:r>
          </w:p>
        </w:tc>
        <w:tc>
          <w:tcPr>
            <w:tcW w:w="891" w:type="dxa"/>
            <w:vAlign w:val="top"/>
          </w:tcPr>
          <w:p w14:paraId="19D4343C">
            <w:pPr>
              <w:pStyle w:val="6"/>
              <w:spacing w:before="102" w:line="213" w:lineRule="auto"/>
              <w:ind w:left="211"/>
            </w:pPr>
            <w:r>
              <w:rPr>
                <w:spacing w:val="-2"/>
              </w:rPr>
              <w:t>0.06L</w:t>
            </w:r>
          </w:p>
        </w:tc>
        <w:tc>
          <w:tcPr>
            <w:tcW w:w="906" w:type="dxa"/>
            <w:tcBorders>
              <w:right w:val="single" w:color="000000" w:sz="12" w:space="0"/>
            </w:tcBorders>
            <w:vAlign w:val="top"/>
          </w:tcPr>
          <w:p w14:paraId="1DAC8D57">
            <w:pPr>
              <w:pStyle w:val="6"/>
              <w:spacing w:before="102" w:line="213" w:lineRule="auto"/>
              <w:ind w:left="214"/>
            </w:pPr>
            <w:r>
              <w:rPr>
                <w:spacing w:val="-2"/>
              </w:rPr>
              <w:t>0.06L</w:t>
            </w:r>
          </w:p>
        </w:tc>
      </w:tr>
      <w:tr w14:paraId="2C14A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31D9EE16">
            <w:pPr>
              <w:rPr>
                <w:rFonts w:ascii="Arial"/>
                <w:sz w:val="21"/>
              </w:rPr>
            </w:pPr>
          </w:p>
        </w:tc>
        <w:tc>
          <w:tcPr>
            <w:tcW w:w="422" w:type="dxa"/>
            <w:vMerge w:val="continue"/>
            <w:tcBorders>
              <w:top w:val="nil"/>
              <w:bottom w:val="nil"/>
            </w:tcBorders>
            <w:vAlign w:val="top"/>
          </w:tcPr>
          <w:p w14:paraId="2ACDAC83">
            <w:pPr>
              <w:rPr>
                <w:rFonts w:ascii="Arial"/>
                <w:sz w:val="21"/>
              </w:rPr>
            </w:pPr>
          </w:p>
        </w:tc>
        <w:tc>
          <w:tcPr>
            <w:tcW w:w="1414" w:type="dxa"/>
            <w:vAlign w:val="top"/>
          </w:tcPr>
          <w:p w14:paraId="0333B35B">
            <w:pPr>
              <w:pStyle w:val="6"/>
              <w:spacing w:before="102" w:line="212" w:lineRule="auto"/>
              <w:ind w:left="221"/>
            </w:pPr>
            <w:r>
              <w:rPr>
                <w:spacing w:val="-1"/>
              </w:rPr>
              <w:t>2020/11/16</w:t>
            </w:r>
          </w:p>
        </w:tc>
        <w:tc>
          <w:tcPr>
            <w:tcW w:w="892" w:type="dxa"/>
            <w:vAlign w:val="top"/>
          </w:tcPr>
          <w:p w14:paraId="750FEA0E">
            <w:pPr>
              <w:pStyle w:val="6"/>
              <w:spacing w:before="102" w:line="212" w:lineRule="auto"/>
              <w:ind w:left="337"/>
            </w:pPr>
            <w:r>
              <w:rPr>
                <w:spacing w:val="-1"/>
              </w:rPr>
              <w:t>21</w:t>
            </w:r>
          </w:p>
        </w:tc>
        <w:tc>
          <w:tcPr>
            <w:tcW w:w="892" w:type="dxa"/>
            <w:vAlign w:val="top"/>
          </w:tcPr>
          <w:p w14:paraId="324BE34C">
            <w:pPr>
              <w:pStyle w:val="6"/>
              <w:spacing w:before="102" w:line="212" w:lineRule="auto"/>
              <w:ind w:left="360"/>
            </w:pPr>
            <w:r>
              <w:rPr>
                <w:spacing w:val="-6"/>
              </w:rPr>
              <w:t>11</w:t>
            </w:r>
          </w:p>
        </w:tc>
        <w:tc>
          <w:tcPr>
            <w:tcW w:w="892" w:type="dxa"/>
            <w:vAlign w:val="top"/>
          </w:tcPr>
          <w:p w14:paraId="4809FB89">
            <w:pPr>
              <w:pStyle w:val="6"/>
              <w:spacing w:before="102" w:line="212" w:lineRule="auto"/>
              <w:ind w:left="273"/>
            </w:pPr>
            <w:r>
              <w:rPr>
                <w:spacing w:val="-4"/>
              </w:rPr>
              <w:t>8.71</w:t>
            </w:r>
          </w:p>
        </w:tc>
        <w:tc>
          <w:tcPr>
            <w:tcW w:w="892" w:type="dxa"/>
            <w:vAlign w:val="top"/>
          </w:tcPr>
          <w:p w14:paraId="0447F009">
            <w:pPr>
              <w:pStyle w:val="6"/>
              <w:spacing w:before="102" w:line="212" w:lineRule="auto"/>
              <w:ind w:left="276"/>
            </w:pPr>
            <w:r>
              <w:rPr>
                <w:spacing w:val="-4"/>
              </w:rPr>
              <w:t>8.14</w:t>
            </w:r>
          </w:p>
        </w:tc>
        <w:tc>
          <w:tcPr>
            <w:tcW w:w="891" w:type="dxa"/>
            <w:vAlign w:val="top"/>
          </w:tcPr>
          <w:p w14:paraId="50AD242A">
            <w:pPr>
              <w:pStyle w:val="6"/>
              <w:spacing w:before="102" w:line="212" w:lineRule="auto"/>
              <w:ind w:left="211"/>
            </w:pPr>
            <w:r>
              <w:rPr>
                <w:spacing w:val="-2"/>
              </w:rPr>
              <w:t>0.06L</w:t>
            </w:r>
          </w:p>
        </w:tc>
        <w:tc>
          <w:tcPr>
            <w:tcW w:w="906" w:type="dxa"/>
            <w:tcBorders>
              <w:right w:val="single" w:color="000000" w:sz="12" w:space="0"/>
            </w:tcBorders>
            <w:vAlign w:val="top"/>
          </w:tcPr>
          <w:p w14:paraId="45BE127C">
            <w:pPr>
              <w:pStyle w:val="6"/>
              <w:spacing w:before="102" w:line="212" w:lineRule="auto"/>
              <w:ind w:left="214"/>
            </w:pPr>
            <w:r>
              <w:rPr>
                <w:spacing w:val="-2"/>
              </w:rPr>
              <w:t>0.06L</w:t>
            </w:r>
          </w:p>
        </w:tc>
      </w:tr>
      <w:tr w14:paraId="62E2D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tcBorders>
            <w:vAlign w:val="top"/>
          </w:tcPr>
          <w:p w14:paraId="54D1C353">
            <w:pPr>
              <w:rPr>
                <w:rFonts w:ascii="Arial"/>
                <w:sz w:val="21"/>
              </w:rPr>
            </w:pPr>
          </w:p>
        </w:tc>
        <w:tc>
          <w:tcPr>
            <w:tcW w:w="422" w:type="dxa"/>
            <w:vMerge w:val="continue"/>
            <w:tcBorders>
              <w:top w:val="nil"/>
            </w:tcBorders>
            <w:vAlign w:val="top"/>
          </w:tcPr>
          <w:p w14:paraId="736F51B7">
            <w:pPr>
              <w:rPr>
                <w:rFonts w:ascii="Arial"/>
                <w:sz w:val="21"/>
              </w:rPr>
            </w:pPr>
          </w:p>
        </w:tc>
        <w:tc>
          <w:tcPr>
            <w:tcW w:w="1414" w:type="dxa"/>
            <w:vAlign w:val="top"/>
          </w:tcPr>
          <w:p w14:paraId="286FF075">
            <w:pPr>
              <w:pStyle w:val="6"/>
              <w:spacing w:before="102" w:line="213" w:lineRule="auto"/>
              <w:ind w:left="221"/>
            </w:pPr>
            <w:r>
              <w:rPr>
                <w:spacing w:val="-1"/>
              </w:rPr>
              <w:t>2020/11/17</w:t>
            </w:r>
          </w:p>
        </w:tc>
        <w:tc>
          <w:tcPr>
            <w:tcW w:w="892" w:type="dxa"/>
            <w:vAlign w:val="top"/>
          </w:tcPr>
          <w:p w14:paraId="436CFC0D">
            <w:pPr>
              <w:pStyle w:val="6"/>
              <w:spacing w:before="102" w:line="213" w:lineRule="auto"/>
              <w:ind w:left="357"/>
            </w:pPr>
            <w:r>
              <w:rPr>
                <w:spacing w:val="-6"/>
              </w:rPr>
              <w:t>18</w:t>
            </w:r>
          </w:p>
        </w:tc>
        <w:tc>
          <w:tcPr>
            <w:tcW w:w="892" w:type="dxa"/>
            <w:vAlign w:val="top"/>
          </w:tcPr>
          <w:p w14:paraId="70C9DC9B">
            <w:pPr>
              <w:pStyle w:val="6"/>
              <w:spacing w:before="102" w:line="213" w:lineRule="auto"/>
              <w:ind w:left="360"/>
            </w:pPr>
            <w:r>
              <w:rPr>
                <w:spacing w:val="-6"/>
              </w:rPr>
              <w:t>12</w:t>
            </w:r>
          </w:p>
        </w:tc>
        <w:tc>
          <w:tcPr>
            <w:tcW w:w="892" w:type="dxa"/>
            <w:vAlign w:val="top"/>
          </w:tcPr>
          <w:p w14:paraId="2E052B73">
            <w:pPr>
              <w:pStyle w:val="6"/>
              <w:spacing w:before="102" w:line="213" w:lineRule="auto"/>
              <w:ind w:left="273"/>
            </w:pPr>
            <w:r>
              <w:rPr>
                <w:spacing w:val="-4"/>
              </w:rPr>
              <w:t>8.63</w:t>
            </w:r>
          </w:p>
        </w:tc>
        <w:tc>
          <w:tcPr>
            <w:tcW w:w="892" w:type="dxa"/>
            <w:vAlign w:val="top"/>
          </w:tcPr>
          <w:p w14:paraId="205FF5C5">
            <w:pPr>
              <w:pStyle w:val="6"/>
              <w:spacing w:before="102" w:line="213" w:lineRule="auto"/>
              <w:ind w:left="276"/>
            </w:pPr>
            <w:r>
              <w:rPr>
                <w:spacing w:val="-4"/>
              </w:rPr>
              <w:t>8.28</w:t>
            </w:r>
          </w:p>
        </w:tc>
        <w:tc>
          <w:tcPr>
            <w:tcW w:w="891" w:type="dxa"/>
            <w:vAlign w:val="top"/>
          </w:tcPr>
          <w:p w14:paraId="5F66B941">
            <w:pPr>
              <w:pStyle w:val="6"/>
              <w:spacing w:before="102" w:line="213" w:lineRule="auto"/>
              <w:ind w:left="211"/>
            </w:pPr>
            <w:r>
              <w:rPr>
                <w:spacing w:val="-2"/>
              </w:rPr>
              <w:t>0.06L</w:t>
            </w:r>
          </w:p>
        </w:tc>
        <w:tc>
          <w:tcPr>
            <w:tcW w:w="906" w:type="dxa"/>
            <w:tcBorders>
              <w:right w:val="single" w:color="000000" w:sz="12" w:space="0"/>
            </w:tcBorders>
            <w:vAlign w:val="top"/>
          </w:tcPr>
          <w:p w14:paraId="236970D8">
            <w:pPr>
              <w:pStyle w:val="6"/>
              <w:spacing w:before="102" w:line="213" w:lineRule="auto"/>
              <w:ind w:left="214"/>
            </w:pPr>
            <w:r>
              <w:rPr>
                <w:spacing w:val="-2"/>
              </w:rPr>
              <w:t>0.06L</w:t>
            </w:r>
          </w:p>
        </w:tc>
      </w:tr>
      <w:tr w14:paraId="478E2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315A4E9B">
            <w:pPr>
              <w:spacing w:line="243" w:lineRule="auto"/>
              <w:rPr>
                <w:rFonts w:ascii="Arial"/>
                <w:sz w:val="21"/>
              </w:rPr>
            </w:pPr>
          </w:p>
          <w:p w14:paraId="5AAD725A">
            <w:pPr>
              <w:spacing w:line="243" w:lineRule="auto"/>
              <w:rPr>
                <w:rFonts w:ascii="Arial"/>
                <w:sz w:val="21"/>
              </w:rPr>
            </w:pPr>
          </w:p>
          <w:p w14:paraId="0C5EBA3B">
            <w:pPr>
              <w:spacing w:line="243" w:lineRule="auto"/>
              <w:rPr>
                <w:rFonts w:ascii="Arial"/>
                <w:sz w:val="21"/>
              </w:rPr>
            </w:pPr>
          </w:p>
          <w:p w14:paraId="76A9DA19">
            <w:pPr>
              <w:spacing w:line="243" w:lineRule="auto"/>
              <w:rPr>
                <w:rFonts w:ascii="Arial"/>
                <w:sz w:val="21"/>
              </w:rPr>
            </w:pPr>
          </w:p>
          <w:p w14:paraId="0434AABF">
            <w:pPr>
              <w:spacing w:line="244" w:lineRule="auto"/>
              <w:rPr>
                <w:rFonts w:ascii="Arial"/>
                <w:sz w:val="21"/>
              </w:rPr>
            </w:pPr>
          </w:p>
          <w:p w14:paraId="0504F759">
            <w:pPr>
              <w:spacing w:line="244" w:lineRule="auto"/>
              <w:rPr>
                <w:rFonts w:ascii="Arial"/>
                <w:sz w:val="21"/>
              </w:rPr>
            </w:pPr>
          </w:p>
          <w:p w14:paraId="634DECD6">
            <w:pPr>
              <w:spacing w:line="244" w:lineRule="auto"/>
              <w:rPr>
                <w:rFonts w:ascii="Arial"/>
                <w:sz w:val="21"/>
              </w:rPr>
            </w:pPr>
          </w:p>
          <w:p w14:paraId="74BF7EFF">
            <w:pPr>
              <w:pStyle w:val="6"/>
              <w:spacing w:before="69" w:line="236" w:lineRule="auto"/>
              <w:ind w:left="207" w:right="109" w:hanging="106"/>
              <w:rPr>
                <w:rFonts w:ascii="宋体" w:hAnsi="宋体" w:eastAsia="宋体" w:cs="宋体"/>
              </w:rPr>
            </w:pPr>
            <w:r>
              <w:rPr>
                <w:spacing w:val="-2"/>
              </w:rPr>
              <w:t>5#</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03773E96">
            <w:pPr>
              <w:pStyle w:val="6"/>
              <w:spacing w:before="166" w:line="222" w:lineRule="auto"/>
              <w:ind w:left="167"/>
            </w:pPr>
            <w:r>
              <w:t>1</w:t>
            </w:r>
          </w:p>
          <w:p w14:paraId="1BBDC783">
            <w:pPr>
              <w:spacing w:line="219" w:lineRule="auto"/>
              <w:ind w:left="99"/>
              <w:rPr>
                <w:rFonts w:ascii="宋体" w:hAnsi="宋体" w:eastAsia="宋体" w:cs="宋体"/>
                <w:sz w:val="21"/>
                <w:szCs w:val="21"/>
              </w:rPr>
            </w:pPr>
            <w:r>
              <w:rPr>
                <w:rFonts w:ascii="宋体" w:hAnsi="宋体" w:eastAsia="宋体" w:cs="宋体"/>
                <w:sz w:val="21"/>
                <w:szCs w:val="21"/>
              </w:rPr>
              <w:t>季</w:t>
            </w:r>
          </w:p>
          <w:p w14:paraId="6D38106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5E2B255">
            <w:pPr>
              <w:pStyle w:val="6"/>
              <w:spacing w:before="101" w:line="212" w:lineRule="auto"/>
              <w:ind w:left="274"/>
            </w:pPr>
            <w:r>
              <w:rPr>
                <w:spacing w:val="-1"/>
              </w:rPr>
              <w:t>2020/3/10</w:t>
            </w:r>
          </w:p>
        </w:tc>
        <w:tc>
          <w:tcPr>
            <w:tcW w:w="892" w:type="dxa"/>
            <w:vAlign w:val="top"/>
          </w:tcPr>
          <w:p w14:paraId="639394B6">
            <w:pPr>
              <w:pStyle w:val="6"/>
              <w:spacing w:before="101" w:line="212" w:lineRule="auto"/>
              <w:ind w:left="290"/>
            </w:pPr>
            <w:r>
              <w:rPr>
                <w:spacing w:val="-3"/>
              </w:rPr>
              <w:t>554</w:t>
            </w:r>
          </w:p>
        </w:tc>
        <w:tc>
          <w:tcPr>
            <w:tcW w:w="892" w:type="dxa"/>
            <w:vAlign w:val="top"/>
          </w:tcPr>
          <w:p w14:paraId="23E6BE4D">
            <w:pPr>
              <w:pStyle w:val="6"/>
              <w:spacing w:before="101" w:line="212" w:lineRule="auto"/>
              <w:ind w:left="392"/>
            </w:pPr>
            <w:r>
              <w:t>4</w:t>
            </w:r>
          </w:p>
        </w:tc>
        <w:tc>
          <w:tcPr>
            <w:tcW w:w="892" w:type="dxa"/>
            <w:vAlign w:val="top"/>
          </w:tcPr>
          <w:p w14:paraId="6FF0217C">
            <w:pPr>
              <w:pStyle w:val="6"/>
              <w:spacing w:before="101" w:line="212" w:lineRule="auto"/>
              <w:ind w:left="269"/>
            </w:pPr>
            <w:r>
              <w:rPr>
                <w:spacing w:val="-3"/>
              </w:rPr>
              <w:t>6.91</w:t>
            </w:r>
          </w:p>
        </w:tc>
        <w:tc>
          <w:tcPr>
            <w:tcW w:w="892" w:type="dxa"/>
            <w:vAlign w:val="top"/>
          </w:tcPr>
          <w:p w14:paraId="7F9D63EB">
            <w:pPr>
              <w:pStyle w:val="6"/>
              <w:spacing w:before="101" w:line="212" w:lineRule="auto"/>
              <w:ind w:left="271"/>
            </w:pPr>
            <w:r>
              <w:rPr>
                <w:spacing w:val="-2"/>
              </w:rPr>
              <w:t>7.21</w:t>
            </w:r>
          </w:p>
        </w:tc>
        <w:tc>
          <w:tcPr>
            <w:tcW w:w="891" w:type="dxa"/>
            <w:vAlign w:val="top"/>
          </w:tcPr>
          <w:p w14:paraId="47FED52C">
            <w:pPr>
              <w:pStyle w:val="6"/>
              <w:spacing w:before="101" w:line="212" w:lineRule="auto"/>
              <w:ind w:left="274"/>
            </w:pPr>
            <w:r>
              <w:rPr>
                <w:spacing w:val="-2"/>
              </w:rPr>
              <w:t>0.76</w:t>
            </w:r>
          </w:p>
        </w:tc>
        <w:tc>
          <w:tcPr>
            <w:tcW w:w="906" w:type="dxa"/>
            <w:tcBorders>
              <w:right w:val="single" w:color="000000" w:sz="12" w:space="0"/>
            </w:tcBorders>
            <w:vAlign w:val="top"/>
          </w:tcPr>
          <w:p w14:paraId="5A2EF517">
            <w:pPr>
              <w:pStyle w:val="6"/>
              <w:spacing w:before="101" w:line="212" w:lineRule="auto"/>
              <w:ind w:left="277"/>
            </w:pPr>
            <w:r>
              <w:rPr>
                <w:spacing w:val="-2"/>
              </w:rPr>
              <w:t>0.13</w:t>
            </w:r>
          </w:p>
        </w:tc>
      </w:tr>
      <w:tr w14:paraId="7FF6C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869370B">
            <w:pPr>
              <w:rPr>
                <w:rFonts w:ascii="Arial"/>
                <w:sz w:val="21"/>
              </w:rPr>
            </w:pPr>
          </w:p>
        </w:tc>
        <w:tc>
          <w:tcPr>
            <w:tcW w:w="422" w:type="dxa"/>
            <w:vMerge w:val="continue"/>
            <w:tcBorders>
              <w:top w:val="nil"/>
              <w:bottom w:val="nil"/>
            </w:tcBorders>
            <w:vAlign w:val="top"/>
          </w:tcPr>
          <w:p w14:paraId="0AE27238">
            <w:pPr>
              <w:rPr>
                <w:rFonts w:ascii="Arial"/>
                <w:sz w:val="21"/>
              </w:rPr>
            </w:pPr>
          </w:p>
        </w:tc>
        <w:tc>
          <w:tcPr>
            <w:tcW w:w="1414" w:type="dxa"/>
            <w:vAlign w:val="top"/>
          </w:tcPr>
          <w:p w14:paraId="7C74EEC6">
            <w:pPr>
              <w:pStyle w:val="6"/>
              <w:spacing w:before="104" w:line="209" w:lineRule="auto"/>
              <w:ind w:left="274"/>
            </w:pPr>
            <w:r>
              <w:rPr>
                <w:spacing w:val="-1"/>
              </w:rPr>
              <w:t>2020/3/11</w:t>
            </w:r>
          </w:p>
        </w:tc>
        <w:tc>
          <w:tcPr>
            <w:tcW w:w="892" w:type="dxa"/>
            <w:vAlign w:val="top"/>
          </w:tcPr>
          <w:p w14:paraId="29219BAE">
            <w:pPr>
              <w:pStyle w:val="6"/>
              <w:spacing w:before="104" w:line="209" w:lineRule="auto"/>
              <w:ind w:left="290"/>
            </w:pPr>
            <w:r>
              <w:rPr>
                <w:spacing w:val="-3"/>
              </w:rPr>
              <w:t>538</w:t>
            </w:r>
          </w:p>
        </w:tc>
        <w:tc>
          <w:tcPr>
            <w:tcW w:w="892" w:type="dxa"/>
            <w:vAlign w:val="top"/>
          </w:tcPr>
          <w:p w14:paraId="4B390A27">
            <w:pPr>
              <w:pStyle w:val="6"/>
              <w:spacing w:before="104" w:line="209" w:lineRule="auto"/>
              <w:ind w:left="399"/>
            </w:pPr>
            <w:r>
              <w:t>5</w:t>
            </w:r>
          </w:p>
        </w:tc>
        <w:tc>
          <w:tcPr>
            <w:tcW w:w="892" w:type="dxa"/>
            <w:vAlign w:val="top"/>
          </w:tcPr>
          <w:p w14:paraId="73625766">
            <w:pPr>
              <w:pStyle w:val="6"/>
              <w:spacing w:before="104" w:line="209" w:lineRule="auto"/>
              <w:ind w:left="269"/>
            </w:pPr>
            <w:r>
              <w:rPr>
                <w:spacing w:val="-3"/>
              </w:rPr>
              <w:t>6.85</w:t>
            </w:r>
          </w:p>
        </w:tc>
        <w:tc>
          <w:tcPr>
            <w:tcW w:w="892" w:type="dxa"/>
            <w:vAlign w:val="top"/>
          </w:tcPr>
          <w:p w14:paraId="594FEE3B">
            <w:pPr>
              <w:pStyle w:val="6"/>
              <w:spacing w:before="104" w:line="209" w:lineRule="auto"/>
              <w:ind w:left="271"/>
            </w:pPr>
            <w:r>
              <w:rPr>
                <w:spacing w:val="-2"/>
              </w:rPr>
              <w:t>7.15</w:t>
            </w:r>
          </w:p>
        </w:tc>
        <w:tc>
          <w:tcPr>
            <w:tcW w:w="891" w:type="dxa"/>
            <w:vAlign w:val="top"/>
          </w:tcPr>
          <w:p w14:paraId="6F207042">
            <w:pPr>
              <w:pStyle w:val="6"/>
              <w:spacing w:before="104" w:line="209" w:lineRule="auto"/>
              <w:ind w:left="274"/>
            </w:pPr>
            <w:r>
              <w:rPr>
                <w:spacing w:val="-2"/>
              </w:rPr>
              <w:t>0.75</w:t>
            </w:r>
          </w:p>
        </w:tc>
        <w:tc>
          <w:tcPr>
            <w:tcW w:w="906" w:type="dxa"/>
            <w:tcBorders>
              <w:right w:val="single" w:color="000000" w:sz="12" w:space="0"/>
            </w:tcBorders>
            <w:vAlign w:val="top"/>
          </w:tcPr>
          <w:p w14:paraId="64A122FB">
            <w:pPr>
              <w:pStyle w:val="6"/>
              <w:spacing w:before="104" w:line="209" w:lineRule="auto"/>
              <w:ind w:left="277"/>
            </w:pPr>
            <w:r>
              <w:rPr>
                <w:spacing w:val="-2"/>
              </w:rPr>
              <w:t>0.14</w:t>
            </w:r>
          </w:p>
        </w:tc>
      </w:tr>
      <w:tr w14:paraId="4C4D5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62D5E59F">
            <w:pPr>
              <w:rPr>
                <w:rFonts w:ascii="Arial"/>
                <w:sz w:val="21"/>
              </w:rPr>
            </w:pPr>
          </w:p>
        </w:tc>
        <w:tc>
          <w:tcPr>
            <w:tcW w:w="422" w:type="dxa"/>
            <w:vMerge w:val="continue"/>
            <w:tcBorders>
              <w:top w:val="nil"/>
            </w:tcBorders>
            <w:vAlign w:val="top"/>
          </w:tcPr>
          <w:p w14:paraId="45CC5125">
            <w:pPr>
              <w:rPr>
                <w:rFonts w:ascii="Arial"/>
                <w:sz w:val="21"/>
              </w:rPr>
            </w:pPr>
          </w:p>
        </w:tc>
        <w:tc>
          <w:tcPr>
            <w:tcW w:w="1414" w:type="dxa"/>
            <w:vAlign w:val="top"/>
          </w:tcPr>
          <w:p w14:paraId="1A7E378E">
            <w:pPr>
              <w:pStyle w:val="6"/>
              <w:spacing w:before="105" w:line="210" w:lineRule="auto"/>
              <w:ind w:left="274"/>
            </w:pPr>
            <w:r>
              <w:rPr>
                <w:spacing w:val="-1"/>
              </w:rPr>
              <w:t>2020/3/12</w:t>
            </w:r>
          </w:p>
        </w:tc>
        <w:tc>
          <w:tcPr>
            <w:tcW w:w="892" w:type="dxa"/>
            <w:vAlign w:val="top"/>
          </w:tcPr>
          <w:p w14:paraId="33506A11">
            <w:pPr>
              <w:pStyle w:val="6"/>
              <w:spacing w:before="105" w:line="210" w:lineRule="auto"/>
              <w:ind w:left="290"/>
            </w:pPr>
            <w:r>
              <w:rPr>
                <w:spacing w:val="-3"/>
              </w:rPr>
              <w:t>562</w:t>
            </w:r>
          </w:p>
        </w:tc>
        <w:tc>
          <w:tcPr>
            <w:tcW w:w="892" w:type="dxa"/>
            <w:vAlign w:val="top"/>
          </w:tcPr>
          <w:p w14:paraId="27A6545E">
            <w:pPr>
              <w:pStyle w:val="6"/>
              <w:spacing w:before="105" w:line="210" w:lineRule="auto"/>
              <w:ind w:left="392"/>
            </w:pPr>
            <w:r>
              <w:t>4</w:t>
            </w:r>
          </w:p>
        </w:tc>
        <w:tc>
          <w:tcPr>
            <w:tcW w:w="892" w:type="dxa"/>
            <w:vAlign w:val="top"/>
          </w:tcPr>
          <w:p w14:paraId="3359700E">
            <w:pPr>
              <w:pStyle w:val="6"/>
              <w:spacing w:before="105" w:line="210" w:lineRule="auto"/>
              <w:ind w:left="269"/>
            </w:pPr>
            <w:r>
              <w:rPr>
                <w:spacing w:val="-3"/>
              </w:rPr>
              <w:t>6.93</w:t>
            </w:r>
          </w:p>
        </w:tc>
        <w:tc>
          <w:tcPr>
            <w:tcW w:w="892" w:type="dxa"/>
            <w:vAlign w:val="top"/>
          </w:tcPr>
          <w:p w14:paraId="0D9A2629">
            <w:pPr>
              <w:pStyle w:val="6"/>
              <w:spacing w:before="105" w:line="210" w:lineRule="auto"/>
              <w:ind w:left="271"/>
            </w:pPr>
            <w:r>
              <w:rPr>
                <w:spacing w:val="-2"/>
              </w:rPr>
              <w:t>7.20</w:t>
            </w:r>
          </w:p>
        </w:tc>
        <w:tc>
          <w:tcPr>
            <w:tcW w:w="891" w:type="dxa"/>
            <w:vAlign w:val="top"/>
          </w:tcPr>
          <w:p w14:paraId="0935110E">
            <w:pPr>
              <w:pStyle w:val="6"/>
              <w:spacing w:before="105" w:line="210" w:lineRule="auto"/>
              <w:ind w:left="274"/>
            </w:pPr>
            <w:r>
              <w:rPr>
                <w:spacing w:val="-2"/>
              </w:rPr>
              <w:t>0.76</w:t>
            </w:r>
          </w:p>
        </w:tc>
        <w:tc>
          <w:tcPr>
            <w:tcW w:w="906" w:type="dxa"/>
            <w:tcBorders>
              <w:right w:val="single" w:color="000000" w:sz="12" w:space="0"/>
            </w:tcBorders>
            <w:vAlign w:val="top"/>
          </w:tcPr>
          <w:p w14:paraId="1C042E78">
            <w:pPr>
              <w:pStyle w:val="6"/>
              <w:spacing w:before="105" w:line="210" w:lineRule="auto"/>
              <w:ind w:left="277"/>
            </w:pPr>
            <w:r>
              <w:rPr>
                <w:spacing w:val="-2"/>
              </w:rPr>
              <w:t>0.15</w:t>
            </w:r>
          </w:p>
        </w:tc>
      </w:tr>
      <w:tr w14:paraId="6069E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3EF2A39">
            <w:pPr>
              <w:rPr>
                <w:rFonts w:ascii="Arial"/>
                <w:sz w:val="21"/>
              </w:rPr>
            </w:pPr>
          </w:p>
        </w:tc>
        <w:tc>
          <w:tcPr>
            <w:tcW w:w="422" w:type="dxa"/>
            <w:vMerge w:val="restart"/>
            <w:tcBorders>
              <w:bottom w:val="nil"/>
            </w:tcBorders>
            <w:vAlign w:val="top"/>
          </w:tcPr>
          <w:p w14:paraId="34DFFA74">
            <w:pPr>
              <w:pStyle w:val="6"/>
              <w:spacing w:before="168" w:line="222" w:lineRule="auto"/>
              <w:ind w:left="147"/>
            </w:pPr>
            <w:r>
              <w:t>2</w:t>
            </w:r>
          </w:p>
          <w:p w14:paraId="2AB3978E">
            <w:pPr>
              <w:spacing w:line="219" w:lineRule="auto"/>
              <w:ind w:left="99"/>
              <w:rPr>
                <w:rFonts w:ascii="宋体" w:hAnsi="宋体" w:eastAsia="宋体" w:cs="宋体"/>
                <w:sz w:val="21"/>
                <w:szCs w:val="21"/>
              </w:rPr>
            </w:pPr>
            <w:r>
              <w:rPr>
                <w:rFonts w:ascii="宋体" w:hAnsi="宋体" w:eastAsia="宋体" w:cs="宋体"/>
                <w:sz w:val="21"/>
                <w:szCs w:val="21"/>
              </w:rPr>
              <w:t>季</w:t>
            </w:r>
          </w:p>
          <w:p w14:paraId="67588FB9">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99A8F70">
            <w:pPr>
              <w:pStyle w:val="6"/>
              <w:spacing w:before="105" w:line="208" w:lineRule="auto"/>
              <w:ind w:left="274"/>
            </w:pPr>
            <w:r>
              <w:rPr>
                <w:spacing w:val="-1"/>
              </w:rPr>
              <w:t>2020/5/20</w:t>
            </w:r>
          </w:p>
        </w:tc>
        <w:tc>
          <w:tcPr>
            <w:tcW w:w="892" w:type="dxa"/>
            <w:vAlign w:val="top"/>
          </w:tcPr>
          <w:p w14:paraId="60FA90B8">
            <w:pPr>
              <w:pStyle w:val="6"/>
              <w:spacing w:before="105" w:line="208" w:lineRule="auto"/>
              <w:ind w:left="340"/>
            </w:pPr>
            <w:r>
              <w:rPr>
                <w:spacing w:val="-2"/>
              </w:rPr>
              <w:t>71</w:t>
            </w:r>
          </w:p>
        </w:tc>
        <w:tc>
          <w:tcPr>
            <w:tcW w:w="892" w:type="dxa"/>
            <w:vAlign w:val="top"/>
          </w:tcPr>
          <w:p w14:paraId="19210632">
            <w:pPr>
              <w:pStyle w:val="6"/>
              <w:spacing w:before="105" w:line="208" w:lineRule="auto"/>
              <w:ind w:left="339"/>
            </w:pPr>
            <w:r>
              <w:rPr>
                <w:spacing w:val="-1"/>
              </w:rPr>
              <w:t>41</w:t>
            </w:r>
          </w:p>
        </w:tc>
        <w:tc>
          <w:tcPr>
            <w:tcW w:w="892" w:type="dxa"/>
            <w:vAlign w:val="top"/>
          </w:tcPr>
          <w:p w14:paraId="3926E3F9">
            <w:pPr>
              <w:pStyle w:val="6"/>
              <w:spacing w:before="105" w:line="208" w:lineRule="auto"/>
              <w:ind w:left="268"/>
            </w:pPr>
            <w:r>
              <w:rPr>
                <w:spacing w:val="-2"/>
              </w:rPr>
              <w:t>7.26</w:t>
            </w:r>
          </w:p>
        </w:tc>
        <w:tc>
          <w:tcPr>
            <w:tcW w:w="892" w:type="dxa"/>
            <w:vAlign w:val="top"/>
          </w:tcPr>
          <w:p w14:paraId="4EF999D8">
            <w:pPr>
              <w:pStyle w:val="6"/>
              <w:spacing w:before="105" w:line="208" w:lineRule="auto"/>
              <w:ind w:left="271"/>
            </w:pPr>
            <w:r>
              <w:rPr>
                <w:spacing w:val="-2"/>
              </w:rPr>
              <w:t>7.36</w:t>
            </w:r>
          </w:p>
        </w:tc>
        <w:tc>
          <w:tcPr>
            <w:tcW w:w="891" w:type="dxa"/>
            <w:vAlign w:val="top"/>
          </w:tcPr>
          <w:p w14:paraId="17E4E75D">
            <w:pPr>
              <w:pStyle w:val="6"/>
              <w:spacing w:before="105" w:line="208" w:lineRule="auto"/>
              <w:ind w:left="274"/>
            </w:pPr>
            <w:r>
              <w:rPr>
                <w:spacing w:val="-2"/>
              </w:rPr>
              <w:t>0.11</w:t>
            </w:r>
          </w:p>
        </w:tc>
        <w:tc>
          <w:tcPr>
            <w:tcW w:w="906" w:type="dxa"/>
            <w:tcBorders>
              <w:right w:val="single" w:color="000000" w:sz="12" w:space="0"/>
            </w:tcBorders>
            <w:vAlign w:val="top"/>
          </w:tcPr>
          <w:p w14:paraId="2E9EAFCC">
            <w:pPr>
              <w:pStyle w:val="6"/>
              <w:spacing w:before="105" w:line="208" w:lineRule="auto"/>
              <w:ind w:left="277"/>
            </w:pPr>
            <w:r>
              <w:rPr>
                <w:spacing w:val="-2"/>
              </w:rPr>
              <w:t>0.09</w:t>
            </w:r>
          </w:p>
        </w:tc>
      </w:tr>
      <w:tr w14:paraId="42B0B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012AD32F">
            <w:pPr>
              <w:rPr>
                <w:rFonts w:ascii="Arial"/>
                <w:sz w:val="21"/>
              </w:rPr>
            </w:pPr>
          </w:p>
        </w:tc>
        <w:tc>
          <w:tcPr>
            <w:tcW w:w="422" w:type="dxa"/>
            <w:vMerge w:val="continue"/>
            <w:tcBorders>
              <w:top w:val="nil"/>
              <w:bottom w:val="nil"/>
            </w:tcBorders>
            <w:vAlign w:val="top"/>
          </w:tcPr>
          <w:p w14:paraId="592C9E1F">
            <w:pPr>
              <w:rPr>
                <w:rFonts w:ascii="Arial"/>
                <w:sz w:val="21"/>
              </w:rPr>
            </w:pPr>
          </w:p>
        </w:tc>
        <w:tc>
          <w:tcPr>
            <w:tcW w:w="1414" w:type="dxa"/>
            <w:vAlign w:val="top"/>
          </w:tcPr>
          <w:p w14:paraId="6A00DE05">
            <w:pPr>
              <w:pStyle w:val="6"/>
              <w:spacing w:before="106" w:line="209" w:lineRule="auto"/>
              <w:ind w:left="274"/>
            </w:pPr>
            <w:r>
              <w:rPr>
                <w:spacing w:val="-1"/>
              </w:rPr>
              <w:t>2020/5/21</w:t>
            </w:r>
          </w:p>
        </w:tc>
        <w:tc>
          <w:tcPr>
            <w:tcW w:w="892" w:type="dxa"/>
            <w:vAlign w:val="top"/>
          </w:tcPr>
          <w:p w14:paraId="4C07274D">
            <w:pPr>
              <w:pStyle w:val="6"/>
              <w:spacing w:before="106" w:line="209" w:lineRule="auto"/>
              <w:ind w:left="340"/>
            </w:pPr>
            <w:r>
              <w:rPr>
                <w:spacing w:val="-2"/>
              </w:rPr>
              <w:t>75</w:t>
            </w:r>
          </w:p>
        </w:tc>
        <w:tc>
          <w:tcPr>
            <w:tcW w:w="892" w:type="dxa"/>
            <w:vAlign w:val="top"/>
          </w:tcPr>
          <w:p w14:paraId="7EA970D3">
            <w:pPr>
              <w:pStyle w:val="6"/>
              <w:spacing w:before="106" w:line="209" w:lineRule="auto"/>
              <w:ind w:left="345"/>
            </w:pPr>
            <w:r>
              <w:rPr>
                <w:spacing w:val="-3"/>
              </w:rPr>
              <w:t>37</w:t>
            </w:r>
          </w:p>
        </w:tc>
        <w:tc>
          <w:tcPr>
            <w:tcW w:w="892" w:type="dxa"/>
            <w:vAlign w:val="top"/>
          </w:tcPr>
          <w:p w14:paraId="359B8D80">
            <w:pPr>
              <w:pStyle w:val="6"/>
              <w:spacing w:before="106" w:line="209" w:lineRule="auto"/>
              <w:ind w:left="268"/>
            </w:pPr>
            <w:r>
              <w:rPr>
                <w:spacing w:val="-2"/>
              </w:rPr>
              <w:t>7.29</w:t>
            </w:r>
          </w:p>
        </w:tc>
        <w:tc>
          <w:tcPr>
            <w:tcW w:w="892" w:type="dxa"/>
            <w:vAlign w:val="top"/>
          </w:tcPr>
          <w:p w14:paraId="7D8964ED">
            <w:pPr>
              <w:pStyle w:val="6"/>
              <w:spacing w:before="106" w:line="209" w:lineRule="auto"/>
              <w:ind w:left="271"/>
            </w:pPr>
            <w:r>
              <w:rPr>
                <w:spacing w:val="-2"/>
              </w:rPr>
              <w:t>7.31</w:t>
            </w:r>
          </w:p>
        </w:tc>
        <w:tc>
          <w:tcPr>
            <w:tcW w:w="891" w:type="dxa"/>
            <w:vAlign w:val="top"/>
          </w:tcPr>
          <w:p w14:paraId="5319406F">
            <w:pPr>
              <w:pStyle w:val="6"/>
              <w:spacing w:before="106" w:line="209" w:lineRule="auto"/>
              <w:ind w:left="274"/>
            </w:pPr>
            <w:r>
              <w:rPr>
                <w:spacing w:val="-2"/>
              </w:rPr>
              <w:t>0.11</w:t>
            </w:r>
          </w:p>
        </w:tc>
        <w:tc>
          <w:tcPr>
            <w:tcW w:w="906" w:type="dxa"/>
            <w:tcBorders>
              <w:right w:val="single" w:color="000000" w:sz="12" w:space="0"/>
            </w:tcBorders>
            <w:vAlign w:val="top"/>
          </w:tcPr>
          <w:p w14:paraId="0012CBCB">
            <w:pPr>
              <w:pStyle w:val="6"/>
              <w:spacing w:before="106" w:line="209" w:lineRule="auto"/>
              <w:ind w:left="277"/>
            </w:pPr>
            <w:r>
              <w:rPr>
                <w:spacing w:val="-2"/>
              </w:rPr>
              <w:t>0.07</w:t>
            </w:r>
          </w:p>
        </w:tc>
      </w:tr>
      <w:tr w14:paraId="05673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5C00187">
            <w:pPr>
              <w:rPr>
                <w:rFonts w:ascii="Arial"/>
                <w:sz w:val="21"/>
              </w:rPr>
            </w:pPr>
          </w:p>
        </w:tc>
        <w:tc>
          <w:tcPr>
            <w:tcW w:w="422" w:type="dxa"/>
            <w:vMerge w:val="continue"/>
            <w:tcBorders>
              <w:top w:val="nil"/>
            </w:tcBorders>
            <w:vAlign w:val="top"/>
          </w:tcPr>
          <w:p w14:paraId="390A1E5A">
            <w:pPr>
              <w:rPr>
                <w:rFonts w:ascii="Arial"/>
                <w:sz w:val="21"/>
              </w:rPr>
            </w:pPr>
          </w:p>
        </w:tc>
        <w:tc>
          <w:tcPr>
            <w:tcW w:w="1414" w:type="dxa"/>
            <w:vAlign w:val="top"/>
          </w:tcPr>
          <w:p w14:paraId="7AC41E8A">
            <w:pPr>
              <w:pStyle w:val="6"/>
              <w:spacing w:before="105" w:line="208" w:lineRule="auto"/>
              <w:ind w:left="274"/>
            </w:pPr>
            <w:r>
              <w:rPr>
                <w:spacing w:val="-1"/>
              </w:rPr>
              <w:t>2020/5/22</w:t>
            </w:r>
          </w:p>
        </w:tc>
        <w:tc>
          <w:tcPr>
            <w:tcW w:w="892" w:type="dxa"/>
            <w:vAlign w:val="top"/>
          </w:tcPr>
          <w:p w14:paraId="01688C92">
            <w:pPr>
              <w:pStyle w:val="6"/>
              <w:spacing w:before="105" w:line="208" w:lineRule="auto"/>
              <w:ind w:left="342"/>
            </w:pPr>
            <w:r>
              <w:rPr>
                <w:spacing w:val="-3"/>
              </w:rPr>
              <w:t>69</w:t>
            </w:r>
          </w:p>
        </w:tc>
        <w:tc>
          <w:tcPr>
            <w:tcW w:w="892" w:type="dxa"/>
            <w:vAlign w:val="top"/>
          </w:tcPr>
          <w:p w14:paraId="17BFED4C">
            <w:pPr>
              <w:pStyle w:val="6"/>
              <w:spacing w:before="105" w:line="208" w:lineRule="auto"/>
              <w:ind w:left="339"/>
            </w:pPr>
            <w:r>
              <w:rPr>
                <w:spacing w:val="-1"/>
              </w:rPr>
              <w:t>43</w:t>
            </w:r>
          </w:p>
        </w:tc>
        <w:tc>
          <w:tcPr>
            <w:tcW w:w="892" w:type="dxa"/>
            <w:vAlign w:val="top"/>
          </w:tcPr>
          <w:p w14:paraId="69891E22">
            <w:pPr>
              <w:pStyle w:val="6"/>
              <w:spacing w:before="105" w:line="208" w:lineRule="auto"/>
              <w:ind w:left="268"/>
            </w:pPr>
            <w:r>
              <w:rPr>
                <w:spacing w:val="-2"/>
              </w:rPr>
              <w:t>7.23</w:t>
            </w:r>
          </w:p>
        </w:tc>
        <w:tc>
          <w:tcPr>
            <w:tcW w:w="892" w:type="dxa"/>
            <w:vAlign w:val="top"/>
          </w:tcPr>
          <w:p w14:paraId="06BF0931">
            <w:pPr>
              <w:pStyle w:val="6"/>
              <w:spacing w:before="105" w:line="208" w:lineRule="auto"/>
              <w:ind w:left="271"/>
            </w:pPr>
            <w:r>
              <w:rPr>
                <w:spacing w:val="-2"/>
              </w:rPr>
              <w:t>7.36</w:t>
            </w:r>
          </w:p>
        </w:tc>
        <w:tc>
          <w:tcPr>
            <w:tcW w:w="891" w:type="dxa"/>
            <w:vAlign w:val="top"/>
          </w:tcPr>
          <w:p w14:paraId="087829E9">
            <w:pPr>
              <w:pStyle w:val="6"/>
              <w:spacing w:before="105" w:line="208" w:lineRule="auto"/>
              <w:ind w:left="274"/>
            </w:pPr>
            <w:r>
              <w:rPr>
                <w:spacing w:val="-2"/>
              </w:rPr>
              <w:t>0.12</w:t>
            </w:r>
          </w:p>
        </w:tc>
        <w:tc>
          <w:tcPr>
            <w:tcW w:w="906" w:type="dxa"/>
            <w:tcBorders>
              <w:right w:val="single" w:color="000000" w:sz="12" w:space="0"/>
            </w:tcBorders>
            <w:vAlign w:val="top"/>
          </w:tcPr>
          <w:p w14:paraId="51D31A86">
            <w:pPr>
              <w:pStyle w:val="6"/>
              <w:spacing w:before="105" w:line="208" w:lineRule="auto"/>
              <w:ind w:left="277"/>
            </w:pPr>
            <w:r>
              <w:rPr>
                <w:spacing w:val="-2"/>
              </w:rPr>
              <w:t>0.08</w:t>
            </w:r>
          </w:p>
        </w:tc>
      </w:tr>
      <w:tr w14:paraId="7F63B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6D46EB1">
            <w:pPr>
              <w:rPr>
                <w:rFonts w:ascii="Arial"/>
                <w:sz w:val="21"/>
              </w:rPr>
            </w:pPr>
          </w:p>
        </w:tc>
        <w:tc>
          <w:tcPr>
            <w:tcW w:w="422" w:type="dxa"/>
            <w:vMerge w:val="restart"/>
            <w:tcBorders>
              <w:bottom w:val="nil"/>
            </w:tcBorders>
            <w:vAlign w:val="top"/>
          </w:tcPr>
          <w:p w14:paraId="5B57ECD0">
            <w:pPr>
              <w:pStyle w:val="6"/>
              <w:spacing w:before="171" w:line="222" w:lineRule="auto"/>
              <w:ind w:left="151"/>
            </w:pPr>
            <w:r>
              <w:t>3</w:t>
            </w:r>
          </w:p>
          <w:p w14:paraId="1B2B1E4B">
            <w:pPr>
              <w:spacing w:line="219" w:lineRule="auto"/>
              <w:ind w:left="99"/>
              <w:rPr>
                <w:rFonts w:ascii="宋体" w:hAnsi="宋体" w:eastAsia="宋体" w:cs="宋体"/>
                <w:sz w:val="21"/>
                <w:szCs w:val="21"/>
              </w:rPr>
            </w:pPr>
            <w:r>
              <w:rPr>
                <w:rFonts w:ascii="宋体" w:hAnsi="宋体" w:eastAsia="宋体" w:cs="宋体"/>
                <w:sz w:val="21"/>
                <w:szCs w:val="21"/>
              </w:rPr>
              <w:t>季</w:t>
            </w:r>
          </w:p>
          <w:p w14:paraId="54683EB6">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C415856">
            <w:pPr>
              <w:pStyle w:val="6"/>
              <w:spacing w:before="107" w:line="206" w:lineRule="auto"/>
              <w:ind w:left="274"/>
            </w:pPr>
            <w:r>
              <w:rPr>
                <w:spacing w:val="-1"/>
              </w:rPr>
              <w:t>2020/8/20</w:t>
            </w:r>
          </w:p>
        </w:tc>
        <w:tc>
          <w:tcPr>
            <w:tcW w:w="892" w:type="dxa"/>
            <w:vAlign w:val="top"/>
          </w:tcPr>
          <w:p w14:paraId="4D61ABE1">
            <w:pPr>
              <w:pStyle w:val="6"/>
              <w:spacing w:before="107" w:line="206" w:lineRule="auto"/>
              <w:ind w:left="252"/>
            </w:pPr>
            <w:r>
              <w:rPr>
                <w:spacing w:val="-5"/>
              </w:rPr>
              <w:t>1368</w:t>
            </w:r>
          </w:p>
        </w:tc>
        <w:tc>
          <w:tcPr>
            <w:tcW w:w="892" w:type="dxa"/>
            <w:vAlign w:val="top"/>
          </w:tcPr>
          <w:p w14:paraId="23C7B3CE">
            <w:pPr>
              <w:pStyle w:val="6"/>
              <w:spacing w:before="111" w:line="202" w:lineRule="auto"/>
              <w:ind w:left="288"/>
            </w:pPr>
            <w:r>
              <w:rPr>
                <w:b/>
                <w:bCs/>
                <w:spacing w:val="-2"/>
              </w:rPr>
              <w:t>274</w:t>
            </w:r>
          </w:p>
        </w:tc>
        <w:tc>
          <w:tcPr>
            <w:tcW w:w="892" w:type="dxa"/>
            <w:vAlign w:val="top"/>
          </w:tcPr>
          <w:p w14:paraId="5D320BA3">
            <w:pPr>
              <w:pStyle w:val="6"/>
              <w:spacing w:before="107" w:line="206" w:lineRule="auto"/>
              <w:ind w:left="268"/>
            </w:pPr>
            <w:r>
              <w:rPr>
                <w:spacing w:val="-2"/>
              </w:rPr>
              <w:t>7.51</w:t>
            </w:r>
          </w:p>
        </w:tc>
        <w:tc>
          <w:tcPr>
            <w:tcW w:w="892" w:type="dxa"/>
            <w:vAlign w:val="top"/>
          </w:tcPr>
          <w:p w14:paraId="746EA6EA">
            <w:pPr>
              <w:pStyle w:val="6"/>
              <w:spacing w:before="107" w:line="206" w:lineRule="auto"/>
              <w:ind w:left="271"/>
            </w:pPr>
            <w:r>
              <w:rPr>
                <w:spacing w:val="-2"/>
              </w:rPr>
              <w:t>7.73</w:t>
            </w:r>
          </w:p>
        </w:tc>
        <w:tc>
          <w:tcPr>
            <w:tcW w:w="891" w:type="dxa"/>
            <w:vAlign w:val="top"/>
          </w:tcPr>
          <w:p w14:paraId="496B315C">
            <w:pPr>
              <w:pStyle w:val="6"/>
              <w:spacing w:before="107" w:line="206" w:lineRule="auto"/>
              <w:ind w:left="274"/>
            </w:pPr>
            <w:r>
              <w:rPr>
                <w:spacing w:val="-2"/>
              </w:rPr>
              <w:t>0.15</w:t>
            </w:r>
          </w:p>
        </w:tc>
        <w:tc>
          <w:tcPr>
            <w:tcW w:w="906" w:type="dxa"/>
            <w:tcBorders>
              <w:right w:val="single" w:color="000000" w:sz="12" w:space="0"/>
            </w:tcBorders>
            <w:vAlign w:val="top"/>
          </w:tcPr>
          <w:p w14:paraId="7183E3F2">
            <w:pPr>
              <w:pStyle w:val="6"/>
              <w:spacing w:before="107" w:line="206" w:lineRule="auto"/>
              <w:ind w:left="277"/>
            </w:pPr>
            <w:r>
              <w:rPr>
                <w:spacing w:val="-2"/>
              </w:rPr>
              <w:t>0.08</w:t>
            </w:r>
          </w:p>
        </w:tc>
      </w:tr>
      <w:tr w14:paraId="54D5D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7BCF166E">
            <w:pPr>
              <w:rPr>
                <w:rFonts w:ascii="Arial"/>
                <w:sz w:val="21"/>
              </w:rPr>
            </w:pPr>
          </w:p>
        </w:tc>
        <w:tc>
          <w:tcPr>
            <w:tcW w:w="422" w:type="dxa"/>
            <w:vMerge w:val="continue"/>
            <w:tcBorders>
              <w:top w:val="nil"/>
              <w:bottom w:val="nil"/>
            </w:tcBorders>
            <w:vAlign w:val="top"/>
          </w:tcPr>
          <w:p w14:paraId="6161DD38">
            <w:pPr>
              <w:rPr>
                <w:rFonts w:ascii="Arial"/>
                <w:sz w:val="21"/>
              </w:rPr>
            </w:pPr>
          </w:p>
        </w:tc>
        <w:tc>
          <w:tcPr>
            <w:tcW w:w="1414" w:type="dxa"/>
            <w:vAlign w:val="top"/>
          </w:tcPr>
          <w:p w14:paraId="066B0199">
            <w:pPr>
              <w:pStyle w:val="6"/>
              <w:spacing w:before="108" w:line="207" w:lineRule="auto"/>
              <w:ind w:left="274"/>
            </w:pPr>
            <w:r>
              <w:rPr>
                <w:spacing w:val="-1"/>
              </w:rPr>
              <w:t>2020/8/21</w:t>
            </w:r>
          </w:p>
        </w:tc>
        <w:tc>
          <w:tcPr>
            <w:tcW w:w="892" w:type="dxa"/>
            <w:vAlign w:val="top"/>
          </w:tcPr>
          <w:p w14:paraId="7F57FBFD">
            <w:pPr>
              <w:pStyle w:val="6"/>
              <w:spacing w:before="108" w:line="207" w:lineRule="auto"/>
              <w:ind w:left="252"/>
            </w:pPr>
            <w:r>
              <w:rPr>
                <w:spacing w:val="-5"/>
              </w:rPr>
              <w:t>1130</w:t>
            </w:r>
          </w:p>
        </w:tc>
        <w:tc>
          <w:tcPr>
            <w:tcW w:w="892" w:type="dxa"/>
            <w:vAlign w:val="top"/>
          </w:tcPr>
          <w:p w14:paraId="25303238">
            <w:pPr>
              <w:pStyle w:val="6"/>
              <w:spacing w:before="112" w:line="203" w:lineRule="auto"/>
              <w:ind w:left="288"/>
            </w:pPr>
            <w:r>
              <w:rPr>
                <w:b/>
                <w:bCs/>
                <w:spacing w:val="-2"/>
              </w:rPr>
              <w:t>258</w:t>
            </w:r>
          </w:p>
        </w:tc>
        <w:tc>
          <w:tcPr>
            <w:tcW w:w="892" w:type="dxa"/>
            <w:vAlign w:val="top"/>
          </w:tcPr>
          <w:p w14:paraId="2B1CA787">
            <w:pPr>
              <w:pStyle w:val="6"/>
              <w:spacing w:before="108" w:line="207" w:lineRule="auto"/>
              <w:ind w:left="268"/>
            </w:pPr>
            <w:r>
              <w:rPr>
                <w:spacing w:val="-2"/>
              </w:rPr>
              <w:t>7.45</w:t>
            </w:r>
          </w:p>
        </w:tc>
        <w:tc>
          <w:tcPr>
            <w:tcW w:w="892" w:type="dxa"/>
            <w:vAlign w:val="top"/>
          </w:tcPr>
          <w:p w14:paraId="5D4FE5CF">
            <w:pPr>
              <w:pStyle w:val="6"/>
              <w:spacing w:before="108" w:line="207" w:lineRule="auto"/>
              <w:ind w:left="271"/>
            </w:pPr>
            <w:r>
              <w:rPr>
                <w:spacing w:val="-2"/>
              </w:rPr>
              <w:t>7.67</w:t>
            </w:r>
          </w:p>
        </w:tc>
        <w:tc>
          <w:tcPr>
            <w:tcW w:w="891" w:type="dxa"/>
            <w:vAlign w:val="top"/>
          </w:tcPr>
          <w:p w14:paraId="3EA3B59B">
            <w:pPr>
              <w:pStyle w:val="6"/>
              <w:spacing w:before="108" w:line="207" w:lineRule="auto"/>
              <w:ind w:left="274"/>
            </w:pPr>
            <w:r>
              <w:rPr>
                <w:spacing w:val="-2"/>
              </w:rPr>
              <w:t>0.16</w:t>
            </w:r>
          </w:p>
        </w:tc>
        <w:tc>
          <w:tcPr>
            <w:tcW w:w="906" w:type="dxa"/>
            <w:tcBorders>
              <w:right w:val="single" w:color="000000" w:sz="12" w:space="0"/>
            </w:tcBorders>
            <w:vAlign w:val="top"/>
          </w:tcPr>
          <w:p w14:paraId="1704CBAE">
            <w:pPr>
              <w:pStyle w:val="6"/>
              <w:spacing w:before="108" w:line="207" w:lineRule="auto"/>
              <w:ind w:left="277"/>
            </w:pPr>
            <w:r>
              <w:rPr>
                <w:spacing w:val="-2"/>
              </w:rPr>
              <w:t>0.09</w:t>
            </w:r>
          </w:p>
        </w:tc>
      </w:tr>
      <w:tr w14:paraId="73EB9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16B2850">
            <w:pPr>
              <w:rPr>
                <w:rFonts w:ascii="Arial"/>
                <w:sz w:val="21"/>
              </w:rPr>
            </w:pPr>
          </w:p>
        </w:tc>
        <w:tc>
          <w:tcPr>
            <w:tcW w:w="422" w:type="dxa"/>
            <w:vMerge w:val="continue"/>
            <w:tcBorders>
              <w:top w:val="nil"/>
            </w:tcBorders>
            <w:vAlign w:val="top"/>
          </w:tcPr>
          <w:p w14:paraId="4F91A65D">
            <w:pPr>
              <w:rPr>
                <w:rFonts w:ascii="Arial"/>
                <w:sz w:val="21"/>
              </w:rPr>
            </w:pPr>
          </w:p>
        </w:tc>
        <w:tc>
          <w:tcPr>
            <w:tcW w:w="1414" w:type="dxa"/>
            <w:vAlign w:val="top"/>
          </w:tcPr>
          <w:p w14:paraId="4122FD69">
            <w:pPr>
              <w:pStyle w:val="6"/>
              <w:spacing w:before="108" w:line="205" w:lineRule="auto"/>
              <w:ind w:left="274"/>
            </w:pPr>
            <w:r>
              <w:rPr>
                <w:spacing w:val="-1"/>
              </w:rPr>
              <w:t>2020/8/22</w:t>
            </w:r>
          </w:p>
        </w:tc>
        <w:tc>
          <w:tcPr>
            <w:tcW w:w="892" w:type="dxa"/>
            <w:vAlign w:val="top"/>
          </w:tcPr>
          <w:p w14:paraId="1A74F22C">
            <w:pPr>
              <w:pStyle w:val="6"/>
              <w:spacing w:before="108" w:line="205" w:lineRule="auto"/>
              <w:ind w:left="252"/>
            </w:pPr>
            <w:r>
              <w:rPr>
                <w:spacing w:val="-5"/>
              </w:rPr>
              <w:t>1256</w:t>
            </w:r>
          </w:p>
        </w:tc>
        <w:tc>
          <w:tcPr>
            <w:tcW w:w="892" w:type="dxa"/>
            <w:vAlign w:val="top"/>
          </w:tcPr>
          <w:p w14:paraId="6AE1C4E2">
            <w:pPr>
              <w:pStyle w:val="6"/>
              <w:spacing w:before="113" w:line="200" w:lineRule="auto"/>
              <w:ind w:left="288"/>
            </w:pPr>
            <w:r>
              <w:rPr>
                <w:b/>
                <w:bCs/>
                <w:spacing w:val="-2"/>
              </w:rPr>
              <w:t>266</w:t>
            </w:r>
          </w:p>
        </w:tc>
        <w:tc>
          <w:tcPr>
            <w:tcW w:w="892" w:type="dxa"/>
            <w:vAlign w:val="top"/>
          </w:tcPr>
          <w:p w14:paraId="5C37E7AF">
            <w:pPr>
              <w:pStyle w:val="6"/>
              <w:spacing w:before="108" w:line="205" w:lineRule="auto"/>
              <w:ind w:left="268"/>
            </w:pPr>
            <w:r>
              <w:rPr>
                <w:spacing w:val="-2"/>
              </w:rPr>
              <w:t>7.55</w:t>
            </w:r>
          </w:p>
        </w:tc>
        <w:tc>
          <w:tcPr>
            <w:tcW w:w="892" w:type="dxa"/>
            <w:vAlign w:val="top"/>
          </w:tcPr>
          <w:p w14:paraId="6D081655">
            <w:pPr>
              <w:pStyle w:val="6"/>
              <w:spacing w:before="108" w:line="205" w:lineRule="auto"/>
              <w:ind w:left="271"/>
            </w:pPr>
            <w:r>
              <w:rPr>
                <w:spacing w:val="-2"/>
              </w:rPr>
              <w:t>7.75</w:t>
            </w:r>
          </w:p>
        </w:tc>
        <w:tc>
          <w:tcPr>
            <w:tcW w:w="891" w:type="dxa"/>
            <w:vAlign w:val="top"/>
          </w:tcPr>
          <w:p w14:paraId="35AB8292">
            <w:pPr>
              <w:pStyle w:val="6"/>
              <w:spacing w:before="108" w:line="205" w:lineRule="auto"/>
              <w:ind w:left="274"/>
            </w:pPr>
            <w:r>
              <w:rPr>
                <w:spacing w:val="-2"/>
              </w:rPr>
              <w:t>0.16</w:t>
            </w:r>
          </w:p>
        </w:tc>
        <w:tc>
          <w:tcPr>
            <w:tcW w:w="906" w:type="dxa"/>
            <w:tcBorders>
              <w:right w:val="single" w:color="000000" w:sz="12" w:space="0"/>
            </w:tcBorders>
            <w:vAlign w:val="top"/>
          </w:tcPr>
          <w:p w14:paraId="791A1022">
            <w:pPr>
              <w:pStyle w:val="6"/>
              <w:spacing w:before="108" w:line="205" w:lineRule="auto"/>
              <w:ind w:left="277"/>
            </w:pPr>
            <w:r>
              <w:rPr>
                <w:spacing w:val="-2"/>
              </w:rPr>
              <w:t>0.08</w:t>
            </w:r>
          </w:p>
        </w:tc>
      </w:tr>
      <w:tr w14:paraId="5A877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384D8B9">
            <w:pPr>
              <w:rPr>
                <w:rFonts w:ascii="Arial"/>
                <w:sz w:val="21"/>
              </w:rPr>
            </w:pPr>
          </w:p>
        </w:tc>
        <w:tc>
          <w:tcPr>
            <w:tcW w:w="422" w:type="dxa"/>
            <w:vMerge w:val="restart"/>
            <w:tcBorders>
              <w:bottom w:val="nil"/>
            </w:tcBorders>
            <w:vAlign w:val="top"/>
          </w:tcPr>
          <w:p w14:paraId="68B07093">
            <w:pPr>
              <w:pStyle w:val="6"/>
              <w:spacing w:before="173" w:line="223" w:lineRule="auto"/>
              <w:ind w:left="146"/>
            </w:pPr>
            <w:r>
              <w:t>4</w:t>
            </w:r>
          </w:p>
          <w:p w14:paraId="5C83D757">
            <w:pPr>
              <w:spacing w:line="219" w:lineRule="auto"/>
              <w:ind w:left="99"/>
              <w:rPr>
                <w:rFonts w:ascii="宋体" w:hAnsi="宋体" w:eastAsia="宋体" w:cs="宋体"/>
                <w:sz w:val="21"/>
                <w:szCs w:val="21"/>
              </w:rPr>
            </w:pPr>
            <w:r>
              <w:rPr>
                <w:rFonts w:ascii="宋体" w:hAnsi="宋体" w:eastAsia="宋体" w:cs="宋体"/>
                <w:sz w:val="21"/>
                <w:szCs w:val="21"/>
              </w:rPr>
              <w:t>季</w:t>
            </w:r>
          </w:p>
          <w:p w14:paraId="4976DC1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B5A05A0">
            <w:pPr>
              <w:pStyle w:val="6"/>
              <w:spacing w:before="109" w:line="206" w:lineRule="auto"/>
              <w:ind w:left="221"/>
            </w:pPr>
            <w:r>
              <w:rPr>
                <w:spacing w:val="-1"/>
              </w:rPr>
              <w:t>2020/11/15</w:t>
            </w:r>
          </w:p>
        </w:tc>
        <w:tc>
          <w:tcPr>
            <w:tcW w:w="892" w:type="dxa"/>
            <w:vAlign w:val="top"/>
          </w:tcPr>
          <w:p w14:paraId="55F5400D">
            <w:pPr>
              <w:pStyle w:val="6"/>
              <w:spacing w:before="109" w:line="206" w:lineRule="auto"/>
              <w:ind w:left="284"/>
            </w:pPr>
            <w:r>
              <w:rPr>
                <w:spacing w:val="-1"/>
              </w:rPr>
              <w:t>215</w:t>
            </w:r>
          </w:p>
        </w:tc>
        <w:tc>
          <w:tcPr>
            <w:tcW w:w="892" w:type="dxa"/>
            <w:vAlign w:val="top"/>
          </w:tcPr>
          <w:p w14:paraId="3A57D22E">
            <w:pPr>
              <w:pStyle w:val="6"/>
              <w:spacing w:before="114" w:line="201" w:lineRule="auto"/>
              <w:ind w:left="343"/>
            </w:pPr>
            <w:r>
              <w:rPr>
                <w:b/>
                <w:bCs/>
                <w:spacing w:val="-2"/>
              </w:rPr>
              <w:t>81</w:t>
            </w:r>
          </w:p>
        </w:tc>
        <w:tc>
          <w:tcPr>
            <w:tcW w:w="892" w:type="dxa"/>
            <w:vAlign w:val="top"/>
          </w:tcPr>
          <w:p w14:paraId="6E9682C3">
            <w:pPr>
              <w:pStyle w:val="6"/>
              <w:spacing w:before="109" w:line="206" w:lineRule="auto"/>
              <w:ind w:left="268"/>
            </w:pPr>
            <w:r>
              <w:rPr>
                <w:spacing w:val="-2"/>
              </w:rPr>
              <w:t>7.55</w:t>
            </w:r>
          </w:p>
        </w:tc>
        <w:tc>
          <w:tcPr>
            <w:tcW w:w="892" w:type="dxa"/>
            <w:vAlign w:val="top"/>
          </w:tcPr>
          <w:p w14:paraId="0608B49D">
            <w:pPr>
              <w:pStyle w:val="6"/>
              <w:spacing w:before="109" w:line="206" w:lineRule="auto"/>
              <w:ind w:left="271"/>
            </w:pPr>
            <w:r>
              <w:rPr>
                <w:spacing w:val="-2"/>
              </w:rPr>
              <w:t>7.59</w:t>
            </w:r>
          </w:p>
        </w:tc>
        <w:tc>
          <w:tcPr>
            <w:tcW w:w="891" w:type="dxa"/>
            <w:vAlign w:val="top"/>
          </w:tcPr>
          <w:p w14:paraId="340B1244">
            <w:pPr>
              <w:pStyle w:val="6"/>
              <w:spacing w:before="109" w:line="206" w:lineRule="auto"/>
              <w:ind w:left="274"/>
            </w:pPr>
            <w:r>
              <w:rPr>
                <w:spacing w:val="-2"/>
              </w:rPr>
              <w:t>0.15</w:t>
            </w:r>
          </w:p>
        </w:tc>
        <w:tc>
          <w:tcPr>
            <w:tcW w:w="906" w:type="dxa"/>
            <w:tcBorders>
              <w:right w:val="single" w:color="000000" w:sz="12" w:space="0"/>
            </w:tcBorders>
            <w:vAlign w:val="top"/>
          </w:tcPr>
          <w:p w14:paraId="0044597D">
            <w:pPr>
              <w:pStyle w:val="6"/>
              <w:spacing w:before="109" w:line="206" w:lineRule="auto"/>
              <w:ind w:left="277"/>
            </w:pPr>
            <w:r>
              <w:rPr>
                <w:spacing w:val="-2"/>
              </w:rPr>
              <w:t>0.06</w:t>
            </w:r>
          </w:p>
        </w:tc>
      </w:tr>
      <w:tr w14:paraId="3DACF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A4CA1E9">
            <w:pPr>
              <w:rPr>
                <w:rFonts w:ascii="Arial"/>
                <w:sz w:val="21"/>
              </w:rPr>
            </w:pPr>
          </w:p>
        </w:tc>
        <w:tc>
          <w:tcPr>
            <w:tcW w:w="422" w:type="dxa"/>
            <w:vMerge w:val="continue"/>
            <w:tcBorders>
              <w:top w:val="nil"/>
              <w:bottom w:val="nil"/>
            </w:tcBorders>
            <w:vAlign w:val="top"/>
          </w:tcPr>
          <w:p w14:paraId="3567A952">
            <w:pPr>
              <w:rPr>
                <w:rFonts w:ascii="Arial"/>
                <w:sz w:val="21"/>
              </w:rPr>
            </w:pPr>
          </w:p>
        </w:tc>
        <w:tc>
          <w:tcPr>
            <w:tcW w:w="1414" w:type="dxa"/>
            <w:vAlign w:val="top"/>
          </w:tcPr>
          <w:p w14:paraId="275BFFDB">
            <w:pPr>
              <w:pStyle w:val="6"/>
              <w:spacing w:before="108" w:line="205" w:lineRule="auto"/>
              <w:ind w:left="221"/>
            </w:pPr>
            <w:r>
              <w:rPr>
                <w:spacing w:val="-1"/>
              </w:rPr>
              <w:t>2020/11/16</w:t>
            </w:r>
          </w:p>
        </w:tc>
        <w:tc>
          <w:tcPr>
            <w:tcW w:w="892" w:type="dxa"/>
            <w:vAlign w:val="top"/>
          </w:tcPr>
          <w:p w14:paraId="2A64A533">
            <w:pPr>
              <w:pStyle w:val="6"/>
              <w:spacing w:before="108" w:line="205" w:lineRule="auto"/>
              <w:ind w:left="284"/>
            </w:pPr>
            <w:r>
              <w:rPr>
                <w:spacing w:val="-1"/>
              </w:rPr>
              <w:t>209</w:t>
            </w:r>
          </w:p>
        </w:tc>
        <w:tc>
          <w:tcPr>
            <w:tcW w:w="892" w:type="dxa"/>
            <w:vAlign w:val="top"/>
          </w:tcPr>
          <w:p w14:paraId="5BF05F4A">
            <w:pPr>
              <w:pStyle w:val="6"/>
              <w:spacing w:before="113" w:line="200" w:lineRule="auto"/>
              <w:ind w:left="343"/>
            </w:pPr>
            <w:r>
              <w:rPr>
                <w:b/>
                <w:bCs/>
                <w:spacing w:val="-2"/>
              </w:rPr>
              <w:t>77</w:t>
            </w:r>
          </w:p>
        </w:tc>
        <w:tc>
          <w:tcPr>
            <w:tcW w:w="892" w:type="dxa"/>
            <w:vAlign w:val="top"/>
          </w:tcPr>
          <w:p w14:paraId="7B22C3BD">
            <w:pPr>
              <w:pStyle w:val="6"/>
              <w:spacing w:before="108" w:line="205" w:lineRule="auto"/>
              <w:ind w:left="268"/>
            </w:pPr>
            <w:r>
              <w:rPr>
                <w:spacing w:val="-2"/>
              </w:rPr>
              <w:t>7.49</w:t>
            </w:r>
          </w:p>
        </w:tc>
        <w:tc>
          <w:tcPr>
            <w:tcW w:w="892" w:type="dxa"/>
            <w:vAlign w:val="top"/>
          </w:tcPr>
          <w:p w14:paraId="3FAD29EB">
            <w:pPr>
              <w:pStyle w:val="6"/>
              <w:spacing w:before="108" w:line="205" w:lineRule="auto"/>
              <w:ind w:left="271"/>
            </w:pPr>
            <w:r>
              <w:rPr>
                <w:spacing w:val="-2"/>
              </w:rPr>
              <w:t>7.68</w:t>
            </w:r>
          </w:p>
        </w:tc>
        <w:tc>
          <w:tcPr>
            <w:tcW w:w="891" w:type="dxa"/>
            <w:vAlign w:val="top"/>
          </w:tcPr>
          <w:p w14:paraId="3D20F254">
            <w:pPr>
              <w:pStyle w:val="6"/>
              <w:spacing w:before="108" w:line="205" w:lineRule="auto"/>
              <w:ind w:left="274"/>
            </w:pPr>
            <w:r>
              <w:rPr>
                <w:spacing w:val="-2"/>
              </w:rPr>
              <w:t>0.16</w:t>
            </w:r>
          </w:p>
        </w:tc>
        <w:tc>
          <w:tcPr>
            <w:tcW w:w="906" w:type="dxa"/>
            <w:tcBorders>
              <w:right w:val="single" w:color="000000" w:sz="12" w:space="0"/>
            </w:tcBorders>
            <w:vAlign w:val="top"/>
          </w:tcPr>
          <w:p w14:paraId="12197855">
            <w:pPr>
              <w:pStyle w:val="6"/>
              <w:spacing w:before="108" w:line="205" w:lineRule="auto"/>
              <w:ind w:left="277"/>
            </w:pPr>
            <w:r>
              <w:rPr>
                <w:spacing w:val="-2"/>
              </w:rPr>
              <w:t>0.06</w:t>
            </w:r>
          </w:p>
        </w:tc>
      </w:tr>
      <w:tr w14:paraId="7BA5D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111E5A35">
            <w:pPr>
              <w:rPr>
                <w:rFonts w:ascii="Arial"/>
                <w:sz w:val="21"/>
              </w:rPr>
            </w:pPr>
          </w:p>
        </w:tc>
        <w:tc>
          <w:tcPr>
            <w:tcW w:w="422" w:type="dxa"/>
            <w:vMerge w:val="continue"/>
            <w:tcBorders>
              <w:top w:val="nil"/>
            </w:tcBorders>
            <w:vAlign w:val="top"/>
          </w:tcPr>
          <w:p w14:paraId="34D442F5">
            <w:pPr>
              <w:rPr>
                <w:rFonts w:ascii="Arial"/>
                <w:sz w:val="21"/>
              </w:rPr>
            </w:pPr>
          </w:p>
        </w:tc>
        <w:tc>
          <w:tcPr>
            <w:tcW w:w="1414" w:type="dxa"/>
            <w:vAlign w:val="top"/>
          </w:tcPr>
          <w:p w14:paraId="320B2224">
            <w:pPr>
              <w:pStyle w:val="6"/>
              <w:spacing w:before="110" w:line="203" w:lineRule="auto"/>
              <w:ind w:left="221"/>
            </w:pPr>
            <w:r>
              <w:rPr>
                <w:spacing w:val="-1"/>
              </w:rPr>
              <w:t>2020/11/17</w:t>
            </w:r>
          </w:p>
        </w:tc>
        <w:tc>
          <w:tcPr>
            <w:tcW w:w="892" w:type="dxa"/>
            <w:vAlign w:val="top"/>
          </w:tcPr>
          <w:p w14:paraId="5DBCF303">
            <w:pPr>
              <w:pStyle w:val="6"/>
              <w:spacing w:before="110" w:line="203" w:lineRule="auto"/>
              <w:ind w:left="284"/>
            </w:pPr>
            <w:r>
              <w:rPr>
                <w:spacing w:val="-1"/>
              </w:rPr>
              <w:t>221</w:t>
            </w:r>
          </w:p>
        </w:tc>
        <w:tc>
          <w:tcPr>
            <w:tcW w:w="892" w:type="dxa"/>
            <w:vAlign w:val="top"/>
          </w:tcPr>
          <w:p w14:paraId="1F3BD485">
            <w:pPr>
              <w:pStyle w:val="6"/>
              <w:spacing w:before="115" w:line="198" w:lineRule="auto"/>
              <w:ind w:left="343"/>
            </w:pPr>
            <w:r>
              <w:rPr>
                <w:b/>
                <w:bCs/>
                <w:spacing w:val="-2"/>
              </w:rPr>
              <w:t>83</w:t>
            </w:r>
          </w:p>
        </w:tc>
        <w:tc>
          <w:tcPr>
            <w:tcW w:w="892" w:type="dxa"/>
            <w:vAlign w:val="top"/>
          </w:tcPr>
          <w:p w14:paraId="76EE4C36">
            <w:pPr>
              <w:pStyle w:val="6"/>
              <w:spacing w:before="110" w:line="203" w:lineRule="auto"/>
              <w:ind w:left="268"/>
            </w:pPr>
            <w:r>
              <w:rPr>
                <w:spacing w:val="-2"/>
              </w:rPr>
              <w:t>7.59</w:t>
            </w:r>
          </w:p>
        </w:tc>
        <w:tc>
          <w:tcPr>
            <w:tcW w:w="892" w:type="dxa"/>
            <w:vAlign w:val="top"/>
          </w:tcPr>
          <w:p w14:paraId="6E0C1803">
            <w:pPr>
              <w:pStyle w:val="6"/>
              <w:spacing w:before="110" w:line="203" w:lineRule="auto"/>
              <w:ind w:left="271"/>
            </w:pPr>
            <w:r>
              <w:rPr>
                <w:spacing w:val="-2"/>
              </w:rPr>
              <w:t>7.80</w:t>
            </w:r>
          </w:p>
        </w:tc>
        <w:tc>
          <w:tcPr>
            <w:tcW w:w="891" w:type="dxa"/>
            <w:vAlign w:val="top"/>
          </w:tcPr>
          <w:p w14:paraId="6D00E426">
            <w:pPr>
              <w:pStyle w:val="6"/>
              <w:spacing w:before="110" w:line="203" w:lineRule="auto"/>
              <w:ind w:left="274"/>
            </w:pPr>
            <w:r>
              <w:rPr>
                <w:spacing w:val="-2"/>
              </w:rPr>
              <w:t>0.16</w:t>
            </w:r>
          </w:p>
        </w:tc>
        <w:tc>
          <w:tcPr>
            <w:tcW w:w="906" w:type="dxa"/>
            <w:tcBorders>
              <w:right w:val="single" w:color="000000" w:sz="12" w:space="0"/>
            </w:tcBorders>
            <w:vAlign w:val="top"/>
          </w:tcPr>
          <w:p w14:paraId="393CB2C9">
            <w:pPr>
              <w:pStyle w:val="6"/>
              <w:spacing w:before="110" w:line="203" w:lineRule="auto"/>
              <w:ind w:left="277"/>
            </w:pPr>
            <w:r>
              <w:rPr>
                <w:spacing w:val="-2"/>
              </w:rPr>
              <w:t>0.06</w:t>
            </w:r>
          </w:p>
        </w:tc>
      </w:tr>
      <w:tr w14:paraId="1667C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32758789">
            <w:pPr>
              <w:spacing w:line="263" w:lineRule="auto"/>
              <w:rPr>
                <w:rFonts w:ascii="Arial"/>
                <w:sz w:val="21"/>
              </w:rPr>
            </w:pPr>
          </w:p>
          <w:p w14:paraId="61DFA37B">
            <w:pPr>
              <w:spacing w:line="263" w:lineRule="auto"/>
              <w:rPr>
                <w:rFonts w:ascii="Arial"/>
                <w:sz w:val="21"/>
              </w:rPr>
            </w:pPr>
          </w:p>
          <w:p w14:paraId="40B8D1DF">
            <w:pPr>
              <w:spacing w:line="263" w:lineRule="auto"/>
              <w:rPr>
                <w:rFonts w:ascii="Arial"/>
                <w:sz w:val="21"/>
              </w:rPr>
            </w:pPr>
          </w:p>
          <w:p w14:paraId="663A95D8">
            <w:pPr>
              <w:pStyle w:val="6"/>
              <w:spacing w:before="69" w:line="236" w:lineRule="auto"/>
              <w:ind w:left="207" w:right="109" w:hanging="107"/>
              <w:rPr>
                <w:rFonts w:ascii="宋体" w:hAnsi="宋体" w:eastAsia="宋体" w:cs="宋体"/>
              </w:rPr>
            </w:pPr>
            <w:r>
              <w:rPr>
                <w:spacing w:val="-2"/>
              </w:rPr>
              <w:t>6#</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4C88342F">
            <w:pPr>
              <w:pStyle w:val="6"/>
              <w:spacing w:before="176" w:line="222" w:lineRule="auto"/>
              <w:ind w:left="167"/>
            </w:pPr>
            <w:r>
              <w:t>1</w:t>
            </w:r>
          </w:p>
          <w:p w14:paraId="4DF30E72">
            <w:pPr>
              <w:spacing w:line="219" w:lineRule="auto"/>
              <w:ind w:left="99"/>
              <w:rPr>
                <w:rFonts w:ascii="宋体" w:hAnsi="宋体" w:eastAsia="宋体" w:cs="宋体"/>
                <w:sz w:val="21"/>
                <w:szCs w:val="21"/>
              </w:rPr>
            </w:pPr>
            <w:r>
              <w:rPr>
                <w:rFonts w:ascii="宋体" w:hAnsi="宋体" w:eastAsia="宋体" w:cs="宋体"/>
                <w:sz w:val="21"/>
                <w:szCs w:val="21"/>
              </w:rPr>
              <w:t>季</w:t>
            </w:r>
          </w:p>
          <w:p w14:paraId="011D6D18">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EE159F2">
            <w:pPr>
              <w:pStyle w:val="6"/>
              <w:spacing w:before="111" w:line="204" w:lineRule="auto"/>
              <w:ind w:left="274"/>
            </w:pPr>
            <w:r>
              <w:rPr>
                <w:spacing w:val="-1"/>
              </w:rPr>
              <w:t>2020/3/10</w:t>
            </w:r>
          </w:p>
        </w:tc>
        <w:tc>
          <w:tcPr>
            <w:tcW w:w="892" w:type="dxa"/>
            <w:vAlign w:val="top"/>
          </w:tcPr>
          <w:p w14:paraId="006A0E08">
            <w:pPr>
              <w:pStyle w:val="6"/>
              <w:spacing w:before="111" w:line="204" w:lineRule="auto"/>
              <w:ind w:left="284"/>
            </w:pPr>
            <w:r>
              <w:rPr>
                <w:spacing w:val="-1"/>
              </w:rPr>
              <w:t>225</w:t>
            </w:r>
          </w:p>
        </w:tc>
        <w:tc>
          <w:tcPr>
            <w:tcW w:w="892" w:type="dxa"/>
            <w:vAlign w:val="top"/>
          </w:tcPr>
          <w:p w14:paraId="21779FB1">
            <w:pPr>
              <w:pStyle w:val="6"/>
              <w:spacing w:before="111" w:line="204" w:lineRule="auto"/>
              <w:ind w:left="346"/>
            </w:pPr>
            <w:r>
              <w:rPr>
                <w:spacing w:val="-3"/>
              </w:rPr>
              <w:t>55</w:t>
            </w:r>
          </w:p>
        </w:tc>
        <w:tc>
          <w:tcPr>
            <w:tcW w:w="892" w:type="dxa"/>
            <w:vAlign w:val="top"/>
          </w:tcPr>
          <w:p w14:paraId="12E7B5DC">
            <w:pPr>
              <w:pStyle w:val="6"/>
              <w:spacing w:before="111" w:line="204" w:lineRule="auto"/>
              <w:ind w:left="269"/>
            </w:pPr>
            <w:r>
              <w:rPr>
                <w:spacing w:val="-3"/>
              </w:rPr>
              <w:t>6.71</w:t>
            </w:r>
          </w:p>
        </w:tc>
        <w:tc>
          <w:tcPr>
            <w:tcW w:w="892" w:type="dxa"/>
            <w:vAlign w:val="top"/>
          </w:tcPr>
          <w:p w14:paraId="7C81FB3B">
            <w:pPr>
              <w:pStyle w:val="6"/>
              <w:spacing w:before="111" w:line="204" w:lineRule="auto"/>
              <w:ind w:left="272"/>
            </w:pPr>
            <w:r>
              <w:rPr>
                <w:spacing w:val="-3"/>
              </w:rPr>
              <w:t>6.83</w:t>
            </w:r>
          </w:p>
        </w:tc>
        <w:tc>
          <w:tcPr>
            <w:tcW w:w="891" w:type="dxa"/>
            <w:vAlign w:val="top"/>
          </w:tcPr>
          <w:p w14:paraId="05041E93">
            <w:pPr>
              <w:pStyle w:val="6"/>
              <w:spacing w:before="111" w:line="204" w:lineRule="auto"/>
              <w:ind w:left="274"/>
            </w:pPr>
            <w:r>
              <w:rPr>
                <w:spacing w:val="-2"/>
              </w:rPr>
              <w:t>0.18</w:t>
            </w:r>
          </w:p>
        </w:tc>
        <w:tc>
          <w:tcPr>
            <w:tcW w:w="906" w:type="dxa"/>
            <w:tcBorders>
              <w:right w:val="single" w:color="000000" w:sz="12" w:space="0"/>
            </w:tcBorders>
            <w:vAlign w:val="top"/>
          </w:tcPr>
          <w:p w14:paraId="5A8D0A8D">
            <w:pPr>
              <w:pStyle w:val="6"/>
              <w:spacing w:before="111" w:line="204" w:lineRule="auto"/>
              <w:ind w:left="277"/>
            </w:pPr>
            <w:r>
              <w:rPr>
                <w:spacing w:val="-2"/>
              </w:rPr>
              <w:t>0.08</w:t>
            </w:r>
          </w:p>
        </w:tc>
      </w:tr>
      <w:tr w14:paraId="3ED34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C8CC6FF">
            <w:pPr>
              <w:rPr>
                <w:rFonts w:ascii="Arial"/>
                <w:sz w:val="21"/>
              </w:rPr>
            </w:pPr>
          </w:p>
        </w:tc>
        <w:tc>
          <w:tcPr>
            <w:tcW w:w="422" w:type="dxa"/>
            <w:vMerge w:val="continue"/>
            <w:tcBorders>
              <w:top w:val="nil"/>
              <w:bottom w:val="nil"/>
            </w:tcBorders>
            <w:vAlign w:val="top"/>
          </w:tcPr>
          <w:p w14:paraId="10B6BECA">
            <w:pPr>
              <w:rPr>
                <w:rFonts w:ascii="Arial"/>
                <w:sz w:val="21"/>
              </w:rPr>
            </w:pPr>
          </w:p>
        </w:tc>
        <w:tc>
          <w:tcPr>
            <w:tcW w:w="1414" w:type="dxa"/>
            <w:vAlign w:val="top"/>
          </w:tcPr>
          <w:p w14:paraId="3936AE37">
            <w:pPr>
              <w:pStyle w:val="6"/>
              <w:spacing w:before="112" w:line="201" w:lineRule="auto"/>
              <w:ind w:left="274"/>
            </w:pPr>
            <w:r>
              <w:rPr>
                <w:spacing w:val="-1"/>
              </w:rPr>
              <w:t>2020/3/11</w:t>
            </w:r>
          </w:p>
        </w:tc>
        <w:tc>
          <w:tcPr>
            <w:tcW w:w="892" w:type="dxa"/>
            <w:vAlign w:val="top"/>
          </w:tcPr>
          <w:p w14:paraId="6CF23ADC">
            <w:pPr>
              <w:pStyle w:val="6"/>
              <w:spacing w:before="112" w:line="201" w:lineRule="auto"/>
              <w:ind w:left="284"/>
            </w:pPr>
            <w:r>
              <w:rPr>
                <w:spacing w:val="-1"/>
              </w:rPr>
              <w:t>251</w:t>
            </w:r>
          </w:p>
        </w:tc>
        <w:tc>
          <w:tcPr>
            <w:tcW w:w="892" w:type="dxa"/>
            <w:vAlign w:val="top"/>
          </w:tcPr>
          <w:p w14:paraId="26C0C428">
            <w:pPr>
              <w:pStyle w:val="6"/>
              <w:spacing w:before="112" w:line="201" w:lineRule="auto"/>
              <w:ind w:left="345"/>
            </w:pPr>
            <w:r>
              <w:rPr>
                <w:spacing w:val="-3"/>
              </w:rPr>
              <w:t>61</w:t>
            </w:r>
          </w:p>
        </w:tc>
        <w:tc>
          <w:tcPr>
            <w:tcW w:w="892" w:type="dxa"/>
            <w:vAlign w:val="top"/>
          </w:tcPr>
          <w:p w14:paraId="79FE3E3E">
            <w:pPr>
              <w:pStyle w:val="6"/>
              <w:spacing w:before="112" w:line="201" w:lineRule="auto"/>
              <w:ind w:left="269"/>
            </w:pPr>
            <w:r>
              <w:rPr>
                <w:spacing w:val="-3"/>
              </w:rPr>
              <w:t>6.82</w:t>
            </w:r>
          </w:p>
        </w:tc>
        <w:tc>
          <w:tcPr>
            <w:tcW w:w="892" w:type="dxa"/>
            <w:vAlign w:val="top"/>
          </w:tcPr>
          <w:p w14:paraId="5149781C">
            <w:pPr>
              <w:pStyle w:val="6"/>
              <w:spacing w:before="112" w:line="201" w:lineRule="auto"/>
              <w:ind w:left="272"/>
            </w:pPr>
            <w:r>
              <w:rPr>
                <w:spacing w:val="-3"/>
              </w:rPr>
              <w:t>6.79</w:t>
            </w:r>
          </w:p>
        </w:tc>
        <w:tc>
          <w:tcPr>
            <w:tcW w:w="891" w:type="dxa"/>
            <w:vAlign w:val="top"/>
          </w:tcPr>
          <w:p w14:paraId="1CBC921A">
            <w:pPr>
              <w:pStyle w:val="6"/>
              <w:spacing w:before="112" w:line="201" w:lineRule="auto"/>
              <w:ind w:left="274"/>
            </w:pPr>
            <w:r>
              <w:rPr>
                <w:spacing w:val="-2"/>
              </w:rPr>
              <w:t>0.18</w:t>
            </w:r>
          </w:p>
        </w:tc>
        <w:tc>
          <w:tcPr>
            <w:tcW w:w="906" w:type="dxa"/>
            <w:tcBorders>
              <w:right w:val="single" w:color="000000" w:sz="12" w:space="0"/>
            </w:tcBorders>
            <w:vAlign w:val="top"/>
          </w:tcPr>
          <w:p w14:paraId="4C76D8A9">
            <w:pPr>
              <w:pStyle w:val="6"/>
              <w:spacing w:before="112" w:line="201" w:lineRule="auto"/>
              <w:ind w:left="277"/>
            </w:pPr>
            <w:r>
              <w:rPr>
                <w:spacing w:val="-2"/>
              </w:rPr>
              <w:t>0.08</w:t>
            </w:r>
          </w:p>
        </w:tc>
      </w:tr>
      <w:tr w14:paraId="32837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496F0718">
            <w:pPr>
              <w:rPr>
                <w:rFonts w:ascii="Arial"/>
                <w:sz w:val="21"/>
              </w:rPr>
            </w:pPr>
          </w:p>
        </w:tc>
        <w:tc>
          <w:tcPr>
            <w:tcW w:w="422" w:type="dxa"/>
            <w:vMerge w:val="continue"/>
            <w:tcBorders>
              <w:top w:val="nil"/>
            </w:tcBorders>
            <w:vAlign w:val="top"/>
          </w:tcPr>
          <w:p w14:paraId="5F341B6A">
            <w:pPr>
              <w:rPr>
                <w:rFonts w:ascii="Arial"/>
                <w:sz w:val="21"/>
              </w:rPr>
            </w:pPr>
          </w:p>
        </w:tc>
        <w:tc>
          <w:tcPr>
            <w:tcW w:w="1414" w:type="dxa"/>
            <w:vAlign w:val="top"/>
          </w:tcPr>
          <w:p w14:paraId="5D1BEC9F">
            <w:pPr>
              <w:pStyle w:val="6"/>
              <w:spacing w:before="113" w:line="201" w:lineRule="auto"/>
              <w:ind w:left="274"/>
            </w:pPr>
            <w:r>
              <w:rPr>
                <w:spacing w:val="-1"/>
              </w:rPr>
              <w:t>2020/3/12</w:t>
            </w:r>
          </w:p>
        </w:tc>
        <w:tc>
          <w:tcPr>
            <w:tcW w:w="892" w:type="dxa"/>
            <w:vAlign w:val="top"/>
          </w:tcPr>
          <w:p w14:paraId="43C8E768">
            <w:pPr>
              <w:pStyle w:val="6"/>
              <w:spacing w:before="113" w:line="201" w:lineRule="auto"/>
              <w:ind w:left="284"/>
            </w:pPr>
            <w:r>
              <w:rPr>
                <w:spacing w:val="-2"/>
              </w:rPr>
              <w:t>238</w:t>
            </w:r>
          </w:p>
        </w:tc>
        <w:tc>
          <w:tcPr>
            <w:tcW w:w="892" w:type="dxa"/>
            <w:vAlign w:val="top"/>
          </w:tcPr>
          <w:p w14:paraId="301A7B1E">
            <w:pPr>
              <w:pStyle w:val="6"/>
              <w:spacing w:before="113" w:line="201" w:lineRule="auto"/>
              <w:ind w:left="346"/>
            </w:pPr>
            <w:r>
              <w:rPr>
                <w:spacing w:val="-3"/>
              </w:rPr>
              <w:t>57</w:t>
            </w:r>
          </w:p>
        </w:tc>
        <w:tc>
          <w:tcPr>
            <w:tcW w:w="892" w:type="dxa"/>
            <w:vAlign w:val="top"/>
          </w:tcPr>
          <w:p w14:paraId="36066971">
            <w:pPr>
              <w:pStyle w:val="6"/>
              <w:spacing w:before="113" w:line="201" w:lineRule="auto"/>
              <w:ind w:left="269"/>
            </w:pPr>
            <w:r>
              <w:rPr>
                <w:spacing w:val="-3"/>
              </w:rPr>
              <w:t>6.75</w:t>
            </w:r>
          </w:p>
        </w:tc>
        <w:tc>
          <w:tcPr>
            <w:tcW w:w="892" w:type="dxa"/>
            <w:vAlign w:val="top"/>
          </w:tcPr>
          <w:p w14:paraId="0285ABE5">
            <w:pPr>
              <w:pStyle w:val="6"/>
              <w:spacing w:before="113" w:line="201" w:lineRule="auto"/>
              <w:ind w:left="272"/>
            </w:pPr>
            <w:r>
              <w:rPr>
                <w:spacing w:val="-3"/>
              </w:rPr>
              <w:t>6.84</w:t>
            </w:r>
          </w:p>
        </w:tc>
        <w:tc>
          <w:tcPr>
            <w:tcW w:w="891" w:type="dxa"/>
            <w:vAlign w:val="top"/>
          </w:tcPr>
          <w:p w14:paraId="70CE46CA">
            <w:pPr>
              <w:pStyle w:val="6"/>
              <w:spacing w:before="113" w:line="201" w:lineRule="auto"/>
              <w:ind w:left="274"/>
            </w:pPr>
            <w:r>
              <w:rPr>
                <w:spacing w:val="-2"/>
              </w:rPr>
              <w:t>0.19</w:t>
            </w:r>
          </w:p>
        </w:tc>
        <w:tc>
          <w:tcPr>
            <w:tcW w:w="906" w:type="dxa"/>
            <w:tcBorders>
              <w:right w:val="single" w:color="000000" w:sz="12" w:space="0"/>
            </w:tcBorders>
            <w:vAlign w:val="top"/>
          </w:tcPr>
          <w:p w14:paraId="72923FD1">
            <w:pPr>
              <w:pStyle w:val="6"/>
              <w:spacing w:before="113" w:line="201" w:lineRule="auto"/>
              <w:ind w:left="277"/>
            </w:pPr>
            <w:r>
              <w:rPr>
                <w:spacing w:val="-2"/>
              </w:rPr>
              <w:t>0.08</w:t>
            </w:r>
          </w:p>
        </w:tc>
      </w:tr>
      <w:tr w14:paraId="0F970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673BA11F">
            <w:pPr>
              <w:rPr>
                <w:rFonts w:ascii="Arial"/>
                <w:sz w:val="21"/>
              </w:rPr>
            </w:pPr>
          </w:p>
        </w:tc>
        <w:tc>
          <w:tcPr>
            <w:tcW w:w="422" w:type="dxa"/>
            <w:vMerge w:val="restart"/>
            <w:tcBorders>
              <w:bottom w:val="nil"/>
            </w:tcBorders>
            <w:vAlign w:val="top"/>
          </w:tcPr>
          <w:p w14:paraId="348E006E">
            <w:pPr>
              <w:pStyle w:val="6"/>
              <w:spacing w:before="256" w:line="230" w:lineRule="auto"/>
              <w:ind w:left="97" w:right="111" w:firstLine="49"/>
              <w:jc w:val="both"/>
              <w:rPr>
                <w:rFonts w:ascii="宋体" w:hAnsi="宋体" w:eastAsia="宋体" w:cs="宋体"/>
              </w:rPr>
            </w:pPr>
            <w:r>
              <w:rPr>
                <w:spacing w:val="-5"/>
              </w:rPr>
              <w:t>2</w:t>
            </w:r>
            <w:r>
              <w:rPr>
                <w:rFonts w:ascii="宋体" w:hAnsi="宋体" w:eastAsia="宋体" w:cs="宋体"/>
                <w:spacing w:val="-8"/>
              </w:rPr>
              <w:t>季度</w:t>
            </w:r>
          </w:p>
        </w:tc>
        <w:tc>
          <w:tcPr>
            <w:tcW w:w="1414" w:type="dxa"/>
            <w:vAlign w:val="top"/>
          </w:tcPr>
          <w:p w14:paraId="1A0C3EDE">
            <w:pPr>
              <w:pStyle w:val="6"/>
              <w:spacing w:before="113" w:line="201" w:lineRule="auto"/>
              <w:ind w:left="274"/>
            </w:pPr>
            <w:r>
              <w:rPr>
                <w:spacing w:val="-1"/>
              </w:rPr>
              <w:t>2020/5/20</w:t>
            </w:r>
          </w:p>
        </w:tc>
        <w:tc>
          <w:tcPr>
            <w:tcW w:w="892" w:type="dxa"/>
            <w:vAlign w:val="top"/>
          </w:tcPr>
          <w:p w14:paraId="79C8319B">
            <w:pPr>
              <w:pStyle w:val="6"/>
              <w:spacing w:before="113" w:line="201" w:lineRule="auto"/>
              <w:ind w:left="337"/>
            </w:pPr>
            <w:r>
              <w:rPr>
                <w:spacing w:val="-1"/>
              </w:rPr>
              <w:t>28</w:t>
            </w:r>
          </w:p>
        </w:tc>
        <w:tc>
          <w:tcPr>
            <w:tcW w:w="892" w:type="dxa"/>
            <w:vAlign w:val="top"/>
          </w:tcPr>
          <w:p w14:paraId="62130957">
            <w:pPr>
              <w:pStyle w:val="6"/>
              <w:spacing w:before="113" w:line="201" w:lineRule="auto"/>
              <w:ind w:left="412"/>
            </w:pPr>
            <w:r>
              <w:t>/</w:t>
            </w:r>
          </w:p>
        </w:tc>
        <w:tc>
          <w:tcPr>
            <w:tcW w:w="892" w:type="dxa"/>
            <w:vAlign w:val="top"/>
          </w:tcPr>
          <w:p w14:paraId="3081A540">
            <w:pPr>
              <w:pStyle w:val="6"/>
              <w:spacing w:before="113" w:line="201" w:lineRule="auto"/>
              <w:ind w:left="268"/>
            </w:pPr>
            <w:r>
              <w:rPr>
                <w:spacing w:val="-2"/>
              </w:rPr>
              <w:t>7.41</w:t>
            </w:r>
          </w:p>
        </w:tc>
        <w:tc>
          <w:tcPr>
            <w:tcW w:w="892" w:type="dxa"/>
            <w:vAlign w:val="top"/>
          </w:tcPr>
          <w:p w14:paraId="4C8CC6FB">
            <w:pPr>
              <w:pStyle w:val="6"/>
              <w:spacing w:before="113" w:line="201" w:lineRule="auto"/>
              <w:ind w:left="418"/>
            </w:pPr>
            <w:r>
              <w:t>/</w:t>
            </w:r>
          </w:p>
        </w:tc>
        <w:tc>
          <w:tcPr>
            <w:tcW w:w="891" w:type="dxa"/>
            <w:vAlign w:val="top"/>
          </w:tcPr>
          <w:p w14:paraId="489DB1E3">
            <w:pPr>
              <w:pStyle w:val="6"/>
              <w:spacing w:before="113" w:line="201" w:lineRule="auto"/>
              <w:ind w:left="274"/>
            </w:pPr>
            <w:r>
              <w:rPr>
                <w:spacing w:val="-2"/>
              </w:rPr>
              <w:t>0.07</w:t>
            </w:r>
          </w:p>
        </w:tc>
        <w:tc>
          <w:tcPr>
            <w:tcW w:w="906" w:type="dxa"/>
            <w:tcBorders>
              <w:right w:val="single" w:color="000000" w:sz="12" w:space="0"/>
            </w:tcBorders>
            <w:vAlign w:val="top"/>
          </w:tcPr>
          <w:p w14:paraId="0236FCB0">
            <w:pPr>
              <w:pStyle w:val="6"/>
              <w:spacing w:before="113" w:line="201" w:lineRule="auto"/>
              <w:ind w:left="425"/>
            </w:pPr>
            <w:r>
              <w:t>/</w:t>
            </w:r>
          </w:p>
        </w:tc>
      </w:tr>
      <w:tr w14:paraId="3D7CC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87D2D98">
            <w:pPr>
              <w:rPr>
                <w:rFonts w:ascii="Arial"/>
                <w:sz w:val="21"/>
              </w:rPr>
            </w:pPr>
          </w:p>
        </w:tc>
        <w:tc>
          <w:tcPr>
            <w:tcW w:w="422" w:type="dxa"/>
            <w:vMerge w:val="continue"/>
            <w:tcBorders>
              <w:top w:val="nil"/>
              <w:bottom w:val="nil"/>
            </w:tcBorders>
            <w:vAlign w:val="top"/>
          </w:tcPr>
          <w:p w14:paraId="740DD45D">
            <w:pPr>
              <w:rPr>
                <w:rFonts w:ascii="Arial"/>
                <w:sz w:val="21"/>
              </w:rPr>
            </w:pPr>
          </w:p>
        </w:tc>
        <w:tc>
          <w:tcPr>
            <w:tcW w:w="1414" w:type="dxa"/>
            <w:vAlign w:val="top"/>
          </w:tcPr>
          <w:p w14:paraId="57918401">
            <w:pPr>
              <w:pStyle w:val="6"/>
              <w:spacing w:before="114" w:line="199" w:lineRule="auto"/>
              <w:ind w:left="274"/>
            </w:pPr>
            <w:r>
              <w:rPr>
                <w:spacing w:val="-1"/>
              </w:rPr>
              <w:t>2020/5/21</w:t>
            </w:r>
          </w:p>
        </w:tc>
        <w:tc>
          <w:tcPr>
            <w:tcW w:w="892" w:type="dxa"/>
            <w:vAlign w:val="top"/>
          </w:tcPr>
          <w:p w14:paraId="4DE18B07">
            <w:pPr>
              <w:pStyle w:val="6"/>
              <w:spacing w:before="114" w:line="199" w:lineRule="auto"/>
              <w:ind w:left="341"/>
            </w:pPr>
            <w:r>
              <w:rPr>
                <w:spacing w:val="-3"/>
              </w:rPr>
              <w:t>33</w:t>
            </w:r>
          </w:p>
        </w:tc>
        <w:tc>
          <w:tcPr>
            <w:tcW w:w="892" w:type="dxa"/>
            <w:vAlign w:val="top"/>
          </w:tcPr>
          <w:p w14:paraId="0ADD3C77">
            <w:pPr>
              <w:pStyle w:val="6"/>
              <w:spacing w:before="114" w:line="199" w:lineRule="auto"/>
              <w:ind w:left="412"/>
            </w:pPr>
            <w:r>
              <w:t>/</w:t>
            </w:r>
          </w:p>
        </w:tc>
        <w:tc>
          <w:tcPr>
            <w:tcW w:w="892" w:type="dxa"/>
            <w:vAlign w:val="top"/>
          </w:tcPr>
          <w:p w14:paraId="6B019997">
            <w:pPr>
              <w:pStyle w:val="6"/>
              <w:spacing w:before="114" w:line="199" w:lineRule="auto"/>
              <w:ind w:left="268"/>
            </w:pPr>
            <w:r>
              <w:rPr>
                <w:spacing w:val="-2"/>
              </w:rPr>
              <w:t>7.45</w:t>
            </w:r>
          </w:p>
        </w:tc>
        <w:tc>
          <w:tcPr>
            <w:tcW w:w="892" w:type="dxa"/>
            <w:vAlign w:val="top"/>
          </w:tcPr>
          <w:p w14:paraId="2DFA6B22">
            <w:pPr>
              <w:pStyle w:val="6"/>
              <w:spacing w:before="114" w:line="199" w:lineRule="auto"/>
              <w:ind w:left="418"/>
            </w:pPr>
            <w:r>
              <w:t>/</w:t>
            </w:r>
          </w:p>
        </w:tc>
        <w:tc>
          <w:tcPr>
            <w:tcW w:w="891" w:type="dxa"/>
            <w:vAlign w:val="top"/>
          </w:tcPr>
          <w:p w14:paraId="43280205">
            <w:pPr>
              <w:pStyle w:val="6"/>
              <w:spacing w:before="114" w:line="199" w:lineRule="auto"/>
              <w:ind w:left="274"/>
            </w:pPr>
            <w:r>
              <w:rPr>
                <w:spacing w:val="-2"/>
              </w:rPr>
              <w:t>0.06</w:t>
            </w:r>
          </w:p>
        </w:tc>
        <w:tc>
          <w:tcPr>
            <w:tcW w:w="906" w:type="dxa"/>
            <w:tcBorders>
              <w:right w:val="single" w:color="000000" w:sz="12" w:space="0"/>
            </w:tcBorders>
            <w:vAlign w:val="top"/>
          </w:tcPr>
          <w:p w14:paraId="1133D581">
            <w:pPr>
              <w:pStyle w:val="6"/>
              <w:spacing w:before="114" w:line="199" w:lineRule="auto"/>
              <w:ind w:left="425"/>
            </w:pPr>
            <w:r>
              <w:t>/</w:t>
            </w:r>
          </w:p>
        </w:tc>
      </w:tr>
      <w:tr w14:paraId="08F99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272" w:type="dxa"/>
            <w:vMerge w:val="continue"/>
            <w:tcBorders>
              <w:top w:val="nil"/>
              <w:left w:val="single" w:color="000000" w:sz="12" w:space="0"/>
              <w:bottom w:val="single" w:color="000000" w:sz="12" w:space="0"/>
            </w:tcBorders>
            <w:vAlign w:val="top"/>
          </w:tcPr>
          <w:p w14:paraId="61FC61BD">
            <w:pPr>
              <w:rPr>
                <w:rFonts w:ascii="Arial"/>
                <w:sz w:val="21"/>
              </w:rPr>
            </w:pPr>
          </w:p>
        </w:tc>
        <w:tc>
          <w:tcPr>
            <w:tcW w:w="422" w:type="dxa"/>
            <w:vMerge w:val="continue"/>
            <w:tcBorders>
              <w:top w:val="nil"/>
              <w:bottom w:val="single" w:color="000000" w:sz="12" w:space="0"/>
            </w:tcBorders>
            <w:vAlign w:val="top"/>
          </w:tcPr>
          <w:p w14:paraId="64852BDD">
            <w:pPr>
              <w:rPr>
                <w:rFonts w:ascii="Arial"/>
                <w:sz w:val="21"/>
              </w:rPr>
            </w:pPr>
          </w:p>
        </w:tc>
        <w:tc>
          <w:tcPr>
            <w:tcW w:w="1414" w:type="dxa"/>
            <w:tcBorders>
              <w:bottom w:val="single" w:color="000000" w:sz="12" w:space="0"/>
            </w:tcBorders>
            <w:vAlign w:val="top"/>
          </w:tcPr>
          <w:p w14:paraId="3E807E51">
            <w:pPr>
              <w:pStyle w:val="6"/>
              <w:spacing w:before="193" w:line="232" w:lineRule="auto"/>
              <w:ind w:left="274"/>
            </w:pPr>
            <w:r>
              <w:rPr>
                <w:spacing w:val="-1"/>
              </w:rPr>
              <w:t>2020/5/22</w:t>
            </w:r>
          </w:p>
        </w:tc>
        <w:tc>
          <w:tcPr>
            <w:tcW w:w="892" w:type="dxa"/>
            <w:tcBorders>
              <w:bottom w:val="single" w:color="000000" w:sz="12" w:space="0"/>
            </w:tcBorders>
            <w:vAlign w:val="top"/>
          </w:tcPr>
          <w:p w14:paraId="51F3C555">
            <w:pPr>
              <w:pStyle w:val="6"/>
              <w:spacing w:before="194" w:line="232" w:lineRule="auto"/>
              <w:ind w:left="341"/>
            </w:pPr>
            <w:r>
              <w:rPr>
                <w:spacing w:val="-3"/>
              </w:rPr>
              <w:t>30</w:t>
            </w:r>
          </w:p>
        </w:tc>
        <w:tc>
          <w:tcPr>
            <w:tcW w:w="892" w:type="dxa"/>
            <w:tcBorders>
              <w:bottom w:val="single" w:color="000000" w:sz="12" w:space="0"/>
            </w:tcBorders>
            <w:vAlign w:val="top"/>
          </w:tcPr>
          <w:p w14:paraId="2CE97251">
            <w:pPr>
              <w:pStyle w:val="6"/>
              <w:spacing w:before="193" w:line="232" w:lineRule="auto"/>
              <w:ind w:left="412"/>
            </w:pPr>
            <w:r>
              <w:t>/</w:t>
            </w:r>
          </w:p>
        </w:tc>
        <w:tc>
          <w:tcPr>
            <w:tcW w:w="892" w:type="dxa"/>
            <w:tcBorders>
              <w:bottom w:val="single" w:color="000000" w:sz="12" w:space="0"/>
            </w:tcBorders>
            <w:vAlign w:val="top"/>
          </w:tcPr>
          <w:p w14:paraId="53A403BC">
            <w:pPr>
              <w:pStyle w:val="6"/>
              <w:spacing w:before="193" w:line="232" w:lineRule="auto"/>
              <w:ind w:left="268"/>
            </w:pPr>
            <w:r>
              <w:rPr>
                <w:spacing w:val="-2"/>
              </w:rPr>
              <w:t>7.49</w:t>
            </w:r>
          </w:p>
        </w:tc>
        <w:tc>
          <w:tcPr>
            <w:tcW w:w="892" w:type="dxa"/>
            <w:tcBorders>
              <w:bottom w:val="single" w:color="000000" w:sz="12" w:space="0"/>
            </w:tcBorders>
            <w:vAlign w:val="top"/>
          </w:tcPr>
          <w:p w14:paraId="64BC34D4">
            <w:pPr>
              <w:pStyle w:val="6"/>
              <w:spacing w:before="193" w:line="232" w:lineRule="auto"/>
              <w:ind w:left="418"/>
            </w:pPr>
            <w:r>
              <w:t>/</w:t>
            </w:r>
          </w:p>
        </w:tc>
        <w:tc>
          <w:tcPr>
            <w:tcW w:w="891" w:type="dxa"/>
            <w:tcBorders>
              <w:bottom w:val="single" w:color="000000" w:sz="12" w:space="0"/>
            </w:tcBorders>
            <w:vAlign w:val="top"/>
          </w:tcPr>
          <w:p w14:paraId="76362153">
            <w:pPr>
              <w:pStyle w:val="6"/>
              <w:spacing w:before="193" w:line="232" w:lineRule="auto"/>
              <w:ind w:left="274"/>
            </w:pPr>
            <w:r>
              <w:rPr>
                <w:spacing w:val="-2"/>
              </w:rPr>
              <w:t>0.07</w:t>
            </w:r>
          </w:p>
        </w:tc>
        <w:tc>
          <w:tcPr>
            <w:tcW w:w="906" w:type="dxa"/>
            <w:tcBorders>
              <w:bottom w:val="single" w:color="000000" w:sz="12" w:space="0"/>
              <w:right w:val="single" w:color="000000" w:sz="12" w:space="0"/>
            </w:tcBorders>
            <w:vAlign w:val="top"/>
          </w:tcPr>
          <w:p w14:paraId="36813F98">
            <w:pPr>
              <w:pStyle w:val="6"/>
              <w:spacing w:before="193" w:line="232" w:lineRule="auto"/>
              <w:ind w:left="425"/>
            </w:pPr>
            <w:r>
              <w:t>/</w:t>
            </w:r>
          </w:p>
        </w:tc>
      </w:tr>
    </w:tbl>
    <w:p w14:paraId="484C20BE">
      <w:pPr>
        <w:rPr>
          <w:rFonts w:ascii="Arial"/>
          <w:sz w:val="21"/>
        </w:rPr>
      </w:pPr>
    </w:p>
    <w:p w14:paraId="17362C9A">
      <w:pPr>
        <w:rPr>
          <w:rFonts w:ascii="Arial" w:hAnsi="Arial" w:eastAsia="Arial" w:cs="Arial"/>
          <w:sz w:val="21"/>
          <w:szCs w:val="21"/>
        </w:rPr>
        <w:sectPr>
          <w:footerReference r:id="rId126" w:type="default"/>
          <w:pgSz w:w="11907" w:h="16839"/>
          <w:pgMar w:top="1376" w:right="1669" w:bottom="1061" w:left="1671" w:header="999" w:footer="861" w:gutter="0"/>
          <w:cols w:space="720" w:num="1"/>
        </w:sectPr>
      </w:pPr>
    </w:p>
    <w:p w14:paraId="2BBDBB0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04DD7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4E55C3D5">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422" w:type="dxa"/>
            <w:vMerge w:val="restart"/>
            <w:tcBorders>
              <w:top w:val="single" w:color="000000" w:sz="12" w:space="0"/>
              <w:bottom w:val="nil"/>
              <w:right w:val="nil"/>
            </w:tcBorders>
            <w:vAlign w:val="top"/>
          </w:tcPr>
          <w:p w14:paraId="3494D52E">
            <w:pPr>
              <w:rPr>
                <w:rFonts w:ascii="Arial"/>
                <w:sz w:val="21"/>
              </w:rPr>
            </w:pPr>
          </w:p>
        </w:tc>
        <w:tc>
          <w:tcPr>
            <w:tcW w:w="1414" w:type="dxa"/>
            <w:vMerge w:val="restart"/>
            <w:tcBorders>
              <w:top w:val="single" w:color="000000" w:sz="12" w:space="0"/>
              <w:left w:val="nil"/>
              <w:bottom w:val="nil"/>
            </w:tcBorders>
            <w:vAlign w:val="top"/>
          </w:tcPr>
          <w:p w14:paraId="71C6C4C0">
            <w:pPr>
              <w:spacing w:before="253" w:line="221" w:lineRule="auto"/>
              <w:ind w:left="77"/>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1A0F3E2C">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43611337">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22A73011">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50C9B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bottom w:val="nil"/>
            </w:tcBorders>
            <w:vAlign w:val="top"/>
          </w:tcPr>
          <w:p w14:paraId="1FFAC6D2">
            <w:pPr>
              <w:rPr>
                <w:rFonts w:ascii="Arial"/>
                <w:sz w:val="21"/>
              </w:rPr>
            </w:pPr>
          </w:p>
        </w:tc>
        <w:tc>
          <w:tcPr>
            <w:tcW w:w="422" w:type="dxa"/>
            <w:vMerge w:val="continue"/>
            <w:tcBorders>
              <w:top w:val="nil"/>
              <w:right w:val="nil"/>
            </w:tcBorders>
            <w:vAlign w:val="top"/>
          </w:tcPr>
          <w:p w14:paraId="1EC88E98">
            <w:pPr>
              <w:rPr>
                <w:rFonts w:ascii="Arial"/>
                <w:sz w:val="21"/>
              </w:rPr>
            </w:pPr>
          </w:p>
        </w:tc>
        <w:tc>
          <w:tcPr>
            <w:tcW w:w="1414" w:type="dxa"/>
            <w:vMerge w:val="continue"/>
            <w:tcBorders>
              <w:top w:val="nil"/>
              <w:left w:val="nil"/>
            </w:tcBorders>
            <w:vAlign w:val="top"/>
          </w:tcPr>
          <w:p w14:paraId="7AEAF337">
            <w:pPr>
              <w:rPr>
                <w:rFonts w:ascii="Arial"/>
                <w:sz w:val="21"/>
              </w:rPr>
            </w:pPr>
          </w:p>
        </w:tc>
        <w:tc>
          <w:tcPr>
            <w:tcW w:w="892" w:type="dxa"/>
            <w:vAlign w:val="top"/>
          </w:tcPr>
          <w:p w14:paraId="1323603F">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00D7B7B">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08DAB108">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31B44F8">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7E968221">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296D38B2">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0CDF3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2576778A">
            <w:pPr>
              <w:rPr>
                <w:rFonts w:ascii="Arial"/>
                <w:sz w:val="21"/>
              </w:rPr>
            </w:pPr>
          </w:p>
        </w:tc>
        <w:tc>
          <w:tcPr>
            <w:tcW w:w="422" w:type="dxa"/>
            <w:vMerge w:val="restart"/>
            <w:tcBorders>
              <w:bottom w:val="nil"/>
            </w:tcBorders>
            <w:vAlign w:val="top"/>
          </w:tcPr>
          <w:p w14:paraId="494D1326">
            <w:pPr>
              <w:pStyle w:val="6"/>
              <w:spacing w:before="153" w:line="222" w:lineRule="auto"/>
              <w:ind w:left="151"/>
            </w:pPr>
            <w:r>
              <w:t>3</w:t>
            </w:r>
          </w:p>
          <w:p w14:paraId="2D35DCA7">
            <w:pPr>
              <w:spacing w:line="219" w:lineRule="auto"/>
              <w:ind w:left="99"/>
              <w:rPr>
                <w:rFonts w:ascii="宋体" w:hAnsi="宋体" w:eastAsia="宋体" w:cs="宋体"/>
                <w:sz w:val="21"/>
                <w:szCs w:val="21"/>
              </w:rPr>
            </w:pPr>
            <w:r>
              <w:rPr>
                <w:rFonts w:ascii="宋体" w:hAnsi="宋体" w:eastAsia="宋体" w:cs="宋体"/>
                <w:sz w:val="21"/>
                <w:szCs w:val="21"/>
              </w:rPr>
              <w:t>季</w:t>
            </w:r>
          </w:p>
          <w:p w14:paraId="069481D3">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8B026E1">
            <w:pPr>
              <w:pStyle w:val="6"/>
              <w:spacing w:before="89" w:line="226" w:lineRule="auto"/>
              <w:ind w:left="274"/>
            </w:pPr>
            <w:r>
              <w:rPr>
                <w:spacing w:val="-1"/>
              </w:rPr>
              <w:t>2020/8/20</w:t>
            </w:r>
          </w:p>
        </w:tc>
        <w:tc>
          <w:tcPr>
            <w:tcW w:w="892" w:type="dxa"/>
            <w:vAlign w:val="top"/>
          </w:tcPr>
          <w:p w14:paraId="4D2637FE">
            <w:pPr>
              <w:pStyle w:val="6"/>
              <w:spacing w:before="89" w:line="226" w:lineRule="auto"/>
              <w:ind w:left="336"/>
            </w:pPr>
            <w:r>
              <w:rPr>
                <w:spacing w:val="-1"/>
              </w:rPr>
              <w:t>48</w:t>
            </w:r>
          </w:p>
        </w:tc>
        <w:tc>
          <w:tcPr>
            <w:tcW w:w="892" w:type="dxa"/>
            <w:vAlign w:val="top"/>
          </w:tcPr>
          <w:p w14:paraId="555CEDA0">
            <w:pPr>
              <w:pStyle w:val="6"/>
              <w:spacing w:before="89" w:line="226" w:lineRule="auto"/>
              <w:ind w:left="412"/>
            </w:pPr>
            <w:r>
              <w:t>/</w:t>
            </w:r>
          </w:p>
        </w:tc>
        <w:tc>
          <w:tcPr>
            <w:tcW w:w="892" w:type="dxa"/>
            <w:vAlign w:val="top"/>
          </w:tcPr>
          <w:p w14:paraId="48354A87">
            <w:pPr>
              <w:pStyle w:val="6"/>
              <w:spacing w:before="89" w:line="226" w:lineRule="auto"/>
              <w:ind w:left="268"/>
            </w:pPr>
            <w:r>
              <w:rPr>
                <w:spacing w:val="-2"/>
              </w:rPr>
              <w:t>7.61</w:t>
            </w:r>
          </w:p>
        </w:tc>
        <w:tc>
          <w:tcPr>
            <w:tcW w:w="892" w:type="dxa"/>
            <w:vAlign w:val="top"/>
          </w:tcPr>
          <w:p w14:paraId="6E4DB74D">
            <w:pPr>
              <w:pStyle w:val="6"/>
              <w:spacing w:before="89" w:line="226" w:lineRule="auto"/>
              <w:ind w:left="418"/>
            </w:pPr>
            <w:r>
              <w:t>/</w:t>
            </w:r>
          </w:p>
        </w:tc>
        <w:tc>
          <w:tcPr>
            <w:tcW w:w="891" w:type="dxa"/>
            <w:vAlign w:val="top"/>
          </w:tcPr>
          <w:p w14:paraId="02F4A3DF">
            <w:pPr>
              <w:pStyle w:val="6"/>
              <w:spacing w:before="89" w:line="226" w:lineRule="auto"/>
              <w:ind w:left="274"/>
            </w:pPr>
            <w:r>
              <w:rPr>
                <w:spacing w:val="-2"/>
              </w:rPr>
              <w:t>0.13</w:t>
            </w:r>
          </w:p>
        </w:tc>
        <w:tc>
          <w:tcPr>
            <w:tcW w:w="906" w:type="dxa"/>
            <w:tcBorders>
              <w:right w:val="single" w:color="000000" w:sz="12" w:space="0"/>
            </w:tcBorders>
            <w:vAlign w:val="top"/>
          </w:tcPr>
          <w:p w14:paraId="4565B1D5">
            <w:pPr>
              <w:pStyle w:val="6"/>
              <w:spacing w:before="89" w:line="226" w:lineRule="auto"/>
              <w:ind w:left="425"/>
            </w:pPr>
            <w:r>
              <w:t>/</w:t>
            </w:r>
          </w:p>
        </w:tc>
      </w:tr>
      <w:tr w14:paraId="03DC5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8D50D4B">
            <w:pPr>
              <w:rPr>
                <w:rFonts w:ascii="Arial"/>
                <w:sz w:val="21"/>
              </w:rPr>
            </w:pPr>
          </w:p>
        </w:tc>
        <w:tc>
          <w:tcPr>
            <w:tcW w:w="422" w:type="dxa"/>
            <w:vMerge w:val="continue"/>
            <w:tcBorders>
              <w:top w:val="nil"/>
              <w:bottom w:val="nil"/>
            </w:tcBorders>
            <w:vAlign w:val="top"/>
          </w:tcPr>
          <w:p w14:paraId="3B64DA0C">
            <w:pPr>
              <w:rPr>
                <w:rFonts w:ascii="Arial"/>
                <w:sz w:val="21"/>
              </w:rPr>
            </w:pPr>
          </w:p>
        </w:tc>
        <w:tc>
          <w:tcPr>
            <w:tcW w:w="1414" w:type="dxa"/>
            <w:vAlign w:val="top"/>
          </w:tcPr>
          <w:p w14:paraId="77B11515">
            <w:pPr>
              <w:pStyle w:val="6"/>
              <w:spacing w:before="89" w:line="224" w:lineRule="auto"/>
              <w:ind w:left="274"/>
            </w:pPr>
            <w:r>
              <w:rPr>
                <w:spacing w:val="-1"/>
              </w:rPr>
              <w:t>2020/8/21</w:t>
            </w:r>
          </w:p>
        </w:tc>
        <w:tc>
          <w:tcPr>
            <w:tcW w:w="892" w:type="dxa"/>
            <w:vAlign w:val="top"/>
          </w:tcPr>
          <w:p w14:paraId="0437E37F">
            <w:pPr>
              <w:pStyle w:val="6"/>
              <w:spacing w:before="89" w:line="224" w:lineRule="auto"/>
              <w:ind w:left="336"/>
            </w:pPr>
            <w:r>
              <w:rPr>
                <w:spacing w:val="-1"/>
              </w:rPr>
              <w:t>43</w:t>
            </w:r>
          </w:p>
        </w:tc>
        <w:tc>
          <w:tcPr>
            <w:tcW w:w="892" w:type="dxa"/>
            <w:vAlign w:val="top"/>
          </w:tcPr>
          <w:p w14:paraId="240004D2">
            <w:pPr>
              <w:pStyle w:val="6"/>
              <w:spacing w:before="89" w:line="224" w:lineRule="auto"/>
              <w:ind w:left="340"/>
            </w:pPr>
            <w:r>
              <w:rPr>
                <w:spacing w:val="-1"/>
              </w:rPr>
              <w:t>29</w:t>
            </w:r>
          </w:p>
        </w:tc>
        <w:tc>
          <w:tcPr>
            <w:tcW w:w="892" w:type="dxa"/>
            <w:vAlign w:val="top"/>
          </w:tcPr>
          <w:p w14:paraId="0A5E05EF">
            <w:pPr>
              <w:pStyle w:val="6"/>
              <w:spacing w:before="89" w:line="224" w:lineRule="auto"/>
              <w:ind w:left="268"/>
            </w:pPr>
            <w:r>
              <w:rPr>
                <w:spacing w:val="-2"/>
              </w:rPr>
              <w:t>7.54</w:t>
            </w:r>
          </w:p>
        </w:tc>
        <w:tc>
          <w:tcPr>
            <w:tcW w:w="892" w:type="dxa"/>
            <w:vAlign w:val="top"/>
          </w:tcPr>
          <w:p w14:paraId="0A311F21">
            <w:pPr>
              <w:pStyle w:val="6"/>
              <w:spacing w:before="89" w:line="224" w:lineRule="auto"/>
              <w:ind w:left="271"/>
            </w:pPr>
            <w:r>
              <w:rPr>
                <w:spacing w:val="-2"/>
              </w:rPr>
              <w:t>7.90</w:t>
            </w:r>
          </w:p>
        </w:tc>
        <w:tc>
          <w:tcPr>
            <w:tcW w:w="891" w:type="dxa"/>
            <w:vAlign w:val="top"/>
          </w:tcPr>
          <w:p w14:paraId="7B9DDA6D">
            <w:pPr>
              <w:pStyle w:val="6"/>
              <w:spacing w:before="89" w:line="224" w:lineRule="auto"/>
              <w:ind w:left="274"/>
            </w:pPr>
            <w:r>
              <w:rPr>
                <w:spacing w:val="-2"/>
              </w:rPr>
              <w:t>0.13</w:t>
            </w:r>
          </w:p>
        </w:tc>
        <w:tc>
          <w:tcPr>
            <w:tcW w:w="906" w:type="dxa"/>
            <w:tcBorders>
              <w:right w:val="single" w:color="000000" w:sz="12" w:space="0"/>
            </w:tcBorders>
            <w:vAlign w:val="top"/>
          </w:tcPr>
          <w:p w14:paraId="00FACAC3">
            <w:pPr>
              <w:pStyle w:val="6"/>
              <w:spacing w:before="89" w:line="224" w:lineRule="auto"/>
              <w:ind w:left="214"/>
            </w:pPr>
            <w:r>
              <w:rPr>
                <w:spacing w:val="-2"/>
              </w:rPr>
              <w:t>0.06L</w:t>
            </w:r>
          </w:p>
        </w:tc>
      </w:tr>
      <w:tr w14:paraId="45E01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5C8C6811">
            <w:pPr>
              <w:rPr>
                <w:rFonts w:ascii="Arial"/>
                <w:sz w:val="21"/>
              </w:rPr>
            </w:pPr>
          </w:p>
        </w:tc>
        <w:tc>
          <w:tcPr>
            <w:tcW w:w="422" w:type="dxa"/>
            <w:vMerge w:val="continue"/>
            <w:tcBorders>
              <w:top w:val="nil"/>
            </w:tcBorders>
            <w:vAlign w:val="top"/>
          </w:tcPr>
          <w:p w14:paraId="3BC85FCC">
            <w:pPr>
              <w:rPr>
                <w:rFonts w:ascii="Arial"/>
                <w:sz w:val="21"/>
              </w:rPr>
            </w:pPr>
          </w:p>
        </w:tc>
        <w:tc>
          <w:tcPr>
            <w:tcW w:w="1414" w:type="dxa"/>
            <w:vAlign w:val="top"/>
          </w:tcPr>
          <w:p w14:paraId="39572F35">
            <w:pPr>
              <w:pStyle w:val="6"/>
              <w:spacing w:before="90" w:line="224" w:lineRule="auto"/>
              <w:ind w:left="274"/>
            </w:pPr>
            <w:r>
              <w:rPr>
                <w:spacing w:val="-1"/>
              </w:rPr>
              <w:t>2020/8/22</w:t>
            </w:r>
          </w:p>
        </w:tc>
        <w:tc>
          <w:tcPr>
            <w:tcW w:w="892" w:type="dxa"/>
            <w:vAlign w:val="top"/>
          </w:tcPr>
          <w:p w14:paraId="0EFB541F">
            <w:pPr>
              <w:pStyle w:val="6"/>
              <w:spacing w:before="90" w:line="224" w:lineRule="auto"/>
              <w:ind w:left="336"/>
            </w:pPr>
            <w:r>
              <w:rPr>
                <w:spacing w:val="-1"/>
              </w:rPr>
              <w:t>46</w:t>
            </w:r>
          </w:p>
        </w:tc>
        <w:tc>
          <w:tcPr>
            <w:tcW w:w="892" w:type="dxa"/>
            <w:vAlign w:val="top"/>
          </w:tcPr>
          <w:p w14:paraId="35D4F80D">
            <w:pPr>
              <w:pStyle w:val="6"/>
              <w:spacing w:before="90" w:line="224" w:lineRule="auto"/>
              <w:ind w:left="345"/>
            </w:pPr>
            <w:r>
              <w:rPr>
                <w:spacing w:val="-3"/>
              </w:rPr>
              <w:t>35</w:t>
            </w:r>
          </w:p>
        </w:tc>
        <w:tc>
          <w:tcPr>
            <w:tcW w:w="892" w:type="dxa"/>
            <w:vAlign w:val="top"/>
          </w:tcPr>
          <w:p w14:paraId="4891C2E3">
            <w:pPr>
              <w:pStyle w:val="6"/>
              <w:spacing w:before="90" w:line="224" w:lineRule="auto"/>
              <w:ind w:left="268"/>
            </w:pPr>
            <w:r>
              <w:rPr>
                <w:spacing w:val="-2"/>
              </w:rPr>
              <w:t>7.66</w:t>
            </w:r>
          </w:p>
        </w:tc>
        <w:tc>
          <w:tcPr>
            <w:tcW w:w="892" w:type="dxa"/>
            <w:vAlign w:val="top"/>
          </w:tcPr>
          <w:p w14:paraId="7F8BC33A">
            <w:pPr>
              <w:pStyle w:val="6"/>
              <w:spacing w:before="90" w:line="224" w:lineRule="auto"/>
              <w:ind w:left="271"/>
            </w:pPr>
            <w:r>
              <w:rPr>
                <w:spacing w:val="-2"/>
              </w:rPr>
              <w:t>7.85</w:t>
            </w:r>
          </w:p>
        </w:tc>
        <w:tc>
          <w:tcPr>
            <w:tcW w:w="891" w:type="dxa"/>
            <w:vAlign w:val="top"/>
          </w:tcPr>
          <w:p w14:paraId="33EC3298">
            <w:pPr>
              <w:pStyle w:val="6"/>
              <w:spacing w:before="90" w:line="224" w:lineRule="auto"/>
              <w:ind w:left="274"/>
            </w:pPr>
            <w:r>
              <w:rPr>
                <w:spacing w:val="-2"/>
              </w:rPr>
              <w:t>0.12</w:t>
            </w:r>
          </w:p>
        </w:tc>
        <w:tc>
          <w:tcPr>
            <w:tcW w:w="906" w:type="dxa"/>
            <w:tcBorders>
              <w:right w:val="single" w:color="000000" w:sz="12" w:space="0"/>
            </w:tcBorders>
            <w:vAlign w:val="top"/>
          </w:tcPr>
          <w:p w14:paraId="6F5C8E79">
            <w:pPr>
              <w:pStyle w:val="6"/>
              <w:spacing w:before="90" w:line="224" w:lineRule="auto"/>
              <w:ind w:left="214"/>
            </w:pPr>
            <w:r>
              <w:rPr>
                <w:spacing w:val="-2"/>
              </w:rPr>
              <w:t>0.06L</w:t>
            </w:r>
          </w:p>
        </w:tc>
      </w:tr>
      <w:tr w14:paraId="1E8AA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D619514">
            <w:pPr>
              <w:rPr>
                <w:rFonts w:ascii="Arial"/>
                <w:sz w:val="21"/>
              </w:rPr>
            </w:pPr>
          </w:p>
        </w:tc>
        <w:tc>
          <w:tcPr>
            <w:tcW w:w="422" w:type="dxa"/>
            <w:vMerge w:val="restart"/>
            <w:tcBorders>
              <w:bottom w:val="nil"/>
            </w:tcBorders>
            <w:vAlign w:val="top"/>
          </w:tcPr>
          <w:p w14:paraId="693A8EBE">
            <w:pPr>
              <w:pStyle w:val="6"/>
              <w:spacing w:before="155" w:line="222" w:lineRule="auto"/>
              <w:ind w:left="146"/>
            </w:pPr>
            <w:r>
              <w:t>4</w:t>
            </w:r>
          </w:p>
          <w:p w14:paraId="2C46C8FB">
            <w:pPr>
              <w:spacing w:line="219" w:lineRule="auto"/>
              <w:ind w:left="99"/>
              <w:rPr>
                <w:rFonts w:ascii="宋体" w:hAnsi="宋体" w:eastAsia="宋体" w:cs="宋体"/>
                <w:sz w:val="21"/>
                <w:szCs w:val="21"/>
              </w:rPr>
            </w:pPr>
            <w:r>
              <w:rPr>
                <w:rFonts w:ascii="宋体" w:hAnsi="宋体" w:eastAsia="宋体" w:cs="宋体"/>
                <w:sz w:val="21"/>
                <w:szCs w:val="21"/>
              </w:rPr>
              <w:t>季</w:t>
            </w:r>
          </w:p>
          <w:p w14:paraId="4CF1862F">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24B298F5">
            <w:pPr>
              <w:pStyle w:val="6"/>
              <w:spacing w:before="90" w:line="223" w:lineRule="auto"/>
              <w:ind w:left="221"/>
            </w:pPr>
            <w:r>
              <w:rPr>
                <w:spacing w:val="-1"/>
              </w:rPr>
              <w:t>2020/11/15</w:t>
            </w:r>
          </w:p>
        </w:tc>
        <w:tc>
          <w:tcPr>
            <w:tcW w:w="892" w:type="dxa"/>
            <w:vAlign w:val="top"/>
          </w:tcPr>
          <w:p w14:paraId="14A4AD9D">
            <w:pPr>
              <w:pStyle w:val="6"/>
              <w:spacing w:before="90" w:line="223" w:lineRule="auto"/>
              <w:ind w:left="337"/>
            </w:pPr>
            <w:r>
              <w:rPr>
                <w:spacing w:val="-1"/>
              </w:rPr>
              <w:t>28</w:t>
            </w:r>
          </w:p>
        </w:tc>
        <w:tc>
          <w:tcPr>
            <w:tcW w:w="892" w:type="dxa"/>
            <w:vAlign w:val="top"/>
          </w:tcPr>
          <w:p w14:paraId="61F330A4">
            <w:pPr>
              <w:pStyle w:val="6"/>
              <w:spacing w:before="90" w:line="223" w:lineRule="auto"/>
              <w:ind w:left="345"/>
            </w:pPr>
            <w:r>
              <w:rPr>
                <w:spacing w:val="-3"/>
              </w:rPr>
              <w:t>33</w:t>
            </w:r>
          </w:p>
        </w:tc>
        <w:tc>
          <w:tcPr>
            <w:tcW w:w="892" w:type="dxa"/>
            <w:vAlign w:val="top"/>
          </w:tcPr>
          <w:p w14:paraId="790CF41E">
            <w:pPr>
              <w:pStyle w:val="6"/>
              <w:spacing w:before="90" w:line="223" w:lineRule="auto"/>
              <w:ind w:left="268"/>
            </w:pPr>
            <w:r>
              <w:rPr>
                <w:spacing w:val="-2"/>
              </w:rPr>
              <w:t>7.64</w:t>
            </w:r>
          </w:p>
        </w:tc>
        <w:tc>
          <w:tcPr>
            <w:tcW w:w="892" w:type="dxa"/>
            <w:vAlign w:val="top"/>
          </w:tcPr>
          <w:p w14:paraId="0A5DF2F4">
            <w:pPr>
              <w:pStyle w:val="6"/>
              <w:spacing w:before="90" w:line="223" w:lineRule="auto"/>
              <w:ind w:left="271"/>
            </w:pPr>
            <w:r>
              <w:rPr>
                <w:spacing w:val="-2"/>
              </w:rPr>
              <w:t>7.93</w:t>
            </w:r>
          </w:p>
        </w:tc>
        <w:tc>
          <w:tcPr>
            <w:tcW w:w="891" w:type="dxa"/>
            <w:vAlign w:val="top"/>
          </w:tcPr>
          <w:p w14:paraId="12428217">
            <w:pPr>
              <w:pStyle w:val="6"/>
              <w:spacing w:before="90" w:line="223" w:lineRule="auto"/>
              <w:ind w:left="211"/>
            </w:pPr>
            <w:r>
              <w:rPr>
                <w:spacing w:val="-2"/>
              </w:rPr>
              <w:t>0.06L</w:t>
            </w:r>
          </w:p>
        </w:tc>
        <w:tc>
          <w:tcPr>
            <w:tcW w:w="906" w:type="dxa"/>
            <w:tcBorders>
              <w:right w:val="single" w:color="000000" w:sz="12" w:space="0"/>
            </w:tcBorders>
            <w:vAlign w:val="top"/>
          </w:tcPr>
          <w:p w14:paraId="5FFC7E37">
            <w:pPr>
              <w:pStyle w:val="6"/>
              <w:spacing w:before="90" w:line="223" w:lineRule="auto"/>
              <w:ind w:left="214"/>
            </w:pPr>
            <w:r>
              <w:rPr>
                <w:spacing w:val="-2"/>
              </w:rPr>
              <w:t>0.06L</w:t>
            </w:r>
          </w:p>
        </w:tc>
      </w:tr>
      <w:tr w14:paraId="1BC83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8E72C52">
            <w:pPr>
              <w:rPr>
                <w:rFonts w:ascii="Arial"/>
                <w:sz w:val="21"/>
              </w:rPr>
            </w:pPr>
          </w:p>
        </w:tc>
        <w:tc>
          <w:tcPr>
            <w:tcW w:w="422" w:type="dxa"/>
            <w:vMerge w:val="continue"/>
            <w:tcBorders>
              <w:top w:val="nil"/>
              <w:bottom w:val="nil"/>
            </w:tcBorders>
            <w:vAlign w:val="top"/>
          </w:tcPr>
          <w:p w14:paraId="52A869CB">
            <w:pPr>
              <w:rPr>
                <w:rFonts w:ascii="Arial"/>
                <w:sz w:val="21"/>
              </w:rPr>
            </w:pPr>
          </w:p>
        </w:tc>
        <w:tc>
          <w:tcPr>
            <w:tcW w:w="1414" w:type="dxa"/>
            <w:vAlign w:val="top"/>
          </w:tcPr>
          <w:p w14:paraId="15B79754">
            <w:pPr>
              <w:pStyle w:val="6"/>
              <w:spacing w:before="92" w:line="221" w:lineRule="auto"/>
              <w:ind w:left="221"/>
            </w:pPr>
            <w:r>
              <w:rPr>
                <w:spacing w:val="-1"/>
              </w:rPr>
              <w:t>2020/11/16</w:t>
            </w:r>
          </w:p>
        </w:tc>
        <w:tc>
          <w:tcPr>
            <w:tcW w:w="892" w:type="dxa"/>
            <w:vAlign w:val="top"/>
          </w:tcPr>
          <w:p w14:paraId="6552DC53">
            <w:pPr>
              <w:pStyle w:val="6"/>
              <w:spacing w:before="92" w:line="221" w:lineRule="auto"/>
              <w:ind w:left="341"/>
            </w:pPr>
            <w:r>
              <w:rPr>
                <w:spacing w:val="-3"/>
              </w:rPr>
              <w:t>31</w:t>
            </w:r>
          </w:p>
        </w:tc>
        <w:tc>
          <w:tcPr>
            <w:tcW w:w="892" w:type="dxa"/>
            <w:vAlign w:val="top"/>
          </w:tcPr>
          <w:p w14:paraId="4D6289F5">
            <w:pPr>
              <w:pStyle w:val="6"/>
              <w:spacing w:before="92" w:line="221" w:lineRule="auto"/>
              <w:ind w:left="360"/>
            </w:pPr>
            <w:r>
              <w:rPr>
                <w:spacing w:val="-6"/>
              </w:rPr>
              <w:t>17</w:t>
            </w:r>
          </w:p>
        </w:tc>
        <w:tc>
          <w:tcPr>
            <w:tcW w:w="892" w:type="dxa"/>
            <w:vAlign w:val="top"/>
          </w:tcPr>
          <w:p w14:paraId="3FA0FB97">
            <w:pPr>
              <w:pStyle w:val="6"/>
              <w:spacing w:before="92" w:line="221" w:lineRule="auto"/>
              <w:ind w:left="268"/>
            </w:pPr>
            <w:r>
              <w:rPr>
                <w:spacing w:val="-2"/>
              </w:rPr>
              <w:t>7.56</w:t>
            </w:r>
          </w:p>
        </w:tc>
        <w:tc>
          <w:tcPr>
            <w:tcW w:w="892" w:type="dxa"/>
            <w:vAlign w:val="top"/>
          </w:tcPr>
          <w:p w14:paraId="0885BF75">
            <w:pPr>
              <w:pStyle w:val="6"/>
              <w:spacing w:before="92" w:line="221" w:lineRule="auto"/>
              <w:ind w:left="271"/>
            </w:pPr>
            <w:r>
              <w:rPr>
                <w:spacing w:val="-2"/>
              </w:rPr>
              <w:t>7.91</w:t>
            </w:r>
          </w:p>
        </w:tc>
        <w:tc>
          <w:tcPr>
            <w:tcW w:w="891" w:type="dxa"/>
            <w:vAlign w:val="top"/>
          </w:tcPr>
          <w:p w14:paraId="5E65720A">
            <w:pPr>
              <w:pStyle w:val="6"/>
              <w:spacing w:before="92" w:line="221" w:lineRule="auto"/>
              <w:ind w:left="211"/>
            </w:pPr>
            <w:r>
              <w:rPr>
                <w:spacing w:val="-2"/>
              </w:rPr>
              <w:t>0.06L</w:t>
            </w:r>
          </w:p>
        </w:tc>
        <w:tc>
          <w:tcPr>
            <w:tcW w:w="906" w:type="dxa"/>
            <w:tcBorders>
              <w:right w:val="single" w:color="000000" w:sz="12" w:space="0"/>
            </w:tcBorders>
            <w:vAlign w:val="top"/>
          </w:tcPr>
          <w:p w14:paraId="610A1BDF">
            <w:pPr>
              <w:pStyle w:val="6"/>
              <w:spacing w:before="92" w:line="221" w:lineRule="auto"/>
              <w:ind w:left="214"/>
            </w:pPr>
            <w:r>
              <w:rPr>
                <w:spacing w:val="-2"/>
              </w:rPr>
              <w:t>0.06L</w:t>
            </w:r>
          </w:p>
        </w:tc>
      </w:tr>
      <w:tr w14:paraId="124F5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tcBorders>
            <w:vAlign w:val="top"/>
          </w:tcPr>
          <w:p w14:paraId="2EFB2D04">
            <w:pPr>
              <w:rPr>
                <w:rFonts w:ascii="Arial"/>
                <w:sz w:val="21"/>
              </w:rPr>
            </w:pPr>
          </w:p>
        </w:tc>
        <w:tc>
          <w:tcPr>
            <w:tcW w:w="422" w:type="dxa"/>
            <w:vMerge w:val="continue"/>
            <w:tcBorders>
              <w:top w:val="nil"/>
            </w:tcBorders>
            <w:vAlign w:val="top"/>
          </w:tcPr>
          <w:p w14:paraId="1E07DAB2">
            <w:pPr>
              <w:rPr>
                <w:rFonts w:ascii="Arial"/>
                <w:sz w:val="21"/>
              </w:rPr>
            </w:pPr>
          </w:p>
        </w:tc>
        <w:tc>
          <w:tcPr>
            <w:tcW w:w="1414" w:type="dxa"/>
            <w:vAlign w:val="top"/>
          </w:tcPr>
          <w:p w14:paraId="5BA1DB22">
            <w:pPr>
              <w:pStyle w:val="6"/>
              <w:spacing w:before="93" w:line="221" w:lineRule="auto"/>
              <w:ind w:left="221"/>
            </w:pPr>
            <w:r>
              <w:rPr>
                <w:spacing w:val="-1"/>
              </w:rPr>
              <w:t>2020/11/17</w:t>
            </w:r>
          </w:p>
        </w:tc>
        <w:tc>
          <w:tcPr>
            <w:tcW w:w="892" w:type="dxa"/>
            <w:vAlign w:val="top"/>
          </w:tcPr>
          <w:p w14:paraId="52D12CD5">
            <w:pPr>
              <w:pStyle w:val="6"/>
              <w:spacing w:before="93" w:line="221" w:lineRule="auto"/>
              <w:ind w:left="337"/>
            </w:pPr>
            <w:r>
              <w:rPr>
                <w:spacing w:val="-1"/>
              </w:rPr>
              <w:t>27</w:t>
            </w:r>
          </w:p>
        </w:tc>
        <w:tc>
          <w:tcPr>
            <w:tcW w:w="892" w:type="dxa"/>
            <w:vAlign w:val="top"/>
          </w:tcPr>
          <w:p w14:paraId="4824ABF3">
            <w:pPr>
              <w:pStyle w:val="6"/>
              <w:spacing w:before="93" w:line="221" w:lineRule="auto"/>
              <w:ind w:left="340"/>
            </w:pPr>
            <w:r>
              <w:rPr>
                <w:spacing w:val="-1"/>
              </w:rPr>
              <w:t>21</w:t>
            </w:r>
          </w:p>
        </w:tc>
        <w:tc>
          <w:tcPr>
            <w:tcW w:w="892" w:type="dxa"/>
            <w:vAlign w:val="top"/>
          </w:tcPr>
          <w:p w14:paraId="0EF44EFC">
            <w:pPr>
              <w:pStyle w:val="6"/>
              <w:spacing w:before="93" w:line="221" w:lineRule="auto"/>
              <w:ind w:left="268"/>
            </w:pPr>
            <w:r>
              <w:rPr>
                <w:spacing w:val="-2"/>
              </w:rPr>
              <w:t>7.59</w:t>
            </w:r>
          </w:p>
        </w:tc>
        <w:tc>
          <w:tcPr>
            <w:tcW w:w="892" w:type="dxa"/>
            <w:vAlign w:val="top"/>
          </w:tcPr>
          <w:p w14:paraId="37868327">
            <w:pPr>
              <w:pStyle w:val="6"/>
              <w:spacing w:before="93" w:line="221" w:lineRule="auto"/>
              <w:ind w:left="271"/>
            </w:pPr>
            <w:r>
              <w:rPr>
                <w:spacing w:val="-2"/>
              </w:rPr>
              <w:t>7.92</w:t>
            </w:r>
          </w:p>
        </w:tc>
        <w:tc>
          <w:tcPr>
            <w:tcW w:w="891" w:type="dxa"/>
            <w:vAlign w:val="top"/>
          </w:tcPr>
          <w:p w14:paraId="529DAE52">
            <w:pPr>
              <w:pStyle w:val="6"/>
              <w:spacing w:before="93" w:line="221" w:lineRule="auto"/>
              <w:ind w:left="211"/>
            </w:pPr>
            <w:r>
              <w:rPr>
                <w:spacing w:val="-2"/>
              </w:rPr>
              <w:t>0.06L</w:t>
            </w:r>
          </w:p>
        </w:tc>
        <w:tc>
          <w:tcPr>
            <w:tcW w:w="906" w:type="dxa"/>
            <w:tcBorders>
              <w:right w:val="single" w:color="000000" w:sz="12" w:space="0"/>
            </w:tcBorders>
            <w:vAlign w:val="top"/>
          </w:tcPr>
          <w:p w14:paraId="3FE75217">
            <w:pPr>
              <w:pStyle w:val="6"/>
              <w:spacing w:before="93" w:line="221" w:lineRule="auto"/>
              <w:ind w:left="214"/>
            </w:pPr>
            <w:r>
              <w:rPr>
                <w:spacing w:val="-2"/>
              </w:rPr>
              <w:t>0.06L</w:t>
            </w:r>
          </w:p>
        </w:tc>
      </w:tr>
      <w:tr w14:paraId="7FC76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3514AE46">
            <w:pPr>
              <w:spacing w:line="242" w:lineRule="auto"/>
              <w:rPr>
                <w:rFonts w:ascii="Arial"/>
                <w:sz w:val="21"/>
              </w:rPr>
            </w:pPr>
          </w:p>
          <w:p w14:paraId="306A7AAD">
            <w:pPr>
              <w:spacing w:line="242" w:lineRule="auto"/>
              <w:rPr>
                <w:rFonts w:ascii="Arial"/>
                <w:sz w:val="21"/>
              </w:rPr>
            </w:pPr>
          </w:p>
          <w:p w14:paraId="54F8A3D9">
            <w:pPr>
              <w:spacing w:line="242" w:lineRule="auto"/>
              <w:rPr>
                <w:rFonts w:ascii="Arial"/>
                <w:sz w:val="21"/>
              </w:rPr>
            </w:pPr>
          </w:p>
          <w:p w14:paraId="0536125A">
            <w:pPr>
              <w:spacing w:line="242" w:lineRule="auto"/>
              <w:rPr>
                <w:rFonts w:ascii="Arial"/>
                <w:sz w:val="21"/>
              </w:rPr>
            </w:pPr>
          </w:p>
          <w:p w14:paraId="0B1AE921">
            <w:pPr>
              <w:spacing w:line="242" w:lineRule="auto"/>
              <w:rPr>
                <w:rFonts w:ascii="Arial"/>
                <w:sz w:val="21"/>
              </w:rPr>
            </w:pPr>
          </w:p>
          <w:p w14:paraId="7782A42D">
            <w:pPr>
              <w:spacing w:line="243" w:lineRule="auto"/>
              <w:rPr>
                <w:rFonts w:ascii="Arial"/>
                <w:sz w:val="21"/>
              </w:rPr>
            </w:pPr>
          </w:p>
          <w:p w14:paraId="02046BD0">
            <w:pPr>
              <w:spacing w:line="243" w:lineRule="auto"/>
              <w:rPr>
                <w:rFonts w:ascii="Arial"/>
                <w:sz w:val="21"/>
              </w:rPr>
            </w:pPr>
          </w:p>
          <w:p w14:paraId="02F48327">
            <w:pPr>
              <w:pStyle w:val="6"/>
              <w:spacing w:before="68" w:line="236" w:lineRule="auto"/>
              <w:ind w:left="207" w:right="109" w:hanging="109"/>
              <w:rPr>
                <w:rFonts w:ascii="宋体" w:hAnsi="宋体" w:eastAsia="宋体" w:cs="宋体"/>
              </w:rPr>
            </w:pPr>
            <w:r>
              <w:rPr>
                <w:spacing w:val="-2"/>
              </w:rPr>
              <w:t>7#</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6E6714DF">
            <w:pPr>
              <w:pStyle w:val="6"/>
              <w:spacing w:before="158" w:line="222" w:lineRule="auto"/>
              <w:ind w:left="167"/>
            </w:pPr>
            <w:r>
              <w:t>1</w:t>
            </w:r>
          </w:p>
          <w:p w14:paraId="4BCE4AE6">
            <w:pPr>
              <w:spacing w:line="219" w:lineRule="auto"/>
              <w:ind w:left="99"/>
              <w:rPr>
                <w:rFonts w:ascii="宋体" w:hAnsi="宋体" w:eastAsia="宋体" w:cs="宋体"/>
                <w:sz w:val="21"/>
                <w:szCs w:val="21"/>
              </w:rPr>
            </w:pPr>
            <w:r>
              <w:rPr>
                <w:rFonts w:ascii="宋体" w:hAnsi="宋体" w:eastAsia="宋体" w:cs="宋体"/>
                <w:sz w:val="21"/>
                <w:szCs w:val="21"/>
              </w:rPr>
              <w:t>季</w:t>
            </w:r>
          </w:p>
          <w:p w14:paraId="4708CB95">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C8409D8">
            <w:pPr>
              <w:pStyle w:val="6"/>
              <w:spacing w:before="94" w:line="219" w:lineRule="auto"/>
              <w:ind w:left="274"/>
            </w:pPr>
            <w:r>
              <w:rPr>
                <w:spacing w:val="-1"/>
              </w:rPr>
              <w:t>2020/3/10</w:t>
            </w:r>
          </w:p>
        </w:tc>
        <w:tc>
          <w:tcPr>
            <w:tcW w:w="892" w:type="dxa"/>
            <w:vAlign w:val="top"/>
          </w:tcPr>
          <w:p w14:paraId="5C75280C">
            <w:pPr>
              <w:pStyle w:val="6"/>
              <w:spacing w:before="94" w:line="219" w:lineRule="auto"/>
              <w:ind w:left="357"/>
            </w:pPr>
            <w:r>
              <w:rPr>
                <w:spacing w:val="-6"/>
              </w:rPr>
              <w:t>19</w:t>
            </w:r>
          </w:p>
        </w:tc>
        <w:tc>
          <w:tcPr>
            <w:tcW w:w="892" w:type="dxa"/>
            <w:vAlign w:val="top"/>
          </w:tcPr>
          <w:p w14:paraId="5DF3C97C">
            <w:pPr>
              <w:pStyle w:val="6"/>
              <w:spacing w:before="99" w:line="214" w:lineRule="auto"/>
              <w:ind w:left="297"/>
            </w:pPr>
            <w:r>
              <w:rPr>
                <w:b/>
                <w:bCs/>
                <w:spacing w:val="-4"/>
              </w:rPr>
              <w:t>124</w:t>
            </w:r>
          </w:p>
        </w:tc>
        <w:tc>
          <w:tcPr>
            <w:tcW w:w="892" w:type="dxa"/>
            <w:vAlign w:val="top"/>
          </w:tcPr>
          <w:p w14:paraId="21C57A10">
            <w:pPr>
              <w:pStyle w:val="6"/>
              <w:spacing w:before="94" w:line="219" w:lineRule="auto"/>
              <w:ind w:left="268"/>
            </w:pPr>
            <w:r>
              <w:rPr>
                <w:spacing w:val="-2"/>
              </w:rPr>
              <w:t>7.84</w:t>
            </w:r>
          </w:p>
        </w:tc>
        <w:tc>
          <w:tcPr>
            <w:tcW w:w="892" w:type="dxa"/>
            <w:vAlign w:val="top"/>
          </w:tcPr>
          <w:p w14:paraId="7022C878">
            <w:pPr>
              <w:pStyle w:val="6"/>
              <w:spacing w:before="94" w:line="219" w:lineRule="auto"/>
              <w:ind w:left="271"/>
            </w:pPr>
            <w:r>
              <w:rPr>
                <w:spacing w:val="-2"/>
              </w:rPr>
              <w:t>7.85</w:t>
            </w:r>
          </w:p>
        </w:tc>
        <w:tc>
          <w:tcPr>
            <w:tcW w:w="891" w:type="dxa"/>
            <w:vAlign w:val="top"/>
          </w:tcPr>
          <w:p w14:paraId="704D61EC">
            <w:pPr>
              <w:pStyle w:val="6"/>
              <w:spacing w:before="94" w:line="219" w:lineRule="auto"/>
              <w:ind w:left="211"/>
            </w:pPr>
            <w:r>
              <w:rPr>
                <w:spacing w:val="-2"/>
              </w:rPr>
              <w:t>0.06L</w:t>
            </w:r>
          </w:p>
        </w:tc>
        <w:tc>
          <w:tcPr>
            <w:tcW w:w="906" w:type="dxa"/>
            <w:tcBorders>
              <w:right w:val="single" w:color="000000" w:sz="12" w:space="0"/>
            </w:tcBorders>
            <w:vAlign w:val="top"/>
          </w:tcPr>
          <w:p w14:paraId="1EACFAB5">
            <w:pPr>
              <w:pStyle w:val="6"/>
              <w:spacing w:before="94" w:line="219" w:lineRule="auto"/>
              <w:ind w:left="277"/>
            </w:pPr>
            <w:r>
              <w:rPr>
                <w:spacing w:val="-2"/>
              </w:rPr>
              <w:t>0.30</w:t>
            </w:r>
          </w:p>
        </w:tc>
      </w:tr>
      <w:tr w14:paraId="237E4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32C467E">
            <w:pPr>
              <w:rPr>
                <w:rFonts w:ascii="Arial"/>
                <w:sz w:val="21"/>
              </w:rPr>
            </w:pPr>
          </w:p>
        </w:tc>
        <w:tc>
          <w:tcPr>
            <w:tcW w:w="422" w:type="dxa"/>
            <w:vMerge w:val="continue"/>
            <w:tcBorders>
              <w:top w:val="nil"/>
              <w:bottom w:val="nil"/>
            </w:tcBorders>
            <w:vAlign w:val="top"/>
          </w:tcPr>
          <w:p w14:paraId="7CEAA2F1">
            <w:pPr>
              <w:rPr>
                <w:rFonts w:ascii="Arial"/>
                <w:sz w:val="21"/>
              </w:rPr>
            </w:pPr>
          </w:p>
        </w:tc>
        <w:tc>
          <w:tcPr>
            <w:tcW w:w="1414" w:type="dxa"/>
            <w:vAlign w:val="top"/>
          </w:tcPr>
          <w:p w14:paraId="37A309D5">
            <w:pPr>
              <w:pStyle w:val="6"/>
              <w:spacing w:before="95" w:line="219" w:lineRule="auto"/>
              <w:ind w:left="274"/>
            </w:pPr>
            <w:r>
              <w:rPr>
                <w:spacing w:val="-1"/>
              </w:rPr>
              <w:t>2020/3/11</w:t>
            </w:r>
          </w:p>
        </w:tc>
        <w:tc>
          <w:tcPr>
            <w:tcW w:w="892" w:type="dxa"/>
            <w:vAlign w:val="top"/>
          </w:tcPr>
          <w:p w14:paraId="2E8041EB">
            <w:pPr>
              <w:pStyle w:val="6"/>
              <w:spacing w:before="95" w:line="219" w:lineRule="auto"/>
              <w:ind w:left="357"/>
            </w:pPr>
            <w:r>
              <w:rPr>
                <w:spacing w:val="-6"/>
              </w:rPr>
              <w:t>18</w:t>
            </w:r>
          </w:p>
        </w:tc>
        <w:tc>
          <w:tcPr>
            <w:tcW w:w="892" w:type="dxa"/>
            <w:vAlign w:val="top"/>
          </w:tcPr>
          <w:p w14:paraId="3C2E48E7">
            <w:pPr>
              <w:pStyle w:val="6"/>
              <w:spacing w:before="95" w:line="219" w:lineRule="auto"/>
              <w:ind w:left="360"/>
            </w:pPr>
            <w:r>
              <w:rPr>
                <w:spacing w:val="-6"/>
              </w:rPr>
              <w:t>12</w:t>
            </w:r>
          </w:p>
        </w:tc>
        <w:tc>
          <w:tcPr>
            <w:tcW w:w="892" w:type="dxa"/>
            <w:vAlign w:val="top"/>
          </w:tcPr>
          <w:p w14:paraId="1343E497">
            <w:pPr>
              <w:pStyle w:val="6"/>
              <w:spacing w:before="95" w:line="219" w:lineRule="auto"/>
              <w:ind w:left="268"/>
            </w:pPr>
            <w:r>
              <w:rPr>
                <w:spacing w:val="-2"/>
              </w:rPr>
              <w:t>7.13</w:t>
            </w:r>
          </w:p>
        </w:tc>
        <w:tc>
          <w:tcPr>
            <w:tcW w:w="892" w:type="dxa"/>
            <w:vAlign w:val="top"/>
          </w:tcPr>
          <w:p w14:paraId="3F82D805">
            <w:pPr>
              <w:pStyle w:val="6"/>
              <w:spacing w:before="95" w:line="219" w:lineRule="auto"/>
              <w:ind w:left="271"/>
            </w:pPr>
            <w:r>
              <w:rPr>
                <w:spacing w:val="-2"/>
              </w:rPr>
              <w:t>7.23</w:t>
            </w:r>
          </w:p>
        </w:tc>
        <w:tc>
          <w:tcPr>
            <w:tcW w:w="891" w:type="dxa"/>
            <w:vAlign w:val="top"/>
          </w:tcPr>
          <w:p w14:paraId="1BB8B7EB">
            <w:pPr>
              <w:pStyle w:val="6"/>
              <w:spacing w:before="95" w:line="219" w:lineRule="auto"/>
              <w:ind w:left="274"/>
            </w:pPr>
            <w:r>
              <w:rPr>
                <w:spacing w:val="-2"/>
              </w:rPr>
              <w:t>0.26</w:t>
            </w:r>
          </w:p>
        </w:tc>
        <w:tc>
          <w:tcPr>
            <w:tcW w:w="906" w:type="dxa"/>
            <w:tcBorders>
              <w:right w:val="single" w:color="000000" w:sz="12" w:space="0"/>
            </w:tcBorders>
            <w:vAlign w:val="top"/>
          </w:tcPr>
          <w:p w14:paraId="541D1B5B">
            <w:pPr>
              <w:pStyle w:val="6"/>
              <w:spacing w:before="95" w:line="219" w:lineRule="auto"/>
              <w:ind w:left="277"/>
            </w:pPr>
            <w:r>
              <w:rPr>
                <w:spacing w:val="-2"/>
              </w:rPr>
              <w:t>0.09</w:t>
            </w:r>
          </w:p>
        </w:tc>
      </w:tr>
      <w:tr w14:paraId="26273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11FEB2F">
            <w:pPr>
              <w:rPr>
                <w:rFonts w:ascii="Arial"/>
                <w:sz w:val="21"/>
              </w:rPr>
            </w:pPr>
          </w:p>
        </w:tc>
        <w:tc>
          <w:tcPr>
            <w:tcW w:w="422" w:type="dxa"/>
            <w:vMerge w:val="continue"/>
            <w:tcBorders>
              <w:top w:val="nil"/>
            </w:tcBorders>
            <w:vAlign w:val="top"/>
          </w:tcPr>
          <w:p w14:paraId="055DB7EE">
            <w:pPr>
              <w:rPr>
                <w:rFonts w:ascii="Arial"/>
                <w:sz w:val="21"/>
              </w:rPr>
            </w:pPr>
          </w:p>
        </w:tc>
        <w:tc>
          <w:tcPr>
            <w:tcW w:w="1414" w:type="dxa"/>
            <w:vAlign w:val="top"/>
          </w:tcPr>
          <w:p w14:paraId="27E92B9B">
            <w:pPr>
              <w:pStyle w:val="6"/>
              <w:spacing w:before="95" w:line="218" w:lineRule="auto"/>
              <w:ind w:left="274"/>
            </w:pPr>
            <w:r>
              <w:rPr>
                <w:spacing w:val="-1"/>
              </w:rPr>
              <w:t>2020/3/12</w:t>
            </w:r>
          </w:p>
        </w:tc>
        <w:tc>
          <w:tcPr>
            <w:tcW w:w="892" w:type="dxa"/>
            <w:vAlign w:val="top"/>
          </w:tcPr>
          <w:p w14:paraId="68CD0D87">
            <w:pPr>
              <w:pStyle w:val="6"/>
              <w:spacing w:before="95" w:line="218" w:lineRule="auto"/>
              <w:ind w:left="337"/>
            </w:pPr>
            <w:r>
              <w:rPr>
                <w:spacing w:val="-1"/>
              </w:rPr>
              <w:t>21</w:t>
            </w:r>
          </w:p>
        </w:tc>
        <w:tc>
          <w:tcPr>
            <w:tcW w:w="892" w:type="dxa"/>
            <w:vAlign w:val="top"/>
          </w:tcPr>
          <w:p w14:paraId="564C7BE8">
            <w:pPr>
              <w:pStyle w:val="6"/>
              <w:spacing w:before="95" w:line="218" w:lineRule="auto"/>
              <w:ind w:left="360"/>
            </w:pPr>
            <w:r>
              <w:rPr>
                <w:spacing w:val="-6"/>
              </w:rPr>
              <w:t>15</w:t>
            </w:r>
          </w:p>
        </w:tc>
        <w:tc>
          <w:tcPr>
            <w:tcW w:w="892" w:type="dxa"/>
            <w:vAlign w:val="top"/>
          </w:tcPr>
          <w:p w14:paraId="33CBDC4E">
            <w:pPr>
              <w:pStyle w:val="6"/>
              <w:spacing w:before="95" w:line="218" w:lineRule="auto"/>
              <w:ind w:left="268"/>
            </w:pPr>
            <w:r>
              <w:rPr>
                <w:spacing w:val="-2"/>
              </w:rPr>
              <w:t>7.14</w:t>
            </w:r>
          </w:p>
        </w:tc>
        <w:tc>
          <w:tcPr>
            <w:tcW w:w="892" w:type="dxa"/>
            <w:vAlign w:val="top"/>
          </w:tcPr>
          <w:p w14:paraId="4258F1A4">
            <w:pPr>
              <w:pStyle w:val="6"/>
              <w:spacing w:before="95" w:line="218" w:lineRule="auto"/>
              <w:ind w:left="271"/>
            </w:pPr>
            <w:r>
              <w:rPr>
                <w:spacing w:val="-2"/>
              </w:rPr>
              <w:t>7.24</w:t>
            </w:r>
          </w:p>
        </w:tc>
        <w:tc>
          <w:tcPr>
            <w:tcW w:w="891" w:type="dxa"/>
            <w:vAlign w:val="top"/>
          </w:tcPr>
          <w:p w14:paraId="487AB005">
            <w:pPr>
              <w:pStyle w:val="6"/>
              <w:spacing w:before="95" w:line="218" w:lineRule="auto"/>
              <w:ind w:left="274"/>
            </w:pPr>
            <w:r>
              <w:rPr>
                <w:spacing w:val="-2"/>
              </w:rPr>
              <w:t>0.23</w:t>
            </w:r>
          </w:p>
        </w:tc>
        <w:tc>
          <w:tcPr>
            <w:tcW w:w="906" w:type="dxa"/>
            <w:tcBorders>
              <w:right w:val="single" w:color="000000" w:sz="12" w:space="0"/>
            </w:tcBorders>
            <w:vAlign w:val="top"/>
          </w:tcPr>
          <w:p w14:paraId="29C0D56A">
            <w:pPr>
              <w:pStyle w:val="6"/>
              <w:spacing w:before="95" w:line="218" w:lineRule="auto"/>
              <w:ind w:left="277"/>
            </w:pPr>
            <w:r>
              <w:rPr>
                <w:spacing w:val="-2"/>
              </w:rPr>
              <w:t>0.08</w:t>
            </w:r>
          </w:p>
        </w:tc>
      </w:tr>
      <w:tr w14:paraId="349A1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A8A85C3">
            <w:pPr>
              <w:rPr>
                <w:rFonts w:ascii="Arial"/>
                <w:sz w:val="21"/>
              </w:rPr>
            </w:pPr>
          </w:p>
        </w:tc>
        <w:tc>
          <w:tcPr>
            <w:tcW w:w="422" w:type="dxa"/>
            <w:vMerge w:val="restart"/>
            <w:tcBorders>
              <w:bottom w:val="nil"/>
            </w:tcBorders>
            <w:vAlign w:val="top"/>
          </w:tcPr>
          <w:p w14:paraId="11BC0BB0">
            <w:pPr>
              <w:pStyle w:val="6"/>
              <w:spacing w:before="161" w:line="222" w:lineRule="auto"/>
              <w:ind w:left="147"/>
            </w:pPr>
            <w:r>
              <w:t>2</w:t>
            </w:r>
          </w:p>
          <w:p w14:paraId="359E0232">
            <w:pPr>
              <w:spacing w:line="219" w:lineRule="auto"/>
              <w:ind w:left="99"/>
              <w:rPr>
                <w:rFonts w:ascii="宋体" w:hAnsi="宋体" w:eastAsia="宋体" w:cs="宋体"/>
                <w:sz w:val="21"/>
                <w:szCs w:val="21"/>
              </w:rPr>
            </w:pPr>
            <w:r>
              <w:rPr>
                <w:rFonts w:ascii="宋体" w:hAnsi="宋体" w:eastAsia="宋体" w:cs="宋体"/>
                <w:sz w:val="21"/>
                <w:szCs w:val="21"/>
              </w:rPr>
              <w:t>季</w:t>
            </w:r>
          </w:p>
          <w:p w14:paraId="1A8F4021">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D4FBDAF">
            <w:pPr>
              <w:pStyle w:val="6"/>
              <w:spacing w:before="97" w:line="216" w:lineRule="auto"/>
              <w:ind w:left="274"/>
            </w:pPr>
            <w:r>
              <w:rPr>
                <w:spacing w:val="-1"/>
              </w:rPr>
              <w:t>2020/5/20</w:t>
            </w:r>
          </w:p>
        </w:tc>
        <w:tc>
          <w:tcPr>
            <w:tcW w:w="892" w:type="dxa"/>
            <w:vAlign w:val="top"/>
          </w:tcPr>
          <w:p w14:paraId="161A6924">
            <w:pPr>
              <w:pStyle w:val="6"/>
              <w:spacing w:before="97" w:line="216" w:lineRule="auto"/>
              <w:ind w:left="357"/>
            </w:pPr>
            <w:r>
              <w:rPr>
                <w:spacing w:val="-6"/>
              </w:rPr>
              <w:t>19</w:t>
            </w:r>
          </w:p>
        </w:tc>
        <w:tc>
          <w:tcPr>
            <w:tcW w:w="892" w:type="dxa"/>
            <w:vAlign w:val="top"/>
          </w:tcPr>
          <w:p w14:paraId="1CF2BFA9">
            <w:pPr>
              <w:pStyle w:val="6"/>
              <w:spacing w:before="97" w:line="216" w:lineRule="auto"/>
              <w:ind w:left="360"/>
            </w:pPr>
            <w:r>
              <w:rPr>
                <w:spacing w:val="-6"/>
              </w:rPr>
              <w:t>13</w:t>
            </w:r>
          </w:p>
        </w:tc>
        <w:tc>
          <w:tcPr>
            <w:tcW w:w="892" w:type="dxa"/>
            <w:vAlign w:val="top"/>
          </w:tcPr>
          <w:p w14:paraId="4ADD59AB">
            <w:pPr>
              <w:pStyle w:val="6"/>
              <w:spacing w:before="97" w:line="216" w:lineRule="auto"/>
              <w:ind w:left="268"/>
            </w:pPr>
            <w:r>
              <w:rPr>
                <w:spacing w:val="-2"/>
              </w:rPr>
              <w:t>7.20</w:t>
            </w:r>
          </w:p>
        </w:tc>
        <w:tc>
          <w:tcPr>
            <w:tcW w:w="892" w:type="dxa"/>
            <w:vAlign w:val="top"/>
          </w:tcPr>
          <w:p w14:paraId="52BA4B4A">
            <w:pPr>
              <w:pStyle w:val="6"/>
              <w:spacing w:before="97" w:line="216" w:lineRule="auto"/>
              <w:ind w:left="271"/>
            </w:pPr>
            <w:r>
              <w:rPr>
                <w:spacing w:val="-2"/>
              </w:rPr>
              <w:t>7.28</w:t>
            </w:r>
          </w:p>
        </w:tc>
        <w:tc>
          <w:tcPr>
            <w:tcW w:w="891" w:type="dxa"/>
            <w:vAlign w:val="top"/>
          </w:tcPr>
          <w:p w14:paraId="17BD41C8">
            <w:pPr>
              <w:pStyle w:val="6"/>
              <w:spacing w:before="97" w:line="216" w:lineRule="auto"/>
              <w:ind w:left="274"/>
            </w:pPr>
            <w:r>
              <w:rPr>
                <w:spacing w:val="-2"/>
              </w:rPr>
              <w:t>0.24</w:t>
            </w:r>
          </w:p>
        </w:tc>
        <w:tc>
          <w:tcPr>
            <w:tcW w:w="906" w:type="dxa"/>
            <w:tcBorders>
              <w:right w:val="single" w:color="000000" w:sz="12" w:space="0"/>
            </w:tcBorders>
            <w:vAlign w:val="top"/>
          </w:tcPr>
          <w:p w14:paraId="35322B23">
            <w:pPr>
              <w:pStyle w:val="6"/>
              <w:spacing w:before="97" w:line="216" w:lineRule="auto"/>
              <w:ind w:left="277"/>
            </w:pPr>
            <w:r>
              <w:rPr>
                <w:spacing w:val="-2"/>
              </w:rPr>
              <w:t>0.10</w:t>
            </w:r>
          </w:p>
        </w:tc>
      </w:tr>
      <w:tr w14:paraId="2B68A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65E52133">
            <w:pPr>
              <w:rPr>
                <w:rFonts w:ascii="Arial"/>
                <w:sz w:val="21"/>
              </w:rPr>
            </w:pPr>
          </w:p>
        </w:tc>
        <w:tc>
          <w:tcPr>
            <w:tcW w:w="422" w:type="dxa"/>
            <w:vMerge w:val="continue"/>
            <w:tcBorders>
              <w:top w:val="nil"/>
              <w:bottom w:val="nil"/>
            </w:tcBorders>
            <w:vAlign w:val="top"/>
          </w:tcPr>
          <w:p w14:paraId="5B3697E5">
            <w:pPr>
              <w:rPr>
                <w:rFonts w:ascii="Arial"/>
                <w:sz w:val="21"/>
              </w:rPr>
            </w:pPr>
          </w:p>
        </w:tc>
        <w:tc>
          <w:tcPr>
            <w:tcW w:w="1414" w:type="dxa"/>
            <w:vAlign w:val="top"/>
          </w:tcPr>
          <w:p w14:paraId="46D53833">
            <w:pPr>
              <w:pStyle w:val="6"/>
              <w:spacing w:before="98" w:line="217" w:lineRule="auto"/>
              <w:ind w:left="274"/>
            </w:pPr>
            <w:r>
              <w:rPr>
                <w:spacing w:val="-1"/>
              </w:rPr>
              <w:t>2020/5/21</w:t>
            </w:r>
          </w:p>
        </w:tc>
        <w:tc>
          <w:tcPr>
            <w:tcW w:w="892" w:type="dxa"/>
            <w:vAlign w:val="top"/>
          </w:tcPr>
          <w:p w14:paraId="6783EA18">
            <w:pPr>
              <w:pStyle w:val="6"/>
              <w:spacing w:before="98" w:line="217" w:lineRule="auto"/>
              <w:ind w:left="284"/>
            </w:pPr>
            <w:r>
              <w:rPr>
                <w:spacing w:val="-1"/>
              </w:rPr>
              <w:t>278</w:t>
            </w:r>
          </w:p>
        </w:tc>
        <w:tc>
          <w:tcPr>
            <w:tcW w:w="892" w:type="dxa"/>
            <w:vAlign w:val="top"/>
          </w:tcPr>
          <w:p w14:paraId="4EABFBF8">
            <w:pPr>
              <w:pStyle w:val="6"/>
              <w:spacing w:before="103" w:line="212" w:lineRule="auto"/>
              <w:ind w:left="288"/>
            </w:pPr>
            <w:r>
              <w:rPr>
                <w:b/>
                <w:bCs/>
                <w:spacing w:val="-2"/>
              </w:rPr>
              <w:t>203</w:t>
            </w:r>
          </w:p>
        </w:tc>
        <w:tc>
          <w:tcPr>
            <w:tcW w:w="892" w:type="dxa"/>
            <w:vAlign w:val="top"/>
          </w:tcPr>
          <w:p w14:paraId="070C14D3">
            <w:pPr>
              <w:pStyle w:val="6"/>
              <w:spacing w:before="98" w:line="217" w:lineRule="auto"/>
              <w:ind w:left="273"/>
            </w:pPr>
            <w:r>
              <w:rPr>
                <w:spacing w:val="-4"/>
              </w:rPr>
              <w:t>8.88</w:t>
            </w:r>
          </w:p>
        </w:tc>
        <w:tc>
          <w:tcPr>
            <w:tcW w:w="892" w:type="dxa"/>
            <w:vAlign w:val="top"/>
          </w:tcPr>
          <w:p w14:paraId="6F115B54">
            <w:pPr>
              <w:pStyle w:val="6"/>
              <w:spacing w:before="98" w:line="217" w:lineRule="auto"/>
              <w:ind w:left="276"/>
            </w:pPr>
            <w:r>
              <w:rPr>
                <w:spacing w:val="-4"/>
              </w:rPr>
              <w:t>8.69</w:t>
            </w:r>
          </w:p>
        </w:tc>
        <w:tc>
          <w:tcPr>
            <w:tcW w:w="891" w:type="dxa"/>
            <w:vAlign w:val="top"/>
          </w:tcPr>
          <w:p w14:paraId="2F87EF72">
            <w:pPr>
              <w:pStyle w:val="6"/>
              <w:spacing w:before="98" w:line="217" w:lineRule="auto"/>
              <w:ind w:left="274"/>
            </w:pPr>
            <w:r>
              <w:rPr>
                <w:spacing w:val="-2"/>
              </w:rPr>
              <w:t>0.09</w:t>
            </w:r>
          </w:p>
        </w:tc>
        <w:tc>
          <w:tcPr>
            <w:tcW w:w="906" w:type="dxa"/>
            <w:tcBorders>
              <w:right w:val="single" w:color="000000" w:sz="12" w:space="0"/>
            </w:tcBorders>
            <w:vAlign w:val="top"/>
          </w:tcPr>
          <w:p w14:paraId="1CBCD09A">
            <w:pPr>
              <w:pStyle w:val="6"/>
              <w:spacing w:before="98" w:line="217" w:lineRule="auto"/>
              <w:ind w:left="277"/>
            </w:pPr>
            <w:r>
              <w:rPr>
                <w:spacing w:val="-2"/>
              </w:rPr>
              <w:t>0.08</w:t>
            </w:r>
          </w:p>
        </w:tc>
      </w:tr>
      <w:tr w14:paraId="121B6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6489C36">
            <w:pPr>
              <w:rPr>
                <w:rFonts w:ascii="Arial"/>
                <w:sz w:val="21"/>
              </w:rPr>
            </w:pPr>
          </w:p>
        </w:tc>
        <w:tc>
          <w:tcPr>
            <w:tcW w:w="422" w:type="dxa"/>
            <w:vMerge w:val="continue"/>
            <w:tcBorders>
              <w:top w:val="nil"/>
            </w:tcBorders>
            <w:vAlign w:val="top"/>
          </w:tcPr>
          <w:p w14:paraId="4BC3A864">
            <w:pPr>
              <w:rPr>
                <w:rFonts w:ascii="Arial"/>
                <w:sz w:val="21"/>
              </w:rPr>
            </w:pPr>
          </w:p>
        </w:tc>
        <w:tc>
          <w:tcPr>
            <w:tcW w:w="1414" w:type="dxa"/>
            <w:vAlign w:val="top"/>
          </w:tcPr>
          <w:p w14:paraId="1623433F">
            <w:pPr>
              <w:pStyle w:val="6"/>
              <w:spacing w:before="99" w:line="214" w:lineRule="auto"/>
              <w:ind w:left="274"/>
            </w:pPr>
            <w:r>
              <w:rPr>
                <w:spacing w:val="-1"/>
              </w:rPr>
              <w:t>2020/5/22</w:t>
            </w:r>
          </w:p>
        </w:tc>
        <w:tc>
          <w:tcPr>
            <w:tcW w:w="892" w:type="dxa"/>
            <w:vAlign w:val="top"/>
          </w:tcPr>
          <w:p w14:paraId="22008DC6">
            <w:pPr>
              <w:pStyle w:val="6"/>
              <w:spacing w:before="99" w:line="214" w:lineRule="auto"/>
              <w:ind w:left="284"/>
            </w:pPr>
            <w:r>
              <w:rPr>
                <w:spacing w:val="-1"/>
              </w:rPr>
              <w:t>268</w:t>
            </w:r>
          </w:p>
        </w:tc>
        <w:tc>
          <w:tcPr>
            <w:tcW w:w="892" w:type="dxa"/>
            <w:vAlign w:val="top"/>
          </w:tcPr>
          <w:p w14:paraId="23911C1E">
            <w:pPr>
              <w:pStyle w:val="6"/>
              <w:spacing w:before="103" w:line="210" w:lineRule="auto"/>
              <w:ind w:left="288"/>
            </w:pPr>
            <w:r>
              <w:rPr>
                <w:b/>
                <w:bCs/>
                <w:spacing w:val="-2"/>
              </w:rPr>
              <w:t>221</w:t>
            </w:r>
          </w:p>
        </w:tc>
        <w:tc>
          <w:tcPr>
            <w:tcW w:w="892" w:type="dxa"/>
            <w:vAlign w:val="top"/>
          </w:tcPr>
          <w:p w14:paraId="7BD164F7">
            <w:pPr>
              <w:pStyle w:val="6"/>
              <w:spacing w:before="99" w:line="214" w:lineRule="auto"/>
              <w:ind w:left="273"/>
            </w:pPr>
            <w:r>
              <w:rPr>
                <w:spacing w:val="-4"/>
              </w:rPr>
              <w:t>8.84</w:t>
            </w:r>
          </w:p>
        </w:tc>
        <w:tc>
          <w:tcPr>
            <w:tcW w:w="892" w:type="dxa"/>
            <w:vAlign w:val="top"/>
          </w:tcPr>
          <w:p w14:paraId="32E3BC83">
            <w:pPr>
              <w:pStyle w:val="6"/>
              <w:spacing w:before="99" w:line="214" w:lineRule="auto"/>
              <w:ind w:left="276"/>
            </w:pPr>
            <w:r>
              <w:rPr>
                <w:spacing w:val="-4"/>
              </w:rPr>
              <w:t>8.63</w:t>
            </w:r>
          </w:p>
        </w:tc>
        <w:tc>
          <w:tcPr>
            <w:tcW w:w="891" w:type="dxa"/>
            <w:vAlign w:val="top"/>
          </w:tcPr>
          <w:p w14:paraId="27F6023B">
            <w:pPr>
              <w:pStyle w:val="6"/>
              <w:spacing w:before="99" w:line="214" w:lineRule="auto"/>
              <w:ind w:left="274"/>
            </w:pPr>
            <w:r>
              <w:rPr>
                <w:spacing w:val="-2"/>
              </w:rPr>
              <w:t>0.09</w:t>
            </w:r>
          </w:p>
        </w:tc>
        <w:tc>
          <w:tcPr>
            <w:tcW w:w="906" w:type="dxa"/>
            <w:tcBorders>
              <w:right w:val="single" w:color="000000" w:sz="12" w:space="0"/>
            </w:tcBorders>
            <w:vAlign w:val="top"/>
          </w:tcPr>
          <w:p w14:paraId="03FA8F1B">
            <w:pPr>
              <w:pStyle w:val="6"/>
              <w:spacing w:before="99" w:line="214" w:lineRule="auto"/>
              <w:ind w:left="277"/>
            </w:pPr>
            <w:r>
              <w:rPr>
                <w:spacing w:val="-2"/>
              </w:rPr>
              <w:t>0.09</w:t>
            </w:r>
          </w:p>
        </w:tc>
      </w:tr>
      <w:tr w14:paraId="176B2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7823D66C">
            <w:pPr>
              <w:rPr>
                <w:rFonts w:ascii="Arial"/>
                <w:sz w:val="21"/>
              </w:rPr>
            </w:pPr>
          </w:p>
        </w:tc>
        <w:tc>
          <w:tcPr>
            <w:tcW w:w="422" w:type="dxa"/>
            <w:vMerge w:val="restart"/>
            <w:tcBorders>
              <w:bottom w:val="nil"/>
            </w:tcBorders>
            <w:vAlign w:val="top"/>
          </w:tcPr>
          <w:p w14:paraId="7BE02C6C">
            <w:pPr>
              <w:pStyle w:val="6"/>
              <w:spacing w:before="163" w:line="223" w:lineRule="auto"/>
              <w:ind w:left="151"/>
            </w:pPr>
            <w:r>
              <w:t>3</w:t>
            </w:r>
          </w:p>
          <w:p w14:paraId="562B56A7">
            <w:pPr>
              <w:spacing w:line="219" w:lineRule="auto"/>
              <w:ind w:left="99"/>
              <w:rPr>
                <w:rFonts w:ascii="宋体" w:hAnsi="宋体" w:eastAsia="宋体" w:cs="宋体"/>
                <w:sz w:val="21"/>
                <w:szCs w:val="21"/>
              </w:rPr>
            </w:pPr>
            <w:r>
              <w:rPr>
                <w:rFonts w:ascii="宋体" w:hAnsi="宋体" w:eastAsia="宋体" w:cs="宋体"/>
                <w:sz w:val="21"/>
                <w:szCs w:val="21"/>
              </w:rPr>
              <w:t>季</w:t>
            </w:r>
          </w:p>
          <w:p w14:paraId="657CFD74">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2AF94AF9">
            <w:pPr>
              <w:pStyle w:val="6"/>
              <w:spacing w:before="100" w:line="215" w:lineRule="auto"/>
              <w:ind w:left="274"/>
            </w:pPr>
            <w:r>
              <w:rPr>
                <w:spacing w:val="-1"/>
              </w:rPr>
              <w:t>2020/8/20</w:t>
            </w:r>
          </w:p>
        </w:tc>
        <w:tc>
          <w:tcPr>
            <w:tcW w:w="892" w:type="dxa"/>
            <w:vAlign w:val="top"/>
          </w:tcPr>
          <w:p w14:paraId="3B862B92">
            <w:pPr>
              <w:pStyle w:val="6"/>
              <w:spacing w:before="100" w:line="215" w:lineRule="auto"/>
              <w:ind w:left="284"/>
            </w:pPr>
            <w:r>
              <w:rPr>
                <w:spacing w:val="-1"/>
              </w:rPr>
              <w:t>283</w:t>
            </w:r>
          </w:p>
        </w:tc>
        <w:tc>
          <w:tcPr>
            <w:tcW w:w="892" w:type="dxa"/>
            <w:vAlign w:val="top"/>
          </w:tcPr>
          <w:p w14:paraId="134C6CEE">
            <w:pPr>
              <w:pStyle w:val="6"/>
              <w:spacing w:before="104" w:line="211" w:lineRule="auto"/>
              <w:ind w:left="343"/>
            </w:pPr>
            <w:r>
              <w:rPr>
                <w:b/>
                <w:bCs/>
                <w:spacing w:val="-2"/>
              </w:rPr>
              <w:t>80</w:t>
            </w:r>
          </w:p>
        </w:tc>
        <w:tc>
          <w:tcPr>
            <w:tcW w:w="892" w:type="dxa"/>
            <w:vAlign w:val="top"/>
          </w:tcPr>
          <w:p w14:paraId="29AE9ED2">
            <w:pPr>
              <w:pStyle w:val="6"/>
              <w:spacing w:before="100" w:line="215" w:lineRule="auto"/>
              <w:ind w:left="273"/>
            </w:pPr>
            <w:r>
              <w:rPr>
                <w:spacing w:val="-4"/>
              </w:rPr>
              <w:t>8.77</w:t>
            </w:r>
          </w:p>
        </w:tc>
        <w:tc>
          <w:tcPr>
            <w:tcW w:w="892" w:type="dxa"/>
            <w:vAlign w:val="top"/>
          </w:tcPr>
          <w:p w14:paraId="6BCDB8B0">
            <w:pPr>
              <w:pStyle w:val="6"/>
              <w:spacing w:before="100" w:line="215" w:lineRule="auto"/>
              <w:ind w:left="271"/>
            </w:pPr>
            <w:r>
              <w:rPr>
                <w:spacing w:val="-2"/>
              </w:rPr>
              <w:t>7.46</w:t>
            </w:r>
          </w:p>
        </w:tc>
        <w:tc>
          <w:tcPr>
            <w:tcW w:w="891" w:type="dxa"/>
            <w:vAlign w:val="top"/>
          </w:tcPr>
          <w:p w14:paraId="52B959FB">
            <w:pPr>
              <w:pStyle w:val="6"/>
              <w:spacing w:before="100" w:line="215" w:lineRule="auto"/>
              <w:ind w:left="274"/>
            </w:pPr>
            <w:r>
              <w:rPr>
                <w:spacing w:val="-2"/>
              </w:rPr>
              <w:t>0.09</w:t>
            </w:r>
          </w:p>
        </w:tc>
        <w:tc>
          <w:tcPr>
            <w:tcW w:w="906" w:type="dxa"/>
            <w:tcBorders>
              <w:right w:val="single" w:color="000000" w:sz="12" w:space="0"/>
            </w:tcBorders>
            <w:vAlign w:val="top"/>
          </w:tcPr>
          <w:p w14:paraId="498A638D">
            <w:pPr>
              <w:pStyle w:val="6"/>
              <w:spacing w:before="100" w:line="215" w:lineRule="auto"/>
              <w:ind w:left="277"/>
            </w:pPr>
            <w:r>
              <w:rPr>
                <w:spacing w:val="-2"/>
              </w:rPr>
              <w:t>0.07</w:t>
            </w:r>
          </w:p>
        </w:tc>
      </w:tr>
      <w:tr w14:paraId="55A1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F295A07">
            <w:pPr>
              <w:rPr>
                <w:rFonts w:ascii="Arial"/>
                <w:sz w:val="21"/>
              </w:rPr>
            </w:pPr>
          </w:p>
        </w:tc>
        <w:tc>
          <w:tcPr>
            <w:tcW w:w="422" w:type="dxa"/>
            <w:vMerge w:val="continue"/>
            <w:tcBorders>
              <w:top w:val="nil"/>
              <w:bottom w:val="nil"/>
            </w:tcBorders>
            <w:vAlign w:val="top"/>
          </w:tcPr>
          <w:p w14:paraId="480E00CE">
            <w:pPr>
              <w:rPr>
                <w:rFonts w:ascii="Arial"/>
                <w:sz w:val="21"/>
              </w:rPr>
            </w:pPr>
          </w:p>
        </w:tc>
        <w:tc>
          <w:tcPr>
            <w:tcW w:w="1414" w:type="dxa"/>
            <w:vAlign w:val="top"/>
          </w:tcPr>
          <w:p w14:paraId="49D4B800">
            <w:pPr>
              <w:pStyle w:val="6"/>
              <w:spacing w:before="99" w:line="214" w:lineRule="auto"/>
              <w:ind w:left="274"/>
            </w:pPr>
            <w:r>
              <w:rPr>
                <w:spacing w:val="-1"/>
              </w:rPr>
              <w:t>2020/8/21</w:t>
            </w:r>
          </w:p>
        </w:tc>
        <w:tc>
          <w:tcPr>
            <w:tcW w:w="892" w:type="dxa"/>
            <w:vAlign w:val="top"/>
          </w:tcPr>
          <w:p w14:paraId="6862CC30">
            <w:pPr>
              <w:pStyle w:val="6"/>
              <w:spacing w:before="99" w:line="214" w:lineRule="auto"/>
              <w:ind w:left="346"/>
            </w:pPr>
            <w:r>
              <w:rPr>
                <w:spacing w:val="-4"/>
              </w:rPr>
              <w:t>86</w:t>
            </w:r>
          </w:p>
        </w:tc>
        <w:tc>
          <w:tcPr>
            <w:tcW w:w="892" w:type="dxa"/>
            <w:vAlign w:val="top"/>
          </w:tcPr>
          <w:p w14:paraId="2A6B4497">
            <w:pPr>
              <w:pStyle w:val="6"/>
              <w:spacing w:before="99" w:line="214" w:lineRule="auto"/>
              <w:ind w:left="345"/>
            </w:pPr>
            <w:r>
              <w:rPr>
                <w:spacing w:val="-3"/>
              </w:rPr>
              <w:t>69</w:t>
            </w:r>
          </w:p>
        </w:tc>
        <w:tc>
          <w:tcPr>
            <w:tcW w:w="892" w:type="dxa"/>
            <w:vAlign w:val="top"/>
          </w:tcPr>
          <w:p w14:paraId="633BEADA">
            <w:pPr>
              <w:pStyle w:val="6"/>
              <w:spacing w:before="99" w:line="214" w:lineRule="auto"/>
              <w:ind w:left="268"/>
            </w:pPr>
            <w:r>
              <w:rPr>
                <w:spacing w:val="-2"/>
              </w:rPr>
              <w:t>7.73</w:t>
            </w:r>
          </w:p>
        </w:tc>
        <w:tc>
          <w:tcPr>
            <w:tcW w:w="892" w:type="dxa"/>
            <w:vAlign w:val="top"/>
          </w:tcPr>
          <w:p w14:paraId="2C0828A0">
            <w:pPr>
              <w:pStyle w:val="6"/>
              <w:spacing w:before="99" w:line="214" w:lineRule="auto"/>
              <w:ind w:left="271"/>
            </w:pPr>
            <w:r>
              <w:rPr>
                <w:spacing w:val="-2"/>
              </w:rPr>
              <w:t>7.52</w:t>
            </w:r>
          </w:p>
        </w:tc>
        <w:tc>
          <w:tcPr>
            <w:tcW w:w="891" w:type="dxa"/>
            <w:vAlign w:val="top"/>
          </w:tcPr>
          <w:p w14:paraId="3CC831E5">
            <w:pPr>
              <w:pStyle w:val="6"/>
              <w:spacing w:before="99" w:line="214" w:lineRule="auto"/>
              <w:ind w:left="274"/>
            </w:pPr>
            <w:r>
              <w:rPr>
                <w:spacing w:val="-2"/>
              </w:rPr>
              <w:t>0.12</w:t>
            </w:r>
          </w:p>
        </w:tc>
        <w:tc>
          <w:tcPr>
            <w:tcW w:w="906" w:type="dxa"/>
            <w:tcBorders>
              <w:right w:val="single" w:color="000000" w:sz="12" w:space="0"/>
            </w:tcBorders>
            <w:vAlign w:val="top"/>
          </w:tcPr>
          <w:p w14:paraId="1707136D">
            <w:pPr>
              <w:pStyle w:val="6"/>
              <w:spacing w:before="99" w:line="214" w:lineRule="auto"/>
              <w:ind w:left="277"/>
            </w:pPr>
            <w:r>
              <w:rPr>
                <w:spacing w:val="-2"/>
              </w:rPr>
              <w:t>0.08</w:t>
            </w:r>
          </w:p>
        </w:tc>
      </w:tr>
      <w:tr w14:paraId="2B3B7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70E5A5C">
            <w:pPr>
              <w:rPr>
                <w:rFonts w:ascii="Arial"/>
                <w:sz w:val="21"/>
              </w:rPr>
            </w:pPr>
          </w:p>
        </w:tc>
        <w:tc>
          <w:tcPr>
            <w:tcW w:w="422" w:type="dxa"/>
            <w:vMerge w:val="continue"/>
            <w:tcBorders>
              <w:top w:val="nil"/>
            </w:tcBorders>
            <w:vAlign w:val="top"/>
          </w:tcPr>
          <w:p w14:paraId="60DB17A4">
            <w:pPr>
              <w:rPr>
                <w:rFonts w:ascii="Arial"/>
                <w:sz w:val="21"/>
              </w:rPr>
            </w:pPr>
          </w:p>
        </w:tc>
        <w:tc>
          <w:tcPr>
            <w:tcW w:w="1414" w:type="dxa"/>
            <w:vAlign w:val="top"/>
          </w:tcPr>
          <w:p w14:paraId="28CCA774">
            <w:pPr>
              <w:pStyle w:val="6"/>
              <w:spacing w:before="101" w:line="212" w:lineRule="auto"/>
              <w:ind w:left="274"/>
            </w:pPr>
            <w:r>
              <w:rPr>
                <w:spacing w:val="-1"/>
              </w:rPr>
              <w:t>2020/8/22</w:t>
            </w:r>
          </w:p>
        </w:tc>
        <w:tc>
          <w:tcPr>
            <w:tcW w:w="892" w:type="dxa"/>
            <w:vAlign w:val="top"/>
          </w:tcPr>
          <w:p w14:paraId="5F96A422">
            <w:pPr>
              <w:pStyle w:val="6"/>
              <w:spacing w:before="101" w:line="212" w:lineRule="auto"/>
              <w:ind w:left="341"/>
            </w:pPr>
            <w:r>
              <w:rPr>
                <w:spacing w:val="-2"/>
              </w:rPr>
              <w:t>91</w:t>
            </w:r>
          </w:p>
        </w:tc>
        <w:tc>
          <w:tcPr>
            <w:tcW w:w="892" w:type="dxa"/>
            <w:vAlign w:val="top"/>
          </w:tcPr>
          <w:p w14:paraId="7BE0EB0E">
            <w:pPr>
              <w:pStyle w:val="6"/>
              <w:spacing w:before="105" w:line="208" w:lineRule="auto"/>
              <w:ind w:left="343"/>
            </w:pPr>
            <w:r>
              <w:rPr>
                <w:b/>
                <w:bCs/>
                <w:spacing w:val="-2"/>
              </w:rPr>
              <w:t>77</w:t>
            </w:r>
          </w:p>
        </w:tc>
        <w:tc>
          <w:tcPr>
            <w:tcW w:w="892" w:type="dxa"/>
            <w:vAlign w:val="top"/>
          </w:tcPr>
          <w:p w14:paraId="7A29CCD8">
            <w:pPr>
              <w:pStyle w:val="6"/>
              <w:spacing w:before="101" w:line="212" w:lineRule="auto"/>
              <w:ind w:left="268"/>
            </w:pPr>
            <w:r>
              <w:rPr>
                <w:spacing w:val="-2"/>
              </w:rPr>
              <w:t>7.76</w:t>
            </w:r>
          </w:p>
        </w:tc>
        <w:tc>
          <w:tcPr>
            <w:tcW w:w="892" w:type="dxa"/>
            <w:vAlign w:val="top"/>
          </w:tcPr>
          <w:p w14:paraId="0169C925">
            <w:pPr>
              <w:pStyle w:val="6"/>
              <w:spacing w:before="101" w:line="212" w:lineRule="auto"/>
              <w:ind w:left="271"/>
            </w:pPr>
            <w:r>
              <w:rPr>
                <w:spacing w:val="-2"/>
              </w:rPr>
              <w:t>7.56</w:t>
            </w:r>
          </w:p>
        </w:tc>
        <w:tc>
          <w:tcPr>
            <w:tcW w:w="891" w:type="dxa"/>
            <w:vAlign w:val="top"/>
          </w:tcPr>
          <w:p w14:paraId="1029D64C">
            <w:pPr>
              <w:pStyle w:val="6"/>
              <w:spacing w:before="101" w:line="212" w:lineRule="auto"/>
              <w:ind w:left="274"/>
            </w:pPr>
            <w:r>
              <w:rPr>
                <w:spacing w:val="-2"/>
              </w:rPr>
              <w:t>0.10</w:t>
            </w:r>
          </w:p>
        </w:tc>
        <w:tc>
          <w:tcPr>
            <w:tcW w:w="906" w:type="dxa"/>
            <w:tcBorders>
              <w:right w:val="single" w:color="000000" w:sz="12" w:space="0"/>
            </w:tcBorders>
            <w:vAlign w:val="top"/>
          </w:tcPr>
          <w:p w14:paraId="78BAE8E1">
            <w:pPr>
              <w:pStyle w:val="6"/>
              <w:spacing w:before="101" w:line="212" w:lineRule="auto"/>
              <w:ind w:left="277"/>
            </w:pPr>
            <w:r>
              <w:rPr>
                <w:spacing w:val="-2"/>
              </w:rPr>
              <w:t>0.07</w:t>
            </w:r>
          </w:p>
        </w:tc>
      </w:tr>
      <w:tr w14:paraId="7BC8F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6FC8DC6E">
            <w:pPr>
              <w:rPr>
                <w:rFonts w:ascii="Arial"/>
                <w:sz w:val="21"/>
              </w:rPr>
            </w:pPr>
          </w:p>
        </w:tc>
        <w:tc>
          <w:tcPr>
            <w:tcW w:w="422" w:type="dxa"/>
            <w:vMerge w:val="restart"/>
            <w:tcBorders>
              <w:bottom w:val="nil"/>
            </w:tcBorders>
            <w:vAlign w:val="top"/>
          </w:tcPr>
          <w:p w14:paraId="11DD4B80">
            <w:pPr>
              <w:pStyle w:val="6"/>
              <w:spacing w:before="167" w:line="222" w:lineRule="auto"/>
              <w:ind w:left="146"/>
            </w:pPr>
            <w:r>
              <w:t>4</w:t>
            </w:r>
          </w:p>
          <w:p w14:paraId="546184D9">
            <w:pPr>
              <w:spacing w:line="219" w:lineRule="auto"/>
              <w:ind w:left="99"/>
              <w:rPr>
                <w:rFonts w:ascii="宋体" w:hAnsi="宋体" w:eastAsia="宋体" w:cs="宋体"/>
                <w:sz w:val="21"/>
                <w:szCs w:val="21"/>
              </w:rPr>
            </w:pPr>
            <w:r>
              <w:rPr>
                <w:rFonts w:ascii="宋体" w:hAnsi="宋体" w:eastAsia="宋体" w:cs="宋体"/>
                <w:sz w:val="21"/>
                <w:szCs w:val="21"/>
              </w:rPr>
              <w:t>季</w:t>
            </w:r>
          </w:p>
          <w:p w14:paraId="04D1A179">
            <w:pPr>
              <w:spacing w:before="23"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C968D3C">
            <w:pPr>
              <w:pStyle w:val="6"/>
              <w:spacing w:before="102" w:line="213" w:lineRule="auto"/>
              <w:ind w:left="221"/>
            </w:pPr>
            <w:r>
              <w:rPr>
                <w:spacing w:val="-1"/>
              </w:rPr>
              <w:t>2020/11/15</w:t>
            </w:r>
          </w:p>
        </w:tc>
        <w:tc>
          <w:tcPr>
            <w:tcW w:w="892" w:type="dxa"/>
            <w:vAlign w:val="top"/>
          </w:tcPr>
          <w:p w14:paraId="38AEFD82">
            <w:pPr>
              <w:pStyle w:val="6"/>
              <w:spacing w:before="102" w:line="213" w:lineRule="auto"/>
              <w:ind w:left="346"/>
            </w:pPr>
            <w:r>
              <w:rPr>
                <w:spacing w:val="-4"/>
              </w:rPr>
              <w:t>83</w:t>
            </w:r>
          </w:p>
        </w:tc>
        <w:tc>
          <w:tcPr>
            <w:tcW w:w="892" w:type="dxa"/>
            <w:vAlign w:val="top"/>
          </w:tcPr>
          <w:p w14:paraId="29A8BEF7">
            <w:pPr>
              <w:pStyle w:val="6"/>
              <w:spacing w:before="106" w:line="209" w:lineRule="auto"/>
              <w:ind w:left="343"/>
            </w:pPr>
            <w:r>
              <w:rPr>
                <w:b/>
                <w:bCs/>
                <w:spacing w:val="-4"/>
              </w:rPr>
              <w:t>89</w:t>
            </w:r>
          </w:p>
        </w:tc>
        <w:tc>
          <w:tcPr>
            <w:tcW w:w="892" w:type="dxa"/>
            <w:vAlign w:val="top"/>
          </w:tcPr>
          <w:p w14:paraId="3D103937">
            <w:pPr>
              <w:pStyle w:val="6"/>
              <w:spacing w:before="102" w:line="213" w:lineRule="auto"/>
              <w:ind w:left="268"/>
            </w:pPr>
            <w:r>
              <w:rPr>
                <w:spacing w:val="-2"/>
              </w:rPr>
              <w:t>7.84</w:t>
            </w:r>
          </w:p>
        </w:tc>
        <w:tc>
          <w:tcPr>
            <w:tcW w:w="892" w:type="dxa"/>
            <w:vAlign w:val="top"/>
          </w:tcPr>
          <w:p w14:paraId="0DE8CE3F">
            <w:pPr>
              <w:pStyle w:val="6"/>
              <w:spacing w:before="102" w:line="213" w:lineRule="auto"/>
              <w:ind w:left="271"/>
            </w:pPr>
            <w:r>
              <w:rPr>
                <w:spacing w:val="-2"/>
              </w:rPr>
              <w:t>7.57</w:t>
            </w:r>
          </w:p>
        </w:tc>
        <w:tc>
          <w:tcPr>
            <w:tcW w:w="891" w:type="dxa"/>
            <w:vAlign w:val="top"/>
          </w:tcPr>
          <w:p w14:paraId="1422FEEB">
            <w:pPr>
              <w:pStyle w:val="6"/>
              <w:spacing w:before="102" w:line="213" w:lineRule="auto"/>
              <w:ind w:left="274"/>
            </w:pPr>
            <w:r>
              <w:rPr>
                <w:spacing w:val="-2"/>
              </w:rPr>
              <w:t>0.12</w:t>
            </w:r>
          </w:p>
        </w:tc>
        <w:tc>
          <w:tcPr>
            <w:tcW w:w="906" w:type="dxa"/>
            <w:tcBorders>
              <w:right w:val="single" w:color="000000" w:sz="12" w:space="0"/>
            </w:tcBorders>
            <w:vAlign w:val="top"/>
          </w:tcPr>
          <w:p w14:paraId="08B383F7">
            <w:pPr>
              <w:pStyle w:val="6"/>
              <w:spacing w:before="102" w:line="213" w:lineRule="auto"/>
              <w:ind w:left="277"/>
            </w:pPr>
            <w:r>
              <w:rPr>
                <w:spacing w:val="-2"/>
              </w:rPr>
              <w:t>0.08</w:t>
            </w:r>
          </w:p>
        </w:tc>
      </w:tr>
      <w:tr w14:paraId="65A38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13A6FFC0">
            <w:pPr>
              <w:rPr>
                <w:rFonts w:ascii="Arial"/>
                <w:sz w:val="21"/>
              </w:rPr>
            </w:pPr>
          </w:p>
        </w:tc>
        <w:tc>
          <w:tcPr>
            <w:tcW w:w="422" w:type="dxa"/>
            <w:vMerge w:val="continue"/>
            <w:tcBorders>
              <w:top w:val="nil"/>
              <w:bottom w:val="nil"/>
            </w:tcBorders>
            <w:vAlign w:val="top"/>
          </w:tcPr>
          <w:p w14:paraId="70654AFB">
            <w:pPr>
              <w:rPr>
                <w:rFonts w:ascii="Arial"/>
                <w:sz w:val="21"/>
              </w:rPr>
            </w:pPr>
          </w:p>
        </w:tc>
        <w:tc>
          <w:tcPr>
            <w:tcW w:w="1414" w:type="dxa"/>
            <w:vAlign w:val="top"/>
          </w:tcPr>
          <w:p w14:paraId="6F96CDE5">
            <w:pPr>
              <w:pStyle w:val="6"/>
              <w:spacing w:before="102" w:line="212" w:lineRule="auto"/>
              <w:ind w:left="221"/>
            </w:pPr>
            <w:r>
              <w:rPr>
                <w:spacing w:val="-1"/>
              </w:rPr>
              <w:t>2020/11/16</w:t>
            </w:r>
          </w:p>
        </w:tc>
        <w:tc>
          <w:tcPr>
            <w:tcW w:w="892" w:type="dxa"/>
            <w:vAlign w:val="top"/>
          </w:tcPr>
          <w:p w14:paraId="1E741C59">
            <w:pPr>
              <w:pStyle w:val="6"/>
              <w:spacing w:before="102" w:line="212" w:lineRule="auto"/>
              <w:ind w:left="304"/>
            </w:pPr>
            <w:r>
              <w:rPr>
                <w:spacing w:val="-6"/>
              </w:rPr>
              <w:t>117</w:t>
            </w:r>
          </w:p>
        </w:tc>
        <w:tc>
          <w:tcPr>
            <w:tcW w:w="892" w:type="dxa"/>
            <w:vAlign w:val="top"/>
          </w:tcPr>
          <w:p w14:paraId="080C9001">
            <w:pPr>
              <w:pStyle w:val="6"/>
              <w:spacing w:before="107" w:line="207" w:lineRule="auto"/>
              <w:ind w:left="342"/>
            </w:pPr>
            <w:r>
              <w:rPr>
                <w:b/>
                <w:bCs/>
                <w:spacing w:val="-2"/>
              </w:rPr>
              <w:t>93</w:t>
            </w:r>
          </w:p>
        </w:tc>
        <w:tc>
          <w:tcPr>
            <w:tcW w:w="892" w:type="dxa"/>
            <w:vAlign w:val="top"/>
          </w:tcPr>
          <w:p w14:paraId="53041173">
            <w:pPr>
              <w:pStyle w:val="6"/>
              <w:spacing w:before="102" w:line="212" w:lineRule="auto"/>
              <w:ind w:left="268"/>
            </w:pPr>
            <w:r>
              <w:rPr>
                <w:spacing w:val="-2"/>
              </w:rPr>
              <w:t>7.80</w:t>
            </w:r>
          </w:p>
        </w:tc>
        <w:tc>
          <w:tcPr>
            <w:tcW w:w="892" w:type="dxa"/>
            <w:vAlign w:val="top"/>
          </w:tcPr>
          <w:p w14:paraId="28E0035D">
            <w:pPr>
              <w:pStyle w:val="6"/>
              <w:spacing w:before="102" w:line="212" w:lineRule="auto"/>
              <w:ind w:left="271"/>
            </w:pPr>
            <w:r>
              <w:rPr>
                <w:spacing w:val="-2"/>
              </w:rPr>
              <w:t>7.61</w:t>
            </w:r>
          </w:p>
        </w:tc>
        <w:tc>
          <w:tcPr>
            <w:tcW w:w="891" w:type="dxa"/>
            <w:vAlign w:val="top"/>
          </w:tcPr>
          <w:p w14:paraId="072A7626">
            <w:pPr>
              <w:pStyle w:val="6"/>
              <w:spacing w:before="102" w:line="212" w:lineRule="auto"/>
              <w:ind w:left="274"/>
            </w:pPr>
            <w:r>
              <w:rPr>
                <w:spacing w:val="-2"/>
              </w:rPr>
              <w:t>0.33</w:t>
            </w:r>
          </w:p>
        </w:tc>
        <w:tc>
          <w:tcPr>
            <w:tcW w:w="906" w:type="dxa"/>
            <w:tcBorders>
              <w:right w:val="single" w:color="000000" w:sz="12" w:space="0"/>
            </w:tcBorders>
            <w:vAlign w:val="top"/>
          </w:tcPr>
          <w:p w14:paraId="1AB24AC4">
            <w:pPr>
              <w:pStyle w:val="6"/>
              <w:spacing w:before="102" w:line="212" w:lineRule="auto"/>
              <w:ind w:left="277"/>
            </w:pPr>
            <w:r>
              <w:rPr>
                <w:spacing w:val="-2"/>
              </w:rPr>
              <w:t>0.07</w:t>
            </w:r>
          </w:p>
        </w:tc>
      </w:tr>
      <w:tr w14:paraId="10923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tcBorders>
            <w:vAlign w:val="top"/>
          </w:tcPr>
          <w:p w14:paraId="5CAF9195">
            <w:pPr>
              <w:rPr>
                <w:rFonts w:ascii="Arial"/>
                <w:sz w:val="21"/>
              </w:rPr>
            </w:pPr>
          </w:p>
        </w:tc>
        <w:tc>
          <w:tcPr>
            <w:tcW w:w="422" w:type="dxa"/>
            <w:vMerge w:val="continue"/>
            <w:tcBorders>
              <w:top w:val="nil"/>
            </w:tcBorders>
            <w:vAlign w:val="top"/>
          </w:tcPr>
          <w:p w14:paraId="114329C0">
            <w:pPr>
              <w:rPr>
                <w:rFonts w:ascii="Arial"/>
                <w:sz w:val="21"/>
              </w:rPr>
            </w:pPr>
          </w:p>
        </w:tc>
        <w:tc>
          <w:tcPr>
            <w:tcW w:w="1414" w:type="dxa"/>
            <w:vAlign w:val="top"/>
          </w:tcPr>
          <w:p w14:paraId="7961B7BF">
            <w:pPr>
              <w:pStyle w:val="6"/>
              <w:spacing w:before="102" w:line="213" w:lineRule="auto"/>
              <w:ind w:left="221"/>
            </w:pPr>
            <w:r>
              <w:rPr>
                <w:spacing w:val="-1"/>
              </w:rPr>
              <w:t>2020/11/17</w:t>
            </w:r>
          </w:p>
        </w:tc>
        <w:tc>
          <w:tcPr>
            <w:tcW w:w="892" w:type="dxa"/>
            <w:vAlign w:val="top"/>
          </w:tcPr>
          <w:p w14:paraId="3BEFA290">
            <w:pPr>
              <w:pStyle w:val="6"/>
              <w:spacing w:before="102" w:line="213" w:lineRule="auto"/>
              <w:ind w:left="304"/>
            </w:pPr>
            <w:r>
              <w:rPr>
                <w:spacing w:val="-6"/>
              </w:rPr>
              <w:t>131</w:t>
            </w:r>
          </w:p>
        </w:tc>
        <w:tc>
          <w:tcPr>
            <w:tcW w:w="892" w:type="dxa"/>
            <w:vAlign w:val="top"/>
          </w:tcPr>
          <w:p w14:paraId="7A565A9A">
            <w:pPr>
              <w:pStyle w:val="6"/>
              <w:spacing w:before="107" w:line="208" w:lineRule="auto"/>
              <w:ind w:left="297"/>
            </w:pPr>
            <w:r>
              <w:rPr>
                <w:b/>
                <w:bCs/>
                <w:spacing w:val="-4"/>
              </w:rPr>
              <w:t>100</w:t>
            </w:r>
          </w:p>
        </w:tc>
        <w:tc>
          <w:tcPr>
            <w:tcW w:w="892" w:type="dxa"/>
            <w:vAlign w:val="top"/>
          </w:tcPr>
          <w:p w14:paraId="7327DF10">
            <w:pPr>
              <w:pStyle w:val="6"/>
              <w:spacing w:before="102" w:line="213" w:lineRule="auto"/>
              <w:ind w:left="268"/>
            </w:pPr>
            <w:r>
              <w:rPr>
                <w:spacing w:val="-2"/>
              </w:rPr>
              <w:t>7.81</w:t>
            </w:r>
          </w:p>
        </w:tc>
        <w:tc>
          <w:tcPr>
            <w:tcW w:w="892" w:type="dxa"/>
            <w:vAlign w:val="top"/>
          </w:tcPr>
          <w:p w14:paraId="39B17CAA">
            <w:pPr>
              <w:pStyle w:val="6"/>
              <w:spacing w:before="102" w:line="213" w:lineRule="auto"/>
              <w:ind w:left="271"/>
            </w:pPr>
            <w:r>
              <w:rPr>
                <w:spacing w:val="-2"/>
              </w:rPr>
              <w:t>7.62</w:t>
            </w:r>
          </w:p>
        </w:tc>
        <w:tc>
          <w:tcPr>
            <w:tcW w:w="891" w:type="dxa"/>
            <w:vAlign w:val="top"/>
          </w:tcPr>
          <w:p w14:paraId="1A94184F">
            <w:pPr>
              <w:pStyle w:val="6"/>
              <w:spacing w:before="102" w:line="213" w:lineRule="auto"/>
              <w:ind w:left="274"/>
            </w:pPr>
            <w:r>
              <w:rPr>
                <w:spacing w:val="-2"/>
              </w:rPr>
              <w:t>0.32</w:t>
            </w:r>
          </w:p>
        </w:tc>
        <w:tc>
          <w:tcPr>
            <w:tcW w:w="906" w:type="dxa"/>
            <w:tcBorders>
              <w:right w:val="single" w:color="000000" w:sz="12" w:space="0"/>
            </w:tcBorders>
            <w:vAlign w:val="top"/>
          </w:tcPr>
          <w:p w14:paraId="15804E72">
            <w:pPr>
              <w:pStyle w:val="6"/>
              <w:spacing w:before="102" w:line="213" w:lineRule="auto"/>
              <w:ind w:left="277"/>
            </w:pPr>
            <w:r>
              <w:rPr>
                <w:spacing w:val="-2"/>
              </w:rPr>
              <w:t>0.08</w:t>
            </w:r>
          </w:p>
        </w:tc>
      </w:tr>
      <w:tr w14:paraId="767BD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589BE991">
            <w:pPr>
              <w:spacing w:line="243" w:lineRule="auto"/>
              <w:rPr>
                <w:rFonts w:ascii="Arial"/>
                <w:sz w:val="21"/>
              </w:rPr>
            </w:pPr>
          </w:p>
          <w:p w14:paraId="35EC9A9E">
            <w:pPr>
              <w:spacing w:line="243" w:lineRule="auto"/>
              <w:rPr>
                <w:rFonts w:ascii="Arial"/>
                <w:sz w:val="21"/>
              </w:rPr>
            </w:pPr>
          </w:p>
          <w:p w14:paraId="4C535E5C">
            <w:pPr>
              <w:spacing w:line="243" w:lineRule="auto"/>
              <w:rPr>
                <w:rFonts w:ascii="Arial"/>
                <w:sz w:val="21"/>
              </w:rPr>
            </w:pPr>
          </w:p>
          <w:p w14:paraId="7F1C0BF9">
            <w:pPr>
              <w:spacing w:line="243" w:lineRule="auto"/>
              <w:rPr>
                <w:rFonts w:ascii="Arial"/>
                <w:sz w:val="21"/>
              </w:rPr>
            </w:pPr>
          </w:p>
          <w:p w14:paraId="7C80D78E">
            <w:pPr>
              <w:spacing w:line="244" w:lineRule="auto"/>
              <w:rPr>
                <w:rFonts w:ascii="Arial"/>
                <w:sz w:val="21"/>
              </w:rPr>
            </w:pPr>
          </w:p>
          <w:p w14:paraId="51D6768D">
            <w:pPr>
              <w:spacing w:line="244" w:lineRule="auto"/>
              <w:rPr>
                <w:rFonts w:ascii="Arial"/>
                <w:sz w:val="21"/>
              </w:rPr>
            </w:pPr>
          </w:p>
          <w:p w14:paraId="2A0F92D8">
            <w:pPr>
              <w:spacing w:line="244" w:lineRule="auto"/>
              <w:rPr>
                <w:rFonts w:ascii="Arial"/>
                <w:sz w:val="21"/>
              </w:rPr>
            </w:pPr>
          </w:p>
          <w:p w14:paraId="3FE17DD8">
            <w:pPr>
              <w:pStyle w:val="6"/>
              <w:spacing w:before="69" w:line="236" w:lineRule="auto"/>
              <w:ind w:left="207" w:right="109" w:hanging="103"/>
              <w:rPr>
                <w:rFonts w:ascii="宋体" w:hAnsi="宋体" w:eastAsia="宋体" w:cs="宋体"/>
              </w:rPr>
            </w:pPr>
            <w:r>
              <w:rPr>
                <w:spacing w:val="-2"/>
              </w:rPr>
              <w:t>8#</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4C1D6876">
            <w:pPr>
              <w:pStyle w:val="6"/>
              <w:spacing w:before="166" w:line="222" w:lineRule="auto"/>
              <w:ind w:left="167"/>
            </w:pPr>
            <w:r>
              <w:t>1</w:t>
            </w:r>
          </w:p>
          <w:p w14:paraId="6B4CEFC8">
            <w:pPr>
              <w:spacing w:line="219" w:lineRule="auto"/>
              <w:ind w:left="99"/>
              <w:rPr>
                <w:rFonts w:ascii="宋体" w:hAnsi="宋体" w:eastAsia="宋体" w:cs="宋体"/>
                <w:sz w:val="21"/>
                <w:szCs w:val="21"/>
              </w:rPr>
            </w:pPr>
            <w:r>
              <w:rPr>
                <w:rFonts w:ascii="宋体" w:hAnsi="宋体" w:eastAsia="宋体" w:cs="宋体"/>
                <w:sz w:val="21"/>
                <w:szCs w:val="21"/>
              </w:rPr>
              <w:t>季</w:t>
            </w:r>
          </w:p>
          <w:p w14:paraId="0FA33C9C">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7551751">
            <w:pPr>
              <w:pStyle w:val="6"/>
              <w:spacing w:before="101" w:line="212" w:lineRule="auto"/>
              <w:ind w:left="274"/>
            </w:pPr>
            <w:r>
              <w:rPr>
                <w:spacing w:val="-1"/>
              </w:rPr>
              <w:t>2020/3/10</w:t>
            </w:r>
          </w:p>
        </w:tc>
        <w:tc>
          <w:tcPr>
            <w:tcW w:w="892" w:type="dxa"/>
            <w:vAlign w:val="top"/>
          </w:tcPr>
          <w:p w14:paraId="45126D95">
            <w:pPr>
              <w:pStyle w:val="6"/>
              <w:spacing w:before="101" w:line="212" w:lineRule="auto"/>
              <w:ind w:left="394"/>
            </w:pPr>
            <w:r>
              <w:t>9</w:t>
            </w:r>
          </w:p>
        </w:tc>
        <w:tc>
          <w:tcPr>
            <w:tcW w:w="892" w:type="dxa"/>
            <w:vAlign w:val="top"/>
          </w:tcPr>
          <w:p w14:paraId="3F8114D0">
            <w:pPr>
              <w:pStyle w:val="6"/>
              <w:spacing w:before="105" w:line="186" w:lineRule="auto"/>
              <w:ind w:left="327"/>
            </w:pPr>
            <w:r>
              <w:rPr>
                <w:spacing w:val="-1"/>
              </w:rPr>
              <w:t>4L</w:t>
            </w:r>
          </w:p>
        </w:tc>
        <w:tc>
          <w:tcPr>
            <w:tcW w:w="892" w:type="dxa"/>
            <w:vAlign w:val="top"/>
          </w:tcPr>
          <w:p w14:paraId="0F78317F">
            <w:pPr>
              <w:pStyle w:val="6"/>
              <w:spacing w:before="101" w:line="212" w:lineRule="auto"/>
              <w:ind w:left="269"/>
            </w:pPr>
            <w:r>
              <w:rPr>
                <w:spacing w:val="-3"/>
              </w:rPr>
              <w:t>6.83</w:t>
            </w:r>
          </w:p>
        </w:tc>
        <w:tc>
          <w:tcPr>
            <w:tcW w:w="892" w:type="dxa"/>
            <w:vAlign w:val="top"/>
          </w:tcPr>
          <w:p w14:paraId="1D95CD10">
            <w:pPr>
              <w:pStyle w:val="6"/>
              <w:spacing w:before="101" w:line="212" w:lineRule="auto"/>
              <w:ind w:left="272"/>
            </w:pPr>
            <w:r>
              <w:rPr>
                <w:spacing w:val="-3"/>
              </w:rPr>
              <w:t>6.90</w:t>
            </w:r>
          </w:p>
        </w:tc>
        <w:tc>
          <w:tcPr>
            <w:tcW w:w="891" w:type="dxa"/>
            <w:vAlign w:val="top"/>
          </w:tcPr>
          <w:p w14:paraId="346813BB">
            <w:pPr>
              <w:pStyle w:val="6"/>
              <w:spacing w:before="101" w:line="212" w:lineRule="auto"/>
              <w:ind w:left="274"/>
            </w:pPr>
            <w:r>
              <w:rPr>
                <w:spacing w:val="-2"/>
              </w:rPr>
              <w:t>0.10</w:t>
            </w:r>
          </w:p>
        </w:tc>
        <w:tc>
          <w:tcPr>
            <w:tcW w:w="906" w:type="dxa"/>
            <w:tcBorders>
              <w:right w:val="single" w:color="000000" w:sz="12" w:space="0"/>
            </w:tcBorders>
            <w:vAlign w:val="top"/>
          </w:tcPr>
          <w:p w14:paraId="1E0D52CA">
            <w:pPr>
              <w:pStyle w:val="6"/>
              <w:spacing w:before="101" w:line="212" w:lineRule="auto"/>
              <w:ind w:left="214"/>
            </w:pPr>
            <w:r>
              <w:rPr>
                <w:spacing w:val="-2"/>
              </w:rPr>
              <w:t>0.06L</w:t>
            </w:r>
          </w:p>
        </w:tc>
      </w:tr>
      <w:tr w14:paraId="738B3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98FB2D4">
            <w:pPr>
              <w:rPr>
                <w:rFonts w:ascii="Arial"/>
                <w:sz w:val="21"/>
              </w:rPr>
            </w:pPr>
          </w:p>
        </w:tc>
        <w:tc>
          <w:tcPr>
            <w:tcW w:w="422" w:type="dxa"/>
            <w:vMerge w:val="continue"/>
            <w:tcBorders>
              <w:top w:val="nil"/>
              <w:bottom w:val="nil"/>
            </w:tcBorders>
            <w:vAlign w:val="top"/>
          </w:tcPr>
          <w:p w14:paraId="1D0C2FB9">
            <w:pPr>
              <w:rPr>
                <w:rFonts w:ascii="Arial"/>
                <w:sz w:val="21"/>
              </w:rPr>
            </w:pPr>
          </w:p>
        </w:tc>
        <w:tc>
          <w:tcPr>
            <w:tcW w:w="1414" w:type="dxa"/>
            <w:vAlign w:val="top"/>
          </w:tcPr>
          <w:p w14:paraId="0AF2B4E3">
            <w:pPr>
              <w:pStyle w:val="6"/>
              <w:spacing w:before="104" w:line="209" w:lineRule="auto"/>
              <w:ind w:left="274"/>
            </w:pPr>
            <w:r>
              <w:rPr>
                <w:spacing w:val="-1"/>
              </w:rPr>
              <w:t>2020/3/11</w:t>
            </w:r>
          </w:p>
        </w:tc>
        <w:tc>
          <w:tcPr>
            <w:tcW w:w="892" w:type="dxa"/>
            <w:vAlign w:val="top"/>
          </w:tcPr>
          <w:p w14:paraId="35672903">
            <w:pPr>
              <w:pStyle w:val="6"/>
              <w:spacing w:before="104" w:line="209" w:lineRule="auto"/>
              <w:ind w:left="357"/>
            </w:pPr>
            <w:r>
              <w:rPr>
                <w:spacing w:val="-6"/>
              </w:rPr>
              <w:t>11</w:t>
            </w:r>
          </w:p>
        </w:tc>
        <w:tc>
          <w:tcPr>
            <w:tcW w:w="892" w:type="dxa"/>
            <w:vAlign w:val="top"/>
          </w:tcPr>
          <w:p w14:paraId="0E529EB7">
            <w:pPr>
              <w:pStyle w:val="6"/>
              <w:spacing w:before="108" w:line="186" w:lineRule="auto"/>
              <w:ind w:left="327"/>
            </w:pPr>
            <w:r>
              <w:rPr>
                <w:spacing w:val="-1"/>
              </w:rPr>
              <w:t>4L</w:t>
            </w:r>
          </w:p>
        </w:tc>
        <w:tc>
          <w:tcPr>
            <w:tcW w:w="892" w:type="dxa"/>
            <w:vAlign w:val="top"/>
          </w:tcPr>
          <w:p w14:paraId="4DEC45C1">
            <w:pPr>
              <w:pStyle w:val="6"/>
              <w:spacing w:before="104" w:line="209" w:lineRule="auto"/>
              <w:ind w:left="269"/>
            </w:pPr>
            <w:r>
              <w:rPr>
                <w:spacing w:val="-3"/>
              </w:rPr>
              <w:t>6.85</w:t>
            </w:r>
          </w:p>
        </w:tc>
        <w:tc>
          <w:tcPr>
            <w:tcW w:w="892" w:type="dxa"/>
            <w:vAlign w:val="top"/>
          </w:tcPr>
          <w:p w14:paraId="3AC4CC58">
            <w:pPr>
              <w:pStyle w:val="6"/>
              <w:spacing w:before="104" w:line="209" w:lineRule="auto"/>
              <w:ind w:left="272"/>
            </w:pPr>
            <w:r>
              <w:rPr>
                <w:spacing w:val="-3"/>
              </w:rPr>
              <w:t>6.91</w:t>
            </w:r>
          </w:p>
        </w:tc>
        <w:tc>
          <w:tcPr>
            <w:tcW w:w="891" w:type="dxa"/>
            <w:vAlign w:val="top"/>
          </w:tcPr>
          <w:p w14:paraId="7831A26E">
            <w:pPr>
              <w:pStyle w:val="6"/>
              <w:spacing w:before="104" w:line="209" w:lineRule="auto"/>
              <w:ind w:left="274"/>
            </w:pPr>
            <w:r>
              <w:rPr>
                <w:spacing w:val="-2"/>
              </w:rPr>
              <w:t>0.09</w:t>
            </w:r>
          </w:p>
        </w:tc>
        <w:tc>
          <w:tcPr>
            <w:tcW w:w="906" w:type="dxa"/>
            <w:tcBorders>
              <w:right w:val="single" w:color="000000" w:sz="12" w:space="0"/>
            </w:tcBorders>
            <w:vAlign w:val="top"/>
          </w:tcPr>
          <w:p w14:paraId="0168F1D2">
            <w:pPr>
              <w:pStyle w:val="6"/>
              <w:spacing w:before="104" w:line="209" w:lineRule="auto"/>
              <w:ind w:left="214"/>
            </w:pPr>
            <w:r>
              <w:rPr>
                <w:spacing w:val="-2"/>
              </w:rPr>
              <w:t>0.06L</w:t>
            </w:r>
          </w:p>
        </w:tc>
      </w:tr>
      <w:tr w14:paraId="3C050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6048ACF0">
            <w:pPr>
              <w:rPr>
                <w:rFonts w:ascii="Arial"/>
                <w:sz w:val="21"/>
              </w:rPr>
            </w:pPr>
          </w:p>
        </w:tc>
        <w:tc>
          <w:tcPr>
            <w:tcW w:w="422" w:type="dxa"/>
            <w:vMerge w:val="continue"/>
            <w:tcBorders>
              <w:top w:val="nil"/>
            </w:tcBorders>
            <w:vAlign w:val="top"/>
          </w:tcPr>
          <w:p w14:paraId="14E8F428">
            <w:pPr>
              <w:rPr>
                <w:rFonts w:ascii="Arial"/>
                <w:sz w:val="21"/>
              </w:rPr>
            </w:pPr>
          </w:p>
        </w:tc>
        <w:tc>
          <w:tcPr>
            <w:tcW w:w="1414" w:type="dxa"/>
            <w:vAlign w:val="top"/>
          </w:tcPr>
          <w:p w14:paraId="4A258D8D">
            <w:pPr>
              <w:pStyle w:val="6"/>
              <w:spacing w:before="105" w:line="210" w:lineRule="auto"/>
              <w:ind w:left="274"/>
            </w:pPr>
            <w:r>
              <w:rPr>
                <w:spacing w:val="-1"/>
              </w:rPr>
              <w:t>2020/3/12</w:t>
            </w:r>
          </w:p>
        </w:tc>
        <w:tc>
          <w:tcPr>
            <w:tcW w:w="892" w:type="dxa"/>
            <w:vAlign w:val="top"/>
          </w:tcPr>
          <w:p w14:paraId="33D5E8EA">
            <w:pPr>
              <w:pStyle w:val="6"/>
              <w:spacing w:before="105" w:line="210" w:lineRule="auto"/>
              <w:ind w:left="398"/>
            </w:pPr>
            <w:r>
              <w:t>8</w:t>
            </w:r>
          </w:p>
        </w:tc>
        <w:tc>
          <w:tcPr>
            <w:tcW w:w="892" w:type="dxa"/>
            <w:vAlign w:val="top"/>
          </w:tcPr>
          <w:p w14:paraId="7C7E64D3">
            <w:pPr>
              <w:pStyle w:val="6"/>
              <w:spacing w:before="109" w:line="186" w:lineRule="auto"/>
              <w:ind w:left="327"/>
            </w:pPr>
            <w:r>
              <w:rPr>
                <w:spacing w:val="-1"/>
              </w:rPr>
              <w:t>4L</w:t>
            </w:r>
          </w:p>
        </w:tc>
        <w:tc>
          <w:tcPr>
            <w:tcW w:w="892" w:type="dxa"/>
            <w:vAlign w:val="top"/>
          </w:tcPr>
          <w:p w14:paraId="125998C4">
            <w:pPr>
              <w:pStyle w:val="6"/>
              <w:spacing w:before="105" w:line="210" w:lineRule="auto"/>
              <w:ind w:left="269"/>
            </w:pPr>
            <w:r>
              <w:rPr>
                <w:spacing w:val="-3"/>
              </w:rPr>
              <w:t>6.88</w:t>
            </w:r>
          </w:p>
        </w:tc>
        <w:tc>
          <w:tcPr>
            <w:tcW w:w="892" w:type="dxa"/>
            <w:vAlign w:val="top"/>
          </w:tcPr>
          <w:p w14:paraId="560829C8">
            <w:pPr>
              <w:pStyle w:val="6"/>
              <w:spacing w:before="105" w:line="210" w:lineRule="auto"/>
              <w:ind w:left="272"/>
            </w:pPr>
            <w:r>
              <w:rPr>
                <w:spacing w:val="-3"/>
              </w:rPr>
              <w:t>6.98</w:t>
            </w:r>
          </w:p>
        </w:tc>
        <w:tc>
          <w:tcPr>
            <w:tcW w:w="891" w:type="dxa"/>
            <w:vAlign w:val="top"/>
          </w:tcPr>
          <w:p w14:paraId="7D27A7CD">
            <w:pPr>
              <w:pStyle w:val="6"/>
              <w:spacing w:before="105" w:line="210" w:lineRule="auto"/>
              <w:ind w:left="274"/>
            </w:pPr>
            <w:r>
              <w:rPr>
                <w:spacing w:val="-2"/>
              </w:rPr>
              <w:t>0.08</w:t>
            </w:r>
          </w:p>
        </w:tc>
        <w:tc>
          <w:tcPr>
            <w:tcW w:w="906" w:type="dxa"/>
            <w:tcBorders>
              <w:right w:val="single" w:color="000000" w:sz="12" w:space="0"/>
            </w:tcBorders>
            <w:vAlign w:val="top"/>
          </w:tcPr>
          <w:p w14:paraId="37575297">
            <w:pPr>
              <w:pStyle w:val="6"/>
              <w:spacing w:before="105" w:line="210" w:lineRule="auto"/>
              <w:ind w:left="214"/>
            </w:pPr>
            <w:r>
              <w:rPr>
                <w:spacing w:val="-2"/>
              </w:rPr>
              <w:t>0.06L</w:t>
            </w:r>
          </w:p>
        </w:tc>
      </w:tr>
      <w:tr w14:paraId="4C0F5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18D31A0">
            <w:pPr>
              <w:rPr>
                <w:rFonts w:ascii="Arial"/>
                <w:sz w:val="21"/>
              </w:rPr>
            </w:pPr>
          </w:p>
        </w:tc>
        <w:tc>
          <w:tcPr>
            <w:tcW w:w="422" w:type="dxa"/>
            <w:vMerge w:val="restart"/>
            <w:tcBorders>
              <w:bottom w:val="nil"/>
            </w:tcBorders>
            <w:vAlign w:val="top"/>
          </w:tcPr>
          <w:p w14:paraId="07240D5E">
            <w:pPr>
              <w:pStyle w:val="6"/>
              <w:spacing w:before="168" w:line="222" w:lineRule="auto"/>
              <w:ind w:left="147"/>
            </w:pPr>
            <w:r>
              <w:t>2</w:t>
            </w:r>
          </w:p>
          <w:p w14:paraId="0DB7EDD5">
            <w:pPr>
              <w:spacing w:line="219" w:lineRule="auto"/>
              <w:ind w:left="99"/>
              <w:rPr>
                <w:rFonts w:ascii="宋体" w:hAnsi="宋体" w:eastAsia="宋体" w:cs="宋体"/>
                <w:sz w:val="21"/>
                <w:szCs w:val="21"/>
              </w:rPr>
            </w:pPr>
            <w:r>
              <w:rPr>
                <w:rFonts w:ascii="宋体" w:hAnsi="宋体" w:eastAsia="宋体" w:cs="宋体"/>
                <w:sz w:val="21"/>
                <w:szCs w:val="21"/>
              </w:rPr>
              <w:t>季</w:t>
            </w:r>
          </w:p>
          <w:p w14:paraId="7C5DA1CD">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DC0E211">
            <w:pPr>
              <w:pStyle w:val="6"/>
              <w:spacing w:before="105" w:line="208" w:lineRule="auto"/>
              <w:ind w:left="274"/>
            </w:pPr>
            <w:r>
              <w:rPr>
                <w:spacing w:val="-1"/>
              </w:rPr>
              <w:t>2020/5/20</w:t>
            </w:r>
          </w:p>
        </w:tc>
        <w:tc>
          <w:tcPr>
            <w:tcW w:w="892" w:type="dxa"/>
            <w:vAlign w:val="top"/>
          </w:tcPr>
          <w:p w14:paraId="723B81E2">
            <w:pPr>
              <w:pStyle w:val="6"/>
              <w:spacing w:before="105" w:line="208" w:lineRule="auto"/>
              <w:ind w:left="304"/>
            </w:pPr>
            <w:r>
              <w:rPr>
                <w:spacing w:val="-6"/>
              </w:rPr>
              <w:t>198</w:t>
            </w:r>
          </w:p>
        </w:tc>
        <w:tc>
          <w:tcPr>
            <w:tcW w:w="892" w:type="dxa"/>
            <w:vAlign w:val="top"/>
          </w:tcPr>
          <w:p w14:paraId="0B424852">
            <w:pPr>
              <w:pStyle w:val="6"/>
              <w:spacing w:before="109" w:line="204" w:lineRule="auto"/>
              <w:ind w:left="343"/>
            </w:pPr>
            <w:r>
              <w:rPr>
                <w:b/>
                <w:bCs/>
                <w:spacing w:val="-2"/>
              </w:rPr>
              <w:t>78</w:t>
            </w:r>
          </w:p>
        </w:tc>
        <w:tc>
          <w:tcPr>
            <w:tcW w:w="892" w:type="dxa"/>
            <w:vAlign w:val="top"/>
          </w:tcPr>
          <w:p w14:paraId="2B8530B3">
            <w:pPr>
              <w:pStyle w:val="6"/>
              <w:spacing w:before="105" w:line="208" w:lineRule="auto"/>
              <w:ind w:left="273"/>
            </w:pPr>
            <w:r>
              <w:rPr>
                <w:spacing w:val="-4"/>
              </w:rPr>
              <w:t>8.40</w:t>
            </w:r>
          </w:p>
        </w:tc>
        <w:tc>
          <w:tcPr>
            <w:tcW w:w="892" w:type="dxa"/>
            <w:vAlign w:val="top"/>
          </w:tcPr>
          <w:p w14:paraId="568B3903">
            <w:pPr>
              <w:pStyle w:val="6"/>
              <w:spacing w:before="105" w:line="208" w:lineRule="auto"/>
              <w:ind w:left="276"/>
            </w:pPr>
            <w:r>
              <w:rPr>
                <w:spacing w:val="-4"/>
              </w:rPr>
              <w:t>8.11</w:t>
            </w:r>
          </w:p>
        </w:tc>
        <w:tc>
          <w:tcPr>
            <w:tcW w:w="891" w:type="dxa"/>
            <w:vAlign w:val="top"/>
          </w:tcPr>
          <w:p w14:paraId="671FCC58">
            <w:pPr>
              <w:pStyle w:val="6"/>
              <w:spacing w:before="105" w:line="208" w:lineRule="auto"/>
              <w:ind w:left="274"/>
            </w:pPr>
            <w:r>
              <w:rPr>
                <w:spacing w:val="-2"/>
              </w:rPr>
              <w:t>0.28</w:t>
            </w:r>
          </w:p>
        </w:tc>
        <w:tc>
          <w:tcPr>
            <w:tcW w:w="906" w:type="dxa"/>
            <w:tcBorders>
              <w:right w:val="single" w:color="000000" w:sz="12" w:space="0"/>
            </w:tcBorders>
            <w:vAlign w:val="top"/>
          </w:tcPr>
          <w:p w14:paraId="55F08055">
            <w:pPr>
              <w:pStyle w:val="6"/>
              <w:spacing w:before="105" w:line="208" w:lineRule="auto"/>
              <w:ind w:left="277"/>
            </w:pPr>
            <w:r>
              <w:rPr>
                <w:spacing w:val="-2"/>
              </w:rPr>
              <w:t>0.07</w:t>
            </w:r>
          </w:p>
        </w:tc>
      </w:tr>
      <w:tr w14:paraId="584E4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712DD941">
            <w:pPr>
              <w:rPr>
                <w:rFonts w:ascii="Arial"/>
                <w:sz w:val="21"/>
              </w:rPr>
            </w:pPr>
          </w:p>
        </w:tc>
        <w:tc>
          <w:tcPr>
            <w:tcW w:w="422" w:type="dxa"/>
            <w:vMerge w:val="continue"/>
            <w:tcBorders>
              <w:top w:val="nil"/>
              <w:bottom w:val="nil"/>
            </w:tcBorders>
            <w:vAlign w:val="top"/>
          </w:tcPr>
          <w:p w14:paraId="4F186F4B">
            <w:pPr>
              <w:rPr>
                <w:rFonts w:ascii="Arial"/>
                <w:sz w:val="21"/>
              </w:rPr>
            </w:pPr>
          </w:p>
        </w:tc>
        <w:tc>
          <w:tcPr>
            <w:tcW w:w="1414" w:type="dxa"/>
            <w:vAlign w:val="top"/>
          </w:tcPr>
          <w:p w14:paraId="6D068593">
            <w:pPr>
              <w:pStyle w:val="6"/>
              <w:spacing w:before="106" w:line="209" w:lineRule="auto"/>
              <w:ind w:left="274"/>
            </w:pPr>
            <w:r>
              <w:rPr>
                <w:spacing w:val="-1"/>
              </w:rPr>
              <w:t>2020/5/21</w:t>
            </w:r>
          </w:p>
        </w:tc>
        <w:tc>
          <w:tcPr>
            <w:tcW w:w="892" w:type="dxa"/>
            <w:vAlign w:val="top"/>
          </w:tcPr>
          <w:p w14:paraId="0522047F">
            <w:pPr>
              <w:pStyle w:val="6"/>
              <w:spacing w:before="106" w:line="209" w:lineRule="auto"/>
              <w:ind w:left="304"/>
            </w:pPr>
            <w:r>
              <w:rPr>
                <w:spacing w:val="-6"/>
              </w:rPr>
              <w:t>185</w:t>
            </w:r>
          </w:p>
        </w:tc>
        <w:tc>
          <w:tcPr>
            <w:tcW w:w="892" w:type="dxa"/>
            <w:vAlign w:val="top"/>
          </w:tcPr>
          <w:p w14:paraId="74C26220">
            <w:pPr>
              <w:pStyle w:val="6"/>
              <w:spacing w:before="110" w:line="205" w:lineRule="auto"/>
              <w:ind w:left="343"/>
            </w:pPr>
            <w:r>
              <w:rPr>
                <w:b/>
                <w:bCs/>
                <w:spacing w:val="-2"/>
              </w:rPr>
              <w:t>83</w:t>
            </w:r>
          </w:p>
        </w:tc>
        <w:tc>
          <w:tcPr>
            <w:tcW w:w="892" w:type="dxa"/>
            <w:vAlign w:val="top"/>
          </w:tcPr>
          <w:p w14:paraId="436F9034">
            <w:pPr>
              <w:pStyle w:val="6"/>
              <w:spacing w:before="106" w:line="209" w:lineRule="auto"/>
              <w:ind w:left="273"/>
            </w:pPr>
            <w:r>
              <w:rPr>
                <w:spacing w:val="-4"/>
              </w:rPr>
              <w:t>8.34</w:t>
            </w:r>
          </w:p>
        </w:tc>
        <w:tc>
          <w:tcPr>
            <w:tcW w:w="892" w:type="dxa"/>
            <w:vAlign w:val="top"/>
          </w:tcPr>
          <w:p w14:paraId="734BF4E9">
            <w:pPr>
              <w:pStyle w:val="6"/>
              <w:spacing w:before="106" w:line="209" w:lineRule="auto"/>
              <w:ind w:left="276"/>
            </w:pPr>
            <w:r>
              <w:rPr>
                <w:spacing w:val="-4"/>
              </w:rPr>
              <w:t>8.10</w:t>
            </w:r>
          </w:p>
        </w:tc>
        <w:tc>
          <w:tcPr>
            <w:tcW w:w="891" w:type="dxa"/>
            <w:vAlign w:val="top"/>
          </w:tcPr>
          <w:p w14:paraId="1560244F">
            <w:pPr>
              <w:pStyle w:val="6"/>
              <w:spacing w:before="106" w:line="209" w:lineRule="auto"/>
              <w:ind w:left="274"/>
            </w:pPr>
            <w:r>
              <w:rPr>
                <w:spacing w:val="-2"/>
              </w:rPr>
              <w:t>0.28</w:t>
            </w:r>
          </w:p>
        </w:tc>
        <w:tc>
          <w:tcPr>
            <w:tcW w:w="906" w:type="dxa"/>
            <w:tcBorders>
              <w:right w:val="single" w:color="000000" w:sz="12" w:space="0"/>
            </w:tcBorders>
            <w:vAlign w:val="top"/>
          </w:tcPr>
          <w:p w14:paraId="7557A4CD">
            <w:pPr>
              <w:pStyle w:val="6"/>
              <w:spacing w:before="106" w:line="209" w:lineRule="auto"/>
              <w:ind w:left="277"/>
            </w:pPr>
            <w:r>
              <w:rPr>
                <w:spacing w:val="-2"/>
              </w:rPr>
              <w:t>0.07</w:t>
            </w:r>
          </w:p>
        </w:tc>
      </w:tr>
      <w:tr w14:paraId="71130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BE59DE0">
            <w:pPr>
              <w:rPr>
                <w:rFonts w:ascii="Arial"/>
                <w:sz w:val="21"/>
              </w:rPr>
            </w:pPr>
          </w:p>
        </w:tc>
        <w:tc>
          <w:tcPr>
            <w:tcW w:w="422" w:type="dxa"/>
            <w:vMerge w:val="continue"/>
            <w:tcBorders>
              <w:top w:val="nil"/>
            </w:tcBorders>
            <w:vAlign w:val="top"/>
          </w:tcPr>
          <w:p w14:paraId="0B5164D1">
            <w:pPr>
              <w:rPr>
                <w:rFonts w:ascii="Arial"/>
                <w:sz w:val="21"/>
              </w:rPr>
            </w:pPr>
          </w:p>
        </w:tc>
        <w:tc>
          <w:tcPr>
            <w:tcW w:w="1414" w:type="dxa"/>
            <w:vAlign w:val="top"/>
          </w:tcPr>
          <w:p w14:paraId="33F41C47">
            <w:pPr>
              <w:pStyle w:val="6"/>
              <w:spacing w:before="105" w:line="208" w:lineRule="auto"/>
              <w:ind w:left="274"/>
            </w:pPr>
            <w:r>
              <w:rPr>
                <w:spacing w:val="-1"/>
              </w:rPr>
              <w:t>2020/5/22</w:t>
            </w:r>
          </w:p>
        </w:tc>
        <w:tc>
          <w:tcPr>
            <w:tcW w:w="892" w:type="dxa"/>
            <w:vAlign w:val="top"/>
          </w:tcPr>
          <w:p w14:paraId="2142377C">
            <w:pPr>
              <w:pStyle w:val="6"/>
              <w:spacing w:before="105" w:line="208" w:lineRule="auto"/>
              <w:ind w:left="284"/>
            </w:pPr>
            <w:r>
              <w:rPr>
                <w:spacing w:val="-1"/>
              </w:rPr>
              <w:t>201</w:t>
            </w:r>
          </w:p>
        </w:tc>
        <w:tc>
          <w:tcPr>
            <w:tcW w:w="892" w:type="dxa"/>
            <w:vAlign w:val="top"/>
          </w:tcPr>
          <w:p w14:paraId="250244E8">
            <w:pPr>
              <w:pStyle w:val="6"/>
              <w:spacing w:before="109" w:line="204" w:lineRule="auto"/>
              <w:ind w:left="343"/>
            </w:pPr>
            <w:r>
              <w:rPr>
                <w:b/>
                <w:bCs/>
                <w:spacing w:val="-2"/>
              </w:rPr>
              <w:t>86</w:t>
            </w:r>
          </w:p>
        </w:tc>
        <w:tc>
          <w:tcPr>
            <w:tcW w:w="892" w:type="dxa"/>
            <w:vAlign w:val="top"/>
          </w:tcPr>
          <w:p w14:paraId="51F43A62">
            <w:pPr>
              <w:pStyle w:val="6"/>
              <w:spacing w:before="105" w:line="208" w:lineRule="auto"/>
              <w:ind w:left="273"/>
            </w:pPr>
            <w:r>
              <w:rPr>
                <w:spacing w:val="-4"/>
              </w:rPr>
              <w:t>8.31</w:t>
            </w:r>
          </w:p>
        </w:tc>
        <w:tc>
          <w:tcPr>
            <w:tcW w:w="892" w:type="dxa"/>
            <w:vAlign w:val="top"/>
          </w:tcPr>
          <w:p w14:paraId="0ABB0A62">
            <w:pPr>
              <w:pStyle w:val="6"/>
              <w:spacing w:before="105" w:line="208" w:lineRule="auto"/>
              <w:ind w:left="276"/>
            </w:pPr>
            <w:r>
              <w:rPr>
                <w:spacing w:val="-4"/>
              </w:rPr>
              <w:t>8.08</w:t>
            </w:r>
          </w:p>
        </w:tc>
        <w:tc>
          <w:tcPr>
            <w:tcW w:w="891" w:type="dxa"/>
            <w:vAlign w:val="top"/>
          </w:tcPr>
          <w:p w14:paraId="2FD425D5">
            <w:pPr>
              <w:pStyle w:val="6"/>
              <w:spacing w:before="105" w:line="208" w:lineRule="auto"/>
              <w:ind w:left="274"/>
            </w:pPr>
            <w:r>
              <w:rPr>
                <w:spacing w:val="-2"/>
              </w:rPr>
              <w:t>0.31</w:t>
            </w:r>
          </w:p>
        </w:tc>
        <w:tc>
          <w:tcPr>
            <w:tcW w:w="906" w:type="dxa"/>
            <w:tcBorders>
              <w:right w:val="single" w:color="000000" w:sz="12" w:space="0"/>
            </w:tcBorders>
            <w:vAlign w:val="top"/>
          </w:tcPr>
          <w:p w14:paraId="07F02B10">
            <w:pPr>
              <w:pStyle w:val="6"/>
              <w:spacing w:before="105" w:line="208" w:lineRule="auto"/>
              <w:ind w:left="277"/>
            </w:pPr>
            <w:r>
              <w:rPr>
                <w:spacing w:val="-2"/>
              </w:rPr>
              <w:t>0.08</w:t>
            </w:r>
          </w:p>
        </w:tc>
      </w:tr>
      <w:tr w14:paraId="7B126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9A157FC">
            <w:pPr>
              <w:rPr>
                <w:rFonts w:ascii="Arial"/>
                <w:sz w:val="21"/>
              </w:rPr>
            </w:pPr>
          </w:p>
        </w:tc>
        <w:tc>
          <w:tcPr>
            <w:tcW w:w="422" w:type="dxa"/>
            <w:vMerge w:val="restart"/>
            <w:tcBorders>
              <w:bottom w:val="nil"/>
            </w:tcBorders>
            <w:vAlign w:val="top"/>
          </w:tcPr>
          <w:p w14:paraId="01FC4696">
            <w:pPr>
              <w:pStyle w:val="6"/>
              <w:spacing w:before="171" w:line="222" w:lineRule="auto"/>
              <w:ind w:left="151"/>
            </w:pPr>
            <w:r>
              <w:t>3</w:t>
            </w:r>
          </w:p>
          <w:p w14:paraId="5D446C79">
            <w:pPr>
              <w:spacing w:line="219" w:lineRule="auto"/>
              <w:ind w:left="99"/>
              <w:rPr>
                <w:rFonts w:ascii="宋体" w:hAnsi="宋体" w:eastAsia="宋体" w:cs="宋体"/>
                <w:sz w:val="21"/>
                <w:szCs w:val="21"/>
              </w:rPr>
            </w:pPr>
            <w:r>
              <w:rPr>
                <w:rFonts w:ascii="宋体" w:hAnsi="宋体" w:eastAsia="宋体" w:cs="宋体"/>
                <w:sz w:val="21"/>
                <w:szCs w:val="21"/>
              </w:rPr>
              <w:t>季</w:t>
            </w:r>
          </w:p>
          <w:p w14:paraId="093E4A00">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55514497">
            <w:pPr>
              <w:pStyle w:val="6"/>
              <w:spacing w:before="107" w:line="206" w:lineRule="auto"/>
              <w:ind w:left="274"/>
            </w:pPr>
            <w:r>
              <w:rPr>
                <w:spacing w:val="-1"/>
              </w:rPr>
              <w:t>2020/8/20</w:t>
            </w:r>
          </w:p>
        </w:tc>
        <w:tc>
          <w:tcPr>
            <w:tcW w:w="892" w:type="dxa"/>
            <w:vAlign w:val="top"/>
          </w:tcPr>
          <w:p w14:paraId="37EDEE1A">
            <w:pPr>
              <w:pStyle w:val="6"/>
              <w:spacing w:before="107" w:line="206" w:lineRule="auto"/>
              <w:ind w:left="336"/>
            </w:pPr>
            <w:r>
              <w:rPr>
                <w:spacing w:val="-1"/>
              </w:rPr>
              <w:t>41</w:t>
            </w:r>
          </w:p>
        </w:tc>
        <w:tc>
          <w:tcPr>
            <w:tcW w:w="892" w:type="dxa"/>
            <w:vAlign w:val="top"/>
          </w:tcPr>
          <w:p w14:paraId="5EBADEB2">
            <w:pPr>
              <w:pStyle w:val="6"/>
              <w:spacing w:before="107" w:line="206" w:lineRule="auto"/>
              <w:ind w:left="340"/>
            </w:pPr>
            <w:r>
              <w:rPr>
                <w:spacing w:val="-1"/>
              </w:rPr>
              <w:t>24</w:t>
            </w:r>
          </w:p>
        </w:tc>
        <w:tc>
          <w:tcPr>
            <w:tcW w:w="892" w:type="dxa"/>
            <w:vAlign w:val="top"/>
          </w:tcPr>
          <w:p w14:paraId="23A9313A">
            <w:pPr>
              <w:pStyle w:val="6"/>
              <w:spacing w:before="107" w:line="206" w:lineRule="auto"/>
              <w:ind w:left="268"/>
            </w:pPr>
            <w:r>
              <w:rPr>
                <w:spacing w:val="-2"/>
              </w:rPr>
              <w:t>7.57</w:t>
            </w:r>
          </w:p>
        </w:tc>
        <w:tc>
          <w:tcPr>
            <w:tcW w:w="892" w:type="dxa"/>
            <w:vAlign w:val="top"/>
          </w:tcPr>
          <w:p w14:paraId="435E2EF5">
            <w:pPr>
              <w:pStyle w:val="6"/>
              <w:spacing w:before="107" w:line="206" w:lineRule="auto"/>
              <w:ind w:left="271"/>
            </w:pPr>
            <w:r>
              <w:rPr>
                <w:spacing w:val="-2"/>
              </w:rPr>
              <w:t>7.41</w:t>
            </w:r>
          </w:p>
        </w:tc>
        <w:tc>
          <w:tcPr>
            <w:tcW w:w="891" w:type="dxa"/>
            <w:vAlign w:val="top"/>
          </w:tcPr>
          <w:p w14:paraId="24931AD1">
            <w:pPr>
              <w:pStyle w:val="6"/>
              <w:spacing w:before="107" w:line="206" w:lineRule="auto"/>
              <w:ind w:left="274"/>
            </w:pPr>
            <w:r>
              <w:rPr>
                <w:spacing w:val="-2"/>
              </w:rPr>
              <w:t>0.20</w:t>
            </w:r>
          </w:p>
        </w:tc>
        <w:tc>
          <w:tcPr>
            <w:tcW w:w="906" w:type="dxa"/>
            <w:tcBorders>
              <w:right w:val="single" w:color="000000" w:sz="12" w:space="0"/>
            </w:tcBorders>
            <w:vAlign w:val="top"/>
          </w:tcPr>
          <w:p w14:paraId="3F97DAC8">
            <w:pPr>
              <w:pStyle w:val="6"/>
              <w:spacing w:before="107" w:line="206" w:lineRule="auto"/>
              <w:ind w:left="277"/>
            </w:pPr>
            <w:r>
              <w:rPr>
                <w:spacing w:val="-2"/>
              </w:rPr>
              <w:t>0.09</w:t>
            </w:r>
          </w:p>
        </w:tc>
      </w:tr>
      <w:tr w14:paraId="698B0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3CC9F85">
            <w:pPr>
              <w:rPr>
                <w:rFonts w:ascii="Arial"/>
                <w:sz w:val="21"/>
              </w:rPr>
            </w:pPr>
          </w:p>
        </w:tc>
        <w:tc>
          <w:tcPr>
            <w:tcW w:w="422" w:type="dxa"/>
            <w:vMerge w:val="continue"/>
            <w:tcBorders>
              <w:top w:val="nil"/>
              <w:bottom w:val="nil"/>
            </w:tcBorders>
            <w:vAlign w:val="top"/>
          </w:tcPr>
          <w:p w14:paraId="72E18B78">
            <w:pPr>
              <w:rPr>
                <w:rFonts w:ascii="Arial"/>
                <w:sz w:val="21"/>
              </w:rPr>
            </w:pPr>
          </w:p>
        </w:tc>
        <w:tc>
          <w:tcPr>
            <w:tcW w:w="1414" w:type="dxa"/>
            <w:vAlign w:val="top"/>
          </w:tcPr>
          <w:p w14:paraId="4696282E">
            <w:pPr>
              <w:pStyle w:val="6"/>
              <w:spacing w:before="108" w:line="207" w:lineRule="auto"/>
              <w:ind w:left="274"/>
            </w:pPr>
            <w:r>
              <w:rPr>
                <w:spacing w:val="-1"/>
              </w:rPr>
              <w:t>2020/8/21</w:t>
            </w:r>
          </w:p>
        </w:tc>
        <w:tc>
          <w:tcPr>
            <w:tcW w:w="892" w:type="dxa"/>
            <w:vAlign w:val="top"/>
          </w:tcPr>
          <w:p w14:paraId="10D4050D">
            <w:pPr>
              <w:pStyle w:val="6"/>
              <w:spacing w:before="108" w:line="207" w:lineRule="auto"/>
              <w:ind w:left="336"/>
            </w:pPr>
            <w:r>
              <w:rPr>
                <w:spacing w:val="-1"/>
              </w:rPr>
              <w:t>43</w:t>
            </w:r>
          </w:p>
        </w:tc>
        <w:tc>
          <w:tcPr>
            <w:tcW w:w="892" w:type="dxa"/>
            <w:vAlign w:val="top"/>
          </w:tcPr>
          <w:p w14:paraId="30C0217B">
            <w:pPr>
              <w:pStyle w:val="6"/>
              <w:spacing w:before="108" w:line="207" w:lineRule="auto"/>
              <w:ind w:left="360"/>
            </w:pPr>
            <w:r>
              <w:rPr>
                <w:spacing w:val="-6"/>
              </w:rPr>
              <w:t>19</w:t>
            </w:r>
          </w:p>
        </w:tc>
        <w:tc>
          <w:tcPr>
            <w:tcW w:w="892" w:type="dxa"/>
            <w:vAlign w:val="top"/>
          </w:tcPr>
          <w:p w14:paraId="24EFD70E">
            <w:pPr>
              <w:pStyle w:val="6"/>
              <w:spacing w:before="108" w:line="207" w:lineRule="auto"/>
              <w:ind w:left="268"/>
            </w:pPr>
            <w:r>
              <w:rPr>
                <w:spacing w:val="-2"/>
              </w:rPr>
              <w:t>7.61</w:t>
            </w:r>
          </w:p>
        </w:tc>
        <w:tc>
          <w:tcPr>
            <w:tcW w:w="892" w:type="dxa"/>
            <w:vAlign w:val="top"/>
          </w:tcPr>
          <w:p w14:paraId="65F4BEDD">
            <w:pPr>
              <w:pStyle w:val="6"/>
              <w:spacing w:before="108" w:line="207" w:lineRule="auto"/>
              <w:ind w:left="271"/>
            </w:pPr>
            <w:r>
              <w:rPr>
                <w:spacing w:val="-2"/>
              </w:rPr>
              <w:t>7.46</w:t>
            </w:r>
          </w:p>
        </w:tc>
        <w:tc>
          <w:tcPr>
            <w:tcW w:w="891" w:type="dxa"/>
            <w:vAlign w:val="top"/>
          </w:tcPr>
          <w:p w14:paraId="59821FF9">
            <w:pPr>
              <w:pStyle w:val="6"/>
              <w:spacing w:before="108" w:line="207" w:lineRule="auto"/>
              <w:ind w:left="274"/>
            </w:pPr>
            <w:r>
              <w:rPr>
                <w:spacing w:val="-2"/>
              </w:rPr>
              <w:t>0.20</w:t>
            </w:r>
          </w:p>
        </w:tc>
        <w:tc>
          <w:tcPr>
            <w:tcW w:w="906" w:type="dxa"/>
            <w:tcBorders>
              <w:right w:val="single" w:color="000000" w:sz="12" w:space="0"/>
            </w:tcBorders>
            <w:vAlign w:val="top"/>
          </w:tcPr>
          <w:p w14:paraId="21C698F4">
            <w:pPr>
              <w:pStyle w:val="6"/>
              <w:spacing w:before="108" w:line="207" w:lineRule="auto"/>
              <w:ind w:left="277"/>
            </w:pPr>
            <w:r>
              <w:rPr>
                <w:spacing w:val="-2"/>
              </w:rPr>
              <w:t>0.10</w:t>
            </w:r>
          </w:p>
        </w:tc>
      </w:tr>
      <w:tr w14:paraId="46DDD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230D01D">
            <w:pPr>
              <w:rPr>
                <w:rFonts w:ascii="Arial"/>
                <w:sz w:val="21"/>
              </w:rPr>
            </w:pPr>
          </w:p>
        </w:tc>
        <w:tc>
          <w:tcPr>
            <w:tcW w:w="422" w:type="dxa"/>
            <w:vMerge w:val="continue"/>
            <w:tcBorders>
              <w:top w:val="nil"/>
            </w:tcBorders>
            <w:vAlign w:val="top"/>
          </w:tcPr>
          <w:p w14:paraId="7D10AA82">
            <w:pPr>
              <w:rPr>
                <w:rFonts w:ascii="Arial"/>
                <w:sz w:val="21"/>
              </w:rPr>
            </w:pPr>
          </w:p>
        </w:tc>
        <w:tc>
          <w:tcPr>
            <w:tcW w:w="1414" w:type="dxa"/>
            <w:vAlign w:val="top"/>
          </w:tcPr>
          <w:p w14:paraId="4FF44898">
            <w:pPr>
              <w:pStyle w:val="6"/>
              <w:spacing w:before="108" w:line="205" w:lineRule="auto"/>
              <w:ind w:left="274"/>
            </w:pPr>
            <w:r>
              <w:rPr>
                <w:spacing w:val="-1"/>
              </w:rPr>
              <w:t>2020/8/22</w:t>
            </w:r>
          </w:p>
        </w:tc>
        <w:tc>
          <w:tcPr>
            <w:tcW w:w="892" w:type="dxa"/>
            <w:vAlign w:val="top"/>
          </w:tcPr>
          <w:p w14:paraId="55F7EB8E">
            <w:pPr>
              <w:pStyle w:val="6"/>
              <w:spacing w:before="108" w:line="205" w:lineRule="auto"/>
              <w:ind w:left="341"/>
            </w:pPr>
            <w:r>
              <w:rPr>
                <w:spacing w:val="-3"/>
              </w:rPr>
              <w:t>39</w:t>
            </w:r>
          </w:p>
        </w:tc>
        <w:tc>
          <w:tcPr>
            <w:tcW w:w="892" w:type="dxa"/>
            <w:vAlign w:val="top"/>
          </w:tcPr>
          <w:p w14:paraId="018AB157">
            <w:pPr>
              <w:pStyle w:val="6"/>
              <w:spacing w:before="108" w:line="205" w:lineRule="auto"/>
              <w:ind w:left="340"/>
            </w:pPr>
            <w:r>
              <w:rPr>
                <w:spacing w:val="-1"/>
              </w:rPr>
              <w:t>21</w:t>
            </w:r>
          </w:p>
        </w:tc>
        <w:tc>
          <w:tcPr>
            <w:tcW w:w="892" w:type="dxa"/>
            <w:vAlign w:val="top"/>
          </w:tcPr>
          <w:p w14:paraId="44CCF344">
            <w:pPr>
              <w:pStyle w:val="6"/>
              <w:spacing w:before="108" w:line="205" w:lineRule="auto"/>
              <w:ind w:left="268"/>
            </w:pPr>
            <w:r>
              <w:rPr>
                <w:spacing w:val="-2"/>
              </w:rPr>
              <w:t>7.68</w:t>
            </w:r>
          </w:p>
        </w:tc>
        <w:tc>
          <w:tcPr>
            <w:tcW w:w="892" w:type="dxa"/>
            <w:vAlign w:val="top"/>
          </w:tcPr>
          <w:p w14:paraId="5C3D7490">
            <w:pPr>
              <w:pStyle w:val="6"/>
              <w:spacing w:before="108" w:line="205" w:lineRule="auto"/>
              <w:ind w:left="271"/>
            </w:pPr>
            <w:r>
              <w:rPr>
                <w:spacing w:val="-2"/>
              </w:rPr>
              <w:t>7.34</w:t>
            </w:r>
          </w:p>
        </w:tc>
        <w:tc>
          <w:tcPr>
            <w:tcW w:w="891" w:type="dxa"/>
            <w:vAlign w:val="top"/>
          </w:tcPr>
          <w:p w14:paraId="4DEFA417">
            <w:pPr>
              <w:pStyle w:val="6"/>
              <w:spacing w:before="108" w:line="205" w:lineRule="auto"/>
              <w:ind w:left="274"/>
            </w:pPr>
            <w:r>
              <w:rPr>
                <w:spacing w:val="-2"/>
              </w:rPr>
              <w:t>0.20</w:t>
            </w:r>
          </w:p>
        </w:tc>
        <w:tc>
          <w:tcPr>
            <w:tcW w:w="906" w:type="dxa"/>
            <w:tcBorders>
              <w:right w:val="single" w:color="000000" w:sz="12" w:space="0"/>
            </w:tcBorders>
            <w:vAlign w:val="top"/>
          </w:tcPr>
          <w:p w14:paraId="2BD2C9F3">
            <w:pPr>
              <w:pStyle w:val="6"/>
              <w:spacing w:before="108" w:line="205" w:lineRule="auto"/>
              <w:ind w:left="277"/>
            </w:pPr>
            <w:r>
              <w:rPr>
                <w:spacing w:val="-2"/>
              </w:rPr>
              <w:t>0.09</w:t>
            </w:r>
          </w:p>
        </w:tc>
      </w:tr>
      <w:tr w14:paraId="54628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0B4556D0">
            <w:pPr>
              <w:rPr>
                <w:rFonts w:ascii="Arial"/>
                <w:sz w:val="21"/>
              </w:rPr>
            </w:pPr>
          </w:p>
        </w:tc>
        <w:tc>
          <w:tcPr>
            <w:tcW w:w="422" w:type="dxa"/>
            <w:vMerge w:val="restart"/>
            <w:tcBorders>
              <w:bottom w:val="nil"/>
            </w:tcBorders>
            <w:vAlign w:val="top"/>
          </w:tcPr>
          <w:p w14:paraId="4A54333E">
            <w:pPr>
              <w:pStyle w:val="6"/>
              <w:spacing w:before="173" w:line="223" w:lineRule="auto"/>
              <w:ind w:left="146"/>
            </w:pPr>
            <w:r>
              <w:t>4</w:t>
            </w:r>
          </w:p>
          <w:p w14:paraId="429BAE5A">
            <w:pPr>
              <w:spacing w:line="219" w:lineRule="auto"/>
              <w:ind w:left="99"/>
              <w:rPr>
                <w:rFonts w:ascii="宋体" w:hAnsi="宋体" w:eastAsia="宋体" w:cs="宋体"/>
                <w:sz w:val="21"/>
                <w:szCs w:val="21"/>
              </w:rPr>
            </w:pPr>
            <w:r>
              <w:rPr>
                <w:rFonts w:ascii="宋体" w:hAnsi="宋体" w:eastAsia="宋体" w:cs="宋体"/>
                <w:sz w:val="21"/>
                <w:szCs w:val="21"/>
              </w:rPr>
              <w:t>季</w:t>
            </w:r>
          </w:p>
          <w:p w14:paraId="5357BB69">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1C57901">
            <w:pPr>
              <w:pStyle w:val="6"/>
              <w:spacing w:before="109" w:line="206" w:lineRule="auto"/>
              <w:ind w:left="221"/>
            </w:pPr>
            <w:r>
              <w:rPr>
                <w:spacing w:val="-1"/>
              </w:rPr>
              <w:t>2020/11/15</w:t>
            </w:r>
          </w:p>
        </w:tc>
        <w:tc>
          <w:tcPr>
            <w:tcW w:w="892" w:type="dxa"/>
            <w:vAlign w:val="top"/>
          </w:tcPr>
          <w:p w14:paraId="2EF19038">
            <w:pPr>
              <w:pStyle w:val="6"/>
              <w:spacing w:before="109" w:line="206" w:lineRule="auto"/>
              <w:ind w:left="284"/>
            </w:pPr>
            <w:r>
              <w:rPr>
                <w:spacing w:val="-1"/>
              </w:rPr>
              <w:t>216</w:t>
            </w:r>
          </w:p>
        </w:tc>
        <w:tc>
          <w:tcPr>
            <w:tcW w:w="892" w:type="dxa"/>
            <w:vAlign w:val="top"/>
          </w:tcPr>
          <w:p w14:paraId="38E8CA63">
            <w:pPr>
              <w:pStyle w:val="6"/>
              <w:spacing w:before="109" w:line="206" w:lineRule="auto"/>
              <w:ind w:left="402"/>
            </w:pPr>
            <w:r>
              <w:t>8</w:t>
            </w:r>
          </w:p>
        </w:tc>
        <w:tc>
          <w:tcPr>
            <w:tcW w:w="892" w:type="dxa"/>
            <w:vAlign w:val="top"/>
          </w:tcPr>
          <w:p w14:paraId="2195D031">
            <w:pPr>
              <w:pStyle w:val="6"/>
              <w:spacing w:before="109" w:line="206" w:lineRule="auto"/>
              <w:ind w:left="268"/>
            </w:pPr>
            <w:r>
              <w:rPr>
                <w:spacing w:val="-2"/>
              </w:rPr>
              <w:t>7.52</w:t>
            </w:r>
          </w:p>
        </w:tc>
        <w:tc>
          <w:tcPr>
            <w:tcW w:w="892" w:type="dxa"/>
            <w:vAlign w:val="top"/>
          </w:tcPr>
          <w:p w14:paraId="46D569AC">
            <w:pPr>
              <w:pStyle w:val="6"/>
              <w:spacing w:before="109" w:line="206" w:lineRule="auto"/>
              <w:ind w:left="271"/>
            </w:pPr>
            <w:r>
              <w:rPr>
                <w:spacing w:val="-2"/>
              </w:rPr>
              <w:t>7.50</w:t>
            </w:r>
          </w:p>
        </w:tc>
        <w:tc>
          <w:tcPr>
            <w:tcW w:w="891" w:type="dxa"/>
            <w:vAlign w:val="top"/>
          </w:tcPr>
          <w:p w14:paraId="303BD0CD">
            <w:pPr>
              <w:pStyle w:val="6"/>
              <w:spacing w:before="109" w:line="206" w:lineRule="auto"/>
              <w:ind w:left="274"/>
            </w:pPr>
            <w:r>
              <w:rPr>
                <w:spacing w:val="-2"/>
              </w:rPr>
              <w:t>0.07</w:t>
            </w:r>
          </w:p>
        </w:tc>
        <w:tc>
          <w:tcPr>
            <w:tcW w:w="906" w:type="dxa"/>
            <w:tcBorders>
              <w:right w:val="single" w:color="000000" w:sz="12" w:space="0"/>
            </w:tcBorders>
            <w:vAlign w:val="top"/>
          </w:tcPr>
          <w:p w14:paraId="67CAED2E">
            <w:pPr>
              <w:pStyle w:val="6"/>
              <w:spacing w:before="109" w:line="206" w:lineRule="auto"/>
              <w:ind w:left="214"/>
            </w:pPr>
            <w:r>
              <w:rPr>
                <w:spacing w:val="-2"/>
              </w:rPr>
              <w:t>0.06L</w:t>
            </w:r>
          </w:p>
        </w:tc>
      </w:tr>
      <w:tr w14:paraId="49391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B83CEB6">
            <w:pPr>
              <w:rPr>
                <w:rFonts w:ascii="Arial"/>
                <w:sz w:val="21"/>
              </w:rPr>
            </w:pPr>
          </w:p>
        </w:tc>
        <w:tc>
          <w:tcPr>
            <w:tcW w:w="422" w:type="dxa"/>
            <w:vMerge w:val="continue"/>
            <w:tcBorders>
              <w:top w:val="nil"/>
              <w:bottom w:val="nil"/>
            </w:tcBorders>
            <w:vAlign w:val="top"/>
          </w:tcPr>
          <w:p w14:paraId="1F0BDB70">
            <w:pPr>
              <w:rPr>
                <w:rFonts w:ascii="Arial"/>
                <w:sz w:val="21"/>
              </w:rPr>
            </w:pPr>
          </w:p>
        </w:tc>
        <w:tc>
          <w:tcPr>
            <w:tcW w:w="1414" w:type="dxa"/>
            <w:vAlign w:val="top"/>
          </w:tcPr>
          <w:p w14:paraId="110210E1">
            <w:pPr>
              <w:pStyle w:val="6"/>
              <w:spacing w:before="108" w:line="205" w:lineRule="auto"/>
              <w:ind w:left="221"/>
            </w:pPr>
            <w:r>
              <w:rPr>
                <w:spacing w:val="-1"/>
              </w:rPr>
              <w:t>2020/11/16</w:t>
            </w:r>
          </w:p>
        </w:tc>
        <w:tc>
          <w:tcPr>
            <w:tcW w:w="892" w:type="dxa"/>
            <w:vAlign w:val="top"/>
          </w:tcPr>
          <w:p w14:paraId="7620C2A5">
            <w:pPr>
              <w:pStyle w:val="6"/>
              <w:spacing w:before="108" w:line="205" w:lineRule="auto"/>
              <w:ind w:left="284"/>
            </w:pPr>
            <w:r>
              <w:rPr>
                <w:spacing w:val="-1"/>
              </w:rPr>
              <w:t>208</w:t>
            </w:r>
          </w:p>
        </w:tc>
        <w:tc>
          <w:tcPr>
            <w:tcW w:w="892" w:type="dxa"/>
            <w:vAlign w:val="top"/>
          </w:tcPr>
          <w:p w14:paraId="4976C7F9">
            <w:pPr>
              <w:pStyle w:val="6"/>
              <w:spacing w:before="108" w:line="205" w:lineRule="auto"/>
              <w:ind w:left="360"/>
            </w:pPr>
            <w:r>
              <w:rPr>
                <w:spacing w:val="-6"/>
              </w:rPr>
              <w:t>11</w:t>
            </w:r>
          </w:p>
        </w:tc>
        <w:tc>
          <w:tcPr>
            <w:tcW w:w="892" w:type="dxa"/>
            <w:vAlign w:val="top"/>
          </w:tcPr>
          <w:p w14:paraId="0C8BA58A">
            <w:pPr>
              <w:pStyle w:val="6"/>
              <w:spacing w:before="108" w:line="205" w:lineRule="auto"/>
              <w:ind w:left="268"/>
            </w:pPr>
            <w:r>
              <w:rPr>
                <w:spacing w:val="-2"/>
              </w:rPr>
              <w:t>7.51</w:t>
            </w:r>
          </w:p>
        </w:tc>
        <w:tc>
          <w:tcPr>
            <w:tcW w:w="892" w:type="dxa"/>
            <w:vAlign w:val="top"/>
          </w:tcPr>
          <w:p w14:paraId="066B423A">
            <w:pPr>
              <w:pStyle w:val="6"/>
              <w:spacing w:before="108" w:line="205" w:lineRule="auto"/>
              <w:ind w:left="271"/>
            </w:pPr>
            <w:r>
              <w:rPr>
                <w:spacing w:val="-2"/>
              </w:rPr>
              <w:t>7.51</w:t>
            </w:r>
          </w:p>
        </w:tc>
        <w:tc>
          <w:tcPr>
            <w:tcW w:w="891" w:type="dxa"/>
            <w:vAlign w:val="top"/>
          </w:tcPr>
          <w:p w14:paraId="12547D1A">
            <w:pPr>
              <w:pStyle w:val="6"/>
              <w:spacing w:before="108" w:line="205" w:lineRule="auto"/>
              <w:ind w:left="274"/>
            </w:pPr>
            <w:r>
              <w:rPr>
                <w:spacing w:val="-2"/>
              </w:rPr>
              <w:t>0.08</w:t>
            </w:r>
          </w:p>
        </w:tc>
        <w:tc>
          <w:tcPr>
            <w:tcW w:w="906" w:type="dxa"/>
            <w:tcBorders>
              <w:right w:val="single" w:color="000000" w:sz="12" w:space="0"/>
            </w:tcBorders>
            <w:vAlign w:val="top"/>
          </w:tcPr>
          <w:p w14:paraId="5716406D">
            <w:pPr>
              <w:pStyle w:val="6"/>
              <w:spacing w:before="108" w:line="205" w:lineRule="auto"/>
              <w:ind w:left="214"/>
            </w:pPr>
            <w:r>
              <w:rPr>
                <w:spacing w:val="-2"/>
              </w:rPr>
              <w:t>0.06L</w:t>
            </w:r>
          </w:p>
        </w:tc>
      </w:tr>
      <w:tr w14:paraId="145AC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3CBAD7DE">
            <w:pPr>
              <w:rPr>
                <w:rFonts w:ascii="Arial"/>
                <w:sz w:val="21"/>
              </w:rPr>
            </w:pPr>
          </w:p>
        </w:tc>
        <w:tc>
          <w:tcPr>
            <w:tcW w:w="422" w:type="dxa"/>
            <w:vMerge w:val="continue"/>
            <w:tcBorders>
              <w:top w:val="nil"/>
            </w:tcBorders>
            <w:vAlign w:val="top"/>
          </w:tcPr>
          <w:p w14:paraId="5C3811BE">
            <w:pPr>
              <w:rPr>
                <w:rFonts w:ascii="Arial"/>
                <w:sz w:val="21"/>
              </w:rPr>
            </w:pPr>
          </w:p>
        </w:tc>
        <w:tc>
          <w:tcPr>
            <w:tcW w:w="1414" w:type="dxa"/>
            <w:vAlign w:val="top"/>
          </w:tcPr>
          <w:p w14:paraId="33C20B91">
            <w:pPr>
              <w:pStyle w:val="6"/>
              <w:spacing w:before="110" w:line="203" w:lineRule="auto"/>
              <w:ind w:left="221"/>
            </w:pPr>
            <w:r>
              <w:rPr>
                <w:spacing w:val="-1"/>
              </w:rPr>
              <w:t>2020/11/17</w:t>
            </w:r>
          </w:p>
        </w:tc>
        <w:tc>
          <w:tcPr>
            <w:tcW w:w="892" w:type="dxa"/>
            <w:vAlign w:val="top"/>
          </w:tcPr>
          <w:p w14:paraId="33689677">
            <w:pPr>
              <w:pStyle w:val="6"/>
              <w:spacing w:before="110" w:line="203" w:lineRule="auto"/>
              <w:ind w:left="284"/>
            </w:pPr>
            <w:r>
              <w:rPr>
                <w:spacing w:val="-1"/>
              </w:rPr>
              <w:t>221</w:t>
            </w:r>
          </w:p>
        </w:tc>
        <w:tc>
          <w:tcPr>
            <w:tcW w:w="892" w:type="dxa"/>
            <w:vAlign w:val="top"/>
          </w:tcPr>
          <w:p w14:paraId="2E6ECBB6">
            <w:pPr>
              <w:pStyle w:val="6"/>
              <w:spacing w:before="110" w:line="203" w:lineRule="auto"/>
              <w:ind w:left="397"/>
            </w:pPr>
            <w:r>
              <w:t>9</w:t>
            </w:r>
          </w:p>
        </w:tc>
        <w:tc>
          <w:tcPr>
            <w:tcW w:w="892" w:type="dxa"/>
            <w:vAlign w:val="top"/>
          </w:tcPr>
          <w:p w14:paraId="3DFF6307">
            <w:pPr>
              <w:pStyle w:val="6"/>
              <w:spacing w:before="110" w:line="203" w:lineRule="auto"/>
              <w:ind w:left="268"/>
            </w:pPr>
            <w:r>
              <w:rPr>
                <w:spacing w:val="-2"/>
              </w:rPr>
              <w:t>7.60</w:t>
            </w:r>
          </w:p>
        </w:tc>
        <w:tc>
          <w:tcPr>
            <w:tcW w:w="892" w:type="dxa"/>
            <w:vAlign w:val="top"/>
          </w:tcPr>
          <w:p w14:paraId="55FEB399">
            <w:pPr>
              <w:pStyle w:val="6"/>
              <w:spacing w:before="110" w:line="203" w:lineRule="auto"/>
              <w:ind w:left="271"/>
            </w:pPr>
            <w:r>
              <w:rPr>
                <w:spacing w:val="-2"/>
              </w:rPr>
              <w:t>7.44</w:t>
            </w:r>
          </w:p>
        </w:tc>
        <w:tc>
          <w:tcPr>
            <w:tcW w:w="891" w:type="dxa"/>
            <w:vAlign w:val="top"/>
          </w:tcPr>
          <w:p w14:paraId="5A8C3BED">
            <w:pPr>
              <w:pStyle w:val="6"/>
              <w:spacing w:before="110" w:line="203" w:lineRule="auto"/>
              <w:ind w:left="274"/>
            </w:pPr>
            <w:r>
              <w:rPr>
                <w:spacing w:val="-2"/>
              </w:rPr>
              <w:t>0.08</w:t>
            </w:r>
          </w:p>
        </w:tc>
        <w:tc>
          <w:tcPr>
            <w:tcW w:w="906" w:type="dxa"/>
            <w:tcBorders>
              <w:right w:val="single" w:color="000000" w:sz="12" w:space="0"/>
            </w:tcBorders>
            <w:vAlign w:val="top"/>
          </w:tcPr>
          <w:p w14:paraId="5DD64A59">
            <w:pPr>
              <w:pStyle w:val="6"/>
              <w:spacing w:before="110" w:line="203" w:lineRule="auto"/>
              <w:ind w:left="214"/>
            </w:pPr>
            <w:r>
              <w:rPr>
                <w:spacing w:val="-2"/>
              </w:rPr>
              <w:t>0.06L</w:t>
            </w:r>
          </w:p>
        </w:tc>
      </w:tr>
      <w:tr w14:paraId="3F0AA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3E2BEFF0">
            <w:pPr>
              <w:spacing w:line="286" w:lineRule="auto"/>
              <w:rPr>
                <w:rFonts w:ascii="Arial"/>
                <w:sz w:val="21"/>
              </w:rPr>
            </w:pPr>
          </w:p>
          <w:p w14:paraId="7583B021">
            <w:pPr>
              <w:spacing w:line="287" w:lineRule="auto"/>
              <w:rPr>
                <w:rFonts w:ascii="Arial"/>
                <w:sz w:val="21"/>
              </w:rPr>
            </w:pPr>
          </w:p>
          <w:p w14:paraId="5417A654">
            <w:pPr>
              <w:spacing w:line="287" w:lineRule="auto"/>
              <w:rPr>
                <w:rFonts w:ascii="Arial"/>
                <w:sz w:val="21"/>
              </w:rPr>
            </w:pPr>
          </w:p>
          <w:p w14:paraId="0BFBC84D">
            <w:pPr>
              <w:pStyle w:val="6"/>
              <w:spacing w:before="68" w:line="236" w:lineRule="auto"/>
              <w:ind w:left="207" w:right="109" w:hanging="108"/>
              <w:rPr>
                <w:rFonts w:ascii="宋体" w:hAnsi="宋体" w:eastAsia="宋体" w:cs="宋体"/>
              </w:rPr>
            </w:pPr>
            <w:r>
              <w:rPr>
                <w:spacing w:val="-2"/>
              </w:rPr>
              <w:t>9#</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61D56D7F">
            <w:pPr>
              <w:pStyle w:val="6"/>
              <w:spacing w:before="176" w:line="222" w:lineRule="auto"/>
              <w:ind w:left="167"/>
            </w:pPr>
            <w:r>
              <w:t>1</w:t>
            </w:r>
          </w:p>
          <w:p w14:paraId="7C16F232">
            <w:pPr>
              <w:spacing w:line="219" w:lineRule="auto"/>
              <w:ind w:left="99"/>
              <w:rPr>
                <w:rFonts w:ascii="宋体" w:hAnsi="宋体" w:eastAsia="宋体" w:cs="宋体"/>
                <w:sz w:val="21"/>
                <w:szCs w:val="21"/>
              </w:rPr>
            </w:pPr>
            <w:r>
              <w:rPr>
                <w:rFonts w:ascii="宋体" w:hAnsi="宋体" w:eastAsia="宋体" w:cs="宋体"/>
                <w:sz w:val="21"/>
                <w:szCs w:val="21"/>
              </w:rPr>
              <w:t>季</w:t>
            </w:r>
          </w:p>
          <w:p w14:paraId="5113ADAE">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A6E308B">
            <w:pPr>
              <w:pStyle w:val="6"/>
              <w:spacing w:before="111" w:line="204" w:lineRule="auto"/>
              <w:ind w:left="274"/>
            </w:pPr>
            <w:r>
              <w:rPr>
                <w:spacing w:val="-1"/>
              </w:rPr>
              <w:t>2020/3/10</w:t>
            </w:r>
          </w:p>
        </w:tc>
        <w:tc>
          <w:tcPr>
            <w:tcW w:w="892" w:type="dxa"/>
            <w:vAlign w:val="top"/>
          </w:tcPr>
          <w:p w14:paraId="0B8F6F42">
            <w:pPr>
              <w:pStyle w:val="6"/>
              <w:spacing w:before="111" w:line="204" w:lineRule="auto"/>
              <w:ind w:left="357"/>
            </w:pPr>
            <w:r>
              <w:rPr>
                <w:spacing w:val="-6"/>
              </w:rPr>
              <w:t>12</w:t>
            </w:r>
          </w:p>
        </w:tc>
        <w:tc>
          <w:tcPr>
            <w:tcW w:w="892" w:type="dxa"/>
            <w:vAlign w:val="top"/>
          </w:tcPr>
          <w:p w14:paraId="6CB496C0">
            <w:pPr>
              <w:pStyle w:val="6"/>
              <w:spacing w:before="111" w:line="204" w:lineRule="auto"/>
              <w:ind w:left="399"/>
            </w:pPr>
            <w:r>
              <w:t>5</w:t>
            </w:r>
          </w:p>
        </w:tc>
        <w:tc>
          <w:tcPr>
            <w:tcW w:w="892" w:type="dxa"/>
            <w:vAlign w:val="top"/>
          </w:tcPr>
          <w:p w14:paraId="2E8932A1">
            <w:pPr>
              <w:pStyle w:val="6"/>
              <w:spacing w:before="111" w:line="204" w:lineRule="auto"/>
              <w:ind w:left="269"/>
            </w:pPr>
            <w:r>
              <w:rPr>
                <w:spacing w:val="-3"/>
              </w:rPr>
              <w:t>6.53</w:t>
            </w:r>
          </w:p>
        </w:tc>
        <w:tc>
          <w:tcPr>
            <w:tcW w:w="892" w:type="dxa"/>
            <w:vAlign w:val="top"/>
          </w:tcPr>
          <w:p w14:paraId="4E5F1B3C">
            <w:pPr>
              <w:pStyle w:val="6"/>
              <w:spacing w:before="111" w:line="204" w:lineRule="auto"/>
              <w:ind w:left="271"/>
            </w:pPr>
            <w:r>
              <w:rPr>
                <w:spacing w:val="-2"/>
              </w:rPr>
              <w:t>7.04</w:t>
            </w:r>
          </w:p>
        </w:tc>
        <w:tc>
          <w:tcPr>
            <w:tcW w:w="891" w:type="dxa"/>
            <w:vAlign w:val="top"/>
          </w:tcPr>
          <w:p w14:paraId="0D2EDEF6">
            <w:pPr>
              <w:pStyle w:val="6"/>
              <w:spacing w:before="111" w:line="204" w:lineRule="auto"/>
              <w:ind w:left="274"/>
            </w:pPr>
            <w:r>
              <w:rPr>
                <w:spacing w:val="-2"/>
              </w:rPr>
              <w:t>0.24</w:t>
            </w:r>
          </w:p>
        </w:tc>
        <w:tc>
          <w:tcPr>
            <w:tcW w:w="906" w:type="dxa"/>
            <w:tcBorders>
              <w:right w:val="single" w:color="000000" w:sz="12" w:space="0"/>
            </w:tcBorders>
            <w:vAlign w:val="top"/>
          </w:tcPr>
          <w:p w14:paraId="01EEEF55">
            <w:pPr>
              <w:pStyle w:val="6"/>
              <w:spacing w:before="111" w:line="204" w:lineRule="auto"/>
              <w:ind w:left="277"/>
            </w:pPr>
            <w:r>
              <w:rPr>
                <w:spacing w:val="-2"/>
              </w:rPr>
              <w:t>0.08</w:t>
            </w:r>
          </w:p>
        </w:tc>
      </w:tr>
      <w:tr w14:paraId="690A1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458EAAC">
            <w:pPr>
              <w:rPr>
                <w:rFonts w:ascii="Arial"/>
                <w:sz w:val="21"/>
              </w:rPr>
            </w:pPr>
          </w:p>
        </w:tc>
        <w:tc>
          <w:tcPr>
            <w:tcW w:w="422" w:type="dxa"/>
            <w:vMerge w:val="continue"/>
            <w:tcBorders>
              <w:top w:val="nil"/>
              <w:bottom w:val="nil"/>
            </w:tcBorders>
            <w:vAlign w:val="top"/>
          </w:tcPr>
          <w:p w14:paraId="4E164B33">
            <w:pPr>
              <w:rPr>
                <w:rFonts w:ascii="Arial"/>
                <w:sz w:val="21"/>
              </w:rPr>
            </w:pPr>
          </w:p>
        </w:tc>
        <w:tc>
          <w:tcPr>
            <w:tcW w:w="1414" w:type="dxa"/>
            <w:vAlign w:val="top"/>
          </w:tcPr>
          <w:p w14:paraId="3331F59C">
            <w:pPr>
              <w:pStyle w:val="6"/>
              <w:spacing w:before="112" w:line="201" w:lineRule="auto"/>
              <w:ind w:left="274"/>
            </w:pPr>
            <w:r>
              <w:rPr>
                <w:spacing w:val="-1"/>
              </w:rPr>
              <w:t>2020/3/11</w:t>
            </w:r>
          </w:p>
        </w:tc>
        <w:tc>
          <w:tcPr>
            <w:tcW w:w="892" w:type="dxa"/>
            <w:vAlign w:val="top"/>
          </w:tcPr>
          <w:p w14:paraId="3241190A">
            <w:pPr>
              <w:pStyle w:val="6"/>
              <w:spacing w:before="112" w:line="201" w:lineRule="auto"/>
              <w:ind w:left="357"/>
            </w:pPr>
            <w:r>
              <w:rPr>
                <w:spacing w:val="-6"/>
              </w:rPr>
              <w:t>10</w:t>
            </w:r>
          </w:p>
        </w:tc>
        <w:tc>
          <w:tcPr>
            <w:tcW w:w="892" w:type="dxa"/>
            <w:vAlign w:val="top"/>
          </w:tcPr>
          <w:p w14:paraId="566A8CC5">
            <w:pPr>
              <w:pStyle w:val="6"/>
              <w:spacing w:before="112" w:line="201" w:lineRule="auto"/>
              <w:ind w:left="392"/>
            </w:pPr>
            <w:r>
              <w:t>4</w:t>
            </w:r>
          </w:p>
        </w:tc>
        <w:tc>
          <w:tcPr>
            <w:tcW w:w="892" w:type="dxa"/>
            <w:vAlign w:val="top"/>
          </w:tcPr>
          <w:p w14:paraId="33B78C88">
            <w:pPr>
              <w:pStyle w:val="6"/>
              <w:spacing w:before="112" w:line="201" w:lineRule="auto"/>
              <w:ind w:left="269"/>
            </w:pPr>
            <w:r>
              <w:rPr>
                <w:spacing w:val="-3"/>
              </w:rPr>
              <w:t>6.57</w:t>
            </w:r>
          </w:p>
        </w:tc>
        <w:tc>
          <w:tcPr>
            <w:tcW w:w="892" w:type="dxa"/>
            <w:vAlign w:val="top"/>
          </w:tcPr>
          <w:p w14:paraId="3FA65809">
            <w:pPr>
              <w:pStyle w:val="6"/>
              <w:spacing w:before="112" w:line="201" w:lineRule="auto"/>
              <w:ind w:left="271"/>
            </w:pPr>
            <w:r>
              <w:rPr>
                <w:spacing w:val="-2"/>
              </w:rPr>
              <w:t>7.05</w:t>
            </w:r>
          </w:p>
        </w:tc>
        <w:tc>
          <w:tcPr>
            <w:tcW w:w="891" w:type="dxa"/>
            <w:vAlign w:val="top"/>
          </w:tcPr>
          <w:p w14:paraId="43E65B09">
            <w:pPr>
              <w:pStyle w:val="6"/>
              <w:spacing w:before="112" w:line="201" w:lineRule="auto"/>
              <w:ind w:left="274"/>
            </w:pPr>
            <w:r>
              <w:rPr>
                <w:spacing w:val="-2"/>
              </w:rPr>
              <w:t>0.23</w:t>
            </w:r>
          </w:p>
        </w:tc>
        <w:tc>
          <w:tcPr>
            <w:tcW w:w="906" w:type="dxa"/>
            <w:tcBorders>
              <w:right w:val="single" w:color="000000" w:sz="12" w:space="0"/>
            </w:tcBorders>
            <w:vAlign w:val="top"/>
          </w:tcPr>
          <w:p w14:paraId="54828061">
            <w:pPr>
              <w:pStyle w:val="6"/>
              <w:spacing w:before="112" w:line="201" w:lineRule="auto"/>
              <w:ind w:left="277"/>
            </w:pPr>
            <w:r>
              <w:rPr>
                <w:spacing w:val="-2"/>
              </w:rPr>
              <w:t>0.09</w:t>
            </w:r>
          </w:p>
        </w:tc>
      </w:tr>
      <w:tr w14:paraId="20CF5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82A9E0B">
            <w:pPr>
              <w:rPr>
                <w:rFonts w:ascii="Arial"/>
                <w:sz w:val="21"/>
              </w:rPr>
            </w:pPr>
          </w:p>
        </w:tc>
        <w:tc>
          <w:tcPr>
            <w:tcW w:w="422" w:type="dxa"/>
            <w:vMerge w:val="continue"/>
            <w:tcBorders>
              <w:top w:val="nil"/>
            </w:tcBorders>
            <w:vAlign w:val="top"/>
          </w:tcPr>
          <w:p w14:paraId="3AEFABC5">
            <w:pPr>
              <w:rPr>
                <w:rFonts w:ascii="Arial"/>
                <w:sz w:val="21"/>
              </w:rPr>
            </w:pPr>
          </w:p>
        </w:tc>
        <w:tc>
          <w:tcPr>
            <w:tcW w:w="1414" w:type="dxa"/>
            <w:vAlign w:val="top"/>
          </w:tcPr>
          <w:p w14:paraId="2C238A2E">
            <w:pPr>
              <w:pStyle w:val="6"/>
              <w:spacing w:before="113" w:line="201" w:lineRule="auto"/>
              <w:ind w:left="274"/>
            </w:pPr>
            <w:r>
              <w:rPr>
                <w:spacing w:val="-1"/>
              </w:rPr>
              <w:t>2020/3/12</w:t>
            </w:r>
          </w:p>
        </w:tc>
        <w:tc>
          <w:tcPr>
            <w:tcW w:w="892" w:type="dxa"/>
            <w:vAlign w:val="top"/>
          </w:tcPr>
          <w:p w14:paraId="6638878A">
            <w:pPr>
              <w:pStyle w:val="6"/>
              <w:spacing w:before="113" w:line="201" w:lineRule="auto"/>
              <w:ind w:left="357"/>
            </w:pPr>
            <w:r>
              <w:rPr>
                <w:spacing w:val="-6"/>
              </w:rPr>
              <w:t>13</w:t>
            </w:r>
          </w:p>
        </w:tc>
        <w:tc>
          <w:tcPr>
            <w:tcW w:w="892" w:type="dxa"/>
            <w:vAlign w:val="top"/>
          </w:tcPr>
          <w:p w14:paraId="6C2FF279">
            <w:pPr>
              <w:pStyle w:val="6"/>
              <w:spacing w:before="113" w:line="201" w:lineRule="auto"/>
              <w:ind w:left="392"/>
            </w:pPr>
            <w:r>
              <w:t>4</w:t>
            </w:r>
          </w:p>
        </w:tc>
        <w:tc>
          <w:tcPr>
            <w:tcW w:w="892" w:type="dxa"/>
            <w:vAlign w:val="top"/>
          </w:tcPr>
          <w:p w14:paraId="01C84913">
            <w:pPr>
              <w:pStyle w:val="6"/>
              <w:spacing w:before="113" w:line="201" w:lineRule="auto"/>
              <w:ind w:left="269"/>
            </w:pPr>
            <w:r>
              <w:rPr>
                <w:spacing w:val="-3"/>
              </w:rPr>
              <w:t>6.59</w:t>
            </w:r>
          </w:p>
        </w:tc>
        <w:tc>
          <w:tcPr>
            <w:tcW w:w="892" w:type="dxa"/>
            <w:vAlign w:val="top"/>
          </w:tcPr>
          <w:p w14:paraId="31CD1CF3">
            <w:pPr>
              <w:pStyle w:val="6"/>
              <w:spacing w:before="113" w:line="201" w:lineRule="auto"/>
              <w:ind w:left="271"/>
            </w:pPr>
            <w:r>
              <w:rPr>
                <w:spacing w:val="-2"/>
              </w:rPr>
              <w:t>7.11</w:t>
            </w:r>
          </w:p>
        </w:tc>
        <w:tc>
          <w:tcPr>
            <w:tcW w:w="891" w:type="dxa"/>
            <w:vAlign w:val="top"/>
          </w:tcPr>
          <w:p w14:paraId="73163124">
            <w:pPr>
              <w:pStyle w:val="6"/>
              <w:spacing w:before="113" w:line="201" w:lineRule="auto"/>
              <w:ind w:left="274"/>
            </w:pPr>
            <w:r>
              <w:rPr>
                <w:spacing w:val="-2"/>
              </w:rPr>
              <w:t>0.23</w:t>
            </w:r>
          </w:p>
        </w:tc>
        <w:tc>
          <w:tcPr>
            <w:tcW w:w="906" w:type="dxa"/>
            <w:tcBorders>
              <w:right w:val="single" w:color="000000" w:sz="12" w:space="0"/>
            </w:tcBorders>
            <w:vAlign w:val="top"/>
          </w:tcPr>
          <w:p w14:paraId="7E481019">
            <w:pPr>
              <w:pStyle w:val="6"/>
              <w:spacing w:before="113" w:line="201" w:lineRule="auto"/>
              <w:ind w:left="277"/>
            </w:pPr>
            <w:r>
              <w:rPr>
                <w:spacing w:val="-2"/>
              </w:rPr>
              <w:t>0.10</w:t>
            </w:r>
          </w:p>
        </w:tc>
      </w:tr>
      <w:tr w14:paraId="057B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46C087E1">
            <w:pPr>
              <w:rPr>
                <w:rFonts w:ascii="Arial"/>
                <w:sz w:val="21"/>
              </w:rPr>
            </w:pPr>
          </w:p>
        </w:tc>
        <w:tc>
          <w:tcPr>
            <w:tcW w:w="422" w:type="dxa"/>
            <w:vMerge w:val="restart"/>
            <w:tcBorders>
              <w:bottom w:val="nil"/>
            </w:tcBorders>
            <w:vAlign w:val="top"/>
          </w:tcPr>
          <w:p w14:paraId="4CB006F8">
            <w:pPr>
              <w:spacing w:line="265" w:lineRule="auto"/>
              <w:rPr>
                <w:rFonts w:ascii="Arial"/>
                <w:sz w:val="21"/>
              </w:rPr>
            </w:pPr>
          </w:p>
          <w:p w14:paraId="308BFC10">
            <w:pPr>
              <w:pStyle w:val="6"/>
              <w:spacing w:before="61" w:line="230" w:lineRule="auto"/>
              <w:ind w:left="97" w:right="111" w:firstLine="49"/>
              <w:jc w:val="both"/>
              <w:rPr>
                <w:rFonts w:ascii="宋体" w:hAnsi="宋体" w:eastAsia="宋体" w:cs="宋体"/>
              </w:rPr>
            </w:pPr>
            <w:r>
              <w:rPr>
                <w:spacing w:val="-5"/>
              </w:rPr>
              <w:t>2</w:t>
            </w:r>
            <w:r>
              <w:rPr>
                <w:rFonts w:ascii="宋体" w:hAnsi="宋体" w:eastAsia="宋体" w:cs="宋体"/>
                <w:spacing w:val="-8"/>
              </w:rPr>
              <w:t>季度</w:t>
            </w:r>
          </w:p>
        </w:tc>
        <w:tc>
          <w:tcPr>
            <w:tcW w:w="1414" w:type="dxa"/>
            <w:vAlign w:val="top"/>
          </w:tcPr>
          <w:p w14:paraId="576D9DEF">
            <w:pPr>
              <w:pStyle w:val="6"/>
              <w:spacing w:before="113" w:line="201" w:lineRule="auto"/>
              <w:ind w:left="274"/>
            </w:pPr>
            <w:r>
              <w:rPr>
                <w:spacing w:val="-1"/>
              </w:rPr>
              <w:t>2020/5/20</w:t>
            </w:r>
          </w:p>
        </w:tc>
        <w:tc>
          <w:tcPr>
            <w:tcW w:w="892" w:type="dxa"/>
            <w:vAlign w:val="top"/>
          </w:tcPr>
          <w:p w14:paraId="25F53F51">
            <w:pPr>
              <w:pStyle w:val="6"/>
              <w:spacing w:before="113" w:line="201" w:lineRule="auto"/>
              <w:ind w:left="337"/>
            </w:pPr>
            <w:r>
              <w:rPr>
                <w:spacing w:val="-1"/>
              </w:rPr>
              <w:t>20</w:t>
            </w:r>
          </w:p>
        </w:tc>
        <w:tc>
          <w:tcPr>
            <w:tcW w:w="892" w:type="dxa"/>
            <w:vAlign w:val="top"/>
          </w:tcPr>
          <w:p w14:paraId="59FB7EED">
            <w:pPr>
              <w:pStyle w:val="6"/>
              <w:spacing w:before="113" w:line="201" w:lineRule="auto"/>
              <w:ind w:left="360"/>
            </w:pPr>
            <w:r>
              <w:rPr>
                <w:spacing w:val="-6"/>
              </w:rPr>
              <w:t>18</w:t>
            </w:r>
          </w:p>
        </w:tc>
        <w:tc>
          <w:tcPr>
            <w:tcW w:w="892" w:type="dxa"/>
            <w:vAlign w:val="top"/>
          </w:tcPr>
          <w:p w14:paraId="5EF9769C">
            <w:pPr>
              <w:pStyle w:val="6"/>
              <w:spacing w:before="113" w:line="201" w:lineRule="auto"/>
              <w:ind w:left="273"/>
            </w:pPr>
            <w:r>
              <w:rPr>
                <w:spacing w:val="-4"/>
              </w:rPr>
              <w:t>8.04</w:t>
            </w:r>
          </w:p>
        </w:tc>
        <w:tc>
          <w:tcPr>
            <w:tcW w:w="892" w:type="dxa"/>
            <w:vAlign w:val="top"/>
          </w:tcPr>
          <w:p w14:paraId="101A16FF">
            <w:pPr>
              <w:pStyle w:val="6"/>
              <w:spacing w:before="113" w:line="201" w:lineRule="auto"/>
              <w:ind w:left="271"/>
            </w:pPr>
            <w:r>
              <w:rPr>
                <w:spacing w:val="-2"/>
              </w:rPr>
              <w:t>7.95</w:t>
            </w:r>
          </w:p>
        </w:tc>
        <w:tc>
          <w:tcPr>
            <w:tcW w:w="891" w:type="dxa"/>
            <w:vAlign w:val="top"/>
          </w:tcPr>
          <w:p w14:paraId="5587AE27">
            <w:pPr>
              <w:pStyle w:val="6"/>
              <w:spacing w:before="113" w:line="201" w:lineRule="auto"/>
              <w:ind w:left="274"/>
            </w:pPr>
            <w:r>
              <w:rPr>
                <w:spacing w:val="-2"/>
              </w:rPr>
              <w:t>0.13</w:t>
            </w:r>
          </w:p>
        </w:tc>
        <w:tc>
          <w:tcPr>
            <w:tcW w:w="906" w:type="dxa"/>
            <w:tcBorders>
              <w:right w:val="single" w:color="000000" w:sz="12" w:space="0"/>
            </w:tcBorders>
            <w:vAlign w:val="top"/>
          </w:tcPr>
          <w:p w14:paraId="5C76F799">
            <w:pPr>
              <w:pStyle w:val="6"/>
              <w:spacing w:before="113" w:line="201" w:lineRule="auto"/>
              <w:ind w:left="277"/>
            </w:pPr>
            <w:r>
              <w:rPr>
                <w:spacing w:val="-2"/>
              </w:rPr>
              <w:t>0.08</w:t>
            </w:r>
          </w:p>
        </w:tc>
      </w:tr>
      <w:tr w14:paraId="221AF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96612D4">
            <w:pPr>
              <w:rPr>
                <w:rFonts w:ascii="Arial"/>
                <w:sz w:val="21"/>
              </w:rPr>
            </w:pPr>
          </w:p>
        </w:tc>
        <w:tc>
          <w:tcPr>
            <w:tcW w:w="422" w:type="dxa"/>
            <w:vMerge w:val="continue"/>
            <w:tcBorders>
              <w:top w:val="nil"/>
              <w:bottom w:val="nil"/>
            </w:tcBorders>
            <w:vAlign w:val="top"/>
          </w:tcPr>
          <w:p w14:paraId="0BF197FA">
            <w:pPr>
              <w:rPr>
                <w:rFonts w:ascii="Arial"/>
                <w:sz w:val="21"/>
              </w:rPr>
            </w:pPr>
          </w:p>
        </w:tc>
        <w:tc>
          <w:tcPr>
            <w:tcW w:w="1414" w:type="dxa"/>
            <w:vAlign w:val="top"/>
          </w:tcPr>
          <w:p w14:paraId="325A46E3">
            <w:pPr>
              <w:pStyle w:val="6"/>
              <w:spacing w:before="114" w:line="199" w:lineRule="auto"/>
              <w:ind w:left="274"/>
            </w:pPr>
            <w:r>
              <w:rPr>
                <w:spacing w:val="-1"/>
              </w:rPr>
              <w:t>2020/5/21</w:t>
            </w:r>
          </w:p>
        </w:tc>
        <w:tc>
          <w:tcPr>
            <w:tcW w:w="892" w:type="dxa"/>
            <w:vAlign w:val="top"/>
          </w:tcPr>
          <w:p w14:paraId="5A957DCA">
            <w:pPr>
              <w:pStyle w:val="6"/>
              <w:spacing w:before="114" w:line="199" w:lineRule="auto"/>
              <w:ind w:left="337"/>
            </w:pPr>
            <w:r>
              <w:rPr>
                <w:spacing w:val="-1"/>
              </w:rPr>
              <w:t>25</w:t>
            </w:r>
          </w:p>
        </w:tc>
        <w:tc>
          <w:tcPr>
            <w:tcW w:w="892" w:type="dxa"/>
            <w:vAlign w:val="top"/>
          </w:tcPr>
          <w:p w14:paraId="4A1E8C40">
            <w:pPr>
              <w:pStyle w:val="6"/>
              <w:spacing w:before="114" w:line="199" w:lineRule="auto"/>
              <w:ind w:left="360"/>
            </w:pPr>
            <w:r>
              <w:rPr>
                <w:spacing w:val="-6"/>
              </w:rPr>
              <w:t>14</w:t>
            </w:r>
          </w:p>
        </w:tc>
        <w:tc>
          <w:tcPr>
            <w:tcW w:w="892" w:type="dxa"/>
            <w:vAlign w:val="top"/>
          </w:tcPr>
          <w:p w14:paraId="3A302CBF">
            <w:pPr>
              <w:pStyle w:val="6"/>
              <w:spacing w:before="114" w:line="199" w:lineRule="auto"/>
              <w:ind w:left="273"/>
            </w:pPr>
            <w:r>
              <w:rPr>
                <w:spacing w:val="-4"/>
              </w:rPr>
              <w:t>8.07</w:t>
            </w:r>
          </w:p>
        </w:tc>
        <w:tc>
          <w:tcPr>
            <w:tcW w:w="892" w:type="dxa"/>
            <w:vAlign w:val="top"/>
          </w:tcPr>
          <w:p w14:paraId="6254C407">
            <w:pPr>
              <w:pStyle w:val="6"/>
              <w:spacing w:before="114" w:line="199" w:lineRule="auto"/>
              <w:ind w:left="271"/>
            </w:pPr>
            <w:r>
              <w:rPr>
                <w:spacing w:val="-2"/>
              </w:rPr>
              <w:t>7.92</w:t>
            </w:r>
          </w:p>
        </w:tc>
        <w:tc>
          <w:tcPr>
            <w:tcW w:w="891" w:type="dxa"/>
            <w:vAlign w:val="top"/>
          </w:tcPr>
          <w:p w14:paraId="6A8DC6B9">
            <w:pPr>
              <w:pStyle w:val="6"/>
              <w:spacing w:before="114" w:line="199" w:lineRule="auto"/>
              <w:ind w:left="274"/>
            </w:pPr>
            <w:r>
              <w:rPr>
                <w:spacing w:val="-2"/>
              </w:rPr>
              <w:t>0.13</w:t>
            </w:r>
          </w:p>
        </w:tc>
        <w:tc>
          <w:tcPr>
            <w:tcW w:w="906" w:type="dxa"/>
            <w:tcBorders>
              <w:right w:val="single" w:color="000000" w:sz="12" w:space="0"/>
            </w:tcBorders>
            <w:vAlign w:val="top"/>
          </w:tcPr>
          <w:p w14:paraId="449528A4">
            <w:pPr>
              <w:pStyle w:val="6"/>
              <w:spacing w:before="114" w:line="199" w:lineRule="auto"/>
              <w:ind w:left="277"/>
            </w:pPr>
            <w:r>
              <w:rPr>
                <w:spacing w:val="-2"/>
              </w:rPr>
              <w:t>0.07</w:t>
            </w:r>
          </w:p>
        </w:tc>
      </w:tr>
      <w:tr w14:paraId="46C49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272" w:type="dxa"/>
            <w:vMerge w:val="continue"/>
            <w:tcBorders>
              <w:top w:val="nil"/>
              <w:left w:val="single" w:color="000000" w:sz="12" w:space="0"/>
              <w:bottom w:val="single" w:color="000000" w:sz="12" w:space="0"/>
            </w:tcBorders>
            <w:vAlign w:val="top"/>
          </w:tcPr>
          <w:p w14:paraId="09F0B122">
            <w:pPr>
              <w:rPr>
                <w:rFonts w:ascii="Arial"/>
                <w:sz w:val="21"/>
              </w:rPr>
            </w:pPr>
          </w:p>
        </w:tc>
        <w:tc>
          <w:tcPr>
            <w:tcW w:w="422" w:type="dxa"/>
            <w:vMerge w:val="continue"/>
            <w:tcBorders>
              <w:top w:val="nil"/>
              <w:bottom w:val="single" w:color="000000" w:sz="12" w:space="0"/>
            </w:tcBorders>
            <w:vAlign w:val="top"/>
          </w:tcPr>
          <w:p w14:paraId="55700D5B">
            <w:pPr>
              <w:rPr>
                <w:rFonts w:ascii="Arial"/>
                <w:sz w:val="21"/>
              </w:rPr>
            </w:pPr>
          </w:p>
        </w:tc>
        <w:tc>
          <w:tcPr>
            <w:tcW w:w="1414" w:type="dxa"/>
            <w:tcBorders>
              <w:bottom w:val="single" w:color="000000" w:sz="12" w:space="0"/>
            </w:tcBorders>
            <w:vAlign w:val="top"/>
          </w:tcPr>
          <w:p w14:paraId="5B57BD8A">
            <w:pPr>
              <w:pStyle w:val="6"/>
              <w:spacing w:before="265" w:line="232" w:lineRule="auto"/>
              <w:ind w:left="274"/>
            </w:pPr>
            <w:r>
              <w:rPr>
                <w:spacing w:val="-1"/>
              </w:rPr>
              <w:t>2020/5/22</w:t>
            </w:r>
          </w:p>
        </w:tc>
        <w:tc>
          <w:tcPr>
            <w:tcW w:w="892" w:type="dxa"/>
            <w:tcBorders>
              <w:bottom w:val="single" w:color="000000" w:sz="12" w:space="0"/>
            </w:tcBorders>
            <w:vAlign w:val="top"/>
          </w:tcPr>
          <w:p w14:paraId="763A9642">
            <w:pPr>
              <w:pStyle w:val="6"/>
              <w:spacing w:before="266" w:line="232" w:lineRule="auto"/>
              <w:ind w:left="337"/>
            </w:pPr>
            <w:r>
              <w:rPr>
                <w:spacing w:val="-1"/>
              </w:rPr>
              <w:t>23</w:t>
            </w:r>
          </w:p>
        </w:tc>
        <w:tc>
          <w:tcPr>
            <w:tcW w:w="892" w:type="dxa"/>
            <w:tcBorders>
              <w:bottom w:val="single" w:color="000000" w:sz="12" w:space="0"/>
            </w:tcBorders>
            <w:vAlign w:val="top"/>
          </w:tcPr>
          <w:p w14:paraId="2D845490">
            <w:pPr>
              <w:pStyle w:val="6"/>
              <w:spacing w:before="266" w:line="232" w:lineRule="auto"/>
              <w:ind w:left="360"/>
            </w:pPr>
            <w:r>
              <w:rPr>
                <w:spacing w:val="-6"/>
              </w:rPr>
              <w:t>16</w:t>
            </w:r>
          </w:p>
        </w:tc>
        <w:tc>
          <w:tcPr>
            <w:tcW w:w="892" w:type="dxa"/>
            <w:tcBorders>
              <w:bottom w:val="single" w:color="000000" w:sz="12" w:space="0"/>
            </w:tcBorders>
            <w:vAlign w:val="top"/>
          </w:tcPr>
          <w:p w14:paraId="6FF61FB8">
            <w:pPr>
              <w:pStyle w:val="6"/>
              <w:spacing w:before="265" w:line="232" w:lineRule="auto"/>
              <w:ind w:left="273"/>
            </w:pPr>
            <w:r>
              <w:rPr>
                <w:spacing w:val="-4"/>
              </w:rPr>
              <w:t>8.11</w:t>
            </w:r>
          </w:p>
        </w:tc>
        <w:tc>
          <w:tcPr>
            <w:tcW w:w="892" w:type="dxa"/>
            <w:tcBorders>
              <w:bottom w:val="single" w:color="000000" w:sz="12" w:space="0"/>
            </w:tcBorders>
            <w:vAlign w:val="top"/>
          </w:tcPr>
          <w:p w14:paraId="4F8CD15E">
            <w:pPr>
              <w:pStyle w:val="6"/>
              <w:spacing w:before="265" w:line="232" w:lineRule="auto"/>
              <w:ind w:left="271"/>
            </w:pPr>
            <w:r>
              <w:rPr>
                <w:spacing w:val="-2"/>
              </w:rPr>
              <w:t>7.91</w:t>
            </w:r>
          </w:p>
        </w:tc>
        <w:tc>
          <w:tcPr>
            <w:tcW w:w="891" w:type="dxa"/>
            <w:tcBorders>
              <w:bottom w:val="single" w:color="000000" w:sz="12" w:space="0"/>
            </w:tcBorders>
            <w:vAlign w:val="top"/>
          </w:tcPr>
          <w:p w14:paraId="14A171E9">
            <w:pPr>
              <w:pStyle w:val="6"/>
              <w:spacing w:before="265" w:line="232" w:lineRule="auto"/>
              <w:ind w:left="274"/>
            </w:pPr>
            <w:r>
              <w:rPr>
                <w:spacing w:val="-2"/>
              </w:rPr>
              <w:t>0.13</w:t>
            </w:r>
          </w:p>
        </w:tc>
        <w:tc>
          <w:tcPr>
            <w:tcW w:w="906" w:type="dxa"/>
            <w:tcBorders>
              <w:bottom w:val="single" w:color="000000" w:sz="12" w:space="0"/>
              <w:right w:val="single" w:color="000000" w:sz="12" w:space="0"/>
            </w:tcBorders>
            <w:vAlign w:val="top"/>
          </w:tcPr>
          <w:p w14:paraId="796456B7">
            <w:pPr>
              <w:pStyle w:val="6"/>
              <w:spacing w:before="265" w:line="232" w:lineRule="auto"/>
              <w:ind w:left="277"/>
            </w:pPr>
            <w:r>
              <w:rPr>
                <w:spacing w:val="-2"/>
              </w:rPr>
              <w:t>0.08</w:t>
            </w:r>
          </w:p>
        </w:tc>
      </w:tr>
    </w:tbl>
    <w:p w14:paraId="3DA47CAA">
      <w:pPr>
        <w:rPr>
          <w:rFonts w:ascii="Arial"/>
          <w:sz w:val="21"/>
        </w:rPr>
      </w:pPr>
    </w:p>
    <w:p w14:paraId="298DA31F">
      <w:pPr>
        <w:rPr>
          <w:rFonts w:ascii="Arial" w:hAnsi="Arial" w:eastAsia="Arial" w:cs="Arial"/>
          <w:sz w:val="21"/>
          <w:szCs w:val="21"/>
        </w:rPr>
        <w:sectPr>
          <w:footerReference r:id="rId127" w:type="default"/>
          <w:pgSz w:w="11907" w:h="16839"/>
          <w:pgMar w:top="1376" w:right="1669" w:bottom="1061" w:left="1671" w:header="999" w:footer="861" w:gutter="0"/>
          <w:cols w:space="720" w:num="1"/>
        </w:sectPr>
      </w:pPr>
    </w:p>
    <w:p w14:paraId="4B8AC4F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61939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79108163">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422" w:type="dxa"/>
            <w:vMerge w:val="restart"/>
            <w:tcBorders>
              <w:top w:val="single" w:color="000000" w:sz="12" w:space="0"/>
              <w:bottom w:val="nil"/>
              <w:right w:val="nil"/>
            </w:tcBorders>
            <w:vAlign w:val="top"/>
          </w:tcPr>
          <w:p w14:paraId="111BE545">
            <w:pPr>
              <w:rPr>
                <w:rFonts w:ascii="Arial"/>
                <w:sz w:val="21"/>
              </w:rPr>
            </w:pPr>
          </w:p>
        </w:tc>
        <w:tc>
          <w:tcPr>
            <w:tcW w:w="1414" w:type="dxa"/>
            <w:vMerge w:val="restart"/>
            <w:tcBorders>
              <w:top w:val="single" w:color="000000" w:sz="12" w:space="0"/>
              <w:left w:val="nil"/>
              <w:bottom w:val="nil"/>
            </w:tcBorders>
            <w:vAlign w:val="top"/>
          </w:tcPr>
          <w:p w14:paraId="4B5E7CD7">
            <w:pPr>
              <w:spacing w:before="253" w:line="221" w:lineRule="auto"/>
              <w:ind w:left="77"/>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0D21F085">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5BC67268">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4F435A4A">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12D52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bottom w:val="nil"/>
            </w:tcBorders>
            <w:vAlign w:val="top"/>
          </w:tcPr>
          <w:p w14:paraId="057493E7">
            <w:pPr>
              <w:rPr>
                <w:rFonts w:ascii="Arial"/>
                <w:sz w:val="21"/>
              </w:rPr>
            </w:pPr>
          </w:p>
        </w:tc>
        <w:tc>
          <w:tcPr>
            <w:tcW w:w="422" w:type="dxa"/>
            <w:vMerge w:val="continue"/>
            <w:tcBorders>
              <w:top w:val="nil"/>
              <w:right w:val="nil"/>
            </w:tcBorders>
            <w:vAlign w:val="top"/>
          </w:tcPr>
          <w:p w14:paraId="4CD2D4D3">
            <w:pPr>
              <w:rPr>
                <w:rFonts w:ascii="Arial"/>
                <w:sz w:val="21"/>
              </w:rPr>
            </w:pPr>
          </w:p>
        </w:tc>
        <w:tc>
          <w:tcPr>
            <w:tcW w:w="1414" w:type="dxa"/>
            <w:vMerge w:val="continue"/>
            <w:tcBorders>
              <w:top w:val="nil"/>
              <w:left w:val="nil"/>
            </w:tcBorders>
            <w:vAlign w:val="top"/>
          </w:tcPr>
          <w:p w14:paraId="1DE47E9C">
            <w:pPr>
              <w:rPr>
                <w:rFonts w:ascii="Arial"/>
                <w:sz w:val="21"/>
              </w:rPr>
            </w:pPr>
          </w:p>
        </w:tc>
        <w:tc>
          <w:tcPr>
            <w:tcW w:w="892" w:type="dxa"/>
            <w:vAlign w:val="top"/>
          </w:tcPr>
          <w:p w14:paraId="25FE14A7">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0707CDDB">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16941BAC">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5018E1ED">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030A3075">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0E57885C">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3FD06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732AE204">
            <w:pPr>
              <w:rPr>
                <w:rFonts w:ascii="Arial"/>
                <w:sz w:val="21"/>
              </w:rPr>
            </w:pPr>
          </w:p>
        </w:tc>
        <w:tc>
          <w:tcPr>
            <w:tcW w:w="422" w:type="dxa"/>
            <w:vMerge w:val="restart"/>
            <w:tcBorders>
              <w:bottom w:val="nil"/>
            </w:tcBorders>
            <w:vAlign w:val="top"/>
          </w:tcPr>
          <w:p w14:paraId="5FEDCA7F">
            <w:pPr>
              <w:pStyle w:val="6"/>
              <w:spacing w:before="153" w:line="222" w:lineRule="auto"/>
              <w:ind w:left="151"/>
            </w:pPr>
            <w:r>
              <w:t>3</w:t>
            </w:r>
          </w:p>
          <w:p w14:paraId="43C6B2ED">
            <w:pPr>
              <w:spacing w:line="219" w:lineRule="auto"/>
              <w:ind w:left="99"/>
              <w:rPr>
                <w:rFonts w:ascii="宋体" w:hAnsi="宋体" w:eastAsia="宋体" w:cs="宋体"/>
                <w:sz w:val="21"/>
                <w:szCs w:val="21"/>
              </w:rPr>
            </w:pPr>
            <w:r>
              <w:rPr>
                <w:rFonts w:ascii="宋体" w:hAnsi="宋体" w:eastAsia="宋体" w:cs="宋体"/>
                <w:sz w:val="21"/>
                <w:szCs w:val="21"/>
              </w:rPr>
              <w:t>季</w:t>
            </w:r>
          </w:p>
          <w:p w14:paraId="6F7FF4A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17E3524">
            <w:pPr>
              <w:pStyle w:val="6"/>
              <w:spacing w:before="89" w:line="226" w:lineRule="auto"/>
              <w:ind w:left="274"/>
            </w:pPr>
            <w:r>
              <w:rPr>
                <w:spacing w:val="-1"/>
              </w:rPr>
              <w:t>2020/8/20</w:t>
            </w:r>
          </w:p>
        </w:tc>
        <w:tc>
          <w:tcPr>
            <w:tcW w:w="892" w:type="dxa"/>
            <w:vAlign w:val="top"/>
          </w:tcPr>
          <w:p w14:paraId="457150B4">
            <w:pPr>
              <w:pStyle w:val="6"/>
              <w:spacing w:before="89" w:line="226" w:lineRule="auto"/>
              <w:ind w:left="341"/>
            </w:pPr>
            <w:r>
              <w:rPr>
                <w:spacing w:val="-3"/>
              </w:rPr>
              <w:t>34</w:t>
            </w:r>
          </w:p>
        </w:tc>
        <w:tc>
          <w:tcPr>
            <w:tcW w:w="892" w:type="dxa"/>
            <w:vAlign w:val="top"/>
          </w:tcPr>
          <w:p w14:paraId="08D2D703">
            <w:pPr>
              <w:pStyle w:val="6"/>
              <w:spacing w:before="89" w:line="226" w:lineRule="auto"/>
              <w:ind w:left="340"/>
            </w:pPr>
            <w:r>
              <w:rPr>
                <w:spacing w:val="-1"/>
              </w:rPr>
              <w:t>27</w:t>
            </w:r>
          </w:p>
        </w:tc>
        <w:tc>
          <w:tcPr>
            <w:tcW w:w="892" w:type="dxa"/>
            <w:vAlign w:val="top"/>
          </w:tcPr>
          <w:p w14:paraId="7F0C48E6">
            <w:pPr>
              <w:pStyle w:val="6"/>
              <w:spacing w:before="89" w:line="226" w:lineRule="auto"/>
              <w:ind w:left="273"/>
            </w:pPr>
            <w:r>
              <w:rPr>
                <w:spacing w:val="-4"/>
              </w:rPr>
              <w:t>8.77</w:t>
            </w:r>
          </w:p>
        </w:tc>
        <w:tc>
          <w:tcPr>
            <w:tcW w:w="892" w:type="dxa"/>
            <w:vAlign w:val="top"/>
          </w:tcPr>
          <w:p w14:paraId="75F4852C">
            <w:pPr>
              <w:pStyle w:val="6"/>
              <w:spacing w:before="89" w:line="226" w:lineRule="auto"/>
              <w:ind w:left="276"/>
            </w:pPr>
            <w:r>
              <w:rPr>
                <w:spacing w:val="-4"/>
              </w:rPr>
              <w:t>8.08</w:t>
            </w:r>
          </w:p>
        </w:tc>
        <w:tc>
          <w:tcPr>
            <w:tcW w:w="891" w:type="dxa"/>
            <w:vAlign w:val="top"/>
          </w:tcPr>
          <w:p w14:paraId="64235893">
            <w:pPr>
              <w:pStyle w:val="6"/>
              <w:spacing w:before="89" w:line="226" w:lineRule="auto"/>
              <w:ind w:left="274"/>
            </w:pPr>
            <w:r>
              <w:rPr>
                <w:spacing w:val="-2"/>
              </w:rPr>
              <w:t>0.08</w:t>
            </w:r>
          </w:p>
        </w:tc>
        <w:tc>
          <w:tcPr>
            <w:tcW w:w="906" w:type="dxa"/>
            <w:tcBorders>
              <w:right w:val="single" w:color="000000" w:sz="12" w:space="0"/>
            </w:tcBorders>
            <w:vAlign w:val="top"/>
          </w:tcPr>
          <w:p w14:paraId="77995265">
            <w:pPr>
              <w:pStyle w:val="6"/>
              <w:spacing w:before="89" w:line="226" w:lineRule="auto"/>
              <w:ind w:left="214"/>
            </w:pPr>
            <w:r>
              <w:rPr>
                <w:spacing w:val="-2"/>
              </w:rPr>
              <w:t>0.06L</w:t>
            </w:r>
          </w:p>
        </w:tc>
      </w:tr>
      <w:tr w14:paraId="21178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FA67EB2">
            <w:pPr>
              <w:rPr>
                <w:rFonts w:ascii="Arial"/>
                <w:sz w:val="21"/>
              </w:rPr>
            </w:pPr>
          </w:p>
        </w:tc>
        <w:tc>
          <w:tcPr>
            <w:tcW w:w="422" w:type="dxa"/>
            <w:vMerge w:val="continue"/>
            <w:tcBorders>
              <w:top w:val="nil"/>
              <w:bottom w:val="nil"/>
            </w:tcBorders>
            <w:vAlign w:val="top"/>
          </w:tcPr>
          <w:p w14:paraId="17758A3E">
            <w:pPr>
              <w:rPr>
                <w:rFonts w:ascii="Arial"/>
                <w:sz w:val="21"/>
              </w:rPr>
            </w:pPr>
          </w:p>
        </w:tc>
        <w:tc>
          <w:tcPr>
            <w:tcW w:w="1414" w:type="dxa"/>
            <w:vAlign w:val="top"/>
          </w:tcPr>
          <w:p w14:paraId="3777C486">
            <w:pPr>
              <w:pStyle w:val="6"/>
              <w:spacing w:before="89" w:line="224" w:lineRule="auto"/>
              <w:ind w:left="274"/>
            </w:pPr>
            <w:r>
              <w:rPr>
                <w:spacing w:val="-1"/>
              </w:rPr>
              <w:t>2020/8/21</w:t>
            </w:r>
          </w:p>
        </w:tc>
        <w:tc>
          <w:tcPr>
            <w:tcW w:w="892" w:type="dxa"/>
            <w:vAlign w:val="top"/>
          </w:tcPr>
          <w:p w14:paraId="0189AEB8">
            <w:pPr>
              <w:pStyle w:val="6"/>
              <w:spacing w:before="89" w:line="224" w:lineRule="auto"/>
              <w:ind w:left="341"/>
            </w:pPr>
            <w:r>
              <w:rPr>
                <w:spacing w:val="-3"/>
              </w:rPr>
              <w:t>37</w:t>
            </w:r>
          </w:p>
        </w:tc>
        <w:tc>
          <w:tcPr>
            <w:tcW w:w="892" w:type="dxa"/>
            <w:vAlign w:val="top"/>
          </w:tcPr>
          <w:p w14:paraId="47F4CC6D">
            <w:pPr>
              <w:pStyle w:val="6"/>
              <w:spacing w:before="89" w:line="224" w:lineRule="auto"/>
              <w:ind w:left="345"/>
            </w:pPr>
            <w:r>
              <w:rPr>
                <w:spacing w:val="-3"/>
              </w:rPr>
              <w:t>31</w:t>
            </w:r>
          </w:p>
        </w:tc>
        <w:tc>
          <w:tcPr>
            <w:tcW w:w="892" w:type="dxa"/>
            <w:vAlign w:val="top"/>
          </w:tcPr>
          <w:p w14:paraId="4388EB99">
            <w:pPr>
              <w:pStyle w:val="6"/>
              <w:spacing w:before="89" w:line="224" w:lineRule="auto"/>
              <w:ind w:left="273"/>
            </w:pPr>
            <w:r>
              <w:rPr>
                <w:spacing w:val="-4"/>
              </w:rPr>
              <w:t>8.71</w:t>
            </w:r>
          </w:p>
        </w:tc>
        <w:tc>
          <w:tcPr>
            <w:tcW w:w="892" w:type="dxa"/>
            <w:vAlign w:val="top"/>
          </w:tcPr>
          <w:p w14:paraId="64AD4905">
            <w:pPr>
              <w:pStyle w:val="6"/>
              <w:spacing w:before="89" w:line="224" w:lineRule="auto"/>
              <w:ind w:left="276"/>
            </w:pPr>
            <w:r>
              <w:rPr>
                <w:spacing w:val="-4"/>
              </w:rPr>
              <w:t>8.11</w:t>
            </w:r>
          </w:p>
        </w:tc>
        <w:tc>
          <w:tcPr>
            <w:tcW w:w="891" w:type="dxa"/>
            <w:vAlign w:val="top"/>
          </w:tcPr>
          <w:p w14:paraId="73B11CBC">
            <w:pPr>
              <w:pStyle w:val="6"/>
              <w:spacing w:before="89" w:line="224" w:lineRule="auto"/>
              <w:ind w:left="274"/>
            </w:pPr>
            <w:r>
              <w:rPr>
                <w:spacing w:val="-2"/>
              </w:rPr>
              <w:t>0.09</w:t>
            </w:r>
          </w:p>
        </w:tc>
        <w:tc>
          <w:tcPr>
            <w:tcW w:w="906" w:type="dxa"/>
            <w:tcBorders>
              <w:right w:val="single" w:color="000000" w:sz="12" w:space="0"/>
            </w:tcBorders>
            <w:vAlign w:val="top"/>
          </w:tcPr>
          <w:p w14:paraId="78C61519">
            <w:pPr>
              <w:pStyle w:val="6"/>
              <w:spacing w:before="89" w:line="224" w:lineRule="auto"/>
              <w:ind w:left="214"/>
            </w:pPr>
            <w:r>
              <w:rPr>
                <w:spacing w:val="-2"/>
              </w:rPr>
              <w:t>0.06L</w:t>
            </w:r>
          </w:p>
        </w:tc>
      </w:tr>
      <w:tr w14:paraId="733A1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39CA07C">
            <w:pPr>
              <w:rPr>
                <w:rFonts w:ascii="Arial"/>
                <w:sz w:val="21"/>
              </w:rPr>
            </w:pPr>
          </w:p>
        </w:tc>
        <w:tc>
          <w:tcPr>
            <w:tcW w:w="422" w:type="dxa"/>
            <w:vMerge w:val="continue"/>
            <w:tcBorders>
              <w:top w:val="nil"/>
            </w:tcBorders>
            <w:vAlign w:val="top"/>
          </w:tcPr>
          <w:p w14:paraId="205D0853">
            <w:pPr>
              <w:rPr>
                <w:rFonts w:ascii="Arial"/>
                <w:sz w:val="21"/>
              </w:rPr>
            </w:pPr>
          </w:p>
        </w:tc>
        <w:tc>
          <w:tcPr>
            <w:tcW w:w="1414" w:type="dxa"/>
            <w:vAlign w:val="top"/>
          </w:tcPr>
          <w:p w14:paraId="14DF8B36">
            <w:pPr>
              <w:pStyle w:val="6"/>
              <w:spacing w:before="90" w:line="224" w:lineRule="auto"/>
              <w:ind w:left="274"/>
            </w:pPr>
            <w:r>
              <w:rPr>
                <w:spacing w:val="-1"/>
              </w:rPr>
              <w:t>2020/8/22</w:t>
            </w:r>
          </w:p>
        </w:tc>
        <w:tc>
          <w:tcPr>
            <w:tcW w:w="892" w:type="dxa"/>
            <w:vAlign w:val="top"/>
          </w:tcPr>
          <w:p w14:paraId="6C382AD1">
            <w:pPr>
              <w:pStyle w:val="6"/>
              <w:spacing w:before="90" w:line="224" w:lineRule="auto"/>
              <w:ind w:left="341"/>
            </w:pPr>
            <w:r>
              <w:rPr>
                <w:spacing w:val="-3"/>
              </w:rPr>
              <w:t>32</w:t>
            </w:r>
          </w:p>
        </w:tc>
        <w:tc>
          <w:tcPr>
            <w:tcW w:w="892" w:type="dxa"/>
            <w:vAlign w:val="top"/>
          </w:tcPr>
          <w:p w14:paraId="3A05582C">
            <w:pPr>
              <w:pStyle w:val="6"/>
              <w:spacing w:before="90" w:line="224" w:lineRule="auto"/>
              <w:ind w:left="340"/>
            </w:pPr>
            <w:r>
              <w:rPr>
                <w:spacing w:val="-1"/>
              </w:rPr>
              <w:t>29</w:t>
            </w:r>
          </w:p>
        </w:tc>
        <w:tc>
          <w:tcPr>
            <w:tcW w:w="892" w:type="dxa"/>
            <w:vAlign w:val="top"/>
          </w:tcPr>
          <w:p w14:paraId="6C16B867">
            <w:pPr>
              <w:pStyle w:val="6"/>
              <w:spacing w:before="90" w:line="224" w:lineRule="auto"/>
              <w:ind w:left="273"/>
            </w:pPr>
            <w:r>
              <w:rPr>
                <w:spacing w:val="-4"/>
              </w:rPr>
              <w:t>8.67</w:t>
            </w:r>
          </w:p>
        </w:tc>
        <w:tc>
          <w:tcPr>
            <w:tcW w:w="892" w:type="dxa"/>
            <w:vAlign w:val="top"/>
          </w:tcPr>
          <w:p w14:paraId="7B8987C6">
            <w:pPr>
              <w:pStyle w:val="6"/>
              <w:spacing w:before="90" w:line="224" w:lineRule="auto"/>
              <w:ind w:left="276"/>
            </w:pPr>
            <w:r>
              <w:rPr>
                <w:spacing w:val="-4"/>
              </w:rPr>
              <w:t>8.16</w:t>
            </w:r>
          </w:p>
        </w:tc>
        <w:tc>
          <w:tcPr>
            <w:tcW w:w="891" w:type="dxa"/>
            <w:vAlign w:val="top"/>
          </w:tcPr>
          <w:p w14:paraId="5CD8F374">
            <w:pPr>
              <w:pStyle w:val="6"/>
              <w:spacing w:before="90" w:line="224" w:lineRule="auto"/>
              <w:ind w:left="274"/>
            </w:pPr>
            <w:r>
              <w:rPr>
                <w:spacing w:val="-2"/>
              </w:rPr>
              <w:t>0.09</w:t>
            </w:r>
          </w:p>
        </w:tc>
        <w:tc>
          <w:tcPr>
            <w:tcW w:w="906" w:type="dxa"/>
            <w:tcBorders>
              <w:right w:val="single" w:color="000000" w:sz="12" w:space="0"/>
            </w:tcBorders>
            <w:vAlign w:val="top"/>
          </w:tcPr>
          <w:p w14:paraId="5C66B8B9">
            <w:pPr>
              <w:pStyle w:val="6"/>
              <w:spacing w:before="90" w:line="224" w:lineRule="auto"/>
              <w:ind w:left="214"/>
            </w:pPr>
            <w:r>
              <w:rPr>
                <w:spacing w:val="-2"/>
              </w:rPr>
              <w:t>0.06L</w:t>
            </w:r>
          </w:p>
        </w:tc>
      </w:tr>
      <w:tr w14:paraId="259D5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146D27D">
            <w:pPr>
              <w:rPr>
                <w:rFonts w:ascii="Arial"/>
                <w:sz w:val="21"/>
              </w:rPr>
            </w:pPr>
          </w:p>
        </w:tc>
        <w:tc>
          <w:tcPr>
            <w:tcW w:w="422" w:type="dxa"/>
            <w:vMerge w:val="restart"/>
            <w:tcBorders>
              <w:bottom w:val="nil"/>
            </w:tcBorders>
            <w:vAlign w:val="top"/>
          </w:tcPr>
          <w:p w14:paraId="5E4CDD0E">
            <w:pPr>
              <w:pStyle w:val="6"/>
              <w:spacing w:before="155" w:line="222" w:lineRule="auto"/>
              <w:ind w:left="146"/>
            </w:pPr>
            <w:r>
              <w:t>4</w:t>
            </w:r>
          </w:p>
          <w:p w14:paraId="3BCB2CB8">
            <w:pPr>
              <w:spacing w:line="219" w:lineRule="auto"/>
              <w:ind w:left="99"/>
              <w:rPr>
                <w:rFonts w:ascii="宋体" w:hAnsi="宋体" w:eastAsia="宋体" w:cs="宋体"/>
                <w:sz w:val="21"/>
                <w:szCs w:val="21"/>
              </w:rPr>
            </w:pPr>
            <w:r>
              <w:rPr>
                <w:rFonts w:ascii="宋体" w:hAnsi="宋体" w:eastAsia="宋体" w:cs="宋体"/>
                <w:sz w:val="21"/>
                <w:szCs w:val="21"/>
              </w:rPr>
              <w:t>季</w:t>
            </w:r>
          </w:p>
          <w:p w14:paraId="257A77A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8E1D6C1">
            <w:pPr>
              <w:pStyle w:val="6"/>
              <w:spacing w:before="90" w:line="223" w:lineRule="auto"/>
              <w:ind w:left="221"/>
            </w:pPr>
            <w:r>
              <w:rPr>
                <w:spacing w:val="-1"/>
              </w:rPr>
              <w:t>2020/11/15</w:t>
            </w:r>
          </w:p>
        </w:tc>
        <w:tc>
          <w:tcPr>
            <w:tcW w:w="892" w:type="dxa"/>
            <w:vAlign w:val="top"/>
          </w:tcPr>
          <w:p w14:paraId="52C62C11">
            <w:pPr>
              <w:pStyle w:val="6"/>
              <w:spacing w:before="90" w:line="223" w:lineRule="auto"/>
              <w:ind w:left="337"/>
            </w:pPr>
            <w:r>
              <w:rPr>
                <w:spacing w:val="-1"/>
              </w:rPr>
              <w:t>24</w:t>
            </w:r>
          </w:p>
        </w:tc>
        <w:tc>
          <w:tcPr>
            <w:tcW w:w="892" w:type="dxa"/>
            <w:vAlign w:val="top"/>
          </w:tcPr>
          <w:p w14:paraId="0C31A2B2">
            <w:pPr>
              <w:pStyle w:val="6"/>
              <w:spacing w:before="90" w:line="223" w:lineRule="auto"/>
              <w:ind w:left="360"/>
            </w:pPr>
            <w:r>
              <w:rPr>
                <w:spacing w:val="-6"/>
              </w:rPr>
              <w:t>14</w:t>
            </w:r>
          </w:p>
        </w:tc>
        <w:tc>
          <w:tcPr>
            <w:tcW w:w="892" w:type="dxa"/>
            <w:vAlign w:val="top"/>
          </w:tcPr>
          <w:p w14:paraId="18FAA51D">
            <w:pPr>
              <w:pStyle w:val="6"/>
              <w:spacing w:before="90" w:line="223" w:lineRule="auto"/>
              <w:ind w:left="273"/>
            </w:pPr>
            <w:r>
              <w:rPr>
                <w:spacing w:val="-4"/>
              </w:rPr>
              <w:t>8.66</w:t>
            </w:r>
          </w:p>
        </w:tc>
        <w:tc>
          <w:tcPr>
            <w:tcW w:w="892" w:type="dxa"/>
            <w:vAlign w:val="top"/>
          </w:tcPr>
          <w:p w14:paraId="7266044A">
            <w:pPr>
              <w:pStyle w:val="6"/>
              <w:spacing w:before="90" w:line="223" w:lineRule="auto"/>
              <w:ind w:left="276"/>
            </w:pPr>
            <w:r>
              <w:rPr>
                <w:spacing w:val="-4"/>
              </w:rPr>
              <w:t>8.18</w:t>
            </w:r>
          </w:p>
        </w:tc>
        <w:tc>
          <w:tcPr>
            <w:tcW w:w="891" w:type="dxa"/>
            <w:vAlign w:val="top"/>
          </w:tcPr>
          <w:p w14:paraId="1F129F22">
            <w:pPr>
              <w:pStyle w:val="6"/>
              <w:spacing w:before="90" w:line="223" w:lineRule="auto"/>
              <w:ind w:left="274"/>
            </w:pPr>
            <w:r>
              <w:rPr>
                <w:spacing w:val="-2"/>
              </w:rPr>
              <w:t>0.08</w:t>
            </w:r>
          </w:p>
        </w:tc>
        <w:tc>
          <w:tcPr>
            <w:tcW w:w="906" w:type="dxa"/>
            <w:tcBorders>
              <w:right w:val="single" w:color="000000" w:sz="12" w:space="0"/>
            </w:tcBorders>
            <w:vAlign w:val="top"/>
          </w:tcPr>
          <w:p w14:paraId="3465E3C4">
            <w:pPr>
              <w:pStyle w:val="6"/>
              <w:spacing w:before="90" w:line="223" w:lineRule="auto"/>
              <w:ind w:left="214"/>
            </w:pPr>
            <w:r>
              <w:rPr>
                <w:spacing w:val="-2"/>
              </w:rPr>
              <w:t>0.06L</w:t>
            </w:r>
          </w:p>
        </w:tc>
      </w:tr>
      <w:tr w14:paraId="44597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C7946E1">
            <w:pPr>
              <w:rPr>
                <w:rFonts w:ascii="Arial"/>
                <w:sz w:val="21"/>
              </w:rPr>
            </w:pPr>
          </w:p>
        </w:tc>
        <w:tc>
          <w:tcPr>
            <w:tcW w:w="422" w:type="dxa"/>
            <w:vMerge w:val="continue"/>
            <w:tcBorders>
              <w:top w:val="nil"/>
              <w:bottom w:val="nil"/>
            </w:tcBorders>
            <w:vAlign w:val="top"/>
          </w:tcPr>
          <w:p w14:paraId="4F9060F6">
            <w:pPr>
              <w:rPr>
                <w:rFonts w:ascii="Arial"/>
                <w:sz w:val="21"/>
              </w:rPr>
            </w:pPr>
          </w:p>
        </w:tc>
        <w:tc>
          <w:tcPr>
            <w:tcW w:w="1414" w:type="dxa"/>
            <w:vAlign w:val="top"/>
          </w:tcPr>
          <w:p w14:paraId="40CDB27B">
            <w:pPr>
              <w:pStyle w:val="6"/>
              <w:spacing w:before="92" w:line="221" w:lineRule="auto"/>
              <w:ind w:left="221"/>
            </w:pPr>
            <w:r>
              <w:rPr>
                <w:spacing w:val="-1"/>
              </w:rPr>
              <w:t>2020/11/16</w:t>
            </w:r>
          </w:p>
        </w:tc>
        <w:tc>
          <w:tcPr>
            <w:tcW w:w="892" w:type="dxa"/>
            <w:vAlign w:val="top"/>
          </w:tcPr>
          <w:p w14:paraId="52F6FAD3">
            <w:pPr>
              <w:pStyle w:val="6"/>
              <w:spacing w:before="92" w:line="221" w:lineRule="auto"/>
              <w:ind w:left="357"/>
            </w:pPr>
            <w:r>
              <w:rPr>
                <w:spacing w:val="-6"/>
              </w:rPr>
              <w:t>19</w:t>
            </w:r>
          </w:p>
        </w:tc>
        <w:tc>
          <w:tcPr>
            <w:tcW w:w="892" w:type="dxa"/>
            <w:vAlign w:val="top"/>
          </w:tcPr>
          <w:p w14:paraId="45B43561">
            <w:pPr>
              <w:pStyle w:val="6"/>
              <w:spacing w:before="92" w:line="221" w:lineRule="auto"/>
              <w:ind w:left="360"/>
            </w:pPr>
            <w:r>
              <w:rPr>
                <w:spacing w:val="-6"/>
              </w:rPr>
              <w:t>11</w:t>
            </w:r>
          </w:p>
        </w:tc>
        <w:tc>
          <w:tcPr>
            <w:tcW w:w="892" w:type="dxa"/>
            <w:vAlign w:val="top"/>
          </w:tcPr>
          <w:p w14:paraId="7117B197">
            <w:pPr>
              <w:pStyle w:val="6"/>
              <w:spacing w:before="92" w:line="221" w:lineRule="auto"/>
              <w:ind w:left="273"/>
            </w:pPr>
            <w:r>
              <w:rPr>
                <w:spacing w:val="-4"/>
              </w:rPr>
              <w:t>8.60</w:t>
            </w:r>
          </w:p>
        </w:tc>
        <w:tc>
          <w:tcPr>
            <w:tcW w:w="892" w:type="dxa"/>
            <w:vAlign w:val="top"/>
          </w:tcPr>
          <w:p w14:paraId="2830CE32">
            <w:pPr>
              <w:pStyle w:val="6"/>
              <w:spacing w:before="92" w:line="221" w:lineRule="auto"/>
              <w:ind w:left="276"/>
            </w:pPr>
            <w:r>
              <w:rPr>
                <w:spacing w:val="-4"/>
              </w:rPr>
              <w:t>8.19</w:t>
            </w:r>
          </w:p>
        </w:tc>
        <w:tc>
          <w:tcPr>
            <w:tcW w:w="891" w:type="dxa"/>
            <w:vAlign w:val="top"/>
          </w:tcPr>
          <w:p w14:paraId="319D9136">
            <w:pPr>
              <w:pStyle w:val="6"/>
              <w:spacing w:before="92" w:line="221" w:lineRule="auto"/>
              <w:ind w:left="274"/>
            </w:pPr>
            <w:r>
              <w:rPr>
                <w:spacing w:val="-2"/>
              </w:rPr>
              <w:t>0.08</w:t>
            </w:r>
          </w:p>
        </w:tc>
        <w:tc>
          <w:tcPr>
            <w:tcW w:w="906" w:type="dxa"/>
            <w:tcBorders>
              <w:right w:val="single" w:color="000000" w:sz="12" w:space="0"/>
            </w:tcBorders>
            <w:vAlign w:val="top"/>
          </w:tcPr>
          <w:p w14:paraId="280239D9">
            <w:pPr>
              <w:pStyle w:val="6"/>
              <w:spacing w:before="92" w:line="221" w:lineRule="auto"/>
              <w:ind w:left="214"/>
            </w:pPr>
            <w:r>
              <w:rPr>
                <w:spacing w:val="-2"/>
              </w:rPr>
              <w:t>0.06L</w:t>
            </w:r>
          </w:p>
        </w:tc>
      </w:tr>
      <w:tr w14:paraId="4713A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tcBorders>
            <w:vAlign w:val="top"/>
          </w:tcPr>
          <w:p w14:paraId="5E3FACE6">
            <w:pPr>
              <w:rPr>
                <w:rFonts w:ascii="Arial"/>
                <w:sz w:val="21"/>
              </w:rPr>
            </w:pPr>
          </w:p>
        </w:tc>
        <w:tc>
          <w:tcPr>
            <w:tcW w:w="422" w:type="dxa"/>
            <w:vMerge w:val="continue"/>
            <w:tcBorders>
              <w:top w:val="nil"/>
            </w:tcBorders>
            <w:vAlign w:val="top"/>
          </w:tcPr>
          <w:p w14:paraId="554D2DB0">
            <w:pPr>
              <w:rPr>
                <w:rFonts w:ascii="Arial"/>
                <w:sz w:val="21"/>
              </w:rPr>
            </w:pPr>
          </w:p>
        </w:tc>
        <w:tc>
          <w:tcPr>
            <w:tcW w:w="1414" w:type="dxa"/>
            <w:vAlign w:val="top"/>
          </w:tcPr>
          <w:p w14:paraId="40EAF9AC">
            <w:pPr>
              <w:pStyle w:val="6"/>
              <w:spacing w:before="93" w:line="221" w:lineRule="auto"/>
              <w:ind w:left="221"/>
            </w:pPr>
            <w:r>
              <w:rPr>
                <w:spacing w:val="-1"/>
              </w:rPr>
              <w:t>2020/11/17</w:t>
            </w:r>
          </w:p>
        </w:tc>
        <w:tc>
          <w:tcPr>
            <w:tcW w:w="892" w:type="dxa"/>
            <w:vAlign w:val="top"/>
          </w:tcPr>
          <w:p w14:paraId="65863ECA">
            <w:pPr>
              <w:pStyle w:val="6"/>
              <w:spacing w:before="93" w:line="221" w:lineRule="auto"/>
              <w:ind w:left="337"/>
            </w:pPr>
            <w:r>
              <w:rPr>
                <w:spacing w:val="-1"/>
              </w:rPr>
              <w:t>22</w:t>
            </w:r>
          </w:p>
        </w:tc>
        <w:tc>
          <w:tcPr>
            <w:tcW w:w="892" w:type="dxa"/>
            <w:vAlign w:val="top"/>
          </w:tcPr>
          <w:p w14:paraId="3B1F9C01">
            <w:pPr>
              <w:pStyle w:val="6"/>
              <w:spacing w:before="93" w:line="221" w:lineRule="auto"/>
              <w:ind w:left="360"/>
            </w:pPr>
            <w:r>
              <w:rPr>
                <w:spacing w:val="-6"/>
              </w:rPr>
              <w:t>15</w:t>
            </w:r>
          </w:p>
        </w:tc>
        <w:tc>
          <w:tcPr>
            <w:tcW w:w="892" w:type="dxa"/>
            <w:vAlign w:val="top"/>
          </w:tcPr>
          <w:p w14:paraId="45A291F9">
            <w:pPr>
              <w:pStyle w:val="6"/>
              <w:spacing w:before="93" w:line="221" w:lineRule="auto"/>
              <w:ind w:left="273"/>
            </w:pPr>
            <w:r>
              <w:rPr>
                <w:spacing w:val="-4"/>
              </w:rPr>
              <w:t>8.59</w:t>
            </w:r>
          </w:p>
        </w:tc>
        <w:tc>
          <w:tcPr>
            <w:tcW w:w="892" w:type="dxa"/>
            <w:vAlign w:val="top"/>
          </w:tcPr>
          <w:p w14:paraId="2A675217">
            <w:pPr>
              <w:pStyle w:val="6"/>
              <w:spacing w:before="93" w:line="221" w:lineRule="auto"/>
              <w:ind w:left="276"/>
            </w:pPr>
            <w:r>
              <w:rPr>
                <w:spacing w:val="-4"/>
              </w:rPr>
              <w:t>8.22</w:t>
            </w:r>
          </w:p>
        </w:tc>
        <w:tc>
          <w:tcPr>
            <w:tcW w:w="891" w:type="dxa"/>
            <w:vAlign w:val="top"/>
          </w:tcPr>
          <w:p w14:paraId="656FB4D4">
            <w:pPr>
              <w:pStyle w:val="6"/>
              <w:spacing w:before="93" w:line="221" w:lineRule="auto"/>
              <w:ind w:left="274"/>
            </w:pPr>
            <w:r>
              <w:rPr>
                <w:spacing w:val="-2"/>
              </w:rPr>
              <w:t>0.07</w:t>
            </w:r>
          </w:p>
        </w:tc>
        <w:tc>
          <w:tcPr>
            <w:tcW w:w="906" w:type="dxa"/>
            <w:tcBorders>
              <w:right w:val="single" w:color="000000" w:sz="12" w:space="0"/>
            </w:tcBorders>
            <w:vAlign w:val="top"/>
          </w:tcPr>
          <w:p w14:paraId="70BBB011">
            <w:pPr>
              <w:pStyle w:val="6"/>
              <w:spacing w:before="93" w:line="221" w:lineRule="auto"/>
              <w:ind w:left="214"/>
            </w:pPr>
            <w:r>
              <w:rPr>
                <w:spacing w:val="-2"/>
              </w:rPr>
              <w:t>0.06L</w:t>
            </w:r>
          </w:p>
        </w:tc>
      </w:tr>
      <w:tr w14:paraId="2D98F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235FC77D">
            <w:pPr>
              <w:spacing w:line="242" w:lineRule="auto"/>
              <w:rPr>
                <w:rFonts w:ascii="Arial"/>
                <w:sz w:val="21"/>
              </w:rPr>
            </w:pPr>
          </w:p>
          <w:p w14:paraId="3469CEAE">
            <w:pPr>
              <w:spacing w:line="242" w:lineRule="auto"/>
              <w:rPr>
                <w:rFonts w:ascii="Arial"/>
                <w:sz w:val="21"/>
              </w:rPr>
            </w:pPr>
          </w:p>
          <w:p w14:paraId="0333E72F">
            <w:pPr>
              <w:spacing w:line="242" w:lineRule="auto"/>
              <w:rPr>
                <w:rFonts w:ascii="Arial"/>
                <w:sz w:val="21"/>
              </w:rPr>
            </w:pPr>
          </w:p>
          <w:p w14:paraId="161EDCF0">
            <w:pPr>
              <w:spacing w:line="242" w:lineRule="auto"/>
              <w:rPr>
                <w:rFonts w:ascii="Arial"/>
                <w:sz w:val="21"/>
              </w:rPr>
            </w:pPr>
          </w:p>
          <w:p w14:paraId="5923CA70">
            <w:pPr>
              <w:spacing w:line="243" w:lineRule="auto"/>
              <w:rPr>
                <w:rFonts w:ascii="Arial"/>
                <w:sz w:val="21"/>
              </w:rPr>
            </w:pPr>
          </w:p>
          <w:p w14:paraId="6F4DCCDF">
            <w:pPr>
              <w:spacing w:line="243" w:lineRule="auto"/>
              <w:rPr>
                <w:rFonts w:ascii="Arial"/>
                <w:sz w:val="21"/>
              </w:rPr>
            </w:pPr>
          </w:p>
          <w:p w14:paraId="6788E240">
            <w:pPr>
              <w:spacing w:line="243" w:lineRule="auto"/>
              <w:rPr>
                <w:rFonts w:ascii="Arial"/>
                <w:sz w:val="21"/>
              </w:rPr>
            </w:pPr>
          </w:p>
          <w:p w14:paraId="08AC9E26">
            <w:pPr>
              <w:pStyle w:val="6"/>
              <w:spacing w:before="68" w:line="235" w:lineRule="auto"/>
              <w:ind w:left="101" w:right="110" w:firstLine="66"/>
              <w:rPr>
                <w:rFonts w:ascii="宋体" w:hAnsi="宋体" w:eastAsia="宋体" w:cs="宋体"/>
              </w:rPr>
            </w:pPr>
            <w:r>
              <w:rPr>
                <w:spacing w:val="-4"/>
              </w:rPr>
              <w:t>10#</w:t>
            </w:r>
            <w:r>
              <w:rPr>
                <w:rFonts w:ascii="宋体" w:hAnsi="宋体" w:eastAsia="宋体" w:cs="宋体"/>
                <w:spacing w:val="-4"/>
              </w:rPr>
              <w:t>隧洞排</w:t>
            </w:r>
            <w:r>
              <w:rPr>
                <w:rFonts w:ascii="宋体" w:hAnsi="宋体" w:eastAsia="宋体" w:cs="宋体"/>
                <w:spacing w:val="-3"/>
              </w:rPr>
              <w:t>水处理系统</w:t>
            </w:r>
          </w:p>
        </w:tc>
        <w:tc>
          <w:tcPr>
            <w:tcW w:w="422" w:type="dxa"/>
            <w:vMerge w:val="restart"/>
            <w:tcBorders>
              <w:bottom w:val="nil"/>
            </w:tcBorders>
            <w:vAlign w:val="top"/>
          </w:tcPr>
          <w:p w14:paraId="2A332E7F">
            <w:pPr>
              <w:pStyle w:val="6"/>
              <w:spacing w:before="158" w:line="222" w:lineRule="auto"/>
              <w:ind w:left="167"/>
            </w:pPr>
            <w:r>
              <w:t>1</w:t>
            </w:r>
          </w:p>
          <w:p w14:paraId="17FF9A03">
            <w:pPr>
              <w:spacing w:line="219" w:lineRule="auto"/>
              <w:ind w:left="99"/>
              <w:rPr>
                <w:rFonts w:ascii="宋体" w:hAnsi="宋体" w:eastAsia="宋体" w:cs="宋体"/>
                <w:sz w:val="21"/>
                <w:szCs w:val="21"/>
              </w:rPr>
            </w:pPr>
            <w:r>
              <w:rPr>
                <w:rFonts w:ascii="宋体" w:hAnsi="宋体" w:eastAsia="宋体" w:cs="宋体"/>
                <w:sz w:val="21"/>
                <w:szCs w:val="21"/>
              </w:rPr>
              <w:t>季</w:t>
            </w:r>
          </w:p>
          <w:p w14:paraId="61F4FD0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3C1DC15">
            <w:pPr>
              <w:pStyle w:val="6"/>
              <w:spacing w:before="94" w:line="219" w:lineRule="auto"/>
              <w:ind w:left="274"/>
            </w:pPr>
            <w:r>
              <w:rPr>
                <w:spacing w:val="-1"/>
              </w:rPr>
              <w:t>2020/3/10</w:t>
            </w:r>
          </w:p>
        </w:tc>
        <w:tc>
          <w:tcPr>
            <w:tcW w:w="892" w:type="dxa"/>
            <w:vAlign w:val="top"/>
          </w:tcPr>
          <w:p w14:paraId="2680D767">
            <w:pPr>
              <w:pStyle w:val="6"/>
              <w:spacing w:before="94" w:line="219" w:lineRule="auto"/>
              <w:ind w:left="395"/>
            </w:pPr>
            <w:r>
              <w:t>6</w:t>
            </w:r>
          </w:p>
        </w:tc>
        <w:tc>
          <w:tcPr>
            <w:tcW w:w="892" w:type="dxa"/>
            <w:vAlign w:val="top"/>
          </w:tcPr>
          <w:p w14:paraId="7A9916E5">
            <w:pPr>
              <w:pStyle w:val="6"/>
              <w:spacing w:before="98" w:line="186" w:lineRule="auto"/>
              <w:ind w:left="327"/>
            </w:pPr>
            <w:r>
              <w:rPr>
                <w:spacing w:val="-1"/>
              </w:rPr>
              <w:t>4L</w:t>
            </w:r>
          </w:p>
        </w:tc>
        <w:tc>
          <w:tcPr>
            <w:tcW w:w="892" w:type="dxa"/>
            <w:vAlign w:val="top"/>
          </w:tcPr>
          <w:p w14:paraId="252F49E9">
            <w:pPr>
              <w:pStyle w:val="6"/>
              <w:spacing w:before="94" w:line="219" w:lineRule="auto"/>
              <w:ind w:left="269"/>
            </w:pPr>
            <w:r>
              <w:rPr>
                <w:spacing w:val="-3"/>
              </w:rPr>
              <w:t>6.79</w:t>
            </w:r>
          </w:p>
        </w:tc>
        <w:tc>
          <w:tcPr>
            <w:tcW w:w="892" w:type="dxa"/>
            <w:vAlign w:val="top"/>
          </w:tcPr>
          <w:p w14:paraId="0294B8EA">
            <w:pPr>
              <w:pStyle w:val="6"/>
              <w:spacing w:before="94" w:line="219" w:lineRule="auto"/>
              <w:ind w:left="271"/>
            </w:pPr>
            <w:r>
              <w:rPr>
                <w:spacing w:val="-2"/>
              </w:rPr>
              <w:t>7.13</w:t>
            </w:r>
          </w:p>
        </w:tc>
        <w:tc>
          <w:tcPr>
            <w:tcW w:w="891" w:type="dxa"/>
            <w:vAlign w:val="top"/>
          </w:tcPr>
          <w:p w14:paraId="64AD6FC6">
            <w:pPr>
              <w:pStyle w:val="6"/>
              <w:spacing w:before="94" w:line="219" w:lineRule="auto"/>
              <w:ind w:left="274"/>
            </w:pPr>
            <w:r>
              <w:rPr>
                <w:spacing w:val="-2"/>
              </w:rPr>
              <w:t>0.21</w:t>
            </w:r>
          </w:p>
        </w:tc>
        <w:tc>
          <w:tcPr>
            <w:tcW w:w="906" w:type="dxa"/>
            <w:tcBorders>
              <w:right w:val="single" w:color="000000" w:sz="12" w:space="0"/>
            </w:tcBorders>
            <w:vAlign w:val="top"/>
          </w:tcPr>
          <w:p w14:paraId="05C9357F">
            <w:pPr>
              <w:pStyle w:val="6"/>
              <w:spacing w:before="94" w:line="219" w:lineRule="auto"/>
              <w:ind w:left="277"/>
            </w:pPr>
            <w:r>
              <w:rPr>
                <w:spacing w:val="-2"/>
              </w:rPr>
              <w:t>0.06</w:t>
            </w:r>
          </w:p>
        </w:tc>
      </w:tr>
      <w:tr w14:paraId="7DBDB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C6D81B6">
            <w:pPr>
              <w:rPr>
                <w:rFonts w:ascii="Arial"/>
                <w:sz w:val="21"/>
              </w:rPr>
            </w:pPr>
          </w:p>
        </w:tc>
        <w:tc>
          <w:tcPr>
            <w:tcW w:w="422" w:type="dxa"/>
            <w:vMerge w:val="continue"/>
            <w:tcBorders>
              <w:top w:val="nil"/>
              <w:bottom w:val="nil"/>
            </w:tcBorders>
            <w:vAlign w:val="top"/>
          </w:tcPr>
          <w:p w14:paraId="09BBF26C">
            <w:pPr>
              <w:rPr>
                <w:rFonts w:ascii="Arial"/>
                <w:sz w:val="21"/>
              </w:rPr>
            </w:pPr>
          </w:p>
        </w:tc>
        <w:tc>
          <w:tcPr>
            <w:tcW w:w="1414" w:type="dxa"/>
            <w:vAlign w:val="top"/>
          </w:tcPr>
          <w:p w14:paraId="7636680B">
            <w:pPr>
              <w:pStyle w:val="6"/>
              <w:spacing w:before="95" w:line="219" w:lineRule="auto"/>
              <w:ind w:left="274"/>
            </w:pPr>
            <w:r>
              <w:rPr>
                <w:spacing w:val="-1"/>
              </w:rPr>
              <w:t>2020/3/11</w:t>
            </w:r>
          </w:p>
        </w:tc>
        <w:tc>
          <w:tcPr>
            <w:tcW w:w="892" w:type="dxa"/>
            <w:vAlign w:val="top"/>
          </w:tcPr>
          <w:p w14:paraId="2E320323">
            <w:pPr>
              <w:pStyle w:val="6"/>
              <w:spacing w:before="95" w:line="219" w:lineRule="auto"/>
              <w:ind w:left="396"/>
            </w:pPr>
            <w:r>
              <w:t>5</w:t>
            </w:r>
          </w:p>
        </w:tc>
        <w:tc>
          <w:tcPr>
            <w:tcW w:w="892" w:type="dxa"/>
            <w:vAlign w:val="top"/>
          </w:tcPr>
          <w:p w14:paraId="4AF7CE05">
            <w:pPr>
              <w:pStyle w:val="6"/>
              <w:spacing w:before="99" w:line="186" w:lineRule="auto"/>
              <w:ind w:left="327"/>
            </w:pPr>
            <w:r>
              <w:rPr>
                <w:spacing w:val="-1"/>
              </w:rPr>
              <w:t>4L</w:t>
            </w:r>
          </w:p>
        </w:tc>
        <w:tc>
          <w:tcPr>
            <w:tcW w:w="892" w:type="dxa"/>
            <w:vAlign w:val="top"/>
          </w:tcPr>
          <w:p w14:paraId="125DD762">
            <w:pPr>
              <w:pStyle w:val="6"/>
              <w:spacing w:before="95" w:line="219" w:lineRule="auto"/>
              <w:ind w:left="269"/>
            </w:pPr>
            <w:r>
              <w:rPr>
                <w:spacing w:val="-3"/>
              </w:rPr>
              <w:t>6.85</w:t>
            </w:r>
          </w:p>
        </w:tc>
        <w:tc>
          <w:tcPr>
            <w:tcW w:w="892" w:type="dxa"/>
            <w:vAlign w:val="top"/>
          </w:tcPr>
          <w:p w14:paraId="0989E6E4">
            <w:pPr>
              <w:pStyle w:val="6"/>
              <w:spacing w:before="95" w:line="219" w:lineRule="auto"/>
              <w:ind w:left="271"/>
            </w:pPr>
            <w:r>
              <w:rPr>
                <w:spacing w:val="-2"/>
              </w:rPr>
              <w:t>7.14</w:t>
            </w:r>
          </w:p>
        </w:tc>
        <w:tc>
          <w:tcPr>
            <w:tcW w:w="891" w:type="dxa"/>
            <w:vAlign w:val="top"/>
          </w:tcPr>
          <w:p w14:paraId="37651B84">
            <w:pPr>
              <w:pStyle w:val="6"/>
              <w:spacing w:before="95" w:line="219" w:lineRule="auto"/>
              <w:ind w:left="274"/>
            </w:pPr>
            <w:r>
              <w:rPr>
                <w:spacing w:val="-2"/>
              </w:rPr>
              <w:t>0.20</w:t>
            </w:r>
          </w:p>
        </w:tc>
        <w:tc>
          <w:tcPr>
            <w:tcW w:w="906" w:type="dxa"/>
            <w:tcBorders>
              <w:right w:val="single" w:color="000000" w:sz="12" w:space="0"/>
            </w:tcBorders>
            <w:vAlign w:val="top"/>
          </w:tcPr>
          <w:p w14:paraId="41D6EB04">
            <w:pPr>
              <w:pStyle w:val="6"/>
              <w:spacing w:before="95" w:line="219" w:lineRule="auto"/>
              <w:ind w:left="277"/>
            </w:pPr>
            <w:r>
              <w:rPr>
                <w:spacing w:val="-2"/>
              </w:rPr>
              <w:t>0.08</w:t>
            </w:r>
          </w:p>
        </w:tc>
      </w:tr>
      <w:tr w14:paraId="6E7A9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3391E8D">
            <w:pPr>
              <w:rPr>
                <w:rFonts w:ascii="Arial"/>
                <w:sz w:val="21"/>
              </w:rPr>
            </w:pPr>
          </w:p>
        </w:tc>
        <w:tc>
          <w:tcPr>
            <w:tcW w:w="422" w:type="dxa"/>
            <w:vMerge w:val="continue"/>
            <w:tcBorders>
              <w:top w:val="nil"/>
            </w:tcBorders>
            <w:vAlign w:val="top"/>
          </w:tcPr>
          <w:p w14:paraId="40592DB4">
            <w:pPr>
              <w:rPr>
                <w:rFonts w:ascii="Arial"/>
                <w:sz w:val="21"/>
              </w:rPr>
            </w:pPr>
          </w:p>
        </w:tc>
        <w:tc>
          <w:tcPr>
            <w:tcW w:w="1414" w:type="dxa"/>
            <w:vAlign w:val="top"/>
          </w:tcPr>
          <w:p w14:paraId="60377062">
            <w:pPr>
              <w:pStyle w:val="6"/>
              <w:spacing w:before="95" w:line="218" w:lineRule="auto"/>
              <w:ind w:left="274"/>
            </w:pPr>
            <w:r>
              <w:rPr>
                <w:spacing w:val="-1"/>
              </w:rPr>
              <w:t>2020/3/12</w:t>
            </w:r>
          </w:p>
        </w:tc>
        <w:tc>
          <w:tcPr>
            <w:tcW w:w="892" w:type="dxa"/>
            <w:vAlign w:val="top"/>
          </w:tcPr>
          <w:p w14:paraId="7070CF57">
            <w:pPr>
              <w:pStyle w:val="6"/>
              <w:spacing w:before="95" w:line="218" w:lineRule="auto"/>
              <w:ind w:left="393"/>
            </w:pPr>
            <w:r>
              <w:t>7</w:t>
            </w:r>
          </w:p>
        </w:tc>
        <w:tc>
          <w:tcPr>
            <w:tcW w:w="892" w:type="dxa"/>
            <w:vAlign w:val="top"/>
          </w:tcPr>
          <w:p w14:paraId="0CC41DC7">
            <w:pPr>
              <w:pStyle w:val="6"/>
              <w:spacing w:before="99" w:line="186" w:lineRule="auto"/>
              <w:ind w:left="327"/>
            </w:pPr>
            <w:r>
              <w:rPr>
                <w:spacing w:val="-1"/>
              </w:rPr>
              <w:t>4L</w:t>
            </w:r>
          </w:p>
        </w:tc>
        <w:tc>
          <w:tcPr>
            <w:tcW w:w="892" w:type="dxa"/>
            <w:vAlign w:val="top"/>
          </w:tcPr>
          <w:p w14:paraId="4B3E47E0">
            <w:pPr>
              <w:pStyle w:val="6"/>
              <w:spacing w:before="95" w:line="218" w:lineRule="auto"/>
              <w:ind w:left="269"/>
            </w:pPr>
            <w:r>
              <w:rPr>
                <w:spacing w:val="-3"/>
              </w:rPr>
              <w:t>6.87</w:t>
            </w:r>
          </w:p>
        </w:tc>
        <w:tc>
          <w:tcPr>
            <w:tcW w:w="892" w:type="dxa"/>
            <w:vAlign w:val="top"/>
          </w:tcPr>
          <w:p w14:paraId="18A471C0">
            <w:pPr>
              <w:pStyle w:val="6"/>
              <w:spacing w:before="95" w:line="218" w:lineRule="auto"/>
              <w:ind w:left="271"/>
            </w:pPr>
            <w:r>
              <w:rPr>
                <w:spacing w:val="-2"/>
              </w:rPr>
              <w:t>7.17</w:t>
            </w:r>
          </w:p>
        </w:tc>
        <w:tc>
          <w:tcPr>
            <w:tcW w:w="891" w:type="dxa"/>
            <w:vAlign w:val="top"/>
          </w:tcPr>
          <w:p w14:paraId="5DB5683D">
            <w:pPr>
              <w:pStyle w:val="6"/>
              <w:spacing w:before="95" w:line="218" w:lineRule="auto"/>
              <w:ind w:left="274"/>
            </w:pPr>
            <w:r>
              <w:rPr>
                <w:spacing w:val="-2"/>
              </w:rPr>
              <w:t>0.18</w:t>
            </w:r>
          </w:p>
        </w:tc>
        <w:tc>
          <w:tcPr>
            <w:tcW w:w="906" w:type="dxa"/>
            <w:tcBorders>
              <w:right w:val="single" w:color="000000" w:sz="12" w:space="0"/>
            </w:tcBorders>
            <w:vAlign w:val="top"/>
          </w:tcPr>
          <w:p w14:paraId="040330A0">
            <w:pPr>
              <w:pStyle w:val="6"/>
              <w:spacing w:before="95" w:line="218" w:lineRule="auto"/>
              <w:ind w:left="277"/>
            </w:pPr>
            <w:r>
              <w:rPr>
                <w:spacing w:val="-2"/>
              </w:rPr>
              <w:t>0.06</w:t>
            </w:r>
          </w:p>
        </w:tc>
      </w:tr>
      <w:tr w14:paraId="4EF24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3B8161B">
            <w:pPr>
              <w:rPr>
                <w:rFonts w:ascii="Arial"/>
                <w:sz w:val="21"/>
              </w:rPr>
            </w:pPr>
          </w:p>
        </w:tc>
        <w:tc>
          <w:tcPr>
            <w:tcW w:w="422" w:type="dxa"/>
            <w:vMerge w:val="restart"/>
            <w:tcBorders>
              <w:bottom w:val="nil"/>
            </w:tcBorders>
            <w:vAlign w:val="top"/>
          </w:tcPr>
          <w:p w14:paraId="46C7B964">
            <w:pPr>
              <w:pStyle w:val="6"/>
              <w:spacing w:before="161" w:line="222" w:lineRule="auto"/>
              <w:ind w:left="147"/>
            </w:pPr>
            <w:r>
              <w:t>2</w:t>
            </w:r>
          </w:p>
          <w:p w14:paraId="4FDEEC36">
            <w:pPr>
              <w:spacing w:line="219" w:lineRule="auto"/>
              <w:ind w:left="99"/>
              <w:rPr>
                <w:rFonts w:ascii="宋体" w:hAnsi="宋体" w:eastAsia="宋体" w:cs="宋体"/>
                <w:sz w:val="21"/>
                <w:szCs w:val="21"/>
              </w:rPr>
            </w:pPr>
            <w:r>
              <w:rPr>
                <w:rFonts w:ascii="宋体" w:hAnsi="宋体" w:eastAsia="宋体" w:cs="宋体"/>
                <w:sz w:val="21"/>
                <w:szCs w:val="21"/>
              </w:rPr>
              <w:t>季</w:t>
            </w:r>
          </w:p>
          <w:p w14:paraId="60681F3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0B9EA45">
            <w:pPr>
              <w:pStyle w:val="6"/>
              <w:spacing w:before="97" w:line="216" w:lineRule="auto"/>
              <w:ind w:left="274"/>
            </w:pPr>
            <w:r>
              <w:rPr>
                <w:spacing w:val="-1"/>
              </w:rPr>
              <w:t>2020/5/20</w:t>
            </w:r>
          </w:p>
        </w:tc>
        <w:tc>
          <w:tcPr>
            <w:tcW w:w="892" w:type="dxa"/>
            <w:vAlign w:val="top"/>
          </w:tcPr>
          <w:p w14:paraId="61AAEAB0">
            <w:pPr>
              <w:pStyle w:val="6"/>
              <w:spacing w:before="97" w:line="216" w:lineRule="auto"/>
              <w:ind w:left="336"/>
            </w:pPr>
            <w:r>
              <w:rPr>
                <w:spacing w:val="-1"/>
              </w:rPr>
              <w:t>47</w:t>
            </w:r>
          </w:p>
        </w:tc>
        <w:tc>
          <w:tcPr>
            <w:tcW w:w="892" w:type="dxa"/>
            <w:vAlign w:val="top"/>
          </w:tcPr>
          <w:p w14:paraId="769E4693">
            <w:pPr>
              <w:pStyle w:val="6"/>
              <w:spacing w:before="97" w:line="216" w:lineRule="auto"/>
              <w:ind w:left="340"/>
            </w:pPr>
            <w:r>
              <w:rPr>
                <w:spacing w:val="-1"/>
              </w:rPr>
              <w:t>20</w:t>
            </w:r>
          </w:p>
        </w:tc>
        <w:tc>
          <w:tcPr>
            <w:tcW w:w="892" w:type="dxa"/>
            <w:vAlign w:val="top"/>
          </w:tcPr>
          <w:p w14:paraId="7AD618A7">
            <w:pPr>
              <w:pStyle w:val="6"/>
              <w:spacing w:before="97" w:line="216" w:lineRule="auto"/>
              <w:ind w:left="268"/>
            </w:pPr>
            <w:r>
              <w:rPr>
                <w:spacing w:val="-2"/>
              </w:rPr>
              <w:t>7.49</w:t>
            </w:r>
          </w:p>
        </w:tc>
        <w:tc>
          <w:tcPr>
            <w:tcW w:w="892" w:type="dxa"/>
            <w:vAlign w:val="top"/>
          </w:tcPr>
          <w:p w14:paraId="26CB1547">
            <w:pPr>
              <w:pStyle w:val="6"/>
              <w:spacing w:before="97" w:line="216" w:lineRule="auto"/>
              <w:ind w:left="271"/>
            </w:pPr>
            <w:r>
              <w:rPr>
                <w:spacing w:val="-2"/>
              </w:rPr>
              <w:t>7.56</w:t>
            </w:r>
          </w:p>
        </w:tc>
        <w:tc>
          <w:tcPr>
            <w:tcW w:w="891" w:type="dxa"/>
            <w:vAlign w:val="top"/>
          </w:tcPr>
          <w:p w14:paraId="62E2ACDB">
            <w:pPr>
              <w:pStyle w:val="6"/>
              <w:spacing w:before="97" w:line="216" w:lineRule="auto"/>
              <w:ind w:left="274"/>
            </w:pPr>
            <w:r>
              <w:rPr>
                <w:spacing w:val="-2"/>
              </w:rPr>
              <w:t>0.11</w:t>
            </w:r>
          </w:p>
        </w:tc>
        <w:tc>
          <w:tcPr>
            <w:tcW w:w="906" w:type="dxa"/>
            <w:tcBorders>
              <w:right w:val="single" w:color="000000" w:sz="12" w:space="0"/>
            </w:tcBorders>
            <w:vAlign w:val="top"/>
          </w:tcPr>
          <w:p w14:paraId="30E8E3F3">
            <w:pPr>
              <w:pStyle w:val="6"/>
              <w:spacing w:before="97" w:line="216" w:lineRule="auto"/>
              <w:ind w:left="277"/>
            </w:pPr>
            <w:r>
              <w:rPr>
                <w:spacing w:val="-2"/>
              </w:rPr>
              <w:t>0.10</w:t>
            </w:r>
          </w:p>
        </w:tc>
      </w:tr>
      <w:tr w14:paraId="5E1E9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0072383D">
            <w:pPr>
              <w:rPr>
                <w:rFonts w:ascii="Arial"/>
                <w:sz w:val="21"/>
              </w:rPr>
            </w:pPr>
          </w:p>
        </w:tc>
        <w:tc>
          <w:tcPr>
            <w:tcW w:w="422" w:type="dxa"/>
            <w:vMerge w:val="continue"/>
            <w:tcBorders>
              <w:top w:val="nil"/>
              <w:bottom w:val="nil"/>
            </w:tcBorders>
            <w:vAlign w:val="top"/>
          </w:tcPr>
          <w:p w14:paraId="700198AE">
            <w:pPr>
              <w:rPr>
                <w:rFonts w:ascii="Arial"/>
                <w:sz w:val="21"/>
              </w:rPr>
            </w:pPr>
          </w:p>
        </w:tc>
        <w:tc>
          <w:tcPr>
            <w:tcW w:w="1414" w:type="dxa"/>
            <w:vAlign w:val="top"/>
          </w:tcPr>
          <w:p w14:paraId="198714BF">
            <w:pPr>
              <w:pStyle w:val="6"/>
              <w:spacing w:before="98" w:line="217" w:lineRule="auto"/>
              <w:ind w:left="274"/>
            </w:pPr>
            <w:r>
              <w:rPr>
                <w:spacing w:val="-1"/>
              </w:rPr>
              <w:t>2020/5/21</w:t>
            </w:r>
          </w:p>
        </w:tc>
        <w:tc>
          <w:tcPr>
            <w:tcW w:w="892" w:type="dxa"/>
            <w:vAlign w:val="top"/>
          </w:tcPr>
          <w:p w14:paraId="066EBB79">
            <w:pPr>
              <w:pStyle w:val="6"/>
              <w:spacing w:before="98" w:line="217" w:lineRule="auto"/>
              <w:ind w:left="343"/>
            </w:pPr>
            <w:r>
              <w:rPr>
                <w:spacing w:val="-3"/>
              </w:rPr>
              <w:t>51</w:t>
            </w:r>
          </w:p>
        </w:tc>
        <w:tc>
          <w:tcPr>
            <w:tcW w:w="892" w:type="dxa"/>
            <w:vAlign w:val="top"/>
          </w:tcPr>
          <w:p w14:paraId="344138D2">
            <w:pPr>
              <w:pStyle w:val="6"/>
              <w:spacing w:before="98" w:line="217" w:lineRule="auto"/>
              <w:ind w:left="360"/>
            </w:pPr>
            <w:r>
              <w:rPr>
                <w:spacing w:val="-6"/>
              </w:rPr>
              <w:t>17</w:t>
            </w:r>
          </w:p>
        </w:tc>
        <w:tc>
          <w:tcPr>
            <w:tcW w:w="892" w:type="dxa"/>
            <w:vAlign w:val="top"/>
          </w:tcPr>
          <w:p w14:paraId="17BFBEEE">
            <w:pPr>
              <w:pStyle w:val="6"/>
              <w:spacing w:before="98" w:line="217" w:lineRule="auto"/>
              <w:ind w:left="268"/>
            </w:pPr>
            <w:r>
              <w:rPr>
                <w:spacing w:val="-2"/>
              </w:rPr>
              <w:t>7.43</w:t>
            </w:r>
          </w:p>
        </w:tc>
        <w:tc>
          <w:tcPr>
            <w:tcW w:w="892" w:type="dxa"/>
            <w:vAlign w:val="top"/>
          </w:tcPr>
          <w:p w14:paraId="56ABCC89">
            <w:pPr>
              <w:pStyle w:val="6"/>
              <w:spacing w:before="98" w:line="217" w:lineRule="auto"/>
              <w:ind w:left="271"/>
            </w:pPr>
            <w:r>
              <w:rPr>
                <w:spacing w:val="-2"/>
              </w:rPr>
              <w:t>7.57</w:t>
            </w:r>
          </w:p>
        </w:tc>
        <w:tc>
          <w:tcPr>
            <w:tcW w:w="891" w:type="dxa"/>
            <w:vAlign w:val="top"/>
          </w:tcPr>
          <w:p w14:paraId="46F357F7">
            <w:pPr>
              <w:pStyle w:val="6"/>
              <w:spacing w:before="98" w:line="217" w:lineRule="auto"/>
              <w:ind w:left="274"/>
            </w:pPr>
            <w:r>
              <w:rPr>
                <w:spacing w:val="-2"/>
              </w:rPr>
              <w:t>0.11</w:t>
            </w:r>
          </w:p>
        </w:tc>
        <w:tc>
          <w:tcPr>
            <w:tcW w:w="906" w:type="dxa"/>
            <w:tcBorders>
              <w:right w:val="single" w:color="000000" w:sz="12" w:space="0"/>
            </w:tcBorders>
            <w:vAlign w:val="top"/>
          </w:tcPr>
          <w:p w14:paraId="63429CCD">
            <w:pPr>
              <w:pStyle w:val="6"/>
              <w:spacing w:before="98" w:line="217" w:lineRule="auto"/>
              <w:ind w:left="277"/>
            </w:pPr>
            <w:r>
              <w:rPr>
                <w:spacing w:val="-2"/>
              </w:rPr>
              <w:t>0.10</w:t>
            </w:r>
          </w:p>
        </w:tc>
      </w:tr>
      <w:tr w14:paraId="0B2CE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1B7FBA6">
            <w:pPr>
              <w:rPr>
                <w:rFonts w:ascii="Arial"/>
                <w:sz w:val="21"/>
              </w:rPr>
            </w:pPr>
          </w:p>
        </w:tc>
        <w:tc>
          <w:tcPr>
            <w:tcW w:w="422" w:type="dxa"/>
            <w:vMerge w:val="continue"/>
            <w:tcBorders>
              <w:top w:val="nil"/>
            </w:tcBorders>
            <w:vAlign w:val="top"/>
          </w:tcPr>
          <w:p w14:paraId="4AEB021E">
            <w:pPr>
              <w:rPr>
                <w:rFonts w:ascii="Arial"/>
                <w:sz w:val="21"/>
              </w:rPr>
            </w:pPr>
          </w:p>
        </w:tc>
        <w:tc>
          <w:tcPr>
            <w:tcW w:w="1414" w:type="dxa"/>
            <w:vAlign w:val="top"/>
          </w:tcPr>
          <w:p w14:paraId="450619C5">
            <w:pPr>
              <w:pStyle w:val="6"/>
              <w:spacing w:before="99" w:line="214" w:lineRule="auto"/>
              <w:ind w:left="274"/>
            </w:pPr>
            <w:r>
              <w:rPr>
                <w:spacing w:val="-1"/>
              </w:rPr>
              <w:t>2020/5/22</w:t>
            </w:r>
          </w:p>
        </w:tc>
        <w:tc>
          <w:tcPr>
            <w:tcW w:w="892" w:type="dxa"/>
            <w:vAlign w:val="top"/>
          </w:tcPr>
          <w:p w14:paraId="31D938E2">
            <w:pPr>
              <w:pStyle w:val="6"/>
              <w:spacing w:before="99" w:line="214" w:lineRule="auto"/>
              <w:ind w:left="336"/>
            </w:pPr>
            <w:r>
              <w:rPr>
                <w:spacing w:val="-1"/>
              </w:rPr>
              <w:t>49</w:t>
            </w:r>
          </w:p>
        </w:tc>
        <w:tc>
          <w:tcPr>
            <w:tcW w:w="892" w:type="dxa"/>
            <w:vAlign w:val="top"/>
          </w:tcPr>
          <w:p w14:paraId="7E71B962">
            <w:pPr>
              <w:pStyle w:val="6"/>
              <w:spacing w:before="99" w:line="214" w:lineRule="auto"/>
              <w:ind w:left="340"/>
            </w:pPr>
            <w:r>
              <w:rPr>
                <w:spacing w:val="-1"/>
              </w:rPr>
              <w:t>21</w:t>
            </w:r>
          </w:p>
        </w:tc>
        <w:tc>
          <w:tcPr>
            <w:tcW w:w="892" w:type="dxa"/>
            <w:vAlign w:val="top"/>
          </w:tcPr>
          <w:p w14:paraId="1FDBF55D">
            <w:pPr>
              <w:pStyle w:val="6"/>
              <w:spacing w:before="99" w:line="214" w:lineRule="auto"/>
              <w:ind w:left="268"/>
            </w:pPr>
            <w:r>
              <w:rPr>
                <w:spacing w:val="-2"/>
              </w:rPr>
              <w:t>7.39</w:t>
            </w:r>
          </w:p>
        </w:tc>
        <w:tc>
          <w:tcPr>
            <w:tcW w:w="892" w:type="dxa"/>
            <w:vAlign w:val="top"/>
          </w:tcPr>
          <w:p w14:paraId="132190A4">
            <w:pPr>
              <w:pStyle w:val="6"/>
              <w:spacing w:before="99" w:line="214" w:lineRule="auto"/>
              <w:ind w:left="271"/>
            </w:pPr>
            <w:r>
              <w:rPr>
                <w:spacing w:val="-2"/>
              </w:rPr>
              <w:t>7.60</w:t>
            </w:r>
          </w:p>
        </w:tc>
        <w:tc>
          <w:tcPr>
            <w:tcW w:w="891" w:type="dxa"/>
            <w:vAlign w:val="top"/>
          </w:tcPr>
          <w:p w14:paraId="3A24A567">
            <w:pPr>
              <w:pStyle w:val="6"/>
              <w:spacing w:before="99" w:line="214" w:lineRule="auto"/>
              <w:ind w:left="274"/>
            </w:pPr>
            <w:r>
              <w:rPr>
                <w:spacing w:val="-2"/>
              </w:rPr>
              <w:t>0.14</w:t>
            </w:r>
          </w:p>
        </w:tc>
        <w:tc>
          <w:tcPr>
            <w:tcW w:w="906" w:type="dxa"/>
            <w:tcBorders>
              <w:right w:val="single" w:color="000000" w:sz="12" w:space="0"/>
            </w:tcBorders>
            <w:vAlign w:val="top"/>
          </w:tcPr>
          <w:p w14:paraId="31329F8C">
            <w:pPr>
              <w:pStyle w:val="6"/>
              <w:spacing w:before="99" w:line="214" w:lineRule="auto"/>
              <w:ind w:left="277"/>
            </w:pPr>
            <w:r>
              <w:rPr>
                <w:spacing w:val="-2"/>
              </w:rPr>
              <w:t>0.11</w:t>
            </w:r>
          </w:p>
        </w:tc>
      </w:tr>
      <w:tr w14:paraId="224C0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1B73B40">
            <w:pPr>
              <w:rPr>
                <w:rFonts w:ascii="Arial"/>
                <w:sz w:val="21"/>
              </w:rPr>
            </w:pPr>
          </w:p>
        </w:tc>
        <w:tc>
          <w:tcPr>
            <w:tcW w:w="422" w:type="dxa"/>
            <w:vMerge w:val="restart"/>
            <w:tcBorders>
              <w:bottom w:val="nil"/>
            </w:tcBorders>
            <w:vAlign w:val="top"/>
          </w:tcPr>
          <w:p w14:paraId="4B9AB84D">
            <w:pPr>
              <w:pStyle w:val="6"/>
              <w:spacing w:before="163" w:line="223" w:lineRule="auto"/>
              <w:ind w:left="151"/>
            </w:pPr>
            <w:r>
              <w:t>3</w:t>
            </w:r>
          </w:p>
          <w:p w14:paraId="764E9EF7">
            <w:pPr>
              <w:spacing w:line="219" w:lineRule="auto"/>
              <w:ind w:left="99"/>
              <w:rPr>
                <w:rFonts w:ascii="宋体" w:hAnsi="宋体" w:eastAsia="宋体" w:cs="宋体"/>
                <w:sz w:val="21"/>
                <w:szCs w:val="21"/>
              </w:rPr>
            </w:pPr>
            <w:r>
              <w:rPr>
                <w:rFonts w:ascii="宋体" w:hAnsi="宋体" w:eastAsia="宋体" w:cs="宋体"/>
                <w:sz w:val="21"/>
                <w:szCs w:val="21"/>
              </w:rPr>
              <w:t>季</w:t>
            </w:r>
          </w:p>
          <w:p w14:paraId="6D328B5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3263D5C">
            <w:pPr>
              <w:pStyle w:val="6"/>
              <w:spacing w:before="100" w:line="215" w:lineRule="auto"/>
              <w:ind w:left="274"/>
            </w:pPr>
            <w:r>
              <w:rPr>
                <w:spacing w:val="-1"/>
              </w:rPr>
              <w:t>2020/8/20</w:t>
            </w:r>
          </w:p>
        </w:tc>
        <w:tc>
          <w:tcPr>
            <w:tcW w:w="892" w:type="dxa"/>
            <w:vAlign w:val="top"/>
          </w:tcPr>
          <w:p w14:paraId="4E3CD54A">
            <w:pPr>
              <w:pStyle w:val="6"/>
              <w:spacing w:before="100" w:line="215" w:lineRule="auto"/>
              <w:ind w:left="395"/>
            </w:pPr>
            <w:r>
              <w:t>6</w:t>
            </w:r>
          </w:p>
        </w:tc>
        <w:tc>
          <w:tcPr>
            <w:tcW w:w="892" w:type="dxa"/>
            <w:vAlign w:val="top"/>
          </w:tcPr>
          <w:p w14:paraId="33B4DE61">
            <w:pPr>
              <w:pStyle w:val="6"/>
              <w:spacing w:before="100" w:line="215" w:lineRule="auto"/>
              <w:ind w:left="392"/>
            </w:pPr>
            <w:r>
              <w:t>4</w:t>
            </w:r>
          </w:p>
        </w:tc>
        <w:tc>
          <w:tcPr>
            <w:tcW w:w="892" w:type="dxa"/>
            <w:vAlign w:val="top"/>
          </w:tcPr>
          <w:p w14:paraId="629F0C37">
            <w:pPr>
              <w:pStyle w:val="6"/>
              <w:spacing w:before="100" w:line="215" w:lineRule="auto"/>
              <w:ind w:left="268"/>
            </w:pPr>
            <w:r>
              <w:rPr>
                <w:spacing w:val="-2"/>
              </w:rPr>
              <w:t>7.46</w:t>
            </w:r>
          </w:p>
        </w:tc>
        <w:tc>
          <w:tcPr>
            <w:tcW w:w="892" w:type="dxa"/>
            <w:vAlign w:val="top"/>
          </w:tcPr>
          <w:p w14:paraId="2B5FD874">
            <w:pPr>
              <w:pStyle w:val="6"/>
              <w:spacing w:before="100" w:line="215" w:lineRule="auto"/>
              <w:ind w:left="271"/>
            </w:pPr>
            <w:r>
              <w:rPr>
                <w:spacing w:val="-2"/>
              </w:rPr>
              <w:t>7.31</w:t>
            </w:r>
          </w:p>
        </w:tc>
        <w:tc>
          <w:tcPr>
            <w:tcW w:w="891" w:type="dxa"/>
            <w:vAlign w:val="top"/>
          </w:tcPr>
          <w:p w14:paraId="486893EB">
            <w:pPr>
              <w:pStyle w:val="6"/>
              <w:spacing w:before="100" w:line="215" w:lineRule="auto"/>
              <w:ind w:left="274"/>
            </w:pPr>
            <w:r>
              <w:rPr>
                <w:spacing w:val="-2"/>
              </w:rPr>
              <w:t>0.08</w:t>
            </w:r>
          </w:p>
        </w:tc>
        <w:tc>
          <w:tcPr>
            <w:tcW w:w="906" w:type="dxa"/>
            <w:tcBorders>
              <w:right w:val="single" w:color="000000" w:sz="12" w:space="0"/>
            </w:tcBorders>
            <w:vAlign w:val="top"/>
          </w:tcPr>
          <w:p w14:paraId="08B211E5">
            <w:pPr>
              <w:pStyle w:val="6"/>
              <w:spacing w:before="100" w:line="215" w:lineRule="auto"/>
              <w:ind w:left="214"/>
            </w:pPr>
            <w:r>
              <w:rPr>
                <w:spacing w:val="-2"/>
              </w:rPr>
              <w:t>0.06L</w:t>
            </w:r>
          </w:p>
        </w:tc>
      </w:tr>
      <w:tr w14:paraId="0044B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3EFDF6D">
            <w:pPr>
              <w:rPr>
                <w:rFonts w:ascii="Arial"/>
                <w:sz w:val="21"/>
              </w:rPr>
            </w:pPr>
          </w:p>
        </w:tc>
        <w:tc>
          <w:tcPr>
            <w:tcW w:w="422" w:type="dxa"/>
            <w:vMerge w:val="continue"/>
            <w:tcBorders>
              <w:top w:val="nil"/>
              <w:bottom w:val="nil"/>
            </w:tcBorders>
            <w:vAlign w:val="top"/>
          </w:tcPr>
          <w:p w14:paraId="0821427D">
            <w:pPr>
              <w:rPr>
                <w:rFonts w:ascii="Arial"/>
                <w:sz w:val="21"/>
              </w:rPr>
            </w:pPr>
          </w:p>
        </w:tc>
        <w:tc>
          <w:tcPr>
            <w:tcW w:w="1414" w:type="dxa"/>
            <w:vAlign w:val="top"/>
          </w:tcPr>
          <w:p w14:paraId="425BEDA3">
            <w:pPr>
              <w:pStyle w:val="6"/>
              <w:spacing w:before="99" w:line="214" w:lineRule="auto"/>
              <w:ind w:left="274"/>
            </w:pPr>
            <w:r>
              <w:rPr>
                <w:spacing w:val="-1"/>
              </w:rPr>
              <w:t>2020/8/21</w:t>
            </w:r>
          </w:p>
        </w:tc>
        <w:tc>
          <w:tcPr>
            <w:tcW w:w="892" w:type="dxa"/>
            <w:vAlign w:val="top"/>
          </w:tcPr>
          <w:p w14:paraId="39192E41">
            <w:pPr>
              <w:pStyle w:val="6"/>
              <w:spacing w:before="99" w:line="214" w:lineRule="auto"/>
              <w:ind w:left="393"/>
            </w:pPr>
            <w:r>
              <w:t>7</w:t>
            </w:r>
          </w:p>
        </w:tc>
        <w:tc>
          <w:tcPr>
            <w:tcW w:w="892" w:type="dxa"/>
            <w:vAlign w:val="top"/>
          </w:tcPr>
          <w:p w14:paraId="4EB5FB52">
            <w:pPr>
              <w:pStyle w:val="6"/>
              <w:spacing w:before="99" w:line="214" w:lineRule="auto"/>
              <w:ind w:left="399"/>
            </w:pPr>
            <w:r>
              <w:t>5</w:t>
            </w:r>
          </w:p>
        </w:tc>
        <w:tc>
          <w:tcPr>
            <w:tcW w:w="892" w:type="dxa"/>
            <w:vAlign w:val="top"/>
          </w:tcPr>
          <w:p w14:paraId="27FC3397">
            <w:pPr>
              <w:pStyle w:val="6"/>
              <w:spacing w:before="99" w:line="214" w:lineRule="auto"/>
              <w:ind w:left="268"/>
            </w:pPr>
            <w:r>
              <w:rPr>
                <w:spacing w:val="-2"/>
              </w:rPr>
              <w:t>7.52</w:t>
            </w:r>
          </w:p>
        </w:tc>
        <w:tc>
          <w:tcPr>
            <w:tcW w:w="892" w:type="dxa"/>
            <w:vAlign w:val="top"/>
          </w:tcPr>
          <w:p w14:paraId="18D6988C">
            <w:pPr>
              <w:pStyle w:val="6"/>
              <w:spacing w:before="99" w:line="214" w:lineRule="auto"/>
              <w:ind w:left="271"/>
            </w:pPr>
            <w:r>
              <w:rPr>
                <w:spacing w:val="-2"/>
              </w:rPr>
              <w:t>7.36</w:t>
            </w:r>
          </w:p>
        </w:tc>
        <w:tc>
          <w:tcPr>
            <w:tcW w:w="891" w:type="dxa"/>
            <w:vAlign w:val="top"/>
          </w:tcPr>
          <w:p w14:paraId="4D93C7E8">
            <w:pPr>
              <w:pStyle w:val="6"/>
              <w:spacing w:before="99" w:line="214" w:lineRule="auto"/>
              <w:ind w:left="274"/>
            </w:pPr>
            <w:r>
              <w:rPr>
                <w:spacing w:val="-2"/>
              </w:rPr>
              <w:t>0.08</w:t>
            </w:r>
          </w:p>
        </w:tc>
        <w:tc>
          <w:tcPr>
            <w:tcW w:w="906" w:type="dxa"/>
            <w:tcBorders>
              <w:right w:val="single" w:color="000000" w:sz="12" w:space="0"/>
            </w:tcBorders>
            <w:vAlign w:val="top"/>
          </w:tcPr>
          <w:p w14:paraId="31023BE6">
            <w:pPr>
              <w:pStyle w:val="6"/>
              <w:spacing w:before="99" w:line="214" w:lineRule="auto"/>
              <w:ind w:left="214"/>
            </w:pPr>
            <w:r>
              <w:rPr>
                <w:spacing w:val="-2"/>
              </w:rPr>
              <w:t>0.06L</w:t>
            </w:r>
          </w:p>
        </w:tc>
      </w:tr>
      <w:tr w14:paraId="3F19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64912D5">
            <w:pPr>
              <w:rPr>
                <w:rFonts w:ascii="Arial"/>
                <w:sz w:val="21"/>
              </w:rPr>
            </w:pPr>
          </w:p>
        </w:tc>
        <w:tc>
          <w:tcPr>
            <w:tcW w:w="422" w:type="dxa"/>
            <w:vMerge w:val="continue"/>
            <w:tcBorders>
              <w:top w:val="nil"/>
            </w:tcBorders>
            <w:vAlign w:val="top"/>
          </w:tcPr>
          <w:p w14:paraId="0814A8CC">
            <w:pPr>
              <w:rPr>
                <w:rFonts w:ascii="Arial"/>
                <w:sz w:val="21"/>
              </w:rPr>
            </w:pPr>
          </w:p>
        </w:tc>
        <w:tc>
          <w:tcPr>
            <w:tcW w:w="1414" w:type="dxa"/>
            <w:vAlign w:val="top"/>
          </w:tcPr>
          <w:p w14:paraId="421316C4">
            <w:pPr>
              <w:pStyle w:val="6"/>
              <w:spacing w:before="101" w:line="212" w:lineRule="auto"/>
              <w:ind w:left="274"/>
            </w:pPr>
            <w:r>
              <w:rPr>
                <w:spacing w:val="-1"/>
              </w:rPr>
              <w:t>2020/8/22</w:t>
            </w:r>
          </w:p>
        </w:tc>
        <w:tc>
          <w:tcPr>
            <w:tcW w:w="892" w:type="dxa"/>
            <w:vAlign w:val="top"/>
          </w:tcPr>
          <w:p w14:paraId="417667A3">
            <w:pPr>
              <w:pStyle w:val="6"/>
              <w:spacing w:before="101" w:line="212" w:lineRule="auto"/>
              <w:ind w:left="395"/>
            </w:pPr>
            <w:r>
              <w:t>6</w:t>
            </w:r>
          </w:p>
        </w:tc>
        <w:tc>
          <w:tcPr>
            <w:tcW w:w="892" w:type="dxa"/>
            <w:vAlign w:val="top"/>
          </w:tcPr>
          <w:p w14:paraId="008A2F56">
            <w:pPr>
              <w:pStyle w:val="6"/>
              <w:spacing w:before="101" w:line="212" w:lineRule="auto"/>
              <w:ind w:left="392"/>
            </w:pPr>
            <w:r>
              <w:t>4</w:t>
            </w:r>
          </w:p>
        </w:tc>
        <w:tc>
          <w:tcPr>
            <w:tcW w:w="892" w:type="dxa"/>
            <w:vAlign w:val="top"/>
          </w:tcPr>
          <w:p w14:paraId="5B5B6967">
            <w:pPr>
              <w:pStyle w:val="6"/>
              <w:spacing w:before="101" w:line="212" w:lineRule="auto"/>
              <w:ind w:left="268"/>
            </w:pPr>
            <w:r>
              <w:rPr>
                <w:spacing w:val="-2"/>
              </w:rPr>
              <w:t>7.56</w:t>
            </w:r>
          </w:p>
        </w:tc>
        <w:tc>
          <w:tcPr>
            <w:tcW w:w="892" w:type="dxa"/>
            <w:vAlign w:val="top"/>
          </w:tcPr>
          <w:p w14:paraId="5FBDC60D">
            <w:pPr>
              <w:pStyle w:val="6"/>
              <w:spacing w:before="101" w:line="212" w:lineRule="auto"/>
              <w:ind w:left="271"/>
            </w:pPr>
            <w:r>
              <w:rPr>
                <w:spacing w:val="-2"/>
              </w:rPr>
              <w:t>7.43</w:t>
            </w:r>
          </w:p>
        </w:tc>
        <w:tc>
          <w:tcPr>
            <w:tcW w:w="891" w:type="dxa"/>
            <w:vAlign w:val="top"/>
          </w:tcPr>
          <w:p w14:paraId="62C3D51B">
            <w:pPr>
              <w:pStyle w:val="6"/>
              <w:spacing w:before="101" w:line="212" w:lineRule="auto"/>
              <w:ind w:left="274"/>
            </w:pPr>
            <w:r>
              <w:rPr>
                <w:spacing w:val="-2"/>
              </w:rPr>
              <w:t>0.08</w:t>
            </w:r>
          </w:p>
        </w:tc>
        <w:tc>
          <w:tcPr>
            <w:tcW w:w="906" w:type="dxa"/>
            <w:tcBorders>
              <w:right w:val="single" w:color="000000" w:sz="12" w:space="0"/>
            </w:tcBorders>
            <w:vAlign w:val="top"/>
          </w:tcPr>
          <w:p w14:paraId="064AB4EF">
            <w:pPr>
              <w:pStyle w:val="6"/>
              <w:spacing w:before="101" w:line="212" w:lineRule="auto"/>
              <w:ind w:left="214"/>
            </w:pPr>
            <w:r>
              <w:rPr>
                <w:spacing w:val="-2"/>
              </w:rPr>
              <w:t>0.06L</w:t>
            </w:r>
          </w:p>
        </w:tc>
      </w:tr>
      <w:tr w14:paraId="102B3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C07745C">
            <w:pPr>
              <w:rPr>
                <w:rFonts w:ascii="Arial"/>
                <w:sz w:val="21"/>
              </w:rPr>
            </w:pPr>
          </w:p>
        </w:tc>
        <w:tc>
          <w:tcPr>
            <w:tcW w:w="422" w:type="dxa"/>
            <w:vMerge w:val="restart"/>
            <w:tcBorders>
              <w:bottom w:val="nil"/>
            </w:tcBorders>
            <w:vAlign w:val="top"/>
          </w:tcPr>
          <w:p w14:paraId="05453754">
            <w:pPr>
              <w:pStyle w:val="6"/>
              <w:spacing w:before="167" w:line="222" w:lineRule="auto"/>
              <w:ind w:left="146"/>
            </w:pPr>
            <w:r>
              <w:t>4</w:t>
            </w:r>
          </w:p>
          <w:p w14:paraId="674BA63A">
            <w:pPr>
              <w:spacing w:line="219" w:lineRule="auto"/>
              <w:ind w:left="99"/>
              <w:rPr>
                <w:rFonts w:ascii="宋体" w:hAnsi="宋体" w:eastAsia="宋体" w:cs="宋体"/>
                <w:sz w:val="21"/>
                <w:szCs w:val="21"/>
              </w:rPr>
            </w:pPr>
            <w:r>
              <w:rPr>
                <w:rFonts w:ascii="宋体" w:hAnsi="宋体" w:eastAsia="宋体" w:cs="宋体"/>
                <w:sz w:val="21"/>
                <w:szCs w:val="21"/>
              </w:rPr>
              <w:t>季</w:t>
            </w:r>
          </w:p>
          <w:p w14:paraId="698E03D7">
            <w:pPr>
              <w:spacing w:before="23"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5B100D0A">
            <w:pPr>
              <w:pStyle w:val="6"/>
              <w:spacing w:before="102" w:line="213" w:lineRule="auto"/>
              <w:ind w:left="221"/>
            </w:pPr>
            <w:r>
              <w:rPr>
                <w:spacing w:val="-1"/>
              </w:rPr>
              <w:t>2020/11/15</w:t>
            </w:r>
          </w:p>
        </w:tc>
        <w:tc>
          <w:tcPr>
            <w:tcW w:w="892" w:type="dxa"/>
            <w:vAlign w:val="top"/>
          </w:tcPr>
          <w:p w14:paraId="39FD549B">
            <w:pPr>
              <w:pStyle w:val="6"/>
              <w:spacing w:before="102" w:line="213" w:lineRule="auto"/>
              <w:ind w:left="357"/>
            </w:pPr>
            <w:r>
              <w:rPr>
                <w:spacing w:val="-6"/>
              </w:rPr>
              <w:t>18</w:t>
            </w:r>
          </w:p>
        </w:tc>
        <w:tc>
          <w:tcPr>
            <w:tcW w:w="892" w:type="dxa"/>
            <w:vAlign w:val="top"/>
          </w:tcPr>
          <w:p w14:paraId="6764D7DF">
            <w:pPr>
              <w:pStyle w:val="6"/>
              <w:spacing w:before="102" w:line="213" w:lineRule="auto"/>
              <w:ind w:left="398"/>
            </w:pPr>
            <w:r>
              <w:t>6</w:t>
            </w:r>
          </w:p>
        </w:tc>
        <w:tc>
          <w:tcPr>
            <w:tcW w:w="892" w:type="dxa"/>
            <w:vAlign w:val="top"/>
          </w:tcPr>
          <w:p w14:paraId="1F92DF34">
            <w:pPr>
              <w:pStyle w:val="6"/>
              <w:spacing w:before="102" w:line="213" w:lineRule="auto"/>
              <w:ind w:left="268"/>
            </w:pPr>
            <w:r>
              <w:rPr>
                <w:spacing w:val="-2"/>
              </w:rPr>
              <w:t>7.58</w:t>
            </w:r>
          </w:p>
        </w:tc>
        <w:tc>
          <w:tcPr>
            <w:tcW w:w="892" w:type="dxa"/>
            <w:vAlign w:val="top"/>
          </w:tcPr>
          <w:p w14:paraId="1F02F5B8">
            <w:pPr>
              <w:pStyle w:val="6"/>
              <w:spacing w:before="102" w:line="213" w:lineRule="auto"/>
              <w:ind w:left="271"/>
            </w:pPr>
            <w:r>
              <w:rPr>
                <w:spacing w:val="-2"/>
              </w:rPr>
              <w:t>7.41</w:t>
            </w:r>
          </w:p>
        </w:tc>
        <w:tc>
          <w:tcPr>
            <w:tcW w:w="891" w:type="dxa"/>
            <w:vAlign w:val="top"/>
          </w:tcPr>
          <w:p w14:paraId="657E2C4A">
            <w:pPr>
              <w:pStyle w:val="6"/>
              <w:spacing w:before="102" w:line="213" w:lineRule="auto"/>
              <w:ind w:left="274"/>
            </w:pPr>
            <w:r>
              <w:rPr>
                <w:spacing w:val="-2"/>
              </w:rPr>
              <w:t>0.08</w:t>
            </w:r>
          </w:p>
        </w:tc>
        <w:tc>
          <w:tcPr>
            <w:tcW w:w="906" w:type="dxa"/>
            <w:tcBorders>
              <w:right w:val="single" w:color="000000" w:sz="12" w:space="0"/>
            </w:tcBorders>
            <w:vAlign w:val="top"/>
          </w:tcPr>
          <w:p w14:paraId="239381B2">
            <w:pPr>
              <w:pStyle w:val="6"/>
              <w:spacing w:before="102" w:line="213" w:lineRule="auto"/>
              <w:ind w:left="214"/>
            </w:pPr>
            <w:r>
              <w:rPr>
                <w:spacing w:val="-2"/>
              </w:rPr>
              <w:t>0.06L</w:t>
            </w:r>
          </w:p>
        </w:tc>
      </w:tr>
      <w:tr w14:paraId="68B54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2C68D3E8">
            <w:pPr>
              <w:rPr>
                <w:rFonts w:ascii="Arial"/>
                <w:sz w:val="21"/>
              </w:rPr>
            </w:pPr>
          </w:p>
        </w:tc>
        <w:tc>
          <w:tcPr>
            <w:tcW w:w="422" w:type="dxa"/>
            <w:vMerge w:val="continue"/>
            <w:tcBorders>
              <w:top w:val="nil"/>
              <w:bottom w:val="nil"/>
            </w:tcBorders>
            <w:vAlign w:val="top"/>
          </w:tcPr>
          <w:p w14:paraId="66258DFB">
            <w:pPr>
              <w:rPr>
                <w:rFonts w:ascii="Arial"/>
                <w:sz w:val="21"/>
              </w:rPr>
            </w:pPr>
          </w:p>
        </w:tc>
        <w:tc>
          <w:tcPr>
            <w:tcW w:w="1414" w:type="dxa"/>
            <w:vAlign w:val="top"/>
          </w:tcPr>
          <w:p w14:paraId="2F329661">
            <w:pPr>
              <w:pStyle w:val="6"/>
              <w:spacing w:before="102" w:line="212" w:lineRule="auto"/>
              <w:ind w:left="221"/>
            </w:pPr>
            <w:r>
              <w:rPr>
                <w:spacing w:val="-1"/>
              </w:rPr>
              <w:t>2020/11/16</w:t>
            </w:r>
          </w:p>
        </w:tc>
        <w:tc>
          <w:tcPr>
            <w:tcW w:w="892" w:type="dxa"/>
            <w:vAlign w:val="top"/>
          </w:tcPr>
          <w:p w14:paraId="3DC1F21E">
            <w:pPr>
              <w:pStyle w:val="6"/>
              <w:spacing w:before="102" w:line="212" w:lineRule="auto"/>
              <w:ind w:left="337"/>
            </w:pPr>
            <w:r>
              <w:rPr>
                <w:spacing w:val="-1"/>
              </w:rPr>
              <w:t>21</w:t>
            </w:r>
          </w:p>
        </w:tc>
        <w:tc>
          <w:tcPr>
            <w:tcW w:w="892" w:type="dxa"/>
            <w:vAlign w:val="top"/>
          </w:tcPr>
          <w:p w14:paraId="7BD72519">
            <w:pPr>
              <w:pStyle w:val="6"/>
              <w:spacing w:before="102" w:line="212" w:lineRule="auto"/>
              <w:ind w:left="397"/>
            </w:pPr>
            <w:r>
              <w:t>9</w:t>
            </w:r>
          </w:p>
        </w:tc>
        <w:tc>
          <w:tcPr>
            <w:tcW w:w="892" w:type="dxa"/>
            <w:vAlign w:val="top"/>
          </w:tcPr>
          <w:p w14:paraId="0EAACE01">
            <w:pPr>
              <w:pStyle w:val="6"/>
              <w:spacing w:before="102" w:line="212" w:lineRule="auto"/>
              <w:ind w:left="268"/>
            </w:pPr>
            <w:r>
              <w:rPr>
                <w:spacing w:val="-2"/>
              </w:rPr>
              <w:t>7.54</w:t>
            </w:r>
          </w:p>
        </w:tc>
        <w:tc>
          <w:tcPr>
            <w:tcW w:w="892" w:type="dxa"/>
            <w:vAlign w:val="top"/>
          </w:tcPr>
          <w:p w14:paraId="304CFC0F">
            <w:pPr>
              <w:pStyle w:val="6"/>
              <w:spacing w:before="102" w:line="212" w:lineRule="auto"/>
              <w:ind w:left="271"/>
            </w:pPr>
            <w:r>
              <w:rPr>
                <w:spacing w:val="-2"/>
              </w:rPr>
              <w:t>7.33</w:t>
            </w:r>
          </w:p>
        </w:tc>
        <w:tc>
          <w:tcPr>
            <w:tcW w:w="891" w:type="dxa"/>
            <w:vAlign w:val="top"/>
          </w:tcPr>
          <w:p w14:paraId="0F1DEDA7">
            <w:pPr>
              <w:pStyle w:val="6"/>
              <w:spacing w:before="102" w:line="212" w:lineRule="auto"/>
              <w:ind w:left="274"/>
            </w:pPr>
            <w:r>
              <w:rPr>
                <w:spacing w:val="-2"/>
              </w:rPr>
              <w:t>0.07</w:t>
            </w:r>
          </w:p>
        </w:tc>
        <w:tc>
          <w:tcPr>
            <w:tcW w:w="906" w:type="dxa"/>
            <w:tcBorders>
              <w:right w:val="single" w:color="000000" w:sz="12" w:space="0"/>
            </w:tcBorders>
            <w:vAlign w:val="top"/>
          </w:tcPr>
          <w:p w14:paraId="3092733D">
            <w:pPr>
              <w:pStyle w:val="6"/>
              <w:spacing w:before="102" w:line="212" w:lineRule="auto"/>
              <w:ind w:left="214"/>
            </w:pPr>
            <w:r>
              <w:rPr>
                <w:spacing w:val="-2"/>
              </w:rPr>
              <w:t>0.06L</w:t>
            </w:r>
          </w:p>
        </w:tc>
      </w:tr>
      <w:tr w14:paraId="7D361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tcBorders>
            <w:vAlign w:val="top"/>
          </w:tcPr>
          <w:p w14:paraId="623BC889">
            <w:pPr>
              <w:rPr>
                <w:rFonts w:ascii="Arial"/>
                <w:sz w:val="21"/>
              </w:rPr>
            </w:pPr>
          </w:p>
        </w:tc>
        <w:tc>
          <w:tcPr>
            <w:tcW w:w="422" w:type="dxa"/>
            <w:vMerge w:val="continue"/>
            <w:tcBorders>
              <w:top w:val="nil"/>
            </w:tcBorders>
            <w:vAlign w:val="top"/>
          </w:tcPr>
          <w:p w14:paraId="5F099818">
            <w:pPr>
              <w:rPr>
                <w:rFonts w:ascii="Arial"/>
                <w:sz w:val="21"/>
              </w:rPr>
            </w:pPr>
          </w:p>
        </w:tc>
        <w:tc>
          <w:tcPr>
            <w:tcW w:w="1414" w:type="dxa"/>
            <w:vAlign w:val="top"/>
          </w:tcPr>
          <w:p w14:paraId="6616C135">
            <w:pPr>
              <w:pStyle w:val="6"/>
              <w:spacing w:before="102" w:line="213" w:lineRule="auto"/>
              <w:ind w:left="221"/>
            </w:pPr>
            <w:r>
              <w:rPr>
                <w:spacing w:val="-1"/>
              </w:rPr>
              <w:t>2020/11/17</w:t>
            </w:r>
          </w:p>
        </w:tc>
        <w:tc>
          <w:tcPr>
            <w:tcW w:w="892" w:type="dxa"/>
            <w:vAlign w:val="top"/>
          </w:tcPr>
          <w:p w14:paraId="2827D331">
            <w:pPr>
              <w:pStyle w:val="6"/>
              <w:spacing w:before="102" w:line="213" w:lineRule="auto"/>
              <w:ind w:left="357"/>
            </w:pPr>
            <w:r>
              <w:rPr>
                <w:spacing w:val="-6"/>
              </w:rPr>
              <w:t>16</w:t>
            </w:r>
          </w:p>
        </w:tc>
        <w:tc>
          <w:tcPr>
            <w:tcW w:w="892" w:type="dxa"/>
            <w:vAlign w:val="top"/>
          </w:tcPr>
          <w:p w14:paraId="74834901">
            <w:pPr>
              <w:pStyle w:val="6"/>
              <w:spacing w:before="102" w:line="213" w:lineRule="auto"/>
              <w:ind w:left="402"/>
            </w:pPr>
            <w:r>
              <w:t>8</w:t>
            </w:r>
          </w:p>
        </w:tc>
        <w:tc>
          <w:tcPr>
            <w:tcW w:w="892" w:type="dxa"/>
            <w:vAlign w:val="top"/>
          </w:tcPr>
          <w:p w14:paraId="4939C9E2">
            <w:pPr>
              <w:pStyle w:val="6"/>
              <w:spacing w:before="102" w:line="213" w:lineRule="auto"/>
              <w:ind w:left="268"/>
            </w:pPr>
            <w:r>
              <w:rPr>
                <w:spacing w:val="-2"/>
              </w:rPr>
              <w:t>7.47</w:t>
            </w:r>
          </w:p>
        </w:tc>
        <w:tc>
          <w:tcPr>
            <w:tcW w:w="892" w:type="dxa"/>
            <w:vAlign w:val="top"/>
          </w:tcPr>
          <w:p w14:paraId="57C9128F">
            <w:pPr>
              <w:pStyle w:val="6"/>
              <w:spacing w:before="102" w:line="213" w:lineRule="auto"/>
              <w:ind w:left="271"/>
            </w:pPr>
            <w:r>
              <w:rPr>
                <w:spacing w:val="-2"/>
              </w:rPr>
              <w:t>7.49</w:t>
            </w:r>
          </w:p>
        </w:tc>
        <w:tc>
          <w:tcPr>
            <w:tcW w:w="891" w:type="dxa"/>
            <w:vAlign w:val="top"/>
          </w:tcPr>
          <w:p w14:paraId="474A22A8">
            <w:pPr>
              <w:pStyle w:val="6"/>
              <w:spacing w:before="102" w:line="213" w:lineRule="auto"/>
              <w:ind w:left="274"/>
            </w:pPr>
            <w:r>
              <w:rPr>
                <w:spacing w:val="-2"/>
              </w:rPr>
              <w:t>0.07</w:t>
            </w:r>
          </w:p>
        </w:tc>
        <w:tc>
          <w:tcPr>
            <w:tcW w:w="906" w:type="dxa"/>
            <w:tcBorders>
              <w:right w:val="single" w:color="000000" w:sz="12" w:space="0"/>
            </w:tcBorders>
            <w:vAlign w:val="top"/>
          </w:tcPr>
          <w:p w14:paraId="44F40AE5">
            <w:pPr>
              <w:pStyle w:val="6"/>
              <w:spacing w:before="102" w:line="213" w:lineRule="auto"/>
              <w:ind w:left="214"/>
            </w:pPr>
            <w:r>
              <w:rPr>
                <w:spacing w:val="-2"/>
              </w:rPr>
              <w:t>0.06L</w:t>
            </w:r>
          </w:p>
        </w:tc>
      </w:tr>
      <w:tr w14:paraId="5881A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5D524B8D">
            <w:pPr>
              <w:spacing w:line="243" w:lineRule="auto"/>
              <w:rPr>
                <w:rFonts w:ascii="Arial"/>
                <w:sz w:val="21"/>
              </w:rPr>
            </w:pPr>
          </w:p>
          <w:p w14:paraId="0DD90589">
            <w:pPr>
              <w:spacing w:line="243" w:lineRule="auto"/>
              <w:rPr>
                <w:rFonts w:ascii="Arial"/>
                <w:sz w:val="21"/>
              </w:rPr>
            </w:pPr>
          </w:p>
          <w:p w14:paraId="6D30D4E5">
            <w:pPr>
              <w:spacing w:line="243" w:lineRule="auto"/>
              <w:rPr>
                <w:rFonts w:ascii="Arial"/>
                <w:sz w:val="21"/>
              </w:rPr>
            </w:pPr>
          </w:p>
          <w:p w14:paraId="75223192">
            <w:pPr>
              <w:spacing w:line="244" w:lineRule="auto"/>
              <w:rPr>
                <w:rFonts w:ascii="Arial"/>
                <w:sz w:val="21"/>
              </w:rPr>
            </w:pPr>
          </w:p>
          <w:p w14:paraId="24A69038">
            <w:pPr>
              <w:spacing w:line="244" w:lineRule="auto"/>
              <w:rPr>
                <w:rFonts w:ascii="Arial"/>
                <w:sz w:val="21"/>
              </w:rPr>
            </w:pPr>
          </w:p>
          <w:p w14:paraId="286AFA3B">
            <w:pPr>
              <w:spacing w:line="244" w:lineRule="auto"/>
              <w:rPr>
                <w:rFonts w:ascii="Arial"/>
                <w:sz w:val="21"/>
              </w:rPr>
            </w:pPr>
          </w:p>
          <w:p w14:paraId="234E6850">
            <w:pPr>
              <w:spacing w:line="244" w:lineRule="auto"/>
              <w:rPr>
                <w:rFonts w:ascii="Arial"/>
                <w:sz w:val="21"/>
              </w:rPr>
            </w:pPr>
          </w:p>
          <w:p w14:paraId="6869D793">
            <w:pPr>
              <w:pStyle w:val="6"/>
              <w:spacing w:before="68" w:line="235" w:lineRule="auto"/>
              <w:ind w:left="101" w:right="110" w:firstLine="66"/>
              <w:rPr>
                <w:rFonts w:ascii="宋体" w:hAnsi="宋体" w:eastAsia="宋体" w:cs="宋体"/>
              </w:rPr>
            </w:pPr>
            <w:r>
              <w:rPr>
                <w:spacing w:val="-4"/>
              </w:rPr>
              <w:t>11#</w:t>
            </w:r>
            <w:r>
              <w:rPr>
                <w:rFonts w:ascii="宋体" w:hAnsi="宋体" w:eastAsia="宋体" w:cs="宋体"/>
                <w:spacing w:val="-4"/>
              </w:rPr>
              <w:t>隧洞排</w:t>
            </w:r>
            <w:r>
              <w:rPr>
                <w:rFonts w:ascii="宋体" w:hAnsi="宋体" w:eastAsia="宋体" w:cs="宋体"/>
                <w:spacing w:val="-3"/>
              </w:rPr>
              <w:t>水处理系统</w:t>
            </w:r>
          </w:p>
        </w:tc>
        <w:tc>
          <w:tcPr>
            <w:tcW w:w="422" w:type="dxa"/>
            <w:vMerge w:val="restart"/>
            <w:tcBorders>
              <w:bottom w:val="nil"/>
            </w:tcBorders>
            <w:vAlign w:val="top"/>
          </w:tcPr>
          <w:p w14:paraId="0EB0228D">
            <w:pPr>
              <w:pStyle w:val="6"/>
              <w:spacing w:before="166" w:line="222" w:lineRule="auto"/>
              <w:ind w:left="167"/>
            </w:pPr>
            <w:r>
              <w:t>1</w:t>
            </w:r>
          </w:p>
          <w:p w14:paraId="1C05489F">
            <w:pPr>
              <w:spacing w:line="219" w:lineRule="auto"/>
              <w:ind w:left="99"/>
              <w:rPr>
                <w:rFonts w:ascii="宋体" w:hAnsi="宋体" w:eastAsia="宋体" w:cs="宋体"/>
                <w:sz w:val="21"/>
                <w:szCs w:val="21"/>
              </w:rPr>
            </w:pPr>
            <w:r>
              <w:rPr>
                <w:rFonts w:ascii="宋体" w:hAnsi="宋体" w:eastAsia="宋体" w:cs="宋体"/>
                <w:sz w:val="21"/>
                <w:szCs w:val="21"/>
              </w:rPr>
              <w:t>季</w:t>
            </w:r>
          </w:p>
          <w:p w14:paraId="70E6CD99">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A7118F0">
            <w:pPr>
              <w:pStyle w:val="6"/>
              <w:spacing w:before="101" w:line="212" w:lineRule="auto"/>
              <w:ind w:left="274"/>
            </w:pPr>
            <w:r>
              <w:rPr>
                <w:spacing w:val="-1"/>
              </w:rPr>
              <w:t>2020/3/10</w:t>
            </w:r>
          </w:p>
        </w:tc>
        <w:tc>
          <w:tcPr>
            <w:tcW w:w="892" w:type="dxa"/>
            <w:vAlign w:val="top"/>
          </w:tcPr>
          <w:p w14:paraId="360FAA60">
            <w:pPr>
              <w:pStyle w:val="6"/>
              <w:spacing w:before="101" w:line="212" w:lineRule="auto"/>
              <w:ind w:left="357"/>
            </w:pPr>
            <w:r>
              <w:rPr>
                <w:spacing w:val="-6"/>
              </w:rPr>
              <w:t>13</w:t>
            </w:r>
          </w:p>
        </w:tc>
        <w:tc>
          <w:tcPr>
            <w:tcW w:w="892" w:type="dxa"/>
            <w:vAlign w:val="top"/>
          </w:tcPr>
          <w:p w14:paraId="24A1D975">
            <w:pPr>
              <w:pStyle w:val="6"/>
              <w:spacing w:before="101" w:line="212" w:lineRule="auto"/>
              <w:ind w:left="360"/>
            </w:pPr>
            <w:r>
              <w:rPr>
                <w:spacing w:val="-6"/>
              </w:rPr>
              <w:t>13</w:t>
            </w:r>
          </w:p>
        </w:tc>
        <w:tc>
          <w:tcPr>
            <w:tcW w:w="892" w:type="dxa"/>
            <w:vAlign w:val="top"/>
          </w:tcPr>
          <w:p w14:paraId="57DBC023">
            <w:pPr>
              <w:pStyle w:val="6"/>
              <w:spacing w:before="101" w:line="212" w:lineRule="auto"/>
              <w:ind w:left="268"/>
            </w:pPr>
            <w:r>
              <w:rPr>
                <w:spacing w:val="-2"/>
              </w:rPr>
              <w:t>7.31</w:t>
            </w:r>
          </w:p>
        </w:tc>
        <w:tc>
          <w:tcPr>
            <w:tcW w:w="892" w:type="dxa"/>
            <w:vAlign w:val="top"/>
          </w:tcPr>
          <w:p w14:paraId="05213BB4">
            <w:pPr>
              <w:pStyle w:val="6"/>
              <w:spacing w:before="101" w:line="212" w:lineRule="auto"/>
              <w:ind w:left="271"/>
            </w:pPr>
            <w:r>
              <w:rPr>
                <w:spacing w:val="-2"/>
              </w:rPr>
              <w:t>7.31</w:t>
            </w:r>
          </w:p>
        </w:tc>
        <w:tc>
          <w:tcPr>
            <w:tcW w:w="891" w:type="dxa"/>
            <w:vAlign w:val="top"/>
          </w:tcPr>
          <w:p w14:paraId="4E10F47E">
            <w:pPr>
              <w:pStyle w:val="6"/>
              <w:spacing w:before="101" w:line="212" w:lineRule="auto"/>
              <w:ind w:left="274"/>
            </w:pPr>
            <w:r>
              <w:rPr>
                <w:spacing w:val="-2"/>
              </w:rPr>
              <w:t>0.10</w:t>
            </w:r>
          </w:p>
        </w:tc>
        <w:tc>
          <w:tcPr>
            <w:tcW w:w="906" w:type="dxa"/>
            <w:tcBorders>
              <w:right w:val="single" w:color="000000" w:sz="12" w:space="0"/>
            </w:tcBorders>
            <w:vAlign w:val="top"/>
          </w:tcPr>
          <w:p w14:paraId="77EFBD01">
            <w:pPr>
              <w:pStyle w:val="6"/>
              <w:spacing w:before="101" w:line="212" w:lineRule="auto"/>
              <w:ind w:left="277"/>
            </w:pPr>
            <w:r>
              <w:rPr>
                <w:spacing w:val="-2"/>
              </w:rPr>
              <w:t>0.10</w:t>
            </w:r>
          </w:p>
        </w:tc>
      </w:tr>
      <w:tr w14:paraId="2BAFC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9EC8CB4">
            <w:pPr>
              <w:rPr>
                <w:rFonts w:ascii="Arial"/>
                <w:sz w:val="21"/>
              </w:rPr>
            </w:pPr>
          </w:p>
        </w:tc>
        <w:tc>
          <w:tcPr>
            <w:tcW w:w="422" w:type="dxa"/>
            <w:vMerge w:val="continue"/>
            <w:tcBorders>
              <w:top w:val="nil"/>
              <w:bottom w:val="nil"/>
            </w:tcBorders>
            <w:vAlign w:val="top"/>
          </w:tcPr>
          <w:p w14:paraId="34E6EB09">
            <w:pPr>
              <w:rPr>
                <w:rFonts w:ascii="Arial"/>
                <w:sz w:val="21"/>
              </w:rPr>
            </w:pPr>
          </w:p>
        </w:tc>
        <w:tc>
          <w:tcPr>
            <w:tcW w:w="1414" w:type="dxa"/>
            <w:vAlign w:val="top"/>
          </w:tcPr>
          <w:p w14:paraId="4DFCCB5D">
            <w:pPr>
              <w:pStyle w:val="6"/>
              <w:spacing w:before="104" w:line="209" w:lineRule="auto"/>
              <w:ind w:left="274"/>
            </w:pPr>
            <w:r>
              <w:rPr>
                <w:spacing w:val="-1"/>
              </w:rPr>
              <w:t>2020/3/11</w:t>
            </w:r>
          </w:p>
        </w:tc>
        <w:tc>
          <w:tcPr>
            <w:tcW w:w="892" w:type="dxa"/>
            <w:vAlign w:val="top"/>
          </w:tcPr>
          <w:p w14:paraId="24632087">
            <w:pPr>
              <w:pStyle w:val="6"/>
              <w:spacing w:before="104" w:line="209" w:lineRule="auto"/>
              <w:ind w:left="357"/>
            </w:pPr>
            <w:r>
              <w:rPr>
                <w:spacing w:val="-6"/>
              </w:rPr>
              <w:t>17</w:t>
            </w:r>
          </w:p>
        </w:tc>
        <w:tc>
          <w:tcPr>
            <w:tcW w:w="892" w:type="dxa"/>
            <w:vAlign w:val="top"/>
          </w:tcPr>
          <w:p w14:paraId="55171FF1">
            <w:pPr>
              <w:pStyle w:val="6"/>
              <w:spacing w:before="104" w:line="209" w:lineRule="auto"/>
              <w:ind w:left="360"/>
            </w:pPr>
            <w:r>
              <w:rPr>
                <w:spacing w:val="-6"/>
              </w:rPr>
              <w:t>17</w:t>
            </w:r>
          </w:p>
        </w:tc>
        <w:tc>
          <w:tcPr>
            <w:tcW w:w="892" w:type="dxa"/>
            <w:vAlign w:val="top"/>
          </w:tcPr>
          <w:p w14:paraId="33B5A6F6">
            <w:pPr>
              <w:pStyle w:val="6"/>
              <w:spacing w:before="104" w:line="209" w:lineRule="auto"/>
              <w:ind w:left="268"/>
            </w:pPr>
            <w:r>
              <w:rPr>
                <w:spacing w:val="-2"/>
              </w:rPr>
              <w:t>7.34</w:t>
            </w:r>
          </w:p>
        </w:tc>
        <w:tc>
          <w:tcPr>
            <w:tcW w:w="892" w:type="dxa"/>
            <w:vAlign w:val="top"/>
          </w:tcPr>
          <w:p w14:paraId="09C9600B">
            <w:pPr>
              <w:pStyle w:val="6"/>
              <w:spacing w:before="104" w:line="209" w:lineRule="auto"/>
              <w:ind w:left="271"/>
            </w:pPr>
            <w:r>
              <w:rPr>
                <w:spacing w:val="-2"/>
              </w:rPr>
              <w:t>7.34</w:t>
            </w:r>
          </w:p>
        </w:tc>
        <w:tc>
          <w:tcPr>
            <w:tcW w:w="891" w:type="dxa"/>
            <w:vAlign w:val="top"/>
          </w:tcPr>
          <w:p w14:paraId="067BE555">
            <w:pPr>
              <w:pStyle w:val="6"/>
              <w:spacing w:before="104" w:line="209" w:lineRule="auto"/>
              <w:ind w:left="274"/>
            </w:pPr>
            <w:r>
              <w:rPr>
                <w:spacing w:val="-2"/>
              </w:rPr>
              <w:t>0.11</w:t>
            </w:r>
          </w:p>
        </w:tc>
        <w:tc>
          <w:tcPr>
            <w:tcW w:w="906" w:type="dxa"/>
            <w:tcBorders>
              <w:right w:val="single" w:color="000000" w:sz="12" w:space="0"/>
            </w:tcBorders>
            <w:vAlign w:val="top"/>
          </w:tcPr>
          <w:p w14:paraId="631CF1A9">
            <w:pPr>
              <w:pStyle w:val="6"/>
              <w:spacing w:before="104" w:line="209" w:lineRule="auto"/>
              <w:ind w:left="277"/>
            </w:pPr>
            <w:r>
              <w:rPr>
                <w:spacing w:val="-2"/>
              </w:rPr>
              <w:t>0.11</w:t>
            </w:r>
          </w:p>
        </w:tc>
      </w:tr>
      <w:tr w14:paraId="4CDCC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5C5DE8EF">
            <w:pPr>
              <w:rPr>
                <w:rFonts w:ascii="Arial"/>
                <w:sz w:val="21"/>
              </w:rPr>
            </w:pPr>
          </w:p>
        </w:tc>
        <w:tc>
          <w:tcPr>
            <w:tcW w:w="422" w:type="dxa"/>
            <w:vMerge w:val="continue"/>
            <w:tcBorders>
              <w:top w:val="nil"/>
            </w:tcBorders>
            <w:vAlign w:val="top"/>
          </w:tcPr>
          <w:p w14:paraId="5810397A">
            <w:pPr>
              <w:rPr>
                <w:rFonts w:ascii="Arial"/>
                <w:sz w:val="21"/>
              </w:rPr>
            </w:pPr>
          </w:p>
        </w:tc>
        <w:tc>
          <w:tcPr>
            <w:tcW w:w="1414" w:type="dxa"/>
            <w:vAlign w:val="top"/>
          </w:tcPr>
          <w:p w14:paraId="673B3BA8">
            <w:pPr>
              <w:pStyle w:val="6"/>
              <w:spacing w:before="105" w:line="210" w:lineRule="auto"/>
              <w:ind w:left="274"/>
            </w:pPr>
            <w:r>
              <w:rPr>
                <w:spacing w:val="-1"/>
              </w:rPr>
              <w:t>2020/3/12</w:t>
            </w:r>
          </w:p>
        </w:tc>
        <w:tc>
          <w:tcPr>
            <w:tcW w:w="892" w:type="dxa"/>
            <w:vAlign w:val="top"/>
          </w:tcPr>
          <w:p w14:paraId="0158978D">
            <w:pPr>
              <w:pStyle w:val="6"/>
              <w:spacing w:before="105" w:line="210" w:lineRule="auto"/>
              <w:ind w:left="357"/>
            </w:pPr>
            <w:r>
              <w:rPr>
                <w:spacing w:val="-6"/>
              </w:rPr>
              <w:t>15</w:t>
            </w:r>
          </w:p>
        </w:tc>
        <w:tc>
          <w:tcPr>
            <w:tcW w:w="892" w:type="dxa"/>
            <w:vAlign w:val="top"/>
          </w:tcPr>
          <w:p w14:paraId="3C27068C">
            <w:pPr>
              <w:pStyle w:val="6"/>
              <w:spacing w:before="105" w:line="210" w:lineRule="auto"/>
              <w:ind w:left="360"/>
            </w:pPr>
            <w:r>
              <w:rPr>
                <w:spacing w:val="-6"/>
              </w:rPr>
              <w:t>15</w:t>
            </w:r>
          </w:p>
        </w:tc>
        <w:tc>
          <w:tcPr>
            <w:tcW w:w="892" w:type="dxa"/>
            <w:vAlign w:val="top"/>
          </w:tcPr>
          <w:p w14:paraId="61827AC7">
            <w:pPr>
              <w:pStyle w:val="6"/>
              <w:spacing w:before="105" w:line="210" w:lineRule="auto"/>
              <w:ind w:left="268"/>
            </w:pPr>
            <w:r>
              <w:rPr>
                <w:spacing w:val="-2"/>
              </w:rPr>
              <w:t>7.36</w:t>
            </w:r>
          </w:p>
        </w:tc>
        <w:tc>
          <w:tcPr>
            <w:tcW w:w="892" w:type="dxa"/>
            <w:vAlign w:val="top"/>
          </w:tcPr>
          <w:p w14:paraId="3A4F9579">
            <w:pPr>
              <w:pStyle w:val="6"/>
              <w:spacing w:before="105" w:line="210" w:lineRule="auto"/>
              <w:ind w:left="271"/>
            </w:pPr>
            <w:r>
              <w:rPr>
                <w:spacing w:val="-2"/>
              </w:rPr>
              <w:t>7.36</w:t>
            </w:r>
          </w:p>
        </w:tc>
        <w:tc>
          <w:tcPr>
            <w:tcW w:w="891" w:type="dxa"/>
            <w:vAlign w:val="top"/>
          </w:tcPr>
          <w:p w14:paraId="12813364">
            <w:pPr>
              <w:pStyle w:val="6"/>
              <w:spacing w:before="105" w:line="210" w:lineRule="auto"/>
              <w:ind w:left="274"/>
            </w:pPr>
            <w:r>
              <w:rPr>
                <w:spacing w:val="-2"/>
              </w:rPr>
              <w:t>0.13</w:t>
            </w:r>
          </w:p>
        </w:tc>
        <w:tc>
          <w:tcPr>
            <w:tcW w:w="906" w:type="dxa"/>
            <w:tcBorders>
              <w:right w:val="single" w:color="000000" w:sz="12" w:space="0"/>
            </w:tcBorders>
            <w:vAlign w:val="top"/>
          </w:tcPr>
          <w:p w14:paraId="19C2A70E">
            <w:pPr>
              <w:pStyle w:val="6"/>
              <w:spacing w:before="105" w:line="210" w:lineRule="auto"/>
              <w:ind w:left="277"/>
            </w:pPr>
            <w:r>
              <w:rPr>
                <w:spacing w:val="-2"/>
              </w:rPr>
              <w:t>0.13</w:t>
            </w:r>
          </w:p>
        </w:tc>
      </w:tr>
      <w:tr w14:paraId="40639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40979D5">
            <w:pPr>
              <w:rPr>
                <w:rFonts w:ascii="Arial"/>
                <w:sz w:val="21"/>
              </w:rPr>
            </w:pPr>
          </w:p>
        </w:tc>
        <w:tc>
          <w:tcPr>
            <w:tcW w:w="422" w:type="dxa"/>
            <w:vMerge w:val="restart"/>
            <w:tcBorders>
              <w:bottom w:val="nil"/>
            </w:tcBorders>
            <w:vAlign w:val="top"/>
          </w:tcPr>
          <w:p w14:paraId="4FBD7E51">
            <w:pPr>
              <w:pStyle w:val="6"/>
              <w:spacing w:before="168" w:line="222" w:lineRule="auto"/>
              <w:ind w:left="147"/>
            </w:pPr>
            <w:r>
              <w:t>2</w:t>
            </w:r>
          </w:p>
          <w:p w14:paraId="77E0E91A">
            <w:pPr>
              <w:spacing w:line="219" w:lineRule="auto"/>
              <w:ind w:left="99"/>
              <w:rPr>
                <w:rFonts w:ascii="宋体" w:hAnsi="宋体" w:eastAsia="宋体" w:cs="宋体"/>
                <w:sz w:val="21"/>
                <w:szCs w:val="21"/>
              </w:rPr>
            </w:pPr>
            <w:r>
              <w:rPr>
                <w:rFonts w:ascii="宋体" w:hAnsi="宋体" w:eastAsia="宋体" w:cs="宋体"/>
                <w:sz w:val="21"/>
                <w:szCs w:val="21"/>
              </w:rPr>
              <w:t>季</w:t>
            </w:r>
          </w:p>
          <w:p w14:paraId="3BE173E5">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86D34D1">
            <w:pPr>
              <w:pStyle w:val="6"/>
              <w:spacing w:before="105" w:line="208" w:lineRule="auto"/>
              <w:ind w:left="274"/>
            </w:pPr>
            <w:r>
              <w:rPr>
                <w:spacing w:val="-1"/>
              </w:rPr>
              <w:t>2020/5/20</w:t>
            </w:r>
          </w:p>
        </w:tc>
        <w:tc>
          <w:tcPr>
            <w:tcW w:w="892" w:type="dxa"/>
            <w:vAlign w:val="top"/>
          </w:tcPr>
          <w:p w14:paraId="3C23240F">
            <w:pPr>
              <w:pStyle w:val="6"/>
              <w:spacing w:before="105" w:line="208" w:lineRule="auto"/>
              <w:ind w:left="336"/>
            </w:pPr>
            <w:r>
              <w:rPr>
                <w:spacing w:val="-1"/>
              </w:rPr>
              <w:t>45</w:t>
            </w:r>
          </w:p>
        </w:tc>
        <w:tc>
          <w:tcPr>
            <w:tcW w:w="892" w:type="dxa"/>
            <w:vAlign w:val="top"/>
          </w:tcPr>
          <w:p w14:paraId="5F220E0A">
            <w:pPr>
              <w:pStyle w:val="6"/>
              <w:spacing w:before="109" w:line="186" w:lineRule="auto"/>
              <w:ind w:left="327"/>
            </w:pPr>
            <w:r>
              <w:rPr>
                <w:spacing w:val="-1"/>
              </w:rPr>
              <w:t>4L</w:t>
            </w:r>
          </w:p>
        </w:tc>
        <w:tc>
          <w:tcPr>
            <w:tcW w:w="892" w:type="dxa"/>
            <w:vAlign w:val="top"/>
          </w:tcPr>
          <w:p w14:paraId="7DB0D1FC">
            <w:pPr>
              <w:pStyle w:val="6"/>
              <w:spacing w:before="105" w:line="208" w:lineRule="auto"/>
              <w:ind w:left="273"/>
            </w:pPr>
            <w:r>
              <w:rPr>
                <w:spacing w:val="-4"/>
              </w:rPr>
              <w:t>8.16</w:t>
            </w:r>
          </w:p>
        </w:tc>
        <w:tc>
          <w:tcPr>
            <w:tcW w:w="892" w:type="dxa"/>
            <w:vAlign w:val="top"/>
          </w:tcPr>
          <w:p w14:paraId="761EED64">
            <w:pPr>
              <w:pStyle w:val="6"/>
              <w:spacing w:before="105" w:line="208" w:lineRule="auto"/>
              <w:ind w:left="276"/>
            </w:pPr>
            <w:r>
              <w:rPr>
                <w:spacing w:val="-4"/>
              </w:rPr>
              <w:t>8.28</w:t>
            </w:r>
          </w:p>
        </w:tc>
        <w:tc>
          <w:tcPr>
            <w:tcW w:w="891" w:type="dxa"/>
            <w:vAlign w:val="top"/>
          </w:tcPr>
          <w:p w14:paraId="61C3FEE6">
            <w:pPr>
              <w:pStyle w:val="6"/>
              <w:spacing w:before="105" w:line="208" w:lineRule="auto"/>
              <w:ind w:left="271"/>
            </w:pPr>
            <w:r>
              <w:rPr>
                <w:spacing w:val="-1"/>
              </w:rPr>
              <w:t>2.17</w:t>
            </w:r>
          </w:p>
        </w:tc>
        <w:tc>
          <w:tcPr>
            <w:tcW w:w="906" w:type="dxa"/>
            <w:tcBorders>
              <w:right w:val="single" w:color="000000" w:sz="12" w:space="0"/>
            </w:tcBorders>
            <w:vAlign w:val="top"/>
          </w:tcPr>
          <w:p w14:paraId="496B0E20">
            <w:pPr>
              <w:pStyle w:val="6"/>
              <w:spacing w:before="105" w:line="208" w:lineRule="auto"/>
              <w:ind w:left="277"/>
            </w:pPr>
            <w:r>
              <w:rPr>
                <w:spacing w:val="-2"/>
              </w:rPr>
              <w:t>0.14</w:t>
            </w:r>
          </w:p>
        </w:tc>
      </w:tr>
      <w:tr w14:paraId="3B2A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3C6E95D1">
            <w:pPr>
              <w:rPr>
                <w:rFonts w:ascii="Arial"/>
                <w:sz w:val="21"/>
              </w:rPr>
            </w:pPr>
          </w:p>
        </w:tc>
        <w:tc>
          <w:tcPr>
            <w:tcW w:w="422" w:type="dxa"/>
            <w:vMerge w:val="continue"/>
            <w:tcBorders>
              <w:top w:val="nil"/>
              <w:bottom w:val="nil"/>
            </w:tcBorders>
            <w:vAlign w:val="top"/>
          </w:tcPr>
          <w:p w14:paraId="7A36E80D">
            <w:pPr>
              <w:rPr>
                <w:rFonts w:ascii="Arial"/>
                <w:sz w:val="21"/>
              </w:rPr>
            </w:pPr>
          </w:p>
        </w:tc>
        <w:tc>
          <w:tcPr>
            <w:tcW w:w="1414" w:type="dxa"/>
            <w:vAlign w:val="top"/>
          </w:tcPr>
          <w:p w14:paraId="0B632CF1">
            <w:pPr>
              <w:pStyle w:val="6"/>
              <w:spacing w:before="106" w:line="209" w:lineRule="auto"/>
              <w:ind w:left="274"/>
            </w:pPr>
            <w:r>
              <w:rPr>
                <w:spacing w:val="-1"/>
              </w:rPr>
              <w:t>2020/5/21</w:t>
            </w:r>
          </w:p>
        </w:tc>
        <w:tc>
          <w:tcPr>
            <w:tcW w:w="892" w:type="dxa"/>
            <w:vAlign w:val="top"/>
          </w:tcPr>
          <w:p w14:paraId="2213E31B">
            <w:pPr>
              <w:pStyle w:val="6"/>
              <w:spacing w:before="106" w:line="209" w:lineRule="auto"/>
              <w:ind w:left="343"/>
            </w:pPr>
            <w:r>
              <w:rPr>
                <w:spacing w:val="-3"/>
              </w:rPr>
              <w:t>51</w:t>
            </w:r>
          </w:p>
        </w:tc>
        <w:tc>
          <w:tcPr>
            <w:tcW w:w="892" w:type="dxa"/>
            <w:vAlign w:val="top"/>
          </w:tcPr>
          <w:p w14:paraId="599B7B97">
            <w:pPr>
              <w:pStyle w:val="6"/>
              <w:spacing w:before="110" w:line="186" w:lineRule="auto"/>
              <w:ind w:left="327"/>
            </w:pPr>
            <w:r>
              <w:rPr>
                <w:spacing w:val="-1"/>
              </w:rPr>
              <w:t>4L</w:t>
            </w:r>
          </w:p>
        </w:tc>
        <w:tc>
          <w:tcPr>
            <w:tcW w:w="892" w:type="dxa"/>
            <w:vAlign w:val="top"/>
          </w:tcPr>
          <w:p w14:paraId="6C4900BD">
            <w:pPr>
              <w:pStyle w:val="6"/>
              <w:spacing w:before="106" w:line="209" w:lineRule="auto"/>
              <w:ind w:left="273"/>
            </w:pPr>
            <w:r>
              <w:rPr>
                <w:spacing w:val="-4"/>
              </w:rPr>
              <w:t>8.12</w:t>
            </w:r>
          </w:p>
        </w:tc>
        <w:tc>
          <w:tcPr>
            <w:tcW w:w="892" w:type="dxa"/>
            <w:vAlign w:val="top"/>
          </w:tcPr>
          <w:p w14:paraId="0C481BC7">
            <w:pPr>
              <w:pStyle w:val="6"/>
              <w:spacing w:before="106" w:line="209" w:lineRule="auto"/>
              <w:ind w:left="276"/>
            </w:pPr>
            <w:r>
              <w:rPr>
                <w:spacing w:val="-4"/>
              </w:rPr>
              <w:t>8.33</w:t>
            </w:r>
          </w:p>
        </w:tc>
        <w:tc>
          <w:tcPr>
            <w:tcW w:w="891" w:type="dxa"/>
            <w:vAlign w:val="top"/>
          </w:tcPr>
          <w:p w14:paraId="3A0A3378">
            <w:pPr>
              <w:pStyle w:val="6"/>
              <w:spacing w:before="106" w:line="209" w:lineRule="auto"/>
              <w:ind w:left="291"/>
            </w:pPr>
            <w:r>
              <w:rPr>
                <w:spacing w:val="-6"/>
              </w:rPr>
              <w:t>1.96</w:t>
            </w:r>
          </w:p>
        </w:tc>
        <w:tc>
          <w:tcPr>
            <w:tcW w:w="906" w:type="dxa"/>
            <w:tcBorders>
              <w:right w:val="single" w:color="000000" w:sz="12" w:space="0"/>
            </w:tcBorders>
            <w:vAlign w:val="top"/>
          </w:tcPr>
          <w:p w14:paraId="322A5BE8">
            <w:pPr>
              <w:pStyle w:val="6"/>
              <w:spacing w:before="106" w:line="209" w:lineRule="auto"/>
              <w:ind w:left="277"/>
            </w:pPr>
            <w:r>
              <w:rPr>
                <w:spacing w:val="-2"/>
              </w:rPr>
              <w:t>0.12</w:t>
            </w:r>
          </w:p>
        </w:tc>
      </w:tr>
      <w:tr w14:paraId="1208E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773F0C3">
            <w:pPr>
              <w:rPr>
                <w:rFonts w:ascii="Arial"/>
                <w:sz w:val="21"/>
              </w:rPr>
            </w:pPr>
          </w:p>
        </w:tc>
        <w:tc>
          <w:tcPr>
            <w:tcW w:w="422" w:type="dxa"/>
            <w:vMerge w:val="continue"/>
            <w:tcBorders>
              <w:top w:val="nil"/>
            </w:tcBorders>
            <w:vAlign w:val="top"/>
          </w:tcPr>
          <w:p w14:paraId="1F874FCE">
            <w:pPr>
              <w:rPr>
                <w:rFonts w:ascii="Arial"/>
                <w:sz w:val="21"/>
              </w:rPr>
            </w:pPr>
          </w:p>
        </w:tc>
        <w:tc>
          <w:tcPr>
            <w:tcW w:w="1414" w:type="dxa"/>
            <w:vAlign w:val="top"/>
          </w:tcPr>
          <w:p w14:paraId="3A5651C3">
            <w:pPr>
              <w:pStyle w:val="6"/>
              <w:spacing w:before="105" w:line="208" w:lineRule="auto"/>
              <w:ind w:left="274"/>
            </w:pPr>
            <w:r>
              <w:rPr>
                <w:spacing w:val="-1"/>
              </w:rPr>
              <w:t>2020/5/22</w:t>
            </w:r>
          </w:p>
        </w:tc>
        <w:tc>
          <w:tcPr>
            <w:tcW w:w="892" w:type="dxa"/>
            <w:vAlign w:val="top"/>
          </w:tcPr>
          <w:p w14:paraId="1B78AA17">
            <w:pPr>
              <w:pStyle w:val="6"/>
              <w:spacing w:before="105" w:line="208" w:lineRule="auto"/>
              <w:ind w:left="336"/>
            </w:pPr>
            <w:r>
              <w:rPr>
                <w:spacing w:val="-1"/>
              </w:rPr>
              <w:t>48</w:t>
            </w:r>
          </w:p>
        </w:tc>
        <w:tc>
          <w:tcPr>
            <w:tcW w:w="892" w:type="dxa"/>
            <w:vAlign w:val="top"/>
          </w:tcPr>
          <w:p w14:paraId="220CD0DC">
            <w:pPr>
              <w:pStyle w:val="6"/>
              <w:spacing w:before="109" w:line="186" w:lineRule="auto"/>
              <w:ind w:left="327"/>
            </w:pPr>
            <w:r>
              <w:rPr>
                <w:spacing w:val="-1"/>
              </w:rPr>
              <w:t>4L</w:t>
            </w:r>
          </w:p>
        </w:tc>
        <w:tc>
          <w:tcPr>
            <w:tcW w:w="892" w:type="dxa"/>
            <w:vAlign w:val="top"/>
          </w:tcPr>
          <w:p w14:paraId="5127943E">
            <w:pPr>
              <w:pStyle w:val="6"/>
              <w:spacing w:before="105" w:line="208" w:lineRule="auto"/>
              <w:ind w:left="273"/>
            </w:pPr>
            <w:r>
              <w:rPr>
                <w:spacing w:val="-4"/>
              </w:rPr>
              <w:t>8.19</w:t>
            </w:r>
          </w:p>
        </w:tc>
        <w:tc>
          <w:tcPr>
            <w:tcW w:w="892" w:type="dxa"/>
            <w:vAlign w:val="top"/>
          </w:tcPr>
          <w:p w14:paraId="34D1C7E7">
            <w:pPr>
              <w:pStyle w:val="6"/>
              <w:spacing w:before="105" w:line="208" w:lineRule="auto"/>
              <w:ind w:left="276"/>
            </w:pPr>
            <w:r>
              <w:rPr>
                <w:spacing w:val="-4"/>
              </w:rPr>
              <w:t>8.21</w:t>
            </w:r>
          </w:p>
        </w:tc>
        <w:tc>
          <w:tcPr>
            <w:tcW w:w="891" w:type="dxa"/>
            <w:vAlign w:val="top"/>
          </w:tcPr>
          <w:p w14:paraId="5CF779FF">
            <w:pPr>
              <w:pStyle w:val="6"/>
              <w:spacing w:before="105" w:line="208" w:lineRule="auto"/>
              <w:ind w:left="271"/>
            </w:pPr>
            <w:r>
              <w:rPr>
                <w:spacing w:val="-1"/>
              </w:rPr>
              <w:t>2.07</w:t>
            </w:r>
          </w:p>
        </w:tc>
        <w:tc>
          <w:tcPr>
            <w:tcW w:w="906" w:type="dxa"/>
            <w:tcBorders>
              <w:right w:val="single" w:color="000000" w:sz="12" w:space="0"/>
            </w:tcBorders>
            <w:vAlign w:val="top"/>
          </w:tcPr>
          <w:p w14:paraId="540CF54D">
            <w:pPr>
              <w:pStyle w:val="6"/>
              <w:spacing w:before="105" w:line="208" w:lineRule="auto"/>
              <w:ind w:left="277"/>
            </w:pPr>
            <w:r>
              <w:rPr>
                <w:spacing w:val="-2"/>
              </w:rPr>
              <w:t>0.14</w:t>
            </w:r>
          </w:p>
        </w:tc>
      </w:tr>
      <w:tr w14:paraId="57AB7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5D757A4">
            <w:pPr>
              <w:rPr>
                <w:rFonts w:ascii="Arial"/>
                <w:sz w:val="21"/>
              </w:rPr>
            </w:pPr>
          </w:p>
        </w:tc>
        <w:tc>
          <w:tcPr>
            <w:tcW w:w="422" w:type="dxa"/>
            <w:vMerge w:val="restart"/>
            <w:tcBorders>
              <w:bottom w:val="nil"/>
            </w:tcBorders>
            <w:vAlign w:val="top"/>
          </w:tcPr>
          <w:p w14:paraId="650B6A38">
            <w:pPr>
              <w:pStyle w:val="6"/>
              <w:spacing w:before="171" w:line="222" w:lineRule="auto"/>
              <w:ind w:left="151"/>
            </w:pPr>
            <w:r>
              <w:t>3</w:t>
            </w:r>
          </w:p>
          <w:p w14:paraId="0B361A63">
            <w:pPr>
              <w:spacing w:line="219" w:lineRule="auto"/>
              <w:ind w:left="99"/>
              <w:rPr>
                <w:rFonts w:ascii="宋体" w:hAnsi="宋体" w:eastAsia="宋体" w:cs="宋体"/>
                <w:sz w:val="21"/>
                <w:szCs w:val="21"/>
              </w:rPr>
            </w:pPr>
            <w:r>
              <w:rPr>
                <w:rFonts w:ascii="宋体" w:hAnsi="宋体" w:eastAsia="宋体" w:cs="宋体"/>
                <w:sz w:val="21"/>
                <w:szCs w:val="21"/>
              </w:rPr>
              <w:t>季</w:t>
            </w:r>
          </w:p>
          <w:p w14:paraId="2E82184D">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556E1E1">
            <w:pPr>
              <w:pStyle w:val="6"/>
              <w:spacing w:before="107" w:line="206" w:lineRule="auto"/>
              <w:ind w:left="274"/>
            </w:pPr>
            <w:r>
              <w:rPr>
                <w:spacing w:val="-1"/>
              </w:rPr>
              <w:t>2020/8/20</w:t>
            </w:r>
          </w:p>
        </w:tc>
        <w:tc>
          <w:tcPr>
            <w:tcW w:w="892" w:type="dxa"/>
            <w:vAlign w:val="top"/>
          </w:tcPr>
          <w:p w14:paraId="632036FD">
            <w:pPr>
              <w:pStyle w:val="6"/>
              <w:spacing w:before="107" w:line="206" w:lineRule="auto"/>
              <w:ind w:left="341"/>
            </w:pPr>
            <w:r>
              <w:rPr>
                <w:spacing w:val="-2"/>
              </w:rPr>
              <w:t>94</w:t>
            </w:r>
          </w:p>
        </w:tc>
        <w:tc>
          <w:tcPr>
            <w:tcW w:w="892" w:type="dxa"/>
            <w:vAlign w:val="top"/>
          </w:tcPr>
          <w:p w14:paraId="5E3171E0">
            <w:pPr>
              <w:pStyle w:val="6"/>
              <w:spacing w:before="107" w:line="206" w:lineRule="auto"/>
              <w:ind w:left="360"/>
            </w:pPr>
            <w:r>
              <w:rPr>
                <w:spacing w:val="-6"/>
              </w:rPr>
              <w:t>14</w:t>
            </w:r>
          </w:p>
        </w:tc>
        <w:tc>
          <w:tcPr>
            <w:tcW w:w="892" w:type="dxa"/>
            <w:vAlign w:val="top"/>
          </w:tcPr>
          <w:p w14:paraId="3EC387BA">
            <w:pPr>
              <w:pStyle w:val="6"/>
              <w:spacing w:before="107" w:line="206" w:lineRule="auto"/>
              <w:ind w:left="273"/>
            </w:pPr>
            <w:r>
              <w:rPr>
                <w:spacing w:val="-4"/>
              </w:rPr>
              <w:t>8.29</w:t>
            </w:r>
          </w:p>
        </w:tc>
        <w:tc>
          <w:tcPr>
            <w:tcW w:w="892" w:type="dxa"/>
            <w:vAlign w:val="top"/>
          </w:tcPr>
          <w:p w14:paraId="0644DFE8">
            <w:pPr>
              <w:pStyle w:val="6"/>
              <w:spacing w:before="111" w:line="202" w:lineRule="auto"/>
              <w:ind w:left="224"/>
            </w:pPr>
            <w:r>
              <w:rPr>
                <w:b/>
                <w:bCs/>
                <w:spacing w:val="-3"/>
              </w:rPr>
              <w:t>10.83</w:t>
            </w:r>
          </w:p>
        </w:tc>
        <w:tc>
          <w:tcPr>
            <w:tcW w:w="891" w:type="dxa"/>
            <w:vAlign w:val="top"/>
          </w:tcPr>
          <w:p w14:paraId="4A79313A">
            <w:pPr>
              <w:pStyle w:val="6"/>
              <w:spacing w:before="107" w:line="206" w:lineRule="auto"/>
              <w:ind w:left="274"/>
            </w:pPr>
            <w:r>
              <w:rPr>
                <w:spacing w:val="-2"/>
              </w:rPr>
              <w:t>0.08</w:t>
            </w:r>
          </w:p>
        </w:tc>
        <w:tc>
          <w:tcPr>
            <w:tcW w:w="906" w:type="dxa"/>
            <w:tcBorders>
              <w:right w:val="single" w:color="000000" w:sz="12" w:space="0"/>
            </w:tcBorders>
            <w:vAlign w:val="top"/>
          </w:tcPr>
          <w:p w14:paraId="5C857727">
            <w:pPr>
              <w:pStyle w:val="6"/>
              <w:spacing w:before="107" w:line="206" w:lineRule="auto"/>
              <w:ind w:left="277"/>
            </w:pPr>
            <w:r>
              <w:rPr>
                <w:spacing w:val="-2"/>
              </w:rPr>
              <w:t>0.13</w:t>
            </w:r>
          </w:p>
        </w:tc>
      </w:tr>
      <w:tr w14:paraId="6B7F5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C2292D9">
            <w:pPr>
              <w:rPr>
                <w:rFonts w:ascii="Arial"/>
                <w:sz w:val="21"/>
              </w:rPr>
            </w:pPr>
          </w:p>
        </w:tc>
        <w:tc>
          <w:tcPr>
            <w:tcW w:w="422" w:type="dxa"/>
            <w:vMerge w:val="continue"/>
            <w:tcBorders>
              <w:top w:val="nil"/>
              <w:bottom w:val="nil"/>
            </w:tcBorders>
            <w:vAlign w:val="top"/>
          </w:tcPr>
          <w:p w14:paraId="75273BF9">
            <w:pPr>
              <w:rPr>
                <w:rFonts w:ascii="Arial"/>
                <w:sz w:val="21"/>
              </w:rPr>
            </w:pPr>
          </w:p>
        </w:tc>
        <w:tc>
          <w:tcPr>
            <w:tcW w:w="1414" w:type="dxa"/>
            <w:vAlign w:val="top"/>
          </w:tcPr>
          <w:p w14:paraId="7C7C2453">
            <w:pPr>
              <w:pStyle w:val="6"/>
              <w:spacing w:before="108" w:line="207" w:lineRule="auto"/>
              <w:ind w:left="274"/>
            </w:pPr>
            <w:r>
              <w:rPr>
                <w:spacing w:val="-1"/>
              </w:rPr>
              <w:t>2020/8/21</w:t>
            </w:r>
          </w:p>
        </w:tc>
        <w:tc>
          <w:tcPr>
            <w:tcW w:w="892" w:type="dxa"/>
            <w:vAlign w:val="top"/>
          </w:tcPr>
          <w:p w14:paraId="1D5E9FAA">
            <w:pPr>
              <w:pStyle w:val="6"/>
              <w:spacing w:before="108" w:line="207" w:lineRule="auto"/>
              <w:ind w:left="340"/>
            </w:pPr>
            <w:r>
              <w:rPr>
                <w:spacing w:val="-2"/>
              </w:rPr>
              <w:t>78</w:t>
            </w:r>
          </w:p>
        </w:tc>
        <w:tc>
          <w:tcPr>
            <w:tcW w:w="892" w:type="dxa"/>
            <w:vAlign w:val="top"/>
          </w:tcPr>
          <w:p w14:paraId="3575F19B">
            <w:pPr>
              <w:pStyle w:val="6"/>
              <w:spacing w:before="108" w:line="207" w:lineRule="auto"/>
              <w:ind w:left="360"/>
            </w:pPr>
            <w:r>
              <w:rPr>
                <w:spacing w:val="-6"/>
              </w:rPr>
              <w:t>11</w:t>
            </w:r>
          </w:p>
        </w:tc>
        <w:tc>
          <w:tcPr>
            <w:tcW w:w="892" w:type="dxa"/>
            <w:vAlign w:val="top"/>
          </w:tcPr>
          <w:p w14:paraId="282743D9">
            <w:pPr>
              <w:pStyle w:val="6"/>
              <w:spacing w:before="108" w:line="207" w:lineRule="auto"/>
              <w:ind w:left="273"/>
            </w:pPr>
            <w:r>
              <w:rPr>
                <w:spacing w:val="-4"/>
              </w:rPr>
              <w:t>8.34</w:t>
            </w:r>
          </w:p>
        </w:tc>
        <w:tc>
          <w:tcPr>
            <w:tcW w:w="892" w:type="dxa"/>
            <w:vAlign w:val="top"/>
          </w:tcPr>
          <w:p w14:paraId="2DA9D1B9">
            <w:pPr>
              <w:pStyle w:val="6"/>
              <w:spacing w:before="112" w:line="203" w:lineRule="auto"/>
              <w:ind w:left="224"/>
            </w:pPr>
            <w:r>
              <w:rPr>
                <w:b/>
                <w:bCs/>
                <w:spacing w:val="-3"/>
              </w:rPr>
              <w:t>10.74</w:t>
            </w:r>
          </w:p>
        </w:tc>
        <w:tc>
          <w:tcPr>
            <w:tcW w:w="891" w:type="dxa"/>
            <w:vAlign w:val="top"/>
          </w:tcPr>
          <w:p w14:paraId="18B9BEF4">
            <w:pPr>
              <w:pStyle w:val="6"/>
              <w:spacing w:before="108" w:line="207" w:lineRule="auto"/>
              <w:ind w:left="274"/>
            </w:pPr>
            <w:r>
              <w:rPr>
                <w:spacing w:val="-2"/>
              </w:rPr>
              <w:t>0.07</w:t>
            </w:r>
          </w:p>
        </w:tc>
        <w:tc>
          <w:tcPr>
            <w:tcW w:w="906" w:type="dxa"/>
            <w:tcBorders>
              <w:right w:val="single" w:color="000000" w:sz="12" w:space="0"/>
            </w:tcBorders>
            <w:vAlign w:val="top"/>
          </w:tcPr>
          <w:p w14:paraId="5607A804">
            <w:pPr>
              <w:pStyle w:val="6"/>
              <w:spacing w:before="108" w:line="207" w:lineRule="auto"/>
              <w:ind w:left="277"/>
            </w:pPr>
            <w:r>
              <w:rPr>
                <w:spacing w:val="-2"/>
              </w:rPr>
              <w:t>0.15</w:t>
            </w:r>
          </w:p>
        </w:tc>
      </w:tr>
      <w:tr w14:paraId="11829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E4AF9A2">
            <w:pPr>
              <w:rPr>
                <w:rFonts w:ascii="Arial"/>
                <w:sz w:val="21"/>
              </w:rPr>
            </w:pPr>
          </w:p>
        </w:tc>
        <w:tc>
          <w:tcPr>
            <w:tcW w:w="422" w:type="dxa"/>
            <w:vMerge w:val="continue"/>
            <w:tcBorders>
              <w:top w:val="nil"/>
            </w:tcBorders>
            <w:vAlign w:val="top"/>
          </w:tcPr>
          <w:p w14:paraId="269FE8AD">
            <w:pPr>
              <w:rPr>
                <w:rFonts w:ascii="Arial"/>
                <w:sz w:val="21"/>
              </w:rPr>
            </w:pPr>
          </w:p>
        </w:tc>
        <w:tc>
          <w:tcPr>
            <w:tcW w:w="1414" w:type="dxa"/>
            <w:vAlign w:val="top"/>
          </w:tcPr>
          <w:p w14:paraId="36C38545">
            <w:pPr>
              <w:pStyle w:val="6"/>
              <w:spacing w:before="108" w:line="205" w:lineRule="auto"/>
              <w:ind w:left="274"/>
            </w:pPr>
            <w:r>
              <w:rPr>
                <w:spacing w:val="-1"/>
              </w:rPr>
              <w:t>2020/8/22</w:t>
            </w:r>
          </w:p>
        </w:tc>
        <w:tc>
          <w:tcPr>
            <w:tcW w:w="892" w:type="dxa"/>
            <w:vAlign w:val="top"/>
          </w:tcPr>
          <w:p w14:paraId="3BF68CA4">
            <w:pPr>
              <w:pStyle w:val="6"/>
              <w:spacing w:before="108" w:line="205" w:lineRule="auto"/>
              <w:ind w:left="346"/>
            </w:pPr>
            <w:r>
              <w:rPr>
                <w:spacing w:val="-4"/>
              </w:rPr>
              <w:t>85</w:t>
            </w:r>
          </w:p>
        </w:tc>
        <w:tc>
          <w:tcPr>
            <w:tcW w:w="892" w:type="dxa"/>
            <w:vAlign w:val="top"/>
          </w:tcPr>
          <w:p w14:paraId="6431F44F">
            <w:pPr>
              <w:pStyle w:val="6"/>
              <w:spacing w:before="108" w:line="205" w:lineRule="auto"/>
              <w:ind w:left="360"/>
            </w:pPr>
            <w:r>
              <w:rPr>
                <w:spacing w:val="-6"/>
              </w:rPr>
              <w:t>13</w:t>
            </w:r>
          </w:p>
        </w:tc>
        <w:tc>
          <w:tcPr>
            <w:tcW w:w="892" w:type="dxa"/>
            <w:vAlign w:val="top"/>
          </w:tcPr>
          <w:p w14:paraId="323CFC92">
            <w:pPr>
              <w:pStyle w:val="6"/>
              <w:spacing w:before="108" w:line="205" w:lineRule="auto"/>
              <w:ind w:left="273"/>
            </w:pPr>
            <w:r>
              <w:rPr>
                <w:spacing w:val="-4"/>
              </w:rPr>
              <w:t>8.21</w:t>
            </w:r>
          </w:p>
        </w:tc>
        <w:tc>
          <w:tcPr>
            <w:tcW w:w="892" w:type="dxa"/>
            <w:vAlign w:val="top"/>
          </w:tcPr>
          <w:p w14:paraId="067E71D0">
            <w:pPr>
              <w:pStyle w:val="6"/>
              <w:spacing w:before="113" w:line="200" w:lineRule="auto"/>
              <w:ind w:left="224"/>
            </w:pPr>
            <w:r>
              <w:rPr>
                <w:b/>
                <w:bCs/>
                <w:spacing w:val="-3"/>
              </w:rPr>
              <w:t>10.88</w:t>
            </w:r>
          </w:p>
        </w:tc>
        <w:tc>
          <w:tcPr>
            <w:tcW w:w="891" w:type="dxa"/>
            <w:vAlign w:val="top"/>
          </w:tcPr>
          <w:p w14:paraId="280A4292">
            <w:pPr>
              <w:pStyle w:val="6"/>
              <w:spacing w:before="108" w:line="205" w:lineRule="auto"/>
              <w:ind w:left="274"/>
            </w:pPr>
            <w:r>
              <w:rPr>
                <w:spacing w:val="-2"/>
              </w:rPr>
              <w:t>0.06</w:t>
            </w:r>
          </w:p>
        </w:tc>
        <w:tc>
          <w:tcPr>
            <w:tcW w:w="906" w:type="dxa"/>
            <w:tcBorders>
              <w:right w:val="single" w:color="000000" w:sz="12" w:space="0"/>
            </w:tcBorders>
            <w:vAlign w:val="top"/>
          </w:tcPr>
          <w:p w14:paraId="15E9E7C8">
            <w:pPr>
              <w:pStyle w:val="6"/>
              <w:spacing w:before="108" w:line="205" w:lineRule="auto"/>
              <w:ind w:left="277"/>
            </w:pPr>
            <w:r>
              <w:rPr>
                <w:spacing w:val="-2"/>
              </w:rPr>
              <w:t>0.14</w:t>
            </w:r>
          </w:p>
        </w:tc>
      </w:tr>
      <w:tr w14:paraId="5A4E3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3DB30EC8">
            <w:pPr>
              <w:rPr>
                <w:rFonts w:ascii="Arial"/>
                <w:sz w:val="21"/>
              </w:rPr>
            </w:pPr>
          </w:p>
        </w:tc>
        <w:tc>
          <w:tcPr>
            <w:tcW w:w="422" w:type="dxa"/>
            <w:vMerge w:val="restart"/>
            <w:tcBorders>
              <w:bottom w:val="nil"/>
            </w:tcBorders>
            <w:vAlign w:val="top"/>
          </w:tcPr>
          <w:p w14:paraId="7A843565">
            <w:pPr>
              <w:pStyle w:val="6"/>
              <w:spacing w:before="173" w:line="223" w:lineRule="auto"/>
              <w:ind w:left="146"/>
            </w:pPr>
            <w:r>
              <w:t>4</w:t>
            </w:r>
          </w:p>
          <w:p w14:paraId="6414B8F1">
            <w:pPr>
              <w:spacing w:line="219" w:lineRule="auto"/>
              <w:ind w:left="99"/>
              <w:rPr>
                <w:rFonts w:ascii="宋体" w:hAnsi="宋体" w:eastAsia="宋体" w:cs="宋体"/>
                <w:sz w:val="21"/>
                <w:szCs w:val="21"/>
              </w:rPr>
            </w:pPr>
            <w:r>
              <w:rPr>
                <w:rFonts w:ascii="宋体" w:hAnsi="宋体" w:eastAsia="宋体" w:cs="宋体"/>
                <w:sz w:val="21"/>
                <w:szCs w:val="21"/>
              </w:rPr>
              <w:t>季</w:t>
            </w:r>
          </w:p>
          <w:p w14:paraId="152A27CE">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4AC9093">
            <w:pPr>
              <w:pStyle w:val="6"/>
              <w:spacing w:before="109" w:line="206" w:lineRule="auto"/>
              <w:ind w:left="221"/>
            </w:pPr>
            <w:r>
              <w:rPr>
                <w:spacing w:val="-1"/>
              </w:rPr>
              <w:t>2020/11/15</w:t>
            </w:r>
          </w:p>
        </w:tc>
        <w:tc>
          <w:tcPr>
            <w:tcW w:w="892" w:type="dxa"/>
            <w:vAlign w:val="top"/>
          </w:tcPr>
          <w:p w14:paraId="78FFC7FB">
            <w:pPr>
              <w:pStyle w:val="6"/>
              <w:spacing w:before="109" w:line="206" w:lineRule="auto"/>
              <w:ind w:left="284"/>
            </w:pPr>
            <w:r>
              <w:rPr>
                <w:spacing w:val="-1"/>
              </w:rPr>
              <w:t>218</w:t>
            </w:r>
          </w:p>
        </w:tc>
        <w:tc>
          <w:tcPr>
            <w:tcW w:w="892" w:type="dxa"/>
            <w:vAlign w:val="top"/>
          </w:tcPr>
          <w:p w14:paraId="3B5D42E7">
            <w:pPr>
              <w:pStyle w:val="6"/>
              <w:spacing w:before="109" w:line="206" w:lineRule="auto"/>
              <w:ind w:left="392"/>
            </w:pPr>
            <w:r>
              <w:t>4</w:t>
            </w:r>
          </w:p>
        </w:tc>
        <w:tc>
          <w:tcPr>
            <w:tcW w:w="892" w:type="dxa"/>
            <w:vAlign w:val="top"/>
          </w:tcPr>
          <w:p w14:paraId="563C4F4B">
            <w:pPr>
              <w:pStyle w:val="6"/>
              <w:spacing w:before="109" w:line="206" w:lineRule="auto"/>
              <w:ind w:left="273"/>
            </w:pPr>
            <w:r>
              <w:rPr>
                <w:spacing w:val="-4"/>
              </w:rPr>
              <w:t>8.41</w:t>
            </w:r>
          </w:p>
        </w:tc>
        <w:tc>
          <w:tcPr>
            <w:tcW w:w="892" w:type="dxa"/>
            <w:vAlign w:val="top"/>
          </w:tcPr>
          <w:p w14:paraId="59C2775B">
            <w:pPr>
              <w:pStyle w:val="6"/>
              <w:spacing w:before="114" w:line="201" w:lineRule="auto"/>
              <w:ind w:left="270"/>
            </w:pPr>
            <w:r>
              <w:rPr>
                <w:b/>
                <w:bCs/>
                <w:spacing w:val="-2"/>
              </w:rPr>
              <w:t>9.11</w:t>
            </w:r>
          </w:p>
        </w:tc>
        <w:tc>
          <w:tcPr>
            <w:tcW w:w="891" w:type="dxa"/>
            <w:vAlign w:val="top"/>
          </w:tcPr>
          <w:p w14:paraId="7E22B26D">
            <w:pPr>
              <w:pStyle w:val="6"/>
              <w:spacing w:before="109" w:line="206" w:lineRule="auto"/>
              <w:ind w:left="274"/>
            </w:pPr>
            <w:r>
              <w:rPr>
                <w:spacing w:val="-2"/>
              </w:rPr>
              <w:t>0.19</w:t>
            </w:r>
          </w:p>
        </w:tc>
        <w:tc>
          <w:tcPr>
            <w:tcW w:w="906" w:type="dxa"/>
            <w:tcBorders>
              <w:right w:val="single" w:color="000000" w:sz="12" w:space="0"/>
            </w:tcBorders>
            <w:vAlign w:val="top"/>
          </w:tcPr>
          <w:p w14:paraId="60B2902D">
            <w:pPr>
              <w:pStyle w:val="6"/>
              <w:spacing w:before="109" w:line="206" w:lineRule="auto"/>
              <w:ind w:left="277"/>
            </w:pPr>
            <w:r>
              <w:rPr>
                <w:spacing w:val="-2"/>
              </w:rPr>
              <w:t>0.07</w:t>
            </w:r>
          </w:p>
        </w:tc>
      </w:tr>
      <w:tr w14:paraId="44B0F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9CB869C">
            <w:pPr>
              <w:rPr>
                <w:rFonts w:ascii="Arial"/>
                <w:sz w:val="21"/>
              </w:rPr>
            </w:pPr>
          </w:p>
        </w:tc>
        <w:tc>
          <w:tcPr>
            <w:tcW w:w="422" w:type="dxa"/>
            <w:vMerge w:val="continue"/>
            <w:tcBorders>
              <w:top w:val="nil"/>
              <w:bottom w:val="nil"/>
            </w:tcBorders>
            <w:vAlign w:val="top"/>
          </w:tcPr>
          <w:p w14:paraId="77C4200F">
            <w:pPr>
              <w:rPr>
                <w:rFonts w:ascii="Arial"/>
                <w:sz w:val="21"/>
              </w:rPr>
            </w:pPr>
          </w:p>
        </w:tc>
        <w:tc>
          <w:tcPr>
            <w:tcW w:w="1414" w:type="dxa"/>
            <w:vAlign w:val="top"/>
          </w:tcPr>
          <w:p w14:paraId="4E5D4A38">
            <w:pPr>
              <w:pStyle w:val="6"/>
              <w:spacing w:before="108" w:line="205" w:lineRule="auto"/>
              <w:ind w:left="221"/>
            </w:pPr>
            <w:r>
              <w:rPr>
                <w:spacing w:val="-1"/>
              </w:rPr>
              <w:t>2020/11/16</w:t>
            </w:r>
          </w:p>
        </w:tc>
        <w:tc>
          <w:tcPr>
            <w:tcW w:w="892" w:type="dxa"/>
            <w:vAlign w:val="top"/>
          </w:tcPr>
          <w:p w14:paraId="281C288C">
            <w:pPr>
              <w:pStyle w:val="6"/>
              <w:spacing w:before="108" w:line="205" w:lineRule="auto"/>
              <w:ind w:left="284"/>
            </w:pPr>
            <w:r>
              <w:rPr>
                <w:spacing w:val="-1"/>
              </w:rPr>
              <w:t>211</w:t>
            </w:r>
          </w:p>
        </w:tc>
        <w:tc>
          <w:tcPr>
            <w:tcW w:w="892" w:type="dxa"/>
            <w:vAlign w:val="top"/>
          </w:tcPr>
          <w:p w14:paraId="59B6FB8F">
            <w:pPr>
              <w:pStyle w:val="6"/>
              <w:spacing w:before="108" w:line="205" w:lineRule="auto"/>
              <w:ind w:left="398"/>
            </w:pPr>
            <w:r>
              <w:t>6</w:t>
            </w:r>
          </w:p>
        </w:tc>
        <w:tc>
          <w:tcPr>
            <w:tcW w:w="892" w:type="dxa"/>
            <w:vAlign w:val="top"/>
          </w:tcPr>
          <w:p w14:paraId="789E387E">
            <w:pPr>
              <w:pStyle w:val="6"/>
              <w:spacing w:before="108" w:line="205" w:lineRule="auto"/>
              <w:ind w:left="273"/>
            </w:pPr>
            <w:r>
              <w:rPr>
                <w:spacing w:val="-4"/>
              </w:rPr>
              <w:t>8.43</w:t>
            </w:r>
          </w:p>
        </w:tc>
        <w:tc>
          <w:tcPr>
            <w:tcW w:w="892" w:type="dxa"/>
            <w:vAlign w:val="top"/>
          </w:tcPr>
          <w:p w14:paraId="4BE81F04">
            <w:pPr>
              <w:pStyle w:val="6"/>
              <w:spacing w:before="113" w:line="200" w:lineRule="auto"/>
              <w:ind w:left="270"/>
            </w:pPr>
            <w:r>
              <w:rPr>
                <w:b/>
                <w:bCs/>
                <w:spacing w:val="-2"/>
              </w:rPr>
              <w:t>9.03</w:t>
            </w:r>
          </w:p>
        </w:tc>
        <w:tc>
          <w:tcPr>
            <w:tcW w:w="891" w:type="dxa"/>
            <w:vAlign w:val="top"/>
          </w:tcPr>
          <w:p w14:paraId="4CD9B360">
            <w:pPr>
              <w:pStyle w:val="6"/>
              <w:spacing w:before="108" w:line="205" w:lineRule="auto"/>
              <w:ind w:left="274"/>
            </w:pPr>
            <w:r>
              <w:rPr>
                <w:spacing w:val="-2"/>
              </w:rPr>
              <w:t>0.20</w:t>
            </w:r>
          </w:p>
        </w:tc>
        <w:tc>
          <w:tcPr>
            <w:tcW w:w="906" w:type="dxa"/>
            <w:tcBorders>
              <w:right w:val="single" w:color="000000" w:sz="12" w:space="0"/>
            </w:tcBorders>
            <w:vAlign w:val="top"/>
          </w:tcPr>
          <w:p w14:paraId="19939F28">
            <w:pPr>
              <w:pStyle w:val="6"/>
              <w:spacing w:before="108" w:line="205" w:lineRule="auto"/>
              <w:ind w:left="277"/>
            </w:pPr>
            <w:r>
              <w:rPr>
                <w:spacing w:val="-2"/>
              </w:rPr>
              <w:t>0.08</w:t>
            </w:r>
          </w:p>
        </w:tc>
      </w:tr>
      <w:tr w14:paraId="59097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11356BC7">
            <w:pPr>
              <w:rPr>
                <w:rFonts w:ascii="Arial"/>
                <w:sz w:val="21"/>
              </w:rPr>
            </w:pPr>
          </w:p>
        </w:tc>
        <w:tc>
          <w:tcPr>
            <w:tcW w:w="422" w:type="dxa"/>
            <w:vMerge w:val="continue"/>
            <w:tcBorders>
              <w:top w:val="nil"/>
            </w:tcBorders>
            <w:vAlign w:val="top"/>
          </w:tcPr>
          <w:p w14:paraId="13EDA6F2">
            <w:pPr>
              <w:rPr>
                <w:rFonts w:ascii="Arial"/>
                <w:sz w:val="21"/>
              </w:rPr>
            </w:pPr>
          </w:p>
        </w:tc>
        <w:tc>
          <w:tcPr>
            <w:tcW w:w="1414" w:type="dxa"/>
            <w:vAlign w:val="top"/>
          </w:tcPr>
          <w:p w14:paraId="6EC17575">
            <w:pPr>
              <w:pStyle w:val="6"/>
              <w:spacing w:before="110" w:line="203" w:lineRule="auto"/>
              <w:ind w:left="221"/>
            </w:pPr>
            <w:r>
              <w:rPr>
                <w:spacing w:val="-1"/>
              </w:rPr>
              <w:t>2020/11/17</w:t>
            </w:r>
          </w:p>
        </w:tc>
        <w:tc>
          <w:tcPr>
            <w:tcW w:w="892" w:type="dxa"/>
            <w:vAlign w:val="top"/>
          </w:tcPr>
          <w:p w14:paraId="3AF75851">
            <w:pPr>
              <w:pStyle w:val="6"/>
              <w:spacing w:before="110" w:line="203" w:lineRule="auto"/>
              <w:ind w:left="284"/>
            </w:pPr>
            <w:r>
              <w:rPr>
                <w:spacing w:val="-1"/>
              </w:rPr>
              <w:t>220</w:t>
            </w:r>
          </w:p>
        </w:tc>
        <w:tc>
          <w:tcPr>
            <w:tcW w:w="892" w:type="dxa"/>
            <w:vAlign w:val="top"/>
          </w:tcPr>
          <w:p w14:paraId="7BB8EDE2">
            <w:pPr>
              <w:pStyle w:val="6"/>
              <w:spacing w:before="110" w:line="203" w:lineRule="auto"/>
              <w:ind w:left="399"/>
            </w:pPr>
            <w:r>
              <w:t>5</w:t>
            </w:r>
          </w:p>
        </w:tc>
        <w:tc>
          <w:tcPr>
            <w:tcW w:w="892" w:type="dxa"/>
            <w:vAlign w:val="top"/>
          </w:tcPr>
          <w:p w14:paraId="329B197C">
            <w:pPr>
              <w:pStyle w:val="6"/>
              <w:spacing w:before="110" w:line="203" w:lineRule="auto"/>
              <w:ind w:left="273"/>
            </w:pPr>
            <w:r>
              <w:rPr>
                <w:spacing w:val="-4"/>
              </w:rPr>
              <w:t>8.52</w:t>
            </w:r>
          </w:p>
        </w:tc>
        <w:tc>
          <w:tcPr>
            <w:tcW w:w="892" w:type="dxa"/>
            <w:vAlign w:val="top"/>
          </w:tcPr>
          <w:p w14:paraId="14FEB862">
            <w:pPr>
              <w:pStyle w:val="6"/>
              <w:spacing w:before="115" w:line="198" w:lineRule="auto"/>
              <w:ind w:left="270"/>
            </w:pPr>
            <w:r>
              <w:rPr>
                <w:b/>
                <w:bCs/>
                <w:spacing w:val="-2"/>
              </w:rPr>
              <w:t>9.14</w:t>
            </w:r>
          </w:p>
        </w:tc>
        <w:tc>
          <w:tcPr>
            <w:tcW w:w="891" w:type="dxa"/>
            <w:vAlign w:val="top"/>
          </w:tcPr>
          <w:p w14:paraId="26B6DDCD">
            <w:pPr>
              <w:pStyle w:val="6"/>
              <w:spacing w:before="110" w:line="203" w:lineRule="auto"/>
              <w:ind w:left="274"/>
            </w:pPr>
            <w:r>
              <w:rPr>
                <w:spacing w:val="-2"/>
              </w:rPr>
              <w:t>0.19</w:t>
            </w:r>
          </w:p>
        </w:tc>
        <w:tc>
          <w:tcPr>
            <w:tcW w:w="906" w:type="dxa"/>
            <w:tcBorders>
              <w:right w:val="single" w:color="000000" w:sz="12" w:space="0"/>
            </w:tcBorders>
            <w:vAlign w:val="top"/>
          </w:tcPr>
          <w:p w14:paraId="7CE50E85">
            <w:pPr>
              <w:pStyle w:val="6"/>
              <w:spacing w:before="110" w:line="203" w:lineRule="auto"/>
              <w:ind w:left="277"/>
            </w:pPr>
            <w:r>
              <w:rPr>
                <w:spacing w:val="-2"/>
              </w:rPr>
              <w:t>0.07</w:t>
            </w:r>
          </w:p>
        </w:tc>
      </w:tr>
      <w:tr w14:paraId="536C4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18CF1B93">
            <w:pPr>
              <w:spacing w:line="241" w:lineRule="auto"/>
              <w:rPr>
                <w:rFonts w:ascii="Arial"/>
                <w:sz w:val="21"/>
              </w:rPr>
            </w:pPr>
          </w:p>
          <w:p w14:paraId="2D206935">
            <w:pPr>
              <w:spacing w:line="242" w:lineRule="auto"/>
              <w:rPr>
                <w:rFonts w:ascii="Arial"/>
                <w:sz w:val="21"/>
              </w:rPr>
            </w:pPr>
          </w:p>
          <w:p w14:paraId="4A610222">
            <w:pPr>
              <w:spacing w:line="242" w:lineRule="auto"/>
              <w:rPr>
                <w:rFonts w:ascii="Arial"/>
                <w:sz w:val="21"/>
              </w:rPr>
            </w:pPr>
          </w:p>
          <w:p w14:paraId="77DD20CB">
            <w:pPr>
              <w:spacing w:before="68" w:line="241" w:lineRule="auto"/>
              <w:ind w:left="98" w:right="110"/>
              <w:jc w:val="both"/>
              <w:rPr>
                <w:rFonts w:ascii="宋体" w:hAnsi="宋体" w:eastAsia="宋体" w:cs="宋体"/>
                <w:sz w:val="21"/>
                <w:szCs w:val="21"/>
              </w:rPr>
            </w:pPr>
            <w:r>
              <w:rPr>
                <w:rFonts w:ascii="宋体" w:hAnsi="宋体" w:eastAsia="宋体" w:cs="宋体"/>
                <w:spacing w:val="-2"/>
                <w:sz w:val="21"/>
                <w:szCs w:val="21"/>
              </w:rPr>
              <w:t>坝址下游左岸混凝土拌合站沉淀池</w:t>
            </w:r>
          </w:p>
        </w:tc>
        <w:tc>
          <w:tcPr>
            <w:tcW w:w="422" w:type="dxa"/>
            <w:vMerge w:val="restart"/>
            <w:tcBorders>
              <w:bottom w:val="nil"/>
            </w:tcBorders>
            <w:vAlign w:val="top"/>
          </w:tcPr>
          <w:p w14:paraId="2303BE46">
            <w:pPr>
              <w:pStyle w:val="6"/>
              <w:spacing w:before="176" w:line="222" w:lineRule="auto"/>
              <w:ind w:left="167"/>
            </w:pPr>
            <w:r>
              <w:t>1</w:t>
            </w:r>
          </w:p>
          <w:p w14:paraId="00E1FEE7">
            <w:pPr>
              <w:spacing w:line="219" w:lineRule="auto"/>
              <w:ind w:left="99"/>
              <w:rPr>
                <w:rFonts w:ascii="宋体" w:hAnsi="宋体" w:eastAsia="宋体" w:cs="宋体"/>
                <w:sz w:val="21"/>
                <w:szCs w:val="21"/>
              </w:rPr>
            </w:pPr>
            <w:r>
              <w:rPr>
                <w:rFonts w:ascii="宋体" w:hAnsi="宋体" w:eastAsia="宋体" w:cs="宋体"/>
                <w:sz w:val="21"/>
                <w:szCs w:val="21"/>
              </w:rPr>
              <w:t>季</w:t>
            </w:r>
          </w:p>
          <w:p w14:paraId="614FDEF8">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832A7E2">
            <w:pPr>
              <w:pStyle w:val="6"/>
              <w:spacing w:before="111" w:line="204" w:lineRule="auto"/>
              <w:ind w:left="274"/>
            </w:pPr>
            <w:r>
              <w:rPr>
                <w:spacing w:val="-1"/>
              </w:rPr>
              <w:t>2020/3/10</w:t>
            </w:r>
          </w:p>
        </w:tc>
        <w:tc>
          <w:tcPr>
            <w:tcW w:w="892" w:type="dxa"/>
            <w:vAlign w:val="top"/>
          </w:tcPr>
          <w:p w14:paraId="03D011A9">
            <w:pPr>
              <w:pStyle w:val="6"/>
              <w:spacing w:before="111" w:line="204" w:lineRule="auto"/>
              <w:ind w:left="409"/>
            </w:pPr>
            <w:r>
              <w:t>/</w:t>
            </w:r>
          </w:p>
        </w:tc>
        <w:tc>
          <w:tcPr>
            <w:tcW w:w="892" w:type="dxa"/>
            <w:vAlign w:val="top"/>
          </w:tcPr>
          <w:p w14:paraId="09133872">
            <w:pPr>
              <w:pStyle w:val="6"/>
              <w:spacing w:before="111" w:line="204" w:lineRule="auto"/>
              <w:ind w:left="339"/>
            </w:pPr>
            <w:r>
              <w:rPr>
                <w:spacing w:val="-1"/>
              </w:rPr>
              <w:t>44</w:t>
            </w:r>
          </w:p>
        </w:tc>
        <w:tc>
          <w:tcPr>
            <w:tcW w:w="892" w:type="dxa"/>
            <w:vAlign w:val="top"/>
          </w:tcPr>
          <w:p w14:paraId="578828E9">
            <w:pPr>
              <w:pStyle w:val="6"/>
              <w:spacing w:before="111" w:line="204" w:lineRule="auto"/>
              <w:ind w:left="415"/>
            </w:pPr>
            <w:r>
              <w:t>/</w:t>
            </w:r>
          </w:p>
        </w:tc>
        <w:tc>
          <w:tcPr>
            <w:tcW w:w="892" w:type="dxa"/>
            <w:vAlign w:val="top"/>
          </w:tcPr>
          <w:p w14:paraId="538AF98F">
            <w:pPr>
              <w:pStyle w:val="6"/>
              <w:spacing w:before="116" w:line="199" w:lineRule="auto"/>
              <w:ind w:left="224"/>
            </w:pPr>
            <w:r>
              <w:rPr>
                <w:b/>
                <w:bCs/>
                <w:spacing w:val="-3"/>
              </w:rPr>
              <w:t>11.40</w:t>
            </w:r>
          </w:p>
        </w:tc>
        <w:tc>
          <w:tcPr>
            <w:tcW w:w="891" w:type="dxa"/>
            <w:vAlign w:val="top"/>
          </w:tcPr>
          <w:p w14:paraId="5BE3000A">
            <w:pPr>
              <w:pStyle w:val="6"/>
              <w:spacing w:before="111" w:line="204" w:lineRule="auto"/>
              <w:ind w:left="422"/>
            </w:pPr>
            <w:r>
              <w:t>/</w:t>
            </w:r>
          </w:p>
        </w:tc>
        <w:tc>
          <w:tcPr>
            <w:tcW w:w="906" w:type="dxa"/>
            <w:tcBorders>
              <w:right w:val="single" w:color="000000" w:sz="12" w:space="0"/>
            </w:tcBorders>
            <w:vAlign w:val="top"/>
          </w:tcPr>
          <w:p w14:paraId="606FF672">
            <w:pPr>
              <w:pStyle w:val="6"/>
              <w:spacing w:before="111" w:line="204" w:lineRule="auto"/>
              <w:ind w:left="425"/>
            </w:pPr>
            <w:r>
              <w:t>/</w:t>
            </w:r>
          </w:p>
        </w:tc>
      </w:tr>
      <w:tr w14:paraId="1A03D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9C0552D">
            <w:pPr>
              <w:rPr>
                <w:rFonts w:ascii="Arial"/>
                <w:sz w:val="21"/>
              </w:rPr>
            </w:pPr>
          </w:p>
        </w:tc>
        <w:tc>
          <w:tcPr>
            <w:tcW w:w="422" w:type="dxa"/>
            <w:vMerge w:val="continue"/>
            <w:tcBorders>
              <w:top w:val="nil"/>
              <w:bottom w:val="nil"/>
            </w:tcBorders>
            <w:vAlign w:val="top"/>
          </w:tcPr>
          <w:p w14:paraId="5F37F415">
            <w:pPr>
              <w:rPr>
                <w:rFonts w:ascii="Arial"/>
                <w:sz w:val="21"/>
              </w:rPr>
            </w:pPr>
          </w:p>
        </w:tc>
        <w:tc>
          <w:tcPr>
            <w:tcW w:w="1414" w:type="dxa"/>
            <w:vAlign w:val="top"/>
          </w:tcPr>
          <w:p w14:paraId="0B2170A4">
            <w:pPr>
              <w:pStyle w:val="6"/>
              <w:spacing w:before="112" w:line="201" w:lineRule="auto"/>
              <w:ind w:left="274"/>
            </w:pPr>
            <w:r>
              <w:rPr>
                <w:spacing w:val="-1"/>
              </w:rPr>
              <w:t>2020/3/11</w:t>
            </w:r>
          </w:p>
        </w:tc>
        <w:tc>
          <w:tcPr>
            <w:tcW w:w="892" w:type="dxa"/>
            <w:vAlign w:val="top"/>
          </w:tcPr>
          <w:p w14:paraId="4D0AE3A4">
            <w:pPr>
              <w:pStyle w:val="6"/>
              <w:spacing w:before="112" w:line="201" w:lineRule="auto"/>
              <w:ind w:left="409"/>
            </w:pPr>
            <w:r>
              <w:t>/</w:t>
            </w:r>
          </w:p>
        </w:tc>
        <w:tc>
          <w:tcPr>
            <w:tcW w:w="892" w:type="dxa"/>
            <w:vAlign w:val="top"/>
          </w:tcPr>
          <w:p w14:paraId="7DBBED53">
            <w:pPr>
              <w:pStyle w:val="6"/>
              <w:spacing w:before="112" w:line="201" w:lineRule="auto"/>
              <w:ind w:left="346"/>
            </w:pPr>
            <w:r>
              <w:rPr>
                <w:spacing w:val="-3"/>
              </w:rPr>
              <w:t>51</w:t>
            </w:r>
          </w:p>
        </w:tc>
        <w:tc>
          <w:tcPr>
            <w:tcW w:w="892" w:type="dxa"/>
            <w:vAlign w:val="top"/>
          </w:tcPr>
          <w:p w14:paraId="6C101C19">
            <w:pPr>
              <w:pStyle w:val="6"/>
              <w:spacing w:before="112" w:line="201" w:lineRule="auto"/>
              <w:ind w:left="415"/>
            </w:pPr>
            <w:r>
              <w:t>/</w:t>
            </w:r>
          </w:p>
        </w:tc>
        <w:tc>
          <w:tcPr>
            <w:tcW w:w="892" w:type="dxa"/>
            <w:vAlign w:val="top"/>
          </w:tcPr>
          <w:p w14:paraId="458CE21B">
            <w:pPr>
              <w:pStyle w:val="6"/>
              <w:spacing w:before="116" w:line="197" w:lineRule="auto"/>
              <w:ind w:left="224"/>
            </w:pPr>
            <w:r>
              <w:rPr>
                <w:b/>
                <w:bCs/>
                <w:spacing w:val="-3"/>
              </w:rPr>
              <w:t>11.35</w:t>
            </w:r>
          </w:p>
        </w:tc>
        <w:tc>
          <w:tcPr>
            <w:tcW w:w="891" w:type="dxa"/>
            <w:vAlign w:val="top"/>
          </w:tcPr>
          <w:p w14:paraId="5EFC0A78">
            <w:pPr>
              <w:pStyle w:val="6"/>
              <w:spacing w:before="112" w:line="201" w:lineRule="auto"/>
              <w:ind w:left="422"/>
            </w:pPr>
            <w:r>
              <w:t>/</w:t>
            </w:r>
          </w:p>
        </w:tc>
        <w:tc>
          <w:tcPr>
            <w:tcW w:w="906" w:type="dxa"/>
            <w:tcBorders>
              <w:right w:val="single" w:color="000000" w:sz="12" w:space="0"/>
            </w:tcBorders>
            <w:vAlign w:val="top"/>
          </w:tcPr>
          <w:p w14:paraId="49B1D255">
            <w:pPr>
              <w:pStyle w:val="6"/>
              <w:spacing w:before="112" w:line="201" w:lineRule="auto"/>
              <w:ind w:left="425"/>
            </w:pPr>
            <w:r>
              <w:t>/</w:t>
            </w:r>
          </w:p>
        </w:tc>
      </w:tr>
      <w:tr w14:paraId="1DBAC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15261AD">
            <w:pPr>
              <w:rPr>
                <w:rFonts w:ascii="Arial"/>
                <w:sz w:val="21"/>
              </w:rPr>
            </w:pPr>
          </w:p>
        </w:tc>
        <w:tc>
          <w:tcPr>
            <w:tcW w:w="422" w:type="dxa"/>
            <w:vMerge w:val="continue"/>
            <w:tcBorders>
              <w:top w:val="nil"/>
            </w:tcBorders>
            <w:vAlign w:val="top"/>
          </w:tcPr>
          <w:p w14:paraId="0D3615AE">
            <w:pPr>
              <w:rPr>
                <w:rFonts w:ascii="Arial"/>
                <w:sz w:val="21"/>
              </w:rPr>
            </w:pPr>
          </w:p>
        </w:tc>
        <w:tc>
          <w:tcPr>
            <w:tcW w:w="1414" w:type="dxa"/>
            <w:vAlign w:val="top"/>
          </w:tcPr>
          <w:p w14:paraId="32DB6C93">
            <w:pPr>
              <w:pStyle w:val="6"/>
              <w:spacing w:before="113" w:line="201" w:lineRule="auto"/>
              <w:ind w:left="274"/>
            </w:pPr>
            <w:r>
              <w:rPr>
                <w:spacing w:val="-1"/>
              </w:rPr>
              <w:t>2020/3/12</w:t>
            </w:r>
          </w:p>
        </w:tc>
        <w:tc>
          <w:tcPr>
            <w:tcW w:w="892" w:type="dxa"/>
            <w:vAlign w:val="top"/>
          </w:tcPr>
          <w:p w14:paraId="06167938">
            <w:pPr>
              <w:pStyle w:val="6"/>
              <w:spacing w:before="113" w:line="201" w:lineRule="auto"/>
              <w:ind w:left="409"/>
            </w:pPr>
            <w:r>
              <w:t>/</w:t>
            </w:r>
          </w:p>
        </w:tc>
        <w:tc>
          <w:tcPr>
            <w:tcW w:w="892" w:type="dxa"/>
            <w:vAlign w:val="top"/>
          </w:tcPr>
          <w:p w14:paraId="3F98ED90">
            <w:pPr>
              <w:pStyle w:val="6"/>
              <w:spacing w:before="113" w:line="201" w:lineRule="auto"/>
              <w:ind w:left="339"/>
            </w:pPr>
            <w:r>
              <w:rPr>
                <w:spacing w:val="-1"/>
              </w:rPr>
              <w:t>48</w:t>
            </w:r>
          </w:p>
        </w:tc>
        <w:tc>
          <w:tcPr>
            <w:tcW w:w="892" w:type="dxa"/>
            <w:vAlign w:val="top"/>
          </w:tcPr>
          <w:p w14:paraId="5055EC8E">
            <w:pPr>
              <w:pStyle w:val="6"/>
              <w:spacing w:before="113" w:line="201" w:lineRule="auto"/>
              <w:ind w:left="415"/>
            </w:pPr>
            <w:r>
              <w:t>/</w:t>
            </w:r>
          </w:p>
        </w:tc>
        <w:tc>
          <w:tcPr>
            <w:tcW w:w="892" w:type="dxa"/>
            <w:vAlign w:val="top"/>
          </w:tcPr>
          <w:p w14:paraId="461E15E7">
            <w:pPr>
              <w:pStyle w:val="6"/>
              <w:spacing w:before="117" w:line="197" w:lineRule="auto"/>
              <w:ind w:left="224"/>
            </w:pPr>
            <w:r>
              <w:rPr>
                <w:b/>
                <w:bCs/>
                <w:spacing w:val="-3"/>
              </w:rPr>
              <w:t>11.42</w:t>
            </w:r>
          </w:p>
        </w:tc>
        <w:tc>
          <w:tcPr>
            <w:tcW w:w="891" w:type="dxa"/>
            <w:vAlign w:val="top"/>
          </w:tcPr>
          <w:p w14:paraId="68927678">
            <w:pPr>
              <w:pStyle w:val="6"/>
              <w:spacing w:before="113" w:line="201" w:lineRule="auto"/>
              <w:ind w:left="422"/>
            </w:pPr>
            <w:r>
              <w:t>/</w:t>
            </w:r>
          </w:p>
        </w:tc>
        <w:tc>
          <w:tcPr>
            <w:tcW w:w="906" w:type="dxa"/>
            <w:tcBorders>
              <w:right w:val="single" w:color="000000" w:sz="12" w:space="0"/>
            </w:tcBorders>
            <w:vAlign w:val="top"/>
          </w:tcPr>
          <w:p w14:paraId="56FF72F1">
            <w:pPr>
              <w:pStyle w:val="6"/>
              <w:spacing w:before="113" w:line="201" w:lineRule="auto"/>
              <w:ind w:left="425"/>
            </w:pPr>
            <w:r>
              <w:t>/</w:t>
            </w:r>
          </w:p>
        </w:tc>
      </w:tr>
      <w:tr w14:paraId="047AF786">
        <w:tblPrEx>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CBB2016">
            <w:pPr>
              <w:rPr>
                <w:rFonts w:ascii="Arial"/>
                <w:sz w:val="21"/>
              </w:rPr>
            </w:pPr>
          </w:p>
        </w:tc>
        <w:tc>
          <w:tcPr>
            <w:tcW w:w="422" w:type="dxa"/>
            <w:vMerge w:val="restart"/>
            <w:tcBorders>
              <w:bottom w:val="nil"/>
            </w:tcBorders>
            <w:vAlign w:val="top"/>
          </w:tcPr>
          <w:p w14:paraId="310270E5">
            <w:pPr>
              <w:spacing w:line="265" w:lineRule="auto"/>
              <w:rPr>
                <w:rFonts w:ascii="Arial"/>
                <w:sz w:val="21"/>
              </w:rPr>
            </w:pPr>
          </w:p>
          <w:p w14:paraId="380D8CCF">
            <w:pPr>
              <w:pStyle w:val="6"/>
              <w:spacing w:before="61" w:line="230" w:lineRule="auto"/>
              <w:ind w:left="97" w:right="111" w:firstLine="49"/>
              <w:jc w:val="both"/>
              <w:rPr>
                <w:rFonts w:ascii="宋体" w:hAnsi="宋体" w:eastAsia="宋体" w:cs="宋体"/>
              </w:rPr>
            </w:pPr>
            <w:r>
              <w:rPr>
                <w:spacing w:val="-5"/>
              </w:rPr>
              <w:t>2</w:t>
            </w:r>
            <w:r>
              <w:rPr>
                <w:rFonts w:ascii="宋体" w:hAnsi="宋体" w:eastAsia="宋体" w:cs="宋体"/>
                <w:spacing w:val="-8"/>
              </w:rPr>
              <w:t>季度</w:t>
            </w:r>
          </w:p>
        </w:tc>
        <w:tc>
          <w:tcPr>
            <w:tcW w:w="1414" w:type="dxa"/>
            <w:vAlign w:val="top"/>
          </w:tcPr>
          <w:p w14:paraId="73C0E50B">
            <w:pPr>
              <w:pStyle w:val="6"/>
              <w:spacing w:before="113" w:line="201" w:lineRule="auto"/>
              <w:ind w:left="274"/>
            </w:pPr>
            <w:r>
              <w:rPr>
                <w:spacing w:val="-1"/>
              </w:rPr>
              <w:t>2020/5/20</w:t>
            </w:r>
          </w:p>
        </w:tc>
        <w:tc>
          <w:tcPr>
            <w:tcW w:w="892" w:type="dxa"/>
            <w:vAlign w:val="top"/>
          </w:tcPr>
          <w:p w14:paraId="17EAC989">
            <w:pPr>
              <w:pStyle w:val="6"/>
              <w:spacing w:before="113" w:line="201" w:lineRule="auto"/>
              <w:ind w:left="409"/>
            </w:pPr>
            <w:r>
              <w:t>/</w:t>
            </w:r>
          </w:p>
        </w:tc>
        <w:tc>
          <w:tcPr>
            <w:tcW w:w="892" w:type="dxa"/>
            <w:vAlign w:val="top"/>
          </w:tcPr>
          <w:p w14:paraId="28F80834">
            <w:pPr>
              <w:pStyle w:val="6"/>
              <w:spacing w:before="117" w:line="197" w:lineRule="auto"/>
              <w:ind w:left="297"/>
            </w:pPr>
            <w:r>
              <w:rPr>
                <w:b/>
                <w:bCs/>
                <w:spacing w:val="-4"/>
              </w:rPr>
              <w:t>191</w:t>
            </w:r>
          </w:p>
        </w:tc>
        <w:tc>
          <w:tcPr>
            <w:tcW w:w="892" w:type="dxa"/>
            <w:vAlign w:val="top"/>
          </w:tcPr>
          <w:p w14:paraId="7326BB5F">
            <w:pPr>
              <w:pStyle w:val="6"/>
              <w:spacing w:before="113" w:line="201" w:lineRule="auto"/>
              <w:ind w:left="415"/>
            </w:pPr>
            <w:r>
              <w:t>/</w:t>
            </w:r>
          </w:p>
        </w:tc>
        <w:tc>
          <w:tcPr>
            <w:tcW w:w="892" w:type="dxa"/>
            <w:vAlign w:val="top"/>
          </w:tcPr>
          <w:p w14:paraId="02536BA6">
            <w:pPr>
              <w:pStyle w:val="6"/>
              <w:spacing w:before="117" w:line="197" w:lineRule="auto"/>
              <w:ind w:left="224"/>
            </w:pPr>
            <w:r>
              <w:rPr>
                <w:b/>
                <w:bCs/>
                <w:spacing w:val="-3"/>
              </w:rPr>
              <w:t>12.06</w:t>
            </w:r>
          </w:p>
        </w:tc>
        <w:tc>
          <w:tcPr>
            <w:tcW w:w="891" w:type="dxa"/>
            <w:vAlign w:val="top"/>
          </w:tcPr>
          <w:p w14:paraId="610ACFAA">
            <w:pPr>
              <w:pStyle w:val="6"/>
              <w:spacing w:before="113" w:line="201" w:lineRule="auto"/>
              <w:ind w:left="422"/>
            </w:pPr>
            <w:r>
              <w:t>/</w:t>
            </w:r>
          </w:p>
        </w:tc>
        <w:tc>
          <w:tcPr>
            <w:tcW w:w="906" w:type="dxa"/>
            <w:tcBorders>
              <w:right w:val="single" w:color="000000" w:sz="12" w:space="0"/>
            </w:tcBorders>
            <w:vAlign w:val="top"/>
          </w:tcPr>
          <w:p w14:paraId="19CA93C9">
            <w:pPr>
              <w:pStyle w:val="6"/>
              <w:spacing w:before="113" w:line="201" w:lineRule="auto"/>
              <w:ind w:left="425"/>
            </w:pPr>
            <w:r>
              <w:t>/</w:t>
            </w:r>
          </w:p>
        </w:tc>
      </w:tr>
      <w:tr w14:paraId="3DB02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86F6EB3">
            <w:pPr>
              <w:rPr>
                <w:rFonts w:ascii="Arial"/>
                <w:sz w:val="21"/>
              </w:rPr>
            </w:pPr>
          </w:p>
        </w:tc>
        <w:tc>
          <w:tcPr>
            <w:tcW w:w="422" w:type="dxa"/>
            <w:vMerge w:val="continue"/>
            <w:tcBorders>
              <w:top w:val="nil"/>
              <w:bottom w:val="nil"/>
            </w:tcBorders>
            <w:vAlign w:val="top"/>
          </w:tcPr>
          <w:p w14:paraId="26EFB4C4">
            <w:pPr>
              <w:rPr>
                <w:rFonts w:ascii="Arial"/>
                <w:sz w:val="21"/>
              </w:rPr>
            </w:pPr>
          </w:p>
        </w:tc>
        <w:tc>
          <w:tcPr>
            <w:tcW w:w="1414" w:type="dxa"/>
            <w:vAlign w:val="top"/>
          </w:tcPr>
          <w:p w14:paraId="2DF940C7">
            <w:pPr>
              <w:pStyle w:val="6"/>
              <w:spacing w:before="114" w:line="199" w:lineRule="auto"/>
              <w:ind w:left="274"/>
            </w:pPr>
            <w:r>
              <w:rPr>
                <w:spacing w:val="-1"/>
              </w:rPr>
              <w:t>2020/5/21</w:t>
            </w:r>
          </w:p>
        </w:tc>
        <w:tc>
          <w:tcPr>
            <w:tcW w:w="892" w:type="dxa"/>
            <w:vAlign w:val="top"/>
          </w:tcPr>
          <w:p w14:paraId="3DF0DFF3">
            <w:pPr>
              <w:pStyle w:val="6"/>
              <w:spacing w:before="114" w:line="199" w:lineRule="auto"/>
              <w:ind w:left="409"/>
            </w:pPr>
            <w:r>
              <w:t>/</w:t>
            </w:r>
          </w:p>
        </w:tc>
        <w:tc>
          <w:tcPr>
            <w:tcW w:w="892" w:type="dxa"/>
            <w:vAlign w:val="top"/>
          </w:tcPr>
          <w:p w14:paraId="3D1BD6CB">
            <w:pPr>
              <w:pStyle w:val="6"/>
              <w:spacing w:before="119" w:line="194" w:lineRule="auto"/>
              <w:ind w:left="288"/>
            </w:pPr>
            <w:r>
              <w:rPr>
                <w:b/>
                <w:bCs/>
                <w:spacing w:val="-2"/>
              </w:rPr>
              <w:t>214</w:t>
            </w:r>
          </w:p>
        </w:tc>
        <w:tc>
          <w:tcPr>
            <w:tcW w:w="892" w:type="dxa"/>
            <w:vAlign w:val="top"/>
          </w:tcPr>
          <w:p w14:paraId="18876D4B">
            <w:pPr>
              <w:pStyle w:val="6"/>
              <w:spacing w:before="114" w:line="199" w:lineRule="auto"/>
              <w:ind w:left="415"/>
            </w:pPr>
            <w:r>
              <w:t>/</w:t>
            </w:r>
          </w:p>
        </w:tc>
        <w:tc>
          <w:tcPr>
            <w:tcW w:w="892" w:type="dxa"/>
            <w:vAlign w:val="top"/>
          </w:tcPr>
          <w:p w14:paraId="324DC7AD">
            <w:pPr>
              <w:pStyle w:val="6"/>
              <w:spacing w:before="119" w:line="194" w:lineRule="auto"/>
              <w:ind w:left="224"/>
            </w:pPr>
            <w:r>
              <w:rPr>
                <w:b/>
                <w:bCs/>
                <w:spacing w:val="-3"/>
              </w:rPr>
              <w:t>12.02</w:t>
            </w:r>
          </w:p>
        </w:tc>
        <w:tc>
          <w:tcPr>
            <w:tcW w:w="891" w:type="dxa"/>
            <w:vAlign w:val="top"/>
          </w:tcPr>
          <w:p w14:paraId="229B869B">
            <w:pPr>
              <w:pStyle w:val="6"/>
              <w:spacing w:before="114" w:line="199" w:lineRule="auto"/>
              <w:ind w:left="422"/>
            </w:pPr>
            <w:r>
              <w:t>/</w:t>
            </w:r>
          </w:p>
        </w:tc>
        <w:tc>
          <w:tcPr>
            <w:tcW w:w="906" w:type="dxa"/>
            <w:tcBorders>
              <w:right w:val="single" w:color="000000" w:sz="12" w:space="0"/>
            </w:tcBorders>
            <w:vAlign w:val="top"/>
          </w:tcPr>
          <w:p w14:paraId="2797EBC6">
            <w:pPr>
              <w:pStyle w:val="6"/>
              <w:spacing w:before="114" w:line="199" w:lineRule="auto"/>
              <w:ind w:left="425"/>
            </w:pPr>
            <w:r>
              <w:t>/</w:t>
            </w:r>
          </w:p>
        </w:tc>
      </w:tr>
      <w:tr w14:paraId="2FCF7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272" w:type="dxa"/>
            <w:vMerge w:val="continue"/>
            <w:tcBorders>
              <w:top w:val="nil"/>
              <w:left w:val="single" w:color="000000" w:sz="12" w:space="0"/>
              <w:bottom w:val="single" w:color="000000" w:sz="12" w:space="0"/>
            </w:tcBorders>
            <w:vAlign w:val="top"/>
          </w:tcPr>
          <w:p w14:paraId="29244CBE">
            <w:pPr>
              <w:rPr>
                <w:rFonts w:ascii="Arial"/>
                <w:sz w:val="21"/>
              </w:rPr>
            </w:pPr>
          </w:p>
        </w:tc>
        <w:tc>
          <w:tcPr>
            <w:tcW w:w="422" w:type="dxa"/>
            <w:vMerge w:val="continue"/>
            <w:tcBorders>
              <w:top w:val="nil"/>
              <w:bottom w:val="single" w:color="000000" w:sz="12" w:space="0"/>
            </w:tcBorders>
            <w:vAlign w:val="top"/>
          </w:tcPr>
          <w:p w14:paraId="1B2F7B04">
            <w:pPr>
              <w:rPr>
                <w:rFonts w:ascii="Arial"/>
                <w:sz w:val="21"/>
              </w:rPr>
            </w:pPr>
          </w:p>
        </w:tc>
        <w:tc>
          <w:tcPr>
            <w:tcW w:w="1414" w:type="dxa"/>
            <w:tcBorders>
              <w:bottom w:val="single" w:color="000000" w:sz="12" w:space="0"/>
            </w:tcBorders>
            <w:vAlign w:val="top"/>
          </w:tcPr>
          <w:p w14:paraId="27C326CB">
            <w:pPr>
              <w:pStyle w:val="6"/>
              <w:spacing w:before="265" w:line="232" w:lineRule="auto"/>
              <w:ind w:left="274"/>
            </w:pPr>
            <w:r>
              <w:rPr>
                <w:spacing w:val="-1"/>
              </w:rPr>
              <w:t>2020/5/22</w:t>
            </w:r>
          </w:p>
        </w:tc>
        <w:tc>
          <w:tcPr>
            <w:tcW w:w="892" w:type="dxa"/>
            <w:tcBorders>
              <w:bottom w:val="single" w:color="000000" w:sz="12" w:space="0"/>
            </w:tcBorders>
            <w:vAlign w:val="top"/>
          </w:tcPr>
          <w:p w14:paraId="0C6404C7">
            <w:pPr>
              <w:pStyle w:val="6"/>
              <w:spacing w:before="265" w:line="232" w:lineRule="auto"/>
              <w:ind w:left="409"/>
            </w:pPr>
            <w:r>
              <w:t>/</w:t>
            </w:r>
          </w:p>
        </w:tc>
        <w:tc>
          <w:tcPr>
            <w:tcW w:w="892" w:type="dxa"/>
            <w:tcBorders>
              <w:bottom w:val="single" w:color="000000" w:sz="12" w:space="0"/>
            </w:tcBorders>
            <w:vAlign w:val="top"/>
          </w:tcPr>
          <w:p w14:paraId="0C0D082F">
            <w:pPr>
              <w:pStyle w:val="6"/>
              <w:spacing w:before="270" w:line="229" w:lineRule="auto"/>
              <w:ind w:left="297"/>
            </w:pPr>
            <w:r>
              <w:rPr>
                <w:b/>
                <w:bCs/>
                <w:spacing w:val="-4"/>
              </w:rPr>
              <w:t>196</w:t>
            </w:r>
          </w:p>
        </w:tc>
        <w:tc>
          <w:tcPr>
            <w:tcW w:w="892" w:type="dxa"/>
            <w:tcBorders>
              <w:bottom w:val="single" w:color="000000" w:sz="12" w:space="0"/>
            </w:tcBorders>
            <w:vAlign w:val="top"/>
          </w:tcPr>
          <w:p w14:paraId="0FFDFF3C">
            <w:pPr>
              <w:pStyle w:val="6"/>
              <w:spacing w:before="265" w:line="232" w:lineRule="auto"/>
              <w:ind w:left="415"/>
            </w:pPr>
            <w:r>
              <w:t>/</w:t>
            </w:r>
          </w:p>
        </w:tc>
        <w:tc>
          <w:tcPr>
            <w:tcW w:w="892" w:type="dxa"/>
            <w:tcBorders>
              <w:bottom w:val="single" w:color="000000" w:sz="12" w:space="0"/>
            </w:tcBorders>
            <w:vAlign w:val="top"/>
          </w:tcPr>
          <w:p w14:paraId="6BE3A937">
            <w:pPr>
              <w:pStyle w:val="6"/>
              <w:spacing w:before="270" w:line="229" w:lineRule="auto"/>
              <w:ind w:left="224"/>
            </w:pPr>
            <w:r>
              <w:rPr>
                <w:b/>
                <w:bCs/>
                <w:spacing w:val="-3"/>
              </w:rPr>
              <w:t>12.07</w:t>
            </w:r>
          </w:p>
        </w:tc>
        <w:tc>
          <w:tcPr>
            <w:tcW w:w="891" w:type="dxa"/>
            <w:tcBorders>
              <w:bottom w:val="single" w:color="000000" w:sz="12" w:space="0"/>
            </w:tcBorders>
            <w:vAlign w:val="top"/>
          </w:tcPr>
          <w:p w14:paraId="1A1656ED">
            <w:pPr>
              <w:pStyle w:val="6"/>
              <w:spacing w:before="265" w:line="232" w:lineRule="auto"/>
              <w:ind w:left="422"/>
            </w:pPr>
            <w:r>
              <w:t>/</w:t>
            </w:r>
          </w:p>
        </w:tc>
        <w:tc>
          <w:tcPr>
            <w:tcW w:w="906" w:type="dxa"/>
            <w:tcBorders>
              <w:bottom w:val="single" w:color="000000" w:sz="12" w:space="0"/>
              <w:right w:val="single" w:color="000000" w:sz="12" w:space="0"/>
            </w:tcBorders>
            <w:vAlign w:val="top"/>
          </w:tcPr>
          <w:p w14:paraId="0F54C559">
            <w:pPr>
              <w:pStyle w:val="6"/>
              <w:spacing w:before="265" w:line="232" w:lineRule="auto"/>
              <w:ind w:left="425"/>
            </w:pPr>
            <w:r>
              <w:t>/</w:t>
            </w:r>
          </w:p>
        </w:tc>
      </w:tr>
    </w:tbl>
    <w:p w14:paraId="475E7440">
      <w:pPr>
        <w:rPr>
          <w:rFonts w:ascii="Arial"/>
          <w:sz w:val="21"/>
        </w:rPr>
      </w:pPr>
    </w:p>
    <w:p w14:paraId="4402003F">
      <w:pPr>
        <w:rPr>
          <w:rFonts w:ascii="Arial" w:hAnsi="Arial" w:eastAsia="Arial" w:cs="Arial"/>
          <w:sz w:val="21"/>
          <w:szCs w:val="21"/>
        </w:rPr>
        <w:sectPr>
          <w:footerReference r:id="rId128" w:type="default"/>
          <w:pgSz w:w="11907" w:h="16839"/>
          <w:pgMar w:top="1376" w:right="1669" w:bottom="1061" w:left="1671" w:header="999" w:footer="861" w:gutter="0"/>
          <w:cols w:space="720" w:num="1"/>
        </w:sectPr>
      </w:pPr>
    </w:p>
    <w:p w14:paraId="08B126D2">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3B62D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272" w:type="dxa"/>
            <w:vMerge w:val="restart"/>
            <w:tcBorders>
              <w:top w:val="single" w:color="000000" w:sz="12" w:space="0"/>
              <w:left w:val="single" w:color="000000" w:sz="12" w:space="0"/>
              <w:bottom w:val="nil"/>
            </w:tcBorders>
            <w:vAlign w:val="top"/>
          </w:tcPr>
          <w:p w14:paraId="06C5085A">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1836" w:type="dxa"/>
            <w:gridSpan w:val="2"/>
            <w:vMerge w:val="restart"/>
            <w:tcBorders>
              <w:top w:val="single" w:color="000000" w:sz="12" w:space="0"/>
              <w:bottom w:val="nil"/>
            </w:tcBorders>
            <w:vAlign w:val="top"/>
          </w:tcPr>
          <w:p w14:paraId="5C23A3C9">
            <w:pPr>
              <w:spacing w:before="253" w:line="221" w:lineRule="auto"/>
              <w:ind w:left="49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07030F29">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51AADEC1">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06E52575">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72D25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272" w:type="dxa"/>
            <w:vMerge w:val="continue"/>
            <w:tcBorders>
              <w:top w:val="nil"/>
              <w:left w:val="single" w:color="000000" w:sz="12" w:space="0"/>
              <w:bottom w:val="nil"/>
            </w:tcBorders>
            <w:vAlign w:val="top"/>
          </w:tcPr>
          <w:p w14:paraId="68CC050F">
            <w:pPr>
              <w:rPr>
                <w:rFonts w:ascii="Arial"/>
                <w:sz w:val="21"/>
              </w:rPr>
            </w:pPr>
          </w:p>
        </w:tc>
        <w:tc>
          <w:tcPr>
            <w:tcW w:w="1836" w:type="dxa"/>
            <w:gridSpan w:val="2"/>
            <w:vMerge w:val="continue"/>
            <w:tcBorders>
              <w:top w:val="nil"/>
            </w:tcBorders>
            <w:vAlign w:val="top"/>
          </w:tcPr>
          <w:p w14:paraId="7507A0EE">
            <w:pPr>
              <w:rPr>
                <w:rFonts w:ascii="Arial"/>
                <w:sz w:val="21"/>
              </w:rPr>
            </w:pPr>
          </w:p>
        </w:tc>
        <w:tc>
          <w:tcPr>
            <w:tcW w:w="892" w:type="dxa"/>
            <w:vAlign w:val="top"/>
          </w:tcPr>
          <w:p w14:paraId="59A79DB3">
            <w:pPr>
              <w:spacing w:before="72"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6BC11946">
            <w:pPr>
              <w:spacing w:before="72"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11E3354D">
            <w:pPr>
              <w:spacing w:before="72"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0B93DFC">
            <w:pPr>
              <w:spacing w:before="72"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6B308159">
            <w:pPr>
              <w:spacing w:before="72"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1100B212">
            <w:pPr>
              <w:spacing w:before="72"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336FE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2" w:type="dxa"/>
            <w:vMerge w:val="continue"/>
            <w:tcBorders>
              <w:top w:val="nil"/>
              <w:left w:val="single" w:color="000000" w:sz="12" w:space="0"/>
              <w:bottom w:val="nil"/>
            </w:tcBorders>
            <w:vAlign w:val="top"/>
          </w:tcPr>
          <w:p w14:paraId="1225DC72">
            <w:pPr>
              <w:rPr>
                <w:rFonts w:ascii="Arial"/>
                <w:sz w:val="21"/>
              </w:rPr>
            </w:pPr>
          </w:p>
        </w:tc>
        <w:tc>
          <w:tcPr>
            <w:tcW w:w="422" w:type="dxa"/>
            <w:vMerge w:val="restart"/>
            <w:tcBorders>
              <w:bottom w:val="nil"/>
            </w:tcBorders>
            <w:vAlign w:val="top"/>
          </w:tcPr>
          <w:p w14:paraId="10B3D1FD">
            <w:pPr>
              <w:pStyle w:val="6"/>
              <w:spacing w:before="159" w:line="222" w:lineRule="auto"/>
              <w:ind w:left="151"/>
            </w:pPr>
            <w:r>
              <w:t>3</w:t>
            </w:r>
          </w:p>
          <w:p w14:paraId="13E6A42B">
            <w:pPr>
              <w:spacing w:line="219" w:lineRule="auto"/>
              <w:ind w:left="99"/>
              <w:rPr>
                <w:rFonts w:ascii="宋体" w:hAnsi="宋体" w:eastAsia="宋体" w:cs="宋体"/>
                <w:sz w:val="21"/>
                <w:szCs w:val="21"/>
              </w:rPr>
            </w:pPr>
            <w:r>
              <w:rPr>
                <w:rFonts w:ascii="宋体" w:hAnsi="宋体" w:eastAsia="宋体" w:cs="宋体"/>
                <w:sz w:val="21"/>
                <w:szCs w:val="21"/>
              </w:rPr>
              <w:t>季</w:t>
            </w:r>
          </w:p>
          <w:p w14:paraId="31936E62">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67A9F92">
            <w:pPr>
              <w:pStyle w:val="6"/>
              <w:spacing w:before="95" w:line="217" w:lineRule="auto"/>
              <w:ind w:left="274"/>
            </w:pPr>
            <w:r>
              <w:rPr>
                <w:spacing w:val="-1"/>
              </w:rPr>
              <w:t>2020/8/20</w:t>
            </w:r>
          </w:p>
        </w:tc>
        <w:tc>
          <w:tcPr>
            <w:tcW w:w="892" w:type="dxa"/>
            <w:vAlign w:val="top"/>
          </w:tcPr>
          <w:p w14:paraId="3ABD0365">
            <w:pPr>
              <w:pStyle w:val="6"/>
              <w:spacing w:before="95" w:line="217" w:lineRule="auto"/>
              <w:ind w:left="409"/>
            </w:pPr>
            <w:r>
              <w:t>/</w:t>
            </w:r>
          </w:p>
        </w:tc>
        <w:tc>
          <w:tcPr>
            <w:tcW w:w="892" w:type="dxa"/>
            <w:vAlign w:val="top"/>
          </w:tcPr>
          <w:p w14:paraId="306E33BD">
            <w:pPr>
              <w:pStyle w:val="6"/>
              <w:spacing w:before="99" w:line="213" w:lineRule="auto"/>
              <w:ind w:left="244"/>
            </w:pPr>
            <w:r>
              <w:rPr>
                <w:b/>
                <w:bCs/>
                <w:spacing w:val="-3"/>
              </w:rPr>
              <w:t>1879</w:t>
            </w:r>
          </w:p>
        </w:tc>
        <w:tc>
          <w:tcPr>
            <w:tcW w:w="892" w:type="dxa"/>
            <w:vAlign w:val="top"/>
          </w:tcPr>
          <w:p w14:paraId="5FD9247A">
            <w:pPr>
              <w:pStyle w:val="6"/>
              <w:spacing w:before="95" w:line="217" w:lineRule="auto"/>
              <w:ind w:left="415"/>
            </w:pPr>
            <w:r>
              <w:t>/</w:t>
            </w:r>
          </w:p>
        </w:tc>
        <w:tc>
          <w:tcPr>
            <w:tcW w:w="892" w:type="dxa"/>
            <w:vAlign w:val="top"/>
          </w:tcPr>
          <w:p w14:paraId="73FF930A">
            <w:pPr>
              <w:pStyle w:val="6"/>
              <w:spacing w:before="99" w:line="213" w:lineRule="auto"/>
              <w:ind w:left="277"/>
            </w:pPr>
            <w:r>
              <w:rPr>
                <w:b/>
                <w:bCs/>
                <w:spacing w:val="-4"/>
              </w:rPr>
              <w:t>18.9</w:t>
            </w:r>
          </w:p>
        </w:tc>
        <w:tc>
          <w:tcPr>
            <w:tcW w:w="891" w:type="dxa"/>
            <w:vAlign w:val="top"/>
          </w:tcPr>
          <w:p w14:paraId="309DEDBE">
            <w:pPr>
              <w:pStyle w:val="6"/>
              <w:spacing w:before="95" w:line="217" w:lineRule="auto"/>
              <w:ind w:left="422"/>
            </w:pPr>
            <w:r>
              <w:t>/</w:t>
            </w:r>
          </w:p>
        </w:tc>
        <w:tc>
          <w:tcPr>
            <w:tcW w:w="906" w:type="dxa"/>
            <w:tcBorders>
              <w:right w:val="single" w:color="000000" w:sz="12" w:space="0"/>
            </w:tcBorders>
            <w:vAlign w:val="top"/>
          </w:tcPr>
          <w:p w14:paraId="57D95136">
            <w:pPr>
              <w:pStyle w:val="6"/>
              <w:spacing w:before="95" w:line="217" w:lineRule="auto"/>
              <w:ind w:left="425"/>
            </w:pPr>
            <w:r>
              <w:t>/</w:t>
            </w:r>
          </w:p>
        </w:tc>
      </w:tr>
      <w:tr w14:paraId="09C97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continue"/>
            <w:tcBorders>
              <w:top w:val="nil"/>
              <w:left w:val="single" w:color="000000" w:sz="12" w:space="0"/>
              <w:bottom w:val="nil"/>
            </w:tcBorders>
            <w:vAlign w:val="top"/>
          </w:tcPr>
          <w:p w14:paraId="40412682">
            <w:pPr>
              <w:rPr>
                <w:rFonts w:ascii="Arial"/>
                <w:sz w:val="21"/>
              </w:rPr>
            </w:pPr>
          </w:p>
        </w:tc>
        <w:tc>
          <w:tcPr>
            <w:tcW w:w="422" w:type="dxa"/>
            <w:vMerge w:val="continue"/>
            <w:tcBorders>
              <w:top w:val="nil"/>
              <w:bottom w:val="nil"/>
            </w:tcBorders>
            <w:vAlign w:val="top"/>
          </w:tcPr>
          <w:p w14:paraId="707126E3">
            <w:pPr>
              <w:rPr>
                <w:rFonts w:ascii="Arial"/>
                <w:sz w:val="21"/>
              </w:rPr>
            </w:pPr>
          </w:p>
        </w:tc>
        <w:tc>
          <w:tcPr>
            <w:tcW w:w="1414" w:type="dxa"/>
            <w:vAlign w:val="top"/>
          </w:tcPr>
          <w:p w14:paraId="1E678878">
            <w:pPr>
              <w:pStyle w:val="6"/>
              <w:spacing w:before="98" w:line="212" w:lineRule="auto"/>
              <w:ind w:left="274"/>
            </w:pPr>
            <w:r>
              <w:rPr>
                <w:spacing w:val="-1"/>
              </w:rPr>
              <w:t>2020/8/21</w:t>
            </w:r>
          </w:p>
        </w:tc>
        <w:tc>
          <w:tcPr>
            <w:tcW w:w="892" w:type="dxa"/>
            <w:vAlign w:val="top"/>
          </w:tcPr>
          <w:p w14:paraId="1F762065">
            <w:pPr>
              <w:pStyle w:val="6"/>
              <w:spacing w:before="98" w:line="212" w:lineRule="auto"/>
              <w:ind w:left="409"/>
            </w:pPr>
            <w:r>
              <w:t>/</w:t>
            </w:r>
          </w:p>
        </w:tc>
        <w:tc>
          <w:tcPr>
            <w:tcW w:w="892" w:type="dxa"/>
            <w:vAlign w:val="top"/>
          </w:tcPr>
          <w:p w14:paraId="085F3C02">
            <w:pPr>
              <w:pStyle w:val="6"/>
              <w:spacing w:before="102" w:line="208" w:lineRule="auto"/>
              <w:ind w:left="244"/>
            </w:pPr>
            <w:r>
              <w:rPr>
                <w:b/>
                <w:bCs/>
                <w:spacing w:val="-3"/>
              </w:rPr>
              <w:t>1684</w:t>
            </w:r>
          </w:p>
        </w:tc>
        <w:tc>
          <w:tcPr>
            <w:tcW w:w="892" w:type="dxa"/>
            <w:vAlign w:val="top"/>
          </w:tcPr>
          <w:p w14:paraId="5694C32B">
            <w:pPr>
              <w:pStyle w:val="6"/>
              <w:spacing w:before="98" w:line="212" w:lineRule="auto"/>
              <w:ind w:left="415"/>
            </w:pPr>
            <w:r>
              <w:t>/</w:t>
            </w:r>
          </w:p>
        </w:tc>
        <w:tc>
          <w:tcPr>
            <w:tcW w:w="892" w:type="dxa"/>
            <w:vAlign w:val="top"/>
          </w:tcPr>
          <w:p w14:paraId="7B744773">
            <w:pPr>
              <w:pStyle w:val="6"/>
              <w:spacing w:before="102" w:line="208" w:lineRule="auto"/>
              <w:ind w:left="277"/>
            </w:pPr>
            <w:r>
              <w:rPr>
                <w:b/>
                <w:bCs/>
                <w:spacing w:val="-4"/>
              </w:rPr>
              <w:t>17.8</w:t>
            </w:r>
          </w:p>
        </w:tc>
        <w:tc>
          <w:tcPr>
            <w:tcW w:w="891" w:type="dxa"/>
            <w:vAlign w:val="top"/>
          </w:tcPr>
          <w:p w14:paraId="063440A4">
            <w:pPr>
              <w:pStyle w:val="6"/>
              <w:spacing w:before="98" w:line="212" w:lineRule="auto"/>
              <w:ind w:left="422"/>
            </w:pPr>
            <w:r>
              <w:t>/</w:t>
            </w:r>
          </w:p>
        </w:tc>
        <w:tc>
          <w:tcPr>
            <w:tcW w:w="906" w:type="dxa"/>
            <w:tcBorders>
              <w:right w:val="single" w:color="000000" w:sz="12" w:space="0"/>
            </w:tcBorders>
            <w:vAlign w:val="top"/>
          </w:tcPr>
          <w:p w14:paraId="42B483E0">
            <w:pPr>
              <w:pStyle w:val="6"/>
              <w:spacing w:before="98" w:line="212" w:lineRule="auto"/>
              <w:ind w:left="425"/>
            </w:pPr>
            <w:r>
              <w:t>/</w:t>
            </w:r>
          </w:p>
        </w:tc>
      </w:tr>
      <w:tr w14:paraId="2F732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2" w:type="dxa"/>
            <w:vMerge w:val="continue"/>
            <w:tcBorders>
              <w:top w:val="nil"/>
              <w:left w:val="single" w:color="000000" w:sz="12" w:space="0"/>
              <w:bottom w:val="nil"/>
            </w:tcBorders>
            <w:vAlign w:val="top"/>
          </w:tcPr>
          <w:p w14:paraId="5AE44C30">
            <w:pPr>
              <w:rPr>
                <w:rFonts w:ascii="Arial"/>
                <w:sz w:val="21"/>
              </w:rPr>
            </w:pPr>
          </w:p>
        </w:tc>
        <w:tc>
          <w:tcPr>
            <w:tcW w:w="422" w:type="dxa"/>
            <w:vMerge w:val="continue"/>
            <w:tcBorders>
              <w:top w:val="nil"/>
            </w:tcBorders>
            <w:vAlign w:val="top"/>
          </w:tcPr>
          <w:p w14:paraId="2FB0D0EE">
            <w:pPr>
              <w:rPr>
                <w:rFonts w:ascii="Arial"/>
                <w:sz w:val="21"/>
              </w:rPr>
            </w:pPr>
          </w:p>
        </w:tc>
        <w:tc>
          <w:tcPr>
            <w:tcW w:w="1414" w:type="dxa"/>
            <w:vAlign w:val="top"/>
          </w:tcPr>
          <w:p w14:paraId="0576209E">
            <w:pPr>
              <w:pStyle w:val="6"/>
              <w:spacing w:before="102" w:line="210" w:lineRule="auto"/>
              <w:ind w:left="274"/>
            </w:pPr>
            <w:r>
              <w:rPr>
                <w:spacing w:val="-1"/>
              </w:rPr>
              <w:t>2020/8/22</w:t>
            </w:r>
          </w:p>
        </w:tc>
        <w:tc>
          <w:tcPr>
            <w:tcW w:w="892" w:type="dxa"/>
            <w:vAlign w:val="top"/>
          </w:tcPr>
          <w:p w14:paraId="12510858">
            <w:pPr>
              <w:pStyle w:val="6"/>
              <w:spacing w:before="102" w:line="210" w:lineRule="auto"/>
              <w:ind w:left="409"/>
            </w:pPr>
            <w:r>
              <w:t>/</w:t>
            </w:r>
          </w:p>
        </w:tc>
        <w:tc>
          <w:tcPr>
            <w:tcW w:w="892" w:type="dxa"/>
            <w:vAlign w:val="top"/>
          </w:tcPr>
          <w:p w14:paraId="4ED0E176">
            <w:pPr>
              <w:pStyle w:val="6"/>
              <w:spacing w:before="106" w:line="206" w:lineRule="auto"/>
              <w:ind w:left="244"/>
            </w:pPr>
            <w:r>
              <w:rPr>
                <w:b/>
                <w:bCs/>
                <w:spacing w:val="-3"/>
              </w:rPr>
              <w:t>1728</w:t>
            </w:r>
          </w:p>
        </w:tc>
        <w:tc>
          <w:tcPr>
            <w:tcW w:w="892" w:type="dxa"/>
            <w:vAlign w:val="top"/>
          </w:tcPr>
          <w:p w14:paraId="42CA807E">
            <w:pPr>
              <w:pStyle w:val="6"/>
              <w:spacing w:before="102" w:line="210" w:lineRule="auto"/>
              <w:ind w:left="415"/>
            </w:pPr>
            <w:r>
              <w:t>/</w:t>
            </w:r>
          </w:p>
        </w:tc>
        <w:tc>
          <w:tcPr>
            <w:tcW w:w="892" w:type="dxa"/>
            <w:vAlign w:val="top"/>
          </w:tcPr>
          <w:p w14:paraId="31A53C2A">
            <w:pPr>
              <w:pStyle w:val="6"/>
              <w:spacing w:before="106" w:line="206" w:lineRule="auto"/>
              <w:ind w:left="277"/>
            </w:pPr>
            <w:r>
              <w:rPr>
                <w:b/>
                <w:bCs/>
                <w:spacing w:val="-4"/>
              </w:rPr>
              <w:t>19.4</w:t>
            </w:r>
          </w:p>
        </w:tc>
        <w:tc>
          <w:tcPr>
            <w:tcW w:w="891" w:type="dxa"/>
            <w:vAlign w:val="top"/>
          </w:tcPr>
          <w:p w14:paraId="42AE4BCF">
            <w:pPr>
              <w:pStyle w:val="6"/>
              <w:spacing w:before="102" w:line="210" w:lineRule="auto"/>
              <w:ind w:left="422"/>
            </w:pPr>
            <w:r>
              <w:t>/</w:t>
            </w:r>
          </w:p>
        </w:tc>
        <w:tc>
          <w:tcPr>
            <w:tcW w:w="906" w:type="dxa"/>
            <w:tcBorders>
              <w:right w:val="single" w:color="000000" w:sz="12" w:space="0"/>
            </w:tcBorders>
            <w:vAlign w:val="top"/>
          </w:tcPr>
          <w:p w14:paraId="2B633AD0">
            <w:pPr>
              <w:pStyle w:val="6"/>
              <w:spacing w:before="102" w:line="210" w:lineRule="auto"/>
              <w:ind w:left="425"/>
            </w:pPr>
            <w:r>
              <w:t>/</w:t>
            </w:r>
          </w:p>
        </w:tc>
      </w:tr>
      <w:tr w14:paraId="2DBC2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continue"/>
            <w:tcBorders>
              <w:top w:val="nil"/>
              <w:left w:val="single" w:color="000000" w:sz="12" w:space="0"/>
              <w:bottom w:val="nil"/>
            </w:tcBorders>
            <w:vAlign w:val="top"/>
          </w:tcPr>
          <w:p w14:paraId="5AD33E6F">
            <w:pPr>
              <w:rPr>
                <w:rFonts w:ascii="Arial"/>
                <w:sz w:val="21"/>
              </w:rPr>
            </w:pPr>
          </w:p>
        </w:tc>
        <w:tc>
          <w:tcPr>
            <w:tcW w:w="422" w:type="dxa"/>
            <w:vMerge w:val="restart"/>
            <w:tcBorders>
              <w:bottom w:val="nil"/>
            </w:tcBorders>
            <w:vAlign w:val="top"/>
          </w:tcPr>
          <w:p w14:paraId="2AD2DD89">
            <w:pPr>
              <w:pStyle w:val="6"/>
              <w:spacing w:before="169" w:line="222" w:lineRule="auto"/>
              <w:ind w:left="146"/>
            </w:pPr>
            <w:r>
              <w:t>4</w:t>
            </w:r>
          </w:p>
          <w:p w14:paraId="7FFBE4D4">
            <w:pPr>
              <w:spacing w:line="219" w:lineRule="auto"/>
              <w:ind w:left="99"/>
              <w:rPr>
                <w:rFonts w:ascii="宋体" w:hAnsi="宋体" w:eastAsia="宋体" w:cs="宋体"/>
                <w:sz w:val="21"/>
                <w:szCs w:val="21"/>
              </w:rPr>
            </w:pPr>
            <w:r>
              <w:rPr>
                <w:rFonts w:ascii="宋体" w:hAnsi="宋体" w:eastAsia="宋体" w:cs="宋体"/>
                <w:sz w:val="21"/>
                <w:szCs w:val="21"/>
              </w:rPr>
              <w:t>季</w:t>
            </w:r>
          </w:p>
          <w:p w14:paraId="4D62CE90">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F732A81">
            <w:pPr>
              <w:pStyle w:val="6"/>
              <w:spacing w:before="104" w:line="206" w:lineRule="auto"/>
              <w:ind w:left="221"/>
            </w:pPr>
            <w:r>
              <w:rPr>
                <w:spacing w:val="-1"/>
              </w:rPr>
              <w:t>2020/11/15</w:t>
            </w:r>
          </w:p>
        </w:tc>
        <w:tc>
          <w:tcPr>
            <w:tcW w:w="892" w:type="dxa"/>
            <w:vAlign w:val="top"/>
          </w:tcPr>
          <w:p w14:paraId="449D39E6">
            <w:pPr>
              <w:pStyle w:val="6"/>
              <w:spacing w:before="104" w:line="206" w:lineRule="auto"/>
              <w:ind w:left="409"/>
            </w:pPr>
            <w:r>
              <w:t>/</w:t>
            </w:r>
          </w:p>
        </w:tc>
        <w:tc>
          <w:tcPr>
            <w:tcW w:w="892" w:type="dxa"/>
            <w:vAlign w:val="top"/>
          </w:tcPr>
          <w:p w14:paraId="066CBB52">
            <w:pPr>
              <w:pStyle w:val="6"/>
              <w:spacing w:before="104" w:line="206" w:lineRule="auto"/>
              <w:ind w:left="346"/>
            </w:pPr>
            <w:r>
              <w:rPr>
                <w:spacing w:val="-3"/>
              </w:rPr>
              <w:t>51</w:t>
            </w:r>
          </w:p>
        </w:tc>
        <w:tc>
          <w:tcPr>
            <w:tcW w:w="892" w:type="dxa"/>
            <w:vAlign w:val="top"/>
          </w:tcPr>
          <w:p w14:paraId="1F0DC295">
            <w:pPr>
              <w:pStyle w:val="6"/>
              <w:spacing w:before="104" w:line="206" w:lineRule="auto"/>
              <w:ind w:left="415"/>
            </w:pPr>
            <w:r>
              <w:t>/</w:t>
            </w:r>
          </w:p>
        </w:tc>
        <w:tc>
          <w:tcPr>
            <w:tcW w:w="892" w:type="dxa"/>
            <w:vAlign w:val="top"/>
          </w:tcPr>
          <w:p w14:paraId="03597A30">
            <w:pPr>
              <w:pStyle w:val="6"/>
              <w:spacing w:before="108" w:line="202" w:lineRule="auto"/>
              <w:ind w:left="224"/>
            </w:pPr>
            <w:r>
              <w:rPr>
                <w:b/>
                <w:bCs/>
                <w:spacing w:val="-3"/>
              </w:rPr>
              <w:t>11.76</w:t>
            </w:r>
          </w:p>
        </w:tc>
        <w:tc>
          <w:tcPr>
            <w:tcW w:w="891" w:type="dxa"/>
            <w:vAlign w:val="top"/>
          </w:tcPr>
          <w:p w14:paraId="35C88733">
            <w:pPr>
              <w:pStyle w:val="6"/>
              <w:spacing w:before="104" w:line="206" w:lineRule="auto"/>
              <w:ind w:left="422"/>
            </w:pPr>
            <w:r>
              <w:t>/</w:t>
            </w:r>
          </w:p>
        </w:tc>
        <w:tc>
          <w:tcPr>
            <w:tcW w:w="906" w:type="dxa"/>
            <w:tcBorders>
              <w:right w:val="single" w:color="000000" w:sz="12" w:space="0"/>
            </w:tcBorders>
            <w:vAlign w:val="top"/>
          </w:tcPr>
          <w:p w14:paraId="61D8D842">
            <w:pPr>
              <w:pStyle w:val="6"/>
              <w:spacing w:before="104" w:line="206" w:lineRule="auto"/>
              <w:ind w:left="425"/>
            </w:pPr>
            <w:r>
              <w:t>/</w:t>
            </w:r>
          </w:p>
        </w:tc>
      </w:tr>
      <w:tr w14:paraId="42EEC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72" w:type="dxa"/>
            <w:vMerge w:val="continue"/>
            <w:tcBorders>
              <w:top w:val="nil"/>
              <w:left w:val="single" w:color="000000" w:sz="12" w:space="0"/>
              <w:bottom w:val="nil"/>
            </w:tcBorders>
            <w:vAlign w:val="top"/>
          </w:tcPr>
          <w:p w14:paraId="6EF1EBB4">
            <w:pPr>
              <w:rPr>
                <w:rFonts w:ascii="Arial"/>
                <w:sz w:val="21"/>
              </w:rPr>
            </w:pPr>
          </w:p>
        </w:tc>
        <w:tc>
          <w:tcPr>
            <w:tcW w:w="422" w:type="dxa"/>
            <w:vMerge w:val="continue"/>
            <w:tcBorders>
              <w:top w:val="nil"/>
              <w:bottom w:val="nil"/>
            </w:tcBorders>
            <w:vAlign w:val="top"/>
          </w:tcPr>
          <w:p w14:paraId="5C9691EC">
            <w:pPr>
              <w:rPr>
                <w:rFonts w:ascii="Arial"/>
                <w:sz w:val="21"/>
              </w:rPr>
            </w:pPr>
          </w:p>
        </w:tc>
        <w:tc>
          <w:tcPr>
            <w:tcW w:w="1414" w:type="dxa"/>
            <w:vAlign w:val="top"/>
          </w:tcPr>
          <w:p w14:paraId="4A792148">
            <w:pPr>
              <w:pStyle w:val="6"/>
              <w:spacing w:before="109" w:line="201" w:lineRule="auto"/>
              <w:ind w:left="221"/>
            </w:pPr>
            <w:r>
              <w:rPr>
                <w:spacing w:val="-1"/>
              </w:rPr>
              <w:t>2020/11/16</w:t>
            </w:r>
          </w:p>
        </w:tc>
        <w:tc>
          <w:tcPr>
            <w:tcW w:w="892" w:type="dxa"/>
            <w:vAlign w:val="top"/>
          </w:tcPr>
          <w:p w14:paraId="3D9B6A14">
            <w:pPr>
              <w:pStyle w:val="6"/>
              <w:spacing w:before="109" w:line="201" w:lineRule="auto"/>
              <w:ind w:left="409"/>
            </w:pPr>
            <w:r>
              <w:t>/</w:t>
            </w:r>
          </w:p>
        </w:tc>
        <w:tc>
          <w:tcPr>
            <w:tcW w:w="892" w:type="dxa"/>
            <w:vAlign w:val="top"/>
          </w:tcPr>
          <w:p w14:paraId="30C0C6D4">
            <w:pPr>
              <w:pStyle w:val="6"/>
              <w:spacing w:before="109" w:line="201" w:lineRule="auto"/>
              <w:ind w:left="339"/>
            </w:pPr>
            <w:r>
              <w:rPr>
                <w:spacing w:val="-1"/>
              </w:rPr>
              <w:t>48</w:t>
            </w:r>
          </w:p>
        </w:tc>
        <w:tc>
          <w:tcPr>
            <w:tcW w:w="892" w:type="dxa"/>
            <w:vAlign w:val="top"/>
          </w:tcPr>
          <w:p w14:paraId="234CD07B">
            <w:pPr>
              <w:pStyle w:val="6"/>
              <w:spacing w:before="109" w:line="201" w:lineRule="auto"/>
              <w:ind w:left="415"/>
            </w:pPr>
            <w:r>
              <w:t>/</w:t>
            </w:r>
          </w:p>
        </w:tc>
        <w:tc>
          <w:tcPr>
            <w:tcW w:w="892" w:type="dxa"/>
            <w:vAlign w:val="top"/>
          </w:tcPr>
          <w:p w14:paraId="20FF851D">
            <w:pPr>
              <w:pStyle w:val="6"/>
              <w:spacing w:before="113" w:line="197" w:lineRule="auto"/>
              <w:ind w:left="224"/>
            </w:pPr>
            <w:r>
              <w:rPr>
                <w:b/>
                <w:bCs/>
                <w:spacing w:val="-3"/>
              </w:rPr>
              <w:t>11.69</w:t>
            </w:r>
          </w:p>
        </w:tc>
        <w:tc>
          <w:tcPr>
            <w:tcW w:w="891" w:type="dxa"/>
            <w:vAlign w:val="top"/>
          </w:tcPr>
          <w:p w14:paraId="7F7C4297">
            <w:pPr>
              <w:pStyle w:val="6"/>
              <w:spacing w:before="109" w:line="201" w:lineRule="auto"/>
              <w:ind w:left="422"/>
            </w:pPr>
            <w:r>
              <w:t>/</w:t>
            </w:r>
          </w:p>
        </w:tc>
        <w:tc>
          <w:tcPr>
            <w:tcW w:w="906" w:type="dxa"/>
            <w:tcBorders>
              <w:right w:val="single" w:color="000000" w:sz="12" w:space="0"/>
            </w:tcBorders>
            <w:vAlign w:val="top"/>
          </w:tcPr>
          <w:p w14:paraId="651A4F53">
            <w:pPr>
              <w:pStyle w:val="6"/>
              <w:spacing w:before="109" w:line="201" w:lineRule="auto"/>
              <w:ind w:left="425"/>
            </w:pPr>
            <w:r>
              <w:t>/</w:t>
            </w:r>
          </w:p>
        </w:tc>
      </w:tr>
      <w:tr w14:paraId="02FAF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272" w:type="dxa"/>
            <w:vMerge w:val="continue"/>
            <w:tcBorders>
              <w:top w:val="nil"/>
              <w:left w:val="single" w:color="000000" w:sz="12" w:space="0"/>
              <w:bottom w:val="single" w:color="000000" w:sz="12" w:space="0"/>
            </w:tcBorders>
            <w:vAlign w:val="top"/>
          </w:tcPr>
          <w:p w14:paraId="0948AF25">
            <w:pPr>
              <w:rPr>
                <w:rFonts w:ascii="Arial"/>
                <w:sz w:val="21"/>
              </w:rPr>
            </w:pPr>
          </w:p>
        </w:tc>
        <w:tc>
          <w:tcPr>
            <w:tcW w:w="422" w:type="dxa"/>
            <w:vMerge w:val="continue"/>
            <w:tcBorders>
              <w:top w:val="nil"/>
              <w:bottom w:val="single" w:color="000000" w:sz="12" w:space="0"/>
            </w:tcBorders>
            <w:vAlign w:val="top"/>
          </w:tcPr>
          <w:p w14:paraId="68DEE0B8">
            <w:pPr>
              <w:rPr>
                <w:rFonts w:ascii="Arial"/>
                <w:sz w:val="21"/>
              </w:rPr>
            </w:pPr>
          </w:p>
        </w:tc>
        <w:tc>
          <w:tcPr>
            <w:tcW w:w="1414" w:type="dxa"/>
            <w:tcBorders>
              <w:bottom w:val="single" w:color="000000" w:sz="12" w:space="0"/>
            </w:tcBorders>
            <w:vAlign w:val="top"/>
          </w:tcPr>
          <w:p w14:paraId="5306EB46">
            <w:pPr>
              <w:pStyle w:val="6"/>
              <w:spacing w:before="113" w:line="221" w:lineRule="auto"/>
              <w:ind w:left="221"/>
            </w:pPr>
            <w:r>
              <w:rPr>
                <w:spacing w:val="-1"/>
              </w:rPr>
              <w:t>2020/11/17</w:t>
            </w:r>
          </w:p>
        </w:tc>
        <w:tc>
          <w:tcPr>
            <w:tcW w:w="892" w:type="dxa"/>
            <w:tcBorders>
              <w:bottom w:val="single" w:color="000000" w:sz="12" w:space="0"/>
            </w:tcBorders>
            <w:vAlign w:val="top"/>
          </w:tcPr>
          <w:p w14:paraId="2088FE90">
            <w:pPr>
              <w:pStyle w:val="6"/>
              <w:spacing w:before="113" w:line="221" w:lineRule="auto"/>
              <w:ind w:left="409"/>
            </w:pPr>
            <w:r>
              <w:t>/</w:t>
            </w:r>
          </w:p>
        </w:tc>
        <w:tc>
          <w:tcPr>
            <w:tcW w:w="892" w:type="dxa"/>
            <w:tcBorders>
              <w:bottom w:val="single" w:color="000000" w:sz="12" w:space="0"/>
            </w:tcBorders>
            <w:vAlign w:val="top"/>
          </w:tcPr>
          <w:p w14:paraId="18FA2626">
            <w:pPr>
              <w:pStyle w:val="6"/>
              <w:spacing w:before="113" w:line="221" w:lineRule="auto"/>
              <w:ind w:left="346"/>
            </w:pPr>
            <w:r>
              <w:rPr>
                <w:spacing w:val="-3"/>
              </w:rPr>
              <w:t>54</w:t>
            </w:r>
          </w:p>
        </w:tc>
        <w:tc>
          <w:tcPr>
            <w:tcW w:w="892" w:type="dxa"/>
            <w:tcBorders>
              <w:bottom w:val="single" w:color="000000" w:sz="12" w:space="0"/>
            </w:tcBorders>
            <w:vAlign w:val="top"/>
          </w:tcPr>
          <w:p w14:paraId="51F503A7">
            <w:pPr>
              <w:pStyle w:val="6"/>
              <w:spacing w:before="113" w:line="221" w:lineRule="auto"/>
              <w:ind w:left="415"/>
            </w:pPr>
            <w:r>
              <w:t>/</w:t>
            </w:r>
          </w:p>
        </w:tc>
        <w:tc>
          <w:tcPr>
            <w:tcW w:w="892" w:type="dxa"/>
            <w:tcBorders>
              <w:bottom w:val="single" w:color="000000" w:sz="12" w:space="0"/>
            </w:tcBorders>
            <w:vAlign w:val="top"/>
          </w:tcPr>
          <w:p w14:paraId="442E61D7">
            <w:pPr>
              <w:pStyle w:val="6"/>
              <w:spacing w:before="118" w:line="216" w:lineRule="auto"/>
              <w:ind w:left="224"/>
            </w:pPr>
            <w:r>
              <w:rPr>
                <w:b/>
                <w:bCs/>
                <w:spacing w:val="-3"/>
              </w:rPr>
              <w:t>11.78</w:t>
            </w:r>
          </w:p>
        </w:tc>
        <w:tc>
          <w:tcPr>
            <w:tcW w:w="891" w:type="dxa"/>
            <w:tcBorders>
              <w:bottom w:val="single" w:color="000000" w:sz="12" w:space="0"/>
            </w:tcBorders>
            <w:vAlign w:val="top"/>
          </w:tcPr>
          <w:p w14:paraId="4D706398">
            <w:pPr>
              <w:pStyle w:val="6"/>
              <w:spacing w:before="113" w:line="221" w:lineRule="auto"/>
              <w:ind w:left="422"/>
            </w:pPr>
            <w:r>
              <w:t>/</w:t>
            </w:r>
          </w:p>
        </w:tc>
        <w:tc>
          <w:tcPr>
            <w:tcW w:w="906" w:type="dxa"/>
            <w:tcBorders>
              <w:bottom w:val="single" w:color="000000" w:sz="12" w:space="0"/>
              <w:right w:val="single" w:color="000000" w:sz="12" w:space="0"/>
            </w:tcBorders>
            <w:vAlign w:val="top"/>
          </w:tcPr>
          <w:p w14:paraId="254F33E4">
            <w:pPr>
              <w:pStyle w:val="6"/>
              <w:spacing w:before="113" w:line="221" w:lineRule="auto"/>
              <w:ind w:left="425"/>
            </w:pPr>
            <w:r>
              <w:t>/</w:t>
            </w:r>
          </w:p>
        </w:tc>
      </w:tr>
    </w:tbl>
    <w:p w14:paraId="429E7416">
      <w:pPr>
        <w:pStyle w:val="2"/>
        <w:spacing w:before="30" w:line="220" w:lineRule="auto"/>
        <w:ind w:left="40"/>
        <w:rPr>
          <w:sz w:val="21"/>
          <w:szCs w:val="21"/>
        </w:rPr>
      </w:pPr>
      <w:r>
        <w:rPr>
          <w:sz w:val="21"/>
          <w:szCs w:val="21"/>
        </w:rPr>
        <w:t>备注：表中带</w:t>
      </w:r>
      <w:r>
        <w:rPr>
          <w:rFonts w:ascii="Times New Roman" w:hAnsi="Times New Roman" w:eastAsia="Times New Roman" w:cs="Times New Roman"/>
          <w:sz w:val="21"/>
          <w:szCs w:val="21"/>
        </w:rPr>
        <w:t>“L”</w:t>
      </w:r>
      <w:r>
        <w:rPr>
          <w:sz w:val="21"/>
          <w:szCs w:val="21"/>
        </w:rPr>
        <w:t>数据表示低于方法检出限</w:t>
      </w:r>
      <w:r>
        <w:rPr>
          <w:spacing w:val="-1"/>
          <w:sz w:val="21"/>
          <w:szCs w:val="21"/>
        </w:rPr>
        <w:t>，</w:t>
      </w:r>
      <w:r>
        <w:rPr>
          <w:rFonts w:ascii="Times New Roman" w:hAnsi="Times New Roman" w:eastAsia="Times New Roman" w:cs="Times New Roman"/>
          <w:spacing w:val="-1"/>
          <w:sz w:val="21"/>
          <w:szCs w:val="21"/>
        </w:rPr>
        <w:t>“/”</w:t>
      </w:r>
      <w:r>
        <w:rPr>
          <w:spacing w:val="-1"/>
          <w:sz w:val="21"/>
          <w:szCs w:val="21"/>
        </w:rPr>
        <w:t>表示未进行监测。</w:t>
      </w:r>
    </w:p>
    <w:p w14:paraId="67EFFB65">
      <w:pPr>
        <w:spacing w:line="293" w:lineRule="auto"/>
        <w:rPr>
          <w:rFonts w:ascii="Arial"/>
          <w:sz w:val="21"/>
        </w:rPr>
      </w:pPr>
    </w:p>
    <w:p w14:paraId="2376DEAD">
      <w:pPr>
        <w:spacing w:line="294" w:lineRule="auto"/>
        <w:rPr>
          <w:rFonts w:ascii="Arial"/>
          <w:sz w:val="21"/>
        </w:rPr>
      </w:pPr>
    </w:p>
    <w:p w14:paraId="0B1E212E">
      <w:pPr>
        <w:spacing w:line="294" w:lineRule="auto"/>
        <w:rPr>
          <w:rFonts w:ascii="Arial"/>
          <w:sz w:val="21"/>
        </w:rPr>
      </w:pPr>
    </w:p>
    <w:p w14:paraId="3AC539E3">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5.1.3                      2021 </w:t>
      </w:r>
      <w:r>
        <w:rPr>
          <w:b/>
          <w:bCs/>
          <w:sz w:val="24"/>
          <w:szCs w:val="24"/>
        </w:rPr>
        <w:t>年施</w:t>
      </w:r>
      <w:r>
        <w:rPr>
          <w:b/>
          <w:bCs/>
          <w:spacing w:val="-1"/>
          <w:sz w:val="24"/>
          <w:szCs w:val="24"/>
        </w:rPr>
        <w:t>工期生产废水处理系统进、出口水质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74119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4DFB1FE1">
            <w:pPr>
              <w:spacing w:before="255"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1836" w:type="dxa"/>
            <w:gridSpan w:val="2"/>
            <w:vMerge w:val="restart"/>
            <w:tcBorders>
              <w:top w:val="single" w:color="000000" w:sz="12" w:space="0"/>
              <w:bottom w:val="nil"/>
            </w:tcBorders>
            <w:vAlign w:val="top"/>
          </w:tcPr>
          <w:p w14:paraId="613270F9">
            <w:pPr>
              <w:spacing w:before="255" w:line="221" w:lineRule="auto"/>
              <w:ind w:left="49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54D801D1">
            <w:pPr>
              <w:pStyle w:val="6"/>
              <w:spacing w:before="71"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0C859CF7">
            <w:pPr>
              <w:pStyle w:val="6"/>
              <w:spacing w:before="71"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0C33FE12">
            <w:pPr>
              <w:pStyle w:val="6"/>
              <w:spacing w:before="71"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1F319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tcBorders>
            <w:vAlign w:val="top"/>
          </w:tcPr>
          <w:p w14:paraId="27907141">
            <w:pPr>
              <w:rPr>
                <w:rFonts w:ascii="Arial"/>
                <w:sz w:val="21"/>
              </w:rPr>
            </w:pPr>
          </w:p>
        </w:tc>
        <w:tc>
          <w:tcPr>
            <w:tcW w:w="1836" w:type="dxa"/>
            <w:gridSpan w:val="2"/>
            <w:vMerge w:val="continue"/>
            <w:tcBorders>
              <w:top w:val="nil"/>
            </w:tcBorders>
            <w:vAlign w:val="top"/>
          </w:tcPr>
          <w:p w14:paraId="4B548416">
            <w:pPr>
              <w:rPr>
                <w:rFonts w:ascii="Arial"/>
                <w:sz w:val="21"/>
              </w:rPr>
            </w:pPr>
          </w:p>
        </w:tc>
        <w:tc>
          <w:tcPr>
            <w:tcW w:w="892" w:type="dxa"/>
            <w:vAlign w:val="top"/>
          </w:tcPr>
          <w:p w14:paraId="1D5939D5">
            <w:pPr>
              <w:spacing w:before="71"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1E0F2F99">
            <w:pPr>
              <w:spacing w:before="70"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20188DA0">
            <w:pPr>
              <w:spacing w:before="71"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1AC38E19">
            <w:pPr>
              <w:spacing w:before="70"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59C7A555">
            <w:pPr>
              <w:spacing w:before="71"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7659000A">
            <w:pPr>
              <w:spacing w:before="70"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1C4EA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restart"/>
            <w:tcBorders>
              <w:left w:val="single" w:color="000000" w:sz="12" w:space="0"/>
              <w:bottom w:val="nil"/>
            </w:tcBorders>
            <w:vAlign w:val="top"/>
          </w:tcPr>
          <w:p w14:paraId="7308C112">
            <w:pPr>
              <w:spacing w:line="241" w:lineRule="auto"/>
              <w:rPr>
                <w:rFonts w:ascii="Arial"/>
                <w:sz w:val="21"/>
              </w:rPr>
            </w:pPr>
          </w:p>
          <w:p w14:paraId="5A5BF0A3">
            <w:pPr>
              <w:spacing w:line="242" w:lineRule="auto"/>
              <w:rPr>
                <w:rFonts w:ascii="Arial"/>
                <w:sz w:val="21"/>
              </w:rPr>
            </w:pPr>
          </w:p>
          <w:p w14:paraId="497E9839">
            <w:pPr>
              <w:spacing w:line="242" w:lineRule="auto"/>
              <w:rPr>
                <w:rFonts w:ascii="Arial"/>
                <w:sz w:val="21"/>
              </w:rPr>
            </w:pPr>
          </w:p>
          <w:p w14:paraId="366616BE">
            <w:pPr>
              <w:spacing w:line="242" w:lineRule="auto"/>
              <w:rPr>
                <w:rFonts w:ascii="Arial"/>
                <w:sz w:val="21"/>
              </w:rPr>
            </w:pPr>
          </w:p>
          <w:p w14:paraId="0682D77C">
            <w:pPr>
              <w:spacing w:line="242" w:lineRule="auto"/>
              <w:rPr>
                <w:rFonts w:ascii="Arial"/>
                <w:sz w:val="21"/>
              </w:rPr>
            </w:pPr>
          </w:p>
          <w:p w14:paraId="1F69D3C5">
            <w:pPr>
              <w:spacing w:line="242" w:lineRule="auto"/>
              <w:rPr>
                <w:rFonts w:ascii="Arial"/>
                <w:sz w:val="21"/>
              </w:rPr>
            </w:pPr>
          </w:p>
          <w:p w14:paraId="6BA1D397">
            <w:pPr>
              <w:spacing w:line="242" w:lineRule="auto"/>
              <w:rPr>
                <w:rFonts w:ascii="Arial"/>
                <w:sz w:val="21"/>
              </w:rPr>
            </w:pPr>
          </w:p>
          <w:p w14:paraId="2224CEC5">
            <w:pPr>
              <w:pStyle w:val="6"/>
              <w:spacing w:before="68" w:line="236" w:lineRule="auto"/>
              <w:ind w:left="207" w:right="109" w:hanging="108"/>
              <w:rPr>
                <w:rFonts w:ascii="宋体" w:hAnsi="宋体" w:eastAsia="宋体" w:cs="宋体"/>
              </w:rPr>
            </w:pPr>
            <w:r>
              <w:rPr>
                <w:spacing w:val="-2"/>
              </w:rPr>
              <w:t>3#</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0F553D77">
            <w:pPr>
              <w:pStyle w:val="6"/>
              <w:spacing w:before="153" w:line="223" w:lineRule="auto"/>
              <w:ind w:left="167"/>
            </w:pPr>
            <w:r>
              <w:t>1</w:t>
            </w:r>
          </w:p>
          <w:p w14:paraId="2C714551">
            <w:pPr>
              <w:spacing w:line="219" w:lineRule="auto"/>
              <w:ind w:left="99"/>
              <w:rPr>
                <w:rFonts w:ascii="宋体" w:hAnsi="宋体" w:eastAsia="宋体" w:cs="宋体"/>
                <w:sz w:val="21"/>
                <w:szCs w:val="21"/>
              </w:rPr>
            </w:pPr>
            <w:r>
              <w:rPr>
                <w:rFonts w:ascii="宋体" w:hAnsi="宋体" w:eastAsia="宋体" w:cs="宋体"/>
                <w:sz w:val="21"/>
                <w:szCs w:val="21"/>
              </w:rPr>
              <w:t>季</w:t>
            </w:r>
          </w:p>
          <w:p w14:paraId="6D5C7201">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C30591A">
            <w:pPr>
              <w:pStyle w:val="6"/>
              <w:spacing w:before="89" w:line="225" w:lineRule="auto"/>
              <w:ind w:left="274"/>
            </w:pPr>
            <w:r>
              <w:rPr>
                <w:spacing w:val="-1"/>
              </w:rPr>
              <w:t>2021/3/18</w:t>
            </w:r>
          </w:p>
        </w:tc>
        <w:tc>
          <w:tcPr>
            <w:tcW w:w="892" w:type="dxa"/>
            <w:vAlign w:val="top"/>
          </w:tcPr>
          <w:p w14:paraId="1BFCE1E1">
            <w:pPr>
              <w:pStyle w:val="6"/>
              <w:spacing w:before="89" w:line="225" w:lineRule="auto"/>
              <w:ind w:left="336"/>
            </w:pPr>
            <w:r>
              <w:rPr>
                <w:spacing w:val="-1"/>
              </w:rPr>
              <w:t>42</w:t>
            </w:r>
          </w:p>
        </w:tc>
        <w:tc>
          <w:tcPr>
            <w:tcW w:w="892" w:type="dxa"/>
            <w:vAlign w:val="top"/>
          </w:tcPr>
          <w:p w14:paraId="3E34AFEF">
            <w:pPr>
              <w:pStyle w:val="6"/>
              <w:spacing w:before="89" w:line="225" w:lineRule="auto"/>
              <w:ind w:left="399"/>
            </w:pPr>
            <w:r>
              <w:t>5</w:t>
            </w:r>
          </w:p>
        </w:tc>
        <w:tc>
          <w:tcPr>
            <w:tcW w:w="892" w:type="dxa"/>
            <w:vAlign w:val="top"/>
          </w:tcPr>
          <w:p w14:paraId="15FE24D4">
            <w:pPr>
              <w:pStyle w:val="6"/>
              <w:spacing w:before="89" w:line="225" w:lineRule="auto"/>
              <w:ind w:left="268"/>
            </w:pPr>
            <w:r>
              <w:rPr>
                <w:spacing w:val="-2"/>
              </w:rPr>
              <w:t>7.91</w:t>
            </w:r>
          </w:p>
        </w:tc>
        <w:tc>
          <w:tcPr>
            <w:tcW w:w="892" w:type="dxa"/>
            <w:vAlign w:val="top"/>
          </w:tcPr>
          <w:p w14:paraId="767AD80B">
            <w:pPr>
              <w:pStyle w:val="6"/>
              <w:spacing w:before="89" w:line="225" w:lineRule="auto"/>
              <w:ind w:left="271"/>
            </w:pPr>
            <w:r>
              <w:rPr>
                <w:spacing w:val="-2"/>
              </w:rPr>
              <w:t>7.66</w:t>
            </w:r>
          </w:p>
        </w:tc>
        <w:tc>
          <w:tcPr>
            <w:tcW w:w="891" w:type="dxa"/>
            <w:vAlign w:val="top"/>
          </w:tcPr>
          <w:p w14:paraId="4A82F7B1">
            <w:pPr>
              <w:pStyle w:val="6"/>
              <w:spacing w:before="89" w:line="225" w:lineRule="auto"/>
              <w:ind w:left="274"/>
            </w:pPr>
            <w:r>
              <w:rPr>
                <w:spacing w:val="-2"/>
              </w:rPr>
              <w:t>0.17</w:t>
            </w:r>
          </w:p>
        </w:tc>
        <w:tc>
          <w:tcPr>
            <w:tcW w:w="906" w:type="dxa"/>
            <w:tcBorders>
              <w:right w:val="single" w:color="000000" w:sz="12" w:space="0"/>
            </w:tcBorders>
            <w:vAlign w:val="top"/>
          </w:tcPr>
          <w:p w14:paraId="22C48CA5">
            <w:pPr>
              <w:pStyle w:val="6"/>
              <w:spacing w:before="89" w:line="225" w:lineRule="auto"/>
              <w:ind w:left="277"/>
            </w:pPr>
            <w:r>
              <w:rPr>
                <w:spacing w:val="-2"/>
              </w:rPr>
              <w:t>0.07</w:t>
            </w:r>
          </w:p>
        </w:tc>
      </w:tr>
      <w:tr w14:paraId="0011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48FF5F1">
            <w:pPr>
              <w:rPr>
                <w:rFonts w:ascii="Arial"/>
                <w:sz w:val="21"/>
              </w:rPr>
            </w:pPr>
          </w:p>
        </w:tc>
        <w:tc>
          <w:tcPr>
            <w:tcW w:w="422" w:type="dxa"/>
            <w:vMerge w:val="continue"/>
            <w:tcBorders>
              <w:top w:val="nil"/>
              <w:bottom w:val="nil"/>
            </w:tcBorders>
            <w:vAlign w:val="top"/>
          </w:tcPr>
          <w:p w14:paraId="25694CCA">
            <w:pPr>
              <w:rPr>
                <w:rFonts w:ascii="Arial"/>
                <w:sz w:val="21"/>
              </w:rPr>
            </w:pPr>
          </w:p>
        </w:tc>
        <w:tc>
          <w:tcPr>
            <w:tcW w:w="1414" w:type="dxa"/>
            <w:vAlign w:val="top"/>
          </w:tcPr>
          <w:p w14:paraId="1D6D611B">
            <w:pPr>
              <w:pStyle w:val="6"/>
              <w:spacing w:before="89" w:line="224" w:lineRule="auto"/>
              <w:ind w:left="274"/>
            </w:pPr>
            <w:r>
              <w:rPr>
                <w:spacing w:val="-1"/>
              </w:rPr>
              <w:t>2021/3/19</w:t>
            </w:r>
          </w:p>
        </w:tc>
        <w:tc>
          <w:tcPr>
            <w:tcW w:w="892" w:type="dxa"/>
            <w:vAlign w:val="top"/>
          </w:tcPr>
          <w:p w14:paraId="67DFF987">
            <w:pPr>
              <w:pStyle w:val="6"/>
              <w:spacing w:before="89" w:line="224" w:lineRule="auto"/>
              <w:ind w:left="341"/>
            </w:pPr>
            <w:r>
              <w:rPr>
                <w:spacing w:val="-3"/>
              </w:rPr>
              <w:t>39</w:t>
            </w:r>
          </w:p>
        </w:tc>
        <w:tc>
          <w:tcPr>
            <w:tcW w:w="892" w:type="dxa"/>
            <w:vAlign w:val="top"/>
          </w:tcPr>
          <w:p w14:paraId="1B028546">
            <w:pPr>
              <w:pStyle w:val="6"/>
              <w:spacing w:before="89" w:line="224" w:lineRule="auto"/>
              <w:ind w:left="396"/>
            </w:pPr>
            <w:r>
              <w:t>7</w:t>
            </w:r>
          </w:p>
        </w:tc>
        <w:tc>
          <w:tcPr>
            <w:tcW w:w="892" w:type="dxa"/>
            <w:vAlign w:val="top"/>
          </w:tcPr>
          <w:p w14:paraId="7289EA4D">
            <w:pPr>
              <w:pStyle w:val="6"/>
              <w:spacing w:before="89" w:line="224" w:lineRule="auto"/>
              <w:ind w:left="268"/>
            </w:pPr>
            <w:r>
              <w:rPr>
                <w:spacing w:val="-2"/>
              </w:rPr>
              <w:t>7.85</w:t>
            </w:r>
          </w:p>
        </w:tc>
        <w:tc>
          <w:tcPr>
            <w:tcW w:w="892" w:type="dxa"/>
            <w:vAlign w:val="top"/>
          </w:tcPr>
          <w:p w14:paraId="0347CB0A">
            <w:pPr>
              <w:pStyle w:val="6"/>
              <w:spacing w:before="89" w:line="224" w:lineRule="auto"/>
              <w:ind w:left="271"/>
            </w:pPr>
            <w:r>
              <w:rPr>
                <w:spacing w:val="-2"/>
              </w:rPr>
              <w:t>7.72</w:t>
            </w:r>
          </w:p>
        </w:tc>
        <w:tc>
          <w:tcPr>
            <w:tcW w:w="891" w:type="dxa"/>
            <w:vAlign w:val="top"/>
          </w:tcPr>
          <w:p w14:paraId="7B00D812">
            <w:pPr>
              <w:pStyle w:val="6"/>
              <w:spacing w:before="89" w:line="224" w:lineRule="auto"/>
              <w:ind w:left="274"/>
            </w:pPr>
            <w:r>
              <w:rPr>
                <w:spacing w:val="-2"/>
              </w:rPr>
              <w:t>0.17</w:t>
            </w:r>
          </w:p>
        </w:tc>
        <w:tc>
          <w:tcPr>
            <w:tcW w:w="906" w:type="dxa"/>
            <w:tcBorders>
              <w:right w:val="single" w:color="000000" w:sz="12" w:space="0"/>
            </w:tcBorders>
            <w:vAlign w:val="top"/>
          </w:tcPr>
          <w:p w14:paraId="75AF8F5D">
            <w:pPr>
              <w:pStyle w:val="6"/>
              <w:spacing w:before="89" w:line="224" w:lineRule="auto"/>
              <w:ind w:left="277"/>
            </w:pPr>
            <w:r>
              <w:rPr>
                <w:spacing w:val="-2"/>
              </w:rPr>
              <w:t>0.07</w:t>
            </w:r>
          </w:p>
        </w:tc>
      </w:tr>
      <w:tr w14:paraId="0A56F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FE32BC2">
            <w:pPr>
              <w:rPr>
                <w:rFonts w:ascii="Arial"/>
                <w:sz w:val="21"/>
              </w:rPr>
            </w:pPr>
          </w:p>
        </w:tc>
        <w:tc>
          <w:tcPr>
            <w:tcW w:w="422" w:type="dxa"/>
            <w:vMerge w:val="continue"/>
            <w:tcBorders>
              <w:top w:val="nil"/>
            </w:tcBorders>
            <w:vAlign w:val="top"/>
          </w:tcPr>
          <w:p w14:paraId="2BEFADFE">
            <w:pPr>
              <w:rPr>
                <w:rFonts w:ascii="Arial"/>
                <w:sz w:val="21"/>
              </w:rPr>
            </w:pPr>
          </w:p>
        </w:tc>
        <w:tc>
          <w:tcPr>
            <w:tcW w:w="1414" w:type="dxa"/>
            <w:vAlign w:val="top"/>
          </w:tcPr>
          <w:p w14:paraId="3A1D641D">
            <w:pPr>
              <w:pStyle w:val="6"/>
              <w:spacing w:before="92" w:line="221" w:lineRule="auto"/>
              <w:ind w:left="274"/>
            </w:pPr>
            <w:r>
              <w:rPr>
                <w:spacing w:val="-1"/>
              </w:rPr>
              <w:t>2021/3/20</w:t>
            </w:r>
          </w:p>
        </w:tc>
        <w:tc>
          <w:tcPr>
            <w:tcW w:w="892" w:type="dxa"/>
            <w:vAlign w:val="top"/>
          </w:tcPr>
          <w:p w14:paraId="273D588C">
            <w:pPr>
              <w:pStyle w:val="6"/>
              <w:spacing w:before="92" w:line="221" w:lineRule="auto"/>
              <w:ind w:left="336"/>
            </w:pPr>
            <w:r>
              <w:rPr>
                <w:spacing w:val="-1"/>
              </w:rPr>
              <w:t>45</w:t>
            </w:r>
          </w:p>
        </w:tc>
        <w:tc>
          <w:tcPr>
            <w:tcW w:w="892" w:type="dxa"/>
            <w:vAlign w:val="top"/>
          </w:tcPr>
          <w:p w14:paraId="2910C0F4">
            <w:pPr>
              <w:pStyle w:val="6"/>
              <w:spacing w:before="92" w:line="221" w:lineRule="auto"/>
              <w:ind w:left="398"/>
            </w:pPr>
            <w:r>
              <w:t>6</w:t>
            </w:r>
          </w:p>
        </w:tc>
        <w:tc>
          <w:tcPr>
            <w:tcW w:w="892" w:type="dxa"/>
            <w:vAlign w:val="top"/>
          </w:tcPr>
          <w:p w14:paraId="66D20E82">
            <w:pPr>
              <w:pStyle w:val="6"/>
              <w:spacing w:before="92" w:line="221" w:lineRule="auto"/>
              <w:ind w:left="268"/>
            </w:pPr>
            <w:r>
              <w:rPr>
                <w:spacing w:val="-2"/>
              </w:rPr>
              <w:t>7.82</w:t>
            </w:r>
          </w:p>
        </w:tc>
        <w:tc>
          <w:tcPr>
            <w:tcW w:w="892" w:type="dxa"/>
            <w:vAlign w:val="top"/>
          </w:tcPr>
          <w:p w14:paraId="0200BB04">
            <w:pPr>
              <w:pStyle w:val="6"/>
              <w:spacing w:before="92" w:line="221" w:lineRule="auto"/>
              <w:ind w:left="271"/>
            </w:pPr>
            <w:r>
              <w:rPr>
                <w:spacing w:val="-2"/>
              </w:rPr>
              <w:t>7.62</w:t>
            </w:r>
          </w:p>
        </w:tc>
        <w:tc>
          <w:tcPr>
            <w:tcW w:w="891" w:type="dxa"/>
            <w:vAlign w:val="top"/>
          </w:tcPr>
          <w:p w14:paraId="3499FB88">
            <w:pPr>
              <w:pStyle w:val="6"/>
              <w:spacing w:before="92" w:line="221" w:lineRule="auto"/>
              <w:ind w:left="274"/>
            </w:pPr>
            <w:r>
              <w:rPr>
                <w:spacing w:val="-2"/>
              </w:rPr>
              <w:t>0.16</w:t>
            </w:r>
          </w:p>
        </w:tc>
        <w:tc>
          <w:tcPr>
            <w:tcW w:w="906" w:type="dxa"/>
            <w:tcBorders>
              <w:right w:val="single" w:color="000000" w:sz="12" w:space="0"/>
            </w:tcBorders>
            <w:vAlign w:val="top"/>
          </w:tcPr>
          <w:p w14:paraId="6B9B3A07">
            <w:pPr>
              <w:pStyle w:val="6"/>
              <w:spacing w:before="92" w:line="221" w:lineRule="auto"/>
              <w:ind w:left="277"/>
            </w:pPr>
            <w:r>
              <w:rPr>
                <w:spacing w:val="-2"/>
              </w:rPr>
              <w:t>0.06</w:t>
            </w:r>
          </w:p>
        </w:tc>
      </w:tr>
      <w:tr w14:paraId="1EF50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233C6B18">
            <w:pPr>
              <w:rPr>
                <w:rFonts w:ascii="Arial"/>
                <w:sz w:val="21"/>
              </w:rPr>
            </w:pPr>
          </w:p>
        </w:tc>
        <w:tc>
          <w:tcPr>
            <w:tcW w:w="422" w:type="dxa"/>
            <w:vMerge w:val="restart"/>
            <w:tcBorders>
              <w:bottom w:val="nil"/>
            </w:tcBorders>
            <w:vAlign w:val="top"/>
          </w:tcPr>
          <w:p w14:paraId="52AD4626">
            <w:pPr>
              <w:pStyle w:val="6"/>
              <w:spacing w:before="158" w:line="222" w:lineRule="auto"/>
              <w:ind w:left="147"/>
            </w:pPr>
            <w:r>
              <w:t>2</w:t>
            </w:r>
          </w:p>
          <w:p w14:paraId="3A440F93">
            <w:pPr>
              <w:spacing w:line="219" w:lineRule="auto"/>
              <w:ind w:left="99"/>
              <w:rPr>
                <w:rFonts w:ascii="宋体" w:hAnsi="宋体" w:eastAsia="宋体" w:cs="宋体"/>
                <w:sz w:val="21"/>
                <w:szCs w:val="21"/>
              </w:rPr>
            </w:pPr>
            <w:r>
              <w:rPr>
                <w:rFonts w:ascii="宋体" w:hAnsi="宋体" w:eastAsia="宋体" w:cs="宋体"/>
                <w:sz w:val="21"/>
                <w:szCs w:val="21"/>
              </w:rPr>
              <w:t>季</w:t>
            </w:r>
          </w:p>
          <w:p w14:paraId="587C71C3">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B989B35">
            <w:pPr>
              <w:pStyle w:val="6"/>
              <w:spacing w:before="93" w:line="221" w:lineRule="auto"/>
              <w:ind w:left="326"/>
            </w:pPr>
            <w:r>
              <w:rPr>
                <w:spacing w:val="-1"/>
              </w:rPr>
              <w:t>2021/6/3</w:t>
            </w:r>
          </w:p>
        </w:tc>
        <w:tc>
          <w:tcPr>
            <w:tcW w:w="892" w:type="dxa"/>
            <w:vAlign w:val="top"/>
          </w:tcPr>
          <w:p w14:paraId="15F30F08">
            <w:pPr>
              <w:pStyle w:val="6"/>
              <w:spacing w:before="93" w:line="221" w:lineRule="auto"/>
              <w:ind w:left="343"/>
            </w:pPr>
            <w:r>
              <w:rPr>
                <w:spacing w:val="-3"/>
              </w:rPr>
              <w:t>54</w:t>
            </w:r>
          </w:p>
        </w:tc>
        <w:tc>
          <w:tcPr>
            <w:tcW w:w="892" w:type="dxa"/>
            <w:vAlign w:val="top"/>
          </w:tcPr>
          <w:p w14:paraId="43E1ED91">
            <w:pPr>
              <w:pStyle w:val="6"/>
              <w:spacing w:before="93" w:line="221" w:lineRule="auto"/>
              <w:ind w:left="399"/>
            </w:pPr>
            <w:r>
              <w:t>5</w:t>
            </w:r>
          </w:p>
        </w:tc>
        <w:tc>
          <w:tcPr>
            <w:tcW w:w="892" w:type="dxa"/>
            <w:vAlign w:val="top"/>
          </w:tcPr>
          <w:p w14:paraId="29121357">
            <w:pPr>
              <w:pStyle w:val="6"/>
              <w:spacing w:before="93" w:line="221" w:lineRule="auto"/>
              <w:ind w:left="320"/>
            </w:pPr>
            <w:r>
              <w:rPr>
                <w:spacing w:val="-3"/>
              </w:rPr>
              <w:t>7.8</w:t>
            </w:r>
          </w:p>
        </w:tc>
        <w:tc>
          <w:tcPr>
            <w:tcW w:w="892" w:type="dxa"/>
            <w:vAlign w:val="top"/>
          </w:tcPr>
          <w:p w14:paraId="388718DB">
            <w:pPr>
              <w:pStyle w:val="6"/>
              <w:spacing w:before="93" w:line="221" w:lineRule="auto"/>
              <w:ind w:left="324"/>
            </w:pPr>
            <w:r>
              <w:rPr>
                <w:spacing w:val="-3"/>
              </w:rPr>
              <w:t>7.7</w:t>
            </w:r>
          </w:p>
        </w:tc>
        <w:tc>
          <w:tcPr>
            <w:tcW w:w="891" w:type="dxa"/>
            <w:vAlign w:val="top"/>
          </w:tcPr>
          <w:p w14:paraId="10EF925A">
            <w:pPr>
              <w:pStyle w:val="6"/>
              <w:spacing w:before="93" w:line="221" w:lineRule="auto"/>
              <w:ind w:left="274"/>
            </w:pPr>
            <w:r>
              <w:rPr>
                <w:spacing w:val="-2"/>
              </w:rPr>
              <w:t>0.46</w:t>
            </w:r>
          </w:p>
        </w:tc>
        <w:tc>
          <w:tcPr>
            <w:tcW w:w="906" w:type="dxa"/>
            <w:tcBorders>
              <w:right w:val="single" w:color="000000" w:sz="12" w:space="0"/>
            </w:tcBorders>
            <w:vAlign w:val="top"/>
          </w:tcPr>
          <w:p w14:paraId="151F696B">
            <w:pPr>
              <w:pStyle w:val="6"/>
              <w:spacing w:before="93" w:line="221" w:lineRule="auto"/>
              <w:ind w:left="277"/>
            </w:pPr>
            <w:r>
              <w:rPr>
                <w:spacing w:val="-2"/>
              </w:rPr>
              <w:t>0.32</w:t>
            </w:r>
          </w:p>
        </w:tc>
      </w:tr>
      <w:tr w14:paraId="44C63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E78C4DD">
            <w:pPr>
              <w:rPr>
                <w:rFonts w:ascii="Arial"/>
                <w:sz w:val="21"/>
              </w:rPr>
            </w:pPr>
          </w:p>
        </w:tc>
        <w:tc>
          <w:tcPr>
            <w:tcW w:w="422" w:type="dxa"/>
            <w:vMerge w:val="continue"/>
            <w:tcBorders>
              <w:top w:val="nil"/>
              <w:bottom w:val="nil"/>
            </w:tcBorders>
            <w:vAlign w:val="top"/>
          </w:tcPr>
          <w:p w14:paraId="16515806">
            <w:pPr>
              <w:rPr>
                <w:rFonts w:ascii="Arial"/>
                <w:sz w:val="21"/>
              </w:rPr>
            </w:pPr>
          </w:p>
        </w:tc>
        <w:tc>
          <w:tcPr>
            <w:tcW w:w="1414" w:type="dxa"/>
            <w:vAlign w:val="top"/>
          </w:tcPr>
          <w:p w14:paraId="26B52474">
            <w:pPr>
              <w:pStyle w:val="6"/>
              <w:spacing w:before="94" w:line="219" w:lineRule="auto"/>
              <w:ind w:left="326"/>
            </w:pPr>
            <w:r>
              <w:rPr>
                <w:spacing w:val="-1"/>
              </w:rPr>
              <w:t>2021/6/4</w:t>
            </w:r>
          </w:p>
        </w:tc>
        <w:tc>
          <w:tcPr>
            <w:tcW w:w="892" w:type="dxa"/>
            <w:vAlign w:val="top"/>
          </w:tcPr>
          <w:p w14:paraId="35C3C8B5">
            <w:pPr>
              <w:pStyle w:val="6"/>
              <w:spacing w:before="94" w:line="219" w:lineRule="auto"/>
              <w:ind w:left="342"/>
            </w:pPr>
            <w:r>
              <w:rPr>
                <w:spacing w:val="-3"/>
              </w:rPr>
              <w:t>61</w:t>
            </w:r>
          </w:p>
        </w:tc>
        <w:tc>
          <w:tcPr>
            <w:tcW w:w="892" w:type="dxa"/>
            <w:vAlign w:val="top"/>
          </w:tcPr>
          <w:p w14:paraId="4C6165E3">
            <w:pPr>
              <w:pStyle w:val="6"/>
              <w:spacing w:before="94" w:line="219" w:lineRule="auto"/>
              <w:ind w:left="396"/>
            </w:pPr>
            <w:r>
              <w:t>7</w:t>
            </w:r>
          </w:p>
        </w:tc>
        <w:tc>
          <w:tcPr>
            <w:tcW w:w="892" w:type="dxa"/>
            <w:vAlign w:val="top"/>
          </w:tcPr>
          <w:p w14:paraId="2A3DB7E8">
            <w:pPr>
              <w:pStyle w:val="6"/>
              <w:spacing w:before="94" w:line="219" w:lineRule="auto"/>
              <w:ind w:left="320"/>
            </w:pPr>
            <w:r>
              <w:rPr>
                <w:spacing w:val="-3"/>
              </w:rPr>
              <w:t>7.8</w:t>
            </w:r>
          </w:p>
        </w:tc>
        <w:tc>
          <w:tcPr>
            <w:tcW w:w="892" w:type="dxa"/>
            <w:vAlign w:val="top"/>
          </w:tcPr>
          <w:p w14:paraId="35C81BC2">
            <w:pPr>
              <w:pStyle w:val="6"/>
              <w:spacing w:before="94" w:line="219" w:lineRule="auto"/>
              <w:ind w:left="324"/>
            </w:pPr>
            <w:r>
              <w:rPr>
                <w:spacing w:val="-3"/>
              </w:rPr>
              <w:t>7.7</w:t>
            </w:r>
          </w:p>
        </w:tc>
        <w:tc>
          <w:tcPr>
            <w:tcW w:w="891" w:type="dxa"/>
            <w:vAlign w:val="top"/>
          </w:tcPr>
          <w:p w14:paraId="0C02F7BE">
            <w:pPr>
              <w:pStyle w:val="6"/>
              <w:spacing w:before="94" w:line="219" w:lineRule="auto"/>
              <w:ind w:left="274"/>
            </w:pPr>
            <w:r>
              <w:rPr>
                <w:spacing w:val="-2"/>
              </w:rPr>
              <w:t>0.47</w:t>
            </w:r>
          </w:p>
        </w:tc>
        <w:tc>
          <w:tcPr>
            <w:tcW w:w="906" w:type="dxa"/>
            <w:tcBorders>
              <w:right w:val="single" w:color="000000" w:sz="12" w:space="0"/>
            </w:tcBorders>
            <w:vAlign w:val="top"/>
          </w:tcPr>
          <w:p w14:paraId="5CFE2DA0">
            <w:pPr>
              <w:pStyle w:val="6"/>
              <w:spacing w:before="94" w:line="219" w:lineRule="auto"/>
              <w:ind w:left="277"/>
            </w:pPr>
            <w:r>
              <w:rPr>
                <w:spacing w:val="-2"/>
              </w:rPr>
              <w:t>0.32</w:t>
            </w:r>
          </w:p>
        </w:tc>
      </w:tr>
      <w:tr w14:paraId="52EE0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30F0246B">
            <w:pPr>
              <w:rPr>
                <w:rFonts w:ascii="Arial"/>
                <w:sz w:val="21"/>
              </w:rPr>
            </w:pPr>
          </w:p>
        </w:tc>
        <w:tc>
          <w:tcPr>
            <w:tcW w:w="422" w:type="dxa"/>
            <w:vMerge w:val="continue"/>
            <w:tcBorders>
              <w:top w:val="nil"/>
            </w:tcBorders>
            <w:vAlign w:val="top"/>
          </w:tcPr>
          <w:p w14:paraId="7B85868F">
            <w:pPr>
              <w:rPr>
                <w:rFonts w:ascii="Arial"/>
                <w:sz w:val="21"/>
              </w:rPr>
            </w:pPr>
          </w:p>
        </w:tc>
        <w:tc>
          <w:tcPr>
            <w:tcW w:w="1414" w:type="dxa"/>
            <w:vAlign w:val="top"/>
          </w:tcPr>
          <w:p w14:paraId="4375B401">
            <w:pPr>
              <w:pStyle w:val="6"/>
              <w:spacing w:before="95" w:line="219" w:lineRule="auto"/>
              <w:ind w:left="326"/>
            </w:pPr>
            <w:r>
              <w:rPr>
                <w:spacing w:val="-1"/>
              </w:rPr>
              <w:t>2021/6/5</w:t>
            </w:r>
          </w:p>
        </w:tc>
        <w:tc>
          <w:tcPr>
            <w:tcW w:w="892" w:type="dxa"/>
            <w:vAlign w:val="top"/>
          </w:tcPr>
          <w:p w14:paraId="46B0F759">
            <w:pPr>
              <w:pStyle w:val="6"/>
              <w:spacing w:before="95" w:line="219" w:lineRule="auto"/>
              <w:ind w:left="343"/>
            </w:pPr>
            <w:r>
              <w:rPr>
                <w:spacing w:val="-3"/>
              </w:rPr>
              <w:t>57</w:t>
            </w:r>
          </w:p>
        </w:tc>
        <w:tc>
          <w:tcPr>
            <w:tcW w:w="892" w:type="dxa"/>
            <w:vAlign w:val="top"/>
          </w:tcPr>
          <w:p w14:paraId="75C68179">
            <w:pPr>
              <w:pStyle w:val="6"/>
              <w:spacing w:before="95" w:line="219" w:lineRule="auto"/>
              <w:ind w:left="398"/>
            </w:pPr>
            <w:r>
              <w:t>6</w:t>
            </w:r>
          </w:p>
        </w:tc>
        <w:tc>
          <w:tcPr>
            <w:tcW w:w="892" w:type="dxa"/>
            <w:vAlign w:val="top"/>
          </w:tcPr>
          <w:p w14:paraId="72C2B204">
            <w:pPr>
              <w:pStyle w:val="6"/>
              <w:spacing w:before="95" w:line="219" w:lineRule="auto"/>
              <w:ind w:left="320"/>
            </w:pPr>
            <w:r>
              <w:rPr>
                <w:spacing w:val="-3"/>
              </w:rPr>
              <w:t>7.8</w:t>
            </w:r>
          </w:p>
        </w:tc>
        <w:tc>
          <w:tcPr>
            <w:tcW w:w="892" w:type="dxa"/>
            <w:vAlign w:val="top"/>
          </w:tcPr>
          <w:p w14:paraId="1B919BBE">
            <w:pPr>
              <w:pStyle w:val="6"/>
              <w:spacing w:before="95" w:line="219" w:lineRule="auto"/>
              <w:ind w:left="324"/>
            </w:pPr>
            <w:r>
              <w:rPr>
                <w:spacing w:val="-3"/>
              </w:rPr>
              <w:t>7.6</w:t>
            </w:r>
          </w:p>
        </w:tc>
        <w:tc>
          <w:tcPr>
            <w:tcW w:w="891" w:type="dxa"/>
            <w:vAlign w:val="top"/>
          </w:tcPr>
          <w:p w14:paraId="389921A6">
            <w:pPr>
              <w:pStyle w:val="6"/>
              <w:spacing w:before="95" w:line="219" w:lineRule="auto"/>
              <w:ind w:left="274"/>
            </w:pPr>
            <w:r>
              <w:rPr>
                <w:spacing w:val="-2"/>
              </w:rPr>
              <w:t>0.48</w:t>
            </w:r>
          </w:p>
        </w:tc>
        <w:tc>
          <w:tcPr>
            <w:tcW w:w="906" w:type="dxa"/>
            <w:tcBorders>
              <w:right w:val="single" w:color="000000" w:sz="12" w:space="0"/>
            </w:tcBorders>
            <w:vAlign w:val="top"/>
          </w:tcPr>
          <w:p w14:paraId="06CC6F36">
            <w:pPr>
              <w:pStyle w:val="6"/>
              <w:spacing w:before="95" w:line="219" w:lineRule="auto"/>
              <w:ind w:left="277"/>
            </w:pPr>
            <w:r>
              <w:rPr>
                <w:spacing w:val="-2"/>
              </w:rPr>
              <w:t>0.32</w:t>
            </w:r>
          </w:p>
        </w:tc>
      </w:tr>
      <w:tr w14:paraId="04D68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69F1AC9">
            <w:pPr>
              <w:rPr>
                <w:rFonts w:ascii="Arial"/>
                <w:sz w:val="21"/>
              </w:rPr>
            </w:pPr>
          </w:p>
        </w:tc>
        <w:tc>
          <w:tcPr>
            <w:tcW w:w="422" w:type="dxa"/>
            <w:vMerge w:val="restart"/>
            <w:tcBorders>
              <w:bottom w:val="nil"/>
            </w:tcBorders>
            <w:vAlign w:val="top"/>
          </w:tcPr>
          <w:p w14:paraId="49AAFC9D">
            <w:pPr>
              <w:pStyle w:val="6"/>
              <w:spacing w:before="160" w:line="222" w:lineRule="auto"/>
              <w:ind w:left="151"/>
            </w:pPr>
            <w:r>
              <w:t>3</w:t>
            </w:r>
          </w:p>
          <w:p w14:paraId="6D1088B9">
            <w:pPr>
              <w:spacing w:line="219" w:lineRule="auto"/>
              <w:ind w:left="99"/>
              <w:rPr>
                <w:rFonts w:ascii="宋体" w:hAnsi="宋体" w:eastAsia="宋体" w:cs="宋体"/>
                <w:sz w:val="21"/>
                <w:szCs w:val="21"/>
              </w:rPr>
            </w:pPr>
            <w:r>
              <w:rPr>
                <w:rFonts w:ascii="宋体" w:hAnsi="宋体" w:eastAsia="宋体" w:cs="宋体"/>
                <w:sz w:val="21"/>
                <w:szCs w:val="21"/>
              </w:rPr>
              <w:t>季</w:t>
            </w:r>
          </w:p>
          <w:p w14:paraId="143991CE">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CE66F38">
            <w:pPr>
              <w:pStyle w:val="6"/>
              <w:spacing w:before="95" w:line="218" w:lineRule="auto"/>
              <w:ind w:left="274"/>
            </w:pPr>
            <w:r>
              <w:rPr>
                <w:spacing w:val="-1"/>
              </w:rPr>
              <w:t>2021/7/19</w:t>
            </w:r>
          </w:p>
        </w:tc>
        <w:tc>
          <w:tcPr>
            <w:tcW w:w="892" w:type="dxa"/>
            <w:vAlign w:val="top"/>
          </w:tcPr>
          <w:p w14:paraId="22CA59B4">
            <w:pPr>
              <w:pStyle w:val="6"/>
              <w:spacing w:before="95" w:line="218" w:lineRule="auto"/>
              <w:ind w:left="346"/>
            </w:pPr>
            <w:r>
              <w:rPr>
                <w:spacing w:val="-4"/>
              </w:rPr>
              <w:t>80</w:t>
            </w:r>
          </w:p>
        </w:tc>
        <w:tc>
          <w:tcPr>
            <w:tcW w:w="892" w:type="dxa"/>
            <w:vAlign w:val="top"/>
          </w:tcPr>
          <w:p w14:paraId="2315C655">
            <w:pPr>
              <w:pStyle w:val="6"/>
              <w:spacing w:before="99" w:line="186" w:lineRule="auto"/>
              <w:ind w:left="327"/>
            </w:pPr>
            <w:r>
              <w:rPr>
                <w:spacing w:val="-1"/>
              </w:rPr>
              <w:t>4L</w:t>
            </w:r>
          </w:p>
        </w:tc>
        <w:tc>
          <w:tcPr>
            <w:tcW w:w="892" w:type="dxa"/>
            <w:vAlign w:val="top"/>
          </w:tcPr>
          <w:p w14:paraId="0EAA77EC">
            <w:pPr>
              <w:pStyle w:val="6"/>
              <w:spacing w:before="95" w:line="218" w:lineRule="auto"/>
              <w:ind w:left="320"/>
            </w:pPr>
            <w:r>
              <w:rPr>
                <w:spacing w:val="-3"/>
              </w:rPr>
              <w:t>7.9</w:t>
            </w:r>
          </w:p>
        </w:tc>
        <w:tc>
          <w:tcPr>
            <w:tcW w:w="892" w:type="dxa"/>
            <w:vAlign w:val="top"/>
          </w:tcPr>
          <w:p w14:paraId="79C362AA">
            <w:pPr>
              <w:pStyle w:val="6"/>
              <w:spacing w:before="95" w:line="218" w:lineRule="auto"/>
              <w:ind w:left="324"/>
            </w:pPr>
            <w:r>
              <w:rPr>
                <w:spacing w:val="-3"/>
              </w:rPr>
              <w:t>7.7</w:t>
            </w:r>
          </w:p>
        </w:tc>
        <w:tc>
          <w:tcPr>
            <w:tcW w:w="891" w:type="dxa"/>
            <w:vAlign w:val="top"/>
          </w:tcPr>
          <w:p w14:paraId="33A4E12A">
            <w:pPr>
              <w:pStyle w:val="6"/>
              <w:spacing w:before="95" w:line="218" w:lineRule="auto"/>
              <w:ind w:left="274"/>
            </w:pPr>
            <w:r>
              <w:rPr>
                <w:spacing w:val="-2"/>
              </w:rPr>
              <w:t>0.90</w:t>
            </w:r>
          </w:p>
        </w:tc>
        <w:tc>
          <w:tcPr>
            <w:tcW w:w="906" w:type="dxa"/>
            <w:tcBorders>
              <w:right w:val="single" w:color="000000" w:sz="12" w:space="0"/>
            </w:tcBorders>
            <w:vAlign w:val="top"/>
          </w:tcPr>
          <w:p w14:paraId="558FBC9F">
            <w:pPr>
              <w:pStyle w:val="6"/>
              <w:spacing w:before="95" w:line="218" w:lineRule="auto"/>
              <w:ind w:left="277"/>
            </w:pPr>
            <w:r>
              <w:rPr>
                <w:spacing w:val="-2"/>
              </w:rPr>
              <w:t>0.50</w:t>
            </w:r>
          </w:p>
        </w:tc>
      </w:tr>
      <w:tr w14:paraId="09A75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893BEBB">
            <w:pPr>
              <w:rPr>
                <w:rFonts w:ascii="Arial"/>
                <w:sz w:val="21"/>
              </w:rPr>
            </w:pPr>
          </w:p>
        </w:tc>
        <w:tc>
          <w:tcPr>
            <w:tcW w:w="422" w:type="dxa"/>
            <w:vMerge w:val="continue"/>
            <w:tcBorders>
              <w:top w:val="nil"/>
              <w:bottom w:val="nil"/>
            </w:tcBorders>
            <w:vAlign w:val="top"/>
          </w:tcPr>
          <w:p w14:paraId="50E655AF">
            <w:pPr>
              <w:rPr>
                <w:rFonts w:ascii="Arial"/>
                <w:sz w:val="21"/>
              </w:rPr>
            </w:pPr>
          </w:p>
        </w:tc>
        <w:tc>
          <w:tcPr>
            <w:tcW w:w="1414" w:type="dxa"/>
            <w:vAlign w:val="top"/>
          </w:tcPr>
          <w:p w14:paraId="2EE0C4B8">
            <w:pPr>
              <w:pStyle w:val="6"/>
              <w:spacing w:before="97" w:line="216" w:lineRule="auto"/>
              <w:ind w:left="274"/>
            </w:pPr>
            <w:r>
              <w:rPr>
                <w:spacing w:val="-1"/>
              </w:rPr>
              <w:t>2021/7/20</w:t>
            </w:r>
          </w:p>
        </w:tc>
        <w:tc>
          <w:tcPr>
            <w:tcW w:w="892" w:type="dxa"/>
            <w:vAlign w:val="top"/>
          </w:tcPr>
          <w:p w14:paraId="34F60973">
            <w:pPr>
              <w:pStyle w:val="6"/>
              <w:spacing w:before="97" w:line="216" w:lineRule="auto"/>
              <w:ind w:left="340"/>
            </w:pPr>
            <w:r>
              <w:rPr>
                <w:spacing w:val="-2"/>
              </w:rPr>
              <w:t>75</w:t>
            </w:r>
          </w:p>
        </w:tc>
        <w:tc>
          <w:tcPr>
            <w:tcW w:w="892" w:type="dxa"/>
            <w:vAlign w:val="top"/>
          </w:tcPr>
          <w:p w14:paraId="2BB3CFE1">
            <w:pPr>
              <w:pStyle w:val="6"/>
              <w:spacing w:before="101" w:line="186" w:lineRule="auto"/>
              <w:ind w:left="327"/>
            </w:pPr>
            <w:r>
              <w:rPr>
                <w:spacing w:val="-1"/>
              </w:rPr>
              <w:t>4L</w:t>
            </w:r>
          </w:p>
        </w:tc>
        <w:tc>
          <w:tcPr>
            <w:tcW w:w="892" w:type="dxa"/>
            <w:vAlign w:val="top"/>
          </w:tcPr>
          <w:p w14:paraId="7419B417">
            <w:pPr>
              <w:pStyle w:val="6"/>
              <w:spacing w:before="97" w:line="216" w:lineRule="auto"/>
              <w:ind w:left="320"/>
            </w:pPr>
            <w:r>
              <w:rPr>
                <w:spacing w:val="-3"/>
              </w:rPr>
              <w:t>7.8</w:t>
            </w:r>
          </w:p>
        </w:tc>
        <w:tc>
          <w:tcPr>
            <w:tcW w:w="892" w:type="dxa"/>
            <w:vAlign w:val="top"/>
          </w:tcPr>
          <w:p w14:paraId="4C443BA5">
            <w:pPr>
              <w:pStyle w:val="6"/>
              <w:spacing w:before="97" w:line="216" w:lineRule="auto"/>
              <w:ind w:left="324"/>
            </w:pPr>
            <w:r>
              <w:rPr>
                <w:spacing w:val="-3"/>
              </w:rPr>
              <w:t>7.7</w:t>
            </w:r>
          </w:p>
        </w:tc>
        <w:tc>
          <w:tcPr>
            <w:tcW w:w="891" w:type="dxa"/>
            <w:vAlign w:val="top"/>
          </w:tcPr>
          <w:p w14:paraId="63623819">
            <w:pPr>
              <w:pStyle w:val="6"/>
              <w:spacing w:before="97" w:line="216" w:lineRule="auto"/>
              <w:ind w:left="274"/>
            </w:pPr>
            <w:r>
              <w:rPr>
                <w:spacing w:val="-2"/>
              </w:rPr>
              <w:t>0.91</w:t>
            </w:r>
          </w:p>
        </w:tc>
        <w:tc>
          <w:tcPr>
            <w:tcW w:w="906" w:type="dxa"/>
            <w:tcBorders>
              <w:right w:val="single" w:color="000000" w:sz="12" w:space="0"/>
            </w:tcBorders>
            <w:vAlign w:val="top"/>
          </w:tcPr>
          <w:p w14:paraId="615B2FFA">
            <w:pPr>
              <w:pStyle w:val="6"/>
              <w:spacing w:before="97" w:line="216" w:lineRule="auto"/>
              <w:ind w:left="277"/>
            </w:pPr>
            <w:r>
              <w:rPr>
                <w:spacing w:val="-2"/>
              </w:rPr>
              <w:t>0.49</w:t>
            </w:r>
          </w:p>
        </w:tc>
      </w:tr>
      <w:tr w14:paraId="30465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1BF470AF">
            <w:pPr>
              <w:rPr>
                <w:rFonts w:ascii="Arial"/>
                <w:sz w:val="21"/>
              </w:rPr>
            </w:pPr>
          </w:p>
        </w:tc>
        <w:tc>
          <w:tcPr>
            <w:tcW w:w="422" w:type="dxa"/>
            <w:vMerge w:val="continue"/>
            <w:tcBorders>
              <w:top w:val="nil"/>
            </w:tcBorders>
            <w:vAlign w:val="top"/>
          </w:tcPr>
          <w:p w14:paraId="1AE1BAB8">
            <w:pPr>
              <w:rPr>
                <w:rFonts w:ascii="Arial"/>
                <w:sz w:val="21"/>
              </w:rPr>
            </w:pPr>
          </w:p>
        </w:tc>
        <w:tc>
          <w:tcPr>
            <w:tcW w:w="1414" w:type="dxa"/>
            <w:vAlign w:val="top"/>
          </w:tcPr>
          <w:p w14:paraId="467F760A">
            <w:pPr>
              <w:pStyle w:val="6"/>
              <w:spacing w:before="98" w:line="216" w:lineRule="auto"/>
              <w:ind w:left="274"/>
            </w:pPr>
            <w:r>
              <w:rPr>
                <w:spacing w:val="-1"/>
              </w:rPr>
              <w:t>2021/7/21</w:t>
            </w:r>
          </w:p>
        </w:tc>
        <w:tc>
          <w:tcPr>
            <w:tcW w:w="892" w:type="dxa"/>
            <w:vAlign w:val="top"/>
          </w:tcPr>
          <w:p w14:paraId="7BA0F604">
            <w:pPr>
              <w:pStyle w:val="6"/>
              <w:spacing w:before="98" w:line="216" w:lineRule="auto"/>
              <w:ind w:left="340"/>
            </w:pPr>
            <w:r>
              <w:rPr>
                <w:spacing w:val="-2"/>
              </w:rPr>
              <w:t>77</w:t>
            </w:r>
          </w:p>
        </w:tc>
        <w:tc>
          <w:tcPr>
            <w:tcW w:w="892" w:type="dxa"/>
            <w:vAlign w:val="top"/>
          </w:tcPr>
          <w:p w14:paraId="4E9E80CC">
            <w:pPr>
              <w:pStyle w:val="6"/>
              <w:spacing w:before="102" w:line="186" w:lineRule="auto"/>
              <w:ind w:left="327"/>
            </w:pPr>
            <w:r>
              <w:rPr>
                <w:spacing w:val="-1"/>
              </w:rPr>
              <w:t>4L</w:t>
            </w:r>
          </w:p>
        </w:tc>
        <w:tc>
          <w:tcPr>
            <w:tcW w:w="892" w:type="dxa"/>
            <w:vAlign w:val="top"/>
          </w:tcPr>
          <w:p w14:paraId="18C5A2C4">
            <w:pPr>
              <w:pStyle w:val="6"/>
              <w:spacing w:before="98" w:line="216" w:lineRule="auto"/>
              <w:ind w:left="320"/>
            </w:pPr>
            <w:r>
              <w:rPr>
                <w:spacing w:val="-3"/>
              </w:rPr>
              <w:t>7.7</w:t>
            </w:r>
          </w:p>
        </w:tc>
        <w:tc>
          <w:tcPr>
            <w:tcW w:w="892" w:type="dxa"/>
            <w:vAlign w:val="top"/>
          </w:tcPr>
          <w:p w14:paraId="49B00463">
            <w:pPr>
              <w:pStyle w:val="6"/>
              <w:spacing w:before="98" w:line="216" w:lineRule="auto"/>
              <w:ind w:left="324"/>
            </w:pPr>
            <w:r>
              <w:rPr>
                <w:spacing w:val="-3"/>
              </w:rPr>
              <w:t>7.6</w:t>
            </w:r>
          </w:p>
        </w:tc>
        <w:tc>
          <w:tcPr>
            <w:tcW w:w="891" w:type="dxa"/>
            <w:vAlign w:val="top"/>
          </w:tcPr>
          <w:p w14:paraId="2DFD9C37">
            <w:pPr>
              <w:pStyle w:val="6"/>
              <w:spacing w:before="98" w:line="216" w:lineRule="auto"/>
              <w:ind w:left="274"/>
            </w:pPr>
            <w:r>
              <w:rPr>
                <w:spacing w:val="-2"/>
              </w:rPr>
              <w:t>0.89</w:t>
            </w:r>
          </w:p>
        </w:tc>
        <w:tc>
          <w:tcPr>
            <w:tcW w:w="906" w:type="dxa"/>
            <w:tcBorders>
              <w:right w:val="single" w:color="000000" w:sz="12" w:space="0"/>
            </w:tcBorders>
            <w:vAlign w:val="top"/>
          </w:tcPr>
          <w:p w14:paraId="5FB3DE00">
            <w:pPr>
              <w:pStyle w:val="6"/>
              <w:spacing w:before="98" w:line="216" w:lineRule="auto"/>
              <w:ind w:left="277"/>
            </w:pPr>
            <w:r>
              <w:rPr>
                <w:spacing w:val="-2"/>
              </w:rPr>
              <w:t>0.47</w:t>
            </w:r>
          </w:p>
        </w:tc>
      </w:tr>
      <w:tr w14:paraId="23930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0C57D2C">
            <w:pPr>
              <w:rPr>
                <w:rFonts w:ascii="Arial"/>
                <w:sz w:val="21"/>
              </w:rPr>
            </w:pPr>
          </w:p>
        </w:tc>
        <w:tc>
          <w:tcPr>
            <w:tcW w:w="422" w:type="dxa"/>
            <w:vMerge w:val="restart"/>
            <w:tcBorders>
              <w:bottom w:val="nil"/>
            </w:tcBorders>
            <w:vAlign w:val="top"/>
          </w:tcPr>
          <w:p w14:paraId="685EE39D">
            <w:pPr>
              <w:pStyle w:val="6"/>
              <w:spacing w:before="163" w:line="222" w:lineRule="auto"/>
              <w:ind w:left="146"/>
            </w:pPr>
            <w:r>
              <w:t>4</w:t>
            </w:r>
          </w:p>
          <w:p w14:paraId="1F5915CD">
            <w:pPr>
              <w:spacing w:line="219" w:lineRule="auto"/>
              <w:ind w:left="99"/>
              <w:rPr>
                <w:rFonts w:ascii="宋体" w:hAnsi="宋体" w:eastAsia="宋体" w:cs="宋体"/>
                <w:sz w:val="21"/>
                <w:szCs w:val="21"/>
              </w:rPr>
            </w:pPr>
            <w:r>
              <w:rPr>
                <w:rFonts w:ascii="宋体" w:hAnsi="宋体" w:eastAsia="宋体" w:cs="宋体"/>
                <w:sz w:val="21"/>
                <w:szCs w:val="21"/>
              </w:rPr>
              <w:t>季</w:t>
            </w:r>
          </w:p>
          <w:p w14:paraId="6F8D916D">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8F68150">
            <w:pPr>
              <w:pStyle w:val="6"/>
              <w:spacing w:before="100" w:line="213" w:lineRule="auto"/>
              <w:ind w:left="221"/>
            </w:pPr>
            <w:r>
              <w:rPr>
                <w:spacing w:val="-1"/>
              </w:rPr>
              <w:t>2021/11/28</w:t>
            </w:r>
          </w:p>
        </w:tc>
        <w:tc>
          <w:tcPr>
            <w:tcW w:w="892" w:type="dxa"/>
            <w:vAlign w:val="top"/>
          </w:tcPr>
          <w:p w14:paraId="50F9D649">
            <w:pPr>
              <w:pStyle w:val="6"/>
              <w:spacing w:before="104" w:line="186" w:lineRule="auto"/>
              <w:ind w:left="324"/>
            </w:pPr>
            <w:r>
              <w:rPr>
                <w:spacing w:val="-1"/>
              </w:rPr>
              <w:t>4L</w:t>
            </w:r>
          </w:p>
        </w:tc>
        <w:tc>
          <w:tcPr>
            <w:tcW w:w="892" w:type="dxa"/>
            <w:vAlign w:val="top"/>
          </w:tcPr>
          <w:p w14:paraId="394CEDBB">
            <w:pPr>
              <w:pStyle w:val="6"/>
              <w:spacing w:before="104" w:line="186" w:lineRule="auto"/>
              <w:ind w:left="327"/>
            </w:pPr>
            <w:r>
              <w:rPr>
                <w:spacing w:val="-1"/>
              </w:rPr>
              <w:t>4L</w:t>
            </w:r>
          </w:p>
        </w:tc>
        <w:tc>
          <w:tcPr>
            <w:tcW w:w="892" w:type="dxa"/>
            <w:vAlign w:val="top"/>
          </w:tcPr>
          <w:p w14:paraId="7490DB9D">
            <w:pPr>
              <w:pStyle w:val="6"/>
              <w:spacing w:before="100" w:line="213" w:lineRule="auto"/>
              <w:ind w:left="321"/>
            </w:pPr>
            <w:r>
              <w:rPr>
                <w:spacing w:val="-3"/>
              </w:rPr>
              <w:t>9.1</w:t>
            </w:r>
          </w:p>
        </w:tc>
        <w:tc>
          <w:tcPr>
            <w:tcW w:w="892" w:type="dxa"/>
            <w:vAlign w:val="top"/>
          </w:tcPr>
          <w:p w14:paraId="0FE30450">
            <w:pPr>
              <w:pStyle w:val="6"/>
              <w:spacing w:before="100" w:line="213" w:lineRule="auto"/>
              <w:ind w:left="324"/>
            </w:pPr>
            <w:r>
              <w:rPr>
                <w:spacing w:val="-3"/>
              </w:rPr>
              <w:t>9.0</w:t>
            </w:r>
          </w:p>
        </w:tc>
        <w:tc>
          <w:tcPr>
            <w:tcW w:w="891" w:type="dxa"/>
            <w:vAlign w:val="top"/>
          </w:tcPr>
          <w:p w14:paraId="3FEF478E">
            <w:pPr>
              <w:pStyle w:val="6"/>
              <w:spacing w:before="100" w:line="213" w:lineRule="auto"/>
              <w:ind w:left="274"/>
            </w:pPr>
            <w:r>
              <w:rPr>
                <w:spacing w:val="-2"/>
              </w:rPr>
              <w:t>0.06</w:t>
            </w:r>
          </w:p>
        </w:tc>
        <w:tc>
          <w:tcPr>
            <w:tcW w:w="906" w:type="dxa"/>
            <w:tcBorders>
              <w:right w:val="single" w:color="000000" w:sz="12" w:space="0"/>
            </w:tcBorders>
            <w:vAlign w:val="top"/>
          </w:tcPr>
          <w:p w14:paraId="1AFC5650">
            <w:pPr>
              <w:pStyle w:val="6"/>
              <w:spacing w:before="100" w:line="213" w:lineRule="auto"/>
              <w:ind w:left="214"/>
            </w:pPr>
            <w:r>
              <w:rPr>
                <w:spacing w:val="-2"/>
              </w:rPr>
              <w:t>0.06L</w:t>
            </w:r>
          </w:p>
        </w:tc>
      </w:tr>
      <w:tr w14:paraId="39BD3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F4BE4A1">
            <w:pPr>
              <w:rPr>
                <w:rFonts w:ascii="Arial"/>
                <w:sz w:val="21"/>
              </w:rPr>
            </w:pPr>
          </w:p>
        </w:tc>
        <w:tc>
          <w:tcPr>
            <w:tcW w:w="422" w:type="dxa"/>
            <w:vMerge w:val="continue"/>
            <w:tcBorders>
              <w:top w:val="nil"/>
              <w:bottom w:val="nil"/>
            </w:tcBorders>
            <w:vAlign w:val="top"/>
          </w:tcPr>
          <w:p w14:paraId="39B957D8">
            <w:pPr>
              <w:rPr>
                <w:rFonts w:ascii="Arial"/>
                <w:sz w:val="21"/>
              </w:rPr>
            </w:pPr>
          </w:p>
        </w:tc>
        <w:tc>
          <w:tcPr>
            <w:tcW w:w="1414" w:type="dxa"/>
            <w:vAlign w:val="top"/>
          </w:tcPr>
          <w:p w14:paraId="6B5FCEC0">
            <w:pPr>
              <w:pStyle w:val="6"/>
              <w:spacing w:before="101" w:line="213" w:lineRule="auto"/>
              <w:ind w:left="221"/>
            </w:pPr>
            <w:r>
              <w:rPr>
                <w:spacing w:val="-1"/>
              </w:rPr>
              <w:t>2021/11/29</w:t>
            </w:r>
          </w:p>
        </w:tc>
        <w:tc>
          <w:tcPr>
            <w:tcW w:w="892" w:type="dxa"/>
            <w:vAlign w:val="top"/>
          </w:tcPr>
          <w:p w14:paraId="48724B9C">
            <w:pPr>
              <w:pStyle w:val="6"/>
              <w:spacing w:before="105" w:line="186" w:lineRule="auto"/>
              <w:ind w:left="324"/>
            </w:pPr>
            <w:r>
              <w:rPr>
                <w:spacing w:val="-1"/>
              </w:rPr>
              <w:t>4L</w:t>
            </w:r>
          </w:p>
        </w:tc>
        <w:tc>
          <w:tcPr>
            <w:tcW w:w="892" w:type="dxa"/>
            <w:vAlign w:val="top"/>
          </w:tcPr>
          <w:p w14:paraId="322011AD">
            <w:pPr>
              <w:pStyle w:val="6"/>
              <w:spacing w:before="105" w:line="186" w:lineRule="auto"/>
              <w:ind w:left="327"/>
            </w:pPr>
            <w:r>
              <w:rPr>
                <w:spacing w:val="-1"/>
              </w:rPr>
              <w:t>4L</w:t>
            </w:r>
          </w:p>
        </w:tc>
        <w:tc>
          <w:tcPr>
            <w:tcW w:w="892" w:type="dxa"/>
            <w:vAlign w:val="top"/>
          </w:tcPr>
          <w:p w14:paraId="3032F463">
            <w:pPr>
              <w:pStyle w:val="6"/>
              <w:spacing w:before="101" w:line="213" w:lineRule="auto"/>
              <w:ind w:left="321"/>
            </w:pPr>
            <w:r>
              <w:rPr>
                <w:spacing w:val="-3"/>
              </w:rPr>
              <w:t>9.2</w:t>
            </w:r>
          </w:p>
        </w:tc>
        <w:tc>
          <w:tcPr>
            <w:tcW w:w="892" w:type="dxa"/>
            <w:vAlign w:val="top"/>
          </w:tcPr>
          <w:p w14:paraId="0135C853">
            <w:pPr>
              <w:pStyle w:val="6"/>
              <w:spacing w:before="101" w:line="213" w:lineRule="auto"/>
              <w:ind w:left="329"/>
            </w:pPr>
            <w:r>
              <w:rPr>
                <w:spacing w:val="-4"/>
              </w:rPr>
              <w:t>8.9</w:t>
            </w:r>
          </w:p>
        </w:tc>
        <w:tc>
          <w:tcPr>
            <w:tcW w:w="891" w:type="dxa"/>
            <w:vAlign w:val="top"/>
          </w:tcPr>
          <w:p w14:paraId="250E3812">
            <w:pPr>
              <w:pStyle w:val="6"/>
              <w:spacing w:before="101" w:line="213" w:lineRule="auto"/>
              <w:ind w:left="274"/>
            </w:pPr>
            <w:r>
              <w:rPr>
                <w:spacing w:val="-2"/>
              </w:rPr>
              <w:t>0.07</w:t>
            </w:r>
          </w:p>
        </w:tc>
        <w:tc>
          <w:tcPr>
            <w:tcW w:w="906" w:type="dxa"/>
            <w:tcBorders>
              <w:right w:val="single" w:color="000000" w:sz="12" w:space="0"/>
            </w:tcBorders>
            <w:vAlign w:val="top"/>
          </w:tcPr>
          <w:p w14:paraId="0D3CACC6">
            <w:pPr>
              <w:pStyle w:val="6"/>
              <w:spacing w:before="101" w:line="213" w:lineRule="auto"/>
              <w:ind w:left="214"/>
            </w:pPr>
            <w:r>
              <w:rPr>
                <w:spacing w:val="-2"/>
              </w:rPr>
              <w:t>0.06L</w:t>
            </w:r>
          </w:p>
        </w:tc>
      </w:tr>
      <w:tr w14:paraId="4B482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0463D55C">
            <w:pPr>
              <w:rPr>
                <w:rFonts w:ascii="Arial"/>
                <w:sz w:val="21"/>
              </w:rPr>
            </w:pPr>
          </w:p>
        </w:tc>
        <w:tc>
          <w:tcPr>
            <w:tcW w:w="422" w:type="dxa"/>
            <w:vMerge w:val="continue"/>
            <w:tcBorders>
              <w:top w:val="nil"/>
            </w:tcBorders>
            <w:vAlign w:val="top"/>
          </w:tcPr>
          <w:p w14:paraId="226B1BAF">
            <w:pPr>
              <w:rPr>
                <w:rFonts w:ascii="Arial"/>
                <w:sz w:val="21"/>
              </w:rPr>
            </w:pPr>
          </w:p>
        </w:tc>
        <w:tc>
          <w:tcPr>
            <w:tcW w:w="1414" w:type="dxa"/>
            <w:vAlign w:val="top"/>
          </w:tcPr>
          <w:p w14:paraId="10941876">
            <w:pPr>
              <w:pStyle w:val="6"/>
              <w:spacing w:before="101" w:line="212" w:lineRule="auto"/>
              <w:ind w:left="221"/>
            </w:pPr>
            <w:r>
              <w:rPr>
                <w:spacing w:val="-1"/>
              </w:rPr>
              <w:t>2021/11/30</w:t>
            </w:r>
          </w:p>
        </w:tc>
        <w:tc>
          <w:tcPr>
            <w:tcW w:w="892" w:type="dxa"/>
            <w:vAlign w:val="top"/>
          </w:tcPr>
          <w:p w14:paraId="36B76FCA">
            <w:pPr>
              <w:pStyle w:val="6"/>
              <w:spacing w:before="105" w:line="186" w:lineRule="auto"/>
              <w:ind w:left="324"/>
            </w:pPr>
            <w:r>
              <w:rPr>
                <w:spacing w:val="-1"/>
              </w:rPr>
              <w:t>4L</w:t>
            </w:r>
          </w:p>
        </w:tc>
        <w:tc>
          <w:tcPr>
            <w:tcW w:w="892" w:type="dxa"/>
            <w:vAlign w:val="top"/>
          </w:tcPr>
          <w:p w14:paraId="529260AB">
            <w:pPr>
              <w:pStyle w:val="6"/>
              <w:spacing w:before="105" w:line="186" w:lineRule="auto"/>
              <w:ind w:left="327"/>
            </w:pPr>
            <w:r>
              <w:rPr>
                <w:spacing w:val="-1"/>
              </w:rPr>
              <w:t>4L</w:t>
            </w:r>
          </w:p>
        </w:tc>
        <w:tc>
          <w:tcPr>
            <w:tcW w:w="892" w:type="dxa"/>
            <w:vAlign w:val="top"/>
          </w:tcPr>
          <w:p w14:paraId="278F3C95">
            <w:pPr>
              <w:pStyle w:val="6"/>
              <w:spacing w:before="101" w:line="212" w:lineRule="auto"/>
              <w:ind w:left="321"/>
            </w:pPr>
            <w:r>
              <w:rPr>
                <w:spacing w:val="-3"/>
              </w:rPr>
              <w:t>9.2</w:t>
            </w:r>
          </w:p>
        </w:tc>
        <w:tc>
          <w:tcPr>
            <w:tcW w:w="892" w:type="dxa"/>
            <w:vAlign w:val="top"/>
          </w:tcPr>
          <w:p w14:paraId="049579EB">
            <w:pPr>
              <w:pStyle w:val="6"/>
              <w:spacing w:before="101" w:line="212" w:lineRule="auto"/>
              <w:ind w:left="324"/>
            </w:pPr>
            <w:r>
              <w:rPr>
                <w:spacing w:val="-3"/>
              </w:rPr>
              <w:t>9.0</w:t>
            </w:r>
          </w:p>
        </w:tc>
        <w:tc>
          <w:tcPr>
            <w:tcW w:w="891" w:type="dxa"/>
            <w:vAlign w:val="top"/>
          </w:tcPr>
          <w:p w14:paraId="755FD004">
            <w:pPr>
              <w:pStyle w:val="6"/>
              <w:spacing w:before="101" w:line="212" w:lineRule="auto"/>
              <w:ind w:left="274"/>
            </w:pPr>
            <w:r>
              <w:rPr>
                <w:spacing w:val="-2"/>
              </w:rPr>
              <w:t>0.06</w:t>
            </w:r>
          </w:p>
        </w:tc>
        <w:tc>
          <w:tcPr>
            <w:tcW w:w="906" w:type="dxa"/>
            <w:tcBorders>
              <w:right w:val="single" w:color="000000" w:sz="12" w:space="0"/>
            </w:tcBorders>
            <w:vAlign w:val="top"/>
          </w:tcPr>
          <w:p w14:paraId="7B0510F8">
            <w:pPr>
              <w:pStyle w:val="6"/>
              <w:spacing w:before="101" w:line="212" w:lineRule="auto"/>
              <w:ind w:left="214"/>
            </w:pPr>
            <w:r>
              <w:rPr>
                <w:spacing w:val="-2"/>
              </w:rPr>
              <w:t>0.06L</w:t>
            </w:r>
          </w:p>
        </w:tc>
      </w:tr>
      <w:tr w14:paraId="7F3F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0BEE9878">
            <w:pPr>
              <w:spacing w:line="243" w:lineRule="auto"/>
              <w:rPr>
                <w:rFonts w:ascii="Arial"/>
                <w:sz w:val="21"/>
              </w:rPr>
            </w:pPr>
          </w:p>
          <w:p w14:paraId="445B0A47">
            <w:pPr>
              <w:spacing w:line="243" w:lineRule="auto"/>
              <w:rPr>
                <w:rFonts w:ascii="Arial"/>
                <w:sz w:val="21"/>
              </w:rPr>
            </w:pPr>
          </w:p>
          <w:p w14:paraId="327F5423">
            <w:pPr>
              <w:spacing w:line="244" w:lineRule="auto"/>
              <w:rPr>
                <w:rFonts w:ascii="Arial"/>
                <w:sz w:val="21"/>
              </w:rPr>
            </w:pPr>
          </w:p>
          <w:p w14:paraId="39314F02">
            <w:pPr>
              <w:spacing w:line="244" w:lineRule="auto"/>
              <w:rPr>
                <w:rFonts w:ascii="Arial"/>
                <w:sz w:val="21"/>
              </w:rPr>
            </w:pPr>
          </w:p>
          <w:p w14:paraId="0A6DDC9A">
            <w:pPr>
              <w:spacing w:line="244" w:lineRule="auto"/>
              <w:rPr>
                <w:rFonts w:ascii="Arial"/>
                <w:sz w:val="21"/>
              </w:rPr>
            </w:pPr>
          </w:p>
          <w:p w14:paraId="611632DA">
            <w:pPr>
              <w:spacing w:line="244" w:lineRule="auto"/>
              <w:rPr>
                <w:rFonts w:ascii="Arial"/>
                <w:sz w:val="21"/>
              </w:rPr>
            </w:pPr>
          </w:p>
          <w:p w14:paraId="7AD44270">
            <w:pPr>
              <w:spacing w:line="244" w:lineRule="auto"/>
              <w:rPr>
                <w:rFonts w:ascii="Arial"/>
                <w:sz w:val="21"/>
              </w:rPr>
            </w:pPr>
          </w:p>
          <w:p w14:paraId="5E1A10D8">
            <w:pPr>
              <w:pStyle w:val="6"/>
              <w:spacing w:before="68" w:line="236" w:lineRule="auto"/>
              <w:ind w:left="207" w:right="109" w:hanging="113"/>
              <w:rPr>
                <w:rFonts w:ascii="宋体" w:hAnsi="宋体" w:eastAsia="宋体" w:cs="宋体"/>
              </w:rPr>
            </w:pPr>
            <w:r>
              <w:rPr>
                <w:spacing w:val="-1"/>
              </w:rPr>
              <w:t>4#</w:t>
            </w:r>
            <w:r>
              <w:rPr>
                <w:rFonts w:ascii="宋体" w:hAnsi="宋体" w:eastAsia="宋体" w:cs="宋体"/>
                <w:spacing w:val="-1"/>
              </w:rPr>
              <w:t>隧洞排水</w:t>
            </w:r>
            <w:r>
              <w:rPr>
                <w:rFonts w:ascii="宋体" w:hAnsi="宋体" w:eastAsia="宋体" w:cs="宋体"/>
                <w:spacing w:val="-3"/>
              </w:rPr>
              <w:t>处理系统</w:t>
            </w:r>
          </w:p>
        </w:tc>
        <w:tc>
          <w:tcPr>
            <w:tcW w:w="422" w:type="dxa"/>
            <w:vMerge w:val="restart"/>
            <w:tcBorders>
              <w:bottom w:val="nil"/>
            </w:tcBorders>
            <w:vAlign w:val="top"/>
          </w:tcPr>
          <w:p w14:paraId="02E35526">
            <w:pPr>
              <w:pStyle w:val="6"/>
              <w:spacing w:before="166" w:line="222" w:lineRule="auto"/>
              <w:ind w:left="167"/>
            </w:pPr>
            <w:r>
              <w:t>1</w:t>
            </w:r>
          </w:p>
          <w:p w14:paraId="277746D4">
            <w:pPr>
              <w:spacing w:line="219" w:lineRule="auto"/>
              <w:ind w:left="99"/>
              <w:rPr>
                <w:rFonts w:ascii="宋体" w:hAnsi="宋体" w:eastAsia="宋体" w:cs="宋体"/>
                <w:sz w:val="21"/>
                <w:szCs w:val="21"/>
              </w:rPr>
            </w:pPr>
            <w:r>
              <w:rPr>
                <w:rFonts w:ascii="宋体" w:hAnsi="宋体" w:eastAsia="宋体" w:cs="宋体"/>
                <w:sz w:val="21"/>
                <w:szCs w:val="21"/>
              </w:rPr>
              <w:t>季</w:t>
            </w:r>
          </w:p>
          <w:p w14:paraId="4A63A83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A8FF5C0">
            <w:pPr>
              <w:pStyle w:val="6"/>
              <w:spacing w:before="103" w:line="210" w:lineRule="auto"/>
              <w:ind w:left="274"/>
            </w:pPr>
            <w:r>
              <w:rPr>
                <w:spacing w:val="-1"/>
              </w:rPr>
              <w:t>2021/3/18</w:t>
            </w:r>
          </w:p>
        </w:tc>
        <w:tc>
          <w:tcPr>
            <w:tcW w:w="892" w:type="dxa"/>
            <w:vAlign w:val="top"/>
          </w:tcPr>
          <w:p w14:paraId="3D502B8B">
            <w:pPr>
              <w:pStyle w:val="6"/>
              <w:spacing w:before="103" w:line="210" w:lineRule="auto"/>
              <w:ind w:left="283"/>
            </w:pPr>
            <w:r>
              <w:rPr>
                <w:spacing w:val="-1"/>
              </w:rPr>
              <w:t>498</w:t>
            </w:r>
          </w:p>
        </w:tc>
        <w:tc>
          <w:tcPr>
            <w:tcW w:w="892" w:type="dxa"/>
            <w:vAlign w:val="top"/>
          </w:tcPr>
          <w:p w14:paraId="52C7C193">
            <w:pPr>
              <w:pStyle w:val="6"/>
              <w:spacing w:before="107" w:line="206" w:lineRule="auto"/>
              <w:ind w:left="297"/>
            </w:pPr>
            <w:r>
              <w:rPr>
                <w:b/>
                <w:bCs/>
                <w:spacing w:val="-4"/>
              </w:rPr>
              <w:t>107</w:t>
            </w:r>
          </w:p>
        </w:tc>
        <w:tc>
          <w:tcPr>
            <w:tcW w:w="892" w:type="dxa"/>
            <w:vAlign w:val="top"/>
          </w:tcPr>
          <w:p w14:paraId="115A5C5B">
            <w:pPr>
              <w:pStyle w:val="6"/>
              <w:spacing w:before="103" w:line="210" w:lineRule="auto"/>
              <w:ind w:left="273"/>
            </w:pPr>
            <w:r>
              <w:rPr>
                <w:spacing w:val="-4"/>
              </w:rPr>
              <w:t>8.35</w:t>
            </w:r>
          </w:p>
        </w:tc>
        <w:tc>
          <w:tcPr>
            <w:tcW w:w="892" w:type="dxa"/>
            <w:vAlign w:val="top"/>
          </w:tcPr>
          <w:p w14:paraId="3130BF53">
            <w:pPr>
              <w:pStyle w:val="6"/>
              <w:spacing w:before="103" w:line="210" w:lineRule="auto"/>
              <w:ind w:left="276"/>
            </w:pPr>
            <w:r>
              <w:rPr>
                <w:spacing w:val="-4"/>
              </w:rPr>
              <w:t>8.23</w:t>
            </w:r>
          </w:p>
        </w:tc>
        <w:tc>
          <w:tcPr>
            <w:tcW w:w="891" w:type="dxa"/>
            <w:vAlign w:val="top"/>
          </w:tcPr>
          <w:p w14:paraId="49A1CD23">
            <w:pPr>
              <w:pStyle w:val="6"/>
              <w:spacing w:before="103" w:line="210" w:lineRule="auto"/>
              <w:ind w:left="274"/>
            </w:pPr>
            <w:r>
              <w:rPr>
                <w:spacing w:val="-2"/>
              </w:rPr>
              <w:t>0.24</w:t>
            </w:r>
          </w:p>
        </w:tc>
        <w:tc>
          <w:tcPr>
            <w:tcW w:w="906" w:type="dxa"/>
            <w:tcBorders>
              <w:right w:val="single" w:color="000000" w:sz="12" w:space="0"/>
            </w:tcBorders>
            <w:vAlign w:val="top"/>
          </w:tcPr>
          <w:p w14:paraId="2AADCF48">
            <w:pPr>
              <w:pStyle w:val="6"/>
              <w:spacing w:before="103" w:line="210" w:lineRule="auto"/>
              <w:ind w:left="277"/>
            </w:pPr>
            <w:r>
              <w:rPr>
                <w:spacing w:val="-2"/>
              </w:rPr>
              <w:t>0.10</w:t>
            </w:r>
          </w:p>
        </w:tc>
      </w:tr>
      <w:tr w14:paraId="37611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542F537F">
            <w:pPr>
              <w:rPr>
                <w:rFonts w:ascii="Arial"/>
                <w:sz w:val="21"/>
              </w:rPr>
            </w:pPr>
          </w:p>
        </w:tc>
        <w:tc>
          <w:tcPr>
            <w:tcW w:w="422" w:type="dxa"/>
            <w:vMerge w:val="continue"/>
            <w:tcBorders>
              <w:top w:val="nil"/>
              <w:bottom w:val="nil"/>
            </w:tcBorders>
            <w:vAlign w:val="top"/>
          </w:tcPr>
          <w:p w14:paraId="5F34032A">
            <w:pPr>
              <w:rPr>
                <w:rFonts w:ascii="Arial"/>
                <w:sz w:val="21"/>
              </w:rPr>
            </w:pPr>
          </w:p>
        </w:tc>
        <w:tc>
          <w:tcPr>
            <w:tcW w:w="1414" w:type="dxa"/>
            <w:vAlign w:val="top"/>
          </w:tcPr>
          <w:p w14:paraId="6F375FC4">
            <w:pPr>
              <w:pStyle w:val="6"/>
              <w:spacing w:before="104" w:line="210" w:lineRule="auto"/>
              <w:ind w:left="274"/>
            </w:pPr>
            <w:r>
              <w:rPr>
                <w:spacing w:val="-1"/>
              </w:rPr>
              <w:t>2021/3/19</w:t>
            </w:r>
          </w:p>
        </w:tc>
        <w:tc>
          <w:tcPr>
            <w:tcW w:w="892" w:type="dxa"/>
            <w:vAlign w:val="top"/>
          </w:tcPr>
          <w:p w14:paraId="5BEF1270">
            <w:pPr>
              <w:pStyle w:val="6"/>
              <w:spacing w:before="104" w:line="210" w:lineRule="auto"/>
              <w:ind w:left="290"/>
            </w:pPr>
            <w:r>
              <w:rPr>
                <w:spacing w:val="-3"/>
              </w:rPr>
              <w:t>511</w:t>
            </w:r>
          </w:p>
        </w:tc>
        <w:tc>
          <w:tcPr>
            <w:tcW w:w="892" w:type="dxa"/>
            <w:vAlign w:val="top"/>
          </w:tcPr>
          <w:p w14:paraId="30F27187">
            <w:pPr>
              <w:pStyle w:val="6"/>
              <w:spacing w:before="108" w:line="206" w:lineRule="auto"/>
              <w:ind w:left="297"/>
            </w:pPr>
            <w:r>
              <w:rPr>
                <w:b/>
                <w:bCs/>
                <w:spacing w:val="-4"/>
              </w:rPr>
              <w:t>121</w:t>
            </w:r>
          </w:p>
        </w:tc>
        <w:tc>
          <w:tcPr>
            <w:tcW w:w="892" w:type="dxa"/>
            <w:vAlign w:val="top"/>
          </w:tcPr>
          <w:p w14:paraId="66763215">
            <w:pPr>
              <w:pStyle w:val="6"/>
              <w:spacing w:before="104" w:line="210" w:lineRule="auto"/>
              <w:ind w:left="273"/>
            </w:pPr>
            <w:r>
              <w:rPr>
                <w:spacing w:val="-4"/>
              </w:rPr>
              <w:t>8.29</w:t>
            </w:r>
          </w:p>
        </w:tc>
        <w:tc>
          <w:tcPr>
            <w:tcW w:w="892" w:type="dxa"/>
            <w:vAlign w:val="top"/>
          </w:tcPr>
          <w:p w14:paraId="407EE560">
            <w:pPr>
              <w:pStyle w:val="6"/>
              <w:spacing w:before="104" w:line="210" w:lineRule="auto"/>
              <w:ind w:left="276"/>
            </w:pPr>
            <w:r>
              <w:rPr>
                <w:spacing w:val="-4"/>
              </w:rPr>
              <w:t>8.27</w:t>
            </w:r>
          </w:p>
        </w:tc>
        <w:tc>
          <w:tcPr>
            <w:tcW w:w="891" w:type="dxa"/>
            <w:vAlign w:val="top"/>
          </w:tcPr>
          <w:p w14:paraId="52407968">
            <w:pPr>
              <w:pStyle w:val="6"/>
              <w:spacing w:before="104" w:line="210" w:lineRule="auto"/>
              <w:ind w:left="274"/>
            </w:pPr>
            <w:r>
              <w:rPr>
                <w:spacing w:val="-2"/>
              </w:rPr>
              <w:t>0.23</w:t>
            </w:r>
          </w:p>
        </w:tc>
        <w:tc>
          <w:tcPr>
            <w:tcW w:w="906" w:type="dxa"/>
            <w:tcBorders>
              <w:right w:val="single" w:color="000000" w:sz="12" w:space="0"/>
            </w:tcBorders>
            <w:vAlign w:val="top"/>
          </w:tcPr>
          <w:p w14:paraId="699B046A">
            <w:pPr>
              <w:pStyle w:val="6"/>
              <w:spacing w:before="104" w:line="210" w:lineRule="auto"/>
              <w:ind w:left="277"/>
            </w:pPr>
            <w:r>
              <w:rPr>
                <w:spacing w:val="-2"/>
              </w:rPr>
              <w:t>0.10</w:t>
            </w:r>
          </w:p>
        </w:tc>
      </w:tr>
      <w:tr w14:paraId="1CDDA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89FE3EF">
            <w:pPr>
              <w:rPr>
                <w:rFonts w:ascii="Arial"/>
                <w:sz w:val="21"/>
              </w:rPr>
            </w:pPr>
          </w:p>
        </w:tc>
        <w:tc>
          <w:tcPr>
            <w:tcW w:w="422" w:type="dxa"/>
            <w:vMerge w:val="continue"/>
            <w:tcBorders>
              <w:top w:val="nil"/>
            </w:tcBorders>
            <w:vAlign w:val="top"/>
          </w:tcPr>
          <w:p w14:paraId="3FB11967">
            <w:pPr>
              <w:rPr>
                <w:rFonts w:ascii="Arial"/>
                <w:sz w:val="21"/>
              </w:rPr>
            </w:pPr>
          </w:p>
        </w:tc>
        <w:tc>
          <w:tcPr>
            <w:tcW w:w="1414" w:type="dxa"/>
            <w:vAlign w:val="top"/>
          </w:tcPr>
          <w:p w14:paraId="71CD7EBE">
            <w:pPr>
              <w:pStyle w:val="6"/>
              <w:spacing w:before="105" w:line="208" w:lineRule="auto"/>
              <w:ind w:left="274"/>
            </w:pPr>
            <w:r>
              <w:rPr>
                <w:spacing w:val="-1"/>
              </w:rPr>
              <w:t>2021/3/20</w:t>
            </w:r>
          </w:p>
        </w:tc>
        <w:tc>
          <w:tcPr>
            <w:tcW w:w="892" w:type="dxa"/>
            <w:vAlign w:val="top"/>
          </w:tcPr>
          <w:p w14:paraId="4478473E">
            <w:pPr>
              <w:pStyle w:val="6"/>
              <w:spacing w:before="105" w:line="208" w:lineRule="auto"/>
              <w:ind w:left="290"/>
            </w:pPr>
            <w:r>
              <w:rPr>
                <w:spacing w:val="-3"/>
              </w:rPr>
              <w:t>504</w:t>
            </w:r>
          </w:p>
        </w:tc>
        <w:tc>
          <w:tcPr>
            <w:tcW w:w="892" w:type="dxa"/>
            <w:vAlign w:val="top"/>
          </w:tcPr>
          <w:p w14:paraId="01E7CCC2">
            <w:pPr>
              <w:pStyle w:val="6"/>
              <w:spacing w:before="109" w:line="204" w:lineRule="auto"/>
              <w:ind w:left="297"/>
            </w:pPr>
            <w:r>
              <w:rPr>
                <w:b/>
                <w:bCs/>
                <w:spacing w:val="-4"/>
              </w:rPr>
              <w:t>115</w:t>
            </w:r>
          </w:p>
        </w:tc>
        <w:tc>
          <w:tcPr>
            <w:tcW w:w="892" w:type="dxa"/>
            <w:vAlign w:val="top"/>
          </w:tcPr>
          <w:p w14:paraId="33B119CB">
            <w:pPr>
              <w:pStyle w:val="6"/>
              <w:spacing w:before="105" w:line="208" w:lineRule="auto"/>
              <w:ind w:left="273"/>
            </w:pPr>
            <w:r>
              <w:rPr>
                <w:spacing w:val="-4"/>
              </w:rPr>
              <w:t>8.39</w:t>
            </w:r>
          </w:p>
        </w:tc>
        <w:tc>
          <w:tcPr>
            <w:tcW w:w="892" w:type="dxa"/>
            <w:vAlign w:val="top"/>
          </w:tcPr>
          <w:p w14:paraId="0855FE46">
            <w:pPr>
              <w:pStyle w:val="6"/>
              <w:spacing w:before="105" w:line="208" w:lineRule="auto"/>
              <w:ind w:left="276"/>
            </w:pPr>
            <w:r>
              <w:rPr>
                <w:spacing w:val="-4"/>
              </w:rPr>
              <w:t>8.19</w:t>
            </w:r>
          </w:p>
        </w:tc>
        <w:tc>
          <w:tcPr>
            <w:tcW w:w="891" w:type="dxa"/>
            <w:vAlign w:val="top"/>
          </w:tcPr>
          <w:p w14:paraId="14BB5CC6">
            <w:pPr>
              <w:pStyle w:val="6"/>
              <w:spacing w:before="105" w:line="208" w:lineRule="auto"/>
              <w:ind w:left="274"/>
            </w:pPr>
            <w:r>
              <w:rPr>
                <w:spacing w:val="-2"/>
              </w:rPr>
              <w:t>0.24</w:t>
            </w:r>
          </w:p>
        </w:tc>
        <w:tc>
          <w:tcPr>
            <w:tcW w:w="906" w:type="dxa"/>
            <w:tcBorders>
              <w:right w:val="single" w:color="000000" w:sz="12" w:space="0"/>
            </w:tcBorders>
            <w:vAlign w:val="top"/>
          </w:tcPr>
          <w:p w14:paraId="7D8B7820">
            <w:pPr>
              <w:pStyle w:val="6"/>
              <w:spacing w:before="105" w:line="208" w:lineRule="auto"/>
              <w:ind w:left="277"/>
            </w:pPr>
            <w:r>
              <w:rPr>
                <w:spacing w:val="-2"/>
              </w:rPr>
              <w:t>0.11</w:t>
            </w:r>
          </w:p>
        </w:tc>
      </w:tr>
      <w:tr w14:paraId="461E0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CCE8AB3">
            <w:pPr>
              <w:rPr>
                <w:rFonts w:ascii="Arial"/>
                <w:sz w:val="21"/>
              </w:rPr>
            </w:pPr>
          </w:p>
        </w:tc>
        <w:tc>
          <w:tcPr>
            <w:tcW w:w="422" w:type="dxa"/>
            <w:vMerge w:val="restart"/>
            <w:tcBorders>
              <w:bottom w:val="nil"/>
            </w:tcBorders>
            <w:vAlign w:val="top"/>
          </w:tcPr>
          <w:p w14:paraId="75A8EC44">
            <w:pPr>
              <w:pStyle w:val="6"/>
              <w:spacing w:before="170" w:line="223" w:lineRule="auto"/>
              <w:ind w:left="147"/>
            </w:pPr>
            <w:r>
              <w:t>2</w:t>
            </w:r>
          </w:p>
          <w:p w14:paraId="6694E006">
            <w:pPr>
              <w:spacing w:line="219" w:lineRule="auto"/>
              <w:ind w:left="99"/>
              <w:rPr>
                <w:rFonts w:ascii="宋体" w:hAnsi="宋体" w:eastAsia="宋体" w:cs="宋体"/>
                <w:sz w:val="21"/>
                <w:szCs w:val="21"/>
              </w:rPr>
            </w:pPr>
            <w:r>
              <w:rPr>
                <w:rFonts w:ascii="宋体" w:hAnsi="宋体" w:eastAsia="宋体" w:cs="宋体"/>
                <w:sz w:val="21"/>
                <w:szCs w:val="21"/>
              </w:rPr>
              <w:t>季</w:t>
            </w:r>
          </w:p>
          <w:p w14:paraId="0A7E956F">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175FA1B">
            <w:pPr>
              <w:pStyle w:val="6"/>
              <w:spacing w:before="106" w:line="207" w:lineRule="auto"/>
              <w:ind w:left="326"/>
            </w:pPr>
            <w:r>
              <w:rPr>
                <w:spacing w:val="-1"/>
              </w:rPr>
              <w:t>2021/6/3</w:t>
            </w:r>
          </w:p>
        </w:tc>
        <w:tc>
          <w:tcPr>
            <w:tcW w:w="892" w:type="dxa"/>
            <w:vAlign w:val="top"/>
          </w:tcPr>
          <w:p w14:paraId="18D406E6">
            <w:pPr>
              <w:pStyle w:val="6"/>
              <w:spacing w:before="106" w:line="207" w:lineRule="auto"/>
              <w:ind w:left="396"/>
            </w:pPr>
            <w:r>
              <w:t>5</w:t>
            </w:r>
          </w:p>
        </w:tc>
        <w:tc>
          <w:tcPr>
            <w:tcW w:w="892" w:type="dxa"/>
            <w:vAlign w:val="top"/>
          </w:tcPr>
          <w:p w14:paraId="6278EDC6">
            <w:pPr>
              <w:pStyle w:val="6"/>
              <w:spacing w:before="110" w:line="186" w:lineRule="auto"/>
              <w:ind w:left="327"/>
            </w:pPr>
            <w:r>
              <w:rPr>
                <w:spacing w:val="-1"/>
              </w:rPr>
              <w:t>4L</w:t>
            </w:r>
          </w:p>
        </w:tc>
        <w:tc>
          <w:tcPr>
            <w:tcW w:w="892" w:type="dxa"/>
            <w:vAlign w:val="top"/>
          </w:tcPr>
          <w:p w14:paraId="53C5D255">
            <w:pPr>
              <w:pStyle w:val="6"/>
              <w:spacing w:before="106" w:line="207" w:lineRule="auto"/>
              <w:ind w:left="326"/>
            </w:pPr>
            <w:r>
              <w:rPr>
                <w:spacing w:val="-5"/>
              </w:rPr>
              <w:t>8.2</w:t>
            </w:r>
          </w:p>
        </w:tc>
        <w:tc>
          <w:tcPr>
            <w:tcW w:w="892" w:type="dxa"/>
            <w:vAlign w:val="top"/>
          </w:tcPr>
          <w:p w14:paraId="339D077B">
            <w:pPr>
              <w:pStyle w:val="6"/>
              <w:spacing w:before="106" w:line="207" w:lineRule="auto"/>
              <w:ind w:left="329"/>
            </w:pPr>
            <w:r>
              <w:rPr>
                <w:spacing w:val="-5"/>
              </w:rPr>
              <w:t>8.1</w:t>
            </w:r>
          </w:p>
        </w:tc>
        <w:tc>
          <w:tcPr>
            <w:tcW w:w="891" w:type="dxa"/>
            <w:vAlign w:val="top"/>
          </w:tcPr>
          <w:p w14:paraId="5AFEDEE8">
            <w:pPr>
              <w:pStyle w:val="6"/>
              <w:spacing w:before="106" w:line="207" w:lineRule="auto"/>
              <w:ind w:left="274"/>
            </w:pPr>
            <w:r>
              <w:rPr>
                <w:spacing w:val="-2"/>
              </w:rPr>
              <w:t>0.08</w:t>
            </w:r>
          </w:p>
        </w:tc>
        <w:tc>
          <w:tcPr>
            <w:tcW w:w="906" w:type="dxa"/>
            <w:tcBorders>
              <w:right w:val="single" w:color="000000" w:sz="12" w:space="0"/>
            </w:tcBorders>
            <w:vAlign w:val="top"/>
          </w:tcPr>
          <w:p w14:paraId="49C6F69E">
            <w:pPr>
              <w:pStyle w:val="6"/>
              <w:spacing w:before="106" w:line="207" w:lineRule="auto"/>
              <w:ind w:left="214"/>
            </w:pPr>
            <w:r>
              <w:rPr>
                <w:spacing w:val="-2"/>
              </w:rPr>
              <w:t>0.06L</w:t>
            </w:r>
          </w:p>
        </w:tc>
      </w:tr>
      <w:tr w14:paraId="473A8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6E057B08">
            <w:pPr>
              <w:rPr>
                <w:rFonts w:ascii="Arial"/>
                <w:sz w:val="21"/>
              </w:rPr>
            </w:pPr>
          </w:p>
        </w:tc>
        <w:tc>
          <w:tcPr>
            <w:tcW w:w="422" w:type="dxa"/>
            <w:vMerge w:val="continue"/>
            <w:tcBorders>
              <w:top w:val="nil"/>
              <w:bottom w:val="nil"/>
            </w:tcBorders>
            <w:vAlign w:val="top"/>
          </w:tcPr>
          <w:p w14:paraId="3C2BEC82">
            <w:pPr>
              <w:rPr>
                <w:rFonts w:ascii="Arial"/>
                <w:sz w:val="21"/>
              </w:rPr>
            </w:pPr>
          </w:p>
        </w:tc>
        <w:tc>
          <w:tcPr>
            <w:tcW w:w="1414" w:type="dxa"/>
            <w:vAlign w:val="top"/>
          </w:tcPr>
          <w:p w14:paraId="08620CEB">
            <w:pPr>
              <w:pStyle w:val="6"/>
              <w:spacing w:before="107" w:line="207" w:lineRule="auto"/>
              <w:ind w:left="326"/>
            </w:pPr>
            <w:r>
              <w:rPr>
                <w:spacing w:val="-1"/>
              </w:rPr>
              <w:t>2021/6/4</w:t>
            </w:r>
          </w:p>
        </w:tc>
        <w:tc>
          <w:tcPr>
            <w:tcW w:w="892" w:type="dxa"/>
            <w:vAlign w:val="top"/>
          </w:tcPr>
          <w:p w14:paraId="68B25415">
            <w:pPr>
              <w:pStyle w:val="6"/>
              <w:spacing w:before="107" w:line="207" w:lineRule="auto"/>
              <w:ind w:left="395"/>
            </w:pPr>
            <w:r>
              <w:t>6</w:t>
            </w:r>
          </w:p>
        </w:tc>
        <w:tc>
          <w:tcPr>
            <w:tcW w:w="892" w:type="dxa"/>
            <w:vAlign w:val="top"/>
          </w:tcPr>
          <w:p w14:paraId="76AB0C96">
            <w:pPr>
              <w:pStyle w:val="6"/>
              <w:spacing w:before="111" w:line="186" w:lineRule="auto"/>
              <w:ind w:left="327"/>
            </w:pPr>
            <w:r>
              <w:rPr>
                <w:spacing w:val="-1"/>
              </w:rPr>
              <w:t>4L</w:t>
            </w:r>
          </w:p>
        </w:tc>
        <w:tc>
          <w:tcPr>
            <w:tcW w:w="892" w:type="dxa"/>
            <w:vAlign w:val="top"/>
          </w:tcPr>
          <w:p w14:paraId="05D8863C">
            <w:pPr>
              <w:pStyle w:val="6"/>
              <w:spacing w:before="107" w:line="207" w:lineRule="auto"/>
              <w:ind w:left="326"/>
            </w:pPr>
            <w:r>
              <w:rPr>
                <w:spacing w:val="-5"/>
              </w:rPr>
              <w:t>8.2</w:t>
            </w:r>
          </w:p>
        </w:tc>
        <w:tc>
          <w:tcPr>
            <w:tcW w:w="892" w:type="dxa"/>
            <w:vAlign w:val="top"/>
          </w:tcPr>
          <w:p w14:paraId="5CE4BD7F">
            <w:pPr>
              <w:pStyle w:val="6"/>
              <w:spacing w:before="107" w:line="207" w:lineRule="auto"/>
              <w:ind w:left="329"/>
            </w:pPr>
            <w:r>
              <w:rPr>
                <w:spacing w:val="-5"/>
              </w:rPr>
              <w:t>8.1</w:t>
            </w:r>
          </w:p>
        </w:tc>
        <w:tc>
          <w:tcPr>
            <w:tcW w:w="891" w:type="dxa"/>
            <w:vAlign w:val="top"/>
          </w:tcPr>
          <w:p w14:paraId="3795BF07">
            <w:pPr>
              <w:pStyle w:val="6"/>
              <w:spacing w:before="107" w:line="207" w:lineRule="auto"/>
              <w:ind w:left="274"/>
            </w:pPr>
            <w:r>
              <w:rPr>
                <w:spacing w:val="-2"/>
              </w:rPr>
              <w:t>0.07</w:t>
            </w:r>
          </w:p>
        </w:tc>
        <w:tc>
          <w:tcPr>
            <w:tcW w:w="906" w:type="dxa"/>
            <w:tcBorders>
              <w:right w:val="single" w:color="000000" w:sz="12" w:space="0"/>
            </w:tcBorders>
            <w:vAlign w:val="top"/>
          </w:tcPr>
          <w:p w14:paraId="032276EB">
            <w:pPr>
              <w:pStyle w:val="6"/>
              <w:spacing w:before="107" w:line="207" w:lineRule="auto"/>
              <w:ind w:left="214"/>
            </w:pPr>
            <w:r>
              <w:rPr>
                <w:spacing w:val="-2"/>
              </w:rPr>
              <w:t>0.06L</w:t>
            </w:r>
          </w:p>
        </w:tc>
      </w:tr>
      <w:tr w14:paraId="78B31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760F5B5">
            <w:pPr>
              <w:rPr>
                <w:rFonts w:ascii="Arial"/>
                <w:sz w:val="21"/>
              </w:rPr>
            </w:pPr>
          </w:p>
        </w:tc>
        <w:tc>
          <w:tcPr>
            <w:tcW w:w="422" w:type="dxa"/>
            <w:vMerge w:val="continue"/>
            <w:tcBorders>
              <w:top w:val="nil"/>
            </w:tcBorders>
            <w:vAlign w:val="top"/>
          </w:tcPr>
          <w:p w14:paraId="47E28CE2">
            <w:pPr>
              <w:rPr>
                <w:rFonts w:ascii="Arial"/>
                <w:sz w:val="21"/>
              </w:rPr>
            </w:pPr>
          </w:p>
        </w:tc>
        <w:tc>
          <w:tcPr>
            <w:tcW w:w="1414" w:type="dxa"/>
            <w:vAlign w:val="top"/>
          </w:tcPr>
          <w:p w14:paraId="03C38E5F">
            <w:pPr>
              <w:pStyle w:val="6"/>
              <w:spacing w:before="108" w:line="205" w:lineRule="auto"/>
              <w:ind w:left="326"/>
            </w:pPr>
            <w:r>
              <w:rPr>
                <w:spacing w:val="-1"/>
              </w:rPr>
              <w:t>2021/6/5</w:t>
            </w:r>
          </w:p>
        </w:tc>
        <w:tc>
          <w:tcPr>
            <w:tcW w:w="892" w:type="dxa"/>
            <w:vAlign w:val="top"/>
          </w:tcPr>
          <w:p w14:paraId="0A174756">
            <w:pPr>
              <w:pStyle w:val="6"/>
              <w:spacing w:before="108" w:line="205" w:lineRule="auto"/>
              <w:ind w:left="393"/>
            </w:pPr>
            <w:r>
              <w:t>7</w:t>
            </w:r>
          </w:p>
        </w:tc>
        <w:tc>
          <w:tcPr>
            <w:tcW w:w="892" w:type="dxa"/>
            <w:vAlign w:val="top"/>
          </w:tcPr>
          <w:p w14:paraId="0AAF52C6">
            <w:pPr>
              <w:pStyle w:val="6"/>
              <w:spacing w:before="112" w:line="186" w:lineRule="auto"/>
              <w:ind w:left="327"/>
            </w:pPr>
            <w:r>
              <w:rPr>
                <w:spacing w:val="-1"/>
              </w:rPr>
              <w:t>4L</w:t>
            </w:r>
          </w:p>
        </w:tc>
        <w:tc>
          <w:tcPr>
            <w:tcW w:w="892" w:type="dxa"/>
            <w:vAlign w:val="top"/>
          </w:tcPr>
          <w:p w14:paraId="5208B2D4">
            <w:pPr>
              <w:pStyle w:val="6"/>
              <w:spacing w:before="108" w:line="205" w:lineRule="auto"/>
              <w:ind w:left="326"/>
            </w:pPr>
            <w:r>
              <w:rPr>
                <w:spacing w:val="-5"/>
              </w:rPr>
              <w:t>8.2</w:t>
            </w:r>
          </w:p>
        </w:tc>
        <w:tc>
          <w:tcPr>
            <w:tcW w:w="892" w:type="dxa"/>
            <w:vAlign w:val="top"/>
          </w:tcPr>
          <w:p w14:paraId="14D9541B">
            <w:pPr>
              <w:pStyle w:val="6"/>
              <w:spacing w:before="108" w:line="205" w:lineRule="auto"/>
              <w:ind w:left="329"/>
            </w:pPr>
            <w:r>
              <w:rPr>
                <w:spacing w:val="-5"/>
              </w:rPr>
              <w:t>8.0</w:t>
            </w:r>
          </w:p>
        </w:tc>
        <w:tc>
          <w:tcPr>
            <w:tcW w:w="891" w:type="dxa"/>
            <w:vAlign w:val="top"/>
          </w:tcPr>
          <w:p w14:paraId="1B911D34">
            <w:pPr>
              <w:pStyle w:val="6"/>
              <w:spacing w:before="108" w:line="205" w:lineRule="auto"/>
              <w:ind w:left="274"/>
            </w:pPr>
            <w:r>
              <w:rPr>
                <w:spacing w:val="-2"/>
              </w:rPr>
              <w:t>0.07</w:t>
            </w:r>
          </w:p>
        </w:tc>
        <w:tc>
          <w:tcPr>
            <w:tcW w:w="906" w:type="dxa"/>
            <w:tcBorders>
              <w:right w:val="single" w:color="000000" w:sz="12" w:space="0"/>
            </w:tcBorders>
            <w:vAlign w:val="top"/>
          </w:tcPr>
          <w:p w14:paraId="5BDC43B3">
            <w:pPr>
              <w:pStyle w:val="6"/>
              <w:spacing w:before="108" w:line="205" w:lineRule="auto"/>
              <w:ind w:left="214"/>
            </w:pPr>
            <w:r>
              <w:rPr>
                <w:spacing w:val="-2"/>
              </w:rPr>
              <w:t>0.06L</w:t>
            </w:r>
          </w:p>
        </w:tc>
      </w:tr>
      <w:tr w14:paraId="340BA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15ED5A2">
            <w:pPr>
              <w:rPr>
                <w:rFonts w:ascii="Arial"/>
                <w:sz w:val="21"/>
              </w:rPr>
            </w:pPr>
          </w:p>
        </w:tc>
        <w:tc>
          <w:tcPr>
            <w:tcW w:w="422" w:type="dxa"/>
            <w:vMerge w:val="restart"/>
            <w:tcBorders>
              <w:bottom w:val="nil"/>
            </w:tcBorders>
            <w:vAlign w:val="top"/>
          </w:tcPr>
          <w:p w14:paraId="2F0B2E04">
            <w:pPr>
              <w:pStyle w:val="6"/>
              <w:spacing w:before="174" w:line="222" w:lineRule="auto"/>
              <w:ind w:left="151"/>
            </w:pPr>
            <w:r>
              <w:t>3</w:t>
            </w:r>
          </w:p>
          <w:p w14:paraId="6DDA698D">
            <w:pPr>
              <w:spacing w:line="219" w:lineRule="auto"/>
              <w:ind w:left="99"/>
              <w:rPr>
                <w:rFonts w:ascii="宋体" w:hAnsi="宋体" w:eastAsia="宋体" w:cs="宋体"/>
                <w:sz w:val="21"/>
                <w:szCs w:val="21"/>
              </w:rPr>
            </w:pPr>
            <w:r>
              <w:rPr>
                <w:rFonts w:ascii="宋体" w:hAnsi="宋体" w:eastAsia="宋体" w:cs="宋体"/>
                <w:sz w:val="21"/>
                <w:szCs w:val="21"/>
              </w:rPr>
              <w:t>季</w:t>
            </w:r>
          </w:p>
          <w:p w14:paraId="253EB032">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24D91A9">
            <w:pPr>
              <w:pStyle w:val="6"/>
              <w:spacing w:before="109" w:line="205" w:lineRule="auto"/>
              <w:ind w:left="274"/>
            </w:pPr>
            <w:r>
              <w:rPr>
                <w:spacing w:val="-1"/>
              </w:rPr>
              <w:t>2021/7/19</w:t>
            </w:r>
          </w:p>
        </w:tc>
        <w:tc>
          <w:tcPr>
            <w:tcW w:w="892" w:type="dxa"/>
            <w:vAlign w:val="top"/>
          </w:tcPr>
          <w:p w14:paraId="2BD6C926">
            <w:pPr>
              <w:pStyle w:val="6"/>
              <w:spacing w:before="109" w:line="205" w:lineRule="auto"/>
              <w:ind w:left="342"/>
            </w:pPr>
            <w:r>
              <w:rPr>
                <w:spacing w:val="-3"/>
              </w:rPr>
              <w:t>65</w:t>
            </w:r>
          </w:p>
        </w:tc>
        <w:tc>
          <w:tcPr>
            <w:tcW w:w="892" w:type="dxa"/>
            <w:vAlign w:val="top"/>
          </w:tcPr>
          <w:p w14:paraId="337D5598">
            <w:pPr>
              <w:pStyle w:val="6"/>
              <w:spacing w:before="109" w:line="205" w:lineRule="auto"/>
              <w:ind w:left="339"/>
            </w:pPr>
            <w:r>
              <w:rPr>
                <w:spacing w:val="-1"/>
              </w:rPr>
              <w:t>48</w:t>
            </w:r>
          </w:p>
        </w:tc>
        <w:tc>
          <w:tcPr>
            <w:tcW w:w="892" w:type="dxa"/>
            <w:vAlign w:val="top"/>
          </w:tcPr>
          <w:p w14:paraId="0C759998">
            <w:pPr>
              <w:pStyle w:val="6"/>
              <w:spacing w:before="109" w:line="205" w:lineRule="auto"/>
              <w:ind w:left="326"/>
            </w:pPr>
            <w:r>
              <w:rPr>
                <w:spacing w:val="-5"/>
              </w:rPr>
              <w:t>8.1</w:t>
            </w:r>
          </w:p>
        </w:tc>
        <w:tc>
          <w:tcPr>
            <w:tcW w:w="892" w:type="dxa"/>
            <w:vAlign w:val="top"/>
          </w:tcPr>
          <w:p w14:paraId="60883C51">
            <w:pPr>
              <w:pStyle w:val="6"/>
              <w:spacing w:before="109" w:line="205" w:lineRule="auto"/>
              <w:ind w:left="329"/>
            </w:pPr>
            <w:r>
              <w:rPr>
                <w:spacing w:val="-5"/>
              </w:rPr>
              <w:t>8.0</w:t>
            </w:r>
          </w:p>
        </w:tc>
        <w:tc>
          <w:tcPr>
            <w:tcW w:w="891" w:type="dxa"/>
            <w:vAlign w:val="top"/>
          </w:tcPr>
          <w:p w14:paraId="2C8E1552">
            <w:pPr>
              <w:pStyle w:val="6"/>
              <w:spacing w:before="109" w:line="205" w:lineRule="auto"/>
              <w:ind w:left="274"/>
            </w:pPr>
            <w:r>
              <w:rPr>
                <w:spacing w:val="-2"/>
              </w:rPr>
              <w:t>0.45</w:t>
            </w:r>
          </w:p>
        </w:tc>
        <w:tc>
          <w:tcPr>
            <w:tcW w:w="906" w:type="dxa"/>
            <w:tcBorders>
              <w:right w:val="single" w:color="000000" w:sz="12" w:space="0"/>
            </w:tcBorders>
            <w:vAlign w:val="top"/>
          </w:tcPr>
          <w:p w14:paraId="7DFE1E97">
            <w:pPr>
              <w:pStyle w:val="6"/>
              <w:spacing w:before="109" w:line="205" w:lineRule="auto"/>
              <w:ind w:left="277"/>
            </w:pPr>
            <w:r>
              <w:rPr>
                <w:spacing w:val="-2"/>
              </w:rPr>
              <w:t>0.27</w:t>
            </w:r>
          </w:p>
        </w:tc>
      </w:tr>
      <w:tr w14:paraId="4A55E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9AAF484">
            <w:pPr>
              <w:rPr>
                <w:rFonts w:ascii="Arial"/>
                <w:sz w:val="21"/>
              </w:rPr>
            </w:pPr>
          </w:p>
        </w:tc>
        <w:tc>
          <w:tcPr>
            <w:tcW w:w="422" w:type="dxa"/>
            <w:vMerge w:val="continue"/>
            <w:tcBorders>
              <w:top w:val="nil"/>
              <w:bottom w:val="nil"/>
            </w:tcBorders>
            <w:vAlign w:val="top"/>
          </w:tcPr>
          <w:p w14:paraId="4C771638">
            <w:pPr>
              <w:rPr>
                <w:rFonts w:ascii="Arial"/>
                <w:sz w:val="21"/>
              </w:rPr>
            </w:pPr>
          </w:p>
        </w:tc>
        <w:tc>
          <w:tcPr>
            <w:tcW w:w="1414" w:type="dxa"/>
            <w:vAlign w:val="top"/>
          </w:tcPr>
          <w:p w14:paraId="6BC86827">
            <w:pPr>
              <w:pStyle w:val="6"/>
              <w:spacing w:before="110" w:line="203" w:lineRule="auto"/>
              <w:ind w:left="274"/>
            </w:pPr>
            <w:r>
              <w:rPr>
                <w:spacing w:val="-1"/>
              </w:rPr>
              <w:t>2021/7/20</w:t>
            </w:r>
          </w:p>
        </w:tc>
        <w:tc>
          <w:tcPr>
            <w:tcW w:w="892" w:type="dxa"/>
            <w:vAlign w:val="top"/>
          </w:tcPr>
          <w:p w14:paraId="2382DF70">
            <w:pPr>
              <w:pStyle w:val="6"/>
              <w:spacing w:before="110" w:line="203" w:lineRule="auto"/>
              <w:ind w:left="340"/>
            </w:pPr>
            <w:r>
              <w:rPr>
                <w:spacing w:val="-2"/>
              </w:rPr>
              <w:t>71</w:t>
            </w:r>
          </w:p>
        </w:tc>
        <w:tc>
          <w:tcPr>
            <w:tcW w:w="892" w:type="dxa"/>
            <w:vAlign w:val="top"/>
          </w:tcPr>
          <w:p w14:paraId="217CFB68">
            <w:pPr>
              <w:pStyle w:val="6"/>
              <w:spacing w:before="110" w:line="203" w:lineRule="auto"/>
              <w:ind w:left="339"/>
            </w:pPr>
            <w:r>
              <w:rPr>
                <w:spacing w:val="-1"/>
              </w:rPr>
              <w:t>43</w:t>
            </w:r>
          </w:p>
        </w:tc>
        <w:tc>
          <w:tcPr>
            <w:tcW w:w="892" w:type="dxa"/>
            <w:vAlign w:val="top"/>
          </w:tcPr>
          <w:p w14:paraId="3C47A404">
            <w:pPr>
              <w:pStyle w:val="6"/>
              <w:spacing w:before="110" w:line="203" w:lineRule="auto"/>
              <w:ind w:left="326"/>
            </w:pPr>
            <w:r>
              <w:rPr>
                <w:spacing w:val="-5"/>
              </w:rPr>
              <w:t>8.2</w:t>
            </w:r>
          </w:p>
        </w:tc>
        <w:tc>
          <w:tcPr>
            <w:tcW w:w="892" w:type="dxa"/>
            <w:vAlign w:val="top"/>
          </w:tcPr>
          <w:p w14:paraId="04426CC8">
            <w:pPr>
              <w:pStyle w:val="6"/>
              <w:spacing w:before="110" w:line="203" w:lineRule="auto"/>
              <w:ind w:left="329"/>
            </w:pPr>
            <w:r>
              <w:rPr>
                <w:spacing w:val="-5"/>
              </w:rPr>
              <w:t>8.0</w:t>
            </w:r>
          </w:p>
        </w:tc>
        <w:tc>
          <w:tcPr>
            <w:tcW w:w="891" w:type="dxa"/>
            <w:vAlign w:val="top"/>
          </w:tcPr>
          <w:p w14:paraId="3B0D5117">
            <w:pPr>
              <w:pStyle w:val="6"/>
              <w:spacing w:before="110" w:line="203" w:lineRule="auto"/>
              <w:ind w:left="274"/>
            </w:pPr>
            <w:r>
              <w:rPr>
                <w:spacing w:val="-2"/>
              </w:rPr>
              <w:t>0.45</w:t>
            </w:r>
          </w:p>
        </w:tc>
        <w:tc>
          <w:tcPr>
            <w:tcW w:w="906" w:type="dxa"/>
            <w:tcBorders>
              <w:right w:val="single" w:color="000000" w:sz="12" w:space="0"/>
            </w:tcBorders>
            <w:vAlign w:val="top"/>
          </w:tcPr>
          <w:p w14:paraId="2EA5B171">
            <w:pPr>
              <w:pStyle w:val="6"/>
              <w:spacing w:before="110" w:line="203" w:lineRule="auto"/>
              <w:ind w:left="277"/>
            </w:pPr>
            <w:r>
              <w:rPr>
                <w:spacing w:val="-2"/>
              </w:rPr>
              <w:t>0.25</w:t>
            </w:r>
          </w:p>
        </w:tc>
      </w:tr>
      <w:tr w14:paraId="21741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31D6766">
            <w:pPr>
              <w:rPr>
                <w:rFonts w:ascii="Arial"/>
                <w:sz w:val="21"/>
              </w:rPr>
            </w:pPr>
          </w:p>
        </w:tc>
        <w:tc>
          <w:tcPr>
            <w:tcW w:w="422" w:type="dxa"/>
            <w:vMerge w:val="continue"/>
            <w:tcBorders>
              <w:top w:val="nil"/>
            </w:tcBorders>
            <w:vAlign w:val="top"/>
          </w:tcPr>
          <w:p w14:paraId="4D97C02A">
            <w:pPr>
              <w:rPr>
                <w:rFonts w:ascii="Arial"/>
                <w:sz w:val="21"/>
              </w:rPr>
            </w:pPr>
          </w:p>
        </w:tc>
        <w:tc>
          <w:tcPr>
            <w:tcW w:w="1414" w:type="dxa"/>
            <w:vAlign w:val="top"/>
          </w:tcPr>
          <w:p w14:paraId="1EDC26E8">
            <w:pPr>
              <w:pStyle w:val="6"/>
              <w:spacing w:before="111" w:line="202" w:lineRule="auto"/>
              <w:ind w:left="274"/>
            </w:pPr>
            <w:r>
              <w:rPr>
                <w:spacing w:val="-1"/>
              </w:rPr>
              <w:t>2021/7/21</w:t>
            </w:r>
          </w:p>
        </w:tc>
        <w:tc>
          <w:tcPr>
            <w:tcW w:w="892" w:type="dxa"/>
            <w:vAlign w:val="top"/>
          </w:tcPr>
          <w:p w14:paraId="5BB35A4F">
            <w:pPr>
              <w:pStyle w:val="6"/>
              <w:spacing w:before="111" w:line="202" w:lineRule="auto"/>
              <w:ind w:left="342"/>
            </w:pPr>
            <w:r>
              <w:rPr>
                <w:spacing w:val="-3"/>
              </w:rPr>
              <w:t>68</w:t>
            </w:r>
          </w:p>
        </w:tc>
        <w:tc>
          <w:tcPr>
            <w:tcW w:w="892" w:type="dxa"/>
            <w:vAlign w:val="top"/>
          </w:tcPr>
          <w:p w14:paraId="5077F019">
            <w:pPr>
              <w:pStyle w:val="6"/>
              <w:spacing w:before="111" w:line="202" w:lineRule="auto"/>
              <w:ind w:left="339"/>
            </w:pPr>
            <w:r>
              <w:rPr>
                <w:spacing w:val="-1"/>
              </w:rPr>
              <w:t>46</w:t>
            </w:r>
          </w:p>
        </w:tc>
        <w:tc>
          <w:tcPr>
            <w:tcW w:w="892" w:type="dxa"/>
            <w:vAlign w:val="top"/>
          </w:tcPr>
          <w:p w14:paraId="0EE91DEA">
            <w:pPr>
              <w:pStyle w:val="6"/>
              <w:spacing w:before="111" w:line="202" w:lineRule="auto"/>
              <w:ind w:left="326"/>
            </w:pPr>
            <w:r>
              <w:rPr>
                <w:spacing w:val="-5"/>
              </w:rPr>
              <w:t>8.3</w:t>
            </w:r>
          </w:p>
        </w:tc>
        <w:tc>
          <w:tcPr>
            <w:tcW w:w="892" w:type="dxa"/>
            <w:vAlign w:val="top"/>
          </w:tcPr>
          <w:p w14:paraId="48269269">
            <w:pPr>
              <w:pStyle w:val="6"/>
              <w:spacing w:before="111" w:line="202" w:lineRule="auto"/>
              <w:ind w:left="329"/>
            </w:pPr>
            <w:r>
              <w:rPr>
                <w:spacing w:val="-5"/>
              </w:rPr>
              <w:t>8.1</w:t>
            </w:r>
          </w:p>
        </w:tc>
        <w:tc>
          <w:tcPr>
            <w:tcW w:w="891" w:type="dxa"/>
            <w:vAlign w:val="top"/>
          </w:tcPr>
          <w:p w14:paraId="4E0A395E">
            <w:pPr>
              <w:pStyle w:val="6"/>
              <w:spacing w:before="111" w:line="202" w:lineRule="auto"/>
              <w:ind w:left="274"/>
            </w:pPr>
            <w:r>
              <w:rPr>
                <w:spacing w:val="-2"/>
              </w:rPr>
              <w:t>0.46</w:t>
            </w:r>
          </w:p>
        </w:tc>
        <w:tc>
          <w:tcPr>
            <w:tcW w:w="906" w:type="dxa"/>
            <w:tcBorders>
              <w:right w:val="single" w:color="000000" w:sz="12" w:space="0"/>
            </w:tcBorders>
            <w:vAlign w:val="top"/>
          </w:tcPr>
          <w:p w14:paraId="6BFA2545">
            <w:pPr>
              <w:pStyle w:val="6"/>
              <w:spacing w:before="111" w:line="202" w:lineRule="auto"/>
              <w:ind w:left="277"/>
            </w:pPr>
            <w:r>
              <w:rPr>
                <w:spacing w:val="-2"/>
              </w:rPr>
              <w:t>0.25</w:t>
            </w:r>
          </w:p>
        </w:tc>
      </w:tr>
      <w:tr w14:paraId="657BD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208BF0FC">
            <w:pPr>
              <w:rPr>
                <w:rFonts w:ascii="Arial"/>
                <w:sz w:val="21"/>
              </w:rPr>
            </w:pPr>
          </w:p>
        </w:tc>
        <w:tc>
          <w:tcPr>
            <w:tcW w:w="422" w:type="dxa"/>
            <w:vMerge w:val="restart"/>
            <w:tcBorders>
              <w:bottom w:val="nil"/>
            </w:tcBorders>
            <w:vAlign w:val="top"/>
          </w:tcPr>
          <w:p w14:paraId="2DBBCBF7">
            <w:pPr>
              <w:pStyle w:val="6"/>
              <w:spacing w:before="178" w:line="222" w:lineRule="auto"/>
              <w:ind w:left="146"/>
            </w:pPr>
            <w:r>
              <w:t>4</w:t>
            </w:r>
          </w:p>
          <w:p w14:paraId="4045D018">
            <w:pPr>
              <w:spacing w:line="219" w:lineRule="auto"/>
              <w:ind w:left="99"/>
              <w:rPr>
                <w:rFonts w:ascii="宋体" w:hAnsi="宋体" w:eastAsia="宋体" w:cs="宋体"/>
                <w:sz w:val="21"/>
                <w:szCs w:val="21"/>
              </w:rPr>
            </w:pPr>
            <w:r>
              <w:rPr>
                <w:rFonts w:ascii="宋体" w:hAnsi="宋体" w:eastAsia="宋体" w:cs="宋体"/>
                <w:sz w:val="21"/>
                <w:szCs w:val="21"/>
              </w:rPr>
              <w:t>季</w:t>
            </w:r>
          </w:p>
          <w:p w14:paraId="2222C96F">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0E0E1C0">
            <w:pPr>
              <w:pStyle w:val="6"/>
              <w:spacing w:before="113" w:line="201" w:lineRule="auto"/>
              <w:ind w:left="221"/>
            </w:pPr>
            <w:r>
              <w:rPr>
                <w:spacing w:val="-1"/>
              </w:rPr>
              <w:t>2021/11/28</w:t>
            </w:r>
          </w:p>
        </w:tc>
        <w:tc>
          <w:tcPr>
            <w:tcW w:w="892" w:type="dxa"/>
            <w:vAlign w:val="top"/>
          </w:tcPr>
          <w:p w14:paraId="6BCA5E9D">
            <w:pPr>
              <w:pStyle w:val="6"/>
              <w:spacing w:before="117" w:line="186" w:lineRule="auto"/>
              <w:ind w:left="324"/>
            </w:pPr>
            <w:r>
              <w:rPr>
                <w:spacing w:val="-1"/>
              </w:rPr>
              <w:t>4L</w:t>
            </w:r>
          </w:p>
        </w:tc>
        <w:tc>
          <w:tcPr>
            <w:tcW w:w="892" w:type="dxa"/>
            <w:vAlign w:val="top"/>
          </w:tcPr>
          <w:p w14:paraId="50EA591A">
            <w:pPr>
              <w:pStyle w:val="6"/>
              <w:spacing w:before="117" w:line="186" w:lineRule="auto"/>
              <w:ind w:left="327"/>
            </w:pPr>
            <w:r>
              <w:rPr>
                <w:spacing w:val="-1"/>
              </w:rPr>
              <w:t>4L</w:t>
            </w:r>
          </w:p>
        </w:tc>
        <w:tc>
          <w:tcPr>
            <w:tcW w:w="892" w:type="dxa"/>
            <w:vAlign w:val="top"/>
          </w:tcPr>
          <w:p w14:paraId="66A234C6">
            <w:pPr>
              <w:pStyle w:val="6"/>
              <w:spacing w:before="113" w:line="201" w:lineRule="auto"/>
              <w:ind w:left="284"/>
            </w:pPr>
            <w:r>
              <w:rPr>
                <w:spacing w:val="-6"/>
              </w:rPr>
              <w:t>11.0</w:t>
            </w:r>
          </w:p>
        </w:tc>
        <w:tc>
          <w:tcPr>
            <w:tcW w:w="892" w:type="dxa"/>
            <w:vAlign w:val="top"/>
          </w:tcPr>
          <w:p w14:paraId="6A8BC638">
            <w:pPr>
              <w:pStyle w:val="6"/>
              <w:spacing w:before="117" w:line="197" w:lineRule="auto"/>
              <w:ind w:left="277"/>
            </w:pPr>
            <w:r>
              <w:rPr>
                <w:b/>
                <w:bCs/>
                <w:spacing w:val="-4"/>
              </w:rPr>
              <w:t>10.9</w:t>
            </w:r>
          </w:p>
        </w:tc>
        <w:tc>
          <w:tcPr>
            <w:tcW w:w="891" w:type="dxa"/>
            <w:vAlign w:val="top"/>
          </w:tcPr>
          <w:p w14:paraId="3DF357A3">
            <w:pPr>
              <w:pStyle w:val="6"/>
              <w:spacing w:before="113" w:line="201" w:lineRule="auto"/>
              <w:ind w:left="274"/>
            </w:pPr>
            <w:r>
              <w:rPr>
                <w:spacing w:val="-2"/>
              </w:rPr>
              <w:t>0.09</w:t>
            </w:r>
          </w:p>
        </w:tc>
        <w:tc>
          <w:tcPr>
            <w:tcW w:w="906" w:type="dxa"/>
            <w:tcBorders>
              <w:right w:val="single" w:color="000000" w:sz="12" w:space="0"/>
            </w:tcBorders>
            <w:vAlign w:val="top"/>
          </w:tcPr>
          <w:p w14:paraId="02472BB4">
            <w:pPr>
              <w:pStyle w:val="6"/>
              <w:spacing w:before="113" w:line="201" w:lineRule="auto"/>
              <w:ind w:left="214"/>
            </w:pPr>
            <w:r>
              <w:rPr>
                <w:spacing w:val="-2"/>
              </w:rPr>
              <w:t>0.06L</w:t>
            </w:r>
          </w:p>
        </w:tc>
      </w:tr>
      <w:tr w14:paraId="0D46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F0A1D5F">
            <w:pPr>
              <w:rPr>
                <w:rFonts w:ascii="Arial"/>
                <w:sz w:val="21"/>
              </w:rPr>
            </w:pPr>
          </w:p>
        </w:tc>
        <w:tc>
          <w:tcPr>
            <w:tcW w:w="422" w:type="dxa"/>
            <w:vMerge w:val="continue"/>
            <w:tcBorders>
              <w:top w:val="nil"/>
              <w:bottom w:val="nil"/>
            </w:tcBorders>
            <w:vAlign w:val="top"/>
          </w:tcPr>
          <w:p w14:paraId="06D6E4D4">
            <w:pPr>
              <w:rPr>
                <w:rFonts w:ascii="Arial"/>
                <w:sz w:val="21"/>
              </w:rPr>
            </w:pPr>
          </w:p>
        </w:tc>
        <w:tc>
          <w:tcPr>
            <w:tcW w:w="1414" w:type="dxa"/>
            <w:vAlign w:val="top"/>
          </w:tcPr>
          <w:p w14:paraId="2C54BF9B">
            <w:pPr>
              <w:pStyle w:val="6"/>
              <w:spacing w:before="114" w:line="199" w:lineRule="auto"/>
              <w:ind w:left="221"/>
            </w:pPr>
            <w:r>
              <w:rPr>
                <w:spacing w:val="-1"/>
              </w:rPr>
              <w:t>2021/11/29</w:t>
            </w:r>
          </w:p>
        </w:tc>
        <w:tc>
          <w:tcPr>
            <w:tcW w:w="892" w:type="dxa"/>
            <w:vAlign w:val="top"/>
          </w:tcPr>
          <w:p w14:paraId="686FCB04">
            <w:pPr>
              <w:pStyle w:val="6"/>
              <w:spacing w:before="118" w:line="186" w:lineRule="auto"/>
              <w:ind w:left="324"/>
            </w:pPr>
            <w:r>
              <w:rPr>
                <w:spacing w:val="-1"/>
              </w:rPr>
              <w:t>4L</w:t>
            </w:r>
          </w:p>
        </w:tc>
        <w:tc>
          <w:tcPr>
            <w:tcW w:w="892" w:type="dxa"/>
            <w:vAlign w:val="top"/>
          </w:tcPr>
          <w:p w14:paraId="451E66A4">
            <w:pPr>
              <w:pStyle w:val="6"/>
              <w:spacing w:before="118" w:line="186" w:lineRule="auto"/>
              <w:ind w:left="327"/>
            </w:pPr>
            <w:r>
              <w:rPr>
                <w:spacing w:val="-1"/>
              </w:rPr>
              <w:t>4L</w:t>
            </w:r>
          </w:p>
        </w:tc>
        <w:tc>
          <w:tcPr>
            <w:tcW w:w="892" w:type="dxa"/>
            <w:vAlign w:val="top"/>
          </w:tcPr>
          <w:p w14:paraId="4536695C">
            <w:pPr>
              <w:pStyle w:val="6"/>
              <w:spacing w:before="114" w:line="199" w:lineRule="auto"/>
              <w:ind w:left="284"/>
            </w:pPr>
            <w:r>
              <w:rPr>
                <w:spacing w:val="-6"/>
              </w:rPr>
              <w:t>11.1</w:t>
            </w:r>
          </w:p>
        </w:tc>
        <w:tc>
          <w:tcPr>
            <w:tcW w:w="892" w:type="dxa"/>
            <w:vAlign w:val="top"/>
          </w:tcPr>
          <w:p w14:paraId="59A0A45B">
            <w:pPr>
              <w:pStyle w:val="6"/>
              <w:spacing w:before="118" w:line="195" w:lineRule="auto"/>
              <w:ind w:left="277"/>
            </w:pPr>
            <w:r>
              <w:rPr>
                <w:b/>
                <w:bCs/>
                <w:spacing w:val="-4"/>
              </w:rPr>
              <w:t>10.9</w:t>
            </w:r>
          </w:p>
        </w:tc>
        <w:tc>
          <w:tcPr>
            <w:tcW w:w="891" w:type="dxa"/>
            <w:vAlign w:val="top"/>
          </w:tcPr>
          <w:p w14:paraId="66B0CEE5">
            <w:pPr>
              <w:pStyle w:val="6"/>
              <w:spacing w:before="114" w:line="199" w:lineRule="auto"/>
              <w:ind w:left="274"/>
            </w:pPr>
            <w:r>
              <w:rPr>
                <w:spacing w:val="-2"/>
              </w:rPr>
              <w:t>0.08</w:t>
            </w:r>
          </w:p>
        </w:tc>
        <w:tc>
          <w:tcPr>
            <w:tcW w:w="906" w:type="dxa"/>
            <w:tcBorders>
              <w:right w:val="single" w:color="000000" w:sz="12" w:space="0"/>
            </w:tcBorders>
            <w:vAlign w:val="top"/>
          </w:tcPr>
          <w:p w14:paraId="7E55A2BC">
            <w:pPr>
              <w:pStyle w:val="6"/>
              <w:spacing w:before="114" w:line="199" w:lineRule="auto"/>
              <w:ind w:left="214"/>
            </w:pPr>
            <w:r>
              <w:rPr>
                <w:spacing w:val="-2"/>
              </w:rPr>
              <w:t>0.06L</w:t>
            </w:r>
          </w:p>
        </w:tc>
      </w:tr>
      <w:tr w14:paraId="02CB5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272" w:type="dxa"/>
            <w:vMerge w:val="continue"/>
            <w:tcBorders>
              <w:top w:val="nil"/>
              <w:left w:val="single" w:color="000000" w:sz="12" w:space="0"/>
              <w:bottom w:val="single" w:color="000000" w:sz="12" w:space="0"/>
            </w:tcBorders>
            <w:vAlign w:val="top"/>
          </w:tcPr>
          <w:p w14:paraId="0D13C312">
            <w:pPr>
              <w:rPr>
                <w:rFonts w:ascii="Arial"/>
                <w:sz w:val="21"/>
              </w:rPr>
            </w:pPr>
          </w:p>
        </w:tc>
        <w:tc>
          <w:tcPr>
            <w:tcW w:w="422" w:type="dxa"/>
            <w:vMerge w:val="continue"/>
            <w:tcBorders>
              <w:top w:val="nil"/>
              <w:bottom w:val="single" w:color="000000" w:sz="12" w:space="0"/>
            </w:tcBorders>
            <w:vAlign w:val="top"/>
          </w:tcPr>
          <w:p w14:paraId="6656902F">
            <w:pPr>
              <w:rPr>
                <w:rFonts w:ascii="Arial"/>
                <w:sz w:val="21"/>
              </w:rPr>
            </w:pPr>
          </w:p>
        </w:tc>
        <w:tc>
          <w:tcPr>
            <w:tcW w:w="1414" w:type="dxa"/>
            <w:tcBorders>
              <w:bottom w:val="single" w:color="000000" w:sz="12" w:space="0"/>
            </w:tcBorders>
            <w:vAlign w:val="top"/>
          </w:tcPr>
          <w:p w14:paraId="7E28BAF3">
            <w:pPr>
              <w:pStyle w:val="6"/>
              <w:spacing w:before="115" w:line="221" w:lineRule="auto"/>
              <w:ind w:left="221"/>
            </w:pPr>
            <w:r>
              <w:rPr>
                <w:spacing w:val="-1"/>
              </w:rPr>
              <w:t>2021/11/30</w:t>
            </w:r>
          </w:p>
        </w:tc>
        <w:tc>
          <w:tcPr>
            <w:tcW w:w="892" w:type="dxa"/>
            <w:tcBorders>
              <w:bottom w:val="single" w:color="000000" w:sz="12" w:space="0"/>
            </w:tcBorders>
            <w:vAlign w:val="top"/>
          </w:tcPr>
          <w:p w14:paraId="31FD382B">
            <w:pPr>
              <w:pStyle w:val="6"/>
              <w:spacing w:before="119" w:line="186" w:lineRule="auto"/>
              <w:ind w:left="324"/>
            </w:pPr>
            <w:r>
              <w:rPr>
                <w:spacing w:val="-1"/>
              </w:rPr>
              <w:t>4L</w:t>
            </w:r>
          </w:p>
        </w:tc>
        <w:tc>
          <w:tcPr>
            <w:tcW w:w="892" w:type="dxa"/>
            <w:tcBorders>
              <w:bottom w:val="single" w:color="000000" w:sz="12" w:space="0"/>
            </w:tcBorders>
            <w:vAlign w:val="top"/>
          </w:tcPr>
          <w:p w14:paraId="6F448FAE">
            <w:pPr>
              <w:pStyle w:val="6"/>
              <w:spacing w:before="119" w:line="186" w:lineRule="auto"/>
              <w:ind w:left="327"/>
            </w:pPr>
            <w:r>
              <w:rPr>
                <w:spacing w:val="-1"/>
              </w:rPr>
              <w:t>4L</w:t>
            </w:r>
          </w:p>
        </w:tc>
        <w:tc>
          <w:tcPr>
            <w:tcW w:w="892" w:type="dxa"/>
            <w:tcBorders>
              <w:bottom w:val="single" w:color="000000" w:sz="12" w:space="0"/>
            </w:tcBorders>
            <w:vAlign w:val="top"/>
          </w:tcPr>
          <w:p w14:paraId="270988B1">
            <w:pPr>
              <w:pStyle w:val="6"/>
              <w:spacing w:before="115" w:line="221" w:lineRule="auto"/>
              <w:ind w:left="284"/>
            </w:pPr>
            <w:r>
              <w:rPr>
                <w:spacing w:val="-6"/>
              </w:rPr>
              <w:t>11.0</w:t>
            </w:r>
          </w:p>
        </w:tc>
        <w:tc>
          <w:tcPr>
            <w:tcW w:w="892" w:type="dxa"/>
            <w:tcBorders>
              <w:bottom w:val="single" w:color="000000" w:sz="12" w:space="0"/>
            </w:tcBorders>
            <w:vAlign w:val="top"/>
          </w:tcPr>
          <w:p w14:paraId="3C85FAA7">
            <w:pPr>
              <w:pStyle w:val="6"/>
              <w:spacing w:before="120" w:line="216" w:lineRule="auto"/>
              <w:ind w:left="277"/>
            </w:pPr>
            <w:r>
              <w:rPr>
                <w:b/>
                <w:bCs/>
                <w:spacing w:val="-4"/>
              </w:rPr>
              <w:t>10.8</w:t>
            </w:r>
          </w:p>
        </w:tc>
        <w:tc>
          <w:tcPr>
            <w:tcW w:w="891" w:type="dxa"/>
            <w:tcBorders>
              <w:bottom w:val="single" w:color="000000" w:sz="12" w:space="0"/>
            </w:tcBorders>
            <w:vAlign w:val="top"/>
          </w:tcPr>
          <w:p w14:paraId="2468BBA5">
            <w:pPr>
              <w:pStyle w:val="6"/>
              <w:spacing w:before="115" w:line="221" w:lineRule="auto"/>
              <w:ind w:left="274"/>
            </w:pPr>
            <w:r>
              <w:rPr>
                <w:spacing w:val="-2"/>
              </w:rPr>
              <w:t>0.08</w:t>
            </w:r>
          </w:p>
        </w:tc>
        <w:tc>
          <w:tcPr>
            <w:tcW w:w="906" w:type="dxa"/>
            <w:tcBorders>
              <w:bottom w:val="single" w:color="000000" w:sz="12" w:space="0"/>
              <w:right w:val="single" w:color="000000" w:sz="12" w:space="0"/>
            </w:tcBorders>
            <w:vAlign w:val="top"/>
          </w:tcPr>
          <w:p w14:paraId="079CA20B">
            <w:pPr>
              <w:pStyle w:val="6"/>
              <w:spacing w:before="115" w:line="221" w:lineRule="auto"/>
              <w:ind w:left="214"/>
            </w:pPr>
            <w:r>
              <w:rPr>
                <w:spacing w:val="-2"/>
              </w:rPr>
              <w:t>0.06L</w:t>
            </w:r>
          </w:p>
        </w:tc>
      </w:tr>
    </w:tbl>
    <w:p w14:paraId="64E7135E">
      <w:pPr>
        <w:rPr>
          <w:rFonts w:ascii="Arial"/>
          <w:sz w:val="21"/>
        </w:rPr>
      </w:pPr>
    </w:p>
    <w:p w14:paraId="24EE6856">
      <w:pPr>
        <w:rPr>
          <w:rFonts w:ascii="Arial" w:hAnsi="Arial" w:eastAsia="Arial" w:cs="Arial"/>
          <w:sz w:val="21"/>
          <w:szCs w:val="21"/>
        </w:rPr>
        <w:sectPr>
          <w:footerReference r:id="rId129" w:type="default"/>
          <w:pgSz w:w="11907" w:h="16839"/>
          <w:pgMar w:top="1376" w:right="1669" w:bottom="1061" w:left="1671" w:header="999" w:footer="861" w:gutter="0"/>
          <w:cols w:space="720" w:num="1"/>
        </w:sectPr>
      </w:pPr>
    </w:p>
    <w:p w14:paraId="4430FB9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1A874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33CEF6EA">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1836" w:type="dxa"/>
            <w:gridSpan w:val="2"/>
            <w:vMerge w:val="restart"/>
            <w:tcBorders>
              <w:top w:val="single" w:color="000000" w:sz="12" w:space="0"/>
              <w:bottom w:val="nil"/>
            </w:tcBorders>
            <w:vAlign w:val="top"/>
          </w:tcPr>
          <w:p w14:paraId="788984E0">
            <w:pPr>
              <w:spacing w:before="253" w:line="221" w:lineRule="auto"/>
              <w:ind w:left="49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2548D08D">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340B1EA4">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6F54F000">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6EAE0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tcBorders>
            <w:vAlign w:val="top"/>
          </w:tcPr>
          <w:p w14:paraId="19B4280A">
            <w:pPr>
              <w:rPr>
                <w:rFonts w:ascii="Arial"/>
                <w:sz w:val="21"/>
              </w:rPr>
            </w:pPr>
          </w:p>
        </w:tc>
        <w:tc>
          <w:tcPr>
            <w:tcW w:w="1836" w:type="dxa"/>
            <w:gridSpan w:val="2"/>
            <w:vMerge w:val="continue"/>
            <w:tcBorders>
              <w:top w:val="nil"/>
            </w:tcBorders>
            <w:vAlign w:val="top"/>
          </w:tcPr>
          <w:p w14:paraId="77788E42">
            <w:pPr>
              <w:rPr>
                <w:rFonts w:ascii="Arial"/>
                <w:sz w:val="21"/>
              </w:rPr>
            </w:pPr>
          </w:p>
        </w:tc>
        <w:tc>
          <w:tcPr>
            <w:tcW w:w="892" w:type="dxa"/>
            <w:vAlign w:val="top"/>
          </w:tcPr>
          <w:p w14:paraId="2F095E66">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A3117B8">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73375513">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260922A5">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30203185">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656D7018">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4EDA5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1721BD57">
            <w:pPr>
              <w:spacing w:line="297" w:lineRule="auto"/>
              <w:rPr>
                <w:rFonts w:ascii="Arial"/>
                <w:sz w:val="21"/>
              </w:rPr>
            </w:pPr>
          </w:p>
          <w:p w14:paraId="35C8EDE8">
            <w:pPr>
              <w:spacing w:line="297" w:lineRule="auto"/>
              <w:rPr>
                <w:rFonts w:ascii="Arial"/>
                <w:sz w:val="21"/>
              </w:rPr>
            </w:pPr>
          </w:p>
          <w:p w14:paraId="431880CC">
            <w:pPr>
              <w:spacing w:line="297" w:lineRule="auto"/>
              <w:rPr>
                <w:rFonts w:ascii="Arial"/>
                <w:sz w:val="21"/>
              </w:rPr>
            </w:pPr>
          </w:p>
          <w:p w14:paraId="37FA0A6A">
            <w:pPr>
              <w:spacing w:line="298" w:lineRule="auto"/>
              <w:rPr>
                <w:rFonts w:ascii="Arial"/>
                <w:sz w:val="21"/>
              </w:rPr>
            </w:pPr>
          </w:p>
          <w:p w14:paraId="7659737D">
            <w:pPr>
              <w:pStyle w:val="6"/>
              <w:spacing w:before="69" w:line="236" w:lineRule="auto"/>
              <w:ind w:left="207" w:right="109" w:hanging="106"/>
              <w:rPr>
                <w:rFonts w:ascii="宋体" w:hAnsi="宋体" w:eastAsia="宋体" w:cs="宋体"/>
              </w:rPr>
            </w:pPr>
            <w:r>
              <w:rPr>
                <w:spacing w:val="-2"/>
              </w:rPr>
              <w:t>5#</w:t>
            </w:r>
            <w:r>
              <w:rPr>
                <w:rFonts w:ascii="宋体" w:hAnsi="宋体" w:eastAsia="宋体" w:cs="宋体"/>
                <w:spacing w:val="-2"/>
              </w:rPr>
              <w:t>隧洞排水</w:t>
            </w:r>
            <w:r>
              <w:rPr>
                <w:rFonts w:ascii="宋体" w:hAnsi="宋体" w:eastAsia="宋体" w:cs="宋体"/>
                <w:spacing w:val="-4"/>
              </w:rPr>
              <w:t>处理系统</w:t>
            </w:r>
          </w:p>
        </w:tc>
        <w:tc>
          <w:tcPr>
            <w:tcW w:w="422" w:type="dxa"/>
            <w:vMerge w:val="restart"/>
            <w:tcBorders>
              <w:bottom w:val="nil"/>
            </w:tcBorders>
            <w:vAlign w:val="top"/>
          </w:tcPr>
          <w:p w14:paraId="2846445F">
            <w:pPr>
              <w:pStyle w:val="6"/>
              <w:spacing w:before="153" w:line="222" w:lineRule="auto"/>
              <w:ind w:left="167"/>
            </w:pPr>
            <w:r>
              <w:t>1</w:t>
            </w:r>
          </w:p>
          <w:p w14:paraId="690B774F">
            <w:pPr>
              <w:spacing w:line="219" w:lineRule="auto"/>
              <w:ind w:left="99"/>
              <w:rPr>
                <w:rFonts w:ascii="宋体" w:hAnsi="宋体" w:eastAsia="宋体" w:cs="宋体"/>
                <w:sz w:val="21"/>
                <w:szCs w:val="21"/>
              </w:rPr>
            </w:pPr>
            <w:r>
              <w:rPr>
                <w:rFonts w:ascii="宋体" w:hAnsi="宋体" w:eastAsia="宋体" w:cs="宋体"/>
                <w:sz w:val="21"/>
                <w:szCs w:val="21"/>
              </w:rPr>
              <w:t>季</w:t>
            </w:r>
          </w:p>
          <w:p w14:paraId="43A93D4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576AB630">
            <w:pPr>
              <w:pStyle w:val="6"/>
              <w:spacing w:before="89" w:line="226" w:lineRule="auto"/>
              <w:ind w:left="274"/>
            </w:pPr>
            <w:r>
              <w:rPr>
                <w:spacing w:val="-1"/>
              </w:rPr>
              <w:t>2021/3/18</w:t>
            </w:r>
          </w:p>
        </w:tc>
        <w:tc>
          <w:tcPr>
            <w:tcW w:w="892" w:type="dxa"/>
            <w:vAlign w:val="top"/>
          </w:tcPr>
          <w:p w14:paraId="3511A6E0">
            <w:pPr>
              <w:pStyle w:val="6"/>
              <w:spacing w:before="89" w:line="226" w:lineRule="auto"/>
              <w:ind w:left="304"/>
            </w:pPr>
            <w:r>
              <w:rPr>
                <w:spacing w:val="-6"/>
              </w:rPr>
              <w:t>143</w:t>
            </w:r>
          </w:p>
        </w:tc>
        <w:tc>
          <w:tcPr>
            <w:tcW w:w="892" w:type="dxa"/>
            <w:vAlign w:val="top"/>
          </w:tcPr>
          <w:p w14:paraId="52C43891">
            <w:pPr>
              <w:pStyle w:val="6"/>
              <w:spacing w:before="89" w:line="226" w:lineRule="auto"/>
              <w:ind w:left="339"/>
            </w:pPr>
            <w:r>
              <w:rPr>
                <w:spacing w:val="-1"/>
              </w:rPr>
              <w:t>42</w:t>
            </w:r>
          </w:p>
        </w:tc>
        <w:tc>
          <w:tcPr>
            <w:tcW w:w="892" w:type="dxa"/>
            <w:vAlign w:val="top"/>
          </w:tcPr>
          <w:p w14:paraId="1C7F0577">
            <w:pPr>
              <w:pStyle w:val="6"/>
              <w:spacing w:before="89" w:line="226" w:lineRule="auto"/>
              <w:ind w:left="268"/>
            </w:pPr>
            <w:r>
              <w:rPr>
                <w:spacing w:val="-2"/>
              </w:rPr>
              <w:t>7.89</w:t>
            </w:r>
          </w:p>
        </w:tc>
        <w:tc>
          <w:tcPr>
            <w:tcW w:w="892" w:type="dxa"/>
            <w:vAlign w:val="top"/>
          </w:tcPr>
          <w:p w14:paraId="7B5CE99A">
            <w:pPr>
              <w:pStyle w:val="6"/>
              <w:spacing w:before="89" w:line="226" w:lineRule="auto"/>
              <w:ind w:left="271"/>
            </w:pPr>
            <w:r>
              <w:rPr>
                <w:spacing w:val="-2"/>
              </w:rPr>
              <w:t>7.79</w:t>
            </w:r>
          </w:p>
        </w:tc>
        <w:tc>
          <w:tcPr>
            <w:tcW w:w="891" w:type="dxa"/>
            <w:vAlign w:val="top"/>
          </w:tcPr>
          <w:p w14:paraId="4975D89E">
            <w:pPr>
              <w:pStyle w:val="6"/>
              <w:spacing w:before="89" w:line="226" w:lineRule="auto"/>
              <w:ind w:left="274"/>
            </w:pPr>
            <w:r>
              <w:rPr>
                <w:spacing w:val="-2"/>
              </w:rPr>
              <w:t>0.18</w:t>
            </w:r>
          </w:p>
        </w:tc>
        <w:tc>
          <w:tcPr>
            <w:tcW w:w="906" w:type="dxa"/>
            <w:tcBorders>
              <w:right w:val="single" w:color="000000" w:sz="12" w:space="0"/>
            </w:tcBorders>
            <w:vAlign w:val="top"/>
          </w:tcPr>
          <w:p w14:paraId="24814420">
            <w:pPr>
              <w:pStyle w:val="6"/>
              <w:spacing w:before="89" w:line="226" w:lineRule="auto"/>
              <w:ind w:left="277"/>
            </w:pPr>
            <w:r>
              <w:rPr>
                <w:spacing w:val="-2"/>
              </w:rPr>
              <w:t>0.13</w:t>
            </w:r>
          </w:p>
        </w:tc>
      </w:tr>
      <w:tr w14:paraId="5D859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08BD234">
            <w:pPr>
              <w:rPr>
                <w:rFonts w:ascii="Arial"/>
                <w:sz w:val="21"/>
              </w:rPr>
            </w:pPr>
          </w:p>
        </w:tc>
        <w:tc>
          <w:tcPr>
            <w:tcW w:w="422" w:type="dxa"/>
            <w:vMerge w:val="continue"/>
            <w:tcBorders>
              <w:top w:val="nil"/>
              <w:bottom w:val="nil"/>
            </w:tcBorders>
            <w:vAlign w:val="top"/>
          </w:tcPr>
          <w:p w14:paraId="4F59A145">
            <w:pPr>
              <w:rPr>
                <w:rFonts w:ascii="Arial"/>
                <w:sz w:val="21"/>
              </w:rPr>
            </w:pPr>
          </w:p>
        </w:tc>
        <w:tc>
          <w:tcPr>
            <w:tcW w:w="1414" w:type="dxa"/>
            <w:vAlign w:val="top"/>
          </w:tcPr>
          <w:p w14:paraId="1812E34F">
            <w:pPr>
              <w:pStyle w:val="6"/>
              <w:spacing w:before="89" w:line="224" w:lineRule="auto"/>
              <w:ind w:left="274"/>
            </w:pPr>
            <w:r>
              <w:rPr>
                <w:spacing w:val="-1"/>
              </w:rPr>
              <w:t>2021/3/19</w:t>
            </w:r>
          </w:p>
        </w:tc>
        <w:tc>
          <w:tcPr>
            <w:tcW w:w="892" w:type="dxa"/>
            <w:vAlign w:val="top"/>
          </w:tcPr>
          <w:p w14:paraId="6EA9605A">
            <w:pPr>
              <w:pStyle w:val="6"/>
              <w:spacing w:before="89" w:line="224" w:lineRule="auto"/>
              <w:ind w:left="304"/>
            </w:pPr>
            <w:r>
              <w:rPr>
                <w:spacing w:val="-6"/>
              </w:rPr>
              <w:t>127</w:t>
            </w:r>
          </w:p>
        </w:tc>
        <w:tc>
          <w:tcPr>
            <w:tcW w:w="892" w:type="dxa"/>
            <w:vAlign w:val="top"/>
          </w:tcPr>
          <w:p w14:paraId="2C542F97">
            <w:pPr>
              <w:pStyle w:val="6"/>
              <w:spacing w:before="89" w:line="224" w:lineRule="auto"/>
              <w:ind w:left="345"/>
            </w:pPr>
            <w:r>
              <w:rPr>
                <w:spacing w:val="-3"/>
              </w:rPr>
              <w:t>39</w:t>
            </w:r>
          </w:p>
        </w:tc>
        <w:tc>
          <w:tcPr>
            <w:tcW w:w="892" w:type="dxa"/>
            <w:vAlign w:val="top"/>
          </w:tcPr>
          <w:p w14:paraId="20902F62">
            <w:pPr>
              <w:pStyle w:val="6"/>
              <w:spacing w:before="89" w:line="224" w:lineRule="auto"/>
              <w:ind w:left="268"/>
            </w:pPr>
            <w:r>
              <w:rPr>
                <w:spacing w:val="-2"/>
              </w:rPr>
              <w:t>7.91</w:t>
            </w:r>
          </w:p>
        </w:tc>
        <w:tc>
          <w:tcPr>
            <w:tcW w:w="892" w:type="dxa"/>
            <w:vAlign w:val="top"/>
          </w:tcPr>
          <w:p w14:paraId="41CAA666">
            <w:pPr>
              <w:pStyle w:val="6"/>
              <w:spacing w:before="89" w:line="224" w:lineRule="auto"/>
              <w:ind w:left="271"/>
            </w:pPr>
            <w:r>
              <w:rPr>
                <w:spacing w:val="-2"/>
              </w:rPr>
              <w:t>7.74</w:t>
            </w:r>
          </w:p>
        </w:tc>
        <w:tc>
          <w:tcPr>
            <w:tcW w:w="891" w:type="dxa"/>
            <w:vAlign w:val="top"/>
          </w:tcPr>
          <w:p w14:paraId="3C783302">
            <w:pPr>
              <w:pStyle w:val="6"/>
              <w:spacing w:before="89" w:line="224" w:lineRule="auto"/>
              <w:ind w:left="274"/>
            </w:pPr>
            <w:r>
              <w:rPr>
                <w:spacing w:val="-2"/>
              </w:rPr>
              <w:t>0.18</w:t>
            </w:r>
          </w:p>
        </w:tc>
        <w:tc>
          <w:tcPr>
            <w:tcW w:w="906" w:type="dxa"/>
            <w:tcBorders>
              <w:right w:val="single" w:color="000000" w:sz="12" w:space="0"/>
            </w:tcBorders>
            <w:vAlign w:val="top"/>
          </w:tcPr>
          <w:p w14:paraId="73FE219A">
            <w:pPr>
              <w:pStyle w:val="6"/>
              <w:spacing w:before="89" w:line="224" w:lineRule="auto"/>
              <w:ind w:left="277"/>
            </w:pPr>
            <w:r>
              <w:rPr>
                <w:spacing w:val="-2"/>
              </w:rPr>
              <w:t>0.13</w:t>
            </w:r>
          </w:p>
        </w:tc>
      </w:tr>
      <w:tr w14:paraId="735EB549">
        <w:tblPrEx>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446EFF9B">
            <w:pPr>
              <w:rPr>
                <w:rFonts w:ascii="Arial"/>
                <w:sz w:val="21"/>
              </w:rPr>
            </w:pPr>
          </w:p>
        </w:tc>
        <w:tc>
          <w:tcPr>
            <w:tcW w:w="422" w:type="dxa"/>
            <w:vMerge w:val="continue"/>
            <w:tcBorders>
              <w:top w:val="nil"/>
            </w:tcBorders>
            <w:vAlign w:val="top"/>
          </w:tcPr>
          <w:p w14:paraId="32F625BD">
            <w:pPr>
              <w:rPr>
                <w:rFonts w:ascii="Arial"/>
                <w:sz w:val="21"/>
              </w:rPr>
            </w:pPr>
          </w:p>
        </w:tc>
        <w:tc>
          <w:tcPr>
            <w:tcW w:w="1414" w:type="dxa"/>
            <w:vAlign w:val="top"/>
          </w:tcPr>
          <w:p w14:paraId="24FF07D3">
            <w:pPr>
              <w:pStyle w:val="6"/>
              <w:spacing w:before="90" w:line="224" w:lineRule="auto"/>
              <w:ind w:left="274"/>
            </w:pPr>
            <w:r>
              <w:rPr>
                <w:spacing w:val="-1"/>
              </w:rPr>
              <w:t>2021/3/20</w:t>
            </w:r>
          </w:p>
        </w:tc>
        <w:tc>
          <w:tcPr>
            <w:tcW w:w="892" w:type="dxa"/>
            <w:vAlign w:val="top"/>
          </w:tcPr>
          <w:p w14:paraId="65963BAE">
            <w:pPr>
              <w:pStyle w:val="6"/>
              <w:spacing w:before="90" w:line="224" w:lineRule="auto"/>
              <w:ind w:left="304"/>
            </w:pPr>
            <w:r>
              <w:rPr>
                <w:spacing w:val="-6"/>
              </w:rPr>
              <w:t>135</w:t>
            </w:r>
          </w:p>
        </w:tc>
        <w:tc>
          <w:tcPr>
            <w:tcW w:w="892" w:type="dxa"/>
            <w:vAlign w:val="top"/>
          </w:tcPr>
          <w:p w14:paraId="72A3D2E3">
            <w:pPr>
              <w:pStyle w:val="6"/>
              <w:spacing w:before="90" w:line="224" w:lineRule="auto"/>
              <w:ind w:left="339"/>
            </w:pPr>
            <w:r>
              <w:rPr>
                <w:spacing w:val="-1"/>
              </w:rPr>
              <w:t>44</w:t>
            </w:r>
          </w:p>
        </w:tc>
        <w:tc>
          <w:tcPr>
            <w:tcW w:w="892" w:type="dxa"/>
            <w:vAlign w:val="top"/>
          </w:tcPr>
          <w:p w14:paraId="0DA0B61F">
            <w:pPr>
              <w:pStyle w:val="6"/>
              <w:spacing w:before="90" w:line="224" w:lineRule="auto"/>
              <w:ind w:left="268"/>
            </w:pPr>
            <w:r>
              <w:rPr>
                <w:spacing w:val="-2"/>
              </w:rPr>
              <w:t>7.85</w:t>
            </w:r>
          </w:p>
        </w:tc>
        <w:tc>
          <w:tcPr>
            <w:tcW w:w="892" w:type="dxa"/>
            <w:vAlign w:val="top"/>
          </w:tcPr>
          <w:p w14:paraId="309C059D">
            <w:pPr>
              <w:pStyle w:val="6"/>
              <w:spacing w:before="90" w:line="224" w:lineRule="auto"/>
              <w:ind w:left="271"/>
            </w:pPr>
            <w:r>
              <w:rPr>
                <w:spacing w:val="-2"/>
              </w:rPr>
              <w:t>7.71</w:t>
            </w:r>
          </w:p>
        </w:tc>
        <w:tc>
          <w:tcPr>
            <w:tcW w:w="891" w:type="dxa"/>
            <w:vAlign w:val="top"/>
          </w:tcPr>
          <w:p w14:paraId="53117D32">
            <w:pPr>
              <w:pStyle w:val="6"/>
              <w:spacing w:before="90" w:line="224" w:lineRule="auto"/>
              <w:ind w:left="274"/>
            </w:pPr>
            <w:r>
              <w:rPr>
                <w:spacing w:val="-2"/>
              </w:rPr>
              <w:t>0.17</w:t>
            </w:r>
          </w:p>
        </w:tc>
        <w:tc>
          <w:tcPr>
            <w:tcW w:w="906" w:type="dxa"/>
            <w:tcBorders>
              <w:right w:val="single" w:color="000000" w:sz="12" w:space="0"/>
            </w:tcBorders>
            <w:vAlign w:val="top"/>
          </w:tcPr>
          <w:p w14:paraId="271A0FCE">
            <w:pPr>
              <w:pStyle w:val="6"/>
              <w:spacing w:before="90" w:line="224" w:lineRule="auto"/>
              <w:ind w:left="277"/>
            </w:pPr>
            <w:r>
              <w:rPr>
                <w:spacing w:val="-2"/>
              </w:rPr>
              <w:t>0.14</w:t>
            </w:r>
          </w:p>
        </w:tc>
      </w:tr>
      <w:tr w14:paraId="1E02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45575D3">
            <w:pPr>
              <w:rPr>
                <w:rFonts w:ascii="Arial"/>
                <w:sz w:val="21"/>
              </w:rPr>
            </w:pPr>
          </w:p>
        </w:tc>
        <w:tc>
          <w:tcPr>
            <w:tcW w:w="422" w:type="dxa"/>
            <w:vMerge w:val="restart"/>
            <w:tcBorders>
              <w:bottom w:val="nil"/>
            </w:tcBorders>
            <w:vAlign w:val="top"/>
          </w:tcPr>
          <w:p w14:paraId="50966914">
            <w:pPr>
              <w:pStyle w:val="6"/>
              <w:spacing w:before="155" w:line="222" w:lineRule="auto"/>
              <w:ind w:left="147"/>
            </w:pPr>
            <w:r>
              <w:t>2</w:t>
            </w:r>
          </w:p>
          <w:p w14:paraId="593230C2">
            <w:pPr>
              <w:spacing w:line="219" w:lineRule="auto"/>
              <w:ind w:left="99"/>
              <w:rPr>
                <w:rFonts w:ascii="宋体" w:hAnsi="宋体" w:eastAsia="宋体" w:cs="宋体"/>
                <w:sz w:val="21"/>
                <w:szCs w:val="21"/>
              </w:rPr>
            </w:pPr>
            <w:r>
              <w:rPr>
                <w:rFonts w:ascii="宋体" w:hAnsi="宋体" w:eastAsia="宋体" w:cs="宋体"/>
                <w:sz w:val="21"/>
                <w:szCs w:val="21"/>
              </w:rPr>
              <w:t>季</w:t>
            </w:r>
          </w:p>
          <w:p w14:paraId="09685041">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592D7B7">
            <w:pPr>
              <w:pStyle w:val="6"/>
              <w:spacing w:before="90" w:line="223" w:lineRule="auto"/>
              <w:ind w:left="326"/>
            </w:pPr>
            <w:r>
              <w:rPr>
                <w:spacing w:val="-1"/>
              </w:rPr>
              <w:t>2021/6/3</w:t>
            </w:r>
          </w:p>
        </w:tc>
        <w:tc>
          <w:tcPr>
            <w:tcW w:w="892" w:type="dxa"/>
            <w:vAlign w:val="top"/>
          </w:tcPr>
          <w:p w14:paraId="523C1A03">
            <w:pPr>
              <w:pStyle w:val="6"/>
              <w:spacing w:before="90" w:line="223" w:lineRule="auto"/>
              <w:ind w:left="304"/>
            </w:pPr>
            <w:r>
              <w:rPr>
                <w:spacing w:val="-6"/>
              </w:rPr>
              <w:t>142</w:t>
            </w:r>
          </w:p>
        </w:tc>
        <w:tc>
          <w:tcPr>
            <w:tcW w:w="892" w:type="dxa"/>
            <w:vAlign w:val="top"/>
          </w:tcPr>
          <w:p w14:paraId="6F36EFDD">
            <w:pPr>
              <w:pStyle w:val="6"/>
              <w:spacing w:before="90" w:line="223" w:lineRule="auto"/>
              <w:ind w:left="340"/>
            </w:pPr>
            <w:r>
              <w:rPr>
                <w:spacing w:val="-1"/>
              </w:rPr>
              <w:t>24</w:t>
            </w:r>
          </w:p>
        </w:tc>
        <w:tc>
          <w:tcPr>
            <w:tcW w:w="892" w:type="dxa"/>
            <w:vAlign w:val="top"/>
          </w:tcPr>
          <w:p w14:paraId="66982CE8">
            <w:pPr>
              <w:pStyle w:val="6"/>
              <w:spacing w:before="90" w:line="223" w:lineRule="auto"/>
              <w:ind w:left="320"/>
            </w:pPr>
            <w:r>
              <w:rPr>
                <w:spacing w:val="-3"/>
              </w:rPr>
              <w:t>7.9</w:t>
            </w:r>
          </w:p>
        </w:tc>
        <w:tc>
          <w:tcPr>
            <w:tcW w:w="892" w:type="dxa"/>
            <w:vAlign w:val="top"/>
          </w:tcPr>
          <w:p w14:paraId="0CCC1844">
            <w:pPr>
              <w:pStyle w:val="6"/>
              <w:spacing w:before="90" w:line="223" w:lineRule="auto"/>
              <w:ind w:left="324"/>
            </w:pPr>
            <w:r>
              <w:rPr>
                <w:spacing w:val="-3"/>
              </w:rPr>
              <w:t>7.9</w:t>
            </w:r>
          </w:p>
        </w:tc>
        <w:tc>
          <w:tcPr>
            <w:tcW w:w="891" w:type="dxa"/>
            <w:vAlign w:val="top"/>
          </w:tcPr>
          <w:p w14:paraId="6F3E5DFD">
            <w:pPr>
              <w:pStyle w:val="6"/>
              <w:spacing w:before="90" w:line="223" w:lineRule="auto"/>
              <w:ind w:left="274"/>
            </w:pPr>
            <w:r>
              <w:rPr>
                <w:spacing w:val="-2"/>
              </w:rPr>
              <w:t>0.45</w:t>
            </w:r>
          </w:p>
        </w:tc>
        <w:tc>
          <w:tcPr>
            <w:tcW w:w="906" w:type="dxa"/>
            <w:tcBorders>
              <w:right w:val="single" w:color="000000" w:sz="12" w:space="0"/>
            </w:tcBorders>
            <w:vAlign w:val="top"/>
          </w:tcPr>
          <w:p w14:paraId="743C02F4">
            <w:pPr>
              <w:pStyle w:val="6"/>
              <w:spacing w:before="90" w:line="223" w:lineRule="auto"/>
              <w:ind w:left="277"/>
            </w:pPr>
            <w:r>
              <w:rPr>
                <w:spacing w:val="-2"/>
              </w:rPr>
              <w:t>0.09</w:t>
            </w:r>
          </w:p>
        </w:tc>
      </w:tr>
      <w:tr w14:paraId="144E3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07AE041">
            <w:pPr>
              <w:rPr>
                <w:rFonts w:ascii="Arial"/>
                <w:sz w:val="21"/>
              </w:rPr>
            </w:pPr>
          </w:p>
        </w:tc>
        <w:tc>
          <w:tcPr>
            <w:tcW w:w="422" w:type="dxa"/>
            <w:vMerge w:val="continue"/>
            <w:tcBorders>
              <w:top w:val="nil"/>
              <w:bottom w:val="nil"/>
            </w:tcBorders>
            <w:vAlign w:val="top"/>
          </w:tcPr>
          <w:p w14:paraId="7B8C69CF">
            <w:pPr>
              <w:rPr>
                <w:rFonts w:ascii="Arial"/>
                <w:sz w:val="21"/>
              </w:rPr>
            </w:pPr>
          </w:p>
        </w:tc>
        <w:tc>
          <w:tcPr>
            <w:tcW w:w="1414" w:type="dxa"/>
            <w:vAlign w:val="top"/>
          </w:tcPr>
          <w:p w14:paraId="4199B00A">
            <w:pPr>
              <w:pStyle w:val="6"/>
              <w:spacing w:before="92" w:line="221" w:lineRule="auto"/>
              <w:ind w:left="326"/>
            </w:pPr>
            <w:r>
              <w:rPr>
                <w:spacing w:val="-1"/>
              </w:rPr>
              <w:t>2021/6/4</w:t>
            </w:r>
          </w:p>
        </w:tc>
        <w:tc>
          <w:tcPr>
            <w:tcW w:w="892" w:type="dxa"/>
            <w:vAlign w:val="top"/>
          </w:tcPr>
          <w:p w14:paraId="69519E48">
            <w:pPr>
              <w:pStyle w:val="6"/>
              <w:spacing w:before="92" w:line="221" w:lineRule="auto"/>
              <w:ind w:left="304"/>
            </w:pPr>
            <w:r>
              <w:rPr>
                <w:spacing w:val="-6"/>
              </w:rPr>
              <w:t>118</w:t>
            </w:r>
          </w:p>
        </w:tc>
        <w:tc>
          <w:tcPr>
            <w:tcW w:w="892" w:type="dxa"/>
            <w:vAlign w:val="top"/>
          </w:tcPr>
          <w:p w14:paraId="77D7ECFD">
            <w:pPr>
              <w:pStyle w:val="6"/>
              <w:spacing w:before="92" w:line="221" w:lineRule="auto"/>
              <w:ind w:left="340"/>
            </w:pPr>
            <w:r>
              <w:rPr>
                <w:spacing w:val="-1"/>
              </w:rPr>
              <w:t>27</w:t>
            </w:r>
          </w:p>
        </w:tc>
        <w:tc>
          <w:tcPr>
            <w:tcW w:w="892" w:type="dxa"/>
            <w:vAlign w:val="top"/>
          </w:tcPr>
          <w:p w14:paraId="4685DC6C">
            <w:pPr>
              <w:pStyle w:val="6"/>
              <w:spacing w:before="92" w:line="221" w:lineRule="auto"/>
              <w:ind w:left="326"/>
            </w:pPr>
            <w:r>
              <w:rPr>
                <w:spacing w:val="-5"/>
              </w:rPr>
              <w:t>8.0</w:t>
            </w:r>
          </w:p>
        </w:tc>
        <w:tc>
          <w:tcPr>
            <w:tcW w:w="892" w:type="dxa"/>
            <w:vAlign w:val="top"/>
          </w:tcPr>
          <w:p w14:paraId="7C952651">
            <w:pPr>
              <w:pStyle w:val="6"/>
              <w:spacing w:before="92" w:line="221" w:lineRule="auto"/>
              <w:ind w:left="324"/>
            </w:pPr>
            <w:r>
              <w:rPr>
                <w:spacing w:val="-3"/>
              </w:rPr>
              <w:t>7.8</w:t>
            </w:r>
          </w:p>
        </w:tc>
        <w:tc>
          <w:tcPr>
            <w:tcW w:w="891" w:type="dxa"/>
            <w:vAlign w:val="top"/>
          </w:tcPr>
          <w:p w14:paraId="1C5660A2">
            <w:pPr>
              <w:pStyle w:val="6"/>
              <w:spacing w:before="92" w:line="221" w:lineRule="auto"/>
              <w:ind w:left="274"/>
            </w:pPr>
            <w:r>
              <w:rPr>
                <w:spacing w:val="-2"/>
              </w:rPr>
              <w:t>0.44</w:t>
            </w:r>
          </w:p>
        </w:tc>
        <w:tc>
          <w:tcPr>
            <w:tcW w:w="906" w:type="dxa"/>
            <w:tcBorders>
              <w:right w:val="single" w:color="000000" w:sz="12" w:space="0"/>
            </w:tcBorders>
            <w:vAlign w:val="top"/>
          </w:tcPr>
          <w:p w14:paraId="7E361B7D">
            <w:pPr>
              <w:pStyle w:val="6"/>
              <w:spacing w:before="92" w:line="221" w:lineRule="auto"/>
              <w:ind w:left="277"/>
            </w:pPr>
            <w:r>
              <w:rPr>
                <w:spacing w:val="-2"/>
              </w:rPr>
              <w:t>0.08</w:t>
            </w:r>
          </w:p>
        </w:tc>
      </w:tr>
      <w:tr w14:paraId="3D423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3B4D6165">
            <w:pPr>
              <w:rPr>
                <w:rFonts w:ascii="Arial"/>
                <w:sz w:val="21"/>
              </w:rPr>
            </w:pPr>
          </w:p>
        </w:tc>
        <w:tc>
          <w:tcPr>
            <w:tcW w:w="422" w:type="dxa"/>
            <w:vMerge w:val="continue"/>
            <w:tcBorders>
              <w:top w:val="nil"/>
            </w:tcBorders>
            <w:vAlign w:val="top"/>
          </w:tcPr>
          <w:p w14:paraId="4849FF3D">
            <w:pPr>
              <w:rPr>
                <w:rFonts w:ascii="Arial"/>
                <w:sz w:val="21"/>
              </w:rPr>
            </w:pPr>
          </w:p>
        </w:tc>
        <w:tc>
          <w:tcPr>
            <w:tcW w:w="1414" w:type="dxa"/>
            <w:vAlign w:val="top"/>
          </w:tcPr>
          <w:p w14:paraId="1EC1AD8B">
            <w:pPr>
              <w:pStyle w:val="6"/>
              <w:spacing w:before="93" w:line="221" w:lineRule="auto"/>
              <w:ind w:left="326"/>
            </w:pPr>
            <w:r>
              <w:rPr>
                <w:spacing w:val="-1"/>
              </w:rPr>
              <w:t>2021/6/5</w:t>
            </w:r>
          </w:p>
        </w:tc>
        <w:tc>
          <w:tcPr>
            <w:tcW w:w="892" w:type="dxa"/>
            <w:vAlign w:val="top"/>
          </w:tcPr>
          <w:p w14:paraId="6541DBF1">
            <w:pPr>
              <w:pStyle w:val="6"/>
              <w:spacing w:before="93" w:line="221" w:lineRule="auto"/>
              <w:ind w:left="304"/>
            </w:pPr>
            <w:r>
              <w:rPr>
                <w:spacing w:val="-6"/>
              </w:rPr>
              <w:t>133</w:t>
            </w:r>
          </w:p>
        </w:tc>
        <w:tc>
          <w:tcPr>
            <w:tcW w:w="892" w:type="dxa"/>
            <w:vAlign w:val="top"/>
          </w:tcPr>
          <w:p w14:paraId="7CEC6AEC">
            <w:pPr>
              <w:pStyle w:val="6"/>
              <w:spacing w:before="93" w:line="221" w:lineRule="auto"/>
              <w:ind w:left="340"/>
            </w:pPr>
            <w:r>
              <w:rPr>
                <w:spacing w:val="-1"/>
              </w:rPr>
              <w:t>23</w:t>
            </w:r>
          </w:p>
        </w:tc>
        <w:tc>
          <w:tcPr>
            <w:tcW w:w="892" w:type="dxa"/>
            <w:vAlign w:val="top"/>
          </w:tcPr>
          <w:p w14:paraId="6A53F36E">
            <w:pPr>
              <w:pStyle w:val="6"/>
              <w:spacing w:before="93" w:line="221" w:lineRule="auto"/>
              <w:ind w:left="326"/>
            </w:pPr>
            <w:r>
              <w:rPr>
                <w:spacing w:val="-5"/>
              </w:rPr>
              <w:t>8.0</w:t>
            </w:r>
          </w:p>
        </w:tc>
        <w:tc>
          <w:tcPr>
            <w:tcW w:w="892" w:type="dxa"/>
            <w:vAlign w:val="top"/>
          </w:tcPr>
          <w:p w14:paraId="322A7174">
            <w:pPr>
              <w:pStyle w:val="6"/>
              <w:spacing w:before="93" w:line="221" w:lineRule="auto"/>
              <w:ind w:left="324"/>
            </w:pPr>
            <w:r>
              <w:rPr>
                <w:spacing w:val="-3"/>
              </w:rPr>
              <w:t>7.8</w:t>
            </w:r>
          </w:p>
        </w:tc>
        <w:tc>
          <w:tcPr>
            <w:tcW w:w="891" w:type="dxa"/>
            <w:vAlign w:val="top"/>
          </w:tcPr>
          <w:p w14:paraId="75D0D4C0">
            <w:pPr>
              <w:pStyle w:val="6"/>
              <w:spacing w:before="93" w:line="221" w:lineRule="auto"/>
              <w:ind w:left="274"/>
            </w:pPr>
            <w:r>
              <w:rPr>
                <w:spacing w:val="-2"/>
              </w:rPr>
              <w:t>0.45</w:t>
            </w:r>
          </w:p>
        </w:tc>
        <w:tc>
          <w:tcPr>
            <w:tcW w:w="906" w:type="dxa"/>
            <w:tcBorders>
              <w:right w:val="single" w:color="000000" w:sz="12" w:space="0"/>
            </w:tcBorders>
            <w:vAlign w:val="top"/>
          </w:tcPr>
          <w:p w14:paraId="684751BF">
            <w:pPr>
              <w:pStyle w:val="6"/>
              <w:spacing w:before="93" w:line="221" w:lineRule="auto"/>
              <w:ind w:left="277"/>
            </w:pPr>
            <w:r>
              <w:rPr>
                <w:spacing w:val="-2"/>
              </w:rPr>
              <w:t>0.08</w:t>
            </w:r>
          </w:p>
        </w:tc>
      </w:tr>
      <w:tr w14:paraId="4DABC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5574E20">
            <w:pPr>
              <w:rPr>
                <w:rFonts w:ascii="Arial"/>
                <w:sz w:val="21"/>
              </w:rPr>
            </w:pPr>
          </w:p>
        </w:tc>
        <w:tc>
          <w:tcPr>
            <w:tcW w:w="422" w:type="dxa"/>
            <w:vMerge w:val="restart"/>
            <w:tcBorders>
              <w:bottom w:val="nil"/>
            </w:tcBorders>
            <w:vAlign w:val="top"/>
          </w:tcPr>
          <w:p w14:paraId="38B92B83">
            <w:pPr>
              <w:pStyle w:val="6"/>
              <w:spacing w:before="158" w:line="222" w:lineRule="auto"/>
              <w:ind w:left="151"/>
            </w:pPr>
            <w:r>
              <w:t>3</w:t>
            </w:r>
          </w:p>
          <w:p w14:paraId="0BAFA889">
            <w:pPr>
              <w:spacing w:line="219" w:lineRule="auto"/>
              <w:ind w:left="99"/>
              <w:rPr>
                <w:rFonts w:ascii="宋体" w:hAnsi="宋体" w:eastAsia="宋体" w:cs="宋体"/>
                <w:sz w:val="21"/>
                <w:szCs w:val="21"/>
              </w:rPr>
            </w:pPr>
            <w:r>
              <w:rPr>
                <w:rFonts w:ascii="宋体" w:hAnsi="宋体" w:eastAsia="宋体" w:cs="宋体"/>
                <w:sz w:val="21"/>
                <w:szCs w:val="21"/>
              </w:rPr>
              <w:t>季</w:t>
            </w:r>
          </w:p>
          <w:p w14:paraId="07B2E9BE">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A924B81">
            <w:pPr>
              <w:pStyle w:val="6"/>
              <w:spacing w:before="94" w:line="219" w:lineRule="auto"/>
              <w:ind w:left="274"/>
            </w:pPr>
            <w:r>
              <w:rPr>
                <w:spacing w:val="-1"/>
              </w:rPr>
              <w:t>2021/7/19</w:t>
            </w:r>
          </w:p>
        </w:tc>
        <w:tc>
          <w:tcPr>
            <w:tcW w:w="892" w:type="dxa"/>
            <w:vAlign w:val="top"/>
          </w:tcPr>
          <w:p w14:paraId="1F0EE3B3">
            <w:pPr>
              <w:pStyle w:val="6"/>
              <w:spacing w:before="94" w:line="219" w:lineRule="auto"/>
              <w:ind w:left="337"/>
            </w:pPr>
            <w:r>
              <w:rPr>
                <w:spacing w:val="-1"/>
              </w:rPr>
              <w:t>20</w:t>
            </w:r>
          </w:p>
        </w:tc>
        <w:tc>
          <w:tcPr>
            <w:tcW w:w="892" w:type="dxa"/>
            <w:vAlign w:val="top"/>
          </w:tcPr>
          <w:p w14:paraId="52F9995D">
            <w:pPr>
              <w:pStyle w:val="6"/>
              <w:spacing w:before="98" w:line="186" w:lineRule="auto"/>
              <w:ind w:left="327"/>
            </w:pPr>
            <w:r>
              <w:rPr>
                <w:spacing w:val="-1"/>
              </w:rPr>
              <w:t>4L</w:t>
            </w:r>
          </w:p>
        </w:tc>
        <w:tc>
          <w:tcPr>
            <w:tcW w:w="892" w:type="dxa"/>
            <w:vAlign w:val="top"/>
          </w:tcPr>
          <w:p w14:paraId="3BE5592F">
            <w:pPr>
              <w:pStyle w:val="6"/>
              <w:spacing w:before="94" w:line="219" w:lineRule="auto"/>
              <w:ind w:left="326"/>
            </w:pPr>
            <w:r>
              <w:rPr>
                <w:spacing w:val="-5"/>
              </w:rPr>
              <w:t>8.2</w:t>
            </w:r>
          </w:p>
        </w:tc>
        <w:tc>
          <w:tcPr>
            <w:tcW w:w="892" w:type="dxa"/>
            <w:vAlign w:val="top"/>
          </w:tcPr>
          <w:p w14:paraId="116DDE78">
            <w:pPr>
              <w:pStyle w:val="6"/>
              <w:spacing w:before="94" w:line="219" w:lineRule="auto"/>
              <w:ind w:left="329"/>
            </w:pPr>
            <w:r>
              <w:rPr>
                <w:spacing w:val="-5"/>
              </w:rPr>
              <w:t>8.1</w:t>
            </w:r>
          </w:p>
        </w:tc>
        <w:tc>
          <w:tcPr>
            <w:tcW w:w="891" w:type="dxa"/>
            <w:vAlign w:val="top"/>
          </w:tcPr>
          <w:p w14:paraId="3791178E">
            <w:pPr>
              <w:pStyle w:val="6"/>
              <w:spacing w:before="94" w:line="219" w:lineRule="auto"/>
              <w:ind w:left="274"/>
            </w:pPr>
            <w:r>
              <w:rPr>
                <w:spacing w:val="-2"/>
              </w:rPr>
              <w:t>0.60</w:t>
            </w:r>
          </w:p>
        </w:tc>
        <w:tc>
          <w:tcPr>
            <w:tcW w:w="906" w:type="dxa"/>
            <w:tcBorders>
              <w:right w:val="single" w:color="000000" w:sz="12" w:space="0"/>
            </w:tcBorders>
            <w:vAlign w:val="top"/>
          </w:tcPr>
          <w:p w14:paraId="3759C1AE">
            <w:pPr>
              <w:pStyle w:val="6"/>
              <w:spacing w:before="94" w:line="219" w:lineRule="auto"/>
              <w:ind w:left="277"/>
            </w:pPr>
            <w:r>
              <w:rPr>
                <w:spacing w:val="-2"/>
              </w:rPr>
              <w:t>0.27</w:t>
            </w:r>
          </w:p>
        </w:tc>
      </w:tr>
      <w:tr w14:paraId="74DEE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AB8D837">
            <w:pPr>
              <w:rPr>
                <w:rFonts w:ascii="Arial"/>
                <w:sz w:val="21"/>
              </w:rPr>
            </w:pPr>
          </w:p>
        </w:tc>
        <w:tc>
          <w:tcPr>
            <w:tcW w:w="422" w:type="dxa"/>
            <w:vMerge w:val="continue"/>
            <w:tcBorders>
              <w:top w:val="nil"/>
              <w:bottom w:val="nil"/>
            </w:tcBorders>
            <w:vAlign w:val="top"/>
          </w:tcPr>
          <w:p w14:paraId="6073F5C1">
            <w:pPr>
              <w:rPr>
                <w:rFonts w:ascii="Arial"/>
                <w:sz w:val="21"/>
              </w:rPr>
            </w:pPr>
          </w:p>
        </w:tc>
        <w:tc>
          <w:tcPr>
            <w:tcW w:w="1414" w:type="dxa"/>
            <w:vAlign w:val="top"/>
          </w:tcPr>
          <w:p w14:paraId="395F6217">
            <w:pPr>
              <w:pStyle w:val="6"/>
              <w:spacing w:before="95" w:line="219" w:lineRule="auto"/>
              <w:ind w:left="274"/>
            </w:pPr>
            <w:r>
              <w:rPr>
                <w:spacing w:val="-1"/>
              </w:rPr>
              <w:t>2021/7/20</w:t>
            </w:r>
          </w:p>
        </w:tc>
        <w:tc>
          <w:tcPr>
            <w:tcW w:w="892" w:type="dxa"/>
            <w:vAlign w:val="top"/>
          </w:tcPr>
          <w:p w14:paraId="2840CC03">
            <w:pPr>
              <w:pStyle w:val="6"/>
              <w:spacing w:before="95" w:line="219" w:lineRule="auto"/>
              <w:ind w:left="357"/>
            </w:pPr>
            <w:r>
              <w:rPr>
                <w:spacing w:val="-6"/>
              </w:rPr>
              <w:t>18</w:t>
            </w:r>
          </w:p>
        </w:tc>
        <w:tc>
          <w:tcPr>
            <w:tcW w:w="892" w:type="dxa"/>
            <w:vAlign w:val="top"/>
          </w:tcPr>
          <w:p w14:paraId="2333739A">
            <w:pPr>
              <w:pStyle w:val="6"/>
              <w:spacing w:before="99" w:line="186" w:lineRule="auto"/>
              <w:ind w:left="327"/>
            </w:pPr>
            <w:r>
              <w:rPr>
                <w:spacing w:val="-1"/>
              </w:rPr>
              <w:t>4L</w:t>
            </w:r>
          </w:p>
        </w:tc>
        <w:tc>
          <w:tcPr>
            <w:tcW w:w="892" w:type="dxa"/>
            <w:vAlign w:val="top"/>
          </w:tcPr>
          <w:p w14:paraId="084B883F">
            <w:pPr>
              <w:pStyle w:val="6"/>
              <w:spacing w:before="95" w:line="219" w:lineRule="auto"/>
              <w:ind w:left="326"/>
            </w:pPr>
            <w:r>
              <w:rPr>
                <w:spacing w:val="-5"/>
              </w:rPr>
              <w:t>8.2</w:t>
            </w:r>
          </w:p>
        </w:tc>
        <w:tc>
          <w:tcPr>
            <w:tcW w:w="892" w:type="dxa"/>
            <w:vAlign w:val="top"/>
          </w:tcPr>
          <w:p w14:paraId="1042D345">
            <w:pPr>
              <w:pStyle w:val="6"/>
              <w:spacing w:before="95" w:line="219" w:lineRule="auto"/>
              <w:ind w:left="329"/>
            </w:pPr>
            <w:r>
              <w:rPr>
                <w:spacing w:val="-5"/>
              </w:rPr>
              <w:t>8.1</w:t>
            </w:r>
          </w:p>
        </w:tc>
        <w:tc>
          <w:tcPr>
            <w:tcW w:w="891" w:type="dxa"/>
            <w:vAlign w:val="top"/>
          </w:tcPr>
          <w:p w14:paraId="2DA28CA7">
            <w:pPr>
              <w:pStyle w:val="6"/>
              <w:spacing w:before="95" w:line="219" w:lineRule="auto"/>
              <w:ind w:left="274"/>
            </w:pPr>
            <w:r>
              <w:rPr>
                <w:spacing w:val="-2"/>
              </w:rPr>
              <w:t>0.59</w:t>
            </w:r>
          </w:p>
        </w:tc>
        <w:tc>
          <w:tcPr>
            <w:tcW w:w="906" w:type="dxa"/>
            <w:tcBorders>
              <w:right w:val="single" w:color="000000" w:sz="12" w:space="0"/>
            </w:tcBorders>
            <w:vAlign w:val="top"/>
          </w:tcPr>
          <w:p w14:paraId="77EAFC80">
            <w:pPr>
              <w:pStyle w:val="6"/>
              <w:spacing w:before="95" w:line="219" w:lineRule="auto"/>
              <w:ind w:left="277"/>
            </w:pPr>
            <w:r>
              <w:rPr>
                <w:spacing w:val="-2"/>
              </w:rPr>
              <w:t>0.23</w:t>
            </w:r>
          </w:p>
        </w:tc>
      </w:tr>
      <w:tr w14:paraId="44B75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3B7D0107">
            <w:pPr>
              <w:rPr>
                <w:rFonts w:ascii="Arial"/>
                <w:sz w:val="21"/>
              </w:rPr>
            </w:pPr>
          </w:p>
        </w:tc>
        <w:tc>
          <w:tcPr>
            <w:tcW w:w="422" w:type="dxa"/>
            <w:vMerge w:val="continue"/>
            <w:tcBorders>
              <w:top w:val="nil"/>
            </w:tcBorders>
            <w:vAlign w:val="top"/>
          </w:tcPr>
          <w:p w14:paraId="1F9EC6F9">
            <w:pPr>
              <w:rPr>
                <w:rFonts w:ascii="Arial"/>
                <w:sz w:val="21"/>
              </w:rPr>
            </w:pPr>
          </w:p>
        </w:tc>
        <w:tc>
          <w:tcPr>
            <w:tcW w:w="1414" w:type="dxa"/>
            <w:vAlign w:val="top"/>
          </w:tcPr>
          <w:p w14:paraId="64C97644">
            <w:pPr>
              <w:pStyle w:val="6"/>
              <w:spacing w:before="95" w:line="218" w:lineRule="auto"/>
              <w:ind w:left="274"/>
            </w:pPr>
            <w:r>
              <w:rPr>
                <w:spacing w:val="-1"/>
              </w:rPr>
              <w:t>2021/7/21</w:t>
            </w:r>
          </w:p>
        </w:tc>
        <w:tc>
          <w:tcPr>
            <w:tcW w:w="892" w:type="dxa"/>
            <w:vAlign w:val="top"/>
          </w:tcPr>
          <w:p w14:paraId="0084694C">
            <w:pPr>
              <w:pStyle w:val="6"/>
              <w:spacing w:before="95" w:line="218" w:lineRule="auto"/>
              <w:ind w:left="357"/>
            </w:pPr>
            <w:r>
              <w:rPr>
                <w:spacing w:val="-6"/>
              </w:rPr>
              <w:t>15</w:t>
            </w:r>
          </w:p>
        </w:tc>
        <w:tc>
          <w:tcPr>
            <w:tcW w:w="892" w:type="dxa"/>
            <w:vAlign w:val="top"/>
          </w:tcPr>
          <w:p w14:paraId="79A9CF5C">
            <w:pPr>
              <w:pStyle w:val="6"/>
              <w:spacing w:before="99" w:line="186" w:lineRule="auto"/>
              <w:ind w:left="327"/>
            </w:pPr>
            <w:r>
              <w:rPr>
                <w:spacing w:val="-1"/>
              </w:rPr>
              <w:t>4L</w:t>
            </w:r>
          </w:p>
        </w:tc>
        <w:tc>
          <w:tcPr>
            <w:tcW w:w="892" w:type="dxa"/>
            <w:vAlign w:val="top"/>
          </w:tcPr>
          <w:p w14:paraId="02FEA9FC">
            <w:pPr>
              <w:pStyle w:val="6"/>
              <w:spacing w:before="95" w:line="218" w:lineRule="auto"/>
              <w:ind w:left="326"/>
            </w:pPr>
            <w:r>
              <w:rPr>
                <w:spacing w:val="-5"/>
              </w:rPr>
              <w:t>8.3</w:t>
            </w:r>
          </w:p>
        </w:tc>
        <w:tc>
          <w:tcPr>
            <w:tcW w:w="892" w:type="dxa"/>
            <w:vAlign w:val="top"/>
          </w:tcPr>
          <w:p w14:paraId="122CFB85">
            <w:pPr>
              <w:pStyle w:val="6"/>
              <w:spacing w:before="95" w:line="218" w:lineRule="auto"/>
              <w:ind w:left="329"/>
            </w:pPr>
            <w:r>
              <w:rPr>
                <w:spacing w:val="-5"/>
              </w:rPr>
              <w:t>8.0</w:t>
            </w:r>
          </w:p>
        </w:tc>
        <w:tc>
          <w:tcPr>
            <w:tcW w:w="891" w:type="dxa"/>
            <w:vAlign w:val="top"/>
          </w:tcPr>
          <w:p w14:paraId="269281BB">
            <w:pPr>
              <w:pStyle w:val="6"/>
              <w:spacing w:before="95" w:line="218" w:lineRule="auto"/>
              <w:ind w:left="274"/>
            </w:pPr>
            <w:r>
              <w:rPr>
                <w:spacing w:val="-2"/>
              </w:rPr>
              <w:t>0.60</w:t>
            </w:r>
          </w:p>
        </w:tc>
        <w:tc>
          <w:tcPr>
            <w:tcW w:w="906" w:type="dxa"/>
            <w:tcBorders>
              <w:right w:val="single" w:color="000000" w:sz="12" w:space="0"/>
            </w:tcBorders>
            <w:vAlign w:val="top"/>
          </w:tcPr>
          <w:p w14:paraId="487D51B6">
            <w:pPr>
              <w:pStyle w:val="6"/>
              <w:spacing w:before="95" w:line="218" w:lineRule="auto"/>
              <w:ind w:left="277"/>
            </w:pPr>
            <w:r>
              <w:rPr>
                <w:spacing w:val="-2"/>
              </w:rPr>
              <w:t>0.24</w:t>
            </w:r>
          </w:p>
        </w:tc>
      </w:tr>
      <w:tr w14:paraId="72F1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169DA799">
            <w:pPr>
              <w:spacing w:line="299" w:lineRule="auto"/>
              <w:rPr>
                <w:rFonts w:ascii="Arial"/>
                <w:sz w:val="21"/>
              </w:rPr>
            </w:pPr>
          </w:p>
          <w:p w14:paraId="083BFF56">
            <w:pPr>
              <w:spacing w:line="299" w:lineRule="auto"/>
              <w:rPr>
                <w:rFonts w:ascii="Arial"/>
                <w:sz w:val="21"/>
              </w:rPr>
            </w:pPr>
          </w:p>
          <w:p w14:paraId="25D5DB34">
            <w:pPr>
              <w:spacing w:line="300" w:lineRule="auto"/>
              <w:rPr>
                <w:rFonts w:ascii="Arial"/>
                <w:sz w:val="21"/>
              </w:rPr>
            </w:pPr>
          </w:p>
          <w:p w14:paraId="04EB3DD7">
            <w:pPr>
              <w:spacing w:line="300" w:lineRule="auto"/>
              <w:rPr>
                <w:rFonts w:ascii="Arial"/>
                <w:sz w:val="21"/>
              </w:rPr>
            </w:pPr>
          </w:p>
          <w:p w14:paraId="2C8D6A4F">
            <w:pPr>
              <w:pStyle w:val="6"/>
              <w:spacing w:before="68" w:line="236" w:lineRule="auto"/>
              <w:ind w:left="207" w:right="109" w:hanging="107"/>
              <w:rPr>
                <w:rFonts w:ascii="宋体" w:hAnsi="宋体" w:eastAsia="宋体" w:cs="宋体"/>
              </w:rPr>
            </w:pPr>
            <w:r>
              <w:rPr>
                <w:spacing w:val="-2"/>
              </w:rPr>
              <w:t>6#</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20D79566">
            <w:pPr>
              <w:pStyle w:val="6"/>
              <w:spacing w:before="161" w:line="222" w:lineRule="auto"/>
              <w:ind w:left="167"/>
            </w:pPr>
            <w:r>
              <w:t>1</w:t>
            </w:r>
          </w:p>
          <w:p w14:paraId="0AA02819">
            <w:pPr>
              <w:spacing w:line="219" w:lineRule="auto"/>
              <w:ind w:left="99"/>
              <w:rPr>
                <w:rFonts w:ascii="宋体" w:hAnsi="宋体" w:eastAsia="宋体" w:cs="宋体"/>
                <w:sz w:val="21"/>
                <w:szCs w:val="21"/>
              </w:rPr>
            </w:pPr>
            <w:r>
              <w:rPr>
                <w:rFonts w:ascii="宋体" w:hAnsi="宋体" w:eastAsia="宋体" w:cs="宋体"/>
                <w:sz w:val="21"/>
                <w:szCs w:val="21"/>
              </w:rPr>
              <w:t>季</w:t>
            </w:r>
          </w:p>
          <w:p w14:paraId="175DFC52">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CEB4D21">
            <w:pPr>
              <w:pStyle w:val="6"/>
              <w:spacing w:before="97" w:line="216" w:lineRule="auto"/>
              <w:ind w:left="274"/>
            </w:pPr>
            <w:r>
              <w:rPr>
                <w:spacing w:val="-1"/>
              </w:rPr>
              <w:t>2021/3/18</w:t>
            </w:r>
          </w:p>
        </w:tc>
        <w:tc>
          <w:tcPr>
            <w:tcW w:w="892" w:type="dxa"/>
            <w:vAlign w:val="top"/>
          </w:tcPr>
          <w:p w14:paraId="27EBC8FD">
            <w:pPr>
              <w:pStyle w:val="6"/>
              <w:spacing w:before="97" w:line="216" w:lineRule="auto"/>
              <w:ind w:left="284"/>
            </w:pPr>
            <w:r>
              <w:rPr>
                <w:spacing w:val="-1"/>
              </w:rPr>
              <w:t>207</w:t>
            </w:r>
          </w:p>
        </w:tc>
        <w:tc>
          <w:tcPr>
            <w:tcW w:w="892" w:type="dxa"/>
            <w:vAlign w:val="top"/>
          </w:tcPr>
          <w:p w14:paraId="5D390D2A">
            <w:pPr>
              <w:pStyle w:val="6"/>
              <w:spacing w:before="102" w:line="211" w:lineRule="auto"/>
              <w:ind w:left="297"/>
            </w:pPr>
            <w:r>
              <w:rPr>
                <w:b/>
                <w:bCs/>
                <w:spacing w:val="-4"/>
              </w:rPr>
              <w:t>188</w:t>
            </w:r>
          </w:p>
        </w:tc>
        <w:tc>
          <w:tcPr>
            <w:tcW w:w="892" w:type="dxa"/>
            <w:vAlign w:val="top"/>
          </w:tcPr>
          <w:p w14:paraId="166688AF">
            <w:pPr>
              <w:pStyle w:val="6"/>
              <w:spacing w:before="97" w:line="216" w:lineRule="auto"/>
              <w:ind w:left="273"/>
            </w:pPr>
            <w:r>
              <w:rPr>
                <w:spacing w:val="-4"/>
              </w:rPr>
              <w:t>8.54</w:t>
            </w:r>
          </w:p>
        </w:tc>
        <w:tc>
          <w:tcPr>
            <w:tcW w:w="892" w:type="dxa"/>
            <w:vAlign w:val="top"/>
          </w:tcPr>
          <w:p w14:paraId="32565A3F">
            <w:pPr>
              <w:pStyle w:val="6"/>
              <w:spacing w:before="97" w:line="216" w:lineRule="auto"/>
              <w:ind w:left="276"/>
            </w:pPr>
            <w:r>
              <w:rPr>
                <w:spacing w:val="-4"/>
              </w:rPr>
              <w:t>8.32</w:t>
            </w:r>
          </w:p>
        </w:tc>
        <w:tc>
          <w:tcPr>
            <w:tcW w:w="891" w:type="dxa"/>
            <w:vAlign w:val="top"/>
          </w:tcPr>
          <w:p w14:paraId="182BE071">
            <w:pPr>
              <w:pStyle w:val="6"/>
              <w:spacing w:before="97" w:line="216" w:lineRule="auto"/>
              <w:ind w:left="274"/>
            </w:pPr>
            <w:r>
              <w:rPr>
                <w:spacing w:val="-2"/>
              </w:rPr>
              <w:t>0.21</w:t>
            </w:r>
          </w:p>
        </w:tc>
        <w:tc>
          <w:tcPr>
            <w:tcW w:w="906" w:type="dxa"/>
            <w:tcBorders>
              <w:right w:val="single" w:color="000000" w:sz="12" w:space="0"/>
            </w:tcBorders>
            <w:vAlign w:val="top"/>
          </w:tcPr>
          <w:p w14:paraId="25D9E635">
            <w:pPr>
              <w:pStyle w:val="6"/>
              <w:spacing w:before="97" w:line="216" w:lineRule="auto"/>
              <w:ind w:left="277"/>
            </w:pPr>
            <w:r>
              <w:rPr>
                <w:spacing w:val="-2"/>
              </w:rPr>
              <w:t>0.17</w:t>
            </w:r>
          </w:p>
        </w:tc>
      </w:tr>
      <w:tr w14:paraId="3DAE0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029940A">
            <w:pPr>
              <w:rPr>
                <w:rFonts w:ascii="Arial"/>
                <w:sz w:val="21"/>
              </w:rPr>
            </w:pPr>
          </w:p>
        </w:tc>
        <w:tc>
          <w:tcPr>
            <w:tcW w:w="422" w:type="dxa"/>
            <w:vMerge w:val="continue"/>
            <w:tcBorders>
              <w:top w:val="nil"/>
              <w:bottom w:val="nil"/>
            </w:tcBorders>
            <w:vAlign w:val="top"/>
          </w:tcPr>
          <w:p w14:paraId="7E24B197">
            <w:pPr>
              <w:rPr>
                <w:rFonts w:ascii="Arial"/>
                <w:sz w:val="21"/>
              </w:rPr>
            </w:pPr>
          </w:p>
        </w:tc>
        <w:tc>
          <w:tcPr>
            <w:tcW w:w="1414" w:type="dxa"/>
            <w:vAlign w:val="top"/>
          </w:tcPr>
          <w:p w14:paraId="454A14ED">
            <w:pPr>
              <w:pStyle w:val="6"/>
              <w:spacing w:before="98" w:line="217" w:lineRule="auto"/>
              <w:ind w:left="274"/>
            </w:pPr>
            <w:r>
              <w:rPr>
                <w:spacing w:val="-1"/>
              </w:rPr>
              <w:t>2021/3/19</w:t>
            </w:r>
          </w:p>
        </w:tc>
        <w:tc>
          <w:tcPr>
            <w:tcW w:w="892" w:type="dxa"/>
            <w:vAlign w:val="top"/>
          </w:tcPr>
          <w:p w14:paraId="19A36467">
            <w:pPr>
              <w:pStyle w:val="6"/>
              <w:spacing w:before="98" w:line="217" w:lineRule="auto"/>
              <w:ind w:left="284"/>
            </w:pPr>
            <w:r>
              <w:rPr>
                <w:spacing w:val="-1"/>
              </w:rPr>
              <w:t>221</w:t>
            </w:r>
          </w:p>
        </w:tc>
        <w:tc>
          <w:tcPr>
            <w:tcW w:w="892" w:type="dxa"/>
            <w:vAlign w:val="top"/>
          </w:tcPr>
          <w:p w14:paraId="29D30156">
            <w:pPr>
              <w:pStyle w:val="6"/>
              <w:spacing w:before="103" w:line="212" w:lineRule="auto"/>
              <w:ind w:left="297"/>
            </w:pPr>
            <w:r>
              <w:rPr>
                <w:b/>
                <w:bCs/>
                <w:spacing w:val="-4"/>
              </w:rPr>
              <w:t>195</w:t>
            </w:r>
          </w:p>
        </w:tc>
        <w:tc>
          <w:tcPr>
            <w:tcW w:w="892" w:type="dxa"/>
            <w:vAlign w:val="top"/>
          </w:tcPr>
          <w:p w14:paraId="42A2D699">
            <w:pPr>
              <w:pStyle w:val="6"/>
              <w:spacing w:before="98" w:line="217" w:lineRule="auto"/>
              <w:ind w:left="273"/>
            </w:pPr>
            <w:r>
              <w:rPr>
                <w:spacing w:val="-4"/>
              </w:rPr>
              <w:t>8.49</w:t>
            </w:r>
          </w:p>
        </w:tc>
        <w:tc>
          <w:tcPr>
            <w:tcW w:w="892" w:type="dxa"/>
            <w:vAlign w:val="top"/>
          </w:tcPr>
          <w:p w14:paraId="379A74B5">
            <w:pPr>
              <w:pStyle w:val="6"/>
              <w:spacing w:before="98" w:line="217" w:lineRule="auto"/>
              <w:ind w:left="276"/>
            </w:pPr>
            <w:r>
              <w:rPr>
                <w:spacing w:val="-4"/>
              </w:rPr>
              <w:t>8.29</w:t>
            </w:r>
          </w:p>
        </w:tc>
        <w:tc>
          <w:tcPr>
            <w:tcW w:w="891" w:type="dxa"/>
            <w:vAlign w:val="top"/>
          </w:tcPr>
          <w:p w14:paraId="5985EC10">
            <w:pPr>
              <w:pStyle w:val="6"/>
              <w:spacing w:before="98" w:line="217" w:lineRule="auto"/>
              <w:ind w:left="274"/>
            </w:pPr>
            <w:r>
              <w:rPr>
                <w:spacing w:val="-2"/>
              </w:rPr>
              <w:t>0.22</w:t>
            </w:r>
          </w:p>
        </w:tc>
        <w:tc>
          <w:tcPr>
            <w:tcW w:w="906" w:type="dxa"/>
            <w:tcBorders>
              <w:right w:val="single" w:color="000000" w:sz="12" w:space="0"/>
            </w:tcBorders>
            <w:vAlign w:val="top"/>
          </w:tcPr>
          <w:p w14:paraId="0ED70BCA">
            <w:pPr>
              <w:pStyle w:val="6"/>
              <w:spacing w:before="98" w:line="217" w:lineRule="auto"/>
              <w:ind w:left="277"/>
            </w:pPr>
            <w:r>
              <w:rPr>
                <w:spacing w:val="-2"/>
              </w:rPr>
              <w:t>0.18</w:t>
            </w:r>
          </w:p>
        </w:tc>
      </w:tr>
      <w:tr w14:paraId="41A5C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A6A9C91">
            <w:pPr>
              <w:rPr>
                <w:rFonts w:ascii="Arial"/>
                <w:sz w:val="21"/>
              </w:rPr>
            </w:pPr>
          </w:p>
        </w:tc>
        <w:tc>
          <w:tcPr>
            <w:tcW w:w="422" w:type="dxa"/>
            <w:vMerge w:val="continue"/>
            <w:tcBorders>
              <w:top w:val="nil"/>
            </w:tcBorders>
            <w:vAlign w:val="top"/>
          </w:tcPr>
          <w:p w14:paraId="7B644A5C">
            <w:pPr>
              <w:rPr>
                <w:rFonts w:ascii="Arial"/>
                <w:sz w:val="21"/>
              </w:rPr>
            </w:pPr>
          </w:p>
        </w:tc>
        <w:tc>
          <w:tcPr>
            <w:tcW w:w="1414" w:type="dxa"/>
            <w:vAlign w:val="top"/>
          </w:tcPr>
          <w:p w14:paraId="6266688E">
            <w:pPr>
              <w:pStyle w:val="6"/>
              <w:spacing w:before="99" w:line="214" w:lineRule="auto"/>
              <w:ind w:left="274"/>
            </w:pPr>
            <w:r>
              <w:rPr>
                <w:spacing w:val="-1"/>
              </w:rPr>
              <w:t>2021/3/20</w:t>
            </w:r>
          </w:p>
        </w:tc>
        <w:tc>
          <w:tcPr>
            <w:tcW w:w="892" w:type="dxa"/>
            <w:vAlign w:val="top"/>
          </w:tcPr>
          <w:p w14:paraId="443AADB9">
            <w:pPr>
              <w:pStyle w:val="6"/>
              <w:spacing w:before="99" w:line="214" w:lineRule="auto"/>
              <w:ind w:left="284"/>
            </w:pPr>
            <w:r>
              <w:rPr>
                <w:spacing w:val="-1"/>
              </w:rPr>
              <w:t>216</w:t>
            </w:r>
          </w:p>
        </w:tc>
        <w:tc>
          <w:tcPr>
            <w:tcW w:w="892" w:type="dxa"/>
            <w:vAlign w:val="top"/>
          </w:tcPr>
          <w:p w14:paraId="3F10EF2E">
            <w:pPr>
              <w:pStyle w:val="6"/>
              <w:spacing w:before="103" w:line="210" w:lineRule="auto"/>
              <w:ind w:left="297"/>
            </w:pPr>
            <w:r>
              <w:rPr>
                <w:b/>
                <w:bCs/>
                <w:spacing w:val="-4"/>
              </w:rPr>
              <w:t>183</w:t>
            </w:r>
          </w:p>
        </w:tc>
        <w:tc>
          <w:tcPr>
            <w:tcW w:w="892" w:type="dxa"/>
            <w:vAlign w:val="top"/>
          </w:tcPr>
          <w:p w14:paraId="555AE8B1">
            <w:pPr>
              <w:pStyle w:val="6"/>
              <w:spacing w:before="99" w:line="214" w:lineRule="auto"/>
              <w:ind w:left="273"/>
            </w:pPr>
            <w:r>
              <w:rPr>
                <w:spacing w:val="-4"/>
              </w:rPr>
              <w:t>8.45</w:t>
            </w:r>
          </w:p>
        </w:tc>
        <w:tc>
          <w:tcPr>
            <w:tcW w:w="892" w:type="dxa"/>
            <w:vAlign w:val="top"/>
          </w:tcPr>
          <w:p w14:paraId="01B78458">
            <w:pPr>
              <w:pStyle w:val="6"/>
              <w:spacing w:before="99" w:line="214" w:lineRule="auto"/>
              <w:ind w:left="276"/>
            </w:pPr>
            <w:r>
              <w:rPr>
                <w:spacing w:val="-4"/>
              </w:rPr>
              <w:t>8.37</w:t>
            </w:r>
          </w:p>
        </w:tc>
        <w:tc>
          <w:tcPr>
            <w:tcW w:w="891" w:type="dxa"/>
            <w:vAlign w:val="top"/>
          </w:tcPr>
          <w:p w14:paraId="71E30652">
            <w:pPr>
              <w:pStyle w:val="6"/>
              <w:spacing w:before="99" w:line="214" w:lineRule="auto"/>
              <w:ind w:left="274"/>
            </w:pPr>
            <w:r>
              <w:rPr>
                <w:spacing w:val="-2"/>
              </w:rPr>
              <w:t>0.21</w:t>
            </w:r>
          </w:p>
        </w:tc>
        <w:tc>
          <w:tcPr>
            <w:tcW w:w="906" w:type="dxa"/>
            <w:tcBorders>
              <w:right w:val="single" w:color="000000" w:sz="12" w:space="0"/>
            </w:tcBorders>
            <w:vAlign w:val="top"/>
          </w:tcPr>
          <w:p w14:paraId="6C269E7B">
            <w:pPr>
              <w:pStyle w:val="6"/>
              <w:spacing w:before="99" w:line="214" w:lineRule="auto"/>
              <w:ind w:left="277"/>
            </w:pPr>
            <w:r>
              <w:rPr>
                <w:spacing w:val="-2"/>
              </w:rPr>
              <w:t>0.17</w:t>
            </w:r>
          </w:p>
        </w:tc>
      </w:tr>
      <w:tr w14:paraId="02666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096DD00C">
            <w:pPr>
              <w:rPr>
                <w:rFonts w:ascii="Arial"/>
                <w:sz w:val="21"/>
              </w:rPr>
            </w:pPr>
          </w:p>
        </w:tc>
        <w:tc>
          <w:tcPr>
            <w:tcW w:w="422" w:type="dxa"/>
            <w:vMerge w:val="restart"/>
            <w:tcBorders>
              <w:bottom w:val="nil"/>
            </w:tcBorders>
            <w:vAlign w:val="top"/>
          </w:tcPr>
          <w:p w14:paraId="6972F457">
            <w:pPr>
              <w:pStyle w:val="6"/>
              <w:spacing w:before="163" w:line="223" w:lineRule="auto"/>
              <w:ind w:left="147"/>
            </w:pPr>
            <w:r>
              <w:t>2</w:t>
            </w:r>
          </w:p>
          <w:p w14:paraId="18255CBC">
            <w:pPr>
              <w:spacing w:line="219" w:lineRule="auto"/>
              <w:ind w:left="99"/>
              <w:rPr>
                <w:rFonts w:ascii="宋体" w:hAnsi="宋体" w:eastAsia="宋体" w:cs="宋体"/>
                <w:sz w:val="21"/>
                <w:szCs w:val="21"/>
              </w:rPr>
            </w:pPr>
            <w:r>
              <w:rPr>
                <w:rFonts w:ascii="宋体" w:hAnsi="宋体" w:eastAsia="宋体" w:cs="宋体"/>
                <w:sz w:val="21"/>
                <w:szCs w:val="21"/>
              </w:rPr>
              <w:t>季</w:t>
            </w:r>
          </w:p>
          <w:p w14:paraId="538F75B6">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6752ED7">
            <w:pPr>
              <w:pStyle w:val="6"/>
              <w:spacing w:before="100" w:line="215" w:lineRule="auto"/>
              <w:ind w:left="326"/>
            </w:pPr>
            <w:r>
              <w:rPr>
                <w:spacing w:val="-1"/>
              </w:rPr>
              <w:t>2021/6/3</w:t>
            </w:r>
          </w:p>
        </w:tc>
        <w:tc>
          <w:tcPr>
            <w:tcW w:w="892" w:type="dxa"/>
            <w:vAlign w:val="top"/>
          </w:tcPr>
          <w:p w14:paraId="5BC298D8">
            <w:pPr>
              <w:pStyle w:val="6"/>
              <w:spacing w:before="100" w:line="215" w:lineRule="auto"/>
              <w:ind w:left="284"/>
            </w:pPr>
            <w:r>
              <w:rPr>
                <w:spacing w:val="-1"/>
              </w:rPr>
              <w:t>221</w:t>
            </w:r>
          </w:p>
        </w:tc>
        <w:tc>
          <w:tcPr>
            <w:tcW w:w="892" w:type="dxa"/>
            <w:vAlign w:val="top"/>
          </w:tcPr>
          <w:p w14:paraId="2A01CA05">
            <w:pPr>
              <w:pStyle w:val="6"/>
              <w:spacing w:before="100" w:line="215" w:lineRule="auto"/>
              <w:ind w:left="346"/>
            </w:pPr>
            <w:r>
              <w:rPr>
                <w:spacing w:val="-3"/>
              </w:rPr>
              <w:t>52</w:t>
            </w:r>
          </w:p>
        </w:tc>
        <w:tc>
          <w:tcPr>
            <w:tcW w:w="892" w:type="dxa"/>
            <w:vAlign w:val="top"/>
          </w:tcPr>
          <w:p w14:paraId="2C13BDD6">
            <w:pPr>
              <w:pStyle w:val="6"/>
              <w:spacing w:before="100" w:line="215" w:lineRule="auto"/>
              <w:ind w:left="326"/>
            </w:pPr>
            <w:r>
              <w:rPr>
                <w:spacing w:val="-5"/>
              </w:rPr>
              <w:t>8.3</w:t>
            </w:r>
          </w:p>
        </w:tc>
        <w:tc>
          <w:tcPr>
            <w:tcW w:w="892" w:type="dxa"/>
            <w:vAlign w:val="top"/>
          </w:tcPr>
          <w:p w14:paraId="2787B350">
            <w:pPr>
              <w:pStyle w:val="6"/>
              <w:spacing w:before="100" w:line="215" w:lineRule="auto"/>
              <w:ind w:left="329"/>
            </w:pPr>
            <w:r>
              <w:rPr>
                <w:spacing w:val="-5"/>
              </w:rPr>
              <w:t>8.2</w:t>
            </w:r>
          </w:p>
        </w:tc>
        <w:tc>
          <w:tcPr>
            <w:tcW w:w="891" w:type="dxa"/>
            <w:vAlign w:val="top"/>
          </w:tcPr>
          <w:p w14:paraId="23C888AB">
            <w:pPr>
              <w:pStyle w:val="6"/>
              <w:spacing w:before="100" w:line="215" w:lineRule="auto"/>
              <w:ind w:left="274"/>
            </w:pPr>
            <w:r>
              <w:rPr>
                <w:spacing w:val="-2"/>
              </w:rPr>
              <w:t>0.14</w:t>
            </w:r>
          </w:p>
        </w:tc>
        <w:tc>
          <w:tcPr>
            <w:tcW w:w="906" w:type="dxa"/>
            <w:tcBorders>
              <w:right w:val="single" w:color="000000" w:sz="12" w:space="0"/>
            </w:tcBorders>
            <w:vAlign w:val="top"/>
          </w:tcPr>
          <w:p w14:paraId="0E10CB99">
            <w:pPr>
              <w:pStyle w:val="6"/>
              <w:spacing w:before="100" w:line="215" w:lineRule="auto"/>
              <w:ind w:left="277"/>
            </w:pPr>
            <w:r>
              <w:rPr>
                <w:spacing w:val="-2"/>
              </w:rPr>
              <w:t>0.08</w:t>
            </w:r>
          </w:p>
        </w:tc>
      </w:tr>
      <w:tr w14:paraId="6CE58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4C8EA2C">
            <w:pPr>
              <w:rPr>
                <w:rFonts w:ascii="Arial"/>
                <w:sz w:val="21"/>
              </w:rPr>
            </w:pPr>
          </w:p>
        </w:tc>
        <w:tc>
          <w:tcPr>
            <w:tcW w:w="422" w:type="dxa"/>
            <w:vMerge w:val="continue"/>
            <w:tcBorders>
              <w:top w:val="nil"/>
              <w:bottom w:val="nil"/>
            </w:tcBorders>
            <w:vAlign w:val="top"/>
          </w:tcPr>
          <w:p w14:paraId="545E2C34">
            <w:pPr>
              <w:rPr>
                <w:rFonts w:ascii="Arial"/>
                <w:sz w:val="21"/>
              </w:rPr>
            </w:pPr>
          </w:p>
        </w:tc>
        <w:tc>
          <w:tcPr>
            <w:tcW w:w="1414" w:type="dxa"/>
            <w:vAlign w:val="top"/>
          </w:tcPr>
          <w:p w14:paraId="4C80BBC8">
            <w:pPr>
              <w:pStyle w:val="6"/>
              <w:spacing w:before="99" w:line="214" w:lineRule="auto"/>
              <w:ind w:left="326"/>
            </w:pPr>
            <w:r>
              <w:rPr>
                <w:spacing w:val="-1"/>
              </w:rPr>
              <w:t>2021/6/4</w:t>
            </w:r>
          </w:p>
        </w:tc>
        <w:tc>
          <w:tcPr>
            <w:tcW w:w="892" w:type="dxa"/>
            <w:vAlign w:val="top"/>
          </w:tcPr>
          <w:p w14:paraId="6E804CDD">
            <w:pPr>
              <w:pStyle w:val="6"/>
              <w:spacing w:before="99" w:line="214" w:lineRule="auto"/>
              <w:ind w:left="284"/>
            </w:pPr>
            <w:r>
              <w:rPr>
                <w:spacing w:val="-1"/>
              </w:rPr>
              <w:t>218</w:t>
            </w:r>
          </w:p>
        </w:tc>
        <w:tc>
          <w:tcPr>
            <w:tcW w:w="892" w:type="dxa"/>
            <w:vAlign w:val="top"/>
          </w:tcPr>
          <w:p w14:paraId="730C50F1">
            <w:pPr>
              <w:pStyle w:val="6"/>
              <w:spacing w:before="99" w:line="214" w:lineRule="auto"/>
              <w:ind w:left="339"/>
            </w:pPr>
            <w:r>
              <w:rPr>
                <w:spacing w:val="-1"/>
              </w:rPr>
              <w:t>48</w:t>
            </w:r>
          </w:p>
        </w:tc>
        <w:tc>
          <w:tcPr>
            <w:tcW w:w="892" w:type="dxa"/>
            <w:vAlign w:val="top"/>
          </w:tcPr>
          <w:p w14:paraId="666DCD3E">
            <w:pPr>
              <w:pStyle w:val="6"/>
              <w:spacing w:before="99" w:line="214" w:lineRule="auto"/>
              <w:ind w:left="326"/>
            </w:pPr>
            <w:r>
              <w:rPr>
                <w:spacing w:val="-5"/>
              </w:rPr>
              <w:t>8.4</w:t>
            </w:r>
          </w:p>
        </w:tc>
        <w:tc>
          <w:tcPr>
            <w:tcW w:w="892" w:type="dxa"/>
            <w:vAlign w:val="top"/>
          </w:tcPr>
          <w:p w14:paraId="1F7104F3">
            <w:pPr>
              <w:pStyle w:val="6"/>
              <w:spacing w:before="99" w:line="214" w:lineRule="auto"/>
              <w:ind w:left="329"/>
            </w:pPr>
            <w:r>
              <w:rPr>
                <w:spacing w:val="-5"/>
              </w:rPr>
              <w:t>8.2</w:t>
            </w:r>
          </w:p>
        </w:tc>
        <w:tc>
          <w:tcPr>
            <w:tcW w:w="891" w:type="dxa"/>
            <w:vAlign w:val="top"/>
          </w:tcPr>
          <w:p w14:paraId="1642F026">
            <w:pPr>
              <w:pStyle w:val="6"/>
              <w:spacing w:before="99" w:line="214" w:lineRule="auto"/>
              <w:ind w:left="274"/>
            </w:pPr>
            <w:r>
              <w:rPr>
                <w:spacing w:val="-2"/>
              </w:rPr>
              <w:t>0.14</w:t>
            </w:r>
          </w:p>
        </w:tc>
        <w:tc>
          <w:tcPr>
            <w:tcW w:w="906" w:type="dxa"/>
            <w:tcBorders>
              <w:right w:val="single" w:color="000000" w:sz="12" w:space="0"/>
            </w:tcBorders>
            <w:vAlign w:val="top"/>
          </w:tcPr>
          <w:p w14:paraId="5FF1AE6E">
            <w:pPr>
              <w:pStyle w:val="6"/>
              <w:spacing w:before="99" w:line="214" w:lineRule="auto"/>
              <w:ind w:left="277"/>
            </w:pPr>
            <w:r>
              <w:rPr>
                <w:spacing w:val="-2"/>
              </w:rPr>
              <w:t>0.08</w:t>
            </w:r>
          </w:p>
        </w:tc>
      </w:tr>
      <w:tr w14:paraId="2A16E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C4FD091">
            <w:pPr>
              <w:rPr>
                <w:rFonts w:ascii="Arial"/>
                <w:sz w:val="21"/>
              </w:rPr>
            </w:pPr>
          </w:p>
        </w:tc>
        <w:tc>
          <w:tcPr>
            <w:tcW w:w="422" w:type="dxa"/>
            <w:vMerge w:val="continue"/>
            <w:tcBorders>
              <w:top w:val="nil"/>
            </w:tcBorders>
            <w:vAlign w:val="top"/>
          </w:tcPr>
          <w:p w14:paraId="35E9A8B8">
            <w:pPr>
              <w:rPr>
                <w:rFonts w:ascii="Arial"/>
                <w:sz w:val="21"/>
              </w:rPr>
            </w:pPr>
          </w:p>
        </w:tc>
        <w:tc>
          <w:tcPr>
            <w:tcW w:w="1414" w:type="dxa"/>
            <w:vAlign w:val="top"/>
          </w:tcPr>
          <w:p w14:paraId="066AFF5B">
            <w:pPr>
              <w:pStyle w:val="6"/>
              <w:spacing w:before="101" w:line="212" w:lineRule="auto"/>
              <w:ind w:left="326"/>
            </w:pPr>
            <w:r>
              <w:rPr>
                <w:spacing w:val="-1"/>
              </w:rPr>
              <w:t>2021/6/5</w:t>
            </w:r>
          </w:p>
        </w:tc>
        <w:tc>
          <w:tcPr>
            <w:tcW w:w="892" w:type="dxa"/>
            <w:vAlign w:val="top"/>
          </w:tcPr>
          <w:p w14:paraId="77D103E4">
            <w:pPr>
              <w:pStyle w:val="6"/>
              <w:spacing w:before="101" w:line="212" w:lineRule="auto"/>
              <w:ind w:left="284"/>
            </w:pPr>
            <w:r>
              <w:rPr>
                <w:spacing w:val="-1"/>
              </w:rPr>
              <w:t>230</w:t>
            </w:r>
          </w:p>
        </w:tc>
        <w:tc>
          <w:tcPr>
            <w:tcW w:w="892" w:type="dxa"/>
            <w:vAlign w:val="top"/>
          </w:tcPr>
          <w:p w14:paraId="598E4996">
            <w:pPr>
              <w:pStyle w:val="6"/>
              <w:spacing w:before="101" w:line="212" w:lineRule="auto"/>
              <w:ind w:left="346"/>
            </w:pPr>
            <w:r>
              <w:rPr>
                <w:spacing w:val="-3"/>
              </w:rPr>
              <w:t>55</w:t>
            </w:r>
          </w:p>
        </w:tc>
        <w:tc>
          <w:tcPr>
            <w:tcW w:w="892" w:type="dxa"/>
            <w:vAlign w:val="top"/>
          </w:tcPr>
          <w:p w14:paraId="291965A7">
            <w:pPr>
              <w:pStyle w:val="6"/>
              <w:spacing w:before="101" w:line="212" w:lineRule="auto"/>
              <w:ind w:left="326"/>
            </w:pPr>
            <w:r>
              <w:rPr>
                <w:spacing w:val="-5"/>
              </w:rPr>
              <w:t>8.3</w:t>
            </w:r>
          </w:p>
        </w:tc>
        <w:tc>
          <w:tcPr>
            <w:tcW w:w="892" w:type="dxa"/>
            <w:vAlign w:val="top"/>
          </w:tcPr>
          <w:p w14:paraId="653899FF">
            <w:pPr>
              <w:pStyle w:val="6"/>
              <w:spacing w:before="101" w:line="212" w:lineRule="auto"/>
              <w:ind w:left="329"/>
            </w:pPr>
            <w:r>
              <w:rPr>
                <w:spacing w:val="-5"/>
              </w:rPr>
              <w:t>8.2</w:t>
            </w:r>
          </w:p>
        </w:tc>
        <w:tc>
          <w:tcPr>
            <w:tcW w:w="891" w:type="dxa"/>
            <w:vAlign w:val="top"/>
          </w:tcPr>
          <w:p w14:paraId="222E3349">
            <w:pPr>
              <w:pStyle w:val="6"/>
              <w:spacing w:before="101" w:line="212" w:lineRule="auto"/>
              <w:ind w:left="274"/>
            </w:pPr>
            <w:r>
              <w:rPr>
                <w:spacing w:val="-2"/>
              </w:rPr>
              <w:t>0.13</w:t>
            </w:r>
          </w:p>
        </w:tc>
        <w:tc>
          <w:tcPr>
            <w:tcW w:w="906" w:type="dxa"/>
            <w:tcBorders>
              <w:right w:val="single" w:color="000000" w:sz="12" w:space="0"/>
            </w:tcBorders>
            <w:vAlign w:val="top"/>
          </w:tcPr>
          <w:p w14:paraId="1B4AAE09">
            <w:pPr>
              <w:pStyle w:val="6"/>
              <w:spacing w:before="101" w:line="212" w:lineRule="auto"/>
              <w:ind w:left="277"/>
            </w:pPr>
            <w:r>
              <w:rPr>
                <w:spacing w:val="-2"/>
              </w:rPr>
              <w:t>0.08</w:t>
            </w:r>
          </w:p>
        </w:tc>
      </w:tr>
      <w:tr w14:paraId="27CE1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39186CBE">
            <w:pPr>
              <w:rPr>
                <w:rFonts w:ascii="Arial"/>
                <w:sz w:val="21"/>
              </w:rPr>
            </w:pPr>
          </w:p>
        </w:tc>
        <w:tc>
          <w:tcPr>
            <w:tcW w:w="422" w:type="dxa"/>
            <w:vMerge w:val="restart"/>
            <w:tcBorders>
              <w:bottom w:val="nil"/>
            </w:tcBorders>
            <w:vAlign w:val="top"/>
          </w:tcPr>
          <w:p w14:paraId="7BD8B210">
            <w:pPr>
              <w:pStyle w:val="6"/>
              <w:spacing w:before="167" w:line="222" w:lineRule="auto"/>
              <w:ind w:left="151"/>
            </w:pPr>
            <w:r>
              <w:t>3</w:t>
            </w:r>
          </w:p>
          <w:p w14:paraId="24EB1753">
            <w:pPr>
              <w:spacing w:line="219" w:lineRule="auto"/>
              <w:ind w:left="99"/>
              <w:rPr>
                <w:rFonts w:ascii="宋体" w:hAnsi="宋体" w:eastAsia="宋体" w:cs="宋体"/>
                <w:sz w:val="21"/>
                <w:szCs w:val="21"/>
              </w:rPr>
            </w:pPr>
            <w:r>
              <w:rPr>
                <w:rFonts w:ascii="宋体" w:hAnsi="宋体" w:eastAsia="宋体" w:cs="宋体"/>
                <w:sz w:val="21"/>
                <w:szCs w:val="21"/>
              </w:rPr>
              <w:t>季</w:t>
            </w:r>
          </w:p>
          <w:p w14:paraId="4B422D30">
            <w:pPr>
              <w:spacing w:before="23"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C71A983">
            <w:pPr>
              <w:pStyle w:val="6"/>
              <w:spacing w:before="102" w:line="213" w:lineRule="auto"/>
              <w:ind w:left="274"/>
            </w:pPr>
            <w:r>
              <w:rPr>
                <w:spacing w:val="-1"/>
              </w:rPr>
              <w:t>2021/7/19</w:t>
            </w:r>
          </w:p>
        </w:tc>
        <w:tc>
          <w:tcPr>
            <w:tcW w:w="892" w:type="dxa"/>
            <w:vAlign w:val="top"/>
          </w:tcPr>
          <w:p w14:paraId="2BC375C2">
            <w:pPr>
              <w:pStyle w:val="6"/>
              <w:spacing w:before="102" w:line="213" w:lineRule="auto"/>
              <w:ind w:left="341"/>
            </w:pPr>
            <w:r>
              <w:rPr>
                <w:spacing w:val="-3"/>
              </w:rPr>
              <w:t>32</w:t>
            </w:r>
          </w:p>
        </w:tc>
        <w:tc>
          <w:tcPr>
            <w:tcW w:w="892" w:type="dxa"/>
            <w:vAlign w:val="top"/>
          </w:tcPr>
          <w:p w14:paraId="24F7537E">
            <w:pPr>
              <w:pStyle w:val="6"/>
              <w:spacing w:before="106" w:line="186" w:lineRule="auto"/>
              <w:ind w:left="327"/>
            </w:pPr>
            <w:r>
              <w:rPr>
                <w:spacing w:val="-1"/>
              </w:rPr>
              <w:t>4L</w:t>
            </w:r>
          </w:p>
        </w:tc>
        <w:tc>
          <w:tcPr>
            <w:tcW w:w="892" w:type="dxa"/>
            <w:vAlign w:val="top"/>
          </w:tcPr>
          <w:p w14:paraId="44324947">
            <w:pPr>
              <w:pStyle w:val="6"/>
              <w:spacing w:before="102" w:line="213" w:lineRule="auto"/>
              <w:ind w:left="326"/>
            </w:pPr>
            <w:r>
              <w:rPr>
                <w:spacing w:val="-5"/>
              </w:rPr>
              <w:t>8.2</w:t>
            </w:r>
          </w:p>
        </w:tc>
        <w:tc>
          <w:tcPr>
            <w:tcW w:w="892" w:type="dxa"/>
            <w:vAlign w:val="top"/>
          </w:tcPr>
          <w:p w14:paraId="4D06262D">
            <w:pPr>
              <w:pStyle w:val="6"/>
              <w:spacing w:before="102" w:line="213" w:lineRule="auto"/>
              <w:ind w:left="329"/>
            </w:pPr>
            <w:r>
              <w:rPr>
                <w:spacing w:val="-5"/>
              </w:rPr>
              <w:t>8.2</w:t>
            </w:r>
          </w:p>
        </w:tc>
        <w:tc>
          <w:tcPr>
            <w:tcW w:w="891" w:type="dxa"/>
            <w:vAlign w:val="top"/>
          </w:tcPr>
          <w:p w14:paraId="0DBBDE70">
            <w:pPr>
              <w:pStyle w:val="6"/>
              <w:spacing w:before="102" w:line="213" w:lineRule="auto"/>
              <w:ind w:left="274"/>
            </w:pPr>
            <w:r>
              <w:rPr>
                <w:spacing w:val="-2"/>
              </w:rPr>
              <w:t>0.83</w:t>
            </w:r>
          </w:p>
        </w:tc>
        <w:tc>
          <w:tcPr>
            <w:tcW w:w="906" w:type="dxa"/>
            <w:tcBorders>
              <w:right w:val="single" w:color="000000" w:sz="12" w:space="0"/>
            </w:tcBorders>
            <w:vAlign w:val="top"/>
          </w:tcPr>
          <w:p w14:paraId="40CEBCFE">
            <w:pPr>
              <w:pStyle w:val="6"/>
              <w:spacing w:before="102" w:line="213" w:lineRule="auto"/>
              <w:ind w:left="214"/>
            </w:pPr>
            <w:r>
              <w:rPr>
                <w:spacing w:val="-2"/>
              </w:rPr>
              <w:t>0.06L</w:t>
            </w:r>
          </w:p>
        </w:tc>
      </w:tr>
      <w:tr w14:paraId="416E6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0963B54">
            <w:pPr>
              <w:rPr>
                <w:rFonts w:ascii="Arial"/>
                <w:sz w:val="21"/>
              </w:rPr>
            </w:pPr>
          </w:p>
        </w:tc>
        <w:tc>
          <w:tcPr>
            <w:tcW w:w="422" w:type="dxa"/>
            <w:vMerge w:val="continue"/>
            <w:tcBorders>
              <w:top w:val="nil"/>
              <w:bottom w:val="nil"/>
            </w:tcBorders>
            <w:vAlign w:val="top"/>
          </w:tcPr>
          <w:p w14:paraId="6E713113">
            <w:pPr>
              <w:rPr>
                <w:rFonts w:ascii="Arial"/>
                <w:sz w:val="21"/>
              </w:rPr>
            </w:pPr>
          </w:p>
        </w:tc>
        <w:tc>
          <w:tcPr>
            <w:tcW w:w="1414" w:type="dxa"/>
            <w:vAlign w:val="top"/>
          </w:tcPr>
          <w:p w14:paraId="1826D7EE">
            <w:pPr>
              <w:pStyle w:val="6"/>
              <w:spacing w:before="102" w:line="212" w:lineRule="auto"/>
              <w:ind w:left="274"/>
            </w:pPr>
            <w:r>
              <w:rPr>
                <w:spacing w:val="-1"/>
              </w:rPr>
              <w:t>2021/7/20</w:t>
            </w:r>
          </w:p>
        </w:tc>
        <w:tc>
          <w:tcPr>
            <w:tcW w:w="892" w:type="dxa"/>
            <w:vAlign w:val="top"/>
          </w:tcPr>
          <w:p w14:paraId="77294220">
            <w:pPr>
              <w:pStyle w:val="6"/>
              <w:spacing w:before="102" w:line="212" w:lineRule="auto"/>
              <w:ind w:left="337"/>
            </w:pPr>
            <w:r>
              <w:rPr>
                <w:spacing w:val="-1"/>
              </w:rPr>
              <w:t>27</w:t>
            </w:r>
          </w:p>
        </w:tc>
        <w:tc>
          <w:tcPr>
            <w:tcW w:w="892" w:type="dxa"/>
            <w:vAlign w:val="top"/>
          </w:tcPr>
          <w:p w14:paraId="3E786DDD">
            <w:pPr>
              <w:pStyle w:val="6"/>
              <w:spacing w:before="106" w:line="186" w:lineRule="auto"/>
              <w:ind w:left="327"/>
            </w:pPr>
            <w:r>
              <w:rPr>
                <w:spacing w:val="-1"/>
              </w:rPr>
              <w:t>4L</w:t>
            </w:r>
          </w:p>
        </w:tc>
        <w:tc>
          <w:tcPr>
            <w:tcW w:w="892" w:type="dxa"/>
            <w:vAlign w:val="top"/>
          </w:tcPr>
          <w:p w14:paraId="44067973">
            <w:pPr>
              <w:pStyle w:val="6"/>
              <w:spacing w:before="102" w:line="212" w:lineRule="auto"/>
              <w:ind w:left="326"/>
            </w:pPr>
            <w:r>
              <w:rPr>
                <w:spacing w:val="-5"/>
              </w:rPr>
              <w:t>8.3</w:t>
            </w:r>
          </w:p>
        </w:tc>
        <w:tc>
          <w:tcPr>
            <w:tcW w:w="892" w:type="dxa"/>
            <w:vAlign w:val="top"/>
          </w:tcPr>
          <w:p w14:paraId="75BFF624">
            <w:pPr>
              <w:pStyle w:val="6"/>
              <w:spacing w:before="102" w:line="212" w:lineRule="auto"/>
              <w:ind w:left="329"/>
            </w:pPr>
            <w:r>
              <w:rPr>
                <w:spacing w:val="-5"/>
              </w:rPr>
              <w:t>8.1</w:t>
            </w:r>
          </w:p>
        </w:tc>
        <w:tc>
          <w:tcPr>
            <w:tcW w:w="891" w:type="dxa"/>
            <w:vAlign w:val="top"/>
          </w:tcPr>
          <w:p w14:paraId="3729158E">
            <w:pPr>
              <w:pStyle w:val="6"/>
              <w:spacing w:before="102" w:line="212" w:lineRule="auto"/>
              <w:ind w:left="274"/>
            </w:pPr>
            <w:r>
              <w:rPr>
                <w:spacing w:val="-2"/>
              </w:rPr>
              <w:t>0.82</w:t>
            </w:r>
          </w:p>
        </w:tc>
        <w:tc>
          <w:tcPr>
            <w:tcW w:w="906" w:type="dxa"/>
            <w:tcBorders>
              <w:right w:val="single" w:color="000000" w:sz="12" w:space="0"/>
            </w:tcBorders>
            <w:vAlign w:val="top"/>
          </w:tcPr>
          <w:p w14:paraId="5B2DFD5E">
            <w:pPr>
              <w:pStyle w:val="6"/>
              <w:spacing w:before="102" w:line="212" w:lineRule="auto"/>
              <w:ind w:left="214"/>
            </w:pPr>
            <w:r>
              <w:rPr>
                <w:spacing w:val="-2"/>
              </w:rPr>
              <w:t>0.06L</w:t>
            </w:r>
          </w:p>
        </w:tc>
      </w:tr>
      <w:tr w14:paraId="02DA6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tcBorders>
            <w:vAlign w:val="top"/>
          </w:tcPr>
          <w:p w14:paraId="0EF8D506">
            <w:pPr>
              <w:rPr>
                <w:rFonts w:ascii="Arial"/>
                <w:sz w:val="21"/>
              </w:rPr>
            </w:pPr>
          </w:p>
        </w:tc>
        <w:tc>
          <w:tcPr>
            <w:tcW w:w="422" w:type="dxa"/>
            <w:vMerge w:val="continue"/>
            <w:tcBorders>
              <w:top w:val="nil"/>
            </w:tcBorders>
            <w:vAlign w:val="top"/>
          </w:tcPr>
          <w:p w14:paraId="33D7F13E">
            <w:pPr>
              <w:rPr>
                <w:rFonts w:ascii="Arial"/>
                <w:sz w:val="21"/>
              </w:rPr>
            </w:pPr>
          </w:p>
        </w:tc>
        <w:tc>
          <w:tcPr>
            <w:tcW w:w="1414" w:type="dxa"/>
            <w:vAlign w:val="top"/>
          </w:tcPr>
          <w:p w14:paraId="639E81A2">
            <w:pPr>
              <w:pStyle w:val="6"/>
              <w:spacing w:before="102" w:line="213" w:lineRule="auto"/>
              <w:ind w:left="274"/>
            </w:pPr>
            <w:r>
              <w:rPr>
                <w:spacing w:val="-1"/>
              </w:rPr>
              <w:t>2021/7/21</w:t>
            </w:r>
          </w:p>
        </w:tc>
        <w:tc>
          <w:tcPr>
            <w:tcW w:w="892" w:type="dxa"/>
            <w:vAlign w:val="top"/>
          </w:tcPr>
          <w:p w14:paraId="44603EEF">
            <w:pPr>
              <w:pStyle w:val="6"/>
              <w:spacing w:before="102" w:line="213" w:lineRule="auto"/>
              <w:ind w:left="341"/>
            </w:pPr>
            <w:r>
              <w:rPr>
                <w:spacing w:val="-3"/>
              </w:rPr>
              <w:t>31</w:t>
            </w:r>
          </w:p>
        </w:tc>
        <w:tc>
          <w:tcPr>
            <w:tcW w:w="892" w:type="dxa"/>
            <w:vAlign w:val="top"/>
          </w:tcPr>
          <w:p w14:paraId="4BD2244A">
            <w:pPr>
              <w:pStyle w:val="6"/>
              <w:spacing w:before="106" w:line="186" w:lineRule="auto"/>
              <w:ind w:left="327"/>
            </w:pPr>
            <w:r>
              <w:rPr>
                <w:spacing w:val="-1"/>
              </w:rPr>
              <w:t>4L</w:t>
            </w:r>
          </w:p>
        </w:tc>
        <w:tc>
          <w:tcPr>
            <w:tcW w:w="892" w:type="dxa"/>
            <w:vAlign w:val="top"/>
          </w:tcPr>
          <w:p w14:paraId="19A1D14D">
            <w:pPr>
              <w:pStyle w:val="6"/>
              <w:spacing w:before="102" w:line="213" w:lineRule="auto"/>
              <w:ind w:left="326"/>
            </w:pPr>
            <w:r>
              <w:rPr>
                <w:spacing w:val="-5"/>
              </w:rPr>
              <w:t>8.3</w:t>
            </w:r>
          </w:p>
        </w:tc>
        <w:tc>
          <w:tcPr>
            <w:tcW w:w="892" w:type="dxa"/>
            <w:vAlign w:val="top"/>
          </w:tcPr>
          <w:p w14:paraId="18DA58C9">
            <w:pPr>
              <w:pStyle w:val="6"/>
              <w:spacing w:before="102" w:line="213" w:lineRule="auto"/>
              <w:ind w:left="329"/>
            </w:pPr>
            <w:r>
              <w:rPr>
                <w:spacing w:val="-5"/>
              </w:rPr>
              <w:t>8.1</w:t>
            </w:r>
          </w:p>
        </w:tc>
        <w:tc>
          <w:tcPr>
            <w:tcW w:w="891" w:type="dxa"/>
            <w:vAlign w:val="top"/>
          </w:tcPr>
          <w:p w14:paraId="0550A1FC">
            <w:pPr>
              <w:pStyle w:val="6"/>
              <w:spacing w:before="102" w:line="213" w:lineRule="auto"/>
              <w:ind w:left="274"/>
            </w:pPr>
            <w:r>
              <w:rPr>
                <w:spacing w:val="-2"/>
              </w:rPr>
              <w:t>0.81</w:t>
            </w:r>
          </w:p>
        </w:tc>
        <w:tc>
          <w:tcPr>
            <w:tcW w:w="906" w:type="dxa"/>
            <w:tcBorders>
              <w:right w:val="single" w:color="000000" w:sz="12" w:space="0"/>
            </w:tcBorders>
            <w:vAlign w:val="top"/>
          </w:tcPr>
          <w:p w14:paraId="1D65A67D">
            <w:pPr>
              <w:pStyle w:val="6"/>
              <w:spacing w:before="102" w:line="213" w:lineRule="auto"/>
              <w:ind w:left="214"/>
            </w:pPr>
            <w:r>
              <w:rPr>
                <w:spacing w:val="-2"/>
              </w:rPr>
              <w:t>0.06L</w:t>
            </w:r>
          </w:p>
        </w:tc>
      </w:tr>
      <w:tr w14:paraId="2064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4429DD0C">
            <w:pPr>
              <w:rPr>
                <w:rFonts w:ascii="Arial"/>
                <w:sz w:val="21"/>
              </w:rPr>
            </w:pPr>
          </w:p>
          <w:p w14:paraId="5F3CB20A">
            <w:pPr>
              <w:rPr>
                <w:rFonts w:ascii="Arial"/>
                <w:sz w:val="21"/>
              </w:rPr>
            </w:pPr>
          </w:p>
          <w:p w14:paraId="08416F72">
            <w:pPr>
              <w:spacing w:line="241" w:lineRule="auto"/>
              <w:rPr>
                <w:rFonts w:ascii="Arial"/>
                <w:sz w:val="21"/>
              </w:rPr>
            </w:pPr>
          </w:p>
          <w:p w14:paraId="4EEED672">
            <w:pPr>
              <w:spacing w:line="241" w:lineRule="auto"/>
              <w:rPr>
                <w:rFonts w:ascii="Arial"/>
                <w:sz w:val="21"/>
              </w:rPr>
            </w:pPr>
          </w:p>
          <w:p w14:paraId="49E8F262">
            <w:pPr>
              <w:spacing w:line="241" w:lineRule="auto"/>
              <w:rPr>
                <w:rFonts w:ascii="Arial"/>
                <w:sz w:val="21"/>
              </w:rPr>
            </w:pPr>
          </w:p>
          <w:p w14:paraId="1593A20F">
            <w:pPr>
              <w:pStyle w:val="6"/>
              <w:spacing w:before="69" w:line="236" w:lineRule="auto"/>
              <w:ind w:left="207" w:right="109" w:hanging="109"/>
              <w:rPr>
                <w:rFonts w:ascii="宋体" w:hAnsi="宋体" w:eastAsia="宋体" w:cs="宋体"/>
              </w:rPr>
            </w:pPr>
            <w:r>
              <w:rPr>
                <w:spacing w:val="-2"/>
              </w:rPr>
              <w:t>7#</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3C04EAA7">
            <w:pPr>
              <w:pStyle w:val="6"/>
              <w:spacing w:before="166" w:line="222" w:lineRule="auto"/>
              <w:ind w:left="167"/>
            </w:pPr>
            <w:r>
              <w:t>1</w:t>
            </w:r>
          </w:p>
          <w:p w14:paraId="58FFCBFC">
            <w:pPr>
              <w:spacing w:line="219" w:lineRule="auto"/>
              <w:ind w:left="99"/>
              <w:rPr>
                <w:rFonts w:ascii="宋体" w:hAnsi="宋体" w:eastAsia="宋体" w:cs="宋体"/>
                <w:sz w:val="21"/>
                <w:szCs w:val="21"/>
              </w:rPr>
            </w:pPr>
            <w:r>
              <w:rPr>
                <w:rFonts w:ascii="宋体" w:hAnsi="宋体" w:eastAsia="宋体" w:cs="宋体"/>
                <w:sz w:val="21"/>
                <w:szCs w:val="21"/>
              </w:rPr>
              <w:t>季</w:t>
            </w:r>
          </w:p>
          <w:p w14:paraId="6C4278B9">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5CE4096">
            <w:pPr>
              <w:pStyle w:val="6"/>
              <w:spacing w:before="101" w:line="212" w:lineRule="auto"/>
              <w:ind w:left="274"/>
            </w:pPr>
            <w:r>
              <w:rPr>
                <w:spacing w:val="-1"/>
              </w:rPr>
              <w:t>2021/3/18</w:t>
            </w:r>
          </w:p>
        </w:tc>
        <w:tc>
          <w:tcPr>
            <w:tcW w:w="892" w:type="dxa"/>
            <w:vAlign w:val="top"/>
          </w:tcPr>
          <w:p w14:paraId="09F1D689">
            <w:pPr>
              <w:pStyle w:val="6"/>
              <w:spacing w:before="101" w:line="212" w:lineRule="auto"/>
              <w:ind w:left="337"/>
            </w:pPr>
            <w:r>
              <w:rPr>
                <w:spacing w:val="-1"/>
              </w:rPr>
              <w:t>29</w:t>
            </w:r>
          </w:p>
        </w:tc>
        <w:tc>
          <w:tcPr>
            <w:tcW w:w="892" w:type="dxa"/>
            <w:vAlign w:val="top"/>
          </w:tcPr>
          <w:p w14:paraId="40D2BC8F">
            <w:pPr>
              <w:pStyle w:val="6"/>
              <w:spacing w:before="101" w:line="212" w:lineRule="auto"/>
              <w:ind w:left="360"/>
            </w:pPr>
            <w:r>
              <w:rPr>
                <w:spacing w:val="-6"/>
              </w:rPr>
              <w:t>15</w:t>
            </w:r>
          </w:p>
        </w:tc>
        <w:tc>
          <w:tcPr>
            <w:tcW w:w="892" w:type="dxa"/>
            <w:vAlign w:val="top"/>
          </w:tcPr>
          <w:p w14:paraId="49D01573">
            <w:pPr>
              <w:pStyle w:val="6"/>
              <w:spacing w:before="101" w:line="212" w:lineRule="auto"/>
              <w:ind w:left="273"/>
            </w:pPr>
            <w:r>
              <w:rPr>
                <w:spacing w:val="-4"/>
              </w:rPr>
              <w:t>8.24</w:t>
            </w:r>
          </w:p>
        </w:tc>
        <w:tc>
          <w:tcPr>
            <w:tcW w:w="892" w:type="dxa"/>
            <w:vAlign w:val="top"/>
          </w:tcPr>
          <w:p w14:paraId="16A06FEB">
            <w:pPr>
              <w:pStyle w:val="6"/>
              <w:spacing w:before="101" w:line="212" w:lineRule="auto"/>
              <w:ind w:left="276"/>
            </w:pPr>
            <w:r>
              <w:rPr>
                <w:spacing w:val="-4"/>
              </w:rPr>
              <w:t>8.28</w:t>
            </w:r>
          </w:p>
        </w:tc>
        <w:tc>
          <w:tcPr>
            <w:tcW w:w="891" w:type="dxa"/>
            <w:vAlign w:val="top"/>
          </w:tcPr>
          <w:p w14:paraId="51EFA8FB">
            <w:pPr>
              <w:pStyle w:val="6"/>
              <w:spacing w:before="101" w:line="212" w:lineRule="auto"/>
              <w:ind w:left="274"/>
            </w:pPr>
            <w:r>
              <w:rPr>
                <w:spacing w:val="-2"/>
              </w:rPr>
              <w:t>0.07</w:t>
            </w:r>
          </w:p>
        </w:tc>
        <w:tc>
          <w:tcPr>
            <w:tcW w:w="906" w:type="dxa"/>
            <w:tcBorders>
              <w:right w:val="single" w:color="000000" w:sz="12" w:space="0"/>
            </w:tcBorders>
            <w:vAlign w:val="top"/>
          </w:tcPr>
          <w:p w14:paraId="19BA95E6">
            <w:pPr>
              <w:pStyle w:val="6"/>
              <w:spacing w:before="101" w:line="212" w:lineRule="auto"/>
              <w:ind w:left="214"/>
            </w:pPr>
            <w:r>
              <w:rPr>
                <w:spacing w:val="-2"/>
              </w:rPr>
              <w:t>0.06L</w:t>
            </w:r>
          </w:p>
        </w:tc>
      </w:tr>
      <w:tr w14:paraId="1B861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BDB508E">
            <w:pPr>
              <w:rPr>
                <w:rFonts w:ascii="Arial"/>
                <w:sz w:val="21"/>
              </w:rPr>
            </w:pPr>
          </w:p>
        </w:tc>
        <w:tc>
          <w:tcPr>
            <w:tcW w:w="422" w:type="dxa"/>
            <w:vMerge w:val="continue"/>
            <w:tcBorders>
              <w:top w:val="nil"/>
              <w:bottom w:val="nil"/>
            </w:tcBorders>
            <w:vAlign w:val="top"/>
          </w:tcPr>
          <w:p w14:paraId="08576B36">
            <w:pPr>
              <w:rPr>
                <w:rFonts w:ascii="Arial"/>
                <w:sz w:val="21"/>
              </w:rPr>
            </w:pPr>
          </w:p>
        </w:tc>
        <w:tc>
          <w:tcPr>
            <w:tcW w:w="1414" w:type="dxa"/>
            <w:vAlign w:val="top"/>
          </w:tcPr>
          <w:p w14:paraId="6CD61F37">
            <w:pPr>
              <w:pStyle w:val="6"/>
              <w:spacing w:before="104" w:line="209" w:lineRule="auto"/>
              <w:ind w:left="274"/>
            </w:pPr>
            <w:r>
              <w:rPr>
                <w:spacing w:val="-1"/>
              </w:rPr>
              <w:t>2021/3/19</w:t>
            </w:r>
          </w:p>
        </w:tc>
        <w:tc>
          <w:tcPr>
            <w:tcW w:w="892" w:type="dxa"/>
            <w:vAlign w:val="top"/>
          </w:tcPr>
          <w:p w14:paraId="2C84021B">
            <w:pPr>
              <w:pStyle w:val="6"/>
              <w:spacing w:before="104" w:line="209" w:lineRule="auto"/>
              <w:ind w:left="341"/>
            </w:pPr>
            <w:r>
              <w:rPr>
                <w:spacing w:val="-3"/>
              </w:rPr>
              <w:t>33</w:t>
            </w:r>
          </w:p>
        </w:tc>
        <w:tc>
          <w:tcPr>
            <w:tcW w:w="892" w:type="dxa"/>
            <w:vAlign w:val="top"/>
          </w:tcPr>
          <w:p w14:paraId="3F480033">
            <w:pPr>
              <w:pStyle w:val="6"/>
              <w:spacing w:before="104" w:line="209" w:lineRule="auto"/>
              <w:ind w:left="360"/>
            </w:pPr>
            <w:r>
              <w:rPr>
                <w:spacing w:val="-6"/>
              </w:rPr>
              <w:t>11</w:t>
            </w:r>
          </w:p>
        </w:tc>
        <w:tc>
          <w:tcPr>
            <w:tcW w:w="892" w:type="dxa"/>
            <w:vAlign w:val="top"/>
          </w:tcPr>
          <w:p w14:paraId="78DCB24C">
            <w:pPr>
              <w:pStyle w:val="6"/>
              <w:spacing w:before="104" w:line="209" w:lineRule="auto"/>
              <w:ind w:left="273"/>
            </w:pPr>
            <w:r>
              <w:rPr>
                <w:spacing w:val="-4"/>
              </w:rPr>
              <w:t>8.28</w:t>
            </w:r>
          </w:p>
        </w:tc>
        <w:tc>
          <w:tcPr>
            <w:tcW w:w="892" w:type="dxa"/>
            <w:vAlign w:val="top"/>
          </w:tcPr>
          <w:p w14:paraId="2E2D2CE6">
            <w:pPr>
              <w:pStyle w:val="6"/>
              <w:spacing w:before="104" w:line="209" w:lineRule="auto"/>
              <w:ind w:left="276"/>
            </w:pPr>
            <w:r>
              <w:rPr>
                <w:spacing w:val="-4"/>
              </w:rPr>
              <w:t>8.20</w:t>
            </w:r>
          </w:p>
        </w:tc>
        <w:tc>
          <w:tcPr>
            <w:tcW w:w="891" w:type="dxa"/>
            <w:vAlign w:val="top"/>
          </w:tcPr>
          <w:p w14:paraId="6AB32944">
            <w:pPr>
              <w:pStyle w:val="6"/>
              <w:spacing w:before="104" w:line="209" w:lineRule="auto"/>
              <w:ind w:left="274"/>
            </w:pPr>
            <w:r>
              <w:rPr>
                <w:spacing w:val="-2"/>
              </w:rPr>
              <w:t>0.08</w:t>
            </w:r>
          </w:p>
        </w:tc>
        <w:tc>
          <w:tcPr>
            <w:tcW w:w="906" w:type="dxa"/>
            <w:tcBorders>
              <w:right w:val="single" w:color="000000" w:sz="12" w:space="0"/>
            </w:tcBorders>
            <w:vAlign w:val="top"/>
          </w:tcPr>
          <w:p w14:paraId="2A48AEB4">
            <w:pPr>
              <w:pStyle w:val="6"/>
              <w:spacing w:before="104" w:line="209" w:lineRule="auto"/>
              <w:ind w:left="214"/>
            </w:pPr>
            <w:r>
              <w:rPr>
                <w:spacing w:val="-2"/>
              </w:rPr>
              <w:t>0.06L</w:t>
            </w:r>
          </w:p>
        </w:tc>
      </w:tr>
      <w:tr w14:paraId="21DD3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50E74D77">
            <w:pPr>
              <w:rPr>
                <w:rFonts w:ascii="Arial"/>
                <w:sz w:val="21"/>
              </w:rPr>
            </w:pPr>
          </w:p>
        </w:tc>
        <w:tc>
          <w:tcPr>
            <w:tcW w:w="422" w:type="dxa"/>
            <w:vMerge w:val="continue"/>
            <w:tcBorders>
              <w:top w:val="nil"/>
            </w:tcBorders>
            <w:vAlign w:val="top"/>
          </w:tcPr>
          <w:p w14:paraId="54FF8654">
            <w:pPr>
              <w:rPr>
                <w:rFonts w:ascii="Arial"/>
                <w:sz w:val="21"/>
              </w:rPr>
            </w:pPr>
          </w:p>
        </w:tc>
        <w:tc>
          <w:tcPr>
            <w:tcW w:w="1414" w:type="dxa"/>
            <w:vAlign w:val="top"/>
          </w:tcPr>
          <w:p w14:paraId="7220122C">
            <w:pPr>
              <w:pStyle w:val="6"/>
              <w:spacing w:before="105" w:line="210" w:lineRule="auto"/>
              <w:ind w:left="274"/>
            </w:pPr>
            <w:r>
              <w:rPr>
                <w:spacing w:val="-1"/>
              </w:rPr>
              <w:t>2021/3/20</w:t>
            </w:r>
          </w:p>
        </w:tc>
        <w:tc>
          <w:tcPr>
            <w:tcW w:w="892" w:type="dxa"/>
            <w:vAlign w:val="top"/>
          </w:tcPr>
          <w:p w14:paraId="238403B6">
            <w:pPr>
              <w:pStyle w:val="6"/>
              <w:spacing w:before="105" w:line="210" w:lineRule="auto"/>
              <w:ind w:left="337"/>
            </w:pPr>
            <w:r>
              <w:rPr>
                <w:spacing w:val="-1"/>
              </w:rPr>
              <w:t>27</w:t>
            </w:r>
          </w:p>
        </w:tc>
        <w:tc>
          <w:tcPr>
            <w:tcW w:w="892" w:type="dxa"/>
            <w:vAlign w:val="top"/>
          </w:tcPr>
          <w:p w14:paraId="5232D930">
            <w:pPr>
              <w:pStyle w:val="6"/>
              <w:spacing w:before="105" w:line="210" w:lineRule="auto"/>
              <w:ind w:left="360"/>
            </w:pPr>
            <w:r>
              <w:rPr>
                <w:spacing w:val="-6"/>
              </w:rPr>
              <w:t>13</w:t>
            </w:r>
          </w:p>
        </w:tc>
        <w:tc>
          <w:tcPr>
            <w:tcW w:w="892" w:type="dxa"/>
            <w:vAlign w:val="top"/>
          </w:tcPr>
          <w:p w14:paraId="12749DF4">
            <w:pPr>
              <w:pStyle w:val="6"/>
              <w:spacing w:before="105" w:line="210" w:lineRule="auto"/>
              <w:ind w:left="273"/>
            </w:pPr>
            <w:r>
              <w:rPr>
                <w:spacing w:val="-4"/>
              </w:rPr>
              <w:t>8.29</w:t>
            </w:r>
          </w:p>
        </w:tc>
        <w:tc>
          <w:tcPr>
            <w:tcW w:w="892" w:type="dxa"/>
            <w:vAlign w:val="top"/>
          </w:tcPr>
          <w:p w14:paraId="73CAC94F">
            <w:pPr>
              <w:pStyle w:val="6"/>
              <w:spacing w:before="105" w:line="210" w:lineRule="auto"/>
              <w:ind w:left="276"/>
            </w:pPr>
            <w:r>
              <w:rPr>
                <w:spacing w:val="-4"/>
              </w:rPr>
              <w:t>8.17</w:t>
            </w:r>
          </w:p>
        </w:tc>
        <w:tc>
          <w:tcPr>
            <w:tcW w:w="891" w:type="dxa"/>
            <w:vAlign w:val="top"/>
          </w:tcPr>
          <w:p w14:paraId="388FF561">
            <w:pPr>
              <w:pStyle w:val="6"/>
              <w:spacing w:before="105" w:line="210" w:lineRule="auto"/>
              <w:ind w:left="274"/>
            </w:pPr>
            <w:r>
              <w:rPr>
                <w:spacing w:val="-2"/>
              </w:rPr>
              <w:t>0.08</w:t>
            </w:r>
          </w:p>
        </w:tc>
        <w:tc>
          <w:tcPr>
            <w:tcW w:w="906" w:type="dxa"/>
            <w:tcBorders>
              <w:right w:val="single" w:color="000000" w:sz="12" w:space="0"/>
            </w:tcBorders>
            <w:vAlign w:val="top"/>
          </w:tcPr>
          <w:p w14:paraId="68EB63D4">
            <w:pPr>
              <w:pStyle w:val="6"/>
              <w:spacing w:before="105" w:line="210" w:lineRule="auto"/>
              <w:ind w:left="214"/>
            </w:pPr>
            <w:r>
              <w:rPr>
                <w:spacing w:val="-2"/>
              </w:rPr>
              <w:t>0.06L</w:t>
            </w:r>
          </w:p>
        </w:tc>
      </w:tr>
      <w:tr w14:paraId="59785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7F0C3E2">
            <w:pPr>
              <w:rPr>
                <w:rFonts w:ascii="Arial"/>
                <w:sz w:val="21"/>
              </w:rPr>
            </w:pPr>
          </w:p>
        </w:tc>
        <w:tc>
          <w:tcPr>
            <w:tcW w:w="422" w:type="dxa"/>
            <w:vMerge w:val="restart"/>
            <w:tcBorders>
              <w:bottom w:val="nil"/>
            </w:tcBorders>
            <w:vAlign w:val="top"/>
          </w:tcPr>
          <w:p w14:paraId="2D4F43C2">
            <w:pPr>
              <w:pStyle w:val="6"/>
              <w:spacing w:before="168" w:line="222" w:lineRule="auto"/>
              <w:ind w:left="147"/>
            </w:pPr>
            <w:r>
              <w:t>2</w:t>
            </w:r>
          </w:p>
          <w:p w14:paraId="75F8BBA7">
            <w:pPr>
              <w:spacing w:line="219" w:lineRule="auto"/>
              <w:ind w:left="99"/>
              <w:rPr>
                <w:rFonts w:ascii="宋体" w:hAnsi="宋体" w:eastAsia="宋体" w:cs="宋体"/>
                <w:sz w:val="21"/>
                <w:szCs w:val="21"/>
              </w:rPr>
            </w:pPr>
            <w:r>
              <w:rPr>
                <w:rFonts w:ascii="宋体" w:hAnsi="宋体" w:eastAsia="宋体" w:cs="宋体"/>
                <w:sz w:val="21"/>
                <w:szCs w:val="21"/>
              </w:rPr>
              <w:t>季</w:t>
            </w:r>
          </w:p>
          <w:p w14:paraId="1391441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E3B2107">
            <w:pPr>
              <w:pStyle w:val="6"/>
              <w:spacing w:before="105" w:line="208" w:lineRule="auto"/>
              <w:ind w:left="326"/>
            </w:pPr>
            <w:r>
              <w:rPr>
                <w:spacing w:val="-1"/>
              </w:rPr>
              <w:t>2021/6/3</w:t>
            </w:r>
          </w:p>
        </w:tc>
        <w:tc>
          <w:tcPr>
            <w:tcW w:w="892" w:type="dxa"/>
            <w:vAlign w:val="top"/>
          </w:tcPr>
          <w:p w14:paraId="7FB1CBB5">
            <w:pPr>
              <w:pStyle w:val="6"/>
              <w:spacing w:before="109" w:line="186" w:lineRule="auto"/>
              <w:ind w:left="324"/>
            </w:pPr>
            <w:r>
              <w:rPr>
                <w:spacing w:val="-1"/>
              </w:rPr>
              <w:t>4L</w:t>
            </w:r>
          </w:p>
        </w:tc>
        <w:tc>
          <w:tcPr>
            <w:tcW w:w="892" w:type="dxa"/>
            <w:vAlign w:val="top"/>
          </w:tcPr>
          <w:p w14:paraId="328ED950">
            <w:pPr>
              <w:pStyle w:val="6"/>
              <w:spacing w:before="109" w:line="186" w:lineRule="auto"/>
              <w:ind w:left="327"/>
            </w:pPr>
            <w:r>
              <w:rPr>
                <w:spacing w:val="-1"/>
              </w:rPr>
              <w:t>4L</w:t>
            </w:r>
          </w:p>
        </w:tc>
        <w:tc>
          <w:tcPr>
            <w:tcW w:w="892" w:type="dxa"/>
            <w:vAlign w:val="top"/>
          </w:tcPr>
          <w:p w14:paraId="7EEAC929">
            <w:pPr>
              <w:pStyle w:val="6"/>
              <w:spacing w:before="105" w:line="208" w:lineRule="auto"/>
              <w:ind w:left="326"/>
            </w:pPr>
            <w:r>
              <w:rPr>
                <w:spacing w:val="-5"/>
              </w:rPr>
              <w:t>8.4</w:t>
            </w:r>
          </w:p>
        </w:tc>
        <w:tc>
          <w:tcPr>
            <w:tcW w:w="892" w:type="dxa"/>
            <w:vAlign w:val="top"/>
          </w:tcPr>
          <w:p w14:paraId="5394C65F">
            <w:pPr>
              <w:pStyle w:val="6"/>
              <w:spacing w:before="105" w:line="208" w:lineRule="auto"/>
              <w:ind w:left="329"/>
            </w:pPr>
            <w:r>
              <w:rPr>
                <w:spacing w:val="-5"/>
              </w:rPr>
              <w:t>8.2</w:t>
            </w:r>
          </w:p>
        </w:tc>
        <w:tc>
          <w:tcPr>
            <w:tcW w:w="891" w:type="dxa"/>
            <w:vAlign w:val="top"/>
          </w:tcPr>
          <w:p w14:paraId="6EACDC1E">
            <w:pPr>
              <w:pStyle w:val="6"/>
              <w:spacing w:before="105" w:line="208" w:lineRule="auto"/>
              <w:ind w:left="274"/>
            </w:pPr>
            <w:r>
              <w:rPr>
                <w:spacing w:val="-2"/>
              </w:rPr>
              <w:t>0.08</w:t>
            </w:r>
          </w:p>
        </w:tc>
        <w:tc>
          <w:tcPr>
            <w:tcW w:w="906" w:type="dxa"/>
            <w:tcBorders>
              <w:right w:val="single" w:color="000000" w:sz="12" w:space="0"/>
            </w:tcBorders>
            <w:vAlign w:val="top"/>
          </w:tcPr>
          <w:p w14:paraId="0079888C">
            <w:pPr>
              <w:pStyle w:val="6"/>
              <w:spacing w:before="105" w:line="208" w:lineRule="auto"/>
              <w:ind w:left="214"/>
            </w:pPr>
            <w:r>
              <w:rPr>
                <w:spacing w:val="-2"/>
              </w:rPr>
              <w:t>0.06L</w:t>
            </w:r>
          </w:p>
        </w:tc>
      </w:tr>
      <w:tr w14:paraId="5A16A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5342A933">
            <w:pPr>
              <w:rPr>
                <w:rFonts w:ascii="Arial"/>
                <w:sz w:val="21"/>
              </w:rPr>
            </w:pPr>
          </w:p>
        </w:tc>
        <w:tc>
          <w:tcPr>
            <w:tcW w:w="422" w:type="dxa"/>
            <w:vMerge w:val="continue"/>
            <w:tcBorders>
              <w:top w:val="nil"/>
              <w:bottom w:val="nil"/>
            </w:tcBorders>
            <w:vAlign w:val="top"/>
          </w:tcPr>
          <w:p w14:paraId="63EE5A52">
            <w:pPr>
              <w:rPr>
                <w:rFonts w:ascii="Arial"/>
                <w:sz w:val="21"/>
              </w:rPr>
            </w:pPr>
          </w:p>
        </w:tc>
        <w:tc>
          <w:tcPr>
            <w:tcW w:w="1414" w:type="dxa"/>
            <w:vAlign w:val="top"/>
          </w:tcPr>
          <w:p w14:paraId="4C094C09">
            <w:pPr>
              <w:pStyle w:val="6"/>
              <w:spacing w:before="106" w:line="209" w:lineRule="auto"/>
              <w:ind w:left="326"/>
            </w:pPr>
            <w:r>
              <w:rPr>
                <w:spacing w:val="-1"/>
              </w:rPr>
              <w:t>2021/6/4</w:t>
            </w:r>
          </w:p>
        </w:tc>
        <w:tc>
          <w:tcPr>
            <w:tcW w:w="892" w:type="dxa"/>
            <w:vAlign w:val="top"/>
          </w:tcPr>
          <w:p w14:paraId="4017EAAB">
            <w:pPr>
              <w:pStyle w:val="6"/>
              <w:spacing w:before="110" w:line="186" w:lineRule="auto"/>
              <w:ind w:left="324"/>
            </w:pPr>
            <w:r>
              <w:rPr>
                <w:spacing w:val="-1"/>
              </w:rPr>
              <w:t>4L</w:t>
            </w:r>
          </w:p>
        </w:tc>
        <w:tc>
          <w:tcPr>
            <w:tcW w:w="892" w:type="dxa"/>
            <w:vAlign w:val="top"/>
          </w:tcPr>
          <w:p w14:paraId="28A189C9">
            <w:pPr>
              <w:pStyle w:val="6"/>
              <w:spacing w:before="110" w:line="186" w:lineRule="auto"/>
              <w:ind w:left="327"/>
            </w:pPr>
            <w:r>
              <w:rPr>
                <w:spacing w:val="-1"/>
              </w:rPr>
              <w:t>4L</w:t>
            </w:r>
          </w:p>
        </w:tc>
        <w:tc>
          <w:tcPr>
            <w:tcW w:w="892" w:type="dxa"/>
            <w:vAlign w:val="top"/>
          </w:tcPr>
          <w:p w14:paraId="79A99EDF">
            <w:pPr>
              <w:pStyle w:val="6"/>
              <w:spacing w:before="106" w:line="209" w:lineRule="auto"/>
              <w:ind w:left="326"/>
            </w:pPr>
            <w:r>
              <w:rPr>
                <w:spacing w:val="-5"/>
              </w:rPr>
              <w:t>8.4</w:t>
            </w:r>
          </w:p>
        </w:tc>
        <w:tc>
          <w:tcPr>
            <w:tcW w:w="892" w:type="dxa"/>
            <w:vAlign w:val="top"/>
          </w:tcPr>
          <w:p w14:paraId="14E23036">
            <w:pPr>
              <w:pStyle w:val="6"/>
              <w:spacing w:before="106" w:line="209" w:lineRule="auto"/>
              <w:ind w:left="329"/>
            </w:pPr>
            <w:r>
              <w:rPr>
                <w:spacing w:val="-5"/>
              </w:rPr>
              <w:t>8.2</w:t>
            </w:r>
          </w:p>
        </w:tc>
        <w:tc>
          <w:tcPr>
            <w:tcW w:w="891" w:type="dxa"/>
            <w:vAlign w:val="top"/>
          </w:tcPr>
          <w:p w14:paraId="00D64C1E">
            <w:pPr>
              <w:pStyle w:val="6"/>
              <w:spacing w:before="106" w:line="209" w:lineRule="auto"/>
              <w:ind w:left="274"/>
            </w:pPr>
            <w:r>
              <w:rPr>
                <w:spacing w:val="-2"/>
              </w:rPr>
              <w:t>0.08</w:t>
            </w:r>
          </w:p>
        </w:tc>
        <w:tc>
          <w:tcPr>
            <w:tcW w:w="906" w:type="dxa"/>
            <w:tcBorders>
              <w:right w:val="single" w:color="000000" w:sz="12" w:space="0"/>
            </w:tcBorders>
            <w:vAlign w:val="top"/>
          </w:tcPr>
          <w:p w14:paraId="72521990">
            <w:pPr>
              <w:pStyle w:val="6"/>
              <w:spacing w:before="106" w:line="209" w:lineRule="auto"/>
              <w:ind w:left="214"/>
            </w:pPr>
            <w:r>
              <w:rPr>
                <w:spacing w:val="-2"/>
              </w:rPr>
              <w:t>0.06L</w:t>
            </w:r>
          </w:p>
        </w:tc>
      </w:tr>
      <w:tr w14:paraId="5BD15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2CBFA56D">
            <w:pPr>
              <w:rPr>
                <w:rFonts w:ascii="Arial"/>
                <w:sz w:val="21"/>
              </w:rPr>
            </w:pPr>
          </w:p>
        </w:tc>
        <w:tc>
          <w:tcPr>
            <w:tcW w:w="422" w:type="dxa"/>
            <w:vMerge w:val="continue"/>
            <w:tcBorders>
              <w:top w:val="nil"/>
            </w:tcBorders>
            <w:vAlign w:val="top"/>
          </w:tcPr>
          <w:p w14:paraId="1E9730AB">
            <w:pPr>
              <w:rPr>
                <w:rFonts w:ascii="Arial"/>
                <w:sz w:val="21"/>
              </w:rPr>
            </w:pPr>
          </w:p>
        </w:tc>
        <w:tc>
          <w:tcPr>
            <w:tcW w:w="1414" w:type="dxa"/>
            <w:vAlign w:val="top"/>
          </w:tcPr>
          <w:p w14:paraId="1727BECA">
            <w:pPr>
              <w:pStyle w:val="6"/>
              <w:spacing w:before="105" w:line="208" w:lineRule="auto"/>
              <w:ind w:left="326"/>
            </w:pPr>
            <w:r>
              <w:rPr>
                <w:spacing w:val="-1"/>
              </w:rPr>
              <w:t>2021/6/5</w:t>
            </w:r>
          </w:p>
        </w:tc>
        <w:tc>
          <w:tcPr>
            <w:tcW w:w="892" w:type="dxa"/>
            <w:vAlign w:val="top"/>
          </w:tcPr>
          <w:p w14:paraId="6CD80CD8">
            <w:pPr>
              <w:pStyle w:val="6"/>
              <w:spacing w:before="109" w:line="186" w:lineRule="auto"/>
              <w:ind w:left="324"/>
            </w:pPr>
            <w:r>
              <w:rPr>
                <w:spacing w:val="-1"/>
              </w:rPr>
              <w:t>4L</w:t>
            </w:r>
          </w:p>
        </w:tc>
        <w:tc>
          <w:tcPr>
            <w:tcW w:w="892" w:type="dxa"/>
            <w:vAlign w:val="top"/>
          </w:tcPr>
          <w:p w14:paraId="6C0FB595">
            <w:pPr>
              <w:pStyle w:val="6"/>
              <w:spacing w:before="109" w:line="186" w:lineRule="auto"/>
              <w:ind w:left="327"/>
            </w:pPr>
            <w:r>
              <w:rPr>
                <w:spacing w:val="-1"/>
              </w:rPr>
              <w:t>4L</w:t>
            </w:r>
          </w:p>
        </w:tc>
        <w:tc>
          <w:tcPr>
            <w:tcW w:w="892" w:type="dxa"/>
            <w:vAlign w:val="top"/>
          </w:tcPr>
          <w:p w14:paraId="62720C7A">
            <w:pPr>
              <w:pStyle w:val="6"/>
              <w:spacing w:before="105" w:line="208" w:lineRule="auto"/>
              <w:ind w:left="326"/>
            </w:pPr>
            <w:r>
              <w:rPr>
                <w:spacing w:val="-5"/>
              </w:rPr>
              <w:t>8.3</w:t>
            </w:r>
          </w:p>
        </w:tc>
        <w:tc>
          <w:tcPr>
            <w:tcW w:w="892" w:type="dxa"/>
            <w:vAlign w:val="top"/>
          </w:tcPr>
          <w:p w14:paraId="45E85EB3">
            <w:pPr>
              <w:pStyle w:val="6"/>
              <w:spacing w:before="105" w:line="208" w:lineRule="auto"/>
              <w:ind w:left="329"/>
            </w:pPr>
            <w:r>
              <w:rPr>
                <w:spacing w:val="-5"/>
              </w:rPr>
              <w:t>8.2</w:t>
            </w:r>
          </w:p>
        </w:tc>
        <w:tc>
          <w:tcPr>
            <w:tcW w:w="891" w:type="dxa"/>
            <w:vAlign w:val="top"/>
          </w:tcPr>
          <w:p w14:paraId="456DABD4">
            <w:pPr>
              <w:pStyle w:val="6"/>
              <w:spacing w:before="105" w:line="208" w:lineRule="auto"/>
              <w:ind w:left="274"/>
            </w:pPr>
            <w:r>
              <w:rPr>
                <w:spacing w:val="-2"/>
              </w:rPr>
              <w:t>0.09</w:t>
            </w:r>
          </w:p>
        </w:tc>
        <w:tc>
          <w:tcPr>
            <w:tcW w:w="906" w:type="dxa"/>
            <w:tcBorders>
              <w:right w:val="single" w:color="000000" w:sz="12" w:space="0"/>
            </w:tcBorders>
            <w:vAlign w:val="top"/>
          </w:tcPr>
          <w:p w14:paraId="2E02A628">
            <w:pPr>
              <w:pStyle w:val="6"/>
              <w:spacing w:before="105" w:line="208" w:lineRule="auto"/>
              <w:ind w:left="214"/>
            </w:pPr>
            <w:r>
              <w:rPr>
                <w:spacing w:val="-2"/>
              </w:rPr>
              <w:t>0.06L</w:t>
            </w:r>
          </w:p>
        </w:tc>
      </w:tr>
      <w:tr w14:paraId="587DA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A0C729B">
            <w:pPr>
              <w:rPr>
                <w:rFonts w:ascii="Arial"/>
                <w:sz w:val="21"/>
              </w:rPr>
            </w:pPr>
          </w:p>
        </w:tc>
        <w:tc>
          <w:tcPr>
            <w:tcW w:w="422" w:type="dxa"/>
            <w:vMerge w:val="restart"/>
            <w:tcBorders>
              <w:bottom w:val="nil"/>
            </w:tcBorders>
            <w:vAlign w:val="top"/>
          </w:tcPr>
          <w:p w14:paraId="6FC0B4C1">
            <w:pPr>
              <w:pStyle w:val="6"/>
              <w:spacing w:before="171" w:line="222" w:lineRule="auto"/>
              <w:ind w:left="151"/>
            </w:pPr>
            <w:r>
              <w:t>3</w:t>
            </w:r>
          </w:p>
          <w:p w14:paraId="2F641E57">
            <w:pPr>
              <w:spacing w:line="219" w:lineRule="auto"/>
              <w:ind w:left="99"/>
              <w:rPr>
                <w:rFonts w:ascii="宋体" w:hAnsi="宋体" w:eastAsia="宋体" w:cs="宋体"/>
                <w:sz w:val="21"/>
                <w:szCs w:val="21"/>
              </w:rPr>
            </w:pPr>
            <w:r>
              <w:rPr>
                <w:rFonts w:ascii="宋体" w:hAnsi="宋体" w:eastAsia="宋体" w:cs="宋体"/>
                <w:sz w:val="21"/>
                <w:szCs w:val="21"/>
              </w:rPr>
              <w:t>季</w:t>
            </w:r>
          </w:p>
          <w:p w14:paraId="7D713966">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FA6F170">
            <w:pPr>
              <w:pStyle w:val="6"/>
              <w:spacing w:before="107" w:line="206" w:lineRule="auto"/>
              <w:ind w:left="274"/>
            </w:pPr>
            <w:r>
              <w:rPr>
                <w:spacing w:val="-1"/>
              </w:rPr>
              <w:t>2021/7/19</w:t>
            </w:r>
          </w:p>
        </w:tc>
        <w:tc>
          <w:tcPr>
            <w:tcW w:w="892" w:type="dxa"/>
            <w:vAlign w:val="top"/>
          </w:tcPr>
          <w:p w14:paraId="180DF2C4">
            <w:pPr>
              <w:pStyle w:val="6"/>
              <w:spacing w:before="107" w:line="206" w:lineRule="auto"/>
              <w:ind w:left="357"/>
            </w:pPr>
            <w:r>
              <w:rPr>
                <w:spacing w:val="-6"/>
              </w:rPr>
              <w:t>15</w:t>
            </w:r>
          </w:p>
        </w:tc>
        <w:tc>
          <w:tcPr>
            <w:tcW w:w="892" w:type="dxa"/>
            <w:vAlign w:val="top"/>
          </w:tcPr>
          <w:p w14:paraId="1996200D">
            <w:pPr>
              <w:pStyle w:val="6"/>
              <w:spacing w:before="107" w:line="206" w:lineRule="auto"/>
              <w:ind w:left="360"/>
            </w:pPr>
            <w:r>
              <w:rPr>
                <w:spacing w:val="-6"/>
              </w:rPr>
              <w:t>11</w:t>
            </w:r>
          </w:p>
        </w:tc>
        <w:tc>
          <w:tcPr>
            <w:tcW w:w="892" w:type="dxa"/>
            <w:vAlign w:val="top"/>
          </w:tcPr>
          <w:p w14:paraId="22F461F6">
            <w:pPr>
              <w:pStyle w:val="6"/>
              <w:spacing w:before="107" w:line="206" w:lineRule="auto"/>
              <w:ind w:left="326"/>
            </w:pPr>
            <w:r>
              <w:rPr>
                <w:spacing w:val="-5"/>
              </w:rPr>
              <w:t>8.3</w:t>
            </w:r>
          </w:p>
        </w:tc>
        <w:tc>
          <w:tcPr>
            <w:tcW w:w="892" w:type="dxa"/>
            <w:vAlign w:val="top"/>
          </w:tcPr>
          <w:p w14:paraId="3BFB3B5F">
            <w:pPr>
              <w:pStyle w:val="6"/>
              <w:spacing w:before="107" w:line="206" w:lineRule="auto"/>
              <w:ind w:left="329"/>
            </w:pPr>
            <w:r>
              <w:rPr>
                <w:spacing w:val="-5"/>
              </w:rPr>
              <w:t>8.2</w:t>
            </w:r>
          </w:p>
        </w:tc>
        <w:tc>
          <w:tcPr>
            <w:tcW w:w="891" w:type="dxa"/>
            <w:vAlign w:val="top"/>
          </w:tcPr>
          <w:p w14:paraId="065A61CE">
            <w:pPr>
              <w:pStyle w:val="6"/>
              <w:spacing w:before="107" w:line="206" w:lineRule="auto"/>
              <w:ind w:left="274"/>
            </w:pPr>
            <w:r>
              <w:rPr>
                <w:spacing w:val="-2"/>
              </w:rPr>
              <w:t>0.25</w:t>
            </w:r>
          </w:p>
        </w:tc>
        <w:tc>
          <w:tcPr>
            <w:tcW w:w="906" w:type="dxa"/>
            <w:tcBorders>
              <w:right w:val="single" w:color="000000" w:sz="12" w:space="0"/>
            </w:tcBorders>
            <w:vAlign w:val="top"/>
          </w:tcPr>
          <w:p w14:paraId="0B5BEE07">
            <w:pPr>
              <w:pStyle w:val="6"/>
              <w:spacing w:before="107" w:line="206" w:lineRule="auto"/>
              <w:ind w:left="277"/>
            </w:pPr>
            <w:r>
              <w:rPr>
                <w:spacing w:val="-2"/>
              </w:rPr>
              <w:t>0.08</w:t>
            </w:r>
          </w:p>
        </w:tc>
      </w:tr>
      <w:tr w14:paraId="3252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7234E9B0">
            <w:pPr>
              <w:rPr>
                <w:rFonts w:ascii="Arial"/>
                <w:sz w:val="21"/>
              </w:rPr>
            </w:pPr>
          </w:p>
        </w:tc>
        <w:tc>
          <w:tcPr>
            <w:tcW w:w="422" w:type="dxa"/>
            <w:vMerge w:val="continue"/>
            <w:tcBorders>
              <w:top w:val="nil"/>
              <w:bottom w:val="nil"/>
            </w:tcBorders>
            <w:vAlign w:val="top"/>
          </w:tcPr>
          <w:p w14:paraId="0225CF60">
            <w:pPr>
              <w:rPr>
                <w:rFonts w:ascii="Arial"/>
                <w:sz w:val="21"/>
              </w:rPr>
            </w:pPr>
          </w:p>
        </w:tc>
        <w:tc>
          <w:tcPr>
            <w:tcW w:w="1414" w:type="dxa"/>
            <w:vAlign w:val="top"/>
          </w:tcPr>
          <w:p w14:paraId="38434415">
            <w:pPr>
              <w:pStyle w:val="6"/>
              <w:spacing w:before="108" w:line="207" w:lineRule="auto"/>
              <w:ind w:left="274"/>
            </w:pPr>
            <w:r>
              <w:rPr>
                <w:spacing w:val="-1"/>
              </w:rPr>
              <w:t>2021/7/20</w:t>
            </w:r>
          </w:p>
        </w:tc>
        <w:tc>
          <w:tcPr>
            <w:tcW w:w="892" w:type="dxa"/>
            <w:vAlign w:val="top"/>
          </w:tcPr>
          <w:p w14:paraId="3A6467A4">
            <w:pPr>
              <w:pStyle w:val="6"/>
              <w:spacing w:before="108" w:line="207" w:lineRule="auto"/>
              <w:ind w:left="357"/>
            </w:pPr>
            <w:r>
              <w:rPr>
                <w:spacing w:val="-6"/>
              </w:rPr>
              <w:t>13</w:t>
            </w:r>
          </w:p>
        </w:tc>
        <w:tc>
          <w:tcPr>
            <w:tcW w:w="892" w:type="dxa"/>
            <w:vAlign w:val="top"/>
          </w:tcPr>
          <w:p w14:paraId="692149C1">
            <w:pPr>
              <w:pStyle w:val="6"/>
              <w:spacing w:before="108" w:line="207" w:lineRule="auto"/>
              <w:ind w:left="360"/>
            </w:pPr>
            <w:r>
              <w:rPr>
                <w:spacing w:val="-6"/>
              </w:rPr>
              <w:t>10</w:t>
            </w:r>
          </w:p>
        </w:tc>
        <w:tc>
          <w:tcPr>
            <w:tcW w:w="892" w:type="dxa"/>
            <w:vAlign w:val="top"/>
          </w:tcPr>
          <w:p w14:paraId="5C81643A">
            <w:pPr>
              <w:pStyle w:val="6"/>
              <w:spacing w:before="108" w:line="207" w:lineRule="auto"/>
              <w:ind w:left="326"/>
            </w:pPr>
            <w:r>
              <w:rPr>
                <w:spacing w:val="-5"/>
              </w:rPr>
              <w:t>8.4</w:t>
            </w:r>
          </w:p>
        </w:tc>
        <w:tc>
          <w:tcPr>
            <w:tcW w:w="892" w:type="dxa"/>
            <w:vAlign w:val="top"/>
          </w:tcPr>
          <w:p w14:paraId="441F9D02">
            <w:pPr>
              <w:pStyle w:val="6"/>
              <w:spacing w:before="108" w:line="207" w:lineRule="auto"/>
              <w:ind w:left="329"/>
            </w:pPr>
            <w:r>
              <w:rPr>
                <w:spacing w:val="-5"/>
              </w:rPr>
              <w:t>8.2</w:t>
            </w:r>
          </w:p>
        </w:tc>
        <w:tc>
          <w:tcPr>
            <w:tcW w:w="891" w:type="dxa"/>
            <w:vAlign w:val="top"/>
          </w:tcPr>
          <w:p w14:paraId="09BF7555">
            <w:pPr>
              <w:pStyle w:val="6"/>
              <w:spacing w:before="108" w:line="207" w:lineRule="auto"/>
              <w:ind w:left="274"/>
            </w:pPr>
            <w:r>
              <w:rPr>
                <w:spacing w:val="-2"/>
              </w:rPr>
              <w:t>0.23</w:t>
            </w:r>
          </w:p>
        </w:tc>
        <w:tc>
          <w:tcPr>
            <w:tcW w:w="906" w:type="dxa"/>
            <w:tcBorders>
              <w:right w:val="single" w:color="000000" w:sz="12" w:space="0"/>
            </w:tcBorders>
            <w:vAlign w:val="top"/>
          </w:tcPr>
          <w:p w14:paraId="710E7C88">
            <w:pPr>
              <w:pStyle w:val="6"/>
              <w:spacing w:before="108" w:line="207" w:lineRule="auto"/>
              <w:ind w:left="277"/>
            </w:pPr>
            <w:r>
              <w:rPr>
                <w:spacing w:val="-2"/>
              </w:rPr>
              <w:t>0.06</w:t>
            </w:r>
          </w:p>
        </w:tc>
      </w:tr>
      <w:tr w14:paraId="40905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0100CB24">
            <w:pPr>
              <w:rPr>
                <w:rFonts w:ascii="Arial"/>
                <w:sz w:val="21"/>
              </w:rPr>
            </w:pPr>
          </w:p>
        </w:tc>
        <w:tc>
          <w:tcPr>
            <w:tcW w:w="422" w:type="dxa"/>
            <w:vMerge w:val="continue"/>
            <w:tcBorders>
              <w:top w:val="nil"/>
            </w:tcBorders>
            <w:vAlign w:val="top"/>
          </w:tcPr>
          <w:p w14:paraId="2A10A3E5">
            <w:pPr>
              <w:rPr>
                <w:rFonts w:ascii="Arial"/>
                <w:sz w:val="21"/>
              </w:rPr>
            </w:pPr>
          </w:p>
        </w:tc>
        <w:tc>
          <w:tcPr>
            <w:tcW w:w="1414" w:type="dxa"/>
            <w:vAlign w:val="top"/>
          </w:tcPr>
          <w:p w14:paraId="67E49816">
            <w:pPr>
              <w:pStyle w:val="6"/>
              <w:spacing w:before="108" w:line="205" w:lineRule="auto"/>
              <w:ind w:left="274"/>
            </w:pPr>
            <w:r>
              <w:rPr>
                <w:spacing w:val="-1"/>
              </w:rPr>
              <w:t>2021/7/21</w:t>
            </w:r>
          </w:p>
        </w:tc>
        <w:tc>
          <w:tcPr>
            <w:tcW w:w="892" w:type="dxa"/>
            <w:vAlign w:val="top"/>
          </w:tcPr>
          <w:p w14:paraId="7A3F9FB8">
            <w:pPr>
              <w:pStyle w:val="6"/>
              <w:spacing w:before="108" w:line="205" w:lineRule="auto"/>
              <w:ind w:left="357"/>
            </w:pPr>
            <w:r>
              <w:rPr>
                <w:spacing w:val="-6"/>
              </w:rPr>
              <w:t>14</w:t>
            </w:r>
          </w:p>
        </w:tc>
        <w:tc>
          <w:tcPr>
            <w:tcW w:w="892" w:type="dxa"/>
            <w:vAlign w:val="top"/>
          </w:tcPr>
          <w:p w14:paraId="16500A2E">
            <w:pPr>
              <w:pStyle w:val="6"/>
              <w:spacing w:before="108" w:line="205" w:lineRule="auto"/>
              <w:ind w:left="360"/>
            </w:pPr>
            <w:r>
              <w:rPr>
                <w:spacing w:val="-6"/>
              </w:rPr>
              <w:t>12</w:t>
            </w:r>
          </w:p>
        </w:tc>
        <w:tc>
          <w:tcPr>
            <w:tcW w:w="892" w:type="dxa"/>
            <w:vAlign w:val="top"/>
          </w:tcPr>
          <w:p w14:paraId="5BD22041">
            <w:pPr>
              <w:pStyle w:val="6"/>
              <w:spacing w:before="108" w:line="205" w:lineRule="auto"/>
              <w:ind w:left="326"/>
            </w:pPr>
            <w:r>
              <w:rPr>
                <w:spacing w:val="-5"/>
              </w:rPr>
              <w:t>8.4</w:t>
            </w:r>
          </w:p>
        </w:tc>
        <w:tc>
          <w:tcPr>
            <w:tcW w:w="892" w:type="dxa"/>
            <w:vAlign w:val="top"/>
          </w:tcPr>
          <w:p w14:paraId="0E07E36D">
            <w:pPr>
              <w:pStyle w:val="6"/>
              <w:spacing w:before="108" w:line="205" w:lineRule="auto"/>
              <w:ind w:left="329"/>
            </w:pPr>
            <w:r>
              <w:rPr>
                <w:spacing w:val="-5"/>
              </w:rPr>
              <w:t>8.3</w:t>
            </w:r>
          </w:p>
        </w:tc>
        <w:tc>
          <w:tcPr>
            <w:tcW w:w="891" w:type="dxa"/>
            <w:vAlign w:val="top"/>
          </w:tcPr>
          <w:p w14:paraId="7AEE829C">
            <w:pPr>
              <w:pStyle w:val="6"/>
              <w:spacing w:before="108" w:line="205" w:lineRule="auto"/>
              <w:ind w:left="274"/>
            </w:pPr>
            <w:r>
              <w:rPr>
                <w:spacing w:val="-2"/>
              </w:rPr>
              <w:t>0.23</w:t>
            </w:r>
          </w:p>
        </w:tc>
        <w:tc>
          <w:tcPr>
            <w:tcW w:w="906" w:type="dxa"/>
            <w:tcBorders>
              <w:right w:val="single" w:color="000000" w:sz="12" w:space="0"/>
            </w:tcBorders>
            <w:vAlign w:val="top"/>
          </w:tcPr>
          <w:p w14:paraId="0D4DDB7E">
            <w:pPr>
              <w:pStyle w:val="6"/>
              <w:spacing w:before="108" w:line="205" w:lineRule="auto"/>
              <w:ind w:left="277"/>
            </w:pPr>
            <w:r>
              <w:rPr>
                <w:spacing w:val="-2"/>
              </w:rPr>
              <w:t>0.06</w:t>
            </w:r>
          </w:p>
        </w:tc>
      </w:tr>
      <w:tr w14:paraId="0C537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7689C3D6">
            <w:pPr>
              <w:spacing w:line="271" w:lineRule="auto"/>
              <w:rPr>
                <w:rFonts w:ascii="Arial"/>
                <w:sz w:val="21"/>
              </w:rPr>
            </w:pPr>
          </w:p>
          <w:p w14:paraId="46BB123F">
            <w:pPr>
              <w:spacing w:line="272" w:lineRule="auto"/>
              <w:rPr>
                <w:rFonts w:ascii="Arial"/>
                <w:sz w:val="21"/>
              </w:rPr>
            </w:pPr>
          </w:p>
          <w:p w14:paraId="31C217AC">
            <w:pPr>
              <w:spacing w:line="272" w:lineRule="auto"/>
              <w:rPr>
                <w:rFonts w:ascii="Arial"/>
                <w:sz w:val="21"/>
              </w:rPr>
            </w:pPr>
          </w:p>
          <w:p w14:paraId="20CE7A00">
            <w:pPr>
              <w:spacing w:line="272" w:lineRule="auto"/>
              <w:rPr>
                <w:rFonts w:ascii="Arial"/>
                <w:sz w:val="21"/>
              </w:rPr>
            </w:pPr>
          </w:p>
          <w:p w14:paraId="426DC8E9">
            <w:pPr>
              <w:spacing w:line="272" w:lineRule="auto"/>
              <w:rPr>
                <w:rFonts w:ascii="Arial"/>
                <w:sz w:val="21"/>
              </w:rPr>
            </w:pPr>
          </w:p>
          <w:p w14:paraId="46C5C14F">
            <w:pPr>
              <w:pStyle w:val="6"/>
              <w:spacing w:before="68" w:line="236" w:lineRule="auto"/>
              <w:ind w:left="207" w:right="109" w:hanging="103"/>
              <w:rPr>
                <w:rFonts w:ascii="宋体" w:hAnsi="宋体" w:eastAsia="宋体" w:cs="宋体"/>
              </w:rPr>
            </w:pPr>
            <w:r>
              <w:rPr>
                <w:spacing w:val="-2"/>
              </w:rPr>
              <w:t>8#</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17B8678A">
            <w:pPr>
              <w:pStyle w:val="6"/>
              <w:spacing w:before="173" w:line="223" w:lineRule="auto"/>
              <w:ind w:left="167"/>
            </w:pPr>
            <w:r>
              <w:t>1</w:t>
            </w:r>
          </w:p>
          <w:p w14:paraId="56883D29">
            <w:pPr>
              <w:spacing w:line="219" w:lineRule="auto"/>
              <w:ind w:left="99"/>
              <w:rPr>
                <w:rFonts w:ascii="宋体" w:hAnsi="宋体" w:eastAsia="宋体" w:cs="宋体"/>
                <w:sz w:val="21"/>
                <w:szCs w:val="21"/>
              </w:rPr>
            </w:pPr>
            <w:r>
              <w:rPr>
                <w:rFonts w:ascii="宋体" w:hAnsi="宋体" w:eastAsia="宋体" w:cs="宋体"/>
                <w:sz w:val="21"/>
                <w:szCs w:val="21"/>
              </w:rPr>
              <w:t>季</w:t>
            </w:r>
          </w:p>
          <w:p w14:paraId="5D6172A4">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4F03A0A">
            <w:pPr>
              <w:pStyle w:val="6"/>
              <w:spacing w:before="109" w:line="206" w:lineRule="auto"/>
              <w:ind w:left="274"/>
            </w:pPr>
            <w:r>
              <w:rPr>
                <w:spacing w:val="-1"/>
              </w:rPr>
              <w:t>2021/3/18</w:t>
            </w:r>
          </w:p>
        </w:tc>
        <w:tc>
          <w:tcPr>
            <w:tcW w:w="892" w:type="dxa"/>
            <w:vAlign w:val="top"/>
          </w:tcPr>
          <w:p w14:paraId="33306248">
            <w:pPr>
              <w:pStyle w:val="6"/>
              <w:spacing w:before="109" w:line="206" w:lineRule="auto"/>
              <w:ind w:left="289"/>
            </w:pPr>
            <w:r>
              <w:rPr>
                <w:spacing w:val="-2"/>
              </w:rPr>
              <w:t>356</w:t>
            </w:r>
          </w:p>
        </w:tc>
        <w:tc>
          <w:tcPr>
            <w:tcW w:w="892" w:type="dxa"/>
            <w:vAlign w:val="top"/>
          </w:tcPr>
          <w:p w14:paraId="11E3D9A7">
            <w:pPr>
              <w:pStyle w:val="6"/>
              <w:spacing w:before="109" w:line="206" w:lineRule="auto"/>
              <w:ind w:left="345"/>
            </w:pPr>
            <w:r>
              <w:rPr>
                <w:spacing w:val="-3"/>
              </w:rPr>
              <w:t>62</w:t>
            </w:r>
          </w:p>
        </w:tc>
        <w:tc>
          <w:tcPr>
            <w:tcW w:w="892" w:type="dxa"/>
            <w:vAlign w:val="top"/>
          </w:tcPr>
          <w:p w14:paraId="1DDA68E6">
            <w:pPr>
              <w:pStyle w:val="6"/>
              <w:spacing w:before="109" w:line="206" w:lineRule="auto"/>
              <w:ind w:left="268"/>
            </w:pPr>
            <w:r>
              <w:rPr>
                <w:spacing w:val="-2"/>
              </w:rPr>
              <w:t>7.92</w:t>
            </w:r>
          </w:p>
        </w:tc>
        <w:tc>
          <w:tcPr>
            <w:tcW w:w="892" w:type="dxa"/>
            <w:vAlign w:val="top"/>
          </w:tcPr>
          <w:p w14:paraId="28F91B30">
            <w:pPr>
              <w:pStyle w:val="6"/>
              <w:spacing w:before="114" w:line="201" w:lineRule="auto"/>
              <w:ind w:left="270"/>
            </w:pPr>
            <w:r>
              <w:rPr>
                <w:b/>
                <w:bCs/>
                <w:spacing w:val="-2"/>
              </w:rPr>
              <w:t>9.13</w:t>
            </w:r>
          </w:p>
        </w:tc>
        <w:tc>
          <w:tcPr>
            <w:tcW w:w="891" w:type="dxa"/>
            <w:vAlign w:val="top"/>
          </w:tcPr>
          <w:p w14:paraId="138C1D09">
            <w:pPr>
              <w:pStyle w:val="6"/>
              <w:spacing w:before="109" w:line="206" w:lineRule="auto"/>
              <w:ind w:left="211"/>
            </w:pPr>
            <w:r>
              <w:rPr>
                <w:spacing w:val="-2"/>
              </w:rPr>
              <w:t>0.06L</w:t>
            </w:r>
          </w:p>
        </w:tc>
        <w:tc>
          <w:tcPr>
            <w:tcW w:w="906" w:type="dxa"/>
            <w:tcBorders>
              <w:right w:val="single" w:color="000000" w:sz="12" w:space="0"/>
            </w:tcBorders>
            <w:vAlign w:val="top"/>
          </w:tcPr>
          <w:p w14:paraId="57CDFEE0">
            <w:pPr>
              <w:pStyle w:val="6"/>
              <w:spacing w:before="109" w:line="206" w:lineRule="auto"/>
              <w:ind w:left="214"/>
            </w:pPr>
            <w:r>
              <w:rPr>
                <w:spacing w:val="-2"/>
              </w:rPr>
              <w:t>0.06L</w:t>
            </w:r>
          </w:p>
        </w:tc>
      </w:tr>
      <w:tr w14:paraId="4971F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FB74B37">
            <w:pPr>
              <w:rPr>
                <w:rFonts w:ascii="Arial"/>
                <w:sz w:val="21"/>
              </w:rPr>
            </w:pPr>
          </w:p>
        </w:tc>
        <w:tc>
          <w:tcPr>
            <w:tcW w:w="422" w:type="dxa"/>
            <w:vMerge w:val="continue"/>
            <w:tcBorders>
              <w:top w:val="nil"/>
              <w:bottom w:val="nil"/>
            </w:tcBorders>
            <w:vAlign w:val="top"/>
          </w:tcPr>
          <w:p w14:paraId="0821D6E9">
            <w:pPr>
              <w:rPr>
                <w:rFonts w:ascii="Arial"/>
                <w:sz w:val="21"/>
              </w:rPr>
            </w:pPr>
          </w:p>
        </w:tc>
        <w:tc>
          <w:tcPr>
            <w:tcW w:w="1414" w:type="dxa"/>
            <w:vAlign w:val="top"/>
          </w:tcPr>
          <w:p w14:paraId="30E1CD96">
            <w:pPr>
              <w:pStyle w:val="6"/>
              <w:spacing w:before="108" w:line="205" w:lineRule="auto"/>
              <w:ind w:left="274"/>
            </w:pPr>
            <w:r>
              <w:rPr>
                <w:spacing w:val="-1"/>
              </w:rPr>
              <w:t>2021/3/19</w:t>
            </w:r>
          </w:p>
        </w:tc>
        <w:tc>
          <w:tcPr>
            <w:tcW w:w="892" w:type="dxa"/>
            <w:vAlign w:val="top"/>
          </w:tcPr>
          <w:p w14:paraId="18E7B264">
            <w:pPr>
              <w:pStyle w:val="6"/>
              <w:spacing w:before="108" w:line="205" w:lineRule="auto"/>
              <w:ind w:left="289"/>
            </w:pPr>
            <w:r>
              <w:rPr>
                <w:spacing w:val="-2"/>
              </w:rPr>
              <w:t>374</w:t>
            </w:r>
          </w:p>
        </w:tc>
        <w:tc>
          <w:tcPr>
            <w:tcW w:w="892" w:type="dxa"/>
            <w:vAlign w:val="top"/>
          </w:tcPr>
          <w:p w14:paraId="2EE6691C">
            <w:pPr>
              <w:pStyle w:val="6"/>
              <w:spacing w:before="108" w:line="205" w:lineRule="auto"/>
              <w:ind w:left="346"/>
            </w:pPr>
            <w:r>
              <w:rPr>
                <w:spacing w:val="-3"/>
              </w:rPr>
              <w:t>59</w:t>
            </w:r>
          </w:p>
        </w:tc>
        <w:tc>
          <w:tcPr>
            <w:tcW w:w="892" w:type="dxa"/>
            <w:vAlign w:val="top"/>
          </w:tcPr>
          <w:p w14:paraId="0847C6DA">
            <w:pPr>
              <w:pStyle w:val="6"/>
              <w:spacing w:before="108" w:line="205" w:lineRule="auto"/>
              <w:ind w:left="268"/>
            </w:pPr>
            <w:r>
              <w:rPr>
                <w:spacing w:val="-2"/>
              </w:rPr>
              <w:t>7.86</w:t>
            </w:r>
          </w:p>
        </w:tc>
        <w:tc>
          <w:tcPr>
            <w:tcW w:w="892" w:type="dxa"/>
            <w:vAlign w:val="top"/>
          </w:tcPr>
          <w:p w14:paraId="7FD9940E">
            <w:pPr>
              <w:pStyle w:val="6"/>
              <w:spacing w:before="113" w:line="200" w:lineRule="auto"/>
              <w:ind w:left="270"/>
            </w:pPr>
            <w:r>
              <w:rPr>
                <w:b/>
                <w:bCs/>
                <w:spacing w:val="-2"/>
              </w:rPr>
              <w:t>9.17</w:t>
            </w:r>
          </w:p>
        </w:tc>
        <w:tc>
          <w:tcPr>
            <w:tcW w:w="891" w:type="dxa"/>
            <w:vAlign w:val="top"/>
          </w:tcPr>
          <w:p w14:paraId="0B2CDDFF">
            <w:pPr>
              <w:pStyle w:val="6"/>
              <w:spacing w:before="108" w:line="205" w:lineRule="auto"/>
              <w:ind w:left="211"/>
            </w:pPr>
            <w:r>
              <w:rPr>
                <w:spacing w:val="-2"/>
              </w:rPr>
              <w:t>0.06L</w:t>
            </w:r>
          </w:p>
        </w:tc>
        <w:tc>
          <w:tcPr>
            <w:tcW w:w="906" w:type="dxa"/>
            <w:tcBorders>
              <w:right w:val="single" w:color="000000" w:sz="12" w:space="0"/>
            </w:tcBorders>
            <w:vAlign w:val="top"/>
          </w:tcPr>
          <w:p w14:paraId="61383664">
            <w:pPr>
              <w:pStyle w:val="6"/>
              <w:spacing w:before="108" w:line="205" w:lineRule="auto"/>
              <w:ind w:left="214"/>
            </w:pPr>
            <w:r>
              <w:rPr>
                <w:spacing w:val="-2"/>
              </w:rPr>
              <w:t>0.06L</w:t>
            </w:r>
          </w:p>
        </w:tc>
      </w:tr>
      <w:tr w14:paraId="78C77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97C5B10">
            <w:pPr>
              <w:rPr>
                <w:rFonts w:ascii="Arial"/>
                <w:sz w:val="21"/>
              </w:rPr>
            </w:pPr>
          </w:p>
        </w:tc>
        <w:tc>
          <w:tcPr>
            <w:tcW w:w="422" w:type="dxa"/>
            <w:vMerge w:val="continue"/>
            <w:tcBorders>
              <w:top w:val="nil"/>
            </w:tcBorders>
            <w:vAlign w:val="top"/>
          </w:tcPr>
          <w:p w14:paraId="12DD5B8D">
            <w:pPr>
              <w:rPr>
                <w:rFonts w:ascii="Arial"/>
                <w:sz w:val="21"/>
              </w:rPr>
            </w:pPr>
          </w:p>
        </w:tc>
        <w:tc>
          <w:tcPr>
            <w:tcW w:w="1414" w:type="dxa"/>
            <w:vAlign w:val="top"/>
          </w:tcPr>
          <w:p w14:paraId="55F7E5B2">
            <w:pPr>
              <w:pStyle w:val="6"/>
              <w:spacing w:before="110" w:line="203" w:lineRule="auto"/>
              <w:ind w:left="274"/>
            </w:pPr>
            <w:r>
              <w:rPr>
                <w:spacing w:val="-1"/>
              </w:rPr>
              <w:t>2021/3/20</w:t>
            </w:r>
          </w:p>
        </w:tc>
        <w:tc>
          <w:tcPr>
            <w:tcW w:w="892" w:type="dxa"/>
            <w:vAlign w:val="top"/>
          </w:tcPr>
          <w:p w14:paraId="2B88EC7C">
            <w:pPr>
              <w:pStyle w:val="6"/>
              <w:spacing w:before="110" w:line="203" w:lineRule="auto"/>
              <w:ind w:left="289"/>
            </w:pPr>
            <w:r>
              <w:rPr>
                <w:spacing w:val="-2"/>
              </w:rPr>
              <w:t>362</w:t>
            </w:r>
          </w:p>
        </w:tc>
        <w:tc>
          <w:tcPr>
            <w:tcW w:w="892" w:type="dxa"/>
            <w:vAlign w:val="top"/>
          </w:tcPr>
          <w:p w14:paraId="3BFD8EB1">
            <w:pPr>
              <w:pStyle w:val="6"/>
              <w:spacing w:before="110" w:line="203" w:lineRule="auto"/>
              <w:ind w:left="345"/>
            </w:pPr>
            <w:r>
              <w:rPr>
                <w:spacing w:val="-3"/>
              </w:rPr>
              <w:t>65</w:t>
            </w:r>
          </w:p>
        </w:tc>
        <w:tc>
          <w:tcPr>
            <w:tcW w:w="892" w:type="dxa"/>
            <w:vAlign w:val="top"/>
          </w:tcPr>
          <w:p w14:paraId="497FA6C1">
            <w:pPr>
              <w:pStyle w:val="6"/>
              <w:spacing w:before="110" w:line="203" w:lineRule="auto"/>
              <w:ind w:left="268"/>
            </w:pPr>
            <w:r>
              <w:rPr>
                <w:spacing w:val="-2"/>
              </w:rPr>
              <w:t>7.83</w:t>
            </w:r>
          </w:p>
        </w:tc>
        <w:tc>
          <w:tcPr>
            <w:tcW w:w="892" w:type="dxa"/>
            <w:vAlign w:val="top"/>
          </w:tcPr>
          <w:p w14:paraId="098DAEC8">
            <w:pPr>
              <w:pStyle w:val="6"/>
              <w:spacing w:before="115" w:line="198" w:lineRule="auto"/>
              <w:ind w:left="270"/>
            </w:pPr>
            <w:r>
              <w:rPr>
                <w:b/>
                <w:bCs/>
                <w:spacing w:val="-2"/>
              </w:rPr>
              <w:t>9.08</w:t>
            </w:r>
          </w:p>
        </w:tc>
        <w:tc>
          <w:tcPr>
            <w:tcW w:w="891" w:type="dxa"/>
            <w:vAlign w:val="top"/>
          </w:tcPr>
          <w:p w14:paraId="068D14F6">
            <w:pPr>
              <w:pStyle w:val="6"/>
              <w:spacing w:before="110" w:line="203" w:lineRule="auto"/>
              <w:ind w:left="211"/>
            </w:pPr>
            <w:r>
              <w:rPr>
                <w:spacing w:val="-2"/>
              </w:rPr>
              <w:t>0.06L</w:t>
            </w:r>
          </w:p>
        </w:tc>
        <w:tc>
          <w:tcPr>
            <w:tcW w:w="906" w:type="dxa"/>
            <w:tcBorders>
              <w:right w:val="single" w:color="000000" w:sz="12" w:space="0"/>
            </w:tcBorders>
            <w:vAlign w:val="top"/>
          </w:tcPr>
          <w:p w14:paraId="21F2774B">
            <w:pPr>
              <w:pStyle w:val="6"/>
              <w:spacing w:before="110" w:line="203" w:lineRule="auto"/>
              <w:ind w:left="214"/>
            </w:pPr>
            <w:r>
              <w:rPr>
                <w:spacing w:val="-2"/>
              </w:rPr>
              <w:t>0.06L</w:t>
            </w:r>
          </w:p>
        </w:tc>
      </w:tr>
      <w:tr w14:paraId="3D5E8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continue"/>
            <w:tcBorders>
              <w:top w:val="nil"/>
              <w:left w:val="single" w:color="000000" w:sz="12" w:space="0"/>
              <w:bottom w:val="nil"/>
            </w:tcBorders>
            <w:vAlign w:val="top"/>
          </w:tcPr>
          <w:p w14:paraId="1E3FA9F0">
            <w:pPr>
              <w:rPr>
                <w:rFonts w:ascii="Arial"/>
                <w:sz w:val="21"/>
              </w:rPr>
            </w:pPr>
          </w:p>
        </w:tc>
        <w:tc>
          <w:tcPr>
            <w:tcW w:w="422" w:type="dxa"/>
            <w:vMerge w:val="restart"/>
            <w:tcBorders>
              <w:bottom w:val="nil"/>
            </w:tcBorders>
            <w:vAlign w:val="top"/>
          </w:tcPr>
          <w:p w14:paraId="5BA10806">
            <w:pPr>
              <w:pStyle w:val="6"/>
              <w:spacing w:before="176" w:line="222" w:lineRule="auto"/>
              <w:ind w:left="147"/>
            </w:pPr>
            <w:r>
              <w:t>2</w:t>
            </w:r>
          </w:p>
          <w:p w14:paraId="2A96EF84">
            <w:pPr>
              <w:spacing w:line="219" w:lineRule="auto"/>
              <w:ind w:left="99"/>
              <w:rPr>
                <w:rFonts w:ascii="宋体" w:hAnsi="宋体" w:eastAsia="宋体" w:cs="宋体"/>
                <w:sz w:val="21"/>
                <w:szCs w:val="21"/>
              </w:rPr>
            </w:pPr>
            <w:r>
              <w:rPr>
                <w:rFonts w:ascii="宋体" w:hAnsi="宋体" w:eastAsia="宋体" w:cs="宋体"/>
                <w:sz w:val="21"/>
                <w:szCs w:val="21"/>
              </w:rPr>
              <w:t>季</w:t>
            </w:r>
          </w:p>
          <w:p w14:paraId="666CEA4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A780077">
            <w:pPr>
              <w:pStyle w:val="6"/>
              <w:spacing w:before="111" w:line="204" w:lineRule="auto"/>
              <w:ind w:left="326"/>
            </w:pPr>
            <w:r>
              <w:rPr>
                <w:spacing w:val="-1"/>
              </w:rPr>
              <w:t>2021/6/3</w:t>
            </w:r>
          </w:p>
        </w:tc>
        <w:tc>
          <w:tcPr>
            <w:tcW w:w="892" w:type="dxa"/>
            <w:vAlign w:val="top"/>
          </w:tcPr>
          <w:p w14:paraId="3D00D787">
            <w:pPr>
              <w:pStyle w:val="6"/>
              <w:spacing w:before="111" w:line="204" w:lineRule="auto"/>
              <w:ind w:left="304"/>
            </w:pPr>
            <w:r>
              <w:rPr>
                <w:spacing w:val="-6"/>
              </w:rPr>
              <w:t>107</w:t>
            </w:r>
          </w:p>
        </w:tc>
        <w:tc>
          <w:tcPr>
            <w:tcW w:w="892" w:type="dxa"/>
            <w:vAlign w:val="top"/>
          </w:tcPr>
          <w:p w14:paraId="0FC1D92F">
            <w:pPr>
              <w:pStyle w:val="6"/>
              <w:spacing w:before="116" w:line="199" w:lineRule="auto"/>
              <w:ind w:left="297"/>
            </w:pPr>
            <w:r>
              <w:rPr>
                <w:b/>
                <w:bCs/>
                <w:spacing w:val="-4"/>
              </w:rPr>
              <w:t>104</w:t>
            </w:r>
          </w:p>
        </w:tc>
        <w:tc>
          <w:tcPr>
            <w:tcW w:w="892" w:type="dxa"/>
            <w:vAlign w:val="top"/>
          </w:tcPr>
          <w:p w14:paraId="0F489A74">
            <w:pPr>
              <w:pStyle w:val="6"/>
              <w:spacing w:before="111" w:line="204" w:lineRule="auto"/>
              <w:ind w:left="326"/>
            </w:pPr>
            <w:r>
              <w:rPr>
                <w:spacing w:val="-5"/>
              </w:rPr>
              <w:t>8.0</w:t>
            </w:r>
          </w:p>
        </w:tc>
        <w:tc>
          <w:tcPr>
            <w:tcW w:w="892" w:type="dxa"/>
            <w:vAlign w:val="top"/>
          </w:tcPr>
          <w:p w14:paraId="0C70C027">
            <w:pPr>
              <w:pStyle w:val="6"/>
              <w:spacing w:before="111" w:line="204" w:lineRule="auto"/>
              <w:ind w:left="329"/>
            </w:pPr>
            <w:r>
              <w:rPr>
                <w:spacing w:val="-5"/>
              </w:rPr>
              <w:t>8.1</w:t>
            </w:r>
          </w:p>
        </w:tc>
        <w:tc>
          <w:tcPr>
            <w:tcW w:w="891" w:type="dxa"/>
            <w:vAlign w:val="top"/>
          </w:tcPr>
          <w:p w14:paraId="6974C9AC">
            <w:pPr>
              <w:pStyle w:val="6"/>
              <w:spacing w:before="111" w:line="204" w:lineRule="auto"/>
              <w:ind w:left="274"/>
            </w:pPr>
            <w:r>
              <w:rPr>
                <w:spacing w:val="-2"/>
              </w:rPr>
              <w:t>0.06</w:t>
            </w:r>
          </w:p>
        </w:tc>
        <w:tc>
          <w:tcPr>
            <w:tcW w:w="906" w:type="dxa"/>
            <w:tcBorders>
              <w:right w:val="single" w:color="000000" w:sz="12" w:space="0"/>
            </w:tcBorders>
            <w:vAlign w:val="top"/>
          </w:tcPr>
          <w:p w14:paraId="7F2801BB">
            <w:pPr>
              <w:pStyle w:val="6"/>
              <w:spacing w:before="111" w:line="204" w:lineRule="auto"/>
              <w:ind w:left="214"/>
            </w:pPr>
            <w:r>
              <w:rPr>
                <w:spacing w:val="-2"/>
              </w:rPr>
              <w:t>0.06L</w:t>
            </w:r>
          </w:p>
        </w:tc>
      </w:tr>
      <w:tr w14:paraId="240DD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BD3F481">
            <w:pPr>
              <w:rPr>
                <w:rFonts w:ascii="Arial"/>
                <w:sz w:val="21"/>
              </w:rPr>
            </w:pPr>
          </w:p>
        </w:tc>
        <w:tc>
          <w:tcPr>
            <w:tcW w:w="422" w:type="dxa"/>
            <w:vMerge w:val="continue"/>
            <w:tcBorders>
              <w:top w:val="nil"/>
              <w:bottom w:val="nil"/>
            </w:tcBorders>
            <w:vAlign w:val="top"/>
          </w:tcPr>
          <w:p w14:paraId="2DEEB927">
            <w:pPr>
              <w:rPr>
                <w:rFonts w:ascii="Arial"/>
                <w:sz w:val="21"/>
              </w:rPr>
            </w:pPr>
          </w:p>
        </w:tc>
        <w:tc>
          <w:tcPr>
            <w:tcW w:w="1414" w:type="dxa"/>
            <w:vAlign w:val="top"/>
          </w:tcPr>
          <w:p w14:paraId="337978A2">
            <w:pPr>
              <w:pStyle w:val="6"/>
              <w:spacing w:before="112" w:line="201" w:lineRule="auto"/>
              <w:ind w:left="326"/>
            </w:pPr>
            <w:r>
              <w:rPr>
                <w:spacing w:val="-1"/>
              </w:rPr>
              <w:t>2021/6/4</w:t>
            </w:r>
          </w:p>
        </w:tc>
        <w:tc>
          <w:tcPr>
            <w:tcW w:w="892" w:type="dxa"/>
            <w:vAlign w:val="top"/>
          </w:tcPr>
          <w:p w14:paraId="4F518ECE">
            <w:pPr>
              <w:pStyle w:val="6"/>
              <w:spacing w:before="112" w:line="201" w:lineRule="auto"/>
              <w:ind w:left="304"/>
            </w:pPr>
            <w:r>
              <w:rPr>
                <w:spacing w:val="-6"/>
              </w:rPr>
              <w:t>120</w:t>
            </w:r>
          </w:p>
        </w:tc>
        <w:tc>
          <w:tcPr>
            <w:tcW w:w="892" w:type="dxa"/>
            <w:vAlign w:val="top"/>
          </w:tcPr>
          <w:p w14:paraId="3282E865">
            <w:pPr>
              <w:pStyle w:val="6"/>
              <w:spacing w:before="116" w:line="197" w:lineRule="auto"/>
              <w:ind w:left="343"/>
            </w:pPr>
            <w:r>
              <w:rPr>
                <w:b/>
                <w:bCs/>
                <w:spacing w:val="-2"/>
              </w:rPr>
              <w:t>89</w:t>
            </w:r>
          </w:p>
        </w:tc>
        <w:tc>
          <w:tcPr>
            <w:tcW w:w="892" w:type="dxa"/>
            <w:vAlign w:val="top"/>
          </w:tcPr>
          <w:p w14:paraId="6B9F26DD">
            <w:pPr>
              <w:pStyle w:val="6"/>
              <w:spacing w:before="112" w:line="201" w:lineRule="auto"/>
              <w:ind w:left="326"/>
            </w:pPr>
            <w:r>
              <w:rPr>
                <w:spacing w:val="-4"/>
              </w:rPr>
              <w:t>8.0</w:t>
            </w:r>
          </w:p>
        </w:tc>
        <w:tc>
          <w:tcPr>
            <w:tcW w:w="892" w:type="dxa"/>
            <w:vAlign w:val="top"/>
          </w:tcPr>
          <w:p w14:paraId="1486A916">
            <w:pPr>
              <w:pStyle w:val="6"/>
              <w:spacing w:before="112" w:line="201" w:lineRule="auto"/>
              <w:ind w:left="329"/>
            </w:pPr>
            <w:r>
              <w:rPr>
                <w:spacing w:val="-5"/>
              </w:rPr>
              <w:t>8.1</w:t>
            </w:r>
          </w:p>
        </w:tc>
        <w:tc>
          <w:tcPr>
            <w:tcW w:w="891" w:type="dxa"/>
            <w:vAlign w:val="top"/>
          </w:tcPr>
          <w:p w14:paraId="3499B43D">
            <w:pPr>
              <w:pStyle w:val="6"/>
              <w:spacing w:before="112" w:line="201" w:lineRule="auto"/>
              <w:ind w:left="274"/>
            </w:pPr>
            <w:r>
              <w:rPr>
                <w:spacing w:val="-2"/>
              </w:rPr>
              <w:t>0.06</w:t>
            </w:r>
          </w:p>
        </w:tc>
        <w:tc>
          <w:tcPr>
            <w:tcW w:w="906" w:type="dxa"/>
            <w:tcBorders>
              <w:right w:val="single" w:color="000000" w:sz="12" w:space="0"/>
            </w:tcBorders>
            <w:vAlign w:val="top"/>
          </w:tcPr>
          <w:p w14:paraId="27C8F9E9">
            <w:pPr>
              <w:pStyle w:val="6"/>
              <w:spacing w:before="112" w:line="201" w:lineRule="auto"/>
              <w:ind w:left="214"/>
            </w:pPr>
            <w:r>
              <w:rPr>
                <w:spacing w:val="-2"/>
              </w:rPr>
              <w:t>0.06L</w:t>
            </w:r>
          </w:p>
        </w:tc>
      </w:tr>
      <w:tr w14:paraId="5EB1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5B9B4A96">
            <w:pPr>
              <w:rPr>
                <w:rFonts w:ascii="Arial"/>
                <w:sz w:val="21"/>
              </w:rPr>
            </w:pPr>
          </w:p>
        </w:tc>
        <w:tc>
          <w:tcPr>
            <w:tcW w:w="422" w:type="dxa"/>
            <w:vMerge w:val="continue"/>
            <w:tcBorders>
              <w:top w:val="nil"/>
            </w:tcBorders>
            <w:vAlign w:val="top"/>
          </w:tcPr>
          <w:p w14:paraId="4A2A7529">
            <w:pPr>
              <w:rPr>
                <w:rFonts w:ascii="Arial"/>
                <w:sz w:val="21"/>
              </w:rPr>
            </w:pPr>
          </w:p>
        </w:tc>
        <w:tc>
          <w:tcPr>
            <w:tcW w:w="1414" w:type="dxa"/>
            <w:vAlign w:val="top"/>
          </w:tcPr>
          <w:p w14:paraId="644288C6">
            <w:pPr>
              <w:pStyle w:val="6"/>
              <w:spacing w:before="113" w:line="201" w:lineRule="auto"/>
              <w:ind w:left="326"/>
            </w:pPr>
            <w:r>
              <w:rPr>
                <w:spacing w:val="-1"/>
              </w:rPr>
              <w:t>2021/6/5</w:t>
            </w:r>
          </w:p>
        </w:tc>
        <w:tc>
          <w:tcPr>
            <w:tcW w:w="892" w:type="dxa"/>
            <w:vAlign w:val="top"/>
          </w:tcPr>
          <w:p w14:paraId="7559A762">
            <w:pPr>
              <w:pStyle w:val="6"/>
              <w:spacing w:before="113" w:line="201" w:lineRule="auto"/>
              <w:ind w:left="304"/>
            </w:pPr>
            <w:r>
              <w:rPr>
                <w:spacing w:val="-6"/>
              </w:rPr>
              <w:t>115</w:t>
            </w:r>
          </w:p>
        </w:tc>
        <w:tc>
          <w:tcPr>
            <w:tcW w:w="892" w:type="dxa"/>
            <w:vAlign w:val="top"/>
          </w:tcPr>
          <w:p w14:paraId="57DB8442">
            <w:pPr>
              <w:pStyle w:val="6"/>
              <w:spacing w:before="117" w:line="197" w:lineRule="auto"/>
              <w:ind w:left="342"/>
            </w:pPr>
            <w:r>
              <w:rPr>
                <w:b/>
                <w:bCs/>
                <w:spacing w:val="-2"/>
              </w:rPr>
              <w:t>95</w:t>
            </w:r>
          </w:p>
        </w:tc>
        <w:tc>
          <w:tcPr>
            <w:tcW w:w="892" w:type="dxa"/>
            <w:vAlign w:val="top"/>
          </w:tcPr>
          <w:p w14:paraId="79E9405A">
            <w:pPr>
              <w:pStyle w:val="6"/>
              <w:spacing w:before="113" w:line="201" w:lineRule="auto"/>
              <w:ind w:left="326"/>
            </w:pPr>
            <w:r>
              <w:rPr>
                <w:spacing w:val="-5"/>
              </w:rPr>
              <w:t>8.1</w:t>
            </w:r>
          </w:p>
        </w:tc>
        <w:tc>
          <w:tcPr>
            <w:tcW w:w="892" w:type="dxa"/>
            <w:vAlign w:val="top"/>
          </w:tcPr>
          <w:p w14:paraId="017CF480">
            <w:pPr>
              <w:pStyle w:val="6"/>
              <w:spacing w:before="113" w:line="201" w:lineRule="auto"/>
              <w:ind w:left="329"/>
            </w:pPr>
            <w:r>
              <w:rPr>
                <w:spacing w:val="-5"/>
              </w:rPr>
              <w:t>8.2</w:t>
            </w:r>
          </w:p>
        </w:tc>
        <w:tc>
          <w:tcPr>
            <w:tcW w:w="891" w:type="dxa"/>
            <w:vAlign w:val="top"/>
          </w:tcPr>
          <w:p w14:paraId="6F88F2F3">
            <w:pPr>
              <w:pStyle w:val="6"/>
              <w:spacing w:before="113" w:line="201" w:lineRule="auto"/>
              <w:ind w:left="274"/>
            </w:pPr>
            <w:r>
              <w:rPr>
                <w:spacing w:val="-2"/>
              </w:rPr>
              <w:t>0.06</w:t>
            </w:r>
          </w:p>
        </w:tc>
        <w:tc>
          <w:tcPr>
            <w:tcW w:w="906" w:type="dxa"/>
            <w:tcBorders>
              <w:right w:val="single" w:color="000000" w:sz="12" w:space="0"/>
            </w:tcBorders>
            <w:vAlign w:val="top"/>
          </w:tcPr>
          <w:p w14:paraId="6A0E9E7D">
            <w:pPr>
              <w:pStyle w:val="6"/>
              <w:spacing w:before="113" w:line="201" w:lineRule="auto"/>
              <w:ind w:left="214"/>
            </w:pPr>
            <w:r>
              <w:rPr>
                <w:spacing w:val="-2"/>
              </w:rPr>
              <w:t>0.06L</w:t>
            </w:r>
          </w:p>
        </w:tc>
      </w:tr>
      <w:tr w14:paraId="05F77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160D6489">
            <w:pPr>
              <w:rPr>
                <w:rFonts w:ascii="Arial"/>
                <w:sz w:val="21"/>
              </w:rPr>
            </w:pPr>
          </w:p>
        </w:tc>
        <w:tc>
          <w:tcPr>
            <w:tcW w:w="422" w:type="dxa"/>
            <w:vMerge w:val="restart"/>
            <w:tcBorders>
              <w:bottom w:val="nil"/>
            </w:tcBorders>
            <w:vAlign w:val="top"/>
          </w:tcPr>
          <w:p w14:paraId="56FFE17D">
            <w:pPr>
              <w:spacing w:line="265" w:lineRule="auto"/>
              <w:rPr>
                <w:rFonts w:ascii="Arial"/>
                <w:sz w:val="21"/>
              </w:rPr>
            </w:pPr>
          </w:p>
          <w:p w14:paraId="61B51741">
            <w:pPr>
              <w:pStyle w:val="6"/>
              <w:spacing w:before="61" w:line="230" w:lineRule="auto"/>
              <w:ind w:left="97" w:right="111" w:firstLine="54"/>
              <w:jc w:val="both"/>
              <w:rPr>
                <w:rFonts w:ascii="宋体" w:hAnsi="宋体" w:eastAsia="宋体" w:cs="宋体"/>
              </w:rPr>
            </w:pPr>
            <w:r>
              <w:rPr>
                <w:spacing w:val="-9"/>
              </w:rPr>
              <w:t>3</w:t>
            </w:r>
            <w:r>
              <w:rPr>
                <w:rFonts w:ascii="宋体" w:hAnsi="宋体" w:eastAsia="宋体" w:cs="宋体"/>
                <w:spacing w:val="-8"/>
              </w:rPr>
              <w:t>季度</w:t>
            </w:r>
          </w:p>
        </w:tc>
        <w:tc>
          <w:tcPr>
            <w:tcW w:w="1414" w:type="dxa"/>
            <w:vAlign w:val="top"/>
          </w:tcPr>
          <w:p w14:paraId="50F75B7F">
            <w:pPr>
              <w:pStyle w:val="6"/>
              <w:spacing w:before="113" w:line="201" w:lineRule="auto"/>
              <w:ind w:left="274"/>
            </w:pPr>
            <w:r>
              <w:rPr>
                <w:spacing w:val="-1"/>
              </w:rPr>
              <w:t>2021/7/19</w:t>
            </w:r>
          </w:p>
        </w:tc>
        <w:tc>
          <w:tcPr>
            <w:tcW w:w="892" w:type="dxa"/>
            <w:vAlign w:val="top"/>
          </w:tcPr>
          <w:p w14:paraId="593D2554">
            <w:pPr>
              <w:pStyle w:val="6"/>
              <w:spacing w:before="113" w:line="201" w:lineRule="auto"/>
              <w:ind w:left="284"/>
            </w:pPr>
            <w:r>
              <w:rPr>
                <w:spacing w:val="-1"/>
              </w:rPr>
              <w:t>214</w:t>
            </w:r>
          </w:p>
        </w:tc>
        <w:tc>
          <w:tcPr>
            <w:tcW w:w="892" w:type="dxa"/>
            <w:vAlign w:val="top"/>
          </w:tcPr>
          <w:p w14:paraId="50DB530B">
            <w:pPr>
              <w:pStyle w:val="6"/>
              <w:spacing w:before="117" w:line="197" w:lineRule="auto"/>
              <w:ind w:left="297"/>
            </w:pPr>
            <w:r>
              <w:rPr>
                <w:b/>
                <w:bCs/>
                <w:spacing w:val="-4"/>
              </w:rPr>
              <w:t>106</w:t>
            </w:r>
          </w:p>
        </w:tc>
        <w:tc>
          <w:tcPr>
            <w:tcW w:w="892" w:type="dxa"/>
            <w:vAlign w:val="top"/>
          </w:tcPr>
          <w:p w14:paraId="298CD3D3">
            <w:pPr>
              <w:pStyle w:val="6"/>
              <w:spacing w:before="113" w:line="201" w:lineRule="auto"/>
              <w:ind w:left="320"/>
            </w:pPr>
            <w:r>
              <w:rPr>
                <w:spacing w:val="-3"/>
              </w:rPr>
              <w:t>7.9</w:t>
            </w:r>
          </w:p>
        </w:tc>
        <w:tc>
          <w:tcPr>
            <w:tcW w:w="892" w:type="dxa"/>
            <w:vAlign w:val="top"/>
          </w:tcPr>
          <w:p w14:paraId="0DBCA646">
            <w:pPr>
              <w:pStyle w:val="6"/>
              <w:spacing w:before="113" w:line="201" w:lineRule="auto"/>
              <w:ind w:left="324"/>
            </w:pPr>
            <w:r>
              <w:rPr>
                <w:spacing w:val="-3"/>
              </w:rPr>
              <w:t>7.9</w:t>
            </w:r>
          </w:p>
        </w:tc>
        <w:tc>
          <w:tcPr>
            <w:tcW w:w="891" w:type="dxa"/>
            <w:vAlign w:val="top"/>
          </w:tcPr>
          <w:p w14:paraId="71E2D2FB">
            <w:pPr>
              <w:pStyle w:val="6"/>
              <w:spacing w:before="113" w:line="201" w:lineRule="auto"/>
              <w:ind w:left="274"/>
            </w:pPr>
            <w:r>
              <w:rPr>
                <w:spacing w:val="-2"/>
              </w:rPr>
              <w:t>0.35</w:t>
            </w:r>
          </w:p>
        </w:tc>
        <w:tc>
          <w:tcPr>
            <w:tcW w:w="906" w:type="dxa"/>
            <w:tcBorders>
              <w:right w:val="single" w:color="000000" w:sz="12" w:space="0"/>
            </w:tcBorders>
            <w:vAlign w:val="top"/>
          </w:tcPr>
          <w:p w14:paraId="7AD664EA">
            <w:pPr>
              <w:pStyle w:val="6"/>
              <w:spacing w:before="113" w:line="201" w:lineRule="auto"/>
              <w:ind w:left="277"/>
            </w:pPr>
            <w:r>
              <w:rPr>
                <w:spacing w:val="-2"/>
              </w:rPr>
              <w:t>0.14</w:t>
            </w:r>
          </w:p>
        </w:tc>
      </w:tr>
      <w:tr w14:paraId="45856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C069D77">
            <w:pPr>
              <w:rPr>
                <w:rFonts w:ascii="Arial"/>
                <w:sz w:val="21"/>
              </w:rPr>
            </w:pPr>
          </w:p>
        </w:tc>
        <w:tc>
          <w:tcPr>
            <w:tcW w:w="422" w:type="dxa"/>
            <w:vMerge w:val="continue"/>
            <w:tcBorders>
              <w:top w:val="nil"/>
              <w:bottom w:val="nil"/>
            </w:tcBorders>
            <w:vAlign w:val="top"/>
          </w:tcPr>
          <w:p w14:paraId="2ECAAE91">
            <w:pPr>
              <w:rPr>
                <w:rFonts w:ascii="Arial"/>
                <w:sz w:val="21"/>
              </w:rPr>
            </w:pPr>
          </w:p>
        </w:tc>
        <w:tc>
          <w:tcPr>
            <w:tcW w:w="1414" w:type="dxa"/>
            <w:vAlign w:val="top"/>
          </w:tcPr>
          <w:p w14:paraId="433F3E13">
            <w:pPr>
              <w:pStyle w:val="6"/>
              <w:spacing w:before="114" w:line="199" w:lineRule="auto"/>
              <w:ind w:left="274"/>
            </w:pPr>
            <w:r>
              <w:rPr>
                <w:spacing w:val="-1"/>
              </w:rPr>
              <w:t>2021/7/20</w:t>
            </w:r>
          </w:p>
        </w:tc>
        <w:tc>
          <w:tcPr>
            <w:tcW w:w="892" w:type="dxa"/>
            <w:vAlign w:val="top"/>
          </w:tcPr>
          <w:p w14:paraId="525C3C07">
            <w:pPr>
              <w:pStyle w:val="6"/>
              <w:spacing w:before="114" w:line="199" w:lineRule="auto"/>
              <w:ind w:left="284"/>
            </w:pPr>
            <w:r>
              <w:rPr>
                <w:spacing w:val="-1"/>
              </w:rPr>
              <w:t>201</w:t>
            </w:r>
          </w:p>
        </w:tc>
        <w:tc>
          <w:tcPr>
            <w:tcW w:w="892" w:type="dxa"/>
            <w:vAlign w:val="top"/>
          </w:tcPr>
          <w:p w14:paraId="2F12E812">
            <w:pPr>
              <w:pStyle w:val="6"/>
              <w:spacing w:before="119" w:line="194" w:lineRule="auto"/>
              <w:ind w:left="343"/>
            </w:pPr>
            <w:r>
              <w:rPr>
                <w:b/>
                <w:bCs/>
                <w:spacing w:val="-2"/>
              </w:rPr>
              <w:t>89</w:t>
            </w:r>
          </w:p>
        </w:tc>
        <w:tc>
          <w:tcPr>
            <w:tcW w:w="892" w:type="dxa"/>
            <w:vAlign w:val="top"/>
          </w:tcPr>
          <w:p w14:paraId="4D48A755">
            <w:pPr>
              <w:pStyle w:val="6"/>
              <w:spacing w:before="114" w:line="199" w:lineRule="auto"/>
              <w:ind w:left="326"/>
            </w:pPr>
            <w:r>
              <w:rPr>
                <w:spacing w:val="-5"/>
              </w:rPr>
              <w:t>8.0</w:t>
            </w:r>
          </w:p>
        </w:tc>
        <w:tc>
          <w:tcPr>
            <w:tcW w:w="892" w:type="dxa"/>
            <w:vAlign w:val="top"/>
          </w:tcPr>
          <w:p w14:paraId="5DD8368B">
            <w:pPr>
              <w:pStyle w:val="6"/>
              <w:spacing w:before="114" w:line="199" w:lineRule="auto"/>
              <w:ind w:left="324"/>
            </w:pPr>
            <w:r>
              <w:rPr>
                <w:spacing w:val="-3"/>
              </w:rPr>
              <w:t>7.9</w:t>
            </w:r>
          </w:p>
        </w:tc>
        <w:tc>
          <w:tcPr>
            <w:tcW w:w="891" w:type="dxa"/>
            <w:vAlign w:val="top"/>
          </w:tcPr>
          <w:p w14:paraId="5E0924C2">
            <w:pPr>
              <w:pStyle w:val="6"/>
              <w:spacing w:before="114" w:line="199" w:lineRule="auto"/>
              <w:ind w:left="274"/>
            </w:pPr>
            <w:r>
              <w:rPr>
                <w:spacing w:val="-2"/>
              </w:rPr>
              <w:t>0.33</w:t>
            </w:r>
          </w:p>
        </w:tc>
        <w:tc>
          <w:tcPr>
            <w:tcW w:w="906" w:type="dxa"/>
            <w:tcBorders>
              <w:right w:val="single" w:color="000000" w:sz="12" w:space="0"/>
            </w:tcBorders>
            <w:vAlign w:val="top"/>
          </w:tcPr>
          <w:p w14:paraId="10654E7D">
            <w:pPr>
              <w:pStyle w:val="6"/>
              <w:spacing w:before="114" w:line="199" w:lineRule="auto"/>
              <w:ind w:left="277"/>
            </w:pPr>
            <w:r>
              <w:rPr>
                <w:spacing w:val="-2"/>
              </w:rPr>
              <w:t>0.15</w:t>
            </w:r>
          </w:p>
        </w:tc>
      </w:tr>
      <w:tr w14:paraId="4E1AE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272" w:type="dxa"/>
            <w:vMerge w:val="continue"/>
            <w:tcBorders>
              <w:top w:val="nil"/>
              <w:left w:val="single" w:color="000000" w:sz="12" w:space="0"/>
              <w:bottom w:val="single" w:color="000000" w:sz="12" w:space="0"/>
            </w:tcBorders>
            <w:vAlign w:val="top"/>
          </w:tcPr>
          <w:p w14:paraId="79593C9F">
            <w:pPr>
              <w:rPr>
                <w:rFonts w:ascii="Arial"/>
                <w:sz w:val="21"/>
              </w:rPr>
            </w:pPr>
          </w:p>
        </w:tc>
        <w:tc>
          <w:tcPr>
            <w:tcW w:w="422" w:type="dxa"/>
            <w:vMerge w:val="continue"/>
            <w:tcBorders>
              <w:top w:val="nil"/>
              <w:bottom w:val="single" w:color="000000" w:sz="12" w:space="0"/>
            </w:tcBorders>
            <w:vAlign w:val="top"/>
          </w:tcPr>
          <w:p w14:paraId="1C6B7450">
            <w:pPr>
              <w:rPr>
                <w:rFonts w:ascii="Arial"/>
                <w:sz w:val="21"/>
              </w:rPr>
            </w:pPr>
          </w:p>
        </w:tc>
        <w:tc>
          <w:tcPr>
            <w:tcW w:w="1414" w:type="dxa"/>
            <w:tcBorders>
              <w:bottom w:val="single" w:color="000000" w:sz="12" w:space="0"/>
            </w:tcBorders>
            <w:vAlign w:val="top"/>
          </w:tcPr>
          <w:p w14:paraId="68F3F333">
            <w:pPr>
              <w:pStyle w:val="6"/>
              <w:spacing w:before="265" w:line="232" w:lineRule="auto"/>
              <w:ind w:left="274"/>
            </w:pPr>
            <w:r>
              <w:rPr>
                <w:spacing w:val="-1"/>
              </w:rPr>
              <w:t>2021/7/21</w:t>
            </w:r>
          </w:p>
        </w:tc>
        <w:tc>
          <w:tcPr>
            <w:tcW w:w="892" w:type="dxa"/>
            <w:tcBorders>
              <w:bottom w:val="single" w:color="000000" w:sz="12" w:space="0"/>
            </w:tcBorders>
            <w:vAlign w:val="top"/>
          </w:tcPr>
          <w:p w14:paraId="5A9E61DB">
            <w:pPr>
              <w:pStyle w:val="6"/>
              <w:spacing w:before="265" w:line="232" w:lineRule="auto"/>
              <w:ind w:left="284"/>
            </w:pPr>
            <w:r>
              <w:rPr>
                <w:spacing w:val="-1"/>
              </w:rPr>
              <w:t>219</w:t>
            </w:r>
          </w:p>
        </w:tc>
        <w:tc>
          <w:tcPr>
            <w:tcW w:w="892" w:type="dxa"/>
            <w:tcBorders>
              <w:bottom w:val="single" w:color="000000" w:sz="12" w:space="0"/>
            </w:tcBorders>
            <w:vAlign w:val="top"/>
          </w:tcPr>
          <w:p w14:paraId="5A195246">
            <w:pPr>
              <w:pStyle w:val="6"/>
              <w:spacing w:before="270" w:line="229" w:lineRule="auto"/>
              <w:ind w:left="342"/>
            </w:pPr>
            <w:r>
              <w:rPr>
                <w:b/>
                <w:bCs/>
                <w:spacing w:val="-2"/>
              </w:rPr>
              <w:t>94</w:t>
            </w:r>
          </w:p>
        </w:tc>
        <w:tc>
          <w:tcPr>
            <w:tcW w:w="892" w:type="dxa"/>
            <w:tcBorders>
              <w:bottom w:val="single" w:color="000000" w:sz="12" w:space="0"/>
            </w:tcBorders>
            <w:vAlign w:val="top"/>
          </w:tcPr>
          <w:p w14:paraId="4EDA666D">
            <w:pPr>
              <w:pStyle w:val="6"/>
              <w:spacing w:before="265" w:line="232" w:lineRule="auto"/>
              <w:ind w:left="326"/>
            </w:pPr>
            <w:r>
              <w:rPr>
                <w:spacing w:val="-5"/>
              </w:rPr>
              <w:t>8.0</w:t>
            </w:r>
          </w:p>
        </w:tc>
        <w:tc>
          <w:tcPr>
            <w:tcW w:w="892" w:type="dxa"/>
            <w:tcBorders>
              <w:bottom w:val="single" w:color="000000" w:sz="12" w:space="0"/>
            </w:tcBorders>
            <w:vAlign w:val="top"/>
          </w:tcPr>
          <w:p w14:paraId="79D8B386">
            <w:pPr>
              <w:pStyle w:val="6"/>
              <w:spacing w:before="265" w:line="232" w:lineRule="auto"/>
              <w:ind w:left="329"/>
            </w:pPr>
            <w:r>
              <w:rPr>
                <w:spacing w:val="-5"/>
              </w:rPr>
              <w:t>8.0</w:t>
            </w:r>
          </w:p>
        </w:tc>
        <w:tc>
          <w:tcPr>
            <w:tcW w:w="891" w:type="dxa"/>
            <w:tcBorders>
              <w:bottom w:val="single" w:color="000000" w:sz="12" w:space="0"/>
            </w:tcBorders>
            <w:vAlign w:val="top"/>
          </w:tcPr>
          <w:p w14:paraId="2D1BA078">
            <w:pPr>
              <w:pStyle w:val="6"/>
              <w:spacing w:before="265" w:line="232" w:lineRule="auto"/>
              <w:ind w:left="274"/>
            </w:pPr>
            <w:r>
              <w:rPr>
                <w:spacing w:val="-2"/>
              </w:rPr>
              <w:t>0.33</w:t>
            </w:r>
          </w:p>
        </w:tc>
        <w:tc>
          <w:tcPr>
            <w:tcW w:w="906" w:type="dxa"/>
            <w:tcBorders>
              <w:bottom w:val="single" w:color="000000" w:sz="12" w:space="0"/>
              <w:right w:val="single" w:color="000000" w:sz="12" w:space="0"/>
            </w:tcBorders>
            <w:vAlign w:val="top"/>
          </w:tcPr>
          <w:p w14:paraId="30501EBE">
            <w:pPr>
              <w:pStyle w:val="6"/>
              <w:spacing w:before="265" w:line="232" w:lineRule="auto"/>
              <w:ind w:left="277"/>
            </w:pPr>
            <w:r>
              <w:rPr>
                <w:spacing w:val="-2"/>
              </w:rPr>
              <w:t>0.14</w:t>
            </w:r>
          </w:p>
        </w:tc>
      </w:tr>
    </w:tbl>
    <w:p w14:paraId="006AB057">
      <w:pPr>
        <w:rPr>
          <w:rFonts w:ascii="Arial"/>
          <w:sz w:val="21"/>
        </w:rPr>
      </w:pPr>
    </w:p>
    <w:p w14:paraId="365020B1">
      <w:pPr>
        <w:rPr>
          <w:rFonts w:ascii="Arial" w:hAnsi="Arial" w:eastAsia="Arial" w:cs="Arial"/>
          <w:sz w:val="21"/>
          <w:szCs w:val="21"/>
        </w:rPr>
        <w:sectPr>
          <w:footerReference r:id="rId130" w:type="default"/>
          <w:pgSz w:w="11907" w:h="16839"/>
          <w:pgMar w:top="1376" w:right="1669" w:bottom="1061" w:left="1671" w:header="999" w:footer="861" w:gutter="0"/>
          <w:cols w:space="720" w:num="1"/>
        </w:sectPr>
      </w:pPr>
    </w:p>
    <w:p w14:paraId="08FE61BB">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422"/>
        <w:gridCol w:w="1414"/>
        <w:gridCol w:w="892"/>
        <w:gridCol w:w="892"/>
        <w:gridCol w:w="892"/>
        <w:gridCol w:w="892"/>
        <w:gridCol w:w="891"/>
        <w:gridCol w:w="906"/>
      </w:tblGrid>
      <w:tr w14:paraId="68FB1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72" w:type="dxa"/>
            <w:vMerge w:val="restart"/>
            <w:tcBorders>
              <w:top w:val="single" w:color="000000" w:sz="12" w:space="0"/>
              <w:left w:val="single" w:color="000000" w:sz="12" w:space="0"/>
              <w:bottom w:val="nil"/>
            </w:tcBorders>
            <w:vAlign w:val="top"/>
          </w:tcPr>
          <w:p w14:paraId="3E23BB9C">
            <w:pPr>
              <w:spacing w:before="253" w:line="221" w:lineRule="auto"/>
              <w:ind w:left="204"/>
              <w:rPr>
                <w:rFonts w:ascii="宋体" w:hAnsi="宋体" w:eastAsia="宋体" w:cs="宋体"/>
                <w:sz w:val="21"/>
                <w:szCs w:val="21"/>
              </w:rPr>
            </w:pPr>
            <w:r>
              <w:rPr>
                <w:rFonts w:ascii="宋体" w:hAnsi="宋体" w:eastAsia="宋体" w:cs="宋体"/>
                <w:spacing w:val="-2"/>
                <w:sz w:val="21"/>
                <w:szCs w:val="21"/>
              </w:rPr>
              <w:t>监测点位</w:t>
            </w:r>
          </w:p>
        </w:tc>
        <w:tc>
          <w:tcPr>
            <w:tcW w:w="1836" w:type="dxa"/>
            <w:gridSpan w:val="2"/>
            <w:vMerge w:val="restart"/>
            <w:tcBorders>
              <w:top w:val="single" w:color="000000" w:sz="12" w:space="0"/>
              <w:bottom w:val="nil"/>
            </w:tcBorders>
            <w:vAlign w:val="top"/>
          </w:tcPr>
          <w:p w14:paraId="4ABB8589">
            <w:pPr>
              <w:spacing w:before="253" w:line="221" w:lineRule="auto"/>
              <w:ind w:left="494"/>
              <w:rPr>
                <w:rFonts w:ascii="宋体" w:hAnsi="宋体" w:eastAsia="宋体" w:cs="宋体"/>
                <w:sz w:val="21"/>
                <w:szCs w:val="21"/>
              </w:rPr>
            </w:pPr>
            <w:r>
              <w:rPr>
                <w:rFonts w:ascii="宋体" w:hAnsi="宋体" w:eastAsia="宋体" w:cs="宋体"/>
                <w:spacing w:val="-2"/>
                <w:sz w:val="21"/>
                <w:szCs w:val="21"/>
              </w:rPr>
              <w:t>监测时间</w:t>
            </w:r>
          </w:p>
        </w:tc>
        <w:tc>
          <w:tcPr>
            <w:tcW w:w="1784" w:type="dxa"/>
            <w:gridSpan w:val="2"/>
            <w:tcBorders>
              <w:top w:val="single" w:color="000000" w:sz="12" w:space="0"/>
            </w:tcBorders>
            <w:vAlign w:val="top"/>
          </w:tcPr>
          <w:p w14:paraId="3A57B7FB">
            <w:pPr>
              <w:pStyle w:val="6"/>
              <w:spacing w:before="70" w:line="212" w:lineRule="auto"/>
              <w:ind w:left="344"/>
              <w:rPr>
                <w:rFonts w:ascii="宋体" w:hAnsi="宋体" w:eastAsia="宋体" w:cs="宋体"/>
              </w:rPr>
            </w:pPr>
            <w:r>
              <w:rPr>
                <w:spacing w:val="-2"/>
              </w:rPr>
              <w:t>SS</w:t>
            </w:r>
            <w:r>
              <w:rPr>
                <w:rFonts w:ascii="宋体" w:hAnsi="宋体" w:eastAsia="宋体" w:cs="宋体"/>
                <w:spacing w:val="-2"/>
              </w:rPr>
              <w:t>（</w:t>
            </w:r>
            <w:r>
              <w:rPr>
                <w:spacing w:val="-2"/>
              </w:rPr>
              <w:t>mg/L</w:t>
            </w:r>
            <w:r>
              <w:rPr>
                <w:rFonts w:ascii="宋体" w:hAnsi="宋体" w:eastAsia="宋体" w:cs="宋体"/>
                <w:spacing w:val="-2"/>
              </w:rPr>
              <w:t>）</w:t>
            </w:r>
          </w:p>
        </w:tc>
        <w:tc>
          <w:tcPr>
            <w:tcW w:w="1784" w:type="dxa"/>
            <w:gridSpan w:val="2"/>
            <w:tcBorders>
              <w:top w:val="single" w:color="000000" w:sz="12" w:space="0"/>
            </w:tcBorders>
            <w:vAlign w:val="top"/>
          </w:tcPr>
          <w:p w14:paraId="228BE07D">
            <w:pPr>
              <w:pStyle w:val="6"/>
              <w:spacing w:before="69" w:line="213" w:lineRule="auto"/>
              <w:ind w:left="238"/>
              <w:rPr>
                <w:rFonts w:ascii="宋体" w:hAnsi="宋体" w:eastAsia="宋体" w:cs="宋体"/>
              </w:rPr>
            </w:pPr>
            <w:r>
              <w:t>pH</w:t>
            </w:r>
            <w:r>
              <w:rPr>
                <w:rFonts w:ascii="宋体" w:hAnsi="宋体" w:eastAsia="宋体" w:cs="宋体"/>
              </w:rPr>
              <w:t>（无量纲）</w:t>
            </w:r>
          </w:p>
        </w:tc>
        <w:tc>
          <w:tcPr>
            <w:tcW w:w="1797" w:type="dxa"/>
            <w:gridSpan w:val="2"/>
            <w:tcBorders>
              <w:top w:val="single" w:color="000000" w:sz="12" w:space="0"/>
              <w:right w:val="single" w:color="000000" w:sz="12" w:space="0"/>
            </w:tcBorders>
            <w:vAlign w:val="top"/>
          </w:tcPr>
          <w:p w14:paraId="2E9685E5">
            <w:pPr>
              <w:pStyle w:val="6"/>
              <w:spacing w:before="70" w:line="212" w:lineRule="auto"/>
              <w:ind w:left="155"/>
              <w:rPr>
                <w:rFonts w:ascii="宋体" w:hAnsi="宋体" w:eastAsia="宋体" w:cs="宋体"/>
              </w:rPr>
            </w:pPr>
            <w:r>
              <w:rPr>
                <w:rFonts w:ascii="宋体" w:hAnsi="宋体" w:eastAsia="宋体" w:cs="宋体"/>
                <w:spacing w:val="-2"/>
              </w:rPr>
              <w:t>石油类（</w:t>
            </w:r>
            <w:r>
              <w:rPr>
                <w:spacing w:val="-2"/>
              </w:rPr>
              <w:t>mg/L</w:t>
            </w:r>
            <w:r>
              <w:rPr>
                <w:rFonts w:ascii="宋体" w:hAnsi="宋体" w:eastAsia="宋体" w:cs="宋体"/>
                <w:spacing w:val="-2"/>
              </w:rPr>
              <w:t>）</w:t>
            </w:r>
          </w:p>
        </w:tc>
      </w:tr>
      <w:tr w14:paraId="45D74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272" w:type="dxa"/>
            <w:vMerge w:val="continue"/>
            <w:tcBorders>
              <w:top w:val="nil"/>
              <w:left w:val="single" w:color="000000" w:sz="12" w:space="0"/>
            </w:tcBorders>
            <w:vAlign w:val="top"/>
          </w:tcPr>
          <w:p w14:paraId="2B891573">
            <w:pPr>
              <w:rPr>
                <w:rFonts w:ascii="Arial"/>
                <w:sz w:val="21"/>
              </w:rPr>
            </w:pPr>
          </w:p>
        </w:tc>
        <w:tc>
          <w:tcPr>
            <w:tcW w:w="1836" w:type="dxa"/>
            <w:gridSpan w:val="2"/>
            <w:vMerge w:val="continue"/>
            <w:tcBorders>
              <w:top w:val="nil"/>
            </w:tcBorders>
            <w:vAlign w:val="top"/>
          </w:tcPr>
          <w:p w14:paraId="4A38C251">
            <w:pPr>
              <w:rPr>
                <w:rFonts w:ascii="Arial"/>
                <w:sz w:val="21"/>
              </w:rPr>
            </w:pPr>
          </w:p>
        </w:tc>
        <w:tc>
          <w:tcPr>
            <w:tcW w:w="892" w:type="dxa"/>
            <w:vAlign w:val="top"/>
          </w:tcPr>
          <w:p w14:paraId="49408F7A">
            <w:pPr>
              <w:spacing w:before="69" w:line="225" w:lineRule="auto"/>
              <w:ind w:left="234"/>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7217A6B5">
            <w:pPr>
              <w:spacing w:before="69"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92" w:type="dxa"/>
            <w:vAlign w:val="top"/>
          </w:tcPr>
          <w:p w14:paraId="52A16E9E">
            <w:pPr>
              <w:spacing w:before="69" w:line="225" w:lineRule="auto"/>
              <w:ind w:left="240"/>
              <w:rPr>
                <w:rFonts w:ascii="宋体" w:hAnsi="宋体" w:eastAsia="宋体" w:cs="宋体"/>
                <w:sz w:val="21"/>
                <w:szCs w:val="21"/>
              </w:rPr>
            </w:pPr>
            <w:r>
              <w:rPr>
                <w:rFonts w:ascii="宋体" w:hAnsi="宋体" w:eastAsia="宋体" w:cs="宋体"/>
                <w:spacing w:val="-2"/>
                <w:sz w:val="21"/>
                <w:szCs w:val="21"/>
              </w:rPr>
              <w:t>进口</w:t>
            </w:r>
          </w:p>
        </w:tc>
        <w:tc>
          <w:tcPr>
            <w:tcW w:w="892" w:type="dxa"/>
            <w:vAlign w:val="top"/>
          </w:tcPr>
          <w:p w14:paraId="2509EAB8">
            <w:pPr>
              <w:spacing w:before="69" w:line="223" w:lineRule="auto"/>
              <w:ind w:left="263"/>
              <w:rPr>
                <w:rFonts w:ascii="宋体" w:hAnsi="宋体" w:eastAsia="宋体" w:cs="宋体"/>
                <w:sz w:val="21"/>
                <w:szCs w:val="21"/>
              </w:rPr>
            </w:pPr>
            <w:r>
              <w:rPr>
                <w:rFonts w:ascii="宋体" w:hAnsi="宋体" w:eastAsia="宋体" w:cs="宋体"/>
                <w:spacing w:val="-7"/>
                <w:sz w:val="21"/>
                <w:szCs w:val="21"/>
              </w:rPr>
              <w:t>出口</w:t>
            </w:r>
          </w:p>
        </w:tc>
        <w:tc>
          <w:tcPr>
            <w:tcW w:w="891" w:type="dxa"/>
            <w:vAlign w:val="top"/>
          </w:tcPr>
          <w:p w14:paraId="681584CA">
            <w:pPr>
              <w:spacing w:before="69" w:line="225" w:lineRule="auto"/>
              <w:ind w:left="247"/>
              <w:rPr>
                <w:rFonts w:ascii="宋体" w:hAnsi="宋体" w:eastAsia="宋体" w:cs="宋体"/>
                <w:sz w:val="21"/>
                <w:szCs w:val="21"/>
              </w:rPr>
            </w:pPr>
            <w:r>
              <w:rPr>
                <w:rFonts w:ascii="宋体" w:hAnsi="宋体" w:eastAsia="宋体" w:cs="宋体"/>
                <w:spacing w:val="-2"/>
                <w:sz w:val="21"/>
                <w:szCs w:val="21"/>
              </w:rPr>
              <w:t>进口</w:t>
            </w:r>
          </w:p>
        </w:tc>
        <w:tc>
          <w:tcPr>
            <w:tcW w:w="906" w:type="dxa"/>
            <w:tcBorders>
              <w:right w:val="single" w:color="000000" w:sz="12" w:space="0"/>
            </w:tcBorders>
            <w:vAlign w:val="top"/>
          </w:tcPr>
          <w:p w14:paraId="10923708">
            <w:pPr>
              <w:spacing w:before="69" w:line="223" w:lineRule="auto"/>
              <w:ind w:left="270"/>
              <w:rPr>
                <w:rFonts w:ascii="宋体" w:hAnsi="宋体" w:eastAsia="宋体" w:cs="宋体"/>
                <w:sz w:val="21"/>
                <w:szCs w:val="21"/>
              </w:rPr>
            </w:pPr>
            <w:r>
              <w:rPr>
                <w:rFonts w:ascii="宋体" w:hAnsi="宋体" w:eastAsia="宋体" w:cs="宋体"/>
                <w:spacing w:val="-7"/>
                <w:sz w:val="21"/>
                <w:szCs w:val="21"/>
              </w:rPr>
              <w:t>出口</w:t>
            </w:r>
          </w:p>
        </w:tc>
      </w:tr>
      <w:tr w14:paraId="5B6A8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272" w:type="dxa"/>
            <w:vMerge w:val="restart"/>
            <w:tcBorders>
              <w:left w:val="single" w:color="000000" w:sz="12" w:space="0"/>
              <w:bottom w:val="nil"/>
            </w:tcBorders>
            <w:vAlign w:val="top"/>
          </w:tcPr>
          <w:p w14:paraId="1303D087">
            <w:pPr>
              <w:spacing w:line="297" w:lineRule="auto"/>
              <w:rPr>
                <w:rFonts w:ascii="Arial"/>
                <w:sz w:val="21"/>
              </w:rPr>
            </w:pPr>
          </w:p>
          <w:p w14:paraId="380DEBE9">
            <w:pPr>
              <w:spacing w:line="297" w:lineRule="auto"/>
              <w:rPr>
                <w:rFonts w:ascii="Arial"/>
                <w:sz w:val="21"/>
              </w:rPr>
            </w:pPr>
          </w:p>
          <w:p w14:paraId="05B7E747">
            <w:pPr>
              <w:spacing w:line="297" w:lineRule="auto"/>
              <w:rPr>
                <w:rFonts w:ascii="Arial"/>
                <w:sz w:val="21"/>
              </w:rPr>
            </w:pPr>
          </w:p>
          <w:p w14:paraId="53538746">
            <w:pPr>
              <w:spacing w:line="298" w:lineRule="auto"/>
              <w:rPr>
                <w:rFonts w:ascii="Arial"/>
                <w:sz w:val="21"/>
              </w:rPr>
            </w:pPr>
          </w:p>
          <w:p w14:paraId="757BC36E">
            <w:pPr>
              <w:pStyle w:val="6"/>
              <w:spacing w:before="69" w:line="236" w:lineRule="auto"/>
              <w:ind w:left="207" w:right="109" w:hanging="108"/>
              <w:rPr>
                <w:rFonts w:ascii="宋体" w:hAnsi="宋体" w:eastAsia="宋体" w:cs="宋体"/>
              </w:rPr>
            </w:pPr>
            <w:r>
              <w:rPr>
                <w:spacing w:val="-2"/>
              </w:rPr>
              <w:t>9#</w:t>
            </w:r>
            <w:r>
              <w:rPr>
                <w:rFonts w:ascii="宋体" w:hAnsi="宋体" w:eastAsia="宋体" w:cs="宋体"/>
                <w:spacing w:val="-2"/>
              </w:rPr>
              <w:t>隧洞排水</w:t>
            </w:r>
            <w:r>
              <w:rPr>
                <w:rFonts w:ascii="宋体" w:hAnsi="宋体" w:eastAsia="宋体" w:cs="宋体"/>
                <w:spacing w:val="-3"/>
              </w:rPr>
              <w:t>处理系统</w:t>
            </w:r>
          </w:p>
        </w:tc>
        <w:tc>
          <w:tcPr>
            <w:tcW w:w="422" w:type="dxa"/>
            <w:vMerge w:val="restart"/>
            <w:tcBorders>
              <w:bottom w:val="nil"/>
            </w:tcBorders>
            <w:vAlign w:val="top"/>
          </w:tcPr>
          <w:p w14:paraId="53A114E6">
            <w:pPr>
              <w:pStyle w:val="6"/>
              <w:spacing w:before="153" w:line="222" w:lineRule="auto"/>
              <w:ind w:left="167"/>
            </w:pPr>
            <w:r>
              <w:t>1</w:t>
            </w:r>
          </w:p>
          <w:p w14:paraId="4549926B">
            <w:pPr>
              <w:spacing w:line="219" w:lineRule="auto"/>
              <w:ind w:left="99"/>
              <w:rPr>
                <w:rFonts w:ascii="宋体" w:hAnsi="宋体" w:eastAsia="宋体" w:cs="宋体"/>
                <w:sz w:val="21"/>
                <w:szCs w:val="21"/>
              </w:rPr>
            </w:pPr>
            <w:r>
              <w:rPr>
                <w:rFonts w:ascii="宋体" w:hAnsi="宋体" w:eastAsia="宋体" w:cs="宋体"/>
                <w:sz w:val="21"/>
                <w:szCs w:val="21"/>
              </w:rPr>
              <w:t>季</w:t>
            </w:r>
          </w:p>
          <w:p w14:paraId="6430206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4CB3AF9C">
            <w:pPr>
              <w:pStyle w:val="6"/>
              <w:spacing w:before="89" w:line="226" w:lineRule="auto"/>
              <w:ind w:left="274"/>
            </w:pPr>
            <w:r>
              <w:rPr>
                <w:spacing w:val="-1"/>
              </w:rPr>
              <w:t>2021/3/18</w:t>
            </w:r>
          </w:p>
        </w:tc>
        <w:tc>
          <w:tcPr>
            <w:tcW w:w="892" w:type="dxa"/>
            <w:vAlign w:val="top"/>
          </w:tcPr>
          <w:p w14:paraId="2238F5D7">
            <w:pPr>
              <w:pStyle w:val="6"/>
              <w:spacing w:before="89" w:line="226" w:lineRule="auto"/>
              <w:ind w:left="304"/>
            </w:pPr>
            <w:r>
              <w:rPr>
                <w:spacing w:val="-6"/>
              </w:rPr>
              <w:t>144</w:t>
            </w:r>
          </w:p>
        </w:tc>
        <w:tc>
          <w:tcPr>
            <w:tcW w:w="892" w:type="dxa"/>
            <w:vAlign w:val="top"/>
          </w:tcPr>
          <w:p w14:paraId="23C8652F">
            <w:pPr>
              <w:pStyle w:val="6"/>
              <w:spacing w:before="89" w:line="226" w:lineRule="auto"/>
              <w:ind w:left="345"/>
            </w:pPr>
            <w:r>
              <w:rPr>
                <w:spacing w:val="-3"/>
              </w:rPr>
              <w:t>31</w:t>
            </w:r>
          </w:p>
        </w:tc>
        <w:tc>
          <w:tcPr>
            <w:tcW w:w="892" w:type="dxa"/>
            <w:vAlign w:val="top"/>
          </w:tcPr>
          <w:p w14:paraId="5074ABA6">
            <w:pPr>
              <w:pStyle w:val="6"/>
              <w:spacing w:before="89" w:line="226" w:lineRule="auto"/>
              <w:ind w:left="273"/>
            </w:pPr>
            <w:r>
              <w:rPr>
                <w:spacing w:val="-4"/>
              </w:rPr>
              <w:t>8.94</w:t>
            </w:r>
          </w:p>
        </w:tc>
        <w:tc>
          <w:tcPr>
            <w:tcW w:w="892" w:type="dxa"/>
            <w:vAlign w:val="top"/>
          </w:tcPr>
          <w:p w14:paraId="4E1B54C8">
            <w:pPr>
              <w:pStyle w:val="6"/>
              <w:spacing w:before="89" w:line="226" w:lineRule="auto"/>
              <w:ind w:left="276"/>
            </w:pPr>
            <w:r>
              <w:rPr>
                <w:spacing w:val="-4"/>
              </w:rPr>
              <w:t>8.85</w:t>
            </w:r>
          </w:p>
        </w:tc>
        <w:tc>
          <w:tcPr>
            <w:tcW w:w="891" w:type="dxa"/>
            <w:vAlign w:val="top"/>
          </w:tcPr>
          <w:p w14:paraId="2052E2D5">
            <w:pPr>
              <w:pStyle w:val="6"/>
              <w:spacing w:before="89" w:line="226" w:lineRule="auto"/>
              <w:ind w:left="274"/>
            </w:pPr>
            <w:r>
              <w:rPr>
                <w:spacing w:val="-2"/>
              </w:rPr>
              <w:t>0.14</w:t>
            </w:r>
          </w:p>
        </w:tc>
        <w:tc>
          <w:tcPr>
            <w:tcW w:w="906" w:type="dxa"/>
            <w:tcBorders>
              <w:right w:val="single" w:color="000000" w:sz="12" w:space="0"/>
            </w:tcBorders>
            <w:vAlign w:val="top"/>
          </w:tcPr>
          <w:p w14:paraId="51A21381">
            <w:pPr>
              <w:pStyle w:val="6"/>
              <w:spacing w:before="89" w:line="226" w:lineRule="auto"/>
              <w:ind w:left="277"/>
            </w:pPr>
            <w:r>
              <w:rPr>
                <w:spacing w:val="-2"/>
              </w:rPr>
              <w:t>0.06</w:t>
            </w:r>
          </w:p>
        </w:tc>
      </w:tr>
      <w:tr w14:paraId="5A21E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3AA2DADE">
            <w:pPr>
              <w:rPr>
                <w:rFonts w:ascii="Arial"/>
                <w:sz w:val="21"/>
              </w:rPr>
            </w:pPr>
          </w:p>
        </w:tc>
        <w:tc>
          <w:tcPr>
            <w:tcW w:w="422" w:type="dxa"/>
            <w:vMerge w:val="continue"/>
            <w:tcBorders>
              <w:top w:val="nil"/>
              <w:bottom w:val="nil"/>
            </w:tcBorders>
            <w:vAlign w:val="top"/>
          </w:tcPr>
          <w:p w14:paraId="22AEF2B6">
            <w:pPr>
              <w:rPr>
                <w:rFonts w:ascii="Arial"/>
                <w:sz w:val="21"/>
              </w:rPr>
            </w:pPr>
          </w:p>
        </w:tc>
        <w:tc>
          <w:tcPr>
            <w:tcW w:w="1414" w:type="dxa"/>
            <w:vAlign w:val="top"/>
          </w:tcPr>
          <w:p w14:paraId="4674B6C9">
            <w:pPr>
              <w:pStyle w:val="6"/>
              <w:spacing w:before="89" w:line="224" w:lineRule="auto"/>
              <w:ind w:left="274"/>
            </w:pPr>
            <w:r>
              <w:rPr>
                <w:spacing w:val="-1"/>
              </w:rPr>
              <w:t>2021/3/19</w:t>
            </w:r>
          </w:p>
        </w:tc>
        <w:tc>
          <w:tcPr>
            <w:tcW w:w="892" w:type="dxa"/>
            <w:vAlign w:val="top"/>
          </w:tcPr>
          <w:p w14:paraId="2195E556">
            <w:pPr>
              <w:pStyle w:val="6"/>
              <w:spacing w:before="89" w:line="224" w:lineRule="auto"/>
              <w:ind w:left="304"/>
            </w:pPr>
            <w:r>
              <w:rPr>
                <w:spacing w:val="-6"/>
              </w:rPr>
              <w:t>128</w:t>
            </w:r>
          </w:p>
        </w:tc>
        <w:tc>
          <w:tcPr>
            <w:tcW w:w="892" w:type="dxa"/>
            <w:vAlign w:val="top"/>
          </w:tcPr>
          <w:p w14:paraId="0CA8D7C2">
            <w:pPr>
              <w:pStyle w:val="6"/>
              <w:spacing w:before="89" w:line="224" w:lineRule="auto"/>
              <w:ind w:left="345"/>
            </w:pPr>
            <w:r>
              <w:rPr>
                <w:spacing w:val="-3"/>
              </w:rPr>
              <w:t>37</w:t>
            </w:r>
          </w:p>
        </w:tc>
        <w:tc>
          <w:tcPr>
            <w:tcW w:w="892" w:type="dxa"/>
            <w:vAlign w:val="top"/>
          </w:tcPr>
          <w:p w14:paraId="501EFCAB">
            <w:pPr>
              <w:pStyle w:val="6"/>
              <w:spacing w:before="89" w:line="224" w:lineRule="auto"/>
              <w:ind w:left="273"/>
            </w:pPr>
            <w:r>
              <w:rPr>
                <w:spacing w:val="-4"/>
              </w:rPr>
              <w:t>8.96</w:t>
            </w:r>
          </w:p>
        </w:tc>
        <w:tc>
          <w:tcPr>
            <w:tcW w:w="892" w:type="dxa"/>
            <w:vAlign w:val="top"/>
          </w:tcPr>
          <w:p w14:paraId="210D8822">
            <w:pPr>
              <w:pStyle w:val="6"/>
              <w:spacing w:before="89" w:line="224" w:lineRule="auto"/>
              <w:ind w:left="276"/>
            </w:pPr>
            <w:r>
              <w:rPr>
                <w:spacing w:val="-4"/>
              </w:rPr>
              <w:t>8.81</w:t>
            </w:r>
          </w:p>
        </w:tc>
        <w:tc>
          <w:tcPr>
            <w:tcW w:w="891" w:type="dxa"/>
            <w:vAlign w:val="top"/>
          </w:tcPr>
          <w:p w14:paraId="616A18A6">
            <w:pPr>
              <w:pStyle w:val="6"/>
              <w:spacing w:before="89" w:line="224" w:lineRule="auto"/>
              <w:ind w:left="274"/>
            </w:pPr>
            <w:r>
              <w:rPr>
                <w:spacing w:val="-2"/>
              </w:rPr>
              <w:t>0.15</w:t>
            </w:r>
          </w:p>
        </w:tc>
        <w:tc>
          <w:tcPr>
            <w:tcW w:w="906" w:type="dxa"/>
            <w:tcBorders>
              <w:right w:val="single" w:color="000000" w:sz="12" w:space="0"/>
            </w:tcBorders>
            <w:vAlign w:val="top"/>
          </w:tcPr>
          <w:p w14:paraId="44942328">
            <w:pPr>
              <w:pStyle w:val="6"/>
              <w:spacing w:before="89" w:line="224" w:lineRule="auto"/>
              <w:ind w:left="277"/>
            </w:pPr>
            <w:r>
              <w:rPr>
                <w:spacing w:val="-2"/>
              </w:rPr>
              <w:t>0.06</w:t>
            </w:r>
          </w:p>
        </w:tc>
      </w:tr>
      <w:tr w14:paraId="5A931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19EA03A2">
            <w:pPr>
              <w:rPr>
                <w:rFonts w:ascii="Arial"/>
                <w:sz w:val="21"/>
              </w:rPr>
            </w:pPr>
          </w:p>
        </w:tc>
        <w:tc>
          <w:tcPr>
            <w:tcW w:w="422" w:type="dxa"/>
            <w:vMerge w:val="continue"/>
            <w:tcBorders>
              <w:top w:val="nil"/>
            </w:tcBorders>
            <w:vAlign w:val="top"/>
          </w:tcPr>
          <w:p w14:paraId="1467B3F2">
            <w:pPr>
              <w:rPr>
                <w:rFonts w:ascii="Arial"/>
                <w:sz w:val="21"/>
              </w:rPr>
            </w:pPr>
          </w:p>
        </w:tc>
        <w:tc>
          <w:tcPr>
            <w:tcW w:w="1414" w:type="dxa"/>
            <w:vAlign w:val="top"/>
          </w:tcPr>
          <w:p w14:paraId="5B03F259">
            <w:pPr>
              <w:pStyle w:val="6"/>
              <w:spacing w:before="90" w:line="224" w:lineRule="auto"/>
              <w:ind w:left="274"/>
            </w:pPr>
            <w:r>
              <w:rPr>
                <w:spacing w:val="-1"/>
              </w:rPr>
              <w:t>2021/3/20</w:t>
            </w:r>
          </w:p>
        </w:tc>
        <w:tc>
          <w:tcPr>
            <w:tcW w:w="892" w:type="dxa"/>
            <w:vAlign w:val="top"/>
          </w:tcPr>
          <w:p w14:paraId="6BCB97C2">
            <w:pPr>
              <w:pStyle w:val="6"/>
              <w:spacing w:before="90" w:line="224" w:lineRule="auto"/>
              <w:ind w:left="304"/>
            </w:pPr>
            <w:r>
              <w:rPr>
                <w:spacing w:val="-6"/>
              </w:rPr>
              <w:t>136</w:t>
            </w:r>
          </w:p>
        </w:tc>
        <w:tc>
          <w:tcPr>
            <w:tcW w:w="892" w:type="dxa"/>
            <w:vAlign w:val="top"/>
          </w:tcPr>
          <w:p w14:paraId="55A4F112">
            <w:pPr>
              <w:pStyle w:val="6"/>
              <w:spacing w:before="90" w:line="224" w:lineRule="auto"/>
              <w:ind w:left="345"/>
            </w:pPr>
            <w:r>
              <w:rPr>
                <w:spacing w:val="-3"/>
              </w:rPr>
              <w:t>33</w:t>
            </w:r>
          </w:p>
        </w:tc>
        <w:tc>
          <w:tcPr>
            <w:tcW w:w="892" w:type="dxa"/>
            <w:vAlign w:val="top"/>
          </w:tcPr>
          <w:p w14:paraId="27F0CE27">
            <w:pPr>
              <w:pStyle w:val="6"/>
              <w:spacing w:before="90" w:line="224" w:lineRule="auto"/>
              <w:ind w:left="273"/>
            </w:pPr>
            <w:r>
              <w:rPr>
                <w:spacing w:val="-4"/>
              </w:rPr>
              <w:t>8.89</w:t>
            </w:r>
          </w:p>
        </w:tc>
        <w:tc>
          <w:tcPr>
            <w:tcW w:w="892" w:type="dxa"/>
            <w:vAlign w:val="top"/>
          </w:tcPr>
          <w:p w14:paraId="04311764">
            <w:pPr>
              <w:pStyle w:val="6"/>
              <w:spacing w:before="90" w:line="224" w:lineRule="auto"/>
              <w:ind w:left="276"/>
            </w:pPr>
            <w:r>
              <w:rPr>
                <w:spacing w:val="-4"/>
              </w:rPr>
              <w:t>8.76</w:t>
            </w:r>
          </w:p>
        </w:tc>
        <w:tc>
          <w:tcPr>
            <w:tcW w:w="891" w:type="dxa"/>
            <w:vAlign w:val="top"/>
          </w:tcPr>
          <w:p w14:paraId="042CF20D">
            <w:pPr>
              <w:pStyle w:val="6"/>
              <w:spacing w:before="90" w:line="224" w:lineRule="auto"/>
              <w:ind w:left="274"/>
            </w:pPr>
            <w:r>
              <w:rPr>
                <w:spacing w:val="-2"/>
              </w:rPr>
              <w:t>0.14</w:t>
            </w:r>
          </w:p>
        </w:tc>
        <w:tc>
          <w:tcPr>
            <w:tcW w:w="906" w:type="dxa"/>
            <w:tcBorders>
              <w:right w:val="single" w:color="000000" w:sz="12" w:space="0"/>
            </w:tcBorders>
            <w:vAlign w:val="top"/>
          </w:tcPr>
          <w:p w14:paraId="2CDA6C64">
            <w:pPr>
              <w:pStyle w:val="6"/>
              <w:spacing w:before="90" w:line="224" w:lineRule="auto"/>
              <w:ind w:left="277"/>
            </w:pPr>
            <w:r>
              <w:rPr>
                <w:spacing w:val="-2"/>
              </w:rPr>
              <w:t>0.07</w:t>
            </w:r>
          </w:p>
        </w:tc>
      </w:tr>
      <w:tr w14:paraId="23FC2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A1BDBC4">
            <w:pPr>
              <w:rPr>
                <w:rFonts w:ascii="Arial"/>
                <w:sz w:val="21"/>
              </w:rPr>
            </w:pPr>
          </w:p>
        </w:tc>
        <w:tc>
          <w:tcPr>
            <w:tcW w:w="422" w:type="dxa"/>
            <w:vMerge w:val="restart"/>
            <w:tcBorders>
              <w:bottom w:val="nil"/>
            </w:tcBorders>
            <w:vAlign w:val="top"/>
          </w:tcPr>
          <w:p w14:paraId="74AD721E">
            <w:pPr>
              <w:pStyle w:val="6"/>
              <w:spacing w:before="155" w:line="222" w:lineRule="auto"/>
              <w:ind w:left="147"/>
            </w:pPr>
            <w:r>
              <w:t>2</w:t>
            </w:r>
          </w:p>
          <w:p w14:paraId="0855372D">
            <w:pPr>
              <w:spacing w:line="219" w:lineRule="auto"/>
              <w:ind w:left="99"/>
              <w:rPr>
                <w:rFonts w:ascii="宋体" w:hAnsi="宋体" w:eastAsia="宋体" w:cs="宋体"/>
                <w:sz w:val="21"/>
                <w:szCs w:val="21"/>
              </w:rPr>
            </w:pPr>
            <w:r>
              <w:rPr>
                <w:rFonts w:ascii="宋体" w:hAnsi="宋体" w:eastAsia="宋体" w:cs="宋体"/>
                <w:sz w:val="21"/>
                <w:szCs w:val="21"/>
              </w:rPr>
              <w:t>季</w:t>
            </w:r>
          </w:p>
          <w:p w14:paraId="6948A52B">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12BF69A">
            <w:pPr>
              <w:pStyle w:val="6"/>
              <w:spacing w:before="90" w:line="223" w:lineRule="auto"/>
              <w:ind w:left="326"/>
            </w:pPr>
            <w:r>
              <w:rPr>
                <w:spacing w:val="-1"/>
              </w:rPr>
              <w:t>2021/6/3</w:t>
            </w:r>
          </w:p>
        </w:tc>
        <w:tc>
          <w:tcPr>
            <w:tcW w:w="892" w:type="dxa"/>
            <w:vAlign w:val="top"/>
          </w:tcPr>
          <w:p w14:paraId="10B1385C">
            <w:pPr>
              <w:pStyle w:val="6"/>
              <w:spacing w:before="90" w:line="223" w:lineRule="auto"/>
              <w:ind w:left="337"/>
            </w:pPr>
            <w:r>
              <w:rPr>
                <w:spacing w:val="-1"/>
              </w:rPr>
              <w:t>20</w:t>
            </w:r>
          </w:p>
        </w:tc>
        <w:tc>
          <w:tcPr>
            <w:tcW w:w="892" w:type="dxa"/>
            <w:vAlign w:val="top"/>
          </w:tcPr>
          <w:p w14:paraId="7E1CC2CB">
            <w:pPr>
              <w:pStyle w:val="6"/>
              <w:spacing w:before="90" w:line="223" w:lineRule="auto"/>
              <w:ind w:left="397"/>
            </w:pPr>
            <w:r>
              <w:t>9</w:t>
            </w:r>
          </w:p>
        </w:tc>
        <w:tc>
          <w:tcPr>
            <w:tcW w:w="892" w:type="dxa"/>
            <w:vAlign w:val="top"/>
          </w:tcPr>
          <w:p w14:paraId="4068BF59">
            <w:pPr>
              <w:pStyle w:val="6"/>
              <w:spacing w:before="90" w:line="223" w:lineRule="auto"/>
              <w:ind w:left="326"/>
            </w:pPr>
            <w:r>
              <w:rPr>
                <w:spacing w:val="-5"/>
              </w:rPr>
              <w:t>8.9</w:t>
            </w:r>
          </w:p>
        </w:tc>
        <w:tc>
          <w:tcPr>
            <w:tcW w:w="892" w:type="dxa"/>
            <w:vAlign w:val="top"/>
          </w:tcPr>
          <w:p w14:paraId="285D09F4">
            <w:pPr>
              <w:pStyle w:val="6"/>
              <w:spacing w:before="90" w:line="223" w:lineRule="auto"/>
              <w:ind w:left="329"/>
            </w:pPr>
            <w:r>
              <w:rPr>
                <w:spacing w:val="-5"/>
              </w:rPr>
              <w:t>8.9</w:t>
            </w:r>
          </w:p>
        </w:tc>
        <w:tc>
          <w:tcPr>
            <w:tcW w:w="891" w:type="dxa"/>
            <w:vAlign w:val="top"/>
          </w:tcPr>
          <w:p w14:paraId="7B45A19A">
            <w:pPr>
              <w:pStyle w:val="6"/>
              <w:spacing w:before="90" w:line="223" w:lineRule="auto"/>
              <w:ind w:left="274"/>
            </w:pPr>
            <w:r>
              <w:rPr>
                <w:spacing w:val="-2"/>
              </w:rPr>
              <w:t>0.09</w:t>
            </w:r>
          </w:p>
        </w:tc>
        <w:tc>
          <w:tcPr>
            <w:tcW w:w="906" w:type="dxa"/>
            <w:tcBorders>
              <w:right w:val="single" w:color="000000" w:sz="12" w:space="0"/>
            </w:tcBorders>
            <w:vAlign w:val="top"/>
          </w:tcPr>
          <w:p w14:paraId="4B55C02C">
            <w:pPr>
              <w:pStyle w:val="6"/>
              <w:spacing w:before="90" w:line="223" w:lineRule="auto"/>
              <w:ind w:left="214"/>
            </w:pPr>
            <w:r>
              <w:rPr>
                <w:spacing w:val="-2"/>
              </w:rPr>
              <w:t>0.06L</w:t>
            </w:r>
          </w:p>
        </w:tc>
      </w:tr>
      <w:tr w14:paraId="15C8666A">
        <w:tblPrEx>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1484DD1B">
            <w:pPr>
              <w:rPr>
                <w:rFonts w:ascii="Arial"/>
                <w:sz w:val="21"/>
              </w:rPr>
            </w:pPr>
          </w:p>
        </w:tc>
        <w:tc>
          <w:tcPr>
            <w:tcW w:w="422" w:type="dxa"/>
            <w:vMerge w:val="continue"/>
            <w:tcBorders>
              <w:top w:val="nil"/>
              <w:bottom w:val="nil"/>
            </w:tcBorders>
            <w:vAlign w:val="top"/>
          </w:tcPr>
          <w:p w14:paraId="0A1605B5">
            <w:pPr>
              <w:rPr>
                <w:rFonts w:ascii="Arial"/>
                <w:sz w:val="21"/>
              </w:rPr>
            </w:pPr>
          </w:p>
        </w:tc>
        <w:tc>
          <w:tcPr>
            <w:tcW w:w="1414" w:type="dxa"/>
            <w:vAlign w:val="top"/>
          </w:tcPr>
          <w:p w14:paraId="1C46B4CA">
            <w:pPr>
              <w:pStyle w:val="6"/>
              <w:spacing w:before="92" w:line="221" w:lineRule="auto"/>
              <w:ind w:left="326"/>
            </w:pPr>
            <w:r>
              <w:rPr>
                <w:spacing w:val="-1"/>
              </w:rPr>
              <w:t>2021/6/4</w:t>
            </w:r>
          </w:p>
        </w:tc>
        <w:tc>
          <w:tcPr>
            <w:tcW w:w="892" w:type="dxa"/>
            <w:vAlign w:val="top"/>
          </w:tcPr>
          <w:p w14:paraId="2902FFD3">
            <w:pPr>
              <w:pStyle w:val="6"/>
              <w:spacing w:before="92" w:line="221" w:lineRule="auto"/>
              <w:ind w:left="357"/>
            </w:pPr>
            <w:r>
              <w:rPr>
                <w:spacing w:val="-6"/>
              </w:rPr>
              <w:t>17</w:t>
            </w:r>
          </w:p>
        </w:tc>
        <w:tc>
          <w:tcPr>
            <w:tcW w:w="892" w:type="dxa"/>
            <w:vAlign w:val="top"/>
          </w:tcPr>
          <w:p w14:paraId="1B2E002D">
            <w:pPr>
              <w:pStyle w:val="6"/>
              <w:spacing w:before="92" w:line="221" w:lineRule="auto"/>
              <w:ind w:left="360"/>
            </w:pPr>
            <w:r>
              <w:rPr>
                <w:spacing w:val="-6"/>
              </w:rPr>
              <w:t>10</w:t>
            </w:r>
          </w:p>
        </w:tc>
        <w:tc>
          <w:tcPr>
            <w:tcW w:w="892" w:type="dxa"/>
            <w:vAlign w:val="top"/>
          </w:tcPr>
          <w:p w14:paraId="2F0ECFB6">
            <w:pPr>
              <w:pStyle w:val="6"/>
              <w:spacing w:before="92" w:line="221" w:lineRule="auto"/>
              <w:ind w:left="321"/>
            </w:pPr>
            <w:r>
              <w:rPr>
                <w:spacing w:val="-3"/>
              </w:rPr>
              <w:t>9.0</w:t>
            </w:r>
          </w:p>
        </w:tc>
        <w:tc>
          <w:tcPr>
            <w:tcW w:w="892" w:type="dxa"/>
            <w:vAlign w:val="top"/>
          </w:tcPr>
          <w:p w14:paraId="4AE95B95">
            <w:pPr>
              <w:pStyle w:val="6"/>
              <w:spacing w:before="92" w:line="221" w:lineRule="auto"/>
              <w:ind w:left="329"/>
            </w:pPr>
            <w:r>
              <w:rPr>
                <w:spacing w:val="-5"/>
              </w:rPr>
              <w:t>8.8</w:t>
            </w:r>
          </w:p>
        </w:tc>
        <w:tc>
          <w:tcPr>
            <w:tcW w:w="891" w:type="dxa"/>
            <w:vAlign w:val="top"/>
          </w:tcPr>
          <w:p w14:paraId="33A75E16">
            <w:pPr>
              <w:pStyle w:val="6"/>
              <w:spacing w:before="92" w:line="221" w:lineRule="auto"/>
              <w:ind w:left="274"/>
            </w:pPr>
            <w:r>
              <w:rPr>
                <w:spacing w:val="-2"/>
              </w:rPr>
              <w:t>0.08</w:t>
            </w:r>
          </w:p>
        </w:tc>
        <w:tc>
          <w:tcPr>
            <w:tcW w:w="906" w:type="dxa"/>
            <w:tcBorders>
              <w:right w:val="single" w:color="000000" w:sz="12" w:space="0"/>
            </w:tcBorders>
            <w:vAlign w:val="top"/>
          </w:tcPr>
          <w:p w14:paraId="707C4D60">
            <w:pPr>
              <w:pStyle w:val="6"/>
              <w:spacing w:before="92" w:line="221" w:lineRule="auto"/>
              <w:ind w:left="214"/>
            </w:pPr>
            <w:r>
              <w:rPr>
                <w:spacing w:val="-2"/>
              </w:rPr>
              <w:t>0.06L</w:t>
            </w:r>
          </w:p>
        </w:tc>
      </w:tr>
      <w:tr w14:paraId="556DF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3A7678C">
            <w:pPr>
              <w:rPr>
                <w:rFonts w:ascii="Arial"/>
                <w:sz w:val="21"/>
              </w:rPr>
            </w:pPr>
          </w:p>
        </w:tc>
        <w:tc>
          <w:tcPr>
            <w:tcW w:w="422" w:type="dxa"/>
            <w:vMerge w:val="continue"/>
            <w:tcBorders>
              <w:top w:val="nil"/>
            </w:tcBorders>
            <w:vAlign w:val="top"/>
          </w:tcPr>
          <w:p w14:paraId="4E71C352">
            <w:pPr>
              <w:rPr>
                <w:rFonts w:ascii="Arial"/>
                <w:sz w:val="21"/>
              </w:rPr>
            </w:pPr>
          </w:p>
        </w:tc>
        <w:tc>
          <w:tcPr>
            <w:tcW w:w="1414" w:type="dxa"/>
            <w:vAlign w:val="top"/>
          </w:tcPr>
          <w:p w14:paraId="477A48A2">
            <w:pPr>
              <w:pStyle w:val="6"/>
              <w:spacing w:before="93" w:line="221" w:lineRule="auto"/>
              <w:ind w:left="326"/>
            </w:pPr>
            <w:r>
              <w:rPr>
                <w:spacing w:val="-1"/>
              </w:rPr>
              <w:t>2021/6/5</w:t>
            </w:r>
          </w:p>
        </w:tc>
        <w:tc>
          <w:tcPr>
            <w:tcW w:w="892" w:type="dxa"/>
            <w:vAlign w:val="top"/>
          </w:tcPr>
          <w:p w14:paraId="0CD32EE2">
            <w:pPr>
              <w:pStyle w:val="6"/>
              <w:spacing w:before="93" w:line="221" w:lineRule="auto"/>
              <w:ind w:left="337"/>
            </w:pPr>
            <w:r>
              <w:rPr>
                <w:spacing w:val="-1"/>
              </w:rPr>
              <w:t>21</w:t>
            </w:r>
          </w:p>
        </w:tc>
        <w:tc>
          <w:tcPr>
            <w:tcW w:w="892" w:type="dxa"/>
            <w:vAlign w:val="top"/>
          </w:tcPr>
          <w:p w14:paraId="520CD30C">
            <w:pPr>
              <w:pStyle w:val="6"/>
              <w:spacing w:before="93" w:line="221" w:lineRule="auto"/>
              <w:ind w:left="402"/>
            </w:pPr>
            <w:r>
              <w:t>8</w:t>
            </w:r>
          </w:p>
        </w:tc>
        <w:tc>
          <w:tcPr>
            <w:tcW w:w="892" w:type="dxa"/>
            <w:vAlign w:val="top"/>
          </w:tcPr>
          <w:p w14:paraId="76818208">
            <w:pPr>
              <w:pStyle w:val="6"/>
              <w:spacing w:before="93" w:line="221" w:lineRule="auto"/>
              <w:ind w:left="326"/>
            </w:pPr>
            <w:r>
              <w:rPr>
                <w:spacing w:val="-5"/>
              </w:rPr>
              <w:t>8.9</w:t>
            </w:r>
          </w:p>
        </w:tc>
        <w:tc>
          <w:tcPr>
            <w:tcW w:w="892" w:type="dxa"/>
            <w:vAlign w:val="top"/>
          </w:tcPr>
          <w:p w14:paraId="27E7913E">
            <w:pPr>
              <w:pStyle w:val="6"/>
              <w:spacing w:before="93" w:line="221" w:lineRule="auto"/>
              <w:ind w:left="329"/>
            </w:pPr>
            <w:r>
              <w:rPr>
                <w:spacing w:val="-5"/>
              </w:rPr>
              <w:t>8.8</w:t>
            </w:r>
          </w:p>
        </w:tc>
        <w:tc>
          <w:tcPr>
            <w:tcW w:w="891" w:type="dxa"/>
            <w:vAlign w:val="top"/>
          </w:tcPr>
          <w:p w14:paraId="28EC635E">
            <w:pPr>
              <w:pStyle w:val="6"/>
              <w:spacing w:before="93" w:line="221" w:lineRule="auto"/>
              <w:ind w:left="274"/>
            </w:pPr>
            <w:r>
              <w:rPr>
                <w:spacing w:val="-2"/>
              </w:rPr>
              <w:t>0.08</w:t>
            </w:r>
          </w:p>
        </w:tc>
        <w:tc>
          <w:tcPr>
            <w:tcW w:w="906" w:type="dxa"/>
            <w:tcBorders>
              <w:right w:val="single" w:color="000000" w:sz="12" w:space="0"/>
            </w:tcBorders>
            <w:vAlign w:val="top"/>
          </w:tcPr>
          <w:p w14:paraId="4D32FEF9">
            <w:pPr>
              <w:pStyle w:val="6"/>
              <w:spacing w:before="93" w:line="221" w:lineRule="auto"/>
              <w:ind w:left="214"/>
            </w:pPr>
            <w:r>
              <w:rPr>
                <w:spacing w:val="-2"/>
              </w:rPr>
              <w:t>0.06L</w:t>
            </w:r>
          </w:p>
        </w:tc>
      </w:tr>
      <w:tr w14:paraId="0F329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480F7C08">
            <w:pPr>
              <w:rPr>
                <w:rFonts w:ascii="Arial"/>
                <w:sz w:val="21"/>
              </w:rPr>
            </w:pPr>
          </w:p>
        </w:tc>
        <w:tc>
          <w:tcPr>
            <w:tcW w:w="422" w:type="dxa"/>
            <w:vMerge w:val="restart"/>
            <w:tcBorders>
              <w:bottom w:val="nil"/>
            </w:tcBorders>
            <w:vAlign w:val="top"/>
          </w:tcPr>
          <w:p w14:paraId="6866E785">
            <w:pPr>
              <w:pStyle w:val="6"/>
              <w:spacing w:before="158" w:line="222" w:lineRule="auto"/>
              <w:ind w:left="151"/>
            </w:pPr>
            <w:r>
              <w:t>3</w:t>
            </w:r>
          </w:p>
          <w:p w14:paraId="46263B95">
            <w:pPr>
              <w:spacing w:line="219" w:lineRule="auto"/>
              <w:ind w:left="99"/>
              <w:rPr>
                <w:rFonts w:ascii="宋体" w:hAnsi="宋体" w:eastAsia="宋体" w:cs="宋体"/>
                <w:sz w:val="21"/>
                <w:szCs w:val="21"/>
              </w:rPr>
            </w:pPr>
            <w:r>
              <w:rPr>
                <w:rFonts w:ascii="宋体" w:hAnsi="宋体" w:eastAsia="宋体" w:cs="宋体"/>
                <w:sz w:val="21"/>
                <w:szCs w:val="21"/>
              </w:rPr>
              <w:t>季</w:t>
            </w:r>
          </w:p>
          <w:p w14:paraId="69A31807">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333CB71A">
            <w:pPr>
              <w:pStyle w:val="6"/>
              <w:spacing w:before="94" w:line="219" w:lineRule="auto"/>
              <w:ind w:left="274"/>
            </w:pPr>
            <w:r>
              <w:rPr>
                <w:spacing w:val="-1"/>
              </w:rPr>
              <w:t>2021/7/19</w:t>
            </w:r>
          </w:p>
        </w:tc>
        <w:tc>
          <w:tcPr>
            <w:tcW w:w="892" w:type="dxa"/>
            <w:vAlign w:val="top"/>
          </w:tcPr>
          <w:p w14:paraId="237AE377">
            <w:pPr>
              <w:pStyle w:val="6"/>
              <w:spacing w:before="94" w:line="219" w:lineRule="auto"/>
              <w:ind w:left="283"/>
            </w:pPr>
            <w:r>
              <w:rPr>
                <w:spacing w:val="-1"/>
              </w:rPr>
              <w:t>409</w:t>
            </w:r>
          </w:p>
        </w:tc>
        <w:tc>
          <w:tcPr>
            <w:tcW w:w="892" w:type="dxa"/>
            <w:vAlign w:val="top"/>
          </w:tcPr>
          <w:p w14:paraId="7BD64077">
            <w:pPr>
              <w:pStyle w:val="6"/>
              <w:spacing w:before="94" w:line="219" w:lineRule="auto"/>
              <w:ind w:left="360"/>
            </w:pPr>
            <w:r>
              <w:rPr>
                <w:spacing w:val="-6"/>
              </w:rPr>
              <w:t>13</w:t>
            </w:r>
          </w:p>
        </w:tc>
        <w:tc>
          <w:tcPr>
            <w:tcW w:w="892" w:type="dxa"/>
            <w:vAlign w:val="top"/>
          </w:tcPr>
          <w:p w14:paraId="7409F246">
            <w:pPr>
              <w:pStyle w:val="6"/>
              <w:spacing w:before="94" w:line="219" w:lineRule="auto"/>
              <w:ind w:left="326"/>
            </w:pPr>
            <w:r>
              <w:rPr>
                <w:spacing w:val="-5"/>
              </w:rPr>
              <w:t>8.5</w:t>
            </w:r>
          </w:p>
        </w:tc>
        <w:tc>
          <w:tcPr>
            <w:tcW w:w="892" w:type="dxa"/>
            <w:vAlign w:val="top"/>
          </w:tcPr>
          <w:p w14:paraId="4C412912">
            <w:pPr>
              <w:pStyle w:val="6"/>
              <w:spacing w:before="94" w:line="219" w:lineRule="auto"/>
              <w:ind w:left="329"/>
            </w:pPr>
            <w:r>
              <w:rPr>
                <w:spacing w:val="-5"/>
              </w:rPr>
              <w:t>8.3</w:t>
            </w:r>
          </w:p>
        </w:tc>
        <w:tc>
          <w:tcPr>
            <w:tcW w:w="891" w:type="dxa"/>
            <w:vAlign w:val="top"/>
          </w:tcPr>
          <w:p w14:paraId="38187753">
            <w:pPr>
              <w:pStyle w:val="6"/>
              <w:spacing w:before="94" w:line="219" w:lineRule="auto"/>
              <w:ind w:left="274"/>
            </w:pPr>
            <w:r>
              <w:rPr>
                <w:spacing w:val="-2"/>
              </w:rPr>
              <w:t>0.37</w:t>
            </w:r>
          </w:p>
        </w:tc>
        <w:tc>
          <w:tcPr>
            <w:tcW w:w="906" w:type="dxa"/>
            <w:tcBorders>
              <w:right w:val="single" w:color="000000" w:sz="12" w:space="0"/>
            </w:tcBorders>
            <w:vAlign w:val="top"/>
          </w:tcPr>
          <w:p w14:paraId="11D5E1DE">
            <w:pPr>
              <w:pStyle w:val="6"/>
              <w:spacing w:before="94" w:line="219" w:lineRule="auto"/>
              <w:ind w:left="277"/>
            </w:pPr>
            <w:r>
              <w:rPr>
                <w:spacing w:val="-2"/>
              </w:rPr>
              <w:t>0.18</w:t>
            </w:r>
          </w:p>
        </w:tc>
      </w:tr>
      <w:tr w14:paraId="48A3E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00DCC30A">
            <w:pPr>
              <w:rPr>
                <w:rFonts w:ascii="Arial"/>
                <w:sz w:val="21"/>
              </w:rPr>
            </w:pPr>
          </w:p>
        </w:tc>
        <w:tc>
          <w:tcPr>
            <w:tcW w:w="422" w:type="dxa"/>
            <w:vMerge w:val="continue"/>
            <w:tcBorders>
              <w:top w:val="nil"/>
              <w:bottom w:val="nil"/>
            </w:tcBorders>
            <w:vAlign w:val="top"/>
          </w:tcPr>
          <w:p w14:paraId="21691B96">
            <w:pPr>
              <w:rPr>
                <w:rFonts w:ascii="Arial"/>
                <w:sz w:val="21"/>
              </w:rPr>
            </w:pPr>
          </w:p>
        </w:tc>
        <w:tc>
          <w:tcPr>
            <w:tcW w:w="1414" w:type="dxa"/>
            <w:vAlign w:val="top"/>
          </w:tcPr>
          <w:p w14:paraId="7EF84CC3">
            <w:pPr>
              <w:pStyle w:val="6"/>
              <w:spacing w:before="95" w:line="219" w:lineRule="auto"/>
              <w:ind w:left="274"/>
            </w:pPr>
            <w:r>
              <w:rPr>
                <w:spacing w:val="-1"/>
              </w:rPr>
              <w:t>2021/7/20</w:t>
            </w:r>
          </w:p>
        </w:tc>
        <w:tc>
          <w:tcPr>
            <w:tcW w:w="892" w:type="dxa"/>
            <w:vAlign w:val="top"/>
          </w:tcPr>
          <w:p w14:paraId="138EAF1B">
            <w:pPr>
              <w:pStyle w:val="6"/>
              <w:spacing w:before="95" w:line="219" w:lineRule="auto"/>
              <w:ind w:left="289"/>
            </w:pPr>
            <w:r>
              <w:rPr>
                <w:spacing w:val="-2"/>
              </w:rPr>
              <w:t>387</w:t>
            </w:r>
          </w:p>
        </w:tc>
        <w:tc>
          <w:tcPr>
            <w:tcW w:w="892" w:type="dxa"/>
            <w:vAlign w:val="top"/>
          </w:tcPr>
          <w:p w14:paraId="76F7E428">
            <w:pPr>
              <w:pStyle w:val="6"/>
              <w:spacing w:before="95" w:line="219" w:lineRule="auto"/>
              <w:ind w:left="360"/>
            </w:pPr>
            <w:r>
              <w:rPr>
                <w:spacing w:val="-6"/>
              </w:rPr>
              <w:t>16</w:t>
            </w:r>
          </w:p>
        </w:tc>
        <w:tc>
          <w:tcPr>
            <w:tcW w:w="892" w:type="dxa"/>
            <w:vAlign w:val="top"/>
          </w:tcPr>
          <w:p w14:paraId="62B04FE6">
            <w:pPr>
              <w:pStyle w:val="6"/>
              <w:spacing w:before="95" w:line="219" w:lineRule="auto"/>
              <w:ind w:left="326"/>
            </w:pPr>
            <w:r>
              <w:rPr>
                <w:spacing w:val="-5"/>
              </w:rPr>
              <w:t>8.5</w:t>
            </w:r>
          </w:p>
        </w:tc>
        <w:tc>
          <w:tcPr>
            <w:tcW w:w="892" w:type="dxa"/>
            <w:vAlign w:val="top"/>
          </w:tcPr>
          <w:p w14:paraId="115113C4">
            <w:pPr>
              <w:pStyle w:val="6"/>
              <w:spacing w:before="95" w:line="219" w:lineRule="auto"/>
              <w:ind w:left="329"/>
            </w:pPr>
            <w:r>
              <w:rPr>
                <w:spacing w:val="-5"/>
              </w:rPr>
              <w:t>8.2</w:t>
            </w:r>
          </w:p>
        </w:tc>
        <w:tc>
          <w:tcPr>
            <w:tcW w:w="891" w:type="dxa"/>
            <w:vAlign w:val="top"/>
          </w:tcPr>
          <w:p w14:paraId="25B745A3">
            <w:pPr>
              <w:pStyle w:val="6"/>
              <w:spacing w:before="95" w:line="219" w:lineRule="auto"/>
              <w:ind w:left="274"/>
            </w:pPr>
            <w:r>
              <w:rPr>
                <w:spacing w:val="-2"/>
              </w:rPr>
              <w:t>0.35</w:t>
            </w:r>
          </w:p>
        </w:tc>
        <w:tc>
          <w:tcPr>
            <w:tcW w:w="906" w:type="dxa"/>
            <w:tcBorders>
              <w:right w:val="single" w:color="000000" w:sz="12" w:space="0"/>
            </w:tcBorders>
            <w:vAlign w:val="top"/>
          </w:tcPr>
          <w:p w14:paraId="3DDF7ED8">
            <w:pPr>
              <w:pStyle w:val="6"/>
              <w:spacing w:before="95" w:line="219" w:lineRule="auto"/>
              <w:ind w:left="277"/>
            </w:pPr>
            <w:r>
              <w:rPr>
                <w:spacing w:val="-2"/>
              </w:rPr>
              <w:t>0.15</w:t>
            </w:r>
          </w:p>
        </w:tc>
      </w:tr>
      <w:tr w14:paraId="6A174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449D04EF">
            <w:pPr>
              <w:rPr>
                <w:rFonts w:ascii="Arial"/>
                <w:sz w:val="21"/>
              </w:rPr>
            </w:pPr>
          </w:p>
        </w:tc>
        <w:tc>
          <w:tcPr>
            <w:tcW w:w="422" w:type="dxa"/>
            <w:vMerge w:val="continue"/>
            <w:tcBorders>
              <w:top w:val="nil"/>
            </w:tcBorders>
            <w:vAlign w:val="top"/>
          </w:tcPr>
          <w:p w14:paraId="3BF560AF">
            <w:pPr>
              <w:rPr>
                <w:rFonts w:ascii="Arial"/>
                <w:sz w:val="21"/>
              </w:rPr>
            </w:pPr>
          </w:p>
        </w:tc>
        <w:tc>
          <w:tcPr>
            <w:tcW w:w="1414" w:type="dxa"/>
            <w:vAlign w:val="top"/>
          </w:tcPr>
          <w:p w14:paraId="50330E71">
            <w:pPr>
              <w:pStyle w:val="6"/>
              <w:spacing w:before="95" w:line="218" w:lineRule="auto"/>
              <w:ind w:left="274"/>
            </w:pPr>
            <w:r>
              <w:rPr>
                <w:spacing w:val="-1"/>
              </w:rPr>
              <w:t>2021/7/21</w:t>
            </w:r>
          </w:p>
        </w:tc>
        <w:tc>
          <w:tcPr>
            <w:tcW w:w="892" w:type="dxa"/>
            <w:vAlign w:val="top"/>
          </w:tcPr>
          <w:p w14:paraId="4B660563">
            <w:pPr>
              <w:pStyle w:val="6"/>
              <w:spacing w:before="95" w:line="218" w:lineRule="auto"/>
              <w:ind w:left="289"/>
            </w:pPr>
            <w:r>
              <w:rPr>
                <w:spacing w:val="-3"/>
              </w:rPr>
              <w:t>395</w:t>
            </w:r>
          </w:p>
        </w:tc>
        <w:tc>
          <w:tcPr>
            <w:tcW w:w="892" w:type="dxa"/>
            <w:vAlign w:val="top"/>
          </w:tcPr>
          <w:p w14:paraId="4EA39DD7">
            <w:pPr>
              <w:pStyle w:val="6"/>
              <w:spacing w:before="95" w:line="218" w:lineRule="auto"/>
              <w:ind w:left="360"/>
            </w:pPr>
            <w:r>
              <w:rPr>
                <w:spacing w:val="-6"/>
              </w:rPr>
              <w:t>14</w:t>
            </w:r>
          </w:p>
        </w:tc>
        <w:tc>
          <w:tcPr>
            <w:tcW w:w="892" w:type="dxa"/>
            <w:vAlign w:val="top"/>
          </w:tcPr>
          <w:p w14:paraId="7641D69D">
            <w:pPr>
              <w:pStyle w:val="6"/>
              <w:spacing w:before="95" w:line="218" w:lineRule="auto"/>
              <w:ind w:left="326"/>
            </w:pPr>
            <w:r>
              <w:rPr>
                <w:spacing w:val="-5"/>
              </w:rPr>
              <w:t>8.6</w:t>
            </w:r>
          </w:p>
        </w:tc>
        <w:tc>
          <w:tcPr>
            <w:tcW w:w="892" w:type="dxa"/>
            <w:vAlign w:val="top"/>
          </w:tcPr>
          <w:p w14:paraId="410DEE69">
            <w:pPr>
              <w:pStyle w:val="6"/>
              <w:spacing w:before="95" w:line="218" w:lineRule="auto"/>
              <w:ind w:left="329"/>
            </w:pPr>
            <w:r>
              <w:rPr>
                <w:spacing w:val="-5"/>
              </w:rPr>
              <w:t>8.3</w:t>
            </w:r>
          </w:p>
        </w:tc>
        <w:tc>
          <w:tcPr>
            <w:tcW w:w="891" w:type="dxa"/>
            <w:vAlign w:val="top"/>
          </w:tcPr>
          <w:p w14:paraId="1CF6F561">
            <w:pPr>
              <w:pStyle w:val="6"/>
              <w:spacing w:before="95" w:line="218" w:lineRule="auto"/>
              <w:ind w:left="274"/>
            </w:pPr>
            <w:r>
              <w:rPr>
                <w:spacing w:val="-2"/>
              </w:rPr>
              <w:t>0.34</w:t>
            </w:r>
          </w:p>
        </w:tc>
        <w:tc>
          <w:tcPr>
            <w:tcW w:w="906" w:type="dxa"/>
            <w:tcBorders>
              <w:right w:val="single" w:color="000000" w:sz="12" w:space="0"/>
            </w:tcBorders>
            <w:vAlign w:val="top"/>
          </w:tcPr>
          <w:p w14:paraId="77DF76D2">
            <w:pPr>
              <w:pStyle w:val="6"/>
              <w:spacing w:before="95" w:line="218" w:lineRule="auto"/>
              <w:ind w:left="277"/>
            </w:pPr>
            <w:r>
              <w:rPr>
                <w:spacing w:val="-2"/>
              </w:rPr>
              <w:t>0.16</w:t>
            </w:r>
          </w:p>
        </w:tc>
      </w:tr>
      <w:tr w14:paraId="0521D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1B12FF92">
            <w:pPr>
              <w:spacing w:line="299" w:lineRule="auto"/>
              <w:rPr>
                <w:rFonts w:ascii="Arial"/>
                <w:sz w:val="21"/>
              </w:rPr>
            </w:pPr>
          </w:p>
          <w:p w14:paraId="1CE6C045">
            <w:pPr>
              <w:spacing w:line="300" w:lineRule="auto"/>
              <w:rPr>
                <w:rFonts w:ascii="Arial"/>
                <w:sz w:val="21"/>
              </w:rPr>
            </w:pPr>
          </w:p>
          <w:p w14:paraId="5FA92561">
            <w:pPr>
              <w:spacing w:line="300" w:lineRule="auto"/>
              <w:rPr>
                <w:rFonts w:ascii="Arial"/>
                <w:sz w:val="21"/>
              </w:rPr>
            </w:pPr>
          </w:p>
          <w:p w14:paraId="1CEA157D">
            <w:pPr>
              <w:spacing w:line="300" w:lineRule="auto"/>
              <w:rPr>
                <w:rFonts w:ascii="Arial"/>
                <w:sz w:val="21"/>
              </w:rPr>
            </w:pPr>
          </w:p>
          <w:p w14:paraId="49138575">
            <w:pPr>
              <w:pStyle w:val="6"/>
              <w:spacing w:before="68" w:line="235" w:lineRule="auto"/>
              <w:ind w:left="101" w:right="110" w:firstLine="66"/>
              <w:rPr>
                <w:rFonts w:ascii="宋体" w:hAnsi="宋体" w:eastAsia="宋体" w:cs="宋体"/>
              </w:rPr>
            </w:pPr>
            <w:r>
              <w:rPr>
                <w:spacing w:val="-4"/>
              </w:rPr>
              <w:t>10#</w:t>
            </w:r>
            <w:r>
              <w:rPr>
                <w:rFonts w:ascii="宋体" w:hAnsi="宋体" w:eastAsia="宋体" w:cs="宋体"/>
                <w:spacing w:val="-4"/>
              </w:rPr>
              <w:t>隧洞排</w:t>
            </w:r>
            <w:r>
              <w:rPr>
                <w:rFonts w:ascii="宋体" w:hAnsi="宋体" w:eastAsia="宋体" w:cs="宋体"/>
                <w:spacing w:val="-3"/>
              </w:rPr>
              <w:t>水处理系统</w:t>
            </w:r>
          </w:p>
        </w:tc>
        <w:tc>
          <w:tcPr>
            <w:tcW w:w="422" w:type="dxa"/>
            <w:vMerge w:val="restart"/>
            <w:tcBorders>
              <w:bottom w:val="nil"/>
            </w:tcBorders>
            <w:vAlign w:val="top"/>
          </w:tcPr>
          <w:p w14:paraId="1A6AA597">
            <w:pPr>
              <w:pStyle w:val="6"/>
              <w:spacing w:before="161" w:line="222" w:lineRule="auto"/>
              <w:ind w:left="167"/>
            </w:pPr>
            <w:r>
              <w:t>1</w:t>
            </w:r>
          </w:p>
          <w:p w14:paraId="45078792">
            <w:pPr>
              <w:spacing w:line="219" w:lineRule="auto"/>
              <w:ind w:left="99"/>
              <w:rPr>
                <w:rFonts w:ascii="宋体" w:hAnsi="宋体" w:eastAsia="宋体" w:cs="宋体"/>
                <w:sz w:val="21"/>
                <w:szCs w:val="21"/>
              </w:rPr>
            </w:pPr>
            <w:r>
              <w:rPr>
                <w:rFonts w:ascii="宋体" w:hAnsi="宋体" w:eastAsia="宋体" w:cs="宋体"/>
                <w:sz w:val="21"/>
                <w:szCs w:val="21"/>
              </w:rPr>
              <w:t>季</w:t>
            </w:r>
          </w:p>
          <w:p w14:paraId="542200C4">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761F69EA">
            <w:pPr>
              <w:pStyle w:val="6"/>
              <w:spacing w:before="97" w:line="216" w:lineRule="auto"/>
              <w:ind w:left="274"/>
            </w:pPr>
            <w:r>
              <w:rPr>
                <w:spacing w:val="-1"/>
              </w:rPr>
              <w:t>2021/3/18</w:t>
            </w:r>
          </w:p>
        </w:tc>
        <w:tc>
          <w:tcPr>
            <w:tcW w:w="892" w:type="dxa"/>
            <w:vAlign w:val="top"/>
          </w:tcPr>
          <w:p w14:paraId="23FC1B47">
            <w:pPr>
              <w:pStyle w:val="6"/>
              <w:spacing w:before="97" w:line="216" w:lineRule="auto"/>
              <w:ind w:left="289"/>
            </w:pPr>
            <w:r>
              <w:rPr>
                <w:spacing w:val="-2"/>
              </w:rPr>
              <w:t>361</w:t>
            </w:r>
          </w:p>
        </w:tc>
        <w:tc>
          <w:tcPr>
            <w:tcW w:w="892" w:type="dxa"/>
            <w:vAlign w:val="top"/>
          </w:tcPr>
          <w:p w14:paraId="17043A94">
            <w:pPr>
              <w:pStyle w:val="6"/>
              <w:spacing w:before="101" w:line="186" w:lineRule="auto"/>
              <w:ind w:left="327"/>
            </w:pPr>
            <w:r>
              <w:rPr>
                <w:spacing w:val="-1"/>
              </w:rPr>
              <w:t>4L</w:t>
            </w:r>
          </w:p>
        </w:tc>
        <w:tc>
          <w:tcPr>
            <w:tcW w:w="892" w:type="dxa"/>
            <w:vAlign w:val="top"/>
          </w:tcPr>
          <w:p w14:paraId="12A84E23">
            <w:pPr>
              <w:pStyle w:val="6"/>
              <w:spacing w:before="97" w:line="216" w:lineRule="auto"/>
              <w:ind w:left="268"/>
            </w:pPr>
            <w:r>
              <w:rPr>
                <w:spacing w:val="-2"/>
              </w:rPr>
              <w:t>7.67</w:t>
            </w:r>
          </w:p>
        </w:tc>
        <w:tc>
          <w:tcPr>
            <w:tcW w:w="892" w:type="dxa"/>
            <w:vAlign w:val="top"/>
          </w:tcPr>
          <w:p w14:paraId="27DA9DC4">
            <w:pPr>
              <w:pStyle w:val="6"/>
              <w:spacing w:before="97" w:line="216" w:lineRule="auto"/>
              <w:ind w:left="271"/>
            </w:pPr>
            <w:r>
              <w:rPr>
                <w:spacing w:val="-2"/>
              </w:rPr>
              <w:t>7.55</w:t>
            </w:r>
          </w:p>
        </w:tc>
        <w:tc>
          <w:tcPr>
            <w:tcW w:w="891" w:type="dxa"/>
            <w:vAlign w:val="top"/>
          </w:tcPr>
          <w:p w14:paraId="5BF9BE83">
            <w:pPr>
              <w:pStyle w:val="6"/>
              <w:spacing w:before="97" w:line="216" w:lineRule="auto"/>
              <w:ind w:left="274"/>
            </w:pPr>
            <w:r>
              <w:rPr>
                <w:spacing w:val="-2"/>
              </w:rPr>
              <w:t>0.92</w:t>
            </w:r>
          </w:p>
        </w:tc>
        <w:tc>
          <w:tcPr>
            <w:tcW w:w="906" w:type="dxa"/>
            <w:tcBorders>
              <w:right w:val="single" w:color="000000" w:sz="12" w:space="0"/>
            </w:tcBorders>
            <w:vAlign w:val="top"/>
          </w:tcPr>
          <w:p w14:paraId="23F18A5D">
            <w:pPr>
              <w:pStyle w:val="6"/>
              <w:spacing w:before="97" w:line="216" w:lineRule="auto"/>
              <w:ind w:left="214"/>
            </w:pPr>
            <w:r>
              <w:rPr>
                <w:spacing w:val="-2"/>
              </w:rPr>
              <w:t>0.06L</w:t>
            </w:r>
          </w:p>
        </w:tc>
      </w:tr>
      <w:tr w14:paraId="28BE6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121E9D9F">
            <w:pPr>
              <w:rPr>
                <w:rFonts w:ascii="Arial"/>
                <w:sz w:val="21"/>
              </w:rPr>
            </w:pPr>
          </w:p>
        </w:tc>
        <w:tc>
          <w:tcPr>
            <w:tcW w:w="422" w:type="dxa"/>
            <w:vMerge w:val="continue"/>
            <w:tcBorders>
              <w:top w:val="nil"/>
              <w:bottom w:val="nil"/>
            </w:tcBorders>
            <w:vAlign w:val="top"/>
          </w:tcPr>
          <w:p w14:paraId="31636B38">
            <w:pPr>
              <w:rPr>
                <w:rFonts w:ascii="Arial"/>
                <w:sz w:val="21"/>
              </w:rPr>
            </w:pPr>
          </w:p>
        </w:tc>
        <w:tc>
          <w:tcPr>
            <w:tcW w:w="1414" w:type="dxa"/>
            <w:vAlign w:val="top"/>
          </w:tcPr>
          <w:p w14:paraId="620B734B">
            <w:pPr>
              <w:pStyle w:val="6"/>
              <w:spacing w:before="98" w:line="216" w:lineRule="auto"/>
              <w:ind w:left="274"/>
            </w:pPr>
            <w:r>
              <w:rPr>
                <w:spacing w:val="-1"/>
              </w:rPr>
              <w:t>2021/3/19</w:t>
            </w:r>
          </w:p>
        </w:tc>
        <w:tc>
          <w:tcPr>
            <w:tcW w:w="892" w:type="dxa"/>
            <w:vAlign w:val="top"/>
          </w:tcPr>
          <w:p w14:paraId="5C474740">
            <w:pPr>
              <w:pStyle w:val="6"/>
              <w:spacing w:before="98" w:line="216" w:lineRule="auto"/>
              <w:ind w:left="289"/>
            </w:pPr>
            <w:r>
              <w:rPr>
                <w:spacing w:val="-2"/>
              </w:rPr>
              <w:t>349</w:t>
            </w:r>
          </w:p>
        </w:tc>
        <w:tc>
          <w:tcPr>
            <w:tcW w:w="892" w:type="dxa"/>
            <w:vAlign w:val="top"/>
          </w:tcPr>
          <w:p w14:paraId="09799AE4">
            <w:pPr>
              <w:pStyle w:val="6"/>
              <w:spacing w:before="102" w:line="186" w:lineRule="auto"/>
              <w:ind w:left="327"/>
            </w:pPr>
            <w:r>
              <w:rPr>
                <w:spacing w:val="-1"/>
              </w:rPr>
              <w:t>4L</w:t>
            </w:r>
          </w:p>
        </w:tc>
        <w:tc>
          <w:tcPr>
            <w:tcW w:w="892" w:type="dxa"/>
            <w:vAlign w:val="top"/>
          </w:tcPr>
          <w:p w14:paraId="68E60285">
            <w:pPr>
              <w:pStyle w:val="6"/>
              <w:spacing w:before="98" w:line="216" w:lineRule="auto"/>
              <w:ind w:left="268"/>
            </w:pPr>
            <w:r>
              <w:rPr>
                <w:spacing w:val="-2"/>
              </w:rPr>
              <w:t>7.63</w:t>
            </w:r>
          </w:p>
        </w:tc>
        <w:tc>
          <w:tcPr>
            <w:tcW w:w="892" w:type="dxa"/>
            <w:vAlign w:val="top"/>
          </w:tcPr>
          <w:p w14:paraId="71FDAAF4">
            <w:pPr>
              <w:pStyle w:val="6"/>
              <w:spacing w:before="98" w:line="216" w:lineRule="auto"/>
              <w:ind w:left="271"/>
            </w:pPr>
            <w:r>
              <w:rPr>
                <w:spacing w:val="-2"/>
              </w:rPr>
              <w:t>7.54</w:t>
            </w:r>
          </w:p>
        </w:tc>
        <w:tc>
          <w:tcPr>
            <w:tcW w:w="891" w:type="dxa"/>
            <w:vAlign w:val="top"/>
          </w:tcPr>
          <w:p w14:paraId="2A1CD2BD">
            <w:pPr>
              <w:pStyle w:val="6"/>
              <w:spacing w:before="98" w:line="216" w:lineRule="auto"/>
              <w:ind w:left="274"/>
            </w:pPr>
            <w:r>
              <w:rPr>
                <w:spacing w:val="-2"/>
              </w:rPr>
              <w:t>0.91</w:t>
            </w:r>
          </w:p>
        </w:tc>
        <w:tc>
          <w:tcPr>
            <w:tcW w:w="906" w:type="dxa"/>
            <w:tcBorders>
              <w:right w:val="single" w:color="000000" w:sz="12" w:space="0"/>
            </w:tcBorders>
            <w:vAlign w:val="top"/>
          </w:tcPr>
          <w:p w14:paraId="35C3227E">
            <w:pPr>
              <w:pStyle w:val="6"/>
              <w:spacing w:before="98" w:line="216" w:lineRule="auto"/>
              <w:ind w:left="214"/>
            </w:pPr>
            <w:r>
              <w:rPr>
                <w:spacing w:val="-2"/>
              </w:rPr>
              <w:t>0.06L</w:t>
            </w:r>
          </w:p>
        </w:tc>
      </w:tr>
      <w:tr w14:paraId="6ED50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E1372F8">
            <w:pPr>
              <w:rPr>
                <w:rFonts w:ascii="Arial"/>
                <w:sz w:val="21"/>
              </w:rPr>
            </w:pPr>
          </w:p>
        </w:tc>
        <w:tc>
          <w:tcPr>
            <w:tcW w:w="422" w:type="dxa"/>
            <w:vMerge w:val="continue"/>
            <w:tcBorders>
              <w:top w:val="nil"/>
            </w:tcBorders>
            <w:vAlign w:val="top"/>
          </w:tcPr>
          <w:p w14:paraId="0819F16C">
            <w:pPr>
              <w:rPr>
                <w:rFonts w:ascii="Arial"/>
                <w:sz w:val="21"/>
              </w:rPr>
            </w:pPr>
          </w:p>
        </w:tc>
        <w:tc>
          <w:tcPr>
            <w:tcW w:w="1414" w:type="dxa"/>
            <w:vAlign w:val="top"/>
          </w:tcPr>
          <w:p w14:paraId="28C41483">
            <w:pPr>
              <w:pStyle w:val="6"/>
              <w:spacing w:before="100" w:line="213" w:lineRule="auto"/>
              <w:ind w:left="274"/>
            </w:pPr>
            <w:r>
              <w:rPr>
                <w:spacing w:val="-1"/>
              </w:rPr>
              <w:t>2021/3/20</w:t>
            </w:r>
          </w:p>
        </w:tc>
        <w:tc>
          <w:tcPr>
            <w:tcW w:w="892" w:type="dxa"/>
            <w:vAlign w:val="top"/>
          </w:tcPr>
          <w:p w14:paraId="77E95B81">
            <w:pPr>
              <w:pStyle w:val="6"/>
              <w:spacing w:before="100" w:line="213" w:lineRule="auto"/>
              <w:ind w:left="289"/>
            </w:pPr>
            <w:r>
              <w:rPr>
                <w:spacing w:val="-2"/>
              </w:rPr>
              <w:t>355</w:t>
            </w:r>
          </w:p>
        </w:tc>
        <w:tc>
          <w:tcPr>
            <w:tcW w:w="892" w:type="dxa"/>
            <w:vAlign w:val="top"/>
          </w:tcPr>
          <w:p w14:paraId="0C2DC7E7">
            <w:pPr>
              <w:pStyle w:val="6"/>
              <w:spacing w:before="104" w:line="186" w:lineRule="auto"/>
              <w:ind w:left="327"/>
            </w:pPr>
            <w:r>
              <w:rPr>
                <w:spacing w:val="-1"/>
              </w:rPr>
              <w:t>4L</w:t>
            </w:r>
          </w:p>
        </w:tc>
        <w:tc>
          <w:tcPr>
            <w:tcW w:w="892" w:type="dxa"/>
            <w:vAlign w:val="top"/>
          </w:tcPr>
          <w:p w14:paraId="4C5F6340">
            <w:pPr>
              <w:pStyle w:val="6"/>
              <w:spacing w:before="100" w:line="213" w:lineRule="auto"/>
              <w:ind w:left="268"/>
            </w:pPr>
            <w:r>
              <w:rPr>
                <w:spacing w:val="-2"/>
              </w:rPr>
              <w:t>7.60</w:t>
            </w:r>
          </w:p>
        </w:tc>
        <w:tc>
          <w:tcPr>
            <w:tcW w:w="892" w:type="dxa"/>
            <w:vAlign w:val="top"/>
          </w:tcPr>
          <w:p w14:paraId="772A080B">
            <w:pPr>
              <w:pStyle w:val="6"/>
              <w:spacing w:before="100" w:line="213" w:lineRule="auto"/>
              <w:ind w:left="271"/>
            </w:pPr>
            <w:r>
              <w:rPr>
                <w:spacing w:val="-2"/>
              </w:rPr>
              <w:t>7.47</w:t>
            </w:r>
          </w:p>
        </w:tc>
        <w:tc>
          <w:tcPr>
            <w:tcW w:w="891" w:type="dxa"/>
            <w:vAlign w:val="top"/>
          </w:tcPr>
          <w:p w14:paraId="6B49F483">
            <w:pPr>
              <w:pStyle w:val="6"/>
              <w:spacing w:before="100" w:line="213" w:lineRule="auto"/>
              <w:ind w:left="274"/>
            </w:pPr>
            <w:r>
              <w:rPr>
                <w:spacing w:val="-2"/>
              </w:rPr>
              <w:t>0.93</w:t>
            </w:r>
          </w:p>
        </w:tc>
        <w:tc>
          <w:tcPr>
            <w:tcW w:w="906" w:type="dxa"/>
            <w:tcBorders>
              <w:right w:val="single" w:color="000000" w:sz="12" w:space="0"/>
            </w:tcBorders>
            <w:vAlign w:val="top"/>
          </w:tcPr>
          <w:p w14:paraId="387E8795">
            <w:pPr>
              <w:pStyle w:val="6"/>
              <w:spacing w:before="100" w:line="213" w:lineRule="auto"/>
              <w:ind w:left="214"/>
            </w:pPr>
            <w:r>
              <w:rPr>
                <w:spacing w:val="-2"/>
              </w:rPr>
              <w:t>0.06L</w:t>
            </w:r>
          </w:p>
        </w:tc>
      </w:tr>
      <w:tr w14:paraId="081D6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1C3E886">
            <w:pPr>
              <w:rPr>
                <w:rFonts w:ascii="Arial"/>
                <w:sz w:val="21"/>
              </w:rPr>
            </w:pPr>
          </w:p>
        </w:tc>
        <w:tc>
          <w:tcPr>
            <w:tcW w:w="422" w:type="dxa"/>
            <w:vMerge w:val="restart"/>
            <w:tcBorders>
              <w:bottom w:val="nil"/>
            </w:tcBorders>
            <w:vAlign w:val="top"/>
          </w:tcPr>
          <w:p w14:paraId="74B960DE">
            <w:pPr>
              <w:pStyle w:val="6"/>
              <w:spacing w:before="164" w:line="223" w:lineRule="auto"/>
              <w:ind w:left="147"/>
            </w:pPr>
            <w:r>
              <w:t>2</w:t>
            </w:r>
          </w:p>
          <w:p w14:paraId="3BFA1E45">
            <w:pPr>
              <w:spacing w:line="219" w:lineRule="auto"/>
              <w:ind w:left="99"/>
              <w:rPr>
                <w:rFonts w:ascii="宋体" w:hAnsi="宋体" w:eastAsia="宋体" w:cs="宋体"/>
                <w:sz w:val="21"/>
                <w:szCs w:val="21"/>
              </w:rPr>
            </w:pPr>
            <w:r>
              <w:rPr>
                <w:rFonts w:ascii="宋体" w:hAnsi="宋体" w:eastAsia="宋体" w:cs="宋体"/>
                <w:sz w:val="21"/>
                <w:szCs w:val="21"/>
              </w:rPr>
              <w:t>季</w:t>
            </w:r>
          </w:p>
          <w:p w14:paraId="2C87AD59">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C3E57BA">
            <w:pPr>
              <w:pStyle w:val="6"/>
              <w:spacing w:before="101" w:line="213" w:lineRule="auto"/>
              <w:ind w:left="326"/>
            </w:pPr>
            <w:r>
              <w:rPr>
                <w:spacing w:val="-1"/>
              </w:rPr>
              <w:t>2021/6/3</w:t>
            </w:r>
          </w:p>
        </w:tc>
        <w:tc>
          <w:tcPr>
            <w:tcW w:w="892" w:type="dxa"/>
            <w:vAlign w:val="top"/>
          </w:tcPr>
          <w:p w14:paraId="583CFBD8">
            <w:pPr>
              <w:pStyle w:val="6"/>
              <w:spacing w:before="101" w:line="213" w:lineRule="auto"/>
              <w:ind w:left="337"/>
            </w:pPr>
            <w:r>
              <w:rPr>
                <w:spacing w:val="-1"/>
              </w:rPr>
              <w:t>22</w:t>
            </w:r>
          </w:p>
        </w:tc>
        <w:tc>
          <w:tcPr>
            <w:tcW w:w="892" w:type="dxa"/>
            <w:vAlign w:val="top"/>
          </w:tcPr>
          <w:p w14:paraId="4A48BB35">
            <w:pPr>
              <w:pStyle w:val="6"/>
              <w:spacing w:before="101" w:line="213" w:lineRule="auto"/>
              <w:ind w:left="360"/>
            </w:pPr>
            <w:r>
              <w:rPr>
                <w:spacing w:val="-6"/>
              </w:rPr>
              <w:t>14</w:t>
            </w:r>
          </w:p>
        </w:tc>
        <w:tc>
          <w:tcPr>
            <w:tcW w:w="892" w:type="dxa"/>
            <w:vAlign w:val="top"/>
          </w:tcPr>
          <w:p w14:paraId="1B30F2EA">
            <w:pPr>
              <w:pStyle w:val="6"/>
              <w:spacing w:before="101" w:line="213" w:lineRule="auto"/>
              <w:ind w:left="320"/>
            </w:pPr>
            <w:r>
              <w:rPr>
                <w:spacing w:val="-3"/>
              </w:rPr>
              <w:t>7.8</w:t>
            </w:r>
          </w:p>
        </w:tc>
        <w:tc>
          <w:tcPr>
            <w:tcW w:w="892" w:type="dxa"/>
            <w:vAlign w:val="top"/>
          </w:tcPr>
          <w:p w14:paraId="65A84309">
            <w:pPr>
              <w:pStyle w:val="6"/>
              <w:spacing w:before="101" w:line="213" w:lineRule="auto"/>
              <w:ind w:left="324"/>
            </w:pPr>
            <w:r>
              <w:rPr>
                <w:spacing w:val="-3"/>
              </w:rPr>
              <w:t>7.8</w:t>
            </w:r>
          </w:p>
        </w:tc>
        <w:tc>
          <w:tcPr>
            <w:tcW w:w="891" w:type="dxa"/>
            <w:vAlign w:val="top"/>
          </w:tcPr>
          <w:p w14:paraId="0FDBB57B">
            <w:pPr>
              <w:pStyle w:val="6"/>
              <w:spacing w:before="101" w:line="213" w:lineRule="auto"/>
              <w:ind w:left="274"/>
            </w:pPr>
            <w:r>
              <w:rPr>
                <w:spacing w:val="-2"/>
              </w:rPr>
              <w:t>0.15</w:t>
            </w:r>
          </w:p>
        </w:tc>
        <w:tc>
          <w:tcPr>
            <w:tcW w:w="906" w:type="dxa"/>
            <w:tcBorders>
              <w:right w:val="single" w:color="000000" w:sz="12" w:space="0"/>
            </w:tcBorders>
            <w:vAlign w:val="top"/>
          </w:tcPr>
          <w:p w14:paraId="6EFAA0A4">
            <w:pPr>
              <w:pStyle w:val="6"/>
              <w:spacing w:before="101" w:line="213" w:lineRule="auto"/>
              <w:ind w:left="277"/>
            </w:pPr>
            <w:r>
              <w:rPr>
                <w:spacing w:val="-2"/>
              </w:rPr>
              <w:t>0.09</w:t>
            </w:r>
          </w:p>
        </w:tc>
      </w:tr>
      <w:tr w14:paraId="4BEAC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73918DAC">
            <w:pPr>
              <w:rPr>
                <w:rFonts w:ascii="Arial"/>
                <w:sz w:val="21"/>
              </w:rPr>
            </w:pPr>
          </w:p>
        </w:tc>
        <w:tc>
          <w:tcPr>
            <w:tcW w:w="422" w:type="dxa"/>
            <w:vMerge w:val="continue"/>
            <w:tcBorders>
              <w:top w:val="nil"/>
              <w:bottom w:val="nil"/>
            </w:tcBorders>
            <w:vAlign w:val="top"/>
          </w:tcPr>
          <w:p w14:paraId="1E0B83C2">
            <w:pPr>
              <w:rPr>
                <w:rFonts w:ascii="Arial"/>
                <w:sz w:val="21"/>
              </w:rPr>
            </w:pPr>
          </w:p>
        </w:tc>
        <w:tc>
          <w:tcPr>
            <w:tcW w:w="1414" w:type="dxa"/>
            <w:vAlign w:val="top"/>
          </w:tcPr>
          <w:p w14:paraId="202C9614">
            <w:pPr>
              <w:pStyle w:val="6"/>
              <w:spacing w:before="101" w:line="212" w:lineRule="auto"/>
              <w:ind w:left="326"/>
            </w:pPr>
            <w:r>
              <w:rPr>
                <w:spacing w:val="-1"/>
              </w:rPr>
              <w:t>2021/6/4</w:t>
            </w:r>
          </w:p>
        </w:tc>
        <w:tc>
          <w:tcPr>
            <w:tcW w:w="892" w:type="dxa"/>
            <w:vAlign w:val="top"/>
          </w:tcPr>
          <w:p w14:paraId="46E33798">
            <w:pPr>
              <w:pStyle w:val="6"/>
              <w:spacing w:before="101" w:line="212" w:lineRule="auto"/>
              <w:ind w:left="337"/>
            </w:pPr>
            <w:r>
              <w:rPr>
                <w:spacing w:val="-1"/>
              </w:rPr>
              <w:t>25</w:t>
            </w:r>
          </w:p>
        </w:tc>
        <w:tc>
          <w:tcPr>
            <w:tcW w:w="892" w:type="dxa"/>
            <w:vAlign w:val="top"/>
          </w:tcPr>
          <w:p w14:paraId="65A55E4B">
            <w:pPr>
              <w:pStyle w:val="6"/>
              <w:spacing w:before="101" w:line="212" w:lineRule="auto"/>
              <w:ind w:left="360"/>
            </w:pPr>
            <w:r>
              <w:rPr>
                <w:spacing w:val="-6"/>
              </w:rPr>
              <w:t>11</w:t>
            </w:r>
          </w:p>
        </w:tc>
        <w:tc>
          <w:tcPr>
            <w:tcW w:w="892" w:type="dxa"/>
            <w:vAlign w:val="top"/>
          </w:tcPr>
          <w:p w14:paraId="2EA7FF58">
            <w:pPr>
              <w:pStyle w:val="6"/>
              <w:spacing w:before="101" w:line="212" w:lineRule="auto"/>
              <w:ind w:left="320"/>
            </w:pPr>
            <w:r>
              <w:rPr>
                <w:spacing w:val="-3"/>
              </w:rPr>
              <w:t>7.9</w:t>
            </w:r>
          </w:p>
        </w:tc>
        <w:tc>
          <w:tcPr>
            <w:tcW w:w="892" w:type="dxa"/>
            <w:vAlign w:val="top"/>
          </w:tcPr>
          <w:p w14:paraId="294224E8">
            <w:pPr>
              <w:pStyle w:val="6"/>
              <w:spacing w:before="101" w:line="212" w:lineRule="auto"/>
              <w:ind w:left="324"/>
            </w:pPr>
            <w:r>
              <w:rPr>
                <w:spacing w:val="-3"/>
              </w:rPr>
              <w:t>7.7</w:t>
            </w:r>
          </w:p>
        </w:tc>
        <w:tc>
          <w:tcPr>
            <w:tcW w:w="891" w:type="dxa"/>
            <w:vAlign w:val="top"/>
          </w:tcPr>
          <w:p w14:paraId="52973581">
            <w:pPr>
              <w:pStyle w:val="6"/>
              <w:spacing w:before="101" w:line="212" w:lineRule="auto"/>
              <w:ind w:left="274"/>
            </w:pPr>
            <w:r>
              <w:rPr>
                <w:spacing w:val="-2"/>
              </w:rPr>
              <w:t>0.14</w:t>
            </w:r>
          </w:p>
        </w:tc>
        <w:tc>
          <w:tcPr>
            <w:tcW w:w="906" w:type="dxa"/>
            <w:tcBorders>
              <w:right w:val="single" w:color="000000" w:sz="12" w:space="0"/>
            </w:tcBorders>
            <w:vAlign w:val="top"/>
          </w:tcPr>
          <w:p w14:paraId="7EA87CF8">
            <w:pPr>
              <w:pStyle w:val="6"/>
              <w:spacing w:before="101" w:line="212" w:lineRule="auto"/>
              <w:ind w:left="277"/>
            </w:pPr>
            <w:r>
              <w:rPr>
                <w:spacing w:val="-2"/>
              </w:rPr>
              <w:t>0.09</w:t>
            </w:r>
          </w:p>
        </w:tc>
      </w:tr>
      <w:tr w14:paraId="61E5C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0543451B">
            <w:pPr>
              <w:rPr>
                <w:rFonts w:ascii="Arial"/>
                <w:sz w:val="21"/>
              </w:rPr>
            </w:pPr>
          </w:p>
        </w:tc>
        <w:tc>
          <w:tcPr>
            <w:tcW w:w="422" w:type="dxa"/>
            <w:vMerge w:val="continue"/>
            <w:tcBorders>
              <w:top w:val="nil"/>
            </w:tcBorders>
            <w:vAlign w:val="top"/>
          </w:tcPr>
          <w:p w14:paraId="4A809CC5">
            <w:pPr>
              <w:rPr>
                <w:rFonts w:ascii="Arial"/>
                <w:sz w:val="21"/>
              </w:rPr>
            </w:pPr>
          </w:p>
        </w:tc>
        <w:tc>
          <w:tcPr>
            <w:tcW w:w="1414" w:type="dxa"/>
            <w:vAlign w:val="top"/>
          </w:tcPr>
          <w:p w14:paraId="1A605740">
            <w:pPr>
              <w:pStyle w:val="6"/>
              <w:spacing w:before="103" w:line="210" w:lineRule="auto"/>
              <w:ind w:left="326"/>
            </w:pPr>
            <w:r>
              <w:rPr>
                <w:spacing w:val="-1"/>
              </w:rPr>
              <w:t>2021/6/5</w:t>
            </w:r>
          </w:p>
        </w:tc>
        <w:tc>
          <w:tcPr>
            <w:tcW w:w="892" w:type="dxa"/>
            <w:vAlign w:val="top"/>
          </w:tcPr>
          <w:p w14:paraId="4F46D5F6">
            <w:pPr>
              <w:pStyle w:val="6"/>
              <w:spacing w:before="103" w:line="210" w:lineRule="auto"/>
              <w:ind w:left="337"/>
            </w:pPr>
            <w:r>
              <w:rPr>
                <w:spacing w:val="-1"/>
              </w:rPr>
              <w:t>23</w:t>
            </w:r>
          </w:p>
        </w:tc>
        <w:tc>
          <w:tcPr>
            <w:tcW w:w="892" w:type="dxa"/>
            <w:vAlign w:val="top"/>
          </w:tcPr>
          <w:p w14:paraId="2AE747B0">
            <w:pPr>
              <w:pStyle w:val="6"/>
              <w:spacing w:before="103" w:line="210" w:lineRule="auto"/>
              <w:ind w:left="360"/>
            </w:pPr>
            <w:r>
              <w:rPr>
                <w:spacing w:val="-6"/>
              </w:rPr>
              <w:t>13</w:t>
            </w:r>
          </w:p>
        </w:tc>
        <w:tc>
          <w:tcPr>
            <w:tcW w:w="892" w:type="dxa"/>
            <w:vAlign w:val="top"/>
          </w:tcPr>
          <w:p w14:paraId="0C562664">
            <w:pPr>
              <w:pStyle w:val="6"/>
              <w:spacing w:before="103" w:line="210" w:lineRule="auto"/>
              <w:ind w:left="320"/>
            </w:pPr>
            <w:r>
              <w:rPr>
                <w:spacing w:val="-3"/>
              </w:rPr>
              <w:t>7.8</w:t>
            </w:r>
          </w:p>
        </w:tc>
        <w:tc>
          <w:tcPr>
            <w:tcW w:w="892" w:type="dxa"/>
            <w:vAlign w:val="top"/>
          </w:tcPr>
          <w:p w14:paraId="2ACBB546">
            <w:pPr>
              <w:pStyle w:val="6"/>
              <w:spacing w:before="103" w:line="210" w:lineRule="auto"/>
              <w:ind w:left="324"/>
            </w:pPr>
            <w:r>
              <w:rPr>
                <w:spacing w:val="-3"/>
              </w:rPr>
              <w:t>7.7</w:t>
            </w:r>
          </w:p>
        </w:tc>
        <w:tc>
          <w:tcPr>
            <w:tcW w:w="891" w:type="dxa"/>
            <w:vAlign w:val="top"/>
          </w:tcPr>
          <w:p w14:paraId="33C3FCFE">
            <w:pPr>
              <w:pStyle w:val="6"/>
              <w:spacing w:before="103" w:line="210" w:lineRule="auto"/>
              <w:ind w:left="274"/>
            </w:pPr>
            <w:r>
              <w:rPr>
                <w:spacing w:val="-2"/>
              </w:rPr>
              <w:t>0.13</w:t>
            </w:r>
          </w:p>
        </w:tc>
        <w:tc>
          <w:tcPr>
            <w:tcW w:w="906" w:type="dxa"/>
            <w:tcBorders>
              <w:right w:val="single" w:color="000000" w:sz="12" w:space="0"/>
            </w:tcBorders>
            <w:vAlign w:val="top"/>
          </w:tcPr>
          <w:p w14:paraId="47245F35">
            <w:pPr>
              <w:pStyle w:val="6"/>
              <w:spacing w:before="103" w:line="210" w:lineRule="auto"/>
              <w:ind w:left="277"/>
            </w:pPr>
            <w:r>
              <w:rPr>
                <w:spacing w:val="-2"/>
              </w:rPr>
              <w:t>0.08</w:t>
            </w:r>
          </w:p>
        </w:tc>
      </w:tr>
      <w:tr w14:paraId="53FC5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524EB0BC">
            <w:pPr>
              <w:rPr>
                <w:rFonts w:ascii="Arial"/>
                <w:sz w:val="21"/>
              </w:rPr>
            </w:pPr>
          </w:p>
        </w:tc>
        <w:tc>
          <w:tcPr>
            <w:tcW w:w="422" w:type="dxa"/>
            <w:vMerge w:val="restart"/>
            <w:tcBorders>
              <w:bottom w:val="nil"/>
            </w:tcBorders>
            <w:vAlign w:val="top"/>
          </w:tcPr>
          <w:p w14:paraId="105F1896">
            <w:pPr>
              <w:pStyle w:val="6"/>
              <w:spacing w:before="169" w:line="222" w:lineRule="auto"/>
              <w:ind w:left="151"/>
            </w:pPr>
            <w:r>
              <w:t>3</w:t>
            </w:r>
          </w:p>
          <w:p w14:paraId="3AF6B36E">
            <w:pPr>
              <w:spacing w:line="219" w:lineRule="auto"/>
              <w:ind w:left="99"/>
              <w:rPr>
                <w:rFonts w:ascii="宋体" w:hAnsi="宋体" w:eastAsia="宋体" w:cs="宋体"/>
                <w:sz w:val="21"/>
                <w:szCs w:val="21"/>
              </w:rPr>
            </w:pPr>
            <w:r>
              <w:rPr>
                <w:rFonts w:ascii="宋体" w:hAnsi="宋体" w:eastAsia="宋体" w:cs="宋体"/>
                <w:sz w:val="21"/>
                <w:szCs w:val="21"/>
              </w:rPr>
              <w:t>季</w:t>
            </w:r>
          </w:p>
          <w:p w14:paraId="6BB1C57F">
            <w:pPr>
              <w:spacing w:before="23"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1D6DD1CC">
            <w:pPr>
              <w:pStyle w:val="6"/>
              <w:spacing w:before="104" w:line="210" w:lineRule="auto"/>
              <w:ind w:left="274"/>
            </w:pPr>
            <w:r>
              <w:rPr>
                <w:spacing w:val="-1"/>
              </w:rPr>
              <w:t>2021/7/19</w:t>
            </w:r>
          </w:p>
        </w:tc>
        <w:tc>
          <w:tcPr>
            <w:tcW w:w="892" w:type="dxa"/>
            <w:vAlign w:val="top"/>
          </w:tcPr>
          <w:p w14:paraId="2D2575A7">
            <w:pPr>
              <w:pStyle w:val="6"/>
              <w:spacing w:before="104" w:line="210" w:lineRule="auto"/>
              <w:ind w:left="289"/>
            </w:pPr>
            <w:r>
              <w:rPr>
                <w:spacing w:val="-3"/>
              </w:rPr>
              <w:t>694</w:t>
            </w:r>
          </w:p>
        </w:tc>
        <w:tc>
          <w:tcPr>
            <w:tcW w:w="892" w:type="dxa"/>
            <w:vAlign w:val="top"/>
          </w:tcPr>
          <w:p w14:paraId="3BB351CB">
            <w:pPr>
              <w:pStyle w:val="6"/>
              <w:spacing w:before="104" w:line="210" w:lineRule="auto"/>
              <w:ind w:left="402"/>
            </w:pPr>
            <w:r>
              <w:t>8</w:t>
            </w:r>
          </w:p>
        </w:tc>
        <w:tc>
          <w:tcPr>
            <w:tcW w:w="892" w:type="dxa"/>
            <w:vAlign w:val="top"/>
          </w:tcPr>
          <w:p w14:paraId="5E647113">
            <w:pPr>
              <w:pStyle w:val="6"/>
              <w:spacing w:before="104" w:line="210" w:lineRule="auto"/>
              <w:ind w:left="320"/>
            </w:pPr>
            <w:r>
              <w:rPr>
                <w:spacing w:val="-3"/>
              </w:rPr>
              <w:t>7.8</w:t>
            </w:r>
          </w:p>
        </w:tc>
        <w:tc>
          <w:tcPr>
            <w:tcW w:w="892" w:type="dxa"/>
            <w:vAlign w:val="top"/>
          </w:tcPr>
          <w:p w14:paraId="3131E49F">
            <w:pPr>
              <w:pStyle w:val="6"/>
              <w:spacing w:before="104" w:line="210" w:lineRule="auto"/>
              <w:ind w:left="324"/>
            </w:pPr>
            <w:r>
              <w:rPr>
                <w:spacing w:val="-3"/>
              </w:rPr>
              <w:t>7.7</w:t>
            </w:r>
          </w:p>
        </w:tc>
        <w:tc>
          <w:tcPr>
            <w:tcW w:w="891" w:type="dxa"/>
            <w:vAlign w:val="top"/>
          </w:tcPr>
          <w:p w14:paraId="48FF148D">
            <w:pPr>
              <w:pStyle w:val="6"/>
              <w:spacing w:before="104" w:line="210" w:lineRule="auto"/>
              <w:ind w:left="274"/>
            </w:pPr>
            <w:r>
              <w:rPr>
                <w:spacing w:val="-2"/>
              </w:rPr>
              <w:t>0.11</w:t>
            </w:r>
          </w:p>
        </w:tc>
        <w:tc>
          <w:tcPr>
            <w:tcW w:w="906" w:type="dxa"/>
            <w:tcBorders>
              <w:right w:val="single" w:color="000000" w:sz="12" w:space="0"/>
            </w:tcBorders>
            <w:vAlign w:val="top"/>
          </w:tcPr>
          <w:p w14:paraId="034187E1">
            <w:pPr>
              <w:pStyle w:val="6"/>
              <w:spacing w:before="104" w:line="210" w:lineRule="auto"/>
              <w:ind w:left="214"/>
            </w:pPr>
            <w:r>
              <w:rPr>
                <w:spacing w:val="-2"/>
              </w:rPr>
              <w:t>0.06L</w:t>
            </w:r>
          </w:p>
        </w:tc>
      </w:tr>
      <w:tr w14:paraId="59701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8645376">
            <w:pPr>
              <w:rPr>
                <w:rFonts w:ascii="Arial"/>
                <w:sz w:val="21"/>
              </w:rPr>
            </w:pPr>
          </w:p>
        </w:tc>
        <w:tc>
          <w:tcPr>
            <w:tcW w:w="422" w:type="dxa"/>
            <w:vMerge w:val="continue"/>
            <w:tcBorders>
              <w:top w:val="nil"/>
              <w:bottom w:val="nil"/>
            </w:tcBorders>
            <w:vAlign w:val="top"/>
          </w:tcPr>
          <w:p w14:paraId="32FDDB3D">
            <w:pPr>
              <w:rPr>
                <w:rFonts w:ascii="Arial"/>
                <w:sz w:val="21"/>
              </w:rPr>
            </w:pPr>
          </w:p>
        </w:tc>
        <w:tc>
          <w:tcPr>
            <w:tcW w:w="1414" w:type="dxa"/>
            <w:vAlign w:val="top"/>
          </w:tcPr>
          <w:p w14:paraId="65B44F2F">
            <w:pPr>
              <w:pStyle w:val="6"/>
              <w:spacing w:before="105" w:line="208" w:lineRule="auto"/>
              <w:ind w:left="274"/>
            </w:pPr>
            <w:r>
              <w:rPr>
                <w:spacing w:val="-1"/>
              </w:rPr>
              <w:t>2021/7/20</w:t>
            </w:r>
          </w:p>
        </w:tc>
        <w:tc>
          <w:tcPr>
            <w:tcW w:w="892" w:type="dxa"/>
            <w:vAlign w:val="top"/>
          </w:tcPr>
          <w:p w14:paraId="772A5B07">
            <w:pPr>
              <w:pStyle w:val="6"/>
              <w:spacing w:before="105" w:line="208" w:lineRule="auto"/>
              <w:ind w:left="289"/>
            </w:pPr>
            <w:r>
              <w:rPr>
                <w:spacing w:val="-3"/>
              </w:rPr>
              <w:t>677</w:t>
            </w:r>
          </w:p>
        </w:tc>
        <w:tc>
          <w:tcPr>
            <w:tcW w:w="892" w:type="dxa"/>
            <w:vAlign w:val="top"/>
          </w:tcPr>
          <w:p w14:paraId="0F562D13">
            <w:pPr>
              <w:pStyle w:val="6"/>
              <w:spacing w:before="105" w:line="208" w:lineRule="auto"/>
              <w:ind w:left="360"/>
            </w:pPr>
            <w:r>
              <w:rPr>
                <w:spacing w:val="-6"/>
              </w:rPr>
              <w:t>11</w:t>
            </w:r>
          </w:p>
        </w:tc>
        <w:tc>
          <w:tcPr>
            <w:tcW w:w="892" w:type="dxa"/>
            <w:vAlign w:val="top"/>
          </w:tcPr>
          <w:p w14:paraId="24982152">
            <w:pPr>
              <w:pStyle w:val="6"/>
              <w:spacing w:before="105" w:line="208" w:lineRule="auto"/>
              <w:ind w:left="320"/>
            </w:pPr>
            <w:r>
              <w:rPr>
                <w:spacing w:val="-3"/>
              </w:rPr>
              <w:t>7.9</w:t>
            </w:r>
          </w:p>
        </w:tc>
        <w:tc>
          <w:tcPr>
            <w:tcW w:w="892" w:type="dxa"/>
            <w:vAlign w:val="top"/>
          </w:tcPr>
          <w:p w14:paraId="669A6A0F">
            <w:pPr>
              <w:pStyle w:val="6"/>
              <w:spacing w:before="105" w:line="208" w:lineRule="auto"/>
              <w:ind w:left="324"/>
            </w:pPr>
            <w:r>
              <w:rPr>
                <w:spacing w:val="-3"/>
              </w:rPr>
              <w:t>7.6</w:t>
            </w:r>
          </w:p>
        </w:tc>
        <w:tc>
          <w:tcPr>
            <w:tcW w:w="891" w:type="dxa"/>
            <w:vAlign w:val="top"/>
          </w:tcPr>
          <w:p w14:paraId="049937DD">
            <w:pPr>
              <w:pStyle w:val="6"/>
              <w:spacing w:before="105" w:line="208" w:lineRule="auto"/>
              <w:ind w:left="274"/>
            </w:pPr>
            <w:r>
              <w:rPr>
                <w:spacing w:val="-2"/>
              </w:rPr>
              <w:t>0.11</w:t>
            </w:r>
          </w:p>
        </w:tc>
        <w:tc>
          <w:tcPr>
            <w:tcW w:w="906" w:type="dxa"/>
            <w:tcBorders>
              <w:right w:val="single" w:color="000000" w:sz="12" w:space="0"/>
            </w:tcBorders>
            <w:vAlign w:val="top"/>
          </w:tcPr>
          <w:p w14:paraId="008526C5">
            <w:pPr>
              <w:pStyle w:val="6"/>
              <w:spacing w:before="105" w:line="208" w:lineRule="auto"/>
              <w:ind w:left="214"/>
            </w:pPr>
            <w:r>
              <w:rPr>
                <w:spacing w:val="-2"/>
              </w:rPr>
              <w:t>0.06L</w:t>
            </w:r>
          </w:p>
        </w:tc>
      </w:tr>
      <w:tr w14:paraId="2CD43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tcBorders>
            <w:vAlign w:val="top"/>
          </w:tcPr>
          <w:p w14:paraId="73BBDEA7">
            <w:pPr>
              <w:rPr>
                <w:rFonts w:ascii="Arial"/>
                <w:sz w:val="21"/>
              </w:rPr>
            </w:pPr>
          </w:p>
        </w:tc>
        <w:tc>
          <w:tcPr>
            <w:tcW w:w="422" w:type="dxa"/>
            <w:vMerge w:val="continue"/>
            <w:tcBorders>
              <w:top w:val="nil"/>
            </w:tcBorders>
            <w:vAlign w:val="top"/>
          </w:tcPr>
          <w:p w14:paraId="62965457">
            <w:pPr>
              <w:rPr>
                <w:rFonts w:ascii="Arial"/>
                <w:sz w:val="21"/>
              </w:rPr>
            </w:pPr>
          </w:p>
        </w:tc>
        <w:tc>
          <w:tcPr>
            <w:tcW w:w="1414" w:type="dxa"/>
            <w:vAlign w:val="top"/>
          </w:tcPr>
          <w:p w14:paraId="62D3B248">
            <w:pPr>
              <w:pStyle w:val="6"/>
              <w:spacing w:before="106" w:line="208" w:lineRule="auto"/>
              <w:ind w:left="274"/>
            </w:pPr>
            <w:r>
              <w:rPr>
                <w:spacing w:val="-1"/>
              </w:rPr>
              <w:t>2021/7/21</w:t>
            </w:r>
          </w:p>
        </w:tc>
        <w:tc>
          <w:tcPr>
            <w:tcW w:w="892" w:type="dxa"/>
            <w:vAlign w:val="top"/>
          </w:tcPr>
          <w:p w14:paraId="24431705">
            <w:pPr>
              <w:pStyle w:val="6"/>
              <w:spacing w:before="106" w:line="208" w:lineRule="auto"/>
              <w:ind w:left="289"/>
            </w:pPr>
            <w:r>
              <w:rPr>
                <w:spacing w:val="-3"/>
              </w:rPr>
              <w:t>682</w:t>
            </w:r>
          </w:p>
        </w:tc>
        <w:tc>
          <w:tcPr>
            <w:tcW w:w="892" w:type="dxa"/>
            <w:vAlign w:val="top"/>
          </w:tcPr>
          <w:p w14:paraId="02197FCB">
            <w:pPr>
              <w:pStyle w:val="6"/>
              <w:spacing w:before="106" w:line="208" w:lineRule="auto"/>
              <w:ind w:left="397"/>
            </w:pPr>
            <w:r>
              <w:t>9</w:t>
            </w:r>
          </w:p>
        </w:tc>
        <w:tc>
          <w:tcPr>
            <w:tcW w:w="892" w:type="dxa"/>
            <w:vAlign w:val="top"/>
          </w:tcPr>
          <w:p w14:paraId="5CC4B6B3">
            <w:pPr>
              <w:pStyle w:val="6"/>
              <w:spacing w:before="106" w:line="208" w:lineRule="auto"/>
              <w:ind w:left="320"/>
            </w:pPr>
            <w:r>
              <w:rPr>
                <w:spacing w:val="-3"/>
              </w:rPr>
              <w:t>7.8</w:t>
            </w:r>
          </w:p>
        </w:tc>
        <w:tc>
          <w:tcPr>
            <w:tcW w:w="892" w:type="dxa"/>
            <w:vAlign w:val="top"/>
          </w:tcPr>
          <w:p w14:paraId="31251DF6">
            <w:pPr>
              <w:pStyle w:val="6"/>
              <w:spacing w:before="106" w:line="208" w:lineRule="auto"/>
              <w:ind w:left="324"/>
            </w:pPr>
            <w:r>
              <w:rPr>
                <w:spacing w:val="-3"/>
              </w:rPr>
              <w:t>7.6</w:t>
            </w:r>
          </w:p>
        </w:tc>
        <w:tc>
          <w:tcPr>
            <w:tcW w:w="891" w:type="dxa"/>
            <w:vAlign w:val="top"/>
          </w:tcPr>
          <w:p w14:paraId="34C37520">
            <w:pPr>
              <w:pStyle w:val="6"/>
              <w:spacing w:before="106" w:line="208" w:lineRule="auto"/>
              <w:ind w:left="274"/>
            </w:pPr>
            <w:r>
              <w:rPr>
                <w:spacing w:val="-2"/>
              </w:rPr>
              <w:t>0.11</w:t>
            </w:r>
          </w:p>
        </w:tc>
        <w:tc>
          <w:tcPr>
            <w:tcW w:w="906" w:type="dxa"/>
            <w:tcBorders>
              <w:right w:val="single" w:color="000000" w:sz="12" w:space="0"/>
            </w:tcBorders>
            <w:vAlign w:val="top"/>
          </w:tcPr>
          <w:p w14:paraId="3D729869">
            <w:pPr>
              <w:pStyle w:val="6"/>
              <w:spacing w:before="106" w:line="208" w:lineRule="auto"/>
              <w:ind w:left="214"/>
            </w:pPr>
            <w:r>
              <w:rPr>
                <w:spacing w:val="-2"/>
              </w:rPr>
              <w:t>0.06L</w:t>
            </w:r>
          </w:p>
        </w:tc>
      </w:tr>
      <w:tr w14:paraId="60117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0AB34C39">
            <w:pPr>
              <w:spacing w:line="353" w:lineRule="auto"/>
              <w:rPr>
                <w:rFonts w:ascii="Arial"/>
                <w:sz w:val="21"/>
              </w:rPr>
            </w:pPr>
          </w:p>
          <w:p w14:paraId="37B63345">
            <w:pPr>
              <w:spacing w:line="354" w:lineRule="auto"/>
              <w:rPr>
                <w:rFonts w:ascii="Arial"/>
                <w:sz w:val="21"/>
              </w:rPr>
            </w:pPr>
          </w:p>
          <w:p w14:paraId="1CFCAB09">
            <w:pPr>
              <w:pStyle w:val="6"/>
              <w:spacing w:before="68" w:line="235" w:lineRule="auto"/>
              <w:ind w:left="101" w:right="110" w:firstLine="66"/>
              <w:rPr>
                <w:rFonts w:ascii="宋体" w:hAnsi="宋体" w:eastAsia="宋体" w:cs="宋体"/>
              </w:rPr>
            </w:pPr>
            <w:r>
              <w:rPr>
                <w:spacing w:val="-4"/>
              </w:rPr>
              <w:t>11#</w:t>
            </w:r>
            <w:r>
              <w:rPr>
                <w:rFonts w:ascii="宋体" w:hAnsi="宋体" w:eastAsia="宋体" w:cs="宋体"/>
                <w:spacing w:val="-4"/>
              </w:rPr>
              <w:t>隧洞排</w:t>
            </w:r>
            <w:r>
              <w:rPr>
                <w:rFonts w:ascii="宋体" w:hAnsi="宋体" w:eastAsia="宋体" w:cs="宋体"/>
                <w:spacing w:val="-3"/>
              </w:rPr>
              <w:t>水处理系统</w:t>
            </w:r>
          </w:p>
        </w:tc>
        <w:tc>
          <w:tcPr>
            <w:tcW w:w="422" w:type="dxa"/>
            <w:vMerge w:val="restart"/>
            <w:tcBorders>
              <w:bottom w:val="nil"/>
            </w:tcBorders>
            <w:vAlign w:val="top"/>
          </w:tcPr>
          <w:p w14:paraId="67EB6058">
            <w:pPr>
              <w:pStyle w:val="6"/>
              <w:spacing w:before="171" w:line="222" w:lineRule="auto"/>
              <w:ind w:left="167"/>
            </w:pPr>
            <w:r>
              <w:t>1</w:t>
            </w:r>
          </w:p>
          <w:p w14:paraId="7B60E139">
            <w:pPr>
              <w:spacing w:line="219" w:lineRule="auto"/>
              <w:ind w:left="99"/>
              <w:rPr>
                <w:rFonts w:ascii="宋体" w:hAnsi="宋体" w:eastAsia="宋体" w:cs="宋体"/>
                <w:sz w:val="21"/>
                <w:szCs w:val="21"/>
              </w:rPr>
            </w:pPr>
            <w:r>
              <w:rPr>
                <w:rFonts w:ascii="宋体" w:hAnsi="宋体" w:eastAsia="宋体" w:cs="宋体"/>
                <w:sz w:val="21"/>
                <w:szCs w:val="21"/>
              </w:rPr>
              <w:t>季</w:t>
            </w:r>
          </w:p>
          <w:p w14:paraId="50BFBD55">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07DC0B14">
            <w:pPr>
              <w:pStyle w:val="6"/>
              <w:spacing w:before="106" w:line="207" w:lineRule="auto"/>
              <w:ind w:left="274"/>
            </w:pPr>
            <w:r>
              <w:rPr>
                <w:spacing w:val="-1"/>
              </w:rPr>
              <w:t>2021/3/18</w:t>
            </w:r>
          </w:p>
        </w:tc>
        <w:tc>
          <w:tcPr>
            <w:tcW w:w="892" w:type="dxa"/>
            <w:vAlign w:val="top"/>
          </w:tcPr>
          <w:p w14:paraId="2BAF8AC0">
            <w:pPr>
              <w:pStyle w:val="6"/>
              <w:spacing w:before="110" w:line="186" w:lineRule="auto"/>
              <w:ind w:left="324"/>
            </w:pPr>
            <w:r>
              <w:rPr>
                <w:spacing w:val="-1"/>
              </w:rPr>
              <w:t>4L</w:t>
            </w:r>
          </w:p>
        </w:tc>
        <w:tc>
          <w:tcPr>
            <w:tcW w:w="892" w:type="dxa"/>
            <w:vAlign w:val="top"/>
          </w:tcPr>
          <w:p w14:paraId="6070E91E">
            <w:pPr>
              <w:pStyle w:val="6"/>
              <w:spacing w:before="110" w:line="186" w:lineRule="auto"/>
              <w:ind w:left="327"/>
            </w:pPr>
            <w:r>
              <w:rPr>
                <w:spacing w:val="-1"/>
              </w:rPr>
              <w:t>4L</w:t>
            </w:r>
          </w:p>
        </w:tc>
        <w:tc>
          <w:tcPr>
            <w:tcW w:w="892" w:type="dxa"/>
            <w:vAlign w:val="top"/>
          </w:tcPr>
          <w:p w14:paraId="513A6283">
            <w:pPr>
              <w:pStyle w:val="6"/>
              <w:spacing w:before="106" w:line="207" w:lineRule="auto"/>
              <w:ind w:left="268"/>
            </w:pPr>
            <w:r>
              <w:rPr>
                <w:spacing w:val="-2"/>
              </w:rPr>
              <w:t>7.86</w:t>
            </w:r>
          </w:p>
        </w:tc>
        <w:tc>
          <w:tcPr>
            <w:tcW w:w="892" w:type="dxa"/>
            <w:vAlign w:val="top"/>
          </w:tcPr>
          <w:p w14:paraId="6F925D77">
            <w:pPr>
              <w:pStyle w:val="6"/>
              <w:spacing w:before="106" w:line="207" w:lineRule="auto"/>
              <w:ind w:left="271"/>
            </w:pPr>
            <w:r>
              <w:rPr>
                <w:spacing w:val="-2"/>
              </w:rPr>
              <w:t>7.99</w:t>
            </w:r>
          </w:p>
        </w:tc>
        <w:tc>
          <w:tcPr>
            <w:tcW w:w="891" w:type="dxa"/>
            <w:vAlign w:val="top"/>
          </w:tcPr>
          <w:p w14:paraId="637D98F0">
            <w:pPr>
              <w:pStyle w:val="6"/>
              <w:spacing w:before="106" w:line="207" w:lineRule="auto"/>
              <w:ind w:left="211"/>
            </w:pPr>
            <w:r>
              <w:rPr>
                <w:spacing w:val="-2"/>
              </w:rPr>
              <w:t>0.06L</w:t>
            </w:r>
          </w:p>
        </w:tc>
        <w:tc>
          <w:tcPr>
            <w:tcW w:w="906" w:type="dxa"/>
            <w:tcBorders>
              <w:right w:val="single" w:color="000000" w:sz="12" w:space="0"/>
            </w:tcBorders>
            <w:vAlign w:val="top"/>
          </w:tcPr>
          <w:p w14:paraId="4797E68D">
            <w:pPr>
              <w:pStyle w:val="6"/>
              <w:spacing w:before="106" w:line="207" w:lineRule="auto"/>
              <w:ind w:left="214"/>
            </w:pPr>
            <w:r>
              <w:rPr>
                <w:spacing w:val="-2"/>
              </w:rPr>
              <w:t>0.06L</w:t>
            </w:r>
          </w:p>
        </w:tc>
      </w:tr>
      <w:tr w14:paraId="11D48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6AECBAB1">
            <w:pPr>
              <w:rPr>
                <w:rFonts w:ascii="Arial"/>
                <w:sz w:val="21"/>
              </w:rPr>
            </w:pPr>
          </w:p>
        </w:tc>
        <w:tc>
          <w:tcPr>
            <w:tcW w:w="422" w:type="dxa"/>
            <w:vMerge w:val="continue"/>
            <w:tcBorders>
              <w:top w:val="nil"/>
              <w:bottom w:val="nil"/>
            </w:tcBorders>
            <w:vAlign w:val="top"/>
          </w:tcPr>
          <w:p w14:paraId="0C17826E">
            <w:pPr>
              <w:rPr>
                <w:rFonts w:ascii="Arial"/>
                <w:sz w:val="21"/>
              </w:rPr>
            </w:pPr>
          </w:p>
        </w:tc>
        <w:tc>
          <w:tcPr>
            <w:tcW w:w="1414" w:type="dxa"/>
            <w:vAlign w:val="top"/>
          </w:tcPr>
          <w:p w14:paraId="2C477B73">
            <w:pPr>
              <w:pStyle w:val="6"/>
              <w:spacing w:before="109" w:line="204" w:lineRule="auto"/>
              <w:ind w:left="274"/>
            </w:pPr>
            <w:r>
              <w:rPr>
                <w:spacing w:val="-1"/>
              </w:rPr>
              <w:t>2021/3/19</w:t>
            </w:r>
          </w:p>
        </w:tc>
        <w:tc>
          <w:tcPr>
            <w:tcW w:w="892" w:type="dxa"/>
            <w:vAlign w:val="top"/>
          </w:tcPr>
          <w:p w14:paraId="133B1D35">
            <w:pPr>
              <w:pStyle w:val="6"/>
              <w:spacing w:before="113" w:line="186" w:lineRule="auto"/>
              <w:ind w:left="324"/>
            </w:pPr>
            <w:r>
              <w:rPr>
                <w:spacing w:val="-1"/>
              </w:rPr>
              <w:t>4L</w:t>
            </w:r>
          </w:p>
        </w:tc>
        <w:tc>
          <w:tcPr>
            <w:tcW w:w="892" w:type="dxa"/>
            <w:vAlign w:val="top"/>
          </w:tcPr>
          <w:p w14:paraId="3A4608AA">
            <w:pPr>
              <w:pStyle w:val="6"/>
              <w:spacing w:before="113" w:line="186" w:lineRule="auto"/>
              <w:ind w:left="327"/>
            </w:pPr>
            <w:r>
              <w:rPr>
                <w:spacing w:val="-1"/>
              </w:rPr>
              <w:t>4L</w:t>
            </w:r>
          </w:p>
        </w:tc>
        <w:tc>
          <w:tcPr>
            <w:tcW w:w="892" w:type="dxa"/>
            <w:vAlign w:val="top"/>
          </w:tcPr>
          <w:p w14:paraId="0E076482">
            <w:pPr>
              <w:pStyle w:val="6"/>
              <w:spacing w:before="109" w:line="204" w:lineRule="auto"/>
              <w:ind w:left="268"/>
            </w:pPr>
            <w:r>
              <w:rPr>
                <w:spacing w:val="-2"/>
              </w:rPr>
              <w:t>7.82</w:t>
            </w:r>
          </w:p>
        </w:tc>
        <w:tc>
          <w:tcPr>
            <w:tcW w:w="892" w:type="dxa"/>
            <w:vAlign w:val="top"/>
          </w:tcPr>
          <w:p w14:paraId="730CA945">
            <w:pPr>
              <w:pStyle w:val="6"/>
              <w:spacing w:before="109" w:line="204" w:lineRule="auto"/>
              <w:ind w:left="271"/>
            </w:pPr>
            <w:r>
              <w:rPr>
                <w:spacing w:val="-2"/>
              </w:rPr>
              <w:t>7.93</w:t>
            </w:r>
          </w:p>
        </w:tc>
        <w:tc>
          <w:tcPr>
            <w:tcW w:w="891" w:type="dxa"/>
            <w:vAlign w:val="top"/>
          </w:tcPr>
          <w:p w14:paraId="3259BC3E">
            <w:pPr>
              <w:pStyle w:val="6"/>
              <w:spacing w:before="109" w:line="204" w:lineRule="auto"/>
              <w:ind w:left="211"/>
            </w:pPr>
            <w:r>
              <w:rPr>
                <w:spacing w:val="-2"/>
              </w:rPr>
              <w:t>0.06L</w:t>
            </w:r>
          </w:p>
        </w:tc>
        <w:tc>
          <w:tcPr>
            <w:tcW w:w="906" w:type="dxa"/>
            <w:tcBorders>
              <w:right w:val="single" w:color="000000" w:sz="12" w:space="0"/>
            </w:tcBorders>
            <w:vAlign w:val="top"/>
          </w:tcPr>
          <w:p w14:paraId="17EE8785">
            <w:pPr>
              <w:pStyle w:val="6"/>
              <w:spacing w:before="109" w:line="204" w:lineRule="auto"/>
              <w:ind w:left="214"/>
            </w:pPr>
            <w:r>
              <w:rPr>
                <w:spacing w:val="-2"/>
              </w:rPr>
              <w:t>0.06L</w:t>
            </w:r>
          </w:p>
        </w:tc>
      </w:tr>
      <w:tr w14:paraId="0FCE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59D57D7B">
            <w:pPr>
              <w:rPr>
                <w:rFonts w:ascii="Arial"/>
                <w:sz w:val="21"/>
              </w:rPr>
            </w:pPr>
          </w:p>
        </w:tc>
        <w:tc>
          <w:tcPr>
            <w:tcW w:w="422" w:type="dxa"/>
            <w:vMerge w:val="continue"/>
            <w:tcBorders>
              <w:top w:val="nil"/>
            </w:tcBorders>
            <w:vAlign w:val="top"/>
          </w:tcPr>
          <w:p w14:paraId="7D85A49B">
            <w:pPr>
              <w:rPr>
                <w:rFonts w:ascii="Arial"/>
                <w:sz w:val="21"/>
              </w:rPr>
            </w:pPr>
          </w:p>
        </w:tc>
        <w:tc>
          <w:tcPr>
            <w:tcW w:w="1414" w:type="dxa"/>
            <w:vAlign w:val="top"/>
          </w:tcPr>
          <w:p w14:paraId="013E6280">
            <w:pPr>
              <w:pStyle w:val="6"/>
              <w:spacing w:before="110" w:line="204" w:lineRule="auto"/>
              <w:ind w:left="274"/>
            </w:pPr>
            <w:r>
              <w:rPr>
                <w:spacing w:val="-1"/>
              </w:rPr>
              <w:t>2021/3/20</w:t>
            </w:r>
          </w:p>
        </w:tc>
        <w:tc>
          <w:tcPr>
            <w:tcW w:w="892" w:type="dxa"/>
            <w:vAlign w:val="top"/>
          </w:tcPr>
          <w:p w14:paraId="38DAE92E">
            <w:pPr>
              <w:pStyle w:val="6"/>
              <w:spacing w:before="114" w:line="186" w:lineRule="auto"/>
              <w:ind w:left="324"/>
            </w:pPr>
            <w:r>
              <w:rPr>
                <w:spacing w:val="-1"/>
              </w:rPr>
              <w:t>4L</w:t>
            </w:r>
          </w:p>
        </w:tc>
        <w:tc>
          <w:tcPr>
            <w:tcW w:w="892" w:type="dxa"/>
            <w:vAlign w:val="top"/>
          </w:tcPr>
          <w:p w14:paraId="185C1366">
            <w:pPr>
              <w:pStyle w:val="6"/>
              <w:spacing w:before="114" w:line="186" w:lineRule="auto"/>
              <w:ind w:left="327"/>
            </w:pPr>
            <w:r>
              <w:rPr>
                <w:spacing w:val="-1"/>
              </w:rPr>
              <w:t>4L</w:t>
            </w:r>
          </w:p>
        </w:tc>
        <w:tc>
          <w:tcPr>
            <w:tcW w:w="892" w:type="dxa"/>
            <w:vAlign w:val="top"/>
          </w:tcPr>
          <w:p w14:paraId="351F7869">
            <w:pPr>
              <w:pStyle w:val="6"/>
              <w:spacing w:before="110" w:line="204" w:lineRule="auto"/>
              <w:ind w:left="268"/>
            </w:pPr>
            <w:r>
              <w:rPr>
                <w:spacing w:val="-2"/>
              </w:rPr>
              <w:t>7.93</w:t>
            </w:r>
          </w:p>
        </w:tc>
        <w:tc>
          <w:tcPr>
            <w:tcW w:w="892" w:type="dxa"/>
            <w:vAlign w:val="top"/>
          </w:tcPr>
          <w:p w14:paraId="7A9A963B">
            <w:pPr>
              <w:pStyle w:val="6"/>
              <w:spacing w:before="110" w:line="204" w:lineRule="auto"/>
              <w:ind w:left="271"/>
            </w:pPr>
            <w:r>
              <w:rPr>
                <w:spacing w:val="-2"/>
              </w:rPr>
              <w:t>7.89</w:t>
            </w:r>
          </w:p>
        </w:tc>
        <w:tc>
          <w:tcPr>
            <w:tcW w:w="891" w:type="dxa"/>
            <w:vAlign w:val="top"/>
          </w:tcPr>
          <w:p w14:paraId="0541A48C">
            <w:pPr>
              <w:pStyle w:val="6"/>
              <w:spacing w:before="110" w:line="204" w:lineRule="auto"/>
              <w:ind w:left="211"/>
            </w:pPr>
            <w:r>
              <w:rPr>
                <w:spacing w:val="-2"/>
              </w:rPr>
              <w:t>0.06L</w:t>
            </w:r>
          </w:p>
        </w:tc>
        <w:tc>
          <w:tcPr>
            <w:tcW w:w="906" w:type="dxa"/>
            <w:tcBorders>
              <w:right w:val="single" w:color="000000" w:sz="12" w:space="0"/>
            </w:tcBorders>
            <w:vAlign w:val="top"/>
          </w:tcPr>
          <w:p w14:paraId="44860D94">
            <w:pPr>
              <w:pStyle w:val="6"/>
              <w:spacing w:before="110" w:line="204" w:lineRule="auto"/>
              <w:ind w:left="214"/>
            </w:pPr>
            <w:r>
              <w:rPr>
                <w:spacing w:val="-2"/>
              </w:rPr>
              <w:t>0.06L</w:t>
            </w:r>
          </w:p>
        </w:tc>
      </w:tr>
      <w:tr w14:paraId="3A74C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bottom w:val="nil"/>
            </w:tcBorders>
            <w:vAlign w:val="top"/>
          </w:tcPr>
          <w:p w14:paraId="506524FA">
            <w:pPr>
              <w:rPr>
                <w:rFonts w:ascii="Arial"/>
                <w:sz w:val="21"/>
              </w:rPr>
            </w:pPr>
          </w:p>
        </w:tc>
        <w:tc>
          <w:tcPr>
            <w:tcW w:w="422" w:type="dxa"/>
            <w:vMerge w:val="restart"/>
            <w:tcBorders>
              <w:bottom w:val="nil"/>
            </w:tcBorders>
            <w:vAlign w:val="top"/>
          </w:tcPr>
          <w:p w14:paraId="70A4ACC8">
            <w:pPr>
              <w:pStyle w:val="6"/>
              <w:spacing w:before="174" w:line="222" w:lineRule="auto"/>
              <w:ind w:left="147"/>
            </w:pPr>
            <w:r>
              <w:t>2</w:t>
            </w:r>
          </w:p>
          <w:p w14:paraId="2C801297">
            <w:pPr>
              <w:spacing w:line="219" w:lineRule="auto"/>
              <w:ind w:left="99"/>
              <w:rPr>
                <w:rFonts w:ascii="宋体" w:hAnsi="宋体" w:eastAsia="宋体" w:cs="宋体"/>
                <w:sz w:val="21"/>
                <w:szCs w:val="21"/>
              </w:rPr>
            </w:pPr>
            <w:r>
              <w:rPr>
                <w:rFonts w:ascii="宋体" w:hAnsi="宋体" w:eastAsia="宋体" w:cs="宋体"/>
                <w:sz w:val="21"/>
                <w:szCs w:val="21"/>
              </w:rPr>
              <w:t>季</w:t>
            </w:r>
          </w:p>
          <w:p w14:paraId="6239CAFD">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4310654">
            <w:pPr>
              <w:pStyle w:val="6"/>
              <w:spacing w:before="111" w:line="202" w:lineRule="auto"/>
              <w:ind w:left="326"/>
            </w:pPr>
            <w:r>
              <w:rPr>
                <w:spacing w:val="-1"/>
              </w:rPr>
              <w:t>2021/6/3</w:t>
            </w:r>
          </w:p>
        </w:tc>
        <w:tc>
          <w:tcPr>
            <w:tcW w:w="892" w:type="dxa"/>
            <w:vAlign w:val="top"/>
          </w:tcPr>
          <w:p w14:paraId="38747742">
            <w:pPr>
              <w:pStyle w:val="6"/>
              <w:spacing w:before="111" w:line="202" w:lineRule="auto"/>
              <w:ind w:left="395"/>
            </w:pPr>
            <w:r>
              <w:t>6</w:t>
            </w:r>
          </w:p>
        </w:tc>
        <w:tc>
          <w:tcPr>
            <w:tcW w:w="892" w:type="dxa"/>
            <w:vAlign w:val="top"/>
          </w:tcPr>
          <w:p w14:paraId="5AFBA138">
            <w:pPr>
              <w:pStyle w:val="6"/>
              <w:spacing w:before="111" w:line="202" w:lineRule="auto"/>
              <w:ind w:left="399"/>
            </w:pPr>
            <w:r>
              <w:t>5</w:t>
            </w:r>
          </w:p>
        </w:tc>
        <w:tc>
          <w:tcPr>
            <w:tcW w:w="892" w:type="dxa"/>
            <w:vAlign w:val="top"/>
          </w:tcPr>
          <w:p w14:paraId="7F87B3DB">
            <w:pPr>
              <w:pStyle w:val="6"/>
              <w:spacing w:before="111" w:line="202" w:lineRule="auto"/>
              <w:ind w:left="320"/>
            </w:pPr>
            <w:r>
              <w:rPr>
                <w:spacing w:val="-3"/>
              </w:rPr>
              <w:t>7.9</w:t>
            </w:r>
          </w:p>
        </w:tc>
        <w:tc>
          <w:tcPr>
            <w:tcW w:w="892" w:type="dxa"/>
            <w:vAlign w:val="top"/>
          </w:tcPr>
          <w:p w14:paraId="1E620456">
            <w:pPr>
              <w:pStyle w:val="6"/>
              <w:spacing w:before="111" w:line="202" w:lineRule="auto"/>
              <w:ind w:left="271"/>
            </w:pPr>
            <w:r>
              <w:rPr>
                <w:spacing w:val="-2"/>
              </w:rPr>
              <w:t>7.81</w:t>
            </w:r>
          </w:p>
        </w:tc>
        <w:tc>
          <w:tcPr>
            <w:tcW w:w="891" w:type="dxa"/>
            <w:vAlign w:val="top"/>
          </w:tcPr>
          <w:p w14:paraId="2D4DB698">
            <w:pPr>
              <w:pStyle w:val="6"/>
              <w:spacing w:before="111" w:line="202" w:lineRule="auto"/>
              <w:ind w:left="274"/>
            </w:pPr>
            <w:r>
              <w:rPr>
                <w:spacing w:val="-2"/>
              </w:rPr>
              <w:t>0.08</w:t>
            </w:r>
          </w:p>
        </w:tc>
        <w:tc>
          <w:tcPr>
            <w:tcW w:w="906" w:type="dxa"/>
            <w:tcBorders>
              <w:right w:val="single" w:color="000000" w:sz="12" w:space="0"/>
            </w:tcBorders>
            <w:vAlign w:val="top"/>
          </w:tcPr>
          <w:p w14:paraId="0F610736">
            <w:pPr>
              <w:pStyle w:val="6"/>
              <w:spacing w:before="111" w:line="202" w:lineRule="auto"/>
              <w:ind w:left="214"/>
            </w:pPr>
            <w:r>
              <w:rPr>
                <w:spacing w:val="-2"/>
              </w:rPr>
              <w:t>0.06L</w:t>
            </w:r>
          </w:p>
        </w:tc>
      </w:tr>
      <w:tr w14:paraId="45C92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C3D0E5A">
            <w:pPr>
              <w:rPr>
                <w:rFonts w:ascii="Arial"/>
                <w:sz w:val="21"/>
              </w:rPr>
            </w:pPr>
          </w:p>
        </w:tc>
        <w:tc>
          <w:tcPr>
            <w:tcW w:w="422" w:type="dxa"/>
            <w:vMerge w:val="continue"/>
            <w:tcBorders>
              <w:top w:val="nil"/>
              <w:bottom w:val="nil"/>
            </w:tcBorders>
            <w:vAlign w:val="top"/>
          </w:tcPr>
          <w:p w14:paraId="6A70229D">
            <w:pPr>
              <w:rPr>
                <w:rFonts w:ascii="Arial"/>
                <w:sz w:val="21"/>
              </w:rPr>
            </w:pPr>
          </w:p>
        </w:tc>
        <w:tc>
          <w:tcPr>
            <w:tcW w:w="1414" w:type="dxa"/>
            <w:vAlign w:val="top"/>
          </w:tcPr>
          <w:p w14:paraId="639DAE37">
            <w:pPr>
              <w:pStyle w:val="6"/>
              <w:spacing w:before="112" w:line="202" w:lineRule="auto"/>
              <w:ind w:left="326"/>
            </w:pPr>
            <w:r>
              <w:rPr>
                <w:spacing w:val="-1"/>
              </w:rPr>
              <w:t>2021/6/4</w:t>
            </w:r>
          </w:p>
        </w:tc>
        <w:tc>
          <w:tcPr>
            <w:tcW w:w="892" w:type="dxa"/>
            <w:vAlign w:val="top"/>
          </w:tcPr>
          <w:p w14:paraId="6EE2CC8F">
            <w:pPr>
              <w:pStyle w:val="6"/>
              <w:spacing w:before="112" w:line="202" w:lineRule="auto"/>
              <w:ind w:left="398"/>
            </w:pPr>
            <w:r>
              <w:t>8</w:t>
            </w:r>
          </w:p>
        </w:tc>
        <w:tc>
          <w:tcPr>
            <w:tcW w:w="892" w:type="dxa"/>
            <w:vAlign w:val="top"/>
          </w:tcPr>
          <w:p w14:paraId="1F04A412">
            <w:pPr>
              <w:pStyle w:val="6"/>
              <w:spacing w:before="112" w:line="202" w:lineRule="auto"/>
              <w:ind w:left="392"/>
            </w:pPr>
            <w:r>
              <w:t>4</w:t>
            </w:r>
          </w:p>
        </w:tc>
        <w:tc>
          <w:tcPr>
            <w:tcW w:w="892" w:type="dxa"/>
            <w:vAlign w:val="top"/>
          </w:tcPr>
          <w:p w14:paraId="482F8054">
            <w:pPr>
              <w:pStyle w:val="6"/>
              <w:spacing w:before="112" w:line="202" w:lineRule="auto"/>
              <w:ind w:left="326"/>
            </w:pPr>
            <w:r>
              <w:rPr>
                <w:spacing w:val="-5"/>
              </w:rPr>
              <w:t>8.0</w:t>
            </w:r>
          </w:p>
        </w:tc>
        <w:tc>
          <w:tcPr>
            <w:tcW w:w="892" w:type="dxa"/>
            <w:vAlign w:val="top"/>
          </w:tcPr>
          <w:p w14:paraId="2B8B753D">
            <w:pPr>
              <w:pStyle w:val="6"/>
              <w:spacing w:before="112" w:line="202" w:lineRule="auto"/>
              <w:ind w:left="271"/>
            </w:pPr>
            <w:r>
              <w:rPr>
                <w:spacing w:val="-2"/>
              </w:rPr>
              <w:t>7.77</w:t>
            </w:r>
          </w:p>
        </w:tc>
        <w:tc>
          <w:tcPr>
            <w:tcW w:w="891" w:type="dxa"/>
            <w:vAlign w:val="top"/>
          </w:tcPr>
          <w:p w14:paraId="15925BD9">
            <w:pPr>
              <w:pStyle w:val="6"/>
              <w:spacing w:before="112" w:line="202" w:lineRule="auto"/>
              <w:ind w:left="274"/>
            </w:pPr>
            <w:r>
              <w:rPr>
                <w:spacing w:val="-2"/>
              </w:rPr>
              <w:t>0.08</w:t>
            </w:r>
          </w:p>
        </w:tc>
        <w:tc>
          <w:tcPr>
            <w:tcW w:w="906" w:type="dxa"/>
            <w:tcBorders>
              <w:right w:val="single" w:color="000000" w:sz="12" w:space="0"/>
            </w:tcBorders>
            <w:vAlign w:val="top"/>
          </w:tcPr>
          <w:p w14:paraId="5F87B0A0">
            <w:pPr>
              <w:pStyle w:val="6"/>
              <w:spacing w:before="112" w:line="202" w:lineRule="auto"/>
              <w:ind w:left="214"/>
            </w:pPr>
            <w:r>
              <w:rPr>
                <w:spacing w:val="-2"/>
              </w:rPr>
              <w:t>0.06L</w:t>
            </w:r>
          </w:p>
        </w:tc>
      </w:tr>
      <w:tr w14:paraId="301F0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continue"/>
            <w:tcBorders>
              <w:top w:val="nil"/>
              <w:left w:val="single" w:color="000000" w:sz="12" w:space="0"/>
            </w:tcBorders>
            <w:vAlign w:val="top"/>
          </w:tcPr>
          <w:p w14:paraId="7E1EE524">
            <w:pPr>
              <w:rPr>
                <w:rFonts w:ascii="Arial"/>
                <w:sz w:val="21"/>
              </w:rPr>
            </w:pPr>
          </w:p>
        </w:tc>
        <w:tc>
          <w:tcPr>
            <w:tcW w:w="422" w:type="dxa"/>
            <w:vMerge w:val="continue"/>
            <w:tcBorders>
              <w:top w:val="nil"/>
            </w:tcBorders>
            <w:vAlign w:val="top"/>
          </w:tcPr>
          <w:p w14:paraId="6976549F">
            <w:pPr>
              <w:rPr>
                <w:rFonts w:ascii="Arial"/>
                <w:sz w:val="21"/>
              </w:rPr>
            </w:pPr>
          </w:p>
        </w:tc>
        <w:tc>
          <w:tcPr>
            <w:tcW w:w="1414" w:type="dxa"/>
            <w:vAlign w:val="top"/>
          </w:tcPr>
          <w:p w14:paraId="63B1B1A3">
            <w:pPr>
              <w:pStyle w:val="6"/>
              <w:spacing w:before="112" w:line="201" w:lineRule="auto"/>
              <w:ind w:left="326"/>
            </w:pPr>
            <w:r>
              <w:rPr>
                <w:spacing w:val="-1"/>
              </w:rPr>
              <w:t>2021/6/5</w:t>
            </w:r>
          </w:p>
        </w:tc>
        <w:tc>
          <w:tcPr>
            <w:tcW w:w="892" w:type="dxa"/>
            <w:vAlign w:val="top"/>
          </w:tcPr>
          <w:p w14:paraId="58BA0479">
            <w:pPr>
              <w:pStyle w:val="6"/>
              <w:spacing w:before="112" w:line="201" w:lineRule="auto"/>
              <w:ind w:left="393"/>
            </w:pPr>
            <w:r>
              <w:t>7</w:t>
            </w:r>
          </w:p>
        </w:tc>
        <w:tc>
          <w:tcPr>
            <w:tcW w:w="892" w:type="dxa"/>
            <w:vAlign w:val="top"/>
          </w:tcPr>
          <w:p w14:paraId="790D92E0">
            <w:pPr>
              <w:pStyle w:val="6"/>
              <w:spacing w:before="112" w:line="201" w:lineRule="auto"/>
              <w:ind w:left="392"/>
            </w:pPr>
            <w:r>
              <w:t>4</w:t>
            </w:r>
          </w:p>
        </w:tc>
        <w:tc>
          <w:tcPr>
            <w:tcW w:w="892" w:type="dxa"/>
            <w:vAlign w:val="top"/>
          </w:tcPr>
          <w:p w14:paraId="436C9FAB">
            <w:pPr>
              <w:pStyle w:val="6"/>
              <w:spacing w:before="112" w:line="201" w:lineRule="auto"/>
              <w:ind w:left="320"/>
            </w:pPr>
            <w:r>
              <w:rPr>
                <w:spacing w:val="-3"/>
              </w:rPr>
              <w:t>7.9</w:t>
            </w:r>
          </w:p>
        </w:tc>
        <w:tc>
          <w:tcPr>
            <w:tcW w:w="892" w:type="dxa"/>
            <w:vAlign w:val="top"/>
          </w:tcPr>
          <w:p w14:paraId="1505479A">
            <w:pPr>
              <w:pStyle w:val="6"/>
              <w:spacing w:before="112" w:line="201" w:lineRule="auto"/>
              <w:ind w:left="271"/>
            </w:pPr>
            <w:r>
              <w:rPr>
                <w:spacing w:val="-2"/>
              </w:rPr>
              <w:t>7.75</w:t>
            </w:r>
          </w:p>
        </w:tc>
        <w:tc>
          <w:tcPr>
            <w:tcW w:w="891" w:type="dxa"/>
            <w:vAlign w:val="top"/>
          </w:tcPr>
          <w:p w14:paraId="0A8A762A">
            <w:pPr>
              <w:pStyle w:val="6"/>
              <w:spacing w:before="112" w:line="201" w:lineRule="auto"/>
              <w:ind w:left="274"/>
            </w:pPr>
            <w:r>
              <w:rPr>
                <w:spacing w:val="-2"/>
              </w:rPr>
              <w:t>0.08</w:t>
            </w:r>
          </w:p>
        </w:tc>
        <w:tc>
          <w:tcPr>
            <w:tcW w:w="906" w:type="dxa"/>
            <w:tcBorders>
              <w:right w:val="single" w:color="000000" w:sz="12" w:space="0"/>
            </w:tcBorders>
            <w:vAlign w:val="top"/>
          </w:tcPr>
          <w:p w14:paraId="217B8BC4">
            <w:pPr>
              <w:pStyle w:val="6"/>
              <w:spacing w:before="112" w:line="201" w:lineRule="auto"/>
              <w:ind w:left="214"/>
            </w:pPr>
            <w:r>
              <w:rPr>
                <w:spacing w:val="-2"/>
              </w:rPr>
              <w:t>0.06L</w:t>
            </w:r>
          </w:p>
        </w:tc>
      </w:tr>
      <w:tr w14:paraId="047AD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272" w:type="dxa"/>
            <w:vMerge w:val="restart"/>
            <w:tcBorders>
              <w:left w:val="single" w:color="000000" w:sz="12" w:space="0"/>
              <w:bottom w:val="nil"/>
            </w:tcBorders>
            <w:vAlign w:val="top"/>
          </w:tcPr>
          <w:p w14:paraId="7CF8770C">
            <w:pPr>
              <w:spacing w:before="144" w:line="220" w:lineRule="auto"/>
              <w:ind w:left="98"/>
              <w:rPr>
                <w:rFonts w:ascii="宋体" w:hAnsi="宋体" w:eastAsia="宋体" w:cs="宋体"/>
                <w:sz w:val="21"/>
                <w:szCs w:val="21"/>
              </w:rPr>
            </w:pPr>
            <w:r>
              <w:rPr>
                <w:rFonts w:ascii="宋体" w:hAnsi="宋体" w:eastAsia="宋体" w:cs="宋体"/>
                <w:spacing w:val="-2"/>
                <w:sz w:val="21"/>
                <w:szCs w:val="21"/>
              </w:rPr>
              <w:t>坝址下游左</w:t>
            </w:r>
          </w:p>
          <w:p w14:paraId="2D2D725D">
            <w:pPr>
              <w:spacing w:before="22" w:line="220" w:lineRule="auto"/>
              <w:ind w:left="99"/>
              <w:rPr>
                <w:rFonts w:ascii="宋体" w:hAnsi="宋体" w:eastAsia="宋体" w:cs="宋体"/>
                <w:sz w:val="21"/>
                <w:szCs w:val="21"/>
              </w:rPr>
            </w:pPr>
            <w:r>
              <w:rPr>
                <w:rFonts w:ascii="宋体" w:hAnsi="宋体" w:eastAsia="宋体" w:cs="宋体"/>
                <w:spacing w:val="-2"/>
                <w:sz w:val="21"/>
                <w:szCs w:val="21"/>
              </w:rPr>
              <w:t>岸混凝土拌</w:t>
            </w:r>
          </w:p>
          <w:p w14:paraId="758C1768">
            <w:pPr>
              <w:spacing w:before="22" w:line="220" w:lineRule="auto"/>
              <w:ind w:left="100"/>
              <w:rPr>
                <w:rFonts w:ascii="宋体" w:hAnsi="宋体" w:eastAsia="宋体" w:cs="宋体"/>
                <w:sz w:val="21"/>
                <w:szCs w:val="21"/>
              </w:rPr>
            </w:pPr>
            <w:r>
              <w:rPr>
                <w:rFonts w:ascii="宋体" w:hAnsi="宋体" w:eastAsia="宋体" w:cs="宋体"/>
                <w:spacing w:val="-2"/>
                <w:sz w:val="21"/>
                <w:szCs w:val="21"/>
              </w:rPr>
              <w:t>合站沉淀池</w:t>
            </w:r>
          </w:p>
        </w:tc>
        <w:tc>
          <w:tcPr>
            <w:tcW w:w="422" w:type="dxa"/>
            <w:vMerge w:val="restart"/>
            <w:tcBorders>
              <w:bottom w:val="nil"/>
            </w:tcBorders>
            <w:vAlign w:val="top"/>
          </w:tcPr>
          <w:p w14:paraId="5F8522F9">
            <w:pPr>
              <w:pStyle w:val="6"/>
              <w:spacing w:before="178" w:line="222" w:lineRule="auto"/>
              <w:ind w:left="146"/>
            </w:pPr>
            <w:r>
              <w:t>4</w:t>
            </w:r>
          </w:p>
          <w:p w14:paraId="61C9F46F">
            <w:pPr>
              <w:spacing w:line="219" w:lineRule="auto"/>
              <w:ind w:left="99"/>
              <w:rPr>
                <w:rFonts w:ascii="宋体" w:hAnsi="宋体" w:eastAsia="宋体" w:cs="宋体"/>
                <w:sz w:val="21"/>
                <w:szCs w:val="21"/>
              </w:rPr>
            </w:pPr>
            <w:r>
              <w:rPr>
                <w:rFonts w:ascii="宋体" w:hAnsi="宋体" w:eastAsia="宋体" w:cs="宋体"/>
                <w:sz w:val="21"/>
                <w:szCs w:val="21"/>
              </w:rPr>
              <w:t>季</w:t>
            </w:r>
          </w:p>
          <w:p w14:paraId="5915E904">
            <w:pPr>
              <w:spacing w:before="22" w:line="220" w:lineRule="auto"/>
              <w:ind w:left="97"/>
              <w:rPr>
                <w:rFonts w:ascii="宋体" w:hAnsi="宋体" w:eastAsia="宋体" w:cs="宋体"/>
                <w:sz w:val="21"/>
                <w:szCs w:val="21"/>
              </w:rPr>
            </w:pPr>
            <w:r>
              <w:rPr>
                <w:rFonts w:ascii="宋体" w:hAnsi="宋体" w:eastAsia="宋体" w:cs="宋体"/>
                <w:sz w:val="21"/>
                <w:szCs w:val="21"/>
              </w:rPr>
              <w:t>度</w:t>
            </w:r>
          </w:p>
        </w:tc>
        <w:tc>
          <w:tcPr>
            <w:tcW w:w="1414" w:type="dxa"/>
            <w:vAlign w:val="top"/>
          </w:tcPr>
          <w:p w14:paraId="67E408D9">
            <w:pPr>
              <w:pStyle w:val="6"/>
              <w:spacing w:before="114" w:line="199" w:lineRule="auto"/>
              <w:ind w:left="221"/>
            </w:pPr>
            <w:r>
              <w:rPr>
                <w:spacing w:val="-1"/>
              </w:rPr>
              <w:t>2021/11/28</w:t>
            </w:r>
          </w:p>
        </w:tc>
        <w:tc>
          <w:tcPr>
            <w:tcW w:w="892" w:type="dxa"/>
            <w:vAlign w:val="top"/>
          </w:tcPr>
          <w:p w14:paraId="79CA0CCC">
            <w:pPr>
              <w:pStyle w:val="6"/>
              <w:spacing w:before="114" w:line="199" w:lineRule="auto"/>
              <w:ind w:left="304"/>
            </w:pPr>
            <w:r>
              <w:rPr>
                <w:spacing w:val="-9"/>
              </w:rPr>
              <w:t>111</w:t>
            </w:r>
          </w:p>
        </w:tc>
        <w:tc>
          <w:tcPr>
            <w:tcW w:w="892" w:type="dxa"/>
            <w:vAlign w:val="top"/>
          </w:tcPr>
          <w:p w14:paraId="6F67B5BE">
            <w:pPr>
              <w:pStyle w:val="6"/>
              <w:spacing w:before="114" w:line="199" w:lineRule="auto"/>
              <w:ind w:left="340"/>
            </w:pPr>
            <w:r>
              <w:rPr>
                <w:spacing w:val="-2"/>
              </w:rPr>
              <w:t>20</w:t>
            </w:r>
          </w:p>
        </w:tc>
        <w:tc>
          <w:tcPr>
            <w:tcW w:w="892" w:type="dxa"/>
            <w:vAlign w:val="top"/>
          </w:tcPr>
          <w:p w14:paraId="27A5034E">
            <w:pPr>
              <w:pStyle w:val="6"/>
              <w:spacing w:before="114" w:line="199" w:lineRule="auto"/>
              <w:ind w:left="284"/>
            </w:pPr>
            <w:r>
              <w:rPr>
                <w:spacing w:val="-7"/>
              </w:rPr>
              <w:t>12.3</w:t>
            </w:r>
          </w:p>
        </w:tc>
        <w:tc>
          <w:tcPr>
            <w:tcW w:w="892" w:type="dxa"/>
            <w:vAlign w:val="top"/>
          </w:tcPr>
          <w:p w14:paraId="0413D9E1">
            <w:pPr>
              <w:pStyle w:val="6"/>
              <w:spacing w:before="118" w:line="195" w:lineRule="auto"/>
              <w:ind w:left="277"/>
            </w:pPr>
            <w:r>
              <w:rPr>
                <w:b/>
                <w:bCs/>
                <w:spacing w:val="-4"/>
              </w:rPr>
              <w:t>12.0</w:t>
            </w:r>
          </w:p>
        </w:tc>
        <w:tc>
          <w:tcPr>
            <w:tcW w:w="891" w:type="dxa"/>
            <w:vAlign w:val="top"/>
          </w:tcPr>
          <w:p w14:paraId="0C266CC7">
            <w:pPr>
              <w:pStyle w:val="6"/>
              <w:spacing w:before="114" w:line="199" w:lineRule="auto"/>
              <w:ind w:left="422"/>
            </w:pPr>
            <w:r>
              <w:t>/</w:t>
            </w:r>
          </w:p>
        </w:tc>
        <w:tc>
          <w:tcPr>
            <w:tcW w:w="906" w:type="dxa"/>
            <w:tcBorders>
              <w:right w:val="single" w:color="000000" w:sz="12" w:space="0"/>
            </w:tcBorders>
            <w:vAlign w:val="top"/>
          </w:tcPr>
          <w:p w14:paraId="7E58CC22">
            <w:pPr>
              <w:pStyle w:val="6"/>
              <w:spacing w:before="114" w:line="199" w:lineRule="auto"/>
              <w:ind w:left="425"/>
            </w:pPr>
            <w:r>
              <w:t>/</w:t>
            </w:r>
          </w:p>
        </w:tc>
      </w:tr>
      <w:tr w14:paraId="41AC9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72" w:type="dxa"/>
            <w:vMerge w:val="continue"/>
            <w:tcBorders>
              <w:top w:val="nil"/>
              <w:left w:val="single" w:color="000000" w:sz="12" w:space="0"/>
              <w:bottom w:val="nil"/>
            </w:tcBorders>
            <w:vAlign w:val="top"/>
          </w:tcPr>
          <w:p w14:paraId="7A1DBF48">
            <w:pPr>
              <w:rPr>
                <w:rFonts w:ascii="Arial"/>
                <w:sz w:val="21"/>
              </w:rPr>
            </w:pPr>
          </w:p>
        </w:tc>
        <w:tc>
          <w:tcPr>
            <w:tcW w:w="422" w:type="dxa"/>
            <w:vMerge w:val="continue"/>
            <w:tcBorders>
              <w:top w:val="nil"/>
              <w:bottom w:val="nil"/>
            </w:tcBorders>
            <w:vAlign w:val="top"/>
          </w:tcPr>
          <w:p w14:paraId="7E2183E4">
            <w:pPr>
              <w:rPr>
                <w:rFonts w:ascii="Arial"/>
                <w:sz w:val="21"/>
              </w:rPr>
            </w:pPr>
          </w:p>
        </w:tc>
        <w:tc>
          <w:tcPr>
            <w:tcW w:w="1414" w:type="dxa"/>
            <w:vAlign w:val="top"/>
          </w:tcPr>
          <w:p w14:paraId="7869DF2D">
            <w:pPr>
              <w:pStyle w:val="6"/>
              <w:spacing w:before="115" w:line="199" w:lineRule="auto"/>
              <w:ind w:left="221"/>
            </w:pPr>
            <w:r>
              <w:rPr>
                <w:spacing w:val="-1"/>
              </w:rPr>
              <w:t>2021/11/29</w:t>
            </w:r>
          </w:p>
        </w:tc>
        <w:tc>
          <w:tcPr>
            <w:tcW w:w="892" w:type="dxa"/>
            <w:vAlign w:val="top"/>
          </w:tcPr>
          <w:p w14:paraId="2FE8E9D9">
            <w:pPr>
              <w:pStyle w:val="6"/>
              <w:spacing w:before="115" w:line="199" w:lineRule="auto"/>
              <w:ind w:left="304"/>
            </w:pPr>
            <w:r>
              <w:rPr>
                <w:spacing w:val="-9"/>
              </w:rPr>
              <w:t>102</w:t>
            </w:r>
          </w:p>
        </w:tc>
        <w:tc>
          <w:tcPr>
            <w:tcW w:w="892" w:type="dxa"/>
            <w:vAlign w:val="top"/>
          </w:tcPr>
          <w:p w14:paraId="71083C38">
            <w:pPr>
              <w:pStyle w:val="6"/>
              <w:spacing w:before="115" w:line="199" w:lineRule="auto"/>
              <w:ind w:left="340"/>
            </w:pPr>
            <w:r>
              <w:rPr>
                <w:spacing w:val="-2"/>
              </w:rPr>
              <w:t>23</w:t>
            </w:r>
          </w:p>
        </w:tc>
        <w:tc>
          <w:tcPr>
            <w:tcW w:w="892" w:type="dxa"/>
            <w:vAlign w:val="top"/>
          </w:tcPr>
          <w:p w14:paraId="6B415289">
            <w:pPr>
              <w:pStyle w:val="6"/>
              <w:spacing w:before="115" w:line="199" w:lineRule="auto"/>
              <w:ind w:left="284"/>
            </w:pPr>
            <w:r>
              <w:rPr>
                <w:spacing w:val="-6"/>
              </w:rPr>
              <w:t>12.2</w:t>
            </w:r>
          </w:p>
        </w:tc>
        <w:tc>
          <w:tcPr>
            <w:tcW w:w="892" w:type="dxa"/>
            <w:vAlign w:val="top"/>
          </w:tcPr>
          <w:p w14:paraId="5A5477BB">
            <w:pPr>
              <w:pStyle w:val="6"/>
              <w:spacing w:before="119" w:line="195" w:lineRule="auto"/>
              <w:ind w:left="277"/>
            </w:pPr>
            <w:r>
              <w:rPr>
                <w:b/>
                <w:bCs/>
                <w:spacing w:val="-4"/>
              </w:rPr>
              <w:t>12.0</w:t>
            </w:r>
          </w:p>
        </w:tc>
        <w:tc>
          <w:tcPr>
            <w:tcW w:w="891" w:type="dxa"/>
            <w:vAlign w:val="top"/>
          </w:tcPr>
          <w:p w14:paraId="2D34EDB6">
            <w:pPr>
              <w:pStyle w:val="6"/>
              <w:spacing w:before="115" w:line="199" w:lineRule="auto"/>
              <w:ind w:left="422"/>
            </w:pPr>
            <w:r>
              <w:t>/</w:t>
            </w:r>
          </w:p>
        </w:tc>
        <w:tc>
          <w:tcPr>
            <w:tcW w:w="906" w:type="dxa"/>
            <w:tcBorders>
              <w:right w:val="single" w:color="000000" w:sz="12" w:space="0"/>
            </w:tcBorders>
            <w:vAlign w:val="top"/>
          </w:tcPr>
          <w:p w14:paraId="16AC2D61">
            <w:pPr>
              <w:pStyle w:val="6"/>
              <w:spacing w:before="115" w:line="199" w:lineRule="auto"/>
              <w:ind w:left="425"/>
            </w:pPr>
            <w:r>
              <w:t>/</w:t>
            </w:r>
          </w:p>
        </w:tc>
      </w:tr>
      <w:tr w14:paraId="45E02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272" w:type="dxa"/>
            <w:vMerge w:val="continue"/>
            <w:tcBorders>
              <w:top w:val="nil"/>
              <w:left w:val="single" w:color="000000" w:sz="12" w:space="0"/>
              <w:bottom w:val="single" w:color="000000" w:sz="12" w:space="0"/>
            </w:tcBorders>
            <w:vAlign w:val="top"/>
          </w:tcPr>
          <w:p w14:paraId="4A3ACE60">
            <w:pPr>
              <w:rPr>
                <w:rFonts w:ascii="Arial"/>
                <w:sz w:val="21"/>
              </w:rPr>
            </w:pPr>
          </w:p>
        </w:tc>
        <w:tc>
          <w:tcPr>
            <w:tcW w:w="422" w:type="dxa"/>
            <w:vMerge w:val="continue"/>
            <w:tcBorders>
              <w:top w:val="nil"/>
              <w:bottom w:val="single" w:color="000000" w:sz="12" w:space="0"/>
            </w:tcBorders>
            <w:vAlign w:val="top"/>
          </w:tcPr>
          <w:p w14:paraId="691BCA6F">
            <w:pPr>
              <w:rPr>
                <w:rFonts w:ascii="Arial"/>
                <w:sz w:val="21"/>
              </w:rPr>
            </w:pPr>
          </w:p>
        </w:tc>
        <w:tc>
          <w:tcPr>
            <w:tcW w:w="1414" w:type="dxa"/>
            <w:tcBorders>
              <w:bottom w:val="single" w:color="000000" w:sz="12" w:space="0"/>
            </w:tcBorders>
            <w:vAlign w:val="top"/>
          </w:tcPr>
          <w:p w14:paraId="26FF9D93">
            <w:pPr>
              <w:pStyle w:val="6"/>
              <w:spacing w:before="116" w:line="220" w:lineRule="auto"/>
              <w:ind w:left="221"/>
            </w:pPr>
            <w:r>
              <w:rPr>
                <w:spacing w:val="-1"/>
              </w:rPr>
              <w:t>2021/11/30</w:t>
            </w:r>
          </w:p>
        </w:tc>
        <w:tc>
          <w:tcPr>
            <w:tcW w:w="892" w:type="dxa"/>
            <w:tcBorders>
              <w:bottom w:val="single" w:color="000000" w:sz="12" w:space="0"/>
            </w:tcBorders>
            <w:vAlign w:val="top"/>
          </w:tcPr>
          <w:p w14:paraId="36D0F4D9">
            <w:pPr>
              <w:pStyle w:val="6"/>
              <w:spacing w:before="116" w:line="220" w:lineRule="auto"/>
              <w:ind w:left="304"/>
            </w:pPr>
            <w:r>
              <w:rPr>
                <w:spacing w:val="-9"/>
              </w:rPr>
              <w:t>107</w:t>
            </w:r>
          </w:p>
        </w:tc>
        <w:tc>
          <w:tcPr>
            <w:tcW w:w="892" w:type="dxa"/>
            <w:tcBorders>
              <w:bottom w:val="single" w:color="000000" w:sz="12" w:space="0"/>
            </w:tcBorders>
            <w:vAlign w:val="top"/>
          </w:tcPr>
          <w:p w14:paraId="6D97C4CA">
            <w:pPr>
              <w:pStyle w:val="6"/>
              <w:spacing w:before="116" w:line="220" w:lineRule="auto"/>
              <w:ind w:left="340"/>
            </w:pPr>
            <w:r>
              <w:rPr>
                <w:spacing w:val="-2"/>
              </w:rPr>
              <w:t>25</w:t>
            </w:r>
          </w:p>
        </w:tc>
        <w:tc>
          <w:tcPr>
            <w:tcW w:w="892" w:type="dxa"/>
            <w:tcBorders>
              <w:bottom w:val="single" w:color="000000" w:sz="12" w:space="0"/>
            </w:tcBorders>
            <w:vAlign w:val="top"/>
          </w:tcPr>
          <w:p w14:paraId="5B80745C">
            <w:pPr>
              <w:pStyle w:val="6"/>
              <w:spacing w:before="116" w:line="220" w:lineRule="auto"/>
              <w:ind w:left="284"/>
            </w:pPr>
            <w:r>
              <w:rPr>
                <w:spacing w:val="-6"/>
              </w:rPr>
              <w:t>12.3</w:t>
            </w:r>
          </w:p>
        </w:tc>
        <w:tc>
          <w:tcPr>
            <w:tcW w:w="892" w:type="dxa"/>
            <w:tcBorders>
              <w:bottom w:val="single" w:color="000000" w:sz="12" w:space="0"/>
            </w:tcBorders>
            <w:vAlign w:val="top"/>
          </w:tcPr>
          <w:p w14:paraId="3DAB8AC8">
            <w:pPr>
              <w:pStyle w:val="6"/>
              <w:spacing w:before="121" w:line="215" w:lineRule="auto"/>
              <w:ind w:left="277"/>
            </w:pPr>
            <w:r>
              <w:rPr>
                <w:b/>
                <w:bCs/>
                <w:spacing w:val="-4"/>
              </w:rPr>
              <w:t>12.1</w:t>
            </w:r>
          </w:p>
        </w:tc>
        <w:tc>
          <w:tcPr>
            <w:tcW w:w="891" w:type="dxa"/>
            <w:tcBorders>
              <w:bottom w:val="single" w:color="000000" w:sz="12" w:space="0"/>
            </w:tcBorders>
            <w:vAlign w:val="top"/>
          </w:tcPr>
          <w:p w14:paraId="26C3B2CE">
            <w:pPr>
              <w:pStyle w:val="6"/>
              <w:spacing w:before="116" w:line="220" w:lineRule="auto"/>
              <w:ind w:left="422"/>
            </w:pPr>
            <w:r>
              <w:t>/</w:t>
            </w:r>
          </w:p>
        </w:tc>
        <w:tc>
          <w:tcPr>
            <w:tcW w:w="906" w:type="dxa"/>
            <w:tcBorders>
              <w:bottom w:val="single" w:color="000000" w:sz="12" w:space="0"/>
              <w:right w:val="single" w:color="000000" w:sz="12" w:space="0"/>
            </w:tcBorders>
            <w:vAlign w:val="top"/>
          </w:tcPr>
          <w:p w14:paraId="510600B7">
            <w:pPr>
              <w:pStyle w:val="6"/>
              <w:spacing w:before="116" w:line="220" w:lineRule="auto"/>
              <w:ind w:left="425"/>
            </w:pPr>
            <w:r>
              <w:t>/</w:t>
            </w:r>
          </w:p>
        </w:tc>
      </w:tr>
    </w:tbl>
    <w:p w14:paraId="09B9E6CE">
      <w:pPr>
        <w:pStyle w:val="2"/>
        <w:spacing w:before="30" w:line="220" w:lineRule="auto"/>
        <w:ind w:left="40"/>
        <w:rPr>
          <w:sz w:val="21"/>
          <w:szCs w:val="21"/>
        </w:rPr>
      </w:pPr>
      <w:r>
        <w:rPr>
          <w:spacing w:val="-1"/>
          <w:sz w:val="21"/>
          <w:szCs w:val="21"/>
        </w:rPr>
        <w:t>备注：表中带</w:t>
      </w:r>
      <w:r>
        <w:rPr>
          <w:rFonts w:ascii="Times New Roman" w:hAnsi="Times New Roman" w:eastAsia="Times New Roman" w:cs="Times New Roman"/>
          <w:spacing w:val="-1"/>
          <w:sz w:val="21"/>
          <w:szCs w:val="21"/>
        </w:rPr>
        <w:t>“L”</w:t>
      </w:r>
      <w:r>
        <w:rPr>
          <w:spacing w:val="-1"/>
          <w:sz w:val="21"/>
          <w:szCs w:val="21"/>
        </w:rPr>
        <w:t>数据表示低于方法检出限。</w:t>
      </w:r>
    </w:p>
    <w:p w14:paraId="549737BC">
      <w:pPr>
        <w:spacing w:line="220" w:lineRule="auto"/>
        <w:rPr>
          <w:sz w:val="21"/>
          <w:szCs w:val="21"/>
        </w:rPr>
        <w:sectPr>
          <w:footerReference r:id="rId131" w:type="default"/>
          <w:pgSz w:w="11907" w:h="16839"/>
          <w:pgMar w:top="1376" w:right="1669" w:bottom="1061" w:left="1671" w:header="999" w:footer="861" w:gutter="0"/>
          <w:cols w:space="720" w:num="1"/>
        </w:sectPr>
      </w:pPr>
    </w:p>
    <w:p w14:paraId="363441DC">
      <w:pPr>
        <w:spacing w:line="455" w:lineRule="auto"/>
        <w:rPr>
          <w:rFonts w:ascii="Arial"/>
          <w:sz w:val="21"/>
        </w:rPr>
      </w:pPr>
    </w:p>
    <w:p w14:paraId="30A61309">
      <w:pPr>
        <w:pStyle w:val="2"/>
        <w:spacing w:before="78" w:line="212" w:lineRule="auto"/>
        <w:ind w:left="279"/>
        <w:rPr>
          <w:sz w:val="24"/>
          <w:szCs w:val="24"/>
        </w:rPr>
      </w:pPr>
      <w:r>
        <w:rPr>
          <w:b/>
          <w:bCs/>
          <w:sz w:val="24"/>
          <w:szCs w:val="24"/>
        </w:rPr>
        <w:t>表</w:t>
      </w:r>
      <w:r>
        <w:rPr>
          <w:spacing w:val="-51"/>
          <w:sz w:val="24"/>
          <w:szCs w:val="24"/>
        </w:rPr>
        <w:t xml:space="preserve"> </w:t>
      </w:r>
      <w:r>
        <w:rPr>
          <w:rFonts w:ascii="Times New Roman" w:hAnsi="Times New Roman" w:eastAsia="Times New Roman" w:cs="Times New Roman"/>
          <w:b/>
          <w:bCs/>
          <w:sz w:val="24"/>
          <w:szCs w:val="24"/>
        </w:rPr>
        <w:t xml:space="preserve">5.1-4                         </w:t>
      </w:r>
      <w:r>
        <w:rPr>
          <w:rFonts w:ascii="Times New Roman" w:hAnsi="Times New Roman" w:eastAsia="Times New Roman" w:cs="Times New Roman"/>
          <w:b/>
          <w:bCs/>
          <w:spacing w:val="-1"/>
          <w:sz w:val="24"/>
          <w:szCs w:val="24"/>
        </w:rPr>
        <w:t xml:space="preserve">                         2019 </w:t>
      </w:r>
      <w:r>
        <w:rPr>
          <w:b/>
          <w:bCs/>
          <w:spacing w:val="-1"/>
          <w:sz w:val="24"/>
          <w:szCs w:val="24"/>
        </w:rPr>
        <w:t>年施工期生活污水监测情况</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r>
        <w:rPr>
          <w:b/>
          <w:bCs/>
          <w:spacing w:val="-1"/>
          <w:sz w:val="24"/>
          <w:szCs w:val="24"/>
        </w:rPr>
        <w:t>（</w:t>
      </w:r>
      <w:r>
        <w:rPr>
          <w:rFonts w:ascii="Times New Roman" w:hAnsi="Times New Roman" w:eastAsia="Times New Roman" w:cs="Times New Roman"/>
          <w:b/>
          <w:bCs/>
          <w:spacing w:val="-1"/>
          <w:sz w:val="24"/>
          <w:szCs w:val="24"/>
        </w:rPr>
        <w:t>pH</w:t>
      </w:r>
      <w:r>
        <w:rPr>
          <w:rFonts w:ascii="Times New Roman" w:hAnsi="Times New Roman" w:eastAsia="Times New Roman" w:cs="Times New Roman"/>
          <w:b/>
          <w:bCs/>
          <w:spacing w:val="12"/>
          <w:sz w:val="24"/>
          <w:szCs w:val="24"/>
        </w:rPr>
        <w:t xml:space="preserve"> </w:t>
      </w:r>
      <w:r>
        <w:rPr>
          <w:b/>
          <w:bCs/>
          <w:spacing w:val="-1"/>
          <w:sz w:val="24"/>
          <w:szCs w:val="24"/>
        </w:rPr>
        <w:t>无量纲）</w:t>
      </w:r>
    </w:p>
    <w:p w14:paraId="14BD619D">
      <w:pPr>
        <w:spacing w:line="17" w:lineRule="exact"/>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9"/>
        <w:gridCol w:w="283"/>
        <w:gridCol w:w="1208"/>
        <w:gridCol w:w="691"/>
        <w:gridCol w:w="691"/>
        <w:gridCol w:w="689"/>
        <w:gridCol w:w="691"/>
        <w:gridCol w:w="691"/>
        <w:gridCol w:w="692"/>
        <w:gridCol w:w="691"/>
        <w:gridCol w:w="689"/>
        <w:gridCol w:w="691"/>
        <w:gridCol w:w="691"/>
        <w:gridCol w:w="690"/>
        <w:gridCol w:w="693"/>
        <w:gridCol w:w="690"/>
        <w:gridCol w:w="691"/>
        <w:gridCol w:w="691"/>
        <w:gridCol w:w="704"/>
      </w:tblGrid>
      <w:tr w14:paraId="30009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849" w:type="dxa"/>
            <w:vMerge w:val="restart"/>
            <w:tcBorders>
              <w:top w:val="single" w:color="000000" w:sz="12" w:space="0"/>
              <w:left w:val="single" w:color="000000" w:sz="12" w:space="0"/>
              <w:bottom w:val="nil"/>
            </w:tcBorders>
            <w:vAlign w:val="top"/>
          </w:tcPr>
          <w:p w14:paraId="0B7A02F0">
            <w:pPr>
              <w:spacing w:before="187" w:line="242" w:lineRule="auto"/>
              <w:ind w:left="304" w:right="112" w:hanging="209"/>
              <w:rPr>
                <w:rFonts w:ascii="宋体" w:hAnsi="宋体" w:eastAsia="宋体" w:cs="宋体"/>
                <w:sz w:val="21"/>
                <w:szCs w:val="21"/>
              </w:rPr>
            </w:pPr>
            <w:r>
              <w:rPr>
                <w:rFonts w:ascii="宋体" w:hAnsi="宋体" w:eastAsia="宋体" w:cs="宋体"/>
                <w:spacing w:val="-4"/>
                <w:sz w:val="21"/>
                <w:szCs w:val="21"/>
              </w:rPr>
              <w:t>监测点</w:t>
            </w:r>
            <w:r>
              <w:rPr>
                <w:rFonts w:ascii="宋体" w:hAnsi="宋体" w:eastAsia="宋体" w:cs="宋体"/>
                <w:sz w:val="21"/>
                <w:szCs w:val="21"/>
              </w:rPr>
              <w:t>位</w:t>
            </w:r>
          </w:p>
        </w:tc>
        <w:tc>
          <w:tcPr>
            <w:tcW w:w="1491" w:type="dxa"/>
            <w:gridSpan w:val="2"/>
            <w:vMerge w:val="restart"/>
            <w:tcBorders>
              <w:top w:val="single" w:color="000000" w:sz="12" w:space="0"/>
              <w:bottom w:val="nil"/>
            </w:tcBorders>
            <w:vAlign w:val="top"/>
          </w:tcPr>
          <w:p w14:paraId="48AD5FDC">
            <w:pPr>
              <w:spacing w:line="252" w:lineRule="auto"/>
              <w:rPr>
                <w:rFonts w:ascii="Arial"/>
                <w:sz w:val="21"/>
              </w:rPr>
            </w:pPr>
          </w:p>
          <w:p w14:paraId="1CA25651">
            <w:pPr>
              <w:spacing w:before="68" w:line="221" w:lineRule="auto"/>
              <w:ind w:left="317"/>
              <w:rPr>
                <w:rFonts w:ascii="宋体" w:hAnsi="宋体" w:eastAsia="宋体" w:cs="宋体"/>
                <w:sz w:val="21"/>
                <w:szCs w:val="21"/>
              </w:rPr>
            </w:pPr>
            <w:r>
              <w:rPr>
                <w:rFonts w:ascii="宋体" w:hAnsi="宋体" w:eastAsia="宋体" w:cs="宋体"/>
                <w:spacing w:val="-2"/>
                <w:sz w:val="21"/>
                <w:szCs w:val="21"/>
              </w:rPr>
              <w:t>监测时间</w:t>
            </w:r>
          </w:p>
        </w:tc>
        <w:tc>
          <w:tcPr>
            <w:tcW w:w="1382" w:type="dxa"/>
            <w:gridSpan w:val="2"/>
            <w:tcBorders>
              <w:top w:val="single" w:color="000000" w:sz="12" w:space="0"/>
            </w:tcBorders>
            <w:vAlign w:val="top"/>
          </w:tcPr>
          <w:p w14:paraId="7100241B">
            <w:pPr>
              <w:pStyle w:val="6"/>
              <w:spacing w:before="210" w:line="225" w:lineRule="auto"/>
              <w:ind w:left="423"/>
              <w:rPr>
                <w:sz w:val="14"/>
                <w:szCs w:val="14"/>
              </w:rPr>
            </w:pPr>
            <w:r>
              <w:rPr>
                <w:spacing w:val="-1"/>
              </w:rPr>
              <w:t>BOD</w:t>
            </w:r>
            <w:r>
              <w:rPr>
                <w:spacing w:val="-1"/>
                <w:position w:val="-1"/>
                <w:sz w:val="14"/>
                <w:szCs w:val="14"/>
              </w:rPr>
              <w:t>5</w:t>
            </w:r>
          </w:p>
        </w:tc>
        <w:tc>
          <w:tcPr>
            <w:tcW w:w="1380" w:type="dxa"/>
            <w:gridSpan w:val="2"/>
            <w:tcBorders>
              <w:top w:val="single" w:color="000000" w:sz="12" w:space="0"/>
            </w:tcBorders>
            <w:vAlign w:val="top"/>
          </w:tcPr>
          <w:p w14:paraId="5030F876">
            <w:pPr>
              <w:pStyle w:val="6"/>
              <w:spacing w:before="210" w:line="186" w:lineRule="auto"/>
              <w:ind w:left="464"/>
            </w:pPr>
            <w:r>
              <w:rPr>
                <w:spacing w:val="-2"/>
              </w:rPr>
              <w:t>COD</w:t>
            </w:r>
          </w:p>
        </w:tc>
        <w:tc>
          <w:tcPr>
            <w:tcW w:w="1383" w:type="dxa"/>
            <w:gridSpan w:val="2"/>
            <w:tcBorders>
              <w:top w:val="single" w:color="000000" w:sz="12" w:space="0"/>
            </w:tcBorders>
            <w:vAlign w:val="top"/>
          </w:tcPr>
          <w:p w14:paraId="72065CF2">
            <w:pPr>
              <w:pStyle w:val="6"/>
              <w:spacing w:before="210" w:line="186" w:lineRule="auto"/>
              <w:ind w:left="579"/>
            </w:pPr>
            <w:r>
              <w:rPr>
                <w:spacing w:val="-7"/>
              </w:rPr>
              <w:t>SS</w:t>
            </w:r>
          </w:p>
        </w:tc>
        <w:tc>
          <w:tcPr>
            <w:tcW w:w="1380" w:type="dxa"/>
            <w:gridSpan w:val="2"/>
            <w:tcBorders>
              <w:top w:val="single" w:color="000000" w:sz="12" w:space="0"/>
            </w:tcBorders>
            <w:vAlign w:val="top"/>
          </w:tcPr>
          <w:p w14:paraId="4B44A264">
            <w:pPr>
              <w:pStyle w:val="6"/>
              <w:spacing w:before="213" w:line="222" w:lineRule="auto"/>
              <w:ind w:left="386"/>
            </w:pPr>
            <w:r>
              <w:t>NH</w:t>
            </w:r>
            <w:r>
              <w:rPr>
                <w:position w:val="-1"/>
                <w:sz w:val="14"/>
                <w:szCs w:val="14"/>
              </w:rPr>
              <w:t>3</w:t>
            </w:r>
            <w:r>
              <w:t>-N</w:t>
            </w:r>
          </w:p>
        </w:tc>
        <w:tc>
          <w:tcPr>
            <w:tcW w:w="1382" w:type="dxa"/>
            <w:gridSpan w:val="2"/>
            <w:tcBorders>
              <w:top w:val="single" w:color="000000" w:sz="12" w:space="0"/>
            </w:tcBorders>
            <w:vAlign w:val="top"/>
          </w:tcPr>
          <w:p w14:paraId="5C67060F">
            <w:pPr>
              <w:pStyle w:val="6"/>
              <w:spacing w:before="214" w:line="183" w:lineRule="auto"/>
              <w:ind w:left="573"/>
            </w:pPr>
            <w:r>
              <w:rPr>
                <w:spacing w:val="-2"/>
              </w:rPr>
              <w:t>TP</w:t>
            </w:r>
          </w:p>
        </w:tc>
        <w:tc>
          <w:tcPr>
            <w:tcW w:w="1383" w:type="dxa"/>
            <w:gridSpan w:val="2"/>
            <w:tcBorders>
              <w:top w:val="single" w:color="000000" w:sz="12" w:space="0"/>
            </w:tcBorders>
            <w:vAlign w:val="top"/>
          </w:tcPr>
          <w:p w14:paraId="0B15E5AE">
            <w:pPr>
              <w:spacing w:before="173" w:line="220" w:lineRule="auto"/>
              <w:ind w:left="281"/>
              <w:rPr>
                <w:rFonts w:ascii="宋体" w:hAnsi="宋体" w:eastAsia="宋体" w:cs="宋体"/>
                <w:sz w:val="21"/>
                <w:szCs w:val="21"/>
              </w:rPr>
            </w:pPr>
            <w:r>
              <w:rPr>
                <w:rFonts w:ascii="宋体" w:hAnsi="宋体" w:eastAsia="宋体" w:cs="宋体"/>
                <w:spacing w:val="-2"/>
                <w:sz w:val="21"/>
                <w:szCs w:val="21"/>
              </w:rPr>
              <w:t>动植物油</w:t>
            </w:r>
          </w:p>
        </w:tc>
        <w:tc>
          <w:tcPr>
            <w:tcW w:w="1381" w:type="dxa"/>
            <w:gridSpan w:val="2"/>
            <w:tcBorders>
              <w:top w:val="single" w:color="000000" w:sz="12" w:space="0"/>
            </w:tcBorders>
            <w:vAlign w:val="top"/>
          </w:tcPr>
          <w:p w14:paraId="4F8F8ADB">
            <w:pPr>
              <w:spacing w:before="173" w:line="220" w:lineRule="auto"/>
              <w:ind w:left="179"/>
              <w:rPr>
                <w:rFonts w:ascii="宋体" w:hAnsi="宋体" w:eastAsia="宋体" w:cs="宋体"/>
                <w:sz w:val="21"/>
                <w:szCs w:val="21"/>
              </w:rPr>
            </w:pPr>
            <w:r>
              <w:rPr>
                <w:rFonts w:ascii="宋体" w:hAnsi="宋体" w:eastAsia="宋体" w:cs="宋体"/>
                <w:spacing w:val="-2"/>
                <w:sz w:val="21"/>
                <w:szCs w:val="21"/>
              </w:rPr>
              <w:t>粪大肠菌群</w:t>
            </w:r>
          </w:p>
        </w:tc>
        <w:tc>
          <w:tcPr>
            <w:tcW w:w="1395" w:type="dxa"/>
            <w:gridSpan w:val="2"/>
            <w:tcBorders>
              <w:top w:val="single" w:color="000000" w:sz="12" w:space="0"/>
              <w:right w:val="single" w:color="000000" w:sz="12" w:space="0"/>
            </w:tcBorders>
            <w:vAlign w:val="top"/>
          </w:tcPr>
          <w:p w14:paraId="329CC4AB">
            <w:pPr>
              <w:spacing w:before="37" w:line="226" w:lineRule="auto"/>
              <w:ind w:left="498" w:right="46" w:hanging="406"/>
              <w:rPr>
                <w:rFonts w:ascii="宋体" w:hAnsi="宋体" w:eastAsia="宋体" w:cs="宋体"/>
                <w:sz w:val="21"/>
                <w:szCs w:val="21"/>
              </w:rPr>
            </w:pPr>
            <w:r>
              <w:rPr>
                <w:rFonts w:ascii="宋体" w:hAnsi="宋体" w:eastAsia="宋体" w:cs="宋体"/>
                <w:spacing w:val="-5"/>
                <w:sz w:val="21"/>
                <w:szCs w:val="21"/>
              </w:rPr>
              <w:t>阴离子表面活</w:t>
            </w:r>
            <w:r>
              <w:rPr>
                <w:rFonts w:ascii="宋体" w:hAnsi="宋体" w:eastAsia="宋体" w:cs="宋体"/>
                <w:spacing w:val="-3"/>
                <w:sz w:val="21"/>
                <w:szCs w:val="21"/>
              </w:rPr>
              <w:t>性剂</w:t>
            </w:r>
          </w:p>
        </w:tc>
      </w:tr>
      <w:tr w14:paraId="4C78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849" w:type="dxa"/>
            <w:vMerge w:val="continue"/>
            <w:tcBorders>
              <w:top w:val="nil"/>
              <w:left w:val="single" w:color="000000" w:sz="12" w:space="0"/>
            </w:tcBorders>
            <w:vAlign w:val="top"/>
          </w:tcPr>
          <w:p w14:paraId="2E06AEEA">
            <w:pPr>
              <w:rPr>
                <w:rFonts w:ascii="Arial"/>
                <w:sz w:val="21"/>
              </w:rPr>
            </w:pPr>
          </w:p>
        </w:tc>
        <w:tc>
          <w:tcPr>
            <w:tcW w:w="1491" w:type="dxa"/>
            <w:gridSpan w:val="2"/>
            <w:vMerge w:val="continue"/>
            <w:tcBorders>
              <w:top w:val="nil"/>
            </w:tcBorders>
            <w:vAlign w:val="top"/>
          </w:tcPr>
          <w:p w14:paraId="3F7109B4">
            <w:pPr>
              <w:rPr>
                <w:rFonts w:ascii="Arial"/>
                <w:sz w:val="21"/>
              </w:rPr>
            </w:pPr>
          </w:p>
        </w:tc>
        <w:tc>
          <w:tcPr>
            <w:tcW w:w="691" w:type="dxa"/>
            <w:vAlign w:val="top"/>
          </w:tcPr>
          <w:p w14:paraId="31A479CF">
            <w:pPr>
              <w:spacing w:before="36" w:line="213" w:lineRule="auto"/>
              <w:ind w:left="127"/>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43256147">
            <w:pPr>
              <w:spacing w:before="36" w:line="213" w:lineRule="auto"/>
              <w:ind w:left="148"/>
              <w:rPr>
                <w:rFonts w:ascii="宋体" w:hAnsi="宋体" w:eastAsia="宋体" w:cs="宋体"/>
                <w:sz w:val="21"/>
                <w:szCs w:val="21"/>
              </w:rPr>
            </w:pPr>
            <w:r>
              <w:rPr>
                <w:rFonts w:ascii="宋体" w:hAnsi="宋体" w:eastAsia="宋体" w:cs="宋体"/>
                <w:spacing w:val="-7"/>
                <w:sz w:val="21"/>
                <w:szCs w:val="21"/>
              </w:rPr>
              <w:t>出口</w:t>
            </w:r>
          </w:p>
        </w:tc>
        <w:tc>
          <w:tcPr>
            <w:tcW w:w="689" w:type="dxa"/>
            <w:vAlign w:val="top"/>
          </w:tcPr>
          <w:p w14:paraId="66B60CA8">
            <w:pPr>
              <w:spacing w:before="36" w:line="213" w:lineRule="auto"/>
              <w:ind w:left="128"/>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417F2E5D">
            <w:pPr>
              <w:spacing w:before="36" w:line="213" w:lineRule="auto"/>
              <w:ind w:left="152"/>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7D9A64F6">
            <w:pPr>
              <w:spacing w:before="36" w:line="213" w:lineRule="auto"/>
              <w:ind w:left="133"/>
              <w:rPr>
                <w:rFonts w:ascii="宋体" w:hAnsi="宋体" w:eastAsia="宋体" w:cs="宋体"/>
                <w:sz w:val="21"/>
                <w:szCs w:val="21"/>
              </w:rPr>
            </w:pPr>
            <w:r>
              <w:rPr>
                <w:rFonts w:ascii="宋体" w:hAnsi="宋体" w:eastAsia="宋体" w:cs="宋体"/>
                <w:spacing w:val="-2"/>
                <w:sz w:val="21"/>
                <w:szCs w:val="21"/>
              </w:rPr>
              <w:t>进口</w:t>
            </w:r>
          </w:p>
        </w:tc>
        <w:tc>
          <w:tcPr>
            <w:tcW w:w="692" w:type="dxa"/>
            <w:vAlign w:val="top"/>
          </w:tcPr>
          <w:p w14:paraId="0B5A0399">
            <w:pPr>
              <w:spacing w:before="36" w:line="213" w:lineRule="auto"/>
              <w:ind w:left="154"/>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6D2D86AA">
            <w:pPr>
              <w:spacing w:before="36" w:line="213" w:lineRule="auto"/>
              <w:ind w:left="137"/>
              <w:rPr>
                <w:rFonts w:ascii="宋体" w:hAnsi="宋体" w:eastAsia="宋体" w:cs="宋体"/>
                <w:sz w:val="21"/>
                <w:szCs w:val="21"/>
              </w:rPr>
            </w:pPr>
            <w:r>
              <w:rPr>
                <w:rFonts w:ascii="宋体" w:hAnsi="宋体" w:eastAsia="宋体" w:cs="宋体"/>
                <w:spacing w:val="-2"/>
                <w:sz w:val="21"/>
                <w:szCs w:val="21"/>
              </w:rPr>
              <w:t>进口</w:t>
            </w:r>
          </w:p>
        </w:tc>
        <w:tc>
          <w:tcPr>
            <w:tcW w:w="689" w:type="dxa"/>
            <w:vAlign w:val="top"/>
          </w:tcPr>
          <w:p w14:paraId="197D4F2A">
            <w:pPr>
              <w:spacing w:before="36" w:line="213" w:lineRule="auto"/>
              <w:ind w:left="157"/>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5B770653">
            <w:pPr>
              <w:spacing w:before="36" w:line="213" w:lineRule="auto"/>
              <w:ind w:left="140"/>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609053CE">
            <w:pPr>
              <w:spacing w:before="36" w:line="213" w:lineRule="auto"/>
              <w:ind w:left="161"/>
              <w:rPr>
                <w:rFonts w:ascii="宋体" w:hAnsi="宋体" w:eastAsia="宋体" w:cs="宋体"/>
                <w:sz w:val="21"/>
                <w:szCs w:val="21"/>
              </w:rPr>
            </w:pPr>
            <w:r>
              <w:rPr>
                <w:rFonts w:ascii="宋体" w:hAnsi="宋体" w:eastAsia="宋体" w:cs="宋体"/>
                <w:spacing w:val="-7"/>
                <w:sz w:val="21"/>
                <w:szCs w:val="21"/>
              </w:rPr>
              <w:t>出口</w:t>
            </w:r>
          </w:p>
        </w:tc>
        <w:tc>
          <w:tcPr>
            <w:tcW w:w="690" w:type="dxa"/>
            <w:vAlign w:val="top"/>
          </w:tcPr>
          <w:p w14:paraId="239F31FC">
            <w:pPr>
              <w:spacing w:before="36" w:line="213" w:lineRule="auto"/>
              <w:ind w:left="142"/>
              <w:rPr>
                <w:rFonts w:ascii="宋体" w:hAnsi="宋体" w:eastAsia="宋体" w:cs="宋体"/>
                <w:sz w:val="21"/>
                <w:szCs w:val="21"/>
              </w:rPr>
            </w:pPr>
            <w:r>
              <w:rPr>
                <w:rFonts w:ascii="宋体" w:hAnsi="宋体" w:eastAsia="宋体" w:cs="宋体"/>
                <w:spacing w:val="-2"/>
                <w:sz w:val="21"/>
                <w:szCs w:val="21"/>
              </w:rPr>
              <w:t>进口</w:t>
            </w:r>
          </w:p>
        </w:tc>
        <w:tc>
          <w:tcPr>
            <w:tcW w:w="693" w:type="dxa"/>
            <w:vAlign w:val="top"/>
          </w:tcPr>
          <w:p w14:paraId="2E601300">
            <w:pPr>
              <w:spacing w:before="36" w:line="213" w:lineRule="auto"/>
              <w:ind w:left="165"/>
              <w:rPr>
                <w:rFonts w:ascii="宋体" w:hAnsi="宋体" w:eastAsia="宋体" w:cs="宋体"/>
                <w:sz w:val="21"/>
                <w:szCs w:val="21"/>
              </w:rPr>
            </w:pPr>
            <w:r>
              <w:rPr>
                <w:rFonts w:ascii="宋体" w:hAnsi="宋体" w:eastAsia="宋体" w:cs="宋体"/>
                <w:spacing w:val="-7"/>
                <w:sz w:val="21"/>
                <w:szCs w:val="21"/>
              </w:rPr>
              <w:t>出口</w:t>
            </w:r>
          </w:p>
        </w:tc>
        <w:tc>
          <w:tcPr>
            <w:tcW w:w="690" w:type="dxa"/>
            <w:vAlign w:val="top"/>
          </w:tcPr>
          <w:p w14:paraId="60F0CE11">
            <w:pPr>
              <w:spacing w:before="36" w:line="213" w:lineRule="auto"/>
              <w:ind w:left="145"/>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71F6BF2D">
            <w:pPr>
              <w:spacing w:before="36" w:line="213" w:lineRule="auto"/>
              <w:ind w:left="167"/>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61D25642">
            <w:pPr>
              <w:spacing w:before="36" w:line="213" w:lineRule="auto"/>
              <w:ind w:left="149"/>
              <w:rPr>
                <w:rFonts w:ascii="宋体" w:hAnsi="宋体" w:eastAsia="宋体" w:cs="宋体"/>
                <w:sz w:val="21"/>
                <w:szCs w:val="21"/>
              </w:rPr>
            </w:pPr>
            <w:r>
              <w:rPr>
                <w:rFonts w:ascii="宋体" w:hAnsi="宋体" w:eastAsia="宋体" w:cs="宋体"/>
                <w:spacing w:val="-2"/>
                <w:sz w:val="21"/>
                <w:szCs w:val="21"/>
              </w:rPr>
              <w:t>进口</w:t>
            </w:r>
          </w:p>
        </w:tc>
        <w:tc>
          <w:tcPr>
            <w:tcW w:w="704" w:type="dxa"/>
            <w:tcBorders>
              <w:right w:val="single" w:color="000000" w:sz="12" w:space="0"/>
            </w:tcBorders>
            <w:vAlign w:val="top"/>
          </w:tcPr>
          <w:p w14:paraId="396CF009">
            <w:pPr>
              <w:spacing w:before="36" w:line="213" w:lineRule="auto"/>
              <w:ind w:left="169"/>
              <w:rPr>
                <w:rFonts w:ascii="宋体" w:hAnsi="宋体" w:eastAsia="宋体" w:cs="宋体"/>
                <w:sz w:val="21"/>
                <w:szCs w:val="21"/>
              </w:rPr>
            </w:pPr>
            <w:r>
              <w:rPr>
                <w:rFonts w:ascii="宋体" w:hAnsi="宋体" w:eastAsia="宋体" w:cs="宋体"/>
                <w:spacing w:val="-7"/>
                <w:sz w:val="21"/>
                <w:szCs w:val="21"/>
              </w:rPr>
              <w:t>出口</w:t>
            </w:r>
          </w:p>
        </w:tc>
      </w:tr>
      <w:tr w14:paraId="1936A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restart"/>
            <w:tcBorders>
              <w:left w:val="single" w:color="000000" w:sz="12" w:space="0"/>
              <w:bottom w:val="nil"/>
            </w:tcBorders>
            <w:vAlign w:val="top"/>
          </w:tcPr>
          <w:p w14:paraId="32B4F3C5">
            <w:pPr>
              <w:spacing w:line="291" w:lineRule="auto"/>
              <w:rPr>
                <w:rFonts w:ascii="Arial"/>
                <w:sz w:val="21"/>
              </w:rPr>
            </w:pPr>
          </w:p>
          <w:p w14:paraId="3467FF41">
            <w:pPr>
              <w:spacing w:line="291" w:lineRule="auto"/>
              <w:rPr>
                <w:rFonts w:ascii="Arial"/>
                <w:sz w:val="21"/>
              </w:rPr>
            </w:pPr>
          </w:p>
          <w:p w14:paraId="07650E70">
            <w:pPr>
              <w:spacing w:line="292" w:lineRule="auto"/>
              <w:rPr>
                <w:rFonts w:ascii="Arial"/>
                <w:sz w:val="21"/>
              </w:rPr>
            </w:pPr>
          </w:p>
          <w:p w14:paraId="05A1318B">
            <w:pPr>
              <w:spacing w:line="292" w:lineRule="auto"/>
              <w:rPr>
                <w:rFonts w:ascii="Arial"/>
                <w:sz w:val="21"/>
              </w:rPr>
            </w:pPr>
          </w:p>
          <w:p w14:paraId="7B091EB2">
            <w:pPr>
              <w:spacing w:before="68" w:line="241" w:lineRule="auto"/>
              <w:ind w:left="93" w:right="112"/>
              <w:jc w:val="both"/>
              <w:rPr>
                <w:rFonts w:ascii="宋体" w:hAnsi="宋体" w:eastAsia="宋体" w:cs="宋体"/>
                <w:sz w:val="21"/>
                <w:szCs w:val="21"/>
              </w:rPr>
            </w:pPr>
            <w:r>
              <w:rPr>
                <w:rFonts w:ascii="宋体" w:hAnsi="宋体" w:eastAsia="宋体" w:cs="宋体"/>
                <w:spacing w:val="-3"/>
                <w:sz w:val="21"/>
                <w:szCs w:val="21"/>
              </w:rPr>
              <w:t>枢纽工程区生活污水</w:t>
            </w:r>
          </w:p>
        </w:tc>
        <w:tc>
          <w:tcPr>
            <w:tcW w:w="283" w:type="dxa"/>
            <w:vMerge w:val="restart"/>
            <w:tcBorders>
              <w:bottom w:val="nil"/>
            </w:tcBorders>
            <w:vAlign w:val="top"/>
          </w:tcPr>
          <w:p w14:paraId="5DB12A33">
            <w:pPr>
              <w:pStyle w:val="6"/>
              <w:spacing w:before="54" w:line="222" w:lineRule="auto"/>
              <w:ind w:left="95"/>
            </w:pPr>
            <w:r>
              <w:t>1</w:t>
            </w:r>
          </w:p>
          <w:p w14:paraId="61D014F5">
            <w:pPr>
              <w:spacing w:line="219" w:lineRule="auto"/>
              <w:ind w:left="26"/>
              <w:rPr>
                <w:rFonts w:ascii="宋体" w:hAnsi="宋体" w:eastAsia="宋体" w:cs="宋体"/>
                <w:sz w:val="21"/>
                <w:szCs w:val="21"/>
              </w:rPr>
            </w:pPr>
            <w:r>
              <w:rPr>
                <w:rFonts w:ascii="宋体" w:hAnsi="宋体" w:eastAsia="宋体" w:cs="宋体"/>
                <w:sz w:val="21"/>
                <w:szCs w:val="21"/>
              </w:rPr>
              <w:t>季</w:t>
            </w:r>
          </w:p>
          <w:p w14:paraId="30019CD8">
            <w:pPr>
              <w:spacing w:before="22" w:line="209"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79FCA43B">
            <w:pPr>
              <w:pStyle w:val="6"/>
              <w:spacing w:before="54" w:line="190" w:lineRule="auto"/>
              <w:ind w:left="165"/>
            </w:pPr>
            <w:r>
              <w:rPr>
                <w:spacing w:val="-1"/>
              </w:rPr>
              <w:t>2019/1/15</w:t>
            </w:r>
          </w:p>
        </w:tc>
        <w:tc>
          <w:tcPr>
            <w:tcW w:w="691" w:type="dxa"/>
            <w:vAlign w:val="top"/>
          </w:tcPr>
          <w:p w14:paraId="065C1447">
            <w:pPr>
              <w:pStyle w:val="6"/>
              <w:spacing w:before="54" w:line="190" w:lineRule="auto"/>
              <w:ind w:left="301"/>
            </w:pPr>
            <w:r>
              <w:t>/</w:t>
            </w:r>
          </w:p>
        </w:tc>
        <w:tc>
          <w:tcPr>
            <w:tcW w:w="691" w:type="dxa"/>
            <w:vAlign w:val="top"/>
          </w:tcPr>
          <w:p w14:paraId="12C6212E">
            <w:pPr>
              <w:pStyle w:val="6"/>
              <w:spacing w:before="59" w:line="185" w:lineRule="auto"/>
              <w:ind w:left="151"/>
            </w:pPr>
            <w:r>
              <w:rPr>
                <w:b/>
                <w:bCs/>
                <w:spacing w:val="-1"/>
              </w:rPr>
              <w:t>30.5</w:t>
            </w:r>
          </w:p>
        </w:tc>
        <w:tc>
          <w:tcPr>
            <w:tcW w:w="689" w:type="dxa"/>
            <w:vAlign w:val="top"/>
          </w:tcPr>
          <w:p w14:paraId="05C38A40">
            <w:pPr>
              <w:pStyle w:val="6"/>
              <w:spacing w:before="54" w:line="190" w:lineRule="auto"/>
              <w:ind w:left="302"/>
            </w:pPr>
            <w:r>
              <w:t>/</w:t>
            </w:r>
          </w:p>
        </w:tc>
        <w:tc>
          <w:tcPr>
            <w:tcW w:w="691" w:type="dxa"/>
            <w:vAlign w:val="top"/>
          </w:tcPr>
          <w:p w14:paraId="350DB707">
            <w:pPr>
              <w:pStyle w:val="6"/>
              <w:spacing w:before="54" w:line="190" w:lineRule="auto"/>
              <w:ind w:left="237"/>
            </w:pPr>
            <w:r>
              <w:rPr>
                <w:spacing w:val="-2"/>
              </w:rPr>
              <w:t>76</w:t>
            </w:r>
          </w:p>
        </w:tc>
        <w:tc>
          <w:tcPr>
            <w:tcW w:w="691" w:type="dxa"/>
            <w:vAlign w:val="top"/>
          </w:tcPr>
          <w:p w14:paraId="6D1F8623">
            <w:pPr>
              <w:pStyle w:val="6"/>
              <w:spacing w:before="54" w:line="190" w:lineRule="auto"/>
              <w:ind w:left="307"/>
            </w:pPr>
            <w:r>
              <w:t>/</w:t>
            </w:r>
          </w:p>
        </w:tc>
        <w:tc>
          <w:tcPr>
            <w:tcW w:w="692" w:type="dxa"/>
            <w:vAlign w:val="top"/>
          </w:tcPr>
          <w:p w14:paraId="1944D780">
            <w:pPr>
              <w:pStyle w:val="6"/>
              <w:spacing w:before="59" w:line="185" w:lineRule="auto"/>
              <w:ind w:left="188"/>
            </w:pPr>
            <w:r>
              <w:rPr>
                <w:b/>
                <w:bCs/>
                <w:spacing w:val="-2"/>
              </w:rPr>
              <w:t>874</w:t>
            </w:r>
          </w:p>
        </w:tc>
        <w:tc>
          <w:tcPr>
            <w:tcW w:w="691" w:type="dxa"/>
            <w:vAlign w:val="top"/>
          </w:tcPr>
          <w:p w14:paraId="4B5E7B92">
            <w:pPr>
              <w:pStyle w:val="6"/>
              <w:spacing w:before="54" w:line="190" w:lineRule="auto"/>
              <w:ind w:left="310"/>
            </w:pPr>
            <w:r>
              <w:t>/</w:t>
            </w:r>
          </w:p>
        </w:tc>
        <w:tc>
          <w:tcPr>
            <w:tcW w:w="689" w:type="dxa"/>
            <w:vAlign w:val="top"/>
          </w:tcPr>
          <w:p w14:paraId="481146E7">
            <w:pPr>
              <w:pStyle w:val="6"/>
              <w:spacing w:before="54" w:line="190" w:lineRule="auto"/>
              <w:ind w:left="165"/>
            </w:pPr>
            <w:r>
              <w:rPr>
                <w:spacing w:val="-2"/>
              </w:rPr>
              <w:t>9.99</w:t>
            </w:r>
          </w:p>
        </w:tc>
        <w:tc>
          <w:tcPr>
            <w:tcW w:w="691" w:type="dxa"/>
            <w:vAlign w:val="top"/>
          </w:tcPr>
          <w:p w14:paraId="1548D66C">
            <w:pPr>
              <w:pStyle w:val="6"/>
              <w:spacing w:before="54" w:line="190" w:lineRule="auto"/>
              <w:ind w:left="314"/>
            </w:pPr>
            <w:r>
              <w:t>/</w:t>
            </w:r>
          </w:p>
        </w:tc>
        <w:tc>
          <w:tcPr>
            <w:tcW w:w="691" w:type="dxa"/>
            <w:vAlign w:val="top"/>
          </w:tcPr>
          <w:p w14:paraId="346DBCB6">
            <w:pPr>
              <w:pStyle w:val="6"/>
              <w:spacing w:before="59" w:line="185" w:lineRule="auto"/>
              <w:ind w:left="165"/>
            </w:pPr>
            <w:r>
              <w:rPr>
                <w:b/>
                <w:bCs/>
                <w:spacing w:val="-1"/>
              </w:rPr>
              <w:t>3.03</w:t>
            </w:r>
          </w:p>
        </w:tc>
        <w:tc>
          <w:tcPr>
            <w:tcW w:w="690" w:type="dxa"/>
            <w:vAlign w:val="top"/>
          </w:tcPr>
          <w:p w14:paraId="6D58BC36">
            <w:pPr>
              <w:pStyle w:val="6"/>
              <w:spacing w:before="54" w:line="190" w:lineRule="auto"/>
              <w:ind w:left="316"/>
            </w:pPr>
            <w:r>
              <w:t>/</w:t>
            </w:r>
          </w:p>
        </w:tc>
        <w:tc>
          <w:tcPr>
            <w:tcW w:w="693" w:type="dxa"/>
            <w:vAlign w:val="top"/>
          </w:tcPr>
          <w:p w14:paraId="4E3C7E2A">
            <w:pPr>
              <w:pStyle w:val="6"/>
              <w:spacing w:before="59" w:line="185" w:lineRule="auto"/>
              <w:ind w:left="171"/>
            </w:pPr>
            <w:r>
              <w:rPr>
                <w:b/>
                <w:bCs/>
                <w:spacing w:val="-2"/>
              </w:rPr>
              <w:t>41.1</w:t>
            </w:r>
          </w:p>
        </w:tc>
        <w:tc>
          <w:tcPr>
            <w:tcW w:w="690" w:type="dxa"/>
            <w:vAlign w:val="top"/>
          </w:tcPr>
          <w:p w14:paraId="6883C684">
            <w:pPr>
              <w:pStyle w:val="6"/>
              <w:spacing w:before="54" w:line="190" w:lineRule="auto"/>
              <w:ind w:left="319"/>
            </w:pPr>
            <w:r>
              <w:t>/</w:t>
            </w:r>
          </w:p>
        </w:tc>
        <w:tc>
          <w:tcPr>
            <w:tcW w:w="691" w:type="dxa"/>
            <w:vAlign w:val="top"/>
          </w:tcPr>
          <w:p w14:paraId="62457D26">
            <w:pPr>
              <w:pStyle w:val="6"/>
              <w:spacing w:before="59" w:line="185" w:lineRule="auto"/>
              <w:ind w:left="93"/>
            </w:pPr>
            <w:r>
              <w:rPr>
                <w:b/>
                <w:bCs/>
                <w:spacing w:val="-1"/>
              </w:rPr>
              <w:t>24000</w:t>
            </w:r>
          </w:p>
        </w:tc>
        <w:tc>
          <w:tcPr>
            <w:tcW w:w="691" w:type="dxa"/>
            <w:vAlign w:val="top"/>
          </w:tcPr>
          <w:p w14:paraId="26F41DEF">
            <w:pPr>
              <w:pStyle w:val="6"/>
              <w:spacing w:before="54" w:line="190" w:lineRule="auto"/>
              <w:ind w:left="323"/>
            </w:pPr>
            <w:r>
              <w:t>/</w:t>
            </w:r>
          </w:p>
        </w:tc>
        <w:tc>
          <w:tcPr>
            <w:tcW w:w="704" w:type="dxa"/>
            <w:tcBorders>
              <w:right w:val="single" w:color="000000" w:sz="12" w:space="0"/>
            </w:tcBorders>
            <w:vAlign w:val="top"/>
          </w:tcPr>
          <w:p w14:paraId="5A9DE27A">
            <w:pPr>
              <w:pStyle w:val="6"/>
              <w:spacing w:before="54" w:line="190" w:lineRule="auto"/>
              <w:ind w:left="112"/>
            </w:pPr>
            <w:r>
              <w:rPr>
                <w:spacing w:val="-2"/>
              </w:rPr>
              <w:t>0.05L</w:t>
            </w:r>
          </w:p>
        </w:tc>
      </w:tr>
      <w:tr w14:paraId="53625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32AF0187">
            <w:pPr>
              <w:rPr>
                <w:rFonts w:ascii="Arial"/>
                <w:sz w:val="21"/>
              </w:rPr>
            </w:pPr>
          </w:p>
        </w:tc>
        <w:tc>
          <w:tcPr>
            <w:tcW w:w="283" w:type="dxa"/>
            <w:vMerge w:val="continue"/>
            <w:tcBorders>
              <w:top w:val="nil"/>
              <w:bottom w:val="nil"/>
            </w:tcBorders>
            <w:vAlign w:val="top"/>
          </w:tcPr>
          <w:p w14:paraId="04E6CE97">
            <w:pPr>
              <w:rPr>
                <w:rFonts w:ascii="Arial"/>
                <w:sz w:val="21"/>
              </w:rPr>
            </w:pPr>
          </w:p>
        </w:tc>
        <w:tc>
          <w:tcPr>
            <w:tcW w:w="1208" w:type="dxa"/>
            <w:vAlign w:val="top"/>
          </w:tcPr>
          <w:p w14:paraId="414F738D">
            <w:pPr>
              <w:pStyle w:val="6"/>
              <w:spacing w:before="57" w:line="189" w:lineRule="auto"/>
              <w:ind w:left="165"/>
            </w:pPr>
            <w:r>
              <w:rPr>
                <w:spacing w:val="-1"/>
              </w:rPr>
              <w:t>2019/1/16</w:t>
            </w:r>
          </w:p>
        </w:tc>
        <w:tc>
          <w:tcPr>
            <w:tcW w:w="691" w:type="dxa"/>
            <w:vAlign w:val="top"/>
          </w:tcPr>
          <w:p w14:paraId="1043EEDD">
            <w:pPr>
              <w:pStyle w:val="6"/>
              <w:spacing w:before="57" w:line="189" w:lineRule="auto"/>
              <w:ind w:left="301"/>
            </w:pPr>
            <w:r>
              <w:t>/</w:t>
            </w:r>
          </w:p>
        </w:tc>
        <w:tc>
          <w:tcPr>
            <w:tcW w:w="691" w:type="dxa"/>
            <w:vAlign w:val="top"/>
          </w:tcPr>
          <w:p w14:paraId="77250AD7">
            <w:pPr>
              <w:pStyle w:val="6"/>
              <w:spacing w:before="62" w:line="184" w:lineRule="auto"/>
              <w:ind w:left="151"/>
            </w:pPr>
            <w:r>
              <w:rPr>
                <w:b/>
                <w:bCs/>
                <w:spacing w:val="-1"/>
              </w:rPr>
              <w:t>31.9</w:t>
            </w:r>
          </w:p>
        </w:tc>
        <w:tc>
          <w:tcPr>
            <w:tcW w:w="689" w:type="dxa"/>
            <w:vAlign w:val="top"/>
          </w:tcPr>
          <w:p w14:paraId="130BAD0B">
            <w:pPr>
              <w:pStyle w:val="6"/>
              <w:spacing w:before="57" w:line="189" w:lineRule="auto"/>
              <w:ind w:left="302"/>
            </w:pPr>
            <w:r>
              <w:t>/</w:t>
            </w:r>
          </w:p>
        </w:tc>
        <w:tc>
          <w:tcPr>
            <w:tcW w:w="691" w:type="dxa"/>
            <w:vAlign w:val="top"/>
          </w:tcPr>
          <w:p w14:paraId="4348996D">
            <w:pPr>
              <w:pStyle w:val="6"/>
              <w:spacing w:before="57" w:line="189" w:lineRule="auto"/>
              <w:ind w:left="243"/>
            </w:pPr>
            <w:r>
              <w:rPr>
                <w:spacing w:val="-4"/>
              </w:rPr>
              <w:t>81</w:t>
            </w:r>
          </w:p>
        </w:tc>
        <w:tc>
          <w:tcPr>
            <w:tcW w:w="691" w:type="dxa"/>
            <w:vAlign w:val="top"/>
          </w:tcPr>
          <w:p w14:paraId="3C0D2756">
            <w:pPr>
              <w:pStyle w:val="6"/>
              <w:spacing w:before="57" w:line="189" w:lineRule="auto"/>
              <w:ind w:left="307"/>
            </w:pPr>
            <w:r>
              <w:t>/</w:t>
            </w:r>
          </w:p>
        </w:tc>
        <w:tc>
          <w:tcPr>
            <w:tcW w:w="692" w:type="dxa"/>
            <w:vAlign w:val="top"/>
          </w:tcPr>
          <w:p w14:paraId="06A5E725">
            <w:pPr>
              <w:pStyle w:val="6"/>
              <w:spacing w:before="62" w:line="184" w:lineRule="auto"/>
              <w:ind w:left="188"/>
            </w:pPr>
            <w:r>
              <w:rPr>
                <w:b/>
                <w:bCs/>
                <w:spacing w:val="-2"/>
              </w:rPr>
              <w:t>858</w:t>
            </w:r>
          </w:p>
        </w:tc>
        <w:tc>
          <w:tcPr>
            <w:tcW w:w="691" w:type="dxa"/>
            <w:vAlign w:val="top"/>
          </w:tcPr>
          <w:p w14:paraId="0FBCD6BE">
            <w:pPr>
              <w:pStyle w:val="6"/>
              <w:spacing w:before="57" w:line="189" w:lineRule="auto"/>
              <w:ind w:left="310"/>
            </w:pPr>
            <w:r>
              <w:t>/</w:t>
            </w:r>
          </w:p>
        </w:tc>
        <w:tc>
          <w:tcPr>
            <w:tcW w:w="689" w:type="dxa"/>
            <w:vAlign w:val="top"/>
          </w:tcPr>
          <w:p w14:paraId="1F36B22C">
            <w:pPr>
              <w:pStyle w:val="6"/>
              <w:spacing w:before="57" w:line="189" w:lineRule="auto"/>
              <w:ind w:left="165"/>
            </w:pPr>
            <w:r>
              <w:rPr>
                <w:spacing w:val="-2"/>
              </w:rPr>
              <w:t>9.87</w:t>
            </w:r>
          </w:p>
        </w:tc>
        <w:tc>
          <w:tcPr>
            <w:tcW w:w="691" w:type="dxa"/>
            <w:vAlign w:val="top"/>
          </w:tcPr>
          <w:p w14:paraId="06C50640">
            <w:pPr>
              <w:pStyle w:val="6"/>
              <w:spacing w:before="57" w:line="189" w:lineRule="auto"/>
              <w:ind w:left="314"/>
            </w:pPr>
            <w:r>
              <w:t>/</w:t>
            </w:r>
          </w:p>
        </w:tc>
        <w:tc>
          <w:tcPr>
            <w:tcW w:w="691" w:type="dxa"/>
            <w:vAlign w:val="top"/>
          </w:tcPr>
          <w:p w14:paraId="5C1BBA9C">
            <w:pPr>
              <w:pStyle w:val="6"/>
              <w:spacing w:before="62" w:line="184" w:lineRule="auto"/>
              <w:ind w:left="165"/>
            </w:pPr>
            <w:r>
              <w:rPr>
                <w:b/>
                <w:bCs/>
                <w:spacing w:val="-1"/>
              </w:rPr>
              <w:t>3.01</w:t>
            </w:r>
          </w:p>
        </w:tc>
        <w:tc>
          <w:tcPr>
            <w:tcW w:w="690" w:type="dxa"/>
            <w:vAlign w:val="top"/>
          </w:tcPr>
          <w:p w14:paraId="0DCB52F9">
            <w:pPr>
              <w:pStyle w:val="6"/>
              <w:spacing w:before="57" w:line="189" w:lineRule="auto"/>
              <w:ind w:left="316"/>
            </w:pPr>
            <w:r>
              <w:t>/</w:t>
            </w:r>
          </w:p>
        </w:tc>
        <w:tc>
          <w:tcPr>
            <w:tcW w:w="693" w:type="dxa"/>
            <w:vAlign w:val="top"/>
          </w:tcPr>
          <w:p w14:paraId="6F52B6B3">
            <w:pPr>
              <w:pStyle w:val="6"/>
              <w:spacing w:before="62" w:line="184" w:lineRule="auto"/>
              <w:ind w:left="171"/>
            </w:pPr>
            <w:r>
              <w:rPr>
                <w:b/>
                <w:bCs/>
                <w:spacing w:val="-2"/>
              </w:rPr>
              <w:t>42.3</w:t>
            </w:r>
          </w:p>
        </w:tc>
        <w:tc>
          <w:tcPr>
            <w:tcW w:w="690" w:type="dxa"/>
            <w:vAlign w:val="top"/>
          </w:tcPr>
          <w:p w14:paraId="46621631">
            <w:pPr>
              <w:pStyle w:val="6"/>
              <w:spacing w:before="57" w:line="189" w:lineRule="auto"/>
              <w:ind w:left="319"/>
            </w:pPr>
            <w:r>
              <w:t>/</w:t>
            </w:r>
          </w:p>
        </w:tc>
        <w:tc>
          <w:tcPr>
            <w:tcW w:w="691" w:type="dxa"/>
            <w:vAlign w:val="top"/>
          </w:tcPr>
          <w:p w14:paraId="2593085E">
            <w:pPr>
              <w:pStyle w:val="6"/>
              <w:spacing w:before="62" w:line="184" w:lineRule="auto"/>
              <w:ind w:left="93"/>
            </w:pPr>
            <w:r>
              <w:rPr>
                <w:b/>
                <w:bCs/>
                <w:spacing w:val="-1"/>
              </w:rPr>
              <w:t>26000</w:t>
            </w:r>
          </w:p>
        </w:tc>
        <w:tc>
          <w:tcPr>
            <w:tcW w:w="691" w:type="dxa"/>
            <w:vAlign w:val="top"/>
          </w:tcPr>
          <w:p w14:paraId="259BA4AC">
            <w:pPr>
              <w:pStyle w:val="6"/>
              <w:spacing w:before="57" w:line="189" w:lineRule="auto"/>
              <w:ind w:left="323"/>
            </w:pPr>
            <w:r>
              <w:t>/</w:t>
            </w:r>
          </w:p>
        </w:tc>
        <w:tc>
          <w:tcPr>
            <w:tcW w:w="704" w:type="dxa"/>
            <w:tcBorders>
              <w:right w:val="single" w:color="000000" w:sz="12" w:space="0"/>
            </w:tcBorders>
            <w:vAlign w:val="top"/>
          </w:tcPr>
          <w:p w14:paraId="33402F1F">
            <w:pPr>
              <w:pStyle w:val="6"/>
              <w:spacing w:before="57" w:line="189" w:lineRule="auto"/>
              <w:ind w:left="112"/>
            </w:pPr>
            <w:r>
              <w:rPr>
                <w:spacing w:val="-2"/>
              </w:rPr>
              <w:t>0.05L</w:t>
            </w:r>
          </w:p>
        </w:tc>
      </w:tr>
      <w:tr w14:paraId="6AA14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849" w:type="dxa"/>
            <w:vMerge w:val="continue"/>
            <w:tcBorders>
              <w:top w:val="nil"/>
              <w:left w:val="single" w:color="000000" w:sz="12" w:space="0"/>
              <w:bottom w:val="nil"/>
            </w:tcBorders>
            <w:vAlign w:val="top"/>
          </w:tcPr>
          <w:p w14:paraId="58E804A9">
            <w:pPr>
              <w:rPr>
                <w:rFonts w:ascii="Arial"/>
                <w:sz w:val="21"/>
              </w:rPr>
            </w:pPr>
          </w:p>
        </w:tc>
        <w:tc>
          <w:tcPr>
            <w:tcW w:w="283" w:type="dxa"/>
            <w:vMerge w:val="continue"/>
            <w:tcBorders>
              <w:top w:val="nil"/>
            </w:tcBorders>
            <w:vAlign w:val="top"/>
          </w:tcPr>
          <w:p w14:paraId="6D38CF1D">
            <w:pPr>
              <w:rPr>
                <w:rFonts w:ascii="Arial"/>
                <w:sz w:val="21"/>
              </w:rPr>
            </w:pPr>
          </w:p>
        </w:tc>
        <w:tc>
          <w:tcPr>
            <w:tcW w:w="1208" w:type="dxa"/>
            <w:vAlign w:val="top"/>
          </w:tcPr>
          <w:p w14:paraId="1C406D69">
            <w:pPr>
              <w:pStyle w:val="6"/>
              <w:spacing w:before="61" w:line="191" w:lineRule="auto"/>
              <w:ind w:left="165"/>
            </w:pPr>
            <w:r>
              <w:rPr>
                <w:spacing w:val="-1"/>
              </w:rPr>
              <w:t>2019/1/17</w:t>
            </w:r>
          </w:p>
        </w:tc>
        <w:tc>
          <w:tcPr>
            <w:tcW w:w="691" w:type="dxa"/>
            <w:vAlign w:val="top"/>
          </w:tcPr>
          <w:p w14:paraId="531E1A3F">
            <w:pPr>
              <w:pStyle w:val="6"/>
              <w:spacing w:before="61" w:line="191" w:lineRule="auto"/>
              <w:ind w:left="301"/>
            </w:pPr>
            <w:r>
              <w:t>/</w:t>
            </w:r>
          </w:p>
        </w:tc>
        <w:tc>
          <w:tcPr>
            <w:tcW w:w="691" w:type="dxa"/>
            <w:vAlign w:val="top"/>
          </w:tcPr>
          <w:p w14:paraId="4097C690">
            <w:pPr>
              <w:pStyle w:val="6"/>
              <w:spacing w:before="66" w:line="186" w:lineRule="auto"/>
              <w:ind w:left="151"/>
            </w:pPr>
            <w:r>
              <w:rPr>
                <w:b/>
                <w:bCs/>
                <w:spacing w:val="-1"/>
              </w:rPr>
              <w:t>30.2</w:t>
            </w:r>
          </w:p>
        </w:tc>
        <w:tc>
          <w:tcPr>
            <w:tcW w:w="689" w:type="dxa"/>
            <w:vAlign w:val="top"/>
          </w:tcPr>
          <w:p w14:paraId="45E67AB5">
            <w:pPr>
              <w:pStyle w:val="6"/>
              <w:spacing w:before="61" w:line="191" w:lineRule="auto"/>
              <w:ind w:left="302"/>
            </w:pPr>
            <w:r>
              <w:t>/</w:t>
            </w:r>
          </w:p>
        </w:tc>
        <w:tc>
          <w:tcPr>
            <w:tcW w:w="691" w:type="dxa"/>
            <w:vAlign w:val="top"/>
          </w:tcPr>
          <w:p w14:paraId="5256C181">
            <w:pPr>
              <w:pStyle w:val="6"/>
              <w:spacing w:before="61" w:line="191" w:lineRule="auto"/>
              <w:ind w:left="237"/>
            </w:pPr>
            <w:r>
              <w:rPr>
                <w:spacing w:val="-2"/>
              </w:rPr>
              <w:t>78</w:t>
            </w:r>
          </w:p>
        </w:tc>
        <w:tc>
          <w:tcPr>
            <w:tcW w:w="691" w:type="dxa"/>
            <w:vAlign w:val="top"/>
          </w:tcPr>
          <w:p w14:paraId="3E7BE90F">
            <w:pPr>
              <w:pStyle w:val="6"/>
              <w:spacing w:before="61" w:line="191" w:lineRule="auto"/>
              <w:ind w:left="307"/>
            </w:pPr>
            <w:r>
              <w:t>/</w:t>
            </w:r>
          </w:p>
        </w:tc>
        <w:tc>
          <w:tcPr>
            <w:tcW w:w="692" w:type="dxa"/>
            <w:vAlign w:val="top"/>
          </w:tcPr>
          <w:p w14:paraId="1E9DA788">
            <w:pPr>
              <w:pStyle w:val="6"/>
              <w:spacing w:before="66" w:line="186" w:lineRule="auto"/>
              <w:ind w:left="188"/>
            </w:pPr>
            <w:r>
              <w:rPr>
                <w:b/>
                <w:bCs/>
                <w:spacing w:val="-2"/>
              </w:rPr>
              <w:t>862</w:t>
            </w:r>
          </w:p>
        </w:tc>
        <w:tc>
          <w:tcPr>
            <w:tcW w:w="691" w:type="dxa"/>
            <w:vAlign w:val="top"/>
          </w:tcPr>
          <w:p w14:paraId="23EB0671">
            <w:pPr>
              <w:pStyle w:val="6"/>
              <w:spacing w:before="61" w:line="191" w:lineRule="auto"/>
              <w:ind w:left="310"/>
            </w:pPr>
            <w:r>
              <w:t>/</w:t>
            </w:r>
          </w:p>
        </w:tc>
        <w:tc>
          <w:tcPr>
            <w:tcW w:w="689" w:type="dxa"/>
            <w:vAlign w:val="top"/>
          </w:tcPr>
          <w:p w14:paraId="66F24989">
            <w:pPr>
              <w:pStyle w:val="6"/>
              <w:spacing w:before="61" w:line="191" w:lineRule="auto"/>
              <w:ind w:left="181"/>
            </w:pPr>
            <w:r>
              <w:rPr>
                <w:spacing w:val="-6"/>
              </w:rPr>
              <w:t>10.2</w:t>
            </w:r>
          </w:p>
        </w:tc>
        <w:tc>
          <w:tcPr>
            <w:tcW w:w="691" w:type="dxa"/>
            <w:vAlign w:val="top"/>
          </w:tcPr>
          <w:p w14:paraId="2193BDD9">
            <w:pPr>
              <w:pStyle w:val="6"/>
              <w:spacing w:before="61" w:line="191" w:lineRule="auto"/>
              <w:ind w:left="314"/>
            </w:pPr>
            <w:r>
              <w:t>/</w:t>
            </w:r>
          </w:p>
        </w:tc>
        <w:tc>
          <w:tcPr>
            <w:tcW w:w="691" w:type="dxa"/>
            <w:vAlign w:val="top"/>
          </w:tcPr>
          <w:p w14:paraId="542023E7">
            <w:pPr>
              <w:pStyle w:val="6"/>
              <w:spacing w:before="66" w:line="186" w:lineRule="auto"/>
              <w:ind w:left="167"/>
            </w:pPr>
            <w:r>
              <w:rPr>
                <w:b/>
                <w:bCs/>
                <w:spacing w:val="-2"/>
              </w:rPr>
              <w:t>2.98</w:t>
            </w:r>
          </w:p>
        </w:tc>
        <w:tc>
          <w:tcPr>
            <w:tcW w:w="690" w:type="dxa"/>
            <w:vAlign w:val="top"/>
          </w:tcPr>
          <w:p w14:paraId="230887D8">
            <w:pPr>
              <w:pStyle w:val="6"/>
              <w:spacing w:before="61" w:line="191" w:lineRule="auto"/>
              <w:ind w:left="316"/>
            </w:pPr>
            <w:r>
              <w:t>/</w:t>
            </w:r>
          </w:p>
        </w:tc>
        <w:tc>
          <w:tcPr>
            <w:tcW w:w="693" w:type="dxa"/>
            <w:vAlign w:val="top"/>
          </w:tcPr>
          <w:p w14:paraId="2C21A799">
            <w:pPr>
              <w:pStyle w:val="6"/>
              <w:spacing w:before="66" w:line="186" w:lineRule="auto"/>
              <w:ind w:left="171"/>
            </w:pPr>
            <w:r>
              <w:rPr>
                <w:b/>
                <w:bCs/>
                <w:spacing w:val="-2"/>
              </w:rPr>
              <w:t>40.9</w:t>
            </w:r>
          </w:p>
        </w:tc>
        <w:tc>
          <w:tcPr>
            <w:tcW w:w="690" w:type="dxa"/>
            <w:vAlign w:val="top"/>
          </w:tcPr>
          <w:p w14:paraId="7D8E3511">
            <w:pPr>
              <w:pStyle w:val="6"/>
              <w:spacing w:before="61" w:line="191" w:lineRule="auto"/>
              <w:ind w:left="319"/>
            </w:pPr>
            <w:r>
              <w:t>/</w:t>
            </w:r>
          </w:p>
        </w:tc>
        <w:tc>
          <w:tcPr>
            <w:tcW w:w="691" w:type="dxa"/>
            <w:vAlign w:val="top"/>
          </w:tcPr>
          <w:p w14:paraId="592CB331">
            <w:pPr>
              <w:pStyle w:val="6"/>
              <w:spacing w:before="66" w:line="186" w:lineRule="auto"/>
              <w:ind w:left="93"/>
            </w:pPr>
            <w:r>
              <w:rPr>
                <w:b/>
                <w:bCs/>
                <w:spacing w:val="-1"/>
              </w:rPr>
              <w:t>27000</w:t>
            </w:r>
          </w:p>
        </w:tc>
        <w:tc>
          <w:tcPr>
            <w:tcW w:w="691" w:type="dxa"/>
            <w:vAlign w:val="top"/>
          </w:tcPr>
          <w:p w14:paraId="0B207F77">
            <w:pPr>
              <w:pStyle w:val="6"/>
              <w:spacing w:before="61" w:line="191" w:lineRule="auto"/>
              <w:ind w:left="323"/>
            </w:pPr>
            <w:r>
              <w:t>/</w:t>
            </w:r>
          </w:p>
        </w:tc>
        <w:tc>
          <w:tcPr>
            <w:tcW w:w="704" w:type="dxa"/>
            <w:tcBorders>
              <w:right w:val="single" w:color="000000" w:sz="12" w:space="0"/>
            </w:tcBorders>
            <w:vAlign w:val="top"/>
          </w:tcPr>
          <w:p w14:paraId="724B7F4B">
            <w:pPr>
              <w:pStyle w:val="6"/>
              <w:spacing w:before="61" w:line="191" w:lineRule="auto"/>
              <w:ind w:left="112"/>
            </w:pPr>
            <w:r>
              <w:rPr>
                <w:spacing w:val="-2"/>
              </w:rPr>
              <w:t>0.05L</w:t>
            </w:r>
          </w:p>
        </w:tc>
      </w:tr>
      <w:tr w14:paraId="67C41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1753E9F2">
            <w:pPr>
              <w:rPr>
                <w:rFonts w:ascii="Arial"/>
                <w:sz w:val="21"/>
              </w:rPr>
            </w:pPr>
          </w:p>
        </w:tc>
        <w:tc>
          <w:tcPr>
            <w:tcW w:w="283" w:type="dxa"/>
            <w:vMerge w:val="restart"/>
            <w:tcBorders>
              <w:bottom w:val="nil"/>
            </w:tcBorders>
            <w:vAlign w:val="top"/>
          </w:tcPr>
          <w:p w14:paraId="15EB1BDC">
            <w:pPr>
              <w:pStyle w:val="6"/>
              <w:spacing w:before="60" w:line="222" w:lineRule="auto"/>
              <w:ind w:left="75"/>
            </w:pPr>
            <w:r>
              <w:t>2</w:t>
            </w:r>
          </w:p>
          <w:p w14:paraId="20033E78">
            <w:pPr>
              <w:spacing w:line="219" w:lineRule="auto"/>
              <w:ind w:left="26"/>
              <w:rPr>
                <w:rFonts w:ascii="宋体" w:hAnsi="宋体" w:eastAsia="宋体" w:cs="宋体"/>
                <w:sz w:val="21"/>
                <w:szCs w:val="21"/>
              </w:rPr>
            </w:pPr>
            <w:r>
              <w:rPr>
                <w:rFonts w:ascii="宋体" w:hAnsi="宋体" w:eastAsia="宋体" w:cs="宋体"/>
                <w:sz w:val="21"/>
                <w:szCs w:val="21"/>
              </w:rPr>
              <w:t>季</w:t>
            </w:r>
          </w:p>
          <w:p w14:paraId="5E964E39">
            <w:pPr>
              <w:spacing w:before="23" w:line="206"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37866842">
            <w:pPr>
              <w:pStyle w:val="6"/>
              <w:spacing w:before="60" w:line="186" w:lineRule="auto"/>
              <w:ind w:left="165"/>
            </w:pPr>
            <w:r>
              <w:rPr>
                <w:spacing w:val="-1"/>
              </w:rPr>
              <w:t>2019/5/10</w:t>
            </w:r>
          </w:p>
        </w:tc>
        <w:tc>
          <w:tcPr>
            <w:tcW w:w="691" w:type="dxa"/>
            <w:vAlign w:val="top"/>
          </w:tcPr>
          <w:p w14:paraId="10D056E8">
            <w:pPr>
              <w:pStyle w:val="6"/>
              <w:spacing w:before="60" w:line="186" w:lineRule="auto"/>
              <w:ind w:left="301"/>
            </w:pPr>
            <w:r>
              <w:t>/</w:t>
            </w:r>
          </w:p>
        </w:tc>
        <w:tc>
          <w:tcPr>
            <w:tcW w:w="691" w:type="dxa"/>
            <w:vAlign w:val="top"/>
          </w:tcPr>
          <w:p w14:paraId="4AC0B21B">
            <w:pPr>
              <w:pStyle w:val="6"/>
              <w:spacing w:before="64" w:line="182" w:lineRule="auto"/>
              <w:ind w:left="188"/>
            </w:pPr>
            <w:r>
              <w:rPr>
                <w:b/>
                <w:bCs/>
                <w:spacing w:val="-4"/>
              </w:rPr>
              <w:t>142</w:t>
            </w:r>
          </w:p>
        </w:tc>
        <w:tc>
          <w:tcPr>
            <w:tcW w:w="689" w:type="dxa"/>
            <w:vAlign w:val="top"/>
          </w:tcPr>
          <w:p w14:paraId="6181503A">
            <w:pPr>
              <w:pStyle w:val="6"/>
              <w:spacing w:before="60" w:line="186" w:lineRule="auto"/>
              <w:ind w:left="302"/>
            </w:pPr>
            <w:r>
              <w:t>/</w:t>
            </w:r>
          </w:p>
        </w:tc>
        <w:tc>
          <w:tcPr>
            <w:tcW w:w="691" w:type="dxa"/>
            <w:vAlign w:val="top"/>
          </w:tcPr>
          <w:p w14:paraId="3052F81F">
            <w:pPr>
              <w:pStyle w:val="6"/>
              <w:spacing w:before="64" w:line="182" w:lineRule="auto"/>
              <w:ind w:left="181"/>
            </w:pPr>
            <w:r>
              <w:rPr>
                <w:b/>
                <w:bCs/>
                <w:spacing w:val="-1"/>
              </w:rPr>
              <w:t>308</w:t>
            </w:r>
          </w:p>
        </w:tc>
        <w:tc>
          <w:tcPr>
            <w:tcW w:w="691" w:type="dxa"/>
            <w:vAlign w:val="top"/>
          </w:tcPr>
          <w:p w14:paraId="58EE224E">
            <w:pPr>
              <w:pStyle w:val="6"/>
              <w:spacing w:before="60" w:line="186" w:lineRule="auto"/>
              <w:ind w:left="307"/>
            </w:pPr>
            <w:r>
              <w:t>/</w:t>
            </w:r>
          </w:p>
        </w:tc>
        <w:tc>
          <w:tcPr>
            <w:tcW w:w="692" w:type="dxa"/>
            <w:vAlign w:val="top"/>
          </w:tcPr>
          <w:p w14:paraId="5F9CB86C">
            <w:pPr>
              <w:pStyle w:val="6"/>
              <w:spacing w:before="64" w:line="182" w:lineRule="auto"/>
              <w:ind w:left="195"/>
            </w:pPr>
            <w:r>
              <w:rPr>
                <w:b/>
                <w:bCs/>
                <w:spacing w:val="-4"/>
              </w:rPr>
              <w:t>180</w:t>
            </w:r>
          </w:p>
        </w:tc>
        <w:tc>
          <w:tcPr>
            <w:tcW w:w="691" w:type="dxa"/>
            <w:vAlign w:val="top"/>
          </w:tcPr>
          <w:p w14:paraId="5067A2C2">
            <w:pPr>
              <w:pStyle w:val="6"/>
              <w:spacing w:before="60" w:line="186" w:lineRule="auto"/>
              <w:ind w:left="310"/>
            </w:pPr>
            <w:r>
              <w:t>/</w:t>
            </w:r>
          </w:p>
        </w:tc>
        <w:tc>
          <w:tcPr>
            <w:tcW w:w="689" w:type="dxa"/>
            <w:vAlign w:val="top"/>
          </w:tcPr>
          <w:p w14:paraId="1E826225">
            <w:pPr>
              <w:pStyle w:val="6"/>
              <w:spacing w:before="60" w:line="186" w:lineRule="auto"/>
              <w:ind w:left="160"/>
            </w:pPr>
            <w:r>
              <w:rPr>
                <w:spacing w:val="-1"/>
              </w:rPr>
              <w:t>4.80</w:t>
            </w:r>
          </w:p>
        </w:tc>
        <w:tc>
          <w:tcPr>
            <w:tcW w:w="691" w:type="dxa"/>
            <w:vAlign w:val="top"/>
          </w:tcPr>
          <w:p w14:paraId="759EC74B">
            <w:pPr>
              <w:pStyle w:val="6"/>
              <w:spacing w:before="60" w:line="186" w:lineRule="auto"/>
              <w:ind w:left="314"/>
            </w:pPr>
            <w:r>
              <w:t>/</w:t>
            </w:r>
          </w:p>
        </w:tc>
        <w:tc>
          <w:tcPr>
            <w:tcW w:w="691" w:type="dxa"/>
            <w:vAlign w:val="top"/>
          </w:tcPr>
          <w:p w14:paraId="65348241">
            <w:pPr>
              <w:pStyle w:val="6"/>
              <w:spacing w:before="64" w:line="182" w:lineRule="auto"/>
              <w:ind w:left="175"/>
            </w:pPr>
            <w:r>
              <w:rPr>
                <w:b/>
                <w:bCs/>
                <w:spacing w:val="-4"/>
              </w:rPr>
              <w:t>1.29</w:t>
            </w:r>
          </w:p>
        </w:tc>
        <w:tc>
          <w:tcPr>
            <w:tcW w:w="690" w:type="dxa"/>
            <w:vAlign w:val="top"/>
          </w:tcPr>
          <w:p w14:paraId="2E2FF4C5">
            <w:pPr>
              <w:pStyle w:val="6"/>
              <w:spacing w:before="60" w:line="186" w:lineRule="auto"/>
              <w:ind w:left="316"/>
            </w:pPr>
            <w:r>
              <w:t>/</w:t>
            </w:r>
          </w:p>
        </w:tc>
        <w:tc>
          <w:tcPr>
            <w:tcW w:w="693" w:type="dxa"/>
            <w:vAlign w:val="top"/>
          </w:tcPr>
          <w:p w14:paraId="3832564A">
            <w:pPr>
              <w:pStyle w:val="6"/>
              <w:spacing w:before="60" w:line="186" w:lineRule="auto"/>
              <w:ind w:left="169"/>
            </w:pPr>
            <w:r>
              <w:rPr>
                <w:spacing w:val="-1"/>
              </w:rPr>
              <w:t>4.08</w:t>
            </w:r>
          </w:p>
        </w:tc>
        <w:tc>
          <w:tcPr>
            <w:tcW w:w="690" w:type="dxa"/>
            <w:vAlign w:val="top"/>
          </w:tcPr>
          <w:p w14:paraId="406D41BB">
            <w:pPr>
              <w:pStyle w:val="6"/>
              <w:spacing w:before="60" w:line="186" w:lineRule="auto"/>
              <w:ind w:left="319"/>
            </w:pPr>
            <w:r>
              <w:t>/</w:t>
            </w:r>
          </w:p>
        </w:tc>
        <w:tc>
          <w:tcPr>
            <w:tcW w:w="691" w:type="dxa"/>
            <w:vAlign w:val="top"/>
          </w:tcPr>
          <w:p w14:paraId="381F939C">
            <w:pPr>
              <w:pStyle w:val="6"/>
              <w:spacing w:before="64" w:line="182" w:lineRule="auto"/>
              <w:ind w:left="40"/>
            </w:pPr>
            <w:r>
              <w:rPr>
                <w:b/>
                <w:bCs/>
                <w:spacing w:val="-1"/>
              </w:rPr>
              <w:t>280000</w:t>
            </w:r>
          </w:p>
        </w:tc>
        <w:tc>
          <w:tcPr>
            <w:tcW w:w="691" w:type="dxa"/>
            <w:vAlign w:val="top"/>
          </w:tcPr>
          <w:p w14:paraId="25B24A67">
            <w:pPr>
              <w:pStyle w:val="6"/>
              <w:spacing w:before="60" w:line="186" w:lineRule="auto"/>
              <w:ind w:left="323"/>
            </w:pPr>
            <w:r>
              <w:t>/</w:t>
            </w:r>
          </w:p>
        </w:tc>
        <w:tc>
          <w:tcPr>
            <w:tcW w:w="704" w:type="dxa"/>
            <w:tcBorders>
              <w:right w:val="single" w:color="000000" w:sz="12" w:space="0"/>
            </w:tcBorders>
            <w:vAlign w:val="top"/>
          </w:tcPr>
          <w:p w14:paraId="439B508E">
            <w:pPr>
              <w:pStyle w:val="6"/>
              <w:spacing w:before="60" w:line="186" w:lineRule="auto"/>
              <w:ind w:left="174"/>
            </w:pPr>
            <w:r>
              <w:rPr>
                <w:spacing w:val="-1"/>
              </w:rPr>
              <w:t>2.40</w:t>
            </w:r>
          </w:p>
        </w:tc>
      </w:tr>
      <w:tr w14:paraId="70B7F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5DDBDB6E">
            <w:pPr>
              <w:rPr>
                <w:rFonts w:ascii="Arial"/>
                <w:sz w:val="21"/>
              </w:rPr>
            </w:pPr>
          </w:p>
        </w:tc>
        <w:tc>
          <w:tcPr>
            <w:tcW w:w="283" w:type="dxa"/>
            <w:vMerge w:val="continue"/>
            <w:tcBorders>
              <w:top w:val="nil"/>
              <w:bottom w:val="nil"/>
            </w:tcBorders>
            <w:vAlign w:val="top"/>
          </w:tcPr>
          <w:p w14:paraId="06A8E430">
            <w:pPr>
              <w:rPr>
                <w:rFonts w:ascii="Arial"/>
                <w:sz w:val="21"/>
              </w:rPr>
            </w:pPr>
          </w:p>
        </w:tc>
        <w:tc>
          <w:tcPr>
            <w:tcW w:w="1208" w:type="dxa"/>
            <w:vAlign w:val="top"/>
          </w:tcPr>
          <w:p w14:paraId="176F9392">
            <w:pPr>
              <w:pStyle w:val="6"/>
              <w:spacing w:before="61" w:line="185" w:lineRule="auto"/>
              <w:ind w:left="165"/>
            </w:pPr>
            <w:r>
              <w:rPr>
                <w:spacing w:val="-1"/>
              </w:rPr>
              <w:t>2019/5/11</w:t>
            </w:r>
          </w:p>
        </w:tc>
        <w:tc>
          <w:tcPr>
            <w:tcW w:w="691" w:type="dxa"/>
            <w:vAlign w:val="top"/>
          </w:tcPr>
          <w:p w14:paraId="408F0B94">
            <w:pPr>
              <w:pStyle w:val="6"/>
              <w:spacing w:before="61" w:line="185" w:lineRule="auto"/>
              <w:ind w:left="301"/>
            </w:pPr>
            <w:r>
              <w:t>/</w:t>
            </w:r>
          </w:p>
        </w:tc>
        <w:tc>
          <w:tcPr>
            <w:tcW w:w="691" w:type="dxa"/>
            <w:vAlign w:val="top"/>
          </w:tcPr>
          <w:p w14:paraId="03EAA47C">
            <w:pPr>
              <w:pStyle w:val="6"/>
              <w:spacing w:before="65" w:line="181" w:lineRule="auto"/>
              <w:ind w:left="188"/>
            </w:pPr>
            <w:r>
              <w:rPr>
                <w:b/>
                <w:bCs/>
                <w:spacing w:val="-4"/>
              </w:rPr>
              <w:t>144</w:t>
            </w:r>
          </w:p>
        </w:tc>
        <w:tc>
          <w:tcPr>
            <w:tcW w:w="689" w:type="dxa"/>
            <w:vAlign w:val="top"/>
          </w:tcPr>
          <w:p w14:paraId="101C796C">
            <w:pPr>
              <w:pStyle w:val="6"/>
              <w:spacing w:before="61" w:line="185" w:lineRule="auto"/>
              <w:ind w:left="302"/>
            </w:pPr>
            <w:r>
              <w:t>/</w:t>
            </w:r>
          </w:p>
        </w:tc>
        <w:tc>
          <w:tcPr>
            <w:tcW w:w="691" w:type="dxa"/>
            <w:vAlign w:val="top"/>
          </w:tcPr>
          <w:p w14:paraId="52C5FBA1">
            <w:pPr>
              <w:pStyle w:val="6"/>
              <w:spacing w:before="65" w:line="181" w:lineRule="auto"/>
              <w:ind w:left="181"/>
            </w:pPr>
            <w:r>
              <w:rPr>
                <w:b/>
                <w:bCs/>
                <w:spacing w:val="-1"/>
              </w:rPr>
              <w:t>310</w:t>
            </w:r>
          </w:p>
        </w:tc>
        <w:tc>
          <w:tcPr>
            <w:tcW w:w="691" w:type="dxa"/>
            <w:vAlign w:val="top"/>
          </w:tcPr>
          <w:p w14:paraId="078730A6">
            <w:pPr>
              <w:pStyle w:val="6"/>
              <w:spacing w:before="61" w:line="185" w:lineRule="auto"/>
              <w:ind w:left="307"/>
            </w:pPr>
            <w:r>
              <w:t>/</w:t>
            </w:r>
          </w:p>
        </w:tc>
        <w:tc>
          <w:tcPr>
            <w:tcW w:w="692" w:type="dxa"/>
            <w:vAlign w:val="top"/>
          </w:tcPr>
          <w:p w14:paraId="228557A3">
            <w:pPr>
              <w:pStyle w:val="6"/>
              <w:spacing w:before="65" w:line="181" w:lineRule="auto"/>
              <w:ind w:left="195"/>
            </w:pPr>
            <w:r>
              <w:rPr>
                <w:b/>
                <w:bCs/>
                <w:spacing w:val="-4"/>
              </w:rPr>
              <w:t>176</w:t>
            </w:r>
          </w:p>
        </w:tc>
        <w:tc>
          <w:tcPr>
            <w:tcW w:w="691" w:type="dxa"/>
            <w:vAlign w:val="top"/>
          </w:tcPr>
          <w:p w14:paraId="43A6905D">
            <w:pPr>
              <w:pStyle w:val="6"/>
              <w:spacing w:before="61" w:line="185" w:lineRule="auto"/>
              <w:ind w:left="310"/>
            </w:pPr>
            <w:r>
              <w:t>/</w:t>
            </w:r>
          </w:p>
        </w:tc>
        <w:tc>
          <w:tcPr>
            <w:tcW w:w="689" w:type="dxa"/>
            <w:vAlign w:val="top"/>
          </w:tcPr>
          <w:p w14:paraId="335109F3">
            <w:pPr>
              <w:pStyle w:val="6"/>
              <w:spacing w:before="61" w:line="185" w:lineRule="auto"/>
              <w:ind w:left="160"/>
            </w:pPr>
            <w:r>
              <w:rPr>
                <w:spacing w:val="-1"/>
              </w:rPr>
              <w:t>4.71</w:t>
            </w:r>
          </w:p>
        </w:tc>
        <w:tc>
          <w:tcPr>
            <w:tcW w:w="691" w:type="dxa"/>
            <w:vAlign w:val="top"/>
          </w:tcPr>
          <w:p w14:paraId="586DC455">
            <w:pPr>
              <w:pStyle w:val="6"/>
              <w:spacing w:before="61" w:line="185" w:lineRule="auto"/>
              <w:ind w:left="314"/>
            </w:pPr>
            <w:r>
              <w:t>/</w:t>
            </w:r>
          </w:p>
        </w:tc>
        <w:tc>
          <w:tcPr>
            <w:tcW w:w="691" w:type="dxa"/>
            <w:vAlign w:val="top"/>
          </w:tcPr>
          <w:p w14:paraId="083B332F">
            <w:pPr>
              <w:pStyle w:val="6"/>
              <w:spacing w:before="65" w:line="181" w:lineRule="auto"/>
              <w:ind w:left="175"/>
            </w:pPr>
            <w:r>
              <w:rPr>
                <w:b/>
                <w:bCs/>
                <w:spacing w:val="-4"/>
              </w:rPr>
              <w:t>1.31</w:t>
            </w:r>
          </w:p>
        </w:tc>
        <w:tc>
          <w:tcPr>
            <w:tcW w:w="690" w:type="dxa"/>
            <w:vAlign w:val="top"/>
          </w:tcPr>
          <w:p w14:paraId="5833C5C1">
            <w:pPr>
              <w:pStyle w:val="6"/>
              <w:spacing w:before="61" w:line="185" w:lineRule="auto"/>
              <w:ind w:left="316"/>
            </w:pPr>
            <w:r>
              <w:t>/</w:t>
            </w:r>
          </w:p>
        </w:tc>
        <w:tc>
          <w:tcPr>
            <w:tcW w:w="693" w:type="dxa"/>
            <w:vAlign w:val="top"/>
          </w:tcPr>
          <w:p w14:paraId="2C7C6578">
            <w:pPr>
              <w:pStyle w:val="6"/>
              <w:spacing w:before="61" w:line="185" w:lineRule="auto"/>
              <w:ind w:left="169"/>
            </w:pPr>
            <w:r>
              <w:rPr>
                <w:spacing w:val="-1"/>
              </w:rPr>
              <w:t>4.00</w:t>
            </w:r>
          </w:p>
        </w:tc>
        <w:tc>
          <w:tcPr>
            <w:tcW w:w="690" w:type="dxa"/>
            <w:vAlign w:val="top"/>
          </w:tcPr>
          <w:p w14:paraId="6824A792">
            <w:pPr>
              <w:pStyle w:val="6"/>
              <w:spacing w:before="61" w:line="185" w:lineRule="auto"/>
              <w:ind w:left="319"/>
            </w:pPr>
            <w:r>
              <w:t>/</w:t>
            </w:r>
          </w:p>
        </w:tc>
        <w:tc>
          <w:tcPr>
            <w:tcW w:w="691" w:type="dxa"/>
            <w:vAlign w:val="top"/>
          </w:tcPr>
          <w:p w14:paraId="08F06784">
            <w:pPr>
              <w:pStyle w:val="6"/>
              <w:spacing w:before="65" w:line="181" w:lineRule="auto"/>
              <w:ind w:left="40"/>
            </w:pPr>
            <w:r>
              <w:rPr>
                <w:b/>
                <w:bCs/>
                <w:spacing w:val="-1"/>
              </w:rPr>
              <w:t>270000</w:t>
            </w:r>
          </w:p>
        </w:tc>
        <w:tc>
          <w:tcPr>
            <w:tcW w:w="691" w:type="dxa"/>
            <w:vAlign w:val="top"/>
          </w:tcPr>
          <w:p w14:paraId="7C7B5BF3">
            <w:pPr>
              <w:pStyle w:val="6"/>
              <w:spacing w:before="61" w:line="185" w:lineRule="auto"/>
              <w:ind w:left="323"/>
            </w:pPr>
            <w:r>
              <w:t>/</w:t>
            </w:r>
          </w:p>
        </w:tc>
        <w:tc>
          <w:tcPr>
            <w:tcW w:w="704" w:type="dxa"/>
            <w:tcBorders>
              <w:right w:val="single" w:color="000000" w:sz="12" w:space="0"/>
            </w:tcBorders>
            <w:vAlign w:val="top"/>
          </w:tcPr>
          <w:p w14:paraId="17FA58E2">
            <w:pPr>
              <w:pStyle w:val="6"/>
              <w:spacing w:before="61" w:line="185" w:lineRule="auto"/>
              <w:ind w:left="174"/>
            </w:pPr>
            <w:r>
              <w:rPr>
                <w:spacing w:val="-1"/>
              </w:rPr>
              <w:t>2.43</w:t>
            </w:r>
          </w:p>
        </w:tc>
      </w:tr>
      <w:tr w14:paraId="11B88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bottom w:val="nil"/>
            </w:tcBorders>
            <w:vAlign w:val="top"/>
          </w:tcPr>
          <w:p w14:paraId="4C92E362">
            <w:pPr>
              <w:rPr>
                <w:rFonts w:ascii="Arial"/>
                <w:sz w:val="21"/>
              </w:rPr>
            </w:pPr>
          </w:p>
        </w:tc>
        <w:tc>
          <w:tcPr>
            <w:tcW w:w="283" w:type="dxa"/>
            <w:vMerge w:val="continue"/>
            <w:tcBorders>
              <w:top w:val="nil"/>
            </w:tcBorders>
            <w:vAlign w:val="top"/>
          </w:tcPr>
          <w:p w14:paraId="1FCACE59">
            <w:pPr>
              <w:rPr>
                <w:rFonts w:ascii="Arial"/>
                <w:sz w:val="21"/>
              </w:rPr>
            </w:pPr>
          </w:p>
        </w:tc>
        <w:tc>
          <w:tcPr>
            <w:tcW w:w="1208" w:type="dxa"/>
            <w:vAlign w:val="top"/>
          </w:tcPr>
          <w:p w14:paraId="7EBA672F">
            <w:pPr>
              <w:pStyle w:val="6"/>
              <w:spacing w:before="65" w:line="188" w:lineRule="auto"/>
              <w:ind w:left="165"/>
            </w:pPr>
            <w:r>
              <w:rPr>
                <w:spacing w:val="-1"/>
              </w:rPr>
              <w:t>2019/5/12</w:t>
            </w:r>
          </w:p>
        </w:tc>
        <w:tc>
          <w:tcPr>
            <w:tcW w:w="691" w:type="dxa"/>
            <w:vAlign w:val="top"/>
          </w:tcPr>
          <w:p w14:paraId="6D35A7D1">
            <w:pPr>
              <w:pStyle w:val="6"/>
              <w:spacing w:before="65" w:line="188" w:lineRule="auto"/>
              <w:ind w:left="301"/>
            </w:pPr>
            <w:r>
              <w:t>/</w:t>
            </w:r>
          </w:p>
        </w:tc>
        <w:tc>
          <w:tcPr>
            <w:tcW w:w="691" w:type="dxa"/>
            <w:vAlign w:val="top"/>
          </w:tcPr>
          <w:p w14:paraId="05D2F2E1">
            <w:pPr>
              <w:pStyle w:val="6"/>
              <w:spacing w:before="70" w:line="183" w:lineRule="auto"/>
              <w:ind w:left="188"/>
            </w:pPr>
            <w:r>
              <w:rPr>
                <w:b/>
                <w:bCs/>
                <w:spacing w:val="-4"/>
              </w:rPr>
              <w:t>138</w:t>
            </w:r>
          </w:p>
        </w:tc>
        <w:tc>
          <w:tcPr>
            <w:tcW w:w="689" w:type="dxa"/>
            <w:vAlign w:val="top"/>
          </w:tcPr>
          <w:p w14:paraId="322CE5F6">
            <w:pPr>
              <w:pStyle w:val="6"/>
              <w:spacing w:before="65" w:line="188" w:lineRule="auto"/>
              <w:ind w:left="302"/>
            </w:pPr>
            <w:r>
              <w:t>/</w:t>
            </w:r>
          </w:p>
        </w:tc>
        <w:tc>
          <w:tcPr>
            <w:tcW w:w="691" w:type="dxa"/>
            <w:vAlign w:val="top"/>
          </w:tcPr>
          <w:p w14:paraId="25C0F31A">
            <w:pPr>
              <w:pStyle w:val="6"/>
              <w:spacing w:before="70" w:line="183" w:lineRule="auto"/>
              <w:ind w:left="181"/>
            </w:pPr>
            <w:r>
              <w:rPr>
                <w:b/>
                <w:bCs/>
                <w:spacing w:val="-1"/>
              </w:rPr>
              <w:t>300</w:t>
            </w:r>
          </w:p>
        </w:tc>
        <w:tc>
          <w:tcPr>
            <w:tcW w:w="691" w:type="dxa"/>
            <w:vAlign w:val="top"/>
          </w:tcPr>
          <w:p w14:paraId="04072E21">
            <w:pPr>
              <w:pStyle w:val="6"/>
              <w:spacing w:before="65" w:line="188" w:lineRule="auto"/>
              <w:ind w:left="307"/>
            </w:pPr>
            <w:r>
              <w:t>/</w:t>
            </w:r>
          </w:p>
        </w:tc>
        <w:tc>
          <w:tcPr>
            <w:tcW w:w="692" w:type="dxa"/>
            <w:vAlign w:val="top"/>
          </w:tcPr>
          <w:p w14:paraId="36D1608E">
            <w:pPr>
              <w:pStyle w:val="6"/>
              <w:spacing w:before="70" w:line="183" w:lineRule="auto"/>
              <w:ind w:left="195"/>
            </w:pPr>
            <w:r>
              <w:rPr>
                <w:b/>
                <w:bCs/>
                <w:spacing w:val="-4"/>
              </w:rPr>
              <w:t>194</w:t>
            </w:r>
          </w:p>
        </w:tc>
        <w:tc>
          <w:tcPr>
            <w:tcW w:w="691" w:type="dxa"/>
            <w:vAlign w:val="top"/>
          </w:tcPr>
          <w:p w14:paraId="50CF183C">
            <w:pPr>
              <w:pStyle w:val="6"/>
              <w:spacing w:before="65" w:line="188" w:lineRule="auto"/>
              <w:ind w:left="310"/>
            </w:pPr>
            <w:r>
              <w:t>/</w:t>
            </w:r>
          </w:p>
        </w:tc>
        <w:tc>
          <w:tcPr>
            <w:tcW w:w="689" w:type="dxa"/>
            <w:vAlign w:val="top"/>
          </w:tcPr>
          <w:p w14:paraId="74A2405B">
            <w:pPr>
              <w:pStyle w:val="6"/>
              <w:spacing w:before="65" w:line="188" w:lineRule="auto"/>
              <w:ind w:left="160"/>
            </w:pPr>
            <w:r>
              <w:rPr>
                <w:spacing w:val="-1"/>
              </w:rPr>
              <w:t>4.93</w:t>
            </w:r>
          </w:p>
        </w:tc>
        <w:tc>
          <w:tcPr>
            <w:tcW w:w="691" w:type="dxa"/>
            <w:vAlign w:val="top"/>
          </w:tcPr>
          <w:p w14:paraId="041B0B48">
            <w:pPr>
              <w:pStyle w:val="6"/>
              <w:spacing w:before="65" w:line="188" w:lineRule="auto"/>
              <w:ind w:left="314"/>
            </w:pPr>
            <w:r>
              <w:t>/</w:t>
            </w:r>
          </w:p>
        </w:tc>
        <w:tc>
          <w:tcPr>
            <w:tcW w:w="691" w:type="dxa"/>
            <w:vAlign w:val="top"/>
          </w:tcPr>
          <w:p w14:paraId="7CAB7104">
            <w:pPr>
              <w:pStyle w:val="6"/>
              <w:spacing w:before="70" w:line="183" w:lineRule="auto"/>
              <w:ind w:left="175"/>
            </w:pPr>
            <w:r>
              <w:rPr>
                <w:b/>
                <w:bCs/>
                <w:spacing w:val="-4"/>
              </w:rPr>
              <w:t>1.26</w:t>
            </w:r>
          </w:p>
        </w:tc>
        <w:tc>
          <w:tcPr>
            <w:tcW w:w="690" w:type="dxa"/>
            <w:vAlign w:val="top"/>
          </w:tcPr>
          <w:p w14:paraId="7AA08AF0">
            <w:pPr>
              <w:pStyle w:val="6"/>
              <w:spacing w:before="65" w:line="188" w:lineRule="auto"/>
              <w:ind w:left="316"/>
            </w:pPr>
            <w:r>
              <w:t>/</w:t>
            </w:r>
          </w:p>
        </w:tc>
        <w:tc>
          <w:tcPr>
            <w:tcW w:w="693" w:type="dxa"/>
            <w:vAlign w:val="top"/>
          </w:tcPr>
          <w:p w14:paraId="0819253E">
            <w:pPr>
              <w:pStyle w:val="6"/>
              <w:spacing w:before="65" w:line="188" w:lineRule="auto"/>
              <w:ind w:left="174"/>
            </w:pPr>
            <w:r>
              <w:rPr>
                <w:spacing w:val="-2"/>
              </w:rPr>
              <w:t>3.92</w:t>
            </w:r>
          </w:p>
        </w:tc>
        <w:tc>
          <w:tcPr>
            <w:tcW w:w="690" w:type="dxa"/>
            <w:vAlign w:val="top"/>
          </w:tcPr>
          <w:p w14:paraId="039E1987">
            <w:pPr>
              <w:pStyle w:val="6"/>
              <w:spacing w:before="65" w:line="188" w:lineRule="auto"/>
              <w:ind w:left="319"/>
            </w:pPr>
            <w:r>
              <w:t>/</w:t>
            </w:r>
          </w:p>
        </w:tc>
        <w:tc>
          <w:tcPr>
            <w:tcW w:w="691" w:type="dxa"/>
            <w:vAlign w:val="top"/>
          </w:tcPr>
          <w:p w14:paraId="5C5FE67B">
            <w:pPr>
              <w:pStyle w:val="6"/>
              <w:spacing w:before="70" w:line="183" w:lineRule="auto"/>
              <w:ind w:left="40"/>
            </w:pPr>
            <w:r>
              <w:rPr>
                <w:b/>
                <w:bCs/>
                <w:spacing w:val="-1"/>
              </w:rPr>
              <w:t>270000</w:t>
            </w:r>
          </w:p>
        </w:tc>
        <w:tc>
          <w:tcPr>
            <w:tcW w:w="691" w:type="dxa"/>
            <w:vAlign w:val="top"/>
          </w:tcPr>
          <w:p w14:paraId="79C411E8">
            <w:pPr>
              <w:pStyle w:val="6"/>
              <w:spacing w:before="65" w:line="188" w:lineRule="auto"/>
              <w:ind w:left="323"/>
            </w:pPr>
            <w:r>
              <w:t>/</w:t>
            </w:r>
          </w:p>
        </w:tc>
        <w:tc>
          <w:tcPr>
            <w:tcW w:w="704" w:type="dxa"/>
            <w:tcBorders>
              <w:right w:val="single" w:color="000000" w:sz="12" w:space="0"/>
            </w:tcBorders>
            <w:vAlign w:val="top"/>
          </w:tcPr>
          <w:p w14:paraId="628CDAE6">
            <w:pPr>
              <w:pStyle w:val="6"/>
              <w:spacing w:before="65" w:line="188" w:lineRule="auto"/>
              <w:ind w:left="174"/>
            </w:pPr>
            <w:r>
              <w:rPr>
                <w:spacing w:val="-1"/>
              </w:rPr>
              <w:t>2.37</w:t>
            </w:r>
          </w:p>
        </w:tc>
      </w:tr>
      <w:tr w14:paraId="23FCF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4373C1A7">
            <w:pPr>
              <w:rPr>
                <w:rFonts w:ascii="Arial"/>
                <w:sz w:val="21"/>
              </w:rPr>
            </w:pPr>
          </w:p>
        </w:tc>
        <w:tc>
          <w:tcPr>
            <w:tcW w:w="283" w:type="dxa"/>
            <w:vMerge w:val="restart"/>
            <w:tcBorders>
              <w:bottom w:val="nil"/>
            </w:tcBorders>
            <w:vAlign w:val="top"/>
          </w:tcPr>
          <w:p w14:paraId="62DE3288">
            <w:pPr>
              <w:pStyle w:val="6"/>
              <w:spacing w:before="62" w:line="223" w:lineRule="auto"/>
              <w:ind w:left="79"/>
            </w:pPr>
            <w:r>
              <w:t>3</w:t>
            </w:r>
          </w:p>
          <w:p w14:paraId="52CEA5EF">
            <w:pPr>
              <w:spacing w:line="219" w:lineRule="auto"/>
              <w:ind w:left="26"/>
              <w:rPr>
                <w:rFonts w:ascii="宋体" w:hAnsi="宋体" w:eastAsia="宋体" w:cs="宋体"/>
                <w:sz w:val="21"/>
                <w:szCs w:val="21"/>
              </w:rPr>
            </w:pPr>
            <w:r>
              <w:rPr>
                <w:rFonts w:ascii="宋体" w:hAnsi="宋体" w:eastAsia="宋体" w:cs="宋体"/>
                <w:sz w:val="21"/>
                <w:szCs w:val="21"/>
              </w:rPr>
              <w:t>季</w:t>
            </w:r>
          </w:p>
          <w:p w14:paraId="3B2CD9B9">
            <w:pPr>
              <w:spacing w:before="22" w:line="203"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2809DDE8">
            <w:pPr>
              <w:pStyle w:val="6"/>
              <w:spacing w:before="62" w:line="184" w:lineRule="auto"/>
              <w:ind w:left="165"/>
            </w:pPr>
            <w:r>
              <w:rPr>
                <w:spacing w:val="-1"/>
              </w:rPr>
              <w:t>2019/8/06</w:t>
            </w:r>
          </w:p>
        </w:tc>
        <w:tc>
          <w:tcPr>
            <w:tcW w:w="691" w:type="dxa"/>
            <w:vAlign w:val="top"/>
          </w:tcPr>
          <w:p w14:paraId="69083569">
            <w:pPr>
              <w:pStyle w:val="6"/>
              <w:spacing w:before="62" w:line="184" w:lineRule="auto"/>
              <w:ind w:left="301"/>
            </w:pPr>
            <w:r>
              <w:t>/</w:t>
            </w:r>
          </w:p>
        </w:tc>
        <w:tc>
          <w:tcPr>
            <w:tcW w:w="691" w:type="dxa"/>
            <w:vAlign w:val="top"/>
          </w:tcPr>
          <w:p w14:paraId="1AD834FB">
            <w:pPr>
              <w:pStyle w:val="6"/>
              <w:spacing w:before="66" w:line="180" w:lineRule="auto"/>
              <w:ind w:left="155"/>
            </w:pPr>
            <w:r>
              <w:rPr>
                <w:b/>
                <w:bCs/>
                <w:spacing w:val="-2"/>
              </w:rPr>
              <w:t>52.8</w:t>
            </w:r>
          </w:p>
        </w:tc>
        <w:tc>
          <w:tcPr>
            <w:tcW w:w="689" w:type="dxa"/>
            <w:vAlign w:val="top"/>
          </w:tcPr>
          <w:p w14:paraId="14390CF4">
            <w:pPr>
              <w:pStyle w:val="6"/>
              <w:spacing w:before="62" w:line="184" w:lineRule="auto"/>
              <w:ind w:left="302"/>
            </w:pPr>
            <w:r>
              <w:t>/</w:t>
            </w:r>
          </w:p>
        </w:tc>
        <w:tc>
          <w:tcPr>
            <w:tcW w:w="691" w:type="dxa"/>
            <w:vAlign w:val="top"/>
          </w:tcPr>
          <w:p w14:paraId="7832C09A">
            <w:pPr>
              <w:pStyle w:val="6"/>
              <w:spacing w:before="66" w:line="180" w:lineRule="auto"/>
              <w:ind w:left="192"/>
            </w:pPr>
            <w:r>
              <w:rPr>
                <w:b/>
                <w:bCs/>
                <w:spacing w:val="-4"/>
              </w:rPr>
              <w:t>153</w:t>
            </w:r>
          </w:p>
        </w:tc>
        <w:tc>
          <w:tcPr>
            <w:tcW w:w="691" w:type="dxa"/>
            <w:vAlign w:val="top"/>
          </w:tcPr>
          <w:p w14:paraId="198D61DC">
            <w:pPr>
              <w:pStyle w:val="6"/>
              <w:spacing w:before="62" w:line="184" w:lineRule="auto"/>
              <w:ind w:left="307"/>
            </w:pPr>
            <w:r>
              <w:t>/</w:t>
            </w:r>
          </w:p>
        </w:tc>
        <w:tc>
          <w:tcPr>
            <w:tcW w:w="692" w:type="dxa"/>
            <w:vAlign w:val="top"/>
          </w:tcPr>
          <w:p w14:paraId="0AFF0417">
            <w:pPr>
              <w:pStyle w:val="6"/>
              <w:spacing w:before="66" w:line="180" w:lineRule="auto"/>
              <w:ind w:left="240"/>
            </w:pPr>
            <w:r>
              <w:rPr>
                <w:b/>
                <w:bCs/>
                <w:spacing w:val="-2"/>
              </w:rPr>
              <w:t>72</w:t>
            </w:r>
          </w:p>
        </w:tc>
        <w:tc>
          <w:tcPr>
            <w:tcW w:w="691" w:type="dxa"/>
            <w:vAlign w:val="top"/>
          </w:tcPr>
          <w:p w14:paraId="4A384114">
            <w:pPr>
              <w:pStyle w:val="6"/>
              <w:spacing w:before="62" w:line="184" w:lineRule="auto"/>
              <w:ind w:left="310"/>
            </w:pPr>
            <w:r>
              <w:t>/</w:t>
            </w:r>
          </w:p>
        </w:tc>
        <w:tc>
          <w:tcPr>
            <w:tcW w:w="689" w:type="dxa"/>
            <w:vAlign w:val="top"/>
          </w:tcPr>
          <w:p w14:paraId="0D7B868E">
            <w:pPr>
              <w:pStyle w:val="6"/>
              <w:spacing w:before="62" w:line="184" w:lineRule="auto"/>
              <w:ind w:left="160"/>
            </w:pPr>
            <w:r>
              <w:rPr>
                <w:spacing w:val="-1"/>
              </w:rPr>
              <w:t>4.12</w:t>
            </w:r>
          </w:p>
        </w:tc>
        <w:tc>
          <w:tcPr>
            <w:tcW w:w="691" w:type="dxa"/>
            <w:vAlign w:val="top"/>
          </w:tcPr>
          <w:p w14:paraId="43FD6A5F">
            <w:pPr>
              <w:pStyle w:val="6"/>
              <w:spacing w:before="62" w:line="184" w:lineRule="auto"/>
              <w:ind w:left="314"/>
            </w:pPr>
            <w:r>
              <w:t>/</w:t>
            </w:r>
          </w:p>
        </w:tc>
        <w:tc>
          <w:tcPr>
            <w:tcW w:w="691" w:type="dxa"/>
            <w:vAlign w:val="top"/>
          </w:tcPr>
          <w:p w14:paraId="2B842008">
            <w:pPr>
              <w:pStyle w:val="6"/>
              <w:spacing w:before="66" w:line="180" w:lineRule="auto"/>
              <w:ind w:left="169"/>
            </w:pPr>
            <w:r>
              <w:rPr>
                <w:b/>
                <w:bCs/>
                <w:spacing w:val="-2"/>
              </w:rPr>
              <w:t>0.32</w:t>
            </w:r>
          </w:p>
        </w:tc>
        <w:tc>
          <w:tcPr>
            <w:tcW w:w="690" w:type="dxa"/>
            <w:vAlign w:val="top"/>
          </w:tcPr>
          <w:p w14:paraId="14DE8F6C">
            <w:pPr>
              <w:pStyle w:val="6"/>
              <w:spacing w:before="62" w:line="184" w:lineRule="auto"/>
              <w:ind w:left="316"/>
            </w:pPr>
            <w:r>
              <w:t>/</w:t>
            </w:r>
          </w:p>
        </w:tc>
        <w:tc>
          <w:tcPr>
            <w:tcW w:w="693" w:type="dxa"/>
            <w:vAlign w:val="top"/>
          </w:tcPr>
          <w:p w14:paraId="0F777599">
            <w:pPr>
              <w:pStyle w:val="6"/>
              <w:spacing w:before="62" w:line="184" w:lineRule="auto"/>
              <w:ind w:left="170"/>
            </w:pPr>
            <w:r>
              <w:rPr>
                <w:spacing w:val="-1"/>
              </w:rPr>
              <w:t>2.22</w:t>
            </w:r>
          </w:p>
        </w:tc>
        <w:tc>
          <w:tcPr>
            <w:tcW w:w="690" w:type="dxa"/>
            <w:vAlign w:val="top"/>
          </w:tcPr>
          <w:p w14:paraId="0D3781D8">
            <w:pPr>
              <w:pStyle w:val="6"/>
              <w:spacing w:before="62" w:line="184" w:lineRule="auto"/>
              <w:ind w:left="319"/>
            </w:pPr>
            <w:r>
              <w:t>/</w:t>
            </w:r>
          </w:p>
        </w:tc>
        <w:tc>
          <w:tcPr>
            <w:tcW w:w="691" w:type="dxa"/>
            <w:vAlign w:val="top"/>
          </w:tcPr>
          <w:p w14:paraId="3627992E">
            <w:pPr>
              <w:pStyle w:val="6"/>
              <w:spacing w:before="66" w:line="180" w:lineRule="auto"/>
              <w:ind w:left="40"/>
            </w:pPr>
            <w:r>
              <w:rPr>
                <w:b/>
                <w:bCs/>
                <w:spacing w:val="-1"/>
              </w:rPr>
              <w:t>210000</w:t>
            </w:r>
          </w:p>
        </w:tc>
        <w:tc>
          <w:tcPr>
            <w:tcW w:w="691" w:type="dxa"/>
            <w:vAlign w:val="top"/>
          </w:tcPr>
          <w:p w14:paraId="393B3513">
            <w:pPr>
              <w:pStyle w:val="6"/>
              <w:spacing w:before="62" w:line="184" w:lineRule="auto"/>
              <w:ind w:left="323"/>
            </w:pPr>
            <w:r>
              <w:t>/</w:t>
            </w:r>
          </w:p>
        </w:tc>
        <w:tc>
          <w:tcPr>
            <w:tcW w:w="704" w:type="dxa"/>
            <w:tcBorders>
              <w:right w:val="single" w:color="000000" w:sz="12" w:space="0"/>
            </w:tcBorders>
            <w:vAlign w:val="top"/>
          </w:tcPr>
          <w:p w14:paraId="0AE9A140">
            <w:pPr>
              <w:pStyle w:val="6"/>
              <w:spacing w:before="62" w:line="184" w:lineRule="auto"/>
              <w:ind w:left="174"/>
            </w:pPr>
            <w:r>
              <w:rPr>
                <w:spacing w:val="-1"/>
              </w:rPr>
              <w:t>2.40</w:t>
            </w:r>
          </w:p>
        </w:tc>
      </w:tr>
      <w:tr w14:paraId="2D90F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4E94616D">
            <w:pPr>
              <w:rPr>
                <w:rFonts w:ascii="Arial"/>
                <w:sz w:val="21"/>
              </w:rPr>
            </w:pPr>
          </w:p>
        </w:tc>
        <w:tc>
          <w:tcPr>
            <w:tcW w:w="283" w:type="dxa"/>
            <w:vMerge w:val="continue"/>
            <w:tcBorders>
              <w:top w:val="nil"/>
              <w:bottom w:val="nil"/>
            </w:tcBorders>
            <w:vAlign w:val="top"/>
          </w:tcPr>
          <w:p w14:paraId="4BAF170E">
            <w:pPr>
              <w:rPr>
                <w:rFonts w:ascii="Arial"/>
                <w:sz w:val="21"/>
              </w:rPr>
            </w:pPr>
          </w:p>
        </w:tc>
        <w:tc>
          <w:tcPr>
            <w:tcW w:w="1208" w:type="dxa"/>
            <w:vAlign w:val="top"/>
          </w:tcPr>
          <w:p w14:paraId="0719895D">
            <w:pPr>
              <w:pStyle w:val="6"/>
              <w:spacing w:before="62" w:line="182" w:lineRule="auto"/>
              <w:ind w:left="165"/>
            </w:pPr>
            <w:r>
              <w:rPr>
                <w:spacing w:val="-1"/>
              </w:rPr>
              <w:t>2019/8/07</w:t>
            </w:r>
          </w:p>
        </w:tc>
        <w:tc>
          <w:tcPr>
            <w:tcW w:w="691" w:type="dxa"/>
            <w:vAlign w:val="top"/>
          </w:tcPr>
          <w:p w14:paraId="3AA14AE1">
            <w:pPr>
              <w:pStyle w:val="6"/>
              <w:spacing w:before="62" w:line="182" w:lineRule="auto"/>
              <w:ind w:left="301"/>
            </w:pPr>
            <w:r>
              <w:t>/</w:t>
            </w:r>
          </w:p>
        </w:tc>
        <w:tc>
          <w:tcPr>
            <w:tcW w:w="691" w:type="dxa"/>
            <w:vAlign w:val="top"/>
          </w:tcPr>
          <w:p w14:paraId="1D67E82A">
            <w:pPr>
              <w:pStyle w:val="6"/>
              <w:spacing w:before="67" w:line="177" w:lineRule="auto"/>
              <w:ind w:left="155"/>
            </w:pPr>
            <w:r>
              <w:rPr>
                <w:b/>
                <w:bCs/>
                <w:spacing w:val="-2"/>
              </w:rPr>
              <w:t>50.3</w:t>
            </w:r>
          </w:p>
        </w:tc>
        <w:tc>
          <w:tcPr>
            <w:tcW w:w="689" w:type="dxa"/>
            <w:vAlign w:val="top"/>
          </w:tcPr>
          <w:p w14:paraId="5C2E9E25">
            <w:pPr>
              <w:pStyle w:val="6"/>
              <w:spacing w:before="62" w:line="182" w:lineRule="auto"/>
              <w:ind w:left="302"/>
            </w:pPr>
            <w:r>
              <w:t>/</w:t>
            </w:r>
          </w:p>
        </w:tc>
        <w:tc>
          <w:tcPr>
            <w:tcW w:w="691" w:type="dxa"/>
            <w:vAlign w:val="top"/>
          </w:tcPr>
          <w:p w14:paraId="0B725D62">
            <w:pPr>
              <w:pStyle w:val="6"/>
              <w:spacing w:before="67" w:line="177" w:lineRule="auto"/>
              <w:ind w:left="192"/>
            </w:pPr>
            <w:r>
              <w:rPr>
                <w:b/>
                <w:bCs/>
                <w:spacing w:val="-4"/>
              </w:rPr>
              <w:t>146</w:t>
            </w:r>
          </w:p>
        </w:tc>
        <w:tc>
          <w:tcPr>
            <w:tcW w:w="691" w:type="dxa"/>
            <w:vAlign w:val="top"/>
          </w:tcPr>
          <w:p w14:paraId="4F4C5ADC">
            <w:pPr>
              <w:pStyle w:val="6"/>
              <w:spacing w:before="62" w:line="182" w:lineRule="auto"/>
              <w:ind w:left="307"/>
            </w:pPr>
            <w:r>
              <w:t>/</w:t>
            </w:r>
          </w:p>
        </w:tc>
        <w:tc>
          <w:tcPr>
            <w:tcW w:w="692" w:type="dxa"/>
            <w:vAlign w:val="top"/>
          </w:tcPr>
          <w:p w14:paraId="403AB149">
            <w:pPr>
              <w:pStyle w:val="6"/>
              <w:spacing w:before="62" w:line="182" w:lineRule="auto"/>
              <w:ind w:left="242"/>
            </w:pPr>
            <w:r>
              <w:rPr>
                <w:spacing w:val="-3"/>
              </w:rPr>
              <w:t>69</w:t>
            </w:r>
          </w:p>
        </w:tc>
        <w:tc>
          <w:tcPr>
            <w:tcW w:w="691" w:type="dxa"/>
            <w:vAlign w:val="top"/>
          </w:tcPr>
          <w:p w14:paraId="7BC4A0D9">
            <w:pPr>
              <w:pStyle w:val="6"/>
              <w:spacing w:before="62" w:line="182" w:lineRule="auto"/>
              <w:ind w:left="310"/>
            </w:pPr>
            <w:r>
              <w:t>/</w:t>
            </w:r>
          </w:p>
        </w:tc>
        <w:tc>
          <w:tcPr>
            <w:tcW w:w="689" w:type="dxa"/>
            <w:vAlign w:val="top"/>
          </w:tcPr>
          <w:p w14:paraId="409FEB33">
            <w:pPr>
              <w:pStyle w:val="6"/>
              <w:spacing w:before="62" w:line="182" w:lineRule="auto"/>
              <w:ind w:left="160"/>
            </w:pPr>
            <w:r>
              <w:rPr>
                <w:spacing w:val="-1"/>
              </w:rPr>
              <w:t>4.28</w:t>
            </w:r>
          </w:p>
        </w:tc>
        <w:tc>
          <w:tcPr>
            <w:tcW w:w="691" w:type="dxa"/>
            <w:vAlign w:val="top"/>
          </w:tcPr>
          <w:p w14:paraId="11821984">
            <w:pPr>
              <w:pStyle w:val="6"/>
              <w:spacing w:before="62" w:line="182" w:lineRule="auto"/>
              <w:ind w:left="314"/>
            </w:pPr>
            <w:r>
              <w:t>/</w:t>
            </w:r>
          </w:p>
        </w:tc>
        <w:tc>
          <w:tcPr>
            <w:tcW w:w="691" w:type="dxa"/>
            <w:vAlign w:val="top"/>
          </w:tcPr>
          <w:p w14:paraId="5FB73FAA">
            <w:pPr>
              <w:pStyle w:val="6"/>
              <w:spacing w:before="67" w:line="177" w:lineRule="auto"/>
              <w:ind w:left="169"/>
            </w:pPr>
            <w:r>
              <w:rPr>
                <w:b/>
                <w:bCs/>
                <w:spacing w:val="-2"/>
              </w:rPr>
              <w:t>0.34</w:t>
            </w:r>
          </w:p>
        </w:tc>
        <w:tc>
          <w:tcPr>
            <w:tcW w:w="690" w:type="dxa"/>
            <w:vAlign w:val="top"/>
          </w:tcPr>
          <w:p w14:paraId="42EF408C">
            <w:pPr>
              <w:pStyle w:val="6"/>
              <w:spacing w:before="62" w:line="182" w:lineRule="auto"/>
              <w:ind w:left="316"/>
            </w:pPr>
            <w:r>
              <w:t>/</w:t>
            </w:r>
          </w:p>
        </w:tc>
        <w:tc>
          <w:tcPr>
            <w:tcW w:w="693" w:type="dxa"/>
            <w:vAlign w:val="top"/>
          </w:tcPr>
          <w:p w14:paraId="4E294A69">
            <w:pPr>
              <w:pStyle w:val="6"/>
              <w:spacing w:before="62" w:line="182" w:lineRule="auto"/>
              <w:ind w:left="170"/>
            </w:pPr>
            <w:r>
              <w:rPr>
                <w:spacing w:val="-1"/>
              </w:rPr>
              <w:t>2.28</w:t>
            </w:r>
          </w:p>
        </w:tc>
        <w:tc>
          <w:tcPr>
            <w:tcW w:w="690" w:type="dxa"/>
            <w:vAlign w:val="top"/>
          </w:tcPr>
          <w:p w14:paraId="6F65C51C">
            <w:pPr>
              <w:pStyle w:val="6"/>
              <w:spacing w:before="62" w:line="182" w:lineRule="auto"/>
              <w:ind w:left="319"/>
            </w:pPr>
            <w:r>
              <w:t>/</w:t>
            </w:r>
          </w:p>
        </w:tc>
        <w:tc>
          <w:tcPr>
            <w:tcW w:w="691" w:type="dxa"/>
            <w:vAlign w:val="top"/>
          </w:tcPr>
          <w:p w14:paraId="6BB1645A">
            <w:pPr>
              <w:pStyle w:val="6"/>
              <w:spacing w:before="67" w:line="177" w:lineRule="auto"/>
              <w:ind w:left="40"/>
            </w:pPr>
            <w:r>
              <w:rPr>
                <w:b/>
                <w:bCs/>
                <w:spacing w:val="-1"/>
              </w:rPr>
              <w:t>240000</w:t>
            </w:r>
          </w:p>
        </w:tc>
        <w:tc>
          <w:tcPr>
            <w:tcW w:w="691" w:type="dxa"/>
            <w:vAlign w:val="top"/>
          </w:tcPr>
          <w:p w14:paraId="5EE39F03">
            <w:pPr>
              <w:pStyle w:val="6"/>
              <w:spacing w:before="62" w:line="182" w:lineRule="auto"/>
              <w:ind w:left="323"/>
            </w:pPr>
            <w:r>
              <w:t>/</w:t>
            </w:r>
          </w:p>
        </w:tc>
        <w:tc>
          <w:tcPr>
            <w:tcW w:w="704" w:type="dxa"/>
            <w:tcBorders>
              <w:right w:val="single" w:color="000000" w:sz="12" w:space="0"/>
            </w:tcBorders>
            <w:vAlign w:val="top"/>
          </w:tcPr>
          <w:p w14:paraId="1F18C088">
            <w:pPr>
              <w:pStyle w:val="6"/>
              <w:spacing w:before="62" w:line="182" w:lineRule="auto"/>
              <w:ind w:left="174"/>
            </w:pPr>
            <w:r>
              <w:rPr>
                <w:spacing w:val="-1"/>
              </w:rPr>
              <w:t>2.43</w:t>
            </w:r>
          </w:p>
        </w:tc>
      </w:tr>
      <w:tr w14:paraId="658A8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849" w:type="dxa"/>
            <w:vMerge w:val="continue"/>
            <w:tcBorders>
              <w:top w:val="nil"/>
              <w:left w:val="single" w:color="000000" w:sz="12" w:space="0"/>
              <w:bottom w:val="nil"/>
            </w:tcBorders>
            <w:vAlign w:val="top"/>
          </w:tcPr>
          <w:p w14:paraId="19AE5204">
            <w:pPr>
              <w:rPr>
                <w:rFonts w:ascii="Arial"/>
                <w:sz w:val="21"/>
              </w:rPr>
            </w:pPr>
          </w:p>
        </w:tc>
        <w:tc>
          <w:tcPr>
            <w:tcW w:w="283" w:type="dxa"/>
            <w:vMerge w:val="continue"/>
            <w:tcBorders>
              <w:top w:val="nil"/>
            </w:tcBorders>
            <w:vAlign w:val="top"/>
          </w:tcPr>
          <w:p w14:paraId="3C504F21">
            <w:pPr>
              <w:rPr>
                <w:rFonts w:ascii="Arial"/>
                <w:sz w:val="21"/>
              </w:rPr>
            </w:pPr>
          </w:p>
        </w:tc>
        <w:tc>
          <w:tcPr>
            <w:tcW w:w="1208" w:type="dxa"/>
            <w:vAlign w:val="top"/>
          </w:tcPr>
          <w:p w14:paraId="4135ABEA">
            <w:pPr>
              <w:pStyle w:val="6"/>
              <w:spacing w:before="69" w:line="185" w:lineRule="auto"/>
              <w:ind w:left="165"/>
            </w:pPr>
            <w:r>
              <w:rPr>
                <w:spacing w:val="-1"/>
              </w:rPr>
              <w:t>2019/8/08</w:t>
            </w:r>
          </w:p>
        </w:tc>
        <w:tc>
          <w:tcPr>
            <w:tcW w:w="691" w:type="dxa"/>
            <w:vAlign w:val="top"/>
          </w:tcPr>
          <w:p w14:paraId="3F12A8D3">
            <w:pPr>
              <w:pStyle w:val="6"/>
              <w:spacing w:before="69" w:line="185" w:lineRule="auto"/>
              <w:ind w:left="301"/>
            </w:pPr>
            <w:r>
              <w:t>/</w:t>
            </w:r>
          </w:p>
        </w:tc>
        <w:tc>
          <w:tcPr>
            <w:tcW w:w="691" w:type="dxa"/>
            <w:vAlign w:val="top"/>
          </w:tcPr>
          <w:p w14:paraId="3F0841E2">
            <w:pPr>
              <w:pStyle w:val="6"/>
              <w:spacing w:before="73" w:line="181" w:lineRule="auto"/>
              <w:ind w:left="155"/>
            </w:pPr>
            <w:r>
              <w:rPr>
                <w:b/>
                <w:bCs/>
                <w:spacing w:val="-2"/>
              </w:rPr>
              <w:t>55.9</w:t>
            </w:r>
          </w:p>
        </w:tc>
        <w:tc>
          <w:tcPr>
            <w:tcW w:w="689" w:type="dxa"/>
            <w:vAlign w:val="top"/>
          </w:tcPr>
          <w:p w14:paraId="33C2F329">
            <w:pPr>
              <w:pStyle w:val="6"/>
              <w:spacing w:before="69" w:line="185" w:lineRule="auto"/>
              <w:ind w:left="302"/>
            </w:pPr>
            <w:r>
              <w:t>/</w:t>
            </w:r>
          </w:p>
        </w:tc>
        <w:tc>
          <w:tcPr>
            <w:tcW w:w="691" w:type="dxa"/>
            <w:vAlign w:val="top"/>
          </w:tcPr>
          <w:p w14:paraId="0A91EAE0">
            <w:pPr>
              <w:pStyle w:val="6"/>
              <w:spacing w:before="73" w:line="181" w:lineRule="auto"/>
              <w:ind w:left="192"/>
            </w:pPr>
            <w:r>
              <w:rPr>
                <w:b/>
                <w:bCs/>
                <w:spacing w:val="-4"/>
              </w:rPr>
              <w:t>162</w:t>
            </w:r>
          </w:p>
        </w:tc>
        <w:tc>
          <w:tcPr>
            <w:tcW w:w="691" w:type="dxa"/>
            <w:vAlign w:val="top"/>
          </w:tcPr>
          <w:p w14:paraId="179C593F">
            <w:pPr>
              <w:pStyle w:val="6"/>
              <w:spacing w:before="69" w:line="185" w:lineRule="auto"/>
              <w:ind w:left="307"/>
            </w:pPr>
            <w:r>
              <w:t>/</w:t>
            </w:r>
          </w:p>
        </w:tc>
        <w:tc>
          <w:tcPr>
            <w:tcW w:w="692" w:type="dxa"/>
            <w:vAlign w:val="top"/>
          </w:tcPr>
          <w:p w14:paraId="2E547E90">
            <w:pPr>
              <w:pStyle w:val="6"/>
              <w:spacing w:before="73" w:line="181" w:lineRule="auto"/>
              <w:ind w:left="240"/>
            </w:pPr>
            <w:r>
              <w:rPr>
                <w:b/>
                <w:bCs/>
                <w:spacing w:val="-2"/>
              </w:rPr>
              <w:t>78</w:t>
            </w:r>
          </w:p>
        </w:tc>
        <w:tc>
          <w:tcPr>
            <w:tcW w:w="691" w:type="dxa"/>
            <w:vAlign w:val="top"/>
          </w:tcPr>
          <w:p w14:paraId="5369ED0E">
            <w:pPr>
              <w:pStyle w:val="6"/>
              <w:spacing w:before="69" w:line="185" w:lineRule="auto"/>
              <w:ind w:left="310"/>
            </w:pPr>
            <w:r>
              <w:t>/</w:t>
            </w:r>
          </w:p>
        </w:tc>
        <w:tc>
          <w:tcPr>
            <w:tcW w:w="689" w:type="dxa"/>
            <w:vAlign w:val="top"/>
          </w:tcPr>
          <w:p w14:paraId="0F7D999F">
            <w:pPr>
              <w:pStyle w:val="6"/>
              <w:spacing w:before="69" w:line="185" w:lineRule="auto"/>
              <w:ind w:left="160"/>
            </w:pPr>
            <w:r>
              <w:rPr>
                <w:spacing w:val="-1"/>
              </w:rPr>
              <w:t>4.31</w:t>
            </w:r>
          </w:p>
        </w:tc>
        <w:tc>
          <w:tcPr>
            <w:tcW w:w="691" w:type="dxa"/>
            <w:vAlign w:val="top"/>
          </w:tcPr>
          <w:p w14:paraId="0B2484FB">
            <w:pPr>
              <w:pStyle w:val="6"/>
              <w:spacing w:before="69" w:line="185" w:lineRule="auto"/>
              <w:ind w:left="314"/>
            </w:pPr>
            <w:r>
              <w:t>/</w:t>
            </w:r>
          </w:p>
        </w:tc>
        <w:tc>
          <w:tcPr>
            <w:tcW w:w="691" w:type="dxa"/>
            <w:vAlign w:val="top"/>
          </w:tcPr>
          <w:p w14:paraId="6425EE8B">
            <w:pPr>
              <w:pStyle w:val="6"/>
              <w:spacing w:before="73" w:line="181" w:lineRule="auto"/>
              <w:ind w:left="169"/>
            </w:pPr>
            <w:r>
              <w:rPr>
                <w:b/>
                <w:bCs/>
                <w:spacing w:val="-2"/>
              </w:rPr>
              <w:t>0.36</w:t>
            </w:r>
          </w:p>
        </w:tc>
        <w:tc>
          <w:tcPr>
            <w:tcW w:w="690" w:type="dxa"/>
            <w:vAlign w:val="top"/>
          </w:tcPr>
          <w:p w14:paraId="593AA54E">
            <w:pPr>
              <w:pStyle w:val="6"/>
              <w:spacing w:before="69" w:line="185" w:lineRule="auto"/>
              <w:ind w:left="316"/>
            </w:pPr>
            <w:r>
              <w:t>/</w:t>
            </w:r>
          </w:p>
        </w:tc>
        <w:tc>
          <w:tcPr>
            <w:tcW w:w="693" w:type="dxa"/>
            <w:vAlign w:val="top"/>
          </w:tcPr>
          <w:p w14:paraId="05A4E453">
            <w:pPr>
              <w:pStyle w:val="6"/>
              <w:spacing w:before="69" w:line="185" w:lineRule="auto"/>
              <w:ind w:left="170"/>
            </w:pPr>
            <w:r>
              <w:rPr>
                <w:spacing w:val="-1"/>
              </w:rPr>
              <w:t>2.26</w:t>
            </w:r>
          </w:p>
        </w:tc>
        <w:tc>
          <w:tcPr>
            <w:tcW w:w="690" w:type="dxa"/>
            <w:vAlign w:val="top"/>
          </w:tcPr>
          <w:p w14:paraId="197D1E01">
            <w:pPr>
              <w:pStyle w:val="6"/>
              <w:spacing w:before="69" w:line="185" w:lineRule="auto"/>
              <w:ind w:left="319"/>
            </w:pPr>
            <w:r>
              <w:t>/</w:t>
            </w:r>
          </w:p>
        </w:tc>
        <w:tc>
          <w:tcPr>
            <w:tcW w:w="691" w:type="dxa"/>
            <w:vAlign w:val="top"/>
          </w:tcPr>
          <w:p w14:paraId="668ED97C">
            <w:pPr>
              <w:pStyle w:val="6"/>
              <w:spacing w:before="73" w:line="181" w:lineRule="auto"/>
              <w:ind w:left="40"/>
            </w:pPr>
            <w:r>
              <w:rPr>
                <w:b/>
                <w:bCs/>
                <w:spacing w:val="-1"/>
              </w:rPr>
              <w:t>220000</w:t>
            </w:r>
          </w:p>
        </w:tc>
        <w:tc>
          <w:tcPr>
            <w:tcW w:w="691" w:type="dxa"/>
            <w:vAlign w:val="top"/>
          </w:tcPr>
          <w:p w14:paraId="1696CBED">
            <w:pPr>
              <w:pStyle w:val="6"/>
              <w:spacing w:before="69" w:line="185" w:lineRule="auto"/>
              <w:ind w:left="323"/>
            </w:pPr>
            <w:r>
              <w:t>/</w:t>
            </w:r>
          </w:p>
        </w:tc>
        <w:tc>
          <w:tcPr>
            <w:tcW w:w="704" w:type="dxa"/>
            <w:tcBorders>
              <w:right w:val="single" w:color="000000" w:sz="12" w:space="0"/>
            </w:tcBorders>
            <w:vAlign w:val="top"/>
          </w:tcPr>
          <w:p w14:paraId="46B5AF64">
            <w:pPr>
              <w:pStyle w:val="6"/>
              <w:spacing w:before="69" w:line="185" w:lineRule="auto"/>
              <w:ind w:left="174"/>
            </w:pPr>
            <w:r>
              <w:rPr>
                <w:spacing w:val="-1"/>
              </w:rPr>
              <w:t>2.37</w:t>
            </w:r>
          </w:p>
        </w:tc>
      </w:tr>
      <w:tr w14:paraId="794AC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5B1ABBEC">
            <w:pPr>
              <w:rPr>
                <w:rFonts w:ascii="Arial"/>
                <w:sz w:val="21"/>
              </w:rPr>
            </w:pPr>
          </w:p>
        </w:tc>
        <w:tc>
          <w:tcPr>
            <w:tcW w:w="283" w:type="dxa"/>
            <w:vMerge w:val="restart"/>
            <w:tcBorders>
              <w:bottom w:val="nil"/>
            </w:tcBorders>
            <w:vAlign w:val="top"/>
          </w:tcPr>
          <w:p w14:paraId="0C2C586A">
            <w:pPr>
              <w:pStyle w:val="6"/>
              <w:spacing w:before="65" w:line="222" w:lineRule="auto"/>
              <w:ind w:left="74"/>
            </w:pPr>
            <w:r>
              <w:t>4</w:t>
            </w:r>
          </w:p>
          <w:p w14:paraId="58F886E1">
            <w:pPr>
              <w:spacing w:line="219" w:lineRule="auto"/>
              <w:ind w:left="26"/>
              <w:rPr>
                <w:rFonts w:ascii="宋体" w:hAnsi="宋体" w:eastAsia="宋体" w:cs="宋体"/>
                <w:sz w:val="21"/>
                <w:szCs w:val="21"/>
              </w:rPr>
            </w:pPr>
            <w:r>
              <w:rPr>
                <w:rFonts w:ascii="宋体" w:hAnsi="宋体" w:eastAsia="宋体" w:cs="宋体"/>
                <w:sz w:val="21"/>
                <w:szCs w:val="21"/>
              </w:rPr>
              <w:t>季</w:t>
            </w:r>
          </w:p>
          <w:p w14:paraId="3485E972">
            <w:pPr>
              <w:spacing w:before="22" w:line="200"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5BE269E3">
            <w:pPr>
              <w:pStyle w:val="6"/>
              <w:spacing w:before="65" w:line="179" w:lineRule="auto"/>
              <w:ind w:left="165"/>
            </w:pPr>
            <w:r>
              <w:rPr>
                <w:spacing w:val="-1"/>
              </w:rPr>
              <w:t>2019/11/9</w:t>
            </w:r>
          </w:p>
        </w:tc>
        <w:tc>
          <w:tcPr>
            <w:tcW w:w="691" w:type="dxa"/>
            <w:vAlign w:val="top"/>
          </w:tcPr>
          <w:p w14:paraId="30070577">
            <w:pPr>
              <w:pStyle w:val="6"/>
              <w:spacing w:before="65" w:line="179" w:lineRule="auto"/>
              <w:ind w:left="301"/>
            </w:pPr>
            <w:r>
              <w:t>/</w:t>
            </w:r>
          </w:p>
        </w:tc>
        <w:tc>
          <w:tcPr>
            <w:tcW w:w="691" w:type="dxa"/>
            <w:vAlign w:val="top"/>
          </w:tcPr>
          <w:p w14:paraId="3F7088BC">
            <w:pPr>
              <w:pStyle w:val="6"/>
              <w:spacing w:before="70" w:line="174" w:lineRule="auto"/>
              <w:ind w:left="180"/>
            </w:pPr>
            <w:r>
              <w:rPr>
                <w:b/>
                <w:bCs/>
                <w:spacing w:val="-2"/>
              </w:rPr>
              <w:t>242</w:t>
            </w:r>
          </w:p>
        </w:tc>
        <w:tc>
          <w:tcPr>
            <w:tcW w:w="689" w:type="dxa"/>
            <w:vAlign w:val="top"/>
          </w:tcPr>
          <w:p w14:paraId="2314FE26">
            <w:pPr>
              <w:pStyle w:val="6"/>
              <w:spacing w:before="65" w:line="179" w:lineRule="auto"/>
              <w:ind w:left="302"/>
            </w:pPr>
            <w:r>
              <w:t>/</w:t>
            </w:r>
          </w:p>
        </w:tc>
        <w:tc>
          <w:tcPr>
            <w:tcW w:w="691" w:type="dxa"/>
            <w:vAlign w:val="top"/>
          </w:tcPr>
          <w:p w14:paraId="5A633E4A">
            <w:pPr>
              <w:pStyle w:val="6"/>
              <w:spacing w:before="70" w:line="174" w:lineRule="auto"/>
              <w:ind w:left="183"/>
            </w:pPr>
            <w:r>
              <w:rPr>
                <w:b/>
                <w:bCs/>
                <w:spacing w:val="-2"/>
              </w:rPr>
              <w:t>485</w:t>
            </w:r>
          </w:p>
        </w:tc>
        <w:tc>
          <w:tcPr>
            <w:tcW w:w="691" w:type="dxa"/>
            <w:vAlign w:val="top"/>
          </w:tcPr>
          <w:p w14:paraId="3BE342E2">
            <w:pPr>
              <w:pStyle w:val="6"/>
              <w:spacing w:before="65" w:line="179" w:lineRule="auto"/>
              <w:ind w:left="307"/>
            </w:pPr>
            <w:r>
              <w:t>/</w:t>
            </w:r>
          </w:p>
        </w:tc>
        <w:tc>
          <w:tcPr>
            <w:tcW w:w="692" w:type="dxa"/>
            <w:vAlign w:val="top"/>
          </w:tcPr>
          <w:p w14:paraId="134E190B">
            <w:pPr>
              <w:pStyle w:val="6"/>
              <w:spacing w:before="70" w:line="174" w:lineRule="auto"/>
              <w:ind w:left="195"/>
            </w:pPr>
            <w:r>
              <w:rPr>
                <w:b/>
                <w:bCs/>
                <w:spacing w:val="-4"/>
              </w:rPr>
              <w:t>120</w:t>
            </w:r>
          </w:p>
        </w:tc>
        <w:tc>
          <w:tcPr>
            <w:tcW w:w="691" w:type="dxa"/>
            <w:vAlign w:val="top"/>
          </w:tcPr>
          <w:p w14:paraId="5B68FDBE">
            <w:pPr>
              <w:pStyle w:val="6"/>
              <w:spacing w:before="65" w:line="179" w:lineRule="auto"/>
              <w:ind w:left="310"/>
            </w:pPr>
            <w:r>
              <w:t>/</w:t>
            </w:r>
          </w:p>
        </w:tc>
        <w:tc>
          <w:tcPr>
            <w:tcW w:w="689" w:type="dxa"/>
            <w:vAlign w:val="top"/>
          </w:tcPr>
          <w:p w14:paraId="55564726">
            <w:pPr>
              <w:pStyle w:val="6"/>
              <w:spacing w:before="65" w:line="179" w:lineRule="auto"/>
              <w:ind w:left="161"/>
            </w:pPr>
            <w:r>
              <w:rPr>
                <w:spacing w:val="-1"/>
              </w:rPr>
              <w:t>2.37</w:t>
            </w:r>
          </w:p>
        </w:tc>
        <w:tc>
          <w:tcPr>
            <w:tcW w:w="691" w:type="dxa"/>
            <w:vAlign w:val="top"/>
          </w:tcPr>
          <w:p w14:paraId="7CF66484">
            <w:pPr>
              <w:pStyle w:val="6"/>
              <w:spacing w:before="65" w:line="179" w:lineRule="auto"/>
              <w:ind w:left="314"/>
            </w:pPr>
            <w:r>
              <w:t>/</w:t>
            </w:r>
          </w:p>
        </w:tc>
        <w:tc>
          <w:tcPr>
            <w:tcW w:w="691" w:type="dxa"/>
            <w:vAlign w:val="top"/>
          </w:tcPr>
          <w:p w14:paraId="48E724D6">
            <w:pPr>
              <w:pStyle w:val="6"/>
              <w:spacing w:before="70" w:line="174" w:lineRule="auto"/>
              <w:ind w:left="169"/>
            </w:pPr>
            <w:r>
              <w:rPr>
                <w:b/>
                <w:bCs/>
                <w:spacing w:val="-2"/>
              </w:rPr>
              <w:t>0.91</w:t>
            </w:r>
          </w:p>
        </w:tc>
        <w:tc>
          <w:tcPr>
            <w:tcW w:w="690" w:type="dxa"/>
            <w:vAlign w:val="top"/>
          </w:tcPr>
          <w:p w14:paraId="3B35405D">
            <w:pPr>
              <w:pStyle w:val="6"/>
              <w:spacing w:before="65" w:line="179" w:lineRule="auto"/>
              <w:ind w:left="316"/>
            </w:pPr>
            <w:r>
              <w:t>/</w:t>
            </w:r>
          </w:p>
        </w:tc>
        <w:tc>
          <w:tcPr>
            <w:tcW w:w="693" w:type="dxa"/>
            <w:vAlign w:val="top"/>
          </w:tcPr>
          <w:p w14:paraId="124DC750">
            <w:pPr>
              <w:pStyle w:val="6"/>
              <w:spacing w:before="65" w:line="179" w:lineRule="auto"/>
              <w:ind w:left="170"/>
            </w:pPr>
            <w:r>
              <w:rPr>
                <w:spacing w:val="-1"/>
              </w:rPr>
              <w:t>2.32</w:t>
            </w:r>
          </w:p>
        </w:tc>
        <w:tc>
          <w:tcPr>
            <w:tcW w:w="690" w:type="dxa"/>
            <w:vAlign w:val="top"/>
          </w:tcPr>
          <w:p w14:paraId="517E457C">
            <w:pPr>
              <w:pStyle w:val="6"/>
              <w:spacing w:before="65" w:line="179" w:lineRule="auto"/>
              <w:ind w:left="319"/>
            </w:pPr>
            <w:r>
              <w:t>/</w:t>
            </w:r>
          </w:p>
        </w:tc>
        <w:tc>
          <w:tcPr>
            <w:tcW w:w="691" w:type="dxa"/>
            <w:vAlign w:val="top"/>
          </w:tcPr>
          <w:p w14:paraId="439CB8A6">
            <w:pPr>
              <w:pStyle w:val="6"/>
              <w:spacing w:before="70" w:line="174" w:lineRule="auto"/>
              <w:ind w:left="40"/>
            </w:pPr>
            <w:r>
              <w:rPr>
                <w:b/>
                <w:bCs/>
                <w:spacing w:val="-1"/>
              </w:rPr>
              <w:t>240000</w:t>
            </w:r>
          </w:p>
        </w:tc>
        <w:tc>
          <w:tcPr>
            <w:tcW w:w="691" w:type="dxa"/>
            <w:vAlign w:val="top"/>
          </w:tcPr>
          <w:p w14:paraId="706C83BD">
            <w:pPr>
              <w:pStyle w:val="6"/>
              <w:spacing w:before="65" w:line="179" w:lineRule="auto"/>
              <w:ind w:left="323"/>
            </w:pPr>
            <w:r>
              <w:t>/</w:t>
            </w:r>
          </w:p>
        </w:tc>
        <w:tc>
          <w:tcPr>
            <w:tcW w:w="704" w:type="dxa"/>
            <w:tcBorders>
              <w:right w:val="single" w:color="000000" w:sz="12" w:space="0"/>
            </w:tcBorders>
            <w:vAlign w:val="top"/>
          </w:tcPr>
          <w:p w14:paraId="1373A33E">
            <w:pPr>
              <w:pStyle w:val="6"/>
              <w:spacing w:before="65" w:line="179" w:lineRule="auto"/>
              <w:ind w:left="194"/>
            </w:pPr>
            <w:r>
              <w:rPr>
                <w:spacing w:val="-6"/>
              </w:rPr>
              <w:t>1.05</w:t>
            </w:r>
          </w:p>
        </w:tc>
      </w:tr>
      <w:tr w14:paraId="2ED4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79A45567">
            <w:pPr>
              <w:rPr>
                <w:rFonts w:ascii="Arial"/>
                <w:sz w:val="21"/>
              </w:rPr>
            </w:pPr>
          </w:p>
        </w:tc>
        <w:tc>
          <w:tcPr>
            <w:tcW w:w="283" w:type="dxa"/>
            <w:vMerge w:val="continue"/>
            <w:tcBorders>
              <w:top w:val="nil"/>
              <w:bottom w:val="nil"/>
            </w:tcBorders>
            <w:vAlign w:val="top"/>
          </w:tcPr>
          <w:p w14:paraId="5012B316">
            <w:pPr>
              <w:rPr>
                <w:rFonts w:ascii="Arial"/>
                <w:sz w:val="21"/>
              </w:rPr>
            </w:pPr>
          </w:p>
        </w:tc>
        <w:tc>
          <w:tcPr>
            <w:tcW w:w="1208" w:type="dxa"/>
            <w:vAlign w:val="top"/>
          </w:tcPr>
          <w:p w14:paraId="5354C084">
            <w:pPr>
              <w:pStyle w:val="6"/>
              <w:spacing w:before="68" w:line="178" w:lineRule="auto"/>
              <w:ind w:left="114"/>
            </w:pPr>
            <w:r>
              <w:rPr>
                <w:spacing w:val="-1"/>
              </w:rPr>
              <w:t>2019/11/10</w:t>
            </w:r>
          </w:p>
        </w:tc>
        <w:tc>
          <w:tcPr>
            <w:tcW w:w="691" w:type="dxa"/>
            <w:vAlign w:val="top"/>
          </w:tcPr>
          <w:p w14:paraId="4213487D">
            <w:pPr>
              <w:pStyle w:val="6"/>
              <w:spacing w:before="68" w:line="178" w:lineRule="auto"/>
              <w:ind w:left="301"/>
            </w:pPr>
            <w:r>
              <w:t>/</w:t>
            </w:r>
          </w:p>
        </w:tc>
        <w:tc>
          <w:tcPr>
            <w:tcW w:w="691" w:type="dxa"/>
            <w:vAlign w:val="top"/>
          </w:tcPr>
          <w:p w14:paraId="4D112C60">
            <w:pPr>
              <w:pStyle w:val="6"/>
              <w:spacing w:before="73" w:line="173" w:lineRule="auto"/>
              <w:ind w:left="180"/>
            </w:pPr>
            <w:r>
              <w:rPr>
                <w:b/>
                <w:bCs/>
                <w:spacing w:val="-2"/>
              </w:rPr>
              <w:t>254</w:t>
            </w:r>
          </w:p>
        </w:tc>
        <w:tc>
          <w:tcPr>
            <w:tcW w:w="689" w:type="dxa"/>
            <w:vAlign w:val="top"/>
          </w:tcPr>
          <w:p w14:paraId="47FDCC39">
            <w:pPr>
              <w:pStyle w:val="6"/>
              <w:spacing w:before="68" w:line="178" w:lineRule="auto"/>
              <w:ind w:left="302"/>
            </w:pPr>
            <w:r>
              <w:t>/</w:t>
            </w:r>
          </w:p>
        </w:tc>
        <w:tc>
          <w:tcPr>
            <w:tcW w:w="691" w:type="dxa"/>
            <w:vAlign w:val="top"/>
          </w:tcPr>
          <w:p w14:paraId="07FBFDC3">
            <w:pPr>
              <w:pStyle w:val="6"/>
              <w:spacing w:before="73" w:line="173" w:lineRule="auto"/>
              <w:ind w:left="183"/>
            </w:pPr>
            <w:r>
              <w:rPr>
                <w:b/>
                <w:bCs/>
                <w:spacing w:val="-2"/>
              </w:rPr>
              <w:t>492</w:t>
            </w:r>
          </w:p>
        </w:tc>
        <w:tc>
          <w:tcPr>
            <w:tcW w:w="691" w:type="dxa"/>
            <w:vAlign w:val="top"/>
          </w:tcPr>
          <w:p w14:paraId="02CF7B84">
            <w:pPr>
              <w:pStyle w:val="6"/>
              <w:spacing w:before="68" w:line="178" w:lineRule="auto"/>
              <w:ind w:left="307"/>
            </w:pPr>
            <w:r>
              <w:t>/</w:t>
            </w:r>
          </w:p>
        </w:tc>
        <w:tc>
          <w:tcPr>
            <w:tcW w:w="692" w:type="dxa"/>
            <w:vAlign w:val="top"/>
          </w:tcPr>
          <w:p w14:paraId="0F7E80E3">
            <w:pPr>
              <w:pStyle w:val="6"/>
              <w:spacing w:before="73" w:line="173" w:lineRule="auto"/>
              <w:ind w:left="195"/>
            </w:pPr>
            <w:r>
              <w:rPr>
                <w:b/>
                <w:bCs/>
                <w:spacing w:val="-4"/>
              </w:rPr>
              <w:t>148</w:t>
            </w:r>
          </w:p>
        </w:tc>
        <w:tc>
          <w:tcPr>
            <w:tcW w:w="691" w:type="dxa"/>
            <w:vAlign w:val="top"/>
          </w:tcPr>
          <w:p w14:paraId="4939A2C7">
            <w:pPr>
              <w:pStyle w:val="6"/>
              <w:spacing w:before="68" w:line="178" w:lineRule="auto"/>
              <w:ind w:left="310"/>
            </w:pPr>
            <w:r>
              <w:t>/</w:t>
            </w:r>
          </w:p>
        </w:tc>
        <w:tc>
          <w:tcPr>
            <w:tcW w:w="689" w:type="dxa"/>
            <w:vAlign w:val="top"/>
          </w:tcPr>
          <w:p w14:paraId="62EE49C0">
            <w:pPr>
              <w:pStyle w:val="6"/>
              <w:spacing w:before="68" w:line="178" w:lineRule="auto"/>
              <w:ind w:left="161"/>
            </w:pPr>
            <w:r>
              <w:rPr>
                <w:spacing w:val="-1"/>
              </w:rPr>
              <w:t>2.50</w:t>
            </w:r>
          </w:p>
        </w:tc>
        <w:tc>
          <w:tcPr>
            <w:tcW w:w="691" w:type="dxa"/>
            <w:vAlign w:val="top"/>
          </w:tcPr>
          <w:p w14:paraId="45A2BECD">
            <w:pPr>
              <w:pStyle w:val="6"/>
              <w:spacing w:before="68" w:line="178" w:lineRule="auto"/>
              <w:ind w:left="314"/>
            </w:pPr>
            <w:r>
              <w:t>/</w:t>
            </w:r>
          </w:p>
        </w:tc>
        <w:tc>
          <w:tcPr>
            <w:tcW w:w="691" w:type="dxa"/>
            <w:vAlign w:val="top"/>
          </w:tcPr>
          <w:p w14:paraId="28E1BA76">
            <w:pPr>
              <w:pStyle w:val="6"/>
              <w:spacing w:before="73" w:line="173" w:lineRule="auto"/>
              <w:ind w:left="169"/>
            </w:pPr>
            <w:r>
              <w:rPr>
                <w:b/>
                <w:bCs/>
                <w:spacing w:val="-2"/>
              </w:rPr>
              <w:t>0.96</w:t>
            </w:r>
          </w:p>
        </w:tc>
        <w:tc>
          <w:tcPr>
            <w:tcW w:w="690" w:type="dxa"/>
            <w:vAlign w:val="top"/>
          </w:tcPr>
          <w:p w14:paraId="3C889047">
            <w:pPr>
              <w:pStyle w:val="6"/>
              <w:spacing w:before="68" w:line="178" w:lineRule="auto"/>
              <w:ind w:left="316"/>
            </w:pPr>
            <w:r>
              <w:t>/</w:t>
            </w:r>
          </w:p>
        </w:tc>
        <w:tc>
          <w:tcPr>
            <w:tcW w:w="693" w:type="dxa"/>
            <w:vAlign w:val="top"/>
          </w:tcPr>
          <w:p w14:paraId="6530DD2E">
            <w:pPr>
              <w:pStyle w:val="6"/>
              <w:spacing w:before="68" w:line="178" w:lineRule="auto"/>
              <w:ind w:left="170"/>
            </w:pPr>
            <w:r>
              <w:rPr>
                <w:spacing w:val="-1"/>
              </w:rPr>
              <w:t>2.22</w:t>
            </w:r>
          </w:p>
        </w:tc>
        <w:tc>
          <w:tcPr>
            <w:tcW w:w="690" w:type="dxa"/>
            <w:vAlign w:val="top"/>
          </w:tcPr>
          <w:p w14:paraId="325C6B57">
            <w:pPr>
              <w:pStyle w:val="6"/>
              <w:spacing w:before="68" w:line="178" w:lineRule="auto"/>
              <w:ind w:left="319"/>
            </w:pPr>
            <w:r>
              <w:t>/</w:t>
            </w:r>
          </w:p>
        </w:tc>
        <w:tc>
          <w:tcPr>
            <w:tcW w:w="691" w:type="dxa"/>
            <w:vAlign w:val="top"/>
          </w:tcPr>
          <w:p w14:paraId="78BDA5C1">
            <w:pPr>
              <w:pStyle w:val="6"/>
              <w:spacing w:before="73" w:line="173" w:lineRule="auto"/>
              <w:ind w:left="40"/>
            </w:pPr>
            <w:r>
              <w:rPr>
                <w:b/>
                <w:bCs/>
                <w:spacing w:val="-1"/>
              </w:rPr>
              <w:t>220000</w:t>
            </w:r>
          </w:p>
        </w:tc>
        <w:tc>
          <w:tcPr>
            <w:tcW w:w="691" w:type="dxa"/>
            <w:vAlign w:val="top"/>
          </w:tcPr>
          <w:p w14:paraId="43D373A9">
            <w:pPr>
              <w:pStyle w:val="6"/>
              <w:spacing w:before="68" w:line="178" w:lineRule="auto"/>
              <w:ind w:left="323"/>
            </w:pPr>
            <w:r>
              <w:t>/</w:t>
            </w:r>
          </w:p>
        </w:tc>
        <w:tc>
          <w:tcPr>
            <w:tcW w:w="704" w:type="dxa"/>
            <w:tcBorders>
              <w:right w:val="single" w:color="000000" w:sz="12" w:space="0"/>
            </w:tcBorders>
            <w:vAlign w:val="top"/>
          </w:tcPr>
          <w:p w14:paraId="39780D04">
            <w:pPr>
              <w:pStyle w:val="6"/>
              <w:spacing w:before="68" w:line="178" w:lineRule="auto"/>
              <w:ind w:left="194"/>
            </w:pPr>
            <w:r>
              <w:rPr>
                <w:spacing w:val="-6"/>
              </w:rPr>
              <w:t>1.01</w:t>
            </w:r>
          </w:p>
        </w:tc>
      </w:tr>
      <w:tr w14:paraId="3ADA3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tcBorders>
            <w:vAlign w:val="top"/>
          </w:tcPr>
          <w:p w14:paraId="685169F8">
            <w:pPr>
              <w:rPr>
                <w:rFonts w:ascii="Arial"/>
                <w:sz w:val="21"/>
              </w:rPr>
            </w:pPr>
          </w:p>
        </w:tc>
        <w:tc>
          <w:tcPr>
            <w:tcW w:w="283" w:type="dxa"/>
            <w:vMerge w:val="continue"/>
            <w:tcBorders>
              <w:top w:val="nil"/>
            </w:tcBorders>
            <w:vAlign w:val="top"/>
          </w:tcPr>
          <w:p w14:paraId="1A2A599B">
            <w:pPr>
              <w:rPr>
                <w:rFonts w:ascii="Arial"/>
                <w:sz w:val="21"/>
              </w:rPr>
            </w:pPr>
          </w:p>
        </w:tc>
        <w:tc>
          <w:tcPr>
            <w:tcW w:w="1208" w:type="dxa"/>
            <w:vAlign w:val="top"/>
          </w:tcPr>
          <w:p w14:paraId="2999F065">
            <w:pPr>
              <w:pStyle w:val="6"/>
              <w:spacing w:before="72" w:line="181" w:lineRule="auto"/>
              <w:ind w:left="114"/>
            </w:pPr>
            <w:r>
              <w:rPr>
                <w:spacing w:val="-1"/>
              </w:rPr>
              <w:t>2019/11/11</w:t>
            </w:r>
          </w:p>
        </w:tc>
        <w:tc>
          <w:tcPr>
            <w:tcW w:w="691" w:type="dxa"/>
            <w:vAlign w:val="top"/>
          </w:tcPr>
          <w:p w14:paraId="238B9434">
            <w:pPr>
              <w:pStyle w:val="6"/>
              <w:spacing w:before="72" w:line="181" w:lineRule="auto"/>
              <w:ind w:left="301"/>
            </w:pPr>
            <w:r>
              <w:t>/</w:t>
            </w:r>
          </w:p>
        </w:tc>
        <w:tc>
          <w:tcPr>
            <w:tcW w:w="691" w:type="dxa"/>
            <w:vAlign w:val="top"/>
          </w:tcPr>
          <w:p w14:paraId="77463314">
            <w:pPr>
              <w:pStyle w:val="6"/>
              <w:spacing w:before="77" w:line="176" w:lineRule="auto"/>
              <w:ind w:left="180"/>
            </w:pPr>
            <w:r>
              <w:rPr>
                <w:b/>
                <w:bCs/>
                <w:spacing w:val="-2"/>
              </w:rPr>
              <w:t>236</w:t>
            </w:r>
          </w:p>
        </w:tc>
        <w:tc>
          <w:tcPr>
            <w:tcW w:w="689" w:type="dxa"/>
            <w:vAlign w:val="top"/>
          </w:tcPr>
          <w:p w14:paraId="102335A7">
            <w:pPr>
              <w:pStyle w:val="6"/>
              <w:spacing w:before="72" w:line="181" w:lineRule="auto"/>
              <w:ind w:left="302"/>
            </w:pPr>
            <w:r>
              <w:t>/</w:t>
            </w:r>
          </w:p>
        </w:tc>
        <w:tc>
          <w:tcPr>
            <w:tcW w:w="691" w:type="dxa"/>
            <w:vAlign w:val="top"/>
          </w:tcPr>
          <w:p w14:paraId="6A14C8F1">
            <w:pPr>
              <w:pStyle w:val="6"/>
              <w:spacing w:before="77" w:line="176" w:lineRule="auto"/>
              <w:ind w:left="183"/>
            </w:pPr>
            <w:r>
              <w:rPr>
                <w:b/>
                <w:bCs/>
                <w:spacing w:val="-2"/>
              </w:rPr>
              <w:t>478</w:t>
            </w:r>
          </w:p>
        </w:tc>
        <w:tc>
          <w:tcPr>
            <w:tcW w:w="691" w:type="dxa"/>
            <w:vAlign w:val="top"/>
          </w:tcPr>
          <w:p w14:paraId="6A93623A">
            <w:pPr>
              <w:pStyle w:val="6"/>
              <w:spacing w:before="72" w:line="181" w:lineRule="auto"/>
              <w:ind w:left="307"/>
            </w:pPr>
            <w:r>
              <w:t>/</w:t>
            </w:r>
          </w:p>
        </w:tc>
        <w:tc>
          <w:tcPr>
            <w:tcW w:w="692" w:type="dxa"/>
            <w:vAlign w:val="top"/>
          </w:tcPr>
          <w:p w14:paraId="7B210244">
            <w:pPr>
              <w:pStyle w:val="6"/>
              <w:spacing w:before="77" w:line="176" w:lineRule="auto"/>
              <w:ind w:left="195"/>
            </w:pPr>
            <w:r>
              <w:rPr>
                <w:b/>
                <w:bCs/>
                <w:spacing w:val="-4"/>
              </w:rPr>
              <w:t>134</w:t>
            </w:r>
          </w:p>
        </w:tc>
        <w:tc>
          <w:tcPr>
            <w:tcW w:w="691" w:type="dxa"/>
            <w:vAlign w:val="top"/>
          </w:tcPr>
          <w:p w14:paraId="1E2F0DF3">
            <w:pPr>
              <w:pStyle w:val="6"/>
              <w:spacing w:before="72" w:line="181" w:lineRule="auto"/>
              <w:ind w:left="310"/>
            </w:pPr>
            <w:r>
              <w:t>/</w:t>
            </w:r>
          </w:p>
        </w:tc>
        <w:tc>
          <w:tcPr>
            <w:tcW w:w="689" w:type="dxa"/>
            <w:vAlign w:val="top"/>
          </w:tcPr>
          <w:p w14:paraId="3F361833">
            <w:pPr>
              <w:pStyle w:val="6"/>
              <w:spacing w:before="72" w:line="181" w:lineRule="auto"/>
              <w:ind w:left="161"/>
            </w:pPr>
            <w:r>
              <w:rPr>
                <w:spacing w:val="-1"/>
              </w:rPr>
              <w:t>2.24</w:t>
            </w:r>
          </w:p>
        </w:tc>
        <w:tc>
          <w:tcPr>
            <w:tcW w:w="691" w:type="dxa"/>
            <w:vAlign w:val="top"/>
          </w:tcPr>
          <w:p w14:paraId="07A9D5BA">
            <w:pPr>
              <w:pStyle w:val="6"/>
              <w:spacing w:before="72" w:line="181" w:lineRule="auto"/>
              <w:ind w:left="314"/>
            </w:pPr>
            <w:r>
              <w:t>/</w:t>
            </w:r>
          </w:p>
        </w:tc>
        <w:tc>
          <w:tcPr>
            <w:tcW w:w="691" w:type="dxa"/>
            <w:vAlign w:val="top"/>
          </w:tcPr>
          <w:p w14:paraId="63ECD7FC">
            <w:pPr>
              <w:pStyle w:val="6"/>
              <w:spacing w:before="77" w:line="176" w:lineRule="auto"/>
              <w:ind w:left="169"/>
            </w:pPr>
            <w:r>
              <w:rPr>
                <w:b/>
                <w:bCs/>
                <w:spacing w:val="-2"/>
              </w:rPr>
              <w:t>0.88</w:t>
            </w:r>
          </w:p>
        </w:tc>
        <w:tc>
          <w:tcPr>
            <w:tcW w:w="690" w:type="dxa"/>
            <w:vAlign w:val="top"/>
          </w:tcPr>
          <w:p w14:paraId="2BCADB5F">
            <w:pPr>
              <w:pStyle w:val="6"/>
              <w:spacing w:before="72" w:line="181" w:lineRule="auto"/>
              <w:ind w:left="316"/>
            </w:pPr>
            <w:r>
              <w:t>/</w:t>
            </w:r>
          </w:p>
        </w:tc>
        <w:tc>
          <w:tcPr>
            <w:tcW w:w="693" w:type="dxa"/>
            <w:vAlign w:val="top"/>
          </w:tcPr>
          <w:p w14:paraId="1AC9AFE0">
            <w:pPr>
              <w:pStyle w:val="6"/>
              <w:spacing w:before="72" w:line="181" w:lineRule="auto"/>
              <w:ind w:left="170"/>
            </w:pPr>
            <w:r>
              <w:rPr>
                <w:spacing w:val="-1"/>
              </w:rPr>
              <w:t>2.26</w:t>
            </w:r>
          </w:p>
        </w:tc>
        <w:tc>
          <w:tcPr>
            <w:tcW w:w="690" w:type="dxa"/>
            <w:vAlign w:val="top"/>
          </w:tcPr>
          <w:p w14:paraId="6BA788DD">
            <w:pPr>
              <w:pStyle w:val="6"/>
              <w:spacing w:before="72" w:line="181" w:lineRule="auto"/>
              <w:ind w:left="319"/>
            </w:pPr>
            <w:r>
              <w:t>/</w:t>
            </w:r>
          </w:p>
        </w:tc>
        <w:tc>
          <w:tcPr>
            <w:tcW w:w="691" w:type="dxa"/>
            <w:vAlign w:val="top"/>
          </w:tcPr>
          <w:p w14:paraId="13C20F07">
            <w:pPr>
              <w:pStyle w:val="6"/>
              <w:spacing w:before="77" w:line="176" w:lineRule="auto"/>
              <w:ind w:left="40"/>
            </w:pPr>
            <w:r>
              <w:rPr>
                <w:b/>
                <w:bCs/>
                <w:spacing w:val="-1"/>
              </w:rPr>
              <w:t>250000</w:t>
            </w:r>
          </w:p>
        </w:tc>
        <w:tc>
          <w:tcPr>
            <w:tcW w:w="691" w:type="dxa"/>
            <w:vAlign w:val="top"/>
          </w:tcPr>
          <w:p w14:paraId="152B95CE">
            <w:pPr>
              <w:pStyle w:val="6"/>
              <w:spacing w:before="72" w:line="181" w:lineRule="auto"/>
              <w:ind w:left="323"/>
            </w:pPr>
            <w:r>
              <w:t>/</w:t>
            </w:r>
          </w:p>
        </w:tc>
        <w:tc>
          <w:tcPr>
            <w:tcW w:w="704" w:type="dxa"/>
            <w:tcBorders>
              <w:right w:val="single" w:color="000000" w:sz="12" w:space="0"/>
            </w:tcBorders>
            <w:vAlign w:val="top"/>
          </w:tcPr>
          <w:p w14:paraId="24D506C0">
            <w:pPr>
              <w:pStyle w:val="6"/>
              <w:spacing w:before="72" w:line="181" w:lineRule="auto"/>
              <w:ind w:left="194"/>
            </w:pPr>
            <w:r>
              <w:rPr>
                <w:spacing w:val="-6"/>
              </w:rPr>
              <w:t>1.08</w:t>
            </w:r>
          </w:p>
        </w:tc>
      </w:tr>
      <w:tr w14:paraId="68D32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restart"/>
            <w:tcBorders>
              <w:left w:val="single" w:color="000000" w:sz="12" w:space="0"/>
              <w:bottom w:val="nil"/>
            </w:tcBorders>
            <w:vAlign w:val="top"/>
          </w:tcPr>
          <w:p w14:paraId="1A793BBB">
            <w:pPr>
              <w:spacing w:line="243" w:lineRule="auto"/>
              <w:rPr>
                <w:rFonts w:ascii="Arial"/>
                <w:sz w:val="21"/>
              </w:rPr>
            </w:pPr>
          </w:p>
          <w:p w14:paraId="3EE572D3">
            <w:pPr>
              <w:spacing w:line="243" w:lineRule="auto"/>
              <w:rPr>
                <w:rFonts w:ascii="Arial"/>
                <w:sz w:val="21"/>
              </w:rPr>
            </w:pPr>
          </w:p>
          <w:p w14:paraId="691B4C6B">
            <w:pPr>
              <w:spacing w:line="243" w:lineRule="auto"/>
              <w:rPr>
                <w:rFonts w:ascii="Arial"/>
                <w:sz w:val="21"/>
              </w:rPr>
            </w:pPr>
          </w:p>
          <w:p w14:paraId="1555B602">
            <w:pPr>
              <w:spacing w:line="243" w:lineRule="auto"/>
              <w:rPr>
                <w:rFonts w:ascii="Arial"/>
                <w:sz w:val="21"/>
              </w:rPr>
            </w:pPr>
          </w:p>
          <w:p w14:paraId="2F41F67D">
            <w:pPr>
              <w:spacing w:line="243" w:lineRule="auto"/>
              <w:rPr>
                <w:rFonts w:ascii="Arial"/>
                <w:sz w:val="21"/>
              </w:rPr>
            </w:pPr>
          </w:p>
          <w:p w14:paraId="628B7583">
            <w:pPr>
              <w:pStyle w:val="6"/>
              <w:spacing w:before="68"/>
              <w:ind w:left="96" w:right="111"/>
              <w:jc w:val="both"/>
              <w:rPr>
                <w:rFonts w:ascii="宋体" w:hAnsi="宋体" w:eastAsia="宋体" w:cs="宋体"/>
              </w:rPr>
            </w:pPr>
            <w:r>
              <w:rPr>
                <w:spacing w:val="-3"/>
              </w:rPr>
              <w:t>5#</w:t>
            </w:r>
            <w:r>
              <w:rPr>
                <w:rFonts w:ascii="宋体" w:hAnsi="宋体" w:eastAsia="宋体" w:cs="宋体"/>
                <w:spacing w:val="-3"/>
              </w:rPr>
              <w:t>支洞</w:t>
            </w:r>
            <w:r>
              <w:rPr>
                <w:rFonts w:ascii="宋体" w:hAnsi="宋体" w:eastAsia="宋体" w:cs="宋体"/>
                <w:spacing w:val="-4"/>
              </w:rPr>
              <w:t>生活污水处理</w:t>
            </w:r>
            <w:r>
              <w:rPr>
                <w:rFonts w:ascii="宋体" w:hAnsi="宋体" w:eastAsia="宋体" w:cs="宋体"/>
                <w:spacing w:val="47"/>
              </w:rPr>
              <w:t>设施</w:t>
            </w:r>
          </w:p>
        </w:tc>
        <w:tc>
          <w:tcPr>
            <w:tcW w:w="283" w:type="dxa"/>
            <w:vMerge w:val="restart"/>
            <w:tcBorders>
              <w:bottom w:val="nil"/>
            </w:tcBorders>
            <w:vAlign w:val="top"/>
          </w:tcPr>
          <w:p w14:paraId="0009875C">
            <w:pPr>
              <w:pStyle w:val="6"/>
              <w:spacing w:before="70" w:line="222" w:lineRule="auto"/>
              <w:ind w:left="95"/>
            </w:pPr>
            <w:r>
              <w:t>1</w:t>
            </w:r>
          </w:p>
          <w:p w14:paraId="29F113A3">
            <w:pPr>
              <w:spacing w:line="219" w:lineRule="auto"/>
              <w:ind w:left="26"/>
              <w:rPr>
                <w:rFonts w:ascii="宋体" w:hAnsi="宋体" w:eastAsia="宋体" w:cs="宋体"/>
                <w:sz w:val="21"/>
                <w:szCs w:val="21"/>
              </w:rPr>
            </w:pPr>
            <w:r>
              <w:rPr>
                <w:rFonts w:ascii="宋体" w:hAnsi="宋体" w:eastAsia="宋体" w:cs="宋体"/>
                <w:sz w:val="21"/>
                <w:szCs w:val="21"/>
              </w:rPr>
              <w:t>季</w:t>
            </w:r>
          </w:p>
          <w:p w14:paraId="36268523">
            <w:pPr>
              <w:spacing w:before="22" w:line="198"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71B57F61">
            <w:pPr>
              <w:pStyle w:val="6"/>
              <w:spacing w:before="70" w:line="176" w:lineRule="auto"/>
              <w:ind w:left="165"/>
            </w:pPr>
            <w:r>
              <w:rPr>
                <w:spacing w:val="-1"/>
              </w:rPr>
              <w:t>2019/1/15</w:t>
            </w:r>
          </w:p>
        </w:tc>
        <w:tc>
          <w:tcPr>
            <w:tcW w:w="691" w:type="dxa"/>
            <w:vAlign w:val="top"/>
          </w:tcPr>
          <w:p w14:paraId="07F4011F">
            <w:pPr>
              <w:pStyle w:val="6"/>
              <w:spacing w:before="70" w:line="176" w:lineRule="auto"/>
              <w:ind w:left="151"/>
            </w:pPr>
            <w:r>
              <w:rPr>
                <w:spacing w:val="-1"/>
              </w:rPr>
              <w:t>28.6</w:t>
            </w:r>
          </w:p>
        </w:tc>
        <w:tc>
          <w:tcPr>
            <w:tcW w:w="691" w:type="dxa"/>
            <w:vAlign w:val="top"/>
          </w:tcPr>
          <w:p w14:paraId="4F76AE34">
            <w:pPr>
              <w:pStyle w:val="6"/>
              <w:spacing w:before="70" w:line="176" w:lineRule="auto"/>
              <w:ind w:left="173"/>
            </w:pPr>
            <w:r>
              <w:rPr>
                <w:spacing w:val="-6"/>
              </w:rPr>
              <w:t>12.3</w:t>
            </w:r>
          </w:p>
        </w:tc>
        <w:tc>
          <w:tcPr>
            <w:tcW w:w="689" w:type="dxa"/>
            <w:vAlign w:val="top"/>
          </w:tcPr>
          <w:p w14:paraId="5DBCF645">
            <w:pPr>
              <w:pStyle w:val="6"/>
              <w:spacing w:before="70" w:line="176" w:lineRule="auto"/>
              <w:ind w:left="239"/>
            </w:pPr>
            <w:r>
              <w:rPr>
                <w:spacing w:val="-4"/>
              </w:rPr>
              <w:t>88</w:t>
            </w:r>
          </w:p>
        </w:tc>
        <w:tc>
          <w:tcPr>
            <w:tcW w:w="691" w:type="dxa"/>
            <w:vAlign w:val="top"/>
          </w:tcPr>
          <w:p w14:paraId="612FD14F">
            <w:pPr>
              <w:pStyle w:val="6"/>
              <w:spacing w:before="70" w:line="176" w:lineRule="auto"/>
              <w:ind w:left="233"/>
            </w:pPr>
            <w:r>
              <w:rPr>
                <w:spacing w:val="-1"/>
              </w:rPr>
              <w:t>46</w:t>
            </w:r>
          </w:p>
        </w:tc>
        <w:tc>
          <w:tcPr>
            <w:tcW w:w="691" w:type="dxa"/>
            <w:vAlign w:val="top"/>
          </w:tcPr>
          <w:p w14:paraId="130E734C">
            <w:pPr>
              <w:pStyle w:val="6"/>
              <w:spacing w:before="70" w:line="176" w:lineRule="auto"/>
              <w:ind w:left="151"/>
            </w:pPr>
            <w:r>
              <w:rPr>
                <w:spacing w:val="-5"/>
              </w:rPr>
              <w:t>1947</w:t>
            </w:r>
          </w:p>
        </w:tc>
        <w:tc>
          <w:tcPr>
            <w:tcW w:w="692" w:type="dxa"/>
            <w:vAlign w:val="top"/>
          </w:tcPr>
          <w:p w14:paraId="1D9773C7">
            <w:pPr>
              <w:pStyle w:val="6"/>
              <w:spacing w:before="74" w:line="172" w:lineRule="auto"/>
              <w:ind w:left="240"/>
            </w:pPr>
            <w:r>
              <w:rPr>
                <w:b/>
                <w:bCs/>
                <w:spacing w:val="-2"/>
              </w:rPr>
              <w:t>76</w:t>
            </w:r>
          </w:p>
        </w:tc>
        <w:tc>
          <w:tcPr>
            <w:tcW w:w="691" w:type="dxa"/>
            <w:vAlign w:val="top"/>
          </w:tcPr>
          <w:p w14:paraId="43CBD794">
            <w:pPr>
              <w:pStyle w:val="6"/>
              <w:spacing w:before="70" w:line="176" w:lineRule="auto"/>
              <w:ind w:left="165"/>
            </w:pPr>
            <w:r>
              <w:rPr>
                <w:spacing w:val="-2"/>
              </w:rPr>
              <w:t>31.2</w:t>
            </w:r>
          </w:p>
        </w:tc>
        <w:tc>
          <w:tcPr>
            <w:tcW w:w="689" w:type="dxa"/>
            <w:vAlign w:val="top"/>
          </w:tcPr>
          <w:p w14:paraId="6F727D29">
            <w:pPr>
              <w:pStyle w:val="6"/>
              <w:spacing w:before="70" w:line="176" w:lineRule="auto"/>
              <w:ind w:left="181"/>
            </w:pPr>
            <w:r>
              <w:rPr>
                <w:spacing w:val="-6"/>
              </w:rPr>
              <w:t>14.2</w:t>
            </w:r>
          </w:p>
        </w:tc>
        <w:tc>
          <w:tcPr>
            <w:tcW w:w="691" w:type="dxa"/>
            <w:vAlign w:val="top"/>
          </w:tcPr>
          <w:p w14:paraId="49AD6A74">
            <w:pPr>
              <w:pStyle w:val="6"/>
              <w:spacing w:before="70" w:line="176" w:lineRule="auto"/>
              <w:ind w:left="185"/>
            </w:pPr>
            <w:r>
              <w:rPr>
                <w:spacing w:val="-6"/>
              </w:rPr>
              <w:t>11.6</w:t>
            </w:r>
          </w:p>
        </w:tc>
        <w:tc>
          <w:tcPr>
            <w:tcW w:w="691" w:type="dxa"/>
            <w:vAlign w:val="top"/>
          </w:tcPr>
          <w:p w14:paraId="6132DA3E">
            <w:pPr>
              <w:pStyle w:val="6"/>
              <w:spacing w:before="74" w:line="172" w:lineRule="auto"/>
              <w:ind w:left="167"/>
            </w:pPr>
            <w:r>
              <w:rPr>
                <w:b/>
                <w:bCs/>
                <w:spacing w:val="-2"/>
              </w:rPr>
              <w:t>2.51</w:t>
            </w:r>
          </w:p>
        </w:tc>
        <w:tc>
          <w:tcPr>
            <w:tcW w:w="690" w:type="dxa"/>
            <w:vAlign w:val="top"/>
          </w:tcPr>
          <w:p w14:paraId="7F6CCDBB">
            <w:pPr>
              <w:pStyle w:val="6"/>
              <w:spacing w:before="70" w:line="176" w:lineRule="auto"/>
              <w:ind w:left="166"/>
            </w:pPr>
            <w:r>
              <w:rPr>
                <w:spacing w:val="-1"/>
              </w:rPr>
              <w:t>20.1</w:t>
            </w:r>
          </w:p>
        </w:tc>
        <w:tc>
          <w:tcPr>
            <w:tcW w:w="693" w:type="dxa"/>
            <w:vAlign w:val="top"/>
          </w:tcPr>
          <w:p w14:paraId="4E951E0A">
            <w:pPr>
              <w:pStyle w:val="6"/>
              <w:spacing w:before="70" w:line="176" w:lineRule="auto"/>
              <w:ind w:left="175"/>
            </w:pPr>
            <w:r>
              <w:rPr>
                <w:spacing w:val="-3"/>
              </w:rPr>
              <w:t>5.73</w:t>
            </w:r>
          </w:p>
        </w:tc>
        <w:tc>
          <w:tcPr>
            <w:tcW w:w="690" w:type="dxa"/>
            <w:vAlign w:val="top"/>
          </w:tcPr>
          <w:p w14:paraId="79BD81EF">
            <w:pPr>
              <w:pStyle w:val="6"/>
              <w:spacing w:before="70" w:line="176" w:lineRule="auto"/>
              <w:ind w:left="94"/>
            </w:pPr>
            <w:r>
              <w:rPr>
                <w:spacing w:val="-2"/>
              </w:rPr>
              <w:t>33000</w:t>
            </w:r>
          </w:p>
        </w:tc>
        <w:tc>
          <w:tcPr>
            <w:tcW w:w="691" w:type="dxa"/>
            <w:vAlign w:val="top"/>
          </w:tcPr>
          <w:p w14:paraId="60BA75BA">
            <w:pPr>
              <w:pStyle w:val="6"/>
              <w:spacing w:before="74" w:line="172" w:lineRule="auto"/>
              <w:ind w:left="93"/>
            </w:pPr>
            <w:r>
              <w:rPr>
                <w:b/>
                <w:bCs/>
                <w:spacing w:val="-1"/>
              </w:rPr>
              <w:t>27000</w:t>
            </w:r>
          </w:p>
        </w:tc>
        <w:tc>
          <w:tcPr>
            <w:tcW w:w="691" w:type="dxa"/>
            <w:vAlign w:val="top"/>
          </w:tcPr>
          <w:p w14:paraId="10C2E02D">
            <w:pPr>
              <w:pStyle w:val="6"/>
              <w:spacing w:before="70" w:line="176" w:lineRule="auto"/>
              <w:ind w:left="111"/>
            </w:pPr>
            <w:r>
              <w:rPr>
                <w:spacing w:val="-2"/>
              </w:rPr>
              <w:t>0.05L</w:t>
            </w:r>
          </w:p>
        </w:tc>
        <w:tc>
          <w:tcPr>
            <w:tcW w:w="704" w:type="dxa"/>
            <w:tcBorders>
              <w:right w:val="single" w:color="000000" w:sz="12" w:space="0"/>
            </w:tcBorders>
            <w:vAlign w:val="top"/>
          </w:tcPr>
          <w:p w14:paraId="4E2FA348">
            <w:pPr>
              <w:pStyle w:val="6"/>
              <w:spacing w:before="70" w:line="176" w:lineRule="auto"/>
              <w:ind w:left="112"/>
            </w:pPr>
            <w:r>
              <w:rPr>
                <w:spacing w:val="-2"/>
              </w:rPr>
              <w:t>0.05L</w:t>
            </w:r>
          </w:p>
        </w:tc>
      </w:tr>
      <w:tr w14:paraId="1D792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1B68839F">
            <w:pPr>
              <w:rPr>
                <w:rFonts w:ascii="Arial"/>
                <w:sz w:val="21"/>
              </w:rPr>
            </w:pPr>
          </w:p>
        </w:tc>
        <w:tc>
          <w:tcPr>
            <w:tcW w:w="283" w:type="dxa"/>
            <w:vMerge w:val="continue"/>
            <w:tcBorders>
              <w:top w:val="nil"/>
              <w:bottom w:val="nil"/>
            </w:tcBorders>
            <w:vAlign w:val="top"/>
          </w:tcPr>
          <w:p w14:paraId="506EFF7C">
            <w:pPr>
              <w:rPr>
                <w:rFonts w:ascii="Arial"/>
                <w:sz w:val="21"/>
              </w:rPr>
            </w:pPr>
          </w:p>
        </w:tc>
        <w:tc>
          <w:tcPr>
            <w:tcW w:w="1208" w:type="dxa"/>
            <w:vAlign w:val="top"/>
          </w:tcPr>
          <w:p w14:paraId="62A2B47E">
            <w:pPr>
              <w:pStyle w:val="6"/>
              <w:spacing w:before="69" w:line="177" w:lineRule="auto"/>
              <w:ind w:left="165"/>
            </w:pPr>
            <w:r>
              <w:rPr>
                <w:spacing w:val="-1"/>
              </w:rPr>
              <w:t>2019/1/16</w:t>
            </w:r>
          </w:p>
        </w:tc>
        <w:tc>
          <w:tcPr>
            <w:tcW w:w="691" w:type="dxa"/>
            <w:vAlign w:val="top"/>
          </w:tcPr>
          <w:p w14:paraId="77A0CB63">
            <w:pPr>
              <w:pStyle w:val="6"/>
              <w:spacing w:before="69" w:line="177" w:lineRule="auto"/>
              <w:ind w:left="151"/>
            </w:pPr>
            <w:r>
              <w:rPr>
                <w:spacing w:val="-1"/>
              </w:rPr>
              <w:t>27.2</w:t>
            </w:r>
          </w:p>
        </w:tc>
        <w:tc>
          <w:tcPr>
            <w:tcW w:w="691" w:type="dxa"/>
            <w:vAlign w:val="top"/>
          </w:tcPr>
          <w:p w14:paraId="29F7B9C5">
            <w:pPr>
              <w:pStyle w:val="6"/>
              <w:spacing w:before="69" w:line="177" w:lineRule="auto"/>
              <w:ind w:left="173"/>
            </w:pPr>
            <w:r>
              <w:rPr>
                <w:spacing w:val="-6"/>
              </w:rPr>
              <w:t>11.0</w:t>
            </w:r>
          </w:p>
        </w:tc>
        <w:tc>
          <w:tcPr>
            <w:tcW w:w="689" w:type="dxa"/>
            <w:vAlign w:val="top"/>
          </w:tcPr>
          <w:p w14:paraId="2CE8E783">
            <w:pPr>
              <w:pStyle w:val="6"/>
              <w:spacing w:before="69" w:line="177" w:lineRule="auto"/>
              <w:ind w:left="234"/>
            </w:pPr>
            <w:r>
              <w:rPr>
                <w:spacing w:val="-2"/>
              </w:rPr>
              <w:t>79</w:t>
            </w:r>
          </w:p>
        </w:tc>
        <w:tc>
          <w:tcPr>
            <w:tcW w:w="691" w:type="dxa"/>
            <w:vAlign w:val="top"/>
          </w:tcPr>
          <w:p w14:paraId="1C3058D1">
            <w:pPr>
              <w:pStyle w:val="6"/>
              <w:spacing w:before="69" w:line="177" w:lineRule="auto"/>
              <w:ind w:left="238"/>
            </w:pPr>
            <w:r>
              <w:rPr>
                <w:spacing w:val="-3"/>
              </w:rPr>
              <w:t>39</w:t>
            </w:r>
          </w:p>
        </w:tc>
        <w:tc>
          <w:tcPr>
            <w:tcW w:w="691" w:type="dxa"/>
            <w:vAlign w:val="top"/>
          </w:tcPr>
          <w:p w14:paraId="4FD30B4D">
            <w:pPr>
              <w:pStyle w:val="6"/>
              <w:spacing w:before="69" w:line="177" w:lineRule="auto"/>
              <w:ind w:left="151"/>
            </w:pPr>
            <w:r>
              <w:rPr>
                <w:spacing w:val="-5"/>
              </w:rPr>
              <w:t>1860</w:t>
            </w:r>
          </w:p>
        </w:tc>
        <w:tc>
          <w:tcPr>
            <w:tcW w:w="692" w:type="dxa"/>
            <w:vAlign w:val="top"/>
          </w:tcPr>
          <w:p w14:paraId="1EB32A75">
            <w:pPr>
              <w:pStyle w:val="6"/>
              <w:spacing w:before="74" w:line="172" w:lineRule="auto"/>
              <w:ind w:left="240"/>
            </w:pPr>
            <w:r>
              <w:rPr>
                <w:b/>
                <w:bCs/>
                <w:spacing w:val="-2"/>
              </w:rPr>
              <w:t>81</w:t>
            </w:r>
          </w:p>
        </w:tc>
        <w:tc>
          <w:tcPr>
            <w:tcW w:w="691" w:type="dxa"/>
            <w:vAlign w:val="top"/>
          </w:tcPr>
          <w:p w14:paraId="355FFE7C">
            <w:pPr>
              <w:pStyle w:val="6"/>
              <w:spacing w:before="69" w:line="177" w:lineRule="auto"/>
              <w:ind w:left="165"/>
            </w:pPr>
            <w:r>
              <w:rPr>
                <w:spacing w:val="-2"/>
              </w:rPr>
              <w:t>30.6</w:t>
            </w:r>
          </w:p>
        </w:tc>
        <w:tc>
          <w:tcPr>
            <w:tcW w:w="689" w:type="dxa"/>
            <w:vAlign w:val="top"/>
          </w:tcPr>
          <w:p w14:paraId="352F919E">
            <w:pPr>
              <w:pStyle w:val="6"/>
              <w:spacing w:before="69" w:line="177" w:lineRule="auto"/>
              <w:ind w:left="181"/>
            </w:pPr>
            <w:r>
              <w:rPr>
                <w:spacing w:val="-6"/>
              </w:rPr>
              <w:t>13.7</w:t>
            </w:r>
          </w:p>
        </w:tc>
        <w:tc>
          <w:tcPr>
            <w:tcW w:w="691" w:type="dxa"/>
            <w:vAlign w:val="top"/>
          </w:tcPr>
          <w:p w14:paraId="36117925">
            <w:pPr>
              <w:pStyle w:val="6"/>
              <w:spacing w:before="69" w:line="177" w:lineRule="auto"/>
              <w:ind w:left="185"/>
            </w:pPr>
            <w:r>
              <w:rPr>
                <w:spacing w:val="-6"/>
              </w:rPr>
              <w:t>11.3</w:t>
            </w:r>
          </w:p>
        </w:tc>
        <w:tc>
          <w:tcPr>
            <w:tcW w:w="691" w:type="dxa"/>
            <w:vAlign w:val="top"/>
          </w:tcPr>
          <w:p w14:paraId="6D3DD2AA">
            <w:pPr>
              <w:pStyle w:val="6"/>
              <w:spacing w:before="74" w:line="172" w:lineRule="auto"/>
              <w:ind w:left="167"/>
            </w:pPr>
            <w:r>
              <w:rPr>
                <w:b/>
                <w:bCs/>
                <w:spacing w:val="-2"/>
              </w:rPr>
              <w:t>2.47</w:t>
            </w:r>
          </w:p>
        </w:tc>
        <w:tc>
          <w:tcPr>
            <w:tcW w:w="690" w:type="dxa"/>
            <w:vAlign w:val="top"/>
          </w:tcPr>
          <w:p w14:paraId="58B92A2A">
            <w:pPr>
              <w:pStyle w:val="6"/>
              <w:spacing w:before="69" w:line="177" w:lineRule="auto"/>
              <w:ind w:left="186"/>
            </w:pPr>
            <w:r>
              <w:rPr>
                <w:spacing w:val="-6"/>
              </w:rPr>
              <w:t>19.6</w:t>
            </w:r>
          </w:p>
        </w:tc>
        <w:tc>
          <w:tcPr>
            <w:tcW w:w="693" w:type="dxa"/>
            <w:vAlign w:val="top"/>
          </w:tcPr>
          <w:p w14:paraId="6DFF279D">
            <w:pPr>
              <w:pStyle w:val="6"/>
              <w:spacing w:before="69" w:line="177" w:lineRule="auto"/>
              <w:ind w:left="175"/>
            </w:pPr>
            <w:r>
              <w:rPr>
                <w:spacing w:val="-3"/>
              </w:rPr>
              <w:t>5.69</w:t>
            </w:r>
          </w:p>
        </w:tc>
        <w:tc>
          <w:tcPr>
            <w:tcW w:w="690" w:type="dxa"/>
            <w:vAlign w:val="top"/>
          </w:tcPr>
          <w:p w14:paraId="068B36D1">
            <w:pPr>
              <w:pStyle w:val="6"/>
              <w:spacing w:before="69" w:line="177" w:lineRule="auto"/>
              <w:ind w:left="94"/>
            </w:pPr>
            <w:r>
              <w:rPr>
                <w:spacing w:val="-2"/>
              </w:rPr>
              <w:t>34000</w:t>
            </w:r>
          </w:p>
        </w:tc>
        <w:tc>
          <w:tcPr>
            <w:tcW w:w="691" w:type="dxa"/>
            <w:vAlign w:val="top"/>
          </w:tcPr>
          <w:p w14:paraId="048DA246">
            <w:pPr>
              <w:pStyle w:val="6"/>
              <w:spacing w:before="74" w:line="172" w:lineRule="auto"/>
              <w:ind w:left="93"/>
            </w:pPr>
            <w:r>
              <w:rPr>
                <w:b/>
                <w:bCs/>
                <w:spacing w:val="-1"/>
              </w:rPr>
              <w:t>28000</w:t>
            </w:r>
          </w:p>
        </w:tc>
        <w:tc>
          <w:tcPr>
            <w:tcW w:w="691" w:type="dxa"/>
            <w:vAlign w:val="top"/>
          </w:tcPr>
          <w:p w14:paraId="424FAD04">
            <w:pPr>
              <w:pStyle w:val="6"/>
              <w:spacing w:before="69" w:line="177" w:lineRule="auto"/>
              <w:ind w:left="111"/>
            </w:pPr>
            <w:r>
              <w:rPr>
                <w:spacing w:val="-2"/>
              </w:rPr>
              <w:t>0.05L</w:t>
            </w:r>
          </w:p>
        </w:tc>
        <w:tc>
          <w:tcPr>
            <w:tcW w:w="704" w:type="dxa"/>
            <w:tcBorders>
              <w:right w:val="single" w:color="000000" w:sz="12" w:space="0"/>
            </w:tcBorders>
            <w:vAlign w:val="top"/>
          </w:tcPr>
          <w:p w14:paraId="4B090F6D">
            <w:pPr>
              <w:pStyle w:val="6"/>
              <w:spacing w:before="69" w:line="177" w:lineRule="auto"/>
              <w:ind w:left="112"/>
            </w:pPr>
            <w:r>
              <w:rPr>
                <w:spacing w:val="-2"/>
              </w:rPr>
              <w:t>0.05L</w:t>
            </w:r>
          </w:p>
        </w:tc>
      </w:tr>
      <w:tr w14:paraId="6FA2B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bottom w:val="nil"/>
            </w:tcBorders>
            <w:vAlign w:val="top"/>
          </w:tcPr>
          <w:p w14:paraId="70148B17">
            <w:pPr>
              <w:rPr>
                <w:rFonts w:ascii="Arial"/>
                <w:sz w:val="21"/>
              </w:rPr>
            </w:pPr>
          </w:p>
        </w:tc>
        <w:tc>
          <w:tcPr>
            <w:tcW w:w="283" w:type="dxa"/>
            <w:vMerge w:val="continue"/>
            <w:tcBorders>
              <w:top w:val="nil"/>
            </w:tcBorders>
            <w:vAlign w:val="top"/>
          </w:tcPr>
          <w:p w14:paraId="6E66E4A5">
            <w:pPr>
              <w:rPr>
                <w:rFonts w:ascii="Arial"/>
                <w:sz w:val="21"/>
              </w:rPr>
            </w:pPr>
          </w:p>
        </w:tc>
        <w:tc>
          <w:tcPr>
            <w:tcW w:w="1208" w:type="dxa"/>
            <w:vAlign w:val="top"/>
          </w:tcPr>
          <w:p w14:paraId="2BC6BA73">
            <w:pPr>
              <w:pStyle w:val="6"/>
              <w:spacing w:before="74" w:line="179" w:lineRule="auto"/>
              <w:ind w:left="165"/>
            </w:pPr>
            <w:r>
              <w:rPr>
                <w:spacing w:val="-1"/>
              </w:rPr>
              <w:t>2019/1/17</w:t>
            </w:r>
          </w:p>
        </w:tc>
        <w:tc>
          <w:tcPr>
            <w:tcW w:w="691" w:type="dxa"/>
            <w:vAlign w:val="top"/>
          </w:tcPr>
          <w:p w14:paraId="1FA7749E">
            <w:pPr>
              <w:pStyle w:val="6"/>
              <w:spacing w:before="74" w:line="179" w:lineRule="auto"/>
              <w:ind w:left="151"/>
            </w:pPr>
            <w:r>
              <w:rPr>
                <w:spacing w:val="-1"/>
              </w:rPr>
              <w:t>28.9</w:t>
            </w:r>
          </w:p>
        </w:tc>
        <w:tc>
          <w:tcPr>
            <w:tcW w:w="691" w:type="dxa"/>
            <w:vAlign w:val="top"/>
          </w:tcPr>
          <w:p w14:paraId="285B72FA">
            <w:pPr>
              <w:pStyle w:val="6"/>
              <w:spacing w:before="74" w:line="179" w:lineRule="auto"/>
              <w:ind w:left="173"/>
            </w:pPr>
            <w:r>
              <w:rPr>
                <w:spacing w:val="-6"/>
              </w:rPr>
              <w:t>11.6</w:t>
            </w:r>
          </w:p>
        </w:tc>
        <w:tc>
          <w:tcPr>
            <w:tcW w:w="689" w:type="dxa"/>
            <w:vAlign w:val="top"/>
          </w:tcPr>
          <w:p w14:paraId="71445C40">
            <w:pPr>
              <w:pStyle w:val="6"/>
              <w:spacing w:before="74" w:line="179" w:lineRule="auto"/>
              <w:ind w:left="235"/>
            </w:pPr>
            <w:r>
              <w:rPr>
                <w:spacing w:val="-2"/>
              </w:rPr>
              <w:t>91</w:t>
            </w:r>
          </w:p>
        </w:tc>
        <w:tc>
          <w:tcPr>
            <w:tcW w:w="691" w:type="dxa"/>
            <w:vAlign w:val="top"/>
          </w:tcPr>
          <w:p w14:paraId="6B9C0576">
            <w:pPr>
              <w:pStyle w:val="6"/>
              <w:spacing w:before="74" w:line="179" w:lineRule="auto"/>
              <w:ind w:left="233"/>
            </w:pPr>
            <w:r>
              <w:rPr>
                <w:spacing w:val="-1"/>
              </w:rPr>
              <w:t>43</w:t>
            </w:r>
          </w:p>
        </w:tc>
        <w:tc>
          <w:tcPr>
            <w:tcW w:w="691" w:type="dxa"/>
            <w:vAlign w:val="top"/>
          </w:tcPr>
          <w:p w14:paraId="6FCDE5CE">
            <w:pPr>
              <w:pStyle w:val="6"/>
              <w:spacing w:before="74" w:line="179" w:lineRule="auto"/>
              <w:ind w:left="151"/>
            </w:pPr>
            <w:r>
              <w:rPr>
                <w:spacing w:val="-5"/>
              </w:rPr>
              <w:t>1898</w:t>
            </w:r>
          </w:p>
        </w:tc>
        <w:tc>
          <w:tcPr>
            <w:tcW w:w="692" w:type="dxa"/>
            <w:vAlign w:val="top"/>
          </w:tcPr>
          <w:p w14:paraId="5908DD77">
            <w:pPr>
              <w:pStyle w:val="6"/>
              <w:spacing w:before="78" w:line="175" w:lineRule="auto"/>
              <w:ind w:left="240"/>
            </w:pPr>
            <w:r>
              <w:rPr>
                <w:b/>
                <w:bCs/>
                <w:spacing w:val="-2"/>
              </w:rPr>
              <w:t>78</w:t>
            </w:r>
          </w:p>
        </w:tc>
        <w:tc>
          <w:tcPr>
            <w:tcW w:w="691" w:type="dxa"/>
            <w:vAlign w:val="top"/>
          </w:tcPr>
          <w:p w14:paraId="4F60F1C4">
            <w:pPr>
              <w:pStyle w:val="6"/>
              <w:spacing w:before="74" w:line="179" w:lineRule="auto"/>
              <w:ind w:left="165"/>
            </w:pPr>
            <w:r>
              <w:rPr>
                <w:spacing w:val="-2"/>
              </w:rPr>
              <w:t>32.1</w:t>
            </w:r>
          </w:p>
        </w:tc>
        <w:tc>
          <w:tcPr>
            <w:tcW w:w="689" w:type="dxa"/>
            <w:vAlign w:val="top"/>
          </w:tcPr>
          <w:p w14:paraId="553B4014">
            <w:pPr>
              <w:pStyle w:val="6"/>
              <w:spacing w:before="78" w:line="175" w:lineRule="auto"/>
              <w:ind w:left="171"/>
            </w:pPr>
            <w:r>
              <w:rPr>
                <w:b/>
                <w:bCs/>
                <w:spacing w:val="-4"/>
              </w:rPr>
              <w:t>15.1</w:t>
            </w:r>
          </w:p>
        </w:tc>
        <w:tc>
          <w:tcPr>
            <w:tcW w:w="691" w:type="dxa"/>
            <w:vAlign w:val="top"/>
          </w:tcPr>
          <w:p w14:paraId="339A19C6">
            <w:pPr>
              <w:pStyle w:val="6"/>
              <w:spacing w:before="74" w:line="179" w:lineRule="auto"/>
              <w:ind w:left="185"/>
            </w:pPr>
            <w:r>
              <w:rPr>
                <w:spacing w:val="-6"/>
              </w:rPr>
              <w:t>11.8</w:t>
            </w:r>
          </w:p>
        </w:tc>
        <w:tc>
          <w:tcPr>
            <w:tcW w:w="691" w:type="dxa"/>
            <w:vAlign w:val="top"/>
          </w:tcPr>
          <w:p w14:paraId="2CE9821B">
            <w:pPr>
              <w:pStyle w:val="6"/>
              <w:spacing w:before="78" w:line="175" w:lineRule="auto"/>
              <w:ind w:left="167"/>
            </w:pPr>
            <w:r>
              <w:rPr>
                <w:b/>
                <w:bCs/>
                <w:spacing w:val="-2"/>
              </w:rPr>
              <w:t>2.49</w:t>
            </w:r>
          </w:p>
        </w:tc>
        <w:tc>
          <w:tcPr>
            <w:tcW w:w="690" w:type="dxa"/>
            <w:vAlign w:val="top"/>
          </w:tcPr>
          <w:p w14:paraId="2780B5D8">
            <w:pPr>
              <w:pStyle w:val="6"/>
              <w:spacing w:before="74" w:line="179" w:lineRule="auto"/>
              <w:ind w:left="166"/>
            </w:pPr>
            <w:r>
              <w:rPr>
                <w:spacing w:val="-1"/>
              </w:rPr>
              <w:t>20.4</w:t>
            </w:r>
          </w:p>
        </w:tc>
        <w:tc>
          <w:tcPr>
            <w:tcW w:w="693" w:type="dxa"/>
            <w:vAlign w:val="top"/>
          </w:tcPr>
          <w:p w14:paraId="6616FBA1">
            <w:pPr>
              <w:pStyle w:val="6"/>
              <w:spacing w:before="74" w:line="179" w:lineRule="auto"/>
              <w:ind w:left="175"/>
            </w:pPr>
            <w:r>
              <w:rPr>
                <w:spacing w:val="-3"/>
              </w:rPr>
              <w:t>5.77</w:t>
            </w:r>
          </w:p>
        </w:tc>
        <w:tc>
          <w:tcPr>
            <w:tcW w:w="690" w:type="dxa"/>
            <w:vAlign w:val="top"/>
          </w:tcPr>
          <w:p w14:paraId="3A64669E">
            <w:pPr>
              <w:pStyle w:val="6"/>
              <w:spacing w:before="74" w:line="179" w:lineRule="auto"/>
              <w:ind w:left="94"/>
            </w:pPr>
            <w:r>
              <w:rPr>
                <w:spacing w:val="-2"/>
              </w:rPr>
              <w:t>35000</w:t>
            </w:r>
          </w:p>
        </w:tc>
        <w:tc>
          <w:tcPr>
            <w:tcW w:w="691" w:type="dxa"/>
            <w:vAlign w:val="top"/>
          </w:tcPr>
          <w:p w14:paraId="36D6976E">
            <w:pPr>
              <w:pStyle w:val="6"/>
              <w:spacing w:before="78" w:line="175" w:lineRule="auto"/>
              <w:ind w:left="91"/>
            </w:pPr>
            <w:r>
              <w:rPr>
                <w:b/>
                <w:bCs/>
                <w:spacing w:val="-1"/>
              </w:rPr>
              <w:t>35000</w:t>
            </w:r>
          </w:p>
        </w:tc>
        <w:tc>
          <w:tcPr>
            <w:tcW w:w="691" w:type="dxa"/>
            <w:vAlign w:val="top"/>
          </w:tcPr>
          <w:p w14:paraId="6C014F0D">
            <w:pPr>
              <w:pStyle w:val="6"/>
              <w:spacing w:before="74" w:line="179" w:lineRule="auto"/>
              <w:ind w:left="111"/>
            </w:pPr>
            <w:r>
              <w:rPr>
                <w:spacing w:val="-2"/>
              </w:rPr>
              <w:t>0.05L</w:t>
            </w:r>
          </w:p>
        </w:tc>
        <w:tc>
          <w:tcPr>
            <w:tcW w:w="704" w:type="dxa"/>
            <w:tcBorders>
              <w:right w:val="single" w:color="000000" w:sz="12" w:space="0"/>
            </w:tcBorders>
            <w:vAlign w:val="top"/>
          </w:tcPr>
          <w:p w14:paraId="7982FD18">
            <w:pPr>
              <w:pStyle w:val="6"/>
              <w:spacing w:before="74" w:line="179" w:lineRule="auto"/>
              <w:ind w:left="112"/>
            </w:pPr>
            <w:r>
              <w:rPr>
                <w:spacing w:val="-2"/>
              </w:rPr>
              <w:t>0.05L</w:t>
            </w:r>
          </w:p>
        </w:tc>
      </w:tr>
      <w:tr w14:paraId="3E9E3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66587A3A">
            <w:pPr>
              <w:rPr>
                <w:rFonts w:ascii="Arial"/>
                <w:sz w:val="21"/>
              </w:rPr>
            </w:pPr>
          </w:p>
        </w:tc>
        <w:tc>
          <w:tcPr>
            <w:tcW w:w="283" w:type="dxa"/>
            <w:vMerge w:val="restart"/>
            <w:tcBorders>
              <w:bottom w:val="nil"/>
            </w:tcBorders>
            <w:vAlign w:val="top"/>
          </w:tcPr>
          <w:p w14:paraId="29DA7A2B">
            <w:pPr>
              <w:pStyle w:val="6"/>
              <w:spacing w:before="72" w:line="223" w:lineRule="auto"/>
              <w:ind w:left="75"/>
            </w:pPr>
            <w:r>
              <w:t>2</w:t>
            </w:r>
          </w:p>
          <w:p w14:paraId="25AE4C44">
            <w:pPr>
              <w:spacing w:line="219" w:lineRule="auto"/>
              <w:ind w:left="26"/>
              <w:rPr>
                <w:rFonts w:ascii="宋体" w:hAnsi="宋体" w:eastAsia="宋体" w:cs="宋体"/>
                <w:sz w:val="21"/>
                <w:szCs w:val="21"/>
              </w:rPr>
            </w:pPr>
            <w:r>
              <w:rPr>
                <w:rFonts w:ascii="宋体" w:hAnsi="宋体" w:eastAsia="宋体" w:cs="宋体"/>
                <w:sz w:val="21"/>
                <w:szCs w:val="21"/>
              </w:rPr>
              <w:t>季</w:t>
            </w:r>
          </w:p>
          <w:p w14:paraId="040DBE00">
            <w:pPr>
              <w:spacing w:before="23" w:line="194"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7090CD30">
            <w:pPr>
              <w:pStyle w:val="6"/>
              <w:spacing w:before="71" w:line="175" w:lineRule="auto"/>
              <w:ind w:left="165"/>
            </w:pPr>
            <w:r>
              <w:rPr>
                <w:spacing w:val="-1"/>
              </w:rPr>
              <w:t>2019/5/10</w:t>
            </w:r>
          </w:p>
        </w:tc>
        <w:tc>
          <w:tcPr>
            <w:tcW w:w="691" w:type="dxa"/>
            <w:vAlign w:val="top"/>
          </w:tcPr>
          <w:p w14:paraId="3AB7CE18">
            <w:pPr>
              <w:pStyle w:val="6"/>
              <w:spacing w:before="71" w:line="175" w:lineRule="auto"/>
              <w:ind w:left="198"/>
            </w:pPr>
            <w:r>
              <w:rPr>
                <w:spacing w:val="-6"/>
              </w:rPr>
              <w:t>150</w:t>
            </w:r>
          </w:p>
        </w:tc>
        <w:tc>
          <w:tcPr>
            <w:tcW w:w="691" w:type="dxa"/>
            <w:vAlign w:val="top"/>
          </w:tcPr>
          <w:p w14:paraId="7812A9BD">
            <w:pPr>
              <w:pStyle w:val="6"/>
              <w:spacing w:before="76" w:line="170" w:lineRule="auto"/>
              <w:ind w:left="188"/>
            </w:pPr>
            <w:r>
              <w:rPr>
                <w:b/>
                <w:bCs/>
                <w:spacing w:val="-4"/>
              </w:rPr>
              <w:t>116</w:t>
            </w:r>
          </w:p>
        </w:tc>
        <w:tc>
          <w:tcPr>
            <w:tcW w:w="689" w:type="dxa"/>
            <w:vAlign w:val="top"/>
          </w:tcPr>
          <w:p w14:paraId="5292A0A0">
            <w:pPr>
              <w:pStyle w:val="6"/>
              <w:spacing w:before="71" w:line="175" w:lineRule="auto"/>
              <w:ind w:left="183"/>
            </w:pPr>
            <w:r>
              <w:rPr>
                <w:spacing w:val="-2"/>
              </w:rPr>
              <w:t>319</w:t>
            </w:r>
          </w:p>
        </w:tc>
        <w:tc>
          <w:tcPr>
            <w:tcW w:w="691" w:type="dxa"/>
            <w:vAlign w:val="top"/>
          </w:tcPr>
          <w:p w14:paraId="650A7D5A">
            <w:pPr>
              <w:pStyle w:val="6"/>
              <w:spacing w:before="76" w:line="170" w:lineRule="auto"/>
              <w:ind w:left="183"/>
            </w:pPr>
            <w:r>
              <w:rPr>
                <w:b/>
                <w:bCs/>
                <w:spacing w:val="-2"/>
              </w:rPr>
              <w:t>246</w:t>
            </w:r>
          </w:p>
        </w:tc>
        <w:tc>
          <w:tcPr>
            <w:tcW w:w="691" w:type="dxa"/>
            <w:vAlign w:val="top"/>
          </w:tcPr>
          <w:p w14:paraId="67B02036">
            <w:pPr>
              <w:pStyle w:val="6"/>
              <w:spacing w:before="71" w:line="175" w:lineRule="auto"/>
              <w:ind w:left="184"/>
            </w:pPr>
            <w:r>
              <w:rPr>
                <w:spacing w:val="-1"/>
              </w:rPr>
              <w:t>280</w:t>
            </w:r>
          </w:p>
        </w:tc>
        <w:tc>
          <w:tcPr>
            <w:tcW w:w="692" w:type="dxa"/>
            <w:vAlign w:val="top"/>
          </w:tcPr>
          <w:p w14:paraId="661DB325">
            <w:pPr>
              <w:pStyle w:val="6"/>
              <w:spacing w:before="76" w:line="170" w:lineRule="auto"/>
              <w:ind w:left="195"/>
            </w:pPr>
            <w:r>
              <w:rPr>
                <w:b/>
                <w:bCs/>
                <w:spacing w:val="-4"/>
              </w:rPr>
              <w:t>105</w:t>
            </w:r>
          </w:p>
        </w:tc>
        <w:tc>
          <w:tcPr>
            <w:tcW w:w="691" w:type="dxa"/>
            <w:vAlign w:val="top"/>
          </w:tcPr>
          <w:p w14:paraId="3054917F">
            <w:pPr>
              <w:pStyle w:val="6"/>
              <w:spacing w:before="71" w:line="175" w:lineRule="auto"/>
              <w:ind w:left="161"/>
            </w:pPr>
            <w:r>
              <w:rPr>
                <w:spacing w:val="-1"/>
              </w:rPr>
              <w:t>22.2</w:t>
            </w:r>
          </w:p>
        </w:tc>
        <w:tc>
          <w:tcPr>
            <w:tcW w:w="689" w:type="dxa"/>
            <w:vAlign w:val="top"/>
          </w:tcPr>
          <w:p w14:paraId="3854BECF">
            <w:pPr>
              <w:pStyle w:val="6"/>
              <w:spacing w:before="76" w:line="170" w:lineRule="auto"/>
              <w:ind w:left="171"/>
            </w:pPr>
            <w:r>
              <w:rPr>
                <w:b/>
                <w:bCs/>
                <w:spacing w:val="-4"/>
              </w:rPr>
              <w:t>19.3</w:t>
            </w:r>
          </w:p>
        </w:tc>
        <w:tc>
          <w:tcPr>
            <w:tcW w:w="691" w:type="dxa"/>
            <w:vAlign w:val="top"/>
          </w:tcPr>
          <w:p w14:paraId="6DA2F9D6">
            <w:pPr>
              <w:pStyle w:val="6"/>
              <w:spacing w:before="71" w:line="175" w:lineRule="auto"/>
              <w:ind w:left="169"/>
            </w:pPr>
            <w:r>
              <w:rPr>
                <w:spacing w:val="-2"/>
              </w:rPr>
              <w:t>3.82</w:t>
            </w:r>
          </w:p>
        </w:tc>
        <w:tc>
          <w:tcPr>
            <w:tcW w:w="691" w:type="dxa"/>
            <w:vAlign w:val="top"/>
          </w:tcPr>
          <w:p w14:paraId="16F10E4F">
            <w:pPr>
              <w:pStyle w:val="6"/>
              <w:spacing w:before="76" w:line="170" w:lineRule="auto"/>
              <w:ind w:left="175"/>
            </w:pPr>
            <w:r>
              <w:rPr>
                <w:b/>
                <w:bCs/>
                <w:spacing w:val="-4"/>
              </w:rPr>
              <w:t>1.80</w:t>
            </w:r>
          </w:p>
        </w:tc>
        <w:tc>
          <w:tcPr>
            <w:tcW w:w="690" w:type="dxa"/>
            <w:vAlign w:val="top"/>
          </w:tcPr>
          <w:p w14:paraId="4503FCCF">
            <w:pPr>
              <w:pStyle w:val="6"/>
              <w:spacing w:before="71" w:line="175" w:lineRule="auto"/>
              <w:ind w:left="186"/>
            </w:pPr>
            <w:r>
              <w:rPr>
                <w:spacing w:val="-6"/>
              </w:rPr>
              <w:t>12.5</w:t>
            </w:r>
          </w:p>
        </w:tc>
        <w:tc>
          <w:tcPr>
            <w:tcW w:w="693" w:type="dxa"/>
            <w:vAlign w:val="top"/>
          </w:tcPr>
          <w:p w14:paraId="78C965BF">
            <w:pPr>
              <w:pStyle w:val="6"/>
              <w:spacing w:before="71" w:line="175" w:lineRule="auto"/>
              <w:ind w:left="175"/>
            </w:pPr>
            <w:r>
              <w:rPr>
                <w:spacing w:val="-3"/>
              </w:rPr>
              <w:t>5.94</w:t>
            </w:r>
          </w:p>
        </w:tc>
        <w:tc>
          <w:tcPr>
            <w:tcW w:w="690" w:type="dxa"/>
            <w:vAlign w:val="top"/>
          </w:tcPr>
          <w:p w14:paraId="7AD070F8">
            <w:pPr>
              <w:pStyle w:val="6"/>
              <w:spacing w:before="71" w:line="175" w:lineRule="auto"/>
              <w:ind w:left="41"/>
            </w:pPr>
            <w:r>
              <w:rPr>
                <w:spacing w:val="-2"/>
              </w:rPr>
              <w:t>330000</w:t>
            </w:r>
          </w:p>
        </w:tc>
        <w:tc>
          <w:tcPr>
            <w:tcW w:w="691" w:type="dxa"/>
            <w:vAlign w:val="top"/>
          </w:tcPr>
          <w:p w14:paraId="299161D5">
            <w:pPr>
              <w:pStyle w:val="6"/>
              <w:spacing w:before="76" w:line="170" w:lineRule="auto"/>
              <w:ind w:left="40"/>
            </w:pPr>
            <w:r>
              <w:rPr>
                <w:b/>
                <w:bCs/>
                <w:spacing w:val="-1"/>
              </w:rPr>
              <w:t>260000</w:t>
            </w:r>
          </w:p>
        </w:tc>
        <w:tc>
          <w:tcPr>
            <w:tcW w:w="691" w:type="dxa"/>
            <w:vAlign w:val="top"/>
          </w:tcPr>
          <w:p w14:paraId="63C7F524">
            <w:pPr>
              <w:pStyle w:val="6"/>
              <w:spacing w:before="71" w:line="175" w:lineRule="auto"/>
              <w:ind w:left="178"/>
            </w:pPr>
            <w:r>
              <w:rPr>
                <w:spacing w:val="-2"/>
              </w:rPr>
              <w:t>3.22</w:t>
            </w:r>
          </w:p>
        </w:tc>
        <w:tc>
          <w:tcPr>
            <w:tcW w:w="704" w:type="dxa"/>
            <w:tcBorders>
              <w:right w:val="single" w:color="000000" w:sz="12" w:space="0"/>
            </w:tcBorders>
            <w:vAlign w:val="top"/>
          </w:tcPr>
          <w:p w14:paraId="47EC34CB">
            <w:pPr>
              <w:pStyle w:val="6"/>
              <w:spacing w:before="71" w:line="175" w:lineRule="auto"/>
              <w:ind w:left="174"/>
            </w:pPr>
            <w:r>
              <w:rPr>
                <w:spacing w:val="-1"/>
              </w:rPr>
              <w:t>2.86</w:t>
            </w:r>
          </w:p>
        </w:tc>
      </w:tr>
      <w:tr w14:paraId="70129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52516298">
            <w:pPr>
              <w:rPr>
                <w:rFonts w:ascii="Arial"/>
                <w:sz w:val="21"/>
              </w:rPr>
            </w:pPr>
          </w:p>
        </w:tc>
        <w:tc>
          <w:tcPr>
            <w:tcW w:w="283" w:type="dxa"/>
            <w:vMerge w:val="continue"/>
            <w:tcBorders>
              <w:top w:val="nil"/>
              <w:bottom w:val="nil"/>
            </w:tcBorders>
            <w:vAlign w:val="top"/>
          </w:tcPr>
          <w:p w14:paraId="042CA28B">
            <w:pPr>
              <w:rPr>
                <w:rFonts w:ascii="Arial"/>
                <w:sz w:val="21"/>
              </w:rPr>
            </w:pPr>
          </w:p>
        </w:tc>
        <w:tc>
          <w:tcPr>
            <w:tcW w:w="1208" w:type="dxa"/>
            <w:vAlign w:val="top"/>
          </w:tcPr>
          <w:p w14:paraId="5616C34E">
            <w:pPr>
              <w:pStyle w:val="6"/>
              <w:spacing w:before="72" w:line="172" w:lineRule="auto"/>
              <w:ind w:left="165"/>
            </w:pPr>
            <w:r>
              <w:rPr>
                <w:spacing w:val="-1"/>
              </w:rPr>
              <w:t>2019/5/11</w:t>
            </w:r>
          </w:p>
        </w:tc>
        <w:tc>
          <w:tcPr>
            <w:tcW w:w="691" w:type="dxa"/>
            <w:vAlign w:val="top"/>
          </w:tcPr>
          <w:p w14:paraId="5CC8FBCB">
            <w:pPr>
              <w:pStyle w:val="6"/>
              <w:spacing w:before="72" w:line="172" w:lineRule="auto"/>
              <w:ind w:left="198"/>
            </w:pPr>
            <w:r>
              <w:rPr>
                <w:spacing w:val="-6"/>
              </w:rPr>
              <w:t>144</w:t>
            </w:r>
          </w:p>
        </w:tc>
        <w:tc>
          <w:tcPr>
            <w:tcW w:w="691" w:type="dxa"/>
            <w:vAlign w:val="top"/>
          </w:tcPr>
          <w:p w14:paraId="72AF92AD">
            <w:pPr>
              <w:pStyle w:val="6"/>
              <w:spacing w:before="76" w:line="168" w:lineRule="auto"/>
              <w:ind w:left="188"/>
            </w:pPr>
            <w:r>
              <w:rPr>
                <w:b/>
                <w:bCs/>
                <w:spacing w:val="-4"/>
              </w:rPr>
              <w:t>106</w:t>
            </w:r>
          </w:p>
        </w:tc>
        <w:tc>
          <w:tcPr>
            <w:tcW w:w="689" w:type="dxa"/>
            <w:vAlign w:val="top"/>
          </w:tcPr>
          <w:p w14:paraId="4D83F4B2">
            <w:pPr>
              <w:pStyle w:val="6"/>
              <w:spacing w:before="72" w:line="172" w:lineRule="auto"/>
              <w:ind w:left="183"/>
            </w:pPr>
            <w:r>
              <w:rPr>
                <w:spacing w:val="-2"/>
              </w:rPr>
              <w:t>310</w:t>
            </w:r>
          </w:p>
        </w:tc>
        <w:tc>
          <w:tcPr>
            <w:tcW w:w="691" w:type="dxa"/>
            <w:vAlign w:val="top"/>
          </w:tcPr>
          <w:p w14:paraId="4D3A094C">
            <w:pPr>
              <w:pStyle w:val="6"/>
              <w:spacing w:before="76" w:line="168" w:lineRule="auto"/>
              <w:ind w:left="183"/>
            </w:pPr>
            <w:r>
              <w:rPr>
                <w:b/>
                <w:bCs/>
                <w:spacing w:val="-2"/>
              </w:rPr>
              <w:t>234</w:t>
            </w:r>
          </w:p>
        </w:tc>
        <w:tc>
          <w:tcPr>
            <w:tcW w:w="691" w:type="dxa"/>
            <w:vAlign w:val="top"/>
          </w:tcPr>
          <w:p w14:paraId="2E401C26">
            <w:pPr>
              <w:pStyle w:val="6"/>
              <w:spacing w:before="72" w:line="172" w:lineRule="auto"/>
              <w:ind w:left="184"/>
            </w:pPr>
            <w:r>
              <w:rPr>
                <w:spacing w:val="-1"/>
              </w:rPr>
              <w:t>273</w:t>
            </w:r>
          </w:p>
        </w:tc>
        <w:tc>
          <w:tcPr>
            <w:tcW w:w="692" w:type="dxa"/>
            <w:vAlign w:val="top"/>
          </w:tcPr>
          <w:p w14:paraId="35ACEF1B">
            <w:pPr>
              <w:pStyle w:val="6"/>
              <w:spacing w:before="76" w:line="168" w:lineRule="auto"/>
              <w:ind w:left="195"/>
            </w:pPr>
            <w:r>
              <w:rPr>
                <w:b/>
                <w:bCs/>
                <w:spacing w:val="-4"/>
              </w:rPr>
              <w:t>111</w:t>
            </w:r>
          </w:p>
        </w:tc>
        <w:tc>
          <w:tcPr>
            <w:tcW w:w="691" w:type="dxa"/>
            <w:vAlign w:val="top"/>
          </w:tcPr>
          <w:p w14:paraId="014BCE4D">
            <w:pPr>
              <w:pStyle w:val="6"/>
              <w:spacing w:before="72" w:line="172" w:lineRule="auto"/>
              <w:ind w:left="161"/>
            </w:pPr>
            <w:r>
              <w:rPr>
                <w:spacing w:val="-1"/>
              </w:rPr>
              <w:t>23.6</w:t>
            </w:r>
          </w:p>
        </w:tc>
        <w:tc>
          <w:tcPr>
            <w:tcW w:w="689" w:type="dxa"/>
            <w:vAlign w:val="top"/>
          </w:tcPr>
          <w:p w14:paraId="7359FAE0">
            <w:pPr>
              <w:pStyle w:val="6"/>
              <w:spacing w:before="76" w:line="168" w:lineRule="auto"/>
              <w:ind w:left="171"/>
            </w:pPr>
            <w:r>
              <w:rPr>
                <w:b/>
                <w:bCs/>
                <w:spacing w:val="-4"/>
              </w:rPr>
              <w:t>18.8</w:t>
            </w:r>
          </w:p>
        </w:tc>
        <w:tc>
          <w:tcPr>
            <w:tcW w:w="691" w:type="dxa"/>
            <w:vAlign w:val="top"/>
          </w:tcPr>
          <w:p w14:paraId="21FE589D">
            <w:pPr>
              <w:pStyle w:val="6"/>
              <w:spacing w:before="72" w:line="172" w:lineRule="auto"/>
              <w:ind w:left="169"/>
            </w:pPr>
            <w:r>
              <w:rPr>
                <w:spacing w:val="-2"/>
              </w:rPr>
              <w:t>3.75</w:t>
            </w:r>
          </w:p>
        </w:tc>
        <w:tc>
          <w:tcPr>
            <w:tcW w:w="691" w:type="dxa"/>
            <w:vAlign w:val="top"/>
          </w:tcPr>
          <w:p w14:paraId="60C9AE1C">
            <w:pPr>
              <w:pStyle w:val="6"/>
              <w:spacing w:before="76" w:line="168" w:lineRule="auto"/>
              <w:ind w:left="175"/>
            </w:pPr>
            <w:r>
              <w:rPr>
                <w:b/>
                <w:bCs/>
                <w:spacing w:val="-4"/>
              </w:rPr>
              <w:t>1.69</w:t>
            </w:r>
          </w:p>
        </w:tc>
        <w:tc>
          <w:tcPr>
            <w:tcW w:w="690" w:type="dxa"/>
            <w:vAlign w:val="top"/>
          </w:tcPr>
          <w:p w14:paraId="6888D6A2">
            <w:pPr>
              <w:pStyle w:val="6"/>
              <w:spacing w:before="72" w:line="172" w:lineRule="auto"/>
              <w:ind w:left="186"/>
            </w:pPr>
            <w:r>
              <w:rPr>
                <w:spacing w:val="-6"/>
              </w:rPr>
              <w:t>11.8</w:t>
            </w:r>
          </w:p>
        </w:tc>
        <w:tc>
          <w:tcPr>
            <w:tcW w:w="693" w:type="dxa"/>
            <w:vAlign w:val="top"/>
          </w:tcPr>
          <w:p w14:paraId="2EEF72DC">
            <w:pPr>
              <w:pStyle w:val="6"/>
              <w:spacing w:before="72" w:line="172" w:lineRule="auto"/>
              <w:ind w:left="175"/>
            </w:pPr>
            <w:r>
              <w:rPr>
                <w:spacing w:val="-3"/>
              </w:rPr>
              <w:t>5.88</w:t>
            </w:r>
          </w:p>
        </w:tc>
        <w:tc>
          <w:tcPr>
            <w:tcW w:w="690" w:type="dxa"/>
            <w:vAlign w:val="top"/>
          </w:tcPr>
          <w:p w14:paraId="0032B5E2">
            <w:pPr>
              <w:pStyle w:val="6"/>
              <w:spacing w:before="72" w:line="172" w:lineRule="auto"/>
              <w:ind w:left="41"/>
            </w:pPr>
            <w:r>
              <w:rPr>
                <w:spacing w:val="-2"/>
              </w:rPr>
              <w:t>340000</w:t>
            </w:r>
          </w:p>
        </w:tc>
        <w:tc>
          <w:tcPr>
            <w:tcW w:w="691" w:type="dxa"/>
            <w:vAlign w:val="top"/>
          </w:tcPr>
          <w:p w14:paraId="246818D0">
            <w:pPr>
              <w:pStyle w:val="6"/>
              <w:spacing w:before="76" w:line="168" w:lineRule="auto"/>
              <w:ind w:left="40"/>
            </w:pPr>
            <w:r>
              <w:rPr>
                <w:b/>
                <w:bCs/>
                <w:spacing w:val="-1"/>
              </w:rPr>
              <w:t>240000</w:t>
            </w:r>
          </w:p>
        </w:tc>
        <w:tc>
          <w:tcPr>
            <w:tcW w:w="691" w:type="dxa"/>
            <w:vAlign w:val="top"/>
          </w:tcPr>
          <w:p w14:paraId="16CF2A04">
            <w:pPr>
              <w:pStyle w:val="6"/>
              <w:spacing w:before="72" w:line="172" w:lineRule="auto"/>
              <w:ind w:left="178"/>
            </w:pPr>
            <w:r>
              <w:rPr>
                <w:spacing w:val="-2"/>
              </w:rPr>
              <w:t>3.25</w:t>
            </w:r>
          </w:p>
        </w:tc>
        <w:tc>
          <w:tcPr>
            <w:tcW w:w="704" w:type="dxa"/>
            <w:tcBorders>
              <w:right w:val="single" w:color="000000" w:sz="12" w:space="0"/>
            </w:tcBorders>
            <w:vAlign w:val="top"/>
          </w:tcPr>
          <w:p w14:paraId="493B0595">
            <w:pPr>
              <w:pStyle w:val="6"/>
              <w:spacing w:before="72" w:line="172" w:lineRule="auto"/>
              <w:ind w:left="174"/>
            </w:pPr>
            <w:r>
              <w:rPr>
                <w:spacing w:val="-1"/>
              </w:rPr>
              <w:t>2.88</w:t>
            </w:r>
          </w:p>
        </w:tc>
      </w:tr>
      <w:tr w14:paraId="28CD2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849" w:type="dxa"/>
            <w:vMerge w:val="continue"/>
            <w:tcBorders>
              <w:top w:val="nil"/>
              <w:left w:val="single" w:color="000000" w:sz="12" w:space="0"/>
              <w:bottom w:val="nil"/>
            </w:tcBorders>
            <w:vAlign w:val="top"/>
          </w:tcPr>
          <w:p w14:paraId="310CC792">
            <w:pPr>
              <w:rPr>
                <w:rFonts w:ascii="Arial"/>
                <w:sz w:val="21"/>
              </w:rPr>
            </w:pPr>
          </w:p>
        </w:tc>
        <w:tc>
          <w:tcPr>
            <w:tcW w:w="283" w:type="dxa"/>
            <w:vMerge w:val="continue"/>
            <w:tcBorders>
              <w:top w:val="nil"/>
            </w:tcBorders>
            <w:vAlign w:val="top"/>
          </w:tcPr>
          <w:p w14:paraId="62D6EEFB">
            <w:pPr>
              <w:rPr>
                <w:rFonts w:ascii="Arial"/>
                <w:sz w:val="21"/>
              </w:rPr>
            </w:pPr>
          </w:p>
        </w:tc>
        <w:tc>
          <w:tcPr>
            <w:tcW w:w="1208" w:type="dxa"/>
            <w:vAlign w:val="top"/>
          </w:tcPr>
          <w:p w14:paraId="63C6BBEA">
            <w:pPr>
              <w:pStyle w:val="6"/>
              <w:spacing w:before="78" w:line="176" w:lineRule="auto"/>
              <w:ind w:left="165"/>
            </w:pPr>
            <w:r>
              <w:rPr>
                <w:spacing w:val="-1"/>
              </w:rPr>
              <w:t>2019/5/12</w:t>
            </w:r>
          </w:p>
        </w:tc>
        <w:tc>
          <w:tcPr>
            <w:tcW w:w="691" w:type="dxa"/>
            <w:vAlign w:val="top"/>
          </w:tcPr>
          <w:p w14:paraId="4A4DBF16">
            <w:pPr>
              <w:pStyle w:val="6"/>
              <w:spacing w:before="78" w:line="176" w:lineRule="auto"/>
              <w:ind w:left="198"/>
            </w:pPr>
            <w:r>
              <w:rPr>
                <w:spacing w:val="-6"/>
              </w:rPr>
              <w:t>158</w:t>
            </w:r>
          </w:p>
        </w:tc>
        <w:tc>
          <w:tcPr>
            <w:tcW w:w="691" w:type="dxa"/>
            <w:vAlign w:val="top"/>
          </w:tcPr>
          <w:p w14:paraId="2834FBBC">
            <w:pPr>
              <w:pStyle w:val="6"/>
              <w:spacing w:before="83" w:line="171" w:lineRule="auto"/>
              <w:ind w:left="188"/>
            </w:pPr>
            <w:r>
              <w:rPr>
                <w:b/>
                <w:bCs/>
                <w:spacing w:val="-4"/>
              </w:rPr>
              <w:t>112</w:t>
            </w:r>
          </w:p>
        </w:tc>
        <w:tc>
          <w:tcPr>
            <w:tcW w:w="689" w:type="dxa"/>
            <w:vAlign w:val="top"/>
          </w:tcPr>
          <w:p w14:paraId="2236E1B5">
            <w:pPr>
              <w:pStyle w:val="6"/>
              <w:spacing w:before="78" w:line="176" w:lineRule="auto"/>
              <w:ind w:left="183"/>
            </w:pPr>
            <w:r>
              <w:rPr>
                <w:spacing w:val="-2"/>
              </w:rPr>
              <w:t>326</w:t>
            </w:r>
          </w:p>
        </w:tc>
        <w:tc>
          <w:tcPr>
            <w:tcW w:w="691" w:type="dxa"/>
            <w:vAlign w:val="top"/>
          </w:tcPr>
          <w:p w14:paraId="0D1307FF">
            <w:pPr>
              <w:pStyle w:val="6"/>
              <w:spacing w:before="83" w:line="171" w:lineRule="auto"/>
              <w:ind w:left="183"/>
            </w:pPr>
            <w:r>
              <w:rPr>
                <w:b/>
                <w:bCs/>
                <w:spacing w:val="-2"/>
              </w:rPr>
              <w:t>240</w:t>
            </w:r>
          </w:p>
        </w:tc>
        <w:tc>
          <w:tcPr>
            <w:tcW w:w="691" w:type="dxa"/>
            <w:vAlign w:val="top"/>
          </w:tcPr>
          <w:p w14:paraId="3D5FFD28">
            <w:pPr>
              <w:pStyle w:val="6"/>
              <w:spacing w:before="78" w:line="176" w:lineRule="auto"/>
              <w:ind w:left="184"/>
            </w:pPr>
            <w:r>
              <w:rPr>
                <w:spacing w:val="-1"/>
              </w:rPr>
              <w:t>268</w:t>
            </w:r>
          </w:p>
        </w:tc>
        <w:tc>
          <w:tcPr>
            <w:tcW w:w="692" w:type="dxa"/>
            <w:vAlign w:val="top"/>
          </w:tcPr>
          <w:p w14:paraId="0ECA03C5">
            <w:pPr>
              <w:pStyle w:val="6"/>
              <w:spacing w:before="83" w:line="171" w:lineRule="auto"/>
              <w:ind w:left="195"/>
            </w:pPr>
            <w:r>
              <w:rPr>
                <w:b/>
                <w:bCs/>
                <w:spacing w:val="-4"/>
              </w:rPr>
              <w:t>118</w:t>
            </w:r>
          </w:p>
        </w:tc>
        <w:tc>
          <w:tcPr>
            <w:tcW w:w="691" w:type="dxa"/>
            <w:vAlign w:val="top"/>
          </w:tcPr>
          <w:p w14:paraId="345E1643">
            <w:pPr>
              <w:pStyle w:val="6"/>
              <w:spacing w:before="78" w:line="176" w:lineRule="auto"/>
              <w:ind w:left="161"/>
            </w:pPr>
            <w:r>
              <w:rPr>
                <w:spacing w:val="-1"/>
              </w:rPr>
              <w:t>21.4</w:t>
            </w:r>
          </w:p>
        </w:tc>
        <w:tc>
          <w:tcPr>
            <w:tcW w:w="689" w:type="dxa"/>
            <w:vAlign w:val="top"/>
          </w:tcPr>
          <w:p w14:paraId="66674F42">
            <w:pPr>
              <w:pStyle w:val="6"/>
              <w:spacing w:before="83" w:line="171" w:lineRule="auto"/>
              <w:ind w:left="171"/>
            </w:pPr>
            <w:r>
              <w:rPr>
                <w:b/>
                <w:bCs/>
                <w:spacing w:val="-4"/>
              </w:rPr>
              <w:t>19.5</w:t>
            </w:r>
          </w:p>
        </w:tc>
        <w:tc>
          <w:tcPr>
            <w:tcW w:w="691" w:type="dxa"/>
            <w:vAlign w:val="top"/>
          </w:tcPr>
          <w:p w14:paraId="0112318B">
            <w:pPr>
              <w:pStyle w:val="6"/>
              <w:spacing w:before="78" w:line="176" w:lineRule="auto"/>
              <w:ind w:left="169"/>
            </w:pPr>
            <w:r>
              <w:rPr>
                <w:spacing w:val="-2"/>
              </w:rPr>
              <w:t>3.86</w:t>
            </w:r>
          </w:p>
        </w:tc>
        <w:tc>
          <w:tcPr>
            <w:tcW w:w="691" w:type="dxa"/>
            <w:vAlign w:val="top"/>
          </w:tcPr>
          <w:p w14:paraId="7784E26F">
            <w:pPr>
              <w:pStyle w:val="6"/>
              <w:spacing w:before="83" w:line="171" w:lineRule="auto"/>
              <w:ind w:left="175"/>
            </w:pPr>
            <w:r>
              <w:rPr>
                <w:b/>
                <w:bCs/>
                <w:spacing w:val="-4"/>
              </w:rPr>
              <w:t>1.75</w:t>
            </w:r>
          </w:p>
        </w:tc>
        <w:tc>
          <w:tcPr>
            <w:tcW w:w="690" w:type="dxa"/>
            <w:vAlign w:val="top"/>
          </w:tcPr>
          <w:p w14:paraId="20B2DB89">
            <w:pPr>
              <w:pStyle w:val="6"/>
              <w:spacing w:before="78" w:line="176" w:lineRule="auto"/>
              <w:ind w:left="186"/>
            </w:pPr>
            <w:r>
              <w:rPr>
                <w:spacing w:val="-6"/>
              </w:rPr>
              <w:t>12.6</w:t>
            </w:r>
          </w:p>
        </w:tc>
        <w:tc>
          <w:tcPr>
            <w:tcW w:w="693" w:type="dxa"/>
            <w:vAlign w:val="top"/>
          </w:tcPr>
          <w:p w14:paraId="0F3F1015">
            <w:pPr>
              <w:pStyle w:val="6"/>
              <w:spacing w:before="78" w:line="176" w:lineRule="auto"/>
              <w:ind w:left="175"/>
            </w:pPr>
            <w:r>
              <w:rPr>
                <w:spacing w:val="-3"/>
              </w:rPr>
              <w:t>5.97</w:t>
            </w:r>
          </w:p>
        </w:tc>
        <w:tc>
          <w:tcPr>
            <w:tcW w:w="690" w:type="dxa"/>
            <w:vAlign w:val="top"/>
          </w:tcPr>
          <w:p w14:paraId="6FD6BAF2">
            <w:pPr>
              <w:pStyle w:val="6"/>
              <w:spacing w:before="78" w:line="176" w:lineRule="auto"/>
              <w:ind w:left="41"/>
            </w:pPr>
            <w:r>
              <w:rPr>
                <w:spacing w:val="-2"/>
              </w:rPr>
              <w:t>330000</w:t>
            </w:r>
          </w:p>
        </w:tc>
        <w:tc>
          <w:tcPr>
            <w:tcW w:w="691" w:type="dxa"/>
            <w:vAlign w:val="top"/>
          </w:tcPr>
          <w:p w14:paraId="129BBFB2">
            <w:pPr>
              <w:pStyle w:val="6"/>
              <w:spacing w:before="83" w:line="171" w:lineRule="auto"/>
              <w:ind w:left="40"/>
            </w:pPr>
            <w:r>
              <w:rPr>
                <w:b/>
                <w:bCs/>
                <w:spacing w:val="-1"/>
              </w:rPr>
              <w:t>260000</w:t>
            </w:r>
          </w:p>
        </w:tc>
        <w:tc>
          <w:tcPr>
            <w:tcW w:w="691" w:type="dxa"/>
            <w:vAlign w:val="top"/>
          </w:tcPr>
          <w:p w14:paraId="7EED782A">
            <w:pPr>
              <w:pStyle w:val="6"/>
              <w:spacing w:before="78" w:line="176" w:lineRule="auto"/>
              <w:ind w:left="178"/>
            </w:pPr>
            <w:r>
              <w:rPr>
                <w:spacing w:val="-2"/>
              </w:rPr>
              <w:t>3.17</w:t>
            </w:r>
          </w:p>
        </w:tc>
        <w:tc>
          <w:tcPr>
            <w:tcW w:w="704" w:type="dxa"/>
            <w:tcBorders>
              <w:right w:val="single" w:color="000000" w:sz="12" w:space="0"/>
            </w:tcBorders>
            <w:vAlign w:val="top"/>
          </w:tcPr>
          <w:p w14:paraId="7AD9EA77">
            <w:pPr>
              <w:pStyle w:val="6"/>
              <w:spacing w:before="78" w:line="176" w:lineRule="auto"/>
              <w:ind w:left="174"/>
            </w:pPr>
            <w:r>
              <w:rPr>
                <w:spacing w:val="-1"/>
              </w:rPr>
              <w:t>2.83</w:t>
            </w:r>
          </w:p>
        </w:tc>
      </w:tr>
      <w:tr w14:paraId="05F40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849" w:type="dxa"/>
            <w:vMerge w:val="continue"/>
            <w:tcBorders>
              <w:top w:val="nil"/>
              <w:left w:val="single" w:color="000000" w:sz="12" w:space="0"/>
              <w:bottom w:val="nil"/>
            </w:tcBorders>
            <w:vAlign w:val="top"/>
          </w:tcPr>
          <w:p w14:paraId="7CD26FA9">
            <w:pPr>
              <w:rPr>
                <w:rFonts w:ascii="Arial"/>
                <w:sz w:val="21"/>
              </w:rPr>
            </w:pPr>
          </w:p>
        </w:tc>
        <w:tc>
          <w:tcPr>
            <w:tcW w:w="283" w:type="dxa"/>
            <w:vMerge w:val="restart"/>
            <w:tcBorders>
              <w:bottom w:val="nil"/>
            </w:tcBorders>
            <w:vAlign w:val="top"/>
          </w:tcPr>
          <w:p w14:paraId="2868DD45">
            <w:pPr>
              <w:pStyle w:val="6"/>
              <w:spacing w:before="75" w:line="222" w:lineRule="auto"/>
              <w:ind w:left="79"/>
            </w:pPr>
            <w:r>
              <w:t>3</w:t>
            </w:r>
          </w:p>
          <w:p w14:paraId="00FE0465">
            <w:pPr>
              <w:spacing w:line="219" w:lineRule="auto"/>
              <w:ind w:left="26"/>
              <w:rPr>
                <w:rFonts w:ascii="宋体" w:hAnsi="宋体" w:eastAsia="宋体" w:cs="宋体"/>
                <w:sz w:val="21"/>
                <w:szCs w:val="21"/>
              </w:rPr>
            </w:pPr>
            <w:r>
              <w:rPr>
                <w:rFonts w:ascii="宋体" w:hAnsi="宋体" w:eastAsia="宋体" w:cs="宋体"/>
                <w:sz w:val="21"/>
                <w:szCs w:val="21"/>
              </w:rPr>
              <w:t>季</w:t>
            </w:r>
          </w:p>
          <w:p w14:paraId="7292C08A">
            <w:pPr>
              <w:spacing w:before="22" w:line="192"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0097B904">
            <w:pPr>
              <w:pStyle w:val="6"/>
              <w:spacing w:before="75" w:line="170" w:lineRule="auto"/>
              <w:ind w:left="165"/>
            </w:pPr>
            <w:r>
              <w:rPr>
                <w:spacing w:val="-1"/>
              </w:rPr>
              <w:t>2019/8/06</w:t>
            </w:r>
          </w:p>
        </w:tc>
        <w:tc>
          <w:tcPr>
            <w:tcW w:w="691" w:type="dxa"/>
            <w:vAlign w:val="top"/>
          </w:tcPr>
          <w:p w14:paraId="6773174A">
            <w:pPr>
              <w:pStyle w:val="6"/>
              <w:spacing w:before="75" w:line="170" w:lineRule="auto"/>
              <w:ind w:left="198"/>
            </w:pPr>
            <w:r>
              <w:rPr>
                <w:spacing w:val="-6"/>
              </w:rPr>
              <w:t>180</w:t>
            </w:r>
          </w:p>
        </w:tc>
        <w:tc>
          <w:tcPr>
            <w:tcW w:w="691" w:type="dxa"/>
            <w:vAlign w:val="top"/>
          </w:tcPr>
          <w:p w14:paraId="564CAADA">
            <w:pPr>
              <w:pStyle w:val="6"/>
              <w:spacing w:before="80" w:line="165" w:lineRule="auto"/>
              <w:ind w:left="188"/>
            </w:pPr>
            <w:r>
              <w:rPr>
                <w:b/>
                <w:bCs/>
                <w:spacing w:val="-4"/>
              </w:rPr>
              <w:t>112</w:t>
            </w:r>
          </w:p>
        </w:tc>
        <w:tc>
          <w:tcPr>
            <w:tcW w:w="689" w:type="dxa"/>
            <w:vAlign w:val="top"/>
          </w:tcPr>
          <w:p w14:paraId="17B2D4E1">
            <w:pPr>
              <w:pStyle w:val="6"/>
              <w:spacing w:before="75" w:line="170" w:lineRule="auto"/>
              <w:ind w:left="178"/>
            </w:pPr>
            <w:r>
              <w:rPr>
                <w:spacing w:val="-1"/>
              </w:rPr>
              <w:t>407</w:t>
            </w:r>
          </w:p>
        </w:tc>
        <w:tc>
          <w:tcPr>
            <w:tcW w:w="691" w:type="dxa"/>
            <w:vAlign w:val="top"/>
          </w:tcPr>
          <w:p w14:paraId="30E3D378">
            <w:pPr>
              <w:pStyle w:val="6"/>
              <w:spacing w:before="80" w:line="165" w:lineRule="auto"/>
              <w:ind w:left="183"/>
            </w:pPr>
            <w:r>
              <w:rPr>
                <w:b/>
                <w:bCs/>
                <w:spacing w:val="-2"/>
              </w:rPr>
              <w:t>251</w:t>
            </w:r>
          </w:p>
        </w:tc>
        <w:tc>
          <w:tcPr>
            <w:tcW w:w="691" w:type="dxa"/>
            <w:vAlign w:val="top"/>
          </w:tcPr>
          <w:p w14:paraId="5AADB7B2">
            <w:pPr>
              <w:pStyle w:val="6"/>
              <w:spacing w:before="75" w:line="170" w:lineRule="auto"/>
              <w:ind w:left="184"/>
            </w:pPr>
            <w:r>
              <w:rPr>
                <w:spacing w:val="-1"/>
              </w:rPr>
              <w:t>248</w:t>
            </w:r>
          </w:p>
        </w:tc>
        <w:tc>
          <w:tcPr>
            <w:tcW w:w="692" w:type="dxa"/>
            <w:vAlign w:val="top"/>
          </w:tcPr>
          <w:p w14:paraId="51BF3A3F">
            <w:pPr>
              <w:pStyle w:val="6"/>
              <w:spacing w:before="75" w:line="170" w:lineRule="auto"/>
              <w:ind w:left="236"/>
            </w:pPr>
            <w:r>
              <w:rPr>
                <w:spacing w:val="-1"/>
              </w:rPr>
              <w:t>46</w:t>
            </w:r>
          </w:p>
        </w:tc>
        <w:tc>
          <w:tcPr>
            <w:tcW w:w="691" w:type="dxa"/>
            <w:vAlign w:val="top"/>
          </w:tcPr>
          <w:p w14:paraId="11A2209E">
            <w:pPr>
              <w:pStyle w:val="6"/>
              <w:spacing w:before="75" w:line="170" w:lineRule="auto"/>
              <w:ind w:left="181"/>
            </w:pPr>
            <w:r>
              <w:rPr>
                <w:spacing w:val="-6"/>
              </w:rPr>
              <w:t>11.1</w:t>
            </w:r>
          </w:p>
        </w:tc>
        <w:tc>
          <w:tcPr>
            <w:tcW w:w="689" w:type="dxa"/>
            <w:vAlign w:val="top"/>
          </w:tcPr>
          <w:p w14:paraId="6B6A7F3B">
            <w:pPr>
              <w:pStyle w:val="6"/>
              <w:spacing w:before="75" w:line="170" w:lineRule="auto"/>
              <w:ind w:left="165"/>
            </w:pPr>
            <w:r>
              <w:rPr>
                <w:spacing w:val="-2"/>
              </w:rPr>
              <w:t>9.85</w:t>
            </w:r>
          </w:p>
        </w:tc>
        <w:tc>
          <w:tcPr>
            <w:tcW w:w="691" w:type="dxa"/>
            <w:vAlign w:val="top"/>
          </w:tcPr>
          <w:p w14:paraId="5A718B0B">
            <w:pPr>
              <w:pStyle w:val="6"/>
              <w:spacing w:before="75" w:line="170" w:lineRule="auto"/>
              <w:ind w:left="185"/>
            </w:pPr>
            <w:r>
              <w:rPr>
                <w:spacing w:val="-6"/>
              </w:rPr>
              <w:t>1.21</w:t>
            </w:r>
          </w:p>
        </w:tc>
        <w:tc>
          <w:tcPr>
            <w:tcW w:w="691" w:type="dxa"/>
            <w:vAlign w:val="top"/>
          </w:tcPr>
          <w:p w14:paraId="35632C6E">
            <w:pPr>
              <w:pStyle w:val="6"/>
              <w:spacing w:before="80" w:line="165" w:lineRule="auto"/>
              <w:ind w:left="169"/>
            </w:pPr>
            <w:r>
              <w:rPr>
                <w:b/>
                <w:bCs/>
                <w:spacing w:val="-2"/>
              </w:rPr>
              <w:t>0.43</w:t>
            </w:r>
          </w:p>
        </w:tc>
        <w:tc>
          <w:tcPr>
            <w:tcW w:w="690" w:type="dxa"/>
            <w:vAlign w:val="top"/>
          </w:tcPr>
          <w:p w14:paraId="6568C5CD">
            <w:pPr>
              <w:pStyle w:val="6"/>
              <w:spacing w:before="75" w:line="170" w:lineRule="auto"/>
              <w:ind w:left="186"/>
            </w:pPr>
            <w:r>
              <w:rPr>
                <w:spacing w:val="-6"/>
              </w:rPr>
              <w:t>1.57</w:t>
            </w:r>
          </w:p>
        </w:tc>
        <w:tc>
          <w:tcPr>
            <w:tcW w:w="693" w:type="dxa"/>
            <w:vAlign w:val="top"/>
          </w:tcPr>
          <w:p w14:paraId="61989BFB">
            <w:pPr>
              <w:pStyle w:val="6"/>
              <w:spacing w:before="75" w:line="170" w:lineRule="auto"/>
              <w:ind w:left="190"/>
            </w:pPr>
            <w:r>
              <w:rPr>
                <w:spacing w:val="-6"/>
              </w:rPr>
              <w:t>1.44</w:t>
            </w:r>
          </w:p>
        </w:tc>
        <w:tc>
          <w:tcPr>
            <w:tcW w:w="690" w:type="dxa"/>
            <w:vAlign w:val="top"/>
          </w:tcPr>
          <w:p w14:paraId="6AF3A79D">
            <w:pPr>
              <w:pStyle w:val="6"/>
              <w:spacing w:before="75" w:line="170" w:lineRule="auto"/>
              <w:ind w:left="41"/>
            </w:pPr>
            <w:r>
              <w:rPr>
                <w:spacing w:val="-2"/>
              </w:rPr>
              <w:t>320000</w:t>
            </w:r>
          </w:p>
        </w:tc>
        <w:tc>
          <w:tcPr>
            <w:tcW w:w="691" w:type="dxa"/>
            <w:vAlign w:val="top"/>
          </w:tcPr>
          <w:p w14:paraId="351649B8">
            <w:pPr>
              <w:pStyle w:val="6"/>
              <w:spacing w:before="80" w:line="165" w:lineRule="auto"/>
              <w:ind w:left="40"/>
            </w:pPr>
            <w:r>
              <w:rPr>
                <w:b/>
                <w:bCs/>
                <w:spacing w:val="-1"/>
              </w:rPr>
              <w:t>270000</w:t>
            </w:r>
          </w:p>
        </w:tc>
        <w:tc>
          <w:tcPr>
            <w:tcW w:w="691" w:type="dxa"/>
            <w:vAlign w:val="top"/>
          </w:tcPr>
          <w:p w14:paraId="7371FB4F">
            <w:pPr>
              <w:pStyle w:val="6"/>
              <w:spacing w:before="75" w:line="170" w:lineRule="auto"/>
              <w:ind w:left="177"/>
            </w:pPr>
            <w:r>
              <w:rPr>
                <w:spacing w:val="-2"/>
              </w:rPr>
              <w:t>7.06</w:t>
            </w:r>
          </w:p>
        </w:tc>
        <w:tc>
          <w:tcPr>
            <w:tcW w:w="704" w:type="dxa"/>
            <w:tcBorders>
              <w:right w:val="single" w:color="000000" w:sz="12" w:space="0"/>
            </w:tcBorders>
            <w:vAlign w:val="top"/>
          </w:tcPr>
          <w:p w14:paraId="036F5FA3">
            <w:pPr>
              <w:pStyle w:val="6"/>
              <w:spacing w:before="80" w:line="165" w:lineRule="auto"/>
              <w:ind w:left="176"/>
            </w:pPr>
            <w:r>
              <w:rPr>
                <w:b/>
                <w:bCs/>
                <w:spacing w:val="-2"/>
              </w:rPr>
              <w:t>5.18</w:t>
            </w:r>
          </w:p>
        </w:tc>
      </w:tr>
      <w:tr w14:paraId="75086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029D589E">
            <w:pPr>
              <w:rPr>
                <w:rFonts w:ascii="Arial"/>
                <w:sz w:val="21"/>
              </w:rPr>
            </w:pPr>
          </w:p>
        </w:tc>
        <w:tc>
          <w:tcPr>
            <w:tcW w:w="283" w:type="dxa"/>
            <w:vMerge w:val="continue"/>
            <w:tcBorders>
              <w:top w:val="nil"/>
              <w:bottom w:val="nil"/>
            </w:tcBorders>
            <w:vAlign w:val="top"/>
          </w:tcPr>
          <w:p w14:paraId="15D7627D">
            <w:pPr>
              <w:rPr>
                <w:rFonts w:ascii="Arial"/>
                <w:sz w:val="21"/>
              </w:rPr>
            </w:pPr>
          </w:p>
        </w:tc>
        <w:tc>
          <w:tcPr>
            <w:tcW w:w="1208" w:type="dxa"/>
            <w:vAlign w:val="top"/>
          </w:tcPr>
          <w:p w14:paraId="002E7524">
            <w:pPr>
              <w:pStyle w:val="6"/>
              <w:spacing w:before="77" w:line="169" w:lineRule="auto"/>
              <w:ind w:left="165"/>
            </w:pPr>
            <w:r>
              <w:rPr>
                <w:spacing w:val="-1"/>
              </w:rPr>
              <w:t>2019/8/07</w:t>
            </w:r>
          </w:p>
        </w:tc>
        <w:tc>
          <w:tcPr>
            <w:tcW w:w="691" w:type="dxa"/>
            <w:vAlign w:val="top"/>
          </w:tcPr>
          <w:p w14:paraId="4448B125">
            <w:pPr>
              <w:pStyle w:val="6"/>
              <w:spacing w:before="77" w:line="169" w:lineRule="auto"/>
              <w:ind w:left="198"/>
            </w:pPr>
            <w:r>
              <w:rPr>
                <w:spacing w:val="-6"/>
              </w:rPr>
              <w:t>170</w:t>
            </w:r>
          </w:p>
        </w:tc>
        <w:tc>
          <w:tcPr>
            <w:tcW w:w="691" w:type="dxa"/>
            <w:vAlign w:val="top"/>
          </w:tcPr>
          <w:p w14:paraId="78CF9AD1">
            <w:pPr>
              <w:pStyle w:val="6"/>
              <w:spacing w:before="81" w:line="165" w:lineRule="auto"/>
              <w:ind w:left="188"/>
            </w:pPr>
            <w:r>
              <w:rPr>
                <w:b/>
                <w:bCs/>
                <w:spacing w:val="-4"/>
              </w:rPr>
              <w:t>108</w:t>
            </w:r>
          </w:p>
        </w:tc>
        <w:tc>
          <w:tcPr>
            <w:tcW w:w="689" w:type="dxa"/>
            <w:vAlign w:val="top"/>
          </w:tcPr>
          <w:p w14:paraId="5A01A584">
            <w:pPr>
              <w:pStyle w:val="6"/>
              <w:spacing w:before="77" w:line="169" w:lineRule="auto"/>
              <w:ind w:left="183"/>
            </w:pPr>
            <w:r>
              <w:rPr>
                <w:spacing w:val="-2"/>
              </w:rPr>
              <w:t>390</w:t>
            </w:r>
          </w:p>
        </w:tc>
        <w:tc>
          <w:tcPr>
            <w:tcW w:w="691" w:type="dxa"/>
            <w:vAlign w:val="top"/>
          </w:tcPr>
          <w:p w14:paraId="00454719">
            <w:pPr>
              <w:pStyle w:val="6"/>
              <w:spacing w:before="81" w:line="165" w:lineRule="auto"/>
              <w:ind w:left="183"/>
            </w:pPr>
            <w:r>
              <w:rPr>
                <w:b/>
                <w:bCs/>
                <w:spacing w:val="-2"/>
              </w:rPr>
              <w:t>236</w:t>
            </w:r>
          </w:p>
        </w:tc>
        <w:tc>
          <w:tcPr>
            <w:tcW w:w="691" w:type="dxa"/>
            <w:vAlign w:val="top"/>
          </w:tcPr>
          <w:p w14:paraId="52B06505">
            <w:pPr>
              <w:pStyle w:val="6"/>
              <w:spacing w:before="77" w:line="169" w:lineRule="auto"/>
              <w:ind w:left="184"/>
            </w:pPr>
            <w:r>
              <w:rPr>
                <w:spacing w:val="-1"/>
              </w:rPr>
              <w:t>219</w:t>
            </w:r>
          </w:p>
        </w:tc>
        <w:tc>
          <w:tcPr>
            <w:tcW w:w="692" w:type="dxa"/>
            <w:vAlign w:val="top"/>
          </w:tcPr>
          <w:p w14:paraId="0BD59832">
            <w:pPr>
              <w:pStyle w:val="6"/>
              <w:spacing w:before="77" w:line="169" w:lineRule="auto"/>
              <w:ind w:left="243"/>
            </w:pPr>
            <w:r>
              <w:rPr>
                <w:spacing w:val="-3"/>
              </w:rPr>
              <w:t>51</w:t>
            </w:r>
          </w:p>
        </w:tc>
        <w:tc>
          <w:tcPr>
            <w:tcW w:w="691" w:type="dxa"/>
            <w:vAlign w:val="top"/>
          </w:tcPr>
          <w:p w14:paraId="78C6A6DD">
            <w:pPr>
              <w:pStyle w:val="6"/>
              <w:spacing w:before="77" w:line="169" w:lineRule="auto"/>
              <w:ind w:left="181"/>
            </w:pPr>
            <w:r>
              <w:rPr>
                <w:spacing w:val="-6"/>
              </w:rPr>
              <w:t>11.0</w:t>
            </w:r>
          </w:p>
        </w:tc>
        <w:tc>
          <w:tcPr>
            <w:tcW w:w="689" w:type="dxa"/>
            <w:vAlign w:val="top"/>
          </w:tcPr>
          <w:p w14:paraId="0C0AA955">
            <w:pPr>
              <w:pStyle w:val="6"/>
              <w:spacing w:before="77" w:line="169" w:lineRule="auto"/>
              <w:ind w:left="165"/>
            </w:pPr>
            <w:r>
              <w:rPr>
                <w:spacing w:val="-2"/>
              </w:rPr>
              <w:t>9.97</w:t>
            </w:r>
          </w:p>
        </w:tc>
        <w:tc>
          <w:tcPr>
            <w:tcW w:w="691" w:type="dxa"/>
            <w:vAlign w:val="top"/>
          </w:tcPr>
          <w:p w14:paraId="05C4A23C">
            <w:pPr>
              <w:pStyle w:val="6"/>
              <w:spacing w:before="77" w:line="169" w:lineRule="auto"/>
              <w:ind w:left="185"/>
            </w:pPr>
            <w:r>
              <w:rPr>
                <w:spacing w:val="-6"/>
              </w:rPr>
              <w:t>1.22</w:t>
            </w:r>
          </w:p>
        </w:tc>
        <w:tc>
          <w:tcPr>
            <w:tcW w:w="691" w:type="dxa"/>
            <w:vAlign w:val="top"/>
          </w:tcPr>
          <w:p w14:paraId="4FA5C343">
            <w:pPr>
              <w:pStyle w:val="6"/>
              <w:spacing w:before="81" w:line="165" w:lineRule="auto"/>
              <w:ind w:left="169"/>
            </w:pPr>
            <w:r>
              <w:rPr>
                <w:b/>
                <w:bCs/>
                <w:spacing w:val="-2"/>
              </w:rPr>
              <w:t>0.44</w:t>
            </w:r>
          </w:p>
        </w:tc>
        <w:tc>
          <w:tcPr>
            <w:tcW w:w="690" w:type="dxa"/>
            <w:vAlign w:val="top"/>
          </w:tcPr>
          <w:p w14:paraId="130B15B3">
            <w:pPr>
              <w:pStyle w:val="6"/>
              <w:spacing w:before="77" w:line="169" w:lineRule="auto"/>
              <w:ind w:left="186"/>
            </w:pPr>
            <w:r>
              <w:rPr>
                <w:spacing w:val="-6"/>
              </w:rPr>
              <w:t>1.54</w:t>
            </w:r>
          </w:p>
        </w:tc>
        <w:tc>
          <w:tcPr>
            <w:tcW w:w="693" w:type="dxa"/>
            <w:vAlign w:val="top"/>
          </w:tcPr>
          <w:p w14:paraId="69B59179">
            <w:pPr>
              <w:pStyle w:val="6"/>
              <w:spacing w:before="77" w:line="169" w:lineRule="auto"/>
              <w:ind w:left="190"/>
            </w:pPr>
            <w:r>
              <w:rPr>
                <w:spacing w:val="-6"/>
              </w:rPr>
              <w:t>1.45</w:t>
            </w:r>
          </w:p>
        </w:tc>
        <w:tc>
          <w:tcPr>
            <w:tcW w:w="690" w:type="dxa"/>
            <w:vAlign w:val="top"/>
          </w:tcPr>
          <w:p w14:paraId="157794A9">
            <w:pPr>
              <w:pStyle w:val="6"/>
              <w:spacing w:before="77" w:line="169" w:lineRule="auto"/>
              <w:ind w:left="41"/>
            </w:pPr>
            <w:r>
              <w:rPr>
                <w:spacing w:val="-2"/>
              </w:rPr>
              <w:t>300000</w:t>
            </w:r>
          </w:p>
        </w:tc>
        <w:tc>
          <w:tcPr>
            <w:tcW w:w="691" w:type="dxa"/>
            <w:vAlign w:val="top"/>
          </w:tcPr>
          <w:p w14:paraId="0DA3FCEE">
            <w:pPr>
              <w:pStyle w:val="6"/>
              <w:spacing w:before="81" w:line="165" w:lineRule="auto"/>
              <w:ind w:left="40"/>
            </w:pPr>
            <w:r>
              <w:rPr>
                <w:b/>
                <w:bCs/>
                <w:spacing w:val="-1"/>
              </w:rPr>
              <w:t>240000</w:t>
            </w:r>
          </w:p>
        </w:tc>
        <w:tc>
          <w:tcPr>
            <w:tcW w:w="691" w:type="dxa"/>
            <w:vAlign w:val="top"/>
          </w:tcPr>
          <w:p w14:paraId="6407F1BB">
            <w:pPr>
              <w:pStyle w:val="6"/>
              <w:spacing w:before="77" w:line="169" w:lineRule="auto"/>
              <w:ind w:left="177"/>
            </w:pPr>
            <w:r>
              <w:rPr>
                <w:spacing w:val="-2"/>
              </w:rPr>
              <w:t>7.04</w:t>
            </w:r>
          </w:p>
        </w:tc>
        <w:tc>
          <w:tcPr>
            <w:tcW w:w="704" w:type="dxa"/>
            <w:tcBorders>
              <w:right w:val="single" w:color="000000" w:sz="12" w:space="0"/>
            </w:tcBorders>
            <w:vAlign w:val="top"/>
          </w:tcPr>
          <w:p w14:paraId="4406B7AA">
            <w:pPr>
              <w:pStyle w:val="6"/>
              <w:spacing w:before="81" w:line="165" w:lineRule="auto"/>
              <w:ind w:left="176"/>
            </w:pPr>
            <w:r>
              <w:rPr>
                <w:b/>
                <w:bCs/>
                <w:spacing w:val="-2"/>
              </w:rPr>
              <w:t>5.22</w:t>
            </w:r>
          </w:p>
        </w:tc>
      </w:tr>
      <w:tr w14:paraId="11628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bottom w:val="nil"/>
            </w:tcBorders>
            <w:vAlign w:val="top"/>
          </w:tcPr>
          <w:p w14:paraId="17CDAB40">
            <w:pPr>
              <w:rPr>
                <w:rFonts w:ascii="Arial"/>
                <w:sz w:val="21"/>
              </w:rPr>
            </w:pPr>
          </w:p>
        </w:tc>
        <w:tc>
          <w:tcPr>
            <w:tcW w:w="283" w:type="dxa"/>
            <w:vMerge w:val="continue"/>
            <w:tcBorders>
              <w:top w:val="nil"/>
            </w:tcBorders>
            <w:vAlign w:val="top"/>
          </w:tcPr>
          <w:p w14:paraId="2DCE9E10">
            <w:pPr>
              <w:rPr>
                <w:rFonts w:ascii="Arial"/>
                <w:sz w:val="21"/>
              </w:rPr>
            </w:pPr>
          </w:p>
        </w:tc>
        <w:tc>
          <w:tcPr>
            <w:tcW w:w="1208" w:type="dxa"/>
            <w:vAlign w:val="top"/>
          </w:tcPr>
          <w:p w14:paraId="775ED7F2">
            <w:pPr>
              <w:pStyle w:val="6"/>
              <w:spacing w:before="81" w:line="172" w:lineRule="auto"/>
              <w:ind w:left="165"/>
            </w:pPr>
            <w:r>
              <w:rPr>
                <w:spacing w:val="-1"/>
              </w:rPr>
              <w:t>2019/8/08</w:t>
            </w:r>
          </w:p>
        </w:tc>
        <w:tc>
          <w:tcPr>
            <w:tcW w:w="691" w:type="dxa"/>
            <w:vAlign w:val="top"/>
          </w:tcPr>
          <w:p w14:paraId="288E59B4">
            <w:pPr>
              <w:pStyle w:val="6"/>
              <w:spacing w:before="81" w:line="172" w:lineRule="auto"/>
              <w:ind w:left="198"/>
            </w:pPr>
            <w:r>
              <w:rPr>
                <w:spacing w:val="-6"/>
              </w:rPr>
              <w:t>165</w:t>
            </w:r>
          </w:p>
        </w:tc>
        <w:tc>
          <w:tcPr>
            <w:tcW w:w="691" w:type="dxa"/>
            <w:vAlign w:val="top"/>
          </w:tcPr>
          <w:p w14:paraId="2D7420D5">
            <w:pPr>
              <w:pStyle w:val="6"/>
              <w:spacing w:before="86" w:line="167" w:lineRule="auto"/>
              <w:ind w:left="188"/>
            </w:pPr>
            <w:r>
              <w:rPr>
                <w:b/>
                <w:bCs/>
                <w:spacing w:val="-4"/>
              </w:rPr>
              <w:t>116</w:t>
            </w:r>
          </w:p>
        </w:tc>
        <w:tc>
          <w:tcPr>
            <w:tcW w:w="689" w:type="dxa"/>
            <w:vAlign w:val="top"/>
          </w:tcPr>
          <w:p w14:paraId="28473FF9">
            <w:pPr>
              <w:pStyle w:val="6"/>
              <w:spacing w:before="81" w:line="172" w:lineRule="auto"/>
              <w:ind w:left="183"/>
            </w:pPr>
            <w:r>
              <w:rPr>
                <w:spacing w:val="-2"/>
              </w:rPr>
              <w:t>380</w:t>
            </w:r>
          </w:p>
        </w:tc>
        <w:tc>
          <w:tcPr>
            <w:tcW w:w="691" w:type="dxa"/>
            <w:vAlign w:val="top"/>
          </w:tcPr>
          <w:p w14:paraId="453DB3FD">
            <w:pPr>
              <w:pStyle w:val="6"/>
              <w:spacing w:before="86" w:line="167" w:lineRule="auto"/>
              <w:ind w:left="183"/>
            </w:pPr>
            <w:r>
              <w:rPr>
                <w:b/>
                <w:bCs/>
                <w:spacing w:val="-2"/>
              </w:rPr>
              <w:t>260</w:t>
            </w:r>
          </w:p>
        </w:tc>
        <w:tc>
          <w:tcPr>
            <w:tcW w:w="691" w:type="dxa"/>
            <w:vAlign w:val="top"/>
          </w:tcPr>
          <w:p w14:paraId="7D8C1FAC">
            <w:pPr>
              <w:pStyle w:val="6"/>
              <w:spacing w:before="81" w:line="172" w:lineRule="auto"/>
              <w:ind w:left="184"/>
            </w:pPr>
            <w:r>
              <w:rPr>
                <w:spacing w:val="-1"/>
              </w:rPr>
              <w:t>222</w:t>
            </w:r>
          </w:p>
        </w:tc>
        <w:tc>
          <w:tcPr>
            <w:tcW w:w="692" w:type="dxa"/>
            <w:vAlign w:val="top"/>
          </w:tcPr>
          <w:p w14:paraId="51E16437">
            <w:pPr>
              <w:pStyle w:val="6"/>
              <w:spacing w:before="81" w:line="172" w:lineRule="auto"/>
              <w:ind w:left="243"/>
            </w:pPr>
            <w:r>
              <w:rPr>
                <w:spacing w:val="-3"/>
              </w:rPr>
              <w:t>55</w:t>
            </w:r>
          </w:p>
        </w:tc>
        <w:tc>
          <w:tcPr>
            <w:tcW w:w="691" w:type="dxa"/>
            <w:vAlign w:val="top"/>
          </w:tcPr>
          <w:p w14:paraId="609496D7">
            <w:pPr>
              <w:pStyle w:val="6"/>
              <w:spacing w:before="81" w:line="172" w:lineRule="auto"/>
              <w:ind w:left="181"/>
            </w:pPr>
            <w:r>
              <w:rPr>
                <w:spacing w:val="-6"/>
              </w:rPr>
              <w:t>10.9</w:t>
            </w:r>
          </w:p>
        </w:tc>
        <w:tc>
          <w:tcPr>
            <w:tcW w:w="689" w:type="dxa"/>
            <w:vAlign w:val="top"/>
          </w:tcPr>
          <w:p w14:paraId="48DC889C">
            <w:pPr>
              <w:pStyle w:val="6"/>
              <w:spacing w:before="81" w:line="172" w:lineRule="auto"/>
              <w:ind w:left="165"/>
            </w:pPr>
            <w:r>
              <w:rPr>
                <w:spacing w:val="-2"/>
              </w:rPr>
              <w:t>9.76</w:t>
            </w:r>
          </w:p>
        </w:tc>
        <w:tc>
          <w:tcPr>
            <w:tcW w:w="691" w:type="dxa"/>
            <w:vAlign w:val="top"/>
          </w:tcPr>
          <w:p w14:paraId="782EB31D">
            <w:pPr>
              <w:pStyle w:val="6"/>
              <w:spacing w:before="81" w:line="172" w:lineRule="auto"/>
              <w:ind w:left="185"/>
            </w:pPr>
            <w:r>
              <w:rPr>
                <w:spacing w:val="-6"/>
              </w:rPr>
              <w:t>1.21</w:t>
            </w:r>
          </w:p>
        </w:tc>
        <w:tc>
          <w:tcPr>
            <w:tcW w:w="691" w:type="dxa"/>
            <w:vAlign w:val="top"/>
          </w:tcPr>
          <w:p w14:paraId="03E78E4B">
            <w:pPr>
              <w:pStyle w:val="6"/>
              <w:spacing w:before="86" w:line="167" w:lineRule="auto"/>
              <w:ind w:left="169"/>
            </w:pPr>
            <w:r>
              <w:rPr>
                <w:b/>
                <w:bCs/>
                <w:spacing w:val="-2"/>
              </w:rPr>
              <w:t>0.42</w:t>
            </w:r>
          </w:p>
        </w:tc>
        <w:tc>
          <w:tcPr>
            <w:tcW w:w="690" w:type="dxa"/>
            <w:vAlign w:val="top"/>
          </w:tcPr>
          <w:p w14:paraId="21573C73">
            <w:pPr>
              <w:pStyle w:val="6"/>
              <w:spacing w:before="81" w:line="172" w:lineRule="auto"/>
              <w:ind w:left="186"/>
            </w:pPr>
            <w:r>
              <w:rPr>
                <w:spacing w:val="-6"/>
              </w:rPr>
              <w:t>1.53</w:t>
            </w:r>
          </w:p>
        </w:tc>
        <w:tc>
          <w:tcPr>
            <w:tcW w:w="693" w:type="dxa"/>
            <w:vAlign w:val="top"/>
          </w:tcPr>
          <w:p w14:paraId="5669A8F6">
            <w:pPr>
              <w:pStyle w:val="6"/>
              <w:spacing w:before="81" w:line="172" w:lineRule="auto"/>
              <w:ind w:left="190"/>
            </w:pPr>
            <w:r>
              <w:rPr>
                <w:spacing w:val="-6"/>
              </w:rPr>
              <w:t>1.47</w:t>
            </w:r>
          </w:p>
        </w:tc>
        <w:tc>
          <w:tcPr>
            <w:tcW w:w="690" w:type="dxa"/>
            <w:vAlign w:val="top"/>
          </w:tcPr>
          <w:p w14:paraId="1F031ABA">
            <w:pPr>
              <w:pStyle w:val="6"/>
              <w:spacing w:before="81" w:line="172" w:lineRule="auto"/>
              <w:ind w:left="41"/>
            </w:pPr>
            <w:r>
              <w:rPr>
                <w:spacing w:val="-2"/>
              </w:rPr>
              <w:t>310000</w:t>
            </w:r>
          </w:p>
        </w:tc>
        <w:tc>
          <w:tcPr>
            <w:tcW w:w="691" w:type="dxa"/>
            <w:vAlign w:val="top"/>
          </w:tcPr>
          <w:p w14:paraId="3A947F2F">
            <w:pPr>
              <w:pStyle w:val="6"/>
              <w:spacing w:before="86" w:line="167" w:lineRule="auto"/>
              <w:ind w:left="40"/>
            </w:pPr>
            <w:r>
              <w:rPr>
                <w:b/>
                <w:bCs/>
                <w:spacing w:val="-1"/>
              </w:rPr>
              <w:t>250000</w:t>
            </w:r>
          </w:p>
        </w:tc>
        <w:tc>
          <w:tcPr>
            <w:tcW w:w="691" w:type="dxa"/>
            <w:vAlign w:val="top"/>
          </w:tcPr>
          <w:p w14:paraId="27993BEF">
            <w:pPr>
              <w:pStyle w:val="6"/>
              <w:spacing w:before="81" w:line="172" w:lineRule="auto"/>
              <w:ind w:left="177"/>
            </w:pPr>
            <w:r>
              <w:rPr>
                <w:spacing w:val="-2"/>
              </w:rPr>
              <w:t>7.08</w:t>
            </w:r>
          </w:p>
        </w:tc>
        <w:tc>
          <w:tcPr>
            <w:tcW w:w="704" w:type="dxa"/>
            <w:tcBorders>
              <w:right w:val="single" w:color="000000" w:sz="12" w:space="0"/>
            </w:tcBorders>
            <w:vAlign w:val="top"/>
          </w:tcPr>
          <w:p w14:paraId="7E6C633C">
            <w:pPr>
              <w:pStyle w:val="6"/>
              <w:spacing w:before="86" w:line="167" w:lineRule="auto"/>
              <w:ind w:left="176"/>
            </w:pPr>
            <w:r>
              <w:rPr>
                <w:b/>
                <w:bCs/>
                <w:spacing w:val="-2"/>
              </w:rPr>
              <w:t>5.14</w:t>
            </w:r>
          </w:p>
        </w:tc>
      </w:tr>
      <w:tr w14:paraId="3DA17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4FAA2212">
            <w:pPr>
              <w:rPr>
                <w:rFonts w:ascii="Arial"/>
                <w:sz w:val="21"/>
              </w:rPr>
            </w:pPr>
          </w:p>
        </w:tc>
        <w:tc>
          <w:tcPr>
            <w:tcW w:w="283" w:type="dxa"/>
            <w:vMerge w:val="restart"/>
            <w:tcBorders>
              <w:bottom w:val="nil"/>
            </w:tcBorders>
            <w:vAlign w:val="top"/>
          </w:tcPr>
          <w:p w14:paraId="0F44C950">
            <w:pPr>
              <w:pStyle w:val="6"/>
              <w:spacing w:before="249" w:line="230" w:lineRule="auto"/>
              <w:ind w:left="25" w:right="45" w:firstLine="49"/>
              <w:jc w:val="both"/>
              <w:rPr>
                <w:rFonts w:ascii="宋体" w:hAnsi="宋体" w:eastAsia="宋体" w:cs="宋体"/>
              </w:rPr>
            </w:pPr>
            <w:r>
              <w:rPr>
                <w:spacing w:val="-4"/>
              </w:rPr>
              <w:t>4</w:t>
            </w:r>
            <w:r>
              <w:rPr>
                <w:rFonts w:ascii="宋体" w:hAnsi="宋体" w:eastAsia="宋体" w:cs="宋体"/>
                <w:spacing w:val="-8"/>
              </w:rPr>
              <w:t>季度</w:t>
            </w:r>
          </w:p>
        </w:tc>
        <w:tc>
          <w:tcPr>
            <w:tcW w:w="1208" w:type="dxa"/>
            <w:vAlign w:val="top"/>
          </w:tcPr>
          <w:p w14:paraId="5A389394">
            <w:pPr>
              <w:pStyle w:val="6"/>
              <w:spacing w:before="79" w:line="167" w:lineRule="auto"/>
              <w:ind w:left="165"/>
            </w:pPr>
            <w:r>
              <w:rPr>
                <w:spacing w:val="-1"/>
              </w:rPr>
              <w:t>2019/11/9</w:t>
            </w:r>
          </w:p>
        </w:tc>
        <w:tc>
          <w:tcPr>
            <w:tcW w:w="691" w:type="dxa"/>
            <w:vAlign w:val="top"/>
          </w:tcPr>
          <w:p w14:paraId="2BFE500C">
            <w:pPr>
              <w:pStyle w:val="6"/>
              <w:spacing w:before="79" w:line="167" w:lineRule="auto"/>
              <w:ind w:left="150"/>
            </w:pPr>
            <w:r>
              <w:rPr>
                <w:spacing w:val="-1"/>
              </w:rPr>
              <w:t>49.6</w:t>
            </w:r>
          </w:p>
        </w:tc>
        <w:tc>
          <w:tcPr>
            <w:tcW w:w="691" w:type="dxa"/>
            <w:vAlign w:val="top"/>
          </w:tcPr>
          <w:p w14:paraId="42CAB8C0">
            <w:pPr>
              <w:pStyle w:val="6"/>
              <w:spacing w:before="83" w:line="163" w:lineRule="auto"/>
              <w:ind w:left="151"/>
            </w:pPr>
            <w:r>
              <w:rPr>
                <w:b/>
                <w:bCs/>
                <w:spacing w:val="-1"/>
              </w:rPr>
              <w:t>35.0</w:t>
            </w:r>
          </w:p>
        </w:tc>
        <w:tc>
          <w:tcPr>
            <w:tcW w:w="689" w:type="dxa"/>
            <w:vAlign w:val="top"/>
          </w:tcPr>
          <w:p w14:paraId="1D648ECB">
            <w:pPr>
              <w:pStyle w:val="6"/>
              <w:spacing w:before="79" w:line="167" w:lineRule="auto"/>
              <w:ind w:left="199"/>
            </w:pPr>
            <w:r>
              <w:rPr>
                <w:spacing w:val="-6"/>
              </w:rPr>
              <w:t>150</w:t>
            </w:r>
          </w:p>
        </w:tc>
        <w:tc>
          <w:tcPr>
            <w:tcW w:w="691" w:type="dxa"/>
            <w:vAlign w:val="top"/>
          </w:tcPr>
          <w:p w14:paraId="5EF67EED">
            <w:pPr>
              <w:pStyle w:val="6"/>
              <w:spacing w:before="83" w:line="163" w:lineRule="auto"/>
              <w:ind w:left="192"/>
            </w:pPr>
            <w:r>
              <w:rPr>
                <w:b/>
                <w:bCs/>
                <w:spacing w:val="-4"/>
              </w:rPr>
              <w:t>106</w:t>
            </w:r>
          </w:p>
        </w:tc>
        <w:tc>
          <w:tcPr>
            <w:tcW w:w="691" w:type="dxa"/>
            <w:vAlign w:val="top"/>
          </w:tcPr>
          <w:p w14:paraId="4846DA00">
            <w:pPr>
              <w:pStyle w:val="6"/>
              <w:spacing w:before="79" w:line="167" w:lineRule="auto"/>
              <w:ind w:left="236"/>
            </w:pPr>
            <w:r>
              <w:rPr>
                <w:spacing w:val="-1"/>
              </w:rPr>
              <w:t>29</w:t>
            </w:r>
          </w:p>
        </w:tc>
        <w:tc>
          <w:tcPr>
            <w:tcW w:w="692" w:type="dxa"/>
            <w:vAlign w:val="top"/>
          </w:tcPr>
          <w:p w14:paraId="4A4D1C19">
            <w:pPr>
              <w:pStyle w:val="6"/>
              <w:spacing w:before="79" w:line="167" w:lineRule="auto"/>
              <w:ind w:left="237"/>
            </w:pPr>
            <w:r>
              <w:rPr>
                <w:spacing w:val="-1"/>
              </w:rPr>
              <w:t>24</w:t>
            </w:r>
          </w:p>
        </w:tc>
        <w:tc>
          <w:tcPr>
            <w:tcW w:w="691" w:type="dxa"/>
            <w:vAlign w:val="top"/>
          </w:tcPr>
          <w:p w14:paraId="6F9CEC00">
            <w:pPr>
              <w:pStyle w:val="6"/>
              <w:spacing w:before="79" w:line="167" w:lineRule="auto"/>
              <w:ind w:left="167"/>
            </w:pPr>
            <w:r>
              <w:rPr>
                <w:spacing w:val="-3"/>
              </w:rPr>
              <w:t>5.66</w:t>
            </w:r>
          </w:p>
        </w:tc>
        <w:tc>
          <w:tcPr>
            <w:tcW w:w="689" w:type="dxa"/>
            <w:vAlign w:val="top"/>
          </w:tcPr>
          <w:p w14:paraId="21708221">
            <w:pPr>
              <w:pStyle w:val="6"/>
              <w:spacing w:before="79" w:line="167" w:lineRule="auto"/>
              <w:ind w:left="160"/>
            </w:pPr>
            <w:r>
              <w:rPr>
                <w:spacing w:val="-1"/>
              </w:rPr>
              <w:t>4.75</w:t>
            </w:r>
          </w:p>
        </w:tc>
        <w:tc>
          <w:tcPr>
            <w:tcW w:w="691" w:type="dxa"/>
            <w:vAlign w:val="top"/>
          </w:tcPr>
          <w:p w14:paraId="7D1704DE">
            <w:pPr>
              <w:pStyle w:val="6"/>
              <w:spacing w:before="79" w:line="167" w:lineRule="auto"/>
              <w:ind w:left="168"/>
            </w:pPr>
            <w:r>
              <w:rPr>
                <w:spacing w:val="-2"/>
              </w:rPr>
              <w:t>0.94</w:t>
            </w:r>
          </w:p>
        </w:tc>
        <w:tc>
          <w:tcPr>
            <w:tcW w:w="691" w:type="dxa"/>
            <w:vAlign w:val="top"/>
          </w:tcPr>
          <w:p w14:paraId="7AF57D4C">
            <w:pPr>
              <w:pStyle w:val="6"/>
              <w:spacing w:before="83" w:line="163" w:lineRule="auto"/>
              <w:ind w:left="169"/>
            </w:pPr>
            <w:r>
              <w:rPr>
                <w:b/>
                <w:bCs/>
                <w:spacing w:val="-2"/>
              </w:rPr>
              <w:t>0.55</w:t>
            </w:r>
          </w:p>
        </w:tc>
        <w:tc>
          <w:tcPr>
            <w:tcW w:w="690" w:type="dxa"/>
            <w:vAlign w:val="top"/>
          </w:tcPr>
          <w:p w14:paraId="648A68D1">
            <w:pPr>
              <w:pStyle w:val="6"/>
              <w:spacing w:before="79" w:line="167" w:lineRule="auto"/>
              <w:ind w:left="169"/>
            </w:pPr>
            <w:r>
              <w:rPr>
                <w:spacing w:val="-2"/>
              </w:rPr>
              <w:t>7.11</w:t>
            </w:r>
          </w:p>
        </w:tc>
        <w:tc>
          <w:tcPr>
            <w:tcW w:w="693" w:type="dxa"/>
            <w:vAlign w:val="top"/>
          </w:tcPr>
          <w:p w14:paraId="6B478019">
            <w:pPr>
              <w:pStyle w:val="6"/>
              <w:spacing w:before="79" w:line="167" w:lineRule="auto"/>
              <w:ind w:left="174"/>
            </w:pPr>
            <w:r>
              <w:rPr>
                <w:spacing w:val="-3"/>
              </w:rPr>
              <w:t>6.30</w:t>
            </w:r>
          </w:p>
        </w:tc>
        <w:tc>
          <w:tcPr>
            <w:tcW w:w="690" w:type="dxa"/>
            <w:vAlign w:val="top"/>
          </w:tcPr>
          <w:p w14:paraId="21364644">
            <w:pPr>
              <w:pStyle w:val="6"/>
              <w:spacing w:before="79" w:line="167" w:lineRule="auto"/>
              <w:ind w:left="37"/>
            </w:pPr>
            <w:r>
              <w:rPr>
                <w:spacing w:val="-1"/>
              </w:rPr>
              <w:t>280000</w:t>
            </w:r>
          </w:p>
        </w:tc>
        <w:tc>
          <w:tcPr>
            <w:tcW w:w="691" w:type="dxa"/>
            <w:vAlign w:val="top"/>
          </w:tcPr>
          <w:p w14:paraId="3608374A">
            <w:pPr>
              <w:pStyle w:val="6"/>
              <w:spacing w:before="83" w:line="163" w:lineRule="auto"/>
              <w:ind w:left="40"/>
            </w:pPr>
            <w:r>
              <w:rPr>
                <w:b/>
                <w:bCs/>
                <w:spacing w:val="-1"/>
              </w:rPr>
              <w:t>240000</w:t>
            </w:r>
          </w:p>
        </w:tc>
        <w:tc>
          <w:tcPr>
            <w:tcW w:w="691" w:type="dxa"/>
            <w:vAlign w:val="top"/>
          </w:tcPr>
          <w:p w14:paraId="08EE5ED5">
            <w:pPr>
              <w:pStyle w:val="6"/>
              <w:spacing w:before="79" w:line="167" w:lineRule="auto"/>
              <w:ind w:left="178"/>
            </w:pPr>
            <w:r>
              <w:rPr>
                <w:spacing w:val="-2"/>
              </w:rPr>
              <w:t>3.71</w:t>
            </w:r>
          </w:p>
        </w:tc>
        <w:tc>
          <w:tcPr>
            <w:tcW w:w="704" w:type="dxa"/>
            <w:tcBorders>
              <w:right w:val="single" w:color="000000" w:sz="12" w:space="0"/>
            </w:tcBorders>
            <w:vAlign w:val="top"/>
          </w:tcPr>
          <w:p w14:paraId="4C8DC089">
            <w:pPr>
              <w:pStyle w:val="6"/>
              <w:spacing w:before="79" w:line="167" w:lineRule="auto"/>
              <w:ind w:left="178"/>
            </w:pPr>
            <w:r>
              <w:rPr>
                <w:spacing w:val="-2"/>
              </w:rPr>
              <w:t>3.71</w:t>
            </w:r>
          </w:p>
        </w:tc>
      </w:tr>
      <w:tr w14:paraId="5DE58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2CFA2605">
            <w:pPr>
              <w:rPr>
                <w:rFonts w:ascii="Arial"/>
                <w:sz w:val="21"/>
              </w:rPr>
            </w:pPr>
          </w:p>
        </w:tc>
        <w:tc>
          <w:tcPr>
            <w:tcW w:w="283" w:type="dxa"/>
            <w:vMerge w:val="continue"/>
            <w:tcBorders>
              <w:top w:val="nil"/>
              <w:bottom w:val="nil"/>
            </w:tcBorders>
            <w:vAlign w:val="top"/>
          </w:tcPr>
          <w:p w14:paraId="7F8C6BB1">
            <w:pPr>
              <w:rPr>
                <w:rFonts w:ascii="Arial"/>
                <w:sz w:val="21"/>
              </w:rPr>
            </w:pPr>
          </w:p>
        </w:tc>
        <w:tc>
          <w:tcPr>
            <w:tcW w:w="1208" w:type="dxa"/>
            <w:vAlign w:val="top"/>
          </w:tcPr>
          <w:p w14:paraId="603B7CC8">
            <w:pPr>
              <w:pStyle w:val="6"/>
              <w:spacing w:before="78" w:line="168" w:lineRule="auto"/>
              <w:ind w:left="114"/>
            </w:pPr>
            <w:r>
              <w:rPr>
                <w:spacing w:val="-1"/>
              </w:rPr>
              <w:t>2019/11/10</w:t>
            </w:r>
          </w:p>
        </w:tc>
        <w:tc>
          <w:tcPr>
            <w:tcW w:w="691" w:type="dxa"/>
            <w:vAlign w:val="top"/>
          </w:tcPr>
          <w:p w14:paraId="0EC60ACE">
            <w:pPr>
              <w:pStyle w:val="6"/>
              <w:spacing w:before="78" w:line="168" w:lineRule="auto"/>
              <w:ind w:left="150"/>
            </w:pPr>
            <w:r>
              <w:rPr>
                <w:spacing w:val="-1"/>
              </w:rPr>
              <w:t>48.4</w:t>
            </w:r>
          </w:p>
        </w:tc>
        <w:tc>
          <w:tcPr>
            <w:tcW w:w="691" w:type="dxa"/>
            <w:vAlign w:val="top"/>
          </w:tcPr>
          <w:p w14:paraId="448005E6">
            <w:pPr>
              <w:pStyle w:val="6"/>
              <w:spacing w:before="83" w:line="163" w:lineRule="auto"/>
              <w:ind w:left="151"/>
            </w:pPr>
            <w:r>
              <w:rPr>
                <w:b/>
                <w:bCs/>
                <w:spacing w:val="-1"/>
              </w:rPr>
              <w:t>35.4</w:t>
            </w:r>
          </w:p>
        </w:tc>
        <w:tc>
          <w:tcPr>
            <w:tcW w:w="689" w:type="dxa"/>
            <w:vAlign w:val="top"/>
          </w:tcPr>
          <w:p w14:paraId="7D583D5D">
            <w:pPr>
              <w:pStyle w:val="6"/>
              <w:spacing w:before="78" w:line="168" w:lineRule="auto"/>
              <w:ind w:left="199"/>
            </w:pPr>
            <w:r>
              <w:rPr>
                <w:spacing w:val="-6"/>
              </w:rPr>
              <w:t>145</w:t>
            </w:r>
          </w:p>
        </w:tc>
        <w:tc>
          <w:tcPr>
            <w:tcW w:w="691" w:type="dxa"/>
            <w:vAlign w:val="top"/>
          </w:tcPr>
          <w:p w14:paraId="0E2FE5C0">
            <w:pPr>
              <w:pStyle w:val="6"/>
              <w:spacing w:before="83" w:line="163" w:lineRule="auto"/>
              <w:ind w:left="192"/>
            </w:pPr>
            <w:r>
              <w:rPr>
                <w:b/>
                <w:bCs/>
                <w:spacing w:val="-4"/>
              </w:rPr>
              <w:t>112</w:t>
            </w:r>
          </w:p>
        </w:tc>
        <w:tc>
          <w:tcPr>
            <w:tcW w:w="691" w:type="dxa"/>
            <w:vAlign w:val="top"/>
          </w:tcPr>
          <w:p w14:paraId="2F6B572A">
            <w:pPr>
              <w:pStyle w:val="6"/>
              <w:spacing w:before="78" w:line="168" w:lineRule="auto"/>
              <w:ind w:left="240"/>
            </w:pPr>
            <w:r>
              <w:rPr>
                <w:spacing w:val="-3"/>
              </w:rPr>
              <w:t>33</w:t>
            </w:r>
          </w:p>
        </w:tc>
        <w:tc>
          <w:tcPr>
            <w:tcW w:w="692" w:type="dxa"/>
            <w:vAlign w:val="top"/>
          </w:tcPr>
          <w:p w14:paraId="17D157D7">
            <w:pPr>
              <w:pStyle w:val="6"/>
              <w:spacing w:before="78" w:line="168" w:lineRule="auto"/>
              <w:ind w:left="237"/>
            </w:pPr>
            <w:r>
              <w:rPr>
                <w:spacing w:val="-1"/>
              </w:rPr>
              <w:t>25</w:t>
            </w:r>
          </w:p>
        </w:tc>
        <w:tc>
          <w:tcPr>
            <w:tcW w:w="691" w:type="dxa"/>
            <w:vAlign w:val="top"/>
          </w:tcPr>
          <w:p w14:paraId="74A6F5B8">
            <w:pPr>
              <w:pStyle w:val="6"/>
              <w:spacing w:before="78" w:line="168" w:lineRule="auto"/>
              <w:ind w:left="167"/>
            </w:pPr>
            <w:r>
              <w:rPr>
                <w:spacing w:val="-3"/>
              </w:rPr>
              <w:t>5.22</w:t>
            </w:r>
          </w:p>
        </w:tc>
        <w:tc>
          <w:tcPr>
            <w:tcW w:w="689" w:type="dxa"/>
            <w:vAlign w:val="top"/>
          </w:tcPr>
          <w:p w14:paraId="22BE0B8C">
            <w:pPr>
              <w:pStyle w:val="6"/>
              <w:spacing w:before="78" w:line="168" w:lineRule="auto"/>
              <w:ind w:left="160"/>
            </w:pPr>
            <w:r>
              <w:rPr>
                <w:spacing w:val="-1"/>
              </w:rPr>
              <w:t>4.89</w:t>
            </w:r>
          </w:p>
        </w:tc>
        <w:tc>
          <w:tcPr>
            <w:tcW w:w="691" w:type="dxa"/>
            <w:vAlign w:val="top"/>
          </w:tcPr>
          <w:p w14:paraId="217D0F7F">
            <w:pPr>
              <w:pStyle w:val="6"/>
              <w:spacing w:before="78" w:line="168" w:lineRule="auto"/>
              <w:ind w:left="168"/>
            </w:pPr>
            <w:r>
              <w:rPr>
                <w:spacing w:val="-2"/>
              </w:rPr>
              <w:t>0.91</w:t>
            </w:r>
          </w:p>
        </w:tc>
        <w:tc>
          <w:tcPr>
            <w:tcW w:w="691" w:type="dxa"/>
            <w:vAlign w:val="top"/>
          </w:tcPr>
          <w:p w14:paraId="47B39667">
            <w:pPr>
              <w:pStyle w:val="6"/>
              <w:spacing w:before="83" w:line="163" w:lineRule="auto"/>
              <w:ind w:left="169"/>
            </w:pPr>
            <w:r>
              <w:rPr>
                <w:b/>
                <w:bCs/>
                <w:spacing w:val="-2"/>
              </w:rPr>
              <w:t>0.53</w:t>
            </w:r>
          </w:p>
        </w:tc>
        <w:tc>
          <w:tcPr>
            <w:tcW w:w="690" w:type="dxa"/>
            <w:vAlign w:val="top"/>
          </w:tcPr>
          <w:p w14:paraId="0F859ECD">
            <w:pPr>
              <w:pStyle w:val="6"/>
              <w:spacing w:before="78" w:line="168" w:lineRule="auto"/>
              <w:ind w:left="169"/>
            </w:pPr>
            <w:r>
              <w:rPr>
                <w:spacing w:val="-2"/>
              </w:rPr>
              <w:t>7.03</w:t>
            </w:r>
          </w:p>
        </w:tc>
        <w:tc>
          <w:tcPr>
            <w:tcW w:w="693" w:type="dxa"/>
            <w:vAlign w:val="top"/>
          </w:tcPr>
          <w:p w14:paraId="3B088260">
            <w:pPr>
              <w:pStyle w:val="6"/>
              <w:spacing w:before="78" w:line="168" w:lineRule="auto"/>
              <w:ind w:left="174"/>
            </w:pPr>
            <w:r>
              <w:rPr>
                <w:spacing w:val="-3"/>
              </w:rPr>
              <w:t>6.38</w:t>
            </w:r>
          </w:p>
        </w:tc>
        <w:tc>
          <w:tcPr>
            <w:tcW w:w="690" w:type="dxa"/>
            <w:vAlign w:val="top"/>
          </w:tcPr>
          <w:p w14:paraId="620D59DE">
            <w:pPr>
              <w:pStyle w:val="6"/>
              <w:spacing w:before="78" w:line="168" w:lineRule="auto"/>
              <w:ind w:left="37"/>
            </w:pPr>
            <w:r>
              <w:rPr>
                <w:spacing w:val="-1"/>
              </w:rPr>
              <w:t>250000</w:t>
            </w:r>
          </w:p>
        </w:tc>
        <w:tc>
          <w:tcPr>
            <w:tcW w:w="691" w:type="dxa"/>
            <w:vAlign w:val="top"/>
          </w:tcPr>
          <w:p w14:paraId="7046B384">
            <w:pPr>
              <w:pStyle w:val="6"/>
              <w:spacing w:before="83" w:line="163" w:lineRule="auto"/>
              <w:ind w:left="40"/>
            </w:pPr>
            <w:r>
              <w:rPr>
                <w:b/>
                <w:bCs/>
                <w:spacing w:val="-1"/>
              </w:rPr>
              <w:t>250000</w:t>
            </w:r>
          </w:p>
        </w:tc>
        <w:tc>
          <w:tcPr>
            <w:tcW w:w="691" w:type="dxa"/>
            <w:vAlign w:val="top"/>
          </w:tcPr>
          <w:p w14:paraId="40788FA4">
            <w:pPr>
              <w:pStyle w:val="6"/>
              <w:spacing w:before="78" w:line="168" w:lineRule="auto"/>
              <w:ind w:left="178"/>
            </w:pPr>
            <w:r>
              <w:rPr>
                <w:spacing w:val="-2"/>
              </w:rPr>
              <w:t>3.74</w:t>
            </w:r>
          </w:p>
        </w:tc>
        <w:tc>
          <w:tcPr>
            <w:tcW w:w="704" w:type="dxa"/>
            <w:tcBorders>
              <w:right w:val="single" w:color="000000" w:sz="12" w:space="0"/>
            </w:tcBorders>
            <w:vAlign w:val="top"/>
          </w:tcPr>
          <w:p w14:paraId="3F35BBA7">
            <w:pPr>
              <w:pStyle w:val="6"/>
              <w:spacing w:before="78" w:line="168" w:lineRule="auto"/>
              <w:ind w:left="178"/>
            </w:pPr>
            <w:r>
              <w:rPr>
                <w:spacing w:val="-2"/>
              </w:rPr>
              <w:t>3.74</w:t>
            </w:r>
          </w:p>
        </w:tc>
      </w:tr>
      <w:tr w14:paraId="0C3FD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849" w:type="dxa"/>
            <w:vMerge w:val="continue"/>
            <w:tcBorders>
              <w:top w:val="nil"/>
              <w:left w:val="single" w:color="000000" w:sz="12" w:space="0"/>
              <w:bottom w:val="single" w:color="000000" w:sz="12" w:space="0"/>
            </w:tcBorders>
            <w:vAlign w:val="top"/>
          </w:tcPr>
          <w:p w14:paraId="0D47D8D1">
            <w:pPr>
              <w:rPr>
                <w:rFonts w:ascii="Arial"/>
                <w:sz w:val="21"/>
              </w:rPr>
            </w:pPr>
          </w:p>
        </w:tc>
        <w:tc>
          <w:tcPr>
            <w:tcW w:w="283" w:type="dxa"/>
            <w:vMerge w:val="continue"/>
            <w:tcBorders>
              <w:top w:val="nil"/>
              <w:bottom w:val="single" w:color="000000" w:sz="12" w:space="0"/>
            </w:tcBorders>
            <w:vAlign w:val="top"/>
          </w:tcPr>
          <w:p w14:paraId="77C4201F">
            <w:pPr>
              <w:rPr>
                <w:rFonts w:ascii="Arial"/>
                <w:sz w:val="21"/>
              </w:rPr>
            </w:pPr>
          </w:p>
        </w:tc>
        <w:tc>
          <w:tcPr>
            <w:tcW w:w="1208" w:type="dxa"/>
            <w:tcBorders>
              <w:bottom w:val="single" w:color="000000" w:sz="12" w:space="0"/>
            </w:tcBorders>
            <w:vAlign w:val="top"/>
          </w:tcPr>
          <w:p w14:paraId="5018D502">
            <w:pPr>
              <w:pStyle w:val="6"/>
              <w:spacing w:before="254" w:line="232" w:lineRule="auto"/>
              <w:ind w:left="114"/>
            </w:pPr>
            <w:r>
              <w:rPr>
                <w:spacing w:val="-1"/>
              </w:rPr>
              <w:t>2019/11/11</w:t>
            </w:r>
          </w:p>
        </w:tc>
        <w:tc>
          <w:tcPr>
            <w:tcW w:w="691" w:type="dxa"/>
            <w:tcBorders>
              <w:bottom w:val="single" w:color="000000" w:sz="12" w:space="0"/>
            </w:tcBorders>
            <w:vAlign w:val="top"/>
          </w:tcPr>
          <w:p w14:paraId="1ED24050">
            <w:pPr>
              <w:pStyle w:val="6"/>
              <w:spacing w:before="254" w:line="232" w:lineRule="auto"/>
              <w:ind w:left="157"/>
            </w:pPr>
            <w:r>
              <w:rPr>
                <w:spacing w:val="-3"/>
              </w:rPr>
              <w:t>50.5</w:t>
            </w:r>
          </w:p>
        </w:tc>
        <w:tc>
          <w:tcPr>
            <w:tcW w:w="691" w:type="dxa"/>
            <w:tcBorders>
              <w:bottom w:val="single" w:color="000000" w:sz="12" w:space="0"/>
            </w:tcBorders>
            <w:vAlign w:val="top"/>
          </w:tcPr>
          <w:p w14:paraId="40431BBA">
            <w:pPr>
              <w:pStyle w:val="6"/>
              <w:spacing w:before="258" w:line="229" w:lineRule="auto"/>
              <w:ind w:left="151"/>
            </w:pPr>
            <w:r>
              <w:rPr>
                <w:b/>
                <w:bCs/>
                <w:spacing w:val="-1"/>
              </w:rPr>
              <w:t>34.6</w:t>
            </w:r>
          </w:p>
        </w:tc>
        <w:tc>
          <w:tcPr>
            <w:tcW w:w="689" w:type="dxa"/>
            <w:tcBorders>
              <w:bottom w:val="single" w:color="000000" w:sz="12" w:space="0"/>
            </w:tcBorders>
            <w:vAlign w:val="top"/>
          </w:tcPr>
          <w:p w14:paraId="5E4A2514">
            <w:pPr>
              <w:pStyle w:val="6"/>
              <w:spacing w:before="254" w:line="232" w:lineRule="auto"/>
              <w:ind w:left="199"/>
            </w:pPr>
            <w:r>
              <w:rPr>
                <w:spacing w:val="-6"/>
              </w:rPr>
              <w:t>156</w:t>
            </w:r>
          </w:p>
        </w:tc>
        <w:tc>
          <w:tcPr>
            <w:tcW w:w="691" w:type="dxa"/>
            <w:tcBorders>
              <w:bottom w:val="single" w:color="000000" w:sz="12" w:space="0"/>
            </w:tcBorders>
            <w:vAlign w:val="top"/>
          </w:tcPr>
          <w:p w14:paraId="502B75DE">
            <w:pPr>
              <w:pStyle w:val="6"/>
              <w:spacing w:before="254" w:line="232" w:lineRule="auto"/>
              <w:ind w:left="203"/>
            </w:pPr>
            <w:r>
              <w:rPr>
                <w:spacing w:val="-6"/>
              </w:rPr>
              <w:t>100</w:t>
            </w:r>
          </w:p>
        </w:tc>
        <w:tc>
          <w:tcPr>
            <w:tcW w:w="691" w:type="dxa"/>
            <w:tcBorders>
              <w:bottom w:val="single" w:color="000000" w:sz="12" w:space="0"/>
            </w:tcBorders>
            <w:vAlign w:val="top"/>
          </w:tcPr>
          <w:p w14:paraId="4317B411">
            <w:pPr>
              <w:pStyle w:val="6"/>
              <w:spacing w:before="254" w:line="232" w:lineRule="auto"/>
              <w:ind w:left="240"/>
            </w:pPr>
            <w:r>
              <w:rPr>
                <w:spacing w:val="-3"/>
              </w:rPr>
              <w:t>37</w:t>
            </w:r>
          </w:p>
        </w:tc>
        <w:tc>
          <w:tcPr>
            <w:tcW w:w="692" w:type="dxa"/>
            <w:tcBorders>
              <w:bottom w:val="single" w:color="000000" w:sz="12" w:space="0"/>
            </w:tcBorders>
            <w:vAlign w:val="top"/>
          </w:tcPr>
          <w:p w14:paraId="250E5884">
            <w:pPr>
              <w:pStyle w:val="6"/>
              <w:spacing w:before="253" w:line="235" w:lineRule="auto"/>
              <w:ind w:left="237"/>
            </w:pPr>
            <w:r>
              <w:rPr>
                <w:spacing w:val="-1"/>
              </w:rPr>
              <w:t>21</w:t>
            </w:r>
          </w:p>
        </w:tc>
        <w:tc>
          <w:tcPr>
            <w:tcW w:w="691" w:type="dxa"/>
            <w:tcBorders>
              <w:bottom w:val="single" w:color="000000" w:sz="12" w:space="0"/>
            </w:tcBorders>
            <w:vAlign w:val="top"/>
          </w:tcPr>
          <w:p w14:paraId="3D0D5360">
            <w:pPr>
              <w:pStyle w:val="6"/>
              <w:spacing w:before="254" w:line="232" w:lineRule="auto"/>
              <w:ind w:left="167"/>
            </w:pPr>
            <w:r>
              <w:rPr>
                <w:spacing w:val="-3"/>
              </w:rPr>
              <w:t>5.40</w:t>
            </w:r>
          </w:p>
        </w:tc>
        <w:tc>
          <w:tcPr>
            <w:tcW w:w="689" w:type="dxa"/>
            <w:tcBorders>
              <w:bottom w:val="single" w:color="000000" w:sz="12" w:space="0"/>
            </w:tcBorders>
            <w:vAlign w:val="top"/>
          </w:tcPr>
          <w:p w14:paraId="0D7896AC">
            <w:pPr>
              <w:pStyle w:val="6"/>
              <w:spacing w:before="254" w:line="232" w:lineRule="auto"/>
              <w:ind w:left="160"/>
            </w:pPr>
            <w:r>
              <w:rPr>
                <w:spacing w:val="-1"/>
              </w:rPr>
              <w:t>4.59</w:t>
            </w:r>
          </w:p>
        </w:tc>
        <w:tc>
          <w:tcPr>
            <w:tcW w:w="691" w:type="dxa"/>
            <w:tcBorders>
              <w:bottom w:val="single" w:color="000000" w:sz="12" w:space="0"/>
            </w:tcBorders>
            <w:vAlign w:val="top"/>
          </w:tcPr>
          <w:p w14:paraId="6D566EFB">
            <w:pPr>
              <w:pStyle w:val="6"/>
              <w:spacing w:before="254" w:line="232" w:lineRule="auto"/>
              <w:ind w:left="168"/>
            </w:pPr>
            <w:r>
              <w:rPr>
                <w:spacing w:val="-2"/>
              </w:rPr>
              <w:t>0.86</w:t>
            </w:r>
          </w:p>
        </w:tc>
        <w:tc>
          <w:tcPr>
            <w:tcW w:w="691" w:type="dxa"/>
            <w:tcBorders>
              <w:bottom w:val="single" w:color="000000" w:sz="12" w:space="0"/>
            </w:tcBorders>
            <w:vAlign w:val="top"/>
          </w:tcPr>
          <w:p w14:paraId="32B383A6">
            <w:pPr>
              <w:pStyle w:val="6"/>
              <w:spacing w:before="258" w:line="229" w:lineRule="auto"/>
              <w:ind w:left="169"/>
            </w:pPr>
            <w:r>
              <w:rPr>
                <w:b/>
                <w:bCs/>
                <w:spacing w:val="-2"/>
              </w:rPr>
              <w:t>0.51</w:t>
            </w:r>
          </w:p>
        </w:tc>
        <w:tc>
          <w:tcPr>
            <w:tcW w:w="690" w:type="dxa"/>
            <w:tcBorders>
              <w:bottom w:val="single" w:color="000000" w:sz="12" w:space="0"/>
            </w:tcBorders>
            <w:vAlign w:val="top"/>
          </w:tcPr>
          <w:p w14:paraId="36BBE9EB">
            <w:pPr>
              <w:pStyle w:val="6"/>
              <w:spacing w:before="254" w:line="232" w:lineRule="auto"/>
              <w:ind w:left="171"/>
            </w:pPr>
            <w:r>
              <w:rPr>
                <w:spacing w:val="-3"/>
              </w:rPr>
              <w:t>6.92</w:t>
            </w:r>
          </w:p>
        </w:tc>
        <w:tc>
          <w:tcPr>
            <w:tcW w:w="693" w:type="dxa"/>
            <w:tcBorders>
              <w:bottom w:val="single" w:color="000000" w:sz="12" w:space="0"/>
            </w:tcBorders>
            <w:vAlign w:val="top"/>
          </w:tcPr>
          <w:p w14:paraId="71B28E4E">
            <w:pPr>
              <w:pStyle w:val="6"/>
              <w:spacing w:before="254" w:line="232" w:lineRule="auto"/>
              <w:ind w:left="174"/>
            </w:pPr>
            <w:r>
              <w:rPr>
                <w:spacing w:val="-3"/>
              </w:rPr>
              <w:t>6.26</w:t>
            </w:r>
          </w:p>
        </w:tc>
        <w:tc>
          <w:tcPr>
            <w:tcW w:w="690" w:type="dxa"/>
            <w:tcBorders>
              <w:bottom w:val="single" w:color="000000" w:sz="12" w:space="0"/>
            </w:tcBorders>
            <w:vAlign w:val="top"/>
          </w:tcPr>
          <w:p w14:paraId="4D9DEC0B">
            <w:pPr>
              <w:pStyle w:val="6"/>
              <w:spacing w:before="254" w:line="232" w:lineRule="auto"/>
              <w:ind w:left="37"/>
            </w:pPr>
            <w:r>
              <w:rPr>
                <w:spacing w:val="-1"/>
              </w:rPr>
              <w:t>220000</w:t>
            </w:r>
          </w:p>
        </w:tc>
        <w:tc>
          <w:tcPr>
            <w:tcW w:w="691" w:type="dxa"/>
            <w:tcBorders>
              <w:bottom w:val="single" w:color="000000" w:sz="12" w:space="0"/>
            </w:tcBorders>
            <w:vAlign w:val="top"/>
          </w:tcPr>
          <w:p w14:paraId="186A6F72">
            <w:pPr>
              <w:pStyle w:val="6"/>
              <w:spacing w:before="258" w:line="229" w:lineRule="auto"/>
              <w:ind w:left="40"/>
            </w:pPr>
            <w:r>
              <w:rPr>
                <w:b/>
                <w:bCs/>
                <w:spacing w:val="-1"/>
              </w:rPr>
              <w:t>220000</w:t>
            </w:r>
          </w:p>
        </w:tc>
        <w:tc>
          <w:tcPr>
            <w:tcW w:w="691" w:type="dxa"/>
            <w:tcBorders>
              <w:bottom w:val="single" w:color="000000" w:sz="12" w:space="0"/>
            </w:tcBorders>
            <w:vAlign w:val="top"/>
          </w:tcPr>
          <w:p w14:paraId="198A123A">
            <w:pPr>
              <w:pStyle w:val="6"/>
              <w:spacing w:before="254" w:line="232" w:lineRule="auto"/>
              <w:ind w:left="178"/>
            </w:pPr>
            <w:r>
              <w:rPr>
                <w:spacing w:val="-2"/>
              </w:rPr>
              <w:t>3.80</w:t>
            </w:r>
          </w:p>
        </w:tc>
        <w:tc>
          <w:tcPr>
            <w:tcW w:w="704" w:type="dxa"/>
            <w:tcBorders>
              <w:bottom w:val="single" w:color="000000" w:sz="12" w:space="0"/>
              <w:right w:val="single" w:color="000000" w:sz="12" w:space="0"/>
            </w:tcBorders>
            <w:vAlign w:val="top"/>
          </w:tcPr>
          <w:p w14:paraId="142E20E0">
            <w:pPr>
              <w:pStyle w:val="6"/>
              <w:spacing w:before="254" w:line="232" w:lineRule="auto"/>
              <w:ind w:left="178"/>
            </w:pPr>
            <w:r>
              <w:rPr>
                <w:spacing w:val="-2"/>
              </w:rPr>
              <w:t>3.80</w:t>
            </w:r>
          </w:p>
        </w:tc>
      </w:tr>
    </w:tbl>
    <w:p w14:paraId="5EDBD891">
      <w:pPr>
        <w:rPr>
          <w:rFonts w:ascii="Arial"/>
          <w:sz w:val="21"/>
        </w:rPr>
      </w:pPr>
    </w:p>
    <w:p w14:paraId="0BE226FD">
      <w:pPr>
        <w:rPr>
          <w:rFonts w:ascii="Arial" w:hAnsi="Arial" w:eastAsia="Arial" w:cs="Arial"/>
          <w:sz w:val="21"/>
          <w:szCs w:val="21"/>
        </w:rPr>
        <w:sectPr>
          <w:headerReference r:id="rId132" w:type="default"/>
          <w:footerReference r:id="rId133" w:type="default"/>
          <w:pgSz w:w="16839" w:h="11907"/>
          <w:pgMar w:top="1376" w:right="1669" w:bottom="1061" w:left="1671" w:header="999" w:footer="861" w:gutter="0"/>
          <w:cols w:space="720" w:num="1"/>
        </w:sectPr>
      </w:pPr>
    </w:p>
    <w:p w14:paraId="37581044">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9"/>
        <w:gridCol w:w="283"/>
        <w:gridCol w:w="1208"/>
        <w:gridCol w:w="691"/>
        <w:gridCol w:w="691"/>
        <w:gridCol w:w="689"/>
        <w:gridCol w:w="691"/>
        <w:gridCol w:w="691"/>
        <w:gridCol w:w="692"/>
        <w:gridCol w:w="691"/>
        <w:gridCol w:w="689"/>
        <w:gridCol w:w="691"/>
        <w:gridCol w:w="691"/>
        <w:gridCol w:w="690"/>
        <w:gridCol w:w="693"/>
        <w:gridCol w:w="690"/>
        <w:gridCol w:w="691"/>
        <w:gridCol w:w="691"/>
        <w:gridCol w:w="704"/>
      </w:tblGrid>
      <w:tr w14:paraId="65B62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849" w:type="dxa"/>
            <w:vMerge w:val="restart"/>
            <w:tcBorders>
              <w:top w:val="single" w:color="000000" w:sz="12" w:space="0"/>
              <w:left w:val="single" w:color="000000" w:sz="12" w:space="0"/>
              <w:bottom w:val="nil"/>
            </w:tcBorders>
            <w:vAlign w:val="top"/>
          </w:tcPr>
          <w:p w14:paraId="2CD2F0F1">
            <w:pPr>
              <w:spacing w:before="186" w:line="242" w:lineRule="auto"/>
              <w:ind w:left="304" w:right="112" w:hanging="209"/>
              <w:rPr>
                <w:rFonts w:ascii="宋体" w:hAnsi="宋体" w:eastAsia="宋体" w:cs="宋体"/>
                <w:sz w:val="21"/>
                <w:szCs w:val="21"/>
              </w:rPr>
            </w:pPr>
            <w:r>
              <w:rPr>
                <w:rFonts w:ascii="宋体" w:hAnsi="宋体" w:eastAsia="宋体" w:cs="宋体"/>
                <w:spacing w:val="-4"/>
                <w:sz w:val="21"/>
                <w:szCs w:val="21"/>
              </w:rPr>
              <w:t>监测点</w:t>
            </w:r>
            <w:r>
              <w:rPr>
                <w:rFonts w:ascii="宋体" w:hAnsi="宋体" w:eastAsia="宋体" w:cs="宋体"/>
                <w:sz w:val="21"/>
                <w:szCs w:val="21"/>
              </w:rPr>
              <w:t>位</w:t>
            </w:r>
          </w:p>
        </w:tc>
        <w:tc>
          <w:tcPr>
            <w:tcW w:w="1491" w:type="dxa"/>
            <w:gridSpan w:val="2"/>
            <w:vMerge w:val="restart"/>
            <w:tcBorders>
              <w:top w:val="single" w:color="000000" w:sz="12" w:space="0"/>
              <w:bottom w:val="nil"/>
            </w:tcBorders>
            <w:vAlign w:val="top"/>
          </w:tcPr>
          <w:p w14:paraId="3441ED29">
            <w:pPr>
              <w:spacing w:line="252" w:lineRule="auto"/>
              <w:rPr>
                <w:rFonts w:ascii="Arial"/>
                <w:sz w:val="21"/>
              </w:rPr>
            </w:pPr>
          </w:p>
          <w:p w14:paraId="5B123913">
            <w:pPr>
              <w:spacing w:before="68" w:line="221" w:lineRule="auto"/>
              <w:ind w:left="317"/>
              <w:rPr>
                <w:rFonts w:ascii="宋体" w:hAnsi="宋体" w:eastAsia="宋体" w:cs="宋体"/>
                <w:sz w:val="21"/>
                <w:szCs w:val="21"/>
              </w:rPr>
            </w:pPr>
            <w:r>
              <w:rPr>
                <w:rFonts w:ascii="宋体" w:hAnsi="宋体" w:eastAsia="宋体" w:cs="宋体"/>
                <w:spacing w:val="-2"/>
                <w:sz w:val="21"/>
                <w:szCs w:val="21"/>
              </w:rPr>
              <w:t>监测时间</w:t>
            </w:r>
          </w:p>
        </w:tc>
        <w:tc>
          <w:tcPr>
            <w:tcW w:w="1382" w:type="dxa"/>
            <w:gridSpan w:val="2"/>
            <w:tcBorders>
              <w:top w:val="single" w:color="000000" w:sz="12" w:space="0"/>
            </w:tcBorders>
            <w:vAlign w:val="top"/>
          </w:tcPr>
          <w:p w14:paraId="51ECB841">
            <w:pPr>
              <w:pStyle w:val="6"/>
              <w:spacing w:before="209" w:line="225" w:lineRule="auto"/>
              <w:ind w:left="423"/>
              <w:rPr>
                <w:sz w:val="14"/>
                <w:szCs w:val="14"/>
              </w:rPr>
            </w:pPr>
            <w:r>
              <w:rPr>
                <w:spacing w:val="-1"/>
              </w:rPr>
              <w:t>BOD</w:t>
            </w:r>
            <w:r>
              <w:rPr>
                <w:spacing w:val="-1"/>
                <w:position w:val="-1"/>
                <w:sz w:val="14"/>
                <w:szCs w:val="14"/>
              </w:rPr>
              <w:t>5</w:t>
            </w:r>
          </w:p>
        </w:tc>
        <w:tc>
          <w:tcPr>
            <w:tcW w:w="1380" w:type="dxa"/>
            <w:gridSpan w:val="2"/>
            <w:tcBorders>
              <w:top w:val="single" w:color="000000" w:sz="12" w:space="0"/>
            </w:tcBorders>
            <w:vAlign w:val="top"/>
          </w:tcPr>
          <w:p w14:paraId="1F6A9AFA">
            <w:pPr>
              <w:pStyle w:val="6"/>
              <w:spacing w:before="209" w:line="186" w:lineRule="auto"/>
              <w:ind w:left="464"/>
            </w:pPr>
            <w:r>
              <w:rPr>
                <w:spacing w:val="-2"/>
              </w:rPr>
              <w:t>COD</w:t>
            </w:r>
          </w:p>
        </w:tc>
        <w:tc>
          <w:tcPr>
            <w:tcW w:w="1383" w:type="dxa"/>
            <w:gridSpan w:val="2"/>
            <w:tcBorders>
              <w:top w:val="single" w:color="000000" w:sz="12" w:space="0"/>
            </w:tcBorders>
            <w:vAlign w:val="top"/>
          </w:tcPr>
          <w:p w14:paraId="1BB543C6">
            <w:pPr>
              <w:pStyle w:val="6"/>
              <w:spacing w:before="209" w:line="186" w:lineRule="auto"/>
              <w:ind w:left="579"/>
            </w:pPr>
            <w:r>
              <w:rPr>
                <w:spacing w:val="-7"/>
              </w:rPr>
              <w:t>SS</w:t>
            </w:r>
          </w:p>
        </w:tc>
        <w:tc>
          <w:tcPr>
            <w:tcW w:w="1380" w:type="dxa"/>
            <w:gridSpan w:val="2"/>
            <w:tcBorders>
              <w:top w:val="single" w:color="000000" w:sz="12" w:space="0"/>
            </w:tcBorders>
            <w:vAlign w:val="top"/>
          </w:tcPr>
          <w:p w14:paraId="0C3C94B6">
            <w:pPr>
              <w:pStyle w:val="6"/>
              <w:spacing w:before="212" w:line="222" w:lineRule="auto"/>
              <w:ind w:left="386"/>
            </w:pPr>
            <w:r>
              <w:t>NH</w:t>
            </w:r>
            <w:r>
              <w:rPr>
                <w:position w:val="-1"/>
                <w:sz w:val="14"/>
                <w:szCs w:val="14"/>
              </w:rPr>
              <w:t>3</w:t>
            </w:r>
            <w:r>
              <w:t>-N</w:t>
            </w:r>
          </w:p>
        </w:tc>
        <w:tc>
          <w:tcPr>
            <w:tcW w:w="1382" w:type="dxa"/>
            <w:gridSpan w:val="2"/>
            <w:tcBorders>
              <w:top w:val="single" w:color="000000" w:sz="12" w:space="0"/>
            </w:tcBorders>
            <w:vAlign w:val="top"/>
          </w:tcPr>
          <w:p w14:paraId="10EA01B2">
            <w:pPr>
              <w:pStyle w:val="6"/>
              <w:spacing w:before="212" w:line="183" w:lineRule="auto"/>
              <w:ind w:left="573"/>
            </w:pPr>
            <w:r>
              <w:rPr>
                <w:spacing w:val="-2"/>
              </w:rPr>
              <w:t>TP</w:t>
            </w:r>
          </w:p>
        </w:tc>
        <w:tc>
          <w:tcPr>
            <w:tcW w:w="1383" w:type="dxa"/>
            <w:gridSpan w:val="2"/>
            <w:tcBorders>
              <w:top w:val="single" w:color="000000" w:sz="12" w:space="0"/>
            </w:tcBorders>
            <w:vAlign w:val="top"/>
          </w:tcPr>
          <w:p w14:paraId="03A6FD42">
            <w:pPr>
              <w:spacing w:before="171" w:line="220" w:lineRule="auto"/>
              <w:ind w:left="281"/>
              <w:rPr>
                <w:rFonts w:ascii="宋体" w:hAnsi="宋体" w:eastAsia="宋体" w:cs="宋体"/>
                <w:sz w:val="21"/>
                <w:szCs w:val="21"/>
              </w:rPr>
            </w:pPr>
            <w:r>
              <w:rPr>
                <w:rFonts w:ascii="宋体" w:hAnsi="宋体" w:eastAsia="宋体" w:cs="宋体"/>
                <w:spacing w:val="-2"/>
                <w:sz w:val="21"/>
                <w:szCs w:val="21"/>
              </w:rPr>
              <w:t>动植物油</w:t>
            </w:r>
          </w:p>
        </w:tc>
        <w:tc>
          <w:tcPr>
            <w:tcW w:w="1381" w:type="dxa"/>
            <w:gridSpan w:val="2"/>
            <w:tcBorders>
              <w:top w:val="single" w:color="000000" w:sz="12" w:space="0"/>
            </w:tcBorders>
            <w:vAlign w:val="top"/>
          </w:tcPr>
          <w:p w14:paraId="6E2D30DC">
            <w:pPr>
              <w:spacing w:before="171" w:line="220" w:lineRule="auto"/>
              <w:ind w:left="179"/>
              <w:rPr>
                <w:rFonts w:ascii="宋体" w:hAnsi="宋体" w:eastAsia="宋体" w:cs="宋体"/>
                <w:sz w:val="21"/>
                <w:szCs w:val="21"/>
              </w:rPr>
            </w:pPr>
            <w:r>
              <w:rPr>
                <w:rFonts w:ascii="宋体" w:hAnsi="宋体" w:eastAsia="宋体" w:cs="宋体"/>
                <w:spacing w:val="-2"/>
                <w:sz w:val="21"/>
                <w:szCs w:val="21"/>
              </w:rPr>
              <w:t>粪大肠菌群</w:t>
            </w:r>
          </w:p>
        </w:tc>
        <w:tc>
          <w:tcPr>
            <w:tcW w:w="1395" w:type="dxa"/>
            <w:gridSpan w:val="2"/>
            <w:tcBorders>
              <w:top w:val="single" w:color="000000" w:sz="12" w:space="0"/>
              <w:right w:val="single" w:color="000000" w:sz="12" w:space="0"/>
            </w:tcBorders>
            <w:vAlign w:val="top"/>
          </w:tcPr>
          <w:p w14:paraId="3AC41E81">
            <w:pPr>
              <w:spacing w:before="37" w:line="226" w:lineRule="auto"/>
              <w:ind w:left="498" w:right="46" w:hanging="406"/>
              <w:rPr>
                <w:rFonts w:ascii="宋体" w:hAnsi="宋体" w:eastAsia="宋体" w:cs="宋体"/>
                <w:sz w:val="21"/>
                <w:szCs w:val="21"/>
              </w:rPr>
            </w:pPr>
            <w:r>
              <w:rPr>
                <w:rFonts w:ascii="宋体" w:hAnsi="宋体" w:eastAsia="宋体" w:cs="宋体"/>
                <w:spacing w:val="-5"/>
                <w:sz w:val="21"/>
                <w:szCs w:val="21"/>
              </w:rPr>
              <w:t>阴离子表面活</w:t>
            </w:r>
            <w:r>
              <w:rPr>
                <w:rFonts w:ascii="宋体" w:hAnsi="宋体" w:eastAsia="宋体" w:cs="宋体"/>
                <w:spacing w:val="-3"/>
                <w:sz w:val="21"/>
                <w:szCs w:val="21"/>
              </w:rPr>
              <w:t>性剂</w:t>
            </w:r>
          </w:p>
        </w:tc>
      </w:tr>
      <w:tr w14:paraId="09F36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849" w:type="dxa"/>
            <w:vMerge w:val="continue"/>
            <w:tcBorders>
              <w:top w:val="nil"/>
              <w:left w:val="single" w:color="000000" w:sz="12" w:space="0"/>
            </w:tcBorders>
            <w:vAlign w:val="top"/>
          </w:tcPr>
          <w:p w14:paraId="56139BFD">
            <w:pPr>
              <w:rPr>
                <w:rFonts w:ascii="Arial"/>
                <w:sz w:val="21"/>
              </w:rPr>
            </w:pPr>
          </w:p>
        </w:tc>
        <w:tc>
          <w:tcPr>
            <w:tcW w:w="1491" w:type="dxa"/>
            <w:gridSpan w:val="2"/>
            <w:vMerge w:val="continue"/>
            <w:tcBorders>
              <w:top w:val="nil"/>
            </w:tcBorders>
            <w:vAlign w:val="top"/>
          </w:tcPr>
          <w:p w14:paraId="393A2F3E">
            <w:pPr>
              <w:rPr>
                <w:rFonts w:ascii="Arial"/>
                <w:sz w:val="21"/>
              </w:rPr>
            </w:pPr>
          </w:p>
        </w:tc>
        <w:tc>
          <w:tcPr>
            <w:tcW w:w="691" w:type="dxa"/>
            <w:vAlign w:val="top"/>
          </w:tcPr>
          <w:p w14:paraId="0D576FD3">
            <w:pPr>
              <w:spacing w:before="35" w:line="212" w:lineRule="auto"/>
              <w:ind w:left="127"/>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52DED8A5">
            <w:pPr>
              <w:spacing w:before="35" w:line="212" w:lineRule="auto"/>
              <w:ind w:left="148"/>
              <w:rPr>
                <w:rFonts w:ascii="宋体" w:hAnsi="宋体" w:eastAsia="宋体" w:cs="宋体"/>
                <w:sz w:val="21"/>
                <w:szCs w:val="21"/>
              </w:rPr>
            </w:pPr>
            <w:r>
              <w:rPr>
                <w:rFonts w:ascii="宋体" w:hAnsi="宋体" w:eastAsia="宋体" w:cs="宋体"/>
                <w:spacing w:val="-7"/>
                <w:sz w:val="21"/>
                <w:szCs w:val="21"/>
              </w:rPr>
              <w:t>出口</w:t>
            </w:r>
          </w:p>
        </w:tc>
        <w:tc>
          <w:tcPr>
            <w:tcW w:w="689" w:type="dxa"/>
            <w:vAlign w:val="top"/>
          </w:tcPr>
          <w:p w14:paraId="2F6BB901">
            <w:pPr>
              <w:spacing w:before="35" w:line="212" w:lineRule="auto"/>
              <w:ind w:left="128"/>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2A87DFBA">
            <w:pPr>
              <w:spacing w:before="35" w:line="212" w:lineRule="auto"/>
              <w:ind w:left="152"/>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7B8B3173">
            <w:pPr>
              <w:spacing w:before="35" w:line="212" w:lineRule="auto"/>
              <w:ind w:left="133"/>
              <w:rPr>
                <w:rFonts w:ascii="宋体" w:hAnsi="宋体" w:eastAsia="宋体" w:cs="宋体"/>
                <w:sz w:val="21"/>
                <w:szCs w:val="21"/>
              </w:rPr>
            </w:pPr>
            <w:r>
              <w:rPr>
                <w:rFonts w:ascii="宋体" w:hAnsi="宋体" w:eastAsia="宋体" w:cs="宋体"/>
                <w:spacing w:val="-2"/>
                <w:sz w:val="21"/>
                <w:szCs w:val="21"/>
              </w:rPr>
              <w:t>进口</w:t>
            </w:r>
          </w:p>
        </w:tc>
        <w:tc>
          <w:tcPr>
            <w:tcW w:w="692" w:type="dxa"/>
            <w:vAlign w:val="top"/>
          </w:tcPr>
          <w:p w14:paraId="3BD55950">
            <w:pPr>
              <w:spacing w:before="35" w:line="212" w:lineRule="auto"/>
              <w:ind w:left="154"/>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035572CB">
            <w:pPr>
              <w:spacing w:before="35" w:line="212" w:lineRule="auto"/>
              <w:ind w:left="137"/>
              <w:rPr>
                <w:rFonts w:ascii="宋体" w:hAnsi="宋体" w:eastAsia="宋体" w:cs="宋体"/>
                <w:sz w:val="21"/>
                <w:szCs w:val="21"/>
              </w:rPr>
            </w:pPr>
            <w:r>
              <w:rPr>
                <w:rFonts w:ascii="宋体" w:hAnsi="宋体" w:eastAsia="宋体" w:cs="宋体"/>
                <w:spacing w:val="-2"/>
                <w:sz w:val="21"/>
                <w:szCs w:val="21"/>
              </w:rPr>
              <w:t>进口</w:t>
            </w:r>
          </w:p>
        </w:tc>
        <w:tc>
          <w:tcPr>
            <w:tcW w:w="689" w:type="dxa"/>
            <w:vAlign w:val="top"/>
          </w:tcPr>
          <w:p w14:paraId="26E0DF92">
            <w:pPr>
              <w:spacing w:before="35" w:line="212" w:lineRule="auto"/>
              <w:ind w:left="157"/>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3F4E6FC6">
            <w:pPr>
              <w:spacing w:before="35" w:line="212" w:lineRule="auto"/>
              <w:ind w:left="140"/>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083BE9ED">
            <w:pPr>
              <w:spacing w:before="35" w:line="212" w:lineRule="auto"/>
              <w:ind w:left="161"/>
              <w:rPr>
                <w:rFonts w:ascii="宋体" w:hAnsi="宋体" w:eastAsia="宋体" w:cs="宋体"/>
                <w:sz w:val="21"/>
                <w:szCs w:val="21"/>
              </w:rPr>
            </w:pPr>
            <w:r>
              <w:rPr>
                <w:rFonts w:ascii="宋体" w:hAnsi="宋体" w:eastAsia="宋体" w:cs="宋体"/>
                <w:spacing w:val="-7"/>
                <w:sz w:val="21"/>
                <w:szCs w:val="21"/>
              </w:rPr>
              <w:t>出口</w:t>
            </w:r>
          </w:p>
        </w:tc>
        <w:tc>
          <w:tcPr>
            <w:tcW w:w="690" w:type="dxa"/>
            <w:vAlign w:val="top"/>
          </w:tcPr>
          <w:p w14:paraId="1D11B991">
            <w:pPr>
              <w:spacing w:before="35" w:line="212" w:lineRule="auto"/>
              <w:ind w:left="142"/>
              <w:rPr>
                <w:rFonts w:ascii="宋体" w:hAnsi="宋体" w:eastAsia="宋体" w:cs="宋体"/>
                <w:sz w:val="21"/>
                <w:szCs w:val="21"/>
              </w:rPr>
            </w:pPr>
            <w:r>
              <w:rPr>
                <w:rFonts w:ascii="宋体" w:hAnsi="宋体" w:eastAsia="宋体" w:cs="宋体"/>
                <w:spacing w:val="-2"/>
                <w:sz w:val="21"/>
                <w:szCs w:val="21"/>
              </w:rPr>
              <w:t>进口</w:t>
            </w:r>
          </w:p>
        </w:tc>
        <w:tc>
          <w:tcPr>
            <w:tcW w:w="693" w:type="dxa"/>
            <w:vAlign w:val="top"/>
          </w:tcPr>
          <w:p w14:paraId="1FAF5260">
            <w:pPr>
              <w:spacing w:before="35" w:line="212" w:lineRule="auto"/>
              <w:ind w:left="165"/>
              <w:rPr>
                <w:rFonts w:ascii="宋体" w:hAnsi="宋体" w:eastAsia="宋体" w:cs="宋体"/>
                <w:sz w:val="21"/>
                <w:szCs w:val="21"/>
              </w:rPr>
            </w:pPr>
            <w:r>
              <w:rPr>
                <w:rFonts w:ascii="宋体" w:hAnsi="宋体" w:eastAsia="宋体" w:cs="宋体"/>
                <w:spacing w:val="-7"/>
                <w:sz w:val="21"/>
                <w:szCs w:val="21"/>
              </w:rPr>
              <w:t>出口</w:t>
            </w:r>
          </w:p>
        </w:tc>
        <w:tc>
          <w:tcPr>
            <w:tcW w:w="690" w:type="dxa"/>
            <w:vAlign w:val="top"/>
          </w:tcPr>
          <w:p w14:paraId="5A64F2D1">
            <w:pPr>
              <w:spacing w:before="35" w:line="212" w:lineRule="auto"/>
              <w:ind w:left="145"/>
              <w:rPr>
                <w:rFonts w:ascii="宋体" w:hAnsi="宋体" w:eastAsia="宋体" w:cs="宋体"/>
                <w:sz w:val="21"/>
                <w:szCs w:val="21"/>
              </w:rPr>
            </w:pPr>
            <w:r>
              <w:rPr>
                <w:rFonts w:ascii="宋体" w:hAnsi="宋体" w:eastAsia="宋体" w:cs="宋体"/>
                <w:spacing w:val="-2"/>
                <w:sz w:val="21"/>
                <w:szCs w:val="21"/>
              </w:rPr>
              <w:t>进口</w:t>
            </w:r>
          </w:p>
        </w:tc>
        <w:tc>
          <w:tcPr>
            <w:tcW w:w="691" w:type="dxa"/>
            <w:vAlign w:val="top"/>
          </w:tcPr>
          <w:p w14:paraId="4268CEB8">
            <w:pPr>
              <w:spacing w:before="35" w:line="212" w:lineRule="auto"/>
              <w:ind w:left="167"/>
              <w:rPr>
                <w:rFonts w:ascii="宋体" w:hAnsi="宋体" w:eastAsia="宋体" w:cs="宋体"/>
                <w:sz w:val="21"/>
                <w:szCs w:val="21"/>
              </w:rPr>
            </w:pPr>
            <w:r>
              <w:rPr>
                <w:rFonts w:ascii="宋体" w:hAnsi="宋体" w:eastAsia="宋体" w:cs="宋体"/>
                <w:spacing w:val="-7"/>
                <w:sz w:val="21"/>
                <w:szCs w:val="21"/>
              </w:rPr>
              <w:t>出口</w:t>
            </w:r>
          </w:p>
        </w:tc>
        <w:tc>
          <w:tcPr>
            <w:tcW w:w="691" w:type="dxa"/>
            <w:vAlign w:val="top"/>
          </w:tcPr>
          <w:p w14:paraId="7B1DED6C">
            <w:pPr>
              <w:spacing w:before="35" w:line="212" w:lineRule="auto"/>
              <w:ind w:left="149"/>
              <w:rPr>
                <w:rFonts w:ascii="宋体" w:hAnsi="宋体" w:eastAsia="宋体" w:cs="宋体"/>
                <w:sz w:val="21"/>
                <w:szCs w:val="21"/>
              </w:rPr>
            </w:pPr>
            <w:r>
              <w:rPr>
                <w:rFonts w:ascii="宋体" w:hAnsi="宋体" w:eastAsia="宋体" w:cs="宋体"/>
                <w:spacing w:val="-2"/>
                <w:sz w:val="21"/>
                <w:szCs w:val="21"/>
              </w:rPr>
              <w:t>进口</w:t>
            </w:r>
          </w:p>
        </w:tc>
        <w:tc>
          <w:tcPr>
            <w:tcW w:w="704" w:type="dxa"/>
            <w:tcBorders>
              <w:right w:val="single" w:color="000000" w:sz="12" w:space="0"/>
            </w:tcBorders>
            <w:vAlign w:val="top"/>
          </w:tcPr>
          <w:p w14:paraId="281C2265">
            <w:pPr>
              <w:spacing w:before="35" w:line="212" w:lineRule="auto"/>
              <w:ind w:left="169"/>
              <w:rPr>
                <w:rFonts w:ascii="宋体" w:hAnsi="宋体" w:eastAsia="宋体" w:cs="宋体"/>
                <w:sz w:val="21"/>
                <w:szCs w:val="21"/>
              </w:rPr>
            </w:pPr>
            <w:r>
              <w:rPr>
                <w:rFonts w:ascii="宋体" w:hAnsi="宋体" w:eastAsia="宋体" w:cs="宋体"/>
                <w:spacing w:val="-7"/>
                <w:sz w:val="21"/>
                <w:szCs w:val="21"/>
              </w:rPr>
              <w:t>出口</w:t>
            </w:r>
          </w:p>
        </w:tc>
      </w:tr>
      <w:tr w14:paraId="46A62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restart"/>
            <w:tcBorders>
              <w:left w:val="single" w:color="000000" w:sz="12" w:space="0"/>
              <w:bottom w:val="nil"/>
            </w:tcBorders>
            <w:vAlign w:val="top"/>
          </w:tcPr>
          <w:p w14:paraId="18E8CF0D">
            <w:pPr>
              <w:pStyle w:val="6"/>
              <w:spacing w:before="37" w:line="236" w:lineRule="auto"/>
              <w:ind w:left="95" w:right="58" w:hanging="36"/>
              <w:rPr>
                <w:rFonts w:ascii="宋体" w:hAnsi="宋体" w:eastAsia="宋体" w:cs="宋体"/>
              </w:rPr>
            </w:pPr>
            <w:r>
              <w:rPr>
                <w:spacing w:val="-5"/>
              </w:rPr>
              <w:t>11#</w:t>
            </w:r>
            <w:r>
              <w:rPr>
                <w:rFonts w:ascii="宋体" w:hAnsi="宋体" w:eastAsia="宋体" w:cs="宋体"/>
                <w:spacing w:val="-5"/>
              </w:rPr>
              <w:t>支洞</w:t>
            </w:r>
            <w:r>
              <w:rPr>
                <w:rFonts w:ascii="宋体" w:hAnsi="宋体" w:eastAsia="宋体" w:cs="宋体"/>
                <w:spacing w:val="-3"/>
              </w:rPr>
              <w:t>生活污</w:t>
            </w:r>
          </w:p>
          <w:p w14:paraId="63CEDC1E">
            <w:pPr>
              <w:spacing w:before="7" w:line="220" w:lineRule="auto"/>
              <w:ind w:left="97"/>
              <w:rPr>
                <w:rFonts w:ascii="宋体" w:hAnsi="宋体" w:eastAsia="宋体" w:cs="宋体"/>
                <w:sz w:val="21"/>
                <w:szCs w:val="21"/>
              </w:rPr>
            </w:pPr>
            <w:r>
              <w:rPr>
                <w:rFonts w:ascii="宋体" w:hAnsi="宋体" w:eastAsia="宋体" w:cs="宋体"/>
                <w:spacing w:val="-3"/>
                <w:sz w:val="21"/>
                <w:szCs w:val="21"/>
              </w:rPr>
              <w:t>水处理</w:t>
            </w:r>
          </w:p>
          <w:p w14:paraId="03C52322">
            <w:pPr>
              <w:spacing w:before="23" w:line="207" w:lineRule="auto"/>
              <w:ind w:left="203"/>
              <w:outlineLvl w:val="1"/>
              <w:rPr>
                <w:rFonts w:ascii="宋体" w:hAnsi="宋体" w:eastAsia="宋体" w:cs="宋体"/>
                <w:sz w:val="21"/>
                <w:szCs w:val="21"/>
              </w:rPr>
            </w:pPr>
            <w:bookmarkStart w:id="25" w:name="bookmark37"/>
            <w:bookmarkEnd w:id="25"/>
            <w:r>
              <w:rPr>
                <w:rFonts w:ascii="宋体" w:hAnsi="宋体" w:eastAsia="宋体" w:cs="宋体"/>
                <w:spacing w:val="-3"/>
                <w:sz w:val="21"/>
                <w:szCs w:val="21"/>
              </w:rPr>
              <w:t>设施</w:t>
            </w:r>
          </w:p>
        </w:tc>
        <w:tc>
          <w:tcPr>
            <w:tcW w:w="283" w:type="dxa"/>
            <w:vMerge w:val="restart"/>
            <w:tcBorders>
              <w:bottom w:val="nil"/>
            </w:tcBorders>
            <w:vAlign w:val="top"/>
          </w:tcPr>
          <w:p w14:paraId="67B0AECE">
            <w:pPr>
              <w:pStyle w:val="6"/>
              <w:spacing w:before="208" w:line="230" w:lineRule="auto"/>
              <w:ind w:left="25" w:right="45" w:firstLine="70"/>
              <w:jc w:val="both"/>
              <w:rPr>
                <w:rFonts w:ascii="宋体" w:hAnsi="宋体" w:eastAsia="宋体" w:cs="宋体"/>
              </w:rPr>
            </w:pPr>
            <w:r>
              <w:rPr>
                <w:spacing w:val="-25"/>
              </w:rPr>
              <w:t>1</w:t>
            </w:r>
            <w:r>
              <w:rPr>
                <w:rFonts w:ascii="宋体" w:hAnsi="宋体" w:eastAsia="宋体" w:cs="宋体"/>
                <w:spacing w:val="-8"/>
              </w:rPr>
              <w:t>季度</w:t>
            </w:r>
          </w:p>
        </w:tc>
        <w:tc>
          <w:tcPr>
            <w:tcW w:w="1208" w:type="dxa"/>
            <w:vAlign w:val="top"/>
          </w:tcPr>
          <w:p w14:paraId="58A57CB8">
            <w:pPr>
              <w:pStyle w:val="6"/>
              <w:spacing w:before="56" w:line="190" w:lineRule="auto"/>
              <w:ind w:left="165"/>
            </w:pPr>
            <w:r>
              <w:rPr>
                <w:spacing w:val="-1"/>
              </w:rPr>
              <w:t>2019/1/15</w:t>
            </w:r>
          </w:p>
        </w:tc>
        <w:tc>
          <w:tcPr>
            <w:tcW w:w="691" w:type="dxa"/>
            <w:vAlign w:val="top"/>
          </w:tcPr>
          <w:p w14:paraId="4CF83DF3">
            <w:pPr>
              <w:pStyle w:val="6"/>
              <w:spacing w:before="56" w:line="190" w:lineRule="auto"/>
              <w:ind w:left="178"/>
            </w:pPr>
            <w:r>
              <w:rPr>
                <w:spacing w:val="-1"/>
              </w:rPr>
              <w:t>200</w:t>
            </w:r>
          </w:p>
        </w:tc>
        <w:tc>
          <w:tcPr>
            <w:tcW w:w="691" w:type="dxa"/>
            <w:vAlign w:val="top"/>
          </w:tcPr>
          <w:p w14:paraId="398F68D4">
            <w:pPr>
              <w:pStyle w:val="6"/>
              <w:spacing w:before="61" w:line="185" w:lineRule="auto"/>
              <w:ind w:left="153"/>
            </w:pPr>
            <w:r>
              <w:rPr>
                <w:b/>
                <w:bCs/>
                <w:spacing w:val="-1"/>
              </w:rPr>
              <w:t>28.6</w:t>
            </w:r>
          </w:p>
        </w:tc>
        <w:tc>
          <w:tcPr>
            <w:tcW w:w="689" w:type="dxa"/>
            <w:vAlign w:val="top"/>
          </w:tcPr>
          <w:p w14:paraId="639F02C0">
            <w:pPr>
              <w:pStyle w:val="6"/>
              <w:spacing w:before="56" w:line="190" w:lineRule="auto"/>
              <w:ind w:left="178"/>
            </w:pPr>
            <w:r>
              <w:rPr>
                <w:spacing w:val="-1"/>
              </w:rPr>
              <w:t>408</w:t>
            </w:r>
          </w:p>
        </w:tc>
        <w:tc>
          <w:tcPr>
            <w:tcW w:w="691" w:type="dxa"/>
            <w:vAlign w:val="top"/>
          </w:tcPr>
          <w:p w14:paraId="6ECB6968">
            <w:pPr>
              <w:pStyle w:val="6"/>
              <w:spacing w:before="56" w:line="190" w:lineRule="auto"/>
              <w:ind w:left="237"/>
            </w:pPr>
            <w:r>
              <w:rPr>
                <w:spacing w:val="-2"/>
              </w:rPr>
              <w:t>73</w:t>
            </w:r>
          </w:p>
        </w:tc>
        <w:tc>
          <w:tcPr>
            <w:tcW w:w="691" w:type="dxa"/>
            <w:vAlign w:val="top"/>
          </w:tcPr>
          <w:p w14:paraId="0F088C2D">
            <w:pPr>
              <w:pStyle w:val="6"/>
              <w:spacing w:before="56" w:line="190" w:lineRule="auto"/>
              <w:ind w:left="188"/>
            </w:pPr>
            <w:r>
              <w:rPr>
                <w:spacing w:val="-2"/>
              </w:rPr>
              <w:t>344</w:t>
            </w:r>
          </w:p>
        </w:tc>
        <w:tc>
          <w:tcPr>
            <w:tcW w:w="692" w:type="dxa"/>
            <w:vAlign w:val="top"/>
          </w:tcPr>
          <w:p w14:paraId="40A5C798">
            <w:pPr>
              <w:pStyle w:val="6"/>
              <w:spacing w:before="56" w:line="190" w:lineRule="auto"/>
              <w:ind w:left="243"/>
            </w:pPr>
            <w:r>
              <w:rPr>
                <w:spacing w:val="-3"/>
              </w:rPr>
              <w:t>58</w:t>
            </w:r>
          </w:p>
        </w:tc>
        <w:tc>
          <w:tcPr>
            <w:tcW w:w="691" w:type="dxa"/>
            <w:vAlign w:val="top"/>
          </w:tcPr>
          <w:p w14:paraId="2D6B5423">
            <w:pPr>
              <w:pStyle w:val="6"/>
              <w:spacing w:before="56" w:line="190" w:lineRule="auto"/>
              <w:ind w:left="164"/>
            </w:pPr>
            <w:r>
              <w:rPr>
                <w:spacing w:val="-2"/>
              </w:rPr>
              <w:t>70.6</w:t>
            </w:r>
          </w:p>
        </w:tc>
        <w:tc>
          <w:tcPr>
            <w:tcW w:w="689" w:type="dxa"/>
            <w:vAlign w:val="top"/>
          </w:tcPr>
          <w:p w14:paraId="3C78D81F">
            <w:pPr>
              <w:pStyle w:val="6"/>
              <w:spacing w:before="61" w:line="185" w:lineRule="auto"/>
              <w:ind w:left="160"/>
            </w:pPr>
            <w:r>
              <w:rPr>
                <w:b/>
                <w:bCs/>
                <w:spacing w:val="-1"/>
              </w:rPr>
              <w:t>32.9</w:t>
            </w:r>
          </w:p>
        </w:tc>
        <w:tc>
          <w:tcPr>
            <w:tcW w:w="691" w:type="dxa"/>
            <w:vAlign w:val="top"/>
          </w:tcPr>
          <w:p w14:paraId="163B25A8">
            <w:pPr>
              <w:pStyle w:val="6"/>
              <w:spacing w:before="56" w:line="190" w:lineRule="auto"/>
              <w:ind w:left="168"/>
            </w:pPr>
            <w:r>
              <w:rPr>
                <w:spacing w:val="-2"/>
              </w:rPr>
              <w:t>7.38</w:t>
            </w:r>
          </w:p>
        </w:tc>
        <w:tc>
          <w:tcPr>
            <w:tcW w:w="691" w:type="dxa"/>
            <w:vAlign w:val="top"/>
          </w:tcPr>
          <w:p w14:paraId="2115C7C4">
            <w:pPr>
              <w:pStyle w:val="6"/>
              <w:spacing w:before="61" w:line="185" w:lineRule="auto"/>
              <w:ind w:left="167"/>
            </w:pPr>
            <w:r>
              <w:rPr>
                <w:b/>
                <w:bCs/>
                <w:spacing w:val="-2"/>
              </w:rPr>
              <w:t>2.35</w:t>
            </w:r>
          </w:p>
        </w:tc>
        <w:tc>
          <w:tcPr>
            <w:tcW w:w="690" w:type="dxa"/>
            <w:vAlign w:val="top"/>
          </w:tcPr>
          <w:p w14:paraId="393A586F">
            <w:pPr>
              <w:pStyle w:val="6"/>
              <w:spacing w:before="56" w:line="190" w:lineRule="auto"/>
              <w:ind w:left="170"/>
            </w:pPr>
            <w:r>
              <w:rPr>
                <w:spacing w:val="-2"/>
              </w:rPr>
              <w:t>3.41</w:t>
            </w:r>
          </w:p>
        </w:tc>
        <w:tc>
          <w:tcPr>
            <w:tcW w:w="693" w:type="dxa"/>
            <w:vAlign w:val="top"/>
          </w:tcPr>
          <w:p w14:paraId="5D76C472">
            <w:pPr>
              <w:pStyle w:val="6"/>
              <w:spacing w:before="56" w:line="190" w:lineRule="auto"/>
              <w:ind w:left="173"/>
            </w:pPr>
            <w:r>
              <w:rPr>
                <w:spacing w:val="-2"/>
              </w:rPr>
              <w:t>0.46</w:t>
            </w:r>
          </w:p>
        </w:tc>
        <w:tc>
          <w:tcPr>
            <w:tcW w:w="690" w:type="dxa"/>
            <w:vAlign w:val="top"/>
          </w:tcPr>
          <w:p w14:paraId="6E50CCC4">
            <w:pPr>
              <w:pStyle w:val="6"/>
              <w:spacing w:before="56" w:line="190" w:lineRule="auto"/>
              <w:ind w:left="89"/>
            </w:pPr>
            <w:r>
              <w:rPr>
                <w:spacing w:val="-1"/>
              </w:rPr>
              <w:t>43000</w:t>
            </w:r>
          </w:p>
        </w:tc>
        <w:tc>
          <w:tcPr>
            <w:tcW w:w="691" w:type="dxa"/>
            <w:vAlign w:val="top"/>
          </w:tcPr>
          <w:p w14:paraId="323A6AE3">
            <w:pPr>
              <w:pStyle w:val="6"/>
              <w:spacing w:before="61" w:line="185" w:lineRule="auto"/>
              <w:ind w:left="93"/>
            </w:pPr>
            <w:r>
              <w:rPr>
                <w:b/>
                <w:bCs/>
                <w:spacing w:val="-1"/>
              </w:rPr>
              <w:t>24000</w:t>
            </w:r>
          </w:p>
        </w:tc>
        <w:tc>
          <w:tcPr>
            <w:tcW w:w="691" w:type="dxa"/>
            <w:vAlign w:val="top"/>
          </w:tcPr>
          <w:p w14:paraId="26009C49">
            <w:pPr>
              <w:pStyle w:val="6"/>
              <w:spacing w:before="56" w:line="190" w:lineRule="auto"/>
              <w:ind w:left="173"/>
            </w:pPr>
            <w:r>
              <w:rPr>
                <w:spacing w:val="-1"/>
              </w:rPr>
              <w:t>2.72</w:t>
            </w:r>
          </w:p>
        </w:tc>
        <w:tc>
          <w:tcPr>
            <w:tcW w:w="704" w:type="dxa"/>
            <w:tcBorders>
              <w:right w:val="single" w:color="000000" w:sz="12" w:space="0"/>
            </w:tcBorders>
            <w:vAlign w:val="top"/>
          </w:tcPr>
          <w:p w14:paraId="7A93D6EF">
            <w:pPr>
              <w:pStyle w:val="6"/>
              <w:spacing w:before="56" w:line="190" w:lineRule="auto"/>
              <w:ind w:left="112"/>
            </w:pPr>
            <w:r>
              <w:rPr>
                <w:spacing w:val="-2"/>
              </w:rPr>
              <w:t>0.05L</w:t>
            </w:r>
          </w:p>
        </w:tc>
      </w:tr>
      <w:tr w14:paraId="5F4F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3A93577B">
            <w:pPr>
              <w:rPr>
                <w:rFonts w:ascii="Arial"/>
                <w:sz w:val="21"/>
              </w:rPr>
            </w:pPr>
          </w:p>
        </w:tc>
        <w:tc>
          <w:tcPr>
            <w:tcW w:w="283" w:type="dxa"/>
            <w:vMerge w:val="continue"/>
            <w:tcBorders>
              <w:top w:val="nil"/>
              <w:bottom w:val="nil"/>
            </w:tcBorders>
            <w:vAlign w:val="top"/>
          </w:tcPr>
          <w:p w14:paraId="7EEA6461">
            <w:pPr>
              <w:rPr>
                <w:rFonts w:ascii="Arial"/>
                <w:sz w:val="21"/>
              </w:rPr>
            </w:pPr>
          </w:p>
        </w:tc>
        <w:tc>
          <w:tcPr>
            <w:tcW w:w="1208" w:type="dxa"/>
            <w:vAlign w:val="top"/>
          </w:tcPr>
          <w:p w14:paraId="67F35063">
            <w:pPr>
              <w:pStyle w:val="6"/>
              <w:spacing w:before="56" w:line="188" w:lineRule="auto"/>
              <w:ind w:left="165"/>
            </w:pPr>
            <w:r>
              <w:rPr>
                <w:spacing w:val="-1"/>
              </w:rPr>
              <w:t>2019/1/16</w:t>
            </w:r>
          </w:p>
        </w:tc>
        <w:tc>
          <w:tcPr>
            <w:tcW w:w="691" w:type="dxa"/>
            <w:vAlign w:val="top"/>
          </w:tcPr>
          <w:p w14:paraId="120D50F4">
            <w:pPr>
              <w:pStyle w:val="6"/>
              <w:spacing w:before="56" w:line="188" w:lineRule="auto"/>
              <w:ind w:left="178"/>
            </w:pPr>
            <w:r>
              <w:rPr>
                <w:spacing w:val="-1"/>
              </w:rPr>
              <w:t>206</w:t>
            </w:r>
          </w:p>
        </w:tc>
        <w:tc>
          <w:tcPr>
            <w:tcW w:w="691" w:type="dxa"/>
            <w:vAlign w:val="top"/>
          </w:tcPr>
          <w:p w14:paraId="7BCAFC56">
            <w:pPr>
              <w:pStyle w:val="6"/>
              <w:spacing w:before="60" w:line="184" w:lineRule="auto"/>
              <w:ind w:left="153"/>
            </w:pPr>
            <w:r>
              <w:rPr>
                <w:b/>
                <w:bCs/>
                <w:spacing w:val="-1"/>
              </w:rPr>
              <w:t>29.0</w:t>
            </w:r>
          </w:p>
        </w:tc>
        <w:tc>
          <w:tcPr>
            <w:tcW w:w="689" w:type="dxa"/>
            <w:vAlign w:val="top"/>
          </w:tcPr>
          <w:p w14:paraId="73E728C0">
            <w:pPr>
              <w:pStyle w:val="6"/>
              <w:spacing w:before="56" w:line="188" w:lineRule="auto"/>
              <w:ind w:left="178"/>
            </w:pPr>
            <w:r>
              <w:rPr>
                <w:spacing w:val="-1"/>
              </w:rPr>
              <w:t>420</w:t>
            </w:r>
          </w:p>
        </w:tc>
        <w:tc>
          <w:tcPr>
            <w:tcW w:w="691" w:type="dxa"/>
            <w:vAlign w:val="top"/>
          </w:tcPr>
          <w:p w14:paraId="780F3B43">
            <w:pPr>
              <w:pStyle w:val="6"/>
              <w:spacing w:before="56" w:line="188" w:lineRule="auto"/>
              <w:ind w:left="243"/>
            </w:pPr>
            <w:r>
              <w:rPr>
                <w:spacing w:val="-4"/>
              </w:rPr>
              <w:t>80</w:t>
            </w:r>
          </w:p>
        </w:tc>
        <w:tc>
          <w:tcPr>
            <w:tcW w:w="691" w:type="dxa"/>
            <w:vAlign w:val="top"/>
          </w:tcPr>
          <w:p w14:paraId="58FCF7BD">
            <w:pPr>
              <w:pStyle w:val="6"/>
              <w:spacing w:before="56" w:line="188" w:lineRule="auto"/>
              <w:ind w:left="188"/>
            </w:pPr>
            <w:r>
              <w:rPr>
                <w:spacing w:val="-2"/>
              </w:rPr>
              <w:t>320</w:t>
            </w:r>
          </w:p>
        </w:tc>
        <w:tc>
          <w:tcPr>
            <w:tcW w:w="692" w:type="dxa"/>
            <w:vAlign w:val="top"/>
          </w:tcPr>
          <w:p w14:paraId="19654C2A">
            <w:pPr>
              <w:pStyle w:val="6"/>
              <w:spacing w:before="56" w:line="188" w:lineRule="auto"/>
              <w:ind w:left="242"/>
            </w:pPr>
            <w:r>
              <w:rPr>
                <w:spacing w:val="-3"/>
              </w:rPr>
              <w:t>64</w:t>
            </w:r>
          </w:p>
        </w:tc>
        <w:tc>
          <w:tcPr>
            <w:tcW w:w="691" w:type="dxa"/>
            <w:vAlign w:val="top"/>
          </w:tcPr>
          <w:p w14:paraId="35F0E5CC">
            <w:pPr>
              <w:pStyle w:val="6"/>
              <w:spacing w:before="56" w:line="188" w:lineRule="auto"/>
              <w:ind w:left="166"/>
            </w:pPr>
            <w:r>
              <w:rPr>
                <w:spacing w:val="-2"/>
              </w:rPr>
              <w:t>69.3</w:t>
            </w:r>
          </w:p>
        </w:tc>
        <w:tc>
          <w:tcPr>
            <w:tcW w:w="689" w:type="dxa"/>
            <w:vAlign w:val="top"/>
          </w:tcPr>
          <w:p w14:paraId="49EA5539">
            <w:pPr>
              <w:pStyle w:val="6"/>
              <w:spacing w:before="60" w:line="184" w:lineRule="auto"/>
              <w:ind w:left="160"/>
            </w:pPr>
            <w:r>
              <w:rPr>
                <w:b/>
                <w:bCs/>
                <w:spacing w:val="-1"/>
              </w:rPr>
              <w:t>31.4</w:t>
            </w:r>
          </w:p>
        </w:tc>
        <w:tc>
          <w:tcPr>
            <w:tcW w:w="691" w:type="dxa"/>
            <w:vAlign w:val="top"/>
          </w:tcPr>
          <w:p w14:paraId="01FA1EB8">
            <w:pPr>
              <w:pStyle w:val="6"/>
              <w:spacing w:before="56" w:line="188" w:lineRule="auto"/>
              <w:ind w:left="168"/>
            </w:pPr>
            <w:r>
              <w:rPr>
                <w:spacing w:val="-2"/>
              </w:rPr>
              <w:t>7.41</w:t>
            </w:r>
          </w:p>
        </w:tc>
        <w:tc>
          <w:tcPr>
            <w:tcW w:w="691" w:type="dxa"/>
            <w:vAlign w:val="top"/>
          </w:tcPr>
          <w:p w14:paraId="437B2B80">
            <w:pPr>
              <w:pStyle w:val="6"/>
              <w:spacing w:before="60" w:line="184" w:lineRule="auto"/>
              <w:ind w:left="167"/>
            </w:pPr>
            <w:r>
              <w:rPr>
                <w:b/>
                <w:bCs/>
                <w:spacing w:val="-2"/>
              </w:rPr>
              <w:t>2.33</w:t>
            </w:r>
          </w:p>
        </w:tc>
        <w:tc>
          <w:tcPr>
            <w:tcW w:w="690" w:type="dxa"/>
            <w:vAlign w:val="top"/>
          </w:tcPr>
          <w:p w14:paraId="637CD0EF">
            <w:pPr>
              <w:pStyle w:val="6"/>
              <w:spacing w:before="56" w:line="188" w:lineRule="auto"/>
              <w:ind w:left="170"/>
            </w:pPr>
            <w:r>
              <w:rPr>
                <w:spacing w:val="-2"/>
              </w:rPr>
              <w:t>3.45</w:t>
            </w:r>
          </w:p>
        </w:tc>
        <w:tc>
          <w:tcPr>
            <w:tcW w:w="693" w:type="dxa"/>
            <w:vAlign w:val="top"/>
          </w:tcPr>
          <w:p w14:paraId="2608378F">
            <w:pPr>
              <w:pStyle w:val="6"/>
              <w:spacing w:before="56" w:line="188" w:lineRule="auto"/>
              <w:ind w:left="173"/>
            </w:pPr>
            <w:r>
              <w:rPr>
                <w:spacing w:val="-2"/>
              </w:rPr>
              <w:t>0.41</w:t>
            </w:r>
          </w:p>
        </w:tc>
        <w:tc>
          <w:tcPr>
            <w:tcW w:w="690" w:type="dxa"/>
            <w:vAlign w:val="top"/>
          </w:tcPr>
          <w:p w14:paraId="79BCD2CE">
            <w:pPr>
              <w:pStyle w:val="6"/>
              <w:spacing w:before="56" w:line="188" w:lineRule="auto"/>
              <w:ind w:left="89"/>
            </w:pPr>
            <w:r>
              <w:rPr>
                <w:spacing w:val="-1"/>
              </w:rPr>
              <w:t>46000</w:t>
            </w:r>
          </w:p>
        </w:tc>
        <w:tc>
          <w:tcPr>
            <w:tcW w:w="691" w:type="dxa"/>
            <w:vAlign w:val="top"/>
          </w:tcPr>
          <w:p w14:paraId="6EE21203">
            <w:pPr>
              <w:pStyle w:val="6"/>
              <w:spacing w:before="60" w:line="184" w:lineRule="auto"/>
              <w:ind w:left="93"/>
            </w:pPr>
            <w:r>
              <w:rPr>
                <w:b/>
                <w:bCs/>
                <w:spacing w:val="-1"/>
              </w:rPr>
              <w:t>26000</w:t>
            </w:r>
          </w:p>
        </w:tc>
        <w:tc>
          <w:tcPr>
            <w:tcW w:w="691" w:type="dxa"/>
            <w:vAlign w:val="top"/>
          </w:tcPr>
          <w:p w14:paraId="0FEEA3CA">
            <w:pPr>
              <w:pStyle w:val="6"/>
              <w:spacing w:before="56" w:line="188" w:lineRule="auto"/>
              <w:ind w:left="173"/>
            </w:pPr>
            <w:r>
              <w:rPr>
                <w:spacing w:val="-1"/>
              </w:rPr>
              <w:t>2.71</w:t>
            </w:r>
          </w:p>
        </w:tc>
        <w:tc>
          <w:tcPr>
            <w:tcW w:w="704" w:type="dxa"/>
            <w:tcBorders>
              <w:right w:val="single" w:color="000000" w:sz="12" w:space="0"/>
            </w:tcBorders>
            <w:vAlign w:val="top"/>
          </w:tcPr>
          <w:p w14:paraId="2A621F8E">
            <w:pPr>
              <w:pStyle w:val="6"/>
              <w:spacing w:before="56" w:line="188" w:lineRule="auto"/>
              <w:ind w:left="112"/>
            </w:pPr>
            <w:r>
              <w:rPr>
                <w:spacing w:val="-2"/>
              </w:rPr>
              <w:t>0.05L</w:t>
            </w:r>
          </w:p>
        </w:tc>
      </w:tr>
      <w:tr w14:paraId="50427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9" w:type="dxa"/>
            <w:vMerge w:val="continue"/>
            <w:tcBorders>
              <w:top w:val="nil"/>
              <w:left w:val="single" w:color="000000" w:sz="12" w:space="0"/>
            </w:tcBorders>
            <w:vAlign w:val="top"/>
          </w:tcPr>
          <w:p w14:paraId="79EDDF96">
            <w:pPr>
              <w:rPr>
                <w:rFonts w:ascii="Arial"/>
                <w:sz w:val="21"/>
              </w:rPr>
            </w:pPr>
          </w:p>
        </w:tc>
        <w:tc>
          <w:tcPr>
            <w:tcW w:w="283" w:type="dxa"/>
            <w:vMerge w:val="continue"/>
            <w:tcBorders>
              <w:top w:val="nil"/>
            </w:tcBorders>
            <w:vAlign w:val="top"/>
          </w:tcPr>
          <w:p w14:paraId="3FAECEF8">
            <w:pPr>
              <w:rPr>
                <w:rFonts w:ascii="Arial"/>
                <w:sz w:val="21"/>
              </w:rPr>
            </w:pPr>
          </w:p>
        </w:tc>
        <w:tc>
          <w:tcPr>
            <w:tcW w:w="1208" w:type="dxa"/>
            <w:vAlign w:val="top"/>
          </w:tcPr>
          <w:p w14:paraId="33AD2B6D">
            <w:pPr>
              <w:pStyle w:val="6"/>
              <w:spacing w:before="215" w:line="232" w:lineRule="auto"/>
              <w:ind w:left="165"/>
            </w:pPr>
            <w:r>
              <w:rPr>
                <w:spacing w:val="-1"/>
              </w:rPr>
              <w:t>2019/1/17</w:t>
            </w:r>
          </w:p>
        </w:tc>
        <w:tc>
          <w:tcPr>
            <w:tcW w:w="691" w:type="dxa"/>
            <w:vAlign w:val="top"/>
          </w:tcPr>
          <w:p w14:paraId="2496A357">
            <w:pPr>
              <w:pStyle w:val="6"/>
              <w:spacing w:before="215" w:line="232" w:lineRule="auto"/>
              <w:ind w:left="198"/>
            </w:pPr>
            <w:r>
              <w:rPr>
                <w:spacing w:val="-6"/>
              </w:rPr>
              <w:t>196</w:t>
            </w:r>
          </w:p>
        </w:tc>
        <w:tc>
          <w:tcPr>
            <w:tcW w:w="691" w:type="dxa"/>
            <w:vAlign w:val="top"/>
          </w:tcPr>
          <w:p w14:paraId="3BC9C1CC">
            <w:pPr>
              <w:pStyle w:val="6"/>
              <w:spacing w:before="219" w:line="229" w:lineRule="auto"/>
              <w:ind w:left="153"/>
            </w:pPr>
            <w:r>
              <w:rPr>
                <w:b/>
                <w:bCs/>
                <w:spacing w:val="-1"/>
              </w:rPr>
              <w:t>28.0</w:t>
            </w:r>
          </w:p>
        </w:tc>
        <w:tc>
          <w:tcPr>
            <w:tcW w:w="689" w:type="dxa"/>
            <w:vAlign w:val="top"/>
          </w:tcPr>
          <w:p w14:paraId="210DA190">
            <w:pPr>
              <w:pStyle w:val="6"/>
              <w:spacing w:before="215" w:line="232" w:lineRule="auto"/>
              <w:ind w:left="178"/>
            </w:pPr>
            <w:r>
              <w:rPr>
                <w:spacing w:val="-1"/>
              </w:rPr>
              <w:t>400</w:t>
            </w:r>
          </w:p>
        </w:tc>
        <w:tc>
          <w:tcPr>
            <w:tcW w:w="691" w:type="dxa"/>
            <w:vAlign w:val="top"/>
          </w:tcPr>
          <w:p w14:paraId="3E54D1EC">
            <w:pPr>
              <w:pStyle w:val="6"/>
              <w:spacing w:before="215" w:line="232" w:lineRule="auto"/>
              <w:ind w:left="239"/>
            </w:pPr>
            <w:r>
              <w:rPr>
                <w:spacing w:val="-3"/>
              </w:rPr>
              <w:t>68</w:t>
            </w:r>
          </w:p>
        </w:tc>
        <w:tc>
          <w:tcPr>
            <w:tcW w:w="691" w:type="dxa"/>
            <w:vAlign w:val="top"/>
          </w:tcPr>
          <w:p w14:paraId="722BE25E">
            <w:pPr>
              <w:pStyle w:val="6"/>
              <w:spacing w:before="215" w:line="232" w:lineRule="auto"/>
              <w:ind w:left="188"/>
            </w:pPr>
            <w:r>
              <w:rPr>
                <w:spacing w:val="-2"/>
              </w:rPr>
              <w:t>332</w:t>
            </w:r>
          </w:p>
        </w:tc>
        <w:tc>
          <w:tcPr>
            <w:tcW w:w="692" w:type="dxa"/>
            <w:vAlign w:val="top"/>
          </w:tcPr>
          <w:p w14:paraId="6A5C4AAB">
            <w:pPr>
              <w:pStyle w:val="6"/>
              <w:spacing w:before="215" w:line="232" w:lineRule="auto"/>
              <w:ind w:left="242"/>
            </w:pPr>
            <w:r>
              <w:rPr>
                <w:spacing w:val="-3"/>
              </w:rPr>
              <w:t>61</w:t>
            </w:r>
          </w:p>
        </w:tc>
        <w:tc>
          <w:tcPr>
            <w:tcW w:w="691" w:type="dxa"/>
            <w:vAlign w:val="top"/>
          </w:tcPr>
          <w:p w14:paraId="0BF89F70">
            <w:pPr>
              <w:pStyle w:val="6"/>
              <w:spacing w:before="215" w:line="232" w:lineRule="auto"/>
              <w:ind w:left="164"/>
            </w:pPr>
            <w:r>
              <w:rPr>
                <w:spacing w:val="-2"/>
              </w:rPr>
              <w:t>71.5</w:t>
            </w:r>
          </w:p>
        </w:tc>
        <w:tc>
          <w:tcPr>
            <w:tcW w:w="689" w:type="dxa"/>
            <w:vAlign w:val="top"/>
          </w:tcPr>
          <w:p w14:paraId="492A3C75">
            <w:pPr>
              <w:pStyle w:val="6"/>
              <w:spacing w:before="219" w:line="229" w:lineRule="auto"/>
              <w:ind w:left="160"/>
            </w:pPr>
            <w:r>
              <w:rPr>
                <w:b/>
                <w:bCs/>
                <w:spacing w:val="-1"/>
              </w:rPr>
              <w:t>33.6</w:t>
            </w:r>
          </w:p>
        </w:tc>
        <w:tc>
          <w:tcPr>
            <w:tcW w:w="691" w:type="dxa"/>
            <w:vAlign w:val="top"/>
          </w:tcPr>
          <w:p w14:paraId="52F46446">
            <w:pPr>
              <w:pStyle w:val="6"/>
              <w:spacing w:before="215" w:line="232" w:lineRule="auto"/>
              <w:ind w:left="168"/>
            </w:pPr>
            <w:r>
              <w:rPr>
                <w:spacing w:val="-2"/>
              </w:rPr>
              <w:t>7.35</w:t>
            </w:r>
          </w:p>
        </w:tc>
        <w:tc>
          <w:tcPr>
            <w:tcW w:w="691" w:type="dxa"/>
            <w:vAlign w:val="top"/>
          </w:tcPr>
          <w:p w14:paraId="402D1C5A">
            <w:pPr>
              <w:pStyle w:val="6"/>
              <w:spacing w:before="219" w:line="229" w:lineRule="auto"/>
              <w:ind w:left="167"/>
            </w:pPr>
            <w:r>
              <w:rPr>
                <w:b/>
                <w:bCs/>
                <w:spacing w:val="-2"/>
              </w:rPr>
              <w:t>2.29</w:t>
            </w:r>
          </w:p>
        </w:tc>
        <w:tc>
          <w:tcPr>
            <w:tcW w:w="690" w:type="dxa"/>
            <w:vAlign w:val="top"/>
          </w:tcPr>
          <w:p w14:paraId="1F0F2FA1">
            <w:pPr>
              <w:pStyle w:val="6"/>
              <w:spacing w:before="215" w:line="232" w:lineRule="auto"/>
              <w:ind w:left="170"/>
            </w:pPr>
            <w:r>
              <w:rPr>
                <w:spacing w:val="-2"/>
              </w:rPr>
              <w:t>3.38</w:t>
            </w:r>
          </w:p>
        </w:tc>
        <w:tc>
          <w:tcPr>
            <w:tcW w:w="693" w:type="dxa"/>
            <w:vAlign w:val="top"/>
          </w:tcPr>
          <w:p w14:paraId="478533E9">
            <w:pPr>
              <w:pStyle w:val="6"/>
              <w:spacing w:before="215" w:line="232" w:lineRule="auto"/>
              <w:ind w:left="173"/>
            </w:pPr>
            <w:r>
              <w:rPr>
                <w:spacing w:val="-2"/>
              </w:rPr>
              <w:t>0.52</w:t>
            </w:r>
          </w:p>
        </w:tc>
        <w:tc>
          <w:tcPr>
            <w:tcW w:w="690" w:type="dxa"/>
            <w:vAlign w:val="top"/>
          </w:tcPr>
          <w:p w14:paraId="7264F2D2">
            <w:pPr>
              <w:pStyle w:val="6"/>
              <w:spacing w:before="215" w:line="232" w:lineRule="auto"/>
              <w:ind w:left="89"/>
            </w:pPr>
            <w:r>
              <w:rPr>
                <w:spacing w:val="-1"/>
              </w:rPr>
              <w:t>49000</w:t>
            </w:r>
          </w:p>
        </w:tc>
        <w:tc>
          <w:tcPr>
            <w:tcW w:w="691" w:type="dxa"/>
            <w:vAlign w:val="top"/>
          </w:tcPr>
          <w:p w14:paraId="10AAB246">
            <w:pPr>
              <w:pStyle w:val="6"/>
              <w:spacing w:before="219" w:line="229" w:lineRule="auto"/>
              <w:ind w:left="93"/>
            </w:pPr>
            <w:r>
              <w:rPr>
                <w:b/>
                <w:bCs/>
                <w:spacing w:val="-1"/>
              </w:rPr>
              <w:t>27000</w:t>
            </w:r>
          </w:p>
        </w:tc>
        <w:tc>
          <w:tcPr>
            <w:tcW w:w="691" w:type="dxa"/>
            <w:vAlign w:val="top"/>
          </w:tcPr>
          <w:p w14:paraId="4E1A82FE">
            <w:pPr>
              <w:pStyle w:val="6"/>
              <w:spacing w:before="215" w:line="232" w:lineRule="auto"/>
              <w:ind w:left="173"/>
            </w:pPr>
            <w:r>
              <w:rPr>
                <w:spacing w:val="-1"/>
              </w:rPr>
              <w:t>2.70</w:t>
            </w:r>
          </w:p>
        </w:tc>
        <w:tc>
          <w:tcPr>
            <w:tcW w:w="704" w:type="dxa"/>
            <w:tcBorders>
              <w:right w:val="single" w:color="000000" w:sz="12" w:space="0"/>
            </w:tcBorders>
            <w:vAlign w:val="top"/>
          </w:tcPr>
          <w:p w14:paraId="74C0ADDF">
            <w:pPr>
              <w:pStyle w:val="6"/>
              <w:spacing w:before="215" w:line="232" w:lineRule="auto"/>
              <w:ind w:left="112"/>
            </w:pPr>
            <w:r>
              <w:rPr>
                <w:spacing w:val="-2"/>
              </w:rPr>
              <w:t>0.05L</w:t>
            </w:r>
          </w:p>
        </w:tc>
      </w:tr>
      <w:tr w14:paraId="51C02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restart"/>
            <w:tcBorders>
              <w:left w:val="single" w:color="000000" w:sz="12" w:space="0"/>
              <w:bottom w:val="nil"/>
            </w:tcBorders>
            <w:vAlign w:val="top"/>
          </w:tcPr>
          <w:p w14:paraId="0DFFB793">
            <w:pPr>
              <w:pStyle w:val="6"/>
              <w:spacing w:before="44" w:line="234" w:lineRule="auto"/>
              <w:ind w:left="117"/>
              <w:rPr>
                <w:rFonts w:ascii="宋体" w:hAnsi="宋体" w:eastAsia="宋体" w:cs="宋体"/>
              </w:rPr>
            </w:pPr>
            <w:r>
              <w:rPr>
                <w:spacing w:val="-3"/>
              </w:rPr>
              <w:t>2</w:t>
            </w:r>
            <w:r>
              <w:rPr>
                <w:spacing w:val="9"/>
              </w:rPr>
              <w:t xml:space="preserve"> </w:t>
            </w:r>
            <w:r>
              <w:rPr>
                <w:rFonts w:ascii="宋体" w:hAnsi="宋体" w:eastAsia="宋体" w:cs="宋体"/>
                <w:spacing w:val="-3"/>
              </w:rPr>
              <w:t>标段</w:t>
            </w:r>
          </w:p>
          <w:p w14:paraId="73CD6E1E">
            <w:pPr>
              <w:spacing w:before="5" w:line="220" w:lineRule="auto"/>
              <w:ind w:left="97"/>
              <w:rPr>
                <w:rFonts w:ascii="宋体" w:hAnsi="宋体" w:eastAsia="宋体" w:cs="宋体"/>
                <w:sz w:val="21"/>
                <w:szCs w:val="21"/>
              </w:rPr>
            </w:pPr>
            <w:r>
              <w:rPr>
                <w:rFonts w:ascii="宋体" w:hAnsi="宋体" w:eastAsia="宋体" w:cs="宋体"/>
                <w:spacing w:val="-3"/>
                <w:sz w:val="21"/>
                <w:szCs w:val="21"/>
              </w:rPr>
              <w:t>项目部</w:t>
            </w:r>
          </w:p>
          <w:p w14:paraId="039F27B0">
            <w:pPr>
              <w:spacing w:before="22" w:line="205" w:lineRule="auto"/>
              <w:ind w:left="96"/>
              <w:rPr>
                <w:rFonts w:ascii="宋体" w:hAnsi="宋体" w:eastAsia="宋体" w:cs="宋体"/>
                <w:sz w:val="21"/>
                <w:szCs w:val="21"/>
              </w:rPr>
            </w:pPr>
            <w:r>
              <w:rPr>
                <w:rFonts w:ascii="宋体" w:hAnsi="宋体" w:eastAsia="宋体" w:cs="宋体"/>
                <w:spacing w:val="-3"/>
                <w:sz w:val="21"/>
                <w:szCs w:val="21"/>
              </w:rPr>
              <w:t>让田村</w:t>
            </w:r>
          </w:p>
        </w:tc>
        <w:tc>
          <w:tcPr>
            <w:tcW w:w="283" w:type="dxa"/>
            <w:vMerge w:val="restart"/>
            <w:tcBorders>
              <w:bottom w:val="nil"/>
            </w:tcBorders>
            <w:vAlign w:val="top"/>
          </w:tcPr>
          <w:p w14:paraId="35AAD027">
            <w:pPr>
              <w:pStyle w:val="6"/>
              <w:spacing w:before="77" w:line="222" w:lineRule="auto"/>
              <w:ind w:left="95"/>
            </w:pPr>
            <w:r>
              <w:t>1</w:t>
            </w:r>
          </w:p>
          <w:p w14:paraId="1AA6A01D">
            <w:pPr>
              <w:spacing w:line="219" w:lineRule="auto"/>
              <w:ind w:left="26"/>
              <w:rPr>
                <w:rFonts w:ascii="宋体" w:hAnsi="宋体" w:eastAsia="宋体" w:cs="宋体"/>
                <w:sz w:val="21"/>
                <w:szCs w:val="21"/>
              </w:rPr>
            </w:pPr>
            <w:r>
              <w:rPr>
                <w:rFonts w:ascii="宋体" w:hAnsi="宋体" w:eastAsia="宋体" w:cs="宋体"/>
                <w:sz w:val="21"/>
                <w:szCs w:val="21"/>
              </w:rPr>
              <w:t>季</w:t>
            </w:r>
          </w:p>
          <w:p w14:paraId="76FF600B">
            <w:pPr>
              <w:spacing w:before="22" w:line="219"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6F11696F">
            <w:pPr>
              <w:pStyle w:val="6"/>
              <w:spacing w:before="61" w:line="185" w:lineRule="auto"/>
              <w:ind w:left="165"/>
            </w:pPr>
            <w:r>
              <w:rPr>
                <w:spacing w:val="-1"/>
              </w:rPr>
              <w:t>2019/1/15</w:t>
            </w:r>
          </w:p>
        </w:tc>
        <w:tc>
          <w:tcPr>
            <w:tcW w:w="691" w:type="dxa"/>
            <w:vAlign w:val="top"/>
          </w:tcPr>
          <w:p w14:paraId="3E94BF9F">
            <w:pPr>
              <w:pStyle w:val="6"/>
              <w:spacing w:before="61" w:line="185" w:lineRule="auto"/>
              <w:ind w:left="301"/>
            </w:pPr>
            <w:r>
              <w:t>/</w:t>
            </w:r>
          </w:p>
        </w:tc>
        <w:tc>
          <w:tcPr>
            <w:tcW w:w="691" w:type="dxa"/>
            <w:vAlign w:val="top"/>
          </w:tcPr>
          <w:p w14:paraId="4E78CCA8">
            <w:pPr>
              <w:pStyle w:val="6"/>
              <w:spacing w:before="66" w:line="180" w:lineRule="auto"/>
              <w:ind w:left="188"/>
            </w:pPr>
            <w:r>
              <w:rPr>
                <w:b/>
                <w:bCs/>
                <w:spacing w:val="-4"/>
              </w:rPr>
              <w:t>128</w:t>
            </w:r>
          </w:p>
        </w:tc>
        <w:tc>
          <w:tcPr>
            <w:tcW w:w="689" w:type="dxa"/>
            <w:vAlign w:val="top"/>
          </w:tcPr>
          <w:p w14:paraId="7E933EF2">
            <w:pPr>
              <w:pStyle w:val="6"/>
              <w:spacing w:before="61" w:line="185" w:lineRule="auto"/>
              <w:ind w:left="302"/>
            </w:pPr>
            <w:r>
              <w:t>/</w:t>
            </w:r>
          </w:p>
        </w:tc>
        <w:tc>
          <w:tcPr>
            <w:tcW w:w="691" w:type="dxa"/>
            <w:vAlign w:val="top"/>
          </w:tcPr>
          <w:p w14:paraId="5248F04E">
            <w:pPr>
              <w:pStyle w:val="6"/>
              <w:spacing w:before="66" w:line="180" w:lineRule="auto"/>
              <w:ind w:left="183"/>
            </w:pPr>
            <w:r>
              <w:rPr>
                <w:b/>
                <w:bCs/>
                <w:spacing w:val="-2"/>
              </w:rPr>
              <w:t>265</w:t>
            </w:r>
          </w:p>
        </w:tc>
        <w:tc>
          <w:tcPr>
            <w:tcW w:w="691" w:type="dxa"/>
            <w:vAlign w:val="top"/>
          </w:tcPr>
          <w:p w14:paraId="04612E70">
            <w:pPr>
              <w:pStyle w:val="6"/>
              <w:spacing w:before="61" w:line="185" w:lineRule="auto"/>
              <w:ind w:left="307"/>
            </w:pPr>
            <w:r>
              <w:t>/</w:t>
            </w:r>
          </w:p>
        </w:tc>
        <w:tc>
          <w:tcPr>
            <w:tcW w:w="692" w:type="dxa"/>
            <w:vAlign w:val="top"/>
          </w:tcPr>
          <w:p w14:paraId="7A806247">
            <w:pPr>
              <w:pStyle w:val="6"/>
              <w:spacing w:before="66" w:line="180" w:lineRule="auto"/>
              <w:ind w:left="195"/>
            </w:pPr>
            <w:r>
              <w:rPr>
                <w:b/>
                <w:bCs/>
                <w:spacing w:val="-4"/>
              </w:rPr>
              <w:t>128</w:t>
            </w:r>
          </w:p>
        </w:tc>
        <w:tc>
          <w:tcPr>
            <w:tcW w:w="691" w:type="dxa"/>
            <w:vAlign w:val="top"/>
          </w:tcPr>
          <w:p w14:paraId="02226DEA">
            <w:pPr>
              <w:pStyle w:val="6"/>
              <w:spacing w:before="61" w:line="185" w:lineRule="auto"/>
              <w:ind w:left="310"/>
            </w:pPr>
            <w:r>
              <w:t>/</w:t>
            </w:r>
          </w:p>
        </w:tc>
        <w:tc>
          <w:tcPr>
            <w:tcW w:w="689" w:type="dxa"/>
            <w:vAlign w:val="top"/>
          </w:tcPr>
          <w:p w14:paraId="403521C6">
            <w:pPr>
              <w:pStyle w:val="6"/>
              <w:spacing w:before="66" w:line="180" w:lineRule="auto"/>
              <w:ind w:left="160"/>
            </w:pPr>
            <w:r>
              <w:rPr>
                <w:b/>
                <w:bCs/>
                <w:spacing w:val="-1"/>
              </w:rPr>
              <w:t>30.6</w:t>
            </w:r>
          </w:p>
        </w:tc>
        <w:tc>
          <w:tcPr>
            <w:tcW w:w="691" w:type="dxa"/>
            <w:vAlign w:val="top"/>
          </w:tcPr>
          <w:p w14:paraId="4E862DEA">
            <w:pPr>
              <w:pStyle w:val="6"/>
              <w:spacing w:before="61" w:line="185" w:lineRule="auto"/>
              <w:ind w:left="314"/>
            </w:pPr>
            <w:r>
              <w:t>/</w:t>
            </w:r>
          </w:p>
        </w:tc>
        <w:tc>
          <w:tcPr>
            <w:tcW w:w="691" w:type="dxa"/>
            <w:vAlign w:val="top"/>
          </w:tcPr>
          <w:p w14:paraId="372CF1B6">
            <w:pPr>
              <w:pStyle w:val="6"/>
              <w:spacing w:before="66" w:line="180" w:lineRule="auto"/>
              <w:ind w:left="165"/>
            </w:pPr>
            <w:r>
              <w:rPr>
                <w:b/>
                <w:bCs/>
                <w:spacing w:val="-1"/>
              </w:rPr>
              <w:t>3.79</w:t>
            </w:r>
          </w:p>
        </w:tc>
        <w:tc>
          <w:tcPr>
            <w:tcW w:w="690" w:type="dxa"/>
            <w:vAlign w:val="top"/>
          </w:tcPr>
          <w:p w14:paraId="566AF9E3">
            <w:pPr>
              <w:pStyle w:val="6"/>
              <w:spacing w:before="61" w:line="185" w:lineRule="auto"/>
              <w:ind w:left="316"/>
            </w:pPr>
            <w:r>
              <w:t>/</w:t>
            </w:r>
          </w:p>
        </w:tc>
        <w:tc>
          <w:tcPr>
            <w:tcW w:w="693" w:type="dxa"/>
            <w:vAlign w:val="top"/>
          </w:tcPr>
          <w:p w14:paraId="31A9C669">
            <w:pPr>
              <w:pStyle w:val="6"/>
              <w:spacing w:before="66" w:line="180" w:lineRule="auto"/>
              <w:ind w:left="179"/>
            </w:pPr>
            <w:r>
              <w:rPr>
                <w:b/>
                <w:bCs/>
                <w:spacing w:val="-4"/>
              </w:rPr>
              <w:t>13.8</w:t>
            </w:r>
          </w:p>
        </w:tc>
        <w:tc>
          <w:tcPr>
            <w:tcW w:w="690" w:type="dxa"/>
            <w:vAlign w:val="top"/>
          </w:tcPr>
          <w:p w14:paraId="2877866E">
            <w:pPr>
              <w:pStyle w:val="6"/>
              <w:spacing w:before="61" w:line="185" w:lineRule="auto"/>
              <w:ind w:left="319"/>
            </w:pPr>
            <w:r>
              <w:t>/</w:t>
            </w:r>
          </w:p>
        </w:tc>
        <w:tc>
          <w:tcPr>
            <w:tcW w:w="691" w:type="dxa"/>
            <w:vAlign w:val="top"/>
          </w:tcPr>
          <w:p w14:paraId="6C97A678">
            <w:pPr>
              <w:pStyle w:val="6"/>
              <w:spacing w:before="66" w:line="180" w:lineRule="auto"/>
              <w:ind w:left="93"/>
            </w:pPr>
            <w:r>
              <w:rPr>
                <w:b/>
                <w:bCs/>
                <w:spacing w:val="-1"/>
              </w:rPr>
              <w:t>26000</w:t>
            </w:r>
          </w:p>
        </w:tc>
        <w:tc>
          <w:tcPr>
            <w:tcW w:w="691" w:type="dxa"/>
            <w:vAlign w:val="top"/>
          </w:tcPr>
          <w:p w14:paraId="328EF5A9">
            <w:pPr>
              <w:pStyle w:val="6"/>
              <w:spacing w:before="61" w:line="185" w:lineRule="auto"/>
              <w:ind w:left="323"/>
            </w:pPr>
            <w:r>
              <w:t>/</w:t>
            </w:r>
          </w:p>
        </w:tc>
        <w:tc>
          <w:tcPr>
            <w:tcW w:w="704" w:type="dxa"/>
            <w:tcBorders>
              <w:right w:val="single" w:color="000000" w:sz="12" w:space="0"/>
            </w:tcBorders>
            <w:vAlign w:val="top"/>
          </w:tcPr>
          <w:p w14:paraId="5D9C31C0">
            <w:pPr>
              <w:pStyle w:val="6"/>
              <w:spacing w:before="61" w:line="185" w:lineRule="auto"/>
              <w:ind w:left="194"/>
            </w:pPr>
            <w:r>
              <w:rPr>
                <w:spacing w:val="-6"/>
              </w:rPr>
              <w:t>1.36</w:t>
            </w:r>
          </w:p>
        </w:tc>
      </w:tr>
      <w:tr w14:paraId="27E20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6D020A3A">
            <w:pPr>
              <w:rPr>
                <w:rFonts w:ascii="Arial"/>
                <w:sz w:val="21"/>
              </w:rPr>
            </w:pPr>
          </w:p>
        </w:tc>
        <w:tc>
          <w:tcPr>
            <w:tcW w:w="283" w:type="dxa"/>
            <w:vMerge w:val="continue"/>
            <w:tcBorders>
              <w:top w:val="nil"/>
              <w:bottom w:val="nil"/>
            </w:tcBorders>
            <w:vAlign w:val="top"/>
          </w:tcPr>
          <w:p w14:paraId="0C60AAAC">
            <w:pPr>
              <w:rPr>
                <w:rFonts w:ascii="Arial"/>
                <w:sz w:val="21"/>
              </w:rPr>
            </w:pPr>
          </w:p>
        </w:tc>
        <w:tc>
          <w:tcPr>
            <w:tcW w:w="1208" w:type="dxa"/>
            <w:vAlign w:val="top"/>
          </w:tcPr>
          <w:p w14:paraId="18440783">
            <w:pPr>
              <w:pStyle w:val="6"/>
              <w:spacing w:before="62" w:line="184" w:lineRule="auto"/>
              <w:ind w:left="165"/>
            </w:pPr>
            <w:r>
              <w:rPr>
                <w:spacing w:val="-1"/>
              </w:rPr>
              <w:t>2019/1/16</w:t>
            </w:r>
          </w:p>
        </w:tc>
        <w:tc>
          <w:tcPr>
            <w:tcW w:w="691" w:type="dxa"/>
            <w:vAlign w:val="top"/>
          </w:tcPr>
          <w:p w14:paraId="75BAECC7">
            <w:pPr>
              <w:pStyle w:val="6"/>
              <w:spacing w:before="62" w:line="184" w:lineRule="auto"/>
              <w:ind w:left="301"/>
            </w:pPr>
            <w:r>
              <w:t>/</w:t>
            </w:r>
          </w:p>
        </w:tc>
        <w:tc>
          <w:tcPr>
            <w:tcW w:w="691" w:type="dxa"/>
            <w:vAlign w:val="top"/>
          </w:tcPr>
          <w:p w14:paraId="7F6CA629">
            <w:pPr>
              <w:pStyle w:val="6"/>
              <w:spacing w:before="67" w:line="179" w:lineRule="auto"/>
              <w:ind w:left="188"/>
            </w:pPr>
            <w:r>
              <w:rPr>
                <w:b/>
                <w:bCs/>
                <w:spacing w:val="-4"/>
              </w:rPr>
              <w:t>132</w:t>
            </w:r>
          </w:p>
        </w:tc>
        <w:tc>
          <w:tcPr>
            <w:tcW w:w="689" w:type="dxa"/>
            <w:vAlign w:val="top"/>
          </w:tcPr>
          <w:p w14:paraId="662C910E">
            <w:pPr>
              <w:pStyle w:val="6"/>
              <w:spacing w:before="62" w:line="184" w:lineRule="auto"/>
              <w:ind w:left="302"/>
            </w:pPr>
            <w:r>
              <w:t>/</w:t>
            </w:r>
          </w:p>
        </w:tc>
        <w:tc>
          <w:tcPr>
            <w:tcW w:w="691" w:type="dxa"/>
            <w:vAlign w:val="top"/>
          </w:tcPr>
          <w:p w14:paraId="7CF3878C">
            <w:pPr>
              <w:pStyle w:val="6"/>
              <w:spacing w:before="67" w:line="179" w:lineRule="auto"/>
              <w:ind w:left="183"/>
            </w:pPr>
            <w:r>
              <w:rPr>
                <w:b/>
                <w:bCs/>
                <w:spacing w:val="-2"/>
              </w:rPr>
              <w:t>274</w:t>
            </w:r>
          </w:p>
        </w:tc>
        <w:tc>
          <w:tcPr>
            <w:tcW w:w="691" w:type="dxa"/>
            <w:vAlign w:val="top"/>
          </w:tcPr>
          <w:p w14:paraId="48FA51BD">
            <w:pPr>
              <w:pStyle w:val="6"/>
              <w:spacing w:before="62" w:line="184" w:lineRule="auto"/>
              <w:ind w:left="307"/>
            </w:pPr>
            <w:r>
              <w:t>/</w:t>
            </w:r>
          </w:p>
        </w:tc>
        <w:tc>
          <w:tcPr>
            <w:tcW w:w="692" w:type="dxa"/>
            <w:vAlign w:val="top"/>
          </w:tcPr>
          <w:p w14:paraId="6D0E08AD">
            <w:pPr>
              <w:pStyle w:val="6"/>
              <w:spacing w:before="67" w:line="179" w:lineRule="auto"/>
              <w:ind w:left="195"/>
            </w:pPr>
            <w:r>
              <w:rPr>
                <w:b/>
                <w:bCs/>
                <w:spacing w:val="-4"/>
              </w:rPr>
              <w:t>141</w:t>
            </w:r>
          </w:p>
        </w:tc>
        <w:tc>
          <w:tcPr>
            <w:tcW w:w="691" w:type="dxa"/>
            <w:vAlign w:val="top"/>
          </w:tcPr>
          <w:p w14:paraId="65DCE836">
            <w:pPr>
              <w:pStyle w:val="6"/>
              <w:spacing w:before="62" w:line="184" w:lineRule="auto"/>
              <w:ind w:left="310"/>
            </w:pPr>
            <w:r>
              <w:t>/</w:t>
            </w:r>
          </w:p>
        </w:tc>
        <w:tc>
          <w:tcPr>
            <w:tcW w:w="689" w:type="dxa"/>
            <w:vAlign w:val="top"/>
          </w:tcPr>
          <w:p w14:paraId="08CAF05A">
            <w:pPr>
              <w:pStyle w:val="6"/>
              <w:spacing w:before="67" w:line="179" w:lineRule="auto"/>
              <w:ind w:left="160"/>
            </w:pPr>
            <w:r>
              <w:rPr>
                <w:b/>
                <w:bCs/>
                <w:spacing w:val="-1"/>
              </w:rPr>
              <w:t>31.3</w:t>
            </w:r>
          </w:p>
        </w:tc>
        <w:tc>
          <w:tcPr>
            <w:tcW w:w="691" w:type="dxa"/>
            <w:vAlign w:val="top"/>
          </w:tcPr>
          <w:p w14:paraId="754BF011">
            <w:pPr>
              <w:pStyle w:val="6"/>
              <w:spacing w:before="62" w:line="184" w:lineRule="auto"/>
              <w:ind w:left="314"/>
            </w:pPr>
            <w:r>
              <w:t>/</w:t>
            </w:r>
          </w:p>
        </w:tc>
        <w:tc>
          <w:tcPr>
            <w:tcW w:w="691" w:type="dxa"/>
            <w:vAlign w:val="top"/>
          </w:tcPr>
          <w:p w14:paraId="4832B814">
            <w:pPr>
              <w:pStyle w:val="6"/>
              <w:spacing w:before="67" w:line="179" w:lineRule="auto"/>
              <w:ind w:left="165"/>
            </w:pPr>
            <w:r>
              <w:rPr>
                <w:b/>
                <w:bCs/>
                <w:spacing w:val="-1"/>
              </w:rPr>
              <w:t>3.82</w:t>
            </w:r>
          </w:p>
        </w:tc>
        <w:tc>
          <w:tcPr>
            <w:tcW w:w="690" w:type="dxa"/>
            <w:vAlign w:val="top"/>
          </w:tcPr>
          <w:p w14:paraId="56411E41">
            <w:pPr>
              <w:pStyle w:val="6"/>
              <w:spacing w:before="62" w:line="184" w:lineRule="auto"/>
              <w:ind w:left="316"/>
            </w:pPr>
            <w:r>
              <w:t>/</w:t>
            </w:r>
          </w:p>
        </w:tc>
        <w:tc>
          <w:tcPr>
            <w:tcW w:w="693" w:type="dxa"/>
            <w:vAlign w:val="top"/>
          </w:tcPr>
          <w:p w14:paraId="24ECB375">
            <w:pPr>
              <w:pStyle w:val="6"/>
              <w:spacing w:before="67" w:line="179" w:lineRule="auto"/>
              <w:ind w:left="179"/>
            </w:pPr>
            <w:r>
              <w:rPr>
                <w:b/>
                <w:bCs/>
                <w:spacing w:val="-4"/>
              </w:rPr>
              <w:t>14.2</w:t>
            </w:r>
          </w:p>
        </w:tc>
        <w:tc>
          <w:tcPr>
            <w:tcW w:w="690" w:type="dxa"/>
            <w:vAlign w:val="top"/>
          </w:tcPr>
          <w:p w14:paraId="7852F94D">
            <w:pPr>
              <w:pStyle w:val="6"/>
              <w:spacing w:before="62" w:line="184" w:lineRule="auto"/>
              <w:ind w:left="319"/>
            </w:pPr>
            <w:r>
              <w:t>/</w:t>
            </w:r>
          </w:p>
        </w:tc>
        <w:tc>
          <w:tcPr>
            <w:tcW w:w="691" w:type="dxa"/>
            <w:vAlign w:val="top"/>
          </w:tcPr>
          <w:p w14:paraId="1B379B31">
            <w:pPr>
              <w:pStyle w:val="6"/>
              <w:spacing w:before="67" w:line="179" w:lineRule="auto"/>
              <w:ind w:left="93"/>
            </w:pPr>
            <w:r>
              <w:rPr>
                <w:b/>
                <w:bCs/>
                <w:spacing w:val="-1"/>
              </w:rPr>
              <w:t>27000</w:t>
            </w:r>
          </w:p>
        </w:tc>
        <w:tc>
          <w:tcPr>
            <w:tcW w:w="691" w:type="dxa"/>
            <w:vAlign w:val="top"/>
          </w:tcPr>
          <w:p w14:paraId="19ED71F2">
            <w:pPr>
              <w:pStyle w:val="6"/>
              <w:spacing w:before="62" w:line="184" w:lineRule="auto"/>
              <w:ind w:left="323"/>
            </w:pPr>
            <w:r>
              <w:t>/</w:t>
            </w:r>
          </w:p>
        </w:tc>
        <w:tc>
          <w:tcPr>
            <w:tcW w:w="704" w:type="dxa"/>
            <w:tcBorders>
              <w:right w:val="single" w:color="000000" w:sz="12" w:space="0"/>
            </w:tcBorders>
            <w:vAlign w:val="top"/>
          </w:tcPr>
          <w:p w14:paraId="0D0F2130">
            <w:pPr>
              <w:pStyle w:val="6"/>
              <w:spacing w:before="62" w:line="184" w:lineRule="auto"/>
              <w:ind w:left="194"/>
            </w:pPr>
            <w:r>
              <w:rPr>
                <w:spacing w:val="-6"/>
              </w:rPr>
              <w:t>1.38</w:t>
            </w:r>
          </w:p>
        </w:tc>
      </w:tr>
      <w:tr w14:paraId="3A7AE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849" w:type="dxa"/>
            <w:vMerge w:val="continue"/>
            <w:tcBorders>
              <w:top w:val="nil"/>
              <w:left w:val="single" w:color="000000" w:sz="12" w:space="0"/>
            </w:tcBorders>
            <w:vAlign w:val="top"/>
          </w:tcPr>
          <w:p w14:paraId="6B0EDF85">
            <w:pPr>
              <w:rPr>
                <w:rFonts w:ascii="Arial"/>
                <w:sz w:val="21"/>
              </w:rPr>
            </w:pPr>
          </w:p>
        </w:tc>
        <w:tc>
          <w:tcPr>
            <w:tcW w:w="283" w:type="dxa"/>
            <w:vMerge w:val="continue"/>
            <w:tcBorders>
              <w:top w:val="nil"/>
            </w:tcBorders>
            <w:vAlign w:val="top"/>
          </w:tcPr>
          <w:p w14:paraId="6C1D2F32">
            <w:pPr>
              <w:rPr>
                <w:rFonts w:ascii="Arial"/>
                <w:sz w:val="21"/>
              </w:rPr>
            </w:pPr>
          </w:p>
        </w:tc>
        <w:tc>
          <w:tcPr>
            <w:tcW w:w="1208" w:type="dxa"/>
            <w:vAlign w:val="top"/>
          </w:tcPr>
          <w:p w14:paraId="55F1FA5A">
            <w:pPr>
              <w:pStyle w:val="6"/>
              <w:spacing w:before="81" w:line="203" w:lineRule="auto"/>
              <w:ind w:left="165"/>
            </w:pPr>
            <w:r>
              <w:rPr>
                <w:spacing w:val="-1"/>
              </w:rPr>
              <w:t>2019/1/17</w:t>
            </w:r>
          </w:p>
        </w:tc>
        <w:tc>
          <w:tcPr>
            <w:tcW w:w="691" w:type="dxa"/>
            <w:vAlign w:val="top"/>
          </w:tcPr>
          <w:p w14:paraId="18238001">
            <w:pPr>
              <w:pStyle w:val="6"/>
              <w:spacing w:before="81" w:line="203" w:lineRule="auto"/>
              <w:ind w:left="301"/>
            </w:pPr>
            <w:r>
              <w:t>/</w:t>
            </w:r>
          </w:p>
        </w:tc>
        <w:tc>
          <w:tcPr>
            <w:tcW w:w="691" w:type="dxa"/>
            <w:vAlign w:val="top"/>
          </w:tcPr>
          <w:p w14:paraId="2D367141">
            <w:pPr>
              <w:pStyle w:val="6"/>
              <w:spacing w:before="85" w:line="199" w:lineRule="auto"/>
              <w:ind w:left="188"/>
            </w:pPr>
            <w:r>
              <w:rPr>
                <w:b/>
                <w:bCs/>
                <w:spacing w:val="-4"/>
              </w:rPr>
              <w:t>136</w:t>
            </w:r>
          </w:p>
        </w:tc>
        <w:tc>
          <w:tcPr>
            <w:tcW w:w="689" w:type="dxa"/>
            <w:vAlign w:val="top"/>
          </w:tcPr>
          <w:p w14:paraId="47FA2969">
            <w:pPr>
              <w:pStyle w:val="6"/>
              <w:spacing w:before="81" w:line="203" w:lineRule="auto"/>
              <w:ind w:left="302"/>
            </w:pPr>
            <w:r>
              <w:t>/</w:t>
            </w:r>
          </w:p>
        </w:tc>
        <w:tc>
          <w:tcPr>
            <w:tcW w:w="691" w:type="dxa"/>
            <w:vAlign w:val="top"/>
          </w:tcPr>
          <w:p w14:paraId="060E32EB">
            <w:pPr>
              <w:pStyle w:val="6"/>
              <w:spacing w:before="85" w:line="199" w:lineRule="auto"/>
              <w:ind w:left="183"/>
            </w:pPr>
            <w:r>
              <w:rPr>
                <w:b/>
                <w:bCs/>
                <w:spacing w:val="-2"/>
              </w:rPr>
              <w:t>280</w:t>
            </w:r>
          </w:p>
        </w:tc>
        <w:tc>
          <w:tcPr>
            <w:tcW w:w="691" w:type="dxa"/>
            <w:vAlign w:val="top"/>
          </w:tcPr>
          <w:p w14:paraId="6B1E763E">
            <w:pPr>
              <w:pStyle w:val="6"/>
              <w:spacing w:before="81" w:line="203" w:lineRule="auto"/>
              <w:ind w:left="307"/>
            </w:pPr>
            <w:r>
              <w:t>/</w:t>
            </w:r>
          </w:p>
        </w:tc>
        <w:tc>
          <w:tcPr>
            <w:tcW w:w="692" w:type="dxa"/>
            <w:vAlign w:val="top"/>
          </w:tcPr>
          <w:p w14:paraId="09F8A210">
            <w:pPr>
              <w:pStyle w:val="6"/>
              <w:spacing w:before="85" w:line="199" w:lineRule="auto"/>
              <w:ind w:left="195"/>
            </w:pPr>
            <w:r>
              <w:rPr>
                <w:b/>
                <w:bCs/>
                <w:spacing w:val="-4"/>
              </w:rPr>
              <w:t>134</w:t>
            </w:r>
          </w:p>
        </w:tc>
        <w:tc>
          <w:tcPr>
            <w:tcW w:w="691" w:type="dxa"/>
            <w:vAlign w:val="top"/>
          </w:tcPr>
          <w:p w14:paraId="54410C8D">
            <w:pPr>
              <w:pStyle w:val="6"/>
              <w:spacing w:before="81" w:line="203" w:lineRule="auto"/>
              <w:ind w:left="310"/>
            </w:pPr>
            <w:r>
              <w:t>/</w:t>
            </w:r>
          </w:p>
        </w:tc>
        <w:tc>
          <w:tcPr>
            <w:tcW w:w="689" w:type="dxa"/>
            <w:vAlign w:val="top"/>
          </w:tcPr>
          <w:p w14:paraId="663B55A0">
            <w:pPr>
              <w:pStyle w:val="6"/>
              <w:spacing w:before="85" w:line="199" w:lineRule="auto"/>
              <w:ind w:left="162"/>
            </w:pPr>
            <w:r>
              <w:rPr>
                <w:b/>
                <w:bCs/>
                <w:spacing w:val="-1"/>
              </w:rPr>
              <w:t>29.5</w:t>
            </w:r>
          </w:p>
        </w:tc>
        <w:tc>
          <w:tcPr>
            <w:tcW w:w="691" w:type="dxa"/>
            <w:vAlign w:val="top"/>
          </w:tcPr>
          <w:p w14:paraId="1A0A5778">
            <w:pPr>
              <w:pStyle w:val="6"/>
              <w:spacing w:before="81" w:line="203" w:lineRule="auto"/>
              <w:ind w:left="314"/>
            </w:pPr>
            <w:r>
              <w:t>/</w:t>
            </w:r>
          </w:p>
        </w:tc>
        <w:tc>
          <w:tcPr>
            <w:tcW w:w="691" w:type="dxa"/>
            <w:vAlign w:val="top"/>
          </w:tcPr>
          <w:p w14:paraId="39EBDE33">
            <w:pPr>
              <w:pStyle w:val="6"/>
              <w:spacing w:before="85" w:line="199" w:lineRule="auto"/>
              <w:ind w:left="165"/>
            </w:pPr>
            <w:r>
              <w:rPr>
                <w:b/>
                <w:bCs/>
                <w:spacing w:val="-1"/>
              </w:rPr>
              <w:t>3.77</w:t>
            </w:r>
          </w:p>
        </w:tc>
        <w:tc>
          <w:tcPr>
            <w:tcW w:w="690" w:type="dxa"/>
            <w:vAlign w:val="top"/>
          </w:tcPr>
          <w:p w14:paraId="589DC4BB">
            <w:pPr>
              <w:pStyle w:val="6"/>
              <w:spacing w:before="81" w:line="203" w:lineRule="auto"/>
              <w:ind w:left="316"/>
            </w:pPr>
            <w:r>
              <w:t>/</w:t>
            </w:r>
          </w:p>
        </w:tc>
        <w:tc>
          <w:tcPr>
            <w:tcW w:w="693" w:type="dxa"/>
            <w:vAlign w:val="top"/>
          </w:tcPr>
          <w:p w14:paraId="6D450DC4">
            <w:pPr>
              <w:pStyle w:val="6"/>
              <w:spacing w:before="85" w:line="199" w:lineRule="auto"/>
              <w:ind w:left="179"/>
            </w:pPr>
            <w:r>
              <w:rPr>
                <w:b/>
                <w:bCs/>
                <w:spacing w:val="-4"/>
              </w:rPr>
              <w:t>13.4</w:t>
            </w:r>
          </w:p>
        </w:tc>
        <w:tc>
          <w:tcPr>
            <w:tcW w:w="690" w:type="dxa"/>
            <w:vAlign w:val="top"/>
          </w:tcPr>
          <w:p w14:paraId="6F978D62">
            <w:pPr>
              <w:pStyle w:val="6"/>
              <w:spacing w:before="81" w:line="203" w:lineRule="auto"/>
              <w:ind w:left="319"/>
            </w:pPr>
            <w:r>
              <w:t>/</w:t>
            </w:r>
          </w:p>
        </w:tc>
        <w:tc>
          <w:tcPr>
            <w:tcW w:w="691" w:type="dxa"/>
            <w:vAlign w:val="top"/>
          </w:tcPr>
          <w:p w14:paraId="32844EC8">
            <w:pPr>
              <w:pStyle w:val="6"/>
              <w:spacing w:before="85" w:line="199" w:lineRule="auto"/>
              <w:ind w:left="93"/>
            </w:pPr>
            <w:r>
              <w:rPr>
                <w:b/>
                <w:bCs/>
                <w:spacing w:val="-1"/>
              </w:rPr>
              <w:t>28000</w:t>
            </w:r>
          </w:p>
        </w:tc>
        <w:tc>
          <w:tcPr>
            <w:tcW w:w="691" w:type="dxa"/>
            <w:vAlign w:val="top"/>
          </w:tcPr>
          <w:p w14:paraId="0FDE326F">
            <w:pPr>
              <w:pStyle w:val="6"/>
              <w:spacing w:before="81" w:line="203" w:lineRule="auto"/>
              <w:ind w:left="323"/>
            </w:pPr>
            <w:r>
              <w:t>/</w:t>
            </w:r>
          </w:p>
        </w:tc>
        <w:tc>
          <w:tcPr>
            <w:tcW w:w="704" w:type="dxa"/>
            <w:tcBorders>
              <w:right w:val="single" w:color="000000" w:sz="12" w:space="0"/>
            </w:tcBorders>
            <w:vAlign w:val="top"/>
          </w:tcPr>
          <w:p w14:paraId="3662DBD9">
            <w:pPr>
              <w:pStyle w:val="6"/>
              <w:spacing w:before="81" w:line="203" w:lineRule="auto"/>
              <w:ind w:left="194"/>
            </w:pPr>
            <w:r>
              <w:rPr>
                <w:spacing w:val="-6"/>
              </w:rPr>
              <w:t>1.32</w:t>
            </w:r>
          </w:p>
        </w:tc>
      </w:tr>
      <w:tr w14:paraId="0D6D0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849" w:type="dxa"/>
            <w:vMerge w:val="restart"/>
            <w:tcBorders>
              <w:left w:val="single" w:color="000000" w:sz="12" w:space="0"/>
              <w:bottom w:val="nil"/>
            </w:tcBorders>
            <w:vAlign w:val="top"/>
          </w:tcPr>
          <w:p w14:paraId="035F972C">
            <w:pPr>
              <w:pStyle w:val="6"/>
              <w:spacing w:before="166" w:line="236" w:lineRule="auto"/>
              <w:ind w:left="96" w:right="112" w:firstLine="25"/>
              <w:rPr>
                <w:rFonts w:ascii="宋体" w:hAnsi="宋体" w:eastAsia="宋体" w:cs="宋体"/>
              </w:rPr>
            </w:pPr>
            <w:r>
              <w:rPr>
                <w:spacing w:val="-6"/>
              </w:rPr>
              <w:t>3</w:t>
            </w:r>
            <w:r>
              <w:rPr>
                <w:spacing w:val="9"/>
              </w:rPr>
              <w:t xml:space="preserve"> </w:t>
            </w:r>
            <w:r>
              <w:rPr>
                <w:rFonts w:ascii="宋体" w:hAnsi="宋体" w:eastAsia="宋体" w:cs="宋体"/>
                <w:spacing w:val="-6"/>
              </w:rPr>
              <w:t>标段</w:t>
            </w:r>
            <w:r>
              <w:rPr>
                <w:rFonts w:ascii="宋体" w:hAnsi="宋体" w:eastAsia="宋体" w:cs="宋体"/>
                <w:spacing w:val="-4"/>
              </w:rPr>
              <w:t>生活区</w:t>
            </w:r>
          </w:p>
        </w:tc>
        <w:tc>
          <w:tcPr>
            <w:tcW w:w="283" w:type="dxa"/>
            <w:vMerge w:val="restart"/>
            <w:tcBorders>
              <w:bottom w:val="nil"/>
            </w:tcBorders>
            <w:vAlign w:val="top"/>
          </w:tcPr>
          <w:p w14:paraId="5F1ECD08">
            <w:pPr>
              <w:pStyle w:val="6"/>
              <w:spacing w:before="63" w:line="222" w:lineRule="auto"/>
              <w:ind w:left="95"/>
            </w:pPr>
            <w:r>
              <w:t>1</w:t>
            </w:r>
          </w:p>
          <w:p w14:paraId="40E6472F">
            <w:pPr>
              <w:spacing w:line="219" w:lineRule="auto"/>
              <w:ind w:left="26"/>
              <w:rPr>
                <w:rFonts w:ascii="宋体" w:hAnsi="宋体" w:eastAsia="宋体" w:cs="宋体"/>
                <w:sz w:val="21"/>
                <w:szCs w:val="21"/>
              </w:rPr>
            </w:pPr>
            <w:r>
              <w:rPr>
                <w:rFonts w:ascii="宋体" w:hAnsi="宋体" w:eastAsia="宋体" w:cs="宋体"/>
                <w:sz w:val="21"/>
                <w:szCs w:val="21"/>
              </w:rPr>
              <w:t>季</w:t>
            </w:r>
          </w:p>
          <w:p w14:paraId="30A87161">
            <w:pPr>
              <w:spacing w:before="22" w:line="203"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37A37D5F">
            <w:pPr>
              <w:pStyle w:val="6"/>
              <w:spacing w:before="63" w:line="182" w:lineRule="auto"/>
              <w:ind w:left="165"/>
            </w:pPr>
            <w:r>
              <w:rPr>
                <w:spacing w:val="-1"/>
              </w:rPr>
              <w:t>2019/1/15</w:t>
            </w:r>
          </w:p>
        </w:tc>
        <w:tc>
          <w:tcPr>
            <w:tcW w:w="691" w:type="dxa"/>
            <w:vAlign w:val="top"/>
          </w:tcPr>
          <w:p w14:paraId="14C59B23">
            <w:pPr>
              <w:pStyle w:val="6"/>
              <w:spacing w:before="63" w:line="182" w:lineRule="auto"/>
              <w:ind w:left="301"/>
            </w:pPr>
            <w:r>
              <w:t>/</w:t>
            </w:r>
          </w:p>
        </w:tc>
        <w:tc>
          <w:tcPr>
            <w:tcW w:w="691" w:type="dxa"/>
            <w:vAlign w:val="top"/>
          </w:tcPr>
          <w:p w14:paraId="4B5789B0">
            <w:pPr>
              <w:pStyle w:val="6"/>
              <w:spacing w:before="68" w:line="177" w:lineRule="auto"/>
              <w:ind w:left="188"/>
            </w:pPr>
            <w:r>
              <w:rPr>
                <w:b/>
                <w:bCs/>
                <w:spacing w:val="-4"/>
              </w:rPr>
              <w:t>108</w:t>
            </w:r>
          </w:p>
        </w:tc>
        <w:tc>
          <w:tcPr>
            <w:tcW w:w="689" w:type="dxa"/>
            <w:vAlign w:val="top"/>
          </w:tcPr>
          <w:p w14:paraId="45B78017">
            <w:pPr>
              <w:pStyle w:val="6"/>
              <w:spacing w:before="63" w:line="182" w:lineRule="auto"/>
              <w:ind w:left="302"/>
            </w:pPr>
            <w:r>
              <w:t>/</w:t>
            </w:r>
          </w:p>
        </w:tc>
        <w:tc>
          <w:tcPr>
            <w:tcW w:w="691" w:type="dxa"/>
            <w:vAlign w:val="top"/>
          </w:tcPr>
          <w:p w14:paraId="0303C862">
            <w:pPr>
              <w:pStyle w:val="6"/>
              <w:spacing w:before="68" w:line="177" w:lineRule="auto"/>
              <w:ind w:left="183"/>
            </w:pPr>
            <w:r>
              <w:rPr>
                <w:b/>
                <w:bCs/>
                <w:spacing w:val="-2"/>
              </w:rPr>
              <w:t>226</w:t>
            </w:r>
          </w:p>
        </w:tc>
        <w:tc>
          <w:tcPr>
            <w:tcW w:w="691" w:type="dxa"/>
            <w:vAlign w:val="top"/>
          </w:tcPr>
          <w:p w14:paraId="3961669F">
            <w:pPr>
              <w:pStyle w:val="6"/>
              <w:spacing w:before="63" w:line="182" w:lineRule="auto"/>
              <w:ind w:left="307"/>
            </w:pPr>
            <w:r>
              <w:t>/</w:t>
            </w:r>
          </w:p>
        </w:tc>
        <w:tc>
          <w:tcPr>
            <w:tcW w:w="692" w:type="dxa"/>
            <w:vAlign w:val="top"/>
          </w:tcPr>
          <w:p w14:paraId="57629374">
            <w:pPr>
              <w:pStyle w:val="6"/>
              <w:spacing w:before="68" w:line="177" w:lineRule="auto"/>
              <w:ind w:left="240"/>
            </w:pPr>
            <w:r>
              <w:rPr>
                <w:b/>
                <w:bCs/>
                <w:spacing w:val="-2"/>
              </w:rPr>
              <w:t>84</w:t>
            </w:r>
          </w:p>
        </w:tc>
        <w:tc>
          <w:tcPr>
            <w:tcW w:w="691" w:type="dxa"/>
            <w:vAlign w:val="top"/>
          </w:tcPr>
          <w:p w14:paraId="4B8A20FC">
            <w:pPr>
              <w:pStyle w:val="6"/>
              <w:spacing w:before="63" w:line="182" w:lineRule="auto"/>
              <w:ind w:left="310"/>
            </w:pPr>
            <w:r>
              <w:t>/</w:t>
            </w:r>
          </w:p>
        </w:tc>
        <w:tc>
          <w:tcPr>
            <w:tcW w:w="689" w:type="dxa"/>
            <w:vAlign w:val="top"/>
          </w:tcPr>
          <w:p w14:paraId="42172381">
            <w:pPr>
              <w:pStyle w:val="6"/>
              <w:spacing w:before="68" w:line="177" w:lineRule="auto"/>
              <w:ind w:left="164"/>
            </w:pPr>
            <w:r>
              <w:rPr>
                <w:b/>
                <w:bCs/>
                <w:spacing w:val="-2"/>
              </w:rPr>
              <w:t>74.8</w:t>
            </w:r>
          </w:p>
        </w:tc>
        <w:tc>
          <w:tcPr>
            <w:tcW w:w="691" w:type="dxa"/>
            <w:vAlign w:val="top"/>
          </w:tcPr>
          <w:p w14:paraId="13D2DD26">
            <w:pPr>
              <w:pStyle w:val="6"/>
              <w:spacing w:before="63" w:line="182" w:lineRule="auto"/>
              <w:ind w:left="314"/>
            </w:pPr>
            <w:r>
              <w:t>/</w:t>
            </w:r>
          </w:p>
        </w:tc>
        <w:tc>
          <w:tcPr>
            <w:tcW w:w="691" w:type="dxa"/>
            <w:vAlign w:val="top"/>
          </w:tcPr>
          <w:p w14:paraId="4D6C495A">
            <w:pPr>
              <w:pStyle w:val="6"/>
              <w:spacing w:before="68" w:line="177" w:lineRule="auto"/>
              <w:ind w:left="169"/>
            </w:pPr>
            <w:r>
              <w:rPr>
                <w:b/>
                <w:bCs/>
                <w:spacing w:val="-2"/>
              </w:rPr>
              <w:t>6.77</w:t>
            </w:r>
          </w:p>
        </w:tc>
        <w:tc>
          <w:tcPr>
            <w:tcW w:w="690" w:type="dxa"/>
            <w:vAlign w:val="top"/>
          </w:tcPr>
          <w:p w14:paraId="6B54F43D">
            <w:pPr>
              <w:pStyle w:val="6"/>
              <w:spacing w:before="63" w:line="182" w:lineRule="auto"/>
              <w:ind w:left="316"/>
            </w:pPr>
            <w:r>
              <w:t>/</w:t>
            </w:r>
          </w:p>
        </w:tc>
        <w:tc>
          <w:tcPr>
            <w:tcW w:w="693" w:type="dxa"/>
            <w:vAlign w:val="top"/>
          </w:tcPr>
          <w:p w14:paraId="1E2E2FEF">
            <w:pPr>
              <w:pStyle w:val="6"/>
              <w:spacing w:before="63" w:line="182" w:lineRule="auto"/>
              <w:ind w:left="174"/>
            </w:pPr>
            <w:r>
              <w:rPr>
                <w:spacing w:val="-2"/>
              </w:rPr>
              <w:t>3.66</w:t>
            </w:r>
          </w:p>
        </w:tc>
        <w:tc>
          <w:tcPr>
            <w:tcW w:w="690" w:type="dxa"/>
            <w:vAlign w:val="top"/>
          </w:tcPr>
          <w:p w14:paraId="0E2CD745">
            <w:pPr>
              <w:pStyle w:val="6"/>
              <w:spacing w:before="63" w:line="182" w:lineRule="auto"/>
              <w:ind w:left="319"/>
            </w:pPr>
            <w:r>
              <w:t>/</w:t>
            </w:r>
          </w:p>
        </w:tc>
        <w:tc>
          <w:tcPr>
            <w:tcW w:w="691" w:type="dxa"/>
            <w:vAlign w:val="top"/>
          </w:tcPr>
          <w:p w14:paraId="1EF423D1">
            <w:pPr>
              <w:pStyle w:val="6"/>
              <w:spacing w:before="68" w:line="177" w:lineRule="auto"/>
              <w:ind w:left="95"/>
            </w:pPr>
            <w:r>
              <w:rPr>
                <w:b/>
                <w:bCs/>
                <w:spacing w:val="-2"/>
              </w:rPr>
              <w:t>73000</w:t>
            </w:r>
          </w:p>
        </w:tc>
        <w:tc>
          <w:tcPr>
            <w:tcW w:w="691" w:type="dxa"/>
            <w:vAlign w:val="top"/>
          </w:tcPr>
          <w:p w14:paraId="12238D33">
            <w:pPr>
              <w:pStyle w:val="6"/>
              <w:spacing w:before="63" w:line="182" w:lineRule="auto"/>
              <w:ind w:left="323"/>
            </w:pPr>
            <w:r>
              <w:t>/</w:t>
            </w:r>
          </w:p>
        </w:tc>
        <w:tc>
          <w:tcPr>
            <w:tcW w:w="704" w:type="dxa"/>
            <w:tcBorders>
              <w:right w:val="single" w:color="000000" w:sz="12" w:space="0"/>
            </w:tcBorders>
            <w:vAlign w:val="top"/>
          </w:tcPr>
          <w:p w14:paraId="7CE5968A">
            <w:pPr>
              <w:pStyle w:val="6"/>
              <w:spacing w:before="63" w:line="182" w:lineRule="auto"/>
              <w:ind w:left="124"/>
            </w:pPr>
            <w:r>
              <w:rPr>
                <w:spacing w:val="-2"/>
              </w:rPr>
              <w:t>0.063</w:t>
            </w:r>
          </w:p>
        </w:tc>
      </w:tr>
      <w:tr w14:paraId="5330A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41CAC61C">
            <w:pPr>
              <w:rPr>
                <w:rFonts w:ascii="Arial"/>
                <w:sz w:val="21"/>
              </w:rPr>
            </w:pPr>
          </w:p>
        </w:tc>
        <w:tc>
          <w:tcPr>
            <w:tcW w:w="283" w:type="dxa"/>
            <w:vMerge w:val="continue"/>
            <w:tcBorders>
              <w:top w:val="nil"/>
              <w:bottom w:val="nil"/>
            </w:tcBorders>
            <w:vAlign w:val="top"/>
          </w:tcPr>
          <w:p w14:paraId="35EA49BA">
            <w:pPr>
              <w:rPr>
                <w:rFonts w:ascii="Arial"/>
                <w:sz w:val="21"/>
              </w:rPr>
            </w:pPr>
          </w:p>
        </w:tc>
        <w:tc>
          <w:tcPr>
            <w:tcW w:w="1208" w:type="dxa"/>
            <w:vAlign w:val="top"/>
          </w:tcPr>
          <w:p w14:paraId="700C2061">
            <w:pPr>
              <w:pStyle w:val="6"/>
              <w:spacing w:before="65" w:line="181" w:lineRule="auto"/>
              <w:ind w:left="165"/>
            </w:pPr>
            <w:r>
              <w:rPr>
                <w:spacing w:val="-1"/>
              </w:rPr>
              <w:t>2019/1/16</w:t>
            </w:r>
          </w:p>
        </w:tc>
        <w:tc>
          <w:tcPr>
            <w:tcW w:w="691" w:type="dxa"/>
            <w:vAlign w:val="top"/>
          </w:tcPr>
          <w:p w14:paraId="7B0F6D92">
            <w:pPr>
              <w:pStyle w:val="6"/>
              <w:spacing w:before="65" w:line="181" w:lineRule="auto"/>
              <w:ind w:left="301"/>
            </w:pPr>
            <w:r>
              <w:t>/</w:t>
            </w:r>
          </w:p>
        </w:tc>
        <w:tc>
          <w:tcPr>
            <w:tcW w:w="691" w:type="dxa"/>
            <w:vAlign w:val="top"/>
          </w:tcPr>
          <w:p w14:paraId="43A6CE31">
            <w:pPr>
              <w:pStyle w:val="6"/>
              <w:spacing w:before="70" w:line="176" w:lineRule="auto"/>
              <w:ind w:left="188"/>
            </w:pPr>
            <w:r>
              <w:rPr>
                <w:b/>
                <w:bCs/>
                <w:spacing w:val="-4"/>
              </w:rPr>
              <w:t>114</w:t>
            </w:r>
          </w:p>
        </w:tc>
        <w:tc>
          <w:tcPr>
            <w:tcW w:w="689" w:type="dxa"/>
            <w:vAlign w:val="top"/>
          </w:tcPr>
          <w:p w14:paraId="09897466">
            <w:pPr>
              <w:pStyle w:val="6"/>
              <w:spacing w:before="65" w:line="181" w:lineRule="auto"/>
              <w:ind w:left="302"/>
            </w:pPr>
            <w:r>
              <w:t>/</w:t>
            </w:r>
          </w:p>
        </w:tc>
        <w:tc>
          <w:tcPr>
            <w:tcW w:w="691" w:type="dxa"/>
            <w:vAlign w:val="top"/>
          </w:tcPr>
          <w:p w14:paraId="6435EB46">
            <w:pPr>
              <w:pStyle w:val="6"/>
              <w:spacing w:before="70" w:line="176" w:lineRule="auto"/>
              <w:ind w:left="183"/>
            </w:pPr>
            <w:r>
              <w:rPr>
                <w:b/>
                <w:bCs/>
                <w:spacing w:val="-2"/>
              </w:rPr>
              <w:t>238</w:t>
            </w:r>
          </w:p>
        </w:tc>
        <w:tc>
          <w:tcPr>
            <w:tcW w:w="691" w:type="dxa"/>
            <w:vAlign w:val="top"/>
          </w:tcPr>
          <w:p w14:paraId="08A215E8">
            <w:pPr>
              <w:pStyle w:val="6"/>
              <w:spacing w:before="65" w:line="181" w:lineRule="auto"/>
              <w:ind w:left="307"/>
            </w:pPr>
            <w:r>
              <w:t>/</w:t>
            </w:r>
          </w:p>
        </w:tc>
        <w:tc>
          <w:tcPr>
            <w:tcW w:w="692" w:type="dxa"/>
            <w:vAlign w:val="top"/>
          </w:tcPr>
          <w:p w14:paraId="2FCAE818">
            <w:pPr>
              <w:pStyle w:val="6"/>
              <w:spacing w:before="70" w:line="176" w:lineRule="auto"/>
              <w:ind w:left="240"/>
            </w:pPr>
            <w:r>
              <w:rPr>
                <w:b/>
                <w:bCs/>
                <w:spacing w:val="-2"/>
              </w:rPr>
              <w:t>88</w:t>
            </w:r>
          </w:p>
        </w:tc>
        <w:tc>
          <w:tcPr>
            <w:tcW w:w="691" w:type="dxa"/>
            <w:vAlign w:val="top"/>
          </w:tcPr>
          <w:p w14:paraId="4C6E41F3">
            <w:pPr>
              <w:pStyle w:val="6"/>
              <w:spacing w:before="65" w:line="181" w:lineRule="auto"/>
              <w:ind w:left="310"/>
            </w:pPr>
            <w:r>
              <w:t>/</w:t>
            </w:r>
          </w:p>
        </w:tc>
        <w:tc>
          <w:tcPr>
            <w:tcW w:w="689" w:type="dxa"/>
            <w:vAlign w:val="top"/>
          </w:tcPr>
          <w:p w14:paraId="7CE4F762">
            <w:pPr>
              <w:pStyle w:val="6"/>
              <w:spacing w:before="70" w:line="176" w:lineRule="auto"/>
              <w:ind w:left="164"/>
            </w:pPr>
            <w:r>
              <w:rPr>
                <w:b/>
                <w:bCs/>
                <w:spacing w:val="-2"/>
              </w:rPr>
              <w:t>73.4</w:t>
            </w:r>
          </w:p>
        </w:tc>
        <w:tc>
          <w:tcPr>
            <w:tcW w:w="691" w:type="dxa"/>
            <w:vAlign w:val="top"/>
          </w:tcPr>
          <w:p w14:paraId="7D967A4F">
            <w:pPr>
              <w:pStyle w:val="6"/>
              <w:spacing w:before="65" w:line="181" w:lineRule="auto"/>
              <w:ind w:left="314"/>
            </w:pPr>
            <w:r>
              <w:t>/</w:t>
            </w:r>
          </w:p>
        </w:tc>
        <w:tc>
          <w:tcPr>
            <w:tcW w:w="691" w:type="dxa"/>
            <w:vAlign w:val="top"/>
          </w:tcPr>
          <w:p w14:paraId="353AF418">
            <w:pPr>
              <w:pStyle w:val="6"/>
              <w:spacing w:before="70" w:line="176" w:lineRule="auto"/>
              <w:ind w:left="169"/>
            </w:pPr>
            <w:r>
              <w:rPr>
                <w:b/>
                <w:bCs/>
                <w:spacing w:val="-2"/>
              </w:rPr>
              <w:t>6.73</w:t>
            </w:r>
          </w:p>
        </w:tc>
        <w:tc>
          <w:tcPr>
            <w:tcW w:w="690" w:type="dxa"/>
            <w:vAlign w:val="top"/>
          </w:tcPr>
          <w:p w14:paraId="5D8E9AEF">
            <w:pPr>
              <w:pStyle w:val="6"/>
              <w:spacing w:before="65" w:line="181" w:lineRule="auto"/>
              <w:ind w:left="316"/>
            </w:pPr>
            <w:r>
              <w:t>/</w:t>
            </w:r>
          </w:p>
        </w:tc>
        <w:tc>
          <w:tcPr>
            <w:tcW w:w="693" w:type="dxa"/>
            <w:vAlign w:val="top"/>
          </w:tcPr>
          <w:p w14:paraId="46D88D8C">
            <w:pPr>
              <w:pStyle w:val="6"/>
              <w:spacing w:before="65" w:line="181" w:lineRule="auto"/>
              <w:ind w:left="174"/>
            </w:pPr>
            <w:r>
              <w:rPr>
                <w:spacing w:val="-2"/>
              </w:rPr>
              <w:t>3.61</w:t>
            </w:r>
          </w:p>
        </w:tc>
        <w:tc>
          <w:tcPr>
            <w:tcW w:w="690" w:type="dxa"/>
            <w:vAlign w:val="top"/>
          </w:tcPr>
          <w:p w14:paraId="0181FD8C">
            <w:pPr>
              <w:pStyle w:val="6"/>
              <w:spacing w:before="65" w:line="181" w:lineRule="auto"/>
              <w:ind w:left="319"/>
            </w:pPr>
            <w:r>
              <w:t>/</w:t>
            </w:r>
          </w:p>
        </w:tc>
        <w:tc>
          <w:tcPr>
            <w:tcW w:w="691" w:type="dxa"/>
            <w:vAlign w:val="top"/>
          </w:tcPr>
          <w:p w14:paraId="70B356AC">
            <w:pPr>
              <w:pStyle w:val="6"/>
              <w:spacing w:before="70" w:line="176" w:lineRule="auto"/>
              <w:ind w:left="93"/>
            </w:pPr>
            <w:r>
              <w:rPr>
                <w:b/>
                <w:bCs/>
                <w:spacing w:val="-1"/>
              </w:rPr>
              <w:t>46000</w:t>
            </w:r>
          </w:p>
        </w:tc>
        <w:tc>
          <w:tcPr>
            <w:tcW w:w="691" w:type="dxa"/>
            <w:vAlign w:val="top"/>
          </w:tcPr>
          <w:p w14:paraId="4FCD72BB">
            <w:pPr>
              <w:pStyle w:val="6"/>
              <w:spacing w:before="65" w:line="181" w:lineRule="auto"/>
              <w:ind w:left="323"/>
            </w:pPr>
            <w:r>
              <w:t>/</w:t>
            </w:r>
          </w:p>
        </w:tc>
        <w:tc>
          <w:tcPr>
            <w:tcW w:w="704" w:type="dxa"/>
            <w:tcBorders>
              <w:right w:val="single" w:color="000000" w:sz="12" w:space="0"/>
            </w:tcBorders>
            <w:vAlign w:val="top"/>
          </w:tcPr>
          <w:p w14:paraId="3F6AC597">
            <w:pPr>
              <w:pStyle w:val="6"/>
              <w:spacing w:before="65" w:line="181" w:lineRule="auto"/>
              <w:ind w:left="124"/>
            </w:pPr>
            <w:r>
              <w:rPr>
                <w:spacing w:val="-2"/>
              </w:rPr>
              <w:t>0.061</w:t>
            </w:r>
          </w:p>
        </w:tc>
      </w:tr>
      <w:tr w14:paraId="0781E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tcBorders>
            <w:vAlign w:val="top"/>
          </w:tcPr>
          <w:p w14:paraId="22D8CB82">
            <w:pPr>
              <w:rPr>
                <w:rFonts w:ascii="Arial"/>
                <w:sz w:val="21"/>
              </w:rPr>
            </w:pPr>
          </w:p>
        </w:tc>
        <w:tc>
          <w:tcPr>
            <w:tcW w:w="283" w:type="dxa"/>
            <w:vMerge w:val="continue"/>
            <w:tcBorders>
              <w:top w:val="nil"/>
            </w:tcBorders>
            <w:vAlign w:val="top"/>
          </w:tcPr>
          <w:p w14:paraId="633AD688">
            <w:pPr>
              <w:rPr>
                <w:rFonts w:ascii="Arial"/>
                <w:sz w:val="21"/>
              </w:rPr>
            </w:pPr>
          </w:p>
        </w:tc>
        <w:tc>
          <w:tcPr>
            <w:tcW w:w="1208" w:type="dxa"/>
            <w:vAlign w:val="top"/>
          </w:tcPr>
          <w:p w14:paraId="52E2F145">
            <w:pPr>
              <w:pStyle w:val="6"/>
              <w:spacing w:before="69" w:line="184" w:lineRule="auto"/>
              <w:ind w:left="165"/>
            </w:pPr>
            <w:r>
              <w:rPr>
                <w:spacing w:val="-1"/>
              </w:rPr>
              <w:t>2019/1/17</w:t>
            </w:r>
          </w:p>
        </w:tc>
        <w:tc>
          <w:tcPr>
            <w:tcW w:w="691" w:type="dxa"/>
            <w:vAlign w:val="top"/>
          </w:tcPr>
          <w:p w14:paraId="061E1A40">
            <w:pPr>
              <w:pStyle w:val="6"/>
              <w:spacing w:before="69" w:line="184" w:lineRule="auto"/>
              <w:ind w:left="301"/>
            </w:pPr>
            <w:r>
              <w:t>/</w:t>
            </w:r>
          </w:p>
        </w:tc>
        <w:tc>
          <w:tcPr>
            <w:tcW w:w="691" w:type="dxa"/>
            <w:vAlign w:val="top"/>
          </w:tcPr>
          <w:p w14:paraId="51C272AC">
            <w:pPr>
              <w:pStyle w:val="6"/>
              <w:spacing w:before="74" w:line="179" w:lineRule="auto"/>
              <w:ind w:left="188"/>
            </w:pPr>
            <w:r>
              <w:rPr>
                <w:b/>
                <w:bCs/>
                <w:spacing w:val="-4"/>
              </w:rPr>
              <w:t>102</w:t>
            </w:r>
          </w:p>
        </w:tc>
        <w:tc>
          <w:tcPr>
            <w:tcW w:w="689" w:type="dxa"/>
            <w:vAlign w:val="top"/>
          </w:tcPr>
          <w:p w14:paraId="3D6FC28A">
            <w:pPr>
              <w:pStyle w:val="6"/>
              <w:spacing w:before="69" w:line="184" w:lineRule="auto"/>
              <w:ind w:left="302"/>
            </w:pPr>
            <w:r>
              <w:t>/</w:t>
            </w:r>
          </w:p>
        </w:tc>
        <w:tc>
          <w:tcPr>
            <w:tcW w:w="691" w:type="dxa"/>
            <w:vAlign w:val="top"/>
          </w:tcPr>
          <w:p w14:paraId="1F7C3C31">
            <w:pPr>
              <w:pStyle w:val="6"/>
              <w:spacing w:before="74" w:line="179" w:lineRule="auto"/>
              <w:ind w:left="183"/>
            </w:pPr>
            <w:r>
              <w:rPr>
                <w:b/>
                <w:bCs/>
                <w:spacing w:val="-2"/>
              </w:rPr>
              <w:t>214</w:t>
            </w:r>
          </w:p>
        </w:tc>
        <w:tc>
          <w:tcPr>
            <w:tcW w:w="691" w:type="dxa"/>
            <w:vAlign w:val="top"/>
          </w:tcPr>
          <w:p w14:paraId="487EBE61">
            <w:pPr>
              <w:pStyle w:val="6"/>
              <w:spacing w:before="69" w:line="184" w:lineRule="auto"/>
              <w:ind w:left="307"/>
            </w:pPr>
            <w:r>
              <w:t>/</w:t>
            </w:r>
          </w:p>
        </w:tc>
        <w:tc>
          <w:tcPr>
            <w:tcW w:w="692" w:type="dxa"/>
            <w:vAlign w:val="top"/>
          </w:tcPr>
          <w:p w14:paraId="698DC406">
            <w:pPr>
              <w:pStyle w:val="6"/>
              <w:spacing w:before="74" w:line="179" w:lineRule="auto"/>
              <w:ind w:left="240"/>
            </w:pPr>
            <w:r>
              <w:rPr>
                <w:b/>
                <w:bCs/>
                <w:spacing w:val="-2"/>
              </w:rPr>
              <w:t>79</w:t>
            </w:r>
          </w:p>
        </w:tc>
        <w:tc>
          <w:tcPr>
            <w:tcW w:w="691" w:type="dxa"/>
            <w:vAlign w:val="top"/>
          </w:tcPr>
          <w:p w14:paraId="203EB19A">
            <w:pPr>
              <w:pStyle w:val="6"/>
              <w:spacing w:before="69" w:line="184" w:lineRule="auto"/>
              <w:ind w:left="310"/>
            </w:pPr>
            <w:r>
              <w:t>/</w:t>
            </w:r>
          </w:p>
        </w:tc>
        <w:tc>
          <w:tcPr>
            <w:tcW w:w="689" w:type="dxa"/>
            <w:vAlign w:val="top"/>
          </w:tcPr>
          <w:p w14:paraId="477B571B">
            <w:pPr>
              <w:pStyle w:val="6"/>
              <w:spacing w:before="74" w:line="179" w:lineRule="auto"/>
              <w:ind w:left="164"/>
            </w:pPr>
            <w:r>
              <w:rPr>
                <w:b/>
                <w:bCs/>
                <w:spacing w:val="-2"/>
              </w:rPr>
              <w:t>75.3</w:t>
            </w:r>
          </w:p>
        </w:tc>
        <w:tc>
          <w:tcPr>
            <w:tcW w:w="691" w:type="dxa"/>
            <w:vAlign w:val="top"/>
          </w:tcPr>
          <w:p w14:paraId="552F0E35">
            <w:pPr>
              <w:pStyle w:val="6"/>
              <w:spacing w:before="69" w:line="184" w:lineRule="auto"/>
              <w:ind w:left="314"/>
            </w:pPr>
            <w:r>
              <w:t>/</w:t>
            </w:r>
          </w:p>
        </w:tc>
        <w:tc>
          <w:tcPr>
            <w:tcW w:w="691" w:type="dxa"/>
            <w:vAlign w:val="top"/>
          </w:tcPr>
          <w:p w14:paraId="4A0F1C00">
            <w:pPr>
              <w:pStyle w:val="6"/>
              <w:spacing w:before="74" w:line="179" w:lineRule="auto"/>
              <w:ind w:left="169"/>
            </w:pPr>
            <w:r>
              <w:rPr>
                <w:b/>
                <w:bCs/>
                <w:spacing w:val="-2"/>
              </w:rPr>
              <w:t>6.75</w:t>
            </w:r>
          </w:p>
        </w:tc>
        <w:tc>
          <w:tcPr>
            <w:tcW w:w="690" w:type="dxa"/>
            <w:vAlign w:val="top"/>
          </w:tcPr>
          <w:p w14:paraId="7115F380">
            <w:pPr>
              <w:pStyle w:val="6"/>
              <w:spacing w:before="69" w:line="184" w:lineRule="auto"/>
              <w:ind w:left="316"/>
            </w:pPr>
            <w:r>
              <w:t>/</w:t>
            </w:r>
          </w:p>
        </w:tc>
        <w:tc>
          <w:tcPr>
            <w:tcW w:w="693" w:type="dxa"/>
            <w:vAlign w:val="top"/>
          </w:tcPr>
          <w:p w14:paraId="272434BC">
            <w:pPr>
              <w:pStyle w:val="6"/>
              <w:spacing w:before="69" w:line="184" w:lineRule="auto"/>
              <w:ind w:left="174"/>
            </w:pPr>
            <w:r>
              <w:rPr>
                <w:spacing w:val="-2"/>
              </w:rPr>
              <w:t>3.72</w:t>
            </w:r>
          </w:p>
        </w:tc>
        <w:tc>
          <w:tcPr>
            <w:tcW w:w="690" w:type="dxa"/>
            <w:vAlign w:val="top"/>
          </w:tcPr>
          <w:p w14:paraId="1882BE10">
            <w:pPr>
              <w:pStyle w:val="6"/>
              <w:spacing w:before="69" w:line="184" w:lineRule="auto"/>
              <w:ind w:left="319"/>
            </w:pPr>
            <w:r>
              <w:t>/</w:t>
            </w:r>
          </w:p>
        </w:tc>
        <w:tc>
          <w:tcPr>
            <w:tcW w:w="691" w:type="dxa"/>
            <w:vAlign w:val="top"/>
          </w:tcPr>
          <w:p w14:paraId="26404D55">
            <w:pPr>
              <w:pStyle w:val="6"/>
              <w:spacing w:before="74" w:line="179" w:lineRule="auto"/>
              <w:ind w:left="93"/>
            </w:pPr>
            <w:r>
              <w:rPr>
                <w:b/>
                <w:bCs/>
                <w:spacing w:val="-1"/>
              </w:rPr>
              <w:t>49000</w:t>
            </w:r>
          </w:p>
        </w:tc>
        <w:tc>
          <w:tcPr>
            <w:tcW w:w="691" w:type="dxa"/>
            <w:vAlign w:val="top"/>
          </w:tcPr>
          <w:p w14:paraId="4EA4665F">
            <w:pPr>
              <w:pStyle w:val="6"/>
              <w:spacing w:before="69" w:line="184" w:lineRule="auto"/>
              <w:ind w:left="323"/>
            </w:pPr>
            <w:r>
              <w:t>/</w:t>
            </w:r>
          </w:p>
        </w:tc>
        <w:tc>
          <w:tcPr>
            <w:tcW w:w="704" w:type="dxa"/>
            <w:tcBorders>
              <w:right w:val="single" w:color="000000" w:sz="12" w:space="0"/>
            </w:tcBorders>
            <w:vAlign w:val="top"/>
          </w:tcPr>
          <w:p w14:paraId="2DE7EE08">
            <w:pPr>
              <w:pStyle w:val="6"/>
              <w:spacing w:before="69" w:line="184" w:lineRule="auto"/>
              <w:ind w:left="124"/>
            </w:pPr>
            <w:r>
              <w:rPr>
                <w:spacing w:val="-2"/>
              </w:rPr>
              <w:t>0.052</w:t>
            </w:r>
          </w:p>
        </w:tc>
      </w:tr>
      <w:tr w14:paraId="51142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restart"/>
            <w:tcBorders>
              <w:left w:val="single" w:color="000000" w:sz="12" w:space="0"/>
              <w:bottom w:val="nil"/>
            </w:tcBorders>
            <w:vAlign w:val="top"/>
          </w:tcPr>
          <w:p w14:paraId="435B7B89">
            <w:pPr>
              <w:spacing w:line="320" w:lineRule="auto"/>
              <w:rPr>
                <w:rFonts w:ascii="Arial"/>
                <w:sz w:val="21"/>
              </w:rPr>
            </w:pPr>
          </w:p>
          <w:p w14:paraId="094635B4">
            <w:pPr>
              <w:spacing w:line="320" w:lineRule="auto"/>
              <w:rPr>
                <w:rFonts w:ascii="Arial"/>
                <w:sz w:val="21"/>
              </w:rPr>
            </w:pPr>
          </w:p>
          <w:p w14:paraId="3A4E39DF">
            <w:pPr>
              <w:pStyle w:val="6"/>
              <w:spacing w:before="68" w:line="239" w:lineRule="auto"/>
              <w:ind w:left="63" w:right="85" w:firstLine="32"/>
              <w:jc w:val="both"/>
              <w:rPr>
                <w:rFonts w:ascii="宋体" w:hAnsi="宋体" w:eastAsia="宋体" w:cs="宋体"/>
              </w:rPr>
            </w:pPr>
            <w:r>
              <w:rPr>
                <w:rFonts w:ascii="宋体" w:hAnsi="宋体" w:eastAsia="宋体" w:cs="宋体"/>
                <w:spacing w:val="-4"/>
              </w:rPr>
              <w:t>生活区</w:t>
            </w:r>
            <w:r>
              <w:rPr>
                <w:spacing w:val="-4"/>
              </w:rPr>
              <w:t>#8</w:t>
            </w:r>
            <w:r>
              <w:rPr>
                <w:spacing w:val="12"/>
              </w:rPr>
              <w:t xml:space="preserve"> </w:t>
            </w:r>
            <w:r>
              <w:rPr>
                <w:rFonts w:ascii="宋体" w:hAnsi="宋体" w:eastAsia="宋体" w:cs="宋体"/>
                <w:spacing w:val="-4"/>
              </w:rPr>
              <w:t>支洞</w:t>
            </w:r>
            <w:r>
              <w:rPr>
                <w:rFonts w:ascii="宋体" w:hAnsi="宋体" w:eastAsia="宋体" w:cs="宋体"/>
                <w:spacing w:val="7"/>
              </w:rPr>
              <w:t>污水处理系统</w:t>
            </w:r>
          </w:p>
        </w:tc>
        <w:tc>
          <w:tcPr>
            <w:tcW w:w="283" w:type="dxa"/>
            <w:vMerge w:val="restart"/>
            <w:tcBorders>
              <w:bottom w:val="nil"/>
            </w:tcBorders>
            <w:vAlign w:val="top"/>
          </w:tcPr>
          <w:p w14:paraId="62F65F42">
            <w:pPr>
              <w:pStyle w:val="6"/>
              <w:spacing w:before="67" w:line="222" w:lineRule="auto"/>
              <w:ind w:left="75"/>
            </w:pPr>
            <w:r>
              <w:t>2</w:t>
            </w:r>
          </w:p>
          <w:p w14:paraId="77FB7AED">
            <w:pPr>
              <w:spacing w:line="219" w:lineRule="auto"/>
              <w:ind w:left="26"/>
              <w:rPr>
                <w:rFonts w:ascii="宋体" w:hAnsi="宋体" w:eastAsia="宋体" w:cs="宋体"/>
                <w:sz w:val="21"/>
                <w:szCs w:val="21"/>
              </w:rPr>
            </w:pPr>
            <w:r>
              <w:rPr>
                <w:rFonts w:ascii="宋体" w:hAnsi="宋体" w:eastAsia="宋体" w:cs="宋体"/>
                <w:sz w:val="21"/>
                <w:szCs w:val="21"/>
              </w:rPr>
              <w:t>季</w:t>
            </w:r>
          </w:p>
          <w:p w14:paraId="01204347">
            <w:pPr>
              <w:spacing w:before="22" w:line="200"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51A019EE">
            <w:pPr>
              <w:pStyle w:val="6"/>
              <w:spacing w:before="67" w:line="179" w:lineRule="auto"/>
              <w:ind w:left="165"/>
            </w:pPr>
            <w:r>
              <w:rPr>
                <w:spacing w:val="-1"/>
              </w:rPr>
              <w:t>2019/5/10</w:t>
            </w:r>
          </w:p>
        </w:tc>
        <w:tc>
          <w:tcPr>
            <w:tcW w:w="691" w:type="dxa"/>
            <w:vAlign w:val="top"/>
          </w:tcPr>
          <w:p w14:paraId="20C9DFCD">
            <w:pPr>
              <w:pStyle w:val="6"/>
              <w:spacing w:before="67" w:line="179" w:lineRule="auto"/>
              <w:ind w:left="301"/>
            </w:pPr>
            <w:r>
              <w:t>/</w:t>
            </w:r>
          </w:p>
        </w:tc>
        <w:tc>
          <w:tcPr>
            <w:tcW w:w="691" w:type="dxa"/>
            <w:vAlign w:val="top"/>
          </w:tcPr>
          <w:p w14:paraId="7FF82DFC">
            <w:pPr>
              <w:pStyle w:val="6"/>
              <w:spacing w:before="71" w:line="175" w:lineRule="auto"/>
              <w:ind w:left="180"/>
            </w:pPr>
            <w:r>
              <w:rPr>
                <w:b/>
                <w:bCs/>
                <w:spacing w:val="-2"/>
              </w:rPr>
              <w:t>220</w:t>
            </w:r>
          </w:p>
        </w:tc>
        <w:tc>
          <w:tcPr>
            <w:tcW w:w="689" w:type="dxa"/>
            <w:vAlign w:val="top"/>
          </w:tcPr>
          <w:p w14:paraId="6E57E91F">
            <w:pPr>
              <w:pStyle w:val="6"/>
              <w:spacing w:before="67" w:line="179" w:lineRule="auto"/>
              <w:ind w:left="302"/>
            </w:pPr>
            <w:r>
              <w:t>/</w:t>
            </w:r>
          </w:p>
        </w:tc>
        <w:tc>
          <w:tcPr>
            <w:tcW w:w="691" w:type="dxa"/>
            <w:vAlign w:val="top"/>
          </w:tcPr>
          <w:p w14:paraId="5DBE0B62">
            <w:pPr>
              <w:pStyle w:val="6"/>
              <w:spacing w:before="71" w:line="175" w:lineRule="auto"/>
              <w:ind w:left="183"/>
            </w:pPr>
            <w:r>
              <w:rPr>
                <w:b/>
                <w:bCs/>
                <w:spacing w:val="-2"/>
              </w:rPr>
              <w:t>499</w:t>
            </w:r>
          </w:p>
        </w:tc>
        <w:tc>
          <w:tcPr>
            <w:tcW w:w="691" w:type="dxa"/>
            <w:vAlign w:val="top"/>
          </w:tcPr>
          <w:p w14:paraId="407DBD19">
            <w:pPr>
              <w:pStyle w:val="6"/>
              <w:spacing w:before="67" w:line="179" w:lineRule="auto"/>
              <w:ind w:left="307"/>
            </w:pPr>
            <w:r>
              <w:t>/</w:t>
            </w:r>
          </w:p>
        </w:tc>
        <w:tc>
          <w:tcPr>
            <w:tcW w:w="692" w:type="dxa"/>
            <w:vAlign w:val="top"/>
          </w:tcPr>
          <w:p w14:paraId="26C78D5C">
            <w:pPr>
              <w:pStyle w:val="6"/>
              <w:spacing w:before="71" w:line="175" w:lineRule="auto"/>
              <w:ind w:left="142"/>
            </w:pPr>
            <w:r>
              <w:rPr>
                <w:b/>
                <w:bCs/>
                <w:spacing w:val="-3"/>
              </w:rPr>
              <w:t>1760</w:t>
            </w:r>
          </w:p>
        </w:tc>
        <w:tc>
          <w:tcPr>
            <w:tcW w:w="691" w:type="dxa"/>
            <w:vAlign w:val="top"/>
          </w:tcPr>
          <w:p w14:paraId="1AB9D749">
            <w:pPr>
              <w:pStyle w:val="6"/>
              <w:spacing w:before="67" w:line="179" w:lineRule="auto"/>
              <w:ind w:left="310"/>
            </w:pPr>
            <w:r>
              <w:t>/</w:t>
            </w:r>
          </w:p>
        </w:tc>
        <w:tc>
          <w:tcPr>
            <w:tcW w:w="689" w:type="dxa"/>
            <w:vAlign w:val="top"/>
          </w:tcPr>
          <w:p w14:paraId="4B16D717">
            <w:pPr>
              <w:pStyle w:val="6"/>
              <w:spacing w:before="71" w:line="175" w:lineRule="auto"/>
              <w:ind w:left="163"/>
            </w:pPr>
            <w:r>
              <w:rPr>
                <w:b/>
                <w:bCs/>
                <w:spacing w:val="-2"/>
              </w:rPr>
              <w:t>99.5</w:t>
            </w:r>
          </w:p>
        </w:tc>
        <w:tc>
          <w:tcPr>
            <w:tcW w:w="691" w:type="dxa"/>
            <w:vAlign w:val="top"/>
          </w:tcPr>
          <w:p w14:paraId="7F19F00B">
            <w:pPr>
              <w:pStyle w:val="6"/>
              <w:spacing w:before="67" w:line="179" w:lineRule="auto"/>
              <w:ind w:left="314"/>
            </w:pPr>
            <w:r>
              <w:t>/</w:t>
            </w:r>
          </w:p>
        </w:tc>
        <w:tc>
          <w:tcPr>
            <w:tcW w:w="691" w:type="dxa"/>
            <w:vAlign w:val="top"/>
          </w:tcPr>
          <w:p w14:paraId="61064AD4">
            <w:pPr>
              <w:pStyle w:val="6"/>
              <w:spacing w:before="71" w:line="175" w:lineRule="auto"/>
              <w:ind w:left="175"/>
            </w:pPr>
            <w:r>
              <w:rPr>
                <w:b/>
                <w:bCs/>
                <w:spacing w:val="-4"/>
              </w:rPr>
              <w:t>11.6</w:t>
            </w:r>
          </w:p>
        </w:tc>
        <w:tc>
          <w:tcPr>
            <w:tcW w:w="690" w:type="dxa"/>
            <w:vAlign w:val="top"/>
          </w:tcPr>
          <w:p w14:paraId="1B0532F8">
            <w:pPr>
              <w:pStyle w:val="6"/>
              <w:spacing w:before="67" w:line="179" w:lineRule="auto"/>
              <w:ind w:left="316"/>
            </w:pPr>
            <w:r>
              <w:t>/</w:t>
            </w:r>
          </w:p>
        </w:tc>
        <w:tc>
          <w:tcPr>
            <w:tcW w:w="693" w:type="dxa"/>
            <w:vAlign w:val="top"/>
          </w:tcPr>
          <w:p w14:paraId="3A6DFF17">
            <w:pPr>
              <w:pStyle w:val="6"/>
              <w:spacing w:before="71" w:line="175" w:lineRule="auto"/>
              <w:ind w:left="179"/>
            </w:pPr>
            <w:r>
              <w:rPr>
                <w:b/>
                <w:bCs/>
                <w:spacing w:val="-4"/>
              </w:rPr>
              <w:t>19.7</w:t>
            </w:r>
          </w:p>
        </w:tc>
        <w:tc>
          <w:tcPr>
            <w:tcW w:w="690" w:type="dxa"/>
            <w:vAlign w:val="top"/>
          </w:tcPr>
          <w:p w14:paraId="49E72144">
            <w:pPr>
              <w:pStyle w:val="6"/>
              <w:spacing w:before="67" w:line="179" w:lineRule="auto"/>
              <w:ind w:left="319"/>
            </w:pPr>
            <w:r>
              <w:t>/</w:t>
            </w:r>
          </w:p>
        </w:tc>
        <w:tc>
          <w:tcPr>
            <w:tcW w:w="691" w:type="dxa"/>
            <w:vAlign w:val="top"/>
          </w:tcPr>
          <w:p w14:paraId="783F8E5D">
            <w:pPr>
              <w:pStyle w:val="6"/>
              <w:spacing w:before="71" w:line="175" w:lineRule="auto"/>
              <w:ind w:left="49"/>
            </w:pPr>
            <w:r>
              <w:rPr>
                <w:b/>
                <w:bCs/>
                <w:spacing w:val="-2"/>
              </w:rPr>
              <w:t>160000</w:t>
            </w:r>
          </w:p>
        </w:tc>
        <w:tc>
          <w:tcPr>
            <w:tcW w:w="691" w:type="dxa"/>
            <w:vAlign w:val="top"/>
          </w:tcPr>
          <w:p w14:paraId="02579F8C">
            <w:pPr>
              <w:pStyle w:val="6"/>
              <w:spacing w:before="67" w:line="179" w:lineRule="auto"/>
              <w:ind w:left="323"/>
            </w:pPr>
            <w:r>
              <w:t>/</w:t>
            </w:r>
          </w:p>
        </w:tc>
        <w:tc>
          <w:tcPr>
            <w:tcW w:w="704" w:type="dxa"/>
            <w:tcBorders>
              <w:right w:val="single" w:color="000000" w:sz="12" w:space="0"/>
            </w:tcBorders>
            <w:vAlign w:val="top"/>
          </w:tcPr>
          <w:p w14:paraId="37BA835D">
            <w:pPr>
              <w:pStyle w:val="6"/>
              <w:spacing w:before="67" w:line="179" w:lineRule="auto"/>
              <w:ind w:left="194"/>
            </w:pPr>
            <w:r>
              <w:rPr>
                <w:spacing w:val="-6"/>
              </w:rPr>
              <w:t>1.23</w:t>
            </w:r>
          </w:p>
        </w:tc>
      </w:tr>
      <w:tr w14:paraId="25327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7D682A65">
            <w:pPr>
              <w:rPr>
                <w:rFonts w:ascii="Arial"/>
                <w:sz w:val="21"/>
              </w:rPr>
            </w:pPr>
          </w:p>
        </w:tc>
        <w:tc>
          <w:tcPr>
            <w:tcW w:w="283" w:type="dxa"/>
            <w:vMerge w:val="continue"/>
            <w:tcBorders>
              <w:top w:val="nil"/>
              <w:bottom w:val="nil"/>
            </w:tcBorders>
            <w:vAlign w:val="top"/>
          </w:tcPr>
          <w:p w14:paraId="00AE9329">
            <w:pPr>
              <w:rPr>
                <w:rFonts w:ascii="Arial"/>
                <w:sz w:val="21"/>
              </w:rPr>
            </w:pPr>
          </w:p>
        </w:tc>
        <w:tc>
          <w:tcPr>
            <w:tcW w:w="1208" w:type="dxa"/>
            <w:vAlign w:val="top"/>
          </w:tcPr>
          <w:p w14:paraId="3F94245C">
            <w:pPr>
              <w:pStyle w:val="6"/>
              <w:spacing w:before="68" w:line="178" w:lineRule="auto"/>
              <w:ind w:left="165"/>
            </w:pPr>
            <w:r>
              <w:rPr>
                <w:spacing w:val="-1"/>
              </w:rPr>
              <w:t>2019/5/11</w:t>
            </w:r>
          </w:p>
        </w:tc>
        <w:tc>
          <w:tcPr>
            <w:tcW w:w="691" w:type="dxa"/>
            <w:vAlign w:val="top"/>
          </w:tcPr>
          <w:p w14:paraId="223DBF80">
            <w:pPr>
              <w:pStyle w:val="6"/>
              <w:spacing w:before="68" w:line="178" w:lineRule="auto"/>
              <w:ind w:left="301"/>
            </w:pPr>
            <w:r>
              <w:t>/</w:t>
            </w:r>
          </w:p>
        </w:tc>
        <w:tc>
          <w:tcPr>
            <w:tcW w:w="691" w:type="dxa"/>
            <w:vAlign w:val="top"/>
          </w:tcPr>
          <w:p w14:paraId="4FEE9847">
            <w:pPr>
              <w:pStyle w:val="6"/>
              <w:spacing w:before="72" w:line="174" w:lineRule="auto"/>
              <w:ind w:left="180"/>
            </w:pPr>
            <w:r>
              <w:rPr>
                <w:b/>
                <w:bCs/>
                <w:spacing w:val="-2"/>
              </w:rPr>
              <w:t>230</w:t>
            </w:r>
          </w:p>
        </w:tc>
        <w:tc>
          <w:tcPr>
            <w:tcW w:w="689" w:type="dxa"/>
            <w:vAlign w:val="top"/>
          </w:tcPr>
          <w:p w14:paraId="0B2B1013">
            <w:pPr>
              <w:pStyle w:val="6"/>
              <w:spacing w:before="68" w:line="178" w:lineRule="auto"/>
              <w:ind w:left="302"/>
            </w:pPr>
            <w:r>
              <w:t>/</w:t>
            </w:r>
          </w:p>
        </w:tc>
        <w:tc>
          <w:tcPr>
            <w:tcW w:w="691" w:type="dxa"/>
            <w:vAlign w:val="top"/>
          </w:tcPr>
          <w:p w14:paraId="6A04A245">
            <w:pPr>
              <w:pStyle w:val="6"/>
              <w:spacing w:before="72" w:line="174" w:lineRule="auto"/>
              <w:ind w:left="185"/>
            </w:pPr>
            <w:r>
              <w:rPr>
                <w:b/>
                <w:bCs/>
                <w:spacing w:val="-2"/>
              </w:rPr>
              <w:t>510</w:t>
            </w:r>
          </w:p>
        </w:tc>
        <w:tc>
          <w:tcPr>
            <w:tcW w:w="691" w:type="dxa"/>
            <w:vAlign w:val="top"/>
          </w:tcPr>
          <w:p w14:paraId="7E13A0D4">
            <w:pPr>
              <w:pStyle w:val="6"/>
              <w:spacing w:before="68" w:line="178" w:lineRule="auto"/>
              <w:ind w:left="307"/>
            </w:pPr>
            <w:r>
              <w:t>/</w:t>
            </w:r>
          </w:p>
        </w:tc>
        <w:tc>
          <w:tcPr>
            <w:tcW w:w="692" w:type="dxa"/>
            <w:vAlign w:val="top"/>
          </w:tcPr>
          <w:p w14:paraId="36C21199">
            <w:pPr>
              <w:pStyle w:val="6"/>
              <w:spacing w:before="72" w:line="174" w:lineRule="auto"/>
              <w:ind w:left="142"/>
            </w:pPr>
            <w:r>
              <w:rPr>
                <w:b/>
                <w:bCs/>
                <w:spacing w:val="-3"/>
              </w:rPr>
              <w:t>1680</w:t>
            </w:r>
          </w:p>
        </w:tc>
        <w:tc>
          <w:tcPr>
            <w:tcW w:w="691" w:type="dxa"/>
            <w:vAlign w:val="top"/>
          </w:tcPr>
          <w:p w14:paraId="1D52F885">
            <w:pPr>
              <w:pStyle w:val="6"/>
              <w:spacing w:before="68" w:line="178" w:lineRule="auto"/>
              <w:ind w:left="310"/>
            </w:pPr>
            <w:r>
              <w:t>/</w:t>
            </w:r>
          </w:p>
        </w:tc>
        <w:tc>
          <w:tcPr>
            <w:tcW w:w="689" w:type="dxa"/>
            <w:vAlign w:val="top"/>
          </w:tcPr>
          <w:p w14:paraId="38B88D8C">
            <w:pPr>
              <w:pStyle w:val="6"/>
              <w:spacing w:before="72" w:line="174" w:lineRule="auto"/>
              <w:ind w:left="163"/>
            </w:pPr>
            <w:r>
              <w:rPr>
                <w:b/>
                <w:bCs/>
                <w:spacing w:val="-2"/>
              </w:rPr>
              <w:t>97.3</w:t>
            </w:r>
          </w:p>
        </w:tc>
        <w:tc>
          <w:tcPr>
            <w:tcW w:w="691" w:type="dxa"/>
            <w:vAlign w:val="top"/>
          </w:tcPr>
          <w:p w14:paraId="3949D29A">
            <w:pPr>
              <w:pStyle w:val="6"/>
              <w:spacing w:before="68" w:line="178" w:lineRule="auto"/>
              <w:ind w:left="314"/>
            </w:pPr>
            <w:r>
              <w:t>/</w:t>
            </w:r>
          </w:p>
        </w:tc>
        <w:tc>
          <w:tcPr>
            <w:tcW w:w="691" w:type="dxa"/>
            <w:vAlign w:val="top"/>
          </w:tcPr>
          <w:p w14:paraId="79B957B3">
            <w:pPr>
              <w:pStyle w:val="6"/>
              <w:spacing w:before="72" w:line="174" w:lineRule="auto"/>
              <w:ind w:left="175"/>
            </w:pPr>
            <w:r>
              <w:rPr>
                <w:b/>
                <w:bCs/>
                <w:spacing w:val="-4"/>
              </w:rPr>
              <w:t>11.1</w:t>
            </w:r>
          </w:p>
        </w:tc>
        <w:tc>
          <w:tcPr>
            <w:tcW w:w="690" w:type="dxa"/>
            <w:vAlign w:val="top"/>
          </w:tcPr>
          <w:p w14:paraId="743EC32E">
            <w:pPr>
              <w:pStyle w:val="6"/>
              <w:spacing w:before="68" w:line="178" w:lineRule="auto"/>
              <w:ind w:left="316"/>
            </w:pPr>
            <w:r>
              <w:t>/</w:t>
            </w:r>
          </w:p>
        </w:tc>
        <w:tc>
          <w:tcPr>
            <w:tcW w:w="693" w:type="dxa"/>
            <w:vAlign w:val="top"/>
          </w:tcPr>
          <w:p w14:paraId="46E20FFA">
            <w:pPr>
              <w:pStyle w:val="6"/>
              <w:spacing w:before="72" w:line="174" w:lineRule="auto"/>
              <w:ind w:left="179"/>
            </w:pPr>
            <w:r>
              <w:rPr>
                <w:b/>
                <w:bCs/>
                <w:spacing w:val="-4"/>
              </w:rPr>
              <w:t>19.5</w:t>
            </w:r>
          </w:p>
        </w:tc>
        <w:tc>
          <w:tcPr>
            <w:tcW w:w="690" w:type="dxa"/>
            <w:vAlign w:val="top"/>
          </w:tcPr>
          <w:p w14:paraId="45321D82">
            <w:pPr>
              <w:pStyle w:val="6"/>
              <w:spacing w:before="68" w:line="178" w:lineRule="auto"/>
              <w:ind w:left="319"/>
            </w:pPr>
            <w:r>
              <w:t>/</w:t>
            </w:r>
          </w:p>
        </w:tc>
        <w:tc>
          <w:tcPr>
            <w:tcW w:w="691" w:type="dxa"/>
            <w:vAlign w:val="top"/>
          </w:tcPr>
          <w:p w14:paraId="63ED134F">
            <w:pPr>
              <w:pStyle w:val="6"/>
              <w:spacing w:before="72" w:line="174" w:lineRule="auto"/>
              <w:ind w:left="49"/>
            </w:pPr>
            <w:r>
              <w:rPr>
                <w:b/>
                <w:bCs/>
                <w:spacing w:val="-2"/>
              </w:rPr>
              <w:t>170000</w:t>
            </w:r>
          </w:p>
        </w:tc>
        <w:tc>
          <w:tcPr>
            <w:tcW w:w="691" w:type="dxa"/>
            <w:vAlign w:val="top"/>
          </w:tcPr>
          <w:p w14:paraId="4F48353C">
            <w:pPr>
              <w:pStyle w:val="6"/>
              <w:spacing w:before="68" w:line="178" w:lineRule="auto"/>
              <w:ind w:left="323"/>
            </w:pPr>
            <w:r>
              <w:t>/</w:t>
            </w:r>
          </w:p>
        </w:tc>
        <w:tc>
          <w:tcPr>
            <w:tcW w:w="704" w:type="dxa"/>
            <w:tcBorders>
              <w:right w:val="single" w:color="000000" w:sz="12" w:space="0"/>
            </w:tcBorders>
            <w:vAlign w:val="top"/>
          </w:tcPr>
          <w:p w14:paraId="393D2144">
            <w:pPr>
              <w:pStyle w:val="6"/>
              <w:spacing w:before="68" w:line="178" w:lineRule="auto"/>
              <w:ind w:left="194"/>
            </w:pPr>
            <w:r>
              <w:rPr>
                <w:spacing w:val="-6"/>
              </w:rPr>
              <w:t>1.25</w:t>
            </w:r>
          </w:p>
        </w:tc>
      </w:tr>
      <w:tr w14:paraId="6BFFA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bottom w:val="nil"/>
            </w:tcBorders>
            <w:vAlign w:val="top"/>
          </w:tcPr>
          <w:p w14:paraId="2F101FC3">
            <w:pPr>
              <w:rPr>
                <w:rFonts w:ascii="Arial"/>
                <w:sz w:val="21"/>
              </w:rPr>
            </w:pPr>
          </w:p>
        </w:tc>
        <w:tc>
          <w:tcPr>
            <w:tcW w:w="283" w:type="dxa"/>
            <w:vMerge w:val="continue"/>
            <w:tcBorders>
              <w:top w:val="nil"/>
            </w:tcBorders>
            <w:vAlign w:val="top"/>
          </w:tcPr>
          <w:p w14:paraId="3909E287">
            <w:pPr>
              <w:rPr>
                <w:rFonts w:ascii="Arial"/>
                <w:sz w:val="21"/>
              </w:rPr>
            </w:pPr>
          </w:p>
        </w:tc>
        <w:tc>
          <w:tcPr>
            <w:tcW w:w="1208" w:type="dxa"/>
            <w:vAlign w:val="top"/>
          </w:tcPr>
          <w:p w14:paraId="73C8F5E1">
            <w:pPr>
              <w:pStyle w:val="6"/>
              <w:spacing w:before="72" w:line="181" w:lineRule="auto"/>
              <w:ind w:left="165"/>
            </w:pPr>
            <w:r>
              <w:rPr>
                <w:spacing w:val="-1"/>
              </w:rPr>
              <w:t>2019/5/12</w:t>
            </w:r>
          </w:p>
        </w:tc>
        <w:tc>
          <w:tcPr>
            <w:tcW w:w="691" w:type="dxa"/>
            <w:vAlign w:val="top"/>
          </w:tcPr>
          <w:p w14:paraId="5EA58F7F">
            <w:pPr>
              <w:pStyle w:val="6"/>
              <w:spacing w:before="72" w:line="181" w:lineRule="auto"/>
              <w:ind w:left="301"/>
            </w:pPr>
            <w:r>
              <w:t>/</w:t>
            </w:r>
          </w:p>
        </w:tc>
        <w:tc>
          <w:tcPr>
            <w:tcW w:w="691" w:type="dxa"/>
            <w:vAlign w:val="top"/>
          </w:tcPr>
          <w:p w14:paraId="33983902">
            <w:pPr>
              <w:pStyle w:val="6"/>
              <w:spacing w:before="77" w:line="176" w:lineRule="auto"/>
              <w:ind w:left="180"/>
            </w:pPr>
            <w:r>
              <w:rPr>
                <w:b/>
                <w:bCs/>
                <w:spacing w:val="-2"/>
              </w:rPr>
              <w:t>216</w:t>
            </w:r>
          </w:p>
        </w:tc>
        <w:tc>
          <w:tcPr>
            <w:tcW w:w="689" w:type="dxa"/>
            <w:vAlign w:val="top"/>
          </w:tcPr>
          <w:p w14:paraId="0D9E11A8">
            <w:pPr>
              <w:pStyle w:val="6"/>
              <w:spacing w:before="72" w:line="181" w:lineRule="auto"/>
              <w:ind w:left="302"/>
            </w:pPr>
            <w:r>
              <w:t>/</w:t>
            </w:r>
          </w:p>
        </w:tc>
        <w:tc>
          <w:tcPr>
            <w:tcW w:w="691" w:type="dxa"/>
            <w:vAlign w:val="top"/>
          </w:tcPr>
          <w:p w14:paraId="17D1965E">
            <w:pPr>
              <w:pStyle w:val="6"/>
              <w:spacing w:before="77" w:line="176" w:lineRule="auto"/>
              <w:ind w:left="183"/>
            </w:pPr>
            <w:r>
              <w:rPr>
                <w:b/>
                <w:bCs/>
                <w:spacing w:val="-2"/>
              </w:rPr>
              <w:t>480</w:t>
            </w:r>
          </w:p>
        </w:tc>
        <w:tc>
          <w:tcPr>
            <w:tcW w:w="691" w:type="dxa"/>
            <w:vAlign w:val="top"/>
          </w:tcPr>
          <w:p w14:paraId="6EE6D762">
            <w:pPr>
              <w:pStyle w:val="6"/>
              <w:spacing w:before="72" w:line="181" w:lineRule="auto"/>
              <w:ind w:left="307"/>
            </w:pPr>
            <w:r>
              <w:t>/</w:t>
            </w:r>
          </w:p>
        </w:tc>
        <w:tc>
          <w:tcPr>
            <w:tcW w:w="692" w:type="dxa"/>
            <w:vAlign w:val="top"/>
          </w:tcPr>
          <w:p w14:paraId="3A21D17D">
            <w:pPr>
              <w:pStyle w:val="6"/>
              <w:spacing w:before="77" w:line="176" w:lineRule="auto"/>
              <w:ind w:left="142"/>
            </w:pPr>
            <w:r>
              <w:rPr>
                <w:b/>
                <w:bCs/>
                <w:spacing w:val="-3"/>
              </w:rPr>
              <w:t>1720</w:t>
            </w:r>
          </w:p>
        </w:tc>
        <w:tc>
          <w:tcPr>
            <w:tcW w:w="691" w:type="dxa"/>
            <w:vAlign w:val="top"/>
          </w:tcPr>
          <w:p w14:paraId="21F71B1F">
            <w:pPr>
              <w:pStyle w:val="6"/>
              <w:spacing w:before="72" w:line="181" w:lineRule="auto"/>
              <w:ind w:left="310"/>
            </w:pPr>
            <w:r>
              <w:t>/</w:t>
            </w:r>
          </w:p>
        </w:tc>
        <w:tc>
          <w:tcPr>
            <w:tcW w:w="689" w:type="dxa"/>
            <w:vAlign w:val="top"/>
          </w:tcPr>
          <w:p w14:paraId="289C1173">
            <w:pPr>
              <w:pStyle w:val="6"/>
              <w:spacing w:before="77" w:line="176" w:lineRule="auto"/>
              <w:ind w:left="163"/>
            </w:pPr>
            <w:r>
              <w:rPr>
                <w:b/>
                <w:bCs/>
                <w:spacing w:val="-2"/>
              </w:rPr>
              <w:t>98.6</w:t>
            </w:r>
          </w:p>
        </w:tc>
        <w:tc>
          <w:tcPr>
            <w:tcW w:w="691" w:type="dxa"/>
            <w:vAlign w:val="top"/>
          </w:tcPr>
          <w:p w14:paraId="402DF084">
            <w:pPr>
              <w:pStyle w:val="6"/>
              <w:spacing w:before="72" w:line="181" w:lineRule="auto"/>
              <w:ind w:left="314"/>
            </w:pPr>
            <w:r>
              <w:t>/</w:t>
            </w:r>
          </w:p>
        </w:tc>
        <w:tc>
          <w:tcPr>
            <w:tcW w:w="691" w:type="dxa"/>
            <w:vAlign w:val="top"/>
          </w:tcPr>
          <w:p w14:paraId="4A1DEFD4">
            <w:pPr>
              <w:pStyle w:val="6"/>
              <w:spacing w:before="77" w:line="176" w:lineRule="auto"/>
              <w:ind w:left="175"/>
            </w:pPr>
            <w:r>
              <w:rPr>
                <w:b/>
                <w:bCs/>
                <w:spacing w:val="-4"/>
              </w:rPr>
              <w:t>10.8</w:t>
            </w:r>
          </w:p>
        </w:tc>
        <w:tc>
          <w:tcPr>
            <w:tcW w:w="690" w:type="dxa"/>
            <w:vAlign w:val="top"/>
          </w:tcPr>
          <w:p w14:paraId="04B6AB53">
            <w:pPr>
              <w:pStyle w:val="6"/>
              <w:spacing w:before="72" w:line="181" w:lineRule="auto"/>
              <w:ind w:left="316"/>
            </w:pPr>
            <w:r>
              <w:t>/</w:t>
            </w:r>
          </w:p>
        </w:tc>
        <w:tc>
          <w:tcPr>
            <w:tcW w:w="693" w:type="dxa"/>
            <w:vAlign w:val="top"/>
          </w:tcPr>
          <w:p w14:paraId="50C522C6">
            <w:pPr>
              <w:pStyle w:val="6"/>
              <w:spacing w:before="77" w:line="176" w:lineRule="auto"/>
              <w:ind w:left="179"/>
            </w:pPr>
            <w:r>
              <w:rPr>
                <w:b/>
                <w:bCs/>
                <w:spacing w:val="-4"/>
              </w:rPr>
              <w:t>19.9</w:t>
            </w:r>
          </w:p>
        </w:tc>
        <w:tc>
          <w:tcPr>
            <w:tcW w:w="690" w:type="dxa"/>
            <w:vAlign w:val="top"/>
          </w:tcPr>
          <w:p w14:paraId="54B9242C">
            <w:pPr>
              <w:pStyle w:val="6"/>
              <w:spacing w:before="72" w:line="181" w:lineRule="auto"/>
              <w:ind w:left="319"/>
            </w:pPr>
            <w:r>
              <w:t>/</w:t>
            </w:r>
          </w:p>
        </w:tc>
        <w:tc>
          <w:tcPr>
            <w:tcW w:w="691" w:type="dxa"/>
            <w:vAlign w:val="top"/>
          </w:tcPr>
          <w:p w14:paraId="17543E4A">
            <w:pPr>
              <w:pStyle w:val="6"/>
              <w:spacing w:before="77" w:line="176" w:lineRule="auto"/>
              <w:ind w:left="49"/>
            </w:pPr>
            <w:r>
              <w:rPr>
                <w:b/>
                <w:bCs/>
                <w:spacing w:val="-2"/>
              </w:rPr>
              <w:t>180000</w:t>
            </w:r>
          </w:p>
        </w:tc>
        <w:tc>
          <w:tcPr>
            <w:tcW w:w="691" w:type="dxa"/>
            <w:vAlign w:val="top"/>
          </w:tcPr>
          <w:p w14:paraId="51BCA61A">
            <w:pPr>
              <w:pStyle w:val="6"/>
              <w:spacing w:before="72" w:line="181" w:lineRule="auto"/>
              <w:ind w:left="323"/>
            </w:pPr>
            <w:r>
              <w:t>/</w:t>
            </w:r>
          </w:p>
        </w:tc>
        <w:tc>
          <w:tcPr>
            <w:tcW w:w="704" w:type="dxa"/>
            <w:tcBorders>
              <w:right w:val="single" w:color="000000" w:sz="12" w:space="0"/>
            </w:tcBorders>
            <w:vAlign w:val="top"/>
          </w:tcPr>
          <w:p w14:paraId="6445C544">
            <w:pPr>
              <w:pStyle w:val="6"/>
              <w:spacing w:before="72" w:line="181" w:lineRule="auto"/>
              <w:ind w:left="194"/>
            </w:pPr>
            <w:r>
              <w:rPr>
                <w:spacing w:val="-6"/>
              </w:rPr>
              <w:t>1.19</w:t>
            </w:r>
          </w:p>
        </w:tc>
      </w:tr>
      <w:tr w14:paraId="1FEFE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1BF337F8">
            <w:pPr>
              <w:rPr>
                <w:rFonts w:ascii="Arial"/>
                <w:sz w:val="21"/>
              </w:rPr>
            </w:pPr>
          </w:p>
        </w:tc>
        <w:tc>
          <w:tcPr>
            <w:tcW w:w="283" w:type="dxa"/>
            <w:vMerge w:val="restart"/>
            <w:tcBorders>
              <w:bottom w:val="nil"/>
            </w:tcBorders>
            <w:vAlign w:val="top"/>
          </w:tcPr>
          <w:p w14:paraId="7DB3A935">
            <w:pPr>
              <w:pStyle w:val="6"/>
              <w:spacing w:before="69" w:line="223" w:lineRule="auto"/>
              <w:ind w:left="79"/>
            </w:pPr>
            <w:r>
              <w:t>3</w:t>
            </w:r>
          </w:p>
          <w:p w14:paraId="78BC6FAF">
            <w:pPr>
              <w:spacing w:line="219" w:lineRule="auto"/>
              <w:ind w:left="26"/>
              <w:rPr>
                <w:rFonts w:ascii="宋体" w:hAnsi="宋体" w:eastAsia="宋体" w:cs="宋体"/>
                <w:sz w:val="21"/>
                <w:szCs w:val="21"/>
              </w:rPr>
            </w:pPr>
            <w:r>
              <w:rPr>
                <w:rFonts w:ascii="宋体" w:hAnsi="宋体" w:eastAsia="宋体" w:cs="宋体"/>
                <w:sz w:val="21"/>
                <w:szCs w:val="21"/>
              </w:rPr>
              <w:t>季</w:t>
            </w:r>
          </w:p>
          <w:p w14:paraId="690CAE8A">
            <w:pPr>
              <w:spacing w:before="22" w:line="197"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1B307AEB">
            <w:pPr>
              <w:pStyle w:val="6"/>
              <w:spacing w:before="68" w:line="178" w:lineRule="auto"/>
              <w:ind w:left="165"/>
            </w:pPr>
            <w:r>
              <w:rPr>
                <w:spacing w:val="-1"/>
              </w:rPr>
              <w:t>2019/8/06</w:t>
            </w:r>
          </w:p>
        </w:tc>
        <w:tc>
          <w:tcPr>
            <w:tcW w:w="691" w:type="dxa"/>
            <w:vAlign w:val="top"/>
          </w:tcPr>
          <w:p w14:paraId="0A33A43F">
            <w:pPr>
              <w:pStyle w:val="6"/>
              <w:spacing w:before="68" w:line="178" w:lineRule="auto"/>
              <w:ind w:left="198"/>
            </w:pPr>
            <w:r>
              <w:rPr>
                <w:spacing w:val="-6"/>
              </w:rPr>
              <w:t>120</w:t>
            </w:r>
          </w:p>
        </w:tc>
        <w:tc>
          <w:tcPr>
            <w:tcW w:w="691" w:type="dxa"/>
            <w:vAlign w:val="top"/>
          </w:tcPr>
          <w:p w14:paraId="34B7D1DC">
            <w:pPr>
              <w:pStyle w:val="6"/>
              <w:spacing w:before="68" w:line="178" w:lineRule="auto"/>
              <w:ind w:left="302"/>
            </w:pPr>
            <w:r>
              <w:t>/</w:t>
            </w:r>
          </w:p>
        </w:tc>
        <w:tc>
          <w:tcPr>
            <w:tcW w:w="689" w:type="dxa"/>
            <w:vAlign w:val="top"/>
          </w:tcPr>
          <w:p w14:paraId="27EB1534">
            <w:pPr>
              <w:pStyle w:val="6"/>
              <w:spacing w:before="68" w:line="178" w:lineRule="auto"/>
              <w:ind w:left="179"/>
            </w:pPr>
            <w:r>
              <w:rPr>
                <w:spacing w:val="-1"/>
              </w:rPr>
              <w:t>270</w:t>
            </w:r>
          </w:p>
        </w:tc>
        <w:tc>
          <w:tcPr>
            <w:tcW w:w="691" w:type="dxa"/>
            <w:vAlign w:val="top"/>
          </w:tcPr>
          <w:p w14:paraId="700FA2B5">
            <w:pPr>
              <w:pStyle w:val="6"/>
              <w:spacing w:before="68" w:line="178" w:lineRule="auto"/>
              <w:ind w:left="306"/>
            </w:pPr>
            <w:r>
              <w:t>/</w:t>
            </w:r>
          </w:p>
        </w:tc>
        <w:tc>
          <w:tcPr>
            <w:tcW w:w="691" w:type="dxa"/>
            <w:vAlign w:val="top"/>
          </w:tcPr>
          <w:p w14:paraId="48B6C2BB">
            <w:pPr>
              <w:pStyle w:val="6"/>
              <w:spacing w:before="68" w:line="178" w:lineRule="auto"/>
              <w:ind w:left="190"/>
            </w:pPr>
            <w:r>
              <w:rPr>
                <w:spacing w:val="-3"/>
              </w:rPr>
              <w:t>582</w:t>
            </w:r>
          </w:p>
        </w:tc>
        <w:tc>
          <w:tcPr>
            <w:tcW w:w="692" w:type="dxa"/>
            <w:vAlign w:val="top"/>
          </w:tcPr>
          <w:p w14:paraId="454FC19A">
            <w:pPr>
              <w:pStyle w:val="6"/>
              <w:spacing w:before="68" w:line="178" w:lineRule="auto"/>
              <w:ind w:left="308"/>
            </w:pPr>
            <w:r>
              <w:t>/</w:t>
            </w:r>
          </w:p>
        </w:tc>
        <w:tc>
          <w:tcPr>
            <w:tcW w:w="691" w:type="dxa"/>
            <w:vAlign w:val="top"/>
          </w:tcPr>
          <w:p w14:paraId="602FA1F1">
            <w:pPr>
              <w:pStyle w:val="6"/>
              <w:spacing w:before="68" w:line="178" w:lineRule="auto"/>
              <w:ind w:left="181"/>
            </w:pPr>
            <w:r>
              <w:rPr>
                <w:spacing w:val="-6"/>
              </w:rPr>
              <w:t>15.7</w:t>
            </w:r>
          </w:p>
        </w:tc>
        <w:tc>
          <w:tcPr>
            <w:tcW w:w="689" w:type="dxa"/>
            <w:vAlign w:val="top"/>
          </w:tcPr>
          <w:p w14:paraId="3D30782D">
            <w:pPr>
              <w:pStyle w:val="6"/>
              <w:spacing w:before="68" w:line="178" w:lineRule="auto"/>
              <w:ind w:left="311"/>
            </w:pPr>
            <w:r>
              <w:t>/</w:t>
            </w:r>
          </w:p>
        </w:tc>
        <w:tc>
          <w:tcPr>
            <w:tcW w:w="691" w:type="dxa"/>
            <w:vAlign w:val="top"/>
          </w:tcPr>
          <w:p w14:paraId="08499E66">
            <w:pPr>
              <w:pStyle w:val="6"/>
              <w:spacing w:before="68" w:line="178" w:lineRule="auto"/>
              <w:ind w:left="168"/>
            </w:pPr>
            <w:r>
              <w:rPr>
                <w:spacing w:val="-2"/>
              </w:rPr>
              <w:t>0.72</w:t>
            </w:r>
          </w:p>
        </w:tc>
        <w:tc>
          <w:tcPr>
            <w:tcW w:w="691" w:type="dxa"/>
            <w:vAlign w:val="top"/>
          </w:tcPr>
          <w:p w14:paraId="6513F511">
            <w:pPr>
              <w:pStyle w:val="6"/>
              <w:spacing w:before="68" w:line="178" w:lineRule="auto"/>
              <w:ind w:left="315"/>
            </w:pPr>
            <w:r>
              <w:t>/</w:t>
            </w:r>
          </w:p>
        </w:tc>
        <w:tc>
          <w:tcPr>
            <w:tcW w:w="690" w:type="dxa"/>
            <w:vAlign w:val="top"/>
          </w:tcPr>
          <w:p w14:paraId="61010548">
            <w:pPr>
              <w:pStyle w:val="6"/>
              <w:spacing w:before="68" w:line="178" w:lineRule="auto"/>
              <w:ind w:left="186"/>
            </w:pPr>
            <w:r>
              <w:rPr>
                <w:spacing w:val="-6"/>
              </w:rPr>
              <w:t>1.84</w:t>
            </w:r>
          </w:p>
        </w:tc>
        <w:tc>
          <w:tcPr>
            <w:tcW w:w="693" w:type="dxa"/>
            <w:vAlign w:val="top"/>
          </w:tcPr>
          <w:p w14:paraId="0559B234">
            <w:pPr>
              <w:pStyle w:val="6"/>
              <w:spacing w:before="68" w:line="178" w:lineRule="auto"/>
              <w:ind w:left="319"/>
            </w:pPr>
            <w:r>
              <w:t>/</w:t>
            </w:r>
          </w:p>
        </w:tc>
        <w:tc>
          <w:tcPr>
            <w:tcW w:w="690" w:type="dxa"/>
            <w:vAlign w:val="top"/>
          </w:tcPr>
          <w:p w14:paraId="6D62EA45">
            <w:pPr>
              <w:pStyle w:val="6"/>
              <w:spacing w:before="68" w:line="178" w:lineRule="auto"/>
              <w:ind w:left="37"/>
            </w:pPr>
            <w:r>
              <w:rPr>
                <w:spacing w:val="-1"/>
              </w:rPr>
              <w:t>240000</w:t>
            </w:r>
          </w:p>
        </w:tc>
        <w:tc>
          <w:tcPr>
            <w:tcW w:w="691" w:type="dxa"/>
            <w:vAlign w:val="top"/>
          </w:tcPr>
          <w:p w14:paraId="689B4893">
            <w:pPr>
              <w:pStyle w:val="6"/>
              <w:spacing w:before="68" w:line="178" w:lineRule="auto"/>
              <w:ind w:left="321"/>
            </w:pPr>
            <w:r>
              <w:t>/</w:t>
            </w:r>
          </w:p>
        </w:tc>
        <w:tc>
          <w:tcPr>
            <w:tcW w:w="691" w:type="dxa"/>
            <w:vAlign w:val="top"/>
          </w:tcPr>
          <w:p w14:paraId="57A083BA">
            <w:pPr>
              <w:pStyle w:val="6"/>
              <w:spacing w:before="68" w:line="178" w:lineRule="auto"/>
              <w:ind w:left="178"/>
            </w:pPr>
            <w:r>
              <w:rPr>
                <w:spacing w:val="-3"/>
              </w:rPr>
              <w:t>6.49</w:t>
            </w:r>
          </w:p>
        </w:tc>
        <w:tc>
          <w:tcPr>
            <w:tcW w:w="704" w:type="dxa"/>
            <w:tcBorders>
              <w:right w:val="single" w:color="000000" w:sz="12" w:space="0"/>
            </w:tcBorders>
            <w:vAlign w:val="top"/>
          </w:tcPr>
          <w:p w14:paraId="05C2EE42">
            <w:pPr>
              <w:pStyle w:val="6"/>
              <w:spacing w:before="68" w:line="178" w:lineRule="auto"/>
              <w:ind w:left="323"/>
            </w:pPr>
            <w:r>
              <w:t>/</w:t>
            </w:r>
          </w:p>
        </w:tc>
      </w:tr>
      <w:tr w14:paraId="09C4E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59BA27DA">
            <w:pPr>
              <w:rPr>
                <w:rFonts w:ascii="Arial"/>
                <w:sz w:val="21"/>
              </w:rPr>
            </w:pPr>
          </w:p>
        </w:tc>
        <w:tc>
          <w:tcPr>
            <w:tcW w:w="283" w:type="dxa"/>
            <w:vMerge w:val="continue"/>
            <w:tcBorders>
              <w:top w:val="nil"/>
              <w:bottom w:val="nil"/>
            </w:tcBorders>
            <w:vAlign w:val="top"/>
          </w:tcPr>
          <w:p w14:paraId="5CB1B9DC">
            <w:pPr>
              <w:rPr>
                <w:rFonts w:ascii="Arial"/>
                <w:sz w:val="21"/>
              </w:rPr>
            </w:pPr>
          </w:p>
        </w:tc>
        <w:tc>
          <w:tcPr>
            <w:tcW w:w="1208" w:type="dxa"/>
            <w:vAlign w:val="top"/>
          </w:tcPr>
          <w:p w14:paraId="0298ECAB">
            <w:pPr>
              <w:pStyle w:val="6"/>
              <w:spacing w:before="69" w:line="175" w:lineRule="auto"/>
              <w:ind w:left="165"/>
            </w:pPr>
            <w:r>
              <w:rPr>
                <w:spacing w:val="-1"/>
              </w:rPr>
              <w:t>2019/8/07</w:t>
            </w:r>
          </w:p>
        </w:tc>
        <w:tc>
          <w:tcPr>
            <w:tcW w:w="691" w:type="dxa"/>
            <w:vAlign w:val="top"/>
          </w:tcPr>
          <w:p w14:paraId="0380B9C0">
            <w:pPr>
              <w:pStyle w:val="6"/>
              <w:spacing w:before="69" w:line="175" w:lineRule="auto"/>
              <w:ind w:left="198"/>
            </w:pPr>
            <w:r>
              <w:rPr>
                <w:spacing w:val="-6"/>
              </w:rPr>
              <w:t>125</w:t>
            </w:r>
          </w:p>
        </w:tc>
        <w:tc>
          <w:tcPr>
            <w:tcW w:w="691" w:type="dxa"/>
            <w:vAlign w:val="top"/>
          </w:tcPr>
          <w:p w14:paraId="6DFE1081">
            <w:pPr>
              <w:pStyle w:val="6"/>
              <w:spacing w:before="69" w:line="175" w:lineRule="auto"/>
              <w:ind w:left="302"/>
            </w:pPr>
            <w:r>
              <w:t>/</w:t>
            </w:r>
          </w:p>
        </w:tc>
        <w:tc>
          <w:tcPr>
            <w:tcW w:w="689" w:type="dxa"/>
            <w:vAlign w:val="top"/>
          </w:tcPr>
          <w:p w14:paraId="06A75A54">
            <w:pPr>
              <w:pStyle w:val="6"/>
              <w:spacing w:before="69" w:line="175" w:lineRule="auto"/>
              <w:ind w:left="179"/>
            </w:pPr>
            <w:r>
              <w:rPr>
                <w:spacing w:val="-1"/>
              </w:rPr>
              <w:t>280</w:t>
            </w:r>
          </w:p>
        </w:tc>
        <w:tc>
          <w:tcPr>
            <w:tcW w:w="691" w:type="dxa"/>
            <w:vAlign w:val="top"/>
          </w:tcPr>
          <w:p w14:paraId="5AC9CC13">
            <w:pPr>
              <w:pStyle w:val="6"/>
              <w:spacing w:before="69" w:line="175" w:lineRule="auto"/>
              <w:ind w:left="306"/>
            </w:pPr>
            <w:r>
              <w:t>/</w:t>
            </w:r>
          </w:p>
        </w:tc>
        <w:tc>
          <w:tcPr>
            <w:tcW w:w="691" w:type="dxa"/>
            <w:vAlign w:val="top"/>
          </w:tcPr>
          <w:p w14:paraId="0248F98D">
            <w:pPr>
              <w:pStyle w:val="6"/>
              <w:spacing w:before="69" w:line="175" w:lineRule="auto"/>
              <w:ind w:left="189"/>
            </w:pPr>
            <w:r>
              <w:rPr>
                <w:spacing w:val="-3"/>
              </w:rPr>
              <w:t>611</w:t>
            </w:r>
          </w:p>
        </w:tc>
        <w:tc>
          <w:tcPr>
            <w:tcW w:w="692" w:type="dxa"/>
            <w:vAlign w:val="top"/>
          </w:tcPr>
          <w:p w14:paraId="39BEB414">
            <w:pPr>
              <w:pStyle w:val="6"/>
              <w:spacing w:before="69" w:line="175" w:lineRule="auto"/>
              <w:ind w:left="308"/>
            </w:pPr>
            <w:r>
              <w:t>/</w:t>
            </w:r>
          </w:p>
        </w:tc>
        <w:tc>
          <w:tcPr>
            <w:tcW w:w="691" w:type="dxa"/>
            <w:vAlign w:val="top"/>
          </w:tcPr>
          <w:p w14:paraId="44C3E75C">
            <w:pPr>
              <w:pStyle w:val="6"/>
              <w:spacing w:before="69" w:line="175" w:lineRule="auto"/>
              <w:ind w:left="181"/>
            </w:pPr>
            <w:r>
              <w:rPr>
                <w:spacing w:val="-6"/>
              </w:rPr>
              <w:t>15.8</w:t>
            </w:r>
          </w:p>
        </w:tc>
        <w:tc>
          <w:tcPr>
            <w:tcW w:w="689" w:type="dxa"/>
            <w:vAlign w:val="top"/>
          </w:tcPr>
          <w:p w14:paraId="63A064D1">
            <w:pPr>
              <w:pStyle w:val="6"/>
              <w:spacing w:before="69" w:line="175" w:lineRule="auto"/>
              <w:ind w:left="311"/>
            </w:pPr>
            <w:r>
              <w:t>/</w:t>
            </w:r>
          </w:p>
        </w:tc>
        <w:tc>
          <w:tcPr>
            <w:tcW w:w="691" w:type="dxa"/>
            <w:vAlign w:val="top"/>
          </w:tcPr>
          <w:p w14:paraId="6C348AEF">
            <w:pPr>
              <w:pStyle w:val="6"/>
              <w:spacing w:before="69" w:line="175" w:lineRule="auto"/>
              <w:ind w:left="168"/>
            </w:pPr>
            <w:r>
              <w:rPr>
                <w:spacing w:val="-2"/>
              </w:rPr>
              <w:t>0.73</w:t>
            </w:r>
          </w:p>
        </w:tc>
        <w:tc>
          <w:tcPr>
            <w:tcW w:w="691" w:type="dxa"/>
            <w:vAlign w:val="top"/>
          </w:tcPr>
          <w:p w14:paraId="19E0B3A2">
            <w:pPr>
              <w:pStyle w:val="6"/>
              <w:spacing w:before="69" w:line="175" w:lineRule="auto"/>
              <w:ind w:left="315"/>
            </w:pPr>
            <w:r>
              <w:t>/</w:t>
            </w:r>
          </w:p>
        </w:tc>
        <w:tc>
          <w:tcPr>
            <w:tcW w:w="690" w:type="dxa"/>
            <w:vAlign w:val="top"/>
          </w:tcPr>
          <w:p w14:paraId="3CCD512D">
            <w:pPr>
              <w:pStyle w:val="6"/>
              <w:spacing w:before="69" w:line="175" w:lineRule="auto"/>
              <w:ind w:left="238"/>
            </w:pPr>
            <w:r>
              <w:rPr>
                <w:spacing w:val="-8"/>
              </w:rPr>
              <w:t>1.8</w:t>
            </w:r>
          </w:p>
        </w:tc>
        <w:tc>
          <w:tcPr>
            <w:tcW w:w="693" w:type="dxa"/>
            <w:vAlign w:val="top"/>
          </w:tcPr>
          <w:p w14:paraId="6963244F">
            <w:pPr>
              <w:pStyle w:val="6"/>
              <w:spacing w:before="69" w:line="175" w:lineRule="auto"/>
              <w:ind w:left="319"/>
            </w:pPr>
            <w:r>
              <w:t>/</w:t>
            </w:r>
          </w:p>
        </w:tc>
        <w:tc>
          <w:tcPr>
            <w:tcW w:w="690" w:type="dxa"/>
            <w:vAlign w:val="top"/>
          </w:tcPr>
          <w:p w14:paraId="2487C760">
            <w:pPr>
              <w:pStyle w:val="6"/>
              <w:spacing w:before="69" w:line="175" w:lineRule="auto"/>
              <w:ind w:left="37"/>
            </w:pPr>
            <w:r>
              <w:rPr>
                <w:spacing w:val="-1"/>
              </w:rPr>
              <w:t>250000</w:t>
            </w:r>
          </w:p>
        </w:tc>
        <w:tc>
          <w:tcPr>
            <w:tcW w:w="691" w:type="dxa"/>
            <w:vAlign w:val="top"/>
          </w:tcPr>
          <w:p w14:paraId="26D38F27">
            <w:pPr>
              <w:pStyle w:val="6"/>
              <w:spacing w:before="69" w:line="175" w:lineRule="auto"/>
              <w:ind w:left="321"/>
            </w:pPr>
            <w:r>
              <w:t>/</w:t>
            </w:r>
          </w:p>
        </w:tc>
        <w:tc>
          <w:tcPr>
            <w:tcW w:w="691" w:type="dxa"/>
            <w:vAlign w:val="top"/>
          </w:tcPr>
          <w:p w14:paraId="7107681B">
            <w:pPr>
              <w:pStyle w:val="6"/>
              <w:spacing w:before="69" w:line="175" w:lineRule="auto"/>
              <w:ind w:left="178"/>
            </w:pPr>
            <w:r>
              <w:rPr>
                <w:spacing w:val="-3"/>
              </w:rPr>
              <w:t>6.58</w:t>
            </w:r>
          </w:p>
        </w:tc>
        <w:tc>
          <w:tcPr>
            <w:tcW w:w="704" w:type="dxa"/>
            <w:tcBorders>
              <w:right w:val="single" w:color="000000" w:sz="12" w:space="0"/>
            </w:tcBorders>
            <w:vAlign w:val="top"/>
          </w:tcPr>
          <w:p w14:paraId="41E93A52">
            <w:pPr>
              <w:pStyle w:val="6"/>
              <w:spacing w:before="69" w:line="175" w:lineRule="auto"/>
              <w:ind w:left="323"/>
            </w:pPr>
            <w:r>
              <w:t>/</w:t>
            </w:r>
          </w:p>
        </w:tc>
      </w:tr>
      <w:tr w14:paraId="5AADC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849" w:type="dxa"/>
            <w:vMerge w:val="continue"/>
            <w:tcBorders>
              <w:top w:val="nil"/>
              <w:left w:val="single" w:color="000000" w:sz="12" w:space="0"/>
              <w:bottom w:val="nil"/>
            </w:tcBorders>
            <w:vAlign w:val="top"/>
          </w:tcPr>
          <w:p w14:paraId="75806724">
            <w:pPr>
              <w:rPr>
                <w:rFonts w:ascii="Arial"/>
                <w:sz w:val="21"/>
              </w:rPr>
            </w:pPr>
          </w:p>
        </w:tc>
        <w:tc>
          <w:tcPr>
            <w:tcW w:w="283" w:type="dxa"/>
            <w:vMerge w:val="continue"/>
            <w:tcBorders>
              <w:top w:val="nil"/>
            </w:tcBorders>
            <w:vAlign w:val="top"/>
          </w:tcPr>
          <w:p w14:paraId="7F061B61">
            <w:pPr>
              <w:rPr>
                <w:rFonts w:ascii="Arial"/>
                <w:sz w:val="21"/>
              </w:rPr>
            </w:pPr>
          </w:p>
        </w:tc>
        <w:tc>
          <w:tcPr>
            <w:tcW w:w="1208" w:type="dxa"/>
            <w:vAlign w:val="top"/>
          </w:tcPr>
          <w:p w14:paraId="0AF66967">
            <w:pPr>
              <w:pStyle w:val="6"/>
              <w:spacing w:before="75" w:line="179" w:lineRule="auto"/>
              <w:ind w:left="165"/>
            </w:pPr>
            <w:r>
              <w:rPr>
                <w:spacing w:val="-1"/>
              </w:rPr>
              <w:t>2019/8/08</w:t>
            </w:r>
          </w:p>
        </w:tc>
        <w:tc>
          <w:tcPr>
            <w:tcW w:w="691" w:type="dxa"/>
            <w:vAlign w:val="top"/>
          </w:tcPr>
          <w:p w14:paraId="6A3C8B5E">
            <w:pPr>
              <w:pStyle w:val="6"/>
              <w:spacing w:before="75" w:line="179" w:lineRule="auto"/>
              <w:ind w:left="198"/>
            </w:pPr>
            <w:r>
              <w:rPr>
                <w:spacing w:val="-6"/>
              </w:rPr>
              <w:t>116</w:t>
            </w:r>
          </w:p>
        </w:tc>
        <w:tc>
          <w:tcPr>
            <w:tcW w:w="691" w:type="dxa"/>
            <w:vAlign w:val="top"/>
          </w:tcPr>
          <w:p w14:paraId="721697AE">
            <w:pPr>
              <w:pStyle w:val="6"/>
              <w:spacing w:before="75" w:line="179" w:lineRule="auto"/>
              <w:ind w:left="302"/>
            </w:pPr>
            <w:r>
              <w:t>/</w:t>
            </w:r>
          </w:p>
        </w:tc>
        <w:tc>
          <w:tcPr>
            <w:tcW w:w="689" w:type="dxa"/>
            <w:vAlign w:val="top"/>
          </w:tcPr>
          <w:p w14:paraId="33EB7A34">
            <w:pPr>
              <w:pStyle w:val="6"/>
              <w:spacing w:before="75" w:line="179" w:lineRule="auto"/>
              <w:ind w:left="179"/>
            </w:pPr>
            <w:r>
              <w:rPr>
                <w:spacing w:val="-1"/>
              </w:rPr>
              <w:t>274</w:t>
            </w:r>
          </w:p>
        </w:tc>
        <w:tc>
          <w:tcPr>
            <w:tcW w:w="691" w:type="dxa"/>
            <w:vAlign w:val="top"/>
          </w:tcPr>
          <w:p w14:paraId="3E50D16C">
            <w:pPr>
              <w:pStyle w:val="6"/>
              <w:spacing w:before="75" w:line="179" w:lineRule="auto"/>
              <w:ind w:left="306"/>
            </w:pPr>
            <w:r>
              <w:t>/</w:t>
            </w:r>
          </w:p>
        </w:tc>
        <w:tc>
          <w:tcPr>
            <w:tcW w:w="691" w:type="dxa"/>
            <w:vAlign w:val="top"/>
          </w:tcPr>
          <w:p w14:paraId="1B6D62C1">
            <w:pPr>
              <w:pStyle w:val="6"/>
              <w:spacing w:before="75" w:line="179" w:lineRule="auto"/>
              <w:ind w:left="190"/>
            </w:pPr>
            <w:r>
              <w:rPr>
                <w:spacing w:val="-3"/>
              </w:rPr>
              <w:t>592</w:t>
            </w:r>
          </w:p>
        </w:tc>
        <w:tc>
          <w:tcPr>
            <w:tcW w:w="692" w:type="dxa"/>
            <w:vAlign w:val="top"/>
          </w:tcPr>
          <w:p w14:paraId="38FB96CB">
            <w:pPr>
              <w:pStyle w:val="6"/>
              <w:spacing w:before="75" w:line="179" w:lineRule="auto"/>
              <w:ind w:left="308"/>
            </w:pPr>
            <w:r>
              <w:t>/</w:t>
            </w:r>
          </w:p>
        </w:tc>
        <w:tc>
          <w:tcPr>
            <w:tcW w:w="691" w:type="dxa"/>
            <w:vAlign w:val="top"/>
          </w:tcPr>
          <w:p w14:paraId="6BACC7D2">
            <w:pPr>
              <w:pStyle w:val="6"/>
              <w:spacing w:before="75" w:line="179" w:lineRule="auto"/>
              <w:ind w:left="181"/>
            </w:pPr>
            <w:r>
              <w:rPr>
                <w:spacing w:val="-6"/>
              </w:rPr>
              <w:t>15.9</w:t>
            </w:r>
          </w:p>
        </w:tc>
        <w:tc>
          <w:tcPr>
            <w:tcW w:w="689" w:type="dxa"/>
            <w:vAlign w:val="top"/>
          </w:tcPr>
          <w:p w14:paraId="156EB27C">
            <w:pPr>
              <w:pStyle w:val="6"/>
              <w:spacing w:before="75" w:line="179" w:lineRule="auto"/>
              <w:ind w:left="311"/>
            </w:pPr>
            <w:r>
              <w:t>/</w:t>
            </w:r>
          </w:p>
        </w:tc>
        <w:tc>
          <w:tcPr>
            <w:tcW w:w="691" w:type="dxa"/>
            <w:vAlign w:val="top"/>
          </w:tcPr>
          <w:p w14:paraId="0726A829">
            <w:pPr>
              <w:pStyle w:val="6"/>
              <w:spacing w:before="75" w:line="179" w:lineRule="auto"/>
              <w:ind w:left="168"/>
            </w:pPr>
            <w:r>
              <w:rPr>
                <w:spacing w:val="-2"/>
              </w:rPr>
              <w:t>0.72</w:t>
            </w:r>
          </w:p>
        </w:tc>
        <w:tc>
          <w:tcPr>
            <w:tcW w:w="691" w:type="dxa"/>
            <w:vAlign w:val="top"/>
          </w:tcPr>
          <w:p w14:paraId="4D888427">
            <w:pPr>
              <w:pStyle w:val="6"/>
              <w:spacing w:before="75" w:line="179" w:lineRule="auto"/>
              <w:ind w:left="315"/>
            </w:pPr>
            <w:r>
              <w:t>/</w:t>
            </w:r>
          </w:p>
        </w:tc>
        <w:tc>
          <w:tcPr>
            <w:tcW w:w="690" w:type="dxa"/>
            <w:vAlign w:val="top"/>
          </w:tcPr>
          <w:p w14:paraId="31D44AB7">
            <w:pPr>
              <w:pStyle w:val="6"/>
              <w:spacing w:before="75" w:line="179" w:lineRule="auto"/>
              <w:ind w:left="186"/>
            </w:pPr>
            <w:r>
              <w:rPr>
                <w:spacing w:val="-6"/>
              </w:rPr>
              <w:t>1.87</w:t>
            </w:r>
          </w:p>
        </w:tc>
        <w:tc>
          <w:tcPr>
            <w:tcW w:w="693" w:type="dxa"/>
            <w:vAlign w:val="top"/>
          </w:tcPr>
          <w:p w14:paraId="40F5A614">
            <w:pPr>
              <w:pStyle w:val="6"/>
              <w:spacing w:before="75" w:line="179" w:lineRule="auto"/>
              <w:ind w:left="319"/>
            </w:pPr>
            <w:r>
              <w:t>/</w:t>
            </w:r>
          </w:p>
        </w:tc>
        <w:tc>
          <w:tcPr>
            <w:tcW w:w="690" w:type="dxa"/>
            <w:vAlign w:val="top"/>
          </w:tcPr>
          <w:p w14:paraId="1ED83660">
            <w:pPr>
              <w:pStyle w:val="6"/>
              <w:spacing w:before="75" w:line="179" w:lineRule="auto"/>
              <w:ind w:left="37"/>
            </w:pPr>
            <w:r>
              <w:rPr>
                <w:spacing w:val="-1"/>
              </w:rPr>
              <w:t>260000</w:t>
            </w:r>
          </w:p>
        </w:tc>
        <w:tc>
          <w:tcPr>
            <w:tcW w:w="691" w:type="dxa"/>
            <w:vAlign w:val="top"/>
          </w:tcPr>
          <w:p w14:paraId="3BA295D5">
            <w:pPr>
              <w:pStyle w:val="6"/>
              <w:spacing w:before="75" w:line="179" w:lineRule="auto"/>
              <w:ind w:left="321"/>
            </w:pPr>
            <w:r>
              <w:t>/</w:t>
            </w:r>
          </w:p>
        </w:tc>
        <w:tc>
          <w:tcPr>
            <w:tcW w:w="691" w:type="dxa"/>
            <w:vAlign w:val="top"/>
          </w:tcPr>
          <w:p w14:paraId="3F5A56AF">
            <w:pPr>
              <w:pStyle w:val="6"/>
              <w:spacing w:before="75" w:line="179" w:lineRule="auto"/>
              <w:ind w:left="178"/>
            </w:pPr>
            <w:r>
              <w:rPr>
                <w:spacing w:val="-3"/>
              </w:rPr>
              <w:t>6.41</w:t>
            </w:r>
          </w:p>
        </w:tc>
        <w:tc>
          <w:tcPr>
            <w:tcW w:w="704" w:type="dxa"/>
            <w:tcBorders>
              <w:right w:val="single" w:color="000000" w:sz="12" w:space="0"/>
            </w:tcBorders>
            <w:vAlign w:val="top"/>
          </w:tcPr>
          <w:p w14:paraId="2AF97BBF">
            <w:pPr>
              <w:pStyle w:val="6"/>
              <w:spacing w:before="75" w:line="179" w:lineRule="auto"/>
              <w:ind w:left="323"/>
            </w:pPr>
            <w:r>
              <w:t>/</w:t>
            </w:r>
          </w:p>
        </w:tc>
      </w:tr>
      <w:tr w14:paraId="29B55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6298A546">
            <w:pPr>
              <w:rPr>
                <w:rFonts w:ascii="Arial"/>
                <w:sz w:val="21"/>
              </w:rPr>
            </w:pPr>
          </w:p>
        </w:tc>
        <w:tc>
          <w:tcPr>
            <w:tcW w:w="283" w:type="dxa"/>
            <w:vMerge w:val="restart"/>
            <w:tcBorders>
              <w:bottom w:val="nil"/>
            </w:tcBorders>
            <w:vAlign w:val="top"/>
          </w:tcPr>
          <w:p w14:paraId="642AA14B">
            <w:pPr>
              <w:pStyle w:val="6"/>
              <w:spacing w:before="72" w:line="222" w:lineRule="auto"/>
              <w:ind w:left="74"/>
            </w:pPr>
            <w:r>
              <w:t>4</w:t>
            </w:r>
          </w:p>
          <w:p w14:paraId="1F6BFA54">
            <w:pPr>
              <w:spacing w:line="219" w:lineRule="auto"/>
              <w:ind w:left="26"/>
              <w:rPr>
                <w:rFonts w:ascii="宋体" w:hAnsi="宋体" w:eastAsia="宋体" w:cs="宋体"/>
                <w:sz w:val="21"/>
                <w:szCs w:val="21"/>
              </w:rPr>
            </w:pPr>
            <w:r>
              <w:rPr>
                <w:rFonts w:ascii="宋体" w:hAnsi="宋体" w:eastAsia="宋体" w:cs="宋体"/>
                <w:sz w:val="21"/>
                <w:szCs w:val="21"/>
              </w:rPr>
              <w:t>季</w:t>
            </w:r>
          </w:p>
          <w:p w14:paraId="06BE69BB">
            <w:pPr>
              <w:spacing w:before="22" w:line="194"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7A1A4224">
            <w:pPr>
              <w:pStyle w:val="6"/>
              <w:spacing w:before="72" w:line="172" w:lineRule="auto"/>
              <w:ind w:left="165"/>
            </w:pPr>
            <w:r>
              <w:rPr>
                <w:spacing w:val="-1"/>
              </w:rPr>
              <w:t>2019/11/9</w:t>
            </w:r>
          </w:p>
        </w:tc>
        <w:tc>
          <w:tcPr>
            <w:tcW w:w="691" w:type="dxa"/>
            <w:vAlign w:val="top"/>
          </w:tcPr>
          <w:p w14:paraId="02E8A16D">
            <w:pPr>
              <w:pStyle w:val="6"/>
              <w:spacing w:before="72" w:line="172" w:lineRule="auto"/>
              <w:ind w:left="198"/>
            </w:pPr>
            <w:r>
              <w:rPr>
                <w:spacing w:val="-6"/>
              </w:rPr>
              <w:t>125</w:t>
            </w:r>
          </w:p>
        </w:tc>
        <w:tc>
          <w:tcPr>
            <w:tcW w:w="691" w:type="dxa"/>
            <w:vAlign w:val="top"/>
          </w:tcPr>
          <w:p w14:paraId="624899DE">
            <w:pPr>
              <w:pStyle w:val="6"/>
              <w:spacing w:before="72" w:line="172" w:lineRule="auto"/>
              <w:ind w:left="207"/>
            </w:pPr>
            <w:r>
              <w:rPr>
                <w:spacing w:val="-3"/>
              </w:rPr>
              <w:t>7.9</w:t>
            </w:r>
          </w:p>
        </w:tc>
        <w:tc>
          <w:tcPr>
            <w:tcW w:w="689" w:type="dxa"/>
            <w:vAlign w:val="top"/>
          </w:tcPr>
          <w:p w14:paraId="340EE781">
            <w:pPr>
              <w:pStyle w:val="6"/>
              <w:spacing w:before="72" w:line="172" w:lineRule="auto"/>
              <w:ind w:left="183"/>
            </w:pPr>
            <w:r>
              <w:rPr>
                <w:spacing w:val="-2"/>
              </w:rPr>
              <w:t>316</w:t>
            </w:r>
          </w:p>
        </w:tc>
        <w:tc>
          <w:tcPr>
            <w:tcW w:w="691" w:type="dxa"/>
            <w:vAlign w:val="top"/>
          </w:tcPr>
          <w:p w14:paraId="7615C2D0">
            <w:pPr>
              <w:pStyle w:val="6"/>
              <w:spacing w:before="72" w:line="172" w:lineRule="auto"/>
              <w:ind w:left="238"/>
            </w:pPr>
            <w:r>
              <w:rPr>
                <w:spacing w:val="-3"/>
              </w:rPr>
              <w:t>39</w:t>
            </w:r>
          </w:p>
        </w:tc>
        <w:tc>
          <w:tcPr>
            <w:tcW w:w="691" w:type="dxa"/>
            <w:vAlign w:val="top"/>
          </w:tcPr>
          <w:p w14:paraId="3A4E8AB6">
            <w:pPr>
              <w:pStyle w:val="6"/>
              <w:spacing w:before="72" w:line="172" w:lineRule="auto"/>
              <w:ind w:left="183"/>
            </w:pPr>
            <w:r>
              <w:rPr>
                <w:spacing w:val="-1"/>
              </w:rPr>
              <w:t>498</w:t>
            </w:r>
          </w:p>
        </w:tc>
        <w:tc>
          <w:tcPr>
            <w:tcW w:w="692" w:type="dxa"/>
            <w:vAlign w:val="top"/>
          </w:tcPr>
          <w:p w14:paraId="2204EE7C">
            <w:pPr>
              <w:pStyle w:val="6"/>
              <w:spacing w:before="72" w:line="172" w:lineRule="auto"/>
              <w:ind w:left="236"/>
            </w:pPr>
            <w:r>
              <w:rPr>
                <w:spacing w:val="-1"/>
              </w:rPr>
              <w:t>45</w:t>
            </w:r>
          </w:p>
        </w:tc>
        <w:tc>
          <w:tcPr>
            <w:tcW w:w="691" w:type="dxa"/>
            <w:vAlign w:val="top"/>
          </w:tcPr>
          <w:p w14:paraId="21C7B68E">
            <w:pPr>
              <w:pStyle w:val="6"/>
              <w:spacing w:before="72" w:line="172" w:lineRule="auto"/>
              <w:ind w:left="161"/>
            </w:pPr>
            <w:r>
              <w:rPr>
                <w:spacing w:val="-1"/>
              </w:rPr>
              <w:t>23.4</w:t>
            </w:r>
          </w:p>
        </w:tc>
        <w:tc>
          <w:tcPr>
            <w:tcW w:w="689" w:type="dxa"/>
            <w:vAlign w:val="top"/>
          </w:tcPr>
          <w:p w14:paraId="5EB37422">
            <w:pPr>
              <w:pStyle w:val="6"/>
              <w:spacing w:before="72" w:line="172" w:lineRule="auto"/>
              <w:ind w:left="166"/>
            </w:pPr>
            <w:r>
              <w:rPr>
                <w:spacing w:val="-3"/>
              </w:rPr>
              <w:t>6.68</w:t>
            </w:r>
          </w:p>
        </w:tc>
        <w:tc>
          <w:tcPr>
            <w:tcW w:w="691" w:type="dxa"/>
            <w:vAlign w:val="top"/>
          </w:tcPr>
          <w:p w14:paraId="7A8B705C">
            <w:pPr>
              <w:pStyle w:val="6"/>
              <w:spacing w:before="72" w:line="172" w:lineRule="auto"/>
              <w:ind w:left="185"/>
            </w:pPr>
            <w:r>
              <w:rPr>
                <w:spacing w:val="-6"/>
              </w:rPr>
              <w:t>1.40</w:t>
            </w:r>
          </w:p>
        </w:tc>
        <w:tc>
          <w:tcPr>
            <w:tcW w:w="691" w:type="dxa"/>
            <w:vAlign w:val="top"/>
          </w:tcPr>
          <w:p w14:paraId="43FF904D">
            <w:pPr>
              <w:pStyle w:val="6"/>
              <w:spacing w:before="72" w:line="172" w:lineRule="auto"/>
              <w:ind w:left="169"/>
            </w:pPr>
            <w:r>
              <w:rPr>
                <w:spacing w:val="-2"/>
              </w:rPr>
              <w:t>0.16</w:t>
            </w:r>
          </w:p>
        </w:tc>
        <w:tc>
          <w:tcPr>
            <w:tcW w:w="690" w:type="dxa"/>
            <w:vAlign w:val="top"/>
          </w:tcPr>
          <w:p w14:paraId="6C43CD7A">
            <w:pPr>
              <w:pStyle w:val="6"/>
              <w:spacing w:before="72" w:line="172" w:lineRule="auto"/>
              <w:ind w:left="169"/>
            </w:pPr>
            <w:r>
              <w:rPr>
                <w:spacing w:val="-2"/>
              </w:rPr>
              <w:t>7.41</w:t>
            </w:r>
          </w:p>
        </w:tc>
        <w:tc>
          <w:tcPr>
            <w:tcW w:w="693" w:type="dxa"/>
            <w:vAlign w:val="top"/>
          </w:tcPr>
          <w:p w14:paraId="56BB061C">
            <w:pPr>
              <w:pStyle w:val="6"/>
              <w:spacing w:before="72" w:line="172" w:lineRule="auto"/>
              <w:ind w:left="190"/>
            </w:pPr>
            <w:r>
              <w:rPr>
                <w:spacing w:val="-6"/>
              </w:rPr>
              <w:t>1.61</w:t>
            </w:r>
          </w:p>
        </w:tc>
        <w:tc>
          <w:tcPr>
            <w:tcW w:w="690" w:type="dxa"/>
            <w:vAlign w:val="top"/>
          </w:tcPr>
          <w:p w14:paraId="19227617">
            <w:pPr>
              <w:pStyle w:val="6"/>
              <w:spacing w:before="72" w:line="172" w:lineRule="auto"/>
              <w:ind w:left="37"/>
            </w:pPr>
            <w:r>
              <w:rPr>
                <w:spacing w:val="-1"/>
              </w:rPr>
              <w:t>290000</w:t>
            </w:r>
          </w:p>
        </w:tc>
        <w:tc>
          <w:tcPr>
            <w:tcW w:w="691" w:type="dxa"/>
            <w:vAlign w:val="top"/>
          </w:tcPr>
          <w:p w14:paraId="3B154136">
            <w:pPr>
              <w:pStyle w:val="6"/>
              <w:spacing w:before="76" w:line="168" w:lineRule="auto"/>
              <w:ind w:left="40"/>
            </w:pPr>
            <w:r>
              <w:rPr>
                <w:b/>
                <w:bCs/>
                <w:spacing w:val="-1"/>
              </w:rPr>
              <w:t>250000</w:t>
            </w:r>
          </w:p>
        </w:tc>
        <w:tc>
          <w:tcPr>
            <w:tcW w:w="691" w:type="dxa"/>
            <w:vAlign w:val="top"/>
          </w:tcPr>
          <w:p w14:paraId="485074E2">
            <w:pPr>
              <w:pStyle w:val="6"/>
              <w:spacing w:before="72" w:line="172" w:lineRule="auto"/>
              <w:ind w:left="172"/>
            </w:pPr>
            <w:r>
              <w:rPr>
                <w:spacing w:val="-1"/>
              </w:rPr>
              <w:t>4.33</w:t>
            </w:r>
          </w:p>
        </w:tc>
        <w:tc>
          <w:tcPr>
            <w:tcW w:w="704" w:type="dxa"/>
            <w:tcBorders>
              <w:right w:val="single" w:color="000000" w:sz="12" w:space="0"/>
            </w:tcBorders>
            <w:vAlign w:val="top"/>
          </w:tcPr>
          <w:p w14:paraId="2DF16DBF">
            <w:pPr>
              <w:pStyle w:val="6"/>
              <w:spacing w:before="72" w:line="172" w:lineRule="auto"/>
              <w:ind w:left="174"/>
            </w:pPr>
            <w:r>
              <w:rPr>
                <w:spacing w:val="-1"/>
              </w:rPr>
              <w:t>2.79</w:t>
            </w:r>
          </w:p>
        </w:tc>
      </w:tr>
      <w:tr w14:paraId="7C51D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28A9B0CB">
            <w:pPr>
              <w:rPr>
                <w:rFonts w:ascii="Arial"/>
                <w:sz w:val="21"/>
              </w:rPr>
            </w:pPr>
          </w:p>
        </w:tc>
        <w:tc>
          <w:tcPr>
            <w:tcW w:w="283" w:type="dxa"/>
            <w:vMerge w:val="continue"/>
            <w:tcBorders>
              <w:top w:val="nil"/>
              <w:bottom w:val="nil"/>
            </w:tcBorders>
            <w:vAlign w:val="top"/>
          </w:tcPr>
          <w:p w14:paraId="05113CB8">
            <w:pPr>
              <w:rPr>
                <w:rFonts w:ascii="Arial"/>
                <w:sz w:val="21"/>
              </w:rPr>
            </w:pPr>
          </w:p>
        </w:tc>
        <w:tc>
          <w:tcPr>
            <w:tcW w:w="1208" w:type="dxa"/>
            <w:vAlign w:val="top"/>
          </w:tcPr>
          <w:p w14:paraId="4726EBA8">
            <w:pPr>
              <w:pStyle w:val="6"/>
              <w:spacing w:before="75" w:line="171" w:lineRule="auto"/>
              <w:ind w:left="114"/>
            </w:pPr>
            <w:r>
              <w:rPr>
                <w:spacing w:val="-1"/>
              </w:rPr>
              <w:t>2019/11/10</w:t>
            </w:r>
          </w:p>
        </w:tc>
        <w:tc>
          <w:tcPr>
            <w:tcW w:w="691" w:type="dxa"/>
            <w:vAlign w:val="top"/>
          </w:tcPr>
          <w:p w14:paraId="5DC78163">
            <w:pPr>
              <w:pStyle w:val="6"/>
              <w:spacing w:before="75" w:line="171" w:lineRule="auto"/>
              <w:ind w:left="198"/>
            </w:pPr>
            <w:r>
              <w:rPr>
                <w:spacing w:val="-6"/>
              </w:rPr>
              <w:t>120</w:t>
            </w:r>
          </w:p>
        </w:tc>
        <w:tc>
          <w:tcPr>
            <w:tcW w:w="691" w:type="dxa"/>
            <w:vAlign w:val="top"/>
          </w:tcPr>
          <w:p w14:paraId="0747B469">
            <w:pPr>
              <w:pStyle w:val="6"/>
              <w:spacing w:before="75" w:line="171" w:lineRule="auto"/>
              <w:ind w:left="207"/>
            </w:pPr>
            <w:r>
              <w:rPr>
                <w:spacing w:val="-3"/>
              </w:rPr>
              <w:t>7.6</w:t>
            </w:r>
          </w:p>
        </w:tc>
        <w:tc>
          <w:tcPr>
            <w:tcW w:w="689" w:type="dxa"/>
            <w:vAlign w:val="top"/>
          </w:tcPr>
          <w:p w14:paraId="6D3F8AA7">
            <w:pPr>
              <w:pStyle w:val="6"/>
              <w:spacing w:before="75" w:line="171" w:lineRule="auto"/>
              <w:ind w:left="183"/>
            </w:pPr>
            <w:r>
              <w:rPr>
                <w:spacing w:val="-2"/>
              </w:rPr>
              <w:t>308</w:t>
            </w:r>
          </w:p>
        </w:tc>
        <w:tc>
          <w:tcPr>
            <w:tcW w:w="691" w:type="dxa"/>
            <w:vAlign w:val="top"/>
          </w:tcPr>
          <w:p w14:paraId="7C1E2359">
            <w:pPr>
              <w:pStyle w:val="6"/>
              <w:spacing w:before="75" w:line="171" w:lineRule="auto"/>
              <w:ind w:left="238"/>
            </w:pPr>
            <w:r>
              <w:rPr>
                <w:spacing w:val="-3"/>
              </w:rPr>
              <w:t>35</w:t>
            </w:r>
          </w:p>
        </w:tc>
        <w:tc>
          <w:tcPr>
            <w:tcW w:w="691" w:type="dxa"/>
            <w:vAlign w:val="top"/>
          </w:tcPr>
          <w:p w14:paraId="66A070C0">
            <w:pPr>
              <w:pStyle w:val="6"/>
              <w:spacing w:before="75" w:line="171" w:lineRule="auto"/>
              <w:ind w:left="183"/>
            </w:pPr>
            <w:r>
              <w:rPr>
                <w:spacing w:val="-1"/>
              </w:rPr>
              <w:t>474</w:t>
            </w:r>
          </w:p>
        </w:tc>
        <w:tc>
          <w:tcPr>
            <w:tcW w:w="692" w:type="dxa"/>
            <w:vAlign w:val="top"/>
          </w:tcPr>
          <w:p w14:paraId="46143278">
            <w:pPr>
              <w:pStyle w:val="6"/>
              <w:spacing w:before="75" w:line="171" w:lineRule="auto"/>
              <w:ind w:left="243"/>
            </w:pPr>
            <w:r>
              <w:rPr>
                <w:spacing w:val="-3"/>
              </w:rPr>
              <w:t>51</w:t>
            </w:r>
          </w:p>
        </w:tc>
        <w:tc>
          <w:tcPr>
            <w:tcW w:w="691" w:type="dxa"/>
            <w:vAlign w:val="top"/>
          </w:tcPr>
          <w:p w14:paraId="75E08F5F">
            <w:pPr>
              <w:pStyle w:val="6"/>
              <w:spacing w:before="75" w:line="171" w:lineRule="auto"/>
              <w:ind w:left="161"/>
            </w:pPr>
            <w:r>
              <w:rPr>
                <w:spacing w:val="-1"/>
              </w:rPr>
              <w:t>22.1</w:t>
            </w:r>
          </w:p>
        </w:tc>
        <w:tc>
          <w:tcPr>
            <w:tcW w:w="689" w:type="dxa"/>
            <w:vAlign w:val="top"/>
          </w:tcPr>
          <w:p w14:paraId="6A6985A7">
            <w:pPr>
              <w:pStyle w:val="6"/>
              <w:spacing w:before="75" w:line="171" w:lineRule="auto"/>
              <w:ind w:left="166"/>
            </w:pPr>
            <w:r>
              <w:rPr>
                <w:spacing w:val="-3"/>
              </w:rPr>
              <w:t>6.75</w:t>
            </w:r>
          </w:p>
        </w:tc>
        <w:tc>
          <w:tcPr>
            <w:tcW w:w="691" w:type="dxa"/>
            <w:vAlign w:val="top"/>
          </w:tcPr>
          <w:p w14:paraId="1B8CBC6C">
            <w:pPr>
              <w:pStyle w:val="6"/>
              <w:spacing w:before="75" w:line="171" w:lineRule="auto"/>
              <w:ind w:left="185"/>
            </w:pPr>
            <w:r>
              <w:rPr>
                <w:spacing w:val="-6"/>
              </w:rPr>
              <w:t>1.32</w:t>
            </w:r>
          </w:p>
        </w:tc>
        <w:tc>
          <w:tcPr>
            <w:tcW w:w="691" w:type="dxa"/>
            <w:vAlign w:val="top"/>
          </w:tcPr>
          <w:p w14:paraId="2D314298">
            <w:pPr>
              <w:pStyle w:val="6"/>
              <w:spacing w:before="75" w:line="171" w:lineRule="auto"/>
              <w:ind w:left="169"/>
            </w:pPr>
            <w:r>
              <w:rPr>
                <w:spacing w:val="-2"/>
              </w:rPr>
              <w:t>0.14</w:t>
            </w:r>
          </w:p>
        </w:tc>
        <w:tc>
          <w:tcPr>
            <w:tcW w:w="690" w:type="dxa"/>
            <w:vAlign w:val="top"/>
          </w:tcPr>
          <w:p w14:paraId="2AF9727B">
            <w:pPr>
              <w:pStyle w:val="6"/>
              <w:spacing w:before="75" w:line="171" w:lineRule="auto"/>
              <w:ind w:left="169"/>
            </w:pPr>
            <w:r>
              <w:rPr>
                <w:spacing w:val="-2"/>
              </w:rPr>
              <w:t>7.44</w:t>
            </w:r>
          </w:p>
        </w:tc>
        <w:tc>
          <w:tcPr>
            <w:tcW w:w="693" w:type="dxa"/>
            <w:vAlign w:val="top"/>
          </w:tcPr>
          <w:p w14:paraId="3FAD3E7D">
            <w:pPr>
              <w:pStyle w:val="6"/>
              <w:spacing w:before="75" w:line="171" w:lineRule="auto"/>
              <w:ind w:left="190"/>
            </w:pPr>
            <w:r>
              <w:rPr>
                <w:spacing w:val="-6"/>
              </w:rPr>
              <w:t>1.45</w:t>
            </w:r>
          </w:p>
        </w:tc>
        <w:tc>
          <w:tcPr>
            <w:tcW w:w="690" w:type="dxa"/>
            <w:vAlign w:val="top"/>
          </w:tcPr>
          <w:p w14:paraId="346393CC">
            <w:pPr>
              <w:pStyle w:val="6"/>
              <w:spacing w:before="75" w:line="171" w:lineRule="auto"/>
              <w:ind w:left="41"/>
            </w:pPr>
            <w:r>
              <w:rPr>
                <w:spacing w:val="-2"/>
              </w:rPr>
              <w:t>320000</w:t>
            </w:r>
          </w:p>
        </w:tc>
        <w:tc>
          <w:tcPr>
            <w:tcW w:w="691" w:type="dxa"/>
            <w:vAlign w:val="top"/>
          </w:tcPr>
          <w:p w14:paraId="39379A2B">
            <w:pPr>
              <w:pStyle w:val="6"/>
              <w:spacing w:before="79" w:line="167" w:lineRule="auto"/>
              <w:ind w:left="40"/>
            </w:pPr>
            <w:r>
              <w:rPr>
                <w:b/>
                <w:bCs/>
                <w:spacing w:val="-1"/>
              </w:rPr>
              <w:t>220000</w:t>
            </w:r>
          </w:p>
        </w:tc>
        <w:tc>
          <w:tcPr>
            <w:tcW w:w="691" w:type="dxa"/>
            <w:vAlign w:val="top"/>
          </w:tcPr>
          <w:p w14:paraId="72757483">
            <w:pPr>
              <w:pStyle w:val="6"/>
              <w:spacing w:before="75" w:line="171" w:lineRule="auto"/>
              <w:ind w:left="172"/>
            </w:pPr>
            <w:r>
              <w:rPr>
                <w:spacing w:val="-1"/>
              </w:rPr>
              <w:t>4.30</w:t>
            </w:r>
          </w:p>
        </w:tc>
        <w:tc>
          <w:tcPr>
            <w:tcW w:w="704" w:type="dxa"/>
            <w:tcBorders>
              <w:right w:val="single" w:color="000000" w:sz="12" w:space="0"/>
            </w:tcBorders>
            <w:vAlign w:val="top"/>
          </w:tcPr>
          <w:p w14:paraId="5FDCEA68">
            <w:pPr>
              <w:pStyle w:val="6"/>
              <w:spacing w:before="75" w:line="171" w:lineRule="auto"/>
              <w:ind w:left="174"/>
            </w:pPr>
            <w:r>
              <w:rPr>
                <w:spacing w:val="-1"/>
              </w:rPr>
              <w:t>2.75</w:t>
            </w:r>
          </w:p>
        </w:tc>
      </w:tr>
      <w:tr w14:paraId="31EF1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tcBorders>
            <w:vAlign w:val="top"/>
          </w:tcPr>
          <w:p w14:paraId="3F00CD52">
            <w:pPr>
              <w:rPr>
                <w:rFonts w:ascii="Arial"/>
                <w:sz w:val="21"/>
              </w:rPr>
            </w:pPr>
          </w:p>
        </w:tc>
        <w:tc>
          <w:tcPr>
            <w:tcW w:w="283" w:type="dxa"/>
            <w:vMerge w:val="continue"/>
            <w:tcBorders>
              <w:top w:val="nil"/>
            </w:tcBorders>
            <w:vAlign w:val="top"/>
          </w:tcPr>
          <w:p w14:paraId="7007C6C1">
            <w:pPr>
              <w:rPr>
                <w:rFonts w:ascii="Arial"/>
                <w:sz w:val="21"/>
              </w:rPr>
            </w:pPr>
          </w:p>
        </w:tc>
        <w:tc>
          <w:tcPr>
            <w:tcW w:w="1208" w:type="dxa"/>
            <w:vAlign w:val="top"/>
          </w:tcPr>
          <w:p w14:paraId="5F042421">
            <w:pPr>
              <w:pStyle w:val="6"/>
              <w:spacing w:before="79" w:line="174" w:lineRule="auto"/>
              <w:ind w:left="114"/>
            </w:pPr>
            <w:r>
              <w:rPr>
                <w:spacing w:val="-1"/>
              </w:rPr>
              <w:t>2019/11/11</w:t>
            </w:r>
          </w:p>
        </w:tc>
        <w:tc>
          <w:tcPr>
            <w:tcW w:w="691" w:type="dxa"/>
            <w:vAlign w:val="top"/>
          </w:tcPr>
          <w:p w14:paraId="6272C3E3">
            <w:pPr>
              <w:pStyle w:val="6"/>
              <w:spacing w:before="79" w:line="174" w:lineRule="auto"/>
              <w:ind w:left="198"/>
            </w:pPr>
            <w:r>
              <w:rPr>
                <w:spacing w:val="-6"/>
              </w:rPr>
              <w:t>130</w:t>
            </w:r>
          </w:p>
        </w:tc>
        <w:tc>
          <w:tcPr>
            <w:tcW w:w="691" w:type="dxa"/>
            <w:vAlign w:val="top"/>
          </w:tcPr>
          <w:p w14:paraId="4C4F844F">
            <w:pPr>
              <w:pStyle w:val="6"/>
              <w:spacing w:before="79" w:line="174" w:lineRule="auto"/>
              <w:ind w:left="213"/>
            </w:pPr>
            <w:r>
              <w:rPr>
                <w:spacing w:val="-5"/>
              </w:rPr>
              <w:t>8.3</w:t>
            </w:r>
          </w:p>
        </w:tc>
        <w:tc>
          <w:tcPr>
            <w:tcW w:w="689" w:type="dxa"/>
            <w:vAlign w:val="top"/>
          </w:tcPr>
          <w:p w14:paraId="5BA78A59">
            <w:pPr>
              <w:pStyle w:val="6"/>
              <w:spacing w:before="79" w:line="174" w:lineRule="auto"/>
              <w:ind w:left="183"/>
            </w:pPr>
            <w:r>
              <w:rPr>
                <w:spacing w:val="-2"/>
              </w:rPr>
              <w:t>324</w:t>
            </w:r>
          </w:p>
        </w:tc>
        <w:tc>
          <w:tcPr>
            <w:tcW w:w="691" w:type="dxa"/>
            <w:vAlign w:val="top"/>
          </w:tcPr>
          <w:p w14:paraId="26CB5002">
            <w:pPr>
              <w:pStyle w:val="6"/>
              <w:spacing w:before="79" w:line="174" w:lineRule="auto"/>
              <w:ind w:left="233"/>
            </w:pPr>
            <w:r>
              <w:rPr>
                <w:spacing w:val="-1"/>
              </w:rPr>
              <w:t>42</w:t>
            </w:r>
          </w:p>
        </w:tc>
        <w:tc>
          <w:tcPr>
            <w:tcW w:w="691" w:type="dxa"/>
            <w:vAlign w:val="top"/>
          </w:tcPr>
          <w:p w14:paraId="7644276A">
            <w:pPr>
              <w:pStyle w:val="6"/>
              <w:spacing w:before="79" w:line="174" w:lineRule="auto"/>
              <w:ind w:left="190"/>
            </w:pPr>
            <w:r>
              <w:rPr>
                <w:spacing w:val="-3"/>
              </w:rPr>
              <w:t>512</w:t>
            </w:r>
          </w:p>
        </w:tc>
        <w:tc>
          <w:tcPr>
            <w:tcW w:w="692" w:type="dxa"/>
            <w:vAlign w:val="top"/>
          </w:tcPr>
          <w:p w14:paraId="7EFB8235">
            <w:pPr>
              <w:pStyle w:val="6"/>
              <w:spacing w:before="79" w:line="174" w:lineRule="auto"/>
              <w:ind w:left="236"/>
            </w:pPr>
            <w:r>
              <w:rPr>
                <w:spacing w:val="-1"/>
              </w:rPr>
              <w:t>43</w:t>
            </w:r>
          </w:p>
        </w:tc>
        <w:tc>
          <w:tcPr>
            <w:tcW w:w="691" w:type="dxa"/>
            <w:vAlign w:val="top"/>
          </w:tcPr>
          <w:p w14:paraId="36783F18">
            <w:pPr>
              <w:pStyle w:val="6"/>
              <w:spacing w:before="79" w:line="174" w:lineRule="auto"/>
              <w:ind w:left="161"/>
            </w:pPr>
            <w:r>
              <w:rPr>
                <w:spacing w:val="-1"/>
              </w:rPr>
              <w:t>24.5</w:t>
            </w:r>
          </w:p>
        </w:tc>
        <w:tc>
          <w:tcPr>
            <w:tcW w:w="689" w:type="dxa"/>
            <w:vAlign w:val="top"/>
          </w:tcPr>
          <w:p w14:paraId="46A7D68C">
            <w:pPr>
              <w:pStyle w:val="6"/>
              <w:spacing w:before="79" w:line="174" w:lineRule="auto"/>
              <w:ind w:left="166"/>
            </w:pPr>
            <w:r>
              <w:rPr>
                <w:spacing w:val="-3"/>
              </w:rPr>
              <w:t>6.59</w:t>
            </w:r>
          </w:p>
        </w:tc>
        <w:tc>
          <w:tcPr>
            <w:tcW w:w="691" w:type="dxa"/>
            <w:vAlign w:val="top"/>
          </w:tcPr>
          <w:p w14:paraId="159FDE3C">
            <w:pPr>
              <w:pStyle w:val="6"/>
              <w:spacing w:before="79" w:line="174" w:lineRule="auto"/>
              <w:ind w:left="185"/>
            </w:pPr>
            <w:r>
              <w:rPr>
                <w:spacing w:val="-6"/>
              </w:rPr>
              <w:t>1.57</w:t>
            </w:r>
          </w:p>
        </w:tc>
        <w:tc>
          <w:tcPr>
            <w:tcW w:w="691" w:type="dxa"/>
            <w:vAlign w:val="top"/>
          </w:tcPr>
          <w:p w14:paraId="104B27B7">
            <w:pPr>
              <w:pStyle w:val="6"/>
              <w:spacing w:before="79" w:line="174" w:lineRule="auto"/>
              <w:ind w:left="169"/>
            </w:pPr>
            <w:r>
              <w:rPr>
                <w:spacing w:val="-2"/>
              </w:rPr>
              <w:t>0.19</w:t>
            </w:r>
          </w:p>
        </w:tc>
        <w:tc>
          <w:tcPr>
            <w:tcW w:w="690" w:type="dxa"/>
            <w:vAlign w:val="top"/>
          </w:tcPr>
          <w:p w14:paraId="7F88CEF7">
            <w:pPr>
              <w:pStyle w:val="6"/>
              <w:spacing w:before="79" w:line="174" w:lineRule="auto"/>
              <w:ind w:left="169"/>
            </w:pPr>
            <w:r>
              <w:rPr>
                <w:spacing w:val="-2"/>
              </w:rPr>
              <w:t>7.31</w:t>
            </w:r>
          </w:p>
        </w:tc>
        <w:tc>
          <w:tcPr>
            <w:tcW w:w="693" w:type="dxa"/>
            <w:vAlign w:val="top"/>
          </w:tcPr>
          <w:p w14:paraId="596FAC9E">
            <w:pPr>
              <w:pStyle w:val="6"/>
              <w:spacing w:before="79" w:line="174" w:lineRule="auto"/>
              <w:ind w:left="190"/>
            </w:pPr>
            <w:r>
              <w:rPr>
                <w:spacing w:val="-6"/>
              </w:rPr>
              <w:t>1.50</w:t>
            </w:r>
          </w:p>
        </w:tc>
        <w:tc>
          <w:tcPr>
            <w:tcW w:w="690" w:type="dxa"/>
            <w:vAlign w:val="top"/>
          </w:tcPr>
          <w:p w14:paraId="4F53912E">
            <w:pPr>
              <w:pStyle w:val="6"/>
              <w:spacing w:before="79" w:line="174" w:lineRule="auto"/>
              <w:ind w:left="41"/>
            </w:pPr>
            <w:r>
              <w:rPr>
                <w:spacing w:val="-2"/>
              </w:rPr>
              <w:t>310000</w:t>
            </w:r>
          </w:p>
        </w:tc>
        <w:tc>
          <w:tcPr>
            <w:tcW w:w="691" w:type="dxa"/>
            <w:vAlign w:val="top"/>
          </w:tcPr>
          <w:p w14:paraId="679E4579">
            <w:pPr>
              <w:pStyle w:val="6"/>
              <w:spacing w:before="83" w:line="170" w:lineRule="auto"/>
              <w:ind w:left="40"/>
            </w:pPr>
            <w:r>
              <w:rPr>
                <w:b/>
                <w:bCs/>
                <w:spacing w:val="-1"/>
              </w:rPr>
              <w:t>240000</w:t>
            </w:r>
          </w:p>
        </w:tc>
        <w:tc>
          <w:tcPr>
            <w:tcW w:w="691" w:type="dxa"/>
            <w:vAlign w:val="top"/>
          </w:tcPr>
          <w:p w14:paraId="3FD54C97">
            <w:pPr>
              <w:pStyle w:val="6"/>
              <w:spacing w:before="79" w:line="174" w:lineRule="auto"/>
              <w:ind w:left="172"/>
            </w:pPr>
            <w:r>
              <w:rPr>
                <w:spacing w:val="-1"/>
              </w:rPr>
              <w:t>4.36</w:t>
            </w:r>
          </w:p>
        </w:tc>
        <w:tc>
          <w:tcPr>
            <w:tcW w:w="704" w:type="dxa"/>
            <w:tcBorders>
              <w:right w:val="single" w:color="000000" w:sz="12" w:space="0"/>
            </w:tcBorders>
            <w:vAlign w:val="top"/>
          </w:tcPr>
          <w:p w14:paraId="5E946977">
            <w:pPr>
              <w:pStyle w:val="6"/>
              <w:spacing w:before="79" w:line="174" w:lineRule="auto"/>
              <w:ind w:left="174"/>
            </w:pPr>
            <w:r>
              <w:rPr>
                <w:spacing w:val="-1"/>
              </w:rPr>
              <w:t>2.86</w:t>
            </w:r>
          </w:p>
        </w:tc>
      </w:tr>
      <w:tr w14:paraId="6DA4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restart"/>
            <w:tcBorders>
              <w:left w:val="single" w:color="000000" w:sz="12" w:space="0"/>
              <w:bottom w:val="nil"/>
            </w:tcBorders>
            <w:vAlign w:val="top"/>
          </w:tcPr>
          <w:p w14:paraId="4E9A3A95">
            <w:pPr>
              <w:spacing w:line="243" w:lineRule="auto"/>
              <w:rPr>
                <w:rFonts w:ascii="Arial"/>
                <w:sz w:val="21"/>
              </w:rPr>
            </w:pPr>
          </w:p>
          <w:p w14:paraId="3DACF623">
            <w:pPr>
              <w:spacing w:before="68" w:line="241" w:lineRule="auto"/>
              <w:ind w:left="94" w:right="112" w:hanging="1"/>
              <w:jc w:val="both"/>
              <w:rPr>
                <w:rFonts w:ascii="宋体" w:hAnsi="宋体" w:eastAsia="宋体" w:cs="宋体"/>
                <w:sz w:val="21"/>
                <w:szCs w:val="21"/>
              </w:rPr>
            </w:pPr>
            <w:r>
              <w:rPr>
                <w:rFonts w:ascii="宋体" w:hAnsi="宋体" w:eastAsia="宋体" w:cs="宋体"/>
                <w:spacing w:val="-3"/>
                <w:sz w:val="21"/>
                <w:szCs w:val="21"/>
              </w:rPr>
              <w:t>输水隧</w:t>
            </w:r>
            <w:r>
              <w:rPr>
                <w:rFonts w:ascii="宋体" w:hAnsi="宋体" w:eastAsia="宋体" w:cs="宋体"/>
                <w:spacing w:val="-4"/>
                <w:sz w:val="21"/>
                <w:szCs w:val="21"/>
              </w:rPr>
              <w:t>洞生活污水处理系统</w:t>
            </w:r>
          </w:p>
        </w:tc>
        <w:tc>
          <w:tcPr>
            <w:tcW w:w="283" w:type="dxa"/>
            <w:vMerge w:val="restart"/>
            <w:tcBorders>
              <w:bottom w:val="nil"/>
            </w:tcBorders>
            <w:vAlign w:val="top"/>
          </w:tcPr>
          <w:p w14:paraId="78060300">
            <w:pPr>
              <w:pStyle w:val="6"/>
              <w:spacing w:before="77" w:line="222" w:lineRule="auto"/>
              <w:ind w:left="75"/>
            </w:pPr>
            <w:r>
              <w:t>2</w:t>
            </w:r>
          </w:p>
          <w:p w14:paraId="50B5F16E">
            <w:pPr>
              <w:spacing w:line="219" w:lineRule="auto"/>
              <w:ind w:left="26"/>
              <w:rPr>
                <w:rFonts w:ascii="宋体" w:hAnsi="宋体" w:eastAsia="宋体" w:cs="宋体"/>
                <w:sz w:val="21"/>
                <w:szCs w:val="21"/>
              </w:rPr>
            </w:pPr>
            <w:r>
              <w:rPr>
                <w:rFonts w:ascii="宋体" w:hAnsi="宋体" w:eastAsia="宋体" w:cs="宋体"/>
                <w:sz w:val="21"/>
                <w:szCs w:val="21"/>
              </w:rPr>
              <w:t>季</w:t>
            </w:r>
          </w:p>
          <w:p w14:paraId="20225958">
            <w:pPr>
              <w:spacing w:before="23" w:line="191"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72C493C8">
            <w:pPr>
              <w:pStyle w:val="6"/>
              <w:spacing w:before="77" w:line="169" w:lineRule="auto"/>
              <w:ind w:left="165"/>
            </w:pPr>
            <w:r>
              <w:rPr>
                <w:spacing w:val="-1"/>
              </w:rPr>
              <w:t>2019/5/10</w:t>
            </w:r>
          </w:p>
        </w:tc>
        <w:tc>
          <w:tcPr>
            <w:tcW w:w="691" w:type="dxa"/>
            <w:vAlign w:val="top"/>
          </w:tcPr>
          <w:p w14:paraId="345F9FB5">
            <w:pPr>
              <w:pStyle w:val="6"/>
              <w:spacing w:before="77" w:line="169" w:lineRule="auto"/>
              <w:ind w:left="301"/>
            </w:pPr>
            <w:r>
              <w:t>/</w:t>
            </w:r>
          </w:p>
        </w:tc>
        <w:tc>
          <w:tcPr>
            <w:tcW w:w="691" w:type="dxa"/>
            <w:vAlign w:val="top"/>
          </w:tcPr>
          <w:p w14:paraId="13529A9F">
            <w:pPr>
              <w:pStyle w:val="6"/>
              <w:spacing w:before="77" w:line="169" w:lineRule="auto"/>
              <w:ind w:left="173"/>
            </w:pPr>
            <w:r>
              <w:rPr>
                <w:spacing w:val="-6"/>
              </w:rPr>
              <w:t>19.6</w:t>
            </w:r>
          </w:p>
        </w:tc>
        <w:tc>
          <w:tcPr>
            <w:tcW w:w="689" w:type="dxa"/>
            <w:vAlign w:val="top"/>
          </w:tcPr>
          <w:p w14:paraId="65F6D77F">
            <w:pPr>
              <w:pStyle w:val="6"/>
              <w:spacing w:before="77" w:line="169" w:lineRule="auto"/>
              <w:ind w:left="302"/>
            </w:pPr>
            <w:r>
              <w:t>/</w:t>
            </w:r>
          </w:p>
        </w:tc>
        <w:tc>
          <w:tcPr>
            <w:tcW w:w="691" w:type="dxa"/>
            <w:vAlign w:val="top"/>
          </w:tcPr>
          <w:p w14:paraId="7C80F651">
            <w:pPr>
              <w:pStyle w:val="6"/>
              <w:spacing w:before="77" w:line="169" w:lineRule="auto"/>
              <w:ind w:left="240"/>
            </w:pPr>
            <w:r>
              <w:rPr>
                <w:spacing w:val="-5"/>
              </w:rPr>
              <w:t>52</w:t>
            </w:r>
          </w:p>
        </w:tc>
        <w:tc>
          <w:tcPr>
            <w:tcW w:w="691" w:type="dxa"/>
            <w:vAlign w:val="top"/>
          </w:tcPr>
          <w:p w14:paraId="6EE32C7A">
            <w:pPr>
              <w:pStyle w:val="6"/>
              <w:spacing w:before="77" w:line="169" w:lineRule="auto"/>
              <w:ind w:left="307"/>
            </w:pPr>
            <w:r>
              <w:t>/</w:t>
            </w:r>
          </w:p>
        </w:tc>
        <w:tc>
          <w:tcPr>
            <w:tcW w:w="692" w:type="dxa"/>
            <w:vAlign w:val="top"/>
          </w:tcPr>
          <w:p w14:paraId="13223D84">
            <w:pPr>
              <w:pStyle w:val="6"/>
              <w:spacing w:before="77" w:line="169" w:lineRule="auto"/>
              <w:ind w:left="243"/>
            </w:pPr>
            <w:r>
              <w:rPr>
                <w:spacing w:val="-3"/>
              </w:rPr>
              <w:t>50</w:t>
            </w:r>
          </w:p>
        </w:tc>
        <w:tc>
          <w:tcPr>
            <w:tcW w:w="691" w:type="dxa"/>
            <w:vAlign w:val="top"/>
          </w:tcPr>
          <w:p w14:paraId="675EA97B">
            <w:pPr>
              <w:pStyle w:val="6"/>
              <w:spacing w:before="77" w:line="169" w:lineRule="auto"/>
              <w:ind w:left="310"/>
            </w:pPr>
            <w:r>
              <w:t>/</w:t>
            </w:r>
          </w:p>
        </w:tc>
        <w:tc>
          <w:tcPr>
            <w:tcW w:w="689" w:type="dxa"/>
            <w:vAlign w:val="top"/>
          </w:tcPr>
          <w:p w14:paraId="73E08806">
            <w:pPr>
              <w:pStyle w:val="6"/>
              <w:spacing w:before="77" w:line="169" w:lineRule="auto"/>
              <w:ind w:left="166"/>
            </w:pPr>
            <w:r>
              <w:rPr>
                <w:spacing w:val="-3"/>
              </w:rPr>
              <w:t>6.17</w:t>
            </w:r>
          </w:p>
        </w:tc>
        <w:tc>
          <w:tcPr>
            <w:tcW w:w="691" w:type="dxa"/>
            <w:vAlign w:val="top"/>
          </w:tcPr>
          <w:p w14:paraId="71C04D26">
            <w:pPr>
              <w:pStyle w:val="6"/>
              <w:spacing w:before="77" w:line="169" w:lineRule="auto"/>
              <w:ind w:left="314"/>
            </w:pPr>
            <w:r>
              <w:t>/</w:t>
            </w:r>
          </w:p>
        </w:tc>
        <w:tc>
          <w:tcPr>
            <w:tcW w:w="691" w:type="dxa"/>
            <w:vAlign w:val="top"/>
          </w:tcPr>
          <w:p w14:paraId="2E266343">
            <w:pPr>
              <w:pStyle w:val="6"/>
              <w:spacing w:before="81" w:line="165" w:lineRule="auto"/>
              <w:ind w:left="175"/>
            </w:pPr>
            <w:r>
              <w:rPr>
                <w:b/>
                <w:bCs/>
                <w:spacing w:val="-4"/>
              </w:rPr>
              <w:t>1.42</w:t>
            </w:r>
          </w:p>
        </w:tc>
        <w:tc>
          <w:tcPr>
            <w:tcW w:w="690" w:type="dxa"/>
            <w:vAlign w:val="top"/>
          </w:tcPr>
          <w:p w14:paraId="00236591">
            <w:pPr>
              <w:pStyle w:val="6"/>
              <w:spacing w:before="77" w:line="169" w:lineRule="auto"/>
              <w:ind w:left="316"/>
            </w:pPr>
            <w:r>
              <w:t>/</w:t>
            </w:r>
          </w:p>
        </w:tc>
        <w:tc>
          <w:tcPr>
            <w:tcW w:w="693" w:type="dxa"/>
            <w:vAlign w:val="top"/>
          </w:tcPr>
          <w:p w14:paraId="5A6A2B08">
            <w:pPr>
              <w:pStyle w:val="6"/>
              <w:spacing w:before="77" w:line="169" w:lineRule="auto"/>
              <w:ind w:left="174"/>
            </w:pPr>
            <w:r>
              <w:rPr>
                <w:spacing w:val="-3"/>
              </w:rPr>
              <w:t>6.77</w:t>
            </w:r>
          </w:p>
        </w:tc>
        <w:tc>
          <w:tcPr>
            <w:tcW w:w="690" w:type="dxa"/>
            <w:vAlign w:val="top"/>
          </w:tcPr>
          <w:p w14:paraId="53E17319">
            <w:pPr>
              <w:pStyle w:val="6"/>
              <w:spacing w:before="77" w:line="169" w:lineRule="auto"/>
              <w:ind w:left="319"/>
            </w:pPr>
            <w:r>
              <w:t>/</w:t>
            </w:r>
          </w:p>
        </w:tc>
        <w:tc>
          <w:tcPr>
            <w:tcW w:w="691" w:type="dxa"/>
            <w:vAlign w:val="top"/>
          </w:tcPr>
          <w:p w14:paraId="6A58EF26">
            <w:pPr>
              <w:pStyle w:val="6"/>
              <w:spacing w:before="81" w:line="165" w:lineRule="auto"/>
              <w:ind w:left="49"/>
            </w:pPr>
            <w:r>
              <w:rPr>
                <w:b/>
                <w:bCs/>
                <w:spacing w:val="-2"/>
              </w:rPr>
              <w:t>170000</w:t>
            </w:r>
          </w:p>
        </w:tc>
        <w:tc>
          <w:tcPr>
            <w:tcW w:w="691" w:type="dxa"/>
            <w:vAlign w:val="top"/>
          </w:tcPr>
          <w:p w14:paraId="56855E60">
            <w:pPr>
              <w:pStyle w:val="6"/>
              <w:spacing w:before="77" w:line="169" w:lineRule="auto"/>
              <w:ind w:left="323"/>
            </w:pPr>
            <w:r>
              <w:t>/</w:t>
            </w:r>
          </w:p>
        </w:tc>
        <w:tc>
          <w:tcPr>
            <w:tcW w:w="704" w:type="dxa"/>
            <w:tcBorders>
              <w:right w:val="single" w:color="000000" w:sz="12" w:space="0"/>
            </w:tcBorders>
            <w:vAlign w:val="top"/>
          </w:tcPr>
          <w:p w14:paraId="790027A4">
            <w:pPr>
              <w:pStyle w:val="6"/>
              <w:spacing w:before="77" w:line="169" w:lineRule="auto"/>
              <w:ind w:left="177"/>
            </w:pPr>
            <w:r>
              <w:rPr>
                <w:spacing w:val="-2"/>
              </w:rPr>
              <w:t>0.48</w:t>
            </w:r>
          </w:p>
        </w:tc>
      </w:tr>
      <w:tr w14:paraId="3D2BA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6466209D">
            <w:pPr>
              <w:rPr>
                <w:rFonts w:ascii="Arial"/>
                <w:sz w:val="21"/>
              </w:rPr>
            </w:pPr>
          </w:p>
        </w:tc>
        <w:tc>
          <w:tcPr>
            <w:tcW w:w="283" w:type="dxa"/>
            <w:vMerge w:val="continue"/>
            <w:tcBorders>
              <w:top w:val="nil"/>
              <w:bottom w:val="nil"/>
            </w:tcBorders>
            <w:vAlign w:val="top"/>
          </w:tcPr>
          <w:p w14:paraId="709A54AF">
            <w:pPr>
              <w:rPr>
                <w:rFonts w:ascii="Arial"/>
                <w:sz w:val="21"/>
              </w:rPr>
            </w:pPr>
          </w:p>
        </w:tc>
        <w:tc>
          <w:tcPr>
            <w:tcW w:w="1208" w:type="dxa"/>
            <w:vAlign w:val="top"/>
          </w:tcPr>
          <w:p w14:paraId="67545C47">
            <w:pPr>
              <w:pStyle w:val="6"/>
              <w:spacing w:before="78" w:line="168" w:lineRule="auto"/>
              <w:ind w:left="165"/>
            </w:pPr>
            <w:r>
              <w:rPr>
                <w:spacing w:val="-1"/>
              </w:rPr>
              <w:t>2019/5/11</w:t>
            </w:r>
          </w:p>
        </w:tc>
        <w:tc>
          <w:tcPr>
            <w:tcW w:w="691" w:type="dxa"/>
            <w:vAlign w:val="top"/>
          </w:tcPr>
          <w:p w14:paraId="127E67FC">
            <w:pPr>
              <w:pStyle w:val="6"/>
              <w:spacing w:before="78" w:line="168" w:lineRule="auto"/>
              <w:ind w:left="301"/>
            </w:pPr>
            <w:r>
              <w:t>/</w:t>
            </w:r>
          </w:p>
        </w:tc>
        <w:tc>
          <w:tcPr>
            <w:tcW w:w="691" w:type="dxa"/>
            <w:vAlign w:val="top"/>
          </w:tcPr>
          <w:p w14:paraId="52CA4954">
            <w:pPr>
              <w:pStyle w:val="6"/>
              <w:spacing w:before="78" w:line="168" w:lineRule="auto"/>
              <w:ind w:left="173"/>
            </w:pPr>
            <w:r>
              <w:rPr>
                <w:spacing w:val="-6"/>
              </w:rPr>
              <w:t>19.2</w:t>
            </w:r>
          </w:p>
        </w:tc>
        <w:tc>
          <w:tcPr>
            <w:tcW w:w="689" w:type="dxa"/>
            <w:vAlign w:val="top"/>
          </w:tcPr>
          <w:p w14:paraId="34850FA8">
            <w:pPr>
              <w:pStyle w:val="6"/>
              <w:spacing w:before="78" w:line="168" w:lineRule="auto"/>
              <w:ind w:left="302"/>
            </w:pPr>
            <w:r>
              <w:t>/</w:t>
            </w:r>
          </w:p>
        </w:tc>
        <w:tc>
          <w:tcPr>
            <w:tcW w:w="691" w:type="dxa"/>
            <w:vAlign w:val="top"/>
          </w:tcPr>
          <w:p w14:paraId="1C94587E">
            <w:pPr>
              <w:pStyle w:val="6"/>
              <w:spacing w:before="78" w:line="168" w:lineRule="auto"/>
              <w:ind w:left="233"/>
            </w:pPr>
            <w:r>
              <w:rPr>
                <w:spacing w:val="-1"/>
              </w:rPr>
              <w:t>48</w:t>
            </w:r>
          </w:p>
        </w:tc>
        <w:tc>
          <w:tcPr>
            <w:tcW w:w="691" w:type="dxa"/>
            <w:vAlign w:val="top"/>
          </w:tcPr>
          <w:p w14:paraId="7D8928CF">
            <w:pPr>
              <w:pStyle w:val="6"/>
              <w:spacing w:before="78" w:line="168" w:lineRule="auto"/>
              <w:ind w:left="307"/>
            </w:pPr>
            <w:r>
              <w:t>/</w:t>
            </w:r>
          </w:p>
        </w:tc>
        <w:tc>
          <w:tcPr>
            <w:tcW w:w="692" w:type="dxa"/>
            <w:vAlign w:val="top"/>
          </w:tcPr>
          <w:p w14:paraId="1699D9E3">
            <w:pPr>
              <w:pStyle w:val="6"/>
              <w:spacing w:before="78" w:line="168" w:lineRule="auto"/>
              <w:ind w:left="243"/>
            </w:pPr>
            <w:r>
              <w:rPr>
                <w:spacing w:val="-3"/>
              </w:rPr>
              <w:t>53</w:t>
            </w:r>
          </w:p>
        </w:tc>
        <w:tc>
          <w:tcPr>
            <w:tcW w:w="691" w:type="dxa"/>
            <w:vAlign w:val="top"/>
          </w:tcPr>
          <w:p w14:paraId="0533B74F">
            <w:pPr>
              <w:pStyle w:val="6"/>
              <w:spacing w:before="78" w:line="168" w:lineRule="auto"/>
              <w:ind w:left="310"/>
            </w:pPr>
            <w:r>
              <w:t>/</w:t>
            </w:r>
          </w:p>
        </w:tc>
        <w:tc>
          <w:tcPr>
            <w:tcW w:w="689" w:type="dxa"/>
            <w:vAlign w:val="top"/>
          </w:tcPr>
          <w:p w14:paraId="2816135D">
            <w:pPr>
              <w:pStyle w:val="6"/>
              <w:spacing w:before="78" w:line="168" w:lineRule="auto"/>
              <w:ind w:left="166"/>
            </w:pPr>
            <w:r>
              <w:rPr>
                <w:spacing w:val="-3"/>
              </w:rPr>
              <w:t>6.32</w:t>
            </w:r>
          </w:p>
        </w:tc>
        <w:tc>
          <w:tcPr>
            <w:tcW w:w="691" w:type="dxa"/>
            <w:vAlign w:val="top"/>
          </w:tcPr>
          <w:p w14:paraId="4845A9B2">
            <w:pPr>
              <w:pStyle w:val="6"/>
              <w:spacing w:before="78" w:line="168" w:lineRule="auto"/>
              <w:ind w:left="314"/>
            </w:pPr>
            <w:r>
              <w:t>/</w:t>
            </w:r>
          </w:p>
        </w:tc>
        <w:tc>
          <w:tcPr>
            <w:tcW w:w="691" w:type="dxa"/>
            <w:vAlign w:val="top"/>
          </w:tcPr>
          <w:p w14:paraId="2034FE5C">
            <w:pPr>
              <w:pStyle w:val="6"/>
              <w:spacing w:before="82" w:line="164" w:lineRule="auto"/>
              <w:ind w:left="175"/>
            </w:pPr>
            <w:r>
              <w:rPr>
                <w:b/>
                <w:bCs/>
                <w:spacing w:val="-4"/>
              </w:rPr>
              <w:t>1.37</w:t>
            </w:r>
          </w:p>
        </w:tc>
        <w:tc>
          <w:tcPr>
            <w:tcW w:w="690" w:type="dxa"/>
            <w:vAlign w:val="top"/>
          </w:tcPr>
          <w:p w14:paraId="275E513F">
            <w:pPr>
              <w:pStyle w:val="6"/>
              <w:spacing w:before="78" w:line="168" w:lineRule="auto"/>
              <w:ind w:left="316"/>
            </w:pPr>
            <w:r>
              <w:t>/</w:t>
            </w:r>
          </w:p>
        </w:tc>
        <w:tc>
          <w:tcPr>
            <w:tcW w:w="693" w:type="dxa"/>
            <w:vAlign w:val="top"/>
          </w:tcPr>
          <w:p w14:paraId="7948BEFF">
            <w:pPr>
              <w:pStyle w:val="6"/>
              <w:spacing w:before="78" w:line="168" w:lineRule="auto"/>
              <w:ind w:left="174"/>
            </w:pPr>
            <w:r>
              <w:rPr>
                <w:spacing w:val="-3"/>
              </w:rPr>
              <w:t>6.73</w:t>
            </w:r>
          </w:p>
        </w:tc>
        <w:tc>
          <w:tcPr>
            <w:tcW w:w="690" w:type="dxa"/>
            <w:vAlign w:val="top"/>
          </w:tcPr>
          <w:p w14:paraId="2A74F7BB">
            <w:pPr>
              <w:pStyle w:val="6"/>
              <w:spacing w:before="78" w:line="168" w:lineRule="auto"/>
              <w:ind w:left="319"/>
            </w:pPr>
            <w:r>
              <w:t>/</w:t>
            </w:r>
          </w:p>
        </w:tc>
        <w:tc>
          <w:tcPr>
            <w:tcW w:w="691" w:type="dxa"/>
            <w:vAlign w:val="top"/>
          </w:tcPr>
          <w:p w14:paraId="6E99B4BA">
            <w:pPr>
              <w:pStyle w:val="6"/>
              <w:spacing w:before="82" w:line="164" w:lineRule="auto"/>
              <w:ind w:left="49"/>
            </w:pPr>
            <w:r>
              <w:rPr>
                <w:b/>
                <w:bCs/>
                <w:spacing w:val="-2"/>
              </w:rPr>
              <w:t>160000</w:t>
            </w:r>
          </w:p>
        </w:tc>
        <w:tc>
          <w:tcPr>
            <w:tcW w:w="691" w:type="dxa"/>
            <w:vAlign w:val="top"/>
          </w:tcPr>
          <w:p w14:paraId="6E0A1B22">
            <w:pPr>
              <w:pStyle w:val="6"/>
              <w:spacing w:before="78" w:line="168" w:lineRule="auto"/>
              <w:ind w:left="323"/>
            </w:pPr>
            <w:r>
              <w:t>/</w:t>
            </w:r>
          </w:p>
        </w:tc>
        <w:tc>
          <w:tcPr>
            <w:tcW w:w="704" w:type="dxa"/>
            <w:tcBorders>
              <w:right w:val="single" w:color="000000" w:sz="12" w:space="0"/>
            </w:tcBorders>
            <w:vAlign w:val="top"/>
          </w:tcPr>
          <w:p w14:paraId="27BE1056">
            <w:pPr>
              <w:pStyle w:val="6"/>
              <w:spacing w:before="78" w:line="168" w:lineRule="auto"/>
              <w:ind w:left="177"/>
            </w:pPr>
            <w:r>
              <w:rPr>
                <w:spacing w:val="-2"/>
              </w:rPr>
              <w:t>0.44</w:t>
            </w:r>
          </w:p>
        </w:tc>
      </w:tr>
      <w:tr w14:paraId="122B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849" w:type="dxa"/>
            <w:vMerge w:val="continue"/>
            <w:tcBorders>
              <w:top w:val="nil"/>
              <w:left w:val="single" w:color="000000" w:sz="12" w:space="0"/>
              <w:bottom w:val="nil"/>
            </w:tcBorders>
            <w:vAlign w:val="top"/>
          </w:tcPr>
          <w:p w14:paraId="14478DD1">
            <w:pPr>
              <w:rPr>
                <w:rFonts w:ascii="Arial"/>
                <w:sz w:val="21"/>
              </w:rPr>
            </w:pPr>
          </w:p>
        </w:tc>
        <w:tc>
          <w:tcPr>
            <w:tcW w:w="283" w:type="dxa"/>
            <w:vMerge w:val="continue"/>
            <w:tcBorders>
              <w:top w:val="nil"/>
            </w:tcBorders>
            <w:vAlign w:val="top"/>
          </w:tcPr>
          <w:p w14:paraId="5B20D7D0">
            <w:pPr>
              <w:rPr>
                <w:rFonts w:ascii="Arial"/>
                <w:sz w:val="21"/>
              </w:rPr>
            </w:pPr>
          </w:p>
        </w:tc>
        <w:tc>
          <w:tcPr>
            <w:tcW w:w="1208" w:type="dxa"/>
            <w:vAlign w:val="top"/>
          </w:tcPr>
          <w:p w14:paraId="33975977">
            <w:pPr>
              <w:pStyle w:val="6"/>
              <w:spacing w:before="81" w:line="172" w:lineRule="auto"/>
              <w:ind w:left="165"/>
            </w:pPr>
            <w:r>
              <w:rPr>
                <w:spacing w:val="-1"/>
              </w:rPr>
              <w:t>2019/5/12</w:t>
            </w:r>
          </w:p>
        </w:tc>
        <w:tc>
          <w:tcPr>
            <w:tcW w:w="691" w:type="dxa"/>
            <w:vAlign w:val="top"/>
          </w:tcPr>
          <w:p w14:paraId="19797C35">
            <w:pPr>
              <w:pStyle w:val="6"/>
              <w:spacing w:before="81" w:line="172" w:lineRule="auto"/>
              <w:ind w:left="301"/>
            </w:pPr>
            <w:r>
              <w:t>/</w:t>
            </w:r>
          </w:p>
        </w:tc>
        <w:tc>
          <w:tcPr>
            <w:tcW w:w="691" w:type="dxa"/>
            <w:vAlign w:val="top"/>
          </w:tcPr>
          <w:p w14:paraId="44379B22">
            <w:pPr>
              <w:pStyle w:val="6"/>
              <w:spacing w:before="81" w:line="172" w:lineRule="auto"/>
              <w:ind w:left="173"/>
            </w:pPr>
            <w:r>
              <w:rPr>
                <w:spacing w:val="-6"/>
              </w:rPr>
              <w:t>19.8</w:t>
            </w:r>
          </w:p>
        </w:tc>
        <w:tc>
          <w:tcPr>
            <w:tcW w:w="689" w:type="dxa"/>
            <w:vAlign w:val="top"/>
          </w:tcPr>
          <w:p w14:paraId="56828FAF">
            <w:pPr>
              <w:pStyle w:val="6"/>
              <w:spacing w:before="81" w:line="172" w:lineRule="auto"/>
              <w:ind w:left="302"/>
            </w:pPr>
            <w:r>
              <w:t>/</w:t>
            </w:r>
          </w:p>
        </w:tc>
        <w:tc>
          <w:tcPr>
            <w:tcW w:w="691" w:type="dxa"/>
            <w:vAlign w:val="top"/>
          </w:tcPr>
          <w:p w14:paraId="1ABF4E33">
            <w:pPr>
              <w:pStyle w:val="6"/>
              <w:spacing w:before="81" w:line="172" w:lineRule="auto"/>
              <w:ind w:left="240"/>
            </w:pPr>
            <w:r>
              <w:rPr>
                <w:spacing w:val="-3"/>
              </w:rPr>
              <w:t>56</w:t>
            </w:r>
          </w:p>
        </w:tc>
        <w:tc>
          <w:tcPr>
            <w:tcW w:w="691" w:type="dxa"/>
            <w:vAlign w:val="top"/>
          </w:tcPr>
          <w:p w14:paraId="105CE970">
            <w:pPr>
              <w:pStyle w:val="6"/>
              <w:spacing w:before="81" w:line="172" w:lineRule="auto"/>
              <w:ind w:left="307"/>
            </w:pPr>
            <w:r>
              <w:t>/</w:t>
            </w:r>
          </w:p>
        </w:tc>
        <w:tc>
          <w:tcPr>
            <w:tcW w:w="692" w:type="dxa"/>
            <w:vAlign w:val="top"/>
          </w:tcPr>
          <w:p w14:paraId="0E8B68C0">
            <w:pPr>
              <w:pStyle w:val="6"/>
              <w:spacing w:before="81" w:line="172" w:lineRule="auto"/>
              <w:ind w:left="236"/>
            </w:pPr>
            <w:r>
              <w:rPr>
                <w:spacing w:val="-1"/>
              </w:rPr>
              <w:t>48</w:t>
            </w:r>
          </w:p>
        </w:tc>
        <w:tc>
          <w:tcPr>
            <w:tcW w:w="691" w:type="dxa"/>
            <w:vAlign w:val="top"/>
          </w:tcPr>
          <w:p w14:paraId="5B71B280">
            <w:pPr>
              <w:pStyle w:val="6"/>
              <w:spacing w:before="81" w:line="172" w:lineRule="auto"/>
              <w:ind w:left="310"/>
            </w:pPr>
            <w:r>
              <w:t>/</w:t>
            </w:r>
          </w:p>
        </w:tc>
        <w:tc>
          <w:tcPr>
            <w:tcW w:w="689" w:type="dxa"/>
            <w:vAlign w:val="top"/>
          </w:tcPr>
          <w:p w14:paraId="7CB10A32">
            <w:pPr>
              <w:pStyle w:val="6"/>
              <w:spacing w:before="81" w:line="172" w:lineRule="auto"/>
              <w:ind w:left="166"/>
            </w:pPr>
            <w:r>
              <w:rPr>
                <w:spacing w:val="-3"/>
              </w:rPr>
              <w:t>6.04</w:t>
            </w:r>
          </w:p>
        </w:tc>
        <w:tc>
          <w:tcPr>
            <w:tcW w:w="691" w:type="dxa"/>
            <w:vAlign w:val="top"/>
          </w:tcPr>
          <w:p w14:paraId="7BFD8D63">
            <w:pPr>
              <w:pStyle w:val="6"/>
              <w:spacing w:before="81" w:line="172" w:lineRule="auto"/>
              <w:ind w:left="314"/>
            </w:pPr>
            <w:r>
              <w:t>/</w:t>
            </w:r>
          </w:p>
        </w:tc>
        <w:tc>
          <w:tcPr>
            <w:tcW w:w="691" w:type="dxa"/>
            <w:vAlign w:val="top"/>
          </w:tcPr>
          <w:p w14:paraId="57C666B0">
            <w:pPr>
              <w:pStyle w:val="6"/>
              <w:spacing w:before="85" w:line="168" w:lineRule="auto"/>
              <w:ind w:left="175"/>
            </w:pPr>
            <w:r>
              <w:rPr>
                <w:b/>
                <w:bCs/>
                <w:spacing w:val="-4"/>
              </w:rPr>
              <w:t>1.44</w:t>
            </w:r>
          </w:p>
        </w:tc>
        <w:tc>
          <w:tcPr>
            <w:tcW w:w="690" w:type="dxa"/>
            <w:vAlign w:val="top"/>
          </w:tcPr>
          <w:p w14:paraId="4395FCD3">
            <w:pPr>
              <w:pStyle w:val="6"/>
              <w:spacing w:before="81" w:line="172" w:lineRule="auto"/>
              <w:ind w:left="316"/>
            </w:pPr>
            <w:r>
              <w:t>/</w:t>
            </w:r>
          </w:p>
        </w:tc>
        <w:tc>
          <w:tcPr>
            <w:tcW w:w="693" w:type="dxa"/>
            <w:vAlign w:val="top"/>
          </w:tcPr>
          <w:p w14:paraId="3A56FCE5">
            <w:pPr>
              <w:pStyle w:val="6"/>
              <w:spacing w:before="81" w:line="172" w:lineRule="auto"/>
              <w:ind w:left="174"/>
            </w:pPr>
            <w:r>
              <w:rPr>
                <w:spacing w:val="-3"/>
              </w:rPr>
              <w:t>6.75</w:t>
            </w:r>
          </w:p>
        </w:tc>
        <w:tc>
          <w:tcPr>
            <w:tcW w:w="690" w:type="dxa"/>
            <w:vAlign w:val="top"/>
          </w:tcPr>
          <w:p w14:paraId="15A18ED3">
            <w:pPr>
              <w:pStyle w:val="6"/>
              <w:spacing w:before="81" w:line="172" w:lineRule="auto"/>
              <w:ind w:left="319"/>
            </w:pPr>
            <w:r>
              <w:t>/</w:t>
            </w:r>
          </w:p>
        </w:tc>
        <w:tc>
          <w:tcPr>
            <w:tcW w:w="691" w:type="dxa"/>
            <w:vAlign w:val="top"/>
          </w:tcPr>
          <w:p w14:paraId="5822F8FE">
            <w:pPr>
              <w:pStyle w:val="6"/>
              <w:spacing w:before="85" w:line="168" w:lineRule="auto"/>
              <w:ind w:left="49"/>
            </w:pPr>
            <w:r>
              <w:rPr>
                <w:b/>
                <w:bCs/>
                <w:spacing w:val="-2"/>
              </w:rPr>
              <w:t>140000</w:t>
            </w:r>
          </w:p>
        </w:tc>
        <w:tc>
          <w:tcPr>
            <w:tcW w:w="691" w:type="dxa"/>
            <w:vAlign w:val="top"/>
          </w:tcPr>
          <w:p w14:paraId="475E0863">
            <w:pPr>
              <w:pStyle w:val="6"/>
              <w:spacing w:before="81" w:line="172" w:lineRule="auto"/>
              <w:ind w:left="323"/>
            </w:pPr>
            <w:r>
              <w:t>/</w:t>
            </w:r>
          </w:p>
        </w:tc>
        <w:tc>
          <w:tcPr>
            <w:tcW w:w="704" w:type="dxa"/>
            <w:tcBorders>
              <w:right w:val="single" w:color="000000" w:sz="12" w:space="0"/>
            </w:tcBorders>
            <w:vAlign w:val="top"/>
          </w:tcPr>
          <w:p w14:paraId="605665D1">
            <w:pPr>
              <w:pStyle w:val="6"/>
              <w:spacing w:before="81" w:line="172" w:lineRule="auto"/>
              <w:ind w:left="177"/>
            </w:pPr>
            <w:r>
              <w:rPr>
                <w:spacing w:val="-2"/>
              </w:rPr>
              <w:t>0.47</w:t>
            </w:r>
          </w:p>
        </w:tc>
      </w:tr>
      <w:tr w14:paraId="15D31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849" w:type="dxa"/>
            <w:vMerge w:val="continue"/>
            <w:tcBorders>
              <w:top w:val="nil"/>
              <w:left w:val="single" w:color="000000" w:sz="12" w:space="0"/>
              <w:bottom w:val="nil"/>
            </w:tcBorders>
            <w:vAlign w:val="top"/>
          </w:tcPr>
          <w:p w14:paraId="5E9C481F">
            <w:pPr>
              <w:rPr>
                <w:rFonts w:ascii="Arial"/>
                <w:sz w:val="21"/>
              </w:rPr>
            </w:pPr>
          </w:p>
        </w:tc>
        <w:tc>
          <w:tcPr>
            <w:tcW w:w="283" w:type="dxa"/>
            <w:vMerge w:val="restart"/>
            <w:tcBorders>
              <w:bottom w:val="nil"/>
            </w:tcBorders>
            <w:vAlign w:val="top"/>
          </w:tcPr>
          <w:p w14:paraId="13F9B01C">
            <w:pPr>
              <w:pStyle w:val="6"/>
              <w:spacing w:before="79" w:line="223" w:lineRule="auto"/>
              <w:ind w:left="79"/>
            </w:pPr>
            <w:r>
              <w:t>3</w:t>
            </w:r>
          </w:p>
          <w:p w14:paraId="4674F8E6">
            <w:pPr>
              <w:spacing w:line="219" w:lineRule="auto"/>
              <w:ind w:left="26"/>
              <w:rPr>
                <w:rFonts w:ascii="宋体" w:hAnsi="宋体" w:eastAsia="宋体" w:cs="宋体"/>
                <w:sz w:val="21"/>
                <w:szCs w:val="21"/>
              </w:rPr>
            </w:pPr>
            <w:r>
              <w:rPr>
                <w:rFonts w:ascii="宋体" w:hAnsi="宋体" w:eastAsia="宋体" w:cs="宋体"/>
                <w:sz w:val="21"/>
                <w:szCs w:val="21"/>
              </w:rPr>
              <w:t>季</w:t>
            </w:r>
          </w:p>
          <w:p w14:paraId="133B2187">
            <w:pPr>
              <w:spacing w:before="22" w:line="209" w:lineRule="auto"/>
              <w:ind w:left="25"/>
              <w:rPr>
                <w:rFonts w:ascii="宋体" w:hAnsi="宋体" w:eastAsia="宋体" w:cs="宋体"/>
                <w:sz w:val="21"/>
                <w:szCs w:val="21"/>
              </w:rPr>
            </w:pPr>
            <w:r>
              <w:rPr>
                <w:rFonts w:ascii="宋体" w:hAnsi="宋体" w:eastAsia="宋体" w:cs="宋体"/>
                <w:sz w:val="21"/>
                <w:szCs w:val="21"/>
              </w:rPr>
              <w:t>度</w:t>
            </w:r>
          </w:p>
        </w:tc>
        <w:tc>
          <w:tcPr>
            <w:tcW w:w="1208" w:type="dxa"/>
            <w:vAlign w:val="top"/>
          </w:tcPr>
          <w:p w14:paraId="025EFCD6">
            <w:pPr>
              <w:pStyle w:val="6"/>
              <w:spacing w:before="78" w:line="168" w:lineRule="auto"/>
              <w:ind w:left="165"/>
            </w:pPr>
            <w:r>
              <w:rPr>
                <w:spacing w:val="-1"/>
              </w:rPr>
              <w:t>2019/8/06</w:t>
            </w:r>
          </w:p>
        </w:tc>
        <w:tc>
          <w:tcPr>
            <w:tcW w:w="691" w:type="dxa"/>
            <w:vAlign w:val="top"/>
          </w:tcPr>
          <w:p w14:paraId="0659ED34">
            <w:pPr>
              <w:pStyle w:val="6"/>
              <w:spacing w:before="78" w:line="168" w:lineRule="auto"/>
              <w:ind w:left="301"/>
            </w:pPr>
            <w:r>
              <w:t>/</w:t>
            </w:r>
          </w:p>
        </w:tc>
        <w:tc>
          <w:tcPr>
            <w:tcW w:w="691" w:type="dxa"/>
            <w:vAlign w:val="top"/>
          </w:tcPr>
          <w:p w14:paraId="1FAE6B3B">
            <w:pPr>
              <w:pStyle w:val="6"/>
              <w:spacing w:before="83" w:line="163" w:lineRule="auto"/>
              <w:ind w:left="156"/>
            </w:pPr>
            <w:r>
              <w:rPr>
                <w:b/>
                <w:bCs/>
                <w:spacing w:val="-2"/>
              </w:rPr>
              <w:t>66.4</w:t>
            </w:r>
          </w:p>
        </w:tc>
        <w:tc>
          <w:tcPr>
            <w:tcW w:w="689" w:type="dxa"/>
            <w:vAlign w:val="top"/>
          </w:tcPr>
          <w:p w14:paraId="1F0F9ABA">
            <w:pPr>
              <w:pStyle w:val="6"/>
              <w:spacing w:before="78" w:line="168" w:lineRule="auto"/>
              <w:ind w:left="302"/>
            </w:pPr>
            <w:r>
              <w:t>/</w:t>
            </w:r>
          </w:p>
        </w:tc>
        <w:tc>
          <w:tcPr>
            <w:tcW w:w="691" w:type="dxa"/>
            <w:vAlign w:val="top"/>
          </w:tcPr>
          <w:p w14:paraId="19F979B3">
            <w:pPr>
              <w:pStyle w:val="6"/>
              <w:spacing w:before="83" w:line="163" w:lineRule="auto"/>
              <w:ind w:left="192"/>
            </w:pPr>
            <w:r>
              <w:rPr>
                <w:b/>
                <w:bCs/>
                <w:spacing w:val="-4"/>
              </w:rPr>
              <w:t>163</w:t>
            </w:r>
          </w:p>
        </w:tc>
        <w:tc>
          <w:tcPr>
            <w:tcW w:w="691" w:type="dxa"/>
            <w:vAlign w:val="top"/>
          </w:tcPr>
          <w:p w14:paraId="2FBA7D34">
            <w:pPr>
              <w:pStyle w:val="6"/>
              <w:spacing w:before="78" w:line="168" w:lineRule="auto"/>
              <w:ind w:left="307"/>
            </w:pPr>
            <w:r>
              <w:t>/</w:t>
            </w:r>
          </w:p>
        </w:tc>
        <w:tc>
          <w:tcPr>
            <w:tcW w:w="692" w:type="dxa"/>
            <w:vAlign w:val="top"/>
          </w:tcPr>
          <w:p w14:paraId="1465E58E">
            <w:pPr>
              <w:pStyle w:val="6"/>
              <w:spacing w:before="83" w:line="163" w:lineRule="auto"/>
              <w:ind w:left="186"/>
            </w:pPr>
            <w:r>
              <w:rPr>
                <w:b/>
                <w:bCs/>
                <w:spacing w:val="-2"/>
              </w:rPr>
              <w:t>260</w:t>
            </w:r>
          </w:p>
        </w:tc>
        <w:tc>
          <w:tcPr>
            <w:tcW w:w="691" w:type="dxa"/>
            <w:vAlign w:val="top"/>
          </w:tcPr>
          <w:p w14:paraId="01F7399F">
            <w:pPr>
              <w:pStyle w:val="6"/>
              <w:spacing w:before="78" w:line="168" w:lineRule="auto"/>
              <w:ind w:left="310"/>
            </w:pPr>
            <w:r>
              <w:t>/</w:t>
            </w:r>
          </w:p>
        </w:tc>
        <w:tc>
          <w:tcPr>
            <w:tcW w:w="689" w:type="dxa"/>
            <w:vAlign w:val="top"/>
          </w:tcPr>
          <w:p w14:paraId="288128D6">
            <w:pPr>
              <w:pStyle w:val="6"/>
              <w:spacing w:before="78" w:line="168" w:lineRule="auto"/>
              <w:ind w:left="165"/>
            </w:pPr>
            <w:r>
              <w:rPr>
                <w:spacing w:val="-2"/>
              </w:rPr>
              <w:t>9.15</w:t>
            </w:r>
          </w:p>
        </w:tc>
        <w:tc>
          <w:tcPr>
            <w:tcW w:w="691" w:type="dxa"/>
            <w:vAlign w:val="top"/>
          </w:tcPr>
          <w:p w14:paraId="25168B35">
            <w:pPr>
              <w:pStyle w:val="6"/>
              <w:spacing w:before="78" w:line="168" w:lineRule="auto"/>
              <w:ind w:left="314"/>
            </w:pPr>
            <w:r>
              <w:t>/</w:t>
            </w:r>
          </w:p>
        </w:tc>
        <w:tc>
          <w:tcPr>
            <w:tcW w:w="691" w:type="dxa"/>
            <w:vAlign w:val="top"/>
          </w:tcPr>
          <w:p w14:paraId="7A231AAA">
            <w:pPr>
              <w:pStyle w:val="6"/>
              <w:spacing w:before="83" w:line="163" w:lineRule="auto"/>
              <w:ind w:left="169"/>
            </w:pPr>
            <w:r>
              <w:rPr>
                <w:b/>
                <w:bCs/>
                <w:spacing w:val="-2"/>
              </w:rPr>
              <w:t>0.44</w:t>
            </w:r>
          </w:p>
        </w:tc>
        <w:tc>
          <w:tcPr>
            <w:tcW w:w="690" w:type="dxa"/>
            <w:vAlign w:val="top"/>
          </w:tcPr>
          <w:p w14:paraId="3D10F9CA">
            <w:pPr>
              <w:pStyle w:val="6"/>
              <w:spacing w:before="78" w:line="168" w:lineRule="auto"/>
              <w:ind w:left="316"/>
            </w:pPr>
            <w:r>
              <w:t>/</w:t>
            </w:r>
          </w:p>
        </w:tc>
        <w:tc>
          <w:tcPr>
            <w:tcW w:w="693" w:type="dxa"/>
            <w:vAlign w:val="top"/>
          </w:tcPr>
          <w:p w14:paraId="29C4DE55">
            <w:pPr>
              <w:pStyle w:val="6"/>
              <w:spacing w:before="78" w:line="168" w:lineRule="auto"/>
              <w:ind w:left="190"/>
            </w:pPr>
            <w:r>
              <w:rPr>
                <w:spacing w:val="-6"/>
              </w:rPr>
              <w:t>1.72</w:t>
            </w:r>
          </w:p>
        </w:tc>
        <w:tc>
          <w:tcPr>
            <w:tcW w:w="690" w:type="dxa"/>
            <w:vAlign w:val="top"/>
          </w:tcPr>
          <w:p w14:paraId="12B57C63">
            <w:pPr>
              <w:pStyle w:val="6"/>
              <w:spacing w:before="78" w:line="168" w:lineRule="auto"/>
              <w:ind w:left="319"/>
            </w:pPr>
            <w:r>
              <w:t>/</w:t>
            </w:r>
          </w:p>
        </w:tc>
        <w:tc>
          <w:tcPr>
            <w:tcW w:w="691" w:type="dxa"/>
            <w:vAlign w:val="top"/>
          </w:tcPr>
          <w:p w14:paraId="26ECC180">
            <w:pPr>
              <w:pStyle w:val="6"/>
              <w:spacing w:before="83" w:line="163" w:lineRule="auto"/>
              <w:ind w:left="40"/>
            </w:pPr>
            <w:r>
              <w:rPr>
                <w:b/>
                <w:bCs/>
                <w:spacing w:val="-1"/>
              </w:rPr>
              <w:t>260000</w:t>
            </w:r>
          </w:p>
        </w:tc>
        <w:tc>
          <w:tcPr>
            <w:tcW w:w="691" w:type="dxa"/>
            <w:vAlign w:val="top"/>
          </w:tcPr>
          <w:p w14:paraId="3D88ABCF">
            <w:pPr>
              <w:pStyle w:val="6"/>
              <w:spacing w:before="78" w:line="168" w:lineRule="auto"/>
              <w:ind w:left="323"/>
            </w:pPr>
            <w:r>
              <w:t>/</w:t>
            </w:r>
          </w:p>
        </w:tc>
        <w:tc>
          <w:tcPr>
            <w:tcW w:w="704" w:type="dxa"/>
            <w:tcBorders>
              <w:right w:val="single" w:color="000000" w:sz="12" w:space="0"/>
            </w:tcBorders>
            <w:vAlign w:val="top"/>
          </w:tcPr>
          <w:p w14:paraId="38EF3036">
            <w:pPr>
              <w:pStyle w:val="6"/>
              <w:spacing w:before="78" w:line="168" w:lineRule="auto"/>
              <w:ind w:left="124"/>
            </w:pPr>
            <w:r>
              <w:rPr>
                <w:spacing w:val="-2"/>
              </w:rPr>
              <w:t>0.123</w:t>
            </w:r>
          </w:p>
        </w:tc>
      </w:tr>
      <w:tr w14:paraId="6A027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849" w:type="dxa"/>
            <w:vMerge w:val="continue"/>
            <w:tcBorders>
              <w:top w:val="nil"/>
              <w:left w:val="single" w:color="000000" w:sz="12" w:space="0"/>
              <w:bottom w:val="nil"/>
            </w:tcBorders>
            <w:vAlign w:val="top"/>
          </w:tcPr>
          <w:p w14:paraId="194A4F94">
            <w:pPr>
              <w:rPr>
                <w:rFonts w:ascii="Arial"/>
                <w:sz w:val="21"/>
              </w:rPr>
            </w:pPr>
          </w:p>
        </w:tc>
        <w:tc>
          <w:tcPr>
            <w:tcW w:w="283" w:type="dxa"/>
            <w:vMerge w:val="continue"/>
            <w:tcBorders>
              <w:top w:val="nil"/>
              <w:bottom w:val="nil"/>
            </w:tcBorders>
            <w:vAlign w:val="top"/>
          </w:tcPr>
          <w:p w14:paraId="740529FC">
            <w:pPr>
              <w:rPr>
                <w:rFonts w:ascii="Arial"/>
                <w:sz w:val="21"/>
              </w:rPr>
            </w:pPr>
          </w:p>
        </w:tc>
        <w:tc>
          <w:tcPr>
            <w:tcW w:w="1208" w:type="dxa"/>
            <w:vAlign w:val="top"/>
          </w:tcPr>
          <w:p w14:paraId="2D456537">
            <w:pPr>
              <w:pStyle w:val="6"/>
              <w:spacing w:before="79" w:line="165" w:lineRule="auto"/>
              <w:ind w:left="165"/>
            </w:pPr>
            <w:r>
              <w:rPr>
                <w:spacing w:val="-1"/>
              </w:rPr>
              <w:t>2019/8/07</w:t>
            </w:r>
          </w:p>
        </w:tc>
        <w:tc>
          <w:tcPr>
            <w:tcW w:w="691" w:type="dxa"/>
            <w:vAlign w:val="top"/>
          </w:tcPr>
          <w:p w14:paraId="3C3BD863">
            <w:pPr>
              <w:pStyle w:val="6"/>
              <w:spacing w:before="79" w:line="165" w:lineRule="auto"/>
              <w:ind w:left="301"/>
            </w:pPr>
            <w:r>
              <w:t>/</w:t>
            </w:r>
          </w:p>
        </w:tc>
        <w:tc>
          <w:tcPr>
            <w:tcW w:w="691" w:type="dxa"/>
            <w:vAlign w:val="top"/>
          </w:tcPr>
          <w:p w14:paraId="18EB740E">
            <w:pPr>
              <w:pStyle w:val="6"/>
              <w:spacing w:before="84" w:line="161" w:lineRule="auto"/>
              <w:ind w:left="156"/>
            </w:pPr>
            <w:r>
              <w:rPr>
                <w:b/>
                <w:bCs/>
                <w:spacing w:val="-2"/>
              </w:rPr>
              <w:t>63.6</w:t>
            </w:r>
          </w:p>
        </w:tc>
        <w:tc>
          <w:tcPr>
            <w:tcW w:w="689" w:type="dxa"/>
            <w:vAlign w:val="top"/>
          </w:tcPr>
          <w:p w14:paraId="7ACF9BF5">
            <w:pPr>
              <w:pStyle w:val="6"/>
              <w:spacing w:before="79" w:line="165" w:lineRule="auto"/>
              <w:ind w:left="302"/>
            </w:pPr>
            <w:r>
              <w:t>/</w:t>
            </w:r>
          </w:p>
        </w:tc>
        <w:tc>
          <w:tcPr>
            <w:tcW w:w="691" w:type="dxa"/>
            <w:vAlign w:val="top"/>
          </w:tcPr>
          <w:p w14:paraId="6D237F47">
            <w:pPr>
              <w:pStyle w:val="6"/>
              <w:spacing w:before="84" w:line="161" w:lineRule="auto"/>
              <w:ind w:left="192"/>
            </w:pPr>
            <w:r>
              <w:rPr>
                <w:b/>
                <w:bCs/>
                <w:spacing w:val="-4"/>
              </w:rPr>
              <w:t>155</w:t>
            </w:r>
          </w:p>
        </w:tc>
        <w:tc>
          <w:tcPr>
            <w:tcW w:w="691" w:type="dxa"/>
            <w:vAlign w:val="top"/>
          </w:tcPr>
          <w:p w14:paraId="07860EA6">
            <w:pPr>
              <w:pStyle w:val="6"/>
              <w:spacing w:before="79" w:line="165" w:lineRule="auto"/>
              <w:ind w:left="307"/>
            </w:pPr>
            <w:r>
              <w:t>/</w:t>
            </w:r>
          </w:p>
        </w:tc>
        <w:tc>
          <w:tcPr>
            <w:tcW w:w="692" w:type="dxa"/>
            <w:vAlign w:val="top"/>
          </w:tcPr>
          <w:p w14:paraId="218EC005">
            <w:pPr>
              <w:pStyle w:val="6"/>
              <w:spacing w:before="84" w:line="161" w:lineRule="auto"/>
              <w:ind w:left="186"/>
            </w:pPr>
            <w:r>
              <w:rPr>
                <w:b/>
                <w:bCs/>
                <w:spacing w:val="-2"/>
              </w:rPr>
              <w:t>228</w:t>
            </w:r>
          </w:p>
        </w:tc>
        <w:tc>
          <w:tcPr>
            <w:tcW w:w="691" w:type="dxa"/>
            <w:vAlign w:val="top"/>
          </w:tcPr>
          <w:p w14:paraId="56F23E5F">
            <w:pPr>
              <w:pStyle w:val="6"/>
              <w:spacing w:before="79" w:line="165" w:lineRule="auto"/>
              <w:ind w:left="310"/>
            </w:pPr>
            <w:r>
              <w:t>/</w:t>
            </w:r>
          </w:p>
        </w:tc>
        <w:tc>
          <w:tcPr>
            <w:tcW w:w="689" w:type="dxa"/>
            <w:vAlign w:val="top"/>
          </w:tcPr>
          <w:p w14:paraId="39ADFA55">
            <w:pPr>
              <w:pStyle w:val="6"/>
              <w:spacing w:before="79" w:line="165" w:lineRule="auto"/>
              <w:ind w:left="165"/>
            </w:pPr>
            <w:r>
              <w:rPr>
                <w:spacing w:val="-2"/>
              </w:rPr>
              <w:t>9.00</w:t>
            </w:r>
          </w:p>
        </w:tc>
        <w:tc>
          <w:tcPr>
            <w:tcW w:w="691" w:type="dxa"/>
            <w:vAlign w:val="top"/>
          </w:tcPr>
          <w:p w14:paraId="64F01AF9">
            <w:pPr>
              <w:pStyle w:val="6"/>
              <w:spacing w:before="79" w:line="165" w:lineRule="auto"/>
              <w:ind w:left="314"/>
            </w:pPr>
            <w:r>
              <w:t>/</w:t>
            </w:r>
          </w:p>
        </w:tc>
        <w:tc>
          <w:tcPr>
            <w:tcW w:w="691" w:type="dxa"/>
            <w:vAlign w:val="top"/>
          </w:tcPr>
          <w:p w14:paraId="5D2FA3BD">
            <w:pPr>
              <w:pStyle w:val="6"/>
              <w:spacing w:before="84" w:line="161" w:lineRule="auto"/>
              <w:ind w:left="169"/>
            </w:pPr>
            <w:r>
              <w:rPr>
                <w:b/>
                <w:bCs/>
                <w:spacing w:val="-2"/>
              </w:rPr>
              <w:t>0.43</w:t>
            </w:r>
          </w:p>
        </w:tc>
        <w:tc>
          <w:tcPr>
            <w:tcW w:w="690" w:type="dxa"/>
            <w:vAlign w:val="top"/>
          </w:tcPr>
          <w:p w14:paraId="0EE92B02">
            <w:pPr>
              <w:pStyle w:val="6"/>
              <w:spacing w:before="79" w:line="165" w:lineRule="auto"/>
              <w:ind w:left="316"/>
            </w:pPr>
            <w:r>
              <w:t>/</w:t>
            </w:r>
          </w:p>
        </w:tc>
        <w:tc>
          <w:tcPr>
            <w:tcW w:w="693" w:type="dxa"/>
            <w:vAlign w:val="top"/>
          </w:tcPr>
          <w:p w14:paraId="54BBDC26">
            <w:pPr>
              <w:pStyle w:val="6"/>
              <w:spacing w:before="79" w:line="165" w:lineRule="auto"/>
              <w:ind w:left="190"/>
            </w:pPr>
            <w:r>
              <w:rPr>
                <w:spacing w:val="-6"/>
              </w:rPr>
              <w:t>1.65</w:t>
            </w:r>
          </w:p>
        </w:tc>
        <w:tc>
          <w:tcPr>
            <w:tcW w:w="690" w:type="dxa"/>
            <w:vAlign w:val="top"/>
          </w:tcPr>
          <w:p w14:paraId="47B9BBD8">
            <w:pPr>
              <w:pStyle w:val="6"/>
              <w:spacing w:before="79" w:line="165" w:lineRule="auto"/>
              <w:ind w:left="319"/>
            </w:pPr>
            <w:r>
              <w:t>/</w:t>
            </w:r>
          </w:p>
        </w:tc>
        <w:tc>
          <w:tcPr>
            <w:tcW w:w="691" w:type="dxa"/>
            <w:vAlign w:val="top"/>
          </w:tcPr>
          <w:p w14:paraId="4B85722A">
            <w:pPr>
              <w:pStyle w:val="6"/>
              <w:spacing w:before="84" w:line="161" w:lineRule="auto"/>
              <w:ind w:left="40"/>
            </w:pPr>
            <w:r>
              <w:rPr>
                <w:b/>
                <w:bCs/>
                <w:spacing w:val="-1"/>
              </w:rPr>
              <w:t>240000</w:t>
            </w:r>
          </w:p>
        </w:tc>
        <w:tc>
          <w:tcPr>
            <w:tcW w:w="691" w:type="dxa"/>
            <w:vAlign w:val="top"/>
          </w:tcPr>
          <w:p w14:paraId="57E4068C">
            <w:pPr>
              <w:pStyle w:val="6"/>
              <w:spacing w:before="79" w:line="165" w:lineRule="auto"/>
              <w:ind w:left="323"/>
            </w:pPr>
            <w:r>
              <w:t>/</w:t>
            </w:r>
          </w:p>
        </w:tc>
        <w:tc>
          <w:tcPr>
            <w:tcW w:w="704" w:type="dxa"/>
            <w:tcBorders>
              <w:right w:val="single" w:color="000000" w:sz="12" w:space="0"/>
            </w:tcBorders>
            <w:vAlign w:val="top"/>
          </w:tcPr>
          <w:p w14:paraId="0E42AAF1">
            <w:pPr>
              <w:pStyle w:val="6"/>
              <w:spacing w:before="79" w:line="165" w:lineRule="auto"/>
              <w:ind w:left="124"/>
            </w:pPr>
            <w:r>
              <w:rPr>
                <w:spacing w:val="-2"/>
              </w:rPr>
              <w:t>0.101</w:t>
            </w:r>
          </w:p>
        </w:tc>
      </w:tr>
      <w:tr w14:paraId="0EE54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849" w:type="dxa"/>
            <w:vMerge w:val="continue"/>
            <w:tcBorders>
              <w:top w:val="nil"/>
              <w:left w:val="single" w:color="000000" w:sz="12" w:space="0"/>
              <w:bottom w:val="single" w:color="000000" w:sz="12" w:space="0"/>
            </w:tcBorders>
            <w:vAlign w:val="top"/>
          </w:tcPr>
          <w:p w14:paraId="7DEDB544">
            <w:pPr>
              <w:rPr>
                <w:rFonts w:ascii="Arial"/>
                <w:sz w:val="21"/>
              </w:rPr>
            </w:pPr>
          </w:p>
        </w:tc>
        <w:tc>
          <w:tcPr>
            <w:tcW w:w="283" w:type="dxa"/>
            <w:vMerge w:val="continue"/>
            <w:tcBorders>
              <w:top w:val="nil"/>
              <w:bottom w:val="single" w:color="000000" w:sz="12" w:space="0"/>
            </w:tcBorders>
            <w:vAlign w:val="top"/>
          </w:tcPr>
          <w:p w14:paraId="69030D01">
            <w:pPr>
              <w:rPr>
                <w:rFonts w:ascii="Arial"/>
                <w:sz w:val="21"/>
              </w:rPr>
            </w:pPr>
          </w:p>
        </w:tc>
        <w:tc>
          <w:tcPr>
            <w:tcW w:w="1208" w:type="dxa"/>
            <w:tcBorders>
              <w:bottom w:val="single" w:color="000000" w:sz="12" w:space="0"/>
            </w:tcBorders>
            <w:vAlign w:val="top"/>
          </w:tcPr>
          <w:p w14:paraId="23471826">
            <w:pPr>
              <w:pStyle w:val="6"/>
              <w:spacing w:before="85" w:line="192" w:lineRule="auto"/>
              <w:ind w:left="165"/>
            </w:pPr>
            <w:r>
              <w:rPr>
                <w:spacing w:val="-1"/>
              </w:rPr>
              <w:t>2019/8/08</w:t>
            </w:r>
          </w:p>
        </w:tc>
        <w:tc>
          <w:tcPr>
            <w:tcW w:w="691" w:type="dxa"/>
            <w:tcBorders>
              <w:bottom w:val="single" w:color="000000" w:sz="12" w:space="0"/>
            </w:tcBorders>
            <w:vAlign w:val="top"/>
          </w:tcPr>
          <w:p w14:paraId="75280E64">
            <w:pPr>
              <w:pStyle w:val="6"/>
              <w:spacing w:before="85" w:line="192" w:lineRule="auto"/>
              <w:ind w:left="301"/>
            </w:pPr>
            <w:r>
              <w:t>/</w:t>
            </w:r>
          </w:p>
        </w:tc>
        <w:tc>
          <w:tcPr>
            <w:tcW w:w="691" w:type="dxa"/>
            <w:tcBorders>
              <w:bottom w:val="single" w:color="000000" w:sz="12" w:space="0"/>
            </w:tcBorders>
            <w:vAlign w:val="top"/>
          </w:tcPr>
          <w:p w14:paraId="783250BB">
            <w:pPr>
              <w:pStyle w:val="6"/>
              <w:spacing w:before="90" w:line="187" w:lineRule="auto"/>
              <w:ind w:left="156"/>
            </w:pPr>
            <w:r>
              <w:rPr>
                <w:b/>
                <w:bCs/>
                <w:spacing w:val="-2"/>
              </w:rPr>
              <w:t>69.2</w:t>
            </w:r>
          </w:p>
        </w:tc>
        <w:tc>
          <w:tcPr>
            <w:tcW w:w="689" w:type="dxa"/>
            <w:tcBorders>
              <w:bottom w:val="single" w:color="000000" w:sz="12" w:space="0"/>
            </w:tcBorders>
            <w:vAlign w:val="top"/>
          </w:tcPr>
          <w:p w14:paraId="55638BC1">
            <w:pPr>
              <w:pStyle w:val="6"/>
              <w:spacing w:before="85" w:line="192" w:lineRule="auto"/>
              <w:ind w:left="302"/>
            </w:pPr>
            <w:r>
              <w:t>/</w:t>
            </w:r>
          </w:p>
        </w:tc>
        <w:tc>
          <w:tcPr>
            <w:tcW w:w="691" w:type="dxa"/>
            <w:tcBorders>
              <w:bottom w:val="single" w:color="000000" w:sz="12" w:space="0"/>
            </w:tcBorders>
            <w:vAlign w:val="top"/>
          </w:tcPr>
          <w:p w14:paraId="4DD4D648">
            <w:pPr>
              <w:pStyle w:val="6"/>
              <w:spacing w:before="90" w:line="187" w:lineRule="auto"/>
              <w:ind w:left="192"/>
            </w:pPr>
            <w:r>
              <w:rPr>
                <w:b/>
                <w:bCs/>
                <w:spacing w:val="-4"/>
              </w:rPr>
              <w:t>170</w:t>
            </w:r>
          </w:p>
        </w:tc>
        <w:tc>
          <w:tcPr>
            <w:tcW w:w="691" w:type="dxa"/>
            <w:tcBorders>
              <w:bottom w:val="single" w:color="000000" w:sz="12" w:space="0"/>
            </w:tcBorders>
            <w:vAlign w:val="top"/>
          </w:tcPr>
          <w:p w14:paraId="4CD8E06D">
            <w:pPr>
              <w:pStyle w:val="6"/>
              <w:spacing w:before="85" w:line="192" w:lineRule="auto"/>
              <w:ind w:left="307"/>
            </w:pPr>
            <w:r>
              <w:t>/</w:t>
            </w:r>
          </w:p>
        </w:tc>
        <w:tc>
          <w:tcPr>
            <w:tcW w:w="692" w:type="dxa"/>
            <w:tcBorders>
              <w:bottom w:val="single" w:color="000000" w:sz="12" w:space="0"/>
            </w:tcBorders>
            <w:vAlign w:val="top"/>
          </w:tcPr>
          <w:p w14:paraId="079D4A83">
            <w:pPr>
              <w:pStyle w:val="6"/>
              <w:spacing w:before="90" w:line="187" w:lineRule="auto"/>
              <w:ind w:left="186"/>
            </w:pPr>
            <w:r>
              <w:rPr>
                <w:b/>
                <w:bCs/>
                <w:spacing w:val="-2"/>
              </w:rPr>
              <w:t>249</w:t>
            </w:r>
          </w:p>
        </w:tc>
        <w:tc>
          <w:tcPr>
            <w:tcW w:w="691" w:type="dxa"/>
            <w:tcBorders>
              <w:bottom w:val="single" w:color="000000" w:sz="12" w:space="0"/>
            </w:tcBorders>
            <w:vAlign w:val="top"/>
          </w:tcPr>
          <w:p w14:paraId="2ACFE124">
            <w:pPr>
              <w:pStyle w:val="6"/>
              <w:spacing w:before="85" w:line="192" w:lineRule="auto"/>
              <w:ind w:left="310"/>
            </w:pPr>
            <w:r>
              <w:t>/</w:t>
            </w:r>
          </w:p>
        </w:tc>
        <w:tc>
          <w:tcPr>
            <w:tcW w:w="689" w:type="dxa"/>
            <w:tcBorders>
              <w:bottom w:val="single" w:color="000000" w:sz="12" w:space="0"/>
            </w:tcBorders>
            <w:vAlign w:val="top"/>
          </w:tcPr>
          <w:p w14:paraId="4E8C8778">
            <w:pPr>
              <w:pStyle w:val="6"/>
              <w:spacing w:before="85" w:line="192" w:lineRule="auto"/>
              <w:ind w:left="165"/>
            </w:pPr>
            <w:r>
              <w:rPr>
                <w:spacing w:val="-2"/>
              </w:rPr>
              <w:t>9.21</w:t>
            </w:r>
          </w:p>
        </w:tc>
        <w:tc>
          <w:tcPr>
            <w:tcW w:w="691" w:type="dxa"/>
            <w:tcBorders>
              <w:bottom w:val="single" w:color="000000" w:sz="12" w:space="0"/>
            </w:tcBorders>
            <w:vAlign w:val="top"/>
          </w:tcPr>
          <w:p w14:paraId="2C1ABD92">
            <w:pPr>
              <w:pStyle w:val="6"/>
              <w:spacing w:before="85" w:line="192" w:lineRule="auto"/>
              <w:ind w:left="314"/>
            </w:pPr>
            <w:r>
              <w:t>/</w:t>
            </w:r>
          </w:p>
        </w:tc>
        <w:tc>
          <w:tcPr>
            <w:tcW w:w="691" w:type="dxa"/>
            <w:tcBorders>
              <w:bottom w:val="single" w:color="000000" w:sz="12" w:space="0"/>
            </w:tcBorders>
            <w:vAlign w:val="top"/>
          </w:tcPr>
          <w:p w14:paraId="1A134DCF">
            <w:pPr>
              <w:pStyle w:val="6"/>
              <w:spacing w:before="90" w:line="187" w:lineRule="auto"/>
              <w:ind w:left="169"/>
            </w:pPr>
            <w:r>
              <w:rPr>
                <w:b/>
                <w:bCs/>
                <w:spacing w:val="-2"/>
              </w:rPr>
              <w:t>0.42</w:t>
            </w:r>
          </w:p>
        </w:tc>
        <w:tc>
          <w:tcPr>
            <w:tcW w:w="690" w:type="dxa"/>
            <w:tcBorders>
              <w:bottom w:val="single" w:color="000000" w:sz="12" w:space="0"/>
            </w:tcBorders>
            <w:vAlign w:val="top"/>
          </w:tcPr>
          <w:p w14:paraId="04C8111F">
            <w:pPr>
              <w:pStyle w:val="6"/>
              <w:spacing w:before="85" w:line="192" w:lineRule="auto"/>
              <w:ind w:left="316"/>
            </w:pPr>
            <w:r>
              <w:t>/</w:t>
            </w:r>
          </w:p>
        </w:tc>
        <w:tc>
          <w:tcPr>
            <w:tcW w:w="693" w:type="dxa"/>
            <w:tcBorders>
              <w:bottom w:val="single" w:color="000000" w:sz="12" w:space="0"/>
            </w:tcBorders>
            <w:vAlign w:val="top"/>
          </w:tcPr>
          <w:p w14:paraId="4B49FDDE">
            <w:pPr>
              <w:pStyle w:val="6"/>
              <w:spacing w:before="85" w:line="192" w:lineRule="auto"/>
              <w:ind w:left="190"/>
            </w:pPr>
            <w:r>
              <w:rPr>
                <w:spacing w:val="-6"/>
              </w:rPr>
              <w:t>1.69</w:t>
            </w:r>
          </w:p>
        </w:tc>
        <w:tc>
          <w:tcPr>
            <w:tcW w:w="690" w:type="dxa"/>
            <w:tcBorders>
              <w:bottom w:val="single" w:color="000000" w:sz="12" w:space="0"/>
            </w:tcBorders>
            <w:vAlign w:val="top"/>
          </w:tcPr>
          <w:p w14:paraId="4E384707">
            <w:pPr>
              <w:pStyle w:val="6"/>
              <w:spacing w:before="85" w:line="192" w:lineRule="auto"/>
              <w:ind w:left="319"/>
            </w:pPr>
            <w:r>
              <w:t>/</w:t>
            </w:r>
          </w:p>
        </w:tc>
        <w:tc>
          <w:tcPr>
            <w:tcW w:w="691" w:type="dxa"/>
            <w:tcBorders>
              <w:bottom w:val="single" w:color="000000" w:sz="12" w:space="0"/>
            </w:tcBorders>
            <w:vAlign w:val="top"/>
          </w:tcPr>
          <w:p w14:paraId="37369032">
            <w:pPr>
              <w:pStyle w:val="6"/>
              <w:spacing w:before="90" w:line="187" w:lineRule="auto"/>
              <w:ind w:left="40"/>
            </w:pPr>
            <w:r>
              <w:rPr>
                <w:b/>
                <w:bCs/>
                <w:spacing w:val="-1"/>
              </w:rPr>
              <w:t>250000</w:t>
            </w:r>
          </w:p>
        </w:tc>
        <w:tc>
          <w:tcPr>
            <w:tcW w:w="691" w:type="dxa"/>
            <w:tcBorders>
              <w:bottom w:val="single" w:color="000000" w:sz="12" w:space="0"/>
            </w:tcBorders>
            <w:vAlign w:val="top"/>
          </w:tcPr>
          <w:p w14:paraId="792AE929">
            <w:pPr>
              <w:pStyle w:val="6"/>
              <w:spacing w:before="85" w:line="192" w:lineRule="auto"/>
              <w:ind w:left="323"/>
            </w:pPr>
            <w:r>
              <w:t>/</w:t>
            </w:r>
          </w:p>
        </w:tc>
        <w:tc>
          <w:tcPr>
            <w:tcW w:w="704" w:type="dxa"/>
            <w:tcBorders>
              <w:bottom w:val="single" w:color="000000" w:sz="12" w:space="0"/>
              <w:right w:val="single" w:color="000000" w:sz="12" w:space="0"/>
            </w:tcBorders>
            <w:vAlign w:val="top"/>
          </w:tcPr>
          <w:p w14:paraId="72DB5078">
            <w:pPr>
              <w:pStyle w:val="6"/>
              <w:spacing w:before="85" w:line="192" w:lineRule="auto"/>
              <w:ind w:left="124"/>
            </w:pPr>
            <w:r>
              <w:rPr>
                <w:spacing w:val="-2"/>
              </w:rPr>
              <w:t>0.118</w:t>
            </w:r>
          </w:p>
        </w:tc>
      </w:tr>
    </w:tbl>
    <w:p w14:paraId="469E708B">
      <w:pPr>
        <w:pStyle w:val="2"/>
        <w:spacing w:before="30" w:line="220" w:lineRule="auto"/>
        <w:ind w:left="40"/>
        <w:rPr>
          <w:sz w:val="21"/>
          <w:szCs w:val="21"/>
        </w:rPr>
      </w:pPr>
      <w:r>
        <w:rPr>
          <w:sz w:val="21"/>
          <w:szCs w:val="21"/>
        </w:rPr>
        <w:t>备注：表中带</w:t>
      </w:r>
      <w:r>
        <w:rPr>
          <w:rFonts w:ascii="Times New Roman" w:hAnsi="Times New Roman" w:eastAsia="Times New Roman" w:cs="Times New Roman"/>
          <w:sz w:val="21"/>
          <w:szCs w:val="21"/>
        </w:rPr>
        <w:t>“L”</w:t>
      </w:r>
      <w:r>
        <w:rPr>
          <w:sz w:val="21"/>
          <w:szCs w:val="21"/>
        </w:rPr>
        <w:t>数据表示低于方法检出限</w:t>
      </w:r>
      <w:r>
        <w:rPr>
          <w:spacing w:val="-1"/>
          <w:sz w:val="21"/>
          <w:szCs w:val="21"/>
        </w:rPr>
        <w:t>，</w:t>
      </w:r>
      <w:r>
        <w:rPr>
          <w:rFonts w:ascii="Times New Roman" w:hAnsi="Times New Roman" w:eastAsia="Times New Roman" w:cs="Times New Roman"/>
          <w:spacing w:val="-1"/>
          <w:sz w:val="21"/>
          <w:szCs w:val="21"/>
        </w:rPr>
        <w:t>“/”</w:t>
      </w:r>
      <w:r>
        <w:rPr>
          <w:spacing w:val="-1"/>
          <w:sz w:val="21"/>
          <w:szCs w:val="21"/>
        </w:rPr>
        <w:t>表示未进行监测。</w:t>
      </w:r>
    </w:p>
    <w:p w14:paraId="5742C7D5">
      <w:pPr>
        <w:spacing w:line="220" w:lineRule="auto"/>
        <w:rPr>
          <w:sz w:val="21"/>
          <w:szCs w:val="21"/>
        </w:rPr>
        <w:sectPr>
          <w:footerReference r:id="rId134" w:type="default"/>
          <w:pgSz w:w="16839" w:h="11907"/>
          <w:pgMar w:top="1376" w:right="1669" w:bottom="1061" w:left="1671" w:header="999" w:footer="861" w:gutter="0"/>
          <w:cols w:space="720" w:num="1"/>
        </w:sectPr>
      </w:pPr>
    </w:p>
    <w:p w14:paraId="497F9FE1">
      <w:pPr>
        <w:spacing w:line="455" w:lineRule="auto"/>
        <w:rPr>
          <w:rFonts w:ascii="Arial"/>
          <w:sz w:val="21"/>
        </w:rPr>
      </w:pPr>
    </w:p>
    <w:p w14:paraId="78E86375">
      <w:pPr>
        <w:pStyle w:val="2"/>
        <w:spacing w:before="78" w:line="217" w:lineRule="auto"/>
        <w:ind w:left="279"/>
        <w:rPr>
          <w:sz w:val="21"/>
          <w:szCs w:val="21"/>
        </w:rPr>
      </w:pPr>
      <w:r>
        <w:rPr>
          <w:b/>
          <w:bCs/>
          <w:sz w:val="24"/>
          <w:szCs w:val="24"/>
        </w:rPr>
        <w:t>表</w:t>
      </w:r>
      <w:r>
        <w:rPr>
          <w:spacing w:val="-51"/>
          <w:sz w:val="24"/>
          <w:szCs w:val="24"/>
        </w:rPr>
        <w:t xml:space="preserve"> </w:t>
      </w:r>
      <w:r>
        <w:rPr>
          <w:rFonts w:ascii="Times New Roman" w:hAnsi="Times New Roman" w:eastAsia="Times New Roman" w:cs="Times New Roman"/>
          <w:b/>
          <w:bCs/>
          <w:sz w:val="24"/>
          <w:szCs w:val="24"/>
        </w:rPr>
        <w:t xml:space="preserve">5.1-5                                                      </w:t>
      </w:r>
      <w:r>
        <w:rPr>
          <w:rFonts w:ascii="Times New Roman" w:hAnsi="Times New Roman" w:eastAsia="Times New Roman" w:cs="Times New Roman"/>
          <w:b/>
          <w:bCs/>
          <w:spacing w:val="-1"/>
          <w:sz w:val="24"/>
          <w:szCs w:val="24"/>
        </w:rPr>
        <w:t xml:space="preserve">        2020 </w:t>
      </w:r>
      <w:r>
        <w:rPr>
          <w:b/>
          <w:bCs/>
          <w:spacing w:val="-1"/>
          <w:sz w:val="24"/>
          <w:szCs w:val="24"/>
        </w:rPr>
        <w:t>年施工期生活污水监测情况</w:t>
      </w:r>
      <w:r>
        <w:rPr>
          <w:spacing w:val="-1"/>
          <w:sz w:val="24"/>
          <w:szCs w:val="24"/>
        </w:rPr>
        <w:t xml:space="preserve">    </w:t>
      </w:r>
      <w:r>
        <w:rPr>
          <w:b/>
          <w:bCs/>
          <w:spacing w:val="-1"/>
          <w:sz w:val="21"/>
          <w:szCs w:val="21"/>
        </w:rPr>
        <w:t>单位：</w:t>
      </w:r>
      <w:r>
        <w:rPr>
          <w:rFonts w:ascii="Times New Roman" w:hAnsi="Times New Roman" w:eastAsia="Times New Roman" w:cs="Times New Roman"/>
          <w:b/>
          <w:bCs/>
          <w:spacing w:val="-1"/>
          <w:sz w:val="21"/>
          <w:szCs w:val="21"/>
        </w:rPr>
        <w:t>mg/L</w:t>
      </w:r>
      <w:r>
        <w:rPr>
          <w:b/>
          <w:bCs/>
          <w:spacing w:val="-1"/>
          <w:sz w:val="21"/>
          <w:szCs w:val="21"/>
        </w:rPr>
        <w:t>（</w:t>
      </w:r>
      <w:r>
        <w:rPr>
          <w:rFonts w:ascii="Times New Roman" w:hAnsi="Times New Roman" w:eastAsia="Times New Roman" w:cs="Times New Roman"/>
          <w:b/>
          <w:bCs/>
          <w:spacing w:val="-1"/>
          <w:sz w:val="21"/>
          <w:szCs w:val="21"/>
        </w:rPr>
        <w:t>pH</w:t>
      </w:r>
      <w:r>
        <w:rPr>
          <w:rFonts w:ascii="Times New Roman" w:hAnsi="Times New Roman" w:eastAsia="Times New Roman" w:cs="Times New Roman"/>
          <w:b/>
          <w:bCs/>
          <w:spacing w:val="10"/>
          <w:sz w:val="21"/>
          <w:szCs w:val="21"/>
        </w:rPr>
        <w:t xml:space="preserve"> </w:t>
      </w:r>
      <w:r>
        <w:rPr>
          <w:b/>
          <w:bCs/>
          <w:spacing w:val="-1"/>
          <w:sz w:val="21"/>
          <w:szCs w:val="21"/>
        </w:rPr>
        <w:t>无量纲）</w:t>
      </w:r>
    </w:p>
    <w:p w14:paraId="1CF78E36">
      <w:pPr>
        <w:spacing w:line="118" w:lineRule="auto"/>
        <w:rPr>
          <w:rFonts w:ascii="Arial"/>
          <w:sz w:val="2"/>
        </w:rPr>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83"/>
        <w:gridCol w:w="1134"/>
        <w:gridCol w:w="648"/>
        <w:gridCol w:w="648"/>
        <w:gridCol w:w="646"/>
        <w:gridCol w:w="651"/>
        <w:gridCol w:w="648"/>
        <w:gridCol w:w="650"/>
        <w:gridCol w:w="648"/>
        <w:gridCol w:w="650"/>
        <w:gridCol w:w="648"/>
        <w:gridCol w:w="650"/>
        <w:gridCol w:w="648"/>
        <w:gridCol w:w="650"/>
        <w:gridCol w:w="873"/>
        <w:gridCol w:w="872"/>
        <w:gridCol w:w="872"/>
        <w:gridCol w:w="883"/>
      </w:tblGrid>
      <w:tr w14:paraId="3285F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704" w:type="dxa"/>
            <w:vMerge w:val="restart"/>
            <w:tcBorders>
              <w:top w:val="single" w:color="000000" w:sz="12" w:space="0"/>
              <w:left w:val="single" w:color="000000" w:sz="12" w:space="0"/>
              <w:bottom w:val="nil"/>
            </w:tcBorders>
            <w:vAlign w:val="top"/>
          </w:tcPr>
          <w:p w14:paraId="43220D1A">
            <w:pPr>
              <w:spacing w:before="107" w:line="242" w:lineRule="auto"/>
              <w:ind w:left="232" w:right="39" w:hanging="209"/>
              <w:rPr>
                <w:rFonts w:ascii="宋体" w:hAnsi="宋体" w:eastAsia="宋体" w:cs="宋体"/>
                <w:sz w:val="21"/>
                <w:szCs w:val="21"/>
              </w:rPr>
            </w:pPr>
            <w:r>
              <w:rPr>
                <w:rFonts w:ascii="宋体" w:hAnsi="宋体" w:eastAsia="宋体" w:cs="宋体"/>
                <w:spacing w:val="-4"/>
                <w:sz w:val="21"/>
                <w:szCs w:val="21"/>
              </w:rPr>
              <w:t>监测点</w:t>
            </w:r>
            <w:r>
              <w:rPr>
                <w:rFonts w:ascii="宋体" w:hAnsi="宋体" w:eastAsia="宋体" w:cs="宋体"/>
                <w:sz w:val="21"/>
                <w:szCs w:val="21"/>
              </w:rPr>
              <w:t>位</w:t>
            </w:r>
          </w:p>
        </w:tc>
        <w:tc>
          <w:tcPr>
            <w:tcW w:w="1417" w:type="dxa"/>
            <w:gridSpan w:val="2"/>
            <w:vMerge w:val="restart"/>
            <w:tcBorders>
              <w:top w:val="single" w:color="000000" w:sz="12" w:space="0"/>
              <w:bottom w:val="nil"/>
            </w:tcBorders>
            <w:vAlign w:val="top"/>
          </w:tcPr>
          <w:p w14:paraId="587E680B">
            <w:pPr>
              <w:spacing w:before="243" w:line="221" w:lineRule="auto"/>
              <w:ind w:left="280"/>
              <w:rPr>
                <w:rFonts w:ascii="宋体" w:hAnsi="宋体" w:eastAsia="宋体" w:cs="宋体"/>
                <w:sz w:val="21"/>
                <w:szCs w:val="21"/>
              </w:rPr>
            </w:pPr>
            <w:r>
              <w:rPr>
                <w:rFonts w:ascii="宋体" w:hAnsi="宋体" w:eastAsia="宋体" w:cs="宋体"/>
                <w:spacing w:val="-2"/>
                <w:sz w:val="21"/>
                <w:szCs w:val="21"/>
              </w:rPr>
              <w:t>监测时间</w:t>
            </w:r>
          </w:p>
        </w:tc>
        <w:tc>
          <w:tcPr>
            <w:tcW w:w="1296" w:type="dxa"/>
            <w:gridSpan w:val="2"/>
            <w:tcBorders>
              <w:top w:val="single" w:color="000000" w:sz="12" w:space="0"/>
            </w:tcBorders>
            <w:vAlign w:val="top"/>
          </w:tcPr>
          <w:p w14:paraId="2CCD89B8">
            <w:pPr>
              <w:pStyle w:val="6"/>
              <w:spacing w:before="102" w:line="225" w:lineRule="auto"/>
              <w:ind w:left="379"/>
              <w:rPr>
                <w:sz w:val="14"/>
                <w:szCs w:val="14"/>
              </w:rPr>
            </w:pPr>
            <w:r>
              <w:rPr>
                <w:spacing w:val="-1"/>
              </w:rPr>
              <w:t>BOD</w:t>
            </w:r>
            <w:r>
              <w:rPr>
                <w:spacing w:val="-1"/>
                <w:position w:val="-1"/>
                <w:sz w:val="14"/>
                <w:szCs w:val="14"/>
              </w:rPr>
              <w:t>5</w:t>
            </w:r>
          </w:p>
        </w:tc>
        <w:tc>
          <w:tcPr>
            <w:tcW w:w="1297" w:type="dxa"/>
            <w:gridSpan w:val="2"/>
            <w:tcBorders>
              <w:top w:val="single" w:color="000000" w:sz="12" w:space="0"/>
            </w:tcBorders>
            <w:vAlign w:val="top"/>
          </w:tcPr>
          <w:p w14:paraId="4F753397">
            <w:pPr>
              <w:pStyle w:val="6"/>
              <w:spacing w:before="102" w:line="186" w:lineRule="auto"/>
              <w:ind w:left="421"/>
            </w:pPr>
            <w:r>
              <w:rPr>
                <w:spacing w:val="-2"/>
              </w:rPr>
              <w:t>COD</w:t>
            </w:r>
          </w:p>
        </w:tc>
        <w:tc>
          <w:tcPr>
            <w:tcW w:w="1298" w:type="dxa"/>
            <w:gridSpan w:val="2"/>
            <w:tcBorders>
              <w:top w:val="single" w:color="000000" w:sz="12" w:space="0"/>
            </w:tcBorders>
            <w:vAlign w:val="top"/>
          </w:tcPr>
          <w:p w14:paraId="5D1EF5ED">
            <w:pPr>
              <w:pStyle w:val="6"/>
              <w:spacing w:before="102" w:line="186" w:lineRule="auto"/>
              <w:ind w:left="536"/>
            </w:pPr>
            <w:r>
              <w:rPr>
                <w:spacing w:val="-7"/>
              </w:rPr>
              <w:t>SS</w:t>
            </w:r>
          </w:p>
        </w:tc>
        <w:tc>
          <w:tcPr>
            <w:tcW w:w="1298" w:type="dxa"/>
            <w:gridSpan w:val="2"/>
            <w:tcBorders>
              <w:top w:val="single" w:color="000000" w:sz="12" w:space="0"/>
            </w:tcBorders>
            <w:vAlign w:val="top"/>
          </w:tcPr>
          <w:p w14:paraId="6C9CAC7E">
            <w:pPr>
              <w:pStyle w:val="6"/>
              <w:spacing w:before="105" w:line="222" w:lineRule="auto"/>
              <w:ind w:left="343"/>
            </w:pPr>
            <w:r>
              <w:t>NH</w:t>
            </w:r>
            <w:r>
              <w:rPr>
                <w:position w:val="-1"/>
                <w:sz w:val="14"/>
                <w:szCs w:val="14"/>
              </w:rPr>
              <w:t>3</w:t>
            </w:r>
            <w:r>
              <w:t>-N</w:t>
            </w:r>
          </w:p>
        </w:tc>
        <w:tc>
          <w:tcPr>
            <w:tcW w:w="1298" w:type="dxa"/>
            <w:gridSpan w:val="2"/>
            <w:tcBorders>
              <w:top w:val="single" w:color="000000" w:sz="12" w:space="0"/>
            </w:tcBorders>
            <w:vAlign w:val="top"/>
          </w:tcPr>
          <w:p w14:paraId="284D2C15">
            <w:pPr>
              <w:pStyle w:val="6"/>
              <w:spacing w:before="106" w:line="183" w:lineRule="auto"/>
              <w:ind w:left="531"/>
            </w:pPr>
            <w:r>
              <w:rPr>
                <w:spacing w:val="-2"/>
              </w:rPr>
              <w:t>TP</w:t>
            </w:r>
          </w:p>
        </w:tc>
        <w:tc>
          <w:tcPr>
            <w:tcW w:w="1298" w:type="dxa"/>
            <w:gridSpan w:val="2"/>
            <w:tcBorders>
              <w:top w:val="single" w:color="000000" w:sz="12" w:space="0"/>
            </w:tcBorders>
            <w:vAlign w:val="top"/>
          </w:tcPr>
          <w:p w14:paraId="2748DC5A">
            <w:pPr>
              <w:spacing w:before="65" w:line="220" w:lineRule="auto"/>
              <w:ind w:left="239"/>
              <w:rPr>
                <w:rFonts w:ascii="宋体" w:hAnsi="宋体" w:eastAsia="宋体" w:cs="宋体"/>
                <w:sz w:val="21"/>
                <w:szCs w:val="21"/>
              </w:rPr>
            </w:pPr>
            <w:r>
              <w:rPr>
                <w:rFonts w:ascii="宋体" w:hAnsi="宋体" w:eastAsia="宋体" w:cs="宋体"/>
                <w:spacing w:val="-2"/>
                <w:sz w:val="21"/>
                <w:szCs w:val="21"/>
              </w:rPr>
              <w:t>动植物油</w:t>
            </w:r>
          </w:p>
        </w:tc>
        <w:tc>
          <w:tcPr>
            <w:tcW w:w="1745" w:type="dxa"/>
            <w:gridSpan w:val="2"/>
            <w:tcBorders>
              <w:top w:val="single" w:color="000000" w:sz="12" w:space="0"/>
            </w:tcBorders>
            <w:vAlign w:val="top"/>
          </w:tcPr>
          <w:p w14:paraId="76A626C1">
            <w:pPr>
              <w:spacing w:before="65" w:line="220" w:lineRule="auto"/>
              <w:ind w:left="360"/>
              <w:rPr>
                <w:rFonts w:ascii="宋体" w:hAnsi="宋体" w:eastAsia="宋体" w:cs="宋体"/>
                <w:sz w:val="21"/>
                <w:szCs w:val="21"/>
              </w:rPr>
            </w:pPr>
            <w:r>
              <w:rPr>
                <w:rFonts w:ascii="宋体" w:hAnsi="宋体" w:eastAsia="宋体" w:cs="宋体"/>
                <w:spacing w:val="-2"/>
                <w:sz w:val="21"/>
                <w:szCs w:val="21"/>
              </w:rPr>
              <w:t>粪大肠菌群</w:t>
            </w:r>
          </w:p>
        </w:tc>
        <w:tc>
          <w:tcPr>
            <w:tcW w:w="1755" w:type="dxa"/>
            <w:gridSpan w:val="2"/>
            <w:tcBorders>
              <w:top w:val="single" w:color="000000" w:sz="12" w:space="0"/>
              <w:right w:val="single" w:color="000000" w:sz="12" w:space="0"/>
            </w:tcBorders>
            <w:vAlign w:val="top"/>
          </w:tcPr>
          <w:p w14:paraId="02804C79">
            <w:pPr>
              <w:spacing w:before="65" w:line="219" w:lineRule="auto"/>
              <w:ind w:left="61"/>
              <w:rPr>
                <w:rFonts w:ascii="宋体" w:hAnsi="宋体" w:eastAsia="宋体" w:cs="宋体"/>
                <w:sz w:val="21"/>
                <w:szCs w:val="21"/>
              </w:rPr>
            </w:pPr>
            <w:r>
              <w:rPr>
                <w:rFonts w:ascii="宋体" w:hAnsi="宋体" w:eastAsia="宋体" w:cs="宋体"/>
                <w:spacing w:val="-3"/>
                <w:sz w:val="21"/>
                <w:szCs w:val="21"/>
              </w:rPr>
              <w:t>阴离子表面活性剂</w:t>
            </w:r>
          </w:p>
        </w:tc>
      </w:tr>
      <w:tr w14:paraId="5C3B5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tcBorders>
            <w:vAlign w:val="top"/>
          </w:tcPr>
          <w:p w14:paraId="33FAB6B5">
            <w:pPr>
              <w:rPr>
                <w:rFonts w:ascii="Arial"/>
                <w:sz w:val="21"/>
              </w:rPr>
            </w:pPr>
          </w:p>
        </w:tc>
        <w:tc>
          <w:tcPr>
            <w:tcW w:w="1417" w:type="dxa"/>
            <w:gridSpan w:val="2"/>
            <w:vMerge w:val="continue"/>
            <w:tcBorders>
              <w:top w:val="nil"/>
            </w:tcBorders>
            <w:vAlign w:val="top"/>
          </w:tcPr>
          <w:p w14:paraId="3BE8E05E">
            <w:pPr>
              <w:rPr>
                <w:rFonts w:ascii="Arial"/>
                <w:sz w:val="21"/>
              </w:rPr>
            </w:pPr>
          </w:p>
        </w:tc>
        <w:tc>
          <w:tcPr>
            <w:tcW w:w="648" w:type="dxa"/>
            <w:vAlign w:val="top"/>
          </w:tcPr>
          <w:p w14:paraId="770454EC">
            <w:pPr>
              <w:spacing w:before="65" w:line="225" w:lineRule="auto"/>
              <w:ind w:left="105"/>
              <w:rPr>
                <w:rFonts w:ascii="宋体" w:hAnsi="宋体" w:eastAsia="宋体" w:cs="宋体"/>
                <w:sz w:val="21"/>
                <w:szCs w:val="21"/>
              </w:rPr>
            </w:pPr>
            <w:r>
              <w:rPr>
                <w:rFonts w:ascii="宋体" w:hAnsi="宋体" w:eastAsia="宋体" w:cs="宋体"/>
                <w:spacing w:val="-2"/>
                <w:sz w:val="21"/>
                <w:szCs w:val="21"/>
              </w:rPr>
              <w:t>进口</w:t>
            </w:r>
          </w:p>
        </w:tc>
        <w:tc>
          <w:tcPr>
            <w:tcW w:w="648" w:type="dxa"/>
            <w:vAlign w:val="top"/>
          </w:tcPr>
          <w:p w14:paraId="51CF9B96">
            <w:pPr>
              <w:spacing w:before="64" w:line="223" w:lineRule="auto"/>
              <w:ind w:left="126"/>
              <w:rPr>
                <w:rFonts w:ascii="宋体" w:hAnsi="宋体" w:eastAsia="宋体" w:cs="宋体"/>
                <w:sz w:val="21"/>
                <w:szCs w:val="21"/>
              </w:rPr>
            </w:pPr>
            <w:r>
              <w:rPr>
                <w:rFonts w:ascii="宋体" w:hAnsi="宋体" w:eastAsia="宋体" w:cs="宋体"/>
                <w:spacing w:val="-7"/>
                <w:sz w:val="21"/>
                <w:szCs w:val="21"/>
              </w:rPr>
              <w:t>出口</w:t>
            </w:r>
          </w:p>
        </w:tc>
        <w:tc>
          <w:tcPr>
            <w:tcW w:w="646" w:type="dxa"/>
            <w:vAlign w:val="top"/>
          </w:tcPr>
          <w:p w14:paraId="55618393">
            <w:pPr>
              <w:spacing w:before="65" w:line="225" w:lineRule="auto"/>
              <w:ind w:left="106"/>
              <w:rPr>
                <w:rFonts w:ascii="宋体" w:hAnsi="宋体" w:eastAsia="宋体" w:cs="宋体"/>
                <w:sz w:val="21"/>
                <w:szCs w:val="21"/>
              </w:rPr>
            </w:pPr>
            <w:r>
              <w:rPr>
                <w:rFonts w:ascii="宋体" w:hAnsi="宋体" w:eastAsia="宋体" w:cs="宋体"/>
                <w:spacing w:val="-2"/>
                <w:sz w:val="21"/>
                <w:szCs w:val="21"/>
              </w:rPr>
              <w:t>进口</w:t>
            </w:r>
          </w:p>
        </w:tc>
        <w:tc>
          <w:tcPr>
            <w:tcW w:w="651" w:type="dxa"/>
            <w:vAlign w:val="top"/>
          </w:tcPr>
          <w:p w14:paraId="7FD429B7">
            <w:pPr>
              <w:spacing w:before="64" w:line="223" w:lineRule="auto"/>
              <w:ind w:left="130"/>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1194F2DC">
            <w:pPr>
              <w:spacing w:before="65" w:line="225" w:lineRule="auto"/>
              <w:ind w:left="111"/>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679EF8A9">
            <w:pPr>
              <w:spacing w:before="64" w:line="223" w:lineRule="auto"/>
              <w:ind w:left="132"/>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024EAB8E">
            <w:pPr>
              <w:spacing w:before="65" w:line="225" w:lineRule="auto"/>
              <w:ind w:left="114"/>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1482CEC5">
            <w:pPr>
              <w:spacing w:before="64" w:line="223" w:lineRule="auto"/>
              <w:ind w:left="136"/>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68040F12">
            <w:pPr>
              <w:spacing w:before="65" w:line="225" w:lineRule="auto"/>
              <w:ind w:left="117"/>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7A9467F2">
            <w:pPr>
              <w:spacing w:before="64" w:line="223" w:lineRule="auto"/>
              <w:ind w:left="139"/>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423BC4CF">
            <w:pPr>
              <w:spacing w:before="65" w:line="225" w:lineRule="auto"/>
              <w:ind w:left="120"/>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4A0BEB3A">
            <w:pPr>
              <w:spacing w:before="64" w:line="223" w:lineRule="auto"/>
              <w:ind w:left="142"/>
              <w:rPr>
                <w:rFonts w:ascii="宋体" w:hAnsi="宋体" w:eastAsia="宋体" w:cs="宋体"/>
                <w:sz w:val="21"/>
                <w:szCs w:val="21"/>
              </w:rPr>
            </w:pPr>
            <w:r>
              <w:rPr>
                <w:rFonts w:ascii="宋体" w:hAnsi="宋体" w:eastAsia="宋体" w:cs="宋体"/>
                <w:spacing w:val="-7"/>
                <w:sz w:val="21"/>
                <w:szCs w:val="21"/>
              </w:rPr>
              <w:t>出口</w:t>
            </w:r>
          </w:p>
        </w:tc>
        <w:tc>
          <w:tcPr>
            <w:tcW w:w="873" w:type="dxa"/>
            <w:vAlign w:val="top"/>
          </w:tcPr>
          <w:p w14:paraId="112AE32C">
            <w:pPr>
              <w:spacing w:before="65" w:line="225" w:lineRule="auto"/>
              <w:ind w:left="235"/>
              <w:rPr>
                <w:rFonts w:ascii="宋体" w:hAnsi="宋体" w:eastAsia="宋体" w:cs="宋体"/>
                <w:sz w:val="21"/>
                <w:szCs w:val="21"/>
              </w:rPr>
            </w:pPr>
            <w:r>
              <w:rPr>
                <w:rFonts w:ascii="宋体" w:hAnsi="宋体" w:eastAsia="宋体" w:cs="宋体"/>
                <w:spacing w:val="-2"/>
                <w:sz w:val="21"/>
                <w:szCs w:val="21"/>
              </w:rPr>
              <w:t>进口</w:t>
            </w:r>
          </w:p>
        </w:tc>
        <w:tc>
          <w:tcPr>
            <w:tcW w:w="872" w:type="dxa"/>
            <w:vAlign w:val="top"/>
          </w:tcPr>
          <w:p w14:paraId="648691E5">
            <w:pPr>
              <w:spacing w:before="64"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72" w:type="dxa"/>
            <w:vAlign w:val="top"/>
          </w:tcPr>
          <w:p w14:paraId="0F9F0BFD">
            <w:pPr>
              <w:spacing w:before="65" w:line="225" w:lineRule="auto"/>
              <w:ind w:left="239"/>
              <w:rPr>
                <w:rFonts w:ascii="宋体" w:hAnsi="宋体" w:eastAsia="宋体" w:cs="宋体"/>
                <w:sz w:val="21"/>
                <w:szCs w:val="21"/>
              </w:rPr>
            </w:pPr>
            <w:r>
              <w:rPr>
                <w:rFonts w:ascii="宋体" w:hAnsi="宋体" w:eastAsia="宋体" w:cs="宋体"/>
                <w:spacing w:val="-2"/>
                <w:sz w:val="21"/>
                <w:szCs w:val="21"/>
              </w:rPr>
              <w:t>进口</w:t>
            </w:r>
          </w:p>
        </w:tc>
        <w:tc>
          <w:tcPr>
            <w:tcW w:w="883" w:type="dxa"/>
            <w:tcBorders>
              <w:right w:val="single" w:color="000000" w:sz="12" w:space="0"/>
            </w:tcBorders>
            <w:vAlign w:val="top"/>
          </w:tcPr>
          <w:p w14:paraId="23E14EAD">
            <w:pPr>
              <w:spacing w:before="64" w:line="223" w:lineRule="auto"/>
              <w:ind w:left="258"/>
              <w:rPr>
                <w:rFonts w:ascii="宋体" w:hAnsi="宋体" w:eastAsia="宋体" w:cs="宋体"/>
                <w:sz w:val="21"/>
                <w:szCs w:val="21"/>
              </w:rPr>
            </w:pPr>
            <w:r>
              <w:rPr>
                <w:rFonts w:ascii="宋体" w:hAnsi="宋体" w:eastAsia="宋体" w:cs="宋体"/>
                <w:spacing w:val="-7"/>
                <w:sz w:val="21"/>
                <w:szCs w:val="21"/>
              </w:rPr>
              <w:t>出口</w:t>
            </w:r>
          </w:p>
        </w:tc>
      </w:tr>
      <w:tr w14:paraId="559AA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Merge w:val="restart"/>
            <w:tcBorders>
              <w:left w:val="single" w:color="000000" w:sz="12" w:space="0"/>
              <w:bottom w:val="nil"/>
            </w:tcBorders>
            <w:vAlign w:val="top"/>
          </w:tcPr>
          <w:p w14:paraId="618273DC">
            <w:pPr>
              <w:spacing w:line="261" w:lineRule="auto"/>
              <w:rPr>
                <w:rFonts w:ascii="Arial"/>
                <w:sz w:val="21"/>
              </w:rPr>
            </w:pPr>
          </w:p>
          <w:p w14:paraId="768DF1B9">
            <w:pPr>
              <w:spacing w:line="262" w:lineRule="auto"/>
              <w:rPr>
                <w:rFonts w:ascii="Arial"/>
                <w:sz w:val="21"/>
              </w:rPr>
            </w:pPr>
          </w:p>
          <w:p w14:paraId="0A454FCC">
            <w:pPr>
              <w:spacing w:line="262" w:lineRule="auto"/>
              <w:rPr>
                <w:rFonts w:ascii="Arial"/>
                <w:sz w:val="21"/>
              </w:rPr>
            </w:pPr>
          </w:p>
          <w:p w14:paraId="480A7AE2">
            <w:pPr>
              <w:spacing w:line="262" w:lineRule="auto"/>
              <w:rPr>
                <w:rFonts w:ascii="Arial"/>
                <w:sz w:val="21"/>
              </w:rPr>
            </w:pPr>
          </w:p>
          <w:p w14:paraId="4FD2CED5">
            <w:pPr>
              <w:spacing w:before="68" w:line="241" w:lineRule="auto"/>
              <w:ind w:left="21" w:right="39"/>
              <w:jc w:val="both"/>
              <w:rPr>
                <w:rFonts w:ascii="宋体" w:hAnsi="宋体" w:eastAsia="宋体" w:cs="宋体"/>
                <w:sz w:val="21"/>
                <w:szCs w:val="21"/>
              </w:rPr>
            </w:pPr>
            <w:r>
              <w:rPr>
                <w:rFonts w:ascii="宋体" w:hAnsi="宋体" w:eastAsia="宋体" w:cs="宋体"/>
                <w:spacing w:val="-3"/>
                <w:sz w:val="21"/>
                <w:szCs w:val="21"/>
              </w:rPr>
              <w:t>枢纽工程区生活污水</w:t>
            </w:r>
          </w:p>
        </w:tc>
        <w:tc>
          <w:tcPr>
            <w:tcW w:w="283" w:type="dxa"/>
            <w:vMerge w:val="restart"/>
            <w:tcBorders>
              <w:bottom w:val="nil"/>
            </w:tcBorders>
            <w:vAlign w:val="top"/>
          </w:tcPr>
          <w:p w14:paraId="0CC71641">
            <w:pPr>
              <w:pStyle w:val="6"/>
              <w:spacing w:before="135" w:line="223" w:lineRule="auto"/>
              <w:ind w:left="94"/>
            </w:pPr>
            <w:r>
              <w:t>1</w:t>
            </w:r>
          </w:p>
          <w:p w14:paraId="052AC8A2">
            <w:pPr>
              <w:spacing w:line="219" w:lineRule="auto"/>
              <w:ind w:left="26"/>
              <w:rPr>
                <w:rFonts w:ascii="宋体" w:hAnsi="宋体" w:eastAsia="宋体" w:cs="宋体"/>
                <w:sz w:val="21"/>
                <w:szCs w:val="21"/>
              </w:rPr>
            </w:pPr>
            <w:r>
              <w:rPr>
                <w:rFonts w:ascii="宋体" w:hAnsi="宋体" w:eastAsia="宋体" w:cs="宋体"/>
                <w:sz w:val="21"/>
                <w:szCs w:val="21"/>
              </w:rPr>
              <w:t>季</w:t>
            </w:r>
          </w:p>
          <w:p w14:paraId="1C5A1DF2">
            <w:pPr>
              <w:spacing w:before="21"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28C429F7">
            <w:pPr>
              <w:pStyle w:val="6"/>
              <w:spacing w:before="83" w:line="217" w:lineRule="auto"/>
              <w:ind w:left="128"/>
            </w:pPr>
            <w:r>
              <w:rPr>
                <w:spacing w:val="-1"/>
              </w:rPr>
              <w:t>2020/3/10</w:t>
            </w:r>
          </w:p>
        </w:tc>
        <w:tc>
          <w:tcPr>
            <w:tcW w:w="648" w:type="dxa"/>
            <w:vAlign w:val="top"/>
          </w:tcPr>
          <w:p w14:paraId="2BA523EF">
            <w:pPr>
              <w:pStyle w:val="6"/>
              <w:spacing w:before="83" w:line="217" w:lineRule="auto"/>
              <w:ind w:left="278"/>
            </w:pPr>
            <w:r>
              <w:t>/</w:t>
            </w:r>
          </w:p>
        </w:tc>
        <w:tc>
          <w:tcPr>
            <w:tcW w:w="648" w:type="dxa"/>
            <w:vAlign w:val="top"/>
          </w:tcPr>
          <w:p w14:paraId="755076DB">
            <w:pPr>
              <w:pStyle w:val="6"/>
              <w:spacing w:before="88" w:line="212" w:lineRule="auto"/>
              <w:ind w:left="157"/>
            </w:pPr>
            <w:r>
              <w:rPr>
                <w:b/>
                <w:bCs/>
                <w:spacing w:val="-2"/>
              </w:rPr>
              <w:t>262</w:t>
            </w:r>
          </w:p>
        </w:tc>
        <w:tc>
          <w:tcPr>
            <w:tcW w:w="646" w:type="dxa"/>
            <w:vAlign w:val="top"/>
          </w:tcPr>
          <w:p w14:paraId="77C9D62C">
            <w:pPr>
              <w:pStyle w:val="6"/>
              <w:spacing w:before="83" w:line="217" w:lineRule="auto"/>
              <w:ind w:left="280"/>
            </w:pPr>
            <w:r>
              <w:t>/</w:t>
            </w:r>
          </w:p>
        </w:tc>
        <w:tc>
          <w:tcPr>
            <w:tcW w:w="651" w:type="dxa"/>
            <w:vAlign w:val="top"/>
          </w:tcPr>
          <w:p w14:paraId="0408CBF0">
            <w:pPr>
              <w:pStyle w:val="6"/>
              <w:spacing w:before="88" w:line="212" w:lineRule="auto"/>
              <w:ind w:left="162"/>
            </w:pPr>
            <w:r>
              <w:rPr>
                <w:b/>
                <w:bCs/>
                <w:spacing w:val="-2"/>
              </w:rPr>
              <w:t>491</w:t>
            </w:r>
          </w:p>
        </w:tc>
        <w:tc>
          <w:tcPr>
            <w:tcW w:w="648" w:type="dxa"/>
            <w:vAlign w:val="top"/>
          </w:tcPr>
          <w:p w14:paraId="7F47BB04">
            <w:pPr>
              <w:pStyle w:val="6"/>
              <w:spacing w:before="83" w:line="217" w:lineRule="auto"/>
              <w:ind w:left="285"/>
            </w:pPr>
            <w:r>
              <w:t>/</w:t>
            </w:r>
          </w:p>
        </w:tc>
        <w:tc>
          <w:tcPr>
            <w:tcW w:w="650" w:type="dxa"/>
            <w:vAlign w:val="top"/>
          </w:tcPr>
          <w:p w14:paraId="43878DE1">
            <w:pPr>
              <w:pStyle w:val="6"/>
              <w:spacing w:before="88" w:line="212" w:lineRule="auto"/>
              <w:ind w:left="218"/>
            </w:pPr>
            <w:r>
              <w:rPr>
                <w:b/>
                <w:bCs/>
                <w:spacing w:val="-2"/>
              </w:rPr>
              <w:t>98</w:t>
            </w:r>
          </w:p>
        </w:tc>
        <w:tc>
          <w:tcPr>
            <w:tcW w:w="648" w:type="dxa"/>
            <w:vAlign w:val="top"/>
          </w:tcPr>
          <w:p w14:paraId="4E5A165C">
            <w:pPr>
              <w:pStyle w:val="6"/>
              <w:spacing w:before="83" w:line="217" w:lineRule="auto"/>
              <w:ind w:left="287"/>
            </w:pPr>
            <w:r>
              <w:t>/</w:t>
            </w:r>
          </w:p>
        </w:tc>
        <w:tc>
          <w:tcPr>
            <w:tcW w:w="650" w:type="dxa"/>
            <w:vAlign w:val="top"/>
          </w:tcPr>
          <w:p w14:paraId="77695A65">
            <w:pPr>
              <w:pStyle w:val="6"/>
              <w:spacing w:before="83" w:line="217" w:lineRule="auto"/>
              <w:ind w:left="161"/>
            </w:pPr>
            <w:r>
              <w:rPr>
                <w:spacing w:val="-6"/>
              </w:rPr>
              <w:t>1.28</w:t>
            </w:r>
          </w:p>
        </w:tc>
        <w:tc>
          <w:tcPr>
            <w:tcW w:w="648" w:type="dxa"/>
            <w:vAlign w:val="top"/>
          </w:tcPr>
          <w:p w14:paraId="73BA5DEF">
            <w:pPr>
              <w:pStyle w:val="6"/>
              <w:spacing w:before="83" w:line="217" w:lineRule="auto"/>
              <w:ind w:left="291"/>
            </w:pPr>
            <w:r>
              <w:t>/</w:t>
            </w:r>
          </w:p>
        </w:tc>
        <w:tc>
          <w:tcPr>
            <w:tcW w:w="650" w:type="dxa"/>
            <w:vAlign w:val="top"/>
          </w:tcPr>
          <w:p w14:paraId="11A9A508">
            <w:pPr>
              <w:pStyle w:val="6"/>
              <w:spacing w:before="88" w:line="212" w:lineRule="auto"/>
              <w:ind w:left="153"/>
            </w:pPr>
            <w:r>
              <w:rPr>
                <w:b/>
                <w:bCs/>
                <w:spacing w:val="-4"/>
              </w:rPr>
              <w:t>1.44</w:t>
            </w:r>
          </w:p>
        </w:tc>
        <w:tc>
          <w:tcPr>
            <w:tcW w:w="648" w:type="dxa"/>
            <w:vAlign w:val="top"/>
          </w:tcPr>
          <w:p w14:paraId="05EEE407">
            <w:pPr>
              <w:pStyle w:val="6"/>
              <w:spacing w:before="83" w:line="217" w:lineRule="auto"/>
              <w:ind w:left="293"/>
            </w:pPr>
            <w:r>
              <w:t>/</w:t>
            </w:r>
          </w:p>
        </w:tc>
        <w:tc>
          <w:tcPr>
            <w:tcW w:w="650" w:type="dxa"/>
            <w:vAlign w:val="top"/>
          </w:tcPr>
          <w:p w14:paraId="2AB76D5E">
            <w:pPr>
              <w:pStyle w:val="6"/>
              <w:spacing w:before="83" w:line="217" w:lineRule="auto"/>
              <w:ind w:left="155"/>
            </w:pPr>
            <w:r>
              <w:rPr>
                <w:spacing w:val="-4"/>
              </w:rPr>
              <w:t>8.63</w:t>
            </w:r>
          </w:p>
        </w:tc>
        <w:tc>
          <w:tcPr>
            <w:tcW w:w="873" w:type="dxa"/>
            <w:vAlign w:val="top"/>
          </w:tcPr>
          <w:p w14:paraId="756B61CA">
            <w:pPr>
              <w:pStyle w:val="6"/>
              <w:spacing w:before="83" w:line="217" w:lineRule="auto"/>
              <w:ind w:left="409"/>
            </w:pPr>
            <w:r>
              <w:t>/</w:t>
            </w:r>
          </w:p>
        </w:tc>
        <w:tc>
          <w:tcPr>
            <w:tcW w:w="872" w:type="dxa"/>
            <w:vAlign w:val="top"/>
          </w:tcPr>
          <w:p w14:paraId="637D5990">
            <w:pPr>
              <w:pStyle w:val="6"/>
              <w:spacing w:before="88" w:line="212" w:lineRule="auto"/>
              <w:ind w:left="130"/>
            </w:pPr>
            <w:r>
              <w:rPr>
                <w:b/>
                <w:bCs/>
                <w:spacing w:val="-1"/>
              </w:rPr>
              <w:t>210000</w:t>
            </w:r>
          </w:p>
        </w:tc>
        <w:tc>
          <w:tcPr>
            <w:tcW w:w="872" w:type="dxa"/>
            <w:vAlign w:val="top"/>
          </w:tcPr>
          <w:p w14:paraId="49A12155">
            <w:pPr>
              <w:pStyle w:val="6"/>
              <w:spacing w:before="83" w:line="217" w:lineRule="auto"/>
              <w:ind w:left="412"/>
            </w:pPr>
            <w:r>
              <w:t>/</w:t>
            </w:r>
          </w:p>
        </w:tc>
        <w:tc>
          <w:tcPr>
            <w:tcW w:w="883" w:type="dxa"/>
            <w:tcBorders>
              <w:right w:val="single" w:color="000000" w:sz="12" w:space="0"/>
            </w:tcBorders>
            <w:vAlign w:val="top"/>
          </w:tcPr>
          <w:p w14:paraId="4CCDBE8F">
            <w:pPr>
              <w:pStyle w:val="6"/>
              <w:spacing w:before="88" w:line="212" w:lineRule="auto"/>
              <w:ind w:left="265"/>
            </w:pPr>
            <w:r>
              <w:rPr>
                <w:b/>
                <w:bCs/>
                <w:spacing w:val="-2"/>
              </w:rPr>
              <w:t>5.67</w:t>
            </w:r>
          </w:p>
        </w:tc>
      </w:tr>
      <w:tr w14:paraId="5991D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04" w:type="dxa"/>
            <w:vMerge w:val="continue"/>
            <w:tcBorders>
              <w:top w:val="nil"/>
              <w:left w:val="single" w:color="000000" w:sz="12" w:space="0"/>
              <w:bottom w:val="nil"/>
            </w:tcBorders>
            <w:vAlign w:val="top"/>
          </w:tcPr>
          <w:p w14:paraId="78817C29">
            <w:pPr>
              <w:rPr>
                <w:rFonts w:ascii="Arial"/>
                <w:sz w:val="21"/>
              </w:rPr>
            </w:pPr>
          </w:p>
        </w:tc>
        <w:tc>
          <w:tcPr>
            <w:tcW w:w="283" w:type="dxa"/>
            <w:vMerge w:val="continue"/>
            <w:tcBorders>
              <w:top w:val="nil"/>
              <w:bottom w:val="nil"/>
            </w:tcBorders>
            <w:vAlign w:val="top"/>
          </w:tcPr>
          <w:p w14:paraId="49042FF3">
            <w:pPr>
              <w:rPr>
                <w:rFonts w:ascii="Arial"/>
                <w:sz w:val="21"/>
              </w:rPr>
            </w:pPr>
          </w:p>
        </w:tc>
        <w:tc>
          <w:tcPr>
            <w:tcW w:w="1134" w:type="dxa"/>
            <w:vAlign w:val="top"/>
          </w:tcPr>
          <w:p w14:paraId="3D97CBEC">
            <w:pPr>
              <w:pStyle w:val="6"/>
              <w:spacing w:before="85" w:line="217" w:lineRule="auto"/>
              <w:ind w:left="128"/>
            </w:pPr>
            <w:r>
              <w:rPr>
                <w:spacing w:val="-1"/>
              </w:rPr>
              <w:t>2020/3/11</w:t>
            </w:r>
          </w:p>
        </w:tc>
        <w:tc>
          <w:tcPr>
            <w:tcW w:w="648" w:type="dxa"/>
            <w:vAlign w:val="top"/>
          </w:tcPr>
          <w:p w14:paraId="5100BF72">
            <w:pPr>
              <w:pStyle w:val="6"/>
              <w:spacing w:before="85" w:line="217" w:lineRule="auto"/>
              <w:ind w:left="278"/>
            </w:pPr>
            <w:r>
              <w:t>/</w:t>
            </w:r>
          </w:p>
        </w:tc>
        <w:tc>
          <w:tcPr>
            <w:tcW w:w="648" w:type="dxa"/>
            <w:vAlign w:val="top"/>
          </w:tcPr>
          <w:p w14:paraId="16FF096A">
            <w:pPr>
              <w:pStyle w:val="6"/>
              <w:spacing w:before="90" w:line="212" w:lineRule="auto"/>
              <w:ind w:left="157"/>
            </w:pPr>
            <w:r>
              <w:rPr>
                <w:b/>
                <w:bCs/>
                <w:spacing w:val="-2"/>
              </w:rPr>
              <w:t>250</w:t>
            </w:r>
          </w:p>
        </w:tc>
        <w:tc>
          <w:tcPr>
            <w:tcW w:w="646" w:type="dxa"/>
            <w:vAlign w:val="top"/>
          </w:tcPr>
          <w:p w14:paraId="716EBCE6">
            <w:pPr>
              <w:pStyle w:val="6"/>
              <w:spacing w:before="85" w:line="217" w:lineRule="auto"/>
              <w:ind w:left="280"/>
            </w:pPr>
            <w:r>
              <w:t>/</w:t>
            </w:r>
          </w:p>
        </w:tc>
        <w:tc>
          <w:tcPr>
            <w:tcW w:w="651" w:type="dxa"/>
            <w:vAlign w:val="top"/>
          </w:tcPr>
          <w:p w14:paraId="51066CA4">
            <w:pPr>
              <w:pStyle w:val="6"/>
              <w:spacing w:before="90" w:line="212" w:lineRule="auto"/>
              <w:ind w:left="162"/>
            </w:pPr>
            <w:r>
              <w:rPr>
                <w:b/>
                <w:bCs/>
                <w:spacing w:val="-2"/>
              </w:rPr>
              <w:t>478</w:t>
            </w:r>
          </w:p>
        </w:tc>
        <w:tc>
          <w:tcPr>
            <w:tcW w:w="648" w:type="dxa"/>
            <w:vAlign w:val="top"/>
          </w:tcPr>
          <w:p w14:paraId="58377CE8">
            <w:pPr>
              <w:pStyle w:val="6"/>
              <w:spacing w:before="85" w:line="217" w:lineRule="auto"/>
              <w:ind w:left="285"/>
            </w:pPr>
            <w:r>
              <w:t>/</w:t>
            </w:r>
          </w:p>
        </w:tc>
        <w:tc>
          <w:tcPr>
            <w:tcW w:w="650" w:type="dxa"/>
            <w:vAlign w:val="top"/>
          </w:tcPr>
          <w:p w14:paraId="684446EB">
            <w:pPr>
              <w:pStyle w:val="6"/>
              <w:spacing w:before="90" w:line="212" w:lineRule="auto"/>
              <w:ind w:left="172"/>
            </w:pPr>
            <w:r>
              <w:rPr>
                <w:b/>
                <w:bCs/>
                <w:spacing w:val="-4"/>
              </w:rPr>
              <w:t>111</w:t>
            </w:r>
          </w:p>
        </w:tc>
        <w:tc>
          <w:tcPr>
            <w:tcW w:w="648" w:type="dxa"/>
            <w:vAlign w:val="top"/>
          </w:tcPr>
          <w:p w14:paraId="4D2B5FD8">
            <w:pPr>
              <w:pStyle w:val="6"/>
              <w:spacing w:before="85" w:line="217" w:lineRule="auto"/>
              <w:ind w:left="287"/>
            </w:pPr>
            <w:r>
              <w:t>/</w:t>
            </w:r>
          </w:p>
        </w:tc>
        <w:tc>
          <w:tcPr>
            <w:tcW w:w="650" w:type="dxa"/>
            <w:vAlign w:val="top"/>
          </w:tcPr>
          <w:p w14:paraId="6D84A7ED">
            <w:pPr>
              <w:pStyle w:val="6"/>
              <w:spacing w:before="85" w:line="217" w:lineRule="auto"/>
              <w:ind w:left="161"/>
            </w:pPr>
            <w:r>
              <w:rPr>
                <w:spacing w:val="-6"/>
              </w:rPr>
              <w:t>1.24</w:t>
            </w:r>
          </w:p>
        </w:tc>
        <w:tc>
          <w:tcPr>
            <w:tcW w:w="648" w:type="dxa"/>
            <w:vAlign w:val="top"/>
          </w:tcPr>
          <w:p w14:paraId="62C76C3B">
            <w:pPr>
              <w:pStyle w:val="6"/>
              <w:spacing w:before="85" w:line="217" w:lineRule="auto"/>
              <w:ind w:left="291"/>
            </w:pPr>
            <w:r>
              <w:t>/</w:t>
            </w:r>
          </w:p>
        </w:tc>
        <w:tc>
          <w:tcPr>
            <w:tcW w:w="650" w:type="dxa"/>
            <w:vAlign w:val="top"/>
          </w:tcPr>
          <w:p w14:paraId="148A6951">
            <w:pPr>
              <w:pStyle w:val="6"/>
              <w:spacing w:before="90" w:line="212" w:lineRule="auto"/>
              <w:ind w:left="153"/>
            </w:pPr>
            <w:r>
              <w:rPr>
                <w:b/>
                <w:bCs/>
                <w:spacing w:val="-4"/>
              </w:rPr>
              <w:t>1.47</w:t>
            </w:r>
          </w:p>
        </w:tc>
        <w:tc>
          <w:tcPr>
            <w:tcW w:w="648" w:type="dxa"/>
            <w:vAlign w:val="top"/>
          </w:tcPr>
          <w:p w14:paraId="4378738B">
            <w:pPr>
              <w:pStyle w:val="6"/>
              <w:spacing w:before="85" w:line="217" w:lineRule="auto"/>
              <w:ind w:left="293"/>
            </w:pPr>
            <w:r>
              <w:t>/</w:t>
            </w:r>
          </w:p>
        </w:tc>
        <w:tc>
          <w:tcPr>
            <w:tcW w:w="650" w:type="dxa"/>
            <w:vAlign w:val="top"/>
          </w:tcPr>
          <w:p w14:paraId="395B0890">
            <w:pPr>
              <w:pStyle w:val="6"/>
              <w:spacing w:before="85" w:line="217" w:lineRule="auto"/>
              <w:ind w:left="155"/>
            </w:pPr>
            <w:r>
              <w:rPr>
                <w:spacing w:val="-4"/>
              </w:rPr>
              <w:t>8.49</w:t>
            </w:r>
          </w:p>
        </w:tc>
        <w:tc>
          <w:tcPr>
            <w:tcW w:w="873" w:type="dxa"/>
            <w:vAlign w:val="top"/>
          </w:tcPr>
          <w:p w14:paraId="3089E418">
            <w:pPr>
              <w:pStyle w:val="6"/>
              <w:spacing w:before="85" w:line="217" w:lineRule="auto"/>
              <w:ind w:left="409"/>
            </w:pPr>
            <w:r>
              <w:t>/</w:t>
            </w:r>
          </w:p>
        </w:tc>
        <w:tc>
          <w:tcPr>
            <w:tcW w:w="872" w:type="dxa"/>
            <w:vAlign w:val="top"/>
          </w:tcPr>
          <w:p w14:paraId="073AB0E0">
            <w:pPr>
              <w:pStyle w:val="6"/>
              <w:spacing w:before="90" w:line="212" w:lineRule="auto"/>
              <w:ind w:left="130"/>
            </w:pPr>
            <w:r>
              <w:rPr>
                <w:b/>
                <w:bCs/>
                <w:spacing w:val="-1"/>
              </w:rPr>
              <w:t>240000</w:t>
            </w:r>
          </w:p>
        </w:tc>
        <w:tc>
          <w:tcPr>
            <w:tcW w:w="872" w:type="dxa"/>
            <w:vAlign w:val="top"/>
          </w:tcPr>
          <w:p w14:paraId="08F8E5E7">
            <w:pPr>
              <w:pStyle w:val="6"/>
              <w:spacing w:before="85" w:line="217" w:lineRule="auto"/>
              <w:ind w:left="412"/>
            </w:pPr>
            <w:r>
              <w:t>/</w:t>
            </w:r>
          </w:p>
        </w:tc>
        <w:tc>
          <w:tcPr>
            <w:tcW w:w="883" w:type="dxa"/>
            <w:tcBorders>
              <w:right w:val="single" w:color="000000" w:sz="12" w:space="0"/>
            </w:tcBorders>
            <w:vAlign w:val="top"/>
          </w:tcPr>
          <w:p w14:paraId="77A9AB74">
            <w:pPr>
              <w:pStyle w:val="6"/>
              <w:spacing w:before="90" w:line="212" w:lineRule="auto"/>
              <w:ind w:left="265"/>
            </w:pPr>
            <w:r>
              <w:rPr>
                <w:b/>
                <w:bCs/>
                <w:spacing w:val="-2"/>
              </w:rPr>
              <w:t>5.63</w:t>
            </w:r>
          </w:p>
        </w:tc>
      </w:tr>
      <w:tr w14:paraId="6D28D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60A99A83">
            <w:pPr>
              <w:rPr>
                <w:rFonts w:ascii="Arial"/>
                <w:sz w:val="21"/>
              </w:rPr>
            </w:pPr>
          </w:p>
        </w:tc>
        <w:tc>
          <w:tcPr>
            <w:tcW w:w="283" w:type="dxa"/>
            <w:vMerge w:val="continue"/>
            <w:tcBorders>
              <w:top w:val="nil"/>
            </w:tcBorders>
            <w:vAlign w:val="top"/>
          </w:tcPr>
          <w:p w14:paraId="31BFBAF9">
            <w:pPr>
              <w:rPr>
                <w:rFonts w:ascii="Arial"/>
                <w:sz w:val="21"/>
              </w:rPr>
            </w:pPr>
          </w:p>
        </w:tc>
        <w:tc>
          <w:tcPr>
            <w:tcW w:w="1134" w:type="dxa"/>
            <w:vAlign w:val="top"/>
          </w:tcPr>
          <w:p w14:paraId="52356DA9">
            <w:pPr>
              <w:pStyle w:val="6"/>
              <w:spacing w:before="87" w:line="214" w:lineRule="auto"/>
              <w:ind w:left="128"/>
            </w:pPr>
            <w:r>
              <w:rPr>
                <w:spacing w:val="-1"/>
              </w:rPr>
              <w:t>2020/3/12</w:t>
            </w:r>
          </w:p>
        </w:tc>
        <w:tc>
          <w:tcPr>
            <w:tcW w:w="648" w:type="dxa"/>
            <w:vAlign w:val="top"/>
          </w:tcPr>
          <w:p w14:paraId="73733468">
            <w:pPr>
              <w:pStyle w:val="6"/>
              <w:spacing w:before="87" w:line="214" w:lineRule="auto"/>
              <w:ind w:left="278"/>
            </w:pPr>
            <w:r>
              <w:t>/</w:t>
            </w:r>
          </w:p>
        </w:tc>
        <w:tc>
          <w:tcPr>
            <w:tcW w:w="648" w:type="dxa"/>
            <w:vAlign w:val="top"/>
          </w:tcPr>
          <w:p w14:paraId="5D954271">
            <w:pPr>
              <w:pStyle w:val="6"/>
              <w:spacing w:before="91" w:line="210" w:lineRule="auto"/>
              <w:ind w:left="157"/>
            </w:pPr>
            <w:r>
              <w:rPr>
                <w:b/>
                <w:bCs/>
                <w:spacing w:val="-2"/>
              </w:rPr>
              <w:t>272</w:t>
            </w:r>
          </w:p>
        </w:tc>
        <w:tc>
          <w:tcPr>
            <w:tcW w:w="646" w:type="dxa"/>
            <w:vAlign w:val="top"/>
          </w:tcPr>
          <w:p w14:paraId="713C7476">
            <w:pPr>
              <w:pStyle w:val="6"/>
              <w:spacing w:before="87" w:line="214" w:lineRule="auto"/>
              <w:ind w:left="280"/>
            </w:pPr>
            <w:r>
              <w:t>/</w:t>
            </w:r>
          </w:p>
        </w:tc>
        <w:tc>
          <w:tcPr>
            <w:tcW w:w="651" w:type="dxa"/>
            <w:vAlign w:val="top"/>
          </w:tcPr>
          <w:p w14:paraId="7C6FFE96">
            <w:pPr>
              <w:pStyle w:val="6"/>
              <w:spacing w:before="91" w:line="210" w:lineRule="auto"/>
              <w:ind w:left="164"/>
            </w:pPr>
            <w:r>
              <w:rPr>
                <w:b/>
                <w:bCs/>
                <w:spacing w:val="-3"/>
              </w:rPr>
              <w:t>500</w:t>
            </w:r>
          </w:p>
        </w:tc>
        <w:tc>
          <w:tcPr>
            <w:tcW w:w="648" w:type="dxa"/>
            <w:vAlign w:val="top"/>
          </w:tcPr>
          <w:p w14:paraId="66B98324">
            <w:pPr>
              <w:pStyle w:val="6"/>
              <w:spacing w:before="87" w:line="214" w:lineRule="auto"/>
              <w:ind w:left="285"/>
            </w:pPr>
            <w:r>
              <w:t>/</w:t>
            </w:r>
          </w:p>
        </w:tc>
        <w:tc>
          <w:tcPr>
            <w:tcW w:w="650" w:type="dxa"/>
            <w:vAlign w:val="top"/>
          </w:tcPr>
          <w:p w14:paraId="7406EE7A">
            <w:pPr>
              <w:pStyle w:val="6"/>
              <w:spacing w:before="91" w:line="210" w:lineRule="auto"/>
              <w:ind w:left="172"/>
            </w:pPr>
            <w:r>
              <w:rPr>
                <w:b/>
                <w:bCs/>
                <w:spacing w:val="-4"/>
              </w:rPr>
              <w:t>106</w:t>
            </w:r>
          </w:p>
        </w:tc>
        <w:tc>
          <w:tcPr>
            <w:tcW w:w="648" w:type="dxa"/>
            <w:vAlign w:val="top"/>
          </w:tcPr>
          <w:p w14:paraId="7288EF40">
            <w:pPr>
              <w:pStyle w:val="6"/>
              <w:spacing w:before="87" w:line="214" w:lineRule="auto"/>
              <w:ind w:left="287"/>
            </w:pPr>
            <w:r>
              <w:t>/</w:t>
            </w:r>
          </w:p>
        </w:tc>
        <w:tc>
          <w:tcPr>
            <w:tcW w:w="650" w:type="dxa"/>
            <w:vAlign w:val="top"/>
          </w:tcPr>
          <w:p w14:paraId="593F21DD">
            <w:pPr>
              <w:pStyle w:val="6"/>
              <w:spacing w:before="87" w:line="214" w:lineRule="auto"/>
              <w:ind w:left="161"/>
            </w:pPr>
            <w:r>
              <w:rPr>
                <w:spacing w:val="-6"/>
              </w:rPr>
              <w:t>1.33</w:t>
            </w:r>
          </w:p>
        </w:tc>
        <w:tc>
          <w:tcPr>
            <w:tcW w:w="648" w:type="dxa"/>
            <w:vAlign w:val="top"/>
          </w:tcPr>
          <w:p w14:paraId="0BCB5755">
            <w:pPr>
              <w:pStyle w:val="6"/>
              <w:spacing w:before="87" w:line="214" w:lineRule="auto"/>
              <w:ind w:left="291"/>
            </w:pPr>
            <w:r>
              <w:t>/</w:t>
            </w:r>
          </w:p>
        </w:tc>
        <w:tc>
          <w:tcPr>
            <w:tcW w:w="650" w:type="dxa"/>
            <w:vAlign w:val="top"/>
          </w:tcPr>
          <w:p w14:paraId="1147C5AA">
            <w:pPr>
              <w:pStyle w:val="6"/>
              <w:spacing w:before="91" w:line="210" w:lineRule="auto"/>
              <w:ind w:left="153"/>
            </w:pPr>
            <w:r>
              <w:rPr>
                <w:b/>
                <w:bCs/>
                <w:spacing w:val="-4"/>
              </w:rPr>
              <w:t>1.38</w:t>
            </w:r>
          </w:p>
        </w:tc>
        <w:tc>
          <w:tcPr>
            <w:tcW w:w="648" w:type="dxa"/>
            <w:vAlign w:val="top"/>
          </w:tcPr>
          <w:p w14:paraId="5B2DCAE6">
            <w:pPr>
              <w:pStyle w:val="6"/>
              <w:spacing w:before="87" w:line="214" w:lineRule="auto"/>
              <w:ind w:left="293"/>
            </w:pPr>
            <w:r>
              <w:t>/</w:t>
            </w:r>
          </w:p>
        </w:tc>
        <w:tc>
          <w:tcPr>
            <w:tcW w:w="650" w:type="dxa"/>
            <w:vAlign w:val="top"/>
          </w:tcPr>
          <w:p w14:paraId="4738ACC4">
            <w:pPr>
              <w:pStyle w:val="6"/>
              <w:spacing w:before="87" w:line="214" w:lineRule="auto"/>
              <w:ind w:left="155"/>
            </w:pPr>
            <w:r>
              <w:rPr>
                <w:spacing w:val="-4"/>
              </w:rPr>
              <w:t>8.35</w:t>
            </w:r>
          </w:p>
        </w:tc>
        <w:tc>
          <w:tcPr>
            <w:tcW w:w="873" w:type="dxa"/>
            <w:vAlign w:val="top"/>
          </w:tcPr>
          <w:p w14:paraId="695517DE">
            <w:pPr>
              <w:pStyle w:val="6"/>
              <w:spacing w:before="87" w:line="214" w:lineRule="auto"/>
              <w:ind w:left="409"/>
            </w:pPr>
            <w:r>
              <w:t>/</w:t>
            </w:r>
          </w:p>
        </w:tc>
        <w:tc>
          <w:tcPr>
            <w:tcW w:w="872" w:type="dxa"/>
            <w:vAlign w:val="top"/>
          </w:tcPr>
          <w:p w14:paraId="43D28F8D">
            <w:pPr>
              <w:pStyle w:val="6"/>
              <w:spacing w:before="91" w:line="210" w:lineRule="auto"/>
              <w:ind w:left="130"/>
            </w:pPr>
            <w:r>
              <w:rPr>
                <w:b/>
                <w:bCs/>
                <w:spacing w:val="-1"/>
              </w:rPr>
              <w:t>220000</w:t>
            </w:r>
          </w:p>
        </w:tc>
        <w:tc>
          <w:tcPr>
            <w:tcW w:w="872" w:type="dxa"/>
            <w:vAlign w:val="top"/>
          </w:tcPr>
          <w:p w14:paraId="37C5CD01">
            <w:pPr>
              <w:pStyle w:val="6"/>
              <w:spacing w:before="87" w:line="214" w:lineRule="auto"/>
              <w:ind w:left="412"/>
            </w:pPr>
            <w:r>
              <w:t>/</w:t>
            </w:r>
          </w:p>
        </w:tc>
        <w:tc>
          <w:tcPr>
            <w:tcW w:w="883" w:type="dxa"/>
            <w:tcBorders>
              <w:right w:val="single" w:color="000000" w:sz="12" w:space="0"/>
            </w:tcBorders>
            <w:vAlign w:val="top"/>
          </w:tcPr>
          <w:p w14:paraId="3D742272">
            <w:pPr>
              <w:pStyle w:val="6"/>
              <w:spacing w:before="91" w:line="210" w:lineRule="auto"/>
              <w:ind w:left="265"/>
            </w:pPr>
            <w:r>
              <w:rPr>
                <w:b/>
                <w:bCs/>
                <w:spacing w:val="-2"/>
              </w:rPr>
              <w:t>5.71</w:t>
            </w:r>
          </w:p>
        </w:tc>
      </w:tr>
      <w:tr w14:paraId="75859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04" w:type="dxa"/>
            <w:vMerge w:val="continue"/>
            <w:tcBorders>
              <w:top w:val="nil"/>
              <w:left w:val="single" w:color="000000" w:sz="12" w:space="0"/>
              <w:bottom w:val="nil"/>
            </w:tcBorders>
            <w:vAlign w:val="top"/>
          </w:tcPr>
          <w:p w14:paraId="6149C6A5">
            <w:pPr>
              <w:rPr>
                <w:rFonts w:ascii="Arial"/>
                <w:sz w:val="21"/>
              </w:rPr>
            </w:pPr>
          </w:p>
        </w:tc>
        <w:tc>
          <w:tcPr>
            <w:tcW w:w="283" w:type="dxa"/>
            <w:vMerge w:val="restart"/>
            <w:tcBorders>
              <w:bottom w:val="nil"/>
            </w:tcBorders>
            <w:vAlign w:val="top"/>
          </w:tcPr>
          <w:p w14:paraId="29A44AD1">
            <w:pPr>
              <w:pStyle w:val="6"/>
              <w:spacing w:before="140" w:line="222" w:lineRule="auto"/>
              <w:ind w:left="74"/>
            </w:pPr>
            <w:r>
              <w:t>2</w:t>
            </w:r>
          </w:p>
          <w:p w14:paraId="1707B28F">
            <w:pPr>
              <w:spacing w:line="219" w:lineRule="auto"/>
              <w:ind w:left="26"/>
              <w:rPr>
                <w:rFonts w:ascii="宋体" w:hAnsi="宋体" w:eastAsia="宋体" w:cs="宋体"/>
                <w:sz w:val="21"/>
                <w:szCs w:val="21"/>
              </w:rPr>
            </w:pPr>
            <w:r>
              <w:rPr>
                <w:rFonts w:ascii="宋体" w:hAnsi="宋体" w:eastAsia="宋体" w:cs="宋体"/>
                <w:sz w:val="21"/>
                <w:szCs w:val="21"/>
              </w:rPr>
              <w:t>季</w:t>
            </w:r>
          </w:p>
          <w:p w14:paraId="6C896DD2">
            <w:pPr>
              <w:spacing w:before="22"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3C29C948">
            <w:pPr>
              <w:pStyle w:val="6"/>
              <w:spacing w:before="88" w:line="214" w:lineRule="auto"/>
              <w:ind w:left="128"/>
            </w:pPr>
            <w:r>
              <w:rPr>
                <w:spacing w:val="-1"/>
              </w:rPr>
              <w:t>2020/5/20</w:t>
            </w:r>
          </w:p>
        </w:tc>
        <w:tc>
          <w:tcPr>
            <w:tcW w:w="648" w:type="dxa"/>
            <w:vAlign w:val="top"/>
          </w:tcPr>
          <w:p w14:paraId="4657D1A4">
            <w:pPr>
              <w:pStyle w:val="6"/>
              <w:spacing w:before="88" w:line="214" w:lineRule="auto"/>
              <w:ind w:left="278"/>
            </w:pPr>
            <w:r>
              <w:t>/</w:t>
            </w:r>
          </w:p>
        </w:tc>
        <w:tc>
          <w:tcPr>
            <w:tcW w:w="648" w:type="dxa"/>
            <w:vAlign w:val="top"/>
          </w:tcPr>
          <w:p w14:paraId="1746B721">
            <w:pPr>
              <w:pStyle w:val="6"/>
              <w:spacing w:before="92" w:line="210" w:lineRule="auto"/>
              <w:ind w:left="157"/>
            </w:pPr>
            <w:r>
              <w:rPr>
                <w:b/>
                <w:bCs/>
                <w:spacing w:val="-2"/>
              </w:rPr>
              <w:t>212</w:t>
            </w:r>
          </w:p>
        </w:tc>
        <w:tc>
          <w:tcPr>
            <w:tcW w:w="646" w:type="dxa"/>
            <w:vAlign w:val="top"/>
          </w:tcPr>
          <w:p w14:paraId="11A74882">
            <w:pPr>
              <w:pStyle w:val="6"/>
              <w:spacing w:before="88" w:line="214" w:lineRule="auto"/>
              <w:ind w:left="280"/>
            </w:pPr>
            <w:r>
              <w:t>/</w:t>
            </w:r>
          </w:p>
        </w:tc>
        <w:tc>
          <w:tcPr>
            <w:tcW w:w="651" w:type="dxa"/>
            <w:vAlign w:val="top"/>
          </w:tcPr>
          <w:p w14:paraId="509CFB1E">
            <w:pPr>
              <w:pStyle w:val="6"/>
              <w:spacing w:before="92" w:line="210" w:lineRule="auto"/>
              <w:ind w:left="162"/>
            </w:pPr>
            <w:r>
              <w:rPr>
                <w:b/>
                <w:bCs/>
                <w:spacing w:val="-2"/>
              </w:rPr>
              <w:t>423</w:t>
            </w:r>
          </w:p>
        </w:tc>
        <w:tc>
          <w:tcPr>
            <w:tcW w:w="648" w:type="dxa"/>
            <w:vAlign w:val="top"/>
          </w:tcPr>
          <w:p w14:paraId="08E835F0">
            <w:pPr>
              <w:pStyle w:val="6"/>
              <w:spacing w:before="88" w:line="214" w:lineRule="auto"/>
              <w:ind w:left="285"/>
            </w:pPr>
            <w:r>
              <w:t>/</w:t>
            </w:r>
          </w:p>
        </w:tc>
        <w:tc>
          <w:tcPr>
            <w:tcW w:w="650" w:type="dxa"/>
            <w:vAlign w:val="top"/>
          </w:tcPr>
          <w:p w14:paraId="27621708">
            <w:pPr>
              <w:pStyle w:val="6"/>
              <w:spacing w:before="92" w:line="210" w:lineRule="auto"/>
              <w:ind w:left="172"/>
            </w:pPr>
            <w:r>
              <w:rPr>
                <w:b/>
                <w:bCs/>
                <w:spacing w:val="-4"/>
              </w:rPr>
              <w:t>121</w:t>
            </w:r>
          </w:p>
        </w:tc>
        <w:tc>
          <w:tcPr>
            <w:tcW w:w="648" w:type="dxa"/>
            <w:vAlign w:val="top"/>
          </w:tcPr>
          <w:p w14:paraId="0076A640">
            <w:pPr>
              <w:pStyle w:val="6"/>
              <w:spacing w:before="88" w:line="214" w:lineRule="auto"/>
              <w:ind w:left="287"/>
            </w:pPr>
            <w:r>
              <w:t>/</w:t>
            </w:r>
          </w:p>
        </w:tc>
        <w:tc>
          <w:tcPr>
            <w:tcW w:w="650" w:type="dxa"/>
            <w:vAlign w:val="top"/>
          </w:tcPr>
          <w:p w14:paraId="299FC6E3">
            <w:pPr>
              <w:pStyle w:val="6"/>
              <w:spacing w:before="88" w:line="214" w:lineRule="auto"/>
              <w:ind w:left="161"/>
            </w:pPr>
            <w:r>
              <w:rPr>
                <w:spacing w:val="-6"/>
              </w:rPr>
              <w:t>12.3</w:t>
            </w:r>
          </w:p>
        </w:tc>
        <w:tc>
          <w:tcPr>
            <w:tcW w:w="648" w:type="dxa"/>
            <w:vAlign w:val="top"/>
          </w:tcPr>
          <w:p w14:paraId="065BDD9F">
            <w:pPr>
              <w:pStyle w:val="6"/>
              <w:spacing w:before="88" w:line="214" w:lineRule="auto"/>
              <w:ind w:left="291"/>
            </w:pPr>
            <w:r>
              <w:t>/</w:t>
            </w:r>
          </w:p>
        </w:tc>
        <w:tc>
          <w:tcPr>
            <w:tcW w:w="650" w:type="dxa"/>
            <w:vAlign w:val="top"/>
          </w:tcPr>
          <w:p w14:paraId="3385F209">
            <w:pPr>
              <w:pStyle w:val="6"/>
              <w:spacing w:before="92" w:line="210" w:lineRule="auto"/>
              <w:ind w:left="153"/>
            </w:pPr>
            <w:r>
              <w:rPr>
                <w:b/>
                <w:bCs/>
                <w:spacing w:val="-4"/>
              </w:rPr>
              <w:t>1.06</w:t>
            </w:r>
          </w:p>
        </w:tc>
        <w:tc>
          <w:tcPr>
            <w:tcW w:w="648" w:type="dxa"/>
            <w:vAlign w:val="top"/>
          </w:tcPr>
          <w:p w14:paraId="48EC03C2">
            <w:pPr>
              <w:pStyle w:val="6"/>
              <w:spacing w:before="88" w:line="214" w:lineRule="auto"/>
              <w:ind w:left="293"/>
            </w:pPr>
            <w:r>
              <w:t>/</w:t>
            </w:r>
          </w:p>
        </w:tc>
        <w:tc>
          <w:tcPr>
            <w:tcW w:w="650" w:type="dxa"/>
            <w:vAlign w:val="top"/>
          </w:tcPr>
          <w:p w14:paraId="3C2817A9">
            <w:pPr>
              <w:pStyle w:val="6"/>
              <w:spacing w:before="92" w:line="210" w:lineRule="auto"/>
              <w:ind w:left="156"/>
            </w:pPr>
            <w:r>
              <w:rPr>
                <w:b/>
                <w:bCs/>
                <w:spacing w:val="-4"/>
              </w:rPr>
              <w:t>11.9</w:t>
            </w:r>
          </w:p>
        </w:tc>
        <w:tc>
          <w:tcPr>
            <w:tcW w:w="873" w:type="dxa"/>
            <w:vAlign w:val="top"/>
          </w:tcPr>
          <w:p w14:paraId="10119990">
            <w:pPr>
              <w:pStyle w:val="6"/>
              <w:spacing w:before="88" w:line="214" w:lineRule="auto"/>
              <w:ind w:left="409"/>
            </w:pPr>
            <w:r>
              <w:t>/</w:t>
            </w:r>
          </w:p>
        </w:tc>
        <w:tc>
          <w:tcPr>
            <w:tcW w:w="872" w:type="dxa"/>
            <w:vAlign w:val="top"/>
          </w:tcPr>
          <w:p w14:paraId="2A47E732">
            <w:pPr>
              <w:pStyle w:val="6"/>
              <w:spacing w:before="92" w:line="210" w:lineRule="auto"/>
              <w:ind w:left="183"/>
            </w:pPr>
            <w:r>
              <w:rPr>
                <w:b/>
                <w:bCs/>
                <w:spacing w:val="-1"/>
              </w:rPr>
              <w:t>24000</w:t>
            </w:r>
          </w:p>
        </w:tc>
        <w:tc>
          <w:tcPr>
            <w:tcW w:w="872" w:type="dxa"/>
            <w:vAlign w:val="top"/>
          </w:tcPr>
          <w:p w14:paraId="003FC474">
            <w:pPr>
              <w:pStyle w:val="6"/>
              <w:spacing w:before="88" w:line="214" w:lineRule="auto"/>
              <w:ind w:left="412"/>
            </w:pPr>
            <w:r>
              <w:t>/</w:t>
            </w:r>
          </w:p>
        </w:tc>
        <w:tc>
          <w:tcPr>
            <w:tcW w:w="883" w:type="dxa"/>
            <w:tcBorders>
              <w:right w:val="single" w:color="000000" w:sz="12" w:space="0"/>
            </w:tcBorders>
            <w:vAlign w:val="top"/>
          </w:tcPr>
          <w:p w14:paraId="0F858755">
            <w:pPr>
              <w:pStyle w:val="6"/>
              <w:spacing w:before="88" w:line="214" w:lineRule="auto"/>
              <w:ind w:left="283"/>
            </w:pPr>
            <w:r>
              <w:rPr>
                <w:spacing w:val="-6"/>
              </w:rPr>
              <w:t>1.51</w:t>
            </w:r>
          </w:p>
        </w:tc>
      </w:tr>
      <w:tr w14:paraId="4CC95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2C1D8B71">
            <w:pPr>
              <w:rPr>
                <w:rFonts w:ascii="Arial"/>
                <w:sz w:val="21"/>
              </w:rPr>
            </w:pPr>
          </w:p>
        </w:tc>
        <w:tc>
          <w:tcPr>
            <w:tcW w:w="283" w:type="dxa"/>
            <w:vMerge w:val="continue"/>
            <w:tcBorders>
              <w:top w:val="nil"/>
              <w:bottom w:val="nil"/>
            </w:tcBorders>
            <w:vAlign w:val="top"/>
          </w:tcPr>
          <w:p w14:paraId="7B0170AE">
            <w:pPr>
              <w:rPr>
                <w:rFonts w:ascii="Arial"/>
                <w:sz w:val="21"/>
              </w:rPr>
            </w:pPr>
          </w:p>
        </w:tc>
        <w:tc>
          <w:tcPr>
            <w:tcW w:w="1134" w:type="dxa"/>
            <w:vAlign w:val="top"/>
          </w:tcPr>
          <w:p w14:paraId="5047096B">
            <w:pPr>
              <w:pStyle w:val="6"/>
              <w:spacing w:before="88" w:line="213" w:lineRule="auto"/>
              <w:ind w:left="128"/>
            </w:pPr>
            <w:r>
              <w:rPr>
                <w:spacing w:val="-1"/>
              </w:rPr>
              <w:t>2020/5/21</w:t>
            </w:r>
          </w:p>
        </w:tc>
        <w:tc>
          <w:tcPr>
            <w:tcW w:w="648" w:type="dxa"/>
            <w:vAlign w:val="top"/>
          </w:tcPr>
          <w:p w14:paraId="1281A533">
            <w:pPr>
              <w:pStyle w:val="6"/>
              <w:spacing w:before="88" w:line="213" w:lineRule="auto"/>
              <w:ind w:left="278"/>
            </w:pPr>
            <w:r>
              <w:t>/</w:t>
            </w:r>
          </w:p>
        </w:tc>
        <w:tc>
          <w:tcPr>
            <w:tcW w:w="648" w:type="dxa"/>
            <w:vAlign w:val="top"/>
          </w:tcPr>
          <w:p w14:paraId="6BBFB377">
            <w:pPr>
              <w:pStyle w:val="6"/>
              <w:spacing w:before="92" w:line="209" w:lineRule="auto"/>
              <w:ind w:left="157"/>
            </w:pPr>
            <w:r>
              <w:rPr>
                <w:b/>
                <w:bCs/>
                <w:spacing w:val="-2"/>
              </w:rPr>
              <w:t>206</w:t>
            </w:r>
          </w:p>
        </w:tc>
        <w:tc>
          <w:tcPr>
            <w:tcW w:w="646" w:type="dxa"/>
            <w:vAlign w:val="top"/>
          </w:tcPr>
          <w:p w14:paraId="6DAD1B51">
            <w:pPr>
              <w:pStyle w:val="6"/>
              <w:spacing w:before="88" w:line="213" w:lineRule="auto"/>
              <w:ind w:left="280"/>
            </w:pPr>
            <w:r>
              <w:t>/</w:t>
            </w:r>
          </w:p>
        </w:tc>
        <w:tc>
          <w:tcPr>
            <w:tcW w:w="651" w:type="dxa"/>
            <w:vAlign w:val="top"/>
          </w:tcPr>
          <w:p w14:paraId="7918980A">
            <w:pPr>
              <w:pStyle w:val="6"/>
              <w:spacing w:before="92" w:line="209" w:lineRule="auto"/>
              <w:ind w:left="162"/>
            </w:pPr>
            <w:r>
              <w:rPr>
                <w:b/>
                <w:bCs/>
                <w:spacing w:val="-2"/>
              </w:rPr>
              <w:t>406</w:t>
            </w:r>
          </w:p>
        </w:tc>
        <w:tc>
          <w:tcPr>
            <w:tcW w:w="648" w:type="dxa"/>
            <w:vAlign w:val="top"/>
          </w:tcPr>
          <w:p w14:paraId="705A6060">
            <w:pPr>
              <w:pStyle w:val="6"/>
              <w:spacing w:before="88" w:line="213" w:lineRule="auto"/>
              <w:ind w:left="285"/>
            </w:pPr>
            <w:r>
              <w:t>/</w:t>
            </w:r>
          </w:p>
        </w:tc>
        <w:tc>
          <w:tcPr>
            <w:tcW w:w="650" w:type="dxa"/>
            <w:vAlign w:val="top"/>
          </w:tcPr>
          <w:p w14:paraId="571F72B7">
            <w:pPr>
              <w:pStyle w:val="6"/>
              <w:spacing w:before="92" w:line="209" w:lineRule="auto"/>
              <w:ind w:left="172"/>
            </w:pPr>
            <w:r>
              <w:rPr>
                <w:b/>
                <w:bCs/>
                <w:spacing w:val="-4"/>
              </w:rPr>
              <w:t>118</w:t>
            </w:r>
          </w:p>
        </w:tc>
        <w:tc>
          <w:tcPr>
            <w:tcW w:w="648" w:type="dxa"/>
            <w:vAlign w:val="top"/>
          </w:tcPr>
          <w:p w14:paraId="6724C31B">
            <w:pPr>
              <w:pStyle w:val="6"/>
              <w:spacing w:before="88" w:line="213" w:lineRule="auto"/>
              <w:ind w:left="287"/>
            </w:pPr>
            <w:r>
              <w:t>/</w:t>
            </w:r>
          </w:p>
        </w:tc>
        <w:tc>
          <w:tcPr>
            <w:tcW w:w="650" w:type="dxa"/>
            <w:vAlign w:val="top"/>
          </w:tcPr>
          <w:p w14:paraId="54B07D51">
            <w:pPr>
              <w:pStyle w:val="6"/>
              <w:spacing w:before="88" w:line="213" w:lineRule="auto"/>
              <w:ind w:left="161"/>
            </w:pPr>
            <w:r>
              <w:rPr>
                <w:spacing w:val="-6"/>
              </w:rPr>
              <w:t>11.6</w:t>
            </w:r>
          </w:p>
        </w:tc>
        <w:tc>
          <w:tcPr>
            <w:tcW w:w="648" w:type="dxa"/>
            <w:vAlign w:val="top"/>
          </w:tcPr>
          <w:p w14:paraId="4C0835AB">
            <w:pPr>
              <w:pStyle w:val="6"/>
              <w:spacing w:before="88" w:line="213" w:lineRule="auto"/>
              <w:ind w:left="291"/>
            </w:pPr>
            <w:r>
              <w:t>/</w:t>
            </w:r>
          </w:p>
        </w:tc>
        <w:tc>
          <w:tcPr>
            <w:tcW w:w="650" w:type="dxa"/>
            <w:vAlign w:val="top"/>
          </w:tcPr>
          <w:p w14:paraId="032CBA91">
            <w:pPr>
              <w:pStyle w:val="6"/>
              <w:spacing w:before="92" w:line="209" w:lineRule="auto"/>
              <w:ind w:left="153"/>
            </w:pPr>
            <w:r>
              <w:rPr>
                <w:b/>
                <w:bCs/>
                <w:spacing w:val="-4"/>
              </w:rPr>
              <w:t>1.11</w:t>
            </w:r>
          </w:p>
        </w:tc>
        <w:tc>
          <w:tcPr>
            <w:tcW w:w="648" w:type="dxa"/>
            <w:vAlign w:val="top"/>
          </w:tcPr>
          <w:p w14:paraId="59F630B2">
            <w:pPr>
              <w:pStyle w:val="6"/>
              <w:spacing w:before="88" w:line="213" w:lineRule="auto"/>
              <w:ind w:left="293"/>
            </w:pPr>
            <w:r>
              <w:t>/</w:t>
            </w:r>
          </w:p>
        </w:tc>
        <w:tc>
          <w:tcPr>
            <w:tcW w:w="650" w:type="dxa"/>
            <w:vAlign w:val="top"/>
          </w:tcPr>
          <w:p w14:paraId="68370BFC">
            <w:pPr>
              <w:pStyle w:val="6"/>
              <w:spacing w:before="92" w:line="209" w:lineRule="auto"/>
              <w:ind w:left="156"/>
            </w:pPr>
            <w:r>
              <w:rPr>
                <w:b/>
                <w:bCs/>
                <w:spacing w:val="-4"/>
              </w:rPr>
              <w:t>12.3</w:t>
            </w:r>
          </w:p>
        </w:tc>
        <w:tc>
          <w:tcPr>
            <w:tcW w:w="873" w:type="dxa"/>
            <w:vAlign w:val="top"/>
          </w:tcPr>
          <w:p w14:paraId="7D2D95FD">
            <w:pPr>
              <w:pStyle w:val="6"/>
              <w:spacing w:before="88" w:line="213" w:lineRule="auto"/>
              <w:ind w:left="409"/>
            </w:pPr>
            <w:r>
              <w:t>/</w:t>
            </w:r>
          </w:p>
        </w:tc>
        <w:tc>
          <w:tcPr>
            <w:tcW w:w="872" w:type="dxa"/>
            <w:vAlign w:val="top"/>
          </w:tcPr>
          <w:p w14:paraId="36FCC641">
            <w:pPr>
              <w:pStyle w:val="6"/>
              <w:spacing w:before="92" w:line="209" w:lineRule="auto"/>
              <w:ind w:left="183"/>
            </w:pPr>
            <w:r>
              <w:rPr>
                <w:b/>
                <w:bCs/>
                <w:spacing w:val="-1"/>
              </w:rPr>
              <w:t>21000</w:t>
            </w:r>
          </w:p>
        </w:tc>
        <w:tc>
          <w:tcPr>
            <w:tcW w:w="872" w:type="dxa"/>
            <w:vAlign w:val="top"/>
          </w:tcPr>
          <w:p w14:paraId="271F1B8E">
            <w:pPr>
              <w:pStyle w:val="6"/>
              <w:spacing w:before="88" w:line="213" w:lineRule="auto"/>
              <w:ind w:left="412"/>
            </w:pPr>
            <w:r>
              <w:t>/</w:t>
            </w:r>
          </w:p>
        </w:tc>
        <w:tc>
          <w:tcPr>
            <w:tcW w:w="883" w:type="dxa"/>
            <w:tcBorders>
              <w:right w:val="single" w:color="000000" w:sz="12" w:space="0"/>
            </w:tcBorders>
            <w:vAlign w:val="top"/>
          </w:tcPr>
          <w:p w14:paraId="79C7D2E6">
            <w:pPr>
              <w:pStyle w:val="6"/>
              <w:spacing w:before="88" w:line="213" w:lineRule="auto"/>
              <w:ind w:left="283"/>
            </w:pPr>
            <w:r>
              <w:rPr>
                <w:spacing w:val="-6"/>
              </w:rPr>
              <w:t>1.53</w:t>
            </w:r>
          </w:p>
        </w:tc>
      </w:tr>
      <w:tr w14:paraId="5D5D6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17758360">
            <w:pPr>
              <w:rPr>
                <w:rFonts w:ascii="Arial"/>
                <w:sz w:val="21"/>
              </w:rPr>
            </w:pPr>
          </w:p>
        </w:tc>
        <w:tc>
          <w:tcPr>
            <w:tcW w:w="283" w:type="dxa"/>
            <w:vMerge w:val="continue"/>
            <w:tcBorders>
              <w:top w:val="nil"/>
            </w:tcBorders>
            <w:vAlign w:val="top"/>
          </w:tcPr>
          <w:p w14:paraId="626DC0DB">
            <w:pPr>
              <w:rPr>
                <w:rFonts w:ascii="Arial"/>
                <w:sz w:val="21"/>
              </w:rPr>
            </w:pPr>
          </w:p>
        </w:tc>
        <w:tc>
          <w:tcPr>
            <w:tcW w:w="1134" w:type="dxa"/>
            <w:vAlign w:val="top"/>
          </w:tcPr>
          <w:p w14:paraId="7ED44EC4">
            <w:pPr>
              <w:pStyle w:val="6"/>
              <w:spacing w:before="90" w:line="211" w:lineRule="auto"/>
              <w:ind w:left="128"/>
            </w:pPr>
            <w:r>
              <w:rPr>
                <w:spacing w:val="-1"/>
              </w:rPr>
              <w:t>2020/5/22</w:t>
            </w:r>
          </w:p>
        </w:tc>
        <w:tc>
          <w:tcPr>
            <w:tcW w:w="648" w:type="dxa"/>
            <w:vAlign w:val="top"/>
          </w:tcPr>
          <w:p w14:paraId="363AE245">
            <w:pPr>
              <w:pStyle w:val="6"/>
              <w:spacing w:before="90" w:line="211" w:lineRule="auto"/>
              <w:ind w:left="278"/>
            </w:pPr>
            <w:r>
              <w:t>/</w:t>
            </w:r>
          </w:p>
        </w:tc>
        <w:tc>
          <w:tcPr>
            <w:tcW w:w="648" w:type="dxa"/>
            <w:vAlign w:val="top"/>
          </w:tcPr>
          <w:p w14:paraId="2123DB12">
            <w:pPr>
              <w:pStyle w:val="6"/>
              <w:spacing w:before="95" w:line="206" w:lineRule="auto"/>
              <w:ind w:left="157"/>
            </w:pPr>
            <w:r>
              <w:rPr>
                <w:b/>
                <w:bCs/>
                <w:spacing w:val="-2"/>
              </w:rPr>
              <w:t>220</w:t>
            </w:r>
          </w:p>
        </w:tc>
        <w:tc>
          <w:tcPr>
            <w:tcW w:w="646" w:type="dxa"/>
            <w:vAlign w:val="top"/>
          </w:tcPr>
          <w:p w14:paraId="0856D26F">
            <w:pPr>
              <w:pStyle w:val="6"/>
              <w:spacing w:before="90" w:line="211" w:lineRule="auto"/>
              <w:ind w:left="280"/>
            </w:pPr>
            <w:r>
              <w:t>/</w:t>
            </w:r>
          </w:p>
        </w:tc>
        <w:tc>
          <w:tcPr>
            <w:tcW w:w="651" w:type="dxa"/>
            <w:vAlign w:val="top"/>
          </w:tcPr>
          <w:p w14:paraId="6C5B3BCD">
            <w:pPr>
              <w:pStyle w:val="6"/>
              <w:spacing w:before="95" w:line="206" w:lineRule="auto"/>
              <w:ind w:left="162"/>
            </w:pPr>
            <w:r>
              <w:rPr>
                <w:b/>
                <w:bCs/>
                <w:spacing w:val="-2"/>
              </w:rPr>
              <w:t>434</w:t>
            </w:r>
          </w:p>
        </w:tc>
        <w:tc>
          <w:tcPr>
            <w:tcW w:w="648" w:type="dxa"/>
            <w:vAlign w:val="top"/>
          </w:tcPr>
          <w:p w14:paraId="476F4EA4">
            <w:pPr>
              <w:pStyle w:val="6"/>
              <w:spacing w:before="90" w:line="211" w:lineRule="auto"/>
              <w:ind w:left="285"/>
            </w:pPr>
            <w:r>
              <w:t>/</w:t>
            </w:r>
          </w:p>
        </w:tc>
        <w:tc>
          <w:tcPr>
            <w:tcW w:w="650" w:type="dxa"/>
            <w:vAlign w:val="top"/>
          </w:tcPr>
          <w:p w14:paraId="012C77D0">
            <w:pPr>
              <w:pStyle w:val="6"/>
              <w:spacing w:before="95" w:line="206" w:lineRule="auto"/>
              <w:ind w:left="172"/>
            </w:pPr>
            <w:r>
              <w:rPr>
                <w:b/>
                <w:bCs/>
                <w:spacing w:val="-4"/>
              </w:rPr>
              <w:t>135</w:t>
            </w:r>
          </w:p>
        </w:tc>
        <w:tc>
          <w:tcPr>
            <w:tcW w:w="648" w:type="dxa"/>
            <w:vAlign w:val="top"/>
          </w:tcPr>
          <w:p w14:paraId="44103E0C">
            <w:pPr>
              <w:pStyle w:val="6"/>
              <w:spacing w:before="90" w:line="211" w:lineRule="auto"/>
              <w:ind w:left="287"/>
            </w:pPr>
            <w:r>
              <w:t>/</w:t>
            </w:r>
          </w:p>
        </w:tc>
        <w:tc>
          <w:tcPr>
            <w:tcW w:w="650" w:type="dxa"/>
            <w:vAlign w:val="top"/>
          </w:tcPr>
          <w:p w14:paraId="195D5299">
            <w:pPr>
              <w:pStyle w:val="6"/>
              <w:spacing w:before="90" w:line="211" w:lineRule="auto"/>
              <w:ind w:left="161"/>
            </w:pPr>
            <w:r>
              <w:rPr>
                <w:spacing w:val="-6"/>
              </w:rPr>
              <w:t>13.1</w:t>
            </w:r>
          </w:p>
        </w:tc>
        <w:tc>
          <w:tcPr>
            <w:tcW w:w="648" w:type="dxa"/>
            <w:vAlign w:val="top"/>
          </w:tcPr>
          <w:p w14:paraId="53E2C729">
            <w:pPr>
              <w:pStyle w:val="6"/>
              <w:spacing w:before="90" w:line="211" w:lineRule="auto"/>
              <w:ind w:left="291"/>
            </w:pPr>
            <w:r>
              <w:t>/</w:t>
            </w:r>
          </w:p>
        </w:tc>
        <w:tc>
          <w:tcPr>
            <w:tcW w:w="650" w:type="dxa"/>
            <w:vAlign w:val="top"/>
          </w:tcPr>
          <w:p w14:paraId="4E2C6EA3">
            <w:pPr>
              <w:pStyle w:val="6"/>
              <w:spacing w:before="95" w:line="206" w:lineRule="auto"/>
              <w:ind w:left="153"/>
            </w:pPr>
            <w:r>
              <w:rPr>
                <w:b/>
                <w:bCs/>
                <w:spacing w:val="-4"/>
              </w:rPr>
              <w:t>1.03</w:t>
            </w:r>
          </w:p>
        </w:tc>
        <w:tc>
          <w:tcPr>
            <w:tcW w:w="648" w:type="dxa"/>
            <w:vAlign w:val="top"/>
          </w:tcPr>
          <w:p w14:paraId="4DD1434D">
            <w:pPr>
              <w:pStyle w:val="6"/>
              <w:spacing w:before="90" w:line="211" w:lineRule="auto"/>
              <w:ind w:left="293"/>
            </w:pPr>
            <w:r>
              <w:t>/</w:t>
            </w:r>
          </w:p>
        </w:tc>
        <w:tc>
          <w:tcPr>
            <w:tcW w:w="650" w:type="dxa"/>
            <w:vAlign w:val="top"/>
          </w:tcPr>
          <w:p w14:paraId="5E4D1AC2">
            <w:pPr>
              <w:pStyle w:val="6"/>
              <w:spacing w:before="95" w:line="206" w:lineRule="auto"/>
              <w:ind w:left="156"/>
            </w:pPr>
            <w:r>
              <w:rPr>
                <w:b/>
                <w:bCs/>
                <w:spacing w:val="-4"/>
              </w:rPr>
              <w:t>11.7</w:t>
            </w:r>
          </w:p>
        </w:tc>
        <w:tc>
          <w:tcPr>
            <w:tcW w:w="873" w:type="dxa"/>
            <w:vAlign w:val="top"/>
          </w:tcPr>
          <w:p w14:paraId="564173A2">
            <w:pPr>
              <w:pStyle w:val="6"/>
              <w:spacing w:before="90" w:line="211" w:lineRule="auto"/>
              <w:ind w:left="409"/>
            </w:pPr>
            <w:r>
              <w:t>/</w:t>
            </w:r>
          </w:p>
        </w:tc>
        <w:tc>
          <w:tcPr>
            <w:tcW w:w="872" w:type="dxa"/>
            <w:vAlign w:val="top"/>
          </w:tcPr>
          <w:p w14:paraId="2946B0B7">
            <w:pPr>
              <w:pStyle w:val="6"/>
              <w:spacing w:before="95" w:line="206" w:lineRule="auto"/>
              <w:ind w:left="183"/>
            </w:pPr>
            <w:r>
              <w:rPr>
                <w:b/>
                <w:bCs/>
                <w:spacing w:val="-1"/>
              </w:rPr>
              <w:t>22000</w:t>
            </w:r>
          </w:p>
        </w:tc>
        <w:tc>
          <w:tcPr>
            <w:tcW w:w="872" w:type="dxa"/>
            <w:vAlign w:val="top"/>
          </w:tcPr>
          <w:p w14:paraId="227984A5">
            <w:pPr>
              <w:pStyle w:val="6"/>
              <w:spacing w:before="90" w:line="211" w:lineRule="auto"/>
              <w:ind w:left="412"/>
            </w:pPr>
            <w:r>
              <w:t>/</w:t>
            </w:r>
          </w:p>
        </w:tc>
        <w:tc>
          <w:tcPr>
            <w:tcW w:w="883" w:type="dxa"/>
            <w:tcBorders>
              <w:right w:val="single" w:color="000000" w:sz="12" w:space="0"/>
            </w:tcBorders>
            <w:vAlign w:val="top"/>
          </w:tcPr>
          <w:p w14:paraId="4FA76EB5">
            <w:pPr>
              <w:pStyle w:val="6"/>
              <w:spacing w:before="90" w:line="211" w:lineRule="auto"/>
              <w:ind w:left="283"/>
            </w:pPr>
            <w:r>
              <w:rPr>
                <w:spacing w:val="-6"/>
              </w:rPr>
              <w:t>1.49</w:t>
            </w:r>
          </w:p>
        </w:tc>
      </w:tr>
      <w:tr w14:paraId="6B554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4" w:type="dxa"/>
            <w:vMerge w:val="continue"/>
            <w:tcBorders>
              <w:top w:val="nil"/>
              <w:left w:val="single" w:color="000000" w:sz="12" w:space="0"/>
              <w:bottom w:val="nil"/>
            </w:tcBorders>
            <w:vAlign w:val="top"/>
          </w:tcPr>
          <w:p w14:paraId="43FC2F6A">
            <w:pPr>
              <w:rPr>
                <w:rFonts w:ascii="Arial"/>
                <w:sz w:val="21"/>
              </w:rPr>
            </w:pPr>
          </w:p>
        </w:tc>
        <w:tc>
          <w:tcPr>
            <w:tcW w:w="283" w:type="dxa"/>
            <w:vMerge w:val="restart"/>
            <w:tcBorders>
              <w:bottom w:val="nil"/>
            </w:tcBorders>
            <w:vAlign w:val="top"/>
          </w:tcPr>
          <w:p w14:paraId="7581EED0">
            <w:pPr>
              <w:pStyle w:val="6"/>
              <w:spacing w:before="190" w:line="230" w:lineRule="auto"/>
              <w:ind w:left="24" w:right="45" w:firstLine="48"/>
              <w:jc w:val="both"/>
              <w:rPr>
                <w:rFonts w:ascii="宋体" w:hAnsi="宋体" w:eastAsia="宋体" w:cs="宋体"/>
              </w:rPr>
            </w:pPr>
            <w:r>
              <w:rPr>
                <w:spacing w:val="-4"/>
              </w:rPr>
              <w:t>4</w:t>
            </w:r>
            <w:r>
              <w:rPr>
                <w:rFonts w:ascii="宋体" w:hAnsi="宋体" w:eastAsia="宋体" w:cs="宋体"/>
                <w:spacing w:val="-8"/>
              </w:rPr>
              <w:t>季度</w:t>
            </w:r>
          </w:p>
        </w:tc>
        <w:tc>
          <w:tcPr>
            <w:tcW w:w="1134" w:type="dxa"/>
            <w:vAlign w:val="top"/>
          </w:tcPr>
          <w:p w14:paraId="59AFC50E">
            <w:pPr>
              <w:pStyle w:val="6"/>
              <w:spacing w:before="91" w:line="232" w:lineRule="auto"/>
              <w:ind w:left="75"/>
            </w:pPr>
            <w:r>
              <w:rPr>
                <w:spacing w:val="-1"/>
              </w:rPr>
              <w:t>2020/11/15</w:t>
            </w:r>
          </w:p>
        </w:tc>
        <w:tc>
          <w:tcPr>
            <w:tcW w:w="648" w:type="dxa"/>
            <w:vAlign w:val="top"/>
          </w:tcPr>
          <w:p w14:paraId="40B1BB6F">
            <w:pPr>
              <w:pStyle w:val="6"/>
              <w:spacing w:before="107" w:line="226" w:lineRule="auto"/>
              <w:ind w:left="278"/>
            </w:pPr>
            <w:r>
              <w:t>/</w:t>
            </w:r>
          </w:p>
        </w:tc>
        <w:tc>
          <w:tcPr>
            <w:tcW w:w="648" w:type="dxa"/>
            <w:vAlign w:val="top"/>
          </w:tcPr>
          <w:p w14:paraId="58431240">
            <w:pPr>
              <w:pStyle w:val="6"/>
              <w:spacing w:before="111" w:line="222" w:lineRule="auto"/>
              <w:ind w:left="155"/>
            </w:pPr>
            <w:r>
              <w:rPr>
                <w:b/>
                <w:bCs/>
                <w:spacing w:val="-1"/>
              </w:rPr>
              <w:t>394</w:t>
            </w:r>
          </w:p>
        </w:tc>
        <w:tc>
          <w:tcPr>
            <w:tcW w:w="646" w:type="dxa"/>
            <w:vAlign w:val="top"/>
          </w:tcPr>
          <w:p w14:paraId="6E0F6D7E">
            <w:pPr>
              <w:pStyle w:val="6"/>
              <w:spacing w:before="107" w:line="226" w:lineRule="auto"/>
              <w:ind w:left="280"/>
            </w:pPr>
            <w:r>
              <w:t>/</w:t>
            </w:r>
          </w:p>
        </w:tc>
        <w:tc>
          <w:tcPr>
            <w:tcW w:w="651" w:type="dxa"/>
            <w:vAlign w:val="top"/>
          </w:tcPr>
          <w:p w14:paraId="7BF6471D">
            <w:pPr>
              <w:pStyle w:val="6"/>
              <w:spacing w:before="111" w:line="222" w:lineRule="auto"/>
              <w:ind w:left="164"/>
            </w:pPr>
            <w:r>
              <w:rPr>
                <w:b/>
                <w:bCs/>
                <w:spacing w:val="-2"/>
              </w:rPr>
              <w:t>710</w:t>
            </w:r>
          </w:p>
        </w:tc>
        <w:tc>
          <w:tcPr>
            <w:tcW w:w="648" w:type="dxa"/>
            <w:vAlign w:val="top"/>
          </w:tcPr>
          <w:p w14:paraId="64F53918">
            <w:pPr>
              <w:pStyle w:val="6"/>
              <w:spacing w:before="107" w:line="226" w:lineRule="auto"/>
              <w:ind w:left="285"/>
            </w:pPr>
            <w:r>
              <w:t>/</w:t>
            </w:r>
          </w:p>
        </w:tc>
        <w:tc>
          <w:tcPr>
            <w:tcW w:w="650" w:type="dxa"/>
            <w:vAlign w:val="top"/>
          </w:tcPr>
          <w:p w14:paraId="1C82121C">
            <w:pPr>
              <w:pStyle w:val="6"/>
              <w:spacing w:before="111" w:line="222" w:lineRule="auto"/>
              <w:ind w:left="163"/>
            </w:pPr>
            <w:r>
              <w:rPr>
                <w:b/>
                <w:bCs/>
                <w:spacing w:val="-2"/>
              </w:rPr>
              <w:t>225</w:t>
            </w:r>
          </w:p>
        </w:tc>
        <w:tc>
          <w:tcPr>
            <w:tcW w:w="648" w:type="dxa"/>
            <w:vAlign w:val="top"/>
          </w:tcPr>
          <w:p w14:paraId="3E966757">
            <w:pPr>
              <w:pStyle w:val="6"/>
              <w:spacing w:before="107" w:line="226" w:lineRule="auto"/>
              <w:ind w:left="287"/>
            </w:pPr>
            <w:r>
              <w:t>/</w:t>
            </w:r>
          </w:p>
        </w:tc>
        <w:tc>
          <w:tcPr>
            <w:tcW w:w="650" w:type="dxa"/>
            <w:vAlign w:val="top"/>
          </w:tcPr>
          <w:p w14:paraId="37313FFF">
            <w:pPr>
              <w:pStyle w:val="6"/>
              <w:spacing w:before="111" w:line="222" w:lineRule="auto"/>
              <w:ind w:left="141"/>
            </w:pPr>
            <w:r>
              <w:rPr>
                <w:b/>
                <w:bCs/>
                <w:spacing w:val="-1"/>
              </w:rPr>
              <w:t>21.7</w:t>
            </w:r>
          </w:p>
        </w:tc>
        <w:tc>
          <w:tcPr>
            <w:tcW w:w="648" w:type="dxa"/>
            <w:vAlign w:val="top"/>
          </w:tcPr>
          <w:p w14:paraId="595F81F9">
            <w:pPr>
              <w:pStyle w:val="6"/>
              <w:spacing w:before="107" w:line="226" w:lineRule="auto"/>
              <w:ind w:left="291"/>
            </w:pPr>
            <w:r>
              <w:t>/</w:t>
            </w:r>
          </w:p>
        </w:tc>
        <w:tc>
          <w:tcPr>
            <w:tcW w:w="650" w:type="dxa"/>
            <w:vAlign w:val="top"/>
          </w:tcPr>
          <w:p w14:paraId="192A74F3">
            <w:pPr>
              <w:pStyle w:val="6"/>
              <w:spacing w:before="111" w:line="222" w:lineRule="auto"/>
              <w:ind w:left="144"/>
            </w:pPr>
            <w:r>
              <w:rPr>
                <w:b/>
                <w:bCs/>
                <w:spacing w:val="-2"/>
              </w:rPr>
              <w:t>2.89</w:t>
            </w:r>
          </w:p>
        </w:tc>
        <w:tc>
          <w:tcPr>
            <w:tcW w:w="648" w:type="dxa"/>
            <w:vAlign w:val="top"/>
          </w:tcPr>
          <w:p w14:paraId="56DC808A">
            <w:pPr>
              <w:pStyle w:val="6"/>
              <w:spacing w:before="107" w:line="226" w:lineRule="auto"/>
              <w:ind w:left="293"/>
            </w:pPr>
            <w:r>
              <w:t>/</w:t>
            </w:r>
          </w:p>
        </w:tc>
        <w:tc>
          <w:tcPr>
            <w:tcW w:w="650" w:type="dxa"/>
            <w:vAlign w:val="top"/>
          </w:tcPr>
          <w:p w14:paraId="05C7AF71">
            <w:pPr>
              <w:pStyle w:val="6"/>
              <w:spacing w:before="111" w:line="222" w:lineRule="auto"/>
              <w:ind w:left="147"/>
            </w:pPr>
            <w:r>
              <w:rPr>
                <w:b/>
                <w:bCs/>
                <w:spacing w:val="-2"/>
              </w:rPr>
              <w:t>42.1</w:t>
            </w:r>
          </w:p>
        </w:tc>
        <w:tc>
          <w:tcPr>
            <w:tcW w:w="873" w:type="dxa"/>
            <w:vAlign w:val="top"/>
          </w:tcPr>
          <w:p w14:paraId="53AC7A19">
            <w:pPr>
              <w:pStyle w:val="6"/>
              <w:spacing w:before="107" w:line="226" w:lineRule="auto"/>
              <w:ind w:left="409"/>
            </w:pPr>
            <w:r>
              <w:t>/</w:t>
            </w:r>
          </w:p>
        </w:tc>
        <w:tc>
          <w:tcPr>
            <w:tcW w:w="872" w:type="dxa"/>
            <w:vAlign w:val="top"/>
          </w:tcPr>
          <w:p w14:paraId="7263CA1A">
            <w:pPr>
              <w:pStyle w:val="6"/>
              <w:spacing w:before="73" w:line="230" w:lineRule="auto"/>
              <w:ind w:left="78"/>
              <w:rPr>
                <w:sz w:val="14"/>
                <w:szCs w:val="14"/>
              </w:rPr>
            </w:pPr>
            <w:r>
              <w:rPr>
                <w:b/>
                <w:bCs/>
                <w:spacing w:val="-3"/>
              </w:rPr>
              <w:t>1.4</w:t>
            </w:r>
            <w:r>
              <w:rPr>
                <w:rFonts w:ascii="宋体" w:hAnsi="宋体" w:eastAsia="宋体" w:cs="宋体"/>
                <w:b/>
                <w:bCs/>
                <w:spacing w:val="-3"/>
              </w:rPr>
              <w:t>×</w:t>
            </w:r>
            <w:r>
              <w:rPr>
                <w:b/>
                <w:bCs/>
                <w:spacing w:val="-3"/>
              </w:rPr>
              <w:t>10</w:t>
            </w:r>
            <w:r>
              <w:rPr>
                <w:b/>
                <w:bCs/>
                <w:spacing w:val="-3"/>
                <w:position w:val="6"/>
                <w:sz w:val="14"/>
                <w:szCs w:val="14"/>
              </w:rPr>
              <w:t>6</w:t>
            </w:r>
          </w:p>
        </w:tc>
        <w:tc>
          <w:tcPr>
            <w:tcW w:w="872" w:type="dxa"/>
            <w:vAlign w:val="top"/>
          </w:tcPr>
          <w:p w14:paraId="0F052E58">
            <w:pPr>
              <w:pStyle w:val="6"/>
              <w:spacing w:before="107" w:line="226" w:lineRule="auto"/>
              <w:ind w:left="412"/>
            </w:pPr>
            <w:r>
              <w:t>/</w:t>
            </w:r>
          </w:p>
        </w:tc>
        <w:tc>
          <w:tcPr>
            <w:tcW w:w="883" w:type="dxa"/>
            <w:tcBorders>
              <w:right w:val="single" w:color="000000" w:sz="12" w:space="0"/>
            </w:tcBorders>
            <w:vAlign w:val="top"/>
          </w:tcPr>
          <w:p w14:paraId="4BF4F903">
            <w:pPr>
              <w:pStyle w:val="6"/>
              <w:spacing w:before="107" w:line="226" w:lineRule="auto"/>
              <w:ind w:left="267"/>
            </w:pPr>
            <w:r>
              <w:rPr>
                <w:spacing w:val="-2"/>
              </w:rPr>
              <w:t>3.44</w:t>
            </w:r>
          </w:p>
        </w:tc>
      </w:tr>
      <w:tr w14:paraId="2ED25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bottom w:val="nil"/>
            </w:tcBorders>
            <w:vAlign w:val="top"/>
          </w:tcPr>
          <w:p w14:paraId="492635E1">
            <w:pPr>
              <w:rPr>
                <w:rFonts w:ascii="Arial"/>
                <w:sz w:val="21"/>
              </w:rPr>
            </w:pPr>
          </w:p>
        </w:tc>
        <w:tc>
          <w:tcPr>
            <w:tcW w:w="283" w:type="dxa"/>
            <w:vMerge w:val="continue"/>
            <w:tcBorders>
              <w:top w:val="nil"/>
              <w:bottom w:val="nil"/>
            </w:tcBorders>
            <w:vAlign w:val="top"/>
          </w:tcPr>
          <w:p w14:paraId="41B388BB">
            <w:pPr>
              <w:rPr>
                <w:rFonts w:ascii="Arial"/>
                <w:sz w:val="21"/>
              </w:rPr>
            </w:pPr>
          </w:p>
        </w:tc>
        <w:tc>
          <w:tcPr>
            <w:tcW w:w="1134" w:type="dxa"/>
            <w:vAlign w:val="top"/>
          </w:tcPr>
          <w:p w14:paraId="62B836DC">
            <w:pPr>
              <w:pStyle w:val="6"/>
              <w:spacing w:before="92" w:line="232" w:lineRule="auto"/>
              <w:ind w:left="75"/>
            </w:pPr>
            <w:r>
              <w:rPr>
                <w:spacing w:val="-1"/>
              </w:rPr>
              <w:t>2020/11/16</w:t>
            </w:r>
          </w:p>
        </w:tc>
        <w:tc>
          <w:tcPr>
            <w:tcW w:w="648" w:type="dxa"/>
            <w:vAlign w:val="top"/>
          </w:tcPr>
          <w:p w14:paraId="511231FA">
            <w:pPr>
              <w:pStyle w:val="6"/>
              <w:spacing w:before="107" w:line="225" w:lineRule="auto"/>
              <w:ind w:left="278"/>
            </w:pPr>
            <w:r>
              <w:t>/</w:t>
            </w:r>
          </w:p>
        </w:tc>
        <w:tc>
          <w:tcPr>
            <w:tcW w:w="648" w:type="dxa"/>
            <w:vAlign w:val="top"/>
          </w:tcPr>
          <w:p w14:paraId="15B36422">
            <w:pPr>
              <w:pStyle w:val="6"/>
              <w:spacing w:before="112" w:line="220" w:lineRule="auto"/>
              <w:ind w:left="155"/>
            </w:pPr>
            <w:r>
              <w:rPr>
                <w:b/>
                <w:bCs/>
                <w:spacing w:val="-1"/>
              </w:rPr>
              <w:t>390</w:t>
            </w:r>
          </w:p>
        </w:tc>
        <w:tc>
          <w:tcPr>
            <w:tcW w:w="646" w:type="dxa"/>
            <w:vAlign w:val="top"/>
          </w:tcPr>
          <w:p w14:paraId="26D98CD3">
            <w:pPr>
              <w:pStyle w:val="6"/>
              <w:spacing w:before="107" w:line="225" w:lineRule="auto"/>
              <w:ind w:left="280"/>
            </w:pPr>
            <w:r>
              <w:t>/</w:t>
            </w:r>
          </w:p>
        </w:tc>
        <w:tc>
          <w:tcPr>
            <w:tcW w:w="651" w:type="dxa"/>
            <w:vAlign w:val="top"/>
          </w:tcPr>
          <w:p w14:paraId="3B069489">
            <w:pPr>
              <w:pStyle w:val="6"/>
              <w:spacing w:before="112" w:line="220" w:lineRule="auto"/>
              <w:ind w:left="164"/>
            </w:pPr>
            <w:r>
              <w:rPr>
                <w:b/>
                <w:bCs/>
                <w:spacing w:val="-2"/>
              </w:rPr>
              <w:t>702</w:t>
            </w:r>
          </w:p>
        </w:tc>
        <w:tc>
          <w:tcPr>
            <w:tcW w:w="648" w:type="dxa"/>
            <w:vAlign w:val="top"/>
          </w:tcPr>
          <w:p w14:paraId="587EE707">
            <w:pPr>
              <w:pStyle w:val="6"/>
              <w:spacing w:before="107" w:line="225" w:lineRule="auto"/>
              <w:ind w:left="285"/>
            </w:pPr>
            <w:r>
              <w:t>/</w:t>
            </w:r>
          </w:p>
        </w:tc>
        <w:tc>
          <w:tcPr>
            <w:tcW w:w="650" w:type="dxa"/>
            <w:vAlign w:val="top"/>
          </w:tcPr>
          <w:p w14:paraId="08794F96">
            <w:pPr>
              <w:pStyle w:val="6"/>
              <w:spacing w:before="112" w:line="220" w:lineRule="auto"/>
              <w:ind w:left="163"/>
            </w:pPr>
            <w:r>
              <w:rPr>
                <w:b/>
                <w:bCs/>
                <w:spacing w:val="-2"/>
              </w:rPr>
              <w:t>218</w:t>
            </w:r>
          </w:p>
        </w:tc>
        <w:tc>
          <w:tcPr>
            <w:tcW w:w="648" w:type="dxa"/>
            <w:vAlign w:val="top"/>
          </w:tcPr>
          <w:p w14:paraId="765EF9C0">
            <w:pPr>
              <w:pStyle w:val="6"/>
              <w:spacing w:before="107" w:line="225" w:lineRule="auto"/>
              <w:ind w:left="287"/>
            </w:pPr>
            <w:r>
              <w:t>/</w:t>
            </w:r>
          </w:p>
        </w:tc>
        <w:tc>
          <w:tcPr>
            <w:tcW w:w="650" w:type="dxa"/>
            <w:vAlign w:val="top"/>
          </w:tcPr>
          <w:p w14:paraId="4FBFB20D">
            <w:pPr>
              <w:pStyle w:val="6"/>
              <w:spacing w:before="112" w:line="220" w:lineRule="auto"/>
              <w:ind w:left="141"/>
            </w:pPr>
            <w:r>
              <w:rPr>
                <w:b/>
                <w:bCs/>
                <w:spacing w:val="-1"/>
              </w:rPr>
              <w:t>23.6</w:t>
            </w:r>
          </w:p>
        </w:tc>
        <w:tc>
          <w:tcPr>
            <w:tcW w:w="648" w:type="dxa"/>
            <w:vAlign w:val="top"/>
          </w:tcPr>
          <w:p w14:paraId="1BD2B6EC">
            <w:pPr>
              <w:pStyle w:val="6"/>
              <w:spacing w:before="107" w:line="225" w:lineRule="auto"/>
              <w:ind w:left="291"/>
            </w:pPr>
            <w:r>
              <w:t>/</w:t>
            </w:r>
          </w:p>
        </w:tc>
        <w:tc>
          <w:tcPr>
            <w:tcW w:w="650" w:type="dxa"/>
            <w:vAlign w:val="top"/>
          </w:tcPr>
          <w:p w14:paraId="6E6ABD48">
            <w:pPr>
              <w:pStyle w:val="6"/>
              <w:spacing w:before="112" w:line="220" w:lineRule="auto"/>
              <w:ind w:left="144"/>
            </w:pPr>
            <w:r>
              <w:rPr>
                <w:b/>
                <w:bCs/>
                <w:spacing w:val="-2"/>
              </w:rPr>
              <w:t>2.80</w:t>
            </w:r>
          </w:p>
        </w:tc>
        <w:tc>
          <w:tcPr>
            <w:tcW w:w="648" w:type="dxa"/>
            <w:vAlign w:val="top"/>
          </w:tcPr>
          <w:p w14:paraId="59113195">
            <w:pPr>
              <w:pStyle w:val="6"/>
              <w:spacing w:before="107" w:line="225" w:lineRule="auto"/>
              <w:ind w:left="293"/>
            </w:pPr>
            <w:r>
              <w:t>/</w:t>
            </w:r>
          </w:p>
        </w:tc>
        <w:tc>
          <w:tcPr>
            <w:tcW w:w="650" w:type="dxa"/>
            <w:vAlign w:val="top"/>
          </w:tcPr>
          <w:p w14:paraId="4887A1E4">
            <w:pPr>
              <w:pStyle w:val="6"/>
              <w:spacing w:before="112" w:line="220" w:lineRule="auto"/>
              <w:ind w:left="147"/>
            </w:pPr>
            <w:r>
              <w:rPr>
                <w:b/>
                <w:bCs/>
                <w:spacing w:val="-2"/>
              </w:rPr>
              <w:t>43.1</w:t>
            </w:r>
          </w:p>
        </w:tc>
        <w:tc>
          <w:tcPr>
            <w:tcW w:w="873" w:type="dxa"/>
            <w:vAlign w:val="top"/>
          </w:tcPr>
          <w:p w14:paraId="77F546ED">
            <w:pPr>
              <w:pStyle w:val="6"/>
              <w:spacing w:before="107" w:line="225" w:lineRule="auto"/>
              <w:ind w:left="409"/>
            </w:pPr>
            <w:r>
              <w:t>/</w:t>
            </w:r>
          </w:p>
        </w:tc>
        <w:tc>
          <w:tcPr>
            <w:tcW w:w="872" w:type="dxa"/>
            <w:vAlign w:val="top"/>
          </w:tcPr>
          <w:p w14:paraId="71D96205">
            <w:pPr>
              <w:pStyle w:val="6"/>
              <w:spacing w:before="73" w:line="229" w:lineRule="auto"/>
              <w:ind w:left="78"/>
              <w:rPr>
                <w:sz w:val="14"/>
                <w:szCs w:val="14"/>
              </w:rPr>
            </w:pPr>
            <w:r>
              <w:rPr>
                <w:b/>
                <w:bCs/>
                <w:spacing w:val="-3"/>
              </w:rPr>
              <w:t>1.7</w:t>
            </w:r>
            <w:r>
              <w:rPr>
                <w:rFonts w:ascii="宋体" w:hAnsi="宋体" w:eastAsia="宋体" w:cs="宋体"/>
                <w:b/>
                <w:bCs/>
                <w:spacing w:val="-3"/>
              </w:rPr>
              <w:t>×</w:t>
            </w:r>
            <w:r>
              <w:rPr>
                <w:b/>
                <w:bCs/>
                <w:spacing w:val="-3"/>
              </w:rPr>
              <w:t>10</w:t>
            </w:r>
            <w:r>
              <w:rPr>
                <w:b/>
                <w:bCs/>
                <w:spacing w:val="-3"/>
                <w:position w:val="6"/>
                <w:sz w:val="14"/>
                <w:szCs w:val="14"/>
              </w:rPr>
              <w:t>6</w:t>
            </w:r>
          </w:p>
        </w:tc>
        <w:tc>
          <w:tcPr>
            <w:tcW w:w="872" w:type="dxa"/>
            <w:vAlign w:val="top"/>
          </w:tcPr>
          <w:p w14:paraId="51825B69">
            <w:pPr>
              <w:pStyle w:val="6"/>
              <w:spacing w:before="107" w:line="225" w:lineRule="auto"/>
              <w:ind w:left="412"/>
            </w:pPr>
            <w:r>
              <w:t>/</w:t>
            </w:r>
          </w:p>
        </w:tc>
        <w:tc>
          <w:tcPr>
            <w:tcW w:w="883" w:type="dxa"/>
            <w:tcBorders>
              <w:right w:val="single" w:color="000000" w:sz="12" w:space="0"/>
            </w:tcBorders>
            <w:vAlign w:val="top"/>
          </w:tcPr>
          <w:p w14:paraId="0A4F606B">
            <w:pPr>
              <w:pStyle w:val="6"/>
              <w:spacing w:before="107" w:line="225" w:lineRule="auto"/>
              <w:ind w:left="267"/>
            </w:pPr>
            <w:r>
              <w:rPr>
                <w:spacing w:val="-2"/>
              </w:rPr>
              <w:t>3.47</w:t>
            </w:r>
          </w:p>
        </w:tc>
      </w:tr>
      <w:tr w14:paraId="37C61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tcBorders>
            <w:vAlign w:val="top"/>
          </w:tcPr>
          <w:p w14:paraId="236585D2">
            <w:pPr>
              <w:rPr>
                <w:rFonts w:ascii="Arial"/>
                <w:sz w:val="21"/>
              </w:rPr>
            </w:pPr>
          </w:p>
        </w:tc>
        <w:tc>
          <w:tcPr>
            <w:tcW w:w="283" w:type="dxa"/>
            <w:vMerge w:val="continue"/>
            <w:tcBorders>
              <w:top w:val="nil"/>
            </w:tcBorders>
            <w:vAlign w:val="top"/>
          </w:tcPr>
          <w:p w14:paraId="7C32478E">
            <w:pPr>
              <w:rPr>
                <w:rFonts w:ascii="Arial"/>
                <w:sz w:val="21"/>
              </w:rPr>
            </w:pPr>
          </w:p>
        </w:tc>
        <w:tc>
          <w:tcPr>
            <w:tcW w:w="1134" w:type="dxa"/>
            <w:vAlign w:val="top"/>
          </w:tcPr>
          <w:p w14:paraId="6F0CA648">
            <w:pPr>
              <w:pStyle w:val="6"/>
              <w:spacing w:before="94" w:line="232" w:lineRule="auto"/>
              <w:ind w:left="75"/>
            </w:pPr>
            <w:r>
              <w:rPr>
                <w:spacing w:val="-1"/>
              </w:rPr>
              <w:t>2020/11/17</w:t>
            </w:r>
          </w:p>
        </w:tc>
        <w:tc>
          <w:tcPr>
            <w:tcW w:w="648" w:type="dxa"/>
            <w:vAlign w:val="top"/>
          </w:tcPr>
          <w:p w14:paraId="5B69647F">
            <w:pPr>
              <w:pStyle w:val="6"/>
              <w:spacing w:before="108" w:line="224" w:lineRule="auto"/>
              <w:ind w:left="278"/>
            </w:pPr>
            <w:r>
              <w:t>/</w:t>
            </w:r>
          </w:p>
        </w:tc>
        <w:tc>
          <w:tcPr>
            <w:tcW w:w="648" w:type="dxa"/>
            <w:vAlign w:val="top"/>
          </w:tcPr>
          <w:p w14:paraId="57610AF8">
            <w:pPr>
              <w:pStyle w:val="6"/>
              <w:spacing w:before="113" w:line="219" w:lineRule="auto"/>
              <w:ind w:left="155"/>
            </w:pPr>
            <w:r>
              <w:rPr>
                <w:b/>
                <w:bCs/>
                <w:spacing w:val="-1"/>
              </w:rPr>
              <w:t>393</w:t>
            </w:r>
          </w:p>
        </w:tc>
        <w:tc>
          <w:tcPr>
            <w:tcW w:w="646" w:type="dxa"/>
            <w:vAlign w:val="top"/>
          </w:tcPr>
          <w:p w14:paraId="527903EE">
            <w:pPr>
              <w:pStyle w:val="6"/>
              <w:spacing w:before="108" w:line="224" w:lineRule="auto"/>
              <w:ind w:left="280"/>
            </w:pPr>
            <w:r>
              <w:t>/</w:t>
            </w:r>
          </w:p>
        </w:tc>
        <w:tc>
          <w:tcPr>
            <w:tcW w:w="651" w:type="dxa"/>
            <w:vAlign w:val="top"/>
          </w:tcPr>
          <w:p w14:paraId="4F82BD43">
            <w:pPr>
              <w:pStyle w:val="6"/>
              <w:spacing w:before="113" w:line="219" w:lineRule="auto"/>
              <w:ind w:left="164"/>
            </w:pPr>
            <w:r>
              <w:rPr>
                <w:b/>
                <w:bCs/>
                <w:spacing w:val="-2"/>
              </w:rPr>
              <w:t>708</w:t>
            </w:r>
          </w:p>
        </w:tc>
        <w:tc>
          <w:tcPr>
            <w:tcW w:w="648" w:type="dxa"/>
            <w:vAlign w:val="top"/>
          </w:tcPr>
          <w:p w14:paraId="2CA0D096">
            <w:pPr>
              <w:pStyle w:val="6"/>
              <w:spacing w:before="108" w:line="224" w:lineRule="auto"/>
              <w:ind w:left="285"/>
            </w:pPr>
            <w:r>
              <w:t>/</w:t>
            </w:r>
          </w:p>
        </w:tc>
        <w:tc>
          <w:tcPr>
            <w:tcW w:w="650" w:type="dxa"/>
            <w:vAlign w:val="top"/>
          </w:tcPr>
          <w:p w14:paraId="730FCDA1">
            <w:pPr>
              <w:pStyle w:val="6"/>
              <w:spacing w:before="113" w:line="219" w:lineRule="auto"/>
              <w:ind w:left="163"/>
            </w:pPr>
            <w:r>
              <w:rPr>
                <w:b/>
                <w:bCs/>
                <w:spacing w:val="-2"/>
              </w:rPr>
              <w:t>230</w:t>
            </w:r>
          </w:p>
        </w:tc>
        <w:tc>
          <w:tcPr>
            <w:tcW w:w="648" w:type="dxa"/>
            <w:vAlign w:val="top"/>
          </w:tcPr>
          <w:p w14:paraId="13DCB394">
            <w:pPr>
              <w:pStyle w:val="6"/>
              <w:spacing w:before="108" w:line="224" w:lineRule="auto"/>
              <w:ind w:left="287"/>
            </w:pPr>
            <w:r>
              <w:t>/</w:t>
            </w:r>
          </w:p>
        </w:tc>
        <w:tc>
          <w:tcPr>
            <w:tcW w:w="650" w:type="dxa"/>
            <w:vAlign w:val="top"/>
          </w:tcPr>
          <w:p w14:paraId="58377F23">
            <w:pPr>
              <w:pStyle w:val="6"/>
              <w:spacing w:before="113" w:line="219" w:lineRule="auto"/>
              <w:ind w:left="141"/>
            </w:pPr>
            <w:r>
              <w:rPr>
                <w:b/>
                <w:bCs/>
                <w:spacing w:val="-1"/>
              </w:rPr>
              <w:t>22.4</w:t>
            </w:r>
          </w:p>
        </w:tc>
        <w:tc>
          <w:tcPr>
            <w:tcW w:w="648" w:type="dxa"/>
            <w:vAlign w:val="top"/>
          </w:tcPr>
          <w:p w14:paraId="1D74FED0">
            <w:pPr>
              <w:pStyle w:val="6"/>
              <w:spacing w:before="108" w:line="224" w:lineRule="auto"/>
              <w:ind w:left="291"/>
            </w:pPr>
            <w:r>
              <w:t>/</w:t>
            </w:r>
          </w:p>
        </w:tc>
        <w:tc>
          <w:tcPr>
            <w:tcW w:w="650" w:type="dxa"/>
            <w:vAlign w:val="top"/>
          </w:tcPr>
          <w:p w14:paraId="52B060CF">
            <w:pPr>
              <w:pStyle w:val="6"/>
              <w:spacing w:before="113" w:line="219" w:lineRule="auto"/>
              <w:ind w:left="144"/>
            </w:pPr>
            <w:r>
              <w:rPr>
                <w:b/>
                <w:bCs/>
                <w:spacing w:val="-2"/>
              </w:rPr>
              <w:t>2.92</w:t>
            </w:r>
          </w:p>
        </w:tc>
        <w:tc>
          <w:tcPr>
            <w:tcW w:w="648" w:type="dxa"/>
            <w:vAlign w:val="top"/>
          </w:tcPr>
          <w:p w14:paraId="501490D9">
            <w:pPr>
              <w:pStyle w:val="6"/>
              <w:spacing w:before="108" w:line="224" w:lineRule="auto"/>
              <w:ind w:left="293"/>
            </w:pPr>
            <w:r>
              <w:t>/</w:t>
            </w:r>
          </w:p>
        </w:tc>
        <w:tc>
          <w:tcPr>
            <w:tcW w:w="650" w:type="dxa"/>
            <w:vAlign w:val="top"/>
          </w:tcPr>
          <w:p w14:paraId="6B3859CA">
            <w:pPr>
              <w:pStyle w:val="6"/>
              <w:spacing w:before="113" w:line="219" w:lineRule="auto"/>
              <w:ind w:left="147"/>
            </w:pPr>
            <w:r>
              <w:rPr>
                <w:b/>
                <w:bCs/>
                <w:spacing w:val="-2"/>
              </w:rPr>
              <w:t>43.5</w:t>
            </w:r>
          </w:p>
        </w:tc>
        <w:tc>
          <w:tcPr>
            <w:tcW w:w="873" w:type="dxa"/>
            <w:vAlign w:val="top"/>
          </w:tcPr>
          <w:p w14:paraId="34305B34">
            <w:pPr>
              <w:pStyle w:val="6"/>
              <w:spacing w:before="108" w:line="224" w:lineRule="auto"/>
              <w:ind w:left="409"/>
            </w:pPr>
            <w:r>
              <w:t>/</w:t>
            </w:r>
          </w:p>
        </w:tc>
        <w:tc>
          <w:tcPr>
            <w:tcW w:w="872" w:type="dxa"/>
            <w:vAlign w:val="top"/>
          </w:tcPr>
          <w:p w14:paraId="3DE8779C">
            <w:pPr>
              <w:pStyle w:val="6"/>
              <w:spacing w:before="74" w:line="228" w:lineRule="auto"/>
              <w:ind w:left="69"/>
              <w:rPr>
                <w:sz w:val="14"/>
                <w:szCs w:val="14"/>
              </w:rPr>
            </w:pPr>
            <w:r>
              <w:rPr>
                <w:b/>
                <w:bCs/>
                <w:spacing w:val="-1"/>
              </w:rPr>
              <w:t>2.0</w:t>
            </w:r>
            <w:r>
              <w:rPr>
                <w:rFonts w:ascii="宋体" w:hAnsi="宋体" w:eastAsia="宋体" w:cs="宋体"/>
                <w:b/>
                <w:bCs/>
                <w:spacing w:val="-1"/>
              </w:rPr>
              <w:t>×</w:t>
            </w:r>
            <w:r>
              <w:rPr>
                <w:b/>
                <w:bCs/>
                <w:spacing w:val="-1"/>
              </w:rPr>
              <w:t>10</w:t>
            </w:r>
            <w:r>
              <w:rPr>
                <w:b/>
                <w:bCs/>
                <w:spacing w:val="-1"/>
                <w:position w:val="6"/>
                <w:sz w:val="14"/>
                <w:szCs w:val="14"/>
              </w:rPr>
              <w:t>6</w:t>
            </w:r>
          </w:p>
        </w:tc>
        <w:tc>
          <w:tcPr>
            <w:tcW w:w="872" w:type="dxa"/>
            <w:vAlign w:val="top"/>
          </w:tcPr>
          <w:p w14:paraId="3C6CC77C">
            <w:pPr>
              <w:pStyle w:val="6"/>
              <w:spacing w:before="108" w:line="224" w:lineRule="auto"/>
              <w:ind w:left="412"/>
            </w:pPr>
            <w:r>
              <w:t>/</w:t>
            </w:r>
          </w:p>
        </w:tc>
        <w:tc>
          <w:tcPr>
            <w:tcW w:w="883" w:type="dxa"/>
            <w:tcBorders>
              <w:right w:val="single" w:color="000000" w:sz="12" w:space="0"/>
            </w:tcBorders>
            <w:vAlign w:val="top"/>
          </w:tcPr>
          <w:p w14:paraId="19D1425B">
            <w:pPr>
              <w:pStyle w:val="6"/>
              <w:spacing w:before="108" w:line="224" w:lineRule="auto"/>
              <w:ind w:left="267"/>
            </w:pPr>
            <w:r>
              <w:rPr>
                <w:spacing w:val="-2"/>
              </w:rPr>
              <w:t>3.41</w:t>
            </w:r>
          </w:p>
        </w:tc>
      </w:tr>
      <w:tr w14:paraId="7D95E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restart"/>
            <w:tcBorders>
              <w:left w:val="single" w:color="000000" w:sz="12" w:space="0"/>
              <w:bottom w:val="nil"/>
            </w:tcBorders>
            <w:vAlign w:val="top"/>
          </w:tcPr>
          <w:p w14:paraId="6E186D80">
            <w:pPr>
              <w:spacing w:line="242" w:lineRule="auto"/>
              <w:rPr>
                <w:rFonts w:ascii="Arial"/>
                <w:sz w:val="21"/>
              </w:rPr>
            </w:pPr>
          </w:p>
          <w:p w14:paraId="734B6722">
            <w:pPr>
              <w:spacing w:line="242" w:lineRule="auto"/>
              <w:rPr>
                <w:rFonts w:ascii="Arial"/>
                <w:sz w:val="21"/>
              </w:rPr>
            </w:pPr>
          </w:p>
          <w:p w14:paraId="57F0DF13">
            <w:pPr>
              <w:spacing w:line="242" w:lineRule="auto"/>
              <w:rPr>
                <w:rFonts w:ascii="Arial"/>
                <w:sz w:val="21"/>
              </w:rPr>
            </w:pPr>
          </w:p>
          <w:p w14:paraId="5A11E12B">
            <w:pPr>
              <w:spacing w:line="243" w:lineRule="auto"/>
              <w:rPr>
                <w:rFonts w:ascii="Arial"/>
                <w:sz w:val="21"/>
              </w:rPr>
            </w:pPr>
          </w:p>
          <w:p w14:paraId="0A38EA2C">
            <w:pPr>
              <w:spacing w:line="243" w:lineRule="auto"/>
              <w:rPr>
                <w:rFonts w:ascii="Arial"/>
                <w:sz w:val="21"/>
              </w:rPr>
            </w:pPr>
          </w:p>
          <w:p w14:paraId="017B3F4D">
            <w:pPr>
              <w:spacing w:line="243" w:lineRule="auto"/>
              <w:rPr>
                <w:rFonts w:ascii="Arial"/>
                <w:sz w:val="21"/>
              </w:rPr>
            </w:pPr>
          </w:p>
          <w:p w14:paraId="11BABDCE">
            <w:pPr>
              <w:pStyle w:val="6"/>
              <w:spacing w:before="68"/>
              <w:ind w:left="24" w:right="38"/>
              <w:jc w:val="both"/>
              <w:rPr>
                <w:rFonts w:ascii="宋体" w:hAnsi="宋体" w:eastAsia="宋体" w:cs="宋体"/>
              </w:rPr>
            </w:pPr>
            <w:r>
              <w:rPr>
                <w:spacing w:val="-3"/>
              </w:rPr>
              <w:t>5#</w:t>
            </w:r>
            <w:r>
              <w:rPr>
                <w:rFonts w:ascii="宋体" w:hAnsi="宋体" w:eastAsia="宋体" w:cs="宋体"/>
                <w:spacing w:val="-3"/>
              </w:rPr>
              <w:t>支洞</w:t>
            </w:r>
            <w:r>
              <w:rPr>
                <w:rFonts w:ascii="宋体" w:hAnsi="宋体" w:eastAsia="宋体" w:cs="宋体"/>
                <w:spacing w:val="-4"/>
              </w:rPr>
              <w:t>生活污水处理</w:t>
            </w:r>
            <w:r>
              <w:rPr>
                <w:rFonts w:ascii="宋体" w:hAnsi="宋体" w:eastAsia="宋体" w:cs="宋体"/>
                <w:spacing w:val="47"/>
              </w:rPr>
              <w:t>设施</w:t>
            </w:r>
          </w:p>
        </w:tc>
        <w:tc>
          <w:tcPr>
            <w:tcW w:w="283" w:type="dxa"/>
            <w:vMerge w:val="restart"/>
            <w:tcBorders>
              <w:bottom w:val="nil"/>
            </w:tcBorders>
            <w:vAlign w:val="top"/>
          </w:tcPr>
          <w:p w14:paraId="1FD8A70E">
            <w:pPr>
              <w:pStyle w:val="6"/>
              <w:spacing w:before="147" w:line="222" w:lineRule="auto"/>
              <w:ind w:left="94"/>
            </w:pPr>
            <w:r>
              <w:t>1</w:t>
            </w:r>
          </w:p>
          <w:p w14:paraId="48D8167D">
            <w:pPr>
              <w:spacing w:line="219" w:lineRule="auto"/>
              <w:ind w:left="26"/>
              <w:rPr>
                <w:rFonts w:ascii="宋体" w:hAnsi="宋体" w:eastAsia="宋体" w:cs="宋体"/>
                <w:sz w:val="21"/>
                <w:szCs w:val="21"/>
              </w:rPr>
            </w:pPr>
            <w:r>
              <w:rPr>
                <w:rFonts w:ascii="宋体" w:hAnsi="宋体" w:eastAsia="宋体" w:cs="宋体"/>
                <w:sz w:val="21"/>
                <w:szCs w:val="21"/>
              </w:rPr>
              <w:t>季</w:t>
            </w:r>
          </w:p>
          <w:p w14:paraId="14D7C984">
            <w:pPr>
              <w:spacing w:before="22"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426A067D">
            <w:pPr>
              <w:pStyle w:val="6"/>
              <w:spacing w:before="95" w:line="206" w:lineRule="auto"/>
              <w:ind w:left="128"/>
            </w:pPr>
            <w:r>
              <w:rPr>
                <w:spacing w:val="-1"/>
              </w:rPr>
              <w:t>2020/3/10</w:t>
            </w:r>
          </w:p>
        </w:tc>
        <w:tc>
          <w:tcPr>
            <w:tcW w:w="648" w:type="dxa"/>
            <w:vAlign w:val="top"/>
          </w:tcPr>
          <w:p w14:paraId="15137C75">
            <w:pPr>
              <w:pStyle w:val="6"/>
              <w:spacing w:before="95" w:line="206" w:lineRule="auto"/>
              <w:ind w:left="149"/>
            </w:pPr>
            <w:r>
              <w:rPr>
                <w:spacing w:val="-6"/>
              </w:rPr>
              <w:t>11.8</w:t>
            </w:r>
          </w:p>
        </w:tc>
        <w:tc>
          <w:tcPr>
            <w:tcW w:w="648" w:type="dxa"/>
            <w:vAlign w:val="top"/>
          </w:tcPr>
          <w:p w14:paraId="3E2F25C6">
            <w:pPr>
              <w:pStyle w:val="6"/>
              <w:spacing w:before="95" w:line="206" w:lineRule="auto"/>
              <w:ind w:left="186"/>
            </w:pPr>
            <w:r>
              <w:rPr>
                <w:spacing w:val="-3"/>
              </w:rPr>
              <w:t>9.0</w:t>
            </w:r>
          </w:p>
        </w:tc>
        <w:tc>
          <w:tcPr>
            <w:tcW w:w="646" w:type="dxa"/>
            <w:vAlign w:val="top"/>
          </w:tcPr>
          <w:p w14:paraId="4B3B8B06">
            <w:pPr>
              <w:pStyle w:val="6"/>
              <w:spacing w:before="95" w:line="206" w:lineRule="auto"/>
              <w:ind w:left="214"/>
            </w:pPr>
            <w:r>
              <w:rPr>
                <w:spacing w:val="-3"/>
              </w:rPr>
              <w:t>55</w:t>
            </w:r>
          </w:p>
        </w:tc>
        <w:tc>
          <w:tcPr>
            <w:tcW w:w="651" w:type="dxa"/>
            <w:vAlign w:val="top"/>
          </w:tcPr>
          <w:p w14:paraId="4F131DAC">
            <w:pPr>
              <w:pStyle w:val="6"/>
              <w:spacing w:before="95" w:line="206" w:lineRule="auto"/>
              <w:ind w:left="213"/>
            </w:pPr>
            <w:r>
              <w:rPr>
                <w:spacing w:val="-1"/>
              </w:rPr>
              <w:t>42</w:t>
            </w:r>
          </w:p>
        </w:tc>
        <w:tc>
          <w:tcPr>
            <w:tcW w:w="648" w:type="dxa"/>
            <w:vAlign w:val="top"/>
          </w:tcPr>
          <w:p w14:paraId="79ABFB0F">
            <w:pPr>
              <w:pStyle w:val="6"/>
              <w:spacing w:before="95" w:line="206" w:lineRule="auto"/>
              <w:ind w:left="213"/>
            </w:pPr>
            <w:r>
              <w:rPr>
                <w:spacing w:val="-1"/>
              </w:rPr>
              <w:t>23</w:t>
            </w:r>
          </w:p>
        </w:tc>
        <w:tc>
          <w:tcPr>
            <w:tcW w:w="650" w:type="dxa"/>
            <w:vAlign w:val="top"/>
          </w:tcPr>
          <w:p w14:paraId="5C3C6D96">
            <w:pPr>
              <w:pStyle w:val="6"/>
              <w:spacing w:before="95" w:line="206" w:lineRule="auto"/>
              <w:ind w:left="236"/>
            </w:pPr>
            <w:r>
              <w:rPr>
                <w:spacing w:val="-6"/>
              </w:rPr>
              <w:t>17</w:t>
            </w:r>
          </w:p>
        </w:tc>
        <w:tc>
          <w:tcPr>
            <w:tcW w:w="648" w:type="dxa"/>
            <w:vAlign w:val="top"/>
          </w:tcPr>
          <w:p w14:paraId="401AEAEE">
            <w:pPr>
              <w:pStyle w:val="6"/>
              <w:spacing w:before="95" w:line="206" w:lineRule="auto"/>
              <w:ind w:left="158"/>
            </w:pPr>
            <w:r>
              <w:rPr>
                <w:spacing w:val="-6"/>
              </w:rPr>
              <w:t>1.44</w:t>
            </w:r>
          </w:p>
        </w:tc>
        <w:tc>
          <w:tcPr>
            <w:tcW w:w="650" w:type="dxa"/>
            <w:vAlign w:val="top"/>
          </w:tcPr>
          <w:p w14:paraId="40E463A6">
            <w:pPr>
              <w:pStyle w:val="6"/>
              <w:spacing w:before="95" w:line="206" w:lineRule="auto"/>
              <w:ind w:left="91"/>
            </w:pPr>
            <w:r>
              <w:rPr>
                <w:spacing w:val="-2"/>
              </w:rPr>
              <w:t>0.300</w:t>
            </w:r>
          </w:p>
        </w:tc>
        <w:tc>
          <w:tcPr>
            <w:tcW w:w="648" w:type="dxa"/>
            <w:vAlign w:val="top"/>
          </w:tcPr>
          <w:p w14:paraId="418F186A">
            <w:pPr>
              <w:pStyle w:val="6"/>
              <w:spacing w:before="95" w:line="206" w:lineRule="auto"/>
              <w:ind w:left="144"/>
            </w:pPr>
            <w:r>
              <w:rPr>
                <w:spacing w:val="-2"/>
              </w:rPr>
              <w:t>0.20</w:t>
            </w:r>
          </w:p>
        </w:tc>
        <w:tc>
          <w:tcPr>
            <w:tcW w:w="650" w:type="dxa"/>
            <w:vAlign w:val="top"/>
          </w:tcPr>
          <w:p w14:paraId="6F19C464">
            <w:pPr>
              <w:pStyle w:val="6"/>
              <w:spacing w:before="95" w:line="206" w:lineRule="auto"/>
              <w:ind w:left="147"/>
            </w:pPr>
            <w:r>
              <w:rPr>
                <w:spacing w:val="-2"/>
              </w:rPr>
              <w:t>0.15</w:t>
            </w:r>
          </w:p>
        </w:tc>
        <w:tc>
          <w:tcPr>
            <w:tcW w:w="648" w:type="dxa"/>
            <w:vAlign w:val="top"/>
          </w:tcPr>
          <w:p w14:paraId="38A82B9F">
            <w:pPr>
              <w:pStyle w:val="6"/>
              <w:spacing w:before="95" w:line="206" w:lineRule="auto"/>
              <w:ind w:left="164"/>
            </w:pPr>
            <w:r>
              <w:rPr>
                <w:spacing w:val="-6"/>
              </w:rPr>
              <w:t>1.35</w:t>
            </w:r>
          </w:p>
        </w:tc>
        <w:tc>
          <w:tcPr>
            <w:tcW w:w="650" w:type="dxa"/>
            <w:vAlign w:val="top"/>
          </w:tcPr>
          <w:p w14:paraId="50C71134">
            <w:pPr>
              <w:pStyle w:val="6"/>
              <w:spacing w:before="95" w:line="206" w:lineRule="auto"/>
              <w:ind w:left="149"/>
            </w:pPr>
            <w:r>
              <w:rPr>
                <w:spacing w:val="-2"/>
              </w:rPr>
              <w:t>0.64</w:t>
            </w:r>
          </w:p>
        </w:tc>
        <w:tc>
          <w:tcPr>
            <w:tcW w:w="873" w:type="dxa"/>
            <w:vAlign w:val="top"/>
          </w:tcPr>
          <w:p w14:paraId="13D30142">
            <w:pPr>
              <w:pStyle w:val="6"/>
              <w:spacing w:before="95" w:line="206" w:lineRule="auto"/>
              <w:ind w:left="180"/>
            </w:pPr>
            <w:r>
              <w:rPr>
                <w:spacing w:val="-1"/>
              </w:rPr>
              <w:t>23000</w:t>
            </w:r>
          </w:p>
        </w:tc>
        <w:tc>
          <w:tcPr>
            <w:tcW w:w="872" w:type="dxa"/>
            <w:vAlign w:val="top"/>
          </w:tcPr>
          <w:p w14:paraId="2AE0054C">
            <w:pPr>
              <w:pStyle w:val="6"/>
              <w:spacing w:before="95" w:line="206" w:lineRule="auto"/>
              <w:ind w:left="235"/>
            </w:pPr>
            <w:r>
              <w:rPr>
                <w:spacing w:val="-1"/>
              </w:rPr>
              <w:t>2000</w:t>
            </w:r>
          </w:p>
        </w:tc>
        <w:tc>
          <w:tcPr>
            <w:tcW w:w="872" w:type="dxa"/>
            <w:vAlign w:val="top"/>
          </w:tcPr>
          <w:p w14:paraId="728199C8">
            <w:pPr>
              <w:pStyle w:val="6"/>
              <w:spacing w:before="95" w:line="206" w:lineRule="auto"/>
              <w:ind w:left="263"/>
            </w:pPr>
            <w:r>
              <w:rPr>
                <w:spacing w:val="-1"/>
              </w:rPr>
              <w:t>2.54</w:t>
            </w:r>
          </w:p>
        </w:tc>
        <w:tc>
          <w:tcPr>
            <w:tcW w:w="883" w:type="dxa"/>
            <w:tcBorders>
              <w:right w:val="single" w:color="000000" w:sz="12" w:space="0"/>
            </w:tcBorders>
            <w:vAlign w:val="top"/>
          </w:tcPr>
          <w:p w14:paraId="6B073746">
            <w:pPr>
              <w:pStyle w:val="6"/>
              <w:spacing w:before="95" w:line="206" w:lineRule="auto"/>
              <w:ind w:left="283"/>
            </w:pPr>
            <w:r>
              <w:rPr>
                <w:spacing w:val="-6"/>
              </w:rPr>
              <w:t>1.65</w:t>
            </w:r>
          </w:p>
        </w:tc>
      </w:tr>
      <w:tr w14:paraId="2422D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04" w:type="dxa"/>
            <w:vMerge w:val="continue"/>
            <w:tcBorders>
              <w:top w:val="nil"/>
              <w:left w:val="single" w:color="000000" w:sz="12" w:space="0"/>
              <w:bottom w:val="nil"/>
            </w:tcBorders>
            <w:vAlign w:val="top"/>
          </w:tcPr>
          <w:p w14:paraId="1D264E86">
            <w:pPr>
              <w:rPr>
                <w:rFonts w:ascii="Arial"/>
                <w:sz w:val="21"/>
              </w:rPr>
            </w:pPr>
          </w:p>
        </w:tc>
        <w:tc>
          <w:tcPr>
            <w:tcW w:w="283" w:type="dxa"/>
            <w:vMerge w:val="continue"/>
            <w:tcBorders>
              <w:top w:val="nil"/>
              <w:bottom w:val="nil"/>
            </w:tcBorders>
            <w:vAlign w:val="top"/>
          </w:tcPr>
          <w:p w14:paraId="423E3A3D">
            <w:pPr>
              <w:rPr>
                <w:rFonts w:ascii="Arial"/>
                <w:sz w:val="21"/>
              </w:rPr>
            </w:pPr>
          </w:p>
        </w:tc>
        <w:tc>
          <w:tcPr>
            <w:tcW w:w="1134" w:type="dxa"/>
            <w:vAlign w:val="top"/>
          </w:tcPr>
          <w:p w14:paraId="7B529C42">
            <w:pPr>
              <w:pStyle w:val="6"/>
              <w:spacing w:before="96" w:line="206" w:lineRule="auto"/>
              <w:ind w:left="128"/>
            </w:pPr>
            <w:r>
              <w:rPr>
                <w:spacing w:val="-1"/>
              </w:rPr>
              <w:t>2020/3/11</w:t>
            </w:r>
          </w:p>
        </w:tc>
        <w:tc>
          <w:tcPr>
            <w:tcW w:w="648" w:type="dxa"/>
            <w:vAlign w:val="top"/>
          </w:tcPr>
          <w:p w14:paraId="4BE047D3">
            <w:pPr>
              <w:pStyle w:val="6"/>
              <w:spacing w:before="96" w:line="206" w:lineRule="auto"/>
              <w:ind w:left="149"/>
            </w:pPr>
            <w:r>
              <w:rPr>
                <w:spacing w:val="-6"/>
              </w:rPr>
              <w:t>13.2</w:t>
            </w:r>
          </w:p>
        </w:tc>
        <w:tc>
          <w:tcPr>
            <w:tcW w:w="648" w:type="dxa"/>
            <w:vAlign w:val="top"/>
          </w:tcPr>
          <w:p w14:paraId="15DF3CB3">
            <w:pPr>
              <w:pStyle w:val="6"/>
              <w:spacing w:before="96" w:line="206" w:lineRule="auto"/>
              <w:ind w:left="190"/>
            </w:pPr>
            <w:r>
              <w:rPr>
                <w:spacing w:val="-5"/>
              </w:rPr>
              <w:t>8.4</w:t>
            </w:r>
          </w:p>
        </w:tc>
        <w:tc>
          <w:tcPr>
            <w:tcW w:w="646" w:type="dxa"/>
            <w:vAlign w:val="top"/>
          </w:tcPr>
          <w:p w14:paraId="7C405CC3">
            <w:pPr>
              <w:pStyle w:val="6"/>
              <w:spacing w:before="96" w:line="206" w:lineRule="auto"/>
              <w:ind w:left="213"/>
            </w:pPr>
            <w:r>
              <w:rPr>
                <w:spacing w:val="-3"/>
              </w:rPr>
              <w:t>62</w:t>
            </w:r>
          </w:p>
        </w:tc>
        <w:tc>
          <w:tcPr>
            <w:tcW w:w="651" w:type="dxa"/>
            <w:vAlign w:val="top"/>
          </w:tcPr>
          <w:p w14:paraId="68E3F757">
            <w:pPr>
              <w:pStyle w:val="6"/>
              <w:spacing w:before="96" w:line="206" w:lineRule="auto"/>
              <w:ind w:left="218"/>
            </w:pPr>
            <w:r>
              <w:rPr>
                <w:spacing w:val="-3"/>
              </w:rPr>
              <w:t>38</w:t>
            </w:r>
          </w:p>
        </w:tc>
        <w:tc>
          <w:tcPr>
            <w:tcW w:w="648" w:type="dxa"/>
            <w:vAlign w:val="top"/>
          </w:tcPr>
          <w:p w14:paraId="235DF383">
            <w:pPr>
              <w:pStyle w:val="6"/>
              <w:spacing w:before="96" w:line="206" w:lineRule="auto"/>
              <w:ind w:left="213"/>
            </w:pPr>
            <w:r>
              <w:rPr>
                <w:spacing w:val="-1"/>
              </w:rPr>
              <w:t>21</w:t>
            </w:r>
          </w:p>
        </w:tc>
        <w:tc>
          <w:tcPr>
            <w:tcW w:w="650" w:type="dxa"/>
            <w:vAlign w:val="top"/>
          </w:tcPr>
          <w:p w14:paraId="0B0D6507">
            <w:pPr>
              <w:pStyle w:val="6"/>
              <w:spacing w:before="96" w:line="206" w:lineRule="auto"/>
              <w:ind w:left="236"/>
            </w:pPr>
            <w:r>
              <w:rPr>
                <w:spacing w:val="-6"/>
              </w:rPr>
              <w:t>15</w:t>
            </w:r>
          </w:p>
        </w:tc>
        <w:tc>
          <w:tcPr>
            <w:tcW w:w="648" w:type="dxa"/>
            <w:vAlign w:val="top"/>
          </w:tcPr>
          <w:p w14:paraId="20DEB526">
            <w:pPr>
              <w:pStyle w:val="6"/>
              <w:spacing w:before="96" w:line="206" w:lineRule="auto"/>
              <w:ind w:left="158"/>
            </w:pPr>
            <w:r>
              <w:rPr>
                <w:spacing w:val="-6"/>
              </w:rPr>
              <w:t>1.38</w:t>
            </w:r>
          </w:p>
        </w:tc>
        <w:tc>
          <w:tcPr>
            <w:tcW w:w="650" w:type="dxa"/>
            <w:vAlign w:val="top"/>
          </w:tcPr>
          <w:p w14:paraId="5DF46936">
            <w:pPr>
              <w:pStyle w:val="6"/>
              <w:spacing w:before="96" w:line="206" w:lineRule="auto"/>
              <w:ind w:left="91"/>
            </w:pPr>
            <w:r>
              <w:rPr>
                <w:spacing w:val="-2"/>
              </w:rPr>
              <w:t>0.296</w:t>
            </w:r>
          </w:p>
        </w:tc>
        <w:tc>
          <w:tcPr>
            <w:tcW w:w="648" w:type="dxa"/>
            <w:vAlign w:val="top"/>
          </w:tcPr>
          <w:p w14:paraId="65500A76">
            <w:pPr>
              <w:pStyle w:val="6"/>
              <w:spacing w:before="96" w:line="206" w:lineRule="auto"/>
              <w:ind w:left="144"/>
            </w:pPr>
            <w:r>
              <w:rPr>
                <w:spacing w:val="-2"/>
              </w:rPr>
              <w:t>0.21</w:t>
            </w:r>
          </w:p>
        </w:tc>
        <w:tc>
          <w:tcPr>
            <w:tcW w:w="650" w:type="dxa"/>
            <w:vAlign w:val="top"/>
          </w:tcPr>
          <w:p w14:paraId="0F001D4A">
            <w:pPr>
              <w:pStyle w:val="6"/>
              <w:spacing w:before="96" w:line="206" w:lineRule="auto"/>
              <w:ind w:left="147"/>
            </w:pPr>
            <w:r>
              <w:rPr>
                <w:spacing w:val="-2"/>
              </w:rPr>
              <w:t>0.15</w:t>
            </w:r>
          </w:p>
        </w:tc>
        <w:tc>
          <w:tcPr>
            <w:tcW w:w="648" w:type="dxa"/>
            <w:vAlign w:val="top"/>
          </w:tcPr>
          <w:p w14:paraId="29C3DF04">
            <w:pPr>
              <w:pStyle w:val="6"/>
              <w:spacing w:before="96" w:line="206" w:lineRule="auto"/>
              <w:ind w:left="164"/>
            </w:pPr>
            <w:r>
              <w:rPr>
                <w:spacing w:val="-6"/>
              </w:rPr>
              <w:t>1.27</w:t>
            </w:r>
          </w:p>
        </w:tc>
        <w:tc>
          <w:tcPr>
            <w:tcW w:w="650" w:type="dxa"/>
            <w:vAlign w:val="top"/>
          </w:tcPr>
          <w:p w14:paraId="688C1BC8">
            <w:pPr>
              <w:pStyle w:val="6"/>
              <w:spacing w:before="96" w:line="206" w:lineRule="auto"/>
              <w:ind w:left="149"/>
            </w:pPr>
            <w:r>
              <w:rPr>
                <w:spacing w:val="-2"/>
              </w:rPr>
              <w:t>0.67</w:t>
            </w:r>
          </w:p>
        </w:tc>
        <w:tc>
          <w:tcPr>
            <w:tcW w:w="873" w:type="dxa"/>
            <w:vAlign w:val="top"/>
          </w:tcPr>
          <w:p w14:paraId="44116A8E">
            <w:pPr>
              <w:pStyle w:val="6"/>
              <w:spacing w:before="96" w:line="206" w:lineRule="auto"/>
              <w:ind w:left="180"/>
            </w:pPr>
            <w:r>
              <w:rPr>
                <w:spacing w:val="-1"/>
              </w:rPr>
              <w:t>24000</w:t>
            </w:r>
          </w:p>
        </w:tc>
        <w:tc>
          <w:tcPr>
            <w:tcW w:w="872" w:type="dxa"/>
            <w:vAlign w:val="top"/>
          </w:tcPr>
          <w:p w14:paraId="50987F2F">
            <w:pPr>
              <w:pStyle w:val="6"/>
              <w:spacing w:before="96" w:line="206" w:lineRule="auto"/>
              <w:ind w:left="235"/>
            </w:pPr>
            <w:r>
              <w:rPr>
                <w:spacing w:val="-1"/>
              </w:rPr>
              <w:t>2400</w:t>
            </w:r>
          </w:p>
        </w:tc>
        <w:tc>
          <w:tcPr>
            <w:tcW w:w="872" w:type="dxa"/>
            <w:vAlign w:val="top"/>
          </w:tcPr>
          <w:p w14:paraId="3D318D94">
            <w:pPr>
              <w:pStyle w:val="6"/>
              <w:spacing w:before="96" w:line="206" w:lineRule="auto"/>
              <w:ind w:left="263"/>
            </w:pPr>
            <w:r>
              <w:rPr>
                <w:spacing w:val="-1"/>
              </w:rPr>
              <w:t>2.51</w:t>
            </w:r>
          </w:p>
        </w:tc>
        <w:tc>
          <w:tcPr>
            <w:tcW w:w="883" w:type="dxa"/>
            <w:tcBorders>
              <w:right w:val="single" w:color="000000" w:sz="12" w:space="0"/>
            </w:tcBorders>
            <w:vAlign w:val="top"/>
          </w:tcPr>
          <w:p w14:paraId="196D380B">
            <w:pPr>
              <w:pStyle w:val="6"/>
              <w:spacing w:before="96" w:line="206" w:lineRule="auto"/>
              <w:ind w:left="283"/>
            </w:pPr>
            <w:r>
              <w:rPr>
                <w:spacing w:val="-6"/>
              </w:rPr>
              <w:t>1.62</w:t>
            </w:r>
          </w:p>
        </w:tc>
      </w:tr>
      <w:tr w14:paraId="2FDBB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Merge w:val="continue"/>
            <w:tcBorders>
              <w:top w:val="nil"/>
              <w:left w:val="single" w:color="000000" w:sz="12" w:space="0"/>
              <w:bottom w:val="nil"/>
            </w:tcBorders>
            <w:vAlign w:val="top"/>
          </w:tcPr>
          <w:p w14:paraId="2E32EB5D">
            <w:pPr>
              <w:rPr>
                <w:rFonts w:ascii="Arial"/>
                <w:sz w:val="21"/>
              </w:rPr>
            </w:pPr>
          </w:p>
        </w:tc>
        <w:tc>
          <w:tcPr>
            <w:tcW w:w="283" w:type="dxa"/>
            <w:vMerge w:val="continue"/>
            <w:tcBorders>
              <w:top w:val="nil"/>
            </w:tcBorders>
            <w:vAlign w:val="top"/>
          </w:tcPr>
          <w:p w14:paraId="7BF4A0B9">
            <w:pPr>
              <w:rPr>
                <w:rFonts w:ascii="Arial"/>
                <w:sz w:val="21"/>
              </w:rPr>
            </w:pPr>
          </w:p>
        </w:tc>
        <w:tc>
          <w:tcPr>
            <w:tcW w:w="1134" w:type="dxa"/>
            <w:vAlign w:val="top"/>
          </w:tcPr>
          <w:p w14:paraId="762770A2">
            <w:pPr>
              <w:pStyle w:val="6"/>
              <w:spacing w:before="96" w:line="204" w:lineRule="auto"/>
              <w:ind w:left="128"/>
            </w:pPr>
            <w:r>
              <w:rPr>
                <w:spacing w:val="-1"/>
              </w:rPr>
              <w:t>2020/3/12</w:t>
            </w:r>
          </w:p>
        </w:tc>
        <w:tc>
          <w:tcPr>
            <w:tcW w:w="648" w:type="dxa"/>
            <w:vAlign w:val="top"/>
          </w:tcPr>
          <w:p w14:paraId="29CA90D3">
            <w:pPr>
              <w:pStyle w:val="6"/>
              <w:spacing w:before="96" w:line="204" w:lineRule="auto"/>
              <w:ind w:left="149"/>
            </w:pPr>
            <w:r>
              <w:rPr>
                <w:spacing w:val="-6"/>
              </w:rPr>
              <w:t>12.5</w:t>
            </w:r>
          </w:p>
        </w:tc>
        <w:tc>
          <w:tcPr>
            <w:tcW w:w="648" w:type="dxa"/>
            <w:vAlign w:val="top"/>
          </w:tcPr>
          <w:p w14:paraId="6D7954E2">
            <w:pPr>
              <w:pStyle w:val="6"/>
              <w:spacing w:before="96" w:line="204" w:lineRule="auto"/>
              <w:ind w:left="190"/>
            </w:pPr>
            <w:r>
              <w:rPr>
                <w:spacing w:val="-5"/>
              </w:rPr>
              <w:t>8.6</w:t>
            </w:r>
          </w:p>
        </w:tc>
        <w:tc>
          <w:tcPr>
            <w:tcW w:w="646" w:type="dxa"/>
            <w:vAlign w:val="top"/>
          </w:tcPr>
          <w:p w14:paraId="49A223D7">
            <w:pPr>
              <w:pStyle w:val="6"/>
              <w:spacing w:before="96" w:line="204" w:lineRule="auto"/>
              <w:ind w:left="214"/>
            </w:pPr>
            <w:r>
              <w:rPr>
                <w:spacing w:val="-3"/>
              </w:rPr>
              <w:t>58</w:t>
            </w:r>
          </w:p>
        </w:tc>
        <w:tc>
          <w:tcPr>
            <w:tcW w:w="651" w:type="dxa"/>
            <w:vAlign w:val="top"/>
          </w:tcPr>
          <w:p w14:paraId="505D0973">
            <w:pPr>
              <w:pStyle w:val="6"/>
              <w:spacing w:before="96" w:line="204" w:lineRule="auto"/>
              <w:ind w:left="213"/>
            </w:pPr>
            <w:r>
              <w:rPr>
                <w:spacing w:val="-1"/>
              </w:rPr>
              <w:t>40</w:t>
            </w:r>
          </w:p>
        </w:tc>
        <w:tc>
          <w:tcPr>
            <w:tcW w:w="648" w:type="dxa"/>
            <w:vAlign w:val="top"/>
          </w:tcPr>
          <w:p w14:paraId="4609002A">
            <w:pPr>
              <w:pStyle w:val="6"/>
              <w:spacing w:before="96" w:line="204" w:lineRule="auto"/>
              <w:ind w:left="213"/>
            </w:pPr>
            <w:r>
              <w:rPr>
                <w:spacing w:val="-1"/>
              </w:rPr>
              <w:t>25</w:t>
            </w:r>
          </w:p>
        </w:tc>
        <w:tc>
          <w:tcPr>
            <w:tcW w:w="650" w:type="dxa"/>
            <w:vAlign w:val="top"/>
          </w:tcPr>
          <w:p w14:paraId="18F0CDBB">
            <w:pPr>
              <w:pStyle w:val="6"/>
              <w:spacing w:before="96" w:line="204" w:lineRule="auto"/>
              <w:ind w:left="236"/>
            </w:pPr>
            <w:r>
              <w:rPr>
                <w:spacing w:val="-6"/>
              </w:rPr>
              <w:t>14</w:t>
            </w:r>
          </w:p>
        </w:tc>
        <w:tc>
          <w:tcPr>
            <w:tcW w:w="648" w:type="dxa"/>
            <w:vAlign w:val="top"/>
          </w:tcPr>
          <w:p w14:paraId="6C8640D9">
            <w:pPr>
              <w:pStyle w:val="6"/>
              <w:spacing w:before="96" w:line="204" w:lineRule="auto"/>
              <w:ind w:left="158"/>
            </w:pPr>
            <w:r>
              <w:rPr>
                <w:spacing w:val="-6"/>
              </w:rPr>
              <w:t>1.50</w:t>
            </w:r>
          </w:p>
        </w:tc>
        <w:tc>
          <w:tcPr>
            <w:tcW w:w="650" w:type="dxa"/>
            <w:vAlign w:val="top"/>
          </w:tcPr>
          <w:p w14:paraId="1197D757">
            <w:pPr>
              <w:pStyle w:val="6"/>
              <w:spacing w:before="96" w:line="204" w:lineRule="auto"/>
              <w:ind w:left="91"/>
            </w:pPr>
            <w:r>
              <w:rPr>
                <w:spacing w:val="-2"/>
              </w:rPr>
              <w:t>0.305</w:t>
            </w:r>
          </w:p>
        </w:tc>
        <w:tc>
          <w:tcPr>
            <w:tcW w:w="648" w:type="dxa"/>
            <w:vAlign w:val="top"/>
          </w:tcPr>
          <w:p w14:paraId="3592FE4A">
            <w:pPr>
              <w:pStyle w:val="6"/>
              <w:spacing w:before="96" w:line="204" w:lineRule="auto"/>
              <w:ind w:left="144"/>
            </w:pPr>
            <w:r>
              <w:rPr>
                <w:spacing w:val="-2"/>
              </w:rPr>
              <w:t>0.18</w:t>
            </w:r>
          </w:p>
        </w:tc>
        <w:tc>
          <w:tcPr>
            <w:tcW w:w="650" w:type="dxa"/>
            <w:vAlign w:val="top"/>
          </w:tcPr>
          <w:p w14:paraId="13E09C40">
            <w:pPr>
              <w:pStyle w:val="6"/>
              <w:spacing w:before="96" w:line="204" w:lineRule="auto"/>
              <w:ind w:left="147"/>
            </w:pPr>
            <w:r>
              <w:rPr>
                <w:spacing w:val="-2"/>
              </w:rPr>
              <w:t>0.16</w:t>
            </w:r>
          </w:p>
        </w:tc>
        <w:tc>
          <w:tcPr>
            <w:tcW w:w="648" w:type="dxa"/>
            <w:vAlign w:val="top"/>
          </w:tcPr>
          <w:p w14:paraId="1BBBA182">
            <w:pPr>
              <w:pStyle w:val="6"/>
              <w:spacing w:before="96" w:line="204" w:lineRule="auto"/>
              <w:ind w:left="164"/>
            </w:pPr>
            <w:r>
              <w:rPr>
                <w:spacing w:val="-6"/>
              </w:rPr>
              <w:t>1.31</w:t>
            </w:r>
          </w:p>
        </w:tc>
        <w:tc>
          <w:tcPr>
            <w:tcW w:w="650" w:type="dxa"/>
            <w:vAlign w:val="top"/>
          </w:tcPr>
          <w:p w14:paraId="4610BCA2">
            <w:pPr>
              <w:pStyle w:val="6"/>
              <w:spacing w:before="96" w:line="204" w:lineRule="auto"/>
              <w:ind w:left="149"/>
            </w:pPr>
            <w:r>
              <w:rPr>
                <w:spacing w:val="-2"/>
              </w:rPr>
              <w:t>0.67</w:t>
            </w:r>
          </w:p>
        </w:tc>
        <w:tc>
          <w:tcPr>
            <w:tcW w:w="873" w:type="dxa"/>
            <w:vAlign w:val="top"/>
          </w:tcPr>
          <w:p w14:paraId="079574E8">
            <w:pPr>
              <w:pStyle w:val="6"/>
              <w:spacing w:before="96" w:line="204" w:lineRule="auto"/>
              <w:ind w:left="180"/>
            </w:pPr>
            <w:r>
              <w:rPr>
                <w:spacing w:val="-1"/>
              </w:rPr>
              <w:t>21000</w:t>
            </w:r>
          </w:p>
        </w:tc>
        <w:tc>
          <w:tcPr>
            <w:tcW w:w="872" w:type="dxa"/>
            <w:vAlign w:val="top"/>
          </w:tcPr>
          <w:p w14:paraId="1AE2B677">
            <w:pPr>
              <w:pStyle w:val="6"/>
              <w:spacing w:before="96" w:line="204" w:lineRule="auto"/>
              <w:ind w:left="235"/>
            </w:pPr>
            <w:r>
              <w:rPr>
                <w:spacing w:val="-1"/>
              </w:rPr>
              <w:t>2100</w:t>
            </w:r>
          </w:p>
        </w:tc>
        <w:tc>
          <w:tcPr>
            <w:tcW w:w="872" w:type="dxa"/>
            <w:vAlign w:val="top"/>
          </w:tcPr>
          <w:p w14:paraId="39D4C27E">
            <w:pPr>
              <w:pStyle w:val="6"/>
              <w:spacing w:before="96" w:line="204" w:lineRule="auto"/>
              <w:ind w:left="263"/>
            </w:pPr>
            <w:r>
              <w:rPr>
                <w:spacing w:val="-1"/>
              </w:rPr>
              <w:t>2.58</w:t>
            </w:r>
          </w:p>
        </w:tc>
        <w:tc>
          <w:tcPr>
            <w:tcW w:w="883" w:type="dxa"/>
            <w:tcBorders>
              <w:right w:val="single" w:color="000000" w:sz="12" w:space="0"/>
            </w:tcBorders>
            <w:vAlign w:val="top"/>
          </w:tcPr>
          <w:p w14:paraId="02AA7372">
            <w:pPr>
              <w:pStyle w:val="6"/>
              <w:spacing w:before="96" w:line="204" w:lineRule="auto"/>
              <w:ind w:left="283"/>
            </w:pPr>
            <w:r>
              <w:rPr>
                <w:spacing w:val="-6"/>
              </w:rPr>
              <w:t>1.67</w:t>
            </w:r>
          </w:p>
        </w:tc>
      </w:tr>
      <w:tr w14:paraId="50141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0F14AB80">
            <w:pPr>
              <w:rPr>
                <w:rFonts w:ascii="Arial"/>
                <w:sz w:val="21"/>
              </w:rPr>
            </w:pPr>
          </w:p>
        </w:tc>
        <w:tc>
          <w:tcPr>
            <w:tcW w:w="283" w:type="dxa"/>
            <w:vMerge w:val="restart"/>
            <w:tcBorders>
              <w:bottom w:val="nil"/>
            </w:tcBorders>
            <w:vAlign w:val="top"/>
          </w:tcPr>
          <w:p w14:paraId="787B46E1">
            <w:pPr>
              <w:pStyle w:val="6"/>
              <w:spacing w:before="151" w:line="222" w:lineRule="auto"/>
              <w:ind w:left="74"/>
            </w:pPr>
            <w:r>
              <w:t>2</w:t>
            </w:r>
          </w:p>
          <w:p w14:paraId="623B6B7B">
            <w:pPr>
              <w:spacing w:line="219" w:lineRule="auto"/>
              <w:ind w:left="26"/>
              <w:rPr>
                <w:rFonts w:ascii="宋体" w:hAnsi="宋体" w:eastAsia="宋体" w:cs="宋体"/>
                <w:sz w:val="21"/>
                <w:szCs w:val="21"/>
              </w:rPr>
            </w:pPr>
            <w:r>
              <w:rPr>
                <w:rFonts w:ascii="宋体" w:hAnsi="宋体" w:eastAsia="宋体" w:cs="宋体"/>
                <w:sz w:val="21"/>
                <w:szCs w:val="21"/>
              </w:rPr>
              <w:t>季</w:t>
            </w:r>
          </w:p>
          <w:p w14:paraId="0BF352F4">
            <w:pPr>
              <w:spacing w:before="22"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4BC1B002">
            <w:pPr>
              <w:pStyle w:val="6"/>
              <w:spacing w:before="99" w:line="202" w:lineRule="auto"/>
              <w:ind w:left="128"/>
            </w:pPr>
            <w:r>
              <w:rPr>
                <w:spacing w:val="-1"/>
              </w:rPr>
              <w:t>2020/5/20</w:t>
            </w:r>
          </w:p>
        </w:tc>
        <w:tc>
          <w:tcPr>
            <w:tcW w:w="648" w:type="dxa"/>
            <w:vAlign w:val="top"/>
          </w:tcPr>
          <w:p w14:paraId="6B1DE774">
            <w:pPr>
              <w:pStyle w:val="6"/>
              <w:spacing w:before="99" w:line="202" w:lineRule="auto"/>
              <w:ind w:left="175"/>
            </w:pPr>
            <w:r>
              <w:rPr>
                <w:spacing w:val="-6"/>
              </w:rPr>
              <w:t>120</w:t>
            </w:r>
          </w:p>
        </w:tc>
        <w:tc>
          <w:tcPr>
            <w:tcW w:w="648" w:type="dxa"/>
            <w:vAlign w:val="top"/>
          </w:tcPr>
          <w:p w14:paraId="49EEDFE7">
            <w:pPr>
              <w:pStyle w:val="6"/>
              <w:spacing w:before="104" w:line="197" w:lineRule="auto"/>
              <w:ind w:left="133"/>
            </w:pPr>
            <w:r>
              <w:rPr>
                <w:b/>
                <w:bCs/>
                <w:spacing w:val="-2"/>
              </w:rPr>
              <w:t>80.2</w:t>
            </w:r>
          </w:p>
        </w:tc>
        <w:tc>
          <w:tcPr>
            <w:tcW w:w="646" w:type="dxa"/>
            <w:vAlign w:val="top"/>
          </w:tcPr>
          <w:p w14:paraId="35691F0D">
            <w:pPr>
              <w:pStyle w:val="6"/>
              <w:spacing w:before="99" w:line="202" w:lineRule="auto"/>
              <w:ind w:left="157"/>
            </w:pPr>
            <w:r>
              <w:rPr>
                <w:spacing w:val="-1"/>
              </w:rPr>
              <w:t>298</w:t>
            </w:r>
          </w:p>
        </w:tc>
        <w:tc>
          <w:tcPr>
            <w:tcW w:w="651" w:type="dxa"/>
            <w:vAlign w:val="top"/>
          </w:tcPr>
          <w:p w14:paraId="113598CD">
            <w:pPr>
              <w:pStyle w:val="6"/>
              <w:spacing w:before="104" w:line="197" w:lineRule="auto"/>
              <w:ind w:left="162"/>
            </w:pPr>
            <w:r>
              <w:rPr>
                <w:b/>
                <w:bCs/>
                <w:spacing w:val="-2"/>
              </w:rPr>
              <w:t>212</w:t>
            </w:r>
          </w:p>
        </w:tc>
        <w:tc>
          <w:tcPr>
            <w:tcW w:w="648" w:type="dxa"/>
            <w:vAlign w:val="top"/>
          </w:tcPr>
          <w:p w14:paraId="34C16E5A">
            <w:pPr>
              <w:pStyle w:val="6"/>
              <w:spacing w:before="99" w:line="202" w:lineRule="auto"/>
              <w:ind w:left="216"/>
            </w:pPr>
            <w:r>
              <w:rPr>
                <w:spacing w:val="-2"/>
              </w:rPr>
              <w:t>75</w:t>
            </w:r>
          </w:p>
        </w:tc>
        <w:tc>
          <w:tcPr>
            <w:tcW w:w="650" w:type="dxa"/>
            <w:vAlign w:val="top"/>
          </w:tcPr>
          <w:p w14:paraId="1286A2AF">
            <w:pPr>
              <w:pStyle w:val="6"/>
              <w:spacing w:before="99" w:line="202" w:lineRule="auto"/>
              <w:ind w:left="214"/>
            </w:pPr>
            <w:r>
              <w:rPr>
                <w:spacing w:val="-1"/>
              </w:rPr>
              <w:t>48</w:t>
            </w:r>
          </w:p>
        </w:tc>
        <w:tc>
          <w:tcPr>
            <w:tcW w:w="648" w:type="dxa"/>
            <w:vAlign w:val="top"/>
          </w:tcPr>
          <w:p w14:paraId="0FEC5F08">
            <w:pPr>
              <w:pStyle w:val="6"/>
              <w:spacing w:before="99" w:line="202" w:lineRule="auto"/>
              <w:ind w:left="88"/>
            </w:pPr>
            <w:r>
              <w:rPr>
                <w:spacing w:val="-2"/>
              </w:rPr>
              <w:t>0.277</w:t>
            </w:r>
          </w:p>
        </w:tc>
        <w:tc>
          <w:tcPr>
            <w:tcW w:w="650" w:type="dxa"/>
            <w:vAlign w:val="top"/>
          </w:tcPr>
          <w:p w14:paraId="2F22F7D8">
            <w:pPr>
              <w:pStyle w:val="6"/>
              <w:spacing w:before="99" w:line="202" w:lineRule="auto"/>
              <w:ind w:left="91"/>
            </w:pPr>
            <w:r>
              <w:rPr>
                <w:spacing w:val="-2"/>
              </w:rPr>
              <w:t>0.109</w:t>
            </w:r>
          </w:p>
        </w:tc>
        <w:tc>
          <w:tcPr>
            <w:tcW w:w="648" w:type="dxa"/>
            <w:vAlign w:val="top"/>
          </w:tcPr>
          <w:p w14:paraId="401C6C79">
            <w:pPr>
              <w:pStyle w:val="6"/>
              <w:spacing w:before="99" w:line="202" w:lineRule="auto"/>
              <w:ind w:left="161"/>
            </w:pPr>
            <w:r>
              <w:rPr>
                <w:spacing w:val="-6"/>
              </w:rPr>
              <w:t>1.53</w:t>
            </w:r>
          </w:p>
        </w:tc>
        <w:tc>
          <w:tcPr>
            <w:tcW w:w="650" w:type="dxa"/>
            <w:vAlign w:val="top"/>
          </w:tcPr>
          <w:p w14:paraId="4A9F8168">
            <w:pPr>
              <w:pStyle w:val="6"/>
              <w:spacing w:before="104" w:line="197" w:lineRule="auto"/>
              <w:ind w:left="153"/>
            </w:pPr>
            <w:r>
              <w:rPr>
                <w:b/>
                <w:bCs/>
                <w:spacing w:val="-4"/>
              </w:rPr>
              <w:t>1.09</w:t>
            </w:r>
          </w:p>
        </w:tc>
        <w:tc>
          <w:tcPr>
            <w:tcW w:w="648" w:type="dxa"/>
            <w:vAlign w:val="top"/>
          </w:tcPr>
          <w:p w14:paraId="751B425C">
            <w:pPr>
              <w:pStyle w:val="6"/>
              <w:spacing w:before="99" w:line="202" w:lineRule="auto"/>
              <w:ind w:left="148"/>
            </w:pPr>
            <w:r>
              <w:rPr>
                <w:spacing w:val="-2"/>
              </w:rPr>
              <w:t>3.86</w:t>
            </w:r>
          </w:p>
        </w:tc>
        <w:tc>
          <w:tcPr>
            <w:tcW w:w="650" w:type="dxa"/>
            <w:vAlign w:val="top"/>
          </w:tcPr>
          <w:p w14:paraId="7B4811F1">
            <w:pPr>
              <w:pStyle w:val="6"/>
              <w:spacing w:before="99" w:line="202" w:lineRule="auto"/>
              <w:ind w:left="166"/>
            </w:pPr>
            <w:r>
              <w:rPr>
                <w:spacing w:val="-6"/>
              </w:rPr>
              <w:t>1.53</w:t>
            </w:r>
          </w:p>
        </w:tc>
        <w:tc>
          <w:tcPr>
            <w:tcW w:w="873" w:type="dxa"/>
            <w:vAlign w:val="top"/>
          </w:tcPr>
          <w:p w14:paraId="44D92B6B">
            <w:pPr>
              <w:pStyle w:val="6"/>
              <w:spacing w:before="99" w:line="202" w:lineRule="auto"/>
              <w:ind w:left="128"/>
            </w:pPr>
            <w:r>
              <w:rPr>
                <w:spacing w:val="-1"/>
              </w:rPr>
              <w:t>230000</w:t>
            </w:r>
          </w:p>
        </w:tc>
        <w:tc>
          <w:tcPr>
            <w:tcW w:w="872" w:type="dxa"/>
            <w:vAlign w:val="top"/>
          </w:tcPr>
          <w:p w14:paraId="3B03F477">
            <w:pPr>
              <w:pStyle w:val="6"/>
              <w:spacing w:before="104" w:line="197" w:lineRule="auto"/>
              <w:ind w:left="130"/>
            </w:pPr>
            <w:r>
              <w:rPr>
                <w:b/>
                <w:bCs/>
                <w:spacing w:val="-1"/>
              </w:rPr>
              <w:t>220000</w:t>
            </w:r>
          </w:p>
        </w:tc>
        <w:tc>
          <w:tcPr>
            <w:tcW w:w="872" w:type="dxa"/>
            <w:vAlign w:val="top"/>
          </w:tcPr>
          <w:p w14:paraId="3961251E">
            <w:pPr>
              <w:pStyle w:val="6"/>
              <w:spacing w:before="99" w:line="202" w:lineRule="auto"/>
              <w:ind w:left="263"/>
            </w:pPr>
            <w:r>
              <w:rPr>
                <w:spacing w:val="-1"/>
              </w:rPr>
              <w:t>2.60</w:t>
            </w:r>
          </w:p>
        </w:tc>
        <w:tc>
          <w:tcPr>
            <w:tcW w:w="883" w:type="dxa"/>
            <w:tcBorders>
              <w:right w:val="single" w:color="000000" w:sz="12" w:space="0"/>
            </w:tcBorders>
            <w:vAlign w:val="top"/>
          </w:tcPr>
          <w:p w14:paraId="7D2C53BF">
            <w:pPr>
              <w:pStyle w:val="6"/>
              <w:spacing w:before="99" w:line="202" w:lineRule="auto"/>
              <w:ind w:left="283"/>
            </w:pPr>
            <w:r>
              <w:rPr>
                <w:spacing w:val="-6"/>
              </w:rPr>
              <w:t>1.00</w:t>
            </w:r>
          </w:p>
        </w:tc>
      </w:tr>
      <w:tr w14:paraId="5DF55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04" w:type="dxa"/>
            <w:vMerge w:val="continue"/>
            <w:tcBorders>
              <w:top w:val="nil"/>
              <w:left w:val="single" w:color="000000" w:sz="12" w:space="0"/>
              <w:bottom w:val="nil"/>
            </w:tcBorders>
            <w:vAlign w:val="top"/>
          </w:tcPr>
          <w:p w14:paraId="246EBD4E">
            <w:pPr>
              <w:rPr>
                <w:rFonts w:ascii="Arial"/>
                <w:sz w:val="21"/>
              </w:rPr>
            </w:pPr>
          </w:p>
        </w:tc>
        <w:tc>
          <w:tcPr>
            <w:tcW w:w="283" w:type="dxa"/>
            <w:vMerge w:val="continue"/>
            <w:tcBorders>
              <w:top w:val="nil"/>
              <w:bottom w:val="nil"/>
            </w:tcBorders>
            <w:vAlign w:val="top"/>
          </w:tcPr>
          <w:p w14:paraId="24B8E2F9">
            <w:pPr>
              <w:rPr>
                <w:rFonts w:ascii="Arial"/>
                <w:sz w:val="21"/>
              </w:rPr>
            </w:pPr>
          </w:p>
        </w:tc>
        <w:tc>
          <w:tcPr>
            <w:tcW w:w="1134" w:type="dxa"/>
            <w:vAlign w:val="top"/>
          </w:tcPr>
          <w:p w14:paraId="08A8F626">
            <w:pPr>
              <w:pStyle w:val="6"/>
              <w:spacing w:before="100" w:line="202" w:lineRule="auto"/>
              <w:ind w:left="128"/>
            </w:pPr>
            <w:r>
              <w:rPr>
                <w:spacing w:val="-1"/>
              </w:rPr>
              <w:t>2020/5/21</w:t>
            </w:r>
          </w:p>
        </w:tc>
        <w:tc>
          <w:tcPr>
            <w:tcW w:w="648" w:type="dxa"/>
            <w:vAlign w:val="top"/>
          </w:tcPr>
          <w:p w14:paraId="3CB0C947">
            <w:pPr>
              <w:pStyle w:val="6"/>
              <w:spacing w:before="100" w:line="202" w:lineRule="auto"/>
              <w:ind w:left="175"/>
            </w:pPr>
            <w:r>
              <w:rPr>
                <w:spacing w:val="-6"/>
              </w:rPr>
              <w:t>126</w:t>
            </w:r>
          </w:p>
        </w:tc>
        <w:tc>
          <w:tcPr>
            <w:tcW w:w="648" w:type="dxa"/>
            <w:vAlign w:val="top"/>
          </w:tcPr>
          <w:p w14:paraId="1CDE3346">
            <w:pPr>
              <w:pStyle w:val="6"/>
              <w:spacing w:before="105" w:line="197" w:lineRule="auto"/>
              <w:ind w:left="133"/>
            </w:pPr>
            <w:r>
              <w:rPr>
                <w:b/>
                <w:bCs/>
                <w:spacing w:val="-2"/>
              </w:rPr>
              <w:t>78.6</w:t>
            </w:r>
          </w:p>
        </w:tc>
        <w:tc>
          <w:tcPr>
            <w:tcW w:w="646" w:type="dxa"/>
            <w:vAlign w:val="top"/>
          </w:tcPr>
          <w:p w14:paraId="4A6977D8">
            <w:pPr>
              <w:pStyle w:val="6"/>
              <w:spacing w:before="100" w:line="202" w:lineRule="auto"/>
              <w:ind w:left="161"/>
            </w:pPr>
            <w:r>
              <w:rPr>
                <w:spacing w:val="-2"/>
              </w:rPr>
              <w:t>310</w:t>
            </w:r>
          </w:p>
        </w:tc>
        <w:tc>
          <w:tcPr>
            <w:tcW w:w="651" w:type="dxa"/>
            <w:vAlign w:val="top"/>
          </w:tcPr>
          <w:p w14:paraId="66F7B333">
            <w:pPr>
              <w:pStyle w:val="6"/>
              <w:spacing w:before="105" w:line="197" w:lineRule="auto"/>
              <w:ind w:left="162"/>
            </w:pPr>
            <w:r>
              <w:rPr>
                <w:b/>
                <w:bCs/>
                <w:spacing w:val="-2"/>
              </w:rPr>
              <w:t>200</w:t>
            </w:r>
          </w:p>
        </w:tc>
        <w:tc>
          <w:tcPr>
            <w:tcW w:w="648" w:type="dxa"/>
            <w:vAlign w:val="top"/>
          </w:tcPr>
          <w:p w14:paraId="5C3A2B34">
            <w:pPr>
              <w:pStyle w:val="6"/>
              <w:spacing w:before="100" w:line="202" w:lineRule="auto"/>
              <w:ind w:left="222"/>
            </w:pPr>
            <w:r>
              <w:rPr>
                <w:spacing w:val="-4"/>
              </w:rPr>
              <w:t>88</w:t>
            </w:r>
          </w:p>
        </w:tc>
        <w:tc>
          <w:tcPr>
            <w:tcW w:w="650" w:type="dxa"/>
            <w:vAlign w:val="top"/>
          </w:tcPr>
          <w:p w14:paraId="7977B5E3">
            <w:pPr>
              <w:pStyle w:val="6"/>
              <w:spacing w:before="100" w:line="202" w:lineRule="auto"/>
              <w:ind w:left="221"/>
            </w:pPr>
            <w:r>
              <w:rPr>
                <w:spacing w:val="-3"/>
              </w:rPr>
              <w:t>51</w:t>
            </w:r>
          </w:p>
        </w:tc>
        <w:tc>
          <w:tcPr>
            <w:tcW w:w="648" w:type="dxa"/>
            <w:vAlign w:val="top"/>
          </w:tcPr>
          <w:p w14:paraId="2B1DA7B0">
            <w:pPr>
              <w:pStyle w:val="6"/>
              <w:spacing w:before="100" w:line="202" w:lineRule="auto"/>
              <w:ind w:left="88"/>
            </w:pPr>
            <w:r>
              <w:rPr>
                <w:spacing w:val="-2"/>
              </w:rPr>
              <w:t>0.284</w:t>
            </w:r>
          </w:p>
        </w:tc>
        <w:tc>
          <w:tcPr>
            <w:tcW w:w="650" w:type="dxa"/>
            <w:vAlign w:val="top"/>
          </w:tcPr>
          <w:p w14:paraId="722F96DF">
            <w:pPr>
              <w:pStyle w:val="6"/>
              <w:spacing w:before="100" w:line="202" w:lineRule="auto"/>
              <w:ind w:left="91"/>
            </w:pPr>
            <w:r>
              <w:rPr>
                <w:spacing w:val="-2"/>
              </w:rPr>
              <w:t>0.116</w:t>
            </w:r>
          </w:p>
        </w:tc>
        <w:tc>
          <w:tcPr>
            <w:tcW w:w="648" w:type="dxa"/>
            <w:vAlign w:val="top"/>
          </w:tcPr>
          <w:p w14:paraId="555AF539">
            <w:pPr>
              <w:pStyle w:val="6"/>
              <w:spacing w:before="100" w:line="202" w:lineRule="auto"/>
              <w:ind w:left="161"/>
            </w:pPr>
            <w:r>
              <w:rPr>
                <w:spacing w:val="-6"/>
              </w:rPr>
              <w:t>1.57</w:t>
            </w:r>
          </w:p>
        </w:tc>
        <w:tc>
          <w:tcPr>
            <w:tcW w:w="650" w:type="dxa"/>
            <w:vAlign w:val="top"/>
          </w:tcPr>
          <w:p w14:paraId="77AD95F6">
            <w:pPr>
              <w:pStyle w:val="6"/>
              <w:spacing w:before="105" w:line="197" w:lineRule="auto"/>
              <w:ind w:left="153"/>
            </w:pPr>
            <w:r>
              <w:rPr>
                <w:b/>
                <w:bCs/>
                <w:spacing w:val="-4"/>
              </w:rPr>
              <w:t>1.11</w:t>
            </w:r>
          </w:p>
        </w:tc>
        <w:tc>
          <w:tcPr>
            <w:tcW w:w="648" w:type="dxa"/>
            <w:vAlign w:val="top"/>
          </w:tcPr>
          <w:p w14:paraId="20A35388">
            <w:pPr>
              <w:pStyle w:val="6"/>
              <w:spacing w:before="100" w:line="202" w:lineRule="auto"/>
              <w:ind w:left="148"/>
            </w:pPr>
            <w:r>
              <w:rPr>
                <w:spacing w:val="-2"/>
              </w:rPr>
              <w:t>3.70</w:t>
            </w:r>
          </w:p>
        </w:tc>
        <w:tc>
          <w:tcPr>
            <w:tcW w:w="650" w:type="dxa"/>
            <w:vAlign w:val="top"/>
          </w:tcPr>
          <w:p w14:paraId="4936DF19">
            <w:pPr>
              <w:pStyle w:val="6"/>
              <w:spacing w:before="100" w:line="202" w:lineRule="auto"/>
              <w:ind w:left="166"/>
            </w:pPr>
            <w:r>
              <w:rPr>
                <w:spacing w:val="-6"/>
              </w:rPr>
              <w:t>1.47</w:t>
            </w:r>
          </w:p>
        </w:tc>
        <w:tc>
          <w:tcPr>
            <w:tcW w:w="873" w:type="dxa"/>
            <w:vAlign w:val="top"/>
          </w:tcPr>
          <w:p w14:paraId="116ED974">
            <w:pPr>
              <w:pStyle w:val="6"/>
              <w:spacing w:before="100" w:line="202" w:lineRule="auto"/>
              <w:ind w:left="128"/>
            </w:pPr>
            <w:r>
              <w:rPr>
                <w:spacing w:val="-1"/>
              </w:rPr>
              <w:t>250000</w:t>
            </w:r>
          </w:p>
        </w:tc>
        <w:tc>
          <w:tcPr>
            <w:tcW w:w="872" w:type="dxa"/>
            <w:vAlign w:val="top"/>
          </w:tcPr>
          <w:p w14:paraId="5DA6ED62">
            <w:pPr>
              <w:pStyle w:val="6"/>
              <w:spacing w:before="105" w:line="197" w:lineRule="auto"/>
              <w:ind w:left="139"/>
            </w:pPr>
            <w:r>
              <w:rPr>
                <w:b/>
                <w:bCs/>
                <w:spacing w:val="-2"/>
              </w:rPr>
              <w:t>190000</w:t>
            </w:r>
          </w:p>
        </w:tc>
        <w:tc>
          <w:tcPr>
            <w:tcW w:w="872" w:type="dxa"/>
            <w:vAlign w:val="top"/>
          </w:tcPr>
          <w:p w14:paraId="572374E1">
            <w:pPr>
              <w:pStyle w:val="6"/>
              <w:spacing w:before="100" w:line="202" w:lineRule="auto"/>
              <w:ind w:left="263"/>
            </w:pPr>
            <w:r>
              <w:rPr>
                <w:spacing w:val="-1"/>
              </w:rPr>
              <w:t>2.62</w:t>
            </w:r>
          </w:p>
        </w:tc>
        <w:tc>
          <w:tcPr>
            <w:tcW w:w="883" w:type="dxa"/>
            <w:tcBorders>
              <w:right w:val="single" w:color="000000" w:sz="12" w:space="0"/>
            </w:tcBorders>
            <w:vAlign w:val="top"/>
          </w:tcPr>
          <w:p w14:paraId="7CCD9A95">
            <w:pPr>
              <w:pStyle w:val="6"/>
              <w:spacing w:before="100" w:line="202" w:lineRule="auto"/>
              <w:ind w:left="283"/>
            </w:pPr>
            <w:r>
              <w:rPr>
                <w:spacing w:val="-6"/>
              </w:rPr>
              <w:t>1.02</w:t>
            </w:r>
          </w:p>
        </w:tc>
      </w:tr>
      <w:tr w14:paraId="2B453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7DD8F753">
            <w:pPr>
              <w:rPr>
                <w:rFonts w:ascii="Arial"/>
                <w:sz w:val="21"/>
              </w:rPr>
            </w:pPr>
          </w:p>
        </w:tc>
        <w:tc>
          <w:tcPr>
            <w:tcW w:w="283" w:type="dxa"/>
            <w:vMerge w:val="continue"/>
            <w:tcBorders>
              <w:top w:val="nil"/>
            </w:tcBorders>
            <w:vAlign w:val="top"/>
          </w:tcPr>
          <w:p w14:paraId="0373F76A">
            <w:pPr>
              <w:rPr>
                <w:rFonts w:ascii="Arial"/>
                <w:sz w:val="21"/>
              </w:rPr>
            </w:pPr>
          </w:p>
        </w:tc>
        <w:tc>
          <w:tcPr>
            <w:tcW w:w="1134" w:type="dxa"/>
            <w:vAlign w:val="top"/>
          </w:tcPr>
          <w:p w14:paraId="453C804D">
            <w:pPr>
              <w:pStyle w:val="6"/>
              <w:spacing w:before="101" w:line="200" w:lineRule="auto"/>
              <w:ind w:left="128"/>
            </w:pPr>
            <w:r>
              <w:rPr>
                <w:spacing w:val="-1"/>
              </w:rPr>
              <w:t>2020/5/22</w:t>
            </w:r>
          </w:p>
        </w:tc>
        <w:tc>
          <w:tcPr>
            <w:tcW w:w="648" w:type="dxa"/>
            <w:vAlign w:val="top"/>
          </w:tcPr>
          <w:p w14:paraId="6CEAAE35">
            <w:pPr>
              <w:pStyle w:val="6"/>
              <w:spacing w:before="101" w:line="200" w:lineRule="auto"/>
              <w:ind w:left="175"/>
            </w:pPr>
            <w:r>
              <w:rPr>
                <w:spacing w:val="-6"/>
              </w:rPr>
              <w:t>116</w:t>
            </w:r>
          </w:p>
        </w:tc>
        <w:tc>
          <w:tcPr>
            <w:tcW w:w="648" w:type="dxa"/>
            <w:vAlign w:val="top"/>
          </w:tcPr>
          <w:p w14:paraId="4CADD2AE">
            <w:pPr>
              <w:pStyle w:val="6"/>
              <w:spacing w:before="106" w:line="195" w:lineRule="auto"/>
              <w:ind w:left="133"/>
            </w:pPr>
            <w:r>
              <w:rPr>
                <w:b/>
                <w:bCs/>
                <w:spacing w:val="-2"/>
              </w:rPr>
              <w:t>84.6</w:t>
            </w:r>
          </w:p>
        </w:tc>
        <w:tc>
          <w:tcPr>
            <w:tcW w:w="646" w:type="dxa"/>
            <w:vAlign w:val="top"/>
          </w:tcPr>
          <w:p w14:paraId="41D94B86">
            <w:pPr>
              <w:pStyle w:val="6"/>
              <w:spacing w:before="101" w:line="200" w:lineRule="auto"/>
              <w:ind w:left="157"/>
            </w:pPr>
            <w:r>
              <w:rPr>
                <w:spacing w:val="-1"/>
              </w:rPr>
              <w:t>290</w:t>
            </w:r>
          </w:p>
        </w:tc>
        <w:tc>
          <w:tcPr>
            <w:tcW w:w="651" w:type="dxa"/>
            <w:vAlign w:val="top"/>
          </w:tcPr>
          <w:p w14:paraId="552920CD">
            <w:pPr>
              <w:pStyle w:val="6"/>
              <w:spacing w:before="106" w:line="195" w:lineRule="auto"/>
              <w:ind w:left="162"/>
            </w:pPr>
            <w:r>
              <w:rPr>
                <w:b/>
                <w:bCs/>
                <w:spacing w:val="-2"/>
              </w:rPr>
              <w:t>226</w:t>
            </w:r>
          </w:p>
        </w:tc>
        <w:tc>
          <w:tcPr>
            <w:tcW w:w="648" w:type="dxa"/>
            <w:vAlign w:val="top"/>
          </w:tcPr>
          <w:p w14:paraId="2E5B033E">
            <w:pPr>
              <w:pStyle w:val="6"/>
              <w:spacing w:before="101" w:line="200" w:lineRule="auto"/>
              <w:ind w:left="218"/>
            </w:pPr>
            <w:r>
              <w:rPr>
                <w:spacing w:val="-3"/>
              </w:rPr>
              <w:t>68</w:t>
            </w:r>
          </w:p>
        </w:tc>
        <w:tc>
          <w:tcPr>
            <w:tcW w:w="650" w:type="dxa"/>
            <w:vAlign w:val="top"/>
          </w:tcPr>
          <w:p w14:paraId="2C26DB77">
            <w:pPr>
              <w:pStyle w:val="6"/>
              <w:spacing w:before="101" w:line="200" w:lineRule="auto"/>
              <w:ind w:left="214"/>
            </w:pPr>
            <w:r>
              <w:rPr>
                <w:spacing w:val="-1"/>
              </w:rPr>
              <w:t>45</w:t>
            </w:r>
          </w:p>
        </w:tc>
        <w:tc>
          <w:tcPr>
            <w:tcW w:w="648" w:type="dxa"/>
            <w:vAlign w:val="top"/>
          </w:tcPr>
          <w:p w14:paraId="1C429967">
            <w:pPr>
              <w:pStyle w:val="6"/>
              <w:spacing w:before="101" w:line="200" w:lineRule="auto"/>
              <w:ind w:left="88"/>
            </w:pPr>
            <w:r>
              <w:rPr>
                <w:spacing w:val="-2"/>
              </w:rPr>
              <w:t>0.268</w:t>
            </w:r>
          </w:p>
        </w:tc>
        <w:tc>
          <w:tcPr>
            <w:tcW w:w="650" w:type="dxa"/>
            <w:vAlign w:val="top"/>
          </w:tcPr>
          <w:p w14:paraId="0320F18F">
            <w:pPr>
              <w:pStyle w:val="6"/>
              <w:spacing w:before="101" w:line="200" w:lineRule="auto"/>
              <w:ind w:left="91"/>
            </w:pPr>
            <w:r>
              <w:rPr>
                <w:spacing w:val="-2"/>
              </w:rPr>
              <w:t>0.101</w:t>
            </w:r>
          </w:p>
        </w:tc>
        <w:tc>
          <w:tcPr>
            <w:tcW w:w="648" w:type="dxa"/>
            <w:vAlign w:val="top"/>
          </w:tcPr>
          <w:p w14:paraId="3694E93A">
            <w:pPr>
              <w:pStyle w:val="6"/>
              <w:spacing w:before="101" w:line="200" w:lineRule="auto"/>
              <w:ind w:left="161"/>
            </w:pPr>
            <w:r>
              <w:rPr>
                <w:spacing w:val="-6"/>
              </w:rPr>
              <w:t>1.61</w:t>
            </w:r>
          </w:p>
        </w:tc>
        <w:tc>
          <w:tcPr>
            <w:tcW w:w="650" w:type="dxa"/>
            <w:vAlign w:val="top"/>
          </w:tcPr>
          <w:p w14:paraId="36D0057A">
            <w:pPr>
              <w:pStyle w:val="6"/>
              <w:spacing w:before="106" w:line="195" w:lineRule="auto"/>
              <w:ind w:left="153"/>
            </w:pPr>
            <w:r>
              <w:rPr>
                <w:b/>
                <w:bCs/>
                <w:spacing w:val="-4"/>
              </w:rPr>
              <w:t>1.05</w:t>
            </w:r>
          </w:p>
        </w:tc>
        <w:tc>
          <w:tcPr>
            <w:tcW w:w="648" w:type="dxa"/>
            <w:vAlign w:val="top"/>
          </w:tcPr>
          <w:p w14:paraId="16F003DC">
            <w:pPr>
              <w:pStyle w:val="6"/>
              <w:spacing w:before="101" w:line="200" w:lineRule="auto"/>
              <w:ind w:left="148"/>
            </w:pPr>
            <w:r>
              <w:rPr>
                <w:spacing w:val="-2"/>
              </w:rPr>
              <w:t>3.77</w:t>
            </w:r>
          </w:p>
        </w:tc>
        <w:tc>
          <w:tcPr>
            <w:tcW w:w="650" w:type="dxa"/>
            <w:vAlign w:val="top"/>
          </w:tcPr>
          <w:p w14:paraId="604CB3F8">
            <w:pPr>
              <w:pStyle w:val="6"/>
              <w:spacing w:before="101" w:line="200" w:lineRule="auto"/>
              <w:ind w:left="166"/>
            </w:pPr>
            <w:r>
              <w:rPr>
                <w:spacing w:val="-6"/>
              </w:rPr>
              <w:t>1.63</w:t>
            </w:r>
          </w:p>
        </w:tc>
        <w:tc>
          <w:tcPr>
            <w:tcW w:w="873" w:type="dxa"/>
            <w:vAlign w:val="top"/>
          </w:tcPr>
          <w:p w14:paraId="7A6E95C8">
            <w:pPr>
              <w:pStyle w:val="6"/>
              <w:spacing w:before="101" w:line="200" w:lineRule="auto"/>
              <w:ind w:left="128"/>
            </w:pPr>
            <w:r>
              <w:rPr>
                <w:spacing w:val="-1"/>
              </w:rPr>
              <w:t>240000</w:t>
            </w:r>
          </w:p>
        </w:tc>
        <w:tc>
          <w:tcPr>
            <w:tcW w:w="872" w:type="dxa"/>
            <w:vAlign w:val="top"/>
          </w:tcPr>
          <w:p w14:paraId="4F5F22DF">
            <w:pPr>
              <w:pStyle w:val="6"/>
              <w:spacing w:before="106" w:line="195" w:lineRule="auto"/>
              <w:ind w:left="130"/>
            </w:pPr>
            <w:r>
              <w:rPr>
                <w:b/>
                <w:bCs/>
                <w:spacing w:val="-1"/>
              </w:rPr>
              <w:t>210000</w:t>
            </w:r>
          </w:p>
        </w:tc>
        <w:tc>
          <w:tcPr>
            <w:tcW w:w="872" w:type="dxa"/>
            <w:vAlign w:val="top"/>
          </w:tcPr>
          <w:p w14:paraId="2B0F516C">
            <w:pPr>
              <w:pStyle w:val="6"/>
              <w:spacing w:before="101" w:line="200" w:lineRule="auto"/>
              <w:ind w:left="263"/>
            </w:pPr>
            <w:r>
              <w:rPr>
                <w:spacing w:val="-1"/>
              </w:rPr>
              <w:t>2.64</w:t>
            </w:r>
          </w:p>
        </w:tc>
        <w:tc>
          <w:tcPr>
            <w:tcW w:w="883" w:type="dxa"/>
            <w:tcBorders>
              <w:right w:val="single" w:color="000000" w:sz="12" w:space="0"/>
            </w:tcBorders>
            <w:vAlign w:val="top"/>
          </w:tcPr>
          <w:p w14:paraId="557815FC">
            <w:pPr>
              <w:pStyle w:val="6"/>
              <w:spacing w:before="101" w:line="200" w:lineRule="auto"/>
              <w:ind w:left="283"/>
            </w:pPr>
            <w:r>
              <w:rPr>
                <w:spacing w:val="-6"/>
              </w:rPr>
              <w:t>1.04</w:t>
            </w:r>
          </w:p>
        </w:tc>
      </w:tr>
      <w:tr w14:paraId="50DEE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bottom w:val="nil"/>
            </w:tcBorders>
            <w:vAlign w:val="top"/>
          </w:tcPr>
          <w:p w14:paraId="5BDDE155">
            <w:pPr>
              <w:rPr>
                <w:rFonts w:ascii="Arial"/>
                <w:sz w:val="21"/>
              </w:rPr>
            </w:pPr>
          </w:p>
        </w:tc>
        <w:tc>
          <w:tcPr>
            <w:tcW w:w="283" w:type="dxa"/>
            <w:vMerge w:val="restart"/>
            <w:tcBorders>
              <w:bottom w:val="nil"/>
            </w:tcBorders>
            <w:vAlign w:val="top"/>
          </w:tcPr>
          <w:p w14:paraId="3547C7C2">
            <w:pPr>
              <w:pStyle w:val="6"/>
              <w:spacing w:before="202" w:line="230" w:lineRule="auto"/>
              <w:ind w:left="24" w:right="45" w:firstLine="54"/>
              <w:jc w:val="both"/>
              <w:rPr>
                <w:rFonts w:ascii="宋体" w:hAnsi="宋体" w:eastAsia="宋体" w:cs="宋体"/>
              </w:rPr>
            </w:pPr>
            <w:r>
              <w:rPr>
                <w:spacing w:val="-9"/>
              </w:rPr>
              <w:t>3</w:t>
            </w:r>
            <w:r>
              <w:rPr>
                <w:rFonts w:ascii="宋体" w:hAnsi="宋体" w:eastAsia="宋体" w:cs="宋体"/>
                <w:spacing w:val="-8"/>
              </w:rPr>
              <w:t>季度</w:t>
            </w:r>
          </w:p>
        </w:tc>
        <w:tc>
          <w:tcPr>
            <w:tcW w:w="1134" w:type="dxa"/>
            <w:vAlign w:val="top"/>
          </w:tcPr>
          <w:p w14:paraId="3D64EAC6">
            <w:pPr>
              <w:pStyle w:val="6"/>
              <w:spacing w:before="118" w:line="214" w:lineRule="auto"/>
              <w:ind w:left="128"/>
            </w:pPr>
            <w:r>
              <w:rPr>
                <w:spacing w:val="-1"/>
              </w:rPr>
              <w:t>2020/8/20</w:t>
            </w:r>
          </w:p>
        </w:tc>
        <w:tc>
          <w:tcPr>
            <w:tcW w:w="648" w:type="dxa"/>
            <w:vAlign w:val="top"/>
          </w:tcPr>
          <w:p w14:paraId="7E1BF9BA">
            <w:pPr>
              <w:pStyle w:val="6"/>
              <w:spacing w:before="118" w:line="214" w:lineRule="auto"/>
              <w:ind w:left="149"/>
            </w:pPr>
            <w:r>
              <w:rPr>
                <w:spacing w:val="-6"/>
              </w:rPr>
              <w:t>18.9</w:t>
            </w:r>
          </w:p>
        </w:tc>
        <w:tc>
          <w:tcPr>
            <w:tcW w:w="648" w:type="dxa"/>
            <w:vAlign w:val="top"/>
          </w:tcPr>
          <w:p w14:paraId="3B2EAD59">
            <w:pPr>
              <w:pStyle w:val="6"/>
              <w:spacing w:before="118" w:line="214" w:lineRule="auto"/>
              <w:ind w:left="150"/>
            </w:pPr>
            <w:r>
              <w:rPr>
                <w:spacing w:val="-6"/>
              </w:rPr>
              <w:t>13.9</w:t>
            </w:r>
          </w:p>
        </w:tc>
        <w:tc>
          <w:tcPr>
            <w:tcW w:w="646" w:type="dxa"/>
            <w:vAlign w:val="top"/>
          </w:tcPr>
          <w:p w14:paraId="3EFAB9DC">
            <w:pPr>
              <w:pStyle w:val="6"/>
              <w:spacing w:before="118" w:line="214" w:lineRule="auto"/>
              <w:ind w:left="213"/>
            </w:pPr>
            <w:r>
              <w:rPr>
                <w:spacing w:val="-3"/>
              </w:rPr>
              <w:t>68</w:t>
            </w:r>
          </w:p>
        </w:tc>
        <w:tc>
          <w:tcPr>
            <w:tcW w:w="651" w:type="dxa"/>
            <w:vAlign w:val="top"/>
          </w:tcPr>
          <w:p w14:paraId="5A1EBEB6">
            <w:pPr>
              <w:pStyle w:val="6"/>
              <w:spacing w:before="118" w:line="214" w:lineRule="auto"/>
              <w:ind w:left="219"/>
            </w:pPr>
            <w:r>
              <w:rPr>
                <w:spacing w:val="-3"/>
              </w:rPr>
              <w:t>50</w:t>
            </w:r>
          </w:p>
        </w:tc>
        <w:tc>
          <w:tcPr>
            <w:tcW w:w="648" w:type="dxa"/>
            <w:vAlign w:val="top"/>
          </w:tcPr>
          <w:p w14:paraId="301A16A9">
            <w:pPr>
              <w:pStyle w:val="6"/>
              <w:spacing w:before="118" w:line="214" w:lineRule="auto"/>
              <w:ind w:left="212"/>
            </w:pPr>
            <w:r>
              <w:rPr>
                <w:spacing w:val="-1"/>
              </w:rPr>
              <w:t>42</w:t>
            </w:r>
          </w:p>
        </w:tc>
        <w:tc>
          <w:tcPr>
            <w:tcW w:w="650" w:type="dxa"/>
            <w:vAlign w:val="top"/>
          </w:tcPr>
          <w:p w14:paraId="230CB060">
            <w:pPr>
              <w:pStyle w:val="6"/>
              <w:spacing w:before="118" w:line="214" w:lineRule="auto"/>
              <w:ind w:left="216"/>
            </w:pPr>
            <w:r>
              <w:rPr>
                <w:spacing w:val="-1"/>
              </w:rPr>
              <w:t>24</w:t>
            </w:r>
          </w:p>
        </w:tc>
        <w:tc>
          <w:tcPr>
            <w:tcW w:w="648" w:type="dxa"/>
            <w:vAlign w:val="top"/>
          </w:tcPr>
          <w:p w14:paraId="370B8BD7">
            <w:pPr>
              <w:pStyle w:val="6"/>
              <w:spacing w:before="118" w:line="214" w:lineRule="auto"/>
              <w:ind w:left="143"/>
            </w:pPr>
            <w:r>
              <w:rPr>
                <w:spacing w:val="-3"/>
              </w:rPr>
              <w:t>6.95</w:t>
            </w:r>
          </w:p>
        </w:tc>
        <w:tc>
          <w:tcPr>
            <w:tcW w:w="650" w:type="dxa"/>
            <w:vAlign w:val="top"/>
          </w:tcPr>
          <w:p w14:paraId="5DCB79F1">
            <w:pPr>
              <w:pStyle w:val="6"/>
              <w:spacing w:before="118" w:line="214" w:lineRule="auto"/>
              <w:ind w:left="146"/>
            </w:pPr>
            <w:r>
              <w:rPr>
                <w:spacing w:val="-3"/>
              </w:rPr>
              <w:t>5.29</w:t>
            </w:r>
          </w:p>
        </w:tc>
        <w:tc>
          <w:tcPr>
            <w:tcW w:w="648" w:type="dxa"/>
            <w:vAlign w:val="top"/>
          </w:tcPr>
          <w:p w14:paraId="6B355A18">
            <w:pPr>
              <w:pStyle w:val="6"/>
              <w:spacing w:before="118" w:line="214" w:lineRule="auto"/>
              <w:ind w:left="144"/>
            </w:pPr>
            <w:r>
              <w:rPr>
                <w:spacing w:val="-2"/>
              </w:rPr>
              <w:t>0.50</w:t>
            </w:r>
          </w:p>
        </w:tc>
        <w:tc>
          <w:tcPr>
            <w:tcW w:w="650" w:type="dxa"/>
            <w:vAlign w:val="top"/>
          </w:tcPr>
          <w:p w14:paraId="359C8B74">
            <w:pPr>
              <w:pStyle w:val="6"/>
              <w:spacing w:before="118" w:line="214" w:lineRule="auto"/>
              <w:ind w:left="147"/>
            </w:pPr>
            <w:r>
              <w:rPr>
                <w:spacing w:val="-2"/>
              </w:rPr>
              <w:t>0.26</w:t>
            </w:r>
          </w:p>
        </w:tc>
        <w:tc>
          <w:tcPr>
            <w:tcW w:w="648" w:type="dxa"/>
            <w:vAlign w:val="top"/>
          </w:tcPr>
          <w:p w14:paraId="4ABF953E">
            <w:pPr>
              <w:pStyle w:val="6"/>
              <w:spacing w:before="118" w:line="214" w:lineRule="auto"/>
              <w:ind w:left="147"/>
            </w:pPr>
            <w:r>
              <w:rPr>
                <w:spacing w:val="-2"/>
              </w:rPr>
              <w:t>0.61</w:t>
            </w:r>
          </w:p>
        </w:tc>
        <w:tc>
          <w:tcPr>
            <w:tcW w:w="650" w:type="dxa"/>
            <w:vAlign w:val="top"/>
          </w:tcPr>
          <w:p w14:paraId="4BCCF870">
            <w:pPr>
              <w:pStyle w:val="6"/>
              <w:spacing w:before="118" w:line="214" w:lineRule="auto"/>
              <w:ind w:left="149"/>
            </w:pPr>
            <w:r>
              <w:rPr>
                <w:spacing w:val="-2"/>
              </w:rPr>
              <w:t>0.56</w:t>
            </w:r>
          </w:p>
        </w:tc>
        <w:tc>
          <w:tcPr>
            <w:tcW w:w="873" w:type="dxa"/>
            <w:vAlign w:val="top"/>
          </w:tcPr>
          <w:p w14:paraId="34CFB57C">
            <w:pPr>
              <w:pStyle w:val="6"/>
              <w:spacing w:before="84" w:line="219" w:lineRule="auto"/>
              <w:ind w:left="66"/>
              <w:rPr>
                <w:sz w:val="14"/>
                <w:szCs w:val="14"/>
              </w:rPr>
            </w:pPr>
            <w:r>
              <w:rPr>
                <w:spacing w:val="-1"/>
              </w:rPr>
              <w:t>2.4</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0E647473">
            <w:pPr>
              <w:pStyle w:val="6"/>
              <w:spacing w:before="84" w:line="219" w:lineRule="auto"/>
              <w:ind w:left="69"/>
              <w:rPr>
                <w:sz w:val="14"/>
                <w:szCs w:val="14"/>
              </w:rPr>
            </w:pPr>
            <w:r>
              <w:rPr>
                <w:b/>
                <w:bCs/>
                <w:spacing w:val="-1"/>
              </w:rPr>
              <w:t>2.3</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71DEC4DB">
            <w:pPr>
              <w:pStyle w:val="6"/>
              <w:spacing w:before="118" w:line="214" w:lineRule="auto"/>
              <w:ind w:left="262"/>
            </w:pPr>
            <w:r>
              <w:rPr>
                <w:spacing w:val="-1"/>
              </w:rPr>
              <w:t>4.61</w:t>
            </w:r>
          </w:p>
        </w:tc>
        <w:tc>
          <w:tcPr>
            <w:tcW w:w="883" w:type="dxa"/>
            <w:tcBorders>
              <w:right w:val="single" w:color="000000" w:sz="12" w:space="0"/>
            </w:tcBorders>
            <w:vAlign w:val="top"/>
          </w:tcPr>
          <w:p w14:paraId="120F125C">
            <w:pPr>
              <w:pStyle w:val="6"/>
              <w:spacing w:before="118" w:line="214" w:lineRule="auto"/>
              <w:ind w:left="267"/>
            </w:pPr>
            <w:r>
              <w:rPr>
                <w:spacing w:val="-2"/>
              </w:rPr>
              <w:t>3.33</w:t>
            </w:r>
          </w:p>
        </w:tc>
      </w:tr>
      <w:tr w14:paraId="3D5D6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bottom w:val="nil"/>
            </w:tcBorders>
            <w:vAlign w:val="top"/>
          </w:tcPr>
          <w:p w14:paraId="4F2AE3B8">
            <w:pPr>
              <w:rPr>
                <w:rFonts w:ascii="Arial"/>
                <w:sz w:val="21"/>
              </w:rPr>
            </w:pPr>
          </w:p>
        </w:tc>
        <w:tc>
          <w:tcPr>
            <w:tcW w:w="283" w:type="dxa"/>
            <w:vMerge w:val="continue"/>
            <w:tcBorders>
              <w:top w:val="nil"/>
              <w:bottom w:val="nil"/>
            </w:tcBorders>
            <w:vAlign w:val="top"/>
          </w:tcPr>
          <w:p w14:paraId="69594889">
            <w:pPr>
              <w:rPr>
                <w:rFonts w:ascii="Arial"/>
                <w:sz w:val="21"/>
              </w:rPr>
            </w:pPr>
          </w:p>
        </w:tc>
        <w:tc>
          <w:tcPr>
            <w:tcW w:w="1134" w:type="dxa"/>
            <w:vAlign w:val="top"/>
          </w:tcPr>
          <w:p w14:paraId="5F78A798">
            <w:pPr>
              <w:pStyle w:val="6"/>
              <w:spacing w:before="120" w:line="212" w:lineRule="auto"/>
              <w:ind w:left="128"/>
            </w:pPr>
            <w:r>
              <w:rPr>
                <w:spacing w:val="-1"/>
              </w:rPr>
              <w:t>2020/8/21</w:t>
            </w:r>
          </w:p>
        </w:tc>
        <w:tc>
          <w:tcPr>
            <w:tcW w:w="648" w:type="dxa"/>
            <w:vAlign w:val="top"/>
          </w:tcPr>
          <w:p w14:paraId="58798943">
            <w:pPr>
              <w:pStyle w:val="6"/>
              <w:spacing w:before="120" w:line="212" w:lineRule="auto"/>
              <w:ind w:left="149"/>
            </w:pPr>
            <w:r>
              <w:rPr>
                <w:spacing w:val="-6"/>
              </w:rPr>
              <w:t>17.8</w:t>
            </w:r>
          </w:p>
        </w:tc>
        <w:tc>
          <w:tcPr>
            <w:tcW w:w="648" w:type="dxa"/>
            <w:vAlign w:val="top"/>
          </w:tcPr>
          <w:p w14:paraId="3FC8AE94">
            <w:pPr>
              <w:pStyle w:val="6"/>
              <w:spacing w:before="120" w:line="212" w:lineRule="auto"/>
              <w:ind w:left="150"/>
            </w:pPr>
            <w:r>
              <w:rPr>
                <w:spacing w:val="-6"/>
              </w:rPr>
              <w:t>12.8</w:t>
            </w:r>
          </w:p>
        </w:tc>
        <w:tc>
          <w:tcPr>
            <w:tcW w:w="646" w:type="dxa"/>
            <w:vAlign w:val="top"/>
          </w:tcPr>
          <w:p w14:paraId="2B291B3A">
            <w:pPr>
              <w:pStyle w:val="6"/>
              <w:spacing w:before="120" w:line="212" w:lineRule="auto"/>
              <w:ind w:left="213"/>
            </w:pPr>
            <w:r>
              <w:rPr>
                <w:spacing w:val="-3"/>
              </w:rPr>
              <w:t>64</w:t>
            </w:r>
          </w:p>
        </w:tc>
        <w:tc>
          <w:tcPr>
            <w:tcW w:w="651" w:type="dxa"/>
            <w:vAlign w:val="top"/>
          </w:tcPr>
          <w:p w14:paraId="277FABB3">
            <w:pPr>
              <w:pStyle w:val="6"/>
              <w:spacing w:before="120" w:line="212" w:lineRule="auto"/>
              <w:ind w:left="213"/>
            </w:pPr>
            <w:r>
              <w:rPr>
                <w:spacing w:val="-1"/>
              </w:rPr>
              <w:t>46</w:t>
            </w:r>
          </w:p>
        </w:tc>
        <w:tc>
          <w:tcPr>
            <w:tcW w:w="648" w:type="dxa"/>
            <w:vAlign w:val="top"/>
          </w:tcPr>
          <w:p w14:paraId="559608DA">
            <w:pPr>
              <w:pStyle w:val="6"/>
              <w:spacing w:before="120" w:line="212" w:lineRule="auto"/>
              <w:ind w:left="212"/>
            </w:pPr>
            <w:r>
              <w:rPr>
                <w:spacing w:val="-1"/>
              </w:rPr>
              <w:t>48</w:t>
            </w:r>
          </w:p>
        </w:tc>
        <w:tc>
          <w:tcPr>
            <w:tcW w:w="650" w:type="dxa"/>
            <w:vAlign w:val="top"/>
          </w:tcPr>
          <w:p w14:paraId="24B03968">
            <w:pPr>
              <w:pStyle w:val="6"/>
              <w:spacing w:before="120" w:line="212" w:lineRule="auto"/>
              <w:ind w:left="216"/>
            </w:pPr>
            <w:r>
              <w:rPr>
                <w:spacing w:val="-1"/>
              </w:rPr>
              <w:t>21</w:t>
            </w:r>
          </w:p>
        </w:tc>
        <w:tc>
          <w:tcPr>
            <w:tcW w:w="648" w:type="dxa"/>
            <w:vAlign w:val="top"/>
          </w:tcPr>
          <w:p w14:paraId="23C55C6E">
            <w:pPr>
              <w:pStyle w:val="6"/>
              <w:spacing w:before="120" w:line="212" w:lineRule="auto"/>
              <w:ind w:left="143"/>
            </w:pPr>
            <w:r>
              <w:rPr>
                <w:spacing w:val="-3"/>
              </w:rPr>
              <w:t>6.84</w:t>
            </w:r>
          </w:p>
        </w:tc>
        <w:tc>
          <w:tcPr>
            <w:tcW w:w="650" w:type="dxa"/>
            <w:vAlign w:val="top"/>
          </w:tcPr>
          <w:p w14:paraId="0D768618">
            <w:pPr>
              <w:pStyle w:val="6"/>
              <w:spacing w:before="120" w:line="212" w:lineRule="auto"/>
              <w:ind w:left="146"/>
            </w:pPr>
            <w:r>
              <w:rPr>
                <w:spacing w:val="-3"/>
              </w:rPr>
              <w:t>5.17</w:t>
            </w:r>
          </w:p>
        </w:tc>
        <w:tc>
          <w:tcPr>
            <w:tcW w:w="648" w:type="dxa"/>
            <w:vAlign w:val="top"/>
          </w:tcPr>
          <w:p w14:paraId="4D3A7159">
            <w:pPr>
              <w:pStyle w:val="6"/>
              <w:spacing w:before="120" w:line="212" w:lineRule="auto"/>
              <w:ind w:left="144"/>
            </w:pPr>
            <w:r>
              <w:rPr>
                <w:spacing w:val="-2"/>
              </w:rPr>
              <w:t>0.48</w:t>
            </w:r>
          </w:p>
        </w:tc>
        <w:tc>
          <w:tcPr>
            <w:tcW w:w="650" w:type="dxa"/>
            <w:vAlign w:val="top"/>
          </w:tcPr>
          <w:p w14:paraId="1F17BC7F">
            <w:pPr>
              <w:pStyle w:val="6"/>
              <w:spacing w:before="120" w:line="212" w:lineRule="auto"/>
              <w:ind w:left="147"/>
            </w:pPr>
            <w:r>
              <w:rPr>
                <w:spacing w:val="-2"/>
              </w:rPr>
              <w:t>0.24</w:t>
            </w:r>
          </w:p>
        </w:tc>
        <w:tc>
          <w:tcPr>
            <w:tcW w:w="648" w:type="dxa"/>
            <w:vAlign w:val="top"/>
          </w:tcPr>
          <w:p w14:paraId="3E43BF2F">
            <w:pPr>
              <w:pStyle w:val="6"/>
              <w:spacing w:before="120" w:line="212" w:lineRule="auto"/>
              <w:ind w:left="147"/>
            </w:pPr>
            <w:r>
              <w:rPr>
                <w:spacing w:val="-2"/>
              </w:rPr>
              <w:t>0.66</w:t>
            </w:r>
          </w:p>
        </w:tc>
        <w:tc>
          <w:tcPr>
            <w:tcW w:w="650" w:type="dxa"/>
            <w:vAlign w:val="top"/>
          </w:tcPr>
          <w:p w14:paraId="37DEBE24">
            <w:pPr>
              <w:pStyle w:val="6"/>
              <w:spacing w:before="120" w:line="212" w:lineRule="auto"/>
              <w:ind w:left="149"/>
            </w:pPr>
            <w:r>
              <w:rPr>
                <w:spacing w:val="-2"/>
              </w:rPr>
              <w:t>0.54</w:t>
            </w:r>
          </w:p>
        </w:tc>
        <w:tc>
          <w:tcPr>
            <w:tcW w:w="873" w:type="dxa"/>
            <w:vAlign w:val="top"/>
          </w:tcPr>
          <w:p w14:paraId="07B45A88">
            <w:pPr>
              <w:pStyle w:val="6"/>
              <w:spacing w:before="87" w:line="217" w:lineRule="auto"/>
              <w:ind w:left="66"/>
              <w:rPr>
                <w:sz w:val="14"/>
                <w:szCs w:val="14"/>
              </w:rPr>
            </w:pPr>
            <w:r>
              <w:rPr>
                <w:spacing w:val="-1"/>
              </w:rPr>
              <w:t>2.5</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3287B1A9">
            <w:pPr>
              <w:pStyle w:val="6"/>
              <w:spacing w:before="87" w:line="217" w:lineRule="auto"/>
              <w:ind w:left="69"/>
              <w:rPr>
                <w:sz w:val="14"/>
                <w:szCs w:val="14"/>
              </w:rPr>
            </w:pPr>
            <w:r>
              <w:rPr>
                <w:b/>
                <w:bCs/>
                <w:spacing w:val="-1"/>
              </w:rPr>
              <w:t>2.4</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15AA8BD3">
            <w:pPr>
              <w:pStyle w:val="6"/>
              <w:spacing w:before="120" w:line="212" w:lineRule="auto"/>
              <w:ind w:left="262"/>
            </w:pPr>
            <w:r>
              <w:rPr>
                <w:spacing w:val="-1"/>
              </w:rPr>
              <w:t>4.67</w:t>
            </w:r>
          </w:p>
        </w:tc>
        <w:tc>
          <w:tcPr>
            <w:tcW w:w="883" w:type="dxa"/>
            <w:tcBorders>
              <w:right w:val="single" w:color="000000" w:sz="12" w:space="0"/>
            </w:tcBorders>
            <w:vAlign w:val="top"/>
          </w:tcPr>
          <w:p w14:paraId="3193E216">
            <w:pPr>
              <w:pStyle w:val="6"/>
              <w:spacing w:before="120" w:line="212" w:lineRule="auto"/>
              <w:ind w:left="267"/>
            </w:pPr>
            <w:r>
              <w:rPr>
                <w:spacing w:val="-2"/>
              </w:rPr>
              <w:t>3.37</w:t>
            </w:r>
          </w:p>
        </w:tc>
      </w:tr>
      <w:tr w14:paraId="6011C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4" w:type="dxa"/>
            <w:vMerge w:val="continue"/>
            <w:tcBorders>
              <w:top w:val="nil"/>
              <w:left w:val="single" w:color="000000" w:sz="12" w:space="0"/>
              <w:bottom w:val="nil"/>
            </w:tcBorders>
            <w:vAlign w:val="top"/>
          </w:tcPr>
          <w:p w14:paraId="09104BB8">
            <w:pPr>
              <w:rPr>
                <w:rFonts w:ascii="Arial"/>
                <w:sz w:val="21"/>
              </w:rPr>
            </w:pPr>
          </w:p>
        </w:tc>
        <w:tc>
          <w:tcPr>
            <w:tcW w:w="283" w:type="dxa"/>
            <w:vMerge w:val="continue"/>
            <w:tcBorders>
              <w:top w:val="nil"/>
            </w:tcBorders>
            <w:vAlign w:val="top"/>
          </w:tcPr>
          <w:p w14:paraId="03FEFE21">
            <w:pPr>
              <w:rPr>
                <w:rFonts w:ascii="Arial"/>
                <w:sz w:val="21"/>
              </w:rPr>
            </w:pPr>
          </w:p>
        </w:tc>
        <w:tc>
          <w:tcPr>
            <w:tcW w:w="1134" w:type="dxa"/>
            <w:vAlign w:val="top"/>
          </w:tcPr>
          <w:p w14:paraId="6311ED78">
            <w:pPr>
              <w:pStyle w:val="6"/>
              <w:spacing w:before="121" w:line="212" w:lineRule="auto"/>
              <w:ind w:left="128"/>
            </w:pPr>
            <w:r>
              <w:rPr>
                <w:spacing w:val="-1"/>
              </w:rPr>
              <w:t>2020/8/22</w:t>
            </w:r>
          </w:p>
        </w:tc>
        <w:tc>
          <w:tcPr>
            <w:tcW w:w="648" w:type="dxa"/>
            <w:vAlign w:val="top"/>
          </w:tcPr>
          <w:p w14:paraId="0BC95916">
            <w:pPr>
              <w:pStyle w:val="6"/>
              <w:spacing w:before="121" w:line="212" w:lineRule="auto"/>
              <w:ind w:left="149"/>
            </w:pPr>
            <w:r>
              <w:rPr>
                <w:spacing w:val="-6"/>
              </w:rPr>
              <w:t>19.4</w:t>
            </w:r>
          </w:p>
        </w:tc>
        <w:tc>
          <w:tcPr>
            <w:tcW w:w="648" w:type="dxa"/>
            <w:vAlign w:val="top"/>
          </w:tcPr>
          <w:p w14:paraId="50781348">
            <w:pPr>
              <w:pStyle w:val="6"/>
              <w:spacing w:before="121" w:line="212" w:lineRule="auto"/>
              <w:ind w:left="150"/>
            </w:pPr>
            <w:r>
              <w:rPr>
                <w:spacing w:val="-6"/>
              </w:rPr>
              <w:t>13.3</w:t>
            </w:r>
          </w:p>
        </w:tc>
        <w:tc>
          <w:tcPr>
            <w:tcW w:w="646" w:type="dxa"/>
            <w:vAlign w:val="top"/>
          </w:tcPr>
          <w:p w14:paraId="3B10E029">
            <w:pPr>
              <w:pStyle w:val="6"/>
              <w:spacing w:before="121" w:line="212" w:lineRule="auto"/>
              <w:ind w:left="211"/>
            </w:pPr>
            <w:r>
              <w:rPr>
                <w:spacing w:val="-2"/>
              </w:rPr>
              <w:t>70</w:t>
            </w:r>
          </w:p>
        </w:tc>
        <w:tc>
          <w:tcPr>
            <w:tcW w:w="651" w:type="dxa"/>
            <w:vAlign w:val="top"/>
          </w:tcPr>
          <w:p w14:paraId="015FD0A4">
            <w:pPr>
              <w:pStyle w:val="6"/>
              <w:spacing w:before="121" w:line="212" w:lineRule="auto"/>
              <w:ind w:left="213"/>
            </w:pPr>
            <w:r>
              <w:rPr>
                <w:spacing w:val="-1"/>
              </w:rPr>
              <w:t>48</w:t>
            </w:r>
          </w:p>
        </w:tc>
        <w:tc>
          <w:tcPr>
            <w:tcW w:w="648" w:type="dxa"/>
            <w:vAlign w:val="top"/>
          </w:tcPr>
          <w:p w14:paraId="4D5AD4F9">
            <w:pPr>
              <w:pStyle w:val="6"/>
              <w:spacing w:before="121" w:line="212" w:lineRule="auto"/>
              <w:ind w:left="219"/>
            </w:pPr>
            <w:r>
              <w:rPr>
                <w:spacing w:val="-3"/>
              </w:rPr>
              <w:t>51</w:t>
            </w:r>
          </w:p>
        </w:tc>
        <w:tc>
          <w:tcPr>
            <w:tcW w:w="650" w:type="dxa"/>
            <w:vAlign w:val="top"/>
          </w:tcPr>
          <w:p w14:paraId="332AB6A8">
            <w:pPr>
              <w:pStyle w:val="6"/>
              <w:spacing w:before="121" w:line="212" w:lineRule="auto"/>
              <w:ind w:left="216"/>
            </w:pPr>
            <w:r>
              <w:rPr>
                <w:spacing w:val="-1"/>
              </w:rPr>
              <w:t>27</w:t>
            </w:r>
          </w:p>
        </w:tc>
        <w:tc>
          <w:tcPr>
            <w:tcW w:w="648" w:type="dxa"/>
            <w:vAlign w:val="top"/>
          </w:tcPr>
          <w:p w14:paraId="3E153BD4">
            <w:pPr>
              <w:pStyle w:val="6"/>
              <w:spacing w:before="121" w:line="212" w:lineRule="auto"/>
              <w:ind w:left="141"/>
            </w:pPr>
            <w:r>
              <w:rPr>
                <w:spacing w:val="-2"/>
              </w:rPr>
              <w:t>7.11</w:t>
            </w:r>
          </w:p>
        </w:tc>
        <w:tc>
          <w:tcPr>
            <w:tcW w:w="650" w:type="dxa"/>
            <w:vAlign w:val="top"/>
          </w:tcPr>
          <w:p w14:paraId="0294CAA8">
            <w:pPr>
              <w:pStyle w:val="6"/>
              <w:spacing w:before="121" w:line="212" w:lineRule="auto"/>
              <w:ind w:left="146"/>
            </w:pPr>
            <w:r>
              <w:rPr>
                <w:spacing w:val="-3"/>
              </w:rPr>
              <w:t>5.38</w:t>
            </w:r>
          </w:p>
        </w:tc>
        <w:tc>
          <w:tcPr>
            <w:tcW w:w="648" w:type="dxa"/>
            <w:vAlign w:val="top"/>
          </w:tcPr>
          <w:p w14:paraId="3CF7691B">
            <w:pPr>
              <w:pStyle w:val="6"/>
              <w:spacing w:before="121" w:line="212" w:lineRule="auto"/>
              <w:ind w:left="144"/>
            </w:pPr>
            <w:r>
              <w:rPr>
                <w:spacing w:val="-2"/>
              </w:rPr>
              <w:t>0.52</w:t>
            </w:r>
          </w:p>
        </w:tc>
        <w:tc>
          <w:tcPr>
            <w:tcW w:w="650" w:type="dxa"/>
            <w:vAlign w:val="top"/>
          </w:tcPr>
          <w:p w14:paraId="59B94FF6">
            <w:pPr>
              <w:pStyle w:val="6"/>
              <w:spacing w:before="121" w:line="212" w:lineRule="auto"/>
              <w:ind w:left="147"/>
            </w:pPr>
            <w:r>
              <w:rPr>
                <w:spacing w:val="-2"/>
              </w:rPr>
              <w:t>0.25</w:t>
            </w:r>
          </w:p>
        </w:tc>
        <w:tc>
          <w:tcPr>
            <w:tcW w:w="648" w:type="dxa"/>
            <w:vAlign w:val="top"/>
          </w:tcPr>
          <w:p w14:paraId="259E52B5">
            <w:pPr>
              <w:pStyle w:val="6"/>
              <w:spacing w:before="121" w:line="212" w:lineRule="auto"/>
              <w:ind w:left="147"/>
            </w:pPr>
            <w:r>
              <w:rPr>
                <w:spacing w:val="-2"/>
              </w:rPr>
              <w:t>0.66</w:t>
            </w:r>
          </w:p>
        </w:tc>
        <w:tc>
          <w:tcPr>
            <w:tcW w:w="650" w:type="dxa"/>
            <w:vAlign w:val="top"/>
          </w:tcPr>
          <w:p w14:paraId="0127FE2A">
            <w:pPr>
              <w:pStyle w:val="6"/>
              <w:spacing w:before="121" w:line="212" w:lineRule="auto"/>
              <w:ind w:left="149"/>
            </w:pPr>
            <w:r>
              <w:rPr>
                <w:spacing w:val="-2"/>
              </w:rPr>
              <w:t>0.57</w:t>
            </w:r>
          </w:p>
        </w:tc>
        <w:tc>
          <w:tcPr>
            <w:tcW w:w="873" w:type="dxa"/>
            <w:vAlign w:val="top"/>
          </w:tcPr>
          <w:p w14:paraId="3CF38F54">
            <w:pPr>
              <w:pStyle w:val="6"/>
              <w:spacing w:before="88" w:line="217" w:lineRule="auto"/>
              <w:ind w:left="66"/>
              <w:rPr>
                <w:sz w:val="14"/>
                <w:szCs w:val="14"/>
              </w:rPr>
            </w:pPr>
            <w:r>
              <w:rPr>
                <w:spacing w:val="-1"/>
              </w:rPr>
              <w:t>2.3</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3E1FD2ED">
            <w:pPr>
              <w:pStyle w:val="6"/>
              <w:spacing w:before="88" w:line="217" w:lineRule="auto"/>
              <w:ind w:left="69"/>
              <w:rPr>
                <w:sz w:val="14"/>
                <w:szCs w:val="14"/>
              </w:rPr>
            </w:pPr>
            <w:r>
              <w:rPr>
                <w:b/>
                <w:bCs/>
                <w:spacing w:val="-1"/>
              </w:rPr>
              <w:t>2.2</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064B0216">
            <w:pPr>
              <w:pStyle w:val="6"/>
              <w:spacing w:before="121" w:line="212" w:lineRule="auto"/>
              <w:ind w:left="262"/>
            </w:pPr>
            <w:r>
              <w:rPr>
                <w:spacing w:val="-1"/>
              </w:rPr>
              <w:t>4.74</w:t>
            </w:r>
          </w:p>
        </w:tc>
        <w:tc>
          <w:tcPr>
            <w:tcW w:w="883" w:type="dxa"/>
            <w:tcBorders>
              <w:right w:val="single" w:color="000000" w:sz="12" w:space="0"/>
            </w:tcBorders>
            <w:vAlign w:val="top"/>
          </w:tcPr>
          <w:p w14:paraId="4E1F7680">
            <w:pPr>
              <w:pStyle w:val="6"/>
              <w:spacing w:before="121" w:line="212" w:lineRule="auto"/>
              <w:ind w:left="267"/>
            </w:pPr>
            <w:r>
              <w:rPr>
                <w:spacing w:val="-2"/>
              </w:rPr>
              <w:t>3.32</w:t>
            </w:r>
          </w:p>
        </w:tc>
      </w:tr>
      <w:tr w14:paraId="3CEDE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bottom w:val="nil"/>
            </w:tcBorders>
            <w:vAlign w:val="top"/>
          </w:tcPr>
          <w:p w14:paraId="4B8C19CD">
            <w:pPr>
              <w:rPr>
                <w:rFonts w:ascii="Arial"/>
                <w:sz w:val="21"/>
              </w:rPr>
            </w:pPr>
          </w:p>
        </w:tc>
        <w:tc>
          <w:tcPr>
            <w:tcW w:w="283" w:type="dxa"/>
            <w:vMerge w:val="restart"/>
            <w:tcBorders>
              <w:bottom w:val="nil"/>
            </w:tcBorders>
            <w:vAlign w:val="top"/>
          </w:tcPr>
          <w:p w14:paraId="0188C577">
            <w:pPr>
              <w:pStyle w:val="6"/>
              <w:spacing w:before="203" w:line="231" w:lineRule="auto"/>
              <w:ind w:left="24" w:right="45" w:firstLine="48"/>
              <w:jc w:val="both"/>
              <w:rPr>
                <w:rFonts w:ascii="宋体" w:hAnsi="宋体" w:eastAsia="宋体" w:cs="宋体"/>
              </w:rPr>
            </w:pPr>
            <w:r>
              <w:rPr>
                <w:spacing w:val="-4"/>
              </w:rPr>
              <w:t>4</w:t>
            </w:r>
            <w:r>
              <w:rPr>
                <w:rFonts w:ascii="宋体" w:hAnsi="宋体" w:eastAsia="宋体" w:cs="宋体"/>
                <w:spacing w:val="-8"/>
              </w:rPr>
              <w:t>季度</w:t>
            </w:r>
          </w:p>
        </w:tc>
        <w:tc>
          <w:tcPr>
            <w:tcW w:w="1134" w:type="dxa"/>
            <w:vAlign w:val="top"/>
          </w:tcPr>
          <w:p w14:paraId="40B384B8">
            <w:pPr>
              <w:pStyle w:val="6"/>
              <w:spacing w:before="121" w:line="211" w:lineRule="auto"/>
              <w:ind w:left="75"/>
            </w:pPr>
            <w:r>
              <w:rPr>
                <w:spacing w:val="-1"/>
              </w:rPr>
              <w:t>2020/11/15</w:t>
            </w:r>
          </w:p>
        </w:tc>
        <w:tc>
          <w:tcPr>
            <w:tcW w:w="648" w:type="dxa"/>
            <w:vAlign w:val="top"/>
          </w:tcPr>
          <w:p w14:paraId="32D7F54A">
            <w:pPr>
              <w:pStyle w:val="6"/>
              <w:spacing w:before="121" w:line="211" w:lineRule="auto"/>
              <w:ind w:left="175"/>
            </w:pPr>
            <w:r>
              <w:rPr>
                <w:spacing w:val="-6"/>
              </w:rPr>
              <w:t>143</w:t>
            </w:r>
          </w:p>
        </w:tc>
        <w:tc>
          <w:tcPr>
            <w:tcW w:w="648" w:type="dxa"/>
            <w:vAlign w:val="top"/>
          </w:tcPr>
          <w:p w14:paraId="54C3701D">
            <w:pPr>
              <w:pStyle w:val="6"/>
              <w:spacing w:before="126" w:line="206" w:lineRule="auto"/>
              <w:ind w:left="129"/>
            </w:pPr>
            <w:r>
              <w:rPr>
                <w:b/>
                <w:bCs/>
                <w:spacing w:val="-1"/>
              </w:rPr>
              <w:t>33.3</w:t>
            </w:r>
          </w:p>
        </w:tc>
        <w:tc>
          <w:tcPr>
            <w:tcW w:w="646" w:type="dxa"/>
            <w:vAlign w:val="top"/>
          </w:tcPr>
          <w:p w14:paraId="023979B9">
            <w:pPr>
              <w:pStyle w:val="6"/>
              <w:spacing w:before="121" w:line="211" w:lineRule="auto"/>
              <w:ind w:left="161"/>
            </w:pPr>
            <w:r>
              <w:rPr>
                <w:spacing w:val="-2"/>
              </w:rPr>
              <w:t>372</w:t>
            </w:r>
          </w:p>
        </w:tc>
        <w:tc>
          <w:tcPr>
            <w:tcW w:w="651" w:type="dxa"/>
            <w:vAlign w:val="top"/>
          </w:tcPr>
          <w:p w14:paraId="73DF31A8">
            <w:pPr>
              <w:pStyle w:val="6"/>
              <w:spacing w:before="126" w:line="206" w:lineRule="auto"/>
              <w:ind w:left="170"/>
            </w:pPr>
            <w:r>
              <w:rPr>
                <w:b/>
                <w:bCs/>
                <w:spacing w:val="-4"/>
              </w:rPr>
              <w:t>120</w:t>
            </w:r>
          </w:p>
        </w:tc>
        <w:tc>
          <w:tcPr>
            <w:tcW w:w="648" w:type="dxa"/>
            <w:vAlign w:val="top"/>
          </w:tcPr>
          <w:p w14:paraId="79F93CE8">
            <w:pPr>
              <w:pStyle w:val="6"/>
              <w:spacing w:before="121" w:line="211" w:lineRule="auto"/>
              <w:ind w:left="217"/>
            </w:pPr>
            <w:r>
              <w:rPr>
                <w:spacing w:val="-2"/>
              </w:rPr>
              <w:t>92</w:t>
            </w:r>
          </w:p>
        </w:tc>
        <w:tc>
          <w:tcPr>
            <w:tcW w:w="650" w:type="dxa"/>
            <w:vAlign w:val="top"/>
          </w:tcPr>
          <w:p w14:paraId="209A30B6">
            <w:pPr>
              <w:pStyle w:val="6"/>
              <w:spacing w:before="121" w:line="211" w:lineRule="auto"/>
              <w:ind w:left="214"/>
            </w:pPr>
            <w:r>
              <w:rPr>
                <w:spacing w:val="-1"/>
              </w:rPr>
              <w:t>47</w:t>
            </w:r>
          </w:p>
        </w:tc>
        <w:tc>
          <w:tcPr>
            <w:tcW w:w="648" w:type="dxa"/>
            <w:vAlign w:val="top"/>
          </w:tcPr>
          <w:p w14:paraId="24A3797B">
            <w:pPr>
              <w:pStyle w:val="6"/>
              <w:spacing w:before="121" w:line="211" w:lineRule="auto"/>
              <w:ind w:left="158"/>
            </w:pPr>
            <w:r>
              <w:rPr>
                <w:spacing w:val="-6"/>
              </w:rPr>
              <w:t>10.7</w:t>
            </w:r>
          </w:p>
        </w:tc>
        <w:tc>
          <w:tcPr>
            <w:tcW w:w="650" w:type="dxa"/>
            <w:vAlign w:val="top"/>
          </w:tcPr>
          <w:p w14:paraId="40FF878E">
            <w:pPr>
              <w:pStyle w:val="6"/>
              <w:spacing w:before="121" w:line="211" w:lineRule="auto"/>
              <w:ind w:left="161"/>
            </w:pPr>
            <w:r>
              <w:rPr>
                <w:spacing w:val="-6"/>
              </w:rPr>
              <w:t>1.55</w:t>
            </w:r>
          </w:p>
        </w:tc>
        <w:tc>
          <w:tcPr>
            <w:tcW w:w="648" w:type="dxa"/>
            <w:vAlign w:val="top"/>
          </w:tcPr>
          <w:p w14:paraId="30B40F13">
            <w:pPr>
              <w:pStyle w:val="6"/>
              <w:spacing w:before="121" w:line="211" w:lineRule="auto"/>
              <w:ind w:left="144"/>
            </w:pPr>
            <w:r>
              <w:rPr>
                <w:spacing w:val="-2"/>
              </w:rPr>
              <w:t>0.45</w:t>
            </w:r>
          </w:p>
        </w:tc>
        <w:tc>
          <w:tcPr>
            <w:tcW w:w="650" w:type="dxa"/>
            <w:vAlign w:val="top"/>
          </w:tcPr>
          <w:p w14:paraId="4CF0A170">
            <w:pPr>
              <w:pStyle w:val="6"/>
              <w:spacing w:before="126" w:line="206" w:lineRule="auto"/>
              <w:ind w:left="147"/>
            </w:pPr>
            <w:r>
              <w:rPr>
                <w:b/>
                <w:bCs/>
                <w:spacing w:val="-2"/>
              </w:rPr>
              <w:t>0.32</w:t>
            </w:r>
          </w:p>
        </w:tc>
        <w:tc>
          <w:tcPr>
            <w:tcW w:w="648" w:type="dxa"/>
            <w:vAlign w:val="top"/>
          </w:tcPr>
          <w:p w14:paraId="0F9F6188">
            <w:pPr>
              <w:pStyle w:val="6"/>
              <w:spacing w:before="121" w:line="211" w:lineRule="auto"/>
              <w:ind w:left="164"/>
            </w:pPr>
            <w:r>
              <w:rPr>
                <w:spacing w:val="-6"/>
              </w:rPr>
              <w:t>1.82</w:t>
            </w:r>
          </w:p>
        </w:tc>
        <w:tc>
          <w:tcPr>
            <w:tcW w:w="650" w:type="dxa"/>
            <w:vAlign w:val="top"/>
          </w:tcPr>
          <w:p w14:paraId="3C1BD873">
            <w:pPr>
              <w:pStyle w:val="6"/>
              <w:spacing w:before="121" w:line="211" w:lineRule="auto"/>
              <w:ind w:left="166"/>
            </w:pPr>
            <w:r>
              <w:rPr>
                <w:spacing w:val="-6"/>
              </w:rPr>
              <w:t>1.68</w:t>
            </w:r>
          </w:p>
        </w:tc>
        <w:tc>
          <w:tcPr>
            <w:tcW w:w="873" w:type="dxa"/>
            <w:vAlign w:val="top"/>
          </w:tcPr>
          <w:p w14:paraId="230D0D28">
            <w:pPr>
              <w:pStyle w:val="6"/>
              <w:spacing w:before="88" w:line="216" w:lineRule="auto"/>
              <w:ind w:left="66"/>
              <w:rPr>
                <w:sz w:val="14"/>
                <w:szCs w:val="14"/>
              </w:rPr>
            </w:pPr>
            <w:r>
              <w:rPr>
                <w:spacing w:val="-1"/>
              </w:rPr>
              <w:t>2.8</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6C7A6C70">
            <w:pPr>
              <w:pStyle w:val="6"/>
              <w:spacing w:before="88" w:line="216" w:lineRule="auto"/>
              <w:ind w:left="69"/>
              <w:rPr>
                <w:sz w:val="14"/>
                <w:szCs w:val="14"/>
              </w:rPr>
            </w:pPr>
            <w:r>
              <w:rPr>
                <w:b/>
                <w:bCs/>
                <w:spacing w:val="-1"/>
              </w:rPr>
              <w:t>2.6</w:t>
            </w:r>
            <w:r>
              <w:rPr>
                <w:rFonts w:ascii="宋体" w:hAnsi="宋体" w:eastAsia="宋体" w:cs="宋体"/>
                <w:b/>
                <w:bCs/>
                <w:spacing w:val="-1"/>
              </w:rPr>
              <w:t>×</w:t>
            </w:r>
            <w:r>
              <w:rPr>
                <w:b/>
                <w:bCs/>
                <w:spacing w:val="-1"/>
              </w:rPr>
              <w:t>10</w:t>
            </w:r>
            <w:r>
              <w:rPr>
                <w:b/>
                <w:bCs/>
                <w:spacing w:val="-1"/>
                <w:position w:val="6"/>
                <w:sz w:val="14"/>
                <w:szCs w:val="14"/>
              </w:rPr>
              <w:t>6</w:t>
            </w:r>
          </w:p>
        </w:tc>
        <w:tc>
          <w:tcPr>
            <w:tcW w:w="872" w:type="dxa"/>
            <w:vAlign w:val="top"/>
          </w:tcPr>
          <w:p w14:paraId="2B7FD729">
            <w:pPr>
              <w:pStyle w:val="6"/>
              <w:spacing w:before="121" w:line="211" w:lineRule="auto"/>
              <w:ind w:left="269"/>
            </w:pPr>
            <w:r>
              <w:rPr>
                <w:spacing w:val="-3"/>
              </w:rPr>
              <w:t>5.43</w:t>
            </w:r>
          </w:p>
        </w:tc>
        <w:tc>
          <w:tcPr>
            <w:tcW w:w="883" w:type="dxa"/>
            <w:tcBorders>
              <w:right w:val="single" w:color="000000" w:sz="12" w:space="0"/>
            </w:tcBorders>
            <w:vAlign w:val="top"/>
          </w:tcPr>
          <w:p w14:paraId="24AB4CBA">
            <w:pPr>
              <w:pStyle w:val="6"/>
              <w:spacing w:before="121" w:line="211" w:lineRule="auto"/>
              <w:ind w:left="261"/>
            </w:pPr>
            <w:r>
              <w:rPr>
                <w:spacing w:val="-1"/>
              </w:rPr>
              <w:t>4.87</w:t>
            </w:r>
          </w:p>
        </w:tc>
      </w:tr>
      <w:tr w14:paraId="30CAC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04" w:type="dxa"/>
            <w:vMerge w:val="continue"/>
            <w:tcBorders>
              <w:top w:val="nil"/>
              <w:left w:val="single" w:color="000000" w:sz="12" w:space="0"/>
              <w:bottom w:val="nil"/>
            </w:tcBorders>
            <w:vAlign w:val="top"/>
          </w:tcPr>
          <w:p w14:paraId="0234224B">
            <w:pPr>
              <w:rPr>
                <w:rFonts w:ascii="Arial"/>
                <w:sz w:val="21"/>
              </w:rPr>
            </w:pPr>
          </w:p>
        </w:tc>
        <w:tc>
          <w:tcPr>
            <w:tcW w:w="283" w:type="dxa"/>
            <w:vMerge w:val="continue"/>
            <w:tcBorders>
              <w:top w:val="nil"/>
              <w:bottom w:val="nil"/>
            </w:tcBorders>
            <w:vAlign w:val="top"/>
          </w:tcPr>
          <w:p w14:paraId="13C1C3C4">
            <w:pPr>
              <w:rPr>
                <w:rFonts w:ascii="Arial"/>
                <w:sz w:val="21"/>
              </w:rPr>
            </w:pPr>
          </w:p>
        </w:tc>
        <w:tc>
          <w:tcPr>
            <w:tcW w:w="1134" w:type="dxa"/>
            <w:vAlign w:val="top"/>
          </w:tcPr>
          <w:p w14:paraId="74CBC910">
            <w:pPr>
              <w:pStyle w:val="6"/>
              <w:spacing w:before="122" w:line="210" w:lineRule="auto"/>
              <w:ind w:left="75"/>
            </w:pPr>
            <w:r>
              <w:rPr>
                <w:spacing w:val="-1"/>
              </w:rPr>
              <w:t>2020/11/16</w:t>
            </w:r>
          </w:p>
        </w:tc>
        <w:tc>
          <w:tcPr>
            <w:tcW w:w="648" w:type="dxa"/>
            <w:vAlign w:val="top"/>
          </w:tcPr>
          <w:p w14:paraId="501F1C0E">
            <w:pPr>
              <w:pStyle w:val="6"/>
              <w:spacing w:before="122" w:line="210" w:lineRule="auto"/>
              <w:ind w:left="175"/>
            </w:pPr>
            <w:r>
              <w:rPr>
                <w:spacing w:val="-6"/>
              </w:rPr>
              <w:t>141</w:t>
            </w:r>
          </w:p>
        </w:tc>
        <w:tc>
          <w:tcPr>
            <w:tcW w:w="648" w:type="dxa"/>
            <w:vAlign w:val="top"/>
          </w:tcPr>
          <w:p w14:paraId="6B10819F">
            <w:pPr>
              <w:pStyle w:val="6"/>
              <w:spacing w:before="127" w:line="205" w:lineRule="auto"/>
              <w:ind w:left="129"/>
            </w:pPr>
            <w:r>
              <w:rPr>
                <w:b/>
                <w:bCs/>
                <w:spacing w:val="-1"/>
              </w:rPr>
              <w:t>35.2</w:t>
            </w:r>
          </w:p>
        </w:tc>
        <w:tc>
          <w:tcPr>
            <w:tcW w:w="646" w:type="dxa"/>
            <w:vAlign w:val="top"/>
          </w:tcPr>
          <w:p w14:paraId="1FF7130A">
            <w:pPr>
              <w:pStyle w:val="6"/>
              <w:spacing w:before="122" w:line="210" w:lineRule="auto"/>
              <w:ind w:left="161"/>
            </w:pPr>
            <w:r>
              <w:rPr>
                <w:spacing w:val="-2"/>
              </w:rPr>
              <w:t>368</w:t>
            </w:r>
          </w:p>
        </w:tc>
        <w:tc>
          <w:tcPr>
            <w:tcW w:w="651" w:type="dxa"/>
            <w:vAlign w:val="top"/>
          </w:tcPr>
          <w:p w14:paraId="2BE1ED22">
            <w:pPr>
              <w:pStyle w:val="6"/>
              <w:spacing w:before="127" w:line="205" w:lineRule="auto"/>
              <w:ind w:left="170"/>
            </w:pPr>
            <w:r>
              <w:rPr>
                <w:b/>
                <w:bCs/>
                <w:spacing w:val="-4"/>
              </w:rPr>
              <w:t>116</w:t>
            </w:r>
          </w:p>
        </w:tc>
        <w:tc>
          <w:tcPr>
            <w:tcW w:w="648" w:type="dxa"/>
            <w:vAlign w:val="top"/>
          </w:tcPr>
          <w:p w14:paraId="056FDDC6">
            <w:pPr>
              <w:pStyle w:val="6"/>
              <w:spacing w:before="122" w:line="210" w:lineRule="auto"/>
              <w:ind w:left="182"/>
            </w:pPr>
            <w:r>
              <w:rPr>
                <w:spacing w:val="-6"/>
              </w:rPr>
              <w:t>106</w:t>
            </w:r>
          </w:p>
        </w:tc>
        <w:tc>
          <w:tcPr>
            <w:tcW w:w="650" w:type="dxa"/>
            <w:vAlign w:val="top"/>
          </w:tcPr>
          <w:p w14:paraId="676F9DE9">
            <w:pPr>
              <w:pStyle w:val="6"/>
              <w:spacing w:before="122" w:line="210" w:lineRule="auto"/>
              <w:ind w:left="221"/>
            </w:pPr>
            <w:r>
              <w:rPr>
                <w:spacing w:val="-3"/>
              </w:rPr>
              <w:t>53</w:t>
            </w:r>
          </w:p>
        </w:tc>
        <w:tc>
          <w:tcPr>
            <w:tcW w:w="648" w:type="dxa"/>
            <w:vAlign w:val="top"/>
          </w:tcPr>
          <w:p w14:paraId="47EDBAE5">
            <w:pPr>
              <w:pStyle w:val="6"/>
              <w:spacing w:before="122" w:line="210" w:lineRule="auto"/>
              <w:ind w:left="158"/>
            </w:pPr>
            <w:r>
              <w:rPr>
                <w:spacing w:val="-6"/>
              </w:rPr>
              <w:t>11.4</w:t>
            </w:r>
          </w:p>
        </w:tc>
        <w:tc>
          <w:tcPr>
            <w:tcW w:w="650" w:type="dxa"/>
            <w:vAlign w:val="top"/>
          </w:tcPr>
          <w:p w14:paraId="016079EA">
            <w:pPr>
              <w:pStyle w:val="6"/>
              <w:spacing w:before="122" w:line="210" w:lineRule="auto"/>
              <w:ind w:left="161"/>
            </w:pPr>
            <w:r>
              <w:rPr>
                <w:spacing w:val="-6"/>
              </w:rPr>
              <w:t>1.47</w:t>
            </w:r>
          </w:p>
        </w:tc>
        <w:tc>
          <w:tcPr>
            <w:tcW w:w="648" w:type="dxa"/>
            <w:vAlign w:val="top"/>
          </w:tcPr>
          <w:p w14:paraId="13FB304F">
            <w:pPr>
              <w:pStyle w:val="6"/>
              <w:spacing w:before="122" w:line="210" w:lineRule="auto"/>
              <w:ind w:left="144"/>
            </w:pPr>
            <w:r>
              <w:rPr>
                <w:spacing w:val="-2"/>
              </w:rPr>
              <w:t>0.50</w:t>
            </w:r>
          </w:p>
        </w:tc>
        <w:tc>
          <w:tcPr>
            <w:tcW w:w="650" w:type="dxa"/>
            <w:vAlign w:val="top"/>
          </w:tcPr>
          <w:p w14:paraId="538006A1">
            <w:pPr>
              <w:pStyle w:val="6"/>
              <w:spacing w:before="122" w:line="210" w:lineRule="auto"/>
              <w:ind w:left="147"/>
            </w:pPr>
            <w:r>
              <w:rPr>
                <w:spacing w:val="-2"/>
              </w:rPr>
              <w:t>0.28</w:t>
            </w:r>
          </w:p>
        </w:tc>
        <w:tc>
          <w:tcPr>
            <w:tcW w:w="648" w:type="dxa"/>
            <w:vAlign w:val="top"/>
          </w:tcPr>
          <w:p w14:paraId="5BFE0E38">
            <w:pPr>
              <w:pStyle w:val="6"/>
              <w:spacing w:before="122" w:line="210" w:lineRule="auto"/>
              <w:ind w:left="164"/>
            </w:pPr>
            <w:r>
              <w:rPr>
                <w:spacing w:val="-6"/>
              </w:rPr>
              <w:t>1.90</w:t>
            </w:r>
          </w:p>
        </w:tc>
        <w:tc>
          <w:tcPr>
            <w:tcW w:w="650" w:type="dxa"/>
            <w:vAlign w:val="top"/>
          </w:tcPr>
          <w:p w14:paraId="37518822">
            <w:pPr>
              <w:pStyle w:val="6"/>
              <w:spacing w:before="122" w:line="210" w:lineRule="auto"/>
              <w:ind w:left="166"/>
            </w:pPr>
            <w:r>
              <w:rPr>
                <w:spacing w:val="-6"/>
              </w:rPr>
              <w:t>1.62</w:t>
            </w:r>
          </w:p>
        </w:tc>
        <w:tc>
          <w:tcPr>
            <w:tcW w:w="873" w:type="dxa"/>
            <w:vAlign w:val="top"/>
          </w:tcPr>
          <w:p w14:paraId="5B69C091">
            <w:pPr>
              <w:pStyle w:val="6"/>
              <w:spacing w:before="89" w:line="215" w:lineRule="auto"/>
              <w:ind w:left="66"/>
              <w:rPr>
                <w:sz w:val="14"/>
                <w:szCs w:val="14"/>
              </w:rPr>
            </w:pPr>
            <w:r>
              <w:rPr>
                <w:spacing w:val="-1"/>
              </w:rPr>
              <w:t>2.7</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6CA53054">
            <w:pPr>
              <w:pStyle w:val="6"/>
              <w:spacing w:before="89" w:line="215" w:lineRule="auto"/>
              <w:ind w:left="69"/>
              <w:rPr>
                <w:sz w:val="14"/>
                <w:szCs w:val="14"/>
              </w:rPr>
            </w:pPr>
            <w:r>
              <w:rPr>
                <w:b/>
                <w:bCs/>
                <w:spacing w:val="-1"/>
              </w:rPr>
              <w:t>2.5</w:t>
            </w:r>
            <w:r>
              <w:rPr>
                <w:rFonts w:ascii="宋体" w:hAnsi="宋体" w:eastAsia="宋体" w:cs="宋体"/>
                <w:b/>
                <w:bCs/>
                <w:spacing w:val="-1"/>
              </w:rPr>
              <w:t>×</w:t>
            </w:r>
            <w:r>
              <w:rPr>
                <w:b/>
                <w:bCs/>
                <w:spacing w:val="-1"/>
              </w:rPr>
              <w:t>10</w:t>
            </w:r>
            <w:r>
              <w:rPr>
                <w:b/>
                <w:bCs/>
                <w:spacing w:val="-1"/>
                <w:position w:val="6"/>
                <w:sz w:val="14"/>
                <w:szCs w:val="14"/>
              </w:rPr>
              <w:t>6</w:t>
            </w:r>
          </w:p>
        </w:tc>
        <w:tc>
          <w:tcPr>
            <w:tcW w:w="872" w:type="dxa"/>
            <w:vAlign w:val="top"/>
          </w:tcPr>
          <w:p w14:paraId="3D271418">
            <w:pPr>
              <w:pStyle w:val="6"/>
              <w:spacing w:before="122" w:line="210" w:lineRule="auto"/>
              <w:ind w:left="269"/>
            </w:pPr>
            <w:r>
              <w:rPr>
                <w:spacing w:val="-3"/>
              </w:rPr>
              <w:t>5.46</w:t>
            </w:r>
          </w:p>
        </w:tc>
        <w:tc>
          <w:tcPr>
            <w:tcW w:w="883" w:type="dxa"/>
            <w:tcBorders>
              <w:right w:val="single" w:color="000000" w:sz="12" w:space="0"/>
            </w:tcBorders>
            <w:vAlign w:val="top"/>
          </w:tcPr>
          <w:p w14:paraId="517A0DF0">
            <w:pPr>
              <w:pStyle w:val="6"/>
              <w:spacing w:before="122" w:line="210" w:lineRule="auto"/>
              <w:ind w:left="261"/>
            </w:pPr>
            <w:r>
              <w:rPr>
                <w:spacing w:val="-1"/>
              </w:rPr>
              <w:t>4.90</w:t>
            </w:r>
          </w:p>
        </w:tc>
      </w:tr>
      <w:tr w14:paraId="7DCE2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704" w:type="dxa"/>
            <w:vMerge w:val="continue"/>
            <w:tcBorders>
              <w:top w:val="nil"/>
              <w:left w:val="single" w:color="000000" w:sz="12" w:space="0"/>
              <w:bottom w:val="single" w:color="000000" w:sz="12" w:space="0"/>
            </w:tcBorders>
            <w:vAlign w:val="top"/>
          </w:tcPr>
          <w:p w14:paraId="19DC2CDF">
            <w:pPr>
              <w:rPr>
                <w:rFonts w:ascii="Arial"/>
                <w:sz w:val="21"/>
              </w:rPr>
            </w:pPr>
          </w:p>
        </w:tc>
        <w:tc>
          <w:tcPr>
            <w:tcW w:w="283" w:type="dxa"/>
            <w:vMerge w:val="continue"/>
            <w:tcBorders>
              <w:top w:val="nil"/>
              <w:bottom w:val="single" w:color="000000" w:sz="12" w:space="0"/>
            </w:tcBorders>
            <w:vAlign w:val="top"/>
          </w:tcPr>
          <w:p w14:paraId="3DD68C29">
            <w:pPr>
              <w:rPr>
                <w:rFonts w:ascii="Arial"/>
                <w:sz w:val="21"/>
              </w:rPr>
            </w:pPr>
          </w:p>
        </w:tc>
        <w:tc>
          <w:tcPr>
            <w:tcW w:w="1134" w:type="dxa"/>
            <w:tcBorders>
              <w:bottom w:val="single" w:color="000000" w:sz="12" w:space="0"/>
            </w:tcBorders>
            <w:vAlign w:val="top"/>
          </w:tcPr>
          <w:p w14:paraId="190A7C62">
            <w:pPr>
              <w:pStyle w:val="6"/>
              <w:spacing w:before="123" w:line="231" w:lineRule="auto"/>
              <w:ind w:left="75"/>
            </w:pPr>
            <w:r>
              <w:rPr>
                <w:spacing w:val="-1"/>
              </w:rPr>
              <w:t>2020/11/17</w:t>
            </w:r>
          </w:p>
        </w:tc>
        <w:tc>
          <w:tcPr>
            <w:tcW w:w="648" w:type="dxa"/>
            <w:tcBorders>
              <w:bottom w:val="single" w:color="000000" w:sz="12" w:space="0"/>
            </w:tcBorders>
            <w:vAlign w:val="top"/>
          </w:tcPr>
          <w:p w14:paraId="799D24CA">
            <w:pPr>
              <w:pStyle w:val="6"/>
              <w:spacing w:before="123" w:line="231" w:lineRule="auto"/>
              <w:ind w:left="175"/>
            </w:pPr>
            <w:r>
              <w:rPr>
                <w:spacing w:val="-6"/>
              </w:rPr>
              <w:t>142</w:t>
            </w:r>
          </w:p>
        </w:tc>
        <w:tc>
          <w:tcPr>
            <w:tcW w:w="648" w:type="dxa"/>
            <w:tcBorders>
              <w:bottom w:val="single" w:color="000000" w:sz="12" w:space="0"/>
            </w:tcBorders>
            <w:vAlign w:val="top"/>
          </w:tcPr>
          <w:p w14:paraId="1AFD615D">
            <w:pPr>
              <w:pStyle w:val="6"/>
              <w:spacing w:before="128" w:line="226" w:lineRule="auto"/>
              <w:ind w:left="129"/>
            </w:pPr>
            <w:r>
              <w:rPr>
                <w:b/>
                <w:bCs/>
                <w:spacing w:val="-1"/>
              </w:rPr>
              <w:t>34.2</w:t>
            </w:r>
          </w:p>
        </w:tc>
        <w:tc>
          <w:tcPr>
            <w:tcW w:w="646" w:type="dxa"/>
            <w:tcBorders>
              <w:bottom w:val="single" w:color="000000" w:sz="12" w:space="0"/>
            </w:tcBorders>
            <w:vAlign w:val="top"/>
          </w:tcPr>
          <w:p w14:paraId="3FB404FA">
            <w:pPr>
              <w:pStyle w:val="6"/>
              <w:spacing w:before="123" w:line="231" w:lineRule="auto"/>
              <w:ind w:left="161"/>
            </w:pPr>
            <w:r>
              <w:rPr>
                <w:spacing w:val="-2"/>
              </w:rPr>
              <w:t>370</w:t>
            </w:r>
          </w:p>
        </w:tc>
        <w:tc>
          <w:tcPr>
            <w:tcW w:w="651" w:type="dxa"/>
            <w:tcBorders>
              <w:bottom w:val="single" w:color="000000" w:sz="12" w:space="0"/>
            </w:tcBorders>
            <w:vAlign w:val="top"/>
          </w:tcPr>
          <w:p w14:paraId="7280DDF3">
            <w:pPr>
              <w:pStyle w:val="6"/>
              <w:spacing w:before="128" w:line="226" w:lineRule="auto"/>
              <w:ind w:left="170"/>
            </w:pPr>
            <w:r>
              <w:rPr>
                <w:b/>
                <w:bCs/>
                <w:spacing w:val="-4"/>
              </w:rPr>
              <w:t>123</w:t>
            </w:r>
          </w:p>
        </w:tc>
        <w:tc>
          <w:tcPr>
            <w:tcW w:w="648" w:type="dxa"/>
            <w:tcBorders>
              <w:bottom w:val="single" w:color="000000" w:sz="12" w:space="0"/>
            </w:tcBorders>
            <w:vAlign w:val="top"/>
          </w:tcPr>
          <w:p w14:paraId="44327F98">
            <w:pPr>
              <w:pStyle w:val="6"/>
              <w:spacing w:before="123" w:line="231" w:lineRule="auto"/>
              <w:ind w:left="217"/>
            </w:pPr>
            <w:r>
              <w:rPr>
                <w:spacing w:val="-2"/>
              </w:rPr>
              <w:t>98</w:t>
            </w:r>
          </w:p>
        </w:tc>
        <w:tc>
          <w:tcPr>
            <w:tcW w:w="650" w:type="dxa"/>
            <w:tcBorders>
              <w:bottom w:val="single" w:color="000000" w:sz="12" w:space="0"/>
            </w:tcBorders>
            <w:vAlign w:val="top"/>
          </w:tcPr>
          <w:p w14:paraId="70C51AEA">
            <w:pPr>
              <w:pStyle w:val="6"/>
              <w:spacing w:before="123" w:line="231" w:lineRule="auto"/>
              <w:ind w:left="214"/>
            </w:pPr>
            <w:r>
              <w:rPr>
                <w:spacing w:val="-1"/>
              </w:rPr>
              <w:t>49</w:t>
            </w:r>
          </w:p>
        </w:tc>
        <w:tc>
          <w:tcPr>
            <w:tcW w:w="648" w:type="dxa"/>
            <w:tcBorders>
              <w:bottom w:val="single" w:color="000000" w:sz="12" w:space="0"/>
            </w:tcBorders>
            <w:vAlign w:val="top"/>
          </w:tcPr>
          <w:p w14:paraId="6882F834">
            <w:pPr>
              <w:pStyle w:val="6"/>
              <w:spacing w:before="123" w:line="231" w:lineRule="auto"/>
              <w:ind w:left="158"/>
            </w:pPr>
            <w:r>
              <w:rPr>
                <w:spacing w:val="-6"/>
              </w:rPr>
              <w:t>10.0</w:t>
            </w:r>
          </w:p>
        </w:tc>
        <w:tc>
          <w:tcPr>
            <w:tcW w:w="650" w:type="dxa"/>
            <w:tcBorders>
              <w:bottom w:val="single" w:color="000000" w:sz="12" w:space="0"/>
            </w:tcBorders>
            <w:vAlign w:val="top"/>
          </w:tcPr>
          <w:p w14:paraId="622B1CE5">
            <w:pPr>
              <w:pStyle w:val="6"/>
              <w:spacing w:before="123" w:line="231" w:lineRule="auto"/>
              <w:ind w:left="161"/>
            </w:pPr>
            <w:r>
              <w:rPr>
                <w:spacing w:val="-6"/>
              </w:rPr>
              <w:t>1.61</w:t>
            </w:r>
          </w:p>
        </w:tc>
        <w:tc>
          <w:tcPr>
            <w:tcW w:w="648" w:type="dxa"/>
            <w:tcBorders>
              <w:bottom w:val="single" w:color="000000" w:sz="12" w:space="0"/>
            </w:tcBorders>
            <w:vAlign w:val="top"/>
          </w:tcPr>
          <w:p w14:paraId="16641410">
            <w:pPr>
              <w:pStyle w:val="6"/>
              <w:spacing w:before="123" w:line="231" w:lineRule="auto"/>
              <w:ind w:left="144"/>
            </w:pPr>
            <w:r>
              <w:rPr>
                <w:spacing w:val="-2"/>
              </w:rPr>
              <w:t>0.48</w:t>
            </w:r>
          </w:p>
        </w:tc>
        <w:tc>
          <w:tcPr>
            <w:tcW w:w="650" w:type="dxa"/>
            <w:tcBorders>
              <w:bottom w:val="single" w:color="000000" w:sz="12" w:space="0"/>
            </w:tcBorders>
            <w:vAlign w:val="top"/>
          </w:tcPr>
          <w:p w14:paraId="4C1F0894">
            <w:pPr>
              <w:pStyle w:val="6"/>
              <w:spacing w:before="123" w:line="231" w:lineRule="auto"/>
              <w:ind w:left="147"/>
            </w:pPr>
            <w:r>
              <w:rPr>
                <w:spacing w:val="-2"/>
              </w:rPr>
              <w:t>0.30</w:t>
            </w:r>
          </w:p>
        </w:tc>
        <w:tc>
          <w:tcPr>
            <w:tcW w:w="648" w:type="dxa"/>
            <w:tcBorders>
              <w:bottom w:val="single" w:color="000000" w:sz="12" w:space="0"/>
            </w:tcBorders>
            <w:vAlign w:val="top"/>
          </w:tcPr>
          <w:p w14:paraId="5C1E3CCF">
            <w:pPr>
              <w:pStyle w:val="6"/>
              <w:spacing w:before="123" w:line="231" w:lineRule="auto"/>
              <w:ind w:left="144"/>
            </w:pPr>
            <w:r>
              <w:rPr>
                <w:spacing w:val="-1"/>
              </w:rPr>
              <w:t>2.01</w:t>
            </w:r>
          </w:p>
        </w:tc>
        <w:tc>
          <w:tcPr>
            <w:tcW w:w="650" w:type="dxa"/>
            <w:tcBorders>
              <w:bottom w:val="single" w:color="000000" w:sz="12" w:space="0"/>
            </w:tcBorders>
            <w:vAlign w:val="top"/>
          </w:tcPr>
          <w:p w14:paraId="64A3391A">
            <w:pPr>
              <w:pStyle w:val="6"/>
              <w:spacing w:before="123" w:line="231" w:lineRule="auto"/>
              <w:ind w:left="166"/>
            </w:pPr>
            <w:r>
              <w:rPr>
                <w:spacing w:val="-6"/>
              </w:rPr>
              <w:t>1.53</w:t>
            </w:r>
          </w:p>
        </w:tc>
        <w:tc>
          <w:tcPr>
            <w:tcW w:w="873" w:type="dxa"/>
            <w:tcBorders>
              <w:bottom w:val="single" w:color="000000" w:sz="12" w:space="0"/>
            </w:tcBorders>
            <w:vAlign w:val="top"/>
          </w:tcPr>
          <w:p w14:paraId="424B36E1">
            <w:pPr>
              <w:pStyle w:val="6"/>
              <w:spacing w:before="92" w:line="232" w:lineRule="auto"/>
              <w:ind w:left="66"/>
              <w:rPr>
                <w:sz w:val="14"/>
                <w:szCs w:val="14"/>
              </w:rPr>
            </w:pPr>
            <w:r>
              <w:rPr>
                <w:spacing w:val="-1"/>
              </w:rPr>
              <w:t>2.6</w:t>
            </w:r>
            <w:r>
              <w:rPr>
                <w:rFonts w:ascii="宋体" w:hAnsi="宋体" w:eastAsia="宋体" w:cs="宋体"/>
                <w:spacing w:val="-1"/>
              </w:rPr>
              <w:t>×</w:t>
            </w:r>
            <w:r>
              <w:rPr>
                <w:spacing w:val="-1"/>
              </w:rPr>
              <w:t>10</w:t>
            </w:r>
            <w:r>
              <w:rPr>
                <w:spacing w:val="-1"/>
                <w:position w:val="7"/>
                <w:sz w:val="14"/>
                <w:szCs w:val="14"/>
              </w:rPr>
              <w:t>6</w:t>
            </w:r>
          </w:p>
        </w:tc>
        <w:tc>
          <w:tcPr>
            <w:tcW w:w="872" w:type="dxa"/>
            <w:tcBorders>
              <w:bottom w:val="single" w:color="000000" w:sz="12" w:space="0"/>
            </w:tcBorders>
            <w:vAlign w:val="top"/>
          </w:tcPr>
          <w:p w14:paraId="3E900EA2">
            <w:pPr>
              <w:pStyle w:val="6"/>
              <w:spacing w:before="92" w:line="232" w:lineRule="auto"/>
              <w:ind w:left="69"/>
              <w:rPr>
                <w:sz w:val="14"/>
                <w:szCs w:val="14"/>
              </w:rPr>
            </w:pPr>
            <w:r>
              <w:rPr>
                <w:b/>
                <w:bCs/>
                <w:spacing w:val="-1"/>
              </w:rPr>
              <w:t>2.7</w:t>
            </w:r>
            <w:r>
              <w:rPr>
                <w:rFonts w:ascii="宋体" w:hAnsi="宋体" w:eastAsia="宋体" w:cs="宋体"/>
                <w:b/>
                <w:bCs/>
                <w:spacing w:val="-1"/>
              </w:rPr>
              <w:t>×</w:t>
            </w:r>
            <w:r>
              <w:rPr>
                <w:b/>
                <w:bCs/>
                <w:spacing w:val="-1"/>
              </w:rPr>
              <w:t>10</w:t>
            </w:r>
            <w:r>
              <w:rPr>
                <w:b/>
                <w:bCs/>
                <w:spacing w:val="-1"/>
                <w:position w:val="6"/>
                <w:sz w:val="14"/>
                <w:szCs w:val="14"/>
              </w:rPr>
              <w:t>6</w:t>
            </w:r>
          </w:p>
        </w:tc>
        <w:tc>
          <w:tcPr>
            <w:tcW w:w="872" w:type="dxa"/>
            <w:tcBorders>
              <w:bottom w:val="single" w:color="000000" w:sz="12" w:space="0"/>
            </w:tcBorders>
            <w:vAlign w:val="top"/>
          </w:tcPr>
          <w:p w14:paraId="1E438C66">
            <w:pPr>
              <w:pStyle w:val="6"/>
              <w:spacing w:before="123" w:line="231" w:lineRule="auto"/>
              <w:ind w:left="269"/>
            </w:pPr>
            <w:r>
              <w:rPr>
                <w:spacing w:val="-3"/>
              </w:rPr>
              <w:t>5.39</w:t>
            </w:r>
          </w:p>
        </w:tc>
        <w:tc>
          <w:tcPr>
            <w:tcW w:w="883" w:type="dxa"/>
            <w:tcBorders>
              <w:bottom w:val="single" w:color="000000" w:sz="12" w:space="0"/>
              <w:right w:val="single" w:color="000000" w:sz="12" w:space="0"/>
            </w:tcBorders>
            <w:vAlign w:val="top"/>
          </w:tcPr>
          <w:p w14:paraId="683D4BB3">
            <w:pPr>
              <w:pStyle w:val="6"/>
              <w:spacing w:before="123" w:line="231" w:lineRule="auto"/>
              <w:ind w:left="261"/>
            </w:pPr>
            <w:r>
              <w:rPr>
                <w:spacing w:val="-1"/>
              </w:rPr>
              <w:t>4.84</w:t>
            </w:r>
          </w:p>
        </w:tc>
      </w:tr>
    </w:tbl>
    <w:p w14:paraId="63B8ADBA">
      <w:pPr>
        <w:rPr>
          <w:rFonts w:ascii="Arial"/>
          <w:sz w:val="21"/>
        </w:rPr>
      </w:pPr>
    </w:p>
    <w:p w14:paraId="30DAD840">
      <w:pPr>
        <w:rPr>
          <w:rFonts w:ascii="Arial" w:hAnsi="Arial" w:eastAsia="Arial" w:cs="Arial"/>
          <w:sz w:val="21"/>
          <w:szCs w:val="21"/>
        </w:rPr>
        <w:sectPr>
          <w:footerReference r:id="rId135" w:type="default"/>
          <w:pgSz w:w="16839" w:h="11907"/>
          <w:pgMar w:top="1376" w:right="1669" w:bottom="1061" w:left="1671" w:header="999" w:footer="861" w:gutter="0"/>
          <w:cols w:space="720" w:num="1"/>
        </w:sectPr>
      </w:pPr>
    </w:p>
    <w:p w14:paraId="512EC66B">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83"/>
        <w:gridCol w:w="1134"/>
        <w:gridCol w:w="648"/>
        <w:gridCol w:w="648"/>
        <w:gridCol w:w="646"/>
        <w:gridCol w:w="651"/>
        <w:gridCol w:w="648"/>
        <w:gridCol w:w="650"/>
        <w:gridCol w:w="648"/>
        <w:gridCol w:w="650"/>
        <w:gridCol w:w="648"/>
        <w:gridCol w:w="650"/>
        <w:gridCol w:w="648"/>
        <w:gridCol w:w="650"/>
        <w:gridCol w:w="873"/>
        <w:gridCol w:w="872"/>
        <w:gridCol w:w="872"/>
        <w:gridCol w:w="883"/>
      </w:tblGrid>
      <w:tr w14:paraId="7D690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4" w:type="dxa"/>
            <w:vMerge w:val="restart"/>
            <w:tcBorders>
              <w:top w:val="single" w:color="000000" w:sz="12" w:space="0"/>
              <w:left w:val="single" w:color="000000" w:sz="12" w:space="0"/>
              <w:bottom w:val="nil"/>
            </w:tcBorders>
            <w:vAlign w:val="top"/>
          </w:tcPr>
          <w:p w14:paraId="0FA9BD73">
            <w:pPr>
              <w:spacing w:before="106" w:line="241" w:lineRule="auto"/>
              <w:ind w:left="232" w:right="39" w:hanging="209"/>
              <w:rPr>
                <w:rFonts w:ascii="宋体" w:hAnsi="宋体" w:eastAsia="宋体" w:cs="宋体"/>
                <w:sz w:val="21"/>
                <w:szCs w:val="21"/>
              </w:rPr>
            </w:pPr>
            <w:r>
              <w:rPr>
                <w:rFonts w:ascii="宋体" w:hAnsi="宋体" w:eastAsia="宋体" w:cs="宋体"/>
                <w:spacing w:val="-4"/>
                <w:sz w:val="21"/>
                <w:szCs w:val="21"/>
              </w:rPr>
              <w:t>监测点</w:t>
            </w:r>
            <w:r>
              <w:rPr>
                <w:rFonts w:ascii="宋体" w:hAnsi="宋体" w:eastAsia="宋体" w:cs="宋体"/>
                <w:sz w:val="21"/>
                <w:szCs w:val="21"/>
              </w:rPr>
              <w:t>位</w:t>
            </w:r>
          </w:p>
        </w:tc>
        <w:tc>
          <w:tcPr>
            <w:tcW w:w="1417" w:type="dxa"/>
            <w:gridSpan w:val="2"/>
            <w:vMerge w:val="restart"/>
            <w:tcBorders>
              <w:top w:val="single" w:color="000000" w:sz="12" w:space="0"/>
              <w:bottom w:val="nil"/>
            </w:tcBorders>
            <w:vAlign w:val="top"/>
          </w:tcPr>
          <w:p w14:paraId="68A3DE36">
            <w:pPr>
              <w:spacing w:before="241" w:line="221" w:lineRule="auto"/>
              <w:ind w:left="280"/>
              <w:rPr>
                <w:rFonts w:ascii="宋体" w:hAnsi="宋体" w:eastAsia="宋体" w:cs="宋体"/>
                <w:sz w:val="21"/>
                <w:szCs w:val="21"/>
              </w:rPr>
            </w:pPr>
            <w:r>
              <w:rPr>
                <w:rFonts w:ascii="宋体" w:hAnsi="宋体" w:eastAsia="宋体" w:cs="宋体"/>
                <w:spacing w:val="-2"/>
                <w:sz w:val="21"/>
                <w:szCs w:val="21"/>
              </w:rPr>
              <w:t>监测时间</w:t>
            </w:r>
          </w:p>
        </w:tc>
        <w:tc>
          <w:tcPr>
            <w:tcW w:w="1296" w:type="dxa"/>
            <w:gridSpan w:val="2"/>
            <w:tcBorders>
              <w:top w:val="single" w:color="000000" w:sz="12" w:space="0"/>
            </w:tcBorders>
            <w:vAlign w:val="top"/>
          </w:tcPr>
          <w:p w14:paraId="0E4DB46B">
            <w:pPr>
              <w:pStyle w:val="6"/>
              <w:spacing w:before="101" w:line="225" w:lineRule="auto"/>
              <w:ind w:left="379"/>
              <w:rPr>
                <w:sz w:val="14"/>
                <w:szCs w:val="14"/>
              </w:rPr>
            </w:pPr>
            <w:r>
              <w:rPr>
                <w:spacing w:val="-1"/>
              </w:rPr>
              <w:t>BOD</w:t>
            </w:r>
            <w:r>
              <w:rPr>
                <w:spacing w:val="-1"/>
                <w:position w:val="-1"/>
                <w:sz w:val="14"/>
                <w:szCs w:val="14"/>
              </w:rPr>
              <w:t>5</w:t>
            </w:r>
          </w:p>
        </w:tc>
        <w:tc>
          <w:tcPr>
            <w:tcW w:w="1297" w:type="dxa"/>
            <w:gridSpan w:val="2"/>
            <w:tcBorders>
              <w:top w:val="single" w:color="000000" w:sz="12" w:space="0"/>
            </w:tcBorders>
            <w:vAlign w:val="top"/>
          </w:tcPr>
          <w:p w14:paraId="5E07EC25">
            <w:pPr>
              <w:pStyle w:val="6"/>
              <w:spacing w:before="101" w:line="186" w:lineRule="auto"/>
              <w:ind w:left="421"/>
            </w:pPr>
            <w:r>
              <w:rPr>
                <w:spacing w:val="-2"/>
              </w:rPr>
              <w:t>COD</w:t>
            </w:r>
          </w:p>
        </w:tc>
        <w:tc>
          <w:tcPr>
            <w:tcW w:w="1298" w:type="dxa"/>
            <w:gridSpan w:val="2"/>
            <w:tcBorders>
              <w:top w:val="single" w:color="000000" w:sz="12" w:space="0"/>
            </w:tcBorders>
            <w:vAlign w:val="top"/>
          </w:tcPr>
          <w:p w14:paraId="177DBF63">
            <w:pPr>
              <w:pStyle w:val="6"/>
              <w:spacing w:before="101" w:line="186" w:lineRule="auto"/>
              <w:ind w:left="536"/>
            </w:pPr>
            <w:r>
              <w:rPr>
                <w:spacing w:val="-7"/>
              </w:rPr>
              <w:t>SS</w:t>
            </w:r>
          </w:p>
        </w:tc>
        <w:tc>
          <w:tcPr>
            <w:tcW w:w="1298" w:type="dxa"/>
            <w:gridSpan w:val="2"/>
            <w:tcBorders>
              <w:top w:val="single" w:color="000000" w:sz="12" w:space="0"/>
            </w:tcBorders>
            <w:vAlign w:val="top"/>
          </w:tcPr>
          <w:p w14:paraId="6CB93BF3">
            <w:pPr>
              <w:pStyle w:val="6"/>
              <w:spacing w:before="104" w:line="222" w:lineRule="auto"/>
              <w:ind w:left="343"/>
            </w:pPr>
            <w:r>
              <w:t>NH</w:t>
            </w:r>
            <w:r>
              <w:rPr>
                <w:position w:val="-1"/>
                <w:sz w:val="14"/>
                <w:szCs w:val="14"/>
              </w:rPr>
              <w:t>3</w:t>
            </w:r>
            <w:r>
              <w:t>-N</w:t>
            </w:r>
          </w:p>
        </w:tc>
        <w:tc>
          <w:tcPr>
            <w:tcW w:w="1298" w:type="dxa"/>
            <w:gridSpan w:val="2"/>
            <w:tcBorders>
              <w:top w:val="single" w:color="000000" w:sz="12" w:space="0"/>
            </w:tcBorders>
            <w:vAlign w:val="top"/>
          </w:tcPr>
          <w:p w14:paraId="5065DFBE">
            <w:pPr>
              <w:pStyle w:val="6"/>
              <w:spacing w:before="104" w:line="183" w:lineRule="auto"/>
              <w:ind w:left="531"/>
            </w:pPr>
            <w:r>
              <w:rPr>
                <w:spacing w:val="-2"/>
              </w:rPr>
              <w:t>TP</w:t>
            </w:r>
          </w:p>
        </w:tc>
        <w:tc>
          <w:tcPr>
            <w:tcW w:w="1298" w:type="dxa"/>
            <w:gridSpan w:val="2"/>
            <w:tcBorders>
              <w:top w:val="single" w:color="000000" w:sz="12" w:space="0"/>
            </w:tcBorders>
            <w:vAlign w:val="top"/>
          </w:tcPr>
          <w:p w14:paraId="4DCFFFA4">
            <w:pPr>
              <w:spacing w:before="63" w:line="220" w:lineRule="auto"/>
              <w:ind w:left="239"/>
              <w:rPr>
                <w:rFonts w:ascii="宋体" w:hAnsi="宋体" w:eastAsia="宋体" w:cs="宋体"/>
                <w:sz w:val="21"/>
                <w:szCs w:val="21"/>
              </w:rPr>
            </w:pPr>
            <w:r>
              <w:rPr>
                <w:rFonts w:ascii="宋体" w:hAnsi="宋体" w:eastAsia="宋体" w:cs="宋体"/>
                <w:spacing w:val="-2"/>
                <w:sz w:val="21"/>
                <w:szCs w:val="21"/>
              </w:rPr>
              <w:t>动植物油</w:t>
            </w:r>
          </w:p>
        </w:tc>
        <w:tc>
          <w:tcPr>
            <w:tcW w:w="1745" w:type="dxa"/>
            <w:gridSpan w:val="2"/>
            <w:tcBorders>
              <w:top w:val="single" w:color="000000" w:sz="12" w:space="0"/>
            </w:tcBorders>
            <w:vAlign w:val="top"/>
          </w:tcPr>
          <w:p w14:paraId="53A744BE">
            <w:pPr>
              <w:spacing w:before="63" w:line="220" w:lineRule="auto"/>
              <w:ind w:left="360"/>
              <w:rPr>
                <w:rFonts w:ascii="宋体" w:hAnsi="宋体" w:eastAsia="宋体" w:cs="宋体"/>
                <w:sz w:val="21"/>
                <w:szCs w:val="21"/>
              </w:rPr>
            </w:pPr>
            <w:r>
              <w:rPr>
                <w:rFonts w:ascii="宋体" w:hAnsi="宋体" w:eastAsia="宋体" w:cs="宋体"/>
                <w:spacing w:val="-2"/>
                <w:sz w:val="21"/>
                <w:szCs w:val="21"/>
              </w:rPr>
              <w:t>粪大肠菌群</w:t>
            </w:r>
          </w:p>
        </w:tc>
        <w:tc>
          <w:tcPr>
            <w:tcW w:w="1755" w:type="dxa"/>
            <w:gridSpan w:val="2"/>
            <w:tcBorders>
              <w:top w:val="single" w:color="000000" w:sz="12" w:space="0"/>
              <w:right w:val="single" w:color="000000" w:sz="12" w:space="0"/>
            </w:tcBorders>
            <w:vAlign w:val="top"/>
          </w:tcPr>
          <w:p w14:paraId="1EF895D2">
            <w:pPr>
              <w:spacing w:before="64" w:line="219" w:lineRule="auto"/>
              <w:ind w:left="61"/>
              <w:rPr>
                <w:rFonts w:ascii="宋体" w:hAnsi="宋体" w:eastAsia="宋体" w:cs="宋体"/>
                <w:sz w:val="21"/>
                <w:szCs w:val="21"/>
              </w:rPr>
            </w:pPr>
            <w:r>
              <w:rPr>
                <w:rFonts w:ascii="宋体" w:hAnsi="宋体" w:eastAsia="宋体" w:cs="宋体"/>
                <w:spacing w:val="-3"/>
                <w:sz w:val="21"/>
                <w:szCs w:val="21"/>
              </w:rPr>
              <w:t>阴离子表面活性剂</w:t>
            </w:r>
          </w:p>
        </w:tc>
      </w:tr>
      <w:tr w14:paraId="545F9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tcBorders>
            <w:vAlign w:val="top"/>
          </w:tcPr>
          <w:p w14:paraId="6CE95542">
            <w:pPr>
              <w:rPr>
                <w:rFonts w:ascii="Arial"/>
                <w:sz w:val="21"/>
              </w:rPr>
            </w:pPr>
          </w:p>
        </w:tc>
        <w:tc>
          <w:tcPr>
            <w:tcW w:w="1417" w:type="dxa"/>
            <w:gridSpan w:val="2"/>
            <w:vMerge w:val="continue"/>
            <w:tcBorders>
              <w:top w:val="nil"/>
            </w:tcBorders>
            <w:vAlign w:val="top"/>
          </w:tcPr>
          <w:p w14:paraId="019A7988">
            <w:pPr>
              <w:rPr>
                <w:rFonts w:ascii="Arial"/>
                <w:sz w:val="21"/>
              </w:rPr>
            </w:pPr>
          </w:p>
        </w:tc>
        <w:tc>
          <w:tcPr>
            <w:tcW w:w="648" w:type="dxa"/>
            <w:vAlign w:val="top"/>
          </w:tcPr>
          <w:p w14:paraId="275D2F43">
            <w:pPr>
              <w:spacing w:before="64" w:line="225" w:lineRule="auto"/>
              <w:ind w:left="105"/>
              <w:rPr>
                <w:rFonts w:ascii="宋体" w:hAnsi="宋体" w:eastAsia="宋体" w:cs="宋体"/>
                <w:sz w:val="21"/>
                <w:szCs w:val="21"/>
              </w:rPr>
            </w:pPr>
            <w:r>
              <w:rPr>
                <w:rFonts w:ascii="宋体" w:hAnsi="宋体" w:eastAsia="宋体" w:cs="宋体"/>
                <w:spacing w:val="-2"/>
                <w:sz w:val="21"/>
                <w:szCs w:val="21"/>
              </w:rPr>
              <w:t>进口</w:t>
            </w:r>
          </w:p>
        </w:tc>
        <w:tc>
          <w:tcPr>
            <w:tcW w:w="648" w:type="dxa"/>
            <w:vAlign w:val="top"/>
          </w:tcPr>
          <w:p w14:paraId="2F720C1F">
            <w:pPr>
              <w:spacing w:before="64" w:line="223" w:lineRule="auto"/>
              <w:ind w:left="126"/>
              <w:rPr>
                <w:rFonts w:ascii="宋体" w:hAnsi="宋体" w:eastAsia="宋体" w:cs="宋体"/>
                <w:sz w:val="21"/>
                <w:szCs w:val="21"/>
              </w:rPr>
            </w:pPr>
            <w:r>
              <w:rPr>
                <w:rFonts w:ascii="宋体" w:hAnsi="宋体" w:eastAsia="宋体" w:cs="宋体"/>
                <w:spacing w:val="-7"/>
                <w:sz w:val="21"/>
                <w:szCs w:val="21"/>
              </w:rPr>
              <w:t>出口</w:t>
            </w:r>
          </w:p>
        </w:tc>
        <w:tc>
          <w:tcPr>
            <w:tcW w:w="646" w:type="dxa"/>
            <w:vAlign w:val="top"/>
          </w:tcPr>
          <w:p w14:paraId="2D0C413A">
            <w:pPr>
              <w:spacing w:before="64" w:line="225" w:lineRule="auto"/>
              <w:ind w:left="106"/>
              <w:rPr>
                <w:rFonts w:ascii="宋体" w:hAnsi="宋体" w:eastAsia="宋体" w:cs="宋体"/>
                <w:sz w:val="21"/>
                <w:szCs w:val="21"/>
              </w:rPr>
            </w:pPr>
            <w:r>
              <w:rPr>
                <w:rFonts w:ascii="宋体" w:hAnsi="宋体" w:eastAsia="宋体" w:cs="宋体"/>
                <w:spacing w:val="-2"/>
                <w:sz w:val="21"/>
                <w:szCs w:val="21"/>
              </w:rPr>
              <w:t>进口</w:t>
            </w:r>
          </w:p>
        </w:tc>
        <w:tc>
          <w:tcPr>
            <w:tcW w:w="651" w:type="dxa"/>
            <w:vAlign w:val="top"/>
          </w:tcPr>
          <w:p w14:paraId="1B3F3D0C">
            <w:pPr>
              <w:spacing w:before="64" w:line="223" w:lineRule="auto"/>
              <w:ind w:left="130"/>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1DC103AD">
            <w:pPr>
              <w:spacing w:before="64" w:line="225" w:lineRule="auto"/>
              <w:ind w:left="111"/>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574119DD">
            <w:pPr>
              <w:spacing w:before="64" w:line="223" w:lineRule="auto"/>
              <w:ind w:left="132"/>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7374BA9B">
            <w:pPr>
              <w:spacing w:before="64" w:line="225" w:lineRule="auto"/>
              <w:ind w:left="114"/>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25FA1AD5">
            <w:pPr>
              <w:spacing w:before="64" w:line="223" w:lineRule="auto"/>
              <w:ind w:left="136"/>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576BAE0D">
            <w:pPr>
              <w:spacing w:before="64" w:line="225" w:lineRule="auto"/>
              <w:ind w:left="117"/>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5BDE1EE8">
            <w:pPr>
              <w:spacing w:before="64" w:line="223" w:lineRule="auto"/>
              <w:ind w:left="139"/>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628D5BB2">
            <w:pPr>
              <w:spacing w:before="64" w:line="225" w:lineRule="auto"/>
              <w:ind w:left="120"/>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5F95DB37">
            <w:pPr>
              <w:spacing w:before="64" w:line="223" w:lineRule="auto"/>
              <w:ind w:left="142"/>
              <w:rPr>
                <w:rFonts w:ascii="宋体" w:hAnsi="宋体" w:eastAsia="宋体" w:cs="宋体"/>
                <w:sz w:val="21"/>
                <w:szCs w:val="21"/>
              </w:rPr>
            </w:pPr>
            <w:r>
              <w:rPr>
                <w:rFonts w:ascii="宋体" w:hAnsi="宋体" w:eastAsia="宋体" w:cs="宋体"/>
                <w:spacing w:val="-7"/>
                <w:sz w:val="21"/>
                <w:szCs w:val="21"/>
              </w:rPr>
              <w:t>出口</w:t>
            </w:r>
          </w:p>
        </w:tc>
        <w:tc>
          <w:tcPr>
            <w:tcW w:w="873" w:type="dxa"/>
            <w:vAlign w:val="top"/>
          </w:tcPr>
          <w:p w14:paraId="62C7A531">
            <w:pPr>
              <w:spacing w:before="64" w:line="225" w:lineRule="auto"/>
              <w:ind w:left="235"/>
              <w:rPr>
                <w:rFonts w:ascii="宋体" w:hAnsi="宋体" w:eastAsia="宋体" w:cs="宋体"/>
                <w:sz w:val="21"/>
                <w:szCs w:val="21"/>
              </w:rPr>
            </w:pPr>
            <w:r>
              <w:rPr>
                <w:rFonts w:ascii="宋体" w:hAnsi="宋体" w:eastAsia="宋体" w:cs="宋体"/>
                <w:spacing w:val="-2"/>
                <w:sz w:val="21"/>
                <w:szCs w:val="21"/>
              </w:rPr>
              <w:t>进口</w:t>
            </w:r>
          </w:p>
        </w:tc>
        <w:tc>
          <w:tcPr>
            <w:tcW w:w="872" w:type="dxa"/>
            <w:vAlign w:val="top"/>
          </w:tcPr>
          <w:p w14:paraId="740574E5">
            <w:pPr>
              <w:spacing w:before="64" w:line="223" w:lineRule="auto"/>
              <w:ind w:left="257"/>
              <w:rPr>
                <w:rFonts w:ascii="宋体" w:hAnsi="宋体" w:eastAsia="宋体" w:cs="宋体"/>
                <w:sz w:val="21"/>
                <w:szCs w:val="21"/>
              </w:rPr>
            </w:pPr>
            <w:r>
              <w:rPr>
                <w:rFonts w:ascii="宋体" w:hAnsi="宋体" w:eastAsia="宋体" w:cs="宋体"/>
                <w:spacing w:val="-7"/>
                <w:sz w:val="21"/>
                <w:szCs w:val="21"/>
              </w:rPr>
              <w:t>出口</w:t>
            </w:r>
          </w:p>
        </w:tc>
        <w:tc>
          <w:tcPr>
            <w:tcW w:w="872" w:type="dxa"/>
            <w:vAlign w:val="top"/>
          </w:tcPr>
          <w:p w14:paraId="402BB2D0">
            <w:pPr>
              <w:spacing w:before="64" w:line="225" w:lineRule="auto"/>
              <w:ind w:left="239"/>
              <w:rPr>
                <w:rFonts w:ascii="宋体" w:hAnsi="宋体" w:eastAsia="宋体" w:cs="宋体"/>
                <w:sz w:val="21"/>
                <w:szCs w:val="21"/>
              </w:rPr>
            </w:pPr>
            <w:r>
              <w:rPr>
                <w:rFonts w:ascii="宋体" w:hAnsi="宋体" w:eastAsia="宋体" w:cs="宋体"/>
                <w:spacing w:val="-2"/>
                <w:sz w:val="21"/>
                <w:szCs w:val="21"/>
              </w:rPr>
              <w:t>进口</w:t>
            </w:r>
          </w:p>
        </w:tc>
        <w:tc>
          <w:tcPr>
            <w:tcW w:w="883" w:type="dxa"/>
            <w:tcBorders>
              <w:right w:val="single" w:color="000000" w:sz="12" w:space="0"/>
            </w:tcBorders>
            <w:vAlign w:val="top"/>
          </w:tcPr>
          <w:p w14:paraId="16C768DB">
            <w:pPr>
              <w:spacing w:before="64" w:line="223" w:lineRule="auto"/>
              <w:ind w:left="258"/>
              <w:rPr>
                <w:rFonts w:ascii="宋体" w:hAnsi="宋体" w:eastAsia="宋体" w:cs="宋体"/>
                <w:sz w:val="21"/>
                <w:szCs w:val="21"/>
              </w:rPr>
            </w:pPr>
            <w:r>
              <w:rPr>
                <w:rFonts w:ascii="宋体" w:hAnsi="宋体" w:eastAsia="宋体" w:cs="宋体"/>
                <w:spacing w:val="-7"/>
                <w:sz w:val="21"/>
                <w:szCs w:val="21"/>
              </w:rPr>
              <w:t>出口</w:t>
            </w:r>
          </w:p>
        </w:tc>
      </w:tr>
      <w:tr w14:paraId="3FDCA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restart"/>
            <w:tcBorders>
              <w:left w:val="single" w:color="000000" w:sz="12" w:space="0"/>
              <w:bottom w:val="nil"/>
            </w:tcBorders>
            <w:vAlign w:val="top"/>
          </w:tcPr>
          <w:p w14:paraId="5282D3A4">
            <w:pPr>
              <w:spacing w:line="261" w:lineRule="auto"/>
              <w:rPr>
                <w:rFonts w:ascii="Arial"/>
                <w:sz w:val="21"/>
              </w:rPr>
            </w:pPr>
          </w:p>
          <w:p w14:paraId="4EA9B3D0">
            <w:pPr>
              <w:spacing w:line="261" w:lineRule="auto"/>
              <w:rPr>
                <w:rFonts w:ascii="Arial"/>
                <w:sz w:val="21"/>
              </w:rPr>
            </w:pPr>
          </w:p>
          <w:p w14:paraId="640415B4">
            <w:pPr>
              <w:spacing w:line="262" w:lineRule="auto"/>
              <w:rPr>
                <w:rFonts w:ascii="Arial"/>
                <w:sz w:val="21"/>
              </w:rPr>
            </w:pPr>
          </w:p>
          <w:p w14:paraId="2DA8766D">
            <w:pPr>
              <w:spacing w:line="262" w:lineRule="auto"/>
              <w:rPr>
                <w:rFonts w:ascii="Arial"/>
                <w:sz w:val="21"/>
              </w:rPr>
            </w:pPr>
          </w:p>
          <w:p w14:paraId="2D1E05A9">
            <w:pPr>
              <w:spacing w:line="262" w:lineRule="auto"/>
              <w:rPr>
                <w:rFonts w:ascii="Arial"/>
                <w:sz w:val="21"/>
              </w:rPr>
            </w:pPr>
          </w:p>
          <w:p w14:paraId="41B1FC0E">
            <w:pPr>
              <w:spacing w:before="68" w:line="220" w:lineRule="auto"/>
              <w:ind w:left="24"/>
              <w:rPr>
                <w:rFonts w:ascii="宋体" w:hAnsi="宋体" w:eastAsia="宋体" w:cs="宋体"/>
                <w:sz w:val="21"/>
                <w:szCs w:val="21"/>
              </w:rPr>
            </w:pPr>
            <w:r>
              <w:rPr>
                <w:rFonts w:ascii="宋体" w:hAnsi="宋体" w:eastAsia="宋体" w:cs="宋体"/>
                <w:spacing w:val="-3"/>
                <w:sz w:val="21"/>
                <w:szCs w:val="21"/>
              </w:rPr>
              <w:t>生活区</w:t>
            </w:r>
          </w:p>
          <w:p w14:paraId="7CFFF42B">
            <w:pPr>
              <w:pStyle w:val="6"/>
              <w:spacing w:before="21" w:line="234" w:lineRule="auto"/>
              <w:ind w:left="96"/>
              <w:rPr>
                <w:rFonts w:ascii="宋体" w:hAnsi="宋体" w:eastAsia="宋体" w:cs="宋体"/>
              </w:rPr>
            </w:pPr>
            <w:r>
              <w:rPr>
                <w:spacing w:val="-2"/>
              </w:rPr>
              <w:t>#8</w:t>
            </w:r>
            <w:r>
              <w:rPr>
                <w:spacing w:val="11"/>
              </w:rPr>
              <w:t xml:space="preserve"> </w:t>
            </w:r>
            <w:r>
              <w:rPr>
                <w:rFonts w:ascii="宋体" w:hAnsi="宋体" w:eastAsia="宋体" w:cs="宋体"/>
                <w:spacing w:val="-2"/>
              </w:rPr>
              <w:t>支</w:t>
            </w:r>
          </w:p>
          <w:p w14:paraId="741B18B8">
            <w:pPr>
              <w:spacing w:before="5" w:line="220" w:lineRule="auto"/>
              <w:ind w:left="23"/>
              <w:rPr>
                <w:rFonts w:ascii="宋体" w:hAnsi="宋体" w:eastAsia="宋体" w:cs="宋体"/>
                <w:sz w:val="21"/>
                <w:szCs w:val="21"/>
              </w:rPr>
            </w:pPr>
            <w:r>
              <w:rPr>
                <w:rFonts w:ascii="宋体" w:hAnsi="宋体" w:eastAsia="宋体" w:cs="宋体"/>
                <w:spacing w:val="-3"/>
                <w:sz w:val="21"/>
                <w:szCs w:val="21"/>
              </w:rPr>
              <w:t>洞污水</w:t>
            </w:r>
          </w:p>
          <w:p w14:paraId="447C2CCA">
            <w:pPr>
              <w:spacing w:before="22" w:line="222" w:lineRule="auto"/>
              <w:ind w:left="26"/>
              <w:rPr>
                <w:rFonts w:ascii="宋体" w:hAnsi="宋体" w:eastAsia="宋体" w:cs="宋体"/>
                <w:sz w:val="21"/>
                <w:szCs w:val="21"/>
              </w:rPr>
            </w:pPr>
            <w:r>
              <w:rPr>
                <w:rFonts w:ascii="宋体" w:hAnsi="宋体" w:eastAsia="宋体" w:cs="宋体"/>
                <w:spacing w:val="-3"/>
                <w:sz w:val="21"/>
                <w:szCs w:val="21"/>
              </w:rPr>
              <w:t>处理系</w:t>
            </w:r>
          </w:p>
          <w:p w14:paraId="67533C16">
            <w:pPr>
              <w:spacing w:before="21" w:line="221" w:lineRule="auto"/>
              <w:ind w:left="237"/>
              <w:rPr>
                <w:rFonts w:ascii="宋体" w:hAnsi="宋体" w:eastAsia="宋体" w:cs="宋体"/>
                <w:sz w:val="21"/>
                <w:szCs w:val="21"/>
              </w:rPr>
            </w:pPr>
            <w:r>
              <w:rPr>
                <w:rFonts w:ascii="宋体" w:hAnsi="宋体" w:eastAsia="宋体" w:cs="宋体"/>
                <w:sz w:val="21"/>
                <w:szCs w:val="21"/>
              </w:rPr>
              <w:t>统</w:t>
            </w:r>
          </w:p>
        </w:tc>
        <w:tc>
          <w:tcPr>
            <w:tcW w:w="283" w:type="dxa"/>
            <w:vMerge w:val="restart"/>
            <w:tcBorders>
              <w:bottom w:val="nil"/>
            </w:tcBorders>
            <w:vAlign w:val="top"/>
          </w:tcPr>
          <w:p w14:paraId="63698AE7">
            <w:pPr>
              <w:pStyle w:val="6"/>
              <w:spacing w:before="137" w:line="222" w:lineRule="auto"/>
              <w:ind w:left="94"/>
            </w:pPr>
            <w:r>
              <w:t>1</w:t>
            </w:r>
          </w:p>
          <w:p w14:paraId="0DD57C1D">
            <w:pPr>
              <w:spacing w:line="219" w:lineRule="auto"/>
              <w:ind w:left="26"/>
              <w:rPr>
                <w:rFonts w:ascii="宋体" w:hAnsi="宋体" w:eastAsia="宋体" w:cs="宋体"/>
                <w:sz w:val="21"/>
                <w:szCs w:val="21"/>
              </w:rPr>
            </w:pPr>
            <w:r>
              <w:rPr>
                <w:rFonts w:ascii="宋体" w:hAnsi="宋体" w:eastAsia="宋体" w:cs="宋体"/>
                <w:sz w:val="21"/>
                <w:szCs w:val="21"/>
              </w:rPr>
              <w:t>季</w:t>
            </w:r>
          </w:p>
          <w:p w14:paraId="5BE1FD59">
            <w:pPr>
              <w:spacing w:before="22"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125DDBDB">
            <w:pPr>
              <w:pStyle w:val="6"/>
              <w:spacing w:before="84" w:line="217" w:lineRule="auto"/>
              <w:ind w:left="128"/>
            </w:pPr>
            <w:r>
              <w:rPr>
                <w:spacing w:val="-1"/>
              </w:rPr>
              <w:t>2020/3/10</w:t>
            </w:r>
          </w:p>
        </w:tc>
        <w:tc>
          <w:tcPr>
            <w:tcW w:w="648" w:type="dxa"/>
            <w:vAlign w:val="top"/>
          </w:tcPr>
          <w:p w14:paraId="32864DCD">
            <w:pPr>
              <w:pStyle w:val="6"/>
              <w:spacing w:before="84" w:line="217" w:lineRule="auto"/>
              <w:ind w:left="128"/>
            </w:pPr>
            <w:r>
              <w:rPr>
                <w:spacing w:val="-1"/>
              </w:rPr>
              <w:t>45.5</w:t>
            </w:r>
          </w:p>
        </w:tc>
        <w:tc>
          <w:tcPr>
            <w:tcW w:w="648" w:type="dxa"/>
            <w:vAlign w:val="top"/>
          </w:tcPr>
          <w:p w14:paraId="0BE9D10C">
            <w:pPr>
              <w:pStyle w:val="6"/>
              <w:spacing w:before="89" w:line="212" w:lineRule="auto"/>
              <w:ind w:left="131"/>
            </w:pPr>
            <w:r>
              <w:rPr>
                <w:b/>
                <w:bCs/>
                <w:spacing w:val="-1"/>
              </w:rPr>
              <w:t>21.2</w:t>
            </w:r>
          </w:p>
        </w:tc>
        <w:tc>
          <w:tcPr>
            <w:tcW w:w="646" w:type="dxa"/>
            <w:vAlign w:val="top"/>
          </w:tcPr>
          <w:p w14:paraId="65E122EA">
            <w:pPr>
              <w:pStyle w:val="6"/>
              <w:spacing w:before="84" w:line="217" w:lineRule="auto"/>
              <w:ind w:left="177"/>
            </w:pPr>
            <w:r>
              <w:rPr>
                <w:spacing w:val="-6"/>
              </w:rPr>
              <w:t>136</w:t>
            </w:r>
          </w:p>
        </w:tc>
        <w:tc>
          <w:tcPr>
            <w:tcW w:w="651" w:type="dxa"/>
            <w:vAlign w:val="top"/>
          </w:tcPr>
          <w:p w14:paraId="582C2F57">
            <w:pPr>
              <w:pStyle w:val="6"/>
              <w:spacing w:before="84" w:line="217" w:lineRule="auto"/>
              <w:ind w:left="217"/>
            </w:pPr>
            <w:r>
              <w:rPr>
                <w:spacing w:val="-2"/>
              </w:rPr>
              <w:t>79</w:t>
            </w:r>
          </w:p>
        </w:tc>
        <w:tc>
          <w:tcPr>
            <w:tcW w:w="648" w:type="dxa"/>
            <w:vAlign w:val="top"/>
          </w:tcPr>
          <w:p w14:paraId="795207F8">
            <w:pPr>
              <w:pStyle w:val="6"/>
              <w:spacing w:before="84" w:line="217" w:lineRule="auto"/>
              <w:ind w:left="182"/>
            </w:pPr>
            <w:r>
              <w:rPr>
                <w:spacing w:val="-6"/>
              </w:rPr>
              <w:t>132</w:t>
            </w:r>
          </w:p>
        </w:tc>
        <w:tc>
          <w:tcPr>
            <w:tcW w:w="650" w:type="dxa"/>
            <w:vAlign w:val="top"/>
          </w:tcPr>
          <w:p w14:paraId="2EE09264">
            <w:pPr>
              <w:pStyle w:val="6"/>
              <w:spacing w:before="84" w:line="217" w:lineRule="auto"/>
              <w:ind w:left="216"/>
            </w:pPr>
            <w:r>
              <w:rPr>
                <w:spacing w:val="-1"/>
              </w:rPr>
              <w:t>24</w:t>
            </w:r>
          </w:p>
        </w:tc>
        <w:tc>
          <w:tcPr>
            <w:tcW w:w="648" w:type="dxa"/>
            <w:vAlign w:val="top"/>
          </w:tcPr>
          <w:p w14:paraId="16E52867">
            <w:pPr>
              <w:pStyle w:val="6"/>
              <w:spacing w:before="84" w:line="217" w:lineRule="auto"/>
              <w:ind w:left="158"/>
            </w:pPr>
            <w:r>
              <w:rPr>
                <w:spacing w:val="-6"/>
              </w:rPr>
              <w:t>13.8</w:t>
            </w:r>
          </w:p>
        </w:tc>
        <w:tc>
          <w:tcPr>
            <w:tcW w:w="650" w:type="dxa"/>
            <w:vAlign w:val="top"/>
          </w:tcPr>
          <w:p w14:paraId="3CD6DFA6">
            <w:pPr>
              <w:pStyle w:val="6"/>
              <w:spacing w:before="84" w:line="217" w:lineRule="auto"/>
              <w:ind w:left="145"/>
            </w:pPr>
            <w:r>
              <w:rPr>
                <w:spacing w:val="-3"/>
              </w:rPr>
              <w:t>6.09</w:t>
            </w:r>
          </w:p>
        </w:tc>
        <w:tc>
          <w:tcPr>
            <w:tcW w:w="648" w:type="dxa"/>
            <w:vAlign w:val="top"/>
          </w:tcPr>
          <w:p w14:paraId="67DC4EE2">
            <w:pPr>
              <w:pStyle w:val="6"/>
              <w:spacing w:before="84" w:line="217" w:lineRule="auto"/>
              <w:ind w:left="144"/>
            </w:pPr>
            <w:r>
              <w:rPr>
                <w:spacing w:val="-2"/>
              </w:rPr>
              <w:t>0.38</w:t>
            </w:r>
          </w:p>
        </w:tc>
        <w:tc>
          <w:tcPr>
            <w:tcW w:w="650" w:type="dxa"/>
            <w:vAlign w:val="top"/>
          </w:tcPr>
          <w:p w14:paraId="6938C2AE">
            <w:pPr>
              <w:pStyle w:val="6"/>
              <w:spacing w:before="84" w:line="217" w:lineRule="auto"/>
              <w:ind w:left="147"/>
            </w:pPr>
            <w:r>
              <w:rPr>
                <w:spacing w:val="-2"/>
              </w:rPr>
              <w:t>0.26</w:t>
            </w:r>
          </w:p>
        </w:tc>
        <w:tc>
          <w:tcPr>
            <w:tcW w:w="648" w:type="dxa"/>
            <w:vAlign w:val="top"/>
          </w:tcPr>
          <w:p w14:paraId="0C545D4D">
            <w:pPr>
              <w:pStyle w:val="6"/>
              <w:spacing w:before="84" w:line="217" w:lineRule="auto"/>
              <w:ind w:left="164"/>
            </w:pPr>
            <w:r>
              <w:rPr>
                <w:spacing w:val="-6"/>
              </w:rPr>
              <w:t>1.61</w:t>
            </w:r>
          </w:p>
        </w:tc>
        <w:tc>
          <w:tcPr>
            <w:tcW w:w="650" w:type="dxa"/>
            <w:vAlign w:val="top"/>
          </w:tcPr>
          <w:p w14:paraId="30401EDF">
            <w:pPr>
              <w:pStyle w:val="6"/>
              <w:spacing w:before="84" w:line="217" w:lineRule="auto"/>
              <w:ind w:left="149"/>
            </w:pPr>
            <w:r>
              <w:rPr>
                <w:spacing w:val="-2"/>
              </w:rPr>
              <w:t>0.63</w:t>
            </w:r>
          </w:p>
        </w:tc>
        <w:tc>
          <w:tcPr>
            <w:tcW w:w="873" w:type="dxa"/>
            <w:vAlign w:val="top"/>
          </w:tcPr>
          <w:p w14:paraId="087C1B60">
            <w:pPr>
              <w:pStyle w:val="6"/>
              <w:spacing w:before="84" w:line="217" w:lineRule="auto"/>
              <w:ind w:left="185"/>
            </w:pPr>
            <w:r>
              <w:rPr>
                <w:spacing w:val="-2"/>
              </w:rPr>
              <w:t>36000</w:t>
            </w:r>
          </w:p>
        </w:tc>
        <w:tc>
          <w:tcPr>
            <w:tcW w:w="872" w:type="dxa"/>
            <w:vAlign w:val="top"/>
          </w:tcPr>
          <w:p w14:paraId="3A8F63C3">
            <w:pPr>
              <w:pStyle w:val="6"/>
              <w:spacing w:before="89" w:line="212" w:lineRule="auto"/>
              <w:ind w:left="183"/>
            </w:pPr>
            <w:r>
              <w:rPr>
                <w:b/>
                <w:bCs/>
                <w:spacing w:val="-1"/>
              </w:rPr>
              <w:t>28000</w:t>
            </w:r>
          </w:p>
        </w:tc>
        <w:tc>
          <w:tcPr>
            <w:tcW w:w="872" w:type="dxa"/>
            <w:vAlign w:val="top"/>
          </w:tcPr>
          <w:p w14:paraId="1A015D43">
            <w:pPr>
              <w:pStyle w:val="6"/>
              <w:spacing w:before="84" w:line="217" w:lineRule="auto"/>
              <w:ind w:left="271"/>
            </w:pPr>
            <w:r>
              <w:rPr>
                <w:spacing w:val="-4"/>
              </w:rPr>
              <w:t>8.86</w:t>
            </w:r>
          </w:p>
        </w:tc>
        <w:tc>
          <w:tcPr>
            <w:tcW w:w="883" w:type="dxa"/>
            <w:tcBorders>
              <w:right w:val="single" w:color="000000" w:sz="12" w:space="0"/>
            </w:tcBorders>
            <w:vAlign w:val="top"/>
          </w:tcPr>
          <w:p w14:paraId="47D391E8">
            <w:pPr>
              <w:pStyle w:val="6"/>
              <w:spacing w:before="89" w:line="212" w:lineRule="auto"/>
              <w:ind w:left="265"/>
            </w:pPr>
            <w:r>
              <w:rPr>
                <w:b/>
                <w:bCs/>
                <w:spacing w:val="-2"/>
              </w:rPr>
              <w:t>5.20</w:t>
            </w:r>
          </w:p>
        </w:tc>
      </w:tr>
      <w:tr w14:paraId="7C224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Merge w:val="continue"/>
            <w:tcBorders>
              <w:top w:val="nil"/>
              <w:left w:val="single" w:color="000000" w:sz="12" w:space="0"/>
              <w:bottom w:val="nil"/>
            </w:tcBorders>
            <w:vAlign w:val="top"/>
          </w:tcPr>
          <w:p w14:paraId="496DD3E1">
            <w:pPr>
              <w:rPr>
                <w:rFonts w:ascii="Arial"/>
                <w:sz w:val="21"/>
              </w:rPr>
            </w:pPr>
          </w:p>
        </w:tc>
        <w:tc>
          <w:tcPr>
            <w:tcW w:w="283" w:type="dxa"/>
            <w:vMerge w:val="continue"/>
            <w:tcBorders>
              <w:top w:val="nil"/>
              <w:bottom w:val="nil"/>
            </w:tcBorders>
            <w:vAlign w:val="top"/>
          </w:tcPr>
          <w:p w14:paraId="5D02C1E5">
            <w:pPr>
              <w:rPr>
                <w:rFonts w:ascii="Arial"/>
                <w:sz w:val="21"/>
              </w:rPr>
            </w:pPr>
          </w:p>
        </w:tc>
        <w:tc>
          <w:tcPr>
            <w:tcW w:w="1134" w:type="dxa"/>
            <w:vAlign w:val="top"/>
          </w:tcPr>
          <w:p w14:paraId="14762D51">
            <w:pPr>
              <w:pStyle w:val="6"/>
              <w:spacing w:before="86" w:line="214" w:lineRule="auto"/>
              <w:ind w:left="128"/>
            </w:pPr>
            <w:r>
              <w:rPr>
                <w:spacing w:val="-1"/>
              </w:rPr>
              <w:t>2020/3/11</w:t>
            </w:r>
          </w:p>
        </w:tc>
        <w:tc>
          <w:tcPr>
            <w:tcW w:w="648" w:type="dxa"/>
            <w:vAlign w:val="top"/>
          </w:tcPr>
          <w:p w14:paraId="78059770">
            <w:pPr>
              <w:pStyle w:val="6"/>
              <w:spacing w:before="86" w:line="214" w:lineRule="auto"/>
              <w:ind w:left="128"/>
            </w:pPr>
            <w:r>
              <w:rPr>
                <w:spacing w:val="-1"/>
              </w:rPr>
              <w:t>46.4</w:t>
            </w:r>
          </w:p>
        </w:tc>
        <w:tc>
          <w:tcPr>
            <w:tcW w:w="648" w:type="dxa"/>
            <w:vAlign w:val="top"/>
          </w:tcPr>
          <w:p w14:paraId="3EA6B8D1">
            <w:pPr>
              <w:pStyle w:val="6"/>
              <w:spacing w:before="91" w:line="209" w:lineRule="auto"/>
              <w:ind w:left="131"/>
            </w:pPr>
            <w:r>
              <w:rPr>
                <w:b/>
                <w:bCs/>
                <w:spacing w:val="-1"/>
              </w:rPr>
              <w:t>20.6</w:t>
            </w:r>
          </w:p>
        </w:tc>
        <w:tc>
          <w:tcPr>
            <w:tcW w:w="646" w:type="dxa"/>
            <w:vAlign w:val="top"/>
          </w:tcPr>
          <w:p w14:paraId="371FAB4C">
            <w:pPr>
              <w:pStyle w:val="6"/>
              <w:spacing w:before="86" w:line="214" w:lineRule="auto"/>
              <w:ind w:left="177"/>
            </w:pPr>
            <w:r>
              <w:rPr>
                <w:spacing w:val="-6"/>
              </w:rPr>
              <w:t>144</w:t>
            </w:r>
          </w:p>
        </w:tc>
        <w:tc>
          <w:tcPr>
            <w:tcW w:w="651" w:type="dxa"/>
            <w:vAlign w:val="top"/>
          </w:tcPr>
          <w:p w14:paraId="47195B06">
            <w:pPr>
              <w:pStyle w:val="6"/>
              <w:spacing w:before="86" w:line="214" w:lineRule="auto"/>
              <w:ind w:left="217"/>
            </w:pPr>
            <w:r>
              <w:rPr>
                <w:spacing w:val="-2"/>
              </w:rPr>
              <w:t>75</w:t>
            </w:r>
          </w:p>
        </w:tc>
        <w:tc>
          <w:tcPr>
            <w:tcW w:w="648" w:type="dxa"/>
            <w:vAlign w:val="top"/>
          </w:tcPr>
          <w:p w14:paraId="1863A657">
            <w:pPr>
              <w:pStyle w:val="6"/>
              <w:spacing w:before="86" w:line="214" w:lineRule="auto"/>
              <w:ind w:left="182"/>
            </w:pPr>
            <w:r>
              <w:rPr>
                <w:spacing w:val="-6"/>
              </w:rPr>
              <w:t>151</w:t>
            </w:r>
          </w:p>
        </w:tc>
        <w:tc>
          <w:tcPr>
            <w:tcW w:w="650" w:type="dxa"/>
            <w:vAlign w:val="top"/>
          </w:tcPr>
          <w:p w14:paraId="06326AA4">
            <w:pPr>
              <w:pStyle w:val="6"/>
              <w:spacing w:before="86" w:line="214" w:lineRule="auto"/>
              <w:ind w:left="216"/>
            </w:pPr>
            <w:r>
              <w:rPr>
                <w:spacing w:val="-1"/>
              </w:rPr>
              <w:t>21</w:t>
            </w:r>
          </w:p>
        </w:tc>
        <w:tc>
          <w:tcPr>
            <w:tcW w:w="648" w:type="dxa"/>
            <w:vAlign w:val="top"/>
          </w:tcPr>
          <w:p w14:paraId="3504EF12">
            <w:pPr>
              <w:pStyle w:val="6"/>
              <w:spacing w:before="86" w:line="214" w:lineRule="auto"/>
              <w:ind w:left="158"/>
            </w:pPr>
            <w:r>
              <w:rPr>
                <w:spacing w:val="-6"/>
              </w:rPr>
              <w:t>14.5</w:t>
            </w:r>
          </w:p>
        </w:tc>
        <w:tc>
          <w:tcPr>
            <w:tcW w:w="650" w:type="dxa"/>
            <w:vAlign w:val="top"/>
          </w:tcPr>
          <w:p w14:paraId="04F23124">
            <w:pPr>
              <w:pStyle w:val="6"/>
              <w:spacing w:before="86" w:line="214" w:lineRule="auto"/>
              <w:ind w:left="145"/>
            </w:pPr>
            <w:r>
              <w:rPr>
                <w:spacing w:val="-3"/>
              </w:rPr>
              <w:t>6.01</w:t>
            </w:r>
          </w:p>
        </w:tc>
        <w:tc>
          <w:tcPr>
            <w:tcW w:w="648" w:type="dxa"/>
            <w:vAlign w:val="top"/>
          </w:tcPr>
          <w:p w14:paraId="4D98C107">
            <w:pPr>
              <w:pStyle w:val="6"/>
              <w:spacing w:before="86" w:line="214" w:lineRule="auto"/>
              <w:ind w:left="144"/>
            </w:pPr>
            <w:r>
              <w:rPr>
                <w:spacing w:val="-2"/>
              </w:rPr>
              <w:t>0.40</w:t>
            </w:r>
          </w:p>
        </w:tc>
        <w:tc>
          <w:tcPr>
            <w:tcW w:w="650" w:type="dxa"/>
            <w:vAlign w:val="top"/>
          </w:tcPr>
          <w:p w14:paraId="07FAAA48">
            <w:pPr>
              <w:pStyle w:val="6"/>
              <w:spacing w:before="86" w:line="214" w:lineRule="auto"/>
              <w:ind w:left="147"/>
            </w:pPr>
            <w:r>
              <w:rPr>
                <w:spacing w:val="-2"/>
              </w:rPr>
              <w:t>0.25</w:t>
            </w:r>
          </w:p>
        </w:tc>
        <w:tc>
          <w:tcPr>
            <w:tcW w:w="648" w:type="dxa"/>
            <w:vAlign w:val="top"/>
          </w:tcPr>
          <w:p w14:paraId="0D2108DB">
            <w:pPr>
              <w:pStyle w:val="6"/>
              <w:spacing w:before="86" w:line="214" w:lineRule="auto"/>
              <w:ind w:left="164"/>
            </w:pPr>
            <w:r>
              <w:rPr>
                <w:spacing w:val="-6"/>
              </w:rPr>
              <w:t>1.46</w:t>
            </w:r>
          </w:p>
        </w:tc>
        <w:tc>
          <w:tcPr>
            <w:tcW w:w="650" w:type="dxa"/>
            <w:vAlign w:val="top"/>
          </w:tcPr>
          <w:p w14:paraId="5263DA5E">
            <w:pPr>
              <w:pStyle w:val="6"/>
              <w:spacing w:before="86" w:line="214" w:lineRule="auto"/>
              <w:ind w:left="149"/>
            </w:pPr>
            <w:r>
              <w:rPr>
                <w:spacing w:val="-2"/>
              </w:rPr>
              <w:t>0.57</w:t>
            </w:r>
          </w:p>
        </w:tc>
        <w:tc>
          <w:tcPr>
            <w:tcW w:w="873" w:type="dxa"/>
            <w:vAlign w:val="top"/>
          </w:tcPr>
          <w:p w14:paraId="2ED6C0EE">
            <w:pPr>
              <w:pStyle w:val="6"/>
              <w:spacing w:before="86" w:line="214" w:lineRule="auto"/>
              <w:ind w:left="185"/>
            </w:pPr>
            <w:r>
              <w:rPr>
                <w:spacing w:val="-2"/>
              </w:rPr>
              <w:t>35000</w:t>
            </w:r>
          </w:p>
        </w:tc>
        <w:tc>
          <w:tcPr>
            <w:tcW w:w="872" w:type="dxa"/>
            <w:vAlign w:val="top"/>
          </w:tcPr>
          <w:p w14:paraId="69B45483">
            <w:pPr>
              <w:pStyle w:val="6"/>
              <w:spacing w:before="91" w:line="209" w:lineRule="auto"/>
              <w:ind w:left="183"/>
            </w:pPr>
            <w:r>
              <w:rPr>
                <w:b/>
                <w:bCs/>
                <w:spacing w:val="-1"/>
              </w:rPr>
              <w:t>25000</w:t>
            </w:r>
          </w:p>
        </w:tc>
        <w:tc>
          <w:tcPr>
            <w:tcW w:w="872" w:type="dxa"/>
            <w:vAlign w:val="top"/>
          </w:tcPr>
          <w:p w14:paraId="6B49B553">
            <w:pPr>
              <w:pStyle w:val="6"/>
              <w:spacing w:before="86" w:line="214" w:lineRule="auto"/>
              <w:ind w:left="271"/>
            </w:pPr>
            <w:r>
              <w:rPr>
                <w:spacing w:val="-4"/>
              </w:rPr>
              <w:t>8.78</w:t>
            </w:r>
          </w:p>
        </w:tc>
        <w:tc>
          <w:tcPr>
            <w:tcW w:w="883" w:type="dxa"/>
            <w:tcBorders>
              <w:right w:val="single" w:color="000000" w:sz="12" w:space="0"/>
            </w:tcBorders>
            <w:vAlign w:val="top"/>
          </w:tcPr>
          <w:p w14:paraId="7449CBD5">
            <w:pPr>
              <w:pStyle w:val="6"/>
              <w:spacing w:before="91" w:line="209" w:lineRule="auto"/>
              <w:ind w:left="265"/>
            </w:pPr>
            <w:r>
              <w:rPr>
                <w:b/>
                <w:bCs/>
                <w:spacing w:val="-2"/>
              </w:rPr>
              <w:t>5.14</w:t>
            </w:r>
          </w:p>
        </w:tc>
      </w:tr>
      <w:tr w14:paraId="2025C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49C8E724">
            <w:pPr>
              <w:rPr>
                <w:rFonts w:ascii="Arial"/>
                <w:sz w:val="21"/>
              </w:rPr>
            </w:pPr>
          </w:p>
        </w:tc>
        <w:tc>
          <w:tcPr>
            <w:tcW w:w="283" w:type="dxa"/>
            <w:vMerge w:val="continue"/>
            <w:tcBorders>
              <w:top w:val="nil"/>
            </w:tcBorders>
            <w:vAlign w:val="top"/>
          </w:tcPr>
          <w:p w14:paraId="0D6B3E5A">
            <w:pPr>
              <w:rPr>
                <w:rFonts w:ascii="Arial"/>
                <w:sz w:val="21"/>
              </w:rPr>
            </w:pPr>
          </w:p>
        </w:tc>
        <w:tc>
          <w:tcPr>
            <w:tcW w:w="1134" w:type="dxa"/>
            <w:vAlign w:val="top"/>
          </w:tcPr>
          <w:p w14:paraId="40CE4EC3">
            <w:pPr>
              <w:pStyle w:val="6"/>
              <w:spacing w:before="88" w:line="213" w:lineRule="auto"/>
              <w:ind w:left="128"/>
            </w:pPr>
            <w:r>
              <w:rPr>
                <w:spacing w:val="-1"/>
              </w:rPr>
              <w:t>2020/3/12</w:t>
            </w:r>
          </w:p>
        </w:tc>
        <w:tc>
          <w:tcPr>
            <w:tcW w:w="648" w:type="dxa"/>
            <w:vAlign w:val="top"/>
          </w:tcPr>
          <w:p w14:paraId="1EEBF73D">
            <w:pPr>
              <w:pStyle w:val="6"/>
              <w:spacing w:before="88" w:line="213" w:lineRule="auto"/>
              <w:ind w:left="128"/>
            </w:pPr>
            <w:r>
              <w:rPr>
                <w:spacing w:val="-1"/>
              </w:rPr>
              <w:t>45.0</w:t>
            </w:r>
          </w:p>
        </w:tc>
        <w:tc>
          <w:tcPr>
            <w:tcW w:w="648" w:type="dxa"/>
            <w:vAlign w:val="top"/>
          </w:tcPr>
          <w:p w14:paraId="2E8DC321">
            <w:pPr>
              <w:pStyle w:val="6"/>
              <w:spacing w:before="93" w:line="208" w:lineRule="auto"/>
              <w:ind w:left="131"/>
            </w:pPr>
            <w:r>
              <w:rPr>
                <w:b/>
                <w:bCs/>
                <w:spacing w:val="-1"/>
              </w:rPr>
              <w:t>21.5</w:t>
            </w:r>
          </w:p>
        </w:tc>
        <w:tc>
          <w:tcPr>
            <w:tcW w:w="646" w:type="dxa"/>
            <w:vAlign w:val="top"/>
          </w:tcPr>
          <w:p w14:paraId="141C0E0E">
            <w:pPr>
              <w:pStyle w:val="6"/>
              <w:spacing w:before="88" w:line="213" w:lineRule="auto"/>
              <w:ind w:left="177"/>
            </w:pPr>
            <w:r>
              <w:rPr>
                <w:spacing w:val="-6"/>
              </w:rPr>
              <w:t>132</w:t>
            </w:r>
          </w:p>
        </w:tc>
        <w:tc>
          <w:tcPr>
            <w:tcW w:w="651" w:type="dxa"/>
            <w:vAlign w:val="top"/>
          </w:tcPr>
          <w:p w14:paraId="172B0A97">
            <w:pPr>
              <w:pStyle w:val="6"/>
              <w:spacing w:before="88" w:line="213" w:lineRule="auto"/>
              <w:ind w:left="222"/>
            </w:pPr>
            <w:r>
              <w:rPr>
                <w:spacing w:val="-4"/>
              </w:rPr>
              <w:t>82</w:t>
            </w:r>
          </w:p>
        </w:tc>
        <w:tc>
          <w:tcPr>
            <w:tcW w:w="648" w:type="dxa"/>
            <w:vAlign w:val="top"/>
          </w:tcPr>
          <w:p w14:paraId="5E473C65">
            <w:pPr>
              <w:pStyle w:val="6"/>
              <w:spacing w:before="88" w:line="213" w:lineRule="auto"/>
              <w:ind w:left="182"/>
            </w:pPr>
            <w:r>
              <w:rPr>
                <w:spacing w:val="-6"/>
              </w:rPr>
              <w:t>143</w:t>
            </w:r>
          </w:p>
        </w:tc>
        <w:tc>
          <w:tcPr>
            <w:tcW w:w="650" w:type="dxa"/>
            <w:vAlign w:val="top"/>
          </w:tcPr>
          <w:p w14:paraId="32539482">
            <w:pPr>
              <w:pStyle w:val="6"/>
              <w:spacing w:before="88" w:line="213" w:lineRule="auto"/>
              <w:ind w:left="216"/>
            </w:pPr>
            <w:r>
              <w:rPr>
                <w:spacing w:val="-1"/>
              </w:rPr>
              <w:t>23</w:t>
            </w:r>
          </w:p>
        </w:tc>
        <w:tc>
          <w:tcPr>
            <w:tcW w:w="648" w:type="dxa"/>
            <w:vAlign w:val="top"/>
          </w:tcPr>
          <w:p w14:paraId="3F2C7248">
            <w:pPr>
              <w:pStyle w:val="6"/>
              <w:spacing w:before="88" w:line="213" w:lineRule="auto"/>
              <w:ind w:left="158"/>
            </w:pPr>
            <w:r>
              <w:rPr>
                <w:spacing w:val="-6"/>
              </w:rPr>
              <w:t>13.6</w:t>
            </w:r>
          </w:p>
        </w:tc>
        <w:tc>
          <w:tcPr>
            <w:tcW w:w="650" w:type="dxa"/>
            <w:vAlign w:val="top"/>
          </w:tcPr>
          <w:p w14:paraId="1B35930A">
            <w:pPr>
              <w:pStyle w:val="6"/>
              <w:spacing w:before="88" w:line="213" w:lineRule="auto"/>
              <w:ind w:left="145"/>
            </w:pPr>
            <w:r>
              <w:rPr>
                <w:spacing w:val="-3"/>
              </w:rPr>
              <w:t>6.16</w:t>
            </w:r>
          </w:p>
        </w:tc>
        <w:tc>
          <w:tcPr>
            <w:tcW w:w="648" w:type="dxa"/>
            <w:vAlign w:val="top"/>
          </w:tcPr>
          <w:p w14:paraId="41228FA8">
            <w:pPr>
              <w:pStyle w:val="6"/>
              <w:spacing w:before="88" w:line="213" w:lineRule="auto"/>
              <w:ind w:left="144"/>
            </w:pPr>
            <w:r>
              <w:rPr>
                <w:spacing w:val="-2"/>
              </w:rPr>
              <w:t>0.39</w:t>
            </w:r>
          </w:p>
        </w:tc>
        <w:tc>
          <w:tcPr>
            <w:tcW w:w="650" w:type="dxa"/>
            <w:vAlign w:val="top"/>
          </w:tcPr>
          <w:p w14:paraId="6E8A6B9F">
            <w:pPr>
              <w:pStyle w:val="6"/>
              <w:spacing w:before="88" w:line="213" w:lineRule="auto"/>
              <w:ind w:left="147"/>
            </w:pPr>
            <w:r>
              <w:rPr>
                <w:spacing w:val="-2"/>
              </w:rPr>
              <w:t>0.26</w:t>
            </w:r>
          </w:p>
        </w:tc>
        <w:tc>
          <w:tcPr>
            <w:tcW w:w="648" w:type="dxa"/>
            <w:vAlign w:val="top"/>
          </w:tcPr>
          <w:p w14:paraId="624B36C2">
            <w:pPr>
              <w:pStyle w:val="6"/>
              <w:spacing w:before="88" w:line="213" w:lineRule="auto"/>
              <w:ind w:left="164"/>
            </w:pPr>
            <w:r>
              <w:rPr>
                <w:spacing w:val="-6"/>
              </w:rPr>
              <w:t>1.54</w:t>
            </w:r>
          </w:p>
        </w:tc>
        <w:tc>
          <w:tcPr>
            <w:tcW w:w="650" w:type="dxa"/>
            <w:vAlign w:val="top"/>
          </w:tcPr>
          <w:p w14:paraId="5EA7A24A">
            <w:pPr>
              <w:pStyle w:val="6"/>
              <w:spacing w:before="88" w:line="213" w:lineRule="auto"/>
              <w:ind w:left="149"/>
            </w:pPr>
            <w:r>
              <w:rPr>
                <w:spacing w:val="-2"/>
              </w:rPr>
              <w:t>0.59</w:t>
            </w:r>
          </w:p>
        </w:tc>
        <w:tc>
          <w:tcPr>
            <w:tcW w:w="873" w:type="dxa"/>
            <w:vAlign w:val="top"/>
          </w:tcPr>
          <w:p w14:paraId="18E5A125">
            <w:pPr>
              <w:pStyle w:val="6"/>
              <w:spacing w:before="88" w:line="213" w:lineRule="auto"/>
              <w:ind w:left="185"/>
            </w:pPr>
            <w:r>
              <w:rPr>
                <w:spacing w:val="-2"/>
              </w:rPr>
              <w:t>34000</w:t>
            </w:r>
          </w:p>
        </w:tc>
        <w:tc>
          <w:tcPr>
            <w:tcW w:w="872" w:type="dxa"/>
            <w:vAlign w:val="top"/>
          </w:tcPr>
          <w:p w14:paraId="52CEDF5A">
            <w:pPr>
              <w:pStyle w:val="6"/>
              <w:spacing w:before="93" w:line="208" w:lineRule="auto"/>
              <w:ind w:left="183"/>
            </w:pPr>
            <w:r>
              <w:rPr>
                <w:b/>
                <w:bCs/>
                <w:spacing w:val="-1"/>
              </w:rPr>
              <w:t>27000</w:t>
            </w:r>
          </w:p>
        </w:tc>
        <w:tc>
          <w:tcPr>
            <w:tcW w:w="872" w:type="dxa"/>
            <w:vAlign w:val="top"/>
          </w:tcPr>
          <w:p w14:paraId="38D6090B">
            <w:pPr>
              <w:pStyle w:val="6"/>
              <w:spacing w:before="88" w:line="213" w:lineRule="auto"/>
              <w:ind w:left="271"/>
            </w:pPr>
            <w:r>
              <w:rPr>
                <w:spacing w:val="-4"/>
              </w:rPr>
              <w:t>8.82</w:t>
            </w:r>
          </w:p>
        </w:tc>
        <w:tc>
          <w:tcPr>
            <w:tcW w:w="883" w:type="dxa"/>
            <w:tcBorders>
              <w:right w:val="single" w:color="000000" w:sz="12" w:space="0"/>
            </w:tcBorders>
            <w:vAlign w:val="top"/>
          </w:tcPr>
          <w:p w14:paraId="7BD0801B">
            <w:pPr>
              <w:pStyle w:val="6"/>
              <w:spacing w:before="93" w:line="208" w:lineRule="auto"/>
              <w:ind w:left="265"/>
            </w:pPr>
            <w:r>
              <w:rPr>
                <w:b/>
                <w:bCs/>
                <w:spacing w:val="-2"/>
              </w:rPr>
              <w:t>5.27</w:t>
            </w:r>
          </w:p>
        </w:tc>
      </w:tr>
      <w:tr w14:paraId="45AAB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Merge w:val="continue"/>
            <w:tcBorders>
              <w:top w:val="nil"/>
              <w:left w:val="single" w:color="000000" w:sz="12" w:space="0"/>
              <w:bottom w:val="nil"/>
            </w:tcBorders>
            <w:vAlign w:val="top"/>
          </w:tcPr>
          <w:p w14:paraId="03798751">
            <w:pPr>
              <w:rPr>
                <w:rFonts w:ascii="Arial"/>
                <w:sz w:val="21"/>
              </w:rPr>
            </w:pPr>
          </w:p>
        </w:tc>
        <w:tc>
          <w:tcPr>
            <w:tcW w:w="283" w:type="dxa"/>
            <w:vMerge w:val="restart"/>
            <w:tcBorders>
              <w:bottom w:val="nil"/>
            </w:tcBorders>
            <w:vAlign w:val="top"/>
          </w:tcPr>
          <w:p w14:paraId="20798BF7">
            <w:pPr>
              <w:pStyle w:val="6"/>
              <w:spacing w:before="142" w:line="222" w:lineRule="auto"/>
              <w:ind w:left="74"/>
            </w:pPr>
            <w:r>
              <w:t>2</w:t>
            </w:r>
          </w:p>
          <w:p w14:paraId="58039648">
            <w:pPr>
              <w:spacing w:line="219" w:lineRule="auto"/>
              <w:ind w:left="26"/>
              <w:rPr>
                <w:rFonts w:ascii="宋体" w:hAnsi="宋体" w:eastAsia="宋体" w:cs="宋体"/>
                <w:sz w:val="21"/>
                <w:szCs w:val="21"/>
              </w:rPr>
            </w:pPr>
            <w:r>
              <w:rPr>
                <w:rFonts w:ascii="宋体" w:hAnsi="宋体" w:eastAsia="宋体" w:cs="宋体"/>
                <w:sz w:val="21"/>
                <w:szCs w:val="21"/>
              </w:rPr>
              <w:t>季</w:t>
            </w:r>
          </w:p>
          <w:p w14:paraId="7C07B48A">
            <w:pPr>
              <w:spacing w:before="22" w:line="220" w:lineRule="auto"/>
              <w:ind w:left="24"/>
              <w:rPr>
                <w:rFonts w:ascii="宋体" w:hAnsi="宋体" w:eastAsia="宋体" w:cs="宋体"/>
                <w:sz w:val="21"/>
                <w:szCs w:val="21"/>
              </w:rPr>
            </w:pPr>
            <w:r>
              <w:rPr>
                <w:rFonts w:ascii="宋体" w:hAnsi="宋体" w:eastAsia="宋体" w:cs="宋体"/>
                <w:sz w:val="21"/>
                <w:szCs w:val="21"/>
              </w:rPr>
              <w:t>度</w:t>
            </w:r>
          </w:p>
        </w:tc>
        <w:tc>
          <w:tcPr>
            <w:tcW w:w="1134" w:type="dxa"/>
            <w:vAlign w:val="top"/>
          </w:tcPr>
          <w:p w14:paraId="44BFA87E">
            <w:pPr>
              <w:pStyle w:val="6"/>
              <w:spacing w:before="89" w:line="211" w:lineRule="auto"/>
              <w:ind w:left="128"/>
            </w:pPr>
            <w:r>
              <w:rPr>
                <w:spacing w:val="-1"/>
              </w:rPr>
              <w:t>2020/5/20</w:t>
            </w:r>
          </w:p>
        </w:tc>
        <w:tc>
          <w:tcPr>
            <w:tcW w:w="648" w:type="dxa"/>
            <w:vAlign w:val="top"/>
          </w:tcPr>
          <w:p w14:paraId="20FC56FD">
            <w:pPr>
              <w:pStyle w:val="6"/>
              <w:spacing w:before="89" w:line="211" w:lineRule="auto"/>
              <w:ind w:left="128"/>
            </w:pPr>
            <w:r>
              <w:rPr>
                <w:spacing w:val="-1"/>
              </w:rPr>
              <w:t>48.6</w:t>
            </w:r>
          </w:p>
        </w:tc>
        <w:tc>
          <w:tcPr>
            <w:tcW w:w="648" w:type="dxa"/>
            <w:vAlign w:val="top"/>
          </w:tcPr>
          <w:p w14:paraId="4111BB60">
            <w:pPr>
              <w:pStyle w:val="6"/>
              <w:spacing w:before="89" w:line="211" w:lineRule="auto"/>
              <w:ind w:left="150"/>
            </w:pPr>
            <w:r>
              <w:rPr>
                <w:spacing w:val="-6"/>
              </w:rPr>
              <w:t>11.0</w:t>
            </w:r>
          </w:p>
        </w:tc>
        <w:tc>
          <w:tcPr>
            <w:tcW w:w="646" w:type="dxa"/>
            <w:vAlign w:val="top"/>
          </w:tcPr>
          <w:p w14:paraId="6131C89C">
            <w:pPr>
              <w:pStyle w:val="6"/>
              <w:spacing w:before="89" w:line="211" w:lineRule="auto"/>
              <w:ind w:left="177"/>
            </w:pPr>
            <w:r>
              <w:rPr>
                <w:spacing w:val="-6"/>
              </w:rPr>
              <w:t>145</w:t>
            </w:r>
          </w:p>
        </w:tc>
        <w:tc>
          <w:tcPr>
            <w:tcW w:w="651" w:type="dxa"/>
            <w:vAlign w:val="top"/>
          </w:tcPr>
          <w:p w14:paraId="01E27543">
            <w:pPr>
              <w:pStyle w:val="6"/>
              <w:spacing w:before="89" w:line="211" w:lineRule="auto"/>
              <w:ind w:left="219"/>
            </w:pPr>
            <w:r>
              <w:rPr>
                <w:spacing w:val="-3"/>
              </w:rPr>
              <w:t>54</w:t>
            </w:r>
          </w:p>
        </w:tc>
        <w:tc>
          <w:tcPr>
            <w:tcW w:w="648" w:type="dxa"/>
            <w:vAlign w:val="top"/>
          </w:tcPr>
          <w:p w14:paraId="32064E77">
            <w:pPr>
              <w:pStyle w:val="6"/>
              <w:spacing w:before="89" w:line="211" w:lineRule="auto"/>
              <w:ind w:left="219"/>
            </w:pPr>
            <w:r>
              <w:rPr>
                <w:spacing w:val="-3"/>
              </w:rPr>
              <w:t>55</w:t>
            </w:r>
          </w:p>
        </w:tc>
        <w:tc>
          <w:tcPr>
            <w:tcW w:w="650" w:type="dxa"/>
            <w:vAlign w:val="top"/>
          </w:tcPr>
          <w:p w14:paraId="4C82AAF6">
            <w:pPr>
              <w:pStyle w:val="6"/>
              <w:spacing w:before="89" w:line="211" w:lineRule="auto"/>
              <w:ind w:left="220"/>
            </w:pPr>
            <w:r>
              <w:rPr>
                <w:spacing w:val="-3"/>
              </w:rPr>
              <w:t>33</w:t>
            </w:r>
          </w:p>
        </w:tc>
        <w:tc>
          <w:tcPr>
            <w:tcW w:w="648" w:type="dxa"/>
            <w:vAlign w:val="top"/>
          </w:tcPr>
          <w:p w14:paraId="26DC1FBE">
            <w:pPr>
              <w:pStyle w:val="6"/>
              <w:spacing w:before="89" w:line="211" w:lineRule="auto"/>
              <w:ind w:left="88"/>
            </w:pPr>
            <w:r>
              <w:rPr>
                <w:spacing w:val="-2"/>
              </w:rPr>
              <w:t>0.241</w:t>
            </w:r>
          </w:p>
        </w:tc>
        <w:tc>
          <w:tcPr>
            <w:tcW w:w="650" w:type="dxa"/>
            <w:vAlign w:val="top"/>
          </w:tcPr>
          <w:p w14:paraId="5234E149">
            <w:pPr>
              <w:pStyle w:val="6"/>
              <w:spacing w:before="89" w:line="211" w:lineRule="auto"/>
              <w:ind w:left="91"/>
            </w:pPr>
            <w:r>
              <w:rPr>
                <w:spacing w:val="-2"/>
              </w:rPr>
              <w:t>0.140</w:t>
            </w:r>
          </w:p>
        </w:tc>
        <w:tc>
          <w:tcPr>
            <w:tcW w:w="648" w:type="dxa"/>
            <w:vAlign w:val="top"/>
          </w:tcPr>
          <w:p w14:paraId="31C5F506">
            <w:pPr>
              <w:pStyle w:val="6"/>
              <w:spacing w:before="89" w:line="211" w:lineRule="auto"/>
              <w:ind w:left="141"/>
            </w:pPr>
            <w:r>
              <w:rPr>
                <w:spacing w:val="-1"/>
              </w:rPr>
              <w:t>2.05</w:t>
            </w:r>
          </w:p>
        </w:tc>
        <w:tc>
          <w:tcPr>
            <w:tcW w:w="650" w:type="dxa"/>
            <w:vAlign w:val="top"/>
          </w:tcPr>
          <w:p w14:paraId="44D103FA">
            <w:pPr>
              <w:pStyle w:val="6"/>
              <w:spacing w:before="94" w:line="206" w:lineRule="auto"/>
              <w:ind w:left="147"/>
            </w:pPr>
            <w:r>
              <w:rPr>
                <w:b/>
                <w:bCs/>
                <w:spacing w:val="-2"/>
              </w:rPr>
              <w:t>0.94</w:t>
            </w:r>
          </w:p>
        </w:tc>
        <w:tc>
          <w:tcPr>
            <w:tcW w:w="648" w:type="dxa"/>
            <w:vAlign w:val="top"/>
          </w:tcPr>
          <w:p w14:paraId="35EA6F7C">
            <w:pPr>
              <w:pStyle w:val="6"/>
              <w:spacing w:before="89" w:line="211" w:lineRule="auto"/>
              <w:ind w:left="147"/>
            </w:pPr>
            <w:r>
              <w:rPr>
                <w:spacing w:val="-2"/>
              </w:rPr>
              <w:t>0.50</w:t>
            </w:r>
          </w:p>
        </w:tc>
        <w:tc>
          <w:tcPr>
            <w:tcW w:w="650" w:type="dxa"/>
            <w:vAlign w:val="top"/>
          </w:tcPr>
          <w:p w14:paraId="615E8F97">
            <w:pPr>
              <w:pStyle w:val="6"/>
              <w:spacing w:before="89" w:line="211" w:lineRule="auto"/>
              <w:ind w:left="149"/>
            </w:pPr>
            <w:r>
              <w:rPr>
                <w:spacing w:val="-2"/>
              </w:rPr>
              <w:t>0.38</w:t>
            </w:r>
          </w:p>
        </w:tc>
        <w:tc>
          <w:tcPr>
            <w:tcW w:w="873" w:type="dxa"/>
            <w:vAlign w:val="top"/>
          </w:tcPr>
          <w:p w14:paraId="68994E43">
            <w:pPr>
              <w:pStyle w:val="6"/>
              <w:spacing w:before="89" w:line="211" w:lineRule="auto"/>
              <w:ind w:left="128"/>
            </w:pPr>
            <w:r>
              <w:rPr>
                <w:spacing w:val="-1"/>
              </w:rPr>
              <w:t>260000</w:t>
            </w:r>
          </w:p>
        </w:tc>
        <w:tc>
          <w:tcPr>
            <w:tcW w:w="872" w:type="dxa"/>
            <w:vAlign w:val="top"/>
          </w:tcPr>
          <w:p w14:paraId="253EB722">
            <w:pPr>
              <w:pStyle w:val="6"/>
              <w:spacing w:before="94" w:line="206" w:lineRule="auto"/>
              <w:ind w:left="130"/>
            </w:pPr>
            <w:r>
              <w:rPr>
                <w:b/>
                <w:bCs/>
                <w:spacing w:val="-1"/>
              </w:rPr>
              <w:t>210000</w:t>
            </w:r>
          </w:p>
        </w:tc>
        <w:tc>
          <w:tcPr>
            <w:tcW w:w="872" w:type="dxa"/>
            <w:vAlign w:val="top"/>
          </w:tcPr>
          <w:p w14:paraId="723E114D">
            <w:pPr>
              <w:pStyle w:val="6"/>
              <w:spacing w:before="89" w:line="211" w:lineRule="auto"/>
              <w:ind w:left="263"/>
            </w:pPr>
            <w:r>
              <w:rPr>
                <w:spacing w:val="-1"/>
              </w:rPr>
              <w:t>2.26</w:t>
            </w:r>
          </w:p>
        </w:tc>
        <w:tc>
          <w:tcPr>
            <w:tcW w:w="883" w:type="dxa"/>
            <w:tcBorders>
              <w:right w:val="single" w:color="000000" w:sz="12" w:space="0"/>
            </w:tcBorders>
            <w:vAlign w:val="top"/>
          </w:tcPr>
          <w:p w14:paraId="56B3CAE0">
            <w:pPr>
              <w:pStyle w:val="6"/>
              <w:spacing w:before="89" w:line="211" w:lineRule="auto"/>
              <w:ind w:left="283"/>
            </w:pPr>
            <w:r>
              <w:rPr>
                <w:spacing w:val="-6"/>
              </w:rPr>
              <w:t>1.29</w:t>
            </w:r>
          </w:p>
        </w:tc>
      </w:tr>
      <w:tr w14:paraId="6C465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Merge w:val="continue"/>
            <w:tcBorders>
              <w:top w:val="nil"/>
              <w:left w:val="single" w:color="000000" w:sz="12" w:space="0"/>
              <w:bottom w:val="nil"/>
            </w:tcBorders>
            <w:vAlign w:val="top"/>
          </w:tcPr>
          <w:p w14:paraId="7239842D">
            <w:pPr>
              <w:rPr>
                <w:rFonts w:ascii="Arial"/>
                <w:sz w:val="21"/>
              </w:rPr>
            </w:pPr>
          </w:p>
        </w:tc>
        <w:tc>
          <w:tcPr>
            <w:tcW w:w="283" w:type="dxa"/>
            <w:vMerge w:val="continue"/>
            <w:tcBorders>
              <w:top w:val="nil"/>
              <w:bottom w:val="nil"/>
            </w:tcBorders>
            <w:vAlign w:val="top"/>
          </w:tcPr>
          <w:p w14:paraId="063AD39E">
            <w:pPr>
              <w:rPr>
                <w:rFonts w:ascii="Arial"/>
                <w:sz w:val="21"/>
              </w:rPr>
            </w:pPr>
          </w:p>
        </w:tc>
        <w:tc>
          <w:tcPr>
            <w:tcW w:w="1134" w:type="dxa"/>
            <w:vAlign w:val="top"/>
          </w:tcPr>
          <w:p w14:paraId="5D4DD12C">
            <w:pPr>
              <w:pStyle w:val="6"/>
              <w:spacing w:before="93" w:line="207" w:lineRule="auto"/>
              <w:ind w:left="128"/>
            </w:pPr>
            <w:r>
              <w:rPr>
                <w:spacing w:val="-1"/>
              </w:rPr>
              <w:t>2020/5/21</w:t>
            </w:r>
          </w:p>
        </w:tc>
        <w:tc>
          <w:tcPr>
            <w:tcW w:w="648" w:type="dxa"/>
            <w:vAlign w:val="top"/>
          </w:tcPr>
          <w:p w14:paraId="7CE8680F">
            <w:pPr>
              <w:pStyle w:val="6"/>
              <w:spacing w:before="93" w:line="207" w:lineRule="auto"/>
              <w:ind w:left="128"/>
            </w:pPr>
            <w:r>
              <w:rPr>
                <w:spacing w:val="-1"/>
              </w:rPr>
              <w:t>47.2</w:t>
            </w:r>
          </w:p>
        </w:tc>
        <w:tc>
          <w:tcPr>
            <w:tcW w:w="648" w:type="dxa"/>
            <w:vAlign w:val="top"/>
          </w:tcPr>
          <w:p w14:paraId="0512476C">
            <w:pPr>
              <w:pStyle w:val="6"/>
              <w:spacing w:before="93" w:line="207" w:lineRule="auto"/>
              <w:ind w:left="150"/>
            </w:pPr>
            <w:r>
              <w:rPr>
                <w:spacing w:val="-6"/>
              </w:rPr>
              <w:t>10.4</w:t>
            </w:r>
          </w:p>
        </w:tc>
        <w:tc>
          <w:tcPr>
            <w:tcW w:w="646" w:type="dxa"/>
            <w:vAlign w:val="top"/>
          </w:tcPr>
          <w:p w14:paraId="43D4914A">
            <w:pPr>
              <w:pStyle w:val="6"/>
              <w:spacing w:before="93" w:line="207" w:lineRule="auto"/>
              <w:ind w:left="177"/>
            </w:pPr>
            <w:r>
              <w:rPr>
                <w:spacing w:val="-6"/>
              </w:rPr>
              <w:t>138</w:t>
            </w:r>
          </w:p>
        </w:tc>
        <w:tc>
          <w:tcPr>
            <w:tcW w:w="651" w:type="dxa"/>
            <w:vAlign w:val="top"/>
          </w:tcPr>
          <w:p w14:paraId="665A388D">
            <w:pPr>
              <w:pStyle w:val="6"/>
              <w:spacing w:before="93" w:line="207" w:lineRule="auto"/>
              <w:ind w:left="219"/>
            </w:pPr>
            <w:r>
              <w:rPr>
                <w:spacing w:val="-3"/>
              </w:rPr>
              <w:t>50</w:t>
            </w:r>
          </w:p>
        </w:tc>
        <w:tc>
          <w:tcPr>
            <w:tcW w:w="648" w:type="dxa"/>
            <w:vAlign w:val="top"/>
          </w:tcPr>
          <w:p w14:paraId="1911B1A9">
            <w:pPr>
              <w:pStyle w:val="6"/>
              <w:spacing w:before="93" w:line="207" w:lineRule="auto"/>
              <w:ind w:left="218"/>
            </w:pPr>
            <w:r>
              <w:rPr>
                <w:spacing w:val="-3"/>
              </w:rPr>
              <w:t>61</w:t>
            </w:r>
          </w:p>
        </w:tc>
        <w:tc>
          <w:tcPr>
            <w:tcW w:w="650" w:type="dxa"/>
            <w:vAlign w:val="top"/>
          </w:tcPr>
          <w:p w14:paraId="45325500">
            <w:pPr>
              <w:pStyle w:val="6"/>
              <w:spacing w:before="93" w:line="207" w:lineRule="auto"/>
              <w:ind w:left="220"/>
            </w:pPr>
            <w:r>
              <w:rPr>
                <w:spacing w:val="-3"/>
              </w:rPr>
              <w:t>35</w:t>
            </w:r>
          </w:p>
        </w:tc>
        <w:tc>
          <w:tcPr>
            <w:tcW w:w="648" w:type="dxa"/>
            <w:vAlign w:val="top"/>
          </w:tcPr>
          <w:p w14:paraId="74C1B8D6">
            <w:pPr>
              <w:pStyle w:val="6"/>
              <w:spacing w:before="93" w:line="207" w:lineRule="auto"/>
              <w:ind w:left="88"/>
            </w:pPr>
            <w:r>
              <w:rPr>
                <w:spacing w:val="-2"/>
              </w:rPr>
              <w:t>0.250</w:t>
            </w:r>
          </w:p>
        </w:tc>
        <w:tc>
          <w:tcPr>
            <w:tcW w:w="650" w:type="dxa"/>
            <w:vAlign w:val="top"/>
          </w:tcPr>
          <w:p w14:paraId="36074952">
            <w:pPr>
              <w:pStyle w:val="6"/>
              <w:spacing w:before="93" w:line="207" w:lineRule="auto"/>
              <w:ind w:left="91"/>
            </w:pPr>
            <w:r>
              <w:rPr>
                <w:spacing w:val="-2"/>
              </w:rPr>
              <w:t>0.149</w:t>
            </w:r>
          </w:p>
        </w:tc>
        <w:tc>
          <w:tcPr>
            <w:tcW w:w="648" w:type="dxa"/>
            <w:vAlign w:val="top"/>
          </w:tcPr>
          <w:p w14:paraId="5C0D8F11">
            <w:pPr>
              <w:pStyle w:val="6"/>
              <w:spacing w:before="93" w:line="207" w:lineRule="auto"/>
              <w:ind w:left="141"/>
            </w:pPr>
            <w:r>
              <w:rPr>
                <w:spacing w:val="-1"/>
              </w:rPr>
              <w:t>2.11</w:t>
            </w:r>
          </w:p>
        </w:tc>
        <w:tc>
          <w:tcPr>
            <w:tcW w:w="650" w:type="dxa"/>
            <w:vAlign w:val="top"/>
          </w:tcPr>
          <w:p w14:paraId="4301FF01">
            <w:pPr>
              <w:pStyle w:val="6"/>
              <w:spacing w:before="97" w:line="203" w:lineRule="auto"/>
              <w:ind w:left="153"/>
            </w:pPr>
            <w:r>
              <w:rPr>
                <w:b/>
                <w:bCs/>
                <w:spacing w:val="-4"/>
              </w:rPr>
              <w:t>1.01</w:t>
            </w:r>
          </w:p>
        </w:tc>
        <w:tc>
          <w:tcPr>
            <w:tcW w:w="648" w:type="dxa"/>
            <w:vAlign w:val="top"/>
          </w:tcPr>
          <w:p w14:paraId="28D0016E">
            <w:pPr>
              <w:pStyle w:val="6"/>
              <w:spacing w:before="93" w:line="207" w:lineRule="auto"/>
              <w:ind w:left="147"/>
            </w:pPr>
            <w:r>
              <w:rPr>
                <w:spacing w:val="-2"/>
              </w:rPr>
              <w:t>0.47</w:t>
            </w:r>
          </w:p>
        </w:tc>
        <w:tc>
          <w:tcPr>
            <w:tcW w:w="650" w:type="dxa"/>
            <w:vAlign w:val="top"/>
          </w:tcPr>
          <w:p w14:paraId="62C40145">
            <w:pPr>
              <w:pStyle w:val="6"/>
              <w:spacing w:before="93" w:line="207" w:lineRule="auto"/>
              <w:ind w:left="149"/>
            </w:pPr>
            <w:r>
              <w:rPr>
                <w:spacing w:val="-2"/>
              </w:rPr>
              <w:t>0.42</w:t>
            </w:r>
          </w:p>
        </w:tc>
        <w:tc>
          <w:tcPr>
            <w:tcW w:w="873" w:type="dxa"/>
            <w:vAlign w:val="top"/>
          </w:tcPr>
          <w:p w14:paraId="0B39E084">
            <w:pPr>
              <w:pStyle w:val="6"/>
              <w:spacing w:before="93" w:line="207" w:lineRule="auto"/>
              <w:ind w:left="128"/>
            </w:pPr>
            <w:r>
              <w:rPr>
                <w:spacing w:val="-1"/>
              </w:rPr>
              <w:t>280000</w:t>
            </w:r>
          </w:p>
        </w:tc>
        <w:tc>
          <w:tcPr>
            <w:tcW w:w="872" w:type="dxa"/>
            <w:vAlign w:val="top"/>
          </w:tcPr>
          <w:p w14:paraId="1F64B14C">
            <w:pPr>
              <w:pStyle w:val="6"/>
              <w:spacing w:before="97" w:line="203" w:lineRule="auto"/>
              <w:ind w:left="130"/>
            </w:pPr>
            <w:r>
              <w:rPr>
                <w:b/>
                <w:bCs/>
                <w:spacing w:val="-1"/>
              </w:rPr>
              <w:t>240000</w:t>
            </w:r>
          </w:p>
        </w:tc>
        <w:tc>
          <w:tcPr>
            <w:tcW w:w="872" w:type="dxa"/>
            <w:vAlign w:val="top"/>
          </w:tcPr>
          <w:p w14:paraId="6ABB51DB">
            <w:pPr>
              <w:pStyle w:val="6"/>
              <w:spacing w:before="93" w:line="207" w:lineRule="auto"/>
              <w:ind w:left="263"/>
            </w:pPr>
            <w:r>
              <w:rPr>
                <w:spacing w:val="-1"/>
              </w:rPr>
              <w:t>2.31</w:t>
            </w:r>
          </w:p>
        </w:tc>
        <w:tc>
          <w:tcPr>
            <w:tcW w:w="883" w:type="dxa"/>
            <w:tcBorders>
              <w:right w:val="single" w:color="000000" w:sz="12" w:space="0"/>
            </w:tcBorders>
            <w:vAlign w:val="top"/>
          </w:tcPr>
          <w:p w14:paraId="6B17C5B1">
            <w:pPr>
              <w:pStyle w:val="6"/>
              <w:spacing w:before="93" w:line="207" w:lineRule="auto"/>
              <w:ind w:left="283"/>
            </w:pPr>
            <w:r>
              <w:rPr>
                <w:spacing w:val="-6"/>
              </w:rPr>
              <w:t>1.31</w:t>
            </w:r>
          </w:p>
        </w:tc>
      </w:tr>
      <w:tr w14:paraId="62780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04" w:type="dxa"/>
            <w:vMerge w:val="continue"/>
            <w:tcBorders>
              <w:top w:val="nil"/>
              <w:left w:val="single" w:color="000000" w:sz="12" w:space="0"/>
              <w:bottom w:val="nil"/>
            </w:tcBorders>
            <w:vAlign w:val="top"/>
          </w:tcPr>
          <w:p w14:paraId="56191A65">
            <w:pPr>
              <w:rPr>
                <w:rFonts w:ascii="Arial"/>
                <w:sz w:val="21"/>
              </w:rPr>
            </w:pPr>
          </w:p>
        </w:tc>
        <w:tc>
          <w:tcPr>
            <w:tcW w:w="283" w:type="dxa"/>
            <w:vMerge w:val="continue"/>
            <w:tcBorders>
              <w:top w:val="nil"/>
            </w:tcBorders>
            <w:vAlign w:val="top"/>
          </w:tcPr>
          <w:p w14:paraId="55E79189">
            <w:pPr>
              <w:rPr>
                <w:rFonts w:ascii="Arial"/>
                <w:sz w:val="21"/>
              </w:rPr>
            </w:pPr>
          </w:p>
        </w:tc>
        <w:tc>
          <w:tcPr>
            <w:tcW w:w="1134" w:type="dxa"/>
            <w:vAlign w:val="top"/>
          </w:tcPr>
          <w:p w14:paraId="02A2E49C">
            <w:pPr>
              <w:pStyle w:val="6"/>
              <w:spacing w:before="95" w:line="206" w:lineRule="auto"/>
              <w:ind w:left="128"/>
            </w:pPr>
            <w:r>
              <w:rPr>
                <w:spacing w:val="-1"/>
              </w:rPr>
              <w:t>2020/5/22</w:t>
            </w:r>
          </w:p>
        </w:tc>
        <w:tc>
          <w:tcPr>
            <w:tcW w:w="648" w:type="dxa"/>
            <w:vAlign w:val="top"/>
          </w:tcPr>
          <w:p w14:paraId="7EE99B17">
            <w:pPr>
              <w:pStyle w:val="6"/>
              <w:spacing w:before="95" w:line="206" w:lineRule="auto"/>
              <w:ind w:left="128"/>
            </w:pPr>
            <w:r>
              <w:rPr>
                <w:spacing w:val="-1"/>
              </w:rPr>
              <w:t>46.2</w:t>
            </w:r>
          </w:p>
        </w:tc>
        <w:tc>
          <w:tcPr>
            <w:tcW w:w="648" w:type="dxa"/>
            <w:vAlign w:val="top"/>
          </w:tcPr>
          <w:p w14:paraId="34BF2E56">
            <w:pPr>
              <w:pStyle w:val="6"/>
              <w:spacing w:before="95" w:line="206" w:lineRule="auto"/>
              <w:ind w:left="150"/>
            </w:pPr>
            <w:r>
              <w:rPr>
                <w:spacing w:val="-6"/>
              </w:rPr>
              <w:t>11.4</w:t>
            </w:r>
          </w:p>
        </w:tc>
        <w:tc>
          <w:tcPr>
            <w:tcW w:w="646" w:type="dxa"/>
            <w:vAlign w:val="top"/>
          </w:tcPr>
          <w:p w14:paraId="2DB1612B">
            <w:pPr>
              <w:pStyle w:val="6"/>
              <w:spacing w:before="95" w:line="206" w:lineRule="auto"/>
              <w:ind w:left="177"/>
            </w:pPr>
            <w:r>
              <w:rPr>
                <w:spacing w:val="-6"/>
              </w:rPr>
              <w:t>130</w:t>
            </w:r>
          </w:p>
        </w:tc>
        <w:tc>
          <w:tcPr>
            <w:tcW w:w="651" w:type="dxa"/>
            <w:vAlign w:val="top"/>
          </w:tcPr>
          <w:p w14:paraId="456A632C">
            <w:pPr>
              <w:pStyle w:val="6"/>
              <w:spacing w:before="95" w:line="206" w:lineRule="auto"/>
              <w:ind w:left="219"/>
            </w:pPr>
            <w:r>
              <w:rPr>
                <w:spacing w:val="-3"/>
              </w:rPr>
              <w:t>56</w:t>
            </w:r>
          </w:p>
        </w:tc>
        <w:tc>
          <w:tcPr>
            <w:tcW w:w="648" w:type="dxa"/>
            <w:vAlign w:val="top"/>
          </w:tcPr>
          <w:p w14:paraId="548AB6CB">
            <w:pPr>
              <w:pStyle w:val="6"/>
              <w:spacing w:before="95" w:line="206" w:lineRule="auto"/>
              <w:ind w:left="219"/>
            </w:pPr>
            <w:r>
              <w:rPr>
                <w:spacing w:val="-3"/>
              </w:rPr>
              <w:t>53</w:t>
            </w:r>
          </w:p>
        </w:tc>
        <w:tc>
          <w:tcPr>
            <w:tcW w:w="650" w:type="dxa"/>
            <w:vAlign w:val="top"/>
          </w:tcPr>
          <w:p w14:paraId="20F88EF7">
            <w:pPr>
              <w:pStyle w:val="6"/>
              <w:spacing w:before="95" w:line="206" w:lineRule="auto"/>
              <w:ind w:left="220"/>
            </w:pPr>
            <w:r>
              <w:rPr>
                <w:spacing w:val="-3"/>
              </w:rPr>
              <w:t>31</w:t>
            </w:r>
          </w:p>
        </w:tc>
        <w:tc>
          <w:tcPr>
            <w:tcW w:w="648" w:type="dxa"/>
            <w:vAlign w:val="top"/>
          </w:tcPr>
          <w:p w14:paraId="7A85D933">
            <w:pPr>
              <w:pStyle w:val="6"/>
              <w:spacing w:before="95" w:line="206" w:lineRule="auto"/>
              <w:ind w:left="88"/>
            </w:pPr>
            <w:r>
              <w:rPr>
                <w:spacing w:val="-2"/>
              </w:rPr>
              <w:t>0.234</w:t>
            </w:r>
          </w:p>
        </w:tc>
        <w:tc>
          <w:tcPr>
            <w:tcW w:w="650" w:type="dxa"/>
            <w:vAlign w:val="top"/>
          </w:tcPr>
          <w:p w14:paraId="78989317">
            <w:pPr>
              <w:pStyle w:val="6"/>
              <w:spacing w:before="95" w:line="206" w:lineRule="auto"/>
              <w:ind w:left="91"/>
            </w:pPr>
            <w:r>
              <w:rPr>
                <w:spacing w:val="-2"/>
              </w:rPr>
              <w:t>0.133</w:t>
            </w:r>
          </w:p>
        </w:tc>
        <w:tc>
          <w:tcPr>
            <w:tcW w:w="648" w:type="dxa"/>
            <w:vAlign w:val="top"/>
          </w:tcPr>
          <w:p w14:paraId="2996079E">
            <w:pPr>
              <w:pStyle w:val="6"/>
              <w:spacing w:before="95" w:line="206" w:lineRule="auto"/>
              <w:ind w:left="141"/>
            </w:pPr>
            <w:r>
              <w:rPr>
                <w:spacing w:val="-1"/>
              </w:rPr>
              <w:t>2.07</w:t>
            </w:r>
          </w:p>
        </w:tc>
        <w:tc>
          <w:tcPr>
            <w:tcW w:w="650" w:type="dxa"/>
            <w:vAlign w:val="top"/>
          </w:tcPr>
          <w:p w14:paraId="51ECED5A">
            <w:pPr>
              <w:pStyle w:val="6"/>
              <w:spacing w:before="99" w:line="202" w:lineRule="auto"/>
              <w:ind w:left="147"/>
            </w:pPr>
            <w:r>
              <w:rPr>
                <w:b/>
                <w:bCs/>
                <w:spacing w:val="-2"/>
              </w:rPr>
              <w:t>0.97</w:t>
            </w:r>
          </w:p>
        </w:tc>
        <w:tc>
          <w:tcPr>
            <w:tcW w:w="648" w:type="dxa"/>
            <w:vAlign w:val="top"/>
          </w:tcPr>
          <w:p w14:paraId="73CD6267">
            <w:pPr>
              <w:pStyle w:val="6"/>
              <w:spacing w:before="95" w:line="206" w:lineRule="auto"/>
              <w:ind w:left="147"/>
            </w:pPr>
            <w:r>
              <w:rPr>
                <w:spacing w:val="-2"/>
              </w:rPr>
              <w:t>0.40</w:t>
            </w:r>
          </w:p>
        </w:tc>
        <w:tc>
          <w:tcPr>
            <w:tcW w:w="650" w:type="dxa"/>
            <w:vAlign w:val="top"/>
          </w:tcPr>
          <w:p w14:paraId="68CAF618">
            <w:pPr>
              <w:pStyle w:val="6"/>
              <w:spacing w:before="95" w:line="206" w:lineRule="auto"/>
              <w:ind w:left="149"/>
            </w:pPr>
            <w:r>
              <w:rPr>
                <w:spacing w:val="-2"/>
              </w:rPr>
              <w:t>0.32</w:t>
            </w:r>
          </w:p>
        </w:tc>
        <w:tc>
          <w:tcPr>
            <w:tcW w:w="873" w:type="dxa"/>
            <w:vAlign w:val="top"/>
          </w:tcPr>
          <w:p w14:paraId="77E8B91F">
            <w:pPr>
              <w:pStyle w:val="6"/>
              <w:spacing w:before="95" w:line="206" w:lineRule="auto"/>
              <w:ind w:left="128"/>
            </w:pPr>
            <w:r>
              <w:rPr>
                <w:spacing w:val="-1"/>
              </w:rPr>
              <w:t>250000</w:t>
            </w:r>
          </w:p>
        </w:tc>
        <w:tc>
          <w:tcPr>
            <w:tcW w:w="872" w:type="dxa"/>
            <w:vAlign w:val="top"/>
          </w:tcPr>
          <w:p w14:paraId="07E5013F">
            <w:pPr>
              <w:pStyle w:val="6"/>
              <w:spacing w:before="99" w:line="202" w:lineRule="auto"/>
              <w:ind w:left="130"/>
            </w:pPr>
            <w:r>
              <w:rPr>
                <w:b/>
                <w:bCs/>
                <w:spacing w:val="-1"/>
              </w:rPr>
              <w:t>230000</w:t>
            </w:r>
          </w:p>
        </w:tc>
        <w:tc>
          <w:tcPr>
            <w:tcW w:w="872" w:type="dxa"/>
            <w:vAlign w:val="top"/>
          </w:tcPr>
          <w:p w14:paraId="4903EFB6">
            <w:pPr>
              <w:pStyle w:val="6"/>
              <w:spacing w:before="95" w:line="206" w:lineRule="auto"/>
              <w:ind w:left="263"/>
            </w:pPr>
            <w:r>
              <w:rPr>
                <w:spacing w:val="-1"/>
              </w:rPr>
              <w:t>2.29</w:t>
            </w:r>
          </w:p>
        </w:tc>
        <w:tc>
          <w:tcPr>
            <w:tcW w:w="883" w:type="dxa"/>
            <w:tcBorders>
              <w:right w:val="single" w:color="000000" w:sz="12" w:space="0"/>
            </w:tcBorders>
            <w:vAlign w:val="top"/>
          </w:tcPr>
          <w:p w14:paraId="75F8642B">
            <w:pPr>
              <w:pStyle w:val="6"/>
              <w:spacing w:before="95" w:line="206" w:lineRule="auto"/>
              <w:ind w:left="283"/>
            </w:pPr>
            <w:r>
              <w:rPr>
                <w:spacing w:val="-6"/>
              </w:rPr>
              <w:t>1.33</w:t>
            </w:r>
          </w:p>
        </w:tc>
      </w:tr>
      <w:tr w14:paraId="71FB9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bottom w:val="nil"/>
            </w:tcBorders>
            <w:vAlign w:val="top"/>
          </w:tcPr>
          <w:p w14:paraId="7AEEB8EC">
            <w:pPr>
              <w:rPr>
                <w:rFonts w:ascii="Arial"/>
                <w:sz w:val="21"/>
              </w:rPr>
            </w:pPr>
          </w:p>
        </w:tc>
        <w:tc>
          <w:tcPr>
            <w:tcW w:w="283" w:type="dxa"/>
            <w:vMerge w:val="restart"/>
            <w:tcBorders>
              <w:bottom w:val="nil"/>
            </w:tcBorders>
            <w:vAlign w:val="top"/>
          </w:tcPr>
          <w:p w14:paraId="76DAF29B">
            <w:pPr>
              <w:pStyle w:val="6"/>
              <w:spacing w:before="196" w:line="230" w:lineRule="auto"/>
              <w:ind w:left="24" w:right="45" w:firstLine="54"/>
              <w:jc w:val="both"/>
              <w:rPr>
                <w:rFonts w:ascii="宋体" w:hAnsi="宋体" w:eastAsia="宋体" w:cs="宋体"/>
              </w:rPr>
            </w:pPr>
            <w:r>
              <w:rPr>
                <w:spacing w:val="-9"/>
              </w:rPr>
              <w:t>3</w:t>
            </w:r>
            <w:r>
              <w:rPr>
                <w:rFonts w:ascii="宋体" w:hAnsi="宋体" w:eastAsia="宋体" w:cs="宋体"/>
                <w:spacing w:val="-8"/>
              </w:rPr>
              <w:t>季度</w:t>
            </w:r>
          </w:p>
        </w:tc>
        <w:tc>
          <w:tcPr>
            <w:tcW w:w="1134" w:type="dxa"/>
            <w:vAlign w:val="top"/>
          </w:tcPr>
          <w:p w14:paraId="6879285A">
            <w:pPr>
              <w:pStyle w:val="6"/>
              <w:spacing w:before="111" w:line="220" w:lineRule="auto"/>
              <w:ind w:left="128"/>
            </w:pPr>
            <w:r>
              <w:rPr>
                <w:spacing w:val="-1"/>
              </w:rPr>
              <w:t>2020/8/20</w:t>
            </w:r>
          </w:p>
        </w:tc>
        <w:tc>
          <w:tcPr>
            <w:tcW w:w="648" w:type="dxa"/>
            <w:vAlign w:val="top"/>
          </w:tcPr>
          <w:p w14:paraId="26C2E75F">
            <w:pPr>
              <w:pStyle w:val="6"/>
              <w:spacing w:before="111" w:line="220" w:lineRule="auto"/>
              <w:ind w:left="128"/>
            </w:pPr>
            <w:r>
              <w:rPr>
                <w:spacing w:val="-1"/>
              </w:rPr>
              <w:t>48.4</w:t>
            </w:r>
          </w:p>
        </w:tc>
        <w:tc>
          <w:tcPr>
            <w:tcW w:w="648" w:type="dxa"/>
            <w:vAlign w:val="top"/>
          </w:tcPr>
          <w:p w14:paraId="6087E629">
            <w:pPr>
              <w:pStyle w:val="6"/>
              <w:spacing w:before="116" w:line="215" w:lineRule="auto"/>
              <w:ind w:left="131"/>
            </w:pPr>
            <w:r>
              <w:rPr>
                <w:b/>
                <w:bCs/>
                <w:spacing w:val="-1"/>
              </w:rPr>
              <w:t>24.7</w:t>
            </w:r>
          </w:p>
        </w:tc>
        <w:tc>
          <w:tcPr>
            <w:tcW w:w="646" w:type="dxa"/>
            <w:vAlign w:val="top"/>
          </w:tcPr>
          <w:p w14:paraId="002B753A">
            <w:pPr>
              <w:pStyle w:val="6"/>
              <w:spacing w:before="111" w:line="220" w:lineRule="auto"/>
              <w:ind w:left="177"/>
            </w:pPr>
            <w:r>
              <w:rPr>
                <w:spacing w:val="-6"/>
              </w:rPr>
              <w:t>155</w:t>
            </w:r>
          </w:p>
        </w:tc>
        <w:tc>
          <w:tcPr>
            <w:tcW w:w="651" w:type="dxa"/>
            <w:vAlign w:val="top"/>
          </w:tcPr>
          <w:p w14:paraId="419FA363">
            <w:pPr>
              <w:pStyle w:val="6"/>
              <w:spacing w:before="111" w:line="220" w:lineRule="auto"/>
              <w:ind w:left="222"/>
            </w:pPr>
            <w:r>
              <w:rPr>
                <w:spacing w:val="-4"/>
              </w:rPr>
              <w:t>89</w:t>
            </w:r>
          </w:p>
        </w:tc>
        <w:tc>
          <w:tcPr>
            <w:tcW w:w="648" w:type="dxa"/>
            <w:vAlign w:val="top"/>
          </w:tcPr>
          <w:p w14:paraId="2D931A82">
            <w:pPr>
              <w:pStyle w:val="6"/>
              <w:spacing w:before="111" w:line="220" w:lineRule="auto"/>
              <w:ind w:left="216"/>
            </w:pPr>
            <w:r>
              <w:rPr>
                <w:spacing w:val="-2"/>
              </w:rPr>
              <w:t>75</w:t>
            </w:r>
          </w:p>
        </w:tc>
        <w:tc>
          <w:tcPr>
            <w:tcW w:w="650" w:type="dxa"/>
            <w:vAlign w:val="top"/>
          </w:tcPr>
          <w:p w14:paraId="211A1DDC">
            <w:pPr>
              <w:pStyle w:val="6"/>
              <w:spacing w:before="111" w:line="220" w:lineRule="auto"/>
              <w:ind w:left="216"/>
            </w:pPr>
            <w:r>
              <w:rPr>
                <w:spacing w:val="-1"/>
              </w:rPr>
              <w:t>23</w:t>
            </w:r>
          </w:p>
        </w:tc>
        <w:tc>
          <w:tcPr>
            <w:tcW w:w="648" w:type="dxa"/>
            <w:vAlign w:val="top"/>
          </w:tcPr>
          <w:p w14:paraId="4D18A3F9">
            <w:pPr>
              <w:pStyle w:val="6"/>
              <w:spacing w:before="111" w:line="220" w:lineRule="auto"/>
              <w:ind w:left="143"/>
            </w:pPr>
            <w:r>
              <w:rPr>
                <w:spacing w:val="-3"/>
              </w:rPr>
              <w:t>6.37</w:t>
            </w:r>
          </w:p>
        </w:tc>
        <w:tc>
          <w:tcPr>
            <w:tcW w:w="650" w:type="dxa"/>
            <w:vAlign w:val="top"/>
          </w:tcPr>
          <w:p w14:paraId="72881A38">
            <w:pPr>
              <w:pStyle w:val="6"/>
              <w:spacing w:before="111" w:line="220" w:lineRule="auto"/>
              <w:ind w:left="146"/>
            </w:pPr>
            <w:r>
              <w:rPr>
                <w:spacing w:val="-3"/>
              </w:rPr>
              <w:t>5.41</w:t>
            </w:r>
          </w:p>
        </w:tc>
        <w:tc>
          <w:tcPr>
            <w:tcW w:w="648" w:type="dxa"/>
            <w:vAlign w:val="top"/>
          </w:tcPr>
          <w:p w14:paraId="6EAE2D66">
            <w:pPr>
              <w:pStyle w:val="6"/>
              <w:spacing w:before="111" w:line="220" w:lineRule="auto"/>
              <w:ind w:left="144"/>
            </w:pPr>
            <w:r>
              <w:rPr>
                <w:spacing w:val="-2"/>
              </w:rPr>
              <w:t>0.62</w:t>
            </w:r>
          </w:p>
        </w:tc>
        <w:tc>
          <w:tcPr>
            <w:tcW w:w="650" w:type="dxa"/>
            <w:vAlign w:val="top"/>
          </w:tcPr>
          <w:p w14:paraId="5EA0B38A">
            <w:pPr>
              <w:pStyle w:val="6"/>
              <w:spacing w:before="116" w:line="215" w:lineRule="auto"/>
              <w:ind w:left="147"/>
            </w:pPr>
            <w:r>
              <w:rPr>
                <w:b/>
                <w:bCs/>
                <w:spacing w:val="-2"/>
              </w:rPr>
              <w:t>0.38</w:t>
            </w:r>
          </w:p>
        </w:tc>
        <w:tc>
          <w:tcPr>
            <w:tcW w:w="648" w:type="dxa"/>
            <w:vAlign w:val="top"/>
          </w:tcPr>
          <w:p w14:paraId="4D682F92">
            <w:pPr>
              <w:pStyle w:val="6"/>
              <w:spacing w:before="111" w:line="220" w:lineRule="auto"/>
              <w:ind w:left="147"/>
            </w:pPr>
            <w:r>
              <w:rPr>
                <w:spacing w:val="-2"/>
              </w:rPr>
              <w:t>0.60</w:t>
            </w:r>
          </w:p>
        </w:tc>
        <w:tc>
          <w:tcPr>
            <w:tcW w:w="650" w:type="dxa"/>
            <w:vAlign w:val="top"/>
          </w:tcPr>
          <w:p w14:paraId="2CDCDEC4">
            <w:pPr>
              <w:pStyle w:val="6"/>
              <w:spacing w:before="111" w:line="220" w:lineRule="auto"/>
              <w:ind w:left="149"/>
            </w:pPr>
            <w:r>
              <w:rPr>
                <w:spacing w:val="-2"/>
              </w:rPr>
              <w:t>0.41</w:t>
            </w:r>
          </w:p>
        </w:tc>
        <w:tc>
          <w:tcPr>
            <w:tcW w:w="873" w:type="dxa"/>
            <w:vAlign w:val="top"/>
          </w:tcPr>
          <w:p w14:paraId="470E54E8">
            <w:pPr>
              <w:pStyle w:val="6"/>
              <w:spacing w:before="79" w:line="223" w:lineRule="auto"/>
              <w:ind w:left="66"/>
              <w:rPr>
                <w:sz w:val="14"/>
                <w:szCs w:val="14"/>
              </w:rPr>
            </w:pPr>
            <w:r>
              <w:rPr>
                <w:spacing w:val="-1"/>
              </w:rPr>
              <w:t>2.6</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6CEBA4FF">
            <w:pPr>
              <w:pStyle w:val="6"/>
              <w:spacing w:before="79" w:line="223" w:lineRule="auto"/>
              <w:ind w:left="69"/>
              <w:rPr>
                <w:sz w:val="14"/>
                <w:szCs w:val="14"/>
              </w:rPr>
            </w:pPr>
            <w:r>
              <w:rPr>
                <w:b/>
                <w:bCs/>
                <w:spacing w:val="-1"/>
              </w:rPr>
              <w:t>2.5</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3701A4E5">
            <w:pPr>
              <w:pStyle w:val="6"/>
              <w:spacing w:before="111" w:line="220" w:lineRule="auto"/>
              <w:ind w:left="263"/>
            </w:pPr>
            <w:r>
              <w:rPr>
                <w:spacing w:val="-1"/>
              </w:rPr>
              <w:t>2.81</w:t>
            </w:r>
          </w:p>
        </w:tc>
        <w:tc>
          <w:tcPr>
            <w:tcW w:w="883" w:type="dxa"/>
            <w:tcBorders>
              <w:right w:val="single" w:color="000000" w:sz="12" w:space="0"/>
            </w:tcBorders>
            <w:vAlign w:val="top"/>
          </w:tcPr>
          <w:p w14:paraId="1D617BF6">
            <w:pPr>
              <w:pStyle w:val="6"/>
              <w:spacing w:before="111" w:line="220" w:lineRule="auto"/>
              <w:ind w:left="263"/>
            </w:pPr>
            <w:r>
              <w:rPr>
                <w:spacing w:val="-1"/>
              </w:rPr>
              <w:t>2.27</w:t>
            </w:r>
          </w:p>
        </w:tc>
      </w:tr>
      <w:tr w14:paraId="4C1F5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bottom w:val="nil"/>
            </w:tcBorders>
            <w:vAlign w:val="top"/>
          </w:tcPr>
          <w:p w14:paraId="35C84D03">
            <w:pPr>
              <w:rPr>
                <w:rFonts w:ascii="Arial"/>
                <w:sz w:val="21"/>
              </w:rPr>
            </w:pPr>
          </w:p>
        </w:tc>
        <w:tc>
          <w:tcPr>
            <w:tcW w:w="283" w:type="dxa"/>
            <w:vMerge w:val="continue"/>
            <w:tcBorders>
              <w:top w:val="nil"/>
              <w:bottom w:val="nil"/>
            </w:tcBorders>
            <w:vAlign w:val="top"/>
          </w:tcPr>
          <w:p w14:paraId="0A7A7F1C">
            <w:pPr>
              <w:rPr>
                <w:rFonts w:ascii="Arial"/>
                <w:sz w:val="21"/>
              </w:rPr>
            </w:pPr>
          </w:p>
        </w:tc>
        <w:tc>
          <w:tcPr>
            <w:tcW w:w="1134" w:type="dxa"/>
            <w:vAlign w:val="top"/>
          </w:tcPr>
          <w:p w14:paraId="475CB5DC">
            <w:pPr>
              <w:pStyle w:val="6"/>
              <w:spacing w:before="115" w:line="216" w:lineRule="auto"/>
              <w:ind w:left="128"/>
            </w:pPr>
            <w:r>
              <w:rPr>
                <w:spacing w:val="-1"/>
              </w:rPr>
              <w:t>2020/8/21</w:t>
            </w:r>
          </w:p>
        </w:tc>
        <w:tc>
          <w:tcPr>
            <w:tcW w:w="648" w:type="dxa"/>
            <w:vAlign w:val="top"/>
          </w:tcPr>
          <w:p w14:paraId="75BF84C3">
            <w:pPr>
              <w:pStyle w:val="6"/>
              <w:spacing w:before="115" w:line="216" w:lineRule="auto"/>
              <w:ind w:left="128"/>
            </w:pPr>
            <w:r>
              <w:rPr>
                <w:spacing w:val="-1"/>
              </w:rPr>
              <w:t>46.8</w:t>
            </w:r>
          </w:p>
        </w:tc>
        <w:tc>
          <w:tcPr>
            <w:tcW w:w="648" w:type="dxa"/>
            <w:vAlign w:val="top"/>
          </w:tcPr>
          <w:p w14:paraId="0BCFF004">
            <w:pPr>
              <w:pStyle w:val="6"/>
              <w:spacing w:before="120" w:line="211" w:lineRule="auto"/>
              <w:ind w:left="131"/>
            </w:pPr>
            <w:r>
              <w:rPr>
                <w:b/>
                <w:bCs/>
                <w:spacing w:val="-1"/>
              </w:rPr>
              <w:t>23.3</w:t>
            </w:r>
          </w:p>
        </w:tc>
        <w:tc>
          <w:tcPr>
            <w:tcW w:w="646" w:type="dxa"/>
            <w:vAlign w:val="top"/>
          </w:tcPr>
          <w:p w14:paraId="7EEB1A7B">
            <w:pPr>
              <w:pStyle w:val="6"/>
              <w:spacing w:before="115" w:line="216" w:lineRule="auto"/>
              <w:ind w:left="177"/>
            </w:pPr>
            <w:r>
              <w:rPr>
                <w:spacing w:val="-6"/>
              </w:rPr>
              <w:t>150</w:t>
            </w:r>
          </w:p>
        </w:tc>
        <w:tc>
          <w:tcPr>
            <w:tcW w:w="651" w:type="dxa"/>
            <w:vAlign w:val="top"/>
          </w:tcPr>
          <w:p w14:paraId="078AC96E">
            <w:pPr>
              <w:pStyle w:val="6"/>
              <w:spacing w:before="115" w:line="216" w:lineRule="auto"/>
              <w:ind w:left="222"/>
            </w:pPr>
            <w:r>
              <w:rPr>
                <w:spacing w:val="-4"/>
              </w:rPr>
              <w:t>84</w:t>
            </w:r>
          </w:p>
        </w:tc>
        <w:tc>
          <w:tcPr>
            <w:tcW w:w="648" w:type="dxa"/>
            <w:vAlign w:val="top"/>
          </w:tcPr>
          <w:p w14:paraId="23355DD9">
            <w:pPr>
              <w:pStyle w:val="6"/>
              <w:spacing w:before="115" w:line="216" w:lineRule="auto"/>
              <w:ind w:left="222"/>
            </w:pPr>
            <w:r>
              <w:rPr>
                <w:spacing w:val="-4"/>
              </w:rPr>
              <w:t>81</w:t>
            </w:r>
          </w:p>
        </w:tc>
        <w:tc>
          <w:tcPr>
            <w:tcW w:w="650" w:type="dxa"/>
            <w:vAlign w:val="top"/>
          </w:tcPr>
          <w:p w14:paraId="0ED575B2">
            <w:pPr>
              <w:pStyle w:val="6"/>
              <w:spacing w:before="115" w:line="216" w:lineRule="auto"/>
              <w:ind w:left="216"/>
            </w:pPr>
            <w:r>
              <w:rPr>
                <w:spacing w:val="-1"/>
              </w:rPr>
              <w:t>20</w:t>
            </w:r>
          </w:p>
        </w:tc>
        <w:tc>
          <w:tcPr>
            <w:tcW w:w="648" w:type="dxa"/>
            <w:vAlign w:val="top"/>
          </w:tcPr>
          <w:p w14:paraId="2A144644">
            <w:pPr>
              <w:pStyle w:val="6"/>
              <w:spacing w:before="115" w:line="216" w:lineRule="auto"/>
              <w:ind w:left="143"/>
            </w:pPr>
            <w:r>
              <w:rPr>
                <w:spacing w:val="-3"/>
              </w:rPr>
              <w:t>6.53</w:t>
            </w:r>
          </w:p>
        </w:tc>
        <w:tc>
          <w:tcPr>
            <w:tcW w:w="650" w:type="dxa"/>
            <w:vAlign w:val="top"/>
          </w:tcPr>
          <w:p w14:paraId="5F4B1984">
            <w:pPr>
              <w:pStyle w:val="6"/>
              <w:spacing w:before="115" w:line="216" w:lineRule="auto"/>
              <w:ind w:left="146"/>
            </w:pPr>
            <w:r>
              <w:rPr>
                <w:spacing w:val="-3"/>
              </w:rPr>
              <w:t>5.24</w:t>
            </w:r>
          </w:p>
        </w:tc>
        <w:tc>
          <w:tcPr>
            <w:tcW w:w="648" w:type="dxa"/>
            <w:vAlign w:val="top"/>
          </w:tcPr>
          <w:p w14:paraId="1C27C640">
            <w:pPr>
              <w:pStyle w:val="6"/>
              <w:spacing w:before="115" w:line="216" w:lineRule="auto"/>
              <w:ind w:left="144"/>
            </w:pPr>
            <w:r>
              <w:rPr>
                <w:spacing w:val="-2"/>
              </w:rPr>
              <w:t>0.58</w:t>
            </w:r>
          </w:p>
        </w:tc>
        <w:tc>
          <w:tcPr>
            <w:tcW w:w="650" w:type="dxa"/>
            <w:vAlign w:val="top"/>
          </w:tcPr>
          <w:p w14:paraId="0E32BD19">
            <w:pPr>
              <w:pStyle w:val="6"/>
              <w:spacing w:before="120" w:line="211" w:lineRule="auto"/>
              <w:ind w:left="147"/>
            </w:pPr>
            <w:r>
              <w:rPr>
                <w:b/>
                <w:bCs/>
                <w:spacing w:val="-2"/>
              </w:rPr>
              <w:t>0.34</w:t>
            </w:r>
          </w:p>
        </w:tc>
        <w:tc>
          <w:tcPr>
            <w:tcW w:w="648" w:type="dxa"/>
            <w:vAlign w:val="top"/>
          </w:tcPr>
          <w:p w14:paraId="549BCC5C">
            <w:pPr>
              <w:pStyle w:val="6"/>
              <w:spacing w:before="115" w:line="216" w:lineRule="auto"/>
              <w:ind w:left="147"/>
            </w:pPr>
            <w:r>
              <w:rPr>
                <w:spacing w:val="-2"/>
              </w:rPr>
              <w:t>0.58</w:t>
            </w:r>
          </w:p>
        </w:tc>
        <w:tc>
          <w:tcPr>
            <w:tcW w:w="650" w:type="dxa"/>
            <w:vAlign w:val="top"/>
          </w:tcPr>
          <w:p w14:paraId="1C901BD9">
            <w:pPr>
              <w:pStyle w:val="6"/>
              <w:spacing w:before="115" w:line="216" w:lineRule="auto"/>
              <w:ind w:left="149"/>
            </w:pPr>
            <w:r>
              <w:rPr>
                <w:spacing w:val="-2"/>
              </w:rPr>
              <w:t>0.40</w:t>
            </w:r>
          </w:p>
        </w:tc>
        <w:tc>
          <w:tcPr>
            <w:tcW w:w="873" w:type="dxa"/>
            <w:vAlign w:val="top"/>
          </w:tcPr>
          <w:p w14:paraId="24FA57EA">
            <w:pPr>
              <w:pStyle w:val="6"/>
              <w:spacing w:before="81" w:line="221" w:lineRule="auto"/>
              <w:ind w:left="66"/>
              <w:rPr>
                <w:sz w:val="14"/>
                <w:szCs w:val="14"/>
              </w:rPr>
            </w:pPr>
            <w:r>
              <w:rPr>
                <w:spacing w:val="-1"/>
              </w:rPr>
              <w:t>2.5</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0F0E7A9F">
            <w:pPr>
              <w:pStyle w:val="6"/>
              <w:spacing w:before="81" w:line="221" w:lineRule="auto"/>
              <w:ind w:left="69"/>
              <w:rPr>
                <w:sz w:val="14"/>
                <w:szCs w:val="14"/>
              </w:rPr>
            </w:pPr>
            <w:r>
              <w:rPr>
                <w:b/>
                <w:bCs/>
                <w:spacing w:val="-1"/>
              </w:rPr>
              <w:t>2.4</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1D36DCE2">
            <w:pPr>
              <w:pStyle w:val="6"/>
              <w:spacing w:before="115" w:line="216" w:lineRule="auto"/>
              <w:ind w:left="263"/>
            </w:pPr>
            <w:r>
              <w:rPr>
                <w:spacing w:val="-1"/>
              </w:rPr>
              <w:t>2.87</w:t>
            </w:r>
          </w:p>
        </w:tc>
        <w:tc>
          <w:tcPr>
            <w:tcW w:w="883" w:type="dxa"/>
            <w:tcBorders>
              <w:right w:val="single" w:color="000000" w:sz="12" w:space="0"/>
            </w:tcBorders>
            <w:vAlign w:val="top"/>
          </w:tcPr>
          <w:p w14:paraId="07B9E410">
            <w:pPr>
              <w:pStyle w:val="6"/>
              <w:spacing w:before="115" w:line="216" w:lineRule="auto"/>
              <w:ind w:left="263"/>
            </w:pPr>
            <w:r>
              <w:rPr>
                <w:spacing w:val="-1"/>
              </w:rPr>
              <w:t>2.22</w:t>
            </w:r>
          </w:p>
        </w:tc>
      </w:tr>
      <w:tr w14:paraId="26C3C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bottom w:val="nil"/>
            </w:tcBorders>
            <w:vAlign w:val="top"/>
          </w:tcPr>
          <w:p w14:paraId="6FCC096E">
            <w:pPr>
              <w:rPr>
                <w:rFonts w:ascii="Arial"/>
                <w:sz w:val="21"/>
              </w:rPr>
            </w:pPr>
          </w:p>
        </w:tc>
        <w:tc>
          <w:tcPr>
            <w:tcW w:w="283" w:type="dxa"/>
            <w:vMerge w:val="continue"/>
            <w:tcBorders>
              <w:top w:val="nil"/>
            </w:tcBorders>
            <w:vAlign w:val="top"/>
          </w:tcPr>
          <w:p w14:paraId="7A4C83F7">
            <w:pPr>
              <w:rPr>
                <w:rFonts w:ascii="Arial"/>
                <w:sz w:val="21"/>
              </w:rPr>
            </w:pPr>
          </w:p>
        </w:tc>
        <w:tc>
          <w:tcPr>
            <w:tcW w:w="1134" w:type="dxa"/>
            <w:vAlign w:val="top"/>
          </w:tcPr>
          <w:p w14:paraId="785E1C6A">
            <w:pPr>
              <w:pStyle w:val="6"/>
              <w:spacing w:before="117" w:line="214" w:lineRule="auto"/>
              <w:ind w:left="128"/>
            </w:pPr>
            <w:r>
              <w:rPr>
                <w:spacing w:val="-1"/>
              </w:rPr>
              <w:t>2020/8/22</w:t>
            </w:r>
          </w:p>
        </w:tc>
        <w:tc>
          <w:tcPr>
            <w:tcW w:w="648" w:type="dxa"/>
            <w:vAlign w:val="top"/>
          </w:tcPr>
          <w:p w14:paraId="3D568FDC">
            <w:pPr>
              <w:pStyle w:val="6"/>
              <w:spacing w:before="117" w:line="214" w:lineRule="auto"/>
              <w:ind w:left="128"/>
            </w:pPr>
            <w:r>
              <w:rPr>
                <w:spacing w:val="-1"/>
              </w:rPr>
              <w:t>49.4</w:t>
            </w:r>
          </w:p>
        </w:tc>
        <w:tc>
          <w:tcPr>
            <w:tcW w:w="648" w:type="dxa"/>
            <w:vAlign w:val="top"/>
          </w:tcPr>
          <w:p w14:paraId="5EA9637C">
            <w:pPr>
              <w:pStyle w:val="6"/>
              <w:spacing w:before="122" w:line="209" w:lineRule="auto"/>
              <w:ind w:left="131"/>
            </w:pPr>
            <w:r>
              <w:rPr>
                <w:b/>
                <w:bCs/>
                <w:spacing w:val="-1"/>
              </w:rPr>
              <w:t>23.9</w:t>
            </w:r>
          </w:p>
        </w:tc>
        <w:tc>
          <w:tcPr>
            <w:tcW w:w="646" w:type="dxa"/>
            <w:vAlign w:val="top"/>
          </w:tcPr>
          <w:p w14:paraId="0A1647B1">
            <w:pPr>
              <w:pStyle w:val="6"/>
              <w:spacing w:before="117" w:line="214" w:lineRule="auto"/>
              <w:ind w:left="177"/>
            </w:pPr>
            <w:r>
              <w:rPr>
                <w:spacing w:val="-6"/>
              </w:rPr>
              <w:t>158</w:t>
            </w:r>
          </w:p>
        </w:tc>
        <w:tc>
          <w:tcPr>
            <w:tcW w:w="651" w:type="dxa"/>
            <w:vAlign w:val="top"/>
          </w:tcPr>
          <w:p w14:paraId="3C1946FB">
            <w:pPr>
              <w:pStyle w:val="6"/>
              <w:spacing w:before="117" w:line="214" w:lineRule="auto"/>
              <w:ind w:left="222"/>
            </w:pPr>
            <w:r>
              <w:rPr>
                <w:spacing w:val="-4"/>
              </w:rPr>
              <w:t>86</w:t>
            </w:r>
          </w:p>
        </w:tc>
        <w:tc>
          <w:tcPr>
            <w:tcW w:w="648" w:type="dxa"/>
            <w:vAlign w:val="top"/>
          </w:tcPr>
          <w:p w14:paraId="77FF6587">
            <w:pPr>
              <w:pStyle w:val="6"/>
              <w:spacing w:before="117" w:line="214" w:lineRule="auto"/>
              <w:ind w:left="216"/>
            </w:pPr>
            <w:r>
              <w:rPr>
                <w:spacing w:val="-2"/>
              </w:rPr>
              <w:t>70</w:t>
            </w:r>
          </w:p>
        </w:tc>
        <w:tc>
          <w:tcPr>
            <w:tcW w:w="650" w:type="dxa"/>
            <w:vAlign w:val="top"/>
          </w:tcPr>
          <w:p w14:paraId="06C0637C">
            <w:pPr>
              <w:pStyle w:val="6"/>
              <w:spacing w:before="117" w:line="214" w:lineRule="auto"/>
              <w:ind w:left="216"/>
            </w:pPr>
            <w:r>
              <w:rPr>
                <w:spacing w:val="-1"/>
              </w:rPr>
              <w:t>25</w:t>
            </w:r>
          </w:p>
        </w:tc>
        <w:tc>
          <w:tcPr>
            <w:tcW w:w="648" w:type="dxa"/>
            <w:vAlign w:val="top"/>
          </w:tcPr>
          <w:p w14:paraId="2B65C703">
            <w:pPr>
              <w:pStyle w:val="6"/>
              <w:spacing w:before="117" w:line="214" w:lineRule="auto"/>
              <w:ind w:left="143"/>
            </w:pPr>
            <w:r>
              <w:rPr>
                <w:spacing w:val="-3"/>
              </w:rPr>
              <w:t>6.18</w:t>
            </w:r>
          </w:p>
        </w:tc>
        <w:tc>
          <w:tcPr>
            <w:tcW w:w="650" w:type="dxa"/>
            <w:vAlign w:val="top"/>
          </w:tcPr>
          <w:p w14:paraId="020DC8E6">
            <w:pPr>
              <w:pStyle w:val="6"/>
              <w:spacing w:before="117" w:line="214" w:lineRule="auto"/>
              <w:ind w:left="146"/>
            </w:pPr>
            <w:r>
              <w:rPr>
                <w:spacing w:val="-3"/>
              </w:rPr>
              <w:t>5.58</w:t>
            </w:r>
          </w:p>
        </w:tc>
        <w:tc>
          <w:tcPr>
            <w:tcW w:w="648" w:type="dxa"/>
            <w:vAlign w:val="top"/>
          </w:tcPr>
          <w:p w14:paraId="0E3B3B95">
            <w:pPr>
              <w:pStyle w:val="6"/>
              <w:spacing w:before="117" w:line="214" w:lineRule="auto"/>
              <w:ind w:left="144"/>
            </w:pPr>
            <w:r>
              <w:rPr>
                <w:spacing w:val="-2"/>
              </w:rPr>
              <w:t>0.60</w:t>
            </w:r>
          </w:p>
        </w:tc>
        <w:tc>
          <w:tcPr>
            <w:tcW w:w="650" w:type="dxa"/>
            <w:vAlign w:val="top"/>
          </w:tcPr>
          <w:p w14:paraId="42C2CEBC">
            <w:pPr>
              <w:pStyle w:val="6"/>
              <w:spacing w:before="122" w:line="209" w:lineRule="auto"/>
              <w:ind w:left="147"/>
            </w:pPr>
            <w:r>
              <w:rPr>
                <w:b/>
                <w:bCs/>
                <w:spacing w:val="-2"/>
              </w:rPr>
              <w:t>0.36</w:t>
            </w:r>
          </w:p>
        </w:tc>
        <w:tc>
          <w:tcPr>
            <w:tcW w:w="648" w:type="dxa"/>
            <w:vAlign w:val="top"/>
          </w:tcPr>
          <w:p w14:paraId="1682E789">
            <w:pPr>
              <w:pStyle w:val="6"/>
              <w:spacing w:before="117" w:line="214" w:lineRule="auto"/>
              <w:ind w:left="147"/>
            </w:pPr>
            <w:r>
              <w:rPr>
                <w:spacing w:val="-2"/>
              </w:rPr>
              <w:t>0.57</w:t>
            </w:r>
          </w:p>
        </w:tc>
        <w:tc>
          <w:tcPr>
            <w:tcW w:w="650" w:type="dxa"/>
            <w:vAlign w:val="top"/>
          </w:tcPr>
          <w:p w14:paraId="33768E00">
            <w:pPr>
              <w:pStyle w:val="6"/>
              <w:spacing w:before="117" w:line="214" w:lineRule="auto"/>
              <w:ind w:left="149"/>
            </w:pPr>
            <w:r>
              <w:rPr>
                <w:spacing w:val="-2"/>
              </w:rPr>
              <w:t>0.40</w:t>
            </w:r>
          </w:p>
        </w:tc>
        <w:tc>
          <w:tcPr>
            <w:tcW w:w="873" w:type="dxa"/>
            <w:vAlign w:val="top"/>
          </w:tcPr>
          <w:p w14:paraId="03FC10A6">
            <w:pPr>
              <w:pStyle w:val="6"/>
              <w:spacing w:before="83" w:line="219" w:lineRule="auto"/>
              <w:ind w:left="66"/>
              <w:rPr>
                <w:sz w:val="14"/>
                <w:szCs w:val="14"/>
              </w:rPr>
            </w:pPr>
            <w:r>
              <w:rPr>
                <w:spacing w:val="-1"/>
              </w:rPr>
              <w:t>2.7</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592777F1">
            <w:pPr>
              <w:pStyle w:val="6"/>
              <w:spacing w:before="83" w:line="219" w:lineRule="auto"/>
              <w:ind w:left="69"/>
              <w:rPr>
                <w:sz w:val="14"/>
                <w:szCs w:val="14"/>
              </w:rPr>
            </w:pPr>
            <w:r>
              <w:rPr>
                <w:b/>
                <w:bCs/>
                <w:spacing w:val="-1"/>
              </w:rPr>
              <w:t>2.6</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1C6187BA">
            <w:pPr>
              <w:pStyle w:val="6"/>
              <w:spacing w:before="117" w:line="214" w:lineRule="auto"/>
              <w:ind w:left="263"/>
            </w:pPr>
            <w:r>
              <w:rPr>
                <w:spacing w:val="-1"/>
              </w:rPr>
              <w:t>2.79</w:t>
            </w:r>
          </w:p>
        </w:tc>
        <w:tc>
          <w:tcPr>
            <w:tcW w:w="883" w:type="dxa"/>
            <w:tcBorders>
              <w:right w:val="single" w:color="000000" w:sz="12" w:space="0"/>
            </w:tcBorders>
            <w:vAlign w:val="top"/>
          </w:tcPr>
          <w:p w14:paraId="7F9A5D42">
            <w:pPr>
              <w:pStyle w:val="6"/>
              <w:spacing w:before="117" w:line="214" w:lineRule="auto"/>
              <w:ind w:left="263"/>
            </w:pPr>
            <w:r>
              <w:rPr>
                <w:spacing w:val="-1"/>
              </w:rPr>
              <w:t>2.29</w:t>
            </w:r>
          </w:p>
        </w:tc>
      </w:tr>
      <w:tr w14:paraId="257D7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bottom w:val="nil"/>
            </w:tcBorders>
            <w:vAlign w:val="top"/>
          </w:tcPr>
          <w:p w14:paraId="6B00F8F1">
            <w:pPr>
              <w:rPr>
                <w:rFonts w:ascii="Arial"/>
                <w:sz w:val="21"/>
              </w:rPr>
            </w:pPr>
          </w:p>
        </w:tc>
        <w:tc>
          <w:tcPr>
            <w:tcW w:w="283" w:type="dxa"/>
            <w:vMerge w:val="restart"/>
            <w:tcBorders>
              <w:bottom w:val="nil"/>
            </w:tcBorders>
            <w:vAlign w:val="top"/>
          </w:tcPr>
          <w:p w14:paraId="239D390B">
            <w:pPr>
              <w:pStyle w:val="6"/>
              <w:spacing w:before="203" w:line="230" w:lineRule="auto"/>
              <w:ind w:left="24" w:right="45" w:firstLine="48"/>
              <w:jc w:val="both"/>
              <w:rPr>
                <w:rFonts w:ascii="宋体" w:hAnsi="宋体" w:eastAsia="宋体" w:cs="宋体"/>
              </w:rPr>
            </w:pPr>
            <w:r>
              <w:rPr>
                <w:spacing w:val="-4"/>
              </w:rPr>
              <w:t>4</w:t>
            </w:r>
            <w:r>
              <w:rPr>
                <w:rFonts w:ascii="宋体" w:hAnsi="宋体" w:eastAsia="宋体" w:cs="宋体"/>
                <w:spacing w:val="-8"/>
              </w:rPr>
              <w:t>季度</w:t>
            </w:r>
          </w:p>
        </w:tc>
        <w:tc>
          <w:tcPr>
            <w:tcW w:w="1134" w:type="dxa"/>
            <w:vAlign w:val="top"/>
          </w:tcPr>
          <w:p w14:paraId="6EAAE000">
            <w:pPr>
              <w:pStyle w:val="6"/>
              <w:spacing w:before="119" w:line="212" w:lineRule="auto"/>
              <w:ind w:left="75"/>
            </w:pPr>
            <w:r>
              <w:rPr>
                <w:spacing w:val="-1"/>
              </w:rPr>
              <w:t>2020/11/15</w:t>
            </w:r>
          </w:p>
        </w:tc>
        <w:tc>
          <w:tcPr>
            <w:tcW w:w="648" w:type="dxa"/>
            <w:vAlign w:val="top"/>
          </w:tcPr>
          <w:p w14:paraId="4508EBB8">
            <w:pPr>
              <w:pStyle w:val="6"/>
              <w:spacing w:before="119" w:line="212" w:lineRule="auto"/>
              <w:ind w:left="132"/>
            </w:pPr>
            <w:r>
              <w:rPr>
                <w:spacing w:val="-2"/>
              </w:rPr>
              <w:t>79.6</w:t>
            </w:r>
          </w:p>
        </w:tc>
        <w:tc>
          <w:tcPr>
            <w:tcW w:w="648" w:type="dxa"/>
            <w:vAlign w:val="top"/>
          </w:tcPr>
          <w:p w14:paraId="54AD746A">
            <w:pPr>
              <w:pStyle w:val="6"/>
              <w:spacing w:before="119" w:line="212" w:lineRule="auto"/>
              <w:ind w:left="150"/>
            </w:pPr>
            <w:r>
              <w:rPr>
                <w:spacing w:val="-6"/>
              </w:rPr>
              <w:t>17.1</w:t>
            </w:r>
          </w:p>
        </w:tc>
        <w:tc>
          <w:tcPr>
            <w:tcW w:w="646" w:type="dxa"/>
            <w:vAlign w:val="top"/>
          </w:tcPr>
          <w:p w14:paraId="5DCB6B4F">
            <w:pPr>
              <w:pStyle w:val="6"/>
              <w:spacing w:before="119" w:line="212" w:lineRule="auto"/>
              <w:ind w:left="157"/>
            </w:pPr>
            <w:r>
              <w:rPr>
                <w:spacing w:val="-1"/>
              </w:rPr>
              <w:t>207</w:t>
            </w:r>
          </w:p>
        </w:tc>
        <w:tc>
          <w:tcPr>
            <w:tcW w:w="651" w:type="dxa"/>
            <w:vAlign w:val="top"/>
          </w:tcPr>
          <w:p w14:paraId="7010956B">
            <w:pPr>
              <w:pStyle w:val="6"/>
              <w:spacing w:before="119" w:line="212" w:lineRule="auto"/>
              <w:ind w:left="218"/>
            </w:pPr>
            <w:r>
              <w:rPr>
                <w:spacing w:val="-3"/>
              </w:rPr>
              <w:t>65</w:t>
            </w:r>
          </w:p>
        </w:tc>
        <w:tc>
          <w:tcPr>
            <w:tcW w:w="648" w:type="dxa"/>
            <w:vAlign w:val="top"/>
          </w:tcPr>
          <w:p w14:paraId="10999C76">
            <w:pPr>
              <w:pStyle w:val="6"/>
              <w:spacing w:before="119" w:line="212" w:lineRule="auto"/>
              <w:ind w:left="129"/>
            </w:pPr>
            <w:r>
              <w:rPr>
                <w:spacing w:val="-5"/>
              </w:rPr>
              <w:t>1032</w:t>
            </w:r>
          </w:p>
        </w:tc>
        <w:tc>
          <w:tcPr>
            <w:tcW w:w="650" w:type="dxa"/>
            <w:vAlign w:val="top"/>
          </w:tcPr>
          <w:p w14:paraId="4BD575B9">
            <w:pPr>
              <w:pStyle w:val="6"/>
              <w:spacing w:before="119" w:line="212" w:lineRule="auto"/>
              <w:ind w:left="220"/>
            </w:pPr>
            <w:r>
              <w:rPr>
                <w:spacing w:val="-3"/>
              </w:rPr>
              <w:t>37</w:t>
            </w:r>
          </w:p>
        </w:tc>
        <w:tc>
          <w:tcPr>
            <w:tcW w:w="648" w:type="dxa"/>
            <w:vAlign w:val="top"/>
          </w:tcPr>
          <w:p w14:paraId="0C7D39A0">
            <w:pPr>
              <w:pStyle w:val="6"/>
              <w:spacing w:before="119" w:line="212" w:lineRule="auto"/>
              <w:ind w:left="184"/>
            </w:pPr>
            <w:r>
              <w:rPr>
                <w:spacing w:val="-6"/>
              </w:rPr>
              <w:t>170</w:t>
            </w:r>
          </w:p>
        </w:tc>
        <w:tc>
          <w:tcPr>
            <w:tcW w:w="650" w:type="dxa"/>
            <w:vAlign w:val="top"/>
          </w:tcPr>
          <w:p w14:paraId="49ED0554">
            <w:pPr>
              <w:pStyle w:val="6"/>
              <w:spacing w:before="119" w:line="212" w:lineRule="auto"/>
              <w:ind w:left="91"/>
            </w:pPr>
            <w:r>
              <w:rPr>
                <w:spacing w:val="-2"/>
              </w:rPr>
              <w:t>0.291</w:t>
            </w:r>
          </w:p>
        </w:tc>
        <w:tc>
          <w:tcPr>
            <w:tcW w:w="648" w:type="dxa"/>
            <w:vAlign w:val="top"/>
          </w:tcPr>
          <w:p w14:paraId="45CC5308">
            <w:pPr>
              <w:pStyle w:val="6"/>
              <w:spacing w:before="119" w:line="212" w:lineRule="auto"/>
              <w:ind w:left="141"/>
            </w:pPr>
            <w:r>
              <w:rPr>
                <w:spacing w:val="-1"/>
              </w:rPr>
              <w:t>2.81</w:t>
            </w:r>
          </w:p>
        </w:tc>
        <w:tc>
          <w:tcPr>
            <w:tcW w:w="650" w:type="dxa"/>
            <w:vAlign w:val="top"/>
          </w:tcPr>
          <w:p w14:paraId="3A4679AB">
            <w:pPr>
              <w:pStyle w:val="6"/>
              <w:spacing w:before="124" w:line="207" w:lineRule="auto"/>
              <w:ind w:left="153"/>
            </w:pPr>
            <w:r>
              <w:rPr>
                <w:b/>
                <w:bCs/>
                <w:spacing w:val="-4"/>
              </w:rPr>
              <w:t>1.80</w:t>
            </w:r>
          </w:p>
        </w:tc>
        <w:tc>
          <w:tcPr>
            <w:tcW w:w="648" w:type="dxa"/>
            <w:vAlign w:val="top"/>
          </w:tcPr>
          <w:p w14:paraId="51CEAEC9">
            <w:pPr>
              <w:pStyle w:val="6"/>
              <w:spacing w:before="119" w:line="212" w:lineRule="auto"/>
              <w:ind w:left="148"/>
            </w:pPr>
            <w:r>
              <w:rPr>
                <w:spacing w:val="-2"/>
              </w:rPr>
              <w:t>3.83</w:t>
            </w:r>
          </w:p>
        </w:tc>
        <w:tc>
          <w:tcPr>
            <w:tcW w:w="650" w:type="dxa"/>
            <w:vAlign w:val="top"/>
          </w:tcPr>
          <w:p w14:paraId="023983D3">
            <w:pPr>
              <w:pStyle w:val="6"/>
              <w:spacing w:before="119" w:line="212" w:lineRule="auto"/>
              <w:ind w:left="149"/>
            </w:pPr>
            <w:r>
              <w:rPr>
                <w:spacing w:val="-2"/>
              </w:rPr>
              <w:t>0.88</w:t>
            </w:r>
          </w:p>
        </w:tc>
        <w:tc>
          <w:tcPr>
            <w:tcW w:w="873" w:type="dxa"/>
            <w:vAlign w:val="top"/>
          </w:tcPr>
          <w:p w14:paraId="3087F491">
            <w:pPr>
              <w:pStyle w:val="6"/>
              <w:spacing w:before="86" w:line="217" w:lineRule="auto"/>
              <w:ind w:left="66"/>
              <w:rPr>
                <w:sz w:val="14"/>
                <w:szCs w:val="14"/>
              </w:rPr>
            </w:pPr>
            <w:r>
              <w:rPr>
                <w:spacing w:val="-1"/>
              </w:rPr>
              <w:t>2.8</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06FB5100">
            <w:pPr>
              <w:pStyle w:val="6"/>
              <w:spacing w:before="86" w:line="217" w:lineRule="auto"/>
              <w:ind w:left="69"/>
              <w:rPr>
                <w:sz w:val="14"/>
                <w:szCs w:val="14"/>
              </w:rPr>
            </w:pPr>
            <w:r>
              <w:rPr>
                <w:b/>
                <w:bCs/>
                <w:spacing w:val="-1"/>
              </w:rPr>
              <w:t>2.3</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44D14C09">
            <w:pPr>
              <w:pStyle w:val="6"/>
              <w:spacing w:before="119" w:line="212" w:lineRule="auto"/>
              <w:ind w:left="266"/>
            </w:pPr>
            <w:r>
              <w:rPr>
                <w:spacing w:val="-2"/>
              </w:rPr>
              <w:t>7.29</w:t>
            </w:r>
          </w:p>
        </w:tc>
        <w:tc>
          <w:tcPr>
            <w:tcW w:w="883" w:type="dxa"/>
            <w:tcBorders>
              <w:right w:val="single" w:color="000000" w:sz="12" w:space="0"/>
            </w:tcBorders>
            <w:vAlign w:val="top"/>
          </w:tcPr>
          <w:p w14:paraId="2D686B37">
            <w:pPr>
              <w:pStyle w:val="6"/>
              <w:spacing w:before="119" w:line="212" w:lineRule="auto"/>
              <w:ind w:left="261"/>
            </w:pPr>
            <w:r>
              <w:rPr>
                <w:spacing w:val="-1"/>
              </w:rPr>
              <w:t>4.80</w:t>
            </w:r>
          </w:p>
        </w:tc>
      </w:tr>
      <w:tr w14:paraId="0AF48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left w:val="single" w:color="000000" w:sz="12" w:space="0"/>
              <w:bottom w:val="nil"/>
            </w:tcBorders>
            <w:vAlign w:val="top"/>
          </w:tcPr>
          <w:p w14:paraId="28EE3097">
            <w:pPr>
              <w:rPr>
                <w:rFonts w:ascii="Arial"/>
                <w:sz w:val="21"/>
              </w:rPr>
            </w:pPr>
          </w:p>
        </w:tc>
        <w:tc>
          <w:tcPr>
            <w:tcW w:w="283" w:type="dxa"/>
            <w:vMerge w:val="continue"/>
            <w:tcBorders>
              <w:top w:val="nil"/>
              <w:bottom w:val="nil"/>
            </w:tcBorders>
            <w:vAlign w:val="top"/>
          </w:tcPr>
          <w:p w14:paraId="17FC0EEF">
            <w:pPr>
              <w:rPr>
                <w:rFonts w:ascii="Arial"/>
                <w:sz w:val="21"/>
              </w:rPr>
            </w:pPr>
          </w:p>
        </w:tc>
        <w:tc>
          <w:tcPr>
            <w:tcW w:w="1134" w:type="dxa"/>
            <w:vAlign w:val="top"/>
          </w:tcPr>
          <w:p w14:paraId="552951A5">
            <w:pPr>
              <w:pStyle w:val="6"/>
              <w:spacing w:before="122" w:line="209" w:lineRule="auto"/>
              <w:ind w:left="75"/>
            </w:pPr>
            <w:r>
              <w:rPr>
                <w:spacing w:val="-1"/>
              </w:rPr>
              <w:t>2020/11/16</w:t>
            </w:r>
          </w:p>
        </w:tc>
        <w:tc>
          <w:tcPr>
            <w:tcW w:w="648" w:type="dxa"/>
            <w:vAlign w:val="top"/>
          </w:tcPr>
          <w:p w14:paraId="13B26995">
            <w:pPr>
              <w:pStyle w:val="6"/>
              <w:spacing w:before="122" w:line="209" w:lineRule="auto"/>
              <w:ind w:left="132"/>
            </w:pPr>
            <w:r>
              <w:rPr>
                <w:spacing w:val="-2"/>
              </w:rPr>
              <w:t>77.3</w:t>
            </w:r>
          </w:p>
        </w:tc>
        <w:tc>
          <w:tcPr>
            <w:tcW w:w="648" w:type="dxa"/>
            <w:vAlign w:val="top"/>
          </w:tcPr>
          <w:p w14:paraId="3D954070">
            <w:pPr>
              <w:pStyle w:val="6"/>
              <w:spacing w:before="122" w:line="209" w:lineRule="auto"/>
              <w:ind w:left="150"/>
            </w:pPr>
            <w:r>
              <w:rPr>
                <w:spacing w:val="-6"/>
              </w:rPr>
              <w:t>16.3</w:t>
            </w:r>
          </w:p>
        </w:tc>
        <w:tc>
          <w:tcPr>
            <w:tcW w:w="646" w:type="dxa"/>
            <w:vAlign w:val="top"/>
          </w:tcPr>
          <w:p w14:paraId="6F2C4847">
            <w:pPr>
              <w:pStyle w:val="6"/>
              <w:spacing w:before="122" w:line="209" w:lineRule="auto"/>
              <w:ind w:left="157"/>
            </w:pPr>
            <w:r>
              <w:rPr>
                <w:spacing w:val="-1"/>
              </w:rPr>
              <w:t>201</w:t>
            </w:r>
          </w:p>
        </w:tc>
        <w:tc>
          <w:tcPr>
            <w:tcW w:w="651" w:type="dxa"/>
            <w:vAlign w:val="top"/>
          </w:tcPr>
          <w:p w14:paraId="00056B2A">
            <w:pPr>
              <w:pStyle w:val="6"/>
              <w:spacing w:before="122" w:line="209" w:lineRule="auto"/>
              <w:ind w:left="218"/>
            </w:pPr>
            <w:r>
              <w:rPr>
                <w:spacing w:val="-3"/>
              </w:rPr>
              <w:t>62</w:t>
            </w:r>
          </w:p>
        </w:tc>
        <w:tc>
          <w:tcPr>
            <w:tcW w:w="648" w:type="dxa"/>
            <w:vAlign w:val="top"/>
          </w:tcPr>
          <w:p w14:paraId="2CE5C9B4">
            <w:pPr>
              <w:pStyle w:val="6"/>
              <w:spacing w:before="122" w:line="209" w:lineRule="auto"/>
              <w:ind w:left="129"/>
            </w:pPr>
            <w:r>
              <w:rPr>
                <w:spacing w:val="-5"/>
              </w:rPr>
              <w:t>1008</w:t>
            </w:r>
          </w:p>
        </w:tc>
        <w:tc>
          <w:tcPr>
            <w:tcW w:w="650" w:type="dxa"/>
            <w:vAlign w:val="top"/>
          </w:tcPr>
          <w:p w14:paraId="7A215E8C">
            <w:pPr>
              <w:pStyle w:val="6"/>
              <w:spacing w:before="122" w:line="209" w:lineRule="auto"/>
              <w:ind w:left="214"/>
            </w:pPr>
            <w:r>
              <w:rPr>
                <w:spacing w:val="-1"/>
              </w:rPr>
              <w:t>44</w:t>
            </w:r>
          </w:p>
        </w:tc>
        <w:tc>
          <w:tcPr>
            <w:tcW w:w="648" w:type="dxa"/>
            <w:vAlign w:val="top"/>
          </w:tcPr>
          <w:p w14:paraId="79282DEE">
            <w:pPr>
              <w:pStyle w:val="6"/>
              <w:spacing w:before="122" w:line="209" w:lineRule="auto"/>
              <w:ind w:left="184"/>
            </w:pPr>
            <w:r>
              <w:rPr>
                <w:spacing w:val="-6"/>
              </w:rPr>
              <w:t>163</w:t>
            </w:r>
          </w:p>
        </w:tc>
        <w:tc>
          <w:tcPr>
            <w:tcW w:w="650" w:type="dxa"/>
            <w:vAlign w:val="top"/>
          </w:tcPr>
          <w:p w14:paraId="0C25F1F7">
            <w:pPr>
              <w:pStyle w:val="6"/>
              <w:spacing w:before="122" w:line="209" w:lineRule="auto"/>
              <w:ind w:left="91"/>
            </w:pPr>
            <w:r>
              <w:rPr>
                <w:spacing w:val="-2"/>
              </w:rPr>
              <w:t>0.284</w:t>
            </w:r>
          </w:p>
        </w:tc>
        <w:tc>
          <w:tcPr>
            <w:tcW w:w="648" w:type="dxa"/>
            <w:vAlign w:val="top"/>
          </w:tcPr>
          <w:p w14:paraId="345D2D7A">
            <w:pPr>
              <w:pStyle w:val="6"/>
              <w:spacing w:before="122" w:line="209" w:lineRule="auto"/>
              <w:ind w:left="141"/>
            </w:pPr>
            <w:r>
              <w:rPr>
                <w:spacing w:val="-1"/>
              </w:rPr>
              <w:t>2.76</w:t>
            </w:r>
          </w:p>
        </w:tc>
        <w:tc>
          <w:tcPr>
            <w:tcW w:w="650" w:type="dxa"/>
            <w:vAlign w:val="top"/>
          </w:tcPr>
          <w:p w14:paraId="54C69E98">
            <w:pPr>
              <w:pStyle w:val="6"/>
              <w:spacing w:before="126" w:line="205" w:lineRule="auto"/>
              <w:ind w:left="153"/>
            </w:pPr>
            <w:r>
              <w:rPr>
                <w:b/>
                <w:bCs/>
                <w:spacing w:val="-4"/>
              </w:rPr>
              <w:t>1.76</w:t>
            </w:r>
          </w:p>
        </w:tc>
        <w:tc>
          <w:tcPr>
            <w:tcW w:w="648" w:type="dxa"/>
            <w:vAlign w:val="top"/>
          </w:tcPr>
          <w:p w14:paraId="2563F146">
            <w:pPr>
              <w:pStyle w:val="6"/>
              <w:spacing w:before="122" w:line="209" w:lineRule="auto"/>
              <w:ind w:left="148"/>
            </w:pPr>
            <w:r>
              <w:rPr>
                <w:spacing w:val="-3"/>
              </w:rPr>
              <w:t>3.80</w:t>
            </w:r>
          </w:p>
        </w:tc>
        <w:tc>
          <w:tcPr>
            <w:tcW w:w="650" w:type="dxa"/>
            <w:vAlign w:val="top"/>
          </w:tcPr>
          <w:p w14:paraId="133ECA7D">
            <w:pPr>
              <w:pStyle w:val="6"/>
              <w:spacing w:before="122" w:line="209" w:lineRule="auto"/>
              <w:ind w:left="149"/>
            </w:pPr>
            <w:r>
              <w:rPr>
                <w:spacing w:val="-2"/>
              </w:rPr>
              <w:t>0.89</w:t>
            </w:r>
          </w:p>
        </w:tc>
        <w:tc>
          <w:tcPr>
            <w:tcW w:w="873" w:type="dxa"/>
            <w:vAlign w:val="top"/>
          </w:tcPr>
          <w:p w14:paraId="2F5E29D7">
            <w:pPr>
              <w:pStyle w:val="6"/>
              <w:spacing w:before="88" w:line="215" w:lineRule="auto"/>
              <w:ind w:left="66"/>
              <w:rPr>
                <w:sz w:val="14"/>
                <w:szCs w:val="14"/>
              </w:rPr>
            </w:pPr>
            <w:r>
              <w:rPr>
                <w:spacing w:val="-1"/>
              </w:rPr>
              <w:t>2.9</w:t>
            </w:r>
            <w:r>
              <w:rPr>
                <w:rFonts w:ascii="宋体" w:hAnsi="宋体" w:eastAsia="宋体" w:cs="宋体"/>
                <w:spacing w:val="-1"/>
              </w:rPr>
              <w:t>×</w:t>
            </w:r>
            <w:r>
              <w:rPr>
                <w:spacing w:val="-1"/>
              </w:rPr>
              <w:t>10</w:t>
            </w:r>
            <w:r>
              <w:rPr>
                <w:spacing w:val="-1"/>
                <w:position w:val="7"/>
                <w:sz w:val="14"/>
                <w:szCs w:val="14"/>
              </w:rPr>
              <w:t>6</w:t>
            </w:r>
          </w:p>
        </w:tc>
        <w:tc>
          <w:tcPr>
            <w:tcW w:w="872" w:type="dxa"/>
            <w:vAlign w:val="top"/>
          </w:tcPr>
          <w:p w14:paraId="1D32F674">
            <w:pPr>
              <w:pStyle w:val="6"/>
              <w:spacing w:before="88" w:line="215" w:lineRule="auto"/>
              <w:ind w:left="69"/>
              <w:rPr>
                <w:sz w:val="14"/>
                <w:szCs w:val="14"/>
              </w:rPr>
            </w:pPr>
            <w:r>
              <w:rPr>
                <w:b/>
                <w:bCs/>
                <w:spacing w:val="-1"/>
              </w:rPr>
              <w:t>2.4</w:t>
            </w:r>
            <w:r>
              <w:rPr>
                <w:rFonts w:ascii="宋体" w:hAnsi="宋体" w:eastAsia="宋体" w:cs="宋体"/>
                <w:b/>
                <w:bCs/>
                <w:spacing w:val="-1"/>
              </w:rPr>
              <w:t>×</w:t>
            </w:r>
            <w:r>
              <w:rPr>
                <w:b/>
                <w:bCs/>
                <w:spacing w:val="-1"/>
              </w:rPr>
              <w:t>10</w:t>
            </w:r>
            <w:r>
              <w:rPr>
                <w:b/>
                <w:bCs/>
                <w:spacing w:val="-1"/>
                <w:position w:val="6"/>
                <w:sz w:val="14"/>
                <w:szCs w:val="14"/>
              </w:rPr>
              <w:t>5</w:t>
            </w:r>
          </w:p>
        </w:tc>
        <w:tc>
          <w:tcPr>
            <w:tcW w:w="872" w:type="dxa"/>
            <w:vAlign w:val="top"/>
          </w:tcPr>
          <w:p w14:paraId="40457BFB">
            <w:pPr>
              <w:pStyle w:val="6"/>
              <w:spacing w:before="122" w:line="209" w:lineRule="auto"/>
              <w:ind w:left="266"/>
            </w:pPr>
            <w:r>
              <w:rPr>
                <w:spacing w:val="-2"/>
              </w:rPr>
              <w:t>7.34</w:t>
            </w:r>
          </w:p>
        </w:tc>
        <w:tc>
          <w:tcPr>
            <w:tcW w:w="883" w:type="dxa"/>
            <w:tcBorders>
              <w:right w:val="single" w:color="000000" w:sz="12" w:space="0"/>
            </w:tcBorders>
            <w:vAlign w:val="top"/>
          </w:tcPr>
          <w:p w14:paraId="3E5A9B61">
            <w:pPr>
              <w:pStyle w:val="6"/>
              <w:spacing w:before="122" w:line="209" w:lineRule="auto"/>
              <w:ind w:left="261"/>
            </w:pPr>
            <w:r>
              <w:rPr>
                <w:spacing w:val="-1"/>
              </w:rPr>
              <w:t>4.85</w:t>
            </w:r>
          </w:p>
        </w:tc>
      </w:tr>
      <w:tr w14:paraId="6DCF5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704" w:type="dxa"/>
            <w:vMerge w:val="continue"/>
            <w:tcBorders>
              <w:top w:val="nil"/>
              <w:left w:val="single" w:color="000000" w:sz="12" w:space="0"/>
              <w:bottom w:val="single" w:color="000000" w:sz="12" w:space="0"/>
            </w:tcBorders>
            <w:vAlign w:val="top"/>
          </w:tcPr>
          <w:p w14:paraId="2F026381">
            <w:pPr>
              <w:rPr>
                <w:rFonts w:ascii="Arial"/>
                <w:sz w:val="21"/>
              </w:rPr>
            </w:pPr>
          </w:p>
        </w:tc>
        <w:tc>
          <w:tcPr>
            <w:tcW w:w="283" w:type="dxa"/>
            <w:vMerge w:val="continue"/>
            <w:tcBorders>
              <w:top w:val="nil"/>
              <w:bottom w:val="single" w:color="000000" w:sz="12" w:space="0"/>
            </w:tcBorders>
            <w:vAlign w:val="top"/>
          </w:tcPr>
          <w:p w14:paraId="4644517C">
            <w:pPr>
              <w:rPr>
                <w:rFonts w:ascii="Arial"/>
                <w:sz w:val="21"/>
              </w:rPr>
            </w:pPr>
          </w:p>
        </w:tc>
        <w:tc>
          <w:tcPr>
            <w:tcW w:w="1134" w:type="dxa"/>
            <w:tcBorders>
              <w:bottom w:val="single" w:color="000000" w:sz="12" w:space="0"/>
            </w:tcBorders>
            <w:vAlign w:val="top"/>
          </w:tcPr>
          <w:p w14:paraId="5A3A7331">
            <w:pPr>
              <w:pStyle w:val="6"/>
              <w:spacing w:before="124" w:line="231" w:lineRule="auto"/>
              <w:ind w:left="75"/>
            </w:pPr>
            <w:r>
              <w:rPr>
                <w:spacing w:val="-1"/>
              </w:rPr>
              <w:t>2020/11/17</w:t>
            </w:r>
          </w:p>
        </w:tc>
        <w:tc>
          <w:tcPr>
            <w:tcW w:w="648" w:type="dxa"/>
            <w:tcBorders>
              <w:bottom w:val="single" w:color="000000" w:sz="12" w:space="0"/>
            </w:tcBorders>
            <w:vAlign w:val="top"/>
          </w:tcPr>
          <w:p w14:paraId="2A5F1C56">
            <w:pPr>
              <w:pStyle w:val="6"/>
              <w:spacing w:before="124" w:line="231" w:lineRule="auto"/>
              <w:ind w:left="132"/>
            </w:pPr>
            <w:r>
              <w:rPr>
                <w:spacing w:val="-2"/>
              </w:rPr>
              <w:t>78.8</w:t>
            </w:r>
          </w:p>
        </w:tc>
        <w:tc>
          <w:tcPr>
            <w:tcW w:w="648" w:type="dxa"/>
            <w:tcBorders>
              <w:bottom w:val="single" w:color="000000" w:sz="12" w:space="0"/>
            </w:tcBorders>
            <w:vAlign w:val="top"/>
          </w:tcPr>
          <w:p w14:paraId="6BF61368">
            <w:pPr>
              <w:pStyle w:val="6"/>
              <w:spacing w:before="124" w:line="231" w:lineRule="auto"/>
              <w:ind w:left="150"/>
            </w:pPr>
            <w:r>
              <w:rPr>
                <w:spacing w:val="-6"/>
              </w:rPr>
              <w:t>17.6</w:t>
            </w:r>
          </w:p>
        </w:tc>
        <w:tc>
          <w:tcPr>
            <w:tcW w:w="646" w:type="dxa"/>
            <w:tcBorders>
              <w:bottom w:val="single" w:color="000000" w:sz="12" w:space="0"/>
            </w:tcBorders>
            <w:vAlign w:val="top"/>
          </w:tcPr>
          <w:p w14:paraId="7174D7AF">
            <w:pPr>
              <w:pStyle w:val="6"/>
              <w:spacing w:before="124" w:line="231" w:lineRule="auto"/>
              <w:ind w:left="157"/>
            </w:pPr>
            <w:r>
              <w:rPr>
                <w:spacing w:val="-1"/>
              </w:rPr>
              <w:t>205</w:t>
            </w:r>
          </w:p>
        </w:tc>
        <w:tc>
          <w:tcPr>
            <w:tcW w:w="651" w:type="dxa"/>
            <w:tcBorders>
              <w:bottom w:val="single" w:color="000000" w:sz="12" w:space="0"/>
            </w:tcBorders>
            <w:vAlign w:val="top"/>
          </w:tcPr>
          <w:p w14:paraId="1C7F0DCD">
            <w:pPr>
              <w:pStyle w:val="6"/>
              <w:spacing w:before="124" w:line="231" w:lineRule="auto"/>
              <w:ind w:left="218"/>
            </w:pPr>
            <w:r>
              <w:rPr>
                <w:spacing w:val="-3"/>
              </w:rPr>
              <w:t>67</w:t>
            </w:r>
          </w:p>
        </w:tc>
        <w:tc>
          <w:tcPr>
            <w:tcW w:w="648" w:type="dxa"/>
            <w:tcBorders>
              <w:bottom w:val="single" w:color="000000" w:sz="12" w:space="0"/>
            </w:tcBorders>
            <w:vAlign w:val="top"/>
          </w:tcPr>
          <w:p w14:paraId="3A6FF44C">
            <w:pPr>
              <w:pStyle w:val="6"/>
              <w:spacing w:before="124" w:line="231" w:lineRule="auto"/>
              <w:ind w:left="129"/>
            </w:pPr>
            <w:r>
              <w:rPr>
                <w:spacing w:val="-5"/>
              </w:rPr>
              <w:t>1096</w:t>
            </w:r>
          </w:p>
        </w:tc>
        <w:tc>
          <w:tcPr>
            <w:tcW w:w="650" w:type="dxa"/>
            <w:tcBorders>
              <w:bottom w:val="single" w:color="000000" w:sz="12" w:space="0"/>
            </w:tcBorders>
            <w:vAlign w:val="top"/>
          </w:tcPr>
          <w:p w14:paraId="1BAA1D91">
            <w:pPr>
              <w:pStyle w:val="6"/>
              <w:spacing w:before="124" w:line="231" w:lineRule="auto"/>
              <w:ind w:left="220"/>
            </w:pPr>
            <w:r>
              <w:rPr>
                <w:spacing w:val="-3"/>
              </w:rPr>
              <w:t>39</w:t>
            </w:r>
          </w:p>
        </w:tc>
        <w:tc>
          <w:tcPr>
            <w:tcW w:w="648" w:type="dxa"/>
            <w:tcBorders>
              <w:bottom w:val="single" w:color="000000" w:sz="12" w:space="0"/>
            </w:tcBorders>
            <w:vAlign w:val="top"/>
          </w:tcPr>
          <w:p w14:paraId="50467A11">
            <w:pPr>
              <w:pStyle w:val="6"/>
              <w:spacing w:before="124" w:line="231" w:lineRule="auto"/>
              <w:ind w:left="184"/>
            </w:pPr>
            <w:r>
              <w:rPr>
                <w:spacing w:val="-6"/>
              </w:rPr>
              <w:t>181</w:t>
            </w:r>
          </w:p>
        </w:tc>
        <w:tc>
          <w:tcPr>
            <w:tcW w:w="650" w:type="dxa"/>
            <w:tcBorders>
              <w:bottom w:val="single" w:color="000000" w:sz="12" w:space="0"/>
            </w:tcBorders>
            <w:vAlign w:val="top"/>
          </w:tcPr>
          <w:p w14:paraId="5D766C3F">
            <w:pPr>
              <w:pStyle w:val="6"/>
              <w:spacing w:before="124" w:line="231" w:lineRule="auto"/>
              <w:ind w:left="91"/>
            </w:pPr>
            <w:r>
              <w:rPr>
                <w:spacing w:val="-2"/>
              </w:rPr>
              <w:t>0.297</w:t>
            </w:r>
          </w:p>
        </w:tc>
        <w:tc>
          <w:tcPr>
            <w:tcW w:w="648" w:type="dxa"/>
            <w:tcBorders>
              <w:bottom w:val="single" w:color="000000" w:sz="12" w:space="0"/>
            </w:tcBorders>
            <w:vAlign w:val="top"/>
          </w:tcPr>
          <w:p w14:paraId="5AE67F0D">
            <w:pPr>
              <w:pStyle w:val="6"/>
              <w:spacing w:before="124" w:line="231" w:lineRule="auto"/>
              <w:ind w:left="141"/>
            </w:pPr>
            <w:r>
              <w:rPr>
                <w:spacing w:val="-1"/>
              </w:rPr>
              <w:t>2.88</w:t>
            </w:r>
          </w:p>
        </w:tc>
        <w:tc>
          <w:tcPr>
            <w:tcW w:w="650" w:type="dxa"/>
            <w:tcBorders>
              <w:bottom w:val="single" w:color="000000" w:sz="12" w:space="0"/>
            </w:tcBorders>
            <w:vAlign w:val="top"/>
          </w:tcPr>
          <w:p w14:paraId="2320F366">
            <w:pPr>
              <w:pStyle w:val="6"/>
              <w:spacing w:before="128" w:line="227" w:lineRule="auto"/>
              <w:ind w:left="153"/>
            </w:pPr>
            <w:r>
              <w:rPr>
                <w:b/>
                <w:bCs/>
                <w:spacing w:val="-4"/>
              </w:rPr>
              <w:t>1.82</w:t>
            </w:r>
          </w:p>
        </w:tc>
        <w:tc>
          <w:tcPr>
            <w:tcW w:w="648" w:type="dxa"/>
            <w:tcBorders>
              <w:bottom w:val="single" w:color="000000" w:sz="12" w:space="0"/>
            </w:tcBorders>
            <w:vAlign w:val="top"/>
          </w:tcPr>
          <w:p w14:paraId="7FAD8BED">
            <w:pPr>
              <w:pStyle w:val="6"/>
              <w:spacing w:before="124" w:line="231" w:lineRule="auto"/>
              <w:ind w:left="148"/>
            </w:pPr>
            <w:r>
              <w:rPr>
                <w:spacing w:val="-2"/>
              </w:rPr>
              <w:t>3.89</w:t>
            </w:r>
          </w:p>
        </w:tc>
        <w:tc>
          <w:tcPr>
            <w:tcW w:w="650" w:type="dxa"/>
            <w:tcBorders>
              <w:bottom w:val="single" w:color="000000" w:sz="12" w:space="0"/>
            </w:tcBorders>
            <w:vAlign w:val="top"/>
          </w:tcPr>
          <w:p w14:paraId="5E070AFD">
            <w:pPr>
              <w:pStyle w:val="6"/>
              <w:spacing w:before="124" w:line="231" w:lineRule="auto"/>
              <w:ind w:left="149"/>
            </w:pPr>
            <w:r>
              <w:rPr>
                <w:spacing w:val="-2"/>
              </w:rPr>
              <w:t>0.86</w:t>
            </w:r>
          </w:p>
        </w:tc>
        <w:tc>
          <w:tcPr>
            <w:tcW w:w="873" w:type="dxa"/>
            <w:tcBorders>
              <w:bottom w:val="single" w:color="000000" w:sz="12" w:space="0"/>
            </w:tcBorders>
            <w:vAlign w:val="top"/>
          </w:tcPr>
          <w:p w14:paraId="5BD4A3BA">
            <w:pPr>
              <w:pStyle w:val="6"/>
              <w:spacing w:before="90" w:line="234" w:lineRule="auto"/>
              <w:ind w:left="71"/>
              <w:rPr>
                <w:sz w:val="14"/>
                <w:szCs w:val="14"/>
              </w:rPr>
            </w:pPr>
            <w:r>
              <w:rPr>
                <w:spacing w:val="-2"/>
              </w:rPr>
              <w:t>3.0</w:t>
            </w:r>
            <w:r>
              <w:rPr>
                <w:rFonts w:ascii="宋体" w:hAnsi="宋体" w:eastAsia="宋体" w:cs="宋体"/>
                <w:spacing w:val="-2"/>
              </w:rPr>
              <w:t>×</w:t>
            </w:r>
            <w:r>
              <w:rPr>
                <w:spacing w:val="-2"/>
              </w:rPr>
              <w:t>10</w:t>
            </w:r>
            <w:r>
              <w:rPr>
                <w:spacing w:val="-2"/>
                <w:position w:val="7"/>
                <w:sz w:val="14"/>
                <w:szCs w:val="14"/>
              </w:rPr>
              <w:t>6</w:t>
            </w:r>
          </w:p>
        </w:tc>
        <w:tc>
          <w:tcPr>
            <w:tcW w:w="872" w:type="dxa"/>
            <w:tcBorders>
              <w:bottom w:val="single" w:color="000000" w:sz="12" w:space="0"/>
            </w:tcBorders>
            <w:vAlign w:val="top"/>
          </w:tcPr>
          <w:p w14:paraId="7D95F63D">
            <w:pPr>
              <w:pStyle w:val="6"/>
              <w:spacing w:before="90" w:line="234" w:lineRule="auto"/>
              <w:ind w:left="69"/>
              <w:rPr>
                <w:sz w:val="14"/>
                <w:szCs w:val="14"/>
              </w:rPr>
            </w:pPr>
            <w:r>
              <w:rPr>
                <w:b/>
                <w:bCs/>
                <w:spacing w:val="-1"/>
              </w:rPr>
              <w:t>2.2</w:t>
            </w:r>
            <w:r>
              <w:rPr>
                <w:rFonts w:ascii="宋体" w:hAnsi="宋体" w:eastAsia="宋体" w:cs="宋体"/>
                <w:b/>
                <w:bCs/>
                <w:spacing w:val="-1"/>
              </w:rPr>
              <w:t>×</w:t>
            </w:r>
            <w:r>
              <w:rPr>
                <w:b/>
                <w:bCs/>
                <w:spacing w:val="-1"/>
              </w:rPr>
              <w:t>10</w:t>
            </w:r>
            <w:r>
              <w:rPr>
                <w:b/>
                <w:bCs/>
                <w:spacing w:val="-1"/>
                <w:position w:val="6"/>
                <w:sz w:val="14"/>
                <w:szCs w:val="14"/>
              </w:rPr>
              <w:t>5</w:t>
            </w:r>
          </w:p>
        </w:tc>
        <w:tc>
          <w:tcPr>
            <w:tcW w:w="872" w:type="dxa"/>
            <w:tcBorders>
              <w:bottom w:val="single" w:color="000000" w:sz="12" w:space="0"/>
            </w:tcBorders>
            <w:vAlign w:val="top"/>
          </w:tcPr>
          <w:p w14:paraId="53FFAF2C">
            <w:pPr>
              <w:pStyle w:val="6"/>
              <w:spacing w:before="124" w:line="231" w:lineRule="auto"/>
              <w:ind w:left="266"/>
            </w:pPr>
            <w:r>
              <w:rPr>
                <w:spacing w:val="-2"/>
              </w:rPr>
              <w:t>7.27</w:t>
            </w:r>
          </w:p>
        </w:tc>
        <w:tc>
          <w:tcPr>
            <w:tcW w:w="883" w:type="dxa"/>
            <w:tcBorders>
              <w:bottom w:val="single" w:color="000000" w:sz="12" w:space="0"/>
              <w:right w:val="single" w:color="000000" w:sz="12" w:space="0"/>
            </w:tcBorders>
            <w:vAlign w:val="top"/>
          </w:tcPr>
          <w:p w14:paraId="18A564E0">
            <w:pPr>
              <w:pStyle w:val="6"/>
              <w:spacing w:before="124" w:line="231" w:lineRule="auto"/>
              <w:ind w:left="261"/>
            </w:pPr>
            <w:r>
              <w:rPr>
                <w:spacing w:val="-1"/>
              </w:rPr>
              <w:t>4.77</w:t>
            </w:r>
          </w:p>
        </w:tc>
      </w:tr>
    </w:tbl>
    <w:p w14:paraId="62A36510">
      <w:pPr>
        <w:spacing w:line="252" w:lineRule="auto"/>
        <w:rPr>
          <w:rFonts w:ascii="Arial"/>
          <w:sz w:val="21"/>
        </w:rPr>
      </w:pPr>
    </w:p>
    <w:p w14:paraId="1787C622">
      <w:pPr>
        <w:spacing w:line="253" w:lineRule="auto"/>
        <w:rPr>
          <w:rFonts w:ascii="Arial"/>
          <w:sz w:val="21"/>
        </w:rPr>
      </w:pPr>
    </w:p>
    <w:p w14:paraId="2B534509">
      <w:pPr>
        <w:pStyle w:val="2"/>
        <w:spacing w:before="78" w:line="212"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5.1-6                                                          2</w:t>
      </w:r>
      <w:r>
        <w:rPr>
          <w:rFonts w:ascii="Times New Roman" w:hAnsi="Times New Roman" w:eastAsia="Times New Roman" w:cs="Times New Roman"/>
          <w:b/>
          <w:bCs/>
          <w:spacing w:val="-1"/>
          <w:sz w:val="24"/>
          <w:szCs w:val="24"/>
        </w:rPr>
        <w:t xml:space="preserve">021 </w:t>
      </w:r>
      <w:r>
        <w:rPr>
          <w:b/>
          <w:bCs/>
          <w:spacing w:val="-1"/>
          <w:sz w:val="24"/>
          <w:szCs w:val="24"/>
        </w:rPr>
        <w:t>年施工期生活污水监测情况</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r>
        <w:rPr>
          <w:b/>
          <w:bCs/>
          <w:spacing w:val="-1"/>
          <w:sz w:val="24"/>
          <w:szCs w:val="24"/>
        </w:rPr>
        <w:t>（</w:t>
      </w:r>
      <w:r>
        <w:rPr>
          <w:rFonts w:ascii="Times New Roman" w:hAnsi="Times New Roman" w:eastAsia="Times New Roman" w:cs="Times New Roman"/>
          <w:b/>
          <w:bCs/>
          <w:spacing w:val="-1"/>
          <w:sz w:val="24"/>
          <w:szCs w:val="24"/>
        </w:rPr>
        <w:t>pH</w:t>
      </w:r>
      <w:r>
        <w:rPr>
          <w:rFonts w:ascii="Times New Roman" w:hAnsi="Times New Roman" w:eastAsia="Times New Roman" w:cs="Times New Roman"/>
          <w:b/>
          <w:bCs/>
          <w:spacing w:val="12"/>
          <w:sz w:val="24"/>
          <w:szCs w:val="24"/>
        </w:rPr>
        <w:t xml:space="preserve"> </w:t>
      </w:r>
      <w:r>
        <w:rPr>
          <w:b/>
          <w:bCs/>
          <w:spacing w:val="-1"/>
          <w:sz w:val="24"/>
          <w:szCs w:val="24"/>
        </w:rPr>
        <w:t>无量纲）</w:t>
      </w:r>
    </w:p>
    <w:p w14:paraId="489E78B9">
      <w:pPr>
        <w:spacing w:line="17" w:lineRule="exact"/>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3"/>
        <w:gridCol w:w="283"/>
        <w:gridCol w:w="987"/>
        <w:gridCol w:w="648"/>
        <w:gridCol w:w="650"/>
        <w:gridCol w:w="648"/>
        <w:gridCol w:w="651"/>
        <w:gridCol w:w="646"/>
        <w:gridCol w:w="651"/>
        <w:gridCol w:w="648"/>
        <w:gridCol w:w="650"/>
        <w:gridCol w:w="648"/>
        <w:gridCol w:w="650"/>
        <w:gridCol w:w="648"/>
        <w:gridCol w:w="650"/>
        <w:gridCol w:w="836"/>
        <w:gridCol w:w="834"/>
        <w:gridCol w:w="836"/>
        <w:gridCol w:w="849"/>
      </w:tblGrid>
      <w:tr w14:paraId="66A79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993" w:type="dxa"/>
            <w:vMerge w:val="restart"/>
            <w:tcBorders>
              <w:top w:val="single" w:color="000000" w:sz="12" w:space="0"/>
              <w:left w:val="single" w:color="000000" w:sz="12" w:space="0"/>
              <w:bottom w:val="nil"/>
            </w:tcBorders>
            <w:vAlign w:val="top"/>
          </w:tcPr>
          <w:p w14:paraId="2E11CFEF">
            <w:pPr>
              <w:spacing w:line="297" w:lineRule="auto"/>
              <w:rPr>
                <w:rFonts w:ascii="Arial"/>
                <w:sz w:val="21"/>
              </w:rPr>
            </w:pPr>
          </w:p>
          <w:p w14:paraId="19FB3D85">
            <w:pPr>
              <w:spacing w:before="68" w:line="221" w:lineRule="auto"/>
              <w:ind w:left="63"/>
              <w:rPr>
                <w:rFonts w:ascii="宋体" w:hAnsi="宋体" w:eastAsia="宋体" w:cs="宋体"/>
                <w:sz w:val="21"/>
                <w:szCs w:val="21"/>
              </w:rPr>
            </w:pPr>
            <w:r>
              <w:rPr>
                <w:rFonts w:ascii="宋体" w:hAnsi="宋体" w:eastAsia="宋体" w:cs="宋体"/>
                <w:spacing w:val="-2"/>
                <w:sz w:val="21"/>
                <w:szCs w:val="21"/>
              </w:rPr>
              <w:t>监测点位</w:t>
            </w:r>
          </w:p>
        </w:tc>
        <w:tc>
          <w:tcPr>
            <w:tcW w:w="1270" w:type="dxa"/>
            <w:gridSpan w:val="2"/>
            <w:vMerge w:val="restart"/>
            <w:tcBorders>
              <w:top w:val="single" w:color="000000" w:sz="12" w:space="0"/>
              <w:bottom w:val="nil"/>
            </w:tcBorders>
            <w:vAlign w:val="top"/>
          </w:tcPr>
          <w:p w14:paraId="0F399920">
            <w:pPr>
              <w:spacing w:line="297" w:lineRule="auto"/>
              <w:rPr>
                <w:rFonts w:ascii="Arial"/>
                <w:sz w:val="21"/>
              </w:rPr>
            </w:pPr>
          </w:p>
          <w:p w14:paraId="44D192A0">
            <w:pPr>
              <w:spacing w:before="68" w:line="221" w:lineRule="auto"/>
              <w:ind w:left="206"/>
              <w:rPr>
                <w:rFonts w:ascii="宋体" w:hAnsi="宋体" w:eastAsia="宋体" w:cs="宋体"/>
                <w:sz w:val="21"/>
                <w:szCs w:val="21"/>
              </w:rPr>
            </w:pPr>
            <w:r>
              <w:rPr>
                <w:rFonts w:ascii="宋体" w:hAnsi="宋体" w:eastAsia="宋体" w:cs="宋体"/>
                <w:spacing w:val="-2"/>
                <w:sz w:val="21"/>
                <w:szCs w:val="21"/>
              </w:rPr>
              <w:t>监测时间</w:t>
            </w:r>
          </w:p>
        </w:tc>
        <w:tc>
          <w:tcPr>
            <w:tcW w:w="1298" w:type="dxa"/>
            <w:gridSpan w:val="2"/>
            <w:tcBorders>
              <w:top w:val="single" w:color="000000" w:sz="12" w:space="0"/>
            </w:tcBorders>
            <w:vAlign w:val="top"/>
          </w:tcPr>
          <w:p w14:paraId="2F232A9C">
            <w:pPr>
              <w:pStyle w:val="6"/>
              <w:spacing w:before="232" w:line="225" w:lineRule="auto"/>
              <w:ind w:left="381"/>
              <w:rPr>
                <w:sz w:val="14"/>
                <w:szCs w:val="14"/>
              </w:rPr>
            </w:pPr>
            <w:r>
              <w:rPr>
                <w:spacing w:val="-1"/>
              </w:rPr>
              <w:t>BOD</w:t>
            </w:r>
            <w:r>
              <w:rPr>
                <w:spacing w:val="-1"/>
                <w:position w:val="-1"/>
                <w:sz w:val="14"/>
                <w:szCs w:val="14"/>
              </w:rPr>
              <w:t>5</w:t>
            </w:r>
          </w:p>
        </w:tc>
        <w:tc>
          <w:tcPr>
            <w:tcW w:w="1299" w:type="dxa"/>
            <w:gridSpan w:val="2"/>
            <w:tcBorders>
              <w:top w:val="single" w:color="000000" w:sz="12" w:space="0"/>
            </w:tcBorders>
            <w:vAlign w:val="top"/>
          </w:tcPr>
          <w:p w14:paraId="708EB866">
            <w:pPr>
              <w:pStyle w:val="6"/>
              <w:spacing w:before="232" w:line="186" w:lineRule="auto"/>
              <w:ind w:left="422"/>
            </w:pPr>
            <w:r>
              <w:rPr>
                <w:spacing w:val="-2"/>
              </w:rPr>
              <w:t>COD</w:t>
            </w:r>
          </w:p>
        </w:tc>
        <w:tc>
          <w:tcPr>
            <w:tcW w:w="1297" w:type="dxa"/>
            <w:gridSpan w:val="2"/>
            <w:tcBorders>
              <w:top w:val="single" w:color="000000" w:sz="12" w:space="0"/>
            </w:tcBorders>
            <w:vAlign w:val="top"/>
          </w:tcPr>
          <w:p w14:paraId="2156D20D">
            <w:pPr>
              <w:pStyle w:val="6"/>
              <w:spacing w:before="232" w:line="186" w:lineRule="auto"/>
              <w:ind w:left="534"/>
            </w:pPr>
            <w:r>
              <w:rPr>
                <w:spacing w:val="-4"/>
              </w:rPr>
              <w:t>SS</w:t>
            </w:r>
          </w:p>
        </w:tc>
        <w:tc>
          <w:tcPr>
            <w:tcW w:w="1298" w:type="dxa"/>
            <w:gridSpan w:val="2"/>
            <w:tcBorders>
              <w:top w:val="single" w:color="000000" w:sz="12" w:space="0"/>
            </w:tcBorders>
            <w:vAlign w:val="top"/>
          </w:tcPr>
          <w:p w14:paraId="449099D2">
            <w:pPr>
              <w:pStyle w:val="6"/>
              <w:spacing w:before="235" w:line="222" w:lineRule="auto"/>
              <w:ind w:left="344"/>
            </w:pPr>
            <w:r>
              <w:t>NH</w:t>
            </w:r>
            <w:r>
              <w:rPr>
                <w:position w:val="-1"/>
                <w:sz w:val="14"/>
                <w:szCs w:val="14"/>
              </w:rPr>
              <w:t>3</w:t>
            </w:r>
            <w:r>
              <w:t>-N</w:t>
            </w:r>
          </w:p>
        </w:tc>
        <w:tc>
          <w:tcPr>
            <w:tcW w:w="1298" w:type="dxa"/>
            <w:gridSpan w:val="2"/>
            <w:tcBorders>
              <w:top w:val="single" w:color="000000" w:sz="12" w:space="0"/>
            </w:tcBorders>
            <w:vAlign w:val="top"/>
          </w:tcPr>
          <w:p w14:paraId="3D987D97">
            <w:pPr>
              <w:pStyle w:val="6"/>
              <w:spacing w:before="235" w:line="183" w:lineRule="auto"/>
              <w:ind w:left="531"/>
            </w:pPr>
            <w:r>
              <w:rPr>
                <w:spacing w:val="-2"/>
              </w:rPr>
              <w:t>TP</w:t>
            </w:r>
          </w:p>
        </w:tc>
        <w:tc>
          <w:tcPr>
            <w:tcW w:w="1298" w:type="dxa"/>
            <w:gridSpan w:val="2"/>
            <w:tcBorders>
              <w:top w:val="single" w:color="000000" w:sz="12" w:space="0"/>
            </w:tcBorders>
            <w:vAlign w:val="top"/>
          </w:tcPr>
          <w:p w14:paraId="01CFE59A">
            <w:pPr>
              <w:spacing w:before="194" w:line="220" w:lineRule="auto"/>
              <w:ind w:left="239"/>
              <w:rPr>
                <w:rFonts w:ascii="宋体" w:hAnsi="宋体" w:eastAsia="宋体" w:cs="宋体"/>
                <w:sz w:val="21"/>
                <w:szCs w:val="21"/>
              </w:rPr>
            </w:pPr>
            <w:r>
              <w:rPr>
                <w:rFonts w:ascii="宋体" w:hAnsi="宋体" w:eastAsia="宋体" w:cs="宋体"/>
                <w:spacing w:val="-2"/>
                <w:sz w:val="21"/>
                <w:szCs w:val="21"/>
              </w:rPr>
              <w:t>动植物油</w:t>
            </w:r>
          </w:p>
        </w:tc>
        <w:tc>
          <w:tcPr>
            <w:tcW w:w="1670" w:type="dxa"/>
            <w:gridSpan w:val="2"/>
            <w:tcBorders>
              <w:top w:val="single" w:color="000000" w:sz="12" w:space="0"/>
            </w:tcBorders>
            <w:vAlign w:val="top"/>
          </w:tcPr>
          <w:p w14:paraId="014BBC05">
            <w:pPr>
              <w:spacing w:before="194" w:line="220" w:lineRule="auto"/>
              <w:ind w:left="323"/>
              <w:rPr>
                <w:rFonts w:ascii="宋体" w:hAnsi="宋体" w:eastAsia="宋体" w:cs="宋体"/>
                <w:sz w:val="21"/>
                <w:szCs w:val="21"/>
              </w:rPr>
            </w:pPr>
            <w:r>
              <w:rPr>
                <w:rFonts w:ascii="宋体" w:hAnsi="宋体" w:eastAsia="宋体" w:cs="宋体"/>
                <w:spacing w:val="-2"/>
                <w:sz w:val="21"/>
                <w:szCs w:val="21"/>
              </w:rPr>
              <w:t>粪大肠菌群</w:t>
            </w:r>
          </w:p>
        </w:tc>
        <w:tc>
          <w:tcPr>
            <w:tcW w:w="1685" w:type="dxa"/>
            <w:gridSpan w:val="2"/>
            <w:tcBorders>
              <w:top w:val="single" w:color="000000" w:sz="12" w:space="0"/>
              <w:right w:val="single" w:color="000000" w:sz="12" w:space="0"/>
            </w:tcBorders>
            <w:vAlign w:val="top"/>
          </w:tcPr>
          <w:p w14:paraId="6FA9F6DB">
            <w:pPr>
              <w:spacing w:before="57" w:line="233" w:lineRule="auto"/>
              <w:ind w:left="745" w:right="87" w:hanging="614"/>
              <w:rPr>
                <w:rFonts w:ascii="宋体" w:hAnsi="宋体" w:eastAsia="宋体" w:cs="宋体"/>
                <w:sz w:val="21"/>
                <w:szCs w:val="21"/>
              </w:rPr>
            </w:pPr>
            <w:r>
              <w:rPr>
                <w:rFonts w:ascii="宋体" w:hAnsi="宋体" w:eastAsia="宋体" w:cs="宋体"/>
                <w:spacing w:val="-4"/>
                <w:sz w:val="21"/>
                <w:szCs w:val="21"/>
              </w:rPr>
              <w:t>阴离子表面活性</w:t>
            </w:r>
            <w:r>
              <w:rPr>
                <w:rFonts w:ascii="宋体" w:hAnsi="宋体" w:eastAsia="宋体" w:cs="宋体"/>
                <w:sz w:val="21"/>
                <w:szCs w:val="21"/>
              </w:rPr>
              <w:t>剂</w:t>
            </w:r>
          </w:p>
        </w:tc>
      </w:tr>
      <w:tr w14:paraId="2000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993" w:type="dxa"/>
            <w:vMerge w:val="continue"/>
            <w:tcBorders>
              <w:top w:val="nil"/>
              <w:left w:val="single" w:color="000000" w:sz="12" w:space="0"/>
            </w:tcBorders>
            <w:vAlign w:val="top"/>
          </w:tcPr>
          <w:p w14:paraId="40238395">
            <w:pPr>
              <w:rPr>
                <w:rFonts w:ascii="Arial"/>
                <w:sz w:val="21"/>
              </w:rPr>
            </w:pPr>
          </w:p>
        </w:tc>
        <w:tc>
          <w:tcPr>
            <w:tcW w:w="1270" w:type="dxa"/>
            <w:gridSpan w:val="2"/>
            <w:vMerge w:val="continue"/>
            <w:tcBorders>
              <w:top w:val="nil"/>
            </w:tcBorders>
            <w:vAlign w:val="top"/>
          </w:tcPr>
          <w:p w14:paraId="29204DD1">
            <w:pPr>
              <w:rPr>
                <w:rFonts w:ascii="Arial"/>
                <w:sz w:val="21"/>
              </w:rPr>
            </w:pPr>
          </w:p>
        </w:tc>
        <w:tc>
          <w:tcPr>
            <w:tcW w:w="648" w:type="dxa"/>
            <w:vAlign w:val="top"/>
          </w:tcPr>
          <w:p w14:paraId="35A9AF5E">
            <w:pPr>
              <w:spacing w:before="66" w:line="222" w:lineRule="auto"/>
              <w:ind w:left="104"/>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27C2A702">
            <w:pPr>
              <w:spacing w:before="66" w:line="222" w:lineRule="auto"/>
              <w:ind w:left="126"/>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389E208D">
            <w:pPr>
              <w:spacing w:before="66" w:line="222" w:lineRule="auto"/>
              <w:ind w:left="107"/>
              <w:rPr>
                <w:rFonts w:ascii="宋体" w:hAnsi="宋体" w:eastAsia="宋体" w:cs="宋体"/>
                <w:sz w:val="21"/>
                <w:szCs w:val="21"/>
              </w:rPr>
            </w:pPr>
            <w:r>
              <w:rPr>
                <w:rFonts w:ascii="宋体" w:hAnsi="宋体" w:eastAsia="宋体" w:cs="宋体"/>
                <w:spacing w:val="-2"/>
                <w:sz w:val="21"/>
                <w:szCs w:val="21"/>
              </w:rPr>
              <w:t>进口</w:t>
            </w:r>
          </w:p>
        </w:tc>
        <w:tc>
          <w:tcPr>
            <w:tcW w:w="651" w:type="dxa"/>
            <w:vAlign w:val="top"/>
          </w:tcPr>
          <w:p w14:paraId="32C349C5">
            <w:pPr>
              <w:spacing w:before="66" w:line="222" w:lineRule="auto"/>
              <w:ind w:left="129"/>
              <w:rPr>
                <w:rFonts w:ascii="宋体" w:hAnsi="宋体" w:eastAsia="宋体" w:cs="宋体"/>
                <w:sz w:val="21"/>
                <w:szCs w:val="21"/>
              </w:rPr>
            </w:pPr>
            <w:r>
              <w:rPr>
                <w:rFonts w:ascii="宋体" w:hAnsi="宋体" w:eastAsia="宋体" w:cs="宋体"/>
                <w:spacing w:val="-7"/>
                <w:sz w:val="21"/>
                <w:szCs w:val="21"/>
              </w:rPr>
              <w:t>出口</w:t>
            </w:r>
          </w:p>
        </w:tc>
        <w:tc>
          <w:tcPr>
            <w:tcW w:w="646" w:type="dxa"/>
            <w:vAlign w:val="top"/>
          </w:tcPr>
          <w:p w14:paraId="0099BBB3">
            <w:pPr>
              <w:spacing w:before="66" w:line="222" w:lineRule="auto"/>
              <w:ind w:left="109"/>
              <w:rPr>
                <w:rFonts w:ascii="宋体" w:hAnsi="宋体" w:eastAsia="宋体" w:cs="宋体"/>
                <w:sz w:val="21"/>
                <w:szCs w:val="21"/>
              </w:rPr>
            </w:pPr>
            <w:r>
              <w:rPr>
                <w:rFonts w:ascii="宋体" w:hAnsi="宋体" w:eastAsia="宋体" w:cs="宋体"/>
                <w:spacing w:val="-2"/>
                <w:sz w:val="21"/>
                <w:szCs w:val="21"/>
              </w:rPr>
              <w:t>进口</w:t>
            </w:r>
          </w:p>
        </w:tc>
        <w:tc>
          <w:tcPr>
            <w:tcW w:w="651" w:type="dxa"/>
            <w:vAlign w:val="top"/>
          </w:tcPr>
          <w:p w14:paraId="3A0104B5">
            <w:pPr>
              <w:spacing w:before="66" w:line="222" w:lineRule="auto"/>
              <w:ind w:left="133"/>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0CA883E3">
            <w:pPr>
              <w:spacing w:before="66" w:line="222" w:lineRule="auto"/>
              <w:ind w:left="114"/>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33057A24">
            <w:pPr>
              <w:spacing w:before="66" w:line="222" w:lineRule="auto"/>
              <w:ind w:left="135"/>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5A2BD159">
            <w:pPr>
              <w:spacing w:before="66" w:line="222" w:lineRule="auto"/>
              <w:ind w:left="117"/>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4ADD0B30">
            <w:pPr>
              <w:spacing w:before="66" w:line="222" w:lineRule="auto"/>
              <w:ind w:left="139"/>
              <w:rPr>
                <w:rFonts w:ascii="宋体" w:hAnsi="宋体" w:eastAsia="宋体" w:cs="宋体"/>
                <w:sz w:val="21"/>
                <w:szCs w:val="21"/>
              </w:rPr>
            </w:pPr>
            <w:r>
              <w:rPr>
                <w:rFonts w:ascii="宋体" w:hAnsi="宋体" w:eastAsia="宋体" w:cs="宋体"/>
                <w:spacing w:val="-7"/>
                <w:sz w:val="21"/>
                <w:szCs w:val="21"/>
              </w:rPr>
              <w:t>出口</w:t>
            </w:r>
          </w:p>
        </w:tc>
        <w:tc>
          <w:tcPr>
            <w:tcW w:w="648" w:type="dxa"/>
            <w:vAlign w:val="top"/>
          </w:tcPr>
          <w:p w14:paraId="636E2A69">
            <w:pPr>
              <w:spacing w:before="66" w:line="222" w:lineRule="auto"/>
              <w:ind w:left="120"/>
              <w:rPr>
                <w:rFonts w:ascii="宋体" w:hAnsi="宋体" w:eastAsia="宋体" w:cs="宋体"/>
                <w:sz w:val="21"/>
                <w:szCs w:val="21"/>
              </w:rPr>
            </w:pPr>
            <w:r>
              <w:rPr>
                <w:rFonts w:ascii="宋体" w:hAnsi="宋体" w:eastAsia="宋体" w:cs="宋体"/>
                <w:spacing w:val="-2"/>
                <w:sz w:val="21"/>
                <w:szCs w:val="21"/>
              </w:rPr>
              <w:t>进口</w:t>
            </w:r>
          </w:p>
        </w:tc>
        <w:tc>
          <w:tcPr>
            <w:tcW w:w="650" w:type="dxa"/>
            <w:vAlign w:val="top"/>
          </w:tcPr>
          <w:p w14:paraId="47E079E0">
            <w:pPr>
              <w:spacing w:before="66" w:line="222" w:lineRule="auto"/>
              <w:ind w:left="142"/>
              <w:rPr>
                <w:rFonts w:ascii="宋体" w:hAnsi="宋体" w:eastAsia="宋体" w:cs="宋体"/>
                <w:sz w:val="21"/>
                <w:szCs w:val="21"/>
              </w:rPr>
            </w:pPr>
            <w:r>
              <w:rPr>
                <w:rFonts w:ascii="宋体" w:hAnsi="宋体" w:eastAsia="宋体" w:cs="宋体"/>
                <w:spacing w:val="-7"/>
                <w:sz w:val="21"/>
                <w:szCs w:val="21"/>
              </w:rPr>
              <w:t>出口</w:t>
            </w:r>
          </w:p>
        </w:tc>
        <w:tc>
          <w:tcPr>
            <w:tcW w:w="836" w:type="dxa"/>
            <w:vAlign w:val="top"/>
          </w:tcPr>
          <w:p w14:paraId="1E310AE0">
            <w:pPr>
              <w:spacing w:before="66" w:line="222" w:lineRule="auto"/>
              <w:ind w:left="216"/>
              <w:rPr>
                <w:rFonts w:ascii="宋体" w:hAnsi="宋体" w:eastAsia="宋体" w:cs="宋体"/>
                <w:sz w:val="21"/>
                <w:szCs w:val="21"/>
              </w:rPr>
            </w:pPr>
            <w:r>
              <w:rPr>
                <w:rFonts w:ascii="宋体" w:hAnsi="宋体" w:eastAsia="宋体" w:cs="宋体"/>
                <w:spacing w:val="-2"/>
                <w:sz w:val="21"/>
                <w:szCs w:val="21"/>
              </w:rPr>
              <w:t>进口</w:t>
            </w:r>
          </w:p>
        </w:tc>
        <w:tc>
          <w:tcPr>
            <w:tcW w:w="834" w:type="dxa"/>
            <w:vAlign w:val="top"/>
          </w:tcPr>
          <w:p w14:paraId="42230128">
            <w:pPr>
              <w:spacing w:before="66" w:line="222" w:lineRule="auto"/>
              <w:ind w:left="238"/>
              <w:rPr>
                <w:rFonts w:ascii="宋体" w:hAnsi="宋体" w:eastAsia="宋体" w:cs="宋体"/>
                <w:sz w:val="21"/>
                <w:szCs w:val="21"/>
              </w:rPr>
            </w:pPr>
            <w:r>
              <w:rPr>
                <w:rFonts w:ascii="宋体" w:hAnsi="宋体" w:eastAsia="宋体" w:cs="宋体"/>
                <w:spacing w:val="-7"/>
                <w:sz w:val="21"/>
                <w:szCs w:val="21"/>
              </w:rPr>
              <w:t>出口</w:t>
            </w:r>
          </w:p>
        </w:tc>
        <w:tc>
          <w:tcPr>
            <w:tcW w:w="836" w:type="dxa"/>
            <w:vAlign w:val="top"/>
          </w:tcPr>
          <w:p w14:paraId="68E05230">
            <w:pPr>
              <w:spacing w:before="66" w:line="222" w:lineRule="auto"/>
              <w:ind w:left="220"/>
              <w:rPr>
                <w:rFonts w:ascii="宋体" w:hAnsi="宋体" w:eastAsia="宋体" w:cs="宋体"/>
                <w:sz w:val="21"/>
                <w:szCs w:val="21"/>
              </w:rPr>
            </w:pPr>
            <w:r>
              <w:rPr>
                <w:rFonts w:ascii="宋体" w:hAnsi="宋体" w:eastAsia="宋体" w:cs="宋体"/>
                <w:spacing w:val="-2"/>
                <w:sz w:val="21"/>
                <w:szCs w:val="21"/>
              </w:rPr>
              <w:t>进口</w:t>
            </w:r>
          </w:p>
        </w:tc>
        <w:tc>
          <w:tcPr>
            <w:tcW w:w="849" w:type="dxa"/>
            <w:tcBorders>
              <w:right w:val="single" w:color="000000" w:sz="12" w:space="0"/>
            </w:tcBorders>
            <w:vAlign w:val="top"/>
          </w:tcPr>
          <w:p w14:paraId="074CDEFD">
            <w:pPr>
              <w:spacing w:before="66" w:line="222" w:lineRule="auto"/>
              <w:ind w:left="242"/>
              <w:rPr>
                <w:rFonts w:ascii="宋体" w:hAnsi="宋体" w:eastAsia="宋体" w:cs="宋体"/>
                <w:sz w:val="21"/>
                <w:szCs w:val="21"/>
              </w:rPr>
            </w:pPr>
            <w:r>
              <w:rPr>
                <w:rFonts w:ascii="宋体" w:hAnsi="宋体" w:eastAsia="宋体" w:cs="宋体"/>
                <w:spacing w:val="-7"/>
                <w:sz w:val="21"/>
                <w:szCs w:val="21"/>
              </w:rPr>
              <w:t>出口</w:t>
            </w:r>
          </w:p>
        </w:tc>
      </w:tr>
      <w:tr w14:paraId="05CA1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93" w:type="dxa"/>
            <w:vMerge w:val="restart"/>
            <w:tcBorders>
              <w:left w:val="single" w:color="000000" w:sz="12" w:space="0"/>
              <w:bottom w:val="nil"/>
            </w:tcBorders>
            <w:vAlign w:val="top"/>
          </w:tcPr>
          <w:p w14:paraId="37D78C1C">
            <w:pPr>
              <w:pStyle w:val="6"/>
              <w:spacing w:before="94"/>
              <w:ind w:left="65" w:right="77" w:hanging="1"/>
              <w:jc w:val="both"/>
              <w:rPr>
                <w:rFonts w:ascii="宋体" w:hAnsi="宋体" w:eastAsia="宋体" w:cs="宋体"/>
              </w:rPr>
            </w:pPr>
            <w:r>
              <w:rPr>
                <w:spacing w:val="-2"/>
              </w:rPr>
              <w:t>5#</w:t>
            </w:r>
            <w:r>
              <w:rPr>
                <w:rFonts w:ascii="宋体" w:hAnsi="宋体" w:eastAsia="宋体" w:cs="宋体"/>
                <w:spacing w:val="-2"/>
              </w:rPr>
              <w:t>支洞生</w:t>
            </w:r>
            <w:r>
              <w:rPr>
                <w:rFonts w:ascii="宋体" w:hAnsi="宋体" w:eastAsia="宋体" w:cs="宋体"/>
                <w:spacing w:val="-3"/>
              </w:rPr>
              <w:t>活污水处</w:t>
            </w:r>
            <w:r>
              <w:rPr>
                <w:rFonts w:ascii="宋体" w:hAnsi="宋体" w:eastAsia="宋体" w:cs="宋体"/>
                <w:spacing w:val="30"/>
              </w:rPr>
              <w:t>理设施</w:t>
            </w:r>
          </w:p>
        </w:tc>
        <w:tc>
          <w:tcPr>
            <w:tcW w:w="283" w:type="dxa"/>
            <w:vMerge w:val="restart"/>
            <w:tcBorders>
              <w:bottom w:val="nil"/>
            </w:tcBorders>
            <w:vAlign w:val="top"/>
          </w:tcPr>
          <w:p w14:paraId="6AFF9A40">
            <w:pPr>
              <w:pStyle w:val="6"/>
              <w:spacing w:before="129" w:line="222" w:lineRule="auto"/>
              <w:ind w:left="95"/>
            </w:pPr>
            <w:r>
              <w:t>1</w:t>
            </w:r>
          </w:p>
          <w:p w14:paraId="354A7631">
            <w:pPr>
              <w:spacing w:line="219" w:lineRule="auto"/>
              <w:ind w:left="27"/>
              <w:rPr>
                <w:rFonts w:ascii="宋体" w:hAnsi="宋体" w:eastAsia="宋体" w:cs="宋体"/>
                <w:sz w:val="21"/>
                <w:szCs w:val="21"/>
              </w:rPr>
            </w:pPr>
            <w:r>
              <w:rPr>
                <w:rFonts w:ascii="宋体" w:hAnsi="宋体" w:eastAsia="宋体" w:cs="宋体"/>
                <w:sz w:val="21"/>
                <w:szCs w:val="21"/>
              </w:rPr>
              <w:t>季</w:t>
            </w:r>
          </w:p>
          <w:p w14:paraId="559D1F46">
            <w:pPr>
              <w:spacing w:before="22" w:line="220" w:lineRule="auto"/>
              <w:ind w:left="25"/>
              <w:rPr>
                <w:rFonts w:ascii="宋体" w:hAnsi="宋体" w:eastAsia="宋体" w:cs="宋体"/>
                <w:sz w:val="21"/>
                <w:szCs w:val="21"/>
              </w:rPr>
            </w:pPr>
            <w:r>
              <w:rPr>
                <w:rFonts w:ascii="宋体" w:hAnsi="宋体" w:eastAsia="宋体" w:cs="宋体"/>
                <w:sz w:val="21"/>
                <w:szCs w:val="21"/>
              </w:rPr>
              <w:t>度</w:t>
            </w:r>
          </w:p>
        </w:tc>
        <w:tc>
          <w:tcPr>
            <w:tcW w:w="987" w:type="dxa"/>
            <w:vAlign w:val="top"/>
          </w:tcPr>
          <w:p w14:paraId="338E0734">
            <w:pPr>
              <w:pStyle w:val="6"/>
              <w:spacing w:before="88" w:line="197" w:lineRule="auto"/>
              <w:ind w:left="54"/>
            </w:pPr>
            <w:r>
              <w:rPr>
                <w:spacing w:val="-1"/>
              </w:rPr>
              <w:t>2021/3/18</w:t>
            </w:r>
          </w:p>
        </w:tc>
        <w:tc>
          <w:tcPr>
            <w:tcW w:w="648" w:type="dxa"/>
            <w:vAlign w:val="top"/>
          </w:tcPr>
          <w:p w14:paraId="090CB808">
            <w:pPr>
              <w:pStyle w:val="6"/>
              <w:spacing w:before="88" w:line="197" w:lineRule="auto"/>
              <w:ind w:left="134"/>
            </w:pPr>
            <w:r>
              <w:rPr>
                <w:spacing w:val="-3"/>
              </w:rPr>
              <w:t>50.0</w:t>
            </w:r>
          </w:p>
        </w:tc>
        <w:tc>
          <w:tcPr>
            <w:tcW w:w="650" w:type="dxa"/>
            <w:vAlign w:val="top"/>
          </w:tcPr>
          <w:p w14:paraId="29951E5C">
            <w:pPr>
              <w:pStyle w:val="6"/>
              <w:spacing w:before="88" w:line="197" w:lineRule="auto"/>
              <w:ind w:left="151"/>
            </w:pPr>
            <w:r>
              <w:rPr>
                <w:spacing w:val="-6"/>
              </w:rPr>
              <w:t>10.8</w:t>
            </w:r>
          </w:p>
        </w:tc>
        <w:tc>
          <w:tcPr>
            <w:tcW w:w="648" w:type="dxa"/>
            <w:vAlign w:val="top"/>
          </w:tcPr>
          <w:p w14:paraId="56660697">
            <w:pPr>
              <w:pStyle w:val="6"/>
              <w:spacing w:before="88" w:line="197" w:lineRule="auto"/>
              <w:ind w:left="178"/>
            </w:pPr>
            <w:r>
              <w:rPr>
                <w:spacing w:val="-6"/>
              </w:rPr>
              <w:t>160</w:t>
            </w:r>
          </w:p>
        </w:tc>
        <w:tc>
          <w:tcPr>
            <w:tcW w:w="651" w:type="dxa"/>
            <w:vAlign w:val="top"/>
          </w:tcPr>
          <w:p w14:paraId="105C1CB6">
            <w:pPr>
              <w:pStyle w:val="6"/>
              <w:spacing w:before="88" w:line="197" w:lineRule="auto"/>
              <w:ind w:left="219"/>
            </w:pPr>
            <w:r>
              <w:rPr>
                <w:spacing w:val="-3"/>
              </w:rPr>
              <w:t>52</w:t>
            </w:r>
          </w:p>
        </w:tc>
        <w:tc>
          <w:tcPr>
            <w:tcW w:w="646" w:type="dxa"/>
            <w:vAlign w:val="top"/>
          </w:tcPr>
          <w:p w14:paraId="16CA1860">
            <w:pPr>
              <w:pStyle w:val="6"/>
              <w:spacing w:before="88" w:line="197" w:lineRule="auto"/>
              <w:ind w:left="210"/>
            </w:pPr>
            <w:r>
              <w:rPr>
                <w:spacing w:val="-1"/>
              </w:rPr>
              <w:t>48</w:t>
            </w:r>
          </w:p>
        </w:tc>
        <w:tc>
          <w:tcPr>
            <w:tcW w:w="651" w:type="dxa"/>
            <w:vAlign w:val="top"/>
          </w:tcPr>
          <w:p w14:paraId="0095B421">
            <w:pPr>
              <w:pStyle w:val="6"/>
              <w:spacing w:before="88" w:line="197" w:lineRule="auto"/>
              <w:ind w:left="221"/>
            </w:pPr>
            <w:r>
              <w:rPr>
                <w:spacing w:val="-3"/>
              </w:rPr>
              <w:t>32</w:t>
            </w:r>
          </w:p>
        </w:tc>
        <w:tc>
          <w:tcPr>
            <w:tcW w:w="648" w:type="dxa"/>
            <w:vAlign w:val="top"/>
          </w:tcPr>
          <w:p w14:paraId="0A2C9007">
            <w:pPr>
              <w:pStyle w:val="6"/>
              <w:spacing w:before="88" w:line="197" w:lineRule="auto"/>
              <w:ind w:left="158"/>
            </w:pPr>
            <w:r>
              <w:rPr>
                <w:spacing w:val="-6"/>
              </w:rPr>
              <w:t>12.2</w:t>
            </w:r>
          </w:p>
        </w:tc>
        <w:tc>
          <w:tcPr>
            <w:tcW w:w="650" w:type="dxa"/>
            <w:vAlign w:val="top"/>
          </w:tcPr>
          <w:p w14:paraId="004445E6">
            <w:pPr>
              <w:pStyle w:val="6"/>
              <w:spacing w:before="88" w:line="197" w:lineRule="auto"/>
              <w:ind w:left="144"/>
            </w:pPr>
            <w:r>
              <w:rPr>
                <w:spacing w:val="-3"/>
              </w:rPr>
              <w:t>6.15</w:t>
            </w:r>
          </w:p>
        </w:tc>
        <w:tc>
          <w:tcPr>
            <w:tcW w:w="648" w:type="dxa"/>
            <w:vAlign w:val="top"/>
          </w:tcPr>
          <w:p w14:paraId="5F7941A3">
            <w:pPr>
              <w:pStyle w:val="6"/>
              <w:spacing w:before="88" w:line="197" w:lineRule="auto"/>
              <w:ind w:left="161"/>
            </w:pPr>
            <w:r>
              <w:rPr>
                <w:spacing w:val="-6"/>
              </w:rPr>
              <w:t>1.61</w:t>
            </w:r>
          </w:p>
        </w:tc>
        <w:tc>
          <w:tcPr>
            <w:tcW w:w="650" w:type="dxa"/>
            <w:vAlign w:val="top"/>
          </w:tcPr>
          <w:p w14:paraId="7F02C3AB">
            <w:pPr>
              <w:pStyle w:val="6"/>
              <w:spacing w:before="92" w:line="193" w:lineRule="auto"/>
              <w:ind w:left="147"/>
            </w:pPr>
            <w:r>
              <w:rPr>
                <w:b/>
                <w:bCs/>
                <w:spacing w:val="-2"/>
              </w:rPr>
              <w:t>0.88</w:t>
            </w:r>
          </w:p>
        </w:tc>
        <w:tc>
          <w:tcPr>
            <w:tcW w:w="648" w:type="dxa"/>
            <w:vAlign w:val="top"/>
          </w:tcPr>
          <w:p w14:paraId="32758467">
            <w:pPr>
              <w:pStyle w:val="6"/>
              <w:spacing w:before="88" w:line="197" w:lineRule="auto"/>
              <w:ind w:left="147"/>
            </w:pPr>
            <w:r>
              <w:rPr>
                <w:spacing w:val="-2"/>
              </w:rPr>
              <w:t>0.76</w:t>
            </w:r>
          </w:p>
        </w:tc>
        <w:tc>
          <w:tcPr>
            <w:tcW w:w="650" w:type="dxa"/>
            <w:vAlign w:val="top"/>
          </w:tcPr>
          <w:p w14:paraId="5E8F4AC1">
            <w:pPr>
              <w:pStyle w:val="6"/>
              <w:spacing w:before="88" w:line="197" w:lineRule="auto"/>
              <w:ind w:left="150"/>
            </w:pPr>
            <w:r>
              <w:rPr>
                <w:spacing w:val="-2"/>
              </w:rPr>
              <w:t>0.30</w:t>
            </w:r>
          </w:p>
        </w:tc>
        <w:tc>
          <w:tcPr>
            <w:tcW w:w="836" w:type="dxa"/>
            <w:vAlign w:val="top"/>
          </w:tcPr>
          <w:p w14:paraId="2CCDAF78">
            <w:pPr>
              <w:pStyle w:val="6"/>
              <w:spacing w:before="56" w:line="224" w:lineRule="auto"/>
              <w:ind w:left="94"/>
              <w:rPr>
                <w:sz w:val="14"/>
                <w:szCs w:val="14"/>
              </w:rPr>
            </w:pPr>
            <w:r>
              <w:rPr>
                <w:spacing w:val="-1"/>
              </w:rPr>
              <w:t>2.7×10</w:t>
            </w:r>
            <w:r>
              <w:rPr>
                <w:spacing w:val="-1"/>
                <w:position w:val="7"/>
                <w:sz w:val="14"/>
                <w:szCs w:val="14"/>
              </w:rPr>
              <w:t>6</w:t>
            </w:r>
          </w:p>
        </w:tc>
        <w:tc>
          <w:tcPr>
            <w:tcW w:w="834" w:type="dxa"/>
            <w:vAlign w:val="top"/>
          </w:tcPr>
          <w:p w14:paraId="3D6E9CC3">
            <w:pPr>
              <w:pStyle w:val="6"/>
              <w:spacing w:before="70" w:line="215" w:lineRule="auto"/>
              <w:ind w:left="95"/>
              <w:rPr>
                <w:sz w:val="14"/>
                <w:szCs w:val="14"/>
              </w:rPr>
            </w:pPr>
            <w:r>
              <w:rPr>
                <w:b/>
                <w:bCs/>
                <w:spacing w:val="-1"/>
              </w:rPr>
              <w:t>2.3×10</w:t>
            </w:r>
            <w:r>
              <w:rPr>
                <w:b/>
                <w:bCs/>
                <w:spacing w:val="-1"/>
                <w:position w:val="6"/>
                <w:sz w:val="14"/>
                <w:szCs w:val="14"/>
              </w:rPr>
              <w:t>6</w:t>
            </w:r>
          </w:p>
        </w:tc>
        <w:tc>
          <w:tcPr>
            <w:tcW w:w="836" w:type="dxa"/>
            <w:vAlign w:val="top"/>
          </w:tcPr>
          <w:p w14:paraId="1D7FB24C">
            <w:pPr>
              <w:pStyle w:val="6"/>
              <w:spacing w:before="88" w:line="197" w:lineRule="auto"/>
              <w:ind w:left="248"/>
            </w:pPr>
            <w:r>
              <w:rPr>
                <w:spacing w:val="-2"/>
              </w:rPr>
              <w:t>7.17</w:t>
            </w:r>
          </w:p>
        </w:tc>
        <w:tc>
          <w:tcPr>
            <w:tcW w:w="849" w:type="dxa"/>
            <w:tcBorders>
              <w:right w:val="single" w:color="000000" w:sz="12" w:space="0"/>
            </w:tcBorders>
            <w:vAlign w:val="top"/>
          </w:tcPr>
          <w:p w14:paraId="02E3EF8B">
            <w:pPr>
              <w:pStyle w:val="6"/>
              <w:spacing w:before="88" w:line="197" w:lineRule="auto"/>
              <w:ind w:left="245"/>
            </w:pPr>
            <w:r>
              <w:rPr>
                <w:spacing w:val="-1"/>
              </w:rPr>
              <w:t>4.20</w:t>
            </w:r>
          </w:p>
        </w:tc>
      </w:tr>
      <w:tr w14:paraId="69287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93" w:type="dxa"/>
            <w:vMerge w:val="continue"/>
            <w:tcBorders>
              <w:top w:val="nil"/>
              <w:left w:val="single" w:color="000000" w:sz="12" w:space="0"/>
              <w:bottom w:val="nil"/>
            </w:tcBorders>
            <w:vAlign w:val="top"/>
          </w:tcPr>
          <w:p w14:paraId="43245D7E">
            <w:pPr>
              <w:rPr>
                <w:rFonts w:ascii="Arial"/>
                <w:sz w:val="21"/>
              </w:rPr>
            </w:pPr>
          </w:p>
        </w:tc>
        <w:tc>
          <w:tcPr>
            <w:tcW w:w="283" w:type="dxa"/>
            <w:vMerge w:val="continue"/>
            <w:tcBorders>
              <w:top w:val="nil"/>
              <w:bottom w:val="nil"/>
            </w:tcBorders>
            <w:vAlign w:val="top"/>
          </w:tcPr>
          <w:p w14:paraId="564DF732">
            <w:pPr>
              <w:rPr>
                <w:rFonts w:ascii="Arial"/>
                <w:sz w:val="21"/>
              </w:rPr>
            </w:pPr>
          </w:p>
        </w:tc>
        <w:tc>
          <w:tcPr>
            <w:tcW w:w="987" w:type="dxa"/>
            <w:vAlign w:val="top"/>
          </w:tcPr>
          <w:p w14:paraId="28DA7D46">
            <w:pPr>
              <w:pStyle w:val="6"/>
              <w:spacing w:before="94" w:line="191" w:lineRule="auto"/>
              <w:ind w:left="54"/>
            </w:pPr>
            <w:r>
              <w:rPr>
                <w:spacing w:val="-1"/>
              </w:rPr>
              <w:t>2021/3/19</w:t>
            </w:r>
          </w:p>
        </w:tc>
        <w:tc>
          <w:tcPr>
            <w:tcW w:w="648" w:type="dxa"/>
            <w:vAlign w:val="top"/>
          </w:tcPr>
          <w:p w14:paraId="4C3303C3">
            <w:pPr>
              <w:pStyle w:val="6"/>
              <w:spacing w:before="94" w:line="191" w:lineRule="auto"/>
              <w:ind w:left="127"/>
            </w:pPr>
            <w:r>
              <w:rPr>
                <w:spacing w:val="-1"/>
              </w:rPr>
              <w:t>48.8</w:t>
            </w:r>
          </w:p>
        </w:tc>
        <w:tc>
          <w:tcPr>
            <w:tcW w:w="650" w:type="dxa"/>
            <w:vAlign w:val="top"/>
          </w:tcPr>
          <w:p w14:paraId="247B6B4F">
            <w:pPr>
              <w:pStyle w:val="6"/>
              <w:spacing w:before="94" w:line="191" w:lineRule="auto"/>
              <w:ind w:left="151"/>
            </w:pPr>
            <w:r>
              <w:rPr>
                <w:spacing w:val="-6"/>
              </w:rPr>
              <w:t>11.9</w:t>
            </w:r>
          </w:p>
        </w:tc>
        <w:tc>
          <w:tcPr>
            <w:tcW w:w="648" w:type="dxa"/>
            <w:vAlign w:val="top"/>
          </w:tcPr>
          <w:p w14:paraId="260DEBA6">
            <w:pPr>
              <w:pStyle w:val="6"/>
              <w:spacing w:before="94" w:line="191" w:lineRule="auto"/>
              <w:ind w:left="178"/>
            </w:pPr>
            <w:r>
              <w:rPr>
                <w:spacing w:val="-6"/>
              </w:rPr>
              <w:t>156</w:t>
            </w:r>
          </w:p>
        </w:tc>
        <w:tc>
          <w:tcPr>
            <w:tcW w:w="651" w:type="dxa"/>
            <w:vAlign w:val="top"/>
          </w:tcPr>
          <w:p w14:paraId="1A2DEA6D">
            <w:pPr>
              <w:pStyle w:val="6"/>
              <w:spacing w:before="94" w:line="191" w:lineRule="auto"/>
              <w:ind w:left="219"/>
            </w:pPr>
            <w:r>
              <w:rPr>
                <w:spacing w:val="-3"/>
              </w:rPr>
              <w:t>57</w:t>
            </w:r>
          </w:p>
        </w:tc>
        <w:tc>
          <w:tcPr>
            <w:tcW w:w="646" w:type="dxa"/>
            <w:vAlign w:val="top"/>
          </w:tcPr>
          <w:p w14:paraId="6AC51B14">
            <w:pPr>
              <w:pStyle w:val="6"/>
              <w:spacing w:before="94" w:line="191" w:lineRule="auto"/>
              <w:ind w:left="217"/>
            </w:pPr>
            <w:r>
              <w:rPr>
                <w:spacing w:val="-3"/>
              </w:rPr>
              <w:t>51</w:t>
            </w:r>
          </w:p>
        </w:tc>
        <w:tc>
          <w:tcPr>
            <w:tcW w:w="651" w:type="dxa"/>
            <w:vAlign w:val="top"/>
          </w:tcPr>
          <w:p w14:paraId="382E24B8">
            <w:pPr>
              <w:pStyle w:val="6"/>
              <w:spacing w:before="94" w:line="191" w:lineRule="auto"/>
              <w:ind w:left="217"/>
            </w:pPr>
            <w:r>
              <w:rPr>
                <w:spacing w:val="-1"/>
              </w:rPr>
              <w:t>27</w:t>
            </w:r>
          </w:p>
        </w:tc>
        <w:tc>
          <w:tcPr>
            <w:tcW w:w="648" w:type="dxa"/>
            <w:vAlign w:val="top"/>
          </w:tcPr>
          <w:p w14:paraId="56C5B4C8">
            <w:pPr>
              <w:pStyle w:val="6"/>
              <w:spacing w:before="94" w:line="191" w:lineRule="auto"/>
              <w:ind w:left="158"/>
            </w:pPr>
            <w:r>
              <w:rPr>
                <w:spacing w:val="-6"/>
              </w:rPr>
              <w:t>11.8</w:t>
            </w:r>
          </w:p>
        </w:tc>
        <w:tc>
          <w:tcPr>
            <w:tcW w:w="650" w:type="dxa"/>
            <w:vAlign w:val="top"/>
          </w:tcPr>
          <w:p w14:paraId="57B887E5">
            <w:pPr>
              <w:pStyle w:val="6"/>
              <w:spacing w:before="94" w:line="191" w:lineRule="auto"/>
              <w:ind w:left="144"/>
            </w:pPr>
            <w:r>
              <w:rPr>
                <w:spacing w:val="-3"/>
              </w:rPr>
              <w:t>6.11</w:t>
            </w:r>
          </w:p>
        </w:tc>
        <w:tc>
          <w:tcPr>
            <w:tcW w:w="648" w:type="dxa"/>
            <w:vAlign w:val="top"/>
          </w:tcPr>
          <w:p w14:paraId="3ABDDC06">
            <w:pPr>
              <w:pStyle w:val="6"/>
              <w:spacing w:before="94" w:line="191" w:lineRule="auto"/>
              <w:ind w:left="161"/>
            </w:pPr>
            <w:r>
              <w:rPr>
                <w:spacing w:val="-6"/>
              </w:rPr>
              <w:t>1.58</w:t>
            </w:r>
          </w:p>
        </w:tc>
        <w:tc>
          <w:tcPr>
            <w:tcW w:w="650" w:type="dxa"/>
            <w:vAlign w:val="top"/>
          </w:tcPr>
          <w:p w14:paraId="6A35F40C">
            <w:pPr>
              <w:pStyle w:val="6"/>
              <w:spacing w:before="99" w:line="186" w:lineRule="auto"/>
              <w:ind w:left="147"/>
            </w:pPr>
            <w:r>
              <w:rPr>
                <w:b/>
                <w:bCs/>
                <w:spacing w:val="-2"/>
              </w:rPr>
              <w:t>0.85</w:t>
            </w:r>
          </w:p>
        </w:tc>
        <w:tc>
          <w:tcPr>
            <w:tcW w:w="648" w:type="dxa"/>
            <w:vAlign w:val="top"/>
          </w:tcPr>
          <w:p w14:paraId="6DB2AB94">
            <w:pPr>
              <w:pStyle w:val="6"/>
              <w:spacing w:before="94" w:line="191" w:lineRule="auto"/>
              <w:ind w:left="147"/>
            </w:pPr>
            <w:r>
              <w:rPr>
                <w:spacing w:val="-2"/>
              </w:rPr>
              <w:t>0.77</w:t>
            </w:r>
          </w:p>
        </w:tc>
        <w:tc>
          <w:tcPr>
            <w:tcW w:w="650" w:type="dxa"/>
            <w:vAlign w:val="top"/>
          </w:tcPr>
          <w:p w14:paraId="6759174F">
            <w:pPr>
              <w:pStyle w:val="6"/>
              <w:spacing w:before="94" w:line="191" w:lineRule="auto"/>
              <w:ind w:left="150"/>
            </w:pPr>
            <w:r>
              <w:rPr>
                <w:spacing w:val="-2"/>
              </w:rPr>
              <w:t>0.29</w:t>
            </w:r>
          </w:p>
        </w:tc>
        <w:tc>
          <w:tcPr>
            <w:tcW w:w="836" w:type="dxa"/>
            <w:vAlign w:val="top"/>
          </w:tcPr>
          <w:p w14:paraId="62DB5732">
            <w:pPr>
              <w:pStyle w:val="6"/>
              <w:spacing w:before="63" w:line="218" w:lineRule="auto"/>
              <w:ind w:left="94"/>
              <w:rPr>
                <w:sz w:val="14"/>
                <w:szCs w:val="14"/>
              </w:rPr>
            </w:pPr>
            <w:r>
              <w:rPr>
                <w:spacing w:val="-1"/>
              </w:rPr>
              <w:t>2.5×10</w:t>
            </w:r>
            <w:r>
              <w:rPr>
                <w:spacing w:val="-1"/>
                <w:position w:val="7"/>
                <w:sz w:val="14"/>
                <w:szCs w:val="14"/>
              </w:rPr>
              <w:t>6</w:t>
            </w:r>
          </w:p>
        </w:tc>
        <w:tc>
          <w:tcPr>
            <w:tcW w:w="834" w:type="dxa"/>
            <w:vAlign w:val="top"/>
          </w:tcPr>
          <w:p w14:paraId="67F1C0DF">
            <w:pPr>
              <w:pStyle w:val="6"/>
              <w:spacing w:before="76" w:line="209" w:lineRule="auto"/>
              <w:ind w:left="95"/>
              <w:rPr>
                <w:sz w:val="14"/>
                <w:szCs w:val="14"/>
              </w:rPr>
            </w:pPr>
            <w:r>
              <w:rPr>
                <w:b/>
                <w:bCs/>
                <w:spacing w:val="-1"/>
              </w:rPr>
              <w:t>2.5×10</w:t>
            </w:r>
            <w:r>
              <w:rPr>
                <w:b/>
                <w:bCs/>
                <w:spacing w:val="-1"/>
                <w:position w:val="6"/>
                <w:sz w:val="14"/>
                <w:szCs w:val="14"/>
              </w:rPr>
              <w:t>6</w:t>
            </w:r>
          </w:p>
        </w:tc>
        <w:tc>
          <w:tcPr>
            <w:tcW w:w="836" w:type="dxa"/>
            <w:vAlign w:val="top"/>
          </w:tcPr>
          <w:p w14:paraId="65E23606">
            <w:pPr>
              <w:pStyle w:val="6"/>
              <w:spacing w:before="94" w:line="191" w:lineRule="auto"/>
              <w:ind w:left="248"/>
            </w:pPr>
            <w:r>
              <w:rPr>
                <w:spacing w:val="-2"/>
              </w:rPr>
              <w:t>7.22</w:t>
            </w:r>
          </w:p>
        </w:tc>
        <w:tc>
          <w:tcPr>
            <w:tcW w:w="849" w:type="dxa"/>
            <w:tcBorders>
              <w:right w:val="single" w:color="000000" w:sz="12" w:space="0"/>
            </w:tcBorders>
            <w:vAlign w:val="top"/>
          </w:tcPr>
          <w:p w14:paraId="7339CE74">
            <w:pPr>
              <w:pStyle w:val="6"/>
              <w:spacing w:before="94" w:line="191" w:lineRule="auto"/>
              <w:ind w:left="245"/>
            </w:pPr>
            <w:r>
              <w:rPr>
                <w:spacing w:val="-1"/>
              </w:rPr>
              <w:t>4.28</w:t>
            </w:r>
          </w:p>
        </w:tc>
      </w:tr>
      <w:tr w14:paraId="2E842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93" w:type="dxa"/>
            <w:vMerge w:val="continue"/>
            <w:tcBorders>
              <w:top w:val="nil"/>
              <w:left w:val="single" w:color="000000" w:sz="12" w:space="0"/>
              <w:bottom w:val="single" w:color="000000" w:sz="12" w:space="0"/>
            </w:tcBorders>
            <w:vAlign w:val="top"/>
          </w:tcPr>
          <w:p w14:paraId="6AEFBD33">
            <w:pPr>
              <w:rPr>
                <w:rFonts w:ascii="Arial"/>
                <w:sz w:val="21"/>
              </w:rPr>
            </w:pPr>
          </w:p>
        </w:tc>
        <w:tc>
          <w:tcPr>
            <w:tcW w:w="283" w:type="dxa"/>
            <w:vMerge w:val="continue"/>
            <w:tcBorders>
              <w:top w:val="nil"/>
              <w:bottom w:val="single" w:color="000000" w:sz="12" w:space="0"/>
            </w:tcBorders>
            <w:vAlign w:val="top"/>
          </w:tcPr>
          <w:p w14:paraId="5FE0744B">
            <w:pPr>
              <w:rPr>
                <w:rFonts w:ascii="Arial"/>
                <w:sz w:val="21"/>
              </w:rPr>
            </w:pPr>
          </w:p>
        </w:tc>
        <w:tc>
          <w:tcPr>
            <w:tcW w:w="987" w:type="dxa"/>
            <w:tcBorders>
              <w:bottom w:val="single" w:color="000000" w:sz="12" w:space="0"/>
            </w:tcBorders>
            <w:vAlign w:val="top"/>
          </w:tcPr>
          <w:p w14:paraId="61E817EA">
            <w:pPr>
              <w:pStyle w:val="6"/>
              <w:spacing w:before="99" w:line="210" w:lineRule="auto"/>
              <w:ind w:left="54"/>
            </w:pPr>
            <w:r>
              <w:rPr>
                <w:spacing w:val="-1"/>
              </w:rPr>
              <w:t>2021/3/20</w:t>
            </w:r>
          </w:p>
        </w:tc>
        <w:tc>
          <w:tcPr>
            <w:tcW w:w="648" w:type="dxa"/>
            <w:tcBorders>
              <w:bottom w:val="single" w:color="000000" w:sz="12" w:space="0"/>
            </w:tcBorders>
            <w:vAlign w:val="top"/>
          </w:tcPr>
          <w:p w14:paraId="35173560">
            <w:pPr>
              <w:pStyle w:val="6"/>
              <w:spacing w:before="99" w:line="210" w:lineRule="auto"/>
              <w:ind w:left="134"/>
            </w:pPr>
            <w:r>
              <w:rPr>
                <w:spacing w:val="-3"/>
              </w:rPr>
              <w:t>50.6</w:t>
            </w:r>
          </w:p>
        </w:tc>
        <w:tc>
          <w:tcPr>
            <w:tcW w:w="650" w:type="dxa"/>
            <w:tcBorders>
              <w:bottom w:val="single" w:color="000000" w:sz="12" w:space="0"/>
            </w:tcBorders>
            <w:vAlign w:val="top"/>
          </w:tcPr>
          <w:p w14:paraId="191BC91D">
            <w:pPr>
              <w:pStyle w:val="6"/>
              <w:spacing w:before="99" w:line="210" w:lineRule="auto"/>
              <w:ind w:left="151"/>
            </w:pPr>
            <w:r>
              <w:rPr>
                <w:spacing w:val="-6"/>
              </w:rPr>
              <w:t>11.2</w:t>
            </w:r>
          </w:p>
        </w:tc>
        <w:tc>
          <w:tcPr>
            <w:tcW w:w="648" w:type="dxa"/>
            <w:tcBorders>
              <w:bottom w:val="single" w:color="000000" w:sz="12" w:space="0"/>
            </w:tcBorders>
            <w:vAlign w:val="top"/>
          </w:tcPr>
          <w:p w14:paraId="7EE7CFFF">
            <w:pPr>
              <w:pStyle w:val="6"/>
              <w:spacing w:before="99" w:line="210" w:lineRule="auto"/>
              <w:ind w:left="178"/>
            </w:pPr>
            <w:r>
              <w:rPr>
                <w:spacing w:val="-6"/>
              </w:rPr>
              <w:t>162</w:t>
            </w:r>
          </w:p>
        </w:tc>
        <w:tc>
          <w:tcPr>
            <w:tcW w:w="651" w:type="dxa"/>
            <w:tcBorders>
              <w:bottom w:val="single" w:color="000000" w:sz="12" w:space="0"/>
            </w:tcBorders>
            <w:vAlign w:val="top"/>
          </w:tcPr>
          <w:p w14:paraId="74BCE321">
            <w:pPr>
              <w:pStyle w:val="6"/>
              <w:spacing w:before="99" w:line="210" w:lineRule="auto"/>
              <w:ind w:left="219"/>
            </w:pPr>
            <w:r>
              <w:rPr>
                <w:spacing w:val="-3"/>
              </w:rPr>
              <w:t>54</w:t>
            </w:r>
          </w:p>
        </w:tc>
        <w:tc>
          <w:tcPr>
            <w:tcW w:w="646" w:type="dxa"/>
            <w:tcBorders>
              <w:bottom w:val="single" w:color="000000" w:sz="12" w:space="0"/>
            </w:tcBorders>
            <w:vAlign w:val="top"/>
          </w:tcPr>
          <w:p w14:paraId="7D36E972">
            <w:pPr>
              <w:pStyle w:val="6"/>
              <w:spacing w:before="99" w:line="210" w:lineRule="auto"/>
              <w:ind w:left="210"/>
            </w:pPr>
            <w:r>
              <w:rPr>
                <w:spacing w:val="-1"/>
              </w:rPr>
              <w:t>45</w:t>
            </w:r>
          </w:p>
        </w:tc>
        <w:tc>
          <w:tcPr>
            <w:tcW w:w="651" w:type="dxa"/>
            <w:tcBorders>
              <w:bottom w:val="single" w:color="000000" w:sz="12" w:space="0"/>
            </w:tcBorders>
            <w:vAlign w:val="top"/>
          </w:tcPr>
          <w:p w14:paraId="77B6D51B">
            <w:pPr>
              <w:pStyle w:val="6"/>
              <w:spacing w:before="99" w:line="210" w:lineRule="auto"/>
              <w:ind w:left="221"/>
            </w:pPr>
            <w:r>
              <w:rPr>
                <w:spacing w:val="-3"/>
              </w:rPr>
              <w:t>30</w:t>
            </w:r>
          </w:p>
        </w:tc>
        <w:tc>
          <w:tcPr>
            <w:tcW w:w="648" w:type="dxa"/>
            <w:tcBorders>
              <w:bottom w:val="single" w:color="000000" w:sz="12" w:space="0"/>
            </w:tcBorders>
            <w:vAlign w:val="top"/>
          </w:tcPr>
          <w:p w14:paraId="04877621">
            <w:pPr>
              <w:pStyle w:val="6"/>
              <w:spacing w:before="99" w:line="210" w:lineRule="auto"/>
              <w:ind w:left="158"/>
            </w:pPr>
            <w:r>
              <w:rPr>
                <w:spacing w:val="-6"/>
              </w:rPr>
              <w:t>12.8</w:t>
            </w:r>
          </w:p>
        </w:tc>
        <w:tc>
          <w:tcPr>
            <w:tcW w:w="650" w:type="dxa"/>
            <w:tcBorders>
              <w:bottom w:val="single" w:color="000000" w:sz="12" w:space="0"/>
            </w:tcBorders>
            <w:vAlign w:val="top"/>
          </w:tcPr>
          <w:p w14:paraId="48DD7BBD">
            <w:pPr>
              <w:pStyle w:val="6"/>
              <w:spacing w:before="99" w:line="210" w:lineRule="auto"/>
              <w:ind w:left="144"/>
            </w:pPr>
            <w:r>
              <w:rPr>
                <w:spacing w:val="-3"/>
              </w:rPr>
              <w:t>6.19</w:t>
            </w:r>
          </w:p>
        </w:tc>
        <w:tc>
          <w:tcPr>
            <w:tcW w:w="648" w:type="dxa"/>
            <w:tcBorders>
              <w:bottom w:val="single" w:color="000000" w:sz="12" w:space="0"/>
            </w:tcBorders>
            <w:vAlign w:val="top"/>
          </w:tcPr>
          <w:p w14:paraId="11D3B782">
            <w:pPr>
              <w:pStyle w:val="6"/>
              <w:spacing w:before="99" w:line="210" w:lineRule="auto"/>
              <w:ind w:left="161"/>
            </w:pPr>
            <w:r>
              <w:rPr>
                <w:spacing w:val="-6"/>
              </w:rPr>
              <w:t>1.64</w:t>
            </w:r>
          </w:p>
        </w:tc>
        <w:tc>
          <w:tcPr>
            <w:tcW w:w="650" w:type="dxa"/>
            <w:tcBorders>
              <w:bottom w:val="single" w:color="000000" w:sz="12" w:space="0"/>
            </w:tcBorders>
            <w:vAlign w:val="top"/>
          </w:tcPr>
          <w:p w14:paraId="0D730861">
            <w:pPr>
              <w:pStyle w:val="6"/>
              <w:spacing w:before="104" w:line="205" w:lineRule="auto"/>
              <w:ind w:left="147"/>
            </w:pPr>
            <w:r>
              <w:rPr>
                <w:b/>
                <w:bCs/>
                <w:spacing w:val="-2"/>
              </w:rPr>
              <w:t>0.81</w:t>
            </w:r>
          </w:p>
        </w:tc>
        <w:tc>
          <w:tcPr>
            <w:tcW w:w="648" w:type="dxa"/>
            <w:tcBorders>
              <w:bottom w:val="single" w:color="000000" w:sz="12" w:space="0"/>
            </w:tcBorders>
            <w:vAlign w:val="top"/>
          </w:tcPr>
          <w:p w14:paraId="3ED4422C">
            <w:pPr>
              <w:pStyle w:val="6"/>
              <w:spacing w:before="99" w:line="210" w:lineRule="auto"/>
              <w:ind w:left="147"/>
            </w:pPr>
            <w:r>
              <w:rPr>
                <w:spacing w:val="-2"/>
              </w:rPr>
              <w:t>0.78</w:t>
            </w:r>
          </w:p>
        </w:tc>
        <w:tc>
          <w:tcPr>
            <w:tcW w:w="650" w:type="dxa"/>
            <w:tcBorders>
              <w:bottom w:val="single" w:color="000000" w:sz="12" w:space="0"/>
            </w:tcBorders>
            <w:vAlign w:val="top"/>
          </w:tcPr>
          <w:p w14:paraId="587AEF03">
            <w:pPr>
              <w:pStyle w:val="6"/>
              <w:spacing w:before="99" w:line="210" w:lineRule="auto"/>
              <w:ind w:left="150"/>
            </w:pPr>
            <w:r>
              <w:rPr>
                <w:spacing w:val="-2"/>
              </w:rPr>
              <w:t>0.30</w:t>
            </w:r>
          </w:p>
        </w:tc>
        <w:tc>
          <w:tcPr>
            <w:tcW w:w="836" w:type="dxa"/>
            <w:tcBorders>
              <w:bottom w:val="single" w:color="000000" w:sz="12" w:space="0"/>
            </w:tcBorders>
            <w:vAlign w:val="top"/>
          </w:tcPr>
          <w:p w14:paraId="1D79B65B">
            <w:pPr>
              <w:pStyle w:val="6"/>
              <w:spacing w:before="67" w:line="237" w:lineRule="auto"/>
              <w:ind w:left="94"/>
              <w:rPr>
                <w:sz w:val="14"/>
                <w:szCs w:val="14"/>
              </w:rPr>
            </w:pPr>
            <w:r>
              <w:rPr>
                <w:spacing w:val="-1"/>
              </w:rPr>
              <w:t>2.6×10</w:t>
            </w:r>
            <w:r>
              <w:rPr>
                <w:spacing w:val="-1"/>
                <w:position w:val="7"/>
                <w:sz w:val="14"/>
                <w:szCs w:val="14"/>
              </w:rPr>
              <w:t>6</w:t>
            </w:r>
          </w:p>
        </w:tc>
        <w:tc>
          <w:tcPr>
            <w:tcW w:w="834" w:type="dxa"/>
            <w:tcBorders>
              <w:bottom w:val="single" w:color="000000" w:sz="12" w:space="0"/>
            </w:tcBorders>
            <w:vAlign w:val="top"/>
          </w:tcPr>
          <w:p w14:paraId="21EB0F67">
            <w:pPr>
              <w:pStyle w:val="6"/>
              <w:spacing w:before="81" w:line="228" w:lineRule="auto"/>
              <w:ind w:left="95"/>
              <w:rPr>
                <w:sz w:val="14"/>
                <w:szCs w:val="14"/>
              </w:rPr>
            </w:pPr>
            <w:r>
              <w:rPr>
                <w:b/>
                <w:bCs/>
                <w:spacing w:val="-1"/>
              </w:rPr>
              <w:t>2.4×10</w:t>
            </w:r>
            <w:r>
              <w:rPr>
                <w:b/>
                <w:bCs/>
                <w:spacing w:val="-1"/>
                <w:position w:val="6"/>
                <w:sz w:val="14"/>
                <w:szCs w:val="14"/>
              </w:rPr>
              <w:t>6</w:t>
            </w:r>
          </w:p>
        </w:tc>
        <w:tc>
          <w:tcPr>
            <w:tcW w:w="836" w:type="dxa"/>
            <w:tcBorders>
              <w:bottom w:val="single" w:color="000000" w:sz="12" w:space="0"/>
            </w:tcBorders>
            <w:vAlign w:val="top"/>
          </w:tcPr>
          <w:p w14:paraId="35781766">
            <w:pPr>
              <w:pStyle w:val="6"/>
              <w:spacing w:before="99" w:line="210" w:lineRule="auto"/>
              <w:ind w:left="248"/>
            </w:pPr>
            <w:r>
              <w:rPr>
                <w:spacing w:val="-2"/>
              </w:rPr>
              <w:t>7.10</w:t>
            </w:r>
          </w:p>
        </w:tc>
        <w:tc>
          <w:tcPr>
            <w:tcW w:w="849" w:type="dxa"/>
            <w:tcBorders>
              <w:bottom w:val="single" w:color="000000" w:sz="12" w:space="0"/>
              <w:right w:val="single" w:color="000000" w:sz="12" w:space="0"/>
            </w:tcBorders>
            <w:vAlign w:val="top"/>
          </w:tcPr>
          <w:p w14:paraId="7156D638">
            <w:pPr>
              <w:pStyle w:val="6"/>
              <w:spacing w:before="99" w:line="210" w:lineRule="auto"/>
              <w:ind w:left="245"/>
            </w:pPr>
            <w:r>
              <w:rPr>
                <w:spacing w:val="-1"/>
              </w:rPr>
              <w:t>4.17</w:t>
            </w:r>
          </w:p>
        </w:tc>
      </w:tr>
    </w:tbl>
    <w:p w14:paraId="0067B8DF">
      <w:pPr>
        <w:rPr>
          <w:rFonts w:ascii="Arial"/>
          <w:sz w:val="21"/>
        </w:rPr>
      </w:pPr>
    </w:p>
    <w:p w14:paraId="34C2C85F">
      <w:pPr>
        <w:rPr>
          <w:rFonts w:ascii="Arial" w:hAnsi="Arial" w:eastAsia="Arial" w:cs="Arial"/>
          <w:sz w:val="21"/>
          <w:szCs w:val="21"/>
        </w:rPr>
        <w:sectPr>
          <w:footerReference r:id="rId136" w:type="default"/>
          <w:pgSz w:w="16839" w:h="11907"/>
          <w:pgMar w:top="1376" w:right="1669" w:bottom="1061" w:left="1671" w:header="999" w:footer="861" w:gutter="0"/>
          <w:cols w:space="720" w:num="1"/>
        </w:sectPr>
      </w:pPr>
    </w:p>
    <w:p w14:paraId="36F32B6E">
      <w:pPr>
        <w:spacing w:line="412" w:lineRule="auto"/>
        <w:rPr>
          <w:rFonts w:ascii="Arial"/>
          <w:sz w:val="21"/>
        </w:rPr>
      </w:pPr>
    </w:p>
    <w:p w14:paraId="205C1D46">
      <w:pPr>
        <w:pStyle w:val="2"/>
        <w:spacing w:before="88" w:line="226" w:lineRule="auto"/>
        <w:ind w:left="35"/>
        <w:rPr>
          <w:sz w:val="27"/>
          <w:szCs w:val="27"/>
        </w:rPr>
      </w:pPr>
      <w:r>
        <w:rPr>
          <w:rFonts w:ascii="Arial" w:hAnsi="Arial" w:eastAsia="Arial" w:cs="Arial"/>
          <w:spacing w:val="-1"/>
          <w:position w:val="1"/>
          <w:sz w:val="27"/>
          <w:szCs w:val="27"/>
        </w:rPr>
        <w:t xml:space="preserve">5.2.2    </w:t>
      </w:r>
      <w:r>
        <w:rPr>
          <w:b/>
          <w:bCs/>
          <w:spacing w:val="-1"/>
          <w:position w:val="-1"/>
          <w:sz w:val="27"/>
          <w:szCs w:val="27"/>
        </w:rPr>
        <w:t>大气污染防治设施</w:t>
      </w:r>
    </w:p>
    <w:p w14:paraId="01258332">
      <w:pPr>
        <w:pStyle w:val="2"/>
        <w:spacing w:before="264" w:line="338" w:lineRule="auto"/>
        <w:ind w:left="38" w:right="186" w:firstLine="480"/>
        <w:rPr>
          <w:sz w:val="24"/>
          <w:szCs w:val="24"/>
        </w:rPr>
      </w:pPr>
      <w:r>
        <w:rPr>
          <w:spacing w:val="-7"/>
          <w:sz w:val="24"/>
          <w:szCs w:val="24"/>
        </w:rPr>
        <w:t>根据施工期环境监理报告，施工机械、车辆均安装了尾气净化器，</w:t>
      </w:r>
      <w:r>
        <w:rPr>
          <w:spacing w:val="-29"/>
          <w:sz w:val="24"/>
          <w:szCs w:val="24"/>
        </w:rPr>
        <w:t xml:space="preserve"> </w:t>
      </w:r>
      <w:r>
        <w:rPr>
          <w:spacing w:val="-7"/>
          <w:sz w:val="24"/>
          <w:szCs w:val="24"/>
        </w:rPr>
        <w:t>并在场区内</w:t>
      </w:r>
      <w:r>
        <w:rPr>
          <w:spacing w:val="-4"/>
          <w:sz w:val="24"/>
          <w:szCs w:val="24"/>
        </w:rPr>
        <w:t>设置了限速警示牌。易起尘的施工材料、临时堆土等采取了洒水或遮挡措施</w:t>
      </w:r>
      <w:r>
        <w:rPr>
          <w:spacing w:val="-5"/>
          <w:sz w:val="24"/>
          <w:szCs w:val="24"/>
        </w:rPr>
        <w:t>。施工</w:t>
      </w:r>
      <w:r>
        <w:rPr>
          <w:spacing w:val="-6"/>
          <w:sz w:val="24"/>
          <w:szCs w:val="24"/>
        </w:rPr>
        <w:t>场地、道路定时洒水抑尘。在天气干燥的情况下，</w:t>
      </w:r>
      <w:r>
        <w:rPr>
          <w:spacing w:val="-47"/>
          <w:sz w:val="24"/>
          <w:szCs w:val="24"/>
        </w:rPr>
        <w:t xml:space="preserve"> </w:t>
      </w:r>
      <w:r>
        <w:rPr>
          <w:spacing w:val="-6"/>
          <w:sz w:val="24"/>
          <w:szCs w:val="24"/>
        </w:rPr>
        <w:t>适当增加项目施工过程</w:t>
      </w:r>
      <w:r>
        <w:rPr>
          <w:spacing w:val="-7"/>
          <w:sz w:val="24"/>
          <w:szCs w:val="24"/>
        </w:rPr>
        <w:t>洒水降尘</w:t>
      </w:r>
      <w:r>
        <w:rPr>
          <w:spacing w:val="-4"/>
          <w:sz w:val="24"/>
          <w:szCs w:val="24"/>
        </w:rPr>
        <w:t>强度及频次。物料运输车辆采取封闭式运输，施工场地进出口设有车辆冲洗设</w:t>
      </w:r>
      <w:r>
        <w:rPr>
          <w:spacing w:val="-5"/>
          <w:sz w:val="24"/>
          <w:szCs w:val="24"/>
        </w:rPr>
        <w:t>施，并有专人负责冲洗。</w:t>
      </w:r>
    </w:p>
    <w:p w14:paraId="431F4EF9">
      <w:pPr>
        <w:pStyle w:val="2"/>
        <w:spacing w:before="1" w:line="338" w:lineRule="auto"/>
        <w:ind w:left="39" w:firstLine="480"/>
        <w:jc w:val="both"/>
        <w:rPr>
          <w:sz w:val="24"/>
          <w:szCs w:val="24"/>
        </w:rPr>
      </w:pPr>
      <w:r>
        <w:rPr>
          <w:spacing w:val="3"/>
          <w:sz w:val="24"/>
          <w:szCs w:val="24"/>
        </w:rPr>
        <w:t>监理部每月对现场扬尘治理措施进行巡视检查，</w:t>
      </w:r>
      <w:r>
        <w:rPr>
          <w:spacing w:val="2"/>
          <w:sz w:val="24"/>
          <w:szCs w:val="24"/>
        </w:rPr>
        <w:t>联合建管局对各施工现场进</w:t>
      </w:r>
      <w:r>
        <w:rPr>
          <w:spacing w:val="-5"/>
          <w:sz w:val="24"/>
          <w:szCs w:val="24"/>
        </w:rPr>
        <w:t>行专项检查，对现场扬尘污染防治问题进行督促</w:t>
      </w:r>
      <w:r>
        <w:rPr>
          <w:spacing w:val="-6"/>
          <w:sz w:val="24"/>
          <w:szCs w:val="24"/>
        </w:rPr>
        <w:t>整改。现场发现问题及时要求整改，</w:t>
      </w:r>
      <w:r>
        <w:rPr>
          <w:spacing w:val="-2"/>
          <w:sz w:val="24"/>
          <w:szCs w:val="24"/>
        </w:rPr>
        <w:t>确保环境保护措施及扬尘治理措施的全面有效执行。</w:t>
      </w:r>
    </w:p>
    <w:p w14:paraId="667E86AB">
      <w:pPr>
        <w:pStyle w:val="2"/>
        <w:spacing w:line="233" w:lineRule="auto"/>
        <w:ind w:left="522"/>
        <w:rPr>
          <w:sz w:val="24"/>
          <w:szCs w:val="24"/>
        </w:rPr>
      </w:pPr>
      <w:r>
        <w:rPr>
          <w:spacing w:val="-1"/>
          <w:sz w:val="24"/>
          <w:szCs w:val="24"/>
        </w:rPr>
        <w:t>工程区运输车辆扬尘及洒水作业现场照片见图</w:t>
      </w:r>
      <w:r>
        <w:rPr>
          <w:spacing w:val="-47"/>
          <w:sz w:val="24"/>
          <w:szCs w:val="24"/>
        </w:rPr>
        <w:t xml:space="preserve"> </w:t>
      </w:r>
      <w:r>
        <w:rPr>
          <w:rFonts w:ascii="Times New Roman" w:hAnsi="Times New Roman" w:eastAsia="Times New Roman" w:cs="Times New Roman"/>
          <w:spacing w:val="-1"/>
          <w:sz w:val="24"/>
          <w:szCs w:val="24"/>
        </w:rPr>
        <w:t>5.2-3</w:t>
      </w:r>
      <w:r>
        <w:rPr>
          <w:spacing w:val="-1"/>
          <w:sz w:val="24"/>
          <w:szCs w:val="24"/>
        </w:rPr>
        <w:t>。</w:t>
      </w:r>
    </w:p>
    <w:p w14:paraId="4F8DA1E5">
      <w:pPr>
        <w:spacing w:line="112" w:lineRule="auto"/>
        <w:rPr>
          <w:rFonts w:ascii="Arial"/>
          <w:sz w:val="2"/>
        </w:rPr>
      </w:pPr>
    </w:p>
    <w:p w14:paraId="2D79DD77">
      <w:pPr>
        <w:spacing w:line="112" w:lineRule="auto"/>
        <w:rPr>
          <w:rFonts w:ascii="Arial" w:hAnsi="Arial" w:eastAsia="Arial" w:cs="Arial"/>
          <w:sz w:val="2"/>
          <w:szCs w:val="2"/>
        </w:rPr>
        <w:sectPr>
          <w:headerReference r:id="rId137" w:type="default"/>
          <w:footerReference r:id="rId138" w:type="default"/>
          <w:pgSz w:w="11907" w:h="16839"/>
          <w:pgMar w:top="1376" w:right="1514" w:bottom="1061" w:left="1671" w:header="999" w:footer="861" w:gutter="0"/>
          <w:cols w:equalWidth="0" w:num="1">
            <w:col w:w="8720"/>
          </w:cols>
        </w:sectPr>
      </w:pPr>
    </w:p>
    <w:p w14:paraId="74415603">
      <w:pPr>
        <w:spacing w:line="2854" w:lineRule="exact"/>
        <w:ind w:firstLine="167"/>
      </w:pPr>
      <w:r>
        <w:rPr>
          <w:position w:val="-57"/>
        </w:rPr>
        <w:drawing>
          <wp:inline distT="0" distB="0" distL="0" distR="0">
            <wp:extent cx="2531745" cy="1811655"/>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393"/>
                    <a:stretch>
                      <a:fillRect/>
                    </a:stretch>
                  </pic:blipFill>
                  <pic:spPr>
                    <a:xfrm>
                      <a:off x="0" y="0"/>
                      <a:ext cx="2532125" cy="1812289"/>
                    </a:xfrm>
                    <a:prstGeom prst="rect">
                      <a:avLst/>
                    </a:prstGeom>
                  </pic:spPr>
                </pic:pic>
              </a:graphicData>
            </a:graphic>
          </wp:inline>
        </w:drawing>
      </w:r>
    </w:p>
    <w:p w14:paraId="5532930D">
      <w:pPr>
        <w:pStyle w:val="2"/>
        <w:spacing w:before="40" w:line="220" w:lineRule="auto"/>
        <w:ind w:left="1569"/>
        <w:rPr>
          <w:sz w:val="24"/>
          <w:szCs w:val="24"/>
        </w:rPr>
      </w:pPr>
      <w:r>
        <w:rPr>
          <w:spacing w:val="-2"/>
          <w:sz w:val="24"/>
          <w:szCs w:val="24"/>
        </w:rPr>
        <w:t>洒水车作业</w:t>
      </w:r>
    </w:p>
    <w:p w14:paraId="35A4871A">
      <w:pPr>
        <w:spacing w:line="36" w:lineRule="auto"/>
        <w:rPr>
          <w:rFonts w:ascii="Arial"/>
          <w:sz w:val="2"/>
        </w:rPr>
      </w:pPr>
    </w:p>
    <w:p w14:paraId="0ABD10F8">
      <w:pPr>
        <w:spacing w:line="14" w:lineRule="auto"/>
        <w:rPr>
          <w:rFonts w:ascii="Arial"/>
          <w:sz w:val="2"/>
        </w:rPr>
      </w:pPr>
      <w:r>
        <w:rPr>
          <w:rFonts w:ascii="Arial" w:hAnsi="Arial" w:eastAsia="Arial" w:cs="Arial"/>
          <w:sz w:val="2"/>
          <w:szCs w:val="2"/>
        </w:rPr>
        <w:br w:type="column"/>
      </w:r>
    </w:p>
    <w:p w14:paraId="0273880A">
      <w:pPr>
        <w:spacing w:line="2852" w:lineRule="exact"/>
      </w:pPr>
      <w:r>
        <w:rPr>
          <w:position w:val="-57"/>
        </w:rPr>
        <w:drawing>
          <wp:inline distT="0" distB="0" distL="0" distR="0">
            <wp:extent cx="2531745" cy="181102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394"/>
                    <a:stretch>
                      <a:fillRect/>
                    </a:stretch>
                  </pic:blipFill>
                  <pic:spPr>
                    <a:xfrm>
                      <a:off x="0" y="0"/>
                      <a:ext cx="2532126" cy="1811413"/>
                    </a:xfrm>
                    <a:prstGeom prst="rect">
                      <a:avLst/>
                    </a:prstGeom>
                  </pic:spPr>
                </pic:pic>
              </a:graphicData>
            </a:graphic>
          </wp:inline>
        </w:drawing>
      </w:r>
    </w:p>
    <w:p w14:paraId="02506B86">
      <w:pPr>
        <w:pStyle w:val="2"/>
        <w:spacing w:before="41" w:line="220" w:lineRule="auto"/>
        <w:ind w:left="1042"/>
        <w:rPr>
          <w:sz w:val="24"/>
          <w:szCs w:val="24"/>
        </w:rPr>
      </w:pPr>
      <w:r>
        <w:rPr>
          <w:spacing w:val="-2"/>
          <w:sz w:val="24"/>
          <w:szCs w:val="24"/>
        </w:rPr>
        <w:t>洒水车及人工清扫</w:t>
      </w:r>
    </w:p>
    <w:p w14:paraId="3753BC11">
      <w:pPr>
        <w:spacing w:line="220" w:lineRule="auto"/>
        <w:rPr>
          <w:sz w:val="24"/>
          <w:szCs w:val="24"/>
        </w:rPr>
        <w:sectPr>
          <w:type w:val="continuous"/>
          <w:pgSz w:w="11907" w:h="16839"/>
          <w:pgMar w:top="1376" w:right="1514" w:bottom="1061" w:left="1671" w:header="999" w:footer="861" w:gutter="0"/>
          <w:cols w:equalWidth="0" w:num="2">
            <w:col w:w="4315" w:space="100"/>
            <w:col w:w="4306"/>
          </w:cols>
        </w:sectPr>
      </w:pPr>
    </w:p>
    <w:p w14:paraId="39C964A4">
      <w:pPr>
        <w:spacing w:line="81" w:lineRule="auto"/>
        <w:rPr>
          <w:rFonts w:ascii="Arial"/>
          <w:sz w:val="2"/>
        </w:rPr>
      </w:pPr>
    </w:p>
    <w:p w14:paraId="0ED3FEDA">
      <w:pPr>
        <w:spacing w:line="81" w:lineRule="auto"/>
        <w:rPr>
          <w:rFonts w:ascii="Arial" w:hAnsi="Arial" w:eastAsia="Arial" w:cs="Arial"/>
          <w:sz w:val="2"/>
          <w:szCs w:val="2"/>
        </w:rPr>
        <w:sectPr>
          <w:type w:val="continuous"/>
          <w:pgSz w:w="11907" w:h="16839"/>
          <w:pgMar w:top="1376" w:right="1514" w:bottom="1061" w:left="1671" w:header="999" w:footer="861" w:gutter="0"/>
          <w:cols w:equalWidth="0" w:num="1">
            <w:col w:w="8720"/>
          </w:cols>
        </w:sectPr>
      </w:pPr>
    </w:p>
    <w:p w14:paraId="78CEDFFB">
      <w:pPr>
        <w:spacing w:line="2854" w:lineRule="exact"/>
        <w:ind w:firstLine="167"/>
      </w:pPr>
      <w:r>
        <w:rPr>
          <w:position w:val="-57"/>
        </w:rPr>
        <w:drawing>
          <wp:inline distT="0" distB="0" distL="0" distR="0">
            <wp:extent cx="2531745" cy="1811655"/>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395"/>
                    <a:stretch>
                      <a:fillRect/>
                    </a:stretch>
                  </pic:blipFill>
                  <pic:spPr>
                    <a:xfrm>
                      <a:off x="0" y="0"/>
                      <a:ext cx="2532125" cy="1812289"/>
                    </a:xfrm>
                    <a:prstGeom prst="rect">
                      <a:avLst/>
                    </a:prstGeom>
                  </pic:spPr>
                </pic:pic>
              </a:graphicData>
            </a:graphic>
          </wp:inline>
        </w:drawing>
      </w:r>
    </w:p>
    <w:p w14:paraId="69E85FEE">
      <w:pPr>
        <w:pStyle w:val="2"/>
        <w:spacing w:before="41" w:line="185" w:lineRule="auto"/>
        <w:ind w:left="1448"/>
        <w:rPr>
          <w:sz w:val="24"/>
          <w:szCs w:val="24"/>
        </w:rPr>
      </w:pPr>
      <w:r>
        <w:rPr>
          <w:spacing w:val="-2"/>
          <w:sz w:val="24"/>
          <w:szCs w:val="24"/>
        </w:rPr>
        <w:t>人工洒水作业</w:t>
      </w:r>
    </w:p>
    <w:p w14:paraId="14828514">
      <w:pPr>
        <w:spacing w:line="14" w:lineRule="auto"/>
        <w:rPr>
          <w:rFonts w:ascii="Arial"/>
          <w:sz w:val="2"/>
        </w:rPr>
      </w:pPr>
      <w:r>
        <w:rPr>
          <w:rFonts w:ascii="Arial" w:hAnsi="Arial" w:eastAsia="Arial" w:cs="Arial"/>
          <w:sz w:val="2"/>
          <w:szCs w:val="2"/>
        </w:rPr>
        <w:br w:type="column"/>
      </w:r>
    </w:p>
    <w:p w14:paraId="6ABAFA59">
      <w:pPr>
        <w:spacing w:line="2852" w:lineRule="exact"/>
      </w:pPr>
      <w:r>
        <w:rPr>
          <w:position w:val="-57"/>
        </w:rPr>
        <w:drawing>
          <wp:inline distT="0" distB="0" distL="0" distR="0">
            <wp:extent cx="2531745" cy="1811020"/>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396"/>
                    <a:stretch>
                      <a:fillRect/>
                    </a:stretch>
                  </pic:blipFill>
                  <pic:spPr>
                    <a:xfrm>
                      <a:off x="0" y="0"/>
                      <a:ext cx="2532126" cy="1811413"/>
                    </a:xfrm>
                    <a:prstGeom prst="rect">
                      <a:avLst/>
                    </a:prstGeom>
                  </pic:spPr>
                </pic:pic>
              </a:graphicData>
            </a:graphic>
          </wp:inline>
        </w:drawing>
      </w:r>
    </w:p>
    <w:p w14:paraId="679B65E2">
      <w:pPr>
        <w:pStyle w:val="2"/>
        <w:spacing w:before="42" w:line="185" w:lineRule="auto"/>
        <w:ind w:left="1281"/>
        <w:rPr>
          <w:sz w:val="24"/>
          <w:szCs w:val="24"/>
        </w:rPr>
      </w:pPr>
      <w:r>
        <w:rPr>
          <w:spacing w:val="-2"/>
          <w:sz w:val="24"/>
          <w:szCs w:val="24"/>
        </w:rPr>
        <w:t>人工洒水作业</w:t>
      </w:r>
    </w:p>
    <w:p w14:paraId="138D56AA">
      <w:pPr>
        <w:spacing w:line="185" w:lineRule="auto"/>
        <w:rPr>
          <w:sz w:val="24"/>
          <w:szCs w:val="24"/>
        </w:rPr>
        <w:sectPr>
          <w:type w:val="continuous"/>
          <w:pgSz w:w="11907" w:h="16839"/>
          <w:pgMar w:top="1376" w:right="1514" w:bottom="1061" w:left="1671" w:header="999" w:footer="861" w:gutter="0"/>
          <w:cols w:equalWidth="0" w:num="2">
            <w:col w:w="4315" w:space="100"/>
            <w:col w:w="4306"/>
          </w:cols>
        </w:sectPr>
      </w:pPr>
    </w:p>
    <w:p w14:paraId="5F34ABC9">
      <w:pPr>
        <w:spacing w:line="407" w:lineRule="auto"/>
        <w:rPr>
          <w:rFonts w:ascii="Arial"/>
          <w:sz w:val="21"/>
        </w:rPr>
      </w:pPr>
    </w:p>
    <w:p w14:paraId="4E0EC766">
      <w:pPr>
        <w:spacing w:line="4328" w:lineRule="exact"/>
        <w:ind w:firstLine="4414"/>
      </w:pPr>
      <w:r>
        <w:drawing>
          <wp:anchor distT="0" distB="0" distL="0" distR="0" simplePos="0" relativeHeight="251709440" behindDoc="0" locked="0" layoutInCell="1" allowOverlap="1">
            <wp:simplePos x="0" y="0"/>
            <wp:positionH relativeFrom="column">
              <wp:posOffset>106045</wp:posOffset>
            </wp:positionH>
            <wp:positionV relativeFrom="paragraph">
              <wp:posOffset>0</wp:posOffset>
            </wp:positionV>
            <wp:extent cx="2532380" cy="2748280"/>
            <wp:effectExtent l="0" t="0" r="0" b="0"/>
            <wp:wrapNone/>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397"/>
                    <a:stretch>
                      <a:fillRect/>
                    </a:stretch>
                  </pic:blipFill>
                  <pic:spPr>
                    <a:xfrm>
                      <a:off x="0" y="0"/>
                      <a:ext cx="2532252" cy="2748279"/>
                    </a:xfrm>
                    <a:prstGeom prst="rect">
                      <a:avLst/>
                    </a:prstGeom>
                  </pic:spPr>
                </pic:pic>
              </a:graphicData>
            </a:graphic>
          </wp:anchor>
        </w:drawing>
      </w:r>
      <w:r>
        <w:rPr>
          <w:position w:val="-86"/>
        </w:rPr>
        <w:drawing>
          <wp:inline distT="0" distB="0" distL="0" distR="0">
            <wp:extent cx="2531745" cy="274764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398"/>
                    <a:stretch>
                      <a:fillRect/>
                    </a:stretch>
                  </pic:blipFill>
                  <pic:spPr>
                    <a:xfrm>
                      <a:off x="0" y="0"/>
                      <a:ext cx="2532253" cy="2748279"/>
                    </a:xfrm>
                    <a:prstGeom prst="rect">
                      <a:avLst/>
                    </a:prstGeom>
                  </pic:spPr>
                </pic:pic>
              </a:graphicData>
            </a:graphic>
          </wp:inline>
        </w:drawing>
      </w:r>
    </w:p>
    <w:p w14:paraId="2B258203">
      <w:pPr>
        <w:pStyle w:val="2"/>
        <w:spacing w:before="178" w:line="233" w:lineRule="auto"/>
        <w:ind w:left="2167"/>
        <w:rPr>
          <w:sz w:val="24"/>
          <w:szCs w:val="24"/>
        </w:rPr>
      </w:pPr>
      <w:r>
        <w:rPr>
          <w:b/>
          <w:bCs/>
          <w:spacing w:val="-3"/>
          <w:sz w:val="24"/>
          <w:szCs w:val="24"/>
        </w:rPr>
        <w:t>图</w:t>
      </w:r>
      <w:r>
        <w:rPr>
          <w:spacing w:val="-40"/>
          <w:sz w:val="24"/>
          <w:szCs w:val="24"/>
        </w:rPr>
        <w:t xml:space="preserve"> </w:t>
      </w:r>
      <w:r>
        <w:rPr>
          <w:rFonts w:ascii="Times New Roman" w:hAnsi="Times New Roman" w:eastAsia="Times New Roman" w:cs="Times New Roman"/>
          <w:b/>
          <w:bCs/>
          <w:spacing w:val="-3"/>
          <w:sz w:val="24"/>
          <w:szCs w:val="24"/>
        </w:rPr>
        <w:t xml:space="preserve">5.2-3      </w:t>
      </w:r>
      <w:r>
        <w:rPr>
          <w:b/>
          <w:bCs/>
          <w:spacing w:val="-3"/>
          <w:sz w:val="24"/>
          <w:szCs w:val="24"/>
        </w:rPr>
        <w:t>工程区运输车辆洒水抑尘效果</w:t>
      </w:r>
    </w:p>
    <w:p w14:paraId="4C2941B2">
      <w:pPr>
        <w:pStyle w:val="2"/>
        <w:spacing w:before="223" w:line="226" w:lineRule="auto"/>
        <w:ind w:left="35"/>
        <w:rPr>
          <w:sz w:val="27"/>
          <w:szCs w:val="27"/>
        </w:rPr>
      </w:pPr>
      <w:r>
        <w:rPr>
          <w:rFonts w:ascii="Arial" w:hAnsi="Arial" w:eastAsia="Arial" w:cs="Arial"/>
          <w:spacing w:val="-3"/>
          <w:position w:val="1"/>
          <w:sz w:val="27"/>
          <w:szCs w:val="27"/>
        </w:rPr>
        <w:t>5.2.3</w:t>
      </w:r>
      <w:r>
        <w:rPr>
          <w:rFonts w:ascii="Arial" w:hAnsi="Arial" w:eastAsia="Arial" w:cs="Arial"/>
          <w:spacing w:val="8"/>
          <w:position w:val="1"/>
          <w:sz w:val="27"/>
          <w:szCs w:val="27"/>
        </w:rPr>
        <w:t xml:space="preserve">    </w:t>
      </w:r>
      <w:r>
        <w:rPr>
          <w:b/>
          <w:bCs/>
          <w:spacing w:val="-3"/>
          <w:position w:val="-1"/>
          <w:sz w:val="27"/>
          <w:szCs w:val="27"/>
        </w:rPr>
        <w:t>固体废物处置设施</w:t>
      </w:r>
    </w:p>
    <w:p w14:paraId="4306367C">
      <w:pPr>
        <w:pStyle w:val="2"/>
        <w:spacing w:before="262"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）生活垃圾</w:t>
      </w:r>
    </w:p>
    <w:p w14:paraId="3594D925">
      <w:pPr>
        <w:pStyle w:val="2"/>
        <w:spacing w:before="134" w:line="292" w:lineRule="auto"/>
        <w:ind w:left="43" w:right="27" w:firstLine="475"/>
        <w:rPr>
          <w:sz w:val="24"/>
          <w:szCs w:val="24"/>
        </w:rPr>
      </w:pPr>
      <w:r>
        <w:rPr>
          <w:spacing w:val="3"/>
          <w:sz w:val="24"/>
          <w:szCs w:val="24"/>
        </w:rPr>
        <w:t>施工期各施工营地生活垃圾集中收集后由附近环卫站定期清理，纳入当地生</w:t>
      </w:r>
      <w:r>
        <w:rPr>
          <w:spacing w:val="-1"/>
          <w:sz w:val="24"/>
          <w:szCs w:val="24"/>
        </w:rPr>
        <w:t>活垃圾处理体系。施工营地生活垃圾存放点现状见图</w:t>
      </w:r>
      <w:r>
        <w:rPr>
          <w:spacing w:val="-45"/>
          <w:sz w:val="24"/>
          <w:szCs w:val="24"/>
        </w:rPr>
        <w:t xml:space="preserve"> </w:t>
      </w:r>
      <w:r>
        <w:rPr>
          <w:rFonts w:ascii="Times New Roman" w:hAnsi="Times New Roman" w:eastAsia="Times New Roman" w:cs="Times New Roman"/>
          <w:spacing w:val="-1"/>
          <w:sz w:val="24"/>
          <w:szCs w:val="24"/>
        </w:rPr>
        <w:t>5.2-4</w:t>
      </w:r>
      <w:r>
        <w:rPr>
          <w:spacing w:val="-1"/>
          <w:sz w:val="24"/>
          <w:szCs w:val="24"/>
        </w:rPr>
        <w:t>。</w:t>
      </w:r>
    </w:p>
    <w:p w14:paraId="73A3469B">
      <w:pPr>
        <w:spacing w:line="292" w:lineRule="auto"/>
        <w:rPr>
          <w:sz w:val="24"/>
          <w:szCs w:val="24"/>
        </w:rPr>
        <w:sectPr>
          <w:headerReference r:id="rId139" w:type="default"/>
          <w:footerReference r:id="rId140" w:type="default"/>
          <w:pgSz w:w="11907" w:h="16839"/>
          <w:pgMar w:top="1376" w:right="1669" w:bottom="1061" w:left="1671" w:header="999" w:footer="861" w:gutter="0"/>
          <w:cols w:equalWidth="0" w:num="1">
            <w:col w:w="8566"/>
          </w:cols>
        </w:sectPr>
      </w:pPr>
    </w:p>
    <w:p w14:paraId="257B4D80">
      <w:pPr>
        <w:spacing w:line="3071" w:lineRule="exact"/>
        <w:ind w:firstLine="172"/>
      </w:pPr>
      <w:r>
        <w:rPr>
          <w:position w:val="-61"/>
        </w:rPr>
        <w:drawing>
          <wp:inline distT="0" distB="0" distL="0" distR="0">
            <wp:extent cx="2525395" cy="194945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399"/>
                    <a:stretch>
                      <a:fillRect/>
                    </a:stretch>
                  </pic:blipFill>
                  <pic:spPr>
                    <a:xfrm>
                      <a:off x="0" y="0"/>
                      <a:ext cx="2526029" cy="1950084"/>
                    </a:xfrm>
                    <a:prstGeom prst="rect">
                      <a:avLst/>
                    </a:prstGeom>
                  </pic:spPr>
                </pic:pic>
              </a:graphicData>
            </a:graphic>
          </wp:inline>
        </w:drawing>
      </w:r>
    </w:p>
    <w:p w14:paraId="5AB52483">
      <w:pPr>
        <w:pStyle w:val="2"/>
        <w:spacing w:before="59" w:line="220" w:lineRule="auto"/>
        <w:ind w:left="1328"/>
        <w:rPr>
          <w:sz w:val="24"/>
          <w:szCs w:val="24"/>
        </w:rPr>
      </w:pPr>
      <w:r>
        <w:rPr>
          <w:spacing w:val="-2"/>
          <w:sz w:val="24"/>
          <w:szCs w:val="24"/>
        </w:rPr>
        <w:t>生活垃圾存放点</w:t>
      </w:r>
    </w:p>
    <w:p w14:paraId="2E3181A1">
      <w:pPr>
        <w:spacing w:line="35" w:lineRule="auto"/>
        <w:rPr>
          <w:rFonts w:ascii="Arial"/>
          <w:sz w:val="2"/>
        </w:rPr>
      </w:pPr>
    </w:p>
    <w:p w14:paraId="097DF968">
      <w:pPr>
        <w:spacing w:line="14" w:lineRule="auto"/>
        <w:rPr>
          <w:rFonts w:ascii="Arial"/>
          <w:sz w:val="2"/>
        </w:rPr>
      </w:pPr>
      <w:r>
        <w:rPr>
          <w:rFonts w:ascii="Arial" w:hAnsi="Arial" w:eastAsia="Arial" w:cs="Arial"/>
          <w:sz w:val="2"/>
          <w:szCs w:val="2"/>
        </w:rPr>
        <w:br w:type="column"/>
      </w:r>
    </w:p>
    <w:p w14:paraId="454C5B97">
      <w:pPr>
        <w:spacing w:before="2" w:line="3071" w:lineRule="exact"/>
      </w:pPr>
      <w:r>
        <w:rPr>
          <w:position w:val="-61"/>
        </w:rPr>
        <w:drawing>
          <wp:inline distT="0" distB="0" distL="0" distR="0">
            <wp:extent cx="2526030" cy="194945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400"/>
                    <a:stretch>
                      <a:fillRect/>
                    </a:stretch>
                  </pic:blipFill>
                  <pic:spPr>
                    <a:xfrm>
                      <a:off x="0" y="0"/>
                      <a:ext cx="2526030" cy="1950084"/>
                    </a:xfrm>
                    <a:prstGeom prst="rect">
                      <a:avLst/>
                    </a:prstGeom>
                  </pic:spPr>
                </pic:pic>
              </a:graphicData>
            </a:graphic>
          </wp:inline>
        </w:drawing>
      </w:r>
    </w:p>
    <w:p w14:paraId="26AC3EFE">
      <w:pPr>
        <w:pStyle w:val="2"/>
        <w:spacing w:before="57" w:line="220" w:lineRule="auto"/>
        <w:ind w:left="1040"/>
        <w:rPr>
          <w:sz w:val="24"/>
          <w:szCs w:val="24"/>
        </w:rPr>
      </w:pPr>
      <w:r>
        <w:rPr>
          <w:spacing w:val="-2"/>
          <w:sz w:val="24"/>
          <w:szCs w:val="24"/>
        </w:rPr>
        <w:t>生活垃圾清运记录</w:t>
      </w:r>
    </w:p>
    <w:p w14:paraId="3280777C">
      <w:pPr>
        <w:spacing w:line="220" w:lineRule="auto"/>
        <w:rPr>
          <w:sz w:val="24"/>
          <w:szCs w:val="24"/>
        </w:rPr>
        <w:sectPr>
          <w:type w:val="continuous"/>
          <w:pgSz w:w="11907" w:h="16839"/>
          <w:pgMar w:top="1376" w:right="1669" w:bottom="1061" w:left="1671" w:header="999" w:footer="861" w:gutter="0"/>
          <w:cols w:equalWidth="0" w:num="2">
            <w:col w:w="4316" w:space="100"/>
            <w:col w:w="4150"/>
          </w:cols>
        </w:sectPr>
      </w:pPr>
    </w:p>
    <w:p w14:paraId="230FBE3B">
      <w:pPr>
        <w:pStyle w:val="2"/>
        <w:spacing w:before="134" w:line="233" w:lineRule="auto"/>
        <w:ind w:left="1745"/>
        <w:rPr>
          <w:sz w:val="24"/>
          <w:szCs w:val="24"/>
        </w:rPr>
      </w:pPr>
      <w:r>
        <w:rPr>
          <w:b/>
          <w:bCs/>
          <w:spacing w:val="-2"/>
          <w:sz w:val="24"/>
          <w:szCs w:val="24"/>
        </w:rPr>
        <w:t>图</w:t>
      </w:r>
      <w:r>
        <w:rPr>
          <w:spacing w:val="-50"/>
          <w:sz w:val="24"/>
          <w:szCs w:val="24"/>
        </w:rPr>
        <w:t xml:space="preserve"> </w:t>
      </w:r>
      <w:r>
        <w:rPr>
          <w:rFonts w:ascii="Times New Roman" w:hAnsi="Times New Roman" w:eastAsia="Times New Roman" w:cs="Times New Roman"/>
          <w:b/>
          <w:bCs/>
          <w:spacing w:val="-2"/>
          <w:sz w:val="24"/>
          <w:szCs w:val="24"/>
        </w:rPr>
        <w:t xml:space="preserve">5.2-4        </w:t>
      </w:r>
      <w:r>
        <w:rPr>
          <w:b/>
          <w:bCs/>
          <w:spacing w:val="-2"/>
          <w:sz w:val="24"/>
          <w:szCs w:val="24"/>
        </w:rPr>
        <w:t>工程区生活垃</w:t>
      </w:r>
      <w:r>
        <w:rPr>
          <w:b/>
          <w:bCs/>
          <w:spacing w:val="-3"/>
          <w:sz w:val="24"/>
          <w:szCs w:val="24"/>
        </w:rPr>
        <w:t>圾储存设施及清运记录</w:t>
      </w:r>
    </w:p>
    <w:p w14:paraId="5C4FDE4C">
      <w:pPr>
        <w:spacing w:line="247" w:lineRule="auto"/>
        <w:rPr>
          <w:rFonts w:ascii="Arial"/>
          <w:sz w:val="21"/>
        </w:rPr>
      </w:pPr>
    </w:p>
    <w:p w14:paraId="3CC3695B">
      <w:pPr>
        <w:spacing w:line="248" w:lineRule="auto"/>
        <w:rPr>
          <w:rFonts w:ascii="Arial"/>
          <w:sz w:val="21"/>
        </w:rPr>
      </w:pPr>
    </w:p>
    <w:p w14:paraId="6C9D2F76">
      <w:pPr>
        <w:pStyle w:val="2"/>
        <w:spacing w:before="79"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）一般固体废物</w:t>
      </w:r>
    </w:p>
    <w:p w14:paraId="2AFBDA49">
      <w:pPr>
        <w:pStyle w:val="2"/>
        <w:spacing w:before="135" w:line="269" w:lineRule="auto"/>
        <w:ind w:left="62" w:right="32" w:firstLine="456"/>
        <w:rPr>
          <w:sz w:val="24"/>
          <w:szCs w:val="24"/>
        </w:rPr>
      </w:pPr>
      <w:r>
        <w:rPr>
          <w:spacing w:val="-4"/>
          <w:sz w:val="24"/>
          <w:szCs w:val="24"/>
        </w:rPr>
        <w:t>沉淀池淤泥：施工单位定期对沉淀池内淤泥进行清</w:t>
      </w:r>
      <w:r>
        <w:rPr>
          <w:spacing w:val="-5"/>
          <w:sz w:val="24"/>
          <w:szCs w:val="24"/>
        </w:rPr>
        <w:t>理，运至指定渣场填埋。见</w:t>
      </w:r>
      <w:r>
        <w:rPr>
          <w:spacing w:val="-7"/>
          <w:sz w:val="24"/>
          <w:szCs w:val="24"/>
        </w:rPr>
        <w:t>图</w:t>
      </w:r>
      <w:r>
        <w:rPr>
          <w:spacing w:val="-45"/>
          <w:sz w:val="24"/>
          <w:szCs w:val="24"/>
        </w:rPr>
        <w:t xml:space="preserve"> </w:t>
      </w:r>
      <w:r>
        <w:rPr>
          <w:rFonts w:ascii="Times New Roman" w:hAnsi="Times New Roman" w:eastAsia="Times New Roman" w:cs="Times New Roman"/>
          <w:spacing w:val="-7"/>
          <w:sz w:val="24"/>
          <w:szCs w:val="24"/>
        </w:rPr>
        <w:t>5.2-5</w:t>
      </w:r>
      <w:r>
        <w:rPr>
          <w:spacing w:val="-7"/>
          <w:sz w:val="24"/>
          <w:szCs w:val="24"/>
        </w:rPr>
        <w:t>。</w:t>
      </w:r>
    </w:p>
    <w:p w14:paraId="3C25D2EF">
      <w:pPr>
        <w:spacing w:line="269" w:lineRule="auto"/>
        <w:rPr>
          <w:sz w:val="24"/>
          <w:szCs w:val="24"/>
        </w:rPr>
        <w:sectPr>
          <w:type w:val="continuous"/>
          <w:pgSz w:w="11907" w:h="16839"/>
          <w:pgMar w:top="1376" w:right="1669" w:bottom="1061" w:left="1671" w:header="999" w:footer="861" w:gutter="0"/>
          <w:cols w:equalWidth="0" w:num="1">
            <w:col w:w="8566"/>
          </w:cols>
        </w:sectPr>
      </w:pPr>
    </w:p>
    <w:p w14:paraId="1C1B8A1A">
      <w:pPr>
        <w:spacing w:before="168"/>
      </w:pPr>
    </w:p>
    <w:p w14:paraId="7027968C">
      <w:pPr>
        <w:sectPr>
          <w:headerReference r:id="rId141" w:type="default"/>
          <w:footerReference r:id="rId142" w:type="default"/>
          <w:pgSz w:w="11907" w:h="16839"/>
          <w:pgMar w:top="1376" w:right="1633" w:bottom="1061" w:left="1671" w:header="999" w:footer="861" w:gutter="0"/>
          <w:cols w:equalWidth="0" w:num="1">
            <w:col w:w="8601"/>
          </w:cols>
        </w:sectPr>
      </w:pPr>
    </w:p>
    <w:p w14:paraId="12E23A17">
      <w:pPr>
        <w:spacing w:line="2995" w:lineRule="exact"/>
        <w:ind w:firstLine="167"/>
      </w:pPr>
      <w:r>
        <w:rPr>
          <w:position w:val="-59"/>
        </w:rPr>
        <w:drawing>
          <wp:inline distT="0" distB="0" distL="0" distR="0">
            <wp:extent cx="2532380" cy="1901825"/>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401"/>
                    <a:stretch>
                      <a:fillRect/>
                    </a:stretch>
                  </pic:blipFill>
                  <pic:spPr>
                    <a:xfrm>
                      <a:off x="0" y="0"/>
                      <a:ext cx="2532380" cy="1902459"/>
                    </a:xfrm>
                    <a:prstGeom prst="rect">
                      <a:avLst/>
                    </a:prstGeom>
                  </pic:spPr>
                </pic:pic>
              </a:graphicData>
            </a:graphic>
          </wp:inline>
        </w:drawing>
      </w:r>
    </w:p>
    <w:p w14:paraId="09334FFE">
      <w:pPr>
        <w:pStyle w:val="2"/>
        <w:spacing w:before="50" w:line="220" w:lineRule="auto"/>
        <w:ind w:left="1326"/>
        <w:rPr>
          <w:sz w:val="24"/>
          <w:szCs w:val="24"/>
        </w:rPr>
      </w:pPr>
      <w:r>
        <w:rPr>
          <w:spacing w:val="-2"/>
          <w:sz w:val="24"/>
          <w:szCs w:val="24"/>
        </w:rPr>
        <w:t>沉淀池人工清淤</w:t>
      </w:r>
    </w:p>
    <w:p w14:paraId="50590EDF">
      <w:pPr>
        <w:spacing w:line="17" w:lineRule="auto"/>
        <w:rPr>
          <w:rFonts w:ascii="Arial"/>
          <w:sz w:val="2"/>
        </w:rPr>
      </w:pPr>
    </w:p>
    <w:p w14:paraId="30A70267">
      <w:pPr>
        <w:spacing w:line="14" w:lineRule="auto"/>
        <w:rPr>
          <w:rFonts w:ascii="Arial"/>
          <w:sz w:val="2"/>
        </w:rPr>
      </w:pPr>
      <w:r>
        <w:rPr>
          <w:rFonts w:ascii="Arial" w:hAnsi="Arial" w:eastAsia="Arial" w:cs="Arial"/>
          <w:sz w:val="2"/>
          <w:szCs w:val="2"/>
        </w:rPr>
        <w:br w:type="column"/>
      </w:r>
    </w:p>
    <w:p w14:paraId="24FFC7F0">
      <w:pPr>
        <w:spacing w:line="2994" w:lineRule="exact"/>
      </w:pPr>
      <w:r>
        <w:rPr>
          <w:position w:val="-59"/>
        </w:rPr>
        <w:drawing>
          <wp:inline distT="0" distB="0" distL="0" distR="0">
            <wp:extent cx="2531745" cy="190119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402"/>
                    <a:stretch>
                      <a:fillRect/>
                    </a:stretch>
                  </pic:blipFill>
                  <pic:spPr>
                    <a:xfrm>
                      <a:off x="0" y="0"/>
                      <a:ext cx="2532379" cy="1901583"/>
                    </a:xfrm>
                    <a:prstGeom prst="rect">
                      <a:avLst/>
                    </a:prstGeom>
                  </pic:spPr>
                </pic:pic>
              </a:graphicData>
            </a:graphic>
          </wp:inline>
        </w:drawing>
      </w:r>
    </w:p>
    <w:p w14:paraId="4EB5A59C">
      <w:pPr>
        <w:pStyle w:val="2"/>
        <w:spacing w:before="49" w:line="219" w:lineRule="auto"/>
        <w:ind w:left="1159"/>
        <w:rPr>
          <w:sz w:val="24"/>
          <w:szCs w:val="24"/>
        </w:rPr>
      </w:pPr>
      <w:r>
        <w:rPr>
          <w:spacing w:val="-2"/>
          <w:sz w:val="24"/>
          <w:szCs w:val="24"/>
        </w:rPr>
        <w:t>沉淀池机械清淤</w:t>
      </w:r>
    </w:p>
    <w:p w14:paraId="73D1A016">
      <w:pPr>
        <w:spacing w:line="219" w:lineRule="auto"/>
        <w:rPr>
          <w:sz w:val="24"/>
          <w:szCs w:val="24"/>
        </w:rPr>
        <w:sectPr>
          <w:type w:val="continuous"/>
          <w:pgSz w:w="11907" w:h="16839"/>
          <w:pgMar w:top="1376" w:right="1633" w:bottom="1061" w:left="1671" w:header="999" w:footer="861" w:gutter="0"/>
          <w:cols w:equalWidth="0" w:num="2">
            <w:col w:w="4315" w:space="100"/>
            <w:col w:w="4187"/>
          </w:cols>
        </w:sectPr>
      </w:pPr>
    </w:p>
    <w:p w14:paraId="0700125A">
      <w:pPr>
        <w:spacing w:line="76" w:lineRule="auto"/>
        <w:rPr>
          <w:rFonts w:ascii="Arial"/>
          <w:sz w:val="2"/>
        </w:rPr>
      </w:pPr>
    </w:p>
    <w:p w14:paraId="4DF42C34">
      <w:pPr>
        <w:spacing w:line="76" w:lineRule="auto"/>
        <w:rPr>
          <w:rFonts w:ascii="Arial" w:hAnsi="Arial" w:eastAsia="Arial" w:cs="Arial"/>
          <w:sz w:val="2"/>
          <w:szCs w:val="2"/>
        </w:rPr>
        <w:sectPr>
          <w:type w:val="continuous"/>
          <w:pgSz w:w="11907" w:h="16839"/>
          <w:pgMar w:top="1376" w:right="1633" w:bottom="1061" w:left="1671" w:header="999" w:footer="861" w:gutter="0"/>
          <w:cols w:equalWidth="0" w:num="1">
            <w:col w:w="8601"/>
          </w:cols>
        </w:sectPr>
      </w:pPr>
    </w:p>
    <w:p w14:paraId="004975CE">
      <w:pPr>
        <w:spacing w:line="2995" w:lineRule="exact"/>
        <w:ind w:firstLine="167"/>
      </w:pPr>
      <w:r>
        <w:rPr>
          <w:position w:val="-59"/>
        </w:rPr>
        <w:drawing>
          <wp:inline distT="0" distB="0" distL="0" distR="0">
            <wp:extent cx="2532380" cy="1901825"/>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403"/>
                    <a:stretch>
                      <a:fillRect/>
                    </a:stretch>
                  </pic:blipFill>
                  <pic:spPr>
                    <a:xfrm>
                      <a:off x="0" y="0"/>
                      <a:ext cx="2532380" cy="1902459"/>
                    </a:xfrm>
                    <a:prstGeom prst="rect">
                      <a:avLst/>
                    </a:prstGeom>
                  </pic:spPr>
                </pic:pic>
              </a:graphicData>
            </a:graphic>
          </wp:inline>
        </w:drawing>
      </w:r>
    </w:p>
    <w:p w14:paraId="1AB7D350">
      <w:pPr>
        <w:pStyle w:val="2"/>
        <w:spacing w:before="50" w:line="220" w:lineRule="auto"/>
        <w:ind w:left="1566"/>
        <w:rPr>
          <w:sz w:val="24"/>
          <w:szCs w:val="24"/>
        </w:rPr>
      </w:pPr>
      <w:r>
        <w:rPr>
          <w:spacing w:val="-2"/>
          <w:sz w:val="24"/>
          <w:szCs w:val="24"/>
        </w:rPr>
        <w:t>沉淀池清淤</w:t>
      </w:r>
    </w:p>
    <w:p w14:paraId="60FE7381">
      <w:pPr>
        <w:spacing w:line="24" w:lineRule="auto"/>
        <w:rPr>
          <w:rFonts w:ascii="Arial"/>
          <w:sz w:val="2"/>
        </w:rPr>
      </w:pPr>
    </w:p>
    <w:p w14:paraId="7655FDAA">
      <w:pPr>
        <w:spacing w:line="14" w:lineRule="auto"/>
        <w:rPr>
          <w:rFonts w:ascii="Arial"/>
          <w:sz w:val="2"/>
        </w:rPr>
      </w:pPr>
      <w:r>
        <w:rPr>
          <w:rFonts w:ascii="Arial" w:hAnsi="Arial" w:eastAsia="Arial" w:cs="Arial"/>
          <w:sz w:val="2"/>
          <w:szCs w:val="2"/>
        </w:rPr>
        <w:br w:type="column"/>
      </w:r>
    </w:p>
    <w:p w14:paraId="185EDB1F">
      <w:pPr>
        <w:spacing w:line="2994" w:lineRule="exact"/>
      </w:pPr>
      <w:r>
        <w:rPr>
          <w:position w:val="-59"/>
        </w:rPr>
        <w:drawing>
          <wp:inline distT="0" distB="0" distL="0" distR="0">
            <wp:extent cx="2531745" cy="1901190"/>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404"/>
                    <a:stretch>
                      <a:fillRect/>
                    </a:stretch>
                  </pic:blipFill>
                  <pic:spPr>
                    <a:xfrm>
                      <a:off x="0" y="0"/>
                      <a:ext cx="2532379" cy="1901583"/>
                    </a:xfrm>
                    <a:prstGeom prst="rect">
                      <a:avLst/>
                    </a:prstGeom>
                  </pic:spPr>
                </pic:pic>
              </a:graphicData>
            </a:graphic>
          </wp:inline>
        </w:drawing>
      </w:r>
    </w:p>
    <w:p w14:paraId="62573C70">
      <w:pPr>
        <w:pStyle w:val="2"/>
        <w:spacing w:before="50" w:line="220" w:lineRule="auto"/>
        <w:ind w:left="1399"/>
        <w:rPr>
          <w:sz w:val="24"/>
          <w:szCs w:val="24"/>
        </w:rPr>
      </w:pPr>
      <w:r>
        <w:rPr>
          <w:spacing w:val="-2"/>
          <w:sz w:val="24"/>
          <w:szCs w:val="24"/>
        </w:rPr>
        <w:t>沉淀池清淤</w:t>
      </w:r>
    </w:p>
    <w:p w14:paraId="4C17FF47">
      <w:pPr>
        <w:spacing w:line="220" w:lineRule="auto"/>
        <w:rPr>
          <w:sz w:val="24"/>
          <w:szCs w:val="24"/>
        </w:rPr>
        <w:sectPr>
          <w:type w:val="continuous"/>
          <w:pgSz w:w="11907" w:h="16839"/>
          <w:pgMar w:top="1376" w:right="1633" w:bottom="1061" w:left="1671" w:header="999" w:footer="861" w:gutter="0"/>
          <w:cols w:equalWidth="0" w:num="2">
            <w:col w:w="4315" w:space="100"/>
            <w:col w:w="4187"/>
          </w:cols>
        </w:sectPr>
      </w:pPr>
    </w:p>
    <w:p w14:paraId="35B8B521">
      <w:pPr>
        <w:pStyle w:val="2"/>
        <w:spacing w:before="134" w:line="233" w:lineRule="auto"/>
        <w:ind w:left="2227"/>
        <w:rPr>
          <w:sz w:val="24"/>
          <w:szCs w:val="24"/>
        </w:rPr>
      </w:pPr>
      <w:r>
        <w:rPr>
          <w:b/>
          <w:bCs/>
          <w:spacing w:val="-3"/>
          <w:sz w:val="24"/>
          <w:szCs w:val="24"/>
        </w:rPr>
        <w:t>图</w:t>
      </w:r>
      <w:r>
        <w:rPr>
          <w:spacing w:val="-37"/>
          <w:sz w:val="24"/>
          <w:szCs w:val="24"/>
        </w:rPr>
        <w:t xml:space="preserve"> </w:t>
      </w:r>
      <w:r>
        <w:rPr>
          <w:rFonts w:ascii="Times New Roman" w:hAnsi="Times New Roman" w:eastAsia="Times New Roman" w:cs="Times New Roman"/>
          <w:b/>
          <w:bCs/>
          <w:spacing w:val="-3"/>
          <w:sz w:val="24"/>
          <w:szCs w:val="24"/>
        </w:rPr>
        <w:t xml:space="preserve">5.2-5        </w:t>
      </w:r>
      <w:r>
        <w:rPr>
          <w:b/>
          <w:bCs/>
          <w:spacing w:val="-3"/>
          <w:sz w:val="24"/>
          <w:szCs w:val="24"/>
        </w:rPr>
        <w:t>输水工程施工区沉淀池清淤</w:t>
      </w:r>
    </w:p>
    <w:p w14:paraId="17DF7F0F">
      <w:pPr>
        <w:pStyle w:val="2"/>
        <w:spacing w:before="137" w:line="339" w:lineRule="auto"/>
        <w:ind w:left="39" w:firstLine="482"/>
        <w:jc w:val="both"/>
        <w:rPr>
          <w:sz w:val="24"/>
          <w:szCs w:val="24"/>
        </w:rPr>
      </w:pPr>
      <w:r>
        <w:rPr>
          <w:spacing w:val="3"/>
          <w:sz w:val="24"/>
          <w:szCs w:val="24"/>
        </w:rPr>
        <w:t>工程建设期间产生的固体废物主要包括参建</w:t>
      </w:r>
      <w:r>
        <w:rPr>
          <w:spacing w:val="2"/>
          <w:sz w:val="24"/>
          <w:szCs w:val="24"/>
        </w:rPr>
        <w:t>人员生活垃圾、施工废弃物和弃</w:t>
      </w:r>
      <w:r>
        <w:rPr>
          <w:spacing w:val="-6"/>
          <w:sz w:val="24"/>
          <w:szCs w:val="24"/>
        </w:rPr>
        <w:t>渣。工程建设过程中，</w:t>
      </w:r>
      <w:r>
        <w:rPr>
          <w:spacing w:val="-45"/>
          <w:sz w:val="24"/>
          <w:szCs w:val="24"/>
        </w:rPr>
        <w:t xml:space="preserve"> </w:t>
      </w:r>
      <w:r>
        <w:rPr>
          <w:spacing w:val="-6"/>
          <w:sz w:val="24"/>
          <w:szCs w:val="24"/>
        </w:rPr>
        <w:t>参建人员产生的生活垃圾通过收集、外运后纳</w:t>
      </w:r>
      <w:r>
        <w:rPr>
          <w:spacing w:val="-7"/>
          <w:sz w:val="24"/>
          <w:szCs w:val="24"/>
        </w:rPr>
        <w:t>入马龙区垃圾</w:t>
      </w:r>
      <w:r>
        <w:rPr>
          <w:spacing w:val="-2"/>
          <w:sz w:val="24"/>
          <w:szCs w:val="24"/>
        </w:rPr>
        <w:t>处理体系一并处理；施工过程中对产生的各类有回收价值废弃物</w:t>
      </w:r>
      <w:r>
        <w:rPr>
          <w:spacing w:val="-3"/>
          <w:sz w:val="24"/>
          <w:szCs w:val="24"/>
        </w:rPr>
        <w:t>进行了回收利用，</w:t>
      </w:r>
      <w:r>
        <w:rPr>
          <w:spacing w:val="-4"/>
          <w:sz w:val="24"/>
          <w:szCs w:val="24"/>
        </w:rPr>
        <w:t>其余废弃物作为弃渣运往渣场堆存。工程施工阶段，工程区范围内固体废物</w:t>
      </w:r>
      <w:r>
        <w:rPr>
          <w:spacing w:val="-5"/>
          <w:sz w:val="24"/>
          <w:szCs w:val="24"/>
        </w:rPr>
        <w:t>基本得</w:t>
      </w:r>
      <w:r>
        <w:rPr>
          <w:spacing w:val="-3"/>
          <w:sz w:val="24"/>
          <w:szCs w:val="24"/>
        </w:rPr>
        <w:t>到了有效处置，环境卫生面貌良好。</w:t>
      </w:r>
    </w:p>
    <w:p w14:paraId="357EB921">
      <w:pPr>
        <w:pStyle w:val="2"/>
        <w:spacing w:before="82" w:line="227" w:lineRule="auto"/>
        <w:ind w:left="35"/>
        <w:rPr>
          <w:sz w:val="27"/>
          <w:szCs w:val="27"/>
        </w:rPr>
      </w:pPr>
      <w:r>
        <w:rPr>
          <w:rFonts w:ascii="Arial" w:hAnsi="Arial" w:eastAsia="Arial" w:cs="Arial"/>
          <w:spacing w:val="7"/>
          <w:position w:val="1"/>
          <w:sz w:val="21"/>
          <w:szCs w:val="21"/>
        </w:rPr>
        <w:t xml:space="preserve">5.2.4     </w:t>
      </w:r>
      <w:r>
        <w:rPr>
          <w:b/>
          <w:bCs/>
          <w:spacing w:val="7"/>
          <w:position w:val="-1"/>
          <w:sz w:val="27"/>
          <w:szCs w:val="27"/>
        </w:rPr>
        <w:t>噪声污染防治设施</w:t>
      </w:r>
    </w:p>
    <w:p w14:paraId="62AB495B">
      <w:pPr>
        <w:pStyle w:val="2"/>
        <w:spacing w:before="265" w:line="339" w:lineRule="auto"/>
        <w:ind w:left="39" w:right="66" w:firstLine="479"/>
        <w:jc w:val="both"/>
        <w:rPr>
          <w:sz w:val="24"/>
          <w:szCs w:val="24"/>
        </w:rPr>
      </w:pPr>
      <w:r>
        <w:rPr>
          <w:spacing w:val="-4"/>
          <w:sz w:val="24"/>
          <w:szCs w:val="24"/>
        </w:rPr>
        <w:t>施工期噪声主要为车辆运输噪声、空压机噪声、施工噪</w:t>
      </w:r>
      <w:r>
        <w:rPr>
          <w:spacing w:val="-5"/>
          <w:sz w:val="24"/>
          <w:szCs w:val="24"/>
        </w:rPr>
        <w:t>声等。主要采取车辆通</w:t>
      </w:r>
      <w:r>
        <w:rPr>
          <w:spacing w:val="-6"/>
          <w:sz w:val="24"/>
          <w:szCs w:val="24"/>
        </w:rPr>
        <w:t>过限速、禁止鸣笛等方式降低噪声，</w:t>
      </w:r>
      <w:r>
        <w:rPr>
          <w:spacing w:val="-40"/>
          <w:sz w:val="24"/>
          <w:szCs w:val="24"/>
        </w:rPr>
        <w:t xml:space="preserve"> </w:t>
      </w:r>
      <w:r>
        <w:rPr>
          <w:spacing w:val="-6"/>
          <w:sz w:val="24"/>
          <w:szCs w:val="24"/>
        </w:rPr>
        <w:t>空压机安装时已设</w:t>
      </w:r>
      <w:r>
        <w:rPr>
          <w:spacing w:val="-7"/>
          <w:sz w:val="24"/>
          <w:szCs w:val="24"/>
        </w:rPr>
        <w:t>置减震垫和密闭措施，噪声</w:t>
      </w:r>
      <w:r>
        <w:rPr>
          <w:spacing w:val="-4"/>
          <w:sz w:val="24"/>
          <w:szCs w:val="24"/>
        </w:rPr>
        <w:t>产生较大的施工区域夜间禁止施工等。各施工作业区，噪声源距离居民区</w:t>
      </w:r>
      <w:r>
        <w:rPr>
          <w:spacing w:val="-5"/>
          <w:sz w:val="24"/>
          <w:szCs w:val="24"/>
        </w:rPr>
        <w:t>等噪声敏</w:t>
      </w:r>
      <w:r>
        <w:rPr>
          <w:spacing w:val="-4"/>
          <w:sz w:val="24"/>
          <w:szCs w:val="24"/>
        </w:rPr>
        <w:t>感点均较远，基本不影响周围居民和生活营地施工人员休息。噪声环境下</w:t>
      </w:r>
      <w:r>
        <w:rPr>
          <w:spacing w:val="-5"/>
          <w:sz w:val="24"/>
          <w:szCs w:val="24"/>
        </w:rPr>
        <w:t>施工人员配置有防噪用具。</w:t>
      </w:r>
    </w:p>
    <w:p w14:paraId="2E416E61">
      <w:pPr>
        <w:pStyle w:val="2"/>
        <w:spacing w:before="11" w:line="234" w:lineRule="auto"/>
        <w:ind w:left="40"/>
        <w:rPr>
          <w:sz w:val="30"/>
          <w:szCs w:val="30"/>
        </w:rPr>
      </w:pPr>
      <w:bookmarkStart w:id="26" w:name="bookmark24"/>
      <w:bookmarkEnd w:id="26"/>
      <w:r>
        <w:rPr>
          <w:rFonts w:ascii="Times New Roman" w:hAnsi="Times New Roman" w:eastAsia="Times New Roman" w:cs="Times New Roman"/>
          <w:b/>
          <w:bCs/>
          <w:spacing w:val="-4"/>
          <w:sz w:val="30"/>
          <w:szCs w:val="30"/>
        </w:rPr>
        <w:t>5.3</w:t>
      </w:r>
      <w:r>
        <w:rPr>
          <w:rFonts w:ascii="Times New Roman" w:hAnsi="Times New Roman" w:eastAsia="Times New Roman" w:cs="Times New Roman"/>
          <w:b/>
          <w:bCs/>
          <w:spacing w:val="24"/>
          <w:w w:val="101"/>
          <w:sz w:val="30"/>
          <w:szCs w:val="30"/>
        </w:rPr>
        <w:t xml:space="preserve"> </w:t>
      </w:r>
      <w:r>
        <w:rPr>
          <w:b/>
          <w:bCs/>
          <w:spacing w:val="-4"/>
          <w:sz w:val="30"/>
          <w:szCs w:val="30"/>
        </w:rPr>
        <w:t>其它环境保护设施</w:t>
      </w:r>
    </w:p>
    <w:p w14:paraId="3B31A8A9">
      <w:pPr>
        <w:pStyle w:val="2"/>
        <w:spacing w:before="231" w:line="185" w:lineRule="auto"/>
        <w:ind w:left="518"/>
        <w:rPr>
          <w:sz w:val="24"/>
          <w:szCs w:val="24"/>
        </w:rPr>
      </w:pPr>
      <w:r>
        <w:rPr>
          <w:spacing w:val="3"/>
          <w:sz w:val="24"/>
          <w:szCs w:val="24"/>
        </w:rPr>
        <w:t>施工期各参建单位在施工区内建立了防火及火灾警报体系，根据施</w:t>
      </w:r>
      <w:r>
        <w:rPr>
          <w:spacing w:val="2"/>
          <w:sz w:val="24"/>
          <w:szCs w:val="24"/>
        </w:rPr>
        <w:t>工的具体</w:t>
      </w:r>
    </w:p>
    <w:p w14:paraId="2983FFD6">
      <w:pPr>
        <w:spacing w:line="185" w:lineRule="auto"/>
        <w:rPr>
          <w:sz w:val="24"/>
          <w:szCs w:val="24"/>
        </w:rPr>
        <w:sectPr>
          <w:type w:val="continuous"/>
          <w:pgSz w:w="11907" w:h="16839"/>
          <w:pgMar w:top="1376" w:right="1633" w:bottom="1061" w:left="1671" w:header="999" w:footer="861" w:gutter="0"/>
          <w:cols w:equalWidth="0" w:num="1">
            <w:col w:w="8601"/>
          </w:cols>
        </w:sectPr>
      </w:pPr>
    </w:p>
    <w:p w14:paraId="030A5B49">
      <w:pPr>
        <w:spacing w:line="456" w:lineRule="auto"/>
        <w:rPr>
          <w:rFonts w:ascii="Arial"/>
          <w:sz w:val="21"/>
        </w:rPr>
      </w:pPr>
    </w:p>
    <w:p w14:paraId="636D11E3">
      <w:pPr>
        <w:pStyle w:val="2"/>
        <w:spacing w:before="78" w:line="314" w:lineRule="auto"/>
        <w:ind w:left="38" w:right="187" w:firstLine="1"/>
        <w:jc w:val="both"/>
        <w:rPr>
          <w:sz w:val="24"/>
          <w:szCs w:val="24"/>
        </w:rPr>
      </w:pPr>
      <w:r>
        <w:rPr>
          <w:spacing w:val="3"/>
          <w:sz w:val="24"/>
          <w:szCs w:val="24"/>
        </w:rPr>
        <w:t>情况制定了安全生产事故应急预案等相关管理制度</w:t>
      </w:r>
      <w:r>
        <w:rPr>
          <w:spacing w:val="2"/>
          <w:sz w:val="24"/>
          <w:szCs w:val="24"/>
        </w:rPr>
        <w:t>，由建设单位质量安全科和各</w:t>
      </w:r>
      <w:r>
        <w:rPr>
          <w:spacing w:val="-4"/>
          <w:sz w:val="24"/>
          <w:szCs w:val="24"/>
        </w:rPr>
        <w:t>施工单位安全部门分级管理。除此之外，还对施工人员进行防火宣传教育，严</w:t>
      </w:r>
      <w:r>
        <w:rPr>
          <w:spacing w:val="-5"/>
          <w:sz w:val="24"/>
          <w:szCs w:val="24"/>
        </w:rPr>
        <w:t>格规</w:t>
      </w:r>
      <w:r>
        <w:rPr>
          <w:spacing w:val="-4"/>
          <w:sz w:val="24"/>
          <w:szCs w:val="24"/>
        </w:rPr>
        <w:t>范和限制施工人员的野外活动，以确保区域森林资源及居民生命财产安全。为</w:t>
      </w:r>
      <w:r>
        <w:rPr>
          <w:spacing w:val="-5"/>
          <w:sz w:val="24"/>
          <w:szCs w:val="24"/>
        </w:rPr>
        <w:t>防范</w:t>
      </w:r>
      <w:r>
        <w:rPr>
          <w:spacing w:val="-1"/>
          <w:sz w:val="24"/>
          <w:szCs w:val="24"/>
        </w:rPr>
        <w:t>各类事故发生，施工区安装的各类风险防范宣传牌、警示牌见图</w:t>
      </w:r>
      <w:r>
        <w:rPr>
          <w:spacing w:val="-35"/>
          <w:sz w:val="24"/>
          <w:szCs w:val="24"/>
        </w:rPr>
        <w:t xml:space="preserve"> </w:t>
      </w:r>
      <w:r>
        <w:rPr>
          <w:rFonts w:ascii="Times New Roman" w:hAnsi="Times New Roman" w:eastAsia="Times New Roman" w:cs="Times New Roman"/>
          <w:spacing w:val="-1"/>
          <w:sz w:val="24"/>
          <w:szCs w:val="24"/>
        </w:rPr>
        <w:t>5.3-1</w:t>
      </w:r>
      <w:r>
        <w:rPr>
          <w:spacing w:val="-1"/>
          <w:sz w:val="24"/>
          <w:szCs w:val="24"/>
        </w:rPr>
        <w:t>。</w:t>
      </w:r>
    </w:p>
    <w:p w14:paraId="5D11EFDF">
      <w:pPr>
        <w:spacing w:line="314" w:lineRule="auto"/>
        <w:rPr>
          <w:sz w:val="24"/>
          <w:szCs w:val="24"/>
        </w:rPr>
        <w:sectPr>
          <w:headerReference r:id="rId143" w:type="default"/>
          <w:footerReference r:id="rId144" w:type="default"/>
          <w:pgSz w:w="11907" w:h="16839"/>
          <w:pgMar w:top="1376" w:right="1512" w:bottom="1061" w:left="1671" w:header="999" w:footer="861" w:gutter="0"/>
          <w:cols w:equalWidth="0" w:num="1">
            <w:col w:w="8722"/>
          </w:cols>
        </w:sectPr>
      </w:pPr>
    </w:p>
    <w:p w14:paraId="55A36E12">
      <w:pPr>
        <w:spacing w:line="2995" w:lineRule="exact"/>
        <w:ind w:firstLine="167"/>
      </w:pPr>
      <w:r>
        <w:rPr>
          <w:position w:val="-59"/>
        </w:rPr>
        <w:drawing>
          <wp:inline distT="0" distB="0" distL="0" distR="0">
            <wp:extent cx="2532380" cy="1901825"/>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405"/>
                    <a:stretch>
                      <a:fillRect/>
                    </a:stretch>
                  </pic:blipFill>
                  <pic:spPr>
                    <a:xfrm>
                      <a:off x="0" y="0"/>
                      <a:ext cx="2532380" cy="1902459"/>
                    </a:xfrm>
                    <a:prstGeom prst="rect">
                      <a:avLst/>
                    </a:prstGeom>
                  </pic:spPr>
                </pic:pic>
              </a:graphicData>
            </a:graphic>
          </wp:inline>
        </w:drawing>
      </w:r>
    </w:p>
    <w:p w14:paraId="759EF13E">
      <w:pPr>
        <w:pStyle w:val="2"/>
        <w:spacing w:before="48" w:line="219" w:lineRule="auto"/>
        <w:ind w:left="1088"/>
        <w:rPr>
          <w:sz w:val="24"/>
          <w:szCs w:val="24"/>
        </w:rPr>
      </w:pPr>
      <w:r>
        <w:rPr>
          <w:spacing w:val="-2"/>
          <w:sz w:val="24"/>
          <w:szCs w:val="24"/>
        </w:rPr>
        <w:t>预防水质污染宣传牌</w:t>
      </w:r>
    </w:p>
    <w:p w14:paraId="590580D1">
      <w:pPr>
        <w:spacing w:line="37" w:lineRule="auto"/>
        <w:rPr>
          <w:rFonts w:ascii="Arial"/>
          <w:sz w:val="2"/>
        </w:rPr>
      </w:pPr>
    </w:p>
    <w:p w14:paraId="45578FB5">
      <w:pPr>
        <w:spacing w:line="14" w:lineRule="auto"/>
        <w:rPr>
          <w:rFonts w:ascii="Arial"/>
          <w:sz w:val="2"/>
        </w:rPr>
      </w:pPr>
      <w:r>
        <w:rPr>
          <w:rFonts w:ascii="Arial" w:hAnsi="Arial" w:eastAsia="Arial" w:cs="Arial"/>
          <w:sz w:val="2"/>
          <w:szCs w:val="2"/>
        </w:rPr>
        <w:br w:type="column"/>
      </w:r>
    </w:p>
    <w:p w14:paraId="57AFF2F5">
      <w:pPr>
        <w:spacing w:line="2994" w:lineRule="exact"/>
      </w:pPr>
      <w:r>
        <w:rPr>
          <w:position w:val="-59"/>
        </w:rPr>
        <w:drawing>
          <wp:inline distT="0" distB="0" distL="0" distR="0">
            <wp:extent cx="2531745" cy="190119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406"/>
                    <a:stretch>
                      <a:fillRect/>
                    </a:stretch>
                  </pic:blipFill>
                  <pic:spPr>
                    <a:xfrm>
                      <a:off x="0" y="0"/>
                      <a:ext cx="2532379" cy="1901583"/>
                    </a:xfrm>
                    <a:prstGeom prst="rect">
                      <a:avLst/>
                    </a:prstGeom>
                  </pic:spPr>
                </pic:pic>
              </a:graphicData>
            </a:graphic>
          </wp:inline>
        </w:drawing>
      </w:r>
    </w:p>
    <w:p w14:paraId="5911B77E">
      <w:pPr>
        <w:pStyle w:val="2"/>
        <w:spacing w:before="48" w:line="219" w:lineRule="auto"/>
        <w:ind w:left="1160"/>
        <w:rPr>
          <w:sz w:val="24"/>
          <w:szCs w:val="24"/>
        </w:rPr>
      </w:pPr>
      <w:r>
        <w:rPr>
          <w:spacing w:val="-2"/>
          <w:sz w:val="24"/>
          <w:szCs w:val="24"/>
        </w:rPr>
        <w:t>严禁烟火宣传牌</w:t>
      </w:r>
    </w:p>
    <w:p w14:paraId="08AF40D9">
      <w:pPr>
        <w:spacing w:line="219" w:lineRule="auto"/>
        <w:rPr>
          <w:sz w:val="24"/>
          <w:szCs w:val="24"/>
        </w:rPr>
        <w:sectPr>
          <w:type w:val="continuous"/>
          <w:pgSz w:w="11907" w:h="16839"/>
          <w:pgMar w:top="1376" w:right="1512" w:bottom="1061" w:left="1671" w:header="999" w:footer="861" w:gutter="0"/>
          <w:cols w:equalWidth="0" w:num="2">
            <w:col w:w="4315" w:space="100"/>
            <w:col w:w="4308"/>
          </w:cols>
        </w:sectPr>
      </w:pPr>
    </w:p>
    <w:p w14:paraId="3679604C">
      <w:pPr>
        <w:spacing w:line="85" w:lineRule="auto"/>
        <w:rPr>
          <w:rFonts w:ascii="Arial"/>
          <w:sz w:val="2"/>
        </w:rPr>
      </w:pPr>
    </w:p>
    <w:p w14:paraId="2077CD63">
      <w:pPr>
        <w:spacing w:line="85" w:lineRule="auto"/>
        <w:rPr>
          <w:rFonts w:ascii="Arial" w:hAnsi="Arial" w:eastAsia="Arial" w:cs="Arial"/>
          <w:sz w:val="2"/>
          <w:szCs w:val="2"/>
        </w:rPr>
        <w:sectPr>
          <w:type w:val="continuous"/>
          <w:pgSz w:w="11907" w:h="16839"/>
          <w:pgMar w:top="1376" w:right="1512" w:bottom="1061" w:left="1671" w:header="999" w:footer="861" w:gutter="0"/>
          <w:cols w:equalWidth="0" w:num="1">
            <w:col w:w="8722"/>
          </w:cols>
        </w:sectPr>
      </w:pPr>
    </w:p>
    <w:p w14:paraId="21CE81E2">
      <w:pPr>
        <w:spacing w:line="2995" w:lineRule="exact"/>
        <w:ind w:firstLine="167"/>
      </w:pPr>
      <w:r>
        <w:rPr>
          <w:position w:val="-59"/>
        </w:rPr>
        <w:drawing>
          <wp:inline distT="0" distB="0" distL="0" distR="0">
            <wp:extent cx="2532380" cy="190182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407"/>
                    <a:stretch>
                      <a:fillRect/>
                    </a:stretch>
                  </pic:blipFill>
                  <pic:spPr>
                    <a:xfrm>
                      <a:off x="0" y="0"/>
                      <a:ext cx="2532380" cy="1902459"/>
                    </a:xfrm>
                    <a:prstGeom prst="rect">
                      <a:avLst/>
                    </a:prstGeom>
                  </pic:spPr>
                </pic:pic>
              </a:graphicData>
            </a:graphic>
          </wp:inline>
        </w:drawing>
      </w:r>
    </w:p>
    <w:p w14:paraId="0F52BF05">
      <w:pPr>
        <w:pStyle w:val="2"/>
        <w:spacing w:before="50" w:line="220" w:lineRule="auto"/>
        <w:ind w:left="1446"/>
        <w:rPr>
          <w:sz w:val="24"/>
          <w:szCs w:val="24"/>
        </w:rPr>
      </w:pPr>
      <w:r>
        <w:rPr>
          <w:spacing w:val="-2"/>
          <w:sz w:val="24"/>
          <w:szCs w:val="24"/>
        </w:rPr>
        <w:t>沉淀池警示牌</w:t>
      </w:r>
    </w:p>
    <w:p w14:paraId="0DC27079">
      <w:pPr>
        <w:spacing w:line="32" w:lineRule="auto"/>
        <w:rPr>
          <w:rFonts w:ascii="Arial"/>
          <w:sz w:val="2"/>
        </w:rPr>
      </w:pPr>
    </w:p>
    <w:p w14:paraId="7600F258">
      <w:pPr>
        <w:spacing w:line="14" w:lineRule="auto"/>
        <w:rPr>
          <w:rFonts w:ascii="Arial"/>
          <w:sz w:val="2"/>
        </w:rPr>
      </w:pPr>
      <w:r>
        <w:rPr>
          <w:rFonts w:ascii="Arial" w:hAnsi="Arial" w:eastAsia="Arial" w:cs="Arial"/>
          <w:sz w:val="2"/>
          <w:szCs w:val="2"/>
        </w:rPr>
        <w:br w:type="column"/>
      </w:r>
    </w:p>
    <w:p w14:paraId="13DD3273">
      <w:pPr>
        <w:spacing w:line="2994" w:lineRule="exact"/>
      </w:pPr>
      <w:r>
        <w:rPr>
          <w:position w:val="-59"/>
        </w:rPr>
        <w:drawing>
          <wp:inline distT="0" distB="0" distL="0" distR="0">
            <wp:extent cx="2531745" cy="190119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408"/>
                    <a:stretch>
                      <a:fillRect/>
                    </a:stretch>
                  </pic:blipFill>
                  <pic:spPr>
                    <a:xfrm>
                      <a:off x="0" y="0"/>
                      <a:ext cx="2532379" cy="1901583"/>
                    </a:xfrm>
                    <a:prstGeom prst="rect">
                      <a:avLst/>
                    </a:prstGeom>
                  </pic:spPr>
                </pic:pic>
              </a:graphicData>
            </a:graphic>
          </wp:inline>
        </w:drawing>
      </w:r>
    </w:p>
    <w:p w14:paraId="6BA873B6">
      <w:pPr>
        <w:pStyle w:val="2"/>
        <w:spacing w:before="50" w:line="220" w:lineRule="auto"/>
        <w:ind w:left="1180"/>
        <w:rPr>
          <w:sz w:val="24"/>
          <w:szCs w:val="24"/>
        </w:rPr>
      </w:pPr>
      <w:r>
        <w:rPr>
          <w:spacing w:val="-4"/>
          <w:sz w:val="24"/>
          <w:szCs w:val="24"/>
        </w:rPr>
        <w:t>出入现场警示牌</w:t>
      </w:r>
    </w:p>
    <w:p w14:paraId="670616E5">
      <w:pPr>
        <w:spacing w:line="220" w:lineRule="auto"/>
        <w:rPr>
          <w:sz w:val="24"/>
          <w:szCs w:val="24"/>
        </w:rPr>
        <w:sectPr>
          <w:type w:val="continuous"/>
          <w:pgSz w:w="11907" w:h="16839"/>
          <w:pgMar w:top="1376" w:right="1512" w:bottom="1061" w:left="1671" w:header="999" w:footer="861" w:gutter="0"/>
          <w:cols w:equalWidth="0" w:num="2">
            <w:col w:w="4315" w:space="100"/>
            <w:col w:w="4308"/>
          </w:cols>
        </w:sectPr>
      </w:pPr>
    </w:p>
    <w:p w14:paraId="2A0F8DB3">
      <w:pPr>
        <w:pStyle w:val="2"/>
        <w:spacing w:before="133" w:line="233" w:lineRule="auto"/>
        <w:ind w:left="1986"/>
        <w:rPr>
          <w:sz w:val="24"/>
          <w:szCs w:val="24"/>
        </w:rPr>
      </w:pPr>
      <w:r>
        <w:rPr>
          <w:b/>
          <w:bCs/>
          <w:spacing w:val="-3"/>
          <w:sz w:val="24"/>
          <w:szCs w:val="24"/>
        </w:rPr>
        <w:t>图</w:t>
      </w:r>
      <w:r>
        <w:rPr>
          <w:spacing w:val="-34"/>
          <w:sz w:val="24"/>
          <w:szCs w:val="24"/>
        </w:rPr>
        <w:t xml:space="preserve"> </w:t>
      </w:r>
      <w:r>
        <w:rPr>
          <w:rFonts w:ascii="Times New Roman" w:hAnsi="Times New Roman" w:eastAsia="Times New Roman" w:cs="Times New Roman"/>
          <w:b/>
          <w:bCs/>
          <w:spacing w:val="-3"/>
          <w:sz w:val="24"/>
          <w:szCs w:val="24"/>
        </w:rPr>
        <w:t xml:space="preserve">5.3-1        </w:t>
      </w:r>
      <w:r>
        <w:rPr>
          <w:b/>
          <w:bCs/>
          <w:spacing w:val="-3"/>
          <w:sz w:val="24"/>
          <w:szCs w:val="24"/>
        </w:rPr>
        <w:t>施工区风险事故防范宣传警示牌</w:t>
      </w:r>
    </w:p>
    <w:p w14:paraId="5693D122">
      <w:pPr>
        <w:pStyle w:val="2"/>
        <w:spacing w:before="138" w:line="336" w:lineRule="auto"/>
        <w:ind w:left="42" w:right="101" w:firstLine="476"/>
        <w:jc w:val="both"/>
        <w:rPr>
          <w:sz w:val="24"/>
          <w:szCs w:val="24"/>
        </w:rPr>
      </w:pPr>
      <w:r>
        <w:rPr>
          <w:spacing w:val="-8"/>
          <w:sz w:val="24"/>
          <w:szCs w:val="24"/>
        </w:rPr>
        <w:t>据调查，车马碧水库工程施工期间，未发生火灾、泄漏等环境风险事故， 未因</w:t>
      </w:r>
      <w:r>
        <w:rPr>
          <w:spacing w:val="-4"/>
          <w:sz w:val="24"/>
          <w:szCs w:val="24"/>
        </w:rPr>
        <w:t>工程施工发生森林火灾，仅在施工初期，</w:t>
      </w:r>
      <w:r>
        <w:rPr>
          <w:rFonts w:ascii="Times New Roman" w:hAnsi="Times New Roman" w:eastAsia="Times New Roman" w:cs="Times New Roman"/>
          <w:spacing w:val="-4"/>
          <w:sz w:val="24"/>
          <w:szCs w:val="24"/>
        </w:rPr>
        <w:t>5#</w:t>
      </w:r>
      <w:r>
        <w:rPr>
          <w:spacing w:val="-4"/>
          <w:sz w:val="24"/>
          <w:szCs w:val="24"/>
        </w:rPr>
        <w:t>支洞涌水过多导致直排，业主立即</w:t>
      </w:r>
      <w:r>
        <w:rPr>
          <w:spacing w:val="-5"/>
          <w:sz w:val="24"/>
          <w:szCs w:val="24"/>
        </w:rPr>
        <w:t>委托</w:t>
      </w:r>
      <w:r>
        <w:rPr>
          <w:spacing w:val="-2"/>
          <w:sz w:val="24"/>
          <w:szCs w:val="24"/>
        </w:rPr>
        <w:t>设计单位重新设计并扩大沉淀池规模，有效控制了事故排水对周边地表水的影响。</w:t>
      </w:r>
    </w:p>
    <w:p w14:paraId="27BA3930">
      <w:pPr>
        <w:pStyle w:val="2"/>
        <w:spacing w:before="27" w:line="234" w:lineRule="auto"/>
        <w:ind w:left="40"/>
        <w:rPr>
          <w:sz w:val="30"/>
          <w:szCs w:val="30"/>
        </w:rPr>
      </w:pPr>
      <w:bookmarkStart w:id="27" w:name="bookmark25"/>
      <w:bookmarkEnd w:id="27"/>
      <w:r>
        <w:rPr>
          <w:rFonts w:ascii="Times New Roman" w:hAnsi="Times New Roman" w:eastAsia="Times New Roman" w:cs="Times New Roman"/>
          <w:b/>
          <w:bCs/>
          <w:spacing w:val="-3"/>
          <w:sz w:val="30"/>
          <w:szCs w:val="30"/>
        </w:rPr>
        <w:t>5.4</w:t>
      </w:r>
      <w:r>
        <w:rPr>
          <w:rFonts w:ascii="Times New Roman" w:hAnsi="Times New Roman" w:eastAsia="Times New Roman" w:cs="Times New Roman"/>
          <w:b/>
          <w:bCs/>
          <w:spacing w:val="23"/>
          <w:w w:val="101"/>
          <w:sz w:val="30"/>
          <w:szCs w:val="30"/>
        </w:rPr>
        <w:t xml:space="preserve"> </w:t>
      </w:r>
      <w:r>
        <w:rPr>
          <w:b/>
          <w:bCs/>
          <w:spacing w:val="-3"/>
          <w:sz w:val="30"/>
          <w:szCs w:val="30"/>
        </w:rPr>
        <w:t>环境保护设施投资及“三同时”落实情况</w:t>
      </w:r>
    </w:p>
    <w:p w14:paraId="6B5AB73F">
      <w:pPr>
        <w:pStyle w:val="2"/>
        <w:spacing w:before="198" w:line="226" w:lineRule="auto"/>
        <w:ind w:left="35"/>
        <w:rPr>
          <w:sz w:val="27"/>
          <w:szCs w:val="27"/>
        </w:rPr>
      </w:pPr>
      <w:r>
        <w:rPr>
          <w:rFonts w:ascii="Arial" w:hAnsi="Arial" w:eastAsia="Arial" w:cs="Arial"/>
          <w:spacing w:val="-1"/>
          <w:position w:val="1"/>
          <w:sz w:val="27"/>
          <w:szCs w:val="27"/>
        </w:rPr>
        <w:t xml:space="preserve">5.4.1    </w:t>
      </w:r>
      <w:r>
        <w:rPr>
          <w:b/>
          <w:bCs/>
          <w:spacing w:val="-1"/>
          <w:position w:val="-1"/>
          <w:sz w:val="27"/>
          <w:szCs w:val="27"/>
        </w:rPr>
        <w:t>环境保护设施投资</w:t>
      </w:r>
    </w:p>
    <w:p w14:paraId="396A98B8">
      <w:pPr>
        <w:pStyle w:val="2"/>
        <w:spacing w:before="259" w:line="304" w:lineRule="auto"/>
        <w:ind w:left="38" w:firstLine="480"/>
        <w:jc w:val="both"/>
        <w:rPr>
          <w:sz w:val="24"/>
          <w:szCs w:val="24"/>
        </w:rPr>
      </w:pPr>
      <w:r>
        <w:rPr>
          <w:spacing w:val="-1"/>
          <w:sz w:val="24"/>
          <w:szCs w:val="24"/>
        </w:rPr>
        <w:t>根据环境影响报告书，车马碧水库工程环保静态投资</w:t>
      </w:r>
      <w:r>
        <w:rPr>
          <w:spacing w:val="-27"/>
          <w:sz w:val="24"/>
          <w:szCs w:val="24"/>
        </w:rPr>
        <w:t xml:space="preserve"> </w:t>
      </w:r>
      <w:r>
        <w:rPr>
          <w:rFonts w:ascii="Times New Roman" w:hAnsi="Times New Roman" w:eastAsia="Times New Roman" w:cs="Times New Roman"/>
          <w:spacing w:val="-1"/>
          <w:sz w:val="24"/>
          <w:szCs w:val="24"/>
        </w:rPr>
        <w:t>21378.48</w:t>
      </w:r>
      <w:r>
        <w:rPr>
          <w:rFonts w:ascii="Times New Roman" w:hAnsi="Times New Roman" w:eastAsia="Times New Roman" w:cs="Times New Roman"/>
          <w:spacing w:val="37"/>
          <w:w w:val="101"/>
          <w:sz w:val="24"/>
          <w:szCs w:val="24"/>
        </w:rPr>
        <w:t xml:space="preserve"> </w:t>
      </w:r>
      <w:r>
        <w:rPr>
          <w:spacing w:val="-1"/>
          <w:sz w:val="24"/>
          <w:szCs w:val="24"/>
        </w:rPr>
        <w:t>万元，环保直</w:t>
      </w:r>
      <w:r>
        <w:rPr>
          <w:spacing w:val="-3"/>
          <w:sz w:val="24"/>
          <w:szCs w:val="24"/>
        </w:rPr>
        <w:t>接费用</w:t>
      </w:r>
      <w:r>
        <w:rPr>
          <w:spacing w:val="-9"/>
          <w:sz w:val="24"/>
          <w:szCs w:val="24"/>
        </w:rPr>
        <w:t xml:space="preserve"> </w:t>
      </w:r>
      <w:r>
        <w:rPr>
          <w:rFonts w:ascii="Times New Roman" w:hAnsi="Times New Roman" w:eastAsia="Times New Roman" w:cs="Times New Roman"/>
          <w:spacing w:val="-3"/>
          <w:sz w:val="24"/>
          <w:szCs w:val="24"/>
        </w:rPr>
        <w:t>19435</w:t>
      </w:r>
      <w:r>
        <w:rPr>
          <w:rFonts w:ascii="Times New Roman" w:hAnsi="Times New Roman" w:eastAsia="Times New Roman" w:cs="Times New Roman"/>
          <w:spacing w:val="21"/>
          <w:sz w:val="24"/>
          <w:szCs w:val="24"/>
        </w:rPr>
        <w:t xml:space="preserve"> </w:t>
      </w:r>
      <w:r>
        <w:rPr>
          <w:spacing w:val="-3"/>
          <w:sz w:val="24"/>
          <w:szCs w:val="24"/>
        </w:rPr>
        <w:t>万元。初步设计阶段批复环保投资</w:t>
      </w:r>
      <w:r>
        <w:rPr>
          <w:spacing w:val="-26"/>
          <w:sz w:val="24"/>
          <w:szCs w:val="24"/>
        </w:rPr>
        <w:t xml:space="preserve"> </w:t>
      </w:r>
      <w:r>
        <w:rPr>
          <w:rFonts w:ascii="Times New Roman" w:hAnsi="Times New Roman" w:eastAsia="Times New Roman" w:cs="Times New Roman"/>
          <w:spacing w:val="-3"/>
          <w:sz w:val="24"/>
          <w:szCs w:val="24"/>
        </w:rPr>
        <w:t>17787.75</w:t>
      </w:r>
      <w:r>
        <w:rPr>
          <w:rFonts w:ascii="Times New Roman" w:hAnsi="Times New Roman" w:eastAsia="Times New Roman" w:cs="Times New Roman"/>
          <w:spacing w:val="17"/>
          <w:w w:val="101"/>
          <w:sz w:val="24"/>
          <w:szCs w:val="24"/>
        </w:rPr>
        <w:t xml:space="preserve"> </w:t>
      </w:r>
      <w:r>
        <w:rPr>
          <w:spacing w:val="-3"/>
          <w:sz w:val="24"/>
          <w:szCs w:val="24"/>
        </w:rPr>
        <w:t>元。截至</w:t>
      </w:r>
      <w:r>
        <w:rPr>
          <w:spacing w:val="-49"/>
          <w:sz w:val="24"/>
          <w:szCs w:val="24"/>
        </w:rPr>
        <w:t xml:space="preserve"> </w:t>
      </w:r>
      <w:r>
        <w:rPr>
          <w:rFonts w:ascii="Times New Roman" w:hAnsi="Times New Roman" w:eastAsia="Times New Roman" w:cs="Times New Roman"/>
          <w:spacing w:val="-3"/>
          <w:sz w:val="24"/>
          <w:szCs w:val="24"/>
        </w:rPr>
        <w:t>2022</w:t>
      </w:r>
      <w:r>
        <w:rPr>
          <w:rFonts w:ascii="Times New Roman" w:hAnsi="Times New Roman" w:eastAsia="Times New Roman" w:cs="Times New Roman"/>
          <w:spacing w:val="16"/>
          <w:w w:val="101"/>
          <w:sz w:val="24"/>
          <w:szCs w:val="24"/>
        </w:rPr>
        <w:t xml:space="preserve"> </w:t>
      </w:r>
      <w:r>
        <w:rPr>
          <w:spacing w:val="-3"/>
          <w:sz w:val="24"/>
          <w:szCs w:val="24"/>
        </w:rPr>
        <w:t>年</w:t>
      </w:r>
      <w:r>
        <w:rPr>
          <w:spacing w:val="-51"/>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2"/>
          <w:sz w:val="24"/>
          <w:szCs w:val="24"/>
        </w:rPr>
        <w:t xml:space="preserve"> </w:t>
      </w:r>
      <w:r>
        <w:rPr>
          <w:spacing w:val="-3"/>
          <w:sz w:val="24"/>
          <w:szCs w:val="24"/>
        </w:rPr>
        <w:t>月，</w:t>
      </w:r>
      <w:r>
        <w:rPr>
          <w:spacing w:val="-5"/>
          <w:sz w:val="24"/>
          <w:szCs w:val="24"/>
        </w:rPr>
        <w:t>工程共计完成环境保护投资直接费</w:t>
      </w:r>
      <w:r>
        <w:rPr>
          <w:spacing w:val="-53"/>
          <w:sz w:val="24"/>
          <w:szCs w:val="24"/>
        </w:rPr>
        <w:t xml:space="preserve"> </w:t>
      </w:r>
      <w:r>
        <w:rPr>
          <w:rFonts w:ascii="Times New Roman" w:hAnsi="Times New Roman" w:eastAsia="Times New Roman" w:cs="Times New Roman"/>
          <w:spacing w:val="-5"/>
          <w:sz w:val="24"/>
          <w:szCs w:val="24"/>
        </w:rPr>
        <w:t>11672.56</w:t>
      </w:r>
      <w:r>
        <w:rPr>
          <w:rFonts w:ascii="Times New Roman" w:hAnsi="Times New Roman" w:eastAsia="Times New Roman" w:cs="Times New Roman"/>
          <w:spacing w:val="-15"/>
          <w:sz w:val="24"/>
          <w:szCs w:val="24"/>
        </w:rPr>
        <w:t xml:space="preserve"> </w:t>
      </w:r>
      <w:r>
        <w:rPr>
          <w:spacing w:val="-5"/>
          <w:sz w:val="24"/>
          <w:szCs w:val="24"/>
        </w:rPr>
        <w:t>万元，约占初设阶段该部分投资的</w:t>
      </w:r>
      <w:r>
        <w:rPr>
          <w:rFonts w:ascii="Times New Roman" w:hAnsi="Times New Roman" w:eastAsia="Times New Roman" w:cs="Times New Roman"/>
          <w:spacing w:val="-5"/>
          <w:sz w:val="24"/>
          <w:szCs w:val="24"/>
        </w:rPr>
        <w:t>65%</w:t>
      </w:r>
      <w:r>
        <w:rPr>
          <w:spacing w:val="-5"/>
          <w:sz w:val="24"/>
          <w:szCs w:val="24"/>
        </w:rPr>
        <w:t>，</w:t>
      </w:r>
      <w:r>
        <w:rPr>
          <w:spacing w:val="-1"/>
          <w:sz w:val="24"/>
          <w:szCs w:val="24"/>
        </w:rPr>
        <w:t>蓄水验收阶段环境保护投资执行情况见表</w:t>
      </w:r>
      <w:r>
        <w:rPr>
          <w:spacing w:val="-45"/>
          <w:sz w:val="24"/>
          <w:szCs w:val="24"/>
        </w:rPr>
        <w:t xml:space="preserve"> </w:t>
      </w:r>
      <w:r>
        <w:rPr>
          <w:rFonts w:ascii="Times New Roman" w:hAnsi="Times New Roman" w:eastAsia="Times New Roman" w:cs="Times New Roman"/>
          <w:spacing w:val="-1"/>
          <w:sz w:val="24"/>
          <w:szCs w:val="24"/>
        </w:rPr>
        <w:t>5.4-1</w:t>
      </w:r>
      <w:r>
        <w:rPr>
          <w:spacing w:val="-1"/>
          <w:sz w:val="24"/>
          <w:szCs w:val="24"/>
        </w:rPr>
        <w:t>。</w:t>
      </w:r>
    </w:p>
    <w:p w14:paraId="035A856C">
      <w:pPr>
        <w:spacing w:line="304" w:lineRule="auto"/>
        <w:rPr>
          <w:sz w:val="24"/>
          <w:szCs w:val="24"/>
        </w:rPr>
        <w:sectPr>
          <w:type w:val="continuous"/>
          <w:pgSz w:w="11907" w:h="16839"/>
          <w:pgMar w:top="1376" w:right="1512" w:bottom="1061" w:left="1671" w:header="999" w:footer="861" w:gutter="0"/>
          <w:cols w:equalWidth="0" w:num="1">
            <w:col w:w="8722"/>
          </w:cols>
        </w:sectPr>
      </w:pPr>
    </w:p>
    <w:p w14:paraId="7D45C2EB">
      <w:pPr>
        <w:spacing w:line="454" w:lineRule="auto"/>
        <w:rPr>
          <w:rFonts w:ascii="Arial"/>
          <w:sz w:val="21"/>
        </w:rPr>
      </w:pPr>
    </w:p>
    <w:p w14:paraId="092D252B">
      <w:pPr>
        <w:pStyle w:val="2"/>
        <w:spacing w:before="78" w:line="226" w:lineRule="auto"/>
        <w:ind w:left="279"/>
        <w:rPr>
          <w:sz w:val="24"/>
          <w:szCs w:val="24"/>
        </w:rPr>
      </w:pPr>
      <w:r>
        <w:rPr>
          <w:b/>
          <w:bCs/>
          <w:sz w:val="24"/>
          <w:szCs w:val="24"/>
        </w:rPr>
        <w:t>表</w:t>
      </w:r>
      <w:r>
        <w:rPr>
          <w:spacing w:val="-51"/>
          <w:sz w:val="24"/>
          <w:szCs w:val="24"/>
        </w:rPr>
        <w:t xml:space="preserve"> </w:t>
      </w:r>
      <w:r>
        <w:rPr>
          <w:rFonts w:ascii="Times New Roman" w:hAnsi="Times New Roman" w:eastAsia="Times New Roman" w:cs="Times New Roman"/>
          <w:b/>
          <w:bCs/>
          <w:sz w:val="24"/>
          <w:szCs w:val="24"/>
        </w:rPr>
        <w:t xml:space="preserve">5.4.1                      </w:t>
      </w:r>
      <w:r>
        <w:rPr>
          <w:rFonts w:ascii="Times New Roman" w:hAnsi="Times New Roman" w:eastAsia="Times New Roman" w:cs="Times New Roman"/>
          <w:b/>
          <w:bCs/>
          <w:spacing w:val="-1"/>
          <w:sz w:val="24"/>
          <w:szCs w:val="24"/>
        </w:rPr>
        <w:t xml:space="preserve">    </w:t>
      </w:r>
      <w:r>
        <w:rPr>
          <w:b/>
          <w:bCs/>
          <w:spacing w:val="-1"/>
          <w:sz w:val="24"/>
          <w:szCs w:val="24"/>
        </w:rPr>
        <w:t>蓄水验收阶段环境保护投资执行情况表</w:t>
      </w:r>
    </w:p>
    <w:tbl>
      <w:tblPr>
        <w:tblStyle w:val="5"/>
        <w:tblW w:w="8206" w:type="dxa"/>
        <w:tblInd w:w="1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4"/>
        <w:gridCol w:w="3110"/>
        <w:gridCol w:w="1415"/>
        <w:gridCol w:w="1269"/>
        <w:gridCol w:w="1428"/>
      </w:tblGrid>
      <w:tr w14:paraId="1BF7C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984" w:type="dxa"/>
            <w:vMerge w:val="restart"/>
            <w:tcBorders>
              <w:top w:val="single" w:color="000000" w:sz="12" w:space="0"/>
              <w:left w:val="single" w:color="000000" w:sz="12" w:space="0"/>
              <w:bottom w:val="nil"/>
            </w:tcBorders>
            <w:vAlign w:val="top"/>
          </w:tcPr>
          <w:p w14:paraId="37BA4659">
            <w:pPr>
              <w:spacing w:before="174" w:line="221" w:lineRule="auto"/>
              <w:ind w:left="272"/>
              <w:rPr>
                <w:rFonts w:ascii="宋体" w:hAnsi="宋体" w:eastAsia="宋体" w:cs="宋体"/>
                <w:sz w:val="21"/>
                <w:szCs w:val="21"/>
              </w:rPr>
            </w:pPr>
            <w:r>
              <w:rPr>
                <w:rFonts w:ascii="宋体" w:hAnsi="宋体" w:eastAsia="宋体" w:cs="宋体"/>
                <w:spacing w:val="-2"/>
                <w:sz w:val="21"/>
                <w:szCs w:val="21"/>
              </w:rPr>
              <w:t>序号</w:t>
            </w:r>
          </w:p>
        </w:tc>
        <w:tc>
          <w:tcPr>
            <w:tcW w:w="3110" w:type="dxa"/>
            <w:vMerge w:val="restart"/>
            <w:tcBorders>
              <w:top w:val="single" w:color="000000" w:sz="12" w:space="0"/>
              <w:bottom w:val="nil"/>
            </w:tcBorders>
            <w:vAlign w:val="top"/>
          </w:tcPr>
          <w:p w14:paraId="283FE1DB">
            <w:pPr>
              <w:spacing w:before="175" w:line="220" w:lineRule="auto"/>
              <w:ind w:left="924"/>
              <w:rPr>
                <w:rFonts w:ascii="宋体" w:hAnsi="宋体" w:eastAsia="宋体" w:cs="宋体"/>
                <w:sz w:val="21"/>
                <w:szCs w:val="21"/>
              </w:rPr>
            </w:pPr>
            <w:r>
              <w:rPr>
                <w:rFonts w:ascii="宋体" w:hAnsi="宋体" w:eastAsia="宋体" w:cs="宋体"/>
                <w:spacing w:val="-2"/>
                <w:sz w:val="21"/>
                <w:szCs w:val="21"/>
              </w:rPr>
              <w:t>工程费用名称</w:t>
            </w:r>
          </w:p>
        </w:tc>
        <w:tc>
          <w:tcPr>
            <w:tcW w:w="4112" w:type="dxa"/>
            <w:gridSpan w:val="3"/>
            <w:tcBorders>
              <w:top w:val="single" w:color="000000" w:sz="12" w:space="0"/>
              <w:right w:val="single" w:color="000000" w:sz="12" w:space="0"/>
            </w:tcBorders>
            <w:vAlign w:val="top"/>
          </w:tcPr>
          <w:p w14:paraId="3DEBCA38">
            <w:pPr>
              <w:spacing w:before="31" w:line="209" w:lineRule="auto"/>
              <w:ind w:left="1220"/>
              <w:rPr>
                <w:rFonts w:ascii="宋体" w:hAnsi="宋体" w:eastAsia="宋体" w:cs="宋体"/>
                <w:sz w:val="21"/>
                <w:szCs w:val="21"/>
              </w:rPr>
            </w:pPr>
            <w:r>
              <w:rPr>
                <w:rFonts w:ascii="宋体" w:hAnsi="宋体" w:eastAsia="宋体" w:cs="宋体"/>
                <w:spacing w:val="-3"/>
                <w:sz w:val="21"/>
                <w:szCs w:val="21"/>
              </w:rPr>
              <w:t>环保投资（万元）</w:t>
            </w:r>
          </w:p>
        </w:tc>
      </w:tr>
      <w:tr w14:paraId="40E8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vMerge w:val="continue"/>
            <w:tcBorders>
              <w:top w:val="nil"/>
              <w:left w:val="single" w:color="000000" w:sz="12" w:space="0"/>
            </w:tcBorders>
            <w:vAlign w:val="top"/>
          </w:tcPr>
          <w:p w14:paraId="6F901F75">
            <w:pPr>
              <w:rPr>
                <w:rFonts w:ascii="Arial"/>
                <w:sz w:val="21"/>
              </w:rPr>
            </w:pPr>
          </w:p>
        </w:tc>
        <w:tc>
          <w:tcPr>
            <w:tcW w:w="3110" w:type="dxa"/>
            <w:vMerge w:val="continue"/>
            <w:tcBorders>
              <w:top w:val="nil"/>
            </w:tcBorders>
            <w:vAlign w:val="top"/>
          </w:tcPr>
          <w:p w14:paraId="7D0242DE">
            <w:pPr>
              <w:rPr>
                <w:rFonts w:ascii="Arial"/>
                <w:sz w:val="21"/>
              </w:rPr>
            </w:pPr>
          </w:p>
        </w:tc>
        <w:tc>
          <w:tcPr>
            <w:tcW w:w="1415" w:type="dxa"/>
            <w:vAlign w:val="top"/>
          </w:tcPr>
          <w:p w14:paraId="3BBF921E">
            <w:pPr>
              <w:spacing w:before="30" w:line="208" w:lineRule="auto"/>
              <w:ind w:left="293"/>
              <w:rPr>
                <w:rFonts w:ascii="宋体" w:hAnsi="宋体" w:eastAsia="宋体" w:cs="宋体"/>
                <w:sz w:val="21"/>
                <w:szCs w:val="21"/>
              </w:rPr>
            </w:pPr>
            <w:r>
              <w:rPr>
                <w:rFonts w:ascii="宋体" w:hAnsi="宋体" w:eastAsia="宋体" w:cs="宋体"/>
                <w:spacing w:val="-2"/>
                <w:sz w:val="21"/>
                <w:szCs w:val="21"/>
              </w:rPr>
              <w:t>环评概算</w:t>
            </w:r>
          </w:p>
        </w:tc>
        <w:tc>
          <w:tcPr>
            <w:tcW w:w="1269" w:type="dxa"/>
            <w:vAlign w:val="top"/>
          </w:tcPr>
          <w:p w14:paraId="620D2690">
            <w:pPr>
              <w:spacing w:before="30" w:line="208" w:lineRule="auto"/>
              <w:ind w:left="224"/>
              <w:rPr>
                <w:rFonts w:ascii="宋体" w:hAnsi="宋体" w:eastAsia="宋体" w:cs="宋体"/>
                <w:sz w:val="21"/>
                <w:szCs w:val="21"/>
              </w:rPr>
            </w:pPr>
            <w:r>
              <w:rPr>
                <w:rFonts w:ascii="宋体" w:hAnsi="宋体" w:eastAsia="宋体" w:cs="宋体"/>
                <w:spacing w:val="-2"/>
                <w:sz w:val="21"/>
                <w:szCs w:val="21"/>
              </w:rPr>
              <w:t>初设概算</w:t>
            </w:r>
          </w:p>
        </w:tc>
        <w:tc>
          <w:tcPr>
            <w:tcW w:w="1428" w:type="dxa"/>
            <w:tcBorders>
              <w:right w:val="single" w:color="000000" w:sz="12" w:space="0"/>
            </w:tcBorders>
            <w:vAlign w:val="top"/>
          </w:tcPr>
          <w:p w14:paraId="31FCA274">
            <w:pPr>
              <w:spacing w:before="30" w:line="208" w:lineRule="auto"/>
              <w:ind w:left="306"/>
              <w:rPr>
                <w:rFonts w:ascii="宋体" w:hAnsi="宋体" w:eastAsia="宋体" w:cs="宋体"/>
                <w:sz w:val="21"/>
                <w:szCs w:val="21"/>
              </w:rPr>
            </w:pPr>
            <w:r>
              <w:rPr>
                <w:rFonts w:ascii="宋体" w:hAnsi="宋体" w:eastAsia="宋体" w:cs="宋体"/>
                <w:spacing w:val="-3"/>
                <w:sz w:val="21"/>
                <w:szCs w:val="21"/>
              </w:rPr>
              <w:t>实际完成</w:t>
            </w:r>
          </w:p>
        </w:tc>
      </w:tr>
      <w:tr w14:paraId="54B53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668D3722">
            <w:pPr>
              <w:spacing w:before="30" w:line="207" w:lineRule="auto"/>
              <w:ind w:left="63"/>
              <w:rPr>
                <w:rFonts w:ascii="宋体" w:hAnsi="宋体" w:eastAsia="宋体" w:cs="宋体"/>
                <w:sz w:val="21"/>
                <w:szCs w:val="21"/>
              </w:rPr>
            </w:pPr>
            <w:r>
              <w:rPr>
                <w:rFonts w:ascii="宋体" w:hAnsi="宋体" w:eastAsia="宋体" w:cs="宋体"/>
                <w:spacing w:val="-3"/>
                <w:sz w:val="21"/>
                <w:szCs w:val="21"/>
              </w:rPr>
              <w:t>第一部分</w:t>
            </w:r>
          </w:p>
        </w:tc>
        <w:tc>
          <w:tcPr>
            <w:tcW w:w="3110" w:type="dxa"/>
            <w:vAlign w:val="top"/>
          </w:tcPr>
          <w:p w14:paraId="2555815A">
            <w:pPr>
              <w:spacing w:before="30" w:line="207" w:lineRule="auto"/>
              <w:ind w:left="921"/>
              <w:rPr>
                <w:rFonts w:ascii="宋体" w:hAnsi="宋体" w:eastAsia="宋体" w:cs="宋体"/>
                <w:sz w:val="21"/>
                <w:szCs w:val="21"/>
              </w:rPr>
            </w:pPr>
            <w:r>
              <w:rPr>
                <w:rFonts w:ascii="宋体" w:hAnsi="宋体" w:eastAsia="宋体" w:cs="宋体"/>
                <w:spacing w:val="-2"/>
                <w:sz w:val="21"/>
                <w:szCs w:val="21"/>
              </w:rPr>
              <w:t>环境保护措施</w:t>
            </w:r>
          </w:p>
        </w:tc>
        <w:tc>
          <w:tcPr>
            <w:tcW w:w="1415" w:type="dxa"/>
            <w:vAlign w:val="top"/>
          </w:tcPr>
          <w:p w14:paraId="168D3AAA">
            <w:pPr>
              <w:pStyle w:val="6"/>
              <w:spacing w:before="63" w:line="201" w:lineRule="auto"/>
              <w:ind w:left="336"/>
            </w:pPr>
            <w:r>
              <w:rPr>
                <w:spacing w:val="-3"/>
              </w:rPr>
              <w:t>15437.12</w:t>
            </w:r>
          </w:p>
        </w:tc>
        <w:tc>
          <w:tcPr>
            <w:tcW w:w="1269" w:type="dxa"/>
            <w:vAlign w:val="top"/>
          </w:tcPr>
          <w:p w14:paraId="6BACF616">
            <w:pPr>
              <w:pStyle w:val="6"/>
              <w:spacing w:before="63" w:line="201" w:lineRule="auto"/>
              <w:ind w:left="267"/>
            </w:pPr>
            <w:r>
              <w:rPr>
                <w:spacing w:val="-3"/>
              </w:rPr>
              <w:t>11374.02</w:t>
            </w:r>
          </w:p>
        </w:tc>
        <w:tc>
          <w:tcPr>
            <w:tcW w:w="1428" w:type="dxa"/>
            <w:tcBorders>
              <w:right w:val="single" w:color="000000" w:sz="12" w:space="0"/>
            </w:tcBorders>
            <w:vAlign w:val="top"/>
          </w:tcPr>
          <w:p w14:paraId="6AFC5B17">
            <w:pPr>
              <w:pStyle w:val="6"/>
              <w:spacing w:before="63" w:line="201" w:lineRule="auto"/>
              <w:ind w:left="380"/>
            </w:pPr>
            <w:r>
              <w:rPr>
                <w:spacing w:val="-2"/>
              </w:rPr>
              <w:t>7268.59</w:t>
            </w:r>
          </w:p>
        </w:tc>
      </w:tr>
      <w:tr w14:paraId="3170D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tcBorders>
              <w:left w:val="single" w:color="000000" w:sz="12" w:space="0"/>
            </w:tcBorders>
            <w:vAlign w:val="top"/>
          </w:tcPr>
          <w:p w14:paraId="310C5F5A">
            <w:pPr>
              <w:spacing w:before="110" w:line="156" w:lineRule="exact"/>
              <w:ind w:left="381"/>
              <w:rPr>
                <w:rFonts w:ascii="宋体" w:hAnsi="宋体" w:eastAsia="宋体" w:cs="宋体"/>
                <w:sz w:val="21"/>
                <w:szCs w:val="21"/>
              </w:rPr>
            </w:pPr>
            <w:r>
              <w:rPr>
                <w:rFonts w:ascii="宋体" w:hAnsi="宋体" w:eastAsia="宋体" w:cs="宋体"/>
                <w:position w:val="-4"/>
                <w:sz w:val="21"/>
                <w:szCs w:val="21"/>
              </w:rPr>
              <w:t>一</w:t>
            </w:r>
          </w:p>
        </w:tc>
        <w:tc>
          <w:tcPr>
            <w:tcW w:w="3110" w:type="dxa"/>
            <w:vAlign w:val="top"/>
          </w:tcPr>
          <w:p w14:paraId="11F110EE">
            <w:pPr>
              <w:spacing w:before="31" w:line="207" w:lineRule="auto"/>
              <w:ind w:left="714"/>
              <w:rPr>
                <w:rFonts w:ascii="宋体" w:hAnsi="宋体" w:eastAsia="宋体" w:cs="宋体"/>
                <w:sz w:val="21"/>
                <w:szCs w:val="21"/>
              </w:rPr>
            </w:pPr>
            <w:r>
              <w:rPr>
                <w:rFonts w:ascii="宋体" w:hAnsi="宋体" w:eastAsia="宋体" w:cs="宋体"/>
                <w:spacing w:val="-2"/>
                <w:sz w:val="21"/>
                <w:szCs w:val="21"/>
              </w:rPr>
              <w:t>水环境保护措施费</w:t>
            </w:r>
          </w:p>
        </w:tc>
        <w:tc>
          <w:tcPr>
            <w:tcW w:w="1415" w:type="dxa"/>
            <w:vAlign w:val="top"/>
          </w:tcPr>
          <w:p w14:paraId="77220080">
            <w:pPr>
              <w:pStyle w:val="6"/>
              <w:spacing w:before="65" w:line="200" w:lineRule="auto"/>
              <w:ind w:left="372"/>
            </w:pPr>
            <w:r>
              <w:rPr>
                <w:spacing w:val="-2"/>
              </w:rPr>
              <w:t>7744.99</w:t>
            </w:r>
          </w:p>
        </w:tc>
        <w:tc>
          <w:tcPr>
            <w:tcW w:w="1269" w:type="dxa"/>
            <w:vAlign w:val="top"/>
          </w:tcPr>
          <w:p w14:paraId="30D909FB">
            <w:pPr>
              <w:pStyle w:val="6"/>
              <w:spacing w:before="65" w:line="200" w:lineRule="auto"/>
              <w:ind w:left="299"/>
            </w:pPr>
            <w:r>
              <w:rPr>
                <w:spacing w:val="-1"/>
              </w:rPr>
              <w:t>4735.18</w:t>
            </w:r>
          </w:p>
        </w:tc>
        <w:tc>
          <w:tcPr>
            <w:tcW w:w="1428" w:type="dxa"/>
            <w:tcBorders>
              <w:right w:val="single" w:color="000000" w:sz="12" w:space="0"/>
            </w:tcBorders>
            <w:vAlign w:val="top"/>
          </w:tcPr>
          <w:p w14:paraId="6413AC48">
            <w:pPr>
              <w:pStyle w:val="6"/>
              <w:spacing w:before="65" w:line="200" w:lineRule="auto"/>
              <w:ind w:left="428"/>
            </w:pPr>
            <w:r>
              <w:rPr>
                <w:spacing w:val="-1"/>
              </w:rPr>
              <w:t>487.30</w:t>
            </w:r>
          </w:p>
        </w:tc>
      </w:tr>
      <w:tr w14:paraId="3D6B2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2C8DB55D">
            <w:pPr>
              <w:spacing w:before="70" w:line="172" w:lineRule="auto"/>
              <w:ind w:left="381"/>
              <w:rPr>
                <w:rFonts w:ascii="宋体" w:hAnsi="宋体" w:eastAsia="宋体" w:cs="宋体"/>
                <w:sz w:val="21"/>
                <w:szCs w:val="21"/>
              </w:rPr>
            </w:pPr>
            <w:r>
              <w:rPr>
                <w:rFonts w:ascii="宋体" w:hAnsi="宋体" w:eastAsia="宋体" w:cs="宋体"/>
                <w:sz w:val="21"/>
                <w:szCs w:val="21"/>
              </w:rPr>
              <w:t>二</w:t>
            </w:r>
          </w:p>
        </w:tc>
        <w:tc>
          <w:tcPr>
            <w:tcW w:w="3110" w:type="dxa"/>
            <w:vAlign w:val="top"/>
          </w:tcPr>
          <w:p w14:paraId="07F5631C">
            <w:pPr>
              <w:spacing w:before="31" w:line="206" w:lineRule="auto"/>
              <w:ind w:left="819"/>
              <w:rPr>
                <w:rFonts w:ascii="宋体" w:hAnsi="宋体" w:eastAsia="宋体" w:cs="宋体"/>
                <w:sz w:val="21"/>
                <w:szCs w:val="21"/>
              </w:rPr>
            </w:pPr>
            <w:r>
              <w:rPr>
                <w:rFonts w:ascii="宋体" w:hAnsi="宋体" w:eastAsia="宋体" w:cs="宋体"/>
                <w:spacing w:val="-2"/>
                <w:sz w:val="21"/>
                <w:szCs w:val="21"/>
              </w:rPr>
              <w:t>生态保护措施费</w:t>
            </w:r>
          </w:p>
        </w:tc>
        <w:tc>
          <w:tcPr>
            <w:tcW w:w="1415" w:type="dxa"/>
            <w:vAlign w:val="top"/>
          </w:tcPr>
          <w:p w14:paraId="348B2188">
            <w:pPr>
              <w:pStyle w:val="6"/>
              <w:spacing w:before="65" w:line="199" w:lineRule="auto"/>
              <w:ind w:left="372"/>
            </w:pPr>
            <w:r>
              <w:rPr>
                <w:spacing w:val="-2"/>
              </w:rPr>
              <w:t>7560.83</w:t>
            </w:r>
          </w:p>
        </w:tc>
        <w:tc>
          <w:tcPr>
            <w:tcW w:w="1269" w:type="dxa"/>
            <w:vAlign w:val="top"/>
          </w:tcPr>
          <w:p w14:paraId="29FCA856">
            <w:pPr>
              <w:pStyle w:val="6"/>
              <w:spacing w:before="65" w:line="199" w:lineRule="auto"/>
              <w:ind w:left="305"/>
            </w:pPr>
            <w:r>
              <w:rPr>
                <w:spacing w:val="-2"/>
              </w:rPr>
              <w:t>6529.66</w:t>
            </w:r>
          </w:p>
        </w:tc>
        <w:tc>
          <w:tcPr>
            <w:tcW w:w="1428" w:type="dxa"/>
            <w:tcBorders>
              <w:right w:val="single" w:color="000000" w:sz="12" w:space="0"/>
            </w:tcBorders>
            <w:vAlign w:val="top"/>
          </w:tcPr>
          <w:p w14:paraId="49936673">
            <w:pPr>
              <w:pStyle w:val="6"/>
              <w:spacing w:before="65" w:line="199" w:lineRule="auto"/>
              <w:ind w:left="381"/>
            </w:pPr>
            <w:r>
              <w:rPr>
                <w:spacing w:val="-2"/>
              </w:rPr>
              <w:t>6224.20</w:t>
            </w:r>
          </w:p>
        </w:tc>
      </w:tr>
      <w:tr w14:paraId="36537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tcBorders>
              <w:left w:val="single" w:color="000000" w:sz="12" w:space="0"/>
            </w:tcBorders>
            <w:vAlign w:val="top"/>
          </w:tcPr>
          <w:p w14:paraId="5BD3D745">
            <w:pPr>
              <w:spacing w:before="33" w:line="205" w:lineRule="auto"/>
              <w:ind w:left="377"/>
              <w:rPr>
                <w:rFonts w:ascii="宋体" w:hAnsi="宋体" w:eastAsia="宋体" w:cs="宋体"/>
                <w:sz w:val="21"/>
                <w:szCs w:val="21"/>
              </w:rPr>
            </w:pPr>
            <w:r>
              <w:rPr>
                <w:rFonts w:ascii="宋体" w:hAnsi="宋体" w:eastAsia="宋体" w:cs="宋体"/>
                <w:sz w:val="21"/>
                <w:szCs w:val="21"/>
              </w:rPr>
              <w:t>三</w:t>
            </w:r>
          </w:p>
        </w:tc>
        <w:tc>
          <w:tcPr>
            <w:tcW w:w="3110" w:type="dxa"/>
            <w:vAlign w:val="top"/>
          </w:tcPr>
          <w:p w14:paraId="2D8BCEDB">
            <w:pPr>
              <w:spacing w:before="33" w:line="205" w:lineRule="auto"/>
              <w:ind w:left="504"/>
              <w:rPr>
                <w:rFonts w:ascii="宋体" w:hAnsi="宋体" w:eastAsia="宋体" w:cs="宋体"/>
                <w:sz w:val="21"/>
                <w:szCs w:val="21"/>
              </w:rPr>
            </w:pPr>
            <w:r>
              <w:rPr>
                <w:rFonts w:ascii="宋体" w:hAnsi="宋体" w:eastAsia="宋体" w:cs="宋体"/>
                <w:spacing w:val="-1"/>
                <w:sz w:val="21"/>
                <w:szCs w:val="21"/>
              </w:rPr>
              <w:t>水库管理局环保措施费</w:t>
            </w:r>
          </w:p>
        </w:tc>
        <w:tc>
          <w:tcPr>
            <w:tcW w:w="1415" w:type="dxa"/>
            <w:vAlign w:val="top"/>
          </w:tcPr>
          <w:p w14:paraId="3FFF11A6">
            <w:pPr>
              <w:pStyle w:val="6"/>
              <w:spacing w:before="66" w:line="199" w:lineRule="auto"/>
              <w:ind w:left="530"/>
            </w:pPr>
            <w:r>
              <w:rPr>
                <w:spacing w:val="-3"/>
              </w:rPr>
              <w:t>35.3</w:t>
            </w:r>
          </w:p>
        </w:tc>
        <w:tc>
          <w:tcPr>
            <w:tcW w:w="1269" w:type="dxa"/>
            <w:vMerge w:val="restart"/>
            <w:tcBorders>
              <w:bottom w:val="nil"/>
            </w:tcBorders>
            <w:vAlign w:val="top"/>
          </w:tcPr>
          <w:p w14:paraId="02F75C05">
            <w:pPr>
              <w:spacing w:line="292" w:lineRule="auto"/>
              <w:rPr>
                <w:rFonts w:ascii="Arial"/>
                <w:sz w:val="21"/>
              </w:rPr>
            </w:pPr>
          </w:p>
          <w:p w14:paraId="0A26E8FC">
            <w:pPr>
              <w:pStyle w:val="6"/>
              <w:spacing w:before="60" w:line="232" w:lineRule="auto"/>
              <w:ind w:left="373"/>
            </w:pPr>
            <w:r>
              <w:rPr>
                <w:spacing w:val="-4"/>
              </w:rPr>
              <w:t>109.18</w:t>
            </w:r>
          </w:p>
        </w:tc>
        <w:tc>
          <w:tcPr>
            <w:tcW w:w="1428" w:type="dxa"/>
            <w:tcBorders>
              <w:right w:val="single" w:color="000000" w:sz="12" w:space="0"/>
            </w:tcBorders>
            <w:vAlign w:val="top"/>
          </w:tcPr>
          <w:p w14:paraId="1339A2F1">
            <w:pPr>
              <w:pStyle w:val="6"/>
              <w:spacing w:before="66" w:line="199" w:lineRule="auto"/>
              <w:ind w:left="485"/>
            </w:pPr>
            <w:r>
              <w:rPr>
                <w:spacing w:val="-2"/>
              </w:rPr>
              <w:t>35.00</w:t>
            </w:r>
          </w:p>
        </w:tc>
      </w:tr>
      <w:tr w14:paraId="5B813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64ABE4A0">
            <w:pPr>
              <w:spacing w:before="33" w:line="204" w:lineRule="auto"/>
              <w:ind w:left="397"/>
              <w:rPr>
                <w:rFonts w:ascii="宋体" w:hAnsi="宋体" w:eastAsia="宋体" w:cs="宋体"/>
                <w:sz w:val="21"/>
                <w:szCs w:val="21"/>
              </w:rPr>
            </w:pPr>
            <w:r>
              <w:rPr>
                <w:rFonts w:ascii="宋体" w:hAnsi="宋体" w:eastAsia="宋体" w:cs="宋体"/>
                <w:sz w:val="21"/>
                <w:szCs w:val="21"/>
              </w:rPr>
              <w:t>四</w:t>
            </w:r>
          </w:p>
        </w:tc>
        <w:tc>
          <w:tcPr>
            <w:tcW w:w="3110" w:type="dxa"/>
            <w:vAlign w:val="top"/>
          </w:tcPr>
          <w:p w14:paraId="0A31AB6D">
            <w:pPr>
              <w:spacing w:before="33" w:line="204" w:lineRule="auto"/>
              <w:ind w:left="607"/>
              <w:rPr>
                <w:rFonts w:ascii="宋体" w:hAnsi="宋体" w:eastAsia="宋体" w:cs="宋体"/>
                <w:sz w:val="21"/>
                <w:szCs w:val="21"/>
              </w:rPr>
            </w:pPr>
            <w:r>
              <w:rPr>
                <w:rFonts w:ascii="宋体" w:hAnsi="宋体" w:eastAsia="宋体" w:cs="宋体"/>
                <w:spacing w:val="-1"/>
                <w:sz w:val="21"/>
                <w:szCs w:val="21"/>
              </w:rPr>
              <w:t>供水保障永久措施费</w:t>
            </w:r>
          </w:p>
        </w:tc>
        <w:tc>
          <w:tcPr>
            <w:tcW w:w="1415" w:type="dxa"/>
            <w:vAlign w:val="top"/>
          </w:tcPr>
          <w:p w14:paraId="18B4842C">
            <w:pPr>
              <w:pStyle w:val="6"/>
              <w:spacing w:before="66" w:line="198" w:lineRule="auto"/>
              <w:ind w:left="609"/>
            </w:pPr>
            <w:r>
              <w:rPr>
                <w:spacing w:val="-4"/>
              </w:rPr>
              <w:t>91</w:t>
            </w:r>
          </w:p>
        </w:tc>
        <w:tc>
          <w:tcPr>
            <w:tcW w:w="1269" w:type="dxa"/>
            <w:vMerge w:val="continue"/>
            <w:tcBorders>
              <w:top w:val="nil"/>
              <w:bottom w:val="nil"/>
            </w:tcBorders>
            <w:vAlign w:val="top"/>
          </w:tcPr>
          <w:p w14:paraId="2EFA78D8">
            <w:pPr>
              <w:rPr>
                <w:rFonts w:ascii="Arial"/>
                <w:sz w:val="21"/>
              </w:rPr>
            </w:pPr>
          </w:p>
        </w:tc>
        <w:tc>
          <w:tcPr>
            <w:tcW w:w="1428" w:type="dxa"/>
            <w:tcBorders>
              <w:right w:val="single" w:color="000000" w:sz="12" w:space="0"/>
            </w:tcBorders>
            <w:vAlign w:val="top"/>
          </w:tcPr>
          <w:p w14:paraId="0E2AAA03">
            <w:pPr>
              <w:pStyle w:val="6"/>
              <w:spacing w:before="66" w:line="198" w:lineRule="auto"/>
              <w:ind w:left="537"/>
            </w:pPr>
            <w:r>
              <w:rPr>
                <w:spacing w:val="-2"/>
              </w:rPr>
              <w:t>0.00</w:t>
            </w:r>
          </w:p>
        </w:tc>
      </w:tr>
      <w:tr w14:paraId="568F5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32F6EB57">
            <w:pPr>
              <w:spacing w:before="33" w:line="204" w:lineRule="auto"/>
              <w:ind w:left="381"/>
              <w:rPr>
                <w:rFonts w:ascii="宋体" w:hAnsi="宋体" w:eastAsia="宋体" w:cs="宋体"/>
                <w:sz w:val="21"/>
                <w:szCs w:val="21"/>
              </w:rPr>
            </w:pPr>
            <w:r>
              <w:rPr>
                <w:rFonts w:ascii="宋体" w:hAnsi="宋体" w:eastAsia="宋体" w:cs="宋体"/>
                <w:sz w:val="21"/>
                <w:szCs w:val="21"/>
              </w:rPr>
              <w:t>五</w:t>
            </w:r>
          </w:p>
        </w:tc>
        <w:tc>
          <w:tcPr>
            <w:tcW w:w="3110" w:type="dxa"/>
            <w:vAlign w:val="top"/>
          </w:tcPr>
          <w:p w14:paraId="20B7396D">
            <w:pPr>
              <w:spacing w:before="33" w:line="204" w:lineRule="auto"/>
              <w:ind w:left="398"/>
              <w:rPr>
                <w:rFonts w:ascii="宋体" w:hAnsi="宋体" w:eastAsia="宋体" w:cs="宋体"/>
                <w:sz w:val="21"/>
                <w:szCs w:val="21"/>
              </w:rPr>
            </w:pPr>
            <w:r>
              <w:rPr>
                <w:rFonts w:ascii="宋体" w:hAnsi="宋体" w:eastAsia="宋体" w:cs="宋体"/>
                <w:spacing w:val="-1"/>
                <w:sz w:val="21"/>
                <w:szCs w:val="21"/>
              </w:rPr>
              <w:t>移民安置复建环保措施费</w:t>
            </w:r>
          </w:p>
        </w:tc>
        <w:tc>
          <w:tcPr>
            <w:tcW w:w="1415" w:type="dxa"/>
            <w:vAlign w:val="top"/>
          </w:tcPr>
          <w:p w14:paraId="4C2B8FBC">
            <w:pPr>
              <w:pStyle w:val="6"/>
              <w:spacing w:before="67" w:line="197" w:lineRule="auto"/>
              <w:ind w:left="664"/>
            </w:pPr>
            <w:r>
              <w:t>5</w:t>
            </w:r>
          </w:p>
        </w:tc>
        <w:tc>
          <w:tcPr>
            <w:tcW w:w="1269" w:type="dxa"/>
            <w:vMerge w:val="continue"/>
            <w:tcBorders>
              <w:top w:val="nil"/>
            </w:tcBorders>
            <w:vAlign w:val="top"/>
          </w:tcPr>
          <w:p w14:paraId="645382D3">
            <w:pPr>
              <w:rPr>
                <w:rFonts w:ascii="Arial"/>
                <w:sz w:val="21"/>
              </w:rPr>
            </w:pPr>
          </w:p>
        </w:tc>
        <w:tc>
          <w:tcPr>
            <w:tcW w:w="1428" w:type="dxa"/>
            <w:tcBorders>
              <w:right w:val="single" w:color="000000" w:sz="12" w:space="0"/>
            </w:tcBorders>
            <w:vAlign w:val="top"/>
          </w:tcPr>
          <w:p w14:paraId="59EF308D">
            <w:pPr>
              <w:pStyle w:val="6"/>
              <w:spacing w:before="67" w:line="197" w:lineRule="auto"/>
              <w:ind w:left="435"/>
            </w:pPr>
            <w:r>
              <w:rPr>
                <w:spacing w:val="-2"/>
              </w:rPr>
              <w:t>522.10</w:t>
            </w:r>
          </w:p>
        </w:tc>
      </w:tr>
      <w:tr w14:paraId="584DD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tcBorders>
              <w:left w:val="single" w:color="000000" w:sz="12" w:space="0"/>
            </w:tcBorders>
            <w:vAlign w:val="top"/>
          </w:tcPr>
          <w:p w14:paraId="2C581F4E">
            <w:pPr>
              <w:spacing w:before="36" w:line="203" w:lineRule="auto"/>
              <w:ind w:left="63"/>
              <w:rPr>
                <w:rFonts w:ascii="宋体" w:hAnsi="宋体" w:eastAsia="宋体" w:cs="宋体"/>
                <w:sz w:val="21"/>
                <w:szCs w:val="21"/>
              </w:rPr>
            </w:pPr>
            <w:r>
              <w:rPr>
                <w:rFonts w:ascii="宋体" w:hAnsi="宋体" w:eastAsia="宋体" w:cs="宋体"/>
                <w:spacing w:val="-2"/>
                <w:sz w:val="21"/>
                <w:szCs w:val="21"/>
              </w:rPr>
              <w:t>第二部分</w:t>
            </w:r>
          </w:p>
        </w:tc>
        <w:tc>
          <w:tcPr>
            <w:tcW w:w="3110" w:type="dxa"/>
            <w:vAlign w:val="top"/>
          </w:tcPr>
          <w:p w14:paraId="087F1566">
            <w:pPr>
              <w:spacing w:before="36" w:line="203" w:lineRule="auto"/>
              <w:ind w:left="921"/>
              <w:rPr>
                <w:rFonts w:ascii="宋体" w:hAnsi="宋体" w:eastAsia="宋体" w:cs="宋体"/>
                <w:sz w:val="21"/>
                <w:szCs w:val="21"/>
              </w:rPr>
            </w:pPr>
            <w:r>
              <w:rPr>
                <w:rFonts w:ascii="宋体" w:hAnsi="宋体" w:eastAsia="宋体" w:cs="宋体"/>
                <w:spacing w:val="-2"/>
                <w:sz w:val="21"/>
                <w:szCs w:val="21"/>
              </w:rPr>
              <w:t>环境监测措施</w:t>
            </w:r>
          </w:p>
        </w:tc>
        <w:tc>
          <w:tcPr>
            <w:tcW w:w="1415" w:type="dxa"/>
            <w:vAlign w:val="top"/>
          </w:tcPr>
          <w:p w14:paraId="6C91947A">
            <w:pPr>
              <w:pStyle w:val="6"/>
              <w:spacing w:before="69" w:line="196" w:lineRule="auto"/>
              <w:ind w:left="472"/>
            </w:pPr>
            <w:r>
              <w:rPr>
                <w:spacing w:val="-1"/>
              </w:rPr>
              <w:t>470.7</w:t>
            </w:r>
          </w:p>
        </w:tc>
        <w:tc>
          <w:tcPr>
            <w:tcW w:w="1269" w:type="dxa"/>
            <w:vAlign w:val="top"/>
          </w:tcPr>
          <w:p w14:paraId="42F79D54">
            <w:pPr>
              <w:pStyle w:val="6"/>
              <w:spacing w:before="69" w:line="196" w:lineRule="auto"/>
              <w:ind w:left="359"/>
            </w:pPr>
            <w:r>
              <w:rPr>
                <w:spacing w:val="-2"/>
              </w:rPr>
              <w:t>540.92</w:t>
            </w:r>
          </w:p>
        </w:tc>
        <w:tc>
          <w:tcPr>
            <w:tcW w:w="1428" w:type="dxa"/>
            <w:tcBorders>
              <w:right w:val="single" w:color="000000" w:sz="12" w:space="0"/>
            </w:tcBorders>
            <w:vAlign w:val="top"/>
          </w:tcPr>
          <w:p w14:paraId="1B4C9D17">
            <w:pPr>
              <w:pStyle w:val="6"/>
              <w:spacing w:before="69" w:line="196" w:lineRule="auto"/>
              <w:ind w:left="434"/>
            </w:pPr>
            <w:r>
              <w:rPr>
                <w:spacing w:val="-2"/>
              </w:rPr>
              <w:t>397.80</w:t>
            </w:r>
          </w:p>
        </w:tc>
      </w:tr>
      <w:tr w14:paraId="0F88B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2EC535B9">
            <w:pPr>
              <w:spacing w:before="114" w:line="151" w:lineRule="exact"/>
              <w:ind w:left="381"/>
              <w:rPr>
                <w:rFonts w:ascii="宋体" w:hAnsi="宋体" w:eastAsia="宋体" w:cs="宋体"/>
                <w:sz w:val="21"/>
                <w:szCs w:val="21"/>
              </w:rPr>
            </w:pPr>
            <w:r>
              <w:rPr>
                <w:rFonts w:ascii="宋体" w:hAnsi="宋体" w:eastAsia="宋体" w:cs="宋体"/>
                <w:position w:val="-4"/>
                <w:sz w:val="21"/>
                <w:szCs w:val="21"/>
              </w:rPr>
              <w:t>一</w:t>
            </w:r>
          </w:p>
        </w:tc>
        <w:tc>
          <w:tcPr>
            <w:tcW w:w="3110" w:type="dxa"/>
            <w:vAlign w:val="top"/>
          </w:tcPr>
          <w:p w14:paraId="4CA88B1B">
            <w:pPr>
              <w:spacing w:before="36" w:line="202" w:lineRule="auto"/>
              <w:ind w:left="1029"/>
              <w:rPr>
                <w:rFonts w:ascii="宋体" w:hAnsi="宋体" w:eastAsia="宋体" w:cs="宋体"/>
                <w:sz w:val="21"/>
                <w:szCs w:val="21"/>
              </w:rPr>
            </w:pPr>
            <w:r>
              <w:rPr>
                <w:rFonts w:ascii="宋体" w:hAnsi="宋体" w:eastAsia="宋体" w:cs="宋体"/>
                <w:spacing w:val="-2"/>
                <w:sz w:val="21"/>
                <w:szCs w:val="21"/>
              </w:rPr>
              <w:t>水质监测费</w:t>
            </w:r>
          </w:p>
        </w:tc>
        <w:tc>
          <w:tcPr>
            <w:tcW w:w="1415" w:type="dxa"/>
            <w:vAlign w:val="top"/>
          </w:tcPr>
          <w:p w14:paraId="5DFD284B">
            <w:pPr>
              <w:pStyle w:val="6"/>
              <w:spacing w:before="69" w:line="195" w:lineRule="auto"/>
              <w:ind w:left="426"/>
            </w:pPr>
            <w:r>
              <w:rPr>
                <w:spacing w:val="-2"/>
              </w:rPr>
              <w:t>341.20</w:t>
            </w:r>
          </w:p>
        </w:tc>
        <w:tc>
          <w:tcPr>
            <w:tcW w:w="1269" w:type="dxa"/>
            <w:vAlign w:val="top"/>
          </w:tcPr>
          <w:p w14:paraId="57329358">
            <w:pPr>
              <w:pStyle w:val="6"/>
              <w:spacing w:before="69" w:line="195" w:lineRule="auto"/>
              <w:ind w:left="357"/>
            </w:pPr>
            <w:r>
              <w:rPr>
                <w:spacing w:val="-2"/>
              </w:rPr>
              <w:t>362.32</w:t>
            </w:r>
          </w:p>
        </w:tc>
        <w:tc>
          <w:tcPr>
            <w:tcW w:w="1428" w:type="dxa"/>
            <w:tcBorders>
              <w:right w:val="single" w:color="000000" w:sz="12" w:space="0"/>
            </w:tcBorders>
            <w:vAlign w:val="top"/>
          </w:tcPr>
          <w:p w14:paraId="41863D09">
            <w:pPr>
              <w:rPr>
                <w:rFonts w:ascii="Arial"/>
                <w:sz w:val="21"/>
              </w:rPr>
            </w:pPr>
          </w:p>
        </w:tc>
      </w:tr>
      <w:tr w14:paraId="61846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tcBorders>
              <w:left w:val="single" w:color="000000" w:sz="12" w:space="0"/>
            </w:tcBorders>
            <w:vAlign w:val="top"/>
          </w:tcPr>
          <w:p w14:paraId="7F642EEA">
            <w:pPr>
              <w:spacing w:before="77" w:line="167" w:lineRule="auto"/>
              <w:ind w:left="381"/>
              <w:rPr>
                <w:rFonts w:ascii="宋体" w:hAnsi="宋体" w:eastAsia="宋体" w:cs="宋体"/>
                <w:sz w:val="21"/>
                <w:szCs w:val="21"/>
              </w:rPr>
            </w:pPr>
            <w:r>
              <w:rPr>
                <w:rFonts w:ascii="宋体" w:hAnsi="宋体" w:eastAsia="宋体" w:cs="宋体"/>
                <w:sz w:val="21"/>
                <w:szCs w:val="21"/>
              </w:rPr>
              <w:t>二</w:t>
            </w:r>
          </w:p>
        </w:tc>
        <w:tc>
          <w:tcPr>
            <w:tcW w:w="3110" w:type="dxa"/>
            <w:vAlign w:val="top"/>
          </w:tcPr>
          <w:p w14:paraId="3A62B2FD">
            <w:pPr>
              <w:spacing w:before="38" w:line="201" w:lineRule="auto"/>
              <w:ind w:left="1134"/>
              <w:rPr>
                <w:rFonts w:ascii="宋体" w:hAnsi="宋体" w:eastAsia="宋体" w:cs="宋体"/>
                <w:sz w:val="21"/>
                <w:szCs w:val="21"/>
              </w:rPr>
            </w:pPr>
            <w:r>
              <w:rPr>
                <w:rFonts w:ascii="宋体" w:hAnsi="宋体" w:eastAsia="宋体" w:cs="宋体"/>
                <w:spacing w:val="-3"/>
                <w:sz w:val="21"/>
                <w:szCs w:val="21"/>
              </w:rPr>
              <w:t>大气监测</w:t>
            </w:r>
          </w:p>
        </w:tc>
        <w:tc>
          <w:tcPr>
            <w:tcW w:w="1415" w:type="dxa"/>
            <w:vAlign w:val="top"/>
          </w:tcPr>
          <w:p w14:paraId="229562FE">
            <w:pPr>
              <w:pStyle w:val="6"/>
              <w:spacing w:before="71" w:line="194" w:lineRule="auto"/>
              <w:ind w:left="604"/>
            </w:pPr>
            <w:r>
              <w:rPr>
                <w:spacing w:val="-2"/>
              </w:rPr>
              <w:t>45</w:t>
            </w:r>
          </w:p>
        </w:tc>
        <w:tc>
          <w:tcPr>
            <w:tcW w:w="1269" w:type="dxa"/>
            <w:vAlign w:val="top"/>
          </w:tcPr>
          <w:p w14:paraId="4351F7D2">
            <w:pPr>
              <w:pStyle w:val="6"/>
              <w:spacing w:before="71" w:line="194" w:lineRule="auto"/>
              <w:ind w:left="542"/>
            </w:pPr>
            <w:r>
              <w:rPr>
                <w:spacing w:val="-5"/>
              </w:rPr>
              <w:t>54</w:t>
            </w:r>
          </w:p>
        </w:tc>
        <w:tc>
          <w:tcPr>
            <w:tcW w:w="1428" w:type="dxa"/>
            <w:tcBorders>
              <w:right w:val="single" w:color="000000" w:sz="12" w:space="0"/>
            </w:tcBorders>
            <w:vAlign w:val="top"/>
          </w:tcPr>
          <w:p w14:paraId="604E77F1">
            <w:pPr>
              <w:rPr>
                <w:rFonts w:ascii="Arial"/>
                <w:sz w:val="21"/>
              </w:rPr>
            </w:pPr>
          </w:p>
        </w:tc>
      </w:tr>
      <w:tr w14:paraId="00059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6874DEA6">
            <w:pPr>
              <w:spacing w:before="38" w:line="200" w:lineRule="auto"/>
              <w:ind w:left="377"/>
              <w:rPr>
                <w:rFonts w:ascii="宋体" w:hAnsi="宋体" w:eastAsia="宋体" w:cs="宋体"/>
                <w:sz w:val="21"/>
                <w:szCs w:val="21"/>
              </w:rPr>
            </w:pPr>
            <w:r>
              <w:rPr>
                <w:rFonts w:ascii="宋体" w:hAnsi="宋体" w:eastAsia="宋体" w:cs="宋体"/>
                <w:sz w:val="21"/>
                <w:szCs w:val="21"/>
              </w:rPr>
              <w:t>三</w:t>
            </w:r>
          </w:p>
        </w:tc>
        <w:tc>
          <w:tcPr>
            <w:tcW w:w="3110" w:type="dxa"/>
            <w:vAlign w:val="top"/>
          </w:tcPr>
          <w:p w14:paraId="74F63C06">
            <w:pPr>
              <w:spacing w:before="38" w:line="200" w:lineRule="auto"/>
              <w:ind w:left="1141"/>
              <w:rPr>
                <w:rFonts w:ascii="宋体" w:hAnsi="宋体" w:eastAsia="宋体" w:cs="宋体"/>
                <w:sz w:val="21"/>
                <w:szCs w:val="21"/>
              </w:rPr>
            </w:pPr>
            <w:r>
              <w:rPr>
                <w:rFonts w:ascii="宋体" w:hAnsi="宋体" w:eastAsia="宋体" w:cs="宋体"/>
                <w:spacing w:val="-4"/>
                <w:sz w:val="21"/>
                <w:szCs w:val="21"/>
              </w:rPr>
              <w:t>噪声监测</w:t>
            </w:r>
          </w:p>
        </w:tc>
        <w:tc>
          <w:tcPr>
            <w:tcW w:w="1415" w:type="dxa"/>
            <w:vAlign w:val="top"/>
          </w:tcPr>
          <w:p w14:paraId="4858D56F">
            <w:pPr>
              <w:pStyle w:val="6"/>
              <w:spacing w:before="71" w:line="193" w:lineRule="auto"/>
              <w:ind w:left="578"/>
            </w:pPr>
            <w:r>
              <w:rPr>
                <w:spacing w:val="-1"/>
              </w:rPr>
              <w:t>4.5</w:t>
            </w:r>
          </w:p>
        </w:tc>
        <w:tc>
          <w:tcPr>
            <w:tcW w:w="1269" w:type="dxa"/>
            <w:vAlign w:val="top"/>
          </w:tcPr>
          <w:p w14:paraId="5442F4F7">
            <w:pPr>
              <w:pStyle w:val="6"/>
              <w:spacing w:before="71" w:line="193" w:lineRule="auto"/>
              <w:ind w:left="516"/>
            </w:pPr>
            <w:r>
              <w:rPr>
                <w:spacing w:val="-4"/>
              </w:rPr>
              <w:t>5.4</w:t>
            </w:r>
          </w:p>
        </w:tc>
        <w:tc>
          <w:tcPr>
            <w:tcW w:w="1428" w:type="dxa"/>
            <w:tcBorders>
              <w:right w:val="single" w:color="000000" w:sz="12" w:space="0"/>
            </w:tcBorders>
            <w:vAlign w:val="top"/>
          </w:tcPr>
          <w:p w14:paraId="20A113F3">
            <w:pPr>
              <w:rPr>
                <w:rFonts w:ascii="Arial"/>
                <w:sz w:val="21"/>
              </w:rPr>
            </w:pPr>
          </w:p>
        </w:tc>
      </w:tr>
      <w:tr w14:paraId="54CBE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84" w:type="dxa"/>
            <w:tcBorders>
              <w:left w:val="single" w:color="000000" w:sz="12" w:space="0"/>
            </w:tcBorders>
            <w:vAlign w:val="top"/>
          </w:tcPr>
          <w:p w14:paraId="437D83F5">
            <w:pPr>
              <w:spacing w:before="39" w:line="200" w:lineRule="auto"/>
              <w:ind w:left="397"/>
              <w:rPr>
                <w:rFonts w:ascii="宋体" w:hAnsi="宋体" w:eastAsia="宋体" w:cs="宋体"/>
                <w:sz w:val="21"/>
                <w:szCs w:val="21"/>
              </w:rPr>
            </w:pPr>
            <w:r>
              <w:rPr>
                <w:rFonts w:ascii="宋体" w:hAnsi="宋体" w:eastAsia="宋体" w:cs="宋体"/>
                <w:sz w:val="21"/>
                <w:szCs w:val="21"/>
              </w:rPr>
              <w:t>四</w:t>
            </w:r>
          </w:p>
        </w:tc>
        <w:tc>
          <w:tcPr>
            <w:tcW w:w="3110" w:type="dxa"/>
            <w:vAlign w:val="top"/>
          </w:tcPr>
          <w:p w14:paraId="258873CA">
            <w:pPr>
              <w:spacing w:before="39" w:line="200" w:lineRule="auto"/>
              <w:ind w:left="924"/>
              <w:rPr>
                <w:rFonts w:ascii="宋体" w:hAnsi="宋体" w:eastAsia="宋体" w:cs="宋体"/>
                <w:sz w:val="21"/>
                <w:szCs w:val="21"/>
              </w:rPr>
            </w:pPr>
            <w:r>
              <w:rPr>
                <w:rFonts w:ascii="宋体" w:hAnsi="宋体" w:eastAsia="宋体" w:cs="宋体"/>
                <w:spacing w:val="-2"/>
                <w:sz w:val="21"/>
                <w:szCs w:val="21"/>
              </w:rPr>
              <w:t>水生生物监测</w:t>
            </w:r>
          </w:p>
        </w:tc>
        <w:tc>
          <w:tcPr>
            <w:tcW w:w="1415" w:type="dxa"/>
            <w:vAlign w:val="top"/>
          </w:tcPr>
          <w:p w14:paraId="5517BEA7">
            <w:pPr>
              <w:pStyle w:val="6"/>
              <w:spacing w:before="73" w:line="192" w:lineRule="auto"/>
              <w:ind w:left="604"/>
            </w:pPr>
            <w:r>
              <w:rPr>
                <w:spacing w:val="-2"/>
              </w:rPr>
              <w:t>45</w:t>
            </w:r>
          </w:p>
        </w:tc>
        <w:tc>
          <w:tcPr>
            <w:tcW w:w="1269" w:type="dxa"/>
            <w:vMerge w:val="restart"/>
            <w:tcBorders>
              <w:bottom w:val="nil"/>
            </w:tcBorders>
            <w:vAlign w:val="top"/>
          </w:tcPr>
          <w:p w14:paraId="7D047D70">
            <w:pPr>
              <w:pStyle w:val="6"/>
              <w:spacing w:before="216" w:line="232" w:lineRule="auto"/>
              <w:ind w:left="545"/>
            </w:pPr>
            <w:r>
              <w:rPr>
                <w:spacing w:val="-7"/>
              </w:rPr>
              <w:t>80</w:t>
            </w:r>
          </w:p>
        </w:tc>
        <w:tc>
          <w:tcPr>
            <w:tcW w:w="1428" w:type="dxa"/>
            <w:tcBorders>
              <w:right w:val="single" w:color="000000" w:sz="12" w:space="0"/>
            </w:tcBorders>
            <w:vAlign w:val="top"/>
          </w:tcPr>
          <w:p w14:paraId="4FD1A264">
            <w:pPr>
              <w:rPr>
                <w:rFonts w:ascii="Arial"/>
                <w:sz w:val="21"/>
              </w:rPr>
            </w:pPr>
          </w:p>
        </w:tc>
      </w:tr>
      <w:tr w14:paraId="6B8E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84" w:type="dxa"/>
            <w:tcBorders>
              <w:left w:val="single" w:color="000000" w:sz="12" w:space="0"/>
            </w:tcBorders>
            <w:vAlign w:val="top"/>
          </w:tcPr>
          <w:p w14:paraId="7022870A">
            <w:pPr>
              <w:spacing w:before="39" w:line="199" w:lineRule="auto"/>
              <w:ind w:left="381"/>
              <w:rPr>
                <w:rFonts w:ascii="宋体" w:hAnsi="宋体" w:eastAsia="宋体" w:cs="宋体"/>
                <w:sz w:val="21"/>
                <w:szCs w:val="21"/>
              </w:rPr>
            </w:pPr>
            <w:r>
              <w:rPr>
                <w:rFonts w:ascii="宋体" w:hAnsi="宋体" w:eastAsia="宋体" w:cs="宋体"/>
                <w:sz w:val="21"/>
                <w:szCs w:val="21"/>
              </w:rPr>
              <w:t>五</w:t>
            </w:r>
          </w:p>
        </w:tc>
        <w:tc>
          <w:tcPr>
            <w:tcW w:w="3110" w:type="dxa"/>
            <w:vAlign w:val="top"/>
          </w:tcPr>
          <w:p w14:paraId="0F3ADA46">
            <w:pPr>
              <w:spacing w:before="39" w:line="199" w:lineRule="auto"/>
              <w:ind w:left="932"/>
              <w:rPr>
                <w:rFonts w:ascii="宋体" w:hAnsi="宋体" w:eastAsia="宋体" w:cs="宋体"/>
                <w:sz w:val="21"/>
                <w:szCs w:val="21"/>
              </w:rPr>
            </w:pPr>
            <w:r>
              <w:rPr>
                <w:rFonts w:ascii="宋体" w:hAnsi="宋体" w:eastAsia="宋体" w:cs="宋体"/>
                <w:spacing w:val="-3"/>
                <w:sz w:val="21"/>
                <w:szCs w:val="21"/>
              </w:rPr>
              <w:t>陆生生态监测</w:t>
            </w:r>
          </w:p>
        </w:tc>
        <w:tc>
          <w:tcPr>
            <w:tcW w:w="1415" w:type="dxa"/>
            <w:vAlign w:val="top"/>
          </w:tcPr>
          <w:p w14:paraId="241F026F">
            <w:pPr>
              <w:pStyle w:val="6"/>
              <w:spacing w:before="73" w:line="191" w:lineRule="auto"/>
              <w:ind w:left="609"/>
            </w:pPr>
            <w:r>
              <w:rPr>
                <w:spacing w:val="-5"/>
              </w:rPr>
              <w:t>35</w:t>
            </w:r>
          </w:p>
        </w:tc>
        <w:tc>
          <w:tcPr>
            <w:tcW w:w="1269" w:type="dxa"/>
            <w:vMerge w:val="continue"/>
            <w:tcBorders>
              <w:top w:val="nil"/>
            </w:tcBorders>
            <w:vAlign w:val="top"/>
          </w:tcPr>
          <w:p w14:paraId="57B904D8">
            <w:pPr>
              <w:rPr>
                <w:rFonts w:ascii="Arial"/>
                <w:sz w:val="21"/>
              </w:rPr>
            </w:pPr>
          </w:p>
        </w:tc>
        <w:tc>
          <w:tcPr>
            <w:tcW w:w="1428" w:type="dxa"/>
            <w:tcBorders>
              <w:right w:val="single" w:color="000000" w:sz="12" w:space="0"/>
            </w:tcBorders>
            <w:vAlign w:val="top"/>
          </w:tcPr>
          <w:p w14:paraId="4A9923DF">
            <w:pPr>
              <w:rPr>
                <w:rFonts w:ascii="Arial"/>
                <w:sz w:val="21"/>
              </w:rPr>
            </w:pPr>
          </w:p>
        </w:tc>
      </w:tr>
      <w:tr w14:paraId="46C55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84" w:type="dxa"/>
            <w:tcBorders>
              <w:left w:val="single" w:color="000000" w:sz="12" w:space="0"/>
            </w:tcBorders>
            <w:vAlign w:val="top"/>
          </w:tcPr>
          <w:p w14:paraId="1E99A100">
            <w:pPr>
              <w:spacing w:before="47" w:line="203" w:lineRule="auto"/>
              <w:ind w:left="63"/>
              <w:rPr>
                <w:rFonts w:ascii="宋体" w:hAnsi="宋体" w:eastAsia="宋体" w:cs="宋体"/>
                <w:sz w:val="21"/>
                <w:szCs w:val="21"/>
              </w:rPr>
            </w:pPr>
            <w:r>
              <w:rPr>
                <w:rFonts w:ascii="宋体" w:hAnsi="宋体" w:eastAsia="宋体" w:cs="宋体"/>
                <w:spacing w:val="-2"/>
                <w:sz w:val="21"/>
                <w:szCs w:val="21"/>
              </w:rPr>
              <w:t>第三部分</w:t>
            </w:r>
          </w:p>
        </w:tc>
        <w:tc>
          <w:tcPr>
            <w:tcW w:w="3110" w:type="dxa"/>
            <w:vAlign w:val="top"/>
          </w:tcPr>
          <w:p w14:paraId="51B531C5">
            <w:pPr>
              <w:spacing w:before="47" w:line="203" w:lineRule="auto"/>
              <w:ind w:left="397"/>
              <w:rPr>
                <w:rFonts w:ascii="宋体" w:hAnsi="宋体" w:eastAsia="宋体" w:cs="宋体"/>
                <w:sz w:val="21"/>
                <w:szCs w:val="21"/>
              </w:rPr>
            </w:pPr>
            <w:r>
              <w:rPr>
                <w:rFonts w:ascii="宋体" w:hAnsi="宋体" w:eastAsia="宋体" w:cs="宋体"/>
                <w:spacing w:val="-1"/>
                <w:sz w:val="21"/>
                <w:szCs w:val="21"/>
              </w:rPr>
              <w:t>环境保护仪器设备及安装</w:t>
            </w:r>
          </w:p>
        </w:tc>
        <w:tc>
          <w:tcPr>
            <w:tcW w:w="1415" w:type="dxa"/>
            <w:vAlign w:val="top"/>
          </w:tcPr>
          <w:p w14:paraId="2F364CFD">
            <w:pPr>
              <w:pStyle w:val="6"/>
              <w:spacing w:before="79" w:line="197" w:lineRule="auto"/>
              <w:ind w:left="420"/>
            </w:pPr>
            <w:r>
              <w:rPr>
                <w:spacing w:val="-1"/>
              </w:rPr>
              <w:t>435.48</w:t>
            </w:r>
          </w:p>
        </w:tc>
        <w:tc>
          <w:tcPr>
            <w:tcW w:w="1269" w:type="dxa"/>
            <w:vAlign w:val="top"/>
          </w:tcPr>
          <w:p w14:paraId="56137692">
            <w:pPr>
              <w:pStyle w:val="6"/>
              <w:spacing w:before="79" w:line="197" w:lineRule="auto"/>
              <w:ind w:left="320"/>
            </w:pPr>
            <w:r>
              <w:rPr>
                <w:spacing w:val="-4"/>
              </w:rPr>
              <w:t>1651.16</w:t>
            </w:r>
          </w:p>
        </w:tc>
        <w:tc>
          <w:tcPr>
            <w:tcW w:w="1428" w:type="dxa"/>
            <w:tcBorders>
              <w:right w:val="single" w:color="000000" w:sz="12" w:space="0"/>
            </w:tcBorders>
            <w:vAlign w:val="top"/>
          </w:tcPr>
          <w:p w14:paraId="18286D2D">
            <w:pPr>
              <w:pStyle w:val="6"/>
              <w:spacing w:before="79" w:line="197" w:lineRule="auto"/>
              <w:ind w:left="430"/>
            </w:pPr>
            <w:r>
              <w:rPr>
                <w:spacing w:val="-1"/>
              </w:rPr>
              <w:t>290.00</w:t>
            </w:r>
          </w:p>
        </w:tc>
      </w:tr>
      <w:tr w14:paraId="1AD38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226DAACB">
            <w:pPr>
              <w:spacing w:before="124" w:line="151" w:lineRule="exact"/>
              <w:ind w:left="381"/>
              <w:rPr>
                <w:rFonts w:ascii="宋体" w:hAnsi="宋体" w:eastAsia="宋体" w:cs="宋体"/>
                <w:sz w:val="21"/>
                <w:szCs w:val="21"/>
              </w:rPr>
            </w:pPr>
            <w:r>
              <w:rPr>
                <w:rFonts w:ascii="宋体" w:hAnsi="宋体" w:eastAsia="宋体" w:cs="宋体"/>
                <w:position w:val="-4"/>
                <w:sz w:val="21"/>
                <w:szCs w:val="21"/>
              </w:rPr>
              <w:t>一</w:t>
            </w:r>
          </w:p>
        </w:tc>
        <w:tc>
          <w:tcPr>
            <w:tcW w:w="3110" w:type="dxa"/>
            <w:vAlign w:val="top"/>
          </w:tcPr>
          <w:p w14:paraId="5BD1DAF4">
            <w:pPr>
              <w:spacing w:before="46" w:line="202" w:lineRule="auto"/>
              <w:ind w:left="503"/>
              <w:rPr>
                <w:rFonts w:ascii="宋体" w:hAnsi="宋体" w:eastAsia="宋体" w:cs="宋体"/>
                <w:sz w:val="21"/>
                <w:szCs w:val="21"/>
              </w:rPr>
            </w:pPr>
            <w:r>
              <w:rPr>
                <w:rFonts w:ascii="宋体" w:hAnsi="宋体" w:eastAsia="宋体" w:cs="宋体"/>
                <w:spacing w:val="-1"/>
                <w:sz w:val="21"/>
                <w:szCs w:val="21"/>
              </w:rPr>
              <w:t>生态流量在线监测系统</w:t>
            </w:r>
          </w:p>
        </w:tc>
        <w:tc>
          <w:tcPr>
            <w:tcW w:w="1415" w:type="dxa"/>
            <w:vAlign w:val="top"/>
          </w:tcPr>
          <w:p w14:paraId="6FDD23A7">
            <w:pPr>
              <w:pStyle w:val="6"/>
              <w:spacing w:before="79" w:line="195" w:lineRule="auto"/>
              <w:ind w:left="610"/>
            </w:pPr>
            <w:r>
              <w:rPr>
                <w:spacing w:val="-5"/>
              </w:rPr>
              <w:t>60</w:t>
            </w:r>
          </w:p>
        </w:tc>
        <w:tc>
          <w:tcPr>
            <w:tcW w:w="1269" w:type="dxa"/>
            <w:vAlign w:val="top"/>
          </w:tcPr>
          <w:p w14:paraId="7691CF39">
            <w:pPr>
              <w:pStyle w:val="6"/>
              <w:spacing w:before="79" w:line="195" w:lineRule="auto"/>
              <w:ind w:left="540"/>
            </w:pPr>
            <w:r>
              <w:rPr>
                <w:spacing w:val="-4"/>
              </w:rPr>
              <w:t>70</w:t>
            </w:r>
          </w:p>
        </w:tc>
        <w:tc>
          <w:tcPr>
            <w:tcW w:w="1428" w:type="dxa"/>
            <w:tcBorders>
              <w:right w:val="single" w:color="000000" w:sz="12" w:space="0"/>
            </w:tcBorders>
            <w:vAlign w:val="top"/>
          </w:tcPr>
          <w:p w14:paraId="7E523BDE">
            <w:pPr>
              <w:pStyle w:val="6"/>
              <w:spacing w:before="79" w:line="195" w:lineRule="auto"/>
              <w:ind w:left="485"/>
            </w:pPr>
            <w:r>
              <w:rPr>
                <w:spacing w:val="-2"/>
              </w:rPr>
              <w:t>30.00</w:t>
            </w:r>
          </w:p>
        </w:tc>
      </w:tr>
      <w:tr w14:paraId="7CF11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4F64D1E5">
            <w:pPr>
              <w:spacing w:before="88" w:line="165" w:lineRule="auto"/>
              <w:ind w:left="381"/>
              <w:rPr>
                <w:rFonts w:ascii="宋体" w:hAnsi="宋体" w:eastAsia="宋体" w:cs="宋体"/>
                <w:sz w:val="21"/>
                <w:szCs w:val="21"/>
              </w:rPr>
            </w:pPr>
            <w:r>
              <w:rPr>
                <w:rFonts w:ascii="宋体" w:hAnsi="宋体" w:eastAsia="宋体" w:cs="宋体"/>
                <w:sz w:val="21"/>
                <w:szCs w:val="21"/>
              </w:rPr>
              <w:t>二</w:t>
            </w:r>
          </w:p>
        </w:tc>
        <w:tc>
          <w:tcPr>
            <w:tcW w:w="3110" w:type="dxa"/>
            <w:vAlign w:val="top"/>
          </w:tcPr>
          <w:p w14:paraId="451901A6">
            <w:pPr>
              <w:spacing w:before="48" w:line="200" w:lineRule="auto"/>
              <w:ind w:left="921"/>
              <w:rPr>
                <w:rFonts w:ascii="宋体" w:hAnsi="宋体" w:eastAsia="宋体" w:cs="宋体"/>
                <w:sz w:val="21"/>
                <w:szCs w:val="21"/>
              </w:rPr>
            </w:pPr>
            <w:r>
              <w:rPr>
                <w:rFonts w:ascii="宋体" w:hAnsi="宋体" w:eastAsia="宋体" w:cs="宋体"/>
                <w:spacing w:val="-2"/>
                <w:sz w:val="21"/>
                <w:szCs w:val="21"/>
              </w:rPr>
              <w:t>环境保护设备</w:t>
            </w:r>
          </w:p>
        </w:tc>
        <w:tc>
          <w:tcPr>
            <w:tcW w:w="1415" w:type="dxa"/>
            <w:vAlign w:val="top"/>
          </w:tcPr>
          <w:p w14:paraId="308D732E">
            <w:pPr>
              <w:pStyle w:val="6"/>
              <w:spacing w:before="82" w:line="192" w:lineRule="auto"/>
              <w:ind w:left="426"/>
            </w:pPr>
            <w:r>
              <w:rPr>
                <w:spacing w:val="-2"/>
              </w:rPr>
              <w:t>375.48</w:t>
            </w:r>
          </w:p>
        </w:tc>
        <w:tc>
          <w:tcPr>
            <w:tcW w:w="1269" w:type="dxa"/>
            <w:vAlign w:val="top"/>
          </w:tcPr>
          <w:p w14:paraId="79124FB6">
            <w:pPr>
              <w:pStyle w:val="6"/>
              <w:spacing w:before="82" w:line="192" w:lineRule="auto"/>
              <w:ind w:left="320"/>
            </w:pPr>
            <w:r>
              <w:rPr>
                <w:spacing w:val="-4"/>
              </w:rPr>
              <w:t>1581.16</w:t>
            </w:r>
          </w:p>
        </w:tc>
        <w:tc>
          <w:tcPr>
            <w:tcW w:w="1428" w:type="dxa"/>
            <w:tcBorders>
              <w:right w:val="single" w:color="000000" w:sz="12" w:space="0"/>
            </w:tcBorders>
            <w:vAlign w:val="top"/>
          </w:tcPr>
          <w:p w14:paraId="648DE2F3">
            <w:pPr>
              <w:pStyle w:val="6"/>
              <w:spacing w:before="82" w:line="192" w:lineRule="auto"/>
              <w:ind w:left="430"/>
            </w:pPr>
            <w:r>
              <w:rPr>
                <w:spacing w:val="-1"/>
              </w:rPr>
              <w:t>260.00</w:t>
            </w:r>
          </w:p>
        </w:tc>
      </w:tr>
      <w:tr w14:paraId="1D8E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84" w:type="dxa"/>
            <w:tcBorders>
              <w:left w:val="single" w:color="000000" w:sz="12" w:space="0"/>
            </w:tcBorders>
            <w:vAlign w:val="top"/>
          </w:tcPr>
          <w:p w14:paraId="134E20DD">
            <w:pPr>
              <w:spacing w:before="50" w:line="200" w:lineRule="auto"/>
              <w:ind w:left="63"/>
              <w:rPr>
                <w:rFonts w:ascii="宋体" w:hAnsi="宋体" w:eastAsia="宋体" w:cs="宋体"/>
                <w:sz w:val="21"/>
                <w:szCs w:val="21"/>
              </w:rPr>
            </w:pPr>
            <w:r>
              <w:rPr>
                <w:rFonts w:ascii="宋体" w:hAnsi="宋体" w:eastAsia="宋体" w:cs="宋体"/>
                <w:spacing w:val="-2"/>
                <w:sz w:val="21"/>
                <w:szCs w:val="21"/>
              </w:rPr>
              <w:t>第四部分</w:t>
            </w:r>
          </w:p>
        </w:tc>
        <w:tc>
          <w:tcPr>
            <w:tcW w:w="3110" w:type="dxa"/>
            <w:vAlign w:val="top"/>
          </w:tcPr>
          <w:p w14:paraId="47DDD202">
            <w:pPr>
              <w:spacing w:before="50" w:line="200" w:lineRule="auto"/>
              <w:ind w:left="711"/>
              <w:rPr>
                <w:rFonts w:ascii="宋体" w:hAnsi="宋体" w:eastAsia="宋体" w:cs="宋体"/>
                <w:sz w:val="21"/>
                <w:szCs w:val="21"/>
              </w:rPr>
            </w:pPr>
            <w:r>
              <w:rPr>
                <w:rFonts w:ascii="宋体" w:hAnsi="宋体" w:eastAsia="宋体" w:cs="宋体"/>
                <w:spacing w:val="-1"/>
                <w:sz w:val="21"/>
                <w:szCs w:val="21"/>
              </w:rPr>
              <w:t>环境保护临时措施</w:t>
            </w:r>
          </w:p>
        </w:tc>
        <w:tc>
          <w:tcPr>
            <w:tcW w:w="1415" w:type="dxa"/>
            <w:vAlign w:val="top"/>
          </w:tcPr>
          <w:p w14:paraId="23A5F83F">
            <w:pPr>
              <w:pStyle w:val="6"/>
              <w:spacing w:before="83" w:line="193" w:lineRule="auto"/>
              <w:ind w:left="426"/>
            </w:pPr>
            <w:r>
              <w:rPr>
                <w:spacing w:val="-2"/>
              </w:rPr>
              <w:t>680.54</w:t>
            </w:r>
          </w:p>
        </w:tc>
        <w:tc>
          <w:tcPr>
            <w:tcW w:w="1269" w:type="dxa"/>
            <w:vAlign w:val="top"/>
          </w:tcPr>
          <w:p w14:paraId="0FF78D4C">
            <w:pPr>
              <w:pStyle w:val="6"/>
              <w:spacing w:before="83" w:line="193" w:lineRule="auto"/>
              <w:ind w:left="352"/>
            </w:pPr>
            <w:r>
              <w:rPr>
                <w:spacing w:val="-1"/>
              </w:rPr>
              <w:t>451.59</w:t>
            </w:r>
          </w:p>
        </w:tc>
        <w:tc>
          <w:tcPr>
            <w:tcW w:w="1428" w:type="dxa"/>
            <w:tcBorders>
              <w:right w:val="single" w:color="000000" w:sz="12" w:space="0"/>
            </w:tcBorders>
            <w:vAlign w:val="top"/>
          </w:tcPr>
          <w:p w14:paraId="0B323A28">
            <w:pPr>
              <w:pStyle w:val="6"/>
              <w:spacing w:before="83" w:line="193" w:lineRule="auto"/>
              <w:ind w:left="434"/>
            </w:pPr>
            <w:r>
              <w:rPr>
                <w:spacing w:val="-2"/>
              </w:rPr>
              <w:t>650.32</w:t>
            </w:r>
          </w:p>
        </w:tc>
      </w:tr>
      <w:tr w14:paraId="426B1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2055C10A">
            <w:pPr>
              <w:spacing w:before="128" w:line="147" w:lineRule="exact"/>
              <w:ind w:left="381"/>
              <w:rPr>
                <w:rFonts w:ascii="宋体" w:hAnsi="宋体" w:eastAsia="宋体" w:cs="宋体"/>
                <w:sz w:val="21"/>
                <w:szCs w:val="21"/>
              </w:rPr>
            </w:pPr>
            <w:r>
              <w:rPr>
                <w:rFonts w:ascii="宋体" w:hAnsi="宋体" w:eastAsia="宋体" w:cs="宋体"/>
                <w:position w:val="-5"/>
                <w:sz w:val="21"/>
                <w:szCs w:val="21"/>
              </w:rPr>
              <w:t>一</w:t>
            </w:r>
          </w:p>
        </w:tc>
        <w:tc>
          <w:tcPr>
            <w:tcW w:w="3110" w:type="dxa"/>
            <w:vAlign w:val="top"/>
          </w:tcPr>
          <w:p w14:paraId="2314F147">
            <w:pPr>
              <w:spacing w:before="50" w:line="198" w:lineRule="auto"/>
              <w:ind w:left="816"/>
              <w:rPr>
                <w:rFonts w:ascii="宋体" w:hAnsi="宋体" w:eastAsia="宋体" w:cs="宋体"/>
                <w:sz w:val="21"/>
                <w:szCs w:val="21"/>
              </w:rPr>
            </w:pPr>
            <w:r>
              <w:rPr>
                <w:rFonts w:ascii="宋体" w:hAnsi="宋体" w:eastAsia="宋体" w:cs="宋体"/>
                <w:spacing w:val="-1"/>
                <w:sz w:val="21"/>
                <w:szCs w:val="21"/>
              </w:rPr>
              <w:t>施工废污水处理</w:t>
            </w:r>
          </w:p>
        </w:tc>
        <w:tc>
          <w:tcPr>
            <w:tcW w:w="1415" w:type="dxa"/>
            <w:vAlign w:val="top"/>
          </w:tcPr>
          <w:p w14:paraId="72FA2B06">
            <w:pPr>
              <w:pStyle w:val="6"/>
              <w:spacing w:before="83" w:line="191" w:lineRule="auto"/>
              <w:ind w:left="420"/>
            </w:pPr>
            <w:r>
              <w:rPr>
                <w:spacing w:val="-1"/>
              </w:rPr>
              <w:t>475.44</w:t>
            </w:r>
          </w:p>
        </w:tc>
        <w:tc>
          <w:tcPr>
            <w:tcW w:w="1269" w:type="dxa"/>
            <w:vAlign w:val="top"/>
          </w:tcPr>
          <w:p w14:paraId="02B1226F">
            <w:pPr>
              <w:pStyle w:val="6"/>
              <w:spacing w:before="83" w:line="191" w:lineRule="auto"/>
              <w:ind w:left="353"/>
            </w:pPr>
            <w:r>
              <w:rPr>
                <w:spacing w:val="-1"/>
              </w:rPr>
              <w:t>228.83</w:t>
            </w:r>
          </w:p>
        </w:tc>
        <w:tc>
          <w:tcPr>
            <w:tcW w:w="1428" w:type="dxa"/>
            <w:tcBorders>
              <w:right w:val="single" w:color="000000" w:sz="12" w:space="0"/>
            </w:tcBorders>
            <w:vAlign w:val="top"/>
          </w:tcPr>
          <w:p w14:paraId="36E96E59">
            <w:pPr>
              <w:rPr>
                <w:rFonts w:ascii="Arial"/>
                <w:sz w:val="21"/>
              </w:rPr>
            </w:pPr>
          </w:p>
        </w:tc>
      </w:tr>
      <w:tr w14:paraId="6EB29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32EDD72F">
            <w:pPr>
              <w:spacing w:before="91" w:line="162" w:lineRule="auto"/>
              <w:ind w:left="381"/>
              <w:rPr>
                <w:rFonts w:ascii="宋体" w:hAnsi="宋体" w:eastAsia="宋体" w:cs="宋体"/>
                <w:sz w:val="21"/>
                <w:szCs w:val="21"/>
              </w:rPr>
            </w:pPr>
            <w:r>
              <w:rPr>
                <w:rFonts w:ascii="宋体" w:hAnsi="宋体" w:eastAsia="宋体" w:cs="宋体"/>
                <w:sz w:val="21"/>
                <w:szCs w:val="21"/>
              </w:rPr>
              <w:t>二</w:t>
            </w:r>
          </w:p>
        </w:tc>
        <w:tc>
          <w:tcPr>
            <w:tcW w:w="3110" w:type="dxa"/>
            <w:vAlign w:val="top"/>
          </w:tcPr>
          <w:p w14:paraId="6080A07C">
            <w:pPr>
              <w:spacing w:before="53" w:line="196" w:lineRule="auto"/>
              <w:ind w:left="714"/>
              <w:rPr>
                <w:rFonts w:ascii="宋体" w:hAnsi="宋体" w:eastAsia="宋体" w:cs="宋体"/>
                <w:sz w:val="21"/>
                <w:szCs w:val="21"/>
              </w:rPr>
            </w:pPr>
            <w:r>
              <w:rPr>
                <w:rFonts w:ascii="宋体" w:hAnsi="宋体" w:eastAsia="宋体" w:cs="宋体"/>
                <w:spacing w:val="-2"/>
                <w:sz w:val="21"/>
                <w:szCs w:val="21"/>
              </w:rPr>
              <w:t>大气环境保护工程</w:t>
            </w:r>
          </w:p>
        </w:tc>
        <w:tc>
          <w:tcPr>
            <w:tcW w:w="1415" w:type="dxa"/>
            <w:vAlign w:val="top"/>
          </w:tcPr>
          <w:p w14:paraId="797710DE">
            <w:pPr>
              <w:pStyle w:val="6"/>
              <w:spacing w:before="86" w:line="188" w:lineRule="auto"/>
              <w:ind w:left="479"/>
            </w:pPr>
            <w:r>
              <w:rPr>
                <w:spacing w:val="-2"/>
              </w:rPr>
              <w:t>58.35</w:t>
            </w:r>
          </w:p>
        </w:tc>
        <w:tc>
          <w:tcPr>
            <w:tcW w:w="1269" w:type="dxa"/>
            <w:vAlign w:val="top"/>
          </w:tcPr>
          <w:p w14:paraId="57717A20">
            <w:pPr>
              <w:pStyle w:val="6"/>
              <w:spacing w:before="86" w:line="188" w:lineRule="auto"/>
              <w:ind w:left="409"/>
            </w:pPr>
            <w:r>
              <w:rPr>
                <w:spacing w:val="-2"/>
              </w:rPr>
              <w:t>61.45</w:t>
            </w:r>
          </w:p>
        </w:tc>
        <w:tc>
          <w:tcPr>
            <w:tcW w:w="1428" w:type="dxa"/>
            <w:tcBorders>
              <w:right w:val="single" w:color="000000" w:sz="12" w:space="0"/>
            </w:tcBorders>
            <w:vAlign w:val="top"/>
          </w:tcPr>
          <w:p w14:paraId="0CA07C74">
            <w:pPr>
              <w:rPr>
                <w:rFonts w:ascii="Arial"/>
                <w:sz w:val="21"/>
              </w:rPr>
            </w:pPr>
          </w:p>
        </w:tc>
      </w:tr>
      <w:tr w14:paraId="19629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984" w:type="dxa"/>
            <w:tcBorders>
              <w:left w:val="single" w:color="000000" w:sz="12" w:space="0"/>
            </w:tcBorders>
            <w:vAlign w:val="top"/>
          </w:tcPr>
          <w:p w14:paraId="6D656CF3">
            <w:pPr>
              <w:spacing w:before="55" w:line="195" w:lineRule="auto"/>
              <w:ind w:left="377"/>
              <w:rPr>
                <w:rFonts w:ascii="宋体" w:hAnsi="宋体" w:eastAsia="宋体" w:cs="宋体"/>
                <w:sz w:val="21"/>
                <w:szCs w:val="21"/>
              </w:rPr>
            </w:pPr>
            <w:r>
              <w:rPr>
                <w:rFonts w:ascii="宋体" w:hAnsi="宋体" w:eastAsia="宋体" w:cs="宋体"/>
                <w:sz w:val="21"/>
                <w:szCs w:val="21"/>
              </w:rPr>
              <w:t>三</w:t>
            </w:r>
          </w:p>
        </w:tc>
        <w:tc>
          <w:tcPr>
            <w:tcW w:w="3110" w:type="dxa"/>
            <w:vAlign w:val="top"/>
          </w:tcPr>
          <w:p w14:paraId="437F8D47">
            <w:pPr>
              <w:spacing w:before="55" w:line="195" w:lineRule="auto"/>
              <w:ind w:left="821"/>
              <w:rPr>
                <w:rFonts w:ascii="宋体" w:hAnsi="宋体" w:eastAsia="宋体" w:cs="宋体"/>
                <w:sz w:val="21"/>
                <w:szCs w:val="21"/>
              </w:rPr>
            </w:pPr>
            <w:r>
              <w:rPr>
                <w:rFonts w:ascii="宋体" w:hAnsi="宋体" w:eastAsia="宋体" w:cs="宋体"/>
                <w:spacing w:val="-2"/>
                <w:sz w:val="21"/>
                <w:szCs w:val="21"/>
              </w:rPr>
              <w:t>声环境保护工程</w:t>
            </w:r>
          </w:p>
        </w:tc>
        <w:tc>
          <w:tcPr>
            <w:tcW w:w="1415" w:type="dxa"/>
            <w:vAlign w:val="top"/>
          </w:tcPr>
          <w:p w14:paraId="32FAFF0F">
            <w:pPr>
              <w:pStyle w:val="6"/>
              <w:spacing w:before="88" w:line="187" w:lineRule="auto"/>
              <w:ind w:left="477"/>
            </w:pPr>
            <w:r>
              <w:rPr>
                <w:spacing w:val="-2"/>
              </w:rPr>
              <w:t>94.50</w:t>
            </w:r>
          </w:p>
        </w:tc>
        <w:tc>
          <w:tcPr>
            <w:tcW w:w="1269" w:type="dxa"/>
            <w:vAlign w:val="top"/>
          </w:tcPr>
          <w:p w14:paraId="4BB28C54">
            <w:pPr>
              <w:pStyle w:val="6"/>
              <w:spacing w:before="88" w:line="187" w:lineRule="auto"/>
              <w:ind w:left="409"/>
            </w:pPr>
            <w:r>
              <w:rPr>
                <w:spacing w:val="-2"/>
              </w:rPr>
              <w:t>94.50</w:t>
            </w:r>
          </w:p>
        </w:tc>
        <w:tc>
          <w:tcPr>
            <w:tcW w:w="1428" w:type="dxa"/>
            <w:tcBorders>
              <w:right w:val="single" w:color="000000" w:sz="12" w:space="0"/>
            </w:tcBorders>
            <w:vAlign w:val="top"/>
          </w:tcPr>
          <w:p w14:paraId="42B88C7D">
            <w:pPr>
              <w:rPr>
                <w:rFonts w:ascii="Arial"/>
                <w:sz w:val="21"/>
              </w:rPr>
            </w:pPr>
          </w:p>
        </w:tc>
      </w:tr>
      <w:tr w14:paraId="778DF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84" w:type="dxa"/>
            <w:tcBorders>
              <w:left w:val="single" w:color="000000" w:sz="12" w:space="0"/>
            </w:tcBorders>
            <w:vAlign w:val="top"/>
          </w:tcPr>
          <w:p w14:paraId="7F4812BD">
            <w:pPr>
              <w:spacing w:before="55" w:line="196" w:lineRule="auto"/>
              <w:ind w:left="397"/>
              <w:rPr>
                <w:rFonts w:ascii="宋体" w:hAnsi="宋体" w:eastAsia="宋体" w:cs="宋体"/>
                <w:sz w:val="21"/>
                <w:szCs w:val="21"/>
              </w:rPr>
            </w:pPr>
            <w:r>
              <w:rPr>
                <w:rFonts w:ascii="宋体" w:hAnsi="宋体" w:eastAsia="宋体" w:cs="宋体"/>
                <w:sz w:val="21"/>
                <w:szCs w:val="21"/>
              </w:rPr>
              <w:t>四</w:t>
            </w:r>
          </w:p>
        </w:tc>
        <w:tc>
          <w:tcPr>
            <w:tcW w:w="3110" w:type="dxa"/>
            <w:vAlign w:val="top"/>
          </w:tcPr>
          <w:p w14:paraId="50CFC9E5">
            <w:pPr>
              <w:spacing w:before="55" w:line="196" w:lineRule="auto"/>
              <w:ind w:left="939"/>
              <w:rPr>
                <w:rFonts w:ascii="宋体" w:hAnsi="宋体" w:eastAsia="宋体" w:cs="宋体"/>
                <w:sz w:val="21"/>
                <w:szCs w:val="21"/>
              </w:rPr>
            </w:pPr>
            <w:r>
              <w:rPr>
                <w:rFonts w:ascii="宋体" w:hAnsi="宋体" w:eastAsia="宋体" w:cs="宋体"/>
                <w:spacing w:val="-4"/>
                <w:sz w:val="21"/>
                <w:szCs w:val="21"/>
              </w:rPr>
              <w:t>固体废物处理</w:t>
            </w:r>
          </w:p>
        </w:tc>
        <w:tc>
          <w:tcPr>
            <w:tcW w:w="1415" w:type="dxa"/>
            <w:vAlign w:val="top"/>
          </w:tcPr>
          <w:p w14:paraId="7EDFA672">
            <w:pPr>
              <w:pStyle w:val="6"/>
              <w:spacing w:before="88" w:line="188" w:lineRule="auto"/>
              <w:ind w:left="479"/>
            </w:pPr>
            <w:r>
              <w:rPr>
                <w:spacing w:val="-2"/>
              </w:rPr>
              <w:t>53.14</w:t>
            </w:r>
          </w:p>
        </w:tc>
        <w:tc>
          <w:tcPr>
            <w:tcW w:w="1269" w:type="dxa"/>
            <w:vAlign w:val="top"/>
          </w:tcPr>
          <w:p w14:paraId="7E0D9035">
            <w:pPr>
              <w:pStyle w:val="6"/>
              <w:spacing w:before="88" w:line="188" w:lineRule="auto"/>
              <w:ind w:left="410"/>
            </w:pPr>
            <w:r>
              <w:rPr>
                <w:spacing w:val="-2"/>
              </w:rPr>
              <w:t>50.81</w:t>
            </w:r>
          </w:p>
        </w:tc>
        <w:tc>
          <w:tcPr>
            <w:tcW w:w="1428" w:type="dxa"/>
            <w:tcBorders>
              <w:right w:val="single" w:color="000000" w:sz="12" w:space="0"/>
            </w:tcBorders>
            <w:vAlign w:val="top"/>
          </w:tcPr>
          <w:p w14:paraId="208D16CD">
            <w:pPr>
              <w:rPr>
                <w:rFonts w:ascii="Arial"/>
                <w:sz w:val="21"/>
              </w:rPr>
            </w:pPr>
          </w:p>
        </w:tc>
      </w:tr>
      <w:tr w14:paraId="28CFD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396B2AD9">
            <w:pPr>
              <w:spacing w:before="56" w:line="193" w:lineRule="auto"/>
              <w:ind w:left="63"/>
              <w:rPr>
                <w:rFonts w:ascii="宋体" w:hAnsi="宋体" w:eastAsia="宋体" w:cs="宋体"/>
                <w:sz w:val="21"/>
                <w:szCs w:val="21"/>
              </w:rPr>
            </w:pPr>
            <w:r>
              <w:rPr>
                <w:rFonts w:ascii="宋体" w:hAnsi="宋体" w:eastAsia="宋体" w:cs="宋体"/>
                <w:spacing w:val="-2"/>
                <w:sz w:val="21"/>
                <w:szCs w:val="21"/>
              </w:rPr>
              <w:t>第五部分</w:t>
            </w:r>
          </w:p>
        </w:tc>
        <w:tc>
          <w:tcPr>
            <w:tcW w:w="3110" w:type="dxa"/>
            <w:vAlign w:val="top"/>
          </w:tcPr>
          <w:p w14:paraId="2C44CBBC">
            <w:pPr>
              <w:spacing w:before="56" w:line="193" w:lineRule="auto"/>
              <w:ind w:left="711"/>
              <w:rPr>
                <w:rFonts w:ascii="宋体" w:hAnsi="宋体" w:eastAsia="宋体" w:cs="宋体"/>
                <w:sz w:val="21"/>
                <w:szCs w:val="21"/>
              </w:rPr>
            </w:pPr>
            <w:r>
              <w:rPr>
                <w:rFonts w:ascii="宋体" w:hAnsi="宋体" w:eastAsia="宋体" w:cs="宋体"/>
                <w:spacing w:val="-1"/>
                <w:sz w:val="21"/>
                <w:szCs w:val="21"/>
              </w:rPr>
              <w:t>环境保护独立费用</w:t>
            </w:r>
          </w:p>
        </w:tc>
        <w:tc>
          <w:tcPr>
            <w:tcW w:w="1415" w:type="dxa"/>
            <w:vAlign w:val="top"/>
          </w:tcPr>
          <w:p w14:paraId="102790F0">
            <w:pPr>
              <w:pStyle w:val="6"/>
              <w:spacing w:before="89" w:line="185" w:lineRule="auto"/>
              <w:ind w:left="369"/>
            </w:pPr>
            <w:r>
              <w:rPr>
                <w:spacing w:val="-1"/>
              </w:rPr>
              <w:t>2411.15</w:t>
            </w:r>
          </w:p>
        </w:tc>
        <w:tc>
          <w:tcPr>
            <w:tcW w:w="1269" w:type="dxa"/>
            <w:vAlign w:val="top"/>
          </w:tcPr>
          <w:p w14:paraId="3F4E3A50">
            <w:pPr>
              <w:pStyle w:val="6"/>
              <w:spacing w:before="89" w:line="185" w:lineRule="auto"/>
              <w:ind w:left="300"/>
            </w:pPr>
            <w:r>
              <w:rPr>
                <w:spacing w:val="-1"/>
              </w:rPr>
              <w:t>2452.44</w:t>
            </w:r>
          </w:p>
        </w:tc>
        <w:tc>
          <w:tcPr>
            <w:tcW w:w="1428" w:type="dxa"/>
            <w:tcBorders>
              <w:right w:val="single" w:color="000000" w:sz="12" w:space="0"/>
            </w:tcBorders>
            <w:vAlign w:val="top"/>
          </w:tcPr>
          <w:p w14:paraId="6C4CB9C7">
            <w:pPr>
              <w:pStyle w:val="6"/>
              <w:spacing w:before="89" w:line="185" w:lineRule="auto"/>
              <w:ind w:left="377"/>
            </w:pPr>
            <w:r>
              <w:rPr>
                <w:spacing w:val="-1"/>
              </w:rPr>
              <w:t>2004.71</w:t>
            </w:r>
          </w:p>
        </w:tc>
      </w:tr>
      <w:tr w14:paraId="02271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5E50D1C9">
            <w:pPr>
              <w:spacing w:before="136" w:line="139" w:lineRule="exact"/>
              <w:ind w:left="381"/>
              <w:rPr>
                <w:rFonts w:ascii="宋体" w:hAnsi="宋体" w:eastAsia="宋体" w:cs="宋体"/>
                <w:sz w:val="21"/>
                <w:szCs w:val="21"/>
              </w:rPr>
            </w:pPr>
            <w:r>
              <w:rPr>
                <w:rFonts w:ascii="宋体" w:hAnsi="宋体" w:eastAsia="宋体" w:cs="宋体"/>
                <w:position w:val="-5"/>
                <w:sz w:val="21"/>
                <w:szCs w:val="21"/>
              </w:rPr>
              <w:t>一</w:t>
            </w:r>
          </w:p>
        </w:tc>
        <w:tc>
          <w:tcPr>
            <w:tcW w:w="3110" w:type="dxa"/>
            <w:vAlign w:val="top"/>
          </w:tcPr>
          <w:p w14:paraId="2A550D02">
            <w:pPr>
              <w:spacing w:before="57" w:line="192" w:lineRule="auto"/>
              <w:ind w:left="1029"/>
              <w:rPr>
                <w:rFonts w:ascii="宋体" w:hAnsi="宋体" w:eastAsia="宋体" w:cs="宋体"/>
                <w:sz w:val="21"/>
                <w:szCs w:val="21"/>
              </w:rPr>
            </w:pPr>
            <w:r>
              <w:rPr>
                <w:rFonts w:ascii="宋体" w:hAnsi="宋体" w:eastAsia="宋体" w:cs="宋体"/>
                <w:spacing w:val="-2"/>
                <w:sz w:val="21"/>
                <w:szCs w:val="21"/>
              </w:rPr>
              <w:t>建设管理费</w:t>
            </w:r>
          </w:p>
        </w:tc>
        <w:tc>
          <w:tcPr>
            <w:tcW w:w="1415" w:type="dxa"/>
            <w:vAlign w:val="top"/>
          </w:tcPr>
          <w:p w14:paraId="58E71AEE">
            <w:pPr>
              <w:pStyle w:val="6"/>
              <w:spacing w:before="91" w:line="183" w:lineRule="auto"/>
              <w:ind w:left="430"/>
            </w:pPr>
            <w:r>
              <w:rPr>
                <w:spacing w:val="-3"/>
              </w:rPr>
              <w:t>845.95</w:t>
            </w:r>
          </w:p>
        </w:tc>
        <w:tc>
          <w:tcPr>
            <w:tcW w:w="1269" w:type="dxa"/>
            <w:vMerge w:val="restart"/>
            <w:tcBorders>
              <w:bottom w:val="nil"/>
            </w:tcBorders>
            <w:vAlign w:val="top"/>
          </w:tcPr>
          <w:p w14:paraId="571F75EA">
            <w:pPr>
              <w:spacing w:line="326" w:lineRule="auto"/>
              <w:rPr>
                <w:rFonts w:ascii="Arial"/>
                <w:sz w:val="21"/>
              </w:rPr>
            </w:pPr>
          </w:p>
          <w:p w14:paraId="34ED9468">
            <w:pPr>
              <w:pStyle w:val="6"/>
              <w:spacing w:before="61" w:line="232" w:lineRule="auto"/>
              <w:ind w:left="300"/>
            </w:pPr>
            <w:r>
              <w:rPr>
                <w:spacing w:val="-1"/>
              </w:rPr>
              <w:t>2452.44</w:t>
            </w:r>
          </w:p>
        </w:tc>
        <w:tc>
          <w:tcPr>
            <w:tcW w:w="1428" w:type="dxa"/>
            <w:tcBorders>
              <w:right w:val="single" w:color="000000" w:sz="12" w:space="0"/>
            </w:tcBorders>
            <w:vAlign w:val="top"/>
          </w:tcPr>
          <w:p w14:paraId="1027540D">
            <w:pPr>
              <w:pStyle w:val="6"/>
              <w:spacing w:before="91" w:line="183" w:lineRule="auto"/>
              <w:ind w:left="428"/>
            </w:pPr>
            <w:r>
              <w:rPr>
                <w:spacing w:val="-1"/>
              </w:rPr>
              <w:t>439.27</w:t>
            </w:r>
          </w:p>
        </w:tc>
      </w:tr>
      <w:tr w14:paraId="37AA4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84" w:type="dxa"/>
            <w:tcBorders>
              <w:left w:val="single" w:color="000000" w:sz="12" w:space="0"/>
            </w:tcBorders>
            <w:vAlign w:val="top"/>
          </w:tcPr>
          <w:p w14:paraId="3A3D3B11">
            <w:pPr>
              <w:spacing w:before="98" w:line="158" w:lineRule="auto"/>
              <w:ind w:left="381"/>
              <w:rPr>
                <w:rFonts w:ascii="宋体" w:hAnsi="宋体" w:eastAsia="宋体" w:cs="宋体"/>
                <w:sz w:val="21"/>
                <w:szCs w:val="21"/>
              </w:rPr>
            </w:pPr>
            <w:r>
              <w:rPr>
                <w:rFonts w:ascii="宋体" w:hAnsi="宋体" w:eastAsia="宋体" w:cs="宋体"/>
                <w:sz w:val="21"/>
                <w:szCs w:val="21"/>
              </w:rPr>
              <w:t>二</w:t>
            </w:r>
          </w:p>
        </w:tc>
        <w:tc>
          <w:tcPr>
            <w:tcW w:w="3110" w:type="dxa"/>
            <w:vAlign w:val="top"/>
          </w:tcPr>
          <w:p w14:paraId="64FD8A4D">
            <w:pPr>
              <w:spacing w:before="59" w:line="192" w:lineRule="auto"/>
              <w:ind w:left="1027"/>
              <w:rPr>
                <w:rFonts w:ascii="宋体" w:hAnsi="宋体" w:eastAsia="宋体" w:cs="宋体"/>
                <w:sz w:val="21"/>
                <w:szCs w:val="21"/>
              </w:rPr>
            </w:pPr>
            <w:r>
              <w:rPr>
                <w:rFonts w:ascii="宋体" w:hAnsi="宋体" w:eastAsia="宋体" w:cs="宋体"/>
                <w:spacing w:val="-2"/>
                <w:sz w:val="21"/>
                <w:szCs w:val="21"/>
              </w:rPr>
              <w:t>环境监理费</w:t>
            </w:r>
          </w:p>
        </w:tc>
        <w:tc>
          <w:tcPr>
            <w:tcW w:w="1415" w:type="dxa"/>
            <w:vAlign w:val="top"/>
          </w:tcPr>
          <w:p w14:paraId="26114946">
            <w:pPr>
              <w:pStyle w:val="6"/>
              <w:spacing w:before="92" w:line="184" w:lineRule="auto"/>
              <w:ind w:left="422"/>
            </w:pPr>
            <w:r>
              <w:rPr>
                <w:spacing w:val="-1"/>
              </w:rPr>
              <w:t>236.00</w:t>
            </w:r>
          </w:p>
        </w:tc>
        <w:tc>
          <w:tcPr>
            <w:tcW w:w="1269" w:type="dxa"/>
            <w:vMerge w:val="continue"/>
            <w:tcBorders>
              <w:top w:val="nil"/>
              <w:bottom w:val="nil"/>
            </w:tcBorders>
            <w:vAlign w:val="top"/>
          </w:tcPr>
          <w:p w14:paraId="1B517017">
            <w:pPr>
              <w:rPr>
                <w:rFonts w:ascii="Arial"/>
                <w:sz w:val="21"/>
              </w:rPr>
            </w:pPr>
          </w:p>
        </w:tc>
        <w:tc>
          <w:tcPr>
            <w:tcW w:w="1428" w:type="dxa"/>
            <w:tcBorders>
              <w:right w:val="single" w:color="000000" w:sz="12" w:space="0"/>
            </w:tcBorders>
            <w:vAlign w:val="top"/>
          </w:tcPr>
          <w:p w14:paraId="48452432">
            <w:pPr>
              <w:pStyle w:val="6"/>
              <w:spacing w:before="92" w:line="184" w:lineRule="auto"/>
              <w:ind w:left="430"/>
            </w:pPr>
            <w:r>
              <w:rPr>
                <w:spacing w:val="-1"/>
              </w:rPr>
              <w:t>236.52</w:t>
            </w:r>
          </w:p>
        </w:tc>
      </w:tr>
      <w:tr w14:paraId="1A0D3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984" w:type="dxa"/>
            <w:tcBorders>
              <w:left w:val="single" w:color="000000" w:sz="12" w:space="0"/>
            </w:tcBorders>
            <w:vAlign w:val="top"/>
          </w:tcPr>
          <w:p w14:paraId="1B30D6BD">
            <w:pPr>
              <w:spacing w:before="60" w:line="190" w:lineRule="auto"/>
              <w:ind w:left="377"/>
              <w:rPr>
                <w:rFonts w:ascii="宋体" w:hAnsi="宋体" w:eastAsia="宋体" w:cs="宋体"/>
                <w:sz w:val="21"/>
                <w:szCs w:val="21"/>
              </w:rPr>
            </w:pPr>
            <w:r>
              <w:rPr>
                <w:rFonts w:ascii="宋体" w:hAnsi="宋体" w:eastAsia="宋体" w:cs="宋体"/>
                <w:sz w:val="21"/>
                <w:szCs w:val="21"/>
              </w:rPr>
              <w:t>三</w:t>
            </w:r>
          </w:p>
        </w:tc>
        <w:tc>
          <w:tcPr>
            <w:tcW w:w="3110" w:type="dxa"/>
            <w:vAlign w:val="top"/>
          </w:tcPr>
          <w:p w14:paraId="7CDD7E15">
            <w:pPr>
              <w:spacing w:before="60" w:line="190" w:lineRule="auto"/>
              <w:ind w:left="817"/>
              <w:rPr>
                <w:rFonts w:ascii="宋体" w:hAnsi="宋体" w:eastAsia="宋体" w:cs="宋体"/>
                <w:sz w:val="21"/>
                <w:szCs w:val="21"/>
              </w:rPr>
            </w:pPr>
            <w:r>
              <w:rPr>
                <w:rFonts w:ascii="宋体" w:hAnsi="宋体" w:eastAsia="宋体" w:cs="宋体"/>
                <w:spacing w:val="-2"/>
                <w:sz w:val="21"/>
                <w:szCs w:val="21"/>
              </w:rPr>
              <w:t>科研勘测设计费</w:t>
            </w:r>
          </w:p>
        </w:tc>
        <w:tc>
          <w:tcPr>
            <w:tcW w:w="1415" w:type="dxa"/>
            <w:vAlign w:val="top"/>
          </w:tcPr>
          <w:p w14:paraId="333315DF">
            <w:pPr>
              <w:pStyle w:val="6"/>
              <w:spacing w:before="93" w:line="182" w:lineRule="auto"/>
              <w:ind w:left="389"/>
            </w:pPr>
            <w:r>
              <w:rPr>
                <w:spacing w:val="-4"/>
              </w:rPr>
              <w:t>1329.19</w:t>
            </w:r>
          </w:p>
        </w:tc>
        <w:tc>
          <w:tcPr>
            <w:tcW w:w="1269" w:type="dxa"/>
            <w:vMerge w:val="continue"/>
            <w:tcBorders>
              <w:top w:val="nil"/>
            </w:tcBorders>
            <w:vAlign w:val="top"/>
          </w:tcPr>
          <w:p w14:paraId="77A1750B">
            <w:pPr>
              <w:rPr>
                <w:rFonts w:ascii="Arial"/>
                <w:sz w:val="21"/>
              </w:rPr>
            </w:pPr>
          </w:p>
        </w:tc>
        <w:tc>
          <w:tcPr>
            <w:tcW w:w="1428" w:type="dxa"/>
            <w:tcBorders>
              <w:right w:val="single" w:color="000000" w:sz="12" w:space="0"/>
            </w:tcBorders>
            <w:vAlign w:val="top"/>
          </w:tcPr>
          <w:p w14:paraId="10D04A1C">
            <w:pPr>
              <w:pStyle w:val="6"/>
              <w:spacing w:before="93" w:line="182" w:lineRule="auto"/>
              <w:ind w:left="397"/>
            </w:pPr>
            <w:r>
              <w:rPr>
                <w:spacing w:val="-4"/>
              </w:rPr>
              <w:t>1329.19</w:t>
            </w:r>
          </w:p>
        </w:tc>
      </w:tr>
      <w:tr w14:paraId="29448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984" w:type="dxa"/>
            <w:tcBorders>
              <w:left w:val="single" w:color="000000" w:sz="12" w:space="0"/>
            </w:tcBorders>
            <w:vAlign w:val="top"/>
          </w:tcPr>
          <w:p w14:paraId="2FA2B590">
            <w:pPr>
              <w:spacing w:before="61" w:line="189" w:lineRule="auto"/>
              <w:ind w:left="63"/>
              <w:rPr>
                <w:rFonts w:ascii="宋体" w:hAnsi="宋体" w:eastAsia="宋体" w:cs="宋体"/>
                <w:sz w:val="21"/>
                <w:szCs w:val="21"/>
              </w:rPr>
            </w:pPr>
            <w:r>
              <w:rPr>
                <w:rFonts w:ascii="宋体" w:hAnsi="宋体" w:eastAsia="宋体" w:cs="宋体"/>
                <w:spacing w:val="-2"/>
                <w:sz w:val="21"/>
                <w:szCs w:val="21"/>
              </w:rPr>
              <w:t>第六部分</w:t>
            </w:r>
          </w:p>
        </w:tc>
        <w:tc>
          <w:tcPr>
            <w:tcW w:w="3110" w:type="dxa"/>
            <w:vAlign w:val="top"/>
          </w:tcPr>
          <w:p w14:paraId="465BC770">
            <w:pPr>
              <w:spacing w:before="61" w:line="189" w:lineRule="auto"/>
              <w:ind w:left="817"/>
              <w:rPr>
                <w:rFonts w:ascii="宋体" w:hAnsi="宋体" w:eastAsia="宋体" w:cs="宋体"/>
                <w:sz w:val="21"/>
                <w:szCs w:val="21"/>
              </w:rPr>
            </w:pPr>
            <w:r>
              <w:rPr>
                <w:rFonts w:ascii="宋体" w:hAnsi="宋体" w:eastAsia="宋体" w:cs="宋体"/>
                <w:spacing w:val="-2"/>
                <w:sz w:val="21"/>
                <w:szCs w:val="21"/>
              </w:rPr>
              <w:t>环境保护预备费</w:t>
            </w:r>
          </w:p>
        </w:tc>
        <w:tc>
          <w:tcPr>
            <w:tcW w:w="1415" w:type="dxa"/>
            <w:vAlign w:val="top"/>
          </w:tcPr>
          <w:p w14:paraId="6FAD0470">
            <w:pPr>
              <w:pStyle w:val="6"/>
              <w:spacing w:before="94" w:line="180" w:lineRule="auto"/>
              <w:ind w:left="389"/>
            </w:pPr>
            <w:r>
              <w:rPr>
                <w:spacing w:val="-4"/>
              </w:rPr>
              <w:t>1943.50</w:t>
            </w:r>
          </w:p>
        </w:tc>
        <w:tc>
          <w:tcPr>
            <w:tcW w:w="1269" w:type="dxa"/>
            <w:vAlign w:val="top"/>
          </w:tcPr>
          <w:p w14:paraId="20D374EA">
            <w:pPr>
              <w:pStyle w:val="6"/>
              <w:spacing w:before="94" w:line="180" w:lineRule="auto"/>
              <w:ind w:left="320"/>
            </w:pPr>
            <w:r>
              <w:rPr>
                <w:spacing w:val="-4"/>
              </w:rPr>
              <w:t>1317.61</w:t>
            </w:r>
          </w:p>
        </w:tc>
        <w:tc>
          <w:tcPr>
            <w:tcW w:w="1428" w:type="dxa"/>
            <w:tcBorders>
              <w:right w:val="single" w:color="000000" w:sz="12" w:space="0"/>
            </w:tcBorders>
            <w:vAlign w:val="top"/>
          </w:tcPr>
          <w:p w14:paraId="0BDFE0C3">
            <w:pPr>
              <w:pStyle w:val="6"/>
              <w:spacing w:before="94" w:line="180" w:lineRule="auto"/>
              <w:ind w:left="397"/>
            </w:pPr>
            <w:r>
              <w:rPr>
                <w:spacing w:val="-4"/>
              </w:rPr>
              <w:t>1061.14</w:t>
            </w:r>
          </w:p>
        </w:tc>
      </w:tr>
      <w:tr w14:paraId="05A8E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84" w:type="dxa"/>
            <w:tcBorders>
              <w:left w:val="single" w:color="000000" w:sz="12" w:space="0"/>
              <w:bottom w:val="single" w:color="000000" w:sz="12" w:space="0"/>
            </w:tcBorders>
            <w:vAlign w:val="top"/>
          </w:tcPr>
          <w:p w14:paraId="1F6209D6">
            <w:pPr>
              <w:rPr>
                <w:rFonts w:ascii="Arial"/>
                <w:sz w:val="21"/>
              </w:rPr>
            </w:pPr>
          </w:p>
        </w:tc>
        <w:tc>
          <w:tcPr>
            <w:tcW w:w="3110" w:type="dxa"/>
            <w:tcBorders>
              <w:bottom w:val="single" w:color="000000" w:sz="12" w:space="0"/>
            </w:tcBorders>
            <w:vAlign w:val="top"/>
          </w:tcPr>
          <w:p w14:paraId="7A4FB869">
            <w:pPr>
              <w:spacing w:before="62" w:line="209" w:lineRule="auto"/>
              <w:ind w:left="1185"/>
              <w:rPr>
                <w:rFonts w:ascii="宋体" w:hAnsi="宋体" w:eastAsia="宋体" w:cs="宋体"/>
                <w:sz w:val="21"/>
                <w:szCs w:val="21"/>
              </w:rPr>
            </w:pPr>
            <w:r>
              <w:rPr>
                <w:rFonts w:ascii="宋体" w:hAnsi="宋体" w:eastAsia="宋体" w:cs="宋体"/>
                <w:spacing w:val="-5"/>
                <w:sz w:val="21"/>
                <w:szCs w:val="21"/>
              </w:rPr>
              <w:t>合</w:t>
            </w:r>
            <w:r>
              <w:rPr>
                <w:rFonts w:ascii="宋体" w:hAnsi="宋体" w:eastAsia="宋体" w:cs="宋体"/>
                <w:spacing w:val="2"/>
                <w:sz w:val="21"/>
                <w:szCs w:val="21"/>
              </w:rPr>
              <w:t xml:space="preserve">   </w:t>
            </w:r>
            <w:r>
              <w:rPr>
                <w:rFonts w:ascii="宋体" w:hAnsi="宋体" w:eastAsia="宋体" w:cs="宋体"/>
                <w:spacing w:val="-5"/>
                <w:sz w:val="21"/>
                <w:szCs w:val="21"/>
              </w:rPr>
              <w:t>计</w:t>
            </w:r>
          </w:p>
        </w:tc>
        <w:tc>
          <w:tcPr>
            <w:tcW w:w="1415" w:type="dxa"/>
            <w:tcBorders>
              <w:bottom w:val="single" w:color="000000" w:sz="12" w:space="0"/>
            </w:tcBorders>
            <w:vAlign w:val="top"/>
          </w:tcPr>
          <w:p w14:paraId="749C4E30">
            <w:pPr>
              <w:pStyle w:val="6"/>
              <w:spacing w:before="96" w:line="202" w:lineRule="auto"/>
              <w:ind w:left="316"/>
            </w:pPr>
            <w:r>
              <w:rPr>
                <w:spacing w:val="-1"/>
              </w:rPr>
              <w:t>21378.48</w:t>
            </w:r>
          </w:p>
        </w:tc>
        <w:tc>
          <w:tcPr>
            <w:tcW w:w="1269" w:type="dxa"/>
            <w:tcBorders>
              <w:bottom w:val="single" w:color="000000" w:sz="12" w:space="0"/>
            </w:tcBorders>
            <w:vAlign w:val="top"/>
          </w:tcPr>
          <w:p w14:paraId="6953EC2B">
            <w:pPr>
              <w:pStyle w:val="6"/>
              <w:spacing w:before="96" w:line="202" w:lineRule="auto"/>
              <w:ind w:left="267"/>
            </w:pPr>
            <w:r>
              <w:rPr>
                <w:spacing w:val="-3"/>
              </w:rPr>
              <w:t>17787.75</w:t>
            </w:r>
          </w:p>
        </w:tc>
        <w:tc>
          <w:tcPr>
            <w:tcW w:w="1428" w:type="dxa"/>
            <w:tcBorders>
              <w:bottom w:val="single" w:color="000000" w:sz="12" w:space="0"/>
              <w:right w:val="single" w:color="000000" w:sz="12" w:space="0"/>
            </w:tcBorders>
            <w:vAlign w:val="top"/>
          </w:tcPr>
          <w:p w14:paraId="4BED19A0">
            <w:pPr>
              <w:pStyle w:val="6"/>
              <w:spacing w:before="96" w:line="202" w:lineRule="auto"/>
              <w:ind w:left="344"/>
            </w:pPr>
            <w:r>
              <w:rPr>
                <w:spacing w:val="-3"/>
              </w:rPr>
              <w:t>11672.56</w:t>
            </w:r>
          </w:p>
        </w:tc>
      </w:tr>
    </w:tbl>
    <w:p w14:paraId="56BFD8FE">
      <w:pPr>
        <w:pStyle w:val="2"/>
        <w:spacing w:before="144" w:line="340" w:lineRule="auto"/>
        <w:ind w:left="41" w:right="31" w:firstLine="523"/>
        <w:jc w:val="both"/>
        <w:rPr>
          <w:sz w:val="24"/>
          <w:szCs w:val="24"/>
        </w:rPr>
      </w:pPr>
      <w:r>
        <w:rPr>
          <w:spacing w:val="-6"/>
          <w:sz w:val="24"/>
          <w:szCs w:val="24"/>
        </w:rPr>
        <w:t>目前，旁路系统工程已完成审查，正在施工招标阶段。鱼类保护栖息地待政府</w:t>
      </w:r>
      <w:r>
        <w:rPr>
          <w:spacing w:val="-4"/>
          <w:sz w:val="24"/>
          <w:szCs w:val="24"/>
        </w:rPr>
        <w:t>正式批文下达后开始建设，旁路系统工程、鱼类栖息地、建设管理费</w:t>
      </w:r>
      <w:r>
        <w:rPr>
          <w:spacing w:val="-5"/>
          <w:sz w:val="24"/>
          <w:szCs w:val="24"/>
        </w:rPr>
        <w:t>等尚未计入已</w:t>
      </w:r>
      <w:r>
        <w:rPr>
          <w:spacing w:val="-4"/>
          <w:sz w:val="24"/>
          <w:szCs w:val="24"/>
        </w:rPr>
        <w:t>完成环保投资。根据环境监理报告，环保设施资金到位有保障，满足</w:t>
      </w:r>
      <w:r>
        <w:rPr>
          <w:spacing w:val="-5"/>
          <w:sz w:val="24"/>
          <w:szCs w:val="24"/>
        </w:rPr>
        <w:t>工程建设进度</w:t>
      </w:r>
      <w:r>
        <w:rPr>
          <w:spacing w:val="-8"/>
          <w:sz w:val="24"/>
          <w:szCs w:val="24"/>
        </w:rPr>
        <w:t>资金要求。</w:t>
      </w:r>
    </w:p>
    <w:p w14:paraId="2D3D9C3D">
      <w:pPr>
        <w:pStyle w:val="2"/>
        <w:spacing w:before="78" w:line="227" w:lineRule="auto"/>
        <w:ind w:left="35"/>
        <w:rPr>
          <w:sz w:val="27"/>
          <w:szCs w:val="27"/>
        </w:rPr>
      </w:pPr>
      <w:r>
        <w:rPr>
          <w:rFonts w:ascii="Arial" w:hAnsi="Arial" w:eastAsia="Arial" w:cs="Arial"/>
          <w:spacing w:val="9"/>
          <w:position w:val="2"/>
          <w:sz w:val="21"/>
          <w:szCs w:val="21"/>
        </w:rPr>
        <w:t>5.4.2</w:t>
      </w:r>
      <w:r>
        <w:rPr>
          <w:rFonts w:ascii="Arial" w:hAnsi="Arial" w:eastAsia="Arial" w:cs="Arial"/>
          <w:spacing w:val="3"/>
          <w:position w:val="2"/>
          <w:sz w:val="21"/>
          <w:szCs w:val="21"/>
        </w:rPr>
        <w:t xml:space="preserve">     </w:t>
      </w:r>
      <w:r>
        <w:rPr>
          <w:b/>
          <w:bCs/>
          <w:spacing w:val="9"/>
          <w:position w:val="-1"/>
          <w:sz w:val="27"/>
          <w:szCs w:val="27"/>
        </w:rPr>
        <w:t>“三同时”落实情况</w:t>
      </w:r>
    </w:p>
    <w:p w14:paraId="07D0B0D5">
      <w:pPr>
        <w:pStyle w:val="2"/>
        <w:spacing w:before="262" w:line="218" w:lineRule="auto"/>
        <w:ind w:left="34"/>
        <w:rPr>
          <w:sz w:val="24"/>
          <w:szCs w:val="24"/>
        </w:rPr>
      </w:pPr>
      <w:r>
        <w:rPr>
          <w:rFonts w:ascii="Arial" w:hAnsi="Arial" w:eastAsia="Arial" w:cs="Arial"/>
          <w:spacing w:val="-7"/>
          <w:position w:val="1"/>
          <w:sz w:val="24"/>
          <w:szCs w:val="24"/>
        </w:rPr>
        <w:t>5.4.2.1</w:t>
      </w:r>
      <w:r>
        <w:rPr>
          <w:rFonts w:ascii="Arial" w:hAnsi="Arial" w:eastAsia="Arial" w:cs="Arial"/>
          <w:spacing w:val="28"/>
          <w:position w:val="1"/>
          <w:sz w:val="24"/>
          <w:szCs w:val="24"/>
        </w:rPr>
        <w:t xml:space="preserve"> </w:t>
      </w:r>
      <w:r>
        <w:rPr>
          <w:b/>
          <w:bCs/>
          <w:spacing w:val="-7"/>
          <w:position w:val="-1"/>
          <w:sz w:val="24"/>
          <w:szCs w:val="24"/>
        </w:rPr>
        <w:t>环保设施设计、施工情况</w:t>
      </w:r>
    </w:p>
    <w:p w14:paraId="135049C4">
      <w:pPr>
        <w:pStyle w:val="2"/>
        <w:spacing w:before="274" w:line="339" w:lineRule="auto"/>
        <w:ind w:left="40" w:right="30" w:firstLine="474"/>
        <w:jc w:val="both"/>
        <w:rPr>
          <w:sz w:val="24"/>
          <w:szCs w:val="24"/>
        </w:rPr>
      </w:pPr>
      <w:r>
        <w:rPr>
          <w:rFonts w:ascii="Times New Roman" w:hAnsi="Times New Roman" w:eastAsia="Times New Roman" w:cs="Times New Roman"/>
          <w:spacing w:val="-1"/>
          <w:sz w:val="24"/>
          <w:szCs w:val="24"/>
        </w:rPr>
        <w:t>2017</w:t>
      </w:r>
      <w:r>
        <w:rPr>
          <w:rFonts w:ascii="Times New Roman" w:hAnsi="Times New Roman" w:eastAsia="Times New Roman" w:cs="Times New Roman"/>
          <w:spacing w:val="24"/>
          <w:w w:val="101"/>
          <w:sz w:val="24"/>
          <w:szCs w:val="24"/>
        </w:rPr>
        <w:t xml:space="preserve"> </w:t>
      </w:r>
      <w:r>
        <w:rPr>
          <w:spacing w:val="-1"/>
          <w:sz w:val="24"/>
          <w:szCs w:val="24"/>
        </w:rPr>
        <w:t>年</w:t>
      </w:r>
      <w:r>
        <w:rPr>
          <w:spacing w:val="-35"/>
          <w:sz w:val="24"/>
          <w:szCs w:val="24"/>
        </w:rPr>
        <w:t xml:space="preserve"> </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30"/>
          <w:w w:val="101"/>
          <w:sz w:val="24"/>
          <w:szCs w:val="24"/>
        </w:rPr>
        <w:t xml:space="preserve"> </w:t>
      </w:r>
      <w:r>
        <w:rPr>
          <w:spacing w:val="-1"/>
          <w:sz w:val="24"/>
          <w:szCs w:val="24"/>
        </w:rPr>
        <w:t>月，云南省水利水电勘测设计研究院编制完成《云</w:t>
      </w:r>
      <w:r>
        <w:rPr>
          <w:spacing w:val="-2"/>
          <w:sz w:val="24"/>
          <w:szCs w:val="24"/>
        </w:rPr>
        <w:t>南省曲靖市车马</w:t>
      </w:r>
      <w:r>
        <w:rPr>
          <w:spacing w:val="-11"/>
          <w:sz w:val="24"/>
          <w:szCs w:val="24"/>
        </w:rPr>
        <w:t>碧水库工程初步设计报告  第七分册（共九册）</w:t>
      </w:r>
      <w:r>
        <w:rPr>
          <w:rFonts w:ascii="Times New Roman" w:hAnsi="Times New Roman" w:eastAsia="Times New Roman" w:cs="Times New Roman"/>
          <w:spacing w:val="-11"/>
          <w:sz w:val="24"/>
          <w:szCs w:val="24"/>
        </w:rPr>
        <w:t xml:space="preserve">10 </w:t>
      </w:r>
      <w:r>
        <w:rPr>
          <w:spacing w:val="-11"/>
          <w:sz w:val="24"/>
          <w:szCs w:val="24"/>
        </w:rPr>
        <w:t>环境保护设计》（报批稿）。</w:t>
      </w:r>
      <w:r>
        <w:rPr>
          <w:rFonts w:ascii="Times New Roman" w:hAnsi="Times New Roman" w:eastAsia="Times New Roman" w:cs="Times New Roman"/>
          <w:spacing w:val="-11"/>
          <w:sz w:val="24"/>
          <w:szCs w:val="24"/>
        </w:rPr>
        <w:t>2017</w:t>
      </w:r>
      <w:r>
        <w:rPr>
          <w:spacing w:val="-1"/>
          <w:sz w:val="24"/>
          <w:szCs w:val="24"/>
        </w:rPr>
        <w:t xml:space="preserve">年 </w:t>
      </w:r>
      <w:r>
        <w:rPr>
          <w:rFonts w:ascii="Times New Roman" w:hAnsi="Times New Roman" w:eastAsia="Times New Roman" w:cs="Times New Roman"/>
          <w:spacing w:val="-1"/>
          <w:sz w:val="24"/>
          <w:szCs w:val="24"/>
        </w:rPr>
        <w:t xml:space="preserve">8  </w:t>
      </w:r>
      <w:r>
        <w:rPr>
          <w:spacing w:val="-1"/>
          <w:sz w:val="24"/>
          <w:szCs w:val="24"/>
        </w:rPr>
        <w:t>月，云南省水利厅以“云南省水利厅关于曲靖市车马碧水库工程初步设计报</w:t>
      </w:r>
    </w:p>
    <w:p w14:paraId="34BA4DBC">
      <w:pPr>
        <w:spacing w:line="339" w:lineRule="auto"/>
        <w:rPr>
          <w:sz w:val="24"/>
          <w:szCs w:val="24"/>
        </w:rPr>
        <w:sectPr>
          <w:headerReference r:id="rId145" w:type="default"/>
          <w:footerReference r:id="rId146" w:type="default"/>
          <w:pgSz w:w="11907" w:h="16839"/>
          <w:pgMar w:top="1376" w:right="1669" w:bottom="1061" w:left="1671" w:header="999" w:footer="861" w:gutter="0"/>
          <w:cols w:space="720" w:num="1"/>
        </w:sectPr>
      </w:pPr>
    </w:p>
    <w:p w14:paraId="2C3AEAE8">
      <w:pPr>
        <w:spacing w:line="454" w:lineRule="auto"/>
        <w:rPr>
          <w:rFonts w:ascii="Arial"/>
          <w:sz w:val="21"/>
        </w:rPr>
      </w:pPr>
    </w:p>
    <w:p w14:paraId="4427EAC9">
      <w:pPr>
        <w:pStyle w:val="2"/>
        <w:spacing w:before="78" w:line="232" w:lineRule="auto"/>
        <w:ind w:left="45"/>
        <w:rPr>
          <w:sz w:val="24"/>
          <w:szCs w:val="24"/>
        </w:rPr>
      </w:pPr>
      <w:r>
        <w:rPr>
          <w:spacing w:val="-7"/>
          <w:sz w:val="24"/>
          <w:szCs w:val="24"/>
        </w:rPr>
        <w:t>告的批复”（云水规计〔</w:t>
      </w:r>
      <w:r>
        <w:rPr>
          <w:rFonts w:ascii="Times New Roman" w:hAnsi="Times New Roman" w:eastAsia="Times New Roman" w:cs="Times New Roman"/>
          <w:spacing w:val="-7"/>
          <w:sz w:val="24"/>
          <w:szCs w:val="24"/>
        </w:rPr>
        <w:t>2017</w:t>
      </w:r>
      <w:r>
        <w:rPr>
          <w:spacing w:val="-7"/>
          <w:sz w:val="24"/>
          <w:szCs w:val="24"/>
        </w:rPr>
        <w:t>﹞</w:t>
      </w:r>
      <w:r>
        <w:rPr>
          <w:rFonts w:ascii="Times New Roman" w:hAnsi="Times New Roman" w:eastAsia="Times New Roman" w:cs="Times New Roman"/>
          <w:spacing w:val="-7"/>
          <w:sz w:val="24"/>
          <w:szCs w:val="24"/>
        </w:rPr>
        <w:t>48</w:t>
      </w:r>
      <w:r>
        <w:rPr>
          <w:rFonts w:ascii="Times New Roman" w:hAnsi="Times New Roman" w:eastAsia="Times New Roman" w:cs="Times New Roman"/>
          <w:spacing w:val="15"/>
          <w:w w:val="101"/>
          <w:sz w:val="24"/>
          <w:szCs w:val="24"/>
        </w:rPr>
        <w:t xml:space="preserve"> </w:t>
      </w:r>
      <w:r>
        <w:rPr>
          <w:spacing w:val="-7"/>
          <w:sz w:val="24"/>
          <w:szCs w:val="24"/>
        </w:rPr>
        <w:t>号）予</w:t>
      </w:r>
      <w:r>
        <w:rPr>
          <w:spacing w:val="-8"/>
          <w:sz w:val="24"/>
          <w:szCs w:val="24"/>
        </w:rPr>
        <w:t>以批复。</w:t>
      </w:r>
    </w:p>
    <w:p w14:paraId="71D99256">
      <w:pPr>
        <w:pStyle w:val="2"/>
        <w:spacing w:before="138" w:line="333" w:lineRule="auto"/>
        <w:ind w:left="38" w:right="31" w:firstLine="476"/>
        <w:jc w:val="both"/>
        <w:rPr>
          <w:sz w:val="24"/>
          <w:szCs w:val="24"/>
        </w:rPr>
      </w:pPr>
      <w:r>
        <w:rPr>
          <w:rFonts w:ascii="Times New Roman" w:hAnsi="Times New Roman" w:eastAsia="Times New Roman" w:cs="Times New Roman"/>
          <w:spacing w:val="-4"/>
          <w:sz w:val="24"/>
          <w:szCs w:val="24"/>
        </w:rPr>
        <w:t xml:space="preserve">2018 </w:t>
      </w:r>
      <w:r>
        <w:rPr>
          <w:spacing w:val="-4"/>
          <w:sz w:val="24"/>
          <w:szCs w:val="24"/>
        </w:rPr>
        <w:t>年</w:t>
      </w:r>
      <w:r>
        <w:rPr>
          <w:spacing w:val="-32"/>
          <w:sz w:val="24"/>
          <w:szCs w:val="24"/>
        </w:rPr>
        <w:t xml:space="preserve"> </w:t>
      </w:r>
      <w:r>
        <w:rPr>
          <w:rFonts w:ascii="Times New Roman" w:hAnsi="Times New Roman" w:eastAsia="Times New Roman" w:cs="Times New Roman"/>
          <w:spacing w:val="-4"/>
          <w:sz w:val="24"/>
          <w:szCs w:val="24"/>
        </w:rPr>
        <w:t>10</w:t>
      </w:r>
      <w:r>
        <w:rPr>
          <w:rFonts w:ascii="Times New Roman" w:hAnsi="Times New Roman" w:eastAsia="Times New Roman" w:cs="Times New Roman"/>
          <w:spacing w:val="15"/>
          <w:sz w:val="24"/>
          <w:szCs w:val="24"/>
        </w:rPr>
        <w:t xml:space="preserve"> </w:t>
      </w:r>
      <w:r>
        <w:rPr>
          <w:spacing w:val="-4"/>
          <w:sz w:val="24"/>
          <w:szCs w:val="24"/>
        </w:rPr>
        <w:t>月，云南省水利水电勘测设计研究院编制完成《云南省曲靖市车马</w:t>
      </w:r>
      <w:r>
        <w:rPr>
          <w:spacing w:val="-5"/>
          <w:sz w:val="24"/>
          <w:szCs w:val="24"/>
        </w:rPr>
        <w:t>碧水库工程技施设计阶段水库库底清理技术方案》。</w:t>
      </w:r>
      <w:r>
        <w:rPr>
          <w:rFonts w:ascii="Times New Roman" w:hAnsi="Times New Roman" w:eastAsia="Times New Roman" w:cs="Times New Roman"/>
          <w:spacing w:val="-5"/>
          <w:sz w:val="24"/>
          <w:szCs w:val="24"/>
        </w:rPr>
        <w:t>2020</w:t>
      </w:r>
      <w:r>
        <w:rPr>
          <w:rFonts w:ascii="Times New Roman" w:hAnsi="Times New Roman" w:eastAsia="Times New Roman" w:cs="Times New Roman"/>
          <w:spacing w:val="25"/>
          <w:sz w:val="24"/>
          <w:szCs w:val="24"/>
        </w:rPr>
        <w:t xml:space="preserve"> </w:t>
      </w:r>
      <w:r>
        <w:rPr>
          <w:spacing w:val="-5"/>
          <w:sz w:val="24"/>
          <w:szCs w:val="24"/>
        </w:rPr>
        <w:t xml:space="preserve">年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29"/>
          <w:sz w:val="24"/>
          <w:szCs w:val="24"/>
        </w:rPr>
        <w:t xml:space="preserve"> </w:t>
      </w:r>
      <w:r>
        <w:rPr>
          <w:spacing w:val="-5"/>
          <w:sz w:val="24"/>
          <w:szCs w:val="24"/>
        </w:rPr>
        <w:t>月，马</w:t>
      </w:r>
      <w:r>
        <w:rPr>
          <w:spacing w:val="-6"/>
          <w:sz w:val="24"/>
          <w:szCs w:val="24"/>
        </w:rPr>
        <w:t>龙区人民政</w:t>
      </w:r>
      <w:r>
        <w:rPr>
          <w:spacing w:val="-4"/>
          <w:sz w:val="24"/>
          <w:szCs w:val="24"/>
        </w:rPr>
        <w:t>府完成库底清理专项验收。</w:t>
      </w:r>
    </w:p>
    <w:p w14:paraId="7DAFC5F6">
      <w:pPr>
        <w:pStyle w:val="2"/>
        <w:spacing w:before="23" w:line="338" w:lineRule="auto"/>
        <w:ind w:left="40" w:right="30" w:firstLine="474"/>
        <w:rPr>
          <w:sz w:val="24"/>
          <w:szCs w:val="24"/>
        </w:rPr>
      </w:pPr>
      <w:r>
        <w:rPr>
          <w:rFonts w:ascii="Times New Roman" w:hAnsi="Times New Roman" w:eastAsia="Times New Roman" w:cs="Times New Roman"/>
          <w:spacing w:val="-3"/>
          <w:sz w:val="24"/>
          <w:szCs w:val="24"/>
        </w:rPr>
        <w:t>2018</w:t>
      </w:r>
      <w:r>
        <w:rPr>
          <w:rFonts w:ascii="Times New Roman" w:hAnsi="Times New Roman" w:eastAsia="Times New Roman" w:cs="Times New Roman"/>
          <w:spacing w:val="29"/>
          <w:sz w:val="24"/>
          <w:szCs w:val="24"/>
        </w:rPr>
        <w:t xml:space="preserve"> </w:t>
      </w:r>
      <w:r>
        <w:rPr>
          <w:spacing w:val="-3"/>
          <w:sz w:val="24"/>
          <w:szCs w:val="24"/>
        </w:rPr>
        <w:t>年</w:t>
      </w:r>
      <w:r>
        <w:rPr>
          <w:spacing w:val="-24"/>
          <w:sz w:val="24"/>
          <w:szCs w:val="24"/>
        </w:rPr>
        <w:t xml:space="preserve"> </w:t>
      </w:r>
      <w:r>
        <w:rPr>
          <w:rFonts w:ascii="Times New Roman" w:hAnsi="Times New Roman" w:eastAsia="Times New Roman" w:cs="Times New Roman"/>
          <w:spacing w:val="-3"/>
          <w:sz w:val="24"/>
          <w:szCs w:val="24"/>
        </w:rPr>
        <w:t>12</w:t>
      </w:r>
      <w:r>
        <w:rPr>
          <w:rFonts w:ascii="Times New Roman" w:hAnsi="Times New Roman" w:eastAsia="Times New Roman" w:cs="Times New Roman"/>
          <w:spacing w:val="25"/>
          <w:sz w:val="24"/>
          <w:szCs w:val="24"/>
        </w:rPr>
        <w:t xml:space="preserve"> </w:t>
      </w:r>
      <w:r>
        <w:rPr>
          <w:spacing w:val="-3"/>
          <w:sz w:val="24"/>
          <w:szCs w:val="24"/>
        </w:rPr>
        <w:t>月，云南誉达市政工程有限公司承包《第</w:t>
      </w:r>
      <w:r>
        <w:rPr>
          <w:spacing w:val="-24"/>
          <w:sz w:val="24"/>
          <w:szCs w:val="24"/>
        </w:rPr>
        <w:t xml:space="preserve"> </w:t>
      </w:r>
      <w:r>
        <w:rPr>
          <w:rFonts w:ascii="Times New Roman" w:hAnsi="Times New Roman" w:eastAsia="Times New Roman" w:cs="Times New Roman"/>
          <w:spacing w:val="-3"/>
          <w:sz w:val="24"/>
          <w:szCs w:val="24"/>
        </w:rPr>
        <w:t>15</w:t>
      </w:r>
      <w:r>
        <w:rPr>
          <w:rFonts w:ascii="Times New Roman" w:hAnsi="Times New Roman" w:eastAsia="Times New Roman" w:cs="Times New Roman"/>
          <w:spacing w:val="21"/>
          <w:sz w:val="24"/>
          <w:szCs w:val="24"/>
        </w:rPr>
        <w:t xml:space="preserve"> </w:t>
      </w:r>
      <w:r>
        <w:rPr>
          <w:spacing w:val="-3"/>
          <w:sz w:val="24"/>
          <w:szCs w:val="24"/>
        </w:rPr>
        <w:t>标段：移民安置区环</w:t>
      </w:r>
      <w:r>
        <w:rPr>
          <w:spacing w:val="-9"/>
          <w:sz w:val="24"/>
          <w:szCs w:val="24"/>
        </w:rPr>
        <w:t>保措施施工》，</w:t>
      </w:r>
      <w:r>
        <w:rPr>
          <w:rFonts w:ascii="Times New Roman" w:hAnsi="Times New Roman" w:eastAsia="Times New Roman" w:cs="Times New Roman"/>
          <w:spacing w:val="-9"/>
          <w:sz w:val="24"/>
          <w:szCs w:val="24"/>
        </w:rPr>
        <w:t xml:space="preserve">2022 </w:t>
      </w:r>
      <w:r>
        <w:rPr>
          <w:spacing w:val="-9"/>
          <w:sz w:val="24"/>
          <w:szCs w:val="24"/>
        </w:rPr>
        <w:t>年</w:t>
      </w:r>
      <w:r>
        <w:rPr>
          <w:spacing w:val="-66"/>
          <w:sz w:val="24"/>
          <w:szCs w:val="24"/>
        </w:rPr>
        <w:t xml:space="preserve"> </w:t>
      </w:r>
      <w:r>
        <w:rPr>
          <w:rFonts w:ascii="Times New Roman" w:hAnsi="Times New Roman" w:eastAsia="Times New Roman" w:cs="Times New Roman"/>
          <w:spacing w:val="-9"/>
          <w:sz w:val="24"/>
          <w:szCs w:val="24"/>
        </w:rPr>
        <w:t xml:space="preserve">2 </w:t>
      </w:r>
      <w:r>
        <w:rPr>
          <w:spacing w:val="-9"/>
          <w:sz w:val="24"/>
          <w:szCs w:val="24"/>
        </w:rPr>
        <w:t>月</w:t>
      </w:r>
      <w:r>
        <w:rPr>
          <w:spacing w:val="-48"/>
          <w:sz w:val="24"/>
          <w:szCs w:val="24"/>
        </w:rPr>
        <w:t xml:space="preserve"> </w:t>
      </w:r>
      <w:r>
        <w:rPr>
          <w:rFonts w:ascii="Times New Roman" w:hAnsi="Times New Roman" w:eastAsia="Times New Roman" w:cs="Times New Roman"/>
          <w:spacing w:val="-9"/>
          <w:sz w:val="24"/>
          <w:szCs w:val="24"/>
        </w:rPr>
        <w:t>16</w:t>
      </w:r>
      <w:r>
        <w:rPr>
          <w:rFonts w:ascii="Times New Roman" w:hAnsi="Times New Roman" w:eastAsia="Times New Roman" w:cs="Times New Roman"/>
          <w:spacing w:val="35"/>
          <w:w w:val="101"/>
          <w:sz w:val="24"/>
          <w:szCs w:val="24"/>
        </w:rPr>
        <w:t xml:space="preserve"> </w:t>
      </w:r>
      <w:r>
        <w:rPr>
          <w:spacing w:val="-9"/>
          <w:sz w:val="24"/>
          <w:szCs w:val="24"/>
        </w:rPr>
        <w:t>日召开车马碧水库移民安置区环保措施项目验收会。</w:t>
      </w:r>
    </w:p>
    <w:p w14:paraId="7CD5B4A2">
      <w:pPr>
        <w:pStyle w:val="2"/>
        <w:spacing w:before="1" w:line="337" w:lineRule="auto"/>
        <w:ind w:left="39" w:right="30" w:firstLine="475"/>
        <w:rPr>
          <w:sz w:val="24"/>
          <w:szCs w:val="24"/>
        </w:rPr>
      </w:pPr>
      <w:r>
        <w:rPr>
          <w:rFonts w:ascii="Times New Roman" w:hAnsi="Times New Roman" w:eastAsia="Times New Roman" w:cs="Times New Roman"/>
          <w:spacing w:val="-1"/>
          <w:sz w:val="24"/>
          <w:szCs w:val="24"/>
        </w:rPr>
        <w:t>2020</w:t>
      </w:r>
      <w:r>
        <w:rPr>
          <w:rFonts w:ascii="Times New Roman" w:hAnsi="Times New Roman" w:eastAsia="Times New Roman" w:cs="Times New Roman"/>
          <w:spacing w:val="25"/>
          <w:sz w:val="24"/>
          <w:szCs w:val="24"/>
        </w:rPr>
        <w:t xml:space="preserve"> </w:t>
      </w:r>
      <w:r>
        <w:rPr>
          <w:spacing w:val="-1"/>
          <w:sz w:val="24"/>
          <w:szCs w:val="24"/>
        </w:rPr>
        <w:t>年</w:t>
      </w:r>
      <w:r>
        <w:rPr>
          <w:spacing w:val="-36"/>
          <w:sz w:val="24"/>
          <w:szCs w:val="24"/>
        </w:rPr>
        <w:t xml:space="preserve"> </w:t>
      </w:r>
      <w:r>
        <w:rPr>
          <w:rFonts w:ascii="Times New Roman" w:hAnsi="Times New Roman" w:eastAsia="Times New Roman" w:cs="Times New Roman"/>
          <w:spacing w:val="-1"/>
          <w:sz w:val="24"/>
          <w:szCs w:val="24"/>
        </w:rPr>
        <w:t>9</w:t>
      </w:r>
      <w:r>
        <w:rPr>
          <w:rFonts w:ascii="Times New Roman" w:hAnsi="Times New Roman" w:eastAsia="Times New Roman" w:cs="Times New Roman"/>
          <w:spacing w:val="30"/>
          <w:w w:val="101"/>
          <w:sz w:val="24"/>
          <w:szCs w:val="24"/>
        </w:rPr>
        <w:t xml:space="preserve"> </w:t>
      </w:r>
      <w:r>
        <w:rPr>
          <w:spacing w:val="-1"/>
          <w:sz w:val="24"/>
          <w:szCs w:val="24"/>
        </w:rPr>
        <w:t>月，武汉中科瑞华生态科技股份有限公司、佳伟建设</w:t>
      </w:r>
      <w:r>
        <w:rPr>
          <w:spacing w:val="-2"/>
          <w:sz w:val="24"/>
          <w:szCs w:val="24"/>
        </w:rPr>
        <w:t>集团有限公司</w:t>
      </w:r>
      <w:r>
        <w:rPr>
          <w:spacing w:val="-10"/>
          <w:sz w:val="24"/>
          <w:szCs w:val="24"/>
        </w:rPr>
        <w:t>承包《第二十标段：鱼类增殖站建设及初期</w:t>
      </w:r>
      <w:r>
        <w:rPr>
          <w:spacing w:val="-11"/>
          <w:sz w:val="24"/>
          <w:szCs w:val="24"/>
        </w:rPr>
        <w:t>运行标段施工招标设计》、《第二十一标</w:t>
      </w:r>
      <w:r>
        <w:rPr>
          <w:spacing w:val="-9"/>
          <w:sz w:val="24"/>
          <w:szCs w:val="24"/>
        </w:rPr>
        <w:t>段：鱼道及码头建设施工招标设计》。</w:t>
      </w:r>
    </w:p>
    <w:p w14:paraId="605935E6">
      <w:pPr>
        <w:pStyle w:val="2"/>
        <w:spacing w:before="5" w:line="331" w:lineRule="auto"/>
        <w:ind w:left="42" w:right="30" w:firstLine="472"/>
        <w:rPr>
          <w:sz w:val="24"/>
          <w:szCs w:val="24"/>
        </w:rPr>
      </w:pPr>
      <w:r>
        <w:rPr>
          <w:rFonts w:ascii="Times New Roman" w:hAnsi="Times New Roman" w:eastAsia="Times New Roman" w:cs="Times New Roman"/>
          <w:spacing w:val="-1"/>
          <w:sz w:val="24"/>
          <w:szCs w:val="24"/>
        </w:rPr>
        <w:t>2021</w:t>
      </w:r>
      <w:r>
        <w:rPr>
          <w:rFonts w:ascii="Times New Roman" w:hAnsi="Times New Roman" w:eastAsia="Times New Roman" w:cs="Times New Roman"/>
          <w:spacing w:val="25"/>
          <w:sz w:val="24"/>
          <w:szCs w:val="24"/>
        </w:rPr>
        <w:t xml:space="preserve"> </w:t>
      </w:r>
      <w:r>
        <w:rPr>
          <w:spacing w:val="-1"/>
          <w:sz w:val="24"/>
          <w:szCs w:val="24"/>
        </w:rPr>
        <w:t>年</w:t>
      </w:r>
      <w:r>
        <w:rPr>
          <w:spacing w:val="-35"/>
          <w:sz w:val="24"/>
          <w:szCs w:val="24"/>
        </w:rPr>
        <w:t xml:space="preserve"> </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30"/>
          <w:w w:val="101"/>
          <w:sz w:val="24"/>
          <w:szCs w:val="24"/>
        </w:rPr>
        <w:t xml:space="preserve"> </w:t>
      </w:r>
      <w:r>
        <w:rPr>
          <w:spacing w:val="-1"/>
          <w:sz w:val="24"/>
          <w:szCs w:val="24"/>
        </w:rPr>
        <w:t>月，云南省水利水电勘测设计研究院编制完成《云</w:t>
      </w:r>
      <w:r>
        <w:rPr>
          <w:spacing w:val="-2"/>
          <w:sz w:val="24"/>
          <w:szCs w:val="24"/>
        </w:rPr>
        <w:t>南省曲靖市车马</w:t>
      </w:r>
      <w:r>
        <w:rPr>
          <w:spacing w:val="-9"/>
          <w:sz w:val="24"/>
          <w:szCs w:val="24"/>
        </w:rPr>
        <w:t>碧水库工程蓄水计划和调度方案》。</w:t>
      </w:r>
    </w:p>
    <w:p w14:paraId="57F15ABA">
      <w:pPr>
        <w:pStyle w:val="2"/>
        <w:spacing w:before="20" w:line="330" w:lineRule="auto"/>
        <w:ind w:left="39" w:right="42" w:firstLine="475"/>
        <w:rPr>
          <w:sz w:val="24"/>
          <w:szCs w:val="24"/>
        </w:rPr>
      </w:pPr>
      <w:r>
        <w:rPr>
          <w:rFonts w:ascii="Times New Roman" w:hAnsi="Times New Roman" w:eastAsia="Times New Roman" w:cs="Times New Roman"/>
          <w:spacing w:val="-4"/>
          <w:sz w:val="24"/>
          <w:szCs w:val="24"/>
        </w:rPr>
        <w:t xml:space="preserve">2021 </w:t>
      </w:r>
      <w:r>
        <w:rPr>
          <w:spacing w:val="-4"/>
          <w:sz w:val="24"/>
          <w:szCs w:val="24"/>
        </w:rPr>
        <w:t>年</w:t>
      </w:r>
      <w:r>
        <w:rPr>
          <w:spacing w:val="-21"/>
          <w:sz w:val="24"/>
          <w:szCs w:val="24"/>
        </w:rPr>
        <w:t xml:space="preserve"> </w:t>
      </w:r>
      <w:r>
        <w:rPr>
          <w:rFonts w:ascii="Times New Roman" w:hAnsi="Times New Roman" w:eastAsia="Times New Roman" w:cs="Times New Roman"/>
          <w:spacing w:val="-4"/>
          <w:sz w:val="24"/>
          <w:szCs w:val="24"/>
        </w:rPr>
        <w:t>11</w:t>
      </w:r>
      <w:r>
        <w:rPr>
          <w:rFonts w:ascii="Times New Roman" w:hAnsi="Times New Roman" w:eastAsia="Times New Roman" w:cs="Times New Roman"/>
          <w:spacing w:val="16"/>
          <w:sz w:val="24"/>
          <w:szCs w:val="24"/>
        </w:rPr>
        <w:t xml:space="preserve"> </w:t>
      </w:r>
      <w:r>
        <w:rPr>
          <w:spacing w:val="-4"/>
          <w:sz w:val="24"/>
          <w:szCs w:val="24"/>
        </w:rPr>
        <w:t>月，曲靖市马龙区人民政府办公室对《加强车马碧水库相关河段鱼</w:t>
      </w:r>
      <w:r>
        <w:rPr>
          <w:spacing w:val="-3"/>
          <w:sz w:val="24"/>
          <w:szCs w:val="24"/>
        </w:rPr>
        <w:t>类栖息地保护方案》进行征求意见。</w:t>
      </w:r>
    </w:p>
    <w:p w14:paraId="64B3EB04">
      <w:pPr>
        <w:pStyle w:val="2"/>
        <w:spacing w:before="20" w:line="331" w:lineRule="auto"/>
        <w:ind w:left="44" w:right="40" w:firstLine="470"/>
        <w:rPr>
          <w:sz w:val="24"/>
          <w:szCs w:val="24"/>
        </w:rPr>
      </w:pPr>
      <w:r>
        <w:rPr>
          <w:rFonts w:ascii="Times New Roman" w:hAnsi="Times New Roman" w:eastAsia="Times New Roman" w:cs="Times New Roman"/>
          <w:spacing w:val="-4"/>
          <w:sz w:val="24"/>
          <w:szCs w:val="24"/>
        </w:rPr>
        <w:t xml:space="preserve">2021 </w:t>
      </w:r>
      <w:r>
        <w:rPr>
          <w:spacing w:val="-4"/>
          <w:sz w:val="24"/>
          <w:szCs w:val="24"/>
        </w:rPr>
        <w:t>年</w:t>
      </w:r>
      <w:r>
        <w:rPr>
          <w:spacing w:val="-19"/>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5"/>
          <w:sz w:val="24"/>
          <w:szCs w:val="24"/>
        </w:rPr>
        <w:t xml:space="preserve"> </w:t>
      </w:r>
      <w:r>
        <w:rPr>
          <w:spacing w:val="-4"/>
          <w:sz w:val="24"/>
          <w:szCs w:val="24"/>
        </w:rPr>
        <w:t>月，云南省水利水电勘测设计研究院编制完成的《车马碧水库旁路</w:t>
      </w:r>
      <w:r>
        <w:rPr>
          <w:spacing w:val="-2"/>
          <w:sz w:val="24"/>
          <w:szCs w:val="24"/>
        </w:rPr>
        <w:t>系统工程专项设计报告》通过云南省水利水电工程技术评审中心审查。</w:t>
      </w:r>
    </w:p>
    <w:p w14:paraId="226F869C">
      <w:pPr>
        <w:pStyle w:val="2"/>
        <w:spacing w:before="140" w:line="220" w:lineRule="auto"/>
        <w:ind w:left="34"/>
        <w:rPr>
          <w:sz w:val="24"/>
          <w:szCs w:val="24"/>
        </w:rPr>
      </w:pPr>
      <w:r>
        <w:rPr>
          <w:rFonts w:ascii="Arial" w:hAnsi="Arial" w:eastAsia="Arial" w:cs="Arial"/>
          <w:spacing w:val="4"/>
          <w:position w:val="1"/>
          <w:sz w:val="18"/>
          <w:szCs w:val="18"/>
        </w:rPr>
        <w:t>5.4.2.2</w:t>
      </w:r>
      <w:r>
        <w:rPr>
          <w:rFonts w:ascii="Arial" w:hAnsi="Arial" w:eastAsia="Arial" w:cs="Arial"/>
          <w:spacing w:val="29"/>
          <w:position w:val="1"/>
          <w:sz w:val="18"/>
          <w:szCs w:val="18"/>
        </w:rPr>
        <w:t xml:space="preserve"> </w:t>
      </w:r>
      <w:r>
        <w:rPr>
          <w:b/>
          <w:bCs/>
          <w:spacing w:val="4"/>
          <w:position w:val="-1"/>
          <w:sz w:val="24"/>
          <w:szCs w:val="24"/>
        </w:rPr>
        <w:t>“三同时”制度执行情况</w:t>
      </w:r>
    </w:p>
    <w:p w14:paraId="44401BDD">
      <w:pPr>
        <w:pStyle w:val="2"/>
        <w:spacing w:before="274" w:line="233" w:lineRule="auto"/>
        <w:ind w:left="521"/>
        <w:rPr>
          <w:sz w:val="24"/>
          <w:szCs w:val="24"/>
        </w:rPr>
      </w:pPr>
      <w:r>
        <w:rPr>
          <w:spacing w:val="-1"/>
          <w:sz w:val="24"/>
          <w:szCs w:val="24"/>
        </w:rPr>
        <w:t>车马碧水库工程蓄水阶段各项环保设施落实情况见表</w:t>
      </w:r>
      <w:r>
        <w:rPr>
          <w:spacing w:val="-43"/>
          <w:sz w:val="24"/>
          <w:szCs w:val="24"/>
        </w:rPr>
        <w:t xml:space="preserve"> </w:t>
      </w:r>
      <w:r>
        <w:rPr>
          <w:rFonts w:ascii="Times New Roman" w:hAnsi="Times New Roman" w:eastAsia="Times New Roman" w:cs="Times New Roman"/>
          <w:spacing w:val="-1"/>
          <w:sz w:val="24"/>
          <w:szCs w:val="24"/>
        </w:rPr>
        <w:t>5.4-2</w:t>
      </w:r>
      <w:r>
        <w:rPr>
          <w:spacing w:val="-1"/>
          <w:sz w:val="24"/>
          <w:szCs w:val="24"/>
        </w:rPr>
        <w:t>。</w:t>
      </w:r>
    </w:p>
    <w:p w14:paraId="6B941FFD">
      <w:pPr>
        <w:spacing w:line="233" w:lineRule="auto"/>
        <w:rPr>
          <w:sz w:val="24"/>
          <w:szCs w:val="24"/>
        </w:rPr>
        <w:sectPr>
          <w:footerReference r:id="rId147" w:type="default"/>
          <w:pgSz w:w="11907" w:h="16839"/>
          <w:pgMar w:top="1376" w:right="1669" w:bottom="1061" w:left="1671" w:header="999" w:footer="861" w:gutter="0"/>
          <w:cols w:space="720" w:num="1"/>
        </w:sectPr>
      </w:pPr>
    </w:p>
    <w:p w14:paraId="77E45933">
      <w:pPr>
        <w:spacing w:line="464" w:lineRule="auto"/>
        <w:rPr>
          <w:rFonts w:ascii="Arial"/>
          <w:sz w:val="21"/>
        </w:rPr>
      </w:pPr>
    </w:p>
    <w:p w14:paraId="0744AA76">
      <w:pPr>
        <w:pStyle w:val="2"/>
        <w:spacing w:before="78" w:line="232" w:lineRule="auto"/>
        <w:ind w:left="279"/>
        <w:rPr>
          <w:sz w:val="24"/>
          <w:szCs w:val="24"/>
        </w:rPr>
      </w:pPr>
      <w:r>
        <w:rPr>
          <w:b/>
          <w:bCs/>
          <w:sz w:val="24"/>
          <w:szCs w:val="24"/>
        </w:rPr>
        <w:t>表</w:t>
      </w:r>
      <w:r>
        <w:rPr>
          <w:spacing w:val="-51"/>
          <w:sz w:val="24"/>
          <w:szCs w:val="24"/>
        </w:rPr>
        <w:t xml:space="preserve"> </w:t>
      </w:r>
      <w:r>
        <w:rPr>
          <w:rFonts w:ascii="Times New Roman" w:hAnsi="Times New Roman" w:eastAsia="Times New Roman" w:cs="Times New Roman"/>
          <w:b/>
          <w:bCs/>
          <w:sz w:val="24"/>
          <w:szCs w:val="24"/>
        </w:rPr>
        <w:t xml:space="preserve">5.4-2                                        </w:t>
      </w:r>
      <w:r>
        <w:rPr>
          <w:rFonts w:ascii="Times New Roman" w:hAnsi="Times New Roman" w:eastAsia="Times New Roman" w:cs="Times New Roman"/>
          <w:b/>
          <w:bCs/>
          <w:spacing w:val="-1"/>
          <w:sz w:val="24"/>
          <w:szCs w:val="24"/>
        </w:rPr>
        <w:t xml:space="preserve">                              </w:t>
      </w:r>
      <w:r>
        <w:rPr>
          <w:b/>
          <w:bCs/>
          <w:spacing w:val="-1"/>
          <w:sz w:val="24"/>
          <w:szCs w:val="24"/>
        </w:rPr>
        <w:t>车马碧水库工程蓄水阶段环境保护措施环境影响评价要求、初步设计及实际建设情况一览表</w:t>
      </w:r>
    </w:p>
    <w:p w14:paraId="1B013727">
      <w:pPr>
        <w:spacing w:line="94"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
        <w:gridCol w:w="3329"/>
        <w:gridCol w:w="847"/>
        <w:gridCol w:w="4107"/>
        <w:gridCol w:w="4954"/>
        <w:gridCol w:w="3822"/>
        <w:gridCol w:w="2405"/>
      </w:tblGrid>
      <w:tr w14:paraId="7E6DD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919" w:type="dxa"/>
            <w:vMerge w:val="restart"/>
            <w:tcBorders>
              <w:top w:val="single" w:color="000000" w:sz="12" w:space="0"/>
              <w:left w:val="single" w:color="000000" w:sz="12" w:space="0"/>
              <w:bottom w:val="nil"/>
            </w:tcBorders>
            <w:vAlign w:val="top"/>
          </w:tcPr>
          <w:p w14:paraId="4EFFEAB0">
            <w:pPr>
              <w:spacing w:before="50" w:line="220" w:lineRule="auto"/>
              <w:ind w:left="233"/>
              <w:rPr>
                <w:rFonts w:ascii="宋体" w:hAnsi="宋体" w:eastAsia="宋体" w:cs="宋体"/>
                <w:sz w:val="21"/>
                <w:szCs w:val="21"/>
              </w:rPr>
            </w:pPr>
            <w:r>
              <w:rPr>
                <w:rFonts w:ascii="宋体" w:hAnsi="宋体" w:eastAsia="宋体" w:cs="宋体"/>
                <w:spacing w:val="-3"/>
                <w:sz w:val="21"/>
                <w:szCs w:val="21"/>
              </w:rPr>
              <w:t>环保</w:t>
            </w:r>
          </w:p>
          <w:p w14:paraId="2A2BDE3A">
            <w:pPr>
              <w:spacing w:before="21" w:line="221" w:lineRule="auto"/>
              <w:ind w:left="234"/>
              <w:rPr>
                <w:rFonts w:ascii="宋体" w:hAnsi="宋体" w:eastAsia="宋体" w:cs="宋体"/>
                <w:sz w:val="21"/>
                <w:szCs w:val="21"/>
              </w:rPr>
            </w:pPr>
            <w:r>
              <w:rPr>
                <w:rFonts w:ascii="宋体" w:hAnsi="宋体" w:eastAsia="宋体" w:cs="宋体"/>
                <w:spacing w:val="-3"/>
                <w:sz w:val="21"/>
                <w:szCs w:val="21"/>
              </w:rPr>
              <w:t>要求</w:t>
            </w:r>
          </w:p>
        </w:tc>
        <w:tc>
          <w:tcPr>
            <w:tcW w:w="8283" w:type="dxa"/>
            <w:gridSpan w:val="3"/>
            <w:tcBorders>
              <w:top w:val="single" w:color="000000" w:sz="12" w:space="0"/>
            </w:tcBorders>
            <w:vAlign w:val="top"/>
          </w:tcPr>
          <w:p w14:paraId="681310C8">
            <w:pPr>
              <w:spacing w:before="36" w:line="215" w:lineRule="auto"/>
              <w:ind w:left="3297"/>
              <w:rPr>
                <w:rFonts w:ascii="宋体" w:hAnsi="宋体" w:eastAsia="宋体" w:cs="宋体"/>
                <w:sz w:val="21"/>
                <w:szCs w:val="21"/>
              </w:rPr>
            </w:pPr>
            <w:r>
              <w:rPr>
                <w:rFonts w:ascii="宋体" w:hAnsi="宋体" w:eastAsia="宋体" w:cs="宋体"/>
                <w:spacing w:val="-1"/>
                <w:sz w:val="21"/>
                <w:szCs w:val="21"/>
              </w:rPr>
              <w:t>环境影响评价要求</w:t>
            </w:r>
          </w:p>
        </w:tc>
        <w:tc>
          <w:tcPr>
            <w:tcW w:w="4954" w:type="dxa"/>
            <w:vMerge w:val="restart"/>
            <w:tcBorders>
              <w:top w:val="single" w:color="000000" w:sz="12" w:space="0"/>
              <w:bottom w:val="nil"/>
            </w:tcBorders>
            <w:vAlign w:val="top"/>
          </w:tcPr>
          <w:p w14:paraId="01F43446">
            <w:pPr>
              <w:spacing w:before="186" w:line="220" w:lineRule="auto"/>
              <w:ind w:left="1535"/>
              <w:rPr>
                <w:rFonts w:ascii="宋体" w:hAnsi="宋体" w:eastAsia="宋体" w:cs="宋体"/>
                <w:sz w:val="21"/>
                <w:szCs w:val="21"/>
              </w:rPr>
            </w:pPr>
            <w:r>
              <w:rPr>
                <w:rFonts w:ascii="宋体" w:hAnsi="宋体" w:eastAsia="宋体" w:cs="宋体"/>
                <w:spacing w:val="-1"/>
                <w:sz w:val="21"/>
                <w:szCs w:val="21"/>
              </w:rPr>
              <w:t>初步设计中环保设计</w:t>
            </w:r>
          </w:p>
        </w:tc>
        <w:tc>
          <w:tcPr>
            <w:tcW w:w="6227" w:type="dxa"/>
            <w:gridSpan w:val="2"/>
            <w:tcBorders>
              <w:top w:val="single" w:color="000000" w:sz="12" w:space="0"/>
              <w:right w:val="single" w:color="000000" w:sz="12" w:space="0"/>
            </w:tcBorders>
            <w:vAlign w:val="top"/>
          </w:tcPr>
          <w:p w14:paraId="5ECA0C19">
            <w:pPr>
              <w:spacing w:before="36" w:line="215" w:lineRule="auto"/>
              <w:ind w:left="2494"/>
              <w:rPr>
                <w:rFonts w:ascii="宋体" w:hAnsi="宋体" w:eastAsia="宋体" w:cs="宋体"/>
                <w:sz w:val="21"/>
                <w:szCs w:val="21"/>
              </w:rPr>
            </w:pPr>
            <w:r>
              <w:rPr>
                <w:rFonts w:ascii="宋体" w:hAnsi="宋体" w:eastAsia="宋体" w:cs="宋体"/>
                <w:spacing w:val="-3"/>
                <w:sz w:val="21"/>
                <w:szCs w:val="21"/>
              </w:rPr>
              <w:t>实际建设情况</w:t>
            </w:r>
          </w:p>
        </w:tc>
      </w:tr>
      <w:tr w14:paraId="0D4F3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tcBorders>
            <w:vAlign w:val="top"/>
          </w:tcPr>
          <w:p w14:paraId="1B3BC621">
            <w:pPr>
              <w:rPr>
                <w:rFonts w:ascii="Arial"/>
                <w:sz w:val="21"/>
              </w:rPr>
            </w:pPr>
          </w:p>
        </w:tc>
        <w:tc>
          <w:tcPr>
            <w:tcW w:w="3329" w:type="dxa"/>
            <w:vAlign w:val="top"/>
          </w:tcPr>
          <w:p w14:paraId="189883DF">
            <w:pPr>
              <w:spacing w:before="34" w:line="214" w:lineRule="auto"/>
              <w:ind w:left="1236"/>
              <w:rPr>
                <w:rFonts w:ascii="宋体" w:hAnsi="宋体" w:eastAsia="宋体" w:cs="宋体"/>
                <w:sz w:val="21"/>
                <w:szCs w:val="21"/>
              </w:rPr>
            </w:pPr>
            <w:r>
              <w:rPr>
                <w:rFonts w:ascii="宋体" w:hAnsi="宋体" w:eastAsia="宋体" w:cs="宋体"/>
                <w:spacing w:val="-2"/>
                <w:sz w:val="21"/>
                <w:szCs w:val="21"/>
              </w:rPr>
              <w:t>环评批复</w:t>
            </w:r>
          </w:p>
        </w:tc>
        <w:tc>
          <w:tcPr>
            <w:tcW w:w="4954" w:type="dxa"/>
            <w:gridSpan w:val="2"/>
            <w:vAlign w:val="top"/>
          </w:tcPr>
          <w:p w14:paraId="1EB7F367">
            <w:pPr>
              <w:spacing w:before="34" w:line="214" w:lineRule="auto"/>
              <w:ind w:left="1739"/>
              <w:rPr>
                <w:rFonts w:ascii="宋体" w:hAnsi="宋体" w:eastAsia="宋体" w:cs="宋体"/>
                <w:sz w:val="21"/>
                <w:szCs w:val="21"/>
              </w:rPr>
            </w:pPr>
            <w:r>
              <w:rPr>
                <w:rFonts w:ascii="宋体" w:hAnsi="宋体" w:eastAsia="宋体" w:cs="宋体"/>
                <w:spacing w:val="-2"/>
                <w:sz w:val="21"/>
                <w:szCs w:val="21"/>
              </w:rPr>
              <w:t>环境影响报告书</w:t>
            </w:r>
          </w:p>
        </w:tc>
        <w:tc>
          <w:tcPr>
            <w:tcW w:w="4954" w:type="dxa"/>
            <w:vMerge w:val="continue"/>
            <w:tcBorders>
              <w:top w:val="nil"/>
            </w:tcBorders>
            <w:vAlign w:val="top"/>
          </w:tcPr>
          <w:p w14:paraId="5A19069F">
            <w:pPr>
              <w:rPr>
                <w:rFonts w:ascii="Arial"/>
                <w:sz w:val="21"/>
              </w:rPr>
            </w:pPr>
          </w:p>
        </w:tc>
        <w:tc>
          <w:tcPr>
            <w:tcW w:w="3822" w:type="dxa"/>
            <w:vAlign w:val="top"/>
          </w:tcPr>
          <w:p w14:paraId="1A2E581A">
            <w:pPr>
              <w:spacing w:before="34" w:line="214" w:lineRule="auto"/>
              <w:ind w:left="1090"/>
              <w:rPr>
                <w:rFonts w:ascii="宋体" w:hAnsi="宋体" w:eastAsia="宋体" w:cs="宋体"/>
                <w:sz w:val="21"/>
                <w:szCs w:val="21"/>
              </w:rPr>
            </w:pPr>
            <w:r>
              <w:rPr>
                <w:rFonts w:ascii="宋体" w:hAnsi="宋体" w:eastAsia="宋体" w:cs="宋体"/>
                <w:spacing w:val="-2"/>
                <w:sz w:val="21"/>
                <w:szCs w:val="21"/>
              </w:rPr>
              <w:t>蓄水阶段执行情况</w:t>
            </w:r>
          </w:p>
        </w:tc>
        <w:tc>
          <w:tcPr>
            <w:tcW w:w="2405" w:type="dxa"/>
            <w:tcBorders>
              <w:right w:val="single" w:color="000000" w:sz="12" w:space="0"/>
            </w:tcBorders>
            <w:vAlign w:val="top"/>
          </w:tcPr>
          <w:p w14:paraId="6119216B">
            <w:pPr>
              <w:spacing w:before="34" w:line="214" w:lineRule="auto"/>
              <w:ind w:left="267"/>
              <w:rPr>
                <w:rFonts w:ascii="宋体" w:hAnsi="宋体" w:eastAsia="宋体" w:cs="宋体"/>
                <w:sz w:val="21"/>
                <w:szCs w:val="21"/>
              </w:rPr>
            </w:pPr>
            <w:r>
              <w:rPr>
                <w:rFonts w:ascii="宋体" w:hAnsi="宋体" w:eastAsia="宋体" w:cs="宋体"/>
                <w:spacing w:val="-2"/>
                <w:sz w:val="21"/>
                <w:szCs w:val="21"/>
              </w:rPr>
              <w:t>后续工作建议及要求</w:t>
            </w:r>
          </w:p>
        </w:tc>
      </w:tr>
      <w:tr w14:paraId="57F5D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6" w:hRule="atLeast"/>
        </w:trPr>
        <w:tc>
          <w:tcPr>
            <w:tcW w:w="919" w:type="dxa"/>
            <w:vMerge w:val="restart"/>
            <w:tcBorders>
              <w:left w:val="single" w:color="000000" w:sz="12" w:space="0"/>
              <w:bottom w:val="nil"/>
            </w:tcBorders>
            <w:vAlign w:val="top"/>
          </w:tcPr>
          <w:p w14:paraId="48968C1E">
            <w:pPr>
              <w:spacing w:line="256" w:lineRule="auto"/>
              <w:rPr>
                <w:rFonts w:ascii="Arial"/>
                <w:sz w:val="21"/>
              </w:rPr>
            </w:pPr>
          </w:p>
          <w:p w14:paraId="355DEDD5">
            <w:pPr>
              <w:spacing w:line="256" w:lineRule="auto"/>
              <w:rPr>
                <w:rFonts w:ascii="Arial"/>
                <w:sz w:val="21"/>
              </w:rPr>
            </w:pPr>
          </w:p>
          <w:p w14:paraId="5457A057">
            <w:pPr>
              <w:spacing w:line="257" w:lineRule="auto"/>
              <w:rPr>
                <w:rFonts w:ascii="Arial"/>
                <w:sz w:val="21"/>
              </w:rPr>
            </w:pPr>
          </w:p>
          <w:p w14:paraId="4387FF25">
            <w:pPr>
              <w:spacing w:line="257" w:lineRule="auto"/>
              <w:rPr>
                <w:rFonts w:ascii="Arial"/>
                <w:sz w:val="21"/>
              </w:rPr>
            </w:pPr>
          </w:p>
          <w:p w14:paraId="4615A2FE">
            <w:pPr>
              <w:spacing w:line="257" w:lineRule="auto"/>
              <w:rPr>
                <w:rFonts w:ascii="Arial"/>
                <w:sz w:val="21"/>
              </w:rPr>
            </w:pPr>
          </w:p>
          <w:p w14:paraId="2A703E78">
            <w:pPr>
              <w:spacing w:line="257" w:lineRule="auto"/>
              <w:rPr>
                <w:rFonts w:ascii="Arial"/>
                <w:sz w:val="21"/>
              </w:rPr>
            </w:pPr>
          </w:p>
          <w:p w14:paraId="07C5D86B">
            <w:pPr>
              <w:spacing w:line="257" w:lineRule="auto"/>
              <w:rPr>
                <w:rFonts w:ascii="Arial"/>
                <w:sz w:val="21"/>
              </w:rPr>
            </w:pPr>
          </w:p>
          <w:p w14:paraId="073F80D3">
            <w:pPr>
              <w:spacing w:line="257" w:lineRule="auto"/>
              <w:rPr>
                <w:rFonts w:ascii="Arial"/>
                <w:sz w:val="21"/>
              </w:rPr>
            </w:pPr>
          </w:p>
          <w:p w14:paraId="4D5F1ADB">
            <w:pPr>
              <w:spacing w:before="68"/>
              <w:ind w:left="18" w:right="39"/>
              <w:jc w:val="both"/>
              <w:rPr>
                <w:rFonts w:ascii="宋体" w:hAnsi="宋体" w:eastAsia="宋体" w:cs="宋体"/>
                <w:sz w:val="21"/>
                <w:szCs w:val="21"/>
              </w:rPr>
            </w:pPr>
            <w:r>
              <w:rPr>
                <w:rFonts w:ascii="宋体" w:hAnsi="宋体" w:eastAsia="宋体" w:cs="宋体"/>
                <w:sz w:val="21"/>
                <w:szCs w:val="21"/>
              </w:rPr>
              <w:t>优化区域水资源配置，严格落实生态流量下泄</w:t>
            </w:r>
            <w:r>
              <w:rPr>
                <w:rFonts w:ascii="宋体" w:hAnsi="宋体" w:eastAsia="宋体" w:cs="宋体"/>
                <w:spacing w:val="-2"/>
                <w:sz w:val="21"/>
                <w:szCs w:val="21"/>
              </w:rPr>
              <w:t>措施</w:t>
            </w:r>
          </w:p>
        </w:tc>
        <w:tc>
          <w:tcPr>
            <w:tcW w:w="3329" w:type="dxa"/>
            <w:vAlign w:val="top"/>
          </w:tcPr>
          <w:p w14:paraId="2FC92274">
            <w:pPr>
              <w:spacing w:before="35" w:line="234" w:lineRule="auto"/>
              <w:ind w:left="17"/>
              <w:jc w:val="both"/>
              <w:rPr>
                <w:rFonts w:ascii="宋体" w:hAnsi="宋体" w:eastAsia="宋体" w:cs="宋体"/>
                <w:sz w:val="21"/>
                <w:szCs w:val="21"/>
              </w:rPr>
            </w:pPr>
            <w:r>
              <w:rPr>
                <w:rFonts w:ascii="宋体" w:hAnsi="宋体" w:eastAsia="宋体" w:cs="宋体"/>
                <w:spacing w:val="-12"/>
                <w:sz w:val="21"/>
                <w:szCs w:val="21"/>
              </w:rPr>
              <w:t>根据《云南省牛栏江保护条例》，</w:t>
            </w:r>
            <w:r>
              <w:rPr>
                <w:rFonts w:ascii="宋体" w:hAnsi="宋体" w:eastAsia="宋体" w:cs="宋体"/>
                <w:spacing w:val="-24"/>
                <w:sz w:val="21"/>
                <w:szCs w:val="21"/>
              </w:rPr>
              <w:t xml:space="preserve"> </w:t>
            </w:r>
            <w:r>
              <w:rPr>
                <w:rFonts w:ascii="宋体" w:hAnsi="宋体" w:eastAsia="宋体" w:cs="宋体"/>
                <w:spacing w:val="-12"/>
                <w:sz w:val="21"/>
                <w:szCs w:val="21"/>
              </w:rPr>
              <w:t>不</w:t>
            </w:r>
            <w:r>
              <w:rPr>
                <w:rFonts w:ascii="宋体" w:hAnsi="宋体" w:eastAsia="宋体" w:cs="宋体"/>
                <w:spacing w:val="-4"/>
                <w:sz w:val="21"/>
                <w:szCs w:val="21"/>
              </w:rPr>
              <w:t>得向位于重点污染控制区内的旧县、</w:t>
            </w:r>
            <w:r>
              <w:rPr>
                <w:rFonts w:ascii="宋体" w:hAnsi="宋体" w:eastAsia="宋体" w:cs="宋体"/>
                <w:spacing w:val="-7"/>
                <w:sz w:val="21"/>
                <w:szCs w:val="21"/>
              </w:rPr>
              <w:t>马过河工业园区供水，多出的水量优</w:t>
            </w:r>
            <w:r>
              <w:rPr>
                <w:rFonts w:ascii="宋体" w:hAnsi="宋体" w:eastAsia="宋体" w:cs="宋体"/>
                <w:spacing w:val="6"/>
                <w:sz w:val="21"/>
                <w:szCs w:val="21"/>
              </w:rPr>
              <w:t>先用于车马碧水库坝下游河流生态</w:t>
            </w:r>
            <w:r>
              <w:rPr>
                <w:rFonts w:ascii="宋体" w:hAnsi="宋体" w:eastAsia="宋体" w:cs="宋体"/>
                <w:spacing w:val="-10"/>
                <w:sz w:val="21"/>
                <w:szCs w:val="21"/>
              </w:rPr>
              <w:t>用水。</w:t>
            </w:r>
          </w:p>
        </w:tc>
        <w:tc>
          <w:tcPr>
            <w:tcW w:w="4954" w:type="dxa"/>
            <w:gridSpan w:val="2"/>
            <w:vAlign w:val="top"/>
          </w:tcPr>
          <w:p w14:paraId="0A6DE8DA">
            <w:pPr>
              <w:pStyle w:val="6"/>
              <w:spacing w:before="35" w:line="234" w:lineRule="auto"/>
              <w:ind w:left="24" w:right="26" w:hanging="2"/>
              <w:jc w:val="both"/>
              <w:rPr>
                <w:rFonts w:ascii="宋体" w:hAnsi="宋体" w:eastAsia="宋体" w:cs="宋体"/>
              </w:rPr>
            </w:pPr>
            <w:r>
              <w:rPr>
                <w:rFonts w:ascii="宋体" w:hAnsi="宋体" w:eastAsia="宋体" w:cs="宋体"/>
                <w:spacing w:val="2"/>
              </w:rPr>
              <w:t>考虑到车马碧水库本流域工业供水对象旧县、马过河</w:t>
            </w:r>
            <w:r>
              <w:rPr>
                <w:rFonts w:ascii="宋体" w:hAnsi="宋体" w:eastAsia="宋体" w:cs="宋体"/>
                <w:spacing w:val="12"/>
              </w:rPr>
              <w:t>工业园区位于牛栏江上游保护区中的重点污染控制</w:t>
            </w:r>
            <w:r>
              <w:rPr>
                <w:rFonts w:ascii="宋体" w:hAnsi="宋体" w:eastAsia="宋体" w:cs="宋体"/>
                <w:spacing w:val="2"/>
              </w:rPr>
              <w:t>区，不宜新建工业园区，加之此工业园区并未正式批复，故建议取消本项目向旧县、马过河工业园区供水</w:t>
            </w:r>
            <w:r>
              <w:rPr>
                <w:spacing w:val="-7"/>
              </w:rPr>
              <w:t>169</w:t>
            </w:r>
            <w:r>
              <w:rPr>
                <w:spacing w:val="20"/>
              </w:rPr>
              <w:t xml:space="preserve"> </w:t>
            </w:r>
            <w:r>
              <w:rPr>
                <w:rFonts w:ascii="宋体" w:hAnsi="宋体" w:eastAsia="宋体" w:cs="宋体"/>
                <w:spacing w:val="-7"/>
              </w:rPr>
              <w:t>万</w:t>
            </w:r>
            <w:r>
              <w:rPr>
                <w:rFonts w:ascii="宋体" w:hAnsi="宋体" w:eastAsia="宋体" w:cs="宋体"/>
                <w:spacing w:val="-51"/>
              </w:rPr>
              <w:t xml:space="preserve"> </w:t>
            </w:r>
            <w:r>
              <w:rPr>
                <w:spacing w:val="-7"/>
              </w:rPr>
              <w:t>m</w:t>
            </w:r>
            <w:r>
              <w:rPr>
                <w:spacing w:val="-7"/>
                <w:position w:val="7"/>
                <w:sz w:val="14"/>
                <w:szCs w:val="14"/>
              </w:rPr>
              <w:t>3</w:t>
            </w:r>
            <w:r>
              <w:rPr>
                <w:spacing w:val="26"/>
                <w:w w:val="101"/>
                <w:position w:val="7"/>
                <w:sz w:val="14"/>
                <w:szCs w:val="14"/>
              </w:rPr>
              <w:t xml:space="preserve"> </w:t>
            </w:r>
            <w:r>
              <w:rPr>
                <w:rFonts w:ascii="宋体" w:hAnsi="宋体" w:eastAsia="宋体" w:cs="宋体"/>
                <w:spacing w:val="-7"/>
              </w:rPr>
              <w:t>的供水任务。</w:t>
            </w:r>
          </w:p>
        </w:tc>
        <w:tc>
          <w:tcPr>
            <w:tcW w:w="4954" w:type="dxa"/>
            <w:vAlign w:val="top"/>
          </w:tcPr>
          <w:p w14:paraId="66D7DD97">
            <w:pPr>
              <w:spacing w:line="254" w:lineRule="auto"/>
              <w:rPr>
                <w:rFonts w:ascii="Arial"/>
                <w:sz w:val="21"/>
              </w:rPr>
            </w:pPr>
          </w:p>
          <w:p w14:paraId="5A8E1BD4">
            <w:pPr>
              <w:spacing w:line="255" w:lineRule="auto"/>
              <w:rPr>
                <w:rFonts w:ascii="Arial"/>
                <w:sz w:val="21"/>
              </w:rPr>
            </w:pPr>
          </w:p>
          <w:p w14:paraId="0515D735">
            <w:pPr>
              <w:spacing w:before="69" w:line="219" w:lineRule="auto"/>
              <w:ind w:left="28"/>
              <w:rPr>
                <w:rFonts w:ascii="宋体" w:hAnsi="宋体" w:eastAsia="宋体" w:cs="宋体"/>
                <w:sz w:val="21"/>
                <w:szCs w:val="21"/>
              </w:rPr>
            </w:pPr>
            <w:r>
              <w:rPr>
                <w:rFonts w:ascii="宋体" w:hAnsi="宋体" w:eastAsia="宋体" w:cs="宋体"/>
                <w:spacing w:val="-3"/>
                <w:sz w:val="21"/>
                <w:szCs w:val="21"/>
              </w:rPr>
              <w:t>供水对象中取消旧县和马过河工业园区。</w:t>
            </w:r>
          </w:p>
        </w:tc>
        <w:tc>
          <w:tcPr>
            <w:tcW w:w="3822" w:type="dxa"/>
            <w:vAlign w:val="top"/>
          </w:tcPr>
          <w:p w14:paraId="0D5F386D">
            <w:pPr>
              <w:spacing w:line="254" w:lineRule="auto"/>
              <w:rPr>
                <w:rFonts w:ascii="Arial"/>
                <w:sz w:val="21"/>
              </w:rPr>
            </w:pPr>
          </w:p>
          <w:p w14:paraId="61DCBF61">
            <w:pPr>
              <w:spacing w:line="255" w:lineRule="auto"/>
              <w:rPr>
                <w:rFonts w:ascii="Arial"/>
                <w:sz w:val="21"/>
              </w:rPr>
            </w:pPr>
          </w:p>
          <w:p w14:paraId="5DA84A8E">
            <w:pPr>
              <w:spacing w:before="69" w:line="219" w:lineRule="auto"/>
              <w:ind w:left="36"/>
              <w:rPr>
                <w:rFonts w:ascii="宋体" w:hAnsi="宋体" w:eastAsia="宋体" w:cs="宋体"/>
                <w:sz w:val="21"/>
                <w:szCs w:val="21"/>
              </w:rPr>
            </w:pPr>
            <w:r>
              <w:rPr>
                <w:rFonts w:ascii="宋体" w:hAnsi="宋体" w:eastAsia="宋体" w:cs="宋体"/>
                <w:spacing w:val="-2"/>
                <w:sz w:val="21"/>
                <w:szCs w:val="21"/>
              </w:rPr>
              <w:t>供水对象中取消旧县和马过河工业园区。</w:t>
            </w:r>
          </w:p>
        </w:tc>
        <w:tc>
          <w:tcPr>
            <w:tcW w:w="2405" w:type="dxa"/>
            <w:tcBorders>
              <w:right w:val="single" w:color="000000" w:sz="12" w:space="0"/>
            </w:tcBorders>
            <w:vAlign w:val="top"/>
          </w:tcPr>
          <w:p w14:paraId="4CE2D70B">
            <w:pPr>
              <w:spacing w:line="255" w:lineRule="auto"/>
              <w:rPr>
                <w:rFonts w:ascii="Arial"/>
                <w:sz w:val="21"/>
              </w:rPr>
            </w:pPr>
          </w:p>
          <w:p w14:paraId="43CA20D0">
            <w:pPr>
              <w:spacing w:line="255" w:lineRule="auto"/>
              <w:rPr>
                <w:rFonts w:ascii="Arial"/>
                <w:sz w:val="21"/>
              </w:rPr>
            </w:pPr>
          </w:p>
          <w:p w14:paraId="4B74CFBC">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6A578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919" w:type="dxa"/>
            <w:vMerge w:val="continue"/>
            <w:tcBorders>
              <w:top w:val="nil"/>
              <w:left w:val="single" w:color="000000" w:sz="12" w:space="0"/>
              <w:bottom w:val="nil"/>
            </w:tcBorders>
            <w:vAlign w:val="top"/>
          </w:tcPr>
          <w:p w14:paraId="405A84C2">
            <w:pPr>
              <w:rPr>
                <w:rFonts w:ascii="Arial"/>
                <w:sz w:val="21"/>
              </w:rPr>
            </w:pPr>
          </w:p>
        </w:tc>
        <w:tc>
          <w:tcPr>
            <w:tcW w:w="3329" w:type="dxa"/>
            <w:vAlign w:val="top"/>
          </w:tcPr>
          <w:p w14:paraId="4175B476">
            <w:pPr>
              <w:spacing w:before="39" w:line="229" w:lineRule="auto"/>
              <w:ind w:left="17" w:right="31"/>
              <w:jc w:val="both"/>
              <w:rPr>
                <w:rFonts w:ascii="宋体" w:hAnsi="宋体" w:eastAsia="宋体" w:cs="宋体"/>
                <w:sz w:val="21"/>
                <w:szCs w:val="21"/>
              </w:rPr>
            </w:pPr>
            <w:r>
              <w:rPr>
                <w:rFonts w:ascii="宋体" w:hAnsi="宋体" w:eastAsia="宋体" w:cs="宋体"/>
                <w:spacing w:val="7"/>
                <w:sz w:val="21"/>
                <w:szCs w:val="21"/>
              </w:rPr>
              <w:t>制定工程蓄水和运行期下泄生态流</w:t>
            </w:r>
            <w:r>
              <w:rPr>
                <w:rFonts w:ascii="宋体" w:hAnsi="宋体" w:eastAsia="宋体" w:cs="宋体"/>
                <w:spacing w:val="-6"/>
                <w:sz w:val="21"/>
                <w:szCs w:val="21"/>
              </w:rPr>
              <w:t>量调度方案，流量下泄过程应满足生</w:t>
            </w:r>
            <w:r>
              <w:rPr>
                <w:rFonts w:ascii="宋体" w:hAnsi="宋体" w:eastAsia="宋体" w:cs="宋体"/>
                <w:spacing w:val="-8"/>
                <w:sz w:val="21"/>
                <w:szCs w:val="21"/>
              </w:rPr>
              <w:t>态需求。</w:t>
            </w:r>
          </w:p>
        </w:tc>
        <w:tc>
          <w:tcPr>
            <w:tcW w:w="4954" w:type="dxa"/>
            <w:gridSpan w:val="2"/>
            <w:vAlign w:val="top"/>
          </w:tcPr>
          <w:p w14:paraId="4798EDEB">
            <w:pPr>
              <w:spacing w:line="241" w:lineRule="auto"/>
              <w:rPr>
                <w:rFonts w:ascii="Arial"/>
                <w:sz w:val="21"/>
              </w:rPr>
            </w:pPr>
          </w:p>
          <w:p w14:paraId="2BF79CCF">
            <w:pPr>
              <w:spacing w:before="68" w:line="220" w:lineRule="auto"/>
              <w:ind w:left="23"/>
              <w:rPr>
                <w:rFonts w:ascii="宋体" w:hAnsi="宋体" w:eastAsia="宋体" w:cs="宋体"/>
                <w:sz w:val="21"/>
                <w:szCs w:val="21"/>
              </w:rPr>
            </w:pPr>
            <w:r>
              <w:rPr>
                <w:rFonts w:ascii="宋体" w:hAnsi="宋体" w:eastAsia="宋体" w:cs="宋体"/>
                <w:spacing w:val="-3"/>
                <w:sz w:val="21"/>
                <w:szCs w:val="21"/>
              </w:rPr>
              <w:t>制定水库蓄水和运行调度环保方案。</w:t>
            </w:r>
          </w:p>
        </w:tc>
        <w:tc>
          <w:tcPr>
            <w:tcW w:w="4954" w:type="dxa"/>
            <w:vAlign w:val="top"/>
          </w:tcPr>
          <w:p w14:paraId="2ADA4C6A">
            <w:pPr>
              <w:spacing w:before="174" w:line="242" w:lineRule="auto"/>
              <w:ind w:left="28" w:firstLine="23"/>
              <w:rPr>
                <w:rFonts w:ascii="宋体" w:hAnsi="宋体" w:eastAsia="宋体" w:cs="宋体"/>
                <w:sz w:val="21"/>
                <w:szCs w:val="21"/>
              </w:rPr>
            </w:pPr>
            <w:r>
              <w:rPr>
                <w:rFonts w:ascii="宋体" w:hAnsi="宋体" w:eastAsia="宋体" w:cs="宋体"/>
                <w:spacing w:val="-1"/>
                <w:sz w:val="21"/>
                <w:szCs w:val="21"/>
              </w:rPr>
              <w:t>已制定《云南省曲靖市车马碧水库工程蓄水计划和调</w:t>
            </w:r>
            <w:r>
              <w:rPr>
                <w:rFonts w:ascii="宋体" w:hAnsi="宋体" w:eastAsia="宋体" w:cs="宋体"/>
                <w:spacing w:val="-9"/>
                <w:sz w:val="21"/>
                <w:szCs w:val="21"/>
              </w:rPr>
              <w:t>度方案》， 其中兴利调度原则符合生态流</w:t>
            </w:r>
            <w:r>
              <w:rPr>
                <w:rFonts w:ascii="宋体" w:hAnsi="宋体" w:eastAsia="宋体" w:cs="宋体"/>
                <w:spacing w:val="-10"/>
                <w:sz w:val="21"/>
                <w:szCs w:val="21"/>
              </w:rPr>
              <w:t>量下泄要求。</w:t>
            </w:r>
          </w:p>
        </w:tc>
        <w:tc>
          <w:tcPr>
            <w:tcW w:w="3822" w:type="dxa"/>
            <w:vAlign w:val="top"/>
          </w:tcPr>
          <w:p w14:paraId="038CA1CC">
            <w:pPr>
              <w:spacing w:before="39" w:line="229" w:lineRule="auto"/>
              <w:ind w:left="37" w:right="12" w:firstLine="21"/>
              <w:jc w:val="both"/>
              <w:rPr>
                <w:rFonts w:ascii="宋体" w:hAnsi="宋体" w:eastAsia="宋体" w:cs="宋体"/>
                <w:sz w:val="21"/>
                <w:szCs w:val="21"/>
              </w:rPr>
            </w:pPr>
            <w:r>
              <w:rPr>
                <w:rFonts w:ascii="宋体" w:hAnsi="宋体" w:eastAsia="宋体" w:cs="宋体"/>
                <w:spacing w:val="-4"/>
                <w:sz w:val="21"/>
                <w:szCs w:val="21"/>
              </w:rPr>
              <w:t>已制定《云南省曲靖市车马碧水库工程蓄</w:t>
            </w:r>
            <w:r>
              <w:rPr>
                <w:rFonts w:ascii="宋体" w:hAnsi="宋体" w:eastAsia="宋体" w:cs="宋体"/>
                <w:spacing w:val="-7"/>
                <w:sz w:val="21"/>
                <w:szCs w:val="21"/>
              </w:rPr>
              <w:t>水计划和调度方案》， 其中兴利调度原则</w:t>
            </w:r>
            <w:r>
              <w:rPr>
                <w:rFonts w:ascii="宋体" w:hAnsi="宋体" w:eastAsia="宋体" w:cs="宋体"/>
                <w:spacing w:val="-4"/>
                <w:sz w:val="21"/>
                <w:szCs w:val="21"/>
              </w:rPr>
              <w:t>符合生态流量下泄要求。</w:t>
            </w:r>
          </w:p>
        </w:tc>
        <w:tc>
          <w:tcPr>
            <w:tcW w:w="2405" w:type="dxa"/>
            <w:tcBorders>
              <w:right w:val="single" w:color="000000" w:sz="12" w:space="0"/>
            </w:tcBorders>
            <w:vAlign w:val="top"/>
          </w:tcPr>
          <w:p w14:paraId="613DD894">
            <w:pPr>
              <w:spacing w:line="241" w:lineRule="auto"/>
              <w:rPr>
                <w:rFonts w:ascii="Arial"/>
                <w:sz w:val="21"/>
              </w:rPr>
            </w:pPr>
          </w:p>
          <w:p w14:paraId="45C98221">
            <w:pPr>
              <w:spacing w:before="69" w:line="220" w:lineRule="auto"/>
              <w:ind w:left="1107"/>
              <w:rPr>
                <w:rFonts w:ascii="宋体" w:hAnsi="宋体" w:eastAsia="宋体" w:cs="宋体"/>
                <w:sz w:val="21"/>
                <w:szCs w:val="21"/>
              </w:rPr>
            </w:pPr>
            <w:r>
              <w:rPr>
                <w:rFonts w:ascii="宋体" w:hAnsi="宋体" w:eastAsia="宋体" w:cs="宋体"/>
                <w:sz w:val="21"/>
                <w:szCs w:val="21"/>
              </w:rPr>
              <w:t>无</w:t>
            </w:r>
          </w:p>
        </w:tc>
      </w:tr>
      <w:tr w14:paraId="44D6B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7" w:hRule="atLeast"/>
        </w:trPr>
        <w:tc>
          <w:tcPr>
            <w:tcW w:w="919" w:type="dxa"/>
            <w:vMerge w:val="continue"/>
            <w:tcBorders>
              <w:top w:val="nil"/>
              <w:left w:val="single" w:color="000000" w:sz="12" w:space="0"/>
              <w:bottom w:val="nil"/>
            </w:tcBorders>
            <w:vAlign w:val="top"/>
          </w:tcPr>
          <w:p w14:paraId="65365250">
            <w:pPr>
              <w:rPr>
                <w:rFonts w:ascii="Arial"/>
                <w:sz w:val="21"/>
              </w:rPr>
            </w:pPr>
          </w:p>
        </w:tc>
        <w:tc>
          <w:tcPr>
            <w:tcW w:w="3329" w:type="dxa"/>
            <w:vAlign w:val="top"/>
          </w:tcPr>
          <w:p w14:paraId="6AFAD184">
            <w:pPr>
              <w:spacing w:line="257" w:lineRule="auto"/>
              <w:rPr>
                <w:rFonts w:ascii="Arial"/>
                <w:sz w:val="21"/>
              </w:rPr>
            </w:pPr>
          </w:p>
          <w:p w14:paraId="5B23E981">
            <w:pPr>
              <w:spacing w:line="258" w:lineRule="auto"/>
              <w:rPr>
                <w:rFonts w:ascii="Arial"/>
                <w:sz w:val="21"/>
              </w:rPr>
            </w:pPr>
          </w:p>
          <w:p w14:paraId="69A371A3">
            <w:pPr>
              <w:spacing w:before="69" w:line="243" w:lineRule="auto"/>
              <w:ind w:left="18" w:right="33" w:hanging="2"/>
              <w:rPr>
                <w:rFonts w:ascii="宋体" w:hAnsi="宋体" w:eastAsia="宋体" w:cs="宋体"/>
                <w:sz w:val="21"/>
                <w:szCs w:val="21"/>
              </w:rPr>
            </w:pPr>
            <w:r>
              <w:rPr>
                <w:rFonts w:ascii="宋体" w:hAnsi="宋体" w:eastAsia="宋体" w:cs="宋体"/>
                <w:spacing w:val="7"/>
                <w:sz w:val="21"/>
                <w:szCs w:val="21"/>
              </w:rPr>
              <w:t>初期蓄水期间通过导流泄洪洞下泄</w:t>
            </w:r>
            <w:r>
              <w:rPr>
                <w:rFonts w:ascii="宋体" w:hAnsi="宋体" w:eastAsia="宋体" w:cs="宋体"/>
                <w:spacing w:val="-7"/>
                <w:sz w:val="21"/>
                <w:szCs w:val="21"/>
              </w:rPr>
              <w:t>生态流量。</w:t>
            </w:r>
          </w:p>
        </w:tc>
        <w:tc>
          <w:tcPr>
            <w:tcW w:w="4954" w:type="dxa"/>
            <w:gridSpan w:val="2"/>
            <w:vAlign w:val="top"/>
          </w:tcPr>
          <w:p w14:paraId="7E1F6914">
            <w:pPr>
              <w:pStyle w:val="6"/>
              <w:spacing w:before="177" w:line="238" w:lineRule="auto"/>
              <w:ind w:left="21" w:right="24"/>
              <w:jc w:val="both"/>
              <w:rPr>
                <w:rFonts w:ascii="宋体" w:hAnsi="宋体" w:eastAsia="宋体" w:cs="宋体"/>
              </w:rPr>
            </w:pPr>
            <w:r>
              <w:rPr>
                <w:rFonts w:ascii="宋体" w:hAnsi="宋体" w:eastAsia="宋体" w:cs="宋体"/>
                <w:spacing w:val="-6"/>
              </w:rPr>
              <w:t>初期蓄水期间，采用控制弧形工作闸门开度，满足生态</w:t>
            </w:r>
            <w:r>
              <w:rPr>
                <w:rFonts w:ascii="宋体" w:hAnsi="宋体" w:eastAsia="宋体" w:cs="宋体"/>
                <w:spacing w:val="-3"/>
              </w:rPr>
              <w:t>流量的下泄要求；蓄水位达到</w:t>
            </w:r>
            <w:r>
              <w:rPr>
                <w:rFonts w:ascii="宋体" w:hAnsi="宋体" w:eastAsia="宋体" w:cs="宋体"/>
                <w:spacing w:val="-14"/>
              </w:rPr>
              <w:t xml:space="preserve"> </w:t>
            </w:r>
            <w:r>
              <w:rPr>
                <w:spacing w:val="-3"/>
              </w:rPr>
              <w:t xml:space="preserve">1915.30m </w:t>
            </w:r>
            <w:r>
              <w:rPr>
                <w:rFonts w:ascii="宋体" w:hAnsi="宋体" w:eastAsia="宋体" w:cs="宋体"/>
                <w:spacing w:val="-3"/>
              </w:rPr>
              <w:t>高程，可通过</w:t>
            </w:r>
            <w:r>
              <w:rPr>
                <w:spacing w:val="-4"/>
              </w:rPr>
              <w:t>1913.8m</w:t>
            </w:r>
            <w:r>
              <w:rPr>
                <w:spacing w:val="12"/>
              </w:rPr>
              <w:t xml:space="preserve"> </w:t>
            </w:r>
            <w:r>
              <w:rPr>
                <w:rFonts w:ascii="宋体" w:hAnsi="宋体" w:eastAsia="宋体" w:cs="宋体"/>
                <w:spacing w:val="-4"/>
              </w:rPr>
              <w:t>高程放水孔下泄生态流量，然后关闭弧形</w:t>
            </w:r>
            <w:r>
              <w:rPr>
                <w:rFonts w:ascii="宋体" w:hAnsi="宋体" w:eastAsia="宋体" w:cs="宋体"/>
                <w:spacing w:val="-5"/>
              </w:rPr>
              <w:t>工作</w:t>
            </w:r>
            <w:r>
              <w:rPr>
                <w:rFonts w:ascii="宋体" w:hAnsi="宋体" w:eastAsia="宋体" w:cs="宋体"/>
                <w:spacing w:val="-4"/>
              </w:rPr>
              <w:t xml:space="preserve">闸门，蓄水位达到 </w:t>
            </w:r>
            <w:r>
              <w:rPr>
                <w:spacing w:val="-4"/>
              </w:rPr>
              <w:t>1920.0m</w:t>
            </w:r>
            <w:r>
              <w:rPr>
                <w:spacing w:val="45"/>
              </w:rPr>
              <w:t xml:space="preserve"> </w:t>
            </w:r>
            <w:r>
              <w:rPr>
                <w:rFonts w:ascii="宋体" w:hAnsi="宋体" w:eastAsia="宋体" w:cs="宋体"/>
                <w:spacing w:val="-4"/>
              </w:rPr>
              <w:t xml:space="preserve">高程，可通过 </w:t>
            </w:r>
            <w:r>
              <w:rPr>
                <w:spacing w:val="-4"/>
              </w:rPr>
              <w:t>1920.0m</w:t>
            </w:r>
            <w:r>
              <w:rPr>
                <w:spacing w:val="28"/>
              </w:rPr>
              <w:t xml:space="preserve"> </w:t>
            </w:r>
            <w:r>
              <w:rPr>
                <w:rFonts w:ascii="宋体" w:hAnsi="宋体" w:eastAsia="宋体" w:cs="宋体"/>
                <w:spacing w:val="-4"/>
              </w:rPr>
              <w:t>高</w:t>
            </w:r>
            <w:r>
              <w:rPr>
                <w:rFonts w:ascii="宋体" w:hAnsi="宋体" w:eastAsia="宋体" w:cs="宋体"/>
                <w:spacing w:val="-3"/>
              </w:rPr>
              <w:t>程浮筒最低取水口下泄生态流量。</w:t>
            </w:r>
          </w:p>
        </w:tc>
        <w:tc>
          <w:tcPr>
            <w:tcW w:w="4954" w:type="dxa"/>
            <w:vAlign w:val="top"/>
          </w:tcPr>
          <w:p w14:paraId="3CD82898">
            <w:pPr>
              <w:pStyle w:val="6"/>
              <w:spacing w:before="39" w:line="234" w:lineRule="auto"/>
              <w:ind w:left="28" w:firstLine="5"/>
              <w:jc w:val="both"/>
              <w:rPr>
                <w:rFonts w:ascii="宋体" w:hAnsi="宋体" w:eastAsia="宋体" w:cs="宋体"/>
              </w:rPr>
            </w:pPr>
            <w:r>
              <w:rPr>
                <w:rFonts w:ascii="宋体" w:hAnsi="宋体" w:eastAsia="宋体" w:cs="宋体"/>
              </w:rPr>
              <w:t>导流泄洪洞由导流专用段、导流与泄洪放空结合段组</w:t>
            </w:r>
            <w:r>
              <w:rPr>
                <w:rFonts w:ascii="宋体" w:hAnsi="宋体" w:eastAsia="宋体" w:cs="宋体"/>
                <w:spacing w:val="-8"/>
              </w:rPr>
              <w:t>成，初期下闸蓄水，对导流专用段进行封堵，封堵期间</w:t>
            </w:r>
            <w:r>
              <w:rPr>
                <w:rFonts w:ascii="宋体" w:hAnsi="宋体" w:eastAsia="宋体" w:cs="宋体"/>
                <w:spacing w:val="10"/>
              </w:rPr>
              <w:t>通过水泵抽水至泄洪放空隧洞竖井侧向下层取水口</w:t>
            </w:r>
            <w:r>
              <w:rPr>
                <w:spacing w:val="-6"/>
              </w:rPr>
              <w:t>1914.5m</w:t>
            </w:r>
            <w:r>
              <w:rPr>
                <w:spacing w:val="-5"/>
              </w:rPr>
              <w:t xml:space="preserve"> </w:t>
            </w:r>
            <w:r>
              <w:rPr>
                <w:rFonts w:ascii="宋体" w:hAnsi="宋体" w:eastAsia="宋体" w:cs="宋体"/>
                <w:spacing w:val="-6"/>
              </w:rPr>
              <w:t>处下放下游生态用水；蓄水水位达到</w:t>
            </w:r>
            <w:r>
              <w:rPr>
                <w:spacing w:val="-6"/>
              </w:rPr>
              <w:t>1914.5m</w:t>
            </w:r>
            <w:r>
              <w:rPr>
                <w:rFonts w:ascii="宋体" w:hAnsi="宋体" w:eastAsia="宋体" w:cs="宋体"/>
                <w:spacing w:val="-6"/>
              </w:rPr>
              <w:t>，</w:t>
            </w:r>
            <w:r>
              <w:rPr>
                <w:rFonts w:ascii="宋体" w:hAnsi="宋体" w:eastAsia="宋体" w:cs="宋体"/>
                <w:spacing w:val="1"/>
              </w:rPr>
              <w:t>可通过泄洪放空隧洞竖井下层取水口，闸门槽后</w:t>
            </w:r>
            <w:r>
              <w:rPr>
                <w:rFonts w:ascii="宋体" w:hAnsi="宋体" w:eastAsia="宋体" w:cs="宋体"/>
              </w:rPr>
              <w:t xml:space="preserve">为φ </w:t>
            </w:r>
            <w:r>
              <w:rPr>
                <w:spacing w:val="-5"/>
              </w:rPr>
              <w:t>800</w:t>
            </w:r>
            <w:r>
              <w:rPr>
                <w:spacing w:val="31"/>
              </w:rPr>
              <w:t xml:space="preserve"> </w:t>
            </w:r>
            <w:r>
              <w:rPr>
                <w:rFonts w:ascii="宋体" w:hAnsi="宋体" w:eastAsia="宋体" w:cs="宋体"/>
                <w:spacing w:val="-5"/>
              </w:rPr>
              <w:t>的生态灌溉输水钢管下放生态流量。</w:t>
            </w:r>
          </w:p>
        </w:tc>
        <w:tc>
          <w:tcPr>
            <w:tcW w:w="3822" w:type="dxa"/>
            <w:vAlign w:val="top"/>
          </w:tcPr>
          <w:p w14:paraId="6028A070">
            <w:pPr>
              <w:spacing w:line="245" w:lineRule="auto"/>
              <w:rPr>
                <w:rFonts w:ascii="Arial"/>
                <w:sz w:val="21"/>
              </w:rPr>
            </w:pPr>
          </w:p>
          <w:p w14:paraId="14FC5AD6">
            <w:pPr>
              <w:spacing w:before="68"/>
              <w:ind w:left="36" w:right="12" w:firstLine="5"/>
              <w:jc w:val="both"/>
              <w:rPr>
                <w:rFonts w:ascii="宋体" w:hAnsi="宋体" w:eastAsia="宋体" w:cs="宋体"/>
                <w:sz w:val="21"/>
                <w:szCs w:val="21"/>
              </w:rPr>
            </w:pPr>
            <w:r>
              <w:rPr>
                <w:rFonts w:ascii="宋体" w:hAnsi="宋体" w:eastAsia="宋体" w:cs="宋体"/>
                <w:spacing w:val="10"/>
                <w:sz w:val="21"/>
                <w:szCs w:val="21"/>
              </w:rPr>
              <w:t>导流泄洪放空隧洞已与主体工程同步建</w:t>
            </w:r>
            <w:r>
              <w:rPr>
                <w:rFonts w:ascii="宋体" w:hAnsi="宋体" w:eastAsia="宋体" w:cs="宋体"/>
                <w:spacing w:val="-1"/>
                <w:sz w:val="21"/>
                <w:szCs w:val="21"/>
              </w:rPr>
              <w:t>设完成，施工期通过导流泄洪放空隧洞泄</w:t>
            </w:r>
            <w:r>
              <w:rPr>
                <w:rFonts w:ascii="宋体" w:hAnsi="宋体" w:eastAsia="宋体" w:cs="宋体"/>
                <w:spacing w:val="11"/>
                <w:sz w:val="21"/>
                <w:szCs w:val="21"/>
              </w:rPr>
              <w:t>放生态流量，初期下闸蓄水对导流洞封</w:t>
            </w:r>
            <w:r>
              <w:rPr>
                <w:rFonts w:ascii="宋体" w:hAnsi="宋体" w:eastAsia="宋体" w:cs="宋体"/>
                <w:spacing w:val="-3"/>
                <w:sz w:val="21"/>
                <w:szCs w:val="21"/>
              </w:rPr>
              <w:t>堵，采用临时泵站抽水下泄生态流量。</w:t>
            </w:r>
          </w:p>
        </w:tc>
        <w:tc>
          <w:tcPr>
            <w:tcW w:w="2405" w:type="dxa"/>
            <w:tcBorders>
              <w:right w:val="single" w:color="000000" w:sz="12" w:space="0"/>
            </w:tcBorders>
            <w:vAlign w:val="top"/>
          </w:tcPr>
          <w:p w14:paraId="70D38DDD">
            <w:pPr>
              <w:spacing w:line="325" w:lineRule="auto"/>
              <w:rPr>
                <w:rFonts w:ascii="Arial"/>
                <w:sz w:val="21"/>
              </w:rPr>
            </w:pPr>
          </w:p>
          <w:p w14:paraId="2C264AB3">
            <w:pPr>
              <w:spacing w:line="326" w:lineRule="auto"/>
              <w:rPr>
                <w:rFonts w:ascii="Arial"/>
                <w:sz w:val="21"/>
              </w:rPr>
            </w:pPr>
          </w:p>
          <w:p w14:paraId="1576DEEC">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5E2B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919" w:type="dxa"/>
            <w:vMerge w:val="continue"/>
            <w:tcBorders>
              <w:top w:val="nil"/>
              <w:left w:val="single" w:color="000000" w:sz="12" w:space="0"/>
              <w:bottom w:val="nil"/>
            </w:tcBorders>
            <w:vAlign w:val="top"/>
          </w:tcPr>
          <w:p w14:paraId="1B1FD636">
            <w:pPr>
              <w:rPr>
                <w:rFonts w:ascii="Arial"/>
                <w:sz w:val="21"/>
              </w:rPr>
            </w:pPr>
          </w:p>
        </w:tc>
        <w:tc>
          <w:tcPr>
            <w:tcW w:w="3329" w:type="dxa"/>
            <w:vAlign w:val="top"/>
          </w:tcPr>
          <w:p w14:paraId="4B0C4C65">
            <w:pPr>
              <w:spacing w:before="45" w:line="222" w:lineRule="auto"/>
              <w:ind w:left="20" w:right="33" w:hanging="3"/>
              <w:rPr>
                <w:rFonts w:ascii="宋体" w:hAnsi="宋体" w:eastAsia="宋体" w:cs="宋体"/>
                <w:sz w:val="21"/>
                <w:szCs w:val="21"/>
              </w:rPr>
            </w:pPr>
            <w:r>
              <w:rPr>
                <w:rFonts w:ascii="宋体" w:hAnsi="宋体" w:eastAsia="宋体" w:cs="宋体"/>
                <w:spacing w:val="7"/>
                <w:sz w:val="21"/>
                <w:szCs w:val="21"/>
              </w:rPr>
              <w:t>运行期通过浮筒式取水口和闸门下</w:t>
            </w:r>
            <w:r>
              <w:rPr>
                <w:rFonts w:ascii="宋体" w:hAnsi="宋体" w:eastAsia="宋体" w:cs="宋体"/>
                <w:spacing w:val="-6"/>
                <w:sz w:val="21"/>
                <w:szCs w:val="21"/>
              </w:rPr>
              <w:t>泄生态流量。</w:t>
            </w:r>
          </w:p>
        </w:tc>
        <w:tc>
          <w:tcPr>
            <w:tcW w:w="4954" w:type="dxa"/>
            <w:gridSpan w:val="2"/>
            <w:vAlign w:val="top"/>
          </w:tcPr>
          <w:p w14:paraId="2B7D54FF">
            <w:pPr>
              <w:spacing w:before="45" w:line="222" w:lineRule="auto"/>
              <w:ind w:left="23" w:right="31" w:hanging="1"/>
              <w:rPr>
                <w:rFonts w:ascii="宋体" w:hAnsi="宋体" w:eastAsia="宋体" w:cs="宋体"/>
                <w:sz w:val="21"/>
                <w:szCs w:val="21"/>
              </w:rPr>
            </w:pPr>
            <w:r>
              <w:rPr>
                <w:rFonts w:ascii="宋体" w:hAnsi="宋体" w:eastAsia="宋体" w:cs="宋体"/>
                <w:spacing w:val="2"/>
                <w:sz w:val="21"/>
                <w:szCs w:val="21"/>
              </w:rPr>
              <w:t>运行期使用浮筒式取水口取水，生态灌溉输水管下泄</w:t>
            </w:r>
            <w:r>
              <w:rPr>
                <w:rFonts w:ascii="宋体" w:hAnsi="宋体" w:eastAsia="宋体" w:cs="宋体"/>
                <w:spacing w:val="-7"/>
                <w:sz w:val="21"/>
                <w:szCs w:val="21"/>
              </w:rPr>
              <w:t>生态流量。</w:t>
            </w:r>
          </w:p>
        </w:tc>
        <w:tc>
          <w:tcPr>
            <w:tcW w:w="4954" w:type="dxa"/>
            <w:vAlign w:val="top"/>
          </w:tcPr>
          <w:p w14:paraId="019FC57F">
            <w:pPr>
              <w:spacing w:before="45" w:line="222" w:lineRule="auto"/>
              <w:ind w:left="31" w:right="54" w:hanging="3"/>
              <w:rPr>
                <w:rFonts w:ascii="宋体" w:hAnsi="宋体" w:eastAsia="宋体" w:cs="宋体"/>
                <w:sz w:val="21"/>
                <w:szCs w:val="21"/>
              </w:rPr>
            </w:pPr>
            <w:r>
              <w:rPr>
                <w:rFonts w:ascii="宋体" w:hAnsi="宋体" w:eastAsia="宋体" w:cs="宋体"/>
                <w:spacing w:val="1"/>
                <w:sz w:val="21"/>
                <w:szCs w:val="21"/>
              </w:rPr>
              <w:t>初步设计阶段生态流量下泄原则与环保部要求一致。</w:t>
            </w:r>
            <w:r>
              <w:rPr>
                <w:rFonts w:ascii="宋体" w:hAnsi="宋体" w:eastAsia="宋体" w:cs="宋体"/>
                <w:spacing w:val="-3"/>
                <w:sz w:val="21"/>
                <w:szCs w:val="21"/>
              </w:rPr>
              <w:t>分层取水口型式由浮筒式改为固定分层式。</w:t>
            </w:r>
          </w:p>
        </w:tc>
        <w:tc>
          <w:tcPr>
            <w:tcW w:w="3822" w:type="dxa"/>
            <w:vAlign w:val="top"/>
          </w:tcPr>
          <w:p w14:paraId="44036E66">
            <w:pPr>
              <w:spacing w:before="45" w:line="222" w:lineRule="auto"/>
              <w:ind w:left="39" w:right="14" w:hanging="1"/>
              <w:rPr>
                <w:rFonts w:ascii="宋体" w:hAnsi="宋体" w:eastAsia="宋体" w:cs="宋体"/>
                <w:sz w:val="21"/>
                <w:szCs w:val="21"/>
              </w:rPr>
            </w:pPr>
            <w:r>
              <w:rPr>
                <w:rFonts w:ascii="宋体" w:hAnsi="宋体" w:eastAsia="宋体" w:cs="宋体"/>
                <w:spacing w:val="11"/>
                <w:sz w:val="21"/>
                <w:szCs w:val="21"/>
              </w:rPr>
              <w:t>分层取水口型式由浮筒式改为固定分层</w:t>
            </w:r>
            <w:r>
              <w:rPr>
                <w:rFonts w:ascii="宋体" w:hAnsi="宋体" w:eastAsia="宋体" w:cs="宋体"/>
                <w:spacing w:val="-3"/>
                <w:sz w:val="21"/>
                <w:szCs w:val="21"/>
              </w:rPr>
              <w:t>式，已与主体工程同步建设完成。</w:t>
            </w:r>
          </w:p>
        </w:tc>
        <w:tc>
          <w:tcPr>
            <w:tcW w:w="2405" w:type="dxa"/>
            <w:tcBorders>
              <w:right w:val="single" w:color="000000" w:sz="12" w:space="0"/>
            </w:tcBorders>
            <w:vAlign w:val="top"/>
          </w:tcPr>
          <w:p w14:paraId="732B870B">
            <w:pPr>
              <w:spacing w:before="182" w:line="220" w:lineRule="auto"/>
              <w:ind w:left="1107"/>
              <w:rPr>
                <w:rFonts w:ascii="宋体" w:hAnsi="宋体" w:eastAsia="宋体" w:cs="宋体"/>
                <w:sz w:val="21"/>
                <w:szCs w:val="21"/>
              </w:rPr>
            </w:pPr>
            <w:r>
              <w:rPr>
                <w:rFonts w:ascii="宋体" w:hAnsi="宋体" w:eastAsia="宋体" w:cs="宋体"/>
                <w:sz w:val="21"/>
                <w:szCs w:val="21"/>
              </w:rPr>
              <w:t>无</w:t>
            </w:r>
          </w:p>
        </w:tc>
      </w:tr>
      <w:tr w14:paraId="142D4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5" w:hRule="atLeast"/>
        </w:trPr>
        <w:tc>
          <w:tcPr>
            <w:tcW w:w="919" w:type="dxa"/>
            <w:vMerge w:val="continue"/>
            <w:tcBorders>
              <w:top w:val="nil"/>
              <w:left w:val="single" w:color="000000" w:sz="12" w:space="0"/>
            </w:tcBorders>
            <w:vAlign w:val="top"/>
          </w:tcPr>
          <w:p w14:paraId="2C63EB81">
            <w:pPr>
              <w:rPr>
                <w:rFonts w:ascii="Arial"/>
                <w:sz w:val="21"/>
              </w:rPr>
            </w:pPr>
          </w:p>
        </w:tc>
        <w:tc>
          <w:tcPr>
            <w:tcW w:w="3329" w:type="dxa"/>
            <w:vAlign w:val="top"/>
          </w:tcPr>
          <w:p w14:paraId="13A1BF54">
            <w:pPr>
              <w:spacing w:line="385" w:lineRule="auto"/>
              <w:rPr>
                <w:rFonts w:ascii="Arial"/>
                <w:sz w:val="21"/>
              </w:rPr>
            </w:pPr>
          </w:p>
          <w:p w14:paraId="7A29FAB1">
            <w:pPr>
              <w:spacing w:before="68" w:line="242" w:lineRule="auto"/>
              <w:ind w:left="20" w:right="31" w:firstLine="17"/>
              <w:rPr>
                <w:rFonts w:ascii="宋体" w:hAnsi="宋体" w:eastAsia="宋体" w:cs="宋体"/>
                <w:sz w:val="21"/>
                <w:szCs w:val="21"/>
              </w:rPr>
            </w:pPr>
            <w:r>
              <w:rPr>
                <w:rFonts w:ascii="宋体" w:hAnsi="宋体" w:eastAsia="宋体" w:cs="宋体"/>
                <w:spacing w:val="-7"/>
                <w:sz w:val="21"/>
                <w:szCs w:val="21"/>
              </w:rPr>
              <w:t>同步安装生态流量在线监测系统，进</w:t>
            </w:r>
            <w:r>
              <w:rPr>
                <w:rFonts w:ascii="宋体" w:hAnsi="宋体" w:eastAsia="宋体" w:cs="宋体"/>
                <w:spacing w:val="-6"/>
                <w:sz w:val="21"/>
                <w:szCs w:val="21"/>
              </w:rPr>
              <w:t>行实时监测。</w:t>
            </w:r>
          </w:p>
        </w:tc>
        <w:tc>
          <w:tcPr>
            <w:tcW w:w="4954" w:type="dxa"/>
            <w:gridSpan w:val="2"/>
            <w:vAlign w:val="top"/>
          </w:tcPr>
          <w:p w14:paraId="0A737D5E">
            <w:pPr>
              <w:pStyle w:val="6"/>
              <w:spacing w:before="45" w:line="232" w:lineRule="auto"/>
              <w:ind w:left="20" w:right="24"/>
              <w:jc w:val="both"/>
              <w:rPr>
                <w:rFonts w:ascii="宋体" w:hAnsi="宋体" w:eastAsia="宋体" w:cs="宋体"/>
              </w:rPr>
            </w:pPr>
            <w:r>
              <w:rPr>
                <w:rFonts w:ascii="宋体" w:hAnsi="宋体" w:eastAsia="宋体" w:cs="宋体"/>
                <w:spacing w:val="2"/>
              </w:rPr>
              <w:t>输水管内安装一台流量计，在钢管出口设锥形消能工</w:t>
            </w:r>
            <w:r>
              <w:rPr>
                <w:rFonts w:ascii="宋体" w:hAnsi="宋体" w:eastAsia="宋体" w:cs="宋体"/>
                <w:spacing w:val="-6"/>
              </w:rPr>
              <w:t>作阀和事故检修阀各一套，通过阀门控制下泄流量。在</w:t>
            </w:r>
            <w:r>
              <w:rPr>
                <w:rFonts w:ascii="宋体" w:hAnsi="宋体" w:eastAsia="宋体" w:cs="宋体"/>
                <w:spacing w:val="-2"/>
              </w:rPr>
              <w:t>车马碧水库鱼道进口下游</w:t>
            </w:r>
            <w:r>
              <w:rPr>
                <w:rFonts w:ascii="宋体" w:hAnsi="宋体" w:eastAsia="宋体" w:cs="宋体"/>
                <w:spacing w:val="-34"/>
              </w:rPr>
              <w:t xml:space="preserve"> </w:t>
            </w:r>
            <w:r>
              <w:rPr>
                <w:spacing w:val="-2"/>
              </w:rPr>
              <w:t>50m</w:t>
            </w:r>
            <w:r>
              <w:rPr>
                <w:spacing w:val="38"/>
              </w:rPr>
              <w:t xml:space="preserve"> </w:t>
            </w:r>
            <w:r>
              <w:rPr>
                <w:rFonts w:ascii="宋体" w:hAnsi="宋体" w:eastAsia="宋体" w:cs="宋体"/>
                <w:spacing w:val="-2"/>
              </w:rPr>
              <w:t>以及石仙人拦河坝鱼道</w:t>
            </w:r>
            <w:r>
              <w:rPr>
                <w:rFonts w:ascii="宋体" w:hAnsi="宋体" w:eastAsia="宋体" w:cs="宋体"/>
                <w:spacing w:val="-1"/>
              </w:rPr>
              <w:t>进口下游</w:t>
            </w:r>
            <w:r>
              <w:rPr>
                <w:rFonts w:ascii="宋体" w:hAnsi="宋体" w:eastAsia="宋体" w:cs="宋体"/>
                <w:spacing w:val="-34"/>
              </w:rPr>
              <w:t xml:space="preserve"> </w:t>
            </w:r>
            <w:r>
              <w:rPr>
                <w:spacing w:val="-1"/>
              </w:rPr>
              <w:t>50m</w:t>
            </w:r>
            <w:r>
              <w:rPr>
                <w:spacing w:val="20"/>
              </w:rPr>
              <w:t xml:space="preserve"> </w:t>
            </w:r>
            <w:r>
              <w:rPr>
                <w:rFonts w:ascii="宋体" w:hAnsi="宋体" w:eastAsia="宋体" w:cs="宋体"/>
                <w:spacing w:val="-1"/>
              </w:rPr>
              <w:t>处，分别布置一个河道生态</w:t>
            </w:r>
            <w:r>
              <w:rPr>
                <w:rFonts w:ascii="宋体" w:hAnsi="宋体" w:eastAsia="宋体" w:cs="宋体"/>
                <w:spacing w:val="-2"/>
              </w:rPr>
              <w:t>流量在线监</w:t>
            </w:r>
            <w:r>
              <w:rPr>
                <w:rFonts w:ascii="宋体" w:hAnsi="宋体" w:eastAsia="宋体" w:cs="宋体"/>
                <w:spacing w:val="-3"/>
              </w:rPr>
              <w:t>控装置，并与相关监管部门联网。</w:t>
            </w:r>
          </w:p>
        </w:tc>
        <w:tc>
          <w:tcPr>
            <w:tcW w:w="4954" w:type="dxa"/>
            <w:vAlign w:val="top"/>
          </w:tcPr>
          <w:p w14:paraId="515FD6E9">
            <w:pPr>
              <w:spacing w:before="45" w:line="232" w:lineRule="auto"/>
              <w:ind w:left="27" w:right="17" w:firstLine="4"/>
              <w:jc w:val="both"/>
              <w:rPr>
                <w:rFonts w:ascii="宋体" w:hAnsi="宋体" w:eastAsia="宋体" w:cs="宋体"/>
                <w:sz w:val="21"/>
                <w:szCs w:val="21"/>
              </w:rPr>
            </w:pPr>
            <w:r>
              <w:rPr>
                <w:rFonts w:ascii="宋体" w:hAnsi="宋体" w:eastAsia="宋体" w:cs="宋体"/>
                <w:spacing w:val="2"/>
                <w:sz w:val="21"/>
                <w:szCs w:val="21"/>
              </w:rPr>
              <w:t>为监控运行期河道生态流量下泄，在车马碧水库泄洪放空隧洞出口生态放流管及石仙人拦河坝鱼道生态放</w:t>
            </w:r>
            <w:r>
              <w:rPr>
                <w:rFonts w:ascii="宋体" w:hAnsi="宋体" w:eastAsia="宋体" w:cs="宋体"/>
                <w:spacing w:val="-6"/>
                <w:sz w:val="21"/>
                <w:szCs w:val="21"/>
              </w:rPr>
              <w:t>流管处，分别布置一个生态流量在线监控装置，并与相</w:t>
            </w:r>
            <w:r>
              <w:rPr>
                <w:rFonts w:ascii="宋体" w:hAnsi="宋体" w:eastAsia="宋体" w:cs="宋体"/>
                <w:spacing w:val="3"/>
                <w:sz w:val="21"/>
                <w:szCs w:val="21"/>
              </w:rPr>
              <w:t>关监管部门联网。初拟采用河道生态流量监测系</w:t>
            </w:r>
            <w:r>
              <w:rPr>
                <w:rFonts w:ascii="宋体" w:hAnsi="宋体" w:eastAsia="宋体" w:cs="宋体"/>
                <w:spacing w:val="2"/>
                <w:sz w:val="21"/>
                <w:szCs w:val="21"/>
              </w:rPr>
              <w:t>统—</w:t>
            </w:r>
            <w:r>
              <w:rPr>
                <w:rFonts w:ascii="宋体" w:hAnsi="宋体" w:eastAsia="宋体" w:cs="宋体"/>
                <w:sz w:val="21"/>
                <w:szCs w:val="21"/>
              </w:rPr>
              <w:t xml:space="preserve"> </w:t>
            </w:r>
            <w:r>
              <w:rPr>
                <w:rFonts w:ascii="宋体" w:hAnsi="宋体" w:eastAsia="宋体" w:cs="宋体"/>
                <w:spacing w:val="-1"/>
                <w:sz w:val="21"/>
                <w:szCs w:val="21"/>
              </w:rPr>
              <w:t>—超声波流量计进行在线监测</w:t>
            </w:r>
          </w:p>
        </w:tc>
        <w:tc>
          <w:tcPr>
            <w:tcW w:w="3822" w:type="dxa"/>
            <w:vAlign w:val="top"/>
          </w:tcPr>
          <w:p w14:paraId="427A170A">
            <w:pPr>
              <w:spacing w:line="260" w:lineRule="auto"/>
              <w:rPr>
                <w:rFonts w:ascii="Arial"/>
                <w:sz w:val="21"/>
              </w:rPr>
            </w:pPr>
          </w:p>
          <w:p w14:paraId="4BB32CDA">
            <w:pPr>
              <w:spacing w:line="260" w:lineRule="auto"/>
              <w:rPr>
                <w:rFonts w:ascii="Arial"/>
                <w:sz w:val="21"/>
              </w:rPr>
            </w:pPr>
          </w:p>
          <w:p w14:paraId="0984E9E3">
            <w:pPr>
              <w:spacing w:before="69" w:line="220" w:lineRule="auto"/>
              <w:ind w:left="76"/>
              <w:rPr>
                <w:rFonts w:ascii="宋体" w:hAnsi="宋体" w:eastAsia="宋体" w:cs="宋体"/>
                <w:sz w:val="21"/>
                <w:szCs w:val="21"/>
              </w:rPr>
            </w:pPr>
            <w:r>
              <w:rPr>
                <w:rFonts w:ascii="宋体" w:hAnsi="宋体" w:eastAsia="宋体" w:cs="宋体"/>
                <w:spacing w:val="-5"/>
                <w:sz w:val="21"/>
                <w:szCs w:val="21"/>
              </w:rPr>
              <w:t>目前已安装生态流量在线监测装置。</w:t>
            </w:r>
          </w:p>
        </w:tc>
        <w:tc>
          <w:tcPr>
            <w:tcW w:w="2405" w:type="dxa"/>
            <w:tcBorders>
              <w:right w:val="single" w:color="000000" w:sz="12" w:space="0"/>
            </w:tcBorders>
            <w:vAlign w:val="top"/>
          </w:tcPr>
          <w:p w14:paraId="29435EFA">
            <w:pPr>
              <w:spacing w:line="384" w:lineRule="auto"/>
              <w:rPr>
                <w:rFonts w:ascii="Arial"/>
                <w:sz w:val="21"/>
              </w:rPr>
            </w:pPr>
          </w:p>
          <w:p w14:paraId="766BA17A">
            <w:pPr>
              <w:spacing w:before="69" w:line="243" w:lineRule="auto"/>
              <w:ind w:left="66" w:right="15" w:hanging="17"/>
              <w:rPr>
                <w:rFonts w:ascii="宋体" w:hAnsi="宋体" w:eastAsia="宋体" w:cs="宋体"/>
                <w:sz w:val="21"/>
                <w:szCs w:val="21"/>
              </w:rPr>
            </w:pPr>
            <w:r>
              <w:rPr>
                <w:rFonts w:ascii="宋体" w:hAnsi="宋体" w:eastAsia="宋体" w:cs="宋体"/>
                <w:sz w:val="21"/>
                <w:szCs w:val="21"/>
              </w:rPr>
              <w:t>下阶段完成与相关监管部</w:t>
            </w:r>
            <w:r>
              <w:rPr>
                <w:rFonts w:ascii="宋体" w:hAnsi="宋体" w:eastAsia="宋体" w:cs="宋体"/>
                <w:spacing w:val="-14"/>
                <w:sz w:val="21"/>
                <w:szCs w:val="21"/>
              </w:rPr>
              <w:t>门联网。</w:t>
            </w:r>
          </w:p>
        </w:tc>
      </w:tr>
      <w:tr w14:paraId="09A55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19" w:type="dxa"/>
            <w:vMerge w:val="restart"/>
            <w:tcBorders>
              <w:left w:val="single" w:color="000000" w:sz="12" w:space="0"/>
              <w:bottom w:val="nil"/>
            </w:tcBorders>
            <w:vAlign w:val="top"/>
          </w:tcPr>
          <w:p w14:paraId="3A3F9123">
            <w:pPr>
              <w:spacing w:line="343" w:lineRule="auto"/>
              <w:rPr>
                <w:rFonts w:ascii="Arial"/>
                <w:sz w:val="21"/>
              </w:rPr>
            </w:pPr>
          </w:p>
          <w:p w14:paraId="41B1AAF7">
            <w:pPr>
              <w:spacing w:line="343" w:lineRule="auto"/>
              <w:rPr>
                <w:rFonts w:ascii="Arial"/>
                <w:sz w:val="21"/>
              </w:rPr>
            </w:pPr>
          </w:p>
          <w:p w14:paraId="6AF89892">
            <w:pPr>
              <w:spacing w:before="68" w:line="241" w:lineRule="auto"/>
              <w:ind w:left="19" w:right="38" w:firstLine="2"/>
              <w:jc w:val="both"/>
              <w:rPr>
                <w:rFonts w:ascii="宋体" w:hAnsi="宋体" w:eastAsia="宋体" w:cs="宋体"/>
                <w:sz w:val="21"/>
                <w:szCs w:val="21"/>
              </w:rPr>
            </w:pPr>
            <w:r>
              <w:rPr>
                <w:rFonts w:ascii="宋体" w:hAnsi="宋体" w:eastAsia="宋体" w:cs="宋体"/>
                <w:spacing w:val="-1"/>
                <w:sz w:val="21"/>
                <w:szCs w:val="21"/>
              </w:rPr>
              <w:t>落实分层</w:t>
            </w:r>
            <w:r>
              <w:rPr>
                <w:rFonts w:ascii="宋体" w:hAnsi="宋体" w:eastAsia="宋体" w:cs="宋体"/>
                <w:spacing w:val="-9"/>
                <w:sz w:val="21"/>
                <w:szCs w:val="21"/>
              </w:rPr>
              <w:t>取</w:t>
            </w:r>
            <w:r>
              <w:rPr>
                <w:rFonts w:ascii="宋体" w:hAnsi="宋体" w:eastAsia="宋体" w:cs="宋体"/>
                <w:spacing w:val="14"/>
                <w:sz w:val="21"/>
                <w:szCs w:val="21"/>
              </w:rPr>
              <w:t xml:space="preserve"> </w:t>
            </w:r>
            <w:r>
              <w:rPr>
                <w:rFonts w:ascii="宋体" w:hAnsi="宋体" w:eastAsia="宋体" w:cs="宋体"/>
                <w:spacing w:val="-9"/>
                <w:sz w:val="21"/>
                <w:szCs w:val="21"/>
              </w:rPr>
              <w:t>水</w:t>
            </w:r>
            <w:r>
              <w:rPr>
                <w:rFonts w:ascii="宋体" w:hAnsi="宋体" w:eastAsia="宋体" w:cs="宋体"/>
                <w:spacing w:val="13"/>
                <w:sz w:val="21"/>
                <w:szCs w:val="21"/>
              </w:rPr>
              <w:t xml:space="preserve"> </w:t>
            </w:r>
            <w:r>
              <w:rPr>
                <w:rFonts w:ascii="宋体" w:hAnsi="宋体" w:eastAsia="宋体" w:cs="宋体"/>
                <w:spacing w:val="-9"/>
                <w:sz w:val="21"/>
                <w:szCs w:val="21"/>
              </w:rPr>
              <w:t>措</w:t>
            </w:r>
            <w:r>
              <w:rPr>
                <w:rFonts w:ascii="宋体" w:hAnsi="宋体" w:eastAsia="宋体" w:cs="宋体"/>
                <w:sz w:val="21"/>
                <w:szCs w:val="21"/>
              </w:rPr>
              <w:t>施，减缓低温水影响</w:t>
            </w:r>
          </w:p>
        </w:tc>
        <w:tc>
          <w:tcPr>
            <w:tcW w:w="3329" w:type="dxa"/>
            <w:vMerge w:val="restart"/>
            <w:tcBorders>
              <w:bottom w:val="nil"/>
            </w:tcBorders>
            <w:vAlign w:val="top"/>
          </w:tcPr>
          <w:p w14:paraId="76023F1A">
            <w:pPr>
              <w:spacing w:line="401" w:lineRule="auto"/>
              <w:rPr>
                <w:rFonts w:ascii="Arial"/>
                <w:sz w:val="21"/>
              </w:rPr>
            </w:pPr>
          </w:p>
          <w:p w14:paraId="4E55ED21">
            <w:pPr>
              <w:pStyle w:val="6"/>
              <w:spacing w:before="68"/>
              <w:ind w:left="16" w:right="31" w:firstLine="3"/>
              <w:jc w:val="both"/>
              <w:rPr>
                <w:rFonts w:ascii="宋体" w:hAnsi="宋体" w:eastAsia="宋体" w:cs="宋体"/>
              </w:rPr>
            </w:pPr>
            <w:r>
              <w:rPr>
                <w:rFonts w:ascii="宋体" w:hAnsi="宋体" w:eastAsia="宋体" w:cs="宋体"/>
                <w:spacing w:val="-5"/>
              </w:rPr>
              <w:t xml:space="preserve">水库 </w:t>
            </w:r>
            <w:r>
              <w:rPr>
                <w:spacing w:val="-5"/>
              </w:rPr>
              <w:t>3</w:t>
            </w:r>
            <w:r>
              <w:rPr>
                <w:spacing w:val="51"/>
                <w:w w:val="101"/>
              </w:rPr>
              <w:t xml:space="preserve"> </w:t>
            </w:r>
            <w:r>
              <w:rPr>
                <w:rFonts w:ascii="宋体" w:hAnsi="宋体" w:eastAsia="宋体" w:cs="宋体"/>
                <w:spacing w:val="-5"/>
              </w:rPr>
              <w:t xml:space="preserve">月至 </w:t>
            </w:r>
            <w:r>
              <w:rPr>
                <w:spacing w:val="-5"/>
              </w:rPr>
              <w:t>7</w:t>
            </w:r>
            <w:r>
              <w:rPr>
                <w:spacing w:val="45"/>
                <w:w w:val="101"/>
              </w:rPr>
              <w:t xml:space="preserve"> </w:t>
            </w:r>
            <w:r>
              <w:rPr>
                <w:rFonts w:ascii="宋体" w:hAnsi="宋体" w:eastAsia="宋体" w:cs="宋体"/>
                <w:spacing w:val="-5"/>
              </w:rPr>
              <w:t>月存在下泄低温水影</w:t>
            </w:r>
            <w:r>
              <w:rPr>
                <w:rFonts w:ascii="宋体" w:hAnsi="宋体" w:eastAsia="宋体" w:cs="宋体"/>
                <w:spacing w:val="-6"/>
              </w:rPr>
              <w:t>响，下阶段需对分层取水专项设计深入研究，分层取水设施应与主体工程</w:t>
            </w:r>
            <w:r>
              <w:rPr>
                <w:rFonts w:ascii="宋体" w:hAnsi="宋体" w:eastAsia="宋体" w:cs="宋体"/>
                <w:spacing w:val="-7"/>
              </w:rPr>
              <w:t>同步建成。</w:t>
            </w:r>
          </w:p>
        </w:tc>
        <w:tc>
          <w:tcPr>
            <w:tcW w:w="4954" w:type="dxa"/>
            <w:gridSpan w:val="2"/>
            <w:vAlign w:val="top"/>
          </w:tcPr>
          <w:p w14:paraId="0B021974">
            <w:pPr>
              <w:pStyle w:val="6"/>
              <w:spacing w:before="51" w:line="229" w:lineRule="auto"/>
              <w:ind w:left="17" w:right="24" w:firstLine="6"/>
              <w:jc w:val="both"/>
              <w:rPr>
                <w:rFonts w:ascii="宋体" w:hAnsi="宋体" w:eastAsia="宋体" w:cs="宋体"/>
              </w:rPr>
            </w:pPr>
            <w:r>
              <w:rPr>
                <w:rFonts w:ascii="宋体" w:hAnsi="宋体" w:eastAsia="宋体" w:cs="宋体"/>
                <w:spacing w:val="2"/>
              </w:rPr>
              <w:t>分别预测固定式分层取水口方案和浮筒式取水口方案</w:t>
            </w:r>
            <w:r>
              <w:rPr>
                <w:rFonts w:ascii="宋体" w:hAnsi="宋体" w:eastAsia="宋体" w:cs="宋体"/>
                <w:spacing w:val="-6"/>
              </w:rPr>
              <w:t>水温改善效果，均可以起到良好的水温改善效果，因效果更优和灵活性，推荐坝前取水口采用“浮筒式取水口</w:t>
            </w:r>
            <w:r>
              <w:rPr>
                <w:spacing w:val="-4"/>
              </w:rPr>
              <w:t>+</w:t>
            </w:r>
            <w:r>
              <w:rPr>
                <w:rFonts w:ascii="宋体" w:hAnsi="宋体" w:eastAsia="宋体" w:cs="宋体"/>
                <w:spacing w:val="-4"/>
              </w:rPr>
              <w:t>固定取水口”方案。</w:t>
            </w:r>
          </w:p>
        </w:tc>
        <w:tc>
          <w:tcPr>
            <w:tcW w:w="4954" w:type="dxa"/>
            <w:vAlign w:val="top"/>
          </w:tcPr>
          <w:p w14:paraId="2F3FF34D">
            <w:pPr>
              <w:pStyle w:val="6"/>
              <w:spacing w:before="51" w:line="229" w:lineRule="auto"/>
              <w:ind w:left="31" w:right="17" w:firstLine="22"/>
              <w:jc w:val="both"/>
              <w:rPr>
                <w:rFonts w:ascii="宋体" w:hAnsi="宋体" w:eastAsia="宋体" w:cs="宋体"/>
              </w:rPr>
            </w:pPr>
            <w:r>
              <w:rPr>
                <w:rFonts w:ascii="宋体" w:hAnsi="宋体" w:eastAsia="宋体" w:cs="宋体"/>
                <w:spacing w:val="-7"/>
              </w:rPr>
              <w:t>由于浮筒式取水口下接管道的管材对刚度、韧性、伸缩</w:t>
            </w:r>
            <w:r>
              <w:rPr>
                <w:rFonts w:ascii="宋体" w:hAnsi="宋体" w:eastAsia="宋体" w:cs="宋体"/>
                <w:spacing w:val="-1"/>
              </w:rPr>
              <w:t>性等要求较高，下放大流量时所需的</w:t>
            </w:r>
            <w:r>
              <w:rPr>
                <w:rFonts w:ascii="宋体" w:hAnsi="宋体" w:eastAsia="宋体" w:cs="宋体"/>
                <w:spacing w:val="-49"/>
              </w:rPr>
              <w:t xml:space="preserve"> </w:t>
            </w:r>
            <w:r>
              <w:rPr>
                <w:spacing w:val="-1"/>
              </w:rPr>
              <w:t>DN8</w:t>
            </w:r>
            <w:r>
              <w:rPr>
                <w:spacing w:val="-2"/>
              </w:rPr>
              <w:t xml:space="preserve">00 </w:t>
            </w:r>
            <w:r>
              <w:rPr>
                <w:rFonts w:ascii="宋体" w:hAnsi="宋体" w:eastAsia="宋体" w:cs="宋体"/>
                <w:spacing w:val="-2"/>
              </w:rPr>
              <w:t>不锈钢波</w:t>
            </w:r>
            <w:r>
              <w:rPr>
                <w:rFonts w:ascii="宋体" w:hAnsi="宋体" w:eastAsia="宋体" w:cs="宋体"/>
                <w:spacing w:val="-6"/>
              </w:rPr>
              <w:t>纹软管目前国内无法生产，存在较大技术问题，</w:t>
            </w:r>
            <w:r>
              <w:rPr>
                <w:rFonts w:ascii="宋体" w:hAnsi="宋体" w:eastAsia="宋体" w:cs="宋体"/>
                <w:spacing w:val="-7"/>
              </w:rPr>
              <w:t>故推荐</w:t>
            </w:r>
            <w:r>
              <w:rPr>
                <w:rFonts w:ascii="宋体" w:hAnsi="宋体" w:eastAsia="宋体" w:cs="宋体"/>
                <w:spacing w:val="-4"/>
              </w:rPr>
              <w:t>取水口采用固定式取水口。</w:t>
            </w:r>
          </w:p>
        </w:tc>
        <w:tc>
          <w:tcPr>
            <w:tcW w:w="3822" w:type="dxa"/>
            <w:vAlign w:val="top"/>
          </w:tcPr>
          <w:p w14:paraId="6F8E353D">
            <w:pPr>
              <w:spacing w:line="252" w:lineRule="auto"/>
              <w:rPr>
                <w:rFonts w:ascii="Arial"/>
                <w:sz w:val="21"/>
              </w:rPr>
            </w:pPr>
          </w:p>
          <w:p w14:paraId="7271B6B7">
            <w:pPr>
              <w:spacing w:before="68" w:line="242" w:lineRule="auto"/>
              <w:ind w:left="35" w:right="12"/>
              <w:rPr>
                <w:rFonts w:ascii="宋体" w:hAnsi="宋体" w:eastAsia="宋体" w:cs="宋体"/>
                <w:sz w:val="21"/>
                <w:szCs w:val="21"/>
              </w:rPr>
            </w:pPr>
            <w:r>
              <w:rPr>
                <w:rFonts w:ascii="宋体" w:hAnsi="宋体" w:eastAsia="宋体" w:cs="宋体"/>
                <w:spacing w:val="-1"/>
                <w:sz w:val="21"/>
                <w:szCs w:val="21"/>
              </w:rPr>
              <w:t>采用两层分层式固定取水口，已与主体工</w:t>
            </w:r>
            <w:r>
              <w:rPr>
                <w:rFonts w:ascii="宋体" w:hAnsi="宋体" w:eastAsia="宋体" w:cs="宋体"/>
                <w:spacing w:val="-5"/>
                <w:sz w:val="21"/>
                <w:szCs w:val="21"/>
              </w:rPr>
              <w:t>程同步建设完成。</w:t>
            </w:r>
          </w:p>
        </w:tc>
        <w:tc>
          <w:tcPr>
            <w:tcW w:w="2405" w:type="dxa"/>
            <w:tcBorders>
              <w:right w:val="single" w:color="000000" w:sz="12" w:space="0"/>
            </w:tcBorders>
            <w:vAlign w:val="top"/>
          </w:tcPr>
          <w:p w14:paraId="1E3021A2">
            <w:pPr>
              <w:spacing w:line="389" w:lineRule="auto"/>
              <w:rPr>
                <w:rFonts w:ascii="Arial"/>
                <w:sz w:val="21"/>
              </w:rPr>
            </w:pPr>
          </w:p>
          <w:p w14:paraId="735F6AF4">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4A3B7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919" w:type="dxa"/>
            <w:vMerge w:val="continue"/>
            <w:tcBorders>
              <w:top w:val="nil"/>
              <w:left w:val="single" w:color="000000" w:sz="12" w:space="0"/>
              <w:bottom w:val="nil"/>
            </w:tcBorders>
            <w:vAlign w:val="top"/>
          </w:tcPr>
          <w:p w14:paraId="041EE138">
            <w:pPr>
              <w:rPr>
                <w:rFonts w:ascii="Arial"/>
                <w:sz w:val="21"/>
              </w:rPr>
            </w:pPr>
          </w:p>
        </w:tc>
        <w:tc>
          <w:tcPr>
            <w:tcW w:w="3329" w:type="dxa"/>
            <w:vMerge w:val="continue"/>
            <w:tcBorders>
              <w:top w:val="nil"/>
            </w:tcBorders>
            <w:vAlign w:val="top"/>
          </w:tcPr>
          <w:p w14:paraId="664AB5FA">
            <w:pPr>
              <w:rPr>
                <w:rFonts w:ascii="Arial"/>
                <w:sz w:val="21"/>
              </w:rPr>
            </w:pPr>
          </w:p>
        </w:tc>
        <w:tc>
          <w:tcPr>
            <w:tcW w:w="4954" w:type="dxa"/>
            <w:gridSpan w:val="2"/>
            <w:vAlign w:val="top"/>
          </w:tcPr>
          <w:p w14:paraId="082CA683">
            <w:pPr>
              <w:pStyle w:val="6"/>
              <w:spacing w:before="55" w:line="225" w:lineRule="auto"/>
              <w:ind w:left="23"/>
              <w:jc w:val="both"/>
              <w:rPr>
                <w:rFonts w:ascii="宋体" w:hAnsi="宋体" w:eastAsia="宋体" w:cs="宋体"/>
              </w:rPr>
            </w:pPr>
            <w:r>
              <w:rPr>
                <w:rFonts w:ascii="宋体" w:hAnsi="宋体" w:eastAsia="宋体" w:cs="宋体"/>
                <w:spacing w:val="-3"/>
              </w:rPr>
              <w:t xml:space="preserve">库中长距离输水隧洞采用 </w:t>
            </w:r>
            <w:r>
              <w:rPr>
                <w:spacing w:val="-3"/>
              </w:rPr>
              <w:t>2</w:t>
            </w:r>
            <w:r>
              <w:rPr>
                <w:spacing w:val="51"/>
              </w:rPr>
              <w:t xml:space="preserve"> </w:t>
            </w:r>
            <w:r>
              <w:rPr>
                <w:rFonts w:ascii="宋体" w:hAnsi="宋体" w:eastAsia="宋体" w:cs="宋体"/>
                <w:spacing w:val="-3"/>
              </w:rPr>
              <w:t>层分层取水，取水口底板</w:t>
            </w:r>
            <w:r>
              <w:rPr>
                <w:rFonts w:ascii="宋体" w:hAnsi="宋体" w:eastAsia="宋体" w:cs="宋体"/>
                <w:spacing w:val="-7"/>
              </w:rPr>
              <w:t>高程分别为</w:t>
            </w:r>
            <w:r>
              <w:rPr>
                <w:rFonts w:ascii="宋体" w:hAnsi="宋体" w:eastAsia="宋体" w:cs="宋体"/>
                <w:spacing w:val="-13"/>
              </w:rPr>
              <w:t xml:space="preserve"> </w:t>
            </w:r>
            <w:r>
              <w:rPr>
                <w:spacing w:val="-7"/>
              </w:rPr>
              <w:t>1911.50m</w:t>
            </w:r>
            <w:r>
              <w:rPr>
                <w:rFonts w:ascii="宋体" w:hAnsi="宋体" w:eastAsia="宋体" w:cs="宋体"/>
                <w:spacing w:val="-7"/>
              </w:rPr>
              <w:t>、</w:t>
            </w:r>
            <w:r>
              <w:rPr>
                <w:spacing w:val="-7"/>
              </w:rPr>
              <w:t>1924.50m</w:t>
            </w:r>
            <w:r>
              <w:rPr>
                <w:rFonts w:ascii="宋体" w:hAnsi="宋体" w:eastAsia="宋体" w:cs="宋体"/>
                <w:spacing w:val="-7"/>
              </w:rPr>
              <w:t>。取水口前设拦污栅，</w:t>
            </w:r>
            <w:r>
              <w:rPr>
                <w:rFonts w:ascii="宋体" w:hAnsi="宋体" w:eastAsia="宋体" w:cs="宋体"/>
                <w:spacing w:val="-4"/>
              </w:rPr>
              <w:t>两个取水口各设置一道平板检修闸门。</w:t>
            </w:r>
          </w:p>
        </w:tc>
        <w:tc>
          <w:tcPr>
            <w:tcW w:w="4954" w:type="dxa"/>
            <w:vAlign w:val="top"/>
          </w:tcPr>
          <w:p w14:paraId="020F8789">
            <w:pPr>
              <w:spacing w:line="257" w:lineRule="auto"/>
              <w:rPr>
                <w:rFonts w:ascii="Arial"/>
                <w:sz w:val="21"/>
              </w:rPr>
            </w:pPr>
          </w:p>
          <w:p w14:paraId="1290F710">
            <w:pPr>
              <w:spacing w:before="68" w:line="220" w:lineRule="auto"/>
              <w:ind w:left="33"/>
              <w:rPr>
                <w:rFonts w:ascii="宋体" w:hAnsi="宋体" w:eastAsia="宋体" w:cs="宋体"/>
                <w:sz w:val="21"/>
                <w:szCs w:val="21"/>
              </w:rPr>
            </w:pPr>
            <w:r>
              <w:rPr>
                <w:rFonts w:ascii="宋体" w:hAnsi="宋体" w:eastAsia="宋体" w:cs="宋体"/>
                <w:spacing w:val="-4"/>
                <w:sz w:val="21"/>
                <w:szCs w:val="21"/>
              </w:rPr>
              <w:t>与环评阶段一致。</w:t>
            </w:r>
          </w:p>
        </w:tc>
        <w:tc>
          <w:tcPr>
            <w:tcW w:w="3822" w:type="dxa"/>
            <w:vAlign w:val="top"/>
          </w:tcPr>
          <w:p w14:paraId="6BB4E81C">
            <w:pPr>
              <w:spacing w:before="189" w:line="242" w:lineRule="auto"/>
              <w:ind w:left="35" w:right="12"/>
              <w:rPr>
                <w:rFonts w:ascii="宋体" w:hAnsi="宋体" w:eastAsia="宋体" w:cs="宋体"/>
                <w:sz w:val="21"/>
                <w:szCs w:val="21"/>
              </w:rPr>
            </w:pPr>
            <w:r>
              <w:rPr>
                <w:rFonts w:ascii="宋体" w:hAnsi="宋体" w:eastAsia="宋体" w:cs="宋体"/>
                <w:spacing w:val="-1"/>
                <w:sz w:val="21"/>
                <w:szCs w:val="21"/>
              </w:rPr>
              <w:t>采用两层分层式固定取水口，已与主体工</w:t>
            </w:r>
            <w:r>
              <w:rPr>
                <w:rFonts w:ascii="宋体" w:hAnsi="宋体" w:eastAsia="宋体" w:cs="宋体"/>
                <w:spacing w:val="-5"/>
                <w:sz w:val="21"/>
                <w:szCs w:val="21"/>
              </w:rPr>
              <w:t>程同步建设完成。</w:t>
            </w:r>
          </w:p>
        </w:tc>
        <w:tc>
          <w:tcPr>
            <w:tcW w:w="2405" w:type="dxa"/>
            <w:tcBorders>
              <w:right w:val="single" w:color="000000" w:sz="12" w:space="0"/>
            </w:tcBorders>
            <w:vAlign w:val="top"/>
          </w:tcPr>
          <w:p w14:paraId="6584000F">
            <w:pPr>
              <w:spacing w:line="257" w:lineRule="auto"/>
              <w:rPr>
                <w:rFonts w:ascii="Arial"/>
                <w:sz w:val="21"/>
              </w:rPr>
            </w:pPr>
          </w:p>
          <w:p w14:paraId="36D6BEB3">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26520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919" w:type="dxa"/>
            <w:vMerge w:val="continue"/>
            <w:tcBorders>
              <w:top w:val="nil"/>
              <w:left w:val="single" w:color="000000" w:sz="12" w:space="0"/>
            </w:tcBorders>
            <w:vAlign w:val="top"/>
          </w:tcPr>
          <w:p w14:paraId="161D557A">
            <w:pPr>
              <w:rPr>
                <w:rFonts w:ascii="Arial"/>
                <w:sz w:val="21"/>
              </w:rPr>
            </w:pPr>
          </w:p>
        </w:tc>
        <w:tc>
          <w:tcPr>
            <w:tcW w:w="3329" w:type="dxa"/>
            <w:vAlign w:val="top"/>
          </w:tcPr>
          <w:p w14:paraId="44FC5990">
            <w:pPr>
              <w:spacing w:before="192" w:line="242" w:lineRule="auto"/>
              <w:ind w:left="17" w:right="33"/>
              <w:rPr>
                <w:rFonts w:ascii="宋体" w:hAnsi="宋体" w:eastAsia="宋体" w:cs="宋体"/>
                <w:sz w:val="21"/>
                <w:szCs w:val="21"/>
              </w:rPr>
            </w:pPr>
            <w:r>
              <w:rPr>
                <w:rFonts w:ascii="宋体" w:hAnsi="宋体" w:eastAsia="宋体" w:cs="宋体"/>
                <w:spacing w:val="7"/>
                <w:sz w:val="21"/>
                <w:szCs w:val="21"/>
              </w:rPr>
              <w:t>运行期对库区及大坝下游水温开展</w:t>
            </w:r>
            <w:r>
              <w:rPr>
                <w:rFonts w:ascii="宋体" w:hAnsi="宋体" w:eastAsia="宋体" w:cs="宋体"/>
                <w:spacing w:val="-1"/>
                <w:sz w:val="21"/>
                <w:szCs w:val="21"/>
              </w:rPr>
              <w:t>全面系统的监测工作</w:t>
            </w:r>
          </w:p>
        </w:tc>
        <w:tc>
          <w:tcPr>
            <w:tcW w:w="4954" w:type="dxa"/>
            <w:gridSpan w:val="2"/>
            <w:vAlign w:val="top"/>
          </w:tcPr>
          <w:p w14:paraId="1B318650">
            <w:pPr>
              <w:rPr>
                <w:rFonts w:ascii="Arial"/>
                <w:sz w:val="21"/>
              </w:rPr>
            </w:pPr>
          </w:p>
        </w:tc>
        <w:tc>
          <w:tcPr>
            <w:tcW w:w="4954" w:type="dxa"/>
            <w:vAlign w:val="top"/>
          </w:tcPr>
          <w:p w14:paraId="02CC8CE3">
            <w:pPr>
              <w:rPr>
                <w:rFonts w:ascii="Arial"/>
                <w:sz w:val="21"/>
              </w:rPr>
            </w:pPr>
          </w:p>
        </w:tc>
        <w:tc>
          <w:tcPr>
            <w:tcW w:w="3822" w:type="dxa"/>
            <w:vAlign w:val="top"/>
          </w:tcPr>
          <w:p w14:paraId="1A39B466">
            <w:pPr>
              <w:spacing w:line="258" w:lineRule="auto"/>
              <w:rPr>
                <w:rFonts w:ascii="Arial"/>
                <w:sz w:val="21"/>
              </w:rPr>
            </w:pPr>
          </w:p>
          <w:p w14:paraId="51B6359F">
            <w:pPr>
              <w:spacing w:before="68" w:line="220" w:lineRule="auto"/>
              <w:ind w:left="1085"/>
              <w:rPr>
                <w:rFonts w:ascii="宋体" w:hAnsi="宋体" w:eastAsia="宋体" w:cs="宋体"/>
                <w:sz w:val="21"/>
                <w:szCs w:val="21"/>
              </w:rPr>
            </w:pPr>
            <w:r>
              <w:rPr>
                <w:rFonts w:ascii="宋体" w:hAnsi="宋体" w:eastAsia="宋体" w:cs="宋体"/>
                <w:spacing w:val="-2"/>
                <w:sz w:val="21"/>
                <w:szCs w:val="21"/>
              </w:rPr>
              <w:t>列入下阶段工作。</w:t>
            </w:r>
          </w:p>
        </w:tc>
        <w:tc>
          <w:tcPr>
            <w:tcW w:w="2405" w:type="dxa"/>
            <w:tcBorders>
              <w:right w:val="single" w:color="000000" w:sz="12" w:space="0"/>
            </w:tcBorders>
            <w:vAlign w:val="top"/>
          </w:tcPr>
          <w:p w14:paraId="61F473B2">
            <w:pPr>
              <w:spacing w:before="54" w:line="225" w:lineRule="auto"/>
              <w:ind w:left="44" w:right="17" w:hanging="2"/>
              <w:jc w:val="both"/>
              <w:rPr>
                <w:rFonts w:ascii="宋体" w:hAnsi="宋体" w:eastAsia="宋体" w:cs="宋体"/>
                <w:sz w:val="21"/>
                <w:szCs w:val="21"/>
              </w:rPr>
            </w:pPr>
            <w:r>
              <w:rPr>
                <w:rFonts w:ascii="宋体" w:hAnsi="宋体" w:eastAsia="宋体" w:cs="宋体"/>
                <w:spacing w:val="1"/>
                <w:sz w:val="21"/>
                <w:szCs w:val="21"/>
              </w:rPr>
              <w:t>运行期对库区及大坝下游水温开展全面系统的监测</w:t>
            </w:r>
            <w:r>
              <w:rPr>
                <w:rFonts w:ascii="宋体" w:hAnsi="宋体" w:eastAsia="宋体" w:cs="宋体"/>
                <w:spacing w:val="-3"/>
                <w:sz w:val="21"/>
                <w:szCs w:val="21"/>
              </w:rPr>
              <w:t>工作</w:t>
            </w:r>
          </w:p>
        </w:tc>
      </w:tr>
      <w:tr w14:paraId="09EB4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19" w:type="dxa"/>
            <w:vMerge w:val="restart"/>
            <w:tcBorders>
              <w:left w:val="single" w:color="000000" w:sz="12" w:space="0"/>
              <w:bottom w:val="nil"/>
            </w:tcBorders>
            <w:vAlign w:val="top"/>
          </w:tcPr>
          <w:p w14:paraId="5D522BF9">
            <w:pPr>
              <w:spacing w:line="274" w:lineRule="auto"/>
              <w:rPr>
                <w:rFonts w:ascii="Arial"/>
                <w:sz w:val="21"/>
              </w:rPr>
            </w:pPr>
          </w:p>
          <w:p w14:paraId="526D6EAA">
            <w:pPr>
              <w:spacing w:line="275" w:lineRule="auto"/>
              <w:rPr>
                <w:rFonts w:ascii="Arial"/>
                <w:sz w:val="21"/>
              </w:rPr>
            </w:pPr>
          </w:p>
          <w:p w14:paraId="6A092480">
            <w:pPr>
              <w:spacing w:line="275" w:lineRule="auto"/>
              <w:rPr>
                <w:rFonts w:ascii="Arial"/>
                <w:sz w:val="21"/>
              </w:rPr>
            </w:pPr>
          </w:p>
          <w:p w14:paraId="62248C9F">
            <w:pPr>
              <w:spacing w:line="275" w:lineRule="auto"/>
              <w:rPr>
                <w:rFonts w:ascii="Arial"/>
                <w:sz w:val="21"/>
              </w:rPr>
            </w:pPr>
          </w:p>
          <w:p w14:paraId="76B43E17">
            <w:pPr>
              <w:spacing w:before="69" w:line="241" w:lineRule="auto"/>
              <w:ind w:left="25" w:right="43" w:hanging="1"/>
              <w:jc w:val="both"/>
              <w:rPr>
                <w:rFonts w:ascii="宋体" w:hAnsi="宋体" w:eastAsia="宋体" w:cs="宋体"/>
                <w:sz w:val="21"/>
                <w:szCs w:val="21"/>
              </w:rPr>
            </w:pPr>
            <w:r>
              <w:rPr>
                <w:rFonts w:ascii="宋体" w:hAnsi="宋体" w:eastAsia="宋体" w:cs="宋体"/>
                <w:spacing w:val="-3"/>
                <w:sz w:val="21"/>
                <w:szCs w:val="21"/>
              </w:rPr>
              <w:t>严格落实水环境保</w:t>
            </w:r>
            <w:r>
              <w:rPr>
                <w:rFonts w:ascii="宋体" w:hAnsi="宋体" w:eastAsia="宋体" w:cs="宋体"/>
                <w:spacing w:val="31"/>
                <w:sz w:val="21"/>
                <w:szCs w:val="21"/>
              </w:rPr>
              <w:t>护措施</w:t>
            </w:r>
          </w:p>
        </w:tc>
        <w:tc>
          <w:tcPr>
            <w:tcW w:w="3329" w:type="dxa"/>
            <w:vAlign w:val="top"/>
          </w:tcPr>
          <w:p w14:paraId="5B7E2EFE">
            <w:pPr>
              <w:spacing w:before="56" w:line="217" w:lineRule="auto"/>
              <w:ind w:left="18" w:right="31"/>
              <w:rPr>
                <w:rFonts w:ascii="宋体" w:hAnsi="宋体" w:eastAsia="宋体" w:cs="宋体"/>
                <w:sz w:val="21"/>
                <w:szCs w:val="21"/>
              </w:rPr>
            </w:pPr>
            <w:r>
              <w:rPr>
                <w:rFonts w:ascii="宋体" w:hAnsi="宋体" w:eastAsia="宋体" w:cs="宋体"/>
                <w:spacing w:val="-6"/>
                <w:sz w:val="21"/>
                <w:szCs w:val="21"/>
              </w:rPr>
              <w:t>制定水库清理环境保护方案，蓄水前</w:t>
            </w:r>
            <w:r>
              <w:rPr>
                <w:rFonts w:ascii="宋体" w:hAnsi="宋体" w:eastAsia="宋体" w:cs="宋体"/>
                <w:spacing w:val="-3"/>
                <w:sz w:val="21"/>
                <w:szCs w:val="21"/>
              </w:rPr>
              <w:t>开展水库库底环境保护清理工作。</w:t>
            </w:r>
          </w:p>
        </w:tc>
        <w:tc>
          <w:tcPr>
            <w:tcW w:w="4954" w:type="dxa"/>
            <w:gridSpan w:val="2"/>
            <w:vAlign w:val="top"/>
          </w:tcPr>
          <w:p w14:paraId="290F3BE1">
            <w:pPr>
              <w:spacing w:before="56" w:line="217" w:lineRule="auto"/>
              <w:ind w:left="22" w:right="24"/>
              <w:rPr>
                <w:rFonts w:ascii="宋体" w:hAnsi="宋体" w:eastAsia="宋体" w:cs="宋体"/>
                <w:sz w:val="21"/>
                <w:szCs w:val="21"/>
              </w:rPr>
            </w:pPr>
            <w:r>
              <w:rPr>
                <w:rFonts w:ascii="宋体" w:hAnsi="宋体" w:eastAsia="宋体" w:cs="宋体"/>
                <w:spacing w:val="-6"/>
                <w:sz w:val="21"/>
                <w:szCs w:val="21"/>
              </w:rPr>
              <w:t>清库前制定清库方案，蓄水前报请验收，确保符合规范</w:t>
            </w:r>
            <w:r>
              <w:rPr>
                <w:rFonts w:ascii="宋体" w:hAnsi="宋体" w:eastAsia="宋体" w:cs="宋体"/>
                <w:spacing w:val="-4"/>
                <w:sz w:val="21"/>
                <w:szCs w:val="21"/>
              </w:rPr>
              <w:t>要求。</w:t>
            </w:r>
          </w:p>
        </w:tc>
        <w:tc>
          <w:tcPr>
            <w:tcW w:w="4954" w:type="dxa"/>
            <w:vAlign w:val="top"/>
          </w:tcPr>
          <w:p w14:paraId="7C22EF41">
            <w:pPr>
              <w:pStyle w:val="6"/>
              <w:spacing w:before="194" w:line="233" w:lineRule="auto"/>
              <w:ind w:left="28"/>
              <w:rPr>
                <w:rFonts w:ascii="宋体" w:hAnsi="宋体" w:eastAsia="宋体" w:cs="宋体"/>
              </w:rPr>
            </w:pPr>
            <w:r>
              <w:rPr>
                <w:rFonts w:ascii="宋体" w:hAnsi="宋体" w:eastAsia="宋体" w:cs="宋体"/>
                <w:spacing w:val="-1"/>
              </w:rPr>
              <w:t>在水库蓄水</w:t>
            </w:r>
            <w:r>
              <w:rPr>
                <w:rFonts w:ascii="宋体" w:hAnsi="宋体" w:eastAsia="宋体" w:cs="宋体"/>
                <w:spacing w:val="-40"/>
              </w:rPr>
              <w:t xml:space="preserve"> </w:t>
            </w:r>
            <w:r>
              <w:rPr>
                <w:spacing w:val="-1"/>
              </w:rPr>
              <w:t xml:space="preserve">3 </w:t>
            </w:r>
            <w:r>
              <w:rPr>
                <w:rFonts w:ascii="宋体" w:hAnsi="宋体" w:eastAsia="宋体" w:cs="宋体"/>
                <w:spacing w:val="-1"/>
              </w:rPr>
              <w:t>个月前完成水库库底清理工作。</w:t>
            </w:r>
          </w:p>
        </w:tc>
        <w:tc>
          <w:tcPr>
            <w:tcW w:w="3822" w:type="dxa"/>
            <w:vAlign w:val="top"/>
          </w:tcPr>
          <w:p w14:paraId="3A44F276">
            <w:pPr>
              <w:pStyle w:val="6"/>
              <w:spacing w:before="56" w:line="217" w:lineRule="auto"/>
              <w:ind w:left="43" w:right="12" w:hanging="11"/>
              <w:rPr>
                <w:rFonts w:ascii="宋体" w:hAnsi="宋体" w:eastAsia="宋体" w:cs="宋体"/>
              </w:rPr>
            </w:pPr>
            <w:r>
              <w:rPr>
                <w:spacing w:val="-6"/>
              </w:rPr>
              <w:t>2020</w:t>
            </w:r>
            <w:r>
              <w:rPr>
                <w:spacing w:val="33"/>
                <w:w w:val="101"/>
              </w:rPr>
              <w:t xml:space="preserve"> </w:t>
            </w:r>
            <w:r>
              <w:rPr>
                <w:rFonts w:ascii="宋体" w:hAnsi="宋体" w:eastAsia="宋体" w:cs="宋体"/>
                <w:spacing w:val="-6"/>
              </w:rPr>
              <w:t xml:space="preserve">年 </w:t>
            </w:r>
            <w:r>
              <w:rPr>
                <w:spacing w:val="-6"/>
              </w:rPr>
              <w:t>12</w:t>
            </w:r>
            <w:r>
              <w:rPr>
                <w:spacing w:val="21"/>
                <w:w w:val="101"/>
              </w:rPr>
              <w:t xml:space="preserve"> </w:t>
            </w:r>
            <w:r>
              <w:rPr>
                <w:rFonts w:ascii="宋体" w:hAnsi="宋体" w:eastAsia="宋体" w:cs="宋体"/>
                <w:spacing w:val="-6"/>
              </w:rPr>
              <w:t>月</w:t>
            </w:r>
            <w:r>
              <w:rPr>
                <w:rFonts w:ascii="宋体" w:hAnsi="宋体" w:eastAsia="宋体" w:cs="宋体"/>
                <w:spacing w:val="-36"/>
              </w:rPr>
              <w:t xml:space="preserve"> </w:t>
            </w:r>
            <w:r>
              <w:rPr>
                <w:spacing w:val="-6"/>
              </w:rPr>
              <w:t xml:space="preserve">7  </w:t>
            </w:r>
            <w:r>
              <w:rPr>
                <w:rFonts w:ascii="宋体" w:hAnsi="宋体" w:eastAsia="宋体" w:cs="宋体"/>
                <w:spacing w:val="-6"/>
              </w:rPr>
              <w:t>日已完成库底清理专项验</w:t>
            </w:r>
            <w:r>
              <w:rPr>
                <w:rFonts w:ascii="宋体" w:hAnsi="宋体" w:eastAsia="宋体" w:cs="宋体"/>
                <w:spacing w:val="-12"/>
              </w:rPr>
              <w:t>收。</w:t>
            </w:r>
          </w:p>
        </w:tc>
        <w:tc>
          <w:tcPr>
            <w:tcW w:w="2405" w:type="dxa"/>
            <w:tcBorders>
              <w:right w:val="single" w:color="000000" w:sz="12" w:space="0"/>
            </w:tcBorders>
            <w:vAlign w:val="top"/>
          </w:tcPr>
          <w:p w14:paraId="63BE1422">
            <w:pPr>
              <w:spacing w:before="194" w:line="220" w:lineRule="auto"/>
              <w:ind w:left="1107"/>
              <w:rPr>
                <w:rFonts w:ascii="宋体" w:hAnsi="宋体" w:eastAsia="宋体" w:cs="宋体"/>
                <w:sz w:val="21"/>
                <w:szCs w:val="21"/>
              </w:rPr>
            </w:pPr>
            <w:r>
              <w:rPr>
                <w:rFonts w:ascii="宋体" w:hAnsi="宋体" w:eastAsia="宋体" w:cs="宋体"/>
                <w:sz w:val="21"/>
                <w:szCs w:val="21"/>
              </w:rPr>
              <w:t>无</w:t>
            </w:r>
          </w:p>
        </w:tc>
      </w:tr>
      <w:tr w14:paraId="29967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919" w:type="dxa"/>
            <w:vMerge w:val="continue"/>
            <w:tcBorders>
              <w:top w:val="nil"/>
              <w:left w:val="single" w:color="000000" w:sz="12" w:space="0"/>
              <w:bottom w:val="nil"/>
            </w:tcBorders>
            <w:vAlign w:val="top"/>
          </w:tcPr>
          <w:p w14:paraId="146D8A2F">
            <w:pPr>
              <w:rPr>
                <w:rFonts w:ascii="Arial"/>
                <w:sz w:val="21"/>
              </w:rPr>
            </w:pPr>
          </w:p>
        </w:tc>
        <w:tc>
          <w:tcPr>
            <w:tcW w:w="3329" w:type="dxa"/>
            <w:vMerge w:val="restart"/>
            <w:tcBorders>
              <w:bottom w:val="nil"/>
            </w:tcBorders>
            <w:vAlign w:val="top"/>
          </w:tcPr>
          <w:p w14:paraId="180180EC">
            <w:pPr>
              <w:spacing w:line="316" w:lineRule="auto"/>
              <w:rPr>
                <w:rFonts w:ascii="Arial"/>
                <w:sz w:val="21"/>
              </w:rPr>
            </w:pPr>
          </w:p>
          <w:p w14:paraId="3820885B">
            <w:pPr>
              <w:spacing w:line="317" w:lineRule="auto"/>
              <w:rPr>
                <w:rFonts w:ascii="Arial"/>
                <w:sz w:val="21"/>
              </w:rPr>
            </w:pPr>
          </w:p>
          <w:p w14:paraId="5721CFBF">
            <w:pPr>
              <w:spacing w:line="317" w:lineRule="auto"/>
              <w:rPr>
                <w:rFonts w:ascii="Arial"/>
                <w:sz w:val="21"/>
              </w:rPr>
            </w:pPr>
          </w:p>
          <w:p w14:paraId="1952F396">
            <w:pPr>
              <w:spacing w:before="68" w:line="242" w:lineRule="auto"/>
              <w:ind w:left="22" w:right="33" w:hanging="5"/>
              <w:rPr>
                <w:rFonts w:ascii="宋体" w:hAnsi="宋体" w:eastAsia="宋体" w:cs="宋体"/>
                <w:sz w:val="21"/>
                <w:szCs w:val="21"/>
              </w:rPr>
            </w:pPr>
            <w:r>
              <w:rPr>
                <w:rFonts w:ascii="宋体" w:hAnsi="宋体" w:eastAsia="宋体" w:cs="宋体"/>
                <w:spacing w:val="7"/>
                <w:sz w:val="21"/>
                <w:szCs w:val="21"/>
              </w:rPr>
              <w:t>加强库周及上游汇水范围内污染源</w:t>
            </w:r>
            <w:r>
              <w:rPr>
                <w:rFonts w:ascii="宋体" w:hAnsi="宋体" w:eastAsia="宋体" w:cs="宋体"/>
                <w:spacing w:val="-3"/>
                <w:sz w:val="21"/>
                <w:szCs w:val="21"/>
              </w:rPr>
              <w:t>治理，切实保证库区水质达标。</w:t>
            </w:r>
          </w:p>
        </w:tc>
        <w:tc>
          <w:tcPr>
            <w:tcW w:w="847" w:type="dxa"/>
            <w:vMerge w:val="restart"/>
            <w:tcBorders>
              <w:bottom w:val="nil"/>
            </w:tcBorders>
            <w:vAlign w:val="top"/>
          </w:tcPr>
          <w:p w14:paraId="787D9408">
            <w:pPr>
              <w:spacing w:line="317" w:lineRule="auto"/>
              <w:rPr>
                <w:rFonts w:ascii="Arial"/>
                <w:sz w:val="21"/>
              </w:rPr>
            </w:pPr>
          </w:p>
          <w:p w14:paraId="3EB47BBF">
            <w:pPr>
              <w:spacing w:line="317" w:lineRule="auto"/>
              <w:rPr>
                <w:rFonts w:ascii="Arial"/>
                <w:sz w:val="21"/>
              </w:rPr>
            </w:pPr>
          </w:p>
          <w:p w14:paraId="73942AF4">
            <w:pPr>
              <w:spacing w:line="317" w:lineRule="auto"/>
              <w:rPr>
                <w:rFonts w:ascii="Arial"/>
                <w:sz w:val="21"/>
              </w:rPr>
            </w:pPr>
          </w:p>
          <w:p w14:paraId="160E3FED">
            <w:pPr>
              <w:spacing w:before="68" w:line="242" w:lineRule="auto"/>
              <w:ind w:left="210" w:right="112" w:hanging="106"/>
              <w:rPr>
                <w:rFonts w:ascii="宋体" w:hAnsi="宋体" w:eastAsia="宋体" w:cs="宋体"/>
                <w:sz w:val="21"/>
                <w:szCs w:val="21"/>
              </w:rPr>
            </w:pPr>
            <w:r>
              <w:rPr>
                <w:rFonts w:ascii="宋体" w:hAnsi="宋体" w:eastAsia="宋体" w:cs="宋体"/>
                <w:spacing w:val="-4"/>
                <w:sz w:val="21"/>
                <w:szCs w:val="21"/>
              </w:rPr>
              <w:t>纳入本</w:t>
            </w:r>
            <w:r>
              <w:rPr>
                <w:rFonts w:ascii="宋体" w:hAnsi="宋体" w:eastAsia="宋体" w:cs="宋体"/>
                <w:spacing w:val="-3"/>
                <w:sz w:val="21"/>
                <w:szCs w:val="21"/>
              </w:rPr>
              <w:t>工程</w:t>
            </w:r>
          </w:p>
        </w:tc>
        <w:tc>
          <w:tcPr>
            <w:tcW w:w="4107" w:type="dxa"/>
            <w:vAlign w:val="top"/>
          </w:tcPr>
          <w:p w14:paraId="47C6AA9C">
            <w:pPr>
              <w:pStyle w:val="6"/>
              <w:spacing w:before="58" w:line="224" w:lineRule="auto"/>
              <w:ind w:left="23" w:right="24" w:firstLine="4"/>
              <w:jc w:val="both"/>
              <w:rPr>
                <w:rFonts w:ascii="宋体" w:hAnsi="宋体" w:eastAsia="宋体" w:cs="宋体"/>
              </w:rPr>
            </w:pPr>
            <w:r>
              <w:rPr>
                <w:rFonts w:ascii="宋体" w:hAnsi="宋体" w:eastAsia="宋体" w:cs="宋体"/>
                <w:spacing w:val="2"/>
              </w:rPr>
              <w:t>安置点污染防治工程：各安置点生活污水采</w:t>
            </w:r>
            <w:r>
              <w:rPr>
                <w:rFonts w:ascii="宋体" w:hAnsi="宋体" w:eastAsia="宋体" w:cs="宋体"/>
                <w:spacing w:val="-3"/>
              </w:rPr>
              <w:t>用“氧化塘</w:t>
            </w:r>
            <w:r>
              <w:rPr>
                <w:spacing w:val="-3"/>
              </w:rPr>
              <w:t>+</w:t>
            </w:r>
            <w:r>
              <w:rPr>
                <w:rFonts w:ascii="宋体" w:hAnsi="宋体" w:eastAsia="宋体" w:cs="宋体"/>
                <w:spacing w:val="-3"/>
              </w:rPr>
              <w:t>快渗池”处理工艺；配置垃圾收集房、垃圾筒等处理设施。</w:t>
            </w:r>
          </w:p>
        </w:tc>
        <w:tc>
          <w:tcPr>
            <w:tcW w:w="4954" w:type="dxa"/>
            <w:vAlign w:val="top"/>
          </w:tcPr>
          <w:p w14:paraId="7624B09A">
            <w:pPr>
              <w:pStyle w:val="6"/>
              <w:spacing w:before="196" w:line="235" w:lineRule="auto"/>
              <w:ind w:left="28" w:right="23" w:firstLine="2"/>
              <w:rPr>
                <w:rFonts w:ascii="宋体" w:hAnsi="宋体" w:eastAsia="宋体" w:cs="宋体"/>
              </w:rPr>
            </w:pPr>
            <w:r>
              <w:rPr>
                <w:rFonts w:ascii="宋体" w:hAnsi="宋体" w:eastAsia="宋体" w:cs="宋体"/>
                <w:spacing w:val="-3"/>
              </w:rPr>
              <w:t>各安置点生活污水采用“氧化塘</w:t>
            </w:r>
            <w:r>
              <w:rPr>
                <w:spacing w:val="-3"/>
              </w:rPr>
              <w:t>+</w:t>
            </w:r>
            <w:r>
              <w:rPr>
                <w:rFonts w:ascii="宋体" w:hAnsi="宋体" w:eastAsia="宋体" w:cs="宋体"/>
                <w:spacing w:val="-3"/>
              </w:rPr>
              <w:t>快渗池”处理工艺；</w:t>
            </w:r>
            <w:r>
              <w:rPr>
                <w:rFonts w:ascii="宋体" w:hAnsi="宋体" w:eastAsia="宋体" w:cs="宋体"/>
                <w:spacing w:val="-1"/>
              </w:rPr>
              <w:t>配置垃圾收集房、垃圾筒等处理设施。</w:t>
            </w:r>
          </w:p>
        </w:tc>
        <w:tc>
          <w:tcPr>
            <w:tcW w:w="3822" w:type="dxa"/>
            <w:vAlign w:val="top"/>
          </w:tcPr>
          <w:p w14:paraId="33E400AE">
            <w:pPr>
              <w:pStyle w:val="6"/>
              <w:spacing w:before="58" w:line="224" w:lineRule="auto"/>
              <w:ind w:left="38" w:right="11" w:hanging="6"/>
              <w:jc w:val="both"/>
              <w:rPr>
                <w:rFonts w:ascii="宋体" w:hAnsi="宋体" w:eastAsia="宋体" w:cs="宋体"/>
              </w:rPr>
            </w:pPr>
            <w:r>
              <w:rPr>
                <w:spacing w:val="-4"/>
              </w:rPr>
              <w:t>2021</w:t>
            </w:r>
            <w:r>
              <w:rPr>
                <w:spacing w:val="45"/>
              </w:rPr>
              <w:t xml:space="preserve"> </w:t>
            </w:r>
            <w:r>
              <w:rPr>
                <w:rFonts w:ascii="宋体" w:hAnsi="宋体" w:eastAsia="宋体" w:cs="宋体"/>
                <w:spacing w:val="-4"/>
              </w:rPr>
              <w:t xml:space="preserve">年 </w:t>
            </w:r>
            <w:r>
              <w:rPr>
                <w:spacing w:val="-4"/>
              </w:rPr>
              <w:t>2</w:t>
            </w:r>
            <w:r>
              <w:rPr>
                <w:spacing w:val="43"/>
              </w:rPr>
              <w:t xml:space="preserve"> </w:t>
            </w:r>
            <w:r>
              <w:rPr>
                <w:rFonts w:ascii="宋体" w:hAnsi="宋体" w:eastAsia="宋体" w:cs="宋体"/>
                <w:spacing w:val="-4"/>
              </w:rPr>
              <w:t>月</w:t>
            </w:r>
            <w:r>
              <w:rPr>
                <w:rFonts w:ascii="宋体" w:hAnsi="宋体" w:eastAsia="宋体" w:cs="宋体"/>
                <w:spacing w:val="-14"/>
              </w:rPr>
              <w:t xml:space="preserve"> </w:t>
            </w:r>
            <w:r>
              <w:rPr>
                <w:spacing w:val="-4"/>
              </w:rPr>
              <w:t xml:space="preserve">3  </w:t>
            </w:r>
            <w:r>
              <w:rPr>
                <w:rFonts w:ascii="宋体" w:hAnsi="宋体" w:eastAsia="宋体" w:cs="宋体"/>
                <w:spacing w:val="-4"/>
              </w:rPr>
              <w:t>日已完成移民安置专项验</w:t>
            </w:r>
            <w:r>
              <w:rPr>
                <w:rFonts w:ascii="宋体" w:hAnsi="宋体" w:eastAsia="宋体" w:cs="宋体"/>
                <w:spacing w:val="-2"/>
              </w:rPr>
              <w:t>收；各移民安置点已同步建设生活污水处</w:t>
            </w:r>
            <w:r>
              <w:rPr>
                <w:rFonts w:ascii="宋体" w:hAnsi="宋体" w:eastAsia="宋体" w:cs="宋体"/>
                <w:spacing w:val="-3"/>
              </w:rPr>
              <w:t>理设施和配套垃圾收集设施。</w:t>
            </w:r>
          </w:p>
        </w:tc>
        <w:tc>
          <w:tcPr>
            <w:tcW w:w="2405" w:type="dxa"/>
            <w:tcBorders>
              <w:right w:val="single" w:color="000000" w:sz="12" w:space="0"/>
            </w:tcBorders>
            <w:vAlign w:val="top"/>
          </w:tcPr>
          <w:p w14:paraId="5D07CA18">
            <w:pPr>
              <w:spacing w:before="58" w:line="224" w:lineRule="auto"/>
              <w:ind w:left="43" w:right="17"/>
              <w:jc w:val="both"/>
              <w:rPr>
                <w:rFonts w:ascii="宋体" w:hAnsi="宋体" w:eastAsia="宋体" w:cs="宋体"/>
                <w:sz w:val="21"/>
                <w:szCs w:val="21"/>
              </w:rPr>
            </w:pPr>
            <w:r>
              <w:rPr>
                <w:rFonts w:ascii="宋体" w:hAnsi="宋体" w:eastAsia="宋体" w:cs="宋体"/>
                <w:spacing w:val="1"/>
                <w:sz w:val="21"/>
                <w:szCs w:val="21"/>
              </w:rPr>
              <w:t>保障安置点污水处理设施正常运行，出水水质达标</w:t>
            </w:r>
            <w:r>
              <w:rPr>
                <w:rFonts w:ascii="宋体" w:hAnsi="宋体" w:eastAsia="宋体" w:cs="宋体"/>
                <w:spacing w:val="-8"/>
                <w:sz w:val="21"/>
                <w:szCs w:val="21"/>
              </w:rPr>
              <w:t>后回用。</w:t>
            </w:r>
          </w:p>
        </w:tc>
      </w:tr>
      <w:tr w14:paraId="013B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9" w:hRule="atLeast"/>
        </w:trPr>
        <w:tc>
          <w:tcPr>
            <w:tcW w:w="919" w:type="dxa"/>
            <w:vMerge w:val="continue"/>
            <w:tcBorders>
              <w:top w:val="nil"/>
              <w:left w:val="single" w:color="000000" w:sz="12" w:space="0"/>
              <w:bottom w:val="single" w:color="000000" w:sz="12" w:space="0"/>
            </w:tcBorders>
            <w:vAlign w:val="top"/>
          </w:tcPr>
          <w:p w14:paraId="12B70035">
            <w:pPr>
              <w:rPr>
                <w:rFonts w:ascii="Arial"/>
                <w:sz w:val="21"/>
              </w:rPr>
            </w:pPr>
          </w:p>
        </w:tc>
        <w:tc>
          <w:tcPr>
            <w:tcW w:w="3329" w:type="dxa"/>
            <w:vMerge w:val="continue"/>
            <w:tcBorders>
              <w:top w:val="nil"/>
              <w:bottom w:val="single" w:color="000000" w:sz="12" w:space="0"/>
            </w:tcBorders>
            <w:vAlign w:val="top"/>
          </w:tcPr>
          <w:p w14:paraId="0097047B">
            <w:pPr>
              <w:rPr>
                <w:rFonts w:ascii="Arial"/>
                <w:sz w:val="21"/>
              </w:rPr>
            </w:pPr>
          </w:p>
        </w:tc>
        <w:tc>
          <w:tcPr>
            <w:tcW w:w="847" w:type="dxa"/>
            <w:vMerge w:val="continue"/>
            <w:tcBorders>
              <w:top w:val="nil"/>
              <w:bottom w:val="single" w:color="000000" w:sz="12" w:space="0"/>
            </w:tcBorders>
            <w:vAlign w:val="top"/>
          </w:tcPr>
          <w:p w14:paraId="7CC58E22">
            <w:pPr>
              <w:rPr>
                <w:rFonts w:ascii="Arial"/>
                <w:sz w:val="21"/>
              </w:rPr>
            </w:pPr>
          </w:p>
        </w:tc>
        <w:tc>
          <w:tcPr>
            <w:tcW w:w="4107" w:type="dxa"/>
            <w:tcBorders>
              <w:bottom w:val="single" w:color="000000" w:sz="12" w:space="0"/>
            </w:tcBorders>
            <w:vAlign w:val="top"/>
          </w:tcPr>
          <w:p w14:paraId="2E3BB63B">
            <w:pPr>
              <w:pStyle w:val="6"/>
              <w:spacing w:before="61" w:line="234" w:lineRule="auto"/>
              <w:ind w:left="22" w:right="24" w:firstLine="7"/>
              <w:jc w:val="both"/>
              <w:rPr>
                <w:rFonts w:ascii="宋体" w:hAnsi="宋体" w:eastAsia="宋体" w:cs="宋体"/>
              </w:rPr>
            </w:pPr>
            <w:r>
              <w:rPr>
                <w:rFonts w:ascii="宋体" w:hAnsi="宋体" w:eastAsia="宋体" w:cs="宋体"/>
                <w:spacing w:val="2"/>
              </w:rPr>
              <w:t>马龙河旁路系统工程：建立以挺水植物表面</w:t>
            </w:r>
            <w:r>
              <w:rPr>
                <w:rFonts w:ascii="宋体" w:hAnsi="宋体" w:eastAsia="宋体" w:cs="宋体"/>
                <w:spacing w:val="3"/>
              </w:rPr>
              <w:t>流湿地为主体，组合少量氧化塘的旁路处理</w:t>
            </w:r>
            <w:r>
              <w:rPr>
                <w:rFonts w:ascii="宋体" w:hAnsi="宋体" w:eastAsia="宋体" w:cs="宋体"/>
                <w:spacing w:val="21"/>
              </w:rPr>
              <w:t>系统</w:t>
            </w:r>
            <w:r>
              <w:rPr>
                <w:rFonts w:ascii="宋体" w:hAnsi="宋体" w:eastAsia="宋体" w:cs="宋体"/>
                <w:spacing w:val="-41"/>
              </w:rPr>
              <w:t xml:space="preserve"> </w:t>
            </w:r>
            <w:r>
              <w:rPr>
                <w:rFonts w:ascii="宋体" w:hAnsi="宋体" w:eastAsia="宋体" w:cs="宋体"/>
                <w:spacing w:val="21"/>
              </w:rPr>
              <w:t>，通过配水等辅助手段</w:t>
            </w:r>
            <w:r>
              <w:rPr>
                <w:rFonts w:ascii="宋体" w:hAnsi="宋体" w:eastAsia="宋体" w:cs="宋体"/>
                <w:spacing w:val="-50"/>
              </w:rPr>
              <w:t xml:space="preserve"> </w:t>
            </w:r>
            <w:r>
              <w:rPr>
                <w:rFonts w:ascii="宋体" w:hAnsi="宋体" w:eastAsia="宋体" w:cs="宋体"/>
                <w:spacing w:val="21"/>
              </w:rPr>
              <w:t>，对马龙河</w:t>
            </w:r>
            <w:r>
              <w:rPr>
                <w:rFonts w:ascii="宋体" w:hAnsi="宋体" w:eastAsia="宋体" w:cs="宋体"/>
              </w:rPr>
              <w:t>（</w:t>
            </w:r>
            <w:r>
              <w:t>100000m</w:t>
            </w:r>
            <w:r>
              <w:rPr>
                <w:position w:val="7"/>
                <w:sz w:val="14"/>
                <w:szCs w:val="14"/>
              </w:rPr>
              <w:t>3</w:t>
            </w:r>
            <w:r>
              <w:t>/d</w:t>
            </w:r>
            <w:r>
              <w:rPr>
                <w:rFonts w:ascii="宋体" w:hAnsi="宋体" w:eastAsia="宋体" w:cs="宋体"/>
              </w:rPr>
              <w:t>）、车章河（</w:t>
            </w:r>
            <w:r>
              <w:t>10000m</w:t>
            </w:r>
            <w:r>
              <w:rPr>
                <w:position w:val="7"/>
                <w:sz w:val="14"/>
                <w:szCs w:val="14"/>
              </w:rPr>
              <w:t>3</w:t>
            </w:r>
            <w:r>
              <w:t>/d</w:t>
            </w:r>
            <w:r>
              <w:rPr>
                <w:rFonts w:ascii="宋体" w:hAnsi="宋体" w:eastAsia="宋体" w:cs="宋体"/>
              </w:rPr>
              <w:t>）和白</w:t>
            </w:r>
            <w:r>
              <w:rPr>
                <w:rFonts w:ascii="宋体" w:hAnsi="宋体" w:eastAsia="宋体" w:cs="宋体"/>
                <w:spacing w:val="-1"/>
              </w:rPr>
              <w:t>塔河</w:t>
            </w:r>
            <w:r>
              <w:rPr>
                <w:rFonts w:ascii="宋体" w:hAnsi="宋体" w:eastAsia="宋体" w:cs="宋体"/>
                <w:spacing w:val="-2"/>
              </w:rPr>
              <w:t>（（</w:t>
            </w:r>
            <w:r>
              <w:rPr>
                <w:spacing w:val="-1"/>
              </w:rPr>
              <w:t>10000m</w:t>
            </w:r>
            <w:r>
              <w:rPr>
                <w:spacing w:val="-1"/>
                <w:position w:val="7"/>
                <w:sz w:val="14"/>
                <w:szCs w:val="14"/>
              </w:rPr>
              <w:t>3</w:t>
            </w:r>
            <w:r>
              <w:rPr>
                <w:spacing w:val="-1"/>
              </w:rPr>
              <w:t>/d</w:t>
            </w:r>
            <w:r>
              <w:rPr>
                <w:rFonts w:ascii="宋体" w:hAnsi="宋体" w:eastAsia="宋体" w:cs="宋体"/>
                <w:spacing w:val="-2"/>
              </w:rPr>
              <w:t>））</w:t>
            </w:r>
            <w:r>
              <w:rPr>
                <w:rFonts w:ascii="宋体" w:hAnsi="宋体" w:eastAsia="宋体" w:cs="宋体"/>
                <w:spacing w:val="-1"/>
              </w:rPr>
              <w:t>的河水进行均匀配水</w:t>
            </w:r>
            <w:r>
              <w:rPr>
                <w:rFonts w:ascii="宋体" w:hAnsi="宋体" w:eastAsia="宋体" w:cs="宋体"/>
                <w:spacing w:val="-2"/>
              </w:rPr>
              <w:t>及净化。</w:t>
            </w:r>
          </w:p>
        </w:tc>
        <w:tc>
          <w:tcPr>
            <w:tcW w:w="4954" w:type="dxa"/>
            <w:tcBorders>
              <w:bottom w:val="single" w:color="000000" w:sz="12" w:space="0"/>
            </w:tcBorders>
            <w:vAlign w:val="top"/>
          </w:tcPr>
          <w:p w14:paraId="6808A1AB">
            <w:pPr>
              <w:pStyle w:val="6"/>
              <w:spacing w:before="61" w:line="234" w:lineRule="auto"/>
              <w:ind w:left="29" w:right="17"/>
              <w:jc w:val="both"/>
              <w:rPr>
                <w:rFonts w:ascii="宋体" w:hAnsi="宋体" w:eastAsia="宋体" w:cs="宋体"/>
              </w:rPr>
            </w:pPr>
            <w:r>
              <w:rPr>
                <w:rFonts w:ascii="宋体" w:hAnsi="宋体" w:eastAsia="宋体" w:cs="宋体"/>
                <w:spacing w:val="2"/>
              </w:rPr>
              <w:t>依托河道两侧农田在马龙河、车章河和白塔河入库末</w:t>
            </w:r>
            <w:r>
              <w:rPr>
                <w:rFonts w:ascii="宋体" w:hAnsi="宋体" w:eastAsia="宋体" w:cs="宋体"/>
                <w:spacing w:val="-6"/>
              </w:rPr>
              <w:t>端设置旁路系统，采用曝气塘、表流湿地和稳定塘为主</w:t>
            </w:r>
            <w:r>
              <w:rPr>
                <w:rFonts w:ascii="宋体" w:hAnsi="宋体" w:eastAsia="宋体" w:cs="宋体"/>
                <w:spacing w:val="2"/>
              </w:rPr>
              <w:t>的处理工艺。根据水量情况，考虑工程区占地面积大</w:t>
            </w:r>
            <w:r>
              <w:rPr>
                <w:rFonts w:ascii="宋体" w:hAnsi="宋体" w:eastAsia="宋体" w:cs="宋体"/>
                <w:spacing w:val="-6"/>
              </w:rPr>
              <w:t>小、投资规模等综合确定人工湿地处理能力为：马龙河（</w:t>
            </w:r>
            <w:r>
              <w:rPr>
                <w:rFonts w:ascii="宋体" w:hAnsi="宋体" w:eastAsia="宋体" w:cs="宋体"/>
                <w:spacing w:val="-38"/>
              </w:rPr>
              <w:t xml:space="preserve"> </w:t>
            </w:r>
            <w:r>
              <w:rPr>
                <w:spacing w:val="-6"/>
              </w:rPr>
              <w:t>16000m</w:t>
            </w:r>
            <w:r>
              <w:rPr>
                <w:spacing w:val="-6"/>
                <w:position w:val="7"/>
                <w:sz w:val="14"/>
                <w:szCs w:val="14"/>
              </w:rPr>
              <w:t>3</w:t>
            </w:r>
            <w:r>
              <w:rPr>
                <w:spacing w:val="-6"/>
              </w:rPr>
              <w:t>/d</w:t>
            </w:r>
            <w:r>
              <w:rPr>
                <w:spacing w:val="19"/>
              </w:rPr>
              <w:t xml:space="preserve"> </w:t>
            </w:r>
            <w:r>
              <w:rPr>
                <w:rFonts w:ascii="宋体" w:hAnsi="宋体" w:eastAsia="宋体" w:cs="宋体"/>
                <w:spacing w:val="-28"/>
              </w:rPr>
              <w:t>）</w:t>
            </w:r>
            <w:r>
              <w:rPr>
                <w:rFonts w:ascii="宋体" w:hAnsi="宋体" w:eastAsia="宋体" w:cs="宋体"/>
                <w:spacing w:val="-38"/>
              </w:rPr>
              <w:t xml:space="preserve"> </w:t>
            </w:r>
            <w:r>
              <w:rPr>
                <w:rFonts w:ascii="宋体" w:hAnsi="宋体" w:eastAsia="宋体" w:cs="宋体"/>
                <w:spacing w:val="-28"/>
              </w:rPr>
              <w:t>，</w:t>
            </w:r>
            <w:r>
              <w:rPr>
                <w:rFonts w:ascii="宋体" w:hAnsi="宋体" w:eastAsia="宋体" w:cs="宋体"/>
                <w:spacing w:val="-53"/>
              </w:rPr>
              <w:t xml:space="preserve"> </w:t>
            </w:r>
            <w:r>
              <w:rPr>
                <w:rFonts w:ascii="宋体" w:hAnsi="宋体" w:eastAsia="宋体" w:cs="宋体"/>
                <w:spacing w:val="-6"/>
              </w:rPr>
              <w:t>车</w:t>
            </w:r>
            <w:r>
              <w:rPr>
                <w:rFonts w:ascii="宋体" w:hAnsi="宋体" w:eastAsia="宋体" w:cs="宋体"/>
                <w:spacing w:val="-48"/>
              </w:rPr>
              <w:t xml:space="preserve"> </w:t>
            </w:r>
            <w:r>
              <w:rPr>
                <w:rFonts w:ascii="宋体" w:hAnsi="宋体" w:eastAsia="宋体" w:cs="宋体"/>
                <w:spacing w:val="-6"/>
              </w:rPr>
              <w:t>章</w:t>
            </w:r>
            <w:r>
              <w:rPr>
                <w:rFonts w:ascii="宋体" w:hAnsi="宋体" w:eastAsia="宋体" w:cs="宋体"/>
                <w:spacing w:val="-57"/>
              </w:rPr>
              <w:t xml:space="preserve"> </w:t>
            </w:r>
            <w:r>
              <w:rPr>
                <w:rFonts w:ascii="宋体" w:hAnsi="宋体" w:eastAsia="宋体" w:cs="宋体"/>
                <w:spacing w:val="-6"/>
              </w:rPr>
              <w:t>河</w:t>
            </w:r>
            <w:r>
              <w:rPr>
                <w:rFonts w:ascii="宋体" w:hAnsi="宋体" w:eastAsia="宋体" w:cs="宋体"/>
                <w:spacing w:val="-62"/>
              </w:rPr>
              <w:t xml:space="preserve"> </w:t>
            </w:r>
            <w:r>
              <w:rPr>
                <w:rFonts w:ascii="宋体" w:hAnsi="宋体" w:eastAsia="宋体" w:cs="宋体"/>
                <w:spacing w:val="-6"/>
              </w:rPr>
              <w:t>（</w:t>
            </w:r>
            <w:r>
              <w:rPr>
                <w:rFonts w:ascii="宋体" w:hAnsi="宋体" w:eastAsia="宋体" w:cs="宋体"/>
                <w:spacing w:val="-29"/>
              </w:rPr>
              <w:t xml:space="preserve"> </w:t>
            </w:r>
            <w:r>
              <w:rPr>
                <w:spacing w:val="-6"/>
              </w:rPr>
              <w:t>40000m</w:t>
            </w:r>
            <w:r>
              <w:rPr>
                <w:spacing w:val="-6"/>
                <w:position w:val="7"/>
                <w:sz w:val="14"/>
                <w:szCs w:val="14"/>
              </w:rPr>
              <w:t>3</w:t>
            </w:r>
            <w:r>
              <w:rPr>
                <w:spacing w:val="-6"/>
              </w:rPr>
              <w:t>/d</w:t>
            </w:r>
            <w:r>
              <w:rPr>
                <w:spacing w:val="20"/>
              </w:rPr>
              <w:t xml:space="preserve"> </w:t>
            </w:r>
            <w:r>
              <w:rPr>
                <w:rFonts w:ascii="宋体" w:hAnsi="宋体" w:eastAsia="宋体" w:cs="宋体"/>
                <w:spacing w:val="-28"/>
              </w:rPr>
              <w:t>）</w:t>
            </w:r>
            <w:r>
              <w:rPr>
                <w:rFonts w:ascii="宋体" w:hAnsi="宋体" w:eastAsia="宋体" w:cs="宋体"/>
                <w:spacing w:val="-38"/>
              </w:rPr>
              <w:t xml:space="preserve"> </w:t>
            </w:r>
            <w:r>
              <w:rPr>
                <w:rFonts w:ascii="宋体" w:hAnsi="宋体" w:eastAsia="宋体" w:cs="宋体"/>
                <w:spacing w:val="-28"/>
              </w:rPr>
              <w:t>，</w:t>
            </w:r>
            <w:r>
              <w:rPr>
                <w:rFonts w:ascii="宋体" w:hAnsi="宋体" w:eastAsia="宋体" w:cs="宋体"/>
                <w:spacing w:val="-26"/>
              </w:rPr>
              <w:t xml:space="preserve"> </w:t>
            </w:r>
            <w:r>
              <w:rPr>
                <w:rFonts w:ascii="宋体" w:hAnsi="宋体" w:eastAsia="宋体" w:cs="宋体"/>
                <w:spacing w:val="-6"/>
              </w:rPr>
              <w:t>白</w:t>
            </w:r>
            <w:r>
              <w:rPr>
                <w:rFonts w:ascii="宋体" w:hAnsi="宋体" w:eastAsia="宋体" w:cs="宋体"/>
                <w:spacing w:val="-56"/>
              </w:rPr>
              <w:t xml:space="preserve"> </w:t>
            </w:r>
            <w:r>
              <w:rPr>
                <w:rFonts w:ascii="宋体" w:hAnsi="宋体" w:eastAsia="宋体" w:cs="宋体"/>
                <w:spacing w:val="-6"/>
              </w:rPr>
              <w:t>塔</w:t>
            </w:r>
            <w:r>
              <w:rPr>
                <w:rFonts w:ascii="宋体" w:hAnsi="宋体" w:eastAsia="宋体" w:cs="宋体"/>
                <w:spacing w:val="-56"/>
              </w:rPr>
              <w:t xml:space="preserve"> </w:t>
            </w:r>
            <w:r>
              <w:rPr>
                <w:rFonts w:ascii="宋体" w:hAnsi="宋体" w:eastAsia="宋体" w:cs="宋体"/>
                <w:spacing w:val="-6"/>
              </w:rPr>
              <w:t>河</w:t>
            </w:r>
            <w:r>
              <w:rPr>
                <w:rFonts w:ascii="宋体" w:hAnsi="宋体" w:eastAsia="宋体" w:cs="宋体"/>
                <w:spacing w:val="-1"/>
              </w:rPr>
              <w:t>（</w:t>
            </w:r>
            <w:r>
              <w:rPr>
                <w:spacing w:val="-1"/>
              </w:rPr>
              <w:t>6000m</w:t>
            </w:r>
            <w:r>
              <w:rPr>
                <w:spacing w:val="-1"/>
                <w:position w:val="7"/>
                <w:sz w:val="14"/>
                <w:szCs w:val="14"/>
              </w:rPr>
              <w:t>3</w:t>
            </w:r>
            <w:r>
              <w:rPr>
                <w:spacing w:val="-1"/>
              </w:rPr>
              <w:t>/d</w:t>
            </w:r>
            <w:r>
              <w:rPr>
                <w:rFonts w:ascii="宋体" w:hAnsi="宋体" w:eastAsia="宋体" w:cs="宋体"/>
                <w:spacing w:val="-1"/>
              </w:rPr>
              <w:t>）。</w:t>
            </w:r>
          </w:p>
        </w:tc>
        <w:tc>
          <w:tcPr>
            <w:tcW w:w="3822" w:type="dxa"/>
            <w:tcBorders>
              <w:bottom w:val="single" w:color="000000" w:sz="12" w:space="0"/>
            </w:tcBorders>
            <w:vAlign w:val="top"/>
          </w:tcPr>
          <w:p w14:paraId="4FADFD69">
            <w:pPr>
              <w:pStyle w:val="6"/>
              <w:spacing w:before="195" w:line="242" w:lineRule="auto"/>
              <w:ind w:left="35" w:right="11" w:hanging="3"/>
              <w:jc w:val="both"/>
              <w:rPr>
                <w:rFonts w:ascii="宋体" w:hAnsi="宋体" w:eastAsia="宋体" w:cs="宋体"/>
              </w:rPr>
            </w:pPr>
            <w:r>
              <w:rPr>
                <w:spacing w:val="-7"/>
              </w:rPr>
              <w:t xml:space="preserve">2021 </w:t>
            </w:r>
            <w:r>
              <w:rPr>
                <w:rFonts w:ascii="宋体" w:hAnsi="宋体" w:eastAsia="宋体" w:cs="宋体"/>
                <w:spacing w:val="-7"/>
              </w:rPr>
              <w:t>年</w:t>
            </w:r>
            <w:r>
              <w:rPr>
                <w:rFonts w:ascii="宋体" w:hAnsi="宋体" w:eastAsia="宋体" w:cs="宋体"/>
                <w:spacing w:val="-26"/>
              </w:rPr>
              <w:t xml:space="preserve"> </w:t>
            </w:r>
            <w:r>
              <w:rPr>
                <w:spacing w:val="-7"/>
              </w:rPr>
              <w:t>12</w:t>
            </w:r>
            <w:r>
              <w:rPr>
                <w:spacing w:val="13"/>
                <w:w w:val="101"/>
              </w:rPr>
              <w:t xml:space="preserve"> </w:t>
            </w:r>
            <w:r>
              <w:rPr>
                <w:rFonts w:ascii="宋体" w:hAnsi="宋体" w:eastAsia="宋体" w:cs="宋体"/>
                <w:spacing w:val="-7"/>
              </w:rPr>
              <w:t>月</w:t>
            </w:r>
            <w:r>
              <w:rPr>
                <w:rFonts w:ascii="宋体" w:hAnsi="宋体" w:eastAsia="宋体" w:cs="宋体"/>
                <w:spacing w:val="-44"/>
              </w:rPr>
              <w:t xml:space="preserve"> </w:t>
            </w:r>
            <w:r>
              <w:rPr>
                <w:spacing w:val="-7"/>
              </w:rPr>
              <w:t xml:space="preserve">31  </w:t>
            </w:r>
            <w:r>
              <w:rPr>
                <w:rFonts w:ascii="宋体" w:hAnsi="宋体" w:eastAsia="宋体" w:cs="宋体"/>
                <w:spacing w:val="-7"/>
              </w:rPr>
              <w:t>日，旁路系统专项设计报</w:t>
            </w:r>
            <w:r>
              <w:rPr>
                <w:rFonts w:ascii="宋体" w:hAnsi="宋体" w:eastAsia="宋体" w:cs="宋体"/>
                <w:spacing w:val="11"/>
              </w:rPr>
              <w:t>告通过云南省水利水电工程技术评审中</w:t>
            </w:r>
            <w:r>
              <w:rPr>
                <w:rFonts w:ascii="宋体" w:hAnsi="宋体" w:eastAsia="宋体" w:cs="宋体"/>
                <w:spacing w:val="-1"/>
              </w:rPr>
              <w:t>心审查，经综合论证，取消车章河旁路系</w:t>
            </w:r>
            <w:r>
              <w:rPr>
                <w:rFonts w:ascii="宋体" w:hAnsi="宋体" w:eastAsia="宋体" w:cs="宋体"/>
                <w:spacing w:val="-6"/>
              </w:rPr>
              <w:t>统，马龙河处理规模调整为</w:t>
            </w:r>
            <w:r>
              <w:rPr>
                <w:rFonts w:ascii="宋体" w:hAnsi="宋体" w:eastAsia="宋体" w:cs="宋体"/>
                <w:spacing w:val="-36"/>
              </w:rPr>
              <w:t xml:space="preserve"> </w:t>
            </w:r>
            <w:r>
              <w:rPr>
                <w:spacing w:val="-6"/>
              </w:rPr>
              <w:t>8000</w:t>
            </w:r>
            <w:r>
              <w:rPr>
                <w:spacing w:val="-11"/>
              </w:rPr>
              <w:t xml:space="preserve"> </w:t>
            </w:r>
            <w:r>
              <w:rPr>
                <w:spacing w:val="-6"/>
              </w:rPr>
              <w:t>m</w:t>
            </w:r>
            <w:r>
              <w:rPr>
                <w:spacing w:val="-6"/>
                <w:position w:val="7"/>
                <w:sz w:val="14"/>
                <w:szCs w:val="14"/>
              </w:rPr>
              <w:t>3</w:t>
            </w:r>
            <w:r>
              <w:rPr>
                <w:spacing w:val="-6"/>
              </w:rPr>
              <w:t>/d</w:t>
            </w:r>
            <w:r>
              <w:rPr>
                <w:rFonts w:ascii="宋体" w:hAnsi="宋体" w:eastAsia="宋体" w:cs="宋体"/>
                <w:spacing w:val="-6"/>
              </w:rPr>
              <w:t>，白</w:t>
            </w:r>
            <w:r>
              <w:rPr>
                <w:rFonts w:ascii="宋体" w:hAnsi="宋体" w:eastAsia="宋体" w:cs="宋体"/>
                <w:spacing w:val="-2"/>
              </w:rPr>
              <w:t>塔河处理规模</w:t>
            </w:r>
            <w:r>
              <w:rPr>
                <w:rFonts w:ascii="宋体" w:hAnsi="宋体" w:eastAsia="宋体" w:cs="宋体"/>
                <w:spacing w:val="-40"/>
              </w:rPr>
              <w:t xml:space="preserve"> </w:t>
            </w:r>
            <w:r>
              <w:rPr>
                <w:spacing w:val="-2"/>
              </w:rPr>
              <w:t>6000 m</w:t>
            </w:r>
            <w:r>
              <w:rPr>
                <w:spacing w:val="-2"/>
                <w:position w:val="7"/>
                <w:sz w:val="14"/>
                <w:szCs w:val="14"/>
              </w:rPr>
              <w:t>3</w:t>
            </w:r>
            <w:r>
              <w:rPr>
                <w:spacing w:val="-2"/>
              </w:rPr>
              <w:t xml:space="preserve">/d </w:t>
            </w:r>
            <w:r>
              <w:rPr>
                <w:rFonts w:ascii="宋体" w:hAnsi="宋体" w:eastAsia="宋体" w:cs="宋体"/>
                <w:spacing w:val="-2"/>
              </w:rPr>
              <w:t>不变。</w:t>
            </w:r>
          </w:p>
        </w:tc>
        <w:tc>
          <w:tcPr>
            <w:tcW w:w="2405" w:type="dxa"/>
            <w:tcBorders>
              <w:bottom w:val="single" w:color="000000" w:sz="12" w:space="0"/>
              <w:right w:val="single" w:color="000000" w:sz="12" w:space="0"/>
            </w:tcBorders>
            <w:vAlign w:val="top"/>
          </w:tcPr>
          <w:p w14:paraId="0163A522">
            <w:pPr>
              <w:spacing w:line="398" w:lineRule="auto"/>
              <w:rPr>
                <w:rFonts w:ascii="Arial"/>
                <w:sz w:val="21"/>
              </w:rPr>
            </w:pPr>
          </w:p>
          <w:p w14:paraId="7D16A68A">
            <w:pPr>
              <w:spacing w:before="68" w:line="241" w:lineRule="auto"/>
              <w:ind w:left="43"/>
              <w:jc w:val="both"/>
              <w:rPr>
                <w:rFonts w:ascii="宋体" w:hAnsi="宋体" w:eastAsia="宋体" w:cs="宋体"/>
                <w:sz w:val="21"/>
                <w:szCs w:val="21"/>
              </w:rPr>
            </w:pPr>
            <w:r>
              <w:rPr>
                <w:rFonts w:ascii="宋体" w:hAnsi="宋体" w:eastAsia="宋体" w:cs="宋体"/>
                <w:spacing w:val="-5"/>
                <w:sz w:val="21"/>
                <w:szCs w:val="21"/>
              </w:rPr>
              <w:t>尽快实施旁路系统，蓄水期间对库区水质进行定期</w:t>
            </w:r>
            <w:r>
              <w:rPr>
                <w:rFonts w:ascii="宋体" w:hAnsi="宋体" w:eastAsia="宋体" w:cs="宋体"/>
                <w:spacing w:val="-15"/>
                <w:sz w:val="21"/>
                <w:szCs w:val="21"/>
              </w:rPr>
              <w:t>监测，确保水库水质达标。</w:t>
            </w:r>
          </w:p>
        </w:tc>
      </w:tr>
    </w:tbl>
    <w:p w14:paraId="07BA07E1">
      <w:pPr>
        <w:rPr>
          <w:rFonts w:ascii="Arial"/>
          <w:sz w:val="21"/>
        </w:rPr>
      </w:pPr>
    </w:p>
    <w:p w14:paraId="68838658">
      <w:pPr>
        <w:rPr>
          <w:rFonts w:ascii="Arial" w:hAnsi="Arial" w:eastAsia="Arial" w:cs="Arial"/>
          <w:sz w:val="21"/>
          <w:szCs w:val="21"/>
        </w:rPr>
        <w:sectPr>
          <w:headerReference r:id="rId148" w:type="default"/>
          <w:footerReference r:id="rId149" w:type="default"/>
          <w:pgSz w:w="23814" w:h="16443"/>
          <w:pgMar w:top="1376" w:right="1669" w:bottom="1061" w:left="1671" w:header="999" w:footer="861" w:gutter="0"/>
          <w:cols w:space="720" w:num="1"/>
        </w:sectPr>
      </w:pPr>
    </w:p>
    <w:p w14:paraId="2DFFED18">
      <w:pPr>
        <w:spacing w:before="148"/>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
        <w:gridCol w:w="3329"/>
        <w:gridCol w:w="847"/>
        <w:gridCol w:w="4107"/>
        <w:gridCol w:w="4954"/>
        <w:gridCol w:w="3822"/>
        <w:gridCol w:w="2405"/>
      </w:tblGrid>
      <w:tr w14:paraId="1C1F5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919" w:type="dxa"/>
            <w:vMerge w:val="restart"/>
            <w:tcBorders>
              <w:top w:val="single" w:color="000000" w:sz="12" w:space="0"/>
              <w:left w:val="single" w:color="000000" w:sz="12" w:space="0"/>
              <w:bottom w:val="nil"/>
            </w:tcBorders>
            <w:vAlign w:val="top"/>
          </w:tcPr>
          <w:p w14:paraId="197C2450">
            <w:pPr>
              <w:spacing w:before="49" w:line="243" w:lineRule="auto"/>
              <w:ind w:left="233" w:right="253"/>
              <w:rPr>
                <w:rFonts w:ascii="宋体" w:hAnsi="宋体" w:eastAsia="宋体" w:cs="宋体"/>
                <w:sz w:val="21"/>
                <w:szCs w:val="21"/>
              </w:rPr>
            </w:pPr>
            <w:r>
              <w:rPr>
                <w:rFonts w:ascii="宋体" w:hAnsi="宋体" w:eastAsia="宋体" w:cs="宋体"/>
                <w:spacing w:val="-5"/>
                <w:sz w:val="21"/>
                <w:szCs w:val="21"/>
              </w:rPr>
              <w:t>环保要求</w:t>
            </w:r>
          </w:p>
        </w:tc>
        <w:tc>
          <w:tcPr>
            <w:tcW w:w="8283" w:type="dxa"/>
            <w:gridSpan w:val="3"/>
            <w:tcBorders>
              <w:top w:val="single" w:color="000000" w:sz="12" w:space="0"/>
            </w:tcBorders>
            <w:vAlign w:val="top"/>
          </w:tcPr>
          <w:p w14:paraId="6B647CE0">
            <w:pPr>
              <w:spacing w:before="36" w:line="215" w:lineRule="auto"/>
              <w:ind w:left="3297"/>
              <w:rPr>
                <w:rFonts w:ascii="宋体" w:hAnsi="宋体" w:eastAsia="宋体" w:cs="宋体"/>
                <w:sz w:val="21"/>
                <w:szCs w:val="21"/>
              </w:rPr>
            </w:pPr>
            <w:r>
              <w:rPr>
                <w:rFonts w:ascii="宋体" w:hAnsi="宋体" w:eastAsia="宋体" w:cs="宋体"/>
                <w:spacing w:val="-1"/>
                <w:sz w:val="21"/>
                <w:szCs w:val="21"/>
              </w:rPr>
              <w:t>环境影响评价要求</w:t>
            </w:r>
          </w:p>
        </w:tc>
        <w:tc>
          <w:tcPr>
            <w:tcW w:w="4954" w:type="dxa"/>
            <w:vMerge w:val="restart"/>
            <w:tcBorders>
              <w:top w:val="single" w:color="000000" w:sz="12" w:space="0"/>
              <w:bottom w:val="nil"/>
            </w:tcBorders>
            <w:vAlign w:val="top"/>
          </w:tcPr>
          <w:p w14:paraId="2B26AF56">
            <w:pPr>
              <w:spacing w:before="185" w:line="220" w:lineRule="auto"/>
              <w:ind w:left="1535"/>
              <w:rPr>
                <w:rFonts w:ascii="宋体" w:hAnsi="宋体" w:eastAsia="宋体" w:cs="宋体"/>
                <w:sz w:val="21"/>
                <w:szCs w:val="21"/>
              </w:rPr>
            </w:pPr>
            <w:r>
              <w:rPr>
                <w:rFonts w:ascii="宋体" w:hAnsi="宋体" w:eastAsia="宋体" w:cs="宋体"/>
                <w:spacing w:val="-1"/>
                <w:sz w:val="21"/>
                <w:szCs w:val="21"/>
              </w:rPr>
              <w:t>初步设计中环保设计</w:t>
            </w:r>
          </w:p>
        </w:tc>
        <w:tc>
          <w:tcPr>
            <w:tcW w:w="6227" w:type="dxa"/>
            <w:gridSpan w:val="2"/>
            <w:tcBorders>
              <w:top w:val="single" w:color="000000" w:sz="12" w:space="0"/>
              <w:right w:val="single" w:color="000000" w:sz="12" w:space="0"/>
            </w:tcBorders>
            <w:vAlign w:val="top"/>
          </w:tcPr>
          <w:p w14:paraId="718C0277">
            <w:pPr>
              <w:spacing w:before="36" w:line="215" w:lineRule="auto"/>
              <w:ind w:left="2494"/>
              <w:rPr>
                <w:rFonts w:ascii="宋体" w:hAnsi="宋体" w:eastAsia="宋体" w:cs="宋体"/>
                <w:sz w:val="21"/>
                <w:szCs w:val="21"/>
              </w:rPr>
            </w:pPr>
            <w:r>
              <w:rPr>
                <w:rFonts w:ascii="宋体" w:hAnsi="宋体" w:eastAsia="宋体" w:cs="宋体"/>
                <w:spacing w:val="-3"/>
                <w:sz w:val="21"/>
                <w:szCs w:val="21"/>
              </w:rPr>
              <w:t>实际建设情况</w:t>
            </w:r>
          </w:p>
        </w:tc>
      </w:tr>
      <w:tr w14:paraId="0D7BA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bottom w:val="nil"/>
            </w:tcBorders>
            <w:vAlign w:val="top"/>
          </w:tcPr>
          <w:p w14:paraId="1EAD009B">
            <w:pPr>
              <w:rPr>
                <w:rFonts w:ascii="Arial"/>
                <w:sz w:val="21"/>
              </w:rPr>
            </w:pPr>
          </w:p>
        </w:tc>
        <w:tc>
          <w:tcPr>
            <w:tcW w:w="3329" w:type="dxa"/>
            <w:vAlign w:val="top"/>
          </w:tcPr>
          <w:p w14:paraId="7FA2D16A">
            <w:pPr>
              <w:spacing w:before="34" w:line="214" w:lineRule="auto"/>
              <w:ind w:left="1236"/>
              <w:rPr>
                <w:rFonts w:ascii="宋体" w:hAnsi="宋体" w:eastAsia="宋体" w:cs="宋体"/>
                <w:sz w:val="21"/>
                <w:szCs w:val="21"/>
              </w:rPr>
            </w:pPr>
            <w:r>
              <w:rPr>
                <w:rFonts w:ascii="宋体" w:hAnsi="宋体" w:eastAsia="宋体" w:cs="宋体"/>
                <w:spacing w:val="-2"/>
                <w:sz w:val="21"/>
                <w:szCs w:val="21"/>
              </w:rPr>
              <w:t>环评批复</w:t>
            </w:r>
          </w:p>
        </w:tc>
        <w:tc>
          <w:tcPr>
            <w:tcW w:w="4954" w:type="dxa"/>
            <w:gridSpan w:val="2"/>
            <w:vAlign w:val="top"/>
          </w:tcPr>
          <w:p w14:paraId="62909F15">
            <w:pPr>
              <w:spacing w:before="34" w:line="214" w:lineRule="auto"/>
              <w:ind w:left="1739"/>
              <w:rPr>
                <w:rFonts w:ascii="宋体" w:hAnsi="宋体" w:eastAsia="宋体" w:cs="宋体"/>
                <w:sz w:val="21"/>
                <w:szCs w:val="21"/>
              </w:rPr>
            </w:pPr>
            <w:r>
              <w:rPr>
                <w:rFonts w:ascii="宋体" w:hAnsi="宋体" w:eastAsia="宋体" w:cs="宋体"/>
                <w:spacing w:val="-2"/>
                <w:sz w:val="21"/>
                <w:szCs w:val="21"/>
              </w:rPr>
              <w:t>环境影响报告书</w:t>
            </w:r>
          </w:p>
        </w:tc>
        <w:tc>
          <w:tcPr>
            <w:tcW w:w="4954" w:type="dxa"/>
            <w:vMerge w:val="continue"/>
            <w:tcBorders>
              <w:top w:val="nil"/>
            </w:tcBorders>
            <w:vAlign w:val="top"/>
          </w:tcPr>
          <w:p w14:paraId="2E9A34A8">
            <w:pPr>
              <w:rPr>
                <w:rFonts w:ascii="Arial"/>
                <w:sz w:val="21"/>
              </w:rPr>
            </w:pPr>
          </w:p>
        </w:tc>
        <w:tc>
          <w:tcPr>
            <w:tcW w:w="3822" w:type="dxa"/>
            <w:vAlign w:val="top"/>
          </w:tcPr>
          <w:p w14:paraId="3711C099">
            <w:pPr>
              <w:spacing w:before="34" w:line="214" w:lineRule="auto"/>
              <w:ind w:left="1090"/>
              <w:rPr>
                <w:rFonts w:ascii="宋体" w:hAnsi="宋体" w:eastAsia="宋体" w:cs="宋体"/>
                <w:sz w:val="21"/>
                <w:szCs w:val="21"/>
              </w:rPr>
            </w:pPr>
            <w:r>
              <w:rPr>
                <w:rFonts w:ascii="宋体" w:hAnsi="宋体" w:eastAsia="宋体" w:cs="宋体"/>
                <w:spacing w:val="-2"/>
                <w:sz w:val="21"/>
                <w:szCs w:val="21"/>
              </w:rPr>
              <w:t>蓄水阶段执行情况</w:t>
            </w:r>
          </w:p>
        </w:tc>
        <w:tc>
          <w:tcPr>
            <w:tcW w:w="2405" w:type="dxa"/>
            <w:tcBorders>
              <w:right w:val="single" w:color="000000" w:sz="12" w:space="0"/>
            </w:tcBorders>
            <w:vAlign w:val="top"/>
          </w:tcPr>
          <w:p w14:paraId="3681E0F8">
            <w:pPr>
              <w:spacing w:before="34" w:line="214" w:lineRule="auto"/>
              <w:ind w:left="267"/>
              <w:rPr>
                <w:rFonts w:ascii="宋体" w:hAnsi="宋体" w:eastAsia="宋体" w:cs="宋体"/>
                <w:sz w:val="21"/>
                <w:szCs w:val="21"/>
              </w:rPr>
            </w:pPr>
            <w:r>
              <w:rPr>
                <w:rFonts w:ascii="宋体" w:hAnsi="宋体" w:eastAsia="宋体" w:cs="宋体"/>
                <w:spacing w:val="-2"/>
                <w:sz w:val="21"/>
                <w:szCs w:val="21"/>
              </w:rPr>
              <w:t>后续工作建议及要求</w:t>
            </w:r>
          </w:p>
        </w:tc>
      </w:tr>
      <w:tr w14:paraId="78489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919" w:type="dxa"/>
            <w:vMerge w:val="continue"/>
            <w:tcBorders>
              <w:top w:val="nil"/>
              <w:left w:val="single" w:color="000000" w:sz="12" w:space="0"/>
              <w:bottom w:val="nil"/>
            </w:tcBorders>
            <w:vAlign w:val="top"/>
          </w:tcPr>
          <w:p w14:paraId="79F33AE6">
            <w:pPr>
              <w:rPr>
                <w:rFonts w:ascii="Arial"/>
                <w:sz w:val="21"/>
              </w:rPr>
            </w:pPr>
          </w:p>
        </w:tc>
        <w:tc>
          <w:tcPr>
            <w:tcW w:w="3329" w:type="dxa"/>
            <w:vMerge w:val="restart"/>
            <w:tcBorders>
              <w:bottom w:val="nil"/>
            </w:tcBorders>
            <w:vAlign w:val="top"/>
          </w:tcPr>
          <w:p w14:paraId="3C708AD9">
            <w:pPr>
              <w:rPr>
                <w:rFonts w:ascii="Arial"/>
                <w:sz w:val="21"/>
              </w:rPr>
            </w:pPr>
          </w:p>
        </w:tc>
        <w:tc>
          <w:tcPr>
            <w:tcW w:w="847" w:type="dxa"/>
            <w:vMerge w:val="restart"/>
            <w:tcBorders>
              <w:bottom w:val="nil"/>
            </w:tcBorders>
            <w:vAlign w:val="top"/>
          </w:tcPr>
          <w:p w14:paraId="3C8A584D">
            <w:pPr>
              <w:spacing w:line="428" w:lineRule="auto"/>
              <w:rPr>
                <w:rFonts w:ascii="Arial"/>
                <w:sz w:val="21"/>
              </w:rPr>
            </w:pPr>
          </w:p>
          <w:p w14:paraId="06F87C15">
            <w:pPr>
              <w:spacing w:before="68" w:line="241" w:lineRule="auto"/>
              <w:ind w:left="311" w:right="112" w:hanging="209"/>
              <w:rPr>
                <w:rFonts w:ascii="宋体" w:hAnsi="宋体" w:eastAsia="宋体" w:cs="宋体"/>
                <w:sz w:val="21"/>
                <w:szCs w:val="21"/>
              </w:rPr>
            </w:pPr>
            <w:r>
              <w:rPr>
                <w:rFonts w:ascii="宋体" w:hAnsi="宋体" w:eastAsia="宋体" w:cs="宋体"/>
                <w:spacing w:val="-3"/>
                <w:sz w:val="21"/>
                <w:szCs w:val="21"/>
              </w:rPr>
              <w:t>地方政</w:t>
            </w:r>
            <w:r>
              <w:rPr>
                <w:rFonts w:ascii="宋体" w:hAnsi="宋体" w:eastAsia="宋体" w:cs="宋体"/>
                <w:sz w:val="21"/>
                <w:szCs w:val="21"/>
              </w:rPr>
              <w:t>府</w:t>
            </w:r>
          </w:p>
        </w:tc>
        <w:tc>
          <w:tcPr>
            <w:tcW w:w="4107" w:type="dxa"/>
            <w:vAlign w:val="top"/>
          </w:tcPr>
          <w:p w14:paraId="405C09C9">
            <w:pPr>
              <w:spacing w:before="36" w:line="213" w:lineRule="auto"/>
              <w:ind w:left="24"/>
              <w:rPr>
                <w:rFonts w:ascii="宋体" w:hAnsi="宋体" w:eastAsia="宋体" w:cs="宋体"/>
                <w:sz w:val="21"/>
                <w:szCs w:val="21"/>
              </w:rPr>
            </w:pPr>
            <w:r>
              <w:rPr>
                <w:rFonts w:ascii="宋体" w:hAnsi="宋体" w:eastAsia="宋体" w:cs="宋体"/>
                <w:spacing w:val="-1"/>
                <w:sz w:val="21"/>
                <w:szCs w:val="21"/>
              </w:rPr>
              <w:t>规模化养殖治理工程</w:t>
            </w:r>
          </w:p>
        </w:tc>
        <w:tc>
          <w:tcPr>
            <w:tcW w:w="4954" w:type="dxa"/>
            <w:vAlign w:val="top"/>
          </w:tcPr>
          <w:p w14:paraId="7F84C4F0">
            <w:pPr>
              <w:spacing w:before="36" w:line="213"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3AB33A6A">
            <w:pPr>
              <w:spacing w:before="36" w:line="213"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1BF96639">
            <w:pPr>
              <w:spacing w:before="36" w:line="213"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617C3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bottom w:val="nil"/>
            </w:tcBorders>
            <w:vAlign w:val="top"/>
          </w:tcPr>
          <w:p w14:paraId="6FBBEF7F">
            <w:pPr>
              <w:rPr>
                <w:rFonts w:ascii="Arial"/>
                <w:sz w:val="21"/>
              </w:rPr>
            </w:pPr>
          </w:p>
        </w:tc>
        <w:tc>
          <w:tcPr>
            <w:tcW w:w="3329" w:type="dxa"/>
            <w:vMerge w:val="continue"/>
            <w:tcBorders>
              <w:top w:val="nil"/>
              <w:bottom w:val="nil"/>
            </w:tcBorders>
            <w:vAlign w:val="top"/>
          </w:tcPr>
          <w:p w14:paraId="06A98F68">
            <w:pPr>
              <w:rPr>
                <w:rFonts w:ascii="Arial"/>
                <w:sz w:val="21"/>
              </w:rPr>
            </w:pPr>
          </w:p>
        </w:tc>
        <w:tc>
          <w:tcPr>
            <w:tcW w:w="847" w:type="dxa"/>
            <w:vMerge w:val="continue"/>
            <w:tcBorders>
              <w:top w:val="nil"/>
              <w:bottom w:val="nil"/>
            </w:tcBorders>
            <w:vAlign w:val="top"/>
          </w:tcPr>
          <w:p w14:paraId="6D1FC914">
            <w:pPr>
              <w:rPr>
                <w:rFonts w:ascii="Arial"/>
                <w:sz w:val="21"/>
              </w:rPr>
            </w:pPr>
          </w:p>
        </w:tc>
        <w:tc>
          <w:tcPr>
            <w:tcW w:w="4107" w:type="dxa"/>
            <w:vAlign w:val="top"/>
          </w:tcPr>
          <w:p w14:paraId="54C150EA">
            <w:pPr>
              <w:spacing w:before="36" w:line="212" w:lineRule="auto"/>
              <w:ind w:left="23"/>
              <w:rPr>
                <w:rFonts w:ascii="宋体" w:hAnsi="宋体" w:eastAsia="宋体" w:cs="宋体"/>
                <w:sz w:val="21"/>
                <w:szCs w:val="21"/>
              </w:rPr>
            </w:pPr>
            <w:r>
              <w:rPr>
                <w:rFonts w:ascii="宋体" w:hAnsi="宋体" w:eastAsia="宋体" w:cs="宋体"/>
                <w:spacing w:val="-1"/>
                <w:sz w:val="21"/>
                <w:szCs w:val="21"/>
              </w:rPr>
              <w:t>农业农村面源污染治理工程</w:t>
            </w:r>
          </w:p>
        </w:tc>
        <w:tc>
          <w:tcPr>
            <w:tcW w:w="4954" w:type="dxa"/>
            <w:vAlign w:val="top"/>
          </w:tcPr>
          <w:p w14:paraId="7E9FA45F">
            <w:pPr>
              <w:spacing w:before="36" w:line="212"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061EB0CB">
            <w:pPr>
              <w:spacing w:before="36" w:line="212"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7D0738CB">
            <w:pPr>
              <w:spacing w:before="36" w:line="212"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2DEE3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bottom w:val="nil"/>
            </w:tcBorders>
            <w:vAlign w:val="top"/>
          </w:tcPr>
          <w:p w14:paraId="5F804732">
            <w:pPr>
              <w:rPr>
                <w:rFonts w:ascii="Arial"/>
                <w:sz w:val="21"/>
              </w:rPr>
            </w:pPr>
          </w:p>
        </w:tc>
        <w:tc>
          <w:tcPr>
            <w:tcW w:w="3329" w:type="dxa"/>
            <w:vMerge w:val="continue"/>
            <w:tcBorders>
              <w:top w:val="nil"/>
              <w:bottom w:val="nil"/>
            </w:tcBorders>
            <w:vAlign w:val="top"/>
          </w:tcPr>
          <w:p w14:paraId="6E4550D9">
            <w:pPr>
              <w:rPr>
                <w:rFonts w:ascii="Arial"/>
                <w:sz w:val="21"/>
              </w:rPr>
            </w:pPr>
          </w:p>
        </w:tc>
        <w:tc>
          <w:tcPr>
            <w:tcW w:w="847" w:type="dxa"/>
            <w:vMerge w:val="continue"/>
            <w:tcBorders>
              <w:top w:val="nil"/>
              <w:bottom w:val="nil"/>
            </w:tcBorders>
            <w:vAlign w:val="top"/>
          </w:tcPr>
          <w:p w14:paraId="1B14D48D">
            <w:pPr>
              <w:rPr>
                <w:rFonts w:ascii="Arial"/>
                <w:sz w:val="21"/>
              </w:rPr>
            </w:pPr>
          </w:p>
        </w:tc>
        <w:tc>
          <w:tcPr>
            <w:tcW w:w="4107" w:type="dxa"/>
            <w:vAlign w:val="top"/>
          </w:tcPr>
          <w:p w14:paraId="15EF35BB">
            <w:pPr>
              <w:spacing w:before="37" w:line="211" w:lineRule="auto"/>
              <w:ind w:left="23"/>
              <w:rPr>
                <w:rFonts w:ascii="宋体" w:hAnsi="宋体" w:eastAsia="宋体" w:cs="宋体"/>
                <w:sz w:val="21"/>
                <w:szCs w:val="21"/>
              </w:rPr>
            </w:pPr>
            <w:r>
              <w:rPr>
                <w:rFonts w:ascii="宋体" w:hAnsi="宋体" w:eastAsia="宋体" w:cs="宋体"/>
                <w:spacing w:val="-1"/>
                <w:sz w:val="21"/>
                <w:szCs w:val="21"/>
              </w:rPr>
              <w:t>城镇生活污染防治工程</w:t>
            </w:r>
          </w:p>
        </w:tc>
        <w:tc>
          <w:tcPr>
            <w:tcW w:w="4954" w:type="dxa"/>
            <w:vAlign w:val="top"/>
          </w:tcPr>
          <w:p w14:paraId="55A6C1FF">
            <w:pPr>
              <w:spacing w:before="37" w:line="211"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6C392E20">
            <w:pPr>
              <w:spacing w:before="37" w:line="211"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1348A65E">
            <w:pPr>
              <w:spacing w:before="37" w:line="211"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663DD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919" w:type="dxa"/>
            <w:vMerge w:val="continue"/>
            <w:tcBorders>
              <w:top w:val="nil"/>
              <w:left w:val="single" w:color="000000" w:sz="12" w:space="0"/>
              <w:bottom w:val="nil"/>
            </w:tcBorders>
            <w:vAlign w:val="top"/>
          </w:tcPr>
          <w:p w14:paraId="68E28010">
            <w:pPr>
              <w:rPr>
                <w:rFonts w:ascii="Arial"/>
                <w:sz w:val="21"/>
              </w:rPr>
            </w:pPr>
          </w:p>
        </w:tc>
        <w:tc>
          <w:tcPr>
            <w:tcW w:w="3329" w:type="dxa"/>
            <w:vMerge w:val="continue"/>
            <w:tcBorders>
              <w:top w:val="nil"/>
              <w:bottom w:val="nil"/>
            </w:tcBorders>
            <w:vAlign w:val="top"/>
          </w:tcPr>
          <w:p w14:paraId="1B315677">
            <w:pPr>
              <w:rPr>
                <w:rFonts w:ascii="Arial"/>
                <w:sz w:val="21"/>
              </w:rPr>
            </w:pPr>
          </w:p>
        </w:tc>
        <w:tc>
          <w:tcPr>
            <w:tcW w:w="847" w:type="dxa"/>
            <w:vMerge w:val="continue"/>
            <w:tcBorders>
              <w:top w:val="nil"/>
              <w:bottom w:val="nil"/>
            </w:tcBorders>
            <w:vAlign w:val="top"/>
          </w:tcPr>
          <w:p w14:paraId="4909FC93">
            <w:pPr>
              <w:rPr>
                <w:rFonts w:ascii="Arial"/>
                <w:sz w:val="21"/>
              </w:rPr>
            </w:pPr>
          </w:p>
        </w:tc>
        <w:tc>
          <w:tcPr>
            <w:tcW w:w="4107" w:type="dxa"/>
            <w:vAlign w:val="top"/>
          </w:tcPr>
          <w:p w14:paraId="41FC8A80">
            <w:pPr>
              <w:spacing w:before="40" w:line="210" w:lineRule="auto"/>
              <w:ind w:left="26"/>
              <w:rPr>
                <w:rFonts w:ascii="宋体" w:hAnsi="宋体" w:eastAsia="宋体" w:cs="宋体"/>
                <w:sz w:val="21"/>
                <w:szCs w:val="21"/>
              </w:rPr>
            </w:pPr>
            <w:r>
              <w:rPr>
                <w:rFonts w:ascii="宋体" w:hAnsi="宋体" w:eastAsia="宋体" w:cs="宋体"/>
                <w:spacing w:val="-2"/>
                <w:sz w:val="21"/>
                <w:szCs w:val="21"/>
              </w:rPr>
              <w:t>工业污染防治工程</w:t>
            </w:r>
          </w:p>
        </w:tc>
        <w:tc>
          <w:tcPr>
            <w:tcW w:w="4954" w:type="dxa"/>
            <w:vAlign w:val="top"/>
          </w:tcPr>
          <w:p w14:paraId="62FC9D78">
            <w:pPr>
              <w:spacing w:before="40" w:line="210"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560B73AD">
            <w:pPr>
              <w:spacing w:before="40" w:line="210"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4458AAE8">
            <w:pPr>
              <w:spacing w:before="40" w:line="210"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7D8A6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bottom w:val="nil"/>
            </w:tcBorders>
            <w:vAlign w:val="top"/>
          </w:tcPr>
          <w:p w14:paraId="06F9E64C">
            <w:pPr>
              <w:rPr>
                <w:rFonts w:ascii="Arial"/>
                <w:sz w:val="21"/>
              </w:rPr>
            </w:pPr>
          </w:p>
        </w:tc>
        <w:tc>
          <w:tcPr>
            <w:tcW w:w="3329" w:type="dxa"/>
            <w:vMerge w:val="continue"/>
            <w:tcBorders>
              <w:top w:val="nil"/>
            </w:tcBorders>
            <w:vAlign w:val="top"/>
          </w:tcPr>
          <w:p w14:paraId="063854E4">
            <w:pPr>
              <w:rPr>
                <w:rFonts w:ascii="Arial"/>
                <w:sz w:val="21"/>
              </w:rPr>
            </w:pPr>
          </w:p>
        </w:tc>
        <w:tc>
          <w:tcPr>
            <w:tcW w:w="847" w:type="dxa"/>
            <w:vMerge w:val="continue"/>
            <w:tcBorders>
              <w:top w:val="nil"/>
            </w:tcBorders>
            <w:vAlign w:val="top"/>
          </w:tcPr>
          <w:p w14:paraId="78E2C626">
            <w:pPr>
              <w:rPr>
                <w:rFonts w:ascii="Arial"/>
                <w:sz w:val="21"/>
              </w:rPr>
            </w:pPr>
          </w:p>
        </w:tc>
        <w:tc>
          <w:tcPr>
            <w:tcW w:w="4107" w:type="dxa"/>
            <w:vAlign w:val="top"/>
          </w:tcPr>
          <w:p w14:paraId="28411ACF">
            <w:pPr>
              <w:spacing w:before="39" w:line="210" w:lineRule="auto"/>
              <w:ind w:left="23"/>
              <w:rPr>
                <w:rFonts w:ascii="宋体" w:hAnsi="宋体" w:eastAsia="宋体" w:cs="宋体"/>
                <w:sz w:val="21"/>
                <w:szCs w:val="21"/>
              </w:rPr>
            </w:pPr>
            <w:r>
              <w:rPr>
                <w:rFonts w:ascii="宋体" w:hAnsi="宋体" w:eastAsia="宋体" w:cs="宋体"/>
                <w:spacing w:val="-1"/>
                <w:sz w:val="21"/>
                <w:szCs w:val="21"/>
              </w:rPr>
              <w:t>全面实现流域综合治理和生态建设</w:t>
            </w:r>
          </w:p>
        </w:tc>
        <w:tc>
          <w:tcPr>
            <w:tcW w:w="4954" w:type="dxa"/>
            <w:vAlign w:val="top"/>
          </w:tcPr>
          <w:p w14:paraId="201E953D">
            <w:pPr>
              <w:spacing w:before="39" w:line="210"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51AD9E55">
            <w:pPr>
              <w:spacing w:before="39" w:line="210"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4FA99ED8">
            <w:pPr>
              <w:spacing w:before="39" w:line="210"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32695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919" w:type="dxa"/>
            <w:vMerge w:val="continue"/>
            <w:tcBorders>
              <w:top w:val="nil"/>
              <w:left w:val="single" w:color="000000" w:sz="12" w:space="0"/>
            </w:tcBorders>
            <w:vAlign w:val="top"/>
          </w:tcPr>
          <w:p w14:paraId="5E786FDB">
            <w:pPr>
              <w:rPr>
                <w:rFonts w:ascii="Arial"/>
                <w:sz w:val="21"/>
              </w:rPr>
            </w:pPr>
          </w:p>
        </w:tc>
        <w:tc>
          <w:tcPr>
            <w:tcW w:w="3329" w:type="dxa"/>
            <w:vAlign w:val="top"/>
          </w:tcPr>
          <w:p w14:paraId="495F46D0">
            <w:pPr>
              <w:spacing w:before="38" w:line="235" w:lineRule="auto"/>
              <w:ind w:left="16" w:right="31" w:firstLine="6"/>
              <w:jc w:val="both"/>
              <w:rPr>
                <w:rFonts w:ascii="宋体" w:hAnsi="宋体" w:eastAsia="宋体" w:cs="宋体"/>
                <w:sz w:val="21"/>
                <w:szCs w:val="21"/>
              </w:rPr>
            </w:pPr>
            <w:r>
              <w:rPr>
                <w:rFonts w:ascii="宋体" w:hAnsi="宋体" w:eastAsia="宋体" w:cs="宋体"/>
                <w:spacing w:val="-6"/>
                <w:sz w:val="21"/>
                <w:szCs w:val="21"/>
              </w:rPr>
              <w:t>高度重视受退水区水污染治理，以区域水环境质量改善为目标，完善具体治污方案。落实西城工业园区污水处理厂及配套管网建设工程、分散污染源综合治理工程、河道污染治理工程等，明确责任主体，确保按期完成各</w:t>
            </w:r>
            <w:r>
              <w:rPr>
                <w:rFonts w:ascii="宋体" w:hAnsi="宋体" w:eastAsia="宋体" w:cs="宋体"/>
                <w:spacing w:val="-3"/>
                <w:sz w:val="21"/>
                <w:szCs w:val="21"/>
              </w:rPr>
              <w:t>项治污工程及水污染防治措施。</w:t>
            </w:r>
          </w:p>
        </w:tc>
        <w:tc>
          <w:tcPr>
            <w:tcW w:w="4954" w:type="dxa"/>
            <w:gridSpan w:val="2"/>
            <w:vAlign w:val="top"/>
          </w:tcPr>
          <w:p w14:paraId="7F8C1997">
            <w:pPr>
              <w:spacing w:line="378" w:lineRule="auto"/>
              <w:rPr>
                <w:rFonts w:ascii="Arial"/>
                <w:sz w:val="21"/>
              </w:rPr>
            </w:pPr>
          </w:p>
          <w:p w14:paraId="3A442BFB">
            <w:pPr>
              <w:spacing w:before="68" w:line="220" w:lineRule="auto"/>
              <w:ind w:left="22"/>
              <w:rPr>
                <w:rFonts w:ascii="宋体" w:hAnsi="宋体" w:eastAsia="宋体" w:cs="宋体"/>
                <w:sz w:val="21"/>
                <w:szCs w:val="21"/>
              </w:rPr>
            </w:pPr>
            <w:r>
              <w:rPr>
                <w:rFonts w:ascii="宋体" w:hAnsi="宋体" w:eastAsia="宋体" w:cs="宋体"/>
                <w:spacing w:val="-1"/>
                <w:sz w:val="21"/>
                <w:szCs w:val="21"/>
              </w:rPr>
              <w:t>节水措施：工业节水、农业节水、管理节水措施</w:t>
            </w:r>
          </w:p>
          <w:p w14:paraId="2224B04C">
            <w:pPr>
              <w:spacing w:before="23" w:line="241" w:lineRule="auto"/>
              <w:ind w:left="21" w:right="24" w:firstLine="5"/>
              <w:rPr>
                <w:rFonts w:ascii="宋体" w:hAnsi="宋体" w:eastAsia="宋体" w:cs="宋体"/>
                <w:sz w:val="21"/>
                <w:szCs w:val="21"/>
              </w:rPr>
            </w:pPr>
            <w:r>
              <w:rPr>
                <w:rFonts w:ascii="宋体" w:hAnsi="宋体" w:eastAsia="宋体" w:cs="宋体"/>
                <w:spacing w:val="-10"/>
                <w:sz w:val="21"/>
                <w:szCs w:val="21"/>
              </w:rPr>
              <w:t>治理措施：工业退水（旧县、马过河工业园区；</w:t>
            </w:r>
            <w:r>
              <w:rPr>
                <w:rFonts w:ascii="宋体" w:hAnsi="宋体" w:eastAsia="宋体" w:cs="宋体"/>
                <w:spacing w:val="-14"/>
                <w:sz w:val="21"/>
                <w:szCs w:val="21"/>
              </w:rPr>
              <w:t xml:space="preserve"> </w:t>
            </w:r>
            <w:r>
              <w:rPr>
                <w:rFonts w:ascii="宋体" w:hAnsi="宋体" w:eastAsia="宋体" w:cs="宋体"/>
                <w:spacing w:val="-10"/>
                <w:sz w:val="21"/>
                <w:szCs w:val="21"/>
              </w:rPr>
              <w:t>西城工</w:t>
            </w:r>
            <w:r>
              <w:rPr>
                <w:rFonts w:ascii="宋体" w:hAnsi="宋体" w:eastAsia="宋体" w:cs="宋体"/>
                <w:spacing w:val="-4"/>
                <w:sz w:val="21"/>
                <w:szCs w:val="21"/>
              </w:rPr>
              <w:t>业园区</w:t>
            </w:r>
            <w:r>
              <w:rPr>
                <w:rFonts w:ascii="宋体" w:hAnsi="宋体" w:eastAsia="宋体" w:cs="宋体"/>
                <w:spacing w:val="-28"/>
                <w:sz w:val="21"/>
                <w:szCs w:val="21"/>
              </w:rPr>
              <w:t>）；</w:t>
            </w:r>
            <w:r>
              <w:rPr>
                <w:rFonts w:ascii="宋体" w:hAnsi="宋体" w:eastAsia="宋体" w:cs="宋体"/>
                <w:spacing w:val="-4"/>
                <w:sz w:val="21"/>
                <w:szCs w:val="21"/>
              </w:rPr>
              <w:t>农业回归水、曲靖市水污染防治工作治理要</w:t>
            </w:r>
            <w:r>
              <w:rPr>
                <w:rFonts w:ascii="宋体" w:hAnsi="宋体" w:eastAsia="宋体" w:cs="宋体"/>
                <w:spacing w:val="-10"/>
                <w:sz w:val="21"/>
                <w:szCs w:val="21"/>
              </w:rPr>
              <w:t>求。</w:t>
            </w:r>
          </w:p>
        </w:tc>
        <w:tc>
          <w:tcPr>
            <w:tcW w:w="4954" w:type="dxa"/>
            <w:vAlign w:val="top"/>
          </w:tcPr>
          <w:p w14:paraId="0C76380E">
            <w:pPr>
              <w:spacing w:line="261" w:lineRule="auto"/>
              <w:rPr>
                <w:rFonts w:ascii="Arial"/>
                <w:sz w:val="21"/>
              </w:rPr>
            </w:pPr>
          </w:p>
          <w:p w14:paraId="2758CB27">
            <w:pPr>
              <w:spacing w:line="262" w:lineRule="auto"/>
              <w:rPr>
                <w:rFonts w:ascii="Arial"/>
                <w:sz w:val="21"/>
              </w:rPr>
            </w:pPr>
          </w:p>
          <w:p w14:paraId="639BDC1B">
            <w:pPr>
              <w:spacing w:line="262" w:lineRule="auto"/>
              <w:rPr>
                <w:rFonts w:ascii="Arial"/>
                <w:sz w:val="21"/>
              </w:rPr>
            </w:pPr>
          </w:p>
          <w:p w14:paraId="0127F26C">
            <w:pPr>
              <w:spacing w:before="69" w:line="220" w:lineRule="auto"/>
              <w:ind w:left="49"/>
              <w:rPr>
                <w:rFonts w:ascii="宋体" w:hAnsi="宋体" w:eastAsia="宋体" w:cs="宋体"/>
                <w:sz w:val="21"/>
                <w:szCs w:val="21"/>
              </w:rPr>
            </w:pPr>
            <w:r>
              <w:rPr>
                <w:rFonts w:ascii="宋体" w:hAnsi="宋体" w:eastAsia="宋体" w:cs="宋体"/>
                <w:spacing w:val="-9"/>
                <w:sz w:val="21"/>
                <w:szCs w:val="21"/>
              </w:rPr>
              <w:t>同环评要求。</w:t>
            </w:r>
          </w:p>
        </w:tc>
        <w:tc>
          <w:tcPr>
            <w:tcW w:w="3822" w:type="dxa"/>
            <w:vAlign w:val="top"/>
          </w:tcPr>
          <w:p w14:paraId="0A1DF2FC">
            <w:pPr>
              <w:spacing w:line="261" w:lineRule="auto"/>
              <w:rPr>
                <w:rFonts w:ascii="Arial"/>
                <w:sz w:val="21"/>
              </w:rPr>
            </w:pPr>
          </w:p>
          <w:p w14:paraId="42CCD3FC">
            <w:pPr>
              <w:spacing w:line="262" w:lineRule="auto"/>
              <w:rPr>
                <w:rFonts w:ascii="Arial"/>
                <w:sz w:val="21"/>
              </w:rPr>
            </w:pPr>
          </w:p>
          <w:p w14:paraId="74464E55">
            <w:pPr>
              <w:spacing w:line="262" w:lineRule="auto"/>
              <w:rPr>
                <w:rFonts w:ascii="Arial"/>
                <w:sz w:val="21"/>
              </w:rPr>
            </w:pPr>
          </w:p>
          <w:p w14:paraId="5208A1AB">
            <w:pPr>
              <w:spacing w:before="68" w:line="219" w:lineRule="auto"/>
              <w:ind w:left="556"/>
              <w:rPr>
                <w:rFonts w:ascii="宋体" w:hAnsi="宋体" w:eastAsia="宋体" w:cs="宋体"/>
                <w:sz w:val="21"/>
                <w:szCs w:val="21"/>
              </w:rPr>
            </w:pPr>
            <w:r>
              <w:rPr>
                <w:rFonts w:ascii="宋体" w:hAnsi="宋体" w:eastAsia="宋体" w:cs="宋体"/>
                <w:spacing w:val="-1"/>
                <w:sz w:val="21"/>
                <w:szCs w:val="21"/>
              </w:rPr>
              <w:t>地方政府正在逐步实施过程中</w:t>
            </w:r>
          </w:p>
        </w:tc>
        <w:tc>
          <w:tcPr>
            <w:tcW w:w="2405" w:type="dxa"/>
            <w:tcBorders>
              <w:right w:val="single" w:color="000000" w:sz="12" w:space="0"/>
            </w:tcBorders>
            <w:vAlign w:val="top"/>
          </w:tcPr>
          <w:p w14:paraId="2F5A87BA">
            <w:pPr>
              <w:spacing w:line="261" w:lineRule="auto"/>
              <w:rPr>
                <w:rFonts w:ascii="Arial"/>
                <w:sz w:val="21"/>
              </w:rPr>
            </w:pPr>
          </w:p>
          <w:p w14:paraId="10642F52">
            <w:pPr>
              <w:spacing w:line="262" w:lineRule="auto"/>
              <w:rPr>
                <w:rFonts w:ascii="Arial"/>
                <w:sz w:val="21"/>
              </w:rPr>
            </w:pPr>
          </w:p>
          <w:p w14:paraId="70C16AAA">
            <w:pPr>
              <w:spacing w:line="262" w:lineRule="auto"/>
              <w:rPr>
                <w:rFonts w:ascii="Arial"/>
                <w:sz w:val="21"/>
              </w:rPr>
            </w:pPr>
          </w:p>
          <w:p w14:paraId="4CAD8F65">
            <w:pPr>
              <w:spacing w:before="69" w:line="220"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136B1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19" w:type="dxa"/>
            <w:vMerge w:val="restart"/>
            <w:tcBorders>
              <w:left w:val="single" w:color="000000" w:sz="12" w:space="0"/>
              <w:bottom w:val="nil"/>
            </w:tcBorders>
            <w:vAlign w:val="top"/>
          </w:tcPr>
          <w:p w14:paraId="63E9830D">
            <w:pPr>
              <w:spacing w:line="260" w:lineRule="auto"/>
              <w:rPr>
                <w:rFonts w:ascii="Arial"/>
                <w:sz w:val="21"/>
              </w:rPr>
            </w:pPr>
          </w:p>
          <w:p w14:paraId="622CE0C8">
            <w:pPr>
              <w:spacing w:line="260" w:lineRule="auto"/>
              <w:rPr>
                <w:rFonts w:ascii="Arial"/>
                <w:sz w:val="21"/>
              </w:rPr>
            </w:pPr>
          </w:p>
          <w:p w14:paraId="5F8D15F4">
            <w:pPr>
              <w:spacing w:line="260" w:lineRule="auto"/>
              <w:rPr>
                <w:rFonts w:ascii="Arial"/>
                <w:sz w:val="21"/>
              </w:rPr>
            </w:pPr>
          </w:p>
          <w:p w14:paraId="12375735">
            <w:pPr>
              <w:spacing w:line="260" w:lineRule="auto"/>
              <w:rPr>
                <w:rFonts w:ascii="Arial"/>
                <w:sz w:val="21"/>
              </w:rPr>
            </w:pPr>
          </w:p>
          <w:p w14:paraId="4E646266">
            <w:pPr>
              <w:spacing w:line="260" w:lineRule="auto"/>
              <w:rPr>
                <w:rFonts w:ascii="Arial"/>
                <w:sz w:val="21"/>
              </w:rPr>
            </w:pPr>
          </w:p>
          <w:p w14:paraId="2625C1EB">
            <w:pPr>
              <w:spacing w:line="260" w:lineRule="auto"/>
              <w:rPr>
                <w:rFonts w:ascii="Arial"/>
                <w:sz w:val="21"/>
              </w:rPr>
            </w:pPr>
          </w:p>
          <w:p w14:paraId="46A50F60">
            <w:pPr>
              <w:spacing w:line="260" w:lineRule="auto"/>
              <w:rPr>
                <w:rFonts w:ascii="Arial"/>
                <w:sz w:val="21"/>
              </w:rPr>
            </w:pPr>
          </w:p>
          <w:p w14:paraId="45C36574">
            <w:pPr>
              <w:spacing w:line="260" w:lineRule="auto"/>
              <w:rPr>
                <w:rFonts w:ascii="Arial"/>
                <w:sz w:val="21"/>
              </w:rPr>
            </w:pPr>
          </w:p>
          <w:p w14:paraId="5D7730F6">
            <w:pPr>
              <w:spacing w:line="260" w:lineRule="auto"/>
              <w:rPr>
                <w:rFonts w:ascii="Arial"/>
                <w:sz w:val="21"/>
              </w:rPr>
            </w:pPr>
          </w:p>
          <w:p w14:paraId="6BA6E665">
            <w:pPr>
              <w:spacing w:line="261" w:lineRule="auto"/>
              <w:rPr>
                <w:rFonts w:ascii="Arial"/>
                <w:sz w:val="21"/>
              </w:rPr>
            </w:pPr>
          </w:p>
          <w:p w14:paraId="15049306">
            <w:pPr>
              <w:spacing w:before="68" w:line="220" w:lineRule="auto"/>
              <w:ind w:left="23"/>
              <w:rPr>
                <w:rFonts w:ascii="宋体" w:hAnsi="宋体" w:eastAsia="宋体" w:cs="宋体"/>
                <w:sz w:val="21"/>
                <w:szCs w:val="21"/>
              </w:rPr>
            </w:pPr>
            <w:r>
              <w:rPr>
                <w:rFonts w:ascii="宋体" w:hAnsi="宋体" w:eastAsia="宋体" w:cs="宋体"/>
                <w:spacing w:val="-2"/>
                <w:sz w:val="21"/>
                <w:szCs w:val="21"/>
              </w:rPr>
              <w:t>做好水生</w:t>
            </w:r>
          </w:p>
          <w:p w14:paraId="727260FE">
            <w:pPr>
              <w:spacing w:before="22" w:line="220" w:lineRule="auto"/>
              <w:ind w:left="25"/>
              <w:rPr>
                <w:rFonts w:ascii="宋体" w:hAnsi="宋体" w:eastAsia="宋体" w:cs="宋体"/>
                <w:sz w:val="21"/>
                <w:szCs w:val="21"/>
              </w:rPr>
            </w:pPr>
            <w:r>
              <w:rPr>
                <w:rFonts w:ascii="宋体" w:hAnsi="宋体" w:eastAsia="宋体" w:cs="宋体"/>
                <w:spacing w:val="-2"/>
                <w:sz w:val="21"/>
                <w:szCs w:val="21"/>
              </w:rPr>
              <w:t>生态保护</w:t>
            </w:r>
          </w:p>
          <w:p w14:paraId="10F1EFEC">
            <w:pPr>
              <w:spacing w:before="22" w:line="220" w:lineRule="auto"/>
              <w:ind w:left="236"/>
              <w:rPr>
                <w:rFonts w:ascii="宋体" w:hAnsi="宋体" w:eastAsia="宋体" w:cs="宋体"/>
                <w:sz w:val="21"/>
                <w:szCs w:val="21"/>
              </w:rPr>
            </w:pPr>
            <w:r>
              <w:rPr>
                <w:rFonts w:ascii="宋体" w:hAnsi="宋体" w:eastAsia="宋体" w:cs="宋体"/>
                <w:spacing w:val="-3"/>
                <w:sz w:val="21"/>
                <w:szCs w:val="21"/>
              </w:rPr>
              <w:t>工作</w:t>
            </w:r>
          </w:p>
        </w:tc>
        <w:tc>
          <w:tcPr>
            <w:tcW w:w="3329" w:type="dxa"/>
            <w:vAlign w:val="top"/>
          </w:tcPr>
          <w:p w14:paraId="2D341933">
            <w:pPr>
              <w:spacing w:before="44" w:line="222" w:lineRule="auto"/>
              <w:ind w:left="17" w:right="31" w:hanging="1"/>
              <w:rPr>
                <w:rFonts w:ascii="宋体" w:hAnsi="宋体" w:eastAsia="宋体" w:cs="宋体"/>
                <w:sz w:val="21"/>
                <w:szCs w:val="21"/>
              </w:rPr>
            </w:pPr>
            <w:r>
              <w:rPr>
                <w:rFonts w:ascii="宋体" w:hAnsi="宋体" w:eastAsia="宋体" w:cs="宋体"/>
                <w:spacing w:val="-6"/>
                <w:sz w:val="21"/>
                <w:szCs w:val="21"/>
              </w:rPr>
              <w:t>采取设置鱼类栖息地、建设鱼道和增</w:t>
            </w:r>
            <w:r>
              <w:rPr>
                <w:rFonts w:ascii="宋体" w:hAnsi="宋体" w:eastAsia="宋体" w:cs="宋体"/>
                <w:spacing w:val="-4"/>
                <w:sz w:val="21"/>
                <w:szCs w:val="21"/>
              </w:rPr>
              <w:t>殖放流等保护措施。</w:t>
            </w:r>
          </w:p>
        </w:tc>
        <w:tc>
          <w:tcPr>
            <w:tcW w:w="4954" w:type="dxa"/>
            <w:gridSpan w:val="2"/>
            <w:vAlign w:val="top"/>
          </w:tcPr>
          <w:p w14:paraId="6A8F3FAB">
            <w:pPr>
              <w:spacing w:before="44" w:line="222" w:lineRule="auto"/>
              <w:ind w:left="23"/>
              <w:rPr>
                <w:rFonts w:ascii="宋体" w:hAnsi="宋体" w:eastAsia="宋体" w:cs="宋体"/>
                <w:sz w:val="21"/>
                <w:szCs w:val="21"/>
              </w:rPr>
            </w:pPr>
            <w:r>
              <w:rPr>
                <w:rFonts w:ascii="宋体" w:hAnsi="宋体" w:eastAsia="宋体" w:cs="宋体"/>
                <w:spacing w:val="-5"/>
                <w:sz w:val="21"/>
                <w:szCs w:val="21"/>
              </w:rPr>
              <w:t>提出了栖息地保护、增殖放流、过鱼设施、科学研究、渔政管理、长期监测等措施。</w:t>
            </w:r>
          </w:p>
        </w:tc>
        <w:tc>
          <w:tcPr>
            <w:tcW w:w="4954" w:type="dxa"/>
            <w:vAlign w:val="top"/>
          </w:tcPr>
          <w:p w14:paraId="1D48101C">
            <w:pPr>
              <w:spacing w:before="44" w:line="222" w:lineRule="auto"/>
              <w:ind w:left="32" w:right="18" w:hanging="3"/>
              <w:rPr>
                <w:rFonts w:ascii="宋体" w:hAnsi="宋体" w:eastAsia="宋体" w:cs="宋体"/>
                <w:sz w:val="21"/>
                <w:szCs w:val="21"/>
              </w:rPr>
            </w:pPr>
            <w:r>
              <w:rPr>
                <w:rFonts w:ascii="宋体" w:hAnsi="宋体" w:eastAsia="宋体" w:cs="宋体"/>
                <w:spacing w:val="-6"/>
                <w:sz w:val="21"/>
                <w:szCs w:val="21"/>
              </w:rPr>
              <w:t>提出了建设栖息地保护、鱼道、鱼类增殖站、拦鱼</w:t>
            </w:r>
            <w:r>
              <w:rPr>
                <w:rFonts w:ascii="宋体" w:hAnsi="宋体" w:eastAsia="宋体" w:cs="宋体"/>
                <w:spacing w:val="-7"/>
                <w:sz w:val="21"/>
                <w:szCs w:val="21"/>
              </w:rPr>
              <w:t>栅等系列措施。</w:t>
            </w:r>
          </w:p>
        </w:tc>
        <w:tc>
          <w:tcPr>
            <w:tcW w:w="3822" w:type="dxa"/>
            <w:vAlign w:val="top"/>
          </w:tcPr>
          <w:p w14:paraId="10B17F6D">
            <w:pPr>
              <w:spacing w:before="44" w:line="220" w:lineRule="auto"/>
              <w:ind w:left="243"/>
              <w:rPr>
                <w:rFonts w:ascii="宋体" w:hAnsi="宋体" w:eastAsia="宋体" w:cs="宋体"/>
                <w:sz w:val="21"/>
                <w:szCs w:val="21"/>
              </w:rPr>
            </w:pPr>
            <w:r>
              <w:rPr>
                <w:rFonts w:ascii="宋体" w:hAnsi="宋体" w:eastAsia="宋体" w:cs="宋体"/>
                <w:spacing w:val="-1"/>
                <w:sz w:val="21"/>
                <w:szCs w:val="21"/>
              </w:rPr>
              <w:t>建设了鱼道、鱼类增殖站、鱼类栖息</w:t>
            </w:r>
          </w:p>
          <w:p w14:paraId="13737B4E">
            <w:pPr>
              <w:spacing w:before="22" w:line="205" w:lineRule="auto"/>
              <w:ind w:left="556"/>
              <w:rPr>
                <w:rFonts w:ascii="宋体" w:hAnsi="宋体" w:eastAsia="宋体" w:cs="宋体"/>
                <w:sz w:val="21"/>
                <w:szCs w:val="21"/>
              </w:rPr>
            </w:pPr>
            <w:r>
              <w:rPr>
                <w:rFonts w:ascii="宋体" w:hAnsi="宋体" w:eastAsia="宋体" w:cs="宋体"/>
                <w:spacing w:val="-3"/>
                <w:sz w:val="21"/>
                <w:szCs w:val="21"/>
              </w:rPr>
              <w:t>地、拦鱼栅等鱼类保护设施。</w:t>
            </w:r>
          </w:p>
        </w:tc>
        <w:tc>
          <w:tcPr>
            <w:tcW w:w="2405" w:type="dxa"/>
            <w:tcBorders>
              <w:right w:val="single" w:color="000000" w:sz="12" w:space="0"/>
            </w:tcBorders>
            <w:vAlign w:val="top"/>
          </w:tcPr>
          <w:p w14:paraId="66CA770E">
            <w:pPr>
              <w:spacing w:before="180" w:line="220" w:lineRule="auto"/>
              <w:ind w:left="581"/>
              <w:rPr>
                <w:rFonts w:ascii="宋体" w:hAnsi="宋体" w:eastAsia="宋体" w:cs="宋体"/>
                <w:sz w:val="21"/>
                <w:szCs w:val="21"/>
              </w:rPr>
            </w:pPr>
            <w:r>
              <w:rPr>
                <w:rFonts w:ascii="宋体" w:hAnsi="宋体" w:eastAsia="宋体" w:cs="宋体"/>
                <w:spacing w:val="-2"/>
                <w:sz w:val="21"/>
                <w:szCs w:val="21"/>
              </w:rPr>
              <w:t>加快运行进度</w:t>
            </w:r>
          </w:p>
        </w:tc>
      </w:tr>
      <w:tr w14:paraId="2B6B5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6" w:hRule="atLeast"/>
        </w:trPr>
        <w:tc>
          <w:tcPr>
            <w:tcW w:w="919" w:type="dxa"/>
            <w:vMerge w:val="continue"/>
            <w:tcBorders>
              <w:top w:val="nil"/>
              <w:left w:val="single" w:color="000000" w:sz="12" w:space="0"/>
              <w:bottom w:val="nil"/>
            </w:tcBorders>
            <w:vAlign w:val="top"/>
          </w:tcPr>
          <w:p w14:paraId="12A484F5">
            <w:pPr>
              <w:rPr>
                <w:rFonts w:ascii="Arial"/>
                <w:sz w:val="21"/>
              </w:rPr>
            </w:pPr>
          </w:p>
        </w:tc>
        <w:tc>
          <w:tcPr>
            <w:tcW w:w="3329" w:type="dxa"/>
            <w:vAlign w:val="top"/>
          </w:tcPr>
          <w:p w14:paraId="7533CEF0">
            <w:pPr>
              <w:pStyle w:val="6"/>
              <w:spacing w:before="46" w:line="232" w:lineRule="auto"/>
              <w:ind w:left="16" w:right="31" w:firstLine="1"/>
              <w:jc w:val="both"/>
              <w:rPr>
                <w:rFonts w:ascii="宋体" w:hAnsi="宋体" w:eastAsia="宋体" w:cs="宋体"/>
              </w:rPr>
            </w:pPr>
            <w:r>
              <w:rPr>
                <w:rFonts w:ascii="宋体" w:hAnsi="宋体" w:eastAsia="宋体" w:cs="宋体"/>
                <w:spacing w:val="-6"/>
              </w:rPr>
              <w:t>严格落实“以新带老”措施，拆除库</w:t>
            </w:r>
            <w:r>
              <w:rPr>
                <w:rFonts w:ascii="宋体" w:hAnsi="宋体" w:eastAsia="宋体" w:cs="宋体"/>
                <w:spacing w:val="-3"/>
              </w:rPr>
              <w:t xml:space="preserve">尾以上 </w:t>
            </w:r>
            <w:r>
              <w:rPr>
                <w:spacing w:val="-3"/>
              </w:rPr>
              <w:t>2km</w:t>
            </w:r>
            <w:r>
              <w:rPr>
                <w:spacing w:val="60"/>
                <w:w w:val="101"/>
              </w:rPr>
              <w:t xml:space="preserve"> </w:t>
            </w:r>
            <w:r>
              <w:rPr>
                <w:rFonts w:ascii="宋体" w:hAnsi="宋体" w:eastAsia="宋体" w:cs="宋体"/>
                <w:spacing w:val="-3"/>
              </w:rPr>
              <w:t>处滚水坝，在库尾以上</w:t>
            </w:r>
            <w:r>
              <w:rPr>
                <w:spacing w:val="-3"/>
              </w:rPr>
              <w:t xml:space="preserve">5.5km </w:t>
            </w:r>
            <w:r>
              <w:rPr>
                <w:rFonts w:ascii="宋体" w:hAnsi="宋体" w:eastAsia="宋体" w:cs="宋体"/>
                <w:spacing w:val="-3"/>
              </w:rPr>
              <w:t>处拦河坝及坝下石仙人坝、支</w:t>
            </w:r>
            <w:r>
              <w:rPr>
                <w:rFonts w:ascii="宋体" w:hAnsi="宋体" w:eastAsia="宋体" w:cs="宋体"/>
                <w:spacing w:val="7"/>
              </w:rPr>
              <w:t>流白塔河上滚水坝等处修建池式鱼</w:t>
            </w:r>
            <w:r>
              <w:rPr>
                <w:rFonts w:ascii="宋体" w:hAnsi="宋体" w:eastAsia="宋体" w:cs="宋体"/>
                <w:spacing w:val="-4"/>
              </w:rPr>
              <w:t>道，恢复河流连通性。</w:t>
            </w:r>
          </w:p>
        </w:tc>
        <w:tc>
          <w:tcPr>
            <w:tcW w:w="4954" w:type="dxa"/>
            <w:gridSpan w:val="2"/>
            <w:vAlign w:val="top"/>
          </w:tcPr>
          <w:p w14:paraId="232ECD5E">
            <w:pPr>
              <w:pStyle w:val="6"/>
              <w:spacing w:before="46" w:line="232" w:lineRule="auto"/>
              <w:ind w:left="22" w:firstLine="2"/>
              <w:jc w:val="both"/>
              <w:rPr>
                <w:rFonts w:ascii="宋体" w:hAnsi="宋体" w:eastAsia="宋体" w:cs="宋体"/>
              </w:rPr>
            </w:pPr>
            <w:r>
              <w:rPr>
                <w:rFonts w:ascii="宋体" w:hAnsi="宋体" w:eastAsia="宋体" w:cs="宋体"/>
                <w:spacing w:val="-3"/>
              </w:rPr>
              <w:t>建议拆除车马碧库尾以上</w:t>
            </w:r>
            <w:r>
              <w:rPr>
                <w:rFonts w:ascii="宋体" w:hAnsi="宋体" w:eastAsia="宋体" w:cs="宋体"/>
                <w:spacing w:val="-27"/>
              </w:rPr>
              <w:t xml:space="preserve"> </w:t>
            </w:r>
            <w:r>
              <w:rPr>
                <w:spacing w:val="-3"/>
              </w:rPr>
              <w:t>2km</w:t>
            </w:r>
            <w:r>
              <w:rPr>
                <w:spacing w:val="18"/>
              </w:rPr>
              <w:t xml:space="preserve"> </w:t>
            </w:r>
            <w:r>
              <w:rPr>
                <w:rFonts w:ascii="宋体" w:hAnsi="宋体" w:eastAsia="宋体" w:cs="宋体"/>
                <w:spacing w:val="-3"/>
              </w:rPr>
              <w:t xml:space="preserve">处拦河坝；对车马碧库尾以上 </w:t>
            </w:r>
            <w:r>
              <w:rPr>
                <w:spacing w:val="-3"/>
              </w:rPr>
              <w:t>5.5km</w:t>
            </w:r>
            <w:r>
              <w:rPr>
                <w:spacing w:val="53"/>
              </w:rPr>
              <w:t xml:space="preserve"> </w:t>
            </w:r>
            <w:r>
              <w:rPr>
                <w:rFonts w:ascii="宋体" w:hAnsi="宋体" w:eastAsia="宋体" w:cs="宋体"/>
                <w:spacing w:val="-3"/>
              </w:rPr>
              <w:t>处拦河坝进行改造；石仙人拦河坝处生</w:t>
            </w:r>
            <w:r>
              <w:rPr>
                <w:rFonts w:ascii="宋体" w:hAnsi="宋体" w:eastAsia="宋体" w:cs="宋体"/>
                <w:spacing w:val="1"/>
              </w:rPr>
              <w:t>态流量通过生态鱼道和生态流量泄放管共同下泄；建</w:t>
            </w:r>
            <w:r>
              <w:rPr>
                <w:rFonts w:ascii="宋体" w:hAnsi="宋体" w:eastAsia="宋体" w:cs="宋体"/>
                <w:spacing w:val="-5"/>
              </w:rPr>
              <w:t>议结合凤龙湾坝后电站运行，优化水库调度运行方案，为下泄生态流量提供保障。</w:t>
            </w:r>
          </w:p>
        </w:tc>
        <w:tc>
          <w:tcPr>
            <w:tcW w:w="4954" w:type="dxa"/>
            <w:vAlign w:val="top"/>
          </w:tcPr>
          <w:p w14:paraId="08F7903A">
            <w:pPr>
              <w:pStyle w:val="6"/>
              <w:spacing w:before="185"/>
              <w:ind w:left="28" w:right="24" w:firstLine="1"/>
              <w:jc w:val="both"/>
              <w:rPr>
                <w:rFonts w:ascii="宋体" w:hAnsi="宋体" w:eastAsia="宋体" w:cs="宋体"/>
              </w:rPr>
            </w:pPr>
            <w:r>
              <w:rPr>
                <w:rFonts w:ascii="宋体" w:hAnsi="宋体" w:eastAsia="宋体" w:cs="宋体"/>
                <w:spacing w:val="2"/>
              </w:rPr>
              <w:t>按栖息地保护中栖息地连通性恢复要求，对石仙人滚</w:t>
            </w:r>
            <w:r>
              <w:rPr>
                <w:rFonts w:ascii="宋体" w:hAnsi="宋体" w:eastAsia="宋体" w:cs="宋体"/>
                <w:spacing w:val="-2"/>
              </w:rPr>
              <w:t xml:space="preserve">水坝、距车马碧库尾 </w:t>
            </w:r>
            <w:r>
              <w:rPr>
                <w:spacing w:val="-2"/>
              </w:rPr>
              <w:t xml:space="preserve">5.5km  </w:t>
            </w:r>
            <w:r>
              <w:rPr>
                <w:rFonts w:ascii="宋体" w:hAnsi="宋体" w:eastAsia="宋体" w:cs="宋体"/>
                <w:spacing w:val="-2"/>
              </w:rPr>
              <w:t>的滚水坝、支流白塔河汇口以上</w:t>
            </w:r>
            <w:r>
              <w:rPr>
                <w:rFonts w:ascii="宋体" w:hAnsi="宋体" w:eastAsia="宋体" w:cs="宋体"/>
                <w:spacing w:val="-28"/>
              </w:rPr>
              <w:t xml:space="preserve"> </w:t>
            </w:r>
            <w:r>
              <w:rPr>
                <w:spacing w:val="-2"/>
              </w:rPr>
              <w:t>6km</w:t>
            </w:r>
            <w:r>
              <w:rPr>
                <w:spacing w:val="16"/>
                <w:w w:val="101"/>
              </w:rPr>
              <w:t xml:space="preserve"> </w:t>
            </w:r>
            <w:r>
              <w:rPr>
                <w:rFonts w:ascii="宋体" w:hAnsi="宋体" w:eastAsia="宋体" w:cs="宋体"/>
                <w:spacing w:val="-2"/>
              </w:rPr>
              <w:t>上的滚水坝修建池式鱼道，对距车马碧库</w:t>
            </w:r>
            <w:r>
              <w:rPr>
                <w:rFonts w:ascii="宋体" w:hAnsi="宋体" w:eastAsia="宋体" w:cs="宋体"/>
                <w:spacing w:val="-3"/>
              </w:rPr>
              <w:t>尾</w:t>
            </w:r>
            <w:r>
              <w:rPr>
                <w:rFonts w:ascii="宋体" w:hAnsi="宋体" w:eastAsia="宋体" w:cs="宋体"/>
                <w:spacing w:val="-31"/>
              </w:rPr>
              <w:t xml:space="preserve"> </w:t>
            </w:r>
            <w:r>
              <w:rPr>
                <w:spacing w:val="-3"/>
              </w:rPr>
              <w:t>2.0km</w:t>
            </w:r>
            <w:r>
              <w:rPr>
                <w:spacing w:val="23"/>
                <w:w w:val="101"/>
              </w:rPr>
              <w:t xml:space="preserve"> </w:t>
            </w:r>
            <w:r>
              <w:rPr>
                <w:rFonts w:ascii="宋体" w:hAnsi="宋体" w:eastAsia="宋体" w:cs="宋体"/>
                <w:spacing w:val="-3"/>
              </w:rPr>
              <w:t>的滚水坝拟对其进行拆除。</w:t>
            </w:r>
          </w:p>
        </w:tc>
        <w:tc>
          <w:tcPr>
            <w:tcW w:w="3822" w:type="dxa"/>
            <w:vAlign w:val="top"/>
          </w:tcPr>
          <w:p w14:paraId="3370FE98">
            <w:pPr>
              <w:spacing w:line="259" w:lineRule="auto"/>
              <w:rPr>
                <w:rFonts w:ascii="Arial"/>
                <w:sz w:val="21"/>
              </w:rPr>
            </w:pPr>
          </w:p>
          <w:p w14:paraId="0F9807F8">
            <w:pPr>
              <w:spacing w:line="260" w:lineRule="auto"/>
              <w:rPr>
                <w:rFonts w:ascii="Arial"/>
                <w:sz w:val="21"/>
              </w:rPr>
            </w:pPr>
          </w:p>
          <w:p w14:paraId="6D4970B8">
            <w:pPr>
              <w:spacing w:before="68" w:line="220" w:lineRule="auto"/>
              <w:ind w:left="1209"/>
              <w:rPr>
                <w:rFonts w:ascii="宋体" w:hAnsi="宋体" w:eastAsia="宋体" w:cs="宋体"/>
                <w:sz w:val="21"/>
                <w:szCs w:val="21"/>
              </w:rPr>
            </w:pPr>
            <w:r>
              <w:rPr>
                <w:rFonts w:ascii="宋体" w:hAnsi="宋体" w:eastAsia="宋体" w:cs="宋体"/>
                <w:spacing w:val="-4"/>
                <w:sz w:val="21"/>
                <w:szCs w:val="21"/>
              </w:rPr>
              <w:t>已完成前期征地</w:t>
            </w:r>
          </w:p>
        </w:tc>
        <w:tc>
          <w:tcPr>
            <w:tcW w:w="2405" w:type="dxa"/>
            <w:tcBorders>
              <w:right w:val="single" w:color="000000" w:sz="12" w:space="0"/>
            </w:tcBorders>
            <w:vAlign w:val="top"/>
          </w:tcPr>
          <w:p w14:paraId="08E7196E">
            <w:pPr>
              <w:spacing w:line="259" w:lineRule="auto"/>
              <w:rPr>
                <w:rFonts w:ascii="Arial"/>
                <w:sz w:val="21"/>
              </w:rPr>
            </w:pPr>
          </w:p>
          <w:p w14:paraId="3772F950">
            <w:pPr>
              <w:spacing w:line="260" w:lineRule="auto"/>
              <w:rPr>
                <w:rFonts w:ascii="Arial"/>
                <w:sz w:val="21"/>
              </w:rPr>
            </w:pPr>
          </w:p>
          <w:p w14:paraId="119966AD">
            <w:pPr>
              <w:spacing w:before="69" w:line="220" w:lineRule="auto"/>
              <w:ind w:left="581"/>
              <w:rPr>
                <w:rFonts w:ascii="宋体" w:hAnsi="宋体" w:eastAsia="宋体" w:cs="宋体"/>
                <w:sz w:val="21"/>
                <w:szCs w:val="21"/>
              </w:rPr>
            </w:pPr>
            <w:r>
              <w:rPr>
                <w:rFonts w:ascii="宋体" w:hAnsi="宋体" w:eastAsia="宋体" w:cs="宋体"/>
                <w:spacing w:val="-2"/>
                <w:sz w:val="21"/>
                <w:szCs w:val="21"/>
              </w:rPr>
              <w:t>加快建设进度</w:t>
            </w:r>
          </w:p>
        </w:tc>
      </w:tr>
      <w:tr w14:paraId="4CE5F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0" w:hRule="atLeast"/>
        </w:trPr>
        <w:tc>
          <w:tcPr>
            <w:tcW w:w="919" w:type="dxa"/>
            <w:vMerge w:val="continue"/>
            <w:tcBorders>
              <w:top w:val="nil"/>
              <w:left w:val="single" w:color="000000" w:sz="12" w:space="0"/>
              <w:bottom w:val="nil"/>
            </w:tcBorders>
            <w:vAlign w:val="top"/>
          </w:tcPr>
          <w:p w14:paraId="732D709C">
            <w:pPr>
              <w:rPr>
                <w:rFonts w:ascii="Arial"/>
                <w:sz w:val="21"/>
              </w:rPr>
            </w:pPr>
          </w:p>
        </w:tc>
        <w:tc>
          <w:tcPr>
            <w:tcW w:w="3329" w:type="dxa"/>
            <w:vAlign w:val="top"/>
          </w:tcPr>
          <w:p w14:paraId="661536DE">
            <w:pPr>
              <w:spacing w:line="252" w:lineRule="auto"/>
              <w:rPr>
                <w:rFonts w:ascii="Arial"/>
                <w:sz w:val="21"/>
              </w:rPr>
            </w:pPr>
          </w:p>
          <w:p w14:paraId="6DC610CF">
            <w:pPr>
              <w:spacing w:before="69"/>
              <w:ind w:left="15" w:right="31"/>
              <w:jc w:val="both"/>
              <w:rPr>
                <w:rFonts w:ascii="宋体" w:hAnsi="宋体" w:eastAsia="宋体" w:cs="宋体"/>
                <w:sz w:val="21"/>
                <w:szCs w:val="21"/>
              </w:rPr>
            </w:pPr>
            <w:r>
              <w:rPr>
                <w:rFonts w:ascii="宋体" w:hAnsi="宋体" w:eastAsia="宋体" w:cs="宋体"/>
                <w:spacing w:val="7"/>
                <w:sz w:val="21"/>
                <w:szCs w:val="21"/>
              </w:rPr>
              <w:t>将车马碧坝址至凤龙湾库尾之间的</w:t>
            </w:r>
            <w:r>
              <w:rPr>
                <w:rFonts w:ascii="宋体" w:hAnsi="宋体" w:eastAsia="宋体" w:cs="宋体"/>
                <w:spacing w:val="-6"/>
                <w:sz w:val="21"/>
                <w:szCs w:val="21"/>
              </w:rPr>
              <w:t>干流、车马碧库尾以上干流、支流白</w:t>
            </w:r>
            <w:r>
              <w:rPr>
                <w:rFonts w:ascii="宋体" w:hAnsi="宋体" w:eastAsia="宋体" w:cs="宋体"/>
                <w:spacing w:val="7"/>
                <w:sz w:val="21"/>
                <w:szCs w:val="21"/>
              </w:rPr>
              <w:t>塔河汇口至四旗田水库坝址等河段</w:t>
            </w:r>
            <w:r>
              <w:rPr>
                <w:rFonts w:ascii="宋体" w:hAnsi="宋体" w:eastAsia="宋体" w:cs="宋体"/>
                <w:spacing w:val="-6"/>
                <w:sz w:val="21"/>
                <w:szCs w:val="21"/>
              </w:rPr>
              <w:t>划为鱼类栖息地，不再开发，并采取有效措施予以保护，截流前完成鱼类栖息地建设。</w:t>
            </w:r>
          </w:p>
        </w:tc>
        <w:tc>
          <w:tcPr>
            <w:tcW w:w="4954" w:type="dxa"/>
            <w:gridSpan w:val="2"/>
            <w:vAlign w:val="top"/>
          </w:tcPr>
          <w:p w14:paraId="43975836">
            <w:pPr>
              <w:pStyle w:val="6"/>
              <w:spacing w:before="50" w:line="234" w:lineRule="auto"/>
              <w:ind w:left="20" w:right="24"/>
              <w:jc w:val="both"/>
              <w:rPr>
                <w:rFonts w:ascii="宋体" w:hAnsi="宋体" w:eastAsia="宋体" w:cs="宋体"/>
              </w:rPr>
            </w:pPr>
            <w:r>
              <w:rPr>
                <w:rFonts w:ascii="宋体" w:hAnsi="宋体" w:eastAsia="宋体" w:cs="宋体"/>
                <w:spacing w:val="-5"/>
              </w:rPr>
              <w:t>将车马碧坝址至凤龙湾库尾之间的</w:t>
            </w:r>
            <w:r>
              <w:rPr>
                <w:rFonts w:ascii="宋体" w:hAnsi="宋体" w:eastAsia="宋体" w:cs="宋体"/>
                <w:spacing w:val="-20"/>
              </w:rPr>
              <w:t xml:space="preserve"> </w:t>
            </w:r>
            <w:r>
              <w:rPr>
                <w:spacing w:val="-5"/>
              </w:rPr>
              <w:t xml:space="preserve">11km </w:t>
            </w:r>
            <w:r>
              <w:rPr>
                <w:rFonts w:ascii="宋体" w:hAnsi="宋体" w:eastAsia="宋体" w:cs="宋体"/>
                <w:spacing w:val="-5"/>
              </w:rPr>
              <w:t>干流河段、车</w:t>
            </w:r>
            <w:r>
              <w:rPr>
                <w:rFonts w:ascii="宋体" w:hAnsi="宋体" w:eastAsia="宋体" w:cs="宋体"/>
                <w:spacing w:val="-2"/>
              </w:rPr>
              <w:t>马碧库尾至其上游</w:t>
            </w:r>
            <w:r>
              <w:rPr>
                <w:rFonts w:ascii="宋体" w:hAnsi="宋体" w:eastAsia="宋体" w:cs="宋体"/>
                <w:spacing w:val="-28"/>
              </w:rPr>
              <w:t xml:space="preserve"> </w:t>
            </w:r>
            <w:r>
              <w:rPr>
                <w:spacing w:val="-2"/>
              </w:rPr>
              <w:t>7km</w:t>
            </w:r>
            <w:r>
              <w:rPr>
                <w:spacing w:val="32"/>
              </w:rPr>
              <w:t xml:space="preserve"> </w:t>
            </w:r>
            <w:r>
              <w:rPr>
                <w:rFonts w:ascii="宋体" w:hAnsi="宋体" w:eastAsia="宋体" w:cs="宋体"/>
                <w:spacing w:val="-2"/>
              </w:rPr>
              <w:t>的干流河段、白塔河支流汇口</w:t>
            </w:r>
            <w:r>
              <w:rPr>
                <w:rFonts w:ascii="宋体" w:hAnsi="宋体" w:eastAsia="宋体" w:cs="宋体"/>
                <w:spacing w:val="-1"/>
              </w:rPr>
              <w:t xml:space="preserve">至四旗田水库坝址 </w:t>
            </w:r>
            <w:r>
              <w:rPr>
                <w:spacing w:val="-1"/>
              </w:rPr>
              <w:t>16km</w:t>
            </w:r>
            <w:r>
              <w:rPr>
                <w:spacing w:val="17"/>
              </w:rPr>
              <w:t xml:space="preserve">  </w:t>
            </w:r>
            <w:r>
              <w:rPr>
                <w:rFonts w:ascii="宋体" w:hAnsi="宋体" w:eastAsia="宋体" w:cs="宋体"/>
                <w:spacing w:val="-1"/>
              </w:rPr>
              <w:t>的河段划分为鱼类栖息地保</w:t>
            </w:r>
            <w:r>
              <w:rPr>
                <w:rFonts w:ascii="宋体" w:hAnsi="宋体" w:eastAsia="宋体" w:cs="宋体"/>
                <w:spacing w:val="-6"/>
              </w:rPr>
              <w:t>护河段。开展滇池金线鲃栖息生境保护研究，对滇池金线鲃栖息生境的水体形态特征、水文条件、水质条件等进行研究。工程建成后，应对干支流栖息地保护河段进行长期的水质、鱼类和水生生物、重要生境等生态环境</w:t>
            </w:r>
            <w:r>
              <w:rPr>
                <w:rFonts w:ascii="宋体" w:hAnsi="宋体" w:eastAsia="宋体" w:cs="宋体"/>
                <w:spacing w:val="-9"/>
              </w:rPr>
              <w:t>监测。</w:t>
            </w:r>
          </w:p>
        </w:tc>
        <w:tc>
          <w:tcPr>
            <w:tcW w:w="4954" w:type="dxa"/>
            <w:vAlign w:val="top"/>
          </w:tcPr>
          <w:p w14:paraId="79C2DB0D">
            <w:pPr>
              <w:spacing w:line="328" w:lineRule="auto"/>
              <w:rPr>
                <w:rFonts w:ascii="Arial"/>
                <w:sz w:val="21"/>
              </w:rPr>
            </w:pPr>
          </w:p>
          <w:p w14:paraId="5A54A26C">
            <w:pPr>
              <w:spacing w:line="329" w:lineRule="auto"/>
              <w:rPr>
                <w:rFonts w:ascii="Arial"/>
                <w:sz w:val="21"/>
              </w:rPr>
            </w:pPr>
          </w:p>
          <w:p w14:paraId="4F1E2A61">
            <w:pPr>
              <w:pStyle w:val="6"/>
              <w:spacing w:before="68" w:line="237" w:lineRule="auto"/>
              <w:ind w:left="28" w:right="17"/>
              <w:jc w:val="both"/>
              <w:rPr>
                <w:rFonts w:ascii="宋体" w:hAnsi="宋体" w:eastAsia="宋体" w:cs="宋体"/>
              </w:rPr>
            </w:pPr>
            <w:r>
              <w:rPr>
                <w:rFonts w:ascii="宋体" w:hAnsi="宋体" w:eastAsia="宋体" w:cs="宋体"/>
                <w:spacing w:val="5"/>
              </w:rPr>
              <w:t>划定保留的天然河段</w:t>
            </w:r>
            <w:r>
              <w:rPr>
                <w:spacing w:val="5"/>
              </w:rPr>
              <w:t>+</w:t>
            </w:r>
            <w:r>
              <w:rPr>
                <w:rFonts w:ascii="宋体" w:hAnsi="宋体" w:eastAsia="宋体" w:cs="宋体"/>
                <w:spacing w:val="5"/>
              </w:rPr>
              <w:t>恢复连通性</w:t>
            </w:r>
            <w:r>
              <w:rPr>
                <w:spacing w:val="5"/>
              </w:rPr>
              <w:t>+</w:t>
            </w:r>
            <w:r>
              <w:rPr>
                <w:rFonts w:ascii="宋体" w:hAnsi="宋体" w:eastAsia="宋体" w:cs="宋体"/>
                <w:spacing w:val="5"/>
              </w:rPr>
              <w:t>水质保护和管理</w:t>
            </w:r>
            <w:r>
              <w:rPr>
                <w:spacing w:val="5"/>
              </w:rPr>
              <w:t>+</w:t>
            </w:r>
            <w:r>
              <w:rPr>
                <w:rFonts w:ascii="宋体" w:hAnsi="宋体" w:eastAsia="宋体" w:cs="宋体"/>
                <w:spacing w:val="-3"/>
              </w:rPr>
              <w:t>宣传牌、界碑</w:t>
            </w:r>
            <w:r>
              <w:rPr>
                <w:spacing w:val="-3"/>
              </w:rPr>
              <w:t>+</w:t>
            </w:r>
            <w:r>
              <w:rPr>
                <w:rFonts w:ascii="宋体" w:hAnsi="宋体" w:eastAsia="宋体" w:cs="宋体"/>
                <w:spacing w:val="-3"/>
              </w:rPr>
              <w:t>加强渔政管理</w:t>
            </w:r>
            <w:r>
              <w:rPr>
                <w:spacing w:val="-3"/>
              </w:rPr>
              <w:t>+</w:t>
            </w:r>
            <w:r>
              <w:rPr>
                <w:rFonts w:ascii="宋体" w:hAnsi="宋体" w:eastAsia="宋体" w:cs="宋体"/>
                <w:spacing w:val="-3"/>
              </w:rPr>
              <w:t>进行长期维护和</w:t>
            </w:r>
            <w:r>
              <w:rPr>
                <w:rFonts w:ascii="宋体" w:hAnsi="宋体" w:eastAsia="宋体" w:cs="宋体"/>
                <w:spacing w:val="-4"/>
              </w:rPr>
              <w:t>巡视</w:t>
            </w:r>
            <w:r>
              <w:rPr>
                <w:spacing w:val="-4"/>
              </w:rPr>
              <w:t>+</w:t>
            </w:r>
            <w:r>
              <w:rPr>
                <w:rFonts w:ascii="宋体" w:hAnsi="宋体" w:eastAsia="宋体" w:cs="宋体"/>
                <w:spacing w:val="-4"/>
              </w:rPr>
              <w:t>科</w:t>
            </w:r>
            <w:r>
              <w:rPr>
                <w:rFonts w:ascii="宋体" w:hAnsi="宋体" w:eastAsia="宋体" w:cs="宋体"/>
                <w:spacing w:val="-2"/>
              </w:rPr>
              <w:t>研和监测。</w:t>
            </w:r>
          </w:p>
        </w:tc>
        <w:tc>
          <w:tcPr>
            <w:tcW w:w="3822" w:type="dxa"/>
            <w:vAlign w:val="top"/>
          </w:tcPr>
          <w:p w14:paraId="4AF50A78">
            <w:pPr>
              <w:spacing w:line="329" w:lineRule="auto"/>
              <w:rPr>
                <w:rFonts w:ascii="Arial"/>
                <w:sz w:val="21"/>
              </w:rPr>
            </w:pPr>
          </w:p>
          <w:p w14:paraId="2563A166">
            <w:pPr>
              <w:spacing w:line="330" w:lineRule="auto"/>
              <w:rPr>
                <w:rFonts w:ascii="Arial"/>
                <w:sz w:val="21"/>
              </w:rPr>
            </w:pPr>
          </w:p>
          <w:p w14:paraId="3D94AB15">
            <w:pPr>
              <w:pStyle w:val="6"/>
              <w:spacing w:before="68" w:line="239" w:lineRule="auto"/>
              <w:ind w:left="39" w:right="11" w:firstLine="3"/>
              <w:jc w:val="both"/>
              <w:rPr>
                <w:rFonts w:ascii="宋体" w:hAnsi="宋体" w:eastAsia="宋体" w:cs="宋体"/>
              </w:rPr>
            </w:pPr>
            <w:r>
              <w:rPr>
                <w:rFonts w:ascii="宋体" w:hAnsi="宋体" w:eastAsia="宋体" w:cs="宋体"/>
              </w:rPr>
              <w:t>马龙区人民政府于</w:t>
            </w:r>
            <w:r>
              <w:t xml:space="preserve">2021 </w:t>
            </w:r>
            <w:r>
              <w:rPr>
                <w:rFonts w:ascii="宋体" w:hAnsi="宋体" w:eastAsia="宋体" w:cs="宋体"/>
              </w:rPr>
              <w:t>年</w:t>
            </w:r>
            <w:r>
              <w:rPr>
                <w:rFonts w:ascii="宋体" w:hAnsi="宋体" w:eastAsia="宋体" w:cs="宋体"/>
                <w:spacing w:val="-24"/>
              </w:rPr>
              <w:t xml:space="preserve"> </w:t>
            </w:r>
            <w:r>
              <w:t xml:space="preserve">11 </w:t>
            </w:r>
            <w:r>
              <w:rPr>
                <w:rFonts w:ascii="宋体" w:hAnsi="宋体" w:eastAsia="宋体" w:cs="宋体"/>
              </w:rPr>
              <w:t>月对地方相</w:t>
            </w:r>
            <w:r>
              <w:rPr>
                <w:rFonts w:ascii="宋体" w:hAnsi="宋体" w:eastAsia="宋体" w:cs="宋体"/>
                <w:spacing w:val="-2"/>
              </w:rPr>
              <w:t>关部门征求栖息地保护方案意见，待下发</w:t>
            </w:r>
            <w:r>
              <w:rPr>
                <w:rFonts w:ascii="宋体" w:hAnsi="宋体" w:eastAsia="宋体" w:cs="宋体"/>
                <w:spacing w:val="-1"/>
              </w:rPr>
              <w:t>正式批文后开始招标施工。</w:t>
            </w:r>
          </w:p>
        </w:tc>
        <w:tc>
          <w:tcPr>
            <w:tcW w:w="2405" w:type="dxa"/>
            <w:tcBorders>
              <w:right w:val="single" w:color="000000" w:sz="12" w:space="0"/>
            </w:tcBorders>
            <w:vAlign w:val="top"/>
          </w:tcPr>
          <w:p w14:paraId="145515A0">
            <w:pPr>
              <w:spacing w:line="309" w:lineRule="auto"/>
              <w:rPr>
                <w:rFonts w:ascii="Arial"/>
                <w:sz w:val="21"/>
              </w:rPr>
            </w:pPr>
          </w:p>
          <w:p w14:paraId="7C0920DE">
            <w:pPr>
              <w:spacing w:line="309" w:lineRule="auto"/>
              <w:rPr>
                <w:rFonts w:ascii="Arial"/>
                <w:sz w:val="21"/>
              </w:rPr>
            </w:pPr>
          </w:p>
          <w:p w14:paraId="1FEDA796">
            <w:pPr>
              <w:spacing w:line="310" w:lineRule="auto"/>
              <w:rPr>
                <w:rFonts w:ascii="Arial"/>
                <w:sz w:val="21"/>
              </w:rPr>
            </w:pPr>
          </w:p>
          <w:p w14:paraId="5B823E80">
            <w:pPr>
              <w:spacing w:before="69" w:line="220" w:lineRule="auto"/>
              <w:ind w:left="265"/>
              <w:rPr>
                <w:rFonts w:ascii="宋体" w:hAnsi="宋体" w:eastAsia="宋体" w:cs="宋体"/>
                <w:sz w:val="21"/>
                <w:szCs w:val="21"/>
              </w:rPr>
            </w:pPr>
            <w:r>
              <w:rPr>
                <w:rFonts w:ascii="宋体" w:hAnsi="宋体" w:eastAsia="宋体" w:cs="宋体"/>
                <w:spacing w:val="-1"/>
                <w:sz w:val="21"/>
                <w:szCs w:val="21"/>
              </w:rPr>
              <w:t>加快栖息地建设进度</w:t>
            </w:r>
          </w:p>
        </w:tc>
      </w:tr>
      <w:tr w14:paraId="738FC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919" w:type="dxa"/>
            <w:vMerge w:val="continue"/>
            <w:tcBorders>
              <w:top w:val="nil"/>
              <w:left w:val="single" w:color="000000" w:sz="12" w:space="0"/>
              <w:bottom w:val="nil"/>
            </w:tcBorders>
            <w:vAlign w:val="top"/>
          </w:tcPr>
          <w:p w14:paraId="0B150E8D">
            <w:pPr>
              <w:rPr>
                <w:rFonts w:ascii="Arial"/>
                <w:sz w:val="21"/>
              </w:rPr>
            </w:pPr>
          </w:p>
        </w:tc>
        <w:tc>
          <w:tcPr>
            <w:tcW w:w="3329" w:type="dxa"/>
            <w:vAlign w:val="top"/>
          </w:tcPr>
          <w:p w14:paraId="2BE8564F">
            <w:pPr>
              <w:spacing w:before="55" w:line="225" w:lineRule="auto"/>
              <w:ind w:left="18" w:right="31" w:firstLine="4"/>
              <w:jc w:val="both"/>
              <w:rPr>
                <w:rFonts w:ascii="宋体" w:hAnsi="宋体" w:eastAsia="宋体" w:cs="宋体"/>
                <w:sz w:val="21"/>
                <w:szCs w:val="21"/>
              </w:rPr>
            </w:pPr>
            <w:r>
              <w:rPr>
                <w:rFonts w:ascii="宋体" w:hAnsi="宋体" w:eastAsia="宋体" w:cs="宋体"/>
                <w:spacing w:val="-7"/>
                <w:sz w:val="21"/>
                <w:szCs w:val="21"/>
              </w:rPr>
              <w:t>下一步开展鱼道水工模型实验，优化</w:t>
            </w:r>
            <w:r>
              <w:rPr>
                <w:rFonts w:ascii="宋体" w:hAnsi="宋体" w:eastAsia="宋体" w:cs="宋体"/>
                <w:spacing w:val="-6"/>
                <w:sz w:val="21"/>
                <w:szCs w:val="21"/>
              </w:rPr>
              <w:t>设计方案，蓄水前建成鱼道，后期开</w:t>
            </w:r>
            <w:r>
              <w:rPr>
                <w:rFonts w:ascii="宋体" w:hAnsi="宋体" w:eastAsia="宋体" w:cs="宋体"/>
                <w:spacing w:val="-4"/>
                <w:sz w:val="21"/>
                <w:szCs w:val="21"/>
              </w:rPr>
              <w:t>展过鱼效果监测与评估。</w:t>
            </w:r>
          </w:p>
        </w:tc>
        <w:tc>
          <w:tcPr>
            <w:tcW w:w="4954" w:type="dxa"/>
            <w:gridSpan w:val="2"/>
            <w:vAlign w:val="top"/>
          </w:tcPr>
          <w:p w14:paraId="12C7267C">
            <w:pPr>
              <w:spacing w:before="189" w:line="242" w:lineRule="auto"/>
              <w:ind w:left="168" w:right="62" w:hanging="109"/>
              <w:rPr>
                <w:rFonts w:ascii="宋体" w:hAnsi="宋体" w:eastAsia="宋体" w:cs="宋体"/>
                <w:sz w:val="21"/>
                <w:szCs w:val="21"/>
              </w:rPr>
            </w:pPr>
            <w:r>
              <w:rPr>
                <w:rFonts w:ascii="宋体" w:hAnsi="宋体" w:eastAsia="宋体" w:cs="宋体"/>
                <w:spacing w:val="-1"/>
                <w:sz w:val="21"/>
                <w:szCs w:val="21"/>
              </w:rPr>
              <w:t>推荐鱼道作为本工程的过鱼措施，鱼道采用垂直竖缝</w:t>
            </w:r>
            <w:r>
              <w:rPr>
                <w:rFonts w:ascii="宋体" w:hAnsi="宋体" w:eastAsia="宋体" w:cs="宋体"/>
                <w:spacing w:val="-2"/>
                <w:sz w:val="21"/>
                <w:szCs w:val="21"/>
              </w:rPr>
              <w:t>式鱼道，由进口、明渠段、隧洞段以及出口组成。</w:t>
            </w:r>
          </w:p>
        </w:tc>
        <w:tc>
          <w:tcPr>
            <w:tcW w:w="4954" w:type="dxa"/>
            <w:vAlign w:val="top"/>
          </w:tcPr>
          <w:p w14:paraId="71F67D95">
            <w:pPr>
              <w:pStyle w:val="6"/>
              <w:spacing w:before="191" w:line="235" w:lineRule="auto"/>
              <w:ind w:left="28" w:firstLine="3"/>
              <w:rPr>
                <w:rFonts w:ascii="宋体" w:hAnsi="宋体" w:eastAsia="宋体" w:cs="宋体"/>
              </w:rPr>
            </w:pPr>
            <w:r>
              <w:rPr>
                <w:rFonts w:ascii="宋体" w:hAnsi="宋体" w:eastAsia="宋体" w:cs="宋体"/>
                <w:spacing w:val="-4"/>
              </w:rPr>
              <w:t>鱼道布置于左岸，设置</w:t>
            </w:r>
            <w:r>
              <w:rPr>
                <w:rFonts w:ascii="宋体" w:hAnsi="宋体" w:eastAsia="宋体" w:cs="宋体"/>
                <w:spacing w:val="-21"/>
              </w:rPr>
              <w:t xml:space="preserve"> </w:t>
            </w:r>
            <w:r>
              <w:rPr>
                <w:spacing w:val="-4"/>
              </w:rPr>
              <w:t xml:space="preserve">1 </w:t>
            </w:r>
            <w:r>
              <w:rPr>
                <w:rFonts w:ascii="宋体" w:hAnsi="宋体" w:eastAsia="宋体" w:cs="宋体"/>
                <w:spacing w:val="-4"/>
              </w:rPr>
              <w:t>个鱼道进口，</w:t>
            </w:r>
            <w:r>
              <w:rPr>
                <w:spacing w:val="-4"/>
              </w:rPr>
              <w:t xml:space="preserve">7 </w:t>
            </w:r>
            <w:r>
              <w:rPr>
                <w:rFonts w:ascii="宋体" w:hAnsi="宋体" w:eastAsia="宋体" w:cs="宋体"/>
                <w:spacing w:val="-4"/>
              </w:rPr>
              <w:t>个</w:t>
            </w:r>
            <w:r>
              <w:rPr>
                <w:rFonts w:ascii="宋体" w:hAnsi="宋体" w:eastAsia="宋体" w:cs="宋体"/>
                <w:spacing w:val="-5"/>
              </w:rPr>
              <w:t>鱼道出口，</w:t>
            </w:r>
            <w:r>
              <w:rPr>
                <w:rFonts w:ascii="宋体" w:hAnsi="宋体" w:eastAsia="宋体" w:cs="宋体"/>
                <w:spacing w:val="-1"/>
              </w:rPr>
              <w:t>每个出口设置检修门、工作门、拦污粗栅各</w:t>
            </w:r>
            <w:r>
              <w:rPr>
                <w:rFonts w:ascii="宋体" w:hAnsi="宋体" w:eastAsia="宋体" w:cs="宋体"/>
                <w:spacing w:val="-2"/>
              </w:rPr>
              <w:t>一道。</w:t>
            </w:r>
          </w:p>
        </w:tc>
        <w:tc>
          <w:tcPr>
            <w:tcW w:w="3822" w:type="dxa"/>
            <w:vAlign w:val="top"/>
          </w:tcPr>
          <w:p w14:paraId="5F28C943">
            <w:pPr>
              <w:pStyle w:val="6"/>
              <w:spacing w:before="55" w:line="225" w:lineRule="auto"/>
              <w:ind w:left="34" w:right="10" w:hanging="2"/>
              <w:jc w:val="both"/>
              <w:rPr>
                <w:rFonts w:ascii="宋体" w:hAnsi="宋体" w:eastAsia="宋体" w:cs="宋体"/>
              </w:rPr>
            </w:pPr>
            <w:r>
              <w:rPr>
                <w:spacing w:val="-4"/>
              </w:rPr>
              <w:t>2018</w:t>
            </w:r>
            <w:r>
              <w:rPr>
                <w:spacing w:val="42"/>
                <w:w w:val="101"/>
              </w:rPr>
              <w:t xml:space="preserve"> </w:t>
            </w:r>
            <w:r>
              <w:rPr>
                <w:rFonts w:ascii="宋体" w:hAnsi="宋体" w:eastAsia="宋体" w:cs="宋体"/>
                <w:spacing w:val="-4"/>
              </w:rPr>
              <w:t xml:space="preserve">年 </w:t>
            </w:r>
            <w:r>
              <w:rPr>
                <w:spacing w:val="-4"/>
              </w:rPr>
              <w:t>10</w:t>
            </w:r>
            <w:r>
              <w:rPr>
                <w:spacing w:val="27"/>
                <w:w w:val="101"/>
              </w:rPr>
              <w:t xml:space="preserve"> </w:t>
            </w:r>
            <w:r>
              <w:rPr>
                <w:rFonts w:ascii="宋体" w:hAnsi="宋体" w:eastAsia="宋体" w:cs="宋体"/>
                <w:spacing w:val="-4"/>
              </w:rPr>
              <w:t>月由武汉大学开展水工模型实</w:t>
            </w:r>
            <w:r>
              <w:rPr>
                <w:rFonts w:ascii="宋体" w:hAnsi="宋体" w:eastAsia="宋体" w:cs="宋体"/>
                <w:spacing w:val="-1"/>
              </w:rPr>
              <w:t>验。鱼道目前已贯通，进出口已基本建设</w:t>
            </w:r>
            <w:r>
              <w:rPr>
                <w:rFonts w:ascii="宋体" w:hAnsi="宋体" w:eastAsia="宋体" w:cs="宋体"/>
                <w:spacing w:val="-9"/>
              </w:rPr>
              <w:t>完成。</w:t>
            </w:r>
          </w:p>
        </w:tc>
        <w:tc>
          <w:tcPr>
            <w:tcW w:w="2405" w:type="dxa"/>
            <w:tcBorders>
              <w:right w:val="single" w:color="000000" w:sz="12" w:space="0"/>
            </w:tcBorders>
            <w:vAlign w:val="top"/>
          </w:tcPr>
          <w:p w14:paraId="7D7242B7">
            <w:pPr>
              <w:spacing w:before="190" w:line="241" w:lineRule="auto"/>
              <w:ind w:left="41" w:right="16" w:firstLine="2"/>
              <w:rPr>
                <w:rFonts w:ascii="宋体" w:hAnsi="宋体" w:eastAsia="宋体" w:cs="宋体"/>
                <w:sz w:val="21"/>
                <w:szCs w:val="21"/>
              </w:rPr>
            </w:pPr>
            <w:r>
              <w:rPr>
                <w:rFonts w:ascii="宋体" w:hAnsi="宋体" w:eastAsia="宋体" w:cs="宋体"/>
                <w:spacing w:val="1"/>
                <w:sz w:val="21"/>
                <w:szCs w:val="21"/>
              </w:rPr>
              <w:t>后期开展过鱼效果监测与</w:t>
            </w:r>
            <w:r>
              <w:rPr>
                <w:rFonts w:ascii="宋体" w:hAnsi="宋体" w:eastAsia="宋体" w:cs="宋体"/>
                <w:spacing w:val="-3"/>
                <w:sz w:val="21"/>
                <w:szCs w:val="21"/>
              </w:rPr>
              <w:t>评估。</w:t>
            </w:r>
          </w:p>
        </w:tc>
      </w:tr>
      <w:tr w14:paraId="116E9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19" w:type="dxa"/>
            <w:vMerge w:val="continue"/>
            <w:tcBorders>
              <w:top w:val="nil"/>
              <w:left w:val="single" w:color="000000" w:sz="12" w:space="0"/>
            </w:tcBorders>
            <w:vAlign w:val="top"/>
          </w:tcPr>
          <w:p w14:paraId="16BB83CF">
            <w:pPr>
              <w:rPr>
                <w:rFonts w:ascii="Arial"/>
                <w:sz w:val="21"/>
              </w:rPr>
            </w:pPr>
          </w:p>
        </w:tc>
        <w:tc>
          <w:tcPr>
            <w:tcW w:w="3329" w:type="dxa"/>
            <w:vAlign w:val="top"/>
          </w:tcPr>
          <w:p w14:paraId="45040353">
            <w:pPr>
              <w:spacing w:before="56" w:line="228" w:lineRule="auto"/>
              <w:ind w:left="16" w:right="31"/>
              <w:jc w:val="both"/>
              <w:rPr>
                <w:rFonts w:ascii="宋体" w:hAnsi="宋体" w:eastAsia="宋体" w:cs="宋体"/>
                <w:sz w:val="21"/>
                <w:szCs w:val="21"/>
              </w:rPr>
            </w:pPr>
            <w:r>
              <w:rPr>
                <w:rFonts w:ascii="宋体" w:hAnsi="宋体" w:eastAsia="宋体" w:cs="宋体"/>
                <w:spacing w:val="-6"/>
                <w:sz w:val="21"/>
                <w:szCs w:val="21"/>
              </w:rPr>
              <w:t>截流前完成鱼类增殖站建设，放流对象为滇池金线䰾、云南盘鮈、云南光唇鱼，开展增殖放流标志跟踪监测和</w:t>
            </w:r>
            <w:r>
              <w:rPr>
                <w:rFonts w:ascii="宋体" w:hAnsi="宋体" w:eastAsia="宋体" w:cs="宋体"/>
                <w:spacing w:val="-9"/>
                <w:sz w:val="21"/>
                <w:szCs w:val="21"/>
              </w:rPr>
              <w:t>评估。</w:t>
            </w:r>
          </w:p>
        </w:tc>
        <w:tc>
          <w:tcPr>
            <w:tcW w:w="4954" w:type="dxa"/>
            <w:gridSpan w:val="2"/>
            <w:vAlign w:val="top"/>
          </w:tcPr>
          <w:p w14:paraId="2F8E6AA5">
            <w:pPr>
              <w:spacing w:before="56" w:line="228" w:lineRule="auto"/>
              <w:ind w:left="21" w:right="100"/>
              <w:rPr>
                <w:rFonts w:ascii="宋体" w:hAnsi="宋体" w:eastAsia="宋体" w:cs="宋体"/>
                <w:sz w:val="21"/>
                <w:szCs w:val="21"/>
              </w:rPr>
            </w:pPr>
            <w:r>
              <w:rPr>
                <w:rFonts w:ascii="宋体" w:hAnsi="宋体" w:eastAsia="宋体" w:cs="宋体"/>
                <w:spacing w:val="-1"/>
                <w:sz w:val="21"/>
                <w:szCs w:val="21"/>
              </w:rPr>
              <w:t>在坝下左岸建设鱼类增殖站，由综合楼、催产孵化车间、鱼苗培育车间、鱼种培育车间、亲鱼池等组成。拟将滇池金线鲃、云南盘鮈、云南光唇鱼作为增殖放</w:t>
            </w:r>
            <w:r>
              <w:rPr>
                <w:rFonts w:ascii="宋体" w:hAnsi="宋体" w:eastAsia="宋体" w:cs="宋体"/>
                <w:spacing w:val="-3"/>
                <w:sz w:val="21"/>
                <w:szCs w:val="21"/>
              </w:rPr>
              <w:t>流对象。</w:t>
            </w:r>
          </w:p>
        </w:tc>
        <w:tc>
          <w:tcPr>
            <w:tcW w:w="4954" w:type="dxa"/>
            <w:vAlign w:val="top"/>
          </w:tcPr>
          <w:p w14:paraId="0BCE581E">
            <w:pPr>
              <w:spacing w:before="192" w:line="241" w:lineRule="auto"/>
              <w:ind w:left="66" w:right="55" w:firstLine="3"/>
              <w:rPr>
                <w:rFonts w:ascii="宋体" w:hAnsi="宋体" w:eastAsia="宋体" w:cs="宋体"/>
                <w:sz w:val="21"/>
                <w:szCs w:val="21"/>
              </w:rPr>
            </w:pPr>
            <w:r>
              <w:rPr>
                <w:rFonts w:ascii="宋体" w:hAnsi="宋体" w:eastAsia="宋体" w:cs="宋体"/>
                <w:spacing w:val="-1"/>
                <w:sz w:val="21"/>
                <w:szCs w:val="21"/>
              </w:rPr>
              <w:t>鱼类增殖站位于坝下河道左岸，建筑物包括综合楼、催产孵化车间、鱼苗培育车间、鱼种培育车间等。增殖放流对象为滇池金线鲃、云南盘鮈、云南光唇鱼。</w:t>
            </w:r>
          </w:p>
        </w:tc>
        <w:tc>
          <w:tcPr>
            <w:tcW w:w="3822" w:type="dxa"/>
            <w:vAlign w:val="top"/>
          </w:tcPr>
          <w:p w14:paraId="15E56254">
            <w:pPr>
              <w:spacing w:line="258" w:lineRule="auto"/>
              <w:rPr>
                <w:rFonts w:ascii="Arial"/>
                <w:sz w:val="21"/>
              </w:rPr>
            </w:pPr>
          </w:p>
          <w:p w14:paraId="56F10E33">
            <w:pPr>
              <w:spacing w:before="68" w:line="220" w:lineRule="auto"/>
              <w:ind w:left="140"/>
              <w:rPr>
                <w:rFonts w:ascii="宋体" w:hAnsi="宋体" w:eastAsia="宋体" w:cs="宋体"/>
                <w:sz w:val="21"/>
                <w:szCs w:val="21"/>
              </w:rPr>
            </w:pPr>
            <w:r>
              <w:rPr>
                <w:rFonts w:ascii="宋体" w:hAnsi="宋体" w:eastAsia="宋体" w:cs="宋体"/>
                <w:spacing w:val="-1"/>
                <w:sz w:val="21"/>
                <w:szCs w:val="21"/>
              </w:rPr>
              <w:t>鱼类增殖站建于坝下河道左岸，土建和</w:t>
            </w:r>
          </w:p>
          <w:p w14:paraId="02E0B1D3">
            <w:pPr>
              <w:spacing w:before="22" w:line="220" w:lineRule="auto"/>
              <w:ind w:left="770"/>
              <w:rPr>
                <w:rFonts w:ascii="宋体" w:hAnsi="宋体" w:eastAsia="宋体" w:cs="宋体"/>
                <w:sz w:val="21"/>
                <w:szCs w:val="21"/>
              </w:rPr>
            </w:pPr>
            <w:r>
              <w:rPr>
                <w:rFonts w:ascii="宋体" w:hAnsi="宋体" w:eastAsia="宋体" w:cs="宋体"/>
                <w:spacing w:val="-4"/>
                <w:sz w:val="21"/>
                <w:szCs w:val="21"/>
              </w:rPr>
              <w:t>设备安装工作已经完成。</w:t>
            </w:r>
          </w:p>
        </w:tc>
        <w:tc>
          <w:tcPr>
            <w:tcW w:w="2405" w:type="dxa"/>
            <w:tcBorders>
              <w:right w:val="single" w:color="000000" w:sz="12" w:space="0"/>
            </w:tcBorders>
            <w:vAlign w:val="top"/>
          </w:tcPr>
          <w:p w14:paraId="32EB6F68">
            <w:pPr>
              <w:spacing w:line="259" w:lineRule="auto"/>
              <w:rPr>
                <w:rFonts w:ascii="Arial"/>
                <w:sz w:val="21"/>
              </w:rPr>
            </w:pPr>
          </w:p>
          <w:p w14:paraId="334156BC">
            <w:pPr>
              <w:spacing w:before="68" w:line="220" w:lineRule="auto"/>
              <w:ind w:left="56"/>
              <w:rPr>
                <w:rFonts w:ascii="宋体" w:hAnsi="宋体" w:eastAsia="宋体" w:cs="宋体"/>
                <w:sz w:val="21"/>
                <w:szCs w:val="21"/>
              </w:rPr>
            </w:pPr>
            <w:r>
              <w:rPr>
                <w:rFonts w:ascii="宋体" w:hAnsi="宋体" w:eastAsia="宋体" w:cs="宋体"/>
                <w:spacing w:val="-1"/>
                <w:sz w:val="21"/>
                <w:szCs w:val="21"/>
              </w:rPr>
              <w:t>开展增殖放流标志跟踪监</w:t>
            </w:r>
          </w:p>
          <w:p w14:paraId="0669CE81">
            <w:pPr>
              <w:spacing w:before="21" w:line="218" w:lineRule="auto"/>
              <w:ind w:left="686"/>
              <w:rPr>
                <w:rFonts w:ascii="宋体" w:hAnsi="宋体" w:eastAsia="宋体" w:cs="宋体"/>
                <w:sz w:val="21"/>
                <w:szCs w:val="21"/>
              </w:rPr>
            </w:pPr>
            <w:r>
              <w:rPr>
                <w:rFonts w:ascii="宋体" w:hAnsi="宋体" w:eastAsia="宋体" w:cs="宋体"/>
                <w:spacing w:val="-7"/>
                <w:sz w:val="21"/>
                <w:szCs w:val="21"/>
              </w:rPr>
              <w:t>测和评估。</w:t>
            </w:r>
          </w:p>
        </w:tc>
      </w:tr>
      <w:tr w14:paraId="05F45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19" w:type="dxa"/>
            <w:vMerge w:val="restart"/>
            <w:tcBorders>
              <w:left w:val="single" w:color="000000" w:sz="12" w:space="0"/>
              <w:bottom w:val="nil"/>
            </w:tcBorders>
            <w:vAlign w:val="top"/>
          </w:tcPr>
          <w:p w14:paraId="1A135994">
            <w:pPr>
              <w:spacing w:line="276" w:lineRule="auto"/>
              <w:rPr>
                <w:rFonts w:ascii="Arial"/>
                <w:sz w:val="21"/>
              </w:rPr>
            </w:pPr>
          </w:p>
          <w:p w14:paraId="16BE5957">
            <w:pPr>
              <w:spacing w:line="276" w:lineRule="auto"/>
              <w:rPr>
                <w:rFonts w:ascii="Arial"/>
                <w:sz w:val="21"/>
              </w:rPr>
            </w:pPr>
          </w:p>
          <w:p w14:paraId="50D23E8D">
            <w:pPr>
              <w:spacing w:line="277" w:lineRule="auto"/>
              <w:rPr>
                <w:rFonts w:ascii="Arial"/>
                <w:sz w:val="21"/>
              </w:rPr>
            </w:pPr>
          </w:p>
          <w:p w14:paraId="7B5B731A">
            <w:pPr>
              <w:spacing w:before="68" w:line="220" w:lineRule="auto"/>
              <w:ind w:left="23"/>
              <w:rPr>
                <w:rFonts w:ascii="宋体" w:hAnsi="宋体" w:eastAsia="宋体" w:cs="宋体"/>
                <w:sz w:val="21"/>
                <w:szCs w:val="21"/>
              </w:rPr>
            </w:pPr>
            <w:r>
              <w:rPr>
                <w:rFonts w:ascii="宋体" w:hAnsi="宋体" w:eastAsia="宋体" w:cs="宋体"/>
                <w:spacing w:val="-2"/>
                <w:sz w:val="21"/>
                <w:szCs w:val="21"/>
              </w:rPr>
              <w:t>做好陆生</w:t>
            </w:r>
          </w:p>
          <w:p w14:paraId="664F1123">
            <w:pPr>
              <w:spacing w:before="22" w:line="220" w:lineRule="auto"/>
              <w:ind w:left="25"/>
              <w:rPr>
                <w:rFonts w:ascii="宋体" w:hAnsi="宋体" w:eastAsia="宋体" w:cs="宋体"/>
                <w:sz w:val="21"/>
                <w:szCs w:val="21"/>
              </w:rPr>
            </w:pPr>
            <w:r>
              <w:rPr>
                <w:rFonts w:ascii="宋体" w:hAnsi="宋体" w:eastAsia="宋体" w:cs="宋体"/>
                <w:spacing w:val="-2"/>
                <w:sz w:val="21"/>
                <w:szCs w:val="21"/>
              </w:rPr>
              <w:t>生态保护</w:t>
            </w:r>
          </w:p>
          <w:p w14:paraId="417B68E7">
            <w:pPr>
              <w:spacing w:before="22" w:line="220" w:lineRule="auto"/>
              <w:ind w:left="236"/>
              <w:rPr>
                <w:rFonts w:ascii="宋体" w:hAnsi="宋体" w:eastAsia="宋体" w:cs="宋体"/>
                <w:sz w:val="21"/>
                <w:szCs w:val="21"/>
              </w:rPr>
            </w:pPr>
            <w:r>
              <w:rPr>
                <w:rFonts w:ascii="宋体" w:hAnsi="宋体" w:eastAsia="宋体" w:cs="宋体"/>
                <w:spacing w:val="-3"/>
                <w:sz w:val="21"/>
                <w:szCs w:val="21"/>
              </w:rPr>
              <w:t>工作</w:t>
            </w:r>
          </w:p>
        </w:tc>
        <w:tc>
          <w:tcPr>
            <w:tcW w:w="3329" w:type="dxa"/>
            <w:vAlign w:val="top"/>
          </w:tcPr>
          <w:p w14:paraId="392FDBC9">
            <w:pPr>
              <w:spacing w:before="60" w:line="227" w:lineRule="auto"/>
              <w:ind w:left="19" w:hanging="1"/>
              <w:jc w:val="both"/>
              <w:rPr>
                <w:rFonts w:ascii="宋体" w:hAnsi="宋体" w:eastAsia="宋体" w:cs="宋体"/>
                <w:sz w:val="21"/>
                <w:szCs w:val="21"/>
              </w:rPr>
            </w:pPr>
            <w:r>
              <w:rPr>
                <w:rFonts w:ascii="宋体" w:hAnsi="宋体" w:eastAsia="宋体" w:cs="宋体"/>
                <w:spacing w:val="-7"/>
                <w:sz w:val="21"/>
                <w:szCs w:val="21"/>
              </w:rPr>
              <w:t>严格控制施工活动范围，落实水土保</w:t>
            </w:r>
            <w:r>
              <w:rPr>
                <w:rFonts w:ascii="宋体" w:hAnsi="宋体" w:eastAsia="宋体" w:cs="宋体"/>
                <w:spacing w:val="-8"/>
                <w:sz w:val="21"/>
                <w:szCs w:val="21"/>
              </w:rPr>
              <w:t>持措施，重点对渣场、料场、临时施</w:t>
            </w:r>
            <w:r>
              <w:rPr>
                <w:rFonts w:ascii="宋体" w:hAnsi="宋体" w:eastAsia="宋体" w:cs="宋体"/>
                <w:spacing w:val="-7"/>
                <w:sz w:val="21"/>
                <w:szCs w:val="21"/>
              </w:rPr>
              <w:t>工占地区、施工道路及其影响区和枢</w:t>
            </w:r>
            <w:r>
              <w:rPr>
                <w:rFonts w:ascii="宋体" w:hAnsi="宋体" w:eastAsia="宋体" w:cs="宋体"/>
                <w:spacing w:val="-4"/>
                <w:sz w:val="21"/>
                <w:szCs w:val="21"/>
              </w:rPr>
              <w:t>纽建筑物占地区进行水土流失防治。</w:t>
            </w:r>
          </w:p>
        </w:tc>
        <w:tc>
          <w:tcPr>
            <w:tcW w:w="4954" w:type="dxa"/>
            <w:gridSpan w:val="2"/>
            <w:vAlign w:val="top"/>
          </w:tcPr>
          <w:p w14:paraId="1C3A6352">
            <w:pPr>
              <w:spacing w:line="259" w:lineRule="auto"/>
              <w:rPr>
                <w:rFonts w:ascii="Arial"/>
                <w:sz w:val="21"/>
              </w:rPr>
            </w:pPr>
          </w:p>
          <w:p w14:paraId="44206B37">
            <w:pPr>
              <w:spacing w:before="69" w:line="242" w:lineRule="auto"/>
              <w:ind w:left="23" w:right="28"/>
              <w:rPr>
                <w:rFonts w:ascii="宋体" w:hAnsi="宋体" w:eastAsia="宋体" w:cs="宋体"/>
                <w:sz w:val="21"/>
                <w:szCs w:val="21"/>
              </w:rPr>
            </w:pPr>
            <w:r>
              <w:rPr>
                <w:rFonts w:ascii="宋体" w:hAnsi="宋体" w:eastAsia="宋体" w:cs="宋体"/>
                <w:spacing w:val="2"/>
                <w:sz w:val="21"/>
                <w:szCs w:val="21"/>
              </w:rPr>
              <w:t>生态影响防护措施包括生态保护宣传、生态影响避让</w:t>
            </w:r>
            <w:r>
              <w:rPr>
                <w:rFonts w:ascii="宋体" w:hAnsi="宋体" w:eastAsia="宋体" w:cs="宋体"/>
                <w:spacing w:val="-3"/>
                <w:sz w:val="21"/>
                <w:szCs w:val="21"/>
              </w:rPr>
              <w:t>和减缓、生态管理等措施。</w:t>
            </w:r>
          </w:p>
        </w:tc>
        <w:tc>
          <w:tcPr>
            <w:tcW w:w="4954" w:type="dxa"/>
            <w:vAlign w:val="top"/>
          </w:tcPr>
          <w:p w14:paraId="53A32FCD">
            <w:pPr>
              <w:spacing w:line="259" w:lineRule="auto"/>
              <w:rPr>
                <w:rFonts w:ascii="Arial"/>
                <w:sz w:val="21"/>
              </w:rPr>
            </w:pPr>
          </w:p>
          <w:p w14:paraId="73EDB124">
            <w:pPr>
              <w:spacing w:before="69" w:line="242" w:lineRule="auto"/>
              <w:ind w:left="29" w:right="21"/>
              <w:rPr>
                <w:rFonts w:ascii="宋体" w:hAnsi="宋体" w:eastAsia="宋体" w:cs="宋体"/>
                <w:sz w:val="21"/>
                <w:szCs w:val="21"/>
              </w:rPr>
            </w:pPr>
            <w:r>
              <w:rPr>
                <w:rFonts w:ascii="宋体" w:hAnsi="宋体" w:eastAsia="宋体" w:cs="宋体"/>
                <w:spacing w:val="2"/>
                <w:sz w:val="21"/>
                <w:szCs w:val="21"/>
              </w:rPr>
              <w:t>生态影响防护措施包括生态保护宣传、生态影响避让</w:t>
            </w:r>
            <w:r>
              <w:rPr>
                <w:rFonts w:ascii="宋体" w:hAnsi="宋体" w:eastAsia="宋体" w:cs="宋体"/>
                <w:spacing w:val="-3"/>
                <w:sz w:val="21"/>
                <w:szCs w:val="21"/>
              </w:rPr>
              <w:t>和减缓、生态管理等措施。</w:t>
            </w:r>
          </w:p>
        </w:tc>
        <w:tc>
          <w:tcPr>
            <w:tcW w:w="3822" w:type="dxa"/>
            <w:vAlign w:val="top"/>
          </w:tcPr>
          <w:p w14:paraId="48A46825">
            <w:pPr>
              <w:spacing w:line="259" w:lineRule="auto"/>
              <w:rPr>
                <w:rFonts w:ascii="Arial"/>
                <w:sz w:val="21"/>
              </w:rPr>
            </w:pPr>
          </w:p>
          <w:p w14:paraId="7AA17BC7">
            <w:pPr>
              <w:spacing w:before="69" w:line="242" w:lineRule="auto"/>
              <w:ind w:left="35" w:right="34"/>
              <w:rPr>
                <w:rFonts w:ascii="宋体" w:hAnsi="宋体" w:eastAsia="宋体" w:cs="宋体"/>
                <w:sz w:val="21"/>
                <w:szCs w:val="21"/>
              </w:rPr>
            </w:pPr>
            <w:r>
              <w:rPr>
                <w:rFonts w:ascii="宋体" w:hAnsi="宋体" w:eastAsia="宋体" w:cs="宋体"/>
                <w:spacing w:val="-3"/>
                <w:sz w:val="21"/>
                <w:szCs w:val="21"/>
              </w:rPr>
              <w:t>施工期严格控制施工活动范围，对渣场、料场、临时施工占地区等进行水土防治。</w:t>
            </w:r>
          </w:p>
        </w:tc>
        <w:tc>
          <w:tcPr>
            <w:tcW w:w="2405" w:type="dxa"/>
            <w:tcBorders>
              <w:right w:val="single" w:color="000000" w:sz="12" w:space="0"/>
            </w:tcBorders>
            <w:vAlign w:val="top"/>
          </w:tcPr>
          <w:p w14:paraId="30B1D238">
            <w:pPr>
              <w:spacing w:line="396" w:lineRule="auto"/>
              <w:rPr>
                <w:rFonts w:ascii="Arial"/>
                <w:sz w:val="21"/>
              </w:rPr>
            </w:pPr>
          </w:p>
          <w:p w14:paraId="65B38D8F">
            <w:pPr>
              <w:spacing w:before="68" w:line="220" w:lineRule="auto"/>
              <w:ind w:left="373"/>
              <w:rPr>
                <w:rFonts w:ascii="宋体" w:hAnsi="宋体" w:eastAsia="宋体" w:cs="宋体"/>
                <w:sz w:val="21"/>
                <w:szCs w:val="21"/>
              </w:rPr>
            </w:pPr>
            <w:r>
              <w:rPr>
                <w:rFonts w:ascii="宋体" w:hAnsi="宋体" w:eastAsia="宋体" w:cs="宋体"/>
                <w:spacing w:val="-2"/>
                <w:sz w:val="21"/>
                <w:szCs w:val="21"/>
              </w:rPr>
              <w:t>水土保持专项验收</w:t>
            </w:r>
          </w:p>
        </w:tc>
      </w:tr>
      <w:tr w14:paraId="29A80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919" w:type="dxa"/>
            <w:vMerge w:val="continue"/>
            <w:tcBorders>
              <w:top w:val="nil"/>
              <w:left w:val="single" w:color="000000" w:sz="12" w:space="0"/>
              <w:bottom w:val="nil"/>
            </w:tcBorders>
            <w:vAlign w:val="top"/>
          </w:tcPr>
          <w:p w14:paraId="0708CE28">
            <w:pPr>
              <w:rPr>
                <w:rFonts w:ascii="Arial"/>
                <w:sz w:val="21"/>
              </w:rPr>
            </w:pPr>
          </w:p>
        </w:tc>
        <w:tc>
          <w:tcPr>
            <w:tcW w:w="3329" w:type="dxa"/>
            <w:vAlign w:val="top"/>
          </w:tcPr>
          <w:p w14:paraId="3273E71D">
            <w:pPr>
              <w:spacing w:before="62" w:line="223" w:lineRule="auto"/>
              <w:ind w:left="17"/>
              <w:jc w:val="both"/>
              <w:rPr>
                <w:rFonts w:ascii="宋体" w:hAnsi="宋体" w:eastAsia="宋体" w:cs="宋体"/>
                <w:sz w:val="21"/>
                <w:szCs w:val="21"/>
              </w:rPr>
            </w:pPr>
            <w:r>
              <w:rPr>
                <w:rFonts w:ascii="宋体" w:hAnsi="宋体" w:eastAsia="宋体" w:cs="宋体"/>
                <w:spacing w:val="-7"/>
                <w:sz w:val="21"/>
                <w:szCs w:val="21"/>
              </w:rPr>
              <w:t>渣场应做到先挡后弃，工程弃渣应运</w:t>
            </w:r>
            <w:r>
              <w:rPr>
                <w:rFonts w:ascii="宋体" w:hAnsi="宋体" w:eastAsia="宋体" w:cs="宋体"/>
                <w:spacing w:val="-4"/>
                <w:sz w:val="21"/>
                <w:szCs w:val="21"/>
              </w:rPr>
              <w:t>至规定的弃渣场，严禁向马龙河干、</w:t>
            </w:r>
            <w:r>
              <w:rPr>
                <w:rFonts w:ascii="宋体" w:hAnsi="宋体" w:eastAsia="宋体" w:cs="宋体"/>
                <w:spacing w:val="-8"/>
                <w:sz w:val="21"/>
                <w:szCs w:val="21"/>
              </w:rPr>
              <w:t>支流弃渣。</w:t>
            </w:r>
          </w:p>
        </w:tc>
        <w:tc>
          <w:tcPr>
            <w:tcW w:w="4954" w:type="dxa"/>
            <w:gridSpan w:val="2"/>
            <w:vAlign w:val="top"/>
          </w:tcPr>
          <w:p w14:paraId="03582C53">
            <w:pPr>
              <w:spacing w:line="264" w:lineRule="auto"/>
              <w:rPr>
                <w:rFonts w:ascii="Arial"/>
                <w:sz w:val="21"/>
              </w:rPr>
            </w:pPr>
          </w:p>
          <w:p w14:paraId="594EF5B0">
            <w:pPr>
              <w:spacing w:before="68" w:line="220" w:lineRule="auto"/>
              <w:ind w:left="23"/>
              <w:rPr>
                <w:rFonts w:ascii="宋体" w:hAnsi="宋体" w:eastAsia="宋体" w:cs="宋体"/>
                <w:sz w:val="21"/>
                <w:szCs w:val="21"/>
              </w:rPr>
            </w:pPr>
            <w:r>
              <w:rPr>
                <w:rFonts w:ascii="宋体" w:hAnsi="宋体" w:eastAsia="宋体" w:cs="宋体"/>
                <w:spacing w:val="-1"/>
                <w:sz w:val="21"/>
                <w:szCs w:val="21"/>
              </w:rPr>
              <w:t>生态影响恢复措施，详见水土保持专项。</w:t>
            </w:r>
          </w:p>
        </w:tc>
        <w:tc>
          <w:tcPr>
            <w:tcW w:w="4954" w:type="dxa"/>
            <w:vAlign w:val="top"/>
          </w:tcPr>
          <w:p w14:paraId="7AED1810">
            <w:pPr>
              <w:spacing w:line="264" w:lineRule="auto"/>
              <w:rPr>
                <w:rFonts w:ascii="Arial"/>
                <w:sz w:val="21"/>
              </w:rPr>
            </w:pPr>
          </w:p>
          <w:p w14:paraId="57DCDAF8">
            <w:pPr>
              <w:spacing w:before="68" w:line="220" w:lineRule="auto"/>
              <w:ind w:left="30"/>
              <w:rPr>
                <w:rFonts w:ascii="宋体" w:hAnsi="宋体" w:eastAsia="宋体" w:cs="宋体"/>
                <w:sz w:val="21"/>
                <w:szCs w:val="21"/>
              </w:rPr>
            </w:pPr>
            <w:r>
              <w:rPr>
                <w:rFonts w:ascii="宋体" w:hAnsi="宋体" w:eastAsia="宋体" w:cs="宋体"/>
                <w:spacing w:val="-1"/>
                <w:sz w:val="21"/>
                <w:szCs w:val="21"/>
              </w:rPr>
              <w:t>生态影响恢复措施，详见水土保持专项。</w:t>
            </w:r>
          </w:p>
        </w:tc>
        <w:tc>
          <w:tcPr>
            <w:tcW w:w="3822" w:type="dxa"/>
            <w:vAlign w:val="top"/>
          </w:tcPr>
          <w:p w14:paraId="0E15847A">
            <w:pPr>
              <w:spacing w:before="198" w:line="241" w:lineRule="auto"/>
              <w:ind w:left="37" w:right="12" w:hanging="2"/>
              <w:rPr>
                <w:rFonts w:ascii="宋体" w:hAnsi="宋体" w:eastAsia="宋体" w:cs="宋体"/>
                <w:sz w:val="21"/>
                <w:szCs w:val="21"/>
              </w:rPr>
            </w:pPr>
            <w:r>
              <w:rPr>
                <w:rFonts w:ascii="宋体" w:hAnsi="宋体" w:eastAsia="宋体" w:cs="宋体"/>
                <w:spacing w:val="-1"/>
                <w:sz w:val="21"/>
                <w:szCs w:val="21"/>
              </w:rPr>
              <w:t>施工期工程弃渣运至规定弃渣场，未向马</w:t>
            </w:r>
            <w:r>
              <w:rPr>
                <w:rFonts w:ascii="宋体" w:hAnsi="宋体" w:eastAsia="宋体" w:cs="宋体"/>
                <w:spacing w:val="-5"/>
                <w:sz w:val="21"/>
                <w:szCs w:val="21"/>
              </w:rPr>
              <w:t>龙河干支流弃渣。</w:t>
            </w:r>
          </w:p>
        </w:tc>
        <w:tc>
          <w:tcPr>
            <w:tcW w:w="2405" w:type="dxa"/>
            <w:tcBorders>
              <w:right w:val="single" w:color="000000" w:sz="12" w:space="0"/>
            </w:tcBorders>
            <w:vAlign w:val="top"/>
          </w:tcPr>
          <w:p w14:paraId="3D9B79D6">
            <w:pPr>
              <w:spacing w:line="264" w:lineRule="auto"/>
              <w:rPr>
                <w:rFonts w:ascii="Arial"/>
                <w:sz w:val="21"/>
              </w:rPr>
            </w:pPr>
          </w:p>
          <w:p w14:paraId="67751984">
            <w:pPr>
              <w:spacing w:before="68" w:line="220" w:lineRule="auto"/>
              <w:ind w:left="373"/>
              <w:rPr>
                <w:rFonts w:ascii="宋体" w:hAnsi="宋体" w:eastAsia="宋体" w:cs="宋体"/>
                <w:sz w:val="21"/>
                <w:szCs w:val="21"/>
              </w:rPr>
            </w:pPr>
            <w:r>
              <w:rPr>
                <w:rFonts w:ascii="宋体" w:hAnsi="宋体" w:eastAsia="宋体" w:cs="宋体"/>
                <w:spacing w:val="-2"/>
                <w:sz w:val="21"/>
                <w:szCs w:val="21"/>
              </w:rPr>
              <w:t>水土保持专项验收</w:t>
            </w:r>
          </w:p>
        </w:tc>
      </w:tr>
      <w:tr w14:paraId="1404F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919" w:type="dxa"/>
            <w:vMerge w:val="continue"/>
            <w:tcBorders>
              <w:top w:val="nil"/>
              <w:left w:val="single" w:color="000000" w:sz="12" w:space="0"/>
              <w:bottom w:val="single" w:color="000000" w:sz="12" w:space="0"/>
            </w:tcBorders>
            <w:vAlign w:val="top"/>
          </w:tcPr>
          <w:p w14:paraId="3CE3AEC1">
            <w:pPr>
              <w:rPr>
                <w:rFonts w:ascii="Arial"/>
                <w:sz w:val="21"/>
              </w:rPr>
            </w:pPr>
          </w:p>
        </w:tc>
        <w:tc>
          <w:tcPr>
            <w:tcW w:w="3329" w:type="dxa"/>
            <w:tcBorders>
              <w:bottom w:val="single" w:color="000000" w:sz="12" w:space="0"/>
            </w:tcBorders>
            <w:vAlign w:val="top"/>
          </w:tcPr>
          <w:p w14:paraId="14F43852">
            <w:pPr>
              <w:spacing w:before="63" w:line="224" w:lineRule="auto"/>
              <w:ind w:left="18" w:right="31" w:firstLine="5"/>
              <w:rPr>
                <w:rFonts w:ascii="宋体" w:hAnsi="宋体" w:eastAsia="宋体" w:cs="宋体"/>
                <w:sz w:val="21"/>
                <w:szCs w:val="21"/>
              </w:rPr>
            </w:pPr>
            <w:r>
              <w:rPr>
                <w:rFonts w:ascii="宋体" w:hAnsi="宋体" w:eastAsia="宋体" w:cs="宋体"/>
                <w:spacing w:val="-7"/>
                <w:sz w:val="21"/>
                <w:szCs w:val="21"/>
              </w:rPr>
              <w:t>收集施工区表土，单独堆放，后续回</w:t>
            </w:r>
            <w:r>
              <w:rPr>
                <w:rFonts w:ascii="宋体" w:hAnsi="宋体" w:eastAsia="宋体" w:cs="宋体"/>
                <w:spacing w:val="-6"/>
                <w:sz w:val="21"/>
                <w:szCs w:val="21"/>
              </w:rPr>
              <w:t>用。施工结束后及时对施工迹地等实</w:t>
            </w:r>
          </w:p>
        </w:tc>
        <w:tc>
          <w:tcPr>
            <w:tcW w:w="4954" w:type="dxa"/>
            <w:gridSpan w:val="2"/>
            <w:tcBorders>
              <w:bottom w:val="single" w:color="000000" w:sz="12" w:space="0"/>
            </w:tcBorders>
            <w:vAlign w:val="top"/>
          </w:tcPr>
          <w:p w14:paraId="77649F99">
            <w:pPr>
              <w:spacing w:before="63" w:line="224" w:lineRule="auto"/>
              <w:ind w:left="22" w:right="28" w:firstLine="1"/>
              <w:rPr>
                <w:rFonts w:ascii="宋体" w:hAnsi="宋体" w:eastAsia="宋体" w:cs="宋体"/>
                <w:sz w:val="21"/>
                <w:szCs w:val="21"/>
              </w:rPr>
            </w:pPr>
            <w:r>
              <w:rPr>
                <w:rFonts w:ascii="宋体" w:hAnsi="宋体" w:eastAsia="宋体" w:cs="宋体"/>
                <w:spacing w:val="2"/>
                <w:sz w:val="21"/>
                <w:szCs w:val="21"/>
              </w:rPr>
              <w:t>生态影响补偿措施包括建设单位应按照国家和地方相</w:t>
            </w:r>
            <w:r>
              <w:rPr>
                <w:rFonts w:ascii="宋体" w:hAnsi="宋体" w:eastAsia="宋体" w:cs="宋体"/>
                <w:spacing w:val="-2"/>
                <w:sz w:val="21"/>
                <w:szCs w:val="21"/>
              </w:rPr>
              <w:t>应的标准缴纳森林植被恢复费等。</w:t>
            </w:r>
          </w:p>
        </w:tc>
        <w:tc>
          <w:tcPr>
            <w:tcW w:w="4954" w:type="dxa"/>
            <w:tcBorders>
              <w:bottom w:val="single" w:color="000000" w:sz="12" w:space="0"/>
            </w:tcBorders>
            <w:vAlign w:val="top"/>
          </w:tcPr>
          <w:p w14:paraId="1505163E">
            <w:pPr>
              <w:spacing w:before="63" w:line="224" w:lineRule="auto"/>
              <w:ind w:left="28" w:right="19" w:firstLine="1"/>
              <w:rPr>
                <w:rFonts w:ascii="宋体" w:hAnsi="宋体" w:eastAsia="宋体" w:cs="宋体"/>
                <w:sz w:val="21"/>
                <w:szCs w:val="21"/>
              </w:rPr>
            </w:pPr>
            <w:r>
              <w:rPr>
                <w:rFonts w:ascii="宋体" w:hAnsi="宋体" w:eastAsia="宋体" w:cs="宋体"/>
                <w:spacing w:val="2"/>
                <w:sz w:val="21"/>
                <w:szCs w:val="21"/>
              </w:rPr>
              <w:t>生态影响补偿措施包括建设单位应按照国家和地方相</w:t>
            </w:r>
            <w:r>
              <w:rPr>
                <w:rFonts w:ascii="宋体" w:hAnsi="宋体" w:eastAsia="宋体" w:cs="宋体"/>
                <w:spacing w:val="-2"/>
                <w:sz w:val="21"/>
                <w:szCs w:val="21"/>
              </w:rPr>
              <w:t>应的标准缴纳森林植被恢复费等。</w:t>
            </w:r>
          </w:p>
        </w:tc>
        <w:tc>
          <w:tcPr>
            <w:tcW w:w="3822" w:type="dxa"/>
            <w:tcBorders>
              <w:bottom w:val="single" w:color="000000" w:sz="12" w:space="0"/>
            </w:tcBorders>
            <w:vAlign w:val="top"/>
          </w:tcPr>
          <w:p w14:paraId="16545536">
            <w:pPr>
              <w:spacing w:before="63" w:line="224" w:lineRule="auto"/>
              <w:ind w:left="35" w:right="11" w:firstLine="8"/>
              <w:rPr>
                <w:rFonts w:ascii="宋体" w:hAnsi="宋体" w:eastAsia="宋体" w:cs="宋体"/>
                <w:sz w:val="21"/>
                <w:szCs w:val="21"/>
              </w:rPr>
            </w:pPr>
            <w:r>
              <w:rPr>
                <w:rFonts w:ascii="宋体" w:hAnsi="宋体" w:eastAsia="宋体" w:cs="宋体"/>
                <w:spacing w:val="-2"/>
                <w:sz w:val="21"/>
                <w:szCs w:val="21"/>
              </w:rPr>
              <w:t>收集施工表土单独堆放，后续回用，对已</w:t>
            </w:r>
            <w:r>
              <w:rPr>
                <w:rFonts w:ascii="宋体" w:hAnsi="宋体" w:eastAsia="宋体" w:cs="宋体"/>
                <w:spacing w:val="-1"/>
                <w:sz w:val="21"/>
                <w:szCs w:val="21"/>
              </w:rPr>
              <w:t>施工结束的迹地及时进行生态修复，植被</w:t>
            </w:r>
          </w:p>
        </w:tc>
        <w:tc>
          <w:tcPr>
            <w:tcW w:w="2405" w:type="dxa"/>
            <w:tcBorders>
              <w:bottom w:val="single" w:color="000000" w:sz="12" w:space="0"/>
              <w:right w:val="single" w:color="000000" w:sz="12" w:space="0"/>
            </w:tcBorders>
            <w:vAlign w:val="top"/>
          </w:tcPr>
          <w:p w14:paraId="060CC6E9">
            <w:pPr>
              <w:spacing w:before="199" w:line="220" w:lineRule="auto"/>
              <w:ind w:left="373"/>
              <w:rPr>
                <w:rFonts w:ascii="宋体" w:hAnsi="宋体" w:eastAsia="宋体" w:cs="宋体"/>
                <w:sz w:val="21"/>
                <w:szCs w:val="21"/>
              </w:rPr>
            </w:pPr>
            <w:r>
              <w:rPr>
                <w:rFonts w:ascii="宋体" w:hAnsi="宋体" w:eastAsia="宋体" w:cs="宋体"/>
                <w:spacing w:val="-2"/>
                <w:sz w:val="21"/>
                <w:szCs w:val="21"/>
              </w:rPr>
              <w:t>水土保持专项验收</w:t>
            </w:r>
          </w:p>
        </w:tc>
      </w:tr>
    </w:tbl>
    <w:p w14:paraId="369FB34E">
      <w:pPr>
        <w:rPr>
          <w:rFonts w:ascii="Arial"/>
          <w:sz w:val="21"/>
        </w:rPr>
      </w:pPr>
    </w:p>
    <w:p w14:paraId="5292972A">
      <w:pPr>
        <w:rPr>
          <w:rFonts w:ascii="Arial" w:hAnsi="Arial" w:eastAsia="Arial" w:cs="Arial"/>
          <w:sz w:val="21"/>
          <w:szCs w:val="21"/>
        </w:rPr>
        <w:sectPr>
          <w:footerReference r:id="rId150" w:type="default"/>
          <w:pgSz w:w="23814" w:h="16443"/>
          <w:pgMar w:top="1376" w:right="1669" w:bottom="1061" w:left="1671" w:header="999" w:footer="861" w:gutter="0"/>
          <w:cols w:space="720" w:num="1"/>
        </w:sectPr>
      </w:pPr>
    </w:p>
    <w:p w14:paraId="424C3C95">
      <w:pPr>
        <w:spacing w:before="148"/>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
        <w:gridCol w:w="3329"/>
        <w:gridCol w:w="4954"/>
        <w:gridCol w:w="4954"/>
        <w:gridCol w:w="3822"/>
        <w:gridCol w:w="2405"/>
      </w:tblGrid>
      <w:tr w14:paraId="772EE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919" w:type="dxa"/>
            <w:vMerge w:val="restart"/>
            <w:tcBorders>
              <w:top w:val="single" w:color="000000" w:sz="12" w:space="0"/>
              <w:left w:val="single" w:color="000000" w:sz="12" w:space="0"/>
              <w:bottom w:val="nil"/>
            </w:tcBorders>
            <w:vAlign w:val="top"/>
          </w:tcPr>
          <w:p w14:paraId="1299A04E">
            <w:pPr>
              <w:spacing w:before="49" w:line="243" w:lineRule="auto"/>
              <w:ind w:left="233" w:right="253"/>
              <w:rPr>
                <w:rFonts w:ascii="宋体" w:hAnsi="宋体" w:eastAsia="宋体" w:cs="宋体"/>
                <w:sz w:val="21"/>
                <w:szCs w:val="21"/>
              </w:rPr>
            </w:pPr>
            <w:r>
              <w:rPr>
                <w:rFonts w:ascii="宋体" w:hAnsi="宋体" w:eastAsia="宋体" w:cs="宋体"/>
                <w:spacing w:val="-5"/>
                <w:sz w:val="21"/>
                <w:szCs w:val="21"/>
              </w:rPr>
              <w:t>环保要求</w:t>
            </w:r>
          </w:p>
        </w:tc>
        <w:tc>
          <w:tcPr>
            <w:tcW w:w="8283" w:type="dxa"/>
            <w:gridSpan w:val="2"/>
            <w:tcBorders>
              <w:top w:val="single" w:color="000000" w:sz="12" w:space="0"/>
            </w:tcBorders>
            <w:vAlign w:val="top"/>
          </w:tcPr>
          <w:p w14:paraId="2604F401">
            <w:pPr>
              <w:spacing w:before="36" w:line="215" w:lineRule="auto"/>
              <w:ind w:left="3297"/>
              <w:rPr>
                <w:rFonts w:ascii="宋体" w:hAnsi="宋体" w:eastAsia="宋体" w:cs="宋体"/>
                <w:sz w:val="21"/>
                <w:szCs w:val="21"/>
              </w:rPr>
            </w:pPr>
            <w:r>
              <w:rPr>
                <w:rFonts w:ascii="宋体" w:hAnsi="宋体" w:eastAsia="宋体" w:cs="宋体"/>
                <w:spacing w:val="-1"/>
                <w:sz w:val="21"/>
                <w:szCs w:val="21"/>
              </w:rPr>
              <w:t>环境影响评价要求</w:t>
            </w:r>
          </w:p>
        </w:tc>
        <w:tc>
          <w:tcPr>
            <w:tcW w:w="4954" w:type="dxa"/>
            <w:vMerge w:val="restart"/>
            <w:tcBorders>
              <w:top w:val="single" w:color="000000" w:sz="12" w:space="0"/>
              <w:bottom w:val="nil"/>
            </w:tcBorders>
            <w:vAlign w:val="top"/>
          </w:tcPr>
          <w:p w14:paraId="1F9AA007">
            <w:pPr>
              <w:spacing w:before="185" w:line="220" w:lineRule="auto"/>
              <w:ind w:left="1535"/>
              <w:rPr>
                <w:rFonts w:ascii="宋体" w:hAnsi="宋体" w:eastAsia="宋体" w:cs="宋体"/>
                <w:sz w:val="21"/>
                <w:szCs w:val="21"/>
              </w:rPr>
            </w:pPr>
            <w:r>
              <w:rPr>
                <w:rFonts w:ascii="宋体" w:hAnsi="宋体" w:eastAsia="宋体" w:cs="宋体"/>
                <w:spacing w:val="-1"/>
                <w:sz w:val="21"/>
                <w:szCs w:val="21"/>
              </w:rPr>
              <w:t>初步设计中环保设计</w:t>
            </w:r>
          </w:p>
        </w:tc>
        <w:tc>
          <w:tcPr>
            <w:tcW w:w="6227" w:type="dxa"/>
            <w:gridSpan w:val="2"/>
            <w:tcBorders>
              <w:top w:val="single" w:color="000000" w:sz="12" w:space="0"/>
              <w:right w:val="single" w:color="000000" w:sz="12" w:space="0"/>
            </w:tcBorders>
            <w:vAlign w:val="top"/>
          </w:tcPr>
          <w:p w14:paraId="56300BB8">
            <w:pPr>
              <w:spacing w:before="36" w:line="215" w:lineRule="auto"/>
              <w:ind w:left="2494"/>
              <w:rPr>
                <w:rFonts w:ascii="宋体" w:hAnsi="宋体" w:eastAsia="宋体" w:cs="宋体"/>
                <w:sz w:val="21"/>
                <w:szCs w:val="21"/>
              </w:rPr>
            </w:pPr>
            <w:r>
              <w:rPr>
                <w:rFonts w:ascii="宋体" w:hAnsi="宋体" w:eastAsia="宋体" w:cs="宋体"/>
                <w:spacing w:val="-3"/>
                <w:sz w:val="21"/>
                <w:szCs w:val="21"/>
              </w:rPr>
              <w:t>实际建设情况</w:t>
            </w:r>
          </w:p>
        </w:tc>
      </w:tr>
      <w:tr w14:paraId="1759E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19" w:type="dxa"/>
            <w:vMerge w:val="continue"/>
            <w:tcBorders>
              <w:top w:val="nil"/>
              <w:left w:val="single" w:color="000000" w:sz="12" w:space="0"/>
              <w:bottom w:val="nil"/>
            </w:tcBorders>
            <w:vAlign w:val="top"/>
          </w:tcPr>
          <w:p w14:paraId="0105C75D">
            <w:pPr>
              <w:rPr>
                <w:rFonts w:ascii="Arial"/>
                <w:sz w:val="21"/>
              </w:rPr>
            </w:pPr>
          </w:p>
        </w:tc>
        <w:tc>
          <w:tcPr>
            <w:tcW w:w="3329" w:type="dxa"/>
            <w:vAlign w:val="top"/>
          </w:tcPr>
          <w:p w14:paraId="5C4BBB66">
            <w:pPr>
              <w:spacing w:before="34" w:line="214" w:lineRule="auto"/>
              <w:ind w:left="1236"/>
              <w:rPr>
                <w:rFonts w:ascii="宋体" w:hAnsi="宋体" w:eastAsia="宋体" w:cs="宋体"/>
                <w:sz w:val="21"/>
                <w:szCs w:val="21"/>
              </w:rPr>
            </w:pPr>
            <w:r>
              <w:rPr>
                <w:rFonts w:ascii="宋体" w:hAnsi="宋体" w:eastAsia="宋体" w:cs="宋体"/>
                <w:spacing w:val="-2"/>
                <w:sz w:val="21"/>
                <w:szCs w:val="21"/>
              </w:rPr>
              <w:t>环评批复</w:t>
            </w:r>
          </w:p>
        </w:tc>
        <w:tc>
          <w:tcPr>
            <w:tcW w:w="4954" w:type="dxa"/>
            <w:vAlign w:val="top"/>
          </w:tcPr>
          <w:p w14:paraId="054A94CA">
            <w:pPr>
              <w:spacing w:before="34" w:line="214" w:lineRule="auto"/>
              <w:ind w:left="1739"/>
              <w:rPr>
                <w:rFonts w:ascii="宋体" w:hAnsi="宋体" w:eastAsia="宋体" w:cs="宋体"/>
                <w:sz w:val="21"/>
                <w:szCs w:val="21"/>
              </w:rPr>
            </w:pPr>
            <w:r>
              <w:rPr>
                <w:rFonts w:ascii="宋体" w:hAnsi="宋体" w:eastAsia="宋体" w:cs="宋体"/>
                <w:spacing w:val="-2"/>
                <w:sz w:val="21"/>
                <w:szCs w:val="21"/>
              </w:rPr>
              <w:t>环境影响报告书</w:t>
            </w:r>
          </w:p>
        </w:tc>
        <w:tc>
          <w:tcPr>
            <w:tcW w:w="4954" w:type="dxa"/>
            <w:vMerge w:val="continue"/>
            <w:tcBorders>
              <w:top w:val="nil"/>
            </w:tcBorders>
            <w:vAlign w:val="top"/>
          </w:tcPr>
          <w:p w14:paraId="17BE4C5C">
            <w:pPr>
              <w:rPr>
                <w:rFonts w:ascii="Arial"/>
                <w:sz w:val="21"/>
              </w:rPr>
            </w:pPr>
          </w:p>
        </w:tc>
        <w:tc>
          <w:tcPr>
            <w:tcW w:w="3822" w:type="dxa"/>
            <w:vAlign w:val="top"/>
          </w:tcPr>
          <w:p w14:paraId="7CF5D980">
            <w:pPr>
              <w:spacing w:before="34" w:line="214" w:lineRule="auto"/>
              <w:ind w:left="1090"/>
              <w:rPr>
                <w:rFonts w:ascii="宋体" w:hAnsi="宋体" w:eastAsia="宋体" w:cs="宋体"/>
                <w:sz w:val="21"/>
                <w:szCs w:val="21"/>
              </w:rPr>
            </w:pPr>
            <w:r>
              <w:rPr>
                <w:rFonts w:ascii="宋体" w:hAnsi="宋体" w:eastAsia="宋体" w:cs="宋体"/>
                <w:spacing w:val="-2"/>
                <w:sz w:val="21"/>
                <w:szCs w:val="21"/>
              </w:rPr>
              <w:t>蓄水阶段执行情况</w:t>
            </w:r>
          </w:p>
        </w:tc>
        <w:tc>
          <w:tcPr>
            <w:tcW w:w="2405" w:type="dxa"/>
            <w:tcBorders>
              <w:right w:val="single" w:color="000000" w:sz="12" w:space="0"/>
            </w:tcBorders>
            <w:vAlign w:val="top"/>
          </w:tcPr>
          <w:p w14:paraId="33C0A381">
            <w:pPr>
              <w:spacing w:before="34" w:line="214" w:lineRule="auto"/>
              <w:ind w:left="267"/>
              <w:rPr>
                <w:rFonts w:ascii="宋体" w:hAnsi="宋体" w:eastAsia="宋体" w:cs="宋体"/>
                <w:sz w:val="21"/>
                <w:szCs w:val="21"/>
              </w:rPr>
            </w:pPr>
            <w:r>
              <w:rPr>
                <w:rFonts w:ascii="宋体" w:hAnsi="宋体" w:eastAsia="宋体" w:cs="宋体"/>
                <w:spacing w:val="-2"/>
                <w:sz w:val="21"/>
                <w:szCs w:val="21"/>
              </w:rPr>
              <w:t>后续工作建议及要求</w:t>
            </w:r>
          </w:p>
        </w:tc>
      </w:tr>
      <w:tr w14:paraId="7E1BD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919" w:type="dxa"/>
            <w:vMerge w:val="continue"/>
            <w:tcBorders>
              <w:top w:val="nil"/>
              <w:left w:val="single" w:color="000000" w:sz="12" w:space="0"/>
            </w:tcBorders>
            <w:vAlign w:val="top"/>
          </w:tcPr>
          <w:p w14:paraId="168EF6B8">
            <w:pPr>
              <w:rPr>
                <w:rFonts w:ascii="Arial"/>
                <w:sz w:val="21"/>
              </w:rPr>
            </w:pPr>
          </w:p>
        </w:tc>
        <w:tc>
          <w:tcPr>
            <w:tcW w:w="3329" w:type="dxa"/>
            <w:vAlign w:val="top"/>
          </w:tcPr>
          <w:p w14:paraId="2D1FE89C">
            <w:pPr>
              <w:spacing w:before="50" w:line="226" w:lineRule="auto"/>
              <w:ind w:left="16" w:right="31"/>
              <w:rPr>
                <w:rFonts w:ascii="宋体" w:hAnsi="宋体" w:eastAsia="宋体" w:cs="宋体"/>
                <w:sz w:val="21"/>
                <w:szCs w:val="21"/>
              </w:rPr>
            </w:pPr>
            <w:r>
              <w:rPr>
                <w:rFonts w:ascii="宋体" w:hAnsi="宋体" w:eastAsia="宋体" w:cs="宋体"/>
                <w:spacing w:val="-6"/>
                <w:sz w:val="21"/>
                <w:szCs w:val="21"/>
              </w:rPr>
              <w:t>施生态修复，植被恢复优先选择当地</w:t>
            </w:r>
            <w:r>
              <w:rPr>
                <w:rFonts w:ascii="宋体" w:hAnsi="宋体" w:eastAsia="宋体" w:cs="宋体"/>
                <w:spacing w:val="-7"/>
                <w:sz w:val="21"/>
                <w:szCs w:val="21"/>
              </w:rPr>
              <w:t>适生植物。</w:t>
            </w:r>
          </w:p>
        </w:tc>
        <w:tc>
          <w:tcPr>
            <w:tcW w:w="4954" w:type="dxa"/>
            <w:vAlign w:val="top"/>
          </w:tcPr>
          <w:p w14:paraId="1EFBDFE9">
            <w:pPr>
              <w:rPr>
                <w:rFonts w:ascii="Arial"/>
                <w:sz w:val="21"/>
              </w:rPr>
            </w:pPr>
          </w:p>
        </w:tc>
        <w:tc>
          <w:tcPr>
            <w:tcW w:w="4954" w:type="dxa"/>
            <w:vAlign w:val="top"/>
          </w:tcPr>
          <w:p w14:paraId="4C8C3D73">
            <w:pPr>
              <w:rPr>
                <w:rFonts w:ascii="Arial"/>
                <w:sz w:val="21"/>
              </w:rPr>
            </w:pPr>
          </w:p>
        </w:tc>
        <w:tc>
          <w:tcPr>
            <w:tcW w:w="3822" w:type="dxa"/>
            <w:vAlign w:val="top"/>
          </w:tcPr>
          <w:p w14:paraId="5F5356B6">
            <w:pPr>
              <w:spacing w:before="51" w:line="220" w:lineRule="auto"/>
              <w:ind w:left="40"/>
              <w:rPr>
                <w:rFonts w:ascii="宋体" w:hAnsi="宋体" w:eastAsia="宋体" w:cs="宋体"/>
                <w:sz w:val="21"/>
                <w:szCs w:val="21"/>
              </w:rPr>
            </w:pPr>
            <w:r>
              <w:rPr>
                <w:rFonts w:ascii="宋体" w:hAnsi="宋体" w:eastAsia="宋体" w:cs="宋体"/>
                <w:spacing w:val="-5"/>
                <w:sz w:val="21"/>
                <w:szCs w:val="21"/>
              </w:rPr>
              <w:t>正在恢复过程中。</w:t>
            </w:r>
          </w:p>
        </w:tc>
        <w:tc>
          <w:tcPr>
            <w:tcW w:w="2405" w:type="dxa"/>
            <w:tcBorders>
              <w:right w:val="single" w:color="000000" w:sz="12" w:space="0"/>
            </w:tcBorders>
            <w:vAlign w:val="top"/>
          </w:tcPr>
          <w:p w14:paraId="68CF0EDF">
            <w:pPr>
              <w:rPr>
                <w:rFonts w:ascii="Arial"/>
                <w:sz w:val="21"/>
              </w:rPr>
            </w:pPr>
          </w:p>
        </w:tc>
      </w:tr>
      <w:tr w14:paraId="76C59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919" w:type="dxa"/>
            <w:vMerge w:val="restart"/>
            <w:tcBorders>
              <w:left w:val="single" w:color="000000" w:sz="12" w:space="0"/>
              <w:bottom w:val="nil"/>
            </w:tcBorders>
            <w:vAlign w:val="top"/>
          </w:tcPr>
          <w:p w14:paraId="603B0558">
            <w:pPr>
              <w:spacing w:line="245" w:lineRule="auto"/>
              <w:rPr>
                <w:rFonts w:ascii="Arial"/>
                <w:sz w:val="21"/>
              </w:rPr>
            </w:pPr>
          </w:p>
          <w:p w14:paraId="10567445">
            <w:pPr>
              <w:spacing w:line="245" w:lineRule="auto"/>
              <w:rPr>
                <w:rFonts w:ascii="Arial"/>
                <w:sz w:val="21"/>
              </w:rPr>
            </w:pPr>
          </w:p>
          <w:p w14:paraId="741168C5">
            <w:pPr>
              <w:spacing w:line="245" w:lineRule="auto"/>
              <w:rPr>
                <w:rFonts w:ascii="Arial"/>
                <w:sz w:val="21"/>
              </w:rPr>
            </w:pPr>
          </w:p>
          <w:p w14:paraId="30FCCF91">
            <w:pPr>
              <w:spacing w:line="245" w:lineRule="auto"/>
              <w:rPr>
                <w:rFonts w:ascii="Arial"/>
                <w:sz w:val="21"/>
              </w:rPr>
            </w:pPr>
          </w:p>
          <w:p w14:paraId="58EBC20F">
            <w:pPr>
              <w:spacing w:line="245" w:lineRule="auto"/>
              <w:rPr>
                <w:rFonts w:ascii="Arial"/>
                <w:sz w:val="21"/>
              </w:rPr>
            </w:pPr>
          </w:p>
          <w:p w14:paraId="74581B66">
            <w:pPr>
              <w:spacing w:line="246" w:lineRule="auto"/>
              <w:rPr>
                <w:rFonts w:ascii="Arial"/>
                <w:sz w:val="21"/>
              </w:rPr>
            </w:pPr>
          </w:p>
          <w:p w14:paraId="2FD84736">
            <w:pPr>
              <w:spacing w:line="246" w:lineRule="auto"/>
              <w:rPr>
                <w:rFonts w:ascii="Arial"/>
                <w:sz w:val="21"/>
              </w:rPr>
            </w:pPr>
          </w:p>
          <w:p w14:paraId="4E41049C">
            <w:pPr>
              <w:spacing w:line="246" w:lineRule="auto"/>
              <w:rPr>
                <w:rFonts w:ascii="Arial"/>
                <w:sz w:val="21"/>
              </w:rPr>
            </w:pPr>
          </w:p>
          <w:p w14:paraId="0A8340DF">
            <w:pPr>
              <w:spacing w:line="246" w:lineRule="auto"/>
              <w:rPr>
                <w:rFonts w:ascii="Arial"/>
                <w:sz w:val="21"/>
              </w:rPr>
            </w:pPr>
          </w:p>
          <w:p w14:paraId="657B2529">
            <w:pPr>
              <w:spacing w:before="69" w:line="222" w:lineRule="auto"/>
              <w:ind w:left="23"/>
              <w:rPr>
                <w:rFonts w:ascii="宋体" w:hAnsi="宋体" w:eastAsia="宋体" w:cs="宋体"/>
                <w:sz w:val="21"/>
                <w:szCs w:val="21"/>
              </w:rPr>
            </w:pPr>
            <w:r>
              <w:rPr>
                <w:rFonts w:ascii="宋体" w:hAnsi="宋体" w:eastAsia="宋体" w:cs="宋体"/>
                <w:spacing w:val="-2"/>
                <w:sz w:val="21"/>
                <w:szCs w:val="21"/>
              </w:rPr>
              <w:t>加强施工</w:t>
            </w:r>
          </w:p>
          <w:p w14:paraId="072A4E03">
            <w:pPr>
              <w:spacing w:before="18" w:line="220" w:lineRule="auto"/>
              <w:ind w:left="26"/>
              <w:rPr>
                <w:rFonts w:ascii="宋体" w:hAnsi="宋体" w:eastAsia="宋体" w:cs="宋体"/>
                <w:sz w:val="21"/>
                <w:szCs w:val="21"/>
              </w:rPr>
            </w:pPr>
            <w:r>
              <w:rPr>
                <w:rFonts w:ascii="宋体" w:hAnsi="宋体" w:eastAsia="宋体" w:cs="宋体"/>
                <w:spacing w:val="-3"/>
                <w:sz w:val="21"/>
                <w:szCs w:val="21"/>
              </w:rPr>
              <w:t>期环境管</w:t>
            </w:r>
          </w:p>
          <w:p w14:paraId="0CFA3597">
            <w:pPr>
              <w:spacing w:before="22" w:line="220" w:lineRule="auto"/>
              <w:ind w:left="26"/>
              <w:rPr>
                <w:rFonts w:ascii="宋体" w:hAnsi="宋体" w:eastAsia="宋体" w:cs="宋体"/>
                <w:sz w:val="21"/>
                <w:szCs w:val="21"/>
              </w:rPr>
            </w:pPr>
            <w:r>
              <w:rPr>
                <w:rFonts w:ascii="宋体" w:hAnsi="宋体" w:eastAsia="宋体" w:cs="宋体"/>
                <w:spacing w:val="-3"/>
                <w:sz w:val="21"/>
                <w:szCs w:val="21"/>
              </w:rPr>
              <w:t>理，落实</w:t>
            </w:r>
          </w:p>
          <w:p w14:paraId="0B8B75E6">
            <w:pPr>
              <w:spacing w:before="21" w:line="220" w:lineRule="auto"/>
              <w:ind w:left="26"/>
              <w:rPr>
                <w:rFonts w:ascii="宋体" w:hAnsi="宋体" w:eastAsia="宋体" w:cs="宋体"/>
                <w:sz w:val="21"/>
                <w:szCs w:val="21"/>
              </w:rPr>
            </w:pPr>
            <w:r>
              <w:rPr>
                <w:rFonts w:ascii="宋体" w:hAnsi="宋体" w:eastAsia="宋体" w:cs="宋体"/>
                <w:spacing w:val="-3"/>
                <w:sz w:val="21"/>
                <w:szCs w:val="21"/>
              </w:rPr>
              <w:t>水环境保</w:t>
            </w:r>
          </w:p>
          <w:p w14:paraId="408595D5">
            <w:pPr>
              <w:spacing w:before="23" w:line="220" w:lineRule="auto"/>
              <w:ind w:left="24"/>
              <w:rPr>
                <w:rFonts w:ascii="宋体" w:hAnsi="宋体" w:eastAsia="宋体" w:cs="宋体"/>
                <w:sz w:val="21"/>
                <w:szCs w:val="21"/>
              </w:rPr>
            </w:pPr>
            <w:r>
              <w:rPr>
                <w:rFonts w:ascii="宋体" w:hAnsi="宋体" w:eastAsia="宋体" w:cs="宋体"/>
                <w:spacing w:val="-2"/>
                <w:sz w:val="21"/>
                <w:szCs w:val="21"/>
              </w:rPr>
              <w:t>护、生活</w:t>
            </w:r>
          </w:p>
          <w:p w14:paraId="696B2F0A">
            <w:pPr>
              <w:spacing w:before="21" w:line="220" w:lineRule="auto"/>
              <w:ind w:left="25"/>
              <w:rPr>
                <w:rFonts w:ascii="宋体" w:hAnsi="宋体" w:eastAsia="宋体" w:cs="宋体"/>
                <w:sz w:val="21"/>
                <w:szCs w:val="21"/>
              </w:rPr>
            </w:pPr>
            <w:r>
              <w:rPr>
                <w:rFonts w:ascii="宋体" w:hAnsi="宋体" w:eastAsia="宋体" w:cs="宋体"/>
                <w:spacing w:val="-2"/>
                <w:sz w:val="21"/>
                <w:szCs w:val="21"/>
              </w:rPr>
              <w:t>垃圾处置</w:t>
            </w:r>
          </w:p>
          <w:p w14:paraId="2F42E26E">
            <w:pPr>
              <w:spacing w:before="22" w:line="222" w:lineRule="auto"/>
              <w:ind w:left="24"/>
              <w:rPr>
                <w:rFonts w:ascii="宋体" w:hAnsi="宋体" w:eastAsia="宋体" w:cs="宋体"/>
                <w:sz w:val="21"/>
                <w:szCs w:val="21"/>
              </w:rPr>
            </w:pPr>
            <w:r>
              <w:rPr>
                <w:rFonts w:ascii="宋体" w:hAnsi="宋体" w:eastAsia="宋体" w:cs="宋体"/>
                <w:spacing w:val="-8"/>
                <w:sz w:val="21"/>
                <w:szCs w:val="21"/>
              </w:rPr>
              <w:t>和扬尘、</w:t>
            </w:r>
          </w:p>
          <w:p w14:paraId="7130DE2F">
            <w:pPr>
              <w:spacing w:before="20" w:line="220" w:lineRule="auto"/>
              <w:ind w:left="33"/>
              <w:rPr>
                <w:rFonts w:ascii="宋体" w:hAnsi="宋体" w:eastAsia="宋体" w:cs="宋体"/>
                <w:sz w:val="21"/>
                <w:szCs w:val="21"/>
              </w:rPr>
            </w:pPr>
            <w:r>
              <w:rPr>
                <w:rFonts w:ascii="宋体" w:hAnsi="宋体" w:eastAsia="宋体" w:cs="宋体"/>
                <w:spacing w:val="-4"/>
                <w:sz w:val="21"/>
                <w:szCs w:val="21"/>
              </w:rPr>
              <w:t>噪声污染</w:t>
            </w:r>
          </w:p>
          <w:p w14:paraId="218D8C6A">
            <w:pPr>
              <w:spacing w:before="21" w:line="220" w:lineRule="auto"/>
              <w:ind w:left="37"/>
              <w:rPr>
                <w:rFonts w:ascii="宋体" w:hAnsi="宋体" w:eastAsia="宋体" w:cs="宋体"/>
                <w:sz w:val="21"/>
                <w:szCs w:val="21"/>
              </w:rPr>
            </w:pPr>
            <w:r>
              <w:rPr>
                <w:rFonts w:ascii="宋体" w:hAnsi="宋体" w:eastAsia="宋体" w:cs="宋体"/>
                <w:spacing w:val="-5"/>
                <w:sz w:val="21"/>
                <w:szCs w:val="21"/>
              </w:rPr>
              <w:t>防治等措</w:t>
            </w:r>
          </w:p>
          <w:p w14:paraId="55A04387">
            <w:pPr>
              <w:spacing w:before="24" w:line="222" w:lineRule="auto"/>
              <w:ind w:left="232"/>
              <w:rPr>
                <w:rFonts w:ascii="宋体" w:hAnsi="宋体" w:eastAsia="宋体" w:cs="宋体"/>
                <w:sz w:val="21"/>
                <w:szCs w:val="21"/>
              </w:rPr>
            </w:pPr>
            <w:r>
              <w:rPr>
                <w:rFonts w:ascii="宋体" w:hAnsi="宋体" w:eastAsia="宋体" w:cs="宋体"/>
                <w:spacing w:val="-10"/>
                <w:sz w:val="21"/>
                <w:szCs w:val="21"/>
              </w:rPr>
              <w:t>施。</w:t>
            </w:r>
          </w:p>
        </w:tc>
        <w:tc>
          <w:tcPr>
            <w:tcW w:w="3329" w:type="dxa"/>
            <w:vMerge w:val="restart"/>
            <w:tcBorders>
              <w:bottom w:val="nil"/>
            </w:tcBorders>
            <w:vAlign w:val="top"/>
          </w:tcPr>
          <w:p w14:paraId="5738ADEC">
            <w:pPr>
              <w:spacing w:line="276" w:lineRule="auto"/>
              <w:rPr>
                <w:rFonts w:ascii="Arial"/>
                <w:sz w:val="21"/>
              </w:rPr>
            </w:pPr>
          </w:p>
          <w:p w14:paraId="522BBF4E">
            <w:pPr>
              <w:spacing w:line="277" w:lineRule="auto"/>
              <w:rPr>
                <w:rFonts w:ascii="Arial"/>
                <w:sz w:val="21"/>
              </w:rPr>
            </w:pPr>
          </w:p>
          <w:p w14:paraId="70381156">
            <w:pPr>
              <w:spacing w:line="277" w:lineRule="auto"/>
              <w:rPr>
                <w:rFonts w:ascii="Arial"/>
                <w:sz w:val="21"/>
              </w:rPr>
            </w:pPr>
          </w:p>
          <w:p w14:paraId="2C73FEBB">
            <w:pPr>
              <w:spacing w:line="277" w:lineRule="auto"/>
              <w:rPr>
                <w:rFonts w:ascii="Arial"/>
                <w:sz w:val="21"/>
              </w:rPr>
            </w:pPr>
          </w:p>
          <w:p w14:paraId="24EAB89C">
            <w:pPr>
              <w:spacing w:line="277" w:lineRule="auto"/>
              <w:rPr>
                <w:rFonts w:ascii="Arial"/>
                <w:sz w:val="21"/>
              </w:rPr>
            </w:pPr>
          </w:p>
          <w:p w14:paraId="0F4DBD32">
            <w:pPr>
              <w:spacing w:line="277" w:lineRule="auto"/>
              <w:rPr>
                <w:rFonts w:ascii="Arial"/>
                <w:sz w:val="21"/>
              </w:rPr>
            </w:pPr>
          </w:p>
          <w:p w14:paraId="4A01BEB9">
            <w:pPr>
              <w:spacing w:before="68" w:line="242" w:lineRule="auto"/>
              <w:ind w:left="18" w:right="31" w:hanging="2"/>
              <w:rPr>
                <w:rFonts w:ascii="宋体" w:hAnsi="宋体" w:eastAsia="宋体" w:cs="宋体"/>
                <w:sz w:val="21"/>
                <w:szCs w:val="21"/>
              </w:rPr>
            </w:pPr>
            <w:r>
              <w:rPr>
                <w:rFonts w:ascii="宋体" w:hAnsi="宋体" w:eastAsia="宋体" w:cs="宋体"/>
                <w:spacing w:val="-6"/>
                <w:sz w:val="21"/>
                <w:szCs w:val="21"/>
              </w:rPr>
              <w:t>施工废水、生活污水经处理后循环利</w:t>
            </w:r>
            <w:r>
              <w:rPr>
                <w:rFonts w:ascii="宋体" w:hAnsi="宋体" w:eastAsia="宋体" w:cs="宋体"/>
                <w:spacing w:val="-7"/>
                <w:sz w:val="21"/>
                <w:szCs w:val="21"/>
              </w:rPr>
              <w:t>用或回用。</w:t>
            </w:r>
          </w:p>
        </w:tc>
        <w:tc>
          <w:tcPr>
            <w:tcW w:w="4954" w:type="dxa"/>
            <w:vAlign w:val="top"/>
          </w:tcPr>
          <w:p w14:paraId="1C9B668C">
            <w:pPr>
              <w:pStyle w:val="6"/>
              <w:spacing w:before="37" w:line="225" w:lineRule="auto"/>
              <w:ind w:left="22" w:right="24" w:hanging="1"/>
              <w:rPr>
                <w:rFonts w:ascii="宋体" w:hAnsi="宋体" w:eastAsia="宋体" w:cs="宋体"/>
              </w:rPr>
            </w:pPr>
            <w:r>
              <w:rPr>
                <w:rFonts w:ascii="宋体" w:hAnsi="宋体" w:eastAsia="宋体" w:cs="宋体"/>
                <w:spacing w:val="-6"/>
              </w:rPr>
              <w:t>砂石料加工系统废水：采用</w:t>
            </w:r>
            <w:r>
              <w:rPr>
                <w:rFonts w:ascii="宋体" w:hAnsi="宋体" w:eastAsia="宋体" w:cs="宋体"/>
                <w:spacing w:val="-49"/>
              </w:rPr>
              <w:t xml:space="preserve"> </w:t>
            </w:r>
            <w:r>
              <w:rPr>
                <w:spacing w:val="-6"/>
              </w:rPr>
              <w:t>DH</w:t>
            </w:r>
            <w:r>
              <w:rPr>
                <w:spacing w:val="14"/>
              </w:rPr>
              <w:t xml:space="preserve"> </w:t>
            </w:r>
            <w:r>
              <w:rPr>
                <w:rFonts w:ascii="宋体" w:hAnsi="宋体" w:eastAsia="宋体" w:cs="宋体"/>
                <w:spacing w:val="-6"/>
              </w:rPr>
              <w:t>高效（旋流</w:t>
            </w:r>
            <w:r>
              <w:rPr>
                <w:rFonts w:ascii="宋体" w:hAnsi="宋体" w:eastAsia="宋体" w:cs="宋体"/>
                <w:spacing w:val="-7"/>
              </w:rPr>
              <w:t>）污水净化</w:t>
            </w:r>
            <w:r>
              <w:rPr>
                <w:rFonts w:ascii="宋体" w:hAnsi="宋体" w:eastAsia="宋体" w:cs="宋体"/>
                <w:spacing w:val="-2"/>
              </w:rPr>
              <w:t>法处理后回用，不外排。泥渣等就近运至渣场堆放。</w:t>
            </w:r>
          </w:p>
        </w:tc>
        <w:tc>
          <w:tcPr>
            <w:tcW w:w="4954" w:type="dxa"/>
            <w:vAlign w:val="top"/>
          </w:tcPr>
          <w:p w14:paraId="18A9EB0E">
            <w:pPr>
              <w:pStyle w:val="6"/>
              <w:spacing w:before="37" w:line="225" w:lineRule="auto"/>
              <w:ind w:left="28" w:right="18"/>
              <w:rPr>
                <w:rFonts w:ascii="宋体" w:hAnsi="宋体" w:eastAsia="宋体" w:cs="宋体"/>
              </w:rPr>
            </w:pPr>
            <w:r>
              <w:rPr>
                <w:rFonts w:ascii="宋体" w:hAnsi="宋体" w:eastAsia="宋体" w:cs="宋体"/>
                <w:spacing w:val="-7"/>
              </w:rPr>
              <w:t>采用</w:t>
            </w:r>
            <w:r>
              <w:rPr>
                <w:rFonts w:ascii="宋体" w:hAnsi="宋体" w:eastAsia="宋体" w:cs="宋体"/>
                <w:spacing w:val="-31"/>
              </w:rPr>
              <w:t xml:space="preserve"> </w:t>
            </w:r>
            <w:r>
              <w:rPr>
                <w:spacing w:val="-7"/>
              </w:rPr>
              <w:t>DH</w:t>
            </w:r>
            <w:r>
              <w:rPr>
                <w:spacing w:val="14"/>
                <w:w w:val="101"/>
              </w:rPr>
              <w:t xml:space="preserve"> </w:t>
            </w:r>
            <w:r>
              <w:rPr>
                <w:rFonts w:ascii="宋体" w:hAnsi="宋体" w:eastAsia="宋体" w:cs="宋体"/>
                <w:spacing w:val="-7"/>
              </w:rPr>
              <w:t>高效（旋流）污水净化法对废水进行处理后循</w:t>
            </w:r>
            <w:r>
              <w:rPr>
                <w:rFonts w:ascii="宋体" w:hAnsi="宋体" w:eastAsia="宋体" w:cs="宋体"/>
                <w:spacing w:val="-1"/>
              </w:rPr>
              <w:t>环利用，不向外排放。</w:t>
            </w:r>
          </w:p>
        </w:tc>
        <w:tc>
          <w:tcPr>
            <w:tcW w:w="3822" w:type="dxa"/>
            <w:vAlign w:val="top"/>
          </w:tcPr>
          <w:p w14:paraId="3A7CE593">
            <w:pPr>
              <w:spacing w:before="174" w:line="219" w:lineRule="auto"/>
              <w:ind w:left="35"/>
              <w:rPr>
                <w:rFonts w:ascii="宋体" w:hAnsi="宋体" w:eastAsia="宋体" w:cs="宋体"/>
                <w:sz w:val="21"/>
                <w:szCs w:val="21"/>
              </w:rPr>
            </w:pPr>
            <w:r>
              <w:rPr>
                <w:rFonts w:ascii="宋体" w:hAnsi="宋体" w:eastAsia="宋体" w:cs="宋体"/>
                <w:spacing w:val="-3"/>
                <w:sz w:val="21"/>
                <w:szCs w:val="21"/>
              </w:rPr>
              <w:t>采用干法工艺，基本无生产废水产生。</w:t>
            </w:r>
          </w:p>
        </w:tc>
        <w:tc>
          <w:tcPr>
            <w:tcW w:w="2405" w:type="dxa"/>
            <w:tcBorders>
              <w:right w:val="single" w:color="000000" w:sz="12" w:space="0"/>
            </w:tcBorders>
            <w:vAlign w:val="top"/>
          </w:tcPr>
          <w:p w14:paraId="2CA91714">
            <w:pPr>
              <w:spacing w:before="174" w:line="220" w:lineRule="auto"/>
              <w:ind w:left="1107"/>
              <w:rPr>
                <w:rFonts w:ascii="宋体" w:hAnsi="宋体" w:eastAsia="宋体" w:cs="宋体"/>
                <w:sz w:val="21"/>
                <w:szCs w:val="21"/>
              </w:rPr>
            </w:pPr>
            <w:r>
              <w:rPr>
                <w:rFonts w:ascii="宋体" w:hAnsi="宋体" w:eastAsia="宋体" w:cs="宋体"/>
                <w:sz w:val="21"/>
                <w:szCs w:val="21"/>
              </w:rPr>
              <w:t>无</w:t>
            </w:r>
          </w:p>
        </w:tc>
      </w:tr>
      <w:tr w14:paraId="6056A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919" w:type="dxa"/>
            <w:vMerge w:val="continue"/>
            <w:tcBorders>
              <w:top w:val="nil"/>
              <w:left w:val="single" w:color="000000" w:sz="12" w:space="0"/>
              <w:bottom w:val="nil"/>
            </w:tcBorders>
            <w:vAlign w:val="top"/>
          </w:tcPr>
          <w:p w14:paraId="2A187CEF">
            <w:pPr>
              <w:rPr>
                <w:rFonts w:ascii="Arial"/>
                <w:sz w:val="21"/>
              </w:rPr>
            </w:pPr>
          </w:p>
        </w:tc>
        <w:tc>
          <w:tcPr>
            <w:tcW w:w="3329" w:type="dxa"/>
            <w:vMerge w:val="continue"/>
            <w:tcBorders>
              <w:top w:val="nil"/>
              <w:bottom w:val="nil"/>
            </w:tcBorders>
            <w:vAlign w:val="top"/>
          </w:tcPr>
          <w:p w14:paraId="13A8CF1C">
            <w:pPr>
              <w:rPr>
                <w:rFonts w:ascii="Arial"/>
                <w:sz w:val="21"/>
              </w:rPr>
            </w:pPr>
          </w:p>
        </w:tc>
        <w:tc>
          <w:tcPr>
            <w:tcW w:w="4954" w:type="dxa"/>
            <w:vAlign w:val="top"/>
          </w:tcPr>
          <w:p w14:paraId="57941CF6">
            <w:pPr>
              <w:spacing w:before="41" w:line="224" w:lineRule="auto"/>
              <w:ind w:left="22" w:right="24" w:firstLine="2"/>
              <w:rPr>
                <w:rFonts w:ascii="宋体" w:hAnsi="宋体" w:eastAsia="宋体" w:cs="宋体"/>
                <w:sz w:val="21"/>
                <w:szCs w:val="21"/>
              </w:rPr>
            </w:pPr>
            <w:r>
              <w:rPr>
                <w:rFonts w:ascii="宋体" w:hAnsi="宋体" w:eastAsia="宋体" w:cs="宋体"/>
                <w:spacing w:val="-6"/>
                <w:sz w:val="21"/>
                <w:szCs w:val="21"/>
              </w:rPr>
              <w:t>混凝土拌和系统废水：经沉淀法处理后全部回用</w:t>
            </w:r>
            <w:r>
              <w:rPr>
                <w:rFonts w:ascii="宋体" w:hAnsi="宋体" w:eastAsia="宋体" w:cs="宋体"/>
                <w:spacing w:val="-7"/>
                <w:sz w:val="21"/>
                <w:szCs w:val="21"/>
              </w:rPr>
              <w:t>，不外</w:t>
            </w:r>
            <w:r>
              <w:rPr>
                <w:rFonts w:ascii="宋体" w:hAnsi="宋体" w:eastAsia="宋体" w:cs="宋体"/>
                <w:spacing w:val="-1"/>
                <w:sz w:val="21"/>
                <w:szCs w:val="21"/>
              </w:rPr>
              <w:t>排。沉渣就近运至渣场堆放。</w:t>
            </w:r>
          </w:p>
        </w:tc>
        <w:tc>
          <w:tcPr>
            <w:tcW w:w="4954" w:type="dxa"/>
            <w:vAlign w:val="top"/>
          </w:tcPr>
          <w:p w14:paraId="68002BBD">
            <w:pPr>
              <w:spacing w:before="41" w:line="224" w:lineRule="auto"/>
              <w:ind w:left="30" w:right="19" w:hanging="2"/>
              <w:rPr>
                <w:rFonts w:ascii="宋体" w:hAnsi="宋体" w:eastAsia="宋体" w:cs="宋体"/>
                <w:sz w:val="21"/>
                <w:szCs w:val="21"/>
              </w:rPr>
            </w:pPr>
            <w:r>
              <w:rPr>
                <w:rFonts w:ascii="宋体" w:hAnsi="宋体" w:eastAsia="宋体" w:cs="宋体"/>
                <w:spacing w:val="3"/>
                <w:sz w:val="21"/>
                <w:szCs w:val="21"/>
              </w:rPr>
              <w:t>选用沉淀法对混凝土冲洗废水进行处理，沉</w:t>
            </w:r>
            <w:r>
              <w:rPr>
                <w:rFonts w:ascii="宋体" w:hAnsi="宋体" w:eastAsia="宋体" w:cs="宋体"/>
                <w:spacing w:val="2"/>
                <w:sz w:val="21"/>
                <w:szCs w:val="21"/>
              </w:rPr>
              <w:t>淀池上清</w:t>
            </w:r>
            <w:r>
              <w:rPr>
                <w:rFonts w:ascii="宋体" w:hAnsi="宋体" w:eastAsia="宋体" w:cs="宋体"/>
                <w:spacing w:val="-3"/>
                <w:sz w:val="21"/>
                <w:szCs w:val="21"/>
              </w:rPr>
              <w:t>液回用于混凝土拌和系统，不向外排放。</w:t>
            </w:r>
          </w:p>
        </w:tc>
        <w:tc>
          <w:tcPr>
            <w:tcW w:w="3822" w:type="dxa"/>
            <w:vAlign w:val="top"/>
          </w:tcPr>
          <w:p w14:paraId="61AD5841">
            <w:pPr>
              <w:spacing w:before="41" w:line="224" w:lineRule="auto"/>
              <w:ind w:left="36" w:right="50"/>
              <w:rPr>
                <w:rFonts w:ascii="宋体" w:hAnsi="宋体" w:eastAsia="宋体" w:cs="宋体"/>
                <w:sz w:val="21"/>
                <w:szCs w:val="21"/>
              </w:rPr>
            </w:pPr>
            <w:r>
              <w:rPr>
                <w:rFonts w:ascii="宋体" w:hAnsi="宋体" w:eastAsia="宋体" w:cs="宋体"/>
                <w:spacing w:val="-4"/>
                <w:sz w:val="21"/>
                <w:szCs w:val="21"/>
              </w:rPr>
              <w:t>均设置了沉淀池，沉淀池上层清水回用，沉渣就近运至渣场堆放。</w:t>
            </w:r>
          </w:p>
        </w:tc>
        <w:tc>
          <w:tcPr>
            <w:tcW w:w="2405" w:type="dxa"/>
            <w:tcBorders>
              <w:right w:val="single" w:color="000000" w:sz="12" w:space="0"/>
            </w:tcBorders>
            <w:vAlign w:val="top"/>
          </w:tcPr>
          <w:p w14:paraId="55CF34FB">
            <w:pPr>
              <w:spacing w:before="176" w:line="220" w:lineRule="auto"/>
              <w:ind w:left="1107"/>
              <w:rPr>
                <w:rFonts w:ascii="宋体" w:hAnsi="宋体" w:eastAsia="宋体" w:cs="宋体"/>
                <w:sz w:val="21"/>
                <w:szCs w:val="21"/>
              </w:rPr>
            </w:pPr>
            <w:r>
              <w:rPr>
                <w:rFonts w:ascii="宋体" w:hAnsi="宋体" w:eastAsia="宋体" w:cs="宋体"/>
                <w:sz w:val="21"/>
                <w:szCs w:val="21"/>
              </w:rPr>
              <w:t>无</w:t>
            </w:r>
          </w:p>
        </w:tc>
      </w:tr>
      <w:tr w14:paraId="5A21F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919" w:type="dxa"/>
            <w:vMerge w:val="continue"/>
            <w:tcBorders>
              <w:top w:val="nil"/>
              <w:left w:val="single" w:color="000000" w:sz="12" w:space="0"/>
              <w:bottom w:val="nil"/>
            </w:tcBorders>
            <w:vAlign w:val="top"/>
          </w:tcPr>
          <w:p w14:paraId="637084E8">
            <w:pPr>
              <w:rPr>
                <w:rFonts w:ascii="Arial"/>
                <w:sz w:val="21"/>
              </w:rPr>
            </w:pPr>
          </w:p>
        </w:tc>
        <w:tc>
          <w:tcPr>
            <w:tcW w:w="3329" w:type="dxa"/>
            <w:vMerge w:val="continue"/>
            <w:tcBorders>
              <w:top w:val="nil"/>
              <w:bottom w:val="nil"/>
            </w:tcBorders>
            <w:vAlign w:val="top"/>
          </w:tcPr>
          <w:p w14:paraId="1BE83E93">
            <w:pPr>
              <w:rPr>
                <w:rFonts w:ascii="Arial"/>
                <w:sz w:val="21"/>
              </w:rPr>
            </w:pPr>
          </w:p>
        </w:tc>
        <w:tc>
          <w:tcPr>
            <w:tcW w:w="4954" w:type="dxa"/>
            <w:vAlign w:val="top"/>
          </w:tcPr>
          <w:p w14:paraId="25AFB77C">
            <w:pPr>
              <w:pStyle w:val="6"/>
              <w:spacing w:before="177" w:line="236" w:lineRule="auto"/>
              <w:ind w:left="25" w:right="28" w:hanging="4"/>
              <w:rPr>
                <w:rFonts w:ascii="宋体" w:hAnsi="宋体" w:eastAsia="宋体" w:cs="宋体"/>
              </w:rPr>
            </w:pPr>
            <w:r>
              <w:rPr>
                <w:rFonts w:ascii="宋体" w:hAnsi="宋体" w:eastAsia="宋体" w:cs="宋体"/>
                <w:spacing w:val="-3"/>
              </w:rPr>
              <w:t>机修和冲洗废水：经沉淀池</w:t>
            </w:r>
            <w:r>
              <w:rPr>
                <w:spacing w:val="-3"/>
              </w:rPr>
              <w:t>+</w:t>
            </w:r>
            <w:r>
              <w:rPr>
                <w:rFonts w:ascii="宋体" w:hAnsi="宋体" w:eastAsia="宋体" w:cs="宋体"/>
                <w:spacing w:val="-3"/>
              </w:rPr>
              <w:t>小型隔油池处理后回用，</w:t>
            </w:r>
            <w:r>
              <w:rPr>
                <w:rFonts w:ascii="宋体" w:hAnsi="宋体" w:eastAsia="宋体" w:cs="宋体"/>
                <w:spacing w:val="-2"/>
              </w:rPr>
              <w:t>不外排。废油和油泥应委托有资质的单位进行处置。</w:t>
            </w:r>
          </w:p>
        </w:tc>
        <w:tc>
          <w:tcPr>
            <w:tcW w:w="4954" w:type="dxa"/>
            <w:vAlign w:val="top"/>
          </w:tcPr>
          <w:p w14:paraId="129CE38D">
            <w:pPr>
              <w:spacing w:before="39" w:line="229" w:lineRule="auto"/>
              <w:ind w:left="30" w:right="17" w:hanging="2"/>
              <w:jc w:val="both"/>
              <w:rPr>
                <w:rFonts w:ascii="宋体" w:hAnsi="宋体" w:eastAsia="宋体" w:cs="宋体"/>
                <w:sz w:val="21"/>
                <w:szCs w:val="21"/>
              </w:rPr>
            </w:pPr>
            <w:r>
              <w:rPr>
                <w:rFonts w:ascii="宋体" w:hAnsi="宋体" w:eastAsia="宋体" w:cs="宋体"/>
                <w:spacing w:val="2"/>
                <w:sz w:val="21"/>
                <w:szCs w:val="21"/>
              </w:rPr>
              <w:t>机修含油废水进入调节池，先利用自然上浮法进行油</w:t>
            </w:r>
            <w:r>
              <w:rPr>
                <w:rFonts w:ascii="宋体" w:hAnsi="宋体" w:eastAsia="宋体" w:cs="宋体"/>
                <w:spacing w:val="-6"/>
                <w:sz w:val="21"/>
                <w:szCs w:val="21"/>
              </w:rPr>
              <w:t>水分离，再利用高效油水分离器进行过滤处理，清</w:t>
            </w:r>
            <w:r>
              <w:rPr>
                <w:rFonts w:ascii="宋体" w:hAnsi="宋体" w:eastAsia="宋体" w:cs="宋体"/>
                <w:spacing w:val="-7"/>
                <w:sz w:val="21"/>
                <w:szCs w:val="21"/>
              </w:rPr>
              <w:t>水回</w:t>
            </w:r>
            <w:r>
              <w:rPr>
                <w:rFonts w:ascii="宋体" w:hAnsi="宋体" w:eastAsia="宋体" w:cs="宋体"/>
                <w:spacing w:val="-2"/>
                <w:sz w:val="21"/>
                <w:szCs w:val="21"/>
              </w:rPr>
              <w:t>用，过滤的费油及油泥委托有资质单位处理。</w:t>
            </w:r>
          </w:p>
        </w:tc>
        <w:tc>
          <w:tcPr>
            <w:tcW w:w="3822" w:type="dxa"/>
            <w:vAlign w:val="top"/>
          </w:tcPr>
          <w:p w14:paraId="2AA3430D">
            <w:pPr>
              <w:spacing w:line="243" w:lineRule="auto"/>
              <w:rPr>
                <w:rFonts w:ascii="Arial"/>
                <w:sz w:val="21"/>
              </w:rPr>
            </w:pPr>
          </w:p>
          <w:p w14:paraId="5BD3DD2A">
            <w:pPr>
              <w:spacing w:before="68" w:line="219" w:lineRule="auto"/>
              <w:ind w:left="37"/>
              <w:rPr>
                <w:rFonts w:ascii="宋体" w:hAnsi="宋体" w:eastAsia="宋体" w:cs="宋体"/>
                <w:sz w:val="21"/>
                <w:szCs w:val="21"/>
              </w:rPr>
            </w:pPr>
            <w:r>
              <w:rPr>
                <w:rFonts w:ascii="宋体" w:hAnsi="宋体" w:eastAsia="宋体" w:cs="宋体"/>
                <w:spacing w:val="-3"/>
                <w:sz w:val="21"/>
                <w:szCs w:val="21"/>
              </w:rPr>
              <w:t>车辆维修依托当地维修点，未单独设置。</w:t>
            </w:r>
          </w:p>
        </w:tc>
        <w:tc>
          <w:tcPr>
            <w:tcW w:w="2405" w:type="dxa"/>
            <w:tcBorders>
              <w:right w:val="single" w:color="000000" w:sz="12" w:space="0"/>
            </w:tcBorders>
            <w:vAlign w:val="top"/>
          </w:tcPr>
          <w:p w14:paraId="1D721C6B">
            <w:pPr>
              <w:spacing w:line="244" w:lineRule="auto"/>
              <w:rPr>
                <w:rFonts w:ascii="Arial"/>
                <w:sz w:val="21"/>
              </w:rPr>
            </w:pPr>
          </w:p>
          <w:p w14:paraId="17CC6E5D">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01424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919" w:type="dxa"/>
            <w:vMerge w:val="continue"/>
            <w:tcBorders>
              <w:top w:val="nil"/>
              <w:left w:val="single" w:color="000000" w:sz="12" w:space="0"/>
              <w:bottom w:val="nil"/>
            </w:tcBorders>
            <w:vAlign w:val="top"/>
          </w:tcPr>
          <w:p w14:paraId="7BF58C68">
            <w:pPr>
              <w:rPr>
                <w:rFonts w:ascii="Arial"/>
                <w:sz w:val="21"/>
              </w:rPr>
            </w:pPr>
          </w:p>
        </w:tc>
        <w:tc>
          <w:tcPr>
            <w:tcW w:w="3329" w:type="dxa"/>
            <w:vMerge w:val="continue"/>
            <w:tcBorders>
              <w:top w:val="nil"/>
              <w:bottom w:val="nil"/>
            </w:tcBorders>
            <w:vAlign w:val="top"/>
          </w:tcPr>
          <w:p w14:paraId="77A5B1A5">
            <w:pPr>
              <w:rPr>
                <w:rFonts w:ascii="Arial"/>
                <w:sz w:val="21"/>
              </w:rPr>
            </w:pPr>
          </w:p>
        </w:tc>
        <w:tc>
          <w:tcPr>
            <w:tcW w:w="4954" w:type="dxa"/>
            <w:vAlign w:val="top"/>
          </w:tcPr>
          <w:p w14:paraId="10D32090">
            <w:pPr>
              <w:spacing w:before="45" w:line="222" w:lineRule="auto"/>
              <w:ind w:left="21" w:right="25" w:firstLine="11"/>
              <w:rPr>
                <w:rFonts w:ascii="宋体" w:hAnsi="宋体" w:eastAsia="宋体" w:cs="宋体"/>
                <w:sz w:val="21"/>
                <w:szCs w:val="21"/>
              </w:rPr>
            </w:pPr>
            <w:r>
              <w:rPr>
                <w:rFonts w:ascii="宋体" w:hAnsi="宋体" w:eastAsia="宋体" w:cs="宋体"/>
                <w:spacing w:val="-7"/>
                <w:sz w:val="21"/>
                <w:szCs w:val="21"/>
              </w:rPr>
              <w:t>隧洞施工废水：经沉淀法处理后回用，不外排。沉渣就</w:t>
            </w:r>
            <w:r>
              <w:rPr>
                <w:rFonts w:ascii="宋体" w:hAnsi="宋体" w:eastAsia="宋体" w:cs="宋体"/>
                <w:spacing w:val="-5"/>
                <w:sz w:val="21"/>
                <w:szCs w:val="21"/>
              </w:rPr>
              <w:t>近运至渣场堆放。</w:t>
            </w:r>
          </w:p>
        </w:tc>
        <w:tc>
          <w:tcPr>
            <w:tcW w:w="4954" w:type="dxa"/>
            <w:vAlign w:val="top"/>
          </w:tcPr>
          <w:p w14:paraId="3634EA0F">
            <w:pPr>
              <w:spacing w:before="45" w:line="222" w:lineRule="auto"/>
              <w:ind w:left="30" w:right="24" w:firstLine="9"/>
              <w:rPr>
                <w:rFonts w:ascii="宋体" w:hAnsi="宋体" w:eastAsia="宋体" w:cs="宋体"/>
                <w:sz w:val="21"/>
                <w:szCs w:val="21"/>
              </w:rPr>
            </w:pPr>
            <w:r>
              <w:rPr>
                <w:rFonts w:ascii="宋体" w:hAnsi="宋体" w:eastAsia="宋体" w:cs="宋体"/>
                <w:spacing w:val="2"/>
                <w:sz w:val="21"/>
                <w:szCs w:val="21"/>
              </w:rPr>
              <w:t>隧洞排水采用沉淀法进行处理后用于降尘、施工用水</w:t>
            </w:r>
            <w:r>
              <w:rPr>
                <w:rFonts w:ascii="宋体" w:hAnsi="宋体" w:eastAsia="宋体" w:cs="宋体"/>
                <w:spacing w:val="-1"/>
                <w:sz w:val="21"/>
                <w:szCs w:val="21"/>
              </w:rPr>
              <w:t>等。沉渣就近运至渣场堆放。</w:t>
            </w:r>
          </w:p>
        </w:tc>
        <w:tc>
          <w:tcPr>
            <w:tcW w:w="3822" w:type="dxa"/>
            <w:vAlign w:val="top"/>
          </w:tcPr>
          <w:p w14:paraId="578C242F">
            <w:pPr>
              <w:spacing w:before="45" w:line="222" w:lineRule="auto"/>
              <w:ind w:left="37" w:right="12"/>
              <w:rPr>
                <w:rFonts w:ascii="宋体" w:hAnsi="宋体" w:eastAsia="宋体" w:cs="宋体"/>
                <w:sz w:val="21"/>
                <w:szCs w:val="21"/>
              </w:rPr>
            </w:pPr>
            <w:r>
              <w:rPr>
                <w:rFonts w:ascii="宋体" w:hAnsi="宋体" w:eastAsia="宋体" w:cs="宋体"/>
                <w:spacing w:val="-2"/>
                <w:sz w:val="21"/>
                <w:szCs w:val="21"/>
              </w:rPr>
              <w:t>经沉淀池沉淀后作施工用水，沉渣就近运</w:t>
            </w:r>
            <w:r>
              <w:rPr>
                <w:rFonts w:ascii="宋体" w:hAnsi="宋体" w:eastAsia="宋体" w:cs="宋体"/>
                <w:spacing w:val="-7"/>
                <w:sz w:val="21"/>
                <w:szCs w:val="21"/>
              </w:rPr>
              <w:t>至堆渣场。</w:t>
            </w:r>
          </w:p>
        </w:tc>
        <w:tc>
          <w:tcPr>
            <w:tcW w:w="2405" w:type="dxa"/>
            <w:tcBorders>
              <w:right w:val="single" w:color="000000" w:sz="12" w:space="0"/>
            </w:tcBorders>
            <w:vAlign w:val="top"/>
          </w:tcPr>
          <w:p w14:paraId="13D0E3EB">
            <w:pPr>
              <w:spacing w:before="180" w:line="220" w:lineRule="auto"/>
              <w:ind w:left="1107"/>
              <w:rPr>
                <w:rFonts w:ascii="宋体" w:hAnsi="宋体" w:eastAsia="宋体" w:cs="宋体"/>
                <w:sz w:val="21"/>
                <w:szCs w:val="21"/>
              </w:rPr>
            </w:pPr>
            <w:r>
              <w:rPr>
                <w:rFonts w:ascii="宋体" w:hAnsi="宋体" w:eastAsia="宋体" w:cs="宋体"/>
                <w:sz w:val="21"/>
                <w:szCs w:val="21"/>
              </w:rPr>
              <w:t>无</w:t>
            </w:r>
          </w:p>
        </w:tc>
      </w:tr>
      <w:tr w14:paraId="1FC15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919" w:type="dxa"/>
            <w:vMerge w:val="continue"/>
            <w:tcBorders>
              <w:top w:val="nil"/>
              <w:left w:val="single" w:color="000000" w:sz="12" w:space="0"/>
              <w:bottom w:val="nil"/>
            </w:tcBorders>
            <w:vAlign w:val="top"/>
          </w:tcPr>
          <w:p w14:paraId="52E8B957">
            <w:pPr>
              <w:rPr>
                <w:rFonts w:ascii="Arial"/>
                <w:sz w:val="21"/>
              </w:rPr>
            </w:pPr>
          </w:p>
        </w:tc>
        <w:tc>
          <w:tcPr>
            <w:tcW w:w="3329" w:type="dxa"/>
            <w:vMerge w:val="continue"/>
            <w:tcBorders>
              <w:top w:val="nil"/>
              <w:bottom w:val="nil"/>
            </w:tcBorders>
            <w:vAlign w:val="top"/>
          </w:tcPr>
          <w:p w14:paraId="76DE1BA2">
            <w:pPr>
              <w:rPr>
                <w:rFonts w:ascii="Arial"/>
                <w:sz w:val="21"/>
              </w:rPr>
            </w:pPr>
          </w:p>
        </w:tc>
        <w:tc>
          <w:tcPr>
            <w:tcW w:w="4954" w:type="dxa"/>
            <w:vAlign w:val="top"/>
          </w:tcPr>
          <w:p w14:paraId="3F418F2E">
            <w:pPr>
              <w:spacing w:before="46" w:line="221" w:lineRule="auto"/>
              <w:ind w:left="26" w:right="25" w:hanging="4"/>
              <w:rPr>
                <w:rFonts w:ascii="宋体" w:hAnsi="宋体" w:eastAsia="宋体" w:cs="宋体"/>
                <w:sz w:val="21"/>
                <w:szCs w:val="21"/>
              </w:rPr>
            </w:pPr>
            <w:r>
              <w:rPr>
                <w:rFonts w:ascii="宋体" w:hAnsi="宋体" w:eastAsia="宋体" w:cs="宋体"/>
                <w:spacing w:val="-6"/>
                <w:sz w:val="21"/>
                <w:szCs w:val="21"/>
              </w:rPr>
              <w:t>基坑废水：堰内投加絮凝剂，静置后抽出综合利用，不</w:t>
            </w:r>
            <w:r>
              <w:rPr>
                <w:rFonts w:ascii="宋体" w:hAnsi="宋体" w:eastAsia="宋体" w:cs="宋体"/>
                <w:spacing w:val="-10"/>
                <w:sz w:val="21"/>
                <w:szCs w:val="21"/>
              </w:rPr>
              <w:t>外排。</w:t>
            </w:r>
          </w:p>
        </w:tc>
        <w:tc>
          <w:tcPr>
            <w:tcW w:w="4954" w:type="dxa"/>
            <w:vAlign w:val="top"/>
          </w:tcPr>
          <w:p w14:paraId="23D4E113">
            <w:pPr>
              <w:pStyle w:val="6"/>
              <w:spacing w:before="46" w:line="221" w:lineRule="auto"/>
              <w:ind w:left="28" w:right="17"/>
              <w:rPr>
                <w:rFonts w:ascii="宋体" w:hAnsi="宋体" w:eastAsia="宋体" w:cs="宋体"/>
              </w:rPr>
            </w:pPr>
            <w:r>
              <w:rPr>
                <w:rFonts w:ascii="宋体" w:hAnsi="宋体" w:eastAsia="宋体" w:cs="宋体"/>
                <w:spacing w:val="-2"/>
              </w:rPr>
              <w:t>基坑水：向基坑投放一定量絮凝剂，静置沉淀</w:t>
            </w:r>
            <w:r>
              <w:rPr>
                <w:rFonts w:ascii="宋体" w:hAnsi="宋体" w:eastAsia="宋体" w:cs="宋体"/>
                <w:spacing w:val="-41"/>
              </w:rPr>
              <w:t xml:space="preserve"> </w:t>
            </w:r>
            <w:r>
              <w:rPr>
                <w:spacing w:val="-2"/>
              </w:rPr>
              <w:t xml:space="preserve">2h </w:t>
            </w:r>
            <w:r>
              <w:rPr>
                <w:rFonts w:ascii="宋体" w:hAnsi="宋体" w:eastAsia="宋体" w:cs="宋体"/>
                <w:spacing w:val="-2"/>
              </w:rPr>
              <w:t>后用</w:t>
            </w:r>
            <w:r>
              <w:rPr>
                <w:rFonts w:ascii="宋体" w:hAnsi="宋体" w:eastAsia="宋体" w:cs="宋体"/>
                <w:spacing w:val="-3"/>
              </w:rPr>
              <w:t>潜水泵抽出用于施工场地洒水降尘。</w:t>
            </w:r>
          </w:p>
        </w:tc>
        <w:tc>
          <w:tcPr>
            <w:tcW w:w="3822" w:type="dxa"/>
            <w:vAlign w:val="top"/>
          </w:tcPr>
          <w:p w14:paraId="04375BFA">
            <w:pPr>
              <w:spacing w:before="181" w:line="219" w:lineRule="auto"/>
              <w:ind w:left="37"/>
              <w:rPr>
                <w:rFonts w:ascii="宋体" w:hAnsi="宋体" w:eastAsia="宋体" w:cs="宋体"/>
                <w:sz w:val="21"/>
                <w:szCs w:val="21"/>
              </w:rPr>
            </w:pPr>
            <w:r>
              <w:rPr>
                <w:rFonts w:ascii="宋体" w:hAnsi="宋体" w:eastAsia="宋体" w:cs="宋体"/>
                <w:spacing w:val="-1"/>
                <w:sz w:val="21"/>
                <w:szCs w:val="21"/>
              </w:rPr>
              <w:t>静置处理后定期抽排后作为施工用水。</w:t>
            </w:r>
          </w:p>
        </w:tc>
        <w:tc>
          <w:tcPr>
            <w:tcW w:w="2405" w:type="dxa"/>
            <w:tcBorders>
              <w:right w:val="single" w:color="000000" w:sz="12" w:space="0"/>
            </w:tcBorders>
            <w:vAlign w:val="top"/>
          </w:tcPr>
          <w:p w14:paraId="6AC40A5C">
            <w:pPr>
              <w:spacing w:before="182" w:line="220" w:lineRule="auto"/>
              <w:ind w:left="1107"/>
              <w:rPr>
                <w:rFonts w:ascii="宋体" w:hAnsi="宋体" w:eastAsia="宋体" w:cs="宋体"/>
                <w:sz w:val="21"/>
                <w:szCs w:val="21"/>
              </w:rPr>
            </w:pPr>
            <w:r>
              <w:rPr>
                <w:rFonts w:ascii="宋体" w:hAnsi="宋体" w:eastAsia="宋体" w:cs="宋体"/>
                <w:sz w:val="21"/>
                <w:szCs w:val="21"/>
              </w:rPr>
              <w:t>无</w:t>
            </w:r>
          </w:p>
        </w:tc>
      </w:tr>
      <w:tr w14:paraId="32907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919" w:type="dxa"/>
            <w:vMerge w:val="continue"/>
            <w:tcBorders>
              <w:top w:val="nil"/>
              <w:left w:val="single" w:color="000000" w:sz="12" w:space="0"/>
              <w:bottom w:val="nil"/>
            </w:tcBorders>
            <w:vAlign w:val="top"/>
          </w:tcPr>
          <w:p w14:paraId="02B128D4">
            <w:pPr>
              <w:rPr>
                <w:rFonts w:ascii="Arial"/>
                <w:sz w:val="21"/>
              </w:rPr>
            </w:pPr>
          </w:p>
        </w:tc>
        <w:tc>
          <w:tcPr>
            <w:tcW w:w="3329" w:type="dxa"/>
            <w:vMerge w:val="continue"/>
            <w:tcBorders>
              <w:top w:val="nil"/>
            </w:tcBorders>
            <w:vAlign w:val="top"/>
          </w:tcPr>
          <w:p w14:paraId="78E2D99A">
            <w:pPr>
              <w:rPr>
                <w:rFonts w:ascii="Arial"/>
                <w:sz w:val="21"/>
              </w:rPr>
            </w:pPr>
          </w:p>
        </w:tc>
        <w:tc>
          <w:tcPr>
            <w:tcW w:w="4954" w:type="dxa"/>
            <w:vAlign w:val="top"/>
          </w:tcPr>
          <w:p w14:paraId="49498562">
            <w:pPr>
              <w:pStyle w:val="6"/>
              <w:spacing w:before="46" w:line="227" w:lineRule="auto"/>
              <w:ind w:left="22" w:right="24" w:firstLine="1"/>
              <w:jc w:val="both"/>
              <w:rPr>
                <w:rFonts w:ascii="宋体" w:hAnsi="宋体" w:eastAsia="宋体" w:cs="宋体"/>
              </w:rPr>
            </w:pPr>
            <w:r>
              <w:rPr>
                <w:rFonts w:ascii="宋体" w:hAnsi="宋体" w:eastAsia="宋体" w:cs="宋体"/>
                <w:spacing w:val="2"/>
              </w:rPr>
              <w:t>生活污水：枢纽工程生活区污水选用成套生活污水处</w:t>
            </w:r>
            <w:r>
              <w:rPr>
                <w:rFonts w:ascii="宋体" w:hAnsi="宋体" w:eastAsia="宋体" w:cs="宋体"/>
                <w:spacing w:val="-2"/>
              </w:rPr>
              <w:t>理设备</w:t>
            </w:r>
            <w:r>
              <w:rPr>
                <w:spacing w:val="-2"/>
              </w:rPr>
              <w:t>+</w:t>
            </w:r>
            <w:r>
              <w:rPr>
                <w:rFonts w:ascii="宋体" w:hAnsi="宋体" w:eastAsia="宋体" w:cs="宋体"/>
                <w:spacing w:val="-2"/>
              </w:rPr>
              <w:t>水冲厕所；输水工程沿线各施工生</w:t>
            </w:r>
            <w:r>
              <w:rPr>
                <w:rFonts w:ascii="宋体" w:hAnsi="宋体" w:eastAsia="宋体" w:cs="宋体"/>
                <w:spacing w:val="-3"/>
              </w:rPr>
              <w:t>活区配化粪</w:t>
            </w:r>
            <w:r>
              <w:rPr>
                <w:rFonts w:ascii="宋体" w:hAnsi="宋体" w:eastAsia="宋体" w:cs="宋体"/>
                <w:spacing w:val="-4"/>
              </w:rPr>
              <w:t>池处理后定期清掏。</w:t>
            </w:r>
          </w:p>
        </w:tc>
        <w:tc>
          <w:tcPr>
            <w:tcW w:w="4954" w:type="dxa"/>
            <w:vAlign w:val="top"/>
          </w:tcPr>
          <w:p w14:paraId="542C9D3C">
            <w:pPr>
              <w:pStyle w:val="6"/>
              <w:spacing w:before="46" w:line="227" w:lineRule="auto"/>
              <w:ind w:left="30" w:right="18"/>
              <w:jc w:val="both"/>
              <w:rPr>
                <w:rFonts w:ascii="宋体" w:hAnsi="宋体" w:eastAsia="宋体" w:cs="宋体"/>
              </w:rPr>
            </w:pPr>
            <w:r>
              <w:rPr>
                <w:rFonts w:ascii="宋体" w:hAnsi="宋体" w:eastAsia="宋体" w:cs="宋体"/>
                <w:spacing w:val="-2"/>
              </w:rPr>
              <w:t xml:space="preserve">生活污水：枢纽工程区配置水冲厕所 </w:t>
            </w:r>
            <w:r>
              <w:rPr>
                <w:spacing w:val="-2"/>
              </w:rPr>
              <w:t>4</w:t>
            </w:r>
            <w:r>
              <w:rPr>
                <w:spacing w:val="59"/>
              </w:rPr>
              <w:t xml:space="preserve"> </w:t>
            </w:r>
            <w:r>
              <w:rPr>
                <w:rFonts w:ascii="宋体" w:hAnsi="宋体" w:eastAsia="宋体" w:cs="宋体"/>
                <w:spacing w:val="-2"/>
              </w:rPr>
              <w:t>座，选用生活</w:t>
            </w:r>
            <w:r>
              <w:rPr>
                <w:rFonts w:ascii="宋体" w:hAnsi="宋体" w:eastAsia="宋体" w:cs="宋体"/>
                <w:spacing w:val="2"/>
              </w:rPr>
              <w:t>污水处理成套设备；输水工程沿线每个生活区配备隔</w:t>
            </w:r>
            <w:r>
              <w:rPr>
                <w:rFonts w:ascii="宋体" w:hAnsi="宋体" w:eastAsia="宋体" w:cs="宋体"/>
                <w:spacing w:val="-3"/>
              </w:rPr>
              <w:t>油池和旱厕</w:t>
            </w:r>
            <w:r>
              <w:rPr>
                <w:spacing w:val="-3"/>
              </w:rPr>
              <w:t>+</w:t>
            </w:r>
            <w:r>
              <w:rPr>
                <w:rFonts w:ascii="宋体" w:hAnsi="宋体" w:eastAsia="宋体" w:cs="宋体"/>
                <w:spacing w:val="-3"/>
              </w:rPr>
              <w:t>化粪池处理后回用不外排。</w:t>
            </w:r>
          </w:p>
        </w:tc>
        <w:tc>
          <w:tcPr>
            <w:tcW w:w="3822" w:type="dxa"/>
            <w:vAlign w:val="top"/>
          </w:tcPr>
          <w:p w14:paraId="241B67E0">
            <w:pPr>
              <w:spacing w:before="46" w:line="227" w:lineRule="auto"/>
              <w:ind w:left="35" w:right="11"/>
              <w:jc w:val="both"/>
              <w:rPr>
                <w:rFonts w:ascii="宋体" w:hAnsi="宋体" w:eastAsia="宋体" w:cs="宋体"/>
                <w:sz w:val="21"/>
                <w:szCs w:val="21"/>
              </w:rPr>
            </w:pPr>
            <w:r>
              <w:rPr>
                <w:rFonts w:ascii="宋体" w:hAnsi="宋体" w:eastAsia="宋体" w:cs="宋体"/>
                <w:spacing w:val="11"/>
                <w:sz w:val="21"/>
                <w:szCs w:val="21"/>
              </w:rPr>
              <w:t>枢纽工程区经一体化污水处理设备处理</w:t>
            </w:r>
            <w:r>
              <w:rPr>
                <w:rFonts w:ascii="宋体" w:hAnsi="宋体" w:eastAsia="宋体" w:cs="宋体"/>
                <w:spacing w:val="-1"/>
                <w:sz w:val="21"/>
                <w:szCs w:val="21"/>
              </w:rPr>
              <w:t>后回用，输水沿线各施工点化粪池委托当</w:t>
            </w:r>
            <w:r>
              <w:rPr>
                <w:rFonts w:ascii="宋体" w:hAnsi="宋体" w:eastAsia="宋体" w:cs="宋体"/>
                <w:spacing w:val="-2"/>
                <w:sz w:val="21"/>
                <w:szCs w:val="21"/>
              </w:rPr>
              <w:t>地村民定期清掏。</w:t>
            </w:r>
          </w:p>
        </w:tc>
        <w:tc>
          <w:tcPr>
            <w:tcW w:w="2405" w:type="dxa"/>
            <w:tcBorders>
              <w:right w:val="single" w:color="000000" w:sz="12" w:space="0"/>
            </w:tcBorders>
            <w:vAlign w:val="top"/>
          </w:tcPr>
          <w:p w14:paraId="7CDB0601">
            <w:pPr>
              <w:spacing w:line="250" w:lineRule="auto"/>
              <w:rPr>
                <w:rFonts w:ascii="Arial"/>
                <w:sz w:val="21"/>
              </w:rPr>
            </w:pPr>
          </w:p>
          <w:p w14:paraId="7BFDAAFF">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4A879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919" w:type="dxa"/>
            <w:vMerge w:val="continue"/>
            <w:tcBorders>
              <w:top w:val="nil"/>
              <w:left w:val="single" w:color="000000" w:sz="12" w:space="0"/>
              <w:bottom w:val="nil"/>
            </w:tcBorders>
            <w:vAlign w:val="top"/>
          </w:tcPr>
          <w:p w14:paraId="5379B731">
            <w:pPr>
              <w:rPr>
                <w:rFonts w:ascii="Arial"/>
                <w:sz w:val="21"/>
              </w:rPr>
            </w:pPr>
          </w:p>
        </w:tc>
        <w:tc>
          <w:tcPr>
            <w:tcW w:w="3329" w:type="dxa"/>
            <w:vAlign w:val="top"/>
          </w:tcPr>
          <w:p w14:paraId="51F21C5E">
            <w:pPr>
              <w:spacing w:before="186" w:line="242" w:lineRule="auto"/>
              <w:ind w:left="18" w:right="33"/>
              <w:rPr>
                <w:rFonts w:ascii="宋体" w:hAnsi="宋体" w:eastAsia="宋体" w:cs="宋体"/>
                <w:sz w:val="21"/>
                <w:szCs w:val="21"/>
              </w:rPr>
            </w:pPr>
            <w:r>
              <w:rPr>
                <w:rFonts w:ascii="宋体" w:hAnsi="宋体" w:eastAsia="宋体" w:cs="宋体"/>
                <w:spacing w:val="7"/>
                <w:sz w:val="21"/>
                <w:szCs w:val="21"/>
              </w:rPr>
              <w:t>生活垃圾统一收集后委托当地环卫</w:t>
            </w:r>
            <w:r>
              <w:rPr>
                <w:rFonts w:ascii="宋体" w:hAnsi="宋体" w:eastAsia="宋体" w:cs="宋体"/>
                <w:spacing w:val="-6"/>
                <w:sz w:val="21"/>
                <w:szCs w:val="21"/>
              </w:rPr>
              <w:t>部门定期清运。</w:t>
            </w:r>
          </w:p>
        </w:tc>
        <w:tc>
          <w:tcPr>
            <w:tcW w:w="4954" w:type="dxa"/>
            <w:vAlign w:val="top"/>
          </w:tcPr>
          <w:p w14:paraId="1C748AF6">
            <w:pPr>
              <w:spacing w:before="50" w:line="226" w:lineRule="auto"/>
              <w:ind w:left="21" w:right="31"/>
              <w:jc w:val="both"/>
              <w:rPr>
                <w:rFonts w:ascii="宋体" w:hAnsi="宋体" w:eastAsia="宋体" w:cs="宋体"/>
                <w:sz w:val="21"/>
                <w:szCs w:val="21"/>
              </w:rPr>
            </w:pPr>
            <w:r>
              <w:rPr>
                <w:rFonts w:ascii="宋体" w:hAnsi="宋体" w:eastAsia="宋体" w:cs="宋体"/>
                <w:spacing w:val="2"/>
                <w:sz w:val="21"/>
                <w:szCs w:val="21"/>
              </w:rPr>
              <w:t>枢纽区生活营地设垃圾收集池，各施工生活区设置垃圾桶，委托马龙县住房和城乡建设局的环卫部门定期</w:t>
            </w:r>
            <w:r>
              <w:rPr>
                <w:rFonts w:ascii="宋体" w:hAnsi="宋体" w:eastAsia="宋体" w:cs="宋体"/>
                <w:spacing w:val="-1"/>
                <w:sz w:val="21"/>
                <w:szCs w:val="21"/>
              </w:rPr>
              <w:t>清运至马龙县县城生活垃圾处理场进行无害化处理。</w:t>
            </w:r>
          </w:p>
        </w:tc>
        <w:tc>
          <w:tcPr>
            <w:tcW w:w="4954" w:type="dxa"/>
            <w:vAlign w:val="top"/>
          </w:tcPr>
          <w:p w14:paraId="425C0671">
            <w:pPr>
              <w:spacing w:before="50" w:line="226" w:lineRule="auto"/>
              <w:ind w:left="29" w:right="24" w:hanging="1"/>
              <w:jc w:val="both"/>
              <w:rPr>
                <w:rFonts w:ascii="宋体" w:hAnsi="宋体" w:eastAsia="宋体" w:cs="宋体"/>
                <w:sz w:val="21"/>
                <w:szCs w:val="21"/>
              </w:rPr>
            </w:pPr>
            <w:r>
              <w:rPr>
                <w:rFonts w:ascii="宋体" w:hAnsi="宋体" w:eastAsia="宋体" w:cs="宋体"/>
                <w:spacing w:val="2"/>
                <w:sz w:val="21"/>
                <w:szCs w:val="21"/>
              </w:rPr>
              <w:t>对垃圾进行分类堆放，分拣利用后定期委托马龙县住房和城乡建设局的环卫部门清运至马龙县县城生活垃</w:t>
            </w:r>
            <w:r>
              <w:rPr>
                <w:rFonts w:ascii="宋体" w:hAnsi="宋体" w:eastAsia="宋体" w:cs="宋体"/>
                <w:spacing w:val="-4"/>
                <w:sz w:val="21"/>
                <w:szCs w:val="21"/>
              </w:rPr>
              <w:t>圾处理场进行无害化处理。</w:t>
            </w:r>
          </w:p>
        </w:tc>
        <w:tc>
          <w:tcPr>
            <w:tcW w:w="3822" w:type="dxa"/>
            <w:vAlign w:val="top"/>
          </w:tcPr>
          <w:p w14:paraId="3B59957F">
            <w:pPr>
              <w:spacing w:before="50" w:line="226" w:lineRule="auto"/>
              <w:ind w:left="37" w:right="11"/>
              <w:jc w:val="both"/>
              <w:rPr>
                <w:rFonts w:ascii="宋体" w:hAnsi="宋体" w:eastAsia="宋体" w:cs="宋体"/>
                <w:sz w:val="21"/>
                <w:szCs w:val="21"/>
              </w:rPr>
            </w:pPr>
            <w:r>
              <w:rPr>
                <w:rFonts w:ascii="宋体" w:hAnsi="宋体" w:eastAsia="宋体" w:cs="宋体"/>
                <w:spacing w:val="-2"/>
                <w:sz w:val="21"/>
                <w:szCs w:val="21"/>
              </w:rPr>
              <w:t>各施工区设置生活垃圾桶，委托当地村民</w:t>
            </w:r>
            <w:r>
              <w:rPr>
                <w:rFonts w:ascii="宋体" w:hAnsi="宋体" w:eastAsia="宋体" w:cs="宋体"/>
                <w:spacing w:val="11"/>
                <w:sz w:val="21"/>
                <w:szCs w:val="21"/>
              </w:rPr>
              <w:t>定期收集后运至马龙区生活垃圾场进行</w:t>
            </w:r>
            <w:r>
              <w:rPr>
                <w:rFonts w:ascii="宋体" w:hAnsi="宋体" w:eastAsia="宋体" w:cs="宋体"/>
                <w:spacing w:val="-6"/>
                <w:sz w:val="21"/>
                <w:szCs w:val="21"/>
              </w:rPr>
              <w:t>无害化处理。</w:t>
            </w:r>
          </w:p>
        </w:tc>
        <w:tc>
          <w:tcPr>
            <w:tcW w:w="2405" w:type="dxa"/>
            <w:tcBorders>
              <w:right w:val="single" w:color="000000" w:sz="12" w:space="0"/>
            </w:tcBorders>
            <w:vAlign w:val="top"/>
          </w:tcPr>
          <w:p w14:paraId="7943CE3F">
            <w:pPr>
              <w:spacing w:line="254" w:lineRule="auto"/>
              <w:rPr>
                <w:rFonts w:ascii="Arial"/>
                <w:sz w:val="21"/>
              </w:rPr>
            </w:pPr>
          </w:p>
          <w:p w14:paraId="5785433C">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149A6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919" w:type="dxa"/>
            <w:vMerge w:val="continue"/>
            <w:tcBorders>
              <w:top w:val="nil"/>
              <w:left w:val="single" w:color="000000" w:sz="12" w:space="0"/>
              <w:bottom w:val="nil"/>
            </w:tcBorders>
            <w:vAlign w:val="top"/>
          </w:tcPr>
          <w:p w14:paraId="1AF0C18E">
            <w:pPr>
              <w:rPr>
                <w:rFonts w:ascii="Arial"/>
                <w:sz w:val="21"/>
              </w:rPr>
            </w:pPr>
          </w:p>
        </w:tc>
        <w:tc>
          <w:tcPr>
            <w:tcW w:w="3329" w:type="dxa"/>
            <w:vAlign w:val="top"/>
          </w:tcPr>
          <w:p w14:paraId="7454C2E7">
            <w:pPr>
              <w:spacing w:before="188" w:line="242" w:lineRule="auto"/>
              <w:ind w:left="16" w:right="31"/>
              <w:rPr>
                <w:rFonts w:ascii="宋体" w:hAnsi="宋体" w:eastAsia="宋体" w:cs="宋体"/>
                <w:sz w:val="21"/>
                <w:szCs w:val="21"/>
              </w:rPr>
            </w:pPr>
            <w:r>
              <w:rPr>
                <w:rFonts w:ascii="宋体" w:hAnsi="宋体" w:eastAsia="宋体" w:cs="宋体"/>
                <w:spacing w:val="-6"/>
                <w:sz w:val="21"/>
                <w:szCs w:val="21"/>
              </w:rPr>
              <w:t>采取优化施工工艺、洒水降尘、密封</w:t>
            </w:r>
            <w:r>
              <w:rPr>
                <w:rFonts w:ascii="宋体" w:hAnsi="宋体" w:eastAsia="宋体" w:cs="宋体"/>
                <w:spacing w:val="-3"/>
                <w:sz w:val="21"/>
                <w:szCs w:val="21"/>
              </w:rPr>
              <w:t>运输等措施控制施工扬尘。</w:t>
            </w:r>
          </w:p>
        </w:tc>
        <w:tc>
          <w:tcPr>
            <w:tcW w:w="4954" w:type="dxa"/>
            <w:vAlign w:val="top"/>
          </w:tcPr>
          <w:p w14:paraId="238967F3">
            <w:pPr>
              <w:spacing w:before="53" w:line="225" w:lineRule="auto"/>
              <w:ind w:left="21" w:right="27" w:firstLine="3"/>
              <w:jc w:val="both"/>
              <w:rPr>
                <w:rFonts w:ascii="宋体" w:hAnsi="宋体" w:eastAsia="宋体" w:cs="宋体"/>
                <w:sz w:val="21"/>
                <w:szCs w:val="21"/>
              </w:rPr>
            </w:pPr>
            <w:r>
              <w:rPr>
                <w:rFonts w:ascii="宋体" w:hAnsi="宋体" w:eastAsia="宋体" w:cs="宋体"/>
                <w:spacing w:val="2"/>
                <w:sz w:val="21"/>
                <w:szCs w:val="21"/>
              </w:rPr>
              <w:t>混凝土生产系统应尽量采用全封闭；砂石加工系统应</w:t>
            </w:r>
            <w:r>
              <w:rPr>
                <w:rFonts w:ascii="宋体" w:hAnsi="宋体" w:eastAsia="宋体" w:cs="宋体"/>
                <w:spacing w:val="-6"/>
                <w:sz w:val="21"/>
                <w:szCs w:val="21"/>
              </w:rPr>
              <w:t>采用湿法破碎低尘工艺，安装除尘设施；尽量采用</w:t>
            </w:r>
            <w:r>
              <w:rPr>
                <w:rFonts w:ascii="宋体" w:hAnsi="宋体" w:eastAsia="宋体" w:cs="宋体"/>
                <w:spacing w:val="-7"/>
                <w:sz w:val="21"/>
                <w:szCs w:val="21"/>
              </w:rPr>
              <w:t>湿法</w:t>
            </w:r>
            <w:r>
              <w:rPr>
                <w:rFonts w:ascii="宋体" w:hAnsi="宋体" w:eastAsia="宋体" w:cs="宋体"/>
                <w:spacing w:val="-3"/>
                <w:sz w:val="21"/>
                <w:szCs w:val="21"/>
              </w:rPr>
              <w:t>作业、密闭运输、洒水降尘等措施。</w:t>
            </w:r>
          </w:p>
        </w:tc>
        <w:tc>
          <w:tcPr>
            <w:tcW w:w="4954" w:type="dxa"/>
            <w:vAlign w:val="top"/>
          </w:tcPr>
          <w:p w14:paraId="42C7A71C">
            <w:pPr>
              <w:spacing w:before="53" w:line="225" w:lineRule="auto"/>
              <w:ind w:left="28" w:right="17" w:firstLine="3"/>
              <w:jc w:val="both"/>
              <w:rPr>
                <w:rFonts w:ascii="宋体" w:hAnsi="宋体" w:eastAsia="宋体" w:cs="宋体"/>
                <w:sz w:val="21"/>
                <w:szCs w:val="21"/>
              </w:rPr>
            </w:pPr>
            <w:r>
              <w:rPr>
                <w:rFonts w:ascii="宋体" w:hAnsi="宋体" w:eastAsia="宋体" w:cs="宋体"/>
                <w:spacing w:val="2"/>
                <w:sz w:val="21"/>
                <w:szCs w:val="21"/>
              </w:rPr>
              <w:t>混凝土生产系统应尽量采用全封闭；砂石加工系统应</w:t>
            </w:r>
            <w:r>
              <w:rPr>
                <w:rFonts w:ascii="宋体" w:hAnsi="宋体" w:eastAsia="宋体" w:cs="宋体"/>
                <w:spacing w:val="-6"/>
                <w:sz w:val="21"/>
                <w:szCs w:val="21"/>
              </w:rPr>
              <w:t>采用湿法破碎低尘工艺，安装除尘设施；尽量采用湿法</w:t>
            </w:r>
            <w:r>
              <w:rPr>
                <w:rFonts w:ascii="宋体" w:hAnsi="宋体" w:eastAsia="宋体" w:cs="宋体"/>
                <w:spacing w:val="-3"/>
                <w:sz w:val="21"/>
                <w:szCs w:val="21"/>
              </w:rPr>
              <w:t>作业、密闭运输、洒水降尘等措施。</w:t>
            </w:r>
          </w:p>
        </w:tc>
        <w:tc>
          <w:tcPr>
            <w:tcW w:w="3822" w:type="dxa"/>
            <w:vAlign w:val="top"/>
          </w:tcPr>
          <w:p w14:paraId="64D733CD">
            <w:pPr>
              <w:spacing w:before="53" w:line="225" w:lineRule="auto"/>
              <w:ind w:left="35" w:right="10"/>
              <w:jc w:val="both"/>
              <w:rPr>
                <w:rFonts w:ascii="宋体" w:hAnsi="宋体" w:eastAsia="宋体" w:cs="宋体"/>
                <w:sz w:val="21"/>
                <w:szCs w:val="21"/>
              </w:rPr>
            </w:pPr>
            <w:r>
              <w:rPr>
                <w:rFonts w:ascii="宋体" w:hAnsi="宋体" w:eastAsia="宋体" w:cs="宋体"/>
                <w:spacing w:val="-1"/>
                <w:sz w:val="21"/>
                <w:szCs w:val="21"/>
              </w:rPr>
              <w:t>运输车辆尽量密闭，对裸露地面苫盖，各施工单位配备洒水车，每天对施工场地和</w:t>
            </w:r>
            <w:r>
              <w:rPr>
                <w:rFonts w:ascii="宋体" w:hAnsi="宋体" w:eastAsia="宋体" w:cs="宋体"/>
                <w:spacing w:val="-4"/>
                <w:sz w:val="21"/>
                <w:szCs w:val="21"/>
              </w:rPr>
              <w:t>施工道路进行洒水降尘。</w:t>
            </w:r>
          </w:p>
        </w:tc>
        <w:tc>
          <w:tcPr>
            <w:tcW w:w="2405" w:type="dxa"/>
            <w:tcBorders>
              <w:right w:val="single" w:color="000000" w:sz="12" w:space="0"/>
            </w:tcBorders>
            <w:vAlign w:val="top"/>
          </w:tcPr>
          <w:p w14:paraId="2536FB7F">
            <w:pPr>
              <w:spacing w:line="256" w:lineRule="auto"/>
              <w:rPr>
                <w:rFonts w:ascii="Arial"/>
                <w:sz w:val="21"/>
              </w:rPr>
            </w:pPr>
          </w:p>
          <w:p w14:paraId="6B754944">
            <w:pPr>
              <w:spacing w:before="68" w:line="220" w:lineRule="auto"/>
              <w:ind w:left="1107"/>
              <w:rPr>
                <w:rFonts w:ascii="宋体" w:hAnsi="宋体" w:eastAsia="宋体" w:cs="宋体"/>
                <w:sz w:val="21"/>
                <w:szCs w:val="21"/>
              </w:rPr>
            </w:pPr>
            <w:r>
              <w:rPr>
                <w:rFonts w:ascii="宋体" w:hAnsi="宋体" w:eastAsia="宋体" w:cs="宋体"/>
                <w:sz w:val="21"/>
                <w:szCs w:val="21"/>
              </w:rPr>
              <w:t>无</w:t>
            </w:r>
          </w:p>
        </w:tc>
      </w:tr>
      <w:tr w14:paraId="56071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9" w:hRule="atLeast"/>
        </w:trPr>
        <w:tc>
          <w:tcPr>
            <w:tcW w:w="919" w:type="dxa"/>
            <w:vMerge w:val="continue"/>
            <w:tcBorders>
              <w:top w:val="nil"/>
              <w:left w:val="single" w:color="000000" w:sz="12" w:space="0"/>
            </w:tcBorders>
            <w:vAlign w:val="top"/>
          </w:tcPr>
          <w:p w14:paraId="2D81715C">
            <w:pPr>
              <w:rPr>
                <w:rFonts w:ascii="Arial"/>
                <w:sz w:val="21"/>
              </w:rPr>
            </w:pPr>
          </w:p>
        </w:tc>
        <w:tc>
          <w:tcPr>
            <w:tcW w:w="3329" w:type="dxa"/>
            <w:vAlign w:val="top"/>
          </w:tcPr>
          <w:p w14:paraId="5D456BA0">
            <w:pPr>
              <w:spacing w:line="359" w:lineRule="auto"/>
              <w:rPr>
                <w:rFonts w:ascii="Arial"/>
                <w:sz w:val="21"/>
              </w:rPr>
            </w:pPr>
          </w:p>
          <w:p w14:paraId="5D470297">
            <w:pPr>
              <w:spacing w:before="68" w:line="241" w:lineRule="auto"/>
              <w:ind w:left="19" w:right="33" w:hanging="3"/>
              <w:jc w:val="both"/>
              <w:rPr>
                <w:rFonts w:ascii="宋体" w:hAnsi="宋体" w:eastAsia="宋体" w:cs="宋体"/>
                <w:sz w:val="21"/>
                <w:szCs w:val="21"/>
              </w:rPr>
            </w:pPr>
            <w:r>
              <w:rPr>
                <w:rFonts w:ascii="宋体" w:hAnsi="宋体" w:eastAsia="宋体" w:cs="宋体"/>
                <w:spacing w:val="7"/>
                <w:sz w:val="21"/>
                <w:szCs w:val="21"/>
              </w:rPr>
              <w:t>采取优化施工时间、选用低噪声设备、设置隔声屏等措施控制噪声污</w:t>
            </w:r>
            <w:r>
              <w:rPr>
                <w:rFonts w:ascii="宋体" w:hAnsi="宋体" w:eastAsia="宋体" w:cs="宋体"/>
                <w:spacing w:val="-11"/>
                <w:sz w:val="21"/>
                <w:szCs w:val="21"/>
              </w:rPr>
              <w:t>染。</w:t>
            </w:r>
          </w:p>
        </w:tc>
        <w:tc>
          <w:tcPr>
            <w:tcW w:w="4954" w:type="dxa"/>
            <w:vAlign w:val="top"/>
          </w:tcPr>
          <w:p w14:paraId="5F734786">
            <w:pPr>
              <w:spacing w:line="362" w:lineRule="auto"/>
              <w:rPr>
                <w:rFonts w:ascii="Arial"/>
                <w:sz w:val="21"/>
              </w:rPr>
            </w:pPr>
          </w:p>
          <w:p w14:paraId="2C1F343E">
            <w:pPr>
              <w:spacing w:before="68"/>
              <w:ind w:left="21" w:right="24"/>
              <w:jc w:val="both"/>
              <w:rPr>
                <w:rFonts w:ascii="宋体" w:hAnsi="宋体" w:eastAsia="宋体" w:cs="宋体"/>
                <w:sz w:val="21"/>
                <w:szCs w:val="21"/>
              </w:rPr>
            </w:pPr>
            <w:r>
              <w:rPr>
                <w:rFonts w:ascii="宋体" w:hAnsi="宋体" w:eastAsia="宋体" w:cs="宋体"/>
                <w:spacing w:val="-6"/>
                <w:sz w:val="21"/>
                <w:szCs w:val="21"/>
              </w:rPr>
              <w:t>选用低噪声设备、工艺和车型，加强设备和车辆的维护</w:t>
            </w:r>
            <w:r>
              <w:rPr>
                <w:rFonts w:ascii="宋体" w:hAnsi="宋体" w:eastAsia="宋体" w:cs="宋体"/>
                <w:spacing w:val="2"/>
                <w:sz w:val="21"/>
                <w:szCs w:val="21"/>
              </w:rPr>
              <w:t>和保养，合理安排施工时间，在交通道路两侧设置限</w:t>
            </w:r>
            <w:r>
              <w:rPr>
                <w:rFonts w:ascii="宋体" w:hAnsi="宋体" w:eastAsia="宋体" w:cs="宋体"/>
                <w:spacing w:val="-3"/>
                <w:sz w:val="21"/>
                <w:szCs w:val="21"/>
              </w:rPr>
              <w:t>速、禁鸣标志等。</w:t>
            </w:r>
          </w:p>
        </w:tc>
        <w:tc>
          <w:tcPr>
            <w:tcW w:w="4954" w:type="dxa"/>
            <w:vAlign w:val="top"/>
          </w:tcPr>
          <w:p w14:paraId="75DB0EB2">
            <w:pPr>
              <w:spacing w:line="362" w:lineRule="auto"/>
              <w:rPr>
                <w:rFonts w:ascii="Arial"/>
                <w:sz w:val="21"/>
              </w:rPr>
            </w:pPr>
          </w:p>
          <w:p w14:paraId="52FE68D8">
            <w:pPr>
              <w:spacing w:before="68"/>
              <w:ind w:left="28" w:right="17"/>
              <w:jc w:val="both"/>
              <w:rPr>
                <w:rFonts w:ascii="宋体" w:hAnsi="宋体" w:eastAsia="宋体" w:cs="宋体"/>
                <w:sz w:val="21"/>
                <w:szCs w:val="21"/>
              </w:rPr>
            </w:pPr>
            <w:r>
              <w:rPr>
                <w:rFonts w:ascii="宋体" w:hAnsi="宋体" w:eastAsia="宋体" w:cs="宋体"/>
                <w:spacing w:val="-6"/>
                <w:sz w:val="21"/>
                <w:szCs w:val="21"/>
              </w:rPr>
              <w:t>选用低噪声设备、工艺和车型，加强设备和车辆的维护</w:t>
            </w:r>
            <w:r>
              <w:rPr>
                <w:rFonts w:ascii="宋体" w:hAnsi="宋体" w:eastAsia="宋体" w:cs="宋体"/>
                <w:spacing w:val="2"/>
                <w:sz w:val="21"/>
                <w:szCs w:val="21"/>
              </w:rPr>
              <w:t>和保养，合理安排施工时间，在交通道路两侧设置限</w:t>
            </w:r>
            <w:r>
              <w:rPr>
                <w:rFonts w:ascii="宋体" w:hAnsi="宋体" w:eastAsia="宋体" w:cs="宋体"/>
                <w:spacing w:val="-3"/>
                <w:sz w:val="21"/>
                <w:szCs w:val="21"/>
              </w:rPr>
              <w:t>速、禁鸣标志等。</w:t>
            </w:r>
          </w:p>
        </w:tc>
        <w:tc>
          <w:tcPr>
            <w:tcW w:w="3822" w:type="dxa"/>
            <w:vAlign w:val="top"/>
          </w:tcPr>
          <w:p w14:paraId="7D5586F7">
            <w:pPr>
              <w:spacing w:line="362" w:lineRule="auto"/>
              <w:rPr>
                <w:rFonts w:ascii="Arial"/>
                <w:sz w:val="21"/>
              </w:rPr>
            </w:pPr>
          </w:p>
          <w:p w14:paraId="3B94B885">
            <w:pPr>
              <w:spacing w:before="68"/>
              <w:ind w:left="35" w:right="10" w:firstLine="1"/>
              <w:jc w:val="both"/>
              <w:rPr>
                <w:rFonts w:ascii="宋体" w:hAnsi="宋体" w:eastAsia="宋体" w:cs="宋体"/>
                <w:sz w:val="21"/>
                <w:szCs w:val="21"/>
              </w:rPr>
            </w:pPr>
            <w:r>
              <w:rPr>
                <w:rFonts w:ascii="宋体" w:hAnsi="宋体" w:eastAsia="宋体" w:cs="宋体"/>
                <w:spacing w:val="-10"/>
                <w:sz w:val="21"/>
                <w:szCs w:val="21"/>
              </w:rPr>
              <w:t>尽量选用低噪设备、工艺和车型，</w:t>
            </w:r>
            <w:r>
              <w:rPr>
                <w:rFonts w:ascii="宋体" w:hAnsi="宋体" w:eastAsia="宋体" w:cs="宋体"/>
                <w:spacing w:val="58"/>
                <w:sz w:val="21"/>
                <w:szCs w:val="21"/>
              </w:rPr>
              <w:t xml:space="preserve"> </w:t>
            </w:r>
            <w:r>
              <w:rPr>
                <w:rFonts w:ascii="宋体" w:hAnsi="宋体" w:eastAsia="宋体" w:cs="宋体"/>
                <w:spacing w:val="-10"/>
                <w:sz w:val="21"/>
                <w:szCs w:val="21"/>
              </w:rPr>
              <w:t>定期维</w:t>
            </w:r>
            <w:r>
              <w:rPr>
                <w:rFonts w:ascii="宋体" w:hAnsi="宋体" w:eastAsia="宋体" w:cs="宋体"/>
                <w:spacing w:val="-1"/>
                <w:sz w:val="21"/>
                <w:szCs w:val="21"/>
              </w:rPr>
              <w:t>护设备和车辆，合理安排施工时间，交通</w:t>
            </w:r>
            <w:r>
              <w:rPr>
                <w:rFonts w:ascii="宋体" w:hAnsi="宋体" w:eastAsia="宋体" w:cs="宋体"/>
                <w:spacing w:val="-3"/>
                <w:sz w:val="21"/>
                <w:szCs w:val="21"/>
              </w:rPr>
              <w:t>道路两侧设置限速、禁鸣标志等。</w:t>
            </w:r>
          </w:p>
        </w:tc>
        <w:tc>
          <w:tcPr>
            <w:tcW w:w="2405" w:type="dxa"/>
            <w:tcBorders>
              <w:right w:val="single" w:color="000000" w:sz="12" w:space="0"/>
            </w:tcBorders>
            <w:vAlign w:val="top"/>
          </w:tcPr>
          <w:p w14:paraId="6A79140C">
            <w:pPr>
              <w:spacing w:line="315" w:lineRule="auto"/>
              <w:rPr>
                <w:rFonts w:ascii="Arial"/>
                <w:sz w:val="21"/>
              </w:rPr>
            </w:pPr>
          </w:p>
          <w:p w14:paraId="4F16CBBA">
            <w:pPr>
              <w:spacing w:line="316" w:lineRule="auto"/>
              <w:rPr>
                <w:rFonts w:ascii="Arial"/>
                <w:sz w:val="21"/>
              </w:rPr>
            </w:pPr>
          </w:p>
          <w:p w14:paraId="0E1A1EA1">
            <w:pPr>
              <w:spacing w:before="69" w:line="220" w:lineRule="auto"/>
              <w:ind w:left="1107"/>
              <w:rPr>
                <w:rFonts w:ascii="宋体" w:hAnsi="宋体" w:eastAsia="宋体" w:cs="宋体"/>
                <w:sz w:val="21"/>
                <w:szCs w:val="21"/>
              </w:rPr>
            </w:pPr>
            <w:r>
              <w:rPr>
                <w:rFonts w:ascii="宋体" w:hAnsi="宋体" w:eastAsia="宋体" w:cs="宋体"/>
                <w:sz w:val="21"/>
                <w:szCs w:val="21"/>
              </w:rPr>
              <w:t>无</w:t>
            </w:r>
          </w:p>
        </w:tc>
      </w:tr>
      <w:tr w14:paraId="11844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 w:hRule="atLeast"/>
        </w:trPr>
        <w:tc>
          <w:tcPr>
            <w:tcW w:w="919" w:type="dxa"/>
            <w:tcBorders>
              <w:left w:val="single" w:color="000000" w:sz="12" w:space="0"/>
              <w:bottom w:val="single" w:color="000000" w:sz="12" w:space="0"/>
            </w:tcBorders>
            <w:vAlign w:val="top"/>
          </w:tcPr>
          <w:p w14:paraId="365B1B0F">
            <w:pPr>
              <w:spacing w:line="263" w:lineRule="auto"/>
              <w:rPr>
                <w:rFonts w:ascii="Arial"/>
                <w:sz w:val="21"/>
              </w:rPr>
            </w:pPr>
          </w:p>
          <w:p w14:paraId="0B306729">
            <w:pPr>
              <w:spacing w:before="69" w:line="241" w:lineRule="auto"/>
              <w:ind w:left="23" w:right="43"/>
              <w:jc w:val="both"/>
              <w:rPr>
                <w:rFonts w:ascii="宋体" w:hAnsi="宋体" w:eastAsia="宋体" w:cs="宋体"/>
                <w:sz w:val="21"/>
                <w:szCs w:val="21"/>
              </w:rPr>
            </w:pPr>
            <w:r>
              <w:rPr>
                <w:rFonts w:ascii="宋体" w:hAnsi="宋体" w:eastAsia="宋体" w:cs="宋体"/>
                <w:spacing w:val="-3"/>
                <w:sz w:val="21"/>
                <w:szCs w:val="21"/>
              </w:rPr>
              <w:t>做好移民安置环境保护工作</w:t>
            </w:r>
          </w:p>
        </w:tc>
        <w:tc>
          <w:tcPr>
            <w:tcW w:w="3329" w:type="dxa"/>
            <w:tcBorders>
              <w:bottom w:val="single" w:color="000000" w:sz="12" w:space="0"/>
            </w:tcBorders>
            <w:vAlign w:val="top"/>
          </w:tcPr>
          <w:p w14:paraId="1B4BFC84">
            <w:pPr>
              <w:spacing w:before="61" w:line="233" w:lineRule="auto"/>
              <w:ind w:left="16" w:right="31" w:firstLine="12"/>
              <w:jc w:val="both"/>
              <w:rPr>
                <w:rFonts w:ascii="宋体" w:hAnsi="宋体" w:eastAsia="宋体" w:cs="宋体"/>
                <w:sz w:val="21"/>
                <w:szCs w:val="21"/>
              </w:rPr>
            </w:pPr>
            <w:r>
              <w:rPr>
                <w:rFonts w:ascii="宋体" w:hAnsi="宋体" w:eastAsia="宋体" w:cs="宋体"/>
                <w:spacing w:val="7"/>
                <w:sz w:val="21"/>
                <w:szCs w:val="21"/>
              </w:rPr>
              <w:t>需结合当地自然条件和土地资源条</w:t>
            </w:r>
            <w:r>
              <w:rPr>
                <w:rFonts w:ascii="宋体" w:hAnsi="宋体" w:eastAsia="宋体" w:cs="宋体"/>
                <w:spacing w:val="-6"/>
                <w:sz w:val="21"/>
                <w:szCs w:val="21"/>
              </w:rPr>
              <w:t>件，合理选择具体的移民安置区及生产方式，加强安置地生态保护、水土流失防治、水环境保护与垃圾处置等</w:t>
            </w:r>
            <w:r>
              <w:rPr>
                <w:rFonts w:ascii="宋体" w:hAnsi="宋体" w:eastAsia="宋体" w:cs="宋体"/>
                <w:spacing w:val="-3"/>
                <w:sz w:val="21"/>
                <w:szCs w:val="21"/>
              </w:rPr>
              <w:t>措施。落实迁复建工程环保措施。</w:t>
            </w:r>
          </w:p>
        </w:tc>
        <w:tc>
          <w:tcPr>
            <w:tcW w:w="4954" w:type="dxa"/>
            <w:tcBorders>
              <w:bottom w:val="single" w:color="000000" w:sz="12" w:space="0"/>
            </w:tcBorders>
            <w:vAlign w:val="top"/>
          </w:tcPr>
          <w:p w14:paraId="37A8A7F4">
            <w:pPr>
              <w:spacing w:line="263" w:lineRule="auto"/>
              <w:rPr>
                <w:rFonts w:ascii="Arial"/>
                <w:sz w:val="21"/>
              </w:rPr>
            </w:pPr>
          </w:p>
          <w:p w14:paraId="06E03556">
            <w:pPr>
              <w:pStyle w:val="6"/>
              <w:spacing w:before="68" w:line="238" w:lineRule="auto"/>
              <w:ind w:left="21" w:right="24" w:firstLine="2"/>
              <w:jc w:val="both"/>
              <w:rPr>
                <w:rFonts w:ascii="宋体" w:hAnsi="宋体" w:eastAsia="宋体" w:cs="宋体"/>
              </w:rPr>
            </w:pPr>
            <w:r>
              <w:rPr>
                <w:rFonts w:ascii="宋体" w:hAnsi="宋体" w:eastAsia="宋体" w:cs="宋体"/>
                <w:spacing w:val="2"/>
              </w:rPr>
              <w:t>生活垃圾：各村设置垃圾收集点，定期送至垃圾填埋</w:t>
            </w:r>
            <w:r>
              <w:rPr>
                <w:rFonts w:ascii="宋体" w:hAnsi="宋体" w:eastAsia="宋体" w:cs="宋体"/>
                <w:spacing w:val="-2"/>
              </w:rPr>
              <w:t>场；生活污水：采用“氧化塘</w:t>
            </w:r>
            <w:r>
              <w:rPr>
                <w:spacing w:val="-2"/>
              </w:rPr>
              <w:t>+</w:t>
            </w:r>
            <w:r>
              <w:rPr>
                <w:rFonts w:ascii="宋体" w:hAnsi="宋体" w:eastAsia="宋体" w:cs="宋体"/>
                <w:spacing w:val="-2"/>
              </w:rPr>
              <w:t>快渗池”处理</w:t>
            </w:r>
            <w:r>
              <w:rPr>
                <w:rFonts w:ascii="宋体" w:hAnsi="宋体" w:eastAsia="宋体" w:cs="宋体"/>
                <w:spacing w:val="-3"/>
              </w:rPr>
              <w:t>后达到一级</w:t>
            </w:r>
            <w:r>
              <w:rPr>
                <w:rFonts w:ascii="宋体" w:hAnsi="宋体" w:eastAsia="宋体" w:cs="宋体"/>
                <w:spacing w:val="-49"/>
              </w:rPr>
              <w:t xml:space="preserve"> </w:t>
            </w:r>
            <w:r>
              <w:rPr>
                <w:spacing w:val="-3"/>
              </w:rPr>
              <w:t xml:space="preserve">A </w:t>
            </w:r>
            <w:r>
              <w:rPr>
                <w:rFonts w:ascii="宋体" w:hAnsi="宋体" w:eastAsia="宋体" w:cs="宋体"/>
                <w:spacing w:val="-3"/>
              </w:rPr>
              <w:t>标准，用于农田灌溉。</w:t>
            </w:r>
          </w:p>
        </w:tc>
        <w:tc>
          <w:tcPr>
            <w:tcW w:w="4954" w:type="dxa"/>
            <w:tcBorders>
              <w:bottom w:val="single" w:color="000000" w:sz="12" w:space="0"/>
            </w:tcBorders>
            <w:vAlign w:val="top"/>
          </w:tcPr>
          <w:p w14:paraId="1AA5BECA">
            <w:pPr>
              <w:spacing w:line="263" w:lineRule="auto"/>
              <w:rPr>
                <w:rFonts w:ascii="Arial"/>
                <w:sz w:val="21"/>
              </w:rPr>
            </w:pPr>
          </w:p>
          <w:p w14:paraId="0E4FE082">
            <w:pPr>
              <w:pStyle w:val="6"/>
              <w:spacing w:before="68" w:line="238" w:lineRule="auto"/>
              <w:ind w:left="28" w:right="17" w:firstLine="2"/>
              <w:jc w:val="both"/>
              <w:rPr>
                <w:rFonts w:ascii="宋体" w:hAnsi="宋体" w:eastAsia="宋体" w:cs="宋体"/>
              </w:rPr>
            </w:pPr>
            <w:r>
              <w:rPr>
                <w:rFonts w:ascii="宋体" w:hAnsi="宋体" w:eastAsia="宋体" w:cs="宋体"/>
                <w:spacing w:val="2"/>
              </w:rPr>
              <w:t>生活垃圾：各村设置垃圾收集点，定期送至垃圾填埋</w:t>
            </w:r>
            <w:r>
              <w:rPr>
                <w:rFonts w:ascii="宋体" w:hAnsi="宋体" w:eastAsia="宋体" w:cs="宋体"/>
                <w:spacing w:val="-2"/>
              </w:rPr>
              <w:t>场；生活污水：采用“氧化塘</w:t>
            </w:r>
            <w:r>
              <w:rPr>
                <w:spacing w:val="-2"/>
              </w:rPr>
              <w:t>+</w:t>
            </w:r>
            <w:r>
              <w:rPr>
                <w:rFonts w:ascii="宋体" w:hAnsi="宋体" w:eastAsia="宋体" w:cs="宋体"/>
                <w:spacing w:val="-2"/>
              </w:rPr>
              <w:t>快渗池”处理后</w:t>
            </w:r>
            <w:r>
              <w:rPr>
                <w:rFonts w:ascii="宋体" w:hAnsi="宋体" w:eastAsia="宋体" w:cs="宋体"/>
                <w:spacing w:val="-3"/>
              </w:rPr>
              <w:t>达到一级</w:t>
            </w:r>
            <w:r>
              <w:rPr>
                <w:rFonts w:ascii="宋体" w:hAnsi="宋体" w:eastAsia="宋体" w:cs="宋体"/>
                <w:spacing w:val="-48"/>
              </w:rPr>
              <w:t xml:space="preserve"> </w:t>
            </w:r>
            <w:r>
              <w:rPr>
                <w:spacing w:val="-3"/>
              </w:rPr>
              <w:t xml:space="preserve">A </w:t>
            </w:r>
            <w:r>
              <w:rPr>
                <w:rFonts w:ascii="宋体" w:hAnsi="宋体" w:eastAsia="宋体" w:cs="宋体"/>
                <w:spacing w:val="-3"/>
              </w:rPr>
              <w:t>标准，用于农田灌溉。</w:t>
            </w:r>
          </w:p>
        </w:tc>
        <w:tc>
          <w:tcPr>
            <w:tcW w:w="3822" w:type="dxa"/>
            <w:tcBorders>
              <w:bottom w:val="single" w:color="000000" w:sz="12" w:space="0"/>
            </w:tcBorders>
            <w:vAlign w:val="top"/>
          </w:tcPr>
          <w:p w14:paraId="32D4C2DD">
            <w:pPr>
              <w:spacing w:line="397" w:lineRule="auto"/>
              <w:rPr>
                <w:rFonts w:ascii="Arial"/>
                <w:sz w:val="21"/>
              </w:rPr>
            </w:pPr>
          </w:p>
          <w:p w14:paraId="2B1057DC">
            <w:pPr>
              <w:spacing w:before="68" w:line="242" w:lineRule="auto"/>
              <w:ind w:left="37" w:right="12" w:firstLine="21"/>
              <w:rPr>
                <w:rFonts w:ascii="宋体" w:hAnsi="宋体" w:eastAsia="宋体" w:cs="宋体"/>
                <w:sz w:val="21"/>
                <w:szCs w:val="21"/>
              </w:rPr>
            </w:pPr>
            <w:r>
              <w:rPr>
                <w:rFonts w:ascii="宋体" w:hAnsi="宋体" w:eastAsia="宋体" w:cs="宋体"/>
                <w:spacing w:val="-3"/>
                <w:sz w:val="21"/>
                <w:szCs w:val="21"/>
              </w:rPr>
              <w:t>已完成专项验收。各安置点均配套建设了污水处理设施和生活垃圾处理设施。</w:t>
            </w:r>
          </w:p>
        </w:tc>
        <w:tc>
          <w:tcPr>
            <w:tcW w:w="2405" w:type="dxa"/>
            <w:tcBorders>
              <w:bottom w:val="single" w:color="000000" w:sz="12" w:space="0"/>
              <w:right w:val="single" w:color="000000" w:sz="12" w:space="0"/>
            </w:tcBorders>
            <w:vAlign w:val="top"/>
          </w:tcPr>
          <w:p w14:paraId="3BA81399">
            <w:pPr>
              <w:spacing w:line="266" w:lineRule="auto"/>
              <w:rPr>
                <w:rFonts w:ascii="Arial"/>
                <w:sz w:val="21"/>
              </w:rPr>
            </w:pPr>
          </w:p>
          <w:p w14:paraId="1E136326">
            <w:pPr>
              <w:spacing w:line="267" w:lineRule="auto"/>
              <w:rPr>
                <w:rFonts w:ascii="Arial"/>
                <w:sz w:val="21"/>
              </w:rPr>
            </w:pPr>
          </w:p>
          <w:p w14:paraId="6C81D849">
            <w:pPr>
              <w:spacing w:before="69" w:line="220" w:lineRule="auto"/>
              <w:ind w:left="1107"/>
              <w:rPr>
                <w:rFonts w:ascii="宋体" w:hAnsi="宋体" w:eastAsia="宋体" w:cs="宋体"/>
                <w:sz w:val="21"/>
                <w:szCs w:val="21"/>
              </w:rPr>
            </w:pPr>
            <w:r>
              <w:rPr>
                <w:rFonts w:ascii="宋体" w:hAnsi="宋体" w:eastAsia="宋体" w:cs="宋体"/>
                <w:sz w:val="21"/>
                <w:szCs w:val="21"/>
              </w:rPr>
              <w:t>无</w:t>
            </w:r>
          </w:p>
        </w:tc>
      </w:tr>
    </w:tbl>
    <w:p w14:paraId="55935E2C">
      <w:pPr>
        <w:rPr>
          <w:rFonts w:ascii="Arial"/>
          <w:sz w:val="21"/>
        </w:rPr>
      </w:pPr>
    </w:p>
    <w:p w14:paraId="493969D4">
      <w:pPr>
        <w:rPr>
          <w:rFonts w:ascii="Arial" w:hAnsi="Arial" w:eastAsia="Arial" w:cs="Arial"/>
          <w:sz w:val="21"/>
          <w:szCs w:val="21"/>
        </w:rPr>
        <w:sectPr>
          <w:footerReference r:id="rId151" w:type="default"/>
          <w:pgSz w:w="23814" w:h="16443"/>
          <w:pgMar w:top="1376" w:right="1669" w:bottom="1061" w:left="1671" w:header="999" w:footer="861" w:gutter="0"/>
          <w:cols w:space="720" w:num="1"/>
        </w:sectPr>
      </w:pPr>
    </w:p>
    <w:p w14:paraId="509A932C">
      <w:pPr>
        <w:spacing w:line="359" w:lineRule="auto"/>
        <w:rPr>
          <w:rFonts w:ascii="Arial"/>
          <w:sz w:val="21"/>
        </w:rPr>
      </w:pPr>
    </w:p>
    <w:p w14:paraId="6A28D445">
      <w:pPr>
        <w:spacing w:line="360" w:lineRule="auto"/>
        <w:rPr>
          <w:rFonts w:ascii="Arial"/>
          <w:sz w:val="21"/>
        </w:rPr>
      </w:pPr>
    </w:p>
    <w:p w14:paraId="5BFD2E98">
      <w:pPr>
        <w:pStyle w:val="2"/>
        <w:spacing w:before="104" w:line="234" w:lineRule="auto"/>
        <w:ind w:left="3143"/>
      </w:pPr>
      <w:bookmarkStart w:id="28" w:name="bookmark26"/>
      <w:bookmarkEnd w:id="28"/>
      <w:r>
        <w:rPr>
          <w:rFonts w:ascii="Times New Roman" w:hAnsi="Times New Roman" w:eastAsia="Times New Roman" w:cs="Times New Roman"/>
          <w:b/>
          <w:bCs/>
          <w:spacing w:val="-6"/>
        </w:rPr>
        <w:t>6</w:t>
      </w:r>
      <w:r>
        <w:rPr>
          <w:rFonts w:ascii="Times New Roman" w:hAnsi="Times New Roman" w:eastAsia="Times New Roman" w:cs="Times New Roman"/>
          <w:b/>
          <w:bCs/>
          <w:spacing w:val="24"/>
          <w:w w:val="101"/>
        </w:rPr>
        <w:t xml:space="preserve"> </w:t>
      </w:r>
      <w:r>
        <w:rPr>
          <w:b/>
          <w:bCs/>
          <w:spacing w:val="-6"/>
        </w:rPr>
        <w:t>环境影响调查</w:t>
      </w:r>
    </w:p>
    <w:p w14:paraId="1A00030A">
      <w:pPr>
        <w:spacing w:line="310" w:lineRule="auto"/>
        <w:rPr>
          <w:rFonts w:ascii="Arial"/>
          <w:sz w:val="21"/>
        </w:rPr>
      </w:pPr>
    </w:p>
    <w:p w14:paraId="74ABA428">
      <w:pPr>
        <w:pStyle w:val="2"/>
        <w:spacing w:before="98" w:line="236" w:lineRule="auto"/>
        <w:ind w:left="41"/>
        <w:rPr>
          <w:sz w:val="30"/>
          <w:szCs w:val="30"/>
        </w:rPr>
      </w:pPr>
      <w:bookmarkStart w:id="29" w:name="bookmark27"/>
      <w:bookmarkEnd w:id="29"/>
      <w:r>
        <w:rPr>
          <w:rFonts w:ascii="Times New Roman" w:hAnsi="Times New Roman" w:eastAsia="Times New Roman" w:cs="Times New Roman"/>
          <w:b/>
          <w:bCs/>
          <w:spacing w:val="-5"/>
          <w:sz w:val="30"/>
          <w:szCs w:val="30"/>
        </w:rPr>
        <w:t>6.1</w:t>
      </w:r>
      <w:r>
        <w:rPr>
          <w:rFonts w:ascii="Times New Roman" w:hAnsi="Times New Roman" w:eastAsia="Times New Roman" w:cs="Times New Roman"/>
          <w:b/>
          <w:bCs/>
          <w:spacing w:val="28"/>
          <w:sz w:val="30"/>
          <w:szCs w:val="30"/>
        </w:rPr>
        <w:t xml:space="preserve"> </w:t>
      </w:r>
      <w:r>
        <w:rPr>
          <w:b/>
          <w:bCs/>
          <w:spacing w:val="-5"/>
          <w:sz w:val="30"/>
          <w:szCs w:val="30"/>
        </w:rPr>
        <w:t>生态影响调查</w:t>
      </w:r>
    </w:p>
    <w:p w14:paraId="28302C1A">
      <w:pPr>
        <w:pStyle w:val="2"/>
        <w:spacing w:before="195" w:line="228" w:lineRule="auto"/>
        <w:ind w:left="36"/>
        <w:rPr>
          <w:sz w:val="27"/>
          <w:szCs w:val="27"/>
        </w:rPr>
      </w:pPr>
      <w:r>
        <w:rPr>
          <w:rFonts w:ascii="Arial" w:hAnsi="Arial" w:eastAsia="Arial" w:cs="Arial"/>
          <w:spacing w:val="5"/>
          <w:position w:val="1"/>
          <w:sz w:val="22"/>
          <w:szCs w:val="22"/>
        </w:rPr>
        <w:t xml:space="preserve">6.1.1     </w:t>
      </w:r>
      <w:r>
        <w:rPr>
          <w:b/>
          <w:bCs/>
          <w:spacing w:val="5"/>
          <w:position w:val="-1"/>
          <w:sz w:val="27"/>
          <w:szCs w:val="27"/>
        </w:rPr>
        <w:t>陆生生态影响</w:t>
      </w:r>
    </w:p>
    <w:p w14:paraId="179E8C14">
      <w:pPr>
        <w:pStyle w:val="2"/>
        <w:spacing w:before="259" w:line="220" w:lineRule="auto"/>
        <w:ind w:left="35"/>
        <w:rPr>
          <w:sz w:val="24"/>
          <w:szCs w:val="24"/>
        </w:rPr>
      </w:pPr>
      <w:r>
        <w:rPr>
          <w:rFonts w:ascii="Arial" w:hAnsi="Arial" w:eastAsia="Arial" w:cs="Arial"/>
          <w:spacing w:val="4"/>
          <w:position w:val="1"/>
          <w:sz w:val="18"/>
          <w:szCs w:val="18"/>
        </w:rPr>
        <w:t>6.1.1.1</w:t>
      </w:r>
      <w:r>
        <w:rPr>
          <w:rFonts w:ascii="Arial" w:hAnsi="Arial" w:eastAsia="Arial" w:cs="Arial"/>
          <w:spacing w:val="56"/>
          <w:w w:val="101"/>
          <w:position w:val="1"/>
          <w:sz w:val="18"/>
          <w:szCs w:val="18"/>
        </w:rPr>
        <w:t xml:space="preserve"> </w:t>
      </w:r>
      <w:r>
        <w:rPr>
          <w:b/>
          <w:bCs/>
          <w:spacing w:val="4"/>
          <w:position w:val="-1"/>
          <w:sz w:val="24"/>
          <w:szCs w:val="24"/>
        </w:rPr>
        <w:t>调查情况说明</w:t>
      </w:r>
    </w:p>
    <w:p w14:paraId="404F3295">
      <w:pPr>
        <w:pStyle w:val="2"/>
        <w:spacing w:before="293" w:line="331" w:lineRule="auto"/>
        <w:ind w:left="41" w:firstLine="478"/>
        <w:rPr>
          <w:sz w:val="24"/>
          <w:szCs w:val="24"/>
        </w:rPr>
      </w:pPr>
      <w:r>
        <w:rPr>
          <w:spacing w:val="-2"/>
          <w:sz w:val="24"/>
          <w:szCs w:val="24"/>
        </w:rPr>
        <w:t>环评阶段陆生生态调查和施工期高峰期陆生生态调查的调查范围、调查时间、</w:t>
      </w:r>
      <w:r>
        <w:rPr>
          <w:spacing w:val="-1"/>
          <w:sz w:val="24"/>
          <w:szCs w:val="24"/>
        </w:rPr>
        <w:t>调查单位、调查方法等基本情况见表</w:t>
      </w:r>
      <w:r>
        <w:rPr>
          <w:spacing w:val="-50"/>
          <w:sz w:val="24"/>
          <w:szCs w:val="24"/>
        </w:rPr>
        <w:t xml:space="preserve"> </w:t>
      </w:r>
      <w:r>
        <w:rPr>
          <w:rFonts w:ascii="Times New Roman" w:hAnsi="Times New Roman" w:eastAsia="Times New Roman" w:cs="Times New Roman"/>
          <w:spacing w:val="-1"/>
          <w:sz w:val="24"/>
          <w:szCs w:val="24"/>
        </w:rPr>
        <w:t>6.1-1</w:t>
      </w:r>
      <w:r>
        <w:rPr>
          <w:spacing w:val="-1"/>
          <w:sz w:val="24"/>
          <w:szCs w:val="24"/>
        </w:rPr>
        <w:t>。</w:t>
      </w:r>
    </w:p>
    <w:p w14:paraId="752A0C11">
      <w:pPr>
        <w:pStyle w:val="2"/>
        <w:spacing w:before="1" w:line="225" w:lineRule="auto"/>
        <w:ind w:left="279"/>
        <w:rPr>
          <w:sz w:val="24"/>
          <w:szCs w:val="24"/>
        </w:rPr>
      </w:pPr>
      <w:r>
        <w:rPr>
          <w:b/>
          <w:bCs/>
          <w:spacing w:val="-1"/>
          <w:sz w:val="24"/>
          <w:szCs w:val="24"/>
        </w:rPr>
        <w:t>表</w:t>
      </w:r>
      <w:r>
        <w:rPr>
          <w:spacing w:val="-44"/>
          <w:sz w:val="24"/>
          <w:szCs w:val="24"/>
        </w:rPr>
        <w:t xml:space="preserve"> </w:t>
      </w:r>
      <w:r>
        <w:rPr>
          <w:rFonts w:ascii="Times New Roman" w:hAnsi="Times New Roman" w:eastAsia="Times New Roman" w:cs="Times New Roman"/>
          <w:b/>
          <w:bCs/>
          <w:spacing w:val="-1"/>
          <w:sz w:val="24"/>
          <w:szCs w:val="24"/>
        </w:rPr>
        <w:t xml:space="preserve">6.1-1                          </w:t>
      </w:r>
      <w:r>
        <w:rPr>
          <w:b/>
          <w:bCs/>
          <w:spacing w:val="-1"/>
          <w:sz w:val="24"/>
          <w:szCs w:val="24"/>
        </w:rPr>
        <w:t>环评期和施工高峰期陆生生态调查情况</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1"/>
        <w:gridCol w:w="3390"/>
        <w:gridCol w:w="3812"/>
      </w:tblGrid>
      <w:tr w14:paraId="67FBD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71" w:type="dxa"/>
            <w:tcBorders>
              <w:top w:val="single" w:color="000000" w:sz="12" w:space="0"/>
              <w:left w:val="single" w:color="000000" w:sz="12" w:space="0"/>
            </w:tcBorders>
            <w:vAlign w:val="top"/>
          </w:tcPr>
          <w:p w14:paraId="54BFD2EA">
            <w:pPr>
              <w:spacing w:before="76" w:line="220" w:lineRule="auto"/>
              <w:ind w:left="415"/>
              <w:rPr>
                <w:rFonts w:ascii="宋体" w:hAnsi="宋体" w:eastAsia="宋体" w:cs="宋体"/>
                <w:sz w:val="21"/>
                <w:szCs w:val="21"/>
              </w:rPr>
            </w:pPr>
            <w:r>
              <w:rPr>
                <w:rFonts w:ascii="宋体" w:hAnsi="宋体" w:eastAsia="宋体" w:cs="宋体"/>
                <w:spacing w:val="-3"/>
                <w:sz w:val="21"/>
                <w:szCs w:val="21"/>
              </w:rPr>
              <w:t>项目</w:t>
            </w:r>
          </w:p>
        </w:tc>
        <w:tc>
          <w:tcPr>
            <w:tcW w:w="3390" w:type="dxa"/>
            <w:tcBorders>
              <w:top w:val="single" w:color="000000" w:sz="12" w:space="0"/>
            </w:tcBorders>
            <w:vAlign w:val="top"/>
          </w:tcPr>
          <w:p w14:paraId="58723B1F">
            <w:pPr>
              <w:spacing w:before="76" w:line="220" w:lineRule="auto"/>
              <w:ind w:left="1063"/>
              <w:rPr>
                <w:rFonts w:ascii="宋体" w:hAnsi="宋体" w:eastAsia="宋体" w:cs="宋体"/>
                <w:sz w:val="21"/>
                <w:szCs w:val="21"/>
              </w:rPr>
            </w:pPr>
            <w:r>
              <w:rPr>
                <w:rFonts w:ascii="宋体" w:hAnsi="宋体" w:eastAsia="宋体" w:cs="宋体"/>
                <w:spacing w:val="-2"/>
                <w:sz w:val="21"/>
                <w:szCs w:val="21"/>
              </w:rPr>
              <w:t>环评阶段调查</w:t>
            </w:r>
          </w:p>
        </w:tc>
        <w:tc>
          <w:tcPr>
            <w:tcW w:w="3812" w:type="dxa"/>
            <w:tcBorders>
              <w:top w:val="single" w:color="000000" w:sz="12" w:space="0"/>
              <w:right w:val="single" w:color="000000" w:sz="12" w:space="0"/>
            </w:tcBorders>
            <w:vAlign w:val="top"/>
          </w:tcPr>
          <w:p w14:paraId="401E7474">
            <w:pPr>
              <w:spacing w:before="75" w:line="220" w:lineRule="auto"/>
              <w:ind w:left="1173"/>
              <w:rPr>
                <w:rFonts w:ascii="宋体" w:hAnsi="宋体" w:eastAsia="宋体" w:cs="宋体"/>
                <w:sz w:val="21"/>
                <w:szCs w:val="21"/>
              </w:rPr>
            </w:pPr>
            <w:r>
              <w:rPr>
                <w:rFonts w:ascii="宋体" w:hAnsi="宋体" w:eastAsia="宋体" w:cs="宋体"/>
                <w:spacing w:val="-1"/>
                <w:sz w:val="21"/>
                <w:szCs w:val="21"/>
              </w:rPr>
              <w:t>施工高峰期调查</w:t>
            </w:r>
          </w:p>
        </w:tc>
      </w:tr>
      <w:tr w14:paraId="3DF73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1271" w:type="dxa"/>
            <w:tcBorders>
              <w:left w:val="single" w:color="000000" w:sz="12" w:space="0"/>
            </w:tcBorders>
            <w:vAlign w:val="top"/>
          </w:tcPr>
          <w:p w14:paraId="781B9DA4">
            <w:pPr>
              <w:spacing w:before="82" w:line="220" w:lineRule="auto"/>
              <w:ind w:left="204"/>
              <w:rPr>
                <w:rFonts w:ascii="宋体" w:hAnsi="宋体" w:eastAsia="宋体" w:cs="宋体"/>
                <w:sz w:val="21"/>
                <w:szCs w:val="21"/>
              </w:rPr>
            </w:pPr>
            <w:r>
              <w:rPr>
                <w:rFonts w:ascii="宋体" w:hAnsi="宋体" w:eastAsia="宋体" w:cs="宋体"/>
                <w:spacing w:val="-2"/>
                <w:sz w:val="21"/>
                <w:szCs w:val="21"/>
              </w:rPr>
              <w:t>调查单位</w:t>
            </w:r>
          </w:p>
        </w:tc>
        <w:tc>
          <w:tcPr>
            <w:tcW w:w="3390" w:type="dxa"/>
            <w:vAlign w:val="top"/>
          </w:tcPr>
          <w:p w14:paraId="5CD3A676">
            <w:pPr>
              <w:spacing w:before="82" w:line="220" w:lineRule="auto"/>
              <w:ind w:left="1068"/>
              <w:rPr>
                <w:rFonts w:ascii="宋体" w:hAnsi="宋体" w:eastAsia="宋体" w:cs="宋体"/>
                <w:sz w:val="21"/>
                <w:szCs w:val="21"/>
              </w:rPr>
            </w:pPr>
            <w:r>
              <w:rPr>
                <w:rFonts w:ascii="宋体" w:hAnsi="宋体" w:eastAsia="宋体" w:cs="宋体"/>
                <w:spacing w:val="-2"/>
                <w:sz w:val="21"/>
                <w:szCs w:val="21"/>
              </w:rPr>
              <w:t>西南林业大学</w:t>
            </w:r>
          </w:p>
        </w:tc>
        <w:tc>
          <w:tcPr>
            <w:tcW w:w="3812" w:type="dxa"/>
            <w:tcBorders>
              <w:right w:val="single" w:color="000000" w:sz="12" w:space="0"/>
            </w:tcBorders>
            <w:vAlign w:val="top"/>
          </w:tcPr>
          <w:p w14:paraId="2958CF1A">
            <w:pPr>
              <w:spacing w:before="82" w:line="220" w:lineRule="auto"/>
              <w:ind w:left="445"/>
              <w:rPr>
                <w:rFonts w:ascii="宋体" w:hAnsi="宋体" w:eastAsia="宋体" w:cs="宋体"/>
                <w:sz w:val="21"/>
                <w:szCs w:val="21"/>
              </w:rPr>
            </w:pPr>
            <w:r>
              <w:rPr>
                <w:rFonts w:ascii="宋体" w:hAnsi="宋体" w:eastAsia="宋体" w:cs="宋体"/>
                <w:spacing w:val="-1"/>
                <w:sz w:val="21"/>
                <w:szCs w:val="21"/>
              </w:rPr>
              <w:t>云南环绿环境检测技术有限公司</w:t>
            </w:r>
          </w:p>
        </w:tc>
      </w:tr>
      <w:tr w14:paraId="28170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3" w:hRule="atLeast"/>
        </w:trPr>
        <w:tc>
          <w:tcPr>
            <w:tcW w:w="1271" w:type="dxa"/>
            <w:tcBorders>
              <w:left w:val="single" w:color="000000" w:sz="12" w:space="0"/>
            </w:tcBorders>
            <w:vAlign w:val="top"/>
          </w:tcPr>
          <w:p w14:paraId="765B4091">
            <w:pPr>
              <w:spacing w:line="350" w:lineRule="auto"/>
              <w:rPr>
                <w:rFonts w:ascii="Arial"/>
                <w:sz w:val="21"/>
              </w:rPr>
            </w:pPr>
          </w:p>
          <w:p w14:paraId="2264C582">
            <w:pPr>
              <w:spacing w:before="68" w:line="222" w:lineRule="auto"/>
              <w:ind w:left="204"/>
              <w:rPr>
                <w:rFonts w:ascii="宋体" w:hAnsi="宋体" w:eastAsia="宋体" w:cs="宋体"/>
                <w:sz w:val="21"/>
                <w:szCs w:val="21"/>
              </w:rPr>
            </w:pPr>
            <w:r>
              <w:rPr>
                <w:rFonts w:ascii="宋体" w:hAnsi="宋体" w:eastAsia="宋体" w:cs="宋体"/>
                <w:spacing w:val="-2"/>
                <w:sz w:val="21"/>
                <w:szCs w:val="21"/>
              </w:rPr>
              <w:t>调查时间</w:t>
            </w:r>
          </w:p>
        </w:tc>
        <w:tc>
          <w:tcPr>
            <w:tcW w:w="3390" w:type="dxa"/>
            <w:vAlign w:val="top"/>
          </w:tcPr>
          <w:p w14:paraId="35ED30B7">
            <w:pPr>
              <w:spacing w:line="351" w:lineRule="auto"/>
              <w:rPr>
                <w:rFonts w:ascii="Arial"/>
                <w:sz w:val="21"/>
              </w:rPr>
            </w:pPr>
          </w:p>
          <w:p w14:paraId="0EB2F67C">
            <w:pPr>
              <w:pStyle w:val="6"/>
              <w:spacing w:before="68" w:line="233" w:lineRule="auto"/>
              <w:ind w:left="844"/>
              <w:rPr>
                <w:rFonts w:ascii="宋体" w:hAnsi="宋体" w:eastAsia="宋体" w:cs="宋体"/>
              </w:rPr>
            </w:pPr>
            <w:r>
              <w:rPr>
                <w:spacing w:val="-3"/>
              </w:rPr>
              <w:t xml:space="preserve">2015 </w:t>
            </w:r>
            <w:r>
              <w:rPr>
                <w:rFonts w:ascii="宋体" w:hAnsi="宋体" w:eastAsia="宋体" w:cs="宋体"/>
                <w:spacing w:val="-3"/>
              </w:rPr>
              <w:t>年</w:t>
            </w:r>
            <w:r>
              <w:rPr>
                <w:rFonts w:ascii="宋体" w:hAnsi="宋体" w:eastAsia="宋体" w:cs="宋体"/>
                <w:spacing w:val="-37"/>
              </w:rPr>
              <w:t xml:space="preserve"> </w:t>
            </w:r>
            <w:r>
              <w:rPr>
                <w:spacing w:val="-3"/>
              </w:rPr>
              <w:t>9</w:t>
            </w:r>
            <w:r>
              <w:rPr>
                <w:spacing w:val="14"/>
                <w:w w:val="101"/>
              </w:rPr>
              <w:t xml:space="preserve"> </w:t>
            </w:r>
            <w:r>
              <w:rPr>
                <w:rFonts w:ascii="宋体" w:hAnsi="宋体" w:eastAsia="宋体" w:cs="宋体"/>
                <w:spacing w:val="-3"/>
              </w:rPr>
              <w:t>月</w:t>
            </w:r>
            <w:r>
              <w:rPr>
                <w:spacing w:val="-3"/>
              </w:rPr>
              <w:t>~10</w:t>
            </w:r>
            <w:r>
              <w:rPr>
                <w:spacing w:val="15"/>
              </w:rPr>
              <w:t xml:space="preserve"> </w:t>
            </w:r>
            <w:r>
              <w:rPr>
                <w:rFonts w:ascii="宋体" w:hAnsi="宋体" w:eastAsia="宋体" w:cs="宋体"/>
                <w:spacing w:val="-3"/>
              </w:rPr>
              <w:t>月</w:t>
            </w:r>
          </w:p>
        </w:tc>
        <w:tc>
          <w:tcPr>
            <w:tcW w:w="3812" w:type="dxa"/>
            <w:tcBorders>
              <w:right w:val="single" w:color="000000" w:sz="12" w:space="0"/>
            </w:tcBorders>
            <w:vAlign w:val="top"/>
          </w:tcPr>
          <w:p w14:paraId="75F76ED2">
            <w:pPr>
              <w:pStyle w:val="6"/>
              <w:spacing w:before="149"/>
              <w:ind w:left="30" w:right="11" w:firstLine="11"/>
              <w:jc w:val="both"/>
              <w:rPr>
                <w:rFonts w:ascii="宋体" w:hAnsi="宋体" w:eastAsia="宋体" w:cs="宋体"/>
              </w:rPr>
            </w:pPr>
            <w:r>
              <w:rPr>
                <w:rFonts w:ascii="宋体" w:hAnsi="宋体" w:eastAsia="宋体" w:cs="宋体"/>
                <w:spacing w:val="-5"/>
              </w:rPr>
              <w:t>陆生植被监测时间为</w:t>
            </w:r>
            <w:r>
              <w:rPr>
                <w:rFonts w:ascii="宋体" w:hAnsi="宋体" w:eastAsia="宋体" w:cs="宋体"/>
                <w:spacing w:val="-14"/>
              </w:rPr>
              <w:t xml:space="preserve"> </w:t>
            </w:r>
            <w:r>
              <w:rPr>
                <w:spacing w:val="-5"/>
              </w:rPr>
              <w:t>2020</w:t>
            </w:r>
            <w:r>
              <w:rPr>
                <w:spacing w:val="29"/>
                <w:w w:val="101"/>
              </w:rPr>
              <w:t xml:space="preserve"> </w:t>
            </w:r>
            <w:r>
              <w:rPr>
                <w:rFonts w:ascii="宋体" w:hAnsi="宋体" w:eastAsia="宋体" w:cs="宋体"/>
                <w:spacing w:val="-5"/>
              </w:rPr>
              <w:t>年</w:t>
            </w:r>
            <w:r>
              <w:rPr>
                <w:rFonts w:ascii="宋体" w:hAnsi="宋体" w:eastAsia="宋体" w:cs="宋体"/>
                <w:spacing w:val="-23"/>
              </w:rPr>
              <w:t xml:space="preserve"> </w:t>
            </w:r>
            <w:r>
              <w:rPr>
                <w:spacing w:val="-5"/>
              </w:rPr>
              <w:t>5</w:t>
            </w:r>
            <w:r>
              <w:rPr>
                <w:spacing w:val="32"/>
                <w:w w:val="101"/>
              </w:rPr>
              <w:t xml:space="preserve"> </w:t>
            </w:r>
            <w:r>
              <w:rPr>
                <w:rFonts w:ascii="宋体" w:hAnsi="宋体" w:eastAsia="宋体" w:cs="宋体"/>
                <w:spacing w:val="-5"/>
              </w:rPr>
              <w:t>月</w:t>
            </w:r>
            <w:r>
              <w:rPr>
                <w:rFonts w:ascii="宋体" w:hAnsi="宋体" w:eastAsia="宋体" w:cs="宋体"/>
                <w:spacing w:val="-29"/>
              </w:rPr>
              <w:t xml:space="preserve"> </w:t>
            </w:r>
            <w:r>
              <w:rPr>
                <w:spacing w:val="-5"/>
              </w:rPr>
              <w:t xml:space="preserve">2-5  </w:t>
            </w:r>
            <w:r>
              <w:rPr>
                <w:rFonts w:ascii="宋体" w:hAnsi="宋体" w:eastAsia="宋体" w:cs="宋体"/>
                <w:spacing w:val="-5"/>
              </w:rPr>
              <w:t>日</w:t>
            </w:r>
            <w:r>
              <w:rPr>
                <w:rFonts w:ascii="宋体" w:hAnsi="宋体" w:eastAsia="宋体" w:cs="宋体"/>
                <w:spacing w:val="-7"/>
              </w:rPr>
              <w:t>和</w:t>
            </w:r>
            <w:r>
              <w:rPr>
                <w:rFonts w:ascii="宋体" w:hAnsi="宋体" w:eastAsia="宋体" w:cs="宋体"/>
                <w:spacing w:val="-24"/>
              </w:rPr>
              <w:t xml:space="preserve"> </w:t>
            </w:r>
            <w:r>
              <w:rPr>
                <w:spacing w:val="-7"/>
              </w:rPr>
              <w:t>11</w:t>
            </w:r>
            <w:r>
              <w:rPr>
                <w:spacing w:val="14"/>
              </w:rPr>
              <w:t xml:space="preserve"> </w:t>
            </w:r>
            <w:r>
              <w:rPr>
                <w:rFonts w:ascii="宋体" w:hAnsi="宋体" w:eastAsia="宋体" w:cs="宋体"/>
                <w:spacing w:val="-7"/>
              </w:rPr>
              <w:t>月</w:t>
            </w:r>
            <w:r>
              <w:rPr>
                <w:rFonts w:ascii="宋体" w:hAnsi="宋体" w:eastAsia="宋体" w:cs="宋体"/>
                <w:spacing w:val="-48"/>
              </w:rPr>
              <w:t xml:space="preserve"> </w:t>
            </w:r>
            <w:r>
              <w:rPr>
                <w:spacing w:val="-7"/>
              </w:rPr>
              <w:t>26-27</w:t>
            </w:r>
            <w:r>
              <w:rPr>
                <w:spacing w:val="45"/>
                <w:w w:val="101"/>
              </w:rPr>
              <w:t xml:space="preserve"> </w:t>
            </w:r>
            <w:r>
              <w:rPr>
                <w:rFonts w:ascii="宋体" w:hAnsi="宋体" w:eastAsia="宋体" w:cs="宋体"/>
                <w:spacing w:val="-7"/>
              </w:rPr>
              <w:t>日；陆生动物监测时间为</w:t>
            </w:r>
            <w:r>
              <w:rPr>
                <w:rFonts w:ascii="宋体" w:hAnsi="宋体" w:eastAsia="宋体" w:cs="宋体"/>
                <w:spacing w:val="-48"/>
              </w:rPr>
              <w:t xml:space="preserve"> </w:t>
            </w:r>
            <w:r>
              <w:rPr>
                <w:spacing w:val="-7"/>
              </w:rPr>
              <w:t>2</w:t>
            </w:r>
            <w:r>
              <w:t xml:space="preserve"> </w:t>
            </w:r>
            <w:r>
              <w:rPr>
                <w:spacing w:val="-7"/>
              </w:rPr>
              <w:t xml:space="preserve">020 </w:t>
            </w:r>
            <w:r>
              <w:rPr>
                <w:rFonts w:ascii="宋体" w:hAnsi="宋体" w:eastAsia="宋体" w:cs="宋体"/>
                <w:spacing w:val="-7"/>
              </w:rPr>
              <w:t>年</w:t>
            </w:r>
            <w:r>
              <w:rPr>
                <w:rFonts w:ascii="宋体" w:hAnsi="宋体" w:eastAsia="宋体" w:cs="宋体"/>
                <w:spacing w:val="-48"/>
              </w:rPr>
              <w:t xml:space="preserve"> </w:t>
            </w:r>
            <w:r>
              <w:rPr>
                <w:spacing w:val="-7"/>
              </w:rPr>
              <w:t>4</w:t>
            </w:r>
            <w:r>
              <w:rPr>
                <w:spacing w:val="14"/>
              </w:rPr>
              <w:t xml:space="preserve"> </w:t>
            </w:r>
            <w:r>
              <w:rPr>
                <w:rFonts w:ascii="宋体" w:hAnsi="宋体" w:eastAsia="宋体" w:cs="宋体"/>
                <w:spacing w:val="-7"/>
              </w:rPr>
              <w:t>月、</w:t>
            </w:r>
            <w:r>
              <w:rPr>
                <w:spacing w:val="-7"/>
              </w:rPr>
              <w:t>9</w:t>
            </w:r>
            <w:r>
              <w:rPr>
                <w:spacing w:val="14"/>
              </w:rPr>
              <w:t xml:space="preserve"> </w:t>
            </w:r>
            <w:r>
              <w:rPr>
                <w:rFonts w:ascii="宋体" w:hAnsi="宋体" w:eastAsia="宋体" w:cs="宋体"/>
                <w:spacing w:val="-7"/>
              </w:rPr>
              <w:t>月和</w:t>
            </w:r>
            <w:r>
              <w:rPr>
                <w:rFonts w:ascii="宋体" w:hAnsi="宋体" w:eastAsia="宋体" w:cs="宋体"/>
                <w:spacing w:val="-29"/>
              </w:rPr>
              <w:t xml:space="preserve"> </w:t>
            </w:r>
            <w:r>
              <w:rPr>
                <w:spacing w:val="-7"/>
              </w:rPr>
              <w:t>11</w:t>
            </w:r>
            <w:r>
              <w:rPr>
                <w:spacing w:val="15"/>
              </w:rPr>
              <w:t xml:space="preserve"> </w:t>
            </w:r>
            <w:r>
              <w:rPr>
                <w:rFonts w:ascii="宋体" w:hAnsi="宋体" w:eastAsia="宋体" w:cs="宋体"/>
                <w:spacing w:val="-7"/>
              </w:rPr>
              <w:t>月各</w:t>
            </w:r>
            <w:r>
              <w:rPr>
                <w:rFonts w:ascii="宋体" w:hAnsi="宋体" w:eastAsia="宋体" w:cs="宋体"/>
                <w:spacing w:val="-28"/>
              </w:rPr>
              <w:t xml:space="preserve"> </w:t>
            </w:r>
            <w:r>
              <w:rPr>
                <w:spacing w:val="-7"/>
              </w:rPr>
              <w:t>1</w:t>
            </w:r>
            <w:r>
              <w:rPr>
                <w:spacing w:val="15"/>
              </w:rPr>
              <w:t xml:space="preserve"> </w:t>
            </w:r>
            <w:r>
              <w:rPr>
                <w:rFonts w:ascii="宋体" w:hAnsi="宋体" w:eastAsia="宋体" w:cs="宋体"/>
                <w:spacing w:val="-7"/>
              </w:rPr>
              <w:t>次。</w:t>
            </w:r>
          </w:p>
        </w:tc>
      </w:tr>
      <w:tr w14:paraId="2DB04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5" w:hRule="atLeast"/>
        </w:trPr>
        <w:tc>
          <w:tcPr>
            <w:tcW w:w="1271" w:type="dxa"/>
            <w:tcBorders>
              <w:left w:val="single" w:color="000000" w:sz="12" w:space="0"/>
            </w:tcBorders>
            <w:vAlign w:val="top"/>
          </w:tcPr>
          <w:p w14:paraId="76012C40">
            <w:pPr>
              <w:spacing w:line="256" w:lineRule="auto"/>
              <w:rPr>
                <w:rFonts w:ascii="Arial"/>
                <w:sz w:val="21"/>
              </w:rPr>
            </w:pPr>
          </w:p>
          <w:p w14:paraId="437ECFE8">
            <w:pPr>
              <w:spacing w:line="256" w:lineRule="auto"/>
              <w:rPr>
                <w:rFonts w:ascii="Arial"/>
                <w:sz w:val="21"/>
              </w:rPr>
            </w:pPr>
          </w:p>
          <w:p w14:paraId="72B16DE2">
            <w:pPr>
              <w:spacing w:line="256" w:lineRule="auto"/>
              <w:rPr>
                <w:rFonts w:ascii="Arial"/>
                <w:sz w:val="21"/>
              </w:rPr>
            </w:pPr>
          </w:p>
          <w:p w14:paraId="162BF875">
            <w:pPr>
              <w:spacing w:line="256" w:lineRule="auto"/>
              <w:rPr>
                <w:rFonts w:ascii="Arial"/>
                <w:sz w:val="21"/>
              </w:rPr>
            </w:pPr>
          </w:p>
          <w:p w14:paraId="094F5BBE">
            <w:pPr>
              <w:spacing w:line="257" w:lineRule="auto"/>
              <w:rPr>
                <w:rFonts w:ascii="Arial"/>
                <w:sz w:val="21"/>
              </w:rPr>
            </w:pPr>
          </w:p>
          <w:p w14:paraId="4D05D341">
            <w:pPr>
              <w:spacing w:line="257" w:lineRule="auto"/>
              <w:rPr>
                <w:rFonts w:ascii="Arial"/>
                <w:sz w:val="21"/>
              </w:rPr>
            </w:pPr>
          </w:p>
          <w:p w14:paraId="596C31A3">
            <w:pPr>
              <w:spacing w:before="68" w:line="220" w:lineRule="auto"/>
              <w:ind w:left="204"/>
              <w:rPr>
                <w:rFonts w:ascii="宋体" w:hAnsi="宋体" w:eastAsia="宋体" w:cs="宋体"/>
                <w:sz w:val="21"/>
                <w:szCs w:val="21"/>
              </w:rPr>
            </w:pPr>
            <w:r>
              <w:rPr>
                <w:rFonts w:ascii="宋体" w:hAnsi="宋体" w:eastAsia="宋体" w:cs="宋体"/>
                <w:spacing w:val="-2"/>
                <w:sz w:val="21"/>
                <w:szCs w:val="21"/>
              </w:rPr>
              <w:t>调查范围</w:t>
            </w:r>
          </w:p>
        </w:tc>
        <w:tc>
          <w:tcPr>
            <w:tcW w:w="3390" w:type="dxa"/>
            <w:vAlign w:val="top"/>
          </w:tcPr>
          <w:p w14:paraId="43F674D4">
            <w:pPr>
              <w:pStyle w:val="6"/>
              <w:spacing w:before="256" w:line="239" w:lineRule="auto"/>
              <w:ind w:left="19"/>
              <w:jc w:val="both"/>
              <w:rPr>
                <w:rFonts w:ascii="宋体" w:hAnsi="宋体" w:eastAsia="宋体" w:cs="宋体"/>
              </w:rPr>
            </w:pPr>
            <w:r>
              <w:rPr>
                <w:rFonts w:ascii="宋体" w:hAnsi="宋体" w:eastAsia="宋体" w:cs="宋体"/>
                <w:spacing w:val="-10"/>
              </w:rPr>
              <w:t>① 水库淹没区、浸没区、内涝区、淹</w:t>
            </w:r>
            <w:r>
              <w:rPr>
                <w:rFonts w:ascii="宋体" w:hAnsi="宋体" w:eastAsia="宋体" w:cs="宋体"/>
                <w:spacing w:val="-4"/>
              </w:rPr>
              <w:t>没线以上至第一层山脊线范围，及库区正常蓄水位</w:t>
            </w:r>
            <w:r>
              <w:rPr>
                <w:rFonts w:ascii="宋体" w:hAnsi="宋体" w:eastAsia="宋体" w:cs="宋体"/>
                <w:spacing w:val="-38"/>
              </w:rPr>
              <w:t xml:space="preserve"> </w:t>
            </w:r>
            <w:r>
              <w:rPr>
                <w:spacing w:val="-4"/>
              </w:rPr>
              <w:t xml:space="preserve">1938.5m </w:t>
            </w:r>
            <w:r>
              <w:rPr>
                <w:rFonts w:ascii="宋体" w:hAnsi="宋体" w:eastAsia="宋体" w:cs="宋体"/>
                <w:spacing w:val="-4"/>
              </w:rPr>
              <w:t>海拔高程以下</w:t>
            </w:r>
            <w:r>
              <w:rPr>
                <w:rFonts w:ascii="宋体" w:hAnsi="宋体" w:eastAsia="宋体" w:cs="宋体"/>
                <w:spacing w:val="2"/>
              </w:rPr>
              <w:t>范围；② 施工征占地范围内及征占地线外延至第一层山脊线范围；③</w:t>
            </w:r>
            <w:r>
              <w:rPr>
                <w:rFonts w:ascii="宋体" w:hAnsi="宋体" w:eastAsia="宋体" w:cs="宋体"/>
                <w:spacing w:val="-4"/>
              </w:rPr>
              <w:t>移民安置区征地范围，并外延至第一</w:t>
            </w:r>
            <w:r>
              <w:rPr>
                <w:rFonts w:ascii="宋体" w:hAnsi="宋体" w:eastAsia="宋体" w:cs="宋体"/>
                <w:spacing w:val="-7"/>
              </w:rPr>
              <w:t>层山脊线范围；④ 复建公路工程区，</w:t>
            </w:r>
            <w:r>
              <w:rPr>
                <w:rFonts w:ascii="宋体" w:hAnsi="宋体" w:eastAsia="宋体" w:cs="宋体"/>
                <w:spacing w:val="-3"/>
              </w:rPr>
              <w:t>并外延至第一层山脊线范围。</w:t>
            </w:r>
          </w:p>
          <w:p w14:paraId="20523B93">
            <w:pPr>
              <w:pStyle w:val="6"/>
              <w:spacing w:line="241" w:lineRule="auto"/>
              <w:ind w:left="20" w:right="21" w:firstLine="1"/>
              <w:jc w:val="both"/>
              <w:rPr>
                <w:rFonts w:ascii="宋体" w:hAnsi="宋体" w:eastAsia="宋体" w:cs="宋体"/>
              </w:rPr>
            </w:pPr>
            <w:r>
              <w:rPr>
                <w:rFonts w:ascii="宋体" w:hAnsi="宋体" w:eastAsia="宋体" w:cs="宋体"/>
                <w:spacing w:val="-2"/>
              </w:rPr>
              <w:t xml:space="preserve">按照上述原则确定调查范围面积为 </w:t>
            </w:r>
            <w:r>
              <w:rPr>
                <w:spacing w:val="-2"/>
              </w:rPr>
              <w:t>2</w:t>
            </w:r>
            <w:r>
              <w:rPr>
                <w:spacing w:val="8"/>
              </w:rPr>
              <w:t xml:space="preserve"> </w:t>
            </w:r>
            <w:r>
              <w:rPr>
                <w:spacing w:val="-4"/>
              </w:rPr>
              <w:t>9790.86hm</w:t>
            </w:r>
            <w:r>
              <w:rPr>
                <w:spacing w:val="-4"/>
                <w:position w:val="7"/>
                <w:sz w:val="14"/>
                <w:szCs w:val="14"/>
              </w:rPr>
              <w:t>2</w:t>
            </w:r>
            <w:r>
              <w:rPr>
                <w:rFonts w:ascii="宋体" w:hAnsi="宋体" w:eastAsia="宋体" w:cs="宋体"/>
                <w:spacing w:val="-4"/>
              </w:rPr>
              <w:t>，其海拔范围介于</w:t>
            </w:r>
            <w:r>
              <w:rPr>
                <w:rFonts w:ascii="宋体" w:hAnsi="宋体" w:eastAsia="宋体" w:cs="宋体"/>
                <w:spacing w:val="-12"/>
              </w:rPr>
              <w:t xml:space="preserve"> </w:t>
            </w:r>
            <w:r>
              <w:rPr>
                <w:spacing w:val="-4"/>
              </w:rPr>
              <w:t>1880~2</w:t>
            </w:r>
            <w:r>
              <w:t xml:space="preserve"> </w:t>
            </w:r>
            <w:r>
              <w:rPr>
                <w:spacing w:val="-4"/>
              </w:rPr>
              <w:t xml:space="preserve">150m </w:t>
            </w:r>
            <w:r>
              <w:rPr>
                <w:rFonts w:ascii="宋体" w:hAnsi="宋体" w:eastAsia="宋体" w:cs="宋体"/>
                <w:spacing w:val="-4"/>
              </w:rPr>
              <w:t>之间。</w:t>
            </w:r>
          </w:p>
        </w:tc>
        <w:tc>
          <w:tcPr>
            <w:tcW w:w="3812" w:type="dxa"/>
            <w:tcBorders>
              <w:right w:val="single" w:color="000000" w:sz="12" w:space="0"/>
            </w:tcBorders>
            <w:vAlign w:val="top"/>
          </w:tcPr>
          <w:p w14:paraId="3C2F6AA8">
            <w:pPr>
              <w:pStyle w:val="6"/>
              <w:spacing w:before="258" w:line="239" w:lineRule="auto"/>
              <w:ind w:left="30" w:right="9" w:firstLine="11"/>
              <w:jc w:val="both"/>
              <w:rPr>
                <w:rFonts w:ascii="宋体" w:hAnsi="宋体" w:eastAsia="宋体" w:cs="宋体"/>
              </w:rPr>
            </w:pPr>
            <w:r>
              <w:rPr>
                <w:rFonts w:ascii="宋体" w:hAnsi="宋体" w:eastAsia="宋体" w:cs="宋体"/>
                <w:spacing w:val="9"/>
              </w:rPr>
              <w:t>陆生生态环境监测范围涵盖水库淹没影</w:t>
            </w:r>
            <w:r>
              <w:rPr>
                <w:rFonts w:ascii="宋体" w:hAnsi="宋体" w:eastAsia="宋体" w:cs="宋体"/>
                <w:spacing w:val="-11"/>
              </w:rPr>
              <w:t>响区、工程占地影响区，</w:t>
            </w:r>
            <w:r>
              <w:rPr>
                <w:rFonts w:ascii="宋体" w:hAnsi="宋体" w:eastAsia="宋体" w:cs="宋体"/>
                <w:spacing w:val="60"/>
              </w:rPr>
              <w:t xml:space="preserve"> </w:t>
            </w:r>
            <w:r>
              <w:rPr>
                <w:rFonts w:ascii="宋体" w:hAnsi="宋体" w:eastAsia="宋体" w:cs="宋体"/>
                <w:spacing w:val="-11"/>
              </w:rPr>
              <w:t>水库库周第一重</w:t>
            </w:r>
            <w:r>
              <w:rPr>
                <w:rFonts w:ascii="宋体" w:hAnsi="宋体" w:eastAsia="宋体" w:cs="宋体"/>
                <w:spacing w:val="-2"/>
              </w:rPr>
              <w:t>山脊范围，以及工程土料场、石料场、弃</w:t>
            </w:r>
            <w:r>
              <w:rPr>
                <w:rFonts w:ascii="宋体" w:hAnsi="宋体" w:eastAsia="宋体" w:cs="宋体"/>
                <w:spacing w:val="-7"/>
              </w:rPr>
              <w:t>渣场周围</w:t>
            </w:r>
            <w:r>
              <w:rPr>
                <w:rFonts w:ascii="宋体" w:hAnsi="宋体" w:eastAsia="宋体" w:cs="宋体"/>
                <w:spacing w:val="-23"/>
              </w:rPr>
              <w:t xml:space="preserve"> </w:t>
            </w:r>
            <w:r>
              <w:rPr>
                <w:spacing w:val="-7"/>
              </w:rPr>
              <w:t>1km</w:t>
            </w:r>
            <w:r>
              <w:rPr>
                <w:spacing w:val="12"/>
              </w:rPr>
              <w:t xml:space="preserve"> </w:t>
            </w:r>
            <w:r>
              <w:rPr>
                <w:rFonts w:ascii="宋体" w:hAnsi="宋体" w:eastAsia="宋体" w:cs="宋体"/>
                <w:spacing w:val="-7"/>
              </w:rPr>
              <w:t>范围，同时考虑监测范围的</w:t>
            </w:r>
            <w:r>
              <w:rPr>
                <w:rFonts w:ascii="宋体" w:hAnsi="宋体" w:eastAsia="宋体" w:cs="宋体"/>
                <w:spacing w:val="-10"/>
              </w:rPr>
              <w:t>整体性、连续性；</w:t>
            </w:r>
            <w:r>
              <w:rPr>
                <w:rFonts w:ascii="宋体" w:hAnsi="宋体" w:eastAsia="宋体" w:cs="宋体"/>
                <w:spacing w:val="49"/>
              </w:rPr>
              <w:t xml:space="preserve"> </w:t>
            </w:r>
            <w:r>
              <w:rPr>
                <w:rFonts w:ascii="宋体" w:hAnsi="宋体" w:eastAsia="宋体" w:cs="宋体"/>
                <w:spacing w:val="-10"/>
              </w:rPr>
              <w:t>具体监测设置</w:t>
            </w:r>
            <w:r>
              <w:rPr>
                <w:rFonts w:ascii="宋体" w:hAnsi="宋体" w:eastAsia="宋体" w:cs="宋体"/>
                <w:spacing w:val="-49"/>
              </w:rPr>
              <w:t xml:space="preserve"> </w:t>
            </w:r>
            <w:r>
              <w:rPr>
                <w:spacing w:val="-10"/>
              </w:rPr>
              <w:t xml:space="preserve">4 </w:t>
            </w:r>
            <w:r>
              <w:rPr>
                <w:rFonts w:ascii="宋体" w:hAnsi="宋体" w:eastAsia="宋体" w:cs="宋体"/>
                <w:spacing w:val="-10"/>
              </w:rPr>
              <w:t>个监测</w:t>
            </w:r>
            <w:r>
              <w:rPr>
                <w:rFonts w:ascii="宋体" w:hAnsi="宋体" w:eastAsia="宋体" w:cs="宋体"/>
              </w:rPr>
              <w:t xml:space="preserve">点，分别为①坝址水库淹没区周围 </w:t>
            </w:r>
            <w:r>
              <w:t>200m</w:t>
            </w:r>
            <w:r>
              <w:rPr>
                <w:rFonts w:ascii="宋体" w:hAnsi="宋体" w:eastAsia="宋体" w:cs="宋体"/>
                <w:spacing w:val="-2"/>
              </w:rPr>
              <w:t>范围，②马龙河回水末端，③车章河回水</w:t>
            </w:r>
            <w:r>
              <w:rPr>
                <w:rFonts w:ascii="宋体" w:hAnsi="宋体" w:eastAsia="宋体" w:cs="宋体"/>
                <w:spacing w:val="-10"/>
              </w:rPr>
              <w:t>末端、④输水线路区。</w:t>
            </w:r>
            <w:r>
              <w:rPr>
                <w:rFonts w:ascii="宋体" w:hAnsi="宋体" w:eastAsia="宋体" w:cs="宋体"/>
                <w:spacing w:val="43"/>
              </w:rPr>
              <w:t xml:space="preserve"> </w:t>
            </w:r>
            <w:r>
              <w:rPr>
                <w:rFonts w:ascii="宋体" w:hAnsi="宋体" w:eastAsia="宋体" w:cs="宋体"/>
                <w:spacing w:val="-10"/>
              </w:rPr>
              <w:t>陆生生态恢复措施</w:t>
            </w:r>
            <w:r>
              <w:rPr>
                <w:rFonts w:ascii="宋体" w:hAnsi="宋体" w:eastAsia="宋体" w:cs="宋体"/>
                <w:spacing w:val="10"/>
              </w:rPr>
              <w:t>效果本阶段主要对坝址区、枢纽区石料</w:t>
            </w:r>
            <w:r>
              <w:rPr>
                <w:rFonts w:ascii="宋体" w:hAnsi="宋体" w:eastAsia="宋体" w:cs="宋体"/>
                <w:spacing w:val="-2"/>
              </w:rPr>
              <w:t>场、弃渣场、输水线路沿线的施工点进行了调查。</w:t>
            </w:r>
          </w:p>
        </w:tc>
      </w:tr>
      <w:tr w14:paraId="480A3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9" w:hRule="atLeast"/>
        </w:trPr>
        <w:tc>
          <w:tcPr>
            <w:tcW w:w="1271" w:type="dxa"/>
            <w:tcBorders>
              <w:left w:val="single" w:color="000000" w:sz="12" w:space="0"/>
              <w:bottom w:val="single" w:color="000000" w:sz="12" w:space="0"/>
            </w:tcBorders>
            <w:vAlign w:val="top"/>
          </w:tcPr>
          <w:p w14:paraId="643361E7">
            <w:pPr>
              <w:spacing w:line="270" w:lineRule="auto"/>
              <w:rPr>
                <w:rFonts w:ascii="Arial"/>
                <w:sz w:val="21"/>
              </w:rPr>
            </w:pPr>
          </w:p>
          <w:p w14:paraId="45C47711">
            <w:pPr>
              <w:spacing w:line="270" w:lineRule="auto"/>
              <w:rPr>
                <w:rFonts w:ascii="Arial"/>
                <w:sz w:val="21"/>
              </w:rPr>
            </w:pPr>
          </w:p>
          <w:p w14:paraId="76715D2A">
            <w:pPr>
              <w:spacing w:line="271" w:lineRule="auto"/>
              <w:rPr>
                <w:rFonts w:ascii="Arial"/>
                <w:sz w:val="21"/>
              </w:rPr>
            </w:pPr>
          </w:p>
          <w:p w14:paraId="616E6C1A">
            <w:pPr>
              <w:spacing w:line="271" w:lineRule="auto"/>
              <w:rPr>
                <w:rFonts w:ascii="Arial"/>
                <w:sz w:val="21"/>
              </w:rPr>
            </w:pPr>
          </w:p>
          <w:p w14:paraId="75C3B00B">
            <w:pPr>
              <w:spacing w:line="271" w:lineRule="auto"/>
              <w:rPr>
                <w:rFonts w:ascii="Arial"/>
                <w:sz w:val="21"/>
              </w:rPr>
            </w:pPr>
          </w:p>
          <w:p w14:paraId="2E71700B">
            <w:pPr>
              <w:spacing w:line="271" w:lineRule="auto"/>
              <w:rPr>
                <w:rFonts w:ascii="Arial"/>
                <w:sz w:val="21"/>
              </w:rPr>
            </w:pPr>
          </w:p>
          <w:p w14:paraId="31515C62">
            <w:pPr>
              <w:spacing w:before="68" w:line="221" w:lineRule="auto"/>
              <w:ind w:left="204"/>
              <w:rPr>
                <w:rFonts w:ascii="宋体" w:hAnsi="宋体" w:eastAsia="宋体" w:cs="宋体"/>
                <w:sz w:val="21"/>
                <w:szCs w:val="21"/>
              </w:rPr>
            </w:pPr>
            <w:r>
              <w:rPr>
                <w:rFonts w:ascii="宋体" w:hAnsi="宋体" w:eastAsia="宋体" w:cs="宋体"/>
                <w:spacing w:val="-2"/>
                <w:sz w:val="21"/>
                <w:szCs w:val="21"/>
              </w:rPr>
              <w:t>调查方法</w:t>
            </w:r>
          </w:p>
        </w:tc>
        <w:tc>
          <w:tcPr>
            <w:tcW w:w="3390" w:type="dxa"/>
            <w:tcBorders>
              <w:bottom w:val="single" w:color="000000" w:sz="12" w:space="0"/>
            </w:tcBorders>
            <w:vAlign w:val="top"/>
          </w:tcPr>
          <w:p w14:paraId="403BC164">
            <w:pPr>
              <w:spacing w:line="274" w:lineRule="auto"/>
              <w:rPr>
                <w:rFonts w:ascii="Arial"/>
                <w:sz w:val="21"/>
              </w:rPr>
            </w:pPr>
            <w:r>
              <w:pict>
                <v:shape id="_x0000_s1190" o:spid="_x0000_s1190" o:spt="202" type="#_x0000_t202" style="position:absolute;left:0pt;margin-left:-1.75pt;margin-top:3.25pt;height:26.15pt;width:61.45pt;mso-position-horizontal-relative:page;mso-position-vertical-relative:page;z-index:251711488;mso-width-relative:page;mso-height-relative:page;" filled="f" stroked="f" coordsize="21600,21600">
                  <v:path/>
                  <v:fill on="f" focussize="0,0"/>
                  <v:stroke on="f"/>
                  <v:imagedata o:title=""/>
                  <o:lock v:ext="edit" aspectratio="f"/>
                  <v:textbox inset="0mm,0mm,0mm,0mm" style="layout-flow:vertical-ideographic;">
                    <w:txbxContent>
                      <w:p w14:paraId="6C97B991">
                        <w:pPr>
                          <w:spacing w:before="21" w:line="186" w:lineRule="auto"/>
                          <w:ind w:left="20" w:right="20"/>
                          <w:jc w:val="both"/>
                          <w:rPr>
                            <w:rFonts w:ascii="宋体" w:hAnsi="宋体" w:eastAsia="宋体" w:cs="宋体"/>
                            <w:sz w:val="21"/>
                            <w:szCs w:val="21"/>
                          </w:rPr>
                        </w:pPr>
                        <w:r>
                          <w:rPr>
                            <w:rFonts w:ascii="宋体" w:hAnsi="宋体" w:eastAsia="宋体" w:cs="宋体"/>
                            <w:spacing w:val="31"/>
                            <w:sz w:val="21"/>
                            <w:szCs w:val="21"/>
                          </w:rPr>
                          <w:t>集查收调料场资现</w:t>
                        </w:r>
                      </w:p>
                      <w:p w14:paraId="01778622">
                        <w:pPr>
                          <w:spacing w:before="73" w:line="207" w:lineRule="auto"/>
                          <w:ind w:left="20"/>
                          <w:rPr>
                            <w:rFonts w:ascii="宋体" w:hAnsi="宋体" w:eastAsia="宋体" w:cs="宋体"/>
                            <w:sz w:val="21"/>
                            <w:szCs w:val="21"/>
                          </w:rPr>
                        </w:pPr>
                        <w:r>
                          <w:rPr>
                            <w:rFonts w:ascii="宋体" w:hAnsi="宋体" w:eastAsia="宋体" w:cs="宋体"/>
                            <w:sz w:val="21"/>
                            <w:szCs w:val="21"/>
                          </w:rPr>
                          <w:t>①</w:t>
                        </w:r>
                        <w:r>
                          <w:rPr>
                            <w:rFonts w:ascii="宋体" w:hAnsi="宋体" w:eastAsia="宋体" w:cs="宋体"/>
                            <w:spacing w:val="-43"/>
                            <w:sz w:val="21"/>
                            <w:szCs w:val="21"/>
                          </w:rPr>
                          <w:t xml:space="preserve"> </w:t>
                        </w:r>
                        <w:r>
                          <w:rPr>
                            <w:rFonts w:ascii="宋体" w:hAnsi="宋体" w:eastAsia="宋体" w:cs="宋体"/>
                            <w:sz w:val="21"/>
                            <w:szCs w:val="21"/>
                          </w:rPr>
                          <w:t>②</w:t>
                        </w:r>
                      </w:p>
                    </w:txbxContent>
                  </v:textbox>
                </v:shape>
              </w:pict>
            </w:r>
          </w:p>
          <w:p w14:paraId="54855BEA">
            <w:pPr>
              <w:spacing w:line="274" w:lineRule="auto"/>
              <w:rPr>
                <w:rFonts w:ascii="Arial"/>
                <w:sz w:val="21"/>
              </w:rPr>
            </w:pPr>
          </w:p>
          <w:p w14:paraId="5984B910">
            <w:pPr>
              <w:spacing w:before="68" w:line="220" w:lineRule="auto"/>
              <w:ind w:left="21"/>
              <w:rPr>
                <w:rFonts w:ascii="宋体" w:hAnsi="宋体" w:eastAsia="宋体" w:cs="宋体"/>
                <w:sz w:val="21"/>
                <w:szCs w:val="21"/>
              </w:rPr>
            </w:pPr>
            <w:r>
              <w:rPr>
                <w:rFonts w:ascii="宋体" w:hAnsi="宋体" w:eastAsia="宋体" w:cs="宋体"/>
                <w:spacing w:val="-1"/>
                <w:sz w:val="21"/>
                <w:szCs w:val="21"/>
              </w:rPr>
              <w:t>植物及植被：样方样线</w:t>
            </w:r>
          </w:p>
          <w:p w14:paraId="3621981B">
            <w:pPr>
              <w:spacing w:before="24" w:line="239" w:lineRule="auto"/>
              <w:ind w:left="18" w:firstLine="2"/>
              <w:jc w:val="both"/>
              <w:rPr>
                <w:rFonts w:ascii="宋体" w:hAnsi="宋体" w:eastAsia="宋体" w:cs="宋体"/>
                <w:sz w:val="21"/>
                <w:szCs w:val="21"/>
              </w:rPr>
            </w:pPr>
            <w:r>
              <w:rPr>
                <w:rFonts w:ascii="宋体" w:hAnsi="宋体" w:eastAsia="宋体" w:cs="宋体"/>
                <w:spacing w:val="-13"/>
                <w:sz w:val="21"/>
                <w:szCs w:val="21"/>
              </w:rPr>
              <w:t>动物调查：野外实地调查（实地调查、</w:t>
            </w:r>
            <w:r>
              <w:rPr>
                <w:rFonts w:ascii="宋体" w:hAnsi="宋体" w:eastAsia="宋体" w:cs="宋体"/>
                <w:spacing w:val="-11"/>
                <w:sz w:val="21"/>
                <w:szCs w:val="21"/>
              </w:rPr>
              <w:t>访问调查、生境推测） 及文献资料收</w:t>
            </w:r>
            <w:r>
              <w:rPr>
                <w:rFonts w:ascii="宋体" w:hAnsi="宋体" w:eastAsia="宋体" w:cs="宋体"/>
                <w:sz w:val="21"/>
                <w:szCs w:val="21"/>
              </w:rPr>
              <w:t>集</w:t>
            </w:r>
          </w:p>
          <w:p w14:paraId="4024678E">
            <w:pPr>
              <w:spacing w:line="217" w:lineRule="auto"/>
              <w:ind w:left="18"/>
              <w:rPr>
                <w:rFonts w:ascii="宋体" w:hAnsi="宋体" w:eastAsia="宋体" w:cs="宋体"/>
                <w:sz w:val="21"/>
                <w:szCs w:val="21"/>
              </w:rPr>
            </w:pPr>
            <w:r>
              <w:rPr>
                <w:rFonts w:ascii="宋体" w:hAnsi="宋体" w:eastAsia="宋体" w:cs="宋体"/>
                <w:spacing w:val="-1"/>
                <w:sz w:val="21"/>
                <w:szCs w:val="21"/>
              </w:rPr>
              <w:t>③面积计算和制图</w:t>
            </w:r>
          </w:p>
          <w:p w14:paraId="4C815DF9">
            <w:pPr>
              <w:pStyle w:val="6"/>
              <w:spacing w:before="27" w:line="235" w:lineRule="auto"/>
              <w:ind w:left="19" w:right="22"/>
              <w:rPr>
                <w:rFonts w:ascii="宋体" w:hAnsi="宋体" w:eastAsia="宋体" w:cs="宋体"/>
              </w:rPr>
            </w:pPr>
            <w:r>
              <w:rPr>
                <w:rFonts w:ascii="宋体" w:hAnsi="宋体" w:eastAsia="宋体" w:cs="宋体"/>
                <w:spacing w:val="-2"/>
              </w:rPr>
              <w:t xml:space="preserve">基础数据主要有马龙县和麒麟区 </w:t>
            </w:r>
            <w:r>
              <w:rPr>
                <w:spacing w:val="-2"/>
              </w:rPr>
              <w:t>200</w:t>
            </w:r>
            <w:r>
              <w:rPr>
                <w:spacing w:val="12"/>
              </w:rPr>
              <w:t xml:space="preserve"> </w:t>
            </w:r>
            <w:r>
              <w:rPr>
                <w:spacing w:val="-2"/>
              </w:rPr>
              <w:t>8</w:t>
            </w:r>
            <w:r>
              <w:rPr>
                <w:spacing w:val="60"/>
              </w:rPr>
              <w:t xml:space="preserve"> </w:t>
            </w:r>
            <w:r>
              <w:rPr>
                <w:rFonts w:ascii="宋体" w:hAnsi="宋体" w:eastAsia="宋体" w:cs="宋体"/>
                <w:spacing w:val="-2"/>
              </w:rPr>
              <w:t xml:space="preserve">年的森林资源二类调查数据，及业主提供的高分辨率遥感影像，结合 </w:t>
            </w:r>
            <w:r>
              <w:rPr>
                <w:spacing w:val="-2"/>
              </w:rPr>
              <w:t>2</w:t>
            </w:r>
            <w:r>
              <w:rPr>
                <w:spacing w:val="11"/>
              </w:rPr>
              <w:t xml:space="preserve"> </w:t>
            </w:r>
            <w:r>
              <w:rPr>
                <w:spacing w:val="-2"/>
              </w:rPr>
              <w:t>015</w:t>
            </w:r>
            <w:r>
              <w:rPr>
                <w:spacing w:val="62"/>
              </w:rPr>
              <w:t xml:space="preserve"> </w:t>
            </w:r>
            <w:r>
              <w:rPr>
                <w:rFonts w:ascii="宋体" w:hAnsi="宋体" w:eastAsia="宋体" w:cs="宋体"/>
                <w:spacing w:val="-2"/>
              </w:rPr>
              <w:t>年的影像判读和实际调查记录的</w:t>
            </w:r>
            <w:r>
              <w:rPr>
                <w:spacing w:val="-3"/>
              </w:rPr>
              <w:t xml:space="preserve">GPS </w:t>
            </w:r>
            <w:r>
              <w:rPr>
                <w:rFonts w:ascii="宋体" w:hAnsi="宋体" w:eastAsia="宋体" w:cs="宋体"/>
                <w:spacing w:val="-3"/>
              </w:rPr>
              <w:t>数据，对小班范围及属性进行更</w:t>
            </w:r>
            <w:r>
              <w:rPr>
                <w:rFonts w:ascii="宋体" w:hAnsi="宋体" w:eastAsia="宋体" w:cs="宋体"/>
                <w:spacing w:val="-10"/>
              </w:rPr>
              <w:t>正。</w:t>
            </w:r>
          </w:p>
        </w:tc>
        <w:tc>
          <w:tcPr>
            <w:tcW w:w="3812" w:type="dxa"/>
            <w:tcBorders>
              <w:bottom w:val="single" w:color="000000" w:sz="12" w:space="0"/>
              <w:right w:val="single" w:color="000000" w:sz="12" w:space="0"/>
            </w:tcBorders>
            <w:vAlign w:val="top"/>
          </w:tcPr>
          <w:p w14:paraId="58404635">
            <w:pPr>
              <w:spacing w:line="271" w:lineRule="auto"/>
              <w:rPr>
                <w:rFonts w:ascii="Arial"/>
                <w:sz w:val="21"/>
              </w:rPr>
            </w:pPr>
          </w:p>
          <w:p w14:paraId="0D47D53A">
            <w:pPr>
              <w:spacing w:line="271" w:lineRule="auto"/>
              <w:rPr>
                <w:rFonts w:ascii="Arial"/>
                <w:sz w:val="21"/>
              </w:rPr>
            </w:pPr>
          </w:p>
          <w:p w14:paraId="286ABE58">
            <w:pPr>
              <w:spacing w:line="271" w:lineRule="auto"/>
              <w:rPr>
                <w:rFonts w:ascii="Arial"/>
                <w:sz w:val="21"/>
              </w:rPr>
            </w:pPr>
          </w:p>
          <w:p w14:paraId="73D80D45">
            <w:pPr>
              <w:spacing w:before="68" w:line="239" w:lineRule="auto"/>
              <w:ind w:left="38" w:right="12" w:hanging="6"/>
              <w:rPr>
                <w:rFonts w:ascii="宋体" w:hAnsi="宋体" w:eastAsia="宋体" w:cs="宋体"/>
                <w:sz w:val="21"/>
                <w:szCs w:val="21"/>
              </w:rPr>
            </w:pPr>
            <w:r>
              <w:rPr>
                <w:rFonts w:ascii="宋体" w:hAnsi="宋体" w:eastAsia="宋体" w:cs="宋体"/>
                <w:spacing w:val="-2"/>
                <w:sz w:val="21"/>
                <w:szCs w:val="21"/>
              </w:rPr>
              <w:t>植被：样方样线监测法、访问监测及资料</w:t>
            </w:r>
            <w:r>
              <w:rPr>
                <w:rFonts w:ascii="宋体" w:hAnsi="宋体" w:eastAsia="宋体" w:cs="宋体"/>
                <w:spacing w:val="-4"/>
                <w:sz w:val="21"/>
                <w:szCs w:val="21"/>
              </w:rPr>
              <w:t>收集</w:t>
            </w:r>
          </w:p>
          <w:p w14:paraId="288367FE">
            <w:pPr>
              <w:spacing w:before="1" w:line="239" w:lineRule="auto"/>
              <w:ind w:left="32" w:right="13"/>
              <w:rPr>
                <w:rFonts w:ascii="宋体" w:hAnsi="宋体" w:eastAsia="宋体" w:cs="宋体"/>
                <w:sz w:val="21"/>
                <w:szCs w:val="21"/>
              </w:rPr>
            </w:pPr>
            <w:r>
              <w:rPr>
                <w:rFonts w:ascii="宋体" w:hAnsi="宋体" w:eastAsia="宋体" w:cs="宋体"/>
                <w:spacing w:val="-2"/>
                <w:sz w:val="21"/>
                <w:szCs w:val="21"/>
              </w:rPr>
              <w:t>动物：野外实地调查、访问调查、查阅文</w:t>
            </w:r>
            <w:r>
              <w:rPr>
                <w:rFonts w:ascii="宋体" w:hAnsi="宋体" w:eastAsia="宋体" w:cs="宋体"/>
                <w:spacing w:val="-7"/>
                <w:sz w:val="21"/>
                <w:szCs w:val="21"/>
              </w:rPr>
              <w:t>献资料等。</w:t>
            </w:r>
          </w:p>
          <w:p w14:paraId="2BFA0CFE">
            <w:pPr>
              <w:spacing w:line="241" w:lineRule="auto"/>
              <w:ind w:left="31" w:right="12" w:firstLine="1"/>
              <w:rPr>
                <w:rFonts w:ascii="宋体" w:hAnsi="宋体" w:eastAsia="宋体" w:cs="宋体"/>
                <w:sz w:val="21"/>
                <w:szCs w:val="21"/>
              </w:rPr>
            </w:pPr>
            <w:r>
              <w:rPr>
                <w:rFonts w:ascii="宋体" w:hAnsi="宋体" w:eastAsia="宋体" w:cs="宋体"/>
                <w:spacing w:val="-2"/>
                <w:sz w:val="21"/>
                <w:szCs w:val="21"/>
              </w:rPr>
              <w:t>按要求布设自动相机，根据自动相机获取的影像进行分析，获取野生动物种类、数</w:t>
            </w:r>
            <w:r>
              <w:rPr>
                <w:rFonts w:ascii="宋体" w:hAnsi="宋体" w:eastAsia="宋体" w:cs="宋体"/>
                <w:spacing w:val="-1"/>
                <w:sz w:val="21"/>
                <w:szCs w:val="21"/>
              </w:rPr>
              <w:t>量、生态习性和生境信息等的调查方法</w:t>
            </w:r>
          </w:p>
        </w:tc>
      </w:tr>
    </w:tbl>
    <w:p w14:paraId="2DFEF6A6">
      <w:pPr>
        <w:rPr>
          <w:rFonts w:ascii="Arial"/>
          <w:sz w:val="21"/>
        </w:rPr>
      </w:pPr>
    </w:p>
    <w:p w14:paraId="1DD395FB">
      <w:pPr>
        <w:rPr>
          <w:rFonts w:ascii="Arial" w:hAnsi="Arial" w:eastAsia="Arial" w:cs="Arial"/>
          <w:sz w:val="21"/>
          <w:szCs w:val="21"/>
        </w:rPr>
        <w:sectPr>
          <w:headerReference r:id="rId152" w:type="default"/>
          <w:footerReference r:id="rId153" w:type="default"/>
          <w:pgSz w:w="11907" w:h="16839"/>
          <w:pgMar w:top="1376" w:right="1614" w:bottom="1061" w:left="1671" w:header="999" w:footer="861" w:gutter="0"/>
          <w:cols w:space="720" w:num="1"/>
        </w:sectPr>
      </w:pPr>
    </w:p>
    <w:p w14:paraId="19F1731A">
      <w:pPr>
        <w:spacing w:line="456" w:lineRule="auto"/>
        <w:rPr>
          <w:rFonts w:ascii="Arial"/>
          <w:sz w:val="21"/>
        </w:rPr>
      </w:pPr>
    </w:p>
    <w:p w14:paraId="27B4CDF8">
      <w:pPr>
        <w:pStyle w:val="2"/>
        <w:spacing w:before="78" w:line="217" w:lineRule="auto"/>
        <w:ind w:left="35"/>
        <w:rPr>
          <w:sz w:val="24"/>
          <w:szCs w:val="24"/>
        </w:rPr>
      </w:pPr>
      <w:r>
        <w:rPr>
          <w:rFonts w:ascii="Arial" w:hAnsi="Arial" w:eastAsia="Arial" w:cs="Arial"/>
          <w:spacing w:val="-9"/>
          <w:position w:val="1"/>
          <w:sz w:val="24"/>
          <w:szCs w:val="24"/>
        </w:rPr>
        <w:t>6.1.1.2</w:t>
      </w:r>
      <w:r>
        <w:rPr>
          <w:rFonts w:ascii="Arial" w:hAnsi="Arial" w:eastAsia="Arial" w:cs="Arial"/>
          <w:spacing w:val="42"/>
          <w:position w:val="1"/>
          <w:sz w:val="24"/>
          <w:szCs w:val="24"/>
        </w:rPr>
        <w:t xml:space="preserve"> </w:t>
      </w:r>
      <w:r>
        <w:rPr>
          <w:b/>
          <w:bCs/>
          <w:spacing w:val="-9"/>
          <w:position w:val="-1"/>
          <w:sz w:val="24"/>
          <w:szCs w:val="24"/>
        </w:rPr>
        <w:t>陆生植被植物影响</w:t>
      </w:r>
    </w:p>
    <w:p w14:paraId="7EFDFC64">
      <w:pPr>
        <w:pStyle w:val="2"/>
        <w:spacing w:before="274"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）陆生植被类型</w:t>
      </w:r>
    </w:p>
    <w:p w14:paraId="2F9601D1">
      <w:pPr>
        <w:pStyle w:val="2"/>
        <w:spacing w:before="138" w:line="338" w:lineRule="auto"/>
        <w:ind w:left="39" w:right="30" w:firstLine="480"/>
        <w:jc w:val="both"/>
        <w:rPr>
          <w:sz w:val="24"/>
          <w:szCs w:val="24"/>
        </w:rPr>
      </w:pPr>
      <w:r>
        <w:rPr>
          <w:spacing w:val="-1"/>
          <w:sz w:val="24"/>
          <w:szCs w:val="24"/>
        </w:rPr>
        <w:t>根据</w:t>
      </w:r>
      <w:r>
        <w:rPr>
          <w:spacing w:val="-50"/>
          <w:sz w:val="24"/>
          <w:szCs w:val="24"/>
        </w:rPr>
        <w:t xml:space="preserve"> </w:t>
      </w:r>
      <w:r>
        <w:rPr>
          <w:rFonts w:ascii="Times New Roman" w:hAnsi="Times New Roman" w:eastAsia="Times New Roman" w:cs="Times New Roman"/>
          <w:spacing w:val="-1"/>
          <w:sz w:val="24"/>
          <w:szCs w:val="24"/>
        </w:rPr>
        <w:t xml:space="preserve">2016 </w:t>
      </w:r>
      <w:r>
        <w:rPr>
          <w:spacing w:val="-1"/>
          <w:sz w:val="24"/>
          <w:szCs w:val="24"/>
        </w:rPr>
        <w:t>年西南林业大学编制的《云南省曲靖市车马碧水库工程对陆生生态</w:t>
      </w:r>
      <w:r>
        <w:rPr>
          <w:spacing w:val="-4"/>
          <w:sz w:val="24"/>
          <w:szCs w:val="24"/>
        </w:rPr>
        <w:t>环境影响的专题报告》，调查区植被类型包括自然植被和人工植被两大类，</w:t>
      </w:r>
      <w:r>
        <w:rPr>
          <w:spacing w:val="-5"/>
          <w:sz w:val="24"/>
          <w:szCs w:val="24"/>
        </w:rPr>
        <w:t>其中自</w:t>
      </w:r>
      <w:r>
        <w:rPr>
          <w:spacing w:val="1"/>
          <w:sz w:val="24"/>
          <w:szCs w:val="24"/>
        </w:rPr>
        <w:t>然植被被划分为</w:t>
      </w:r>
      <w:r>
        <w:rPr>
          <w:spacing w:val="-57"/>
          <w:sz w:val="24"/>
          <w:szCs w:val="24"/>
        </w:rPr>
        <w:t xml:space="preserve"> </w:t>
      </w:r>
      <w:r>
        <w:rPr>
          <w:rFonts w:ascii="Times New Roman" w:hAnsi="Times New Roman" w:eastAsia="Times New Roman" w:cs="Times New Roman"/>
          <w:spacing w:val="1"/>
          <w:sz w:val="24"/>
          <w:szCs w:val="24"/>
        </w:rPr>
        <w:t xml:space="preserve">4 </w:t>
      </w:r>
      <w:r>
        <w:rPr>
          <w:spacing w:val="1"/>
          <w:sz w:val="24"/>
          <w:szCs w:val="24"/>
        </w:rPr>
        <w:t>个植被型、</w:t>
      </w:r>
      <w:r>
        <w:rPr>
          <w:rFonts w:ascii="Times New Roman" w:hAnsi="Times New Roman" w:eastAsia="Times New Roman" w:cs="Times New Roman"/>
          <w:spacing w:val="1"/>
          <w:sz w:val="24"/>
          <w:szCs w:val="24"/>
        </w:rPr>
        <w:t xml:space="preserve">4 </w:t>
      </w:r>
      <w:r>
        <w:rPr>
          <w:spacing w:val="1"/>
          <w:sz w:val="24"/>
          <w:szCs w:val="24"/>
        </w:rPr>
        <w:t>个植被亚型和</w:t>
      </w:r>
      <w:r>
        <w:rPr>
          <w:rFonts w:ascii="Times New Roman" w:hAnsi="Times New Roman" w:eastAsia="Times New Roman" w:cs="Times New Roman"/>
          <w:spacing w:val="1"/>
          <w:sz w:val="24"/>
          <w:szCs w:val="24"/>
        </w:rPr>
        <w:t xml:space="preserve">9 </w:t>
      </w:r>
      <w:r>
        <w:rPr>
          <w:spacing w:val="1"/>
          <w:sz w:val="24"/>
          <w:szCs w:val="24"/>
        </w:rPr>
        <w:t>个群系，详见表</w:t>
      </w:r>
      <w:r>
        <w:rPr>
          <w:spacing w:val="-50"/>
          <w:sz w:val="24"/>
          <w:szCs w:val="24"/>
        </w:rPr>
        <w:t xml:space="preserve"> </w:t>
      </w:r>
      <w:r>
        <w:rPr>
          <w:rFonts w:ascii="Times New Roman" w:hAnsi="Times New Roman" w:eastAsia="Times New Roman" w:cs="Times New Roman"/>
          <w:spacing w:val="1"/>
          <w:sz w:val="24"/>
          <w:szCs w:val="24"/>
        </w:rPr>
        <w:t>6.1-2</w:t>
      </w:r>
      <w:r>
        <w:rPr>
          <w:spacing w:val="1"/>
          <w:sz w:val="24"/>
          <w:szCs w:val="24"/>
        </w:rPr>
        <w:t>。</w:t>
      </w:r>
    </w:p>
    <w:p w14:paraId="3ADE9DED">
      <w:pPr>
        <w:pStyle w:val="2"/>
        <w:spacing w:before="1" w:line="225" w:lineRule="auto"/>
        <w:ind w:left="279"/>
        <w:rPr>
          <w:sz w:val="24"/>
          <w:szCs w:val="24"/>
        </w:rPr>
      </w:pPr>
      <w:r>
        <w:rPr>
          <w:b/>
          <w:bCs/>
          <w:spacing w:val="-1"/>
          <w:sz w:val="24"/>
          <w:szCs w:val="24"/>
        </w:rPr>
        <w:t>表</w:t>
      </w:r>
      <w:r>
        <w:rPr>
          <w:spacing w:val="-41"/>
          <w:sz w:val="24"/>
          <w:szCs w:val="24"/>
        </w:rPr>
        <w:t xml:space="preserve"> </w:t>
      </w:r>
      <w:r>
        <w:rPr>
          <w:rFonts w:ascii="Times New Roman" w:hAnsi="Times New Roman" w:eastAsia="Times New Roman" w:cs="Times New Roman"/>
          <w:b/>
          <w:bCs/>
          <w:spacing w:val="-1"/>
          <w:sz w:val="24"/>
          <w:szCs w:val="24"/>
        </w:rPr>
        <w:t xml:space="preserve">6.1-2                        </w:t>
      </w:r>
      <w:r>
        <w:rPr>
          <w:b/>
          <w:bCs/>
          <w:spacing w:val="-1"/>
          <w:sz w:val="24"/>
          <w:szCs w:val="24"/>
        </w:rPr>
        <w:t>环评期调查区植被类型概况（</w:t>
      </w:r>
      <w:r>
        <w:rPr>
          <w:rFonts w:ascii="Times New Roman" w:hAnsi="Times New Roman" w:eastAsia="Times New Roman" w:cs="Times New Roman"/>
          <w:b/>
          <w:bCs/>
          <w:spacing w:val="-1"/>
          <w:sz w:val="24"/>
          <w:szCs w:val="24"/>
        </w:rPr>
        <w:t xml:space="preserve">2015 </w:t>
      </w:r>
      <w:r>
        <w:rPr>
          <w:b/>
          <w:bCs/>
          <w:spacing w:val="-1"/>
          <w:sz w:val="24"/>
          <w:szCs w:val="24"/>
        </w:rPr>
        <w:t>年）</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6"/>
        <w:gridCol w:w="2272"/>
        <w:gridCol w:w="2272"/>
        <w:gridCol w:w="2963"/>
      </w:tblGrid>
      <w:tr w14:paraId="333C0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966" w:type="dxa"/>
            <w:tcBorders>
              <w:top w:val="single" w:color="000000" w:sz="12" w:space="0"/>
              <w:left w:val="single" w:color="000000" w:sz="12" w:space="0"/>
            </w:tcBorders>
            <w:vAlign w:val="top"/>
          </w:tcPr>
          <w:p w14:paraId="25780C2B">
            <w:pPr>
              <w:spacing w:before="87" w:line="221" w:lineRule="auto"/>
              <w:ind w:left="261"/>
              <w:rPr>
                <w:rFonts w:ascii="宋体" w:hAnsi="宋体" w:eastAsia="宋体" w:cs="宋体"/>
                <w:sz w:val="21"/>
                <w:szCs w:val="21"/>
              </w:rPr>
            </w:pPr>
            <w:r>
              <w:rPr>
                <w:rFonts w:ascii="宋体" w:hAnsi="宋体" w:eastAsia="宋体" w:cs="宋体"/>
                <w:spacing w:val="-3"/>
                <w:sz w:val="21"/>
                <w:szCs w:val="21"/>
              </w:rPr>
              <w:t>属性</w:t>
            </w:r>
          </w:p>
        </w:tc>
        <w:tc>
          <w:tcPr>
            <w:tcW w:w="2272" w:type="dxa"/>
            <w:tcBorders>
              <w:top w:val="single" w:color="000000" w:sz="12" w:space="0"/>
            </w:tcBorders>
            <w:vAlign w:val="top"/>
          </w:tcPr>
          <w:p w14:paraId="316CC3C9">
            <w:pPr>
              <w:spacing w:before="86" w:line="220" w:lineRule="auto"/>
              <w:ind w:left="817"/>
              <w:rPr>
                <w:rFonts w:ascii="宋体" w:hAnsi="宋体" w:eastAsia="宋体" w:cs="宋体"/>
                <w:sz w:val="21"/>
                <w:szCs w:val="21"/>
              </w:rPr>
            </w:pPr>
            <w:r>
              <w:rPr>
                <w:rFonts w:ascii="宋体" w:hAnsi="宋体" w:eastAsia="宋体" w:cs="宋体"/>
                <w:spacing w:val="-3"/>
                <w:sz w:val="21"/>
                <w:szCs w:val="21"/>
              </w:rPr>
              <w:t>植被型</w:t>
            </w:r>
          </w:p>
        </w:tc>
        <w:tc>
          <w:tcPr>
            <w:tcW w:w="2272" w:type="dxa"/>
            <w:tcBorders>
              <w:top w:val="single" w:color="000000" w:sz="12" w:space="0"/>
            </w:tcBorders>
            <w:vAlign w:val="top"/>
          </w:tcPr>
          <w:p w14:paraId="14625289">
            <w:pPr>
              <w:spacing w:before="86" w:line="220" w:lineRule="auto"/>
              <w:ind w:left="721"/>
              <w:rPr>
                <w:rFonts w:ascii="宋体" w:hAnsi="宋体" w:eastAsia="宋体" w:cs="宋体"/>
                <w:sz w:val="21"/>
                <w:szCs w:val="21"/>
              </w:rPr>
            </w:pPr>
            <w:r>
              <w:rPr>
                <w:rFonts w:ascii="宋体" w:hAnsi="宋体" w:eastAsia="宋体" w:cs="宋体"/>
                <w:spacing w:val="-2"/>
                <w:sz w:val="21"/>
                <w:szCs w:val="21"/>
              </w:rPr>
              <w:t>植被亚型</w:t>
            </w:r>
          </w:p>
        </w:tc>
        <w:tc>
          <w:tcPr>
            <w:tcW w:w="2963" w:type="dxa"/>
            <w:tcBorders>
              <w:top w:val="single" w:color="000000" w:sz="12" w:space="0"/>
              <w:right w:val="single" w:color="000000" w:sz="12" w:space="0"/>
            </w:tcBorders>
            <w:vAlign w:val="top"/>
          </w:tcPr>
          <w:p w14:paraId="434C0B79">
            <w:pPr>
              <w:spacing w:before="86" w:line="220" w:lineRule="auto"/>
              <w:ind w:left="1276"/>
              <w:rPr>
                <w:rFonts w:ascii="宋体" w:hAnsi="宋体" w:eastAsia="宋体" w:cs="宋体"/>
                <w:sz w:val="21"/>
                <w:szCs w:val="21"/>
              </w:rPr>
            </w:pPr>
            <w:r>
              <w:rPr>
                <w:rFonts w:ascii="宋体" w:hAnsi="宋体" w:eastAsia="宋体" w:cs="宋体"/>
                <w:spacing w:val="-3"/>
                <w:sz w:val="21"/>
                <w:szCs w:val="21"/>
              </w:rPr>
              <w:t>群系</w:t>
            </w:r>
          </w:p>
        </w:tc>
      </w:tr>
      <w:tr w14:paraId="68E31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restart"/>
            <w:tcBorders>
              <w:left w:val="single" w:color="000000" w:sz="12" w:space="0"/>
              <w:bottom w:val="nil"/>
            </w:tcBorders>
            <w:vAlign w:val="top"/>
          </w:tcPr>
          <w:p w14:paraId="1AD19F8C">
            <w:pPr>
              <w:spacing w:line="268" w:lineRule="auto"/>
              <w:rPr>
                <w:rFonts w:ascii="Arial"/>
                <w:sz w:val="21"/>
              </w:rPr>
            </w:pPr>
          </w:p>
          <w:p w14:paraId="7A06D493">
            <w:pPr>
              <w:spacing w:line="268" w:lineRule="auto"/>
              <w:rPr>
                <w:rFonts w:ascii="Arial"/>
                <w:sz w:val="21"/>
              </w:rPr>
            </w:pPr>
          </w:p>
          <w:p w14:paraId="4EC6FED8">
            <w:pPr>
              <w:spacing w:line="269" w:lineRule="auto"/>
              <w:rPr>
                <w:rFonts w:ascii="Arial"/>
                <w:sz w:val="21"/>
              </w:rPr>
            </w:pPr>
          </w:p>
          <w:p w14:paraId="747A712D">
            <w:pPr>
              <w:spacing w:line="269" w:lineRule="auto"/>
              <w:rPr>
                <w:rFonts w:ascii="Arial"/>
                <w:sz w:val="21"/>
              </w:rPr>
            </w:pPr>
          </w:p>
          <w:p w14:paraId="3C02CCCB">
            <w:pPr>
              <w:spacing w:line="269" w:lineRule="auto"/>
              <w:rPr>
                <w:rFonts w:ascii="Arial"/>
                <w:sz w:val="21"/>
              </w:rPr>
            </w:pPr>
          </w:p>
          <w:p w14:paraId="6DCEFCAE">
            <w:pPr>
              <w:spacing w:line="269" w:lineRule="auto"/>
              <w:rPr>
                <w:rFonts w:ascii="Arial"/>
                <w:sz w:val="21"/>
              </w:rPr>
            </w:pPr>
          </w:p>
          <w:p w14:paraId="647675F7">
            <w:pPr>
              <w:spacing w:before="69" w:line="220" w:lineRule="auto"/>
              <w:ind w:left="84"/>
              <w:rPr>
                <w:rFonts w:ascii="宋体" w:hAnsi="宋体" w:eastAsia="宋体" w:cs="宋体"/>
                <w:sz w:val="21"/>
                <w:szCs w:val="21"/>
              </w:rPr>
            </w:pPr>
            <w:r>
              <w:rPr>
                <w:rFonts w:ascii="宋体" w:hAnsi="宋体" w:eastAsia="宋体" w:cs="宋体"/>
                <w:spacing w:val="-8"/>
                <w:sz w:val="21"/>
                <w:szCs w:val="21"/>
              </w:rPr>
              <w:t>自然植被</w:t>
            </w:r>
          </w:p>
        </w:tc>
        <w:tc>
          <w:tcPr>
            <w:tcW w:w="2272" w:type="dxa"/>
            <w:vAlign w:val="top"/>
          </w:tcPr>
          <w:p w14:paraId="19453D7A">
            <w:pPr>
              <w:spacing w:before="86" w:line="220" w:lineRule="auto"/>
              <w:ind w:left="611"/>
              <w:rPr>
                <w:rFonts w:ascii="宋体" w:hAnsi="宋体" w:eastAsia="宋体" w:cs="宋体"/>
                <w:sz w:val="21"/>
                <w:szCs w:val="21"/>
              </w:rPr>
            </w:pPr>
            <w:r>
              <w:rPr>
                <w:rFonts w:ascii="宋体" w:hAnsi="宋体" w:eastAsia="宋体" w:cs="宋体"/>
                <w:spacing w:val="-3"/>
                <w:sz w:val="21"/>
                <w:szCs w:val="21"/>
              </w:rPr>
              <w:t>常绿阔叶林</w:t>
            </w:r>
          </w:p>
        </w:tc>
        <w:tc>
          <w:tcPr>
            <w:tcW w:w="2272" w:type="dxa"/>
            <w:vAlign w:val="top"/>
          </w:tcPr>
          <w:p w14:paraId="1D353188">
            <w:pPr>
              <w:spacing w:before="86" w:line="220" w:lineRule="auto"/>
              <w:ind w:left="303"/>
              <w:rPr>
                <w:rFonts w:ascii="宋体" w:hAnsi="宋体" w:eastAsia="宋体" w:cs="宋体"/>
                <w:sz w:val="21"/>
                <w:szCs w:val="21"/>
              </w:rPr>
            </w:pPr>
            <w:r>
              <w:rPr>
                <w:rFonts w:ascii="宋体" w:hAnsi="宋体" w:eastAsia="宋体" w:cs="宋体"/>
                <w:spacing w:val="-2"/>
                <w:sz w:val="21"/>
                <w:szCs w:val="21"/>
              </w:rPr>
              <w:t>半湿润常绿阔叶林</w:t>
            </w:r>
          </w:p>
        </w:tc>
        <w:tc>
          <w:tcPr>
            <w:tcW w:w="2963" w:type="dxa"/>
            <w:tcBorders>
              <w:right w:val="single" w:color="000000" w:sz="12" w:space="0"/>
            </w:tcBorders>
            <w:vAlign w:val="top"/>
          </w:tcPr>
          <w:p w14:paraId="4FA3C447">
            <w:pPr>
              <w:spacing w:before="86" w:line="219" w:lineRule="auto"/>
              <w:ind w:left="961"/>
              <w:rPr>
                <w:rFonts w:ascii="宋体" w:hAnsi="宋体" w:eastAsia="宋体" w:cs="宋体"/>
                <w:sz w:val="21"/>
                <w:szCs w:val="21"/>
              </w:rPr>
            </w:pPr>
            <w:r>
              <w:rPr>
                <w:rFonts w:ascii="宋体" w:hAnsi="宋体" w:eastAsia="宋体" w:cs="宋体"/>
                <w:spacing w:val="-2"/>
                <w:sz w:val="21"/>
                <w:szCs w:val="21"/>
              </w:rPr>
              <w:t>黄毛青冈林</w:t>
            </w:r>
          </w:p>
        </w:tc>
      </w:tr>
      <w:tr w14:paraId="18CFA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76448372">
            <w:pPr>
              <w:rPr>
                <w:rFonts w:ascii="Arial"/>
                <w:sz w:val="21"/>
              </w:rPr>
            </w:pPr>
          </w:p>
        </w:tc>
        <w:tc>
          <w:tcPr>
            <w:tcW w:w="2272" w:type="dxa"/>
            <w:vAlign w:val="top"/>
          </w:tcPr>
          <w:p w14:paraId="1D8DA7EC">
            <w:pPr>
              <w:spacing w:before="88" w:line="220" w:lineRule="auto"/>
              <w:ind w:left="607"/>
              <w:rPr>
                <w:rFonts w:ascii="宋体" w:hAnsi="宋体" w:eastAsia="宋体" w:cs="宋体"/>
                <w:sz w:val="21"/>
                <w:szCs w:val="21"/>
              </w:rPr>
            </w:pPr>
            <w:r>
              <w:rPr>
                <w:rFonts w:ascii="宋体" w:hAnsi="宋体" w:eastAsia="宋体" w:cs="宋体"/>
                <w:spacing w:val="-2"/>
                <w:sz w:val="21"/>
                <w:szCs w:val="21"/>
              </w:rPr>
              <w:t>落叶阔叶林</w:t>
            </w:r>
          </w:p>
        </w:tc>
        <w:tc>
          <w:tcPr>
            <w:tcW w:w="2272" w:type="dxa"/>
            <w:vAlign w:val="top"/>
          </w:tcPr>
          <w:p w14:paraId="183AEEC0">
            <w:pPr>
              <w:spacing w:before="88" w:line="220" w:lineRule="auto"/>
              <w:ind w:left="308"/>
              <w:rPr>
                <w:rFonts w:ascii="宋体" w:hAnsi="宋体" w:eastAsia="宋体" w:cs="宋体"/>
                <w:sz w:val="21"/>
                <w:szCs w:val="21"/>
              </w:rPr>
            </w:pPr>
            <w:r>
              <w:rPr>
                <w:rFonts w:ascii="宋体" w:hAnsi="宋体" w:eastAsia="宋体" w:cs="宋体"/>
                <w:spacing w:val="-2"/>
                <w:sz w:val="21"/>
                <w:szCs w:val="21"/>
              </w:rPr>
              <w:t>暖温性落叶阔叶林</w:t>
            </w:r>
          </w:p>
        </w:tc>
        <w:tc>
          <w:tcPr>
            <w:tcW w:w="2963" w:type="dxa"/>
            <w:tcBorders>
              <w:right w:val="single" w:color="000000" w:sz="12" w:space="0"/>
            </w:tcBorders>
            <w:vAlign w:val="top"/>
          </w:tcPr>
          <w:p w14:paraId="38EBE60C">
            <w:pPr>
              <w:pStyle w:val="6"/>
              <w:spacing w:before="89" w:line="233" w:lineRule="auto"/>
              <w:ind w:left="693"/>
              <w:rPr>
                <w:rFonts w:ascii="宋体" w:hAnsi="宋体" w:eastAsia="宋体" w:cs="宋体"/>
              </w:rPr>
            </w:pPr>
            <w:r>
              <w:rPr>
                <w:rFonts w:ascii="宋体" w:hAnsi="宋体" w:eastAsia="宋体" w:cs="宋体"/>
                <w:spacing w:val="-2"/>
              </w:rPr>
              <w:t>栓皮栎</w:t>
            </w:r>
            <w:r>
              <w:rPr>
                <w:spacing w:val="-2"/>
              </w:rPr>
              <w:t>+</w:t>
            </w:r>
            <w:r>
              <w:rPr>
                <w:rFonts w:ascii="宋体" w:hAnsi="宋体" w:eastAsia="宋体" w:cs="宋体"/>
                <w:spacing w:val="-2"/>
              </w:rPr>
              <w:t>云南松林</w:t>
            </w:r>
          </w:p>
        </w:tc>
      </w:tr>
      <w:tr w14:paraId="02731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12FE5BC3">
            <w:pPr>
              <w:rPr>
                <w:rFonts w:ascii="Arial"/>
                <w:sz w:val="21"/>
              </w:rPr>
            </w:pPr>
          </w:p>
        </w:tc>
        <w:tc>
          <w:tcPr>
            <w:tcW w:w="2272" w:type="dxa"/>
            <w:vMerge w:val="restart"/>
            <w:tcBorders>
              <w:bottom w:val="nil"/>
            </w:tcBorders>
            <w:vAlign w:val="top"/>
          </w:tcPr>
          <w:p w14:paraId="41B20CD7">
            <w:pPr>
              <w:spacing w:line="419" w:lineRule="auto"/>
              <w:rPr>
                <w:rFonts w:ascii="Arial"/>
                <w:sz w:val="21"/>
              </w:rPr>
            </w:pPr>
          </w:p>
          <w:p w14:paraId="6EF92E1F">
            <w:pPr>
              <w:spacing w:before="68" w:line="220" w:lineRule="auto"/>
              <w:ind w:left="614"/>
              <w:rPr>
                <w:rFonts w:ascii="宋体" w:hAnsi="宋体" w:eastAsia="宋体" w:cs="宋体"/>
                <w:sz w:val="21"/>
                <w:szCs w:val="21"/>
              </w:rPr>
            </w:pPr>
            <w:r>
              <w:rPr>
                <w:rFonts w:ascii="宋体" w:hAnsi="宋体" w:eastAsia="宋体" w:cs="宋体"/>
                <w:spacing w:val="-3"/>
                <w:sz w:val="21"/>
                <w:szCs w:val="21"/>
              </w:rPr>
              <w:t>暖性针叶林</w:t>
            </w:r>
          </w:p>
        </w:tc>
        <w:tc>
          <w:tcPr>
            <w:tcW w:w="2272" w:type="dxa"/>
            <w:vMerge w:val="restart"/>
            <w:tcBorders>
              <w:bottom w:val="nil"/>
            </w:tcBorders>
            <w:vAlign w:val="top"/>
          </w:tcPr>
          <w:p w14:paraId="43051D6A">
            <w:pPr>
              <w:spacing w:line="419" w:lineRule="auto"/>
              <w:rPr>
                <w:rFonts w:ascii="Arial"/>
                <w:sz w:val="21"/>
              </w:rPr>
            </w:pPr>
          </w:p>
          <w:p w14:paraId="7E584EA5">
            <w:pPr>
              <w:spacing w:before="68" w:line="220" w:lineRule="auto"/>
              <w:ind w:left="518"/>
              <w:rPr>
                <w:rFonts w:ascii="宋体" w:hAnsi="宋体" w:eastAsia="宋体" w:cs="宋体"/>
                <w:sz w:val="21"/>
                <w:szCs w:val="21"/>
              </w:rPr>
            </w:pPr>
            <w:r>
              <w:rPr>
                <w:rFonts w:ascii="宋体" w:hAnsi="宋体" w:eastAsia="宋体" w:cs="宋体"/>
                <w:spacing w:val="-3"/>
                <w:sz w:val="21"/>
                <w:szCs w:val="21"/>
              </w:rPr>
              <w:t>暖温性针叶林</w:t>
            </w:r>
          </w:p>
        </w:tc>
        <w:tc>
          <w:tcPr>
            <w:tcW w:w="2963" w:type="dxa"/>
            <w:tcBorders>
              <w:right w:val="single" w:color="000000" w:sz="12" w:space="0"/>
            </w:tcBorders>
            <w:vAlign w:val="top"/>
          </w:tcPr>
          <w:p w14:paraId="09173604">
            <w:pPr>
              <w:spacing w:before="88" w:line="220" w:lineRule="auto"/>
              <w:ind w:left="1072"/>
              <w:rPr>
                <w:rFonts w:ascii="宋体" w:hAnsi="宋体" w:eastAsia="宋体" w:cs="宋体"/>
                <w:sz w:val="21"/>
                <w:szCs w:val="21"/>
              </w:rPr>
            </w:pPr>
            <w:r>
              <w:rPr>
                <w:rFonts w:ascii="宋体" w:hAnsi="宋体" w:eastAsia="宋体" w:cs="宋体"/>
                <w:spacing w:val="-3"/>
                <w:sz w:val="21"/>
                <w:szCs w:val="21"/>
              </w:rPr>
              <w:t>云南松林</w:t>
            </w:r>
          </w:p>
        </w:tc>
      </w:tr>
      <w:tr w14:paraId="69A7A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2A4DEFA0">
            <w:pPr>
              <w:rPr>
                <w:rFonts w:ascii="Arial"/>
                <w:sz w:val="21"/>
              </w:rPr>
            </w:pPr>
          </w:p>
        </w:tc>
        <w:tc>
          <w:tcPr>
            <w:tcW w:w="2272" w:type="dxa"/>
            <w:vMerge w:val="continue"/>
            <w:tcBorders>
              <w:top w:val="nil"/>
              <w:bottom w:val="nil"/>
            </w:tcBorders>
            <w:vAlign w:val="top"/>
          </w:tcPr>
          <w:p w14:paraId="220AE71B">
            <w:pPr>
              <w:rPr>
                <w:rFonts w:ascii="Arial"/>
                <w:sz w:val="21"/>
              </w:rPr>
            </w:pPr>
          </w:p>
        </w:tc>
        <w:tc>
          <w:tcPr>
            <w:tcW w:w="2272" w:type="dxa"/>
            <w:vMerge w:val="continue"/>
            <w:tcBorders>
              <w:top w:val="nil"/>
              <w:bottom w:val="nil"/>
            </w:tcBorders>
            <w:vAlign w:val="top"/>
          </w:tcPr>
          <w:p w14:paraId="1AA7FA12">
            <w:pPr>
              <w:rPr>
                <w:rFonts w:ascii="Arial"/>
                <w:sz w:val="21"/>
              </w:rPr>
            </w:pPr>
          </w:p>
        </w:tc>
        <w:tc>
          <w:tcPr>
            <w:tcW w:w="2963" w:type="dxa"/>
            <w:tcBorders>
              <w:right w:val="single" w:color="000000" w:sz="12" w:space="0"/>
            </w:tcBorders>
            <w:vAlign w:val="top"/>
          </w:tcPr>
          <w:p w14:paraId="0572DFEB">
            <w:pPr>
              <w:pStyle w:val="6"/>
              <w:spacing w:before="91" w:line="233" w:lineRule="auto"/>
              <w:ind w:left="593"/>
              <w:rPr>
                <w:rFonts w:ascii="宋体" w:hAnsi="宋体" w:eastAsia="宋体" w:cs="宋体"/>
              </w:rPr>
            </w:pPr>
            <w:r>
              <w:rPr>
                <w:rFonts w:ascii="宋体" w:hAnsi="宋体" w:eastAsia="宋体" w:cs="宋体"/>
                <w:spacing w:val="-2"/>
              </w:rPr>
              <w:t>云南松</w:t>
            </w:r>
            <w:r>
              <w:rPr>
                <w:spacing w:val="-2"/>
              </w:rPr>
              <w:t>+</w:t>
            </w:r>
            <w:r>
              <w:rPr>
                <w:rFonts w:ascii="宋体" w:hAnsi="宋体" w:eastAsia="宋体" w:cs="宋体"/>
                <w:spacing w:val="-2"/>
              </w:rPr>
              <w:t>黄毛青冈林</w:t>
            </w:r>
          </w:p>
        </w:tc>
      </w:tr>
      <w:tr w14:paraId="54180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1066E76B">
            <w:pPr>
              <w:rPr>
                <w:rFonts w:ascii="Arial"/>
                <w:sz w:val="21"/>
              </w:rPr>
            </w:pPr>
          </w:p>
        </w:tc>
        <w:tc>
          <w:tcPr>
            <w:tcW w:w="2272" w:type="dxa"/>
            <w:vMerge w:val="continue"/>
            <w:tcBorders>
              <w:top w:val="nil"/>
            </w:tcBorders>
            <w:vAlign w:val="top"/>
          </w:tcPr>
          <w:p w14:paraId="4C52CBDA">
            <w:pPr>
              <w:rPr>
                <w:rFonts w:ascii="Arial"/>
                <w:sz w:val="21"/>
              </w:rPr>
            </w:pPr>
          </w:p>
        </w:tc>
        <w:tc>
          <w:tcPr>
            <w:tcW w:w="2272" w:type="dxa"/>
            <w:vMerge w:val="continue"/>
            <w:tcBorders>
              <w:top w:val="nil"/>
            </w:tcBorders>
            <w:vAlign w:val="top"/>
          </w:tcPr>
          <w:p w14:paraId="7614F119">
            <w:pPr>
              <w:rPr>
                <w:rFonts w:ascii="Arial"/>
                <w:sz w:val="21"/>
              </w:rPr>
            </w:pPr>
          </w:p>
        </w:tc>
        <w:tc>
          <w:tcPr>
            <w:tcW w:w="2963" w:type="dxa"/>
            <w:tcBorders>
              <w:right w:val="single" w:color="000000" w:sz="12" w:space="0"/>
            </w:tcBorders>
            <w:vAlign w:val="top"/>
          </w:tcPr>
          <w:p w14:paraId="29804259">
            <w:pPr>
              <w:pStyle w:val="6"/>
              <w:spacing w:before="94" w:line="233" w:lineRule="auto"/>
              <w:ind w:left="697"/>
              <w:rPr>
                <w:rFonts w:ascii="宋体" w:hAnsi="宋体" w:eastAsia="宋体" w:cs="宋体"/>
              </w:rPr>
            </w:pPr>
            <w:r>
              <w:rPr>
                <w:rFonts w:ascii="宋体" w:hAnsi="宋体" w:eastAsia="宋体" w:cs="宋体"/>
                <w:spacing w:val="-2"/>
              </w:rPr>
              <w:t>云南松</w:t>
            </w:r>
            <w:r>
              <w:rPr>
                <w:spacing w:val="-2"/>
              </w:rPr>
              <w:t>+</w:t>
            </w:r>
            <w:r>
              <w:rPr>
                <w:rFonts w:ascii="宋体" w:hAnsi="宋体" w:eastAsia="宋体" w:cs="宋体"/>
                <w:spacing w:val="-2"/>
              </w:rPr>
              <w:t>华山松林</w:t>
            </w:r>
          </w:p>
        </w:tc>
      </w:tr>
      <w:tr w14:paraId="4FCF2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66" w:type="dxa"/>
            <w:vMerge w:val="continue"/>
            <w:tcBorders>
              <w:top w:val="nil"/>
              <w:left w:val="single" w:color="000000" w:sz="12" w:space="0"/>
              <w:bottom w:val="nil"/>
            </w:tcBorders>
            <w:vAlign w:val="top"/>
          </w:tcPr>
          <w:p w14:paraId="45B5BCA2">
            <w:pPr>
              <w:rPr>
                <w:rFonts w:ascii="Arial"/>
                <w:sz w:val="21"/>
              </w:rPr>
            </w:pPr>
          </w:p>
        </w:tc>
        <w:tc>
          <w:tcPr>
            <w:tcW w:w="2272" w:type="dxa"/>
            <w:vMerge w:val="restart"/>
            <w:tcBorders>
              <w:bottom w:val="nil"/>
            </w:tcBorders>
            <w:vAlign w:val="top"/>
          </w:tcPr>
          <w:p w14:paraId="47C3AA2C">
            <w:pPr>
              <w:spacing w:line="312" w:lineRule="auto"/>
              <w:rPr>
                <w:rFonts w:ascii="Arial"/>
                <w:sz w:val="21"/>
              </w:rPr>
            </w:pPr>
          </w:p>
          <w:p w14:paraId="5CBC4B1B">
            <w:pPr>
              <w:spacing w:line="312" w:lineRule="auto"/>
              <w:rPr>
                <w:rFonts w:ascii="Arial"/>
                <w:sz w:val="21"/>
              </w:rPr>
            </w:pPr>
          </w:p>
          <w:p w14:paraId="49BA4A35">
            <w:pPr>
              <w:spacing w:before="68" w:line="220" w:lineRule="auto"/>
              <w:ind w:left="923"/>
              <w:rPr>
                <w:rFonts w:ascii="宋体" w:hAnsi="宋体" w:eastAsia="宋体" w:cs="宋体"/>
                <w:sz w:val="21"/>
                <w:szCs w:val="21"/>
              </w:rPr>
            </w:pPr>
            <w:r>
              <w:rPr>
                <w:rFonts w:ascii="宋体" w:hAnsi="宋体" w:eastAsia="宋体" w:cs="宋体"/>
                <w:spacing w:val="-3"/>
                <w:sz w:val="21"/>
                <w:szCs w:val="21"/>
              </w:rPr>
              <w:t>灌丛</w:t>
            </w:r>
          </w:p>
        </w:tc>
        <w:tc>
          <w:tcPr>
            <w:tcW w:w="2272" w:type="dxa"/>
            <w:vMerge w:val="restart"/>
            <w:tcBorders>
              <w:bottom w:val="nil"/>
            </w:tcBorders>
            <w:vAlign w:val="top"/>
          </w:tcPr>
          <w:p w14:paraId="7CADBB08">
            <w:pPr>
              <w:spacing w:line="312" w:lineRule="auto"/>
              <w:rPr>
                <w:rFonts w:ascii="Arial"/>
                <w:sz w:val="21"/>
              </w:rPr>
            </w:pPr>
          </w:p>
          <w:p w14:paraId="326C13E2">
            <w:pPr>
              <w:spacing w:line="312" w:lineRule="auto"/>
              <w:rPr>
                <w:rFonts w:ascii="Arial"/>
                <w:sz w:val="21"/>
              </w:rPr>
            </w:pPr>
          </w:p>
          <w:p w14:paraId="6C24E2B1">
            <w:pPr>
              <w:spacing w:before="68" w:line="220" w:lineRule="auto"/>
              <w:ind w:left="622"/>
              <w:rPr>
                <w:rFonts w:ascii="宋体" w:hAnsi="宋体" w:eastAsia="宋体" w:cs="宋体"/>
                <w:sz w:val="21"/>
                <w:szCs w:val="21"/>
              </w:rPr>
            </w:pPr>
            <w:r>
              <w:rPr>
                <w:rFonts w:ascii="宋体" w:hAnsi="宋体" w:eastAsia="宋体" w:cs="宋体"/>
                <w:spacing w:val="-3"/>
                <w:sz w:val="21"/>
                <w:szCs w:val="21"/>
              </w:rPr>
              <w:t>暖温性灌丛</w:t>
            </w:r>
          </w:p>
        </w:tc>
        <w:tc>
          <w:tcPr>
            <w:tcW w:w="2963" w:type="dxa"/>
            <w:tcBorders>
              <w:right w:val="single" w:color="000000" w:sz="12" w:space="0"/>
            </w:tcBorders>
            <w:vAlign w:val="top"/>
          </w:tcPr>
          <w:p w14:paraId="7F2157A3">
            <w:pPr>
              <w:pStyle w:val="6"/>
              <w:spacing w:before="95" w:line="233" w:lineRule="auto"/>
              <w:ind w:left="692"/>
              <w:rPr>
                <w:rFonts w:ascii="宋体" w:hAnsi="宋体" w:eastAsia="宋体" w:cs="宋体"/>
              </w:rPr>
            </w:pPr>
            <w:r>
              <w:rPr>
                <w:rFonts w:ascii="宋体" w:hAnsi="宋体" w:eastAsia="宋体" w:cs="宋体"/>
                <w:spacing w:val="-1"/>
              </w:rPr>
              <w:t>滇石栎</w:t>
            </w:r>
            <w:r>
              <w:rPr>
                <w:spacing w:val="-1"/>
              </w:rPr>
              <w:t>+</w:t>
            </w:r>
            <w:r>
              <w:rPr>
                <w:rFonts w:ascii="宋体" w:hAnsi="宋体" w:eastAsia="宋体" w:cs="宋体"/>
                <w:spacing w:val="-1"/>
              </w:rPr>
              <w:t>栓皮栎林</w:t>
            </w:r>
          </w:p>
        </w:tc>
      </w:tr>
      <w:tr w14:paraId="7199F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62813C87">
            <w:pPr>
              <w:rPr>
                <w:rFonts w:ascii="Arial"/>
                <w:sz w:val="21"/>
              </w:rPr>
            </w:pPr>
          </w:p>
        </w:tc>
        <w:tc>
          <w:tcPr>
            <w:tcW w:w="2272" w:type="dxa"/>
            <w:vMerge w:val="continue"/>
            <w:tcBorders>
              <w:top w:val="nil"/>
              <w:bottom w:val="nil"/>
            </w:tcBorders>
            <w:vAlign w:val="top"/>
          </w:tcPr>
          <w:p w14:paraId="4AE5151B">
            <w:pPr>
              <w:rPr>
                <w:rFonts w:ascii="Arial"/>
                <w:sz w:val="21"/>
              </w:rPr>
            </w:pPr>
          </w:p>
        </w:tc>
        <w:tc>
          <w:tcPr>
            <w:tcW w:w="2272" w:type="dxa"/>
            <w:vMerge w:val="continue"/>
            <w:tcBorders>
              <w:top w:val="nil"/>
              <w:bottom w:val="nil"/>
            </w:tcBorders>
            <w:vAlign w:val="top"/>
          </w:tcPr>
          <w:p w14:paraId="033CCA0F">
            <w:pPr>
              <w:rPr>
                <w:rFonts w:ascii="Arial"/>
                <w:sz w:val="21"/>
              </w:rPr>
            </w:pPr>
          </w:p>
        </w:tc>
        <w:tc>
          <w:tcPr>
            <w:tcW w:w="2963" w:type="dxa"/>
            <w:tcBorders>
              <w:right w:val="single" w:color="000000" w:sz="12" w:space="0"/>
            </w:tcBorders>
            <w:vAlign w:val="top"/>
          </w:tcPr>
          <w:p w14:paraId="43FF663E">
            <w:pPr>
              <w:pStyle w:val="6"/>
              <w:spacing w:before="95" w:line="233" w:lineRule="auto"/>
              <w:ind w:left="691"/>
              <w:rPr>
                <w:rFonts w:ascii="宋体" w:hAnsi="宋体" w:eastAsia="宋体" w:cs="宋体"/>
              </w:rPr>
            </w:pPr>
            <w:r>
              <w:rPr>
                <w:rFonts w:ascii="宋体" w:hAnsi="宋体" w:eastAsia="宋体" w:cs="宋体"/>
                <w:spacing w:val="-1"/>
              </w:rPr>
              <w:t>黄毛青冈</w:t>
            </w:r>
            <w:r>
              <w:rPr>
                <w:spacing w:val="-1"/>
              </w:rPr>
              <w:t>+</w:t>
            </w:r>
            <w:r>
              <w:rPr>
                <w:rFonts w:ascii="宋体" w:hAnsi="宋体" w:eastAsia="宋体" w:cs="宋体"/>
                <w:spacing w:val="-1"/>
              </w:rPr>
              <w:t>槲栎林</w:t>
            </w:r>
          </w:p>
        </w:tc>
      </w:tr>
      <w:tr w14:paraId="2FDFF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58A3C7E0">
            <w:pPr>
              <w:rPr>
                <w:rFonts w:ascii="Arial"/>
                <w:sz w:val="21"/>
              </w:rPr>
            </w:pPr>
          </w:p>
        </w:tc>
        <w:tc>
          <w:tcPr>
            <w:tcW w:w="2272" w:type="dxa"/>
            <w:vMerge w:val="continue"/>
            <w:tcBorders>
              <w:top w:val="nil"/>
              <w:bottom w:val="nil"/>
            </w:tcBorders>
            <w:vAlign w:val="top"/>
          </w:tcPr>
          <w:p w14:paraId="2C2E8F05">
            <w:pPr>
              <w:rPr>
                <w:rFonts w:ascii="Arial"/>
                <w:sz w:val="21"/>
              </w:rPr>
            </w:pPr>
          </w:p>
        </w:tc>
        <w:tc>
          <w:tcPr>
            <w:tcW w:w="2272" w:type="dxa"/>
            <w:vMerge w:val="continue"/>
            <w:tcBorders>
              <w:top w:val="nil"/>
              <w:bottom w:val="nil"/>
            </w:tcBorders>
            <w:vAlign w:val="top"/>
          </w:tcPr>
          <w:p w14:paraId="74019007">
            <w:pPr>
              <w:rPr>
                <w:rFonts w:ascii="Arial"/>
                <w:sz w:val="21"/>
              </w:rPr>
            </w:pPr>
          </w:p>
        </w:tc>
        <w:tc>
          <w:tcPr>
            <w:tcW w:w="2963" w:type="dxa"/>
            <w:tcBorders>
              <w:right w:val="single" w:color="000000" w:sz="12" w:space="0"/>
            </w:tcBorders>
            <w:vAlign w:val="top"/>
          </w:tcPr>
          <w:p w14:paraId="1F51D1E9">
            <w:pPr>
              <w:pStyle w:val="6"/>
              <w:spacing w:before="96" w:line="233" w:lineRule="auto"/>
              <w:ind w:left="799"/>
              <w:rPr>
                <w:rFonts w:ascii="宋体" w:hAnsi="宋体" w:eastAsia="宋体" w:cs="宋体"/>
              </w:rPr>
            </w:pPr>
            <w:r>
              <w:rPr>
                <w:rFonts w:ascii="宋体" w:hAnsi="宋体" w:eastAsia="宋体" w:cs="宋体"/>
                <w:spacing w:val="-2"/>
              </w:rPr>
              <w:t>火棘</w:t>
            </w:r>
            <w:r>
              <w:rPr>
                <w:spacing w:val="-2"/>
              </w:rPr>
              <w:t>+</w:t>
            </w:r>
            <w:r>
              <w:rPr>
                <w:rFonts w:ascii="宋体" w:hAnsi="宋体" w:eastAsia="宋体" w:cs="宋体"/>
                <w:spacing w:val="-2"/>
              </w:rPr>
              <w:t>栒子灌丛</w:t>
            </w:r>
          </w:p>
        </w:tc>
      </w:tr>
      <w:tr w14:paraId="6141D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tcBorders>
            <w:vAlign w:val="top"/>
          </w:tcPr>
          <w:p w14:paraId="0D2BE1C2">
            <w:pPr>
              <w:rPr>
                <w:rFonts w:ascii="Arial"/>
                <w:sz w:val="21"/>
              </w:rPr>
            </w:pPr>
          </w:p>
        </w:tc>
        <w:tc>
          <w:tcPr>
            <w:tcW w:w="2272" w:type="dxa"/>
            <w:vMerge w:val="continue"/>
            <w:tcBorders>
              <w:top w:val="nil"/>
            </w:tcBorders>
            <w:vAlign w:val="top"/>
          </w:tcPr>
          <w:p w14:paraId="7180BC11">
            <w:pPr>
              <w:rPr>
                <w:rFonts w:ascii="Arial"/>
                <w:sz w:val="21"/>
              </w:rPr>
            </w:pPr>
          </w:p>
        </w:tc>
        <w:tc>
          <w:tcPr>
            <w:tcW w:w="2272" w:type="dxa"/>
            <w:vMerge w:val="continue"/>
            <w:tcBorders>
              <w:top w:val="nil"/>
            </w:tcBorders>
            <w:vAlign w:val="top"/>
          </w:tcPr>
          <w:p w14:paraId="67A05C7F">
            <w:pPr>
              <w:rPr>
                <w:rFonts w:ascii="Arial"/>
                <w:sz w:val="21"/>
              </w:rPr>
            </w:pPr>
          </w:p>
        </w:tc>
        <w:tc>
          <w:tcPr>
            <w:tcW w:w="2963" w:type="dxa"/>
            <w:tcBorders>
              <w:right w:val="single" w:color="000000" w:sz="12" w:space="0"/>
            </w:tcBorders>
            <w:vAlign w:val="top"/>
          </w:tcPr>
          <w:p w14:paraId="4ECBC2A0">
            <w:pPr>
              <w:pStyle w:val="6"/>
              <w:spacing w:before="98" w:line="233" w:lineRule="auto"/>
              <w:ind w:left="697"/>
              <w:rPr>
                <w:rFonts w:ascii="宋体" w:hAnsi="宋体" w:eastAsia="宋体" w:cs="宋体"/>
              </w:rPr>
            </w:pPr>
            <w:r>
              <w:rPr>
                <w:rFonts w:ascii="宋体" w:hAnsi="宋体" w:eastAsia="宋体" w:cs="宋体"/>
                <w:spacing w:val="-2"/>
              </w:rPr>
              <w:t>牛筋木</w:t>
            </w:r>
            <w:r>
              <w:rPr>
                <w:spacing w:val="-2"/>
              </w:rPr>
              <w:t>+</w:t>
            </w:r>
            <w:r>
              <w:rPr>
                <w:rFonts w:ascii="宋体" w:hAnsi="宋体" w:eastAsia="宋体" w:cs="宋体"/>
                <w:spacing w:val="-2"/>
              </w:rPr>
              <w:t>栒子灌丛</w:t>
            </w:r>
          </w:p>
        </w:tc>
      </w:tr>
      <w:tr w14:paraId="34F70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restart"/>
            <w:tcBorders>
              <w:left w:val="single" w:color="000000" w:sz="12" w:space="0"/>
              <w:bottom w:val="nil"/>
            </w:tcBorders>
            <w:vAlign w:val="top"/>
          </w:tcPr>
          <w:p w14:paraId="5A9E9E58">
            <w:pPr>
              <w:spacing w:line="247" w:lineRule="auto"/>
              <w:rPr>
                <w:rFonts w:ascii="Arial"/>
                <w:sz w:val="21"/>
              </w:rPr>
            </w:pPr>
          </w:p>
          <w:p w14:paraId="14CC0CC6">
            <w:pPr>
              <w:spacing w:line="247" w:lineRule="auto"/>
              <w:rPr>
                <w:rFonts w:ascii="Arial"/>
                <w:sz w:val="21"/>
              </w:rPr>
            </w:pPr>
          </w:p>
          <w:p w14:paraId="519EEE1F">
            <w:pPr>
              <w:spacing w:line="247" w:lineRule="auto"/>
              <w:rPr>
                <w:rFonts w:ascii="Arial"/>
                <w:sz w:val="21"/>
              </w:rPr>
            </w:pPr>
          </w:p>
          <w:p w14:paraId="492F9BAB">
            <w:pPr>
              <w:spacing w:line="247" w:lineRule="auto"/>
              <w:rPr>
                <w:rFonts w:ascii="Arial"/>
                <w:sz w:val="21"/>
              </w:rPr>
            </w:pPr>
          </w:p>
          <w:p w14:paraId="3A947BA9">
            <w:pPr>
              <w:spacing w:line="247" w:lineRule="auto"/>
              <w:rPr>
                <w:rFonts w:ascii="Arial"/>
                <w:sz w:val="21"/>
              </w:rPr>
            </w:pPr>
          </w:p>
          <w:p w14:paraId="2282FF0B">
            <w:pPr>
              <w:spacing w:line="247" w:lineRule="auto"/>
              <w:rPr>
                <w:rFonts w:ascii="Arial"/>
                <w:sz w:val="21"/>
              </w:rPr>
            </w:pPr>
          </w:p>
          <w:p w14:paraId="15947FB5">
            <w:pPr>
              <w:spacing w:line="247" w:lineRule="auto"/>
              <w:rPr>
                <w:rFonts w:ascii="Arial"/>
                <w:sz w:val="21"/>
              </w:rPr>
            </w:pPr>
          </w:p>
          <w:p w14:paraId="37CBF1A8">
            <w:pPr>
              <w:spacing w:line="247" w:lineRule="auto"/>
              <w:rPr>
                <w:rFonts w:ascii="Arial"/>
                <w:sz w:val="21"/>
              </w:rPr>
            </w:pPr>
          </w:p>
          <w:p w14:paraId="59F77576">
            <w:pPr>
              <w:spacing w:line="247" w:lineRule="auto"/>
              <w:rPr>
                <w:rFonts w:ascii="Arial"/>
                <w:sz w:val="21"/>
              </w:rPr>
            </w:pPr>
          </w:p>
          <w:p w14:paraId="6CC23877">
            <w:pPr>
              <w:spacing w:before="69" w:line="220" w:lineRule="auto"/>
              <w:ind w:left="51"/>
              <w:rPr>
                <w:rFonts w:ascii="宋体" w:hAnsi="宋体" w:eastAsia="宋体" w:cs="宋体"/>
                <w:sz w:val="21"/>
                <w:szCs w:val="21"/>
              </w:rPr>
            </w:pPr>
            <w:r>
              <w:rPr>
                <w:rFonts w:ascii="宋体" w:hAnsi="宋体" w:eastAsia="宋体" w:cs="宋体"/>
                <w:spacing w:val="-2"/>
                <w:sz w:val="21"/>
                <w:szCs w:val="21"/>
              </w:rPr>
              <w:t>人工植被</w:t>
            </w:r>
          </w:p>
        </w:tc>
        <w:tc>
          <w:tcPr>
            <w:tcW w:w="4544" w:type="dxa"/>
            <w:gridSpan w:val="2"/>
            <w:vMerge w:val="restart"/>
            <w:tcBorders>
              <w:bottom w:val="nil"/>
            </w:tcBorders>
            <w:vAlign w:val="top"/>
          </w:tcPr>
          <w:p w14:paraId="06D432EE">
            <w:pPr>
              <w:spacing w:line="245" w:lineRule="auto"/>
              <w:rPr>
                <w:rFonts w:ascii="Arial"/>
                <w:sz w:val="21"/>
              </w:rPr>
            </w:pPr>
          </w:p>
          <w:p w14:paraId="44535B81">
            <w:pPr>
              <w:spacing w:line="245" w:lineRule="auto"/>
              <w:rPr>
                <w:rFonts w:ascii="Arial"/>
                <w:sz w:val="21"/>
              </w:rPr>
            </w:pPr>
          </w:p>
          <w:p w14:paraId="50A3DD5F">
            <w:pPr>
              <w:spacing w:line="245" w:lineRule="auto"/>
              <w:rPr>
                <w:rFonts w:ascii="Arial"/>
                <w:sz w:val="21"/>
              </w:rPr>
            </w:pPr>
          </w:p>
          <w:p w14:paraId="23CDCAB0">
            <w:pPr>
              <w:spacing w:line="246" w:lineRule="auto"/>
              <w:rPr>
                <w:rFonts w:ascii="Arial"/>
                <w:sz w:val="21"/>
              </w:rPr>
            </w:pPr>
          </w:p>
          <w:p w14:paraId="5EC670A0">
            <w:pPr>
              <w:spacing w:line="246" w:lineRule="auto"/>
              <w:rPr>
                <w:rFonts w:ascii="Arial"/>
                <w:sz w:val="21"/>
              </w:rPr>
            </w:pPr>
          </w:p>
          <w:p w14:paraId="4CB71764">
            <w:pPr>
              <w:spacing w:before="68" w:line="219" w:lineRule="auto"/>
              <w:ind w:left="1747"/>
              <w:rPr>
                <w:rFonts w:ascii="宋体" w:hAnsi="宋体" w:eastAsia="宋体" w:cs="宋体"/>
                <w:sz w:val="21"/>
                <w:szCs w:val="21"/>
              </w:rPr>
            </w:pPr>
            <w:r>
              <w:rPr>
                <w:rFonts w:ascii="宋体" w:hAnsi="宋体" w:eastAsia="宋体" w:cs="宋体"/>
                <w:spacing w:val="-2"/>
                <w:sz w:val="21"/>
                <w:szCs w:val="21"/>
              </w:rPr>
              <w:t>人工用材林</w:t>
            </w:r>
          </w:p>
        </w:tc>
        <w:tc>
          <w:tcPr>
            <w:tcW w:w="2963" w:type="dxa"/>
            <w:tcBorders>
              <w:right w:val="single" w:color="000000" w:sz="12" w:space="0"/>
            </w:tcBorders>
            <w:vAlign w:val="top"/>
          </w:tcPr>
          <w:p w14:paraId="56F69F6C">
            <w:pPr>
              <w:spacing w:before="99" w:line="220" w:lineRule="auto"/>
              <w:ind w:left="858"/>
              <w:rPr>
                <w:rFonts w:ascii="宋体" w:hAnsi="宋体" w:eastAsia="宋体" w:cs="宋体"/>
                <w:sz w:val="21"/>
                <w:szCs w:val="21"/>
              </w:rPr>
            </w:pPr>
            <w:r>
              <w:rPr>
                <w:rFonts w:ascii="宋体" w:hAnsi="宋体" w:eastAsia="宋体" w:cs="宋体"/>
                <w:spacing w:val="-2"/>
                <w:sz w:val="21"/>
                <w:szCs w:val="21"/>
              </w:rPr>
              <w:t>人工云南松林</w:t>
            </w:r>
          </w:p>
        </w:tc>
      </w:tr>
      <w:tr w14:paraId="49612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27E308B7">
            <w:pPr>
              <w:rPr>
                <w:rFonts w:ascii="Arial"/>
                <w:sz w:val="21"/>
              </w:rPr>
            </w:pPr>
          </w:p>
        </w:tc>
        <w:tc>
          <w:tcPr>
            <w:tcW w:w="4544" w:type="dxa"/>
            <w:gridSpan w:val="2"/>
            <w:vMerge w:val="continue"/>
            <w:tcBorders>
              <w:top w:val="nil"/>
              <w:bottom w:val="nil"/>
            </w:tcBorders>
            <w:vAlign w:val="top"/>
          </w:tcPr>
          <w:p w14:paraId="37EE15C5">
            <w:pPr>
              <w:rPr>
                <w:rFonts w:ascii="Arial"/>
                <w:sz w:val="21"/>
              </w:rPr>
            </w:pPr>
          </w:p>
        </w:tc>
        <w:tc>
          <w:tcPr>
            <w:tcW w:w="2963" w:type="dxa"/>
            <w:tcBorders>
              <w:right w:val="single" w:color="000000" w:sz="12" w:space="0"/>
            </w:tcBorders>
            <w:vAlign w:val="top"/>
          </w:tcPr>
          <w:p w14:paraId="70357D78">
            <w:pPr>
              <w:spacing w:before="100" w:line="220" w:lineRule="auto"/>
              <w:ind w:left="964"/>
              <w:rPr>
                <w:rFonts w:ascii="宋体" w:hAnsi="宋体" w:eastAsia="宋体" w:cs="宋体"/>
                <w:sz w:val="21"/>
                <w:szCs w:val="21"/>
              </w:rPr>
            </w:pPr>
            <w:r>
              <w:rPr>
                <w:rFonts w:ascii="宋体" w:hAnsi="宋体" w:eastAsia="宋体" w:cs="宋体"/>
                <w:spacing w:val="-2"/>
                <w:sz w:val="21"/>
                <w:szCs w:val="21"/>
              </w:rPr>
              <w:t>人工柏树林</w:t>
            </w:r>
          </w:p>
        </w:tc>
      </w:tr>
      <w:tr w14:paraId="2F243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7CBE0D24">
            <w:pPr>
              <w:rPr>
                <w:rFonts w:ascii="Arial"/>
                <w:sz w:val="21"/>
              </w:rPr>
            </w:pPr>
          </w:p>
        </w:tc>
        <w:tc>
          <w:tcPr>
            <w:tcW w:w="4544" w:type="dxa"/>
            <w:gridSpan w:val="2"/>
            <w:vMerge w:val="continue"/>
            <w:tcBorders>
              <w:top w:val="nil"/>
              <w:bottom w:val="nil"/>
            </w:tcBorders>
            <w:vAlign w:val="top"/>
          </w:tcPr>
          <w:p w14:paraId="0E1DDE52">
            <w:pPr>
              <w:rPr>
                <w:rFonts w:ascii="Arial"/>
                <w:sz w:val="21"/>
              </w:rPr>
            </w:pPr>
          </w:p>
        </w:tc>
        <w:tc>
          <w:tcPr>
            <w:tcW w:w="2963" w:type="dxa"/>
            <w:tcBorders>
              <w:right w:val="single" w:color="000000" w:sz="12" w:space="0"/>
            </w:tcBorders>
            <w:vAlign w:val="top"/>
          </w:tcPr>
          <w:p w14:paraId="0C81CBBA">
            <w:pPr>
              <w:spacing w:before="101" w:line="220" w:lineRule="auto"/>
              <w:ind w:left="858"/>
              <w:rPr>
                <w:rFonts w:ascii="宋体" w:hAnsi="宋体" w:eastAsia="宋体" w:cs="宋体"/>
                <w:sz w:val="21"/>
                <w:szCs w:val="21"/>
              </w:rPr>
            </w:pPr>
            <w:r>
              <w:rPr>
                <w:rFonts w:ascii="宋体" w:hAnsi="宋体" w:eastAsia="宋体" w:cs="宋体"/>
                <w:spacing w:val="-2"/>
                <w:sz w:val="21"/>
                <w:szCs w:val="21"/>
              </w:rPr>
              <w:t>人工华山松林</w:t>
            </w:r>
          </w:p>
        </w:tc>
      </w:tr>
      <w:tr w14:paraId="2F499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60DF2821">
            <w:pPr>
              <w:rPr>
                <w:rFonts w:ascii="Arial"/>
                <w:sz w:val="21"/>
              </w:rPr>
            </w:pPr>
          </w:p>
        </w:tc>
        <w:tc>
          <w:tcPr>
            <w:tcW w:w="4544" w:type="dxa"/>
            <w:gridSpan w:val="2"/>
            <w:vMerge w:val="continue"/>
            <w:tcBorders>
              <w:top w:val="nil"/>
              <w:bottom w:val="nil"/>
            </w:tcBorders>
            <w:vAlign w:val="top"/>
          </w:tcPr>
          <w:p w14:paraId="29DB46A0">
            <w:pPr>
              <w:rPr>
                <w:rFonts w:ascii="Arial"/>
                <w:sz w:val="21"/>
              </w:rPr>
            </w:pPr>
          </w:p>
        </w:tc>
        <w:tc>
          <w:tcPr>
            <w:tcW w:w="2963" w:type="dxa"/>
            <w:tcBorders>
              <w:right w:val="single" w:color="000000" w:sz="12" w:space="0"/>
            </w:tcBorders>
            <w:vAlign w:val="top"/>
          </w:tcPr>
          <w:p w14:paraId="6789DBE7">
            <w:pPr>
              <w:spacing w:before="103" w:line="220" w:lineRule="auto"/>
              <w:ind w:left="964"/>
              <w:rPr>
                <w:rFonts w:ascii="宋体" w:hAnsi="宋体" w:eastAsia="宋体" w:cs="宋体"/>
                <w:sz w:val="21"/>
                <w:szCs w:val="21"/>
              </w:rPr>
            </w:pPr>
            <w:r>
              <w:rPr>
                <w:rFonts w:ascii="宋体" w:hAnsi="宋体" w:eastAsia="宋体" w:cs="宋体"/>
                <w:spacing w:val="-2"/>
                <w:sz w:val="21"/>
                <w:szCs w:val="21"/>
              </w:rPr>
              <w:t>人工圣诞树</w:t>
            </w:r>
          </w:p>
        </w:tc>
      </w:tr>
      <w:tr w14:paraId="094A3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678DAF07">
            <w:pPr>
              <w:rPr>
                <w:rFonts w:ascii="Arial"/>
                <w:sz w:val="21"/>
              </w:rPr>
            </w:pPr>
          </w:p>
        </w:tc>
        <w:tc>
          <w:tcPr>
            <w:tcW w:w="4544" w:type="dxa"/>
            <w:gridSpan w:val="2"/>
            <w:vMerge w:val="continue"/>
            <w:tcBorders>
              <w:top w:val="nil"/>
              <w:bottom w:val="nil"/>
            </w:tcBorders>
            <w:vAlign w:val="top"/>
          </w:tcPr>
          <w:p w14:paraId="0D6A35D1">
            <w:pPr>
              <w:rPr>
                <w:rFonts w:ascii="Arial"/>
                <w:sz w:val="21"/>
              </w:rPr>
            </w:pPr>
          </w:p>
        </w:tc>
        <w:tc>
          <w:tcPr>
            <w:tcW w:w="2963" w:type="dxa"/>
            <w:tcBorders>
              <w:right w:val="single" w:color="000000" w:sz="12" w:space="0"/>
            </w:tcBorders>
            <w:vAlign w:val="top"/>
          </w:tcPr>
          <w:p w14:paraId="252A52A1">
            <w:pPr>
              <w:spacing w:before="104" w:line="219" w:lineRule="auto"/>
              <w:ind w:left="964"/>
              <w:rPr>
                <w:rFonts w:ascii="宋体" w:hAnsi="宋体" w:eastAsia="宋体" w:cs="宋体"/>
                <w:sz w:val="21"/>
                <w:szCs w:val="21"/>
              </w:rPr>
            </w:pPr>
            <w:r>
              <w:rPr>
                <w:rFonts w:ascii="宋体" w:hAnsi="宋体" w:eastAsia="宋体" w:cs="宋体"/>
                <w:spacing w:val="-2"/>
                <w:sz w:val="21"/>
                <w:szCs w:val="21"/>
              </w:rPr>
              <w:t>人工柳杉林</w:t>
            </w:r>
          </w:p>
        </w:tc>
      </w:tr>
      <w:tr w14:paraId="61090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66" w:type="dxa"/>
            <w:vMerge w:val="continue"/>
            <w:tcBorders>
              <w:top w:val="nil"/>
              <w:left w:val="single" w:color="000000" w:sz="12" w:space="0"/>
              <w:bottom w:val="nil"/>
            </w:tcBorders>
            <w:vAlign w:val="top"/>
          </w:tcPr>
          <w:p w14:paraId="788EFF1F">
            <w:pPr>
              <w:rPr>
                <w:rFonts w:ascii="Arial"/>
                <w:sz w:val="21"/>
              </w:rPr>
            </w:pPr>
          </w:p>
        </w:tc>
        <w:tc>
          <w:tcPr>
            <w:tcW w:w="4544" w:type="dxa"/>
            <w:gridSpan w:val="2"/>
            <w:vMerge w:val="continue"/>
            <w:tcBorders>
              <w:top w:val="nil"/>
              <w:bottom w:val="nil"/>
            </w:tcBorders>
            <w:vAlign w:val="top"/>
          </w:tcPr>
          <w:p w14:paraId="7726D9CA">
            <w:pPr>
              <w:rPr>
                <w:rFonts w:ascii="Arial"/>
                <w:sz w:val="21"/>
              </w:rPr>
            </w:pPr>
          </w:p>
        </w:tc>
        <w:tc>
          <w:tcPr>
            <w:tcW w:w="2963" w:type="dxa"/>
            <w:tcBorders>
              <w:right w:val="single" w:color="000000" w:sz="12" w:space="0"/>
            </w:tcBorders>
            <w:vAlign w:val="top"/>
          </w:tcPr>
          <w:p w14:paraId="1DB58315">
            <w:pPr>
              <w:spacing w:before="106" w:line="220" w:lineRule="auto"/>
              <w:ind w:left="964"/>
              <w:rPr>
                <w:rFonts w:ascii="宋体" w:hAnsi="宋体" w:eastAsia="宋体" w:cs="宋体"/>
                <w:sz w:val="21"/>
                <w:szCs w:val="21"/>
              </w:rPr>
            </w:pPr>
            <w:r>
              <w:rPr>
                <w:rFonts w:ascii="宋体" w:hAnsi="宋体" w:eastAsia="宋体" w:cs="宋体"/>
                <w:spacing w:val="-2"/>
                <w:sz w:val="21"/>
                <w:szCs w:val="21"/>
              </w:rPr>
              <w:t>人工桉树林</w:t>
            </w:r>
          </w:p>
        </w:tc>
      </w:tr>
      <w:tr w14:paraId="11EBB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5EB5607B">
            <w:pPr>
              <w:rPr>
                <w:rFonts w:ascii="Arial"/>
                <w:sz w:val="21"/>
              </w:rPr>
            </w:pPr>
          </w:p>
        </w:tc>
        <w:tc>
          <w:tcPr>
            <w:tcW w:w="4544" w:type="dxa"/>
            <w:gridSpan w:val="2"/>
            <w:vMerge w:val="continue"/>
            <w:tcBorders>
              <w:top w:val="nil"/>
            </w:tcBorders>
            <w:vAlign w:val="top"/>
          </w:tcPr>
          <w:p w14:paraId="78D095DF">
            <w:pPr>
              <w:rPr>
                <w:rFonts w:ascii="Arial"/>
                <w:sz w:val="21"/>
              </w:rPr>
            </w:pPr>
          </w:p>
        </w:tc>
        <w:tc>
          <w:tcPr>
            <w:tcW w:w="2963" w:type="dxa"/>
            <w:tcBorders>
              <w:right w:val="single" w:color="000000" w:sz="12" w:space="0"/>
            </w:tcBorders>
            <w:vAlign w:val="top"/>
          </w:tcPr>
          <w:p w14:paraId="253BC435">
            <w:pPr>
              <w:spacing w:before="107" w:line="220" w:lineRule="auto"/>
              <w:ind w:left="964"/>
              <w:rPr>
                <w:rFonts w:ascii="宋体" w:hAnsi="宋体" w:eastAsia="宋体" w:cs="宋体"/>
                <w:sz w:val="21"/>
                <w:szCs w:val="21"/>
              </w:rPr>
            </w:pPr>
            <w:r>
              <w:rPr>
                <w:rFonts w:ascii="宋体" w:hAnsi="宋体" w:eastAsia="宋体" w:cs="宋体"/>
                <w:spacing w:val="-2"/>
                <w:sz w:val="21"/>
                <w:szCs w:val="21"/>
              </w:rPr>
              <w:t>人工杨树林</w:t>
            </w:r>
          </w:p>
        </w:tc>
      </w:tr>
      <w:tr w14:paraId="1BD02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2DBE52F2">
            <w:pPr>
              <w:rPr>
                <w:rFonts w:ascii="Arial"/>
                <w:sz w:val="21"/>
              </w:rPr>
            </w:pPr>
          </w:p>
        </w:tc>
        <w:tc>
          <w:tcPr>
            <w:tcW w:w="4544" w:type="dxa"/>
            <w:gridSpan w:val="2"/>
            <w:vMerge w:val="restart"/>
            <w:tcBorders>
              <w:bottom w:val="nil"/>
            </w:tcBorders>
            <w:vAlign w:val="top"/>
          </w:tcPr>
          <w:p w14:paraId="78704CF8">
            <w:pPr>
              <w:spacing w:line="438" w:lineRule="auto"/>
              <w:rPr>
                <w:rFonts w:ascii="Arial"/>
                <w:sz w:val="21"/>
              </w:rPr>
            </w:pPr>
          </w:p>
          <w:p w14:paraId="702FDD5B">
            <w:pPr>
              <w:spacing w:before="68" w:line="220" w:lineRule="auto"/>
              <w:ind w:left="1747"/>
              <w:rPr>
                <w:rFonts w:ascii="宋体" w:hAnsi="宋体" w:eastAsia="宋体" w:cs="宋体"/>
                <w:sz w:val="21"/>
                <w:szCs w:val="21"/>
              </w:rPr>
            </w:pPr>
            <w:r>
              <w:rPr>
                <w:rFonts w:ascii="宋体" w:hAnsi="宋体" w:eastAsia="宋体" w:cs="宋体"/>
                <w:spacing w:val="-2"/>
                <w:sz w:val="21"/>
                <w:szCs w:val="21"/>
              </w:rPr>
              <w:t>人工经济林</w:t>
            </w:r>
          </w:p>
        </w:tc>
        <w:tc>
          <w:tcPr>
            <w:tcW w:w="2963" w:type="dxa"/>
            <w:tcBorders>
              <w:right w:val="single" w:color="000000" w:sz="12" w:space="0"/>
            </w:tcBorders>
            <w:vAlign w:val="top"/>
          </w:tcPr>
          <w:p w14:paraId="29A523C9">
            <w:pPr>
              <w:spacing w:before="108" w:line="219" w:lineRule="auto"/>
              <w:ind w:left="964"/>
              <w:rPr>
                <w:rFonts w:ascii="宋体" w:hAnsi="宋体" w:eastAsia="宋体" w:cs="宋体"/>
                <w:sz w:val="21"/>
                <w:szCs w:val="21"/>
              </w:rPr>
            </w:pPr>
            <w:r>
              <w:rPr>
                <w:rFonts w:ascii="宋体" w:hAnsi="宋体" w:eastAsia="宋体" w:cs="宋体"/>
                <w:spacing w:val="-2"/>
                <w:sz w:val="21"/>
                <w:szCs w:val="21"/>
              </w:rPr>
              <w:t>人工板栗林</w:t>
            </w:r>
          </w:p>
        </w:tc>
      </w:tr>
      <w:tr w14:paraId="34A4F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2E65A957">
            <w:pPr>
              <w:rPr>
                <w:rFonts w:ascii="Arial"/>
                <w:sz w:val="21"/>
              </w:rPr>
            </w:pPr>
          </w:p>
        </w:tc>
        <w:tc>
          <w:tcPr>
            <w:tcW w:w="4544" w:type="dxa"/>
            <w:gridSpan w:val="2"/>
            <w:vMerge w:val="continue"/>
            <w:tcBorders>
              <w:top w:val="nil"/>
              <w:bottom w:val="nil"/>
            </w:tcBorders>
            <w:vAlign w:val="top"/>
          </w:tcPr>
          <w:p w14:paraId="7885E794">
            <w:pPr>
              <w:rPr>
                <w:rFonts w:ascii="Arial"/>
                <w:sz w:val="21"/>
              </w:rPr>
            </w:pPr>
          </w:p>
        </w:tc>
        <w:tc>
          <w:tcPr>
            <w:tcW w:w="2963" w:type="dxa"/>
            <w:tcBorders>
              <w:right w:val="single" w:color="000000" w:sz="12" w:space="0"/>
            </w:tcBorders>
            <w:vAlign w:val="top"/>
          </w:tcPr>
          <w:p w14:paraId="7A624715">
            <w:pPr>
              <w:spacing w:before="110" w:line="220" w:lineRule="auto"/>
              <w:ind w:left="964"/>
              <w:rPr>
                <w:rFonts w:ascii="宋体" w:hAnsi="宋体" w:eastAsia="宋体" w:cs="宋体"/>
                <w:sz w:val="21"/>
                <w:szCs w:val="21"/>
              </w:rPr>
            </w:pPr>
            <w:r>
              <w:rPr>
                <w:rFonts w:ascii="宋体" w:hAnsi="宋体" w:eastAsia="宋体" w:cs="宋体"/>
                <w:spacing w:val="-2"/>
                <w:sz w:val="21"/>
                <w:szCs w:val="21"/>
              </w:rPr>
              <w:t>人工桃树林</w:t>
            </w:r>
          </w:p>
        </w:tc>
      </w:tr>
      <w:tr w14:paraId="3E53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966" w:type="dxa"/>
            <w:vMerge w:val="continue"/>
            <w:tcBorders>
              <w:top w:val="nil"/>
              <w:left w:val="single" w:color="000000" w:sz="12" w:space="0"/>
              <w:bottom w:val="nil"/>
            </w:tcBorders>
            <w:vAlign w:val="top"/>
          </w:tcPr>
          <w:p w14:paraId="74AAAC00">
            <w:pPr>
              <w:rPr>
                <w:rFonts w:ascii="Arial"/>
                <w:sz w:val="21"/>
              </w:rPr>
            </w:pPr>
          </w:p>
        </w:tc>
        <w:tc>
          <w:tcPr>
            <w:tcW w:w="4544" w:type="dxa"/>
            <w:gridSpan w:val="2"/>
            <w:vMerge w:val="continue"/>
            <w:tcBorders>
              <w:top w:val="nil"/>
            </w:tcBorders>
            <w:vAlign w:val="top"/>
          </w:tcPr>
          <w:p w14:paraId="5E9A1313">
            <w:pPr>
              <w:rPr>
                <w:rFonts w:ascii="Arial"/>
                <w:sz w:val="21"/>
              </w:rPr>
            </w:pPr>
          </w:p>
        </w:tc>
        <w:tc>
          <w:tcPr>
            <w:tcW w:w="2963" w:type="dxa"/>
            <w:tcBorders>
              <w:right w:val="single" w:color="000000" w:sz="12" w:space="0"/>
            </w:tcBorders>
            <w:vAlign w:val="top"/>
          </w:tcPr>
          <w:p w14:paraId="063778C8">
            <w:pPr>
              <w:spacing w:before="111" w:line="220" w:lineRule="auto"/>
              <w:ind w:left="964"/>
              <w:rPr>
                <w:rFonts w:ascii="宋体" w:hAnsi="宋体" w:eastAsia="宋体" w:cs="宋体"/>
                <w:sz w:val="21"/>
                <w:szCs w:val="21"/>
              </w:rPr>
            </w:pPr>
            <w:r>
              <w:rPr>
                <w:rFonts w:ascii="宋体" w:hAnsi="宋体" w:eastAsia="宋体" w:cs="宋体"/>
                <w:spacing w:val="-2"/>
                <w:sz w:val="21"/>
                <w:szCs w:val="21"/>
              </w:rPr>
              <w:t>人工樱桃园</w:t>
            </w:r>
          </w:p>
        </w:tc>
      </w:tr>
      <w:tr w14:paraId="59C58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966" w:type="dxa"/>
            <w:vMerge w:val="continue"/>
            <w:tcBorders>
              <w:top w:val="nil"/>
              <w:left w:val="single" w:color="000000" w:sz="12" w:space="0"/>
              <w:bottom w:val="nil"/>
            </w:tcBorders>
            <w:vAlign w:val="top"/>
          </w:tcPr>
          <w:p w14:paraId="7977A1E4">
            <w:pPr>
              <w:rPr>
                <w:rFonts w:ascii="Arial"/>
                <w:sz w:val="21"/>
              </w:rPr>
            </w:pPr>
          </w:p>
        </w:tc>
        <w:tc>
          <w:tcPr>
            <w:tcW w:w="4544" w:type="dxa"/>
            <w:gridSpan w:val="2"/>
            <w:vMerge w:val="restart"/>
            <w:tcBorders>
              <w:bottom w:val="nil"/>
            </w:tcBorders>
            <w:vAlign w:val="top"/>
          </w:tcPr>
          <w:p w14:paraId="68E062A9">
            <w:pPr>
              <w:spacing w:line="243" w:lineRule="auto"/>
              <w:rPr>
                <w:rFonts w:ascii="Arial"/>
                <w:sz w:val="21"/>
              </w:rPr>
            </w:pPr>
          </w:p>
          <w:p w14:paraId="68028CBD">
            <w:pPr>
              <w:spacing w:before="69" w:line="219" w:lineRule="auto"/>
              <w:ind w:left="1431"/>
              <w:rPr>
                <w:rFonts w:ascii="宋体" w:hAnsi="宋体" w:eastAsia="宋体" w:cs="宋体"/>
                <w:sz w:val="21"/>
                <w:szCs w:val="21"/>
              </w:rPr>
            </w:pPr>
            <w:r>
              <w:rPr>
                <w:rFonts w:ascii="宋体" w:hAnsi="宋体" w:eastAsia="宋体" w:cs="宋体"/>
                <w:spacing w:val="-3"/>
                <w:sz w:val="21"/>
                <w:szCs w:val="21"/>
              </w:rPr>
              <w:t>农田植被（耕地）</w:t>
            </w:r>
          </w:p>
        </w:tc>
        <w:tc>
          <w:tcPr>
            <w:tcW w:w="2963" w:type="dxa"/>
            <w:tcBorders>
              <w:right w:val="single" w:color="000000" w:sz="12" w:space="0"/>
            </w:tcBorders>
            <w:vAlign w:val="top"/>
          </w:tcPr>
          <w:p w14:paraId="142DE1E0">
            <w:pPr>
              <w:spacing w:before="112" w:line="220" w:lineRule="auto"/>
              <w:ind w:left="1069"/>
              <w:rPr>
                <w:rFonts w:ascii="宋体" w:hAnsi="宋体" w:eastAsia="宋体" w:cs="宋体"/>
                <w:sz w:val="21"/>
                <w:szCs w:val="21"/>
              </w:rPr>
            </w:pPr>
            <w:r>
              <w:rPr>
                <w:rFonts w:ascii="宋体" w:hAnsi="宋体" w:eastAsia="宋体" w:cs="宋体"/>
                <w:spacing w:val="-3"/>
                <w:sz w:val="21"/>
                <w:szCs w:val="21"/>
              </w:rPr>
              <w:t>水田植被</w:t>
            </w:r>
          </w:p>
        </w:tc>
      </w:tr>
      <w:tr w14:paraId="031D2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966" w:type="dxa"/>
            <w:vMerge w:val="continue"/>
            <w:tcBorders>
              <w:top w:val="nil"/>
              <w:left w:val="single" w:color="000000" w:sz="12" w:space="0"/>
              <w:bottom w:val="single" w:color="000000" w:sz="12" w:space="0"/>
            </w:tcBorders>
            <w:vAlign w:val="top"/>
          </w:tcPr>
          <w:p w14:paraId="3C9A925D">
            <w:pPr>
              <w:rPr>
                <w:rFonts w:ascii="Arial"/>
                <w:sz w:val="21"/>
              </w:rPr>
            </w:pPr>
          </w:p>
        </w:tc>
        <w:tc>
          <w:tcPr>
            <w:tcW w:w="4544" w:type="dxa"/>
            <w:gridSpan w:val="2"/>
            <w:vMerge w:val="continue"/>
            <w:tcBorders>
              <w:top w:val="nil"/>
              <w:bottom w:val="single" w:color="000000" w:sz="12" w:space="0"/>
            </w:tcBorders>
            <w:vAlign w:val="top"/>
          </w:tcPr>
          <w:p w14:paraId="7E8CC83A">
            <w:pPr>
              <w:rPr>
                <w:rFonts w:ascii="Arial"/>
                <w:sz w:val="21"/>
              </w:rPr>
            </w:pPr>
          </w:p>
        </w:tc>
        <w:tc>
          <w:tcPr>
            <w:tcW w:w="2963" w:type="dxa"/>
            <w:tcBorders>
              <w:bottom w:val="single" w:color="000000" w:sz="12" w:space="0"/>
              <w:right w:val="single" w:color="000000" w:sz="12" w:space="0"/>
            </w:tcBorders>
            <w:vAlign w:val="top"/>
          </w:tcPr>
          <w:p w14:paraId="7154F620">
            <w:pPr>
              <w:spacing w:before="113" w:line="220" w:lineRule="auto"/>
              <w:ind w:left="1069"/>
              <w:rPr>
                <w:rFonts w:ascii="宋体" w:hAnsi="宋体" w:eastAsia="宋体" w:cs="宋体"/>
                <w:sz w:val="21"/>
                <w:szCs w:val="21"/>
              </w:rPr>
            </w:pPr>
            <w:r>
              <w:rPr>
                <w:rFonts w:ascii="宋体" w:hAnsi="宋体" w:eastAsia="宋体" w:cs="宋体"/>
                <w:spacing w:val="-3"/>
                <w:sz w:val="21"/>
                <w:szCs w:val="21"/>
              </w:rPr>
              <w:t>旱地植被</w:t>
            </w:r>
          </w:p>
        </w:tc>
      </w:tr>
    </w:tbl>
    <w:p w14:paraId="1040B4A6">
      <w:pPr>
        <w:pStyle w:val="2"/>
        <w:spacing w:before="147" w:line="343" w:lineRule="auto"/>
        <w:ind w:left="40" w:right="30" w:firstLine="479"/>
        <w:jc w:val="both"/>
        <w:rPr>
          <w:sz w:val="24"/>
          <w:szCs w:val="24"/>
        </w:rPr>
      </w:pPr>
      <w:r>
        <w:rPr>
          <w:spacing w:val="-2"/>
          <w:sz w:val="24"/>
          <w:szCs w:val="24"/>
        </w:rPr>
        <w:t>根据</w:t>
      </w:r>
      <w:r>
        <w:rPr>
          <w:spacing w:val="-29"/>
          <w:sz w:val="24"/>
          <w:szCs w:val="24"/>
        </w:rPr>
        <w:t xml:space="preserve"> </w:t>
      </w:r>
      <w:r>
        <w:rPr>
          <w:rFonts w:ascii="Times New Roman" w:hAnsi="Times New Roman" w:eastAsia="Times New Roman" w:cs="Times New Roman"/>
          <w:spacing w:val="-2"/>
          <w:sz w:val="24"/>
          <w:szCs w:val="24"/>
        </w:rPr>
        <w:t>2020</w:t>
      </w:r>
      <w:r>
        <w:rPr>
          <w:rFonts w:ascii="Times New Roman" w:hAnsi="Times New Roman" w:eastAsia="Times New Roman" w:cs="Times New Roman"/>
          <w:spacing w:val="36"/>
          <w:sz w:val="24"/>
          <w:szCs w:val="24"/>
        </w:rPr>
        <w:t xml:space="preserve"> </w:t>
      </w:r>
      <w:r>
        <w:rPr>
          <w:spacing w:val="-2"/>
          <w:sz w:val="24"/>
          <w:szCs w:val="24"/>
        </w:rPr>
        <w:t xml:space="preserve">年 </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41"/>
          <w:w w:val="101"/>
          <w:sz w:val="24"/>
          <w:szCs w:val="24"/>
        </w:rPr>
        <w:t xml:space="preserve"> </w:t>
      </w:r>
      <w:r>
        <w:rPr>
          <w:spacing w:val="-2"/>
          <w:sz w:val="24"/>
          <w:szCs w:val="24"/>
        </w:rPr>
        <w:t>月云南环绿环境检测技术有限公司编制的《云南省</w:t>
      </w:r>
      <w:r>
        <w:rPr>
          <w:spacing w:val="-3"/>
          <w:sz w:val="24"/>
          <w:szCs w:val="24"/>
        </w:rPr>
        <w:t>曲靖市车</w:t>
      </w:r>
      <w:r>
        <w:rPr>
          <w:spacing w:val="-4"/>
          <w:sz w:val="24"/>
          <w:szCs w:val="24"/>
        </w:rPr>
        <w:t>马碧水库工程施工期生态监测报告》，施工期调查区植被类型包括自然植被</w:t>
      </w:r>
      <w:r>
        <w:rPr>
          <w:spacing w:val="-5"/>
          <w:sz w:val="24"/>
          <w:szCs w:val="24"/>
        </w:rPr>
        <w:t>和人工</w:t>
      </w:r>
      <w:r>
        <w:rPr>
          <w:spacing w:val="-2"/>
          <w:sz w:val="24"/>
          <w:szCs w:val="24"/>
        </w:rPr>
        <w:t>植被两大类，其中自然植被被划分为</w:t>
      </w:r>
      <w:r>
        <w:rPr>
          <w:spacing w:val="-41"/>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18"/>
          <w:sz w:val="24"/>
          <w:szCs w:val="24"/>
        </w:rPr>
        <w:t xml:space="preserve"> </w:t>
      </w:r>
      <w:r>
        <w:rPr>
          <w:spacing w:val="-2"/>
          <w:sz w:val="24"/>
          <w:szCs w:val="24"/>
        </w:rPr>
        <w:t>个植被型、</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8"/>
          <w:sz w:val="24"/>
          <w:szCs w:val="24"/>
        </w:rPr>
        <w:t xml:space="preserve"> </w:t>
      </w:r>
      <w:r>
        <w:rPr>
          <w:spacing w:val="-2"/>
          <w:sz w:val="24"/>
          <w:szCs w:val="24"/>
        </w:rPr>
        <w:t>个植被亚型和</w:t>
      </w:r>
      <w:r>
        <w:rPr>
          <w:spacing w:val="-24"/>
          <w:sz w:val="24"/>
          <w:szCs w:val="24"/>
        </w:rPr>
        <w:t xml:space="preserve"> </w:t>
      </w:r>
      <w:r>
        <w:rPr>
          <w:rFonts w:ascii="Times New Roman" w:hAnsi="Times New Roman" w:eastAsia="Times New Roman" w:cs="Times New Roman"/>
          <w:spacing w:val="-2"/>
          <w:sz w:val="24"/>
          <w:szCs w:val="24"/>
        </w:rPr>
        <w:t>16</w:t>
      </w:r>
      <w:r>
        <w:rPr>
          <w:rFonts w:ascii="Times New Roman" w:hAnsi="Times New Roman" w:eastAsia="Times New Roman" w:cs="Times New Roman"/>
          <w:spacing w:val="18"/>
          <w:w w:val="101"/>
          <w:sz w:val="24"/>
          <w:szCs w:val="24"/>
        </w:rPr>
        <w:t xml:space="preserve"> </w:t>
      </w:r>
      <w:r>
        <w:rPr>
          <w:spacing w:val="-3"/>
          <w:sz w:val="24"/>
          <w:szCs w:val="24"/>
        </w:rPr>
        <w:t>个群系，详</w:t>
      </w:r>
    </w:p>
    <w:p w14:paraId="105BD4FD">
      <w:pPr>
        <w:spacing w:line="343" w:lineRule="auto"/>
        <w:rPr>
          <w:sz w:val="24"/>
          <w:szCs w:val="24"/>
        </w:rPr>
        <w:sectPr>
          <w:headerReference r:id="rId154" w:type="default"/>
          <w:footerReference r:id="rId155" w:type="default"/>
          <w:pgSz w:w="11907" w:h="16839"/>
          <w:pgMar w:top="1376" w:right="1669" w:bottom="1061" w:left="1671" w:header="999" w:footer="861" w:gutter="0"/>
          <w:cols w:space="720" w:num="1"/>
        </w:sectPr>
      </w:pPr>
    </w:p>
    <w:p w14:paraId="7A4A06C7">
      <w:pPr>
        <w:spacing w:line="455" w:lineRule="auto"/>
        <w:rPr>
          <w:rFonts w:ascii="Arial"/>
          <w:sz w:val="21"/>
        </w:rPr>
      </w:pPr>
    </w:p>
    <w:p w14:paraId="3AE98D6D">
      <w:pPr>
        <w:pStyle w:val="2"/>
        <w:spacing w:before="78" w:line="233" w:lineRule="auto"/>
        <w:ind w:left="43"/>
        <w:rPr>
          <w:sz w:val="24"/>
          <w:szCs w:val="24"/>
        </w:rPr>
      </w:pPr>
      <w:r>
        <w:rPr>
          <w:spacing w:val="-3"/>
          <w:sz w:val="24"/>
          <w:szCs w:val="24"/>
        </w:rPr>
        <w:t>见表</w:t>
      </w:r>
      <w:r>
        <w:rPr>
          <w:spacing w:val="-50"/>
          <w:sz w:val="24"/>
          <w:szCs w:val="24"/>
        </w:rPr>
        <w:t xml:space="preserve"> </w:t>
      </w:r>
      <w:r>
        <w:rPr>
          <w:rFonts w:ascii="Times New Roman" w:hAnsi="Times New Roman" w:eastAsia="Times New Roman" w:cs="Times New Roman"/>
          <w:spacing w:val="-3"/>
          <w:sz w:val="24"/>
          <w:szCs w:val="24"/>
        </w:rPr>
        <w:t>6.1-3</w:t>
      </w:r>
      <w:r>
        <w:rPr>
          <w:spacing w:val="-3"/>
          <w:sz w:val="24"/>
          <w:szCs w:val="24"/>
        </w:rPr>
        <w:t>。</w:t>
      </w:r>
    </w:p>
    <w:p w14:paraId="23B4D9B4">
      <w:pPr>
        <w:pStyle w:val="2"/>
        <w:spacing w:before="137" w:line="226" w:lineRule="auto"/>
        <w:ind w:left="279"/>
        <w:rPr>
          <w:sz w:val="24"/>
          <w:szCs w:val="24"/>
        </w:rPr>
      </w:pPr>
      <w:r>
        <w:rPr>
          <w:b/>
          <w:bCs/>
          <w:spacing w:val="-1"/>
          <w:sz w:val="24"/>
          <w:szCs w:val="24"/>
        </w:rPr>
        <w:t>表</w:t>
      </w:r>
      <w:r>
        <w:rPr>
          <w:spacing w:val="-41"/>
          <w:sz w:val="24"/>
          <w:szCs w:val="24"/>
        </w:rPr>
        <w:t xml:space="preserve"> </w:t>
      </w:r>
      <w:r>
        <w:rPr>
          <w:rFonts w:ascii="Times New Roman" w:hAnsi="Times New Roman" w:eastAsia="Times New Roman" w:cs="Times New Roman"/>
          <w:b/>
          <w:bCs/>
          <w:spacing w:val="-1"/>
          <w:sz w:val="24"/>
          <w:szCs w:val="24"/>
        </w:rPr>
        <w:t xml:space="preserve">6.1-3                        </w:t>
      </w:r>
      <w:r>
        <w:rPr>
          <w:b/>
          <w:bCs/>
          <w:spacing w:val="-1"/>
          <w:sz w:val="24"/>
          <w:szCs w:val="24"/>
        </w:rPr>
        <w:t>施工期调查区植被类型概况（</w:t>
      </w:r>
      <w:r>
        <w:rPr>
          <w:rFonts w:ascii="Times New Roman" w:hAnsi="Times New Roman" w:eastAsia="Times New Roman" w:cs="Times New Roman"/>
          <w:b/>
          <w:bCs/>
          <w:spacing w:val="-1"/>
          <w:sz w:val="24"/>
          <w:szCs w:val="24"/>
        </w:rPr>
        <w:t xml:space="preserve">2020 </w:t>
      </w:r>
      <w:r>
        <w:rPr>
          <w:b/>
          <w:bCs/>
          <w:spacing w:val="-1"/>
          <w:sz w:val="24"/>
          <w:szCs w:val="24"/>
        </w:rPr>
        <w:t>年）</w:t>
      </w: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9"/>
        <w:gridCol w:w="1796"/>
        <w:gridCol w:w="1934"/>
        <w:gridCol w:w="4095"/>
      </w:tblGrid>
      <w:tr w14:paraId="133FF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649" w:type="dxa"/>
            <w:tcBorders>
              <w:top w:val="single" w:color="000000" w:sz="12" w:space="0"/>
              <w:left w:val="single" w:color="000000" w:sz="12" w:space="0"/>
            </w:tcBorders>
            <w:vAlign w:val="top"/>
          </w:tcPr>
          <w:p w14:paraId="418C649F">
            <w:pPr>
              <w:spacing w:before="86" w:line="220" w:lineRule="auto"/>
              <w:ind w:left="103"/>
              <w:rPr>
                <w:rFonts w:ascii="宋体" w:hAnsi="宋体" w:eastAsia="宋体" w:cs="宋体"/>
                <w:sz w:val="21"/>
                <w:szCs w:val="21"/>
              </w:rPr>
            </w:pPr>
            <w:r>
              <w:rPr>
                <w:rFonts w:ascii="宋体" w:hAnsi="宋体" w:eastAsia="宋体" w:cs="宋体"/>
                <w:spacing w:val="-3"/>
                <w:sz w:val="21"/>
                <w:szCs w:val="21"/>
              </w:rPr>
              <w:t>分类</w:t>
            </w:r>
          </w:p>
        </w:tc>
        <w:tc>
          <w:tcPr>
            <w:tcW w:w="1796" w:type="dxa"/>
            <w:tcBorders>
              <w:top w:val="single" w:color="000000" w:sz="12" w:space="0"/>
            </w:tcBorders>
            <w:vAlign w:val="top"/>
          </w:tcPr>
          <w:p w14:paraId="67A2F3F1">
            <w:pPr>
              <w:spacing w:before="86" w:line="220" w:lineRule="auto"/>
              <w:ind w:left="577"/>
              <w:rPr>
                <w:rFonts w:ascii="宋体" w:hAnsi="宋体" w:eastAsia="宋体" w:cs="宋体"/>
                <w:sz w:val="21"/>
                <w:szCs w:val="21"/>
              </w:rPr>
            </w:pPr>
            <w:r>
              <w:rPr>
                <w:rFonts w:ascii="宋体" w:hAnsi="宋体" w:eastAsia="宋体" w:cs="宋体"/>
                <w:spacing w:val="-3"/>
                <w:sz w:val="21"/>
                <w:szCs w:val="21"/>
              </w:rPr>
              <w:t>植被型</w:t>
            </w:r>
          </w:p>
        </w:tc>
        <w:tc>
          <w:tcPr>
            <w:tcW w:w="1934" w:type="dxa"/>
            <w:tcBorders>
              <w:top w:val="single" w:color="000000" w:sz="12" w:space="0"/>
            </w:tcBorders>
            <w:vAlign w:val="top"/>
          </w:tcPr>
          <w:p w14:paraId="27E3EADF">
            <w:pPr>
              <w:spacing w:before="86" w:line="220" w:lineRule="auto"/>
              <w:ind w:left="547"/>
              <w:rPr>
                <w:rFonts w:ascii="宋体" w:hAnsi="宋体" w:eastAsia="宋体" w:cs="宋体"/>
                <w:sz w:val="21"/>
                <w:szCs w:val="21"/>
              </w:rPr>
            </w:pPr>
            <w:r>
              <w:rPr>
                <w:rFonts w:ascii="宋体" w:hAnsi="宋体" w:eastAsia="宋体" w:cs="宋体"/>
                <w:spacing w:val="-2"/>
                <w:sz w:val="21"/>
                <w:szCs w:val="21"/>
              </w:rPr>
              <w:t>植被亚型</w:t>
            </w:r>
          </w:p>
        </w:tc>
        <w:tc>
          <w:tcPr>
            <w:tcW w:w="4095" w:type="dxa"/>
            <w:tcBorders>
              <w:top w:val="single" w:color="000000" w:sz="12" w:space="0"/>
              <w:right w:val="single" w:color="000000" w:sz="12" w:space="0"/>
            </w:tcBorders>
            <w:vAlign w:val="top"/>
          </w:tcPr>
          <w:p w14:paraId="5B243A8F">
            <w:pPr>
              <w:spacing w:before="86" w:line="220" w:lineRule="auto"/>
              <w:ind w:left="1839"/>
              <w:rPr>
                <w:rFonts w:ascii="宋体" w:hAnsi="宋体" w:eastAsia="宋体" w:cs="宋体"/>
                <w:sz w:val="21"/>
                <w:szCs w:val="21"/>
              </w:rPr>
            </w:pPr>
            <w:r>
              <w:rPr>
                <w:rFonts w:ascii="宋体" w:hAnsi="宋体" w:eastAsia="宋体" w:cs="宋体"/>
                <w:spacing w:val="-3"/>
                <w:sz w:val="21"/>
                <w:szCs w:val="21"/>
              </w:rPr>
              <w:t>群系</w:t>
            </w:r>
          </w:p>
        </w:tc>
      </w:tr>
      <w:tr w14:paraId="5B8E8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restart"/>
            <w:tcBorders>
              <w:left w:val="single" w:color="000000" w:sz="12" w:space="0"/>
              <w:bottom w:val="nil"/>
            </w:tcBorders>
            <w:vAlign w:val="top"/>
          </w:tcPr>
          <w:p w14:paraId="5787789B">
            <w:pPr>
              <w:spacing w:line="261" w:lineRule="auto"/>
              <w:rPr>
                <w:rFonts w:ascii="Arial"/>
                <w:sz w:val="21"/>
              </w:rPr>
            </w:pPr>
          </w:p>
          <w:p w14:paraId="4449B832">
            <w:pPr>
              <w:spacing w:line="261" w:lineRule="auto"/>
              <w:rPr>
                <w:rFonts w:ascii="Arial"/>
                <w:sz w:val="21"/>
              </w:rPr>
            </w:pPr>
          </w:p>
          <w:p w14:paraId="286D3FD9">
            <w:pPr>
              <w:spacing w:line="261" w:lineRule="auto"/>
              <w:rPr>
                <w:rFonts w:ascii="Arial"/>
                <w:sz w:val="21"/>
              </w:rPr>
            </w:pPr>
          </w:p>
          <w:p w14:paraId="15C44330">
            <w:pPr>
              <w:spacing w:line="261" w:lineRule="auto"/>
              <w:rPr>
                <w:rFonts w:ascii="Arial"/>
                <w:sz w:val="21"/>
              </w:rPr>
            </w:pPr>
          </w:p>
          <w:p w14:paraId="60FFB6C8">
            <w:pPr>
              <w:spacing w:line="261" w:lineRule="auto"/>
              <w:rPr>
                <w:rFonts w:ascii="Arial"/>
                <w:sz w:val="21"/>
              </w:rPr>
            </w:pPr>
          </w:p>
          <w:p w14:paraId="4C1D9B63">
            <w:pPr>
              <w:spacing w:line="261" w:lineRule="auto"/>
              <w:rPr>
                <w:rFonts w:ascii="Arial"/>
                <w:sz w:val="21"/>
              </w:rPr>
            </w:pPr>
          </w:p>
          <w:p w14:paraId="6EC15179">
            <w:pPr>
              <w:spacing w:line="261" w:lineRule="auto"/>
              <w:rPr>
                <w:rFonts w:ascii="Arial"/>
                <w:sz w:val="21"/>
              </w:rPr>
            </w:pPr>
          </w:p>
          <w:p w14:paraId="1C47D199">
            <w:pPr>
              <w:spacing w:line="261" w:lineRule="auto"/>
              <w:rPr>
                <w:rFonts w:ascii="Arial"/>
                <w:sz w:val="21"/>
              </w:rPr>
            </w:pPr>
          </w:p>
          <w:p w14:paraId="69EAFC2E">
            <w:pPr>
              <w:spacing w:line="262" w:lineRule="auto"/>
              <w:rPr>
                <w:rFonts w:ascii="Arial"/>
                <w:sz w:val="21"/>
              </w:rPr>
            </w:pPr>
          </w:p>
          <w:p w14:paraId="1CFACA8F">
            <w:pPr>
              <w:spacing w:line="262" w:lineRule="auto"/>
              <w:rPr>
                <w:rFonts w:ascii="Arial"/>
                <w:sz w:val="21"/>
              </w:rPr>
            </w:pPr>
          </w:p>
          <w:p w14:paraId="2427C55F">
            <w:pPr>
              <w:spacing w:line="262" w:lineRule="auto"/>
              <w:rPr>
                <w:rFonts w:ascii="Arial"/>
                <w:sz w:val="21"/>
              </w:rPr>
            </w:pPr>
          </w:p>
          <w:p w14:paraId="12BD9D8C">
            <w:pPr>
              <w:spacing w:before="68" w:line="242" w:lineRule="auto"/>
              <w:ind w:left="101" w:right="116" w:firstLine="33"/>
              <w:rPr>
                <w:rFonts w:ascii="宋体" w:hAnsi="宋体" w:eastAsia="宋体" w:cs="宋体"/>
                <w:sz w:val="21"/>
                <w:szCs w:val="21"/>
              </w:rPr>
            </w:pPr>
            <w:r>
              <w:rPr>
                <w:rFonts w:ascii="宋体" w:hAnsi="宋体" w:eastAsia="宋体" w:cs="宋体"/>
                <w:spacing w:val="-22"/>
                <w:sz w:val="21"/>
                <w:szCs w:val="21"/>
              </w:rPr>
              <w:t>自然</w:t>
            </w:r>
            <w:r>
              <w:rPr>
                <w:rFonts w:ascii="宋体" w:hAnsi="宋体" w:eastAsia="宋体" w:cs="宋体"/>
                <w:spacing w:val="-5"/>
                <w:sz w:val="21"/>
                <w:szCs w:val="21"/>
              </w:rPr>
              <w:t>植被</w:t>
            </w:r>
          </w:p>
        </w:tc>
        <w:tc>
          <w:tcPr>
            <w:tcW w:w="1796" w:type="dxa"/>
            <w:vMerge w:val="restart"/>
            <w:tcBorders>
              <w:bottom w:val="nil"/>
            </w:tcBorders>
            <w:vAlign w:val="top"/>
          </w:tcPr>
          <w:p w14:paraId="5980D1DF">
            <w:pPr>
              <w:pStyle w:val="6"/>
              <w:spacing w:before="288" w:line="233" w:lineRule="auto"/>
              <w:ind w:left="275"/>
              <w:rPr>
                <w:rFonts w:ascii="宋体" w:hAnsi="宋体" w:eastAsia="宋体" w:cs="宋体"/>
              </w:rPr>
            </w:pPr>
            <w:r>
              <w:rPr>
                <w:spacing w:val="-3"/>
              </w:rPr>
              <w:t>I</w:t>
            </w:r>
            <w:r>
              <w:rPr>
                <w:spacing w:val="7"/>
              </w:rPr>
              <w:t xml:space="preserve">  </w:t>
            </w:r>
            <w:r>
              <w:rPr>
                <w:rFonts w:ascii="宋体" w:hAnsi="宋体" w:eastAsia="宋体" w:cs="宋体"/>
                <w:spacing w:val="-3"/>
              </w:rPr>
              <w:t>常绿阔叶林</w:t>
            </w:r>
          </w:p>
        </w:tc>
        <w:tc>
          <w:tcPr>
            <w:tcW w:w="1934" w:type="dxa"/>
            <w:vMerge w:val="restart"/>
            <w:tcBorders>
              <w:bottom w:val="nil"/>
            </w:tcBorders>
            <w:vAlign w:val="top"/>
          </w:tcPr>
          <w:p w14:paraId="1239B5E3">
            <w:pPr>
              <w:spacing w:before="287" w:line="220" w:lineRule="auto"/>
              <w:ind w:left="130"/>
              <w:rPr>
                <w:rFonts w:ascii="宋体" w:hAnsi="宋体" w:eastAsia="宋体" w:cs="宋体"/>
                <w:sz w:val="21"/>
                <w:szCs w:val="21"/>
              </w:rPr>
            </w:pPr>
            <w:r>
              <w:rPr>
                <w:rFonts w:ascii="宋体" w:hAnsi="宋体" w:eastAsia="宋体" w:cs="宋体"/>
                <w:spacing w:val="-2"/>
                <w:sz w:val="21"/>
                <w:szCs w:val="21"/>
              </w:rPr>
              <w:t>半湿润常绿阔叶林</w:t>
            </w:r>
          </w:p>
        </w:tc>
        <w:tc>
          <w:tcPr>
            <w:tcW w:w="4095" w:type="dxa"/>
            <w:tcBorders>
              <w:right w:val="single" w:color="000000" w:sz="12" w:space="0"/>
            </w:tcBorders>
            <w:vAlign w:val="top"/>
          </w:tcPr>
          <w:p w14:paraId="3D6E0AA6">
            <w:pPr>
              <w:pStyle w:val="6"/>
              <w:spacing w:before="86" w:line="233" w:lineRule="auto"/>
              <w:ind w:left="127"/>
            </w:pPr>
            <w:r>
              <w:rPr>
                <w:spacing w:val="-4"/>
              </w:rPr>
              <w:t>1</w:t>
            </w:r>
            <w:r>
              <w:rPr>
                <w:rFonts w:ascii="宋体" w:hAnsi="宋体" w:eastAsia="宋体" w:cs="宋体"/>
                <w:spacing w:val="-4"/>
              </w:rPr>
              <w:t>）滇青冈林</w:t>
            </w:r>
            <w:r>
              <w:rPr>
                <w:spacing w:val="-4"/>
              </w:rPr>
              <w:t>*</w:t>
            </w:r>
          </w:p>
        </w:tc>
      </w:tr>
      <w:tr w14:paraId="14BEC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32952BC7">
            <w:pPr>
              <w:rPr>
                <w:rFonts w:ascii="Arial"/>
                <w:sz w:val="21"/>
              </w:rPr>
            </w:pPr>
          </w:p>
        </w:tc>
        <w:tc>
          <w:tcPr>
            <w:tcW w:w="1796" w:type="dxa"/>
            <w:vMerge w:val="continue"/>
            <w:tcBorders>
              <w:top w:val="nil"/>
            </w:tcBorders>
            <w:vAlign w:val="top"/>
          </w:tcPr>
          <w:p w14:paraId="1DE79559">
            <w:pPr>
              <w:rPr>
                <w:rFonts w:ascii="Arial"/>
                <w:sz w:val="21"/>
              </w:rPr>
            </w:pPr>
          </w:p>
        </w:tc>
        <w:tc>
          <w:tcPr>
            <w:tcW w:w="1934" w:type="dxa"/>
            <w:vMerge w:val="continue"/>
            <w:tcBorders>
              <w:top w:val="nil"/>
            </w:tcBorders>
            <w:vAlign w:val="top"/>
          </w:tcPr>
          <w:p w14:paraId="0EDE25C8">
            <w:pPr>
              <w:rPr>
                <w:rFonts w:ascii="Arial"/>
                <w:sz w:val="21"/>
              </w:rPr>
            </w:pPr>
          </w:p>
        </w:tc>
        <w:tc>
          <w:tcPr>
            <w:tcW w:w="4095" w:type="dxa"/>
            <w:tcBorders>
              <w:right w:val="single" w:color="000000" w:sz="12" w:space="0"/>
            </w:tcBorders>
            <w:vAlign w:val="top"/>
          </w:tcPr>
          <w:p w14:paraId="609F49F2">
            <w:pPr>
              <w:pStyle w:val="6"/>
              <w:spacing w:before="88" w:line="233" w:lineRule="auto"/>
              <w:ind w:left="107"/>
              <w:rPr>
                <w:rFonts w:ascii="宋体" w:hAnsi="宋体" w:eastAsia="宋体" w:cs="宋体"/>
              </w:rPr>
            </w:pPr>
            <w:r>
              <w:rPr>
                <w:spacing w:val="-1"/>
              </w:rPr>
              <w:t>2</w:t>
            </w:r>
            <w:r>
              <w:rPr>
                <w:rFonts w:ascii="宋体" w:hAnsi="宋体" w:eastAsia="宋体" w:cs="宋体"/>
                <w:spacing w:val="-1"/>
              </w:rPr>
              <w:t>）黄毛青冈林</w:t>
            </w:r>
          </w:p>
        </w:tc>
      </w:tr>
      <w:tr w14:paraId="040F6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156736FF">
            <w:pPr>
              <w:rPr>
                <w:rFonts w:ascii="Arial"/>
                <w:sz w:val="21"/>
              </w:rPr>
            </w:pPr>
          </w:p>
        </w:tc>
        <w:tc>
          <w:tcPr>
            <w:tcW w:w="1796" w:type="dxa"/>
            <w:vAlign w:val="top"/>
          </w:tcPr>
          <w:p w14:paraId="3DA59181">
            <w:pPr>
              <w:pStyle w:val="6"/>
              <w:spacing w:before="90" w:line="233" w:lineRule="auto"/>
              <w:ind w:left="241"/>
              <w:rPr>
                <w:rFonts w:ascii="宋体" w:hAnsi="宋体" w:eastAsia="宋体" w:cs="宋体"/>
              </w:rPr>
            </w:pPr>
            <w:r>
              <w:rPr>
                <w:spacing w:val="-1"/>
              </w:rPr>
              <w:t xml:space="preserve">II  </w:t>
            </w:r>
            <w:r>
              <w:rPr>
                <w:rFonts w:ascii="宋体" w:hAnsi="宋体" w:eastAsia="宋体" w:cs="宋体"/>
                <w:spacing w:val="-1"/>
              </w:rPr>
              <w:t>落叶阔叶林</w:t>
            </w:r>
          </w:p>
        </w:tc>
        <w:tc>
          <w:tcPr>
            <w:tcW w:w="1934" w:type="dxa"/>
            <w:vAlign w:val="top"/>
          </w:tcPr>
          <w:p w14:paraId="2685FEA3">
            <w:pPr>
              <w:spacing w:before="89" w:line="220" w:lineRule="auto"/>
              <w:ind w:left="134"/>
              <w:rPr>
                <w:rFonts w:ascii="宋体" w:hAnsi="宋体" w:eastAsia="宋体" w:cs="宋体"/>
                <w:sz w:val="21"/>
                <w:szCs w:val="21"/>
              </w:rPr>
            </w:pPr>
            <w:r>
              <w:rPr>
                <w:rFonts w:ascii="宋体" w:hAnsi="宋体" w:eastAsia="宋体" w:cs="宋体"/>
                <w:spacing w:val="-2"/>
                <w:sz w:val="21"/>
                <w:szCs w:val="21"/>
              </w:rPr>
              <w:t>暖温性落叶阔叶林</w:t>
            </w:r>
          </w:p>
        </w:tc>
        <w:tc>
          <w:tcPr>
            <w:tcW w:w="4095" w:type="dxa"/>
            <w:tcBorders>
              <w:right w:val="single" w:color="000000" w:sz="12" w:space="0"/>
            </w:tcBorders>
            <w:vAlign w:val="top"/>
          </w:tcPr>
          <w:p w14:paraId="61F369AC">
            <w:pPr>
              <w:pStyle w:val="6"/>
              <w:spacing w:before="90" w:line="233" w:lineRule="auto"/>
              <w:ind w:left="111"/>
              <w:rPr>
                <w:rFonts w:ascii="宋体" w:hAnsi="宋体" w:eastAsia="宋体" w:cs="宋体"/>
              </w:rPr>
            </w:pPr>
            <w:r>
              <w:rPr>
                <w:spacing w:val="-1"/>
              </w:rPr>
              <w:t>3</w:t>
            </w:r>
            <w:r>
              <w:rPr>
                <w:rFonts w:ascii="宋体" w:hAnsi="宋体" w:eastAsia="宋体" w:cs="宋体"/>
                <w:spacing w:val="-1"/>
              </w:rPr>
              <w:t>）栓皮栎林</w:t>
            </w:r>
          </w:p>
        </w:tc>
      </w:tr>
      <w:tr w14:paraId="3BD0E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6EA264AD">
            <w:pPr>
              <w:rPr>
                <w:rFonts w:ascii="Arial"/>
                <w:sz w:val="21"/>
              </w:rPr>
            </w:pPr>
          </w:p>
        </w:tc>
        <w:tc>
          <w:tcPr>
            <w:tcW w:w="1796" w:type="dxa"/>
            <w:vMerge w:val="restart"/>
            <w:tcBorders>
              <w:bottom w:val="nil"/>
            </w:tcBorders>
            <w:vAlign w:val="top"/>
          </w:tcPr>
          <w:p w14:paraId="30B93C60">
            <w:pPr>
              <w:spacing w:line="311" w:lineRule="auto"/>
              <w:rPr>
                <w:rFonts w:ascii="Arial"/>
                <w:sz w:val="21"/>
              </w:rPr>
            </w:pPr>
          </w:p>
          <w:p w14:paraId="61E8608E">
            <w:pPr>
              <w:spacing w:line="311" w:lineRule="auto"/>
              <w:rPr>
                <w:rFonts w:ascii="Arial"/>
                <w:sz w:val="21"/>
              </w:rPr>
            </w:pPr>
          </w:p>
          <w:p w14:paraId="30052DD0">
            <w:pPr>
              <w:pStyle w:val="6"/>
              <w:spacing w:before="68" w:line="233" w:lineRule="auto"/>
              <w:ind w:left="206"/>
              <w:rPr>
                <w:rFonts w:ascii="宋体" w:hAnsi="宋体" w:eastAsia="宋体" w:cs="宋体"/>
              </w:rPr>
            </w:pPr>
            <w:r>
              <w:rPr>
                <w:spacing w:val="-3"/>
              </w:rPr>
              <w:t>III</w:t>
            </w:r>
            <w:r>
              <w:rPr>
                <w:spacing w:val="10"/>
              </w:rPr>
              <w:t xml:space="preserve">  </w:t>
            </w:r>
            <w:r>
              <w:rPr>
                <w:rFonts w:ascii="宋体" w:hAnsi="宋体" w:eastAsia="宋体" w:cs="宋体"/>
                <w:spacing w:val="-3"/>
              </w:rPr>
              <w:t>暖性针叶林</w:t>
            </w:r>
          </w:p>
        </w:tc>
        <w:tc>
          <w:tcPr>
            <w:tcW w:w="1934" w:type="dxa"/>
            <w:vMerge w:val="restart"/>
            <w:tcBorders>
              <w:bottom w:val="nil"/>
            </w:tcBorders>
            <w:vAlign w:val="top"/>
          </w:tcPr>
          <w:p w14:paraId="5AD6EB3B">
            <w:pPr>
              <w:spacing w:line="310" w:lineRule="auto"/>
              <w:rPr>
                <w:rFonts w:ascii="Arial"/>
                <w:sz w:val="21"/>
              </w:rPr>
            </w:pPr>
          </w:p>
          <w:p w14:paraId="61AF1460">
            <w:pPr>
              <w:spacing w:line="311" w:lineRule="auto"/>
              <w:rPr>
                <w:rFonts w:ascii="Arial"/>
                <w:sz w:val="21"/>
              </w:rPr>
            </w:pPr>
          </w:p>
          <w:p w14:paraId="55E7EC39">
            <w:pPr>
              <w:spacing w:before="68" w:line="220" w:lineRule="auto"/>
              <w:ind w:left="344"/>
              <w:rPr>
                <w:rFonts w:ascii="宋体" w:hAnsi="宋体" w:eastAsia="宋体" w:cs="宋体"/>
                <w:sz w:val="21"/>
                <w:szCs w:val="21"/>
              </w:rPr>
            </w:pPr>
            <w:r>
              <w:rPr>
                <w:rFonts w:ascii="宋体" w:hAnsi="宋体" w:eastAsia="宋体" w:cs="宋体"/>
                <w:spacing w:val="-3"/>
                <w:sz w:val="21"/>
                <w:szCs w:val="21"/>
              </w:rPr>
              <w:t>暖温性针叶林</w:t>
            </w:r>
          </w:p>
        </w:tc>
        <w:tc>
          <w:tcPr>
            <w:tcW w:w="4095" w:type="dxa"/>
            <w:tcBorders>
              <w:right w:val="single" w:color="000000" w:sz="12" w:space="0"/>
            </w:tcBorders>
            <w:vAlign w:val="top"/>
          </w:tcPr>
          <w:p w14:paraId="37C308C9">
            <w:pPr>
              <w:pStyle w:val="6"/>
              <w:spacing w:before="92" w:line="233" w:lineRule="auto"/>
              <w:ind w:left="105"/>
              <w:rPr>
                <w:rFonts w:ascii="宋体" w:hAnsi="宋体" w:eastAsia="宋体" w:cs="宋体"/>
              </w:rPr>
            </w:pPr>
            <w:r>
              <w:t>4</w:t>
            </w:r>
            <w:r>
              <w:rPr>
                <w:rFonts w:ascii="宋体" w:hAnsi="宋体" w:eastAsia="宋体" w:cs="宋体"/>
              </w:rPr>
              <w:t>）云南松林</w:t>
            </w:r>
          </w:p>
        </w:tc>
      </w:tr>
      <w:tr w14:paraId="303D6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29E93F18">
            <w:pPr>
              <w:rPr>
                <w:rFonts w:ascii="Arial"/>
                <w:sz w:val="21"/>
              </w:rPr>
            </w:pPr>
          </w:p>
        </w:tc>
        <w:tc>
          <w:tcPr>
            <w:tcW w:w="1796" w:type="dxa"/>
            <w:vMerge w:val="continue"/>
            <w:tcBorders>
              <w:top w:val="nil"/>
              <w:bottom w:val="nil"/>
            </w:tcBorders>
            <w:vAlign w:val="top"/>
          </w:tcPr>
          <w:p w14:paraId="3091D37F">
            <w:pPr>
              <w:rPr>
                <w:rFonts w:ascii="Arial"/>
                <w:sz w:val="21"/>
              </w:rPr>
            </w:pPr>
          </w:p>
        </w:tc>
        <w:tc>
          <w:tcPr>
            <w:tcW w:w="1934" w:type="dxa"/>
            <w:vMerge w:val="continue"/>
            <w:tcBorders>
              <w:top w:val="nil"/>
              <w:bottom w:val="nil"/>
            </w:tcBorders>
            <w:vAlign w:val="top"/>
          </w:tcPr>
          <w:p w14:paraId="2DD23B31">
            <w:pPr>
              <w:rPr>
                <w:rFonts w:ascii="Arial"/>
                <w:sz w:val="21"/>
              </w:rPr>
            </w:pPr>
          </w:p>
        </w:tc>
        <w:tc>
          <w:tcPr>
            <w:tcW w:w="4095" w:type="dxa"/>
            <w:tcBorders>
              <w:right w:val="single" w:color="000000" w:sz="12" w:space="0"/>
            </w:tcBorders>
            <w:vAlign w:val="top"/>
          </w:tcPr>
          <w:p w14:paraId="0A1A39FD">
            <w:pPr>
              <w:pStyle w:val="6"/>
              <w:spacing w:before="92" w:line="233" w:lineRule="auto"/>
              <w:ind w:left="112"/>
              <w:rPr>
                <w:rFonts w:ascii="宋体" w:hAnsi="宋体" w:eastAsia="宋体" w:cs="宋体"/>
              </w:rPr>
            </w:pPr>
            <w:r>
              <w:rPr>
                <w:spacing w:val="-2"/>
              </w:rPr>
              <w:t>5</w:t>
            </w:r>
            <w:r>
              <w:rPr>
                <w:rFonts w:ascii="宋体" w:hAnsi="宋体" w:eastAsia="宋体" w:cs="宋体"/>
                <w:spacing w:val="-2"/>
              </w:rPr>
              <w:t>）云南松林、黄毛青冈林</w:t>
            </w:r>
          </w:p>
        </w:tc>
      </w:tr>
      <w:tr w14:paraId="76B37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0B32B189">
            <w:pPr>
              <w:rPr>
                <w:rFonts w:ascii="Arial"/>
                <w:sz w:val="21"/>
              </w:rPr>
            </w:pPr>
          </w:p>
        </w:tc>
        <w:tc>
          <w:tcPr>
            <w:tcW w:w="1796" w:type="dxa"/>
            <w:vMerge w:val="continue"/>
            <w:tcBorders>
              <w:top w:val="nil"/>
              <w:bottom w:val="nil"/>
            </w:tcBorders>
            <w:vAlign w:val="top"/>
          </w:tcPr>
          <w:p w14:paraId="7CFF3914">
            <w:pPr>
              <w:rPr>
                <w:rFonts w:ascii="Arial"/>
                <w:sz w:val="21"/>
              </w:rPr>
            </w:pPr>
          </w:p>
        </w:tc>
        <w:tc>
          <w:tcPr>
            <w:tcW w:w="1934" w:type="dxa"/>
            <w:vMerge w:val="continue"/>
            <w:tcBorders>
              <w:top w:val="nil"/>
              <w:bottom w:val="nil"/>
            </w:tcBorders>
            <w:vAlign w:val="top"/>
          </w:tcPr>
          <w:p w14:paraId="0366A4F9">
            <w:pPr>
              <w:rPr>
                <w:rFonts w:ascii="Arial"/>
                <w:sz w:val="21"/>
              </w:rPr>
            </w:pPr>
          </w:p>
        </w:tc>
        <w:tc>
          <w:tcPr>
            <w:tcW w:w="4095" w:type="dxa"/>
            <w:tcBorders>
              <w:right w:val="single" w:color="000000" w:sz="12" w:space="0"/>
            </w:tcBorders>
            <w:vAlign w:val="top"/>
          </w:tcPr>
          <w:p w14:paraId="54BB69E6">
            <w:pPr>
              <w:pStyle w:val="6"/>
              <w:spacing w:before="95" w:line="233" w:lineRule="auto"/>
              <w:ind w:left="111"/>
              <w:rPr>
                <w:rFonts w:ascii="宋体" w:hAnsi="宋体" w:eastAsia="宋体" w:cs="宋体"/>
              </w:rPr>
            </w:pPr>
            <w:r>
              <w:rPr>
                <w:spacing w:val="-2"/>
              </w:rPr>
              <w:t>6</w:t>
            </w:r>
            <w:r>
              <w:rPr>
                <w:rFonts w:ascii="宋体" w:hAnsi="宋体" w:eastAsia="宋体" w:cs="宋体"/>
                <w:spacing w:val="-2"/>
              </w:rPr>
              <w:t>）云南松林、栓皮栎林</w:t>
            </w:r>
          </w:p>
        </w:tc>
      </w:tr>
      <w:tr w14:paraId="23FE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7FC0C0FF">
            <w:pPr>
              <w:rPr>
                <w:rFonts w:ascii="Arial"/>
                <w:sz w:val="21"/>
              </w:rPr>
            </w:pPr>
          </w:p>
        </w:tc>
        <w:tc>
          <w:tcPr>
            <w:tcW w:w="1796" w:type="dxa"/>
            <w:vMerge w:val="continue"/>
            <w:tcBorders>
              <w:top w:val="nil"/>
            </w:tcBorders>
            <w:vAlign w:val="top"/>
          </w:tcPr>
          <w:p w14:paraId="263D7C5B">
            <w:pPr>
              <w:rPr>
                <w:rFonts w:ascii="Arial"/>
                <w:sz w:val="21"/>
              </w:rPr>
            </w:pPr>
          </w:p>
        </w:tc>
        <w:tc>
          <w:tcPr>
            <w:tcW w:w="1934" w:type="dxa"/>
            <w:vMerge w:val="continue"/>
            <w:tcBorders>
              <w:top w:val="nil"/>
            </w:tcBorders>
            <w:vAlign w:val="top"/>
          </w:tcPr>
          <w:p w14:paraId="61A69290">
            <w:pPr>
              <w:rPr>
                <w:rFonts w:ascii="Arial"/>
                <w:sz w:val="21"/>
              </w:rPr>
            </w:pPr>
          </w:p>
        </w:tc>
        <w:tc>
          <w:tcPr>
            <w:tcW w:w="4095" w:type="dxa"/>
            <w:tcBorders>
              <w:right w:val="single" w:color="000000" w:sz="12" w:space="0"/>
            </w:tcBorders>
            <w:vAlign w:val="top"/>
          </w:tcPr>
          <w:p w14:paraId="78ECF6B1">
            <w:pPr>
              <w:pStyle w:val="6"/>
              <w:spacing w:before="96" w:line="233" w:lineRule="auto"/>
              <w:ind w:left="110"/>
              <w:rPr>
                <w:rFonts w:ascii="宋体" w:hAnsi="宋体" w:eastAsia="宋体" w:cs="宋体"/>
              </w:rPr>
            </w:pPr>
            <w:r>
              <w:rPr>
                <w:spacing w:val="-1"/>
              </w:rPr>
              <w:t>7</w:t>
            </w:r>
            <w:r>
              <w:rPr>
                <w:rFonts w:ascii="宋体" w:hAnsi="宋体" w:eastAsia="宋体" w:cs="宋体"/>
                <w:spacing w:val="-1"/>
              </w:rPr>
              <w:t>）华山松林</w:t>
            </w:r>
          </w:p>
        </w:tc>
      </w:tr>
      <w:tr w14:paraId="4B3D7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2DCC4F2E">
            <w:pPr>
              <w:rPr>
                <w:rFonts w:ascii="Arial"/>
                <w:sz w:val="21"/>
              </w:rPr>
            </w:pPr>
          </w:p>
        </w:tc>
        <w:tc>
          <w:tcPr>
            <w:tcW w:w="1796" w:type="dxa"/>
            <w:vMerge w:val="restart"/>
            <w:tcBorders>
              <w:bottom w:val="nil"/>
            </w:tcBorders>
            <w:vAlign w:val="top"/>
          </w:tcPr>
          <w:p w14:paraId="1A456CBA">
            <w:pPr>
              <w:pStyle w:val="6"/>
              <w:spacing w:before="297" w:line="220" w:lineRule="auto"/>
              <w:ind w:left="94"/>
              <w:rPr>
                <w:rFonts w:ascii="宋体" w:hAnsi="宋体" w:eastAsia="宋体" w:cs="宋体"/>
              </w:rPr>
            </w:pPr>
            <w:r>
              <w:rPr>
                <w:spacing w:val="-1"/>
              </w:rPr>
              <w:t xml:space="preserve">IV  </w:t>
            </w:r>
            <w:r>
              <w:rPr>
                <w:rFonts w:ascii="宋体" w:hAnsi="宋体" w:eastAsia="宋体" w:cs="宋体"/>
                <w:spacing w:val="-1"/>
              </w:rPr>
              <w:t>稀树灌木草丛</w:t>
            </w:r>
          </w:p>
        </w:tc>
        <w:tc>
          <w:tcPr>
            <w:tcW w:w="1934" w:type="dxa"/>
            <w:vMerge w:val="restart"/>
            <w:tcBorders>
              <w:bottom w:val="nil"/>
            </w:tcBorders>
            <w:vAlign w:val="top"/>
          </w:tcPr>
          <w:p w14:paraId="28973EE8">
            <w:pPr>
              <w:spacing w:before="162" w:line="248" w:lineRule="auto"/>
              <w:ind w:left="862" w:right="125" w:hanging="728"/>
              <w:rPr>
                <w:rFonts w:ascii="宋体" w:hAnsi="宋体" w:eastAsia="宋体" w:cs="宋体"/>
                <w:sz w:val="21"/>
                <w:szCs w:val="21"/>
              </w:rPr>
            </w:pPr>
            <w:r>
              <w:rPr>
                <w:rFonts w:ascii="宋体" w:hAnsi="宋体" w:eastAsia="宋体" w:cs="宋体"/>
                <w:spacing w:val="-3"/>
                <w:sz w:val="21"/>
                <w:szCs w:val="21"/>
              </w:rPr>
              <w:t>暖温性稀树灌木草</w:t>
            </w:r>
            <w:r>
              <w:rPr>
                <w:rFonts w:ascii="宋体" w:hAnsi="宋体" w:eastAsia="宋体" w:cs="宋体"/>
                <w:sz w:val="21"/>
                <w:szCs w:val="21"/>
              </w:rPr>
              <w:t>丛</w:t>
            </w:r>
          </w:p>
        </w:tc>
        <w:tc>
          <w:tcPr>
            <w:tcW w:w="4095" w:type="dxa"/>
            <w:tcBorders>
              <w:right w:val="single" w:color="000000" w:sz="12" w:space="0"/>
            </w:tcBorders>
            <w:vAlign w:val="top"/>
          </w:tcPr>
          <w:p w14:paraId="34DDDD84">
            <w:pPr>
              <w:pStyle w:val="6"/>
              <w:spacing w:before="97" w:line="233" w:lineRule="auto"/>
              <w:ind w:left="115"/>
              <w:rPr>
                <w:rFonts w:ascii="宋体" w:hAnsi="宋体" w:eastAsia="宋体" w:cs="宋体"/>
              </w:rPr>
            </w:pPr>
            <w:r>
              <w:rPr>
                <w:spacing w:val="-2"/>
              </w:rPr>
              <w:t>8</w:t>
            </w:r>
            <w:r>
              <w:rPr>
                <w:rFonts w:ascii="宋体" w:hAnsi="宋体" w:eastAsia="宋体" w:cs="宋体"/>
                <w:spacing w:val="-2"/>
              </w:rPr>
              <w:t>）含云南松、白柯的中草草丛</w:t>
            </w:r>
          </w:p>
        </w:tc>
      </w:tr>
      <w:tr w14:paraId="7214F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5D3C46A9">
            <w:pPr>
              <w:rPr>
                <w:rFonts w:ascii="Arial"/>
                <w:sz w:val="21"/>
              </w:rPr>
            </w:pPr>
          </w:p>
        </w:tc>
        <w:tc>
          <w:tcPr>
            <w:tcW w:w="1796" w:type="dxa"/>
            <w:vMerge w:val="continue"/>
            <w:tcBorders>
              <w:top w:val="nil"/>
            </w:tcBorders>
            <w:vAlign w:val="top"/>
          </w:tcPr>
          <w:p w14:paraId="4BFCDE65">
            <w:pPr>
              <w:rPr>
                <w:rFonts w:ascii="Arial"/>
                <w:sz w:val="21"/>
              </w:rPr>
            </w:pPr>
          </w:p>
        </w:tc>
        <w:tc>
          <w:tcPr>
            <w:tcW w:w="1934" w:type="dxa"/>
            <w:vMerge w:val="continue"/>
            <w:tcBorders>
              <w:top w:val="nil"/>
            </w:tcBorders>
            <w:vAlign w:val="top"/>
          </w:tcPr>
          <w:p w14:paraId="663D7997">
            <w:pPr>
              <w:rPr>
                <w:rFonts w:ascii="Arial"/>
                <w:sz w:val="21"/>
              </w:rPr>
            </w:pPr>
          </w:p>
        </w:tc>
        <w:tc>
          <w:tcPr>
            <w:tcW w:w="4095" w:type="dxa"/>
            <w:tcBorders>
              <w:right w:val="single" w:color="000000" w:sz="12" w:space="0"/>
            </w:tcBorders>
            <w:vAlign w:val="top"/>
          </w:tcPr>
          <w:p w14:paraId="7ECA3032">
            <w:pPr>
              <w:pStyle w:val="6"/>
              <w:spacing w:before="98" w:line="233" w:lineRule="auto"/>
              <w:ind w:left="110"/>
              <w:rPr>
                <w:rFonts w:ascii="宋体" w:hAnsi="宋体" w:eastAsia="宋体" w:cs="宋体"/>
              </w:rPr>
            </w:pPr>
            <w:r>
              <w:rPr>
                <w:spacing w:val="-1"/>
              </w:rPr>
              <w:t>9</w:t>
            </w:r>
            <w:r>
              <w:rPr>
                <w:rFonts w:ascii="宋体" w:hAnsi="宋体" w:eastAsia="宋体" w:cs="宋体"/>
                <w:spacing w:val="-1"/>
              </w:rPr>
              <w:t>）含黄毛青冈、栓皮栎的中草草丛</w:t>
            </w:r>
          </w:p>
        </w:tc>
      </w:tr>
      <w:tr w14:paraId="71BD1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515B8F60">
            <w:pPr>
              <w:rPr>
                <w:rFonts w:ascii="Arial"/>
                <w:sz w:val="21"/>
              </w:rPr>
            </w:pPr>
          </w:p>
        </w:tc>
        <w:tc>
          <w:tcPr>
            <w:tcW w:w="1796" w:type="dxa"/>
            <w:vMerge w:val="restart"/>
            <w:tcBorders>
              <w:bottom w:val="nil"/>
            </w:tcBorders>
            <w:vAlign w:val="top"/>
          </w:tcPr>
          <w:p w14:paraId="0F7D7365">
            <w:pPr>
              <w:pStyle w:val="6"/>
              <w:spacing w:before="300" w:line="220" w:lineRule="auto"/>
              <w:ind w:left="546"/>
              <w:rPr>
                <w:rFonts w:ascii="宋体" w:hAnsi="宋体" w:eastAsia="宋体" w:cs="宋体"/>
              </w:rPr>
            </w:pPr>
            <w:r>
              <w:rPr>
                <w:spacing w:val="-3"/>
              </w:rPr>
              <w:t>Ⅴ</w:t>
            </w:r>
            <w:r>
              <w:rPr>
                <w:spacing w:val="5"/>
              </w:rPr>
              <w:t xml:space="preserve">  </w:t>
            </w:r>
            <w:r>
              <w:rPr>
                <w:rFonts w:ascii="宋体" w:hAnsi="宋体" w:eastAsia="宋体" w:cs="宋体"/>
                <w:spacing w:val="-3"/>
              </w:rPr>
              <w:t>灌丛</w:t>
            </w:r>
          </w:p>
        </w:tc>
        <w:tc>
          <w:tcPr>
            <w:tcW w:w="1934" w:type="dxa"/>
            <w:vMerge w:val="restart"/>
            <w:tcBorders>
              <w:bottom w:val="nil"/>
            </w:tcBorders>
            <w:vAlign w:val="top"/>
          </w:tcPr>
          <w:p w14:paraId="6E192068">
            <w:pPr>
              <w:spacing w:before="300" w:line="220" w:lineRule="auto"/>
              <w:ind w:left="240"/>
              <w:rPr>
                <w:rFonts w:ascii="宋体" w:hAnsi="宋体" w:eastAsia="宋体" w:cs="宋体"/>
                <w:sz w:val="21"/>
                <w:szCs w:val="21"/>
              </w:rPr>
            </w:pPr>
            <w:r>
              <w:rPr>
                <w:rFonts w:ascii="宋体" w:hAnsi="宋体" w:eastAsia="宋体" w:cs="宋体"/>
                <w:spacing w:val="-3"/>
                <w:sz w:val="21"/>
                <w:szCs w:val="21"/>
              </w:rPr>
              <w:t>暖性石灰岩灌丛</w:t>
            </w:r>
          </w:p>
        </w:tc>
        <w:tc>
          <w:tcPr>
            <w:tcW w:w="4095" w:type="dxa"/>
            <w:tcBorders>
              <w:right w:val="single" w:color="000000" w:sz="12" w:space="0"/>
            </w:tcBorders>
            <w:vAlign w:val="top"/>
          </w:tcPr>
          <w:p w14:paraId="78699D3A">
            <w:pPr>
              <w:pStyle w:val="6"/>
              <w:spacing w:before="99" w:line="233" w:lineRule="auto"/>
              <w:ind w:left="127"/>
              <w:rPr>
                <w:rFonts w:ascii="宋体" w:hAnsi="宋体" w:eastAsia="宋体" w:cs="宋体"/>
              </w:rPr>
            </w:pPr>
            <w:r>
              <w:rPr>
                <w:spacing w:val="-2"/>
              </w:rPr>
              <w:t>10</w:t>
            </w:r>
            <w:r>
              <w:rPr>
                <w:rFonts w:ascii="宋体" w:hAnsi="宋体" w:eastAsia="宋体" w:cs="宋体"/>
                <w:spacing w:val="-2"/>
              </w:rPr>
              <w:t>）火棘、马桑、黄杨叶栒子灌丛</w:t>
            </w:r>
          </w:p>
        </w:tc>
      </w:tr>
      <w:tr w14:paraId="66DD4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5E869BE2">
            <w:pPr>
              <w:rPr>
                <w:rFonts w:ascii="Arial"/>
                <w:sz w:val="21"/>
              </w:rPr>
            </w:pPr>
          </w:p>
        </w:tc>
        <w:tc>
          <w:tcPr>
            <w:tcW w:w="1796" w:type="dxa"/>
            <w:vMerge w:val="continue"/>
            <w:tcBorders>
              <w:top w:val="nil"/>
            </w:tcBorders>
            <w:vAlign w:val="top"/>
          </w:tcPr>
          <w:p w14:paraId="7ED85939">
            <w:pPr>
              <w:rPr>
                <w:rFonts w:ascii="Arial"/>
                <w:sz w:val="21"/>
              </w:rPr>
            </w:pPr>
          </w:p>
        </w:tc>
        <w:tc>
          <w:tcPr>
            <w:tcW w:w="1934" w:type="dxa"/>
            <w:vMerge w:val="continue"/>
            <w:tcBorders>
              <w:top w:val="nil"/>
            </w:tcBorders>
            <w:vAlign w:val="top"/>
          </w:tcPr>
          <w:p w14:paraId="3ABEC156">
            <w:pPr>
              <w:rPr>
                <w:rFonts w:ascii="Arial"/>
                <w:sz w:val="21"/>
              </w:rPr>
            </w:pPr>
          </w:p>
        </w:tc>
        <w:tc>
          <w:tcPr>
            <w:tcW w:w="4095" w:type="dxa"/>
            <w:tcBorders>
              <w:right w:val="single" w:color="000000" w:sz="12" w:space="0"/>
            </w:tcBorders>
            <w:vAlign w:val="top"/>
          </w:tcPr>
          <w:p w14:paraId="19C5864F">
            <w:pPr>
              <w:pStyle w:val="6"/>
              <w:spacing w:before="99" w:line="233" w:lineRule="auto"/>
              <w:ind w:left="127"/>
              <w:rPr>
                <w:rFonts w:ascii="宋体" w:hAnsi="宋体" w:eastAsia="宋体" w:cs="宋体"/>
              </w:rPr>
            </w:pPr>
            <w:r>
              <w:rPr>
                <w:spacing w:val="-7"/>
              </w:rPr>
              <w:t>11</w:t>
            </w:r>
            <w:r>
              <w:rPr>
                <w:rFonts w:ascii="宋体" w:hAnsi="宋体" w:eastAsia="宋体" w:cs="宋体"/>
                <w:spacing w:val="-7"/>
              </w:rPr>
              <w:t>）牛筋木、华西小石积、黄杨叶栒子灌丛</w:t>
            </w:r>
          </w:p>
        </w:tc>
      </w:tr>
      <w:tr w14:paraId="592B2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7038C42D">
            <w:pPr>
              <w:rPr>
                <w:rFonts w:ascii="Arial"/>
                <w:sz w:val="21"/>
              </w:rPr>
            </w:pPr>
          </w:p>
        </w:tc>
        <w:tc>
          <w:tcPr>
            <w:tcW w:w="1796" w:type="dxa"/>
            <w:vMerge w:val="restart"/>
            <w:tcBorders>
              <w:bottom w:val="nil"/>
            </w:tcBorders>
            <w:vAlign w:val="top"/>
          </w:tcPr>
          <w:p w14:paraId="558B4B82">
            <w:pPr>
              <w:spacing w:line="277" w:lineRule="auto"/>
              <w:rPr>
                <w:rFonts w:ascii="Arial"/>
                <w:sz w:val="21"/>
              </w:rPr>
            </w:pPr>
          </w:p>
          <w:p w14:paraId="562C426A">
            <w:pPr>
              <w:spacing w:line="277" w:lineRule="auto"/>
              <w:rPr>
                <w:rFonts w:ascii="Arial"/>
                <w:sz w:val="21"/>
              </w:rPr>
            </w:pPr>
          </w:p>
          <w:p w14:paraId="54A67023">
            <w:pPr>
              <w:spacing w:line="278" w:lineRule="auto"/>
              <w:rPr>
                <w:rFonts w:ascii="Arial"/>
                <w:sz w:val="21"/>
              </w:rPr>
            </w:pPr>
          </w:p>
          <w:p w14:paraId="21D89208">
            <w:pPr>
              <w:pStyle w:val="6"/>
              <w:spacing w:before="68" w:line="220" w:lineRule="auto"/>
              <w:ind w:left="301"/>
              <w:rPr>
                <w:rFonts w:ascii="宋体" w:hAnsi="宋体" w:eastAsia="宋体" w:cs="宋体"/>
              </w:rPr>
            </w:pPr>
            <w:r>
              <w:rPr>
                <w:spacing w:val="-2"/>
              </w:rPr>
              <w:t>VI</w:t>
            </w:r>
            <w:r>
              <w:rPr>
                <w:spacing w:val="5"/>
              </w:rPr>
              <w:t xml:space="preserve">  </w:t>
            </w:r>
            <w:r>
              <w:rPr>
                <w:rFonts w:ascii="宋体" w:hAnsi="宋体" w:eastAsia="宋体" w:cs="宋体"/>
                <w:spacing w:val="-2"/>
              </w:rPr>
              <w:t>水生植被</w:t>
            </w:r>
          </w:p>
        </w:tc>
        <w:tc>
          <w:tcPr>
            <w:tcW w:w="1934" w:type="dxa"/>
            <w:vMerge w:val="restart"/>
            <w:tcBorders>
              <w:bottom w:val="nil"/>
            </w:tcBorders>
            <w:vAlign w:val="top"/>
          </w:tcPr>
          <w:p w14:paraId="550FD289">
            <w:pPr>
              <w:spacing w:line="316" w:lineRule="auto"/>
              <w:rPr>
                <w:rFonts w:ascii="Arial"/>
                <w:sz w:val="21"/>
              </w:rPr>
            </w:pPr>
          </w:p>
          <w:p w14:paraId="4EE0D7C4">
            <w:pPr>
              <w:spacing w:line="317" w:lineRule="auto"/>
              <w:rPr>
                <w:rFonts w:ascii="Arial"/>
                <w:sz w:val="21"/>
              </w:rPr>
            </w:pPr>
          </w:p>
          <w:p w14:paraId="6D4F0248">
            <w:pPr>
              <w:spacing w:before="68" w:line="220" w:lineRule="auto"/>
              <w:ind w:left="545"/>
              <w:rPr>
                <w:rFonts w:ascii="宋体" w:hAnsi="宋体" w:eastAsia="宋体" w:cs="宋体"/>
                <w:sz w:val="21"/>
                <w:szCs w:val="21"/>
              </w:rPr>
            </w:pPr>
            <w:r>
              <w:rPr>
                <w:rFonts w:ascii="宋体" w:hAnsi="宋体" w:eastAsia="宋体" w:cs="宋体"/>
                <w:spacing w:val="-2"/>
                <w:sz w:val="21"/>
                <w:szCs w:val="21"/>
              </w:rPr>
              <w:t>挺水植物</w:t>
            </w:r>
          </w:p>
        </w:tc>
        <w:tc>
          <w:tcPr>
            <w:tcW w:w="4095" w:type="dxa"/>
            <w:tcBorders>
              <w:right w:val="single" w:color="000000" w:sz="12" w:space="0"/>
            </w:tcBorders>
            <w:vAlign w:val="top"/>
          </w:tcPr>
          <w:p w14:paraId="2D15CE76">
            <w:pPr>
              <w:pStyle w:val="6"/>
              <w:spacing w:before="102" w:line="233" w:lineRule="auto"/>
              <w:ind w:left="127"/>
            </w:pPr>
            <w:r>
              <w:rPr>
                <w:spacing w:val="-4"/>
              </w:rPr>
              <w:t>12</w:t>
            </w:r>
            <w:r>
              <w:rPr>
                <w:rFonts w:ascii="宋体" w:hAnsi="宋体" w:eastAsia="宋体" w:cs="宋体"/>
                <w:spacing w:val="-4"/>
              </w:rPr>
              <w:t>）芦苇群落</w:t>
            </w:r>
            <w:r>
              <w:rPr>
                <w:spacing w:val="-4"/>
              </w:rPr>
              <w:t>*</w:t>
            </w:r>
          </w:p>
        </w:tc>
      </w:tr>
      <w:tr w14:paraId="09C0E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1A6519D0">
            <w:pPr>
              <w:rPr>
                <w:rFonts w:ascii="Arial"/>
                <w:sz w:val="21"/>
              </w:rPr>
            </w:pPr>
          </w:p>
        </w:tc>
        <w:tc>
          <w:tcPr>
            <w:tcW w:w="1796" w:type="dxa"/>
            <w:vMerge w:val="continue"/>
            <w:tcBorders>
              <w:top w:val="nil"/>
              <w:bottom w:val="nil"/>
            </w:tcBorders>
            <w:vAlign w:val="top"/>
          </w:tcPr>
          <w:p w14:paraId="39B86AF6">
            <w:pPr>
              <w:rPr>
                <w:rFonts w:ascii="Arial"/>
                <w:sz w:val="21"/>
              </w:rPr>
            </w:pPr>
          </w:p>
        </w:tc>
        <w:tc>
          <w:tcPr>
            <w:tcW w:w="1934" w:type="dxa"/>
            <w:vMerge w:val="continue"/>
            <w:tcBorders>
              <w:top w:val="nil"/>
              <w:bottom w:val="nil"/>
            </w:tcBorders>
            <w:vAlign w:val="top"/>
          </w:tcPr>
          <w:p w14:paraId="1627EC91">
            <w:pPr>
              <w:rPr>
                <w:rFonts w:ascii="Arial"/>
                <w:sz w:val="21"/>
              </w:rPr>
            </w:pPr>
          </w:p>
        </w:tc>
        <w:tc>
          <w:tcPr>
            <w:tcW w:w="4095" w:type="dxa"/>
            <w:tcBorders>
              <w:right w:val="single" w:color="000000" w:sz="12" w:space="0"/>
            </w:tcBorders>
            <w:vAlign w:val="top"/>
          </w:tcPr>
          <w:p w14:paraId="49FEE0BE">
            <w:pPr>
              <w:pStyle w:val="6"/>
              <w:spacing w:before="105" w:line="233" w:lineRule="auto"/>
              <w:ind w:left="127"/>
            </w:pPr>
            <w:r>
              <w:rPr>
                <w:spacing w:val="-4"/>
              </w:rPr>
              <w:t>13</w:t>
            </w:r>
            <w:r>
              <w:rPr>
                <w:rFonts w:ascii="宋体" w:hAnsi="宋体" w:eastAsia="宋体" w:cs="宋体"/>
                <w:spacing w:val="-4"/>
              </w:rPr>
              <w:t>）水烛群落</w:t>
            </w:r>
            <w:r>
              <w:rPr>
                <w:spacing w:val="-4"/>
              </w:rPr>
              <w:t>*</w:t>
            </w:r>
          </w:p>
        </w:tc>
      </w:tr>
      <w:tr w14:paraId="0311F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49" w:type="dxa"/>
            <w:vMerge w:val="continue"/>
            <w:tcBorders>
              <w:top w:val="nil"/>
              <w:left w:val="single" w:color="000000" w:sz="12" w:space="0"/>
              <w:bottom w:val="nil"/>
            </w:tcBorders>
            <w:vAlign w:val="top"/>
          </w:tcPr>
          <w:p w14:paraId="6F119D67">
            <w:pPr>
              <w:rPr>
                <w:rFonts w:ascii="Arial"/>
                <w:sz w:val="21"/>
              </w:rPr>
            </w:pPr>
          </w:p>
        </w:tc>
        <w:tc>
          <w:tcPr>
            <w:tcW w:w="1796" w:type="dxa"/>
            <w:vMerge w:val="continue"/>
            <w:tcBorders>
              <w:top w:val="nil"/>
              <w:bottom w:val="nil"/>
            </w:tcBorders>
            <w:vAlign w:val="top"/>
          </w:tcPr>
          <w:p w14:paraId="3F6321D8">
            <w:pPr>
              <w:rPr>
                <w:rFonts w:ascii="Arial"/>
                <w:sz w:val="21"/>
              </w:rPr>
            </w:pPr>
          </w:p>
        </w:tc>
        <w:tc>
          <w:tcPr>
            <w:tcW w:w="1934" w:type="dxa"/>
            <w:vMerge w:val="continue"/>
            <w:tcBorders>
              <w:top w:val="nil"/>
              <w:bottom w:val="nil"/>
            </w:tcBorders>
            <w:vAlign w:val="top"/>
          </w:tcPr>
          <w:p w14:paraId="44C9488E">
            <w:pPr>
              <w:rPr>
                <w:rFonts w:ascii="Arial"/>
                <w:sz w:val="21"/>
              </w:rPr>
            </w:pPr>
          </w:p>
        </w:tc>
        <w:tc>
          <w:tcPr>
            <w:tcW w:w="4095" w:type="dxa"/>
            <w:tcBorders>
              <w:right w:val="single" w:color="000000" w:sz="12" w:space="0"/>
            </w:tcBorders>
            <w:vAlign w:val="top"/>
          </w:tcPr>
          <w:p w14:paraId="5D4ECDE5">
            <w:pPr>
              <w:pStyle w:val="6"/>
              <w:spacing w:before="106" w:line="233" w:lineRule="auto"/>
              <w:ind w:left="127"/>
            </w:pPr>
            <w:r>
              <w:rPr>
                <w:spacing w:val="-4"/>
              </w:rPr>
              <w:t>14</w:t>
            </w:r>
            <w:r>
              <w:rPr>
                <w:rFonts w:ascii="宋体" w:hAnsi="宋体" w:eastAsia="宋体" w:cs="宋体"/>
                <w:spacing w:val="-4"/>
              </w:rPr>
              <w:t>）水蓼群落</w:t>
            </w:r>
            <w:r>
              <w:rPr>
                <w:spacing w:val="-4"/>
              </w:rPr>
              <w:t>*</w:t>
            </w:r>
          </w:p>
        </w:tc>
      </w:tr>
      <w:tr w14:paraId="36E96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07172F2E">
            <w:pPr>
              <w:rPr>
                <w:rFonts w:ascii="Arial"/>
                <w:sz w:val="21"/>
              </w:rPr>
            </w:pPr>
          </w:p>
        </w:tc>
        <w:tc>
          <w:tcPr>
            <w:tcW w:w="1796" w:type="dxa"/>
            <w:vMerge w:val="continue"/>
            <w:tcBorders>
              <w:top w:val="nil"/>
              <w:bottom w:val="nil"/>
            </w:tcBorders>
            <w:vAlign w:val="top"/>
          </w:tcPr>
          <w:p w14:paraId="22091087">
            <w:pPr>
              <w:rPr>
                <w:rFonts w:ascii="Arial"/>
                <w:sz w:val="21"/>
              </w:rPr>
            </w:pPr>
          </w:p>
        </w:tc>
        <w:tc>
          <w:tcPr>
            <w:tcW w:w="1934" w:type="dxa"/>
            <w:vMerge w:val="continue"/>
            <w:tcBorders>
              <w:top w:val="nil"/>
            </w:tcBorders>
            <w:vAlign w:val="top"/>
          </w:tcPr>
          <w:p w14:paraId="0CE29AE7">
            <w:pPr>
              <w:rPr>
                <w:rFonts w:ascii="Arial"/>
                <w:sz w:val="21"/>
              </w:rPr>
            </w:pPr>
          </w:p>
        </w:tc>
        <w:tc>
          <w:tcPr>
            <w:tcW w:w="4095" w:type="dxa"/>
            <w:tcBorders>
              <w:right w:val="single" w:color="000000" w:sz="12" w:space="0"/>
            </w:tcBorders>
            <w:vAlign w:val="top"/>
          </w:tcPr>
          <w:p w14:paraId="7A460AC3">
            <w:pPr>
              <w:pStyle w:val="6"/>
              <w:spacing w:before="107" w:line="233" w:lineRule="auto"/>
              <w:ind w:left="127"/>
            </w:pPr>
            <w:r>
              <w:rPr>
                <w:spacing w:val="-4"/>
              </w:rPr>
              <w:t>15</w:t>
            </w:r>
            <w:r>
              <w:rPr>
                <w:rFonts w:ascii="宋体" w:hAnsi="宋体" w:eastAsia="宋体" w:cs="宋体"/>
                <w:spacing w:val="-4"/>
              </w:rPr>
              <w:t>）菖蒲群落</w:t>
            </w:r>
            <w:r>
              <w:rPr>
                <w:spacing w:val="-4"/>
              </w:rPr>
              <w:t>*</w:t>
            </w:r>
          </w:p>
        </w:tc>
      </w:tr>
      <w:tr w14:paraId="47244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49" w:type="dxa"/>
            <w:vMerge w:val="continue"/>
            <w:tcBorders>
              <w:top w:val="nil"/>
              <w:left w:val="single" w:color="000000" w:sz="12" w:space="0"/>
            </w:tcBorders>
            <w:vAlign w:val="top"/>
          </w:tcPr>
          <w:p w14:paraId="41D391F7">
            <w:pPr>
              <w:rPr>
                <w:rFonts w:ascii="Arial"/>
                <w:sz w:val="21"/>
              </w:rPr>
            </w:pPr>
          </w:p>
        </w:tc>
        <w:tc>
          <w:tcPr>
            <w:tcW w:w="1796" w:type="dxa"/>
            <w:vMerge w:val="continue"/>
            <w:tcBorders>
              <w:top w:val="nil"/>
            </w:tcBorders>
            <w:vAlign w:val="top"/>
          </w:tcPr>
          <w:p w14:paraId="7C61D152">
            <w:pPr>
              <w:rPr>
                <w:rFonts w:ascii="Arial"/>
                <w:sz w:val="21"/>
              </w:rPr>
            </w:pPr>
          </w:p>
        </w:tc>
        <w:tc>
          <w:tcPr>
            <w:tcW w:w="1934" w:type="dxa"/>
            <w:vAlign w:val="top"/>
          </w:tcPr>
          <w:p w14:paraId="7118DFB1">
            <w:pPr>
              <w:spacing w:before="107" w:line="220" w:lineRule="auto"/>
              <w:ind w:left="546"/>
              <w:rPr>
                <w:rFonts w:ascii="宋体" w:hAnsi="宋体" w:eastAsia="宋体" w:cs="宋体"/>
                <w:sz w:val="21"/>
                <w:szCs w:val="21"/>
              </w:rPr>
            </w:pPr>
            <w:r>
              <w:rPr>
                <w:rFonts w:ascii="宋体" w:hAnsi="宋体" w:eastAsia="宋体" w:cs="宋体"/>
                <w:spacing w:val="-2"/>
                <w:sz w:val="21"/>
                <w:szCs w:val="21"/>
              </w:rPr>
              <w:t>漂浮群落</w:t>
            </w:r>
          </w:p>
        </w:tc>
        <w:tc>
          <w:tcPr>
            <w:tcW w:w="4095" w:type="dxa"/>
            <w:tcBorders>
              <w:right w:val="single" w:color="000000" w:sz="12" w:space="0"/>
            </w:tcBorders>
            <w:vAlign w:val="top"/>
          </w:tcPr>
          <w:p w14:paraId="4A2A74E3">
            <w:pPr>
              <w:pStyle w:val="6"/>
              <w:spacing w:before="108" w:line="233" w:lineRule="auto"/>
              <w:ind w:left="127"/>
            </w:pPr>
            <w:r>
              <w:rPr>
                <w:spacing w:val="-4"/>
              </w:rPr>
              <w:t>16</w:t>
            </w:r>
            <w:r>
              <w:rPr>
                <w:rFonts w:ascii="宋体" w:hAnsi="宋体" w:eastAsia="宋体" w:cs="宋体"/>
                <w:spacing w:val="-4"/>
              </w:rPr>
              <w:t>）浮萍群落</w:t>
            </w:r>
            <w:r>
              <w:rPr>
                <w:spacing w:val="-4"/>
              </w:rPr>
              <w:t>*</w:t>
            </w:r>
          </w:p>
        </w:tc>
      </w:tr>
      <w:tr w14:paraId="71769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649" w:type="dxa"/>
            <w:vMerge w:val="restart"/>
            <w:tcBorders>
              <w:left w:val="single" w:color="000000" w:sz="12" w:space="0"/>
              <w:bottom w:val="nil"/>
            </w:tcBorders>
            <w:vAlign w:val="top"/>
          </w:tcPr>
          <w:p w14:paraId="1A29D697">
            <w:pPr>
              <w:spacing w:line="318" w:lineRule="auto"/>
              <w:rPr>
                <w:rFonts w:ascii="Arial"/>
                <w:sz w:val="21"/>
              </w:rPr>
            </w:pPr>
          </w:p>
          <w:p w14:paraId="370FEF6D">
            <w:pPr>
              <w:spacing w:line="319" w:lineRule="auto"/>
              <w:rPr>
                <w:rFonts w:ascii="Arial"/>
                <w:sz w:val="21"/>
              </w:rPr>
            </w:pPr>
          </w:p>
          <w:p w14:paraId="345BC3B7">
            <w:pPr>
              <w:spacing w:before="69" w:line="242" w:lineRule="auto"/>
              <w:ind w:left="101" w:right="116"/>
              <w:rPr>
                <w:rFonts w:ascii="宋体" w:hAnsi="宋体" w:eastAsia="宋体" w:cs="宋体"/>
                <w:sz w:val="21"/>
                <w:szCs w:val="21"/>
              </w:rPr>
            </w:pPr>
            <w:r>
              <w:rPr>
                <w:rFonts w:ascii="宋体" w:hAnsi="宋体" w:eastAsia="宋体" w:cs="宋体"/>
                <w:spacing w:val="-5"/>
                <w:sz w:val="21"/>
                <w:szCs w:val="21"/>
              </w:rPr>
              <w:t>人工植被</w:t>
            </w:r>
          </w:p>
        </w:tc>
        <w:tc>
          <w:tcPr>
            <w:tcW w:w="1796" w:type="dxa"/>
            <w:vAlign w:val="top"/>
          </w:tcPr>
          <w:p w14:paraId="74788043">
            <w:pPr>
              <w:pStyle w:val="6"/>
              <w:spacing w:before="245" w:line="219" w:lineRule="auto"/>
              <w:ind w:left="196"/>
              <w:rPr>
                <w:rFonts w:ascii="宋体" w:hAnsi="宋体" w:eastAsia="宋体" w:cs="宋体"/>
              </w:rPr>
            </w:pPr>
            <w:r>
              <w:rPr>
                <w:spacing w:val="2"/>
              </w:rPr>
              <w:t xml:space="preserve">W  </w:t>
            </w:r>
            <w:r>
              <w:rPr>
                <w:rFonts w:ascii="宋体" w:hAnsi="宋体" w:eastAsia="宋体" w:cs="宋体"/>
                <w:spacing w:val="2"/>
              </w:rPr>
              <w:t>人工用材林</w:t>
            </w:r>
          </w:p>
        </w:tc>
        <w:tc>
          <w:tcPr>
            <w:tcW w:w="1934" w:type="dxa"/>
            <w:vAlign w:val="top"/>
          </w:tcPr>
          <w:p w14:paraId="1271171A">
            <w:pPr>
              <w:spacing w:before="245" w:line="219" w:lineRule="auto"/>
              <w:ind w:left="444"/>
              <w:rPr>
                <w:rFonts w:ascii="宋体" w:hAnsi="宋体" w:eastAsia="宋体" w:cs="宋体"/>
                <w:sz w:val="21"/>
                <w:szCs w:val="21"/>
              </w:rPr>
            </w:pPr>
            <w:r>
              <w:rPr>
                <w:rFonts w:ascii="宋体" w:hAnsi="宋体" w:eastAsia="宋体" w:cs="宋体"/>
                <w:spacing w:val="-2"/>
                <w:sz w:val="21"/>
                <w:szCs w:val="21"/>
              </w:rPr>
              <w:t>人工用材林</w:t>
            </w:r>
          </w:p>
        </w:tc>
        <w:tc>
          <w:tcPr>
            <w:tcW w:w="4095" w:type="dxa"/>
            <w:tcBorders>
              <w:right w:val="single" w:color="000000" w:sz="12" w:space="0"/>
            </w:tcBorders>
            <w:vAlign w:val="top"/>
          </w:tcPr>
          <w:p w14:paraId="0EBF6A61">
            <w:pPr>
              <w:pStyle w:val="6"/>
              <w:spacing w:before="109" w:line="235" w:lineRule="auto"/>
              <w:ind w:left="109" w:right="18" w:firstLine="17"/>
              <w:rPr>
                <w:rFonts w:ascii="宋体" w:hAnsi="宋体" w:eastAsia="宋体" w:cs="宋体"/>
              </w:rPr>
            </w:pPr>
            <w:r>
              <w:rPr>
                <w:spacing w:val="-13"/>
              </w:rPr>
              <w:t>15</w:t>
            </w:r>
            <w:r>
              <w:rPr>
                <w:rFonts w:ascii="宋体" w:hAnsi="宋体" w:eastAsia="宋体" w:cs="宋体"/>
                <w:spacing w:val="-13"/>
              </w:rPr>
              <w:t>）柏树林、华山松林、黑荆木林、柳杉林、</w:t>
            </w:r>
            <w:r>
              <w:rPr>
                <w:rFonts w:ascii="宋体" w:hAnsi="宋体" w:eastAsia="宋体" w:cs="宋体"/>
                <w:spacing w:val="-1"/>
              </w:rPr>
              <w:t>桉树林、杨树林</w:t>
            </w:r>
          </w:p>
        </w:tc>
      </w:tr>
      <w:tr w14:paraId="3E4F7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49" w:type="dxa"/>
            <w:vMerge w:val="continue"/>
            <w:tcBorders>
              <w:top w:val="nil"/>
              <w:left w:val="single" w:color="000000" w:sz="12" w:space="0"/>
              <w:bottom w:val="nil"/>
            </w:tcBorders>
            <w:vAlign w:val="top"/>
          </w:tcPr>
          <w:p w14:paraId="0F02FBCB">
            <w:pPr>
              <w:rPr>
                <w:rFonts w:ascii="Arial"/>
                <w:sz w:val="21"/>
              </w:rPr>
            </w:pPr>
          </w:p>
        </w:tc>
        <w:tc>
          <w:tcPr>
            <w:tcW w:w="1796" w:type="dxa"/>
            <w:vAlign w:val="top"/>
          </w:tcPr>
          <w:p w14:paraId="2D627145">
            <w:pPr>
              <w:pStyle w:val="6"/>
              <w:spacing w:before="110" w:line="220" w:lineRule="auto"/>
              <w:ind w:left="187"/>
              <w:rPr>
                <w:rFonts w:ascii="宋体" w:hAnsi="宋体" w:eastAsia="宋体" w:cs="宋体"/>
              </w:rPr>
            </w:pPr>
            <w:r>
              <w:rPr>
                <w:spacing w:val="-1"/>
              </w:rPr>
              <w:t xml:space="preserve">VII </w:t>
            </w:r>
            <w:r>
              <w:rPr>
                <w:rFonts w:ascii="宋体" w:hAnsi="宋体" w:eastAsia="宋体" w:cs="宋体"/>
                <w:spacing w:val="-1"/>
              </w:rPr>
              <w:t>人工经济林</w:t>
            </w:r>
          </w:p>
        </w:tc>
        <w:tc>
          <w:tcPr>
            <w:tcW w:w="1934" w:type="dxa"/>
            <w:vAlign w:val="top"/>
          </w:tcPr>
          <w:p w14:paraId="7D0E9D30">
            <w:pPr>
              <w:spacing w:before="110" w:line="220" w:lineRule="auto"/>
              <w:ind w:left="444"/>
              <w:rPr>
                <w:rFonts w:ascii="宋体" w:hAnsi="宋体" w:eastAsia="宋体" w:cs="宋体"/>
                <w:sz w:val="21"/>
                <w:szCs w:val="21"/>
              </w:rPr>
            </w:pPr>
            <w:r>
              <w:rPr>
                <w:rFonts w:ascii="宋体" w:hAnsi="宋体" w:eastAsia="宋体" w:cs="宋体"/>
                <w:spacing w:val="-2"/>
                <w:sz w:val="21"/>
                <w:szCs w:val="21"/>
              </w:rPr>
              <w:t>人工经济林</w:t>
            </w:r>
          </w:p>
        </w:tc>
        <w:tc>
          <w:tcPr>
            <w:tcW w:w="4095" w:type="dxa"/>
            <w:tcBorders>
              <w:right w:val="single" w:color="000000" w:sz="12" w:space="0"/>
            </w:tcBorders>
            <w:vAlign w:val="top"/>
          </w:tcPr>
          <w:p w14:paraId="0A123821">
            <w:pPr>
              <w:pStyle w:val="6"/>
              <w:spacing w:before="110" w:line="233" w:lineRule="auto"/>
              <w:ind w:left="127"/>
              <w:rPr>
                <w:rFonts w:ascii="宋体" w:hAnsi="宋体" w:eastAsia="宋体" w:cs="宋体"/>
              </w:rPr>
            </w:pPr>
            <w:r>
              <w:rPr>
                <w:spacing w:val="-12"/>
              </w:rPr>
              <w:t>16</w:t>
            </w:r>
            <w:r>
              <w:rPr>
                <w:rFonts w:ascii="宋体" w:hAnsi="宋体" w:eastAsia="宋体" w:cs="宋体"/>
                <w:spacing w:val="-12"/>
              </w:rPr>
              <w:t>）板栗园、桃园、樱桃园、 苹果园等果园</w:t>
            </w:r>
          </w:p>
        </w:tc>
      </w:tr>
      <w:tr w14:paraId="6C7A2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49" w:type="dxa"/>
            <w:vMerge w:val="continue"/>
            <w:tcBorders>
              <w:top w:val="nil"/>
              <w:left w:val="single" w:color="000000" w:sz="12" w:space="0"/>
              <w:bottom w:val="nil"/>
            </w:tcBorders>
            <w:vAlign w:val="top"/>
          </w:tcPr>
          <w:p w14:paraId="06D5EED1">
            <w:pPr>
              <w:rPr>
                <w:rFonts w:ascii="Arial"/>
                <w:sz w:val="21"/>
              </w:rPr>
            </w:pPr>
          </w:p>
        </w:tc>
        <w:tc>
          <w:tcPr>
            <w:tcW w:w="1796" w:type="dxa"/>
            <w:vMerge w:val="restart"/>
            <w:tcBorders>
              <w:bottom w:val="nil"/>
            </w:tcBorders>
            <w:vAlign w:val="top"/>
          </w:tcPr>
          <w:p w14:paraId="3103213E">
            <w:pPr>
              <w:spacing w:line="243" w:lineRule="auto"/>
              <w:rPr>
                <w:rFonts w:ascii="Arial"/>
                <w:sz w:val="21"/>
              </w:rPr>
            </w:pPr>
          </w:p>
          <w:p w14:paraId="20FB5966">
            <w:pPr>
              <w:pStyle w:val="6"/>
              <w:spacing w:before="68" w:line="220" w:lineRule="auto"/>
              <w:ind w:left="231"/>
              <w:rPr>
                <w:rFonts w:ascii="宋体" w:hAnsi="宋体" w:eastAsia="宋体" w:cs="宋体"/>
              </w:rPr>
            </w:pPr>
            <w:r>
              <w:rPr>
                <w:spacing w:val="-1"/>
              </w:rPr>
              <w:t xml:space="preserve">VIII  </w:t>
            </w:r>
            <w:r>
              <w:rPr>
                <w:rFonts w:ascii="宋体" w:hAnsi="宋体" w:eastAsia="宋体" w:cs="宋体"/>
                <w:spacing w:val="-1"/>
              </w:rPr>
              <w:t>农田植被</w:t>
            </w:r>
          </w:p>
        </w:tc>
        <w:tc>
          <w:tcPr>
            <w:tcW w:w="1934" w:type="dxa"/>
            <w:vAlign w:val="top"/>
          </w:tcPr>
          <w:p w14:paraId="3D583A8E">
            <w:pPr>
              <w:spacing w:before="112" w:line="220" w:lineRule="auto"/>
              <w:ind w:left="549"/>
              <w:rPr>
                <w:rFonts w:ascii="宋体" w:hAnsi="宋体" w:eastAsia="宋体" w:cs="宋体"/>
                <w:sz w:val="21"/>
                <w:szCs w:val="21"/>
              </w:rPr>
            </w:pPr>
            <w:r>
              <w:rPr>
                <w:rFonts w:ascii="宋体" w:hAnsi="宋体" w:eastAsia="宋体" w:cs="宋体"/>
                <w:spacing w:val="-3"/>
                <w:sz w:val="21"/>
                <w:szCs w:val="21"/>
              </w:rPr>
              <w:t>水田植被</w:t>
            </w:r>
          </w:p>
        </w:tc>
        <w:tc>
          <w:tcPr>
            <w:tcW w:w="4095" w:type="dxa"/>
            <w:tcBorders>
              <w:right w:val="single" w:color="000000" w:sz="12" w:space="0"/>
            </w:tcBorders>
            <w:vAlign w:val="top"/>
          </w:tcPr>
          <w:p w14:paraId="0F2FAF1A">
            <w:pPr>
              <w:pStyle w:val="6"/>
              <w:spacing w:before="113" w:line="233" w:lineRule="auto"/>
              <w:ind w:left="127"/>
              <w:rPr>
                <w:rFonts w:ascii="宋体" w:hAnsi="宋体" w:eastAsia="宋体" w:cs="宋体"/>
              </w:rPr>
            </w:pPr>
            <w:r>
              <w:rPr>
                <w:spacing w:val="-3"/>
              </w:rPr>
              <w:t>17</w:t>
            </w:r>
            <w:r>
              <w:rPr>
                <w:rFonts w:ascii="宋体" w:hAnsi="宋体" w:eastAsia="宋体" w:cs="宋体"/>
                <w:spacing w:val="-3"/>
              </w:rPr>
              <w:t>）水稻、茨菇、莲等</w:t>
            </w:r>
          </w:p>
        </w:tc>
      </w:tr>
      <w:tr w14:paraId="02D0D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49" w:type="dxa"/>
            <w:vMerge w:val="continue"/>
            <w:tcBorders>
              <w:top w:val="nil"/>
              <w:left w:val="single" w:color="000000" w:sz="12" w:space="0"/>
              <w:bottom w:val="single" w:color="000000" w:sz="12" w:space="0"/>
            </w:tcBorders>
            <w:vAlign w:val="top"/>
          </w:tcPr>
          <w:p w14:paraId="30DA7CC9">
            <w:pPr>
              <w:rPr>
                <w:rFonts w:ascii="Arial"/>
                <w:sz w:val="21"/>
              </w:rPr>
            </w:pPr>
          </w:p>
        </w:tc>
        <w:tc>
          <w:tcPr>
            <w:tcW w:w="1796" w:type="dxa"/>
            <w:vMerge w:val="continue"/>
            <w:tcBorders>
              <w:top w:val="nil"/>
              <w:bottom w:val="single" w:color="000000" w:sz="12" w:space="0"/>
            </w:tcBorders>
            <w:vAlign w:val="top"/>
          </w:tcPr>
          <w:p w14:paraId="23C3552F">
            <w:pPr>
              <w:rPr>
                <w:rFonts w:ascii="Arial"/>
                <w:sz w:val="21"/>
              </w:rPr>
            </w:pPr>
          </w:p>
        </w:tc>
        <w:tc>
          <w:tcPr>
            <w:tcW w:w="1934" w:type="dxa"/>
            <w:tcBorders>
              <w:bottom w:val="single" w:color="000000" w:sz="12" w:space="0"/>
            </w:tcBorders>
            <w:vAlign w:val="top"/>
          </w:tcPr>
          <w:p w14:paraId="5A7D686A">
            <w:pPr>
              <w:spacing w:before="113" w:line="220" w:lineRule="auto"/>
              <w:ind w:left="549"/>
              <w:rPr>
                <w:rFonts w:ascii="宋体" w:hAnsi="宋体" w:eastAsia="宋体" w:cs="宋体"/>
                <w:sz w:val="21"/>
                <w:szCs w:val="21"/>
              </w:rPr>
            </w:pPr>
            <w:r>
              <w:rPr>
                <w:rFonts w:ascii="宋体" w:hAnsi="宋体" w:eastAsia="宋体" w:cs="宋体"/>
                <w:spacing w:val="-3"/>
                <w:sz w:val="21"/>
                <w:szCs w:val="21"/>
              </w:rPr>
              <w:t>旱地植被</w:t>
            </w:r>
          </w:p>
        </w:tc>
        <w:tc>
          <w:tcPr>
            <w:tcW w:w="4095" w:type="dxa"/>
            <w:tcBorders>
              <w:bottom w:val="single" w:color="000000" w:sz="12" w:space="0"/>
              <w:right w:val="single" w:color="000000" w:sz="12" w:space="0"/>
            </w:tcBorders>
            <w:vAlign w:val="top"/>
          </w:tcPr>
          <w:p w14:paraId="44F2C041">
            <w:pPr>
              <w:pStyle w:val="6"/>
              <w:spacing w:before="113" w:line="233" w:lineRule="auto"/>
              <w:ind w:left="127"/>
              <w:rPr>
                <w:rFonts w:ascii="宋体" w:hAnsi="宋体" w:eastAsia="宋体" w:cs="宋体"/>
              </w:rPr>
            </w:pPr>
            <w:r>
              <w:rPr>
                <w:spacing w:val="-12"/>
              </w:rPr>
              <w:t>18</w:t>
            </w:r>
            <w:r>
              <w:rPr>
                <w:rFonts w:ascii="宋体" w:hAnsi="宋体" w:eastAsia="宋体" w:cs="宋体"/>
                <w:spacing w:val="-12"/>
              </w:rPr>
              <w:t>）玉米、小麦、</w:t>
            </w:r>
            <w:r>
              <w:rPr>
                <w:rFonts w:ascii="宋体" w:hAnsi="宋体" w:eastAsia="宋体" w:cs="宋体"/>
                <w:spacing w:val="49"/>
              </w:rPr>
              <w:t xml:space="preserve"> </w:t>
            </w:r>
            <w:r>
              <w:rPr>
                <w:rFonts w:ascii="宋体" w:hAnsi="宋体" w:eastAsia="宋体" w:cs="宋体"/>
                <w:spacing w:val="-12"/>
              </w:rPr>
              <w:t>洋芋、蔬菜等</w:t>
            </w:r>
          </w:p>
        </w:tc>
      </w:tr>
    </w:tbl>
    <w:p w14:paraId="43BD9834">
      <w:pPr>
        <w:pStyle w:val="2"/>
        <w:spacing w:before="30" w:line="220" w:lineRule="auto"/>
        <w:ind w:left="40"/>
        <w:rPr>
          <w:sz w:val="21"/>
          <w:szCs w:val="21"/>
        </w:rPr>
      </w:pPr>
      <w:r>
        <w:rPr>
          <w:spacing w:val="-3"/>
          <w:sz w:val="21"/>
          <w:szCs w:val="21"/>
        </w:rPr>
        <w:t>备注：表中“*”为施工期增加的群系。</w:t>
      </w:r>
    </w:p>
    <w:p w14:paraId="120DD188">
      <w:pPr>
        <w:pStyle w:val="2"/>
        <w:spacing w:before="271" w:line="338" w:lineRule="auto"/>
        <w:ind w:left="39" w:right="31" w:firstLine="479"/>
        <w:jc w:val="both"/>
        <w:rPr>
          <w:sz w:val="24"/>
          <w:szCs w:val="24"/>
        </w:rPr>
      </w:pPr>
      <w:r>
        <w:rPr>
          <w:spacing w:val="-1"/>
          <w:sz w:val="24"/>
          <w:szCs w:val="24"/>
        </w:rPr>
        <w:t>对比表</w:t>
      </w:r>
      <w:r>
        <w:rPr>
          <w:spacing w:val="-34"/>
          <w:sz w:val="24"/>
          <w:szCs w:val="24"/>
        </w:rPr>
        <w:t xml:space="preserve"> </w:t>
      </w:r>
      <w:r>
        <w:rPr>
          <w:rFonts w:ascii="Times New Roman" w:hAnsi="Times New Roman" w:eastAsia="Times New Roman" w:cs="Times New Roman"/>
          <w:spacing w:val="-1"/>
          <w:sz w:val="24"/>
          <w:szCs w:val="24"/>
        </w:rPr>
        <w:t>6.1-2</w:t>
      </w:r>
      <w:r>
        <w:rPr>
          <w:rFonts w:ascii="Times New Roman" w:hAnsi="Times New Roman" w:eastAsia="Times New Roman" w:cs="Times New Roman"/>
          <w:spacing w:val="26"/>
          <w:sz w:val="24"/>
          <w:szCs w:val="24"/>
        </w:rPr>
        <w:t xml:space="preserve"> </w:t>
      </w:r>
      <w:r>
        <w:rPr>
          <w:spacing w:val="-1"/>
          <w:sz w:val="24"/>
          <w:szCs w:val="24"/>
        </w:rPr>
        <w:t>和表</w:t>
      </w:r>
      <w:r>
        <w:rPr>
          <w:spacing w:val="-34"/>
          <w:sz w:val="24"/>
          <w:szCs w:val="24"/>
        </w:rPr>
        <w:t xml:space="preserve"> </w:t>
      </w:r>
      <w:r>
        <w:rPr>
          <w:rFonts w:ascii="Times New Roman" w:hAnsi="Times New Roman" w:eastAsia="Times New Roman" w:cs="Times New Roman"/>
          <w:spacing w:val="-1"/>
          <w:sz w:val="24"/>
          <w:szCs w:val="24"/>
        </w:rPr>
        <w:t>6.1-3</w:t>
      </w:r>
      <w:r>
        <w:rPr>
          <w:rFonts w:ascii="Times New Roman" w:hAnsi="Times New Roman" w:eastAsia="Times New Roman" w:cs="Times New Roman"/>
          <w:spacing w:val="26"/>
          <w:sz w:val="24"/>
          <w:szCs w:val="24"/>
        </w:rPr>
        <w:t xml:space="preserve"> </w:t>
      </w:r>
      <w:r>
        <w:rPr>
          <w:spacing w:val="-1"/>
          <w:sz w:val="24"/>
          <w:szCs w:val="24"/>
        </w:rPr>
        <w:t>两次调查结果，调查区植</w:t>
      </w:r>
      <w:r>
        <w:rPr>
          <w:spacing w:val="-2"/>
          <w:sz w:val="24"/>
          <w:szCs w:val="24"/>
        </w:rPr>
        <w:t>被型和植被亚型发生了较大</w:t>
      </w:r>
      <w:r>
        <w:rPr>
          <w:spacing w:val="-4"/>
          <w:sz w:val="24"/>
          <w:szCs w:val="24"/>
        </w:rPr>
        <w:t>变化，共增加了</w:t>
      </w:r>
      <w:r>
        <w:rPr>
          <w:spacing w:val="-54"/>
          <w:sz w:val="24"/>
          <w:szCs w:val="24"/>
        </w:rPr>
        <w:t xml:space="preserve"> </w:t>
      </w:r>
      <w:r>
        <w:rPr>
          <w:rFonts w:ascii="Times New Roman" w:hAnsi="Times New Roman" w:eastAsia="Times New Roman" w:cs="Times New Roman"/>
          <w:spacing w:val="-4"/>
          <w:sz w:val="24"/>
          <w:szCs w:val="24"/>
        </w:rPr>
        <w:t xml:space="preserve">2 </w:t>
      </w:r>
      <w:r>
        <w:rPr>
          <w:spacing w:val="-4"/>
          <w:sz w:val="24"/>
          <w:szCs w:val="24"/>
        </w:rPr>
        <w:t>个植被型和</w:t>
      </w:r>
      <w:r>
        <w:rPr>
          <w:spacing w:val="-50"/>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个植被亚型，分别为暖温</w:t>
      </w:r>
      <w:r>
        <w:rPr>
          <w:spacing w:val="-5"/>
          <w:sz w:val="24"/>
          <w:szCs w:val="24"/>
        </w:rPr>
        <w:t>性稀树灌木草丛、挺水植</w:t>
      </w:r>
      <w:r>
        <w:rPr>
          <w:spacing w:val="-4"/>
          <w:sz w:val="24"/>
          <w:szCs w:val="24"/>
        </w:rPr>
        <w:t>物、漂浮群落；增加了</w:t>
      </w:r>
      <w:r>
        <w:rPr>
          <w:spacing w:val="-49"/>
          <w:sz w:val="24"/>
          <w:szCs w:val="24"/>
        </w:rPr>
        <w:t xml:space="preserve"> </w:t>
      </w:r>
      <w:r>
        <w:rPr>
          <w:rFonts w:ascii="Times New Roman" w:hAnsi="Times New Roman" w:eastAsia="Times New Roman" w:cs="Times New Roman"/>
          <w:spacing w:val="-4"/>
          <w:sz w:val="24"/>
          <w:szCs w:val="24"/>
        </w:rPr>
        <w:t xml:space="preserve">6 </w:t>
      </w:r>
      <w:r>
        <w:rPr>
          <w:spacing w:val="-4"/>
          <w:sz w:val="24"/>
          <w:szCs w:val="24"/>
        </w:rPr>
        <w:t>个群系，分别为滇青冈林、芦苇群</w:t>
      </w:r>
      <w:r>
        <w:rPr>
          <w:spacing w:val="-5"/>
          <w:sz w:val="24"/>
          <w:szCs w:val="24"/>
        </w:rPr>
        <w:t>落、水烛群落、水蓼群</w:t>
      </w:r>
      <w:r>
        <w:rPr>
          <w:spacing w:val="-7"/>
          <w:sz w:val="24"/>
          <w:szCs w:val="24"/>
        </w:rPr>
        <w:t>落、菖蒲群落、浮萍群落； 演替的群系有：①栓皮栎、云南松林</w:t>
      </w:r>
      <w:r>
        <w:rPr>
          <w:spacing w:val="-8"/>
          <w:sz w:val="24"/>
          <w:szCs w:val="24"/>
        </w:rPr>
        <w:t>演替为栓皮栎、槲</w:t>
      </w:r>
      <w:r>
        <w:rPr>
          <w:spacing w:val="-11"/>
          <w:sz w:val="24"/>
          <w:szCs w:val="24"/>
        </w:rPr>
        <w:t>栎林和云南松、栓皮栎林； 云南松、华山松林演替为华山松林；</w:t>
      </w:r>
      <w:r>
        <w:rPr>
          <w:spacing w:val="24"/>
          <w:sz w:val="24"/>
          <w:szCs w:val="24"/>
        </w:rPr>
        <w:t xml:space="preserve"> </w:t>
      </w:r>
      <w:r>
        <w:rPr>
          <w:spacing w:val="-11"/>
          <w:sz w:val="24"/>
          <w:szCs w:val="24"/>
        </w:rPr>
        <w:t>白柯、</w:t>
      </w:r>
      <w:r>
        <w:rPr>
          <w:spacing w:val="-12"/>
          <w:sz w:val="24"/>
          <w:szCs w:val="24"/>
        </w:rPr>
        <w:t>栓皮栎林次</w:t>
      </w:r>
      <w:r>
        <w:rPr>
          <w:spacing w:val="-6"/>
          <w:sz w:val="24"/>
          <w:szCs w:val="24"/>
        </w:rPr>
        <w:t>生灌丛演替为含云南松、白柯的中草草丛；</w:t>
      </w:r>
      <w:r>
        <w:rPr>
          <w:spacing w:val="-48"/>
          <w:sz w:val="24"/>
          <w:szCs w:val="24"/>
        </w:rPr>
        <w:t xml:space="preserve"> </w:t>
      </w:r>
      <w:r>
        <w:rPr>
          <w:spacing w:val="-6"/>
          <w:sz w:val="24"/>
          <w:szCs w:val="24"/>
        </w:rPr>
        <w:t>黄毛青冈、槲栎林次生灌丛演</w:t>
      </w:r>
      <w:r>
        <w:rPr>
          <w:spacing w:val="-7"/>
          <w:sz w:val="24"/>
          <w:szCs w:val="24"/>
        </w:rPr>
        <w:t>替为含黄</w:t>
      </w:r>
      <w:r>
        <w:rPr>
          <w:spacing w:val="-4"/>
          <w:sz w:val="24"/>
          <w:szCs w:val="24"/>
        </w:rPr>
        <w:t>毛青冈、栓皮栎的中草草丛。</w:t>
      </w:r>
    </w:p>
    <w:p w14:paraId="1E4C0086">
      <w:pPr>
        <w:spacing w:line="338" w:lineRule="auto"/>
        <w:rPr>
          <w:sz w:val="24"/>
          <w:szCs w:val="24"/>
        </w:rPr>
        <w:sectPr>
          <w:footerReference r:id="rId156" w:type="default"/>
          <w:pgSz w:w="11907" w:h="16839"/>
          <w:pgMar w:top="1376" w:right="1669" w:bottom="1061" w:left="1671" w:header="999" w:footer="861" w:gutter="0"/>
          <w:cols w:space="720" w:num="1"/>
        </w:sectPr>
      </w:pPr>
    </w:p>
    <w:p w14:paraId="6BB2544B">
      <w:pPr>
        <w:spacing w:line="454" w:lineRule="auto"/>
        <w:rPr>
          <w:rFonts w:ascii="Arial"/>
          <w:sz w:val="21"/>
        </w:rPr>
      </w:pPr>
    </w:p>
    <w:p w14:paraId="62B238D4">
      <w:pPr>
        <w:pStyle w:val="2"/>
        <w:spacing w:before="78" w:line="337" w:lineRule="auto"/>
        <w:ind w:left="39" w:right="30" w:firstLine="480"/>
        <w:jc w:val="both"/>
        <w:rPr>
          <w:sz w:val="24"/>
          <w:szCs w:val="24"/>
        </w:rPr>
      </w:pPr>
      <w:r>
        <w:rPr>
          <w:spacing w:val="-4"/>
          <w:sz w:val="24"/>
          <w:szCs w:val="24"/>
        </w:rPr>
        <w:t>植被群系增加的原因：项目已进入施工期，进场</w:t>
      </w:r>
      <w:r>
        <w:rPr>
          <w:spacing w:val="-5"/>
          <w:sz w:val="24"/>
          <w:szCs w:val="24"/>
        </w:rPr>
        <w:t>公路已打通，更易于开展野外</w:t>
      </w:r>
      <w:r>
        <w:rPr>
          <w:spacing w:val="-1"/>
          <w:sz w:val="24"/>
          <w:szCs w:val="24"/>
        </w:rPr>
        <w:t>监测调查，特别是在环评期基础上调查了水生植被，</w:t>
      </w:r>
      <w:r>
        <w:rPr>
          <w:spacing w:val="-2"/>
          <w:sz w:val="24"/>
          <w:szCs w:val="24"/>
        </w:rPr>
        <w:t>增加了</w:t>
      </w:r>
      <w:r>
        <w:rPr>
          <w:spacing w:val="-28"/>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6"/>
          <w:sz w:val="24"/>
          <w:szCs w:val="24"/>
        </w:rPr>
        <w:t xml:space="preserve"> </w:t>
      </w:r>
      <w:r>
        <w:rPr>
          <w:spacing w:val="-2"/>
          <w:sz w:val="24"/>
          <w:szCs w:val="24"/>
        </w:rPr>
        <w:t>种植被亚型和</w:t>
      </w:r>
      <w:r>
        <w:rPr>
          <w:spacing w:val="-22"/>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5"/>
          <w:w w:val="101"/>
          <w:sz w:val="24"/>
          <w:szCs w:val="24"/>
        </w:rPr>
        <w:t xml:space="preserve"> </w:t>
      </w:r>
      <w:r>
        <w:rPr>
          <w:spacing w:val="-2"/>
          <w:sz w:val="24"/>
          <w:szCs w:val="24"/>
        </w:rPr>
        <w:t>个群系；经过约</w:t>
      </w:r>
      <w:r>
        <w:rPr>
          <w:rFonts w:ascii="Times New Roman" w:hAnsi="Times New Roman" w:eastAsia="Times New Roman" w:cs="Times New Roman"/>
          <w:spacing w:val="-2"/>
          <w:sz w:val="24"/>
          <w:szCs w:val="24"/>
        </w:rPr>
        <w:t xml:space="preserve">5 </w:t>
      </w:r>
      <w:r>
        <w:rPr>
          <w:spacing w:val="-2"/>
          <w:sz w:val="24"/>
          <w:szCs w:val="24"/>
        </w:rPr>
        <w:t>年时间，在国家天保工程和退耕还</w:t>
      </w:r>
      <w:r>
        <w:rPr>
          <w:spacing w:val="-3"/>
          <w:sz w:val="24"/>
          <w:szCs w:val="24"/>
        </w:rPr>
        <w:t>林等政策影响下，植被总体向更</w:t>
      </w:r>
      <w:r>
        <w:rPr>
          <w:spacing w:val="3"/>
          <w:sz w:val="24"/>
          <w:szCs w:val="24"/>
        </w:rPr>
        <w:t>稳定的群落演替，半湿润常绿阔叶林被砍伐后不稳定</w:t>
      </w:r>
      <w:r>
        <w:rPr>
          <w:spacing w:val="2"/>
          <w:sz w:val="24"/>
          <w:szCs w:val="24"/>
        </w:rPr>
        <w:t>的次生灌丛逐渐向稀树灌丛</w:t>
      </w:r>
      <w:r>
        <w:rPr>
          <w:spacing w:val="-3"/>
          <w:sz w:val="24"/>
          <w:szCs w:val="24"/>
        </w:rPr>
        <w:t>演替，因此群系发生了较大的调整；施工高峰期监测开展了</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1"/>
          <w:w w:val="101"/>
          <w:sz w:val="24"/>
          <w:szCs w:val="24"/>
        </w:rPr>
        <w:t xml:space="preserve"> </w:t>
      </w:r>
      <w:r>
        <w:rPr>
          <w:spacing w:val="-3"/>
          <w:sz w:val="24"/>
          <w:szCs w:val="24"/>
        </w:rPr>
        <w:t>次植被调查，随着调查的深入，对植被的调查更加细致。</w:t>
      </w:r>
    </w:p>
    <w:p w14:paraId="67D89A5D">
      <w:pPr>
        <w:pStyle w:val="2"/>
        <w:spacing w:before="13" w:line="336" w:lineRule="auto"/>
        <w:ind w:left="38" w:right="31" w:firstLine="480"/>
        <w:jc w:val="both"/>
        <w:rPr>
          <w:sz w:val="24"/>
          <w:szCs w:val="24"/>
        </w:rPr>
      </w:pPr>
      <w:r>
        <w:rPr>
          <w:spacing w:val="-4"/>
          <w:sz w:val="24"/>
          <w:szCs w:val="24"/>
        </w:rPr>
        <w:t>评价区自然植被累计面积</w:t>
      </w:r>
      <w:r>
        <w:rPr>
          <w:spacing w:val="-45"/>
          <w:sz w:val="24"/>
          <w:szCs w:val="24"/>
        </w:rPr>
        <w:t xml:space="preserve"> </w:t>
      </w:r>
      <w:r>
        <w:rPr>
          <w:rFonts w:ascii="Times New Roman" w:hAnsi="Times New Roman" w:eastAsia="Times New Roman" w:cs="Times New Roman"/>
          <w:spacing w:val="-4"/>
          <w:sz w:val="24"/>
          <w:szCs w:val="24"/>
        </w:rPr>
        <w:t>8682.46hm</w:t>
      </w:r>
      <w:r>
        <w:rPr>
          <w:rFonts w:ascii="Times New Roman" w:hAnsi="Times New Roman" w:eastAsia="Times New Roman" w:cs="Times New Roman"/>
          <w:spacing w:val="-4"/>
          <w:position w:val="8"/>
          <w:sz w:val="15"/>
          <w:szCs w:val="15"/>
        </w:rPr>
        <w:t>2</w:t>
      </w:r>
      <w:r>
        <w:rPr>
          <w:spacing w:val="-4"/>
          <w:sz w:val="24"/>
          <w:szCs w:val="24"/>
        </w:rPr>
        <w:t>，占评价区面积的</w:t>
      </w:r>
      <w:r>
        <w:rPr>
          <w:spacing w:val="-55"/>
          <w:sz w:val="24"/>
          <w:szCs w:val="24"/>
        </w:rPr>
        <w:t xml:space="preserve"> </w:t>
      </w:r>
      <w:r>
        <w:rPr>
          <w:rFonts w:ascii="Times New Roman" w:hAnsi="Times New Roman" w:eastAsia="Times New Roman" w:cs="Times New Roman"/>
          <w:spacing w:val="-4"/>
          <w:sz w:val="24"/>
          <w:szCs w:val="24"/>
        </w:rPr>
        <w:t>29.</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17%</w:t>
      </w:r>
      <w:r>
        <w:rPr>
          <w:spacing w:val="-4"/>
          <w:sz w:val="24"/>
          <w:szCs w:val="24"/>
        </w:rPr>
        <w:t>，与</w:t>
      </w:r>
      <w:r>
        <w:rPr>
          <w:spacing w:val="-55"/>
          <w:sz w:val="24"/>
          <w:szCs w:val="24"/>
        </w:rPr>
        <w:t xml:space="preserve">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5"/>
          <w:sz w:val="24"/>
          <w:szCs w:val="24"/>
        </w:rPr>
        <w:t xml:space="preserve">15 </w:t>
      </w:r>
      <w:r>
        <w:rPr>
          <w:spacing w:val="-5"/>
          <w:sz w:val="24"/>
          <w:szCs w:val="24"/>
        </w:rPr>
        <w:t>年环评期</w:t>
      </w:r>
      <w:r>
        <w:rPr>
          <w:spacing w:val="-47"/>
          <w:sz w:val="24"/>
          <w:szCs w:val="24"/>
        </w:rPr>
        <w:t xml:space="preserve"> </w:t>
      </w:r>
      <w:r>
        <w:rPr>
          <w:rFonts w:ascii="Times New Roman" w:hAnsi="Times New Roman" w:eastAsia="Times New Roman" w:cs="Times New Roman"/>
          <w:spacing w:val="-5"/>
          <w:sz w:val="24"/>
          <w:szCs w:val="24"/>
        </w:rPr>
        <w:t>28%</w:t>
      </w:r>
      <w:r>
        <w:rPr>
          <w:spacing w:val="-5"/>
          <w:sz w:val="24"/>
          <w:szCs w:val="24"/>
        </w:rPr>
        <w:t>相比，自然植被略有增加，幅度为</w:t>
      </w:r>
      <w:r>
        <w:rPr>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17%</w:t>
      </w:r>
      <w:r>
        <w:rPr>
          <w:spacing w:val="-5"/>
          <w:sz w:val="24"/>
          <w:szCs w:val="24"/>
        </w:rPr>
        <w:t>，说明即使水库建设时期虽然植</w:t>
      </w:r>
      <w:r>
        <w:rPr>
          <w:spacing w:val="-4"/>
          <w:sz w:val="24"/>
          <w:szCs w:val="24"/>
        </w:rPr>
        <w:t>被有所损失，但总体的自然植被仍在逐渐恢复中，未来预期水库建成后植被</w:t>
      </w:r>
      <w:r>
        <w:rPr>
          <w:spacing w:val="-5"/>
          <w:sz w:val="24"/>
          <w:szCs w:val="24"/>
        </w:rPr>
        <w:t>面积会</w:t>
      </w:r>
      <w:r>
        <w:rPr>
          <w:spacing w:val="-3"/>
          <w:sz w:val="24"/>
          <w:szCs w:val="24"/>
        </w:rPr>
        <w:t>略有所下降，但不至于影响太大。</w:t>
      </w:r>
    </w:p>
    <w:p w14:paraId="444CBF79">
      <w:pPr>
        <w:pStyle w:val="2"/>
        <w:spacing w:before="12"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）维管植物物种多样性</w:t>
      </w:r>
    </w:p>
    <w:p w14:paraId="1692E5E2">
      <w:pPr>
        <w:pStyle w:val="2"/>
        <w:spacing w:before="139" w:line="338" w:lineRule="auto"/>
        <w:ind w:left="39" w:right="31" w:firstLine="480"/>
        <w:jc w:val="both"/>
        <w:rPr>
          <w:sz w:val="24"/>
          <w:szCs w:val="24"/>
        </w:rPr>
      </w:pPr>
      <w:r>
        <w:rPr>
          <w:spacing w:val="-2"/>
          <w:sz w:val="24"/>
          <w:szCs w:val="24"/>
        </w:rPr>
        <w:t xml:space="preserve">环评期调查发现，调查区共有维管植物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
          <w:sz w:val="24"/>
          <w:szCs w:val="24"/>
        </w:rPr>
        <w:t>05</w:t>
      </w:r>
      <w:r>
        <w:rPr>
          <w:rFonts w:ascii="Times New Roman" w:hAnsi="Times New Roman" w:eastAsia="Times New Roman" w:cs="Times New Roman"/>
          <w:spacing w:val="28"/>
          <w:sz w:val="24"/>
          <w:szCs w:val="24"/>
        </w:rPr>
        <w:t xml:space="preserve"> </w:t>
      </w:r>
      <w:r>
        <w:rPr>
          <w:spacing w:val="-3"/>
          <w:sz w:val="24"/>
          <w:szCs w:val="24"/>
        </w:rPr>
        <w:t>科</w:t>
      </w:r>
      <w:r>
        <w:rPr>
          <w:spacing w:val="-38"/>
          <w:sz w:val="24"/>
          <w:szCs w:val="24"/>
        </w:rPr>
        <w:t xml:space="preserve"> </w:t>
      </w:r>
      <w:r>
        <w:rPr>
          <w:rFonts w:ascii="Times New Roman" w:hAnsi="Times New Roman" w:eastAsia="Times New Roman" w:cs="Times New Roman"/>
          <w:spacing w:val="-3"/>
          <w:sz w:val="24"/>
          <w:szCs w:val="24"/>
        </w:rPr>
        <w:t>269</w:t>
      </w:r>
      <w:r>
        <w:rPr>
          <w:rFonts w:ascii="Times New Roman" w:hAnsi="Times New Roman" w:eastAsia="Times New Roman" w:cs="Times New Roman"/>
          <w:spacing w:val="28"/>
          <w:sz w:val="24"/>
          <w:szCs w:val="24"/>
        </w:rPr>
        <w:t xml:space="preserve"> </w:t>
      </w:r>
      <w:r>
        <w:rPr>
          <w:spacing w:val="-3"/>
          <w:sz w:val="24"/>
          <w:szCs w:val="24"/>
        </w:rPr>
        <w:t>属</w:t>
      </w:r>
      <w:r>
        <w:rPr>
          <w:spacing w:val="-40"/>
          <w:sz w:val="24"/>
          <w:szCs w:val="24"/>
        </w:rPr>
        <w:t xml:space="preserve"> </w:t>
      </w:r>
      <w:r>
        <w:rPr>
          <w:rFonts w:ascii="Times New Roman" w:hAnsi="Times New Roman" w:eastAsia="Times New Roman" w:cs="Times New Roman"/>
          <w:spacing w:val="-3"/>
          <w:sz w:val="24"/>
          <w:szCs w:val="24"/>
        </w:rPr>
        <w:t>409</w:t>
      </w:r>
      <w:r>
        <w:rPr>
          <w:rFonts w:ascii="Times New Roman" w:hAnsi="Times New Roman" w:eastAsia="Times New Roman" w:cs="Times New Roman"/>
          <w:spacing w:val="27"/>
          <w:w w:val="101"/>
          <w:sz w:val="24"/>
          <w:szCs w:val="24"/>
        </w:rPr>
        <w:t xml:space="preserve"> </w:t>
      </w:r>
      <w:r>
        <w:rPr>
          <w:spacing w:val="-3"/>
          <w:sz w:val="24"/>
          <w:szCs w:val="24"/>
        </w:rPr>
        <w:t>种。其中，蕨类植</w:t>
      </w:r>
      <w:r>
        <w:rPr>
          <w:spacing w:val="-7"/>
          <w:sz w:val="24"/>
          <w:szCs w:val="24"/>
        </w:rPr>
        <w:t>物</w:t>
      </w:r>
      <w:r>
        <w:rPr>
          <w:spacing w:val="-31"/>
          <w:sz w:val="24"/>
          <w:szCs w:val="24"/>
        </w:rPr>
        <w:t xml:space="preserve"> </w:t>
      </w:r>
      <w:r>
        <w:rPr>
          <w:rFonts w:ascii="Times New Roman" w:hAnsi="Times New Roman" w:eastAsia="Times New Roman" w:cs="Times New Roman"/>
          <w:spacing w:val="-7"/>
          <w:sz w:val="24"/>
          <w:szCs w:val="24"/>
        </w:rPr>
        <w:t xml:space="preserve">11 </w:t>
      </w:r>
      <w:r>
        <w:rPr>
          <w:spacing w:val="-7"/>
          <w:sz w:val="24"/>
          <w:szCs w:val="24"/>
        </w:rPr>
        <w:t>科</w:t>
      </w:r>
      <w:r>
        <w:rPr>
          <w:spacing w:val="-32"/>
          <w:sz w:val="24"/>
          <w:szCs w:val="24"/>
        </w:rPr>
        <w:t xml:space="preserve"> </w:t>
      </w:r>
      <w:r>
        <w:rPr>
          <w:rFonts w:ascii="Times New Roman" w:hAnsi="Times New Roman" w:eastAsia="Times New Roman" w:cs="Times New Roman"/>
          <w:spacing w:val="-7"/>
          <w:sz w:val="24"/>
          <w:szCs w:val="24"/>
        </w:rPr>
        <w:t xml:space="preserve">16 </w:t>
      </w:r>
      <w:r>
        <w:rPr>
          <w:spacing w:val="-7"/>
          <w:sz w:val="24"/>
          <w:szCs w:val="24"/>
        </w:rPr>
        <w:t>属</w:t>
      </w:r>
      <w:r>
        <w:rPr>
          <w:spacing w:val="-55"/>
          <w:sz w:val="24"/>
          <w:szCs w:val="24"/>
        </w:rPr>
        <w:t xml:space="preserve"> </w:t>
      </w:r>
      <w:r>
        <w:rPr>
          <w:rFonts w:ascii="Times New Roman" w:hAnsi="Times New Roman" w:eastAsia="Times New Roman" w:cs="Times New Roman"/>
          <w:spacing w:val="-7"/>
          <w:sz w:val="24"/>
          <w:szCs w:val="24"/>
        </w:rPr>
        <w:t xml:space="preserve">22 </w:t>
      </w:r>
      <w:r>
        <w:rPr>
          <w:spacing w:val="-7"/>
          <w:sz w:val="24"/>
          <w:szCs w:val="24"/>
        </w:rPr>
        <w:t>种，种子植物</w:t>
      </w:r>
      <w:r>
        <w:rPr>
          <w:spacing w:val="-50"/>
          <w:sz w:val="24"/>
          <w:szCs w:val="24"/>
        </w:rPr>
        <w:t xml:space="preserve"> </w:t>
      </w:r>
      <w:r>
        <w:rPr>
          <w:rFonts w:ascii="Times New Roman" w:hAnsi="Times New Roman" w:eastAsia="Times New Roman" w:cs="Times New Roman"/>
          <w:spacing w:val="-7"/>
          <w:sz w:val="24"/>
          <w:szCs w:val="24"/>
        </w:rPr>
        <w:t xml:space="preserve">94 </w:t>
      </w:r>
      <w:r>
        <w:rPr>
          <w:spacing w:val="-7"/>
          <w:sz w:val="24"/>
          <w:szCs w:val="24"/>
        </w:rPr>
        <w:t>科</w:t>
      </w:r>
      <w:r>
        <w:rPr>
          <w:rFonts w:ascii="Times New Roman" w:hAnsi="Times New Roman" w:eastAsia="Times New Roman" w:cs="Times New Roman"/>
          <w:spacing w:val="-7"/>
          <w:sz w:val="24"/>
          <w:szCs w:val="24"/>
        </w:rPr>
        <w:t>253</w:t>
      </w:r>
      <w:r>
        <w:rPr>
          <w:rFonts w:ascii="Times New Roman" w:hAnsi="Times New Roman" w:eastAsia="Times New Roman" w:cs="Times New Roman"/>
          <w:spacing w:val="11"/>
          <w:sz w:val="24"/>
          <w:szCs w:val="24"/>
        </w:rPr>
        <w:t xml:space="preserve"> </w:t>
      </w:r>
      <w:r>
        <w:rPr>
          <w:spacing w:val="-7"/>
          <w:sz w:val="24"/>
          <w:szCs w:val="24"/>
        </w:rPr>
        <w:t>属</w:t>
      </w:r>
      <w:r>
        <w:rPr>
          <w:spacing w:val="-50"/>
          <w:sz w:val="24"/>
          <w:szCs w:val="24"/>
        </w:rPr>
        <w:t xml:space="preserve"> </w:t>
      </w:r>
      <w:r>
        <w:rPr>
          <w:rFonts w:ascii="Times New Roman" w:hAnsi="Times New Roman" w:eastAsia="Times New Roman" w:cs="Times New Roman"/>
          <w:spacing w:val="-7"/>
          <w:sz w:val="24"/>
          <w:szCs w:val="24"/>
        </w:rPr>
        <w:t>387</w:t>
      </w:r>
      <w:r>
        <w:rPr>
          <w:rFonts w:ascii="Times New Roman" w:hAnsi="Times New Roman" w:eastAsia="Times New Roman" w:cs="Times New Roman"/>
          <w:spacing w:val="9"/>
          <w:sz w:val="24"/>
          <w:szCs w:val="24"/>
        </w:rPr>
        <w:t xml:space="preserve"> </w:t>
      </w:r>
      <w:r>
        <w:rPr>
          <w:spacing w:val="-7"/>
          <w:sz w:val="24"/>
          <w:szCs w:val="24"/>
        </w:rPr>
        <w:t>种。种子植物中， 裸子植物</w:t>
      </w:r>
      <w:r>
        <w:rPr>
          <w:spacing w:val="-31"/>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9"/>
          <w:sz w:val="24"/>
          <w:szCs w:val="24"/>
        </w:rPr>
        <w:t xml:space="preserve"> </w:t>
      </w:r>
      <w:r>
        <w:rPr>
          <w:spacing w:val="-7"/>
          <w:sz w:val="24"/>
          <w:szCs w:val="24"/>
        </w:rPr>
        <w:t>科</w:t>
      </w:r>
      <w:r>
        <w:rPr>
          <w:spacing w:val="-32"/>
          <w:sz w:val="24"/>
          <w:szCs w:val="24"/>
        </w:rPr>
        <w:t xml:space="preserve"> </w:t>
      </w:r>
      <w:r>
        <w:rPr>
          <w:rFonts w:ascii="Times New Roman" w:hAnsi="Times New Roman" w:eastAsia="Times New Roman" w:cs="Times New Roman"/>
          <w:spacing w:val="-7"/>
          <w:sz w:val="24"/>
          <w:szCs w:val="24"/>
        </w:rPr>
        <w:t>1</w:t>
      </w:r>
      <w:r>
        <w:rPr>
          <w:spacing w:val="-4"/>
          <w:sz w:val="24"/>
          <w:szCs w:val="24"/>
        </w:rPr>
        <w:t>属</w:t>
      </w:r>
      <w:r>
        <w:rPr>
          <w:spacing w:val="-23"/>
          <w:sz w:val="24"/>
          <w:szCs w:val="24"/>
        </w:rPr>
        <w:t xml:space="preserve"> </w:t>
      </w:r>
      <w:r>
        <w:rPr>
          <w:rFonts w:ascii="Times New Roman" w:hAnsi="Times New Roman" w:eastAsia="Times New Roman" w:cs="Times New Roman"/>
          <w:spacing w:val="-4"/>
          <w:sz w:val="24"/>
          <w:szCs w:val="24"/>
        </w:rPr>
        <w:t xml:space="preserve">1 </w:t>
      </w:r>
      <w:r>
        <w:rPr>
          <w:spacing w:val="-4"/>
          <w:sz w:val="24"/>
          <w:szCs w:val="24"/>
        </w:rPr>
        <w:t>种，被子植物</w:t>
      </w:r>
      <w:r>
        <w:rPr>
          <w:spacing w:val="-50"/>
          <w:sz w:val="24"/>
          <w:szCs w:val="24"/>
        </w:rPr>
        <w:t xml:space="preserve"> </w:t>
      </w:r>
      <w:r>
        <w:rPr>
          <w:rFonts w:ascii="Times New Roman" w:hAnsi="Times New Roman" w:eastAsia="Times New Roman" w:cs="Times New Roman"/>
          <w:spacing w:val="-4"/>
          <w:sz w:val="24"/>
          <w:szCs w:val="24"/>
        </w:rPr>
        <w:t xml:space="preserve">93 </w:t>
      </w:r>
      <w:r>
        <w:rPr>
          <w:spacing w:val="-4"/>
          <w:sz w:val="24"/>
          <w:szCs w:val="24"/>
        </w:rPr>
        <w:t>科</w:t>
      </w:r>
      <w:r>
        <w:rPr>
          <w:spacing w:val="-55"/>
          <w:sz w:val="24"/>
          <w:szCs w:val="24"/>
        </w:rPr>
        <w:t xml:space="preserve"> </w:t>
      </w:r>
      <w:r>
        <w:rPr>
          <w:rFonts w:ascii="Times New Roman" w:hAnsi="Times New Roman" w:eastAsia="Times New Roman" w:cs="Times New Roman"/>
          <w:spacing w:val="-4"/>
          <w:sz w:val="24"/>
          <w:szCs w:val="24"/>
        </w:rPr>
        <w:t xml:space="preserve">252 </w:t>
      </w:r>
      <w:r>
        <w:rPr>
          <w:spacing w:val="-4"/>
          <w:sz w:val="24"/>
          <w:szCs w:val="24"/>
        </w:rPr>
        <w:t>属</w:t>
      </w:r>
      <w:r>
        <w:rPr>
          <w:rFonts w:ascii="Times New Roman" w:hAnsi="Times New Roman" w:eastAsia="Times New Roman" w:cs="Times New Roman"/>
          <w:spacing w:val="-4"/>
          <w:sz w:val="24"/>
          <w:szCs w:val="24"/>
        </w:rPr>
        <w:t xml:space="preserve">386 </w:t>
      </w:r>
      <w:r>
        <w:rPr>
          <w:spacing w:val="-4"/>
          <w:sz w:val="24"/>
          <w:szCs w:val="24"/>
        </w:rPr>
        <w:t>种。被子植物中， 双子叶植物</w:t>
      </w:r>
      <w:r>
        <w:rPr>
          <w:spacing w:val="-45"/>
          <w:sz w:val="24"/>
          <w:szCs w:val="24"/>
        </w:rPr>
        <w:t xml:space="preserve"> </w:t>
      </w:r>
      <w:r>
        <w:rPr>
          <w:rFonts w:ascii="Times New Roman" w:hAnsi="Times New Roman" w:eastAsia="Times New Roman" w:cs="Times New Roman"/>
          <w:spacing w:val="-4"/>
          <w:sz w:val="24"/>
          <w:szCs w:val="24"/>
        </w:rPr>
        <w:t>82</w:t>
      </w:r>
      <w:r>
        <w:rPr>
          <w:rFonts w:ascii="Times New Roman" w:hAnsi="Times New Roman" w:eastAsia="Times New Roman" w:cs="Times New Roman"/>
          <w:spacing w:val="9"/>
          <w:sz w:val="24"/>
          <w:szCs w:val="24"/>
        </w:rPr>
        <w:t xml:space="preserve"> </w:t>
      </w:r>
      <w:r>
        <w:rPr>
          <w:spacing w:val="-4"/>
          <w:sz w:val="24"/>
          <w:szCs w:val="24"/>
        </w:rPr>
        <w:t>科</w:t>
      </w:r>
      <w:r>
        <w:rPr>
          <w:rFonts w:ascii="Times New Roman" w:hAnsi="Times New Roman" w:eastAsia="Times New Roman" w:cs="Times New Roman"/>
          <w:spacing w:val="-4"/>
          <w:sz w:val="24"/>
          <w:szCs w:val="24"/>
        </w:rPr>
        <w:t>211</w:t>
      </w:r>
      <w:r>
        <w:rPr>
          <w:rFonts w:ascii="Times New Roman" w:hAnsi="Times New Roman" w:eastAsia="Times New Roman" w:cs="Times New Roman"/>
          <w:spacing w:val="11"/>
          <w:sz w:val="24"/>
          <w:szCs w:val="24"/>
        </w:rPr>
        <w:t xml:space="preserve"> </w:t>
      </w:r>
      <w:r>
        <w:rPr>
          <w:spacing w:val="-4"/>
          <w:sz w:val="24"/>
          <w:szCs w:val="24"/>
        </w:rPr>
        <w:t>属</w:t>
      </w:r>
      <w:r>
        <w:rPr>
          <w:spacing w:val="-50"/>
          <w:sz w:val="24"/>
          <w:szCs w:val="24"/>
        </w:rPr>
        <w:t xml:space="preserve"> </w:t>
      </w:r>
      <w:r>
        <w:rPr>
          <w:rFonts w:ascii="Times New Roman" w:hAnsi="Times New Roman" w:eastAsia="Times New Roman" w:cs="Times New Roman"/>
          <w:spacing w:val="-4"/>
          <w:sz w:val="24"/>
          <w:szCs w:val="24"/>
        </w:rPr>
        <w:t>317</w:t>
      </w:r>
      <w:r>
        <w:rPr>
          <w:spacing w:val="-3"/>
          <w:sz w:val="24"/>
          <w:szCs w:val="24"/>
        </w:rPr>
        <w:t>种，单子叶植物</w:t>
      </w:r>
      <w:r>
        <w:rPr>
          <w:spacing w:val="-16"/>
          <w:sz w:val="24"/>
          <w:szCs w:val="24"/>
        </w:rPr>
        <w:t xml:space="preserve"> </w:t>
      </w:r>
      <w:r>
        <w:rPr>
          <w:rFonts w:ascii="Times New Roman" w:hAnsi="Times New Roman" w:eastAsia="Times New Roman" w:cs="Times New Roman"/>
          <w:spacing w:val="-3"/>
          <w:sz w:val="24"/>
          <w:szCs w:val="24"/>
        </w:rPr>
        <w:t xml:space="preserve">11 </w:t>
      </w:r>
      <w:r>
        <w:rPr>
          <w:spacing w:val="-3"/>
          <w:sz w:val="24"/>
          <w:szCs w:val="24"/>
        </w:rPr>
        <w:t>科</w:t>
      </w:r>
      <w:r>
        <w:rPr>
          <w:spacing w:val="-56"/>
          <w:sz w:val="24"/>
          <w:szCs w:val="24"/>
        </w:rPr>
        <w:t xml:space="preserve"> </w:t>
      </w:r>
      <w:r>
        <w:rPr>
          <w:rFonts w:ascii="Times New Roman" w:hAnsi="Times New Roman" w:eastAsia="Times New Roman" w:cs="Times New Roman"/>
          <w:spacing w:val="-3"/>
          <w:sz w:val="24"/>
          <w:szCs w:val="24"/>
        </w:rPr>
        <w:t xml:space="preserve">41 </w:t>
      </w:r>
      <w:r>
        <w:rPr>
          <w:spacing w:val="-3"/>
          <w:sz w:val="24"/>
          <w:szCs w:val="24"/>
        </w:rPr>
        <w:t>属</w:t>
      </w:r>
      <w:r>
        <w:rPr>
          <w:spacing w:val="-50"/>
          <w:sz w:val="24"/>
          <w:szCs w:val="24"/>
        </w:rPr>
        <w:t xml:space="preserve"> </w:t>
      </w:r>
      <w:r>
        <w:rPr>
          <w:rFonts w:ascii="Times New Roman" w:hAnsi="Times New Roman" w:eastAsia="Times New Roman" w:cs="Times New Roman"/>
          <w:spacing w:val="-3"/>
          <w:sz w:val="24"/>
          <w:szCs w:val="24"/>
        </w:rPr>
        <w:t xml:space="preserve">69 </w:t>
      </w:r>
      <w:r>
        <w:rPr>
          <w:spacing w:val="-3"/>
          <w:sz w:val="24"/>
          <w:szCs w:val="24"/>
        </w:rPr>
        <w:t>种。详见表</w:t>
      </w:r>
      <w:r>
        <w:rPr>
          <w:spacing w:val="-49"/>
          <w:sz w:val="24"/>
          <w:szCs w:val="24"/>
        </w:rPr>
        <w:t xml:space="preserve"> </w:t>
      </w:r>
      <w:r>
        <w:rPr>
          <w:rFonts w:ascii="Times New Roman" w:hAnsi="Times New Roman" w:eastAsia="Times New Roman" w:cs="Times New Roman"/>
          <w:spacing w:val="-3"/>
          <w:sz w:val="24"/>
          <w:szCs w:val="24"/>
        </w:rPr>
        <w:t>6.1-4</w:t>
      </w:r>
      <w:r>
        <w:rPr>
          <w:spacing w:val="-3"/>
          <w:sz w:val="24"/>
          <w:szCs w:val="24"/>
        </w:rPr>
        <w:t>。</w:t>
      </w:r>
    </w:p>
    <w:p w14:paraId="4AB539F9">
      <w:pPr>
        <w:pStyle w:val="2"/>
        <w:spacing w:before="1" w:line="225" w:lineRule="auto"/>
        <w:ind w:left="279"/>
        <w:rPr>
          <w:sz w:val="24"/>
          <w:szCs w:val="24"/>
        </w:rPr>
      </w:pPr>
      <w:r>
        <w:rPr>
          <w:b/>
          <w:bCs/>
          <w:spacing w:val="-1"/>
          <w:sz w:val="24"/>
          <w:szCs w:val="24"/>
        </w:rPr>
        <w:t>表</w:t>
      </w:r>
      <w:r>
        <w:rPr>
          <w:spacing w:val="-46"/>
          <w:sz w:val="24"/>
          <w:szCs w:val="24"/>
        </w:rPr>
        <w:t xml:space="preserve"> </w:t>
      </w:r>
      <w:r>
        <w:rPr>
          <w:rFonts w:ascii="Times New Roman" w:hAnsi="Times New Roman" w:eastAsia="Times New Roman" w:cs="Times New Roman"/>
          <w:b/>
          <w:bCs/>
          <w:spacing w:val="-1"/>
          <w:sz w:val="24"/>
          <w:szCs w:val="24"/>
        </w:rPr>
        <w:t xml:space="preserve">6.1-4                      </w:t>
      </w:r>
      <w:r>
        <w:rPr>
          <w:b/>
          <w:bCs/>
          <w:spacing w:val="-1"/>
          <w:sz w:val="24"/>
          <w:szCs w:val="24"/>
        </w:rPr>
        <w:t>环评期调查区植物资源统计表（</w:t>
      </w:r>
      <w:r>
        <w:rPr>
          <w:rFonts w:ascii="Times New Roman" w:hAnsi="Times New Roman" w:eastAsia="Times New Roman" w:cs="Times New Roman"/>
          <w:b/>
          <w:bCs/>
          <w:spacing w:val="-1"/>
          <w:sz w:val="24"/>
          <w:szCs w:val="24"/>
        </w:rPr>
        <w:t xml:space="preserve">2015 </w:t>
      </w:r>
      <w:r>
        <w:rPr>
          <w:b/>
          <w:bCs/>
          <w:spacing w:val="-1"/>
          <w:sz w:val="24"/>
          <w:szCs w:val="24"/>
        </w:rPr>
        <w:t>年）</w:t>
      </w:r>
    </w:p>
    <w:tbl>
      <w:tblPr>
        <w:tblStyle w:val="5"/>
        <w:tblW w:w="8472"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1216"/>
        <w:gridCol w:w="1753"/>
        <w:gridCol w:w="1546"/>
        <w:gridCol w:w="1549"/>
        <w:gridCol w:w="1562"/>
      </w:tblGrid>
      <w:tr w14:paraId="4A2C8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815" w:type="dxa"/>
            <w:gridSpan w:val="3"/>
            <w:tcBorders>
              <w:top w:val="single" w:color="000000" w:sz="12" w:space="0"/>
              <w:left w:val="single" w:color="000000" w:sz="12" w:space="0"/>
            </w:tcBorders>
            <w:vAlign w:val="top"/>
          </w:tcPr>
          <w:p w14:paraId="6DDF2E2B">
            <w:pPr>
              <w:spacing w:before="87" w:line="220" w:lineRule="auto"/>
              <w:ind w:left="1481"/>
              <w:rPr>
                <w:rFonts w:ascii="宋体" w:hAnsi="宋体" w:eastAsia="宋体" w:cs="宋体"/>
                <w:sz w:val="21"/>
                <w:szCs w:val="21"/>
              </w:rPr>
            </w:pPr>
            <w:r>
              <w:rPr>
                <w:rFonts w:ascii="宋体" w:hAnsi="宋体" w:eastAsia="宋体" w:cs="宋体"/>
                <w:spacing w:val="-2"/>
                <w:sz w:val="21"/>
                <w:szCs w:val="21"/>
              </w:rPr>
              <w:t>植物类群</w:t>
            </w:r>
          </w:p>
        </w:tc>
        <w:tc>
          <w:tcPr>
            <w:tcW w:w="1546" w:type="dxa"/>
            <w:tcBorders>
              <w:top w:val="single" w:color="000000" w:sz="12" w:space="0"/>
            </w:tcBorders>
            <w:vAlign w:val="top"/>
          </w:tcPr>
          <w:p w14:paraId="5C9C3F54">
            <w:pPr>
              <w:spacing w:before="88" w:line="219" w:lineRule="auto"/>
              <w:ind w:left="673"/>
              <w:rPr>
                <w:rFonts w:ascii="宋体" w:hAnsi="宋体" w:eastAsia="宋体" w:cs="宋体"/>
                <w:sz w:val="21"/>
                <w:szCs w:val="21"/>
              </w:rPr>
            </w:pPr>
            <w:r>
              <w:rPr>
                <w:rFonts w:ascii="宋体" w:hAnsi="宋体" w:eastAsia="宋体" w:cs="宋体"/>
                <w:sz w:val="21"/>
                <w:szCs w:val="21"/>
              </w:rPr>
              <w:t>科</w:t>
            </w:r>
          </w:p>
        </w:tc>
        <w:tc>
          <w:tcPr>
            <w:tcW w:w="1549" w:type="dxa"/>
            <w:tcBorders>
              <w:top w:val="single" w:color="000000" w:sz="12" w:space="0"/>
            </w:tcBorders>
            <w:vAlign w:val="top"/>
          </w:tcPr>
          <w:p w14:paraId="528C9110">
            <w:pPr>
              <w:spacing w:before="88" w:line="221" w:lineRule="auto"/>
              <w:ind w:left="683"/>
              <w:rPr>
                <w:rFonts w:ascii="宋体" w:hAnsi="宋体" w:eastAsia="宋体" w:cs="宋体"/>
                <w:sz w:val="21"/>
                <w:szCs w:val="21"/>
              </w:rPr>
            </w:pPr>
            <w:r>
              <w:rPr>
                <w:rFonts w:ascii="宋体" w:hAnsi="宋体" w:eastAsia="宋体" w:cs="宋体"/>
                <w:sz w:val="21"/>
                <w:szCs w:val="21"/>
              </w:rPr>
              <w:t>属</w:t>
            </w:r>
          </w:p>
        </w:tc>
        <w:tc>
          <w:tcPr>
            <w:tcW w:w="1562" w:type="dxa"/>
            <w:tcBorders>
              <w:top w:val="single" w:color="000000" w:sz="12" w:space="0"/>
              <w:right w:val="single" w:color="000000" w:sz="12" w:space="0"/>
            </w:tcBorders>
            <w:vAlign w:val="top"/>
          </w:tcPr>
          <w:p w14:paraId="6941E535">
            <w:pPr>
              <w:spacing w:before="88" w:line="220" w:lineRule="auto"/>
              <w:ind w:left="685"/>
              <w:rPr>
                <w:rFonts w:ascii="宋体" w:hAnsi="宋体" w:eastAsia="宋体" w:cs="宋体"/>
                <w:sz w:val="21"/>
                <w:szCs w:val="21"/>
              </w:rPr>
            </w:pPr>
            <w:r>
              <w:rPr>
                <w:rFonts w:ascii="宋体" w:hAnsi="宋体" w:eastAsia="宋体" w:cs="宋体"/>
                <w:sz w:val="21"/>
                <w:szCs w:val="21"/>
              </w:rPr>
              <w:t>种</w:t>
            </w:r>
          </w:p>
        </w:tc>
      </w:tr>
      <w:tr w14:paraId="5F865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3815" w:type="dxa"/>
            <w:gridSpan w:val="3"/>
            <w:tcBorders>
              <w:left w:val="single" w:color="000000" w:sz="12" w:space="0"/>
            </w:tcBorders>
            <w:vAlign w:val="top"/>
          </w:tcPr>
          <w:p w14:paraId="1BDE3C5C">
            <w:pPr>
              <w:spacing w:before="88" w:line="220" w:lineRule="auto"/>
              <w:ind w:left="1480"/>
              <w:rPr>
                <w:rFonts w:ascii="宋体" w:hAnsi="宋体" w:eastAsia="宋体" w:cs="宋体"/>
                <w:sz w:val="21"/>
                <w:szCs w:val="21"/>
              </w:rPr>
            </w:pPr>
            <w:r>
              <w:rPr>
                <w:rFonts w:ascii="宋体" w:hAnsi="宋体" w:eastAsia="宋体" w:cs="宋体"/>
                <w:spacing w:val="-2"/>
                <w:sz w:val="21"/>
                <w:szCs w:val="21"/>
              </w:rPr>
              <w:t>蕨类植物</w:t>
            </w:r>
          </w:p>
        </w:tc>
        <w:tc>
          <w:tcPr>
            <w:tcW w:w="1546" w:type="dxa"/>
            <w:vAlign w:val="top"/>
          </w:tcPr>
          <w:p w14:paraId="6B9AC7F9">
            <w:pPr>
              <w:pStyle w:val="6"/>
              <w:spacing w:before="122" w:line="235" w:lineRule="auto"/>
              <w:ind w:left="689"/>
            </w:pPr>
            <w:r>
              <w:rPr>
                <w:spacing w:val="-6"/>
              </w:rPr>
              <w:t>11</w:t>
            </w:r>
          </w:p>
        </w:tc>
        <w:tc>
          <w:tcPr>
            <w:tcW w:w="1549" w:type="dxa"/>
            <w:vAlign w:val="top"/>
          </w:tcPr>
          <w:p w14:paraId="461AE6A2">
            <w:pPr>
              <w:pStyle w:val="6"/>
              <w:spacing w:before="123" w:line="232" w:lineRule="auto"/>
              <w:ind w:left="697"/>
            </w:pPr>
            <w:r>
              <w:rPr>
                <w:spacing w:val="-6"/>
              </w:rPr>
              <w:t>16</w:t>
            </w:r>
          </w:p>
        </w:tc>
        <w:tc>
          <w:tcPr>
            <w:tcW w:w="1562" w:type="dxa"/>
            <w:tcBorders>
              <w:right w:val="single" w:color="000000" w:sz="12" w:space="0"/>
            </w:tcBorders>
            <w:vAlign w:val="top"/>
          </w:tcPr>
          <w:p w14:paraId="72443673">
            <w:pPr>
              <w:pStyle w:val="6"/>
              <w:spacing w:before="122" w:line="235" w:lineRule="auto"/>
              <w:ind w:left="682"/>
            </w:pPr>
            <w:r>
              <w:rPr>
                <w:spacing w:val="-1"/>
              </w:rPr>
              <w:t>22</w:t>
            </w:r>
          </w:p>
        </w:tc>
      </w:tr>
      <w:tr w14:paraId="4FA32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46" w:type="dxa"/>
            <w:vMerge w:val="restart"/>
            <w:tcBorders>
              <w:left w:val="single" w:color="000000" w:sz="12" w:space="0"/>
              <w:bottom w:val="nil"/>
            </w:tcBorders>
            <w:vAlign w:val="top"/>
          </w:tcPr>
          <w:p w14:paraId="40764EC9">
            <w:pPr>
              <w:spacing w:line="342" w:lineRule="auto"/>
              <w:rPr>
                <w:rFonts w:ascii="Arial"/>
                <w:sz w:val="21"/>
              </w:rPr>
            </w:pPr>
          </w:p>
          <w:p w14:paraId="2B3FDBD2">
            <w:pPr>
              <w:spacing w:line="343" w:lineRule="auto"/>
              <w:rPr>
                <w:rFonts w:ascii="Arial"/>
                <w:sz w:val="21"/>
              </w:rPr>
            </w:pPr>
          </w:p>
          <w:p w14:paraId="056B4153">
            <w:pPr>
              <w:spacing w:before="68" w:line="242" w:lineRule="auto"/>
              <w:ind w:left="201" w:right="212"/>
              <w:rPr>
                <w:rFonts w:ascii="宋体" w:hAnsi="宋体" w:eastAsia="宋体" w:cs="宋体"/>
                <w:sz w:val="21"/>
                <w:szCs w:val="21"/>
              </w:rPr>
            </w:pPr>
            <w:r>
              <w:rPr>
                <w:rFonts w:ascii="宋体" w:hAnsi="宋体" w:eastAsia="宋体" w:cs="宋体"/>
                <w:spacing w:val="-5"/>
                <w:sz w:val="21"/>
                <w:szCs w:val="21"/>
              </w:rPr>
              <w:t>种子植物</w:t>
            </w:r>
          </w:p>
        </w:tc>
        <w:tc>
          <w:tcPr>
            <w:tcW w:w="2969" w:type="dxa"/>
            <w:gridSpan w:val="2"/>
            <w:vAlign w:val="top"/>
          </w:tcPr>
          <w:p w14:paraId="40F5A745">
            <w:pPr>
              <w:spacing w:before="92" w:line="220" w:lineRule="auto"/>
              <w:ind w:left="1062"/>
              <w:rPr>
                <w:rFonts w:ascii="宋体" w:hAnsi="宋体" w:eastAsia="宋体" w:cs="宋体"/>
                <w:sz w:val="21"/>
                <w:szCs w:val="21"/>
              </w:rPr>
            </w:pPr>
            <w:r>
              <w:rPr>
                <w:rFonts w:ascii="宋体" w:hAnsi="宋体" w:eastAsia="宋体" w:cs="宋体"/>
                <w:spacing w:val="-2"/>
                <w:sz w:val="21"/>
                <w:szCs w:val="21"/>
              </w:rPr>
              <w:t>裸子植物</w:t>
            </w:r>
          </w:p>
        </w:tc>
        <w:tc>
          <w:tcPr>
            <w:tcW w:w="1546" w:type="dxa"/>
            <w:vAlign w:val="top"/>
          </w:tcPr>
          <w:p w14:paraId="550C9E3F">
            <w:pPr>
              <w:pStyle w:val="6"/>
              <w:spacing w:before="126" w:line="235" w:lineRule="auto"/>
              <w:ind w:left="742"/>
            </w:pPr>
            <w:r>
              <w:t>1</w:t>
            </w:r>
          </w:p>
        </w:tc>
        <w:tc>
          <w:tcPr>
            <w:tcW w:w="1549" w:type="dxa"/>
            <w:vAlign w:val="top"/>
          </w:tcPr>
          <w:p w14:paraId="337E4C0B">
            <w:pPr>
              <w:pStyle w:val="6"/>
              <w:spacing w:before="126" w:line="235" w:lineRule="auto"/>
              <w:ind w:left="750"/>
            </w:pPr>
            <w:r>
              <w:t>1</w:t>
            </w:r>
          </w:p>
        </w:tc>
        <w:tc>
          <w:tcPr>
            <w:tcW w:w="1562" w:type="dxa"/>
            <w:tcBorders>
              <w:right w:val="single" w:color="000000" w:sz="12" w:space="0"/>
            </w:tcBorders>
            <w:vAlign w:val="top"/>
          </w:tcPr>
          <w:p w14:paraId="5F0C6A04">
            <w:pPr>
              <w:pStyle w:val="6"/>
              <w:spacing w:before="126" w:line="235" w:lineRule="auto"/>
              <w:ind w:left="754"/>
            </w:pPr>
            <w:r>
              <w:t>1</w:t>
            </w:r>
          </w:p>
        </w:tc>
      </w:tr>
      <w:tr w14:paraId="6EA14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46" w:type="dxa"/>
            <w:vMerge w:val="continue"/>
            <w:tcBorders>
              <w:top w:val="nil"/>
              <w:left w:val="single" w:color="000000" w:sz="12" w:space="0"/>
              <w:bottom w:val="nil"/>
            </w:tcBorders>
            <w:vAlign w:val="top"/>
          </w:tcPr>
          <w:p w14:paraId="6BFFEFAD">
            <w:pPr>
              <w:rPr>
                <w:rFonts w:ascii="Arial"/>
                <w:sz w:val="21"/>
              </w:rPr>
            </w:pPr>
          </w:p>
        </w:tc>
        <w:tc>
          <w:tcPr>
            <w:tcW w:w="1216" w:type="dxa"/>
            <w:vMerge w:val="restart"/>
            <w:tcBorders>
              <w:bottom w:val="nil"/>
            </w:tcBorders>
            <w:vAlign w:val="top"/>
          </w:tcPr>
          <w:p w14:paraId="4F923EB2">
            <w:pPr>
              <w:spacing w:line="427" w:lineRule="auto"/>
              <w:rPr>
                <w:rFonts w:ascii="Arial"/>
                <w:sz w:val="21"/>
              </w:rPr>
            </w:pPr>
          </w:p>
          <w:p w14:paraId="1640CBBD">
            <w:pPr>
              <w:spacing w:before="68" w:line="220" w:lineRule="auto"/>
              <w:ind w:left="182"/>
              <w:rPr>
                <w:rFonts w:ascii="宋体" w:hAnsi="宋体" w:eastAsia="宋体" w:cs="宋体"/>
                <w:sz w:val="21"/>
                <w:szCs w:val="21"/>
              </w:rPr>
            </w:pPr>
            <w:r>
              <w:rPr>
                <w:rFonts w:ascii="宋体" w:hAnsi="宋体" w:eastAsia="宋体" w:cs="宋体"/>
                <w:spacing w:val="-2"/>
                <w:sz w:val="21"/>
                <w:szCs w:val="21"/>
              </w:rPr>
              <w:t>被子植物</w:t>
            </w:r>
          </w:p>
        </w:tc>
        <w:tc>
          <w:tcPr>
            <w:tcW w:w="1753" w:type="dxa"/>
            <w:vAlign w:val="top"/>
          </w:tcPr>
          <w:p w14:paraId="5FD4C4CB">
            <w:pPr>
              <w:spacing w:before="96" w:line="220" w:lineRule="auto"/>
              <w:ind w:left="350"/>
              <w:rPr>
                <w:rFonts w:ascii="宋体" w:hAnsi="宋体" w:eastAsia="宋体" w:cs="宋体"/>
                <w:sz w:val="21"/>
                <w:szCs w:val="21"/>
              </w:rPr>
            </w:pPr>
            <w:r>
              <w:rPr>
                <w:rFonts w:ascii="宋体" w:hAnsi="宋体" w:eastAsia="宋体" w:cs="宋体"/>
                <w:spacing w:val="-2"/>
                <w:sz w:val="21"/>
                <w:szCs w:val="21"/>
              </w:rPr>
              <w:t>双子叶植物</w:t>
            </w:r>
          </w:p>
        </w:tc>
        <w:tc>
          <w:tcPr>
            <w:tcW w:w="1546" w:type="dxa"/>
            <w:vAlign w:val="top"/>
          </w:tcPr>
          <w:p w14:paraId="3EC3526C">
            <w:pPr>
              <w:pStyle w:val="6"/>
              <w:spacing w:before="131" w:line="232" w:lineRule="auto"/>
              <w:ind w:left="678"/>
            </w:pPr>
            <w:r>
              <w:rPr>
                <w:spacing w:val="-4"/>
              </w:rPr>
              <w:t>82</w:t>
            </w:r>
          </w:p>
        </w:tc>
        <w:tc>
          <w:tcPr>
            <w:tcW w:w="1549" w:type="dxa"/>
            <w:vAlign w:val="top"/>
          </w:tcPr>
          <w:p w14:paraId="44E1E501">
            <w:pPr>
              <w:pStyle w:val="6"/>
              <w:spacing w:before="130" w:line="235" w:lineRule="auto"/>
              <w:ind w:left="625"/>
            </w:pPr>
            <w:r>
              <w:rPr>
                <w:spacing w:val="-1"/>
              </w:rPr>
              <w:t>211</w:t>
            </w:r>
          </w:p>
        </w:tc>
        <w:tc>
          <w:tcPr>
            <w:tcW w:w="1562" w:type="dxa"/>
            <w:tcBorders>
              <w:right w:val="single" w:color="000000" w:sz="12" w:space="0"/>
            </w:tcBorders>
            <w:vAlign w:val="top"/>
          </w:tcPr>
          <w:p w14:paraId="005F1F5C">
            <w:pPr>
              <w:pStyle w:val="6"/>
              <w:spacing w:before="130" w:line="232" w:lineRule="auto"/>
              <w:ind w:left="633"/>
            </w:pPr>
            <w:r>
              <w:rPr>
                <w:spacing w:val="-2"/>
              </w:rPr>
              <w:t>317</w:t>
            </w:r>
          </w:p>
        </w:tc>
      </w:tr>
      <w:tr w14:paraId="726E8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46" w:type="dxa"/>
            <w:vMerge w:val="continue"/>
            <w:tcBorders>
              <w:top w:val="nil"/>
              <w:left w:val="single" w:color="000000" w:sz="12" w:space="0"/>
              <w:bottom w:val="nil"/>
            </w:tcBorders>
            <w:vAlign w:val="top"/>
          </w:tcPr>
          <w:p w14:paraId="148300F6">
            <w:pPr>
              <w:rPr>
                <w:rFonts w:ascii="Arial"/>
                <w:sz w:val="21"/>
              </w:rPr>
            </w:pPr>
          </w:p>
        </w:tc>
        <w:tc>
          <w:tcPr>
            <w:tcW w:w="1216" w:type="dxa"/>
            <w:vMerge w:val="continue"/>
            <w:tcBorders>
              <w:top w:val="nil"/>
              <w:bottom w:val="nil"/>
            </w:tcBorders>
            <w:vAlign w:val="top"/>
          </w:tcPr>
          <w:p w14:paraId="4D922DAD">
            <w:pPr>
              <w:rPr>
                <w:rFonts w:ascii="Arial"/>
                <w:sz w:val="21"/>
              </w:rPr>
            </w:pPr>
          </w:p>
        </w:tc>
        <w:tc>
          <w:tcPr>
            <w:tcW w:w="1753" w:type="dxa"/>
            <w:vAlign w:val="top"/>
          </w:tcPr>
          <w:p w14:paraId="2BEC7CF5">
            <w:pPr>
              <w:spacing w:before="100" w:line="220" w:lineRule="auto"/>
              <w:ind w:left="351"/>
              <w:rPr>
                <w:rFonts w:ascii="宋体" w:hAnsi="宋体" w:eastAsia="宋体" w:cs="宋体"/>
                <w:sz w:val="21"/>
                <w:szCs w:val="21"/>
              </w:rPr>
            </w:pPr>
            <w:r>
              <w:rPr>
                <w:rFonts w:ascii="宋体" w:hAnsi="宋体" w:eastAsia="宋体" w:cs="宋体"/>
                <w:spacing w:val="-2"/>
                <w:sz w:val="21"/>
                <w:szCs w:val="21"/>
              </w:rPr>
              <w:t>单子叶植物</w:t>
            </w:r>
          </w:p>
        </w:tc>
        <w:tc>
          <w:tcPr>
            <w:tcW w:w="1546" w:type="dxa"/>
            <w:vAlign w:val="top"/>
          </w:tcPr>
          <w:p w14:paraId="33ABED84">
            <w:pPr>
              <w:pStyle w:val="6"/>
              <w:spacing w:before="134" w:line="235" w:lineRule="auto"/>
              <w:ind w:left="689"/>
            </w:pPr>
            <w:r>
              <w:rPr>
                <w:spacing w:val="-6"/>
              </w:rPr>
              <w:t>11</w:t>
            </w:r>
          </w:p>
        </w:tc>
        <w:tc>
          <w:tcPr>
            <w:tcW w:w="1549" w:type="dxa"/>
            <w:vAlign w:val="top"/>
          </w:tcPr>
          <w:p w14:paraId="09A8770C">
            <w:pPr>
              <w:pStyle w:val="6"/>
              <w:spacing w:before="134" w:line="235" w:lineRule="auto"/>
              <w:ind w:left="676"/>
            </w:pPr>
            <w:r>
              <w:rPr>
                <w:spacing w:val="-1"/>
              </w:rPr>
              <w:t>41</w:t>
            </w:r>
          </w:p>
        </w:tc>
        <w:tc>
          <w:tcPr>
            <w:tcW w:w="1562" w:type="dxa"/>
            <w:tcBorders>
              <w:right w:val="single" w:color="000000" w:sz="12" w:space="0"/>
            </w:tcBorders>
            <w:vAlign w:val="top"/>
          </w:tcPr>
          <w:p w14:paraId="14D2EAF7">
            <w:pPr>
              <w:pStyle w:val="6"/>
              <w:spacing w:before="134" w:line="232" w:lineRule="auto"/>
              <w:ind w:left="686"/>
            </w:pPr>
            <w:r>
              <w:rPr>
                <w:spacing w:val="-3"/>
              </w:rPr>
              <w:t>69</w:t>
            </w:r>
          </w:p>
        </w:tc>
      </w:tr>
      <w:tr w14:paraId="75D59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46" w:type="dxa"/>
            <w:vMerge w:val="continue"/>
            <w:tcBorders>
              <w:top w:val="nil"/>
              <w:left w:val="single" w:color="000000" w:sz="12" w:space="0"/>
              <w:bottom w:val="nil"/>
            </w:tcBorders>
            <w:vAlign w:val="top"/>
          </w:tcPr>
          <w:p w14:paraId="45387F05">
            <w:pPr>
              <w:rPr>
                <w:rFonts w:ascii="Arial"/>
                <w:sz w:val="21"/>
              </w:rPr>
            </w:pPr>
          </w:p>
        </w:tc>
        <w:tc>
          <w:tcPr>
            <w:tcW w:w="1216" w:type="dxa"/>
            <w:vMerge w:val="continue"/>
            <w:tcBorders>
              <w:top w:val="nil"/>
            </w:tcBorders>
            <w:vAlign w:val="top"/>
          </w:tcPr>
          <w:p w14:paraId="41DCA7B7">
            <w:pPr>
              <w:rPr>
                <w:rFonts w:ascii="Arial"/>
                <w:sz w:val="21"/>
              </w:rPr>
            </w:pPr>
          </w:p>
        </w:tc>
        <w:tc>
          <w:tcPr>
            <w:tcW w:w="1753" w:type="dxa"/>
            <w:vAlign w:val="top"/>
          </w:tcPr>
          <w:p w14:paraId="2DE77E2B">
            <w:pPr>
              <w:spacing w:before="104" w:line="221" w:lineRule="auto"/>
              <w:ind w:left="671"/>
              <w:rPr>
                <w:rFonts w:ascii="宋体" w:hAnsi="宋体" w:eastAsia="宋体" w:cs="宋体"/>
                <w:sz w:val="21"/>
                <w:szCs w:val="21"/>
              </w:rPr>
            </w:pPr>
            <w:r>
              <w:rPr>
                <w:rFonts w:ascii="宋体" w:hAnsi="宋体" w:eastAsia="宋体" w:cs="宋体"/>
                <w:spacing w:val="-4"/>
                <w:sz w:val="21"/>
                <w:szCs w:val="21"/>
              </w:rPr>
              <w:t>小计</w:t>
            </w:r>
          </w:p>
        </w:tc>
        <w:tc>
          <w:tcPr>
            <w:tcW w:w="1546" w:type="dxa"/>
            <w:vAlign w:val="top"/>
          </w:tcPr>
          <w:p w14:paraId="07916DF0">
            <w:pPr>
              <w:pStyle w:val="6"/>
              <w:spacing w:before="138" w:line="232" w:lineRule="auto"/>
              <w:ind w:left="673"/>
            </w:pPr>
            <w:r>
              <w:rPr>
                <w:spacing w:val="-2"/>
              </w:rPr>
              <w:t>93</w:t>
            </w:r>
          </w:p>
        </w:tc>
        <w:tc>
          <w:tcPr>
            <w:tcW w:w="1549" w:type="dxa"/>
            <w:vAlign w:val="top"/>
          </w:tcPr>
          <w:p w14:paraId="2BC37A84">
            <w:pPr>
              <w:pStyle w:val="6"/>
              <w:spacing w:before="138" w:line="232" w:lineRule="auto"/>
              <w:ind w:left="625"/>
            </w:pPr>
            <w:r>
              <w:rPr>
                <w:spacing w:val="-1"/>
              </w:rPr>
              <w:t>252</w:t>
            </w:r>
          </w:p>
        </w:tc>
        <w:tc>
          <w:tcPr>
            <w:tcW w:w="1562" w:type="dxa"/>
            <w:tcBorders>
              <w:right w:val="single" w:color="000000" w:sz="12" w:space="0"/>
            </w:tcBorders>
            <w:vAlign w:val="top"/>
          </w:tcPr>
          <w:p w14:paraId="752476BA">
            <w:pPr>
              <w:pStyle w:val="6"/>
              <w:spacing w:before="138" w:line="232" w:lineRule="auto"/>
              <w:ind w:left="633"/>
            </w:pPr>
            <w:r>
              <w:rPr>
                <w:spacing w:val="-2"/>
              </w:rPr>
              <w:t>386</w:t>
            </w:r>
          </w:p>
        </w:tc>
      </w:tr>
      <w:tr w14:paraId="5F79E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46" w:type="dxa"/>
            <w:vMerge w:val="continue"/>
            <w:tcBorders>
              <w:top w:val="nil"/>
              <w:left w:val="single" w:color="000000" w:sz="12" w:space="0"/>
            </w:tcBorders>
            <w:vAlign w:val="top"/>
          </w:tcPr>
          <w:p w14:paraId="557E5170">
            <w:pPr>
              <w:rPr>
                <w:rFonts w:ascii="Arial"/>
                <w:sz w:val="21"/>
              </w:rPr>
            </w:pPr>
          </w:p>
        </w:tc>
        <w:tc>
          <w:tcPr>
            <w:tcW w:w="2969" w:type="dxa"/>
            <w:gridSpan w:val="2"/>
            <w:vAlign w:val="top"/>
          </w:tcPr>
          <w:p w14:paraId="3DA9F9AF">
            <w:pPr>
              <w:spacing w:before="108" w:line="221" w:lineRule="auto"/>
              <w:ind w:left="1277"/>
              <w:rPr>
                <w:rFonts w:ascii="宋体" w:hAnsi="宋体" w:eastAsia="宋体" w:cs="宋体"/>
                <w:sz w:val="21"/>
                <w:szCs w:val="21"/>
              </w:rPr>
            </w:pPr>
            <w:r>
              <w:rPr>
                <w:rFonts w:ascii="宋体" w:hAnsi="宋体" w:eastAsia="宋体" w:cs="宋体"/>
                <w:spacing w:val="-4"/>
                <w:sz w:val="21"/>
                <w:szCs w:val="21"/>
              </w:rPr>
              <w:t>小计</w:t>
            </w:r>
          </w:p>
        </w:tc>
        <w:tc>
          <w:tcPr>
            <w:tcW w:w="1546" w:type="dxa"/>
            <w:vAlign w:val="top"/>
          </w:tcPr>
          <w:p w14:paraId="47F36589">
            <w:pPr>
              <w:pStyle w:val="6"/>
              <w:spacing w:before="141" w:line="232" w:lineRule="auto"/>
              <w:ind w:left="673"/>
            </w:pPr>
            <w:r>
              <w:rPr>
                <w:spacing w:val="-2"/>
              </w:rPr>
              <w:t>94</w:t>
            </w:r>
          </w:p>
        </w:tc>
        <w:tc>
          <w:tcPr>
            <w:tcW w:w="1549" w:type="dxa"/>
            <w:vAlign w:val="top"/>
          </w:tcPr>
          <w:p w14:paraId="5F2FB53D">
            <w:pPr>
              <w:pStyle w:val="6"/>
              <w:spacing w:before="141" w:line="232" w:lineRule="auto"/>
              <w:ind w:left="625"/>
            </w:pPr>
            <w:r>
              <w:rPr>
                <w:spacing w:val="-1"/>
              </w:rPr>
              <w:t>253</w:t>
            </w:r>
          </w:p>
        </w:tc>
        <w:tc>
          <w:tcPr>
            <w:tcW w:w="1562" w:type="dxa"/>
            <w:tcBorders>
              <w:right w:val="single" w:color="000000" w:sz="12" w:space="0"/>
            </w:tcBorders>
            <w:vAlign w:val="top"/>
          </w:tcPr>
          <w:p w14:paraId="45F9BD41">
            <w:pPr>
              <w:pStyle w:val="6"/>
              <w:spacing w:before="141" w:line="232" w:lineRule="auto"/>
              <w:ind w:left="633"/>
            </w:pPr>
            <w:r>
              <w:rPr>
                <w:spacing w:val="-2"/>
              </w:rPr>
              <w:t>387</w:t>
            </w:r>
          </w:p>
        </w:tc>
      </w:tr>
      <w:tr w14:paraId="49C56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3815" w:type="dxa"/>
            <w:gridSpan w:val="3"/>
            <w:tcBorders>
              <w:left w:val="single" w:color="000000" w:sz="12" w:space="0"/>
              <w:bottom w:val="single" w:color="000000" w:sz="12" w:space="0"/>
            </w:tcBorders>
            <w:vAlign w:val="top"/>
          </w:tcPr>
          <w:p w14:paraId="1B099948">
            <w:pPr>
              <w:spacing w:before="112" w:line="221" w:lineRule="auto"/>
              <w:ind w:left="1691"/>
              <w:rPr>
                <w:rFonts w:ascii="宋体" w:hAnsi="宋体" w:eastAsia="宋体" w:cs="宋体"/>
                <w:sz w:val="21"/>
                <w:szCs w:val="21"/>
              </w:rPr>
            </w:pPr>
            <w:r>
              <w:rPr>
                <w:rFonts w:ascii="宋体" w:hAnsi="宋体" w:eastAsia="宋体" w:cs="宋体"/>
                <w:spacing w:val="-3"/>
                <w:sz w:val="21"/>
                <w:szCs w:val="21"/>
              </w:rPr>
              <w:t>合计</w:t>
            </w:r>
          </w:p>
        </w:tc>
        <w:tc>
          <w:tcPr>
            <w:tcW w:w="1546" w:type="dxa"/>
            <w:tcBorders>
              <w:bottom w:val="single" w:color="000000" w:sz="12" w:space="0"/>
            </w:tcBorders>
            <w:vAlign w:val="top"/>
          </w:tcPr>
          <w:p w14:paraId="1434E0E4">
            <w:pPr>
              <w:pStyle w:val="6"/>
              <w:spacing w:before="146" w:line="232" w:lineRule="auto"/>
              <w:ind w:left="637"/>
            </w:pPr>
            <w:r>
              <w:rPr>
                <w:spacing w:val="-6"/>
              </w:rPr>
              <w:t>105</w:t>
            </w:r>
          </w:p>
        </w:tc>
        <w:tc>
          <w:tcPr>
            <w:tcW w:w="1549" w:type="dxa"/>
            <w:tcBorders>
              <w:bottom w:val="single" w:color="000000" w:sz="12" w:space="0"/>
            </w:tcBorders>
            <w:vAlign w:val="top"/>
          </w:tcPr>
          <w:p w14:paraId="4F41BBB4">
            <w:pPr>
              <w:pStyle w:val="6"/>
              <w:spacing w:before="146" w:line="232" w:lineRule="auto"/>
              <w:ind w:left="625"/>
            </w:pPr>
            <w:r>
              <w:rPr>
                <w:spacing w:val="-1"/>
              </w:rPr>
              <w:t>269</w:t>
            </w:r>
          </w:p>
        </w:tc>
        <w:tc>
          <w:tcPr>
            <w:tcW w:w="1562" w:type="dxa"/>
            <w:tcBorders>
              <w:bottom w:val="single" w:color="000000" w:sz="12" w:space="0"/>
              <w:right w:val="single" w:color="000000" w:sz="12" w:space="0"/>
            </w:tcBorders>
            <w:vAlign w:val="top"/>
          </w:tcPr>
          <w:p w14:paraId="1FE7F17E">
            <w:pPr>
              <w:pStyle w:val="6"/>
              <w:spacing w:before="146" w:line="232" w:lineRule="auto"/>
              <w:ind w:left="628"/>
            </w:pPr>
            <w:r>
              <w:rPr>
                <w:spacing w:val="-1"/>
              </w:rPr>
              <w:t>409</w:t>
            </w:r>
          </w:p>
        </w:tc>
      </w:tr>
    </w:tbl>
    <w:p w14:paraId="7D19DF80">
      <w:pPr>
        <w:pStyle w:val="2"/>
        <w:spacing w:before="30" w:line="220" w:lineRule="auto"/>
        <w:ind w:left="40"/>
        <w:rPr>
          <w:sz w:val="21"/>
          <w:szCs w:val="21"/>
        </w:rPr>
      </w:pPr>
      <w:r>
        <w:rPr>
          <w:spacing w:val="-1"/>
          <w:sz w:val="21"/>
          <w:szCs w:val="21"/>
        </w:rPr>
        <w:t>备注：包括外来植物和变种。</w:t>
      </w:r>
    </w:p>
    <w:p w14:paraId="7E840B65">
      <w:pPr>
        <w:spacing w:line="300" w:lineRule="auto"/>
        <w:rPr>
          <w:rFonts w:ascii="Arial"/>
          <w:sz w:val="21"/>
        </w:rPr>
      </w:pPr>
    </w:p>
    <w:p w14:paraId="25A7F4D1">
      <w:pPr>
        <w:spacing w:line="300" w:lineRule="auto"/>
        <w:rPr>
          <w:rFonts w:ascii="Arial"/>
          <w:sz w:val="21"/>
        </w:rPr>
      </w:pPr>
    </w:p>
    <w:p w14:paraId="43CB6B24">
      <w:pPr>
        <w:pStyle w:val="2"/>
        <w:spacing w:before="78" w:line="339" w:lineRule="auto"/>
        <w:ind w:left="39" w:right="28" w:firstLine="479"/>
        <w:jc w:val="both"/>
        <w:rPr>
          <w:sz w:val="24"/>
          <w:szCs w:val="24"/>
        </w:rPr>
      </w:pPr>
      <w:r>
        <w:rPr>
          <w:spacing w:val="-6"/>
          <w:sz w:val="24"/>
          <w:szCs w:val="24"/>
        </w:rPr>
        <w:t>施工期调查发现，调查区共有维管植物</w:t>
      </w:r>
      <w:r>
        <w:rPr>
          <w:spacing w:val="-32"/>
          <w:sz w:val="24"/>
          <w:szCs w:val="24"/>
        </w:rPr>
        <w:t xml:space="preserve"> </w:t>
      </w:r>
      <w:r>
        <w:rPr>
          <w:rFonts w:ascii="Times New Roman" w:hAnsi="Times New Roman" w:eastAsia="Times New Roman" w:cs="Times New Roman"/>
          <w:spacing w:val="-6"/>
          <w:sz w:val="24"/>
          <w:szCs w:val="24"/>
        </w:rPr>
        <w:t>11</w:t>
      </w:r>
      <w:r>
        <w:rPr>
          <w:rFonts w:ascii="Times New Roman" w:hAnsi="Times New Roman" w:eastAsia="Times New Roman" w:cs="Times New Roman"/>
          <w:spacing w:val="-7"/>
          <w:sz w:val="24"/>
          <w:szCs w:val="24"/>
        </w:rPr>
        <w:t xml:space="preserve">8 </w:t>
      </w:r>
      <w:r>
        <w:rPr>
          <w:spacing w:val="-7"/>
          <w:sz w:val="24"/>
          <w:szCs w:val="24"/>
        </w:rPr>
        <w:t>科</w:t>
      </w:r>
      <w:r>
        <w:rPr>
          <w:spacing w:val="-54"/>
          <w:sz w:val="24"/>
          <w:szCs w:val="24"/>
        </w:rPr>
        <w:t xml:space="preserve"> </w:t>
      </w:r>
      <w:r>
        <w:rPr>
          <w:rFonts w:ascii="Times New Roman" w:hAnsi="Times New Roman" w:eastAsia="Times New Roman" w:cs="Times New Roman"/>
          <w:spacing w:val="-7"/>
          <w:sz w:val="24"/>
          <w:szCs w:val="24"/>
        </w:rPr>
        <w:t xml:space="preserve">298 </w:t>
      </w:r>
      <w:r>
        <w:rPr>
          <w:spacing w:val="-7"/>
          <w:sz w:val="24"/>
          <w:szCs w:val="24"/>
        </w:rPr>
        <w:t>属</w:t>
      </w:r>
      <w:r>
        <w:rPr>
          <w:spacing w:val="-57"/>
          <w:sz w:val="24"/>
          <w:szCs w:val="24"/>
        </w:rPr>
        <w:t xml:space="preserve"> </w:t>
      </w:r>
      <w:r>
        <w:rPr>
          <w:rFonts w:ascii="Times New Roman" w:hAnsi="Times New Roman" w:eastAsia="Times New Roman" w:cs="Times New Roman"/>
          <w:spacing w:val="-7"/>
          <w:sz w:val="24"/>
          <w:szCs w:val="24"/>
        </w:rPr>
        <w:t xml:space="preserve">414 </w:t>
      </w:r>
      <w:r>
        <w:rPr>
          <w:spacing w:val="-7"/>
          <w:sz w:val="24"/>
          <w:szCs w:val="24"/>
        </w:rPr>
        <w:t>种。其中，</w:t>
      </w:r>
      <w:r>
        <w:rPr>
          <w:spacing w:val="-39"/>
          <w:sz w:val="24"/>
          <w:szCs w:val="24"/>
        </w:rPr>
        <w:t xml:space="preserve"> </w:t>
      </w:r>
      <w:r>
        <w:rPr>
          <w:spacing w:val="-7"/>
          <w:sz w:val="24"/>
          <w:szCs w:val="24"/>
        </w:rPr>
        <w:t>蕨类植物</w:t>
      </w:r>
      <w:r>
        <w:rPr>
          <w:rFonts w:ascii="Times New Roman" w:hAnsi="Times New Roman" w:eastAsia="Times New Roman" w:cs="Times New Roman"/>
          <w:spacing w:val="-4"/>
          <w:sz w:val="24"/>
          <w:szCs w:val="24"/>
        </w:rPr>
        <w:t>16</w:t>
      </w:r>
      <w:r>
        <w:rPr>
          <w:rFonts w:ascii="Times New Roman" w:hAnsi="Times New Roman" w:eastAsia="Times New Roman" w:cs="Times New Roman"/>
          <w:spacing w:val="16"/>
          <w:w w:val="101"/>
          <w:sz w:val="24"/>
          <w:szCs w:val="24"/>
        </w:rPr>
        <w:t xml:space="preserve"> </w:t>
      </w:r>
      <w:r>
        <w:rPr>
          <w:spacing w:val="-4"/>
          <w:sz w:val="24"/>
          <w:szCs w:val="24"/>
        </w:rPr>
        <w:t>科</w:t>
      </w:r>
      <w:r>
        <w:rPr>
          <w:spacing w:val="-25"/>
          <w:sz w:val="24"/>
          <w:szCs w:val="24"/>
        </w:rPr>
        <w:t xml:space="preserve"> </w:t>
      </w:r>
      <w:r>
        <w:rPr>
          <w:rFonts w:ascii="Times New Roman" w:hAnsi="Times New Roman" w:eastAsia="Times New Roman" w:cs="Times New Roman"/>
          <w:spacing w:val="-4"/>
          <w:sz w:val="24"/>
          <w:szCs w:val="24"/>
        </w:rPr>
        <w:t>18</w:t>
      </w:r>
      <w:r>
        <w:rPr>
          <w:rFonts w:ascii="Times New Roman" w:hAnsi="Times New Roman" w:eastAsia="Times New Roman" w:cs="Times New Roman"/>
          <w:spacing w:val="19"/>
          <w:w w:val="101"/>
          <w:sz w:val="24"/>
          <w:szCs w:val="24"/>
        </w:rPr>
        <w:t xml:space="preserve"> </w:t>
      </w:r>
      <w:r>
        <w:rPr>
          <w:spacing w:val="-4"/>
          <w:sz w:val="24"/>
          <w:szCs w:val="24"/>
        </w:rPr>
        <w:t>属</w:t>
      </w:r>
      <w:r>
        <w:rPr>
          <w:spacing w:val="-48"/>
          <w:sz w:val="24"/>
          <w:szCs w:val="24"/>
        </w:rPr>
        <w:t xml:space="preserve"> </w:t>
      </w:r>
      <w:r>
        <w:rPr>
          <w:rFonts w:ascii="Times New Roman" w:hAnsi="Times New Roman" w:eastAsia="Times New Roman" w:cs="Times New Roman"/>
          <w:spacing w:val="-4"/>
          <w:sz w:val="24"/>
          <w:szCs w:val="24"/>
        </w:rPr>
        <w:t>27</w:t>
      </w:r>
      <w:r>
        <w:rPr>
          <w:rFonts w:ascii="Times New Roman" w:hAnsi="Times New Roman" w:eastAsia="Times New Roman" w:cs="Times New Roman"/>
          <w:spacing w:val="17"/>
          <w:sz w:val="24"/>
          <w:szCs w:val="24"/>
        </w:rPr>
        <w:t xml:space="preserve"> </w:t>
      </w:r>
      <w:r>
        <w:rPr>
          <w:spacing w:val="-4"/>
          <w:sz w:val="24"/>
          <w:szCs w:val="24"/>
        </w:rPr>
        <w:t>种，种子植物</w:t>
      </w:r>
      <w:r>
        <w:rPr>
          <w:spacing w:val="-25"/>
          <w:sz w:val="24"/>
          <w:szCs w:val="24"/>
        </w:rPr>
        <w:t xml:space="preserve"> </w:t>
      </w:r>
      <w:r>
        <w:rPr>
          <w:rFonts w:ascii="Times New Roman" w:hAnsi="Times New Roman" w:eastAsia="Times New Roman" w:cs="Times New Roman"/>
          <w:spacing w:val="-4"/>
          <w:sz w:val="24"/>
          <w:szCs w:val="24"/>
        </w:rPr>
        <w:t>102</w:t>
      </w:r>
      <w:r>
        <w:rPr>
          <w:rFonts w:ascii="Times New Roman" w:hAnsi="Times New Roman" w:eastAsia="Times New Roman" w:cs="Times New Roman"/>
          <w:spacing w:val="17"/>
          <w:sz w:val="24"/>
          <w:szCs w:val="24"/>
        </w:rPr>
        <w:t xml:space="preserve"> </w:t>
      </w:r>
      <w:r>
        <w:rPr>
          <w:spacing w:val="-4"/>
          <w:sz w:val="24"/>
          <w:szCs w:val="24"/>
        </w:rPr>
        <w:t>科</w:t>
      </w:r>
      <w:r>
        <w:rPr>
          <w:spacing w:val="-48"/>
          <w:sz w:val="24"/>
          <w:szCs w:val="24"/>
        </w:rPr>
        <w:t xml:space="preserve"> </w:t>
      </w:r>
      <w:r>
        <w:rPr>
          <w:rFonts w:ascii="Times New Roman" w:hAnsi="Times New Roman" w:eastAsia="Times New Roman" w:cs="Times New Roman"/>
          <w:spacing w:val="-4"/>
          <w:sz w:val="24"/>
          <w:szCs w:val="24"/>
        </w:rPr>
        <w:t>280</w:t>
      </w:r>
      <w:r>
        <w:rPr>
          <w:rFonts w:ascii="Times New Roman" w:hAnsi="Times New Roman" w:eastAsia="Times New Roman" w:cs="Times New Roman"/>
          <w:spacing w:val="20"/>
          <w:sz w:val="24"/>
          <w:szCs w:val="24"/>
        </w:rPr>
        <w:t xml:space="preserve"> </w:t>
      </w:r>
      <w:r>
        <w:rPr>
          <w:spacing w:val="-4"/>
          <w:sz w:val="24"/>
          <w:szCs w:val="24"/>
        </w:rPr>
        <w:t>属</w:t>
      </w:r>
      <w:r>
        <w:rPr>
          <w:spacing w:val="-43"/>
          <w:sz w:val="24"/>
          <w:szCs w:val="24"/>
        </w:rPr>
        <w:t xml:space="preserve"> </w:t>
      </w:r>
      <w:r>
        <w:rPr>
          <w:rFonts w:ascii="Times New Roman" w:hAnsi="Times New Roman" w:eastAsia="Times New Roman" w:cs="Times New Roman"/>
          <w:spacing w:val="-4"/>
          <w:sz w:val="24"/>
          <w:szCs w:val="24"/>
        </w:rPr>
        <w:t>38</w:t>
      </w:r>
      <w:r>
        <w:rPr>
          <w:rFonts w:ascii="Times New Roman" w:hAnsi="Times New Roman" w:eastAsia="Times New Roman" w:cs="Times New Roman"/>
          <w:spacing w:val="-5"/>
          <w:sz w:val="24"/>
          <w:szCs w:val="24"/>
        </w:rPr>
        <w:t>7</w:t>
      </w:r>
      <w:r>
        <w:rPr>
          <w:rFonts w:ascii="Times New Roman" w:hAnsi="Times New Roman" w:eastAsia="Times New Roman" w:cs="Times New Roman"/>
          <w:spacing w:val="16"/>
          <w:w w:val="101"/>
          <w:sz w:val="24"/>
          <w:szCs w:val="24"/>
        </w:rPr>
        <w:t xml:space="preserve"> </w:t>
      </w:r>
      <w:r>
        <w:rPr>
          <w:spacing w:val="-5"/>
          <w:sz w:val="24"/>
          <w:szCs w:val="24"/>
        </w:rPr>
        <w:t>种。种子植物中，裸子植物</w:t>
      </w:r>
      <w:r>
        <w:rPr>
          <w:spacing w:val="-43"/>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7"/>
          <w:sz w:val="24"/>
          <w:szCs w:val="24"/>
        </w:rPr>
        <w:t xml:space="preserve"> </w:t>
      </w:r>
      <w:r>
        <w:rPr>
          <w:spacing w:val="-5"/>
          <w:sz w:val="24"/>
          <w:szCs w:val="24"/>
        </w:rPr>
        <w:t>科</w:t>
      </w:r>
      <w:r>
        <w:rPr>
          <w:spacing w:val="-43"/>
          <w:sz w:val="24"/>
          <w:szCs w:val="24"/>
        </w:rPr>
        <w:t xml:space="preserve"> </w:t>
      </w:r>
      <w:r>
        <w:rPr>
          <w:rFonts w:ascii="Times New Roman" w:hAnsi="Times New Roman" w:eastAsia="Times New Roman" w:cs="Times New Roman"/>
          <w:spacing w:val="-5"/>
          <w:sz w:val="24"/>
          <w:szCs w:val="24"/>
        </w:rPr>
        <w:t>6</w:t>
      </w:r>
      <w:r>
        <w:rPr>
          <w:spacing w:val="-4"/>
          <w:sz w:val="24"/>
          <w:szCs w:val="24"/>
        </w:rPr>
        <w:t>属</w:t>
      </w:r>
      <w:r>
        <w:rPr>
          <w:spacing w:val="-46"/>
          <w:sz w:val="24"/>
          <w:szCs w:val="24"/>
        </w:rPr>
        <w:t xml:space="preserve"> </w:t>
      </w:r>
      <w:r>
        <w:rPr>
          <w:rFonts w:ascii="Times New Roman" w:hAnsi="Times New Roman" w:eastAsia="Times New Roman" w:cs="Times New Roman"/>
          <w:spacing w:val="-4"/>
          <w:sz w:val="24"/>
          <w:szCs w:val="24"/>
        </w:rPr>
        <w:t xml:space="preserve">8 </w:t>
      </w:r>
      <w:r>
        <w:rPr>
          <w:spacing w:val="-4"/>
          <w:sz w:val="24"/>
          <w:szCs w:val="24"/>
        </w:rPr>
        <w:t>种，被子植物</w:t>
      </w:r>
      <w:r>
        <w:rPr>
          <w:spacing w:val="-50"/>
          <w:sz w:val="24"/>
          <w:szCs w:val="24"/>
        </w:rPr>
        <w:t xml:space="preserve"> </w:t>
      </w:r>
      <w:r>
        <w:rPr>
          <w:rFonts w:ascii="Times New Roman" w:hAnsi="Times New Roman" w:eastAsia="Times New Roman" w:cs="Times New Roman"/>
          <w:spacing w:val="-4"/>
          <w:sz w:val="24"/>
          <w:szCs w:val="24"/>
        </w:rPr>
        <w:t xml:space="preserve">99 </w:t>
      </w:r>
      <w:r>
        <w:rPr>
          <w:spacing w:val="-4"/>
          <w:sz w:val="24"/>
          <w:szCs w:val="24"/>
        </w:rPr>
        <w:t>科</w:t>
      </w:r>
      <w:r>
        <w:rPr>
          <w:spacing w:val="-55"/>
          <w:sz w:val="24"/>
          <w:szCs w:val="24"/>
        </w:rPr>
        <w:t xml:space="preserve"> </w:t>
      </w:r>
      <w:r>
        <w:rPr>
          <w:rFonts w:ascii="Times New Roman" w:hAnsi="Times New Roman" w:eastAsia="Times New Roman" w:cs="Times New Roman"/>
          <w:spacing w:val="-4"/>
          <w:sz w:val="24"/>
          <w:szCs w:val="24"/>
        </w:rPr>
        <w:t xml:space="preserve">274 </w:t>
      </w:r>
      <w:r>
        <w:rPr>
          <w:spacing w:val="-4"/>
          <w:sz w:val="24"/>
          <w:szCs w:val="24"/>
        </w:rPr>
        <w:t>属</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5"/>
          <w:sz w:val="24"/>
          <w:szCs w:val="24"/>
        </w:rPr>
        <w:t xml:space="preserve">79 </w:t>
      </w:r>
      <w:r>
        <w:rPr>
          <w:spacing w:val="-5"/>
          <w:sz w:val="24"/>
          <w:szCs w:val="24"/>
        </w:rPr>
        <w:t>种。被子植物中， 双子叶植物</w:t>
      </w:r>
      <w:r>
        <w:rPr>
          <w:spacing w:val="-45"/>
          <w:sz w:val="24"/>
          <w:szCs w:val="24"/>
        </w:rPr>
        <w:t xml:space="preserve"> </w:t>
      </w:r>
      <w:r>
        <w:rPr>
          <w:rFonts w:ascii="Times New Roman" w:hAnsi="Times New Roman" w:eastAsia="Times New Roman" w:cs="Times New Roman"/>
          <w:spacing w:val="-5"/>
          <w:sz w:val="24"/>
          <w:szCs w:val="24"/>
        </w:rPr>
        <w:t xml:space="preserve">85 </w:t>
      </w:r>
      <w:r>
        <w:rPr>
          <w:spacing w:val="-5"/>
          <w:sz w:val="24"/>
          <w:szCs w:val="24"/>
        </w:rPr>
        <w:t>科</w:t>
      </w:r>
      <w:r>
        <w:rPr>
          <w:spacing w:val="-55"/>
          <w:sz w:val="24"/>
          <w:szCs w:val="24"/>
        </w:rPr>
        <w:t xml:space="preserve"> </w:t>
      </w:r>
      <w:r>
        <w:rPr>
          <w:rFonts w:ascii="Times New Roman" w:hAnsi="Times New Roman" w:eastAsia="Times New Roman" w:cs="Times New Roman"/>
          <w:spacing w:val="-5"/>
          <w:sz w:val="24"/>
          <w:szCs w:val="24"/>
        </w:rPr>
        <w:t>220</w:t>
      </w:r>
      <w:r>
        <w:rPr>
          <w:rFonts w:ascii="Times New Roman" w:hAnsi="Times New Roman" w:eastAsia="Times New Roman" w:cs="Times New Roman"/>
          <w:spacing w:val="11"/>
          <w:sz w:val="24"/>
          <w:szCs w:val="24"/>
        </w:rPr>
        <w:t xml:space="preserve"> </w:t>
      </w:r>
      <w:r>
        <w:rPr>
          <w:spacing w:val="-5"/>
          <w:sz w:val="24"/>
          <w:szCs w:val="24"/>
        </w:rPr>
        <w:t>属</w:t>
      </w:r>
      <w:r>
        <w:rPr>
          <w:spacing w:val="-50"/>
          <w:sz w:val="24"/>
          <w:szCs w:val="24"/>
        </w:rPr>
        <w:t xml:space="preserve"> </w:t>
      </w:r>
      <w:r>
        <w:rPr>
          <w:rFonts w:ascii="Times New Roman" w:hAnsi="Times New Roman" w:eastAsia="Times New Roman" w:cs="Times New Roman"/>
          <w:spacing w:val="-5"/>
          <w:sz w:val="24"/>
          <w:szCs w:val="24"/>
        </w:rPr>
        <w:t>304</w:t>
      </w:r>
      <w:r>
        <w:rPr>
          <w:spacing w:val="-3"/>
          <w:sz w:val="24"/>
          <w:szCs w:val="24"/>
        </w:rPr>
        <w:t>种，单子叶植物</w:t>
      </w:r>
      <w:r>
        <w:rPr>
          <w:spacing w:val="-14"/>
          <w:sz w:val="24"/>
          <w:szCs w:val="24"/>
        </w:rPr>
        <w:t xml:space="preserve"> </w:t>
      </w:r>
      <w:r>
        <w:rPr>
          <w:rFonts w:ascii="Times New Roman" w:hAnsi="Times New Roman" w:eastAsia="Times New Roman" w:cs="Times New Roman"/>
          <w:spacing w:val="-3"/>
          <w:sz w:val="24"/>
          <w:szCs w:val="24"/>
        </w:rPr>
        <w:t xml:space="preserve">14 </w:t>
      </w:r>
      <w:r>
        <w:rPr>
          <w:spacing w:val="-3"/>
          <w:sz w:val="24"/>
          <w:szCs w:val="24"/>
        </w:rPr>
        <w:t>科</w:t>
      </w:r>
      <w:r>
        <w:rPr>
          <w:spacing w:val="-48"/>
          <w:sz w:val="24"/>
          <w:szCs w:val="24"/>
        </w:rPr>
        <w:t xml:space="preserve"> </w:t>
      </w:r>
      <w:r>
        <w:rPr>
          <w:rFonts w:ascii="Times New Roman" w:hAnsi="Times New Roman" w:eastAsia="Times New Roman" w:cs="Times New Roman"/>
          <w:spacing w:val="-3"/>
          <w:sz w:val="24"/>
          <w:szCs w:val="24"/>
        </w:rPr>
        <w:t xml:space="preserve">54 </w:t>
      </w:r>
      <w:r>
        <w:rPr>
          <w:spacing w:val="-3"/>
          <w:sz w:val="24"/>
          <w:szCs w:val="24"/>
        </w:rPr>
        <w:t>属</w:t>
      </w:r>
      <w:r>
        <w:rPr>
          <w:spacing w:val="-51"/>
          <w:sz w:val="24"/>
          <w:szCs w:val="24"/>
        </w:rPr>
        <w:t xml:space="preserve"> </w:t>
      </w:r>
      <w:r>
        <w:rPr>
          <w:rFonts w:ascii="Times New Roman" w:hAnsi="Times New Roman" w:eastAsia="Times New Roman" w:cs="Times New Roman"/>
          <w:spacing w:val="-3"/>
          <w:sz w:val="24"/>
          <w:szCs w:val="24"/>
        </w:rPr>
        <w:t xml:space="preserve">75 </w:t>
      </w:r>
      <w:r>
        <w:rPr>
          <w:spacing w:val="-3"/>
          <w:sz w:val="24"/>
          <w:szCs w:val="24"/>
        </w:rPr>
        <w:t>种。详见表</w:t>
      </w:r>
      <w:r>
        <w:rPr>
          <w:spacing w:val="-50"/>
          <w:sz w:val="24"/>
          <w:szCs w:val="24"/>
        </w:rPr>
        <w:t xml:space="preserve"> </w:t>
      </w:r>
      <w:r>
        <w:rPr>
          <w:rFonts w:ascii="Times New Roman" w:hAnsi="Times New Roman" w:eastAsia="Times New Roman" w:cs="Times New Roman"/>
          <w:spacing w:val="-3"/>
          <w:sz w:val="24"/>
          <w:szCs w:val="24"/>
        </w:rPr>
        <w:t>6.1-5</w:t>
      </w:r>
      <w:r>
        <w:rPr>
          <w:spacing w:val="-3"/>
          <w:sz w:val="24"/>
          <w:szCs w:val="24"/>
        </w:rPr>
        <w:t>。</w:t>
      </w:r>
    </w:p>
    <w:p w14:paraId="10286A1B">
      <w:pPr>
        <w:spacing w:line="339" w:lineRule="auto"/>
        <w:rPr>
          <w:sz w:val="24"/>
          <w:szCs w:val="24"/>
        </w:rPr>
        <w:sectPr>
          <w:footerReference r:id="rId157" w:type="default"/>
          <w:pgSz w:w="11907" w:h="16839"/>
          <w:pgMar w:top="1376" w:right="1669" w:bottom="1061" w:left="1671" w:header="999" w:footer="861" w:gutter="0"/>
          <w:cols w:space="720" w:num="1"/>
        </w:sectPr>
      </w:pPr>
    </w:p>
    <w:p w14:paraId="0DCABE3F">
      <w:pPr>
        <w:spacing w:line="454" w:lineRule="auto"/>
        <w:rPr>
          <w:rFonts w:ascii="Arial"/>
          <w:sz w:val="21"/>
        </w:rPr>
      </w:pPr>
    </w:p>
    <w:p w14:paraId="7D52430C">
      <w:pPr>
        <w:pStyle w:val="2"/>
        <w:spacing w:before="78" w:line="226" w:lineRule="auto"/>
        <w:ind w:left="279"/>
        <w:rPr>
          <w:sz w:val="24"/>
          <w:szCs w:val="24"/>
        </w:rPr>
      </w:pPr>
      <w:r>
        <w:rPr>
          <w:b/>
          <w:bCs/>
          <w:spacing w:val="-1"/>
          <w:sz w:val="24"/>
          <w:szCs w:val="24"/>
        </w:rPr>
        <w:t>表</w:t>
      </w:r>
      <w:r>
        <w:rPr>
          <w:spacing w:val="-43"/>
          <w:sz w:val="24"/>
          <w:szCs w:val="24"/>
        </w:rPr>
        <w:t xml:space="preserve"> </w:t>
      </w:r>
      <w:r>
        <w:rPr>
          <w:rFonts w:ascii="Times New Roman" w:hAnsi="Times New Roman" w:eastAsia="Times New Roman" w:cs="Times New Roman"/>
          <w:b/>
          <w:bCs/>
          <w:spacing w:val="-1"/>
          <w:sz w:val="24"/>
          <w:szCs w:val="24"/>
        </w:rPr>
        <w:t xml:space="preserve">6.1-5                        </w:t>
      </w:r>
      <w:r>
        <w:rPr>
          <w:b/>
          <w:bCs/>
          <w:spacing w:val="-1"/>
          <w:sz w:val="24"/>
          <w:szCs w:val="24"/>
        </w:rPr>
        <w:t>施工期调查区植物资源统计表（</w:t>
      </w:r>
      <w:r>
        <w:rPr>
          <w:rFonts w:ascii="Times New Roman" w:hAnsi="Times New Roman" w:eastAsia="Times New Roman" w:cs="Times New Roman"/>
          <w:b/>
          <w:bCs/>
          <w:spacing w:val="-1"/>
          <w:sz w:val="24"/>
          <w:szCs w:val="24"/>
        </w:rPr>
        <w:t xml:space="preserve">2020 </w:t>
      </w:r>
      <w:r>
        <w:rPr>
          <w:b/>
          <w:bCs/>
          <w:spacing w:val="-1"/>
          <w:sz w:val="24"/>
          <w:szCs w:val="24"/>
        </w:rPr>
        <w:t>年）</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1359"/>
        <w:gridCol w:w="1752"/>
        <w:gridCol w:w="1546"/>
        <w:gridCol w:w="1546"/>
        <w:gridCol w:w="1563"/>
      </w:tblGrid>
      <w:tr w14:paraId="5785B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3818" w:type="dxa"/>
            <w:gridSpan w:val="3"/>
            <w:tcBorders>
              <w:top w:val="single" w:color="000000" w:sz="12" w:space="0"/>
              <w:left w:val="single" w:color="000000" w:sz="12" w:space="0"/>
            </w:tcBorders>
            <w:vAlign w:val="top"/>
          </w:tcPr>
          <w:p w14:paraId="604A287D">
            <w:pPr>
              <w:spacing w:before="71" w:line="220" w:lineRule="auto"/>
              <w:ind w:left="1481"/>
              <w:rPr>
                <w:rFonts w:ascii="宋体" w:hAnsi="宋体" w:eastAsia="宋体" w:cs="宋体"/>
                <w:sz w:val="21"/>
                <w:szCs w:val="21"/>
              </w:rPr>
            </w:pPr>
            <w:r>
              <w:rPr>
                <w:rFonts w:ascii="宋体" w:hAnsi="宋体" w:eastAsia="宋体" w:cs="宋体"/>
                <w:spacing w:val="-2"/>
                <w:sz w:val="21"/>
                <w:szCs w:val="21"/>
              </w:rPr>
              <w:t>植物类群</w:t>
            </w:r>
          </w:p>
        </w:tc>
        <w:tc>
          <w:tcPr>
            <w:tcW w:w="1546" w:type="dxa"/>
            <w:tcBorders>
              <w:top w:val="single" w:color="000000" w:sz="12" w:space="0"/>
            </w:tcBorders>
            <w:vAlign w:val="top"/>
          </w:tcPr>
          <w:p w14:paraId="018ED5D8">
            <w:pPr>
              <w:spacing w:before="71" w:line="219" w:lineRule="auto"/>
              <w:ind w:left="671"/>
              <w:rPr>
                <w:rFonts w:ascii="宋体" w:hAnsi="宋体" w:eastAsia="宋体" w:cs="宋体"/>
                <w:sz w:val="21"/>
                <w:szCs w:val="21"/>
              </w:rPr>
            </w:pPr>
            <w:r>
              <w:rPr>
                <w:rFonts w:ascii="宋体" w:hAnsi="宋体" w:eastAsia="宋体" w:cs="宋体"/>
                <w:sz w:val="21"/>
                <w:szCs w:val="21"/>
              </w:rPr>
              <w:t>科</w:t>
            </w:r>
          </w:p>
        </w:tc>
        <w:tc>
          <w:tcPr>
            <w:tcW w:w="1546" w:type="dxa"/>
            <w:tcBorders>
              <w:top w:val="single" w:color="000000" w:sz="12" w:space="0"/>
            </w:tcBorders>
            <w:vAlign w:val="top"/>
          </w:tcPr>
          <w:p w14:paraId="1FACA5A6">
            <w:pPr>
              <w:spacing w:before="71" w:line="221" w:lineRule="auto"/>
              <w:ind w:left="679"/>
              <w:rPr>
                <w:rFonts w:ascii="宋体" w:hAnsi="宋体" w:eastAsia="宋体" w:cs="宋体"/>
                <w:sz w:val="21"/>
                <w:szCs w:val="21"/>
              </w:rPr>
            </w:pPr>
            <w:r>
              <w:rPr>
                <w:rFonts w:ascii="宋体" w:hAnsi="宋体" w:eastAsia="宋体" w:cs="宋体"/>
                <w:sz w:val="21"/>
                <w:szCs w:val="21"/>
              </w:rPr>
              <w:t>属</w:t>
            </w:r>
          </w:p>
        </w:tc>
        <w:tc>
          <w:tcPr>
            <w:tcW w:w="1563" w:type="dxa"/>
            <w:tcBorders>
              <w:top w:val="single" w:color="000000" w:sz="12" w:space="0"/>
              <w:right w:val="single" w:color="000000" w:sz="12" w:space="0"/>
            </w:tcBorders>
            <w:vAlign w:val="top"/>
          </w:tcPr>
          <w:p w14:paraId="5606C75F">
            <w:pPr>
              <w:spacing w:before="71" w:line="220" w:lineRule="auto"/>
              <w:ind w:left="685"/>
              <w:rPr>
                <w:rFonts w:ascii="宋体" w:hAnsi="宋体" w:eastAsia="宋体" w:cs="宋体"/>
                <w:sz w:val="21"/>
                <w:szCs w:val="21"/>
              </w:rPr>
            </w:pPr>
            <w:r>
              <w:rPr>
                <w:rFonts w:ascii="宋体" w:hAnsi="宋体" w:eastAsia="宋体" w:cs="宋体"/>
                <w:sz w:val="21"/>
                <w:szCs w:val="21"/>
              </w:rPr>
              <w:t>种</w:t>
            </w:r>
          </w:p>
        </w:tc>
      </w:tr>
      <w:tr w14:paraId="0EE23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818" w:type="dxa"/>
            <w:gridSpan w:val="3"/>
            <w:tcBorders>
              <w:left w:val="single" w:color="000000" w:sz="12" w:space="0"/>
            </w:tcBorders>
            <w:vAlign w:val="top"/>
          </w:tcPr>
          <w:p w14:paraId="2853BF15">
            <w:pPr>
              <w:spacing w:before="72" w:line="220" w:lineRule="auto"/>
              <w:ind w:left="1480"/>
              <w:rPr>
                <w:rFonts w:ascii="宋体" w:hAnsi="宋体" w:eastAsia="宋体" w:cs="宋体"/>
                <w:sz w:val="21"/>
                <w:szCs w:val="21"/>
              </w:rPr>
            </w:pPr>
            <w:r>
              <w:rPr>
                <w:rFonts w:ascii="宋体" w:hAnsi="宋体" w:eastAsia="宋体" w:cs="宋体"/>
                <w:spacing w:val="-2"/>
                <w:sz w:val="21"/>
                <w:szCs w:val="21"/>
              </w:rPr>
              <w:t>蕨类植物</w:t>
            </w:r>
          </w:p>
        </w:tc>
        <w:tc>
          <w:tcPr>
            <w:tcW w:w="1546" w:type="dxa"/>
            <w:vAlign w:val="top"/>
          </w:tcPr>
          <w:p w14:paraId="64FB4401">
            <w:pPr>
              <w:pStyle w:val="6"/>
              <w:spacing w:before="107" w:line="232" w:lineRule="auto"/>
              <w:ind w:left="688"/>
            </w:pPr>
            <w:r>
              <w:rPr>
                <w:spacing w:val="-6"/>
              </w:rPr>
              <w:t>16</w:t>
            </w:r>
          </w:p>
        </w:tc>
        <w:tc>
          <w:tcPr>
            <w:tcW w:w="1546" w:type="dxa"/>
            <w:vAlign w:val="top"/>
          </w:tcPr>
          <w:p w14:paraId="7236E8CD">
            <w:pPr>
              <w:pStyle w:val="6"/>
              <w:spacing w:before="107" w:line="232" w:lineRule="auto"/>
              <w:ind w:left="693"/>
            </w:pPr>
            <w:r>
              <w:rPr>
                <w:spacing w:val="-6"/>
              </w:rPr>
              <w:t>18</w:t>
            </w:r>
          </w:p>
        </w:tc>
        <w:tc>
          <w:tcPr>
            <w:tcW w:w="1563" w:type="dxa"/>
            <w:tcBorders>
              <w:right w:val="single" w:color="000000" w:sz="12" w:space="0"/>
            </w:tcBorders>
            <w:vAlign w:val="top"/>
          </w:tcPr>
          <w:p w14:paraId="13513775">
            <w:pPr>
              <w:pStyle w:val="6"/>
              <w:spacing w:before="106" w:line="232" w:lineRule="auto"/>
              <w:ind w:left="682"/>
            </w:pPr>
            <w:r>
              <w:rPr>
                <w:spacing w:val="-1"/>
              </w:rPr>
              <w:t>27</w:t>
            </w:r>
          </w:p>
        </w:tc>
      </w:tr>
      <w:tr w14:paraId="0C985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707" w:type="dxa"/>
            <w:vMerge w:val="restart"/>
            <w:tcBorders>
              <w:left w:val="single" w:color="000000" w:sz="12" w:space="0"/>
              <w:bottom w:val="nil"/>
            </w:tcBorders>
            <w:vAlign w:val="top"/>
          </w:tcPr>
          <w:p w14:paraId="741269E8">
            <w:pPr>
              <w:spacing w:line="301" w:lineRule="auto"/>
              <w:rPr>
                <w:rFonts w:ascii="Arial"/>
                <w:sz w:val="21"/>
              </w:rPr>
            </w:pPr>
          </w:p>
          <w:p w14:paraId="514D4639">
            <w:pPr>
              <w:spacing w:line="301" w:lineRule="auto"/>
              <w:rPr>
                <w:rFonts w:ascii="Arial"/>
                <w:sz w:val="21"/>
              </w:rPr>
            </w:pPr>
          </w:p>
          <w:p w14:paraId="13D9A8C1">
            <w:pPr>
              <w:spacing w:before="68" w:line="242" w:lineRule="auto"/>
              <w:ind w:left="129" w:right="145"/>
              <w:rPr>
                <w:rFonts w:ascii="宋体" w:hAnsi="宋体" w:eastAsia="宋体" w:cs="宋体"/>
                <w:sz w:val="21"/>
                <w:szCs w:val="21"/>
              </w:rPr>
            </w:pPr>
            <w:r>
              <w:rPr>
                <w:rFonts w:ascii="宋体" w:hAnsi="宋体" w:eastAsia="宋体" w:cs="宋体"/>
                <w:spacing w:val="-5"/>
                <w:sz w:val="21"/>
                <w:szCs w:val="21"/>
              </w:rPr>
              <w:t>种子植物</w:t>
            </w:r>
          </w:p>
        </w:tc>
        <w:tc>
          <w:tcPr>
            <w:tcW w:w="3111" w:type="dxa"/>
            <w:gridSpan w:val="2"/>
            <w:vAlign w:val="top"/>
          </w:tcPr>
          <w:p w14:paraId="1FDC7E21">
            <w:pPr>
              <w:spacing w:before="75" w:line="220" w:lineRule="auto"/>
              <w:ind w:left="1130"/>
              <w:rPr>
                <w:rFonts w:ascii="宋体" w:hAnsi="宋体" w:eastAsia="宋体" w:cs="宋体"/>
                <w:sz w:val="21"/>
                <w:szCs w:val="21"/>
              </w:rPr>
            </w:pPr>
            <w:r>
              <w:rPr>
                <w:rFonts w:ascii="宋体" w:hAnsi="宋体" w:eastAsia="宋体" w:cs="宋体"/>
                <w:spacing w:val="-2"/>
                <w:sz w:val="21"/>
                <w:szCs w:val="21"/>
              </w:rPr>
              <w:t>裸子植物</w:t>
            </w:r>
          </w:p>
        </w:tc>
        <w:tc>
          <w:tcPr>
            <w:tcW w:w="1546" w:type="dxa"/>
            <w:vAlign w:val="top"/>
          </w:tcPr>
          <w:p w14:paraId="43FA47F5">
            <w:pPr>
              <w:pStyle w:val="6"/>
              <w:spacing w:before="109" w:line="232" w:lineRule="auto"/>
              <w:ind w:left="725"/>
            </w:pPr>
            <w:r>
              <w:t>3</w:t>
            </w:r>
          </w:p>
        </w:tc>
        <w:tc>
          <w:tcPr>
            <w:tcW w:w="1546" w:type="dxa"/>
            <w:vAlign w:val="top"/>
          </w:tcPr>
          <w:p w14:paraId="7E2590D2">
            <w:pPr>
              <w:pStyle w:val="6"/>
              <w:spacing w:before="109" w:line="232" w:lineRule="auto"/>
              <w:ind w:left="731"/>
            </w:pPr>
            <w:r>
              <w:t>6</w:t>
            </w:r>
          </w:p>
        </w:tc>
        <w:tc>
          <w:tcPr>
            <w:tcW w:w="1563" w:type="dxa"/>
            <w:tcBorders>
              <w:right w:val="single" w:color="000000" w:sz="12" w:space="0"/>
            </w:tcBorders>
            <w:vAlign w:val="top"/>
          </w:tcPr>
          <w:p w14:paraId="57C48DFE">
            <w:pPr>
              <w:pStyle w:val="6"/>
              <w:spacing w:before="109" w:line="232" w:lineRule="auto"/>
              <w:ind w:left="743"/>
            </w:pPr>
            <w:r>
              <w:t>8</w:t>
            </w:r>
          </w:p>
        </w:tc>
      </w:tr>
      <w:tr w14:paraId="519E5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707" w:type="dxa"/>
            <w:vMerge w:val="continue"/>
            <w:tcBorders>
              <w:top w:val="nil"/>
              <w:left w:val="single" w:color="000000" w:sz="12" w:space="0"/>
              <w:bottom w:val="nil"/>
            </w:tcBorders>
            <w:vAlign w:val="top"/>
          </w:tcPr>
          <w:p w14:paraId="4A6B51F1">
            <w:pPr>
              <w:rPr>
                <w:rFonts w:ascii="Arial"/>
                <w:sz w:val="21"/>
              </w:rPr>
            </w:pPr>
          </w:p>
        </w:tc>
        <w:tc>
          <w:tcPr>
            <w:tcW w:w="1359" w:type="dxa"/>
            <w:vMerge w:val="restart"/>
            <w:tcBorders>
              <w:bottom w:val="nil"/>
            </w:tcBorders>
            <w:vAlign w:val="top"/>
          </w:tcPr>
          <w:p w14:paraId="6943DB90">
            <w:pPr>
              <w:spacing w:line="376" w:lineRule="auto"/>
              <w:rPr>
                <w:rFonts w:ascii="Arial"/>
                <w:sz w:val="21"/>
              </w:rPr>
            </w:pPr>
          </w:p>
          <w:p w14:paraId="638240A4">
            <w:pPr>
              <w:spacing w:before="68" w:line="220" w:lineRule="auto"/>
              <w:ind w:left="250"/>
              <w:rPr>
                <w:rFonts w:ascii="宋体" w:hAnsi="宋体" w:eastAsia="宋体" w:cs="宋体"/>
                <w:sz w:val="21"/>
                <w:szCs w:val="21"/>
              </w:rPr>
            </w:pPr>
            <w:r>
              <w:rPr>
                <w:rFonts w:ascii="宋体" w:hAnsi="宋体" w:eastAsia="宋体" w:cs="宋体"/>
                <w:spacing w:val="-2"/>
                <w:sz w:val="21"/>
                <w:szCs w:val="21"/>
              </w:rPr>
              <w:t>被子植物</w:t>
            </w:r>
          </w:p>
        </w:tc>
        <w:tc>
          <w:tcPr>
            <w:tcW w:w="1752" w:type="dxa"/>
            <w:vAlign w:val="top"/>
          </w:tcPr>
          <w:p w14:paraId="2E79BF14">
            <w:pPr>
              <w:spacing w:before="80" w:line="220" w:lineRule="auto"/>
              <w:ind w:left="348"/>
              <w:rPr>
                <w:rFonts w:ascii="宋体" w:hAnsi="宋体" w:eastAsia="宋体" w:cs="宋体"/>
                <w:sz w:val="21"/>
                <w:szCs w:val="21"/>
              </w:rPr>
            </w:pPr>
            <w:r>
              <w:rPr>
                <w:rFonts w:ascii="宋体" w:hAnsi="宋体" w:eastAsia="宋体" w:cs="宋体"/>
                <w:spacing w:val="-2"/>
                <w:sz w:val="21"/>
                <w:szCs w:val="21"/>
              </w:rPr>
              <w:t>双子叶植物</w:t>
            </w:r>
          </w:p>
        </w:tc>
        <w:tc>
          <w:tcPr>
            <w:tcW w:w="1546" w:type="dxa"/>
            <w:vAlign w:val="top"/>
          </w:tcPr>
          <w:p w14:paraId="5E6E324E">
            <w:pPr>
              <w:pStyle w:val="6"/>
              <w:spacing w:before="114" w:line="227" w:lineRule="auto"/>
              <w:ind w:left="676"/>
            </w:pPr>
            <w:r>
              <w:rPr>
                <w:spacing w:val="-4"/>
              </w:rPr>
              <w:t>85</w:t>
            </w:r>
          </w:p>
        </w:tc>
        <w:tc>
          <w:tcPr>
            <w:tcW w:w="1546" w:type="dxa"/>
            <w:vAlign w:val="top"/>
          </w:tcPr>
          <w:p w14:paraId="35395C5F">
            <w:pPr>
              <w:pStyle w:val="6"/>
              <w:spacing w:before="114" w:line="227" w:lineRule="auto"/>
              <w:ind w:left="620"/>
            </w:pPr>
            <w:r>
              <w:rPr>
                <w:spacing w:val="-1"/>
              </w:rPr>
              <w:t>220</w:t>
            </w:r>
          </w:p>
        </w:tc>
        <w:tc>
          <w:tcPr>
            <w:tcW w:w="1563" w:type="dxa"/>
            <w:tcBorders>
              <w:right w:val="single" w:color="000000" w:sz="12" w:space="0"/>
            </w:tcBorders>
            <w:vAlign w:val="top"/>
          </w:tcPr>
          <w:p w14:paraId="2D363EB4">
            <w:pPr>
              <w:pStyle w:val="6"/>
              <w:spacing w:before="114" w:line="227" w:lineRule="auto"/>
              <w:ind w:left="633"/>
            </w:pPr>
            <w:r>
              <w:rPr>
                <w:spacing w:val="-2"/>
              </w:rPr>
              <w:t>304</w:t>
            </w:r>
          </w:p>
        </w:tc>
      </w:tr>
      <w:tr w14:paraId="516BE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707" w:type="dxa"/>
            <w:vMerge w:val="continue"/>
            <w:tcBorders>
              <w:top w:val="nil"/>
              <w:left w:val="single" w:color="000000" w:sz="12" w:space="0"/>
              <w:bottom w:val="nil"/>
            </w:tcBorders>
            <w:vAlign w:val="top"/>
          </w:tcPr>
          <w:p w14:paraId="1E377E7D">
            <w:pPr>
              <w:rPr>
                <w:rFonts w:ascii="Arial"/>
                <w:sz w:val="21"/>
              </w:rPr>
            </w:pPr>
          </w:p>
        </w:tc>
        <w:tc>
          <w:tcPr>
            <w:tcW w:w="1359" w:type="dxa"/>
            <w:vMerge w:val="continue"/>
            <w:tcBorders>
              <w:top w:val="nil"/>
              <w:bottom w:val="nil"/>
            </w:tcBorders>
            <w:vAlign w:val="top"/>
          </w:tcPr>
          <w:p w14:paraId="72111F0C">
            <w:pPr>
              <w:rPr>
                <w:rFonts w:ascii="Arial"/>
                <w:sz w:val="21"/>
              </w:rPr>
            </w:pPr>
          </w:p>
        </w:tc>
        <w:tc>
          <w:tcPr>
            <w:tcW w:w="1752" w:type="dxa"/>
            <w:vAlign w:val="top"/>
          </w:tcPr>
          <w:p w14:paraId="0BDDBE8D">
            <w:pPr>
              <w:spacing w:before="84" w:line="220" w:lineRule="auto"/>
              <w:ind w:left="350"/>
              <w:rPr>
                <w:rFonts w:ascii="宋体" w:hAnsi="宋体" w:eastAsia="宋体" w:cs="宋体"/>
                <w:sz w:val="21"/>
                <w:szCs w:val="21"/>
              </w:rPr>
            </w:pPr>
            <w:r>
              <w:rPr>
                <w:rFonts w:ascii="宋体" w:hAnsi="宋体" w:eastAsia="宋体" w:cs="宋体"/>
                <w:spacing w:val="-2"/>
                <w:sz w:val="21"/>
                <w:szCs w:val="21"/>
              </w:rPr>
              <w:t>单子叶植物</w:t>
            </w:r>
          </w:p>
        </w:tc>
        <w:tc>
          <w:tcPr>
            <w:tcW w:w="1546" w:type="dxa"/>
            <w:vAlign w:val="top"/>
          </w:tcPr>
          <w:p w14:paraId="7F1068B1">
            <w:pPr>
              <w:pStyle w:val="6"/>
              <w:spacing w:before="118" w:line="223" w:lineRule="auto"/>
              <w:ind w:left="688"/>
            </w:pPr>
            <w:r>
              <w:rPr>
                <w:spacing w:val="-6"/>
              </w:rPr>
              <w:t>14</w:t>
            </w:r>
          </w:p>
        </w:tc>
        <w:tc>
          <w:tcPr>
            <w:tcW w:w="1546" w:type="dxa"/>
            <w:vAlign w:val="top"/>
          </w:tcPr>
          <w:p w14:paraId="2B392F16">
            <w:pPr>
              <w:pStyle w:val="6"/>
              <w:spacing w:before="118" w:line="223" w:lineRule="auto"/>
              <w:ind w:left="679"/>
            </w:pPr>
            <w:r>
              <w:rPr>
                <w:spacing w:val="-3"/>
              </w:rPr>
              <w:t>54</w:t>
            </w:r>
          </w:p>
        </w:tc>
        <w:tc>
          <w:tcPr>
            <w:tcW w:w="1563" w:type="dxa"/>
            <w:tcBorders>
              <w:right w:val="single" w:color="000000" w:sz="12" w:space="0"/>
            </w:tcBorders>
            <w:vAlign w:val="top"/>
          </w:tcPr>
          <w:p w14:paraId="481BCB7E">
            <w:pPr>
              <w:pStyle w:val="6"/>
              <w:spacing w:before="118" w:line="223" w:lineRule="auto"/>
              <w:ind w:left="685"/>
            </w:pPr>
            <w:r>
              <w:rPr>
                <w:spacing w:val="-2"/>
              </w:rPr>
              <w:t>75</w:t>
            </w:r>
          </w:p>
        </w:tc>
      </w:tr>
      <w:tr w14:paraId="41071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07" w:type="dxa"/>
            <w:vMerge w:val="continue"/>
            <w:tcBorders>
              <w:top w:val="nil"/>
              <w:left w:val="single" w:color="000000" w:sz="12" w:space="0"/>
              <w:bottom w:val="nil"/>
            </w:tcBorders>
            <w:vAlign w:val="top"/>
          </w:tcPr>
          <w:p w14:paraId="50573980">
            <w:pPr>
              <w:rPr>
                <w:rFonts w:ascii="Arial"/>
                <w:sz w:val="21"/>
              </w:rPr>
            </w:pPr>
          </w:p>
        </w:tc>
        <w:tc>
          <w:tcPr>
            <w:tcW w:w="1359" w:type="dxa"/>
            <w:vMerge w:val="continue"/>
            <w:tcBorders>
              <w:top w:val="nil"/>
            </w:tcBorders>
            <w:vAlign w:val="top"/>
          </w:tcPr>
          <w:p w14:paraId="0E8F6393">
            <w:pPr>
              <w:rPr>
                <w:rFonts w:ascii="Arial"/>
                <w:sz w:val="21"/>
              </w:rPr>
            </w:pPr>
          </w:p>
        </w:tc>
        <w:tc>
          <w:tcPr>
            <w:tcW w:w="1752" w:type="dxa"/>
            <w:vAlign w:val="top"/>
          </w:tcPr>
          <w:p w14:paraId="119C0515">
            <w:pPr>
              <w:spacing w:before="88" w:line="221" w:lineRule="auto"/>
              <w:ind w:left="669"/>
              <w:rPr>
                <w:rFonts w:ascii="宋体" w:hAnsi="宋体" w:eastAsia="宋体" w:cs="宋体"/>
                <w:sz w:val="21"/>
                <w:szCs w:val="21"/>
              </w:rPr>
            </w:pPr>
            <w:r>
              <w:rPr>
                <w:rFonts w:ascii="宋体" w:hAnsi="宋体" w:eastAsia="宋体" w:cs="宋体"/>
                <w:spacing w:val="-4"/>
                <w:sz w:val="21"/>
                <w:szCs w:val="21"/>
              </w:rPr>
              <w:t>小计</w:t>
            </w:r>
          </w:p>
        </w:tc>
        <w:tc>
          <w:tcPr>
            <w:tcW w:w="1546" w:type="dxa"/>
            <w:vAlign w:val="top"/>
          </w:tcPr>
          <w:p w14:paraId="1AD6BEC3">
            <w:pPr>
              <w:pStyle w:val="6"/>
              <w:spacing w:before="122" w:line="221" w:lineRule="auto"/>
              <w:ind w:left="672"/>
            </w:pPr>
            <w:r>
              <w:rPr>
                <w:spacing w:val="-2"/>
              </w:rPr>
              <w:t>99</w:t>
            </w:r>
          </w:p>
        </w:tc>
        <w:tc>
          <w:tcPr>
            <w:tcW w:w="1546" w:type="dxa"/>
            <w:vAlign w:val="top"/>
          </w:tcPr>
          <w:p w14:paraId="2E11A5E7">
            <w:pPr>
              <w:pStyle w:val="6"/>
              <w:spacing w:before="122" w:line="221" w:lineRule="auto"/>
              <w:ind w:left="620"/>
            </w:pPr>
            <w:r>
              <w:rPr>
                <w:spacing w:val="-1"/>
              </w:rPr>
              <w:t>274</w:t>
            </w:r>
          </w:p>
        </w:tc>
        <w:tc>
          <w:tcPr>
            <w:tcW w:w="1563" w:type="dxa"/>
            <w:tcBorders>
              <w:right w:val="single" w:color="000000" w:sz="12" w:space="0"/>
            </w:tcBorders>
            <w:vAlign w:val="top"/>
          </w:tcPr>
          <w:p w14:paraId="04EA41E0">
            <w:pPr>
              <w:pStyle w:val="6"/>
              <w:spacing w:before="122" w:line="221" w:lineRule="auto"/>
              <w:ind w:left="633"/>
            </w:pPr>
            <w:r>
              <w:rPr>
                <w:spacing w:val="-2"/>
              </w:rPr>
              <w:t>379</w:t>
            </w:r>
          </w:p>
        </w:tc>
      </w:tr>
      <w:tr w14:paraId="0C8D2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707" w:type="dxa"/>
            <w:vMerge w:val="continue"/>
            <w:tcBorders>
              <w:top w:val="nil"/>
              <w:left w:val="single" w:color="000000" w:sz="12" w:space="0"/>
            </w:tcBorders>
            <w:vAlign w:val="top"/>
          </w:tcPr>
          <w:p w14:paraId="30C68777">
            <w:pPr>
              <w:rPr>
                <w:rFonts w:ascii="Arial"/>
                <w:sz w:val="21"/>
              </w:rPr>
            </w:pPr>
          </w:p>
        </w:tc>
        <w:tc>
          <w:tcPr>
            <w:tcW w:w="3111" w:type="dxa"/>
            <w:gridSpan w:val="2"/>
            <w:vAlign w:val="top"/>
          </w:tcPr>
          <w:p w14:paraId="5A86CD64">
            <w:pPr>
              <w:spacing w:before="91" w:line="221" w:lineRule="auto"/>
              <w:ind w:left="1346"/>
              <w:rPr>
                <w:rFonts w:ascii="宋体" w:hAnsi="宋体" w:eastAsia="宋体" w:cs="宋体"/>
                <w:sz w:val="21"/>
                <w:szCs w:val="21"/>
              </w:rPr>
            </w:pPr>
            <w:r>
              <w:rPr>
                <w:rFonts w:ascii="宋体" w:hAnsi="宋体" w:eastAsia="宋体" w:cs="宋体"/>
                <w:spacing w:val="-4"/>
                <w:sz w:val="21"/>
                <w:szCs w:val="21"/>
              </w:rPr>
              <w:t>小计</w:t>
            </w:r>
          </w:p>
        </w:tc>
        <w:tc>
          <w:tcPr>
            <w:tcW w:w="1546" w:type="dxa"/>
            <w:vAlign w:val="top"/>
          </w:tcPr>
          <w:p w14:paraId="6305937A">
            <w:pPr>
              <w:pStyle w:val="6"/>
              <w:spacing w:before="124" w:line="218" w:lineRule="auto"/>
              <w:ind w:left="635"/>
            </w:pPr>
            <w:r>
              <w:rPr>
                <w:spacing w:val="-6"/>
              </w:rPr>
              <w:t>102</w:t>
            </w:r>
          </w:p>
        </w:tc>
        <w:tc>
          <w:tcPr>
            <w:tcW w:w="1546" w:type="dxa"/>
            <w:vAlign w:val="top"/>
          </w:tcPr>
          <w:p w14:paraId="5EFD0549">
            <w:pPr>
              <w:pStyle w:val="6"/>
              <w:spacing w:before="124" w:line="218" w:lineRule="auto"/>
              <w:ind w:left="620"/>
            </w:pPr>
            <w:r>
              <w:rPr>
                <w:spacing w:val="-1"/>
              </w:rPr>
              <w:t>280</w:t>
            </w:r>
          </w:p>
        </w:tc>
        <w:tc>
          <w:tcPr>
            <w:tcW w:w="1563" w:type="dxa"/>
            <w:tcBorders>
              <w:right w:val="single" w:color="000000" w:sz="12" w:space="0"/>
            </w:tcBorders>
            <w:vAlign w:val="top"/>
          </w:tcPr>
          <w:p w14:paraId="78B688CC">
            <w:pPr>
              <w:pStyle w:val="6"/>
              <w:spacing w:before="124" w:line="218" w:lineRule="auto"/>
              <w:ind w:left="633"/>
            </w:pPr>
            <w:r>
              <w:rPr>
                <w:spacing w:val="-2"/>
              </w:rPr>
              <w:t>387</w:t>
            </w:r>
          </w:p>
        </w:tc>
      </w:tr>
      <w:tr w14:paraId="16C12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3818" w:type="dxa"/>
            <w:gridSpan w:val="3"/>
            <w:tcBorders>
              <w:left w:val="single" w:color="000000" w:sz="12" w:space="0"/>
              <w:bottom w:val="single" w:color="000000" w:sz="12" w:space="0"/>
            </w:tcBorders>
            <w:vAlign w:val="top"/>
          </w:tcPr>
          <w:p w14:paraId="63DFAF59">
            <w:pPr>
              <w:spacing w:before="94" w:line="221" w:lineRule="auto"/>
              <w:ind w:left="1691"/>
              <w:rPr>
                <w:rFonts w:ascii="宋体" w:hAnsi="宋体" w:eastAsia="宋体" w:cs="宋体"/>
                <w:sz w:val="21"/>
                <w:szCs w:val="21"/>
              </w:rPr>
            </w:pPr>
            <w:r>
              <w:rPr>
                <w:rFonts w:ascii="宋体" w:hAnsi="宋体" w:eastAsia="宋体" w:cs="宋体"/>
                <w:spacing w:val="-3"/>
                <w:sz w:val="21"/>
                <w:szCs w:val="21"/>
              </w:rPr>
              <w:t>合计</w:t>
            </w:r>
          </w:p>
        </w:tc>
        <w:tc>
          <w:tcPr>
            <w:tcW w:w="1546" w:type="dxa"/>
            <w:tcBorders>
              <w:bottom w:val="single" w:color="000000" w:sz="12" w:space="0"/>
            </w:tcBorders>
            <w:vAlign w:val="top"/>
          </w:tcPr>
          <w:p w14:paraId="1015CB08">
            <w:pPr>
              <w:pStyle w:val="6"/>
              <w:spacing w:before="128" w:line="232" w:lineRule="auto"/>
              <w:ind w:left="635"/>
            </w:pPr>
            <w:r>
              <w:rPr>
                <w:spacing w:val="-6"/>
              </w:rPr>
              <w:t>118</w:t>
            </w:r>
          </w:p>
        </w:tc>
        <w:tc>
          <w:tcPr>
            <w:tcW w:w="1546" w:type="dxa"/>
            <w:tcBorders>
              <w:bottom w:val="single" w:color="000000" w:sz="12" w:space="0"/>
            </w:tcBorders>
            <w:vAlign w:val="top"/>
          </w:tcPr>
          <w:p w14:paraId="4BE80FFA">
            <w:pPr>
              <w:pStyle w:val="6"/>
              <w:spacing w:before="128" w:line="232" w:lineRule="auto"/>
              <w:ind w:left="620"/>
            </w:pPr>
            <w:r>
              <w:rPr>
                <w:spacing w:val="-1"/>
              </w:rPr>
              <w:t>298</w:t>
            </w:r>
          </w:p>
        </w:tc>
        <w:tc>
          <w:tcPr>
            <w:tcW w:w="1563" w:type="dxa"/>
            <w:tcBorders>
              <w:bottom w:val="single" w:color="000000" w:sz="12" w:space="0"/>
              <w:right w:val="single" w:color="000000" w:sz="12" w:space="0"/>
            </w:tcBorders>
            <w:vAlign w:val="top"/>
          </w:tcPr>
          <w:p w14:paraId="15BF1571">
            <w:pPr>
              <w:pStyle w:val="6"/>
              <w:spacing w:before="127" w:line="235" w:lineRule="auto"/>
              <w:ind w:left="628"/>
            </w:pPr>
            <w:r>
              <w:rPr>
                <w:spacing w:val="-1"/>
              </w:rPr>
              <w:t>414</w:t>
            </w:r>
          </w:p>
        </w:tc>
      </w:tr>
    </w:tbl>
    <w:p w14:paraId="719B708D">
      <w:pPr>
        <w:pStyle w:val="2"/>
        <w:spacing w:before="30" w:line="220" w:lineRule="auto"/>
        <w:ind w:left="40"/>
        <w:rPr>
          <w:sz w:val="21"/>
          <w:szCs w:val="21"/>
        </w:rPr>
      </w:pPr>
      <w:r>
        <w:rPr>
          <w:spacing w:val="-1"/>
          <w:sz w:val="21"/>
          <w:szCs w:val="21"/>
        </w:rPr>
        <w:t>备注：包括外来植物和变种。</w:t>
      </w:r>
    </w:p>
    <w:p w14:paraId="610D3C88">
      <w:pPr>
        <w:pStyle w:val="2"/>
        <w:spacing w:before="274" w:line="233" w:lineRule="auto"/>
        <w:ind w:left="519"/>
        <w:rPr>
          <w:sz w:val="24"/>
          <w:szCs w:val="24"/>
        </w:rPr>
      </w:pPr>
      <w:r>
        <w:rPr>
          <w:spacing w:val="-1"/>
          <w:sz w:val="24"/>
          <w:szCs w:val="24"/>
        </w:rPr>
        <w:t>环评期和施工期调查区植物资源对比情况见表</w:t>
      </w:r>
      <w:r>
        <w:rPr>
          <w:spacing w:val="-44"/>
          <w:sz w:val="24"/>
          <w:szCs w:val="24"/>
        </w:rPr>
        <w:t xml:space="preserve"> </w:t>
      </w:r>
      <w:r>
        <w:rPr>
          <w:rFonts w:ascii="Times New Roman" w:hAnsi="Times New Roman" w:eastAsia="Times New Roman" w:cs="Times New Roman"/>
          <w:spacing w:val="-1"/>
          <w:sz w:val="24"/>
          <w:szCs w:val="24"/>
        </w:rPr>
        <w:t>6.1-6</w:t>
      </w:r>
      <w:r>
        <w:rPr>
          <w:spacing w:val="-1"/>
          <w:sz w:val="24"/>
          <w:szCs w:val="24"/>
        </w:rPr>
        <w:t>。</w:t>
      </w:r>
    </w:p>
    <w:p w14:paraId="11D9DD37">
      <w:pPr>
        <w:pStyle w:val="2"/>
        <w:spacing w:before="136" w:line="226" w:lineRule="auto"/>
        <w:ind w:left="279"/>
        <w:rPr>
          <w:sz w:val="24"/>
          <w:szCs w:val="24"/>
        </w:rPr>
      </w:pPr>
      <w:r>
        <w:rPr>
          <w:b/>
          <w:bCs/>
          <w:spacing w:val="-1"/>
          <w:sz w:val="24"/>
          <w:szCs w:val="24"/>
        </w:rPr>
        <w:t>表</w:t>
      </w:r>
      <w:r>
        <w:rPr>
          <w:spacing w:val="-42"/>
          <w:sz w:val="24"/>
          <w:szCs w:val="24"/>
        </w:rPr>
        <w:t xml:space="preserve"> </w:t>
      </w:r>
      <w:r>
        <w:rPr>
          <w:rFonts w:ascii="Times New Roman" w:hAnsi="Times New Roman" w:eastAsia="Times New Roman" w:cs="Times New Roman"/>
          <w:b/>
          <w:bCs/>
          <w:spacing w:val="-1"/>
          <w:sz w:val="24"/>
          <w:szCs w:val="24"/>
        </w:rPr>
        <w:t xml:space="preserve">6.1-6                          </w:t>
      </w:r>
      <w:r>
        <w:rPr>
          <w:b/>
          <w:bCs/>
          <w:spacing w:val="-1"/>
          <w:sz w:val="24"/>
          <w:szCs w:val="24"/>
        </w:rPr>
        <w:t>环评期和施工期调查区植物资源对比表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5"/>
        <w:gridCol w:w="550"/>
        <w:gridCol w:w="1270"/>
        <w:gridCol w:w="690"/>
        <w:gridCol w:w="690"/>
        <w:gridCol w:w="687"/>
        <w:gridCol w:w="688"/>
        <w:gridCol w:w="689"/>
        <w:gridCol w:w="689"/>
        <w:gridCol w:w="689"/>
        <w:gridCol w:w="689"/>
        <w:gridCol w:w="697"/>
      </w:tblGrid>
      <w:tr w14:paraId="212D7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265" w:type="dxa"/>
            <w:gridSpan w:val="3"/>
            <w:vMerge w:val="restart"/>
            <w:tcBorders>
              <w:top w:val="single" w:color="000000" w:sz="12" w:space="0"/>
              <w:left w:val="single" w:color="000000" w:sz="12" w:space="0"/>
              <w:bottom w:val="nil"/>
            </w:tcBorders>
            <w:vAlign w:val="top"/>
          </w:tcPr>
          <w:p w14:paraId="25205302">
            <w:pPr>
              <w:spacing w:before="253" w:line="220" w:lineRule="auto"/>
              <w:ind w:left="701"/>
              <w:rPr>
                <w:rFonts w:ascii="宋体" w:hAnsi="宋体" w:eastAsia="宋体" w:cs="宋体"/>
                <w:sz w:val="21"/>
                <w:szCs w:val="21"/>
              </w:rPr>
            </w:pPr>
            <w:r>
              <w:rPr>
                <w:rFonts w:ascii="宋体" w:hAnsi="宋体" w:eastAsia="宋体" w:cs="宋体"/>
                <w:spacing w:val="-2"/>
                <w:sz w:val="21"/>
                <w:szCs w:val="21"/>
              </w:rPr>
              <w:t>植物类群</w:t>
            </w:r>
          </w:p>
        </w:tc>
        <w:tc>
          <w:tcPr>
            <w:tcW w:w="2067" w:type="dxa"/>
            <w:gridSpan w:val="3"/>
            <w:tcBorders>
              <w:top w:val="single" w:color="000000" w:sz="12" w:space="0"/>
            </w:tcBorders>
            <w:vAlign w:val="top"/>
          </w:tcPr>
          <w:p w14:paraId="1650F9A6">
            <w:pPr>
              <w:spacing w:before="70" w:line="219" w:lineRule="auto"/>
              <w:ind w:left="927"/>
              <w:rPr>
                <w:rFonts w:ascii="宋体" w:hAnsi="宋体" w:eastAsia="宋体" w:cs="宋体"/>
                <w:sz w:val="21"/>
                <w:szCs w:val="21"/>
              </w:rPr>
            </w:pPr>
            <w:r>
              <w:rPr>
                <w:rFonts w:ascii="宋体" w:hAnsi="宋体" w:eastAsia="宋体" w:cs="宋体"/>
                <w:sz w:val="21"/>
                <w:szCs w:val="21"/>
              </w:rPr>
              <w:t>科</w:t>
            </w:r>
          </w:p>
        </w:tc>
        <w:tc>
          <w:tcPr>
            <w:tcW w:w="2066" w:type="dxa"/>
            <w:gridSpan w:val="3"/>
            <w:tcBorders>
              <w:top w:val="single" w:color="000000" w:sz="12" w:space="0"/>
            </w:tcBorders>
            <w:vAlign w:val="top"/>
          </w:tcPr>
          <w:p w14:paraId="1D2BBD71">
            <w:pPr>
              <w:spacing w:before="70" w:line="221" w:lineRule="auto"/>
              <w:ind w:left="937"/>
              <w:rPr>
                <w:rFonts w:ascii="宋体" w:hAnsi="宋体" w:eastAsia="宋体" w:cs="宋体"/>
                <w:sz w:val="21"/>
                <w:szCs w:val="21"/>
              </w:rPr>
            </w:pPr>
            <w:r>
              <w:rPr>
                <w:rFonts w:ascii="宋体" w:hAnsi="宋体" w:eastAsia="宋体" w:cs="宋体"/>
                <w:sz w:val="21"/>
                <w:szCs w:val="21"/>
              </w:rPr>
              <w:t>属</w:t>
            </w:r>
          </w:p>
        </w:tc>
        <w:tc>
          <w:tcPr>
            <w:tcW w:w="2075" w:type="dxa"/>
            <w:gridSpan w:val="3"/>
            <w:tcBorders>
              <w:top w:val="single" w:color="000000" w:sz="12" w:space="0"/>
              <w:right w:val="single" w:color="000000" w:sz="12" w:space="0"/>
            </w:tcBorders>
            <w:vAlign w:val="top"/>
          </w:tcPr>
          <w:p w14:paraId="5EACA540">
            <w:pPr>
              <w:spacing w:before="70" w:line="220" w:lineRule="auto"/>
              <w:ind w:left="940"/>
              <w:rPr>
                <w:rFonts w:ascii="宋体" w:hAnsi="宋体" w:eastAsia="宋体" w:cs="宋体"/>
                <w:sz w:val="21"/>
                <w:szCs w:val="21"/>
              </w:rPr>
            </w:pPr>
            <w:r>
              <w:rPr>
                <w:rFonts w:ascii="宋体" w:hAnsi="宋体" w:eastAsia="宋体" w:cs="宋体"/>
                <w:sz w:val="21"/>
                <w:szCs w:val="21"/>
              </w:rPr>
              <w:t>种</w:t>
            </w:r>
          </w:p>
        </w:tc>
      </w:tr>
      <w:tr w14:paraId="390AB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2265" w:type="dxa"/>
            <w:gridSpan w:val="3"/>
            <w:vMerge w:val="continue"/>
            <w:tcBorders>
              <w:top w:val="nil"/>
              <w:left w:val="single" w:color="000000" w:sz="12" w:space="0"/>
            </w:tcBorders>
            <w:vAlign w:val="top"/>
          </w:tcPr>
          <w:p w14:paraId="4B205060">
            <w:pPr>
              <w:rPr>
                <w:rFonts w:ascii="Arial"/>
                <w:sz w:val="21"/>
              </w:rPr>
            </w:pPr>
          </w:p>
        </w:tc>
        <w:tc>
          <w:tcPr>
            <w:tcW w:w="690" w:type="dxa"/>
            <w:vAlign w:val="top"/>
          </w:tcPr>
          <w:p w14:paraId="61FA273A">
            <w:pPr>
              <w:pStyle w:val="6"/>
              <w:spacing w:before="106" w:line="232" w:lineRule="auto"/>
              <w:ind w:left="127"/>
            </w:pPr>
            <w:r>
              <w:rPr>
                <w:spacing w:val="-1"/>
              </w:rPr>
              <w:t>2016</w:t>
            </w:r>
          </w:p>
        </w:tc>
        <w:tc>
          <w:tcPr>
            <w:tcW w:w="690" w:type="dxa"/>
            <w:vAlign w:val="top"/>
          </w:tcPr>
          <w:p w14:paraId="1C79203A">
            <w:pPr>
              <w:pStyle w:val="6"/>
              <w:spacing w:before="106" w:line="232" w:lineRule="auto"/>
              <w:ind w:left="130"/>
            </w:pPr>
            <w:r>
              <w:rPr>
                <w:spacing w:val="-1"/>
              </w:rPr>
              <w:t>2020</w:t>
            </w:r>
          </w:p>
        </w:tc>
        <w:tc>
          <w:tcPr>
            <w:tcW w:w="687" w:type="dxa"/>
            <w:vAlign w:val="top"/>
          </w:tcPr>
          <w:p w14:paraId="63134662">
            <w:pPr>
              <w:spacing w:before="72" w:line="221" w:lineRule="auto"/>
              <w:ind w:left="134"/>
              <w:rPr>
                <w:rFonts w:ascii="宋体" w:hAnsi="宋体" w:eastAsia="宋体" w:cs="宋体"/>
                <w:sz w:val="21"/>
                <w:szCs w:val="21"/>
              </w:rPr>
            </w:pPr>
            <w:r>
              <w:rPr>
                <w:rFonts w:ascii="宋体" w:hAnsi="宋体" w:eastAsia="宋体" w:cs="宋体"/>
                <w:spacing w:val="-3"/>
                <w:sz w:val="21"/>
                <w:szCs w:val="21"/>
              </w:rPr>
              <w:t>变化</w:t>
            </w:r>
          </w:p>
        </w:tc>
        <w:tc>
          <w:tcPr>
            <w:tcW w:w="688" w:type="dxa"/>
            <w:vAlign w:val="top"/>
          </w:tcPr>
          <w:p w14:paraId="77E72BB7">
            <w:pPr>
              <w:pStyle w:val="6"/>
              <w:spacing w:before="106" w:line="232" w:lineRule="auto"/>
              <w:ind w:left="134"/>
            </w:pPr>
            <w:r>
              <w:rPr>
                <w:spacing w:val="-1"/>
              </w:rPr>
              <w:t>2016</w:t>
            </w:r>
          </w:p>
        </w:tc>
        <w:tc>
          <w:tcPr>
            <w:tcW w:w="689" w:type="dxa"/>
            <w:vAlign w:val="top"/>
          </w:tcPr>
          <w:p w14:paraId="2EF7B316">
            <w:pPr>
              <w:pStyle w:val="6"/>
              <w:spacing w:before="106" w:line="232" w:lineRule="auto"/>
              <w:ind w:left="138"/>
            </w:pPr>
            <w:r>
              <w:rPr>
                <w:spacing w:val="-1"/>
              </w:rPr>
              <w:t>2020</w:t>
            </w:r>
          </w:p>
        </w:tc>
        <w:tc>
          <w:tcPr>
            <w:tcW w:w="689" w:type="dxa"/>
            <w:vAlign w:val="top"/>
          </w:tcPr>
          <w:p w14:paraId="22EB575B">
            <w:pPr>
              <w:spacing w:before="72" w:line="221" w:lineRule="auto"/>
              <w:ind w:left="143"/>
              <w:rPr>
                <w:rFonts w:ascii="宋体" w:hAnsi="宋体" w:eastAsia="宋体" w:cs="宋体"/>
                <w:sz w:val="21"/>
                <w:szCs w:val="21"/>
              </w:rPr>
            </w:pPr>
            <w:r>
              <w:rPr>
                <w:rFonts w:ascii="宋体" w:hAnsi="宋体" w:eastAsia="宋体" w:cs="宋体"/>
                <w:spacing w:val="-3"/>
                <w:sz w:val="21"/>
                <w:szCs w:val="21"/>
              </w:rPr>
              <w:t>变化</w:t>
            </w:r>
          </w:p>
        </w:tc>
        <w:tc>
          <w:tcPr>
            <w:tcW w:w="689" w:type="dxa"/>
            <w:vAlign w:val="top"/>
          </w:tcPr>
          <w:p w14:paraId="740F82D0">
            <w:pPr>
              <w:pStyle w:val="6"/>
              <w:spacing w:before="106" w:line="232" w:lineRule="auto"/>
              <w:ind w:left="142"/>
            </w:pPr>
            <w:r>
              <w:rPr>
                <w:spacing w:val="-1"/>
              </w:rPr>
              <w:t>2016</w:t>
            </w:r>
          </w:p>
        </w:tc>
        <w:tc>
          <w:tcPr>
            <w:tcW w:w="689" w:type="dxa"/>
            <w:vAlign w:val="top"/>
          </w:tcPr>
          <w:p w14:paraId="7055C64E">
            <w:pPr>
              <w:pStyle w:val="6"/>
              <w:spacing w:before="106" w:line="232" w:lineRule="auto"/>
              <w:ind w:left="145"/>
            </w:pPr>
            <w:r>
              <w:rPr>
                <w:spacing w:val="-1"/>
              </w:rPr>
              <w:t>2020</w:t>
            </w:r>
          </w:p>
        </w:tc>
        <w:tc>
          <w:tcPr>
            <w:tcW w:w="697" w:type="dxa"/>
            <w:tcBorders>
              <w:right w:val="single" w:color="000000" w:sz="12" w:space="0"/>
            </w:tcBorders>
            <w:vAlign w:val="top"/>
          </w:tcPr>
          <w:p w14:paraId="4373FE7D">
            <w:pPr>
              <w:spacing w:before="72" w:line="221" w:lineRule="auto"/>
              <w:ind w:left="147"/>
              <w:rPr>
                <w:rFonts w:ascii="宋体" w:hAnsi="宋体" w:eastAsia="宋体" w:cs="宋体"/>
                <w:sz w:val="21"/>
                <w:szCs w:val="21"/>
              </w:rPr>
            </w:pPr>
            <w:r>
              <w:rPr>
                <w:rFonts w:ascii="宋体" w:hAnsi="宋体" w:eastAsia="宋体" w:cs="宋体"/>
                <w:spacing w:val="-3"/>
                <w:sz w:val="21"/>
                <w:szCs w:val="21"/>
              </w:rPr>
              <w:t>变化</w:t>
            </w:r>
          </w:p>
        </w:tc>
      </w:tr>
      <w:tr w14:paraId="7CE0B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2265" w:type="dxa"/>
            <w:gridSpan w:val="3"/>
            <w:tcBorders>
              <w:left w:val="single" w:color="000000" w:sz="12" w:space="0"/>
            </w:tcBorders>
            <w:vAlign w:val="top"/>
          </w:tcPr>
          <w:p w14:paraId="7F13F452">
            <w:pPr>
              <w:spacing w:before="75" w:line="220" w:lineRule="auto"/>
              <w:ind w:left="700"/>
              <w:rPr>
                <w:rFonts w:ascii="宋体" w:hAnsi="宋体" w:eastAsia="宋体" w:cs="宋体"/>
                <w:sz w:val="21"/>
                <w:szCs w:val="21"/>
              </w:rPr>
            </w:pPr>
            <w:r>
              <w:rPr>
                <w:rFonts w:ascii="宋体" w:hAnsi="宋体" w:eastAsia="宋体" w:cs="宋体"/>
                <w:spacing w:val="-2"/>
                <w:sz w:val="21"/>
                <w:szCs w:val="21"/>
              </w:rPr>
              <w:t>蕨类植物</w:t>
            </w:r>
          </w:p>
        </w:tc>
        <w:tc>
          <w:tcPr>
            <w:tcW w:w="690" w:type="dxa"/>
            <w:vAlign w:val="top"/>
          </w:tcPr>
          <w:p w14:paraId="74BC5D33">
            <w:pPr>
              <w:pStyle w:val="6"/>
              <w:spacing w:before="109" w:line="233" w:lineRule="auto"/>
              <w:ind w:left="252"/>
            </w:pPr>
            <w:r>
              <w:rPr>
                <w:spacing w:val="-12"/>
              </w:rPr>
              <w:t>11</w:t>
            </w:r>
          </w:p>
        </w:tc>
        <w:tc>
          <w:tcPr>
            <w:tcW w:w="690" w:type="dxa"/>
            <w:vAlign w:val="top"/>
          </w:tcPr>
          <w:p w14:paraId="04A4A022">
            <w:pPr>
              <w:pStyle w:val="6"/>
              <w:spacing w:before="109" w:line="232" w:lineRule="auto"/>
              <w:ind w:left="255"/>
            </w:pPr>
            <w:r>
              <w:rPr>
                <w:spacing w:val="-12"/>
              </w:rPr>
              <w:t>16</w:t>
            </w:r>
          </w:p>
        </w:tc>
        <w:tc>
          <w:tcPr>
            <w:tcW w:w="687" w:type="dxa"/>
            <w:vAlign w:val="top"/>
          </w:tcPr>
          <w:p w14:paraId="1FF7DC63">
            <w:pPr>
              <w:pStyle w:val="6"/>
              <w:spacing w:before="109" w:line="232" w:lineRule="auto"/>
              <w:ind w:left="228"/>
            </w:pPr>
            <w:r>
              <w:rPr>
                <w:spacing w:val="-2"/>
              </w:rPr>
              <w:t>+5</w:t>
            </w:r>
          </w:p>
        </w:tc>
        <w:tc>
          <w:tcPr>
            <w:tcW w:w="688" w:type="dxa"/>
            <w:vAlign w:val="top"/>
          </w:tcPr>
          <w:p w14:paraId="24C2BCDD">
            <w:pPr>
              <w:pStyle w:val="6"/>
              <w:spacing w:before="109" w:line="232" w:lineRule="auto"/>
              <w:ind w:left="260"/>
            </w:pPr>
            <w:r>
              <w:rPr>
                <w:spacing w:val="-12"/>
              </w:rPr>
              <w:t>16</w:t>
            </w:r>
          </w:p>
        </w:tc>
        <w:tc>
          <w:tcPr>
            <w:tcW w:w="689" w:type="dxa"/>
            <w:vAlign w:val="top"/>
          </w:tcPr>
          <w:p w14:paraId="6EDBE708">
            <w:pPr>
              <w:pStyle w:val="6"/>
              <w:spacing w:before="109" w:line="232" w:lineRule="auto"/>
              <w:ind w:left="263"/>
            </w:pPr>
            <w:r>
              <w:rPr>
                <w:spacing w:val="-12"/>
              </w:rPr>
              <w:t>18</w:t>
            </w:r>
          </w:p>
        </w:tc>
        <w:tc>
          <w:tcPr>
            <w:tcW w:w="689" w:type="dxa"/>
            <w:vAlign w:val="top"/>
          </w:tcPr>
          <w:p w14:paraId="7CBB1E4B">
            <w:pPr>
              <w:pStyle w:val="6"/>
              <w:spacing w:before="109" w:line="233" w:lineRule="auto"/>
              <w:ind w:left="237"/>
            </w:pPr>
            <w:r>
              <w:rPr>
                <w:spacing w:val="-2"/>
              </w:rPr>
              <w:t>+2</w:t>
            </w:r>
          </w:p>
        </w:tc>
        <w:tc>
          <w:tcPr>
            <w:tcW w:w="689" w:type="dxa"/>
            <w:vAlign w:val="top"/>
          </w:tcPr>
          <w:p w14:paraId="11D7E2E8">
            <w:pPr>
              <w:pStyle w:val="6"/>
              <w:spacing w:before="109" w:line="233" w:lineRule="auto"/>
              <w:ind w:left="248"/>
            </w:pPr>
            <w:r>
              <w:rPr>
                <w:spacing w:val="-2"/>
              </w:rPr>
              <w:t>22</w:t>
            </w:r>
          </w:p>
        </w:tc>
        <w:tc>
          <w:tcPr>
            <w:tcW w:w="689" w:type="dxa"/>
            <w:vAlign w:val="top"/>
          </w:tcPr>
          <w:p w14:paraId="0C497145">
            <w:pPr>
              <w:pStyle w:val="6"/>
              <w:spacing w:before="109" w:line="232" w:lineRule="auto"/>
              <w:ind w:left="250"/>
            </w:pPr>
            <w:r>
              <w:rPr>
                <w:spacing w:val="-2"/>
              </w:rPr>
              <w:t>27</w:t>
            </w:r>
          </w:p>
        </w:tc>
        <w:tc>
          <w:tcPr>
            <w:tcW w:w="697" w:type="dxa"/>
            <w:tcBorders>
              <w:right w:val="single" w:color="000000" w:sz="12" w:space="0"/>
            </w:tcBorders>
            <w:vAlign w:val="top"/>
          </w:tcPr>
          <w:p w14:paraId="2C0F7032">
            <w:pPr>
              <w:pStyle w:val="6"/>
              <w:spacing w:before="109" w:line="232" w:lineRule="auto"/>
              <w:ind w:left="241"/>
            </w:pPr>
            <w:r>
              <w:rPr>
                <w:spacing w:val="-2"/>
              </w:rPr>
              <w:t>+5</w:t>
            </w:r>
          </w:p>
        </w:tc>
      </w:tr>
      <w:tr w14:paraId="6CF53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45" w:type="dxa"/>
            <w:vMerge w:val="restart"/>
            <w:tcBorders>
              <w:left w:val="single" w:color="000000" w:sz="12" w:space="0"/>
              <w:bottom w:val="nil"/>
            </w:tcBorders>
            <w:textDirection w:val="tbRlV"/>
            <w:vAlign w:val="top"/>
          </w:tcPr>
          <w:p w14:paraId="42F67273">
            <w:pPr>
              <w:spacing w:before="119" w:line="208" w:lineRule="auto"/>
              <w:ind w:left="405"/>
              <w:rPr>
                <w:rFonts w:ascii="宋体" w:hAnsi="宋体" w:eastAsia="宋体" w:cs="宋体"/>
                <w:sz w:val="21"/>
                <w:szCs w:val="21"/>
              </w:rPr>
            </w:pPr>
            <w:r>
              <w:rPr>
                <w:rFonts w:ascii="宋体" w:hAnsi="宋体" w:eastAsia="宋体" w:cs="宋体"/>
                <w:spacing w:val="46"/>
                <w:sz w:val="21"/>
                <w:szCs w:val="21"/>
              </w:rPr>
              <w:t>种子植物</w:t>
            </w:r>
          </w:p>
        </w:tc>
        <w:tc>
          <w:tcPr>
            <w:tcW w:w="1820" w:type="dxa"/>
            <w:gridSpan w:val="2"/>
            <w:vAlign w:val="top"/>
          </w:tcPr>
          <w:p w14:paraId="22277638">
            <w:pPr>
              <w:spacing w:before="78" w:line="220" w:lineRule="auto"/>
              <w:ind w:left="482"/>
              <w:rPr>
                <w:rFonts w:ascii="宋体" w:hAnsi="宋体" w:eastAsia="宋体" w:cs="宋体"/>
                <w:sz w:val="21"/>
                <w:szCs w:val="21"/>
              </w:rPr>
            </w:pPr>
            <w:r>
              <w:rPr>
                <w:rFonts w:ascii="宋体" w:hAnsi="宋体" w:eastAsia="宋体" w:cs="宋体"/>
                <w:spacing w:val="-2"/>
                <w:sz w:val="21"/>
                <w:szCs w:val="21"/>
              </w:rPr>
              <w:t>裸子植物</w:t>
            </w:r>
          </w:p>
        </w:tc>
        <w:tc>
          <w:tcPr>
            <w:tcW w:w="690" w:type="dxa"/>
            <w:vAlign w:val="top"/>
          </w:tcPr>
          <w:p w14:paraId="0CFFE4C1">
            <w:pPr>
              <w:pStyle w:val="6"/>
              <w:spacing w:before="112" w:line="231" w:lineRule="auto"/>
              <w:ind w:left="305"/>
            </w:pPr>
            <w:r>
              <w:t>1</w:t>
            </w:r>
          </w:p>
        </w:tc>
        <w:tc>
          <w:tcPr>
            <w:tcW w:w="690" w:type="dxa"/>
            <w:vAlign w:val="top"/>
          </w:tcPr>
          <w:p w14:paraId="66284AB3">
            <w:pPr>
              <w:pStyle w:val="6"/>
              <w:spacing w:before="112" w:line="231" w:lineRule="auto"/>
              <w:ind w:left="292"/>
            </w:pPr>
            <w:r>
              <w:t>3</w:t>
            </w:r>
          </w:p>
        </w:tc>
        <w:tc>
          <w:tcPr>
            <w:tcW w:w="687" w:type="dxa"/>
            <w:vAlign w:val="top"/>
          </w:tcPr>
          <w:p w14:paraId="7C14B693">
            <w:pPr>
              <w:pStyle w:val="6"/>
              <w:spacing w:before="112" w:line="231" w:lineRule="auto"/>
              <w:ind w:left="228"/>
            </w:pPr>
            <w:r>
              <w:rPr>
                <w:spacing w:val="-2"/>
              </w:rPr>
              <w:t>+2</w:t>
            </w:r>
          </w:p>
        </w:tc>
        <w:tc>
          <w:tcPr>
            <w:tcW w:w="688" w:type="dxa"/>
            <w:vAlign w:val="top"/>
          </w:tcPr>
          <w:p w14:paraId="3A66C8BF">
            <w:pPr>
              <w:pStyle w:val="6"/>
              <w:spacing w:before="112" w:line="231" w:lineRule="auto"/>
              <w:ind w:left="313"/>
            </w:pPr>
            <w:r>
              <w:t>1</w:t>
            </w:r>
          </w:p>
        </w:tc>
        <w:tc>
          <w:tcPr>
            <w:tcW w:w="689" w:type="dxa"/>
            <w:vAlign w:val="top"/>
          </w:tcPr>
          <w:p w14:paraId="1D9EB630">
            <w:pPr>
              <w:pStyle w:val="6"/>
              <w:spacing w:before="112" w:line="231" w:lineRule="auto"/>
              <w:ind w:left="301"/>
            </w:pPr>
            <w:r>
              <w:t>6</w:t>
            </w:r>
          </w:p>
        </w:tc>
        <w:tc>
          <w:tcPr>
            <w:tcW w:w="689" w:type="dxa"/>
            <w:vAlign w:val="top"/>
          </w:tcPr>
          <w:p w14:paraId="74CCB4A6">
            <w:pPr>
              <w:pStyle w:val="6"/>
              <w:spacing w:before="112" w:line="231" w:lineRule="auto"/>
              <w:ind w:left="237"/>
            </w:pPr>
            <w:r>
              <w:rPr>
                <w:spacing w:val="-2"/>
              </w:rPr>
              <w:t>+5</w:t>
            </w:r>
          </w:p>
        </w:tc>
        <w:tc>
          <w:tcPr>
            <w:tcW w:w="689" w:type="dxa"/>
            <w:vAlign w:val="top"/>
          </w:tcPr>
          <w:p w14:paraId="27F412A6">
            <w:pPr>
              <w:pStyle w:val="6"/>
              <w:spacing w:before="112" w:line="231" w:lineRule="auto"/>
              <w:ind w:left="321"/>
            </w:pPr>
            <w:r>
              <w:t>1</w:t>
            </w:r>
          </w:p>
        </w:tc>
        <w:tc>
          <w:tcPr>
            <w:tcW w:w="689" w:type="dxa"/>
            <w:vAlign w:val="top"/>
          </w:tcPr>
          <w:p w14:paraId="2E52C6A1">
            <w:pPr>
              <w:pStyle w:val="6"/>
              <w:spacing w:before="112" w:line="231" w:lineRule="auto"/>
              <w:ind w:left="311"/>
            </w:pPr>
            <w:r>
              <w:t>8</w:t>
            </w:r>
          </w:p>
        </w:tc>
        <w:tc>
          <w:tcPr>
            <w:tcW w:w="697" w:type="dxa"/>
            <w:tcBorders>
              <w:right w:val="single" w:color="000000" w:sz="12" w:space="0"/>
            </w:tcBorders>
            <w:vAlign w:val="top"/>
          </w:tcPr>
          <w:p w14:paraId="464EC1AD">
            <w:pPr>
              <w:pStyle w:val="6"/>
              <w:spacing w:before="112" w:line="231" w:lineRule="auto"/>
              <w:ind w:left="241"/>
            </w:pPr>
            <w:r>
              <w:rPr>
                <w:spacing w:val="-2"/>
              </w:rPr>
              <w:t>+7</w:t>
            </w:r>
          </w:p>
        </w:tc>
      </w:tr>
      <w:tr w14:paraId="38E84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445" w:type="dxa"/>
            <w:vMerge w:val="continue"/>
            <w:tcBorders>
              <w:top w:val="nil"/>
              <w:left w:val="single" w:color="000000" w:sz="12" w:space="0"/>
              <w:bottom w:val="nil"/>
            </w:tcBorders>
            <w:textDirection w:val="tbRlV"/>
            <w:vAlign w:val="top"/>
          </w:tcPr>
          <w:p w14:paraId="08778ED1">
            <w:pPr>
              <w:rPr>
                <w:rFonts w:ascii="Arial"/>
                <w:sz w:val="21"/>
              </w:rPr>
            </w:pPr>
          </w:p>
        </w:tc>
        <w:tc>
          <w:tcPr>
            <w:tcW w:w="550" w:type="dxa"/>
            <w:vMerge w:val="restart"/>
            <w:tcBorders>
              <w:bottom w:val="nil"/>
            </w:tcBorders>
            <w:vAlign w:val="top"/>
          </w:tcPr>
          <w:p w14:paraId="329C6517">
            <w:pPr>
              <w:spacing w:line="242" w:lineRule="auto"/>
              <w:rPr>
                <w:rFonts w:ascii="Arial"/>
                <w:sz w:val="21"/>
              </w:rPr>
            </w:pPr>
          </w:p>
          <w:p w14:paraId="384F40AE">
            <w:pPr>
              <w:spacing w:before="68" w:line="242" w:lineRule="auto"/>
              <w:ind w:left="54" w:right="73"/>
              <w:rPr>
                <w:rFonts w:ascii="宋体" w:hAnsi="宋体" w:eastAsia="宋体" w:cs="宋体"/>
                <w:sz w:val="21"/>
                <w:szCs w:val="21"/>
              </w:rPr>
            </w:pPr>
            <w:r>
              <w:rPr>
                <w:rFonts w:ascii="宋体" w:hAnsi="宋体" w:eastAsia="宋体" w:cs="宋体"/>
                <w:spacing w:val="-5"/>
                <w:sz w:val="21"/>
                <w:szCs w:val="21"/>
              </w:rPr>
              <w:t>被子植物</w:t>
            </w:r>
          </w:p>
        </w:tc>
        <w:tc>
          <w:tcPr>
            <w:tcW w:w="1270" w:type="dxa"/>
            <w:vAlign w:val="top"/>
          </w:tcPr>
          <w:p w14:paraId="4E32AA6F">
            <w:pPr>
              <w:spacing w:before="80" w:line="220" w:lineRule="auto"/>
              <w:ind w:left="103"/>
              <w:rPr>
                <w:rFonts w:ascii="宋体" w:hAnsi="宋体" w:eastAsia="宋体" w:cs="宋体"/>
                <w:sz w:val="21"/>
                <w:szCs w:val="21"/>
              </w:rPr>
            </w:pPr>
            <w:r>
              <w:rPr>
                <w:rFonts w:ascii="宋体" w:hAnsi="宋体" w:eastAsia="宋体" w:cs="宋体"/>
                <w:spacing w:val="-2"/>
                <w:sz w:val="21"/>
                <w:szCs w:val="21"/>
              </w:rPr>
              <w:t>双子叶植物</w:t>
            </w:r>
          </w:p>
        </w:tc>
        <w:tc>
          <w:tcPr>
            <w:tcW w:w="690" w:type="dxa"/>
            <w:vAlign w:val="top"/>
          </w:tcPr>
          <w:p w14:paraId="0BB79CA4">
            <w:pPr>
              <w:pStyle w:val="6"/>
              <w:spacing w:before="114" w:line="228" w:lineRule="auto"/>
              <w:ind w:left="240"/>
            </w:pPr>
            <w:r>
              <w:rPr>
                <w:spacing w:val="-7"/>
              </w:rPr>
              <w:t>82</w:t>
            </w:r>
          </w:p>
        </w:tc>
        <w:tc>
          <w:tcPr>
            <w:tcW w:w="690" w:type="dxa"/>
            <w:vAlign w:val="top"/>
          </w:tcPr>
          <w:p w14:paraId="4B34DD0D">
            <w:pPr>
              <w:pStyle w:val="6"/>
              <w:spacing w:before="114" w:line="228" w:lineRule="auto"/>
              <w:ind w:left="243"/>
            </w:pPr>
            <w:r>
              <w:rPr>
                <w:spacing w:val="-7"/>
              </w:rPr>
              <w:t>85</w:t>
            </w:r>
          </w:p>
        </w:tc>
        <w:tc>
          <w:tcPr>
            <w:tcW w:w="687" w:type="dxa"/>
            <w:vAlign w:val="top"/>
          </w:tcPr>
          <w:p w14:paraId="53120E01">
            <w:pPr>
              <w:pStyle w:val="6"/>
              <w:spacing w:before="114" w:line="228" w:lineRule="auto"/>
              <w:ind w:left="228"/>
            </w:pPr>
            <w:r>
              <w:rPr>
                <w:spacing w:val="-2"/>
              </w:rPr>
              <w:t>+3</w:t>
            </w:r>
          </w:p>
        </w:tc>
        <w:tc>
          <w:tcPr>
            <w:tcW w:w="688" w:type="dxa"/>
            <w:vAlign w:val="top"/>
          </w:tcPr>
          <w:p w14:paraId="6329D42A">
            <w:pPr>
              <w:pStyle w:val="6"/>
              <w:spacing w:before="114" w:line="228" w:lineRule="auto"/>
              <w:ind w:left="187"/>
            </w:pPr>
            <w:r>
              <w:rPr>
                <w:spacing w:val="-2"/>
              </w:rPr>
              <w:t>211</w:t>
            </w:r>
          </w:p>
        </w:tc>
        <w:tc>
          <w:tcPr>
            <w:tcW w:w="689" w:type="dxa"/>
            <w:vAlign w:val="top"/>
          </w:tcPr>
          <w:p w14:paraId="25FD39C9">
            <w:pPr>
              <w:pStyle w:val="6"/>
              <w:spacing w:before="114" w:line="228" w:lineRule="auto"/>
              <w:ind w:left="190"/>
            </w:pPr>
            <w:r>
              <w:rPr>
                <w:spacing w:val="-2"/>
              </w:rPr>
              <w:t>220</w:t>
            </w:r>
          </w:p>
        </w:tc>
        <w:tc>
          <w:tcPr>
            <w:tcW w:w="689" w:type="dxa"/>
            <w:vAlign w:val="top"/>
          </w:tcPr>
          <w:p w14:paraId="400ABBBB">
            <w:pPr>
              <w:pStyle w:val="6"/>
              <w:spacing w:before="114" w:line="228" w:lineRule="auto"/>
              <w:ind w:left="237"/>
            </w:pPr>
            <w:r>
              <w:rPr>
                <w:spacing w:val="-2"/>
              </w:rPr>
              <w:t>+9</w:t>
            </w:r>
          </w:p>
        </w:tc>
        <w:tc>
          <w:tcPr>
            <w:tcW w:w="689" w:type="dxa"/>
            <w:vAlign w:val="top"/>
          </w:tcPr>
          <w:p w14:paraId="3B634DC7">
            <w:pPr>
              <w:pStyle w:val="6"/>
              <w:spacing w:before="114" w:line="228" w:lineRule="auto"/>
              <w:ind w:left="199"/>
            </w:pPr>
            <w:r>
              <w:rPr>
                <w:spacing w:val="-3"/>
              </w:rPr>
              <w:t>317</w:t>
            </w:r>
          </w:p>
        </w:tc>
        <w:tc>
          <w:tcPr>
            <w:tcW w:w="689" w:type="dxa"/>
            <w:vAlign w:val="top"/>
          </w:tcPr>
          <w:p w14:paraId="4554203F">
            <w:pPr>
              <w:pStyle w:val="6"/>
              <w:spacing w:before="114" w:line="228" w:lineRule="auto"/>
              <w:ind w:left="202"/>
            </w:pPr>
            <w:r>
              <w:rPr>
                <w:spacing w:val="-3"/>
              </w:rPr>
              <w:t>304</w:t>
            </w:r>
          </w:p>
        </w:tc>
        <w:tc>
          <w:tcPr>
            <w:tcW w:w="697" w:type="dxa"/>
            <w:tcBorders>
              <w:right w:val="single" w:color="000000" w:sz="12" w:space="0"/>
            </w:tcBorders>
            <w:vAlign w:val="top"/>
          </w:tcPr>
          <w:p w14:paraId="70F6448C">
            <w:pPr>
              <w:pStyle w:val="6"/>
              <w:spacing w:before="114" w:line="228" w:lineRule="auto"/>
              <w:ind w:left="218"/>
            </w:pPr>
            <w:r>
              <w:rPr>
                <w:spacing w:val="-3"/>
              </w:rPr>
              <w:t>-13</w:t>
            </w:r>
          </w:p>
        </w:tc>
      </w:tr>
      <w:tr w14:paraId="724F9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445" w:type="dxa"/>
            <w:vMerge w:val="continue"/>
            <w:tcBorders>
              <w:top w:val="nil"/>
              <w:left w:val="single" w:color="000000" w:sz="12" w:space="0"/>
              <w:bottom w:val="nil"/>
            </w:tcBorders>
            <w:textDirection w:val="tbRlV"/>
            <w:vAlign w:val="top"/>
          </w:tcPr>
          <w:p w14:paraId="42356D2D">
            <w:pPr>
              <w:rPr>
                <w:rFonts w:ascii="Arial"/>
                <w:sz w:val="21"/>
              </w:rPr>
            </w:pPr>
          </w:p>
        </w:tc>
        <w:tc>
          <w:tcPr>
            <w:tcW w:w="550" w:type="dxa"/>
            <w:vMerge w:val="continue"/>
            <w:tcBorders>
              <w:top w:val="nil"/>
              <w:bottom w:val="nil"/>
            </w:tcBorders>
            <w:vAlign w:val="top"/>
          </w:tcPr>
          <w:p w14:paraId="3A393FAE">
            <w:pPr>
              <w:rPr>
                <w:rFonts w:ascii="Arial"/>
                <w:sz w:val="21"/>
              </w:rPr>
            </w:pPr>
          </w:p>
        </w:tc>
        <w:tc>
          <w:tcPr>
            <w:tcW w:w="1270" w:type="dxa"/>
            <w:vAlign w:val="top"/>
          </w:tcPr>
          <w:p w14:paraId="4E9721A8">
            <w:pPr>
              <w:spacing w:before="84" w:line="220" w:lineRule="auto"/>
              <w:ind w:left="104"/>
              <w:rPr>
                <w:rFonts w:ascii="宋体" w:hAnsi="宋体" w:eastAsia="宋体" w:cs="宋体"/>
                <w:sz w:val="21"/>
                <w:szCs w:val="21"/>
              </w:rPr>
            </w:pPr>
            <w:r>
              <w:rPr>
                <w:rFonts w:ascii="宋体" w:hAnsi="宋体" w:eastAsia="宋体" w:cs="宋体"/>
                <w:spacing w:val="-2"/>
                <w:sz w:val="21"/>
                <w:szCs w:val="21"/>
              </w:rPr>
              <w:t>单子叶植物</w:t>
            </w:r>
          </w:p>
        </w:tc>
        <w:tc>
          <w:tcPr>
            <w:tcW w:w="690" w:type="dxa"/>
            <w:vAlign w:val="top"/>
          </w:tcPr>
          <w:p w14:paraId="4648E043">
            <w:pPr>
              <w:pStyle w:val="6"/>
              <w:spacing w:before="118" w:line="224" w:lineRule="auto"/>
              <w:ind w:left="252"/>
            </w:pPr>
            <w:r>
              <w:rPr>
                <w:spacing w:val="-12"/>
              </w:rPr>
              <w:t>11</w:t>
            </w:r>
          </w:p>
        </w:tc>
        <w:tc>
          <w:tcPr>
            <w:tcW w:w="690" w:type="dxa"/>
            <w:vAlign w:val="top"/>
          </w:tcPr>
          <w:p w14:paraId="718F7123">
            <w:pPr>
              <w:pStyle w:val="6"/>
              <w:spacing w:before="118" w:line="224" w:lineRule="auto"/>
              <w:ind w:left="255"/>
            </w:pPr>
            <w:r>
              <w:rPr>
                <w:spacing w:val="-12"/>
              </w:rPr>
              <w:t>14</w:t>
            </w:r>
          </w:p>
        </w:tc>
        <w:tc>
          <w:tcPr>
            <w:tcW w:w="687" w:type="dxa"/>
            <w:vAlign w:val="top"/>
          </w:tcPr>
          <w:p w14:paraId="2B8480FB">
            <w:pPr>
              <w:pStyle w:val="6"/>
              <w:spacing w:before="118" w:line="224" w:lineRule="auto"/>
              <w:ind w:left="228"/>
            </w:pPr>
            <w:r>
              <w:rPr>
                <w:spacing w:val="-2"/>
              </w:rPr>
              <w:t>+3</w:t>
            </w:r>
          </w:p>
        </w:tc>
        <w:tc>
          <w:tcPr>
            <w:tcW w:w="688" w:type="dxa"/>
            <w:vAlign w:val="top"/>
          </w:tcPr>
          <w:p w14:paraId="15F15986">
            <w:pPr>
              <w:pStyle w:val="6"/>
              <w:spacing w:before="118" w:line="224" w:lineRule="auto"/>
              <w:ind w:left="239"/>
            </w:pPr>
            <w:r>
              <w:rPr>
                <w:spacing w:val="-2"/>
              </w:rPr>
              <w:t>41</w:t>
            </w:r>
          </w:p>
        </w:tc>
        <w:tc>
          <w:tcPr>
            <w:tcW w:w="689" w:type="dxa"/>
            <w:vAlign w:val="top"/>
          </w:tcPr>
          <w:p w14:paraId="430A6FA5">
            <w:pPr>
              <w:pStyle w:val="6"/>
              <w:spacing w:before="118" w:line="224" w:lineRule="auto"/>
              <w:ind w:left="249"/>
            </w:pPr>
            <w:r>
              <w:rPr>
                <w:spacing w:val="-5"/>
              </w:rPr>
              <w:t>54</w:t>
            </w:r>
          </w:p>
        </w:tc>
        <w:tc>
          <w:tcPr>
            <w:tcW w:w="689" w:type="dxa"/>
            <w:vAlign w:val="top"/>
          </w:tcPr>
          <w:p w14:paraId="3CE35B17">
            <w:pPr>
              <w:pStyle w:val="6"/>
              <w:spacing w:before="118" w:line="224" w:lineRule="auto"/>
              <w:ind w:left="185"/>
            </w:pPr>
            <w:r>
              <w:rPr>
                <w:spacing w:val="-1"/>
              </w:rPr>
              <w:t>+13</w:t>
            </w:r>
          </w:p>
        </w:tc>
        <w:tc>
          <w:tcPr>
            <w:tcW w:w="689" w:type="dxa"/>
            <w:vAlign w:val="top"/>
          </w:tcPr>
          <w:p w14:paraId="06604394">
            <w:pPr>
              <w:pStyle w:val="6"/>
              <w:spacing w:before="118" w:line="224" w:lineRule="auto"/>
              <w:ind w:left="253"/>
            </w:pPr>
            <w:r>
              <w:rPr>
                <w:spacing w:val="-5"/>
              </w:rPr>
              <w:t>69</w:t>
            </w:r>
          </w:p>
        </w:tc>
        <w:tc>
          <w:tcPr>
            <w:tcW w:w="689" w:type="dxa"/>
            <w:vAlign w:val="top"/>
          </w:tcPr>
          <w:p w14:paraId="28CEF365">
            <w:pPr>
              <w:pStyle w:val="6"/>
              <w:spacing w:before="118" w:line="224" w:lineRule="auto"/>
              <w:ind w:left="253"/>
            </w:pPr>
            <w:r>
              <w:rPr>
                <w:spacing w:val="-4"/>
              </w:rPr>
              <w:t>75</w:t>
            </w:r>
          </w:p>
        </w:tc>
        <w:tc>
          <w:tcPr>
            <w:tcW w:w="697" w:type="dxa"/>
            <w:tcBorders>
              <w:right w:val="single" w:color="000000" w:sz="12" w:space="0"/>
            </w:tcBorders>
            <w:vAlign w:val="top"/>
          </w:tcPr>
          <w:p w14:paraId="024358AD">
            <w:pPr>
              <w:pStyle w:val="6"/>
              <w:spacing w:before="118" w:line="224" w:lineRule="auto"/>
              <w:ind w:left="241"/>
            </w:pPr>
            <w:r>
              <w:rPr>
                <w:spacing w:val="-2"/>
              </w:rPr>
              <w:t>+6</w:t>
            </w:r>
          </w:p>
        </w:tc>
      </w:tr>
      <w:tr w14:paraId="2159D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445" w:type="dxa"/>
            <w:vMerge w:val="continue"/>
            <w:tcBorders>
              <w:top w:val="nil"/>
              <w:left w:val="single" w:color="000000" w:sz="12" w:space="0"/>
              <w:bottom w:val="nil"/>
            </w:tcBorders>
            <w:textDirection w:val="tbRlV"/>
            <w:vAlign w:val="top"/>
          </w:tcPr>
          <w:p w14:paraId="1D320B9A">
            <w:pPr>
              <w:rPr>
                <w:rFonts w:ascii="Arial"/>
                <w:sz w:val="21"/>
              </w:rPr>
            </w:pPr>
          </w:p>
        </w:tc>
        <w:tc>
          <w:tcPr>
            <w:tcW w:w="550" w:type="dxa"/>
            <w:vMerge w:val="continue"/>
            <w:tcBorders>
              <w:top w:val="nil"/>
            </w:tcBorders>
            <w:vAlign w:val="top"/>
          </w:tcPr>
          <w:p w14:paraId="786355A1">
            <w:pPr>
              <w:rPr>
                <w:rFonts w:ascii="Arial"/>
                <w:sz w:val="21"/>
              </w:rPr>
            </w:pPr>
          </w:p>
        </w:tc>
        <w:tc>
          <w:tcPr>
            <w:tcW w:w="1270" w:type="dxa"/>
            <w:vAlign w:val="top"/>
          </w:tcPr>
          <w:p w14:paraId="2DD65C51">
            <w:pPr>
              <w:spacing w:before="89" w:line="221" w:lineRule="auto"/>
              <w:ind w:left="424"/>
              <w:rPr>
                <w:rFonts w:ascii="宋体" w:hAnsi="宋体" w:eastAsia="宋体" w:cs="宋体"/>
                <w:sz w:val="21"/>
                <w:szCs w:val="21"/>
              </w:rPr>
            </w:pPr>
            <w:r>
              <w:rPr>
                <w:rFonts w:ascii="宋体" w:hAnsi="宋体" w:eastAsia="宋体" w:cs="宋体"/>
                <w:spacing w:val="-4"/>
                <w:sz w:val="21"/>
                <w:szCs w:val="21"/>
              </w:rPr>
              <w:t>小计</w:t>
            </w:r>
          </w:p>
        </w:tc>
        <w:tc>
          <w:tcPr>
            <w:tcW w:w="690" w:type="dxa"/>
            <w:vAlign w:val="top"/>
          </w:tcPr>
          <w:p w14:paraId="0028BEAC">
            <w:pPr>
              <w:pStyle w:val="6"/>
              <w:spacing w:before="121" w:line="221" w:lineRule="auto"/>
              <w:ind w:left="236"/>
            </w:pPr>
            <w:r>
              <w:rPr>
                <w:spacing w:val="-4"/>
              </w:rPr>
              <w:t>93</w:t>
            </w:r>
          </w:p>
        </w:tc>
        <w:tc>
          <w:tcPr>
            <w:tcW w:w="690" w:type="dxa"/>
            <w:vAlign w:val="top"/>
          </w:tcPr>
          <w:p w14:paraId="1CBA47F8">
            <w:pPr>
              <w:pStyle w:val="6"/>
              <w:spacing w:before="121" w:line="221" w:lineRule="auto"/>
              <w:ind w:left="238"/>
            </w:pPr>
            <w:r>
              <w:rPr>
                <w:spacing w:val="-4"/>
              </w:rPr>
              <w:t>99</w:t>
            </w:r>
          </w:p>
        </w:tc>
        <w:tc>
          <w:tcPr>
            <w:tcW w:w="687" w:type="dxa"/>
            <w:vAlign w:val="top"/>
          </w:tcPr>
          <w:p w14:paraId="6930A5A9">
            <w:pPr>
              <w:pStyle w:val="6"/>
              <w:spacing w:before="121" w:line="221" w:lineRule="auto"/>
              <w:ind w:left="228"/>
            </w:pPr>
            <w:r>
              <w:rPr>
                <w:spacing w:val="-2"/>
              </w:rPr>
              <w:t>+6</w:t>
            </w:r>
          </w:p>
        </w:tc>
        <w:tc>
          <w:tcPr>
            <w:tcW w:w="688" w:type="dxa"/>
            <w:vAlign w:val="top"/>
          </w:tcPr>
          <w:p w14:paraId="47F2842B">
            <w:pPr>
              <w:pStyle w:val="6"/>
              <w:spacing w:before="121" w:line="221" w:lineRule="auto"/>
              <w:ind w:left="187"/>
            </w:pPr>
            <w:r>
              <w:rPr>
                <w:spacing w:val="-2"/>
              </w:rPr>
              <w:t>252</w:t>
            </w:r>
          </w:p>
        </w:tc>
        <w:tc>
          <w:tcPr>
            <w:tcW w:w="689" w:type="dxa"/>
            <w:vAlign w:val="top"/>
          </w:tcPr>
          <w:p w14:paraId="343E0F52">
            <w:pPr>
              <w:pStyle w:val="6"/>
              <w:spacing w:before="121" w:line="221" w:lineRule="auto"/>
              <w:ind w:left="190"/>
            </w:pPr>
            <w:r>
              <w:rPr>
                <w:spacing w:val="-2"/>
              </w:rPr>
              <w:t>274</w:t>
            </w:r>
          </w:p>
        </w:tc>
        <w:tc>
          <w:tcPr>
            <w:tcW w:w="689" w:type="dxa"/>
            <w:vAlign w:val="top"/>
          </w:tcPr>
          <w:p w14:paraId="18101AE5">
            <w:pPr>
              <w:pStyle w:val="6"/>
              <w:spacing w:before="121" w:line="221" w:lineRule="auto"/>
              <w:ind w:left="185"/>
            </w:pPr>
            <w:r>
              <w:rPr>
                <w:spacing w:val="-1"/>
              </w:rPr>
              <w:t>+22</w:t>
            </w:r>
          </w:p>
        </w:tc>
        <w:tc>
          <w:tcPr>
            <w:tcW w:w="689" w:type="dxa"/>
            <w:vAlign w:val="top"/>
          </w:tcPr>
          <w:p w14:paraId="6C7B4700">
            <w:pPr>
              <w:pStyle w:val="6"/>
              <w:spacing w:before="121" w:line="221" w:lineRule="auto"/>
              <w:ind w:left="199"/>
            </w:pPr>
            <w:r>
              <w:rPr>
                <w:spacing w:val="-3"/>
              </w:rPr>
              <w:t>386</w:t>
            </w:r>
          </w:p>
        </w:tc>
        <w:tc>
          <w:tcPr>
            <w:tcW w:w="689" w:type="dxa"/>
            <w:vAlign w:val="top"/>
          </w:tcPr>
          <w:p w14:paraId="66633E57">
            <w:pPr>
              <w:pStyle w:val="6"/>
              <w:spacing w:before="121" w:line="221" w:lineRule="auto"/>
              <w:ind w:left="202"/>
            </w:pPr>
            <w:r>
              <w:rPr>
                <w:spacing w:val="-3"/>
              </w:rPr>
              <w:t>379</w:t>
            </w:r>
          </w:p>
        </w:tc>
        <w:tc>
          <w:tcPr>
            <w:tcW w:w="697" w:type="dxa"/>
            <w:tcBorders>
              <w:right w:val="single" w:color="000000" w:sz="12" w:space="0"/>
            </w:tcBorders>
            <w:vAlign w:val="top"/>
          </w:tcPr>
          <w:p w14:paraId="60208F89">
            <w:pPr>
              <w:pStyle w:val="6"/>
              <w:spacing w:before="121" w:line="221" w:lineRule="auto"/>
              <w:ind w:left="270"/>
            </w:pPr>
            <w:r>
              <w:rPr>
                <w:spacing w:val="-5"/>
              </w:rPr>
              <w:t>-7</w:t>
            </w:r>
          </w:p>
        </w:tc>
      </w:tr>
      <w:tr w14:paraId="6AB60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445" w:type="dxa"/>
            <w:vMerge w:val="continue"/>
            <w:tcBorders>
              <w:top w:val="nil"/>
              <w:left w:val="single" w:color="000000" w:sz="12" w:space="0"/>
            </w:tcBorders>
            <w:textDirection w:val="tbRlV"/>
            <w:vAlign w:val="top"/>
          </w:tcPr>
          <w:p w14:paraId="7EA65271">
            <w:pPr>
              <w:rPr>
                <w:rFonts w:ascii="Arial"/>
                <w:sz w:val="21"/>
              </w:rPr>
            </w:pPr>
          </w:p>
        </w:tc>
        <w:tc>
          <w:tcPr>
            <w:tcW w:w="1820" w:type="dxa"/>
            <w:gridSpan w:val="2"/>
            <w:vAlign w:val="top"/>
          </w:tcPr>
          <w:p w14:paraId="4F47F512">
            <w:pPr>
              <w:spacing w:before="92" w:line="221" w:lineRule="auto"/>
              <w:ind w:left="698"/>
              <w:rPr>
                <w:rFonts w:ascii="宋体" w:hAnsi="宋体" w:eastAsia="宋体" w:cs="宋体"/>
                <w:sz w:val="21"/>
                <w:szCs w:val="21"/>
              </w:rPr>
            </w:pPr>
            <w:r>
              <w:rPr>
                <w:rFonts w:ascii="宋体" w:hAnsi="宋体" w:eastAsia="宋体" w:cs="宋体"/>
                <w:spacing w:val="-4"/>
                <w:sz w:val="21"/>
                <w:szCs w:val="21"/>
              </w:rPr>
              <w:t>小计</w:t>
            </w:r>
          </w:p>
        </w:tc>
        <w:tc>
          <w:tcPr>
            <w:tcW w:w="690" w:type="dxa"/>
            <w:vAlign w:val="top"/>
          </w:tcPr>
          <w:p w14:paraId="7C341B64">
            <w:pPr>
              <w:pStyle w:val="6"/>
              <w:spacing w:before="125" w:line="217" w:lineRule="auto"/>
              <w:ind w:left="236"/>
            </w:pPr>
            <w:r>
              <w:rPr>
                <w:spacing w:val="-4"/>
              </w:rPr>
              <w:t>94</w:t>
            </w:r>
          </w:p>
        </w:tc>
        <w:tc>
          <w:tcPr>
            <w:tcW w:w="690" w:type="dxa"/>
            <w:vAlign w:val="top"/>
          </w:tcPr>
          <w:p w14:paraId="30E56B9E">
            <w:pPr>
              <w:pStyle w:val="6"/>
              <w:spacing w:before="125" w:line="217" w:lineRule="auto"/>
              <w:ind w:left="203"/>
            </w:pPr>
            <w:r>
              <w:rPr>
                <w:spacing w:val="-9"/>
              </w:rPr>
              <w:t>102</w:t>
            </w:r>
          </w:p>
        </w:tc>
        <w:tc>
          <w:tcPr>
            <w:tcW w:w="687" w:type="dxa"/>
            <w:vAlign w:val="top"/>
          </w:tcPr>
          <w:p w14:paraId="59F124D0">
            <w:pPr>
              <w:pStyle w:val="6"/>
              <w:spacing w:before="125" w:line="217" w:lineRule="auto"/>
              <w:ind w:left="228"/>
            </w:pPr>
            <w:r>
              <w:rPr>
                <w:spacing w:val="-2"/>
              </w:rPr>
              <w:t>+8</w:t>
            </w:r>
          </w:p>
        </w:tc>
        <w:tc>
          <w:tcPr>
            <w:tcW w:w="688" w:type="dxa"/>
            <w:vAlign w:val="top"/>
          </w:tcPr>
          <w:p w14:paraId="6A19291A">
            <w:pPr>
              <w:pStyle w:val="6"/>
              <w:spacing w:before="125" w:line="217" w:lineRule="auto"/>
              <w:ind w:left="187"/>
            </w:pPr>
            <w:r>
              <w:rPr>
                <w:spacing w:val="-2"/>
              </w:rPr>
              <w:t>253</w:t>
            </w:r>
          </w:p>
        </w:tc>
        <w:tc>
          <w:tcPr>
            <w:tcW w:w="689" w:type="dxa"/>
            <w:vAlign w:val="top"/>
          </w:tcPr>
          <w:p w14:paraId="5E7D023E">
            <w:pPr>
              <w:pStyle w:val="6"/>
              <w:spacing w:before="125" w:line="217" w:lineRule="auto"/>
              <w:ind w:left="190"/>
            </w:pPr>
            <w:r>
              <w:rPr>
                <w:spacing w:val="-2"/>
              </w:rPr>
              <w:t>280</w:t>
            </w:r>
          </w:p>
        </w:tc>
        <w:tc>
          <w:tcPr>
            <w:tcW w:w="689" w:type="dxa"/>
            <w:vAlign w:val="top"/>
          </w:tcPr>
          <w:p w14:paraId="5222F619">
            <w:pPr>
              <w:pStyle w:val="6"/>
              <w:spacing w:before="125" w:line="217" w:lineRule="auto"/>
              <w:ind w:left="185"/>
            </w:pPr>
            <w:r>
              <w:rPr>
                <w:spacing w:val="-1"/>
              </w:rPr>
              <w:t>+27</w:t>
            </w:r>
          </w:p>
        </w:tc>
        <w:tc>
          <w:tcPr>
            <w:tcW w:w="689" w:type="dxa"/>
            <w:vAlign w:val="top"/>
          </w:tcPr>
          <w:p w14:paraId="2B9FEEB5">
            <w:pPr>
              <w:pStyle w:val="6"/>
              <w:spacing w:before="125" w:line="217" w:lineRule="auto"/>
              <w:ind w:left="199"/>
            </w:pPr>
            <w:r>
              <w:rPr>
                <w:spacing w:val="-3"/>
              </w:rPr>
              <w:t>387</w:t>
            </w:r>
          </w:p>
        </w:tc>
        <w:tc>
          <w:tcPr>
            <w:tcW w:w="689" w:type="dxa"/>
            <w:vAlign w:val="top"/>
          </w:tcPr>
          <w:p w14:paraId="6E0C27CE">
            <w:pPr>
              <w:pStyle w:val="6"/>
              <w:spacing w:before="125" w:line="217" w:lineRule="auto"/>
              <w:ind w:left="202"/>
            </w:pPr>
            <w:r>
              <w:rPr>
                <w:spacing w:val="-3"/>
              </w:rPr>
              <w:t>387</w:t>
            </w:r>
          </w:p>
        </w:tc>
        <w:tc>
          <w:tcPr>
            <w:tcW w:w="697" w:type="dxa"/>
            <w:tcBorders>
              <w:right w:val="single" w:color="000000" w:sz="12" w:space="0"/>
            </w:tcBorders>
            <w:vAlign w:val="top"/>
          </w:tcPr>
          <w:p w14:paraId="6EC6E1A5">
            <w:pPr>
              <w:pStyle w:val="6"/>
              <w:spacing w:before="125" w:line="217" w:lineRule="auto"/>
              <w:ind w:left="305"/>
            </w:pPr>
            <w:r>
              <w:t>0</w:t>
            </w:r>
          </w:p>
        </w:tc>
      </w:tr>
      <w:tr w14:paraId="492A3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2265" w:type="dxa"/>
            <w:gridSpan w:val="3"/>
            <w:tcBorders>
              <w:left w:val="single" w:color="000000" w:sz="12" w:space="0"/>
              <w:bottom w:val="single" w:color="000000" w:sz="12" w:space="0"/>
            </w:tcBorders>
            <w:vAlign w:val="top"/>
          </w:tcPr>
          <w:p w14:paraId="7CC7D587">
            <w:pPr>
              <w:spacing w:before="95" w:line="221" w:lineRule="auto"/>
              <w:ind w:left="911"/>
              <w:rPr>
                <w:rFonts w:ascii="宋体" w:hAnsi="宋体" w:eastAsia="宋体" w:cs="宋体"/>
                <w:sz w:val="21"/>
                <w:szCs w:val="21"/>
              </w:rPr>
            </w:pPr>
            <w:r>
              <w:rPr>
                <w:rFonts w:ascii="宋体" w:hAnsi="宋体" w:eastAsia="宋体" w:cs="宋体"/>
                <w:spacing w:val="-3"/>
                <w:sz w:val="21"/>
                <w:szCs w:val="21"/>
              </w:rPr>
              <w:t>合计</w:t>
            </w:r>
          </w:p>
        </w:tc>
        <w:tc>
          <w:tcPr>
            <w:tcW w:w="690" w:type="dxa"/>
            <w:tcBorders>
              <w:bottom w:val="single" w:color="000000" w:sz="12" w:space="0"/>
            </w:tcBorders>
            <w:vAlign w:val="top"/>
          </w:tcPr>
          <w:p w14:paraId="6A3F57A7">
            <w:pPr>
              <w:pStyle w:val="6"/>
              <w:spacing w:before="129" w:line="232" w:lineRule="auto"/>
              <w:ind w:left="200"/>
            </w:pPr>
            <w:r>
              <w:rPr>
                <w:spacing w:val="-9"/>
              </w:rPr>
              <w:t>105</w:t>
            </w:r>
          </w:p>
        </w:tc>
        <w:tc>
          <w:tcPr>
            <w:tcW w:w="690" w:type="dxa"/>
            <w:tcBorders>
              <w:bottom w:val="single" w:color="000000" w:sz="12" w:space="0"/>
            </w:tcBorders>
            <w:vAlign w:val="top"/>
          </w:tcPr>
          <w:p w14:paraId="6434B858">
            <w:pPr>
              <w:pStyle w:val="6"/>
              <w:spacing w:before="129" w:line="232" w:lineRule="auto"/>
              <w:ind w:left="203"/>
            </w:pPr>
            <w:r>
              <w:rPr>
                <w:spacing w:val="-9"/>
              </w:rPr>
              <w:t>118</w:t>
            </w:r>
          </w:p>
        </w:tc>
        <w:tc>
          <w:tcPr>
            <w:tcW w:w="687" w:type="dxa"/>
            <w:tcBorders>
              <w:bottom w:val="single" w:color="000000" w:sz="12" w:space="0"/>
            </w:tcBorders>
            <w:vAlign w:val="top"/>
          </w:tcPr>
          <w:p w14:paraId="64261002">
            <w:pPr>
              <w:pStyle w:val="6"/>
              <w:spacing w:before="129" w:line="232" w:lineRule="auto"/>
              <w:ind w:left="175"/>
            </w:pPr>
            <w:r>
              <w:rPr>
                <w:spacing w:val="-1"/>
              </w:rPr>
              <w:t>+13</w:t>
            </w:r>
          </w:p>
        </w:tc>
        <w:tc>
          <w:tcPr>
            <w:tcW w:w="688" w:type="dxa"/>
            <w:tcBorders>
              <w:bottom w:val="single" w:color="000000" w:sz="12" w:space="0"/>
            </w:tcBorders>
            <w:vAlign w:val="top"/>
          </w:tcPr>
          <w:p w14:paraId="0C3368A6">
            <w:pPr>
              <w:pStyle w:val="6"/>
              <w:spacing w:before="129" w:line="232" w:lineRule="auto"/>
              <w:ind w:left="187"/>
            </w:pPr>
            <w:r>
              <w:rPr>
                <w:spacing w:val="-2"/>
              </w:rPr>
              <w:t>269</w:t>
            </w:r>
          </w:p>
        </w:tc>
        <w:tc>
          <w:tcPr>
            <w:tcW w:w="689" w:type="dxa"/>
            <w:tcBorders>
              <w:bottom w:val="single" w:color="000000" w:sz="12" w:space="0"/>
            </w:tcBorders>
            <w:vAlign w:val="top"/>
          </w:tcPr>
          <w:p w14:paraId="322A35F2">
            <w:pPr>
              <w:pStyle w:val="6"/>
              <w:spacing w:before="129" w:line="232" w:lineRule="auto"/>
              <w:ind w:left="190"/>
            </w:pPr>
            <w:r>
              <w:rPr>
                <w:spacing w:val="-2"/>
              </w:rPr>
              <w:t>298</w:t>
            </w:r>
          </w:p>
        </w:tc>
        <w:tc>
          <w:tcPr>
            <w:tcW w:w="689" w:type="dxa"/>
            <w:tcBorders>
              <w:bottom w:val="single" w:color="000000" w:sz="12" w:space="0"/>
            </w:tcBorders>
            <w:vAlign w:val="top"/>
          </w:tcPr>
          <w:p w14:paraId="23AB98D5">
            <w:pPr>
              <w:pStyle w:val="6"/>
              <w:spacing w:before="129" w:line="232" w:lineRule="auto"/>
              <w:ind w:left="185"/>
            </w:pPr>
            <w:r>
              <w:rPr>
                <w:spacing w:val="-1"/>
              </w:rPr>
              <w:t>+29</w:t>
            </w:r>
          </w:p>
        </w:tc>
        <w:tc>
          <w:tcPr>
            <w:tcW w:w="689" w:type="dxa"/>
            <w:tcBorders>
              <w:bottom w:val="single" w:color="000000" w:sz="12" w:space="0"/>
            </w:tcBorders>
            <w:vAlign w:val="top"/>
          </w:tcPr>
          <w:p w14:paraId="2085A5C8">
            <w:pPr>
              <w:pStyle w:val="6"/>
              <w:spacing w:before="129" w:line="232" w:lineRule="auto"/>
              <w:ind w:left="194"/>
            </w:pPr>
            <w:r>
              <w:rPr>
                <w:spacing w:val="-2"/>
              </w:rPr>
              <w:t>409</w:t>
            </w:r>
          </w:p>
        </w:tc>
        <w:tc>
          <w:tcPr>
            <w:tcW w:w="689" w:type="dxa"/>
            <w:tcBorders>
              <w:bottom w:val="single" w:color="000000" w:sz="12" w:space="0"/>
            </w:tcBorders>
            <w:vAlign w:val="top"/>
          </w:tcPr>
          <w:p w14:paraId="61B84738">
            <w:pPr>
              <w:pStyle w:val="6"/>
              <w:spacing w:before="129" w:line="235" w:lineRule="auto"/>
              <w:ind w:left="196"/>
            </w:pPr>
            <w:r>
              <w:rPr>
                <w:spacing w:val="-2"/>
              </w:rPr>
              <w:t>414</w:t>
            </w:r>
          </w:p>
        </w:tc>
        <w:tc>
          <w:tcPr>
            <w:tcW w:w="697" w:type="dxa"/>
            <w:tcBorders>
              <w:bottom w:val="single" w:color="000000" w:sz="12" w:space="0"/>
              <w:right w:val="single" w:color="000000" w:sz="12" w:space="0"/>
            </w:tcBorders>
            <w:vAlign w:val="top"/>
          </w:tcPr>
          <w:p w14:paraId="6FAFE888">
            <w:pPr>
              <w:pStyle w:val="6"/>
              <w:spacing w:before="129" w:line="232" w:lineRule="auto"/>
              <w:ind w:left="241"/>
            </w:pPr>
            <w:r>
              <w:rPr>
                <w:spacing w:val="-2"/>
              </w:rPr>
              <w:t>+5</w:t>
            </w:r>
          </w:p>
        </w:tc>
      </w:tr>
    </w:tbl>
    <w:p w14:paraId="57A988E5">
      <w:pPr>
        <w:pStyle w:val="2"/>
        <w:spacing w:before="30" w:line="220" w:lineRule="auto"/>
        <w:ind w:left="40"/>
        <w:rPr>
          <w:sz w:val="21"/>
          <w:szCs w:val="21"/>
        </w:rPr>
      </w:pPr>
      <w:r>
        <w:rPr>
          <w:spacing w:val="-1"/>
          <w:sz w:val="21"/>
          <w:szCs w:val="21"/>
        </w:rPr>
        <w:t>备注：包括外来植物和变种。</w:t>
      </w:r>
    </w:p>
    <w:p w14:paraId="1A554A60">
      <w:pPr>
        <w:pStyle w:val="2"/>
        <w:spacing w:before="276" w:line="334" w:lineRule="auto"/>
        <w:ind w:left="42" w:right="28" w:firstLine="506"/>
        <w:rPr>
          <w:sz w:val="24"/>
          <w:szCs w:val="24"/>
        </w:rPr>
      </w:pPr>
      <w:r>
        <w:rPr>
          <w:spacing w:val="-2"/>
          <w:sz w:val="24"/>
          <w:szCs w:val="24"/>
        </w:rPr>
        <w:t>由表</w:t>
      </w:r>
      <w:r>
        <w:rPr>
          <w:spacing w:val="-50"/>
          <w:sz w:val="24"/>
          <w:szCs w:val="24"/>
        </w:rPr>
        <w:t xml:space="preserve"> </w:t>
      </w:r>
      <w:r>
        <w:rPr>
          <w:rFonts w:ascii="Times New Roman" w:hAnsi="Times New Roman" w:eastAsia="Times New Roman" w:cs="Times New Roman"/>
          <w:spacing w:val="-2"/>
          <w:sz w:val="24"/>
          <w:szCs w:val="24"/>
        </w:rPr>
        <w:t xml:space="preserve">6.1-6 </w:t>
      </w:r>
      <w:r>
        <w:rPr>
          <w:spacing w:val="-2"/>
          <w:sz w:val="24"/>
          <w:szCs w:val="24"/>
        </w:rPr>
        <w:t>环评期和施工期调查结果对比可以看出，</w:t>
      </w:r>
      <w:r>
        <w:rPr>
          <w:spacing w:val="-3"/>
          <w:sz w:val="24"/>
          <w:szCs w:val="24"/>
        </w:rPr>
        <w:t>施工期监测调查所记录到的维管植物增加</w:t>
      </w:r>
      <w:r>
        <w:rPr>
          <w:rFonts w:ascii="Times New Roman" w:hAnsi="Times New Roman" w:eastAsia="Times New Roman" w:cs="Times New Roman"/>
          <w:spacing w:val="-3"/>
          <w:sz w:val="24"/>
          <w:szCs w:val="24"/>
        </w:rPr>
        <w:t xml:space="preserve">5 </w:t>
      </w:r>
      <w:r>
        <w:rPr>
          <w:spacing w:val="-3"/>
          <w:sz w:val="24"/>
          <w:szCs w:val="24"/>
        </w:rPr>
        <w:t>种。其中，</w:t>
      </w:r>
      <w:r>
        <w:rPr>
          <w:spacing w:val="87"/>
          <w:sz w:val="24"/>
          <w:szCs w:val="24"/>
        </w:rPr>
        <w:t xml:space="preserve"> </w:t>
      </w:r>
      <w:r>
        <w:rPr>
          <w:spacing w:val="-3"/>
          <w:sz w:val="24"/>
          <w:szCs w:val="24"/>
        </w:rPr>
        <w:t>以被子植物变化较为明显，增加了</w:t>
      </w:r>
      <w:r>
        <w:rPr>
          <w:rFonts w:ascii="Times New Roman" w:hAnsi="Times New Roman" w:eastAsia="Times New Roman" w:cs="Times New Roman"/>
          <w:spacing w:val="-3"/>
          <w:sz w:val="24"/>
          <w:szCs w:val="24"/>
        </w:rPr>
        <w:t xml:space="preserve">6 </w:t>
      </w:r>
      <w:r>
        <w:rPr>
          <w:spacing w:val="-3"/>
          <w:sz w:val="24"/>
          <w:szCs w:val="24"/>
        </w:rPr>
        <w:t>科</w:t>
      </w:r>
      <w:r>
        <w:rPr>
          <w:spacing w:val="-55"/>
          <w:sz w:val="24"/>
          <w:szCs w:val="24"/>
        </w:rPr>
        <w:t xml:space="preserve"> </w:t>
      </w:r>
      <w:r>
        <w:rPr>
          <w:rFonts w:ascii="Times New Roman" w:hAnsi="Times New Roman" w:eastAsia="Times New Roman" w:cs="Times New Roman"/>
          <w:spacing w:val="-3"/>
          <w:sz w:val="24"/>
          <w:szCs w:val="24"/>
        </w:rPr>
        <w:t xml:space="preserve">22 </w:t>
      </w:r>
      <w:r>
        <w:rPr>
          <w:spacing w:val="-3"/>
          <w:sz w:val="24"/>
          <w:szCs w:val="24"/>
        </w:rPr>
        <w:t>属，</w:t>
      </w:r>
      <w:r>
        <w:rPr>
          <w:spacing w:val="-4"/>
          <w:sz w:val="24"/>
          <w:szCs w:val="24"/>
        </w:rPr>
        <w:t>减少</w:t>
      </w:r>
      <w:r>
        <w:rPr>
          <w:sz w:val="24"/>
          <w:szCs w:val="24"/>
        </w:rPr>
        <w:t>了</w:t>
      </w:r>
      <w:r>
        <w:rPr>
          <w:spacing w:val="-51"/>
          <w:sz w:val="24"/>
          <w:szCs w:val="24"/>
        </w:rPr>
        <w:t xml:space="preserve"> </w:t>
      </w:r>
      <w:r>
        <w:rPr>
          <w:rFonts w:ascii="Times New Roman" w:hAnsi="Times New Roman" w:eastAsia="Times New Roman" w:cs="Times New Roman"/>
          <w:sz w:val="24"/>
          <w:szCs w:val="24"/>
        </w:rPr>
        <w:t xml:space="preserve">7 </w:t>
      </w:r>
      <w:r>
        <w:rPr>
          <w:sz w:val="24"/>
          <w:szCs w:val="24"/>
        </w:rPr>
        <w:t>种；其次是裸子植物，增加了</w:t>
      </w:r>
      <w:r>
        <w:rPr>
          <w:rFonts w:ascii="Times New Roman" w:hAnsi="Times New Roman" w:eastAsia="Times New Roman" w:cs="Times New Roman"/>
          <w:sz w:val="24"/>
          <w:szCs w:val="24"/>
        </w:rPr>
        <w:t xml:space="preserve">2 </w:t>
      </w:r>
      <w:r>
        <w:rPr>
          <w:sz w:val="24"/>
          <w:szCs w:val="24"/>
        </w:rPr>
        <w:t>科</w:t>
      </w:r>
      <w:r>
        <w:rPr>
          <w:spacing w:val="-49"/>
          <w:sz w:val="24"/>
          <w:szCs w:val="24"/>
        </w:rPr>
        <w:t xml:space="preserve"> </w:t>
      </w:r>
      <w:r>
        <w:rPr>
          <w:rFonts w:ascii="Times New Roman" w:hAnsi="Times New Roman" w:eastAsia="Times New Roman" w:cs="Times New Roman"/>
          <w:spacing w:val="-1"/>
          <w:sz w:val="24"/>
          <w:szCs w:val="24"/>
        </w:rPr>
        <w:t xml:space="preserve">5 </w:t>
      </w:r>
      <w:r>
        <w:rPr>
          <w:spacing w:val="-1"/>
          <w:sz w:val="24"/>
          <w:szCs w:val="24"/>
        </w:rPr>
        <w:t>属</w:t>
      </w:r>
      <w:r>
        <w:rPr>
          <w:spacing w:val="-51"/>
          <w:sz w:val="24"/>
          <w:szCs w:val="24"/>
        </w:rPr>
        <w:t xml:space="preserve"> </w:t>
      </w:r>
      <w:r>
        <w:rPr>
          <w:rFonts w:ascii="Times New Roman" w:hAnsi="Times New Roman" w:eastAsia="Times New Roman" w:cs="Times New Roman"/>
          <w:spacing w:val="-1"/>
          <w:sz w:val="24"/>
          <w:szCs w:val="24"/>
        </w:rPr>
        <w:t xml:space="preserve">7 </w:t>
      </w:r>
      <w:r>
        <w:rPr>
          <w:spacing w:val="-1"/>
          <w:sz w:val="24"/>
          <w:szCs w:val="24"/>
        </w:rPr>
        <w:t>种；蕨类植物增加了</w:t>
      </w:r>
      <w:r>
        <w:rPr>
          <w:rFonts w:ascii="Times New Roman" w:hAnsi="Times New Roman" w:eastAsia="Times New Roman" w:cs="Times New Roman"/>
          <w:spacing w:val="-1"/>
          <w:sz w:val="24"/>
          <w:szCs w:val="24"/>
        </w:rPr>
        <w:t xml:space="preserve">5 </w:t>
      </w:r>
      <w:r>
        <w:rPr>
          <w:spacing w:val="-1"/>
          <w:sz w:val="24"/>
          <w:szCs w:val="24"/>
        </w:rPr>
        <w:t>科</w:t>
      </w:r>
      <w:r>
        <w:rPr>
          <w:spacing w:val="-55"/>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11"/>
          <w:sz w:val="24"/>
          <w:szCs w:val="24"/>
        </w:rPr>
        <w:t xml:space="preserve"> </w:t>
      </w:r>
      <w:r>
        <w:rPr>
          <w:spacing w:val="-1"/>
          <w:sz w:val="24"/>
          <w:szCs w:val="24"/>
        </w:rPr>
        <w:t>属</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10"/>
          <w:sz w:val="24"/>
          <w:szCs w:val="24"/>
        </w:rPr>
        <w:t xml:space="preserve"> </w:t>
      </w:r>
      <w:r>
        <w:rPr>
          <w:spacing w:val="-1"/>
          <w:sz w:val="24"/>
          <w:szCs w:val="24"/>
        </w:rPr>
        <w:t>种。</w:t>
      </w:r>
      <w:r>
        <w:rPr>
          <w:spacing w:val="-2"/>
          <w:sz w:val="24"/>
          <w:szCs w:val="24"/>
        </w:rPr>
        <w:t>从数据上看，物种数量变化不大，但种类结构和组成发生了明显变化。</w:t>
      </w:r>
    </w:p>
    <w:p w14:paraId="6FCF50B4">
      <w:pPr>
        <w:pStyle w:val="2"/>
        <w:spacing w:before="23" w:line="339" w:lineRule="auto"/>
        <w:ind w:left="38" w:right="31" w:firstLine="487"/>
        <w:jc w:val="both"/>
        <w:rPr>
          <w:sz w:val="24"/>
          <w:szCs w:val="24"/>
        </w:rPr>
      </w:pPr>
      <w:r>
        <w:rPr>
          <w:spacing w:val="-5"/>
          <w:sz w:val="24"/>
          <w:szCs w:val="24"/>
        </w:rPr>
        <w:t>导致调查区记录物种明显变化的原因有：①由于施工期交通更为便捷，因此施</w:t>
      </w:r>
      <w:r>
        <w:rPr>
          <w:spacing w:val="-4"/>
          <w:sz w:val="24"/>
          <w:szCs w:val="24"/>
        </w:rPr>
        <w:t>工期调查能深入到环评期不能抵达的地方，调查的群落更为多样，物种更新</w:t>
      </w:r>
      <w:r>
        <w:rPr>
          <w:spacing w:val="-5"/>
          <w:sz w:val="24"/>
          <w:szCs w:val="24"/>
        </w:rPr>
        <w:t>上有所</w:t>
      </w:r>
      <w:r>
        <w:rPr>
          <w:spacing w:val="-4"/>
          <w:sz w:val="24"/>
          <w:szCs w:val="24"/>
        </w:rPr>
        <w:t>发现；②由于近两年生态保护工程得到落实，人们对生态环境的干扰已大大减</w:t>
      </w:r>
      <w:r>
        <w:rPr>
          <w:spacing w:val="-5"/>
          <w:sz w:val="24"/>
          <w:szCs w:val="24"/>
        </w:rPr>
        <w:t>少，</w:t>
      </w:r>
      <w:r>
        <w:rPr>
          <w:spacing w:val="-4"/>
          <w:sz w:val="24"/>
          <w:szCs w:val="24"/>
        </w:rPr>
        <w:t>许多植被渐渐得到恢复，开始向更高级的群落演替，一些物种从相邻的四周开</w:t>
      </w:r>
      <w:r>
        <w:rPr>
          <w:spacing w:val="-5"/>
          <w:sz w:val="24"/>
          <w:szCs w:val="24"/>
        </w:rPr>
        <w:t>始扩</w:t>
      </w:r>
      <w:r>
        <w:rPr>
          <w:spacing w:val="-4"/>
          <w:sz w:val="24"/>
          <w:szCs w:val="24"/>
        </w:rPr>
        <w:t>散到调查区；③环评阶段调查数据部分由文献资料补充，而施工期监测仅记录</w:t>
      </w:r>
      <w:r>
        <w:rPr>
          <w:spacing w:val="-5"/>
          <w:sz w:val="24"/>
          <w:szCs w:val="24"/>
        </w:rPr>
        <w:t>了样</w:t>
      </w:r>
      <w:r>
        <w:rPr>
          <w:spacing w:val="-4"/>
          <w:sz w:val="24"/>
          <w:szCs w:val="24"/>
        </w:rPr>
        <w:t>方中记录的或样线调查中见到的物种；④从实地调查情况看，由于受人为活动</w:t>
      </w:r>
      <w:r>
        <w:rPr>
          <w:spacing w:val="-5"/>
          <w:sz w:val="24"/>
          <w:szCs w:val="24"/>
        </w:rPr>
        <w:t>长期影响，主要是农业生产及生活的影响，调查区目前的植被类型已发生了较大变</w:t>
      </w:r>
      <w:r>
        <w:rPr>
          <w:spacing w:val="-6"/>
          <w:sz w:val="24"/>
          <w:szCs w:val="24"/>
        </w:rPr>
        <w:t>化，</w:t>
      </w:r>
    </w:p>
    <w:p w14:paraId="198064FD">
      <w:pPr>
        <w:spacing w:line="339" w:lineRule="auto"/>
        <w:rPr>
          <w:sz w:val="24"/>
          <w:szCs w:val="24"/>
        </w:rPr>
        <w:sectPr>
          <w:footerReference r:id="rId158" w:type="default"/>
          <w:pgSz w:w="11907" w:h="16839"/>
          <w:pgMar w:top="1376" w:right="1669" w:bottom="1061" w:left="1671" w:header="999" w:footer="861" w:gutter="0"/>
          <w:cols w:space="720" w:num="1"/>
        </w:sectPr>
      </w:pPr>
    </w:p>
    <w:p w14:paraId="3CF7CCD0">
      <w:pPr>
        <w:spacing w:line="450" w:lineRule="auto"/>
        <w:rPr>
          <w:rFonts w:ascii="Arial"/>
          <w:sz w:val="21"/>
        </w:rPr>
      </w:pPr>
    </w:p>
    <w:p w14:paraId="0A3D3D5C">
      <w:pPr>
        <w:pStyle w:val="2"/>
        <w:spacing w:before="78" w:line="339" w:lineRule="auto"/>
        <w:ind w:left="38" w:right="83" w:firstLine="6"/>
        <w:jc w:val="both"/>
        <w:rPr>
          <w:sz w:val="24"/>
          <w:szCs w:val="24"/>
        </w:rPr>
      </w:pPr>
      <w:r>
        <w:rPr>
          <w:spacing w:val="-4"/>
          <w:sz w:val="24"/>
          <w:szCs w:val="24"/>
        </w:rPr>
        <w:t>原生植被已大量遭受破坏，栽培植物物种明显增加。据统计，</w:t>
      </w:r>
      <w:r>
        <w:rPr>
          <w:spacing w:val="-5"/>
          <w:sz w:val="24"/>
          <w:szCs w:val="24"/>
        </w:rPr>
        <w:t>栽培的植物数量达到</w:t>
      </w:r>
      <w:r>
        <w:rPr>
          <w:rFonts w:ascii="Times New Roman" w:hAnsi="Times New Roman" w:eastAsia="Times New Roman" w:cs="Times New Roman"/>
          <w:spacing w:val="-3"/>
          <w:sz w:val="24"/>
          <w:szCs w:val="24"/>
        </w:rPr>
        <w:t xml:space="preserve">83 </w:t>
      </w:r>
      <w:r>
        <w:rPr>
          <w:spacing w:val="-3"/>
          <w:sz w:val="24"/>
          <w:szCs w:val="24"/>
        </w:rPr>
        <w:t>种，而野生种子植物的属从</w:t>
      </w:r>
      <w:r>
        <w:rPr>
          <w:spacing w:val="-55"/>
          <w:sz w:val="24"/>
          <w:szCs w:val="24"/>
        </w:rPr>
        <w:t xml:space="preserve"> </w:t>
      </w:r>
      <w:r>
        <w:rPr>
          <w:rFonts w:ascii="Times New Roman" w:hAnsi="Times New Roman" w:eastAsia="Times New Roman" w:cs="Times New Roman"/>
          <w:spacing w:val="-3"/>
          <w:sz w:val="24"/>
          <w:szCs w:val="24"/>
        </w:rPr>
        <w:t xml:space="preserve">2016 </w:t>
      </w:r>
      <w:r>
        <w:rPr>
          <w:spacing w:val="-3"/>
          <w:sz w:val="24"/>
          <w:szCs w:val="24"/>
        </w:rPr>
        <w:t>年到</w:t>
      </w:r>
      <w:r>
        <w:rPr>
          <w:spacing w:val="-55"/>
          <w:sz w:val="24"/>
          <w:szCs w:val="24"/>
        </w:rPr>
        <w:t xml:space="preserve"> </w:t>
      </w:r>
      <w:r>
        <w:rPr>
          <w:rFonts w:ascii="Times New Roman" w:hAnsi="Times New Roman" w:eastAsia="Times New Roman" w:cs="Times New Roman"/>
          <w:spacing w:val="-3"/>
          <w:sz w:val="24"/>
          <w:szCs w:val="24"/>
        </w:rPr>
        <w:t xml:space="preserve">2020 </w:t>
      </w:r>
      <w:r>
        <w:rPr>
          <w:spacing w:val="-3"/>
          <w:sz w:val="24"/>
          <w:szCs w:val="24"/>
        </w:rPr>
        <w:t>年，由</w:t>
      </w:r>
      <w:r>
        <w:rPr>
          <w:rFonts w:ascii="Times New Roman" w:hAnsi="Times New Roman" w:eastAsia="Times New Roman" w:cs="Times New Roman"/>
          <w:spacing w:val="-3"/>
          <w:sz w:val="24"/>
          <w:szCs w:val="24"/>
        </w:rPr>
        <w:t xml:space="preserve">253 </w:t>
      </w:r>
      <w:r>
        <w:rPr>
          <w:spacing w:val="-3"/>
          <w:sz w:val="24"/>
          <w:szCs w:val="24"/>
        </w:rPr>
        <w:t>个减少</w:t>
      </w:r>
      <w:r>
        <w:rPr>
          <w:spacing w:val="-4"/>
          <w:sz w:val="24"/>
          <w:szCs w:val="24"/>
        </w:rPr>
        <w:t>到</w:t>
      </w:r>
      <w:r>
        <w:rPr>
          <w:spacing w:val="-55"/>
          <w:sz w:val="24"/>
          <w:szCs w:val="24"/>
        </w:rPr>
        <w:t xml:space="preserve"> </w:t>
      </w:r>
      <w:r>
        <w:rPr>
          <w:rFonts w:ascii="Times New Roman" w:hAnsi="Times New Roman" w:eastAsia="Times New Roman" w:cs="Times New Roman"/>
          <w:spacing w:val="-4"/>
          <w:sz w:val="24"/>
          <w:szCs w:val="24"/>
        </w:rPr>
        <w:t xml:space="preserve">226 </w:t>
      </w:r>
      <w:r>
        <w:rPr>
          <w:spacing w:val="-4"/>
          <w:sz w:val="24"/>
          <w:szCs w:val="24"/>
        </w:rPr>
        <w:t>个；⑤</w:t>
      </w:r>
      <w:r>
        <w:rPr>
          <w:rFonts w:ascii="Times New Roman" w:hAnsi="Times New Roman" w:eastAsia="Times New Roman" w:cs="Times New Roman"/>
          <w:spacing w:val="-4"/>
          <w:sz w:val="24"/>
          <w:szCs w:val="24"/>
        </w:rPr>
        <w:t>2020</w:t>
      </w:r>
      <w:r>
        <w:rPr>
          <w:spacing w:val="-4"/>
          <w:sz w:val="24"/>
          <w:szCs w:val="24"/>
        </w:rPr>
        <w:t>年项目已开始了大坝建设、库区清理、进场公路修建、营地建设、输水隧洞施工等施工建设，造成部分植被群落遭受到一定程度的损毁，引发大量先锋植物，特</w:t>
      </w:r>
      <w:r>
        <w:rPr>
          <w:spacing w:val="-5"/>
          <w:sz w:val="24"/>
          <w:szCs w:val="24"/>
        </w:rPr>
        <w:t>别是</w:t>
      </w:r>
      <w:r>
        <w:rPr>
          <w:spacing w:val="-6"/>
          <w:sz w:val="24"/>
          <w:szCs w:val="24"/>
        </w:rPr>
        <w:t>禾本科、菊科等植物侵入到群落中，</w:t>
      </w:r>
      <w:r>
        <w:rPr>
          <w:spacing w:val="-48"/>
          <w:sz w:val="24"/>
          <w:szCs w:val="24"/>
        </w:rPr>
        <w:t xml:space="preserve"> </w:t>
      </w:r>
      <w:r>
        <w:rPr>
          <w:spacing w:val="-6"/>
          <w:sz w:val="24"/>
          <w:szCs w:val="24"/>
        </w:rPr>
        <w:t>造成物种的数量反而有所增加，填补了部</w:t>
      </w:r>
      <w:r>
        <w:rPr>
          <w:spacing w:val="-7"/>
          <w:sz w:val="24"/>
          <w:szCs w:val="24"/>
        </w:rPr>
        <w:t>分物</w:t>
      </w:r>
      <w:r>
        <w:rPr>
          <w:spacing w:val="-1"/>
          <w:sz w:val="24"/>
          <w:szCs w:val="24"/>
        </w:rPr>
        <w:t>种在工程建设中损失的空白。</w:t>
      </w:r>
    </w:p>
    <w:p w14:paraId="4CF23267">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）植物区系组成变化</w:t>
      </w:r>
    </w:p>
    <w:p w14:paraId="787FDB7C">
      <w:pPr>
        <w:pStyle w:val="2"/>
        <w:spacing w:before="133" w:line="336" w:lineRule="auto"/>
        <w:ind w:left="35" w:firstLine="484"/>
        <w:rPr>
          <w:sz w:val="24"/>
          <w:szCs w:val="24"/>
        </w:rPr>
      </w:pPr>
      <w:r>
        <w:rPr>
          <w:spacing w:val="-6"/>
          <w:sz w:val="24"/>
          <w:szCs w:val="24"/>
        </w:rPr>
        <w:t>环评期调查发现，调查区有野生种子植物</w:t>
      </w:r>
      <w:r>
        <w:rPr>
          <w:rFonts w:ascii="Times New Roman" w:hAnsi="Times New Roman" w:eastAsia="Times New Roman" w:cs="Times New Roman"/>
          <w:spacing w:val="-6"/>
          <w:sz w:val="24"/>
          <w:szCs w:val="24"/>
        </w:rPr>
        <w:t xml:space="preserve">253 </w:t>
      </w:r>
      <w:r>
        <w:rPr>
          <w:spacing w:val="-6"/>
          <w:sz w:val="24"/>
          <w:szCs w:val="24"/>
        </w:rPr>
        <w:t>属。其中， 热</w:t>
      </w:r>
      <w:r>
        <w:rPr>
          <w:spacing w:val="-7"/>
          <w:sz w:val="24"/>
          <w:szCs w:val="24"/>
        </w:rPr>
        <w:t>带类型</w:t>
      </w:r>
      <w:r>
        <w:rPr>
          <w:spacing w:val="-32"/>
          <w:sz w:val="24"/>
          <w:szCs w:val="24"/>
        </w:rPr>
        <w:t xml:space="preserve"> </w:t>
      </w:r>
      <w:r>
        <w:rPr>
          <w:rFonts w:ascii="Times New Roman" w:hAnsi="Times New Roman" w:eastAsia="Times New Roman" w:cs="Times New Roman"/>
          <w:spacing w:val="-7"/>
          <w:sz w:val="24"/>
          <w:szCs w:val="24"/>
        </w:rPr>
        <w:t xml:space="preserve">104 </w:t>
      </w:r>
      <w:r>
        <w:rPr>
          <w:spacing w:val="-7"/>
          <w:sz w:val="24"/>
          <w:szCs w:val="24"/>
        </w:rPr>
        <w:t>属（分</w:t>
      </w:r>
      <w:r>
        <w:rPr>
          <w:spacing w:val="-6"/>
          <w:sz w:val="24"/>
          <w:szCs w:val="24"/>
        </w:rPr>
        <w:t>布区类型</w:t>
      </w:r>
      <w:r>
        <w:rPr>
          <w:spacing w:val="-50"/>
          <w:sz w:val="24"/>
          <w:szCs w:val="24"/>
        </w:rPr>
        <w:t xml:space="preserve"> </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15"/>
          <w:sz w:val="24"/>
          <w:szCs w:val="24"/>
        </w:rPr>
        <w:t xml:space="preserve"> </w:t>
      </w:r>
      <w:r>
        <w:rPr>
          <w:spacing w:val="-6"/>
          <w:sz w:val="24"/>
          <w:szCs w:val="24"/>
        </w:rPr>
        <w:t>至</w:t>
      </w:r>
      <w:r>
        <w:rPr>
          <w:spacing w:val="-49"/>
          <w:sz w:val="24"/>
          <w:szCs w:val="24"/>
        </w:rPr>
        <w:t xml:space="preserve"> </w:t>
      </w:r>
      <w:r>
        <w:rPr>
          <w:rFonts w:ascii="Times New Roman" w:hAnsi="Times New Roman" w:eastAsia="Times New Roman" w:cs="Times New Roman"/>
          <w:spacing w:val="-6"/>
          <w:sz w:val="24"/>
          <w:szCs w:val="24"/>
        </w:rPr>
        <w:t>7</w:t>
      </w:r>
      <w:r>
        <w:rPr>
          <w:spacing w:val="-42"/>
          <w:sz w:val="24"/>
          <w:szCs w:val="24"/>
        </w:rPr>
        <w:t>），</w:t>
      </w:r>
      <w:r>
        <w:rPr>
          <w:spacing w:val="-6"/>
          <w:sz w:val="24"/>
          <w:szCs w:val="24"/>
        </w:rPr>
        <w:t>占</w:t>
      </w:r>
      <w:r>
        <w:rPr>
          <w:spacing w:val="-33"/>
          <w:sz w:val="24"/>
          <w:szCs w:val="24"/>
        </w:rPr>
        <w:t xml:space="preserve"> </w:t>
      </w:r>
      <w:r>
        <w:rPr>
          <w:rFonts w:ascii="Times New Roman" w:hAnsi="Times New Roman" w:eastAsia="Times New Roman" w:cs="Times New Roman"/>
          <w:spacing w:val="-6"/>
          <w:sz w:val="24"/>
          <w:szCs w:val="24"/>
        </w:rPr>
        <w:t>253</w:t>
      </w:r>
      <w:r>
        <w:rPr>
          <w:rFonts w:ascii="Times New Roman" w:hAnsi="Times New Roman" w:eastAsia="Times New Roman" w:cs="Times New Roman"/>
          <w:spacing w:val="14"/>
          <w:sz w:val="24"/>
          <w:szCs w:val="24"/>
        </w:rPr>
        <w:t xml:space="preserve"> </w:t>
      </w:r>
      <w:r>
        <w:rPr>
          <w:spacing w:val="-6"/>
          <w:sz w:val="24"/>
          <w:szCs w:val="24"/>
        </w:rPr>
        <w:t>属的</w:t>
      </w:r>
      <w:r>
        <w:rPr>
          <w:spacing w:val="-53"/>
          <w:sz w:val="24"/>
          <w:szCs w:val="24"/>
        </w:rPr>
        <w:t xml:space="preserve"> </w:t>
      </w:r>
      <w:r>
        <w:rPr>
          <w:rFonts w:ascii="Times New Roman" w:hAnsi="Times New Roman" w:eastAsia="Times New Roman" w:cs="Times New Roman"/>
          <w:spacing w:val="-6"/>
          <w:sz w:val="24"/>
          <w:szCs w:val="24"/>
        </w:rPr>
        <w:t>41.</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6"/>
          <w:sz w:val="24"/>
          <w:szCs w:val="24"/>
        </w:rPr>
        <w:t>12%</w:t>
      </w:r>
      <w:r>
        <w:rPr>
          <w:spacing w:val="-6"/>
          <w:sz w:val="24"/>
          <w:szCs w:val="24"/>
        </w:rPr>
        <w:t xml:space="preserve">；温带类型 </w:t>
      </w:r>
      <w:r>
        <w:rPr>
          <w:rFonts w:ascii="Times New Roman" w:hAnsi="Times New Roman" w:eastAsia="Times New Roman" w:cs="Times New Roman"/>
          <w:spacing w:val="-6"/>
          <w:sz w:val="24"/>
          <w:szCs w:val="24"/>
        </w:rPr>
        <w:t>116</w:t>
      </w:r>
      <w:r>
        <w:rPr>
          <w:rFonts w:ascii="Times New Roman" w:hAnsi="Times New Roman" w:eastAsia="Times New Roman" w:cs="Times New Roman"/>
          <w:spacing w:val="13"/>
          <w:sz w:val="24"/>
          <w:szCs w:val="24"/>
        </w:rPr>
        <w:t xml:space="preserve"> </w:t>
      </w:r>
      <w:r>
        <w:rPr>
          <w:spacing w:val="-6"/>
          <w:sz w:val="24"/>
          <w:szCs w:val="24"/>
        </w:rPr>
        <w:t>属（分布区类型</w:t>
      </w:r>
      <w:r>
        <w:rPr>
          <w:spacing w:val="-26"/>
          <w:sz w:val="24"/>
          <w:szCs w:val="24"/>
        </w:rPr>
        <w:t xml:space="preserve"> </w:t>
      </w:r>
      <w:r>
        <w:rPr>
          <w:rFonts w:ascii="Times New Roman" w:hAnsi="Times New Roman" w:eastAsia="Times New Roman" w:cs="Times New Roman"/>
          <w:spacing w:val="-6"/>
          <w:sz w:val="24"/>
          <w:szCs w:val="24"/>
        </w:rPr>
        <w:t>8</w:t>
      </w:r>
      <w:r>
        <w:rPr>
          <w:rFonts w:ascii="Times New Roman" w:hAnsi="Times New Roman" w:eastAsia="Times New Roman" w:cs="Times New Roman"/>
          <w:spacing w:val="13"/>
          <w:sz w:val="24"/>
          <w:szCs w:val="24"/>
        </w:rPr>
        <w:t xml:space="preserve"> </w:t>
      </w:r>
      <w:r>
        <w:rPr>
          <w:spacing w:val="-6"/>
          <w:sz w:val="24"/>
          <w:szCs w:val="24"/>
        </w:rPr>
        <w:t>至</w:t>
      </w:r>
      <w:r>
        <w:rPr>
          <w:spacing w:val="-28"/>
          <w:sz w:val="24"/>
          <w:szCs w:val="24"/>
        </w:rPr>
        <w:t xml:space="preserve"> </w:t>
      </w:r>
      <w:r>
        <w:rPr>
          <w:rFonts w:ascii="Times New Roman" w:hAnsi="Times New Roman" w:eastAsia="Times New Roman" w:cs="Times New Roman"/>
          <w:spacing w:val="-6"/>
          <w:sz w:val="24"/>
          <w:szCs w:val="24"/>
        </w:rPr>
        <w:t>15</w:t>
      </w:r>
      <w:r>
        <w:rPr>
          <w:spacing w:val="-42"/>
          <w:sz w:val="24"/>
          <w:szCs w:val="24"/>
        </w:rPr>
        <w:t>），</w:t>
      </w:r>
      <w:r>
        <w:rPr>
          <w:spacing w:val="-4"/>
          <w:sz w:val="24"/>
          <w:szCs w:val="24"/>
        </w:rPr>
        <w:t>占</w:t>
      </w:r>
      <w:r>
        <w:rPr>
          <w:spacing w:val="-37"/>
          <w:sz w:val="24"/>
          <w:szCs w:val="24"/>
        </w:rPr>
        <w:t xml:space="preserve"> </w:t>
      </w:r>
      <w:r>
        <w:rPr>
          <w:rFonts w:ascii="Times New Roman" w:hAnsi="Times New Roman" w:eastAsia="Times New Roman" w:cs="Times New Roman"/>
          <w:spacing w:val="-4"/>
          <w:sz w:val="24"/>
          <w:szCs w:val="24"/>
        </w:rPr>
        <w:t>253</w:t>
      </w:r>
      <w:r>
        <w:rPr>
          <w:rFonts w:ascii="Times New Roman" w:hAnsi="Times New Roman" w:eastAsia="Times New Roman" w:cs="Times New Roman"/>
          <w:spacing w:val="27"/>
          <w:sz w:val="24"/>
          <w:szCs w:val="24"/>
        </w:rPr>
        <w:t xml:space="preserve"> </w:t>
      </w:r>
      <w:r>
        <w:rPr>
          <w:spacing w:val="-4"/>
          <w:sz w:val="24"/>
          <w:szCs w:val="24"/>
        </w:rPr>
        <w:t>属的</w:t>
      </w:r>
      <w:r>
        <w:rPr>
          <w:spacing w:val="-41"/>
          <w:sz w:val="24"/>
          <w:szCs w:val="24"/>
        </w:rPr>
        <w:t xml:space="preserve"> </w:t>
      </w:r>
      <w:r>
        <w:rPr>
          <w:rFonts w:ascii="Times New Roman" w:hAnsi="Times New Roman" w:eastAsia="Times New Roman" w:cs="Times New Roman"/>
          <w:spacing w:val="-4"/>
          <w:sz w:val="24"/>
          <w:szCs w:val="24"/>
        </w:rPr>
        <w:t>45.84%</w:t>
      </w:r>
      <w:r>
        <w:rPr>
          <w:spacing w:val="-4"/>
          <w:sz w:val="24"/>
          <w:szCs w:val="24"/>
        </w:rPr>
        <w:t>（如表</w:t>
      </w:r>
      <w:r>
        <w:rPr>
          <w:spacing w:val="-23"/>
          <w:sz w:val="24"/>
          <w:szCs w:val="24"/>
        </w:rPr>
        <w:t xml:space="preserve"> </w:t>
      </w:r>
      <w:r>
        <w:rPr>
          <w:rFonts w:ascii="Times New Roman" w:hAnsi="Times New Roman" w:eastAsia="Times New Roman" w:cs="Times New Roman"/>
          <w:spacing w:val="-4"/>
          <w:sz w:val="24"/>
          <w:szCs w:val="24"/>
        </w:rPr>
        <w:t>6.1-7</w:t>
      </w:r>
      <w:r>
        <w:rPr>
          <w:spacing w:val="-4"/>
          <w:sz w:val="24"/>
          <w:szCs w:val="24"/>
        </w:rPr>
        <w:t>）。该数字表明，调查区具有突出的温带植物区系</w:t>
      </w:r>
      <w:r>
        <w:rPr>
          <w:spacing w:val="-6"/>
          <w:sz w:val="24"/>
          <w:szCs w:val="24"/>
        </w:rPr>
        <w:t>性质。所有这些属中，</w:t>
      </w:r>
      <w:r>
        <w:rPr>
          <w:spacing w:val="86"/>
          <w:sz w:val="24"/>
          <w:szCs w:val="24"/>
        </w:rPr>
        <w:t xml:space="preserve"> </w:t>
      </w:r>
      <w:r>
        <w:rPr>
          <w:spacing w:val="-6"/>
          <w:sz w:val="24"/>
          <w:szCs w:val="24"/>
        </w:rPr>
        <w:t>以北温带分布的属最为突</w:t>
      </w:r>
      <w:r>
        <w:rPr>
          <w:spacing w:val="-7"/>
          <w:sz w:val="24"/>
          <w:szCs w:val="24"/>
        </w:rPr>
        <w:t>出，计</w:t>
      </w:r>
      <w:r>
        <w:rPr>
          <w:spacing w:val="-48"/>
          <w:sz w:val="24"/>
          <w:szCs w:val="24"/>
        </w:rPr>
        <w:t xml:space="preserve"> </w:t>
      </w:r>
      <w:r>
        <w:rPr>
          <w:rFonts w:ascii="Times New Roman" w:hAnsi="Times New Roman" w:eastAsia="Times New Roman" w:cs="Times New Roman"/>
          <w:spacing w:val="-7"/>
          <w:sz w:val="24"/>
          <w:szCs w:val="24"/>
        </w:rPr>
        <w:t xml:space="preserve">58 </w:t>
      </w:r>
      <w:r>
        <w:rPr>
          <w:spacing w:val="-7"/>
          <w:sz w:val="24"/>
          <w:szCs w:val="24"/>
        </w:rPr>
        <w:t>属，占调查区总属数的</w:t>
      </w:r>
      <w:r>
        <w:rPr>
          <w:rFonts w:ascii="Times New Roman" w:hAnsi="Times New Roman" w:eastAsia="Times New Roman" w:cs="Times New Roman"/>
          <w:spacing w:val="-4"/>
          <w:sz w:val="24"/>
          <w:szCs w:val="24"/>
        </w:rPr>
        <w:t>22.92%</w:t>
      </w:r>
      <w:r>
        <w:rPr>
          <w:spacing w:val="-4"/>
          <w:sz w:val="24"/>
          <w:szCs w:val="24"/>
        </w:rPr>
        <w:t>；其次为泛热带分布的属，计</w:t>
      </w:r>
      <w:r>
        <w:rPr>
          <w:spacing w:val="-44"/>
          <w:sz w:val="24"/>
          <w:szCs w:val="24"/>
        </w:rPr>
        <w:t xml:space="preserve"> </w:t>
      </w:r>
      <w:r>
        <w:rPr>
          <w:rFonts w:ascii="Times New Roman" w:hAnsi="Times New Roman" w:eastAsia="Times New Roman" w:cs="Times New Roman"/>
          <w:spacing w:val="-4"/>
          <w:sz w:val="24"/>
          <w:szCs w:val="24"/>
        </w:rPr>
        <w:t xml:space="preserve">51 </w:t>
      </w:r>
      <w:r>
        <w:rPr>
          <w:spacing w:val="-4"/>
          <w:sz w:val="24"/>
          <w:szCs w:val="24"/>
        </w:rPr>
        <w:t>属，占调查区总属数的</w:t>
      </w:r>
      <w:r>
        <w:rPr>
          <w:spacing w:val="-54"/>
          <w:sz w:val="24"/>
          <w:szCs w:val="24"/>
        </w:rPr>
        <w:t xml:space="preserve">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16%</w:t>
      </w:r>
      <w:r>
        <w:rPr>
          <w:spacing w:val="-4"/>
          <w:sz w:val="24"/>
          <w:szCs w:val="24"/>
        </w:rPr>
        <w:t>。表明调查</w:t>
      </w:r>
      <w:r>
        <w:rPr>
          <w:spacing w:val="-2"/>
          <w:sz w:val="24"/>
          <w:szCs w:val="24"/>
        </w:rPr>
        <w:t>区的植物区系与北温带亚洲植物区系有密切联系，且属于热带向温带过渡的区域。</w:t>
      </w:r>
    </w:p>
    <w:p w14:paraId="7C72595B">
      <w:pPr>
        <w:pStyle w:val="2"/>
        <w:spacing w:before="19" w:line="337" w:lineRule="auto"/>
        <w:ind w:left="39" w:right="84" w:firstLine="479"/>
        <w:rPr>
          <w:sz w:val="24"/>
          <w:szCs w:val="24"/>
        </w:rPr>
      </w:pPr>
      <w:r>
        <w:rPr>
          <w:spacing w:val="-4"/>
          <w:sz w:val="24"/>
          <w:szCs w:val="24"/>
        </w:rPr>
        <w:t>施工期调查发现，调查区有野生种子植物</w:t>
      </w:r>
      <w:r>
        <w:rPr>
          <w:rFonts w:ascii="Times New Roman" w:hAnsi="Times New Roman" w:eastAsia="Times New Roman" w:cs="Times New Roman"/>
          <w:spacing w:val="-4"/>
          <w:sz w:val="24"/>
          <w:szCs w:val="24"/>
        </w:rPr>
        <w:t xml:space="preserve">223 </w:t>
      </w:r>
      <w:r>
        <w:rPr>
          <w:spacing w:val="-4"/>
          <w:sz w:val="24"/>
          <w:szCs w:val="24"/>
        </w:rPr>
        <w:t>属。其中，</w:t>
      </w:r>
      <w:r>
        <w:rPr>
          <w:spacing w:val="61"/>
          <w:sz w:val="24"/>
          <w:szCs w:val="24"/>
        </w:rPr>
        <w:t xml:space="preserve"> </w:t>
      </w:r>
      <w:r>
        <w:rPr>
          <w:spacing w:val="-4"/>
          <w:sz w:val="24"/>
          <w:szCs w:val="24"/>
        </w:rPr>
        <w:t>热带</w:t>
      </w:r>
      <w:r>
        <w:rPr>
          <w:spacing w:val="-5"/>
          <w:sz w:val="24"/>
          <w:szCs w:val="24"/>
        </w:rPr>
        <w:t>类型的属</w:t>
      </w:r>
      <w:r>
        <w:rPr>
          <w:spacing w:val="-50"/>
          <w:sz w:val="24"/>
          <w:szCs w:val="24"/>
        </w:rPr>
        <w:t xml:space="preserve"> </w:t>
      </w:r>
      <w:r>
        <w:rPr>
          <w:rFonts w:ascii="Times New Roman" w:hAnsi="Times New Roman" w:eastAsia="Times New Roman" w:cs="Times New Roman"/>
          <w:spacing w:val="-5"/>
          <w:sz w:val="24"/>
          <w:szCs w:val="24"/>
        </w:rPr>
        <w:t xml:space="preserve">90 </w:t>
      </w:r>
      <w:r>
        <w:rPr>
          <w:spacing w:val="-5"/>
          <w:sz w:val="24"/>
          <w:szCs w:val="24"/>
        </w:rPr>
        <w:t>属</w:t>
      </w:r>
      <w:r>
        <w:rPr>
          <w:spacing w:val="-3"/>
          <w:sz w:val="24"/>
          <w:szCs w:val="24"/>
        </w:rPr>
        <w:t>（分布区类型</w:t>
      </w:r>
      <w:r>
        <w:rPr>
          <w:spacing w:val="-32"/>
          <w:sz w:val="24"/>
          <w:szCs w:val="24"/>
        </w:rPr>
        <w:t xml:space="preserve"> </w:t>
      </w:r>
      <w:r>
        <w:rPr>
          <w:rFonts w:ascii="Times New Roman" w:hAnsi="Times New Roman" w:eastAsia="Times New Roman" w:cs="Times New Roman"/>
          <w:spacing w:val="-3"/>
          <w:sz w:val="24"/>
          <w:szCs w:val="24"/>
        </w:rPr>
        <w:t xml:space="preserve">2 </w:t>
      </w:r>
      <w:r>
        <w:rPr>
          <w:spacing w:val="-3"/>
          <w:sz w:val="24"/>
          <w:szCs w:val="24"/>
        </w:rPr>
        <w:t>至</w:t>
      </w:r>
      <w:r>
        <w:rPr>
          <w:spacing w:val="-49"/>
          <w:sz w:val="24"/>
          <w:szCs w:val="24"/>
        </w:rPr>
        <w:t xml:space="preserve"> </w:t>
      </w:r>
      <w:r>
        <w:rPr>
          <w:rFonts w:ascii="Times New Roman" w:hAnsi="Times New Roman" w:eastAsia="Times New Roman" w:cs="Times New Roman"/>
          <w:spacing w:val="-3"/>
          <w:sz w:val="24"/>
          <w:szCs w:val="24"/>
        </w:rPr>
        <w:t>7</w:t>
      </w:r>
      <w:r>
        <w:rPr>
          <w:spacing w:val="-61"/>
          <w:w w:val="96"/>
          <w:sz w:val="24"/>
          <w:szCs w:val="24"/>
        </w:rPr>
        <w:t>），</w:t>
      </w:r>
      <w:r>
        <w:rPr>
          <w:spacing w:val="-3"/>
          <w:sz w:val="24"/>
          <w:szCs w:val="24"/>
        </w:rPr>
        <w:t>占</w:t>
      </w:r>
      <w:r>
        <w:rPr>
          <w:spacing w:val="-33"/>
          <w:sz w:val="24"/>
          <w:szCs w:val="24"/>
        </w:rPr>
        <w:t xml:space="preserve"> </w:t>
      </w:r>
      <w:r>
        <w:rPr>
          <w:rFonts w:ascii="Times New Roman" w:hAnsi="Times New Roman" w:eastAsia="Times New Roman" w:cs="Times New Roman"/>
          <w:spacing w:val="-3"/>
          <w:sz w:val="24"/>
          <w:szCs w:val="24"/>
        </w:rPr>
        <w:t>223</w:t>
      </w:r>
      <w:r>
        <w:rPr>
          <w:rFonts w:ascii="Times New Roman" w:hAnsi="Times New Roman" w:eastAsia="Times New Roman" w:cs="Times New Roman"/>
          <w:spacing w:val="14"/>
          <w:sz w:val="24"/>
          <w:szCs w:val="24"/>
        </w:rPr>
        <w:t xml:space="preserve"> </w:t>
      </w:r>
      <w:r>
        <w:rPr>
          <w:spacing w:val="-3"/>
          <w:sz w:val="24"/>
          <w:szCs w:val="24"/>
        </w:rPr>
        <w:t>属的</w:t>
      </w:r>
      <w:r>
        <w:rPr>
          <w:spacing w:val="-54"/>
          <w:sz w:val="24"/>
          <w:szCs w:val="24"/>
        </w:rPr>
        <w:t xml:space="preserve"> </w:t>
      </w:r>
      <w:r>
        <w:rPr>
          <w:rFonts w:ascii="Times New Roman" w:hAnsi="Times New Roman" w:eastAsia="Times New Roman" w:cs="Times New Roman"/>
          <w:spacing w:val="-3"/>
          <w:sz w:val="24"/>
          <w:szCs w:val="24"/>
        </w:rPr>
        <w:t>40.36</w:t>
      </w:r>
      <w:r>
        <w:rPr>
          <w:rFonts w:ascii="Times New Roman" w:hAnsi="Times New Roman" w:eastAsia="Times New Roman" w:cs="Times New Roman"/>
          <w:spacing w:val="-4"/>
          <w:sz w:val="24"/>
          <w:szCs w:val="24"/>
        </w:rPr>
        <w:t>%</w:t>
      </w:r>
      <w:r>
        <w:rPr>
          <w:spacing w:val="-4"/>
          <w:sz w:val="24"/>
          <w:szCs w:val="24"/>
        </w:rPr>
        <w:t xml:space="preserve">；温带类型的属 </w:t>
      </w:r>
      <w:r>
        <w:rPr>
          <w:rFonts w:ascii="Times New Roman" w:hAnsi="Times New Roman" w:eastAsia="Times New Roman" w:cs="Times New Roman"/>
          <w:spacing w:val="-4"/>
          <w:sz w:val="24"/>
          <w:szCs w:val="24"/>
        </w:rPr>
        <w:t>101</w:t>
      </w:r>
      <w:r>
        <w:rPr>
          <w:rFonts w:ascii="Times New Roman" w:hAnsi="Times New Roman" w:eastAsia="Times New Roman" w:cs="Times New Roman"/>
          <w:spacing w:val="14"/>
          <w:sz w:val="24"/>
          <w:szCs w:val="24"/>
        </w:rPr>
        <w:t xml:space="preserve"> </w:t>
      </w:r>
      <w:r>
        <w:rPr>
          <w:spacing w:val="-4"/>
          <w:sz w:val="24"/>
          <w:szCs w:val="24"/>
        </w:rPr>
        <w:t>属（分布区类型</w:t>
      </w:r>
      <w:r>
        <w:rPr>
          <w:spacing w:val="-43"/>
          <w:sz w:val="24"/>
          <w:szCs w:val="24"/>
        </w:rPr>
        <w:t xml:space="preserve"> </w:t>
      </w:r>
      <w:r>
        <w:rPr>
          <w:rFonts w:ascii="Times New Roman" w:hAnsi="Times New Roman" w:eastAsia="Times New Roman" w:cs="Times New Roman"/>
          <w:spacing w:val="-4"/>
          <w:sz w:val="24"/>
          <w:szCs w:val="24"/>
        </w:rPr>
        <w:t>8</w:t>
      </w:r>
      <w:r>
        <w:rPr>
          <w:spacing w:val="-6"/>
          <w:sz w:val="24"/>
          <w:szCs w:val="24"/>
        </w:rPr>
        <w:t>至</w:t>
      </w:r>
      <w:r>
        <w:rPr>
          <w:spacing w:val="-32"/>
          <w:sz w:val="24"/>
          <w:szCs w:val="24"/>
        </w:rPr>
        <w:t xml:space="preserve"> </w:t>
      </w:r>
      <w:r>
        <w:rPr>
          <w:rFonts w:ascii="Times New Roman" w:hAnsi="Times New Roman" w:eastAsia="Times New Roman" w:cs="Times New Roman"/>
          <w:spacing w:val="-6"/>
          <w:sz w:val="24"/>
          <w:szCs w:val="24"/>
        </w:rPr>
        <w:t>15</w:t>
      </w:r>
      <w:r>
        <w:rPr>
          <w:spacing w:val="-59"/>
          <w:sz w:val="24"/>
          <w:szCs w:val="24"/>
        </w:rPr>
        <w:t>），</w:t>
      </w:r>
      <w:r>
        <w:rPr>
          <w:spacing w:val="-6"/>
          <w:sz w:val="24"/>
          <w:szCs w:val="24"/>
        </w:rPr>
        <w:t>占</w:t>
      </w:r>
      <w:r>
        <w:rPr>
          <w:spacing w:val="-55"/>
          <w:sz w:val="24"/>
          <w:szCs w:val="24"/>
        </w:rPr>
        <w:t xml:space="preserve"> </w:t>
      </w:r>
      <w:r>
        <w:rPr>
          <w:rFonts w:ascii="Times New Roman" w:hAnsi="Times New Roman" w:eastAsia="Times New Roman" w:cs="Times New Roman"/>
          <w:spacing w:val="-6"/>
          <w:sz w:val="24"/>
          <w:szCs w:val="24"/>
        </w:rPr>
        <w:t xml:space="preserve">223 </w:t>
      </w:r>
      <w:r>
        <w:rPr>
          <w:spacing w:val="-6"/>
          <w:sz w:val="24"/>
          <w:szCs w:val="24"/>
        </w:rPr>
        <w:t>属的</w:t>
      </w:r>
      <w:r>
        <w:rPr>
          <w:spacing w:val="-56"/>
          <w:sz w:val="24"/>
          <w:szCs w:val="24"/>
        </w:rPr>
        <w:t xml:space="preserve"> </w:t>
      </w:r>
      <w:r>
        <w:rPr>
          <w:rFonts w:ascii="Times New Roman" w:hAnsi="Times New Roman" w:eastAsia="Times New Roman" w:cs="Times New Roman"/>
          <w:spacing w:val="-6"/>
          <w:sz w:val="24"/>
          <w:szCs w:val="24"/>
        </w:rPr>
        <w:t>45.29%</w:t>
      </w:r>
      <w:r>
        <w:rPr>
          <w:spacing w:val="-6"/>
          <w:sz w:val="24"/>
          <w:szCs w:val="24"/>
        </w:rPr>
        <w:t>。该数字表明，调查区具有突出的热带植物区系性质。</w:t>
      </w:r>
      <w:r>
        <w:rPr>
          <w:spacing w:val="-7"/>
          <w:sz w:val="24"/>
          <w:szCs w:val="24"/>
        </w:rPr>
        <w:t>所有这些属中，以泛热带分布类型最为突出，计</w:t>
      </w:r>
      <w:r>
        <w:rPr>
          <w:spacing w:val="-56"/>
          <w:sz w:val="24"/>
          <w:szCs w:val="24"/>
        </w:rPr>
        <w:t xml:space="preserve"> </w:t>
      </w:r>
      <w:r>
        <w:rPr>
          <w:rFonts w:ascii="Times New Roman" w:hAnsi="Times New Roman" w:eastAsia="Times New Roman" w:cs="Times New Roman"/>
          <w:spacing w:val="-7"/>
          <w:sz w:val="24"/>
          <w:szCs w:val="24"/>
        </w:rPr>
        <w:t xml:space="preserve">49 </w:t>
      </w:r>
      <w:r>
        <w:rPr>
          <w:spacing w:val="-7"/>
          <w:sz w:val="24"/>
          <w:szCs w:val="24"/>
        </w:rPr>
        <w:t>属，占调查区总属数的</w:t>
      </w:r>
      <w:r>
        <w:rPr>
          <w:rFonts w:ascii="Times New Roman" w:hAnsi="Times New Roman" w:eastAsia="Times New Roman" w:cs="Times New Roman"/>
          <w:spacing w:val="-7"/>
          <w:sz w:val="24"/>
          <w:szCs w:val="24"/>
        </w:rPr>
        <w:t>21.9</w:t>
      </w:r>
      <w:r>
        <w:rPr>
          <w:rFonts w:ascii="Times New Roman" w:hAnsi="Times New Roman" w:eastAsia="Times New Roman" w:cs="Times New Roman"/>
          <w:spacing w:val="-8"/>
          <w:sz w:val="24"/>
          <w:szCs w:val="24"/>
        </w:rPr>
        <w:t>7%</w:t>
      </w:r>
      <w:r>
        <w:rPr>
          <w:spacing w:val="-8"/>
          <w:sz w:val="24"/>
          <w:szCs w:val="24"/>
        </w:rPr>
        <w:t>；</w:t>
      </w:r>
      <w:r>
        <w:rPr>
          <w:spacing w:val="-3"/>
          <w:sz w:val="24"/>
          <w:szCs w:val="24"/>
        </w:rPr>
        <w:t>其次为北温带分布的属，计</w:t>
      </w:r>
      <w:r>
        <w:rPr>
          <w:spacing w:val="-56"/>
          <w:sz w:val="24"/>
          <w:szCs w:val="24"/>
        </w:rPr>
        <w:t xml:space="preserve"> </w:t>
      </w:r>
      <w:r>
        <w:rPr>
          <w:rFonts w:ascii="Times New Roman" w:hAnsi="Times New Roman" w:eastAsia="Times New Roman" w:cs="Times New Roman"/>
          <w:spacing w:val="-3"/>
          <w:sz w:val="24"/>
          <w:szCs w:val="24"/>
        </w:rPr>
        <w:t xml:space="preserve">44 </w:t>
      </w:r>
      <w:r>
        <w:rPr>
          <w:spacing w:val="-3"/>
          <w:sz w:val="24"/>
          <w:szCs w:val="24"/>
        </w:rPr>
        <w:t>属，占调查区</w:t>
      </w:r>
      <w:r>
        <w:rPr>
          <w:spacing w:val="-4"/>
          <w:sz w:val="24"/>
          <w:szCs w:val="24"/>
        </w:rPr>
        <w:t>总属数的</w:t>
      </w:r>
      <w:r>
        <w:rPr>
          <w:spacing w:val="-32"/>
          <w:sz w:val="24"/>
          <w:szCs w:val="24"/>
        </w:rPr>
        <w:t xml:space="preserve"> </w:t>
      </w:r>
      <w:r>
        <w:rPr>
          <w:rFonts w:ascii="Times New Roman" w:hAnsi="Times New Roman" w:eastAsia="Times New Roman" w:cs="Times New Roman"/>
          <w:spacing w:val="-4"/>
          <w:sz w:val="24"/>
          <w:szCs w:val="24"/>
        </w:rPr>
        <w:t>19.73%</w:t>
      </w:r>
      <w:r>
        <w:rPr>
          <w:spacing w:val="-4"/>
          <w:sz w:val="24"/>
          <w:szCs w:val="24"/>
        </w:rPr>
        <w:t>。表明调查区的植物区系既倾向于北温带植物区系分布，又与热带植物区系有着密切的联系，</w:t>
      </w:r>
      <w:r>
        <w:rPr>
          <w:spacing w:val="-5"/>
          <w:sz w:val="24"/>
          <w:szCs w:val="24"/>
        </w:rPr>
        <w:t>是热带向</w:t>
      </w:r>
      <w:r>
        <w:rPr>
          <w:spacing w:val="-2"/>
          <w:sz w:val="24"/>
          <w:szCs w:val="24"/>
        </w:rPr>
        <w:t>温带过渡的区域。</w:t>
      </w:r>
    </w:p>
    <w:p w14:paraId="67403599">
      <w:pPr>
        <w:pStyle w:val="2"/>
        <w:spacing w:before="17" w:line="226"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6.1-7              </w:t>
      </w:r>
      <w:r>
        <w:rPr>
          <w:b/>
          <w:bCs/>
          <w:spacing w:val="-1"/>
          <w:sz w:val="24"/>
          <w:szCs w:val="24"/>
        </w:rPr>
        <w:t>车马碧水库工程调查区</w:t>
      </w:r>
      <w:r>
        <w:rPr>
          <w:b/>
          <w:bCs/>
          <w:spacing w:val="-2"/>
          <w:sz w:val="24"/>
          <w:szCs w:val="24"/>
        </w:rPr>
        <w:t>野生种子植物属的分布区类型</w:t>
      </w:r>
    </w:p>
    <w:tbl>
      <w:tblPr>
        <w:tblStyle w:val="5"/>
        <w:tblW w:w="8471" w:type="dxa"/>
        <w:tblInd w:w="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0"/>
        <w:gridCol w:w="1266"/>
        <w:gridCol w:w="1266"/>
        <w:gridCol w:w="1268"/>
        <w:gridCol w:w="1281"/>
      </w:tblGrid>
      <w:tr w14:paraId="0B712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3390" w:type="dxa"/>
            <w:vMerge w:val="restart"/>
            <w:tcBorders>
              <w:top w:val="single" w:color="000000" w:sz="12" w:space="0"/>
              <w:left w:val="single" w:color="000000" w:sz="12" w:space="0"/>
              <w:bottom w:val="nil"/>
            </w:tcBorders>
            <w:vAlign w:val="top"/>
          </w:tcPr>
          <w:p w14:paraId="7B67FAD3">
            <w:pPr>
              <w:spacing w:before="118" w:line="220" w:lineRule="auto"/>
              <w:ind w:left="1265"/>
              <w:rPr>
                <w:rFonts w:ascii="宋体" w:hAnsi="宋体" w:eastAsia="宋体" w:cs="宋体"/>
                <w:sz w:val="21"/>
                <w:szCs w:val="21"/>
              </w:rPr>
            </w:pPr>
            <w:r>
              <w:rPr>
                <w:rFonts w:ascii="宋体" w:hAnsi="宋体" w:eastAsia="宋体" w:cs="宋体"/>
                <w:spacing w:val="-2"/>
                <w:sz w:val="21"/>
                <w:szCs w:val="21"/>
              </w:rPr>
              <w:t>地理成分</w:t>
            </w:r>
          </w:p>
          <w:p w14:paraId="5093EAA8">
            <w:pPr>
              <w:pStyle w:val="6"/>
              <w:spacing w:before="21" w:line="233" w:lineRule="auto"/>
              <w:ind w:left="641"/>
              <w:rPr>
                <w:rFonts w:ascii="宋体" w:hAnsi="宋体" w:eastAsia="宋体" w:cs="宋体"/>
              </w:rPr>
            </w:pPr>
            <w:r>
              <w:rPr>
                <w:rFonts w:ascii="宋体" w:hAnsi="宋体" w:eastAsia="宋体" w:cs="宋体"/>
                <w:spacing w:val="-6"/>
              </w:rPr>
              <w:t>（根据吴征镒，</w:t>
            </w:r>
            <w:r>
              <w:rPr>
                <w:rFonts w:ascii="宋体" w:hAnsi="宋体" w:eastAsia="宋体" w:cs="宋体"/>
                <w:spacing w:val="-48"/>
              </w:rPr>
              <w:t xml:space="preserve"> </w:t>
            </w:r>
            <w:r>
              <w:rPr>
                <w:spacing w:val="-6"/>
              </w:rPr>
              <w:t>1991</w:t>
            </w:r>
            <w:r>
              <w:rPr>
                <w:rFonts w:ascii="宋体" w:hAnsi="宋体" w:eastAsia="宋体" w:cs="宋体"/>
                <w:spacing w:val="-6"/>
              </w:rPr>
              <w:t>）</w:t>
            </w:r>
          </w:p>
        </w:tc>
        <w:tc>
          <w:tcPr>
            <w:tcW w:w="2532" w:type="dxa"/>
            <w:gridSpan w:val="2"/>
            <w:tcBorders>
              <w:top w:val="single" w:color="000000" w:sz="12" w:space="0"/>
            </w:tcBorders>
            <w:vAlign w:val="top"/>
          </w:tcPr>
          <w:p w14:paraId="56E69485">
            <w:pPr>
              <w:pStyle w:val="6"/>
              <w:spacing w:before="70" w:line="233" w:lineRule="auto"/>
              <w:ind w:left="404"/>
              <w:rPr>
                <w:rFonts w:ascii="宋体" w:hAnsi="宋体" w:eastAsia="宋体" w:cs="宋体"/>
              </w:rPr>
            </w:pPr>
            <w:r>
              <w:rPr>
                <w:rFonts w:ascii="宋体" w:hAnsi="宋体" w:eastAsia="宋体" w:cs="宋体"/>
                <w:spacing w:val="-1"/>
              </w:rPr>
              <w:t>环评期（</w:t>
            </w:r>
            <w:r>
              <w:rPr>
                <w:spacing w:val="-1"/>
              </w:rPr>
              <w:t xml:space="preserve">2016 </w:t>
            </w:r>
            <w:r>
              <w:rPr>
                <w:rFonts w:ascii="宋体" w:hAnsi="宋体" w:eastAsia="宋体" w:cs="宋体"/>
                <w:spacing w:val="-1"/>
              </w:rPr>
              <w:t>年）</w:t>
            </w:r>
          </w:p>
        </w:tc>
        <w:tc>
          <w:tcPr>
            <w:tcW w:w="2549" w:type="dxa"/>
            <w:gridSpan w:val="2"/>
            <w:tcBorders>
              <w:top w:val="single" w:color="000000" w:sz="12" w:space="0"/>
              <w:right w:val="single" w:color="000000" w:sz="12" w:space="0"/>
            </w:tcBorders>
            <w:vAlign w:val="top"/>
          </w:tcPr>
          <w:p w14:paraId="24B9A57C">
            <w:pPr>
              <w:pStyle w:val="6"/>
              <w:spacing w:before="70" w:line="233" w:lineRule="auto"/>
              <w:ind w:left="414"/>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r>
      <w:tr w14:paraId="468E4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vMerge w:val="continue"/>
            <w:tcBorders>
              <w:top w:val="nil"/>
              <w:left w:val="single" w:color="000000" w:sz="12" w:space="0"/>
            </w:tcBorders>
            <w:vAlign w:val="top"/>
          </w:tcPr>
          <w:p w14:paraId="57CE262C">
            <w:pPr>
              <w:rPr>
                <w:rFonts w:ascii="Arial"/>
                <w:sz w:val="21"/>
              </w:rPr>
            </w:pPr>
          </w:p>
        </w:tc>
        <w:tc>
          <w:tcPr>
            <w:tcW w:w="1266" w:type="dxa"/>
            <w:vAlign w:val="top"/>
          </w:tcPr>
          <w:p w14:paraId="1AFED0B8">
            <w:pPr>
              <w:spacing w:before="71" w:line="220" w:lineRule="auto"/>
              <w:ind w:left="112"/>
              <w:rPr>
                <w:rFonts w:ascii="宋体" w:hAnsi="宋体" w:eastAsia="宋体" w:cs="宋体"/>
                <w:sz w:val="21"/>
                <w:szCs w:val="21"/>
              </w:rPr>
            </w:pPr>
            <w:r>
              <w:rPr>
                <w:rFonts w:ascii="宋体" w:hAnsi="宋体" w:eastAsia="宋体" w:cs="宋体"/>
                <w:spacing w:val="-4"/>
                <w:sz w:val="21"/>
                <w:szCs w:val="21"/>
              </w:rPr>
              <w:t>属数（属）</w:t>
            </w:r>
          </w:p>
        </w:tc>
        <w:tc>
          <w:tcPr>
            <w:tcW w:w="1266" w:type="dxa"/>
            <w:vAlign w:val="top"/>
          </w:tcPr>
          <w:p w14:paraId="13A8A185">
            <w:pPr>
              <w:pStyle w:val="6"/>
              <w:spacing w:before="72" w:line="233" w:lineRule="auto"/>
              <w:jc w:val="right"/>
              <w:rPr>
                <w:rFonts w:ascii="宋体" w:hAnsi="宋体" w:eastAsia="宋体" w:cs="宋体"/>
              </w:rPr>
            </w:pPr>
            <w:r>
              <w:rPr>
                <w:rFonts w:ascii="宋体" w:hAnsi="宋体" w:eastAsia="宋体" w:cs="宋体"/>
                <w:spacing w:val="-21"/>
              </w:rPr>
              <w:t>占总数（</w:t>
            </w:r>
            <w:r>
              <w:rPr>
                <w:spacing w:val="-21"/>
              </w:rPr>
              <w:t>%</w:t>
            </w:r>
            <w:r>
              <w:rPr>
                <w:rFonts w:ascii="宋体" w:hAnsi="宋体" w:eastAsia="宋体" w:cs="宋体"/>
                <w:spacing w:val="-21"/>
              </w:rPr>
              <w:t>）</w:t>
            </w:r>
          </w:p>
        </w:tc>
        <w:tc>
          <w:tcPr>
            <w:tcW w:w="1268" w:type="dxa"/>
            <w:vAlign w:val="top"/>
          </w:tcPr>
          <w:p w14:paraId="5E7E05DE">
            <w:pPr>
              <w:spacing w:before="71" w:line="220" w:lineRule="auto"/>
              <w:ind w:left="122"/>
              <w:rPr>
                <w:rFonts w:ascii="宋体" w:hAnsi="宋体" w:eastAsia="宋体" w:cs="宋体"/>
                <w:sz w:val="21"/>
                <w:szCs w:val="21"/>
              </w:rPr>
            </w:pPr>
            <w:r>
              <w:rPr>
                <w:rFonts w:ascii="宋体" w:hAnsi="宋体" w:eastAsia="宋体" w:cs="宋体"/>
                <w:spacing w:val="-4"/>
                <w:sz w:val="21"/>
                <w:szCs w:val="21"/>
              </w:rPr>
              <w:t>属数（属）</w:t>
            </w:r>
          </w:p>
        </w:tc>
        <w:tc>
          <w:tcPr>
            <w:tcW w:w="1281" w:type="dxa"/>
            <w:tcBorders>
              <w:right w:val="single" w:color="000000" w:sz="12" w:space="0"/>
            </w:tcBorders>
            <w:vAlign w:val="top"/>
          </w:tcPr>
          <w:p w14:paraId="0BBA233A">
            <w:pPr>
              <w:pStyle w:val="6"/>
              <w:spacing w:before="72" w:line="233" w:lineRule="auto"/>
              <w:jc w:val="right"/>
              <w:rPr>
                <w:rFonts w:ascii="宋体" w:hAnsi="宋体" w:eastAsia="宋体" w:cs="宋体"/>
              </w:rPr>
            </w:pPr>
            <w:r>
              <w:rPr>
                <w:rFonts w:ascii="宋体" w:hAnsi="宋体" w:eastAsia="宋体" w:cs="宋体"/>
                <w:spacing w:val="-21"/>
              </w:rPr>
              <w:t>占总数（</w:t>
            </w:r>
            <w:r>
              <w:rPr>
                <w:spacing w:val="-21"/>
              </w:rPr>
              <w:t>%</w:t>
            </w:r>
            <w:r>
              <w:rPr>
                <w:rFonts w:ascii="宋体" w:hAnsi="宋体" w:eastAsia="宋体" w:cs="宋体"/>
                <w:spacing w:val="-21"/>
              </w:rPr>
              <w:t>）</w:t>
            </w:r>
          </w:p>
        </w:tc>
      </w:tr>
      <w:tr w14:paraId="1D6D2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3390" w:type="dxa"/>
            <w:tcBorders>
              <w:left w:val="single" w:color="000000" w:sz="12" w:space="0"/>
            </w:tcBorders>
            <w:vAlign w:val="top"/>
          </w:tcPr>
          <w:p w14:paraId="7818A062">
            <w:pPr>
              <w:pStyle w:val="6"/>
              <w:spacing w:before="73" w:line="233" w:lineRule="auto"/>
              <w:ind w:left="116"/>
              <w:rPr>
                <w:rFonts w:ascii="宋体" w:hAnsi="宋体" w:eastAsia="宋体" w:cs="宋体"/>
              </w:rPr>
            </w:pPr>
            <w:r>
              <w:rPr>
                <w:spacing w:val="-6"/>
              </w:rPr>
              <w:t>1.</w:t>
            </w:r>
            <w:r>
              <w:rPr>
                <w:spacing w:val="6"/>
              </w:rPr>
              <w:t xml:space="preserve">  </w:t>
            </w:r>
            <w:r>
              <w:rPr>
                <w:rFonts w:ascii="宋体" w:hAnsi="宋体" w:eastAsia="宋体" w:cs="宋体"/>
                <w:spacing w:val="-6"/>
              </w:rPr>
              <w:t>世界分布</w:t>
            </w:r>
          </w:p>
        </w:tc>
        <w:tc>
          <w:tcPr>
            <w:tcW w:w="1266" w:type="dxa"/>
            <w:vAlign w:val="top"/>
          </w:tcPr>
          <w:p w14:paraId="5ABF912E">
            <w:pPr>
              <w:pStyle w:val="6"/>
              <w:spacing w:before="107" w:line="232" w:lineRule="auto"/>
              <w:ind w:left="531"/>
            </w:pPr>
            <w:r>
              <w:rPr>
                <w:spacing w:val="-3"/>
              </w:rPr>
              <w:t>33</w:t>
            </w:r>
          </w:p>
        </w:tc>
        <w:tc>
          <w:tcPr>
            <w:tcW w:w="1266" w:type="dxa"/>
            <w:vAlign w:val="top"/>
          </w:tcPr>
          <w:p w14:paraId="15EAB06C">
            <w:pPr>
              <w:pStyle w:val="6"/>
              <w:spacing w:before="107" w:line="232" w:lineRule="auto"/>
              <w:ind w:left="420"/>
            </w:pPr>
            <w:r>
              <w:rPr>
                <w:spacing w:val="-5"/>
              </w:rPr>
              <w:t>13.04</w:t>
            </w:r>
          </w:p>
        </w:tc>
        <w:tc>
          <w:tcPr>
            <w:tcW w:w="1268" w:type="dxa"/>
            <w:vAlign w:val="top"/>
          </w:tcPr>
          <w:p w14:paraId="6E74DE7C">
            <w:pPr>
              <w:pStyle w:val="6"/>
              <w:spacing w:before="107" w:line="232" w:lineRule="auto"/>
              <w:ind w:left="541"/>
            </w:pPr>
            <w:r>
              <w:rPr>
                <w:spacing w:val="-3"/>
              </w:rPr>
              <w:t>32</w:t>
            </w:r>
          </w:p>
        </w:tc>
        <w:tc>
          <w:tcPr>
            <w:tcW w:w="1281" w:type="dxa"/>
            <w:tcBorders>
              <w:right w:val="single" w:color="000000" w:sz="12" w:space="0"/>
            </w:tcBorders>
            <w:vAlign w:val="top"/>
          </w:tcPr>
          <w:p w14:paraId="0DE5077E">
            <w:pPr>
              <w:pStyle w:val="6"/>
              <w:spacing w:before="107" w:line="232" w:lineRule="auto"/>
              <w:ind w:left="428"/>
            </w:pPr>
            <w:r>
              <w:rPr>
                <w:spacing w:val="-5"/>
              </w:rPr>
              <w:t>14.35</w:t>
            </w:r>
          </w:p>
        </w:tc>
      </w:tr>
      <w:tr w14:paraId="45859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71565108">
            <w:pPr>
              <w:pStyle w:val="6"/>
              <w:spacing w:before="74" w:line="233" w:lineRule="auto"/>
              <w:ind w:left="96"/>
              <w:rPr>
                <w:rFonts w:ascii="宋体" w:hAnsi="宋体" w:eastAsia="宋体" w:cs="宋体"/>
              </w:rPr>
            </w:pPr>
            <w:r>
              <w:rPr>
                <w:spacing w:val="-1"/>
              </w:rPr>
              <w:t xml:space="preserve">2.  </w:t>
            </w:r>
            <w:r>
              <w:rPr>
                <w:rFonts w:ascii="宋体" w:hAnsi="宋体" w:eastAsia="宋体" w:cs="宋体"/>
                <w:spacing w:val="-1"/>
              </w:rPr>
              <w:t>泛热带分布</w:t>
            </w:r>
          </w:p>
        </w:tc>
        <w:tc>
          <w:tcPr>
            <w:tcW w:w="1266" w:type="dxa"/>
            <w:vAlign w:val="top"/>
          </w:tcPr>
          <w:p w14:paraId="677A05FE">
            <w:pPr>
              <w:pStyle w:val="6"/>
              <w:spacing w:before="109" w:line="232" w:lineRule="auto"/>
              <w:ind w:left="532"/>
            </w:pPr>
            <w:r>
              <w:rPr>
                <w:spacing w:val="-3"/>
              </w:rPr>
              <w:t>51</w:t>
            </w:r>
          </w:p>
        </w:tc>
        <w:tc>
          <w:tcPr>
            <w:tcW w:w="1266" w:type="dxa"/>
            <w:vAlign w:val="top"/>
          </w:tcPr>
          <w:p w14:paraId="3BEC8D2B">
            <w:pPr>
              <w:pStyle w:val="6"/>
              <w:spacing w:before="108" w:line="232" w:lineRule="auto"/>
              <w:ind w:left="400"/>
            </w:pPr>
            <w:r>
              <w:rPr>
                <w:spacing w:val="-1"/>
              </w:rPr>
              <w:t>20.16</w:t>
            </w:r>
          </w:p>
        </w:tc>
        <w:tc>
          <w:tcPr>
            <w:tcW w:w="1268" w:type="dxa"/>
            <w:vAlign w:val="top"/>
          </w:tcPr>
          <w:p w14:paraId="5BF95803">
            <w:pPr>
              <w:pStyle w:val="6"/>
              <w:spacing w:before="108" w:line="232" w:lineRule="auto"/>
              <w:ind w:left="536"/>
            </w:pPr>
            <w:r>
              <w:rPr>
                <w:spacing w:val="-1"/>
              </w:rPr>
              <w:t>49</w:t>
            </w:r>
          </w:p>
        </w:tc>
        <w:tc>
          <w:tcPr>
            <w:tcW w:w="1281" w:type="dxa"/>
            <w:tcBorders>
              <w:right w:val="single" w:color="000000" w:sz="12" w:space="0"/>
            </w:tcBorders>
            <w:vAlign w:val="top"/>
          </w:tcPr>
          <w:p w14:paraId="597173D9">
            <w:pPr>
              <w:pStyle w:val="6"/>
              <w:spacing w:before="108" w:line="232" w:lineRule="auto"/>
              <w:ind w:left="408"/>
            </w:pPr>
            <w:r>
              <w:rPr>
                <w:spacing w:val="-1"/>
              </w:rPr>
              <w:t>21.97</w:t>
            </w:r>
          </w:p>
        </w:tc>
      </w:tr>
      <w:tr w14:paraId="28DBA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tcBorders>
              <w:left w:val="single" w:color="000000" w:sz="12" w:space="0"/>
            </w:tcBorders>
            <w:vAlign w:val="top"/>
          </w:tcPr>
          <w:p w14:paraId="3551A434">
            <w:pPr>
              <w:pStyle w:val="6"/>
              <w:spacing w:before="77" w:line="233" w:lineRule="auto"/>
              <w:ind w:left="101"/>
              <w:rPr>
                <w:rFonts w:ascii="宋体" w:hAnsi="宋体" w:eastAsia="宋体" w:cs="宋体"/>
              </w:rPr>
            </w:pPr>
            <w:r>
              <w:rPr>
                <w:spacing w:val="-1"/>
              </w:rPr>
              <w:t xml:space="preserve">3.  </w:t>
            </w:r>
            <w:r>
              <w:rPr>
                <w:rFonts w:ascii="宋体" w:hAnsi="宋体" w:eastAsia="宋体" w:cs="宋体"/>
                <w:spacing w:val="-1"/>
              </w:rPr>
              <w:t>热带亚洲和热带美洲间断分布</w:t>
            </w:r>
          </w:p>
        </w:tc>
        <w:tc>
          <w:tcPr>
            <w:tcW w:w="1266" w:type="dxa"/>
            <w:vAlign w:val="top"/>
          </w:tcPr>
          <w:p w14:paraId="171FF8B3">
            <w:pPr>
              <w:pStyle w:val="6"/>
              <w:spacing w:before="111" w:line="232" w:lineRule="auto"/>
              <w:ind w:left="584"/>
            </w:pPr>
            <w:r>
              <w:t>9</w:t>
            </w:r>
          </w:p>
        </w:tc>
        <w:tc>
          <w:tcPr>
            <w:tcW w:w="1266" w:type="dxa"/>
            <w:vAlign w:val="top"/>
          </w:tcPr>
          <w:p w14:paraId="1D18BD62">
            <w:pPr>
              <w:pStyle w:val="6"/>
              <w:spacing w:before="111" w:line="232" w:lineRule="auto"/>
              <w:ind w:left="457"/>
            </w:pPr>
            <w:r>
              <w:rPr>
                <w:spacing w:val="-2"/>
              </w:rPr>
              <w:t>3.56</w:t>
            </w:r>
          </w:p>
        </w:tc>
        <w:tc>
          <w:tcPr>
            <w:tcW w:w="1268" w:type="dxa"/>
            <w:vAlign w:val="top"/>
          </w:tcPr>
          <w:p w14:paraId="5F3F2660">
            <w:pPr>
              <w:pStyle w:val="6"/>
              <w:spacing w:before="111" w:line="232" w:lineRule="auto"/>
              <w:ind w:left="594"/>
            </w:pPr>
            <w:r>
              <w:t>6</w:t>
            </w:r>
          </w:p>
        </w:tc>
        <w:tc>
          <w:tcPr>
            <w:tcW w:w="1281" w:type="dxa"/>
            <w:tcBorders>
              <w:right w:val="single" w:color="000000" w:sz="12" w:space="0"/>
            </w:tcBorders>
            <w:vAlign w:val="top"/>
          </w:tcPr>
          <w:p w14:paraId="30B158F9">
            <w:pPr>
              <w:pStyle w:val="6"/>
              <w:spacing w:before="111" w:line="232" w:lineRule="auto"/>
              <w:ind w:left="460"/>
            </w:pPr>
            <w:r>
              <w:rPr>
                <w:spacing w:val="-1"/>
              </w:rPr>
              <w:t>2.69</w:t>
            </w:r>
          </w:p>
        </w:tc>
      </w:tr>
      <w:tr w14:paraId="70A12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63360B80">
            <w:pPr>
              <w:pStyle w:val="6"/>
              <w:spacing w:before="81" w:line="231" w:lineRule="auto"/>
              <w:ind w:left="95"/>
              <w:rPr>
                <w:rFonts w:ascii="宋体" w:hAnsi="宋体" w:eastAsia="宋体" w:cs="宋体"/>
              </w:rPr>
            </w:pPr>
            <w:r>
              <w:rPr>
                <w:spacing w:val="-5"/>
              </w:rPr>
              <w:t>4.</w:t>
            </w:r>
            <w:r>
              <w:rPr>
                <w:spacing w:val="20"/>
                <w:w w:val="101"/>
              </w:rPr>
              <w:t xml:space="preserve">  </w:t>
            </w:r>
            <w:r>
              <w:rPr>
                <w:rFonts w:ascii="宋体" w:hAnsi="宋体" w:eastAsia="宋体" w:cs="宋体"/>
                <w:spacing w:val="-5"/>
              </w:rPr>
              <w:t>旧世界热带分布</w:t>
            </w:r>
          </w:p>
        </w:tc>
        <w:tc>
          <w:tcPr>
            <w:tcW w:w="1266" w:type="dxa"/>
            <w:vAlign w:val="top"/>
          </w:tcPr>
          <w:p w14:paraId="46CAE089">
            <w:pPr>
              <w:pStyle w:val="6"/>
              <w:spacing w:before="113" w:line="229" w:lineRule="auto"/>
              <w:ind w:left="547"/>
            </w:pPr>
            <w:r>
              <w:rPr>
                <w:spacing w:val="-6"/>
              </w:rPr>
              <w:t>11</w:t>
            </w:r>
          </w:p>
        </w:tc>
        <w:tc>
          <w:tcPr>
            <w:tcW w:w="1266" w:type="dxa"/>
            <w:vAlign w:val="top"/>
          </w:tcPr>
          <w:p w14:paraId="41C3A5B9">
            <w:pPr>
              <w:pStyle w:val="6"/>
              <w:spacing w:before="113" w:line="229" w:lineRule="auto"/>
              <w:ind w:left="451"/>
            </w:pPr>
            <w:r>
              <w:rPr>
                <w:spacing w:val="-1"/>
              </w:rPr>
              <w:t>4.35</w:t>
            </w:r>
          </w:p>
        </w:tc>
        <w:tc>
          <w:tcPr>
            <w:tcW w:w="1268" w:type="dxa"/>
            <w:vAlign w:val="top"/>
          </w:tcPr>
          <w:p w14:paraId="2A526FED">
            <w:pPr>
              <w:pStyle w:val="6"/>
              <w:spacing w:before="113" w:line="229" w:lineRule="auto"/>
              <w:ind w:left="557"/>
            </w:pPr>
            <w:r>
              <w:rPr>
                <w:spacing w:val="-6"/>
              </w:rPr>
              <w:t>10</w:t>
            </w:r>
          </w:p>
        </w:tc>
        <w:tc>
          <w:tcPr>
            <w:tcW w:w="1281" w:type="dxa"/>
            <w:tcBorders>
              <w:right w:val="single" w:color="000000" w:sz="12" w:space="0"/>
            </w:tcBorders>
            <w:vAlign w:val="top"/>
          </w:tcPr>
          <w:p w14:paraId="5E087A42">
            <w:pPr>
              <w:pStyle w:val="6"/>
              <w:spacing w:before="113" w:line="229" w:lineRule="auto"/>
              <w:ind w:left="459"/>
            </w:pPr>
            <w:r>
              <w:rPr>
                <w:spacing w:val="-1"/>
              </w:rPr>
              <w:t>4.48</w:t>
            </w:r>
          </w:p>
        </w:tc>
      </w:tr>
      <w:tr w14:paraId="10C4D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27130AD2">
            <w:pPr>
              <w:pStyle w:val="6"/>
              <w:spacing w:before="84" w:line="228" w:lineRule="auto"/>
              <w:ind w:left="102"/>
              <w:rPr>
                <w:rFonts w:ascii="宋体" w:hAnsi="宋体" w:eastAsia="宋体" w:cs="宋体"/>
              </w:rPr>
            </w:pPr>
            <w:r>
              <w:rPr>
                <w:spacing w:val="-1"/>
              </w:rPr>
              <w:t xml:space="preserve">5.  </w:t>
            </w:r>
            <w:r>
              <w:rPr>
                <w:rFonts w:ascii="宋体" w:hAnsi="宋体" w:eastAsia="宋体" w:cs="宋体"/>
                <w:spacing w:val="-1"/>
              </w:rPr>
              <w:t>热带亚洲和热带大洋洲分布</w:t>
            </w:r>
          </w:p>
        </w:tc>
        <w:tc>
          <w:tcPr>
            <w:tcW w:w="1266" w:type="dxa"/>
            <w:vAlign w:val="top"/>
          </w:tcPr>
          <w:p w14:paraId="7B0B994F">
            <w:pPr>
              <w:pStyle w:val="6"/>
              <w:spacing w:before="118" w:line="224" w:lineRule="auto"/>
              <w:ind w:left="584"/>
            </w:pPr>
            <w:r>
              <w:t>6</w:t>
            </w:r>
          </w:p>
        </w:tc>
        <w:tc>
          <w:tcPr>
            <w:tcW w:w="1266" w:type="dxa"/>
            <w:vAlign w:val="top"/>
          </w:tcPr>
          <w:p w14:paraId="24421648">
            <w:pPr>
              <w:pStyle w:val="6"/>
              <w:spacing w:before="118" w:line="224" w:lineRule="auto"/>
              <w:ind w:left="452"/>
            </w:pPr>
            <w:r>
              <w:rPr>
                <w:spacing w:val="-1"/>
              </w:rPr>
              <w:t>2.37</w:t>
            </w:r>
          </w:p>
        </w:tc>
        <w:tc>
          <w:tcPr>
            <w:tcW w:w="1268" w:type="dxa"/>
            <w:vAlign w:val="top"/>
          </w:tcPr>
          <w:p w14:paraId="6519A178">
            <w:pPr>
              <w:pStyle w:val="6"/>
              <w:spacing w:before="118" w:line="224" w:lineRule="auto"/>
              <w:ind w:left="594"/>
            </w:pPr>
            <w:r>
              <w:t>3</w:t>
            </w:r>
          </w:p>
        </w:tc>
        <w:tc>
          <w:tcPr>
            <w:tcW w:w="1281" w:type="dxa"/>
            <w:tcBorders>
              <w:right w:val="single" w:color="000000" w:sz="12" w:space="0"/>
            </w:tcBorders>
            <w:vAlign w:val="top"/>
          </w:tcPr>
          <w:p w14:paraId="078EAFF0">
            <w:pPr>
              <w:pStyle w:val="6"/>
              <w:spacing w:before="118" w:line="224" w:lineRule="auto"/>
              <w:ind w:left="480"/>
            </w:pPr>
            <w:r>
              <w:rPr>
                <w:spacing w:val="-6"/>
              </w:rPr>
              <w:t>1.35</w:t>
            </w:r>
          </w:p>
        </w:tc>
      </w:tr>
      <w:tr w14:paraId="5138D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tcBorders>
              <w:left w:val="single" w:color="000000" w:sz="12" w:space="0"/>
            </w:tcBorders>
            <w:vAlign w:val="top"/>
          </w:tcPr>
          <w:p w14:paraId="06CD50C7">
            <w:pPr>
              <w:pStyle w:val="6"/>
              <w:spacing w:before="87" w:line="226" w:lineRule="auto"/>
              <w:ind w:left="101"/>
              <w:rPr>
                <w:rFonts w:ascii="宋体" w:hAnsi="宋体" w:eastAsia="宋体" w:cs="宋体"/>
              </w:rPr>
            </w:pPr>
            <w:r>
              <w:rPr>
                <w:spacing w:val="-1"/>
              </w:rPr>
              <w:t xml:space="preserve">6.  </w:t>
            </w:r>
            <w:r>
              <w:rPr>
                <w:rFonts w:ascii="宋体" w:hAnsi="宋体" w:eastAsia="宋体" w:cs="宋体"/>
                <w:spacing w:val="-1"/>
              </w:rPr>
              <w:t>热带亚洲和热带非洲分布</w:t>
            </w:r>
          </w:p>
        </w:tc>
        <w:tc>
          <w:tcPr>
            <w:tcW w:w="1266" w:type="dxa"/>
            <w:vAlign w:val="top"/>
          </w:tcPr>
          <w:p w14:paraId="373C5E92">
            <w:pPr>
              <w:pStyle w:val="6"/>
              <w:spacing w:before="121" w:line="222" w:lineRule="auto"/>
              <w:ind w:left="547"/>
            </w:pPr>
            <w:r>
              <w:rPr>
                <w:spacing w:val="-6"/>
              </w:rPr>
              <w:t>15</w:t>
            </w:r>
          </w:p>
        </w:tc>
        <w:tc>
          <w:tcPr>
            <w:tcW w:w="1266" w:type="dxa"/>
            <w:vAlign w:val="top"/>
          </w:tcPr>
          <w:p w14:paraId="74CB38AB">
            <w:pPr>
              <w:pStyle w:val="6"/>
              <w:spacing w:before="121" w:line="222" w:lineRule="auto"/>
              <w:ind w:left="458"/>
            </w:pPr>
            <w:r>
              <w:rPr>
                <w:spacing w:val="-3"/>
              </w:rPr>
              <w:t>5.93</w:t>
            </w:r>
          </w:p>
        </w:tc>
        <w:tc>
          <w:tcPr>
            <w:tcW w:w="1268" w:type="dxa"/>
            <w:vAlign w:val="top"/>
          </w:tcPr>
          <w:p w14:paraId="5EAA9C40">
            <w:pPr>
              <w:pStyle w:val="6"/>
              <w:spacing w:before="121" w:line="222" w:lineRule="auto"/>
              <w:ind w:left="598"/>
            </w:pPr>
            <w:r>
              <w:t>8</w:t>
            </w:r>
          </w:p>
        </w:tc>
        <w:tc>
          <w:tcPr>
            <w:tcW w:w="1281" w:type="dxa"/>
            <w:tcBorders>
              <w:right w:val="single" w:color="000000" w:sz="12" w:space="0"/>
            </w:tcBorders>
            <w:vAlign w:val="top"/>
          </w:tcPr>
          <w:p w14:paraId="6CB0CAF4">
            <w:pPr>
              <w:pStyle w:val="6"/>
              <w:spacing w:before="121" w:line="222" w:lineRule="auto"/>
              <w:ind w:left="465"/>
            </w:pPr>
            <w:r>
              <w:rPr>
                <w:spacing w:val="-2"/>
              </w:rPr>
              <w:t>3.59</w:t>
            </w:r>
          </w:p>
        </w:tc>
      </w:tr>
      <w:tr w14:paraId="0843C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5864183E">
            <w:pPr>
              <w:pStyle w:val="6"/>
              <w:spacing w:before="90" w:line="223" w:lineRule="auto"/>
              <w:ind w:left="100"/>
              <w:rPr>
                <w:rFonts w:ascii="宋体" w:hAnsi="宋体" w:eastAsia="宋体" w:cs="宋体"/>
              </w:rPr>
            </w:pPr>
            <w:r>
              <w:rPr>
                <w:spacing w:val="-3"/>
              </w:rPr>
              <w:t>7.</w:t>
            </w:r>
            <w:r>
              <w:rPr>
                <w:spacing w:val="8"/>
              </w:rPr>
              <w:t xml:space="preserve">  </w:t>
            </w:r>
            <w:r>
              <w:rPr>
                <w:rFonts w:ascii="宋体" w:hAnsi="宋体" w:eastAsia="宋体" w:cs="宋体"/>
                <w:spacing w:val="-3"/>
              </w:rPr>
              <w:t>热带亚洲分布</w:t>
            </w:r>
          </w:p>
        </w:tc>
        <w:tc>
          <w:tcPr>
            <w:tcW w:w="1266" w:type="dxa"/>
            <w:vAlign w:val="top"/>
          </w:tcPr>
          <w:p w14:paraId="10DAAD99">
            <w:pPr>
              <w:pStyle w:val="6"/>
              <w:spacing w:before="124" w:line="218" w:lineRule="auto"/>
              <w:ind w:left="547"/>
            </w:pPr>
            <w:r>
              <w:rPr>
                <w:spacing w:val="-6"/>
              </w:rPr>
              <w:t>12</w:t>
            </w:r>
          </w:p>
        </w:tc>
        <w:tc>
          <w:tcPr>
            <w:tcW w:w="1266" w:type="dxa"/>
            <w:vAlign w:val="top"/>
          </w:tcPr>
          <w:p w14:paraId="531FC70F">
            <w:pPr>
              <w:pStyle w:val="6"/>
              <w:spacing w:before="124" w:line="218" w:lineRule="auto"/>
              <w:ind w:left="451"/>
            </w:pPr>
            <w:r>
              <w:rPr>
                <w:spacing w:val="-1"/>
              </w:rPr>
              <w:t>4.74</w:t>
            </w:r>
          </w:p>
        </w:tc>
        <w:tc>
          <w:tcPr>
            <w:tcW w:w="1268" w:type="dxa"/>
            <w:vAlign w:val="top"/>
          </w:tcPr>
          <w:p w14:paraId="456D12BC">
            <w:pPr>
              <w:pStyle w:val="6"/>
              <w:spacing w:before="124" w:line="218" w:lineRule="auto"/>
              <w:ind w:left="557"/>
            </w:pPr>
            <w:r>
              <w:rPr>
                <w:spacing w:val="-6"/>
              </w:rPr>
              <w:t>14</w:t>
            </w:r>
          </w:p>
        </w:tc>
        <w:tc>
          <w:tcPr>
            <w:tcW w:w="1281" w:type="dxa"/>
            <w:tcBorders>
              <w:right w:val="single" w:color="000000" w:sz="12" w:space="0"/>
            </w:tcBorders>
            <w:vAlign w:val="top"/>
          </w:tcPr>
          <w:p w14:paraId="53D821FB">
            <w:pPr>
              <w:pStyle w:val="6"/>
              <w:spacing w:before="124" w:line="218" w:lineRule="auto"/>
              <w:ind w:left="465"/>
            </w:pPr>
            <w:r>
              <w:rPr>
                <w:spacing w:val="-3"/>
              </w:rPr>
              <w:t>6.28</w:t>
            </w:r>
          </w:p>
        </w:tc>
      </w:tr>
      <w:tr w14:paraId="3A90F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tcBorders>
              <w:left w:val="single" w:color="000000" w:sz="12" w:space="0"/>
            </w:tcBorders>
            <w:vAlign w:val="top"/>
          </w:tcPr>
          <w:p w14:paraId="369180B1">
            <w:pPr>
              <w:pStyle w:val="6"/>
              <w:spacing w:before="93" w:line="221" w:lineRule="auto"/>
              <w:ind w:left="105"/>
              <w:rPr>
                <w:rFonts w:ascii="宋体" w:hAnsi="宋体" w:eastAsia="宋体" w:cs="宋体"/>
              </w:rPr>
            </w:pPr>
            <w:r>
              <w:rPr>
                <w:spacing w:val="-4"/>
              </w:rPr>
              <w:t>8.</w:t>
            </w:r>
            <w:r>
              <w:rPr>
                <w:spacing w:val="7"/>
              </w:rPr>
              <w:t xml:space="preserve">  </w:t>
            </w:r>
            <w:r>
              <w:rPr>
                <w:rFonts w:ascii="宋体" w:hAnsi="宋体" w:eastAsia="宋体" w:cs="宋体"/>
                <w:spacing w:val="-4"/>
              </w:rPr>
              <w:t>北温带分布</w:t>
            </w:r>
          </w:p>
        </w:tc>
        <w:tc>
          <w:tcPr>
            <w:tcW w:w="1266" w:type="dxa"/>
            <w:vAlign w:val="top"/>
          </w:tcPr>
          <w:p w14:paraId="6F94A83A">
            <w:pPr>
              <w:pStyle w:val="6"/>
              <w:spacing w:before="127" w:line="216" w:lineRule="auto"/>
              <w:ind w:left="532"/>
            </w:pPr>
            <w:r>
              <w:rPr>
                <w:spacing w:val="-3"/>
              </w:rPr>
              <w:t>58</w:t>
            </w:r>
          </w:p>
        </w:tc>
        <w:tc>
          <w:tcPr>
            <w:tcW w:w="1266" w:type="dxa"/>
            <w:vAlign w:val="top"/>
          </w:tcPr>
          <w:p w14:paraId="745A86A8">
            <w:pPr>
              <w:pStyle w:val="6"/>
              <w:spacing w:before="127" w:line="216" w:lineRule="auto"/>
              <w:ind w:left="400"/>
            </w:pPr>
            <w:r>
              <w:rPr>
                <w:spacing w:val="-1"/>
              </w:rPr>
              <w:t>22.92</w:t>
            </w:r>
          </w:p>
        </w:tc>
        <w:tc>
          <w:tcPr>
            <w:tcW w:w="1268" w:type="dxa"/>
            <w:vAlign w:val="top"/>
          </w:tcPr>
          <w:p w14:paraId="4A6B636E">
            <w:pPr>
              <w:pStyle w:val="6"/>
              <w:spacing w:before="127" w:line="216" w:lineRule="auto"/>
              <w:ind w:left="536"/>
            </w:pPr>
            <w:r>
              <w:rPr>
                <w:spacing w:val="-1"/>
              </w:rPr>
              <w:t>44</w:t>
            </w:r>
          </w:p>
        </w:tc>
        <w:tc>
          <w:tcPr>
            <w:tcW w:w="1281" w:type="dxa"/>
            <w:tcBorders>
              <w:right w:val="single" w:color="000000" w:sz="12" w:space="0"/>
            </w:tcBorders>
            <w:vAlign w:val="top"/>
          </w:tcPr>
          <w:p w14:paraId="31011B8B">
            <w:pPr>
              <w:pStyle w:val="6"/>
              <w:spacing w:before="127" w:line="216" w:lineRule="auto"/>
              <w:ind w:left="428"/>
            </w:pPr>
            <w:r>
              <w:rPr>
                <w:spacing w:val="-5"/>
              </w:rPr>
              <w:t>19.73</w:t>
            </w:r>
          </w:p>
        </w:tc>
      </w:tr>
      <w:tr w14:paraId="3A947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3390" w:type="dxa"/>
            <w:tcBorders>
              <w:left w:val="single" w:color="000000" w:sz="12" w:space="0"/>
              <w:bottom w:val="single" w:color="000000" w:sz="12" w:space="0"/>
            </w:tcBorders>
            <w:vAlign w:val="top"/>
          </w:tcPr>
          <w:p w14:paraId="42FE93D3">
            <w:pPr>
              <w:pStyle w:val="6"/>
              <w:spacing w:before="95" w:line="233" w:lineRule="auto"/>
              <w:ind w:left="100"/>
              <w:rPr>
                <w:rFonts w:ascii="宋体" w:hAnsi="宋体" w:eastAsia="宋体" w:cs="宋体"/>
              </w:rPr>
            </w:pPr>
            <w:r>
              <w:rPr>
                <w:spacing w:val="-1"/>
              </w:rPr>
              <w:t xml:space="preserve">9.  </w:t>
            </w:r>
            <w:r>
              <w:rPr>
                <w:rFonts w:ascii="宋体" w:hAnsi="宋体" w:eastAsia="宋体" w:cs="宋体"/>
                <w:spacing w:val="-1"/>
              </w:rPr>
              <w:t>东亚和北美间断分布</w:t>
            </w:r>
          </w:p>
        </w:tc>
        <w:tc>
          <w:tcPr>
            <w:tcW w:w="1266" w:type="dxa"/>
            <w:tcBorders>
              <w:bottom w:val="single" w:color="000000" w:sz="12" w:space="0"/>
            </w:tcBorders>
            <w:vAlign w:val="top"/>
          </w:tcPr>
          <w:p w14:paraId="060EF128">
            <w:pPr>
              <w:pStyle w:val="6"/>
              <w:spacing w:before="130" w:line="232" w:lineRule="auto"/>
              <w:ind w:left="547"/>
            </w:pPr>
            <w:r>
              <w:rPr>
                <w:spacing w:val="-6"/>
              </w:rPr>
              <w:t>16</w:t>
            </w:r>
          </w:p>
        </w:tc>
        <w:tc>
          <w:tcPr>
            <w:tcW w:w="1266" w:type="dxa"/>
            <w:tcBorders>
              <w:bottom w:val="single" w:color="000000" w:sz="12" w:space="0"/>
            </w:tcBorders>
            <w:vAlign w:val="top"/>
          </w:tcPr>
          <w:p w14:paraId="3175B209">
            <w:pPr>
              <w:pStyle w:val="6"/>
              <w:spacing w:before="129" w:line="232" w:lineRule="auto"/>
              <w:ind w:left="457"/>
            </w:pPr>
            <w:r>
              <w:rPr>
                <w:spacing w:val="-3"/>
              </w:rPr>
              <w:t>6.32</w:t>
            </w:r>
          </w:p>
        </w:tc>
        <w:tc>
          <w:tcPr>
            <w:tcW w:w="1268" w:type="dxa"/>
            <w:tcBorders>
              <w:bottom w:val="single" w:color="000000" w:sz="12" w:space="0"/>
            </w:tcBorders>
            <w:vAlign w:val="top"/>
          </w:tcPr>
          <w:p w14:paraId="28642D4A">
            <w:pPr>
              <w:pStyle w:val="6"/>
              <w:spacing w:before="130" w:line="232" w:lineRule="auto"/>
              <w:ind w:left="557"/>
            </w:pPr>
            <w:r>
              <w:rPr>
                <w:spacing w:val="-6"/>
              </w:rPr>
              <w:t>15</w:t>
            </w:r>
          </w:p>
        </w:tc>
        <w:tc>
          <w:tcPr>
            <w:tcW w:w="1281" w:type="dxa"/>
            <w:tcBorders>
              <w:bottom w:val="single" w:color="000000" w:sz="12" w:space="0"/>
              <w:right w:val="single" w:color="000000" w:sz="12" w:space="0"/>
            </w:tcBorders>
            <w:vAlign w:val="top"/>
          </w:tcPr>
          <w:p w14:paraId="5306681F">
            <w:pPr>
              <w:pStyle w:val="6"/>
              <w:spacing w:before="129" w:line="232" w:lineRule="auto"/>
              <w:ind w:left="465"/>
            </w:pPr>
            <w:r>
              <w:rPr>
                <w:spacing w:val="-3"/>
              </w:rPr>
              <w:t>6.73</w:t>
            </w:r>
          </w:p>
        </w:tc>
      </w:tr>
    </w:tbl>
    <w:p w14:paraId="0E187B8F">
      <w:pPr>
        <w:rPr>
          <w:rFonts w:ascii="Arial"/>
          <w:sz w:val="21"/>
        </w:rPr>
      </w:pPr>
    </w:p>
    <w:p w14:paraId="57615D9A">
      <w:pPr>
        <w:rPr>
          <w:rFonts w:ascii="Arial" w:hAnsi="Arial" w:eastAsia="Arial" w:cs="Arial"/>
          <w:sz w:val="21"/>
          <w:szCs w:val="21"/>
        </w:rPr>
        <w:sectPr>
          <w:headerReference r:id="rId159" w:type="default"/>
          <w:footerReference r:id="rId160" w:type="default"/>
          <w:pgSz w:w="11907" w:h="16839"/>
          <w:pgMar w:top="1376" w:right="1614" w:bottom="1061" w:left="1671" w:header="999" w:footer="861" w:gutter="0"/>
          <w:cols w:space="720" w:num="1"/>
        </w:sectPr>
      </w:pPr>
    </w:p>
    <w:p w14:paraId="28D3E6A5">
      <w:pPr>
        <w:spacing w:before="148"/>
      </w:pPr>
    </w:p>
    <w:tbl>
      <w:tblPr>
        <w:tblStyle w:val="5"/>
        <w:tblW w:w="8471" w:type="dxa"/>
        <w:tblInd w:w="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0"/>
        <w:gridCol w:w="1266"/>
        <w:gridCol w:w="1266"/>
        <w:gridCol w:w="1268"/>
        <w:gridCol w:w="1281"/>
      </w:tblGrid>
      <w:tr w14:paraId="26B49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vMerge w:val="restart"/>
            <w:tcBorders>
              <w:top w:val="single" w:color="000000" w:sz="12" w:space="0"/>
              <w:left w:val="single" w:color="000000" w:sz="12" w:space="0"/>
              <w:bottom w:val="nil"/>
            </w:tcBorders>
            <w:vAlign w:val="top"/>
          </w:tcPr>
          <w:p w14:paraId="768671B1">
            <w:pPr>
              <w:spacing w:before="118" w:line="220" w:lineRule="auto"/>
              <w:ind w:left="1265"/>
              <w:rPr>
                <w:rFonts w:ascii="宋体" w:hAnsi="宋体" w:eastAsia="宋体" w:cs="宋体"/>
                <w:sz w:val="21"/>
                <w:szCs w:val="21"/>
              </w:rPr>
            </w:pPr>
            <w:r>
              <w:rPr>
                <w:rFonts w:ascii="宋体" w:hAnsi="宋体" w:eastAsia="宋体" w:cs="宋体"/>
                <w:spacing w:val="-2"/>
                <w:sz w:val="21"/>
                <w:szCs w:val="21"/>
              </w:rPr>
              <w:t>地理成分</w:t>
            </w:r>
          </w:p>
          <w:p w14:paraId="6EA80A77">
            <w:pPr>
              <w:pStyle w:val="6"/>
              <w:spacing w:before="21" w:line="233" w:lineRule="auto"/>
              <w:ind w:left="641"/>
              <w:rPr>
                <w:rFonts w:ascii="宋体" w:hAnsi="宋体" w:eastAsia="宋体" w:cs="宋体"/>
              </w:rPr>
            </w:pPr>
            <w:r>
              <w:rPr>
                <w:rFonts w:ascii="宋体" w:hAnsi="宋体" w:eastAsia="宋体" w:cs="宋体"/>
                <w:spacing w:val="-6"/>
              </w:rPr>
              <w:t>（根据吴征镒，</w:t>
            </w:r>
            <w:r>
              <w:rPr>
                <w:rFonts w:ascii="宋体" w:hAnsi="宋体" w:eastAsia="宋体" w:cs="宋体"/>
                <w:spacing w:val="-48"/>
              </w:rPr>
              <w:t xml:space="preserve"> </w:t>
            </w:r>
            <w:r>
              <w:rPr>
                <w:spacing w:val="-6"/>
              </w:rPr>
              <w:t>1991</w:t>
            </w:r>
            <w:r>
              <w:rPr>
                <w:rFonts w:ascii="宋体" w:hAnsi="宋体" w:eastAsia="宋体" w:cs="宋体"/>
                <w:spacing w:val="-6"/>
              </w:rPr>
              <w:t>）</w:t>
            </w:r>
          </w:p>
        </w:tc>
        <w:tc>
          <w:tcPr>
            <w:tcW w:w="2532" w:type="dxa"/>
            <w:gridSpan w:val="2"/>
            <w:tcBorders>
              <w:top w:val="single" w:color="000000" w:sz="12" w:space="0"/>
            </w:tcBorders>
            <w:vAlign w:val="top"/>
          </w:tcPr>
          <w:p w14:paraId="2CCFE2DB">
            <w:pPr>
              <w:pStyle w:val="6"/>
              <w:spacing w:before="70" w:line="233" w:lineRule="auto"/>
              <w:ind w:left="404"/>
              <w:rPr>
                <w:rFonts w:ascii="宋体" w:hAnsi="宋体" w:eastAsia="宋体" w:cs="宋体"/>
              </w:rPr>
            </w:pPr>
            <w:r>
              <w:rPr>
                <w:rFonts w:ascii="宋体" w:hAnsi="宋体" w:eastAsia="宋体" w:cs="宋体"/>
                <w:spacing w:val="-1"/>
              </w:rPr>
              <w:t>环评期（</w:t>
            </w:r>
            <w:r>
              <w:rPr>
                <w:spacing w:val="-1"/>
              </w:rPr>
              <w:t xml:space="preserve">2016 </w:t>
            </w:r>
            <w:r>
              <w:rPr>
                <w:rFonts w:ascii="宋体" w:hAnsi="宋体" w:eastAsia="宋体" w:cs="宋体"/>
                <w:spacing w:val="-1"/>
              </w:rPr>
              <w:t>年）</w:t>
            </w:r>
          </w:p>
        </w:tc>
        <w:tc>
          <w:tcPr>
            <w:tcW w:w="2549" w:type="dxa"/>
            <w:gridSpan w:val="2"/>
            <w:tcBorders>
              <w:top w:val="single" w:color="000000" w:sz="12" w:space="0"/>
              <w:right w:val="single" w:color="000000" w:sz="12" w:space="0"/>
            </w:tcBorders>
            <w:vAlign w:val="top"/>
          </w:tcPr>
          <w:p w14:paraId="7D687745">
            <w:pPr>
              <w:pStyle w:val="6"/>
              <w:spacing w:before="70" w:line="233" w:lineRule="auto"/>
              <w:ind w:left="414"/>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r>
      <w:tr w14:paraId="366AD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vMerge w:val="continue"/>
            <w:tcBorders>
              <w:top w:val="nil"/>
              <w:left w:val="single" w:color="000000" w:sz="12" w:space="0"/>
            </w:tcBorders>
            <w:vAlign w:val="top"/>
          </w:tcPr>
          <w:p w14:paraId="7BFF7DDC">
            <w:pPr>
              <w:rPr>
                <w:rFonts w:ascii="Arial"/>
                <w:sz w:val="21"/>
              </w:rPr>
            </w:pPr>
          </w:p>
        </w:tc>
        <w:tc>
          <w:tcPr>
            <w:tcW w:w="1266" w:type="dxa"/>
            <w:vAlign w:val="top"/>
          </w:tcPr>
          <w:p w14:paraId="3ADC4601">
            <w:pPr>
              <w:spacing w:before="72" w:line="220" w:lineRule="auto"/>
              <w:ind w:left="112"/>
              <w:rPr>
                <w:rFonts w:ascii="宋体" w:hAnsi="宋体" w:eastAsia="宋体" w:cs="宋体"/>
                <w:sz w:val="21"/>
                <w:szCs w:val="21"/>
              </w:rPr>
            </w:pPr>
            <w:r>
              <w:rPr>
                <w:rFonts w:ascii="宋体" w:hAnsi="宋体" w:eastAsia="宋体" w:cs="宋体"/>
                <w:spacing w:val="-4"/>
                <w:sz w:val="21"/>
                <w:szCs w:val="21"/>
              </w:rPr>
              <w:t>属数（属）</w:t>
            </w:r>
          </w:p>
        </w:tc>
        <w:tc>
          <w:tcPr>
            <w:tcW w:w="1266" w:type="dxa"/>
            <w:vAlign w:val="top"/>
          </w:tcPr>
          <w:p w14:paraId="120DDE20">
            <w:pPr>
              <w:pStyle w:val="6"/>
              <w:spacing w:before="73" w:line="233" w:lineRule="auto"/>
              <w:jc w:val="right"/>
              <w:rPr>
                <w:rFonts w:ascii="宋体" w:hAnsi="宋体" w:eastAsia="宋体" w:cs="宋体"/>
              </w:rPr>
            </w:pPr>
            <w:r>
              <w:rPr>
                <w:rFonts w:ascii="宋体" w:hAnsi="宋体" w:eastAsia="宋体" w:cs="宋体"/>
                <w:spacing w:val="-21"/>
              </w:rPr>
              <w:t>占总数（</w:t>
            </w:r>
            <w:r>
              <w:rPr>
                <w:spacing w:val="-21"/>
              </w:rPr>
              <w:t>%</w:t>
            </w:r>
            <w:r>
              <w:rPr>
                <w:rFonts w:ascii="宋体" w:hAnsi="宋体" w:eastAsia="宋体" w:cs="宋体"/>
                <w:spacing w:val="-21"/>
              </w:rPr>
              <w:t>）</w:t>
            </w:r>
          </w:p>
        </w:tc>
        <w:tc>
          <w:tcPr>
            <w:tcW w:w="1268" w:type="dxa"/>
            <w:vAlign w:val="top"/>
          </w:tcPr>
          <w:p w14:paraId="76ABE0C0">
            <w:pPr>
              <w:spacing w:before="72" w:line="220" w:lineRule="auto"/>
              <w:ind w:left="122"/>
              <w:rPr>
                <w:rFonts w:ascii="宋体" w:hAnsi="宋体" w:eastAsia="宋体" w:cs="宋体"/>
                <w:sz w:val="21"/>
                <w:szCs w:val="21"/>
              </w:rPr>
            </w:pPr>
            <w:r>
              <w:rPr>
                <w:rFonts w:ascii="宋体" w:hAnsi="宋体" w:eastAsia="宋体" w:cs="宋体"/>
                <w:spacing w:val="-4"/>
                <w:sz w:val="21"/>
                <w:szCs w:val="21"/>
              </w:rPr>
              <w:t>属数（属）</w:t>
            </w:r>
          </w:p>
        </w:tc>
        <w:tc>
          <w:tcPr>
            <w:tcW w:w="1281" w:type="dxa"/>
            <w:tcBorders>
              <w:right w:val="single" w:color="000000" w:sz="12" w:space="0"/>
            </w:tcBorders>
            <w:vAlign w:val="top"/>
          </w:tcPr>
          <w:p w14:paraId="05BDF258">
            <w:pPr>
              <w:pStyle w:val="6"/>
              <w:spacing w:before="73" w:line="233" w:lineRule="auto"/>
              <w:jc w:val="right"/>
              <w:rPr>
                <w:rFonts w:ascii="宋体" w:hAnsi="宋体" w:eastAsia="宋体" w:cs="宋体"/>
              </w:rPr>
            </w:pPr>
            <w:r>
              <w:rPr>
                <w:rFonts w:ascii="宋体" w:hAnsi="宋体" w:eastAsia="宋体" w:cs="宋体"/>
                <w:spacing w:val="-21"/>
              </w:rPr>
              <w:t>占总数（</w:t>
            </w:r>
            <w:r>
              <w:rPr>
                <w:spacing w:val="-21"/>
              </w:rPr>
              <w:t>%</w:t>
            </w:r>
            <w:r>
              <w:rPr>
                <w:rFonts w:ascii="宋体" w:hAnsi="宋体" w:eastAsia="宋体" w:cs="宋体"/>
                <w:spacing w:val="-21"/>
              </w:rPr>
              <w:t>）</w:t>
            </w:r>
          </w:p>
        </w:tc>
      </w:tr>
      <w:tr w14:paraId="158C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390" w:type="dxa"/>
            <w:tcBorders>
              <w:left w:val="single" w:color="000000" w:sz="12" w:space="0"/>
            </w:tcBorders>
            <w:vAlign w:val="top"/>
          </w:tcPr>
          <w:p w14:paraId="111A50D5">
            <w:pPr>
              <w:pStyle w:val="6"/>
              <w:spacing w:before="75" w:line="233" w:lineRule="auto"/>
              <w:ind w:left="116"/>
              <w:rPr>
                <w:rFonts w:ascii="宋体" w:hAnsi="宋体" w:eastAsia="宋体" w:cs="宋体"/>
              </w:rPr>
            </w:pPr>
            <w:r>
              <w:rPr>
                <w:spacing w:val="-6"/>
              </w:rPr>
              <w:t>10.</w:t>
            </w:r>
            <w:r>
              <w:rPr>
                <w:spacing w:val="17"/>
              </w:rPr>
              <w:t xml:space="preserve">  </w:t>
            </w:r>
            <w:r>
              <w:rPr>
                <w:rFonts w:ascii="宋体" w:hAnsi="宋体" w:eastAsia="宋体" w:cs="宋体"/>
                <w:spacing w:val="-6"/>
              </w:rPr>
              <w:t>旧世界温带分布</w:t>
            </w:r>
          </w:p>
        </w:tc>
        <w:tc>
          <w:tcPr>
            <w:tcW w:w="1266" w:type="dxa"/>
            <w:vAlign w:val="top"/>
          </w:tcPr>
          <w:p w14:paraId="6242C78E">
            <w:pPr>
              <w:pStyle w:val="6"/>
              <w:spacing w:before="109" w:line="234" w:lineRule="auto"/>
              <w:ind w:left="547"/>
            </w:pPr>
            <w:r>
              <w:rPr>
                <w:spacing w:val="-6"/>
              </w:rPr>
              <w:t>14</w:t>
            </w:r>
          </w:p>
        </w:tc>
        <w:tc>
          <w:tcPr>
            <w:tcW w:w="1266" w:type="dxa"/>
            <w:vAlign w:val="top"/>
          </w:tcPr>
          <w:p w14:paraId="5E2D4F6F">
            <w:pPr>
              <w:pStyle w:val="6"/>
              <w:spacing w:before="109" w:line="232" w:lineRule="auto"/>
              <w:ind w:left="458"/>
            </w:pPr>
            <w:r>
              <w:rPr>
                <w:spacing w:val="-3"/>
              </w:rPr>
              <w:t>5.53</w:t>
            </w:r>
          </w:p>
        </w:tc>
        <w:tc>
          <w:tcPr>
            <w:tcW w:w="1268" w:type="dxa"/>
            <w:vAlign w:val="top"/>
          </w:tcPr>
          <w:p w14:paraId="664F3399">
            <w:pPr>
              <w:pStyle w:val="6"/>
              <w:spacing w:before="110" w:line="232" w:lineRule="auto"/>
              <w:ind w:left="557"/>
            </w:pPr>
            <w:r>
              <w:rPr>
                <w:spacing w:val="-6"/>
              </w:rPr>
              <w:t>15</w:t>
            </w:r>
          </w:p>
        </w:tc>
        <w:tc>
          <w:tcPr>
            <w:tcW w:w="1281" w:type="dxa"/>
            <w:tcBorders>
              <w:right w:val="single" w:color="000000" w:sz="12" w:space="0"/>
            </w:tcBorders>
            <w:vAlign w:val="top"/>
          </w:tcPr>
          <w:p w14:paraId="5630B968">
            <w:pPr>
              <w:pStyle w:val="6"/>
              <w:spacing w:before="109" w:line="232" w:lineRule="auto"/>
              <w:ind w:left="465"/>
            </w:pPr>
            <w:r>
              <w:rPr>
                <w:spacing w:val="-3"/>
              </w:rPr>
              <w:t>6.73</w:t>
            </w:r>
          </w:p>
        </w:tc>
      </w:tr>
      <w:tr w14:paraId="1F720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6000EC58">
            <w:pPr>
              <w:pStyle w:val="6"/>
              <w:spacing w:before="78" w:line="233" w:lineRule="auto"/>
              <w:ind w:left="116"/>
              <w:rPr>
                <w:rFonts w:ascii="宋体" w:hAnsi="宋体" w:eastAsia="宋体" w:cs="宋体"/>
              </w:rPr>
            </w:pPr>
            <w:r>
              <w:rPr>
                <w:spacing w:val="-3"/>
              </w:rPr>
              <w:t xml:space="preserve">11.  </w:t>
            </w:r>
            <w:r>
              <w:rPr>
                <w:rFonts w:ascii="宋体" w:hAnsi="宋体" w:eastAsia="宋体" w:cs="宋体"/>
                <w:spacing w:val="-3"/>
              </w:rPr>
              <w:t>温带亚洲分布</w:t>
            </w:r>
          </w:p>
        </w:tc>
        <w:tc>
          <w:tcPr>
            <w:tcW w:w="1266" w:type="dxa"/>
            <w:vAlign w:val="top"/>
          </w:tcPr>
          <w:p w14:paraId="797984BF">
            <w:pPr>
              <w:pStyle w:val="6"/>
              <w:spacing w:before="111" w:line="231" w:lineRule="auto"/>
              <w:ind w:left="580"/>
            </w:pPr>
            <w:r>
              <w:t>2</w:t>
            </w:r>
          </w:p>
        </w:tc>
        <w:tc>
          <w:tcPr>
            <w:tcW w:w="1266" w:type="dxa"/>
            <w:vAlign w:val="top"/>
          </w:tcPr>
          <w:p w14:paraId="29D37BD2">
            <w:pPr>
              <w:pStyle w:val="6"/>
              <w:spacing w:before="111" w:line="231" w:lineRule="auto"/>
              <w:ind w:left="455"/>
            </w:pPr>
            <w:r>
              <w:rPr>
                <w:spacing w:val="-2"/>
              </w:rPr>
              <w:t>0.79</w:t>
            </w:r>
          </w:p>
        </w:tc>
        <w:tc>
          <w:tcPr>
            <w:tcW w:w="1268" w:type="dxa"/>
            <w:vAlign w:val="top"/>
          </w:tcPr>
          <w:p w14:paraId="6A8E86ED">
            <w:pPr>
              <w:pStyle w:val="6"/>
              <w:spacing w:before="111" w:line="231" w:lineRule="auto"/>
              <w:ind w:left="594"/>
            </w:pPr>
            <w:r>
              <w:t>3</w:t>
            </w:r>
          </w:p>
        </w:tc>
        <w:tc>
          <w:tcPr>
            <w:tcW w:w="1281" w:type="dxa"/>
            <w:tcBorders>
              <w:right w:val="single" w:color="000000" w:sz="12" w:space="0"/>
            </w:tcBorders>
            <w:vAlign w:val="top"/>
          </w:tcPr>
          <w:p w14:paraId="60F93DA1">
            <w:pPr>
              <w:pStyle w:val="6"/>
              <w:spacing w:before="111" w:line="231" w:lineRule="auto"/>
              <w:ind w:left="480"/>
            </w:pPr>
            <w:r>
              <w:rPr>
                <w:spacing w:val="-6"/>
              </w:rPr>
              <w:t>1.35</w:t>
            </w:r>
          </w:p>
        </w:tc>
      </w:tr>
      <w:tr w14:paraId="2CA94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04C5683F">
            <w:pPr>
              <w:pStyle w:val="6"/>
              <w:spacing w:before="81" w:line="231" w:lineRule="auto"/>
              <w:ind w:left="116"/>
              <w:rPr>
                <w:rFonts w:ascii="宋体" w:hAnsi="宋体" w:eastAsia="宋体" w:cs="宋体"/>
              </w:rPr>
            </w:pPr>
            <w:r>
              <w:rPr>
                <w:spacing w:val="-2"/>
              </w:rPr>
              <w:t xml:space="preserve">12.  </w:t>
            </w:r>
            <w:r>
              <w:rPr>
                <w:rFonts w:ascii="宋体" w:hAnsi="宋体" w:eastAsia="宋体" w:cs="宋体"/>
                <w:spacing w:val="-2"/>
              </w:rPr>
              <w:t>地中海、西亚至中亚分布</w:t>
            </w:r>
          </w:p>
        </w:tc>
        <w:tc>
          <w:tcPr>
            <w:tcW w:w="1266" w:type="dxa"/>
            <w:vAlign w:val="top"/>
          </w:tcPr>
          <w:p w14:paraId="74ADAEB9">
            <w:pPr>
              <w:pStyle w:val="6"/>
              <w:spacing w:before="115" w:line="227" w:lineRule="auto"/>
              <w:ind w:left="600"/>
            </w:pPr>
            <w:r>
              <w:t>1</w:t>
            </w:r>
          </w:p>
        </w:tc>
        <w:tc>
          <w:tcPr>
            <w:tcW w:w="1266" w:type="dxa"/>
            <w:vAlign w:val="top"/>
          </w:tcPr>
          <w:p w14:paraId="245DA826">
            <w:pPr>
              <w:pStyle w:val="6"/>
              <w:spacing w:before="115" w:line="227" w:lineRule="auto"/>
              <w:ind w:left="455"/>
            </w:pPr>
            <w:r>
              <w:rPr>
                <w:spacing w:val="-2"/>
              </w:rPr>
              <w:t>0.40</w:t>
            </w:r>
          </w:p>
        </w:tc>
        <w:tc>
          <w:tcPr>
            <w:tcW w:w="1268" w:type="dxa"/>
            <w:vAlign w:val="top"/>
          </w:tcPr>
          <w:p w14:paraId="7759553F">
            <w:pPr>
              <w:pStyle w:val="6"/>
              <w:spacing w:before="115" w:line="227" w:lineRule="auto"/>
              <w:ind w:left="594"/>
            </w:pPr>
            <w:r>
              <w:t>3</w:t>
            </w:r>
          </w:p>
        </w:tc>
        <w:tc>
          <w:tcPr>
            <w:tcW w:w="1281" w:type="dxa"/>
            <w:tcBorders>
              <w:right w:val="single" w:color="000000" w:sz="12" w:space="0"/>
            </w:tcBorders>
            <w:vAlign w:val="top"/>
          </w:tcPr>
          <w:p w14:paraId="6BB859DE">
            <w:pPr>
              <w:pStyle w:val="6"/>
              <w:spacing w:before="115" w:line="227" w:lineRule="auto"/>
              <w:ind w:left="480"/>
            </w:pPr>
            <w:r>
              <w:rPr>
                <w:spacing w:val="-6"/>
              </w:rPr>
              <w:t>1.35</w:t>
            </w:r>
          </w:p>
        </w:tc>
      </w:tr>
      <w:tr w14:paraId="56168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3B345911">
            <w:pPr>
              <w:pStyle w:val="6"/>
              <w:spacing w:before="85" w:line="227" w:lineRule="auto"/>
              <w:ind w:left="116"/>
              <w:rPr>
                <w:rFonts w:ascii="宋体" w:hAnsi="宋体" w:eastAsia="宋体" w:cs="宋体"/>
              </w:rPr>
            </w:pPr>
            <w:r>
              <w:rPr>
                <w:spacing w:val="-7"/>
              </w:rPr>
              <w:t>13.</w:t>
            </w:r>
            <w:r>
              <w:rPr>
                <w:spacing w:val="15"/>
                <w:w w:val="101"/>
              </w:rPr>
              <w:t xml:space="preserve">  </w:t>
            </w:r>
            <w:r>
              <w:rPr>
                <w:rFonts w:ascii="宋体" w:hAnsi="宋体" w:eastAsia="宋体" w:cs="宋体"/>
                <w:spacing w:val="-7"/>
              </w:rPr>
              <w:t>中亚分布</w:t>
            </w:r>
          </w:p>
        </w:tc>
        <w:tc>
          <w:tcPr>
            <w:tcW w:w="1266" w:type="dxa"/>
            <w:vAlign w:val="top"/>
          </w:tcPr>
          <w:p w14:paraId="4B2DF277">
            <w:pPr>
              <w:pStyle w:val="6"/>
              <w:spacing w:before="118" w:line="224" w:lineRule="auto"/>
              <w:ind w:left="600"/>
            </w:pPr>
            <w:r>
              <w:t>1</w:t>
            </w:r>
          </w:p>
        </w:tc>
        <w:tc>
          <w:tcPr>
            <w:tcW w:w="1266" w:type="dxa"/>
            <w:vAlign w:val="top"/>
          </w:tcPr>
          <w:p w14:paraId="075148BB">
            <w:pPr>
              <w:pStyle w:val="6"/>
              <w:spacing w:before="118" w:line="224" w:lineRule="auto"/>
              <w:ind w:left="455"/>
            </w:pPr>
            <w:r>
              <w:rPr>
                <w:spacing w:val="-2"/>
              </w:rPr>
              <w:t>0.40</w:t>
            </w:r>
          </w:p>
        </w:tc>
        <w:tc>
          <w:tcPr>
            <w:tcW w:w="1268" w:type="dxa"/>
            <w:vAlign w:val="top"/>
          </w:tcPr>
          <w:p w14:paraId="5156E197">
            <w:pPr>
              <w:pStyle w:val="6"/>
              <w:spacing w:before="118" w:line="224" w:lineRule="auto"/>
              <w:ind w:left="593"/>
            </w:pPr>
            <w:r>
              <w:t>0</w:t>
            </w:r>
          </w:p>
        </w:tc>
        <w:tc>
          <w:tcPr>
            <w:tcW w:w="1281" w:type="dxa"/>
            <w:tcBorders>
              <w:right w:val="single" w:color="000000" w:sz="12" w:space="0"/>
            </w:tcBorders>
            <w:vAlign w:val="top"/>
          </w:tcPr>
          <w:p w14:paraId="5370C7A0">
            <w:pPr>
              <w:pStyle w:val="6"/>
              <w:spacing w:before="118" w:line="224" w:lineRule="auto"/>
              <w:ind w:left="463"/>
            </w:pPr>
            <w:r>
              <w:rPr>
                <w:spacing w:val="-2"/>
              </w:rPr>
              <w:t>0.00</w:t>
            </w:r>
          </w:p>
        </w:tc>
      </w:tr>
      <w:tr w14:paraId="2E93E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1B1C25BA">
            <w:pPr>
              <w:pStyle w:val="6"/>
              <w:spacing w:before="89" w:line="224" w:lineRule="auto"/>
              <w:ind w:left="116"/>
              <w:rPr>
                <w:rFonts w:ascii="宋体" w:hAnsi="宋体" w:eastAsia="宋体" w:cs="宋体"/>
              </w:rPr>
            </w:pPr>
            <w:r>
              <w:rPr>
                <w:spacing w:val="-6"/>
              </w:rPr>
              <w:t>14.</w:t>
            </w:r>
            <w:r>
              <w:rPr>
                <w:spacing w:val="10"/>
              </w:rPr>
              <w:t xml:space="preserve">  </w:t>
            </w:r>
            <w:r>
              <w:rPr>
                <w:rFonts w:ascii="宋体" w:hAnsi="宋体" w:eastAsia="宋体" w:cs="宋体"/>
                <w:spacing w:val="-6"/>
              </w:rPr>
              <w:t>东亚分布</w:t>
            </w:r>
          </w:p>
        </w:tc>
        <w:tc>
          <w:tcPr>
            <w:tcW w:w="1266" w:type="dxa"/>
            <w:vAlign w:val="top"/>
          </w:tcPr>
          <w:p w14:paraId="205DE835">
            <w:pPr>
              <w:pStyle w:val="6"/>
              <w:spacing w:before="122" w:line="220" w:lineRule="auto"/>
              <w:ind w:left="527"/>
            </w:pPr>
            <w:r>
              <w:rPr>
                <w:spacing w:val="-1"/>
              </w:rPr>
              <w:t>22</w:t>
            </w:r>
          </w:p>
        </w:tc>
        <w:tc>
          <w:tcPr>
            <w:tcW w:w="1266" w:type="dxa"/>
            <w:vAlign w:val="top"/>
          </w:tcPr>
          <w:p w14:paraId="5DBD74B7">
            <w:pPr>
              <w:pStyle w:val="6"/>
              <w:spacing w:before="122" w:line="220" w:lineRule="auto"/>
              <w:ind w:left="461"/>
            </w:pPr>
            <w:r>
              <w:rPr>
                <w:spacing w:val="-4"/>
              </w:rPr>
              <w:t>8.70</w:t>
            </w:r>
          </w:p>
        </w:tc>
        <w:tc>
          <w:tcPr>
            <w:tcW w:w="1268" w:type="dxa"/>
            <w:vAlign w:val="top"/>
          </w:tcPr>
          <w:p w14:paraId="436AE87F">
            <w:pPr>
              <w:pStyle w:val="6"/>
              <w:spacing w:before="122" w:line="220" w:lineRule="auto"/>
              <w:ind w:left="557"/>
            </w:pPr>
            <w:r>
              <w:rPr>
                <w:spacing w:val="-6"/>
              </w:rPr>
              <w:t>17</w:t>
            </w:r>
          </w:p>
        </w:tc>
        <w:tc>
          <w:tcPr>
            <w:tcW w:w="1281" w:type="dxa"/>
            <w:tcBorders>
              <w:right w:val="single" w:color="000000" w:sz="12" w:space="0"/>
            </w:tcBorders>
            <w:vAlign w:val="top"/>
          </w:tcPr>
          <w:p w14:paraId="5884F7CC">
            <w:pPr>
              <w:pStyle w:val="6"/>
              <w:spacing w:before="122" w:line="220" w:lineRule="auto"/>
              <w:ind w:left="464"/>
            </w:pPr>
            <w:r>
              <w:rPr>
                <w:spacing w:val="-2"/>
              </w:rPr>
              <w:t>7.62</w:t>
            </w:r>
          </w:p>
        </w:tc>
      </w:tr>
      <w:tr w14:paraId="6AE32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390" w:type="dxa"/>
            <w:tcBorders>
              <w:left w:val="single" w:color="000000" w:sz="12" w:space="0"/>
            </w:tcBorders>
            <w:vAlign w:val="top"/>
          </w:tcPr>
          <w:p w14:paraId="308B7238">
            <w:pPr>
              <w:pStyle w:val="6"/>
              <w:spacing w:before="92" w:line="221" w:lineRule="auto"/>
              <w:ind w:left="116"/>
              <w:rPr>
                <w:rFonts w:ascii="宋体" w:hAnsi="宋体" w:eastAsia="宋体" w:cs="宋体"/>
              </w:rPr>
            </w:pPr>
            <w:r>
              <w:rPr>
                <w:spacing w:val="-6"/>
              </w:rPr>
              <w:t>15.</w:t>
            </w:r>
            <w:r>
              <w:rPr>
                <w:spacing w:val="14"/>
              </w:rPr>
              <w:t xml:space="preserve">  </w:t>
            </w:r>
            <w:r>
              <w:rPr>
                <w:rFonts w:ascii="宋体" w:hAnsi="宋体" w:eastAsia="宋体" w:cs="宋体"/>
                <w:spacing w:val="-6"/>
              </w:rPr>
              <w:t>中国特有分布</w:t>
            </w:r>
          </w:p>
        </w:tc>
        <w:tc>
          <w:tcPr>
            <w:tcW w:w="1266" w:type="dxa"/>
            <w:vAlign w:val="top"/>
          </w:tcPr>
          <w:p w14:paraId="111C056D">
            <w:pPr>
              <w:pStyle w:val="6"/>
              <w:spacing w:before="125" w:line="217" w:lineRule="auto"/>
              <w:ind w:left="580"/>
            </w:pPr>
            <w:r>
              <w:t>2</w:t>
            </w:r>
          </w:p>
        </w:tc>
        <w:tc>
          <w:tcPr>
            <w:tcW w:w="1266" w:type="dxa"/>
            <w:vAlign w:val="top"/>
          </w:tcPr>
          <w:p w14:paraId="4ECD654A">
            <w:pPr>
              <w:pStyle w:val="6"/>
              <w:spacing w:before="125" w:line="217" w:lineRule="auto"/>
              <w:ind w:left="455"/>
            </w:pPr>
            <w:r>
              <w:rPr>
                <w:spacing w:val="-2"/>
              </w:rPr>
              <w:t>0.79</w:t>
            </w:r>
          </w:p>
        </w:tc>
        <w:tc>
          <w:tcPr>
            <w:tcW w:w="1268" w:type="dxa"/>
            <w:vAlign w:val="top"/>
          </w:tcPr>
          <w:p w14:paraId="48EBCCD0">
            <w:pPr>
              <w:pStyle w:val="6"/>
              <w:spacing w:before="125" w:line="217" w:lineRule="auto"/>
              <w:ind w:left="588"/>
            </w:pPr>
            <w:r>
              <w:t>4</w:t>
            </w:r>
          </w:p>
        </w:tc>
        <w:tc>
          <w:tcPr>
            <w:tcW w:w="1281" w:type="dxa"/>
            <w:tcBorders>
              <w:right w:val="single" w:color="000000" w:sz="12" w:space="0"/>
            </w:tcBorders>
            <w:vAlign w:val="top"/>
          </w:tcPr>
          <w:p w14:paraId="74BF45F6">
            <w:pPr>
              <w:pStyle w:val="6"/>
              <w:spacing w:before="125" w:line="217" w:lineRule="auto"/>
              <w:ind w:left="480"/>
            </w:pPr>
            <w:r>
              <w:rPr>
                <w:spacing w:val="-6"/>
              </w:rPr>
              <w:t>1.79</w:t>
            </w:r>
          </w:p>
        </w:tc>
      </w:tr>
      <w:tr w14:paraId="7DF46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3390" w:type="dxa"/>
            <w:tcBorders>
              <w:left w:val="single" w:color="000000" w:sz="12" w:space="0"/>
              <w:bottom w:val="single" w:color="000000" w:sz="12" w:space="0"/>
            </w:tcBorders>
            <w:vAlign w:val="top"/>
          </w:tcPr>
          <w:p w14:paraId="73EAE2F5">
            <w:pPr>
              <w:spacing w:before="95" w:line="221" w:lineRule="auto"/>
              <w:ind w:left="1481"/>
              <w:rPr>
                <w:rFonts w:ascii="宋体" w:hAnsi="宋体" w:eastAsia="宋体" w:cs="宋体"/>
                <w:sz w:val="21"/>
                <w:szCs w:val="21"/>
              </w:rPr>
            </w:pPr>
            <w:r>
              <w:rPr>
                <w:rFonts w:ascii="宋体" w:hAnsi="宋体" w:eastAsia="宋体" w:cs="宋体"/>
                <w:spacing w:val="-4"/>
                <w:sz w:val="21"/>
                <w:szCs w:val="21"/>
              </w:rPr>
              <w:t>总计</w:t>
            </w:r>
          </w:p>
        </w:tc>
        <w:tc>
          <w:tcPr>
            <w:tcW w:w="1266" w:type="dxa"/>
            <w:tcBorders>
              <w:bottom w:val="single" w:color="000000" w:sz="12" w:space="0"/>
            </w:tcBorders>
            <w:vAlign w:val="top"/>
          </w:tcPr>
          <w:p w14:paraId="25CB8937">
            <w:pPr>
              <w:pStyle w:val="6"/>
              <w:spacing w:before="129" w:line="232" w:lineRule="auto"/>
              <w:ind w:left="474"/>
            </w:pPr>
            <w:r>
              <w:rPr>
                <w:spacing w:val="-1"/>
              </w:rPr>
              <w:t>253</w:t>
            </w:r>
          </w:p>
        </w:tc>
        <w:tc>
          <w:tcPr>
            <w:tcW w:w="1266" w:type="dxa"/>
            <w:tcBorders>
              <w:bottom w:val="single" w:color="000000" w:sz="12" w:space="0"/>
            </w:tcBorders>
            <w:vAlign w:val="top"/>
          </w:tcPr>
          <w:p w14:paraId="1820B9F3">
            <w:pPr>
              <w:pStyle w:val="6"/>
              <w:spacing w:before="129" w:line="232" w:lineRule="auto"/>
              <w:ind w:left="368"/>
            </w:pPr>
            <w:r>
              <w:rPr>
                <w:spacing w:val="-4"/>
              </w:rPr>
              <w:t>100.00</w:t>
            </w:r>
          </w:p>
        </w:tc>
        <w:tc>
          <w:tcPr>
            <w:tcW w:w="1268" w:type="dxa"/>
            <w:tcBorders>
              <w:bottom w:val="single" w:color="000000" w:sz="12" w:space="0"/>
            </w:tcBorders>
            <w:vAlign w:val="top"/>
          </w:tcPr>
          <w:p w14:paraId="5DC648FB">
            <w:pPr>
              <w:pStyle w:val="6"/>
              <w:spacing w:before="129" w:line="232" w:lineRule="auto"/>
              <w:ind w:left="484"/>
            </w:pPr>
            <w:r>
              <w:rPr>
                <w:spacing w:val="-1"/>
              </w:rPr>
              <w:t>223</w:t>
            </w:r>
          </w:p>
        </w:tc>
        <w:tc>
          <w:tcPr>
            <w:tcW w:w="1281" w:type="dxa"/>
            <w:tcBorders>
              <w:bottom w:val="single" w:color="000000" w:sz="12" w:space="0"/>
              <w:right w:val="single" w:color="000000" w:sz="12" w:space="0"/>
            </w:tcBorders>
            <w:vAlign w:val="top"/>
          </w:tcPr>
          <w:p w14:paraId="19F5BB30">
            <w:pPr>
              <w:pStyle w:val="6"/>
              <w:spacing w:before="129" w:line="232" w:lineRule="auto"/>
              <w:ind w:left="376"/>
            </w:pPr>
            <w:r>
              <w:rPr>
                <w:spacing w:val="-4"/>
              </w:rPr>
              <w:t>100.00</w:t>
            </w:r>
          </w:p>
        </w:tc>
      </w:tr>
    </w:tbl>
    <w:p w14:paraId="5EF960A0">
      <w:pPr>
        <w:pStyle w:val="2"/>
        <w:spacing w:before="66" w:line="162" w:lineRule="auto"/>
        <w:ind w:left="30"/>
        <w:rPr>
          <w:sz w:val="21"/>
          <w:szCs w:val="21"/>
        </w:rPr>
      </w:pPr>
      <w:r>
        <w:rPr>
          <w:rFonts w:ascii="Arial" w:hAnsi="Arial" w:eastAsia="Arial" w:cs="Arial"/>
          <w:position w:val="8"/>
          <w:sz w:val="21"/>
          <w:szCs w:val="21"/>
        </w:rPr>
        <w:t>*</w:t>
      </w:r>
      <w:r>
        <w:rPr>
          <w:rFonts w:ascii="Arial" w:hAnsi="Arial" w:eastAsia="Arial" w:cs="Arial"/>
          <w:spacing w:val="58"/>
          <w:w w:val="101"/>
          <w:position w:val="8"/>
          <w:sz w:val="21"/>
          <w:szCs w:val="21"/>
        </w:rPr>
        <w:t xml:space="preserve"> </w:t>
      </w:r>
      <w:r>
        <w:rPr>
          <w:sz w:val="21"/>
          <w:szCs w:val="21"/>
        </w:rPr>
        <w:t>仅对自然分布种子植物进行分析，栽培植物属未计入区系总数；各地理成分所占百分比。</w:t>
      </w:r>
    </w:p>
    <w:p w14:paraId="5030F50E">
      <w:pPr>
        <w:spacing w:line="267" w:lineRule="auto"/>
        <w:rPr>
          <w:rFonts w:ascii="Arial"/>
          <w:sz w:val="21"/>
        </w:rPr>
      </w:pPr>
    </w:p>
    <w:p w14:paraId="25FC018D">
      <w:pPr>
        <w:pStyle w:val="2"/>
        <w:spacing w:before="78" w:line="336" w:lineRule="auto"/>
        <w:ind w:left="37" w:right="137" w:firstLine="510"/>
        <w:jc w:val="both"/>
        <w:rPr>
          <w:sz w:val="24"/>
          <w:szCs w:val="24"/>
        </w:rPr>
      </w:pPr>
      <w:r>
        <w:rPr>
          <w:spacing w:val="-3"/>
          <w:sz w:val="24"/>
          <w:szCs w:val="24"/>
        </w:rPr>
        <w:t xml:space="preserve">由表 </w:t>
      </w:r>
      <w:r>
        <w:rPr>
          <w:rFonts w:ascii="Times New Roman" w:hAnsi="Times New Roman" w:eastAsia="Times New Roman" w:cs="Times New Roman"/>
          <w:spacing w:val="-3"/>
          <w:sz w:val="24"/>
          <w:szCs w:val="24"/>
        </w:rPr>
        <w:t>6.1-7</w:t>
      </w:r>
      <w:r>
        <w:rPr>
          <w:rFonts w:ascii="Times New Roman" w:hAnsi="Times New Roman" w:eastAsia="Times New Roman" w:cs="Times New Roman"/>
          <w:spacing w:val="53"/>
          <w:sz w:val="24"/>
          <w:szCs w:val="24"/>
        </w:rPr>
        <w:t xml:space="preserve"> </w:t>
      </w:r>
      <w:r>
        <w:rPr>
          <w:spacing w:val="-3"/>
          <w:sz w:val="24"/>
          <w:szCs w:val="24"/>
        </w:rPr>
        <w:t>可以看出，施工期植物区系调查结果与环评</w:t>
      </w:r>
      <w:r>
        <w:rPr>
          <w:spacing w:val="-4"/>
          <w:sz w:val="24"/>
          <w:szCs w:val="24"/>
        </w:rPr>
        <w:t>期调查结果变化不大，</w:t>
      </w:r>
      <w:r>
        <w:rPr>
          <w:spacing w:val="1"/>
          <w:sz w:val="24"/>
          <w:szCs w:val="24"/>
        </w:rPr>
        <w:t>但略有差异。调查区野生种子植物属减少</w:t>
      </w:r>
      <w:r>
        <w:rPr>
          <w:rFonts w:ascii="Times New Roman" w:hAnsi="Times New Roman" w:eastAsia="Times New Roman" w:cs="Times New Roman"/>
          <w:spacing w:val="1"/>
          <w:sz w:val="24"/>
          <w:szCs w:val="24"/>
        </w:rPr>
        <w:t xml:space="preserve">30 </w:t>
      </w:r>
      <w:r>
        <w:rPr>
          <w:spacing w:val="1"/>
          <w:sz w:val="24"/>
          <w:szCs w:val="24"/>
        </w:rPr>
        <w:t>个属，而人工栽培植物大大增加；植</w:t>
      </w:r>
      <w:r>
        <w:rPr>
          <w:spacing w:val="3"/>
          <w:sz w:val="24"/>
          <w:szCs w:val="24"/>
        </w:rPr>
        <w:t>物区系虽具有突出的热带植物区系性质，但植</w:t>
      </w:r>
      <w:r>
        <w:rPr>
          <w:spacing w:val="2"/>
          <w:sz w:val="24"/>
          <w:szCs w:val="24"/>
        </w:rPr>
        <w:t>物区系分布更加倾向于温带植物区</w:t>
      </w:r>
      <w:r>
        <w:rPr>
          <w:spacing w:val="-4"/>
          <w:sz w:val="24"/>
          <w:szCs w:val="24"/>
        </w:rPr>
        <w:t>系，热带成分渐渐减少。</w:t>
      </w:r>
    </w:p>
    <w:p w14:paraId="48C776B2">
      <w:pPr>
        <w:pStyle w:val="2"/>
        <w:spacing w:before="14" w:line="338" w:lineRule="auto"/>
        <w:ind w:left="38" w:firstLine="480"/>
        <w:jc w:val="both"/>
        <w:rPr>
          <w:sz w:val="24"/>
          <w:szCs w:val="24"/>
        </w:rPr>
      </w:pPr>
      <w:r>
        <w:rPr>
          <w:spacing w:val="-5"/>
          <w:sz w:val="24"/>
          <w:szCs w:val="24"/>
        </w:rPr>
        <w:t>产生差异的原因可能有：①随着局部植被被破坏，温带性的先锋</w:t>
      </w:r>
      <w:r>
        <w:rPr>
          <w:spacing w:val="-6"/>
          <w:sz w:val="24"/>
          <w:szCs w:val="24"/>
        </w:rPr>
        <w:t>植物如禾本科、</w:t>
      </w:r>
      <w:r>
        <w:rPr>
          <w:spacing w:val="-4"/>
          <w:sz w:val="24"/>
          <w:szCs w:val="24"/>
        </w:rPr>
        <w:t>菊科等大大增加，而群落中原有的植物逐渐消失，原来分布于热带的植物逐</w:t>
      </w:r>
      <w:r>
        <w:rPr>
          <w:spacing w:val="-5"/>
          <w:sz w:val="24"/>
          <w:szCs w:val="24"/>
        </w:rPr>
        <w:t>渐被替</w:t>
      </w:r>
      <w:r>
        <w:rPr>
          <w:spacing w:val="-4"/>
          <w:sz w:val="24"/>
          <w:szCs w:val="24"/>
        </w:rPr>
        <w:t>代；②随着演替的进行，在生境干扰较少的区域，植被逐渐得到恢复，其中一些温带分布类型的植物逐渐从邻近的群落中侵入；③随着调查的深入，增加了此前</w:t>
      </w:r>
      <w:r>
        <w:rPr>
          <w:spacing w:val="-5"/>
          <w:sz w:val="24"/>
          <w:szCs w:val="24"/>
        </w:rPr>
        <w:t>未调</w:t>
      </w:r>
      <w:r>
        <w:rPr>
          <w:spacing w:val="-6"/>
          <w:sz w:val="24"/>
          <w:szCs w:val="24"/>
        </w:rPr>
        <w:t>查到的物种。</w:t>
      </w:r>
    </w:p>
    <w:p w14:paraId="51AFA649">
      <w:pPr>
        <w:pStyle w:val="2"/>
        <w:spacing w:before="1" w:line="232"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）保护植物分布情况</w:t>
      </w:r>
    </w:p>
    <w:p w14:paraId="65B84A43">
      <w:pPr>
        <w:pStyle w:val="2"/>
        <w:spacing w:before="139" w:line="330" w:lineRule="auto"/>
        <w:ind w:left="38" w:right="98" w:firstLine="480"/>
        <w:rPr>
          <w:sz w:val="24"/>
          <w:szCs w:val="24"/>
        </w:rPr>
      </w:pPr>
      <w:r>
        <w:rPr>
          <w:spacing w:val="-14"/>
          <w:sz w:val="24"/>
          <w:szCs w:val="24"/>
        </w:rPr>
        <w:t>环评期调查期间，调查区未发现《国家重点保护野生植物名录》（第一批，</w:t>
      </w:r>
      <w:r>
        <w:rPr>
          <w:rFonts w:ascii="Times New Roman" w:hAnsi="Times New Roman" w:eastAsia="Times New Roman" w:cs="Times New Roman"/>
          <w:spacing w:val="-14"/>
          <w:sz w:val="24"/>
          <w:szCs w:val="24"/>
        </w:rPr>
        <w:t>1999</w:t>
      </w:r>
      <w:r>
        <w:rPr>
          <w:spacing w:val="-14"/>
          <w:sz w:val="24"/>
          <w:szCs w:val="24"/>
        </w:rPr>
        <w:t>）</w:t>
      </w:r>
      <w:r>
        <w:rPr>
          <w:spacing w:val="-1"/>
          <w:sz w:val="24"/>
          <w:szCs w:val="24"/>
        </w:rPr>
        <w:t>记载的保护植物，也未发现云南省级重点保护植</w:t>
      </w:r>
      <w:r>
        <w:rPr>
          <w:spacing w:val="-2"/>
          <w:sz w:val="24"/>
          <w:szCs w:val="24"/>
        </w:rPr>
        <w:t>物或极小种群野生植物。</w:t>
      </w:r>
    </w:p>
    <w:p w14:paraId="0B043468">
      <w:pPr>
        <w:pStyle w:val="2"/>
        <w:spacing w:before="17" w:line="336" w:lineRule="auto"/>
        <w:ind w:left="38" w:right="203" w:firstLine="480"/>
        <w:jc w:val="both"/>
        <w:rPr>
          <w:sz w:val="24"/>
          <w:szCs w:val="24"/>
        </w:rPr>
      </w:pPr>
      <w:r>
        <w:rPr>
          <w:spacing w:val="-11"/>
          <w:sz w:val="24"/>
          <w:szCs w:val="24"/>
        </w:rPr>
        <w:t>施工期调查期间，依据《国家重点保护植物名录》（</w:t>
      </w:r>
      <w:r>
        <w:rPr>
          <w:rFonts w:ascii="Times New Roman" w:hAnsi="Times New Roman" w:eastAsia="Times New Roman" w:cs="Times New Roman"/>
          <w:spacing w:val="-11"/>
          <w:sz w:val="24"/>
          <w:szCs w:val="24"/>
        </w:rPr>
        <w:t>2021</w:t>
      </w:r>
      <w:r>
        <w:rPr>
          <w:spacing w:val="-11"/>
          <w:sz w:val="24"/>
          <w:szCs w:val="24"/>
        </w:rPr>
        <w:t>年版）、《中国珍稀濒</w:t>
      </w:r>
      <w:r>
        <w:rPr>
          <w:spacing w:val="-12"/>
          <w:sz w:val="24"/>
          <w:szCs w:val="24"/>
        </w:rPr>
        <w:t>危植物红皮书》（</w:t>
      </w:r>
      <w:r>
        <w:rPr>
          <w:rFonts w:ascii="Times New Roman" w:hAnsi="Times New Roman" w:eastAsia="Times New Roman" w:cs="Times New Roman"/>
          <w:spacing w:val="-12"/>
          <w:sz w:val="24"/>
          <w:szCs w:val="24"/>
        </w:rPr>
        <w:t xml:space="preserve">1987  </w:t>
      </w:r>
      <w:r>
        <w:rPr>
          <w:spacing w:val="-12"/>
          <w:sz w:val="24"/>
          <w:szCs w:val="24"/>
        </w:rPr>
        <w:t>年版）、《云南省第一批省级重点保护野生植物名录》（</w:t>
      </w:r>
      <w:r>
        <w:rPr>
          <w:rFonts w:ascii="Times New Roman" w:hAnsi="Times New Roman" w:eastAsia="Times New Roman" w:cs="Times New Roman"/>
          <w:spacing w:val="-12"/>
          <w:sz w:val="24"/>
          <w:szCs w:val="24"/>
        </w:rPr>
        <w:t>1989</w:t>
      </w:r>
      <w:r>
        <w:rPr>
          <w:spacing w:val="-8"/>
          <w:sz w:val="24"/>
          <w:szCs w:val="24"/>
        </w:rPr>
        <w:t>年版）、《云南省极小种群物种拯救保护规划纲要（</w:t>
      </w:r>
      <w:r>
        <w:rPr>
          <w:rFonts w:ascii="Times New Roman" w:hAnsi="Times New Roman" w:eastAsia="Times New Roman" w:cs="Times New Roman"/>
          <w:spacing w:val="-8"/>
          <w:sz w:val="24"/>
          <w:szCs w:val="24"/>
        </w:rPr>
        <w:t xml:space="preserve">2010 </w:t>
      </w:r>
      <w:r>
        <w:rPr>
          <w:spacing w:val="-8"/>
          <w:sz w:val="24"/>
          <w:szCs w:val="24"/>
        </w:rPr>
        <w:t>年</w:t>
      </w:r>
      <w:r>
        <w:rPr>
          <w:rFonts w:ascii="Times New Roman" w:hAnsi="Times New Roman" w:eastAsia="Times New Roman" w:cs="Times New Roman"/>
          <w:spacing w:val="-8"/>
          <w:sz w:val="24"/>
          <w:szCs w:val="24"/>
        </w:rPr>
        <w:t xml:space="preserve">-2020 </w:t>
      </w:r>
      <w:r>
        <w:rPr>
          <w:spacing w:val="-8"/>
          <w:sz w:val="24"/>
          <w:szCs w:val="24"/>
        </w:rPr>
        <w:t>年）和紧急行</w:t>
      </w:r>
      <w:r>
        <w:rPr>
          <w:spacing w:val="-9"/>
          <w:sz w:val="24"/>
          <w:szCs w:val="24"/>
        </w:rPr>
        <w:t>动计</w:t>
      </w:r>
      <w:r>
        <w:rPr>
          <w:spacing w:val="-8"/>
          <w:sz w:val="24"/>
          <w:szCs w:val="24"/>
        </w:rPr>
        <w:t>划（</w:t>
      </w:r>
      <w:r>
        <w:rPr>
          <w:rFonts w:ascii="Times New Roman" w:hAnsi="Times New Roman" w:eastAsia="Times New Roman" w:cs="Times New Roman"/>
          <w:spacing w:val="-8"/>
          <w:sz w:val="24"/>
          <w:szCs w:val="24"/>
        </w:rPr>
        <w:t>2010-2015</w:t>
      </w:r>
      <w:r>
        <w:rPr>
          <w:spacing w:val="-8"/>
          <w:sz w:val="24"/>
          <w:szCs w:val="24"/>
        </w:rPr>
        <w:t>）》（云政复〔</w:t>
      </w:r>
      <w:r>
        <w:rPr>
          <w:rFonts w:ascii="Times New Roman" w:hAnsi="Times New Roman" w:eastAsia="Times New Roman" w:cs="Times New Roman"/>
          <w:spacing w:val="-8"/>
          <w:sz w:val="24"/>
          <w:szCs w:val="24"/>
        </w:rPr>
        <w:t>2010</w:t>
      </w:r>
      <w:r>
        <w:rPr>
          <w:spacing w:val="-8"/>
          <w:sz w:val="24"/>
          <w:szCs w:val="24"/>
        </w:rPr>
        <w:t>〕</w:t>
      </w:r>
      <w:r>
        <w:rPr>
          <w:rFonts w:ascii="Times New Roman" w:hAnsi="Times New Roman" w:eastAsia="Times New Roman" w:cs="Times New Roman"/>
          <w:spacing w:val="-8"/>
          <w:sz w:val="24"/>
          <w:szCs w:val="24"/>
        </w:rPr>
        <w:t xml:space="preserve">15  </w:t>
      </w:r>
      <w:r>
        <w:rPr>
          <w:spacing w:val="-8"/>
          <w:sz w:val="24"/>
          <w:szCs w:val="24"/>
        </w:rPr>
        <w:t>号）和“关于印发《全国极小种群野生植物</w:t>
      </w:r>
      <w:r>
        <w:rPr>
          <w:spacing w:val="-9"/>
          <w:sz w:val="24"/>
          <w:szCs w:val="24"/>
        </w:rPr>
        <w:t>拯救保护工程规划（</w:t>
      </w:r>
      <w:r>
        <w:rPr>
          <w:rFonts w:ascii="Times New Roman" w:hAnsi="Times New Roman" w:eastAsia="Times New Roman" w:cs="Times New Roman"/>
          <w:spacing w:val="-9"/>
          <w:sz w:val="24"/>
          <w:szCs w:val="24"/>
        </w:rPr>
        <w:t xml:space="preserve">2011-2015 </w:t>
      </w:r>
      <w:r>
        <w:rPr>
          <w:spacing w:val="-9"/>
          <w:sz w:val="24"/>
          <w:szCs w:val="24"/>
        </w:rPr>
        <w:t>年）》的通知”（林规发〔</w:t>
      </w:r>
      <w:r>
        <w:rPr>
          <w:rFonts w:ascii="Times New Roman" w:hAnsi="Times New Roman" w:eastAsia="Times New Roman" w:cs="Times New Roman"/>
          <w:spacing w:val="-9"/>
          <w:sz w:val="24"/>
          <w:szCs w:val="24"/>
        </w:rPr>
        <w:t>2012</w:t>
      </w:r>
      <w:r>
        <w:rPr>
          <w:spacing w:val="-9"/>
          <w:sz w:val="24"/>
          <w:szCs w:val="24"/>
        </w:rPr>
        <w:t>〕</w:t>
      </w:r>
      <w:r>
        <w:rPr>
          <w:rFonts w:ascii="Times New Roman" w:hAnsi="Times New Roman" w:eastAsia="Times New Roman" w:cs="Times New Roman"/>
          <w:spacing w:val="-9"/>
          <w:sz w:val="24"/>
          <w:szCs w:val="24"/>
        </w:rPr>
        <w:t xml:space="preserve">59  </w:t>
      </w:r>
      <w:r>
        <w:rPr>
          <w:spacing w:val="-9"/>
          <w:sz w:val="24"/>
          <w:szCs w:val="24"/>
        </w:rPr>
        <w:t>号）等，调查区</w:t>
      </w:r>
      <w:r>
        <w:rPr>
          <w:spacing w:val="-1"/>
          <w:sz w:val="24"/>
          <w:szCs w:val="24"/>
        </w:rPr>
        <w:t>内也未发现国家重点保护植物、云南省级重点保护植物</w:t>
      </w:r>
      <w:r>
        <w:rPr>
          <w:spacing w:val="-2"/>
          <w:sz w:val="24"/>
          <w:szCs w:val="24"/>
        </w:rPr>
        <w:t>及极小种群野生植物。</w:t>
      </w:r>
    </w:p>
    <w:p w14:paraId="1D39C0ED">
      <w:pPr>
        <w:pStyle w:val="2"/>
        <w:spacing w:before="23"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5</w:t>
      </w:r>
      <w:r>
        <w:rPr>
          <w:b/>
          <w:bCs/>
          <w:spacing w:val="-3"/>
          <w:sz w:val="24"/>
          <w:szCs w:val="24"/>
        </w:rPr>
        <w:t>）名木古树及特有植物</w:t>
      </w:r>
    </w:p>
    <w:p w14:paraId="48366EC3">
      <w:pPr>
        <w:pStyle w:val="2"/>
        <w:spacing w:before="137" w:line="339" w:lineRule="auto"/>
        <w:ind w:left="78" w:right="237" w:firstLine="440"/>
        <w:rPr>
          <w:sz w:val="24"/>
          <w:szCs w:val="24"/>
        </w:rPr>
      </w:pPr>
      <w:r>
        <w:rPr>
          <w:spacing w:val="-9"/>
          <w:sz w:val="24"/>
          <w:szCs w:val="24"/>
        </w:rPr>
        <w:t>环评调查期间，调查区内未发现古树名木。调查区记录到中国特有植物</w:t>
      </w:r>
      <w:r>
        <w:rPr>
          <w:spacing w:val="-35"/>
          <w:sz w:val="24"/>
          <w:szCs w:val="24"/>
        </w:rPr>
        <w:t xml:space="preserve"> </w:t>
      </w:r>
      <w:r>
        <w:rPr>
          <w:rFonts w:ascii="Times New Roman" w:hAnsi="Times New Roman" w:eastAsia="Times New Roman" w:cs="Times New Roman"/>
          <w:spacing w:val="-9"/>
          <w:sz w:val="24"/>
          <w:szCs w:val="24"/>
        </w:rPr>
        <w:t xml:space="preserve">85 </w:t>
      </w:r>
      <w:r>
        <w:rPr>
          <w:spacing w:val="-9"/>
          <w:sz w:val="24"/>
          <w:szCs w:val="24"/>
        </w:rPr>
        <w:t>种，</w:t>
      </w:r>
      <w:r>
        <w:rPr>
          <w:spacing w:val="-7"/>
          <w:sz w:val="24"/>
          <w:szCs w:val="24"/>
        </w:rPr>
        <w:t>占调查区植物种类的</w:t>
      </w:r>
      <w:r>
        <w:rPr>
          <w:rFonts w:ascii="Times New Roman" w:hAnsi="Times New Roman" w:eastAsia="Times New Roman" w:cs="Times New Roman"/>
          <w:spacing w:val="-7"/>
          <w:sz w:val="24"/>
          <w:szCs w:val="24"/>
        </w:rPr>
        <w:t>20.8%</w:t>
      </w:r>
      <w:r>
        <w:rPr>
          <w:spacing w:val="-7"/>
          <w:sz w:val="24"/>
          <w:szCs w:val="24"/>
        </w:rPr>
        <w:t>；记录到云南特</w:t>
      </w:r>
      <w:r>
        <w:rPr>
          <w:spacing w:val="-8"/>
          <w:sz w:val="24"/>
          <w:szCs w:val="24"/>
        </w:rPr>
        <w:t>有植物</w:t>
      </w:r>
      <w:r>
        <w:rPr>
          <w:spacing w:val="-60"/>
          <w:sz w:val="24"/>
          <w:szCs w:val="24"/>
        </w:rPr>
        <w:t xml:space="preserve"> </w:t>
      </w:r>
      <w:r>
        <w:rPr>
          <w:rFonts w:ascii="Times New Roman" w:hAnsi="Times New Roman" w:eastAsia="Times New Roman" w:cs="Times New Roman"/>
          <w:spacing w:val="-8"/>
          <w:sz w:val="24"/>
          <w:szCs w:val="24"/>
        </w:rPr>
        <w:t>12</w:t>
      </w:r>
      <w:r>
        <w:rPr>
          <w:rFonts w:ascii="Times New Roman" w:hAnsi="Times New Roman" w:eastAsia="Times New Roman" w:cs="Times New Roman"/>
          <w:spacing w:val="-19"/>
          <w:sz w:val="24"/>
          <w:szCs w:val="24"/>
        </w:rPr>
        <w:t xml:space="preserve"> </w:t>
      </w:r>
      <w:r>
        <w:rPr>
          <w:spacing w:val="-8"/>
          <w:sz w:val="24"/>
          <w:szCs w:val="24"/>
        </w:rPr>
        <w:t>种，占调查区植物种类的</w:t>
      </w:r>
      <w:r>
        <w:rPr>
          <w:rFonts w:ascii="Times New Roman" w:hAnsi="Times New Roman" w:eastAsia="Times New Roman" w:cs="Times New Roman"/>
          <w:spacing w:val="-8"/>
          <w:sz w:val="24"/>
          <w:szCs w:val="24"/>
        </w:rPr>
        <w:t>3%</w:t>
      </w:r>
      <w:r>
        <w:rPr>
          <w:spacing w:val="-8"/>
          <w:sz w:val="24"/>
          <w:szCs w:val="24"/>
        </w:rPr>
        <w:t>。</w:t>
      </w:r>
    </w:p>
    <w:p w14:paraId="1769690D">
      <w:pPr>
        <w:spacing w:line="339" w:lineRule="auto"/>
        <w:rPr>
          <w:sz w:val="24"/>
          <w:szCs w:val="24"/>
        </w:rPr>
        <w:sectPr>
          <w:headerReference r:id="rId161" w:type="default"/>
          <w:footerReference r:id="rId162" w:type="default"/>
          <w:pgSz w:w="11907" w:h="16839"/>
          <w:pgMar w:top="1376" w:right="1495" w:bottom="1061" w:left="1671" w:header="999" w:footer="861" w:gutter="0"/>
          <w:cols w:space="720" w:num="1"/>
        </w:sectPr>
      </w:pPr>
    </w:p>
    <w:p w14:paraId="4C6D9880">
      <w:pPr>
        <w:spacing w:line="455" w:lineRule="auto"/>
        <w:rPr>
          <w:rFonts w:ascii="Arial"/>
          <w:sz w:val="21"/>
        </w:rPr>
      </w:pPr>
    </w:p>
    <w:p w14:paraId="2FF39F8C">
      <w:pPr>
        <w:pStyle w:val="2"/>
        <w:spacing w:before="78" w:line="233" w:lineRule="auto"/>
        <w:ind w:left="41"/>
        <w:rPr>
          <w:sz w:val="24"/>
          <w:szCs w:val="24"/>
        </w:rPr>
      </w:pPr>
      <w:r>
        <w:rPr>
          <w:spacing w:val="-2"/>
          <w:sz w:val="24"/>
          <w:szCs w:val="24"/>
        </w:rPr>
        <w:t>调查区云南特有植物见表</w:t>
      </w:r>
      <w:r>
        <w:rPr>
          <w:spacing w:val="-38"/>
          <w:sz w:val="24"/>
          <w:szCs w:val="24"/>
        </w:rPr>
        <w:t xml:space="preserve"> </w:t>
      </w:r>
      <w:r>
        <w:rPr>
          <w:rFonts w:ascii="Times New Roman" w:hAnsi="Times New Roman" w:eastAsia="Times New Roman" w:cs="Times New Roman"/>
          <w:spacing w:val="-2"/>
          <w:sz w:val="24"/>
          <w:szCs w:val="24"/>
        </w:rPr>
        <w:t>6.1-8</w:t>
      </w:r>
      <w:r>
        <w:rPr>
          <w:spacing w:val="-2"/>
          <w:sz w:val="24"/>
          <w:szCs w:val="24"/>
        </w:rPr>
        <w:t>。</w:t>
      </w:r>
    </w:p>
    <w:p w14:paraId="2F2784BB">
      <w:pPr>
        <w:pStyle w:val="2"/>
        <w:spacing w:before="137" w:line="226" w:lineRule="auto"/>
        <w:ind w:left="279"/>
        <w:rPr>
          <w:sz w:val="24"/>
          <w:szCs w:val="24"/>
        </w:rPr>
      </w:pPr>
      <w:r>
        <w:rPr>
          <w:b/>
          <w:bCs/>
          <w:spacing w:val="-1"/>
          <w:sz w:val="24"/>
          <w:szCs w:val="24"/>
        </w:rPr>
        <w:t>表</w:t>
      </w:r>
      <w:r>
        <w:rPr>
          <w:spacing w:val="-43"/>
          <w:sz w:val="24"/>
          <w:szCs w:val="24"/>
        </w:rPr>
        <w:t xml:space="preserve"> </w:t>
      </w:r>
      <w:r>
        <w:rPr>
          <w:rFonts w:ascii="Times New Roman" w:hAnsi="Times New Roman" w:eastAsia="Times New Roman" w:cs="Times New Roman"/>
          <w:b/>
          <w:bCs/>
          <w:spacing w:val="-1"/>
          <w:sz w:val="24"/>
          <w:szCs w:val="24"/>
        </w:rPr>
        <w:t xml:space="preserve">6.1-8                        </w:t>
      </w:r>
      <w:r>
        <w:rPr>
          <w:b/>
          <w:bCs/>
          <w:spacing w:val="-1"/>
          <w:sz w:val="24"/>
          <w:szCs w:val="24"/>
        </w:rPr>
        <w:t>环评期（</w:t>
      </w:r>
      <w:r>
        <w:rPr>
          <w:rFonts w:ascii="Times New Roman" w:hAnsi="Times New Roman" w:eastAsia="Times New Roman" w:cs="Times New Roman"/>
          <w:b/>
          <w:bCs/>
          <w:spacing w:val="-1"/>
          <w:sz w:val="24"/>
          <w:szCs w:val="24"/>
        </w:rPr>
        <w:t xml:space="preserve">2015 </w:t>
      </w:r>
      <w:r>
        <w:rPr>
          <w:b/>
          <w:bCs/>
          <w:spacing w:val="-1"/>
          <w:sz w:val="24"/>
          <w:szCs w:val="24"/>
        </w:rPr>
        <w:t>年）调查区云南特有植物一览表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9"/>
        <w:gridCol w:w="1864"/>
        <w:gridCol w:w="4871"/>
        <w:gridCol w:w="869"/>
      </w:tblGrid>
      <w:tr w14:paraId="58704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869" w:type="dxa"/>
            <w:tcBorders>
              <w:top w:val="single" w:color="000000" w:sz="12" w:space="0"/>
              <w:left w:val="single" w:color="000000" w:sz="12" w:space="0"/>
            </w:tcBorders>
            <w:vAlign w:val="top"/>
          </w:tcPr>
          <w:p w14:paraId="48276774">
            <w:pPr>
              <w:spacing w:before="58" w:line="221" w:lineRule="auto"/>
              <w:ind w:left="210"/>
              <w:rPr>
                <w:rFonts w:ascii="宋体" w:hAnsi="宋体" w:eastAsia="宋体" w:cs="宋体"/>
                <w:sz w:val="21"/>
                <w:szCs w:val="21"/>
              </w:rPr>
            </w:pPr>
            <w:r>
              <w:rPr>
                <w:rFonts w:ascii="宋体" w:hAnsi="宋体" w:eastAsia="宋体" w:cs="宋体"/>
                <w:spacing w:val="-2"/>
                <w:sz w:val="21"/>
                <w:szCs w:val="21"/>
              </w:rPr>
              <w:t>序号</w:t>
            </w:r>
          </w:p>
        </w:tc>
        <w:tc>
          <w:tcPr>
            <w:tcW w:w="1864" w:type="dxa"/>
            <w:tcBorders>
              <w:top w:val="single" w:color="000000" w:sz="12" w:space="0"/>
            </w:tcBorders>
            <w:vAlign w:val="top"/>
          </w:tcPr>
          <w:p w14:paraId="7DDCFA25">
            <w:pPr>
              <w:spacing w:before="58" w:line="220" w:lineRule="auto"/>
              <w:ind w:left="630"/>
              <w:rPr>
                <w:rFonts w:ascii="宋体" w:hAnsi="宋体" w:eastAsia="宋体" w:cs="宋体"/>
                <w:sz w:val="21"/>
                <w:szCs w:val="21"/>
              </w:rPr>
            </w:pPr>
            <w:r>
              <w:rPr>
                <w:rFonts w:ascii="宋体" w:hAnsi="宋体" w:eastAsia="宋体" w:cs="宋体"/>
                <w:spacing w:val="-7"/>
                <w:sz w:val="21"/>
                <w:szCs w:val="21"/>
              </w:rPr>
              <w:t>中文名</w:t>
            </w:r>
          </w:p>
        </w:tc>
        <w:tc>
          <w:tcPr>
            <w:tcW w:w="4871" w:type="dxa"/>
            <w:tcBorders>
              <w:top w:val="single" w:color="000000" w:sz="12" w:space="0"/>
            </w:tcBorders>
            <w:vAlign w:val="top"/>
          </w:tcPr>
          <w:p w14:paraId="7E3DFD38">
            <w:pPr>
              <w:spacing w:before="58" w:line="221" w:lineRule="auto"/>
              <w:ind w:left="2128"/>
              <w:rPr>
                <w:rFonts w:ascii="宋体" w:hAnsi="宋体" w:eastAsia="宋体" w:cs="宋体"/>
                <w:sz w:val="21"/>
                <w:szCs w:val="21"/>
              </w:rPr>
            </w:pPr>
            <w:r>
              <w:rPr>
                <w:rFonts w:ascii="宋体" w:hAnsi="宋体" w:eastAsia="宋体" w:cs="宋体"/>
                <w:spacing w:val="-3"/>
                <w:sz w:val="21"/>
                <w:szCs w:val="21"/>
              </w:rPr>
              <w:t>拉丁名</w:t>
            </w:r>
          </w:p>
        </w:tc>
        <w:tc>
          <w:tcPr>
            <w:tcW w:w="869" w:type="dxa"/>
            <w:tcBorders>
              <w:top w:val="single" w:color="000000" w:sz="12" w:space="0"/>
              <w:right w:val="single" w:color="000000" w:sz="12" w:space="0"/>
            </w:tcBorders>
            <w:vAlign w:val="top"/>
          </w:tcPr>
          <w:p w14:paraId="670AE198">
            <w:pPr>
              <w:spacing w:before="57" w:line="220" w:lineRule="auto"/>
              <w:ind w:left="236"/>
              <w:rPr>
                <w:rFonts w:ascii="宋体" w:hAnsi="宋体" w:eastAsia="宋体" w:cs="宋体"/>
                <w:sz w:val="21"/>
                <w:szCs w:val="21"/>
              </w:rPr>
            </w:pPr>
            <w:r>
              <w:rPr>
                <w:rFonts w:ascii="宋体" w:hAnsi="宋体" w:eastAsia="宋体" w:cs="宋体"/>
                <w:spacing w:val="-3"/>
                <w:sz w:val="21"/>
                <w:szCs w:val="21"/>
              </w:rPr>
              <w:t>性状</w:t>
            </w:r>
          </w:p>
        </w:tc>
      </w:tr>
      <w:tr w14:paraId="21D1B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232631F7">
            <w:pPr>
              <w:pStyle w:val="6"/>
              <w:spacing w:before="92" w:line="227" w:lineRule="auto"/>
              <w:ind w:left="385"/>
            </w:pPr>
            <w:r>
              <w:t>1</w:t>
            </w:r>
          </w:p>
        </w:tc>
        <w:tc>
          <w:tcPr>
            <w:tcW w:w="1864" w:type="dxa"/>
            <w:vAlign w:val="top"/>
          </w:tcPr>
          <w:p w14:paraId="58552C3D">
            <w:pPr>
              <w:spacing w:before="58" w:line="220" w:lineRule="auto"/>
              <w:ind w:left="400"/>
              <w:rPr>
                <w:rFonts w:ascii="宋体" w:hAnsi="宋体" w:eastAsia="宋体" w:cs="宋体"/>
                <w:sz w:val="21"/>
                <w:szCs w:val="21"/>
              </w:rPr>
            </w:pPr>
            <w:r>
              <w:rPr>
                <w:rFonts w:ascii="宋体" w:hAnsi="宋体" w:eastAsia="宋体" w:cs="宋体"/>
                <w:spacing w:val="-2"/>
                <w:sz w:val="21"/>
                <w:szCs w:val="21"/>
              </w:rPr>
              <w:t>滇西委陵菜</w:t>
            </w:r>
          </w:p>
        </w:tc>
        <w:tc>
          <w:tcPr>
            <w:tcW w:w="4871" w:type="dxa"/>
            <w:vAlign w:val="top"/>
          </w:tcPr>
          <w:p w14:paraId="2A44C1D0">
            <w:pPr>
              <w:pStyle w:val="6"/>
              <w:spacing w:before="92" w:line="190" w:lineRule="auto"/>
              <w:ind w:left="1632"/>
            </w:pPr>
            <w:r>
              <w:rPr>
                <w:i/>
                <w:iCs/>
              </w:rPr>
              <w:t>Potentilla</w:t>
            </w:r>
            <w:r>
              <w:rPr>
                <w:i/>
                <w:iCs/>
                <w:spacing w:val="5"/>
              </w:rPr>
              <w:t xml:space="preserve"> </w:t>
            </w:r>
            <w:r>
              <w:rPr>
                <w:i/>
                <w:iCs/>
              </w:rPr>
              <w:t>delavayi</w:t>
            </w:r>
          </w:p>
        </w:tc>
        <w:tc>
          <w:tcPr>
            <w:tcW w:w="869" w:type="dxa"/>
            <w:tcBorders>
              <w:right w:val="single" w:color="000000" w:sz="12" w:space="0"/>
            </w:tcBorders>
            <w:vAlign w:val="top"/>
          </w:tcPr>
          <w:p w14:paraId="7F5B08F4">
            <w:pPr>
              <w:spacing w:before="58" w:line="219" w:lineRule="auto"/>
              <w:ind w:left="235"/>
              <w:rPr>
                <w:rFonts w:ascii="宋体" w:hAnsi="宋体" w:eastAsia="宋体" w:cs="宋体"/>
                <w:sz w:val="21"/>
                <w:szCs w:val="21"/>
              </w:rPr>
            </w:pPr>
            <w:r>
              <w:rPr>
                <w:rFonts w:ascii="宋体" w:hAnsi="宋体" w:eastAsia="宋体" w:cs="宋体"/>
                <w:spacing w:val="-3"/>
                <w:sz w:val="21"/>
                <w:szCs w:val="21"/>
              </w:rPr>
              <w:t>草本</w:t>
            </w:r>
          </w:p>
        </w:tc>
      </w:tr>
      <w:tr w14:paraId="46A2C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575EF919">
            <w:pPr>
              <w:pStyle w:val="6"/>
              <w:spacing w:before="94" w:line="225" w:lineRule="auto"/>
              <w:ind w:left="365"/>
            </w:pPr>
            <w:r>
              <w:t>2</w:t>
            </w:r>
          </w:p>
        </w:tc>
        <w:tc>
          <w:tcPr>
            <w:tcW w:w="1864" w:type="dxa"/>
            <w:vAlign w:val="top"/>
          </w:tcPr>
          <w:p w14:paraId="3BA9ED22">
            <w:pPr>
              <w:spacing w:before="61" w:line="220" w:lineRule="auto"/>
              <w:ind w:left="406"/>
              <w:rPr>
                <w:rFonts w:ascii="宋体" w:hAnsi="宋体" w:eastAsia="宋体" w:cs="宋体"/>
                <w:sz w:val="21"/>
                <w:szCs w:val="21"/>
              </w:rPr>
            </w:pPr>
            <w:r>
              <w:rPr>
                <w:rFonts w:ascii="宋体" w:hAnsi="宋体" w:eastAsia="宋体" w:cs="宋体"/>
                <w:spacing w:val="-3"/>
                <w:sz w:val="21"/>
                <w:szCs w:val="21"/>
              </w:rPr>
              <w:t>云南过路黄</w:t>
            </w:r>
          </w:p>
        </w:tc>
        <w:tc>
          <w:tcPr>
            <w:tcW w:w="4871" w:type="dxa"/>
            <w:vAlign w:val="top"/>
          </w:tcPr>
          <w:p w14:paraId="16F1B55A">
            <w:pPr>
              <w:pStyle w:val="6"/>
              <w:spacing w:before="94" w:line="190" w:lineRule="auto"/>
              <w:ind w:left="1508"/>
            </w:pPr>
            <w:r>
              <w:rPr>
                <w:i/>
                <w:iCs/>
              </w:rPr>
              <w:t>Lysimachia</w:t>
            </w:r>
            <w:r>
              <w:rPr>
                <w:i/>
                <w:iCs/>
                <w:spacing w:val="7"/>
              </w:rPr>
              <w:t xml:space="preserve"> </w:t>
            </w:r>
            <w:r>
              <w:rPr>
                <w:i/>
                <w:iCs/>
              </w:rPr>
              <w:t>albescens</w:t>
            </w:r>
          </w:p>
        </w:tc>
        <w:tc>
          <w:tcPr>
            <w:tcW w:w="869" w:type="dxa"/>
            <w:tcBorders>
              <w:right w:val="single" w:color="000000" w:sz="12" w:space="0"/>
            </w:tcBorders>
            <w:vAlign w:val="top"/>
          </w:tcPr>
          <w:p w14:paraId="1D14D401">
            <w:pPr>
              <w:spacing w:before="61" w:line="219" w:lineRule="auto"/>
              <w:ind w:left="235"/>
              <w:rPr>
                <w:rFonts w:ascii="宋体" w:hAnsi="宋体" w:eastAsia="宋体" w:cs="宋体"/>
                <w:sz w:val="21"/>
                <w:szCs w:val="21"/>
              </w:rPr>
            </w:pPr>
            <w:r>
              <w:rPr>
                <w:rFonts w:ascii="宋体" w:hAnsi="宋体" w:eastAsia="宋体" w:cs="宋体"/>
                <w:spacing w:val="-3"/>
                <w:sz w:val="21"/>
                <w:szCs w:val="21"/>
              </w:rPr>
              <w:t>草本</w:t>
            </w:r>
          </w:p>
        </w:tc>
      </w:tr>
      <w:tr w14:paraId="00338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4019A3C3">
            <w:pPr>
              <w:pStyle w:val="6"/>
              <w:spacing w:before="97" w:line="222" w:lineRule="auto"/>
              <w:ind w:left="369"/>
            </w:pPr>
            <w:r>
              <w:t>3</w:t>
            </w:r>
          </w:p>
        </w:tc>
        <w:tc>
          <w:tcPr>
            <w:tcW w:w="1864" w:type="dxa"/>
            <w:vAlign w:val="top"/>
          </w:tcPr>
          <w:p w14:paraId="1A78F890">
            <w:pPr>
              <w:spacing w:before="64" w:line="220" w:lineRule="auto"/>
              <w:ind w:left="411"/>
              <w:rPr>
                <w:rFonts w:ascii="宋体" w:hAnsi="宋体" w:eastAsia="宋体" w:cs="宋体"/>
                <w:sz w:val="21"/>
                <w:szCs w:val="21"/>
              </w:rPr>
            </w:pPr>
            <w:r>
              <w:rPr>
                <w:rFonts w:ascii="宋体" w:hAnsi="宋体" w:eastAsia="宋体" w:cs="宋体"/>
                <w:spacing w:val="-4"/>
                <w:sz w:val="21"/>
                <w:szCs w:val="21"/>
              </w:rPr>
              <w:t>宽穗兔耳风</w:t>
            </w:r>
          </w:p>
        </w:tc>
        <w:tc>
          <w:tcPr>
            <w:tcW w:w="4871" w:type="dxa"/>
            <w:vAlign w:val="top"/>
          </w:tcPr>
          <w:p w14:paraId="4B31094B">
            <w:pPr>
              <w:pStyle w:val="6"/>
              <w:spacing w:before="97" w:line="190" w:lineRule="auto"/>
              <w:ind w:left="959"/>
            </w:pPr>
            <w:r>
              <w:rPr>
                <w:i/>
                <w:iCs/>
              </w:rPr>
              <w:t>Ainskiaea</w:t>
            </w:r>
            <w:r>
              <w:rPr>
                <w:i/>
                <w:iCs/>
                <w:spacing w:val="11"/>
              </w:rPr>
              <w:t xml:space="preserve"> </w:t>
            </w:r>
            <w:r>
              <w:rPr>
                <w:i/>
                <w:iCs/>
              </w:rPr>
              <w:t>latifolia</w:t>
            </w:r>
            <w:r>
              <w:rPr>
                <w:i/>
                <w:iCs/>
                <w:spacing w:val="11"/>
              </w:rPr>
              <w:t xml:space="preserve"> </w:t>
            </w:r>
            <w:r>
              <w:rPr>
                <w:i/>
                <w:iCs/>
              </w:rPr>
              <w:t>var</w:t>
            </w:r>
            <w:r>
              <w:rPr>
                <w:i/>
                <w:iCs/>
                <w:spacing w:val="11"/>
              </w:rPr>
              <w:t>.</w:t>
            </w:r>
            <w:r>
              <w:rPr>
                <w:i/>
                <w:iCs/>
                <w:spacing w:val="-23"/>
              </w:rPr>
              <w:t xml:space="preserve"> </w:t>
            </w:r>
            <w:r>
              <w:rPr>
                <w:i/>
                <w:iCs/>
              </w:rPr>
              <w:t>platyphylla</w:t>
            </w:r>
          </w:p>
        </w:tc>
        <w:tc>
          <w:tcPr>
            <w:tcW w:w="869" w:type="dxa"/>
            <w:tcBorders>
              <w:right w:val="single" w:color="000000" w:sz="12" w:space="0"/>
            </w:tcBorders>
            <w:vAlign w:val="top"/>
          </w:tcPr>
          <w:p w14:paraId="3A95DB62">
            <w:pPr>
              <w:spacing w:before="63" w:line="219" w:lineRule="auto"/>
              <w:ind w:left="235"/>
              <w:rPr>
                <w:rFonts w:ascii="宋体" w:hAnsi="宋体" w:eastAsia="宋体" w:cs="宋体"/>
                <w:sz w:val="21"/>
                <w:szCs w:val="21"/>
              </w:rPr>
            </w:pPr>
            <w:r>
              <w:rPr>
                <w:rFonts w:ascii="宋体" w:hAnsi="宋体" w:eastAsia="宋体" w:cs="宋体"/>
                <w:spacing w:val="-3"/>
                <w:sz w:val="21"/>
                <w:szCs w:val="21"/>
              </w:rPr>
              <w:t>草本</w:t>
            </w:r>
          </w:p>
        </w:tc>
      </w:tr>
      <w:tr w14:paraId="2A978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79358C63">
            <w:pPr>
              <w:pStyle w:val="6"/>
              <w:spacing w:before="99" w:line="220" w:lineRule="auto"/>
              <w:ind w:left="364"/>
            </w:pPr>
            <w:r>
              <w:t>4</w:t>
            </w:r>
          </w:p>
        </w:tc>
        <w:tc>
          <w:tcPr>
            <w:tcW w:w="1864" w:type="dxa"/>
            <w:vAlign w:val="top"/>
          </w:tcPr>
          <w:p w14:paraId="58584F2B">
            <w:pPr>
              <w:spacing w:before="66" w:line="221" w:lineRule="auto"/>
              <w:ind w:left="716"/>
              <w:rPr>
                <w:rFonts w:ascii="宋体" w:hAnsi="宋体" w:eastAsia="宋体" w:cs="宋体"/>
                <w:sz w:val="21"/>
                <w:szCs w:val="21"/>
              </w:rPr>
            </w:pPr>
            <w:r>
              <w:rPr>
                <w:rFonts w:ascii="宋体" w:hAnsi="宋体" w:eastAsia="宋体" w:cs="宋体"/>
                <w:spacing w:val="-3"/>
                <w:sz w:val="21"/>
                <w:szCs w:val="21"/>
              </w:rPr>
              <w:t>滑竹</w:t>
            </w:r>
          </w:p>
        </w:tc>
        <w:tc>
          <w:tcPr>
            <w:tcW w:w="4871" w:type="dxa"/>
            <w:vAlign w:val="top"/>
          </w:tcPr>
          <w:p w14:paraId="324DC7AF">
            <w:pPr>
              <w:pStyle w:val="6"/>
              <w:spacing w:before="99" w:line="190" w:lineRule="auto"/>
              <w:ind w:left="1603"/>
            </w:pPr>
            <w:r>
              <w:rPr>
                <w:i/>
                <w:iCs/>
              </w:rPr>
              <w:t>Yushania</w:t>
            </w:r>
            <w:r>
              <w:rPr>
                <w:i/>
                <w:iCs/>
                <w:spacing w:val="-19"/>
              </w:rPr>
              <w:t xml:space="preserve"> </w:t>
            </w:r>
            <w:r>
              <w:rPr>
                <w:i/>
                <w:iCs/>
              </w:rPr>
              <w:t>polytricha</w:t>
            </w:r>
          </w:p>
        </w:tc>
        <w:tc>
          <w:tcPr>
            <w:tcW w:w="869" w:type="dxa"/>
            <w:tcBorders>
              <w:right w:val="single" w:color="000000" w:sz="12" w:space="0"/>
            </w:tcBorders>
            <w:vAlign w:val="top"/>
          </w:tcPr>
          <w:p w14:paraId="6602F2BE">
            <w:pPr>
              <w:spacing w:before="65" w:line="220" w:lineRule="auto"/>
              <w:ind w:left="236"/>
              <w:rPr>
                <w:rFonts w:ascii="宋体" w:hAnsi="宋体" w:eastAsia="宋体" w:cs="宋体"/>
                <w:sz w:val="21"/>
                <w:szCs w:val="21"/>
              </w:rPr>
            </w:pPr>
            <w:r>
              <w:rPr>
                <w:rFonts w:ascii="宋体" w:hAnsi="宋体" w:eastAsia="宋体" w:cs="宋体"/>
                <w:spacing w:val="-3"/>
                <w:sz w:val="21"/>
                <w:szCs w:val="21"/>
              </w:rPr>
              <w:t>灌木</w:t>
            </w:r>
          </w:p>
        </w:tc>
      </w:tr>
      <w:tr w14:paraId="3A1B9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6C04B1C7">
            <w:pPr>
              <w:pStyle w:val="6"/>
              <w:spacing w:before="102" w:line="217" w:lineRule="auto"/>
              <w:ind w:left="371"/>
            </w:pPr>
            <w:r>
              <w:t>5</w:t>
            </w:r>
          </w:p>
        </w:tc>
        <w:tc>
          <w:tcPr>
            <w:tcW w:w="1864" w:type="dxa"/>
            <w:vAlign w:val="top"/>
          </w:tcPr>
          <w:p w14:paraId="0D35E391">
            <w:pPr>
              <w:spacing w:before="68" w:line="220" w:lineRule="auto"/>
              <w:ind w:left="406"/>
              <w:rPr>
                <w:rFonts w:ascii="宋体" w:hAnsi="宋体" w:eastAsia="宋体" w:cs="宋体"/>
                <w:sz w:val="21"/>
                <w:szCs w:val="21"/>
              </w:rPr>
            </w:pPr>
            <w:r>
              <w:rPr>
                <w:rFonts w:ascii="宋体" w:hAnsi="宋体" w:eastAsia="宋体" w:cs="宋体"/>
                <w:spacing w:val="-3"/>
                <w:sz w:val="21"/>
                <w:szCs w:val="21"/>
              </w:rPr>
              <w:t>云南沿阶草</w:t>
            </w:r>
          </w:p>
        </w:tc>
        <w:tc>
          <w:tcPr>
            <w:tcW w:w="4871" w:type="dxa"/>
            <w:vAlign w:val="top"/>
          </w:tcPr>
          <w:p w14:paraId="491FF544">
            <w:pPr>
              <w:pStyle w:val="6"/>
              <w:spacing w:before="102" w:line="190" w:lineRule="auto"/>
              <w:ind w:left="1527"/>
            </w:pPr>
            <w:r>
              <w:rPr>
                <w:i/>
                <w:iCs/>
                <w:spacing w:val="-1"/>
              </w:rPr>
              <w:t>Ophiopogon tienensis</w:t>
            </w:r>
          </w:p>
        </w:tc>
        <w:tc>
          <w:tcPr>
            <w:tcW w:w="869" w:type="dxa"/>
            <w:tcBorders>
              <w:right w:val="single" w:color="000000" w:sz="12" w:space="0"/>
            </w:tcBorders>
            <w:vAlign w:val="top"/>
          </w:tcPr>
          <w:p w14:paraId="49D80A71">
            <w:pPr>
              <w:spacing w:before="68" w:line="219" w:lineRule="auto"/>
              <w:ind w:left="235"/>
              <w:rPr>
                <w:rFonts w:ascii="宋体" w:hAnsi="宋体" w:eastAsia="宋体" w:cs="宋体"/>
                <w:sz w:val="21"/>
                <w:szCs w:val="21"/>
              </w:rPr>
            </w:pPr>
            <w:r>
              <w:rPr>
                <w:rFonts w:ascii="宋体" w:hAnsi="宋体" w:eastAsia="宋体" w:cs="宋体"/>
                <w:spacing w:val="-3"/>
                <w:sz w:val="21"/>
                <w:szCs w:val="21"/>
              </w:rPr>
              <w:t>草本</w:t>
            </w:r>
          </w:p>
        </w:tc>
      </w:tr>
      <w:tr w14:paraId="62D21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0839669A">
            <w:pPr>
              <w:pStyle w:val="6"/>
              <w:spacing w:before="104" w:line="215" w:lineRule="auto"/>
              <w:ind w:left="370"/>
            </w:pPr>
            <w:r>
              <w:t>6</w:t>
            </w:r>
          </w:p>
        </w:tc>
        <w:tc>
          <w:tcPr>
            <w:tcW w:w="1864" w:type="dxa"/>
            <w:vAlign w:val="top"/>
          </w:tcPr>
          <w:p w14:paraId="7430BF68">
            <w:pPr>
              <w:spacing w:before="70" w:line="220" w:lineRule="auto"/>
              <w:ind w:left="400"/>
              <w:rPr>
                <w:rFonts w:ascii="宋体" w:hAnsi="宋体" w:eastAsia="宋体" w:cs="宋体"/>
                <w:sz w:val="21"/>
                <w:szCs w:val="21"/>
              </w:rPr>
            </w:pPr>
            <w:r>
              <w:rPr>
                <w:rFonts w:ascii="宋体" w:hAnsi="宋体" w:eastAsia="宋体" w:cs="宋体"/>
                <w:spacing w:val="-2"/>
                <w:sz w:val="21"/>
                <w:szCs w:val="21"/>
              </w:rPr>
              <w:t>滇中绣线菊</w:t>
            </w:r>
          </w:p>
        </w:tc>
        <w:tc>
          <w:tcPr>
            <w:tcW w:w="4871" w:type="dxa"/>
            <w:vAlign w:val="top"/>
          </w:tcPr>
          <w:p w14:paraId="6483DBDF">
            <w:pPr>
              <w:pStyle w:val="6"/>
              <w:spacing w:before="104" w:line="190" w:lineRule="auto"/>
              <w:ind w:left="1603"/>
            </w:pPr>
            <w:r>
              <w:rPr>
                <w:i/>
                <w:iCs/>
                <w:spacing w:val="-1"/>
              </w:rPr>
              <w:t>Spiraea schochiana</w:t>
            </w:r>
          </w:p>
        </w:tc>
        <w:tc>
          <w:tcPr>
            <w:tcW w:w="869" w:type="dxa"/>
            <w:tcBorders>
              <w:right w:val="single" w:color="000000" w:sz="12" w:space="0"/>
            </w:tcBorders>
            <w:vAlign w:val="top"/>
          </w:tcPr>
          <w:p w14:paraId="071C836C">
            <w:pPr>
              <w:spacing w:before="70" w:line="220" w:lineRule="auto"/>
              <w:ind w:left="236"/>
              <w:rPr>
                <w:rFonts w:ascii="宋体" w:hAnsi="宋体" w:eastAsia="宋体" w:cs="宋体"/>
                <w:sz w:val="21"/>
                <w:szCs w:val="21"/>
              </w:rPr>
            </w:pPr>
            <w:r>
              <w:rPr>
                <w:rFonts w:ascii="宋体" w:hAnsi="宋体" w:eastAsia="宋体" w:cs="宋体"/>
                <w:spacing w:val="-3"/>
                <w:sz w:val="21"/>
                <w:szCs w:val="21"/>
              </w:rPr>
              <w:t>灌木</w:t>
            </w:r>
          </w:p>
        </w:tc>
      </w:tr>
      <w:tr w14:paraId="24CF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6EC7629D">
            <w:pPr>
              <w:pStyle w:val="6"/>
              <w:spacing w:before="106" w:line="213" w:lineRule="auto"/>
              <w:ind w:left="368"/>
            </w:pPr>
            <w:r>
              <w:t>7</w:t>
            </w:r>
          </w:p>
        </w:tc>
        <w:tc>
          <w:tcPr>
            <w:tcW w:w="1864" w:type="dxa"/>
            <w:vAlign w:val="top"/>
          </w:tcPr>
          <w:p w14:paraId="0E58CCA8">
            <w:pPr>
              <w:spacing w:before="73" w:line="218" w:lineRule="auto"/>
              <w:ind w:left="531"/>
              <w:rPr>
                <w:rFonts w:ascii="宋体" w:hAnsi="宋体" w:eastAsia="宋体" w:cs="宋体"/>
                <w:sz w:val="21"/>
                <w:szCs w:val="21"/>
              </w:rPr>
            </w:pPr>
            <w:r>
              <w:rPr>
                <w:rFonts w:ascii="宋体" w:hAnsi="宋体" w:eastAsia="宋体" w:cs="宋体"/>
                <w:spacing w:val="-7"/>
                <w:sz w:val="21"/>
                <w:szCs w:val="21"/>
              </w:rPr>
              <w:t>昆明小檗</w:t>
            </w:r>
          </w:p>
        </w:tc>
        <w:tc>
          <w:tcPr>
            <w:tcW w:w="4871" w:type="dxa"/>
            <w:vAlign w:val="top"/>
          </w:tcPr>
          <w:p w14:paraId="0BE7CBA4">
            <w:pPr>
              <w:pStyle w:val="6"/>
              <w:spacing w:before="106" w:line="190" w:lineRule="auto"/>
              <w:ind w:left="1469"/>
            </w:pPr>
            <w:r>
              <w:rPr>
                <w:i/>
                <w:iCs/>
              </w:rPr>
              <w:t>Berberis</w:t>
            </w:r>
            <w:r>
              <w:rPr>
                <w:i/>
                <w:iCs/>
                <w:spacing w:val="4"/>
              </w:rPr>
              <w:t xml:space="preserve"> </w:t>
            </w:r>
            <w:r>
              <w:rPr>
                <w:i/>
                <w:iCs/>
              </w:rPr>
              <w:t>kunmingensis</w:t>
            </w:r>
          </w:p>
        </w:tc>
        <w:tc>
          <w:tcPr>
            <w:tcW w:w="869" w:type="dxa"/>
            <w:tcBorders>
              <w:right w:val="single" w:color="000000" w:sz="12" w:space="0"/>
            </w:tcBorders>
            <w:vAlign w:val="top"/>
          </w:tcPr>
          <w:p w14:paraId="41AEA800">
            <w:pPr>
              <w:spacing w:before="73" w:line="218" w:lineRule="auto"/>
              <w:ind w:left="236"/>
              <w:rPr>
                <w:rFonts w:ascii="宋体" w:hAnsi="宋体" w:eastAsia="宋体" w:cs="宋体"/>
                <w:sz w:val="21"/>
                <w:szCs w:val="21"/>
              </w:rPr>
            </w:pPr>
            <w:r>
              <w:rPr>
                <w:rFonts w:ascii="宋体" w:hAnsi="宋体" w:eastAsia="宋体" w:cs="宋体"/>
                <w:spacing w:val="-3"/>
                <w:sz w:val="21"/>
                <w:szCs w:val="21"/>
              </w:rPr>
              <w:t>灌木</w:t>
            </w:r>
          </w:p>
        </w:tc>
      </w:tr>
      <w:tr w14:paraId="1D351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869" w:type="dxa"/>
            <w:tcBorders>
              <w:left w:val="single" w:color="000000" w:sz="12" w:space="0"/>
            </w:tcBorders>
            <w:vAlign w:val="top"/>
          </w:tcPr>
          <w:p w14:paraId="28193B54">
            <w:pPr>
              <w:pStyle w:val="6"/>
              <w:spacing w:before="108" w:line="212" w:lineRule="auto"/>
              <w:ind w:left="374"/>
            </w:pPr>
            <w:r>
              <w:t>8</w:t>
            </w:r>
          </w:p>
        </w:tc>
        <w:tc>
          <w:tcPr>
            <w:tcW w:w="1864" w:type="dxa"/>
            <w:vAlign w:val="top"/>
          </w:tcPr>
          <w:p w14:paraId="5E583329">
            <w:pPr>
              <w:spacing w:before="75" w:line="217" w:lineRule="auto"/>
              <w:ind w:left="512"/>
              <w:rPr>
                <w:rFonts w:ascii="宋体" w:hAnsi="宋体" w:eastAsia="宋体" w:cs="宋体"/>
                <w:sz w:val="21"/>
                <w:szCs w:val="21"/>
              </w:rPr>
            </w:pPr>
            <w:r>
              <w:rPr>
                <w:rFonts w:ascii="宋体" w:hAnsi="宋体" w:eastAsia="宋体" w:cs="宋体"/>
                <w:spacing w:val="-3"/>
                <w:sz w:val="21"/>
                <w:szCs w:val="21"/>
              </w:rPr>
              <w:t>小叶鼠李</w:t>
            </w:r>
          </w:p>
        </w:tc>
        <w:tc>
          <w:tcPr>
            <w:tcW w:w="4871" w:type="dxa"/>
            <w:vAlign w:val="top"/>
          </w:tcPr>
          <w:p w14:paraId="5ABE2EA0">
            <w:pPr>
              <w:pStyle w:val="6"/>
              <w:spacing w:before="108" w:line="190" w:lineRule="auto"/>
              <w:ind w:left="1505"/>
            </w:pPr>
            <w:r>
              <w:rPr>
                <w:i/>
                <w:iCs/>
              </w:rPr>
              <w:t>Rhamnus</w:t>
            </w:r>
            <w:r>
              <w:rPr>
                <w:i/>
                <w:iCs/>
                <w:spacing w:val="4"/>
              </w:rPr>
              <w:t xml:space="preserve"> </w:t>
            </w:r>
            <w:r>
              <w:rPr>
                <w:i/>
                <w:iCs/>
              </w:rPr>
              <w:t>serpyllifolia</w:t>
            </w:r>
          </w:p>
        </w:tc>
        <w:tc>
          <w:tcPr>
            <w:tcW w:w="869" w:type="dxa"/>
            <w:tcBorders>
              <w:right w:val="single" w:color="000000" w:sz="12" w:space="0"/>
            </w:tcBorders>
            <w:vAlign w:val="top"/>
          </w:tcPr>
          <w:p w14:paraId="5BE66B2C">
            <w:pPr>
              <w:spacing w:before="75" w:line="217" w:lineRule="auto"/>
              <w:ind w:left="236"/>
              <w:rPr>
                <w:rFonts w:ascii="宋体" w:hAnsi="宋体" w:eastAsia="宋体" w:cs="宋体"/>
                <w:sz w:val="21"/>
                <w:szCs w:val="21"/>
              </w:rPr>
            </w:pPr>
            <w:r>
              <w:rPr>
                <w:rFonts w:ascii="宋体" w:hAnsi="宋体" w:eastAsia="宋体" w:cs="宋体"/>
                <w:spacing w:val="-3"/>
                <w:sz w:val="21"/>
                <w:szCs w:val="21"/>
              </w:rPr>
              <w:t>灌木</w:t>
            </w:r>
          </w:p>
        </w:tc>
      </w:tr>
      <w:tr w14:paraId="7D78F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1076CABF">
            <w:pPr>
              <w:pStyle w:val="6"/>
              <w:spacing w:before="109" w:line="210" w:lineRule="auto"/>
              <w:ind w:left="369"/>
            </w:pPr>
            <w:r>
              <w:t>9</w:t>
            </w:r>
          </w:p>
        </w:tc>
        <w:tc>
          <w:tcPr>
            <w:tcW w:w="1864" w:type="dxa"/>
            <w:vAlign w:val="top"/>
          </w:tcPr>
          <w:p w14:paraId="2EE20224">
            <w:pPr>
              <w:spacing w:before="76" w:line="215" w:lineRule="auto"/>
              <w:ind w:left="507"/>
              <w:rPr>
                <w:rFonts w:ascii="宋体" w:hAnsi="宋体" w:eastAsia="宋体" w:cs="宋体"/>
                <w:sz w:val="21"/>
                <w:szCs w:val="21"/>
              </w:rPr>
            </w:pPr>
            <w:r>
              <w:rPr>
                <w:rFonts w:ascii="宋体" w:hAnsi="宋体" w:eastAsia="宋体" w:cs="宋体"/>
                <w:spacing w:val="-2"/>
                <w:sz w:val="21"/>
                <w:szCs w:val="21"/>
              </w:rPr>
              <w:t>细画眉草</w:t>
            </w:r>
          </w:p>
        </w:tc>
        <w:tc>
          <w:tcPr>
            <w:tcW w:w="4871" w:type="dxa"/>
            <w:vAlign w:val="top"/>
          </w:tcPr>
          <w:p w14:paraId="0886AC27">
            <w:pPr>
              <w:pStyle w:val="6"/>
              <w:spacing w:before="109" w:line="190" w:lineRule="auto"/>
              <w:ind w:left="1481"/>
            </w:pPr>
            <w:r>
              <w:rPr>
                <w:i/>
                <w:iCs/>
              </w:rPr>
              <w:t>Eragrostiella</w:t>
            </w:r>
            <w:r>
              <w:rPr>
                <w:i/>
                <w:iCs/>
                <w:spacing w:val="8"/>
              </w:rPr>
              <w:t xml:space="preserve"> </w:t>
            </w:r>
            <w:r>
              <w:rPr>
                <w:i/>
                <w:iCs/>
              </w:rPr>
              <w:t>lolioides</w:t>
            </w:r>
          </w:p>
        </w:tc>
        <w:tc>
          <w:tcPr>
            <w:tcW w:w="869" w:type="dxa"/>
            <w:tcBorders>
              <w:right w:val="single" w:color="000000" w:sz="12" w:space="0"/>
            </w:tcBorders>
            <w:vAlign w:val="top"/>
          </w:tcPr>
          <w:p w14:paraId="5AA1F82D">
            <w:pPr>
              <w:spacing w:before="76" w:line="215" w:lineRule="auto"/>
              <w:ind w:left="235"/>
              <w:rPr>
                <w:rFonts w:ascii="宋体" w:hAnsi="宋体" w:eastAsia="宋体" w:cs="宋体"/>
                <w:sz w:val="21"/>
                <w:szCs w:val="21"/>
              </w:rPr>
            </w:pPr>
            <w:r>
              <w:rPr>
                <w:rFonts w:ascii="宋体" w:hAnsi="宋体" w:eastAsia="宋体" w:cs="宋体"/>
                <w:spacing w:val="-3"/>
                <w:sz w:val="21"/>
                <w:szCs w:val="21"/>
              </w:rPr>
              <w:t>草本</w:t>
            </w:r>
          </w:p>
        </w:tc>
      </w:tr>
      <w:tr w14:paraId="24AB2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52342ADD">
            <w:pPr>
              <w:pStyle w:val="6"/>
              <w:spacing w:before="112" w:line="207" w:lineRule="auto"/>
              <w:ind w:left="332"/>
            </w:pPr>
            <w:r>
              <w:rPr>
                <w:spacing w:val="-6"/>
              </w:rPr>
              <w:t>10</w:t>
            </w:r>
          </w:p>
        </w:tc>
        <w:tc>
          <w:tcPr>
            <w:tcW w:w="1864" w:type="dxa"/>
            <w:vAlign w:val="top"/>
          </w:tcPr>
          <w:p w14:paraId="061D3F9F">
            <w:pPr>
              <w:spacing w:before="78" w:line="213" w:lineRule="auto"/>
              <w:ind w:left="408"/>
              <w:rPr>
                <w:rFonts w:ascii="宋体" w:hAnsi="宋体" w:eastAsia="宋体" w:cs="宋体"/>
                <w:sz w:val="21"/>
                <w:szCs w:val="21"/>
              </w:rPr>
            </w:pPr>
            <w:r>
              <w:rPr>
                <w:rFonts w:ascii="宋体" w:hAnsi="宋体" w:eastAsia="宋体" w:cs="宋体"/>
                <w:spacing w:val="-3"/>
                <w:sz w:val="21"/>
                <w:szCs w:val="21"/>
              </w:rPr>
              <w:t>东川早熟禾</w:t>
            </w:r>
          </w:p>
        </w:tc>
        <w:tc>
          <w:tcPr>
            <w:tcW w:w="4871" w:type="dxa"/>
            <w:vAlign w:val="top"/>
          </w:tcPr>
          <w:p w14:paraId="40EE29AF">
            <w:pPr>
              <w:pStyle w:val="6"/>
              <w:spacing w:before="111" w:line="208" w:lineRule="auto"/>
              <w:ind w:left="1958"/>
            </w:pPr>
            <w:r>
              <w:rPr>
                <w:i/>
                <w:iCs/>
              </w:rPr>
              <w:t>Poa</w:t>
            </w:r>
            <w:r>
              <w:rPr>
                <w:i/>
                <w:iCs/>
                <w:spacing w:val="5"/>
              </w:rPr>
              <w:t xml:space="preserve"> </w:t>
            </w:r>
            <w:r>
              <w:rPr>
                <w:i/>
                <w:iCs/>
              </w:rPr>
              <w:t>mairei</w:t>
            </w:r>
          </w:p>
        </w:tc>
        <w:tc>
          <w:tcPr>
            <w:tcW w:w="869" w:type="dxa"/>
            <w:tcBorders>
              <w:right w:val="single" w:color="000000" w:sz="12" w:space="0"/>
            </w:tcBorders>
            <w:vAlign w:val="top"/>
          </w:tcPr>
          <w:p w14:paraId="00420CD9">
            <w:pPr>
              <w:spacing w:before="78" w:line="213" w:lineRule="auto"/>
              <w:ind w:left="235"/>
              <w:rPr>
                <w:rFonts w:ascii="宋体" w:hAnsi="宋体" w:eastAsia="宋体" w:cs="宋体"/>
                <w:sz w:val="21"/>
                <w:szCs w:val="21"/>
              </w:rPr>
            </w:pPr>
            <w:r>
              <w:rPr>
                <w:rFonts w:ascii="宋体" w:hAnsi="宋体" w:eastAsia="宋体" w:cs="宋体"/>
                <w:spacing w:val="-3"/>
                <w:sz w:val="21"/>
                <w:szCs w:val="21"/>
              </w:rPr>
              <w:t>草本</w:t>
            </w:r>
          </w:p>
        </w:tc>
      </w:tr>
      <w:tr w14:paraId="7B803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869" w:type="dxa"/>
            <w:tcBorders>
              <w:left w:val="single" w:color="000000" w:sz="12" w:space="0"/>
            </w:tcBorders>
            <w:vAlign w:val="top"/>
          </w:tcPr>
          <w:p w14:paraId="43852DCE">
            <w:pPr>
              <w:pStyle w:val="6"/>
              <w:spacing w:before="114" w:line="205" w:lineRule="auto"/>
              <w:ind w:left="332"/>
            </w:pPr>
            <w:r>
              <w:rPr>
                <w:spacing w:val="-6"/>
              </w:rPr>
              <w:t>11</w:t>
            </w:r>
          </w:p>
        </w:tc>
        <w:tc>
          <w:tcPr>
            <w:tcW w:w="1864" w:type="dxa"/>
            <w:vAlign w:val="top"/>
          </w:tcPr>
          <w:p w14:paraId="4140EC00">
            <w:pPr>
              <w:spacing w:before="82" w:line="210" w:lineRule="auto"/>
              <w:ind w:left="615"/>
              <w:rPr>
                <w:rFonts w:ascii="宋体" w:hAnsi="宋体" w:eastAsia="宋体" w:cs="宋体"/>
                <w:sz w:val="21"/>
                <w:szCs w:val="21"/>
              </w:rPr>
            </w:pPr>
            <w:r>
              <w:rPr>
                <w:rFonts w:ascii="宋体" w:hAnsi="宋体" w:eastAsia="宋体" w:cs="宋体"/>
                <w:spacing w:val="-3"/>
                <w:sz w:val="21"/>
                <w:szCs w:val="21"/>
              </w:rPr>
              <w:t>万丈深</w:t>
            </w:r>
          </w:p>
        </w:tc>
        <w:tc>
          <w:tcPr>
            <w:tcW w:w="4871" w:type="dxa"/>
            <w:vAlign w:val="top"/>
          </w:tcPr>
          <w:p w14:paraId="31013A8E">
            <w:pPr>
              <w:pStyle w:val="6"/>
              <w:spacing w:before="114" w:line="190" w:lineRule="auto"/>
              <w:ind w:left="1808"/>
            </w:pPr>
            <w:r>
              <w:rPr>
                <w:i/>
                <w:iCs/>
              </w:rPr>
              <w:t>Crepis</w:t>
            </w:r>
            <w:r>
              <w:rPr>
                <w:i/>
                <w:iCs/>
                <w:spacing w:val="-15"/>
              </w:rPr>
              <w:t xml:space="preserve"> </w:t>
            </w:r>
            <w:r>
              <w:rPr>
                <w:i/>
                <w:iCs/>
              </w:rPr>
              <w:t>phoenix</w:t>
            </w:r>
          </w:p>
        </w:tc>
        <w:tc>
          <w:tcPr>
            <w:tcW w:w="869" w:type="dxa"/>
            <w:tcBorders>
              <w:right w:val="single" w:color="000000" w:sz="12" w:space="0"/>
            </w:tcBorders>
            <w:vAlign w:val="top"/>
          </w:tcPr>
          <w:p w14:paraId="52F7303F">
            <w:pPr>
              <w:spacing w:before="82" w:line="210" w:lineRule="auto"/>
              <w:ind w:left="235"/>
              <w:rPr>
                <w:rFonts w:ascii="宋体" w:hAnsi="宋体" w:eastAsia="宋体" w:cs="宋体"/>
                <w:sz w:val="21"/>
                <w:szCs w:val="21"/>
              </w:rPr>
            </w:pPr>
            <w:r>
              <w:rPr>
                <w:rFonts w:ascii="宋体" w:hAnsi="宋体" w:eastAsia="宋体" w:cs="宋体"/>
                <w:spacing w:val="-3"/>
                <w:sz w:val="21"/>
                <w:szCs w:val="21"/>
              </w:rPr>
              <w:t>草本</w:t>
            </w:r>
          </w:p>
        </w:tc>
      </w:tr>
      <w:tr w14:paraId="68C4F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869" w:type="dxa"/>
            <w:tcBorders>
              <w:left w:val="single" w:color="000000" w:sz="12" w:space="0"/>
              <w:bottom w:val="single" w:color="000000" w:sz="12" w:space="0"/>
            </w:tcBorders>
            <w:vAlign w:val="top"/>
          </w:tcPr>
          <w:p w14:paraId="195DE10D">
            <w:pPr>
              <w:pStyle w:val="6"/>
              <w:spacing w:before="117" w:line="224" w:lineRule="auto"/>
              <w:ind w:left="332"/>
            </w:pPr>
            <w:r>
              <w:rPr>
                <w:spacing w:val="-6"/>
              </w:rPr>
              <w:t>12</w:t>
            </w:r>
          </w:p>
        </w:tc>
        <w:tc>
          <w:tcPr>
            <w:tcW w:w="1864" w:type="dxa"/>
            <w:tcBorders>
              <w:bottom w:val="single" w:color="000000" w:sz="12" w:space="0"/>
            </w:tcBorders>
            <w:vAlign w:val="top"/>
          </w:tcPr>
          <w:p w14:paraId="088F7CCE">
            <w:pPr>
              <w:spacing w:before="83" w:line="220" w:lineRule="auto"/>
              <w:ind w:left="426"/>
              <w:rPr>
                <w:rFonts w:ascii="宋体" w:hAnsi="宋体" w:eastAsia="宋体" w:cs="宋体"/>
                <w:sz w:val="21"/>
                <w:szCs w:val="21"/>
              </w:rPr>
            </w:pPr>
            <w:r>
              <w:rPr>
                <w:rFonts w:ascii="宋体" w:hAnsi="宋体" w:eastAsia="宋体" w:cs="宋体"/>
                <w:spacing w:val="-6"/>
                <w:sz w:val="21"/>
                <w:szCs w:val="21"/>
              </w:rPr>
              <w:t>昆明香茶菜</w:t>
            </w:r>
          </w:p>
        </w:tc>
        <w:tc>
          <w:tcPr>
            <w:tcW w:w="4871" w:type="dxa"/>
            <w:tcBorders>
              <w:bottom w:val="single" w:color="000000" w:sz="12" w:space="0"/>
            </w:tcBorders>
            <w:vAlign w:val="top"/>
          </w:tcPr>
          <w:p w14:paraId="2F2F50EF">
            <w:pPr>
              <w:pStyle w:val="6"/>
              <w:spacing w:before="117" w:line="190" w:lineRule="auto"/>
              <w:ind w:left="1487"/>
            </w:pPr>
            <w:r>
              <w:rPr>
                <w:i/>
                <w:iCs/>
              </w:rPr>
              <w:t>Rabdosi</w:t>
            </w:r>
            <w:r>
              <w:rPr>
                <w:i/>
                <w:iCs/>
                <w:spacing w:val="4"/>
              </w:rPr>
              <w:t xml:space="preserve"> </w:t>
            </w:r>
            <w:r>
              <w:rPr>
                <w:i/>
                <w:iCs/>
              </w:rPr>
              <w:t>kunmingensis</w:t>
            </w:r>
          </w:p>
        </w:tc>
        <w:tc>
          <w:tcPr>
            <w:tcW w:w="869" w:type="dxa"/>
            <w:tcBorders>
              <w:bottom w:val="single" w:color="000000" w:sz="12" w:space="0"/>
              <w:right w:val="single" w:color="000000" w:sz="12" w:space="0"/>
            </w:tcBorders>
            <w:vAlign w:val="top"/>
          </w:tcPr>
          <w:p w14:paraId="6A69F730">
            <w:pPr>
              <w:spacing w:before="83" w:line="219" w:lineRule="auto"/>
              <w:ind w:left="235"/>
              <w:rPr>
                <w:rFonts w:ascii="宋体" w:hAnsi="宋体" w:eastAsia="宋体" w:cs="宋体"/>
                <w:sz w:val="21"/>
                <w:szCs w:val="21"/>
              </w:rPr>
            </w:pPr>
            <w:r>
              <w:rPr>
                <w:rFonts w:ascii="宋体" w:hAnsi="宋体" w:eastAsia="宋体" w:cs="宋体"/>
                <w:spacing w:val="-3"/>
                <w:sz w:val="21"/>
                <w:szCs w:val="21"/>
              </w:rPr>
              <w:t>草本</w:t>
            </w:r>
          </w:p>
        </w:tc>
      </w:tr>
    </w:tbl>
    <w:p w14:paraId="0B0CEF9E">
      <w:pPr>
        <w:pStyle w:val="2"/>
        <w:spacing w:before="146" w:line="220" w:lineRule="auto"/>
        <w:ind w:left="518"/>
        <w:rPr>
          <w:sz w:val="24"/>
          <w:szCs w:val="24"/>
        </w:rPr>
      </w:pPr>
      <w:r>
        <w:rPr>
          <w:spacing w:val="-2"/>
          <w:sz w:val="24"/>
          <w:szCs w:val="24"/>
        </w:rPr>
        <w:t>施工期调查期间，调查区也未发现古树名木。</w:t>
      </w:r>
    </w:p>
    <w:p w14:paraId="4A557F61">
      <w:pPr>
        <w:pStyle w:val="2"/>
        <w:spacing w:before="275" w:line="220" w:lineRule="auto"/>
        <w:ind w:left="35"/>
        <w:rPr>
          <w:sz w:val="24"/>
          <w:szCs w:val="24"/>
        </w:rPr>
      </w:pPr>
      <w:r>
        <w:rPr>
          <w:rFonts w:ascii="Arial" w:hAnsi="Arial" w:eastAsia="Arial" w:cs="Arial"/>
          <w:spacing w:val="4"/>
          <w:position w:val="1"/>
          <w:sz w:val="18"/>
          <w:szCs w:val="18"/>
        </w:rPr>
        <w:t>6.1.1.3</w:t>
      </w:r>
      <w:r>
        <w:rPr>
          <w:rFonts w:ascii="Arial" w:hAnsi="Arial" w:eastAsia="Arial" w:cs="Arial"/>
          <w:spacing w:val="3"/>
          <w:position w:val="1"/>
          <w:sz w:val="18"/>
          <w:szCs w:val="18"/>
        </w:rPr>
        <w:t xml:space="preserve">  </w:t>
      </w:r>
      <w:r>
        <w:rPr>
          <w:b/>
          <w:bCs/>
          <w:spacing w:val="4"/>
          <w:position w:val="-1"/>
          <w:sz w:val="24"/>
          <w:szCs w:val="24"/>
        </w:rPr>
        <w:t>陆生动物影响</w:t>
      </w:r>
    </w:p>
    <w:p w14:paraId="43A37D42">
      <w:pPr>
        <w:pStyle w:val="2"/>
        <w:spacing w:before="273"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）陆生动物种类</w:t>
      </w:r>
    </w:p>
    <w:p w14:paraId="167FD28D">
      <w:pPr>
        <w:pStyle w:val="2"/>
        <w:spacing w:before="138" w:line="338" w:lineRule="auto"/>
        <w:ind w:left="38" w:right="30" w:firstLine="480"/>
        <w:rPr>
          <w:sz w:val="24"/>
          <w:szCs w:val="24"/>
        </w:rPr>
      </w:pPr>
      <w:r>
        <w:rPr>
          <w:spacing w:val="-5"/>
          <w:sz w:val="24"/>
          <w:szCs w:val="24"/>
        </w:rPr>
        <w:t>环评期调查区共记录到陆栖脊椎动物</w:t>
      </w:r>
      <w:r>
        <w:rPr>
          <w:spacing w:val="-30"/>
          <w:sz w:val="24"/>
          <w:szCs w:val="24"/>
        </w:rPr>
        <w:t xml:space="preserve"> </w:t>
      </w:r>
      <w:r>
        <w:rPr>
          <w:rFonts w:ascii="Times New Roman" w:hAnsi="Times New Roman" w:eastAsia="Times New Roman" w:cs="Times New Roman"/>
          <w:spacing w:val="-5"/>
          <w:sz w:val="24"/>
          <w:szCs w:val="24"/>
        </w:rPr>
        <w:t>225</w:t>
      </w:r>
      <w:r>
        <w:rPr>
          <w:rFonts w:ascii="Times New Roman" w:hAnsi="Times New Roman" w:eastAsia="Times New Roman" w:cs="Times New Roman"/>
          <w:spacing w:val="20"/>
          <w:sz w:val="24"/>
          <w:szCs w:val="24"/>
        </w:rPr>
        <w:t xml:space="preserve"> </w:t>
      </w:r>
      <w:r>
        <w:rPr>
          <w:spacing w:val="-5"/>
          <w:sz w:val="24"/>
          <w:szCs w:val="24"/>
        </w:rPr>
        <w:t>种，隶属</w:t>
      </w:r>
      <w:r>
        <w:rPr>
          <w:spacing w:val="-45"/>
          <w:sz w:val="24"/>
          <w:szCs w:val="24"/>
        </w:rPr>
        <w:t xml:space="preserve">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24"/>
          <w:sz w:val="24"/>
          <w:szCs w:val="24"/>
        </w:rPr>
        <w:t xml:space="preserve"> </w:t>
      </w:r>
      <w:r>
        <w:rPr>
          <w:spacing w:val="-5"/>
          <w:sz w:val="24"/>
          <w:szCs w:val="24"/>
        </w:rPr>
        <w:t>纲</w:t>
      </w:r>
      <w:r>
        <w:rPr>
          <w:spacing w:val="-44"/>
          <w:sz w:val="24"/>
          <w:szCs w:val="24"/>
        </w:rPr>
        <w:t xml:space="preserve"> </w:t>
      </w:r>
      <w:r>
        <w:rPr>
          <w:rFonts w:ascii="Times New Roman" w:hAnsi="Times New Roman" w:eastAsia="Times New Roman" w:cs="Times New Roman"/>
          <w:spacing w:val="-5"/>
          <w:sz w:val="24"/>
          <w:szCs w:val="24"/>
        </w:rPr>
        <w:t xml:space="preserve">21  </w:t>
      </w:r>
      <w:r>
        <w:rPr>
          <w:spacing w:val="-5"/>
          <w:sz w:val="24"/>
          <w:szCs w:val="24"/>
        </w:rPr>
        <w:t>目</w:t>
      </w:r>
      <w:r>
        <w:rPr>
          <w:spacing w:val="-38"/>
          <w:sz w:val="24"/>
          <w:szCs w:val="24"/>
        </w:rPr>
        <w:t xml:space="preserve"> </w:t>
      </w:r>
      <w:r>
        <w:rPr>
          <w:rFonts w:ascii="Times New Roman" w:hAnsi="Times New Roman" w:eastAsia="Times New Roman" w:cs="Times New Roman"/>
          <w:spacing w:val="-5"/>
          <w:sz w:val="24"/>
          <w:szCs w:val="24"/>
        </w:rPr>
        <w:t>51</w:t>
      </w:r>
      <w:r>
        <w:rPr>
          <w:rFonts w:ascii="Times New Roman" w:hAnsi="Times New Roman" w:eastAsia="Times New Roman" w:cs="Times New Roman"/>
          <w:spacing w:val="20"/>
          <w:w w:val="101"/>
          <w:sz w:val="24"/>
          <w:szCs w:val="24"/>
        </w:rPr>
        <w:t xml:space="preserve"> </w:t>
      </w:r>
      <w:r>
        <w:rPr>
          <w:spacing w:val="-5"/>
          <w:sz w:val="24"/>
          <w:szCs w:val="24"/>
        </w:rPr>
        <w:t xml:space="preserve">科 </w:t>
      </w:r>
      <w:r>
        <w:rPr>
          <w:rFonts w:ascii="Times New Roman" w:hAnsi="Times New Roman" w:eastAsia="Times New Roman" w:cs="Times New Roman"/>
          <w:spacing w:val="-5"/>
          <w:sz w:val="24"/>
          <w:szCs w:val="24"/>
        </w:rPr>
        <w:t>149</w:t>
      </w:r>
      <w:r>
        <w:rPr>
          <w:rFonts w:ascii="Times New Roman" w:hAnsi="Times New Roman" w:eastAsia="Times New Roman" w:cs="Times New Roman"/>
          <w:spacing w:val="22"/>
          <w:sz w:val="24"/>
          <w:szCs w:val="24"/>
        </w:rPr>
        <w:t xml:space="preserve"> </w:t>
      </w:r>
      <w:r>
        <w:rPr>
          <w:spacing w:val="-5"/>
          <w:sz w:val="24"/>
          <w:szCs w:val="24"/>
        </w:rPr>
        <w:t xml:space="preserve">属。施工期监测共记录到陆生脊椎动物 </w:t>
      </w:r>
      <w:r>
        <w:rPr>
          <w:rFonts w:ascii="Times New Roman" w:hAnsi="Times New Roman" w:eastAsia="Times New Roman" w:cs="Times New Roman"/>
          <w:spacing w:val="-5"/>
          <w:sz w:val="24"/>
          <w:szCs w:val="24"/>
        </w:rPr>
        <w:t>139</w:t>
      </w:r>
      <w:r>
        <w:rPr>
          <w:rFonts w:ascii="Times New Roman" w:hAnsi="Times New Roman" w:eastAsia="Times New Roman" w:cs="Times New Roman"/>
          <w:spacing w:val="21"/>
          <w:sz w:val="24"/>
          <w:szCs w:val="24"/>
        </w:rPr>
        <w:t xml:space="preserve"> </w:t>
      </w:r>
      <w:r>
        <w:rPr>
          <w:spacing w:val="-5"/>
          <w:sz w:val="24"/>
          <w:szCs w:val="24"/>
        </w:rPr>
        <w:t>种，隶属</w:t>
      </w:r>
      <w:r>
        <w:rPr>
          <w:spacing w:val="-45"/>
          <w:sz w:val="24"/>
          <w:szCs w:val="24"/>
        </w:rPr>
        <w:t xml:space="preserve">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24"/>
          <w:sz w:val="24"/>
          <w:szCs w:val="24"/>
        </w:rPr>
        <w:t xml:space="preserve"> </w:t>
      </w:r>
      <w:r>
        <w:rPr>
          <w:spacing w:val="-5"/>
          <w:sz w:val="24"/>
          <w:szCs w:val="24"/>
        </w:rPr>
        <w:t>纲</w:t>
      </w:r>
      <w:r>
        <w:rPr>
          <w:spacing w:val="-45"/>
          <w:sz w:val="24"/>
          <w:szCs w:val="24"/>
        </w:rPr>
        <w:t xml:space="preserve"> </w:t>
      </w:r>
      <w:r>
        <w:rPr>
          <w:rFonts w:ascii="Times New Roman" w:hAnsi="Times New Roman" w:eastAsia="Times New Roman" w:cs="Times New Roman"/>
          <w:spacing w:val="-5"/>
          <w:sz w:val="24"/>
          <w:szCs w:val="24"/>
        </w:rPr>
        <w:t>22</w:t>
      </w:r>
      <w:r>
        <w:rPr>
          <w:rFonts w:ascii="Times New Roman" w:hAnsi="Times New Roman" w:eastAsia="Times New Roman" w:cs="Times New Roman"/>
          <w:spacing w:val="-6"/>
          <w:sz w:val="24"/>
          <w:szCs w:val="24"/>
        </w:rPr>
        <w:t xml:space="preserve">  </w:t>
      </w:r>
      <w:r>
        <w:rPr>
          <w:spacing w:val="-6"/>
          <w:sz w:val="24"/>
          <w:szCs w:val="24"/>
        </w:rPr>
        <w:t>目</w:t>
      </w:r>
      <w:r>
        <w:rPr>
          <w:spacing w:val="-39"/>
          <w:sz w:val="24"/>
          <w:szCs w:val="24"/>
        </w:rPr>
        <w:t xml:space="preserve"> </w:t>
      </w:r>
      <w:r>
        <w:rPr>
          <w:rFonts w:ascii="Times New Roman" w:hAnsi="Times New Roman" w:eastAsia="Times New Roman" w:cs="Times New Roman"/>
          <w:spacing w:val="-6"/>
          <w:sz w:val="24"/>
          <w:szCs w:val="24"/>
        </w:rPr>
        <w:t>63</w:t>
      </w:r>
      <w:r>
        <w:rPr>
          <w:rFonts w:ascii="Times New Roman" w:hAnsi="Times New Roman" w:eastAsia="Times New Roman" w:cs="Times New Roman"/>
          <w:spacing w:val="22"/>
          <w:w w:val="101"/>
          <w:sz w:val="24"/>
          <w:szCs w:val="24"/>
        </w:rPr>
        <w:t xml:space="preserve"> </w:t>
      </w:r>
      <w:r>
        <w:rPr>
          <w:spacing w:val="-6"/>
          <w:sz w:val="24"/>
          <w:szCs w:val="24"/>
        </w:rPr>
        <w:t xml:space="preserve">科 </w:t>
      </w:r>
      <w:r>
        <w:rPr>
          <w:rFonts w:ascii="Times New Roman" w:hAnsi="Times New Roman" w:eastAsia="Times New Roman" w:cs="Times New Roman"/>
          <w:spacing w:val="-6"/>
          <w:sz w:val="24"/>
          <w:szCs w:val="24"/>
        </w:rPr>
        <w:t>112</w:t>
      </w:r>
      <w:r>
        <w:rPr>
          <w:rFonts w:ascii="Times New Roman" w:hAnsi="Times New Roman" w:eastAsia="Times New Roman" w:cs="Times New Roman"/>
          <w:spacing w:val="22"/>
          <w:sz w:val="24"/>
          <w:szCs w:val="24"/>
        </w:rPr>
        <w:t xml:space="preserve"> </w:t>
      </w:r>
      <w:r>
        <w:rPr>
          <w:spacing w:val="-6"/>
          <w:sz w:val="24"/>
          <w:szCs w:val="24"/>
        </w:rPr>
        <w:t>属。两期监</w:t>
      </w:r>
      <w:r>
        <w:rPr>
          <w:spacing w:val="-2"/>
          <w:sz w:val="24"/>
          <w:szCs w:val="24"/>
        </w:rPr>
        <w:t>测数据见表</w:t>
      </w:r>
      <w:r>
        <w:rPr>
          <w:spacing w:val="-47"/>
          <w:sz w:val="24"/>
          <w:szCs w:val="24"/>
        </w:rPr>
        <w:t xml:space="preserve"> </w:t>
      </w:r>
      <w:r>
        <w:rPr>
          <w:rFonts w:ascii="Times New Roman" w:hAnsi="Times New Roman" w:eastAsia="Times New Roman" w:cs="Times New Roman"/>
          <w:spacing w:val="-2"/>
          <w:sz w:val="24"/>
          <w:szCs w:val="24"/>
        </w:rPr>
        <w:t>6.1-9</w:t>
      </w:r>
      <w:r>
        <w:rPr>
          <w:spacing w:val="-2"/>
          <w:sz w:val="24"/>
          <w:szCs w:val="24"/>
        </w:rPr>
        <w:t>。</w:t>
      </w:r>
    </w:p>
    <w:p w14:paraId="73501690">
      <w:pPr>
        <w:pStyle w:val="2"/>
        <w:spacing w:before="1" w:line="225"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6.1-9              </w:t>
      </w:r>
      <w:r>
        <w:rPr>
          <w:b/>
          <w:bCs/>
          <w:spacing w:val="-1"/>
          <w:sz w:val="24"/>
          <w:szCs w:val="24"/>
        </w:rPr>
        <w:t>环评期（</w:t>
      </w:r>
      <w:r>
        <w:rPr>
          <w:rFonts w:ascii="Times New Roman" w:hAnsi="Times New Roman" w:eastAsia="Times New Roman" w:cs="Times New Roman"/>
          <w:b/>
          <w:bCs/>
          <w:spacing w:val="-1"/>
          <w:sz w:val="24"/>
          <w:szCs w:val="24"/>
        </w:rPr>
        <w:t xml:space="preserve">2015 </w:t>
      </w:r>
      <w:r>
        <w:rPr>
          <w:b/>
          <w:bCs/>
          <w:spacing w:val="-1"/>
          <w:sz w:val="24"/>
          <w:szCs w:val="24"/>
        </w:rPr>
        <w:t>年）和施工期（</w:t>
      </w:r>
      <w:r>
        <w:rPr>
          <w:rFonts w:ascii="Times New Roman" w:hAnsi="Times New Roman" w:eastAsia="Times New Roman" w:cs="Times New Roman"/>
          <w:b/>
          <w:bCs/>
          <w:spacing w:val="-1"/>
          <w:sz w:val="24"/>
          <w:szCs w:val="24"/>
        </w:rPr>
        <w:t xml:space="preserve">2020 </w:t>
      </w:r>
      <w:r>
        <w:rPr>
          <w:b/>
          <w:bCs/>
          <w:spacing w:val="-1"/>
          <w:sz w:val="24"/>
          <w:szCs w:val="24"/>
        </w:rPr>
        <w:t>年）陆生动物统计表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911"/>
        <w:gridCol w:w="915"/>
        <w:gridCol w:w="914"/>
        <w:gridCol w:w="916"/>
        <w:gridCol w:w="913"/>
        <w:gridCol w:w="914"/>
        <w:gridCol w:w="913"/>
        <w:gridCol w:w="928"/>
      </w:tblGrid>
      <w:tr w14:paraId="0C843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149" w:type="dxa"/>
            <w:vMerge w:val="restart"/>
            <w:tcBorders>
              <w:top w:val="single" w:color="000000" w:sz="12" w:space="0"/>
              <w:left w:val="single" w:color="000000" w:sz="12" w:space="0"/>
              <w:bottom w:val="nil"/>
            </w:tcBorders>
            <w:vAlign w:val="top"/>
          </w:tcPr>
          <w:p w14:paraId="1859ACA2">
            <w:pPr>
              <w:spacing w:before="264" w:line="220" w:lineRule="auto"/>
              <w:ind w:left="351"/>
              <w:rPr>
                <w:rFonts w:ascii="宋体" w:hAnsi="宋体" w:eastAsia="宋体" w:cs="宋体"/>
                <w:sz w:val="21"/>
                <w:szCs w:val="21"/>
              </w:rPr>
            </w:pPr>
            <w:r>
              <w:rPr>
                <w:rFonts w:ascii="宋体" w:hAnsi="宋体" w:eastAsia="宋体" w:cs="宋体"/>
                <w:spacing w:val="-3"/>
                <w:sz w:val="21"/>
                <w:szCs w:val="21"/>
              </w:rPr>
              <w:t>类别</w:t>
            </w:r>
          </w:p>
        </w:tc>
        <w:tc>
          <w:tcPr>
            <w:tcW w:w="3656" w:type="dxa"/>
            <w:gridSpan w:val="4"/>
            <w:tcBorders>
              <w:top w:val="single" w:color="000000" w:sz="12" w:space="0"/>
            </w:tcBorders>
            <w:vAlign w:val="top"/>
          </w:tcPr>
          <w:p w14:paraId="5480C9FC">
            <w:pPr>
              <w:pStyle w:val="6"/>
              <w:spacing w:before="75" w:line="233" w:lineRule="auto"/>
              <w:ind w:left="855"/>
              <w:rPr>
                <w:rFonts w:ascii="宋体" w:hAnsi="宋体" w:eastAsia="宋体" w:cs="宋体"/>
              </w:rPr>
            </w:pPr>
            <w:r>
              <w:rPr>
                <w:rFonts w:ascii="宋体" w:hAnsi="宋体" w:eastAsia="宋体" w:cs="宋体"/>
                <w:spacing w:val="-1"/>
              </w:rPr>
              <w:t>环评阶段（</w:t>
            </w:r>
            <w:r>
              <w:rPr>
                <w:spacing w:val="-1"/>
              </w:rPr>
              <w:t xml:space="preserve">2015 </w:t>
            </w:r>
            <w:r>
              <w:rPr>
                <w:rFonts w:ascii="宋体" w:hAnsi="宋体" w:eastAsia="宋体" w:cs="宋体"/>
                <w:spacing w:val="-1"/>
              </w:rPr>
              <w:t>年）</w:t>
            </w:r>
          </w:p>
        </w:tc>
        <w:tc>
          <w:tcPr>
            <w:tcW w:w="3668" w:type="dxa"/>
            <w:gridSpan w:val="4"/>
            <w:tcBorders>
              <w:top w:val="single" w:color="000000" w:sz="12" w:space="0"/>
              <w:right w:val="single" w:color="000000" w:sz="12" w:space="0"/>
            </w:tcBorders>
            <w:vAlign w:val="top"/>
          </w:tcPr>
          <w:p w14:paraId="0EAA3DB3">
            <w:pPr>
              <w:pStyle w:val="6"/>
              <w:spacing w:before="75" w:line="233" w:lineRule="auto"/>
              <w:ind w:left="971"/>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r>
      <w:tr w14:paraId="006A4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49" w:type="dxa"/>
            <w:vMerge w:val="continue"/>
            <w:tcBorders>
              <w:top w:val="nil"/>
              <w:left w:val="single" w:color="000000" w:sz="12" w:space="0"/>
            </w:tcBorders>
            <w:vAlign w:val="top"/>
          </w:tcPr>
          <w:p w14:paraId="277209B3">
            <w:pPr>
              <w:rPr>
                <w:rFonts w:ascii="Arial"/>
                <w:sz w:val="21"/>
              </w:rPr>
            </w:pPr>
          </w:p>
        </w:tc>
        <w:tc>
          <w:tcPr>
            <w:tcW w:w="911" w:type="dxa"/>
            <w:vAlign w:val="top"/>
          </w:tcPr>
          <w:p w14:paraId="2D0D0C0B">
            <w:pPr>
              <w:spacing w:before="78" w:line="222" w:lineRule="auto"/>
              <w:ind w:left="384"/>
              <w:rPr>
                <w:rFonts w:ascii="宋体" w:hAnsi="宋体" w:eastAsia="宋体" w:cs="宋体"/>
                <w:sz w:val="21"/>
                <w:szCs w:val="21"/>
              </w:rPr>
            </w:pPr>
            <w:r>
              <w:rPr>
                <w:rFonts w:ascii="宋体" w:hAnsi="宋体" w:eastAsia="宋体" w:cs="宋体"/>
                <w:sz w:val="21"/>
                <w:szCs w:val="21"/>
              </w:rPr>
              <w:t>目</w:t>
            </w:r>
          </w:p>
        </w:tc>
        <w:tc>
          <w:tcPr>
            <w:tcW w:w="915" w:type="dxa"/>
            <w:vAlign w:val="top"/>
          </w:tcPr>
          <w:p w14:paraId="3D99098C">
            <w:pPr>
              <w:spacing w:before="77" w:line="219" w:lineRule="auto"/>
              <w:ind w:left="348"/>
              <w:rPr>
                <w:rFonts w:ascii="宋体" w:hAnsi="宋体" w:eastAsia="宋体" w:cs="宋体"/>
                <w:sz w:val="21"/>
                <w:szCs w:val="21"/>
              </w:rPr>
            </w:pPr>
            <w:r>
              <w:rPr>
                <w:rFonts w:ascii="宋体" w:hAnsi="宋体" w:eastAsia="宋体" w:cs="宋体"/>
                <w:sz w:val="21"/>
                <w:szCs w:val="21"/>
              </w:rPr>
              <w:t>科</w:t>
            </w:r>
          </w:p>
        </w:tc>
        <w:tc>
          <w:tcPr>
            <w:tcW w:w="914" w:type="dxa"/>
            <w:vAlign w:val="top"/>
          </w:tcPr>
          <w:p w14:paraId="06C2B6FC">
            <w:pPr>
              <w:spacing w:before="78" w:line="221" w:lineRule="auto"/>
              <w:ind w:left="353"/>
              <w:rPr>
                <w:rFonts w:ascii="宋体" w:hAnsi="宋体" w:eastAsia="宋体" w:cs="宋体"/>
                <w:sz w:val="21"/>
                <w:szCs w:val="21"/>
              </w:rPr>
            </w:pPr>
            <w:r>
              <w:rPr>
                <w:rFonts w:ascii="宋体" w:hAnsi="宋体" w:eastAsia="宋体" w:cs="宋体"/>
                <w:sz w:val="21"/>
                <w:szCs w:val="21"/>
              </w:rPr>
              <w:t>属</w:t>
            </w:r>
          </w:p>
        </w:tc>
        <w:tc>
          <w:tcPr>
            <w:tcW w:w="916" w:type="dxa"/>
            <w:vAlign w:val="top"/>
          </w:tcPr>
          <w:p w14:paraId="7038C40C">
            <w:pPr>
              <w:spacing w:before="78" w:line="220" w:lineRule="auto"/>
              <w:ind w:left="355"/>
              <w:rPr>
                <w:rFonts w:ascii="宋体" w:hAnsi="宋体" w:eastAsia="宋体" w:cs="宋体"/>
                <w:sz w:val="21"/>
                <w:szCs w:val="21"/>
              </w:rPr>
            </w:pPr>
            <w:r>
              <w:rPr>
                <w:rFonts w:ascii="宋体" w:hAnsi="宋体" w:eastAsia="宋体" w:cs="宋体"/>
                <w:sz w:val="21"/>
                <w:szCs w:val="21"/>
              </w:rPr>
              <w:t>种</w:t>
            </w:r>
          </w:p>
        </w:tc>
        <w:tc>
          <w:tcPr>
            <w:tcW w:w="913" w:type="dxa"/>
            <w:vAlign w:val="top"/>
          </w:tcPr>
          <w:p w14:paraId="38DF6615">
            <w:pPr>
              <w:spacing w:before="78" w:line="222" w:lineRule="auto"/>
              <w:ind w:left="398"/>
              <w:rPr>
                <w:rFonts w:ascii="宋体" w:hAnsi="宋体" w:eastAsia="宋体" w:cs="宋体"/>
                <w:sz w:val="21"/>
                <w:szCs w:val="21"/>
              </w:rPr>
            </w:pPr>
            <w:r>
              <w:rPr>
                <w:rFonts w:ascii="宋体" w:hAnsi="宋体" w:eastAsia="宋体" w:cs="宋体"/>
                <w:sz w:val="21"/>
                <w:szCs w:val="21"/>
              </w:rPr>
              <w:t>目</w:t>
            </w:r>
          </w:p>
        </w:tc>
        <w:tc>
          <w:tcPr>
            <w:tcW w:w="914" w:type="dxa"/>
            <w:vAlign w:val="top"/>
          </w:tcPr>
          <w:p w14:paraId="50564BAB">
            <w:pPr>
              <w:spacing w:before="77" w:line="219" w:lineRule="auto"/>
              <w:ind w:left="361"/>
              <w:rPr>
                <w:rFonts w:ascii="宋体" w:hAnsi="宋体" w:eastAsia="宋体" w:cs="宋体"/>
                <w:sz w:val="21"/>
                <w:szCs w:val="21"/>
              </w:rPr>
            </w:pPr>
            <w:r>
              <w:rPr>
                <w:rFonts w:ascii="宋体" w:hAnsi="宋体" w:eastAsia="宋体" w:cs="宋体"/>
                <w:sz w:val="21"/>
                <w:szCs w:val="21"/>
              </w:rPr>
              <w:t>科</w:t>
            </w:r>
          </w:p>
        </w:tc>
        <w:tc>
          <w:tcPr>
            <w:tcW w:w="913" w:type="dxa"/>
            <w:vAlign w:val="top"/>
          </w:tcPr>
          <w:p w14:paraId="227F19BC">
            <w:pPr>
              <w:spacing w:before="78" w:line="221" w:lineRule="auto"/>
              <w:ind w:left="366"/>
              <w:rPr>
                <w:rFonts w:ascii="宋体" w:hAnsi="宋体" w:eastAsia="宋体" w:cs="宋体"/>
                <w:sz w:val="21"/>
                <w:szCs w:val="21"/>
              </w:rPr>
            </w:pPr>
            <w:r>
              <w:rPr>
                <w:rFonts w:ascii="宋体" w:hAnsi="宋体" w:eastAsia="宋体" w:cs="宋体"/>
                <w:sz w:val="21"/>
                <w:szCs w:val="21"/>
              </w:rPr>
              <w:t>属</w:t>
            </w:r>
          </w:p>
        </w:tc>
        <w:tc>
          <w:tcPr>
            <w:tcW w:w="928" w:type="dxa"/>
            <w:tcBorders>
              <w:right w:val="single" w:color="000000" w:sz="12" w:space="0"/>
            </w:tcBorders>
            <w:vAlign w:val="top"/>
          </w:tcPr>
          <w:p w14:paraId="593F7E40">
            <w:pPr>
              <w:spacing w:before="78" w:line="220" w:lineRule="auto"/>
              <w:ind w:left="368"/>
              <w:rPr>
                <w:rFonts w:ascii="宋体" w:hAnsi="宋体" w:eastAsia="宋体" w:cs="宋体"/>
                <w:sz w:val="21"/>
                <w:szCs w:val="21"/>
              </w:rPr>
            </w:pPr>
            <w:r>
              <w:rPr>
                <w:rFonts w:ascii="宋体" w:hAnsi="宋体" w:eastAsia="宋体" w:cs="宋体"/>
                <w:sz w:val="21"/>
                <w:szCs w:val="21"/>
              </w:rPr>
              <w:t>种</w:t>
            </w:r>
          </w:p>
        </w:tc>
      </w:tr>
      <w:tr w14:paraId="01A9F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49" w:type="dxa"/>
            <w:tcBorders>
              <w:left w:val="single" w:color="000000" w:sz="12" w:space="0"/>
            </w:tcBorders>
            <w:vAlign w:val="top"/>
          </w:tcPr>
          <w:p w14:paraId="406BA316">
            <w:pPr>
              <w:spacing w:before="81" w:line="220" w:lineRule="auto"/>
              <w:ind w:left="247"/>
              <w:rPr>
                <w:rFonts w:ascii="宋体" w:hAnsi="宋体" w:eastAsia="宋体" w:cs="宋体"/>
                <w:sz w:val="21"/>
                <w:szCs w:val="21"/>
              </w:rPr>
            </w:pPr>
            <w:r>
              <w:rPr>
                <w:rFonts w:ascii="宋体" w:hAnsi="宋体" w:eastAsia="宋体" w:cs="宋体"/>
                <w:spacing w:val="-3"/>
                <w:sz w:val="21"/>
                <w:szCs w:val="21"/>
              </w:rPr>
              <w:t>两栖类</w:t>
            </w:r>
          </w:p>
        </w:tc>
        <w:tc>
          <w:tcPr>
            <w:tcW w:w="911" w:type="dxa"/>
            <w:vAlign w:val="top"/>
          </w:tcPr>
          <w:p w14:paraId="24820EDE">
            <w:pPr>
              <w:pStyle w:val="6"/>
              <w:spacing w:before="115" w:line="235" w:lineRule="auto"/>
              <w:ind w:left="413"/>
            </w:pPr>
            <w:r>
              <w:t>1</w:t>
            </w:r>
          </w:p>
        </w:tc>
        <w:tc>
          <w:tcPr>
            <w:tcW w:w="915" w:type="dxa"/>
            <w:vAlign w:val="top"/>
          </w:tcPr>
          <w:p w14:paraId="53ACFEB2">
            <w:pPr>
              <w:pStyle w:val="6"/>
              <w:spacing w:before="116" w:line="232" w:lineRule="auto"/>
              <w:ind w:left="403"/>
            </w:pPr>
            <w:r>
              <w:t>5</w:t>
            </w:r>
          </w:p>
        </w:tc>
        <w:tc>
          <w:tcPr>
            <w:tcW w:w="914" w:type="dxa"/>
            <w:vAlign w:val="top"/>
          </w:tcPr>
          <w:p w14:paraId="17523009">
            <w:pPr>
              <w:pStyle w:val="6"/>
              <w:spacing w:before="116" w:line="232" w:lineRule="auto"/>
              <w:ind w:left="405"/>
            </w:pPr>
            <w:r>
              <w:t>6</w:t>
            </w:r>
          </w:p>
        </w:tc>
        <w:tc>
          <w:tcPr>
            <w:tcW w:w="916" w:type="dxa"/>
            <w:vAlign w:val="top"/>
          </w:tcPr>
          <w:p w14:paraId="389381B1">
            <w:pPr>
              <w:pStyle w:val="6"/>
              <w:spacing w:before="115" w:line="235" w:lineRule="auto"/>
              <w:ind w:left="372"/>
            </w:pPr>
            <w:r>
              <w:rPr>
                <w:spacing w:val="-12"/>
              </w:rPr>
              <w:t>12</w:t>
            </w:r>
          </w:p>
        </w:tc>
        <w:tc>
          <w:tcPr>
            <w:tcW w:w="913" w:type="dxa"/>
            <w:vAlign w:val="top"/>
          </w:tcPr>
          <w:p w14:paraId="4BC38BB5">
            <w:pPr>
              <w:pStyle w:val="6"/>
              <w:spacing w:before="115" w:line="235" w:lineRule="auto"/>
              <w:ind w:left="427"/>
            </w:pPr>
            <w:r>
              <w:t>1</w:t>
            </w:r>
          </w:p>
        </w:tc>
        <w:tc>
          <w:tcPr>
            <w:tcW w:w="914" w:type="dxa"/>
            <w:vAlign w:val="top"/>
          </w:tcPr>
          <w:p w14:paraId="41D3EF6D">
            <w:pPr>
              <w:pStyle w:val="6"/>
              <w:spacing w:before="115" w:line="235" w:lineRule="auto"/>
              <w:ind w:left="409"/>
            </w:pPr>
            <w:r>
              <w:t>4</w:t>
            </w:r>
          </w:p>
        </w:tc>
        <w:tc>
          <w:tcPr>
            <w:tcW w:w="913" w:type="dxa"/>
            <w:vAlign w:val="top"/>
          </w:tcPr>
          <w:p w14:paraId="59D5F576">
            <w:pPr>
              <w:pStyle w:val="6"/>
              <w:spacing w:before="116" w:line="232" w:lineRule="auto"/>
              <w:ind w:left="418"/>
            </w:pPr>
            <w:r>
              <w:t>6</w:t>
            </w:r>
          </w:p>
        </w:tc>
        <w:tc>
          <w:tcPr>
            <w:tcW w:w="928" w:type="dxa"/>
            <w:tcBorders>
              <w:right w:val="single" w:color="000000" w:sz="12" w:space="0"/>
            </w:tcBorders>
            <w:vAlign w:val="top"/>
          </w:tcPr>
          <w:p w14:paraId="7BDF5F44">
            <w:pPr>
              <w:pStyle w:val="6"/>
              <w:spacing w:before="116" w:line="232" w:lineRule="auto"/>
              <w:ind w:left="422"/>
            </w:pPr>
            <w:r>
              <w:t>6</w:t>
            </w:r>
          </w:p>
        </w:tc>
      </w:tr>
      <w:tr w14:paraId="78DC0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149" w:type="dxa"/>
            <w:tcBorders>
              <w:left w:val="single" w:color="000000" w:sz="12" w:space="0"/>
            </w:tcBorders>
            <w:vAlign w:val="top"/>
          </w:tcPr>
          <w:p w14:paraId="24FF11AB">
            <w:pPr>
              <w:spacing w:before="85" w:line="220" w:lineRule="auto"/>
              <w:ind w:left="246"/>
              <w:rPr>
                <w:rFonts w:ascii="宋体" w:hAnsi="宋体" w:eastAsia="宋体" w:cs="宋体"/>
                <w:sz w:val="21"/>
                <w:szCs w:val="21"/>
              </w:rPr>
            </w:pPr>
            <w:r>
              <w:rPr>
                <w:rFonts w:ascii="宋体" w:hAnsi="宋体" w:eastAsia="宋体" w:cs="宋体"/>
                <w:spacing w:val="-2"/>
                <w:sz w:val="21"/>
                <w:szCs w:val="21"/>
              </w:rPr>
              <w:t>爬行类</w:t>
            </w:r>
          </w:p>
        </w:tc>
        <w:tc>
          <w:tcPr>
            <w:tcW w:w="911" w:type="dxa"/>
            <w:vAlign w:val="top"/>
          </w:tcPr>
          <w:p w14:paraId="385B24DC">
            <w:pPr>
              <w:pStyle w:val="6"/>
              <w:spacing w:before="119" w:line="232" w:lineRule="auto"/>
              <w:ind w:left="393"/>
            </w:pPr>
            <w:r>
              <w:t>2</w:t>
            </w:r>
          </w:p>
        </w:tc>
        <w:tc>
          <w:tcPr>
            <w:tcW w:w="915" w:type="dxa"/>
            <w:vAlign w:val="top"/>
          </w:tcPr>
          <w:p w14:paraId="77BC22FB">
            <w:pPr>
              <w:pStyle w:val="6"/>
              <w:spacing w:before="119" w:line="232" w:lineRule="auto"/>
              <w:ind w:left="402"/>
            </w:pPr>
            <w:r>
              <w:t>6</w:t>
            </w:r>
          </w:p>
        </w:tc>
        <w:tc>
          <w:tcPr>
            <w:tcW w:w="914" w:type="dxa"/>
            <w:vAlign w:val="top"/>
          </w:tcPr>
          <w:p w14:paraId="65132E40">
            <w:pPr>
              <w:pStyle w:val="6"/>
              <w:spacing w:before="119" w:line="232" w:lineRule="auto"/>
              <w:ind w:left="368"/>
            </w:pPr>
            <w:r>
              <w:rPr>
                <w:spacing w:val="-12"/>
              </w:rPr>
              <w:t>13</w:t>
            </w:r>
          </w:p>
        </w:tc>
        <w:tc>
          <w:tcPr>
            <w:tcW w:w="916" w:type="dxa"/>
            <w:vAlign w:val="top"/>
          </w:tcPr>
          <w:p w14:paraId="02592273">
            <w:pPr>
              <w:pStyle w:val="6"/>
              <w:spacing w:before="119" w:line="232" w:lineRule="auto"/>
              <w:ind w:left="372"/>
            </w:pPr>
            <w:r>
              <w:rPr>
                <w:spacing w:val="-6"/>
              </w:rPr>
              <w:t>16</w:t>
            </w:r>
          </w:p>
        </w:tc>
        <w:tc>
          <w:tcPr>
            <w:tcW w:w="913" w:type="dxa"/>
            <w:vAlign w:val="top"/>
          </w:tcPr>
          <w:p w14:paraId="3B4D8059">
            <w:pPr>
              <w:pStyle w:val="6"/>
              <w:spacing w:before="119" w:line="232" w:lineRule="auto"/>
              <w:ind w:left="427"/>
            </w:pPr>
            <w:r>
              <w:t>1</w:t>
            </w:r>
          </w:p>
        </w:tc>
        <w:tc>
          <w:tcPr>
            <w:tcW w:w="914" w:type="dxa"/>
            <w:vAlign w:val="top"/>
          </w:tcPr>
          <w:p w14:paraId="48FFD278">
            <w:pPr>
              <w:pStyle w:val="6"/>
              <w:spacing w:before="119" w:line="232" w:lineRule="auto"/>
              <w:ind w:left="414"/>
            </w:pPr>
            <w:r>
              <w:t>7</w:t>
            </w:r>
          </w:p>
        </w:tc>
        <w:tc>
          <w:tcPr>
            <w:tcW w:w="913" w:type="dxa"/>
            <w:vAlign w:val="top"/>
          </w:tcPr>
          <w:p w14:paraId="0CCD9C80">
            <w:pPr>
              <w:pStyle w:val="6"/>
              <w:spacing w:before="119" w:line="232" w:lineRule="auto"/>
              <w:ind w:left="417"/>
            </w:pPr>
            <w:r>
              <w:t>7</w:t>
            </w:r>
          </w:p>
        </w:tc>
        <w:tc>
          <w:tcPr>
            <w:tcW w:w="928" w:type="dxa"/>
            <w:tcBorders>
              <w:right w:val="single" w:color="000000" w:sz="12" w:space="0"/>
            </w:tcBorders>
            <w:vAlign w:val="top"/>
          </w:tcPr>
          <w:p w14:paraId="03855B6E">
            <w:pPr>
              <w:pStyle w:val="6"/>
              <w:spacing w:before="119" w:line="232" w:lineRule="auto"/>
              <w:ind w:left="426"/>
            </w:pPr>
            <w:r>
              <w:t>8</w:t>
            </w:r>
          </w:p>
        </w:tc>
      </w:tr>
      <w:tr w14:paraId="21D01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49" w:type="dxa"/>
            <w:tcBorders>
              <w:left w:val="single" w:color="000000" w:sz="12" w:space="0"/>
            </w:tcBorders>
            <w:vAlign w:val="top"/>
          </w:tcPr>
          <w:p w14:paraId="7A33E5D2">
            <w:pPr>
              <w:spacing w:before="90" w:line="220" w:lineRule="auto"/>
              <w:ind w:left="251"/>
              <w:rPr>
                <w:rFonts w:ascii="宋体" w:hAnsi="宋体" w:eastAsia="宋体" w:cs="宋体"/>
                <w:sz w:val="21"/>
                <w:szCs w:val="21"/>
              </w:rPr>
            </w:pPr>
            <w:r>
              <w:rPr>
                <w:rFonts w:ascii="宋体" w:hAnsi="宋体" w:eastAsia="宋体" w:cs="宋体"/>
                <w:spacing w:val="-7"/>
                <w:sz w:val="21"/>
                <w:szCs w:val="21"/>
              </w:rPr>
              <w:t>鸟</w:t>
            </w:r>
            <w:r>
              <w:rPr>
                <w:rFonts w:ascii="宋体" w:hAnsi="宋体" w:eastAsia="宋体" w:cs="宋体"/>
                <w:spacing w:val="4"/>
                <w:sz w:val="21"/>
                <w:szCs w:val="21"/>
              </w:rPr>
              <w:t xml:space="preserve">  </w:t>
            </w:r>
            <w:r>
              <w:rPr>
                <w:rFonts w:ascii="宋体" w:hAnsi="宋体" w:eastAsia="宋体" w:cs="宋体"/>
                <w:spacing w:val="-7"/>
                <w:sz w:val="21"/>
                <w:szCs w:val="21"/>
              </w:rPr>
              <w:t>类</w:t>
            </w:r>
          </w:p>
        </w:tc>
        <w:tc>
          <w:tcPr>
            <w:tcW w:w="911" w:type="dxa"/>
            <w:vAlign w:val="top"/>
          </w:tcPr>
          <w:p w14:paraId="3148CF1D">
            <w:pPr>
              <w:pStyle w:val="6"/>
              <w:spacing w:before="124" w:line="228" w:lineRule="auto"/>
              <w:ind w:left="360"/>
            </w:pPr>
            <w:r>
              <w:rPr>
                <w:spacing w:val="-12"/>
              </w:rPr>
              <w:t>13</w:t>
            </w:r>
          </w:p>
        </w:tc>
        <w:tc>
          <w:tcPr>
            <w:tcW w:w="915" w:type="dxa"/>
            <w:vAlign w:val="top"/>
          </w:tcPr>
          <w:p w14:paraId="3B35B469">
            <w:pPr>
              <w:pStyle w:val="6"/>
              <w:spacing w:before="124" w:line="228" w:lineRule="auto"/>
              <w:ind w:left="349"/>
            </w:pPr>
            <w:r>
              <w:rPr>
                <w:spacing w:val="-3"/>
              </w:rPr>
              <w:t>33</w:t>
            </w:r>
          </w:p>
        </w:tc>
        <w:tc>
          <w:tcPr>
            <w:tcW w:w="914" w:type="dxa"/>
            <w:vAlign w:val="top"/>
          </w:tcPr>
          <w:p w14:paraId="317B68A5">
            <w:pPr>
              <w:pStyle w:val="6"/>
              <w:spacing w:before="124" w:line="228" w:lineRule="auto"/>
              <w:ind w:left="315"/>
            </w:pPr>
            <w:r>
              <w:rPr>
                <w:spacing w:val="-8"/>
              </w:rPr>
              <w:t>110</w:t>
            </w:r>
          </w:p>
        </w:tc>
        <w:tc>
          <w:tcPr>
            <w:tcW w:w="916" w:type="dxa"/>
            <w:vAlign w:val="top"/>
          </w:tcPr>
          <w:p w14:paraId="7576ACAA">
            <w:pPr>
              <w:pStyle w:val="6"/>
              <w:spacing w:before="124" w:line="228" w:lineRule="auto"/>
              <w:ind w:left="319"/>
            </w:pPr>
            <w:r>
              <w:rPr>
                <w:spacing w:val="-6"/>
              </w:rPr>
              <w:t>169</w:t>
            </w:r>
          </w:p>
        </w:tc>
        <w:tc>
          <w:tcPr>
            <w:tcW w:w="913" w:type="dxa"/>
            <w:vAlign w:val="top"/>
          </w:tcPr>
          <w:p w14:paraId="6E5EF900">
            <w:pPr>
              <w:pStyle w:val="6"/>
              <w:spacing w:before="124" w:line="228" w:lineRule="auto"/>
              <w:ind w:left="374"/>
            </w:pPr>
            <w:r>
              <w:rPr>
                <w:spacing w:val="-6"/>
              </w:rPr>
              <w:t>16</w:t>
            </w:r>
          </w:p>
        </w:tc>
        <w:tc>
          <w:tcPr>
            <w:tcW w:w="914" w:type="dxa"/>
            <w:vAlign w:val="top"/>
          </w:tcPr>
          <w:p w14:paraId="0880D857">
            <w:pPr>
              <w:pStyle w:val="6"/>
              <w:spacing w:before="124" w:line="228" w:lineRule="auto"/>
              <w:ind w:left="356"/>
            </w:pPr>
            <w:r>
              <w:rPr>
                <w:spacing w:val="-1"/>
              </w:rPr>
              <w:t>45</w:t>
            </w:r>
          </w:p>
        </w:tc>
        <w:tc>
          <w:tcPr>
            <w:tcW w:w="913" w:type="dxa"/>
            <w:vAlign w:val="top"/>
          </w:tcPr>
          <w:p w14:paraId="5E3307D7">
            <w:pPr>
              <w:pStyle w:val="6"/>
              <w:spacing w:before="124" w:line="228" w:lineRule="auto"/>
              <w:ind w:left="365"/>
            </w:pPr>
            <w:r>
              <w:rPr>
                <w:spacing w:val="-2"/>
              </w:rPr>
              <w:t>92</w:t>
            </w:r>
          </w:p>
        </w:tc>
        <w:tc>
          <w:tcPr>
            <w:tcW w:w="928" w:type="dxa"/>
            <w:tcBorders>
              <w:right w:val="single" w:color="000000" w:sz="12" w:space="0"/>
            </w:tcBorders>
            <w:vAlign w:val="top"/>
          </w:tcPr>
          <w:p w14:paraId="0220F8EE">
            <w:pPr>
              <w:pStyle w:val="6"/>
              <w:spacing w:before="124" w:line="228" w:lineRule="auto"/>
              <w:ind w:left="332"/>
            </w:pPr>
            <w:r>
              <w:rPr>
                <w:spacing w:val="-6"/>
              </w:rPr>
              <w:t>115</w:t>
            </w:r>
          </w:p>
        </w:tc>
      </w:tr>
      <w:tr w14:paraId="6AEA6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49" w:type="dxa"/>
            <w:tcBorders>
              <w:left w:val="single" w:color="000000" w:sz="12" w:space="0"/>
            </w:tcBorders>
            <w:vAlign w:val="top"/>
          </w:tcPr>
          <w:p w14:paraId="6B890EC8">
            <w:pPr>
              <w:spacing w:before="94" w:line="220" w:lineRule="auto"/>
              <w:ind w:left="247"/>
              <w:rPr>
                <w:rFonts w:ascii="宋体" w:hAnsi="宋体" w:eastAsia="宋体" w:cs="宋体"/>
                <w:sz w:val="21"/>
                <w:szCs w:val="21"/>
              </w:rPr>
            </w:pPr>
            <w:r>
              <w:rPr>
                <w:rFonts w:ascii="宋体" w:hAnsi="宋体" w:eastAsia="宋体" w:cs="宋体"/>
                <w:spacing w:val="-5"/>
                <w:sz w:val="21"/>
                <w:szCs w:val="21"/>
              </w:rPr>
              <w:t>兽</w:t>
            </w:r>
            <w:r>
              <w:rPr>
                <w:rFonts w:ascii="宋体" w:hAnsi="宋体" w:eastAsia="宋体" w:cs="宋体"/>
                <w:spacing w:val="4"/>
                <w:sz w:val="21"/>
                <w:szCs w:val="21"/>
              </w:rPr>
              <w:t xml:space="preserve">  </w:t>
            </w:r>
            <w:r>
              <w:rPr>
                <w:rFonts w:ascii="宋体" w:hAnsi="宋体" w:eastAsia="宋体" w:cs="宋体"/>
                <w:spacing w:val="-5"/>
                <w:sz w:val="21"/>
                <w:szCs w:val="21"/>
              </w:rPr>
              <w:t>类</w:t>
            </w:r>
          </w:p>
        </w:tc>
        <w:tc>
          <w:tcPr>
            <w:tcW w:w="911" w:type="dxa"/>
            <w:vAlign w:val="top"/>
          </w:tcPr>
          <w:p w14:paraId="2646B44E">
            <w:pPr>
              <w:pStyle w:val="6"/>
              <w:spacing w:before="128" w:line="224" w:lineRule="auto"/>
              <w:ind w:left="398"/>
            </w:pPr>
            <w:r>
              <w:t>5</w:t>
            </w:r>
          </w:p>
        </w:tc>
        <w:tc>
          <w:tcPr>
            <w:tcW w:w="915" w:type="dxa"/>
            <w:vAlign w:val="top"/>
          </w:tcPr>
          <w:p w14:paraId="6047C68B">
            <w:pPr>
              <w:pStyle w:val="6"/>
              <w:spacing w:before="128" w:line="224" w:lineRule="auto"/>
              <w:ind w:left="400"/>
            </w:pPr>
            <w:r>
              <w:t>7</w:t>
            </w:r>
          </w:p>
        </w:tc>
        <w:tc>
          <w:tcPr>
            <w:tcW w:w="914" w:type="dxa"/>
            <w:vAlign w:val="top"/>
          </w:tcPr>
          <w:p w14:paraId="73A47502">
            <w:pPr>
              <w:pStyle w:val="6"/>
              <w:spacing w:before="128" w:line="224" w:lineRule="auto"/>
              <w:ind w:left="348"/>
            </w:pPr>
            <w:r>
              <w:rPr>
                <w:spacing w:val="-2"/>
              </w:rPr>
              <w:t>20</w:t>
            </w:r>
          </w:p>
        </w:tc>
        <w:tc>
          <w:tcPr>
            <w:tcW w:w="916" w:type="dxa"/>
            <w:vAlign w:val="top"/>
          </w:tcPr>
          <w:p w14:paraId="628DF68E">
            <w:pPr>
              <w:pStyle w:val="6"/>
              <w:spacing w:before="128" w:line="224" w:lineRule="auto"/>
              <w:ind w:left="352"/>
            </w:pPr>
            <w:r>
              <w:rPr>
                <w:spacing w:val="-1"/>
              </w:rPr>
              <w:t>28</w:t>
            </w:r>
          </w:p>
        </w:tc>
        <w:tc>
          <w:tcPr>
            <w:tcW w:w="913" w:type="dxa"/>
            <w:vAlign w:val="top"/>
          </w:tcPr>
          <w:p w14:paraId="23A74129">
            <w:pPr>
              <w:pStyle w:val="6"/>
              <w:spacing w:before="128" w:line="224" w:lineRule="auto"/>
              <w:ind w:left="405"/>
            </w:pPr>
            <w:r>
              <w:t>4</w:t>
            </w:r>
          </w:p>
        </w:tc>
        <w:tc>
          <w:tcPr>
            <w:tcW w:w="914" w:type="dxa"/>
            <w:vAlign w:val="top"/>
          </w:tcPr>
          <w:p w14:paraId="5A05D091">
            <w:pPr>
              <w:pStyle w:val="6"/>
              <w:spacing w:before="128" w:line="224" w:lineRule="auto"/>
              <w:ind w:left="414"/>
            </w:pPr>
            <w:r>
              <w:t>7</w:t>
            </w:r>
          </w:p>
        </w:tc>
        <w:tc>
          <w:tcPr>
            <w:tcW w:w="913" w:type="dxa"/>
            <w:vAlign w:val="top"/>
          </w:tcPr>
          <w:p w14:paraId="633B60A8">
            <w:pPr>
              <w:pStyle w:val="6"/>
              <w:spacing w:before="128" w:line="224" w:lineRule="auto"/>
              <w:ind w:left="417"/>
            </w:pPr>
            <w:r>
              <w:t>9</w:t>
            </w:r>
          </w:p>
        </w:tc>
        <w:tc>
          <w:tcPr>
            <w:tcW w:w="928" w:type="dxa"/>
            <w:tcBorders>
              <w:right w:val="single" w:color="000000" w:sz="12" w:space="0"/>
            </w:tcBorders>
            <w:vAlign w:val="top"/>
          </w:tcPr>
          <w:p w14:paraId="51FC000E">
            <w:pPr>
              <w:pStyle w:val="6"/>
              <w:spacing w:before="128" w:line="224" w:lineRule="auto"/>
              <w:ind w:left="385"/>
            </w:pPr>
            <w:r>
              <w:rPr>
                <w:spacing w:val="-6"/>
              </w:rPr>
              <w:t>10</w:t>
            </w:r>
          </w:p>
        </w:tc>
      </w:tr>
      <w:tr w14:paraId="61471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149" w:type="dxa"/>
            <w:tcBorders>
              <w:left w:val="single" w:color="000000" w:sz="12" w:space="0"/>
              <w:bottom w:val="single" w:color="000000" w:sz="12" w:space="0"/>
            </w:tcBorders>
            <w:vAlign w:val="top"/>
          </w:tcPr>
          <w:p w14:paraId="3679AFA4">
            <w:pPr>
              <w:spacing w:before="99" w:line="221" w:lineRule="auto"/>
              <w:ind w:left="352"/>
              <w:rPr>
                <w:rFonts w:ascii="宋体" w:hAnsi="宋体" w:eastAsia="宋体" w:cs="宋体"/>
                <w:sz w:val="21"/>
                <w:szCs w:val="21"/>
              </w:rPr>
            </w:pPr>
            <w:r>
              <w:rPr>
                <w:rFonts w:ascii="宋体" w:hAnsi="宋体" w:eastAsia="宋体" w:cs="宋体"/>
                <w:spacing w:val="-3"/>
                <w:sz w:val="21"/>
                <w:szCs w:val="21"/>
              </w:rPr>
              <w:t>合计</w:t>
            </w:r>
          </w:p>
        </w:tc>
        <w:tc>
          <w:tcPr>
            <w:tcW w:w="911" w:type="dxa"/>
            <w:tcBorders>
              <w:bottom w:val="single" w:color="000000" w:sz="12" w:space="0"/>
            </w:tcBorders>
            <w:vAlign w:val="top"/>
          </w:tcPr>
          <w:p w14:paraId="4EF96A6D">
            <w:pPr>
              <w:pStyle w:val="6"/>
              <w:spacing w:before="132" w:line="235" w:lineRule="auto"/>
              <w:ind w:left="340"/>
            </w:pPr>
            <w:r>
              <w:rPr>
                <w:spacing w:val="-1"/>
              </w:rPr>
              <w:t>21</w:t>
            </w:r>
          </w:p>
        </w:tc>
        <w:tc>
          <w:tcPr>
            <w:tcW w:w="915" w:type="dxa"/>
            <w:tcBorders>
              <w:bottom w:val="single" w:color="000000" w:sz="12" w:space="0"/>
            </w:tcBorders>
            <w:vAlign w:val="top"/>
          </w:tcPr>
          <w:p w14:paraId="3C2021AA">
            <w:pPr>
              <w:pStyle w:val="6"/>
              <w:spacing w:before="133" w:line="232" w:lineRule="auto"/>
              <w:ind w:left="350"/>
            </w:pPr>
            <w:r>
              <w:rPr>
                <w:spacing w:val="-3"/>
              </w:rPr>
              <w:t>51</w:t>
            </w:r>
          </w:p>
        </w:tc>
        <w:tc>
          <w:tcPr>
            <w:tcW w:w="914" w:type="dxa"/>
            <w:tcBorders>
              <w:bottom w:val="single" w:color="000000" w:sz="12" w:space="0"/>
            </w:tcBorders>
            <w:vAlign w:val="top"/>
          </w:tcPr>
          <w:p w14:paraId="6B1003D3">
            <w:pPr>
              <w:pStyle w:val="6"/>
              <w:spacing w:before="132" w:line="232" w:lineRule="auto"/>
              <w:ind w:left="315"/>
            </w:pPr>
            <w:r>
              <w:rPr>
                <w:spacing w:val="-9"/>
              </w:rPr>
              <w:t>149</w:t>
            </w:r>
          </w:p>
        </w:tc>
        <w:tc>
          <w:tcPr>
            <w:tcW w:w="916" w:type="dxa"/>
            <w:tcBorders>
              <w:bottom w:val="single" w:color="000000" w:sz="12" w:space="0"/>
            </w:tcBorders>
            <w:vAlign w:val="top"/>
          </w:tcPr>
          <w:p w14:paraId="4435C3B7">
            <w:pPr>
              <w:pStyle w:val="6"/>
              <w:spacing w:before="133" w:line="232" w:lineRule="auto"/>
              <w:ind w:left="299"/>
            </w:pPr>
            <w:r>
              <w:rPr>
                <w:spacing w:val="-2"/>
              </w:rPr>
              <w:t>225</w:t>
            </w:r>
          </w:p>
        </w:tc>
        <w:tc>
          <w:tcPr>
            <w:tcW w:w="913" w:type="dxa"/>
            <w:tcBorders>
              <w:bottom w:val="single" w:color="000000" w:sz="12" w:space="0"/>
            </w:tcBorders>
            <w:vAlign w:val="top"/>
          </w:tcPr>
          <w:p w14:paraId="6594329C">
            <w:pPr>
              <w:pStyle w:val="6"/>
              <w:spacing w:before="132" w:line="235" w:lineRule="auto"/>
              <w:ind w:left="354"/>
            </w:pPr>
            <w:r>
              <w:rPr>
                <w:spacing w:val="-1"/>
              </w:rPr>
              <w:t>22</w:t>
            </w:r>
          </w:p>
        </w:tc>
        <w:tc>
          <w:tcPr>
            <w:tcW w:w="914" w:type="dxa"/>
            <w:tcBorders>
              <w:bottom w:val="single" w:color="000000" w:sz="12" w:space="0"/>
            </w:tcBorders>
            <w:vAlign w:val="top"/>
          </w:tcPr>
          <w:p w14:paraId="364B01CE">
            <w:pPr>
              <w:pStyle w:val="6"/>
              <w:spacing w:before="133" w:line="232" w:lineRule="auto"/>
              <w:ind w:left="362"/>
            </w:pPr>
            <w:r>
              <w:rPr>
                <w:spacing w:val="-3"/>
              </w:rPr>
              <w:t>63</w:t>
            </w:r>
          </w:p>
        </w:tc>
        <w:tc>
          <w:tcPr>
            <w:tcW w:w="913" w:type="dxa"/>
            <w:tcBorders>
              <w:bottom w:val="single" w:color="000000" w:sz="12" w:space="0"/>
            </w:tcBorders>
            <w:vAlign w:val="top"/>
          </w:tcPr>
          <w:p w14:paraId="364EAC7F">
            <w:pPr>
              <w:pStyle w:val="6"/>
              <w:spacing w:before="132" w:line="235" w:lineRule="auto"/>
              <w:ind w:left="328"/>
            </w:pPr>
            <w:r>
              <w:rPr>
                <w:spacing w:val="-6"/>
              </w:rPr>
              <w:t>112</w:t>
            </w:r>
          </w:p>
        </w:tc>
        <w:tc>
          <w:tcPr>
            <w:tcW w:w="928" w:type="dxa"/>
            <w:tcBorders>
              <w:bottom w:val="single" w:color="000000" w:sz="12" w:space="0"/>
              <w:right w:val="single" w:color="000000" w:sz="12" w:space="0"/>
            </w:tcBorders>
            <w:vAlign w:val="top"/>
          </w:tcPr>
          <w:p w14:paraId="774B7949">
            <w:pPr>
              <w:pStyle w:val="6"/>
              <w:spacing w:before="132" w:line="232" w:lineRule="auto"/>
              <w:ind w:left="332"/>
            </w:pPr>
            <w:r>
              <w:rPr>
                <w:spacing w:val="-6"/>
              </w:rPr>
              <w:t>139</w:t>
            </w:r>
          </w:p>
        </w:tc>
      </w:tr>
    </w:tbl>
    <w:p w14:paraId="6BD9A533">
      <w:pPr>
        <w:spacing w:line="252" w:lineRule="auto"/>
        <w:rPr>
          <w:rFonts w:ascii="Arial"/>
          <w:sz w:val="21"/>
        </w:rPr>
      </w:pPr>
    </w:p>
    <w:p w14:paraId="309723C0">
      <w:pPr>
        <w:spacing w:line="253" w:lineRule="auto"/>
        <w:rPr>
          <w:rFonts w:ascii="Arial"/>
          <w:sz w:val="21"/>
        </w:rPr>
      </w:pPr>
    </w:p>
    <w:p w14:paraId="0A15371B">
      <w:pPr>
        <w:pStyle w:val="2"/>
        <w:spacing w:before="79" w:line="343" w:lineRule="auto"/>
        <w:ind w:left="39" w:right="29" w:firstLine="480"/>
        <w:jc w:val="both"/>
        <w:rPr>
          <w:sz w:val="24"/>
          <w:szCs w:val="24"/>
        </w:rPr>
      </w:pPr>
      <w:r>
        <w:rPr>
          <w:spacing w:val="-2"/>
          <w:sz w:val="24"/>
          <w:szCs w:val="24"/>
        </w:rPr>
        <w:t>新增保护种有：①兽类的豹猫（照片见图</w:t>
      </w:r>
      <w:r>
        <w:rPr>
          <w:spacing w:val="-22"/>
          <w:sz w:val="24"/>
          <w:szCs w:val="24"/>
        </w:rPr>
        <w:t xml:space="preserve"> </w:t>
      </w:r>
      <w:r>
        <w:rPr>
          <w:rFonts w:ascii="Times New Roman" w:hAnsi="Times New Roman" w:eastAsia="Times New Roman" w:cs="Times New Roman"/>
          <w:spacing w:val="-2"/>
          <w:sz w:val="24"/>
          <w:szCs w:val="24"/>
        </w:rPr>
        <w:t>6.1-1</w:t>
      </w:r>
      <w:r>
        <w:rPr>
          <w:spacing w:val="-63"/>
          <w:w w:val="99"/>
          <w:sz w:val="24"/>
          <w:szCs w:val="24"/>
        </w:rPr>
        <w:t>），</w:t>
      </w:r>
      <w:r>
        <w:rPr>
          <w:spacing w:val="-2"/>
          <w:sz w:val="24"/>
          <w:szCs w:val="24"/>
        </w:rPr>
        <w:t xml:space="preserve">被 </w:t>
      </w:r>
      <w:r>
        <w:rPr>
          <w:rFonts w:ascii="Times New Roman" w:hAnsi="Times New Roman" w:eastAsia="Times New Roman" w:cs="Times New Roman"/>
          <w:spacing w:val="-2"/>
          <w:sz w:val="24"/>
          <w:szCs w:val="24"/>
        </w:rPr>
        <w:t>CITES</w:t>
      </w:r>
      <w:r>
        <w:rPr>
          <w:rFonts w:ascii="Times New Roman" w:hAnsi="Times New Roman" w:eastAsia="Times New Roman" w:cs="Times New Roman"/>
          <w:spacing w:val="53"/>
          <w:w w:val="101"/>
          <w:sz w:val="24"/>
          <w:szCs w:val="24"/>
        </w:rPr>
        <w:t xml:space="preserve"> </w:t>
      </w:r>
      <w:r>
        <w:rPr>
          <w:spacing w:val="-2"/>
          <w:sz w:val="24"/>
          <w:szCs w:val="24"/>
        </w:rPr>
        <w:t>附录Ⅱ收录，并</w:t>
      </w:r>
      <w:r>
        <w:rPr>
          <w:spacing w:val="-4"/>
          <w:sz w:val="24"/>
          <w:szCs w:val="24"/>
        </w:rPr>
        <w:t>被《中国脊椎动物红色名录》列为易危种（见）。②鸟类新增国家Ⅱ保护鸟类白腹</w:t>
      </w:r>
      <w:r>
        <w:rPr>
          <w:spacing w:val="-7"/>
          <w:sz w:val="24"/>
          <w:szCs w:val="24"/>
        </w:rPr>
        <w:t>锦鸡（照片见图</w:t>
      </w:r>
      <w:r>
        <w:rPr>
          <w:spacing w:val="-26"/>
          <w:sz w:val="24"/>
          <w:szCs w:val="24"/>
        </w:rPr>
        <w:t xml:space="preserve"> </w:t>
      </w:r>
      <w:r>
        <w:rPr>
          <w:rFonts w:ascii="Times New Roman" w:hAnsi="Times New Roman" w:eastAsia="Times New Roman" w:cs="Times New Roman"/>
          <w:spacing w:val="-7"/>
          <w:sz w:val="24"/>
          <w:szCs w:val="24"/>
        </w:rPr>
        <w:t>6.1-1</w:t>
      </w:r>
      <w:r>
        <w:rPr>
          <w:spacing w:val="-7"/>
          <w:sz w:val="24"/>
          <w:szCs w:val="24"/>
        </w:rPr>
        <w:t>）、褐翅鸦鹃（鸣声，未拍摄到照片）、领角鸮（夜</w:t>
      </w:r>
      <w:r>
        <w:rPr>
          <w:spacing w:val="-8"/>
          <w:sz w:val="24"/>
          <w:szCs w:val="24"/>
        </w:rPr>
        <w:t>间记录鸣</w:t>
      </w:r>
    </w:p>
    <w:p w14:paraId="03BA2B3E">
      <w:pPr>
        <w:spacing w:line="343" w:lineRule="auto"/>
        <w:rPr>
          <w:sz w:val="24"/>
          <w:szCs w:val="24"/>
        </w:rPr>
        <w:sectPr>
          <w:headerReference r:id="rId163" w:type="default"/>
          <w:footerReference r:id="rId164" w:type="default"/>
          <w:pgSz w:w="11907" w:h="16839"/>
          <w:pgMar w:top="1376" w:right="1669" w:bottom="1061" w:left="1671" w:header="999" w:footer="861" w:gutter="0"/>
          <w:cols w:space="720" w:num="1"/>
        </w:sectPr>
      </w:pPr>
    </w:p>
    <w:p w14:paraId="4EE8B3ED">
      <w:pPr>
        <w:spacing w:line="456" w:lineRule="auto"/>
        <w:rPr>
          <w:rFonts w:ascii="Arial"/>
          <w:sz w:val="21"/>
        </w:rPr>
      </w:pPr>
    </w:p>
    <w:p w14:paraId="49A0D1CF">
      <w:pPr>
        <w:pStyle w:val="2"/>
        <w:spacing w:before="78" w:line="314" w:lineRule="auto"/>
        <w:ind w:left="38" w:right="31" w:firstLine="5"/>
        <w:rPr>
          <w:sz w:val="24"/>
          <w:szCs w:val="24"/>
        </w:rPr>
      </w:pPr>
      <w:r>
        <w:rPr>
          <w:spacing w:val="-2"/>
          <w:sz w:val="24"/>
          <w:szCs w:val="24"/>
        </w:rPr>
        <w:t>声，未拍摄到照片）和斑头鸺鹠（夜间记录</w:t>
      </w:r>
      <w:r>
        <w:rPr>
          <w:spacing w:val="-3"/>
          <w:sz w:val="24"/>
          <w:szCs w:val="24"/>
        </w:rPr>
        <w:t>鸣声，未拍摄到照片）</w:t>
      </w:r>
      <w:r>
        <w:rPr>
          <w:rFonts w:ascii="Times New Roman" w:hAnsi="Times New Roman" w:eastAsia="Times New Roman" w:cs="Times New Roman"/>
          <w:spacing w:val="-3"/>
          <w:sz w:val="24"/>
          <w:szCs w:val="24"/>
        </w:rPr>
        <w:t xml:space="preserve">4 </w:t>
      </w:r>
      <w:r>
        <w:rPr>
          <w:spacing w:val="-3"/>
          <w:sz w:val="24"/>
          <w:szCs w:val="24"/>
        </w:rPr>
        <w:t>种，其中领角</w:t>
      </w:r>
      <w:r>
        <w:rPr>
          <w:spacing w:val="-6"/>
          <w:sz w:val="24"/>
          <w:szCs w:val="24"/>
        </w:rPr>
        <w:t>鸮和斑头鸺鹠还被</w:t>
      </w:r>
      <w:r>
        <w:rPr>
          <w:spacing w:val="-51"/>
          <w:sz w:val="24"/>
          <w:szCs w:val="24"/>
        </w:rPr>
        <w:t xml:space="preserve"> </w:t>
      </w:r>
      <w:r>
        <w:rPr>
          <w:rFonts w:ascii="Times New Roman" w:hAnsi="Times New Roman" w:eastAsia="Times New Roman" w:cs="Times New Roman"/>
          <w:spacing w:val="-6"/>
          <w:sz w:val="24"/>
          <w:szCs w:val="24"/>
        </w:rPr>
        <w:t>CITES</w:t>
      </w:r>
      <w:r>
        <w:rPr>
          <w:rFonts w:ascii="Times New Roman" w:hAnsi="Times New Roman" w:eastAsia="Times New Roman" w:cs="Times New Roman"/>
          <w:spacing w:val="14"/>
          <w:sz w:val="24"/>
          <w:szCs w:val="24"/>
        </w:rPr>
        <w:t xml:space="preserve"> </w:t>
      </w:r>
      <w:r>
        <w:rPr>
          <w:spacing w:val="-6"/>
          <w:sz w:val="24"/>
          <w:szCs w:val="24"/>
        </w:rPr>
        <w:t>列入附录Ⅱ。③爬行类新增眼镜王蛇（</w:t>
      </w:r>
      <w:r>
        <w:rPr>
          <w:spacing w:val="-7"/>
          <w:sz w:val="24"/>
          <w:szCs w:val="24"/>
        </w:rPr>
        <w:t>访查，颈部会扁，</w:t>
      </w:r>
      <w:r>
        <w:rPr>
          <w:spacing w:val="-8"/>
          <w:sz w:val="24"/>
          <w:szCs w:val="24"/>
        </w:rPr>
        <w:t>身体以黑色为主</w:t>
      </w:r>
      <w:r>
        <w:rPr>
          <w:spacing w:val="1"/>
          <w:sz w:val="24"/>
          <w:szCs w:val="24"/>
        </w:rPr>
        <w:t>），</w:t>
      </w:r>
      <w:r>
        <w:rPr>
          <w:spacing w:val="-8"/>
          <w:sz w:val="24"/>
          <w:szCs w:val="24"/>
        </w:rPr>
        <w:t>属云南省省级保护动物，被</w:t>
      </w:r>
      <w:r>
        <w:rPr>
          <w:spacing w:val="-51"/>
          <w:sz w:val="24"/>
          <w:szCs w:val="24"/>
        </w:rPr>
        <w:t xml:space="preserve"> </w:t>
      </w:r>
      <w:r>
        <w:rPr>
          <w:rFonts w:ascii="Times New Roman" w:hAnsi="Times New Roman" w:eastAsia="Times New Roman" w:cs="Times New Roman"/>
          <w:spacing w:val="-8"/>
          <w:sz w:val="24"/>
          <w:szCs w:val="24"/>
        </w:rPr>
        <w:t>CITES</w:t>
      </w:r>
      <w:r>
        <w:rPr>
          <w:rFonts w:ascii="Times New Roman" w:hAnsi="Times New Roman" w:eastAsia="Times New Roman" w:cs="Times New Roman"/>
          <w:spacing w:val="15"/>
          <w:sz w:val="24"/>
          <w:szCs w:val="24"/>
        </w:rPr>
        <w:t xml:space="preserve"> </w:t>
      </w:r>
      <w:r>
        <w:rPr>
          <w:spacing w:val="-8"/>
          <w:sz w:val="24"/>
          <w:szCs w:val="24"/>
        </w:rPr>
        <w:t>列入附录Ⅱ,</w:t>
      </w:r>
      <w:r>
        <w:rPr>
          <w:spacing w:val="42"/>
          <w:sz w:val="24"/>
          <w:szCs w:val="24"/>
        </w:rPr>
        <w:t xml:space="preserve"> </w:t>
      </w:r>
      <w:r>
        <w:rPr>
          <w:spacing w:val="-8"/>
          <w:sz w:val="24"/>
          <w:szCs w:val="24"/>
        </w:rPr>
        <w:t>被《中国脊椎</w:t>
      </w:r>
      <w:r>
        <w:rPr>
          <w:spacing w:val="-3"/>
          <w:sz w:val="24"/>
          <w:szCs w:val="24"/>
        </w:rPr>
        <w:t>动物红色名录》列为濒危物种（</w:t>
      </w:r>
      <w:r>
        <w:rPr>
          <w:rFonts w:ascii="Times New Roman" w:hAnsi="Times New Roman" w:eastAsia="Times New Roman" w:cs="Times New Roman"/>
          <w:spacing w:val="-3"/>
          <w:sz w:val="24"/>
          <w:szCs w:val="24"/>
        </w:rPr>
        <w:t>EN</w:t>
      </w:r>
      <w:r>
        <w:rPr>
          <w:spacing w:val="-61"/>
          <w:w w:val="97"/>
          <w:sz w:val="24"/>
          <w:szCs w:val="24"/>
        </w:rPr>
        <w:t>），</w:t>
      </w:r>
      <w:r>
        <w:rPr>
          <w:spacing w:val="-3"/>
          <w:sz w:val="24"/>
          <w:szCs w:val="24"/>
        </w:rPr>
        <w:t>被</w:t>
      </w:r>
      <w:r>
        <w:rPr>
          <w:spacing w:val="-41"/>
          <w:sz w:val="24"/>
          <w:szCs w:val="24"/>
        </w:rPr>
        <w:t xml:space="preserve"> </w:t>
      </w:r>
      <w:r>
        <w:rPr>
          <w:rFonts w:ascii="Times New Roman" w:hAnsi="Times New Roman" w:eastAsia="Times New Roman" w:cs="Times New Roman"/>
          <w:spacing w:val="-3"/>
          <w:sz w:val="24"/>
          <w:szCs w:val="24"/>
        </w:rPr>
        <w:t>IUCN</w:t>
      </w:r>
      <w:r>
        <w:rPr>
          <w:rFonts w:ascii="Times New Roman" w:hAnsi="Times New Roman" w:eastAsia="Times New Roman" w:cs="Times New Roman"/>
          <w:spacing w:val="15"/>
          <w:sz w:val="24"/>
          <w:szCs w:val="24"/>
        </w:rPr>
        <w:t xml:space="preserve"> </w:t>
      </w:r>
      <w:r>
        <w:rPr>
          <w:spacing w:val="-3"/>
          <w:sz w:val="24"/>
          <w:szCs w:val="24"/>
        </w:rPr>
        <w:t>红色名录列为易危种（</w:t>
      </w:r>
      <w:r>
        <w:rPr>
          <w:rFonts w:ascii="Times New Roman" w:hAnsi="Times New Roman" w:eastAsia="Times New Roman" w:cs="Times New Roman"/>
          <w:spacing w:val="-3"/>
          <w:sz w:val="24"/>
          <w:szCs w:val="24"/>
        </w:rPr>
        <w:t>VU</w:t>
      </w:r>
      <w:r>
        <w:rPr>
          <w:spacing w:val="-3"/>
          <w:sz w:val="24"/>
          <w:szCs w:val="24"/>
        </w:rPr>
        <w:t>）。</w:t>
      </w:r>
    </w:p>
    <w:p w14:paraId="29664B5F">
      <w:pPr>
        <w:spacing w:line="2995" w:lineRule="exact"/>
        <w:ind w:firstLine="167"/>
      </w:pPr>
      <w:r>
        <w:drawing>
          <wp:anchor distT="0" distB="0" distL="0" distR="0" simplePos="0" relativeHeight="251715584" behindDoc="0" locked="0" layoutInCell="1" allowOverlap="1">
            <wp:simplePos x="0" y="0"/>
            <wp:positionH relativeFrom="column">
              <wp:posOffset>2802890</wp:posOffset>
            </wp:positionH>
            <wp:positionV relativeFrom="paragraph">
              <wp:posOffset>0</wp:posOffset>
            </wp:positionV>
            <wp:extent cx="2532380" cy="1902460"/>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409"/>
                    <a:stretch>
                      <a:fillRect/>
                    </a:stretch>
                  </pic:blipFill>
                  <pic:spPr>
                    <a:xfrm>
                      <a:off x="0" y="0"/>
                      <a:ext cx="2532379" cy="1902459"/>
                    </a:xfrm>
                    <a:prstGeom prst="rect">
                      <a:avLst/>
                    </a:prstGeom>
                  </pic:spPr>
                </pic:pic>
              </a:graphicData>
            </a:graphic>
          </wp:anchor>
        </w:drawing>
      </w:r>
      <w:r>
        <w:rPr>
          <w:position w:val="-59"/>
        </w:rPr>
        <w:drawing>
          <wp:inline distT="0" distB="0" distL="0" distR="0">
            <wp:extent cx="2532380" cy="1901825"/>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410"/>
                    <a:stretch>
                      <a:fillRect/>
                    </a:stretch>
                  </pic:blipFill>
                  <pic:spPr>
                    <a:xfrm>
                      <a:off x="0" y="0"/>
                      <a:ext cx="2532380" cy="1902459"/>
                    </a:xfrm>
                    <a:prstGeom prst="rect">
                      <a:avLst/>
                    </a:prstGeom>
                  </pic:spPr>
                </pic:pic>
              </a:graphicData>
            </a:graphic>
          </wp:inline>
        </w:drawing>
      </w:r>
    </w:p>
    <w:p w14:paraId="4548BC9B">
      <w:pPr>
        <w:pStyle w:val="2"/>
        <w:spacing w:before="186" w:line="220" w:lineRule="auto"/>
        <w:ind w:left="4051"/>
        <w:rPr>
          <w:sz w:val="24"/>
          <w:szCs w:val="24"/>
        </w:rPr>
      </w:pPr>
      <w:r>
        <w:rPr>
          <w:spacing w:val="-3"/>
          <w:sz w:val="24"/>
          <w:szCs w:val="24"/>
        </w:rPr>
        <w:t>豹猫</w:t>
      </w:r>
    </w:p>
    <w:p w14:paraId="1892DDDE">
      <w:pPr>
        <w:spacing w:before="166" w:line="2996" w:lineRule="exact"/>
        <w:ind w:firstLine="167"/>
      </w:pPr>
      <w:r>
        <w:drawing>
          <wp:anchor distT="0" distB="0" distL="0" distR="0" simplePos="0" relativeHeight="251714560" behindDoc="0" locked="0" layoutInCell="1" allowOverlap="1">
            <wp:simplePos x="0" y="0"/>
            <wp:positionH relativeFrom="column">
              <wp:posOffset>2802890</wp:posOffset>
            </wp:positionH>
            <wp:positionV relativeFrom="paragraph">
              <wp:posOffset>105410</wp:posOffset>
            </wp:positionV>
            <wp:extent cx="2532380" cy="1902460"/>
            <wp:effectExtent l="0" t="0" r="0" b="0"/>
            <wp:wrapNone/>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411"/>
                    <a:stretch>
                      <a:fillRect/>
                    </a:stretch>
                  </pic:blipFill>
                  <pic:spPr>
                    <a:xfrm>
                      <a:off x="0" y="0"/>
                      <a:ext cx="2532379" cy="1902460"/>
                    </a:xfrm>
                    <a:prstGeom prst="rect">
                      <a:avLst/>
                    </a:prstGeom>
                  </pic:spPr>
                </pic:pic>
              </a:graphicData>
            </a:graphic>
          </wp:anchor>
        </w:drawing>
      </w:r>
      <w:r>
        <w:rPr>
          <w:position w:val="-59"/>
        </w:rPr>
        <w:drawing>
          <wp:inline distT="0" distB="0" distL="0" distR="0">
            <wp:extent cx="2532380" cy="1902460"/>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412"/>
                    <a:stretch>
                      <a:fillRect/>
                    </a:stretch>
                  </pic:blipFill>
                  <pic:spPr>
                    <a:xfrm>
                      <a:off x="0" y="0"/>
                      <a:ext cx="2532380" cy="1902460"/>
                    </a:xfrm>
                    <a:prstGeom prst="rect">
                      <a:avLst/>
                    </a:prstGeom>
                  </pic:spPr>
                </pic:pic>
              </a:graphicData>
            </a:graphic>
          </wp:inline>
        </w:drawing>
      </w:r>
    </w:p>
    <w:p w14:paraId="629135BE">
      <w:pPr>
        <w:pStyle w:val="2"/>
        <w:spacing w:before="186" w:line="220" w:lineRule="auto"/>
        <w:ind w:left="3843"/>
        <w:rPr>
          <w:sz w:val="24"/>
          <w:szCs w:val="24"/>
        </w:rPr>
      </w:pPr>
      <w:r>
        <w:rPr>
          <w:b/>
          <w:bCs/>
          <w:spacing w:val="-11"/>
          <w:sz w:val="24"/>
          <w:szCs w:val="24"/>
        </w:rPr>
        <w:t>白腹锦鸡</w:t>
      </w:r>
    </w:p>
    <w:p w14:paraId="758BEE02">
      <w:pPr>
        <w:pStyle w:val="2"/>
        <w:spacing w:before="181" w:line="233" w:lineRule="auto"/>
        <w:ind w:left="1202"/>
        <w:rPr>
          <w:sz w:val="24"/>
          <w:szCs w:val="24"/>
        </w:rPr>
      </w:pPr>
      <w:r>
        <w:rPr>
          <w:b/>
          <w:bCs/>
          <w:spacing w:val="-3"/>
          <w:sz w:val="24"/>
          <w:szCs w:val="24"/>
        </w:rPr>
        <w:t>图</w:t>
      </w:r>
      <w:r>
        <w:rPr>
          <w:spacing w:val="-38"/>
          <w:sz w:val="24"/>
          <w:szCs w:val="24"/>
        </w:rPr>
        <w:t xml:space="preserve"> </w:t>
      </w:r>
      <w:r>
        <w:rPr>
          <w:rFonts w:ascii="Times New Roman" w:hAnsi="Times New Roman" w:eastAsia="Times New Roman" w:cs="Times New Roman"/>
          <w:b/>
          <w:bCs/>
          <w:spacing w:val="-3"/>
          <w:sz w:val="24"/>
          <w:szCs w:val="24"/>
        </w:rPr>
        <w:t xml:space="preserve">6.1-1      </w:t>
      </w:r>
      <w:r>
        <w:rPr>
          <w:b/>
          <w:bCs/>
          <w:spacing w:val="-3"/>
          <w:sz w:val="24"/>
          <w:szCs w:val="24"/>
        </w:rPr>
        <w:t>红外相机捕捉到的新增物种（豹猫和白腹锦鸡）</w:t>
      </w:r>
    </w:p>
    <w:p w14:paraId="48EBAB14">
      <w:pPr>
        <w:pStyle w:val="2"/>
        <w:spacing w:before="277"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）对两栖类的影响</w:t>
      </w:r>
    </w:p>
    <w:p w14:paraId="45BDB205">
      <w:pPr>
        <w:pStyle w:val="2"/>
        <w:spacing w:before="136" w:line="233" w:lineRule="auto"/>
        <w:ind w:left="519"/>
        <w:rPr>
          <w:sz w:val="24"/>
          <w:szCs w:val="24"/>
        </w:rPr>
      </w:pPr>
      <w:r>
        <w:rPr>
          <w:spacing w:val="-5"/>
          <w:sz w:val="24"/>
          <w:szCs w:val="24"/>
        </w:rPr>
        <w:t>环评期，记录到两栖动物</w:t>
      </w:r>
      <w:r>
        <w:rPr>
          <w:spacing w:val="-30"/>
          <w:sz w:val="24"/>
          <w:szCs w:val="24"/>
        </w:rPr>
        <w:t xml:space="preserve"> </w:t>
      </w:r>
      <w:r>
        <w:rPr>
          <w:rFonts w:ascii="Times New Roman" w:hAnsi="Times New Roman" w:eastAsia="Times New Roman" w:cs="Times New Roman"/>
          <w:spacing w:val="-5"/>
          <w:sz w:val="24"/>
          <w:szCs w:val="24"/>
        </w:rPr>
        <w:t xml:space="preserve">12 </w:t>
      </w:r>
      <w:r>
        <w:rPr>
          <w:spacing w:val="-5"/>
          <w:sz w:val="24"/>
          <w:szCs w:val="24"/>
        </w:rPr>
        <w:t>种，隶属于</w:t>
      </w:r>
      <w:r>
        <w:rPr>
          <w:spacing w:val="-32"/>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目</w:t>
      </w:r>
      <w:r>
        <w:rPr>
          <w:spacing w:val="-49"/>
          <w:sz w:val="24"/>
          <w:szCs w:val="24"/>
        </w:rPr>
        <w:t xml:space="preserve"> </w:t>
      </w:r>
      <w:r>
        <w:rPr>
          <w:rFonts w:ascii="Times New Roman" w:hAnsi="Times New Roman" w:eastAsia="Times New Roman" w:cs="Times New Roman"/>
          <w:spacing w:val="-5"/>
          <w:sz w:val="24"/>
          <w:szCs w:val="24"/>
        </w:rPr>
        <w:t xml:space="preserve">5 </w:t>
      </w:r>
      <w:r>
        <w:rPr>
          <w:spacing w:val="-5"/>
          <w:sz w:val="24"/>
          <w:szCs w:val="24"/>
        </w:rPr>
        <w:t>科</w:t>
      </w:r>
      <w:r>
        <w:rPr>
          <w:spacing w:val="-49"/>
          <w:sz w:val="24"/>
          <w:szCs w:val="24"/>
        </w:rPr>
        <w:t xml:space="preserve"> </w:t>
      </w:r>
      <w:r>
        <w:rPr>
          <w:rFonts w:ascii="Times New Roman" w:hAnsi="Times New Roman" w:eastAsia="Times New Roman" w:cs="Times New Roman"/>
          <w:spacing w:val="-5"/>
          <w:sz w:val="24"/>
          <w:szCs w:val="24"/>
        </w:rPr>
        <w:t xml:space="preserve">6 </w:t>
      </w:r>
      <w:r>
        <w:rPr>
          <w:spacing w:val="-5"/>
          <w:sz w:val="24"/>
          <w:szCs w:val="24"/>
        </w:rPr>
        <w:t>属。</w:t>
      </w:r>
    </w:p>
    <w:p w14:paraId="64E3D120">
      <w:pPr>
        <w:pStyle w:val="2"/>
        <w:spacing w:before="135" w:line="335" w:lineRule="auto"/>
        <w:ind w:left="40" w:right="30" w:firstLine="478"/>
        <w:rPr>
          <w:sz w:val="24"/>
          <w:szCs w:val="24"/>
        </w:rPr>
      </w:pPr>
      <w:r>
        <w:rPr>
          <w:spacing w:val="-4"/>
          <w:sz w:val="24"/>
          <w:szCs w:val="24"/>
        </w:rPr>
        <w:t>施工期监测记录两栖动物</w:t>
      </w:r>
      <w:r>
        <w:rPr>
          <w:spacing w:val="-36"/>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23"/>
          <w:sz w:val="24"/>
          <w:szCs w:val="24"/>
        </w:rPr>
        <w:t xml:space="preserve"> </w:t>
      </w:r>
      <w:r>
        <w:rPr>
          <w:spacing w:val="-4"/>
          <w:sz w:val="24"/>
          <w:szCs w:val="24"/>
        </w:rPr>
        <w:t xml:space="preserve">种，隶属于 </w:t>
      </w:r>
      <w:r>
        <w:rPr>
          <w:rFonts w:ascii="Times New Roman" w:hAnsi="Times New Roman" w:eastAsia="Times New Roman" w:cs="Times New Roman"/>
          <w:spacing w:val="-4"/>
          <w:sz w:val="24"/>
          <w:szCs w:val="24"/>
        </w:rPr>
        <w:t xml:space="preserve">1  </w:t>
      </w:r>
      <w:r>
        <w:rPr>
          <w:spacing w:val="-5"/>
          <w:sz w:val="24"/>
          <w:szCs w:val="24"/>
        </w:rPr>
        <w:t>目</w:t>
      </w:r>
      <w:r>
        <w:rPr>
          <w:spacing w:val="-44"/>
          <w:sz w:val="24"/>
          <w:szCs w:val="24"/>
        </w:rPr>
        <w:t xml:space="preserve">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22"/>
          <w:w w:val="101"/>
          <w:sz w:val="24"/>
          <w:szCs w:val="24"/>
        </w:rPr>
        <w:t xml:space="preserve"> </w:t>
      </w:r>
      <w:r>
        <w:rPr>
          <w:spacing w:val="-5"/>
          <w:sz w:val="24"/>
          <w:szCs w:val="24"/>
        </w:rPr>
        <w:t>科</w:t>
      </w:r>
      <w:r>
        <w:rPr>
          <w:spacing w:val="-37"/>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25"/>
          <w:sz w:val="24"/>
          <w:szCs w:val="24"/>
        </w:rPr>
        <w:t xml:space="preserve"> </w:t>
      </w:r>
      <w:r>
        <w:rPr>
          <w:spacing w:val="-5"/>
          <w:sz w:val="24"/>
          <w:szCs w:val="24"/>
        </w:rPr>
        <w:t>属。施工期较环评阶段新</w:t>
      </w:r>
      <w:r>
        <w:rPr>
          <w:spacing w:val="-1"/>
          <w:sz w:val="24"/>
          <w:szCs w:val="24"/>
        </w:rPr>
        <w:t>增</w:t>
      </w:r>
      <w:r>
        <w:rPr>
          <w:spacing w:val="-21"/>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0"/>
          <w:sz w:val="24"/>
          <w:szCs w:val="24"/>
        </w:rPr>
        <w:t xml:space="preserve"> </w:t>
      </w:r>
      <w:r>
        <w:rPr>
          <w:spacing w:val="-1"/>
          <w:sz w:val="24"/>
          <w:szCs w:val="24"/>
        </w:rPr>
        <w:t>种，即牛蛙</w:t>
      </w:r>
      <w:r>
        <w:rPr>
          <w:spacing w:val="-55"/>
          <w:sz w:val="24"/>
          <w:szCs w:val="24"/>
        </w:rPr>
        <w:t xml:space="preserve"> </w:t>
      </w:r>
      <w:r>
        <w:rPr>
          <w:rFonts w:ascii="Times New Roman" w:hAnsi="Times New Roman" w:eastAsia="Times New Roman" w:cs="Times New Roman"/>
          <w:i/>
          <w:iCs/>
          <w:spacing w:val="-1"/>
          <w:sz w:val="24"/>
          <w:szCs w:val="24"/>
        </w:rPr>
        <w:t>Rana</w:t>
      </w:r>
      <w:r>
        <w:rPr>
          <w:rFonts w:ascii="Times New Roman" w:hAnsi="Times New Roman" w:eastAsia="Times New Roman" w:cs="Times New Roman"/>
          <w:i/>
          <w:iCs/>
          <w:spacing w:val="36"/>
          <w:w w:val="101"/>
          <w:sz w:val="24"/>
          <w:szCs w:val="24"/>
        </w:rPr>
        <w:t xml:space="preserve"> </w:t>
      </w:r>
      <w:r>
        <w:rPr>
          <w:rFonts w:ascii="Times New Roman" w:hAnsi="Times New Roman" w:eastAsia="Times New Roman" w:cs="Times New Roman"/>
          <w:i/>
          <w:iCs/>
          <w:spacing w:val="-1"/>
          <w:sz w:val="24"/>
          <w:szCs w:val="24"/>
        </w:rPr>
        <w:t>catesbeiana</w:t>
      </w:r>
      <w:r>
        <w:rPr>
          <w:spacing w:val="-1"/>
          <w:sz w:val="24"/>
          <w:szCs w:val="24"/>
        </w:rPr>
        <w:t>，为外来</w:t>
      </w:r>
      <w:r>
        <w:rPr>
          <w:spacing w:val="-2"/>
          <w:sz w:val="24"/>
          <w:szCs w:val="24"/>
        </w:rPr>
        <w:t>种；</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20"/>
          <w:sz w:val="24"/>
          <w:szCs w:val="24"/>
        </w:rPr>
        <w:t xml:space="preserve"> </w:t>
      </w:r>
      <w:r>
        <w:rPr>
          <w:spacing w:val="-2"/>
          <w:sz w:val="24"/>
          <w:szCs w:val="24"/>
        </w:rPr>
        <w:t>种和环评阶段记录相同，环评阶</w:t>
      </w:r>
      <w:r>
        <w:rPr>
          <w:sz w:val="24"/>
          <w:szCs w:val="24"/>
        </w:rPr>
        <w:t>段记录的黑眶蟾蜍</w:t>
      </w:r>
      <w:r>
        <w:rPr>
          <w:spacing w:val="-67"/>
          <w:sz w:val="24"/>
          <w:szCs w:val="24"/>
        </w:rPr>
        <w:t xml:space="preserve"> </w:t>
      </w:r>
      <w:r>
        <w:rPr>
          <w:rFonts w:ascii="Times New Roman" w:hAnsi="Times New Roman" w:eastAsia="Times New Roman" w:cs="Times New Roman"/>
          <w:i/>
          <w:iCs/>
          <w:sz w:val="24"/>
          <w:szCs w:val="24"/>
        </w:rPr>
        <w:t>Duttaphrynus</w:t>
      </w:r>
      <w:r>
        <w:rPr>
          <w:rFonts w:ascii="Times New Roman" w:hAnsi="Times New Roman" w:eastAsia="Times New Roman" w:cs="Times New Roman"/>
          <w:i/>
          <w:iCs/>
          <w:spacing w:val="29"/>
          <w:w w:val="101"/>
          <w:sz w:val="24"/>
          <w:szCs w:val="24"/>
        </w:rPr>
        <w:t xml:space="preserve"> </w:t>
      </w:r>
      <w:r>
        <w:rPr>
          <w:rFonts w:ascii="Times New Roman" w:hAnsi="Times New Roman" w:eastAsia="Times New Roman" w:cs="Times New Roman"/>
          <w:i/>
          <w:iCs/>
          <w:sz w:val="24"/>
          <w:szCs w:val="24"/>
        </w:rPr>
        <w:t>melanosti</w:t>
      </w:r>
      <w:r>
        <w:rPr>
          <w:rFonts w:ascii="Times New Roman" w:hAnsi="Times New Roman" w:eastAsia="Times New Roman" w:cs="Times New Roman"/>
          <w:i/>
          <w:iCs/>
          <w:spacing w:val="-1"/>
          <w:sz w:val="24"/>
          <w:szCs w:val="24"/>
        </w:rPr>
        <w:t>ctus</w:t>
      </w:r>
      <w:r>
        <w:rPr>
          <w:spacing w:val="-1"/>
          <w:sz w:val="24"/>
          <w:szCs w:val="24"/>
        </w:rPr>
        <w:t>、多疣狭口蛙</w:t>
      </w:r>
      <w:r>
        <w:rPr>
          <w:spacing w:val="-55"/>
          <w:sz w:val="24"/>
          <w:szCs w:val="24"/>
        </w:rPr>
        <w:t xml:space="preserve"> </w:t>
      </w:r>
      <w:r>
        <w:rPr>
          <w:rFonts w:ascii="Times New Roman" w:hAnsi="Times New Roman" w:eastAsia="Times New Roman" w:cs="Times New Roman"/>
          <w:i/>
          <w:iCs/>
          <w:spacing w:val="-1"/>
          <w:sz w:val="24"/>
          <w:szCs w:val="24"/>
        </w:rPr>
        <w:t>Kaloula</w:t>
      </w:r>
      <w:r>
        <w:rPr>
          <w:rFonts w:ascii="Times New Roman" w:hAnsi="Times New Roman" w:eastAsia="Times New Roman" w:cs="Times New Roman"/>
          <w:i/>
          <w:iCs/>
          <w:spacing w:val="30"/>
          <w:w w:val="101"/>
          <w:sz w:val="24"/>
          <w:szCs w:val="24"/>
        </w:rPr>
        <w:t xml:space="preserve"> </w:t>
      </w:r>
      <w:r>
        <w:rPr>
          <w:rFonts w:ascii="Times New Roman" w:hAnsi="Times New Roman" w:eastAsia="Times New Roman" w:cs="Times New Roman"/>
          <w:i/>
          <w:iCs/>
          <w:spacing w:val="-1"/>
          <w:sz w:val="24"/>
          <w:szCs w:val="24"/>
        </w:rPr>
        <w:t>verrucosa</w:t>
      </w:r>
      <w:r>
        <w:rPr>
          <w:spacing w:val="-1"/>
          <w:sz w:val="24"/>
          <w:szCs w:val="24"/>
        </w:rPr>
        <w:t>、饰</w:t>
      </w:r>
      <w:r>
        <w:rPr>
          <w:sz w:val="24"/>
          <w:szCs w:val="24"/>
        </w:rPr>
        <w:t>纹姬蛙</w:t>
      </w:r>
      <w:r>
        <w:rPr>
          <w:spacing w:val="-68"/>
          <w:sz w:val="24"/>
          <w:szCs w:val="24"/>
        </w:rPr>
        <w:t xml:space="preserve"> </w:t>
      </w:r>
      <w:r>
        <w:rPr>
          <w:rFonts w:ascii="Times New Roman" w:hAnsi="Times New Roman" w:eastAsia="Times New Roman" w:cs="Times New Roman"/>
          <w:i/>
          <w:iCs/>
          <w:sz w:val="24"/>
          <w:szCs w:val="24"/>
        </w:rPr>
        <w:t>Microhyla</w:t>
      </w:r>
      <w:r>
        <w:rPr>
          <w:rFonts w:ascii="Times New Roman" w:hAnsi="Times New Roman" w:eastAsia="Times New Roman" w:cs="Times New Roman"/>
          <w:i/>
          <w:iCs/>
          <w:spacing w:val="-56"/>
          <w:sz w:val="24"/>
          <w:szCs w:val="24"/>
        </w:rPr>
        <w:t xml:space="preserve"> </w:t>
      </w:r>
      <w:r>
        <w:rPr>
          <w:rFonts w:ascii="Times New Roman" w:hAnsi="Times New Roman" w:eastAsia="Times New Roman" w:cs="Times New Roman"/>
          <w:i/>
          <w:iCs/>
          <w:sz w:val="24"/>
          <w:szCs w:val="24"/>
        </w:rPr>
        <w:t>fissipes</w:t>
      </w:r>
      <w:r>
        <w:rPr>
          <w:sz w:val="24"/>
          <w:szCs w:val="24"/>
        </w:rPr>
        <w:t>、棘腹蛙</w:t>
      </w:r>
      <w:r>
        <w:rPr>
          <w:spacing w:val="-49"/>
          <w:sz w:val="24"/>
          <w:szCs w:val="24"/>
        </w:rPr>
        <w:t xml:space="preserve"> </w:t>
      </w:r>
      <w:r>
        <w:rPr>
          <w:rFonts w:ascii="Times New Roman" w:hAnsi="Times New Roman" w:eastAsia="Times New Roman" w:cs="Times New Roman"/>
          <w:i/>
          <w:iCs/>
          <w:sz w:val="24"/>
          <w:szCs w:val="24"/>
        </w:rPr>
        <w:t>Qua</w:t>
      </w:r>
      <w:r>
        <w:rPr>
          <w:rFonts w:ascii="Times New Roman" w:hAnsi="Times New Roman" w:eastAsia="Times New Roman" w:cs="Times New Roman"/>
          <w:i/>
          <w:iCs/>
          <w:spacing w:val="-1"/>
          <w:sz w:val="24"/>
          <w:szCs w:val="24"/>
        </w:rPr>
        <w:t>sipaaboulengeri</w:t>
      </w:r>
      <w:r>
        <w:rPr>
          <w:spacing w:val="-1"/>
          <w:sz w:val="24"/>
          <w:szCs w:val="24"/>
        </w:rPr>
        <w:t>、棘胸蛙</w:t>
      </w:r>
      <w:r>
        <w:rPr>
          <w:spacing w:val="-48"/>
          <w:sz w:val="24"/>
          <w:szCs w:val="24"/>
        </w:rPr>
        <w:t xml:space="preserve"> </w:t>
      </w:r>
      <w:r>
        <w:rPr>
          <w:rFonts w:ascii="Times New Roman" w:hAnsi="Times New Roman" w:eastAsia="Times New Roman" w:cs="Times New Roman"/>
          <w:i/>
          <w:iCs/>
          <w:spacing w:val="-1"/>
          <w:sz w:val="24"/>
          <w:szCs w:val="24"/>
        </w:rPr>
        <w:t>Quasipaa</w:t>
      </w:r>
      <w:r>
        <w:rPr>
          <w:rFonts w:ascii="Times New Roman" w:hAnsi="Times New Roman" w:eastAsia="Times New Roman" w:cs="Times New Roman"/>
          <w:i/>
          <w:iCs/>
          <w:spacing w:val="-16"/>
          <w:sz w:val="24"/>
          <w:szCs w:val="24"/>
        </w:rPr>
        <w:t xml:space="preserve"> </w:t>
      </w:r>
      <w:r>
        <w:rPr>
          <w:rFonts w:ascii="Times New Roman" w:hAnsi="Times New Roman" w:eastAsia="Times New Roman" w:cs="Times New Roman"/>
          <w:i/>
          <w:iCs/>
          <w:spacing w:val="-1"/>
          <w:sz w:val="24"/>
          <w:szCs w:val="24"/>
        </w:rPr>
        <w:t xml:space="preserve">spinosa </w:t>
      </w:r>
      <w:r>
        <w:rPr>
          <w:spacing w:val="-1"/>
          <w:sz w:val="24"/>
          <w:szCs w:val="24"/>
        </w:rPr>
        <w:t>和</w:t>
      </w:r>
      <w:r>
        <w:rPr>
          <w:sz w:val="24"/>
          <w:szCs w:val="24"/>
        </w:rPr>
        <w:t>黑斑侧褶蛙</w:t>
      </w:r>
      <w:r>
        <w:rPr>
          <w:spacing w:val="-66"/>
          <w:sz w:val="24"/>
          <w:szCs w:val="24"/>
        </w:rPr>
        <w:t xml:space="preserve"> </w:t>
      </w:r>
      <w:r>
        <w:rPr>
          <w:rFonts w:ascii="Times New Roman" w:hAnsi="Times New Roman" w:eastAsia="Times New Roman" w:cs="Times New Roman"/>
          <w:i/>
          <w:iCs/>
          <w:sz w:val="24"/>
          <w:szCs w:val="24"/>
        </w:rPr>
        <w:t>Pelophylax nigromac</w:t>
      </w:r>
      <w:r>
        <w:rPr>
          <w:rFonts w:ascii="Times New Roman" w:hAnsi="Times New Roman" w:eastAsia="Times New Roman" w:cs="Times New Roman"/>
          <w:i/>
          <w:iCs/>
          <w:spacing w:val="-1"/>
          <w:sz w:val="24"/>
          <w:szCs w:val="24"/>
        </w:rPr>
        <w:t xml:space="preserve">ulatus </w:t>
      </w:r>
      <w:r>
        <w:rPr>
          <w:spacing w:val="-1"/>
          <w:sz w:val="24"/>
          <w:szCs w:val="24"/>
        </w:rPr>
        <w:t>等</w:t>
      </w:r>
      <w:r>
        <w:rPr>
          <w:spacing w:val="-50"/>
          <w:sz w:val="24"/>
          <w:szCs w:val="24"/>
        </w:rPr>
        <w:t xml:space="preserve"> </w:t>
      </w:r>
      <w:r>
        <w:rPr>
          <w:rFonts w:ascii="Times New Roman" w:hAnsi="Times New Roman" w:eastAsia="Times New Roman" w:cs="Times New Roman"/>
          <w:spacing w:val="-1"/>
          <w:sz w:val="24"/>
          <w:szCs w:val="24"/>
        </w:rPr>
        <w:t xml:space="preserve">6 </w:t>
      </w:r>
      <w:r>
        <w:rPr>
          <w:spacing w:val="-1"/>
          <w:sz w:val="24"/>
          <w:szCs w:val="24"/>
        </w:rPr>
        <w:t>种两栖类施工期监测未记录到。</w:t>
      </w:r>
    </w:p>
    <w:p w14:paraId="4C45C180">
      <w:pPr>
        <w:pStyle w:val="2"/>
        <w:spacing w:before="26" w:line="233" w:lineRule="auto"/>
        <w:ind w:left="520"/>
        <w:rPr>
          <w:sz w:val="24"/>
          <w:szCs w:val="24"/>
        </w:rPr>
      </w:pPr>
      <w:r>
        <w:rPr>
          <w:spacing w:val="-2"/>
          <w:sz w:val="24"/>
          <w:szCs w:val="24"/>
        </w:rPr>
        <w:t>两期监测情况具体见表</w:t>
      </w:r>
      <w:r>
        <w:rPr>
          <w:spacing w:val="-37"/>
          <w:sz w:val="24"/>
          <w:szCs w:val="24"/>
        </w:rPr>
        <w:t xml:space="preserve"> </w:t>
      </w:r>
      <w:r>
        <w:rPr>
          <w:rFonts w:ascii="Times New Roman" w:hAnsi="Times New Roman" w:eastAsia="Times New Roman" w:cs="Times New Roman"/>
          <w:spacing w:val="-2"/>
          <w:sz w:val="24"/>
          <w:szCs w:val="24"/>
        </w:rPr>
        <w:t>6.1-10</w:t>
      </w:r>
      <w:r>
        <w:rPr>
          <w:spacing w:val="-2"/>
          <w:sz w:val="24"/>
          <w:szCs w:val="24"/>
        </w:rPr>
        <w:t>。</w:t>
      </w:r>
    </w:p>
    <w:p w14:paraId="1B6DA96A">
      <w:pPr>
        <w:spacing w:line="233" w:lineRule="auto"/>
        <w:rPr>
          <w:sz w:val="24"/>
          <w:szCs w:val="24"/>
        </w:rPr>
        <w:sectPr>
          <w:footerReference r:id="rId165" w:type="default"/>
          <w:pgSz w:w="11907" w:h="16839"/>
          <w:pgMar w:top="1376" w:right="1669" w:bottom="1061" w:left="1671" w:header="999" w:footer="861" w:gutter="0"/>
          <w:cols w:space="720" w:num="1"/>
        </w:sectPr>
      </w:pPr>
    </w:p>
    <w:p w14:paraId="305B3CC0">
      <w:pPr>
        <w:spacing w:line="454" w:lineRule="auto"/>
        <w:rPr>
          <w:rFonts w:ascii="Arial"/>
          <w:sz w:val="21"/>
        </w:rPr>
      </w:pPr>
    </w:p>
    <w:p w14:paraId="1CAB2911">
      <w:pPr>
        <w:pStyle w:val="2"/>
        <w:spacing w:before="78" w:line="226" w:lineRule="auto"/>
        <w:ind w:left="279"/>
        <w:rPr>
          <w:sz w:val="24"/>
          <w:szCs w:val="24"/>
        </w:rPr>
      </w:pPr>
      <w:r>
        <w:rPr>
          <w:b/>
          <w:bCs/>
          <w:spacing w:val="-1"/>
          <w:sz w:val="24"/>
          <w:szCs w:val="24"/>
        </w:rPr>
        <w:t>表</w:t>
      </w:r>
      <w:r>
        <w:rPr>
          <w:spacing w:val="-42"/>
          <w:sz w:val="24"/>
          <w:szCs w:val="24"/>
        </w:rPr>
        <w:t xml:space="preserve"> </w:t>
      </w:r>
      <w:r>
        <w:rPr>
          <w:rFonts w:ascii="Times New Roman" w:hAnsi="Times New Roman" w:eastAsia="Times New Roman" w:cs="Times New Roman"/>
          <w:b/>
          <w:bCs/>
          <w:spacing w:val="-1"/>
          <w:sz w:val="24"/>
          <w:szCs w:val="24"/>
        </w:rPr>
        <w:t xml:space="preserve">6.1-10                          </w:t>
      </w:r>
      <w:r>
        <w:rPr>
          <w:b/>
          <w:bCs/>
          <w:spacing w:val="-1"/>
          <w:sz w:val="24"/>
          <w:szCs w:val="24"/>
        </w:rPr>
        <w:t>环评期与施工期两栖动物种类统计表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8"/>
        <w:gridCol w:w="1272"/>
        <w:gridCol w:w="1702"/>
        <w:gridCol w:w="699"/>
        <w:gridCol w:w="1412"/>
        <w:gridCol w:w="1697"/>
        <w:gridCol w:w="843"/>
      </w:tblGrid>
      <w:tr w14:paraId="4124D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822" w:type="dxa"/>
            <w:gridSpan w:val="3"/>
            <w:tcBorders>
              <w:top w:val="single" w:color="000000" w:sz="12" w:space="0"/>
              <w:left w:val="single" w:color="000000" w:sz="12" w:space="0"/>
            </w:tcBorders>
            <w:vAlign w:val="top"/>
          </w:tcPr>
          <w:p w14:paraId="6B8049E2">
            <w:pPr>
              <w:pStyle w:val="6"/>
              <w:spacing w:before="72" w:line="233" w:lineRule="auto"/>
              <w:ind w:left="930"/>
              <w:rPr>
                <w:rFonts w:ascii="宋体" w:hAnsi="宋体" w:eastAsia="宋体" w:cs="宋体"/>
              </w:rPr>
            </w:pPr>
            <w:r>
              <w:rPr>
                <w:rFonts w:ascii="宋体" w:hAnsi="宋体" w:eastAsia="宋体" w:cs="宋体"/>
                <w:spacing w:val="-1"/>
              </w:rPr>
              <w:t>环评阶段（</w:t>
            </w:r>
            <w:r>
              <w:rPr>
                <w:spacing w:val="-1"/>
              </w:rPr>
              <w:t xml:space="preserve">2015 </w:t>
            </w:r>
            <w:r>
              <w:rPr>
                <w:rFonts w:ascii="宋体" w:hAnsi="宋体" w:eastAsia="宋体" w:cs="宋体"/>
                <w:spacing w:val="-1"/>
              </w:rPr>
              <w:t>年）</w:t>
            </w:r>
          </w:p>
        </w:tc>
        <w:tc>
          <w:tcPr>
            <w:tcW w:w="3808" w:type="dxa"/>
            <w:gridSpan w:val="3"/>
            <w:tcBorders>
              <w:top w:val="single" w:color="000000" w:sz="12" w:space="0"/>
            </w:tcBorders>
            <w:vAlign w:val="top"/>
          </w:tcPr>
          <w:p w14:paraId="56B7F3EF">
            <w:pPr>
              <w:pStyle w:val="6"/>
              <w:spacing w:before="72" w:line="233" w:lineRule="auto"/>
              <w:ind w:left="1044"/>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3" w:type="dxa"/>
            <w:vMerge w:val="restart"/>
            <w:tcBorders>
              <w:top w:val="single" w:color="000000" w:sz="12" w:space="0"/>
              <w:bottom w:val="nil"/>
              <w:right w:val="single" w:color="000000" w:sz="12" w:space="0"/>
            </w:tcBorders>
            <w:vAlign w:val="top"/>
          </w:tcPr>
          <w:p w14:paraId="1B41BDC6">
            <w:pPr>
              <w:spacing w:before="118" w:line="242" w:lineRule="auto"/>
              <w:ind w:left="221" w:right="191"/>
              <w:rPr>
                <w:rFonts w:ascii="宋体" w:hAnsi="宋体" w:eastAsia="宋体" w:cs="宋体"/>
                <w:sz w:val="21"/>
                <w:szCs w:val="21"/>
              </w:rPr>
            </w:pPr>
            <w:r>
              <w:rPr>
                <w:rFonts w:ascii="宋体" w:hAnsi="宋体" w:eastAsia="宋体" w:cs="宋体"/>
                <w:spacing w:val="-5"/>
                <w:sz w:val="21"/>
                <w:szCs w:val="21"/>
              </w:rPr>
              <w:t>保护情况</w:t>
            </w:r>
          </w:p>
        </w:tc>
      </w:tr>
      <w:tr w14:paraId="1AB98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848" w:type="dxa"/>
            <w:tcBorders>
              <w:left w:val="single" w:color="000000" w:sz="12" w:space="0"/>
            </w:tcBorders>
            <w:vAlign w:val="top"/>
          </w:tcPr>
          <w:p w14:paraId="189C0CE7">
            <w:pPr>
              <w:spacing w:before="70" w:line="221" w:lineRule="auto"/>
              <w:ind w:left="199"/>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2EE56662">
            <w:pPr>
              <w:spacing w:before="70" w:line="220" w:lineRule="auto"/>
              <w:ind w:left="333"/>
              <w:rPr>
                <w:rFonts w:ascii="宋体" w:hAnsi="宋体" w:eastAsia="宋体" w:cs="宋体"/>
                <w:sz w:val="21"/>
                <w:szCs w:val="21"/>
              </w:rPr>
            </w:pPr>
            <w:r>
              <w:rPr>
                <w:rFonts w:ascii="宋体" w:hAnsi="宋体" w:eastAsia="宋体" w:cs="宋体"/>
                <w:spacing w:val="-7"/>
                <w:sz w:val="21"/>
                <w:szCs w:val="21"/>
              </w:rPr>
              <w:t>中文名</w:t>
            </w:r>
          </w:p>
        </w:tc>
        <w:tc>
          <w:tcPr>
            <w:tcW w:w="1702" w:type="dxa"/>
            <w:vAlign w:val="top"/>
          </w:tcPr>
          <w:p w14:paraId="6357D4C0">
            <w:pPr>
              <w:spacing w:before="70" w:line="221" w:lineRule="auto"/>
              <w:ind w:left="535"/>
              <w:rPr>
                <w:rFonts w:ascii="宋体" w:hAnsi="宋体" w:eastAsia="宋体" w:cs="宋体"/>
                <w:sz w:val="21"/>
                <w:szCs w:val="21"/>
              </w:rPr>
            </w:pPr>
            <w:r>
              <w:rPr>
                <w:rFonts w:ascii="宋体" w:hAnsi="宋体" w:eastAsia="宋体" w:cs="宋体"/>
                <w:spacing w:val="-3"/>
                <w:sz w:val="21"/>
                <w:szCs w:val="21"/>
              </w:rPr>
              <w:t>拉丁名</w:t>
            </w:r>
          </w:p>
        </w:tc>
        <w:tc>
          <w:tcPr>
            <w:tcW w:w="699" w:type="dxa"/>
            <w:vAlign w:val="top"/>
          </w:tcPr>
          <w:p w14:paraId="53AA0CCE">
            <w:pPr>
              <w:spacing w:before="70" w:line="221" w:lineRule="auto"/>
              <w:ind w:left="140"/>
              <w:rPr>
                <w:rFonts w:ascii="宋体" w:hAnsi="宋体" w:eastAsia="宋体" w:cs="宋体"/>
                <w:sz w:val="21"/>
                <w:szCs w:val="21"/>
              </w:rPr>
            </w:pPr>
            <w:r>
              <w:rPr>
                <w:rFonts w:ascii="宋体" w:hAnsi="宋体" w:eastAsia="宋体" w:cs="宋体"/>
                <w:spacing w:val="-2"/>
                <w:sz w:val="21"/>
                <w:szCs w:val="21"/>
              </w:rPr>
              <w:t>序号</w:t>
            </w:r>
          </w:p>
        </w:tc>
        <w:tc>
          <w:tcPr>
            <w:tcW w:w="1412" w:type="dxa"/>
            <w:vAlign w:val="top"/>
          </w:tcPr>
          <w:p w14:paraId="72A5F3CD">
            <w:pPr>
              <w:spacing w:before="70" w:line="220" w:lineRule="auto"/>
              <w:ind w:left="416"/>
              <w:rPr>
                <w:rFonts w:ascii="宋体" w:hAnsi="宋体" w:eastAsia="宋体" w:cs="宋体"/>
                <w:sz w:val="21"/>
                <w:szCs w:val="21"/>
              </w:rPr>
            </w:pPr>
            <w:r>
              <w:rPr>
                <w:rFonts w:ascii="宋体" w:hAnsi="宋体" w:eastAsia="宋体" w:cs="宋体"/>
                <w:spacing w:val="-7"/>
                <w:sz w:val="21"/>
                <w:szCs w:val="21"/>
              </w:rPr>
              <w:t>中文名</w:t>
            </w:r>
          </w:p>
        </w:tc>
        <w:tc>
          <w:tcPr>
            <w:tcW w:w="1697" w:type="dxa"/>
            <w:vAlign w:val="top"/>
          </w:tcPr>
          <w:p w14:paraId="38D093AC">
            <w:pPr>
              <w:spacing w:before="70" w:line="221" w:lineRule="auto"/>
              <w:ind w:left="547"/>
              <w:rPr>
                <w:rFonts w:ascii="宋体" w:hAnsi="宋体" w:eastAsia="宋体" w:cs="宋体"/>
                <w:sz w:val="21"/>
                <w:szCs w:val="21"/>
              </w:rPr>
            </w:pPr>
            <w:r>
              <w:rPr>
                <w:rFonts w:ascii="宋体" w:hAnsi="宋体" w:eastAsia="宋体" w:cs="宋体"/>
                <w:spacing w:val="-3"/>
                <w:sz w:val="21"/>
                <w:szCs w:val="21"/>
              </w:rPr>
              <w:t>拉丁名</w:t>
            </w:r>
          </w:p>
        </w:tc>
        <w:tc>
          <w:tcPr>
            <w:tcW w:w="843" w:type="dxa"/>
            <w:vMerge w:val="continue"/>
            <w:tcBorders>
              <w:top w:val="nil"/>
              <w:right w:val="single" w:color="000000" w:sz="12" w:space="0"/>
            </w:tcBorders>
            <w:vAlign w:val="top"/>
          </w:tcPr>
          <w:p w14:paraId="0B0C107D">
            <w:pPr>
              <w:rPr>
                <w:rFonts w:ascii="Arial"/>
                <w:sz w:val="21"/>
              </w:rPr>
            </w:pPr>
          </w:p>
        </w:tc>
      </w:tr>
      <w:tr w14:paraId="4DDC6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48" w:type="dxa"/>
            <w:tcBorders>
              <w:left w:val="single" w:color="000000" w:sz="12" w:space="0"/>
            </w:tcBorders>
            <w:vAlign w:val="top"/>
          </w:tcPr>
          <w:p w14:paraId="332A18C3">
            <w:pPr>
              <w:pStyle w:val="6"/>
              <w:spacing w:before="108" w:line="186" w:lineRule="auto"/>
              <w:ind w:left="275"/>
            </w:pPr>
            <w:r>
              <w:rPr>
                <w:b/>
                <w:bCs/>
                <w:spacing w:val="-3"/>
              </w:rPr>
              <w:t>O1</w:t>
            </w:r>
          </w:p>
        </w:tc>
        <w:tc>
          <w:tcPr>
            <w:tcW w:w="1272" w:type="dxa"/>
            <w:vAlign w:val="top"/>
          </w:tcPr>
          <w:p w14:paraId="6B5C2413">
            <w:pPr>
              <w:spacing w:before="70" w:line="220" w:lineRule="auto"/>
              <w:ind w:left="314"/>
              <w:rPr>
                <w:rFonts w:ascii="宋体" w:hAnsi="宋体" w:eastAsia="宋体" w:cs="宋体"/>
                <w:sz w:val="21"/>
                <w:szCs w:val="21"/>
              </w:rPr>
            </w:pPr>
            <w:r>
              <w:rPr>
                <w:rFonts w:ascii="宋体" w:hAnsi="宋体" w:eastAsia="宋体" w:cs="宋体"/>
                <w:b/>
                <w:bCs/>
                <w:spacing w:val="-4"/>
                <w:sz w:val="21"/>
                <w:szCs w:val="21"/>
              </w:rPr>
              <w:t>无尾目</w:t>
            </w:r>
          </w:p>
        </w:tc>
        <w:tc>
          <w:tcPr>
            <w:tcW w:w="1702" w:type="dxa"/>
            <w:vAlign w:val="top"/>
          </w:tcPr>
          <w:p w14:paraId="68C1D6C8">
            <w:pPr>
              <w:pStyle w:val="6"/>
              <w:spacing w:before="108" w:line="186" w:lineRule="auto"/>
              <w:ind w:left="549"/>
            </w:pPr>
            <w:r>
              <w:rPr>
                <w:b/>
                <w:bCs/>
                <w:spacing w:val="-1"/>
              </w:rPr>
              <w:t>Anura</w:t>
            </w:r>
          </w:p>
        </w:tc>
        <w:tc>
          <w:tcPr>
            <w:tcW w:w="699" w:type="dxa"/>
            <w:vAlign w:val="top"/>
          </w:tcPr>
          <w:p w14:paraId="773FECEC">
            <w:pPr>
              <w:pStyle w:val="6"/>
              <w:spacing w:before="108" w:line="186" w:lineRule="auto"/>
              <w:ind w:left="216"/>
            </w:pPr>
            <w:r>
              <w:rPr>
                <w:b/>
                <w:bCs/>
                <w:spacing w:val="-3"/>
              </w:rPr>
              <w:t>O1</w:t>
            </w:r>
          </w:p>
        </w:tc>
        <w:tc>
          <w:tcPr>
            <w:tcW w:w="1412" w:type="dxa"/>
            <w:vAlign w:val="top"/>
          </w:tcPr>
          <w:p w14:paraId="1FF5DE38">
            <w:pPr>
              <w:spacing w:before="70" w:line="220" w:lineRule="auto"/>
              <w:ind w:left="397"/>
              <w:rPr>
                <w:rFonts w:ascii="宋体" w:hAnsi="宋体" w:eastAsia="宋体" w:cs="宋体"/>
                <w:sz w:val="21"/>
                <w:szCs w:val="21"/>
              </w:rPr>
            </w:pPr>
            <w:r>
              <w:rPr>
                <w:rFonts w:ascii="宋体" w:hAnsi="宋体" w:eastAsia="宋体" w:cs="宋体"/>
                <w:b/>
                <w:bCs/>
                <w:spacing w:val="-4"/>
                <w:sz w:val="21"/>
                <w:szCs w:val="21"/>
              </w:rPr>
              <w:t>无尾目</w:t>
            </w:r>
          </w:p>
        </w:tc>
        <w:tc>
          <w:tcPr>
            <w:tcW w:w="1697" w:type="dxa"/>
            <w:vAlign w:val="top"/>
          </w:tcPr>
          <w:p w14:paraId="62BD9DED">
            <w:pPr>
              <w:pStyle w:val="6"/>
              <w:spacing w:before="108" w:line="186" w:lineRule="auto"/>
              <w:ind w:left="561"/>
            </w:pPr>
            <w:r>
              <w:rPr>
                <w:b/>
                <w:bCs/>
                <w:spacing w:val="-1"/>
              </w:rPr>
              <w:t>Anura</w:t>
            </w:r>
          </w:p>
        </w:tc>
        <w:tc>
          <w:tcPr>
            <w:tcW w:w="843" w:type="dxa"/>
            <w:tcBorders>
              <w:right w:val="single" w:color="000000" w:sz="12" w:space="0"/>
            </w:tcBorders>
            <w:vAlign w:val="top"/>
          </w:tcPr>
          <w:p w14:paraId="7F4E4B9D">
            <w:pPr>
              <w:rPr>
                <w:rFonts w:ascii="Arial"/>
                <w:sz w:val="21"/>
              </w:rPr>
            </w:pPr>
          </w:p>
        </w:tc>
      </w:tr>
      <w:tr w14:paraId="399AB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48" w:type="dxa"/>
            <w:tcBorders>
              <w:left w:val="single" w:color="000000" w:sz="12" w:space="0"/>
            </w:tcBorders>
            <w:vAlign w:val="top"/>
          </w:tcPr>
          <w:p w14:paraId="2DF78259">
            <w:pPr>
              <w:pStyle w:val="6"/>
              <w:spacing w:before="110" w:line="186" w:lineRule="auto"/>
              <w:ind w:left="290"/>
            </w:pPr>
            <w:r>
              <w:rPr>
                <w:b/>
                <w:bCs/>
                <w:spacing w:val="-2"/>
              </w:rPr>
              <w:t>F1</w:t>
            </w:r>
          </w:p>
        </w:tc>
        <w:tc>
          <w:tcPr>
            <w:tcW w:w="1272" w:type="dxa"/>
            <w:vAlign w:val="top"/>
          </w:tcPr>
          <w:p w14:paraId="272F583F">
            <w:pPr>
              <w:spacing w:before="71" w:line="219" w:lineRule="auto"/>
              <w:ind w:left="312"/>
              <w:rPr>
                <w:rFonts w:ascii="宋体" w:hAnsi="宋体" w:eastAsia="宋体" w:cs="宋体"/>
                <w:sz w:val="21"/>
                <w:szCs w:val="21"/>
              </w:rPr>
            </w:pPr>
            <w:r>
              <w:rPr>
                <w:rFonts w:ascii="宋体" w:hAnsi="宋体" w:eastAsia="宋体" w:cs="宋体"/>
                <w:b/>
                <w:bCs/>
                <w:spacing w:val="-4"/>
                <w:sz w:val="21"/>
                <w:szCs w:val="21"/>
              </w:rPr>
              <w:t>铃蟾科</w:t>
            </w:r>
          </w:p>
        </w:tc>
        <w:tc>
          <w:tcPr>
            <w:tcW w:w="1702" w:type="dxa"/>
            <w:vAlign w:val="top"/>
          </w:tcPr>
          <w:p w14:paraId="0189B4A3">
            <w:pPr>
              <w:pStyle w:val="6"/>
              <w:spacing w:before="110" w:line="186" w:lineRule="auto"/>
              <w:ind w:left="115"/>
            </w:pPr>
            <w:r>
              <w:rPr>
                <w:b/>
                <w:bCs/>
                <w:spacing w:val="-1"/>
              </w:rPr>
              <w:t>Bombinatoridae</w:t>
            </w:r>
          </w:p>
        </w:tc>
        <w:tc>
          <w:tcPr>
            <w:tcW w:w="699" w:type="dxa"/>
            <w:vAlign w:val="top"/>
          </w:tcPr>
          <w:p w14:paraId="337005A1">
            <w:pPr>
              <w:pStyle w:val="6"/>
              <w:spacing w:before="110" w:line="186" w:lineRule="auto"/>
              <w:ind w:left="231"/>
            </w:pPr>
            <w:r>
              <w:rPr>
                <w:b/>
                <w:bCs/>
                <w:spacing w:val="-2"/>
              </w:rPr>
              <w:t>F1</w:t>
            </w:r>
          </w:p>
        </w:tc>
        <w:tc>
          <w:tcPr>
            <w:tcW w:w="1412" w:type="dxa"/>
            <w:vAlign w:val="top"/>
          </w:tcPr>
          <w:p w14:paraId="6DF7FCD1">
            <w:pPr>
              <w:spacing w:before="71" w:line="219" w:lineRule="auto"/>
              <w:ind w:left="395"/>
              <w:rPr>
                <w:rFonts w:ascii="宋体" w:hAnsi="宋体" w:eastAsia="宋体" w:cs="宋体"/>
                <w:sz w:val="21"/>
                <w:szCs w:val="21"/>
              </w:rPr>
            </w:pPr>
            <w:r>
              <w:rPr>
                <w:rFonts w:ascii="宋体" w:hAnsi="宋体" w:eastAsia="宋体" w:cs="宋体"/>
                <w:b/>
                <w:bCs/>
                <w:spacing w:val="-4"/>
                <w:sz w:val="21"/>
                <w:szCs w:val="21"/>
              </w:rPr>
              <w:t>铃蟾科</w:t>
            </w:r>
          </w:p>
        </w:tc>
        <w:tc>
          <w:tcPr>
            <w:tcW w:w="1697" w:type="dxa"/>
            <w:vAlign w:val="top"/>
          </w:tcPr>
          <w:p w14:paraId="6D9EDB94">
            <w:pPr>
              <w:pStyle w:val="6"/>
              <w:spacing w:before="110" w:line="186" w:lineRule="auto"/>
              <w:ind w:left="127"/>
            </w:pPr>
            <w:r>
              <w:rPr>
                <w:b/>
                <w:bCs/>
                <w:spacing w:val="-1"/>
              </w:rPr>
              <w:t>Bombinatoridae</w:t>
            </w:r>
          </w:p>
        </w:tc>
        <w:tc>
          <w:tcPr>
            <w:tcW w:w="843" w:type="dxa"/>
            <w:tcBorders>
              <w:right w:val="single" w:color="000000" w:sz="12" w:space="0"/>
            </w:tcBorders>
            <w:vAlign w:val="top"/>
          </w:tcPr>
          <w:p w14:paraId="3B935627">
            <w:pPr>
              <w:rPr>
                <w:rFonts w:ascii="Arial"/>
                <w:sz w:val="21"/>
              </w:rPr>
            </w:pPr>
          </w:p>
        </w:tc>
      </w:tr>
      <w:tr w14:paraId="41471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21211EC7">
            <w:pPr>
              <w:pStyle w:val="6"/>
              <w:spacing w:before="112" w:line="235" w:lineRule="auto"/>
              <w:ind w:left="374"/>
            </w:pPr>
            <w:r>
              <w:t>1</w:t>
            </w:r>
          </w:p>
        </w:tc>
        <w:tc>
          <w:tcPr>
            <w:tcW w:w="1272" w:type="dxa"/>
            <w:vAlign w:val="top"/>
          </w:tcPr>
          <w:p w14:paraId="77350456">
            <w:pPr>
              <w:spacing w:before="78" w:line="220" w:lineRule="auto"/>
              <w:ind w:left="210"/>
              <w:rPr>
                <w:rFonts w:ascii="宋体" w:hAnsi="宋体" w:eastAsia="宋体" w:cs="宋体"/>
                <w:sz w:val="21"/>
                <w:szCs w:val="21"/>
              </w:rPr>
            </w:pPr>
            <w:r>
              <w:rPr>
                <w:rFonts w:ascii="宋体" w:hAnsi="宋体" w:eastAsia="宋体" w:cs="宋体"/>
                <w:spacing w:val="-3"/>
                <w:sz w:val="21"/>
                <w:szCs w:val="21"/>
              </w:rPr>
              <w:t>大蹼铃蟾</w:t>
            </w:r>
          </w:p>
        </w:tc>
        <w:tc>
          <w:tcPr>
            <w:tcW w:w="1702" w:type="dxa"/>
            <w:vAlign w:val="top"/>
          </w:tcPr>
          <w:p w14:paraId="75230A47">
            <w:pPr>
              <w:pStyle w:val="6"/>
              <w:spacing w:before="111" w:line="233" w:lineRule="auto"/>
              <w:ind w:left="96"/>
            </w:pPr>
            <w:r>
              <w:rPr>
                <w:i/>
                <w:iCs/>
              </w:rPr>
              <w:t>Bombina</w:t>
            </w:r>
            <w:r>
              <w:rPr>
                <w:i/>
                <w:iCs/>
                <w:spacing w:val="4"/>
              </w:rPr>
              <w:t xml:space="preserve"> </w:t>
            </w:r>
            <w:r>
              <w:rPr>
                <w:i/>
                <w:iCs/>
              </w:rPr>
              <w:t>maxima</w:t>
            </w:r>
          </w:p>
        </w:tc>
        <w:tc>
          <w:tcPr>
            <w:tcW w:w="699" w:type="dxa"/>
            <w:vAlign w:val="top"/>
          </w:tcPr>
          <w:p w14:paraId="2207891D">
            <w:pPr>
              <w:pStyle w:val="6"/>
              <w:spacing w:before="112" w:line="235" w:lineRule="auto"/>
              <w:ind w:left="315"/>
            </w:pPr>
            <w:r>
              <w:t>1</w:t>
            </w:r>
          </w:p>
        </w:tc>
        <w:tc>
          <w:tcPr>
            <w:tcW w:w="1412" w:type="dxa"/>
            <w:vAlign w:val="top"/>
          </w:tcPr>
          <w:p w14:paraId="10E794C7">
            <w:pPr>
              <w:spacing w:before="78" w:line="220" w:lineRule="auto"/>
              <w:ind w:left="294"/>
              <w:rPr>
                <w:rFonts w:ascii="宋体" w:hAnsi="宋体" w:eastAsia="宋体" w:cs="宋体"/>
                <w:sz w:val="21"/>
                <w:szCs w:val="21"/>
              </w:rPr>
            </w:pPr>
            <w:r>
              <w:rPr>
                <w:rFonts w:ascii="宋体" w:hAnsi="宋体" w:eastAsia="宋体" w:cs="宋体"/>
                <w:spacing w:val="-3"/>
                <w:sz w:val="21"/>
                <w:szCs w:val="21"/>
              </w:rPr>
              <w:t>大蹼铃蟾</w:t>
            </w:r>
          </w:p>
        </w:tc>
        <w:tc>
          <w:tcPr>
            <w:tcW w:w="1697" w:type="dxa"/>
            <w:vAlign w:val="top"/>
          </w:tcPr>
          <w:p w14:paraId="28F9427C">
            <w:pPr>
              <w:pStyle w:val="6"/>
              <w:spacing w:before="111" w:line="233" w:lineRule="auto"/>
              <w:ind w:left="108"/>
            </w:pPr>
            <w:r>
              <w:rPr>
                <w:i/>
                <w:iCs/>
              </w:rPr>
              <w:t>Bombina</w:t>
            </w:r>
            <w:r>
              <w:rPr>
                <w:i/>
                <w:iCs/>
                <w:spacing w:val="4"/>
              </w:rPr>
              <w:t xml:space="preserve"> </w:t>
            </w:r>
            <w:r>
              <w:rPr>
                <w:i/>
                <w:iCs/>
              </w:rPr>
              <w:t>maxima</w:t>
            </w:r>
          </w:p>
        </w:tc>
        <w:tc>
          <w:tcPr>
            <w:tcW w:w="843" w:type="dxa"/>
            <w:tcBorders>
              <w:right w:val="single" w:color="000000" w:sz="12" w:space="0"/>
            </w:tcBorders>
            <w:vAlign w:val="top"/>
          </w:tcPr>
          <w:p w14:paraId="65B31DFF">
            <w:pPr>
              <w:spacing w:before="78" w:line="220" w:lineRule="auto"/>
              <w:ind w:left="220"/>
              <w:rPr>
                <w:rFonts w:ascii="宋体" w:hAnsi="宋体" w:eastAsia="宋体" w:cs="宋体"/>
                <w:sz w:val="21"/>
                <w:szCs w:val="21"/>
              </w:rPr>
            </w:pPr>
            <w:r>
              <w:rPr>
                <w:rFonts w:ascii="宋体" w:hAnsi="宋体" w:eastAsia="宋体" w:cs="宋体"/>
                <w:spacing w:val="-3"/>
                <w:sz w:val="21"/>
                <w:szCs w:val="21"/>
              </w:rPr>
              <w:t>特有</w:t>
            </w:r>
          </w:p>
        </w:tc>
      </w:tr>
      <w:tr w14:paraId="1BFFA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3D11B415">
            <w:pPr>
              <w:pStyle w:val="6"/>
              <w:spacing w:before="118" w:line="186" w:lineRule="auto"/>
              <w:ind w:left="290"/>
            </w:pPr>
            <w:r>
              <w:rPr>
                <w:b/>
                <w:bCs/>
                <w:spacing w:val="-2"/>
              </w:rPr>
              <w:t>F2</w:t>
            </w:r>
          </w:p>
        </w:tc>
        <w:tc>
          <w:tcPr>
            <w:tcW w:w="1272" w:type="dxa"/>
            <w:vAlign w:val="top"/>
          </w:tcPr>
          <w:p w14:paraId="2798019B">
            <w:pPr>
              <w:spacing w:before="79" w:line="219" w:lineRule="auto"/>
              <w:ind w:left="313"/>
              <w:rPr>
                <w:rFonts w:ascii="宋体" w:hAnsi="宋体" w:eastAsia="宋体" w:cs="宋体"/>
                <w:sz w:val="21"/>
                <w:szCs w:val="21"/>
              </w:rPr>
            </w:pPr>
            <w:r>
              <w:rPr>
                <w:rFonts w:ascii="宋体" w:hAnsi="宋体" w:eastAsia="宋体" w:cs="宋体"/>
                <w:b/>
                <w:bCs/>
                <w:spacing w:val="-4"/>
                <w:sz w:val="21"/>
                <w:szCs w:val="21"/>
              </w:rPr>
              <w:t>蟾蜍科</w:t>
            </w:r>
          </w:p>
        </w:tc>
        <w:tc>
          <w:tcPr>
            <w:tcW w:w="1702" w:type="dxa"/>
            <w:vAlign w:val="top"/>
          </w:tcPr>
          <w:p w14:paraId="1ABBE679">
            <w:pPr>
              <w:pStyle w:val="6"/>
              <w:spacing w:before="117" w:line="187" w:lineRule="auto"/>
              <w:ind w:left="383"/>
            </w:pPr>
            <w:r>
              <w:rPr>
                <w:b/>
                <w:bCs/>
                <w:spacing w:val="-1"/>
              </w:rPr>
              <w:t>Bufonidae</w:t>
            </w:r>
          </w:p>
        </w:tc>
        <w:tc>
          <w:tcPr>
            <w:tcW w:w="699" w:type="dxa"/>
            <w:vAlign w:val="top"/>
          </w:tcPr>
          <w:p w14:paraId="2A5B8D6D">
            <w:pPr>
              <w:pStyle w:val="6"/>
              <w:spacing w:before="118" w:line="186" w:lineRule="auto"/>
              <w:ind w:left="231"/>
            </w:pPr>
            <w:r>
              <w:rPr>
                <w:b/>
                <w:bCs/>
                <w:spacing w:val="-2"/>
              </w:rPr>
              <w:t>F2</w:t>
            </w:r>
          </w:p>
        </w:tc>
        <w:tc>
          <w:tcPr>
            <w:tcW w:w="1412" w:type="dxa"/>
            <w:vAlign w:val="top"/>
          </w:tcPr>
          <w:p w14:paraId="711FAAFA">
            <w:pPr>
              <w:spacing w:before="79" w:line="219" w:lineRule="auto"/>
              <w:ind w:left="396"/>
              <w:rPr>
                <w:rFonts w:ascii="宋体" w:hAnsi="宋体" w:eastAsia="宋体" w:cs="宋体"/>
                <w:sz w:val="21"/>
                <w:szCs w:val="21"/>
              </w:rPr>
            </w:pPr>
            <w:r>
              <w:rPr>
                <w:rFonts w:ascii="宋体" w:hAnsi="宋体" w:eastAsia="宋体" w:cs="宋体"/>
                <w:b/>
                <w:bCs/>
                <w:spacing w:val="-4"/>
                <w:sz w:val="21"/>
                <w:szCs w:val="21"/>
              </w:rPr>
              <w:t>蟾蜍科</w:t>
            </w:r>
          </w:p>
        </w:tc>
        <w:tc>
          <w:tcPr>
            <w:tcW w:w="1697" w:type="dxa"/>
            <w:vAlign w:val="top"/>
          </w:tcPr>
          <w:p w14:paraId="1E05806E">
            <w:pPr>
              <w:pStyle w:val="6"/>
              <w:spacing w:before="117" w:line="187" w:lineRule="auto"/>
              <w:ind w:left="395"/>
            </w:pPr>
            <w:r>
              <w:rPr>
                <w:b/>
                <w:bCs/>
                <w:spacing w:val="-1"/>
              </w:rPr>
              <w:t>Bufonidae</w:t>
            </w:r>
          </w:p>
        </w:tc>
        <w:tc>
          <w:tcPr>
            <w:tcW w:w="843" w:type="dxa"/>
            <w:tcBorders>
              <w:right w:val="single" w:color="000000" w:sz="12" w:space="0"/>
            </w:tcBorders>
            <w:vAlign w:val="top"/>
          </w:tcPr>
          <w:p w14:paraId="34C75978">
            <w:pPr>
              <w:rPr>
                <w:rFonts w:ascii="Arial"/>
                <w:sz w:val="21"/>
              </w:rPr>
            </w:pPr>
          </w:p>
        </w:tc>
      </w:tr>
      <w:tr w14:paraId="40344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8" w:type="dxa"/>
            <w:tcBorders>
              <w:left w:val="single" w:color="000000" w:sz="12" w:space="0"/>
            </w:tcBorders>
            <w:vAlign w:val="top"/>
          </w:tcPr>
          <w:p w14:paraId="5004BF58">
            <w:pPr>
              <w:pStyle w:val="6"/>
              <w:spacing w:before="115" w:line="235" w:lineRule="auto"/>
              <w:ind w:left="354"/>
            </w:pPr>
            <w:r>
              <w:t>2</w:t>
            </w:r>
          </w:p>
        </w:tc>
        <w:tc>
          <w:tcPr>
            <w:tcW w:w="1272" w:type="dxa"/>
            <w:vAlign w:val="top"/>
          </w:tcPr>
          <w:p w14:paraId="59595FB7">
            <w:pPr>
              <w:spacing w:before="81" w:line="220" w:lineRule="auto"/>
              <w:ind w:left="227"/>
              <w:rPr>
                <w:rFonts w:ascii="宋体" w:hAnsi="宋体" w:eastAsia="宋体" w:cs="宋体"/>
                <w:sz w:val="21"/>
                <w:szCs w:val="21"/>
              </w:rPr>
            </w:pPr>
            <w:r>
              <w:rPr>
                <w:rFonts w:ascii="宋体" w:hAnsi="宋体" w:eastAsia="宋体" w:cs="宋体"/>
                <w:spacing w:val="-6"/>
                <w:sz w:val="21"/>
                <w:szCs w:val="21"/>
              </w:rPr>
              <w:t>中华蟾蜍</w:t>
            </w:r>
          </w:p>
        </w:tc>
        <w:tc>
          <w:tcPr>
            <w:tcW w:w="1702" w:type="dxa"/>
            <w:vAlign w:val="top"/>
          </w:tcPr>
          <w:p w14:paraId="3199F1D1">
            <w:pPr>
              <w:pStyle w:val="6"/>
              <w:spacing w:before="115" w:line="190" w:lineRule="auto"/>
              <w:ind w:left="102"/>
            </w:pPr>
            <w:r>
              <w:rPr>
                <w:i/>
                <w:iCs/>
              </w:rPr>
              <w:t>Bufo</w:t>
            </w:r>
            <w:r>
              <w:rPr>
                <w:i/>
                <w:iCs/>
                <w:spacing w:val="5"/>
              </w:rPr>
              <w:t xml:space="preserve"> </w:t>
            </w:r>
            <w:r>
              <w:rPr>
                <w:i/>
                <w:iCs/>
              </w:rPr>
              <w:t>gargarizans</w:t>
            </w:r>
          </w:p>
        </w:tc>
        <w:tc>
          <w:tcPr>
            <w:tcW w:w="699" w:type="dxa"/>
            <w:vAlign w:val="top"/>
          </w:tcPr>
          <w:p w14:paraId="7EFC7F8E">
            <w:pPr>
              <w:pStyle w:val="6"/>
              <w:spacing w:before="115" w:line="235" w:lineRule="auto"/>
              <w:ind w:left="295"/>
            </w:pPr>
            <w:r>
              <w:t>2</w:t>
            </w:r>
          </w:p>
        </w:tc>
        <w:tc>
          <w:tcPr>
            <w:tcW w:w="1412" w:type="dxa"/>
            <w:vAlign w:val="top"/>
          </w:tcPr>
          <w:p w14:paraId="4B8EFF2B">
            <w:pPr>
              <w:spacing w:before="81" w:line="220" w:lineRule="auto"/>
              <w:ind w:left="311"/>
              <w:rPr>
                <w:rFonts w:ascii="宋体" w:hAnsi="宋体" w:eastAsia="宋体" w:cs="宋体"/>
                <w:sz w:val="21"/>
                <w:szCs w:val="21"/>
              </w:rPr>
            </w:pPr>
            <w:r>
              <w:rPr>
                <w:rFonts w:ascii="宋体" w:hAnsi="宋体" w:eastAsia="宋体" w:cs="宋体"/>
                <w:spacing w:val="-6"/>
                <w:sz w:val="21"/>
                <w:szCs w:val="21"/>
              </w:rPr>
              <w:t>中华蟾蜍</w:t>
            </w:r>
          </w:p>
        </w:tc>
        <w:tc>
          <w:tcPr>
            <w:tcW w:w="1697" w:type="dxa"/>
            <w:vAlign w:val="top"/>
          </w:tcPr>
          <w:p w14:paraId="19C2D759">
            <w:pPr>
              <w:pStyle w:val="6"/>
              <w:spacing w:before="115" w:line="190" w:lineRule="auto"/>
              <w:ind w:left="114"/>
            </w:pPr>
            <w:r>
              <w:rPr>
                <w:i/>
                <w:iCs/>
              </w:rPr>
              <w:t>Bufo</w:t>
            </w:r>
            <w:r>
              <w:rPr>
                <w:i/>
                <w:iCs/>
                <w:spacing w:val="5"/>
              </w:rPr>
              <w:t xml:space="preserve"> </w:t>
            </w:r>
            <w:r>
              <w:rPr>
                <w:i/>
                <w:iCs/>
              </w:rPr>
              <w:t>gargarizans</w:t>
            </w:r>
          </w:p>
        </w:tc>
        <w:tc>
          <w:tcPr>
            <w:tcW w:w="843" w:type="dxa"/>
            <w:tcBorders>
              <w:right w:val="single" w:color="000000" w:sz="12" w:space="0"/>
            </w:tcBorders>
            <w:vAlign w:val="top"/>
          </w:tcPr>
          <w:p w14:paraId="34679B15">
            <w:pPr>
              <w:rPr>
                <w:rFonts w:ascii="Arial"/>
                <w:sz w:val="21"/>
              </w:rPr>
            </w:pPr>
          </w:p>
        </w:tc>
      </w:tr>
      <w:tr w14:paraId="0850C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8" w:type="dxa"/>
            <w:tcBorders>
              <w:left w:val="single" w:color="000000" w:sz="12" w:space="0"/>
            </w:tcBorders>
            <w:vAlign w:val="top"/>
          </w:tcPr>
          <w:p w14:paraId="1FE68B61">
            <w:pPr>
              <w:pStyle w:val="6"/>
              <w:spacing w:before="216" w:line="232" w:lineRule="auto"/>
              <w:ind w:left="359"/>
            </w:pPr>
            <w:r>
              <w:t>3</w:t>
            </w:r>
          </w:p>
        </w:tc>
        <w:tc>
          <w:tcPr>
            <w:tcW w:w="1272" w:type="dxa"/>
            <w:vAlign w:val="top"/>
          </w:tcPr>
          <w:p w14:paraId="65351BD1">
            <w:pPr>
              <w:spacing w:before="181" w:line="220" w:lineRule="auto"/>
              <w:ind w:left="213"/>
              <w:rPr>
                <w:rFonts w:ascii="宋体" w:hAnsi="宋体" w:eastAsia="宋体" w:cs="宋体"/>
                <w:sz w:val="21"/>
                <w:szCs w:val="21"/>
              </w:rPr>
            </w:pPr>
            <w:r>
              <w:rPr>
                <w:rFonts w:ascii="宋体" w:hAnsi="宋体" w:eastAsia="宋体" w:cs="宋体"/>
                <w:spacing w:val="-3"/>
                <w:sz w:val="21"/>
                <w:szCs w:val="21"/>
              </w:rPr>
              <w:t>黑眶蟾蜍</w:t>
            </w:r>
          </w:p>
        </w:tc>
        <w:tc>
          <w:tcPr>
            <w:tcW w:w="1702" w:type="dxa"/>
            <w:vAlign w:val="top"/>
          </w:tcPr>
          <w:p w14:paraId="6F0006A9">
            <w:pPr>
              <w:pStyle w:val="6"/>
              <w:spacing w:before="94" w:line="190" w:lineRule="auto"/>
              <w:ind w:left="256"/>
            </w:pPr>
            <w:r>
              <w:rPr>
                <w:i/>
                <w:iCs/>
              </w:rPr>
              <w:t>Duttaphrynus</w:t>
            </w:r>
          </w:p>
          <w:p w14:paraId="6BCFAC4A">
            <w:pPr>
              <w:pStyle w:val="6"/>
              <w:spacing w:before="49" w:line="220" w:lineRule="auto"/>
              <w:ind w:left="239"/>
            </w:pPr>
            <w:r>
              <w:rPr>
                <w:i/>
                <w:iCs/>
                <w:spacing w:val="-1"/>
              </w:rPr>
              <w:t>melanostictus</w:t>
            </w:r>
          </w:p>
        </w:tc>
        <w:tc>
          <w:tcPr>
            <w:tcW w:w="699" w:type="dxa"/>
            <w:vAlign w:val="top"/>
          </w:tcPr>
          <w:p w14:paraId="44C8D9A4">
            <w:pPr>
              <w:rPr>
                <w:rFonts w:ascii="Arial"/>
                <w:sz w:val="21"/>
              </w:rPr>
            </w:pPr>
          </w:p>
        </w:tc>
        <w:tc>
          <w:tcPr>
            <w:tcW w:w="1412" w:type="dxa"/>
            <w:vAlign w:val="top"/>
          </w:tcPr>
          <w:p w14:paraId="585B6439">
            <w:pPr>
              <w:rPr>
                <w:rFonts w:ascii="Arial"/>
                <w:sz w:val="21"/>
              </w:rPr>
            </w:pPr>
          </w:p>
        </w:tc>
        <w:tc>
          <w:tcPr>
            <w:tcW w:w="1697" w:type="dxa"/>
            <w:vAlign w:val="top"/>
          </w:tcPr>
          <w:p w14:paraId="7D613376">
            <w:pPr>
              <w:rPr>
                <w:rFonts w:ascii="Arial"/>
                <w:sz w:val="21"/>
              </w:rPr>
            </w:pPr>
          </w:p>
        </w:tc>
        <w:tc>
          <w:tcPr>
            <w:tcW w:w="843" w:type="dxa"/>
            <w:tcBorders>
              <w:right w:val="single" w:color="000000" w:sz="12" w:space="0"/>
            </w:tcBorders>
            <w:vAlign w:val="top"/>
          </w:tcPr>
          <w:p w14:paraId="5ED23161">
            <w:pPr>
              <w:rPr>
                <w:rFonts w:ascii="Arial"/>
                <w:sz w:val="21"/>
              </w:rPr>
            </w:pPr>
          </w:p>
        </w:tc>
      </w:tr>
      <w:tr w14:paraId="71AB8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4620F9B9">
            <w:pPr>
              <w:pStyle w:val="6"/>
              <w:spacing w:before="122" w:line="186" w:lineRule="auto"/>
              <w:ind w:left="290"/>
            </w:pPr>
            <w:r>
              <w:rPr>
                <w:b/>
                <w:bCs/>
                <w:spacing w:val="-2"/>
              </w:rPr>
              <w:t>F3</w:t>
            </w:r>
          </w:p>
        </w:tc>
        <w:tc>
          <w:tcPr>
            <w:tcW w:w="1272" w:type="dxa"/>
            <w:vAlign w:val="top"/>
          </w:tcPr>
          <w:p w14:paraId="2521698E">
            <w:pPr>
              <w:spacing w:before="83" w:line="219" w:lineRule="auto"/>
              <w:ind w:left="320"/>
              <w:rPr>
                <w:rFonts w:ascii="宋体" w:hAnsi="宋体" w:eastAsia="宋体" w:cs="宋体"/>
                <w:sz w:val="21"/>
                <w:szCs w:val="21"/>
              </w:rPr>
            </w:pPr>
            <w:r>
              <w:rPr>
                <w:rFonts w:ascii="宋体" w:hAnsi="宋体" w:eastAsia="宋体" w:cs="宋体"/>
                <w:b/>
                <w:bCs/>
                <w:spacing w:val="-6"/>
                <w:sz w:val="21"/>
                <w:szCs w:val="21"/>
              </w:rPr>
              <w:t>雨蛙科</w:t>
            </w:r>
          </w:p>
        </w:tc>
        <w:tc>
          <w:tcPr>
            <w:tcW w:w="1702" w:type="dxa"/>
            <w:vAlign w:val="top"/>
          </w:tcPr>
          <w:p w14:paraId="0F091FE5">
            <w:pPr>
              <w:pStyle w:val="6"/>
              <w:spacing w:before="122" w:line="186" w:lineRule="auto"/>
              <w:ind w:left="494"/>
            </w:pPr>
            <w:r>
              <w:rPr>
                <w:b/>
                <w:bCs/>
                <w:spacing w:val="-1"/>
              </w:rPr>
              <w:t>Hylidae</w:t>
            </w:r>
          </w:p>
        </w:tc>
        <w:tc>
          <w:tcPr>
            <w:tcW w:w="699" w:type="dxa"/>
            <w:vAlign w:val="top"/>
          </w:tcPr>
          <w:p w14:paraId="7F35195A">
            <w:pPr>
              <w:pStyle w:val="6"/>
              <w:spacing w:before="122" w:line="186" w:lineRule="auto"/>
              <w:ind w:left="231"/>
            </w:pPr>
            <w:r>
              <w:rPr>
                <w:b/>
                <w:bCs/>
                <w:spacing w:val="-2"/>
              </w:rPr>
              <w:t>F3</w:t>
            </w:r>
          </w:p>
        </w:tc>
        <w:tc>
          <w:tcPr>
            <w:tcW w:w="1412" w:type="dxa"/>
            <w:vAlign w:val="top"/>
          </w:tcPr>
          <w:p w14:paraId="7052B4E3">
            <w:pPr>
              <w:spacing w:before="83" w:line="219" w:lineRule="auto"/>
              <w:ind w:left="404"/>
              <w:rPr>
                <w:rFonts w:ascii="宋体" w:hAnsi="宋体" w:eastAsia="宋体" w:cs="宋体"/>
                <w:sz w:val="21"/>
                <w:szCs w:val="21"/>
              </w:rPr>
            </w:pPr>
            <w:r>
              <w:rPr>
                <w:rFonts w:ascii="宋体" w:hAnsi="宋体" w:eastAsia="宋体" w:cs="宋体"/>
                <w:b/>
                <w:bCs/>
                <w:spacing w:val="-6"/>
                <w:sz w:val="21"/>
                <w:szCs w:val="21"/>
              </w:rPr>
              <w:t>雨蛙科</w:t>
            </w:r>
          </w:p>
        </w:tc>
        <w:tc>
          <w:tcPr>
            <w:tcW w:w="1697" w:type="dxa"/>
            <w:vAlign w:val="top"/>
          </w:tcPr>
          <w:p w14:paraId="730E0CE6">
            <w:pPr>
              <w:pStyle w:val="6"/>
              <w:spacing w:before="122" w:line="186" w:lineRule="auto"/>
              <w:ind w:left="507"/>
            </w:pPr>
            <w:r>
              <w:rPr>
                <w:b/>
                <w:bCs/>
                <w:spacing w:val="-1"/>
              </w:rPr>
              <w:t>Hylidae</w:t>
            </w:r>
          </w:p>
        </w:tc>
        <w:tc>
          <w:tcPr>
            <w:tcW w:w="843" w:type="dxa"/>
            <w:tcBorders>
              <w:right w:val="single" w:color="000000" w:sz="12" w:space="0"/>
            </w:tcBorders>
            <w:vAlign w:val="top"/>
          </w:tcPr>
          <w:p w14:paraId="2757F354">
            <w:pPr>
              <w:rPr>
                <w:rFonts w:ascii="Arial"/>
                <w:sz w:val="21"/>
              </w:rPr>
            </w:pPr>
          </w:p>
        </w:tc>
      </w:tr>
      <w:tr w14:paraId="6E3AB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8" w:type="dxa"/>
            <w:tcBorders>
              <w:left w:val="single" w:color="000000" w:sz="12" w:space="0"/>
            </w:tcBorders>
            <w:vAlign w:val="top"/>
          </w:tcPr>
          <w:p w14:paraId="33C338BC">
            <w:pPr>
              <w:pStyle w:val="6"/>
              <w:spacing w:before="119" w:line="235" w:lineRule="auto"/>
              <w:ind w:left="353"/>
            </w:pPr>
            <w:r>
              <w:t>4</w:t>
            </w:r>
          </w:p>
        </w:tc>
        <w:tc>
          <w:tcPr>
            <w:tcW w:w="1272" w:type="dxa"/>
            <w:vAlign w:val="top"/>
          </w:tcPr>
          <w:p w14:paraId="39A51249">
            <w:pPr>
              <w:spacing w:before="85" w:line="220" w:lineRule="auto"/>
              <w:ind w:left="209"/>
              <w:rPr>
                <w:rFonts w:ascii="宋体" w:hAnsi="宋体" w:eastAsia="宋体" w:cs="宋体"/>
                <w:sz w:val="21"/>
                <w:szCs w:val="21"/>
              </w:rPr>
            </w:pPr>
            <w:r>
              <w:rPr>
                <w:rFonts w:ascii="宋体" w:hAnsi="宋体" w:eastAsia="宋体" w:cs="宋体"/>
                <w:spacing w:val="-2"/>
                <w:sz w:val="21"/>
                <w:szCs w:val="21"/>
              </w:rPr>
              <w:t>华西雨蛙</w:t>
            </w:r>
          </w:p>
        </w:tc>
        <w:tc>
          <w:tcPr>
            <w:tcW w:w="1702" w:type="dxa"/>
            <w:vAlign w:val="top"/>
          </w:tcPr>
          <w:p w14:paraId="7325E675">
            <w:pPr>
              <w:pStyle w:val="6"/>
              <w:spacing w:before="119" w:line="190" w:lineRule="auto"/>
              <w:ind w:left="177"/>
            </w:pPr>
            <w:r>
              <w:rPr>
                <w:i/>
                <w:iCs/>
              </w:rPr>
              <w:t>Hyla</w:t>
            </w:r>
            <w:r>
              <w:rPr>
                <w:i/>
                <w:iCs/>
                <w:spacing w:val="6"/>
              </w:rPr>
              <w:t xml:space="preserve"> </w:t>
            </w:r>
            <w:r>
              <w:rPr>
                <w:i/>
                <w:iCs/>
              </w:rPr>
              <w:t>annectans</w:t>
            </w:r>
          </w:p>
        </w:tc>
        <w:tc>
          <w:tcPr>
            <w:tcW w:w="699" w:type="dxa"/>
            <w:vAlign w:val="top"/>
          </w:tcPr>
          <w:p w14:paraId="2EB7F7CA">
            <w:pPr>
              <w:pStyle w:val="6"/>
              <w:spacing w:before="119" w:line="232" w:lineRule="auto"/>
              <w:ind w:left="299"/>
            </w:pPr>
            <w:r>
              <w:t>3</w:t>
            </w:r>
          </w:p>
        </w:tc>
        <w:tc>
          <w:tcPr>
            <w:tcW w:w="1412" w:type="dxa"/>
            <w:vAlign w:val="top"/>
          </w:tcPr>
          <w:p w14:paraId="6E91187A">
            <w:pPr>
              <w:spacing w:before="85" w:line="220" w:lineRule="auto"/>
              <w:ind w:left="292"/>
              <w:rPr>
                <w:rFonts w:ascii="宋体" w:hAnsi="宋体" w:eastAsia="宋体" w:cs="宋体"/>
                <w:sz w:val="21"/>
                <w:szCs w:val="21"/>
              </w:rPr>
            </w:pPr>
            <w:r>
              <w:rPr>
                <w:rFonts w:ascii="宋体" w:hAnsi="宋体" w:eastAsia="宋体" w:cs="宋体"/>
                <w:spacing w:val="-2"/>
                <w:sz w:val="21"/>
                <w:szCs w:val="21"/>
              </w:rPr>
              <w:t>华西雨蛙</w:t>
            </w:r>
          </w:p>
        </w:tc>
        <w:tc>
          <w:tcPr>
            <w:tcW w:w="1697" w:type="dxa"/>
            <w:vAlign w:val="top"/>
          </w:tcPr>
          <w:p w14:paraId="43F5A204">
            <w:pPr>
              <w:pStyle w:val="6"/>
              <w:spacing w:before="119" w:line="190" w:lineRule="auto"/>
              <w:ind w:left="189"/>
            </w:pPr>
            <w:r>
              <w:rPr>
                <w:i/>
                <w:iCs/>
              </w:rPr>
              <w:t>Hyla</w:t>
            </w:r>
            <w:r>
              <w:rPr>
                <w:i/>
                <w:iCs/>
                <w:spacing w:val="6"/>
              </w:rPr>
              <w:t xml:space="preserve"> </w:t>
            </w:r>
            <w:r>
              <w:rPr>
                <w:i/>
                <w:iCs/>
              </w:rPr>
              <w:t>annectans</w:t>
            </w:r>
          </w:p>
        </w:tc>
        <w:tc>
          <w:tcPr>
            <w:tcW w:w="843" w:type="dxa"/>
            <w:tcBorders>
              <w:right w:val="single" w:color="000000" w:sz="12" w:space="0"/>
            </w:tcBorders>
            <w:vAlign w:val="top"/>
          </w:tcPr>
          <w:p w14:paraId="333B242E">
            <w:pPr>
              <w:spacing w:before="85" w:line="220" w:lineRule="auto"/>
              <w:ind w:left="220"/>
              <w:rPr>
                <w:rFonts w:ascii="宋体" w:hAnsi="宋体" w:eastAsia="宋体" w:cs="宋体"/>
                <w:sz w:val="21"/>
                <w:szCs w:val="21"/>
              </w:rPr>
            </w:pPr>
            <w:r>
              <w:rPr>
                <w:rFonts w:ascii="宋体" w:hAnsi="宋体" w:eastAsia="宋体" w:cs="宋体"/>
                <w:spacing w:val="-3"/>
                <w:sz w:val="21"/>
                <w:szCs w:val="21"/>
              </w:rPr>
              <w:t>特有</w:t>
            </w:r>
          </w:p>
        </w:tc>
      </w:tr>
      <w:tr w14:paraId="6D2C7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375C40BC">
            <w:pPr>
              <w:pStyle w:val="6"/>
              <w:spacing w:before="125" w:line="186" w:lineRule="auto"/>
              <w:ind w:left="290"/>
            </w:pPr>
            <w:r>
              <w:rPr>
                <w:b/>
                <w:bCs/>
                <w:spacing w:val="-2"/>
              </w:rPr>
              <w:t>F4</w:t>
            </w:r>
          </w:p>
        </w:tc>
        <w:tc>
          <w:tcPr>
            <w:tcW w:w="1272" w:type="dxa"/>
            <w:vAlign w:val="top"/>
          </w:tcPr>
          <w:p w14:paraId="5723C9DE">
            <w:pPr>
              <w:spacing w:before="86" w:line="219" w:lineRule="auto"/>
              <w:ind w:left="312"/>
              <w:rPr>
                <w:rFonts w:ascii="宋体" w:hAnsi="宋体" w:eastAsia="宋体" w:cs="宋体"/>
                <w:sz w:val="21"/>
                <w:szCs w:val="21"/>
              </w:rPr>
            </w:pPr>
            <w:r>
              <w:rPr>
                <w:rFonts w:ascii="宋体" w:hAnsi="宋体" w:eastAsia="宋体" w:cs="宋体"/>
                <w:b/>
                <w:bCs/>
                <w:spacing w:val="-4"/>
                <w:sz w:val="21"/>
                <w:szCs w:val="21"/>
              </w:rPr>
              <w:t>姬蛙科</w:t>
            </w:r>
          </w:p>
        </w:tc>
        <w:tc>
          <w:tcPr>
            <w:tcW w:w="1702" w:type="dxa"/>
            <w:vAlign w:val="top"/>
          </w:tcPr>
          <w:p w14:paraId="57C1C07E">
            <w:pPr>
              <w:pStyle w:val="6"/>
              <w:spacing w:before="125" w:line="186" w:lineRule="auto"/>
              <w:ind w:left="243"/>
            </w:pPr>
            <w:r>
              <w:rPr>
                <w:b/>
                <w:bCs/>
                <w:spacing w:val="-1"/>
              </w:rPr>
              <w:t>Microhylidae</w:t>
            </w:r>
          </w:p>
        </w:tc>
        <w:tc>
          <w:tcPr>
            <w:tcW w:w="699" w:type="dxa"/>
            <w:vAlign w:val="top"/>
          </w:tcPr>
          <w:p w14:paraId="45A6AE16">
            <w:pPr>
              <w:rPr>
                <w:rFonts w:ascii="Arial"/>
                <w:sz w:val="21"/>
              </w:rPr>
            </w:pPr>
          </w:p>
        </w:tc>
        <w:tc>
          <w:tcPr>
            <w:tcW w:w="1412" w:type="dxa"/>
            <w:vAlign w:val="top"/>
          </w:tcPr>
          <w:p w14:paraId="5FCF8C3F">
            <w:pPr>
              <w:rPr>
                <w:rFonts w:ascii="Arial"/>
                <w:sz w:val="21"/>
              </w:rPr>
            </w:pPr>
          </w:p>
        </w:tc>
        <w:tc>
          <w:tcPr>
            <w:tcW w:w="1697" w:type="dxa"/>
            <w:vAlign w:val="top"/>
          </w:tcPr>
          <w:p w14:paraId="17FC0F08">
            <w:pPr>
              <w:rPr>
                <w:rFonts w:ascii="Arial"/>
                <w:sz w:val="21"/>
              </w:rPr>
            </w:pPr>
          </w:p>
        </w:tc>
        <w:tc>
          <w:tcPr>
            <w:tcW w:w="843" w:type="dxa"/>
            <w:tcBorders>
              <w:right w:val="single" w:color="000000" w:sz="12" w:space="0"/>
            </w:tcBorders>
            <w:vAlign w:val="top"/>
          </w:tcPr>
          <w:p w14:paraId="7E8FCAEA">
            <w:pPr>
              <w:rPr>
                <w:rFonts w:ascii="Arial"/>
                <w:sz w:val="21"/>
              </w:rPr>
            </w:pPr>
          </w:p>
        </w:tc>
      </w:tr>
      <w:tr w14:paraId="1C2B0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8" w:type="dxa"/>
            <w:tcBorders>
              <w:left w:val="single" w:color="000000" w:sz="12" w:space="0"/>
            </w:tcBorders>
            <w:vAlign w:val="top"/>
          </w:tcPr>
          <w:p w14:paraId="3B872CE7">
            <w:pPr>
              <w:pStyle w:val="6"/>
              <w:spacing w:before="220" w:line="232" w:lineRule="auto"/>
              <w:ind w:left="360"/>
            </w:pPr>
            <w:r>
              <w:t>5</w:t>
            </w:r>
          </w:p>
        </w:tc>
        <w:tc>
          <w:tcPr>
            <w:tcW w:w="1272" w:type="dxa"/>
            <w:vAlign w:val="top"/>
          </w:tcPr>
          <w:p w14:paraId="14091DFC">
            <w:pPr>
              <w:spacing w:before="186" w:line="220" w:lineRule="auto"/>
              <w:ind w:left="113"/>
              <w:rPr>
                <w:rFonts w:ascii="宋体" w:hAnsi="宋体" w:eastAsia="宋体" w:cs="宋体"/>
                <w:sz w:val="21"/>
                <w:szCs w:val="21"/>
              </w:rPr>
            </w:pPr>
            <w:r>
              <w:rPr>
                <w:rFonts w:ascii="宋体" w:hAnsi="宋体" w:eastAsia="宋体" w:cs="宋体"/>
                <w:spacing w:val="-3"/>
                <w:sz w:val="21"/>
                <w:szCs w:val="21"/>
              </w:rPr>
              <w:t>多疣狭口蛙</w:t>
            </w:r>
          </w:p>
        </w:tc>
        <w:tc>
          <w:tcPr>
            <w:tcW w:w="1702" w:type="dxa"/>
            <w:vAlign w:val="top"/>
          </w:tcPr>
          <w:p w14:paraId="2B721C53">
            <w:pPr>
              <w:pStyle w:val="6"/>
              <w:spacing w:before="99" w:line="190" w:lineRule="auto"/>
              <w:ind w:left="495"/>
            </w:pPr>
            <w:r>
              <w:rPr>
                <w:i/>
                <w:iCs/>
              </w:rPr>
              <w:t>Kaloula</w:t>
            </w:r>
          </w:p>
          <w:p w14:paraId="46A75A59">
            <w:pPr>
              <w:pStyle w:val="6"/>
              <w:spacing w:before="50" w:line="214" w:lineRule="auto"/>
              <w:ind w:left="424"/>
            </w:pPr>
            <w:r>
              <w:rPr>
                <w:i/>
                <w:iCs/>
                <w:spacing w:val="-1"/>
              </w:rPr>
              <w:t>verrucosa</w:t>
            </w:r>
          </w:p>
        </w:tc>
        <w:tc>
          <w:tcPr>
            <w:tcW w:w="699" w:type="dxa"/>
            <w:vAlign w:val="top"/>
          </w:tcPr>
          <w:p w14:paraId="77ACA738">
            <w:pPr>
              <w:rPr>
                <w:rFonts w:ascii="Arial"/>
                <w:sz w:val="21"/>
              </w:rPr>
            </w:pPr>
          </w:p>
        </w:tc>
        <w:tc>
          <w:tcPr>
            <w:tcW w:w="1412" w:type="dxa"/>
            <w:vAlign w:val="top"/>
          </w:tcPr>
          <w:p w14:paraId="69AB4F67">
            <w:pPr>
              <w:rPr>
                <w:rFonts w:ascii="Arial"/>
                <w:sz w:val="21"/>
              </w:rPr>
            </w:pPr>
          </w:p>
        </w:tc>
        <w:tc>
          <w:tcPr>
            <w:tcW w:w="1697" w:type="dxa"/>
            <w:vAlign w:val="top"/>
          </w:tcPr>
          <w:p w14:paraId="4EC0FCDE">
            <w:pPr>
              <w:rPr>
                <w:rFonts w:ascii="Arial"/>
                <w:sz w:val="21"/>
              </w:rPr>
            </w:pPr>
          </w:p>
        </w:tc>
        <w:tc>
          <w:tcPr>
            <w:tcW w:w="843" w:type="dxa"/>
            <w:tcBorders>
              <w:right w:val="single" w:color="000000" w:sz="12" w:space="0"/>
            </w:tcBorders>
            <w:vAlign w:val="top"/>
          </w:tcPr>
          <w:p w14:paraId="6A1790E2">
            <w:pPr>
              <w:spacing w:before="186" w:line="220" w:lineRule="auto"/>
              <w:ind w:left="220"/>
              <w:rPr>
                <w:rFonts w:ascii="宋体" w:hAnsi="宋体" w:eastAsia="宋体" w:cs="宋体"/>
                <w:sz w:val="21"/>
                <w:szCs w:val="21"/>
              </w:rPr>
            </w:pPr>
            <w:r>
              <w:rPr>
                <w:rFonts w:ascii="宋体" w:hAnsi="宋体" w:eastAsia="宋体" w:cs="宋体"/>
                <w:spacing w:val="-3"/>
                <w:sz w:val="21"/>
                <w:szCs w:val="21"/>
              </w:rPr>
              <w:t>特有</w:t>
            </w:r>
          </w:p>
        </w:tc>
      </w:tr>
      <w:tr w14:paraId="50559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48" w:type="dxa"/>
            <w:tcBorders>
              <w:left w:val="single" w:color="000000" w:sz="12" w:space="0"/>
            </w:tcBorders>
            <w:vAlign w:val="top"/>
          </w:tcPr>
          <w:p w14:paraId="779620FE">
            <w:pPr>
              <w:pStyle w:val="6"/>
              <w:spacing w:before="222" w:line="232" w:lineRule="auto"/>
              <w:ind w:left="359"/>
            </w:pPr>
            <w:r>
              <w:t>6</w:t>
            </w:r>
          </w:p>
        </w:tc>
        <w:tc>
          <w:tcPr>
            <w:tcW w:w="1272" w:type="dxa"/>
            <w:vAlign w:val="top"/>
          </w:tcPr>
          <w:p w14:paraId="4B694893">
            <w:pPr>
              <w:spacing w:before="188" w:line="220" w:lineRule="auto"/>
              <w:ind w:left="208"/>
              <w:rPr>
                <w:rFonts w:ascii="宋体" w:hAnsi="宋体" w:eastAsia="宋体" w:cs="宋体"/>
                <w:sz w:val="21"/>
                <w:szCs w:val="21"/>
              </w:rPr>
            </w:pPr>
            <w:r>
              <w:rPr>
                <w:rFonts w:ascii="宋体" w:hAnsi="宋体" w:eastAsia="宋体" w:cs="宋体"/>
                <w:spacing w:val="-2"/>
                <w:sz w:val="21"/>
                <w:szCs w:val="21"/>
              </w:rPr>
              <w:t>饰纹姬蛙</w:t>
            </w:r>
          </w:p>
        </w:tc>
        <w:tc>
          <w:tcPr>
            <w:tcW w:w="1702" w:type="dxa"/>
            <w:vAlign w:val="top"/>
          </w:tcPr>
          <w:p w14:paraId="7891BD1C">
            <w:pPr>
              <w:pStyle w:val="6"/>
              <w:spacing w:before="100" w:line="190" w:lineRule="auto"/>
              <w:ind w:left="396"/>
            </w:pPr>
            <w:r>
              <w:rPr>
                <w:i/>
                <w:iCs/>
              </w:rPr>
              <w:t>Microhyla</w:t>
            </w:r>
          </w:p>
          <w:p w14:paraId="09EF478C">
            <w:pPr>
              <w:pStyle w:val="6"/>
              <w:spacing w:before="51" w:line="190" w:lineRule="auto"/>
              <w:ind w:left="494"/>
            </w:pPr>
            <w:r>
              <w:rPr>
                <w:i/>
                <w:iCs/>
                <w:spacing w:val="4"/>
              </w:rPr>
              <w:t>fissipes</w:t>
            </w:r>
          </w:p>
        </w:tc>
        <w:tc>
          <w:tcPr>
            <w:tcW w:w="699" w:type="dxa"/>
            <w:vAlign w:val="top"/>
          </w:tcPr>
          <w:p w14:paraId="77AB905D">
            <w:pPr>
              <w:rPr>
                <w:rFonts w:ascii="Arial"/>
                <w:sz w:val="21"/>
              </w:rPr>
            </w:pPr>
          </w:p>
        </w:tc>
        <w:tc>
          <w:tcPr>
            <w:tcW w:w="1412" w:type="dxa"/>
            <w:vAlign w:val="top"/>
          </w:tcPr>
          <w:p w14:paraId="288AE88B">
            <w:pPr>
              <w:rPr>
                <w:rFonts w:ascii="Arial"/>
                <w:sz w:val="21"/>
              </w:rPr>
            </w:pPr>
          </w:p>
        </w:tc>
        <w:tc>
          <w:tcPr>
            <w:tcW w:w="1697" w:type="dxa"/>
            <w:vAlign w:val="top"/>
          </w:tcPr>
          <w:p w14:paraId="74BAECBC">
            <w:pPr>
              <w:rPr>
                <w:rFonts w:ascii="Arial"/>
                <w:sz w:val="21"/>
              </w:rPr>
            </w:pPr>
          </w:p>
        </w:tc>
        <w:tc>
          <w:tcPr>
            <w:tcW w:w="843" w:type="dxa"/>
            <w:tcBorders>
              <w:right w:val="single" w:color="000000" w:sz="12" w:space="0"/>
            </w:tcBorders>
            <w:vAlign w:val="top"/>
          </w:tcPr>
          <w:p w14:paraId="3CE53CCA">
            <w:pPr>
              <w:rPr>
                <w:rFonts w:ascii="Arial"/>
                <w:sz w:val="21"/>
              </w:rPr>
            </w:pPr>
          </w:p>
        </w:tc>
      </w:tr>
      <w:tr w14:paraId="112BE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7C6FD526">
            <w:pPr>
              <w:pStyle w:val="6"/>
              <w:spacing w:before="133" w:line="183" w:lineRule="auto"/>
              <w:ind w:left="290"/>
            </w:pPr>
            <w:r>
              <w:rPr>
                <w:b/>
                <w:bCs/>
                <w:spacing w:val="-2"/>
              </w:rPr>
              <w:t>F5</w:t>
            </w:r>
          </w:p>
        </w:tc>
        <w:tc>
          <w:tcPr>
            <w:tcW w:w="1272" w:type="dxa"/>
            <w:vAlign w:val="top"/>
          </w:tcPr>
          <w:p w14:paraId="4EE16FD6">
            <w:pPr>
              <w:spacing w:before="91" w:line="219" w:lineRule="auto"/>
              <w:ind w:left="208"/>
              <w:rPr>
                <w:rFonts w:ascii="宋体" w:hAnsi="宋体" w:eastAsia="宋体" w:cs="宋体"/>
                <w:sz w:val="21"/>
                <w:szCs w:val="21"/>
              </w:rPr>
            </w:pPr>
            <w:r>
              <w:rPr>
                <w:rFonts w:ascii="宋体" w:hAnsi="宋体" w:eastAsia="宋体" w:cs="宋体"/>
                <w:b/>
                <w:bCs/>
                <w:spacing w:val="-4"/>
                <w:sz w:val="21"/>
                <w:szCs w:val="21"/>
              </w:rPr>
              <w:t>叉舌蛙科</w:t>
            </w:r>
          </w:p>
        </w:tc>
        <w:tc>
          <w:tcPr>
            <w:tcW w:w="1702" w:type="dxa"/>
            <w:vAlign w:val="top"/>
          </w:tcPr>
          <w:p w14:paraId="6A83797C">
            <w:pPr>
              <w:pStyle w:val="6"/>
              <w:spacing w:before="130" w:line="186" w:lineRule="auto"/>
              <w:ind w:left="189"/>
            </w:pPr>
            <w:r>
              <w:rPr>
                <w:b/>
                <w:bCs/>
                <w:spacing w:val="-1"/>
              </w:rPr>
              <w:t>Dicroglossidae</w:t>
            </w:r>
          </w:p>
        </w:tc>
        <w:tc>
          <w:tcPr>
            <w:tcW w:w="699" w:type="dxa"/>
            <w:vAlign w:val="top"/>
          </w:tcPr>
          <w:p w14:paraId="12F69C39">
            <w:pPr>
              <w:rPr>
                <w:rFonts w:ascii="Arial"/>
                <w:sz w:val="21"/>
              </w:rPr>
            </w:pPr>
          </w:p>
        </w:tc>
        <w:tc>
          <w:tcPr>
            <w:tcW w:w="1412" w:type="dxa"/>
            <w:vAlign w:val="top"/>
          </w:tcPr>
          <w:p w14:paraId="1A9E725B">
            <w:pPr>
              <w:rPr>
                <w:rFonts w:ascii="Arial"/>
                <w:sz w:val="21"/>
              </w:rPr>
            </w:pPr>
          </w:p>
        </w:tc>
        <w:tc>
          <w:tcPr>
            <w:tcW w:w="1697" w:type="dxa"/>
            <w:vAlign w:val="top"/>
          </w:tcPr>
          <w:p w14:paraId="519C5644">
            <w:pPr>
              <w:rPr>
                <w:rFonts w:ascii="Arial"/>
                <w:sz w:val="21"/>
              </w:rPr>
            </w:pPr>
          </w:p>
        </w:tc>
        <w:tc>
          <w:tcPr>
            <w:tcW w:w="843" w:type="dxa"/>
            <w:tcBorders>
              <w:right w:val="single" w:color="000000" w:sz="12" w:space="0"/>
            </w:tcBorders>
            <w:vAlign w:val="top"/>
          </w:tcPr>
          <w:p w14:paraId="354018C3">
            <w:pPr>
              <w:rPr>
                <w:rFonts w:ascii="Arial"/>
                <w:sz w:val="21"/>
              </w:rPr>
            </w:pPr>
          </w:p>
        </w:tc>
      </w:tr>
      <w:tr w14:paraId="167FC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8" w:type="dxa"/>
            <w:tcBorders>
              <w:left w:val="single" w:color="000000" w:sz="12" w:space="0"/>
            </w:tcBorders>
            <w:vAlign w:val="top"/>
          </w:tcPr>
          <w:p w14:paraId="413C916F">
            <w:pPr>
              <w:pStyle w:val="6"/>
              <w:spacing w:before="225" w:line="232" w:lineRule="auto"/>
              <w:ind w:left="358"/>
            </w:pPr>
            <w:r>
              <w:t>7</w:t>
            </w:r>
          </w:p>
        </w:tc>
        <w:tc>
          <w:tcPr>
            <w:tcW w:w="1272" w:type="dxa"/>
            <w:vAlign w:val="top"/>
          </w:tcPr>
          <w:p w14:paraId="44EDB081">
            <w:pPr>
              <w:spacing w:before="191" w:line="220" w:lineRule="auto"/>
              <w:ind w:left="313"/>
              <w:rPr>
                <w:rFonts w:ascii="宋体" w:hAnsi="宋体" w:eastAsia="宋体" w:cs="宋体"/>
                <w:sz w:val="21"/>
                <w:szCs w:val="21"/>
              </w:rPr>
            </w:pPr>
            <w:r>
              <w:rPr>
                <w:rFonts w:ascii="宋体" w:hAnsi="宋体" w:eastAsia="宋体" w:cs="宋体"/>
                <w:spacing w:val="-2"/>
                <w:sz w:val="21"/>
                <w:szCs w:val="21"/>
              </w:rPr>
              <w:t>棘腹蛙</w:t>
            </w:r>
          </w:p>
        </w:tc>
        <w:tc>
          <w:tcPr>
            <w:tcW w:w="1702" w:type="dxa"/>
            <w:vAlign w:val="top"/>
          </w:tcPr>
          <w:p w14:paraId="1D4D2638">
            <w:pPr>
              <w:pStyle w:val="6"/>
              <w:spacing w:before="105" w:line="190" w:lineRule="auto"/>
              <w:ind w:left="441"/>
            </w:pPr>
            <w:r>
              <w:rPr>
                <w:i/>
                <w:iCs/>
                <w:spacing w:val="-2"/>
              </w:rPr>
              <w:t>Quasipaa</w:t>
            </w:r>
          </w:p>
          <w:p w14:paraId="48E37D53">
            <w:pPr>
              <w:pStyle w:val="6"/>
              <w:spacing w:before="49" w:line="190" w:lineRule="auto"/>
              <w:ind w:left="363"/>
            </w:pPr>
            <w:r>
              <w:rPr>
                <w:i/>
                <w:iCs/>
                <w:spacing w:val="-1"/>
              </w:rPr>
              <w:t>boulengeri</w:t>
            </w:r>
          </w:p>
        </w:tc>
        <w:tc>
          <w:tcPr>
            <w:tcW w:w="699" w:type="dxa"/>
            <w:vAlign w:val="top"/>
          </w:tcPr>
          <w:p w14:paraId="3E7AC7B8">
            <w:pPr>
              <w:rPr>
                <w:rFonts w:ascii="Arial"/>
                <w:sz w:val="21"/>
              </w:rPr>
            </w:pPr>
          </w:p>
        </w:tc>
        <w:tc>
          <w:tcPr>
            <w:tcW w:w="1412" w:type="dxa"/>
            <w:vAlign w:val="top"/>
          </w:tcPr>
          <w:p w14:paraId="7F5A04D8">
            <w:pPr>
              <w:rPr>
                <w:rFonts w:ascii="Arial"/>
                <w:sz w:val="21"/>
              </w:rPr>
            </w:pPr>
          </w:p>
        </w:tc>
        <w:tc>
          <w:tcPr>
            <w:tcW w:w="1697" w:type="dxa"/>
            <w:vAlign w:val="top"/>
          </w:tcPr>
          <w:p w14:paraId="4A9D4BC2">
            <w:pPr>
              <w:rPr>
                <w:rFonts w:ascii="Arial"/>
                <w:sz w:val="21"/>
              </w:rPr>
            </w:pPr>
          </w:p>
        </w:tc>
        <w:tc>
          <w:tcPr>
            <w:tcW w:w="843" w:type="dxa"/>
            <w:tcBorders>
              <w:right w:val="single" w:color="000000" w:sz="12" w:space="0"/>
            </w:tcBorders>
            <w:vAlign w:val="top"/>
          </w:tcPr>
          <w:p w14:paraId="45AA0971">
            <w:pPr>
              <w:pStyle w:val="6"/>
              <w:spacing w:before="232" w:line="183" w:lineRule="auto"/>
              <w:ind w:left="272"/>
            </w:pPr>
            <w:r>
              <w:rPr>
                <w:spacing w:val="-1"/>
              </w:rPr>
              <w:t>VU</w:t>
            </w:r>
          </w:p>
        </w:tc>
      </w:tr>
      <w:tr w14:paraId="66124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48" w:type="dxa"/>
            <w:tcBorders>
              <w:left w:val="single" w:color="000000" w:sz="12" w:space="0"/>
            </w:tcBorders>
            <w:vAlign w:val="top"/>
          </w:tcPr>
          <w:p w14:paraId="57962D79">
            <w:pPr>
              <w:pStyle w:val="6"/>
              <w:spacing w:before="227" w:line="232" w:lineRule="auto"/>
              <w:ind w:left="363"/>
            </w:pPr>
            <w:r>
              <w:t>8</w:t>
            </w:r>
          </w:p>
        </w:tc>
        <w:tc>
          <w:tcPr>
            <w:tcW w:w="1272" w:type="dxa"/>
            <w:vAlign w:val="top"/>
          </w:tcPr>
          <w:p w14:paraId="5B99BE36">
            <w:pPr>
              <w:spacing w:before="192" w:line="220" w:lineRule="auto"/>
              <w:ind w:left="313"/>
              <w:rPr>
                <w:rFonts w:ascii="宋体" w:hAnsi="宋体" w:eastAsia="宋体" w:cs="宋体"/>
                <w:sz w:val="21"/>
                <w:szCs w:val="21"/>
              </w:rPr>
            </w:pPr>
            <w:r>
              <w:rPr>
                <w:rFonts w:ascii="宋体" w:hAnsi="宋体" w:eastAsia="宋体" w:cs="宋体"/>
                <w:spacing w:val="-2"/>
                <w:sz w:val="21"/>
                <w:szCs w:val="21"/>
              </w:rPr>
              <w:t>棘胸蛙</w:t>
            </w:r>
          </w:p>
        </w:tc>
        <w:tc>
          <w:tcPr>
            <w:tcW w:w="1702" w:type="dxa"/>
            <w:vAlign w:val="top"/>
          </w:tcPr>
          <w:p w14:paraId="44A203F9">
            <w:pPr>
              <w:pStyle w:val="6"/>
              <w:spacing w:before="106" w:line="190" w:lineRule="auto"/>
              <w:ind w:left="441"/>
            </w:pPr>
            <w:r>
              <w:rPr>
                <w:i/>
                <w:iCs/>
                <w:spacing w:val="-2"/>
              </w:rPr>
              <w:t>Quasipaa</w:t>
            </w:r>
          </w:p>
          <w:p w14:paraId="7A153DA6">
            <w:pPr>
              <w:pStyle w:val="6"/>
              <w:spacing w:before="51" w:line="190" w:lineRule="auto"/>
              <w:ind w:left="517"/>
            </w:pPr>
            <w:r>
              <w:rPr>
                <w:i/>
                <w:iCs/>
              </w:rPr>
              <w:t>spinosa</w:t>
            </w:r>
          </w:p>
        </w:tc>
        <w:tc>
          <w:tcPr>
            <w:tcW w:w="699" w:type="dxa"/>
            <w:vAlign w:val="top"/>
          </w:tcPr>
          <w:p w14:paraId="6B3DAFE3">
            <w:pPr>
              <w:rPr>
                <w:rFonts w:ascii="Arial"/>
                <w:sz w:val="21"/>
              </w:rPr>
            </w:pPr>
          </w:p>
        </w:tc>
        <w:tc>
          <w:tcPr>
            <w:tcW w:w="1412" w:type="dxa"/>
            <w:vAlign w:val="top"/>
          </w:tcPr>
          <w:p w14:paraId="0225165D">
            <w:pPr>
              <w:rPr>
                <w:rFonts w:ascii="Arial"/>
                <w:sz w:val="21"/>
              </w:rPr>
            </w:pPr>
          </w:p>
        </w:tc>
        <w:tc>
          <w:tcPr>
            <w:tcW w:w="1697" w:type="dxa"/>
            <w:vAlign w:val="top"/>
          </w:tcPr>
          <w:p w14:paraId="54D99294">
            <w:pPr>
              <w:rPr>
                <w:rFonts w:ascii="Arial"/>
                <w:sz w:val="21"/>
              </w:rPr>
            </w:pPr>
          </w:p>
        </w:tc>
        <w:tc>
          <w:tcPr>
            <w:tcW w:w="843" w:type="dxa"/>
            <w:tcBorders>
              <w:right w:val="single" w:color="000000" w:sz="12" w:space="0"/>
            </w:tcBorders>
            <w:vAlign w:val="top"/>
          </w:tcPr>
          <w:p w14:paraId="26AF1B83">
            <w:pPr>
              <w:pStyle w:val="6"/>
              <w:spacing w:before="233" w:line="183" w:lineRule="auto"/>
              <w:ind w:left="272"/>
            </w:pPr>
            <w:r>
              <w:rPr>
                <w:spacing w:val="-1"/>
              </w:rPr>
              <w:t>VU</w:t>
            </w:r>
          </w:p>
        </w:tc>
      </w:tr>
      <w:tr w14:paraId="785E8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8" w:type="dxa"/>
            <w:tcBorders>
              <w:left w:val="single" w:color="000000" w:sz="12" w:space="0"/>
            </w:tcBorders>
            <w:vAlign w:val="top"/>
          </w:tcPr>
          <w:p w14:paraId="7296BD66">
            <w:pPr>
              <w:pStyle w:val="6"/>
              <w:spacing w:before="135" w:line="186" w:lineRule="auto"/>
              <w:ind w:left="290"/>
            </w:pPr>
            <w:r>
              <w:rPr>
                <w:b/>
                <w:bCs/>
                <w:spacing w:val="-2"/>
              </w:rPr>
              <w:t>F6</w:t>
            </w:r>
          </w:p>
        </w:tc>
        <w:tc>
          <w:tcPr>
            <w:tcW w:w="1272" w:type="dxa"/>
            <w:vAlign w:val="top"/>
          </w:tcPr>
          <w:p w14:paraId="422E08E8">
            <w:pPr>
              <w:spacing w:before="96" w:line="219" w:lineRule="auto"/>
              <w:ind w:left="419"/>
              <w:rPr>
                <w:rFonts w:ascii="宋体" w:hAnsi="宋体" w:eastAsia="宋体" w:cs="宋体"/>
                <w:sz w:val="21"/>
                <w:szCs w:val="21"/>
              </w:rPr>
            </w:pPr>
            <w:r>
              <w:rPr>
                <w:rFonts w:ascii="宋体" w:hAnsi="宋体" w:eastAsia="宋体" w:cs="宋体"/>
                <w:b/>
                <w:bCs/>
                <w:spacing w:val="-5"/>
                <w:sz w:val="21"/>
                <w:szCs w:val="21"/>
              </w:rPr>
              <w:t>蛙科</w:t>
            </w:r>
          </w:p>
        </w:tc>
        <w:tc>
          <w:tcPr>
            <w:tcW w:w="1702" w:type="dxa"/>
            <w:vAlign w:val="top"/>
          </w:tcPr>
          <w:p w14:paraId="617C3913">
            <w:pPr>
              <w:pStyle w:val="6"/>
              <w:spacing w:before="134" w:line="187" w:lineRule="auto"/>
              <w:ind w:left="470"/>
            </w:pPr>
            <w:r>
              <w:rPr>
                <w:b/>
                <w:bCs/>
                <w:spacing w:val="-1"/>
              </w:rPr>
              <w:t>Ranidae</w:t>
            </w:r>
          </w:p>
        </w:tc>
        <w:tc>
          <w:tcPr>
            <w:tcW w:w="699" w:type="dxa"/>
            <w:vAlign w:val="top"/>
          </w:tcPr>
          <w:p w14:paraId="53E82433">
            <w:pPr>
              <w:pStyle w:val="6"/>
              <w:spacing w:before="135" w:line="186" w:lineRule="auto"/>
              <w:ind w:left="231"/>
            </w:pPr>
            <w:r>
              <w:rPr>
                <w:b/>
                <w:bCs/>
                <w:spacing w:val="-2"/>
              </w:rPr>
              <w:t>F4</w:t>
            </w:r>
          </w:p>
        </w:tc>
        <w:tc>
          <w:tcPr>
            <w:tcW w:w="1412" w:type="dxa"/>
            <w:vAlign w:val="top"/>
          </w:tcPr>
          <w:p w14:paraId="4A9EE5E2">
            <w:pPr>
              <w:spacing w:before="96" w:line="219" w:lineRule="auto"/>
              <w:ind w:left="502"/>
              <w:rPr>
                <w:rFonts w:ascii="宋体" w:hAnsi="宋体" w:eastAsia="宋体" w:cs="宋体"/>
                <w:sz w:val="21"/>
                <w:szCs w:val="21"/>
              </w:rPr>
            </w:pPr>
            <w:r>
              <w:rPr>
                <w:rFonts w:ascii="宋体" w:hAnsi="宋体" w:eastAsia="宋体" w:cs="宋体"/>
                <w:b/>
                <w:bCs/>
                <w:spacing w:val="-5"/>
                <w:sz w:val="21"/>
                <w:szCs w:val="21"/>
              </w:rPr>
              <w:t>蛙科</w:t>
            </w:r>
          </w:p>
        </w:tc>
        <w:tc>
          <w:tcPr>
            <w:tcW w:w="1697" w:type="dxa"/>
            <w:vAlign w:val="top"/>
          </w:tcPr>
          <w:p w14:paraId="35D526A7">
            <w:pPr>
              <w:pStyle w:val="6"/>
              <w:spacing w:before="134" w:line="187" w:lineRule="auto"/>
              <w:ind w:left="482"/>
            </w:pPr>
            <w:r>
              <w:rPr>
                <w:b/>
                <w:bCs/>
                <w:spacing w:val="-1"/>
              </w:rPr>
              <w:t>Ranidae</w:t>
            </w:r>
          </w:p>
        </w:tc>
        <w:tc>
          <w:tcPr>
            <w:tcW w:w="843" w:type="dxa"/>
            <w:tcBorders>
              <w:right w:val="single" w:color="000000" w:sz="12" w:space="0"/>
            </w:tcBorders>
            <w:vAlign w:val="top"/>
          </w:tcPr>
          <w:p w14:paraId="2B0DD30A">
            <w:pPr>
              <w:rPr>
                <w:rFonts w:ascii="Arial"/>
                <w:sz w:val="21"/>
              </w:rPr>
            </w:pPr>
          </w:p>
        </w:tc>
      </w:tr>
      <w:tr w14:paraId="5B695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48" w:type="dxa"/>
            <w:tcBorders>
              <w:left w:val="single" w:color="000000" w:sz="12" w:space="0"/>
            </w:tcBorders>
            <w:vAlign w:val="top"/>
          </w:tcPr>
          <w:p w14:paraId="03E898A5">
            <w:pPr>
              <w:pStyle w:val="6"/>
              <w:spacing w:before="230" w:line="232" w:lineRule="auto"/>
              <w:ind w:left="358"/>
            </w:pPr>
            <w:r>
              <w:t>9</w:t>
            </w:r>
          </w:p>
        </w:tc>
        <w:tc>
          <w:tcPr>
            <w:tcW w:w="1272" w:type="dxa"/>
            <w:vAlign w:val="top"/>
          </w:tcPr>
          <w:p w14:paraId="26E90FEA">
            <w:pPr>
              <w:spacing w:before="196" w:line="220" w:lineRule="auto"/>
              <w:ind w:left="418"/>
              <w:rPr>
                <w:rFonts w:ascii="宋体" w:hAnsi="宋体" w:eastAsia="宋体" w:cs="宋体"/>
                <w:sz w:val="21"/>
                <w:szCs w:val="21"/>
              </w:rPr>
            </w:pPr>
            <w:r>
              <w:rPr>
                <w:rFonts w:ascii="宋体" w:hAnsi="宋体" w:eastAsia="宋体" w:cs="宋体"/>
                <w:spacing w:val="-3"/>
                <w:sz w:val="21"/>
                <w:szCs w:val="21"/>
              </w:rPr>
              <w:t>滇蛙</w:t>
            </w:r>
          </w:p>
        </w:tc>
        <w:tc>
          <w:tcPr>
            <w:tcW w:w="1702" w:type="dxa"/>
            <w:vAlign w:val="top"/>
          </w:tcPr>
          <w:p w14:paraId="14C6419C">
            <w:pPr>
              <w:pStyle w:val="6"/>
              <w:spacing w:before="110" w:line="190" w:lineRule="auto"/>
              <w:ind w:left="454"/>
            </w:pPr>
            <w:r>
              <w:rPr>
                <w:i/>
                <w:iCs/>
              </w:rPr>
              <w:t>Nidirana</w:t>
            </w:r>
          </w:p>
          <w:p w14:paraId="2B75E4E7">
            <w:pPr>
              <w:pStyle w:val="6"/>
              <w:spacing w:before="50" w:line="190" w:lineRule="auto"/>
              <w:ind w:left="365"/>
            </w:pPr>
            <w:r>
              <w:rPr>
                <w:i/>
                <w:iCs/>
                <w:spacing w:val="2"/>
              </w:rPr>
              <w:t>pleuraden</w:t>
            </w:r>
          </w:p>
        </w:tc>
        <w:tc>
          <w:tcPr>
            <w:tcW w:w="699" w:type="dxa"/>
            <w:vAlign w:val="top"/>
          </w:tcPr>
          <w:p w14:paraId="3275C4E6">
            <w:pPr>
              <w:pStyle w:val="6"/>
              <w:spacing w:before="230" w:line="235" w:lineRule="auto"/>
              <w:ind w:left="294"/>
            </w:pPr>
            <w:r>
              <w:t>4</w:t>
            </w:r>
          </w:p>
        </w:tc>
        <w:tc>
          <w:tcPr>
            <w:tcW w:w="1412" w:type="dxa"/>
            <w:vAlign w:val="top"/>
          </w:tcPr>
          <w:p w14:paraId="5D328503">
            <w:pPr>
              <w:spacing w:before="196" w:line="220" w:lineRule="auto"/>
              <w:ind w:left="501"/>
              <w:rPr>
                <w:rFonts w:ascii="宋体" w:hAnsi="宋体" w:eastAsia="宋体" w:cs="宋体"/>
                <w:sz w:val="21"/>
                <w:szCs w:val="21"/>
              </w:rPr>
            </w:pPr>
            <w:r>
              <w:rPr>
                <w:rFonts w:ascii="宋体" w:hAnsi="宋体" w:eastAsia="宋体" w:cs="宋体"/>
                <w:spacing w:val="-3"/>
                <w:sz w:val="21"/>
                <w:szCs w:val="21"/>
              </w:rPr>
              <w:t>滇蛙</w:t>
            </w:r>
          </w:p>
        </w:tc>
        <w:tc>
          <w:tcPr>
            <w:tcW w:w="1697" w:type="dxa"/>
            <w:vAlign w:val="top"/>
          </w:tcPr>
          <w:p w14:paraId="29E417F8">
            <w:pPr>
              <w:pStyle w:val="6"/>
              <w:spacing w:before="110" w:line="190" w:lineRule="auto"/>
              <w:ind w:left="466"/>
            </w:pPr>
            <w:r>
              <w:rPr>
                <w:i/>
                <w:iCs/>
              </w:rPr>
              <w:t>Nidirana</w:t>
            </w:r>
          </w:p>
          <w:p w14:paraId="5DFB7F22">
            <w:pPr>
              <w:pStyle w:val="6"/>
              <w:spacing w:before="50" w:line="190" w:lineRule="auto"/>
              <w:ind w:left="377"/>
            </w:pPr>
            <w:r>
              <w:rPr>
                <w:i/>
                <w:iCs/>
                <w:spacing w:val="2"/>
              </w:rPr>
              <w:t>pleuraden</w:t>
            </w:r>
          </w:p>
        </w:tc>
        <w:tc>
          <w:tcPr>
            <w:tcW w:w="843" w:type="dxa"/>
            <w:tcBorders>
              <w:right w:val="single" w:color="000000" w:sz="12" w:space="0"/>
            </w:tcBorders>
            <w:vAlign w:val="top"/>
          </w:tcPr>
          <w:p w14:paraId="323D8F29">
            <w:pPr>
              <w:spacing w:before="196" w:line="220" w:lineRule="auto"/>
              <w:ind w:left="220"/>
              <w:rPr>
                <w:rFonts w:ascii="宋体" w:hAnsi="宋体" w:eastAsia="宋体" w:cs="宋体"/>
                <w:sz w:val="21"/>
                <w:szCs w:val="21"/>
              </w:rPr>
            </w:pPr>
            <w:r>
              <w:rPr>
                <w:rFonts w:ascii="宋体" w:hAnsi="宋体" w:eastAsia="宋体" w:cs="宋体"/>
                <w:spacing w:val="-3"/>
                <w:sz w:val="21"/>
                <w:szCs w:val="21"/>
              </w:rPr>
              <w:t>特有</w:t>
            </w:r>
          </w:p>
        </w:tc>
      </w:tr>
      <w:tr w14:paraId="684AC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8" w:type="dxa"/>
            <w:tcBorders>
              <w:left w:val="single" w:color="000000" w:sz="12" w:space="0"/>
            </w:tcBorders>
            <w:vAlign w:val="top"/>
          </w:tcPr>
          <w:p w14:paraId="25CB7C8E">
            <w:pPr>
              <w:pStyle w:val="6"/>
              <w:spacing w:before="234" w:line="232" w:lineRule="auto"/>
              <w:ind w:left="322"/>
            </w:pPr>
            <w:r>
              <w:rPr>
                <w:spacing w:val="-6"/>
              </w:rPr>
              <w:t>10</w:t>
            </w:r>
          </w:p>
        </w:tc>
        <w:tc>
          <w:tcPr>
            <w:tcW w:w="1272" w:type="dxa"/>
            <w:vAlign w:val="top"/>
          </w:tcPr>
          <w:p w14:paraId="07397EE1">
            <w:pPr>
              <w:spacing w:before="199" w:line="220" w:lineRule="auto"/>
              <w:ind w:left="105"/>
              <w:rPr>
                <w:rFonts w:ascii="宋体" w:hAnsi="宋体" w:eastAsia="宋体" w:cs="宋体"/>
                <w:sz w:val="21"/>
                <w:szCs w:val="21"/>
              </w:rPr>
            </w:pPr>
            <w:r>
              <w:rPr>
                <w:rFonts w:ascii="宋体" w:hAnsi="宋体" w:eastAsia="宋体" w:cs="宋体"/>
                <w:spacing w:val="-2"/>
                <w:sz w:val="21"/>
                <w:szCs w:val="21"/>
              </w:rPr>
              <w:t>无指盘臭蛙</w:t>
            </w:r>
          </w:p>
        </w:tc>
        <w:tc>
          <w:tcPr>
            <w:tcW w:w="1702" w:type="dxa"/>
            <w:vAlign w:val="top"/>
          </w:tcPr>
          <w:p w14:paraId="1DAF3941">
            <w:pPr>
              <w:pStyle w:val="6"/>
              <w:spacing w:before="112" w:line="190" w:lineRule="auto"/>
              <w:ind w:left="432"/>
            </w:pPr>
            <w:r>
              <w:rPr>
                <w:i/>
                <w:iCs/>
                <w:spacing w:val="-2"/>
              </w:rPr>
              <w:t>Odorrana</w:t>
            </w:r>
          </w:p>
          <w:p w14:paraId="7B99659D">
            <w:pPr>
              <w:pStyle w:val="6"/>
              <w:spacing w:before="51" w:line="190" w:lineRule="auto"/>
              <w:ind w:left="478"/>
            </w:pPr>
            <w:r>
              <w:rPr>
                <w:i/>
                <w:iCs/>
              </w:rPr>
              <w:t>grahami</w:t>
            </w:r>
          </w:p>
        </w:tc>
        <w:tc>
          <w:tcPr>
            <w:tcW w:w="699" w:type="dxa"/>
            <w:vAlign w:val="top"/>
          </w:tcPr>
          <w:p w14:paraId="1A67F21A">
            <w:pPr>
              <w:pStyle w:val="6"/>
              <w:spacing w:before="234" w:line="232" w:lineRule="auto"/>
              <w:ind w:left="301"/>
            </w:pPr>
            <w:r>
              <w:t>5</w:t>
            </w:r>
          </w:p>
        </w:tc>
        <w:tc>
          <w:tcPr>
            <w:tcW w:w="1412" w:type="dxa"/>
            <w:vAlign w:val="top"/>
          </w:tcPr>
          <w:p w14:paraId="37356E71">
            <w:pPr>
              <w:spacing w:before="199" w:line="220" w:lineRule="auto"/>
              <w:ind w:left="188"/>
              <w:rPr>
                <w:rFonts w:ascii="宋体" w:hAnsi="宋体" w:eastAsia="宋体" w:cs="宋体"/>
                <w:sz w:val="21"/>
                <w:szCs w:val="21"/>
              </w:rPr>
            </w:pPr>
            <w:r>
              <w:rPr>
                <w:rFonts w:ascii="宋体" w:hAnsi="宋体" w:eastAsia="宋体" w:cs="宋体"/>
                <w:spacing w:val="-2"/>
                <w:sz w:val="21"/>
                <w:szCs w:val="21"/>
              </w:rPr>
              <w:t>无指盘臭蛙</w:t>
            </w:r>
          </w:p>
        </w:tc>
        <w:tc>
          <w:tcPr>
            <w:tcW w:w="1697" w:type="dxa"/>
            <w:vAlign w:val="top"/>
          </w:tcPr>
          <w:p w14:paraId="07CFF97A">
            <w:pPr>
              <w:pStyle w:val="6"/>
              <w:spacing w:before="112" w:line="190" w:lineRule="auto"/>
              <w:ind w:left="444"/>
            </w:pPr>
            <w:r>
              <w:rPr>
                <w:i/>
                <w:iCs/>
                <w:spacing w:val="-2"/>
              </w:rPr>
              <w:t>Odorrana</w:t>
            </w:r>
          </w:p>
          <w:p w14:paraId="6843F5EA">
            <w:pPr>
              <w:pStyle w:val="6"/>
              <w:spacing w:before="51" w:line="190" w:lineRule="auto"/>
              <w:ind w:left="491"/>
            </w:pPr>
            <w:r>
              <w:rPr>
                <w:i/>
                <w:iCs/>
              </w:rPr>
              <w:t>grahami</w:t>
            </w:r>
          </w:p>
        </w:tc>
        <w:tc>
          <w:tcPr>
            <w:tcW w:w="843" w:type="dxa"/>
            <w:tcBorders>
              <w:right w:val="single" w:color="000000" w:sz="12" w:space="0"/>
            </w:tcBorders>
            <w:vAlign w:val="top"/>
          </w:tcPr>
          <w:p w14:paraId="09C15C6E">
            <w:pPr>
              <w:rPr>
                <w:rFonts w:ascii="Arial"/>
                <w:sz w:val="21"/>
              </w:rPr>
            </w:pPr>
          </w:p>
        </w:tc>
      </w:tr>
      <w:tr w14:paraId="66BD5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8" w:type="dxa"/>
            <w:tcBorders>
              <w:left w:val="single" w:color="000000" w:sz="12" w:space="0"/>
            </w:tcBorders>
            <w:vAlign w:val="top"/>
          </w:tcPr>
          <w:p w14:paraId="26276618">
            <w:pPr>
              <w:pStyle w:val="6"/>
              <w:spacing w:before="235" w:line="235" w:lineRule="auto"/>
              <w:ind w:left="322"/>
            </w:pPr>
            <w:r>
              <w:rPr>
                <w:spacing w:val="-6"/>
              </w:rPr>
              <w:t>11</w:t>
            </w:r>
          </w:p>
        </w:tc>
        <w:tc>
          <w:tcPr>
            <w:tcW w:w="1272" w:type="dxa"/>
            <w:vAlign w:val="top"/>
          </w:tcPr>
          <w:p w14:paraId="2D8F2AC9">
            <w:pPr>
              <w:spacing w:before="201" w:line="220" w:lineRule="auto"/>
              <w:ind w:left="109"/>
              <w:rPr>
                <w:rFonts w:ascii="宋体" w:hAnsi="宋体" w:eastAsia="宋体" w:cs="宋体"/>
                <w:sz w:val="21"/>
                <w:szCs w:val="21"/>
              </w:rPr>
            </w:pPr>
            <w:r>
              <w:rPr>
                <w:rFonts w:ascii="宋体" w:hAnsi="宋体" w:eastAsia="宋体" w:cs="宋体"/>
                <w:spacing w:val="-3"/>
                <w:sz w:val="21"/>
                <w:szCs w:val="21"/>
              </w:rPr>
              <w:t>黑斑侧褶蛙</w:t>
            </w:r>
          </w:p>
        </w:tc>
        <w:tc>
          <w:tcPr>
            <w:tcW w:w="1702" w:type="dxa"/>
            <w:vAlign w:val="top"/>
          </w:tcPr>
          <w:p w14:paraId="4F30800D">
            <w:pPr>
              <w:pStyle w:val="6"/>
              <w:spacing w:before="114" w:line="190" w:lineRule="auto"/>
              <w:ind w:left="361"/>
            </w:pPr>
            <w:r>
              <w:rPr>
                <w:i/>
                <w:iCs/>
              </w:rPr>
              <w:t>Pelophylax</w:t>
            </w:r>
          </w:p>
          <w:p w14:paraId="662410A7">
            <w:pPr>
              <w:pStyle w:val="6"/>
              <w:spacing w:before="50" w:line="190" w:lineRule="auto"/>
              <w:ind w:left="184"/>
            </w:pPr>
            <w:r>
              <w:rPr>
                <w:i/>
                <w:iCs/>
                <w:spacing w:val="-1"/>
              </w:rPr>
              <w:t>nigromaculatus</w:t>
            </w:r>
          </w:p>
        </w:tc>
        <w:tc>
          <w:tcPr>
            <w:tcW w:w="699" w:type="dxa"/>
            <w:vAlign w:val="top"/>
          </w:tcPr>
          <w:p w14:paraId="5F63A3EC">
            <w:pPr>
              <w:rPr>
                <w:rFonts w:ascii="Arial"/>
                <w:sz w:val="21"/>
              </w:rPr>
            </w:pPr>
          </w:p>
        </w:tc>
        <w:tc>
          <w:tcPr>
            <w:tcW w:w="1412" w:type="dxa"/>
            <w:vAlign w:val="top"/>
          </w:tcPr>
          <w:p w14:paraId="56098D46">
            <w:pPr>
              <w:rPr>
                <w:rFonts w:ascii="Arial"/>
                <w:sz w:val="21"/>
              </w:rPr>
            </w:pPr>
          </w:p>
        </w:tc>
        <w:tc>
          <w:tcPr>
            <w:tcW w:w="1697" w:type="dxa"/>
            <w:vAlign w:val="top"/>
          </w:tcPr>
          <w:p w14:paraId="587D3F34">
            <w:pPr>
              <w:rPr>
                <w:rFonts w:ascii="Arial"/>
                <w:sz w:val="21"/>
              </w:rPr>
            </w:pPr>
          </w:p>
        </w:tc>
        <w:tc>
          <w:tcPr>
            <w:tcW w:w="843" w:type="dxa"/>
            <w:tcBorders>
              <w:right w:val="single" w:color="000000" w:sz="12" w:space="0"/>
            </w:tcBorders>
            <w:vAlign w:val="top"/>
          </w:tcPr>
          <w:p w14:paraId="005B3A64">
            <w:pPr>
              <w:rPr>
                <w:rFonts w:ascii="Arial"/>
                <w:sz w:val="21"/>
              </w:rPr>
            </w:pPr>
          </w:p>
        </w:tc>
      </w:tr>
      <w:tr w14:paraId="07C9F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848" w:type="dxa"/>
            <w:tcBorders>
              <w:left w:val="single" w:color="000000" w:sz="12" w:space="0"/>
              <w:bottom w:val="single" w:color="000000" w:sz="12" w:space="0"/>
            </w:tcBorders>
            <w:vAlign w:val="top"/>
          </w:tcPr>
          <w:p w14:paraId="0F640DE9">
            <w:pPr>
              <w:rPr>
                <w:rFonts w:ascii="Arial"/>
                <w:sz w:val="21"/>
              </w:rPr>
            </w:pPr>
          </w:p>
        </w:tc>
        <w:tc>
          <w:tcPr>
            <w:tcW w:w="1272" w:type="dxa"/>
            <w:tcBorders>
              <w:bottom w:val="single" w:color="000000" w:sz="12" w:space="0"/>
            </w:tcBorders>
            <w:vAlign w:val="top"/>
          </w:tcPr>
          <w:p w14:paraId="545A8260">
            <w:pPr>
              <w:rPr>
                <w:rFonts w:ascii="Arial"/>
                <w:sz w:val="21"/>
              </w:rPr>
            </w:pPr>
          </w:p>
        </w:tc>
        <w:tc>
          <w:tcPr>
            <w:tcW w:w="1702" w:type="dxa"/>
            <w:tcBorders>
              <w:bottom w:val="single" w:color="000000" w:sz="12" w:space="0"/>
            </w:tcBorders>
            <w:vAlign w:val="top"/>
          </w:tcPr>
          <w:p w14:paraId="2F2F4E39">
            <w:pPr>
              <w:rPr>
                <w:rFonts w:ascii="Arial"/>
                <w:sz w:val="21"/>
              </w:rPr>
            </w:pPr>
          </w:p>
        </w:tc>
        <w:tc>
          <w:tcPr>
            <w:tcW w:w="699" w:type="dxa"/>
            <w:tcBorders>
              <w:bottom w:val="single" w:color="000000" w:sz="12" w:space="0"/>
            </w:tcBorders>
            <w:vAlign w:val="top"/>
          </w:tcPr>
          <w:p w14:paraId="3032FCE5">
            <w:pPr>
              <w:pStyle w:val="6"/>
              <w:spacing w:before="236" w:line="232" w:lineRule="auto"/>
              <w:ind w:left="300"/>
            </w:pPr>
            <w:r>
              <w:t>6</w:t>
            </w:r>
          </w:p>
        </w:tc>
        <w:tc>
          <w:tcPr>
            <w:tcW w:w="1412" w:type="dxa"/>
            <w:tcBorders>
              <w:bottom w:val="single" w:color="000000" w:sz="12" w:space="0"/>
            </w:tcBorders>
            <w:vAlign w:val="top"/>
          </w:tcPr>
          <w:p w14:paraId="7304AE41">
            <w:pPr>
              <w:spacing w:before="201" w:line="221" w:lineRule="auto"/>
              <w:ind w:left="506"/>
              <w:rPr>
                <w:rFonts w:ascii="宋体" w:hAnsi="宋体" w:eastAsia="宋体" w:cs="宋体"/>
                <w:sz w:val="21"/>
                <w:szCs w:val="21"/>
              </w:rPr>
            </w:pPr>
            <w:r>
              <w:rPr>
                <w:rFonts w:ascii="宋体" w:hAnsi="宋体" w:eastAsia="宋体" w:cs="宋体"/>
                <w:spacing w:val="-4"/>
                <w:sz w:val="21"/>
                <w:szCs w:val="21"/>
              </w:rPr>
              <w:t>牛蛙</w:t>
            </w:r>
          </w:p>
        </w:tc>
        <w:tc>
          <w:tcPr>
            <w:tcW w:w="1697" w:type="dxa"/>
            <w:tcBorders>
              <w:bottom w:val="single" w:color="000000" w:sz="12" w:space="0"/>
            </w:tcBorders>
            <w:vAlign w:val="top"/>
          </w:tcPr>
          <w:p w14:paraId="172F60AB">
            <w:pPr>
              <w:pStyle w:val="6"/>
              <w:spacing w:before="122" w:line="183" w:lineRule="auto"/>
              <w:ind w:left="625"/>
            </w:pPr>
            <w:r>
              <w:rPr>
                <w:i/>
                <w:iCs/>
                <w:spacing w:val="1"/>
              </w:rPr>
              <w:t>Rana</w:t>
            </w:r>
          </w:p>
          <w:p w14:paraId="7F2E03C4">
            <w:pPr>
              <w:pStyle w:val="6"/>
              <w:spacing w:before="50" w:line="220" w:lineRule="auto"/>
              <w:ind w:left="355"/>
            </w:pPr>
            <w:r>
              <w:rPr>
                <w:i/>
                <w:iCs/>
                <w:spacing w:val="-1"/>
              </w:rPr>
              <w:t>catesbeiana</w:t>
            </w:r>
          </w:p>
        </w:tc>
        <w:tc>
          <w:tcPr>
            <w:tcW w:w="843" w:type="dxa"/>
            <w:tcBorders>
              <w:bottom w:val="single" w:color="000000" w:sz="12" w:space="0"/>
              <w:right w:val="single" w:color="000000" w:sz="12" w:space="0"/>
            </w:tcBorders>
            <w:vAlign w:val="top"/>
          </w:tcPr>
          <w:p w14:paraId="286CD09D">
            <w:pPr>
              <w:rPr>
                <w:rFonts w:ascii="Arial"/>
                <w:sz w:val="21"/>
              </w:rPr>
            </w:pPr>
          </w:p>
        </w:tc>
      </w:tr>
    </w:tbl>
    <w:p w14:paraId="65562614">
      <w:pPr>
        <w:spacing w:line="251" w:lineRule="auto"/>
        <w:rPr>
          <w:rFonts w:ascii="Arial"/>
          <w:sz w:val="21"/>
        </w:rPr>
      </w:pPr>
    </w:p>
    <w:p w14:paraId="041D5DFF">
      <w:pPr>
        <w:spacing w:line="252" w:lineRule="auto"/>
        <w:rPr>
          <w:rFonts w:ascii="Arial"/>
          <w:sz w:val="21"/>
        </w:rPr>
      </w:pPr>
    </w:p>
    <w:p w14:paraId="52FCA10B">
      <w:pPr>
        <w:pStyle w:val="2"/>
        <w:spacing w:before="78" w:line="337" w:lineRule="auto"/>
        <w:ind w:left="38" w:firstLine="481"/>
        <w:jc w:val="both"/>
        <w:rPr>
          <w:sz w:val="24"/>
          <w:szCs w:val="24"/>
        </w:rPr>
      </w:pPr>
      <w:r>
        <w:rPr>
          <w:spacing w:val="-4"/>
          <w:sz w:val="24"/>
          <w:szCs w:val="24"/>
        </w:rPr>
        <w:t>两期监测差异的原因主要为：①监测期间雨量较少</w:t>
      </w:r>
      <w:r>
        <w:rPr>
          <w:spacing w:val="-5"/>
          <w:sz w:val="24"/>
          <w:szCs w:val="24"/>
        </w:rPr>
        <w:t>，如主要在雨天出现的多疣</w:t>
      </w:r>
      <w:r>
        <w:rPr>
          <w:spacing w:val="-6"/>
          <w:sz w:val="24"/>
          <w:szCs w:val="24"/>
        </w:rPr>
        <w:t>狭口蛙、饰纹姬蛙和华西雨蛙等未记录到实体，</w:t>
      </w:r>
      <w:r>
        <w:rPr>
          <w:spacing w:val="-48"/>
          <w:sz w:val="24"/>
          <w:szCs w:val="24"/>
        </w:rPr>
        <w:t xml:space="preserve"> </w:t>
      </w:r>
      <w:r>
        <w:rPr>
          <w:spacing w:val="-6"/>
          <w:sz w:val="24"/>
          <w:szCs w:val="24"/>
        </w:rPr>
        <w:t>存在部分物种没有记录到；②</w:t>
      </w:r>
      <w:r>
        <w:rPr>
          <w:spacing w:val="-7"/>
          <w:sz w:val="24"/>
          <w:szCs w:val="24"/>
        </w:rPr>
        <w:t>环评</w:t>
      </w:r>
      <w:r>
        <w:rPr>
          <w:spacing w:val="-3"/>
          <w:sz w:val="24"/>
          <w:szCs w:val="24"/>
        </w:rPr>
        <w:t>阶段调查时间为</w:t>
      </w:r>
      <w:r>
        <w:rPr>
          <w:spacing w:val="-55"/>
          <w:sz w:val="24"/>
          <w:szCs w:val="24"/>
        </w:rPr>
        <w:t xml:space="preserve"> </w:t>
      </w:r>
      <w:r>
        <w:rPr>
          <w:rFonts w:ascii="Times New Roman" w:hAnsi="Times New Roman" w:eastAsia="Times New Roman" w:cs="Times New Roman"/>
          <w:spacing w:val="-3"/>
          <w:sz w:val="24"/>
          <w:szCs w:val="24"/>
        </w:rPr>
        <w:t xml:space="preserve">2015 </w:t>
      </w:r>
      <w:r>
        <w:rPr>
          <w:spacing w:val="-3"/>
          <w:sz w:val="24"/>
          <w:szCs w:val="24"/>
        </w:rPr>
        <w:t>年</w:t>
      </w:r>
      <w:r>
        <w:rPr>
          <w:spacing w:val="-51"/>
          <w:sz w:val="24"/>
          <w:szCs w:val="24"/>
        </w:rPr>
        <w:t xml:space="preserve"> </w:t>
      </w:r>
      <w:r>
        <w:rPr>
          <w:rFonts w:ascii="Times New Roman" w:hAnsi="Times New Roman" w:eastAsia="Times New Roman" w:cs="Times New Roman"/>
          <w:spacing w:val="-3"/>
          <w:sz w:val="24"/>
          <w:szCs w:val="24"/>
        </w:rPr>
        <w:t>9-10</w:t>
      </w:r>
      <w:r>
        <w:rPr>
          <w:rFonts w:ascii="Times New Roman" w:hAnsi="Times New Roman" w:eastAsia="Times New Roman" w:cs="Times New Roman"/>
          <w:spacing w:val="16"/>
          <w:sz w:val="24"/>
          <w:szCs w:val="24"/>
        </w:rPr>
        <w:t xml:space="preserve"> </w:t>
      </w:r>
      <w:r>
        <w:rPr>
          <w:spacing w:val="-3"/>
          <w:sz w:val="24"/>
          <w:szCs w:val="24"/>
        </w:rPr>
        <w:t>月，部分物种通</w:t>
      </w:r>
      <w:r>
        <w:rPr>
          <w:spacing w:val="-4"/>
          <w:sz w:val="24"/>
          <w:szCs w:val="24"/>
        </w:rPr>
        <w:t>过文献资料得出，可能存在偏差，如</w:t>
      </w:r>
      <w:r>
        <w:rPr>
          <w:spacing w:val="-2"/>
          <w:sz w:val="24"/>
          <w:szCs w:val="24"/>
        </w:rPr>
        <w:t>棘胸蛙，主要栖息于海拔</w:t>
      </w:r>
      <w:r>
        <w:rPr>
          <w:spacing w:val="-30"/>
          <w:sz w:val="24"/>
          <w:szCs w:val="24"/>
        </w:rPr>
        <w:t xml:space="preserve"> </w:t>
      </w:r>
      <w:r>
        <w:rPr>
          <w:rFonts w:ascii="Times New Roman" w:hAnsi="Times New Roman" w:eastAsia="Times New Roman" w:cs="Times New Roman"/>
          <w:spacing w:val="-2"/>
          <w:sz w:val="24"/>
          <w:szCs w:val="24"/>
        </w:rPr>
        <w:t xml:space="preserve">600m-1500m </w:t>
      </w:r>
      <w:r>
        <w:rPr>
          <w:spacing w:val="-2"/>
          <w:sz w:val="24"/>
          <w:szCs w:val="24"/>
        </w:rPr>
        <w:t>林木繁茂的山溪，主要分布于华中、华南，云南主要分布于东南部，在调查区出现的可能性较小。</w:t>
      </w:r>
    </w:p>
    <w:p w14:paraId="2B529158">
      <w:pPr>
        <w:pStyle w:val="2"/>
        <w:spacing w:before="10" w:line="220" w:lineRule="auto"/>
        <w:ind w:left="519"/>
        <w:rPr>
          <w:sz w:val="24"/>
          <w:szCs w:val="24"/>
        </w:rPr>
      </w:pPr>
      <w:r>
        <w:rPr>
          <w:spacing w:val="-4"/>
          <w:sz w:val="24"/>
          <w:szCs w:val="24"/>
        </w:rPr>
        <w:t>环评期记录的特有种有：大蹼铃蟾、华西蟾蜍、无指</w:t>
      </w:r>
      <w:r>
        <w:rPr>
          <w:spacing w:val="-5"/>
          <w:sz w:val="24"/>
          <w:szCs w:val="24"/>
        </w:rPr>
        <w:t>盘臭蛙、滇蛙、棘腹蛙和</w:t>
      </w:r>
    </w:p>
    <w:p w14:paraId="7F8F8B0F">
      <w:pPr>
        <w:spacing w:line="220" w:lineRule="auto"/>
        <w:rPr>
          <w:sz w:val="24"/>
          <w:szCs w:val="24"/>
        </w:rPr>
        <w:sectPr>
          <w:headerReference r:id="rId166" w:type="default"/>
          <w:footerReference r:id="rId167" w:type="default"/>
          <w:pgSz w:w="11907" w:h="16839"/>
          <w:pgMar w:top="1376" w:right="1633" w:bottom="1061" w:left="1671" w:header="999" w:footer="861" w:gutter="0"/>
          <w:cols w:space="720" w:num="1"/>
        </w:sectPr>
      </w:pPr>
    </w:p>
    <w:p w14:paraId="4A257F41">
      <w:pPr>
        <w:spacing w:line="455" w:lineRule="auto"/>
        <w:rPr>
          <w:rFonts w:ascii="Arial"/>
          <w:sz w:val="21"/>
        </w:rPr>
      </w:pPr>
    </w:p>
    <w:p w14:paraId="4D041EDC">
      <w:pPr>
        <w:pStyle w:val="2"/>
        <w:spacing w:before="78" w:line="336" w:lineRule="auto"/>
        <w:ind w:left="3" w:right="183" w:firstLine="46"/>
        <w:jc w:val="both"/>
        <w:rPr>
          <w:sz w:val="24"/>
          <w:szCs w:val="24"/>
        </w:rPr>
      </w:pPr>
      <w:r>
        <w:rPr>
          <w:spacing w:val="-1"/>
          <w:sz w:val="24"/>
          <w:szCs w:val="24"/>
        </w:rPr>
        <w:t xml:space="preserve">多疣狭口蛙等 </w:t>
      </w:r>
      <w:r>
        <w:rPr>
          <w:rFonts w:ascii="Times New Roman" w:hAnsi="Times New Roman" w:eastAsia="Times New Roman" w:cs="Times New Roman"/>
          <w:spacing w:val="-1"/>
          <w:sz w:val="24"/>
          <w:szCs w:val="24"/>
        </w:rPr>
        <w:t xml:space="preserve">6  </w:t>
      </w:r>
      <w:r>
        <w:rPr>
          <w:spacing w:val="-1"/>
          <w:sz w:val="24"/>
          <w:szCs w:val="24"/>
        </w:rPr>
        <w:t>种，其中，华西蟾蜍属于中华蟾蜍的同物异名，现已不属于特有</w:t>
      </w:r>
      <w:r>
        <w:rPr>
          <w:spacing w:val="-5"/>
          <w:sz w:val="24"/>
          <w:szCs w:val="24"/>
        </w:rPr>
        <w:t>种；经查《中国脊椎动物红色名录》的特有</w:t>
      </w:r>
      <w:r>
        <w:rPr>
          <w:spacing w:val="-6"/>
          <w:sz w:val="24"/>
          <w:szCs w:val="24"/>
        </w:rPr>
        <w:t>情况，</w:t>
      </w:r>
      <w:r>
        <w:rPr>
          <w:spacing w:val="-34"/>
          <w:sz w:val="24"/>
          <w:szCs w:val="24"/>
        </w:rPr>
        <w:t xml:space="preserve"> </w:t>
      </w:r>
      <w:r>
        <w:rPr>
          <w:spacing w:val="-6"/>
          <w:sz w:val="24"/>
          <w:szCs w:val="24"/>
        </w:rPr>
        <w:t>无指盘臭蛙（越南北部黄连山有</w:t>
      </w:r>
      <w:r>
        <w:rPr>
          <w:spacing w:val="-3"/>
          <w:sz w:val="24"/>
          <w:szCs w:val="24"/>
        </w:rPr>
        <w:t>分布）和棘腹蛙不属于特有种，环评阶段记录属错误。施工期调查区内记录</w:t>
      </w:r>
      <w:r>
        <w:rPr>
          <w:spacing w:val="-4"/>
          <w:sz w:val="24"/>
          <w:szCs w:val="24"/>
        </w:rPr>
        <w:t>特有种</w:t>
      </w:r>
      <w:r>
        <w:rPr>
          <w:rFonts w:ascii="Times New Roman" w:hAnsi="Times New Roman" w:eastAsia="Times New Roman" w:cs="Times New Roman"/>
          <w:spacing w:val="3"/>
          <w:sz w:val="24"/>
          <w:szCs w:val="24"/>
        </w:rPr>
        <w:t xml:space="preserve">3  </w:t>
      </w:r>
      <w:r>
        <w:rPr>
          <w:spacing w:val="3"/>
          <w:sz w:val="24"/>
          <w:szCs w:val="24"/>
        </w:rPr>
        <w:t xml:space="preserve">种，为大蹼铃蟾 </w:t>
      </w:r>
      <w:r>
        <w:rPr>
          <w:rFonts w:ascii="Times New Roman" w:hAnsi="Times New Roman" w:eastAsia="Times New Roman" w:cs="Times New Roman"/>
          <w:i/>
          <w:iCs/>
          <w:sz w:val="24"/>
          <w:szCs w:val="24"/>
        </w:rPr>
        <w:t>Bombina</w:t>
      </w:r>
      <w:r>
        <w:rPr>
          <w:rFonts w:ascii="Times New Roman" w:hAnsi="Times New Roman" w:eastAsia="Times New Roman" w:cs="Times New Roman"/>
          <w:i/>
          <w:iCs/>
          <w:spacing w:val="52"/>
          <w:w w:val="101"/>
          <w:sz w:val="24"/>
          <w:szCs w:val="24"/>
        </w:rPr>
        <w:t xml:space="preserve"> </w:t>
      </w:r>
      <w:r>
        <w:rPr>
          <w:rFonts w:ascii="Times New Roman" w:hAnsi="Times New Roman" w:eastAsia="Times New Roman" w:cs="Times New Roman"/>
          <w:i/>
          <w:iCs/>
          <w:sz w:val="24"/>
          <w:szCs w:val="24"/>
        </w:rPr>
        <w:t>maxima</w:t>
      </w:r>
      <w:r>
        <w:rPr>
          <w:spacing w:val="3"/>
          <w:sz w:val="24"/>
          <w:szCs w:val="24"/>
        </w:rPr>
        <w:t xml:space="preserve">、华西雨蛙 </w:t>
      </w:r>
      <w:r>
        <w:rPr>
          <w:rFonts w:ascii="Times New Roman" w:hAnsi="Times New Roman" w:eastAsia="Times New Roman" w:cs="Times New Roman"/>
          <w:i/>
          <w:iCs/>
          <w:sz w:val="24"/>
          <w:szCs w:val="24"/>
        </w:rPr>
        <w:t>Hyla</w:t>
      </w:r>
      <w:r>
        <w:rPr>
          <w:rFonts w:ascii="Times New Roman" w:hAnsi="Times New Roman" w:eastAsia="Times New Roman" w:cs="Times New Roman"/>
          <w:i/>
          <w:iCs/>
          <w:spacing w:val="36"/>
          <w:w w:val="101"/>
          <w:sz w:val="24"/>
          <w:szCs w:val="24"/>
        </w:rPr>
        <w:t xml:space="preserve"> </w:t>
      </w:r>
      <w:r>
        <w:rPr>
          <w:rFonts w:ascii="Times New Roman" w:hAnsi="Times New Roman" w:eastAsia="Times New Roman" w:cs="Times New Roman"/>
          <w:i/>
          <w:iCs/>
          <w:sz w:val="24"/>
          <w:szCs w:val="24"/>
        </w:rPr>
        <w:t>annectans</w:t>
      </w:r>
      <w:r>
        <w:rPr>
          <w:rFonts w:ascii="Times New Roman" w:hAnsi="Times New Roman" w:eastAsia="Times New Roman" w:cs="Times New Roman"/>
          <w:i/>
          <w:iCs/>
          <w:spacing w:val="3"/>
          <w:sz w:val="24"/>
          <w:szCs w:val="24"/>
        </w:rPr>
        <w:t xml:space="preserve">  </w:t>
      </w:r>
      <w:r>
        <w:rPr>
          <w:spacing w:val="3"/>
          <w:sz w:val="24"/>
          <w:szCs w:val="24"/>
        </w:rPr>
        <w:t xml:space="preserve">和滇蛙 </w:t>
      </w:r>
      <w:r>
        <w:rPr>
          <w:rFonts w:ascii="Times New Roman" w:hAnsi="Times New Roman" w:eastAsia="Times New Roman" w:cs="Times New Roman"/>
          <w:i/>
          <w:iCs/>
          <w:sz w:val="24"/>
          <w:szCs w:val="24"/>
        </w:rPr>
        <w:t>Nidirana pleuraden</w:t>
      </w:r>
      <w:r>
        <w:rPr>
          <w:spacing w:val="26"/>
          <w:sz w:val="24"/>
          <w:szCs w:val="24"/>
        </w:rPr>
        <w:t>。</w:t>
      </w:r>
    </w:p>
    <w:p w14:paraId="1E458C82">
      <w:pPr>
        <w:pStyle w:val="2"/>
        <w:spacing w:before="18" w:line="337" w:lineRule="auto"/>
        <w:ind w:left="40" w:right="185" w:firstLine="479"/>
        <w:jc w:val="both"/>
        <w:rPr>
          <w:sz w:val="24"/>
          <w:szCs w:val="24"/>
        </w:rPr>
      </w:pPr>
      <w:r>
        <w:rPr>
          <w:spacing w:val="-5"/>
          <w:sz w:val="24"/>
          <w:szCs w:val="24"/>
        </w:rPr>
        <w:t>环评期无保护种记录，环评阶段记录到的棘腹蛙和棘胸蛙现已被列为《中国脊椎动物红色名录》（</w:t>
      </w:r>
      <w:r>
        <w:rPr>
          <w:rFonts w:ascii="Times New Roman" w:hAnsi="Times New Roman" w:eastAsia="Times New Roman" w:cs="Times New Roman"/>
          <w:spacing w:val="-5"/>
          <w:sz w:val="24"/>
          <w:szCs w:val="24"/>
        </w:rPr>
        <w:t xml:space="preserve">2016 </w:t>
      </w:r>
      <w:r>
        <w:rPr>
          <w:spacing w:val="-5"/>
          <w:sz w:val="24"/>
          <w:szCs w:val="24"/>
        </w:rPr>
        <w:t>年）易危物种。施工期调查区</w:t>
      </w:r>
      <w:r>
        <w:rPr>
          <w:spacing w:val="-6"/>
          <w:sz w:val="24"/>
          <w:szCs w:val="24"/>
        </w:rPr>
        <w:t>内未记录到国家和云南省重</w:t>
      </w:r>
      <w:r>
        <w:rPr>
          <w:spacing w:val="-1"/>
          <w:sz w:val="24"/>
          <w:szCs w:val="24"/>
        </w:rPr>
        <w:t>点保护的两栖动物，没有记录到被</w:t>
      </w:r>
      <w:r>
        <w:rPr>
          <w:spacing w:val="-29"/>
          <w:sz w:val="24"/>
          <w:szCs w:val="24"/>
        </w:rPr>
        <w:t xml:space="preserve"> </w:t>
      </w:r>
      <w:r>
        <w:rPr>
          <w:rFonts w:ascii="Times New Roman" w:hAnsi="Times New Roman" w:eastAsia="Times New Roman" w:cs="Times New Roman"/>
          <w:spacing w:val="-1"/>
          <w:sz w:val="24"/>
          <w:szCs w:val="24"/>
        </w:rPr>
        <w:t>CITES</w:t>
      </w:r>
      <w:r>
        <w:rPr>
          <w:rFonts w:ascii="Times New Roman" w:hAnsi="Times New Roman" w:eastAsia="Times New Roman" w:cs="Times New Roman"/>
          <w:spacing w:val="32"/>
          <w:w w:val="101"/>
          <w:sz w:val="24"/>
          <w:szCs w:val="24"/>
        </w:rPr>
        <w:t xml:space="preserve"> </w:t>
      </w:r>
      <w:r>
        <w:rPr>
          <w:spacing w:val="-1"/>
          <w:sz w:val="24"/>
          <w:szCs w:val="24"/>
        </w:rPr>
        <w:t>列入附录的保护种，也没有记录到被列</w:t>
      </w:r>
      <w:r>
        <w:rPr>
          <w:spacing w:val="-2"/>
          <w:sz w:val="24"/>
          <w:szCs w:val="24"/>
        </w:rPr>
        <w:t>为</w:t>
      </w:r>
      <w:r>
        <w:rPr>
          <w:spacing w:val="-45"/>
          <w:sz w:val="24"/>
          <w:szCs w:val="24"/>
        </w:rPr>
        <w:t xml:space="preserve"> </w:t>
      </w:r>
      <w:r>
        <w:rPr>
          <w:rFonts w:ascii="Times New Roman" w:hAnsi="Times New Roman" w:eastAsia="Times New Roman" w:cs="Times New Roman"/>
          <w:spacing w:val="-2"/>
          <w:sz w:val="24"/>
          <w:szCs w:val="24"/>
        </w:rPr>
        <w:t xml:space="preserve">IUCN </w:t>
      </w:r>
      <w:r>
        <w:rPr>
          <w:spacing w:val="-2"/>
          <w:sz w:val="24"/>
          <w:szCs w:val="24"/>
        </w:rPr>
        <w:t>红色名录和《中国脊椎动物红色名录》的受胁两栖类。</w:t>
      </w:r>
    </w:p>
    <w:p w14:paraId="7D642B86">
      <w:pPr>
        <w:pStyle w:val="2"/>
        <w:spacing w:line="339" w:lineRule="auto"/>
        <w:ind w:left="38" w:firstLine="483"/>
        <w:jc w:val="both"/>
        <w:rPr>
          <w:sz w:val="24"/>
          <w:szCs w:val="24"/>
        </w:rPr>
      </w:pPr>
      <w:r>
        <w:rPr>
          <w:spacing w:val="-6"/>
          <w:sz w:val="24"/>
          <w:szCs w:val="24"/>
        </w:rPr>
        <w:t>综上分析，由于施工期监测期间均为晴天，主要在雨天出现的两栖类难以遇见，</w:t>
      </w:r>
      <w:r>
        <w:rPr>
          <w:spacing w:val="-4"/>
          <w:sz w:val="24"/>
          <w:szCs w:val="24"/>
        </w:rPr>
        <w:t>存在遗漏的可能，其次环评阶段记录可能存在错误和偏差，所以施工期监测结</w:t>
      </w:r>
      <w:r>
        <w:rPr>
          <w:spacing w:val="-5"/>
          <w:sz w:val="24"/>
          <w:szCs w:val="24"/>
        </w:rPr>
        <w:t>果和</w:t>
      </w:r>
      <w:r>
        <w:rPr>
          <w:spacing w:val="-4"/>
          <w:sz w:val="24"/>
          <w:szCs w:val="24"/>
        </w:rPr>
        <w:t>环评阶段存在差异。通过监测，在施工区周边的河边水塘内均有滇蛙鸣声，</w:t>
      </w:r>
      <w:r>
        <w:rPr>
          <w:spacing w:val="-5"/>
          <w:sz w:val="24"/>
          <w:szCs w:val="24"/>
        </w:rPr>
        <w:t>在料场</w:t>
      </w:r>
      <w:r>
        <w:rPr>
          <w:spacing w:val="-4"/>
          <w:sz w:val="24"/>
          <w:szCs w:val="24"/>
        </w:rPr>
        <w:t>边的车章河内记录了无指盘臭蛙，在大坝施工区记录了中华蟾蜍等，说明项</w:t>
      </w:r>
      <w:r>
        <w:rPr>
          <w:spacing w:val="-5"/>
          <w:sz w:val="24"/>
          <w:szCs w:val="24"/>
        </w:rPr>
        <w:t>目施工</w:t>
      </w:r>
      <w:r>
        <w:rPr>
          <w:spacing w:val="-4"/>
          <w:sz w:val="24"/>
          <w:szCs w:val="24"/>
        </w:rPr>
        <w:t>影响相对不大。相较于整个调查区而言，施工区（点）占地不大，仅在其周</w:t>
      </w:r>
      <w:r>
        <w:rPr>
          <w:spacing w:val="-5"/>
          <w:sz w:val="24"/>
          <w:szCs w:val="24"/>
        </w:rPr>
        <w:t>边形成</w:t>
      </w:r>
      <w:r>
        <w:rPr>
          <w:spacing w:val="-4"/>
          <w:sz w:val="24"/>
          <w:szCs w:val="24"/>
        </w:rPr>
        <w:t>局部干扰，项目施工对调查区的大部分面积并未形成干扰，所以，施工活动对</w:t>
      </w:r>
      <w:r>
        <w:rPr>
          <w:spacing w:val="-5"/>
          <w:sz w:val="24"/>
          <w:szCs w:val="24"/>
        </w:rPr>
        <w:t>两栖</w:t>
      </w:r>
      <w:r>
        <w:rPr>
          <w:spacing w:val="-4"/>
          <w:sz w:val="24"/>
          <w:szCs w:val="24"/>
        </w:rPr>
        <w:t>动物的干扰是有限的。</w:t>
      </w:r>
    </w:p>
    <w:p w14:paraId="063FA7E6">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）对爬行类的影响</w:t>
      </w:r>
    </w:p>
    <w:p w14:paraId="2499BBC8">
      <w:pPr>
        <w:pStyle w:val="2"/>
        <w:spacing w:before="137" w:line="338" w:lineRule="auto"/>
        <w:ind w:left="39" w:right="184" w:firstLine="480"/>
        <w:rPr>
          <w:sz w:val="24"/>
          <w:szCs w:val="24"/>
        </w:rPr>
      </w:pPr>
      <w:r>
        <w:rPr>
          <w:spacing w:val="-6"/>
          <w:sz w:val="24"/>
          <w:szCs w:val="24"/>
        </w:rPr>
        <w:t xml:space="preserve">环评期记录到爬行类 </w:t>
      </w:r>
      <w:r>
        <w:rPr>
          <w:rFonts w:ascii="Times New Roman" w:hAnsi="Times New Roman" w:eastAsia="Times New Roman" w:cs="Times New Roman"/>
          <w:spacing w:val="-6"/>
          <w:sz w:val="24"/>
          <w:szCs w:val="24"/>
        </w:rPr>
        <w:t>16</w:t>
      </w:r>
      <w:r>
        <w:rPr>
          <w:rFonts w:ascii="Times New Roman" w:hAnsi="Times New Roman" w:eastAsia="Times New Roman" w:cs="Times New Roman"/>
          <w:spacing w:val="41"/>
          <w:sz w:val="24"/>
          <w:szCs w:val="24"/>
        </w:rPr>
        <w:t xml:space="preserve"> </w:t>
      </w:r>
      <w:r>
        <w:rPr>
          <w:spacing w:val="-6"/>
          <w:sz w:val="24"/>
          <w:szCs w:val="24"/>
        </w:rPr>
        <w:t>种，隶属于</w:t>
      </w:r>
      <w:r>
        <w:rPr>
          <w:spacing w:val="-28"/>
          <w:sz w:val="24"/>
          <w:szCs w:val="24"/>
        </w:rPr>
        <w:t xml:space="preserve"> </w:t>
      </w:r>
      <w:r>
        <w:rPr>
          <w:rFonts w:ascii="Times New Roman" w:hAnsi="Times New Roman" w:eastAsia="Times New Roman" w:cs="Times New Roman"/>
          <w:spacing w:val="-6"/>
          <w:sz w:val="24"/>
          <w:szCs w:val="24"/>
        </w:rPr>
        <w:t xml:space="preserve">2  </w:t>
      </w:r>
      <w:r>
        <w:rPr>
          <w:spacing w:val="-6"/>
          <w:sz w:val="24"/>
          <w:szCs w:val="24"/>
        </w:rPr>
        <w:t>目</w:t>
      </w:r>
      <w:r>
        <w:rPr>
          <w:spacing w:val="-36"/>
          <w:sz w:val="24"/>
          <w:szCs w:val="24"/>
        </w:rPr>
        <w:t xml:space="preserve"> </w:t>
      </w:r>
      <w:r>
        <w:rPr>
          <w:rFonts w:ascii="Times New Roman" w:hAnsi="Times New Roman" w:eastAsia="Times New Roman" w:cs="Times New Roman"/>
          <w:spacing w:val="-6"/>
          <w:sz w:val="24"/>
          <w:szCs w:val="24"/>
        </w:rPr>
        <w:t>6</w:t>
      </w:r>
      <w:r>
        <w:rPr>
          <w:rFonts w:ascii="Times New Roman" w:hAnsi="Times New Roman" w:eastAsia="Times New Roman" w:cs="Times New Roman"/>
          <w:spacing w:val="21"/>
          <w:sz w:val="24"/>
          <w:szCs w:val="24"/>
        </w:rPr>
        <w:t xml:space="preserve"> </w:t>
      </w:r>
      <w:r>
        <w:rPr>
          <w:spacing w:val="-6"/>
          <w:sz w:val="24"/>
          <w:szCs w:val="24"/>
        </w:rPr>
        <w:t xml:space="preserve">科 </w:t>
      </w:r>
      <w:r>
        <w:rPr>
          <w:rFonts w:ascii="Times New Roman" w:hAnsi="Times New Roman" w:eastAsia="Times New Roman" w:cs="Times New Roman"/>
          <w:spacing w:val="-6"/>
          <w:sz w:val="24"/>
          <w:szCs w:val="24"/>
        </w:rPr>
        <w:t>13</w:t>
      </w:r>
      <w:r>
        <w:rPr>
          <w:rFonts w:ascii="Times New Roman" w:hAnsi="Times New Roman" w:eastAsia="Times New Roman" w:cs="Times New Roman"/>
          <w:spacing w:val="24"/>
          <w:w w:val="101"/>
          <w:sz w:val="24"/>
          <w:szCs w:val="24"/>
        </w:rPr>
        <w:t xml:space="preserve"> </w:t>
      </w:r>
      <w:r>
        <w:rPr>
          <w:spacing w:val="-6"/>
          <w:sz w:val="24"/>
          <w:szCs w:val="24"/>
        </w:rPr>
        <w:t>属。施工期监测记录爬行动</w:t>
      </w:r>
      <w:r>
        <w:rPr>
          <w:spacing w:val="-3"/>
          <w:sz w:val="24"/>
          <w:szCs w:val="24"/>
        </w:rPr>
        <w:t>物</w:t>
      </w:r>
      <w:r>
        <w:rPr>
          <w:spacing w:val="-45"/>
          <w:sz w:val="24"/>
          <w:szCs w:val="24"/>
        </w:rPr>
        <w:t xml:space="preserve"> </w:t>
      </w:r>
      <w:r>
        <w:rPr>
          <w:rFonts w:ascii="Times New Roman" w:hAnsi="Times New Roman" w:eastAsia="Times New Roman" w:cs="Times New Roman"/>
          <w:spacing w:val="-3"/>
          <w:sz w:val="24"/>
          <w:szCs w:val="24"/>
        </w:rPr>
        <w:t xml:space="preserve">8 </w:t>
      </w:r>
      <w:r>
        <w:rPr>
          <w:spacing w:val="-3"/>
          <w:sz w:val="24"/>
          <w:szCs w:val="24"/>
        </w:rPr>
        <w:t xml:space="preserve">种，隶属于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55"/>
          <w:sz w:val="24"/>
          <w:szCs w:val="24"/>
        </w:rPr>
        <w:t xml:space="preserve"> </w:t>
      </w:r>
      <w:r>
        <w:rPr>
          <w:spacing w:val="-3"/>
          <w:sz w:val="24"/>
          <w:szCs w:val="24"/>
        </w:rPr>
        <w:t>目</w:t>
      </w:r>
      <w:r>
        <w:rPr>
          <w:spacing w:val="-55"/>
          <w:sz w:val="24"/>
          <w:szCs w:val="24"/>
        </w:rPr>
        <w:t xml:space="preserve"> </w:t>
      </w:r>
      <w:r>
        <w:rPr>
          <w:rFonts w:ascii="Times New Roman" w:hAnsi="Times New Roman" w:eastAsia="Times New Roman" w:cs="Times New Roman"/>
          <w:spacing w:val="-3"/>
          <w:sz w:val="24"/>
          <w:szCs w:val="24"/>
        </w:rPr>
        <w:t xml:space="preserve">2 </w:t>
      </w:r>
      <w:r>
        <w:rPr>
          <w:spacing w:val="-3"/>
          <w:sz w:val="24"/>
          <w:szCs w:val="24"/>
        </w:rPr>
        <w:t>亚目</w:t>
      </w:r>
      <w:r>
        <w:rPr>
          <w:rFonts w:ascii="Times New Roman" w:hAnsi="Times New Roman" w:eastAsia="Times New Roman" w:cs="Times New Roman"/>
          <w:spacing w:val="-3"/>
          <w:sz w:val="24"/>
          <w:szCs w:val="24"/>
        </w:rPr>
        <w:t xml:space="preserve">7 </w:t>
      </w:r>
      <w:r>
        <w:rPr>
          <w:spacing w:val="-3"/>
          <w:sz w:val="24"/>
          <w:szCs w:val="24"/>
        </w:rPr>
        <w:t>科</w:t>
      </w:r>
      <w:r>
        <w:rPr>
          <w:spacing w:val="-51"/>
          <w:sz w:val="24"/>
          <w:szCs w:val="24"/>
        </w:rPr>
        <w:t xml:space="preserve"> </w:t>
      </w:r>
      <w:r>
        <w:rPr>
          <w:rFonts w:ascii="Times New Roman" w:hAnsi="Times New Roman" w:eastAsia="Times New Roman" w:cs="Times New Roman"/>
          <w:spacing w:val="-3"/>
          <w:sz w:val="24"/>
          <w:szCs w:val="24"/>
        </w:rPr>
        <w:t xml:space="preserve">7 </w:t>
      </w:r>
      <w:r>
        <w:rPr>
          <w:spacing w:val="-3"/>
          <w:sz w:val="24"/>
          <w:szCs w:val="24"/>
        </w:rPr>
        <w:t>属。两期监测情况具体见表</w:t>
      </w:r>
      <w:r>
        <w:rPr>
          <w:spacing w:val="-38"/>
          <w:sz w:val="24"/>
          <w:szCs w:val="24"/>
        </w:rPr>
        <w:t xml:space="preserve"> </w:t>
      </w:r>
      <w:r>
        <w:rPr>
          <w:rFonts w:ascii="Times New Roman" w:hAnsi="Times New Roman" w:eastAsia="Times New Roman" w:cs="Times New Roman"/>
          <w:spacing w:val="-4"/>
          <w:sz w:val="24"/>
          <w:szCs w:val="24"/>
        </w:rPr>
        <w:t>6.1-11</w:t>
      </w:r>
      <w:r>
        <w:rPr>
          <w:spacing w:val="-4"/>
          <w:sz w:val="24"/>
          <w:szCs w:val="24"/>
        </w:rPr>
        <w:t>。</w:t>
      </w:r>
    </w:p>
    <w:p w14:paraId="57F903F3">
      <w:pPr>
        <w:pStyle w:val="2"/>
        <w:spacing w:before="2" w:line="225"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6.1-11                        </w:t>
      </w:r>
      <w:r>
        <w:rPr>
          <w:b/>
          <w:bCs/>
          <w:spacing w:val="-1"/>
          <w:sz w:val="24"/>
          <w:szCs w:val="24"/>
        </w:rPr>
        <w:t>环评阶段与施工期爬</w:t>
      </w:r>
      <w:r>
        <w:rPr>
          <w:b/>
          <w:bCs/>
          <w:spacing w:val="-2"/>
          <w:sz w:val="24"/>
          <w:szCs w:val="24"/>
        </w:rPr>
        <w:t>行动物统计表</w:t>
      </w: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696"/>
        <w:gridCol w:w="1421"/>
        <w:gridCol w:w="700"/>
        <w:gridCol w:w="1694"/>
        <w:gridCol w:w="1415"/>
        <w:gridCol w:w="843"/>
      </w:tblGrid>
      <w:tr w14:paraId="51B21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3822" w:type="dxa"/>
            <w:gridSpan w:val="3"/>
            <w:tcBorders>
              <w:top w:val="single" w:color="000000" w:sz="12" w:space="0"/>
              <w:left w:val="single" w:color="000000" w:sz="12" w:space="0"/>
            </w:tcBorders>
            <w:vAlign w:val="top"/>
          </w:tcPr>
          <w:p w14:paraId="3C56B681">
            <w:pPr>
              <w:pStyle w:val="6"/>
              <w:spacing w:before="70" w:line="233" w:lineRule="auto"/>
              <w:ind w:left="930"/>
              <w:rPr>
                <w:rFonts w:ascii="宋体" w:hAnsi="宋体" w:eastAsia="宋体" w:cs="宋体"/>
              </w:rPr>
            </w:pPr>
            <w:r>
              <w:rPr>
                <w:rFonts w:ascii="宋体" w:hAnsi="宋体" w:eastAsia="宋体" w:cs="宋体"/>
                <w:spacing w:val="-1"/>
              </w:rPr>
              <w:t>环评阶段（</w:t>
            </w:r>
            <w:r>
              <w:rPr>
                <w:spacing w:val="-1"/>
              </w:rPr>
              <w:t xml:space="preserve">2015 </w:t>
            </w:r>
            <w:r>
              <w:rPr>
                <w:rFonts w:ascii="宋体" w:hAnsi="宋体" w:eastAsia="宋体" w:cs="宋体"/>
                <w:spacing w:val="-1"/>
              </w:rPr>
              <w:t>年）</w:t>
            </w:r>
          </w:p>
        </w:tc>
        <w:tc>
          <w:tcPr>
            <w:tcW w:w="3809" w:type="dxa"/>
            <w:gridSpan w:val="3"/>
            <w:tcBorders>
              <w:top w:val="single" w:color="000000" w:sz="12" w:space="0"/>
            </w:tcBorders>
            <w:vAlign w:val="top"/>
          </w:tcPr>
          <w:p w14:paraId="6AF25C48">
            <w:pPr>
              <w:pStyle w:val="6"/>
              <w:spacing w:before="70" w:line="233" w:lineRule="auto"/>
              <w:ind w:left="1044"/>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3" w:type="dxa"/>
            <w:vMerge w:val="restart"/>
            <w:tcBorders>
              <w:top w:val="single" w:color="000000" w:sz="12" w:space="0"/>
              <w:bottom w:val="nil"/>
              <w:right w:val="single" w:color="000000" w:sz="12" w:space="0"/>
            </w:tcBorders>
            <w:vAlign w:val="top"/>
          </w:tcPr>
          <w:p w14:paraId="4438070B">
            <w:pPr>
              <w:spacing w:before="118" w:line="242" w:lineRule="auto"/>
              <w:ind w:left="220" w:right="192"/>
              <w:rPr>
                <w:rFonts w:ascii="宋体" w:hAnsi="宋体" w:eastAsia="宋体" w:cs="宋体"/>
                <w:sz w:val="21"/>
                <w:szCs w:val="21"/>
              </w:rPr>
            </w:pPr>
            <w:r>
              <w:rPr>
                <w:rFonts w:ascii="宋体" w:hAnsi="宋体" w:eastAsia="宋体" w:cs="宋体"/>
                <w:spacing w:val="-5"/>
                <w:sz w:val="21"/>
                <w:szCs w:val="21"/>
              </w:rPr>
              <w:t>保护情况</w:t>
            </w:r>
          </w:p>
        </w:tc>
      </w:tr>
      <w:tr w14:paraId="02EC1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705" w:type="dxa"/>
            <w:tcBorders>
              <w:left w:val="single" w:color="000000" w:sz="12" w:space="0"/>
            </w:tcBorders>
            <w:vAlign w:val="top"/>
          </w:tcPr>
          <w:p w14:paraId="3BCBC269">
            <w:pPr>
              <w:spacing w:before="70" w:line="221" w:lineRule="auto"/>
              <w:ind w:left="128"/>
              <w:rPr>
                <w:rFonts w:ascii="宋体" w:hAnsi="宋体" w:eastAsia="宋体" w:cs="宋体"/>
                <w:sz w:val="21"/>
                <w:szCs w:val="21"/>
              </w:rPr>
            </w:pPr>
            <w:r>
              <w:rPr>
                <w:rFonts w:ascii="宋体" w:hAnsi="宋体" w:eastAsia="宋体" w:cs="宋体"/>
                <w:spacing w:val="-2"/>
                <w:sz w:val="21"/>
                <w:szCs w:val="21"/>
              </w:rPr>
              <w:t>序号</w:t>
            </w:r>
          </w:p>
        </w:tc>
        <w:tc>
          <w:tcPr>
            <w:tcW w:w="1696" w:type="dxa"/>
            <w:vAlign w:val="top"/>
          </w:tcPr>
          <w:p w14:paraId="7D756EF7">
            <w:pPr>
              <w:spacing w:before="70" w:line="220" w:lineRule="auto"/>
              <w:ind w:left="546"/>
              <w:rPr>
                <w:rFonts w:ascii="宋体" w:hAnsi="宋体" w:eastAsia="宋体" w:cs="宋体"/>
                <w:sz w:val="21"/>
                <w:szCs w:val="21"/>
              </w:rPr>
            </w:pPr>
            <w:r>
              <w:rPr>
                <w:rFonts w:ascii="宋体" w:hAnsi="宋体" w:eastAsia="宋体" w:cs="宋体"/>
                <w:spacing w:val="-7"/>
                <w:sz w:val="21"/>
                <w:szCs w:val="21"/>
              </w:rPr>
              <w:t>中文名</w:t>
            </w:r>
          </w:p>
        </w:tc>
        <w:tc>
          <w:tcPr>
            <w:tcW w:w="1421" w:type="dxa"/>
            <w:vAlign w:val="top"/>
          </w:tcPr>
          <w:p w14:paraId="7837E8FB">
            <w:pPr>
              <w:spacing w:before="70" w:line="221" w:lineRule="auto"/>
              <w:ind w:left="395"/>
              <w:rPr>
                <w:rFonts w:ascii="宋体" w:hAnsi="宋体" w:eastAsia="宋体" w:cs="宋体"/>
                <w:sz w:val="21"/>
                <w:szCs w:val="21"/>
              </w:rPr>
            </w:pPr>
            <w:r>
              <w:rPr>
                <w:rFonts w:ascii="宋体" w:hAnsi="宋体" w:eastAsia="宋体" w:cs="宋体"/>
                <w:spacing w:val="-3"/>
                <w:sz w:val="21"/>
                <w:szCs w:val="21"/>
              </w:rPr>
              <w:t>拉丁名</w:t>
            </w:r>
          </w:p>
        </w:tc>
        <w:tc>
          <w:tcPr>
            <w:tcW w:w="700" w:type="dxa"/>
            <w:vAlign w:val="top"/>
          </w:tcPr>
          <w:p w14:paraId="5BFEA87F">
            <w:pPr>
              <w:spacing w:before="70" w:line="221" w:lineRule="auto"/>
              <w:ind w:left="140"/>
              <w:rPr>
                <w:rFonts w:ascii="宋体" w:hAnsi="宋体" w:eastAsia="宋体" w:cs="宋体"/>
                <w:sz w:val="21"/>
                <w:szCs w:val="21"/>
              </w:rPr>
            </w:pPr>
            <w:r>
              <w:rPr>
                <w:rFonts w:ascii="宋体" w:hAnsi="宋体" w:eastAsia="宋体" w:cs="宋体"/>
                <w:spacing w:val="-2"/>
                <w:sz w:val="21"/>
                <w:szCs w:val="21"/>
              </w:rPr>
              <w:t>序号</w:t>
            </w:r>
          </w:p>
        </w:tc>
        <w:tc>
          <w:tcPr>
            <w:tcW w:w="1694" w:type="dxa"/>
            <w:vAlign w:val="top"/>
          </w:tcPr>
          <w:p w14:paraId="22BCB095">
            <w:pPr>
              <w:spacing w:before="70" w:line="220" w:lineRule="auto"/>
              <w:ind w:left="557"/>
              <w:rPr>
                <w:rFonts w:ascii="宋体" w:hAnsi="宋体" w:eastAsia="宋体" w:cs="宋体"/>
                <w:sz w:val="21"/>
                <w:szCs w:val="21"/>
              </w:rPr>
            </w:pPr>
            <w:r>
              <w:rPr>
                <w:rFonts w:ascii="宋体" w:hAnsi="宋体" w:eastAsia="宋体" w:cs="宋体"/>
                <w:spacing w:val="-7"/>
                <w:sz w:val="21"/>
                <w:szCs w:val="21"/>
              </w:rPr>
              <w:t>中文名</w:t>
            </w:r>
          </w:p>
        </w:tc>
        <w:tc>
          <w:tcPr>
            <w:tcW w:w="1415" w:type="dxa"/>
            <w:vAlign w:val="top"/>
          </w:tcPr>
          <w:p w14:paraId="34817AE6">
            <w:pPr>
              <w:spacing w:before="70" w:line="221" w:lineRule="auto"/>
              <w:ind w:left="405"/>
              <w:rPr>
                <w:rFonts w:ascii="宋体" w:hAnsi="宋体" w:eastAsia="宋体" w:cs="宋体"/>
                <w:sz w:val="21"/>
                <w:szCs w:val="21"/>
              </w:rPr>
            </w:pPr>
            <w:r>
              <w:rPr>
                <w:rFonts w:ascii="宋体" w:hAnsi="宋体" w:eastAsia="宋体" w:cs="宋体"/>
                <w:spacing w:val="-3"/>
                <w:sz w:val="21"/>
                <w:szCs w:val="21"/>
              </w:rPr>
              <w:t>拉丁名</w:t>
            </w:r>
          </w:p>
        </w:tc>
        <w:tc>
          <w:tcPr>
            <w:tcW w:w="843" w:type="dxa"/>
            <w:vMerge w:val="continue"/>
            <w:tcBorders>
              <w:top w:val="nil"/>
              <w:right w:val="single" w:color="000000" w:sz="12" w:space="0"/>
            </w:tcBorders>
            <w:vAlign w:val="top"/>
          </w:tcPr>
          <w:p w14:paraId="24B53BFF">
            <w:pPr>
              <w:rPr>
                <w:rFonts w:ascii="Arial"/>
                <w:sz w:val="21"/>
              </w:rPr>
            </w:pPr>
          </w:p>
        </w:tc>
      </w:tr>
      <w:tr w14:paraId="01326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05" w:type="dxa"/>
            <w:tcBorders>
              <w:left w:val="single" w:color="000000" w:sz="12" w:space="0"/>
            </w:tcBorders>
            <w:vAlign w:val="top"/>
          </w:tcPr>
          <w:p w14:paraId="0B2303A1">
            <w:pPr>
              <w:pStyle w:val="6"/>
              <w:spacing w:before="112" w:line="186" w:lineRule="auto"/>
              <w:ind w:left="204"/>
            </w:pPr>
            <w:r>
              <w:rPr>
                <w:b/>
                <w:bCs/>
                <w:spacing w:val="-3"/>
              </w:rPr>
              <w:t>O1</w:t>
            </w:r>
          </w:p>
        </w:tc>
        <w:tc>
          <w:tcPr>
            <w:tcW w:w="1696" w:type="dxa"/>
            <w:vAlign w:val="top"/>
          </w:tcPr>
          <w:p w14:paraId="4A06D019">
            <w:pPr>
              <w:spacing w:before="74" w:line="220" w:lineRule="auto"/>
              <w:ind w:left="526"/>
              <w:rPr>
                <w:rFonts w:ascii="宋体" w:hAnsi="宋体" w:eastAsia="宋体" w:cs="宋体"/>
                <w:sz w:val="21"/>
                <w:szCs w:val="21"/>
              </w:rPr>
            </w:pPr>
            <w:r>
              <w:rPr>
                <w:rFonts w:ascii="宋体" w:hAnsi="宋体" w:eastAsia="宋体" w:cs="宋体"/>
                <w:b/>
                <w:bCs/>
                <w:spacing w:val="-4"/>
                <w:sz w:val="21"/>
                <w:szCs w:val="21"/>
              </w:rPr>
              <w:t>有鳞目</w:t>
            </w:r>
          </w:p>
        </w:tc>
        <w:tc>
          <w:tcPr>
            <w:tcW w:w="1421" w:type="dxa"/>
            <w:vAlign w:val="top"/>
          </w:tcPr>
          <w:p w14:paraId="0C072CED">
            <w:pPr>
              <w:pStyle w:val="6"/>
              <w:spacing w:before="111" w:line="187" w:lineRule="auto"/>
              <w:ind w:left="256"/>
            </w:pPr>
            <w:r>
              <w:rPr>
                <w:b/>
                <w:bCs/>
                <w:spacing w:val="-2"/>
              </w:rPr>
              <w:t>Squamata</w:t>
            </w:r>
          </w:p>
        </w:tc>
        <w:tc>
          <w:tcPr>
            <w:tcW w:w="700" w:type="dxa"/>
            <w:vAlign w:val="top"/>
          </w:tcPr>
          <w:p w14:paraId="58BE68D6">
            <w:pPr>
              <w:pStyle w:val="6"/>
              <w:spacing w:before="112" w:line="186" w:lineRule="auto"/>
              <w:ind w:left="216"/>
            </w:pPr>
            <w:r>
              <w:rPr>
                <w:b/>
                <w:bCs/>
                <w:spacing w:val="-3"/>
              </w:rPr>
              <w:t>O1</w:t>
            </w:r>
          </w:p>
        </w:tc>
        <w:tc>
          <w:tcPr>
            <w:tcW w:w="1694" w:type="dxa"/>
            <w:vAlign w:val="top"/>
          </w:tcPr>
          <w:p w14:paraId="36365486">
            <w:pPr>
              <w:spacing w:before="74" w:line="220" w:lineRule="auto"/>
              <w:ind w:left="537"/>
              <w:rPr>
                <w:rFonts w:ascii="宋体" w:hAnsi="宋体" w:eastAsia="宋体" w:cs="宋体"/>
                <w:sz w:val="21"/>
                <w:szCs w:val="21"/>
              </w:rPr>
            </w:pPr>
            <w:r>
              <w:rPr>
                <w:rFonts w:ascii="宋体" w:hAnsi="宋体" w:eastAsia="宋体" w:cs="宋体"/>
                <w:b/>
                <w:bCs/>
                <w:spacing w:val="-4"/>
                <w:sz w:val="21"/>
                <w:szCs w:val="21"/>
              </w:rPr>
              <w:t>有鳞目</w:t>
            </w:r>
          </w:p>
        </w:tc>
        <w:tc>
          <w:tcPr>
            <w:tcW w:w="1415" w:type="dxa"/>
            <w:vAlign w:val="top"/>
          </w:tcPr>
          <w:p w14:paraId="165BBECF">
            <w:pPr>
              <w:pStyle w:val="6"/>
              <w:spacing w:before="111" w:line="187" w:lineRule="auto"/>
              <w:ind w:left="266"/>
            </w:pPr>
            <w:r>
              <w:rPr>
                <w:b/>
                <w:bCs/>
                <w:spacing w:val="-2"/>
              </w:rPr>
              <w:t>Squamata</w:t>
            </w:r>
          </w:p>
        </w:tc>
        <w:tc>
          <w:tcPr>
            <w:tcW w:w="843" w:type="dxa"/>
            <w:tcBorders>
              <w:right w:val="single" w:color="000000" w:sz="12" w:space="0"/>
            </w:tcBorders>
            <w:vAlign w:val="top"/>
          </w:tcPr>
          <w:p w14:paraId="2D9A8EE0">
            <w:pPr>
              <w:rPr>
                <w:rFonts w:ascii="Arial"/>
                <w:sz w:val="21"/>
              </w:rPr>
            </w:pPr>
          </w:p>
        </w:tc>
      </w:tr>
      <w:tr w14:paraId="39DD4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705" w:type="dxa"/>
            <w:tcBorders>
              <w:left w:val="single" w:color="000000" w:sz="12" w:space="0"/>
            </w:tcBorders>
            <w:vAlign w:val="top"/>
          </w:tcPr>
          <w:p w14:paraId="297B4D4E">
            <w:pPr>
              <w:pStyle w:val="6"/>
              <w:spacing w:before="115" w:line="227" w:lineRule="auto"/>
              <w:ind w:left="294"/>
            </w:pPr>
            <w:r>
              <w:rPr>
                <w:b/>
                <w:bCs/>
              </w:rPr>
              <w:t>Ⅰ</w:t>
            </w:r>
          </w:p>
        </w:tc>
        <w:tc>
          <w:tcPr>
            <w:tcW w:w="1696" w:type="dxa"/>
            <w:vAlign w:val="top"/>
          </w:tcPr>
          <w:p w14:paraId="53C8568D">
            <w:pPr>
              <w:spacing w:before="77" w:line="220" w:lineRule="auto"/>
              <w:ind w:left="418"/>
              <w:rPr>
                <w:rFonts w:ascii="宋体" w:hAnsi="宋体" w:eastAsia="宋体" w:cs="宋体"/>
                <w:sz w:val="21"/>
                <w:szCs w:val="21"/>
              </w:rPr>
            </w:pPr>
            <w:r>
              <w:rPr>
                <w:rFonts w:ascii="宋体" w:hAnsi="宋体" w:eastAsia="宋体" w:cs="宋体"/>
                <w:b/>
                <w:bCs/>
                <w:spacing w:val="-3"/>
                <w:sz w:val="21"/>
                <w:szCs w:val="21"/>
              </w:rPr>
              <w:t>蜥蜴亚目</w:t>
            </w:r>
          </w:p>
        </w:tc>
        <w:tc>
          <w:tcPr>
            <w:tcW w:w="1421" w:type="dxa"/>
            <w:vAlign w:val="top"/>
          </w:tcPr>
          <w:p w14:paraId="6F9DB7F3">
            <w:pPr>
              <w:pStyle w:val="6"/>
              <w:spacing w:before="115" w:line="186" w:lineRule="auto"/>
              <w:ind w:left="267"/>
            </w:pPr>
            <w:r>
              <w:rPr>
                <w:b/>
                <w:bCs/>
                <w:spacing w:val="-1"/>
              </w:rPr>
              <w:t>Lacertilia</w:t>
            </w:r>
          </w:p>
        </w:tc>
        <w:tc>
          <w:tcPr>
            <w:tcW w:w="700" w:type="dxa"/>
            <w:vAlign w:val="top"/>
          </w:tcPr>
          <w:p w14:paraId="79472DE4">
            <w:pPr>
              <w:spacing w:before="76" w:line="235" w:lineRule="auto"/>
              <w:ind w:left="313"/>
              <w:rPr>
                <w:rFonts w:ascii="宋体" w:hAnsi="宋体" w:eastAsia="宋体" w:cs="宋体"/>
                <w:sz w:val="21"/>
                <w:szCs w:val="21"/>
              </w:rPr>
            </w:pPr>
            <w:r>
              <w:rPr>
                <w:rFonts w:ascii="宋体" w:hAnsi="宋体" w:eastAsia="宋体" w:cs="宋体"/>
                <w:b/>
                <w:bCs/>
                <w:spacing w:val="-3"/>
                <w:sz w:val="21"/>
                <w:szCs w:val="21"/>
              </w:rPr>
              <w:t>Ⅰ</w:t>
            </w:r>
          </w:p>
        </w:tc>
        <w:tc>
          <w:tcPr>
            <w:tcW w:w="1694" w:type="dxa"/>
            <w:vAlign w:val="top"/>
          </w:tcPr>
          <w:p w14:paraId="0B25DD8C">
            <w:pPr>
              <w:spacing w:before="77" w:line="220" w:lineRule="auto"/>
              <w:ind w:left="430"/>
              <w:rPr>
                <w:rFonts w:ascii="宋体" w:hAnsi="宋体" w:eastAsia="宋体" w:cs="宋体"/>
                <w:sz w:val="21"/>
                <w:szCs w:val="21"/>
              </w:rPr>
            </w:pPr>
            <w:r>
              <w:rPr>
                <w:rFonts w:ascii="宋体" w:hAnsi="宋体" w:eastAsia="宋体" w:cs="宋体"/>
                <w:b/>
                <w:bCs/>
                <w:spacing w:val="-3"/>
                <w:sz w:val="21"/>
                <w:szCs w:val="21"/>
              </w:rPr>
              <w:t>蜥蜴亚目</w:t>
            </w:r>
          </w:p>
        </w:tc>
        <w:tc>
          <w:tcPr>
            <w:tcW w:w="1415" w:type="dxa"/>
            <w:vAlign w:val="top"/>
          </w:tcPr>
          <w:p w14:paraId="2A4B9B1D">
            <w:pPr>
              <w:pStyle w:val="6"/>
              <w:spacing w:before="115" w:line="186" w:lineRule="auto"/>
              <w:ind w:left="277"/>
            </w:pPr>
            <w:r>
              <w:rPr>
                <w:b/>
                <w:bCs/>
                <w:spacing w:val="-1"/>
              </w:rPr>
              <w:t>Lacertilia</w:t>
            </w:r>
          </w:p>
        </w:tc>
        <w:tc>
          <w:tcPr>
            <w:tcW w:w="843" w:type="dxa"/>
            <w:tcBorders>
              <w:right w:val="single" w:color="000000" w:sz="12" w:space="0"/>
            </w:tcBorders>
            <w:vAlign w:val="top"/>
          </w:tcPr>
          <w:p w14:paraId="0D57F4CF">
            <w:pPr>
              <w:rPr>
                <w:rFonts w:ascii="Arial"/>
                <w:sz w:val="21"/>
              </w:rPr>
            </w:pPr>
          </w:p>
        </w:tc>
      </w:tr>
      <w:tr w14:paraId="7AD2C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705" w:type="dxa"/>
            <w:tcBorders>
              <w:left w:val="single" w:color="000000" w:sz="12" w:space="0"/>
            </w:tcBorders>
            <w:vAlign w:val="top"/>
          </w:tcPr>
          <w:p w14:paraId="5BC064A0">
            <w:pPr>
              <w:pStyle w:val="6"/>
              <w:spacing w:before="125" w:line="186" w:lineRule="auto"/>
              <w:ind w:left="219"/>
            </w:pPr>
            <w:r>
              <w:rPr>
                <w:b/>
                <w:bCs/>
                <w:spacing w:val="-2"/>
              </w:rPr>
              <w:t>F1</w:t>
            </w:r>
          </w:p>
        </w:tc>
        <w:tc>
          <w:tcPr>
            <w:tcW w:w="1696" w:type="dxa"/>
            <w:vAlign w:val="top"/>
          </w:tcPr>
          <w:p w14:paraId="4062683C">
            <w:pPr>
              <w:spacing w:before="86" w:line="219" w:lineRule="auto"/>
              <w:ind w:left="525"/>
              <w:rPr>
                <w:rFonts w:ascii="宋体" w:hAnsi="宋体" w:eastAsia="宋体" w:cs="宋体"/>
                <w:sz w:val="21"/>
                <w:szCs w:val="21"/>
              </w:rPr>
            </w:pPr>
            <w:r>
              <w:rPr>
                <w:rFonts w:ascii="宋体" w:hAnsi="宋体" w:eastAsia="宋体" w:cs="宋体"/>
                <w:b/>
                <w:bCs/>
                <w:spacing w:val="-4"/>
                <w:sz w:val="21"/>
                <w:szCs w:val="21"/>
              </w:rPr>
              <w:t>壁虎科</w:t>
            </w:r>
          </w:p>
        </w:tc>
        <w:tc>
          <w:tcPr>
            <w:tcW w:w="1421" w:type="dxa"/>
            <w:vAlign w:val="top"/>
          </w:tcPr>
          <w:p w14:paraId="61E94060">
            <w:pPr>
              <w:pStyle w:val="6"/>
              <w:spacing w:before="123" w:line="187" w:lineRule="auto"/>
              <w:ind w:left="166"/>
            </w:pPr>
            <w:r>
              <w:rPr>
                <w:b/>
                <w:bCs/>
                <w:spacing w:val="-1"/>
              </w:rPr>
              <w:t>Gekkonidae</w:t>
            </w:r>
          </w:p>
        </w:tc>
        <w:tc>
          <w:tcPr>
            <w:tcW w:w="700" w:type="dxa"/>
            <w:vAlign w:val="top"/>
          </w:tcPr>
          <w:p w14:paraId="1A8A101F">
            <w:pPr>
              <w:pStyle w:val="6"/>
              <w:spacing w:before="125" w:line="186" w:lineRule="auto"/>
              <w:ind w:left="231"/>
            </w:pPr>
            <w:r>
              <w:rPr>
                <w:b/>
                <w:bCs/>
                <w:spacing w:val="-2"/>
              </w:rPr>
              <w:t>F1</w:t>
            </w:r>
          </w:p>
        </w:tc>
        <w:tc>
          <w:tcPr>
            <w:tcW w:w="1694" w:type="dxa"/>
            <w:vAlign w:val="top"/>
          </w:tcPr>
          <w:p w14:paraId="1CA956E4">
            <w:pPr>
              <w:spacing w:before="86" w:line="219" w:lineRule="auto"/>
              <w:ind w:left="536"/>
              <w:rPr>
                <w:rFonts w:ascii="宋体" w:hAnsi="宋体" w:eastAsia="宋体" w:cs="宋体"/>
                <w:sz w:val="21"/>
                <w:szCs w:val="21"/>
              </w:rPr>
            </w:pPr>
            <w:r>
              <w:rPr>
                <w:rFonts w:ascii="宋体" w:hAnsi="宋体" w:eastAsia="宋体" w:cs="宋体"/>
                <w:b/>
                <w:bCs/>
                <w:spacing w:val="-4"/>
                <w:sz w:val="21"/>
                <w:szCs w:val="21"/>
              </w:rPr>
              <w:t>壁虎科</w:t>
            </w:r>
          </w:p>
        </w:tc>
        <w:tc>
          <w:tcPr>
            <w:tcW w:w="1415" w:type="dxa"/>
            <w:vAlign w:val="top"/>
          </w:tcPr>
          <w:p w14:paraId="70DFB1C4">
            <w:pPr>
              <w:pStyle w:val="6"/>
              <w:spacing w:before="123" w:line="187" w:lineRule="auto"/>
              <w:ind w:left="176"/>
            </w:pPr>
            <w:r>
              <w:rPr>
                <w:b/>
                <w:bCs/>
                <w:spacing w:val="-1"/>
              </w:rPr>
              <w:t>Gekkonidae</w:t>
            </w:r>
          </w:p>
        </w:tc>
        <w:tc>
          <w:tcPr>
            <w:tcW w:w="843" w:type="dxa"/>
            <w:tcBorders>
              <w:right w:val="single" w:color="000000" w:sz="12" w:space="0"/>
            </w:tcBorders>
            <w:vAlign w:val="top"/>
          </w:tcPr>
          <w:p w14:paraId="4A3B68F5">
            <w:pPr>
              <w:rPr>
                <w:rFonts w:ascii="Arial"/>
                <w:sz w:val="21"/>
              </w:rPr>
            </w:pPr>
          </w:p>
        </w:tc>
      </w:tr>
      <w:tr w14:paraId="3249F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705" w:type="dxa"/>
            <w:tcBorders>
              <w:left w:val="single" w:color="000000" w:sz="12" w:space="0"/>
            </w:tcBorders>
            <w:vAlign w:val="top"/>
          </w:tcPr>
          <w:p w14:paraId="47D63424">
            <w:pPr>
              <w:spacing w:line="279" w:lineRule="auto"/>
              <w:rPr>
                <w:rFonts w:ascii="Arial"/>
                <w:sz w:val="21"/>
              </w:rPr>
            </w:pPr>
          </w:p>
          <w:p w14:paraId="2D939A8E">
            <w:pPr>
              <w:pStyle w:val="6"/>
              <w:spacing w:before="61" w:line="235" w:lineRule="auto"/>
              <w:ind w:left="302"/>
            </w:pPr>
            <w:r>
              <w:t>1</w:t>
            </w:r>
          </w:p>
        </w:tc>
        <w:tc>
          <w:tcPr>
            <w:tcW w:w="1696" w:type="dxa"/>
            <w:vAlign w:val="top"/>
          </w:tcPr>
          <w:p w14:paraId="15439B98">
            <w:pPr>
              <w:spacing w:before="308" w:line="219" w:lineRule="auto"/>
              <w:ind w:left="217"/>
              <w:rPr>
                <w:rFonts w:ascii="宋体" w:hAnsi="宋体" w:eastAsia="宋体" w:cs="宋体"/>
                <w:sz w:val="21"/>
                <w:szCs w:val="21"/>
              </w:rPr>
            </w:pPr>
            <w:r>
              <w:rPr>
                <w:rFonts w:ascii="宋体" w:hAnsi="宋体" w:eastAsia="宋体" w:cs="宋体"/>
                <w:spacing w:val="-2"/>
                <w:sz w:val="21"/>
                <w:szCs w:val="21"/>
              </w:rPr>
              <w:t>云南半叶趾虎</w:t>
            </w:r>
          </w:p>
        </w:tc>
        <w:tc>
          <w:tcPr>
            <w:tcW w:w="1421" w:type="dxa"/>
            <w:vAlign w:val="top"/>
          </w:tcPr>
          <w:p w14:paraId="3553FEA7">
            <w:pPr>
              <w:pStyle w:val="6"/>
              <w:spacing w:before="99" w:line="190" w:lineRule="auto"/>
              <w:ind w:left="100"/>
            </w:pPr>
            <w:r>
              <w:rPr>
                <w:i/>
                <w:iCs/>
                <w:spacing w:val="1"/>
              </w:rPr>
              <w:t>Hemiphylloda</w:t>
            </w:r>
          </w:p>
          <w:p w14:paraId="3760B3D0">
            <w:pPr>
              <w:pStyle w:val="6"/>
              <w:spacing w:before="51" w:line="190" w:lineRule="auto"/>
              <w:ind w:left="461"/>
            </w:pPr>
            <w:r>
              <w:rPr>
                <w:i/>
                <w:iCs/>
                <w:spacing w:val="-1"/>
              </w:rPr>
              <w:t>ctylus</w:t>
            </w:r>
          </w:p>
          <w:p w14:paraId="5089E235">
            <w:pPr>
              <w:pStyle w:val="6"/>
              <w:spacing w:before="50" w:line="190" w:lineRule="auto"/>
              <w:ind w:left="165"/>
            </w:pPr>
            <w:r>
              <w:rPr>
                <w:i/>
                <w:iCs/>
                <w:spacing w:val="1"/>
              </w:rPr>
              <w:t>yunnanensis</w:t>
            </w:r>
          </w:p>
        </w:tc>
        <w:tc>
          <w:tcPr>
            <w:tcW w:w="700" w:type="dxa"/>
            <w:vAlign w:val="top"/>
          </w:tcPr>
          <w:p w14:paraId="4976892B">
            <w:pPr>
              <w:spacing w:line="279" w:lineRule="auto"/>
              <w:rPr>
                <w:rFonts w:ascii="Arial"/>
                <w:sz w:val="21"/>
              </w:rPr>
            </w:pPr>
          </w:p>
          <w:p w14:paraId="60F85A0E">
            <w:pPr>
              <w:pStyle w:val="6"/>
              <w:spacing w:before="61" w:line="235" w:lineRule="auto"/>
              <w:ind w:left="315"/>
            </w:pPr>
            <w:r>
              <w:t>1</w:t>
            </w:r>
          </w:p>
        </w:tc>
        <w:tc>
          <w:tcPr>
            <w:tcW w:w="1694" w:type="dxa"/>
            <w:vAlign w:val="top"/>
          </w:tcPr>
          <w:p w14:paraId="4DDE83DA">
            <w:pPr>
              <w:spacing w:before="308" w:line="219" w:lineRule="auto"/>
              <w:ind w:left="227"/>
              <w:rPr>
                <w:rFonts w:ascii="宋体" w:hAnsi="宋体" w:eastAsia="宋体" w:cs="宋体"/>
                <w:sz w:val="21"/>
                <w:szCs w:val="21"/>
              </w:rPr>
            </w:pPr>
            <w:r>
              <w:rPr>
                <w:rFonts w:ascii="宋体" w:hAnsi="宋体" w:eastAsia="宋体" w:cs="宋体"/>
                <w:spacing w:val="-2"/>
                <w:sz w:val="21"/>
                <w:szCs w:val="21"/>
              </w:rPr>
              <w:t>云南半叶趾虎</w:t>
            </w:r>
          </w:p>
        </w:tc>
        <w:tc>
          <w:tcPr>
            <w:tcW w:w="1415" w:type="dxa"/>
            <w:vAlign w:val="top"/>
          </w:tcPr>
          <w:p w14:paraId="27B7594A">
            <w:pPr>
              <w:pStyle w:val="6"/>
              <w:spacing w:before="99" w:line="190" w:lineRule="auto"/>
              <w:ind w:left="111"/>
            </w:pPr>
            <w:r>
              <w:rPr>
                <w:i/>
                <w:iCs/>
              </w:rPr>
              <w:t>Hemiphylloda</w:t>
            </w:r>
          </w:p>
          <w:p w14:paraId="31E37C9F">
            <w:pPr>
              <w:pStyle w:val="6"/>
              <w:spacing w:before="51" w:line="190" w:lineRule="auto"/>
              <w:ind w:left="471"/>
            </w:pPr>
            <w:r>
              <w:rPr>
                <w:i/>
                <w:iCs/>
                <w:spacing w:val="-1"/>
              </w:rPr>
              <w:t>ctylus</w:t>
            </w:r>
          </w:p>
          <w:p w14:paraId="671600CE">
            <w:pPr>
              <w:pStyle w:val="6"/>
              <w:spacing w:before="50" w:line="190" w:lineRule="auto"/>
              <w:ind w:left="175"/>
            </w:pPr>
            <w:r>
              <w:rPr>
                <w:i/>
                <w:iCs/>
                <w:spacing w:val="1"/>
              </w:rPr>
              <w:t>yunnanensis</w:t>
            </w:r>
          </w:p>
        </w:tc>
        <w:tc>
          <w:tcPr>
            <w:tcW w:w="843" w:type="dxa"/>
            <w:tcBorders>
              <w:right w:val="single" w:color="000000" w:sz="12" w:space="0"/>
            </w:tcBorders>
            <w:vAlign w:val="top"/>
          </w:tcPr>
          <w:p w14:paraId="770E0C63">
            <w:pPr>
              <w:rPr>
                <w:rFonts w:ascii="Arial"/>
                <w:sz w:val="21"/>
              </w:rPr>
            </w:pPr>
          </w:p>
        </w:tc>
      </w:tr>
      <w:tr w14:paraId="1F5AA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705" w:type="dxa"/>
            <w:tcBorders>
              <w:left w:val="single" w:color="000000" w:sz="12" w:space="0"/>
            </w:tcBorders>
            <w:vAlign w:val="top"/>
          </w:tcPr>
          <w:p w14:paraId="4673BF57">
            <w:pPr>
              <w:pStyle w:val="6"/>
              <w:spacing w:before="131" w:line="186" w:lineRule="auto"/>
              <w:ind w:left="219"/>
            </w:pPr>
            <w:r>
              <w:rPr>
                <w:b/>
                <w:bCs/>
                <w:spacing w:val="-2"/>
              </w:rPr>
              <w:t>F2</w:t>
            </w:r>
          </w:p>
        </w:tc>
        <w:tc>
          <w:tcPr>
            <w:tcW w:w="1696" w:type="dxa"/>
            <w:vAlign w:val="top"/>
          </w:tcPr>
          <w:p w14:paraId="237D5CAF">
            <w:pPr>
              <w:spacing w:before="94" w:line="219" w:lineRule="auto"/>
              <w:ind w:left="420"/>
              <w:rPr>
                <w:rFonts w:ascii="宋体" w:hAnsi="宋体" w:eastAsia="宋体" w:cs="宋体"/>
                <w:sz w:val="21"/>
                <w:szCs w:val="21"/>
              </w:rPr>
            </w:pPr>
            <w:r>
              <w:rPr>
                <w:rFonts w:ascii="宋体" w:hAnsi="宋体" w:eastAsia="宋体" w:cs="宋体"/>
                <w:b/>
                <w:bCs/>
                <w:spacing w:val="-4"/>
                <w:sz w:val="21"/>
                <w:szCs w:val="21"/>
              </w:rPr>
              <w:t>石龙子科</w:t>
            </w:r>
          </w:p>
        </w:tc>
        <w:tc>
          <w:tcPr>
            <w:tcW w:w="1421" w:type="dxa"/>
            <w:vAlign w:val="top"/>
          </w:tcPr>
          <w:p w14:paraId="40480164">
            <w:pPr>
              <w:pStyle w:val="6"/>
              <w:spacing w:before="130" w:line="187" w:lineRule="auto"/>
              <w:ind w:left="285"/>
            </w:pPr>
            <w:r>
              <w:rPr>
                <w:b/>
                <w:bCs/>
                <w:spacing w:val="-2"/>
              </w:rPr>
              <w:t>Scincidae</w:t>
            </w:r>
          </w:p>
        </w:tc>
        <w:tc>
          <w:tcPr>
            <w:tcW w:w="700" w:type="dxa"/>
            <w:vAlign w:val="top"/>
          </w:tcPr>
          <w:p w14:paraId="51582D65">
            <w:pPr>
              <w:pStyle w:val="6"/>
              <w:spacing w:before="131" w:line="186" w:lineRule="auto"/>
              <w:ind w:left="231"/>
            </w:pPr>
            <w:r>
              <w:rPr>
                <w:b/>
                <w:bCs/>
                <w:spacing w:val="-2"/>
              </w:rPr>
              <w:t>F2</w:t>
            </w:r>
          </w:p>
        </w:tc>
        <w:tc>
          <w:tcPr>
            <w:tcW w:w="1694" w:type="dxa"/>
            <w:vAlign w:val="top"/>
          </w:tcPr>
          <w:p w14:paraId="329129AB">
            <w:pPr>
              <w:spacing w:before="94" w:line="219" w:lineRule="auto"/>
              <w:ind w:left="431"/>
              <w:rPr>
                <w:rFonts w:ascii="宋体" w:hAnsi="宋体" w:eastAsia="宋体" w:cs="宋体"/>
                <w:sz w:val="21"/>
                <w:szCs w:val="21"/>
              </w:rPr>
            </w:pPr>
            <w:r>
              <w:rPr>
                <w:rFonts w:ascii="宋体" w:hAnsi="宋体" w:eastAsia="宋体" w:cs="宋体"/>
                <w:b/>
                <w:bCs/>
                <w:spacing w:val="-4"/>
                <w:sz w:val="21"/>
                <w:szCs w:val="21"/>
              </w:rPr>
              <w:t>石龙子科</w:t>
            </w:r>
          </w:p>
        </w:tc>
        <w:tc>
          <w:tcPr>
            <w:tcW w:w="1415" w:type="dxa"/>
            <w:vAlign w:val="top"/>
          </w:tcPr>
          <w:p w14:paraId="4DDC2973">
            <w:pPr>
              <w:pStyle w:val="6"/>
              <w:spacing w:before="130" w:line="187" w:lineRule="auto"/>
              <w:ind w:left="295"/>
            </w:pPr>
            <w:r>
              <w:rPr>
                <w:b/>
                <w:bCs/>
                <w:spacing w:val="-2"/>
              </w:rPr>
              <w:t>Scincidae</w:t>
            </w:r>
          </w:p>
        </w:tc>
        <w:tc>
          <w:tcPr>
            <w:tcW w:w="843" w:type="dxa"/>
            <w:tcBorders>
              <w:right w:val="single" w:color="000000" w:sz="12" w:space="0"/>
            </w:tcBorders>
            <w:vAlign w:val="top"/>
          </w:tcPr>
          <w:p w14:paraId="5197A965">
            <w:pPr>
              <w:rPr>
                <w:rFonts w:ascii="Arial"/>
                <w:sz w:val="21"/>
              </w:rPr>
            </w:pPr>
          </w:p>
        </w:tc>
      </w:tr>
      <w:tr w14:paraId="16590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05" w:type="dxa"/>
            <w:tcBorders>
              <w:left w:val="single" w:color="000000" w:sz="12" w:space="0"/>
            </w:tcBorders>
            <w:vAlign w:val="top"/>
          </w:tcPr>
          <w:p w14:paraId="2340F7EA">
            <w:pPr>
              <w:pStyle w:val="6"/>
              <w:spacing w:before="231" w:line="235" w:lineRule="auto"/>
              <w:ind w:left="282"/>
            </w:pPr>
            <w:r>
              <w:t>2</w:t>
            </w:r>
          </w:p>
        </w:tc>
        <w:tc>
          <w:tcPr>
            <w:tcW w:w="1696" w:type="dxa"/>
            <w:vAlign w:val="top"/>
          </w:tcPr>
          <w:p w14:paraId="455F40B5">
            <w:pPr>
              <w:spacing w:before="197" w:line="220" w:lineRule="auto"/>
              <w:ind w:left="526"/>
              <w:rPr>
                <w:rFonts w:ascii="宋体" w:hAnsi="宋体" w:eastAsia="宋体" w:cs="宋体"/>
                <w:sz w:val="21"/>
                <w:szCs w:val="21"/>
              </w:rPr>
            </w:pPr>
            <w:r>
              <w:rPr>
                <w:rFonts w:ascii="宋体" w:hAnsi="宋体" w:eastAsia="宋体" w:cs="宋体"/>
                <w:spacing w:val="-2"/>
                <w:sz w:val="21"/>
                <w:szCs w:val="21"/>
              </w:rPr>
              <w:t>铜蜓蜥</w:t>
            </w:r>
          </w:p>
        </w:tc>
        <w:tc>
          <w:tcPr>
            <w:tcW w:w="1421" w:type="dxa"/>
            <w:vAlign w:val="top"/>
          </w:tcPr>
          <w:p w14:paraId="35F9E1DA">
            <w:pPr>
              <w:pStyle w:val="6"/>
              <w:spacing w:before="110" w:line="190" w:lineRule="auto"/>
              <w:ind w:left="118"/>
            </w:pPr>
            <w:r>
              <w:rPr>
                <w:i/>
                <w:iCs/>
                <w:spacing w:val="-1"/>
              </w:rPr>
              <w:t>Sphenomorph</w:t>
            </w:r>
          </w:p>
          <w:p w14:paraId="2D916780">
            <w:pPr>
              <w:pStyle w:val="6"/>
              <w:spacing w:before="49" w:line="203" w:lineRule="auto"/>
              <w:ind w:left="283"/>
            </w:pPr>
            <w:r>
              <w:rPr>
                <w:i/>
                <w:iCs/>
                <w:spacing w:val="-2"/>
              </w:rPr>
              <w:t>us</w:t>
            </w:r>
            <w:r>
              <w:rPr>
                <w:i/>
                <w:iCs/>
                <w:spacing w:val="11"/>
              </w:rPr>
              <w:t xml:space="preserve"> </w:t>
            </w:r>
            <w:r>
              <w:rPr>
                <w:i/>
                <w:iCs/>
                <w:spacing w:val="-2"/>
              </w:rPr>
              <w:t>indicus</w:t>
            </w:r>
          </w:p>
        </w:tc>
        <w:tc>
          <w:tcPr>
            <w:tcW w:w="700" w:type="dxa"/>
            <w:vAlign w:val="top"/>
          </w:tcPr>
          <w:p w14:paraId="570D7552">
            <w:pPr>
              <w:pStyle w:val="6"/>
              <w:spacing w:before="231" w:line="235" w:lineRule="auto"/>
              <w:ind w:left="295"/>
            </w:pPr>
            <w:r>
              <w:t>2</w:t>
            </w:r>
          </w:p>
        </w:tc>
        <w:tc>
          <w:tcPr>
            <w:tcW w:w="1694" w:type="dxa"/>
            <w:vAlign w:val="top"/>
          </w:tcPr>
          <w:p w14:paraId="4077DE31">
            <w:pPr>
              <w:spacing w:before="197" w:line="220" w:lineRule="auto"/>
              <w:ind w:left="537"/>
              <w:rPr>
                <w:rFonts w:ascii="宋体" w:hAnsi="宋体" w:eastAsia="宋体" w:cs="宋体"/>
                <w:sz w:val="21"/>
                <w:szCs w:val="21"/>
              </w:rPr>
            </w:pPr>
            <w:r>
              <w:rPr>
                <w:rFonts w:ascii="宋体" w:hAnsi="宋体" w:eastAsia="宋体" w:cs="宋体"/>
                <w:spacing w:val="-2"/>
                <w:sz w:val="21"/>
                <w:szCs w:val="21"/>
              </w:rPr>
              <w:t>铜蜓蜥</w:t>
            </w:r>
          </w:p>
        </w:tc>
        <w:tc>
          <w:tcPr>
            <w:tcW w:w="1415" w:type="dxa"/>
            <w:vAlign w:val="top"/>
          </w:tcPr>
          <w:p w14:paraId="7715B525">
            <w:pPr>
              <w:pStyle w:val="6"/>
              <w:spacing w:before="110" w:line="190" w:lineRule="auto"/>
              <w:ind w:left="128"/>
            </w:pPr>
            <w:r>
              <w:rPr>
                <w:i/>
                <w:iCs/>
                <w:spacing w:val="-1"/>
              </w:rPr>
              <w:t>Sphenomorph</w:t>
            </w:r>
          </w:p>
          <w:p w14:paraId="0CF6DB0C">
            <w:pPr>
              <w:pStyle w:val="6"/>
              <w:spacing w:before="49" w:line="203" w:lineRule="auto"/>
              <w:ind w:left="294"/>
            </w:pPr>
            <w:r>
              <w:rPr>
                <w:i/>
                <w:iCs/>
                <w:spacing w:val="-2"/>
              </w:rPr>
              <w:t>us</w:t>
            </w:r>
            <w:r>
              <w:rPr>
                <w:i/>
                <w:iCs/>
                <w:spacing w:val="11"/>
              </w:rPr>
              <w:t xml:space="preserve"> </w:t>
            </w:r>
            <w:r>
              <w:rPr>
                <w:i/>
                <w:iCs/>
                <w:spacing w:val="-2"/>
              </w:rPr>
              <w:t>indicus</w:t>
            </w:r>
          </w:p>
        </w:tc>
        <w:tc>
          <w:tcPr>
            <w:tcW w:w="843" w:type="dxa"/>
            <w:tcBorders>
              <w:right w:val="single" w:color="000000" w:sz="12" w:space="0"/>
            </w:tcBorders>
            <w:vAlign w:val="top"/>
          </w:tcPr>
          <w:p w14:paraId="6B65CB10">
            <w:pPr>
              <w:rPr>
                <w:rFonts w:ascii="Arial"/>
                <w:sz w:val="21"/>
              </w:rPr>
            </w:pPr>
          </w:p>
        </w:tc>
      </w:tr>
      <w:tr w14:paraId="2E6DE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705" w:type="dxa"/>
            <w:tcBorders>
              <w:left w:val="single" w:color="000000" w:sz="12" w:space="0"/>
              <w:bottom w:val="single" w:color="000000" w:sz="12" w:space="0"/>
            </w:tcBorders>
            <w:vAlign w:val="top"/>
          </w:tcPr>
          <w:p w14:paraId="031F5E3C">
            <w:pPr>
              <w:pStyle w:val="6"/>
              <w:spacing w:before="233" w:line="232" w:lineRule="auto"/>
              <w:ind w:left="287"/>
            </w:pPr>
            <w:r>
              <w:t>3</w:t>
            </w:r>
          </w:p>
        </w:tc>
        <w:tc>
          <w:tcPr>
            <w:tcW w:w="1696" w:type="dxa"/>
            <w:tcBorders>
              <w:bottom w:val="single" w:color="000000" w:sz="12" w:space="0"/>
            </w:tcBorders>
            <w:vAlign w:val="top"/>
          </w:tcPr>
          <w:p w14:paraId="23FAEED8">
            <w:pPr>
              <w:spacing w:before="199" w:line="220" w:lineRule="auto"/>
              <w:ind w:left="317"/>
              <w:rPr>
                <w:rFonts w:ascii="宋体" w:hAnsi="宋体" w:eastAsia="宋体" w:cs="宋体"/>
                <w:sz w:val="21"/>
                <w:szCs w:val="21"/>
              </w:rPr>
            </w:pPr>
            <w:r>
              <w:rPr>
                <w:rFonts w:ascii="宋体" w:hAnsi="宋体" w:eastAsia="宋体" w:cs="宋体"/>
                <w:spacing w:val="-2"/>
                <w:sz w:val="21"/>
                <w:szCs w:val="21"/>
              </w:rPr>
              <w:t>蓝尾石龙子</w:t>
            </w:r>
          </w:p>
        </w:tc>
        <w:tc>
          <w:tcPr>
            <w:tcW w:w="1421" w:type="dxa"/>
            <w:tcBorders>
              <w:bottom w:val="single" w:color="000000" w:sz="12" w:space="0"/>
            </w:tcBorders>
            <w:vAlign w:val="top"/>
          </w:tcPr>
          <w:p w14:paraId="6DFB306D">
            <w:pPr>
              <w:pStyle w:val="6"/>
              <w:spacing w:before="113" w:line="190" w:lineRule="auto"/>
              <w:ind w:left="246"/>
            </w:pPr>
            <w:r>
              <w:rPr>
                <w:i/>
                <w:iCs/>
              </w:rPr>
              <w:t>Plestiodon</w:t>
            </w:r>
          </w:p>
          <w:p w14:paraId="7F85EA8E">
            <w:pPr>
              <w:pStyle w:val="6"/>
              <w:spacing w:before="50" w:line="190" w:lineRule="auto"/>
              <w:ind w:left="386"/>
            </w:pPr>
            <w:r>
              <w:rPr>
                <w:i/>
                <w:iCs/>
                <w:spacing w:val="-1"/>
              </w:rPr>
              <w:t>elegans</w:t>
            </w:r>
          </w:p>
        </w:tc>
        <w:tc>
          <w:tcPr>
            <w:tcW w:w="700" w:type="dxa"/>
            <w:tcBorders>
              <w:bottom w:val="single" w:color="000000" w:sz="12" w:space="0"/>
            </w:tcBorders>
            <w:vAlign w:val="top"/>
          </w:tcPr>
          <w:p w14:paraId="4E92D787">
            <w:pPr>
              <w:rPr>
                <w:rFonts w:ascii="Arial"/>
                <w:sz w:val="21"/>
              </w:rPr>
            </w:pPr>
          </w:p>
        </w:tc>
        <w:tc>
          <w:tcPr>
            <w:tcW w:w="1694" w:type="dxa"/>
            <w:tcBorders>
              <w:bottom w:val="single" w:color="000000" w:sz="12" w:space="0"/>
            </w:tcBorders>
            <w:vAlign w:val="top"/>
          </w:tcPr>
          <w:p w14:paraId="4B7D312C">
            <w:pPr>
              <w:rPr>
                <w:rFonts w:ascii="Arial"/>
                <w:sz w:val="21"/>
              </w:rPr>
            </w:pPr>
          </w:p>
        </w:tc>
        <w:tc>
          <w:tcPr>
            <w:tcW w:w="1415" w:type="dxa"/>
            <w:tcBorders>
              <w:bottom w:val="single" w:color="000000" w:sz="12" w:space="0"/>
            </w:tcBorders>
            <w:vAlign w:val="top"/>
          </w:tcPr>
          <w:p w14:paraId="3C792B7C">
            <w:pPr>
              <w:rPr>
                <w:rFonts w:ascii="Arial"/>
                <w:sz w:val="21"/>
              </w:rPr>
            </w:pPr>
          </w:p>
        </w:tc>
        <w:tc>
          <w:tcPr>
            <w:tcW w:w="843" w:type="dxa"/>
            <w:tcBorders>
              <w:bottom w:val="single" w:color="000000" w:sz="12" w:space="0"/>
              <w:right w:val="single" w:color="000000" w:sz="12" w:space="0"/>
            </w:tcBorders>
            <w:vAlign w:val="top"/>
          </w:tcPr>
          <w:p w14:paraId="4FC13EB4">
            <w:pPr>
              <w:rPr>
                <w:rFonts w:ascii="Arial"/>
                <w:sz w:val="21"/>
              </w:rPr>
            </w:pPr>
          </w:p>
        </w:tc>
      </w:tr>
    </w:tbl>
    <w:p w14:paraId="4A9E368D">
      <w:pPr>
        <w:rPr>
          <w:rFonts w:ascii="Arial"/>
          <w:sz w:val="21"/>
        </w:rPr>
      </w:pPr>
    </w:p>
    <w:p w14:paraId="06E98547">
      <w:pPr>
        <w:rPr>
          <w:rFonts w:ascii="Arial" w:hAnsi="Arial" w:eastAsia="Arial" w:cs="Arial"/>
          <w:sz w:val="21"/>
          <w:szCs w:val="21"/>
        </w:rPr>
        <w:sectPr>
          <w:headerReference r:id="rId168" w:type="default"/>
          <w:footerReference r:id="rId169" w:type="default"/>
          <w:pgSz w:w="11907" w:h="16839"/>
          <w:pgMar w:top="1376" w:right="1514" w:bottom="1061" w:left="1671" w:header="999" w:footer="861" w:gutter="0"/>
          <w:cols w:space="720" w:num="1"/>
        </w:sectPr>
      </w:pPr>
    </w:p>
    <w:p w14:paraId="782E041D">
      <w:pPr>
        <w:spacing w:before="148"/>
      </w:pP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696"/>
        <w:gridCol w:w="1421"/>
        <w:gridCol w:w="700"/>
        <w:gridCol w:w="1694"/>
        <w:gridCol w:w="1415"/>
        <w:gridCol w:w="843"/>
      </w:tblGrid>
      <w:tr w14:paraId="4F6C1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3822" w:type="dxa"/>
            <w:gridSpan w:val="3"/>
            <w:tcBorders>
              <w:top w:val="single" w:color="000000" w:sz="12" w:space="0"/>
              <w:left w:val="single" w:color="000000" w:sz="12" w:space="0"/>
            </w:tcBorders>
            <w:vAlign w:val="top"/>
          </w:tcPr>
          <w:p w14:paraId="701208D9">
            <w:pPr>
              <w:pStyle w:val="6"/>
              <w:spacing w:before="70" w:line="233" w:lineRule="auto"/>
              <w:ind w:left="930"/>
              <w:rPr>
                <w:rFonts w:ascii="宋体" w:hAnsi="宋体" w:eastAsia="宋体" w:cs="宋体"/>
              </w:rPr>
            </w:pPr>
            <w:r>
              <w:rPr>
                <w:rFonts w:ascii="宋体" w:hAnsi="宋体" w:eastAsia="宋体" w:cs="宋体"/>
                <w:spacing w:val="-1"/>
              </w:rPr>
              <w:t>环评阶段（</w:t>
            </w:r>
            <w:r>
              <w:rPr>
                <w:spacing w:val="-1"/>
              </w:rPr>
              <w:t xml:space="preserve">2015 </w:t>
            </w:r>
            <w:r>
              <w:rPr>
                <w:rFonts w:ascii="宋体" w:hAnsi="宋体" w:eastAsia="宋体" w:cs="宋体"/>
                <w:spacing w:val="-1"/>
              </w:rPr>
              <w:t>年）</w:t>
            </w:r>
          </w:p>
        </w:tc>
        <w:tc>
          <w:tcPr>
            <w:tcW w:w="3809" w:type="dxa"/>
            <w:gridSpan w:val="3"/>
            <w:tcBorders>
              <w:top w:val="single" w:color="000000" w:sz="12" w:space="0"/>
            </w:tcBorders>
            <w:vAlign w:val="top"/>
          </w:tcPr>
          <w:p w14:paraId="194B4599">
            <w:pPr>
              <w:pStyle w:val="6"/>
              <w:spacing w:before="70" w:line="233" w:lineRule="auto"/>
              <w:ind w:left="1044"/>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3" w:type="dxa"/>
            <w:vMerge w:val="restart"/>
            <w:tcBorders>
              <w:top w:val="single" w:color="000000" w:sz="12" w:space="0"/>
              <w:bottom w:val="nil"/>
              <w:right w:val="single" w:color="000000" w:sz="12" w:space="0"/>
            </w:tcBorders>
            <w:vAlign w:val="top"/>
          </w:tcPr>
          <w:p w14:paraId="7542CB2D">
            <w:pPr>
              <w:spacing w:before="118" w:line="241" w:lineRule="auto"/>
              <w:ind w:left="220" w:right="192"/>
              <w:rPr>
                <w:rFonts w:ascii="宋体" w:hAnsi="宋体" w:eastAsia="宋体" w:cs="宋体"/>
                <w:sz w:val="21"/>
                <w:szCs w:val="21"/>
              </w:rPr>
            </w:pPr>
            <w:r>
              <w:rPr>
                <w:rFonts w:ascii="宋体" w:hAnsi="宋体" w:eastAsia="宋体" w:cs="宋体"/>
                <w:spacing w:val="-5"/>
                <w:sz w:val="21"/>
                <w:szCs w:val="21"/>
              </w:rPr>
              <w:t>保护情况</w:t>
            </w:r>
          </w:p>
        </w:tc>
      </w:tr>
      <w:tr w14:paraId="1CEC6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05" w:type="dxa"/>
            <w:tcBorders>
              <w:left w:val="single" w:color="000000" w:sz="12" w:space="0"/>
            </w:tcBorders>
            <w:vAlign w:val="top"/>
          </w:tcPr>
          <w:p w14:paraId="22754A8B">
            <w:pPr>
              <w:spacing w:before="69" w:line="221" w:lineRule="auto"/>
              <w:ind w:left="128"/>
              <w:rPr>
                <w:rFonts w:ascii="宋体" w:hAnsi="宋体" w:eastAsia="宋体" w:cs="宋体"/>
                <w:sz w:val="21"/>
                <w:szCs w:val="21"/>
              </w:rPr>
            </w:pPr>
            <w:r>
              <w:rPr>
                <w:rFonts w:ascii="宋体" w:hAnsi="宋体" w:eastAsia="宋体" w:cs="宋体"/>
                <w:spacing w:val="-2"/>
                <w:sz w:val="21"/>
                <w:szCs w:val="21"/>
              </w:rPr>
              <w:t>序号</w:t>
            </w:r>
          </w:p>
        </w:tc>
        <w:tc>
          <w:tcPr>
            <w:tcW w:w="1696" w:type="dxa"/>
            <w:vAlign w:val="top"/>
          </w:tcPr>
          <w:p w14:paraId="50ED9821">
            <w:pPr>
              <w:spacing w:before="69" w:line="220" w:lineRule="auto"/>
              <w:ind w:left="546"/>
              <w:rPr>
                <w:rFonts w:ascii="宋体" w:hAnsi="宋体" w:eastAsia="宋体" w:cs="宋体"/>
                <w:sz w:val="21"/>
                <w:szCs w:val="21"/>
              </w:rPr>
            </w:pPr>
            <w:r>
              <w:rPr>
                <w:rFonts w:ascii="宋体" w:hAnsi="宋体" w:eastAsia="宋体" w:cs="宋体"/>
                <w:spacing w:val="-7"/>
                <w:sz w:val="21"/>
                <w:szCs w:val="21"/>
              </w:rPr>
              <w:t>中文名</w:t>
            </w:r>
          </w:p>
        </w:tc>
        <w:tc>
          <w:tcPr>
            <w:tcW w:w="1421" w:type="dxa"/>
            <w:vAlign w:val="top"/>
          </w:tcPr>
          <w:p w14:paraId="3C89B75F">
            <w:pPr>
              <w:spacing w:before="69" w:line="221" w:lineRule="auto"/>
              <w:ind w:left="395"/>
              <w:rPr>
                <w:rFonts w:ascii="宋体" w:hAnsi="宋体" w:eastAsia="宋体" w:cs="宋体"/>
                <w:sz w:val="21"/>
                <w:szCs w:val="21"/>
              </w:rPr>
            </w:pPr>
            <w:r>
              <w:rPr>
                <w:rFonts w:ascii="宋体" w:hAnsi="宋体" w:eastAsia="宋体" w:cs="宋体"/>
                <w:spacing w:val="-3"/>
                <w:sz w:val="21"/>
                <w:szCs w:val="21"/>
              </w:rPr>
              <w:t>拉丁名</w:t>
            </w:r>
          </w:p>
        </w:tc>
        <w:tc>
          <w:tcPr>
            <w:tcW w:w="700" w:type="dxa"/>
            <w:vAlign w:val="top"/>
          </w:tcPr>
          <w:p w14:paraId="561FB6D3">
            <w:pPr>
              <w:spacing w:before="69" w:line="221" w:lineRule="auto"/>
              <w:ind w:left="140"/>
              <w:rPr>
                <w:rFonts w:ascii="宋体" w:hAnsi="宋体" w:eastAsia="宋体" w:cs="宋体"/>
                <w:sz w:val="21"/>
                <w:szCs w:val="21"/>
              </w:rPr>
            </w:pPr>
            <w:r>
              <w:rPr>
                <w:rFonts w:ascii="宋体" w:hAnsi="宋体" w:eastAsia="宋体" w:cs="宋体"/>
                <w:spacing w:val="-2"/>
                <w:sz w:val="21"/>
                <w:szCs w:val="21"/>
              </w:rPr>
              <w:t>序号</w:t>
            </w:r>
          </w:p>
        </w:tc>
        <w:tc>
          <w:tcPr>
            <w:tcW w:w="1694" w:type="dxa"/>
            <w:vAlign w:val="top"/>
          </w:tcPr>
          <w:p w14:paraId="6E531B6D">
            <w:pPr>
              <w:spacing w:before="69" w:line="220" w:lineRule="auto"/>
              <w:ind w:left="557"/>
              <w:rPr>
                <w:rFonts w:ascii="宋体" w:hAnsi="宋体" w:eastAsia="宋体" w:cs="宋体"/>
                <w:sz w:val="21"/>
                <w:szCs w:val="21"/>
              </w:rPr>
            </w:pPr>
            <w:r>
              <w:rPr>
                <w:rFonts w:ascii="宋体" w:hAnsi="宋体" w:eastAsia="宋体" w:cs="宋体"/>
                <w:spacing w:val="-7"/>
                <w:sz w:val="21"/>
                <w:szCs w:val="21"/>
              </w:rPr>
              <w:t>中文名</w:t>
            </w:r>
          </w:p>
        </w:tc>
        <w:tc>
          <w:tcPr>
            <w:tcW w:w="1415" w:type="dxa"/>
            <w:vAlign w:val="top"/>
          </w:tcPr>
          <w:p w14:paraId="32A7BF12">
            <w:pPr>
              <w:spacing w:before="69" w:line="221" w:lineRule="auto"/>
              <w:ind w:left="405"/>
              <w:rPr>
                <w:rFonts w:ascii="宋体" w:hAnsi="宋体" w:eastAsia="宋体" w:cs="宋体"/>
                <w:sz w:val="21"/>
                <w:szCs w:val="21"/>
              </w:rPr>
            </w:pPr>
            <w:r>
              <w:rPr>
                <w:rFonts w:ascii="宋体" w:hAnsi="宋体" w:eastAsia="宋体" w:cs="宋体"/>
                <w:spacing w:val="-3"/>
                <w:sz w:val="21"/>
                <w:szCs w:val="21"/>
              </w:rPr>
              <w:t>拉丁名</w:t>
            </w:r>
          </w:p>
        </w:tc>
        <w:tc>
          <w:tcPr>
            <w:tcW w:w="843" w:type="dxa"/>
            <w:vMerge w:val="continue"/>
            <w:tcBorders>
              <w:top w:val="nil"/>
              <w:right w:val="single" w:color="000000" w:sz="12" w:space="0"/>
            </w:tcBorders>
            <w:vAlign w:val="top"/>
          </w:tcPr>
          <w:p w14:paraId="249BA27F">
            <w:pPr>
              <w:rPr>
                <w:rFonts w:ascii="Arial"/>
                <w:sz w:val="21"/>
              </w:rPr>
            </w:pPr>
          </w:p>
        </w:tc>
      </w:tr>
      <w:tr w14:paraId="53585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05" w:type="dxa"/>
            <w:tcBorders>
              <w:left w:val="single" w:color="000000" w:sz="12" w:space="0"/>
            </w:tcBorders>
            <w:vAlign w:val="top"/>
          </w:tcPr>
          <w:p w14:paraId="620B2059">
            <w:pPr>
              <w:pStyle w:val="6"/>
              <w:spacing w:before="115" w:line="186" w:lineRule="auto"/>
              <w:ind w:left="219"/>
            </w:pPr>
            <w:r>
              <w:rPr>
                <w:b/>
                <w:bCs/>
                <w:spacing w:val="-2"/>
              </w:rPr>
              <w:t>F3</w:t>
            </w:r>
          </w:p>
        </w:tc>
        <w:tc>
          <w:tcPr>
            <w:tcW w:w="1696" w:type="dxa"/>
            <w:vAlign w:val="top"/>
          </w:tcPr>
          <w:p w14:paraId="56E7FA7C">
            <w:pPr>
              <w:spacing w:before="76" w:line="219" w:lineRule="auto"/>
              <w:ind w:left="528"/>
              <w:rPr>
                <w:rFonts w:ascii="宋体" w:hAnsi="宋体" w:eastAsia="宋体" w:cs="宋体"/>
                <w:sz w:val="21"/>
                <w:szCs w:val="21"/>
              </w:rPr>
            </w:pPr>
            <w:r>
              <w:rPr>
                <w:rFonts w:ascii="宋体" w:hAnsi="宋体" w:eastAsia="宋体" w:cs="宋体"/>
                <w:b/>
                <w:bCs/>
                <w:spacing w:val="-5"/>
                <w:sz w:val="21"/>
                <w:szCs w:val="21"/>
              </w:rPr>
              <w:t>鬣蜥科</w:t>
            </w:r>
          </w:p>
        </w:tc>
        <w:tc>
          <w:tcPr>
            <w:tcW w:w="1421" w:type="dxa"/>
            <w:vAlign w:val="top"/>
          </w:tcPr>
          <w:p w14:paraId="4A3D0811">
            <w:pPr>
              <w:pStyle w:val="6"/>
              <w:spacing w:before="115" w:line="186" w:lineRule="auto"/>
              <w:ind w:left="247"/>
            </w:pPr>
            <w:r>
              <w:rPr>
                <w:b/>
                <w:bCs/>
                <w:spacing w:val="-1"/>
              </w:rPr>
              <w:t>Agamidae</w:t>
            </w:r>
          </w:p>
        </w:tc>
        <w:tc>
          <w:tcPr>
            <w:tcW w:w="700" w:type="dxa"/>
            <w:vAlign w:val="top"/>
          </w:tcPr>
          <w:p w14:paraId="27CD5900">
            <w:pPr>
              <w:pStyle w:val="6"/>
              <w:spacing w:before="115" w:line="186" w:lineRule="auto"/>
              <w:ind w:left="231"/>
            </w:pPr>
            <w:r>
              <w:rPr>
                <w:b/>
                <w:bCs/>
                <w:spacing w:val="-2"/>
              </w:rPr>
              <w:t>F3</w:t>
            </w:r>
          </w:p>
        </w:tc>
        <w:tc>
          <w:tcPr>
            <w:tcW w:w="1694" w:type="dxa"/>
            <w:vAlign w:val="top"/>
          </w:tcPr>
          <w:p w14:paraId="2A0F9F50">
            <w:pPr>
              <w:spacing w:before="76" w:line="219" w:lineRule="auto"/>
              <w:ind w:left="539"/>
              <w:rPr>
                <w:rFonts w:ascii="宋体" w:hAnsi="宋体" w:eastAsia="宋体" w:cs="宋体"/>
                <w:sz w:val="21"/>
                <w:szCs w:val="21"/>
              </w:rPr>
            </w:pPr>
            <w:r>
              <w:rPr>
                <w:rFonts w:ascii="宋体" w:hAnsi="宋体" w:eastAsia="宋体" w:cs="宋体"/>
                <w:b/>
                <w:bCs/>
                <w:spacing w:val="-5"/>
                <w:sz w:val="21"/>
                <w:szCs w:val="21"/>
              </w:rPr>
              <w:t>鬣蜥科</w:t>
            </w:r>
          </w:p>
        </w:tc>
        <w:tc>
          <w:tcPr>
            <w:tcW w:w="1415" w:type="dxa"/>
            <w:vAlign w:val="top"/>
          </w:tcPr>
          <w:p w14:paraId="7E6899F0">
            <w:pPr>
              <w:pStyle w:val="6"/>
              <w:spacing w:before="115" w:line="186" w:lineRule="auto"/>
              <w:ind w:left="257"/>
            </w:pPr>
            <w:r>
              <w:rPr>
                <w:b/>
                <w:bCs/>
                <w:spacing w:val="-1"/>
              </w:rPr>
              <w:t>Agamidae</w:t>
            </w:r>
          </w:p>
        </w:tc>
        <w:tc>
          <w:tcPr>
            <w:tcW w:w="843" w:type="dxa"/>
            <w:tcBorders>
              <w:right w:val="single" w:color="000000" w:sz="12" w:space="0"/>
            </w:tcBorders>
            <w:vAlign w:val="top"/>
          </w:tcPr>
          <w:p w14:paraId="267556B3">
            <w:pPr>
              <w:rPr>
                <w:rFonts w:ascii="Arial"/>
                <w:sz w:val="21"/>
              </w:rPr>
            </w:pPr>
          </w:p>
        </w:tc>
      </w:tr>
      <w:tr w14:paraId="41E05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11D0A930">
            <w:pPr>
              <w:pStyle w:val="6"/>
              <w:spacing w:before="210" w:line="235" w:lineRule="auto"/>
              <w:ind w:left="281"/>
            </w:pPr>
            <w:r>
              <w:t>4</w:t>
            </w:r>
          </w:p>
        </w:tc>
        <w:tc>
          <w:tcPr>
            <w:tcW w:w="1696" w:type="dxa"/>
            <w:vAlign w:val="top"/>
          </w:tcPr>
          <w:p w14:paraId="5513662F">
            <w:pPr>
              <w:spacing w:before="176" w:line="220" w:lineRule="auto"/>
              <w:ind w:left="447"/>
              <w:rPr>
                <w:rFonts w:ascii="宋体" w:hAnsi="宋体" w:eastAsia="宋体" w:cs="宋体"/>
                <w:sz w:val="21"/>
                <w:szCs w:val="21"/>
              </w:rPr>
            </w:pPr>
            <w:r>
              <w:rPr>
                <w:rFonts w:ascii="宋体" w:hAnsi="宋体" w:eastAsia="宋体" w:cs="宋体"/>
                <w:spacing w:val="-7"/>
                <w:sz w:val="21"/>
                <w:szCs w:val="21"/>
              </w:rPr>
              <w:t>昆明龙蜥</w:t>
            </w:r>
          </w:p>
        </w:tc>
        <w:tc>
          <w:tcPr>
            <w:tcW w:w="1421" w:type="dxa"/>
            <w:vAlign w:val="top"/>
          </w:tcPr>
          <w:p w14:paraId="33B23C22">
            <w:pPr>
              <w:pStyle w:val="6"/>
              <w:spacing w:before="89" w:line="190" w:lineRule="auto"/>
              <w:ind w:left="186"/>
            </w:pPr>
            <w:r>
              <w:rPr>
                <w:i/>
                <w:iCs/>
              </w:rPr>
              <w:t>Diploderma</w:t>
            </w:r>
          </w:p>
          <w:p w14:paraId="1F657DB8">
            <w:pPr>
              <w:pStyle w:val="6"/>
              <w:spacing w:before="49" w:line="225" w:lineRule="auto"/>
              <w:ind w:left="366"/>
            </w:pPr>
            <w:r>
              <w:rPr>
                <w:i/>
                <w:iCs/>
                <w:spacing w:val="-1"/>
              </w:rPr>
              <w:t>varcoae</w:t>
            </w:r>
          </w:p>
        </w:tc>
        <w:tc>
          <w:tcPr>
            <w:tcW w:w="700" w:type="dxa"/>
            <w:vAlign w:val="top"/>
          </w:tcPr>
          <w:p w14:paraId="56A787CF">
            <w:pPr>
              <w:pStyle w:val="6"/>
              <w:spacing w:before="211" w:line="232" w:lineRule="auto"/>
              <w:ind w:left="299"/>
            </w:pPr>
            <w:r>
              <w:t>3</w:t>
            </w:r>
          </w:p>
        </w:tc>
        <w:tc>
          <w:tcPr>
            <w:tcW w:w="1694" w:type="dxa"/>
            <w:vAlign w:val="top"/>
          </w:tcPr>
          <w:p w14:paraId="7837DD63">
            <w:pPr>
              <w:spacing w:before="176" w:line="220" w:lineRule="auto"/>
              <w:ind w:left="457"/>
              <w:rPr>
                <w:rFonts w:ascii="宋体" w:hAnsi="宋体" w:eastAsia="宋体" w:cs="宋体"/>
                <w:sz w:val="21"/>
                <w:szCs w:val="21"/>
              </w:rPr>
            </w:pPr>
            <w:r>
              <w:rPr>
                <w:rFonts w:ascii="宋体" w:hAnsi="宋体" w:eastAsia="宋体" w:cs="宋体"/>
                <w:spacing w:val="-7"/>
                <w:sz w:val="21"/>
                <w:szCs w:val="21"/>
              </w:rPr>
              <w:t>昆明龙蜥</w:t>
            </w:r>
          </w:p>
        </w:tc>
        <w:tc>
          <w:tcPr>
            <w:tcW w:w="1415" w:type="dxa"/>
            <w:vAlign w:val="top"/>
          </w:tcPr>
          <w:p w14:paraId="190BBD49">
            <w:pPr>
              <w:pStyle w:val="6"/>
              <w:spacing w:before="89" w:line="190" w:lineRule="auto"/>
              <w:ind w:left="196"/>
            </w:pPr>
            <w:r>
              <w:rPr>
                <w:i/>
                <w:iCs/>
              </w:rPr>
              <w:t>Diploderma</w:t>
            </w:r>
          </w:p>
          <w:p w14:paraId="01483B1B">
            <w:pPr>
              <w:pStyle w:val="6"/>
              <w:spacing w:before="49" w:line="225" w:lineRule="auto"/>
              <w:ind w:left="376"/>
            </w:pPr>
            <w:r>
              <w:rPr>
                <w:i/>
                <w:iCs/>
                <w:spacing w:val="-1"/>
              </w:rPr>
              <w:t>varcoae</w:t>
            </w:r>
          </w:p>
        </w:tc>
        <w:tc>
          <w:tcPr>
            <w:tcW w:w="843" w:type="dxa"/>
            <w:tcBorders>
              <w:right w:val="single" w:color="000000" w:sz="12" w:space="0"/>
            </w:tcBorders>
            <w:vAlign w:val="top"/>
          </w:tcPr>
          <w:p w14:paraId="5FA02119">
            <w:pPr>
              <w:spacing w:before="176" w:line="220" w:lineRule="auto"/>
              <w:ind w:left="219"/>
              <w:rPr>
                <w:rFonts w:ascii="宋体" w:hAnsi="宋体" w:eastAsia="宋体" w:cs="宋体"/>
                <w:sz w:val="21"/>
                <w:szCs w:val="21"/>
              </w:rPr>
            </w:pPr>
            <w:r>
              <w:rPr>
                <w:rFonts w:ascii="宋体" w:hAnsi="宋体" w:eastAsia="宋体" w:cs="宋体"/>
                <w:spacing w:val="-3"/>
                <w:sz w:val="21"/>
                <w:szCs w:val="21"/>
              </w:rPr>
              <w:t>特有</w:t>
            </w:r>
          </w:p>
        </w:tc>
      </w:tr>
      <w:tr w14:paraId="476F9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05" w:type="dxa"/>
            <w:tcBorders>
              <w:left w:val="single" w:color="000000" w:sz="12" w:space="0"/>
            </w:tcBorders>
            <w:vAlign w:val="top"/>
          </w:tcPr>
          <w:p w14:paraId="118BE91A">
            <w:pPr>
              <w:pStyle w:val="6"/>
              <w:spacing w:before="111" w:line="185" w:lineRule="auto"/>
              <w:ind w:left="255"/>
            </w:pPr>
            <w:r>
              <w:rPr>
                <w:b/>
                <w:bCs/>
              </w:rPr>
              <w:t>Ⅱ</w:t>
            </w:r>
          </w:p>
        </w:tc>
        <w:tc>
          <w:tcPr>
            <w:tcW w:w="1696" w:type="dxa"/>
            <w:vAlign w:val="top"/>
          </w:tcPr>
          <w:p w14:paraId="21C599E9">
            <w:pPr>
              <w:spacing w:before="72" w:line="222" w:lineRule="auto"/>
              <w:ind w:left="525"/>
              <w:rPr>
                <w:rFonts w:ascii="宋体" w:hAnsi="宋体" w:eastAsia="宋体" w:cs="宋体"/>
                <w:sz w:val="21"/>
                <w:szCs w:val="21"/>
              </w:rPr>
            </w:pPr>
            <w:r>
              <w:rPr>
                <w:rFonts w:ascii="宋体" w:hAnsi="宋体" w:eastAsia="宋体" w:cs="宋体"/>
                <w:b/>
                <w:bCs/>
                <w:spacing w:val="-4"/>
                <w:sz w:val="21"/>
                <w:szCs w:val="21"/>
              </w:rPr>
              <w:t>蛇亚目</w:t>
            </w:r>
          </w:p>
        </w:tc>
        <w:tc>
          <w:tcPr>
            <w:tcW w:w="1421" w:type="dxa"/>
            <w:vAlign w:val="top"/>
          </w:tcPr>
          <w:p w14:paraId="4A4F7714">
            <w:pPr>
              <w:pStyle w:val="6"/>
              <w:spacing w:before="109" w:line="187" w:lineRule="auto"/>
              <w:ind w:left="274"/>
            </w:pPr>
            <w:r>
              <w:rPr>
                <w:b/>
                <w:bCs/>
                <w:spacing w:val="-2"/>
              </w:rPr>
              <w:t>Serpentes</w:t>
            </w:r>
          </w:p>
        </w:tc>
        <w:tc>
          <w:tcPr>
            <w:tcW w:w="700" w:type="dxa"/>
            <w:vAlign w:val="top"/>
          </w:tcPr>
          <w:p w14:paraId="2F55BDC3">
            <w:pPr>
              <w:pStyle w:val="6"/>
              <w:spacing w:before="111" w:line="185" w:lineRule="auto"/>
              <w:ind w:left="266"/>
            </w:pPr>
            <w:r>
              <w:rPr>
                <w:b/>
                <w:bCs/>
              </w:rPr>
              <w:t>Ⅱ</w:t>
            </w:r>
          </w:p>
        </w:tc>
        <w:tc>
          <w:tcPr>
            <w:tcW w:w="1694" w:type="dxa"/>
            <w:vAlign w:val="top"/>
          </w:tcPr>
          <w:p w14:paraId="13B45664">
            <w:pPr>
              <w:spacing w:before="72" w:line="222" w:lineRule="auto"/>
              <w:ind w:left="536"/>
              <w:rPr>
                <w:rFonts w:ascii="宋体" w:hAnsi="宋体" w:eastAsia="宋体" w:cs="宋体"/>
                <w:sz w:val="21"/>
                <w:szCs w:val="21"/>
              </w:rPr>
            </w:pPr>
            <w:r>
              <w:rPr>
                <w:rFonts w:ascii="宋体" w:hAnsi="宋体" w:eastAsia="宋体" w:cs="宋体"/>
                <w:b/>
                <w:bCs/>
                <w:spacing w:val="-4"/>
                <w:sz w:val="21"/>
                <w:szCs w:val="21"/>
              </w:rPr>
              <w:t>蛇亚目</w:t>
            </w:r>
          </w:p>
        </w:tc>
        <w:tc>
          <w:tcPr>
            <w:tcW w:w="1415" w:type="dxa"/>
            <w:vAlign w:val="top"/>
          </w:tcPr>
          <w:p w14:paraId="6861B3DF">
            <w:pPr>
              <w:pStyle w:val="6"/>
              <w:spacing w:before="109" w:line="187" w:lineRule="auto"/>
              <w:ind w:left="284"/>
            </w:pPr>
            <w:r>
              <w:rPr>
                <w:b/>
                <w:bCs/>
                <w:spacing w:val="-2"/>
              </w:rPr>
              <w:t>Serpentes</w:t>
            </w:r>
          </w:p>
        </w:tc>
        <w:tc>
          <w:tcPr>
            <w:tcW w:w="843" w:type="dxa"/>
            <w:tcBorders>
              <w:right w:val="single" w:color="000000" w:sz="12" w:space="0"/>
            </w:tcBorders>
            <w:vAlign w:val="top"/>
          </w:tcPr>
          <w:p w14:paraId="159A1693">
            <w:pPr>
              <w:rPr>
                <w:rFonts w:ascii="Arial"/>
                <w:sz w:val="21"/>
              </w:rPr>
            </w:pPr>
          </w:p>
        </w:tc>
      </w:tr>
      <w:tr w14:paraId="36D55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705" w:type="dxa"/>
            <w:tcBorders>
              <w:left w:val="single" w:color="000000" w:sz="12" w:space="0"/>
            </w:tcBorders>
            <w:vAlign w:val="top"/>
          </w:tcPr>
          <w:p w14:paraId="0D5F56EB">
            <w:pPr>
              <w:pStyle w:val="6"/>
              <w:spacing w:before="118" w:line="186" w:lineRule="auto"/>
              <w:ind w:left="219"/>
            </w:pPr>
            <w:r>
              <w:rPr>
                <w:b/>
                <w:bCs/>
                <w:spacing w:val="-2"/>
              </w:rPr>
              <w:t>F4</w:t>
            </w:r>
          </w:p>
        </w:tc>
        <w:tc>
          <w:tcPr>
            <w:tcW w:w="1696" w:type="dxa"/>
            <w:vAlign w:val="top"/>
          </w:tcPr>
          <w:p w14:paraId="65022E41">
            <w:pPr>
              <w:spacing w:before="79" w:line="219" w:lineRule="auto"/>
              <w:ind w:left="630"/>
              <w:rPr>
                <w:rFonts w:ascii="宋体" w:hAnsi="宋体" w:eastAsia="宋体" w:cs="宋体"/>
                <w:sz w:val="21"/>
                <w:szCs w:val="21"/>
              </w:rPr>
            </w:pPr>
            <w:r>
              <w:rPr>
                <w:rFonts w:ascii="宋体" w:hAnsi="宋体" w:eastAsia="宋体" w:cs="宋体"/>
                <w:b/>
                <w:bCs/>
                <w:spacing w:val="-4"/>
                <w:sz w:val="21"/>
                <w:szCs w:val="21"/>
              </w:rPr>
              <w:t>蝰科</w:t>
            </w:r>
          </w:p>
        </w:tc>
        <w:tc>
          <w:tcPr>
            <w:tcW w:w="1421" w:type="dxa"/>
            <w:vAlign w:val="top"/>
          </w:tcPr>
          <w:p w14:paraId="0218E1EA">
            <w:pPr>
              <w:pStyle w:val="6"/>
              <w:spacing w:before="118" w:line="187" w:lineRule="auto"/>
              <w:ind w:left="259"/>
            </w:pPr>
            <w:r>
              <w:rPr>
                <w:b/>
                <w:bCs/>
                <w:spacing w:val="-1"/>
              </w:rPr>
              <w:t>Viperidae</w:t>
            </w:r>
          </w:p>
        </w:tc>
        <w:tc>
          <w:tcPr>
            <w:tcW w:w="700" w:type="dxa"/>
            <w:vAlign w:val="top"/>
          </w:tcPr>
          <w:p w14:paraId="21C024DC">
            <w:pPr>
              <w:pStyle w:val="6"/>
              <w:spacing w:before="118" w:line="186" w:lineRule="auto"/>
              <w:ind w:left="231"/>
            </w:pPr>
            <w:r>
              <w:rPr>
                <w:b/>
                <w:bCs/>
                <w:spacing w:val="-2"/>
              </w:rPr>
              <w:t>F4</w:t>
            </w:r>
          </w:p>
        </w:tc>
        <w:tc>
          <w:tcPr>
            <w:tcW w:w="1694" w:type="dxa"/>
            <w:vAlign w:val="top"/>
          </w:tcPr>
          <w:p w14:paraId="16E5EA07">
            <w:pPr>
              <w:spacing w:before="79" w:line="219" w:lineRule="auto"/>
              <w:ind w:left="642"/>
              <w:rPr>
                <w:rFonts w:ascii="宋体" w:hAnsi="宋体" w:eastAsia="宋体" w:cs="宋体"/>
                <w:sz w:val="21"/>
                <w:szCs w:val="21"/>
              </w:rPr>
            </w:pPr>
            <w:r>
              <w:rPr>
                <w:rFonts w:ascii="宋体" w:hAnsi="宋体" w:eastAsia="宋体" w:cs="宋体"/>
                <w:b/>
                <w:bCs/>
                <w:spacing w:val="-4"/>
                <w:sz w:val="21"/>
                <w:szCs w:val="21"/>
              </w:rPr>
              <w:t>蝰科</w:t>
            </w:r>
          </w:p>
        </w:tc>
        <w:tc>
          <w:tcPr>
            <w:tcW w:w="1415" w:type="dxa"/>
            <w:vAlign w:val="top"/>
          </w:tcPr>
          <w:p w14:paraId="0B2737EC">
            <w:pPr>
              <w:pStyle w:val="6"/>
              <w:spacing w:before="118" w:line="187" w:lineRule="auto"/>
              <w:ind w:left="269"/>
            </w:pPr>
            <w:r>
              <w:rPr>
                <w:b/>
                <w:bCs/>
                <w:spacing w:val="-1"/>
              </w:rPr>
              <w:t>Viperidae</w:t>
            </w:r>
          </w:p>
        </w:tc>
        <w:tc>
          <w:tcPr>
            <w:tcW w:w="843" w:type="dxa"/>
            <w:tcBorders>
              <w:right w:val="single" w:color="000000" w:sz="12" w:space="0"/>
            </w:tcBorders>
            <w:vAlign w:val="top"/>
          </w:tcPr>
          <w:p w14:paraId="63CF6B33">
            <w:pPr>
              <w:rPr>
                <w:rFonts w:ascii="Arial"/>
                <w:sz w:val="21"/>
              </w:rPr>
            </w:pPr>
          </w:p>
        </w:tc>
      </w:tr>
      <w:tr w14:paraId="6D31A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3CBF9757">
            <w:pPr>
              <w:pStyle w:val="6"/>
              <w:spacing w:before="215" w:line="232" w:lineRule="auto"/>
              <w:ind w:left="288"/>
            </w:pPr>
            <w:r>
              <w:t>5</w:t>
            </w:r>
          </w:p>
        </w:tc>
        <w:tc>
          <w:tcPr>
            <w:tcW w:w="1696" w:type="dxa"/>
            <w:vAlign w:val="top"/>
          </w:tcPr>
          <w:p w14:paraId="1ADD81DA">
            <w:pPr>
              <w:spacing w:before="180" w:line="220" w:lineRule="auto"/>
              <w:ind w:left="440"/>
              <w:rPr>
                <w:rFonts w:ascii="宋体" w:hAnsi="宋体" w:eastAsia="宋体" w:cs="宋体"/>
                <w:sz w:val="21"/>
                <w:szCs w:val="21"/>
              </w:rPr>
            </w:pPr>
            <w:r>
              <w:rPr>
                <w:rFonts w:ascii="宋体" w:hAnsi="宋体" w:eastAsia="宋体" w:cs="宋体"/>
                <w:spacing w:val="-6"/>
                <w:sz w:val="21"/>
                <w:szCs w:val="21"/>
              </w:rPr>
              <w:t>山烙铁头</w:t>
            </w:r>
          </w:p>
        </w:tc>
        <w:tc>
          <w:tcPr>
            <w:tcW w:w="1421" w:type="dxa"/>
            <w:vAlign w:val="top"/>
          </w:tcPr>
          <w:p w14:paraId="0B74F16B">
            <w:pPr>
              <w:pStyle w:val="6"/>
              <w:spacing w:before="93" w:line="190" w:lineRule="auto"/>
              <w:ind w:left="362"/>
            </w:pPr>
            <w:r>
              <w:rPr>
                <w:i/>
                <w:iCs/>
                <w:spacing w:val="-2"/>
              </w:rPr>
              <w:t>Ovophis</w:t>
            </w:r>
          </w:p>
          <w:p w14:paraId="1EF2D416">
            <w:pPr>
              <w:pStyle w:val="6"/>
              <w:spacing w:before="50" w:line="220" w:lineRule="auto"/>
              <w:ind w:left="283"/>
            </w:pPr>
            <w:r>
              <w:rPr>
                <w:i/>
                <w:iCs/>
                <w:spacing w:val="-1"/>
              </w:rPr>
              <w:t>monticola</w:t>
            </w:r>
          </w:p>
        </w:tc>
        <w:tc>
          <w:tcPr>
            <w:tcW w:w="700" w:type="dxa"/>
            <w:vAlign w:val="top"/>
          </w:tcPr>
          <w:p w14:paraId="079272A2">
            <w:pPr>
              <w:pStyle w:val="6"/>
              <w:spacing w:before="214" w:line="235" w:lineRule="auto"/>
              <w:ind w:left="294"/>
            </w:pPr>
            <w:r>
              <w:t>4</w:t>
            </w:r>
          </w:p>
        </w:tc>
        <w:tc>
          <w:tcPr>
            <w:tcW w:w="1694" w:type="dxa"/>
            <w:vAlign w:val="top"/>
          </w:tcPr>
          <w:p w14:paraId="21583168">
            <w:pPr>
              <w:spacing w:before="180" w:line="220" w:lineRule="auto"/>
              <w:ind w:left="451"/>
              <w:rPr>
                <w:rFonts w:ascii="宋体" w:hAnsi="宋体" w:eastAsia="宋体" w:cs="宋体"/>
                <w:sz w:val="21"/>
                <w:szCs w:val="21"/>
              </w:rPr>
            </w:pPr>
            <w:r>
              <w:rPr>
                <w:rFonts w:ascii="宋体" w:hAnsi="宋体" w:eastAsia="宋体" w:cs="宋体"/>
                <w:spacing w:val="-6"/>
                <w:sz w:val="21"/>
                <w:szCs w:val="21"/>
              </w:rPr>
              <w:t>山烙铁头</w:t>
            </w:r>
          </w:p>
        </w:tc>
        <w:tc>
          <w:tcPr>
            <w:tcW w:w="1415" w:type="dxa"/>
            <w:vAlign w:val="top"/>
          </w:tcPr>
          <w:p w14:paraId="2628271F">
            <w:pPr>
              <w:pStyle w:val="6"/>
              <w:spacing w:before="93" w:line="190" w:lineRule="auto"/>
              <w:ind w:left="372"/>
            </w:pPr>
            <w:r>
              <w:rPr>
                <w:i/>
                <w:iCs/>
                <w:spacing w:val="-2"/>
              </w:rPr>
              <w:t>Ovophis</w:t>
            </w:r>
          </w:p>
          <w:p w14:paraId="7232894E">
            <w:pPr>
              <w:pStyle w:val="6"/>
              <w:spacing w:before="50" w:line="220" w:lineRule="auto"/>
              <w:ind w:left="293"/>
            </w:pPr>
            <w:r>
              <w:rPr>
                <w:i/>
                <w:iCs/>
                <w:spacing w:val="-1"/>
              </w:rPr>
              <w:t>monticola</w:t>
            </w:r>
          </w:p>
        </w:tc>
        <w:tc>
          <w:tcPr>
            <w:tcW w:w="843" w:type="dxa"/>
            <w:tcBorders>
              <w:right w:val="single" w:color="000000" w:sz="12" w:space="0"/>
            </w:tcBorders>
            <w:vAlign w:val="top"/>
          </w:tcPr>
          <w:p w14:paraId="380D9977">
            <w:pPr>
              <w:rPr>
                <w:rFonts w:ascii="Arial"/>
                <w:sz w:val="21"/>
              </w:rPr>
            </w:pPr>
          </w:p>
        </w:tc>
      </w:tr>
      <w:tr w14:paraId="164F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05" w:type="dxa"/>
            <w:tcBorders>
              <w:left w:val="single" w:color="000000" w:sz="12" w:space="0"/>
            </w:tcBorders>
            <w:vAlign w:val="top"/>
          </w:tcPr>
          <w:p w14:paraId="5FE3BFC7">
            <w:pPr>
              <w:pStyle w:val="6"/>
              <w:spacing w:before="124" w:line="183" w:lineRule="auto"/>
              <w:ind w:left="219"/>
            </w:pPr>
            <w:r>
              <w:rPr>
                <w:b/>
                <w:bCs/>
                <w:spacing w:val="-2"/>
              </w:rPr>
              <w:t>F5</w:t>
            </w:r>
          </w:p>
        </w:tc>
        <w:tc>
          <w:tcPr>
            <w:tcW w:w="1696" w:type="dxa"/>
            <w:vAlign w:val="top"/>
          </w:tcPr>
          <w:p w14:paraId="31CDABCF">
            <w:pPr>
              <w:spacing w:before="82" w:line="219" w:lineRule="auto"/>
              <w:ind w:left="432"/>
              <w:rPr>
                <w:rFonts w:ascii="宋体" w:hAnsi="宋体" w:eastAsia="宋体" w:cs="宋体"/>
                <w:sz w:val="21"/>
                <w:szCs w:val="21"/>
              </w:rPr>
            </w:pPr>
            <w:r>
              <w:rPr>
                <w:rFonts w:ascii="宋体" w:hAnsi="宋体" w:eastAsia="宋体" w:cs="宋体"/>
                <w:b/>
                <w:bCs/>
                <w:spacing w:val="-6"/>
                <w:sz w:val="21"/>
                <w:szCs w:val="21"/>
              </w:rPr>
              <w:t>眼镜蛇科</w:t>
            </w:r>
          </w:p>
        </w:tc>
        <w:tc>
          <w:tcPr>
            <w:tcW w:w="1421" w:type="dxa"/>
            <w:vAlign w:val="top"/>
          </w:tcPr>
          <w:p w14:paraId="7B35278C">
            <w:pPr>
              <w:pStyle w:val="6"/>
              <w:spacing w:before="120" w:line="187" w:lineRule="auto"/>
              <w:ind w:left="308"/>
            </w:pPr>
            <w:r>
              <w:rPr>
                <w:b/>
                <w:bCs/>
                <w:spacing w:val="-1"/>
              </w:rPr>
              <w:t>Elapidae</w:t>
            </w:r>
          </w:p>
        </w:tc>
        <w:tc>
          <w:tcPr>
            <w:tcW w:w="700" w:type="dxa"/>
            <w:vAlign w:val="top"/>
          </w:tcPr>
          <w:p w14:paraId="75DC5B3D">
            <w:pPr>
              <w:pStyle w:val="6"/>
              <w:spacing w:before="124" w:line="183" w:lineRule="auto"/>
              <w:ind w:left="231"/>
            </w:pPr>
            <w:r>
              <w:rPr>
                <w:b/>
                <w:bCs/>
                <w:spacing w:val="-2"/>
              </w:rPr>
              <w:t>F5</w:t>
            </w:r>
          </w:p>
        </w:tc>
        <w:tc>
          <w:tcPr>
            <w:tcW w:w="1694" w:type="dxa"/>
            <w:vAlign w:val="top"/>
          </w:tcPr>
          <w:p w14:paraId="146355D2">
            <w:pPr>
              <w:spacing w:before="82" w:line="219" w:lineRule="auto"/>
              <w:ind w:left="444"/>
              <w:rPr>
                <w:rFonts w:ascii="宋体" w:hAnsi="宋体" w:eastAsia="宋体" w:cs="宋体"/>
                <w:sz w:val="21"/>
                <w:szCs w:val="21"/>
              </w:rPr>
            </w:pPr>
            <w:r>
              <w:rPr>
                <w:rFonts w:ascii="宋体" w:hAnsi="宋体" w:eastAsia="宋体" w:cs="宋体"/>
                <w:b/>
                <w:bCs/>
                <w:spacing w:val="-6"/>
                <w:sz w:val="21"/>
                <w:szCs w:val="21"/>
              </w:rPr>
              <w:t>眼镜蛇科</w:t>
            </w:r>
          </w:p>
        </w:tc>
        <w:tc>
          <w:tcPr>
            <w:tcW w:w="1415" w:type="dxa"/>
            <w:vAlign w:val="top"/>
          </w:tcPr>
          <w:p w14:paraId="561C5A87">
            <w:pPr>
              <w:pStyle w:val="6"/>
              <w:spacing w:before="120" w:line="187" w:lineRule="auto"/>
              <w:ind w:left="318"/>
            </w:pPr>
            <w:r>
              <w:rPr>
                <w:b/>
                <w:bCs/>
                <w:spacing w:val="-1"/>
              </w:rPr>
              <w:t>Elapidae</w:t>
            </w:r>
          </w:p>
        </w:tc>
        <w:tc>
          <w:tcPr>
            <w:tcW w:w="843" w:type="dxa"/>
            <w:tcBorders>
              <w:right w:val="single" w:color="000000" w:sz="12" w:space="0"/>
            </w:tcBorders>
            <w:vAlign w:val="top"/>
          </w:tcPr>
          <w:p w14:paraId="2DC2DD86">
            <w:pPr>
              <w:rPr>
                <w:rFonts w:ascii="Arial"/>
                <w:sz w:val="21"/>
              </w:rPr>
            </w:pPr>
          </w:p>
        </w:tc>
      </w:tr>
      <w:tr w14:paraId="31447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705" w:type="dxa"/>
            <w:tcBorders>
              <w:left w:val="single" w:color="000000" w:sz="12" w:space="0"/>
            </w:tcBorders>
            <w:vAlign w:val="top"/>
          </w:tcPr>
          <w:p w14:paraId="34AC5470">
            <w:pPr>
              <w:spacing w:line="306" w:lineRule="auto"/>
              <w:rPr>
                <w:rFonts w:ascii="Arial"/>
                <w:sz w:val="21"/>
              </w:rPr>
            </w:pPr>
          </w:p>
          <w:p w14:paraId="59603207">
            <w:pPr>
              <w:pStyle w:val="6"/>
              <w:spacing w:before="61" w:line="232" w:lineRule="auto"/>
              <w:ind w:left="287"/>
            </w:pPr>
            <w:r>
              <w:t>6</w:t>
            </w:r>
          </w:p>
        </w:tc>
        <w:tc>
          <w:tcPr>
            <w:tcW w:w="1696" w:type="dxa"/>
            <w:vAlign w:val="top"/>
          </w:tcPr>
          <w:p w14:paraId="63D01512">
            <w:pPr>
              <w:spacing w:line="265" w:lineRule="auto"/>
              <w:rPr>
                <w:rFonts w:ascii="Arial"/>
                <w:sz w:val="21"/>
              </w:rPr>
            </w:pPr>
          </w:p>
          <w:p w14:paraId="594754E3">
            <w:pPr>
              <w:spacing w:before="68" w:line="220" w:lineRule="auto"/>
              <w:ind w:left="211"/>
              <w:rPr>
                <w:rFonts w:ascii="宋体" w:hAnsi="宋体" w:eastAsia="宋体" w:cs="宋体"/>
                <w:sz w:val="21"/>
                <w:szCs w:val="21"/>
              </w:rPr>
            </w:pPr>
            <w:r>
              <w:rPr>
                <w:rFonts w:ascii="宋体" w:hAnsi="宋体" w:eastAsia="宋体" w:cs="宋体"/>
                <w:spacing w:val="-2"/>
                <w:sz w:val="21"/>
                <w:szCs w:val="21"/>
              </w:rPr>
              <w:t>孟加拉眼镜蛇</w:t>
            </w:r>
          </w:p>
        </w:tc>
        <w:tc>
          <w:tcPr>
            <w:tcW w:w="1421" w:type="dxa"/>
            <w:vAlign w:val="top"/>
          </w:tcPr>
          <w:p w14:paraId="46E42362">
            <w:pPr>
              <w:spacing w:line="306" w:lineRule="auto"/>
              <w:rPr>
                <w:rFonts w:ascii="Arial"/>
                <w:sz w:val="21"/>
              </w:rPr>
            </w:pPr>
          </w:p>
          <w:p w14:paraId="2D04E312">
            <w:pPr>
              <w:pStyle w:val="6"/>
              <w:spacing w:before="60" w:line="190" w:lineRule="auto"/>
              <w:ind w:left="96"/>
            </w:pPr>
            <w:r>
              <w:rPr>
                <w:i/>
                <w:iCs/>
              </w:rPr>
              <w:t>Naja</w:t>
            </w:r>
            <w:r>
              <w:rPr>
                <w:i/>
                <w:iCs/>
                <w:spacing w:val="5"/>
              </w:rPr>
              <w:t xml:space="preserve"> </w:t>
            </w:r>
            <w:r>
              <w:rPr>
                <w:i/>
                <w:iCs/>
              </w:rPr>
              <w:t>kaouthia</w:t>
            </w:r>
          </w:p>
        </w:tc>
        <w:tc>
          <w:tcPr>
            <w:tcW w:w="700" w:type="dxa"/>
            <w:vAlign w:val="top"/>
          </w:tcPr>
          <w:p w14:paraId="559F49E9">
            <w:pPr>
              <w:rPr>
                <w:rFonts w:ascii="Arial"/>
                <w:sz w:val="21"/>
              </w:rPr>
            </w:pPr>
          </w:p>
        </w:tc>
        <w:tc>
          <w:tcPr>
            <w:tcW w:w="1694" w:type="dxa"/>
            <w:vAlign w:val="top"/>
          </w:tcPr>
          <w:p w14:paraId="5570D1B2">
            <w:pPr>
              <w:rPr>
                <w:rFonts w:ascii="Arial"/>
                <w:sz w:val="21"/>
              </w:rPr>
            </w:pPr>
          </w:p>
        </w:tc>
        <w:tc>
          <w:tcPr>
            <w:tcW w:w="1415" w:type="dxa"/>
            <w:vAlign w:val="top"/>
          </w:tcPr>
          <w:p w14:paraId="22006B26">
            <w:pPr>
              <w:rPr>
                <w:rFonts w:ascii="Arial"/>
                <w:sz w:val="21"/>
              </w:rPr>
            </w:pPr>
          </w:p>
        </w:tc>
        <w:tc>
          <w:tcPr>
            <w:tcW w:w="843" w:type="dxa"/>
            <w:tcBorders>
              <w:right w:val="single" w:color="000000" w:sz="12" w:space="0"/>
            </w:tcBorders>
            <w:vAlign w:val="top"/>
          </w:tcPr>
          <w:p w14:paraId="6A3333AB">
            <w:pPr>
              <w:pStyle w:val="6"/>
              <w:spacing w:before="119" w:line="176" w:lineRule="auto"/>
              <w:ind w:left="115"/>
              <w:rPr>
                <w:rFonts w:ascii="宋体" w:hAnsi="宋体" w:eastAsia="宋体" w:cs="宋体"/>
              </w:rPr>
            </w:pPr>
            <w:r>
              <w:rPr>
                <w:spacing w:val="-1"/>
              </w:rPr>
              <w:t>YN</w:t>
            </w:r>
            <w:r>
              <w:rPr>
                <w:spacing w:val="50"/>
              </w:rPr>
              <w:t xml:space="preserve"> </w:t>
            </w:r>
            <w:r>
              <w:rPr>
                <w:rFonts w:ascii="宋体" w:hAnsi="宋体" w:eastAsia="宋体" w:cs="宋体"/>
                <w:spacing w:val="-1"/>
              </w:rPr>
              <w:t>、</w:t>
            </w:r>
          </w:p>
          <w:p w14:paraId="284AB18E">
            <w:pPr>
              <w:pStyle w:val="6"/>
              <w:spacing w:before="71" w:line="218" w:lineRule="auto"/>
              <w:ind w:left="121" w:right="93" w:hanging="2"/>
            </w:pPr>
            <w:r>
              <w:rPr>
                <w:spacing w:val="-16"/>
                <w:w w:val="99"/>
              </w:rPr>
              <w:t>Ⅱ</w:t>
            </w:r>
            <w:r>
              <w:rPr>
                <w:rFonts w:ascii="宋体" w:hAnsi="宋体" w:eastAsia="宋体" w:cs="宋体"/>
                <w:spacing w:val="-16"/>
                <w:w w:val="99"/>
              </w:rPr>
              <w:t>、</w:t>
            </w:r>
            <w:r>
              <w:rPr>
                <w:spacing w:val="-16"/>
                <w:w w:val="99"/>
              </w:rPr>
              <w:t>EN-</w:t>
            </w:r>
            <w:r>
              <w:rPr>
                <w:spacing w:val="1"/>
              </w:rPr>
              <w:t xml:space="preserve"> </w:t>
            </w:r>
            <w:r>
              <w:t>C</w:t>
            </w:r>
          </w:p>
        </w:tc>
      </w:tr>
      <w:tr w14:paraId="19D27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705" w:type="dxa"/>
            <w:tcBorders>
              <w:left w:val="single" w:color="000000" w:sz="12" w:space="0"/>
            </w:tcBorders>
            <w:vAlign w:val="top"/>
          </w:tcPr>
          <w:p w14:paraId="4BEE9E88">
            <w:pPr>
              <w:rPr>
                <w:rFonts w:ascii="Arial"/>
                <w:sz w:val="21"/>
              </w:rPr>
            </w:pPr>
          </w:p>
        </w:tc>
        <w:tc>
          <w:tcPr>
            <w:tcW w:w="1696" w:type="dxa"/>
            <w:vAlign w:val="top"/>
          </w:tcPr>
          <w:p w14:paraId="609C4096">
            <w:pPr>
              <w:rPr>
                <w:rFonts w:ascii="Arial"/>
                <w:sz w:val="21"/>
              </w:rPr>
            </w:pPr>
          </w:p>
        </w:tc>
        <w:tc>
          <w:tcPr>
            <w:tcW w:w="1421" w:type="dxa"/>
            <w:vAlign w:val="top"/>
          </w:tcPr>
          <w:p w14:paraId="0FBD0817">
            <w:pPr>
              <w:rPr>
                <w:rFonts w:ascii="Arial"/>
                <w:sz w:val="21"/>
              </w:rPr>
            </w:pPr>
          </w:p>
        </w:tc>
        <w:tc>
          <w:tcPr>
            <w:tcW w:w="700" w:type="dxa"/>
            <w:vAlign w:val="top"/>
          </w:tcPr>
          <w:p w14:paraId="1F460646">
            <w:pPr>
              <w:spacing w:line="325" w:lineRule="auto"/>
              <w:rPr>
                <w:rFonts w:ascii="Arial"/>
                <w:sz w:val="21"/>
              </w:rPr>
            </w:pPr>
          </w:p>
          <w:p w14:paraId="27FD3915">
            <w:pPr>
              <w:pStyle w:val="6"/>
              <w:spacing w:before="60" w:line="232" w:lineRule="auto"/>
              <w:ind w:left="301"/>
            </w:pPr>
            <w:r>
              <w:t>5</w:t>
            </w:r>
          </w:p>
        </w:tc>
        <w:tc>
          <w:tcPr>
            <w:tcW w:w="1694" w:type="dxa"/>
            <w:vAlign w:val="top"/>
          </w:tcPr>
          <w:p w14:paraId="333C0876">
            <w:pPr>
              <w:spacing w:line="283" w:lineRule="auto"/>
              <w:rPr>
                <w:rFonts w:ascii="Arial"/>
                <w:sz w:val="21"/>
              </w:rPr>
            </w:pPr>
          </w:p>
          <w:p w14:paraId="4CBAC254">
            <w:pPr>
              <w:spacing w:before="68" w:line="220" w:lineRule="auto"/>
              <w:ind w:left="445"/>
              <w:rPr>
                <w:rFonts w:ascii="宋体" w:hAnsi="宋体" w:eastAsia="宋体" w:cs="宋体"/>
                <w:sz w:val="21"/>
                <w:szCs w:val="21"/>
              </w:rPr>
            </w:pPr>
            <w:r>
              <w:rPr>
                <w:rFonts w:ascii="宋体" w:hAnsi="宋体" w:eastAsia="宋体" w:cs="宋体"/>
                <w:spacing w:val="-5"/>
                <w:sz w:val="21"/>
                <w:szCs w:val="21"/>
              </w:rPr>
              <w:t>眼镜王蛇</w:t>
            </w:r>
          </w:p>
        </w:tc>
        <w:tc>
          <w:tcPr>
            <w:tcW w:w="1415" w:type="dxa"/>
            <w:vAlign w:val="top"/>
          </w:tcPr>
          <w:p w14:paraId="79784B96">
            <w:pPr>
              <w:pStyle w:val="6"/>
              <w:spacing w:before="265" w:line="190" w:lineRule="auto"/>
              <w:ind w:left="157"/>
            </w:pPr>
            <w:r>
              <w:rPr>
                <w:i/>
                <w:iCs/>
                <w:spacing w:val="-2"/>
              </w:rPr>
              <w:t>Ophiophagus</w:t>
            </w:r>
          </w:p>
          <w:p w14:paraId="0E6158E4">
            <w:pPr>
              <w:pStyle w:val="6"/>
              <w:spacing w:before="49" w:line="233" w:lineRule="auto"/>
              <w:ind w:left="400"/>
            </w:pPr>
            <w:r>
              <w:rPr>
                <w:i/>
                <w:iCs/>
                <w:spacing w:val="-1"/>
              </w:rPr>
              <w:t>hannah</w:t>
            </w:r>
          </w:p>
        </w:tc>
        <w:tc>
          <w:tcPr>
            <w:tcW w:w="843" w:type="dxa"/>
            <w:tcBorders>
              <w:right w:val="single" w:color="000000" w:sz="12" w:space="0"/>
            </w:tcBorders>
            <w:vAlign w:val="top"/>
          </w:tcPr>
          <w:p w14:paraId="11DA8E80">
            <w:pPr>
              <w:pStyle w:val="6"/>
              <w:spacing w:before="122" w:line="176" w:lineRule="auto"/>
              <w:ind w:left="115"/>
              <w:rPr>
                <w:rFonts w:ascii="宋体" w:hAnsi="宋体" w:eastAsia="宋体" w:cs="宋体"/>
              </w:rPr>
            </w:pPr>
            <w:r>
              <w:rPr>
                <w:spacing w:val="-1"/>
              </w:rPr>
              <w:t>YN</w:t>
            </w:r>
            <w:r>
              <w:rPr>
                <w:spacing w:val="50"/>
              </w:rPr>
              <w:t xml:space="preserve"> </w:t>
            </w:r>
            <w:r>
              <w:rPr>
                <w:rFonts w:ascii="宋体" w:hAnsi="宋体" w:eastAsia="宋体" w:cs="宋体"/>
                <w:spacing w:val="-1"/>
              </w:rPr>
              <w:t>、</w:t>
            </w:r>
          </w:p>
          <w:p w14:paraId="553CB8D8">
            <w:pPr>
              <w:pStyle w:val="6"/>
              <w:spacing w:before="69" w:line="178" w:lineRule="auto"/>
              <w:ind w:left="119"/>
            </w:pPr>
            <w:r>
              <w:rPr>
                <w:spacing w:val="-16"/>
                <w:w w:val="99"/>
              </w:rPr>
              <w:t>Ⅱ</w:t>
            </w:r>
            <w:r>
              <w:rPr>
                <w:rFonts w:ascii="宋体" w:hAnsi="宋体" w:eastAsia="宋体" w:cs="宋体"/>
                <w:spacing w:val="-16"/>
                <w:w w:val="99"/>
              </w:rPr>
              <w:t>、</w:t>
            </w:r>
            <w:r>
              <w:rPr>
                <w:spacing w:val="-16"/>
                <w:w w:val="99"/>
              </w:rPr>
              <w:t>EN-</w:t>
            </w:r>
          </w:p>
          <w:p w14:paraId="128FFDEB">
            <w:pPr>
              <w:pStyle w:val="6"/>
              <w:spacing w:before="68" w:line="179" w:lineRule="auto"/>
              <w:ind w:left="121"/>
            </w:pPr>
            <w:r>
              <w:rPr>
                <w:spacing w:val="-11"/>
              </w:rPr>
              <w:t>C</w:t>
            </w:r>
            <w:r>
              <w:rPr>
                <w:rFonts w:ascii="宋体" w:hAnsi="宋体" w:eastAsia="宋体" w:cs="宋体"/>
                <w:spacing w:val="-11"/>
              </w:rPr>
              <w:t>、</w:t>
            </w:r>
            <w:r>
              <w:rPr>
                <w:spacing w:val="-11"/>
              </w:rPr>
              <w:t>VU</w:t>
            </w:r>
          </w:p>
        </w:tc>
      </w:tr>
      <w:tr w14:paraId="14296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05" w:type="dxa"/>
            <w:tcBorders>
              <w:left w:val="single" w:color="000000" w:sz="12" w:space="0"/>
            </w:tcBorders>
            <w:vAlign w:val="top"/>
          </w:tcPr>
          <w:p w14:paraId="0CD7173E">
            <w:pPr>
              <w:pStyle w:val="6"/>
              <w:spacing w:before="127" w:line="186" w:lineRule="auto"/>
              <w:ind w:left="219"/>
            </w:pPr>
            <w:r>
              <w:rPr>
                <w:b/>
                <w:bCs/>
                <w:spacing w:val="-2"/>
              </w:rPr>
              <w:t>F6</w:t>
            </w:r>
          </w:p>
        </w:tc>
        <w:tc>
          <w:tcPr>
            <w:tcW w:w="1696" w:type="dxa"/>
            <w:vAlign w:val="top"/>
          </w:tcPr>
          <w:p w14:paraId="6E8F7285">
            <w:pPr>
              <w:spacing w:before="88" w:line="219" w:lineRule="auto"/>
              <w:ind w:left="525"/>
              <w:rPr>
                <w:rFonts w:ascii="宋体" w:hAnsi="宋体" w:eastAsia="宋体" w:cs="宋体"/>
                <w:sz w:val="21"/>
                <w:szCs w:val="21"/>
              </w:rPr>
            </w:pPr>
            <w:r>
              <w:rPr>
                <w:rFonts w:ascii="宋体" w:hAnsi="宋体" w:eastAsia="宋体" w:cs="宋体"/>
                <w:b/>
                <w:bCs/>
                <w:spacing w:val="-4"/>
                <w:sz w:val="21"/>
                <w:szCs w:val="21"/>
              </w:rPr>
              <w:t>游蛇科</w:t>
            </w:r>
          </w:p>
        </w:tc>
        <w:tc>
          <w:tcPr>
            <w:tcW w:w="1421" w:type="dxa"/>
            <w:vAlign w:val="top"/>
          </w:tcPr>
          <w:p w14:paraId="4747595A">
            <w:pPr>
              <w:pStyle w:val="6"/>
              <w:spacing w:before="127" w:line="186" w:lineRule="auto"/>
              <w:ind w:left="201"/>
            </w:pPr>
            <w:r>
              <w:rPr>
                <w:b/>
                <w:bCs/>
                <w:spacing w:val="-1"/>
              </w:rPr>
              <w:t>Colubridae</w:t>
            </w:r>
          </w:p>
        </w:tc>
        <w:tc>
          <w:tcPr>
            <w:tcW w:w="700" w:type="dxa"/>
            <w:vAlign w:val="top"/>
          </w:tcPr>
          <w:p w14:paraId="6E823DE1">
            <w:pPr>
              <w:pStyle w:val="6"/>
              <w:spacing w:before="127" w:line="186" w:lineRule="auto"/>
              <w:ind w:left="231"/>
            </w:pPr>
            <w:r>
              <w:rPr>
                <w:b/>
                <w:bCs/>
                <w:spacing w:val="-2"/>
              </w:rPr>
              <w:t>F6</w:t>
            </w:r>
          </w:p>
        </w:tc>
        <w:tc>
          <w:tcPr>
            <w:tcW w:w="1694" w:type="dxa"/>
            <w:vAlign w:val="top"/>
          </w:tcPr>
          <w:p w14:paraId="16D7EFBE">
            <w:pPr>
              <w:spacing w:before="88" w:line="219" w:lineRule="auto"/>
              <w:ind w:left="536"/>
              <w:rPr>
                <w:rFonts w:ascii="宋体" w:hAnsi="宋体" w:eastAsia="宋体" w:cs="宋体"/>
                <w:sz w:val="21"/>
                <w:szCs w:val="21"/>
              </w:rPr>
            </w:pPr>
            <w:r>
              <w:rPr>
                <w:rFonts w:ascii="宋体" w:hAnsi="宋体" w:eastAsia="宋体" w:cs="宋体"/>
                <w:b/>
                <w:bCs/>
                <w:spacing w:val="-4"/>
                <w:sz w:val="21"/>
                <w:szCs w:val="21"/>
              </w:rPr>
              <w:t>游蛇科</w:t>
            </w:r>
          </w:p>
        </w:tc>
        <w:tc>
          <w:tcPr>
            <w:tcW w:w="1415" w:type="dxa"/>
            <w:vAlign w:val="top"/>
          </w:tcPr>
          <w:p w14:paraId="469B4CFF">
            <w:pPr>
              <w:pStyle w:val="6"/>
              <w:spacing w:before="127" w:line="186" w:lineRule="auto"/>
              <w:ind w:left="211"/>
            </w:pPr>
            <w:r>
              <w:rPr>
                <w:b/>
                <w:bCs/>
                <w:spacing w:val="-1"/>
              </w:rPr>
              <w:t>Colubridae</w:t>
            </w:r>
          </w:p>
        </w:tc>
        <w:tc>
          <w:tcPr>
            <w:tcW w:w="843" w:type="dxa"/>
            <w:tcBorders>
              <w:right w:val="single" w:color="000000" w:sz="12" w:space="0"/>
            </w:tcBorders>
            <w:vAlign w:val="top"/>
          </w:tcPr>
          <w:p w14:paraId="50F5431E">
            <w:pPr>
              <w:rPr>
                <w:rFonts w:ascii="Arial"/>
                <w:sz w:val="21"/>
              </w:rPr>
            </w:pPr>
          </w:p>
        </w:tc>
      </w:tr>
      <w:tr w14:paraId="1F3C7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705" w:type="dxa"/>
            <w:tcBorders>
              <w:left w:val="single" w:color="000000" w:sz="12" w:space="0"/>
            </w:tcBorders>
            <w:vAlign w:val="top"/>
          </w:tcPr>
          <w:p w14:paraId="16EB2BCF">
            <w:pPr>
              <w:pStyle w:val="6"/>
              <w:spacing w:before="124" w:line="232" w:lineRule="auto"/>
              <w:ind w:left="286"/>
            </w:pPr>
            <w:r>
              <w:t>7</w:t>
            </w:r>
          </w:p>
        </w:tc>
        <w:tc>
          <w:tcPr>
            <w:tcW w:w="1696" w:type="dxa"/>
            <w:vAlign w:val="top"/>
          </w:tcPr>
          <w:p w14:paraId="25D279E6">
            <w:pPr>
              <w:spacing w:before="89" w:line="220" w:lineRule="auto"/>
              <w:ind w:left="528"/>
              <w:rPr>
                <w:rFonts w:ascii="宋体" w:hAnsi="宋体" w:eastAsia="宋体" w:cs="宋体"/>
                <w:sz w:val="21"/>
                <w:szCs w:val="21"/>
              </w:rPr>
            </w:pPr>
            <w:r>
              <w:rPr>
                <w:rFonts w:ascii="宋体" w:hAnsi="宋体" w:eastAsia="宋体" w:cs="宋体"/>
                <w:spacing w:val="-3"/>
                <w:sz w:val="21"/>
                <w:szCs w:val="21"/>
              </w:rPr>
              <w:t>灰鼠蛇</w:t>
            </w:r>
          </w:p>
        </w:tc>
        <w:tc>
          <w:tcPr>
            <w:tcW w:w="1421" w:type="dxa"/>
            <w:vAlign w:val="top"/>
          </w:tcPr>
          <w:p w14:paraId="07F53131">
            <w:pPr>
              <w:pStyle w:val="6"/>
              <w:spacing w:before="123" w:line="190" w:lineRule="auto"/>
              <w:ind w:left="162"/>
            </w:pPr>
            <w:r>
              <w:rPr>
                <w:i/>
                <w:iCs/>
              </w:rPr>
              <w:t>Ptyas</w:t>
            </w:r>
            <w:r>
              <w:rPr>
                <w:i/>
                <w:iCs/>
                <w:spacing w:val="6"/>
              </w:rPr>
              <w:t xml:space="preserve"> </w:t>
            </w:r>
            <w:r>
              <w:rPr>
                <w:i/>
                <w:iCs/>
              </w:rPr>
              <w:t>korros</w:t>
            </w:r>
          </w:p>
        </w:tc>
        <w:tc>
          <w:tcPr>
            <w:tcW w:w="700" w:type="dxa"/>
            <w:vAlign w:val="top"/>
          </w:tcPr>
          <w:p w14:paraId="5D1DB799">
            <w:pPr>
              <w:rPr>
                <w:rFonts w:ascii="Arial"/>
                <w:sz w:val="21"/>
              </w:rPr>
            </w:pPr>
          </w:p>
        </w:tc>
        <w:tc>
          <w:tcPr>
            <w:tcW w:w="1694" w:type="dxa"/>
            <w:vAlign w:val="top"/>
          </w:tcPr>
          <w:p w14:paraId="0D21F830">
            <w:pPr>
              <w:rPr>
                <w:rFonts w:ascii="Arial"/>
                <w:sz w:val="21"/>
              </w:rPr>
            </w:pPr>
          </w:p>
        </w:tc>
        <w:tc>
          <w:tcPr>
            <w:tcW w:w="1415" w:type="dxa"/>
            <w:vAlign w:val="top"/>
          </w:tcPr>
          <w:p w14:paraId="2747189F">
            <w:pPr>
              <w:rPr>
                <w:rFonts w:ascii="Arial"/>
                <w:sz w:val="21"/>
              </w:rPr>
            </w:pPr>
          </w:p>
        </w:tc>
        <w:tc>
          <w:tcPr>
            <w:tcW w:w="843" w:type="dxa"/>
            <w:tcBorders>
              <w:right w:val="single" w:color="000000" w:sz="12" w:space="0"/>
            </w:tcBorders>
            <w:vAlign w:val="top"/>
          </w:tcPr>
          <w:p w14:paraId="383E7C54">
            <w:pPr>
              <w:pStyle w:val="6"/>
              <w:spacing w:before="127" w:line="186" w:lineRule="auto"/>
              <w:ind w:left="166"/>
            </w:pPr>
            <w:r>
              <w:rPr>
                <w:spacing w:val="-1"/>
              </w:rPr>
              <w:t>VU-C</w:t>
            </w:r>
          </w:p>
        </w:tc>
      </w:tr>
      <w:tr w14:paraId="1C1A7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705" w:type="dxa"/>
            <w:tcBorders>
              <w:left w:val="single" w:color="000000" w:sz="12" w:space="0"/>
            </w:tcBorders>
            <w:vAlign w:val="top"/>
          </w:tcPr>
          <w:p w14:paraId="73FE82BB">
            <w:pPr>
              <w:spacing w:line="284" w:lineRule="auto"/>
              <w:rPr>
                <w:rFonts w:ascii="Arial"/>
                <w:sz w:val="21"/>
              </w:rPr>
            </w:pPr>
          </w:p>
          <w:p w14:paraId="2E75D08F">
            <w:pPr>
              <w:pStyle w:val="6"/>
              <w:spacing w:before="60" w:line="232" w:lineRule="auto"/>
              <w:ind w:left="291"/>
            </w:pPr>
            <w:r>
              <w:t>8</w:t>
            </w:r>
          </w:p>
        </w:tc>
        <w:tc>
          <w:tcPr>
            <w:tcW w:w="1696" w:type="dxa"/>
            <w:vAlign w:val="top"/>
          </w:tcPr>
          <w:p w14:paraId="7EA677E6">
            <w:pPr>
              <w:spacing w:line="242" w:lineRule="auto"/>
              <w:rPr>
                <w:rFonts w:ascii="Arial"/>
                <w:sz w:val="21"/>
              </w:rPr>
            </w:pPr>
          </w:p>
          <w:p w14:paraId="625DBDDC">
            <w:pPr>
              <w:spacing w:before="68" w:line="220" w:lineRule="auto"/>
              <w:ind w:left="322"/>
              <w:rPr>
                <w:rFonts w:ascii="宋体" w:hAnsi="宋体" w:eastAsia="宋体" w:cs="宋体"/>
                <w:sz w:val="21"/>
                <w:szCs w:val="21"/>
              </w:rPr>
            </w:pPr>
            <w:r>
              <w:rPr>
                <w:rFonts w:ascii="宋体" w:hAnsi="宋体" w:eastAsia="宋体" w:cs="宋体"/>
                <w:spacing w:val="-3"/>
                <w:sz w:val="21"/>
                <w:szCs w:val="21"/>
              </w:rPr>
              <w:t>黑线乌梢蛇</w:t>
            </w:r>
          </w:p>
        </w:tc>
        <w:tc>
          <w:tcPr>
            <w:tcW w:w="1421" w:type="dxa"/>
            <w:vAlign w:val="top"/>
          </w:tcPr>
          <w:p w14:paraId="2327F997">
            <w:pPr>
              <w:pStyle w:val="6"/>
              <w:spacing w:before="103" w:line="190" w:lineRule="auto"/>
              <w:ind w:left="462"/>
            </w:pPr>
            <w:r>
              <w:rPr>
                <w:i/>
                <w:iCs/>
                <w:spacing w:val="1"/>
              </w:rPr>
              <w:t>Ptyas</w:t>
            </w:r>
          </w:p>
          <w:p w14:paraId="0DADEFD5">
            <w:pPr>
              <w:pStyle w:val="6"/>
              <w:spacing w:before="51" w:line="190" w:lineRule="auto"/>
              <w:ind w:left="120"/>
            </w:pPr>
            <w:r>
              <w:rPr>
                <w:i/>
                <w:iCs/>
                <w:spacing w:val="-1"/>
              </w:rPr>
              <w:t>nigromargina</w:t>
            </w:r>
          </w:p>
          <w:p w14:paraId="3946DDEA">
            <w:pPr>
              <w:pStyle w:val="6"/>
              <w:spacing w:before="50" w:line="209" w:lineRule="auto"/>
              <w:ind w:left="627"/>
            </w:pPr>
            <w:r>
              <w:rPr>
                <w:i/>
                <w:iCs/>
                <w:spacing w:val="-2"/>
              </w:rPr>
              <w:t>ta</w:t>
            </w:r>
          </w:p>
        </w:tc>
        <w:tc>
          <w:tcPr>
            <w:tcW w:w="700" w:type="dxa"/>
            <w:vAlign w:val="top"/>
          </w:tcPr>
          <w:p w14:paraId="3E8EA1C6">
            <w:pPr>
              <w:rPr>
                <w:rFonts w:ascii="Arial"/>
                <w:sz w:val="21"/>
              </w:rPr>
            </w:pPr>
          </w:p>
        </w:tc>
        <w:tc>
          <w:tcPr>
            <w:tcW w:w="1694" w:type="dxa"/>
            <w:vAlign w:val="top"/>
          </w:tcPr>
          <w:p w14:paraId="4D57E6C3">
            <w:pPr>
              <w:rPr>
                <w:rFonts w:ascii="Arial"/>
                <w:sz w:val="21"/>
              </w:rPr>
            </w:pPr>
          </w:p>
        </w:tc>
        <w:tc>
          <w:tcPr>
            <w:tcW w:w="1415" w:type="dxa"/>
            <w:vAlign w:val="top"/>
          </w:tcPr>
          <w:p w14:paraId="708C50B8">
            <w:pPr>
              <w:rPr>
                <w:rFonts w:ascii="Arial"/>
                <w:sz w:val="21"/>
              </w:rPr>
            </w:pPr>
          </w:p>
        </w:tc>
        <w:tc>
          <w:tcPr>
            <w:tcW w:w="843" w:type="dxa"/>
            <w:tcBorders>
              <w:right w:val="single" w:color="000000" w:sz="12" w:space="0"/>
            </w:tcBorders>
            <w:vAlign w:val="top"/>
          </w:tcPr>
          <w:p w14:paraId="7A0D327F">
            <w:pPr>
              <w:spacing w:line="287" w:lineRule="auto"/>
              <w:rPr>
                <w:rFonts w:ascii="Arial"/>
                <w:sz w:val="21"/>
              </w:rPr>
            </w:pPr>
          </w:p>
          <w:p w14:paraId="28BAE3DB">
            <w:pPr>
              <w:pStyle w:val="6"/>
              <w:spacing w:before="60" w:line="186" w:lineRule="auto"/>
              <w:ind w:left="166"/>
            </w:pPr>
            <w:r>
              <w:rPr>
                <w:spacing w:val="-1"/>
              </w:rPr>
              <w:t>VU-C</w:t>
            </w:r>
          </w:p>
        </w:tc>
      </w:tr>
      <w:tr w14:paraId="4A799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632B6950">
            <w:pPr>
              <w:pStyle w:val="6"/>
              <w:spacing w:before="226" w:line="232" w:lineRule="auto"/>
              <w:ind w:left="286"/>
            </w:pPr>
            <w:r>
              <w:t>9</w:t>
            </w:r>
          </w:p>
        </w:tc>
        <w:tc>
          <w:tcPr>
            <w:tcW w:w="1696" w:type="dxa"/>
            <w:vAlign w:val="top"/>
          </w:tcPr>
          <w:p w14:paraId="0C301B61">
            <w:pPr>
              <w:spacing w:before="192" w:line="220" w:lineRule="auto"/>
              <w:ind w:left="532"/>
              <w:rPr>
                <w:rFonts w:ascii="宋体" w:hAnsi="宋体" w:eastAsia="宋体" w:cs="宋体"/>
                <w:sz w:val="21"/>
                <w:szCs w:val="21"/>
              </w:rPr>
            </w:pPr>
            <w:r>
              <w:rPr>
                <w:rFonts w:ascii="宋体" w:hAnsi="宋体" w:eastAsia="宋体" w:cs="宋体"/>
                <w:spacing w:val="-4"/>
                <w:sz w:val="21"/>
                <w:szCs w:val="21"/>
              </w:rPr>
              <w:t>赤链蛇</w:t>
            </w:r>
          </w:p>
        </w:tc>
        <w:tc>
          <w:tcPr>
            <w:tcW w:w="1421" w:type="dxa"/>
            <w:vAlign w:val="top"/>
          </w:tcPr>
          <w:p w14:paraId="0926F856">
            <w:pPr>
              <w:pStyle w:val="6"/>
              <w:spacing w:before="105" w:line="190" w:lineRule="auto"/>
              <w:ind w:left="332"/>
            </w:pPr>
            <w:r>
              <w:rPr>
                <w:i/>
                <w:iCs/>
                <w:spacing w:val="1"/>
              </w:rPr>
              <w:t>Lycodon</w:t>
            </w:r>
          </w:p>
          <w:p w14:paraId="5D058B1D">
            <w:pPr>
              <w:pStyle w:val="6"/>
              <w:spacing w:before="50" w:line="190" w:lineRule="auto"/>
              <w:ind w:left="209"/>
            </w:pPr>
            <w:r>
              <w:rPr>
                <w:i/>
                <w:iCs/>
                <w:spacing w:val="-1"/>
              </w:rPr>
              <w:t>rufozonatus</w:t>
            </w:r>
          </w:p>
        </w:tc>
        <w:tc>
          <w:tcPr>
            <w:tcW w:w="700" w:type="dxa"/>
            <w:vAlign w:val="top"/>
          </w:tcPr>
          <w:p w14:paraId="03910A86">
            <w:pPr>
              <w:rPr>
                <w:rFonts w:ascii="Arial"/>
                <w:sz w:val="21"/>
              </w:rPr>
            </w:pPr>
          </w:p>
        </w:tc>
        <w:tc>
          <w:tcPr>
            <w:tcW w:w="1694" w:type="dxa"/>
            <w:vAlign w:val="top"/>
          </w:tcPr>
          <w:p w14:paraId="3952E6FD">
            <w:pPr>
              <w:rPr>
                <w:rFonts w:ascii="Arial"/>
                <w:sz w:val="21"/>
              </w:rPr>
            </w:pPr>
          </w:p>
        </w:tc>
        <w:tc>
          <w:tcPr>
            <w:tcW w:w="1415" w:type="dxa"/>
            <w:vAlign w:val="top"/>
          </w:tcPr>
          <w:p w14:paraId="6984FF61">
            <w:pPr>
              <w:rPr>
                <w:rFonts w:ascii="Arial"/>
                <w:sz w:val="21"/>
              </w:rPr>
            </w:pPr>
          </w:p>
        </w:tc>
        <w:tc>
          <w:tcPr>
            <w:tcW w:w="843" w:type="dxa"/>
            <w:tcBorders>
              <w:right w:val="single" w:color="000000" w:sz="12" w:space="0"/>
            </w:tcBorders>
            <w:vAlign w:val="top"/>
          </w:tcPr>
          <w:p w14:paraId="628FC869">
            <w:pPr>
              <w:rPr>
                <w:rFonts w:ascii="Arial"/>
                <w:sz w:val="21"/>
              </w:rPr>
            </w:pPr>
          </w:p>
        </w:tc>
      </w:tr>
      <w:tr w14:paraId="0C82F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1718F705">
            <w:pPr>
              <w:pStyle w:val="6"/>
              <w:spacing w:before="227" w:line="232" w:lineRule="auto"/>
              <w:ind w:left="250"/>
            </w:pPr>
            <w:r>
              <w:rPr>
                <w:spacing w:val="-6"/>
              </w:rPr>
              <w:t>10</w:t>
            </w:r>
          </w:p>
        </w:tc>
        <w:tc>
          <w:tcPr>
            <w:tcW w:w="1696" w:type="dxa"/>
            <w:vAlign w:val="top"/>
          </w:tcPr>
          <w:p w14:paraId="00FD17A0">
            <w:pPr>
              <w:spacing w:before="193" w:line="221" w:lineRule="auto"/>
              <w:ind w:left="528"/>
              <w:rPr>
                <w:rFonts w:ascii="宋体" w:hAnsi="宋体" w:eastAsia="宋体" w:cs="宋体"/>
                <w:sz w:val="21"/>
                <w:szCs w:val="21"/>
              </w:rPr>
            </w:pPr>
            <w:r>
              <w:rPr>
                <w:rFonts w:ascii="宋体" w:hAnsi="宋体" w:eastAsia="宋体" w:cs="宋体"/>
                <w:spacing w:val="-3"/>
                <w:sz w:val="21"/>
                <w:szCs w:val="21"/>
              </w:rPr>
              <w:t>王锦蛇</w:t>
            </w:r>
          </w:p>
        </w:tc>
        <w:tc>
          <w:tcPr>
            <w:tcW w:w="1421" w:type="dxa"/>
            <w:vAlign w:val="top"/>
          </w:tcPr>
          <w:p w14:paraId="61F325C1">
            <w:pPr>
              <w:pStyle w:val="6"/>
              <w:spacing w:before="107" w:line="190" w:lineRule="auto"/>
              <w:ind w:left="398"/>
            </w:pPr>
            <w:r>
              <w:rPr>
                <w:i/>
                <w:iCs/>
              </w:rPr>
              <w:t>Elaphe</w:t>
            </w:r>
          </w:p>
          <w:p w14:paraId="4B213666">
            <w:pPr>
              <w:pStyle w:val="6"/>
              <w:spacing w:before="49" w:line="208" w:lineRule="auto"/>
              <w:ind w:left="350"/>
            </w:pPr>
            <w:r>
              <w:rPr>
                <w:i/>
                <w:iCs/>
                <w:spacing w:val="-1"/>
              </w:rPr>
              <w:t>carinata</w:t>
            </w:r>
          </w:p>
        </w:tc>
        <w:tc>
          <w:tcPr>
            <w:tcW w:w="700" w:type="dxa"/>
            <w:vAlign w:val="top"/>
          </w:tcPr>
          <w:p w14:paraId="0A14DE7F">
            <w:pPr>
              <w:pStyle w:val="6"/>
              <w:spacing w:before="227" w:line="232" w:lineRule="auto"/>
              <w:ind w:left="300"/>
            </w:pPr>
            <w:r>
              <w:t>6</w:t>
            </w:r>
          </w:p>
        </w:tc>
        <w:tc>
          <w:tcPr>
            <w:tcW w:w="1694" w:type="dxa"/>
            <w:vAlign w:val="top"/>
          </w:tcPr>
          <w:p w14:paraId="2C37BACC">
            <w:pPr>
              <w:spacing w:before="193" w:line="221" w:lineRule="auto"/>
              <w:ind w:left="539"/>
              <w:rPr>
                <w:rFonts w:ascii="宋体" w:hAnsi="宋体" w:eastAsia="宋体" w:cs="宋体"/>
                <w:sz w:val="21"/>
                <w:szCs w:val="21"/>
              </w:rPr>
            </w:pPr>
            <w:r>
              <w:rPr>
                <w:rFonts w:ascii="宋体" w:hAnsi="宋体" w:eastAsia="宋体" w:cs="宋体"/>
                <w:spacing w:val="-3"/>
                <w:sz w:val="21"/>
                <w:szCs w:val="21"/>
              </w:rPr>
              <w:t>王锦蛇</w:t>
            </w:r>
          </w:p>
        </w:tc>
        <w:tc>
          <w:tcPr>
            <w:tcW w:w="1415" w:type="dxa"/>
            <w:vAlign w:val="top"/>
          </w:tcPr>
          <w:p w14:paraId="0669928D">
            <w:pPr>
              <w:pStyle w:val="6"/>
              <w:spacing w:before="107" w:line="190" w:lineRule="auto"/>
              <w:ind w:left="408"/>
            </w:pPr>
            <w:r>
              <w:rPr>
                <w:i/>
                <w:iCs/>
              </w:rPr>
              <w:t>Elaphe</w:t>
            </w:r>
          </w:p>
          <w:p w14:paraId="70CB8DF7">
            <w:pPr>
              <w:pStyle w:val="6"/>
              <w:spacing w:before="49" w:line="208" w:lineRule="auto"/>
              <w:ind w:left="360"/>
            </w:pPr>
            <w:r>
              <w:rPr>
                <w:i/>
                <w:iCs/>
                <w:spacing w:val="-1"/>
              </w:rPr>
              <w:t>carinata</w:t>
            </w:r>
          </w:p>
        </w:tc>
        <w:tc>
          <w:tcPr>
            <w:tcW w:w="843" w:type="dxa"/>
            <w:tcBorders>
              <w:right w:val="single" w:color="000000" w:sz="12" w:space="0"/>
            </w:tcBorders>
            <w:vAlign w:val="top"/>
          </w:tcPr>
          <w:p w14:paraId="23B11500">
            <w:pPr>
              <w:pStyle w:val="6"/>
              <w:spacing w:before="230" w:line="186" w:lineRule="auto"/>
              <w:ind w:left="180"/>
            </w:pPr>
            <w:r>
              <w:rPr>
                <w:spacing w:val="-2"/>
              </w:rPr>
              <w:t>EN-C</w:t>
            </w:r>
          </w:p>
        </w:tc>
      </w:tr>
      <w:tr w14:paraId="50B0A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5" w:type="dxa"/>
            <w:tcBorders>
              <w:left w:val="single" w:color="000000" w:sz="12" w:space="0"/>
            </w:tcBorders>
            <w:vAlign w:val="top"/>
          </w:tcPr>
          <w:p w14:paraId="1FFD8364">
            <w:pPr>
              <w:pStyle w:val="6"/>
              <w:spacing w:before="228" w:line="235" w:lineRule="auto"/>
              <w:ind w:left="250"/>
            </w:pPr>
            <w:r>
              <w:rPr>
                <w:spacing w:val="-6"/>
              </w:rPr>
              <w:t>11</w:t>
            </w:r>
          </w:p>
        </w:tc>
        <w:tc>
          <w:tcPr>
            <w:tcW w:w="1696" w:type="dxa"/>
            <w:vAlign w:val="top"/>
          </w:tcPr>
          <w:p w14:paraId="1CA3E711">
            <w:pPr>
              <w:spacing w:before="195" w:line="220" w:lineRule="auto"/>
              <w:ind w:left="427"/>
              <w:rPr>
                <w:rFonts w:ascii="宋体" w:hAnsi="宋体" w:eastAsia="宋体" w:cs="宋体"/>
                <w:sz w:val="21"/>
                <w:szCs w:val="21"/>
              </w:rPr>
            </w:pPr>
            <w:r>
              <w:rPr>
                <w:rFonts w:ascii="宋体" w:hAnsi="宋体" w:eastAsia="宋体" w:cs="宋体"/>
                <w:spacing w:val="-3"/>
                <w:sz w:val="21"/>
                <w:szCs w:val="21"/>
              </w:rPr>
              <w:t>黑眉锦蛇</w:t>
            </w:r>
          </w:p>
        </w:tc>
        <w:tc>
          <w:tcPr>
            <w:tcW w:w="1421" w:type="dxa"/>
            <w:vAlign w:val="top"/>
          </w:tcPr>
          <w:p w14:paraId="567A70A5">
            <w:pPr>
              <w:pStyle w:val="6"/>
              <w:spacing w:before="107" w:line="190" w:lineRule="auto"/>
              <w:ind w:left="398"/>
            </w:pPr>
            <w:r>
              <w:rPr>
                <w:i/>
                <w:iCs/>
              </w:rPr>
              <w:t>Elaphe</w:t>
            </w:r>
          </w:p>
          <w:p w14:paraId="31A448CB">
            <w:pPr>
              <w:pStyle w:val="6"/>
              <w:spacing w:before="51" w:line="205" w:lineRule="auto"/>
              <w:ind w:left="353"/>
            </w:pPr>
            <w:r>
              <w:rPr>
                <w:i/>
                <w:iCs/>
                <w:spacing w:val="-2"/>
              </w:rPr>
              <w:t>taeniura</w:t>
            </w:r>
          </w:p>
        </w:tc>
        <w:tc>
          <w:tcPr>
            <w:tcW w:w="700" w:type="dxa"/>
            <w:vAlign w:val="top"/>
          </w:tcPr>
          <w:p w14:paraId="07389F8A">
            <w:pPr>
              <w:pStyle w:val="6"/>
              <w:spacing w:before="228" w:line="232" w:lineRule="auto"/>
              <w:ind w:left="298"/>
            </w:pPr>
            <w:r>
              <w:t>7</w:t>
            </w:r>
          </w:p>
        </w:tc>
        <w:tc>
          <w:tcPr>
            <w:tcW w:w="1694" w:type="dxa"/>
            <w:vAlign w:val="top"/>
          </w:tcPr>
          <w:p w14:paraId="4EB2C2E7">
            <w:pPr>
              <w:spacing w:before="195" w:line="220" w:lineRule="auto"/>
              <w:ind w:left="437"/>
              <w:rPr>
                <w:rFonts w:ascii="宋体" w:hAnsi="宋体" w:eastAsia="宋体" w:cs="宋体"/>
                <w:sz w:val="21"/>
                <w:szCs w:val="21"/>
              </w:rPr>
            </w:pPr>
            <w:r>
              <w:rPr>
                <w:rFonts w:ascii="宋体" w:hAnsi="宋体" w:eastAsia="宋体" w:cs="宋体"/>
                <w:spacing w:val="-3"/>
                <w:sz w:val="21"/>
                <w:szCs w:val="21"/>
              </w:rPr>
              <w:t>黑眉锦蛇</w:t>
            </w:r>
          </w:p>
        </w:tc>
        <w:tc>
          <w:tcPr>
            <w:tcW w:w="1415" w:type="dxa"/>
            <w:vAlign w:val="top"/>
          </w:tcPr>
          <w:p w14:paraId="5F3CFE45">
            <w:pPr>
              <w:pStyle w:val="6"/>
              <w:spacing w:before="107" w:line="190" w:lineRule="auto"/>
              <w:ind w:left="408"/>
            </w:pPr>
            <w:r>
              <w:rPr>
                <w:i/>
                <w:iCs/>
              </w:rPr>
              <w:t>Elaphe</w:t>
            </w:r>
          </w:p>
          <w:p w14:paraId="3BCDFA3A">
            <w:pPr>
              <w:pStyle w:val="6"/>
              <w:spacing w:before="51" w:line="205" w:lineRule="auto"/>
              <w:ind w:left="363"/>
            </w:pPr>
            <w:r>
              <w:rPr>
                <w:i/>
                <w:iCs/>
                <w:spacing w:val="-2"/>
              </w:rPr>
              <w:t>taeniura</w:t>
            </w:r>
          </w:p>
        </w:tc>
        <w:tc>
          <w:tcPr>
            <w:tcW w:w="843" w:type="dxa"/>
            <w:tcBorders>
              <w:right w:val="single" w:color="000000" w:sz="12" w:space="0"/>
            </w:tcBorders>
            <w:vAlign w:val="top"/>
          </w:tcPr>
          <w:p w14:paraId="3FF55433">
            <w:pPr>
              <w:pStyle w:val="6"/>
              <w:spacing w:before="232" w:line="186" w:lineRule="auto"/>
              <w:ind w:left="180"/>
            </w:pPr>
            <w:r>
              <w:rPr>
                <w:spacing w:val="-2"/>
              </w:rPr>
              <w:t>EN-C</w:t>
            </w:r>
          </w:p>
        </w:tc>
      </w:tr>
      <w:tr w14:paraId="414FF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05" w:type="dxa"/>
            <w:tcBorders>
              <w:left w:val="single" w:color="000000" w:sz="12" w:space="0"/>
            </w:tcBorders>
            <w:vAlign w:val="top"/>
          </w:tcPr>
          <w:p w14:paraId="0990B4B0">
            <w:pPr>
              <w:pStyle w:val="6"/>
              <w:spacing w:before="139" w:line="183" w:lineRule="auto"/>
              <w:ind w:left="219"/>
            </w:pPr>
            <w:r>
              <w:rPr>
                <w:b/>
                <w:bCs/>
                <w:spacing w:val="-2"/>
              </w:rPr>
              <w:t>F7</w:t>
            </w:r>
          </w:p>
        </w:tc>
        <w:tc>
          <w:tcPr>
            <w:tcW w:w="1696" w:type="dxa"/>
            <w:vAlign w:val="top"/>
          </w:tcPr>
          <w:p w14:paraId="45A1E2A4">
            <w:pPr>
              <w:spacing w:before="97" w:line="219" w:lineRule="auto"/>
              <w:ind w:left="422"/>
              <w:rPr>
                <w:rFonts w:ascii="宋体" w:hAnsi="宋体" w:eastAsia="宋体" w:cs="宋体"/>
                <w:sz w:val="21"/>
                <w:szCs w:val="21"/>
              </w:rPr>
            </w:pPr>
            <w:r>
              <w:rPr>
                <w:rFonts w:ascii="宋体" w:hAnsi="宋体" w:eastAsia="宋体" w:cs="宋体"/>
                <w:b/>
                <w:bCs/>
                <w:spacing w:val="-4"/>
                <w:sz w:val="21"/>
                <w:szCs w:val="21"/>
              </w:rPr>
              <w:t>水游蛇科</w:t>
            </w:r>
          </w:p>
        </w:tc>
        <w:tc>
          <w:tcPr>
            <w:tcW w:w="1421" w:type="dxa"/>
            <w:vAlign w:val="top"/>
          </w:tcPr>
          <w:p w14:paraId="77B26720">
            <w:pPr>
              <w:pStyle w:val="6"/>
              <w:spacing w:before="135" w:line="222" w:lineRule="auto"/>
              <w:ind w:left="231"/>
            </w:pPr>
            <w:r>
              <w:rPr>
                <w:b/>
                <w:bCs/>
                <w:spacing w:val="-1"/>
              </w:rPr>
              <w:t>Natricidae</w:t>
            </w:r>
          </w:p>
        </w:tc>
        <w:tc>
          <w:tcPr>
            <w:tcW w:w="700" w:type="dxa"/>
            <w:vAlign w:val="top"/>
          </w:tcPr>
          <w:p w14:paraId="7E4E9CB6">
            <w:pPr>
              <w:pStyle w:val="6"/>
              <w:spacing w:before="139" w:line="183" w:lineRule="auto"/>
              <w:ind w:left="231"/>
            </w:pPr>
            <w:r>
              <w:rPr>
                <w:b/>
                <w:bCs/>
                <w:spacing w:val="-2"/>
              </w:rPr>
              <w:t>F7</w:t>
            </w:r>
          </w:p>
        </w:tc>
        <w:tc>
          <w:tcPr>
            <w:tcW w:w="1694" w:type="dxa"/>
            <w:vAlign w:val="top"/>
          </w:tcPr>
          <w:p w14:paraId="71095ACE">
            <w:pPr>
              <w:spacing w:before="97" w:line="219" w:lineRule="auto"/>
              <w:ind w:left="433"/>
              <w:rPr>
                <w:rFonts w:ascii="宋体" w:hAnsi="宋体" w:eastAsia="宋体" w:cs="宋体"/>
                <w:sz w:val="21"/>
                <w:szCs w:val="21"/>
              </w:rPr>
            </w:pPr>
            <w:r>
              <w:rPr>
                <w:rFonts w:ascii="宋体" w:hAnsi="宋体" w:eastAsia="宋体" w:cs="宋体"/>
                <w:b/>
                <w:bCs/>
                <w:spacing w:val="-4"/>
                <w:sz w:val="21"/>
                <w:szCs w:val="21"/>
              </w:rPr>
              <w:t>水游蛇科</w:t>
            </w:r>
          </w:p>
        </w:tc>
        <w:tc>
          <w:tcPr>
            <w:tcW w:w="1415" w:type="dxa"/>
            <w:vAlign w:val="top"/>
          </w:tcPr>
          <w:p w14:paraId="31E4353B">
            <w:pPr>
              <w:pStyle w:val="6"/>
              <w:spacing w:before="136" w:line="186" w:lineRule="auto"/>
              <w:ind w:left="241"/>
            </w:pPr>
            <w:r>
              <w:rPr>
                <w:b/>
                <w:bCs/>
                <w:spacing w:val="-1"/>
              </w:rPr>
              <w:t>Natricidae</w:t>
            </w:r>
          </w:p>
        </w:tc>
        <w:tc>
          <w:tcPr>
            <w:tcW w:w="843" w:type="dxa"/>
            <w:tcBorders>
              <w:right w:val="single" w:color="000000" w:sz="12" w:space="0"/>
            </w:tcBorders>
            <w:vAlign w:val="top"/>
          </w:tcPr>
          <w:p w14:paraId="332883E9">
            <w:pPr>
              <w:rPr>
                <w:rFonts w:ascii="Arial"/>
                <w:sz w:val="21"/>
              </w:rPr>
            </w:pPr>
          </w:p>
        </w:tc>
      </w:tr>
      <w:tr w14:paraId="4EA8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5954EFFB">
            <w:pPr>
              <w:pStyle w:val="6"/>
              <w:spacing w:before="230" w:line="235" w:lineRule="auto"/>
              <w:ind w:left="250"/>
            </w:pPr>
            <w:r>
              <w:rPr>
                <w:spacing w:val="-6"/>
              </w:rPr>
              <w:t>12</w:t>
            </w:r>
          </w:p>
        </w:tc>
        <w:tc>
          <w:tcPr>
            <w:tcW w:w="1696" w:type="dxa"/>
            <w:vAlign w:val="top"/>
          </w:tcPr>
          <w:p w14:paraId="42AC6983">
            <w:pPr>
              <w:spacing w:before="196" w:line="220" w:lineRule="auto"/>
              <w:ind w:left="319"/>
              <w:rPr>
                <w:rFonts w:ascii="宋体" w:hAnsi="宋体" w:eastAsia="宋体" w:cs="宋体"/>
                <w:sz w:val="21"/>
                <w:szCs w:val="21"/>
              </w:rPr>
            </w:pPr>
            <w:r>
              <w:rPr>
                <w:rFonts w:ascii="宋体" w:hAnsi="宋体" w:eastAsia="宋体" w:cs="宋体"/>
                <w:spacing w:val="-2"/>
                <w:sz w:val="21"/>
                <w:szCs w:val="21"/>
              </w:rPr>
              <w:t>八线腹链蛇</w:t>
            </w:r>
          </w:p>
        </w:tc>
        <w:tc>
          <w:tcPr>
            <w:tcW w:w="1421" w:type="dxa"/>
            <w:vAlign w:val="top"/>
          </w:tcPr>
          <w:p w14:paraId="57990673">
            <w:pPr>
              <w:pStyle w:val="6"/>
              <w:spacing w:before="110" w:line="190" w:lineRule="auto"/>
              <w:ind w:left="397"/>
            </w:pPr>
            <w:r>
              <w:rPr>
                <w:i/>
                <w:iCs/>
                <w:spacing w:val="1"/>
              </w:rPr>
              <w:t>Hebius</w:t>
            </w:r>
          </w:p>
          <w:p w14:paraId="161EF32F">
            <w:pPr>
              <w:pStyle w:val="6"/>
              <w:spacing w:before="49" w:line="204" w:lineRule="auto"/>
              <w:ind w:left="193"/>
            </w:pPr>
            <w:r>
              <w:rPr>
                <w:i/>
                <w:iCs/>
                <w:spacing w:val="-1"/>
              </w:rPr>
              <w:t>octolineatus</w:t>
            </w:r>
          </w:p>
        </w:tc>
        <w:tc>
          <w:tcPr>
            <w:tcW w:w="700" w:type="dxa"/>
            <w:vAlign w:val="top"/>
          </w:tcPr>
          <w:p w14:paraId="4D8771DE">
            <w:pPr>
              <w:pStyle w:val="6"/>
              <w:spacing w:before="231" w:line="232" w:lineRule="auto"/>
              <w:ind w:left="304"/>
            </w:pPr>
            <w:r>
              <w:t>8</w:t>
            </w:r>
          </w:p>
        </w:tc>
        <w:tc>
          <w:tcPr>
            <w:tcW w:w="1694" w:type="dxa"/>
            <w:vAlign w:val="top"/>
          </w:tcPr>
          <w:p w14:paraId="0999BF1A">
            <w:pPr>
              <w:spacing w:before="196" w:line="220" w:lineRule="auto"/>
              <w:ind w:left="331"/>
              <w:rPr>
                <w:rFonts w:ascii="宋体" w:hAnsi="宋体" w:eastAsia="宋体" w:cs="宋体"/>
                <w:sz w:val="21"/>
                <w:szCs w:val="21"/>
              </w:rPr>
            </w:pPr>
            <w:r>
              <w:rPr>
                <w:rFonts w:ascii="宋体" w:hAnsi="宋体" w:eastAsia="宋体" w:cs="宋体"/>
                <w:spacing w:val="-2"/>
                <w:sz w:val="21"/>
                <w:szCs w:val="21"/>
              </w:rPr>
              <w:t>八线腹链蛇</w:t>
            </w:r>
          </w:p>
        </w:tc>
        <w:tc>
          <w:tcPr>
            <w:tcW w:w="1415" w:type="dxa"/>
            <w:vAlign w:val="top"/>
          </w:tcPr>
          <w:p w14:paraId="4FEC1EC9">
            <w:pPr>
              <w:pStyle w:val="6"/>
              <w:spacing w:before="110" w:line="190" w:lineRule="auto"/>
              <w:ind w:left="407"/>
            </w:pPr>
            <w:r>
              <w:rPr>
                <w:i/>
                <w:iCs/>
                <w:spacing w:val="1"/>
              </w:rPr>
              <w:t>Hebius</w:t>
            </w:r>
          </w:p>
          <w:p w14:paraId="360408A2">
            <w:pPr>
              <w:pStyle w:val="6"/>
              <w:spacing w:before="49" w:line="204" w:lineRule="auto"/>
              <w:ind w:left="204"/>
            </w:pPr>
            <w:r>
              <w:rPr>
                <w:i/>
                <w:iCs/>
                <w:spacing w:val="-1"/>
              </w:rPr>
              <w:t>octolineatus</w:t>
            </w:r>
          </w:p>
        </w:tc>
        <w:tc>
          <w:tcPr>
            <w:tcW w:w="843" w:type="dxa"/>
            <w:tcBorders>
              <w:right w:val="single" w:color="000000" w:sz="12" w:space="0"/>
            </w:tcBorders>
            <w:vAlign w:val="top"/>
          </w:tcPr>
          <w:p w14:paraId="455BFD14">
            <w:pPr>
              <w:spacing w:before="196" w:line="220" w:lineRule="auto"/>
              <w:ind w:left="219"/>
              <w:rPr>
                <w:rFonts w:ascii="宋体" w:hAnsi="宋体" w:eastAsia="宋体" w:cs="宋体"/>
                <w:sz w:val="21"/>
                <w:szCs w:val="21"/>
              </w:rPr>
            </w:pPr>
            <w:r>
              <w:rPr>
                <w:rFonts w:ascii="宋体" w:hAnsi="宋体" w:eastAsia="宋体" w:cs="宋体"/>
                <w:spacing w:val="-3"/>
                <w:sz w:val="21"/>
                <w:szCs w:val="21"/>
              </w:rPr>
              <w:t>特有</w:t>
            </w:r>
          </w:p>
        </w:tc>
      </w:tr>
      <w:tr w14:paraId="3378D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5" w:type="dxa"/>
            <w:tcBorders>
              <w:left w:val="single" w:color="000000" w:sz="12" w:space="0"/>
            </w:tcBorders>
            <w:vAlign w:val="top"/>
          </w:tcPr>
          <w:p w14:paraId="2C30D57A">
            <w:pPr>
              <w:pStyle w:val="6"/>
              <w:spacing w:before="232" w:line="232" w:lineRule="auto"/>
              <w:ind w:left="250"/>
            </w:pPr>
            <w:r>
              <w:rPr>
                <w:spacing w:val="-6"/>
              </w:rPr>
              <w:t>13</w:t>
            </w:r>
          </w:p>
        </w:tc>
        <w:tc>
          <w:tcPr>
            <w:tcW w:w="1696" w:type="dxa"/>
            <w:vAlign w:val="top"/>
          </w:tcPr>
          <w:p w14:paraId="6BC9815C">
            <w:pPr>
              <w:spacing w:before="198" w:line="220" w:lineRule="auto"/>
              <w:ind w:left="527"/>
              <w:rPr>
                <w:rFonts w:ascii="宋体" w:hAnsi="宋体" w:eastAsia="宋体" w:cs="宋体"/>
                <w:sz w:val="21"/>
                <w:szCs w:val="21"/>
              </w:rPr>
            </w:pPr>
            <w:r>
              <w:rPr>
                <w:rFonts w:ascii="宋体" w:hAnsi="宋体" w:eastAsia="宋体" w:cs="宋体"/>
                <w:spacing w:val="-3"/>
                <w:sz w:val="21"/>
                <w:szCs w:val="21"/>
              </w:rPr>
              <w:t>颈棱蛇</w:t>
            </w:r>
          </w:p>
        </w:tc>
        <w:tc>
          <w:tcPr>
            <w:tcW w:w="1421" w:type="dxa"/>
            <w:vAlign w:val="top"/>
          </w:tcPr>
          <w:p w14:paraId="6552D7B5">
            <w:pPr>
              <w:pStyle w:val="6"/>
              <w:spacing w:before="111" w:line="190" w:lineRule="auto"/>
              <w:ind w:left="95"/>
            </w:pPr>
            <w:r>
              <w:rPr>
                <w:i/>
                <w:iCs/>
              </w:rPr>
              <w:t>Pseudoagkistr</w:t>
            </w:r>
          </w:p>
          <w:p w14:paraId="339A4596">
            <w:pPr>
              <w:pStyle w:val="6"/>
              <w:spacing w:before="51" w:line="201" w:lineRule="auto"/>
              <w:ind w:left="253"/>
            </w:pPr>
            <w:r>
              <w:rPr>
                <w:i/>
                <w:iCs/>
                <w:spacing w:val="-1"/>
              </w:rPr>
              <w:t>odon rudis</w:t>
            </w:r>
          </w:p>
        </w:tc>
        <w:tc>
          <w:tcPr>
            <w:tcW w:w="700" w:type="dxa"/>
            <w:vAlign w:val="top"/>
          </w:tcPr>
          <w:p w14:paraId="0EDFCE7F">
            <w:pPr>
              <w:rPr>
                <w:rFonts w:ascii="Arial"/>
                <w:sz w:val="21"/>
              </w:rPr>
            </w:pPr>
          </w:p>
        </w:tc>
        <w:tc>
          <w:tcPr>
            <w:tcW w:w="1694" w:type="dxa"/>
            <w:vAlign w:val="top"/>
          </w:tcPr>
          <w:p w14:paraId="324D0953">
            <w:pPr>
              <w:rPr>
                <w:rFonts w:ascii="Arial"/>
                <w:sz w:val="21"/>
              </w:rPr>
            </w:pPr>
          </w:p>
        </w:tc>
        <w:tc>
          <w:tcPr>
            <w:tcW w:w="1415" w:type="dxa"/>
            <w:vAlign w:val="top"/>
          </w:tcPr>
          <w:p w14:paraId="15EB9E0C">
            <w:pPr>
              <w:rPr>
                <w:rFonts w:ascii="Arial"/>
                <w:sz w:val="21"/>
              </w:rPr>
            </w:pPr>
          </w:p>
        </w:tc>
        <w:tc>
          <w:tcPr>
            <w:tcW w:w="843" w:type="dxa"/>
            <w:tcBorders>
              <w:right w:val="single" w:color="000000" w:sz="12" w:space="0"/>
            </w:tcBorders>
            <w:vAlign w:val="top"/>
          </w:tcPr>
          <w:p w14:paraId="2D1AAAB2">
            <w:pPr>
              <w:spacing w:before="198" w:line="220" w:lineRule="auto"/>
              <w:ind w:left="219"/>
              <w:rPr>
                <w:rFonts w:ascii="宋体" w:hAnsi="宋体" w:eastAsia="宋体" w:cs="宋体"/>
                <w:sz w:val="21"/>
                <w:szCs w:val="21"/>
              </w:rPr>
            </w:pPr>
            <w:r>
              <w:rPr>
                <w:rFonts w:ascii="宋体" w:hAnsi="宋体" w:eastAsia="宋体" w:cs="宋体"/>
                <w:spacing w:val="-3"/>
                <w:sz w:val="21"/>
                <w:szCs w:val="21"/>
              </w:rPr>
              <w:t>特有</w:t>
            </w:r>
          </w:p>
        </w:tc>
      </w:tr>
      <w:tr w14:paraId="696A3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05" w:type="dxa"/>
            <w:tcBorders>
              <w:left w:val="single" w:color="000000" w:sz="12" w:space="0"/>
            </w:tcBorders>
            <w:vAlign w:val="top"/>
          </w:tcPr>
          <w:p w14:paraId="5311542C">
            <w:pPr>
              <w:pStyle w:val="6"/>
              <w:spacing w:before="234" w:line="235" w:lineRule="auto"/>
              <w:ind w:left="250"/>
            </w:pPr>
            <w:r>
              <w:rPr>
                <w:spacing w:val="-6"/>
              </w:rPr>
              <w:t>14</w:t>
            </w:r>
          </w:p>
        </w:tc>
        <w:tc>
          <w:tcPr>
            <w:tcW w:w="1696" w:type="dxa"/>
            <w:vAlign w:val="top"/>
          </w:tcPr>
          <w:p w14:paraId="03C2A3C9">
            <w:pPr>
              <w:spacing w:before="200" w:line="220" w:lineRule="auto"/>
              <w:ind w:left="527"/>
              <w:rPr>
                <w:rFonts w:ascii="宋体" w:hAnsi="宋体" w:eastAsia="宋体" w:cs="宋体"/>
                <w:sz w:val="21"/>
                <w:szCs w:val="21"/>
              </w:rPr>
            </w:pPr>
            <w:r>
              <w:rPr>
                <w:rFonts w:ascii="宋体" w:hAnsi="宋体" w:eastAsia="宋体" w:cs="宋体"/>
                <w:spacing w:val="-3"/>
                <w:sz w:val="21"/>
                <w:szCs w:val="21"/>
              </w:rPr>
              <w:t>颈槽蛇</w:t>
            </w:r>
          </w:p>
        </w:tc>
        <w:tc>
          <w:tcPr>
            <w:tcW w:w="1421" w:type="dxa"/>
            <w:vAlign w:val="top"/>
          </w:tcPr>
          <w:p w14:paraId="48FD940B">
            <w:pPr>
              <w:pStyle w:val="6"/>
              <w:spacing w:before="113" w:line="190" w:lineRule="auto"/>
              <w:ind w:left="193"/>
            </w:pPr>
            <w:r>
              <w:rPr>
                <w:i/>
                <w:iCs/>
              </w:rPr>
              <w:t>Rhabdophis</w:t>
            </w:r>
          </w:p>
          <w:p w14:paraId="5CEC8FD9">
            <w:pPr>
              <w:pStyle w:val="6"/>
              <w:spacing w:before="49" w:line="201" w:lineRule="auto"/>
              <w:ind w:left="348"/>
            </w:pPr>
            <w:r>
              <w:rPr>
                <w:i/>
                <w:iCs/>
                <w:spacing w:val="-1"/>
              </w:rPr>
              <w:t>nuchalis</w:t>
            </w:r>
          </w:p>
        </w:tc>
        <w:tc>
          <w:tcPr>
            <w:tcW w:w="700" w:type="dxa"/>
            <w:vAlign w:val="top"/>
          </w:tcPr>
          <w:p w14:paraId="6DE58658">
            <w:pPr>
              <w:rPr>
                <w:rFonts w:ascii="Arial"/>
                <w:sz w:val="21"/>
              </w:rPr>
            </w:pPr>
          </w:p>
        </w:tc>
        <w:tc>
          <w:tcPr>
            <w:tcW w:w="1694" w:type="dxa"/>
            <w:vAlign w:val="top"/>
          </w:tcPr>
          <w:p w14:paraId="6C807338">
            <w:pPr>
              <w:rPr>
                <w:rFonts w:ascii="Arial"/>
                <w:sz w:val="21"/>
              </w:rPr>
            </w:pPr>
          </w:p>
        </w:tc>
        <w:tc>
          <w:tcPr>
            <w:tcW w:w="1415" w:type="dxa"/>
            <w:vAlign w:val="top"/>
          </w:tcPr>
          <w:p w14:paraId="4875FAD5">
            <w:pPr>
              <w:rPr>
                <w:rFonts w:ascii="Arial"/>
                <w:sz w:val="21"/>
              </w:rPr>
            </w:pPr>
          </w:p>
        </w:tc>
        <w:tc>
          <w:tcPr>
            <w:tcW w:w="843" w:type="dxa"/>
            <w:tcBorders>
              <w:right w:val="single" w:color="000000" w:sz="12" w:space="0"/>
            </w:tcBorders>
            <w:vAlign w:val="top"/>
          </w:tcPr>
          <w:p w14:paraId="03B5D273">
            <w:pPr>
              <w:rPr>
                <w:rFonts w:ascii="Arial"/>
                <w:sz w:val="21"/>
              </w:rPr>
            </w:pPr>
          </w:p>
        </w:tc>
      </w:tr>
      <w:tr w14:paraId="1DB1C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5" w:type="dxa"/>
            <w:tcBorders>
              <w:left w:val="single" w:color="000000" w:sz="12" w:space="0"/>
            </w:tcBorders>
            <w:vAlign w:val="top"/>
          </w:tcPr>
          <w:p w14:paraId="5A152BB2">
            <w:pPr>
              <w:pStyle w:val="6"/>
              <w:spacing w:before="235" w:line="232" w:lineRule="auto"/>
              <w:ind w:left="250"/>
            </w:pPr>
            <w:r>
              <w:rPr>
                <w:spacing w:val="-6"/>
              </w:rPr>
              <w:t>15</w:t>
            </w:r>
          </w:p>
        </w:tc>
        <w:tc>
          <w:tcPr>
            <w:tcW w:w="1696" w:type="dxa"/>
            <w:vAlign w:val="top"/>
          </w:tcPr>
          <w:p w14:paraId="7B6B7054">
            <w:pPr>
              <w:spacing w:before="200" w:line="220" w:lineRule="auto"/>
              <w:ind w:left="321"/>
              <w:rPr>
                <w:rFonts w:ascii="宋体" w:hAnsi="宋体" w:eastAsia="宋体" w:cs="宋体"/>
                <w:sz w:val="21"/>
                <w:szCs w:val="21"/>
              </w:rPr>
            </w:pPr>
            <w:r>
              <w:rPr>
                <w:rFonts w:ascii="宋体" w:hAnsi="宋体" w:eastAsia="宋体" w:cs="宋体"/>
                <w:spacing w:val="-3"/>
                <w:sz w:val="21"/>
                <w:szCs w:val="21"/>
              </w:rPr>
              <w:t>红脖颈槽蛇</w:t>
            </w:r>
          </w:p>
        </w:tc>
        <w:tc>
          <w:tcPr>
            <w:tcW w:w="1421" w:type="dxa"/>
            <w:vAlign w:val="top"/>
          </w:tcPr>
          <w:p w14:paraId="59A962A9">
            <w:pPr>
              <w:pStyle w:val="6"/>
              <w:spacing w:before="115" w:line="190" w:lineRule="auto"/>
              <w:ind w:left="193"/>
            </w:pPr>
            <w:r>
              <w:rPr>
                <w:i/>
                <w:iCs/>
              </w:rPr>
              <w:t>Rhabdophis</w:t>
            </w:r>
          </w:p>
          <w:p w14:paraId="7A595751">
            <w:pPr>
              <w:pStyle w:val="6"/>
              <w:spacing w:before="49" w:line="199" w:lineRule="auto"/>
              <w:ind w:left="190"/>
            </w:pPr>
            <w:r>
              <w:rPr>
                <w:i/>
                <w:iCs/>
              </w:rPr>
              <w:t>subminiatus</w:t>
            </w:r>
          </w:p>
        </w:tc>
        <w:tc>
          <w:tcPr>
            <w:tcW w:w="700" w:type="dxa"/>
            <w:vAlign w:val="top"/>
          </w:tcPr>
          <w:p w14:paraId="6F93770B">
            <w:pPr>
              <w:rPr>
                <w:rFonts w:ascii="Arial"/>
                <w:sz w:val="21"/>
              </w:rPr>
            </w:pPr>
          </w:p>
        </w:tc>
        <w:tc>
          <w:tcPr>
            <w:tcW w:w="1694" w:type="dxa"/>
            <w:vAlign w:val="top"/>
          </w:tcPr>
          <w:p w14:paraId="54293A4F">
            <w:pPr>
              <w:rPr>
                <w:rFonts w:ascii="Arial"/>
                <w:sz w:val="21"/>
              </w:rPr>
            </w:pPr>
          </w:p>
        </w:tc>
        <w:tc>
          <w:tcPr>
            <w:tcW w:w="1415" w:type="dxa"/>
            <w:vAlign w:val="top"/>
          </w:tcPr>
          <w:p w14:paraId="3B00C153">
            <w:pPr>
              <w:rPr>
                <w:rFonts w:ascii="Arial"/>
                <w:sz w:val="21"/>
              </w:rPr>
            </w:pPr>
          </w:p>
        </w:tc>
        <w:tc>
          <w:tcPr>
            <w:tcW w:w="843" w:type="dxa"/>
            <w:tcBorders>
              <w:right w:val="single" w:color="000000" w:sz="12" w:space="0"/>
            </w:tcBorders>
            <w:vAlign w:val="top"/>
          </w:tcPr>
          <w:p w14:paraId="1D74B394">
            <w:pPr>
              <w:rPr>
                <w:rFonts w:ascii="Arial"/>
                <w:sz w:val="21"/>
              </w:rPr>
            </w:pPr>
          </w:p>
        </w:tc>
      </w:tr>
      <w:tr w14:paraId="759DB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705" w:type="dxa"/>
            <w:tcBorders>
              <w:left w:val="single" w:color="000000" w:sz="12" w:space="0"/>
              <w:bottom w:val="single" w:color="000000" w:sz="12" w:space="0"/>
            </w:tcBorders>
            <w:vAlign w:val="top"/>
          </w:tcPr>
          <w:p w14:paraId="7A5D04DD">
            <w:pPr>
              <w:pStyle w:val="6"/>
              <w:spacing w:before="237" w:line="232" w:lineRule="auto"/>
              <w:ind w:left="250"/>
            </w:pPr>
            <w:r>
              <w:rPr>
                <w:spacing w:val="-6"/>
              </w:rPr>
              <w:t>16</w:t>
            </w:r>
          </w:p>
        </w:tc>
        <w:tc>
          <w:tcPr>
            <w:tcW w:w="1696" w:type="dxa"/>
            <w:tcBorders>
              <w:bottom w:val="single" w:color="000000" w:sz="12" w:space="0"/>
            </w:tcBorders>
            <w:vAlign w:val="top"/>
          </w:tcPr>
          <w:p w14:paraId="37BF6FCA">
            <w:pPr>
              <w:spacing w:before="203" w:line="219" w:lineRule="auto"/>
              <w:ind w:left="316"/>
              <w:rPr>
                <w:rFonts w:ascii="宋体" w:hAnsi="宋体" w:eastAsia="宋体" w:cs="宋体"/>
                <w:sz w:val="21"/>
                <w:szCs w:val="21"/>
              </w:rPr>
            </w:pPr>
            <w:r>
              <w:rPr>
                <w:rFonts w:ascii="宋体" w:hAnsi="宋体" w:eastAsia="宋体" w:cs="宋体"/>
                <w:spacing w:val="-2"/>
                <w:sz w:val="21"/>
                <w:szCs w:val="21"/>
              </w:rPr>
              <w:t>虎斑颈槽蛇</w:t>
            </w:r>
          </w:p>
        </w:tc>
        <w:tc>
          <w:tcPr>
            <w:tcW w:w="1421" w:type="dxa"/>
            <w:tcBorders>
              <w:bottom w:val="single" w:color="000000" w:sz="12" w:space="0"/>
            </w:tcBorders>
            <w:vAlign w:val="top"/>
          </w:tcPr>
          <w:p w14:paraId="06E9FCEA">
            <w:pPr>
              <w:pStyle w:val="6"/>
              <w:spacing w:before="116" w:line="190" w:lineRule="auto"/>
              <w:ind w:left="193"/>
            </w:pPr>
            <w:r>
              <w:rPr>
                <w:i/>
                <w:iCs/>
              </w:rPr>
              <w:t>Rhabdophis</w:t>
            </w:r>
          </w:p>
          <w:p w14:paraId="54F9C76C">
            <w:pPr>
              <w:pStyle w:val="6"/>
              <w:spacing w:before="49" w:line="190" w:lineRule="auto"/>
              <w:ind w:left="382"/>
            </w:pPr>
            <w:r>
              <w:rPr>
                <w:i/>
                <w:iCs/>
                <w:spacing w:val="-1"/>
              </w:rPr>
              <w:t>tigrinus</w:t>
            </w:r>
          </w:p>
        </w:tc>
        <w:tc>
          <w:tcPr>
            <w:tcW w:w="700" w:type="dxa"/>
            <w:tcBorders>
              <w:bottom w:val="single" w:color="000000" w:sz="12" w:space="0"/>
            </w:tcBorders>
            <w:vAlign w:val="top"/>
          </w:tcPr>
          <w:p w14:paraId="543F11F8">
            <w:pPr>
              <w:rPr>
                <w:rFonts w:ascii="Arial"/>
                <w:sz w:val="21"/>
              </w:rPr>
            </w:pPr>
          </w:p>
        </w:tc>
        <w:tc>
          <w:tcPr>
            <w:tcW w:w="1694" w:type="dxa"/>
            <w:tcBorders>
              <w:bottom w:val="single" w:color="000000" w:sz="12" w:space="0"/>
            </w:tcBorders>
            <w:vAlign w:val="top"/>
          </w:tcPr>
          <w:p w14:paraId="2A20075E">
            <w:pPr>
              <w:rPr>
                <w:rFonts w:ascii="Arial"/>
                <w:sz w:val="21"/>
              </w:rPr>
            </w:pPr>
          </w:p>
        </w:tc>
        <w:tc>
          <w:tcPr>
            <w:tcW w:w="1415" w:type="dxa"/>
            <w:tcBorders>
              <w:bottom w:val="single" w:color="000000" w:sz="12" w:space="0"/>
            </w:tcBorders>
            <w:vAlign w:val="top"/>
          </w:tcPr>
          <w:p w14:paraId="1D407CDC">
            <w:pPr>
              <w:rPr>
                <w:rFonts w:ascii="Arial"/>
                <w:sz w:val="21"/>
              </w:rPr>
            </w:pPr>
          </w:p>
        </w:tc>
        <w:tc>
          <w:tcPr>
            <w:tcW w:w="843" w:type="dxa"/>
            <w:tcBorders>
              <w:bottom w:val="single" w:color="000000" w:sz="12" w:space="0"/>
              <w:right w:val="single" w:color="000000" w:sz="12" w:space="0"/>
            </w:tcBorders>
            <w:vAlign w:val="top"/>
          </w:tcPr>
          <w:p w14:paraId="0A396750">
            <w:pPr>
              <w:rPr>
                <w:rFonts w:ascii="Arial"/>
                <w:sz w:val="21"/>
              </w:rPr>
            </w:pPr>
          </w:p>
        </w:tc>
      </w:tr>
    </w:tbl>
    <w:p w14:paraId="46CF1751">
      <w:pPr>
        <w:spacing w:line="252" w:lineRule="auto"/>
        <w:rPr>
          <w:rFonts w:ascii="Arial"/>
          <w:sz w:val="21"/>
        </w:rPr>
      </w:pPr>
    </w:p>
    <w:p w14:paraId="7FE3B339">
      <w:pPr>
        <w:spacing w:line="252" w:lineRule="auto"/>
        <w:rPr>
          <w:rFonts w:ascii="Arial"/>
          <w:sz w:val="21"/>
        </w:rPr>
      </w:pPr>
    </w:p>
    <w:p w14:paraId="22457383">
      <w:pPr>
        <w:pStyle w:val="2"/>
        <w:spacing w:before="78" w:line="340" w:lineRule="auto"/>
        <w:ind w:left="43" w:right="29" w:firstLine="479"/>
        <w:rPr>
          <w:sz w:val="24"/>
          <w:szCs w:val="24"/>
        </w:rPr>
      </w:pPr>
      <w:r>
        <w:rPr>
          <w:spacing w:val="-4"/>
          <w:sz w:val="24"/>
          <w:szCs w:val="24"/>
        </w:rPr>
        <w:t>差异原因主要为：①爬行类隐蔽性较好，野外</w:t>
      </w:r>
      <w:r>
        <w:rPr>
          <w:spacing w:val="-5"/>
          <w:sz w:val="24"/>
          <w:szCs w:val="24"/>
        </w:rPr>
        <w:t>遇见率较低，故部分物种没有遇</w:t>
      </w:r>
      <w:r>
        <w:rPr>
          <w:spacing w:val="-4"/>
          <w:sz w:val="24"/>
          <w:szCs w:val="24"/>
        </w:rPr>
        <w:t>见实体；②爬行类动物特征（特别是蛇类）难以区分，访查过程中有部</w:t>
      </w:r>
      <w:r>
        <w:rPr>
          <w:spacing w:val="-5"/>
          <w:sz w:val="24"/>
          <w:szCs w:val="24"/>
        </w:rPr>
        <w:t>分当地居民</w:t>
      </w:r>
    </w:p>
    <w:p w14:paraId="2EC3687D">
      <w:pPr>
        <w:spacing w:line="340" w:lineRule="auto"/>
        <w:rPr>
          <w:sz w:val="24"/>
          <w:szCs w:val="24"/>
        </w:rPr>
        <w:sectPr>
          <w:headerReference r:id="rId170" w:type="default"/>
          <w:footerReference r:id="rId171" w:type="default"/>
          <w:pgSz w:w="11907" w:h="16839"/>
          <w:pgMar w:top="1376" w:right="1669" w:bottom="1061" w:left="1671" w:header="999" w:footer="861" w:gutter="0"/>
          <w:cols w:space="720" w:num="1"/>
        </w:sectPr>
      </w:pPr>
    </w:p>
    <w:p w14:paraId="1D15DDE9">
      <w:pPr>
        <w:spacing w:line="452" w:lineRule="auto"/>
        <w:rPr>
          <w:rFonts w:ascii="Arial"/>
          <w:sz w:val="21"/>
        </w:rPr>
      </w:pPr>
    </w:p>
    <w:p w14:paraId="6123E548">
      <w:pPr>
        <w:pStyle w:val="2"/>
        <w:spacing w:before="78" w:line="338" w:lineRule="auto"/>
        <w:ind w:left="23" w:right="83" w:firstLine="14"/>
        <w:jc w:val="both"/>
        <w:rPr>
          <w:sz w:val="24"/>
          <w:szCs w:val="24"/>
        </w:rPr>
      </w:pPr>
      <w:r>
        <w:rPr>
          <w:spacing w:val="-2"/>
          <w:sz w:val="24"/>
          <w:szCs w:val="24"/>
        </w:rPr>
        <w:t>遇见过的爬行类无法确认到种级阶元；③环评阶段调查时间</w:t>
      </w:r>
      <w:r>
        <w:rPr>
          <w:spacing w:val="-3"/>
          <w:sz w:val="24"/>
          <w:szCs w:val="24"/>
        </w:rPr>
        <w:t>为</w:t>
      </w:r>
      <w:r>
        <w:rPr>
          <w:spacing w:val="-50"/>
          <w:sz w:val="24"/>
          <w:szCs w:val="24"/>
        </w:rPr>
        <w:t xml:space="preserve"> </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15"/>
          <w:w w:val="101"/>
          <w:sz w:val="24"/>
          <w:szCs w:val="24"/>
        </w:rPr>
        <w:t xml:space="preserve"> </w:t>
      </w:r>
      <w:r>
        <w:rPr>
          <w:spacing w:val="-3"/>
          <w:sz w:val="24"/>
          <w:szCs w:val="24"/>
        </w:rPr>
        <w:t>月</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15"/>
          <w:sz w:val="24"/>
          <w:szCs w:val="24"/>
        </w:rPr>
        <w:t xml:space="preserve"> </w:t>
      </w:r>
      <w:r>
        <w:rPr>
          <w:spacing w:val="-3"/>
          <w:sz w:val="24"/>
          <w:szCs w:val="24"/>
        </w:rPr>
        <w:t>月，属爬行</w:t>
      </w:r>
      <w:r>
        <w:rPr>
          <w:spacing w:val="3"/>
          <w:sz w:val="24"/>
          <w:szCs w:val="24"/>
        </w:rPr>
        <w:t>类不甚活跃季节，部分物种通过文献资料得出，可能存在偏差，如孟加拉眼镜蛇</w:t>
      </w:r>
      <w:r>
        <w:rPr>
          <w:rFonts w:ascii="Times New Roman" w:hAnsi="Times New Roman" w:eastAsia="Times New Roman" w:cs="Times New Roman"/>
          <w:i/>
          <w:iCs/>
          <w:spacing w:val="-1"/>
          <w:sz w:val="24"/>
          <w:szCs w:val="24"/>
        </w:rPr>
        <w:t>Naja</w:t>
      </w:r>
      <w:r>
        <w:rPr>
          <w:rFonts w:ascii="Times New Roman" w:hAnsi="Times New Roman" w:eastAsia="Times New Roman" w:cs="Times New Roman"/>
          <w:i/>
          <w:iCs/>
          <w:spacing w:val="-12"/>
          <w:sz w:val="24"/>
          <w:szCs w:val="24"/>
        </w:rPr>
        <w:t xml:space="preserve"> </w:t>
      </w:r>
      <w:r>
        <w:rPr>
          <w:rFonts w:ascii="Times New Roman" w:hAnsi="Times New Roman" w:eastAsia="Times New Roman" w:cs="Times New Roman"/>
          <w:i/>
          <w:iCs/>
          <w:spacing w:val="-1"/>
          <w:sz w:val="24"/>
          <w:szCs w:val="24"/>
        </w:rPr>
        <w:t>kaouthia</w:t>
      </w:r>
      <w:r>
        <w:rPr>
          <w:spacing w:val="-1"/>
          <w:sz w:val="24"/>
          <w:szCs w:val="24"/>
        </w:rPr>
        <w:t>，其多栖息于热带低山区，调查区当地居民所说的眼镜蛇应为</w:t>
      </w:r>
      <w:r>
        <w:rPr>
          <w:spacing w:val="-2"/>
          <w:sz w:val="24"/>
          <w:szCs w:val="24"/>
        </w:rPr>
        <w:t>眼镜王</w:t>
      </w:r>
      <w:r>
        <w:rPr>
          <w:spacing w:val="-8"/>
          <w:sz w:val="24"/>
          <w:szCs w:val="24"/>
        </w:rPr>
        <w:t>蛇。</w:t>
      </w:r>
    </w:p>
    <w:p w14:paraId="21E07502">
      <w:pPr>
        <w:pStyle w:val="2"/>
        <w:spacing w:before="4" w:line="336" w:lineRule="auto"/>
        <w:ind w:left="23" w:right="85" w:firstLine="496"/>
        <w:jc w:val="both"/>
        <w:rPr>
          <w:sz w:val="24"/>
          <w:szCs w:val="24"/>
        </w:rPr>
      </w:pPr>
      <w:r>
        <w:rPr>
          <w:spacing w:val="-4"/>
          <w:sz w:val="24"/>
          <w:szCs w:val="24"/>
        </w:rPr>
        <w:t>环评期记录的特有种为昆明龙蜥、八线腹链蛇、颈棱</w:t>
      </w:r>
      <w:r>
        <w:rPr>
          <w:spacing w:val="-5"/>
          <w:sz w:val="24"/>
          <w:szCs w:val="24"/>
        </w:rPr>
        <w:t>蛇和颈槽蛇等</w:t>
      </w:r>
      <w:r>
        <w:rPr>
          <w:spacing w:val="-55"/>
          <w:sz w:val="24"/>
          <w:szCs w:val="24"/>
        </w:rPr>
        <w:t xml:space="preserve"> </w:t>
      </w:r>
      <w:r>
        <w:rPr>
          <w:rFonts w:ascii="Times New Roman" w:hAnsi="Times New Roman" w:eastAsia="Times New Roman" w:cs="Times New Roman"/>
          <w:spacing w:val="-5"/>
          <w:sz w:val="24"/>
          <w:szCs w:val="24"/>
        </w:rPr>
        <w:t xml:space="preserve">4 </w:t>
      </w:r>
      <w:r>
        <w:rPr>
          <w:spacing w:val="-5"/>
          <w:sz w:val="24"/>
          <w:szCs w:val="24"/>
        </w:rPr>
        <w:t>种，经查</w:t>
      </w:r>
      <w:r>
        <w:rPr>
          <w:spacing w:val="-9"/>
          <w:sz w:val="24"/>
          <w:szCs w:val="24"/>
        </w:rPr>
        <w:t>《中国脊椎动物红色名录》的特有情况，</w:t>
      </w:r>
      <w:r>
        <w:rPr>
          <w:spacing w:val="-26"/>
          <w:sz w:val="24"/>
          <w:szCs w:val="24"/>
        </w:rPr>
        <w:t xml:space="preserve"> </w:t>
      </w:r>
      <w:r>
        <w:rPr>
          <w:spacing w:val="-9"/>
          <w:sz w:val="24"/>
          <w:szCs w:val="24"/>
        </w:rPr>
        <w:t>颈槽蛇（印度、</w:t>
      </w:r>
      <w:r>
        <w:rPr>
          <w:spacing w:val="-10"/>
          <w:sz w:val="24"/>
          <w:szCs w:val="24"/>
        </w:rPr>
        <w:t>缅甸、越南有分布） 不属</w:t>
      </w:r>
      <w:r>
        <w:rPr>
          <w:spacing w:val="13"/>
          <w:sz w:val="24"/>
          <w:szCs w:val="24"/>
        </w:rPr>
        <w:t xml:space="preserve">于特有种，环评阶段记录错误。施工期监测记录到特有种 </w:t>
      </w:r>
      <w:r>
        <w:rPr>
          <w:rFonts w:ascii="Times New Roman" w:hAnsi="Times New Roman" w:eastAsia="Times New Roman" w:cs="Times New Roman"/>
          <w:spacing w:val="13"/>
          <w:sz w:val="24"/>
          <w:szCs w:val="24"/>
        </w:rPr>
        <w:t xml:space="preserve">2  </w:t>
      </w:r>
      <w:r>
        <w:rPr>
          <w:spacing w:val="13"/>
          <w:sz w:val="24"/>
          <w:szCs w:val="24"/>
        </w:rPr>
        <w:t>种，为昆明龙蜥</w:t>
      </w:r>
      <w:r>
        <w:rPr>
          <w:rFonts w:ascii="Times New Roman" w:hAnsi="Times New Roman" w:eastAsia="Times New Roman" w:cs="Times New Roman"/>
          <w:i/>
          <w:iCs/>
          <w:sz w:val="24"/>
          <w:szCs w:val="24"/>
        </w:rPr>
        <w:t xml:space="preserve">Diploderma varcoae </w:t>
      </w:r>
      <w:r>
        <w:rPr>
          <w:sz w:val="24"/>
          <w:szCs w:val="24"/>
        </w:rPr>
        <w:t>和八线腹链蛇</w:t>
      </w:r>
      <w:r>
        <w:rPr>
          <w:spacing w:val="-61"/>
          <w:sz w:val="24"/>
          <w:szCs w:val="24"/>
        </w:rPr>
        <w:t xml:space="preserve"> </w:t>
      </w:r>
      <w:r>
        <w:rPr>
          <w:rFonts w:ascii="Times New Roman" w:hAnsi="Times New Roman" w:eastAsia="Times New Roman" w:cs="Times New Roman"/>
          <w:i/>
          <w:iCs/>
          <w:sz w:val="24"/>
          <w:szCs w:val="24"/>
        </w:rPr>
        <w:t>Hebius octolineatus</w:t>
      </w:r>
      <w:r>
        <w:rPr>
          <w:sz w:val="24"/>
          <w:szCs w:val="24"/>
        </w:rPr>
        <w:t>。</w:t>
      </w:r>
    </w:p>
    <w:p w14:paraId="43E194D5">
      <w:pPr>
        <w:pStyle w:val="2"/>
        <w:spacing w:before="19" w:line="337" w:lineRule="auto"/>
        <w:ind w:left="34" w:firstLine="484"/>
        <w:jc w:val="both"/>
        <w:rPr>
          <w:sz w:val="24"/>
          <w:szCs w:val="24"/>
        </w:rPr>
      </w:pPr>
      <w:r>
        <w:rPr>
          <w:spacing w:val="-1"/>
          <w:sz w:val="24"/>
          <w:szCs w:val="24"/>
        </w:rPr>
        <w:t>环评期仅记录眼镜蛇为</w:t>
      </w:r>
      <w:r>
        <w:rPr>
          <w:spacing w:val="-32"/>
          <w:sz w:val="24"/>
          <w:szCs w:val="24"/>
        </w:rPr>
        <w:t xml:space="preserve"> </w:t>
      </w:r>
      <w:r>
        <w:rPr>
          <w:rFonts w:ascii="Times New Roman" w:hAnsi="Times New Roman" w:eastAsia="Times New Roman" w:cs="Times New Roman"/>
          <w:spacing w:val="-1"/>
          <w:sz w:val="24"/>
          <w:szCs w:val="24"/>
        </w:rPr>
        <w:t>CITES</w:t>
      </w:r>
      <w:r>
        <w:rPr>
          <w:rFonts w:ascii="Times New Roman" w:hAnsi="Times New Roman" w:eastAsia="Times New Roman" w:cs="Times New Roman"/>
          <w:spacing w:val="47"/>
          <w:w w:val="101"/>
          <w:sz w:val="24"/>
          <w:szCs w:val="24"/>
        </w:rPr>
        <w:t xml:space="preserve"> </w:t>
      </w:r>
      <w:r>
        <w:rPr>
          <w:spacing w:val="-1"/>
          <w:sz w:val="24"/>
          <w:szCs w:val="24"/>
        </w:rPr>
        <w:t>附录Ⅱ保护物种</w:t>
      </w:r>
      <w:r>
        <w:rPr>
          <w:spacing w:val="-2"/>
          <w:sz w:val="24"/>
          <w:szCs w:val="24"/>
        </w:rPr>
        <w:t>，可能记录错误，调查区内的</w:t>
      </w:r>
      <w:r>
        <w:rPr>
          <w:spacing w:val="3"/>
          <w:sz w:val="24"/>
          <w:szCs w:val="24"/>
        </w:rPr>
        <w:t>眼镜蛇应为眼镜王蛇，属云南省省级保护动物，被</w:t>
      </w:r>
      <w:r>
        <w:rPr>
          <w:spacing w:val="-32"/>
          <w:sz w:val="24"/>
          <w:szCs w:val="24"/>
        </w:rPr>
        <w:t xml:space="preserve"> </w:t>
      </w:r>
      <w:r>
        <w:rPr>
          <w:rFonts w:ascii="Times New Roman" w:hAnsi="Times New Roman" w:eastAsia="Times New Roman" w:cs="Times New Roman"/>
          <w:sz w:val="24"/>
          <w:szCs w:val="24"/>
        </w:rPr>
        <w:t>CITES</w:t>
      </w:r>
      <w:r>
        <w:rPr>
          <w:rFonts w:ascii="Times New Roman" w:hAnsi="Times New Roman" w:eastAsia="Times New Roman" w:cs="Times New Roman"/>
          <w:spacing w:val="33"/>
          <w:sz w:val="24"/>
          <w:szCs w:val="24"/>
        </w:rPr>
        <w:t xml:space="preserve"> </w:t>
      </w:r>
      <w:r>
        <w:rPr>
          <w:spacing w:val="3"/>
          <w:sz w:val="24"/>
          <w:szCs w:val="24"/>
        </w:rPr>
        <w:t>列入附录Ⅱ</w:t>
      </w:r>
      <w:r>
        <w:rPr>
          <w:spacing w:val="2"/>
          <w:sz w:val="24"/>
          <w:szCs w:val="24"/>
        </w:rPr>
        <w:t>,被《中国</w:t>
      </w:r>
      <w:r>
        <w:rPr>
          <w:spacing w:val="-5"/>
          <w:sz w:val="24"/>
          <w:szCs w:val="24"/>
        </w:rPr>
        <w:t>脊椎动物红色名录》列为濒危物种（</w:t>
      </w:r>
      <w:r>
        <w:rPr>
          <w:rFonts w:ascii="Times New Roman" w:hAnsi="Times New Roman" w:eastAsia="Times New Roman" w:cs="Times New Roman"/>
          <w:spacing w:val="-5"/>
          <w:sz w:val="24"/>
          <w:szCs w:val="24"/>
        </w:rPr>
        <w:t>EN</w:t>
      </w:r>
      <w:r>
        <w:rPr>
          <w:spacing w:val="-55"/>
          <w:sz w:val="24"/>
          <w:szCs w:val="24"/>
        </w:rPr>
        <w:t>），</w:t>
      </w:r>
      <w:r>
        <w:rPr>
          <w:spacing w:val="-5"/>
          <w:sz w:val="24"/>
          <w:szCs w:val="24"/>
        </w:rPr>
        <w:t>被</w:t>
      </w:r>
      <w:r>
        <w:rPr>
          <w:spacing w:val="-29"/>
          <w:sz w:val="24"/>
          <w:szCs w:val="24"/>
        </w:rPr>
        <w:t xml:space="preserve"> </w:t>
      </w:r>
      <w:r>
        <w:rPr>
          <w:rFonts w:ascii="Times New Roman" w:hAnsi="Times New Roman" w:eastAsia="Times New Roman" w:cs="Times New Roman"/>
          <w:spacing w:val="-5"/>
          <w:sz w:val="24"/>
          <w:szCs w:val="24"/>
        </w:rPr>
        <w:t>IUCN</w:t>
      </w:r>
      <w:r>
        <w:rPr>
          <w:rFonts w:ascii="Times New Roman" w:hAnsi="Times New Roman" w:eastAsia="Times New Roman" w:cs="Times New Roman"/>
          <w:spacing w:val="41"/>
          <w:sz w:val="24"/>
          <w:szCs w:val="24"/>
        </w:rPr>
        <w:t xml:space="preserve"> </w:t>
      </w:r>
      <w:r>
        <w:rPr>
          <w:spacing w:val="-5"/>
          <w:sz w:val="24"/>
          <w:szCs w:val="24"/>
        </w:rPr>
        <w:t>红色名录列为易</w:t>
      </w:r>
      <w:r>
        <w:rPr>
          <w:spacing w:val="-6"/>
          <w:sz w:val="24"/>
          <w:szCs w:val="24"/>
        </w:rPr>
        <w:t>危种（</w:t>
      </w:r>
      <w:r>
        <w:rPr>
          <w:rFonts w:ascii="Times New Roman" w:hAnsi="Times New Roman" w:eastAsia="Times New Roman" w:cs="Times New Roman"/>
          <w:spacing w:val="-6"/>
          <w:sz w:val="24"/>
          <w:szCs w:val="24"/>
        </w:rPr>
        <w:t>VU</w:t>
      </w:r>
      <w:r>
        <w:rPr>
          <w:spacing w:val="-6"/>
          <w:sz w:val="24"/>
          <w:szCs w:val="24"/>
        </w:rPr>
        <w:t>）。</w:t>
      </w:r>
      <w:r>
        <w:rPr>
          <w:spacing w:val="-9"/>
          <w:sz w:val="24"/>
          <w:szCs w:val="24"/>
        </w:rPr>
        <w:t>环评阶段的王锦蛇和黑眉锦蛇目前被《中国</w:t>
      </w:r>
      <w:r>
        <w:rPr>
          <w:spacing w:val="-10"/>
          <w:sz w:val="24"/>
          <w:szCs w:val="24"/>
        </w:rPr>
        <w:t>脊椎动物红色名录》列为濒危种（</w:t>
      </w:r>
      <w:r>
        <w:rPr>
          <w:rFonts w:ascii="Times New Roman" w:hAnsi="Times New Roman" w:eastAsia="Times New Roman" w:cs="Times New Roman"/>
          <w:spacing w:val="-10"/>
          <w:sz w:val="24"/>
          <w:szCs w:val="24"/>
        </w:rPr>
        <w:t>EN</w:t>
      </w:r>
      <w:r>
        <w:rPr>
          <w:spacing w:val="-18"/>
          <w:sz w:val="24"/>
          <w:szCs w:val="24"/>
        </w:rPr>
        <w:t>），</w:t>
      </w:r>
      <w:r>
        <w:rPr>
          <w:spacing w:val="-1"/>
          <w:sz w:val="24"/>
          <w:szCs w:val="24"/>
        </w:rPr>
        <w:t>灰鼠蛇</w:t>
      </w:r>
      <w:r>
        <w:rPr>
          <w:spacing w:val="-39"/>
          <w:sz w:val="24"/>
          <w:szCs w:val="24"/>
        </w:rPr>
        <w:t xml:space="preserve"> </w:t>
      </w:r>
      <w:r>
        <w:rPr>
          <w:rFonts w:ascii="Times New Roman" w:hAnsi="Times New Roman" w:eastAsia="Times New Roman" w:cs="Times New Roman"/>
          <w:i/>
          <w:iCs/>
          <w:spacing w:val="-1"/>
          <w:sz w:val="24"/>
          <w:szCs w:val="24"/>
        </w:rPr>
        <w:t>Ptyas</w:t>
      </w:r>
      <w:r>
        <w:rPr>
          <w:rFonts w:ascii="Times New Roman" w:hAnsi="Times New Roman" w:eastAsia="Times New Roman" w:cs="Times New Roman"/>
          <w:i/>
          <w:iCs/>
          <w:spacing w:val="32"/>
          <w:w w:val="101"/>
          <w:sz w:val="24"/>
          <w:szCs w:val="24"/>
        </w:rPr>
        <w:t xml:space="preserve"> </w:t>
      </w:r>
      <w:r>
        <w:rPr>
          <w:rFonts w:ascii="Times New Roman" w:hAnsi="Times New Roman" w:eastAsia="Times New Roman" w:cs="Times New Roman"/>
          <w:i/>
          <w:iCs/>
          <w:spacing w:val="-1"/>
          <w:sz w:val="24"/>
          <w:szCs w:val="24"/>
        </w:rPr>
        <w:t>korros</w:t>
      </w:r>
      <w:r>
        <w:rPr>
          <w:rFonts w:ascii="Times New Roman" w:hAnsi="Times New Roman" w:eastAsia="Times New Roman" w:cs="Times New Roman"/>
          <w:i/>
          <w:iCs/>
          <w:spacing w:val="34"/>
          <w:sz w:val="24"/>
          <w:szCs w:val="24"/>
        </w:rPr>
        <w:t xml:space="preserve"> </w:t>
      </w:r>
      <w:r>
        <w:rPr>
          <w:spacing w:val="-1"/>
          <w:sz w:val="24"/>
          <w:szCs w:val="24"/>
        </w:rPr>
        <w:t>和黑线乌梢蛇</w:t>
      </w:r>
      <w:r>
        <w:rPr>
          <w:spacing w:val="-42"/>
          <w:sz w:val="24"/>
          <w:szCs w:val="24"/>
        </w:rPr>
        <w:t xml:space="preserve"> </w:t>
      </w:r>
      <w:r>
        <w:rPr>
          <w:rFonts w:ascii="Times New Roman" w:hAnsi="Times New Roman" w:eastAsia="Times New Roman" w:cs="Times New Roman"/>
          <w:i/>
          <w:iCs/>
          <w:spacing w:val="-1"/>
          <w:sz w:val="24"/>
          <w:szCs w:val="24"/>
        </w:rPr>
        <w:t>Ptyas</w:t>
      </w:r>
      <w:r>
        <w:rPr>
          <w:rFonts w:ascii="Times New Roman" w:hAnsi="Times New Roman" w:eastAsia="Times New Roman" w:cs="Times New Roman"/>
          <w:i/>
          <w:iCs/>
          <w:spacing w:val="35"/>
          <w:w w:val="101"/>
          <w:sz w:val="24"/>
          <w:szCs w:val="24"/>
        </w:rPr>
        <w:t xml:space="preserve"> </w:t>
      </w:r>
      <w:r>
        <w:rPr>
          <w:rFonts w:ascii="Times New Roman" w:hAnsi="Times New Roman" w:eastAsia="Times New Roman" w:cs="Times New Roman"/>
          <w:i/>
          <w:iCs/>
          <w:spacing w:val="-1"/>
          <w:sz w:val="24"/>
          <w:szCs w:val="24"/>
        </w:rPr>
        <w:t>nigromarginata</w:t>
      </w:r>
      <w:r>
        <w:rPr>
          <w:rFonts w:ascii="Times New Roman" w:hAnsi="Times New Roman" w:eastAsia="Times New Roman" w:cs="Times New Roman"/>
          <w:i/>
          <w:iCs/>
          <w:spacing w:val="33"/>
          <w:sz w:val="24"/>
          <w:szCs w:val="24"/>
        </w:rPr>
        <w:t xml:space="preserve"> </w:t>
      </w:r>
      <w:r>
        <w:rPr>
          <w:spacing w:val="-1"/>
          <w:sz w:val="24"/>
          <w:szCs w:val="24"/>
        </w:rPr>
        <w:t>被《中国脊椎动物红色名</w:t>
      </w:r>
      <w:r>
        <w:rPr>
          <w:spacing w:val="-10"/>
          <w:sz w:val="24"/>
          <w:szCs w:val="24"/>
        </w:rPr>
        <w:t>录》列为易危种（</w:t>
      </w:r>
      <w:r>
        <w:rPr>
          <w:rFonts w:ascii="Times New Roman" w:hAnsi="Times New Roman" w:eastAsia="Times New Roman" w:cs="Times New Roman"/>
          <w:spacing w:val="-10"/>
          <w:sz w:val="24"/>
          <w:szCs w:val="24"/>
        </w:rPr>
        <w:t>VU</w:t>
      </w:r>
      <w:r>
        <w:rPr>
          <w:spacing w:val="-10"/>
          <w:sz w:val="24"/>
          <w:szCs w:val="24"/>
        </w:rPr>
        <w:t>）。施工期监测记录到保护种</w:t>
      </w:r>
      <w:r>
        <w:rPr>
          <w:spacing w:val="-38"/>
          <w:sz w:val="24"/>
          <w:szCs w:val="24"/>
        </w:rPr>
        <w:t xml:space="preserve"> </w:t>
      </w:r>
      <w:r>
        <w:rPr>
          <w:rFonts w:ascii="Times New Roman" w:hAnsi="Times New Roman" w:eastAsia="Times New Roman" w:cs="Times New Roman"/>
          <w:spacing w:val="-10"/>
          <w:sz w:val="24"/>
          <w:szCs w:val="24"/>
        </w:rPr>
        <w:t xml:space="preserve">3 </w:t>
      </w:r>
      <w:r>
        <w:rPr>
          <w:spacing w:val="-10"/>
          <w:sz w:val="24"/>
          <w:szCs w:val="24"/>
        </w:rPr>
        <w:t>种，其中眼镜王蛇</w:t>
      </w:r>
      <w:r>
        <w:rPr>
          <w:spacing w:val="-45"/>
          <w:sz w:val="24"/>
          <w:szCs w:val="24"/>
        </w:rPr>
        <w:t xml:space="preserve"> </w:t>
      </w:r>
      <w:r>
        <w:rPr>
          <w:rFonts w:ascii="Times New Roman" w:hAnsi="Times New Roman" w:eastAsia="Times New Roman" w:cs="Times New Roman"/>
          <w:i/>
          <w:iCs/>
          <w:spacing w:val="-10"/>
          <w:sz w:val="24"/>
          <w:szCs w:val="24"/>
        </w:rPr>
        <w:t>Ophiophagus</w:t>
      </w:r>
      <w:r>
        <w:rPr>
          <w:rFonts w:ascii="Times New Roman" w:hAnsi="Times New Roman" w:eastAsia="Times New Roman" w:cs="Times New Roman"/>
          <w:i/>
          <w:iCs/>
          <w:sz w:val="24"/>
          <w:szCs w:val="24"/>
        </w:rPr>
        <w:t xml:space="preserve"> </w:t>
      </w:r>
      <w:r>
        <w:rPr>
          <w:rFonts w:ascii="Times New Roman" w:hAnsi="Times New Roman" w:eastAsia="Times New Roman" w:cs="Times New Roman"/>
          <w:i/>
          <w:iCs/>
          <w:spacing w:val="-3"/>
          <w:sz w:val="24"/>
          <w:szCs w:val="24"/>
        </w:rPr>
        <w:t xml:space="preserve">hannah </w:t>
      </w:r>
      <w:r>
        <w:rPr>
          <w:spacing w:val="-3"/>
          <w:sz w:val="24"/>
          <w:szCs w:val="24"/>
        </w:rPr>
        <w:t>为云南省省级保护动物，被</w:t>
      </w:r>
      <w:r>
        <w:rPr>
          <w:spacing w:val="-35"/>
          <w:sz w:val="24"/>
          <w:szCs w:val="24"/>
        </w:rPr>
        <w:t xml:space="preserve"> </w:t>
      </w:r>
      <w:r>
        <w:rPr>
          <w:rFonts w:ascii="Times New Roman" w:hAnsi="Times New Roman" w:eastAsia="Times New Roman" w:cs="Times New Roman"/>
          <w:spacing w:val="-3"/>
          <w:sz w:val="24"/>
          <w:szCs w:val="24"/>
        </w:rPr>
        <w:t>CITES</w:t>
      </w:r>
      <w:r>
        <w:rPr>
          <w:rFonts w:ascii="Times New Roman" w:hAnsi="Times New Roman" w:eastAsia="Times New Roman" w:cs="Times New Roman"/>
          <w:spacing w:val="14"/>
          <w:sz w:val="24"/>
          <w:szCs w:val="24"/>
        </w:rPr>
        <w:t xml:space="preserve"> </w:t>
      </w:r>
      <w:r>
        <w:rPr>
          <w:spacing w:val="-3"/>
          <w:sz w:val="24"/>
          <w:szCs w:val="24"/>
        </w:rPr>
        <w:t>列入附录Ⅱ,</w:t>
      </w:r>
      <w:r>
        <w:rPr>
          <w:spacing w:val="56"/>
          <w:sz w:val="24"/>
          <w:szCs w:val="24"/>
        </w:rPr>
        <w:t xml:space="preserve"> </w:t>
      </w:r>
      <w:r>
        <w:rPr>
          <w:spacing w:val="-3"/>
          <w:sz w:val="24"/>
          <w:szCs w:val="24"/>
        </w:rPr>
        <w:t>被《中国脊椎动物红色名</w:t>
      </w:r>
      <w:r>
        <w:rPr>
          <w:spacing w:val="-1"/>
          <w:sz w:val="24"/>
          <w:szCs w:val="24"/>
        </w:rPr>
        <w:t>录》列为濒危物种（</w:t>
      </w:r>
      <w:r>
        <w:rPr>
          <w:rFonts w:ascii="Times New Roman" w:hAnsi="Times New Roman" w:eastAsia="Times New Roman" w:cs="Times New Roman"/>
          <w:spacing w:val="-1"/>
          <w:sz w:val="24"/>
          <w:szCs w:val="24"/>
        </w:rPr>
        <w:t>EN</w:t>
      </w:r>
      <w:r>
        <w:rPr>
          <w:spacing w:val="-59"/>
          <w:sz w:val="24"/>
          <w:szCs w:val="24"/>
        </w:rPr>
        <w:t>），</w:t>
      </w:r>
      <w:r>
        <w:rPr>
          <w:spacing w:val="-1"/>
          <w:sz w:val="24"/>
          <w:szCs w:val="24"/>
        </w:rPr>
        <w:t xml:space="preserve">被 </w:t>
      </w:r>
      <w:r>
        <w:rPr>
          <w:rFonts w:ascii="Times New Roman" w:hAnsi="Times New Roman" w:eastAsia="Times New Roman" w:cs="Times New Roman"/>
          <w:spacing w:val="-1"/>
          <w:sz w:val="24"/>
          <w:szCs w:val="24"/>
        </w:rPr>
        <w:t xml:space="preserve">IUCN  </w:t>
      </w:r>
      <w:r>
        <w:rPr>
          <w:spacing w:val="-1"/>
          <w:sz w:val="24"/>
          <w:szCs w:val="24"/>
        </w:rPr>
        <w:t>红色名录列为易危种（</w:t>
      </w:r>
      <w:r>
        <w:rPr>
          <w:rFonts w:ascii="Times New Roman" w:hAnsi="Times New Roman" w:eastAsia="Times New Roman" w:cs="Times New Roman"/>
          <w:spacing w:val="-1"/>
          <w:sz w:val="24"/>
          <w:szCs w:val="24"/>
        </w:rPr>
        <w:t>VU</w:t>
      </w:r>
      <w:r>
        <w:rPr>
          <w:spacing w:val="-59"/>
          <w:sz w:val="24"/>
          <w:szCs w:val="24"/>
        </w:rPr>
        <w:t>）；</w:t>
      </w:r>
      <w:r>
        <w:rPr>
          <w:spacing w:val="-1"/>
          <w:sz w:val="24"/>
          <w:szCs w:val="24"/>
        </w:rPr>
        <w:t xml:space="preserve">王锦蛇 </w:t>
      </w:r>
      <w:r>
        <w:rPr>
          <w:rFonts w:ascii="Times New Roman" w:hAnsi="Times New Roman" w:eastAsia="Times New Roman" w:cs="Times New Roman"/>
          <w:i/>
          <w:iCs/>
          <w:spacing w:val="-1"/>
          <w:sz w:val="24"/>
          <w:szCs w:val="24"/>
        </w:rPr>
        <w:t>Elaphe</w:t>
      </w:r>
      <w:r>
        <w:rPr>
          <w:rFonts w:ascii="Times New Roman" w:hAnsi="Times New Roman" w:eastAsia="Times New Roman" w:cs="Times New Roman"/>
          <w:i/>
          <w:iCs/>
          <w:spacing w:val="1"/>
          <w:sz w:val="24"/>
          <w:szCs w:val="24"/>
        </w:rPr>
        <w:t xml:space="preserve"> </w:t>
      </w:r>
      <w:r>
        <w:rPr>
          <w:rFonts w:ascii="Times New Roman" w:hAnsi="Times New Roman" w:eastAsia="Times New Roman" w:cs="Times New Roman"/>
          <w:i/>
          <w:iCs/>
          <w:spacing w:val="-10"/>
          <w:sz w:val="24"/>
          <w:szCs w:val="24"/>
        </w:rPr>
        <w:t>carinata</w:t>
      </w:r>
      <w:r>
        <w:rPr>
          <w:rFonts w:ascii="Times New Roman" w:hAnsi="Times New Roman" w:eastAsia="Times New Roman" w:cs="Times New Roman"/>
          <w:i/>
          <w:iCs/>
          <w:spacing w:val="11"/>
          <w:sz w:val="24"/>
          <w:szCs w:val="24"/>
        </w:rPr>
        <w:t xml:space="preserve"> </w:t>
      </w:r>
      <w:r>
        <w:rPr>
          <w:spacing w:val="-10"/>
          <w:sz w:val="24"/>
          <w:szCs w:val="24"/>
        </w:rPr>
        <w:t>和黑眉锦蛇</w:t>
      </w:r>
      <w:r>
        <w:rPr>
          <w:spacing w:val="-65"/>
          <w:sz w:val="24"/>
          <w:szCs w:val="24"/>
        </w:rPr>
        <w:t xml:space="preserve"> </w:t>
      </w:r>
      <w:r>
        <w:rPr>
          <w:rFonts w:ascii="Times New Roman" w:hAnsi="Times New Roman" w:eastAsia="Times New Roman" w:cs="Times New Roman"/>
          <w:i/>
          <w:iCs/>
          <w:spacing w:val="-10"/>
          <w:sz w:val="24"/>
          <w:szCs w:val="24"/>
        </w:rPr>
        <w:t xml:space="preserve">Elaphe taeniura </w:t>
      </w:r>
      <w:r>
        <w:rPr>
          <w:spacing w:val="-10"/>
          <w:sz w:val="24"/>
          <w:szCs w:val="24"/>
        </w:rPr>
        <w:t>被《中国脊椎动物红色名录</w:t>
      </w:r>
      <w:r>
        <w:rPr>
          <w:spacing w:val="-11"/>
          <w:sz w:val="24"/>
          <w:szCs w:val="24"/>
        </w:rPr>
        <w:t>》列为濒危种（</w:t>
      </w:r>
      <w:r>
        <w:rPr>
          <w:rFonts w:ascii="Times New Roman" w:hAnsi="Times New Roman" w:eastAsia="Times New Roman" w:cs="Times New Roman"/>
          <w:spacing w:val="-11"/>
          <w:sz w:val="24"/>
          <w:szCs w:val="24"/>
        </w:rPr>
        <w:t>EN</w:t>
      </w:r>
      <w:r>
        <w:rPr>
          <w:spacing w:val="-11"/>
          <w:sz w:val="24"/>
          <w:szCs w:val="24"/>
        </w:rPr>
        <w:t>）。</w:t>
      </w:r>
    </w:p>
    <w:p w14:paraId="63226336">
      <w:pPr>
        <w:pStyle w:val="2"/>
        <w:spacing w:before="15" w:line="338" w:lineRule="auto"/>
        <w:ind w:left="38" w:right="85" w:firstLine="483"/>
        <w:jc w:val="both"/>
        <w:rPr>
          <w:sz w:val="24"/>
          <w:szCs w:val="24"/>
        </w:rPr>
      </w:pPr>
      <w:r>
        <w:rPr>
          <w:spacing w:val="-4"/>
          <w:sz w:val="24"/>
          <w:szCs w:val="24"/>
        </w:rPr>
        <w:t>综上分析，项目处于施工阶段，建设活动对爬</w:t>
      </w:r>
      <w:r>
        <w:rPr>
          <w:spacing w:val="-5"/>
          <w:sz w:val="24"/>
          <w:szCs w:val="24"/>
        </w:rPr>
        <w:t>行类生存空间和活动区域有一定</w:t>
      </w:r>
      <w:r>
        <w:rPr>
          <w:spacing w:val="-4"/>
          <w:sz w:val="24"/>
          <w:szCs w:val="24"/>
        </w:rPr>
        <w:t>的干扰，但调查区内施工占地较小，施工活动主要集中在坝区、支洞等施工点</w:t>
      </w:r>
      <w:r>
        <w:rPr>
          <w:spacing w:val="-5"/>
          <w:sz w:val="24"/>
          <w:szCs w:val="24"/>
        </w:rPr>
        <w:t>及周</w:t>
      </w:r>
      <w:r>
        <w:rPr>
          <w:spacing w:val="-4"/>
          <w:sz w:val="24"/>
          <w:szCs w:val="24"/>
        </w:rPr>
        <w:t>边，对爬行类动物存在局部干扰，对调查区的大部分面积影响很小。施工期记</w:t>
      </w:r>
      <w:r>
        <w:rPr>
          <w:spacing w:val="-5"/>
          <w:sz w:val="24"/>
          <w:szCs w:val="24"/>
        </w:rPr>
        <w:t>录种</w:t>
      </w:r>
      <w:r>
        <w:rPr>
          <w:spacing w:val="-4"/>
          <w:sz w:val="24"/>
          <w:szCs w:val="24"/>
        </w:rPr>
        <w:t>类减少的原因可能是：第一，爬行动物的遇见率较低，且多数物种特征相似，</w:t>
      </w:r>
      <w:r>
        <w:rPr>
          <w:spacing w:val="-5"/>
          <w:sz w:val="24"/>
          <w:szCs w:val="24"/>
        </w:rPr>
        <w:t>访查</w:t>
      </w:r>
      <w:r>
        <w:rPr>
          <w:spacing w:val="-4"/>
          <w:sz w:val="24"/>
          <w:szCs w:val="24"/>
        </w:rPr>
        <w:t>数据很难到种级阶元；第二，环评阶段多数数据来源于资料，记录可能存在</w:t>
      </w:r>
      <w:r>
        <w:rPr>
          <w:spacing w:val="-5"/>
          <w:sz w:val="24"/>
          <w:szCs w:val="24"/>
        </w:rPr>
        <w:t>错误和</w:t>
      </w:r>
      <w:r>
        <w:rPr>
          <w:spacing w:val="-2"/>
          <w:sz w:val="24"/>
          <w:szCs w:val="24"/>
        </w:rPr>
        <w:t>偏差；另外施工亦可能对施工点周边的爬行类形成干扰。</w:t>
      </w:r>
    </w:p>
    <w:p w14:paraId="7CDBA9F0">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）对鸟类的影响</w:t>
      </w:r>
    </w:p>
    <w:p w14:paraId="01F9B836">
      <w:pPr>
        <w:pStyle w:val="2"/>
        <w:spacing w:before="135" w:line="339" w:lineRule="auto"/>
        <w:ind w:left="39" w:right="85" w:firstLine="480"/>
        <w:rPr>
          <w:sz w:val="24"/>
          <w:szCs w:val="24"/>
        </w:rPr>
      </w:pPr>
      <w:r>
        <w:rPr>
          <w:spacing w:val="-6"/>
          <w:sz w:val="24"/>
          <w:szCs w:val="24"/>
        </w:rPr>
        <w:t xml:space="preserve">环评期记录到鸟类 </w:t>
      </w:r>
      <w:r>
        <w:rPr>
          <w:rFonts w:ascii="Times New Roman" w:hAnsi="Times New Roman" w:eastAsia="Times New Roman" w:cs="Times New Roman"/>
          <w:spacing w:val="-6"/>
          <w:sz w:val="24"/>
          <w:szCs w:val="24"/>
        </w:rPr>
        <w:t>169</w:t>
      </w:r>
      <w:r>
        <w:rPr>
          <w:rFonts w:ascii="Times New Roman" w:hAnsi="Times New Roman" w:eastAsia="Times New Roman" w:cs="Times New Roman"/>
          <w:spacing w:val="31"/>
          <w:w w:val="101"/>
          <w:sz w:val="24"/>
          <w:szCs w:val="24"/>
        </w:rPr>
        <w:t xml:space="preserve"> </w:t>
      </w:r>
      <w:r>
        <w:rPr>
          <w:spacing w:val="-6"/>
          <w:sz w:val="24"/>
          <w:szCs w:val="24"/>
        </w:rPr>
        <w:t xml:space="preserve">种，隶属于 </w:t>
      </w:r>
      <w:r>
        <w:rPr>
          <w:rFonts w:ascii="Times New Roman" w:hAnsi="Times New Roman" w:eastAsia="Times New Roman" w:cs="Times New Roman"/>
          <w:spacing w:val="-6"/>
          <w:sz w:val="24"/>
          <w:szCs w:val="24"/>
        </w:rPr>
        <w:t xml:space="preserve">15  </w:t>
      </w:r>
      <w:r>
        <w:rPr>
          <w:spacing w:val="-6"/>
          <w:sz w:val="24"/>
          <w:szCs w:val="24"/>
        </w:rPr>
        <w:t>目</w:t>
      </w:r>
      <w:r>
        <w:rPr>
          <w:spacing w:val="-42"/>
          <w:sz w:val="24"/>
          <w:szCs w:val="24"/>
        </w:rPr>
        <w:t xml:space="preserve"> </w:t>
      </w:r>
      <w:r>
        <w:rPr>
          <w:rFonts w:ascii="Times New Roman" w:hAnsi="Times New Roman" w:eastAsia="Times New Roman" w:cs="Times New Roman"/>
          <w:spacing w:val="-6"/>
          <w:sz w:val="24"/>
          <w:szCs w:val="24"/>
        </w:rPr>
        <w:t>49</w:t>
      </w:r>
      <w:r>
        <w:rPr>
          <w:rFonts w:ascii="Times New Roman" w:hAnsi="Times New Roman" w:eastAsia="Times New Roman" w:cs="Times New Roman"/>
          <w:spacing w:val="24"/>
          <w:sz w:val="24"/>
          <w:szCs w:val="24"/>
        </w:rPr>
        <w:t xml:space="preserve"> </w:t>
      </w:r>
      <w:r>
        <w:rPr>
          <w:spacing w:val="-6"/>
          <w:sz w:val="24"/>
          <w:szCs w:val="24"/>
        </w:rPr>
        <w:t xml:space="preserve">科 </w:t>
      </w:r>
      <w:r>
        <w:rPr>
          <w:rFonts w:ascii="Times New Roman" w:hAnsi="Times New Roman" w:eastAsia="Times New Roman" w:cs="Times New Roman"/>
          <w:spacing w:val="-6"/>
          <w:sz w:val="24"/>
          <w:szCs w:val="24"/>
        </w:rPr>
        <w:t>117</w:t>
      </w:r>
      <w:r>
        <w:rPr>
          <w:rFonts w:ascii="Times New Roman" w:hAnsi="Times New Roman" w:eastAsia="Times New Roman" w:cs="Times New Roman"/>
          <w:spacing w:val="26"/>
          <w:sz w:val="24"/>
          <w:szCs w:val="24"/>
        </w:rPr>
        <w:t xml:space="preserve"> </w:t>
      </w:r>
      <w:r>
        <w:rPr>
          <w:spacing w:val="-6"/>
          <w:sz w:val="24"/>
          <w:szCs w:val="24"/>
        </w:rPr>
        <w:t>属。施工期监测记录到鸟</w:t>
      </w:r>
      <w:r>
        <w:rPr>
          <w:spacing w:val="-4"/>
          <w:sz w:val="24"/>
          <w:szCs w:val="24"/>
        </w:rPr>
        <w:t>类</w:t>
      </w:r>
      <w:r>
        <w:rPr>
          <w:spacing w:val="-32"/>
          <w:sz w:val="24"/>
          <w:szCs w:val="24"/>
        </w:rPr>
        <w:t xml:space="preserve"> </w:t>
      </w:r>
      <w:r>
        <w:rPr>
          <w:rFonts w:ascii="Times New Roman" w:hAnsi="Times New Roman" w:eastAsia="Times New Roman" w:cs="Times New Roman"/>
          <w:spacing w:val="-4"/>
          <w:sz w:val="24"/>
          <w:szCs w:val="24"/>
        </w:rPr>
        <w:t xml:space="preserve">115 </w:t>
      </w:r>
      <w:r>
        <w:rPr>
          <w:spacing w:val="-4"/>
          <w:sz w:val="24"/>
          <w:szCs w:val="24"/>
        </w:rPr>
        <w:t xml:space="preserve">种，隶属于 </w:t>
      </w:r>
      <w:r>
        <w:rPr>
          <w:rFonts w:ascii="Times New Roman" w:hAnsi="Times New Roman" w:eastAsia="Times New Roman" w:cs="Times New Roman"/>
          <w:spacing w:val="-4"/>
          <w:sz w:val="24"/>
          <w:szCs w:val="24"/>
        </w:rPr>
        <w:t>16</w:t>
      </w:r>
      <w:r>
        <w:rPr>
          <w:rFonts w:ascii="Times New Roman" w:hAnsi="Times New Roman" w:eastAsia="Times New Roman" w:cs="Times New Roman"/>
          <w:spacing w:val="55"/>
          <w:w w:val="101"/>
          <w:sz w:val="24"/>
          <w:szCs w:val="24"/>
        </w:rPr>
        <w:t xml:space="preserve"> </w:t>
      </w:r>
      <w:r>
        <w:rPr>
          <w:spacing w:val="-4"/>
          <w:sz w:val="24"/>
          <w:szCs w:val="24"/>
        </w:rPr>
        <w:t>目</w:t>
      </w:r>
      <w:r>
        <w:rPr>
          <w:spacing w:val="-57"/>
          <w:sz w:val="24"/>
          <w:szCs w:val="24"/>
        </w:rPr>
        <w:t xml:space="preserve"> </w:t>
      </w:r>
      <w:r>
        <w:rPr>
          <w:rFonts w:ascii="Times New Roman" w:hAnsi="Times New Roman" w:eastAsia="Times New Roman" w:cs="Times New Roman"/>
          <w:spacing w:val="-4"/>
          <w:sz w:val="24"/>
          <w:szCs w:val="24"/>
        </w:rPr>
        <w:t xml:space="preserve">45 </w:t>
      </w:r>
      <w:r>
        <w:rPr>
          <w:spacing w:val="-4"/>
          <w:sz w:val="24"/>
          <w:szCs w:val="24"/>
        </w:rPr>
        <w:t>科</w:t>
      </w:r>
      <w:r>
        <w:rPr>
          <w:spacing w:val="-50"/>
          <w:sz w:val="24"/>
          <w:szCs w:val="24"/>
        </w:rPr>
        <w:t xml:space="preserve"> </w:t>
      </w:r>
      <w:r>
        <w:rPr>
          <w:rFonts w:ascii="Times New Roman" w:hAnsi="Times New Roman" w:eastAsia="Times New Roman" w:cs="Times New Roman"/>
          <w:spacing w:val="-4"/>
          <w:sz w:val="24"/>
          <w:szCs w:val="24"/>
        </w:rPr>
        <w:t xml:space="preserve">92 </w:t>
      </w:r>
      <w:r>
        <w:rPr>
          <w:spacing w:val="-4"/>
          <w:sz w:val="24"/>
          <w:szCs w:val="24"/>
        </w:rPr>
        <w:t>属。</w:t>
      </w:r>
      <w:r>
        <w:rPr>
          <w:spacing w:val="-5"/>
          <w:sz w:val="24"/>
          <w:szCs w:val="24"/>
        </w:rPr>
        <w:t>两期监测鸟类组成情况具体见表</w:t>
      </w:r>
      <w:r>
        <w:rPr>
          <w:spacing w:val="-38"/>
          <w:sz w:val="24"/>
          <w:szCs w:val="24"/>
        </w:rPr>
        <w:t xml:space="preserve"> </w:t>
      </w:r>
      <w:r>
        <w:rPr>
          <w:rFonts w:ascii="Times New Roman" w:hAnsi="Times New Roman" w:eastAsia="Times New Roman" w:cs="Times New Roman"/>
          <w:spacing w:val="-5"/>
          <w:sz w:val="24"/>
          <w:szCs w:val="24"/>
        </w:rPr>
        <w:t>6.1-12</w:t>
      </w:r>
      <w:r>
        <w:rPr>
          <w:spacing w:val="-5"/>
          <w:sz w:val="24"/>
          <w:szCs w:val="24"/>
        </w:rPr>
        <w:t>。</w:t>
      </w:r>
    </w:p>
    <w:p w14:paraId="283AF407">
      <w:pPr>
        <w:pStyle w:val="2"/>
        <w:spacing w:before="2" w:line="225" w:lineRule="auto"/>
        <w:ind w:left="279"/>
        <w:rPr>
          <w:sz w:val="24"/>
          <w:szCs w:val="24"/>
        </w:rPr>
      </w:pPr>
      <w:r>
        <w:rPr>
          <w:b/>
          <w:bCs/>
          <w:spacing w:val="-1"/>
          <w:sz w:val="24"/>
          <w:szCs w:val="24"/>
        </w:rPr>
        <w:t>表</w:t>
      </w:r>
      <w:r>
        <w:rPr>
          <w:spacing w:val="-32"/>
          <w:sz w:val="24"/>
          <w:szCs w:val="24"/>
        </w:rPr>
        <w:t xml:space="preserve"> </w:t>
      </w:r>
      <w:r>
        <w:rPr>
          <w:rFonts w:ascii="Times New Roman" w:hAnsi="Times New Roman" w:eastAsia="Times New Roman" w:cs="Times New Roman"/>
          <w:b/>
          <w:bCs/>
          <w:spacing w:val="-1"/>
          <w:sz w:val="24"/>
          <w:szCs w:val="24"/>
        </w:rPr>
        <w:t xml:space="preserve">6.1-12                                </w:t>
      </w:r>
      <w:r>
        <w:rPr>
          <w:b/>
          <w:bCs/>
          <w:spacing w:val="-1"/>
          <w:sz w:val="24"/>
          <w:szCs w:val="24"/>
        </w:rPr>
        <w:t>环评期和施工期鸟类统计表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7E4BF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3674" w:type="dxa"/>
            <w:gridSpan w:val="3"/>
            <w:tcBorders>
              <w:top w:val="single" w:color="000000" w:sz="12" w:space="0"/>
              <w:left w:val="single" w:color="000000" w:sz="12" w:space="0"/>
            </w:tcBorders>
            <w:vAlign w:val="top"/>
          </w:tcPr>
          <w:p w14:paraId="78274826">
            <w:pPr>
              <w:pStyle w:val="6"/>
              <w:spacing w:before="77"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04805C36">
            <w:pPr>
              <w:pStyle w:val="6"/>
              <w:spacing w:before="77"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46E5E8AB">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75D0C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50" w:type="dxa"/>
            <w:tcBorders>
              <w:left w:val="single" w:color="000000" w:sz="12" w:space="0"/>
            </w:tcBorders>
            <w:vAlign w:val="top"/>
          </w:tcPr>
          <w:p w14:paraId="00E793B0">
            <w:pPr>
              <w:spacing w:before="7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13B50D70">
            <w:pPr>
              <w:spacing w:before="79"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3FADAF42">
            <w:pPr>
              <w:spacing w:before="7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2A7EA6C5">
            <w:pPr>
              <w:spacing w:before="7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7124E4F3">
            <w:pPr>
              <w:spacing w:before="79"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3985A095">
            <w:pPr>
              <w:spacing w:before="7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0F49D543">
            <w:pPr>
              <w:rPr>
                <w:rFonts w:ascii="Arial"/>
                <w:sz w:val="21"/>
              </w:rPr>
            </w:pPr>
          </w:p>
        </w:tc>
      </w:tr>
      <w:tr w14:paraId="0D86D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850" w:type="dxa"/>
            <w:tcBorders>
              <w:left w:val="single" w:color="000000" w:sz="12" w:space="0"/>
              <w:bottom w:val="single" w:color="000000" w:sz="12" w:space="0"/>
            </w:tcBorders>
            <w:vAlign w:val="top"/>
          </w:tcPr>
          <w:p w14:paraId="29A7F06C">
            <w:pPr>
              <w:pStyle w:val="6"/>
              <w:spacing w:before="133" w:line="186" w:lineRule="auto"/>
              <w:ind w:left="276"/>
            </w:pPr>
            <w:r>
              <w:rPr>
                <w:b/>
                <w:bCs/>
                <w:spacing w:val="-3"/>
              </w:rPr>
              <w:t>O1</w:t>
            </w:r>
          </w:p>
        </w:tc>
        <w:tc>
          <w:tcPr>
            <w:tcW w:w="1270" w:type="dxa"/>
            <w:tcBorders>
              <w:bottom w:val="single" w:color="000000" w:sz="12" w:space="0"/>
            </w:tcBorders>
            <w:vAlign w:val="top"/>
          </w:tcPr>
          <w:p w14:paraId="641221DB">
            <w:pPr>
              <w:spacing w:before="95" w:line="221" w:lineRule="auto"/>
              <w:ind w:left="310"/>
              <w:rPr>
                <w:rFonts w:ascii="宋体" w:hAnsi="宋体" w:eastAsia="宋体" w:cs="宋体"/>
                <w:sz w:val="21"/>
                <w:szCs w:val="21"/>
              </w:rPr>
            </w:pPr>
            <w:r>
              <w:rPr>
                <w:rFonts w:ascii="宋体" w:hAnsi="宋体" w:eastAsia="宋体" w:cs="宋体"/>
                <w:b/>
                <w:bCs/>
                <w:spacing w:val="-4"/>
                <w:sz w:val="21"/>
                <w:szCs w:val="21"/>
              </w:rPr>
              <w:t>鸡形目</w:t>
            </w:r>
          </w:p>
        </w:tc>
        <w:tc>
          <w:tcPr>
            <w:tcW w:w="1554" w:type="dxa"/>
            <w:tcBorders>
              <w:bottom w:val="single" w:color="000000" w:sz="12" w:space="0"/>
            </w:tcBorders>
            <w:vAlign w:val="top"/>
          </w:tcPr>
          <w:p w14:paraId="62CE6DD4">
            <w:pPr>
              <w:pStyle w:val="6"/>
              <w:spacing w:before="132" w:line="187" w:lineRule="auto"/>
              <w:ind w:left="244"/>
            </w:pPr>
            <w:r>
              <w:rPr>
                <w:b/>
                <w:bCs/>
                <w:spacing w:val="-1"/>
              </w:rPr>
              <w:t>Galliformes</w:t>
            </w:r>
          </w:p>
        </w:tc>
        <w:tc>
          <w:tcPr>
            <w:tcW w:w="989" w:type="dxa"/>
            <w:tcBorders>
              <w:bottom w:val="single" w:color="000000" w:sz="12" w:space="0"/>
            </w:tcBorders>
            <w:vAlign w:val="top"/>
          </w:tcPr>
          <w:p w14:paraId="5EF4069B">
            <w:pPr>
              <w:pStyle w:val="6"/>
              <w:spacing w:before="133" w:line="186" w:lineRule="auto"/>
              <w:ind w:left="362"/>
            </w:pPr>
            <w:r>
              <w:rPr>
                <w:b/>
                <w:bCs/>
                <w:spacing w:val="-3"/>
              </w:rPr>
              <w:t>O1</w:t>
            </w:r>
          </w:p>
        </w:tc>
        <w:tc>
          <w:tcPr>
            <w:tcW w:w="1272" w:type="dxa"/>
            <w:tcBorders>
              <w:bottom w:val="single" w:color="000000" w:sz="12" w:space="0"/>
            </w:tcBorders>
            <w:vAlign w:val="top"/>
          </w:tcPr>
          <w:p w14:paraId="1733DD7F">
            <w:pPr>
              <w:spacing w:before="95" w:line="221" w:lineRule="auto"/>
              <w:ind w:left="323"/>
              <w:rPr>
                <w:rFonts w:ascii="宋体" w:hAnsi="宋体" w:eastAsia="宋体" w:cs="宋体"/>
                <w:sz w:val="21"/>
                <w:szCs w:val="21"/>
              </w:rPr>
            </w:pPr>
            <w:r>
              <w:rPr>
                <w:rFonts w:ascii="宋体" w:hAnsi="宋体" w:eastAsia="宋体" w:cs="宋体"/>
                <w:b/>
                <w:bCs/>
                <w:spacing w:val="-4"/>
                <w:sz w:val="21"/>
                <w:szCs w:val="21"/>
              </w:rPr>
              <w:t>鸡形目</w:t>
            </w:r>
          </w:p>
        </w:tc>
        <w:tc>
          <w:tcPr>
            <w:tcW w:w="1693" w:type="dxa"/>
            <w:tcBorders>
              <w:bottom w:val="single" w:color="000000" w:sz="12" w:space="0"/>
            </w:tcBorders>
            <w:vAlign w:val="top"/>
          </w:tcPr>
          <w:p w14:paraId="1DD81188">
            <w:pPr>
              <w:pStyle w:val="6"/>
              <w:spacing w:before="132" w:line="187" w:lineRule="auto"/>
              <w:ind w:left="328"/>
            </w:pPr>
            <w:r>
              <w:rPr>
                <w:b/>
                <w:bCs/>
                <w:spacing w:val="-1"/>
              </w:rPr>
              <w:t>Galliformes</w:t>
            </w:r>
          </w:p>
        </w:tc>
        <w:tc>
          <w:tcPr>
            <w:tcW w:w="845" w:type="dxa"/>
            <w:tcBorders>
              <w:bottom w:val="single" w:color="000000" w:sz="12" w:space="0"/>
              <w:right w:val="single" w:color="000000" w:sz="12" w:space="0"/>
            </w:tcBorders>
            <w:vAlign w:val="top"/>
          </w:tcPr>
          <w:p w14:paraId="03DB6AA0">
            <w:pPr>
              <w:rPr>
                <w:rFonts w:ascii="Arial"/>
                <w:sz w:val="21"/>
              </w:rPr>
            </w:pPr>
          </w:p>
        </w:tc>
      </w:tr>
    </w:tbl>
    <w:p w14:paraId="5E351346">
      <w:pPr>
        <w:rPr>
          <w:rFonts w:ascii="Arial"/>
          <w:sz w:val="21"/>
        </w:rPr>
      </w:pPr>
    </w:p>
    <w:p w14:paraId="70AEAA70">
      <w:pPr>
        <w:rPr>
          <w:rFonts w:ascii="Arial" w:hAnsi="Arial" w:eastAsia="Arial" w:cs="Arial"/>
          <w:sz w:val="21"/>
          <w:szCs w:val="21"/>
        </w:rPr>
        <w:sectPr>
          <w:headerReference r:id="rId172" w:type="default"/>
          <w:footerReference r:id="rId173" w:type="default"/>
          <w:pgSz w:w="11907" w:h="16839"/>
          <w:pgMar w:top="1376" w:right="1615" w:bottom="1061" w:left="1671" w:header="999" w:footer="861" w:gutter="0"/>
          <w:cols w:space="720" w:num="1"/>
        </w:sectPr>
      </w:pPr>
    </w:p>
    <w:p w14:paraId="3F46ED89">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1E94A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2E99ABBC">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7AF51048">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46C36328">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67E66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239C0277">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304685D2">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4EF56817">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138FF274">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52311ED1">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7756E80F">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4EA0661F">
            <w:pPr>
              <w:rPr>
                <w:rFonts w:ascii="Arial"/>
                <w:sz w:val="21"/>
              </w:rPr>
            </w:pPr>
          </w:p>
        </w:tc>
      </w:tr>
      <w:tr w14:paraId="49BAF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06B4FB2">
            <w:pPr>
              <w:pStyle w:val="6"/>
              <w:spacing w:before="116" w:line="186" w:lineRule="auto"/>
              <w:ind w:left="291"/>
            </w:pPr>
            <w:r>
              <w:rPr>
                <w:b/>
                <w:bCs/>
                <w:spacing w:val="-2"/>
              </w:rPr>
              <w:t>F1</w:t>
            </w:r>
          </w:p>
        </w:tc>
        <w:tc>
          <w:tcPr>
            <w:tcW w:w="1270" w:type="dxa"/>
            <w:vAlign w:val="top"/>
          </w:tcPr>
          <w:p w14:paraId="19E8F542">
            <w:pPr>
              <w:spacing w:before="77" w:line="219" w:lineRule="auto"/>
              <w:ind w:left="419"/>
              <w:rPr>
                <w:rFonts w:ascii="宋体" w:hAnsi="宋体" w:eastAsia="宋体" w:cs="宋体"/>
                <w:sz w:val="21"/>
                <w:szCs w:val="21"/>
              </w:rPr>
            </w:pPr>
            <w:r>
              <w:rPr>
                <w:rFonts w:ascii="宋体" w:hAnsi="宋体" w:eastAsia="宋体" w:cs="宋体"/>
                <w:b/>
                <w:bCs/>
                <w:spacing w:val="-5"/>
                <w:sz w:val="21"/>
                <w:szCs w:val="21"/>
              </w:rPr>
              <w:t>雉科</w:t>
            </w:r>
          </w:p>
        </w:tc>
        <w:tc>
          <w:tcPr>
            <w:tcW w:w="1554" w:type="dxa"/>
            <w:vAlign w:val="top"/>
          </w:tcPr>
          <w:p w14:paraId="4D9356E7">
            <w:pPr>
              <w:pStyle w:val="6"/>
              <w:spacing w:before="114" w:line="187" w:lineRule="auto"/>
              <w:ind w:left="229"/>
            </w:pPr>
            <w:r>
              <w:rPr>
                <w:b/>
                <w:bCs/>
                <w:spacing w:val="-1"/>
              </w:rPr>
              <w:t>Phasianidae</w:t>
            </w:r>
          </w:p>
        </w:tc>
        <w:tc>
          <w:tcPr>
            <w:tcW w:w="989" w:type="dxa"/>
            <w:vAlign w:val="top"/>
          </w:tcPr>
          <w:p w14:paraId="42583A21">
            <w:pPr>
              <w:pStyle w:val="6"/>
              <w:spacing w:before="116" w:line="186" w:lineRule="auto"/>
              <w:ind w:left="376"/>
            </w:pPr>
            <w:r>
              <w:rPr>
                <w:b/>
                <w:bCs/>
                <w:spacing w:val="-2"/>
              </w:rPr>
              <w:t>F1</w:t>
            </w:r>
          </w:p>
        </w:tc>
        <w:tc>
          <w:tcPr>
            <w:tcW w:w="1272" w:type="dxa"/>
            <w:vAlign w:val="top"/>
          </w:tcPr>
          <w:p w14:paraId="07AFFE6F">
            <w:pPr>
              <w:spacing w:before="77" w:line="219" w:lineRule="auto"/>
              <w:ind w:left="432"/>
              <w:rPr>
                <w:rFonts w:ascii="宋体" w:hAnsi="宋体" w:eastAsia="宋体" w:cs="宋体"/>
                <w:sz w:val="21"/>
                <w:szCs w:val="21"/>
              </w:rPr>
            </w:pPr>
            <w:r>
              <w:rPr>
                <w:rFonts w:ascii="宋体" w:hAnsi="宋体" w:eastAsia="宋体" w:cs="宋体"/>
                <w:b/>
                <w:bCs/>
                <w:spacing w:val="-5"/>
                <w:sz w:val="21"/>
                <w:szCs w:val="21"/>
              </w:rPr>
              <w:t>雉科</w:t>
            </w:r>
          </w:p>
        </w:tc>
        <w:tc>
          <w:tcPr>
            <w:tcW w:w="1693" w:type="dxa"/>
            <w:vAlign w:val="top"/>
          </w:tcPr>
          <w:p w14:paraId="70E5FCCE">
            <w:pPr>
              <w:pStyle w:val="6"/>
              <w:spacing w:before="114" w:line="187" w:lineRule="auto"/>
              <w:ind w:left="313"/>
            </w:pPr>
            <w:r>
              <w:rPr>
                <w:b/>
                <w:bCs/>
                <w:spacing w:val="-1"/>
              </w:rPr>
              <w:t>Phasianidae</w:t>
            </w:r>
          </w:p>
        </w:tc>
        <w:tc>
          <w:tcPr>
            <w:tcW w:w="845" w:type="dxa"/>
            <w:tcBorders>
              <w:right w:val="single" w:color="000000" w:sz="12" w:space="0"/>
            </w:tcBorders>
            <w:vAlign w:val="top"/>
          </w:tcPr>
          <w:p w14:paraId="6305696C">
            <w:pPr>
              <w:rPr>
                <w:rFonts w:ascii="Arial"/>
                <w:sz w:val="21"/>
              </w:rPr>
            </w:pPr>
          </w:p>
        </w:tc>
      </w:tr>
      <w:tr w14:paraId="6363D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43F58F6">
            <w:pPr>
              <w:pStyle w:val="6"/>
              <w:spacing w:before="209" w:line="235" w:lineRule="auto"/>
              <w:ind w:left="376"/>
            </w:pPr>
            <w:r>
              <w:t>1</w:t>
            </w:r>
          </w:p>
        </w:tc>
        <w:tc>
          <w:tcPr>
            <w:tcW w:w="1270" w:type="dxa"/>
            <w:vAlign w:val="top"/>
          </w:tcPr>
          <w:p w14:paraId="2E8418DD">
            <w:pPr>
              <w:spacing w:before="176" w:line="220" w:lineRule="auto"/>
              <w:ind w:left="227"/>
              <w:rPr>
                <w:rFonts w:ascii="宋体" w:hAnsi="宋体" w:eastAsia="宋体" w:cs="宋体"/>
                <w:sz w:val="21"/>
                <w:szCs w:val="21"/>
              </w:rPr>
            </w:pPr>
            <w:r>
              <w:rPr>
                <w:rFonts w:ascii="宋体" w:hAnsi="宋体" w:eastAsia="宋体" w:cs="宋体"/>
                <w:spacing w:val="-6"/>
                <w:sz w:val="21"/>
                <w:szCs w:val="21"/>
              </w:rPr>
              <w:t>中华鹧鸪</w:t>
            </w:r>
          </w:p>
        </w:tc>
        <w:tc>
          <w:tcPr>
            <w:tcW w:w="1554" w:type="dxa"/>
            <w:vAlign w:val="top"/>
          </w:tcPr>
          <w:p w14:paraId="18EBDB56">
            <w:pPr>
              <w:pStyle w:val="6"/>
              <w:spacing w:before="88" w:line="190" w:lineRule="auto"/>
              <w:ind w:left="247"/>
            </w:pPr>
            <w:r>
              <w:rPr>
                <w:i/>
                <w:iCs/>
              </w:rPr>
              <w:t>Francolinus</w:t>
            </w:r>
          </w:p>
          <w:p w14:paraId="1092372A">
            <w:pPr>
              <w:pStyle w:val="6"/>
              <w:spacing w:before="51" w:line="190" w:lineRule="auto"/>
              <w:ind w:left="229"/>
            </w:pPr>
            <w:r>
              <w:rPr>
                <w:i/>
                <w:iCs/>
                <w:spacing w:val="2"/>
              </w:rPr>
              <w:t>pintadeanus</w:t>
            </w:r>
          </w:p>
        </w:tc>
        <w:tc>
          <w:tcPr>
            <w:tcW w:w="989" w:type="dxa"/>
            <w:vAlign w:val="top"/>
          </w:tcPr>
          <w:p w14:paraId="50BF5040">
            <w:pPr>
              <w:rPr>
                <w:rFonts w:ascii="Arial"/>
                <w:sz w:val="21"/>
              </w:rPr>
            </w:pPr>
          </w:p>
        </w:tc>
        <w:tc>
          <w:tcPr>
            <w:tcW w:w="1272" w:type="dxa"/>
            <w:vAlign w:val="top"/>
          </w:tcPr>
          <w:p w14:paraId="047D1CFB">
            <w:pPr>
              <w:rPr>
                <w:rFonts w:ascii="Arial"/>
                <w:sz w:val="21"/>
              </w:rPr>
            </w:pPr>
          </w:p>
        </w:tc>
        <w:tc>
          <w:tcPr>
            <w:tcW w:w="1693" w:type="dxa"/>
            <w:vAlign w:val="top"/>
          </w:tcPr>
          <w:p w14:paraId="0D59C20C">
            <w:pPr>
              <w:rPr>
                <w:rFonts w:ascii="Arial"/>
                <w:sz w:val="21"/>
              </w:rPr>
            </w:pPr>
          </w:p>
        </w:tc>
        <w:tc>
          <w:tcPr>
            <w:tcW w:w="845" w:type="dxa"/>
            <w:tcBorders>
              <w:right w:val="single" w:color="000000" w:sz="12" w:space="0"/>
            </w:tcBorders>
            <w:vAlign w:val="top"/>
          </w:tcPr>
          <w:p w14:paraId="2050738A">
            <w:pPr>
              <w:rPr>
                <w:rFonts w:ascii="Arial"/>
                <w:sz w:val="21"/>
              </w:rPr>
            </w:pPr>
          </w:p>
        </w:tc>
      </w:tr>
      <w:tr w14:paraId="53364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AFDD0A7">
            <w:pPr>
              <w:pStyle w:val="6"/>
              <w:spacing w:before="212" w:line="235" w:lineRule="auto"/>
              <w:ind w:left="356"/>
            </w:pPr>
            <w:r>
              <w:t>2</w:t>
            </w:r>
          </w:p>
        </w:tc>
        <w:tc>
          <w:tcPr>
            <w:tcW w:w="1270" w:type="dxa"/>
            <w:vAlign w:val="top"/>
          </w:tcPr>
          <w:p w14:paraId="2304C658">
            <w:pPr>
              <w:spacing w:before="178" w:line="220" w:lineRule="auto"/>
              <w:ind w:left="206"/>
              <w:rPr>
                <w:rFonts w:ascii="宋体" w:hAnsi="宋体" w:eastAsia="宋体" w:cs="宋体"/>
                <w:sz w:val="21"/>
                <w:szCs w:val="21"/>
              </w:rPr>
            </w:pPr>
            <w:r>
              <w:rPr>
                <w:rFonts w:ascii="宋体" w:hAnsi="宋体" w:eastAsia="宋体" w:cs="宋体"/>
                <w:spacing w:val="-2"/>
                <w:sz w:val="21"/>
                <w:szCs w:val="21"/>
              </w:rPr>
              <w:t>棕胸竹鸡</w:t>
            </w:r>
          </w:p>
        </w:tc>
        <w:tc>
          <w:tcPr>
            <w:tcW w:w="1554" w:type="dxa"/>
            <w:vAlign w:val="top"/>
          </w:tcPr>
          <w:p w14:paraId="2C3BFCB6">
            <w:pPr>
              <w:pStyle w:val="6"/>
              <w:spacing w:before="90" w:line="190" w:lineRule="auto"/>
              <w:ind w:left="213"/>
            </w:pPr>
            <w:r>
              <w:rPr>
                <w:i/>
                <w:iCs/>
              </w:rPr>
              <w:t>Bambusicola</w:t>
            </w:r>
          </w:p>
          <w:p w14:paraId="7CEB7643">
            <w:pPr>
              <w:pStyle w:val="6"/>
              <w:spacing w:before="50" w:line="190" w:lineRule="auto"/>
              <w:ind w:left="467"/>
            </w:pPr>
            <w:r>
              <w:rPr>
                <w:i/>
                <w:iCs/>
                <w:spacing w:val="5"/>
              </w:rPr>
              <w:t>fytchii</w:t>
            </w:r>
          </w:p>
        </w:tc>
        <w:tc>
          <w:tcPr>
            <w:tcW w:w="989" w:type="dxa"/>
            <w:vAlign w:val="top"/>
          </w:tcPr>
          <w:p w14:paraId="560A6263">
            <w:pPr>
              <w:pStyle w:val="6"/>
              <w:spacing w:before="212" w:line="235" w:lineRule="auto"/>
              <w:ind w:left="460"/>
            </w:pPr>
            <w:r>
              <w:t>1</w:t>
            </w:r>
          </w:p>
        </w:tc>
        <w:tc>
          <w:tcPr>
            <w:tcW w:w="1272" w:type="dxa"/>
            <w:vAlign w:val="top"/>
          </w:tcPr>
          <w:p w14:paraId="70DFCB70">
            <w:pPr>
              <w:spacing w:before="178" w:line="220" w:lineRule="auto"/>
              <w:ind w:left="220"/>
              <w:rPr>
                <w:rFonts w:ascii="宋体" w:hAnsi="宋体" w:eastAsia="宋体" w:cs="宋体"/>
                <w:sz w:val="21"/>
                <w:szCs w:val="21"/>
              </w:rPr>
            </w:pPr>
            <w:r>
              <w:rPr>
                <w:rFonts w:ascii="宋体" w:hAnsi="宋体" w:eastAsia="宋体" w:cs="宋体"/>
                <w:spacing w:val="-2"/>
                <w:sz w:val="21"/>
                <w:szCs w:val="21"/>
              </w:rPr>
              <w:t>棕胸竹鸡</w:t>
            </w:r>
          </w:p>
        </w:tc>
        <w:tc>
          <w:tcPr>
            <w:tcW w:w="1693" w:type="dxa"/>
            <w:vAlign w:val="top"/>
          </w:tcPr>
          <w:p w14:paraId="26386DF0">
            <w:pPr>
              <w:pStyle w:val="6"/>
              <w:spacing w:before="90" w:line="190" w:lineRule="auto"/>
              <w:ind w:left="297"/>
            </w:pPr>
            <w:r>
              <w:rPr>
                <w:i/>
                <w:iCs/>
              </w:rPr>
              <w:t>Bambusicola</w:t>
            </w:r>
          </w:p>
          <w:p w14:paraId="0449A0D7">
            <w:pPr>
              <w:pStyle w:val="6"/>
              <w:spacing w:before="50" w:line="190" w:lineRule="auto"/>
              <w:ind w:left="551"/>
            </w:pPr>
            <w:r>
              <w:rPr>
                <w:i/>
                <w:iCs/>
                <w:spacing w:val="5"/>
              </w:rPr>
              <w:t>fytchii</w:t>
            </w:r>
          </w:p>
        </w:tc>
        <w:tc>
          <w:tcPr>
            <w:tcW w:w="845" w:type="dxa"/>
            <w:tcBorders>
              <w:right w:val="single" w:color="000000" w:sz="12" w:space="0"/>
            </w:tcBorders>
            <w:vAlign w:val="top"/>
          </w:tcPr>
          <w:p w14:paraId="1BEDF2AD">
            <w:pPr>
              <w:rPr>
                <w:rFonts w:ascii="Arial"/>
                <w:sz w:val="21"/>
              </w:rPr>
            </w:pPr>
          </w:p>
        </w:tc>
      </w:tr>
      <w:tr w14:paraId="1328D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A188308">
            <w:pPr>
              <w:pStyle w:val="6"/>
              <w:spacing w:before="212" w:line="232" w:lineRule="auto"/>
              <w:ind w:left="360"/>
            </w:pPr>
            <w:r>
              <w:t>3</w:t>
            </w:r>
          </w:p>
        </w:tc>
        <w:tc>
          <w:tcPr>
            <w:tcW w:w="1270" w:type="dxa"/>
            <w:vAlign w:val="top"/>
          </w:tcPr>
          <w:p w14:paraId="1C304173">
            <w:pPr>
              <w:spacing w:before="179" w:line="220" w:lineRule="auto"/>
              <w:ind w:left="312"/>
              <w:rPr>
                <w:rFonts w:ascii="宋体" w:hAnsi="宋体" w:eastAsia="宋体" w:cs="宋体"/>
                <w:sz w:val="21"/>
                <w:szCs w:val="21"/>
              </w:rPr>
            </w:pPr>
            <w:r>
              <w:rPr>
                <w:rFonts w:ascii="宋体" w:hAnsi="宋体" w:eastAsia="宋体" w:cs="宋体"/>
                <w:spacing w:val="-2"/>
                <w:sz w:val="21"/>
                <w:szCs w:val="21"/>
              </w:rPr>
              <w:t>环颈雉</w:t>
            </w:r>
          </w:p>
        </w:tc>
        <w:tc>
          <w:tcPr>
            <w:tcW w:w="1554" w:type="dxa"/>
            <w:vAlign w:val="top"/>
          </w:tcPr>
          <w:p w14:paraId="53A71EF6">
            <w:pPr>
              <w:pStyle w:val="6"/>
              <w:spacing w:before="92" w:line="190" w:lineRule="auto"/>
              <w:ind w:left="323"/>
            </w:pPr>
            <w:r>
              <w:rPr>
                <w:i/>
                <w:iCs/>
              </w:rPr>
              <w:t>Phasianus</w:t>
            </w:r>
          </w:p>
          <w:p w14:paraId="3B0A3BD6">
            <w:pPr>
              <w:pStyle w:val="6"/>
              <w:spacing w:before="50" w:line="222" w:lineRule="auto"/>
              <w:ind w:left="374"/>
            </w:pPr>
            <w:r>
              <w:rPr>
                <w:i/>
                <w:iCs/>
                <w:spacing w:val="-1"/>
              </w:rPr>
              <w:t>colchicus</w:t>
            </w:r>
          </w:p>
        </w:tc>
        <w:tc>
          <w:tcPr>
            <w:tcW w:w="989" w:type="dxa"/>
            <w:vAlign w:val="top"/>
          </w:tcPr>
          <w:p w14:paraId="29B1EA22">
            <w:pPr>
              <w:pStyle w:val="6"/>
              <w:spacing w:before="212" w:line="235" w:lineRule="auto"/>
              <w:ind w:left="440"/>
            </w:pPr>
            <w:r>
              <w:t>2</w:t>
            </w:r>
          </w:p>
        </w:tc>
        <w:tc>
          <w:tcPr>
            <w:tcW w:w="1272" w:type="dxa"/>
            <w:vAlign w:val="top"/>
          </w:tcPr>
          <w:p w14:paraId="7DB664D1">
            <w:pPr>
              <w:spacing w:before="179" w:line="220" w:lineRule="auto"/>
              <w:ind w:left="325"/>
              <w:rPr>
                <w:rFonts w:ascii="宋体" w:hAnsi="宋体" w:eastAsia="宋体" w:cs="宋体"/>
                <w:sz w:val="21"/>
                <w:szCs w:val="21"/>
              </w:rPr>
            </w:pPr>
            <w:r>
              <w:rPr>
                <w:rFonts w:ascii="宋体" w:hAnsi="宋体" w:eastAsia="宋体" w:cs="宋体"/>
                <w:spacing w:val="-2"/>
                <w:sz w:val="21"/>
                <w:szCs w:val="21"/>
              </w:rPr>
              <w:t>环颈雉</w:t>
            </w:r>
          </w:p>
        </w:tc>
        <w:tc>
          <w:tcPr>
            <w:tcW w:w="1693" w:type="dxa"/>
            <w:vAlign w:val="top"/>
          </w:tcPr>
          <w:p w14:paraId="534BF0FC">
            <w:pPr>
              <w:pStyle w:val="6"/>
              <w:spacing w:before="92" w:line="190" w:lineRule="auto"/>
              <w:ind w:left="408"/>
            </w:pPr>
            <w:r>
              <w:rPr>
                <w:i/>
                <w:iCs/>
              </w:rPr>
              <w:t>Phasianus</w:t>
            </w:r>
          </w:p>
          <w:p w14:paraId="043D2AF7">
            <w:pPr>
              <w:pStyle w:val="6"/>
              <w:spacing w:before="50" w:line="222" w:lineRule="auto"/>
              <w:ind w:left="459"/>
            </w:pPr>
            <w:r>
              <w:rPr>
                <w:i/>
                <w:iCs/>
                <w:spacing w:val="-1"/>
              </w:rPr>
              <w:t>colchicus</w:t>
            </w:r>
          </w:p>
        </w:tc>
        <w:tc>
          <w:tcPr>
            <w:tcW w:w="845" w:type="dxa"/>
            <w:tcBorders>
              <w:right w:val="single" w:color="000000" w:sz="12" w:space="0"/>
            </w:tcBorders>
            <w:vAlign w:val="top"/>
          </w:tcPr>
          <w:p w14:paraId="3C27F57E">
            <w:pPr>
              <w:rPr>
                <w:rFonts w:ascii="Arial"/>
                <w:sz w:val="21"/>
              </w:rPr>
            </w:pPr>
          </w:p>
        </w:tc>
      </w:tr>
      <w:tr w14:paraId="60087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5983700">
            <w:pPr>
              <w:rPr>
                <w:rFonts w:ascii="Arial"/>
                <w:sz w:val="21"/>
              </w:rPr>
            </w:pPr>
          </w:p>
        </w:tc>
        <w:tc>
          <w:tcPr>
            <w:tcW w:w="1270" w:type="dxa"/>
            <w:vAlign w:val="top"/>
          </w:tcPr>
          <w:p w14:paraId="62F7050D">
            <w:pPr>
              <w:rPr>
                <w:rFonts w:ascii="Arial"/>
                <w:sz w:val="21"/>
              </w:rPr>
            </w:pPr>
          </w:p>
        </w:tc>
        <w:tc>
          <w:tcPr>
            <w:tcW w:w="1554" w:type="dxa"/>
            <w:vAlign w:val="top"/>
          </w:tcPr>
          <w:p w14:paraId="07A5AAC6">
            <w:pPr>
              <w:rPr>
                <w:rFonts w:ascii="Arial"/>
                <w:sz w:val="21"/>
              </w:rPr>
            </w:pPr>
          </w:p>
        </w:tc>
        <w:tc>
          <w:tcPr>
            <w:tcW w:w="989" w:type="dxa"/>
            <w:vAlign w:val="top"/>
          </w:tcPr>
          <w:p w14:paraId="1CEA83C4">
            <w:pPr>
              <w:pStyle w:val="6"/>
              <w:spacing w:before="214" w:line="232" w:lineRule="auto"/>
              <w:ind w:left="444"/>
            </w:pPr>
            <w:r>
              <w:t>3</w:t>
            </w:r>
          </w:p>
        </w:tc>
        <w:tc>
          <w:tcPr>
            <w:tcW w:w="1272" w:type="dxa"/>
            <w:vAlign w:val="top"/>
          </w:tcPr>
          <w:p w14:paraId="19F73514">
            <w:pPr>
              <w:spacing w:before="179" w:line="220" w:lineRule="auto"/>
              <w:ind w:left="252"/>
              <w:rPr>
                <w:rFonts w:ascii="宋体" w:hAnsi="宋体" w:eastAsia="宋体" w:cs="宋体"/>
                <w:sz w:val="21"/>
                <w:szCs w:val="21"/>
              </w:rPr>
            </w:pPr>
            <w:r>
              <w:rPr>
                <w:rFonts w:ascii="宋体" w:hAnsi="宋体" w:eastAsia="宋体" w:cs="宋体"/>
                <w:spacing w:val="-8"/>
                <w:sz w:val="21"/>
                <w:szCs w:val="21"/>
              </w:rPr>
              <w:t>白腹锦鸡</w:t>
            </w:r>
          </w:p>
        </w:tc>
        <w:tc>
          <w:tcPr>
            <w:tcW w:w="1693" w:type="dxa"/>
            <w:vAlign w:val="top"/>
          </w:tcPr>
          <w:p w14:paraId="0726F85F">
            <w:pPr>
              <w:pStyle w:val="6"/>
              <w:spacing w:before="92" w:line="190" w:lineRule="auto"/>
              <w:ind w:left="281"/>
            </w:pPr>
            <w:r>
              <w:rPr>
                <w:i/>
                <w:iCs/>
                <w:spacing w:val="-2"/>
              </w:rPr>
              <w:t>Chrysolophus</w:t>
            </w:r>
          </w:p>
          <w:p w14:paraId="2747E4F8">
            <w:pPr>
              <w:pStyle w:val="6"/>
              <w:spacing w:before="50" w:line="220" w:lineRule="auto"/>
              <w:ind w:left="389"/>
            </w:pPr>
            <w:r>
              <w:rPr>
                <w:i/>
                <w:iCs/>
                <w:spacing w:val="-1"/>
              </w:rPr>
              <w:t>amherstiae</w:t>
            </w:r>
          </w:p>
        </w:tc>
        <w:tc>
          <w:tcPr>
            <w:tcW w:w="845" w:type="dxa"/>
            <w:tcBorders>
              <w:right w:val="single" w:color="000000" w:sz="12" w:space="0"/>
            </w:tcBorders>
            <w:vAlign w:val="top"/>
          </w:tcPr>
          <w:p w14:paraId="7F1B7308">
            <w:pPr>
              <w:spacing w:before="179" w:line="222" w:lineRule="auto"/>
              <w:ind w:left="258"/>
              <w:rPr>
                <w:rFonts w:ascii="宋体" w:hAnsi="宋体" w:eastAsia="宋体" w:cs="宋体"/>
                <w:sz w:val="21"/>
                <w:szCs w:val="21"/>
              </w:rPr>
            </w:pPr>
            <w:r>
              <w:rPr>
                <w:rFonts w:ascii="宋体" w:hAnsi="宋体" w:eastAsia="宋体" w:cs="宋体"/>
                <w:spacing w:val="-23"/>
                <w:sz w:val="21"/>
                <w:szCs w:val="21"/>
              </w:rPr>
              <w:t>Ⅱ级</w:t>
            </w:r>
          </w:p>
        </w:tc>
      </w:tr>
      <w:tr w14:paraId="0628F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01B3970E">
            <w:pPr>
              <w:pStyle w:val="6"/>
              <w:spacing w:before="115" w:line="186" w:lineRule="auto"/>
              <w:ind w:left="276"/>
            </w:pPr>
            <w:r>
              <w:rPr>
                <w:b/>
                <w:bCs/>
                <w:spacing w:val="-3"/>
              </w:rPr>
              <w:t>O2</w:t>
            </w:r>
          </w:p>
        </w:tc>
        <w:tc>
          <w:tcPr>
            <w:tcW w:w="1270" w:type="dxa"/>
            <w:vAlign w:val="top"/>
          </w:tcPr>
          <w:p w14:paraId="604AD2C5">
            <w:pPr>
              <w:spacing w:before="76" w:line="220" w:lineRule="auto"/>
              <w:ind w:left="311"/>
              <w:rPr>
                <w:rFonts w:ascii="宋体" w:hAnsi="宋体" w:eastAsia="宋体" w:cs="宋体"/>
                <w:sz w:val="21"/>
                <w:szCs w:val="21"/>
              </w:rPr>
            </w:pPr>
            <w:r>
              <w:rPr>
                <w:rFonts w:ascii="宋体" w:hAnsi="宋体" w:eastAsia="宋体" w:cs="宋体"/>
                <w:b/>
                <w:bCs/>
                <w:spacing w:val="-4"/>
                <w:sz w:val="21"/>
                <w:szCs w:val="21"/>
              </w:rPr>
              <w:t>雁形目</w:t>
            </w:r>
          </w:p>
        </w:tc>
        <w:tc>
          <w:tcPr>
            <w:tcW w:w="1554" w:type="dxa"/>
            <w:vAlign w:val="top"/>
          </w:tcPr>
          <w:p w14:paraId="013C7A28">
            <w:pPr>
              <w:pStyle w:val="6"/>
              <w:spacing w:before="115" w:line="186" w:lineRule="auto"/>
              <w:ind w:left="160"/>
            </w:pPr>
            <w:r>
              <w:rPr>
                <w:b/>
                <w:bCs/>
                <w:spacing w:val="-1"/>
              </w:rPr>
              <w:t>Anseriformes</w:t>
            </w:r>
          </w:p>
        </w:tc>
        <w:tc>
          <w:tcPr>
            <w:tcW w:w="989" w:type="dxa"/>
            <w:vAlign w:val="top"/>
          </w:tcPr>
          <w:p w14:paraId="6616B10D">
            <w:pPr>
              <w:pStyle w:val="6"/>
              <w:spacing w:before="115" w:line="186" w:lineRule="auto"/>
              <w:ind w:left="362"/>
            </w:pPr>
            <w:r>
              <w:rPr>
                <w:b/>
                <w:bCs/>
                <w:spacing w:val="-3"/>
              </w:rPr>
              <w:t>O2</w:t>
            </w:r>
          </w:p>
        </w:tc>
        <w:tc>
          <w:tcPr>
            <w:tcW w:w="1272" w:type="dxa"/>
            <w:vAlign w:val="top"/>
          </w:tcPr>
          <w:p w14:paraId="5221DBE5">
            <w:pPr>
              <w:spacing w:before="76" w:line="220" w:lineRule="auto"/>
              <w:ind w:left="324"/>
              <w:rPr>
                <w:rFonts w:ascii="宋体" w:hAnsi="宋体" w:eastAsia="宋体" w:cs="宋体"/>
                <w:sz w:val="21"/>
                <w:szCs w:val="21"/>
              </w:rPr>
            </w:pPr>
            <w:r>
              <w:rPr>
                <w:rFonts w:ascii="宋体" w:hAnsi="宋体" w:eastAsia="宋体" w:cs="宋体"/>
                <w:b/>
                <w:bCs/>
                <w:spacing w:val="-4"/>
                <w:sz w:val="21"/>
                <w:szCs w:val="21"/>
              </w:rPr>
              <w:t>雁形目</w:t>
            </w:r>
          </w:p>
        </w:tc>
        <w:tc>
          <w:tcPr>
            <w:tcW w:w="1693" w:type="dxa"/>
            <w:vAlign w:val="top"/>
          </w:tcPr>
          <w:p w14:paraId="4423676A">
            <w:pPr>
              <w:pStyle w:val="6"/>
              <w:spacing w:before="115" w:line="186" w:lineRule="auto"/>
              <w:ind w:left="245"/>
            </w:pPr>
            <w:r>
              <w:rPr>
                <w:b/>
                <w:bCs/>
                <w:spacing w:val="-1"/>
              </w:rPr>
              <w:t>Anseriformes</w:t>
            </w:r>
          </w:p>
        </w:tc>
        <w:tc>
          <w:tcPr>
            <w:tcW w:w="845" w:type="dxa"/>
            <w:tcBorders>
              <w:right w:val="single" w:color="000000" w:sz="12" w:space="0"/>
            </w:tcBorders>
            <w:vAlign w:val="top"/>
          </w:tcPr>
          <w:p w14:paraId="202732DD">
            <w:pPr>
              <w:rPr>
                <w:rFonts w:ascii="Arial"/>
                <w:sz w:val="21"/>
              </w:rPr>
            </w:pPr>
          </w:p>
        </w:tc>
      </w:tr>
      <w:tr w14:paraId="11CCB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BC93DB0">
            <w:pPr>
              <w:pStyle w:val="6"/>
              <w:spacing w:before="122" w:line="186" w:lineRule="auto"/>
              <w:ind w:left="291"/>
            </w:pPr>
            <w:r>
              <w:rPr>
                <w:b/>
                <w:bCs/>
                <w:spacing w:val="-2"/>
              </w:rPr>
              <w:t>F2</w:t>
            </w:r>
          </w:p>
        </w:tc>
        <w:tc>
          <w:tcPr>
            <w:tcW w:w="1270" w:type="dxa"/>
            <w:vAlign w:val="top"/>
          </w:tcPr>
          <w:p w14:paraId="69162240">
            <w:pPr>
              <w:spacing w:before="83" w:line="219" w:lineRule="auto"/>
              <w:ind w:left="424"/>
              <w:rPr>
                <w:rFonts w:ascii="宋体" w:hAnsi="宋体" w:eastAsia="宋体" w:cs="宋体"/>
                <w:sz w:val="21"/>
                <w:szCs w:val="21"/>
              </w:rPr>
            </w:pPr>
            <w:r>
              <w:rPr>
                <w:rFonts w:ascii="宋体" w:hAnsi="宋体" w:eastAsia="宋体" w:cs="宋体"/>
                <w:b/>
                <w:bCs/>
                <w:spacing w:val="-6"/>
                <w:sz w:val="21"/>
                <w:szCs w:val="21"/>
              </w:rPr>
              <w:t>鸭科</w:t>
            </w:r>
          </w:p>
        </w:tc>
        <w:tc>
          <w:tcPr>
            <w:tcW w:w="1554" w:type="dxa"/>
            <w:vAlign w:val="top"/>
          </w:tcPr>
          <w:p w14:paraId="388BEBEA">
            <w:pPr>
              <w:pStyle w:val="6"/>
              <w:spacing w:before="122" w:line="186" w:lineRule="auto"/>
              <w:ind w:left="358"/>
            </w:pPr>
            <w:r>
              <w:rPr>
                <w:b/>
                <w:bCs/>
                <w:spacing w:val="-1"/>
              </w:rPr>
              <w:t>Anatidae</w:t>
            </w:r>
          </w:p>
        </w:tc>
        <w:tc>
          <w:tcPr>
            <w:tcW w:w="989" w:type="dxa"/>
            <w:vAlign w:val="top"/>
          </w:tcPr>
          <w:p w14:paraId="7E4689BC">
            <w:pPr>
              <w:pStyle w:val="6"/>
              <w:spacing w:before="122" w:line="186" w:lineRule="auto"/>
              <w:ind w:left="376"/>
            </w:pPr>
            <w:r>
              <w:rPr>
                <w:b/>
                <w:bCs/>
                <w:spacing w:val="-2"/>
              </w:rPr>
              <w:t>F2</w:t>
            </w:r>
          </w:p>
        </w:tc>
        <w:tc>
          <w:tcPr>
            <w:tcW w:w="1272" w:type="dxa"/>
            <w:vAlign w:val="top"/>
          </w:tcPr>
          <w:p w14:paraId="0F79758F">
            <w:pPr>
              <w:spacing w:before="83" w:line="219" w:lineRule="auto"/>
              <w:ind w:left="437"/>
              <w:rPr>
                <w:rFonts w:ascii="宋体" w:hAnsi="宋体" w:eastAsia="宋体" w:cs="宋体"/>
                <w:sz w:val="21"/>
                <w:szCs w:val="21"/>
              </w:rPr>
            </w:pPr>
            <w:r>
              <w:rPr>
                <w:rFonts w:ascii="宋体" w:hAnsi="宋体" w:eastAsia="宋体" w:cs="宋体"/>
                <w:b/>
                <w:bCs/>
                <w:spacing w:val="-6"/>
                <w:sz w:val="21"/>
                <w:szCs w:val="21"/>
              </w:rPr>
              <w:t>鸭科</w:t>
            </w:r>
          </w:p>
        </w:tc>
        <w:tc>
          <w:tcPr>
            <w:tcW w:w="1693" w:type="dxa"/>
            <w:vAlign w:val="top"/>
          </w:tcPr>
          <w:p w14:paraId="78CD443D">
            <w:pPr>
              <w:pStyle w:val="6"/>
              <w:spacing w:before="122" w:line="186" w:lineRule="auto"/>
              <w:ind w:left="443"/>
            </w:pPr>
            <w:r>
              <w:rPr>
                <w:b/>
                <w:bCs/>
                <w:spacing w:val="-1"/>
              </w:rPr>
              <w:t>Anatidae</w:t>
            </w:r>
          </w:p>
        </w:tc>
        <w:tc>
          <w:tcPr>
            <w:tcW w:w="845" w:type="dxa"/>
            <w:tcBorders>
              <w:right w:val="single" w:color="000000" w:sz="12" w:space="0"/>
            </w:tcBorders>
            <w:vAlign w:val="top"/>
          </w:tcPr>
          <w:p w14:paraId="5BEBE491">
            <w:pPr>
              <w:rPr>
                <w:rFonts w:ascii="Arial"/>
                <w:sz w:val="21"/>
              </w:rPr>
            </w:pPr>
          </w:p>
        </w:tc>
      </w:tr>
      <w:tr w14:paraId="1D40D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B394618">
            <w:pPr>
              <w:pStyle w:val="6"/>
              <w:spacing w:before="216" w:line="235" w:lineRule="auto"/>
              <w:ind w:left="354"/>
            </w:pPr>
            <w:r>
              <w:t>4</w:t>
            </w:r>
          </w:p>
        </w:tc>
        <w:tc>
          <w:tcPr>
            <w:tcW w:w="1270" w:type="dxa"/>
            <w:vAlign w:val="top"/>
          </w:tcPr>
          <w:p w14:paraId="31F2C82B">
            <w:pPr>
              <w:spacing w:before="182" w:line="220" w:lineRule="auto"/>
              <w:ind w:left="319"/>
              <w:rPr>
                <w:rFonts w:ascii="宋体" w:hAnsi="宋体" w:eastAsia="宋体" w:cs="宋体"/>
                <w:sz w:val="21"/>
                <w:szCs w:val="21"/>
              </w:rPr>
            </w:pPr>
            <w:r>
              <w:rPr>
                <w:rFonts w:ascii="宋体" w:hAnsi="宋体" w:eastAsia="宋体" w:cs="宋体"/>
                <w:spacing w:val="-4"/>
                <w:sz w:val="21"/>
                <w:szCs w:val="21"/>
              </w:rPr>
              <w:t>赤麻鸭</w:t>
            </w:r>
          </w:p>
        </w:tc>
        <w:tc>
          <w:tcPr>
            <w:tcW w:w="1554" w:type="dxa"/>
            <w:vAlign w:val="top"/>
          </w:tcPr>
          <w:p w14:paraId="0CCA2EC4">
            <w:pPr>
              <w:pStyle w:val="6"/>
              <w:spacing w:before="96" w:line="190" w:lineRule="auto"/>
              <w:ind w:left="418"/>
            </w:pPr>
            <w:r>
              <w:rPr>
                <w:i/>
                <w:iCs/>
                <w:spacing w:val="-2"/>
              </w:rPr>
              <w:t>Tadorna</w:t>
            </w:r>
          </w:p>
          <w:p w14:paraId="12D80CD2">
            <w:pPr>
              <w:pStyle w:val="6"/>
              <w:spacing w:before="50" w:line="190" w:lineRule="auto"/>
              <w:ind w:left="286"/>
            </w:pPr>
            <w:r>
              <w:rPr>
                <w:i/>
                <w:iCs/>
                <w:spacing w:val="3"/>
              </w:rPr>
              <w:t>ferruginea</w:t>
            </w:r>
          </w:p>
        </w:tc>
        <w:tc>
          <w:tcPr>
            <w:tcW w:w="989" w:type="dxa"/>
            <w:vAlign w:val="top"/>
          </w:tcPr>
          <w:p w14:paraId="436167D6">
            <w:pPr>
              <w:rPr>
                <w:rFonts w:ascii="Arial"/>
                <w:sz w:val="21"/>
              </w:rPr>
            </w:pPr>
          </w:p>
        </w:tc>
        <w:tc>
          <w:tcPr>
            <w:tcW w:w="1272" w:type="dxa"/>
            <w:vAlign w:val="top"/>
          </w:tcPr>
          <w:p w14:paraId="409B2545">
            <w:pPr>
              <w:rPr>
                <w:rFonts w:ascii="Arial"/>
                <w:sz w:val="21"/>
              </w:rPr>
            </w:pPr>
          </w:p>
        </w:tc>
        <w:tc>
          <w:tcPr>
            <w:tcW w:w="1693" w:type="dxa"/>
            <w:vAlign w:val="top"/>
          </w:tcPr>
          <w:p w14:paraId="643638FF">
            <w:pPr>
              <w:rPr>
                <w:rFonts w:ascii="Arial"/>
                <w:sz w:val="21"/>
              </w:rPr>
            </w:pPr>
          </w:p>
        </w:tc>
        <w:tc>
          <w:tcPr>
            <w:tcW w:w="845" w:type="dxa"/>
            <w:tcBorders>
              <w:right w:val="single" w:color="000000" w:sz="12" w:space="0"/>
            </w:tcBorders>
            <w:vAlign w:val="top"/>
          </w:tcPr>
          <w:p w14:paraId="43628526">
            <w:pPr>
              <w:rPr>
                <w:rFonts w:ascii="Arial"/>
                <w:sz w:val="21"/>
              </w:rPr>
            </w:pPr>
          </w:p>
        </w:tc>
      </w:tr>
      <w:tr w14:paraId="0BC5E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0577432">
            <w:pPr>
              <w:pStyle w:val="6"/>
              <w:spacing w:before="218" w:line="232" w:lineRule="auto"/>
              <w:ind w:left="361"/>
            </w:pPr>
            <w:r>
              <w:t>5</w:t>
            </w:r>
          </w:p>
        </w:tc>
        <w:tc>
          <w:tcPr>
            <w:tcW w:w="1270" w:type="dxa"/>
            <w:vAlign w:val="top"/>
          </w:tcPr>
          <w:p w14:paraId="060D80E8">
            <w:pPr>
              <w:spacing w:before="183" w:line="220" w:lineRule="auto"/>
              <w:ind w:left="314"/>
              <w:rPr>
                <w:rFonts w:ascii="宋体" w:hAnsi="宋体" w:eastAsia="宋体" w:cs="宋体"/>
                <w:sz w:val="21"/>
                <w:szCs w:val="21"/>
              </w:rPr>
            </w:pPr>
            <w:r>
              <w:rPr>
                <w:rFonts w:ascii="宋体" w:hAnsi="宋体" w:eastAsia="宋体" w:cs="宋体"/>
                <w:spacing w:val="-3"/>
                <w:sz w:val="21"/>
                <w:szCs w:val="21"/>
              </w:rPr>
              <w:t>绿头鸭</w:t>
            </w:r>
          </w:p>
        </w:tc>
        <w:tc>
          <w:tcPr>
            <w:tcW w:w="1554" w:type="dxa"/>
            <w:vAlign w:val="top"/>
          </w:tcPr>
          <w:p w14:paraId="03857483">
            <w:pPr>
              <w:pStyle w:val="6"/>
              <w:spacing w:before="100" w:line="186" w:lineRule="auto"/>
              <w:ind w:left="546"/>
            </w:pPr>
            <w:r>
              <w:rPr>
                <w:i/>
                <w:iCs/>
                <w:spacing w:val="2"/>
              </w:rPr>
              <w:t>Anas</w:t>
            </w:r>
          </w:p>
          <w:p w14:paraId="33124939">
            <w:pPr>
              <w:pStyle w:val="6"/>
              <w:spacing w:before="51" w:line="190" w:lineRule="auto"/>
              <w:ind w:left="148"/>
            </w:pPr>
            <w:r>
              <w:rPr>
                <w:i/>
                <w:iCs/>
                <w:spacing w:val="1"/>
              </w:rPr>
              <w:t>platyrhynchos</w:t>
            </w:r>
          </w:p>
        </w:tc>
        <w:tc>
          <w:tcPr>
            <w:tcW w:w="989" w:type="dxa"/>
            <w:vAlign w:val="top"/>
          </w:tcPr>
          <w:p w14:paraId="735EEDB8">
            <w:pPr>
              <w:rPr>
                <w:rFonts w:ascii="Arial"/>
                <w:sz w:val="21"/>
              </w:rPr>
            </w:pPr>
          </w:p>
        </w:tc>
        <w:tc>
          <w:tcPr>
            <w:tcW w:w="1272" w:type="dxa"/>
            <w:vAlign w:val="top"/>
          </w:tcPr>
          <w:p w14:paraId="29875305">
            <w:pPr>
              <w:rPr>
                <w:rFonts w:ascii="Arial"/>
                <w:sz w:val="21"/>
              </w:rPr>
            </w:pPr>
          </w:p>
        </w:tc>
        <w:tc>
          <w:tcPr>
            <w:tcW w:w="1693" w:type="dxa"/>
            <w:vAlign w:val="top"/>
          </w:tcPr>
          <w:p w14:paraId="437DA65B">
            <w:pPr>
              <w:rPr>
                <w:rFonts w:ascii="Arial"/>
                <w:sz w:val="21"/>
              </w:rPr>
            </w:pPr>
          </w:p>
        </w:tc>
        <w:tc>
          <w:tcPr>
            <w:tcW w:w="845" w:type="dxa"/>
            <w:tcBorders>
              <w:right w:val="single" w:color="000000" w:sz="12" w:space="0"/>
            </w:tcBorders>
            <w:vAlign w:val="top"/>
          </w:tcPr>
          <w:p w14:paraId="4E39C71D">
            <w:pPr>
              <w:rPr>
                <w:rFonts w:ascii="Arial"/>
                <w:sz w:val="21"/>
              </w:rPr>
            </w:pPr>
          </w:p>
        </w:tc>
      </w:tr>
      <w:tr w14:paraId="07031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5E71DC7A">
            <w:pPr>
              <w:rPr>
                <w:rFonts w:ascii="Arial"/>
                <w:sz w:val="21"/>
              </w:rPr>
            </w:pPr>
          </w:p>
        </w:tc>
        <w:tc>
          <w:tcPr>
            <w:tcW w:w="1270" w:type="dxa"/>
            <w:vAlign w:val="top"/>
          </w:tcPr>
          <w:p w14:paraId="6B7E52B6">
            <w:pPr>
              <w:rPr>
                <w:rFonts w:ascii="Arial"/>
                <w:sz w:val="21"/>
              </w:rPr>
            </w:pPr>
          </w:p>
        </w:tc>
        <w:tc>
          <w:tcPr>
            <w:tcW w:w="1554" w:type="dxa"/>
            <w:vAlign w:val="top"/>
          </w:tcPr>
          <w:p w14:paraId="471AEF18">
            <w:pPr>
              <w:rPr>
                <w:rFonts w:ascii="Arial"/>
                <w:sz w:val="21"/>
              </w:rPr>
            </w:pPr>
          </w:p>
        </w:tc>
        <w:tc>
          <w:tcPr>
            <w:tcW w:w="989" w:type="dxa"/>
            <w:vAlign w:val="top"/>
          </w:tcPr>
          <w:p w14:paraId="40EF92CB">
            <w:pPr>
              <w:pStyle w:val="6"/>
              <w:spacing w:before="120" w:line="235" w:lineRule="auto"/>
              <w:ind w:left="438"/>
            </w:pPr>
            <w:r>
              <w:t>4</w:t>
            </w:r>
          </w:p>
        </w:tc>
        <w:tc>
          <w:tcPr>
            <w:tcW w:w="1272" w:type="dxa"/>
            <w:vAlign w:val="top"/>
          </w:tcPr>
          <w:p w14:paraId="276D00EB">
            <w:pPr>
              <w:spacing w:before="86" w:line="220" w:lineRule="auto"/>
              <w:ind w:left="325"/>
              <w:rPr>
                <w:rFonts w:ascii="宋体" w:hAnsi="宋体" w:eastAsia="宋体" w:cs="宋体"/>
                <w:sz w:val="21"/>
                <w:szCs w:val="21"/>
              </w:rPr>
            </w:pPr>
            <w:r>
              <w:rPr>
                <w:rFonts w:ascii="宋体" w:hAnsi="宋体" w:eastAsia="宋体" w:cs="宋体"/>
                <w:spacing w:val="-2"/>
                <w:sz w:val="21"/>
                <w:szCs w:val="21"/>
              </w:rPr>
              <w:t>斑嘴鸭</w:t>
            </w:r>
          </w:p>
        </w:tc>
        <w:tc>
          <w:tcPr>
            <w:tcW w:w="1693" w:type="dxa"/>
            <w:vAlign w:val="top"/>
          </w:tcPr>
          <w:p w14:paraId="4058F52B">
            <w:pPr>
              <w:pStyle w:val="6"/>
              <w:spacing w:before="120" w:line="190" w:lineRule="auto"/>
              <w:ind w:left="61"/>
            </w:pPr>
            <w:r>
              <w:rPr>
                <w:i/>
                <w:iCs/>
              </w:rPr>
              <w:t>Anas</w:t>
            </w:r>
            <w:r>
              <w:rPr>
                <w:i/>
                <w:iCs/>
                <w:spacing w:val="10"/>
              </w:rPr>
              <w:t xml:space="preserve"> </w:t>
            </w:r>
            <w:r>
              <w:rPr>
                <w:i/>
                <w:iCs/>
              </w:rPr>
              <w:t>zonorhyncha</w:t>
            </w:r>
          </w:p>
        </w:tc>
        <w:tc>
          <w:tcPr>
            <w:tcW w:w="845" w:type="dxa"/>
            <w:tcBorders>
              <w:right w:val="single" w:color="000000" w:sz="12" w:space="0"/>
            </w:tcBorders>
            <w:vAlign w:val="top"/>
          </w:tcPr>
          <w:p w14:paraId="0BB50E94">
            <w:pPr>
              <w:rPr>
                <w:rFonts w:ascii="Arial"/>
                <w:sz w:val="21"/>
              </w:rPr>
            </w:pPr>
          </w:p>
        </w:tc>
      </w:tr>
      <w:tr w14:paraId="17C3A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467E374">
            <w:pPr>
              <w:pStyle w:val="6"/>
              <w:spacing w:before="121" w:line="232" w:lineRule="auto"/>
              <w:ind w:left="360"/>
            </w:pPr>
            <w:r>
              <w:t>6</w:t>
            </w:r>
          </w:p>
        </w:tc>
        <w:tc>
          <w:tcPr>
            <w:tcW w:w="1270" w:type="dxa"/>
            <w:vAlign w:val="top"/>
          </w:tcPr>
          <w:p w14:paraId="53A534F7">
            <w:pPr>
              <w:spacing w:before="87" w:line="220" w:lineRule="auto"/>
              <w:ind w:left="314"/>
              <w:rPr>
                <w:rFonts w:ascii="宋体" w:hAnsi="宋体" w:eastAsia="宋体" w:cs="宋体"/>
                <w:sz w:val="21"/>
                <w:szCs w:val="21"/>
              </w:rPr>
            </w:pPr>
            <w:r>
              <w:rPr>
                <w:rFonts w:ascii="宋体" w:hAnsi="宋体" w:eastAsia="宋体" w:cs="宋体"/>
                <w:spacing w:val="-3"/>
                <w:sz w:val="21"/>
                <w:szCs w:val="21"/>
              </w:rPr>
              <w:t>绿翅鸭</w:t>
            </w:r>
          </w:p>
        </w:tc>
        <w:tc>
          <w:tcPr>
            <w:tcW w:w="1554" w:type="dxa"/>
            <w:vAlign w:val="top"/>
          </w:tcPr>
          <w:p w14:paraId="2362EADD">
            <w:pPr>
              <w:pStyle w:val="6"/>
              <w:spacing w:before="120" w:line="233" w:lineRule="auto"/>
              <w:ind w:left="240"/>
            </w:pPr>
            <w:r>
              <w:rPr>
                <w:i/>
                <w:iCs/>
              </w:rPr>
              <w:t>Anas</w:t>
            </w:r>
            <w:r>
              <w:rPr>
                <w:i/>
                <w:iCs/>
                <w:spacing w:val="10"/>
              </w:rPr>
              <w:t xml:space="preserve"> </w:t>
            </w:r>
            <w:r>
              <w:rPr>
                <w:i/>
                <w:iCs/>
              </w:rPr>
              <w:t>crecca</w:t>
            </w:r>
          </w:p>
        </w:tc>
        <w:tc>
          <w:tcPr>
            <w:tcW w:w="989" w:type="dxa"/>
            <w:vAlign w:val="top"/>
          </w:tcPr>
          <w:p w14:paraId="6C414738">
            <w:pPr>
              <w:rPr>
                <w:rFonts w:ascii="Arial"/>
                <w:sz w:val="21"/>
              </w:rPr>
            </w:pPr>
          </w:p>
        </w:tc>
        <w:tc>
          <w:tcPr>
            <w:tcW w:w="1272" w:type="dxa"/>
            <w:vAlign w:val="top"/>
          </w:tcPr>
          <w:p w14:paraId="34433FDB">
            <w:pPr>
              <w:rPr>
                <w:rFonts w:ascii="Arial"/>
                <w:sz w:val="21"/>
              </w:rPr>
            </w:pPr>
          </w:p>
        </w:tc>
        <w:tc>
          <w:tcPr>
            <w:tcW w:w="1693" w:type="dxa"/>
            <w:vAlign w:val="top"/>
          </w:tcPr>
          <w:p w14:paraId="2F3690D6">
            <w:pPr>
              <w:rPr>
                <w:rFonts w:ascii="Arial"/>
                <w:sz w:val="21"/>
              </w:rPr>
            </w:pPr>
          </w:p>
        </w:tc>
        <w:tc>
          <w:tcPr>
            <w:tcW w:w="845" w:type="dxa"/>
            <w:tcBorders>
              <w:right w:val="single" w:color="000000" w:sz="12" w:space="0"/>
            </w:tcBorders>
            <w:vAlign w:val="top"/>
          </w:tcPr>
          <w:p w14:paraId="45EB8EC7">
            <w:pPr>
              <w:rPr>
                <w:rFonts w:ascii="Arial"/>
                <w:sz w:val="21"/>
              </w:rPr>
            </w:pPr>
          </w:p>
        </w:tc>
      </w:tr>
      <w:tr w14:paraId="75AE8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61DF3091">
            <w:pPr>
              <w:pStyle w:val="6"/>
              <w:spacing w:before="121" w:line="232" w:lineRule="auto"/>
              <w:ind w:left="359"/>
            </w:pPr>
            <w:r>
              <w:t>7</w:t>
            </w:r>
          </w:p>
        </w:tc>
        <w:tc>
          <w:tcPr>
            <w:tcW w:w="1270" w:type="dxa"/>
            <w:vAlign w:val="top"/>
          </w:tcPr>
          <w:p w14:paraId="4351ED40">
            <w:pPr>
              <w:spacing w:before="87" w:line="220" w:lineRule="auto"/>
              <w:ind w:left="208"/>
              <w:rPr>
                <w:rFonts w:ascii="宋体" w:hAnsi="宋体" w:eastAsia="宋体" w:cs="宋体"/>
                <w:sz w:val="21"/>
                <w:szCs w:val="21"/>
              </w:rPr>
            </w:pPr>
            <w:r>
              <w:rPr>
                <w:rFonts w:ascii="宋体" w:hAnsi="宋体" w:eastAsia="宋体" w:cs="宋体"/>
                <w:spacing w:val="-2"/>
                <w:sz w:val="21"/>
                <w:szCs w:val="21"/>
              </w:rPr>
              <w:t>凤头潜鸭</w:t>
            </w:r>
          </w:p>
        </w:tc>
        <w:tc>
          <w:tcPr>
            <w:tcW w:w="1554" w:type="dxa"/>
            <w:vAlign w:val="top"/>
          </w:tcPr>
          <w:p w14:paraId="7D224271">
            <w:pPr>
              <w:pStyle w:val="6"/>
              <w:spacing w:before="121" w:line="190" w:lineRule="auto"/>
              <w:ind w:left="111"/>
            </w:pPr>
            <w:r>
              <w:rPr>
                <w:i/>
                <w:iCs/>
                <w:spacing w:val="3"/>
              </w:rPr>
              <w:t>Aythya</w:t>
            </w:r>
            <w:r>
              <w:rPr>
                <w:i/>
                <w:iCs/>
                <w:spacing w:val="-33"/>
              </w:rPr>
              <w:t xml:space="preserve"> </w:t>
            </w:r>
            <w:r>
              <w:rPr>
                <w:i/>
                <w:iCs/>
                <w:spacing w:val="3"/>
              </w:rPr>
              <w:t>fuligula</w:t>
            </w:r>
          </w:p>
        </w:tc>
        <w:tc>
          <w:tcPr>
            <w:tcW w:w="989" w:type="dxa"/>
            <w:vAlign w:val="top"/>
          </w:tcPr>
          <w:p w14:paraId="686E3705">
            <w:pPr>
              <w:rPr>
                <w:rFonts w:ascii="Arial"/>
                <w:sz w:val="21"/>
              </w:rPr>
            </w:pPr>
          </w:p>
        </w:tc>
        <w:tc>
          <w:tcPr>
            <w:tcW w:w="1272" w:type="dxa"/>
            <w:vAlign w:val="top"/>
          </w:tcPr>
          <w:p w14:paraId="44C05950">
            <w:pPr>
              <w:rPr>
                <w:rFonts w:ascii="Arial"/>
                <w:sz w:val="21"/>
              </w:rPr>
            </w:pPr>
          </w:p>
        </w:tc>
        <w:tc>
          <w:tcPr>
            <w:tcW w:w="1693" w:type="dxa"/>
            <w:vAlign w:val="top"/>
          </w:tcPr>
          <w:p w14:paraId="7752C639">
            <w:pPr>
              <w:rPr>
                <w:rFonts w:ascii="Arial"/>
                <w:sz w:val="21"/>
              </w:rPr>
            </w:pPr>
          </w:p>
        </w:tc>
        <w:tc>
          <w:tcPr>
            <w:tcW w:w="845" w:type="dxa"/>
            <w:tcBorders>
              <w:right w:val="single" w:color="000000" w:sz="12" w:space="0"/>
            </w:tcBorders>
            <w:vAlign w:val="top"/>
          </w:tcPr>
          <w:p w14:paraId="1C7631CD">
            <w:pPr>
              <w:rPr>
                <w:rFonts w:ascii="Arial"/>
                <w:sz w:val="21"/>
              </w:rPr>
            </w:pPr>
          </w:p>
        </w:tc>
      </w:tr>
      <w:tr w14:paraId="6DABA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3D59550">
            <w:pPr>
              <w:pStyle w:val="6"/>
              <w:spacing w:before="222" w:line="232" w:lineRule="auto"/>
              <w:ind w:left="364"/>
            </w:pPr>
            <w:r>
              <w:t>8</w:t>
            </w:r>
          </w:p>
        </w:tc>
        <w:tc>
          <w:tcPr>
            <w:tcW w:w="1270" w:type="dxa"/>
            <w:vAlign w:val="top"/>
          </w:tcPr>
          <w:p w14:paraId="28B7E456">
            <w:pPr>
              <w:spacing w:before="187" w:line="220" w:lineRule="auto"/>
              <w:ind w:left="102"/>
              <w:rPr>
                <w:rFonts w:ascii="宋体" w:hAnsi="宋体" w:eastAsia="宋体" w:cs="宋体"/>
                <w:sz w:val="21"/>
                <w:szCs w:val="21"/>
              </w:rPr>
            </w:pPr>
            <w:r>
              <w:rPr>
                <w:rFonts w:ascii="宋体" w:hAnsi="宋体" w:eastAsia="宋体" w:cs="宋体"/>
                <w:spacing w:val="-2"/>
                <w:sz w:val="21"/>
                <w:szCs w:val="21"/>
              </w:rPr>
              <w:t>普通秋沙鸭</w:t>
            </w:r>
          </w:p>
        </w:tc>
        <w:tc>
          <w:tcPr>
            <w:tcW w:w="1554" w:type="dxa"/>
            <w:vAlign w:val="top"/>
          </w:tcPr>
          <w:p w14:paraId="6C37DD70">
            <w:pPr>
              <w:pStyle w:val="6"/>
              <w:spacing w:before="100" w:line="190" w:lineRule="auto"/>
              <w:ind w:left="438"/>
            </w:pPr>
            <w:r>
              <w:rPr>
                <w:i/>
                <w:iCs/>
                <w:spacing w:val="1"/>
              </w:rPr>
              <w:t>Mergus</w:t>
            </w:r>
          </w:p>
          <w:p w14:paraId="3FD45380">
            <w:pPr>
              <w:pStyle w:val="6"/>
              <w:spacing w:before="50" w:line="190" w:lineRule="auto"/>
              <w:ind w:left="319"/>
            </w:pPr>
            <w:r>
              <w:rPr>
                <w:i/>
                <w:iCs/>
                <w:spacing w:val="-1"/>
              </w:rPr>
              <w:t>merganser</w:t>
            </w:r>
          </w:p>
        </w:tc>
        <w:tc>
          <w:tcPr>
            <w:tcW w:w="989" w:type="dxa"/>
            <w:vAlign w:val="top"/>
          </w:tcPr>
          <w:p w14:paraId="4FE12C19">
            <w:pPr>
              <w:rPr>
                <w:rFonts w:ascii="Arial"/>
                <w:sz w:val="21"/>
              </w:rPr>
            </w:pPr>
          </w:p>
        </w:tc>
        <w:tc>
          <w:tcPr>
            <w:tcW w:w="1272" w:type="dxa"/>
            <w:vAlign w:val="top"/>
          </w:tcPr>
          <w:p w14:paraId="4E65DABE">
            <w:pPr>
              <w:rPr>
                <w:rFonts w:ascii="Arial"/>
                <w:sz w:val="21"/>
              </w:rPr>
            </w:pPr>
          </w:p>
        </w:tc>
        <w:tc>
          <w:tcPr>
            <w:tcW w:w="1693" w:type="dxa"/>
            <w:vAlign w:val="top"/>
          </w:tcPr>
          <w:p w14:paraId="1ECED766">
            <w:pPr>
              <w:rPr>
                <w:rFonts w:ascii="Arial"/>
                <w:sz w:val="21"/>
              </w:rPr>
            </w:pPr>
          </w:p>
        </w:tc>
        <w:tc>
          <w:tcPr>
            <w:tcW w:w="845" w:type="dxa"/>
            <w:tcBorders>
              <w:right w:val="single" w:color="000000" w:sz="12" w:space="0"/>
            </w:tcBorders>
            <w:vAlign w:val="top"/>
          </w:tcPr>
          <w:p w14:paraId="738DBB09">
            <w:pPr>
              <w:rPr>
                <w:rFonts w:ascii="Arial"/>
                <w:sz w:val="21"/>
              </w:rPr>
            </w:pPr>
          </w:p>
        </w:tc>
      </w:tr>
      <w:tr w14:paraId="1791F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7FEFCDE4">
            <w:pPr>
              <w:pStyle w:val="6"/>
              <w:spacing w:before="226" w:line="186" w:lineRule="auto"/>
              <w:ind w:left="276"/>
            </w:pPr>
            <w:r>
              <w:rPr>
                <w:b/>
                <w:bCs/>
                <w:spacing w:val="-3"/>
              </w:rPr>
              <w:t>O3</w:t>
            </w:r>
          </w:p>
        </w:tc>
        <w:tc>
          <w:tcPr>
            <w:tcW w:w="1270" w:type="dxa"/>
            <w:vAlign w:val="top"/>
          </w:tcPr>
          <w:p w14:paraId="0E5ED845">
            <w:pPr>
              <w:spacing w:before="188" w:line="218" w:lineRule="auto"/>
              <w:ind w:left="310"/>
              <w:rPr>
                <w:rFonts w:ascii="宋体" w:hAnsi="宋体" w:eastAsia="宋体" w:cs="宋体"/>
                <w:sz w:val="21"/>
                <w:szCs w:val="21"/>
              </w:rPr>
            </w:pPr>
            <w:r>
              <w:rPr>
                <w:rFonts w:ascii="宋体" w:hAnsi="宋体" w:eastAsia="宋体" w:cs="宋体"/>
                <w:b/>
                <w:bCs/>
                <w:spacing w:val="-4"/>
                <w:sz w:val="21"/>
                <w:szCs w:val="21"/>
              </w:rPr>
              <w:t>䴙䴘目</w:t>
            </w:r>
          </w:p>
        </w:tc>
        <w:tc>
          <w:tcPr>
            <w:tcW w:w="1554" w:type="dxa"/>
            <w:vAlign w:val="top"/>
          </w:tcPr>
          <w:p w14:paraId="00B4B611">
            <w:pPr>
              <w:pStyle w:val="6"/>
              <w:spacing w:before="107" w:line="223" w:lineRule="auto"/>
              <w:ind w:left="686" w:right="84" w:hanging="610"/>
            </w:pPr>
            <w:r>
              <w:rPr>
                <w:b/>
                <w:bCs/>
                <w:spacing w:val="-1"/>
              </w:rPr>
              <w:t>Podicipediform</w:t>
            </w:r>
            <w:r>
              <w:rPr>
                <w:b/>
                <w:bCs/>
                <w:spacing w:val="7"/>
              </w:rPr>
              <w:t xml:space="preserve"> </w:t>
            </w:r>
            <w:r>
              <w:rPr>
                <w:b/>
                <w:bCs/>
                <w:spacing w:val="-3"/>
              </w:rPr>
              <w:t>es</w:t>
            </w:r>
          </w:p>
        </w:tc>
        <w:tc>
          <w:tcPr>
            <w:tcW w:w="989" w:type="dxa"/>
            <w:vAlign w:val="top"/>
          </w:tcPr>
          <w:p w14:paraId="723F4E5C">
            <w:pPr>
              <w:pStyle w:val="6"/>
              <w:spacing w:before="226" w:line="186" w:lineRule="auto"/>
              <w:ind w:left="362"/>
            </w:pPr>
            <w:r>
              <w:rPr>
                <w:b/>
                <w:bCs/>
                <w:spacing w:val="-3"/>
              </w:rPr>
              <w:t>O3</w:t>
            </w:r>
          </w:p>
        </w:tc>
        <w:tc>
          <w:tcPr>
            <w:tcW w:w="1272" w:type="dxa"/>
            <w:vAlign w:val="top"/>
          </w:tcPr>
          <w:p w14:paraId="228B07F2">
            <w:pPr>
              <w:spacing w:before="188" w:line="218" w:lineRule="auto"/>
              <w:ind w:left="323"/>
              <w:rPr>
                <w:rFonts w:ascii="宋体" w:hAnsi="宋体" w:eastAsia="宋体" w:cs="宋体"/>
                <w:sz w:val="21"/>
                <w:szCs w:val="21"/>
              </w:rPr>
            </w:pPr>
            <w:r>
              <w:rPr>
                <w:rFonts w:ascii="宋体" w:hAnsi="宋体" w:eastAsia="宋体" w:cs="宋体"/>
                <w:b/>
                <w:bCs/>
                <w:spacing w:val="-4"/>
                <w:sz w:val="21"/>
                <w:szCs w:val="21"/>
              </w:rPr>
              <w:t>䴙䴘目</w:t>
            </w:r>
          </w:p>
        </w:tc>
        <w:tc>
          <w:tcPr>
            <w:tcW w:w="1693" w:type="dxa"/>
            <w:vAlign w:val="top"/>
          </w:tcPr>
          <w:p w14:paraId="38C14A0E">
            <w:pPr>
              <w:pStyle w:val="6"/>
              <w:spacing w:before="226" w:line="187" w:lineRule="auto"/>
              <w:ind w:left="73"/>
            </w:pPr>
            <w:r>
              <w:rPr>
                <w:b/>
                <w:bCs/>
                <w:spacing w:val="-1"/>
              </w:rPr>
              <w:t>Podicipediformes</w:t>
            </w:r>
          </w:p>
        </w:tc>
        <w:tc>
          <w:tcPr>
            <w:tcW w:w="845" w:type="dxa"/>
            <w:tcBorders>
              <w:right w:val="single" w:color="000000" w:sz="12" w:space="0"/>
            </w:tcBorders>
            <w:vAlign w:val="top"/>
          </w:tcPr>
          <w:p w14:paraId="26B106DF">
            <w:pPr>
              <w:rPr>
                <w:rFonts w:ascii="Arial"/>
                <w:sz w:val="21"/>
              </w:rPr>
            </w:pPr>
          </w:p>
        </w:tc>
      </w:tr>
      <w:tr w14:paraId="4A2E2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00F01727">
            <w:pPr>
              <w:pStyle w:val="6"/>
              <w:spacing w:before="129" w:line="186" w:lineRule="auto"/>
              <w:ind w:left="291"/>
            </w:pPr>
            <w:r>
              <w:rPr>
                <w:b/>
                <w:bCs/>
                <w:spacing w:val="-2"/>
              </w:rPr>
              <w:t>F3</w:t>
            </w:r>
          </w:p>
        </w:tc>
        <w:tc>
          <w:tcPr>
            <w:tcW w:w="1270" w:type="dxa"/>
            <w:vAlign w:val="top"/>
          </w:tcPr>
          <w:p w14:paraId="4C009310">
            <w:pPr>
              <w:spacing w:before="92" w:line="218" w:lineRule="auto"/>
              <w:ind w:left="310"/>
              <w:rPr>
                <w:rFonts w:ascii="宋体" w:hAnsi="宋体" w:eastAsia="宋体" w:cs="宋体"/>
                <w:sz w:val="21"/>
                <w:szCs w:val="21"/>
              </w:rPr>
            </w:pPr>
            <w:r>
              <w:rPr>
                <w:rFonts w:ascii="宋体" w:hAnsi="宋体" w:eastAsia="宋体" w:cs="宋体"/>
                <w:b/>
                <w:bCs/>
                <w:spacing w:val="-4"/>
                <w:sz w:val="21"/>
                <w:szCs w:val="21"/>
              </w:rPr>
              <w:t>䴙䴘科</w:t>
            </w:r>
          </w:p>
        </w:tc>
        <w:tc>
          <w:tcPr>
            <w:tcW w:w="1554" w:type="dxa"/>
            <w:vAlign w:val="top"/>
          </w:tcPr>
          <w:p w14:paraId="280A16CE">
            <w:pPr>
              <w:pStyle w:val="6"/>
              <w:spacing w:before="129" w:line="187" w:lineRule="auto"/>
              <w:ind w:left="141"/>
            </w:pPr>
            <w:r>
              <w:rPr>
                <w:b/>
                <w:bCs/>
                <w:spacing w:val="-1"/>
              </w:rPr>
              <w:t>Podicipedidae</w:t>
            </w:r>
          </w:p>
        </w:tc>
        <w:tc>
          <w:tcPr>
            <w:tcW w:w="989" w:type="dxa"/>
            <w:vAlign w:val="top"/>
          </w:tcPr>
          <w:p w14:paraId="64C0ACB5">
            <w:pPr>
              <w:pStyle w:val="6"/>
              <w:spacing w:before="129" w:line="186" w:lineRule="auto"/>
              <w:ind w:left="376"/>
            </w:pPr>
            <w:r>
              <w:rPr>
                <w:b/>
                <w:bCs/>
                <w:spacing w:val="-2"/>
              </w:rPr>
              <w:t>F3</w:t>
            </w:r>
          </w:p>
        </w:tc>
        <w:tc>
          <w:tcPr>
            <w:tcW w:w="1272" w:type="dxa"/>
            <w:vAlign w:val="top"/>
          </w:tcPr>
          <w:p w14:paraId="7EA964D4">
            <w:pPr>
              <w:spacing w:before="92" w:line="218" w:lineRule="auto"/>
              <w:ind w:left="323"/>
              <w:rPr>
                <w:rFonts w:ascii="宋体" w:hAnsi="宋体" w:eastAsia="宋体" w:cs="宋体"/>
                <w:sz w:val="21"/>
                <w:szCs w:val="21"/>
              </w:rPr>
            </w:pPr>
            <w:r>
              <w:rPr>
                <w:rFonts w:ascii="宋体" w:hAnsi="宋体" w:eastAsia="宋体" w:cs="宋体"/>
                <w:b/>
                <w:bCs/>
                <w:spacing w:val="-4"/>
                <w:sz w:val="21"/>
                <w:szCs w:val="21"/>
              </w:rPr>
              <w:t>䴙䴘科</w:t>
            </w:r>
          </w:p>
        </w:tc>
        <w:tc>
          <w:tcPr>
            <w:tcW w:w="1693" w:type="dxa"/>
            <w:vAlign w:val="top"/>
          </w:tcPr>
          <w:p w14:paraId="43EF69B0">
            <w:pPr>
              <w:pStyle w:val="6"/>
              <w:spacing w:before="129" w:line="187" w:lineRule="auto"/>
              <w:ind w:left="225"/>
            </w:pPr>
            <w:r>
              <w:rPr>
                <w:b/>
                <w:bCs/>
                <w:spacing w:val="-1"/>
              </w:rPr>
              <w:t>Podicipedidae</w:t>
            </w:r>
          </w:p>
        </w:tc>
        <w:tc>
          <w:tcPr>
            <w:tcW w:w="845" w:type="dxa"/>
            <w:tcBorders>
              <w:right w:val="single" w:color="000000" w:sz="12" w:space="0"/>
            </w:tcBorders>
            <w:vAlign w:val="top"/>
          </w:tcPr>
          <w:p w14:paraId="7191B3A1">
            <w:pPr>
              <w:rPr>
                <w:rFonts w:ascii="Arial"/>
                <w:sz w:val="21"/>
              </w:rPr>
            </w:pPr>
          </w:p>
        </w:tc>
      </w:tr>
      <w:tr w14:paraId="7F353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345CEC1">
            <w:pPr>
              <w:pStyle w:val="6"/>
              <w:spacing w:before="224" w:line="232" w:lineRule="auto"/>
              <w:ind w:left="360"/>
            </w:pPr>
            <w:r>
              <w:t>9</w:t>
            </w:r>
          </w:p>
        </w:tc>
        <w:tc>
          <w:tcPr>
            <w:tcW w:w="1270" w:type="dxa"/>
            <w:vAlign w:val="top"/>
          </w:tcPr>
          <w:p w14:paraId="3C842AEC">
            <w:pPr>
              <w:spacing w:before="191" w:line="218" w:lineRule="auto"/>
              <w:ind w:left="318"/>
              <w:rPr>
                <w:rFonts w:ascii="宋体" w:hAnsi="宋体" w:eastAsia="宋体" w:cs="宋体"/>
                <w:sz w:val="21"/>
                <w:szCs w:val="21"/>
              </w:rPr>
            </w:pPr>
            <w:r>
              <w:rPr>
                <w:rFonts w:ascii="宋体" w:hAnsi="宋体" w:eastAsia="宋体" w:cs="宋体"/>
                <w:spacing w:val="-4"/>
                <w:sz w:val="21"/>
                <w:szCs w:val="21"/>
              </w:rPr>
              <w:t>小䴙䴘</w:t>
            </w:r>
          </w:p>
        </w:tc>
        <w:tc>
          <w:tcPr>
            <w:tcW w:w="1554" w:type="dxa"/>
            <w:vAlign w:val="top"/>
          </w:tcPr>
          <w:p w14:paraId="71F869DC">
            <w:pPr>
              <w:pStyle w:val="6"/>
              <w:spacing w:before="103" w:line="190" w:lineRule="auto"/>
              <w:ind w:left="243"/>
            </w:pPr>
            <w:r>
              <w:rPr>
                <w:i/>
                <w:iCs/>
                <w:spacing w:val="-2"/>
              </w:rPr>
              <w:t>Tachybaptus</w:t>
            </w:r>
          </w:p>
          <w:p w14:paraId="163774EA">
            <w:pPr>
              <w:pStyle w:val="6"/>
              <w:spacing w:before="50" w:line="190" w:lineRule="auto"/>
              <w:ind w:left="391"/>
            </w:pPr>
            <w:r>
              <w:rPr>
                <w:i/>
                <w:iCs/>
                <w:spacing w:val="-1"/>
              </w:rPr>
              <w:t>ruficollis</w:t>
            </w:r>
          </w:p>
        </w:tc>
        <w:tc>
          <w:tcPr>
            <w:tcW w:w="989" w:type="dxa"/>
            <w:vAlign w:val="top"/>
          </w:tcPr>
          <w:p w14:paraId="0C1E79F2">
            <w:pPr>
              <w:pStyle w:val="6"/>
              <w:spacing w:before="225" w:line="232" w:lineRule="auto"/>
              <w:ind w:left="445"/>
            </w:pPr>
            <w:r>
              <w:t>5</w:t>
            </w:r>
          </w:p>
        </w:tc>
        <w:tc>
          <w:tcPr>
            <w:tcW w:w="1272" w:type="dxa"/>
            <w:vAlign w:val="top"/>
          </w:tcPr>
          <w:p w14:paraId="6A64FF9E">
            <w:pPr>
              <w:spacing w:before="191" w:line="218" w:lineRule="auto"/>
              <w:ind w:left="331"/>
              <w:rPr>
                <w:rFonts w:ascii="宋体" w:hAnsi="宋体" w:eastAsia="宋体" w:cs="宋体"/>
                <w:sz w:val="21"/>
                <w:szCs w:val="21"/>
              </w:rPr>
            </w:pPr>
            <w:r>
              <w:rPr>
                <w:rFonts w:ascii="宋体" w:hAnsi="宋体" w:eastAsia="宋体" w:cs="宋体"/>
                <w:spacing w:val="-4"/>
                <w:sz w:val="21"/>
                <w:szCs w:val="21"/>
              </w:rPr>
              <w:t>小䴙䴘</w:t>
            </w:r>
          </w:p>
        </w:tc>
        <w:tc>
          <w:tcPr>
            <w:tcW w:w="1693" w:type="dxa"/>
            <w:vAlign w:val="top"/>
          </w:tcPr>
          <w:p w14:paraId="402EF393">
            <w:pPr>
              <w:pStyle w:val="6"/>
              <w:spacing w:before="103" w:line="190" w:lineRule="auto"/>
              <w:ind w:left="327"/>
            </w:pPr>
            <w:r>
              <w:rPr>
                <w:i/>
                <w:iCs/>
                <w:spacing w:val="-2"/>
              </w:rPr>
              <w:t>Tachybaptus</w:t>
            </w:r>
          </w:p>
          <w:p w14:paraId="18222DFF">
            <w:pPr>
              <w:pStyle w:val="6"/>
              <w:spacing w:before="50" w:line="190" w:lineRule="auto"/>
              <w:ind w:left="476"/>
            </w:pPr>
            <w:r>
              <w:rPr>
                <w:i/>
                <w:iCs/>
                <w:spacing w:val="-1"/>
              </w:rPr>
              <w:t>ruficollis</w:t>
            </w:r>
          </w:p>
        </w:tc>
        <w:tc>
          <w:tcPr>
            <w:tcW w:w="845" w:type="dxa"/>
            <w:tcBorders>
              <w:right w:val="single" w:color="000000" w:sz="12" w:space="0"/>
            </w:tcBorders>
            <w:vAlign w:val="top"/>
          </w:tcPr>
          <w:p w14:paraId="7FA678DD">
            <w:pPr>
              <w:rPr>
                <w:rFonts w:ascii="Arial"/>
                <w:sz w:val="21"/>
              </w:rPr>
            </w:pPr>
          </w:p>
        </w:tc>
      </w:tr>
      <w:tr w14:paraId="438CB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61E831BA">
            <w:pPr>
              <w:pStyle w:val="6"/>
              <w:spacing w:before="131" w:line="186" w:lineRule="auto"/>
              <w:ind w:left="276"/>
            </w:pPr>
            <w:r>
              <w:rPr>
                <w:b/>
                <w:bCs/>
                <w:spacing w:val="-3"/>
              </w:rPr>
              <w:t>O4</w:t>
            </w:r>
          </w:p>
        </w:tc>
        <w:tc>
          <w:tcPr>
            <w:tcW w:w="1270" w:type="dxa"/>
            <w:vAlign w:val="top"/>
          </w:tcPr>
          <w:p w14:paraId="6278C4D8">
            <w:pPr>
              <w:spacing w:before="92" w:line="220" w:lineRule="auto"/>
              <w:ind w:left="313"/>
              <w:rPr>
                <w:rFonts w:ascii="宋体" w:hAnsi="宋体" w:eastAsia="宋体" w:cs="宋体"/>
                <w:sz w:val="21"/>
                <w:szCs w:val="21"/>
              </w:rPr>
            </w:pPr>
            <w:r>
              <w:rPr>
                <w:rFonts w:ascii="宋体" w:hAnsi="宋体" w:eastAsia="宋体" w:cs="宋体"/>
                <w:b/>
                <w:bCs/>
                <w:spacing w:val="-4"/>
                <w:sz w:val="21"/>
                <w:szCs w:val="21"/>
              </w:rPr>
              <w:t>鸽形目</w:t>
            </w:r>
          </w:p>
        </w:tc>
        <w:tc>
          <w:tcPr>
            <w:tcW w:w="1554" w:type="dxa"/>
            <w:vAlign w:val="top"/>
          </w:tcPr>
          <w:p w14:paraId="7C8108F1">
            <w:pPr>
              <w:pStyle w:val="6"/>
              <w:spacing w:before="131" w:line="186" w:lineRule="auto"/>
              <w:ind w:left="73"/>
            </w:pPr>
            <w:r>
              <w:rPr>
                <w:b/>
                <w:bCs/>
                <w:spacing w:val="-1"/>
              </w:rPr>
              <w:t>Columbiformes</w:t>
            </w:r>
          </w:p>
        </w:tc>
        <w:tc>
          <w:tcPr>
            <w:tcW w:w="989" w:type="dxa"/>
            <w:vAlign w:val="top"/>
          </w:tcPr>
          <w:p w14:paraId="04E7D16B">
            <w:pPr>
              <w:pStyle w:val="6"/>
              <w:spacing w:before="131" w:line="186" w:lineRule="auto"/>
              <w:ind w:left="362"/>
            </w:pPr>
            <w:r>
              <w:rPr>
                <w:b/>
                <w:bCs/>
                <w:spacing w:val="-3"/>
              </w:rPr>
              <w:t>O4</w:t>
            </w:r>
          </w:p>
        </w:tc>
        <w:tc>
          <w:tcPr>
            <w:tcW w:w="1272" w:type="dxa"/>
            <w:vAlign w:val="top"/>
          </w:tcPr>
          <w:p w14:paraId="54D5B822">
            <w:pPr>
              <w:spacing w:before="92" w:line="220" w:lineRule="auto"/>
              <w:ind w:left="326"/>
              <w:rPr>
                <w:rFonts w:ascii="宋体" w:hAnsi="宋体" w:eastAsia="宋体" w:cs="宋体"/>
                <w:sz w:val="21"/>
                <w:szCs w:val="21"/>
              </w:rPr>
            </w:pPr>
            <w:r>
              <w:rPr>
                <w:rFonts w:ascii="宋体" w:hAnsi="宋体" w:eastAsia="宋体" w:cs="宋体"/>
                <w:b/>
                <w:bCs/>
                <w:spacing w:val="-4"/>
                <w:sz w:val="21"/>
                <w:szCs w:val="21"/>
              </w:rPr>
              <w:t>鸽形目</w:t>
            </w:r>
          </w:p>
        </w:tc>
        <w:tc>
          <w:tcPr>
            <w:tcW w:w="1693" w:type="dxa"/>
            <w:vAlign w:val="top"/>
          </w:tcPr>
          <w:p w14:paraId="5F39C144">
            <w:pPr>
              <w:pStyle w:val="6"/>
              <w:spacing w:before="131" w:line="186" w:lineRule="auto"/>
              <w:ind w:left="158"/>
            </w:pPr>
            <w:r>
              <w:rPr>
                <w:b/>
                <w:bCs/>
                <w:spacing w:val="-1"/>
              </w:rPr>
              <w:t>Columbiformes</w:t>
            </w:r>
          </w:p>
        </w:tc>
        <w:tc>
          <w:tcPr>
            <w:tcW w:w="845" w:type="dxa"/>
            <w:tcBorders>
              <w:right w:val="single" w:color="000000" w:sz="12" w:space="0"/>
            </w:tcBorders>
            <w:vAlign w:val="top"/>
          </w:tcPr>
          <w:p w14:paraId="52036B61">
            <w:pPr>
              <w:rPr>
                <w:rFonts w:ascii="Arial"/>
                <w:sz w:val="21"/>
              </w:rPr>
            </w:pPr>
          </w:p>
        </w:tc>
      </w:tr>
      <w:tr w14:paraId="54880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7CB5A0E4">
            <w:pPr>
              <w:pStyle w:val="6"/>
              <w:spacing w:before="132" w:line="186" w:lineRule="auto"/>
              <w:ind w:left="291"/>
            </w:pPr>
            <w:r>
              <w:rPr>
                <w:b/>
                <w:bCs/>
                <w:spacing w:val="-2"/>
              </w:rPr>
              <w:t>F4</w:t>
            </w:r>
          </w:p>
        </w:tc>
        <w:tc>
          <w:tcPr>
            <w:tcW w:w="1270" w:type="dxa"/>
            <w:vAlign w:val="top"/>
          </w:tcPr>
          <w:p w14:paraId="6D99388E">
            <w:pPr>
              <w:spacing w:before="93" w:line="219" w:lineRule="auto"/>
              <w:ind w:left="311"/>
              <w:rPr>
                <w:rFonts w:ascii="宋体" w:hAnsi="宋体" w:eastAsia="宋体" w:cs="宋体"/>
                <w:sz w:val="21"/>
                <w:szCs w:val="21"/>
              </w:rPr>
            </w:pPr>
            <w:r>
              <w:rPr>
                <w:rFonts w:ascii="宋体" w:hAnsi="宋体" w:eastAsia="宋体" w:cs="宋体"/>
                <w:b/>
                <w:bCs/>
                <w:spacing w:val="-4"/>
                <w:sz w:val="21"/>
                <w:szCs w:val="21"/>
              </w:rPr>
              <w:t>鸠鸽科</w:t>
            </w:r>
          </w:p>
        </w:tc>
        <w:tc>
          <w:tcPr>
            <w:tcW w:w="1554" w:type="dxa"/>
            <w:vAlign w:val="top"/>
          </w:tcPr>
          <w:p w14:paraId="07F9C51F">
            <w:pPr>
              <w:pStyle w:val="6"/>
              <w:spacing w:before="132" w:line="186" w:lineRule="auto"/>
              <w:ind w:left="226"/>
            </w:pPr>
            <w:r>
              <w:rPr>
                <w:b/>
                <w:bCs/>
                <w:spacing w:val="-1"/>
              </w:rPr>
              <w:t>Columbidae</w:t>
            </w:r>
          </w:p>
        </w:tc>
        <w:tc>
          <w:tcPr>
            <w:tcW w:w="989" w:type="dxa"/>
            <w:vAlign w:val="top"/>
          </w:tcPr>
          <w:p w14:paraId="5F712118">
            <w:pPr>
              <w:pStyle w:val="6"/>
              <w:spacing w:before="132" w:line="186" w:lineRule="auto"/>
              <w:ind w:left="376"/>
            </w:pPr>
            <w:r>
              <w:rPr>
                <w:b/>
                <w:bCs/>
                <w:spacing w:val="-2"/>
              </w:rPr>
              <w:t>F4</w:t>
            </w:r>
          </w:p>
        </w:tc>
        <w:tc>
          <w:tcPr>
            <w:tcW w:w="1272" w:type="dxa"/>
            <w:vAlign w:val="top"/>
          </w:tcPr>
          <w:p w14:paraId="4A0974AE">
            <w:pPr>
              <w:spacing w:before="93" w:line="219" w:lineRule="auto"/>
              <w:ind w:left="324"/>
              <w:rPr>
                <w:rFonts w:ascii="宋体" w:hAnsi="宋体" w:eastAsia="宋体" w:cs="宋体"/>
                <w:sz w:val="21"/>
                <w:szCs w:val="21"/>
              </w:rPr>
            </w:pPr>
            <w:r>
              <w:rPr>
                <w:rFonts w:ascii="宋体" w:hAnsi="宋体" w:eastAsia="宋体" w:cs="宋体"/>
                <w:b/>
                <w:bCs/>
                <w:spacing w:val="-4"/>
                <w:sz w:val="21"/>
                <w:szCs w:val="21"/>
              </w:rPr>
              <w:t>鸠鸽科</w:t>
            </w:r>
          </w:p>
        </w:tc>
        <w:tc>
          <w:tcPr>
            <w:tcW w:w="1693" w:type="dxa"/>
            <w:vAlign w:val="top"/>
          </w:tcPr>
          <w:p w14:paraId="2E6B880E">
            <w:pPr>
              <w:pStyle w:val="6"/>
              <w:spacing w:before="132" w:line="186" w:lineRule="auto"/>
              <w:ind w:left="310"/>
            </w:pPr>
            <w:r>
              <w:rPr>
                <w:b/>
                <w:bCs/>
                <w:spacing w:val="-1"/>
              </w:rPr>
              <w:t>Columbidae</w:t>
            </w:r>
          </w:p>
        </w:tc>
        <w:tc>
          <w:tcPr>
            <w:tcW w:w="845" w:type="dxa"/>
            <w:tcBorders>
              <w:right w:val="single" w:color="000000" w:sz="12" w:space="0"/>
            </w:tcBorders>
            <w:vAlign w:val="top"/>
          </w:tcPr>
          <w:p w14:paraId="053BF4B7">
            <w:pPr>
              <w:rPr>
                <w:rFonts w:ascii="Arial"/>
                <w:sz w:val="21"/>
              </w:rPr>
            </w:pPr>
          </w:p>
        </w:tc>
      </w:tr>
      <w:tr w14:paraId="5C6E1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3B3289D">
            <w:pPr>
              <w:pStyle w:val="6"/>
              <w:spacing w:before="229" w:line="232" w:lineRule="auto"/>
              <w:ind w:left="323"/>
            </w:pPr>
            <w:r>
              <w:rPr>
                <w:spacing w:val="-6"/>
              </w:rPr>
              <w:t>10</w:t>
            </w:r>
          </w:p>
        </w:tc>
        <w:tc>
          <w:tcPr>
            <w:tcW w:w="1270" w:type="dxa"/>
            <w:vAlign w:val="top"/>
          </w:tcPr>
          <w:p w14:paraId="58B6CE9B">
            <w:pPr>
              <w:spacing w:before="194" w:line="220" w:lineRule="auto"/>
              <w:ind w:left="312"/>
              <w:rPr>
                <w:rFonts w:ascii="宋体" w:hAnsi="宋体" w:eastAsia="宋体" w:cs="宋体"/>
                <w:sz w:val="21"/>
                <w:szCs w:val="21"/>
              </w:rPr>
            </w:pPr>
            <w:r>
              <w:rPr>
                <w:rFonts w:ascii="宋体" w:hAnsi="宋体" w:eastAsia="宋体" w:cs="宋体"/>
                <w:spacing w:val="-2"/>
                <w:sz w:val="21"/>
                <w:szCs w:val="21"/>
              </w:rPr>
              <w:t>斑林鸽</w:t>
            </w:r>
          </w:p>
        </w:tc>
        <w:tc>
          <w:tcPr>
            <w:tcW w:w="1554" w:type="dxa"/>
            <w:vAlign w:val="top"/>
          </w:tcPr>
          <w:p w14:paraId="3FA5BC36">
            <w:pPr>
              <w:pStyle w:val="6"/>
              <w:spacing w:before="107" w:line="190" w:lineRule="auto"/>
              <w:ind w:left="395"/>
            </w:pPr>
            <w:r>
              <w:rPr>
                <w:i/>
                <w:iCs/>
                <w:spacing w:val="-2"/>
              </w:rPr>
              <w:t>Columba</w:t>
            </w:r>
          </w:p>
          <w:p w14:paraId="1DE81D92">
            <w:pPr>
              <w:pStyle w:val="6"/>
              <w:spacing w:before="50" w:line="190" w:lineRule="auto"/>
              <w:ind w:left="356"/>
            </w:pPr>
            <w:r>
              <w:rPr>
                <w:i/>
                <w:iCs/>
                <w:spacing w:val="-1"/>
              </w:rPr>
              <w:t>hodgsonii</w:t>
            </w:r>
          </w:p>
        </w:tc>
        <w:tc>
          <w:tcPr>
            <w:tcW w:w="989" w:type="dxa"/>
            <w:vAlign w:val="top"/>
          </w:tcPr>
          <w:p w14:paraId="2923AD3F">
            <w:pPr>
              <w:rPr>
                <w:rFonts w:ascii="Arial"/>
                <w:sz w:val="21"/>
              </w:rPr>
            </w:pPr>
          </w:p>
        </w:tc>
        <w:tc>
          <w:tcPr>
            <w:tcW w:w="1272" w:type="dxa"/>
            <w:vAlign w:val="top"/>
          </w:tcPr>
          <w:p w14:paraId="5E046BB2">
            <w:pPr>
              <w:rPr>
                <w:rFonts w:ascii="Arial"/>
                <w:sz w:val="21"/>
              </w:rPr>
            </w:pPr>
          </w:p>
        </w:tc>
        <w:tc>
          <w:tcPr>
            <w:tcW w:w="1693" w:type="dxa"/>
            <w:vAlign w:val="top"/>
          </w:tcPr>
          <w:p w14:paraId="03DB9346">
            <w:pPr>
              <w:rPr>
                <w:rFonts w:ascii="Arial"/>
                <w:sz w:val="21"/>
              </w:rPr>
            </w:pPr>
          </w:p>
        </w:tc>
        <w:tc>
          <w:tcPr>
            <w:tcW w:w="845" w:type="dxa"/>
            <w:tcBorders>
              <w:right w:val="single" w:color="000000" w:sz="12" w:space="0"/>
            </w:tcBorders>
            <w:vAlign w:val="top"/>
          </w:tcPr>
          <w:p w14:paraId="43D6E387">
            <w:pPr>
              <w:rPr>
                <w:rFonts w:ascii="Arial"/>
                <w:sz w:val="21"/>
              </w:rPr>
            </w:pPr>
          </w:p>
        </w:tc>
      </w:tr>
      <w:tr w14:paraId="7F8D3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DB6F072">
            <w:pPr>
              <w:pStyle w:val="6"/>
              <w:spacing w:before="228" w:line="235" w:lineRule="auto"/>
              <w:ind w:left="323"/>
            </w:pPr>
            <w:r>
              <w:rPr>
                <w:spacing w:val="-6"/>
              </w:rPr>
              <w:t>11</w:t>
            </w:r>
          </w:p>
        </w:tc>
        <w:tc>
          <w:tcPr>
            <w:tcW w:w="1270" w:type="dxa"/>
            <w:vAlign w:val="top"/>
          </w:tcPr>
          <w:p w14:paraId="5B164BDD">
            <w:pPr>
              <w:spacing w:before="195" w:line="220" w:lineRule="auto"/>
              <w:ind w:left="331"/>
              <w:rPr>
                <w:rFonts w:ascii="宋体" w:hAnsi="宋体" w:eastAsia="宋体" w:cs="宋体"/>
                <w:sz w:val="21"/>
                <w:szCs w:val="21"/>
              </w:rPr>
            </w:pPr>
            <w:r>
              <w:rPr>
                <w:rFonts w:ascii="宋体" w:hAnsi="宋体" w:eastAsia="宋体" w:cs="宋体"/>
                <w:spacing w:val="-7"/>
                <w:sz w:val="21"/>
                <w:szCs w:val="21"/>
              </w:rPr>
              <w:t>山斑鸠</w:t>
            </w:r>
          </w:p>
        </w:tc>
        <w:tc>
          <w:tcPr>
            <w:tcW w:w="1554" w:type="dxa"/>
            <w:vAlign w:val="top"/>
          </w:tcPr>
          <w:p w14:paraId="4636D752">
            <w:pPr>
              <w:pStyle w:val="6"/>
              <w:spacing w:before="109" w:line="190" w:lineRule="auto"/>
              <w:ind w:left="254"/>
            </w:pPr>
            <w:r>
              <w:rPr>
                <w:i/>
                <w:iCs/>
                <w:spacing w:val="-1"/>
              </w:rPr>
              <w:t>Streptopelia</w:t>
            </w:r>
          </w:p>
          <w:p w14:paraId="5AC00661">
            <w:pPr>
              <w:pStyle w:val="6"/>
              <w:spacing w:before="49" w:line="205" w:lineRule="auto"/>
              <w:ind w:left="369"/>
            </w:pPr>
            <w:r>
              <w:rPr>
                <w:i/>
                <w:iCs/>
                <w:spacing w:val="-1"/>
              </w:rPr>
              <w:t>orientalis</w:t>
            </w:r>
          </w:p>
        </w:tc>
        <w:tc>
          <w:tcPr>
            <w:tcW w:w="989" w:type="dxa"/>
            <w:vAlign w:val="top"/>
          </w:tcPr>
          <w:p w14:paraId="084745F4">
            <w:pPr>
              <w:pStyle w:val="6"/>
              <w:spacing w:before="229" w:line="232" w:lineRule="auto"/>
              <w:ind w:left="444"/>
            </w:pPr>
            <w:r>
              <w:t>6</w:t>
            </w:r>
          </w:p>
        </w:tc>
        <w:tc>
          <w:tcPr>
            <w:tcW w:w="1272" w:type="dxa"/>
            <w:vAlign w:val="top"/>
          </w:tcPr>
          <w:p w14:paraId="785B8EE5">
            <w:pPr>
              <w:spacing w:before="195" w:line="220" w:lineRule="auto"/>
              <w:ind w:left="344"/>
              <w:rPr>
                <w:rFonts w:ascii="宋体" w:hAnsi="宋体" w:eastAsia="宋体" w:cs="宋体"/>
                <w:sz w:val="21"/>
                <w:szCs w:val="21"/>
              </w:rPr>
            </w:pPr>
            <w:r>
              <w:rPr>
                <w:rFonts w:ascii="宋体" w:hAnsi="宋体" w:eastAsia="宋体" w:cs="宋体"/>
                <w:spacing w:val="-7"/>
                <w:sz w:val="21"/>
                <w:szCs w:val="21"/>
              </w:rPr>
              <w:t>山斑鸠</w:t>
            </w:r>
          </w:p>
        </w:tc>
        <w:tc>
          <w:tcPr>
            <w:tcW w:w="1693" w:type="dxa"/>
            <w:vAlign w:val="top"/>
          </w:tcPr>
          <w:p w14:paraId="01E58FBD">
            <w:pPr>
              <w:pStyle w:val="6"/>
              <w:spacing w:before="109" w:line="190" w:lineRule="auto"/>
              <w:ind w:left="338"/>
            </w:pPr>
            <w:r>
              <w:rPr>
                <w:i/>
                <w:iCs/>
                <w:spacing w:val="-1"/>
              </w:rPr>
              <w:t>Streptopelia</w:t>
            </w:r>
          </w:p>
          <w:p w14:paraId="2371ADD4">
            <w:pPr>
              <w:pStyle w:val="6"/>
              <w:spacing w:before="49" w:line="205" w:lineRule="auto"/>
              <w:ind w:left="453"/>
            </w:pPr>
            <w:r>
              <w:rPr>
                <w:i/>
                <w:iCs/>
                <w:spacing w:val="-1"/>
              </w:rPr>
              <w:t>orientalis</w:t>
            </w:r>
          </w:p>
        </w:tc>
        <w:tc>
          <w:tcPr>
            <w:tcW w:w="845" w:type="dxa"/>
            <w:tcBorders>
              <w:right w:val="single" w:color="000000" w:sz="12" w:space="0"/>
            </w:tcBorders>
            <w:vAlign w:val="top"/>
          </w:tcPr>
          <w:p w14:paraId="7D41C1F1">
            <w:pPr>
              <w:rPr>
                <w:rFonts w:ascii="Arial"/>
                <w:sz w:val="21"/>
              </w:rPr>
            </w:pPr>
          </w:p>
        </w:tc>
      </w:tr>
      <w:tr w14:paraId="6DB0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DB56E86">
            <w:pPr>
              <w:pStyle w:val="6"/>
              <w:spacing w:before="231" w:line="235" w:lineRule="auto"/>
              <w:ind w:left="323"/>
            </w:pPr>
            <w:r>
              <w:rPr>
                <w:spacing w:val="-6"/>
              </w:rPr>
              <w:t>12</w:t>
            </w:r>
          </w:p>
        </w:tc>
        <w:tc>
          <w:tcPr>
            <w:tcW w:w="1270" w:type="dxa"/>
            <w:vAlign w:val="top"/>
          </w:tcPr>
          <w:p w14:paraId="1B989BC8">
            <w:pPr>
              <w:spacing w:before="197" w:line="220" w:lineRule="auto"/>
              <w:ind w:left="314"/>
              <w:rPr>
                <w:rFonts w:ascii="宋体" w:hAnsi="宋体" w:eastAsia="宋体" w:cs="宋体"/>
                <w:sz w:val="21"/>
                <w:szCs w:val="21"/>
              </w:rPr>
            </w:pPr>
            <w:r>
              <w:rPr>
                <w:rFonts w:ascii="宋体" w:hAnsi="宋体" w:eastAsia="宋体" w:cs="宋体"/>
                <w:spacing w:val="-3"/>
                <w:sz w:val="21"/>
                <w:szCs w:val="21"/>
              </w:rPr>
              <w:t>火斑鸠</w:t>
            </w:r>
          </w:p>
        </w:tc>
        <w:tc>
          <w:tcPr>
            <w:tcW w:w="1554" w:type="dxa"/>
            <w:vAlign w:val="top"/>
          </w:tcPr>
          <w:p w14:paraId="7B369333">
            <w:pPr>
              <w:pStyle w:val="6"/>
              <w:spacing w:before="110" w:line="190" w:lineRule="auto"/>
              <w:ind w:left="254"/>
            </w:pPr>
            <w:r>
              <w:rPr>
                <w:i/>
                <w:iCs/>
                <w:spacing w:val="-1"/>
              </w:rPr>
              <w:t>Streptopelia</w:t>
            </w:r>
          </w:p>
          <w:p w14:paraId="4803D651">
            <w:pPr>
              <w:pStyle w:val="6"/>
              <w:spacing w:before="50" w:line="190" w:lineRule="auto"/>
              <w:ind w:left="173"/>
            </w:pPr>
            <w:r>
              <w:rPr>
                <w:i/>
                <w:iCs/>
                <w:spacing w:val="-1"/>
              </w:rPr>
              <w:t>tranquebarica</w:t>
            </w:r>
          </w:p>
        </w:tc>
        <w:tc>
          <w:tcPr>
            <w:tcW w:w="989" w:type="dxa"/>
            <w:vAlign w:val="top"/>
          </w:tcPr>
          <w:p w14:paraId="0715947B">
            <w:pPr>
              <w:rPr>
                <w:rFonts w:ascii="Arial"/>
                <w:sz w:val="21"/>
              </w:rPr>
            </w:pPr>
          </w:p>
        </w:tc>
        <w:tc>
          <w:tcPr>
            <w:tcW w:w="1272" w:type="dxa"/>
            <w:vAlign w:val="top"/>
          </w:tcPr>
          <w:p w14:paraId="4250C0B3">
            <w:pPr>
              <w:rPr>
                <w:rFonts w:ascii="Arial"/>
                <w:sz w:val="21"/>
              </w:rPr>
            </w:pPr>
          </w:p>
        </w:tc>
        <w:tc>
          <w:tcPr>
            <w:tcW w:w="1693" w:type="dxa"/>
            <w:vAlign w:val="top"/>
          </w:tcPr>
          <w:p w14:paraId="0AB6EA32">
            <w:pPr>
              <w:rPr>
                <w:rFonts w:ascii="Arial"/>
                <w:sz w:val="21"/>
              </w:rPr>
            </w:pPr>
          </w:p>
        </w:tc>
        <w:tc>
          <w:tcPr>
            <w:tcW w:w="845" w:type="dxa"/>
            <w:tcBorders>
              <w:right w:val="single" w:color="000000" w:sz="12" w:space="0"/>
            </w:tcBorders>
            <w:vAlign w:val="top"/>
          </w:tcPr>
          <w:p w14:paraId="5340F6BD">
            <w:pPr>
              <w:rPr>
                <w:rFonts w:ascii="Arial"/>
                <w:sz w:val="21"/>
              </w:rPr>
            </w:pPr>
          </w:p>
        </w:tc>
      </w:tr>
      <w:tr w14:paraId="1C121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B4AF5F5">
            <w:pPr>
              <w:pStyle w:val="6"/>
              <w:spacing w:before="232" w:line="232" w:lineRule="auto"/>
              <w:ind w:left="323"/>
            </w:pPr>
            <w:r>
              <w:rPr>
                <w:spacing w:val="-6"/>
              </w:rPr>
              <w:t>13</w:t>
            </w:r>
          </w:p>
        </w:tc>
        <w:tc>
          <w:tcPr>
            <w:tcW w:w="1270" w:type="dxa"/>
            <w:vAlign w:val="top"/>
          </w:tcPr>
          <w:p w14:paraId="5CFBE673">
            <w:pPr>
              <w:spacing w:before="199" w:line="220" w:lineRule="auto"/>
              <w:ind w:left="208"/>
              <w:rPr>
                <w:rFonts w:ascii="宋体" w:hAnsi="宋体" w:eastAsia="宋体" w:cs="宋体"/>
                <w:sz w:val="21"/>
                <w:szCs w:val="21"/>
              </w:rPr>
            </w:pPr>
            <w:r>
              <w:rPr>
                <w:rFonts w:ascii="宋体" w:hAnsi="宋体" w:eastAsia="宋体" w:cs="宋体"/>
                <w:spacing w:val="-2"/>
                <w:sz w:val="21"/>
                <w:szCs w:val="21"/>
              </w:rPr>
              <w:t>珠颈斑鸠</w:t>
            </w:r>
          </w:p>
        </w:tc>
        <w:tc>
          <w:tcPr>
            <w:tcW w:w="1554" w:type="dxa"/>
            <w:vAlign w:val="top"/>
          </w:tcPr>
          <w:p w14:paraId="044295A3">
            <w:pPr>
              <w:pStyle w:val="6"/>
              <w:spacing w:before="111" w:line="190" w:lineRule="auto"/>
              <w:ind w:left="254"/>
            </w:pPr>
            <w:r>
              <w:rPr>
                <w:i/>
                <w:iCs/>
                <w:spacing w:val="-1"/>
              </w:rPr>
              <w:t>Streptopelia</w:t>
            </w:r>
          </w:p>
          <w:p w14:paraId="5D93E57D">
            <w:pPr>
              <w:pStyle w:val="6"/>
              <w:spacing w:before="49" w:line="203" w:lineRule="auto"/>
              <w:ind w:left="380"/>
            </w:pPr>
            <w:r>
              <w:rPr>
                <w:i/>
                <w:iCs/>
                <w:spacing w:val="-1"/>
              </w:rPr>
              <w:t>chinensis</w:t>
            </w:r>
          </w:p>
        </w:tc>
        <w:tc>
          <w:tcPr>
            <w:tcW w:w="989" w:type="dxa"/>
            <w:vAlign w:val="top"/>
          </w:tcPr>
          <w:p w14:paraId="57186C61">
            <w:pPr>
              <w:pStyle w:val="6"/>
              <w:spacing w:before="231" w:line="232" w:lineRule="auto"/>
              <w:ind w:left="443"/>
            </w:pPr>
            <w:r>
              <w:t>7</w:t>
            </w:r>
          </w:p>
        </w:tc>
        <w:tc>
          <w:tcPr>
            <w:tcW w:w="1272" w:type="dxa"/>
            <w:vAlign w:val="top"/>
          </w:tcPr>
          <w:p w14:paraId="250CB7D7">
            <w:pPr>
              <w:spacing w:before="199" w:line="220" w:lineRule="auto"/>
              <w:ind w:left="222"/>
              <w:rPr>
                <w:rFonts w:ascii="宋体" w:hAnsi="宋体" w:eastAsia="宋体" w:cs="宋体"/>
                <w:sz w:val="21"/>
                <w:szCs w:val="21"/>
              </w:rPr>
            </w:pPr>
            <w:r>
              <w:rPr>
                <w:rFonts w:ascii="宋体" w:hAnsi="宋体" w:eastAsia="宋体" w:cs="宋体"/>
                <w:spacing w:val="-2"/>
                <w:sz w:val="21"/>
                <w:szCs w:val="21"/>
              </w:rPr>
              <w:t>珠颈斑鸠</w:t>
            </w:r>
          </w:p>
        </w:tc>
        <w:tc>
          <w:tcPr>
            <w:tcW w:w="1693" w:type="dxa"/>
            <w:vAlign w:val="top"/>
          </w:tcPr>
          <w:p w14:paraId="2B32C791">
            <w:pPr>
              <w:pStyle w:val="6"/>
              <w:spacing w:before="111" w:line="190" w:lineRule="auto"/>
              <w:ind w:left="338"/>
            </w:pPr>
            <w:r>
              <w:rPr>
                <w:i/>
                <w:iCs/>
                <w:spacing w:val="-1"/>
              </w:rPr>
              <w:t>Streptopelia</w:t>
            </w:r>
          </w:p>
          <w:p w14:paraId="5FEEC59E">
            <w:pPr>
              <w:pStyle w:val="6"/>
              <w:spacing w:before="49" w:line="203" w:lineRule="auto"/>
              <w:ind w:left="465"/>
            </w:pPr>
            <w:r>
              <w:rPr>
                <w:i/>
                <w:iCs/>
                <w:spacing w:val="-1"/>
              </w:rPr>
              <w:t>chinensis</w:t>
            </w:r>
          </w:p>
        </w:tc>
        <w:tc>
          <w:tcPr>
            <w:tcW w:w="845" w:type="dxa"/>
            <w:tcBorders>
              <w:right w:val="single" w:color="000000" w:sz="12" w:space="0"/>
            </w:tcBorders>
            <w:vAlign w:val="top"/>
          </w:tcPr>
          <w:p w14:paraId="65146803">
            <w:pPr>
              <w:rPr>
                <w:rFonts w:ascii="Arial"/>
                <w:sz w:val="21"/>
              </w:rPr>
            </w:pPr>
          </w:p>
        </w:tc>
      </w:tr>
      <w:tr w14:paraId="78BD0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44C91D38">
            <w:pPr>
              <w:pStyle w:val="6"/>
              <w:spacing w:before="237" w:line="186" w:lineRule="auto"/>
              <w:ind w:left="276"/>
            </w:pPr>
            <w:r>
              <w:rPr>
                <w:b/>
                <w:bCs/>
                <w:spacing w:val="-3"/>
              </w:rPr>
              <w:t>O5</w:t>
            </w:r>
          </w:p>
        </w:tc>
        <w:tc>
          <w:tcPr>
            <w:tcW w:w="1270" w:type="dxa"/>
            <w:vAlign w:val="top"/>
          </w:tcPr>
          <w:p w14:paraId="5CD64280">
            <w:pPr>
              <w:spacing w:before="198" w:line="220" w:lineRule="auto"/>
              <w:ind w:left="315"/>
              <w:rPr>
                <w:rFonts w:ascii="宋体" w:hAnsi="宋体" w:eastAsia="宋体" w:cs="宋体"/>
                <w:sz w:val="21"/>
                <w:szCs w:val="21"/>
              </w:rPr>
            </w:pPr>
            <w:r>
              <w:rPr>
                <w:rFonts w:ascii="宋体" w:hAnsi="宋体" w:eastAsia="宋体" w:cs="宋体"/>
                <w:b/>
                <w:bCs/>
                <w:spacing w:val="-5"/>
                <w:sz w:val="21"/>
                <w:szCs w:val="21"/>
              </w:rPr>
              <w:t>夜鹰目</w:t>
            </w:r>
          </w:p>
        </w:tc>
        <w:tc>
          <w:tcPr>
            <w:tcW w:w="1554" w:type="dxa"/>
            <w:vAlign w:val="top"/>
          </w:tcPr>
          <w:p w14:paraId="0CE0A81D">
            <w:pPr>
              <w:pStyle w:val="6"/>
              <w:spacing w:before="116" w:line="186" w:lineRule="auto"/>
              <w:ind w:left="120"/>
            </w:pPr>
            <w:r>
              <w:rPr>
                <w:b/>
                <w:bCs/>
                <w:spacing w:val="-1"/>
              </w:rPr>
              <w:t>Caprimulgifor</w:t>
            </w:r>
          </w:p>
          <w:p w14:paraId="2AAB0C34">
            <w:pPr>
              <w:pStyle w:val="6"/>
              <w:spacing w:before="54" w:line="196" w:lineRule="auto"/>
              <w:ind w:left="598"/>
            </w:pPr>
            <w:r>
              <w:rPr>
                <w:b/>
                <w:bCs/>
                <w:spacing w:val="-2"/>
              </w:rPr>
              <w:t>mes</w:t>
            </w:r>
          </w:p>
        </w:tc>
        <w:tc>
          <w:tcPr>
            <w:tcW w:w="989" w:type="dxa"/>
            <w:vAlign w:val="top"/>
          </w:tcPr>
          <w:p w14:paraId="17329751">
            <w:pPr>
              <w:pStyle w:val="6"/>
              <w:spacing w:before="237" w:line="186" w:lineRule="auto"/>
              <w:ind w:left="362"/>
            </w:pPr>
            <w:r>
              <w:rPr>
                <w:b/>
                <w:bCs/>
                <w:spacing w:val="-3"/>
              </w:rPr>
              <w:t>O5</w:t>
            </w:r>
          </w:p>
        </w:tc>
        <w:tc>
          <w:tcPr>
            <w:tcW w:w="1272" w:type="dxa"/>
            <w:vAlign w:val="top"/>
          </w:tcPr>
          <w:p w14:paraId="05EEF5B9">
            <w:pPr>
              <w:spacing w:before="198" w:line="220" w:lineRule="auto"/>
              <w:ind w:left="328"/>
              <w:rPr>
                <w:rFonts w:ascii="宋体" w:hAnsi="宋体" w:eastAsia="宋体" w:cs="宋体"/>
                <w:sz w:val="21"/>
                <w:szCs w:val="21"/>
              </w:rPr>
            </w:pPr>
            <w:r>
              <w:rPr>
                <w:rFonts w:ascii="宋体" w:hAnsi="宋体" w:eastAsia="宋体" w:cs="宋体"/>
                <w:b/>
                <w:bCs/>
                <w:spacing w:val="-5"/>
                <w:sz w:val="21"/>
                <w:szCs w:val="21"/>
              </w:rPr>
              <w:t>夜鹰目</w:t>
            </w:r>
          </w:p>
        </w:tc>
        <w:tc>
          <w:tcPr>
            <w:tcW w:w="1693" w:type="dxa"/>
            <w:vAlign w:val="top"/>
          </w:tcPr>
          <w:p w14:paraId="0DF66C5C">
            <w:pPr>
              <w:pStyle w:val="6"/>
              <w:spacing w:before="116" w:line="186" w:lineRule="auto"/>
              <w:ind w:left="71"/>
            </w:pPr>
            <w:r>
              <w:rPr>
                <w:b/>
                <w:bCs/>
                <w:spacing w:val="-1"/>
              </w:rPr>
              <w:t>Caprimulgiforme</w:t>
            </w:r>
          </w:p>
          <w:p w14:paraId="64CD2F8D">
            <w:pPr>
              <w:pStyle w:val="6"/>
              <w:spacing w:before="54" w:line="196" w:lineRule="auto"/>
              <w:ind w:left="818"/>
            </w:pPr>
            <w:r>
              <w:rPr>
                <w:b/>
                <w:bCs/>
              </w:rPr>
              <w:t>s</w:t>
            </w:r>
          </w:p>
        </w:tc>
        <w:tc>
          <w:tcPr>
            <w:tcW w:w="845" w:type="dxa"/>
            <w:tcBorders>
              <w:right w:val="single" w:color="000000" w:sz="12" w:space="0"/>
            </w:tcBorders>
            <w:vAlign w:val="top"/>
          </w:tcPr>
          <w:p w14:paraId="712E418F">
            <w:pPr>
              <w:rPr>
                <w:rFonts w:ascii="Arial"/>
                <w:sz w:val="21"/>
              </w:rPr>
            </w:pPr>
          </w:p>
        </w:tc>
      </w:tr>
      <w:tr w14:paraId="54E3A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E29B649">
            <w:pPr>
              <w:pStyle w:val="6"/>
              <w:spacing w:before="138" w:line="183" w:lineRule="auto"/>
              <w:ind w:left="291"/>
            </w:pPr>
            <w:r>
              <w:rPr>
                <w:b/>
                <w:bCs/>
                <w:spacing w:val="-2"/>
              </w:rPr>
              <w:t>F5</w:t>
            </w:r>
          </w:p>
        </w:tc>
        <w:tc>
          <w:tcPr>
            <w:tcW w:w="1270" w:type="dxa"/>
            <w:vAlign w:val="top"/>
          </w:tcPr>
          <w:p w14:paraId="2E489D6C">
            <w:pPr>
              <w:spacing w:before="96" w:line="219" w:lineRule="auto"/>
              <w:ind w:left="315"/>
              <w:rPr>
                <w:rFonts w:ascii="宋体" w:hAnsi="宋体" w:eastAsia="宋体" w:cs="宋体"/>
                <w:sz w:val="21"/>
                <w:szCs w:val="21"/>
              </w:rPr>
            </w:pPr>
            <w:r>
              <w:rPr>
                <w:rFonts w:ascii="宋体" w:hAnsi="宋体" w:eastAsia="宋体" w:cs="宋体"/>
                <w:b/>
                <w:bCs/>
                <w:spacing w:val="-5"/>
                <w:sz w:val="21"/>
                <w:szCs w:val="21"/>
              </w:rPr>
              <w:t>夜鹰科</w:t>
            </w:r>
          </w:p>
        </w:tc>
        <w:tc>
          <w:tcPr>
            <w:tcW w:w="1554" w:type="dxa"/>
            <w:vAlign w:val="top"/>
          </w:tcPr>
          <w:p w14:paraId="0208658F">
            <w:pPr>
              <w:pStyle w:val="6"/>
              <w:spacing w:before="135" w:line="186" w:lineRule="auto"/>
              <w:ind w:left="97"/>
            </w:pPr>
            <w:r>
              <w:rPr>
                <w:b/>
                <w:bCs/>
                <w:spacing w:val="-1"/>
              </w:rPr>
              <w:t>Caprimulgidae</w:t>
            </w:r>
          </w:p>
        </w:tc>
        <w:tc>
          <w:tcPr>
            <w:tcW w:w="989" w:type="dxa"/>
            <w:vAlign w:val="top"/>
          </w:tcPr>
          <w:p w14:paraId="1E8F7E03">
            <w:pPr>
              <w:pStyle w:val="6"/>
              <w:spacing w:before="138" w:line="183" w:lineRule="auto"/>
              <w:ind w:left="376"/>
            </w:pPr>
            <w:r>
              <w:rPr>
                <w:b/>
                <w:bCs/>
                <w:spacing w:val="-2"/>
              </w:rPr>
              <w:t>F5</w:t>
            </w:r>
          </w:p>
        </w:tc>
        <w:tc>
          <w:tcPr>
            <w:tcW w:w="1272" w:type="dxa"/>
            <w:vAlign w:val="top"/>
          </w:tcPr>
          <w:p w14:paraId="1C3F86BE">
            <w:pPr>
              <w:spacing w:before="96" w:line="219" w:lineRule="auto"/>
              <w:ind w:left="328"/>
              <w:rPr>
                <w:rFonts w:ascii="宋体" w:hAnsi="宋体" w:eastAsia="宋体" w:cs="宋体"/>
                <w:sz w:val="21"/>
                <w:szCs w:val="21"/>
              </w:rPr>
            </w:pPr>
            <w:r>
              <w:rPr>
                <w:rFonts w:ascii="宋体" w:hAnsi="宋体" w:eastAsia="宋体" w:cs="宋体"/>
                <w:b/>
                <w:bCs/>
                <w:spacing w:val="-5"/>
                <w:sz w:val="21"/>
                <w:szCs w:val="21"/>
              </w:rPr>
              <w:t>夜鹰科</w:t>
            </w:r>
          </w:p>
        </w:tc>
        <w:tc>
          <w:tcPr>
            <w:tcW w:w="1693" w:type="dxa"/>
            <w:vAlign w:val="top"/>
          </w:tcPr>
          <w:p w14:paraId="3FB06FDD">
            <w:pPr>
              <w:pStyle w:val="6"/>
              <w:spacing w:before="135" w:line="186" w:lineRule="auto"/>
              <w:ind w:left="182"/>
            </w:pPr>
            <w:r>
              <w:rPr>
                <w:b/>
                <w:bCs/>
                <w:spacing w:val="-1"/>
              </w:rPr>
              <w:t>Caprimulgidae</w:t>
            </w:r>
          </w:p>
        </w:tc>
        <w:tc>
          <w:tcPr>
            <w:tcW w:w="845" w:type="dxa"/>
            <w:tcBorders>
              <w:right w:val="single" w:color="000000" w:sz="12" w:space="0"/>
            </w:tcBorders>
            <w:vAlign w:val="top"/>
          </w:tcPr>
          <w:p w14:paraId="58D472B5">
            <w:pPr>
              <w:rPr>
                <w:rFonts w:ascii="Arial"/>
                <w:sz w:val="21"/>
              </w:rPr>
            </w:pPr>
          </w:p>
        </w:tc>
      </w:tr>
      <w:tr w14:paraId="7DB9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1E2365B6">
            <w:pPr>
              <w:pStyle w:val="6"/>
              <w:spacing w:before="236" w:line="235" w:lineRule="auto"/>
              <w:ind w:left="323"/>
            </w:pPr>
            <w:r>
              <w:rPr>
                <w:spacing w:val="-6"/>
              </w:rPr>
              <w:t>14</w:t>
            </w:r>
          </w:p>
        </w:tc>
        <w:tc>
          <w:tcPr>
            <w:tcW w:w="1270" w:type="dxa"/>
            <w:tcBorders>
              <w:bottom w:val="single" w:color="000000" w:sz="12" w:space="0"/>
            </w:tcBorders>
            <w:vAlign w:val="top"/>
          </w:tcPr>
          <w:p w14:paraId="59B6A611">
            <w:pPr>
              <w:spacing w:before="202" w:line="220" w:lineRule="auto"/>
              <w:ind w:left="206"/>
              <w:rPr>
                <w:rFonts w:ascii="宋体" w:hAnsi="宋体" w:eastAsia="宋体" w:cs="宋体"/>
                <w:sz w:val="21"/>
                <w:szCs w:val="21"/>
              </w:rPr>
            </w:pPr>
            <w:r>
              <w:rPr>
                <w:rFonts w:ascii="宋体" w:hAnsi="宋体" w:eastAsia="宋体" w:cs="宋体"/>
                <w:spacing w:val="-2"/>
                <w:sz w:val="21"/>
                <w:szCs w:val="21"/>
              </w:rPr>
              <w:t>普通夜鹰</w:t>
            </w:r>
          </w:p>
        </w:tc>
        <w:tc>
          <w:tcPr>
            <w:tcW w:w="1554" w:type="dxa"/>
            <w:tcBorders>
              <w:bottom w:val="single" w:color="000000" w:sz="12" w:space="0"/>
            </w:tcBorders>
            <w:vAlign w:val="top"/>
          </w:tcPr>
          <w:p w14:paraId="3198FA56">
            <w:pPr>
              <w:pStyle w:val="6"/>
              <w:spacing w:before="115" w:line="190" w:lineRule="auto"/>
              <w:ind w:left="230"/>
            </w:pPr>
            <w:r>
              <w:rPr>
                <w:i/>
                <w:iCs/>
                <w:spacing w:val="-2"/>
              </w:rPr>
              <w:t>Caprimulgus</w:t>
            </w:r>
          </w:p>
          <w:p w14:paraId="40A13880">
            <w:pPr>
              <w:pStyle w:val="6"/>
              <w:spacing w:before="49" w:line="222" w:lineRule="auto"/>
              <w:ind w:left="471"/>
            </w:pPr>
            <w:r>
              <w:rPr>
                <w:i/>
                <w:iCs/>
                <w:spacing w:val="-2"/>
              </w:rPr>
              <w:t>indicus</w:t>
            </w:r>
          </w:p>
        </w:tc>
        <w:tc>
          <w:tcPr>
            <w:tcW w:w="989" w:type="dxa"/>
            <w:tcBorders>
              <w:bottom w:val="single" w:color="000000" w:sz="12" w:space="0"/>
            </w:tcBorders>
            <w:vAlign w:val="top"/>
          </w:tcPr>
          <w:p w14:paraId="39782C85">
            <w:pPr>
              <w:pStyle w:val="6"/>
              <w:spacing w:before="237" w:line="232" w:lineRule="auto"/>
              <w:ind w:left="448"/>
            </w:pPr>
            <w:r>
              <w:t>8</w:t>
            </w:r>
          </w:p>
        </w:tc>
        <w:tc>
          <w:tcPr>
            <w:tcW w:w="1272" w:type="dxa"/>
            <w:tcBorders>
              <w:bottom w:val="single" w:color="000000" w:sz="12" w:space="0"/>
            </w:tcBorders>
            <w:vAlign w:val="top"/>
          </w:tcPr>
          <w:p w14:paraId="13892209">
            <w:pPr>
              <w:spacing w:before="202" w:line="220" w:lineRule="auto"/>
              <w:ind w:left="220"/>
              <w:rPr>
                <w:rFonts w:ascii="宋体" w:hAnsi="宋体" w:eastAsia="宋体" w:cs="宋体"/>
                <w:sz w:val="21"/>
                <w:szCs w:val="21"/>
              </w:rPr>
            </w:pPr>
            <w:r>
              <w:rPr>
                <w:rFonts w:ascii="宋体" w:hAnsi="宋体" w:eastAsia="宋体" w:cs="宋体"/>
                <w:spacing w:val="-2"/>
                <w:sz w:val="21"/>
                <w:szCs w:val="21"/>
              </w:rPr>
              <w:t>普通夜鹰</w:t>
            </w:r>
          </w:p>
        </w:tc>
        <w:tc>
          <w:tcPr>
            <w:tcW w:w="1693" w:type="dxa"/>
            <w:tcBorders>
              <w:bottom w:val="single" w:color="000000" w:sz="12" w:space="0"/>
            </w:tcBorders>
            <w:vAlign w:val="top"/>
          </w:tcPr>
          <w:p w14:paraId="1629040C">
            <w:pPr>
              <w:pStyle w:val="6"/>
              <w:spacing w:before="115" w:line="190" w:lineRule="auto"/>
              <w:ind w:left="315"/>
            </w:pPr>
            <w:r>
              <w:rPr>
                <w:i/>
                <w:iCs/>
                <w:spacing w:val="-2"/>
              </w:rPr>
              <w:t>Caprimulgus</w:t>
            </w:r>
          </w:p>
          <w:p w14:paraId="10B7A9AB">
            <w:pPr>
              <w:pStyle w:val="6"/>
              <w:spacing w:before="49" w:line="222" w:lineRule="auto"/>
              <w:ind w:left="556"/>
            </w:pPr>
            <w:r>
              <w:rPr>
                <w:i/>
                <w:iCs/>
                <w:spacing w:val="-2"/>
              </w:rPr>
              <w:t>indicus</w:t>
            </w:r>
          </w:p>
        </w:tc>
        <w:tc>
          <w:tcPr>
            <w:tcW w:w="845" w:type="dxa"/>
            <w:tcBorders>
              <w:bottom w:val="single" w:color="000000" w:sz="12" w:space="0"/>
              <w:right w:val="single" w:color="000000" w:sz="12" w:space="0"/>
            </w:tcBorders>
            <w:vAlign w:val="top"/>
          </w:tcPr>
          <w:p w14:paraId="6C83EF2D">
            <w:pPr>
              <w:rPr>
                <w:rFonts w:ascii="Arial"/>
                <w:sz w:val="21"/>
              </w:rPr>
            </w:pPr>
          </w:p>
        </w:tc>
      </w:tr>
    </w:tbl>
    <w:p w14:paraId="2B311601">
      <w:pPr>
        <w:rPr>
          <w:rFonts w:ascii="Arial"/>
          <w:sz w:val="21"/>
        </w:rPr>
      </w:pPr>
    </w:p>
    <w:p w14:paraId="1292FEC2">
      <w:pPr>
        <w:rPr>
          <w:rFonts w:ascii="Arial" w:hAnsi="Arial" w:eastAsia="Arial" w:cs="Arial"/>
          <w:sz w:val="21"/>
          <w:szCs w:val="21"/>
        </w:rPr>
        <w:sectPr>
          <w:headerReference r:id="rId174" w:type="default"/>
          <w:footerReference r:id="rId175" w:type="default"/>
          <w:pgSz w:w="11907" w:h="16839"/>
          <w:pgMar w:top="1376" w:right="1669" w:bottom="1061" w:left="1671" w:header="999" w:footer="861" w:gutter="0"/>
          <w:cols w:space="720" w:num="1"/>
        </w:sectPr>
      </w:pPr>
    </w:p>
    <w:p w14:paraId="14958A33">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67A50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7ECF3D92">
            <w:pPr>
              <w:spacing w:before="76" w:line="233" w:lineRule="auto"/>
              <w:ind w:left="962"/>
              <w:rPr>
                <w:rFonts w:ascii="宋体" w:hAnsi="宋体" w:eastAsia="宋体" w:cs="宋体"/>
                <w:sz w:val="21"/>
                <w:szCs w:val="21"/>
              </w:rPr>
            </w:pPr>
            <w:r>
              <w:rPr>
                <w:rFonts w:ascii="宋体" w:hAnsi="宋体" w:eastAsia="宋体" w:cs="宋体"/>
                <w:spacing w:val="-3"/>
                <w:sz w:val="21"/>
                <w:szCs w:val="21"/>
              </w:rPr>
              <w:t>环评期（2015</w:t>
            </w:r>
            <w:r>
              <w:rPr>
                <w:rFonts w:ascii="宋体" w:hAnsi="宋体" w:eastAsia="宋体" w:cs="宋体"/>
                <w:spacing w:val="-34"/>
                <w:sz w:val="21"/>
                <w:szCs w:val="21"/>
              </w:rPr>
              <w:t xml:space="preserve"> </w:t>
            </w:r>
            <w:r>
              <w:rPr>
                <w:rFonts w:ascii="宋体" w:hAnsi="宋体" w:eastAsia="宋体" w:cs="宋体"/>
                <w:spacing w:val="-3"/>
                <w:sz w:val="21"/>
                <w:szCs w:val="21"/>
              </w:rPr>
              <w:t>年）</w:t>
            </w:r>
          </w:p>
        </w:tc>
        <w:tc>
          <w:tcPr>
            <w:tcW w:w="3954" w:type="dxa"/>
            <w:gridSpan w:val="3"/>
            <w:tcBorders>
              <w:top w:val="single" w:color="000000" w:sz="12" w:space="0"/>
            </w:tcBorders>
            <w:vAlign w:val="top"/>
          </w:tcPr>
          <w:p w14:paraId="3336F3F2">
            <w:pPr>
              <w:spacing w:before="76" w:line="233" w:lineRule="auto"/>
              <w:ind w:left="1118"/>
              <w:rPr>
                <w:rFonts w:ascii="宋体" w:hAnsi="宋体" w:eastAsia="宋体" w:cs="宋体"/>
                <w:sz w:val="21"/>
                <w:szCs w:val="21"/>
              </w:rPr>
            </w:pPr>
            <w:r>
              <w:rPr>
                <w:rFonts w:ascii="宋体" w:hAnsi="宋体" w:eastAsia="宋体" w:cs="宋体"/>
                <w:spacing w:val="-2"/>
                <w:sz w:val="21"/>
                <w:szCs w:val="21"/>
              </w:rPr>
              <w:t>施工期（2020</w:t>
            </w:r>
            <w:r>
              <w:rPr>
                <w:rFonts w:ascii="宋体" w:hAnsi="宋体" w:eastAsia="宋体" w:cs="宋体"/>
                <w:spacing w:val="-43"/>
                <w:sz w:val="21"/>
                <w:szCs w:val="21"/>
              </w:rPr>
              <w:t xml:space="preserve"> </w:t>
            </w:r>
            <w:r>
              <w:rPr>
                <w:rFonts w:ascii="宋体" w:hAnsi="宋体" w:eastAsia="宋体" w:cs="宋体"/>
                <w:spacing w:val="-2"/>
                <w:sz w:val="21"/>
                <w:szCs w:val="21"/>
              </w:rPr>
              <w:t>年）</w:t>
            </w:r>
          </w:p>
        </w:tc>
        <w:tc>
          <w:tcPr>
            <w:tcW w:w="845" w:type="dxa"/>
            <w:vMerge w:val="restart"/>
            <w:tcBorders>
              <w:top w:val="single" w:color="000000" w:sz="12" w:space="0"/>
              <w:bottom w:val="nil"/>
              <w:right w:val="single" w:color="000000" w:sz="12" w:space="0"/>
            </w:tcBorders>
            <w:vAlign w:val="top"/>
          </w:tcPr>
          <w:p w14:paraId="77FA0E72">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24230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1660E00A">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56E31FBE">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7B56DB51">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0EF099EA">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3A541A84">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241429DF">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4837AC33">
            <w:pPr>
              <w:rPr>
                <w:rFonts w:ascii="Arial"/>
                <w:sz w:val="21"/>
              </w:rPr>
            </w:pPr>
          </w:p>
        </w:tc>
      </w:tr>
      <w:tr w14:paraId="66C22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F7299B3">
            <w:pPr>
              <w:pStyle w:val="6"/>
              <w:spacing w:before="115" w:line="186" w:lineRule="auto"/>
              <w:ind w:left="276"/>
            </w:pPr>
            <w:r>
              <w:rPr>
                <w:b/>
                <w:bCs/>
                <w:spacing w:val="-3"/>
              </w:rPr>
              <w:t>O6</w:t>
            </w:r>
          </w:p>
        </w:tc>
        <w:tc>
          <w:tcPr>
            <w:tcW w:w="1270" w:type="dxa"/>
            <w:vAlign w:val="top"/>
          </w:tcPr>
          <w:p w14:paraId="7C57B965">
            <w:pPr>
              <w:spacing w:before="76" w:line="220" w:lineRule="auto"/>
              <w:ind w:left="319"/>
              <w:rPr>
                <w:rFonts w:ascii="宋体" w:hAnsi="宋体" w:eastAsia="宋体" w:cs="宋体"/>
                <w:sz w:val="21"/>
                <w:szCs w:val="21"/>
              </w:rPr>
            </w:pPr>
            <w:r>
              <w:rPr>
                <w:rFonts w:ascii="宋体" w:hAnsi="宋体" w:eastAsia="宋体" w:cs="宋体"/>
                <w:b/>
                <w:bCs/>
                <w:spacing w:val="-6"/>
                <w:sz w:val="21"/>
                <w:szCs w:val="21"/>
              </w:rPr>
              <w:t>鹃形目</w:t>
            </w:r>
          </w:p>
        </w:tc>
        <w:tc>
          <w:tcPr>
            <w:tcW w:w="1554" w:type="dxa"/>
            <w:vAlign w:val="top"/>
          </w:tcPr>
          <w:p w14:paraId="14EBD8C9">
            <w:pPr>
              <w:pStyle w:val="6"/>
              <w:spacing w:before="115" w:line="186" w:lineRule="auto"/>
              <w:ind w:left="167"/>
            </w:pPr>
            <w:r>
              <w:rPr>
                <w:b/>
                <w:bCs/>
                <w:spacing w:val="-1"/>
              </w:rPr>
              <w:t>Cuculiformes</w:t>
            </w:r>
          </w:p>
        </w:tc>
        <w:tc>
          <w:tcPr>
            <w:tcW w:w="989" w:type="dxa"/>
            <w:vAlign w:val="top"/>
          </w:tcPr>
          <w:p w14:paraId="0DD5898D">
            <w:pPr>
              <w:pStyle w:val="6"/>
              <w:spacing w:before="115" w:line="186" w:lineRule="auto"/>
              <w:ind w:left="362"/>
            </w:pPr>
            <w:r>
              <w:rPr>
                <w:b/>
                <w:bCs/>
                <w:spacing w:val="-3"/>
              </w:rPr>
              <w:t>O6</w:t>
            </w:r>
          </w:p>
        </w:tc>
        <w:tc>
          <w:tcPr>
            <w:tcW w:w="1272" w:type="dxa"/>
            <w:vAlign w:val="top"/>
          </w:tcPr>
          <w:p w14:paraId="5582C5F9">
            <w:pPr>
              <w:spacing w:before="76" w:line="220" w:lineRule="auto"/>
              <w:ind w:left="332"/>
              <w:rPr>
                <w:rFonts w:ascii="宋体" w:hAnsi="宋体" w:eastAsia="宋体" w:cs="宋体"/>
                <w:sz w:val="21"/>
                <w:szCs w:val="21"/>
              </w:rPr>
            </w:pPr>
            <w:r>
              <w:rPr>
                <w:rFonts w:ascii="宋体" w:hAnsi="宋体" w:eastAsia="宋体" w:cs="宋体"/>
                <w:b/>
                <w:bCs/>
                <w:spacing w:val="-6"/>
                <w:sz w:val="21"/>
                <w:szCs w:val="21"/>
              </w:rPr>
              <w:t>鹃形目</w:t>
            </w:r>
          </w:p>
        </w:tc>
        <w:tc>
          <w:tcPr>
            <w:tcW w:w="1693" w:type="dxa"/>
            <w:vAlign w:val="top"/>
          </w:tcPr>
          <w:p w14:paraId="7F74E772">
            <w:pPr>
              <w:pStyle w:val="6"/>
              <w:spacing w:before="115" w:line="186" w:lineRule="auto"/>
              <w:ind w:left="251"/>
            </w:pPr>
            <w:r>
              <w:rPr>
                <w:b/>
                <w:bCs/>
                <w:spacing w:val="-1"/>
              </w:rPr>
              <w:t>Cuculiformes</w:t>
            </w:r>
          </w:p>
        </w:tc>
        <w:tc>
          <w:tcPr>
            <w:tcW w:w="845" w:type="dxa"/>
            <w:tcBorders>
              <w:right w:val="single" w:color="000000" w:sz="12" w:space="0"/>
            </w:tcBorders>
            <w:vAlign w:val="top"/>
          </w:tcPr>
          <w:p w14:paraId="7C201493">
            <w:pPr>
              <w:rPr>
                <w:rFonts w:ascii="Arial"/>
                <w:sz w:val="21"/>
              </w:rPr>
            </w:pPr>
          </w:p>
        </w:tc>
      </w:tr>
      <w:tr w14:paraId="357FC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735EC1BB">
            <w:pPr>
              <w:pStyle w:val="6"/>
              <w:spacing w:before="116" w:line="186" w:lineRule="auto"/>
              <w:ind w:left="291"/>
            </w:pPr>
            <w:r>
              <w:rPr>
                <w:b/>
                <w:bCs/>
                <w:spacing w:val="-2"/>
              </w:rPr>
              <w:t>F6</w:t>
            </w:r>
          </w:p>
        </w:tc>
        <w:tc>
          <w:tcPr>
            <w:tcW w:w="1270" w:type="dxa"/>
            <w:vAlign w:val="top"/>
          </w:tcPr>
          <w:p w14:paraId="26DB8AEE">
            <w:pPr>
              <w:spacing w:before="77" w:line="219" w:lineRule="auto"/>
              <w:ind w:left="312"/>
              <w:rPr>
                <w:rFonts w:ascii="宋体" w:hAnsi="宋体" w:eastAsia="宋体" w:cs="宋体"/>
                <w:sz w:val="21"/>
                <w:szCs w:val="21"/>
              </w:rPr>
            </w:pPr>
            <w:r>
              <w:rPr>
                <w:rFonts w:ascii="宋体" w:hAnsi="宋体" w:eastAsia="宋体" w:cs="宋体"/>
                <w:b/>
                <w:bCs/>
                <w:spacing w:val="-4"/>
                <w:sz w:val="21"/>
                <w:szCs w:val="21"/>
              </w:rPr>
              <w:t>杜鹃科</w:t>
            </w:r>
          </w:p>
        </w:tc>
        <w:tc>
          <w:tcPr>
            <w:tcW w:w="1554" w:type="dxa"/>
            <w:vAlign w:val="top"/>
          </w:tcPr>
          <w:p w14:paraId="3C06DFBA">
            <w:pPr>
              <w:pStyle w:val="6"/>
              <w:spacing w:before="116" w:line="186" w:lineRule="auto"/>
              <w:ind w:left="320"/>
            </w:pPr>
            <w:r>
              <w:rPr>
                <w:b/>
                <w:bCs/>
                <w:spacing w:val="-1"/>
              </w:rPr>
              <w:t>Cuculidae</w:t>
            </w:r>
          </w:p>
        </w:tc>
        <w:tc>
          <w:tcPr>
            <w:tcW w:w="989" w:type="dxa"/>
            <w:vAlign w:val="top"/>
          </w:tcPr>
          <w:p w14:paraId="13BCC516">
            <w:pPr>
              <w:pStyle w:val="6"/>
              <w:spacing w:before="116" w:line="186" w:lineRule="auto"/>
              <w:ind w:left="376"/>
            </w:pPr>
            <w:r>
              <w:rPr>
                <w:b/>
                <w:bCs/>
                <w:spacing w:val="-2"/>
              </w:rPr>
              <w:t>F6</w:t>
            </w:r>
          </w:p>
        </w:tc>
        <w:tc>
          <w:tcPr>
            <w:tcW w:w="1272" w:type="dxa"/>
            <w:vAlign w:val="top"/>
          </w:tcPr>
          <w:p w14:paraId="72F6301D">
            <w:pPr>
              <w:spacing w:before="77" w:line="219" w:lineRule="auto"/>
              <w:ind w:left="325"/>
              <w:rPr>
                <w:rFonts w:ascii="宋体" w:hAnsi="宋体" w:eastAsia="宋体" w:cs="宋体"/>
                <w:sz w:val="21"/>
                <w:szCs w:val="21"/>
              </w:rPr>
            </w:pPr>
            <w:r>
              <w:rPr>
                <w:rFonts w:ascii="宋体" w:hAnsi="宋体" w:eastAsia="宋体" w:cs="宋体"/>
                <w:b/>
                <w:bCs/>
                <w:spacing w:val="-4"/>
                <w:sz w:val="21"/>
                <w:szCs w:val="21"/>
              </w:rPr>
              <w:t>杜鹃科</w:t>
            </w:r>
          </w:p>
        </w:tc>
        <w:tc>
          <w:tcPr>
            <w:tcW w:w="1693" w:type="dxa"/>
            <w:vAlign w:val="top"/>
          </w:tcPr>
          <w:p w14:paraId="75D0E134">
            <w:pPr>
              <w:pStyle w:val="6"/>
              <w:spacing w:before="116" w:line="186" w:lineRule="auto"/>
              <w:ind w:left="404"/>
            </w:pPr>
            <w:r>
              <w:rPr>
                <w:b/>
                <w:bCs/>
                <w:spacing w:val="-1"/>
              </w:rPr>
              <w:t>Cuculidae</w:t>
            </w:r>
          </w:p>
        </w:tc>
        <w:tc>
          <w:tcPr>
            <w:tcW w:w="845" w:type="dxa"/>
            <w:tcBorders>
              <w:right w:val="single" w:color="000000" w:sz="12" w:space="0"/>
            </w:tcBorders>
            <w:vAlign w:val="top"/>
          </w:tcPr>
          <w:p w14:paraId="552C6B09">
            <w:pPr>
              <w:rPr>
                <w:rFonts w:ascii="Arial"/>
                <w:sz w:val="21"/>
              </w:rPr>
            </w:pPr>
          </w:p>
        </w:tc>
      </w:tr>
      <w:tr w14:paraId="03F88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8BF3080">
            <w:pPr>
              <w:rPr>
                <w:rFonts w:ascii="Arial"/>
                <w:sz w:val="21"/>
              </w:rPr>
            </w:pPr>
          </w:p>
        </w:tc>
        <w:tc>
          <w:tcPr>
            <w:tcW w:w="1270" w:type="dxa"/>
            <w:vAlign w:val="top"/>
          </w:tcPr>
          <w:p w14:paraId="1CE99668">
            <w:pPr>
              <w:rPr>
                <w:rFonts w:ascii="Arial"/>
                <w:sz w:val="21"/>
              </w:rPr>
            </w:pPr>
          </w:p>
        </w:tc>
        <w:tc>
          <w:tcPr>
            <w:tcW w:w="1554" w:type="dxa"/>
            <w:vAlign w:val="top"/>
          </w:tcPr>
          <w:p w14:paraId="64B9C7A0">
            <w:pPr>
              <w:rPr>
                <w:rFonts w:ascii="Arial"/>
                <w:sz w:val="21"/>
              </w:rPr>
            </w:pPr>
          </w:p>
        </w:tc>
        <w:tc>
          <w:tcPr>
            <w:tcW w:w="989" w:type="dxa"/>
            <w:vAlign w:val="top"/>
          </w:tcPr>
          <w:p w14:paraId="6BFA635B">
            <w:pPr>
              <w:spacing w:before="212" w:line="223" w:lineRule="auto"/>
              <w:ind w:left="443"/>
              <w:rPr>
                <w:rFonts w:ascii="宋体" w:hAnsi="宋体" w:eastAsia="宋体" w:cs="宋体"/>
                <w:sz w:val="21"/>
                <w:szCs w:val="21"/>
              </w:rPr>
            </w:pPr>
            <w:r>
              <w:rPr>
                <w:rFonts w:ascii="宋体" w:hAnsi="宋体" w:eastAsia="宋体" w:cs="宋体"/>
                <w:sz w:val="21"/>
                <w:szCs w:val="21"/>
              </w:rPr>
              <w:t>9</w:t>
            </w:r>
          </w:p>
        </w:tc>
        <w:tc>
          <w:tcPr>
            <w:tcW w:w="1272" w:type="dxa"/>
            <w:vAlign w:val="top"/>
          </w:tcPr>
          <w:p w14:paraId="346BD91D">
            <w:pPr>
              <w:spacing w:before="178" w:line="220" w:lineRule="auto"/>
              <w:ind w:left="221"/>
              <w:rPr>
                <w:rFonts w:ascii="宋体" w:hAnsi="宋体" w:eastAsia="宋体" w:cs="宋体"/>
                <w:sz w:val="21"/>
                <w:szCs w:val="21"/>
              </w:rPr>
            </w:pPr>
            <w:r>
              <w:rPr>
                <w:rFonts w:ascii="宋体" w:hAnsi="宋体" w:eastAsia="宋体" w:cs="宋体"/>
                <w:spacing w:val="-2"/>
                <w:sz w:val="21"/>
                <w:szCs w:val="21"/>
              </w:rPr>
              <w:t>褐翅鸦鹃</w:t>
            </w:r>
          </w:p>
        </w:tc>
        <w:tc>
          <w:tcPr>
            <w:tcW w:w="1693" w:type="dxa"/>
            <w:vAlign w:val="top"/>
          </w:tcPr>
          <w:p w14:paraId="30A454E4">
            <w:pPr>
              <w:pStyle w:val="6"/>
              <w:spacing w:before="91" w:line="190" w:lineRule="auto"/>
              <w:ind w:left="427"/>
            </w:pPr>
            <w:r>
              <w:rPr>
                <w:i/>
                <w:iCs/>
                <w:spacing w:val="-2"/>
              </w:rPr>
              <w:t>Centropus</w:t>
            </w:r>
          </w:p>
          <w:p w14:paraId="1D367028">
            <w:pPr>
              <w:pStyle w:val="6"/>
              <w:spacing w:before="49" w:line="224" w:lineRule="auto"/>
              <w:ind w:left="516"/>
            </w:pPr>
            <w:r>
              <w:rPr>
                <w:i/>
                <w:iCs/>
              </w:rPr>
              <w:t>sinensis</w:t>
            </w:r>
          </w:p>
        </w:tc>
        <w:tc>
          <w:tcPr>
            <w:tcW w:w="845" w:type="dxa"/>
            <w:tcBorders>
              <w:right w:val="single" w:color="000000" w:sz="12" w:space="0"/>
            </w:tcBorders>
            <w:vAlign w:val="top"/>
          </w:tcPr>
          <w:p w14:paraId="38365C83">
            <w:pPr>
              <w:spacing w:before="178" w:line="220" w:lineRule="auto"/>
              <w:ind w:left="256"/>
              <w:rPr>
                <w:rFonts w:ascii="宋体" w:hAnsi="宋体" w:eastAsia="宋体" w:cs="宋体"/>
                <w:sz w:val="21"/>
                <w:szCs w:val="21"/>
              </w:rPr>
            </w:pPr>
            <w:r>
              <w:rPr>
                <w:rFonts w:ascii="宋体" w:hAnsi="宋体" w:eastAsia="宋体" w:cs="宋体"/>
                <w:spacing w:val="-20"/>
                <w:w w:val="90"/>
                <w:sz w:val="21"/>
                <w:szCs w:val="21"/>
              </w:rPr>
              <w:t>聂级</w:t>
            </w:r>
          </w:p>
        </w:tc>
      </w:tr>
      <w:tr w14:paraId="4B83F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787EB52">
            <w:pPr>
              <w:spacing w:before="212" w:line="223" w:lineRule="auto"/>
              <w:ind w:left="323"/>
              <w:rPr>
                <w:rFonts w:ascii="宋体" w:hAnsi="宋体" w:eastAsia="宋体" w:cs="宋体"/>
                <w:sz w:val="21"/>
                <w:szCs w:val="21"/>
              </w:rPr>
            </w:pPr>
            <w:r>
              <w:rPr>
                <w:rFonts w:ascii="宋体" w:hAnsi="宋体" w:eastAsia="宋体" w:cs="宋体"/>
                <w:spacing w:val="-6"/>
                <w:sz w:val="21"/>
                <w:szCs w:val="21"/>
              </w:rPr>
              <w:t>15</w:t>
            </w:r>
          </w:p>
        </w:tc>
        <w:tc>
          <w:tcPr>
            <w:tcW w:w="1270" w:type="dxa"/>
            <w:vAlign w:val="top"/>
          </w:tcPr>
          <w:p w14:paraId="34AA2332">
            <w:pPr>
              <w:spacing w:before="178" w:line="220" w:lineRule="auto"/>
              <w:ind w:left="209"/>
              <w:rPr>
                <w:rFonts w:ascii="宋体" w:hAnsi="宋体" w:eastAsia="宋体" w:cs="宋体"/>
                <w:sz w:val="21"/>
                <w:szCs w:val="21"/>
              </w:rPr>
            </w:pPr>
            <w:r>
              <w:rPr>
                <w:rFonts w:ascii="宋体" w:hAnsi="宋体" w:eastAsia="宋体" w:cs="宋体"/>
                <w:spacing w:val="-2"/>
                <w:sz w:val="21"/>
                <w:szCs w:val="21"/>
              </w:rPr>
              <w:t>绿嘴地鹃</w:t>
            </w:r>
          </w:p>
        </w:tc>
        <w:tc>
          <w:tcPr>
            <w:tcW w:w="1554" w:type="dxa"/>
            <w:vAlign w:val="top"/>
          </w:tcPr>
          <w:p w14:paraId="67FD6E48">
            <w:pPr>
              <w:pStyle w:val="6"/>
              <w:spacing w:before="92" w:line="231" w:lineRule="auto"/>
              <w:ind w:left="534" w:right="84" w:hanging="468"/>
            </w:pPr>
            <w:r>
              <w:rPr>
                <w:i/>
                <w:iCs/>
              </w:rPr>
              <w:t>Phaenicophaeus</w:t>
            </w:r>
            <w:r>
              <w:rPr>
                <w:i/>
                <w:iCs/>
                <w:spacing w:val="3"/>
              </w:rPr>
              <w:t xml:space="preserve"> </w:t>
            </w:r>
            <w:r>
              <w:rPr>
                <w:i/>
                <w:iCs/>
                <w:spacing w:val="-2"/>
              </w:rPr>
              <w:t>tristis</w:t>
            </w:r>
          </w:p>
        </w:tc>
        <w:tc>
          <w:tcPr>
            <w:tcW w:w="989" w:type="dxa"/>
            <w:vAlign w:val="top"/>
          </w:tcPr>
          <w:p w14:paraId="22372DFB">
            <w:pPr>
              <w:rPr>
                <w:rFonts w:ascii="Arial"/>
                <w:sz w:val="21"/>
              </w:rPr>
            </w:pPr>
          </w:p>
        </w:tc>
        <w:tc>
          <w:tcPr>
            <w:tcW w:w="1272" w:type="dxa"/>
            <w:vAlign w:val="top"/>
          </w:tcPr>
          <w:p w14:paraId="64CD6D11">
            <w:pPr>
              <w:rPr>
                <w:rFonts w:ascii="Arial"/>
                <w:sz w:val="21"/>
              </w:rPr>
            </w:pPr>
          </w:p>
        </w:tc>
        <w:tc>
          <w:tcPr>
            <w:tcW w:w="1693" w:type="dxa"/>
            <w:vAlign w:val="top"/>
          </w:tcPr>
          <w:p w14:paraId="39D0F08F">
            <w:pPr>
              <w:rPr>
                <w:rFonts w:ascii="Arial"/>
                <w:sz w:val="21"/>
              </w:rPr>
            </w:pPr>
          </w:p>
        </w:tc>
        <w:tc>
          <w:tcPr>
            <w:tcW w:w="845" w:type="dxa"/>
            <w:tcBorders>
              <w:right w:val="single" w:color="000000" w:sz="12" w:space="0"/>
            </w:tcBorders>
            <w:vAlign w:val="top"/>
          </w:tcPr>
          <w:p w14:paraId="178D48CB">
            <w:pPr>
              <w:rPr>
                <w:rFonts w:ascii="Arial"/>
                <w:sz w:val="21"/>
              </w:rPr>
            </w:pPr>
          </w:p>
        </w:tc>
      </w:tr>
      <w:tr w14:paraId="4B60B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72E07DDB">
            <w:pPr>
              <w:spacing w:before="213" w:line="223" w:lineRule="auto"/>
              <w:ind w:left="323"/>
              <w:rPr>
                <w:rFonts w:ascii="宋体" w:hAnsi="宋体" w:eastAsia="宋体" w:cs="宋体"/>
                <w:sz w:val="21"/>
                <w:szCs w:val="21"/>
              </w:rPr>
            </w:pPr>
            <w:r>
              <w:rPr>
                <w:rFonts w:ascii="宋体" w:hAnsi="宋体" w:eastAsia="宋体" w:cs="宋体"/>
                <w:spacing w:val="-12"/>
                <w:sz w:val="21"/>
                <w:szCs w:val="21"/>
              </w:rPr>
              <w:t>16</w:t>
            </w:r>
          </w:p>
        </w:tc>
        <w:tc>
          <w:tcPr>
            <w:tcW w:w="1270" w:type="dxa"/>
            <w:vAlign w:val="top"/>
          </w:tcPr>
          <w:p w14:paraId="0722D035">
            <w:pPr>
              <w:spacing w:before="179" w:line="220" w:lineRule="auto"/>
              <w:ind w:left="427"/>
              <w:rPr>
                <w:rFonts w:ascii="宋体" w:hAnsi="宋体" w:eastAsia="宋体" w:cs="宋体"/>
                <w:sz w:val="21"/>
                <w:szCs w:val="21"/>
              </w:rPr>
            </w:pPr>
            <w:r>
              <w:rPr>
                <w:rFonts w:ascii="宋体" w:hAnsi="宋体" w:eastAsia="宋体" w:cs="宋体"/>
                <w:spacing w:val="-5"/>
                <w:sz w:val="21"/>
                <w:szCs w:val="21"/>
              </w:rPr>
              <w:t>噪鹃</w:t>
            </w:r>
          </w:p>
        </w:tc>
        <w:tc>
          <w:tcPr>
            <w:tcW w:w="1554" w:type="dxa"/>
            <w:vAlign w:val="top"/>
          </w:tcPr>
          <w:p w14:paraId="32E4A72F">
            <w:pPr>
              <w:pStyle w:val="6"/>
              <w:spacing w:before="92" w:line="190" w:lineRule="auto"/>
              <w:ind w:left="277"/>
            </w:pPr>
            <w:r>
              <w:rPr>
                <w:i/>
                <w:iCs/>
              </w:rPr>
              <w:t>Eudynamys</w:t>
            </w:r>
          </w:p>
          <w:p w14:paraId="66FDB166">
            <w:pPr>
              <w:pStyle w:val="6"/>
              <w:spacing w:before="51" w:line="190" w:lineRule="auto"/>
              <w:ind w:left="291"/>
            </w:pPr>
            <w:r>
              <w:rPr>
                <w:i/>
                <w:iCs/>
              </w:rPr>
              <w:t>scolopacea</w:t>
            </w:r>
          </w:p>
        </w:tc>
        <w:tc>
          <w:tcPr>
            <w:tcW w:w="989" w:type="dxa"/>
            <w:vAlign w:val="top"/>
          </w:tcPr>
          <w:p w14:paraId="58645D8F">
            <w:pPr>
              <w:spacing w:before="213" w:line="223" w:lineRule="auto"/>
              <w:ind w:left="407"/>
              <w:rPr>
                <w:rFonts w:ascii="宋体" w:hAnsi="宋体" w:eastAsia="宋体" w:cs="宋体"/>
                <w:sz w:val="21"/>
                <w:szCs w:val="21"/>
              </w:rPr>
            </w:pPr>
            <w:r>
              <w:rPr>
                <w:rFonts w:ascii="宋体" w:hAnsi="宋体" w:eastAsia="宋体" w:cs="宋体"/>
                <w:spacing w:val="-6"/>
                <w:sz w:val="21"/>
                <w:szCs w:val="21"/>
              </w:rPr>
              <w:t>10</w:t>
            </w:r>
          </w:p>
        </w:tc>
        <w:tc>
          <w:tcPr>
            <w:tcW w:w="1272" w:type="dxa"/>
            <w:vAlign w:val="top"/>
          </w:tcPr>
          <w:p w14:paraId="47B9A1CE">
            <w:pPr>
              <w:spacing w:before="179" w:line="220" w:lineRule="auto"/>
              <w:ind w:left="441"/>
              <w:rPr>
                <w:rFonts w:ascii="宋体" w:hAnsi="宋体" w:eastAsia="宋体" w:cs="宋体"/>
                <w:sz w:val="21"/>
                <w:szCs w:val="21"/>
              </w:rPr>
            </w:pPr>
            <w:r>
              <w:rPr>
                <w:rFonts w:ascii="宋体" w:hAnsi="宋体" w:eastAsia="宋体" w:cs="宋体"/>
                <w:spacing w:val="-5"/>
                <w:sz w:val="21"/>
                <w:szCs w:val="21"/>
              </w:rPr>
              <w:t>噪鹃</w:t>
            </w:r>
          </w:p>
        </w:tc>
        <w:tc>
          <w:tcPr>
            <w:tcW w:w="1693" w:type="dxa"/>
            <w:vAlign w:val="top"/>
          </w:tcPr>
          <w:p w14:paraId="16498D7D">
            <w:pPr>
              <w:pStyle w:val="6"/>
              <w:spacing w:before="92" w:line="190" w:lineRule="auto"/>
              <w:ind w:left="361"/>
            </w:pPr>
            <w:r>
              <w:rPr>
                <w:i/>
                <w:iCs/>
              </w:rPr>
              <w:t>Eudynamys</w:t>
            </w:r>
          </w:p>
          <w:p w14:paraId="7AA41947">
            <w:pPr>
              <w:pStyle w:val="6"/>
              <w:spacing w:before="51" w:line="190" w:lineRule="auto"/>
              <w:ind w:left="376"/>
            </w:pPr>
            <w:r>
              <w:rPr>
                <w:i/>
                <w:iCs/>
              </w:rPr>
              <w:t>scolopacea</w:t>
            </w:r>
          </w:p>
        </w:tc>
        <w:tc>
          <w:tcPr>
            <w:tcW w:w="845" w:type="dxa"/>
            <w:tcBorders>
              <w:right w:val="single" w:color="000000" w:sz="12" w:space="0"/>
            </w:tcBorders>
            <w:vAlign w:val="top"/>
          </w:tcPr>
          <w:p w14:paraId="0D8DCF5C">
            <w:pPr>
              <w:rPr>
                <w:rFonts w:ascii="Arial"/>
                <w:sz w:val="21"/>
              </w:rPr>
            </w:pPr>
          </w:p>
        </w:tc>
      </w:tr>
      <w:tr w14:paraId="7B03A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D9A1494">
            <w:pPr>
              <w:spacing w:before="216" w:line="223" w:lineRule="auto"/>
              <w:ind w:left="323"/>
              <w:rPr>
                <w:rFonts w:ascii="宋体" w:hAnsi="宋体" w:eastAsia="宋体" w:cs="宋体"/>
                <w:sz w:val="21"/>
                <w:szCs w:val="21"/>
              </w:rPr>
            </w:pPr>
            <w:r>
              <w:rPr>
                <w:rFonts w:ascii="宋体" w:hAnsi="宋体" w:eastAsia="宋体" w:cs="宋体"/>
                <w:spacing w:val="-6"/>
                <w:sz w:val="21"/>
                <w:szCs w:val="21"/>
              </w:rPr>
              <w:t>17</w:t>
            </w:r>
          </w:p>
        </w:tc>
        <w:tc>
          <w:tcPr>
            <w:tcW w:w="1270" w:type="dxa"/>
            <w:vAlign w:val="top"/>
          </w:tcPr>
          <w:p w14:paraId="062BA855">
            <w:pPr>
              <w:spacing w:before="182" w:line="220" w:lineRule="auto"/>
              <w:ind w:left="210"/>
              <w:rPr>
                <w:rFonts w:ascii="宋体" w:hAnsi="宋体" w:eastAsia="宋体" w:cs="宋体"/>
                <w:sz w:val="21"/>
                <w:szCs w:val="21"/>
              </w:rPr>
            </w:pPr>
            <w:r>
              <w:rPr>
                <w:rFonts w:ascii="宋体" w:hAnsi="宋体" w:eastAsia="宋体" w:cs="宋体"/>
                <w:spacing w:val="-3"/>
                <w:sz w:val="21"/>
                <w:szCs w:val="21"/>
              </w:rPr>
              <w:t>八声杜鹃</w:t>
            </w:r>
          </w:p>
        </w:tc>
        <w:tc>
          <w:tcPr>
            <w:tcW w:w="1554" w:type="dxa"/>
            <w:vAlign w:val="top"/>
          </w:tcPr>
          <w:p w14:paraId="4B2DD9E3">
            <w:pPr>
              <w:pStyle w:val="6"/>
              <w:spacing w:before="98" w:line="186" w:lineRule="auto"/>
              <w:ind w:left="277"/>
            </w:pPr>
            <w:r>
              <w:rPr>
                <w:i/>
                <w:iCs/>
                <w:spacing w:val="-2"/>
              </w:rPr>
              <w:t>Cacomantis</w:t>
            </w:r>
          </w:p>
          <w:p w14:paraId="2569AA00">
            <w:pPr>
              <w:pStyle w:val="6"/>
              <w:spacing w:before="49" w:line="220" w:lineRule="auto"/>
              <w:ind w:left="349"/>
            </w:pPr>
            <w:r>
              <w:rPr>
                <w:i/>
                <w:iCs/>
                <w:spacing w:val="-1"/>
              </w:rPr>
              <w:t>merulinus</w:t>
            </w:r>
          </w:p>
        </w:tc>
        <w:tc>
          <w:tcPr>
            <w:tcW w:w="989" w:type="dxa"/>
            <w:vAlign w:val="top"/>
          </w:tcPr>
          <w:p w14:paraId="6A00179B">
            <w:pPr>
              <w:rPr>
                <w:rFonts w:ascii="Arial"/>
                <w:sz w:val="21"/>
              </w:rPr>
            </w:pPr>
          </w:p>
        </w:tc>
        <w:tc>
          <w:tcPr>
            <w:tcW w:w="1272" w:type="dxa"/>
            <w:vAlign w:val="top"/>
          </w:tcPr>
          <w:p w14:paraId="4CDA00CD">
            <w:pPr>
              <w:rPr>
                <w:rFonts w:ascii="Arial"/>
                <w:sz w:val="21"/>
              </w:rPr>
            </w:pPr>
          </w:p>
        </w:tc>
        <w:tc>
          <w:tcPr>
            <w:tcW w:w="1693" w:type="dxa"/>
            <w:vAlign w:val="top"/>
          </w:tcPr>
          <w:p w14:paraId="42A4BE33">
            <w:pPr>
              <w:rPr>
                <w:rFonts w:ascii="Arial"/>
                <w:sz w:val="21"/>
              </w:rPr>
            </w:pPr>
          </w:p>
        </w:tc>
        <w:tc>
          <w:tcPr>
            <w:tcW w:w="845" w:type="dxa"/>
            <w:tcBorders>
              <w:right w:val="single" w:color="000000" w:sz="12" w:space="0"/>
            </w:tcBorders>
            <w:vAlign w:val="top"/>
          </w:tcPr>
          <w:p w14:paraId="5561036C">
            <w:pPr>
              <w:rPr>
                <w:rFonts w:ascii="Arial"/>
                <w:sz w:val="21"/>
              </w:rPr>
            </w:pPr>
          </w:p>
        </w:tc>
      </w:tr>
      <w:tr w14:paraId="44058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F70E55A">
            <w:pPr>
              <w:rPr>
                <w:rFonts w:ascii="Arial"/>
                <w:sz w:val="21"/>
              </w:rPr>
            </w:pPr>
          </w:p>
        </w:tc>
        <w:tc>
          <w:tcPr>
            <w:tcW w:w="1270" w:type="dxa"/>
            <w:vAlign w:val="top"/>
          </w:tcPr>
          <w:p w14:paraId="0B5DD09F">
            <w:pPr>
              <w:rPr>
                <w:rFonts w:ascii="Arial"/>
                <w:sz w:val="21"/>
              </w:rPr>
            </w:pPr>
          </w:p>
        </w:tc>
        <w:tc>
          <w:tcPr>
            <w:tcW w:w="1554" w:type="dxa"/>
            <w:vAlign w:val="top"/>
          </w:tcPr>
          <w:p w14:paraId="568849FC">
            <w:pPr>
              <w:rPr>
                <w:rFonts w:ascii="Arial"/>
                <w:sz w:val="21"/>
              </w:rPr>
            </w:pPr>
          </w:p>
        </w:tc>
        <w:tc>
          <w:tcPr>
            <w:tcW w:w="989" w:type="dxa"/>
            <w:vAlign w:val="top"/>
          </w:tcPr>
          <w:p w14:paraId="1A4F4009">
            <w:pPr>
              <w:spacing w:before="216" w:line="224" w:lineRule="auto"/>
              <w:ind w:left="407"/>
              <w:rPr>
                <w:rFonts w:ascii="宋体" w:hAnsi="宋体" w:eastAsia="宋体" w:cs="宋体"/>
                <w:sz w:val="21"/>
                <w:szCs w:val="21"/>
              </w:rPr>
            </w:pPr>
            <w:r>
              <w:rPr>
                <w:rFonts w:ascii="宋体" w:hAnsi="宋体" w:eastAsia="宋体" w:cs="宋体"/>
                <w:spacing w:val="-6"/>
                <w:sz w:val="21"/>
                <w:szCs w:val="21"/>
              </w:rPr>
              <w:t>11</w:t>
            </w:r>
          </w:p>
        </w:tc>
        <w:tc>
          <w:tcPr>
            <w:tcW w:w="1272" w:type="dxa"/>
            <w:vAlign w:val="top"/>
          </w:tcPr>
          <w:p w14:paraId="068762C2">
            <w:pPr>
              <w:spacing w:before="182" w:line="220" w:lineRule="auto"/>
              <w:ind w:left="328"/>
              <w:rPr>
                <w:rFonts w:ascii="宋体" w:hAnsi="宋体" w:eastAsia="宋体" w:cs="宋体"/>
                <w:sz w:val="21"/>
                <w:szCs w:val="21"/>
              </w:rPr>
            </w:pPr>
            <w:r>
              <w:rPr>
                <w:rFonts w:ascii="宋体" w:hAnsi="宋体" w:eastAsia="宋体" w:cs="宋体"/>
                <w:spacing w:val="-3"/>
                <w:sz w:val="21"/>
                <w:szCs w:val="21"/>
              </w:rPr>
              <w:t>大鹰鹃</w:t>
            </w:r>
          </w:p>
        </w:tc>
        <w:tc>
          <w:tcPr>
            <w:tcW w:w="1693" w:type="dxa"/>
            <w:vAlign w:val="top"/>
          </w:tcPr>
          <w:p w14:paraId="10E26F30">
            <w:pPr>
              <w:pStyle w:val="6"/>
              <w:spacing w:before="96" w:line="190" w:lineRule="auto"/>
              <w:ind w:left="313"/>
            </w:pPr>
            <w:r>
              <w:rPr>
                <w:i/>
                <w:iCs/>
              </w:rPr>
              <w:t>Hierococcyx</w:t>
            </w:r>
          </w:p>
          <w:p w14:paraId="39DE0528">
            <w:pPr>
              <w:pStyle w:val="6"/>
              <w:spacing w:before="50" w:line="190" w:lineRule="auto"/>
              <w:ind w:left="276"/>
            </w:pPr>
            <w:r>
              <w:rPr>
                <w:i/>
                <w:iCs/>
              </w:rPr>
              <w:t>sparverioides</w:t>
            </w:r>
          </w:p>
        </w:tc>
        <w:tc>
          <w:tcPr>
            <w:tcW w:w="845" w:type="dxa"/>
            <w:tcBorders>
              <w:right w:val="single" w:color="000000" w:sz="12" w:space="0"/>
            </w:tcBorders>
            <w:vAlign w:val="top"/>
          </w:tcPr>
          <w:p w14:paraId="5BCCEB5E">
            <w:pPr>
              <w:rPr>
                <w:rFonts w:ascii="Arial"/>
                <w:sz w:val="21"/>
              </w:rPr>
            </w:pPr>
          </w:p>
        </w:tc>
      </w:tr>
      <w:tr w14:paraId="1E98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C6D65AA">
            <w:pPr>
              <w:spacing w:before="218" w:line="223" w:lineRule="auto"/>
              <w:ind w:left="323"/>
              <w:rPr>
                <w:rFonts w:ascii="宋体" w:hAnsi="宋体" w:eastAsia="宋体" w:cs="宋体"/>
                <w:sz w:val="21"/>
                <w:szCs w:val="21"/>
              </w:rPr>
            </w:pPr>
            <w:r>
              <w:rPr>
                <w:rFonts w:ascii="宋体" w:hAnsi="宋体" w:eastAsia="宋体" w:cs="宋体"/>
                <w:spacing w:val="-6"/>
                <w:sz w:val="21"/>
                <w:szCs w:val="21"/>
              </w:rPr>
              <w:t>18</w:t>
            </w:r>
          </w:p>
        </w:tc>
        <w:tc>
          <w:tcPr>
            <w:tcW w:w="1270" w:type="dxa"/>
            <w:vAlign w:val="top"/>
          </w:tcPr>
          <w:p w14:paraId="1EE5B9E2">
            <w:pPr>
              <w:spacing w:before="184" w:line="220" w:lineRule="auto"/>
              <w:ind w:left="318"/>
              <w:rPr>
                <w:rFonts w:ascii="宋体" w:hAnsi="宋体" w:eastAsia="宋体" w:cs="宋体"/>
                <w:sz w:val="21"/>
                <w:szCs w:val="21"/>
              </w:rPr>
            </w:pPr>
            <w:r>
              <w:rPr>
                <w:rFonts w:ascii="宋体" w:hAnsi="宋体" w:eastAsia="宋体" w:cs="宋体"/>
                <w:spacing w:val="-4"/>
                <w:sz w:val="21"/>
                <w:szCs w:val="21"/>
              </w:rPr>
              <w:t>小杜鹃</w:t>
            </w:r>
          </w:p>
        </w:tc>
        <w:tc>
          <w:tcPr>
            <w:tcW w:w="1554" w:type="dxa"/>
            <w:vAlign w:val="top"/>
          </w:tcPr>
          <w:p w14:paraId="4A3B55D9">
            <w:pPr>
              <w:pStyle w:val="6"/>
              <w:spacing w:before="97" w:line="190" w:lineRule="auto"/>
              <w:ind w:left="436"/>
            </w:pPr>
            <w:r>
              <w:rPr>
                <w:i/>
                <w:iCs/>
                <w:spacing w:val="-2"/>
              </w:rPr>
              <w:t>Cuculus</w:t>
            </w:r>
          </w:p>
          <w:p w14:paraId="32AD70FB">
            <w:pPr>
              <w:pStyle w:val="6"/>
              <w:spacing w:before="51" w:line="190" w:lineRule="auto"/>
              <w:ind w:left="154"/>
            </w:pPr>
            <w:r>
              <w:rPr>
                <w:i/>
                <w:iCs/>
                <w:spacing w:val="1"/>
              </w:rPr>
              <w:t>poliocephalus</w:t>
            </w:r>
          </w:p>
        </w:tc>
        <w:tc>
          <w:tcPr>
            <w:tcW w:w="989" w:type="dxa"/>
            <w:vAlign w:val="top"/>
          </w:tcPr>
          <w:p w14:paraId="7FDE8851">
            <w:pPr>
              <w:rPr>
                <w:rFonts w:ascii="Arial"/>
                <w:sz w:val="21"/>
              </w:rPr>
            </w:pPr>
          </w:p>
        </w:tc>
        <w:tc>
          <w:tcPr>
            <w:tcW w:w="1272" w:type="dxa"/>
            <w:vAlign w:val="top"/>
          </w:tcPr>
          <w:p w14:paraId="0CDCD169">
            <w:pPr>
              <w:rPr>
                <w:rFonts w:ascii="Arial"/>
                <w:sz w:val="21"/>
              </w:rPr>
            </w:pPr>
          </w:p>
        </w:tc>
        <w:tc>
          <w:tcPr>
            <w:tcW w:w="1693" w:type="dxa"/>
            <w:vAlign w:val="top"/>
          </w:tcPr>
          <w:p w14:paraId="1B9E44F9">
            <w:pPr>
              <w:rPr>
                <w:rFonts w:ascii="Arial"/>
                <w:sz w:val="21"/>
              </w:rPr>
            </w:pPr>
          </w:p>
        </w:tc>
        <w:tc>
          <w:tcPr>
            <w:tcW w:w="845" w:type="dxa"/>
            <w:tcBorders>
              <w:right w:val="single" w:color="000000" w:sz="12" w:space="0"/>
            </w:tcBorders>
            <w:vAlign w:val="top"/>
          </w:tcPr>
          <w:p w14:paraId="5D9C914E">
            <w:pPr>
              <w:rPr>
                <w:rFonts w:ascii="Arial"/>
                <w:sz w:val="21"/>
              </w:rPr>
            </w:pPr>
          </w:p>
        </w:tc>
      </w:tr>
      <w:tr w14:paraId="743DB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7C4DB0C7">
            <w:pPr>
              <w:rPr>
                <w:rFonts w:ascii="Arial"/>
                <w:sz w:val="21"/>
              </w:rPr>
            </w:pPr>
          </w:p>
        </w:tc>
        <w:tc>
          <w:tcPr>
            <w:tcW w:w="1270" w:type="dxa"/>
            <w:vAlign w:val="top"/>
          </w:tcPr>
          <w:p w14:paraId="0B869170">
            <w:pPr>
              <w:rPr>
                <w:rFonts w:ascii="Arial"/>
                <w:sz w:val="21"/>
              </w:rPr>
            </w:pPr>
          </w:p>
        </w:tc>
        <w:tc>
          <w:tcPr>
            <w:tcW w:w="1554" w:type="dxa"/>
            <w:vAlign w:val="top"/>
          </w:tcPr>
          <w:p w14:paraId="42F10E5C">
            <w:pPr>
              <w:rPr>
                <w:rFonts w:ascii="Arial"/>
                <w:sz w:val="21"/>
              </w:rPr>
            </w:pPr>
          </w:p>
        </w:tc>
        <w:tc>
          <w:tcPr>
            <w:tcW w:w="989" w:type="dxa"/>
            <w:vAlign w:val="top"/>
          </w:tcPr>
          <w:p w14:paraId="26936A49">
            <w:pPr>
              <w:spacing w:before="120" w:line="210" w:lineRule="auto"/>
              <w:ind w:left="407"/>
              <w:rPr>
                <w:rFonts w:ascii="宋体" w:hAnsi="宋体" w:eastAsia="宋体" w:cs="宋体"/>
                <w:sz w:val="21"/>
                <w:szCs w:val="21"/>
              </w:rPr>
            </w:pPr>
            <w:r>
              <w:rPr>
                <w:rFonts w:ascii="宋体" w:hAnsi="宋体" w:eastAsia="宋体" w:cs="宋体"/>
                <w:spacing w:val="-6"/>
                <w:sz w:val="21"/>
                <w:szCs w:val="21"/>
              </w:rPr>
              <w:t>12</w:t>
            </w:r>
          </w:p>
        </w:tc>
        <w:tc>
          <w:tcPr>
            <w:tcW w:w="1272" w:type="dxa"/>
            <w:vAlign w:val="top"/>
          </w:tcPr>
          <w:p w14:paraId="75C3821F">
            <w:pPr>
              <w:spacing w:before="86" w:line="220" w:lineRule="auto"/>
              <w:ind w:left="345"/>
              <w:rPr>
                <w:rFonts w:ascii="宋体" w:hAnsi="宋体" w:eastAsia="宋体" w:cs="宋体"/>
                <w:sz w:val="21"/>
                <w:szCs w:val="21"/>
              </w:rPr>
            </w:pPr>
            <w:r>
              <w:rPr>
                <w:rFonts w:ascii="宋体" w:hAnsi="宋体" w:eastAsia="宋体" w:cs="宋体"/>
                <w:spacing w:val="-7"/>
                <w:sz w:val="21"/>
                <w:szCs w:val="21"/>
              </w:rPr>
              <w:t>中杜鹃</w:t>
            </w:r>
          </w:p>
        </w:tc>
        <w:tc>
          <w:tcPr>
            <w:tcW w:w="1693" w:type="dxa"/>
            <w:vAlign w:val="top"/>
          </w:tcPr>
          <w:p w14:paraId="5D8A4AAB">
            <w:pPr>
              <w:pStyle w:val="6"/>
              <w:spacing w:before="120" w:line="232" w:lineRule="auto"/>
              <w:ind w:left="102"/>
            </w:pPr>
            <w:r>
              <w:rPr>
                <w:i/>
                <w:iCs/>
                <w:spacing w:val="-1"/>
              </w:rPr>
              <w:t>Cuculus saturatus</w:t>
            </w:r>
          </w:p>
        </w:tc>
        <w:tc>
          <w:tcPr>
            <w:tcW w:w="845" w:type="dxa"/>
            <w:tcBorders>
              <w:right w:val="single" w:color="000000" w:sz="12" w:space="0"/>
            </w:tcBorders>
            <w:vAlign w:val="top"/>
          </w:tcPr>
          <w:p w14:paraId="610A16C9">
            <w:pPr>
              <w:rPr>
                <w:rFonts w:ascii="Arial"/>
                <w:sz w:val="21"/>
              </w:rPr>
            </w:pPr>
          </w:p>
        </w:tc>
      </w:tr>
      <w:tr w14:paraId="15D65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77944535">
            <w:pPr>
              <w:spacing w:before="122" w:line="207" w:lineRule="auto"/>
              <w:ind w:left="323"/>
              <w:rPr>
                <w:rFonts w:ascii="宋体" w:hAnsi="宋体" w:eastAsia="宋体" w:cs="宋体"/>
                <w:sz w:val="21"/>
                <w:szCs w:val="21"/>
              </w:rPr>
            </w:pPr>
            <w:r>
              <w:rPr>
                <w:rFonts w:ascii="宋体" w:hAnsi="宋体" w:eastAsia="宋体" w:cs="宋体"/>
                <w:spacing w:val="-6"/>
                <w:sz w:val="21"/>
                <w:szCs w:val="21"/>
              </w:rPr>
              <w:t>19</w:t>
            </w:r>
          </w:p>
        </w:tc>
        <w:tc>
          <w:tcPr>
            <w:tcW w:w="1270" w:type="dxa"/>
            <w:vAlign w:val="top"/>
          </w:tcPr>
          <w:p w14:paraId="64439EE0">
            <w:pPr>
              <w:spacing w:before="87" w:line="220" w:lineRule="auto"/>
              <w:ind w:left="315"/>
              <w:rPr>
                <w:rFonts w:ascii="宋体" w:hAnsi="宋体" w:eastAsia="宋体" w:cs="宋体"/>
                <w:sz w:val="21"/>
                <w:szCs w:val="21"/>
              </w:rPr>
            </w:pPr>
            <w:r>
              <w:rPr>
                <w:rFonts w:ascii="宋体" w:hAnsi="宋体" w:eastAsia="宋体" w:cs="宋体"/>
                <w:spacing w:val="-3"/>
                <w:sz w:val="21"/>
                <w:szCs w:val="21"/>
              </w:rPr>
              <w:t>大杜鹃</w:t>
            </w:r>
          </w:p>
        </w:tc>
        <w:tc>
          <w:tcPr>
            <w:tcW w:w="1554" w:type="dxa"/>
            <w:vAlign w:val="top"/>
          </w:tcPr>
          <w:p w14:paraId="349ED477">
            <w:pPr>
              <w:pStyle w:val="6"/>
              <w:spacing w:before="121" w:line="232" w:lineRule="auto"/>
              <w:ind w:left="71"/>
            </w:pPr>
            <w:r>
              <w:rPr>
                <w:i/>
                <w:iCs/>
                <w:spacing w:val="-1"/>
              </w:rPr>
              <w:t>Cuculus canorus</w:t>
            </w:r>
          </w:p>
        </w:tc>
        <w:tc>
          <w:tcPr>
            <w:tcW w:w="989" w:type="dxa"/>
            <w:vAlign w:val="top"/>
          </w:tcPr>
          <w:p w14:paraId="4DE05655">
            <w:pPr>
              <w:spacing w:before="122" w:line="207" w:lineRule="auto"/>
              <w:ind w:left="407"/>
              <w:rPr>
                <w:rFonts w:ascii="宋体" w:hAnsi="宋体" w:eastAsia="宋体" w:cs="宋体"/>
                <w:sz w:val="21"/>
                <w:szCs w:val="21"/>
              </w:rPr>
            </w:pPr>
            <w:r>
              <w:rPr>
                <w:rFonts w:ascii="宋体" w:hAnsi="宋体" w:eastAsia="宋体" w:cs="宋体"/>
                <w:spacing w:val="-6"/>
                <w:sz w:val="21"/>
                <w:szCs w:val="21"/>
              </w:rPr>
              <w:t>13</w:t>
            </w:r>
          </w:p>
        </w:tc>
        <w:tc>
          <w:tcPr>
            <w:tcW w:w="1272" w:type="dxa"/>
            <w:vAlign w:val="top"/>
          </w:tcPr>
          <w:p w14:paraId="323BD06A">
            <w:pPr>
              <w:spacing w:before="87" w:line="220" w:lineRule="auto"/>
              <w:ind w:left="328"/>
              <w:rPr>
                <w:rFonts w:ascii="宋体" w:hAnsi="宋体" w:eastAsia="宋体" w:cs="宋体"/>
                <w:sz w:val="21"/>
                <w:szCs w:val="21"/>
              </w:rPr>
            </w:pPr>
            <w:r>
              <w:rPr>
                <w:rFonts w:ascii="宋体" w:hAnsi="宋体" w:eastAsia="宋体" w:cs="宋体"/>
                <w:spacing w:val="-3"/>
                <w:sz w:val="21"/>
                <w:szCs w:val="21"/>
              </w:rPr>
              <w:t>大杜鹃</w:t>
            </w:r>
          </w:p>
        </w:tc>
        <w:tc>
          <w:tcPr>
            <w:tcW w:w="1693" w:type="dxa"/>
            <w:vAlign w:val="top"/>
          </w:tcPr>
          <w:p w14:paraId="1AA9B32A">
            <w:pPr>
              <w:pStyle w:val="6"/>
              <w:spacing w:before="121" w:line="232" w:lineRule="auto"/>
              <w:ind w:left="155"/>
            </w:pPr>
            <w:r>
              <w:rPr>
                <w:i/>
                <w:iCs/>
                <w:spacing w:val="-1"/>
              </w:rPr>
              <w:t>Cuculus canorus</w:t>
            </w:r>
          </w:p>
        </w:tc>
        <w:tc>
          <w:tcPr>
            <w:tcW w:w="845" w:type="dxa"/>
            <w:tcBorders>
              <w:right w:val="single" w:color="000000" w:sz="12" w:space="0"/>
            </w:tcBorders>
            <w:vAlign w:val="top"/>
          </w:tcPr>
          <w:p w14:paraId="0BB3542B">
            <w:pPr>
              <w:rPr>
                <w:rFonts w:ascii="Arial"/>
                <w:sz w:val="21"/>
              </w:rPr>
            </w:pPr>
          </w:p>
        </w:tc>
      </w:tr>
      <w:tr w14:paraId="11D0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3AA3036">
            <w:pPr>
              <w:pStyle w:val="6"/>
              <w:spacing w:before="128" w:line="186" w:lineRule="auto"/>
              <w:ind w:left="276"/>
            </w:pPr>
            <w:r>
              <w:rPr>
                <w:b/>
                <w:bCs/>
                <w:spacing w:val="-3"/>
              </w:rPr>
              <w:t>O7</w:t>
            </w:r>
          </w:p>
        </w:tc>
        <w:tc>
          <w:tcPr>
            <w:tcW w:w="1270" w:type="dxa"/>
            <w:vAlign w:val="top"/>
          </w:tcPr>
          <w:p w14:paraId="7B45FF77">
            <w:pPr>
              <w:spacing w:before="89" w:line="220" w:lineRule="auto"/>
              <w:ind w:left="313"/>
              <w:rPr>
                <w:rFonts w:ascii="宋体" w:hAnsi="宋体" w:eastAsia="宋体" w:cs="宋体"/>
                <w:sz w:val="21"/>
                <w:szCs w:val="21"/>
              </w:rPr>
            </w:pPr>
            <w:r>
              <w:rPr>
                <w:rFonts w:ascii="宋体" w:hAnsi="宋体" w:eastAsia="宋体" w:cs="宋体"/>
                <w:b/>
                <w:bCs/>
                <w:spacing w:val="-4"/>
                <w:sz w:val="21"/>
                <w:szCs w:val="21"/>
              </w:rPr>
              <w:t>鹤形目</w:t>
            </w:r>
          </w:p>
        </w:tc>
        <w:tc>
          <w:tcPr>
            <w:tcW w:w="1554" w:type="dxa"/>
            <w:vAlign w:val="top"/>
          </w:tcPr>
          <w:p w14:paraId="41EDDD4F">
            <w:pPr>
              <w:pStyle w:val="6"/>
              <w:spacing w:before="127" w:line="187" w:lineRule="auto"/>
              <w:ind w:left="249"/>
            </w:pPr>
            <w:r>
              <w:rPr>
                <w:b/>
                <w:bCs/>
                <w:spacing w:val="-1"/>
              </w:rPr>
              <w:t>Gruiformes</w:t>
            </w:r>
          </w:p>
        </w:tc>
        <w:tc>
          <w:tcPr>
            <w:tcW w:w="989" w:type="dxa"/>
            <w:vAlign w:val="top"/>
          </w:tcPr>
          <w:p w14:paraId="2DDAE958">
            <w:pPr>
              <w:pStyle w:val="6"/>
              <w:spacing w:before="128" w:line="186" w:lineRule="auto"/>
              <w:ind w:left="362"/>
            </w:pPr>
            <w:r>
              <w:rPr>
                <w:b/>
                <w:bCs/>
                <w:spacing w:val="-3"/>
              </w:rPr>
              <w:t>O7</w:t>
            </w:r>
          </w:p>
        </w:tc>
        <w:tc>
          <w:tcPr>
            <w:tcW w:w="1272" w:type="dxa"/>
            <w:vAlign w:val="top"/>
          </w:tcPr>
          <w:p w14:paraId="00ECCF0A">
            <w:pPr>
              <w:spacing w:before="89" w:line="220" w:lineRule="auto"/>
              <w:ind w:left="326"/>
              <w:rPr>
                <w:rFonts w:ascii="宋体" w:hAnsi="宋体" w:eastAsia="宋体" w:cs="宋体"/>
                <w:sz w:val="21"/>
                <w:szCs w:val="21"/>
              </w:rPr>
            </w:pPr>
            <w:r>
              <w:rPr>
                <w:rFonts w:ascii="宋体" w:hAnsi="宋体" w:eastAsia="宋体" w:cs="宋体"/>
                <w:b/>
                <w:bCs/>
                <w:spacing w:val="-4"/>
                <w:sz w:val="21"/>
                <w:szCs w:val="21"/>
              </w:rPr>
              <w:t>鹤形目</w:t>
            </w:r>
          </w:p>
        </w:tc>
        <w:tc>
          <w:tcPr>
            <w:tcW w:w="1693" w:type="dxa"/>
            <w:vAlign w:val="top"/>
          </w:tcPr>
          <w:p w14:paraId="1F87E519">
            <w:pPr>
              <w:pStyle w:val="6"/>
              <w:spacing w:before="127" w:line="187" w:lineRule="auto"/>
              <w:ind w:left="333"/>
            </w:pPr>
            <w:r>
              <w:rPr>
                <w:b/>
                <w:bCs/>
                <w:spacing w:val="-1"/>
              </w:rPr>
              <w:t>Gruiformes</w:t>
            </w:r>
          </w:p>
        </w:tc>
        <w:tc>
          <w:tcPr>
            <w:tcW w:w="845" w:type="dxa"/>
            <w:tcBorders>
              <w:right w:val="single" w:color="000000" w:sz="12" w:space="0"/>
            </w:tcBorders>
            <w:vAlign w:val="top"/>
          </w:tcPr>
          <w:p w14:paraId="1A034602">
            <w:pPr>
              <w:rPr>
                <w:rFonts w:ascii="Arial"/>
                <w:sz w:val="21"/>
              </w:rPr>
            </w:pPr>
          </w:p>
        </w:tc>
      </w:tr>
      <w:tr w14:paraId="38C2D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CA26123">
            <w:pPr>
              <w:pStyle w:val="6"/>
              <w:spacing w:before="131" w:line="183" w:lineRule="auto"/>
              <w:ind w:left="291"/>
            </w:pPr>
            <w:r>
              <w:rPr>
                <w:b/>
                <w:bCs/>
                <w:spacing w:val="-2"/>
              </w:rPr>
              <w:t>F7</w:t>
            </w:r>
          </w:p>
        </w:tc>
        <w:tc>
          <w:tcPr>
            <w:tcW w:w="1270" w:type="dxa"/>
            <w:vAlign w:val="top"/>
          </w:tcPr>
          <w:p w14:paraId="276A7FD3">
            <w:pPr>
              <w:spacing w:before="89" w:line="219" w:lineRule="auto"/>
              <w:ind w:left="310"/>
              <w:rPr>
                <w:rFonts w:ascii="宋体" w:hAnsi="宋体" w:eastAsia="宋体" w:cs="宋体"/>
                <w:sz w:val="21"/>
                <w:szCs w:val="21"/>
              </w:rPr>
            </w:pPr>
            <w:r>
              <w:rPr>
                <w:rFonts w:ascii="宋体" w:hAnsi="宋体" w:eastAsia="宋体" w:cs="宋体"/>
                <w:b/>
                <w:bCs/>
                <w:spacing w:val="-4"/>
                <w:sz w:val="21"/>
                <w:szCs w:val="21"/>
              </w:rPr>
              <w:t>秧鸡科</w:t>
            </w:r>
          </w:p>
        </w:tc>
        <w:tc>
          <w:tcPr>
            <w:tcW w:w="1554" w:type="dxa"/>
            <w:vAlign w:val="top"/>
          </w:tcPr>
          <w:p w14:paraId="2A16ECB7">
            <w:pPr>
              <w:pStyle w:val="6"/>
              <w:spacing w:before="128" w:line="186" w:lineRule="auto"/>
              <w:ind w:left="397"/>
            </w:pPr>
            <w:r>
              <w:rPr>
                <w:b/>
                <w:bCs/>
                <w:spacing w:val="-1"/>
              </w:rPr>
              <w:t>Rallidae</w:t>
            </w:r>
          </w:p>
        </w:tc>
        <w:tc>
          <w:tcPr>
            <w:tcW w:w="989" w:type="dxa"/>
            <w:vAlign w:val="top"/>
          </w:tcPr>
          <w:p w14:paraId="6A6B7F31">
            <w:pPr>
              <w:pStyle w:val="6"/>
              <w:spacing w:before="131" w:line="183" w:lineRule="auto"/>
              <w:ind w:left="376"/>
            </w:pPr>
            <w:r>
              <w:rPr>
                <w:b/>
                <w:bCs/>
                <w:spacing w:val="-2"/>
              </w:rPr>
              <w:t>F7</w:t>
            </w:r>
          </w:p>
        </w:tc>
        <w:tc>
          <w:tcPr>
            <w:tcW w:w="1272" w:type="dxa"/>
            <w:vAlign w:val="top"/>
          </w:tcPr>
          <w:p w14:paraId="4D4EB82C">
            <w:pPr>
              <w:spacing w:before="89" w:line="219" w:lineRule="auto"/>
              <w:ind w:left="323"/>
              <w:rPr>
                <w:rFonts w:ascii="宋体" w:hAnsi="宋体" w:eastAsia="宋体" w:cs="宋体"/>
                <w:sz w:val="21"/>
                <w:szCs w:val="21"/>
              </w:rPr>
            </w:pPr>
            <w:r>
              <w:rPr>
                <w:rFonts w:ascii="宋体" w:hAnsi="宋体" w:eastAsia="宋体" w:cs="宋体"/>
                <w:b/>
                <w:bCs/>
                <w:spacing w:val="-4"/>
                <w:sz w:val="21"/>
                <w:szCs w:val="21"/>
              </w:rPr>
              <w:t>秧鸡科</w:t>
            </w:r>
          </w:p>
        </w:tc>
        <w:tc>
          <w:tcPr>
            <w:tcW w:w="1693" w:type="dxa"/>
            <w:vAlign w:val="top"/>
          </w:tcPr>
          <w:p w14:paraId="15E5CF49">
            <w:pPr>
              <w:pStyle w:val="6"/>
              <w:spacing w:before="128" w:line="186" w:lineRule="auto"/>
              <w:ind w:left="481"/>
            </w:pPr>
            <w:r>
              <w:rPr>
                <w:b/>
                <w:bCs/>
                <w:spacing w:val="-1"/>
              </w:rPr>
              <w:t>Rallidae</w:t>
            </w:r>
          </w:p>
        </w:tc>
        <w:tc>
          <w:tcPr>
            <w:tcW w:w="845" w:type="dxa"/>
            <w:tcBorders>
              <w:right w:val="single" w:color="000000" w:sz="12" w:space="0"/>
            </w:tcBorders>
            <w:vAlign w:val="top"/>
          </w:tcPr>
          <w:p w14:paraId="1E0642B4">
            <w:pPr>
              <w:rPr>
                <w:rFonts w:ascii="Arial"/>
                <w:sz w:val="21"/>
              </w:rPr>
            </w:pPr>
          </w:p>
        </w:tc>
      </w:tr>
      <w:tr w14:paraId="27DFA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5324530">
            <w:pPr>
              <w:spacing w:before="222" w:line="223" w:lineRule="auto"/>
              <w:ind w:left="303"/>
              <w:rPr>
                <w:rFonts w:ascii="宋体" w:hAnsi="宋体" w:eastAsia="宋体" w:cs="宋体"/>
                <w:sz w:val="21"/>
                <w:szCs w:val="21"/>
              </w:rPr>
            </w:pPr>
            <w:r>
              <w:rPr>
                <w:rFonts w:ascii="宋体" w:hAnsi="宋体" w:eastAsia="宋体" w:cs="宋体"/>
                <w:spacing w:val="-1"/>
                <w:sz w:val="21"/>
                <w:szCs w:val="21"/>
              </w:rPr>
              <w:t>20</w:t>
            </w:r>
          </w:p>
        </w:tc>
        <w:tc>
          <w:tcPr>
            <w:tcW w:w="1270" w:type="dxa"/>
            <w:vAlign w:val="top"/>
          </w:tcPr>
          <w:p w14:paraId="4A49C70D">
            <w:pPr>
              <w:spacing w:before="189" w:line="221" w:lineRule="auto"/>
              <w:ind w:left="419"/>
              <w:rPr>
                <w:rFonts w:ascii="宋体" w:hAnsi="宋体" w:eastAsia="宋体" w:cs="宋体"/>
                <w:sz w:val="21"/>
                <w:szCs w:val="21"/>
              </w:rPr>
            </w:pPr>
            <w:r>
              <w:rPr>
                <w:rFonts w:ascii="宋体" w:hAnsi="宋体" w:eastAsia="宋体" w:cs="宋体"/>
                <w:spacing w:val="-3"/>
                <w:sz w:val="21"/>
                <w:szCs w:val="21"/>
              </w:rPr>
              <w:t>董鸡</w:t>
            </w:r>
          </w:p>
        </w:tc>
        <w:tc>
          <w:tcPr>
            <w:tcW w:w="1554" w:type="dxa"/>
            <w:vAlign w:val="top"/>
          </w:tcPr>
          <w:p w14:paraId="0BC08376">
            <w:pPr>
              <w:pStyle w:val="6"/>
              <w:spacing w:before="102" w:line="190" w:lineRule="auto"/>
              <w:ind w:left="383"/>
            </w:pPr>
            <w:r>
              <w:rPr>
                <w:i/>
                <w:iCs/>
                <w:spacing w:val="-2"/>
              </w:rPr>
              <w:t>Gallicrex</w:t>
            </w:r>
          </w:p>
          <w:p w14:paraId="30FDCD8F">
            <w:pPr>
              <w:pStyle w:val="6"/>
              <w:spacing w:before="50" w:line="211" w:lineRule="auto"/>
              <w:ind w:left="456"/>
            </w:pPr>
            <w:r>
              <w:rPr>
                <w:i/>
                <w:iCs/>
                <w:spacing w:val="-1"/>
              </w:rPr>
              <w:t>cinerea</w:t>
            </w:r>
          </w:p>
        </w:tc>
        <w:tc>
          <w:tcPr>
            <w:tcW w:w="989" w:type="dxa"/>
            <w:vAlign w:val="top"/>
          </w:tcPr>
          <w:p w14:paraId="1A387D29">
            <w:pPr>
              <w:rPr>
                <w:rFonts w:ascii="Arial"/>
                <w:sz w:val="21"/>
              </w:rPr>
            </w:pPr>
          </w:p>
        </w:tc>
        <w:tc>
          <w:tcPr>
            <w:tcW w:w="1272" w:type="dxa"/>
            <w:vAlign w:val="top"/>
          </w:tcPr>
          <w:p w14:paraId="3F6D4FF8">
            <w:pPr>
              <w:rPr>
                <w:rFonts w:ascii="Arial"/>
                <w:sz w:val="21"/>
              </w:rPr>
            </w:pPr>
          </w:p>
        </w:tc>
        <w:tc>
          <w:tcPr>
            <w:tcW w:w="1693" w:type="dxa"/>
            <w:vAlign w:val="top"/>
          </w:tcPr>
          <w:p w14:paraId="499D883D">
            <w:pPr>
              <w:rPr>
                <w:rFonts w:ascii="Arial"/>
                <w:sz w:val="21"/>
              </w:rPr>
            </w:pPr>
          </w:p>
        </w:tc>
        <w:tc>
          <w:tcPr>
            <w:tcW w:w="845" w:type="dxa"/>
            <w:tcBorders>
              <w:right w:val="single" w:color="000000" w:sz="12" w:space="0"/>
            </w:tcBorders>
            <w:vAlign w:val="top"/>
          </w:tcPr>
          <w:p w14:paraId="498A0E78">
            <w:pPr>
              <w:rPr>
                <w:rFonts w:ascii="Arial"/>
                <w:sz w:val="21"/>
              </w:rPr>
            </w:pPr>
          </w:p>
        </w:tc>
      </w:tr>
      <w:tr w14:paraId="1C42C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DC56F07">
            <w:pPr>
              <w:spacing w:before="225" w:line="224" w:lineRule="auto"/>
              <w:ind w:left="303"/>
              <w:rPr>
                <w:rFonts w:ascii="宋体" w:hAnsi="宋体" w:eastAsia="宋体" w:cs="宋体"/>
                <w:sz w:val="21"/>
                <w:szCs w:val="21"/>
              </w:rPr>
            </w:pPr>
            <w:r>
              <w:rPr>
                <w:rFonts w:ascii="宋体" w:hAnsi="宋体" w:eastAsia="宋体" w:cs="宋体"/>
                <w:spacing w:val="-1"/>
                <w:sz w:val="21"/>
                <w:szCs w:val="21"/>
              </w:rPr>
              <w:t>21</w:t>
            </w:r>
          </w:p>
        </w:tc>
        <w:tc>
          <w:tcPr>
            <w:tcW w:w="1270" w:type="dxa"/>
            <w:vAlign w:val="top"/>
          </w:tcPr>
          <w:p w14:paraId="57DA600B">
            <w:pPr>
              <w:spacing w:before="191" w:line="220" w:lineRule="auto"/>
              <w:ind w:left="318"/>
              <w:rPr>
                <w:rFonts w:ascii="宋体" w:hAnsi="宋体" w:eastAsia="宋体" w:cs="宋体"/>
                <w:sz w:val="21"/>
                <w:szCs w:val="21"/>
              </w:rPr>
            </w:pPr>
            <w:r>
              <w:rPr>
                <w:rFonts w:ascii="宋体" w:hAnsi="宋体" w:eastAsia="宋体" w:cs="宋体"/>
                <w:spacing w:val="-4"/>
                <w:sz w:val="21"/>
                <w:szCs w:val="21"/>
              </w:rPr>
              <w:t>黑水鸡</w:t>
            </w:r>
          </w:p>
        </w:tc>
        <w:tc>
          <w:tcPr>
            <w:tcW w:w="1554" w:type="dxa"/>
            <w:vAlign w:val="top"/>
          </w:tcPr>
          <w:p w14:paraId="54D6BDA3">
            <w:pPr>
              <w:pStyle w:val="6"/>
              <w:spacing w:before="103" w:line="190" w:lineRule="auto"/>
              <w:ind w:left="377"/>
            </w:pPr>
            <w:r>
              <w:rPr>
                <w:i/>
                <w:iCs/>
                <w:spacing w:val="-2"/>
              </w:rPr>
              <w:t>Gallinula</w:t>
            </w:r>
          </w:p>
          <w:p w14:paraId="4A350143">
            <w:pPr>
              <w:pStyle w:val="6"/>
              <w:spacing w:before="50" w:line="190" w:lineRule="auto"/>
              <w:ind w:left="352"/>
            </w:pPr>
            <w:r>
              <w:rPr>
                <w:i/>
                <w:iCs/>
                <w:spacing w:val="-1"/>
              </w:rPr>
              <w:t>chloropus</w:t>
            </w:r>
          </w:p>
        </w:tc>
        <w:tc>
          <w:tcPr>
            <w:tcW w:w="989" w:type="dxa"/>
            <w:vAlign w:val="top"/>
          </w:tcPr>
          <w:p w14:paraId="04168349">
            <w:pPr>
              <w:spacing w:before="225" w:line="224" w:lineRule="auto"/>
              <w:ind w:left="407"/>
              <w:rPr>
                <w:rFonts w:ascii="宋体" w:hAnsi="宋体" w:eastAsia="宋体" w:cs="宋体"/>
                <w:sz w:val="21"/>
                <w:szCs w:val="21"/>
              </w:rPr>
            </w:pPr>
            <w:r>
              <w:rPr>
                <w:rFonts w:ascii="宋体" w:hAnsi="宋体" w:eastAsia="宋体" w:cs="宋体"/>
                <w:spacing w:val="-6"/>
                <w:sz w:val="21"/>
                <w:szCs w:val="21"/>
              </w:rPr>
              <w:t>14</w:t>
            </w:r>
          </w:p>
        </w:tc>
        <w:tc>
          <w:tcPr>
            <w:tcW w:w="1272" w:type="dxa"/>
            <w:vAlign w:val="top"/>
          </w:tcPr>
          <w:p w14:paraId="2FA24A1B">
            <w:pPr>
              <w:spacing w:before="191" w:line="220" w:lineRule="auto"/>
              <w:ind w:left="331"/>
              <w:rPr>
                <w:rFonts w:ascii="宋体" w:hAnsi="宋体" w:eastAsia="宋体" w:cs="宋体"/>
                <w:sz w:val="21"/>
                <w:szCs w:val="21"/>
              </w:rPr>
            </w:pPr>
            <w:r>
              <w:rPr>
                <w:rFonts w:ascii="宋体" w:hAnsi="宋体" w:eastAsia="宋体" w:cs="宋体"/>
                <w:spacing w:val="-4"/>
                <w:sz w:val="21"/>
                <w:szCs w:val="21"/>
              </w:rPr>
              <w:t>黑水鸡</w:t>
            </w:r>
          </w:p>
        </w:tc>
        <w:tc>
          <w:tcPr>
            <w:tcW w:w="1693" w:type="dxa"/>
            <w:vAlign w:val="top"/>
          </w:tcPr>
          <w:p w14:paraId="6C66D432">
            <w:pPr>
              <w:pStyle w:val="6"/>
              <w:spacing w:before="103" w:line="190" w:lineRule="auto"/>
              <w:ind w:left="462"/>
            </w:pPr>
            <w:r>
              <w:rPr>
                <w:i/>
                <w:iCs/>
                <w:spacing w:val="-2"/>
              </w:rPr>
              <w:t>Gallinula</w:t>
            </w:r>
          </w:p>
          <w:p w14:paraId="18B95AE4">
            <w:pPr>
              <w:pStyle w:val="6"/>
              <w:spacing w:before="50" w:line="190" w:lineRule="auto"/>
              <w:ind w:left="436"/>
            </w:pPr>
            <w:r>
              <w:rPr>
                <w:i/>
                <w:iCs/>
                <w:spacing w:val="-1"/>
              </w:rPr>
              <w:t>chloropus</w:t>
            </w:r>
          </w:p>
        </w:tc>
        <w:tc>
          <w:tcPr>
            <w:tcW w:w="845" w:type="dxa"/>
            <w:tcBorders>
              <w:right w:val="single" w:color="000000" w:sz="12" w:space="0"/>
            </w:tcBorders>
            <w:vAlign w:val="top"/>
          </w:tcPr>
          <w:p w14:paraId="00217C30">
            <w:pPr>
              <w:rPr>
                <w:rFonts w:ascii="Arial"/>
                <w:sz w:val="21"/>
              </w:rPr>
            </w:pPr>
          </w:p>
        </w:tc>
      </w:tr>
      <w:tr w14:paraId="1F02F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0283C4E5">
            <w:pPr>
              <w:spacing w:before="126" w:line="205" w:lineRule="auto"/>
              <w:ind w:left="303"/>
              <w:rPr>
                <w:rFonts w:ascii="宋体" w:hAnsi="宋体" w:eastAsia="宋体" w:cs="宋体"/>
                <w:sz w:val="21"/>
                <w:szCs w:val="21"/>
              </w:rPr>
            </w:pPr>
            <w:r>
              <w:rPr>
                <w:rFonts w:ascii="宋体" w:hAnsi="宋体" w:eastAsia="宋体" w:cs="宋体"/>
                <w:spacing w:val="-1"/>
                <w:sz w:val="21"/>
                <w:szCs w:val="21"/>
              </w:rPr>
              <w:t>22</w:t>
            </w:r>
          </w:p>
        </w:tc>
        <w:tc>
          <w:tcPr>
            <w:tcW w:w="1270" w:type="dxa"/>
            <w:vAlign w:val="top"/>
          </w:tcPr>
          <w:p w14:paraId="732C5E79">
            <w:pPr>
              <w:spacing w:before="92" w:line="220" w:lineRule="auto"/>
              <w:ind w:left="343"/>
              <w:rPr>
                <w:rFonts w:ascii="宋体" w:hAnsi="宋体" w:eastAsia="宋体" w:cs="宋体"/>
                <w:sz w:val="21"/>
                <w:szCs w:val="21"/>
              </w:rPr>
            </w:pPr>
            <w:r>
              <w:rPr>
                <w:rFonts w:ascii="宋体" w:hAnsi="宋体" w:eastAsia="宋体" w:cs="宋体"/>
                <w:spacing w:val="-9"/>
                <w:sz w:val="21"/>
                <w:szCs w:val="21"/>
              </w:rPr>
              <w:t>白骨顶</w:t>
            </w:r>
          </w:p>
        </w:tc>
        <w:tc>
          <w:tcPr>
            <w:tcW w:w="1554" w:type="dxa"/>
            <w:vAlign w:val="top"/>
          </w:tcPr>
          <w:p w14:paraId="4945569A">
            <w:pPr>
              <w:pStyle w:val="6"/>
              <w:spacing w:before="126" w:line="232" w:lineRule="auto"/>
              <w:ind w:left="286"/>
            </w:pPr>
            <w:r>
              <w:rPr>
                <w:i/>
                <w:iCs/>
              </w:rPr>
              <w:t>Fulica</w:t>
            </w:r>
            <w:r>
              <w:rPr>
                <w:i/>
                <w:iCs/>
                <w:spacing w:val="9"/>
              </w:rPr>
              <w:t xml:space="preserve"> </w:t>
            </w:r>
            <w:r>
              <w:rPr>
                <w:i/>
                <w:iCs/>
              </w:rPr>
              <w:t>atra</w:t>
            </w:r>
          </w:p>
        </w:tc>
        <w:tc>
          <w:tcPr>
            <w:tcW w:w="989" w:type="dxa"/>
            <w:vAlign w:val="top"/>
          </w:tcPr>
          <w:p w14:paraId="260426FB">
            <w:pPr>
              <w:rPr>
                <w:rFonts w:ascii="Arial"/>
                <w:sz w:val="21"/>
              </w:rPr>
            </w:pPr>
          </w:p>
        </w:tc>
        <w:tc>
          <w:tcPr>
            <w:tcW w:w="1272" w:type="dxa"/>
            <w:vAlign w:val="top"/>
          </w:tcPr>
          <w:p w14:paraId="5A7FE527">
            <w:pPr>
              <w:rPr>
                <w:rFonts w:ascii="Arial"/>
                <w:sz w:val="21"/>
              </w:rPr>
            </w:pPr>
          </w:p>
        </w:tc>
        <w:tc>
          <w:tcPr>
            <w:tcW w:w="1693" w:type="dxa"/>
            <w:vAlign w:val="top"/>
          </w:tcPr>
          <w:p w14:paraId="6AEE0444">
            <w:pPr>
              <w:rPr>
                <w:rFonts w:ascii="Arial"/>
                <w:sz w:val="21"/>
              </w:rPr>
            </w:pPr>
          </w:p>
        </w:tc>
        <w:tc>
          <w:tcPr>
            <w:tcW w:w="845" w:type="dxa"/>
            <w:tcBorders>
              <w:right w:val="single" w:color="000000" w:sz="12" w:space="0"/>
            </w:tcBorders>
            <w:vAlign w:val="top"/>
          </w:tcPr>
          <w:p w14:paraId="2BB59038">
            <w:pPr>
              <w:rPr>
                <w:rFonts w:ascii="Arial"/>
                <w:sz w:val="21"/>
              </w:rPr>
            </w:pPr>
          </w:p>
        </w:tc>
      </w:tr>
      <w:tr w14:paraId="0B7C1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E39DC82">
            <w:pPr>
              <w:pStyle w:val="6"/>
              <w:spacing w:before="230" w:line="186" w:lineRule="auto"/>
              <w:ind w:left="276"/>
            </w:pPr>
            <w:r>
              <w:rPr>
                <w:b/>
                <w:bCs/>
                <w:spacing w:val="-3"/>
              </w:rPr>
              <w:t>O8</w:t>
            </w:r>
          </w:p>
        </w:tc>
        <w:tc>
          <w:tcPr>
            <w:tcW w:w="1270" w:type="dxa"/>
            <w:vAlign w:val="top"/>
          </w:tcPr>
          <w:p w14:paraId="5D446E6D">
            <w:pPr>
              <w:spacing w:before="191" w:line="219" w:lineRule="auto"/>
              <w:ind w:left="310"/>
              <w:rPr>
                <w:rFonts w:ascii="宋体" w:hAnsi="宋体" w:eastAsia="宋体" w:cs="宋体"/>
                <w:sz w:val="21"/>
                <w:szCs w:val="21"/>
              </w:rPr>
            </w:pPr>
            <w:r>
              <w:rPr>
                <w:rFonts w:ascii="宋体" w:hAnsi="宋体" w:eastAsia="宋体" w:cs="宋体"/>
                <w:b/>
                <w:bCs/>
                <w:spacing w:val="-4"/>
                <w:sz w:val="21"/>
                <w:szCs w:val="21"/>
              </w:rPr>
              <w:t>鸻形目</w:t>
            </w:r>
          </w:p>
        </w:tc>
        <w:tc>
          <w:tcPr>
            <w:tcW w:w="1554" w:type="dxa"/>
            <w:vAlign w:val="top"/>
          </w:tcPr>
          <w:p w14:paraId="26968E45">
            <w:pPr>
              <w:pStyle w:val="6"/>
              <w:spacing w:before="110" w:line="186" w:lineRule="auto"/>
              <w:ind w:left="57"/>
            </w:pPr>
            <w:r>
              <w:rPr>
                <w:b/>
                <w:bCs/>
                <w:spacing w:val="-1"/>
              </w:rPr>
              <w:t>Charadriiforme</w:t>
            </w:r>
          </w:p>
          <w:p w14:paraId="39B59001">
            <w:pPr>
              <w:pStyle w:val="6"/>
              <w:spacing w:before="53" w:line="203" w:lineRule="auto"/>
              <w:ind w:left="733"/>
            </w:pPr>
            <w:r>
              <w:rPr>
                <w:b/>
                <w:bCs/>
              </w:rPr>
              <w:t>s</w:t>
            </w:r>
          </w:p>
        </w:tc>
        <w:tc>
          <w:tcPr>
            <w:tcW w:w="989" w:type="dxa"/>
            <w:vAlign w:val="top"/>
          </w:tcPr>
          <w:p w14:paraId="210900CF">
            <w:pPr>
              <w:pStyle w:val="6"/>
              <w:spacing w:before="230" w:line="186" w:lineRule="auto"/>
              <w:ind w:left="362"/>
            </w:pPr>
            <w:r>
              <w:rPr>
                <w:b/>
                <w:bCs/>
                <w:spacing w:val="-3"/>
              </w:rPr>
              <w:t>O8</w:t>
            </w:r>
          </w:p>
        </w:tc>
        <w:tc>
          <w:tcPr>
            <w:tcW w:w="1272" w:type="dxa"/>
            <w:vAlign w:val="top"/>
          </w:tcPr>
          <w:p w14:paraId="2AE84D43">
            <w:pPr>
              <w:spacing w:before="191" w:line="219" w:lineRule="auto"/>
              <w:ind w:left="323"/>
              <w:rPr>
                <w:rFonts w:ascii="宋体" w:hAnsi="宋体" w:eastAsia="宋体" w:cs="宋体"/>
                <w:sz w:val="21"/>
                <w:szCs w:val="21"/>
              </w:rPr>
            </w:pPr>
            <w:r>
              <w:rPr>
                <w:rFonts w:ascii="宋体" w:hAnsi="宋体" w:eastAsia="宋体" w:cs="宋体"/>
                <w:b/>
                <w:bCs/>
                <w:spacing w:val="-4"/>
                <w:sz w:val="21"/>
                <w:szCs w:val="21"/>
              </w:rPr>
              <w:t>鸻形目</w:t>
            </w:r>
          </w:p>
        </w:tc>
        <w:tc>
          <w:tcPr>
            <w:tcW w:w="1693" w:type="dxa"/>
            <w:vAlign w:val="top"/>
          </w:tcPr>
          <w:p w14:paraId="5881A6EC">
            <w:pPr>
              <w:pStyle w:val="6"/>
              <w:spacing w:before="230" w:line="186" w:lineRule="auto"/>
              <w:ind w:left="100"/>
            </w:pPr>
            <w:r>
              <w:rPr>
                <w:b/>
                <w:bCs/>
                <w:spacing w:val="-1"/>
              </w:rPr>
              <w:t>Charadriiformes</w:t>
            </w:r>
          </w:p>
        </w:tc>
        <w:tc>
          <w:tcPr>
            <w:tcW w:w="845" w:type="dxa"/>
            <w:tcBorders>
              <w:right w:val="single" w:color="000000" w:sz="12" w:space="0"/>
            </w:tcBorders>
            <w:vAlign w:val="top"/>
          </w:tcPr>
          <w:p w14:paraId="7EB955D0">
            <w:pPr>
              <w:rPr>
                <w:rFonts w:ascii="Arial"/>
                <w:sz w:val="21"/>
              </w:rPr>
            </w:pPr>
          </w:p>
        </w:tc>
      </w:tr>
      <w:tr w14:paraId="19B5C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350A833">
            <w:pPr>
              <w:pStyle w:val="6"/>
              <w:spacing w:before="134" w:line="185" w:lineRule="auto"/>
              <w:ind w:left="291"/>
            </w:pPr>
            <w:r>
              <w:rPr>
                <w:b/>
                <w:bCs/>
                <w:spacing w:val="-2"/>
              </w:rPr>
              <w:t>F8</w:t>
            </w:r>
          </w:p>
        </w:tc>
        <w:tc>
          <w:tcPr>
            <w:tcW w:w="1270" w:type="dxa"/>
            <w:vAlign w:val="top"/>
          </w:tcPr>
          <w:p w14:paraId="4A924645">
            <w:pPr>
              <w:spacing w:before="94" w:line="219" w:lineRule="auto"/>
              <w:ind w:left="416"/>
              <w:rPr>
                <w:rFonts w:ascii="宋体" w:hAnsi="宋体" w:eastAsia="宋体" w:cs="宋体"/>
                <w:sz w:val="21"/>
                <w:szCs w:val="21"/>
              </w:rPr>
            </w:pPr>
            <w:r>
              <w:rPr>
                <w:rFonts w:ascii="宋体" w:hAnsi="宋体" w:eastAsia="宋体" w:cs="宋体"/>
                <w:b/>
                <w:bCs/>
                <w:spacing w:val="-4"/>
                <w:sz w:val="21"/>
                <w:szCs w:val="21"/>
              </w:rPr>
              <w:t>鹬科</w:t>
            </w:r>
          </w:p>
        </w:tc>
        <w:tc>
          <w:tcPr>
            <w:tcW w:w="1554" w:type="dxa"/>
            <w:vAlign w:val="top"/>
          </w:tcPr>
          <w:p w14:paraId="2E2BB09B">
            <w:pPr>
              <w:pStyle w:val="6"/>
              <w:spacing w:before="133" w:line="187" w:lineRule="auto"/>
              <w:ind w:left="194"/>
            </w:pPr>
            <w:r>
              <w:rPr>
                <w:b/>
                <w:bCs/>
                <w:spacing w:val="-1"/>
              </w:rPr>
              <w:t>Scolopacidae</w:t>
            </w:r>
          </w:p>
        </w:tc>
        <w:tc>
          <w:tcPr>
            <w:tcW w:w="989" w:type="dxa"/>
            <w:vAlign w:val="top"/>
          </w:tcPr>
          <w:p w14:paraId="1D0D0BD4">
            <w:pPr>
              <w:pStyle w:val="6"/>
              <w:spacing w:before="134" w:line="185" w:lineRule="auto"/>
              <w:ind w:left="376"/>
            </w:pPr>
            <w:r>
              <w:rPr>
                <w:b/>
                <w:bCs/>
                <w:spacing w:val="-2"/>
              </w:rPr>
              <w:t>F8</w:t>
            </w:r>
          </w:p>
        </w:tc>
        <w:tc>
          <w:tcPr>
            <w:tcW w:w="1272" w:type="dxa"/>
            <w:vAlign w:val="top"/>
          </w:tcPr>
          <w:p w14:paraId="3616223E">
            <w:pPr>
              <w:spacing w:before="94" w:line="219" w:lineRule="auto"/>
              <w:ind w:left="429"/>
              <w:rPr>
                <w:rFonts w:ascii="宋体" w:hAnsi="宋体" w:eastAsia="宋体" w:cs="宋体"/>
                <w:sz w:val="21"/>
                <w:szCs w:val="21"/>
              </w:rPr>
            </w:pPr>
            <w:r>
              <w:rPr>
                <w:rFonts w:ascii="宋体" w:hAnsi="宋体" w:eastAsia="宋体" w:cs="宋体"/>
                <w:b/>
                <w:bCs/>
                <w:spacing w:val="-4"/>
                <w:sz w:val="21"/>
                <w:szCs w:val="21"/>
              </w:rPr>
              <w:t>鹬科</w:t>
            </w:r>
          </w:p>
        </w:tc>
        <w:tc>
          <w:tcPr>
            <w:tcW w:w="1693" w:type="dxa"/>
            <w:vAlign w:val="top"/>
          </w:tcPr>
          <w:p w14:paraId="29D980C1">
            <w:pPr>
              <w:pStyle w:val="6"/>
              <w:spacing w:before="133" w:line="187" w:lineRule="auto"/>
              <w:ind w:left="278"/>
            </w:pPr>
            <w:r>
              <w:rPr>
                <w:b/>
                <w:bCs/>
                <w:spacing w:val="-1"/>
              </w:rPr>
              <w:t>Scolopacidae</w:t>
            </w:r>
          </w:p>
        </w:tc>
        <w:tc>
          <w:tcPr>
            <w:tcW w:w="845" w:type="dxa"/>
            <w:tcBorders>
              <w:right w:val="single" w:color="000000" w:sz="12" w:space="0"/>
            </w:tcBorders>
            <w:vAlign w:val="top"/>
          </w:tcPr>
          <w:p w14:paraId="6EBE66FE">
            <w:pPr>
              <w:rPr>
                <w:rFonts w:ascii="Arial"/>
                <w:sz w:val="21"/>
              </w:rPr>
            </w:pPr>
          </w:p>
        </w:tc>
      </w:tr>
      <w:tr w14:paraId="69718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2BB2CAE">
            <w:pPr>
              <w:spacing w:before="227" w:line="223" w:lineRule="auto"/>
              <w:ind w:left="303"/>
              <w:rPr>
                <w:rFonts w:ascii="宋体" w:hAnsi="宋体" w:eastAsia="宋体" w:cs="宋体"/>
                <w:sz w:val="21"/>
                <w:szCs w:val="21"/>
              </w:rPr>
            </w:pPr>
            <w:r>
              <w:rPr>
                <w:rFonts w:ascii="宋体" w:hAnsi="宋体" w:eastAsia="宋体" w:cs="宋体"/>
                <w:spacing w:val="-1"/>
                <w:sz w:val="21"/>
                <w:szCs w:val="21"/>
              </w:rPr>
              <w:t>23</w:t>
            </w:r>
          </w:p>
        </w:tc>
        <w:tc>
          <w:tcPr>
            <w:tcW w:w="1270" w:type="dxa"/>
            <w:vAlign w:val="top"/>
          </w:tcPr>
          <w:p w14:paraId="7CF4A99F">
            <w:pPr>
              <w:spacing w:before="195" w:line="220" w:lineRule="auto"/>
              <w:ind w:left="207"/>
              <w:rPr>
                <w:rFonts w:ascii="宋体" w:hAnsi="宋体" w:eastAsia="宋体" w:cs="宋体"/>
                <w:sz w:val="21"/>
                <w:szCs w:val="21"/>
              </w:rPr>
            </w:pPr>
            <w:r>
              <w:rPr>
                <w:rFonts w:ascii="宋体" w:hAnsi="宋体" w:eastAsia="宋体" w:cs="宋体"/>
                <w:spacing w:val="-3"/>
                <w:sz w:val="21"/>
                <w:szCs w:val="21"/>
              </w:rPr>
              <w:t>针尾沙锥</w:t>
            </w:r>
          </w:p>
        </w:tc>
        <w:tc>
          <w:tcPr>
            <w:tcW w:w="1554" w:type="dxa"/>
            <w:vAlign w:val="top"/>
          </w:tcPr>
          <w:p w14:paraId="528EF33A">
            <w:pPr>
              <w:pStyle w:val="6"/>
              <w:spacing w:before="107" w:line="190" w:lineRule="auto"/>
              <w:ind w:left="354"/>
            </w:pPr>
            <w:r>
              <w:rPr>
                <w:i/>
                <w:iCs/>
                <w:spacing w:val="-2"/>
              </w:rPr>
              <w:t>Gallinago</w:t>
            </w:r>
          </w:p>
          <w:p w14:paraId="59C3E9D3">
            <w:pPr>
              <w:pStyle w:val="6"/>
              <w:spacing w:before="50" w:line="207" w:lineRule="auto"/>
              <w:ind w:left="449"/>
            </w:pPr>
            <w:r>
              <w:rPr>
                <w:i/>
                <w:iCs/>
              </w:rPr>
              <w:t>stenura</w:t>
            </w:r>
          </w:p>
        </w:tc>
        <w:tc>
          <w:tcPr>
            <w:tcW w:w="989" w:type="dxa"/>
            <w:vAlign w:val="top"/>
          </w:tcPr>
          <w:p w14:paraId="2E7017F9">
            <w:pPr>
              <w:rPr>
                <w:rFonts w:ascii="Arial"/>
                <w:sz w:val="21"/>
              </w:rPr>
            </w:pPr>
          </w:p>
        </w:tc>
        <w:tc>
          <w:tcPr>
            <w:tcW w:w="1272" w:type="dxa"/>
            <w:vAlign w:val="top"/>
          </w:tcPr>
          <w:p w14:paraId="442075E8">
            <w:pPr>
              <w:rPr>
                <w:rFonts w:ascii="Arial"/>
                <w:sz w:val="21"/>
              </w:rPr>
            </w:pPr>
          </w:p>
        </w:tc>
        <w:tc>
          <w:tcPr>
            <w:tcW w:w="1693" w:type="dxa"/>
            <w:vAlign w:val="top"/>
          </w:tcPr>
          <w:p w14:paraId="510B105E">
            <w:pPr>
              <w:rPr>
                <w:rFonts w:ascii="Arial"/>
                <w:sz w:val="21"/>
              </w:rPr>
            </w:pPr>
          </w:p>
        </w:tc>
        <w:tc>
          <w:tcPr>
            <w:tcW w:w="845" w:type="dxa"/>
            <w:tcBorders>
              <w:right w:val="single" w:color="000000" w:sz="12" w:space="0"/>
            </w:tcBorders>
            <w:vAlign w:val="top"/>
          </w:tcPr>
          <w:p w14:paraId="092C9EC6">
            <w:pPr>
              <w:rPr>
                <w:rFonts w:ascii="Arial"/>
                <w:sz w:val="21"/>
              </w:rPr>
            </w:pPr>
          </w:p>
        </w:tc>
      </w:tr>
      <w:tr w14:paraId="66578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28DE943">
            <w:pPr>
              <w:rPr>
                <w:rFonts w:ascii="Arial"/>
                <w:sz w:val="21"/>
              </w:rPr>
            </w:pPr>
          </w:p>
        </w:tc>
        <w:tc>
          <w:tcPr>
            <w:tcW w:w="1270" w:type="dxa"/>
            <w:vAlign w:val="top"/>
          </w:tcPr>
          <w:p w14:paraId="051F9DE4">
            <w:pPr>
              <w:rPr>
                <w:rFonts w:ascii="Arial"/>
                <w:sz w:val="21"/>
              </w:rPr>
            </w:pPr>
          </w:p>
        </w:tc>
        <w:tc>
          <w:tcPr>
            <w:tcW w:w="1554" w:type="dxa"/>
            <w:vAlign w:val="top"/>
          </w:tcPr>
          <w:p w14:paraId="3490470B">
            <w:pPr>
              <w:rPr>
                <w:rFonts w:ascii="Arial"/>
                <w:sz w:val="21"/>
              </w:rPr>
            </w:pPr>
          </w:p>
        </w:tc>
        <w:tc>
          <w:tcPr>
            <w:tcW w:w="989" w:type="dxa"/>
            <w:vAlign w:val="top"/>
          </w:tcPr>
          <w:p w14:paraId="7C41994D">
            <w:pPr>
              <w:spacing w:before="228" w:line="223" w:lineRule="auto"/>
              <w:ind w:left="407"/>
              <w:rPr>
                <w:rFonts w:ascii="宋体" w:hAnsi="宋体" w:eastAsia="宋体" w:cs="宋体"/>
                <w:sz w:val="21"/>
                <w:szCs w:val="21"/>
              </w:rPr>
            </w:pPr>
            <w:r>
              <w:rPr>
                <w:rFonts w:ascii="宋体" w:hAnsi="宋体" w:eastAsia="宋体" w:cs="宋体"/>
                <w:spacing w:val="-6"/>
                <w:sz w:val="21"/>
                <w:szCs w:val="21"/>
              </w:rPr>
              <w:t>15</w:t>
            </w:r>
          </w:p>
        </w:tc>
        <w:tc>
          <w:tcPr>
            <w:tcW w:w="1272" w:type="dxa"/>
            <w:vAlign w:val="top"/>
          </w:tcPr>
          <w:p w14:paraId="1C04210F">
            <w:pPr>
              <w:spacing w:before="195" w:line="220" w:lineRule="auto"/>
              <w:ind w:left="221"/>
              <w:rPr>
                <w:rFonts w:ascii="宋体" w:hAnsi="宋体" w:eastAsia="宋体" w:cs="宋体"/>
                <w:sz w:val="21"/>
                <w:szCs w:val="21"/>
              </w:rPr>
            </w:pPr>
            <w:r>
              <w:rPr>
                <w:rFonts w:ascii="宋体" w:hAnsi="宋体" w:eastAsia="宋体" w:cs="宋体"/>
                <w:spacing w:val="-2"/>
                <w:sz w:val="21"/>
                <w:szCs w:val="21"/>
              </w:rPr>
              <w:t>扇尾沙锥</w:t>
            </w:r>
          </w:p>
        </w:tc>
        <w:tc>
          <w:tcPr>
            <w:tcW w:w="1693" w:type="dxa"/>
            <w:vAlign w:val="top"/>
          </w:tcPr>
          <w:p w14:paraId="764B718E">
            <w:pPr>
              <w:pStyle w:val="6"/>
              <w:spacing w:before="107" w:line="190" w:lineRule="auto"/>
              <w:ind w:left="439"/>
            </w:pPr>
            <w:r>
              <w:rPr>
                <w:i/>
                <w:iCs/>
                <w:spacing w:val="-2"/>
              </w:rPr>
              <w:t>Gallinago</w:t>
            </w:r>
          </w:p>
          <w:p w14:paraId="659B297A">
            <w:pPr>
              <w:pStyle w:val="6"/>
              <w:spacing w:before="51" w:line="190" w:lineRule="auto"/>
              <w:ind w:left="442"/>
            </w:pPr>
            <w:r>
              <w:rPr>
                <w:i/>
                <w:iCs/>
              </w:rPr>
              <w:t>gallinago</w:t>
            </w:r>
          </w:p>
        </w:tc>
        <w:tc>
          <w:tcPr>
            <w:tcW w:w="845" w:type="dxa"/>
            <w:tcBorders>
              <w:right w:val="single" w:color="000000" w:sz="12" w:space="0"/>
            </w:tcBorders>
            <w:vAlign w:val="top"/>
          </w:tcPr>
          <w:p w14:paraId="1673D244">
            <w:pPr>
              <w:rPr>
                <w:rFonts w:ascii="Arial"/>
                <w:sz w:val="21"/>
              </w:rPr>
            </w:pPr>
          </w:p>
        </w:tc>
      </w:tr>
      <w:tr w14:paraId="55918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130D410B">
            <w:pPr>
              <w:spacing w:before="131" w:line="200" w:lineRule="auto"/>
              <w:ind w:left="303"/>
              <w:rPr>
                <w:rFonts w:ascii="宋体" w:hAnsi="宋体" w:eastAsia="宋体" w:cs="宋体"/>
                <w:sz w:val="21"/>
                <w:szCs w:val="21"/>
              </w:rPr>
            </w:pPr>
            <w:r>
              <w:rPr>
                <w:rFonts w:ascii="宋体" w:hAnsi="宋体" w:eastAsia="宋体" w:cs="宋体"/>
                <w:spacing w:val="-1"/>
                <w:sz w:val="21"/>
                <w:szCs w:val="21"/>
              </w:rPr>
              <w:t>24</w:t>
            </w:r>
          </w:p>
        </w:tc>
        <w:tc>
          <w:tcPr>
            <w:tcW w:w="1270" w:type="dxa"/>
            <w:vAlign w:val="top"/>
          </w:tcPr>
          <w:p w14:paraId="632EC5FC">
            <w:pPr>
              <w:spacing w:before="97" w:line="219" w:lineRule="auto"/>
              <w:ind w:left="312"/>
              <w:rPr>
                <w:rFonts w:ascii="宋体" w:hAnsi="宋体" w:eastAsia="宋体" w:cs="宋体"/>
                <w:sz w:val="21"/>
                <w:szCs w:val="21"/>
              </w:rPr>
            </w:pPr>
            <w:r>
              <w:rPr>
                <w:rFonts w:ascii="宋体" w:hAnsi="宋体" w:eastAsia="宋体" w:cs="宋体"/>
                <w:spacing w:val="-2"/>
                <w:sz w:val="21"/>
                <w:szCs w:val="21"/>
              </w:rPr>
              <w:t>青脚鹬</w:t>
            </w:r>
          </w:p>
        </w:tc>
        <w:tc>
          <w:tcPr>
            <w:tcW w:w="1554" w:type="dxa"/>
            <w:vAlign w:val="top"/>
          </w:tcPr>
          <w:p w14:paraId="49F0CA78">
            <w:pPr>
              <w:pStyle w:val="6"/>
              <w:spacing w:before="131" w:line="190" w:lineRule="auto"/>
              <w:ind w:left="59"/>
            </w:pPr>
            <w:r>
              <w:rPr>
                <w:i/>
                <w:iCs/>
                <w:spacing w:val="-1"/>
              </w:rPr>
              <w:t>Tringa nebularia</w:t>
            </w:r>
          </w:p>
        </w:tc>
        <w:tc>
          <w:tcPr>
            <w:tcW w:w="989" w:type="dxa"/>
            <w:vAlign w:val="top"/>
          </w:tcPr>
          <w:p w14:paraId="33D636F6">
            <w:pPr>
              <w:rPr>
                <w:rFonts w:ascii="Arial"/>
                <w:sz w:val="21"/>
              </w:rPr>
            </w:pPr>
          </w:p>
        </w:tc>
        <w:tc>
          <w:tcPr>
            <w:tcW w:w="1272" w:type="dxa"/>
            <w:vAlign w:val="top"/>
          </w:tcPr>
          <w:p w14:paraId="373763A8">
            <w:pPr>
              <w:rPr>
                <w:rFonts w:ascii="Arial"/>
                <w:sz w:val="21"/>
              </w:rPr>
            </w:pPr>
          </w:p>
        </w:tc>
        <w:tc>
          <w:tcPr>
            <w:tcW w:w="1693" w:type="dxa"/>
            <w:vAlign w:val="top"/>
          </w:tcPr>
          <w:p w14:paraId="7A840676">
            <w:pPr>
              <w:rPr>
                <w:rFonts w:ascii="Arial"/>
                <w:sz w:val="21"/>
              </w:rPr>
            </w:pPr>
          </w:p>
        </w:tc>
        <w:tc>
          <w:tcPr>
            <w:tcW w:w="845" w:type="dxa"/>
            <w:tcBorders>
              <w:right w:val="single" w:color="000000" w:sz="12" w:space="0"/>
            </w:tcBorders>
            <w:vAlign w:val="top"/>
          </w:tcPr>
          <w:p w14:paraId="2A8B66D6">
            <w:pPr>
              <w:rPr>
                <w:rFonts w:ascii="Arial"/>
                <w:sz w:val="21"/>
              </w:rPr>
            </w:pPr>
          </w:p>
        </w:tc>
      </w:tr>
      <w:tr w14:paraId="2DED1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A7C0BE1">
            <w:pPr>
              <w:spacing w:before="133" w:line="199" w:lineRule="auto"/>
              <w:ind w:left="303"/>
              <w:rPr>
                <w:rFonts w:ascii="宋体" w:hAnsi="宋体" w:eastAsia="宋体" w:cs="宋体"/>
                <w:sz w:val="21"/>
                <w:szCs w:val="21"/>
              </w:rPr>
            </w:pPr>
            <w:r>
              <w:rPr>
                <w:rFonts w:ascii="宋体" w:hAnsi="宋体" w:eastAsia="宋体" w:cs="宋体"/>
                <w:spacing w:val="-1"/>
                <w:sz w:val="21"/>
                <w:szCs w:val="21"/>
              </w:rPr>
              <w:t>25</w:t>
            </w:r>
          </w:p>
        </w:tc>
        <w:tc>
          <w:tcPr>
            <w:tcW w:w="1270" w:type="dxa"/>
            <w:vAlign w:val="top"/>
          </w:tcPr>
          <w:p w14:paraId="6E2A6DE8">
            <w:pPr>
              <w:spacing w:before="98" w:line="220" w:lineRule="auto"/>
              <w:ind w:left="237"/>
              <w:rPr>
                <w:rFonts w:ascii="宋体" w:hAnsi="宋体" w:eastAsia="宋体" w:cs="宋体"/>
                <w:sz w:val="21"/>
                <w:szCs w:val="21"/>
              </w:rPr>
            </w:pPr>
            <w:r>
              <w:rPr>
                <w:rFonts w:ascii="宋体" w:hAnsi="宋体" w:eastAsia="宋体" w:cs="宋体"/>
                <w:spacing w:val="-8"/>
                <w:sz w:val="21"/>
                <w:szCs w:val="21"/>
              </w:rPr>
              <w:t>白腰草鹬</w:t>
            </w:r>
          </w:p>
        </w:tc>
        <w:tc>
          <w:tcPr>
            <w:tcW w:w="1554" w:type="dxa"/>
            <w:vAlign w:val="top"/>
          </w:tcPr>
          <w:p w14:paraId="2332D0AA">
            <w:pPr>
              <w:pStyle w:val="6"/>
              <w:spacing w:before="132" w:line="190" w:lineRule="auto"/>
              <w:ind w:left="77"/>
            </w:pPr>
            <w:r>
              <w:rPr>
                <w:i/>
                <w:iCs/>
                <w:spacing w:val="-1"/>
              </w:rPr>
              <w:t>Tringa ochropus</w:t>
            </w:r>
          </w:p>
        </w:tc>
        <w:tc>
          <w:tcPr>
            <w:tcW w:w="989" w:type="dxa"/>
            <w:vAlign w:val="top"/>
          </w:tcPr>
          <w:p w14:paraId="52564C61">
            <w:pPr>
              <w:spacing w:before="133" w:line="199" w:lineRule="auto"/>
              <w:ind w:left="407"/>
              <w:rPr>
                <w:rFonts w:ascii="宋体" w:hAnsi="宋体" w:eastAsia="宋体" w:cs="宋体"/>
                <w:sz w:val="21"/>
                <w:szCs w:val="21"/>
              </w:rPr>
            </w:pPr>
            <w:r>
              <w:rPr>
                <w:rFonts w:ascii="宋体" w:hAnsi="宋体" w:eastAsia="宋体" w:cs="宋体"/>
                <w:spacing w:val="-6"/>
                <w:sz w:val="21"/>
                <w:szCs w:val="21"/>
              </w:rPr>
              <w:t>16</w:t>
            </w:r>
          </w:p>
        </w:tc>
        <w:tc>
          <w:tcPr>
            <w:tcW w:w="1272" w:type="dxa"/>
            <w:vAlign w:val="top"/>
          </w:tcPr>
          <w:p w14:paraId="10C779A4">
            <w:pPr>
              <w:spacing w:before="98" w:line="220" w:lineRule="auto"/>
              <w:ind w:left="252"/>
              <w:rPr>
                <w:rFonts w:ascii="宋体" w:hAnsi="宋体" w:eastAsia="宋体" w:cs="宋体"/>
                <w:sz w:val="21"/>
                <w:szCs w:val="21"/>
              </w:rPr>
            </w:pPr>
            <w:r>
              <w:rPr>
                <w:rFonts w:ascii="宋体" w:hAnsi="宋体" w:eastAsia="宋体" w:cs="宋体"/>
                <w:spacing w:val="-8"/>
                <w:sz w:val="21"/>
                <w:szCs w:val="21"/>
              </w:rPr>
              <w:t>白腰草鹬</w:t>
            </w:r>
          </w:p>
        </w:tc>
        <w:tc>
          <w:tcPr>
            <w:tcW w:w="1693" w:type="dxa"/>
            <w:vAlign w:val="top"/>
          </w:tcPr>
          <w:p w14:paraId="7682BC43">
            <w:pPr>
              <w:pStyle w:val="6"/>
              <w:spacing w:before="132" w:line="190" w:lineRule="auto"/>
              <w:ind w:left="162"/>
            </w:pPr>
            <w:r>
              <w:rPr>
                <w:i/>
                <w:iCs/>
                <w:spacing w:val="-1"/>
              </w:rPr>
              <w:t>Tringa ochropus</w:t>
            </w:r>
          </w:p>
        </w:tc>
        <w:tc>
          <w:tcPr>
            <w:tcW w:w="845" w:type="dxa"/>
            <w:tcBorders>
              <w:right w:val="single" w:color="000000" w:sz="12" w:space="0"/>
            </w:tcBorders>
            <w:vAlign w:val="top"/>
          </w:tcPr>
          <w:p w14:paraId="48A38976">
            <w:pPr>
              <w:rPr>
                <w:rFonts w:ascii="Arial"/>
                <w:sz w:val="21"/>
              </w:rPr>
            </w:pPr>
          </w:p>
        </w:tc>
      </w:tr>
      <w:tr w14:paraId="5443B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576A5038">
            <w:pPr>
              <w:rPr>
                <w:rFonts w:ascii="Arial"/>
                <w:sz w:val="21"/>
              </w:rPr>
            </w:pPr>
          </w:p>
        </w:tc>
        <w:tc>
          <w:tcPr>
            <w:tcW w:w="1270" w:type="dxa"/>
            <w:vAlign w:val="top"/>
          </w:tcPr>
          <w:p w14:paraId="5A423C98">
            <w:pPr>
              <w:rPr>
                <w:rFonts w:ascii="Arial"/>
                <w:sz w:val="21"/>
              </w:rPr>
            </w:pPr>
          </w:p>
        </w:tc>
        <w:tc>
          <w:tcPr>
            <w:tcW w:w="1554" w:type="dxa"/>
            <w:vAlign w:val="top"/>
          </w:tcPr>
          <w:p w14:paraId="7C8B25F3">
            <w:pPr>
              <w:rPr>
                <w:rFonts w:ascii="Arial"/>
                <w:sz w:val="21"/>
              </w:rPr>
            </w:pPr>
          </w:p>
        </w:tc>
        <w:tc>
          <w:tcPr>
            <w:tcW w:w="989" w:type="dxa"/>
            <w:vAlign w:val="top"/>
          </w:tcPr>
          <w:p w14:paraId="41FA8559">
            <w:pPr>
              <w:spacing w:before="133" w:line="197" w:lineRule="auto"/>
              <w:ind w:left="407"/>
              <w:rPr>
                <w:rFonts w:ascii="宋体" w:hAnsi="宋体" w:eastAsia="宋体" w:cs="宋体"/>
                <w:sz w:val="21"/>
                <w:szCs w:val="21"/>
              </w:rPr>
            </w:pPr>
            <w:r>
              <w:rPr>
                <w:rFonts w:ascii="宋体" w:hAnsi="宋体" w:eastAsia="宋体" w:cs="宋体"/>
                <w:spacing w:val="-6"/>
                <w:sz w:val="21"/>
                <w:szCs w:val="21"/>
              </w:rPr>
              <w:t>17</w:t>
            </w:r>
          </w:p>
        </w:tc>
        <w:tc>
          <w:tcPr>
            <w:tcW w:w="1272" w:type="dxa"/>
            <w:vAlign w:val="top"/>
          </w:tcPr>
          <w:p w14:paraId="4A67E41C">
            <w:pPr>
              <w:spacing w:before="99" w:line="220" w:lineRule="auto"/>
              <w:ind w:left="432"/>
              <w:rPr>
                <w:rFonts w:ascii="宋体" w:hAnsi="宋体" w:eastAsia="宋体" w:cs="宋体"/>
                <w:sz w:val="21"/>
                <w:szCs w:val="21"/>
              </w:rPr>
            </w:pPr>
            <w:r>
              <w:rPr>
                <w:rFonts w:ascii="宋体" w:hAnsi="宋体" w:eastAsia="宋体" w:cs="宋体"/>
                <w:spacing w:val="-3"/>
                <w:sz w:val="21"/>
                <w:szCs w:val="21"/>
              </w:rPr>
              <w:t>林鹬</w:t>
            </w:r>
          </w:p>
        </w:tc>
        <w:tc>
          <w:tcPr>
            <w:tcW w:w="1693" w:type="dxa"/>
            <w:vAlign w:val="top"/>
          </w:tcPr>
          <w:p w14:paraId="3E78CDFC">
            <w:pPr>
              <w:pStyle w:val="6"/>
              <w:spacing w:before="133" w:line="190" w:lineRule="auto"/>
              <w:ind w:left="196"/>
            </w:pPr>
            <w:r>
              <w:rPr>
                <w:i/>
                <w:iCs/>
                <w:spacing w:val="-1"/>
              </w:rPr>
              <w:t>Tringa glareola</w:t>
            </w:r>
          </w:p>
        </w:tc>
        <w:tc>
          <w:tcPr>
            <w:tcW w:w="845" w:type="dxa"/>
            <w:tcBorders>
              <w:right w:val="single" w:color="000000" w:sz="12" w:space="0"/>
            </w:tcBorders>
            <w:vAlign w:val="top"/>
          </w:tcPr>
          <w:p w14:paraId="6E85E255">
            <w:pPr>
              <w:rPr>
                <w:rFonts w:ascii="Arial"/>
                <w:sz w:val="21"/>
              </w:rPr>
            </w:pPr>
          </w:p>
        </w:tc>
      </w:tr>
      <w:tr w14:paraId="22908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3B3A3DE">
            <w:pPr>
              <w:spacing w:before="234" w:line="223" w:lineRule="auto"/>
              <w:ind w:left="303"/>
              <w:rPr>
                <w:rFonts w:ascii="宋体" w:hAnsi="宋体" w:eastAsia="宋体" w:cs="宋体"/>
                <w:sz w:val="21"/>
                <w:szCs w:val="21"/>
              </w:rPr>
            </w:pPr>
            <w:r>
              <w:rPr>
                <w:rFonts w:ascii="宋体" w:hAnsi="宋体" w:eastAsia="宋体" w:cs="宋体"/>
                <w:spacing w:val="-1"/>
                <w:sz w:val="21"/>
                <w:szCs w:val="21"/>
              </w:rPr>
              <w:t>26</w:t>
            </w:r>
          </w:p>
        </w:tc>
        <w:tc>
          <w:tcPr>
            <w:tcW w:w="1270" w:type="dxa"/>
            <w:vAlign w:val="top"/>
          </w:tcPr>
          <w:p w14:paraId="17CF6DEF">
            <w:pPr>
              <w:spacing w:before="200" w:line="219" w:lineRule="auto"/>
              <w:ind w:left="207"/>
              <w:rPr>
                <w:rFonts w:ascii="宋体" w:hAnsi="宋体" w:eastAsia="宋体" w:cs="宋体"/>
                <w:sz w:val="21"/>
                <w:szCs w:val="21"/>
              </w:rPr>
            </w:pPr>
            <w:r>
              <w:rPr>
                <w:rFonts w:ascii="宋体" w:hAnsi="宋体" w:eastAsia="宋体" w:cs="宋体"/>
                <w:spacing w:val="-2"/>
                <w:sz w:val="21"/>
                <w:szCs w:val="21"/>
              </w:rPr>
              <w:t>青脚滨鹬</w:t>
            </w:r>
          </w:p>
        </w:tc>
        <w:tc>
          <w:tcPr>
            <w:tcW w:w="1554" w:type="dxa"/>
            <w:vAlign w:val="top"/>
          </w:tcPr>
          <w:p w14:paraId="744FB3FE">
            <w:pPr>
              <w:pStyle w:val="6"/>
              <w:spacing w:before="112" w:line="190" w:lineRule="auto"/>
              <w:ind w:left="436"/>
            </w:pPr>
            <w:r>
              <w:rPr>
                <w:i/>
                <w:iCs/>
                <w:spacing w:val="-2"/>
              </w:rPr>
              <w:t>Calidris</w:t>
            </w:r>
          </w:p>
          <w:p w14:paraId="343F156A">
            <w:pPr>
              <w:pStyle w:val="6"/>
              <w:spacing w:before="49" w:line="202" w:lineRule="auto"/>
              <w:ind w:left="314"/>
            </w:pPr>
            <w:r>
              <w:rPr>
                <w:i/>
                <w:iCs/>
                <w:spacing w:val="-1"/>
              </w:rPr>
              <w:t>temminckii</w:t>
            </w:r>
          </w:p>
        </w:tc>
        <w:tc>
          <w:tcPr>
            <w:tcW w:w="989" w:type="dxa"/>
            <w:vAlign w:val="top"/>
          </w:tcPr>
          <w:p w14:paraId="56490D60">
            <w:pPr>
              <w:rPr>
                <w:rFonts w:ascii="Arial"/>
                <w:sz w:val="21"/>
              </w:rPr>
            </w:pPr>
          </w:p>
        </w:tc>
        <w:tc>
          <w:tcPr>
            <w:tcW w:w="1272" w:type="dxa"/>
            <w:vAlign w:val="top"/>
          </w:tcPr>
          <w:p w14:paraId="4CA546C0">
            <w:pPr>
              <w:rPr>
                <w:rFonts w:ascii="Arial"/>
                <w:sz w:val="21"/>
              </w:rPr>
            </w:pPr>
          </w:p>
        </w:tc>
        <w:tc>
          <w:tcPr>
            <w:tcW w:w="1693" w:type="dxa"/>
            <w:vAlign w:val="top"/>
          </w:tcPr>
          <w:p w14:paraId="75466A7D">
            <w:pPr>
              <w:rPr>
                <w:rFonts w:ascii="Arial"/>
                <w:sz w:val="21"/>
              </w:rPr>
            </w:pPr>
          </w:p>
        </w:tc>
        <w:tc>
          <w:tcPr>
            <w:tcW w:w="845" w:type="dxa"/>
            <w:tcBorders>
              <w:right w:val="single" w:color="000000" w:sz="12" w:space="0"/>
            </w:tcBorders>
            <w:vAlign w:val="top"/>
          </w:tcPr>
          <w:p w14:paraId="43A1EB07">
            <w:pPr>
              <w:rPr>
                <w:rFonts w:ascii="Arial"/>
                <w:sz w:val="21"/>
              </w:rPr>
            </w:pPr>
          </w:p>
        </w:tc>
      </w:tr>
      <w:tr w14:paraId="1E53E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850" w:type="dxa"/>
            <w:tcBorders>
              <w:left w:val="single" w:color="000000" w:sz="12" w:space="0"/>
            </w:tcBorders>
            <w:vAlign w:val="top"/>
          </w:tcPr>
          <w:p w14:paraId="0A228170">
            <w:pPr>
              <w:pStyle w:val="6"/>
              <w:spacing w:before="135" w:line="186" w:lineRule="auto"/>
              <w:ind w:left="276"/>
            </w:pPr>
            <w:r>
              <w:rPr>
                <w:b/>
                <w:bCs/>
                <w:spacing w:val="-3"/>
              </w:rPr>
              <w:t>O9</w:t>
            </w:r>
          </w:p>
        </w:tc>
        <w:tc>
          <w:tcPr>
            <w:tcW w:w="1270" w:type="dxa"/>
            <w:vAlign w:val="top"/>
          </w:tcPr>
          <w:p w14:paraId="360187E0">
            <w:pPr>
              <w:spacing w:before="96" w:line="220" w:lineRule="auto"/>
              <w:ind w:left="310"/>
              <w:rPr>
                <w:rFonts w:ascii="宋体" w:hAnsi="宋体" w:eastAsia="宋体" w:cs="宋体"/>
                <w:sz w:val="21"/>
                <w:szCs w:val="21"/>
              </w:rPr>
            </w:pPr>
            <w:r>
              <w:rPr>
                <w:rFonts w:ascii="宋体" w:hAnsi="宋体" w:eastAsia="宋体" w:cs="宋体"/>
                <w:b/>
                <w:bCs/>
                <w:spacing w:val="-4"/>
                <w:sz w:val="21"/>
                <w:szCs w:val="21"/>
              </w:rPr>
              <w:t>鹈形目</w:t>
            </w:r>
          </w:p>
        </w:tc>
        <w:tc>
          <w:tcPr>
            <w:tcW w:w="1554" w:type="dxa"/>
            <w:vAlign w:val="top"/>
          </w:tcPr>
          <w:p w14:paraId="07CC9C6B">
            <w:pPr>
              <w:pStyle w:val="6"/>
              <w:spacing w:before="135" w:line="186" w:lineRule="auto"/>
              <w:ind w:left="88"/>
            </w:pPr>
            <w:r>
              <w:rPr>
                <w:b/>
                <w:bCs/>
                <w:spacing w:val="-1"/>
              </w:rPr>
              <w:t>Pelecaniformes</w:t>
            </w:r>
          </w:p>
        </w:tc>
        <w:tc>
          <w:tcPr>
            <w:tcW w:w="989" w:type="dxa"/>
            <w:vAlign w:val="top"/>
          </w:tcPr>
          <w:p w14:paraId="729C5C31">
            <w:pPr>
              <w:pStyle w:val="6"/>
              <w:spacing w:before="135" w:line="186" w:lineRule="auto"/>
              <w:ind w:left="362"/>
            </w:pPr>
            <w:r>
              <w:rPr>
                <w:b/>
                <w:bCs/>
                <w:spacing w:val="-3"/>
              </w:rPr>
              <w:t>O9</w:t>
            </w:r>
          </w:p>
        </w:tc>
        <w:tc>
          <w:tcPr>
            <w:tcW w:w="1272" w:type="dxa"/>
            <w:vAlign w:val="top"/>
          </w:tcPr>
          <w:p w14:paraId="45C34122">
            <w:pPr>
              <w:spacing w:before="96" w:line="220" w:lineRule="auto"/>
              <w:ind w:left="323"/>
              <w:rPr>
                <w:rFonts w:ascii="宋体" w:hAnsi="宋体" w:eastAsia="宋体" w:cs="宋体"/>
                <w:sz w:val="21"/>
                <w:szCs w:val="21"/>
              </w:rPr>
            </w:pPr>
            <w:r>
              <w:rPr>
                <w:rFonts w:ascii="宋体" w:hAnsi="宋体" w:eastAsia="宋体" w:cs="宋体"/>
                <w:b/>
                <w:bCs/>
                <w:spacing w:val="-4"/>
                <w:sz w:val="21"/>
                <w:szCs w:val="21"/>
              </w:rPr>
              <w:t>鹈形目</w:t>
            </w:r>
          </w:p>
        </w:tc>
        <w:tc>
          <w:tcPr>
            <w:tcW w:w="1693" w:type="dxa"/>
            <w:vAlign w:val="top"/>
          </w:tcPr>
          <w:p w14:paraId="670A9FB9">
            <w:pPr>
              <w:pStyle w:val="6"/>
              <w:spacing w:before="135" w:line="186" w:lineRule="auto"/>
              <w:ind w:left="173"/>
            </w:pPr>
            <w:r>
              <w:rPr>
                <w:b/>
                <w:bCs/>
                <w:spacing w:val="-1"/>
              </w:rPr>
              <w:t>Pelecaniformes</w:t>
            </w:r>
          </w:p>
        </w:tc>
        <w:tc>
          <w:tcPr>
            <w:tcW w:w="845" w:type="dxa"/>
            <w:tcBorders>
              <w:right w:val="single" w:color="000000" w:sz="12" w:space="0"/>
            </w:tcBorders>
            <w:vAlign w:val="top"/>
          </w:tcPr>
          <w:p w14:paraId="1721E905">
            <w:pPr>
              <w:rPr>
                <w:rFonts w:ascii="Arial"/>
                <w:sz w:val="21"/>
              </w:rPr>
            </w:pPr>
          </w:p>
        </w:tc>
      </w:tr>
      <w:tr w14:paraId="0A06A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2D1CF621">
            <w:pPr>
              <w:pStyle w:val="6"/>
              <w:spacing w:before="135" w:line="186" w:lineRule="auto"/>
              <w:ind w:left="291"/>
            </w:pPr>
            <w:r>
              <w:rPr>
                <w:b/>
                <w:bCs/>
                <w:spacing w:val="-2"/>
              </w:rPr>
              <w:t>F9</w:t>
            </w:r>
          </w:p>
        </w:tc>
        <w:tc>
          <w:tcPr>
            <w:tcW w:w="1270" w:type="dxa"/>
            <w:vAlign w:val="top"/>
          </w:tcPr>
          <w:p w14:paraId="383225CF">
            <w:pPr>
              <w:spacing w:before="96" w:line="219" w:lineRule="auto"/>
              <w:ind w:left="421"/>
              <w:rPr>
                <w:rFonts w:ascii="宋体" w:hAnsi="宋体" w:eastAsia="宋体" w:cs="宋体"/>
                <w:sz w:val="21"/>
                <w:szCs w:val="21"/>
              </w:rPr>
            </w:pPr>
            <w:r>
              <w:rPr>
                <w:rFonts w:ascii="宋体" w:hAnsi="宋体" w:eastAsia="宋体" w:cs="宋体"/>
                <w:b/>
                <w:bCs/>
                <w:spacing w:val="-6"/>
                <w:sz w:val="21"/>
                <w:szCs w:val="21"/>
              </w:rPr>
              <w:t>鹭科</w:t>
            </w:r>
          </w:p>
        </w:tc>
        <w:tc>
          <w:tcPr>
            <w:tcW w:w="1554" w:type="dxa"/>
            <w:vAlign w:val="top"/>
          </w:tcPr>
          <w:p w14:paraId="427699A7">
            <w:pPr>
              <w:pStyle w:val="6"/>
              <w:spacing w:before="134" w:line="210" w:lineRule="auto"/>
              <w:ind w:left="354"/>
            </w:pPr>
            <w:r>
              <w:rPr>
                <w:b/>
                <w:bCs/>
                <w:spacing w:val="-1"/>
              </w:rPr>
              <w:t>Ardeidae</w:t>
            </w:r>
          </w:p>
        </w:tc>
        <w:tc>
          <w:tcPr>
            <w:tcW w:w="989" w:type="dxa"/>
            <w:vAlign w:val="top"/>
          </w:tcPr>
          <w:p w14:paraId="7F2BD148">
            <w:pPr>
              <w:pStyle w:val="6"/>
              <w:spacing w:before="135" w:line="186" w:lineRule="auto"/>
              <w:ind w:left="376"/>
            </w:pPr>
            <w:r>
              <w:rPr>
                <w:b/>
                <w:bCs/>
                <w:spacing w:val="-2"/>
              </w:rPr>
              <w:t>F9</w:t>
            </w:r>
          </w:p>
        </w:tc>
        <w:tc>
          <w:tcPr>
            <w:tcW w:w="1272" w:type="dxa"/>
            <w:vAlign w:val="top"/>
          </w:tcPr>
          <w:p w14:paraId="3FAE6CBC">
            <w:pPr>
              <w:spacing w:before="96" w:line="219" w:lineRule="auto"/>
              <w:ind w:left="434"/>
              <w:rPr>
                <w:rFonts w:ascii="宋体" w:hAnsi="宋体" w:eastAsia="宋体" w:cs="宋体"/>
                <w:sz w:val="21"/>
                <w:szCs w:val="21"/>
              </w:rPr>
            </w:pPr>
            <w:r>
              <w:rPr>
                <w:rFonts w:ascii="宋体" w:hAnsi="宋体" w:eastAsia="宋体" w:cs="宋体"/>
                <w:b/>
                <w:bCs/>
                <w:spacing w:val="-6"/>
                <w:sz w:val="21"/>
                <w:szCs w:val="21"/>
              </w:rPr>
              <w:t>鹭科</w:t>
            </w:r>
          </w:p>
        </w:tc>
        <w:tc>
          <w:tcPr>
            <w:tcW w:w="1693" w:type="dxa"/>
            <w:vAlign w:val="top"/>
          </w:tcPr>
          <w:p w14:paraId="477AD78D">
            <w:pPr>
              <w:pStyle w:val="6"/>
              <w:spacing w:before="134" w:line="187" w:lineRule="auto"/>
              <w:ind w:left="438"/>
            </w:pPr>
            <w:r>
              <w:rPr>
                <w:b/>
                <w:bCs/>
                <w:spacing w:val="-1"/>
              </w:rPr>
              <w:t>Ardeidae</w:t>
            </w:r>
          </w:p>
        </w:tc>
        <w:tc>
          <w:tcPr>
            <w:tcW w:w="845" w:type="dxa"/>
            <w:tcBorders>
              <w:right w:val="single" w:color="000000" w:sz="12" w:space="0"/>
            </w:tcBorders>
            <w:vAlign w:val="top"/>
          </w:tcPr>
          <w:p w14:paraId="4B8B3DFB">
            <w:pPr>
              <w:rPr>
                <w:rFonts w:ascii="Arial"/>
                <w:sz w:val="21"/>
              </w:rPr>
            </w:pPr>
          </w:p>
        </w:tc>
      </w:tr>
      <w:tr w14:paraId="4D557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47782C43">
            <w:pPr>
              <w:spacing w:before="237" w:line="223" w:lineRule="auto"/>
              <w:ind w:left="303"/>
              <w:rPr>
                <w:rFonts w:ascii="宋体" w:hAnsi="宋体" w:eastAsia="宋体" w:cs="宋体"/>
                <w:sz w:val="21"/>
                <w:szCs w:val="21"/>
              </w:rPr>
            </w:pPr>
            <w:r>
              <w:rPr>
                <w:rFonts w:ascii="宋体" w:hAnsi="宋体" w:eastAsia="宋体" w:cs="宋体"/>
                <w:spacing w:val="-1"/>
                <w:sz w:val="21"/>
                <w:szCs w:val="21"/>
              </w:rPr>
              <w:t>27</w:t>
            </w:r>
          </w:p>
        </w:tc>
        <w:tc>
          <w:tcPr>
            <w:tcW w:w="1270" w:type="dxa"/>
            <w:tcBorders>
              <w:bottom w:val="single" w:color="000000" w:sz="12" w:space="0"/>
            </w:tcBorders>
            <w:vAlign w:val="top"/>
          </w:tcPr>
          <w:p w14:paraId="451B369A">
            <w:pPr>
              <w:spacing w:before="204" w:line="220" w:lineRule="auto"/>
              <w:ind w:left="312"/>
              <w:rPr>
                <w:rFonts w:ascii="宋体" w:hAnsi="宋体" w:eastAsia="宋体" w:cs="宋体"/>
                <w:sz w:val="21"/>
                <w:szCs w:val="21"/>
              </w:rPr>
            </w:pPr>
            <w:r>
              <w:rPr>
                <w:rFonts w:ascii="宋体" w:hAnsi="宋体" w:eastAsia="宋体" w:cs="宋体"/>
                <w:spacing w:val="-2"/>
                <w:sz w:val="21"/>
                <w:szCs w:val="21"/>
              </w:rPr>
              <w:t>栗苇鳽</w:t>
            </w:r>
          </w:p>
        </w:tc>
        <w:tc>
          <w:tcPr>
            <w:tcW w:w="1554" w:type="dxa"/>
            <w:tcBorders>
              <w:bottom w:val="single" w:color="000000" w:sz="12" w:space="0"/>
            </w:tcBorders>
            <w:vAlign w:val="top"/>
          </w:tcPr>
          <w:p w14:paraId="7448C6F4">
            <w:pPr>
              <w:pStyle w:val="6"/>
              <w:spacing w:before="116" w:line="190" w:lineRule="auto"/>
              <w:ind w:left="293"/>
            </w:pPr>
            <w:r>
              <w:rPr>
                <w:i/>
                <w:iCs/>
              </w:rPr>
              <w:t>Ixobrychus</w:t>
            </w:r>
          </w:p>
          <w:p w14:paraId="601F8AC6">
            <w:pPr>
              <w:pStyle w:val="6"/>
              <w:spacing w:before="50" w:line="221" w:lineRule="auto"/>
              <w:ind w:left="194"/>
            </w:pPr>
            <w:r>
              <w:rPr>
                <w:i/>
                <w:iCs/>
                <w:spacing w:val="-1"/>
              </w:rPr>
              <w:t>cinnamomeus</w:t>
            </w:r>
          </w:p>
        </w:tc>
        <w:tc>
          <w:tcPr>
            <w:tcW w:w="989" w:type="dxa"/>
            <w:tcBorders>
              <w:bottom w:val="single" w:color="000000" w:sz="12" w:space="0"/>
            </w:tcBorders>
            <w:vAlign w:val="top"/>
          </w:tcPr>
          <w:p w14:paraId="5A3FE8C0">
            <w:pPr>
              <w:rPr>
                <w:rFonts w:ascii="Arial"/>
                <w:sz w:val="21"/>
              </w:rPr>
            </w:pPr>
          </w:p>
        </w:tc>
        <w:tc>
          <w:tcPr>
            <w:tcW w:w="1272" w:type="dxa"/>
            <w:tcBorders>
              <w:bottom w:val="single" w:color="000000" w:sz="12" w:space="0"/>
            </w:tcBorders>
            <w:vAlign w:val="top"/>
          </w:tcPr>
          <w:p w14:paraId="719E7F4A">
            <w:pPr>
              <w:rPr>
                <w:rFonts w:ascii="Arial"/>
                <w:sz w:val="21"/>
              </w:rPr>
            </w:pPr>
          </w:p>
        </w:tc>
        <w:tc>
          <w:tcPr>
            <w:tcW w:w="1693" w:type="dxa"/>
            <w:tcBorders>
              <w:bottom w:val="single" w:color="000000" w:sz="12" w:space="0"/>
            </w:tcBorders>
            <w:vAlign w:val="top"/>
          </w:tcPr>
          <w:p w14:paraId="29E4B0D7">
            <w:pPr>
              <w:rPr>
                <w:rFonts w:ascii="Arial"/>
                <w:sz w:val="21"/>
              </w:rPr>
            </w:pPr>
          </w:p>
        </w:tc>
        <w:tc>
          <w:tcPr>
            <w:tcW w:w="845" w:type="dxa"/>
            <w:tcBorders>
              <w:bottom w:val="single" w:color="000000" w:sz="12" w:space="0"/>
              <w:right w:val="single" w:color="000000" w:sz="12" w:space="0"/>
            </w:tcBorders>
            <w:vAlign w:val="top"/>
          </w:tcPr>
          <w:p w14:paraId="3BD8EA87">
            <w:pPr>
              <w:rPr>
                <w:rFonts w:ascii="Arial"/>
                <w:sz w:val="21"/>
              </w:rPr>
            </w:pPr>
          </w:p>
        </w:tc>
      </w:tr>
    </w:tbl>
    <w:p w14:paraId="5023F256">
      <w:pPr>
        <w:rPr>
          <w:rFonts w:ascii="Arial"/>
          <w:sz w:val="21"/>
        </w:rPr>
      </w:pPr>
    </w:p>
    <w:p w14:paraId="1D488FEF">
      <w:pPr>
        <w:rPr>
          <w:rFonts w:ascii="Arial" w:hAnsi="Arial" w:eastAsia="Arial" w:cs="Arial"/>
          <w:sz w:val="21"/>
          <w:szCs w:val="21"/>
        </w:rPr>
        <w:sectPr>
          <w:footerReference r:id="rId176" w:type="default"/>
          <w:pgSz w:w="11907" w:h="16839"/>
          <w:pgMar w:top="1376" w:right="1669" w:bottom="1061" w:left="1671" w:header="999" w:footer="844" w:gutter="0"/>
          <w:cols w:space="720" w:num="1"/>
        </w:sectPr>
      </w:pPr>
    </w:p>
    <w:p w14:paraId="3C631F83">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168AA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0D1881EC">
            <w:pPr>
              <w:spacing w:before="76" w:line="233" w:lineRule="auto"/>
              <w:ind w:left="962"/>
              <w:rPr>
                <w:rFonts w:ascii="宋体" w:hAnsi="宋体" w:eastAsia="宋体" w:cs="宋体"/>
                <w:sz w:val="21"/>
                <w:szCs w:val="21"/>
              </w:rPr>
            </w:pPr>
            <w:r>
              <w:rPr>
                <w:rFonts w:ascii="宋体" w:hAnsi="宋体" w:eastAsia="宋体" w:cs="宋体"/>
                <w:spacing w:val="-3"/>
                <w:sz w:val="21"/>
                <w:szCs w:val="21"/>
              </w:rPr>
              <w:t>环评期（2015</w:t>
            </w:r>
            <w:r>
              <w:rPr>
                <w:rFonts w:ascii="宋体" w:hAnsi="宋体" w:eastAsia="宋体" w:cs="宋体"/>
                <w:spacing w:val="-34"/>
                <w:sz w:val="21"/>
                <w:szCs w:val="21"/>
              </w:rPr>
              <w:t xml:space="preserve"> </w:t>
            </w:r>
            <w:r>
              <w:rPr>
                <w:rFonts w:ascii="宋体" w:hAnsi="宋体" w:eastAsia="宋体" w:cs="宋体"/>
                <w:spacing w:val="-3"/>
                <w:sz w:val="21"/>
                <w:szCs w:val="21"/>
              </w:rPr>
              <w:t>年）</w:t>
            </w:r>
          </w:p>
        </w:tc>
        <w:tc>
          <w:tcPr>
            <w:tcW w:w="3954" w:type="dxa"/>
            <w:gridSpan w:val="3"/>
            <w:tcBorders>
              <w:top w:val="single" w:color="000000" w:sz="12" w:space="0"/>
            </w:tcBorders>
            <w:vAlign w:val="top"/>
          </w:tcPr>
          <w:p w14:paraId="3C3B5319">
            <w:pPr>
              <w:spacing w:before="76" w:line="233" w:lineRule="auto"/>
              <w:ind w:left="1118"/>
              <w:rPr>
                <w:rFonts w:ascii="宋体" w:hAnsi="宋体" w:eastAsia="宋体" w:cs="宋体"/>
                <w:sz w:val="21"/>
                <w:szCs w:val="21"/>
              </w:rPr>
            </w:pPr>
            <w:r>
              <w:rPr>
                <w:rFonts w:ascii="宋体" w:hAnsi="宋体" w:eastAsia="宋体" w:cs="宋体"/>
                <w:spacing w:val="-2"/>
                <w:sz w:val="21"/>
                <w:szCs w:val="21"/>
              </w:rPr>
              <w:t>施工期（2020</w:t>
            </w:r>
            <w:r>
              <w:rPr>
                <w:rFonts w:ascii="宋体" w:hAnsi="宋体" w:eastAsia="宋体" w:cs="宋体"/>
                <w:spacing w:val="-43"/>
                <w:sz w:val="21"/>
                <w:szCs w:val="21"/>
              </w:rPr>
              <w:t xml:space="preserve"> </w:t>
            </w:r>
            <w:r>
              <w:rPr>
                <w:rFonts w:ascii="宋体" w:hAnsi="宋体" w:eastAsia="宋体" w:cs="宋体"/>
                <w:spacing w:val="-2"/>
                <w:sz w:val="21"/>
                <w:szCs w:val="21"/>
              </w:rPr>
              <w:t>年）</w:t>
            </w:r>
          </w:p>
        </w:tc>
        <w:tc>
          <w:tcPr>
            <w:tcW w:w="845" w:type="dxa"/>
            <w:vMerge w:val="restart"/>
            <w:tcBorders>
              <w:top w:val="single" w:color="000000" w:sz="12" w:space="0"/>
              <w:bottom w:val="nil"/>
              <w:right w:val="single" w:color="000000" w:sz="12" w:space="0"/>
            </w:tcBorders>
            <w:vAlign w:val="top"/>
          </w:tcPr>
          <w:p w14:paraId="10176899">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2DDD0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1CC319C9">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6F7128D4">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72D874E2">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7D110AB2">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46672395">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2898293C">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25EF9FDE">
            <w:pPr>
              <w:rPr>
                <w:rFonts w:ascii="Arial"/>
                <w:sz w:val="21"/>
              </w:rPr>
            </w:pPr>
          </w:p>
        </w:tc>
      </w:tr>
      <w:tr w14:paraId="5FE43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9904671">
            <w:pPr>
              <w:spacing w:before="110" w:line="219" w:lineRule="auto"/>
              <w:ind w:left="303"/>
              <w:rPr>
                <w:rFonts w:ascii="宋体" w:hAnsi="宋体" w:eastAsia="宋体" w:cs="宋体"/>
                <w:sz w:val="21"/>
                <w:szCs w:val="21"/>
              </w:rPr>
            </w:pPr>
            <w:r>
              <w:rPr>
                <w:rFonts w:ascii="宋体" w:hAnsi="宋体" w:eastAsia="宋体" w:cs="宋体"/>
                <w:spacing w:val="-1"/>
                <w:sz w:val="21"/>
                <w:szCs w:val="21"/>
              </w:rPr>
              <w:t>28</w:t>
            </w:r>
          </w:p>
        </w:tc>
        <w:tc>
          <w:tcPr>
            <w:tcW w:w="1270" w:type="dxa"/>
            <w:vAlign w:val="top"/>
          </w:tcPr>
          <w:p w14:paraId="6385DFC7">
            <w:pPr>
              <w:spacing w:before="77" w:line="220" w:lineRule="auto"/>
              <w:ind w:left="419"/>
              <w:rPr>
                <w:rFonts w:ascii="宋体" w:hAnsi="宋体" w:eastAsia="宋体" w:cs="宋体"/>
                <w:sz w:val="21"/>
                <w:szCs w:val="21"/>
              </w:rPr>
            </w:pPr>
            <w:r>
              <w:rPr>
                <w:rFonts w:ascii="宋体" w:hAnsi="宋体" w:eastAsia="宋体" w:cs="宋体"/>
                <w:spacing w:val="-3"/>
                <w:sz w:val="21"/>
                <w:szCs w:val="21"/>
              </w:rPr>
              <w:t>绿鹭</w:t>
            </w:r>
          </w:p>
        </w:tc>
        <w:tc>
          <w:tcPr>
            <w:tcW w:w="1554" w:type="dxa"/>
            <w:vAlign w:val="top"/>
          </w:tcPr>
          <w:p w14:paraId="0E35E9FA">
            <w:pPr>
              <w:pStyle w:val="6"/>
              <w:spacing w:before="110" w:line="233" w:lineRule="auto"/>
              <w:ind w:left="52"/>
            </w:pPr>
            <w:r>
              <w:rPr>
                <w:i/>
                <w:iCs/>
              </w:rPr>
              <w:t>Butorides</w:t>
            </w:r>
            <w:r>
              <w:rPr>
                <w:i/>
                <w:iCs/>
                <w:spacing w:val="8"/>
              </w:rPr>
              <w:t xml:space="preserve"> </w:t>
            </w:r>
            <w:r>
              <w:rPr>
                <w:i/>
                <w:iCs/>
              </w:rPr>
              <w:t>striata</w:t>
            </w:r>
          </w:p>
        </w:tc>
        <w:tc>
          <w:tcPr>
            <w:tcW w:w="989" w:type="dxa"/>
            <w:vAlign w:val="top"/>
          </w:tcPr>
          <w:p w14:paraId="17E8D256">
            <w:pPr>
              <w:spacing w:before="110" w:line="219" w:lineRule="auto"/>
              <w:ind w:left="407"/>
              <w:rPr>
                <w:rFonts w:ascii="宋体" w:hAnsi="宋体" w:eastAsia="宋体" w:cs="宋体"/>
                <w:sz w:val="21"/>
                <w:szCs w:val="21"/>
              </w:rPr>
            </w:pPr>
            <w:r>
              <w:rPr>
                <w:rFonts w:ascii="宋体" w:hAnsi="宋体" w:eastAsia="宋体" w:cs="宋体"/>
                <w:spacing w:val="-6"/>
                <w:sz w:val="21"/>
                <w:szCs w:val="21"/>
              </w:rPr>
              <w:t>18</w:t>
            </w:r>
          </w:p>
        </w:tc>
        <w:tc>
          <w:tcPr>
            <w:tcW w:w="1272" w:type="dxa"/>
            <w:vAlign w:val="top"/>
          </w:tcPr>
          <w:p w14:paraId="75035B27">
            <w:pPr>
              <w:spacing w:before="77" w:line="220" w:lineRule="auto"/>
              <w:ind w:left="433"/>
              <w:rPr>
                <w:rFonts w:ascii="宋体" w:hAnsi="宋体" w:eastAsia="宋体" w:cs="宋体"/>
                <w:sz w:val="21"/>
                <w:szCs w:val="21"/>
              </w:rPr>
            </w:pPr>
            <w:r>
              <w:rPr>
                <w:rFonts w:ascii="宋体" w:hAnsi="宋体" w:eastAsia="宋体" w:cs="宋体"/>
                <w:spacing w:val="-3"/>
                <w:sz w:val="21"/>
                <w:szCs w:val="21"/>
              </w:rPr>
              <w:t>绿鹭</w:t>
            </w:r>
          </w:p>
        </w:tc>
        <w:tc>
          <w:tcPr>
            <w:tcW w:w="1693" w:type="dxa"/>
            <w:vAlign w:val="top"/>
          </w:tcPr>
          <w:p w14:paraId="566FC407">
            <w:pPr>
              <w:pStyle w:val="6"/>
              <w:spacing w:before="110" w:line="233" w:lineRule="auto"/>
              <w:ind w:left="136"/>
            </w:pPr>
            <w:r>
              <w:rPr>
                <w:i/>
                <w:iCs/>
              </w:rPr>
              <w:t>Butorides</w:t>
            </w:r>
            <w:r>
              <w:rPr>
                <w:i/>
                <w:iCs/>
                <w:spacing w:val="8"/>
              </w:rPr>
              <w:t xml:space="preserve"> </w:t>
            </w:r>
            <w:r>
              <w:rPr>
                <w:i/>
                <w:iCs/>
              </w:rPr>
              <w:t>striata</w:t>
            </w:r>
          </w:p>
        </w:tc>
        <w:tc>
          <w:tcPr>
            <w:tcW w:w="845" w:type="dxa"/>
            <w:tcBorders>
              <w:right w:val="single" w:color="000000" w:sz="12" w:space="0"/>
            </w:tcBorders>
            <w:vAlign w:val="top"/>
          </w:tcPr>
          <w:p w14:paraId="3219088E">
            <w:pPr>
              <w:rPr>
                <w:rFonts w:ascii="Arial"/>
                <w:sz w:val="21"/>
              </w:rPr>
            </w:pPr>
          </w:p>
        </w:tc>
      </w:tr>
      <w:tr w14:paraId="72FF3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10108456">
            <w:pPr>
              <w:spacing w:before="111" w:line="217" w:lineRule="auto"/>
              <w:ind w:left="303"/>
              <w:rPr>
                <w:rFonts w:ascii="宋体" w:hAnsi="宋体" w:eastAsia="宋体" w:cs="宋体"/>
                <w:sz w:val="21"/>
                <w:szCs w:val="21"/>
              </w:rPr>
            </w:pPr>
            <w:r>
              <w:rPr>
                <w:rFonts w:ascii="宋体" w:hAnsi="宋体" w:eastAsia="宋体" w:cs="宋体"/>
                <w:spacing w:val="-1"/>
                <w:sz w:val="21"/>
                <w:szCs w:val="21"/>
              </w:rPr>
              <w:t>29</w:t>
            </w:r>
          </w:p>
        </w:tc>
        <w:tc>
          <w:tcPr>
            <w:tcW w:w="1270" w:type="dxa"/>
            <w:vAlign w:val="top"/>
          </w:tcPr>
          <w:p w14:paraId="61DB903C">
            <w:pPr>
              <w:spacing w:before="78" w:line="220" w:lineRule="auto"/>
              <w:ind w:left="417"/>
              <w:rPr>
                <w:rFonts w:ascii="宋体" w:hAnsi="宋体" w:eastAsia="宋体" w:cs="宋体"/>
                <w:sz w:val="21"/>
                <w:szCs w:val="21"/>
              </w:rPr>
            </w:pPr>
            <w:r>
              <w:rPr>
                <w:rFonts w:ascii="宋体" w:hAnsi="宋体" w:eastAsia="宋体" w:cs="宋体"/>
                <w:spacing w:val="-3"/>
                <w:sz w:val="21"/>
                <w:szCs w:val="21"/>
              </w:rPr>
              <w:t>池鹭</w:t>
            </w:r>
          </w:p>
        </w:tc>
        <w:tc>
          <w:tcPr>
            <w:tcW w:w="1554" w:type="dxa"/>
            <w:vAlign w:val="top"/>
          </w:tcPr>
          <w:p w14:paraId="4DDEB9C0">
            <w:pPr>
              <w:pStyle w:val="6"/>
              <w:spacing w:before="110" w:line="233" w:lineRule="auto"/>
              <w:ind w:left="47"/>
            </w:pPr>
            <w:r>
              <w:rPr>
                <w:i/>
                <w:iCs/>
              </w:rPr>
              <w:t>Ardeola</w:t>
            </w:r>
            <w:r>
              <w:rPr>
                <w:i/>
                <w:iCs/>
                <w:spacing w:val="11"/>
              </w:rPr>
              <w:t xml:space="preserve"> </w:t>
            </w:r>
            <w:r>
              <w:rPr>
                <w:i/>
                <w:iCs/>
              </w:rPr>
              <w:t>bacchus</w:t>
            </w:r>
          </w:p>
        </w:tc>
        <w:tc>
          <w:tcPr>
            <w:tcW w:w="989" w:type="dxa"/>
            <w:vAlign w:val="top"/>
          </w:tcPr>
          <w:p w14:paraId="0528151E">
            <w:pPr>
              <w:spacing w:before="111" w:line="217" w:lineRule="auto"/>
              <w:ind w:left="407"/>
              <w:rPr>
                <w:rFonts w:ascii="宋体" w:hAnsi="宋体" w:eastAsia="宋体" w:cs="宋体"/>
                <w:sz w:val="21"/>
                <w:szCs w:val="21"/>
              </w:rPr>
            </w:pPr>
            <w:r>
              <w:rPr>
                <w:rFonts w:ascii="宋体" w:hAnsi="宋体" w:eastAsia="宋体" w:cs="宋体"/>
                <w:spacing w:val="-6"/>
                <w:sz w:val="21"/>
                <w:szCs w:val="21"/>
              </w:rPr>
              <w:t>19</w:t>
            </w:r>
          </w:p>
        </w:tc>
        <w:tc>
          <w:tcPr>
            <w:tcW w:w="1272" w:type="dxa"/>
            <w:vAlign w:val="top"/>
          </w:tcPr>
          <w:p w14:paraId="58B2E913">
            <w:pPr>
              <w:spacing w:before="78" w:line="220" w:lineRule="auto"/>
              <w:ind w:left="431"/>
              <w:rPr>
                <w:rFonts w:ascii="宋体" w:hAnsi="宋体" w:eastAsia="宋体" w:cs="宋体"/>
                <w:sz w:val="21"/>
                <w:szCs w:val="21"/>
              </w:rPr>
            </w:pPr>
            <w:r>
              <w:rPr>
                <w:rFonts w:ascii="宋体" w:hAnsi="宋体" w:eastAsia="宋体" w:cs="宋体"/>
                <w:spacing w:val="-3"/>
                <w:sz w:val="21"/>
                <w:szCs w:val="21"/>
              </w:rPr>
              <w:t>池鹭</w:t>
            </w:r>
          </w:p>
        </w:tc>
        <w:tc>
          <w:tcPr>
            <w:tcW w:w="1693" w:type="dxa"/>
            <w:vAlign w:val="top"/>
          </w:tcPr>
          <w:p w14:paraId="7909B264">
            <w:pPr>
              <w:pStyle w:val="6"/>
              <w:spacing w:before="110" w:line="233" w:lineRule="auto"/>
              <w:ind w:left="131"/>
            </w:pPr>
            <w:r>
              <w:rPr>
                <w:i/>
                <w:iCs/>
              </w:rPr>
              <w:t>Ardeola</w:t>
            </w:r>
            <w:r>
              <w:rPr>
                <w:i/>
                <w:iCs/>
                <w:spacing w:val="11"/>
              </w:rPr>
              <w:t xml:space="preserve"> </w:t>
            </w:r>
            <w:r>
              <w:rPr>
                <w:i/>
                <w:iCs/>
              </w:rPr>
              <w:t>bacchus</w:t>
            </w:r>
          </w:p>
        </w:tc>
        <w:tc>
          <w:tcPr>
            <w:tcW w:w="845" w:type="dxa"/>
            <w:tcBorders>
              <w:right w:val="single" w:color="000000" w:sz="12" w:space="0"/>
            </w:tcBorders>
            <w:vAlign w:val="top"/>
          </w:tcPr>
          <w:p w14:paraId="68759EFC">
            <w:pPr>
              <w:rPr>
                <w:rFonts w:ascii="Arial"/>
                <w:sz w:val="21"/>
              </w:rPr>
            </w:pPr>
          </w:p>
        </w:tc>
      </w:tr>
      <w:tr w14:paraId="5FF27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506FA37F">
            <w:pPr>
              <w:rPr>
                <w:rFonts w:ascii="Arial"/>
                <w:sz w:val="21"/>
              </w:rPr>
            </w:pPr>
          </w:p>
        </w:tc>
        <w:tc>
          <w:tcPr>
            <w:tcW w:w="1270" w:type="dxa"/>
            <w:vAlign w:val="top"/>
          </w:tcPr>
          <w:p w14:paraId="2576B608">
            <w:pPr>
              <w:rPr>
                <w:rFonts w:ascii="Arial"/>
                <w:sz w:val="21"/>
              </w:rPr>
            </w:pPr>
          </w:p>
        </w:tc>
        <w:tc>
          <w:tcPr>
            <w:tcW w:w="1554" w:type="dxa"/>
            <w:vAlign w:val="top"/>
          </w:tcPr>
          <w:p w14:paraId="17C67457">
            <w:pPr>
              <w:rPr>
                <w:rFonts w:ascii="Arial"/>
                <w:sz w:val="21"/>
              </w:rPr>
            </w:pPr>
          </w:p>
        </w:tc>
        <w:tc>
          <w:tcPr>
            <w:tcW w:w="989" w:type="dxa"/>
            <w:vAlign w:val="top"/>
          </w:tcPr>
          <w:p w14:paraId="185E38FD">
            <w:pPr>
              <w:spacing w:before="112" w:line="217" w:lineRule="auto"/>
              <w:ind w:left="387"/>
              <w:rPr>
                <w:rFonts w:ascii="宋体" w:hAnsi="宋体" w:eastAsia="宋体" w:cs="宋体"/>
                <w:sz w:val="21"/>
                <w:szCs w:val="21"/>
              </w:rPr>
            </w:pPr>
            <w:r>
              <w:rPr>
                <w:rFonts w:ascii="宋体" w:hAnsi="宋体" w:eastAsia="宋体" w:cs="宋体"/>
                <w:spacing w:val="-1"/>
                <w:sz w:val="21"/>
                <w:szCs w:val="21"/>
              </w:rPr>
              <w:t>20</w:t>
            </w:r>
          </w:p>
        </w:tc>
        <w:tc>
          <w:tcPr>
            <w:tcW w:w="1272" w:type="dxa"/>
            <w:vAlign w:val="top"/>
          </w:tcPr>
          <w:p w14:paraId="045A1F92">
            <w:pPr>
              <w:spacing w:before="78" w:line="220" w:lineRule="auto"/>
              <w:ind w:left="331"/>
              <w:rPr>
                <w:rFonts w:ascii="宋体" w:hAnsi="宋体" w:eastAsia="宋体" w:cs="宋体"/>
                <w:sz w:val="21"/>
                <w:szCs w:val="21"/>
              </w:rPr>
            </w:pPr>
            <w:r>
              <w:rPr>
                <w:rFonts w:ascii="宋体" w:hAnsi="宋体" w:eastAsia="宋体" w:cs="宋体"/>
                <w:spacing w:val="-3"/>
                <w:sz w:val="21"/>
                <w:szCs w:val="21"/>
              </w:rPr>
              <w:t>牛背鹭</w:t>
            </w:r>
          </w:p>
        </w:tc>
        <w:tc>
          <w:tcPr>
            <w:tcW w:w="1693" w:type="dxa"/>
            <w:vAlign w:val="top"/>
          </w:tcPr>
          <w:p w14:paraId="093B1601">
            <w:pPr>
              <w:pStyle w:val="6"/>
              <w:spacing w:before="112" w:line="233" w:lineRule="auto"/>
              <w:ind w:left="277"/>
            </w:pPr>
            <w:r>
              <w:rPr>
                <w:i/>
                <w:iCs/>
              </w:rPr>
              <w:t>Bubulcus</w:t>
            </w:r>
            <w:r>
              <w:rPr>
                <w:i/>
                <w:iCs/>
                <w:spacing w:val="5"/>
              </w:rPr>
              <w:t xml:space="preserve"> </w:t>
            </w:r>
            <w:r>
              <w:rPr>
                <w:i/>
                <w:iCs/>
              </w:rPr>
              <w:t>ibis</w:t>
            </w:r>
          </w:p>
        </w:tc>
        <w:tc>
          <w:tcPr>
            <w:tcW w:w="845" w:type="dxa"/>
            <w:tcBorders>
              <w:right w:val="single" w:color="000000" w:sz="12" w:space="0"/>
            </w:tcBorders>
            <w:vAlign w:val="top"/>
          </w:tcPr>
          <w:p w14:paraId="64DF12CD">
            <w:pPr>
              <w:rPr>
                <w:rFonts w:ascii="Arial"/>
                <w:sz w:val="21"/>
              </w:rPr>
            </w:pPr>
          </w:p>
        </w:tc>
      </w:tr>
      <w:tr w14:paraId="6EC3C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699B6775">
            <w:pPr>
              <w:spacing w:before="114" w:line="215" w:lineRule="auto"/>
              <w:ind w:left="307"/>
              <w:rPr>
                <w:rFonts w:ascii="宋体" w:hAnsi="宋体" w:eastAsia="宋体" w:cs="宋体"/>
                <w:sz w:val="21"/>
                <w:szCs w:val="21"/>
              </w:rPr>
            </w:pPr>
            <w:r>
              <w:rPr>
                <w:rFonts w:ascii="宋体" w:hAnsi="宋体" w:eastAsia="宋体" w:cs="宋体"/>
                <w:spacing w:val="-3"/>
                <w:sz w:val="21"/>
                <w:szCs w:val="21"/>
              </w:rPr>
              <w:t>30</w:t>
            </w:r>
          </w:p>
        </w:tc>
        <w:tc>
          <w:tcPr>
            <w:tcW w:w="1270" w:type="dxa"/>
            <w:vAlign w:val="top"/>
          </w:tcPr>
          <w:p w14:paraId="5B493F3B">
            <w:pPr>
              <w:spacing w:before="80" w:line="220" w:lineRule="auto"/>
              <w:ind w:left="419"/>
              <w:rPr>
                <w:rFonts w:ascii="宋体" w:hAnsi="宋体" w:eastAsia="宋体" w:cs="宋体"/>
                <w:sz w:val="21"/>
                <w:szCs w:val="21"/>
              </w:rPr>
            </w:pPr>
            <w:r>
              <w:rPr>
                <w:rFonts w:ascii="宋体" w:hAnsi="宋体" w:eastAsia="宋体" w:cs="宋体"/>
                <w:spacing w:val="-3"/>
                <w:sz w:val="21"/>
                <w:szCs w:val="21"/>
              </w:rPr>
              <w:t>苍鹭</w:t>
            </w:r>
          </w:p>
        </w:tc>
        <w:tc>
          <w:tcPr>
            <w:tcW w:w="1554" w:type="dxa"/>
            <w:vAlign w:val="top"/>
          </w:tcPr>
          <w:p w14:paraId="4A3927B9">
            <w:pPr>
              <w:pStyle w:val="6"/>
              <w:spacing w:before="113" w:line="233" w:lineRule="auto"/>
              <w:ind w:left="158"/>
            </w:pPr>
            <w:r>
              <w:rPr>
                <w:i/>
                <w:iCs/>
              </w:rPr>
              <w:t>Ardea</w:t>
            </w:r>
            <w:r>
              <w:rPr>
                <w:i/>
                <w:iCs/>
                <w:spacing w:val="11"/>
              </w:rPr>
              <w:t xml:space="preserve"> </w:t>
            </w:r>
            <w:r>
              <w:rPr>
                <w:i/>
                <w:iCs/>
              </w:rPr>
              <w:t>cinerea</w:t>
            </w:r>
          </w:p>
        </w:tc>
        <w:tc>
          <w:tcPr>
            <w:tcW w:w="989" w:type="dxa"/>
            <w:vAlign w:val="top"/>
          </w:tcPr>
          <w:p w14:paraId="2E56E5A5">
            <w:pPr>
              <w:spacing w:before="114" w:line="215" w:lineRule="auto"/>
              <w:ind w:left="387"/>
              <w:rPr>
                <w:rFonts w:ascii="宋体" w:hAnsi="宋体" w:eastAsia="宋体" w:cs="宋体"/>
                <w:sz w:val="21"/>
                <w:szCs w:val="21"/>
              </w:rPr>
            </w:pPr>
            <w:r>
              <w:rPr>
                <w:rFonts w:ascii="宋体" w:hAnsi="宋体" w:eastAsia="宋体" w:cs="宋体"/>
                <w:spacing w:val="-1"/>
                <w:sz w:val="21"/>
                <w:szCs w:val="21"/>
              </w:rPr>
              <w:t>21</w:t>
            </w:r>
          </w:p>
        </w:tc>
        <w:tc>
          <w:tcPr>
            <w:tcW w:w="1272" w:type="dxa"/>
            <w:vAlign w:val="top"/>
          </w:tcPr>
          <w:p w14:paraId="72D3D1A7">
            <w:pPr>
              <w:spacing w:before="80" w:line="220" w:lineRule="auto"/>
              <w:ind w:left="433"/>
              <w:rPr>
                <w:rFonts w:ascii="宋体" w:hAnsi="宋体" w:eastAsia="宋体" w:cs="宋体"/>
                <w:sz w:val="21"/>
                <w:szCs w:val="21"/>
              </w:rPr>
            </w:pPr>
            <w:r>
              <w:rPr>
                <w:rFonts w:ascii="宋体" w:hAnsi="宋体" w:eastAsia="宋体" w:cs="宋体"/>
                <w:spacing w:val="-3"/>
                <w:sz w:val="21"/>
                <w:szCs w:val="21"/>
              </w:rPr>
              <w:t>苍鹭</w:t>
            </w:r>
          </w:p>
        </w:tc>
        <w:tc>
          <w:tcPr>
            <w:tcW w:w="1693" w:type="dxa"/>
            <w:vAlign w:val="top"/>
          </w:tcPr>
          <w:p w14:paraId="525804A1">
            <w:pPr>
              <w:pStyle w:val="6"/>
              <w:spacing w:before="113" w:line="233" w:lineRule="auto"/>
              <w:ind w:left="242"/>
            </w:pPr>
            <w:r>
              <w:rPr>
                <w:i/>
                <w:iCs/>
              </w:rPr>
              <w:t>Ardea</w:t>
            </w:r>
            <w:r>
              <w:rPr>
                <w:i/>
                <w:iCs/>
                <w:spacing w:val="11"/>
              </w:rPr>
              <w:t xml:space="preserve"> </w:t>
            </w:r>
            <w:r>
              <w:rPr>
                <w:i/>
                <w:iCs/>
              </w:rPr>
              <w:t>cinerea</w:t>
            </w:r>
          </w:p>
        </w:tc>
        <w:tc>
          <w:tcPr>
            <w:tcW w:w="845" w:type="dxa"/>
            <w:tcBorders>
              <w:right w:val="single" w:color="000000" w:sz="12" w:space="0"/>
            </w:tcBorders>
            <w:vAlign w:val="top"/>
          </w:tcPr>
          <w:p w14:paraId="29600B3F">
            <w:pPr>
              <w:rPr>
                <w:rFonts w:ascii="Arial"/>
                <w:sz w:val="21"/>
              </w:rPr>
            </w:pPr>
          </w:p>
        </w:tc>
      </w:tr>
      <w:tr w14:paraId="7BC32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30C764F9">
            <w:pPr>
              <w:spacing w:before="115" w:line="213" w:lineRule="auto"/>
              <w:ind w:left="307"/>
              <w:rPr>
                <w:rFonts w:ascii="宋体" w:hAnsi="宋体" w:eastAsia="宋体" w:cs="宋体"/>
                <w:sz w:val="21"/>
                <w:szCs w:val="21"/>
              </w:rPr>
            </w:pPr>
            <w:r>
              <w:rPr>
                <w:rFonts w:ascii="宋体" w:hAnsi="宋体" w:eastAsia="宋体" w:cs="宋体"/>
                <w:spacing w:val="-3"/>
                <w:sz w:val="21"/>
                <w:szCs w:val="21"/>
              </w:rPr>
              <w:t>31</w:t>
            </w:r>
          </w:p>
        </w:tc>
        <w:tc>
          <w:tcPr>
            <w:tcW w:w="1270" w:type="dxa"/>
            <w:vAlign w:val="top"/>
          </w:tcPr>
          <w:p w14:paraId="14ECFD6B">
            <w:pPr>
              <w:spacing w:before="82" w:line="220" w:lineRule="auto"/>
              <w:ind w:left="447"/>
              <w:rPr>
                <w:rFonts w:ascii="宋体" w:hAnsi="宋体" w:eastAsia="宋体" w:cs="宋体"/>
                <w:sz w:val="21"/>
                <w:szCs w:val="21"/>
              </w:rPr>
            </w:pPr>
            <w:r>
              <w:rPr>
                <w:rFonts w:ascii="宋体" w:hAnsi="宋体" w:eastAsia="宋体" w:cs="宋体"/>
                <w:spacing w:val="-10"/>
                <w:sz w:val="21"/>
                <w:szCs w:val="21"/>
              </w:rPr>
              <w:t>白鹭</w:t>
            </w:r>
          </w:p>
        </w:tc>
        <w:tc>
          <w:tcPr>
            <w:tcW w:w="1554" w:type="dxa"/>
            <w:vAlign w:val="top"/>
          </w:tcPr>
          <w:p w14:paraId="035B3C5B">
            <w:pPr>
              <w:pStyle w:val="6"/>
              <w:spacing w:before="115" w:line="190" w:lineRule="auto"/>
              <w:ind w:left="76"/>
            </w:pPr>
            <w:r>
              <w:rPr>
                <w:i/>
                <w:iCs/>
              </w:rPr>
              <w:t>Egretta</w:t>
            </w:r>
            <w:r>
              <w:rPr>
                <w:i/>
                <w:iCs/>
                <w:spacing w:val="6"/>
              </w:rPr>
              <w:t xml:space="preserve"> </w:t>
            </w:r>
            <w:r>
              <w:rPr>
                <w:i/>
                <w:iCs/>
              </w:rPr>
              <w:t>garzetta</w:t>
            </w:r>
          </w:p>
        </w:tc>
        <w:tc>
          <w:tcPr>
            <w:tcW w:w="989" w:type="dxa"/>
            <w:vAlign w:val="top"/>
          </w:tcPr>
          <w:p w14:paraId="61A0B31E">
            <w:pPr>
              <w:spacing w:before="115" w:line="213" w:lineRule="auto"/>
              <w:ind w:left="387"/>
              <w:rPr>
                <w:rFonts w:ascii="宋体" w:hAnsi="宋体" w:eastAsia="宋体" w:cs="宋体"/>
                <w:sz w:val="21"/>
                <w:szCs w:val="21"/>
              </w:rPr>
            </w:pPr>
            <w:r>
              <w:rPr>
                <w:rFonts w:ascii="宋体" w:hAnsi="宋体" w:eastAsia="宋体" w:cs="宋体"/>
                <w:spacing w:val="-1"/>
                <w:sz w:val="21"/>
                <w:szCs w:val="21"/>
              </w:rPr>
              <w:t>22</w:t>
            </w:r>
          </w:p>
        </w:tc>
        <w:tc>
          <w:tcPr>
            <w:tcW w:w="1272" w:type="dxa"/>
            <w:vAlign w:val="top"/>
          </w:tcPr>
          <w:p w14:paraId="49EDF4CA">
            <w:pPr>
              <w:spacing w:before="82" w:line="220" w:lineRule="auto"/>
              <w:ind w:left="462"/>
              <w:rPr>
                <w:rFonts w:ascii="宋体" w:hAnsi="宋体" w:eastAsia="宋体" w:cs="宋体"/>
                <w:sz w:val="21"/>
                <w:szCs w:val="21"/>
              </w:rPr>
            </w:pPr>
            <w:r>
              <w:rPr>
                <w:rFonts w:ascii="宋体" w:hAnsi="宋体" w:eastAsia="宋体" w:cs="宋体"/>
                <w:spacing w:val="-10"/>
                <w:sz w:val="21"/>
                <w:szCs w:val="21"/>
              </w:rPr>
              <w:t>白鹭</w:t>
            </w:r>
          </w:p>
        </w:tc>
        <w:tc>
          <w:tcPr>
            <w:tcW w:w="1693" w:type="dxa"/>
            <w:vAlign w:val="top"/>
          </w:tcPr>
          <w:p w14:paraId="04F1A864">
            <w:pPr>
              <w:pStyle w:val="6"/>
              <w:spacing w:before="115" w:line="190" w:lineRule="auto"/>
              <w:ind w:left="160"/>
            </w:pPr>
            <w:r>
              <w:rPr>
                <w:i/>
                <w:iCs/>
              </w:rPr>
              <w:t>Egretta</w:t>
            </w:r>
            <w:r>
              <w:rPr>
                <w:i/>
                <w:iCs/>
                <w:spacing w:val="7"/>
              </w:rPr>
              <w:t xml:space="preserve"> </w:t>
            </w:r>
            <w:r>
              <w:rPr>
                <w:i/>
                <w:iCs/>
              </w:rPr>
              <w:t>garzetta</w:t>
            </w:r>
          </w:p>
        </w:tc>
        <w:tc>
          <w:tcPr>
            <w:tcW w:w="845" w:type="dxa"/>
            <w:tcBorders>
              <w:right w:val="single" w:color="000000" w:sz="12" w:space="0"/>
            </w:tcBorders>
            <w:vAlign w:val="top"/>
          </w:tcPr>
          <w:p w14:paraId="34D7FDD0">
            <w:pPr>
              <w:rPr>
                <w:rFonts w:ascii="Arial"/>
                <w:sz w:val="21"/>
              </w:rPr>
            </w:pPr>
          </w:p>
        </w:tc>
      </w:tr>
      <w:tr w14:paraId="62F08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5A4C6F3D">
            <w:pPr>
              <w:pStyle w:val="6"/>
              <w:spacing w:before="121" w:line="186" w:lineRule="auto"/>
              <w:ind w:left="225"/>
            </w:pPr>
            <w:r>
              <w:rPr>
                <w:b/>
                <w:bCs/>
                <w:spacing w:val="-2"/>
              </w:rPr>
              <w:t>O10</w:t>
            </w:r>
          </w:p>
        </w:tc>
        <w:tc>
          <w:tcPr>
            <w:tcW w:w="1270" w:type="dxa"/>
            <w:vAlign w:val="top"/>
          </w:tcPr>
          <w:p w14:paraId="17C71761">
            <w:pPr>
              <w:spacing w:before="82" w:line="220" w:lineRule="auto"/>
              <w:ind w:left="311"/>
              <w:rPr>
                <w:rFonts w:ascii="宋体" w:hAnsi="宋体" w:eastAsia="宋体" w:cs="宋体"/>
                <w:sz w:val="21"/>
                <w:szCs w:val="21"/>
              </w:rPr>
            </w:pPr>
            <w:r>
              <w:rPr>
                <w:rFonts w:ascii="宋体" w:hAnsi="宋体" w:eastAsia="宋体" w:cs="宋体"/>
                <w:b/>
                <w:bCs/>
                <w:spacing w:val="-4"/>
                <w:sz w:val="21"/>
                <w:szCs w:val="21"/>
              </w:rPr>
              <w:t>鹰形目</w:t>
            </w:r>
          </w:p>
        </w:tc>
        <w:tc>
          <w:tcPr>
            <w:tcW w:w="1554" w:type="dxa"/>
            <w:vAlign w:val="top"/>
          </w:tcPr>
          <w:p w14:paraId="39FD0C5A">
            <w:pPr>
              <w:pStyle w:val="6"/>
              <w:spacing w:before="121" w:line="187" w:lineRule="auto"/>
              <w:ind w:left="62"/>
            </w:pPr>
            <w:r>
              <w:rPr>
                <w:b/>
                <w:bCs/>
                <w:spacing w:val="-1"/>
              </w:rPr>
              <w:t>Accipitriformes</w:t>
            </w:r>
          </w:p>
        </w:tc>
        <w:tc>
          <w:tcPr>
            <w:tcW w:w="989" w:type="dxa"/>
            <w:vAlign w:val="top"/>
          </w:tcPr>
          <w:p w14:paraId="4396BD59">
            <w:pPr>
              <w:pStyle w:val="6"/>
              <w:spacing w:before="121" w:line="186" w:lineRule="auto"/>
              <w:ind w:left="309"/>
            </w:pPr>
            <w:r>
              <w:rPr>
                <w:b/>
                <w:bCs/>
                <w:spacing w:val="-2"/>
              </w:rPr>
              <w:t>O10</w:t>
            </w:r>
          </w:p>
        </w:tc>
        <w:tc>
          <w:tcPr>
            <w:tcW w:w="1272" w:type="dxa"/>
            <w:vAlign w:val="top"/>
          </w:tcPr>
          <w:p w14:paraId="548CF9CB">
            <w:pPr>
              <w:spacing w:before="82" w:line="220" w:lineRule="auto"/>
              <w:ind w:left="324"/>
              <w:rPr>
                <w:rFonts w:ascii="宋体" w:hAnsi="宋体" w:eastAsia="宋体" w:cs="宋体"/>
                <w:sz w:val="21"/>
                <w:szCs w:val="21"/>
              </w:rPr>
            </w:pPr>
            <w:r>
              <w:rPr>
                <w:rFonts w:ascii="宋体" w:hAnsi="宋体" w:eastAsia="宋体" w:cs="宋体"/>
                <w:b/>
                <w:bCs/>
                <w:spacing w:val="-4"/>
                <w:sz w:val="21"/>
                <w:szCs w:val="21"/>
              </w:rPr>
              <w:t>鹰形目</w:t>
            </w:r>
          </w:p>
        </w:tc>
        <w:tc>
          <w:tcPr>
            <w:tcW w:w="1693" w:type="dxa"/>
            <w:vAlign w:val="top"/>
          </w:tcPr>
          <w:p w14:paraId="0B93290F">
            <w:pPr>
              <w:pStyle w:val="6"/>
              <w:spacing w:before="121" w:line="187" w:lineRule="auto"/>
              <w:ind w:left="146"/>
            </w:pPr>
            <w:r>
              <w:rPr>
                <w:b/>
                <w:bCs/>
                <w:spacing w:val="-1"/>
              </w:rPr>
              <w:t>Accipitriformes</w:t>
            </w:r>
          </w:p>
        </w:tc>
        <w:tc>
          <w:tcPr>
            <w:tcW w:w="845" w:type="dxa"/>
            <w:tcBorders>
              <w:right w:val="single" w:color="000000" w:sz="12" w:space="0"/>
            </w:tcBorders>
            <w:vAlign w:val="top"/>
          </w:tcPr>
          <w:p w14:paraId="1661B310">
            <w:pPr>
              <w:rPr>
                <w:rFonts w:ascii="Arial"/>
                <w:sz w:val="21"/>
              </w:rPr>
            </w:pPr>
          </w:p>
        </w:tc>
      </w:tr>
      <w:tr w14:paraId="6B03C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774F0F88">
            <w:pPr>
              <w:pStyle w:val="6"/>
              <w:spacing w:before="115" w:line="186" w:lineRule="auto"/>
              <w:ind w:left="238"/>
            </w:pPr>
            <w:r>
              <w:rPr>
                <w:b/>
                <w:bCs/>
                <w:spacing w:val="-2"/>
              </w:rPr>
              <w:t>F10</w:t>
            </w:r>
          </w:p>
        </w:tc>
        <w:tc>
          <w:tcPr>
            <w:tcW w:w="1270" w:type="dxa"/>
            <w:vAlign w:val="top"/>
          </w:tcPr>
          <w:p w14:paraId="5E175310">
            <w:pPr>
              <w:spacing w:before="77" w:line="219" w:lineRule="auto"/>
              <w:ind w:left="417"/>
              <w:rPr>
                <w:rFonts w:ascii="宋体" w:hAnsi="宋体" w:eastAsia="宋体" w:cs="宋体"/>
                <w:sz w:val="21"/>
                <w:szCs w:val="21"/>
              </w:rPr>
            </w:pPr>
            <w:r>
              <w:rPr>
                <w:rFonts w:ascii="宋体" w:hAnsi="宋体" w:eastAsia="宋体" w:cs="宋体"/>
                <w:b/>
                <w:bCs/>
                <w:spacing w:val="-4"/>
                <w:sz w:val="21"/>
                <w:szCs w:val="21"/>
              </w:rPr>
              <w:t>鹰科</w:t>
            </w:r>
          </w:p>
        </w:tc>
        <w:tc>
          <w:tcPr>
            <w:tcW w:w="1554" w:type="dxa"/>
            <w:vAlign w:val="top"/>
          </w:tcPr>
          <w:p w14:paraId="30DAEEF6">
            <w:pPr>
              <w:pStyle w:val="6"/>
              <w:spacing w:before="115" w:line="187" w:lineRule="auto"/>
              <w:ind w:left="260"/>
            </w:pPr>
            <w:r>
              <w:rPr>
                <w:b/>
                <w:bCs/>
                <w:spacing w:val="-1"/>
              </w:rPr>
              <w:t>Accipitrida</w:t>
            </w:r>
          </w:p>
        </w:tc>
        <w:tc>
          <w:tcPr>
            <w:tcW w:w="989" w:type="dxa"/>
            <w:vAlign w:val="top"/>
          </w:tcPr>
          <w:p w14:paraId="7D0B74F9">
            <w:pPr>
              <w:pStyle w:val="6"/>
              <w:spacing w:before="115" w:line="186" w:lineRule="auto"/>
              <w:ind w:left="323"/>
            </w:pPr>
            <w:r>
              <w:rPr>
                <w:b/>
                <w:bCs/>
                <w:spacing w:val="-2"/>
              </w:rPr>
              <w:t>F10</w:t>
            </w:r>
          </w:p>
        </w:tc>
        <w:tc>
          <w:tcPr>
            <w:tcW w:w="1272" w:type="dxa"/>
            <w:vAlign w:val="top"/>
          </w:tcPr>
          <w:p w14:paraId="16080D18">
            <w:pPr>
              <w:spacing w:before="77" w:line="219" w:lineRule="auto"/>
              <w:ind w:left="430"/>
              <w:rPr>
                <w:rFonts w:ascii="宋体" w:hAnsi="宋体" w:eastAsia="宋体" w:cs="宋体"/>
                <w:sz w:val="21"/>
                <w:szCs w:val="21"/>
              </w:rPr>
            </w:pPr>
            <w:r>
              <w:rPr>
                <w:rFonts w:ascii="宋体" w:hAnsi="宋体" w:eastAsia="宋体" w:cs="宋体"/>
                <w:b/>
                <w:bCs/>
                <w:spacing w:val="-4"/>
                <w:sz w:val="21"/>
                <w:szCs w:val="21"/>
              </w:rPr>
              <w:t>鹰科</w:t>
            </w:r>
          </w:p>
        </w:tc>
        <w:tc>
          <w:tcPr>
            <w:tcW w:w="1693" w:type="dxa"/>
            <w:vAlign w:val="top"/>
          </w:tcPr>
          <w:p w14:paraId="2B6D57B7">
            <w:pPr>
              <w:pStyle w:val="6"/>
              <w:spacing w:before="115" w:line="187" w:lineRule="auto"/>
              <w:ind w:left="344"/>
            </w:pPr>
            <w:r>
              <w:rPr>
                <w:b/>
                <w:bCs/>
                <w:spacing w:val="-1"/>
              </w:rPr>
              <w:t>Accipitrida</w:t>
            </w:r>
          </w:p>
        </w:tc>
        <w:tc>
          <w:tcPr>
            <w:tcW w:w="845" w:type="dxa"/>
            <w:tcBorders>
              <w:right w:val="single" w:color="000000" w:sz="12" w:space="0"/>
            </w:tcBorders>
            <w:vAlign w:val="top"/>
          </w:tcPr>
          <w:p w14:paraId="280C263B">
            <w:pPr>
              <w:rPr>
                <w:rFonts w:ascii="Arial"/>
                <w:sz w:val="21"/>
              </w:rPr>
            </w:pPr>
          </w:p>
        </w:tc>
      </w:tr>
      <w:tr w14:paraId="28C9C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F5E5122">
            <w:pPr>
              <w:spacing w:before="112" w:line="205" w:lineRule="auto"/>
              <w:ind w:left="307"/>
              <w:rPr>
                <w:rFonts w:ascii="宋体" w:hAnsi="宋体" w:eastAsia="宋体" w:cs="宋体"/>
                <w:sz w:val="21"/>
                <w:szCs w:val="21"/>
              </w:rPr>
            </w:pPr>
            <w:r>
              <w:rPr>
                <w:rFonts w:ascii="宋体" w:hAnsi="宋体" w:eastAsia="宋体" w:cs="宋体"/>
                <w:spacing w:val="-3"/>
                <w:sz w:val="21"/>
                <w:szCs w:val="21"/>
              </w:rPr>
              <w:t>32</w:t>
            </w:r>
          </w:p>
        </w:tc>
        <w:tc>
          <w:tcPr>
            <w:tcW w:w="1270" w:type="dxa"/>
            <w:vAlign w:val="top"/>
          </w:tcPr>
          <w:p w14:paraId="7D95BF4D">
            <w:pPr>
              <w:spacing w:before="78" w:line="220" w:lineRule="auto"/>
              <w:ind w:left="419"/>
              <w:rPr>
                <w:rFonts w:ascii="宋体" w:hAnsi="宋体" w:eastAsia="宋体" w:cs="宋体"/>
                <w:sz w:val="21"/>
                <w:szCs w:val="21"/>
              </w:rPr>
            </w:pPr>
            <w:r>
              <w:rPr>
                <w:rFonts w:ascii="宋体" w:hAnsi="宋体" w:eastAsia="宋体" w:cs="宋体"/>
                <w:spacing w:val="-3"/>
                <w:sz w:val="21"/>
                <w:szCs w:val="21"/>
              </w:rPr>
              <w:t>雀鹰</w:t>
            </w:r>
          </w:p>
        </w:tc>
        <w:tc>
          <w:tcPr>
            <w:tcW w:w="1554" w:type="dxa"/>
            <w:vAlign w:val="top"/>
          </w:tcPr>
          <w:p w14:paraId="46679815">
            <w:pPr>
              <w:pStyle w:val="6"/>
              <w:spacing w:before="112" w:line="190" w:lineRule="auto"/>
              <w:ind w:left="128"/>
            </w:pPr>
            <w:r>
              <w:rPr>
                <w:i/>
                <w:iCs/>
              </w:rPr>
              <w:t>Accipiter</w:t>
            </w:r>
            <w:r>
              <w:rPr>
                <w:i/>
                <w:iCs/>
                <w:spacing w:val="10"/>
              </w:rPr>
              <w:t xml:space="preserve"> </w:t>
            </w:r>
            <w:r>
              <w:rPr>
                <w:i/>
                <w:iCs/>
              </w:rPr>
              <w:t>nisus</w:t>
            </w:r>
          </w:p>
        </w:tc>
        <w:tc>
          <w:tcPr>
            <w:tcW w:w="989" w:type="dxa"/>
            <w:vAlign w:val="top"/>
          </w:tcPr>
          <w:p w14:paraId="26C4BA95">
            <w:pPr>
              <w:rPr>
                <w:rFonts w:ascii="Arial"/>
                <w:sz w:val="21"/>
              </w:rPr>
            </w:pPr>
          </w:p>
        </w:tc>
        <w:tc>
          <w:tcPr>
            <w:tcW w:w="1272" w:type="dxa"/>
            <w:vAlign w:val="top"/>
          </w:tcPr>
          <w:p w14:paraId="3BDDB7FA">
            <w:pPr>
              <w:rPr>
                <w:rFonts w:ascii="Arial"/>
                <w:sz w:val="21"/>
              </w:rPr>
            </w:pPr>
          </w:p>
        </w:tc>
        <w:tc>
          <w:tcPr>
            <w:tcW w:w="1693" w:type="dxa"/>
            <w:vAlign w:val="top"/>
          </w:tcPr>
          <w:p w14:paraId="4CCDFAA6">
            <w:pPr>
              <w:rPr>
                <w:rFonts w:ascii="Arial"/>
                <w:sz w:val="21"/>
              </w:rPr>
            </w:pPr>
          </w:p>
        </w:tc>
        <w:tc>
          <w:tcPr>
            <w:tcW w:w="845" w:type="dxa"/>
            <w:tcBorders>
              <w:right w:val="single" w:color="000000" w:sz="12" w:space="0"/>
            </w:tcBorders>
            <w:vAlign w:val="top"/>
          </w:tcPr>
          <w:p w14:paraId="08507621">
            <w:pPr>
              <w:spacing w:before="78"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60D3D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2CECA8ED">
            <w:pPr>
              <w:spacing w:before="118" w:line="211" w:lineRule="auto"/>
              <w:ind w:left="307"/>
              <w:rPr>
                <w:rFonts w:ascii="宋体" w:hAnsi="宋体" w:eastAsia="宋体" w:cs="宋体"/>
                <w:sz w:val="21"/>
                <w:szCs w:val="21"/>
              </w:rPr>
            </w:pPr>
            <w:r>
              <w:rPr>
                <w:rFonts w:ascii="宋体" w:hAnsi="宋体" w:eastAsia="宋体" w:cs="宋体"/>
                <w:spacing w:val="-3"/>
                <w:sz w:val="21"/>
                <w:szCs w:val="21"/>
              </w:rPr>
              <w:t>33</w:t>
            </w:r>
          </w:p>
        </w:tc>
        <w:tc>
          <w:tcPr>
            <w:tcW w:w="1270" w:type="dxa"/>
            <w:vAlign w:val="top"/>
          </w:tcPr>
          <w:p w14:paraId="69F65422">
            <w:pPr>
              <w:spacing w:before="85" w:line="220" w:lineRule="auto"/>
              <w:ind w:left="419"/>
              <w:rPr>
                <w:rFonts w:ascii="宋体" w:hAnsi="宋体" w:eastAsia="宋体" w:cs="宋体"/>
                <w:sz w:val="21"/>
                <w:szCs w:val="21"/>
              </w:rPr>
            </w:pPr>
            <w:r>
              <w:rPr>
                <w:rFonts w:ascii="宋体" w:hAnsi="宋体" w:eastAsia="宋体" w:cs="宋体"/>
                <w:spacing w:val="-3"/>
                <w:sz w:val="21"/>
                <w:szCs w:val="21"/>
              </w:rPr>
              <w:t>苍鹰</w:t>
            </w:r>
          </w:p>
        </w:tc>
        <w:tc>
          <w:tcPr>
            <w:tcW w:w="1554" w:type="dxa"/>
            <w:vAlign w:val="top"/>
          </w:tcPr>
          <w:p w14:paraId="1569AE40">
            <w:pPr>
              <w:pStyle w:val="6"/>
              <w:spacing w:before="119" w:line="190" w:lineRule="auto"/>
              <w:ind w:left="36"/>
            </w:pPr>
            <w:r>
              <w:rPr>
                <w:i/>
                <w:iCs/>
                <w:spacing w:val="1"/>
              </w:rPr>
              <w:t>Accipiter</w:t>
            </w:r>
            <w:r>
              <w:rPr>
                <w:i/>
                <w:iCs/>
                <w:spacing w:val="-7"/>
              </w:rPr>
              <w:t xml:space="preserve"> </w:t>
            </w:r>
            <w:r>
              <w:rPr>
                <w:i/>
                <w:iCs/>
                <w:spacing w:val="1"/>
              </w:rPr>
              <w:t>gentilis</w:t>
            </w:r>
          </w:p>
        </w:tc>
        <w:tc>
          <w:tcPr>
            <w:tcW w:w="989" w:type="dxa"/>
            <w:vAlign w:val="top"/>
          </w:tcPr>
          <w:p w14:paraId="7FD3DC7E">
            <w:pPr>
              <w:rPr>
                <w:rFonts w:ascii="Arial"/>
                <w:sz w:val="21"/>
              </w:rPr>
            </w:pPr>
          </w:p>
        </w:tc>
        <w:tc>
          <w:tcPr>
            <w:tcW w:w="1272" w:type="dxa"/>
            <w:vAlign w:val="top"/>
          </w:tcPr>
          <w:p w14:paraId="57632EAF">
            <w:pPr>
              <w:rPr>
                <w:rFonts w:ascii="Arial"/>
                <w:sz w:val="21"/>
              </w:rPr>
            </w:pPr>
          </w:p>
        </w:tc>
        <w:tc>
          <w:tcPr>
            <w:tcW w:w="1693" w:type="dxa"/>
            <w:vAlign w:val="top"/>
          </w:tcPr>
          <w:p w14:paraId="3F7244D9">
            <w:pPr>
              <w:rPr>
                <w:rFonts w:ascii="Arial"/>
                <w:sz w:val="21"/>
              </w:rPr>
            </w:pPr>
          </w:p>
        </w:tc>
        <w:tc>
          <w:tcPr>
            <w:tcW w:w="845" w:type="dxa"/>
            <w:tcBorders>
              <w:right w:val="single" w:color="000000" w:sz="12" w:space="0"/>
            </w:tcBorders>
            <w:vAlign w:val="top"/>
          </w:tcPr>
          <w:p w14:paraId="76773F8F">
            <w:pPr>
              <w:spacing w:before="85"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22336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508F9A4">
            <w:pPr>
              <w:spacing w:before="121" w:line="210" w:lineRule="auto"/>
              <w:ind w:left="307"/>
              <w:rPr>
                <w:rFonts w:ascii="宋体" w:hAnsi="宋体" w:eastAsia="宋体" w:cs="宋体"/>
                <w:sz w:val="21"/>
                <w:szCs w:val="21"/>
              </w:rPr>
            </w:pPr>
            <w:r>
              <w:rPr>
                <w:rFonts w:ascii="宋体" w:hAnsi="宋体" w:eastAsia="宋体" w:cs="宋体"/>
                <w:spacing w:val="-3"/>
                <w:sz w:val="21"/>
                <w:szCs w:val="21"/>
              </w:rPr>
              <w:t>34</w:t>
            </w:r>
          </w:p>
        </w:tc>
        <w:tc>
          <w:tcPr>
            <w:tcW w:w="1270" w:type="dxa"/>
            <w:vAlign w:val="top"/>
          </w:tcPr>
          <w:p w14:paraId="1DBB8EF9">
            <w:pPr>
              <w:spacing w:before="87" w:line="221" w:lineRule="auto"/>
              <w:ind w:left="343"/>
              <w:rPr>
                <w:rFonts w:ascii="宋体" w:hAnsi="宋体" w:eastAsia="宋体" w:cs="宋体"/>
                <w:sz w:val="21"/>
                <w:szCs w:val="21"/>
              </w:rPr>
            </w:pPr>
            <w:r>
              <w:rPr>
                <w:rFonts w:ascii="宋体" w:hAnsi="宋体" w:eastAsia="宋体" w:cs="宋体"/>
                <w:spacing w:val="-9"/>
                <w:sz w:val="21"/>
                <w:szCs w:val="21"/>
              </w:rPr>
              <w:t>白尾鹞</w:t>
            </w:r>
          </w:p>
        </w:tc>
        <w:tc>
          <w:tcPr>
            <w:tcW w:w="1554" w:type="dxa"/>
            <w:vAlign w:val="top"/>
          </w:tcPr>
          <w:p w14:paraId="0B9EBD05">
            <w:pPr>
              <w:pStyle w:val="6"/>
              <w:spacing w:before="120" w:line="190" w:lineRule="auto"/>
              <w:ind w:left="136"/>
            </w:pPr>
            <w:r>
              <w:rPr>
                <w:i/>
                <w:iCs/>
                <w:spacing w:val="-2"/>
              </w:rPr>
              <w:t>Circus cyaneus</w:t>
            </w:r>
          </w:p>
        </w:tc>
        <w:tc>
          <w:tcPr>
            <w:tcW w:w="989" w:type="dxa"/>
            <w:vAlign w:val="top"/>
          </w:tcPr>
          <w:p w14:paraId="58C76EEB">
            <w:pPr>
              <w:spacing w:before="121" w:line="210" w:lineRule="auto"/>
              <w:ind w:left="387"/>
              <w:rPr>
                <w:rFonts w:ascii="宋体" w:hAnsi="宋体" w:eastAsia="宋体" w:cs="宋体"/>
                <w:sz w:val="21"/>
                <w:szCs w:val="21"/>
              </w:rPr>
            </w:pPr>
            <w:r>
              <w:rPr>
                <w:rFonts w:ascii="宋体" w:hAnsi="宋体" w:eastAsia="宋体" w:cs="宋体"/>
                <w:spacing w:val="-1"/>
                <w:sz w:val="21"/>
                <w:szCs w:val="21"/>
              </w:rPr>
              <w:t>23</w:t>
            </w:r>
          </w:p>
        </w:tc>
        <w:tc>
          <w:tcPr>
            <w:tcW w:w="1272" w:type="dxa"/>
            <w:vAlign w:val="top"/>
          </w:tcPr>
          <w:p w14:paraId="6BFCECB3">
            <w:pPr>
              <w:spacing w:before="87" w:line="221" w:lineRule="auto"/>
              <w:ind w:left="356"/>
              <w:rPr>
                <w:rFonts w:ascii="宋体" w:hAnsi="宋体" w:eastAsia="宋体" w:cs="宋体"/>
                <w:sz w:val="21"/>
                <w:szCs w:val="21"/>
              </w:rPr>
            </w:pPr>
            <w:r>
              <w:rPr>
                <w:rFonts w:ascii="宋体" w:hAnsi="宋体" w:eastAsia="宋体" w:cs="宋体"/>
                <w:spacing w:val="-9"/>
                <w:sz w:val="21"/>
                <w:szCs w:val="21"/>
              </w:rPr>
              <w:t>白尾鹞</w:t>
            </w:r>
          </w:p>
        </w:tc>
        <w:tc>
          <w:tcPr>
            <w:tcW w:w="1693" w:type="dxa"/>
            <w:vAlign w:val="top"/>
          </w:tcPr>
          <w:p w14:paraId="68DC44D9">
            <w:pPr>
              <w:pStyle w:val="6"/>
              <w:spacing w:before="120" w:line="190" w:lineRule="auto"/>
              <w:ind w:left="220"/>
            </w:pPr>
            <w:r>
              <w:rPr>
                <w:i/>
                <w:iCs/>
                <w:spacing w:val="-2"/>
              </w:rPr>
              <w:t>Circus cyaneus</w:t>
            </w:r>
          </w:p>
        </w:tc>
        <w:tc>
          <w:tcPr>
            <w:tcW w:w="845" w:type="dxa"/>
            <w:tcBorders>
              <w:right w:val="single" w:color="000000" w:sz="12" w:space="0"/>
            </w:tcBorders>
            <w:vAlign w:val="top"/>
          </w:tcPr>
          <w:p w14:paraId="1DF4376A">
            <w:pPr>
              <w:spacing w:before="86"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60ED1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2B6F3E6B">
            <w:pPr>
              <w:spacing w:before="219" w:line="223" w:lineRule="auto"/>
              <w:ind w:left="307"/>
              <w:rPr>
                <w:rFonts w:ascii="宋体" w:hAnsi="宋体" w:eastAsia="宋体" w:cs="宋体"/>
                <w:sz w:val="21"/>
                <w:szCs w:val="21"/>
              </w:rPr>
            </w:pPr>
            <w:r>
              <w:rPr>
                <w:rFonts w:ascii="宋体" w:hAnsi="宋体" w:eastAsia="宋体" w:cs="宋体"/>
                <w:spacing w:val="-3"/>
                <w:sz w:val="21"/>
                <w:szCs w:val="21"/>
              </w:rPr>
              <w:t>35</w:t>
            </w:r>
          </w:p>
        </w:tc>
        <w:tc>
          <w:tcPr>
            <w:tcW w:w="1270" w:type="dxa"/>
            <w:vAlign w:val="top"/>
          </w:tcPr>
          <w:p w14:paraId="1E359098">
            <w:pPr>
              <w:spacing w:before="186" w:line="220" w:lineRule="auto"/>
              <w:ind w:left="416"/>
              <w:rPr>
                <w:rFonts w:ascii="宋体" w:hAnsi="宋体" w:eastAsia="宋体" w:cs="宋体"/>
                <w:sz w:val="21"/>
                <w:szCs w:val="21"/>
              </w:rPr>
            </w:pPr>
            <w:r>
              <w:rPr>
                <w:rFonts w:ascii="宋体" w:hAnsi="宋体" w:eastAsia="宋体" w:cs="宋体"/>
                <w:spacing w:val="-2"/>
                <w:sz w:val="21"/>
                <w:szCs w:val="21"/>
              </w:rPr>
              <w:t>鹊鹞</w:t>
            </w:r>
          </w:p>
        </w:tc>
        <w:tc>
          <w:tcPr>
            <w:tcW w:w="1554" w:type="dxa"/>
            <w:vAlign w:val="top"/>
          </w:tcPr>
          <w:p w14:paraId="1344415A">
            <w:pPr>
              <w:pStyle w:val="6"/>
              <w:spacing w:before="102" w:line="186" w:lineRule="auto"/>
              <w:ind w:left="499"/>
            </w:pPr>
            <w:r>
              <w:rPr>
                <w:i/>
                <w:iCs/>
                <w:spacing w:val="-3"/>
              </w:rPr>
              <w:t>Circus</w:t>
            </w:r>
          </w:p>
          <w:p w14:paraId="2932AD74">
            <w:pPr>
              <w:pStyle w:val="6"/>
              <w:spacing w:before="51" w:line="214" w:lineRule="auto"/>
              <w:ind w:left="192"/>
            </w:pPr>
            <w:r>
              <w:rPr>
                <w:i/>
                <w:iCs/>
                <w:spacing w:val="-1"/>
              </w:rPr>
              <w:t>melanoleucos</w:t>
            </w:r>
          </w:p>
        </w:tc>
        <w:tc>
          <w:tcPr>
            <w:tcW w:w="989" w:type="dxa"/>
            <w:vAlign w:val="top"/>
          </w:tcPr>
          <w:p w14:paraId="3913AA95">
            <w:pPr>
              <w:rPr>
                <w:rFonts w:ascii="Arial"/>
                <w:sz w:val="21"/>
              </w:rPr>
            </w:pPr>
          </w:p>
        </w:tc>
        <w:tc>
          <w:tcPr>
            <w:tcW w:w="1272" w:type="dxa"/>
            <w:vAlign w:val="top"/>
          </w:tcPr>
          <w:p w14:paraId="0EBE8EA3">
            <w:pPr>
              <w:rPr>
                <w:rFonts w:ascii="Arial"/>
                <w:sz w:val="21"/>
              </w:rPr>
            </w:pPr>
          </w:p>
        </w:tc>
        <w:tc>
          <w:tcPr>
            <w:tcW w:w="1693" w:type="dxa"/>
            <w:vAlign w:val="top"/>
          </w:tcPr>
          <w:p w14:paraId="74EFAF02">
            <w:pPr>
              <w:rPr>
                <w:rFonts w:ascii="Arial"/>
                <w:sz w:val="21"/>
              </w:rPr>
            </w:pPr>
          </w:p>
        </w:tc>
        <w:tc>
          <w:tcPr>
            <w:tcW w:w="845" w:type="dxa"/>
            <w:tcBorders>
              <w:right w:val="single" w:color="000000" w:sz="12" w:space="0"/>
            </w:tcBorders>
            <w:vAlign w:val="top"/>
          </w:tcPr>
          <w:p w14:paraId="334E0CE9">
            <w:pPr>
              <w:spacing w:before="185"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3B996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CDAA11D">
            <w:pPr>
              <w:spacing w:before="122" w:line="209" w:lineRule="auto"/>
              <w:ind w:left="307"/>
              <w:rPr>
                <w:rFonts w:ascii="宋体" w:hAnsi="宋体" w:eastAsia="宋体" w:cs="宋体"/>
                <w:sz w:val="21"/>
                <w:szCs w:val="21"/>
              </w:rPr>
            </w:pPr>
            <w:r>
              <w:rPr>
                <w:rFonts w:ascii="宋体" w:hAnsi="宋体" w:eastAsia="宋体" w:cs="宋体"/>
                <w:spacing w:val="-3"/>
                <w:sz w:val="21"/>
                <w:szCs w:val="21"/>
              </w:rPr>
              <w:t>36</w:t>
            </w:r>
          </w:p>
        </w:tc>
        <w:tc>
          <w:tcPr>
            <w:tcW w:w="1270" w:type="dxa"/>
            <w:vAlign w:val="top"/>
          </w:tcPr>
          <w:p w14:paraId="19974DD9">
            <w:pPr>
              <w:spacing w:before="88" w:line="220" w:lineRule="auto"/>
              <w:ind w:left="312"/>
              <w:rPr>
                <w:rFonts w:ascii="宋体" w:hAnsi="宋体" w:eastAsia="宋体" w:cs="宋体"/>
                <w:sz w:val="21"/>
                <w:szCs w:val="21"/>
              </w:rPr>
            </w:pPr>
            <w:r>
              <w:rPr>
                <w:rFonts w:ascii="宋体" w:hAnsi="宋体" w:eastAsia="宋体" w:cs="宋体"/>
                <w:spacing w:val="-3"/>
                <w:sz w:val="21"/>
                <w:szCs w:val="21"/>
              </w:rPr>
              <w:t>普通鵟</w:t>
            </w:r>
          </w:p>
        </w:tc>
        <w:tc>
          <w:tcPr>
            <w:tcW w:w="1554" w:type="dxa"/>
            <w:vAlign w:val="top"/>
          </w:tcPr>
          <w:p w14:paraId="540C54BB">
            <w:pPr>
              <w:pStyle w:val="6"/>
              <w:spacing w:before="122" w:line="190" w:lineRule="auto"/>
              <w:ind w:left="81"/>
            </w:pPr>
            <w:r>
              <w:rPr>
                <w:i/>
                <w:iCs/>
                <w:spacing w:val="2"/>
              </w:rPr>
              <w:t>Buteo</w:t>
            </w:r>
            <w:r>
              <w:rPr>
                <w:i/>
                <w:iCs/>
                <w:spacing w:val="-25"/>
              </w:rPr>
              <w:t xml:space="preserve"> </w:t>
            </w:r>
            <w:r>
              <w:rPr>
                <w:i/>
                <w:iCs/>
                <w:spacing w:val="2"/>
              </w:rPr>
              <w:t>japonicus</w:t>
            </w:r>
          </w:p>
        </w:tc>
        <w:tc>
          <w:tcPr>
            <w:tcW w:w="989" w:type="dxa"/>
            <w:vAlign w:val="top"/>
          </w:tcPr>
          <w:p w14:paraId="43CCF99A">
            <w:pPr>
              <w:spacing w:before="122" w:line="209" w:lineRule="auto"/>
              <w:ind w:left="387"/>
              <w:rPr>
                <w:rFonts w:ascii="宋体" w:hAnsi="宋体" w:eastAsia="宋体" w:cs="宋体"/>
                <w:sz w:val="21"/>
                <w:szCs w:val="21"/>
              </w:rPr>
            </w:pPr>
            <w:r>
              <w:rPr>
                <w:rFonts w:ascii="宋体" w:hAnsi="宋体" w:eastAsia="宋体" w:cs="宋体"/>
                <w:spacing w:val="-1"/>
                <w:sz w:val="21"/>
                <w:szCs w:val="21"/>
              </w:rPr>
              <w:t>24</w:t>
            </w:r>
          </w:p>
        </w:tc>
        <w:tc>
          <w:tcPr>
            <w:tcW w:w="1272" w:type="dxa"/>
            <w:vAlign w:val="top"/>
          </w:tcPr>
          <w:p w14:paraId="0BC0671B">
            <w:pPr>
              <w:spacing w:before="88" w:line="220" w:lineRule="auto"/>
              <w:ind w:left="325"/>
              <w:rPr>
                <w:rFonts w:ascii="宋体" w:hAnsi="宋体" w:eastAsia="宋体" w:cs="宋体"/>
                <w:sz w:val="21"/>
                <w:szCs w:val="21"/>
              </w:rPr>
            </w:pPr>
            <w:r>
              <w:rPr>
                <w:rFonts w:ascii="宋体" w:hAnsi="宋体" w:eastAsia="宋体" w:cs="宋体"/>
                <w:spacing w:val="-2"/>
                <w:sz w:val="21"/>
                <w:szCs w:val="21"/>
              </w:rPr>
              <w:t>普通鵟</w:t>
            </w:r>
          </w:p>
        </w:tc>
        <w:tc>
          <w:tcPr>
            <w:tcW w:w="1693" w:type="dxa"/>
            <w:vAlign w:val="top"/>
          </w:tcPr>
          <w:p w14:paraId="6A97EF0A">
            <w:pPr>
              <w:pStyle w:val="6"/>
              <w:spacing w:before="122" w:line="190" w:lineRule="auto"/>
              <w:ind w:left="165"/>
            </w:pPr>
            <w:r>
              <w:rPr>
                <w:i/>
                <w:iCs/>
                <w:spacing w:val="2"/>
              </w:rPr>
              <w:t>Buteo</w:t>
            </w:r>
            <w:r>
              <w:rPr>
                <w:i/>
                <w:iCs/>
                <w:spacing w:val="-25"/>
              </w:rPr>
              <w:t xml:space="preserve"> </w:t>
            </w:r>
            <w:r>
              <w:rPr>
                <w:i/>
                <w:iCs/>
                <w:spacing w:val="2"/>
              </w:rPr>
              <w:t>japonicus</w:t>
            </w:r>
          </w:p>
        </w:tc>
        <w:tc>
          <w:tcPr>
            <w:tcW w:w="845" w:type="dxa"/>
            <w:tcBorders>
              <w:right w:val="single" w:color="000000" w:sz="12" w:space="0"/>
            </w:tcBorders>
            <w:vAlign w:val="top"/>
          </w:tcPr>
          <w:p w14:paraId="61D695BB">
            <w:pPr>
              <w:spacing w:before="88"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3CE93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0575B357">
            <w:pPr>
              <w:rPr>
                <w:rFonts w:ascii="Arial"/>
                <w:sz w:val="21"/>
              </w:rPr>
            </w:pPr>
          </w:p>
        </w:tc>
        <w:tc>
          <w:tcPr>
            <w:tcW w:w="1270" w:type="dxa"/>
            <w:vAlign w:val="top"/>
          </w:tcPr>
          <w:p w14:paraId="1320352A">
            <w:pPr>
              <w:rPr>
                <w:rFonts w:ascii="Arial"/>
                <w:sz w:val="21"/>
              </w:rPr>
            </w:pPr>
          </w:p>
        </w:tc>
        <w:tc>
          <w:tcPr>
            <w:tcW w:w="1554" w:type="dxa"/>
            <w:vAlign w:val="top"/>
          </w:tcPr>
          <w:p w14:paraId="4618BD88">
            <w:pPr>
              <w:rPr>
                <w:rFonts w:ascii="Arial"/>
                <w:sz w:val="21"/>
              </w:rPr>
            </w:pPr>
          </w:p>
        </w:tc>
        <w:tc>
          <w:tcPr>
            <w:tcW w:w="989" w:type="dxa"/>
            <w:vAlign w:val="top"/>
          </w:tcPr>
          <w:p w14:paraId="618EEE56">
            <w:pPr>
              <w:pStyle w:val="6"/>
              <w:spacing w:before="127" w:line="186" w:lineRule="auto"/>
              <w:ind w:left="309"/>
            </w:pPr>
            <w:r>
              <w:rPr>
                <w:b/>
                <w:bCs/>
                <w:spacing w:val="-2"/>
              </w:rPr>
              <w:t>O11</w:t>
            </w:r>
          </w:p>
        </w:tc>
        <w:tc>
          <w:tcPr>
            <w:tcW w:w="1272" w:type="dxa"/>
            <w:vAlign w:val="top"/>
          </w:tcPr>
          <w:p w14:paraId="2F80CEC6">
            <w:pPr>
              <w:spacing w:before="88" w:line="220" w:lineRule="auto"/>
              <w:ind w:left="323"/>
              <w:rPr>
                <w:rFonts w:ascii="宋体" w:hAnsi="宋体" w:eastAsia="宋体" w:cs="宋体"/>
                <w:sz w:val="21"/>
                <w:szCs w:val="21"/>
              </w:rPr>
            </w:pPr>
            <w:r>
              <w:rPr>
                <w:rFonts w:ascii="宋体" w:hAnsi="宋体" w:eastAsia="宋体" w:cs="宋体"/>
                <w:b/>
                <w:bCs/>
                <w:spacing w:val="-4"/>
                <w:sz w:val="21"/>
                <w:szCs w:val="21"/>
              </w:rPr>
              <w:t>鸮形目</w:t>
            </w:r>
          </w:p>
        </w:tc>
        <w:tc>
          <w:tcPr>
            <w:tcW w:w="1693" w:type="dxa"/>
            <w:vAlign w:val="top"/>
          </w:tcPr>
          <w:p w14:paraId="226C5349">
            <w:pPr>
              <w:pStyle w:val="6"/>
              <w:spacing w:before="127" w:line="186" w:lineRule="auto"/>
              <w:ind w:left="301"/>
            </w:pPr>
            <w:r>
              <w:rPr>
                <w:b/>
                <w:bCs/>
                <w:spacing w:val="-1"/>
              </w:rPr>
              <w:t>Strigiformes</w:t>
            </w:r>
          </w:p>
        </w:tc>
        <w:tc>
          <w:tcPr>
            <w:tcW w:w="845" w:type="dxa"/>
            <w:tcBorders>
              <w:right w:val="single" w:color="000000" w:sz="12" w:space="0"/>
            </w:tcBorders>
            <w:vAlign w:val="top"/>
          </w:tcPr>
          <w:p w14:paraId="3F18467D">
            <w:pPr>
              <w:rPr>
                <w:rFonts w:ascii="Arial"/>
                <w:sz w:val="21"/>
              </w:rPr>
            </w:pPr>
          </w:p>
        </w:tc>
      </w:tr>
      <w:tr w14:paraId="440DD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E58873A">
            <w:pPr>
              <w:rPr>
                <w:rFonts w:ascii="Arial"/>
                <w:sz w:val="21"/>
              </w:rPr>
            </w:pPr>
          </w:p>
        </w:tc>
        <w:tc>
          <w:tcPr>
            <w:tcW w:w="1270" w:type="dxa"/>
            <w:vAlign w:val="top"/>
          </w:tcPr>
          <w:p w14:paraId="0DEDCB52">
            <w:pPr>
              <w:rPr>
                <w:rFonts w:ascii="Arial"/>
                <w:sz w:val="21"/>
              </w:rPr>
            </w:pPr>
          </w:p>
        </w:tc>
        <w:tc>
          <w:tcPr>
            <w:tcW w:w="1554" w:type="dxa"/>
            <w:vAlign w:val="top"/>
          </w:tcPr>
          <w:p w14:paraId="4939A799">
            <w:pPr>
              <w:rPr>
                <w:rFonts w:ascii="Arial"/>
                <w:sz w:val="21"/>
              </w:rPr>
            </w:pPr>
          </w:p>
        </w:tc>
        <w:tc>
          <w:tcPr>
            <w:tcW w:w="989" w:type="dxa"/>
            <w:vAlign w:val="top"/>
          </w:tcPr>
          <w:p w14:paraId="6F70364C">
            <w:pPr>
              <w:pStyle w:val="6"/>
              <w:spacing w:before="129" w:line="186" w:lineRule="auto"/>
              <w:ind w:left="323"/>
            </w:pPr>
            <w:r>
              <w:rPr>
                <w:b/>
                <w:bCs/>
                <w:spacing w:val="-2"/>
              </w:rPr>
              <w:t>F11</w:t>
            </w:r>
          </w:p>
        </w:tc>
        <w:tc>
          <w:tcPr>
            <w:tcW w:w="1272" w:type="dxa"/>
            <w:vAlign w:val="top"/>
          </w:tcPr>
          <w:p w14:paraId="39579FFC">
            <w:pPr>
              <w:spacing w:before="91" w:line="219" w:lineRule="auto"/>
              <w:ind w:left="333"/>
              <w:rPr>
                <w:rFonts w:ascii="宋体" w:hAnsi="宋体" w:eastAsia="宋体" w:cs="宋体"/>
                <w:sz w:val="21"/>
                <w:szCs w:val="21"/>
              </w:rPr>
            </w:pPr>
            <w:r>
              <w:rPr>
                <w:rFonts w:ascii="宋体" w:hAnsi="宋体" w:eastAsia="宋体" w:cs="宋体"/>
                <w:b/>
                <w:bCs/>
                <w:spacing w:val="-6"/>
                <w:sz w:val="21"/>
                <w:szCs w:val="21"/>
              </w:rPr>
              <w:t>鸱鸮科</w:t>
            </w:r>
          </w:p>
        </w:tc>
        <w:tc>
          <w:tcPr>
            <w:tcW w:w="1693" w:type="dxa"/>
            <w:vAlign w:val="top"/>
          </w:tcPr>
          <w:p w14:paraId="3DEDE566">
            <w:pPr>
              <w:pStyle w:val="6"/>
              <w:spacing w:before="129" w:line="186" w:lineRule="auto"/>
              <w:ind w:left="453"/>
            </w:pPr>
            <w:r>
              <w:rPr>
                <w:b/>
                <w:bCs/>
                <w:spacing w:val="-2"/>
              </w:rPr>
              <w:t>Strigidae</w:t>
            </w:r>
          </w:p>
        </w:tc>
        <w:tc>
          <w:tcPr>
            <w:tcW w:w="845" w:type="dxa"/>
            <w:tcBorders>
              <w:right w:val="single" w:color="000000" w:sz="12" w:space="0"/>
            </w:tcBorders>
            <w:vAlign w:val="top"/>
          </w:tcPr>
          <w:p w14:paraId="661210D1">
            <w:pPr>
              <w:rPr>
                <w:rFonts w:ascii="Arial"/>
                <w:sz w:val="21"/>
              </w:rPr>
            </w:pPr>
          </w:p>
        </w:tc>
      </w:tr>
      <w:tr w14:paraId="48FCE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2472195">
            <w:pPr>
              <w:rPr>
                <w:rFonts w:ascii="Arial"/>
                <w:sz w:val="21"/>
              </w:rPr>
            </w:pPr>
          </w:p>
        </w:tc>
        <w:tc>
          <w:tcPr>
            <w:tcW w:w="1270" w:type="dxa"/>
            <w:vAlign w:val="top"/>
          </w:tcPr>
          <w:p w14:paraId="22A3EE72">
            <w:pPr>
              <w:rPr>
                <w:rFonts w:ascii="Arial"/>
                <w:sz w:val="21"/>
              </w:rPr>
            </w:pPr>
          </w:p>
        </w:tc>
        <w:tc>
          <w:tcPr>
            <w:tcW w:w="1554" w:type="dxa"/>
            <w:vAlign w:val="top"/>
          </w:tcPr>
          <w:p w14:paraId="2B5DB37F">
            <w:pPr>
              <w:rPr>
                <w:rFonts w:ascii="Arial"/>
                <w:sz w:val="21"/>
              </w:rPr>
            </w:pPr>
          </w:p>
        </w:tc>
        <w:tc>
          <w:tcPr>
            <w:tcW w:w="989" w:type="dxa"/>
            <w:vAlign w:val="top"/>
          </w:tcPr>
          <w:p w14:paraId="324D694B">
            <w:pPr>
              <w:spacing w:before="124" w:line="207" w:lineRule="auto"/>
              <w:ind w:left="387"/>
              <w:rPr>
                <w:rFonts w:ascii="宋体" w:hAnsi="宋体" w:eastAsia="宋体" w:cs="宋体"/>
                <w:sz w:val="21"/>
                <w:szCs w:val="21"/>
              </w:rPr>
            </w:pPr>
            <w:r>
              <w:rPr>
                <w:rFonts w:ascii="宋体" w:hAnsi="宋体" w:eastAsia="宋体" w:cs="宋体"/>
                <w:spacing w:val="-1"/>
                <w:sz w:val="21"/>
                <w:szCs w:val="21"/>
              </w:rPr>
              <w:t>25</w:t>
            </w:r>
          </w:p>
        </w:tc>
        <w:tc>
          <w:tcPr>
            <w:tcW w:w="1272" w:type="dxa"/>
            <w:vAlign w:val="top"/>
          </w:tcPr>
          <w:p w14:paraId="2A975437">
            <w:pPr>
              <w:spacing w:before="90" w:line="219" w:lineRule="auto"/>
              <w:ind w:left="325"/>
              <w:rPr>
                <w:rFonts w:ascii="宋体" w:hAnsi="宋体" w:eastAsia="宋体" w:cs="宋体"/>
                <w:sz w:val="21"/>
                <w:szCs w:val="21"/>
              </w:rPr>
            </w:pPr>
            <w:r>
              <w:rPr>
                <w:rFonts w:ascii="宋体" w:hAnsi="宋体" w:eastAsia="宋体" w:cs="宋体"/>
                <w:spacing w:val="-2"/>
                <w:sz w:val="21"/>
                <w:szCs w:val="21"/>
              </w:rPr>
              <w:t>领角鸮</w:t>
            </w:r>
          </w:p>
        </w:tc>
        <w:tc>
          <w:tcPr>
            <w:tcW w:w="1693" w:type="dxa"/>
            <w:vAlign w:val="top"/>
          </w:tcPr>
          <w:p w14:paraId="51588491">
            <w:pPr>
              <w:pStyle w:val="6"/>
              <w:spacing w:before="124" w:line="232" w:lineRule="auto"/>
              <w:ind w:left="423"/>
            </w:pPr>
            <w:r>
              <w:rPr>
                <w:i/>
                <w:iCs/>
                <w:spacing w:val="-2"/>
              </w:rPr>
              <w:t>Otus</w:t>
            </w:r>
            <w:r>
              <w:rPr>
                <w:i/>
                <w:iCs/>
                <w:spacing w:val="9"/>
              </w:rPr>
              <w:t xml:space="preserve"> </w:t>
            </w:r>
            <w:r>
              <w:rPr>
                <w:i/>
                <w:iCs/>
                <w:spacing w:val="-2"/>
              </w:rPr>
              <w:t>lettia</w:t>
            </w:r>
          </w:p>
        </w:tc>
        <w:tc>
          <w:tcPr>
            <w:tcW w:w="845" w:type="dxa"/>
            <w:tcBorders>
              <w:right w:val="single" w:color="000000" w:sz="12" w:space="0"/>
            </w:tcBorders>
            <w:vAlign w:val="top"/>
          </w:tcPr>
          <w:p w14:paraId="6976636D">
            <w:pPr>
              <w:spacing w:before="90"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70DC4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827A227">
            <w:pPr>
              <w:rPr>
                <w:rFonts w:ascii="Arial"/>
                <w:sz w:val="21"/>
              </w:rPr>
            </w:pPr>
          </w:p>
        </w:tc>
        <w:tc>
          <w:tcPr>
            <w:tcW w:w="1270" w:type="dxa"/>
            <w:vAlign w:val="top"/>
          </w:tcPr>
          <w:p w14:paraId="1B71104D">
            <w:pPr>
              <w:rPr>
                <w:rFonts w:ascii="Arial"/>
                <w:sz w:val="21"/>
              </w:rPr>
            </w:pPr>
          </w:p>
        </w:tc>
        <w:tc>
          <w:tcPr>
            <w:tcW w:w="1554" w:type="dxa"/>
            <w:vAlign w:val="top"/>
          </w:tcPr>
          <w:p w14:paraId="4FC5EADC">
            <w:pPr>
              <w:rPr>
                <w:rFonts w:ascii="Arial"/>
                <w:sz w:val="21"/>
              </w:rPr>
            </w:pPr>
          </w:p>
        </w:tc>
        <w:tc>
          <w:tcPr>
            <w:tcW w:w="989" w:type="dxa"/>
            <w:vAlign w:val="top"/>
          </w:tcPr>
          <w:p w14:paraId="198FDB56">
            <w:pPr>
              <w:spacing w:before="223" w:line="223" w:lineRule="auto"/>
              <w:ind w:left="387"/>
              <w:rPr>
                <w:rFonts w:ascii="宋体" w:hAnsi="宋体" w:eastAsia="宋体" w:cs="宋体"/>
                <w:sz w:val="21"/>
                <w:szCs w:val="21"/>
              </w:rPr>
            </w:pPr>
            <w:r>
              <w:rPr>
                <w:rFonts w:ascii="宋体" w:hAnsi="宋体" w:eastAsia="宋体" w:cs="宋体"/>
                <w:spacing w:val="-1"/>
                <w:sz w:val="21"/>
                <w:szCs w:val="21"/>
              </w:rPr>
              <w:t>26</w:t>
            </w:r>
          </w:p>
        </w:tc>
        <w:tc>
          <w:tcPr>
            <w:tcW w:w="1272" w:type="dxa"/>
            <w:vAlign w:val="top"/>
          </w:tcPr>
          <w:p w14:paraId="4C2F8558">
            <w:pPr>
              <w:spacing w:before="189" w:line="219" w:lineRule="auto"/>
              <w:ind w:left="221"/>
              <w:rPr>
                <w:rFonts w:ascii="宋体" w:hAnsi="宋体" w:eastAsia="宋体" w:cs="宋体"/>
                <w:sz w:val="21"/>
                <w:szCs w:val="21"/>
              </w:rPr>
            </w:pPr>
            <w:r>
              <w:rPr>
                <w:rFonts w:ascii="宋体" w:hAnsi="宋体" w:eastAsia="宋体" w:cs="宋体"/>
                <w:spacing w:val="-2"/>
                <w:sz w:val="21"/>
                <w:szCs w:val="21"/>
              </w:rPr>
              <w:t>斑头鸺鹠</w:t>
            </w:r>
          </w:p>
        </w:tc>
        <w:tc>
          <w:tcPr>
            <w:tcW w:w="1693" w:type="dxa"/>
            <w:vAlign w:val="top"/>
          </w:tcPr>
          <w:p w14:paraId="21875DC0">
            <w:pPr>
              <w:pStyle w:val="6"/>
              <w:spacing w:before="103" w:line="190" w:lineRule="auto"/>
              <w:ind w:left="368"/>
            </w:pPr>
            <w:r>
              <w:rPr>
                <w:i/>
                <w:iCs/>
                <w:spacing w:val="-2"/>
              </w:rPr>
              <w:t>Glaucidium</w:t>
            </w:r>
          </w:p>
          <w:p w14:paraId="3A511CDD">
            <w:pPr>
              <w:pStyle w:val="6"/>
              <w:spacing w:before="50" w:line="210" w:lineRule="auto"/>
              <w:ind w:left="407"/>
            </w:pPr>
            <w:r>
              <w:rPr>
                <w:i/>
                <w:iCs/>
                <w:spacing w:val="-1"/>
              </w:rPr>
              <w:t>cuculoides</w:t>
            </w:r>
          </w:p>
        </w:tc>
        <w:tc>
          <w:tcPr>
            <w:tcW w:w="845" w:type="dxa"/>
            <w:tcBorders>
              <w:right w:val="single" w:color="000000" w:sz="12" w:space="0"/>
            </w:tcBorders>
            <w:vAlign w:val="top"/>
          </w:tcPr>
          <w:p w14:paraId="3375FC53">
            <w:pPr>
              <w:spacing w:before="189"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02D9E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876982E">
            <w:pPr>
              <w:pStyle w:val="6"/>
              <w:spacing w:before="131" w:line="186" w:lineRule="auto"/>
              <w:ind w:left="225"/>
            </w:pPr>
            <w:r>
              <w:rPr>
                <w:b/>
                <w:bCs/>
                <w:spacing w:val="-2"/>
              </w:rPr>
              <w:t>O11</w:t>
            </w:r>
          </w:p>
        </w:tc>
        <w:tc>
          <w:tcPr>
            <w:tcW w:w="1270" w:type="dxa"/>
            <w:vAlign w:val="top"/>
          </w:tcPr>
          <w:p w14:paraId="6B4C9C82">
            <w:pPr>
              <w:spacing w:before="94" w:line="220" w:lineRule="auto"/>
              <w:ind w:left="311"/>
              <w:rPr>
                <w:rFonts w:ascii="宋体" w:hAnsi="宋体" w:eastAsia="宋体" w:cs="宋体"/>
                <w:sz w:val="21"/>
                <w:szCs w:val="21"/>
              </w:rPr>
            </w:pPr>
            <w:r>
              <w:rPr>
                <w:rFonts w:ascii="宋体" w:hAnsi="宋体" w:eastAsia="宋体" w:cs="宋体"/>
                <w:b/>
                <w:bCs/>
                <w:spacing w:val="-4"/>
                <w:sz w:val="21"/>
                <w:szCs w:val="21"/>
              </w:rPr>
              <w:t>犀鸟目</w:t>
            </w:r>
          </w:p>
        </w:tc>
        <w:tc>
          <w:tcPr>
            <w:tcW w:w="1554" w:type="dxa"/>
            <w:vAlign w:val="top"/>
          </w:tcPr>
          <w:p w14:paraId="041447B1">
            <w:pPr>
              <w:pStyle w:val="6"/>
              <w:spacing w:before="131" w:line="186" w:lineRule="auto"/>
              <w:ind w:left="76"/>
            </w:pPr>
            <w:r>
              <w:rPr>
                <w:b/>
                <w:bCs/>
                <w:spacing w:val="-1"/>
              </w:rPr>
              <w:t>Bucerotiformes</w:t>
            </w:r>
          </w:p>
        </w:tc>
        <w:tc>
          <w:tcPr>
            <w:tcW w:w="989" w:type="dxa"/>
            <w:vAlign w:val="top"/>
          </w:tcPr>
          <w:p w14:paraId="2CD2C6BC">
            <w:pPr>
              <w:pStyle w:val="6"/>
              <w:spacing w:before="131" w:line="186" w:lineRule="auto"/>
              <w:ind w:left="309"/>
            </w:pPr>
            <w:r>
              <w:rPr>
                <w:b/>
                <w:bCs/>
                <w:spacing w:val="-2"/>
              </w:rPr>
              <w:t>O12</w:t>
            </w:r>
          </w:p>
        </w:tc>
        <w:tc>
          <w:tcPr>
            <w:tcW w:w="1272" w:type="dxa"/>
            <w:vAlign w:val="top"/>
          </w:tcPr>
          <w:p w14:paraId="7943421A">
            <w:pPr>
              <w:spacing w:before="94" w:line="220" w:lineRule="auto"/>
              <w:ind w:left="324"/>
              <w:rPr>
                <w:rFonts w:ascii="宋体" w:hAnsi="宋体" w:eastAsia="宋体" w:cs="宋体"/>
                <w:sz w:val="21"/>
                <w:szCs w:val="21"/>
              </w:rPr>
            </w:pPr>
            <w:r>
              <w:rPr>
                <w:rFonts w:ascii="宋体" w:hAnsi="宋体" w:eastAsia="宋体" w:cs="宋体"/>
                <w:b/>
                <w:bCs/>
                <w:spacing w:val="-4"/>
                <w:sz w:val="21"/>
                <w:szCs w:val="21"/>
              </w:rPr>
              <w:t>犀鸟目</w:t>
            </w:r>
          </w:p>
        </w:tc>
        <w:tc>
          <w:tcPr>
            <w:tcW w:w="1693" w:type="dxa"/>
            <w:vAlign w:val="top"/>
          </w:tcPr>
          <w:p w14:paraId="3AB0CDD8">
            <w:pPr>
              <w:pStyle w:val="6"/>
              <w:spacing w:before="131" w:line="186" w:lineRule="auto"/>
              <w:ind w:left="160"/>
            </w:pPr>
            <w:r>
              <w:rPr>
                <w:b/>
                <w:bCs/>
                <w:spacing w:val="-1"/>
              </w:rPr>
              <w:t>Bucerotiformes</w:t>
            </w:r>
          </w:p>
        </w:tc>
        <w:tc>
          <w:tcPr>
            <w:tcW w:w="845" w:type="dxa"/>
            <w:tcBorders>
              <w:right w:val="single" w:color="000000" w:sz="12" w:space="0"/>
            </w:tcBorders>
            <w:vAlign w:val="top"/>
          </w:tcPr>
          <w:p w14:paraId="2EFC67A9">
            <w:pPr>
              <w:rPr>
                <w:rFonts w:ascii="Arial"/>
                <w:sz w:val="21"/>
              </w:rPr>
            </w:pPr>
          </w:p>
        </w:tc>
      </w:tr>
      <w:tr w14:paraId="5790C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63D1E1A">
            <w:pPr>
              <w:pStyle w:val="6"/>
              <w:spacing w:before="131" w:line="186" w:lineRule="auto"/>
              <w:ind w:left="238"/>
            </w:pPr>
            <w:r>
              <w:rPr>
                <w:b/>
                <w:bCs/>
                <w:spacing w:val="-2"/>
              </w:rPr>
              <w:t>F11</w:t>
            </w:r>
          </w:p>
        </w:tc>
        <w:tc>
          <w:tcPr>
            <w:tcW w:w="1270" w:type="dxa"/>
            <w:vAlign w:val="top"/>
          </w:tcPr>
          <w:p w14:paraId="257B35FF">
            <w:pPr>
              <w:spacing w:before="92" w:line="219" w:lineRule="auto"/>
              <w:ind w:left="315"/>
              <w:rPr>
                <w:rFonts w:ascii="宋体" w:hAnsi="宋体" w:eastAsia="宋体" w:cs="宋体"/>
                <w:sz w:val="21"/>
                <w:szCs w:val="21"/>
              </w:rPr>
            </w:pPr>
            <w:r>
              <w:rPr>
                <w:rFonts w:ascii="宋体" w:hAnsi="宋体" w:eastAsia="宋体" w:cs="宋体"/>
                <w:b/>
                <w:bCs/>
                <w:spacing w:val="-5"/>
                <w:sz w:val="21"/>
                <w:szCs w:val="21"/>
              </w:rPr>
              <w:t>戴胜科</w:t>
            </w:r>
          </w:p>
        </w:tc>
        <w:tc>
          <w:tcPr>
            <w:tcW w:w="1554" w:type="dxa"/>
            <w:vAlign w:val="top"/>
          </w:tcPr>
          <w:p w14:paraId="4E9AA8E8">
            <w:pPr>
              <w:pStyle w:val="6"/>
              <w:spacing w:before="131" w:line="187" w:lineRule="auto"/>
              <w:ind w:left="333"/>
            </w:pPr>
            <w:r>
              <w:rPr>
                <w:b/>
                <w:bCs/>
                <w:spacing w:val="-1"/>
              </w:rPr>
              <w:t>Upupidae</w:t>
            </w:r>
          </w:p>
        </w:tc>
        <w:tc>
          <w:tcPr>
            <w:tcW w:w="989" w:type="dxa"/>
            <w:vAlign w:val="top"/>
          </w:tcPr>
          <w:p w14:paraId="30E49DD0">
            <w:pPr>
              <w:pStyle w:val="6"/>
              <w:spacing w:before="131" w:line="186" w:lineRule="auto"/>
              <w:ind w:left="323"/>
            </w:pPr>
            <w:r>
              <w:rPr>
                <w:b/>
                <w:bCs/>
                <w:spacing w:val="-2"/>
              </w:rPr>
              <w:t>F12</w:t>
            </w:r>
          </w:p>
        </w:tc>
        <w:tc>
          <w:tcPr>
            <w:tcW w:w="1272" w:type="dxa"/>
            <w:vAlign w:val="top"/>
          </w:tcPr>
          <w:p w14:paraId="17B39536">
            <w:pPr>
              <w:spacing w:before="92" w:line="219" w:lineRule="auto"/>
              <w:ind w:left="328"/>
              <w:rPr>
                <w:rFonts w:ascii="宋体" w:hAnsi="宋体" w:eastAsia="宋体" w:cs="宋体"/>
                <w:sz w:val="21"/>
                <w:szCs w:val="21"/>
              </w:rPr>
            </w:pPr>
            <w:r>
              <w:rPr>
                <w:rFonts w:ascii="宋体" w:hAnsi="宋体" w:eastAsia="宋体" w:cs="宋体"/>
                <w:b/>
                <w:bCs/>
                <w:spacing w:val="-5"/>
                <w:sz w:val="21"/>
                <w:szCs w:val="21"/>
              </w:rPr>
              <w:t>戴胜科</w:t>
            </w:r>
          </w:p>
        </w:tc>
        <w:tc>
          <w:tcPr>
            <w:tcW w:w="1693" w:type="dxa"/>
            <w:vAlign w:val="top"/>
          </w:tcPr>
          <w:p w14:paraId="504C3F56">
            <w:pPr>
              <w:pStyle w:val="6"/>
              <w:spacing w:before="131" w:line="187" w:lineRule="auto"/>
              <w:ind w:left="417"/>
            </w:pPr>
            <w:r>
              <w:rPr>
                <w:b/>
                <w:bCs/>
                <w:spacing w:val="-1"/>
              </w:rPr>
              <w:t>Upupidae</w:t>
            </w:r>
          </w:p>
        </w:tc>
        <w:tc>
          <w:tcPr>
            <w:tcW w:w="845" w:type="dxa"/>
            <w:tcBorders>
              <w:right w:val="single" w:color="000000" w:sz="12" w:space="0"/>
            </w:tcBorders>
            <w:vAlign w:val="top"/>
          </w:tcPr>
          <w:p w14:paraId="0F3A672C">
            <w:pPr>
              <w:rPr>
                <w:rFonts w:ascii="Arial"/>
                <w:sz w:val="21"/>
              </w:rPr>
            </w:pPr>
          </w:p>
        </w:tc>
      </w:tr>
      <w:tr w14:paraId="15CCE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25382CC8">
            <w:pPr>
              <w:spacing w:before="127" w:line="203" w:lineRule="auto"/>
              <w:ind w:left="307"/>
              <w:rPr>
                <w:rFonts w:ascii="宋体" w:hAnsi="宋体" w:eastAsia="宋体" w:cs="宋体"/>
                <w:sz w:val="21"/>
                <w:szCs w:val="21"/>
              </w:rPr>
            </w:pPr>
            <w:r>
              <w:rPr>
                <w:rFonts w:ascii="宋体" w:hAnsi="宋体" w:eastAsia="宋体" w:cs="宋体"/>
                <w:spacing w:val="-3"/>
                <w:sz w:val="21"/>
                <w:szCs w:val="21"/>
              </w:rPr>
              <w:t>37</w:t>
            </w:r>
          </w:p>
        </w:tc>
        <w:tc>
          <w:tcPr>
            <w:tcW w:w="1270" w:type="dxa"/>
            <w:vAlign w:val="top"/>
          </w:tcPr>
          <w:p w14:paraId="5F5F8894">
            <w:pPr>
              <w:spacing w:before="93" w:line="220" w:lineRule="auto"/>
              <w:ind w:left="421"/>
              <w:rPr>
                <w:rFonts w:ascii="宋体" w:hAnsi="宋体" w:eastAsia="宋体" w:cs="宋体"/>
                <w:sz w:val="21"/>
                <w:szCs w:val="21"/>
              </w:rPr>
            </w:pPr>
            <w:r>
              <w:rPr>
                <w:rFonts w:ascii="宋体" w:hAnsi="宋体" w:eastAsia="宋体" w:cs="宋体"/>
                <w:spacing w:val="-4"/>
                <w:sz w:val="21"/>
                <w:szCs w:val="21"/>
              </w:rPr>
              <w:t>戴胜</w:t>
            </w:r>
          </w:p>
        </w:tc>
        <w:tc>
          <w:tcPr>
            <w:tcW w:w="1554" w:type="dxa"/>
            <w:vAlign w:val="top"/>
          </w:tcPr>
          <w:p w14:paraId="001B258F">
            <w:pPr>
              <w:pStyle w:val="6"/>
              <w:spacing w:before="127" w:line="190" w:lineRule="auto"/>
              <w:ind w:left="231"/>
            </w:pPr>
            <w:r>
              <w:rPr>
                <w:i/>
                <w:iCs/>
                <w:spacing w:val="-3"/>
              </w:rPr>
              <w:t>Upupa epops</w:t>
            </w:r>
          </w:p>
        </w:tc>
        <w:tc>
          <w:tcPr>
            <w:tcW w:w="989" w:type="dxa"/>
            <w:vAlign w:val="top"/>
          </w:tcPr>
          <w:p w14:paraId="6B1E0707">
            <w:pPr>
              <w:spacing w:before="127" w:line="203" w:lineRule="auto"/>
              <w:ind w:left="387"/>
              <w:rPr>
                <w:rFonts w:ascii="宋体" w:hAnsi="宋体" w:eastAsia="宋体" w:cs="宋体"/>
                <w:sz w:val="21"/>
                <w:szCs w:val="21"/>
              </w:rPr>
            </w:pPr>
            <w:r>
              <w:rPr>
                <w:rFonts w:ascii="宋体" w:hAnsi="宋体" w:eastAsia="宋体" w:cs="宋体"/>
                <w:spacing w:val="-1"/>
                <w:sz w:val="21"/>
                <w:szCs w:val="21"/>
              </w:rPr>
              <w:t>27</w:t>
            </w:r>
          </w:p>
        </w:tc>
        <w:tc>
          <w:tcPr>
            <w:tcW w:w="1272" w:type="dxa"/>
            <w:vAlign w:val="top"/>
          </w:tcPr>
          <w:p w14:paraId="422CBEFA">
            <w:pPr>
              <w:spacing w:before="93" w:line="220" w:lineRule="auto"/>
              <w:ind w:left="435"/>
              <w:rPr>
                <w:rFonts w:ascii="宋体" w:hAnsi="宋体" w:eastAsia="宋体" w:cs="宋体"/>
                <w:sz w:val="21"/>
                <w:szCs w:val="21"/>
              </w:rPr>
            </w:pPr>
            <w:r>
              <w:rPr>
                <w:rFonts w:ascii="宋体" w:hAnsi="宋体" w:eastAsia="宋体" w:cs="宋体"/>
                <w:spacing w:val="-4"/>
                <w:sz w:val="21"/>
                <w:szCs w:val="21"/>
              </w:rPr>
              <w:t>戴胜</w:t>
            </w:r>
          </w:p>
        </w:tc>
        <w:tc>
          <w:tcPr>
            <w:tcW w:w="1693" w:type="dxa"/>
            <w:vAlign w:val="top"/>
          </w:tcPr>
          <w:p w14:paraId="0F80B86F">
            <w:pPr>
              <w:pStyle w:val="6"/>
              <w:spacing w:before="127" w:line="190" w:lineRule="auto"/>
              <w:ind w:left="316"/>
            </w:pPr>
            <w:r>
              <w:rPr>
                <w:i/>
                <w:iCs/>
                <w:spacing w:val="-2"/>
              </w:rPr>
              <w:t>Upupa epops</w:t>
            </w:r>
          </w:p>
        </w:tc>
        <w:tc>
          <w:tcPr>
            <w:tcW w:w="845" w:type="dxa"/>
            <w:tcBorders>
              <w:right w:val="single" w:color="000000" w:sz="12" w:space="0"/>
            </w:tcBorders>
            <w:vAlign w:val="top"/>
          </w:tcPr>
          <w:p w14:paraId="6316F86A">
            <w:pPr>
              <w:rPr>
                <w:rFonts w:ascii="Arial"/>
                <w:sz w:val="21"/>
              </w:rPr>
            </w:pPr>
          </w:p>
        </w:tc>
      </w:tr>
      <w:tr w14:paraId="1C94F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B65F306">
            <w:pPr>
              <w:pStyle w:val="6"/>
              <w:spacing w:before="133" w:line="186" w:lineRule="auto"/>
              <w:ind w:left="225"/>
            </w:pPr>
            <w:r>
              <w:rPr>
                <w:b/>
                <w:bCs/>
                <w:spacing w:val="-2"/>
              </w:rPr>
              <w:t>O12</w:t>
            </w:r>
          </w:p>
        </w:tc>
        <w:tc>
          <w:tcPr>
            <w:tcW w:w="1270" w:type="dxa"/>
            <w:vAlign w:val="top"/>
          </w:tcPr>
          <w:p w14:paraId="65E6F326">
            <w:pPr>
              <w:spacing w:before="95" w:line="220" w:lineRule="auto"/>
              <w:ind w:left="207"/>
              <w:rPr>
                <w:rFonts w:ascii="宋体" w:hAnsi="宋体" w:eastAsia="宋体" w:cs="宋体"/>
                <w:sz w:val="21"/>
                <w:szCs w:val="21"/>
              </w:rPr>
            </w:pPr>
            <w:r>
              <w:rPr>
                <w:rFonts w:ascii="宋体" w:hAnsi="宋体" w:eastAsia="宋体" w:cs="宋体"/>
                <w:b/>
                <w:bCs/>
                <w:spacing w:val="-4"/>
                <w:sz w:val="21"/>
                <w:szCs w:val="21"/>
              </w:rPr>
              <w:t>佛法僧目</w:t>
            </w:r>
          </w:p>
        </w:tc>
        <w:tc>
          <w:tcPr>
            <w:tcW w:w="1554" w:type="dxa"/>
            <w:vAlign w:val="top"/>
          </w:tcPr>
          <w:p w14:paraId="0312998E">
            <w:pPr>
              <w:pStyle w:val="6"/>
              <w:spacing w:before="133" w:line="186" w:lineRule="auto"/>
              <w:ind w:left="132"/>
            </w:pPr>
            <w:r>
              <w:rPr>
                <w:b/>
                <w:bCs/>
                <w:spacing w:val="-1"/>
              </w:rPr>
              <w:t>Coraciiformes</w:t>
            </w:r>
          </w:p>
        </w:tc>
        <w:tc>
          <w:tcPr>
            <w:tcW w:w="989" w:type="dxa"/>
            <w:vAlign w:val="top"/>
          </w:tcPr>
          <w:p w14:paraId="13367476">
            <w:pPr>
              <w:pStyle w:val="6"/>
              <w:spacing w:before="133" w:line="186" w:lineRule="auto"/>
              <w:ind w:left="309"/>
            </w:pPr>
            <w:r>
              <w:rPr>
                <w:b/>
                <w:bCs/>
                <w:spacing w:val="-2"/>
              </w:rPr>
              <w:t>O13</w:t>
            </w:r>
          </w:p>
        </w:tc>
        <w:tc>
          <w:tcPr>
            <w:tcW w:w="1272" w:type="dxa"/>
            <w:vAlign w:val="top"/>
          </w:tcPr>
          <w:p w14:paraId="589977FE">
            <w:pPr>
              <w:spacing w:before="95" w:line="220" w:lineRule="auto"/>
              <w:ind w:left="220"/>
              <w:rPr>
                <w:rFonts w:ascii="宋体" w:hAnsi="宋体" w:eastAsia="宋体" w:cs="宋体"/>
                <w:sz w:val="21"/>
                <w:szCs w:val="21"/>
              </w:rPr>
            </w:pPr>
            <w:r>
              <w:rPr>
                <w:rFonts w:ascii="宋体" w:hAnsi="宋体" w:eastAsia="宋体" w:cs="宋体"/>
                <w:b/>
                <w:bCs/>
                <w:spacing w:val="-4"/>
                <w:sz w:val="21"/>
                <w:szCs w:val="21"/>
              </w:rPr>
              <w:t>佛法僧目</w:t>
            </w:r>
          </w:p>
        </w:tc>
        <w:tc>
          <w:tcPr>
            <w:tcW w:w="1693" w:type="dxa"/>
            <w:vAlign w:val="top"/>
          </w:tcPr>
          <w:p w14:paraId="09C14953">
            <w:pPr>
              <w:pStyle w:val="6"/>
              <w:spacing w:before="133" w:line="186" w:lineRule="auto"/>
              <w:ind w:left="216"/>
            </w:pPr>
            <w:r>
              <w:rPr>
                <w:b/>
                <w:bCs/>
                <w:spacing w:val="-1"/>
              </w:rPr>
              <w:t>Coraciiformes</w:t>
            </w:r>
          </w:p>
        </w:tc>
        <w:tc>
          <w:tcPr>
            <w:tcW w:w="845" w:type="dxa"/>
            <w:tcBorders>
              <w:right w:val="single" w:color="000000" w:sz="12" w:space="0"/>
            </w:tcBorders>
            <w:vAlign w:val="top"/>
          </w:tcPr>
          <w:p w14:paraId="67034E64">
            <w:pPr>
              <w:rPr>
                <w:rFonts w:ascii="Arial"/>
                <w:sz w:val="21"/>
              </w:rPr>
            </w:pPr>
          </w:p>
        </w:tc>
      </w:tr>
      <w:tr w14:paraId="43031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194706E">
            <w:pPr>
              <w:pStyle w:val="6"/>
              <w:spacing w:before="133" w:line="186" w:lineRule="auto"/>
              <w:ind w:left="238"/>
            </w:pPr>
            <w:r>
              <w:rPr>
                <w:b/>
                <w:bCs/>
                <w:spacing w:val="-2"/>
              </w:rPr>
              <w:t>F12</w:t>
            </w:r>
          </w:p>
        </w:tc>
        <w:tc>
          <w:tcPr>
            <w:tcW w:w="1270" w:type="dxa"/>
            <w:vAlign w:val="top"/>
          </w:tcPr>
          <w:p w14:paraId="5FB02C22">
            <w:pPr>
              <w:spacing w:before="94" w:line="219" w:lineRule="auto"/>
              <w:ind w:left="207"/>
              <w:rPr>
                <w:rFonts w:ascii="宋体" w:hAnsi="宋体" w:eastAsia="宋体" w:cs="宋体"/>
                <w:sz w:val="21"/>
                <w:szCs w:val="21"/>
              </w:rPr>
            </w:pPr>
            <w:r>
              <w:rPr>
                <w:rFonts w:ascii="宋体" w:hAnsi="宋体" w:eastAsia="宋体" w:cs="宋体"/>
                <w:b/>
                <w:bCs/>
                <w:spacing w:val="-4"/>
                <w:sz w:val="21"/>
                <w:szCs w:val="21"/>
              </w:rPr>
              <w:t>佛法僧科</w:t>
            </w:r>
          </w:p>
        </w:tc>
        <w:tc>
          <w:tcPr>
            <w:tcW w:w="1554" w:type="dxa"/>
            <w:vAlign w:val="top"/>
          </w:tcPr>
          <w:p w14:paraId="4184B552">
            <w:pPr>
              <w:pStyle w:val="6"/>
              <w:spacing w:before="133" w:line="186" w:lineRule="auto"/>
              <w:ind w:left="285"/>
            </w:pPr>
            <w:r>
              <w:rPr>
                <w:b/>
                <w:bCs/>
                <w:spacing w:val="-1"/>
              </w:rPr>
              <w:t>Coraciidae</w:t>
            </w:r>
          </w:p>
        </w:tc>
        <w:tc>
          <w:tcPr>
            <w:tcW w:w="989" w:type="dxa"/>
            <w:vAlign w:val="top"/>
          </w:tcPr>
          <w:p w14:paraId="3BDF581D">
            <w:pPr>
              <w:rPr>
                <w:rFonts w:ascii="Arial"/>
                <w:sz w:val="21"/>
              </w:rPr>
            </w:pPr>
          </w:p>
        </w:tc>
        <w:tc>
          <w:tcPr>
            <w:tcW w:w="1272" w:type="dxa"/>
            <w:vAlign w:val="top"/>
          </w:tcPr>
          <w:p w14:paraId="399D430C">
            <w:pPr>
              <w:rPr>
                <w:rFonts w:ascii="Arial"/>
                <w:sz w:val="21"/>
              </w:rPr>
            </w:pPr>
          </w:p>
        </w:tc>
        <w:tc>
          <w:tcPr>
            <w:tcW w:w="1693" w:type="dxa"/>
            <w:vAlign w:val="top"/>
          </w:tcPr>
          <w:p w14:paraId="334DFF60">
            <w:pPr>
              <w:rPr>
                <w:rFonts w:ascii="Arial"/>
                <w:sz w:val="21"/>
              </w:rPr>
            </w:pPr>
          </w:p>
        </w:tc>
        <w:tc>
          <w:tcPr>
            <w:tcW w:w="845" w:type="dxa"/>
            <w:tcBorders>
              <w:right w:val="single" w:color="000000" w:sz="12" w:space="0"/>
            </w:tcBorders>
            <w:vAlign w:val="top"/>
          </w:tcPr>
          <w:p w14:paraId="2E8CACAF">
            <w:pPr>
              <w:rPr>
                <w:rFonts w:ascii="Arial"/>
                <w:sz w:val="21"/>
              </w:rPr>
            </w:pPr>
          </w:p>
        </w:tc>
      </w:tr>
      <w:tr w14:paraId="1CF9D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6A7EC3E">
            <w:pPr>
              <w:spacing w:before="227" w:line="223" w:lineRule="auto"/>
              <w:ind w:left="307"/>
              <w:rPr>
                <w:rFonts w:ascii="宋体" w:hAnsi="宋体" w:eastAsia="宋体" w:cs="宋体"/>
                <w:sz w:val="21"/>
                <w:szCs w:val="21"/>
              </w:rPr>
            </w:pPr>
            <w:r>
              <w:rPr>
                <w:rFonts w:ascii="宋体" w:hAnsi="宋体" w:eastAsia="宋体" w:cs="宋体"/>
                <w:spacing w:val="-3"/>
                <w:sz w:val="21"/>
                <w:szCs w:val="21"/>
              </w:rPr>
              <w:t>38</w:t>
            </w:r>
          </w:p>
        </w:tc>
        <w:tc>
          <w:tcPr>
            <w:tcW w:w="1270" w:type="dxa"/>
            <w:vAlign w:val="top"/>
          </w:tcPr>
          <w:p w14:paraId="18F2CFCF">
            <w:pPr>
              <w:spacing w:before="193" w:line="220" w:lineRule="auto"/>
              <w:ind w:left="102"/>
              <w:rPr>
                <w:rFonts w:ascii="宋体" w:hAnsi="宋体" w:eastAsia="宋体" w:cs="宋体"/>
                <w:sz w:val="21"/>
                <w:szCs w:val="21"/>
              </w:rPr>
            </w:pPr>
            <w:r>
              <w:rPr>
                <w:rFonts w:ascii="宋体" w:hAnsi="宋体" w:eastAsia="宋体" w:cs="宋体"/>
                <w:spacing w:val="-2"/>
                <w:sz w:val="21"/>
                <w:szCs w:val="21"/>
              </w:rPr>
              <w:t>棕胸佛法僧</w:t>
            </w:r>
          </w:p>
        </w:tc>
        <w:tc>
          <w:tcPr>
            <w:tcW w:w="1554" w:type="dxa"/>
            <w:vAlign w:val="top"/>
          </w:tcPr>
          <w:p w14:paraId="1CF479EA">
            <w:pPr>
              <w:pStyle w:val="6"/>
              <w:spacing w:before="111" w:line="186" w:lineRule="auto"/>
              <w:ind w:left="395"/>
            </w:pPr>
            <w:r>
              <w:rPr>
                <w:i/>
                <w:iCs/>
                <w:spacing w:val="-2"/>
              </w:rPr>
              <w:t>Coracias</w:t>
            </w:r>
          </w:p>
          <w:p w14:paraId="15280C4C">
            <w:pPr>
              <w:pStyle w:val="6"/>
              <w:spacing w:before="50" w:line="190" w:lineRule="auto"/>
              <w:ind w:left="223"/>
            </w:pPr>
            <w:r>
              <w:rPr>
                <w:i/>
                <w:iCs/>
                <w:spacing w:val="-1"/>
              </w:rPr>
              <w:t>benghalensis</w:t>
            </w:r>
          </w:p>
        </w:tc>
        <w:tc>
          <w:tcPr>
            <w:tcW w:w="989" w:type="dxa"/>
            <w:vAlign w:val="top"/>
          </w:tcPr>
          <w:p w14:paraId="62D658D6">
            <w:pPr>
              <w:rPr>
                <w:rFonts w:ascii="Arial"/>
                <w:sz w:val="21"/>
              </w:rPr>
            </w:pPr>
          </w:p>
        </w:tc>
        <w:tc>
          <w:tcPr>
            <w:tcW w:w="1272" w:type="dxa"/>
            <w:vAlign w:val="top"/>
          </w:tcPr>
          <w:p w14:paraId="2A367BD4">
            <w:pPr>
              <w:rPr>
                <w:rFonts w:ascii="Arial"/>
                <w:sz w:val="21"/>
              </w:rPr>
            </w:pPr>
          </w:p>
        </w:tc>
        <w:tc>
          <w:tcPr>
            <w:tcW w:w="1693" w:type="dxa"/>
            <w:vAlign w:val="top"/>
          </w:tcPr>
          <w:p w14:paraId="50A2A111">
            <w:pPr>
              <w:rPr>
                <w:rFonts w:ascii="Arial"/>
                <w:sz w:val="21"/>
              </w:rPr>
            </w:pPr>
          </w:p>
        </w:tc>
        <w:tc>
          <w:tcPr>
            <w:tcW w:w="845" w:type="dxa"/>
            <w:tcBorders>
              <w:right w:val="single" w:color="000000" w:sz="12" w:space="0"/>
            </w:tcBorders>
            <w:vAlign w:val="top"/>
          </w:tcPr>
          <w:p w14:paraId="3929E743">
            <w:pPr>
              <w:rPr>
                <w:rFonts w:ascii="Arial"/>
                <w:sz w:val="21"/>
              </w:rPr>
            </w:pPr>
          </w:p>
        </w:tc>
      </w:tr>
      <w:tr w14:paraId="721DC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850" w:type="dxa"/>
            <w:tcBorders>
              <w:left w:val="single" w:color="000000" w:sz="12" w:space="0"/>
            </w:tcBorders>
            <w:vAlign w:val="top"/>
          </w:tcPr>
          <w:p w14:paraId="2BF937F3">
            <w:pPr>
              <w:pStyle w:val="6"/>
              <w:spacing w:before="129" w:line="186" w:lineRule="auto"/>
              <w:ind w:left="238"/>
            </w:pPr>
            <w:r>
              <w:rPr>
                <w:b/>
                <w:bCs/>
                <w:spacing w:val="-2"/>
              </w:rPr>
              <w:t>F13</w:t>
            </w:r>
          </w:p>
        </w:tc>
        <w:tc>
          <w:tcPr>
            <w:tcW w:w="1270" w:type="dxa"/>
            <w:vAlign w:val="top"/>
          </w:tcPr>
          <w:p w14:paraId="215BBB23">
            <w:pPr>
              <w:spacing w:before="90" w:line="219" w:lineRule="auto"/>
              <w:ind w:left="317"/>
              <w:rPr>
                <w:rFonts w:ascii="宋体" w:hAnsi="宋体" w:eastAsia="宋体" w:cs="宋体"/>
                <w:sz w:val="21"/>
                <w:szCs w:val="21"/>
              </w:rPr>
            </w:pPr>
            <w:r>
              <w:rPr>
                <w:rFonts w:ascii="宋体" w:hAnsi="宋体" w:eastAsia="宋体" w:cs="宋体"/>
                <w:b/>
                <w:bCs/>
                <w:spacing w:val="-5"/>
                <w:sz w:val="21"/>
                <w:szCs w:val="21"/>
              </w:rPr>
              <w:t>翠鸟科</w:t>
            </w:r>
          </w:p>
        </w:tc>
        <w:tc>
          <w:tcPr>
            <w:tcW w:w="1554" w:type="dxa"/>
            <w:vAlign w:val="top"/>
          </w:tcPr>
          <w:p w14:paraId="7629655C">
            <w:pPr>
              <w:pStyle w:val="6"/>
              <w:spacing w:before="129" w:line="186" w:lineRule="auto"/>
              <w:ind w:left="236"/>
            </w:pPr>
            <w:r>
              <w:rPr>
                <w:b/>
                <w:bCs/>
                <w:spacing w:val="-1"/>
              </w:rPr>
              <w:t>Alcedinidae</w:t>
            </w:r>
          </w:p>
        </w:tc>
        <w:tc>
          <w:tcPr>
            <w:tcW w:w="989" w:type="dxa"/>
            <w:vAlign w:val="top"/>
          </w:tcPr>
          <w:p w14:paraId="52CF87C7">
            <w:pPr>
              <w:pStyle w:val="6"/>
              <w:spacing w:before="129" w:line="186" w:lineRule="auto"/>
              <w:ind w:left="323"/>
            </w:pPr>
            <w:r>
              <w:rPr>
                <w:b/>
                <w:bCs/>
                <w:spacing w:val="-2"/>
              </w:rPr>
              <w:t>F13</w:t>
            </w:r>
          </w:p>
        </w:tc>
        <w:tc>
          <w:tcPr>
            <w:tcW w:w="1272" w:type="dxa"/>
            <w:vAlign w:val="top"/>
          </w:tcPr>
          <w:p w14:paraId="1343AF6B">
            <w:pPr>
              <w:spacing w:before="90" w:line="219" w:lineRule="auto"/>
              <w:ind w:left="330"/>
              <w:rPr>
                <w:rFonts w:ascii="宋体" w:hAnsi="宋体" w:eastAsia="宋体" w:cs="宋体"/>
                <w:sz w:val="21"/>
                <w:szCs w:val="21"/>
              </w:rPr>
            </w:pPr>
            <w:r>
              <w:rPr>
                <w:rFonts w:ascii="宋体" w:hAnsi="宋体" w:eastAsia="宋体" w:cs="宋体"/>
                <w:b/>
                <w:bCs/>
                <w:spacing w:val="-5"/>
                <w:sz w:val="21"/>
                <w:szCs w:val="21"/>
              </w:rPr>
              <w:t>翠鸟科</w:t>
            </w:r>
          </w:p>
        </w:tc>
        <w:tc>
          <w:tcPr>
            <w:tcW w:w="1693" w:type="dxa"/>
            <w:vAlign w:val="top"/>
          </w:tcPr>
          <w:p w14:paraId="5F1E79EA">
            <w:pPr>
              <w:pStyle w:val="6"/>
              <w:spacing w:before="129" w:line="186" w:lineRule="auto"/>
              <w:ind w:left="320"/>
            </w:pPr>
            <w:r>
              <w:rPr>
                <w:b/>
                <w:bCs/>
                <w:spacing w:val="-1"/>
              </w:rPr>
              <w:t>Alcedinidae</w:t>
            </w:r>
          </w:p>
        </w:tc>
        <w:tc>
          <w:tcPr>
            <w:tcW w:w="845" w:type="dxa"/>
            <w:tcBorders>
              <w:right w:val="single" w:color="000000" w:sz="12" w:space="0"/>
            </w:tcBorders>
            <w:vAlign w:val="top"/>
          </w:tcPr>
          <w:p w14:paraId="769E8B71">
            <w:pPr>
              <w:rPr>
                <w:rFonts w:ascii="Arial"/>
                <w:sz w:val="21"/>
              </w:rPr>
            </w:pPr>
          </w:p>
        </w:tc>
      </w:tr>
      <w:tr w14:paraId="5CF71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37BED7C">
            <w:pPr>
              <w:spacing w:before="229" w:line="223" w:lineRule="auto"/>
              <w:ind w:left="307"/>
              <w:rPr>
                <w:rFonts w:ascii="宋体" w:hAnsi="宋体" w:eastAsia="宋体" w:cs="宋体"/>
                <w:sz w:val="21"/>
                <w:szCs w:val="21"/>
              </w:rPr>
            </w:pPr>
            <w:r>
              <w:rPr>
                <w:rFonts w:ascii="宋体" w:hAnsi="宋体" w:eastAsia="宋体" w:cs="宋体"/>
                <w:spacing w:val="-3"/>
                <w:sz w:val="21"/>
                <w:szCs w:val="21"/>
              </w:rPr>
              <w:t>39</w:t>
            </w:r>
          </w:p>
        </w:tc>
        <w:tc>
          <w:tcPr>
            <w:tcW w:w="1270" w:type="dxa"/>
            <w:vAlign w:val="top"/>
          </w:tcPr>
          <w:p w14:paraId="3CB2DA03">
            <w:pPr>
              <w:spacing w:before="195" w:line="221" w:lineRule="auto"/>
              <w:ind w:left="237"/>
              <w:rPr>
                <w:rFonts w:ascii="宋体" w:hAnsi="宋体" w:eastAsia="宋体" w:cs="宋体"/>
                <w:sz w:val="21"/>
                <w:szCs w:val="21"/>
              </w:rPr>
            </w:pPr>
            <w:r>
              <w:rPr>
                <w:rFonts w:ascii="宋体" w:hAnsi="宋体" w:eastAsia="宋体" w:cs="宋体"/>
                <w:spacing w:val="-8"/>
                <w:sz w:val="21"/>
                <w:szCs w:val="21"/>
              </w:rPr>
              <w:t>白胸翡翠</w:t>
            </w:r>
          </w:p>
        </w:tc>
        <w:tc>
          <w:tcPr>
            <w:tcW w:w="1554" w:type="dxa"/>
            <w:vAlign w:val="top"/>
          </w:tcPr>
          <w:p w14:paraId="0E1290A9">
            <w:pPr>
              <w:pStyle w:val="6"/>
              <w:spacing w:before="107" w:line="190" w:lineRule="auto"/>
              <w:ind w:left="404"/>
            </w:pPr>
            <w:r>
              <w:rPr>
                <w:i/>
                <w:iCs/>
              </w:rPr>
              <w:t>Halcyon</w:t>
            </w:r>
          </w:p>
          <w:p w14:paraId="03DF92EF">
            <w:pPr>
              <w:pStyle w:val="6"/>
              <w:spacing w:before="51" w:line="190" w:lineRule="auto"/>
              <w:ind w:left="297"/>
            </w:pPr>
            <w:r>
              <w:rPr>
                <w:i/>
                <w:iCs/>
              </w:rPr>
              <w:t>smyrnensis</w:t>
            </w:r>
          </w:p>
        </w:tc>
        <w:tc>
          <w:tcPr>
            <w:tcW w:w="989" w:type="dxa"/>
            <w:vAlign w:val="top"/>
          </w:tcPr>
          <w:p w14:paraId="45CD4C29">
            <w:pPr>
              <w:spacing w:before="229" w:line="223" w:lineRule="auto"/>
              <w:ind w:left="387"/>
              <w:rPr>
                <w:rFonts w:ascii="宋体" w:hAnsi="宋体" w:eastAsia="宋体" w:cs="宋体"/>
                <w:sz w:val="21"/>
                <w:szCs w:val="21"/>
              </w:rPr>
            </w:pPr>
            <w:r>
              <w:rPr>
                <w:rFonts w:ascii="宋体" w:hAnsi="宋体" w:eastAsia="宋体" w:cs="宋体"/>
                <w:spacing w:val="-1"/>
                <w:sz w:val="21"/>
                <w:szCs w:val="21"/>
              </w:rPr>
              <w:t>28</w:t>
            </w:r>
          </w:p>
        </w:tc>
        <w:tc>
          <w:tcPr>
            <w:tcW w:w="1272" w:type="dxa"/>
            <w:vAlign w:val="top"/>
          </w:tcPr>
          <w:p w14:paraId="16A377DF">
            <w:pPr>
              <w:spacing w:before="195" w:line="221" w:lineRule="auto"/>
              <w:ind w:left="252"/>
              <w:rPr>
                <w:rFonts w:ascii="宋体" w:hAnsi="宋体" w:eastAsia="宋体" w:cs="宋体"/>
                <w:sz w:val="21"/>
                <w:szCs w:val="21"/>
              </w:rPr>
            </w:pPr>
            <w:r>
              <w:rPr>
                <w:rFonts w:ascii="宋体" w:hAnsi="宋体" w:eastAsia="宋体" w:cs="宋体"/>
                <w:spacing w:val="-8"/>
                <w:sz w:val="21"/>
                <w:szCs w:val="21"/>
              </w:rPr>
              <w:t>白胸翡翠</w:t>
            </w:r>
          </w:p>
        </w:tc>
        <w:tc>
          <w:tcPr>
            <w:tcW w:w="1693" w:type="dxa"/>
            <w:vAlign w:val="top"/>
          </w:tcPr>
          <w:p w14:paraId="32AE1370">
            <w:pPr>
              <w:pStyle w:val="6"/>
              <w:spacing w:before="107" w:line="190" w:lineRule="auto"/>
              <w:ind w:left="489"/>
            </w:pPr>
            <w:r>
              <w:rPr>
                <w:i/>
                <w:iCs/>
              </w:rPr>
              <w:t>Halcyon</w:t>
            </w:r>
          </w:p>
          <w:p w14:paraId="2168C877">
            <w:pPr>
              <w:pStyle w:val="6"/>
              <w:spacing w:before="51" w:line="190" w:lineRule="auto"/>
              <w:ind w:left="382"/>
            </w:pPr>
            <w:r>
              <w:rPr>
                <w:i/>
                <w:iCs/>
              </w:rPr>
              <w:t>smyrnensis</w:t>
            </w:r>
          </w:p>
        </w:tc>
        <w:tc>
          <w:tcPr>
            <w:tcW w:w="845" w:type="dxa"/>
            <w:tcBorders>
              <w:right w:val="single" w:color="000000" w:sz="12" w:space="0"/>
            </w:tcBorders>
            <w:vAlign w:val="top"/>
          </w:tcPr>
          <w:p w14:paraId="62414B1D">
            <w:pPr>
              <w:spacing w:before="195" w:line="220" w:lineRule="auto"/>
              <w:ind w:left="256"/>
              <w:rPr>
                <w:rFonts w:ascii="宋体" w:hAnsi="宋体" w:eastAsia="宋体" w:cs="宋体"/>
                <w:sz w:val="21"/>
                <w:szCs w:val="21"/>
              </w:rPr>
            </w:pPr>
            <w:r>
              <w:rPr>
                <w:rFonts w:ascii="宋体" w:hAnsi="宋体" w:eastAsia="宋体" w:cs="宋体"/>
                <w:spacing w:val="-20"/>
                <w:w w:val="90"/>
                <w:sz w:val="21"/>
                <w:szCs w:val="21"/>
              </w:rPr>
              <w:t>聂级</w:t>
            </w:r>
          </w:p>
        </w:tc>
      </w:tr>
      <w:tr w14:paraId="73D6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43C4E9EB">
            <w:pPr>
              <w:spacing w:before="132" w:line="199" w:lineRule="auto"/>
              <w:ind w:left="302"/>
              <w:rPr>
                <w:rFonts w:ascii="宋体" w:hAnsi="宋体" w:eastAsia="宋体" w:cs="宋体"/>
                <w:sz w:val="21"/>
                <w:szCs w:val="21"/>
              </w:rPr>
            </w:pPr>
            <w:r>
              <w:rPr>
                <w:rFonts w:ascii="宋体" w:hAnsi="宋体" w:eastAsia="宋体" w:cs="宋体"/>
                <w:spacing w:val="-1"/>
                <w:sz w:val="21"/>
                <w:szCs w:val="21"/>
              </w:rPr>
              <w:t>40</w:t>
            </w:r>
          </w:p>
        </w:tc>
        <w:tc>
          <w:tcPr>
            <w:tcW w:w="1270" w:type="dxa"/>
            <w:vAlign w:val="top"/>
          </w:tcPr>
          <w:p w14:paraId="4AA65BFB">
            <w:pPr>
              <w:spacing w:before="97" w:line="220" w:lineRule="auto"/>
              <w:ind w:left="206"/>
              <w:rPr>
                <w:rFonts w:ascii="宋体" w:hAnsi="宋体" w:eastAsia="宋体" w:cs="宋体"/>
                <w:sz w:val="21"/>
                <w:szCs w:val="21"/>
              </w:rPr>
            </w:pPr>
            <w:r>
              <w:rPr>
                <w:rFonts w:ascii="宋体" w:hAnsi="宋体" w:eastAsia="宋体" w:cs="宋体"/>
                <w:spacing w:val="-2"/>
                <w:sz w:val="21"/>
                <w:szCs w:val="21"/>
              </w:rPr>
              <w:t>普通翠鸟</w:t>
            </w:r>
          </w:p>
        </w:tc>
        <w:tc>
          <w:tcPr>
            <w:tcW w:w="1554" w:type="dxa"/>
            <w:vAlign w:val="top"/>
          </w:tcPr>
          <w:p w14:paraId="1A8DBE05">
            <w:pPr>
              <w:pStyle w:val="6"/>
              <w:spacing w:before="131" w:line="226" w:lineRule="auto"/>
              <w:ind w:left="204"/>
            </w:pPr>
            <w:r>
              <w:rPr>
                <w:i/>
                <w:iCs/>
              </w:rPr>
              <w:t>Alcedo</w:t>
            </w:r>
            <w:r>
              <w:rPr>
                <w:i/>
                <w:iCs/>
                <w:spacing w:val="11"/>
              </w:rPr>
              <w:t xml:space="preserve"> </w:t>
            </w:r>
            <w:r>
              <w:rPr>
                <w:i/>
                <w:iCs/>
              </w:rPr>
              <w:t>atthis</w:t>
            </w:r>
          </w:p>
        </w:tc>
        <w:tc>
          <w:tcPr>
            <w:tcW w:w="989" w:type="dxa"/>
            <w:vAlign w:val="top"/>
          </w:tcPr>
          <w:p w14:paraId="116570E9">
            <w:pPr>
              <w:spacing w:before="132" w:line="199" w:lineRule="auto"/>
              <w:ind w:left="387"/>
              <w:rPr>
                <w:rFonts w:ascii="宋体" w:hAnsi="宋体" w:eastAsia="宋体" w:cs="宋体"/>
                <w:sz w:val="21"/>
                <w:szCs w:val="21"/>
              </w:rPr>
            </w:pPr>
            <w:r>
              <w:rPr>
                <w:rFonts w:ascii="宋体" w:hAnsi="宋体" w:eastAsia="宋体" w:cs="宋体"/>
                <w:spacing w:val="-1"/>
                <w:sz w:val="21"/>
                <w:szCs w:val="21"/>
              </w:rPr>
              <w:t>29</w:t>
            </w:r>
          </w:p>
        </w:tc>
        <w:tc>
          <w:tcPr>
            <w:tcW w:w="1272" w:type="dxa"/>
            <w:vAlign w:val="top"/>
          </w:tcPr>
          <w:p w14:paraId="6E3EC638">
            <w:pPr>
              <w:spacing w:before="97" w:line="220" w:lineRule="auto"/>
              <w:ind w:left="220"/>
              <w:rPr>
                <w:rFonts w:ascii="宋体" w:hAnsi="宋体" w:eastAsia="宋体" w:cs="宋体"/>
                <w:sz w:val="21"/>
                <w:szCs w:val="21"/>
              </w:rPr>
            </w:pPr>
            <w:r>
              <w:rPr>
                <w:rFonts w:ascii="宋体" w:hAnsi="宋体" w:eastAsia="宋体" w:cs="宋体"/>
                <w:spacing w:val="-2"/>
                <w:sz w:val="21"/>
                <w:szCs w:val="21"/>
              </w:rPr>
              <w:t>普通翠鸟</w:t>
            </w:r>
          </w:p>
        </w:tc>
        <w:tc>
          <w:tcPr>
            <w:tcW w:w="1693" w:type="dxa"/>
            <w:vAlign w:val="top"/>
          </w:tcPr>
          <w:p w14:paraId="2501CC76">
            <w:pPr>
              <w:pStyle w:val="6"/>
              <w:spacing w:before="131" w:line="226" w:lineRule="auto"/>
              <w:ind w:left="288"/>
            </w:pPr>
            <w:r>
              <w:rPr>
                <w:i/>
                <w:iCs/>
              </w:rPr>
              <w:t>Alcedo</w:t>
            </w:r>
            <w:r>
              <w:rPr>
                <w:i/>
                <w:iCs/>
                <w:spacing w:val="11"/>
              </w:rPr>
              <w:t xml:space="preserve"> </w:t>
            </w:r>
            <w:r>
              <w:rPr>
                <w:i/>
                <w:iCs/>
              </w:rPr>
              <w:t>atthis</w:t>
            </w:r>
          </w:p>
        </w:tc>
        <w:tc>
          <w:tcPr>
            <w:tcW w:w="845" w:type="dxa"/>
            <w:tcBorders>
              <w:right w:val="single" w:color="000000" w:sz="12" w:space="0"/>
            </w:tcBorders>
            <w:vAlign w:val="top"/>
          </w:tcPr>
          <w:p w14:paraId="1CD6C611">
            <w:pPr>
              <w:rPr>
                <w:rFonts w:ascii="Arial"/>
                <w:sz w:val="21"/>
              </w:rPr>
            </w:pPr>
          </w:p>
        </w:tc>
      </w:tr>
      <w:tr w14:paraId="1586D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406F93C">
            <w:pPr>
              <w:spacing w:before="232" w:line="224" w:lineRule="auto"/>
              <w:ind w:left="302"/>
              <w:rPr>
                <w:rFonts w:ascii="宋体" w:hAnsi="宋体" w:eastAsia="宋体" w:cs="宋体"/>
                <w:sz w:val="21"/>
                <w:szCs w:val="21"/>
              </w:rPr>
            </w:pPr>
            <w:r>
              <w:rPr>
                <w:rFonts w:ascii="宋体" w:hAnsi="宋体" w:eastAsia="宋体" w:cs="宋体"/>
                <w:spacing w:val="-1"/>
                <w:sz w:val="21"/>
                <w:szCs w:val="21"/>
              </w:rPr>
              <w:t>41</w:t>
            </w:r>
          </w:p>
        </w:tc>
        <w:tc>
          <w:tcPr>
            <w:tcW w:w="1270" w:type="dxa"/>
            <w:vAlign w:val="top"/>
          </w:tcPr>
          <w:p w14:paraId="63750A40">
            <w:pPr>
              <w:spacing w:before="197" w:line="220" w:lineRule="auto"/>
              <w:ind w:left="316"/>
              <w:rPr>
                <w:rFonts w:ascii="宋体" w:hAnsi="宋体" w:eastAsia="宋体" w:cs="宋体"/>
                <w:sz w:val="21"/>
                <w:szCs w:val="21"/>
              </w:rPr>
            </w:pPr>
            <w:r>
              <w:rPr>
                <w:rFonts w:ascii="宋体" w:hAnsi="宋体" w:eastAsia="宋体" w:cs="宋体"/>
                <w:spacing w:val="-3"/>
                <w:sz w:val="21"/>
                <w:szCs w:val="21"/>
              </w:rPr>
              <w:t>冠鱼狗</w:t>
            </w:r>
          </w:p>
        </w:tc>
        <w:tc>
          <w:tcPr>
            <w:tcW w:w="1554" w:type="dxa"/>
            <w:vAlign w:val="top"/>
          </w:tcPr>
          <w:p w14:paraId="09C27AE5">
            <w:pPr>
              <w:pStyle w:val="6"/>
              <w:spacing w:before="111" w:line="190" w:lineRule="auto"/>
              <w:ind w:left="264"/>
            </w:pPr>
            <w:r>
              <w:rPr>
                <w:i/>
                <w:iCs/>
              </w:rPr>
              <w:t>Megaceryle</w:t>
            </w:r>
          </w:p>
          <w:p w14:paraId="439A61F5">
            <w:pPr>
              <w:pStyle w:val="6"/>
              <w:spacing w:before="50" w:line="190" w:lineRule="auto"/>
              <w:ind w:left="424"/>
            </w:pPr>
            <w:r>
              <w:rPr>
                <w:i/>
                <w:iCs/>
                <w:spacing w:val="-1"/>
              </w:rPr>
              <w:t>lugubris</w:t>
            </w:r>
          </w:p>
        </w:tc>
        <w:tc>
          <w:tcPr>
            <w:tcW w:w="989" w:type="dxa"/>
            <w:vAlign w:val="top"/>
          </w:tcPr>
          <w:p w14:paraId="38CF6D9B">
            <w:pPr>
              <w:rPr>
                <w:rFonts w:ascii="Arial"/>
                <w:sz w:val="21"/>
              </w:rPr>
            </w:pPr>
          </w:p>
        </w:tc>
        <w:tc>
          <w:tcPr>
            <w:tcW w:w="1272" w:type="dxa"/>
            <w:vAlign w:val="top"/>
          </w:tcPr>
          <w:p w14:paraId="2A8FC631">
            <w:pPr>
              <w:rPr>
                <w:rFonts w:ascii="Arial"/>
                <w:sz w:val="21"/>
              </w:rPr>
            </w:pPr>
          </w:p>
        </w:tc>
        <w:tc>
          <w:tcPr>
            <w:tcW w:w="1693" w:type="dxa"/>
            <w:vAlign w:val="top"/>
          </w:tcPr>
          <w:p w14:paraId="7E43C11D">
            <w:pPr>
              <w:rPr>
                <w:rFonts w:ascii="Arial"/>
                <w:sz w:val="21"/>
              </w:rPr>
            </w:pPr>
          </w:p>
        </w:tc>
        <w:tc>
          <w:tcPr>
            <w:tcW w:w="845" w:type="dxa"/>
            <w:tcBorders>
              <w:right w:val="single" w:color="000000" w:sz="12" w:space="0"/>
            </w:tcBorders>
            <w:vAlign w:val="top"/>
          </w:tcPr>
          <w:p w14:paraId="2B12DE30">
            <w:pPr>
              <w:rPr>
                <w:rFonts w:ascii="Arial"/>
                <w:sz w:val="21"/>
              </w:rPr>
            </w:pPr>
          </w:p>
        </w:tc>
      </w:tr>
      <w:tr w14:paraId="0060E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15041F2E">
            <w:pPr>
              <w:pStyle w:val="6"/>
              <w:spacing w:before="139" w:line="186" w:lineRule="auto"/>
              <w:ind w:left="225"/>
            </w:pPr>
            <w:r>
              <w:rPr>
                <w:b/>
                <w:bCs/>
                <w:spacing w:val="-2"/>
              </w:rPr>
              <w:t>O13</w:t>
            </w:r>
          </w:p>
        </w:tc>
        <w:tc>
          <w:tcPr>
            <w:tcW w:w="1270" w:type="dxa"/>
            <w:vAlign w:val="top"/>
          </w:tcPr>
          <w:p w14:paraId="18A8D642">
            <w:pPr>
              <w:spacing w:before="102" w:line="220" w:lineRule="auto"/>
              <w:ind w:left="214"/>
              <w:rPr>
                <w:rFonts w:ascii="宋体" w:hAnsi="宋体" w:eastAsia="宋体" w:cs="宋体"/>
                <w:sz w:val="21"/>
                <w:szCs w:val="21"/>
              </w:rPr>
            </w:pPr>
            <w:r>
              <w:rPr>
                <w:rFonts w:ascii="宋体" w:hAnsi="宋体" w:eastAsia="宋体" w:cs="宋体"/>
                <w:b/>
                <w:bCs/>
                <w:spacing w:val="-5"/>
                <w:sz w:val="21"/>
                <w:szCs w:val="21"/>
              </w:rPr>
              <w:t>啄木鸟目</w:t>
            </w:r>
          </w:p>
        </w:tc>
        <w:tc>
          <w:tcPr>
            <w:tcW w:w="1554" w:type="dxa"/>
            <w:vAlign w:val="top"/>
          </w:tcPr>
          <w:p w14:paraId="601EB43C">
            <w:pPr>
              <w:pStyle w:val="6"/>
              <w:spacing w:before="138" w:line="187" w:lineRule="auto"/>
              <w:ind w:left="292"/>
            </w:pPr>
            <w:r>
              <w:rPr>
                <w:b/>
                <w:bCs/>
                <w:spacing w:val="-1"/>
              </w:rPr>
              <w:t>Piciformes</w:t>
            </w:r>
          </w:p>
        </w:tc>
        <w:tc>
          <w:tcPr>
            <w:tcW w:w="989" w:type="dxa"/>
            <w:vAlign w:val="top"/>
          </w:tcPr>
          <w:p w14:paraId="440D1D65">
            <w:pPr>
              <w:pStyle w:val="6"/>
              <w:spacing w:before="139" w:line="186" w:lineRule="auto"/>
              <w:ind w:left="309"/>
            </w:pPr>
            <w:r>
              <w:rPr>
                <w:b/>
                <w:bCs/>
                <w:spacing w:val="-2"/>
              </w:rPr>
              <w:t>O14</w:t>
            </w:r>
          </w:p>
        </w:tc>
        <w:tc>
          <w:tcPr>
            <w:tcW w:w="1272" w:type="dxa"/>
            <w:vAlign w:val="top"/>
          </w:tcPr>
          <w:p w14:paraId="26CA3975">
            <w:pPr>
              <w:spacing w:before="102" w:line="220" w:lineRule="auto"/>
              <w:ind w:left="227"/>
              <w:rPr>
                <w:rFonts w:ascii="宋体" w:hAnsi="宋体" w:eastAsia="宋体" w:cs="宋体"/>
                <w:sz w:val="21"/>
                <w:szCs w:val="21"/>
              </w:rPr>
            </w:pPr>
            <w:r>
              <w:rPr>
                <w:rFonts w:ascii="宋体" w:hAnsi="宋体" w:eastAsia="宋体" w:cs="宋体"/>
                <w:b/>
                <w:bCs/>
                <w:spacing w:val="-5"/>
                <w:sz w:val="21"/>
                <w:szCs w:val="21"/>
              </w:rPr>
              <w:t>啄木鸟目</w:t>
            </w:r>
          </w:p>
        </w:tc>
        <w:tc>
          <w:tcPr>
            <w:tcW w:w="1693" w:type="dxa"/>
            <w:vAlign w:val="top"/>
          </w:tcPr>
          <w:p w14:paraId="32587AA6">
            <w:pPr>
              <w:pStyle w:val="6"/>
              <w:spacing w:before="138" w:line="187" w:lineRule="auto"/>
              <w:ind w:left="377"/>
            </w:pPr>
            <w:r>
              <w:rPr>
                <w:b/>
                <w:bCs/>
                <w:spacing w:val="-1"/>
              </w:rPr>
              <w:t>Piciformes</w:t>
            </w:r>
          </w:p>
        </w:tc>
        <w:tc>
          <w:tcPr>
            <w:tcW w:w="845" w:type="dxa"/>
            <w:tcBorders>
              <w:right w:val="single" w:color="000000" w:sz="12" w:space="0"/>
            </w:tcBorders>
            <w:vAlign w:val="top"/>
          </w:tcPr>
          <w:p w14:paraId="5BDEF99A">
            <w:pPr>
              <w:rPr>
                <w:rFonts w:ascii="Arial"/>
                <w:sz w:val="21"/>
              </w:rPr>
            </w:pPr>
          </w:p>
        </w:tc>
      </w:tr>
      <w:tr w14:paraId="121B3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B0D6AF2">
            <w:pPr>
              <w:pStyle w:val="6"/>
              <w:spacing w:before="141" w:line="186" w:lineRule="auto"/>
              <w:ind w:left="238"/>
            </w:pPr>
            <w:r>
              <w:rPr>
                <w:b/>
                <w:bCs/>
                <w:spacing w:val="-2"/>
              </w:rPr>
              <w:t>F14</w:t>
            </w:r>
          </w:p>
        </w:tc>
        <w:tc>
          <w:tcPr>
            <w:tcW w:w="1270" w:type="dxa"/>
            <w:vAlign w:val="top"/>
          </w:tcPr>
          <w:p w14:paraId="75ED052D">
            <w:pPr>
              <w:spacing w:before="102" w:line="219" w:lineRule="auto"/>
              <w:ind w:left="214"/>
              <w:rPr>
                <w:rFonts w:ascii="宋体" w:hAnsi="宋体" w:eastAsia="宋体" w:cs="宋体"/>
                <w:sz w:val="21"/>
                <w:szCs w:val="21"/>
              </w:rPr>
            </w:pPr>
            <w:r>
              <w:rPr>
                <w:rFonts w:ascii="宋体" w:hAnsi="宋体" w:eastAsia="宋体" w:cs="宋体"/>
                <w:b/>
                <w:bCs/>
                <w:spacing w:val="-5"/>
                <w:sz w:val="21"/>
                <w:szCs w:val="21"/>
              </w:rPr>
              <w:t>啄木鸟科</w:t>
            </w:r>
          </w:p>
        </w:tc>
        <w:tc>
          <w:tcPr>
            <w:tcW w:w="1554" w:type="dxa"/>
            <w:vAlign w:val="top"/>
          </w:tcPr>
          <w:p w14:paraId="09A895AB">
            <w:pPr>
              <w:pStyle w:val="6"/>
              <w:spacing w:before="140" w:line="187" w:lineRule="auto"/>
              <w:ind w:left="445"/>
            </w:pPr>
            <w:r>
              <w:rPr>
                <w:b/>
                <w:bCs/>
                <w:spacing w:val="-1"/>
              </w:rPr>
              <w:t>Picidae</w:t>
            </w:r>
          </w:p>
        </w:tc>
        <w:tc>
          <w:tcPr>
            <w:tcW w:w="989" w:type="dxa"/>
            <w:vAlign w:val="top"/>
          </w:tcPr>
          <w:p w14:paraId="4088739A">
            <w:pPr>
              <w:pStyle w:val="6"/>
              <w:spacing w:before="141" w:line="186" w:lineRule="auto"/>
              <w:ind w:left="323"/>
            </w:pPr>
            <w:r>
              <w:rPr>
                <w:b/>
                <w:bCs/>
                <w:spacing w:val="-2"/>
              </w:rPr>
              <w:t>F14</w:t>
            </w:r>
          </w:p>
        </w:tc>
        <w:tc>
          <w:tcPr>
            <w:tcW w:w="1272" w:type="dxa"/>
            <w:vAlign w:val="top"/>
          </w:tcPr>
          <w:p w14:paraId="1BD21F46">
            <w:pPr>
              <w:spacing w:before="102" w:line="219" w:lineRule="auto"/>
              <w:ind w:left="227"/>
              <w:rPr>
                <w:rFonts w:ascii="宋体" w:hAnsi="宋体" w:eastAsia="宋体" w:cs="宋体"/>
                <w:sz w:val="21"/>
                <w:szCs w:val="21"/>
              </w:rPr>
            </w:pPr>
            <w:r>
              <w:rPr>
                <w:rFonts w:ascii="宋体" w:hAnsi="宋体" w:eastAsia="宋体" w:cs="宋体"/>
                <w:b/>
                <w:bCs/>
                <w:spacing w:val="-5"/>
                <w:sz w:val="21"/>
                <w:szCs w:val="21"/>
              </w:rPr>
              <w:t>啄木鸟科</w:t>
            </w:r>
          </w:p>
        </w:tc>
        <w:tc>
          <w:tcPr>
            <w:tcW w:w="1693" w:type="dxa"/>
            <w:vAlign w:val="top"/>
          </w:tcPr>
          <w:p w14:paraId="78AFC333">
            <w:pPr>
              <w:pStyle w:val="6"/>
              <w:spacing w:before="140" w:line="187" w:lineRule="auto"/>
              <w:ind w:left="529"/>
            </w:pPr>
            <w:r>
              <w:rPr>
                <w:b/>
                <w:bCs/>
                <w:spacing w:val="-1"/>
              </w:rPr>
              <w:t>Picidae</w:t>
            </w:r>
          </w:p>
        </w:tc>
        <w:tc>
          <w:tcPr>
            <w:tcW w:w="845" w:type="dxa"/>
            <w:tcBorders>
              <w:right w:val="single" w:color="000000" w:sz="12" w:space="0"/>
            </w:tcBorders>
            <w:vAlign w:val="top"/>
          </w:tcPr>
          <w:p w14:paraId="7816DE9A">
            <w:pPr>
              <w:rPr>
                <w:rFonts w:ascii="Arial"/>
                <w:sz w:val="21"/>
              </w:rPr>
            </w:pPr>
          </w:p>
        </w:tc>
      </w:tr>
      <w:tr w14:paraId="423C8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3AB309DE">
            <w:pPr>
              <w:spacing w:before="137" w:line="194" w:lineRule="auto"/>
              <w:ind w:left="302"/>
              <w:rPr>
                <w:rFonts w:ascii="宋体" w:hAnsi="宋体" w:eastAsia="宋体" w:cs="宋体"/>
                <w:sz w:val="21"/>
                <w:szCs w:val="21"/>
              </w:rPr>
            </w:pPr>
            <w:r>
              <w:rPr>
                <w:rFonts w:ascii="宋体" w:hAnsi="宋体" w:eastAsia="宋体" w:cs="宋体"/>
                <w:spacing w:val="-1"/>
                <w:sz w:val="21"/>
                <w:szCs w:val="21"/>
              </w:rPr>
              <w:t>42</w:t>
            </w:r>
          </w:p>
        </w:tc>
        <w:tc>
          <w:tcPr>
            <w:tcW w:w="1270" w:type="dxa"/>
            <w:vAlign w:val="top"/>
          </w:tcPr>
          <w:p w14:paraId="00576FF3">
            <w:pPr>
              <w:spacing w:before="102" w:line="219" w:lineRule="auto"/>
              <w:ind w:left="421"/>
              <w:rPr>
                <w:rFonts w:ascii="宋体" w:hAnsi="宋体" w:eastAsia="宋体" w:cs="宋体"/>
                <w:sz w:val="21"/>
                <w:szCs w:val="21"/>
              </w:rPr>
            </w:pPr>
            <w:r>
              <w:rPr>
                <w:rFonts w:ascii="宋体" w:hAnsi="宋体" w:eastAsia="宋体" w:cs="宋体"/>
                <w:spacing w:val="-4"/>
                <w:sz w:val="21"/>
                <w:szCs w:val="21"/>
              </w:rPr>
              <w:t>蚁䴕</w:t>
            </w:r>
          </w:p>
        </w:tc>
        <w:tc>
          <w:tcPr>
            <w:tcW w:w="1554" w:type="dxa"/>
            <w:vAlign w:val="top"/>
          </w:tcPr>
          <w:p w14:paraId="2654C43C">
            <w:pPr>
              <w:pStyle w:val="6"/>
              <w:spacing w:before="136" w:line="190" w:lineRule="auto"/>
              <w:ind w:left="172"/>
            </w:pPr>
            <w:r>
              <w:rPr>
                <w:i/>
                <w:iCs/>
              </w:rPr>
              <w:t>Jynx</w:t>
            </w:r>
            <w:r>
              <w:rPr>
                <w:i/>
                <w:iCs/>
                <w:spacing w:val="10"/>
              </w:rPr>
              <w:t xml:space="preserve"> </w:t>
            </w:r>
            <w:r>
              <w:rPr>
                <w:i/>
                <w:iCs/>
              </w:rPr>
              <w:t>torquilla</w:t>
            </w:r>
          </w:p>
        </w:tc>
        <w:tc>
          <w:tcPr>
            <w:tcW w:w="989" w:type="dxa"/>
            <w:vAlign w:val="top"/>
          </w:tcPr>
          <w:p w14:paraId="36AD2F42">
            <w:pPr>
              <w:spacing w:before="137" w:line="194" w:lineRule="auto"/>
              <w:ind w:left="391"/>
              <w:rPr>
                <w:rFonts w:ascii="宋体" w:hAnsi="宋体" w:eastAsia="宋体" w:cs="宋体"/>
                <w:sz w:val="21"/>
                <w:szCs w:val="21"/>
              </w:rPr>
            </w:pPr>
            <w:r>
              <w:rPr>
                <w:rFonts w:ascii="宋体" w:hAnsi="宋体" w:eastAsia="宋体" w:cs="宋体"/>
                <w:spacing w:val="-3"/>
                <w:sz w:val="21"/>
                <w:szCs w:val="21"/>
              </w:rPr>
              <w:t>30</w:t>
            </w:r>
          </w:p>
        </w:tc>
        <w:tc>
          <w:tcPr>
            <w:tcW w:w="1272" w:type="dxa"/>
            <w:vAlign w:val="top"/>
          </w:tcPr>
          <w:p w14:paraId="6C43D8B9">
            <w:pPr>
              <w:spacing w:before="102" w:line="219" w:lineRule="auto"/>
              <w:ind w:left="435"/>
              <w:rPr>
                <w:rFonts w:ascii="宋体" w:hAnsi="宋体" w:eastAsia="宋体" w:cs="宋体"/>
                <w:sz w:val="21"/>
                <w:szCs w:val="21"/>
              </w:rPr>
            </w:pPr>
            <w:r>
              <w:rPr>
                <w:rFonts w:ascii="宋体" w:hAnsi="宋体" w:eastAsia="宋体" w:cs="宋体"/>
                <w:spacing w:val="-4"/>
                <w:sz w:val="21"/>
                <w:szCs w:val="21"/>
              </w:rPr>
              <w:t>蚁䴕</w:t>
            </w:r>
          </w:p>
        </w:tc>
        <w:tc>
          <w:tcPr>
            <w:tcW w:w="1693" w:type="dxa"/>
            <w:vAlign w:val="top"/>
          </w:tcPr>
          <w:p w14:paraId="33E8E2BD">
            <w:pPr>
              <w:pStyle w:val="6"/>
              <w:spacing w:before="136" w:line="190" w:lineRule="auto"/>
              <w:ind w:left="256"/>
            </w:pPr>
            <w:r>
              <w:rPr>
                <w:i/>
                <w:iCs/>
              </w:rPr>
              <w:t>Jynx</w:t>
            </w:r>
            <w:r>
              <w:rPr>
                <w:i/>
                <w:iCs/>
                <w:spacing w:val="10"/>
              </w:rPr>
              <w:t xml:space="preserve"> </w:t>
            </w:r>
            <w:r>
              <w:rPr>
                <w:i/>
                <w:iCs/>
              </w:rPr>
              <w:t>torquilla</w:t>
            </w:r>
          </w:p>
        </w:tc>
        <w:tc>
          <w:tcPr>
            <w:tcW w:w="845" w:type="dxa"/>
            <w:tcBorders>
              <w:right w:val="single" w:color="000000" w:sz="12" w:space="0"/>
            </w:tcBorders>
            <w:vAlign w:val="top"/>
          </w:tcPr>
          <w:p w14:paraId="202C29E1">
            <w:pPr>
              <w:rPr>
                <w:rFonts w:ascii="Arial"/>
                <w:sz w:val="21"/>
              </w:rPr>
            </w:pPr>
          </w:p>
        </w:tc>
      </w:tr>
      <w:tr w14:paraId="4591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5AF1D014">
            <w:pPr>
              <w:spacing w:before="237" w:line="223" w:lineRule="auto"/>
              <w:ind w:left="302"/>
              <w:rPr>
                <w:rFonts w:ascii="宋体" w:hAnsi="宋体" w:eastAsia="宋体" w:cs="宋体"/>
                <w:sz w:val="21"/>
                <w:szCs w:val="21"/>
              </w:rPr>
            </w:pPr>
            <w:r>
              <w:rPr>
                <w:rFonts w:ascii="宋体" w:hAnsi="宋体" w:eastAsia="宋体" w:cs="宋体"/>
                <w:spacing w:val="-1"/>
                <w:sz w:val="21"/>
                <w:szCs w:val="21"/>
              </w:rPr>
              <w:t>43</w:t>
            </w:r>
          </w:p>
        </w:tc>
        <w:tc>
          <w:tcPr>
            <w:tcW w:w="1270" w:type="dxa"/>
            <w:tcBorders>
              <w:bottom w:val="single" w:color="000000" w:sz="12" w:space="0"/>
            </w:tcBorders>
            <w:vAlign w:val="top"/>
          </w:tcPr>
          <w:p w14:paraId="1796F889">
            <w:pPr>
              <w:spacing w:before="204" w:line="220" w:lineRule="auto"/>
              <w:ind w:left="102"/>
              <w:rPr>
                <w:rFonts w:ascii="宋体" w:hAnsi="宋体" w:eastAsia="宋体" w:cs="宋体"/>
                <w:sz w:val="21"/>
                <w:szCs w:val="21"/>
              </w:rPr>
            </w:pPr>
            <w:r>
              <w:rPr>
                <w:rFonts w:ascii="宋体" w:hAnsi="宋体" w:eastAsia="宋体" w:cs="宋体"/>
                <w:spacing w:val="-2"/>
                <w:sz w:val="21"/>
                <w:szCs w:val="21"/>
              </w:rPr>
              <w:t>斑姬啄木鸟</w:t>
            </w:r>
          </w:p>
        </w:tc>
        <w:tc>
          <w:tcPr>
            <w:tcW w:w="1554" w:type="dxa"/>
            <w:tcBorders>
              <w:bottom w:val="single" w:color="000000" w:sz="12" w:space="0"/>
            </w:tcBorders>
            <w:vAlign w:val="top"/>
          </w:tcPr>
          <w:p w14:paraId="69B819E3">
            <w:pPr>
              <w:pStyle w:val="6"/>
              <w:spacing w:before="123" w:line="183" w:lineRule="auto"/>
              <w:ind w:left="346"/>
            </w:pPr>
            <w:r>
              <w:rPr>
                <w:i/>
                <w:iCs/>
              </w:rPr>
              <w:t>Picumnus</w:t>
            </w:r>
          </w:p>
          <w:p w14:paraId="00D52416">
            <w:pPr>
              <w:pStyle w:val="6"/>
              <w:spacing w:before="51" w:line="220" w:lineRule="auto"/>
              <w:ind w:left="255"/>
            </w:pPr>
            <w:r>
              <w:rPr>
                <w:i/>
                <w:iCs/>
                <w:spacing w:val="-1"/>
              </w:rPr>
              <w:t>innominatus</w:t>
            </w:r>
          </w:p>
        </w:tc>
        <w:tc>
          <w:tcPr>
            <w:tcW w:w="989" w:type="dxa"/>
            <w:tcBorders>
              <w:bottom w:val="single" w:color="000000" w:sz="12" w:space="0"/>
            </w:tcBorders>
            <w:vAlign w:val="top"/>
          </w:tcPr>
          <w:p w14:paraId="05D3117F">
            <w:pPr>
              <w:spacing w:before="237" w:line="223" w:lineRule="auto"/>
              <w:ind w:left="391"/>
              <w:rPr>
                <w:rFonts w:ascii="宋体" w:hAnsi="宋体" w:eastAsia="宋体" w:cs="宋体"/>
                <w:sz w:val="21"/>
                <w:szCs w:val="21"/>
              </w:rPr>
            </w:pPr>
            <w:r>
              <w:rPr>
                <w:rFonts w:ascii="宋体" w:hAnsi="宋体" w:eastAsia="宋体" w:cs="宋体"/>
                <w:spacing w:val="-3"/>
                <w:sz w:val="21"/>
                <w:szCs w:val="21"/>
              </w:rPr>
              <w:t>31</w:t>
            </w:r>
          </w:p>
        </w:tc>
        <w:tc>
          <w:tcPr>
            <w:tcW w:w="1272" w:type="dxa"/>
            <w:tcBorders>
              <w:bottom w:val="single" w:color="000000" w:sz="12" w:space="0"/>
            </w:tcBorders>
            <w:vAlign w:val="top"/>
          </w:tcPr>
          <w:p w14:paraId="5718395F">
            <w:pPr>
              <w:spacing w:before="204" w:line="220" w:lineRule="auto"/>
              <w:ind w:left="115"/>
              <w:rPr>
                <w:rFonts w:ascii="宋体" w:hAnsi="宋体" w:eastAsia="宋体" w:cs="宋体"/>
                <w:sz w:val="21"/>
                <w:szCs w:val="21"/>
              </w:rPr>
            </w:pPr>
            <w:r>
              <w:rPr>
                <w:rFonts w:ascii="宋体" w:hAnsi="宋体" w:eastAsia="宋体" w:cs="宋体"/>
                <w:spacing w:val="-2"/>
                <w:sz w:val="21"/>
                <w:szCs w:val="21"/>
              </w:rPr>
              <w:t>斑姬啄木鸟</w:t>
            </w:r>
          </w:p>
        </w:tc>
        <w:tc>
          <w:tcPr>
            <w:tcW w:w="1693" w:type="dxa"/>
            <w:tcBorders>
              <w:bottom w:val="single" w:color="000000" w:sz="12" w:space="0"/>
            </w:tcBorders>
            <w:vAlign w:val="top"/>
          </w:tcPr>
          <w:p w14:paraId="150A1833">
            <w:pPr>
              <w:pStyle w:val="6"/>
              <w:spacing w:before="123" w:line="183" w:lineRule="auto"/>
              <w:ind w:left="430"/>
            </w:pPr>
            <w:r>
              <w:rPr>
                <w:i/>
                <w:iCs/>
              </w:rPr>
              <w:t>Picumnus</w:t>
            </w:r>
          </w:p>
          <w:p w14:paraId="0D94EFB2">
            <w:pPr>
              <w:pStyle w:val="6"/>
              <w:spacing w:before="51" w:line="220" w:lineRule="auto"/>
              <w:ind w:left="340"/>
            </w:pPr>
            <w:r>
              <w:rPr>
                <w:i/>
                <w:iCs/>
                <w:spacing w:val="-1"/>
              </w:rPr>
              <w:t>innominatus</w:t>
            </w:r>
          </w:p>
        </w:tc>
        <w:tc>
          <w:tcPr>
            <w:tcW w:w="845" w:type="dxa"/>
            <w:tcBorders>
              <w:bottom w:val="single" w:color="000000" w:sz="12" w:space="0"/>
              <w:right w:val="single" w:color="000000" w:sz="12" w:space="0"/>
            </w:tcBorders>
            <w:vAlign w:val="top"/>
          </w:tcPr>
          <w:p w14:paraId="74AA003B">
            <w:pPr>
              <w:rPr>
                <w:rFonts w:ascii="Arial"/>
                <w:sz w:val="21"/>
              </w:rPr>
            </w:pPr>
          </w:p>
        </w:tc>
      </w:tr>
    </w:tbl>
    <w:p w14:paraId="279C00C9">
      <w:pPr>
        <w:rPr>
          <w:rFonts w:ascii="Arial"/>
          <w:sz w:val="21"/>
        </w:rPr>
      </w:pPr>
    </w:p>
    <w:p w14:paraId="4AADAAEB">
      <w:pPr>
        <w:rPr>
          <w:rFonts w:ascii="Arial" w:hAnsi="Arial" w:eastAsia="Arial" w:cs="Arial"/>
          <w:sz w:val="21"/>
          <w:szCs w:val="21"/>
        </w:rPr>
        <w:sectPr>
          <w:footerReference r:id="rId177" w:type="default"/>
          <w:pgSz w:w="11907" w:h="16839"/>
          <w:pgMar w:top="1376" w:right="1669" w:bottom="1061" w:left="1671" w:header="999" w:footer="844" w:gutter="0"/>
          <w:cols w:space="720" w:num="1"/>
        </w:sectPr>
      </w:pPr>
    </w:p>
    <w:p w14:paraId="3C85547C">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7A5C8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08F78B38">
            <w:pPr>
              <w:spacing w:before="76" w:line="233" w:lineRule="auto"/>
              <w:ind w:left="962"/>
              <w:rPr>
                <w:rFonts w:ascii="宋体" w:hAnsi="宋体" w:eastAsia="宋体" w:cs="宋体"/>
                <w:sz w:val="21"/>
                <w:szCs w:val="21"/>
              </w:rPr>
            </w:pPr>
            <w:r>
              <w:rPr>
                <w:rFonts w:ascii="宋体" w:hAnsi="宋体" w:eastAsia="宋体" w:cs="宋体"/>
                <w:spacing w:val="-3"/>
                <w:sz w:val="21"/>
                <w:szCs w:val="21"/>
              </w:rPr>
              <w:t>环评期（2015</w:t>
            </w:r>
            <w:r>
              <w:rPr>
                <w:rFonts w:ascii="宋体" w:hAnsi="宋体" w:eastAsia="宋体" w:cs="宋体"/>
                <w:spacing w:val="-34"/>
                <w:sz w:val="21"/>
                <w:szCs w:val="21"/>
              </w:rPr>
              <w:t xml:space="preserve"> </w:t>
            </w:r>
            <w:r>
              <w:rPr>
                <w:rFonts w:ascii="宋体" w:hAnsi="宋体" w:eastAsia="宋体" w:cs="宋体"/>
                <w:spacing w:val="-3"/>
                <w:sz w:val="21"/>
                <w:szCs w:val="21"/>
              </w:rPr>
              <w:t>年）</w:t>
            </w:r>
          </w:p>
        </w:tc>
        <w:tc>
          <w:tcPr>
            <w:tcW w:w="3954" w:type="dxa"/>
            <w:gridSpan w:val="3"/>
            <w:tcBorders>
              <w:top w:val="single" w:color="000000" w:sz="12" w:space="0"/>
            </w:tcBorders>
            <w:vAlign w:val="top"/>
          </w:tcPr>
          <w:p w14:paraId="7DC852DE">
            <w:pPr>
              <w:spacing w:before="76" w:line="233" w:lineRule="auto"/>
              <w:ind w:left="1118"/>
              <w:rPr>
                <w:rFonts w:ascii="宋体" w:hAnsi="宋体" w:eastAsia="宋体" w:cs="宋体"/>
                <w:sz w:val="21"/>
                <w:szCs w:val="21"/>
              </w:rPr>
            </w:pPr>
            <w:r>
              <w:rPr>
                <w:rFonts w:ascii="宋体" w:hAnsi="宋体" w:eastAsia="宋体" w:cs="宋体"/>
                <w:spacing w:val="-2"/>
                <w:sz w:val="21"/>
                <w:szCs w:val="21"/>
              </w:rPr>
              <w:t>施工期（2020</w:t>
            </w:r>
            <w:r>
              <w:rPr>
                <w:rFonts w:ascii="宋体" w:hAnsi="宋体" w:eastAsia="宋体" w:cs="宋体"/>
                <w:spacing w:val="-43"/>
                <w:sz w:val="21"/>
                <w:szCs w:val="21"/>
              </w:rPr>
              <w:t xml:space="preserve"> </w:t>
            </w:r>
            <w:r>
              <w:rPr>
                <w:rFonts w:ascii="宋体" w:hAnsi="宋体" w:eastAsia="宋体" w:cs="宋体"/>
                <w:spacing w:val="-2"/>
                <w:sz w:val="21"/>
                <w:szCs w:val="21"/>
              </w:rPr>
              <w:t>年）</w:t>
            </w:r>
          </w:p>
        </w:tc>
        <w:tc>
          <w:tcPr>
            <w:tcW w:w="845" w:type="dxa"/>
            <w:vMerge w:val="restart"/>
            <w:tcBorders>
              <w:top w:val="single" w:color="000000" w:sz="12" w:space="0"/>
              <w:bottom w:val="nil"/>
              <w:right w:val="single" w:color="000000" w:sz="12" w:space="0"/>
            </w:tcBorders>
            <w:vAlign w:val="top"/>
          </w:tcPr>
          <w:p w14:paraId="77DF2318">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72F5D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0829A66A">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5095FD42">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445CEC13">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6265B50B">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3F300F47">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07BEB30F">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5A457DF7">
            <w:pPr>
              <w:rPr>
                <w:rFonts w:ascii="Arial"/>
                <w:sz w:val="21"/>
              </w:rPr>
            </w:pPr>
          </w:p>
        </w:tc>
      </w:tr>
      <w:tr w14:paraId="5007B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850" w:type="dxa"/>
            <w:tcBorders>
              <w:left w:val="single" w:color="000000" w:sz="12" w:space="0"/>
            </w:tcBorders>
            <w:vAlign w:val="top"/>
          </w:tcPr>
          <w:p w14:paraId="2FAC06AB">
            <w:pPr>
              <w:rPr>
                <w:rFonts w:ascii="Arial"/>
                <w:sz w:val="21"/>
              </w:rPr>
            </w:pPr>
          </w:p>
        </w:tc>
        <w:tc>
          <w:tcPr>
            <w:tcW w:w="1270" w:type="dxa"/>
            <w:vAlign w:val="top"/>
          </w:tcPr>
          <w:p w14:paraId="2E21215F">
            <w:pPr>
              <w:rPr>
                <w:rFonts w:ascii="Arial"/>
                <w:sz w:val="21"/>
              </w:rPr>
            </w:pPr>
          </w:p>
        </w:tc>
        <w:tc>
          <w:tcPr>
            <w:tcW w:w="1554" w:type="dxa"/>
            <w:vAlign w:val="top"/>
          </w:tcPr>
          <w:p w14:paraId="729D3045">
            <w:pPr>
              <w:rPr>
                <w:rFonts w:ascii="Arial"/>
                <w:sz w:val="21"/>
              </w:rPr>
            </w:pPr>
          </w:p>
        </w:tc>
        <w:tc>
          <w:tcPr>
            <w:tcW w:w="989" w:type="dxa"/>
            <w:vAlign w:val="top"/>
          </w:tcPr>
          <w:p w14:paraId="75065110">
            <w:pPr>
              <w:spacing w:before="209" w:line="223" w:lineRule="auto"/>
              <w:ind w:left="391"/>
              <w:rPr>
                <w:rFonts w:ascii="宋体" w:hAnsi="宋体" w:eastAsia="宋体" w:cs="宋体"/>
                <w:sz w:val="21"/>
                <w:szCs w:val="21"/>
              </w:rPr>
            </w:pPr>
            <w:r>
              <w:rPr>
                <w:rFonts w:ascii="宋体" w:hAnsi="宋体" w:eastAsia="宋体" w:cs="宋体"/>
                <w:spacing w:val="-3"/>
                <w:sz w:val="21"/>
                <w:szCs w:val="21"/>
              </w:rPr>
              <w:t>32</w:t>
            </w:r>
          </w:p>
        </w:tc>
        <w:tc>
          <w:tcPr>
            <w:tcW w:w="1272" w:type="dxa"/>
            <w:vAlign w:val="top"/>
          </w:tcPr>
          <w:p w14:paraId="69F01BF0">
            <w:pPr>
              <w:spacing w:before="175" w:line="220" w:lineRule="auto"/>
              <w:ind w:left="118"/>
              <w:rPr>
                <w:rFonts w:ascii="宋体" w:hAnsi="宋体" w:eastAsia="宋体" w:cs="宋体"/>
                <w:sz w:val="21"/>
                <w:szCs w:val="21"/>
              </w:rPr>
            </w:pPr>
            <w:r>
              <w:rPr>
                <w:rFonts w:ascii="宋体" w:hAnsi="宋体" w:eastAsia="宋体" w:cs="宋体"/>
                <w:spacing w:val="-2"/>
                <w:sz w:val="21"/>
                <w:szCs w:val="21"/>
              </w:rPr>
              <w:t>星头啄木鸟</w:t>
            </w:r>
          </w:p>
        </w:tc>
        <w:tc>
          <w:tcPr>
            <w:tcW w:w="1693" w:type="dxa"/>
            <w:vAlign w:val="top"/>
          </w:tcPr>
          <w:p w14:paraId="08684985">
            <w:pPr>
              <w:pStyle w:val="6"/>
              <w:spacing w:before="89" w:line="190" w:lineRule="auto"/>
              <w:ind w:left="278"/>
            </w:pPr>
            <w:r>
              <w:rPr>
                <w:i/>
                <w:iCs/>
              </w:rPr>
              <w:t>Dendrocopos</w:t>
            </w:r>
          </w:p>
          <w:p w14:paraId="4AE2D55D">
            <w:pPr>
              <w:pStyle w:val="6"/>
              <w:spacing w:before="50" w:line="190" w:lineRule="auto"/>
              <w:ind w:left="342"/>
            </w:pPr>
            <w:r>
              <w:rPr>
                <w:i/>
                <w:iCs/>
                <w:spacing w:val="-1"/>
              </w:rPr>
              <w:t>canicapillus</w:t>
            </w:r>
          </w:p>
        </w:tc>
        <w:tc>
          <w:tcPr>
            <w:tcW w:w="845" w:type="dxa"/>
            <w:tcBorders>
              <w:right w:val="single" w:color="000000" w:sz="12" w:space="0"/>
            </w:tcBorders>
            <w:vAlign w:val="top"/>
          </w:tcPr>
          <w:p w14:paraId="35996113">
            <w:pPr>
              <w:rPr>
                <w:rFonts w:ascii="Arial"/>
                <w:sz w:val="21"/>
              </w:rPr>
            </w:pPr>
          </w:p>
        </w:tc>
      </w:tr>
      <w:tr w14:paraId="07FB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8A544B4">
            <w:pPr>
              <w:spacing w:before="210" w:line="224" w:lineRule="auto"/>
              <w:ind w:left="302"/>
              <w:rPr>
                <w:rFonts w:ascii="宋体" w:hAnsi="宋体" w:eastAsia="宋体" w:cs="宋体"/>
                <w:sz w:val="21"/>
                <w:szCs w:val="21"/>
              </w:rPr>
            </w:pPr>
            <w:r>
              <w:rPr>
                <w:rFonts w:ascii="宋体" w:hAnsi="宋体" w:eastAsia="宋体" w:cs="宋体"/>
                <w:spacing w:val="-1"/>
                <w:sz w:val="21"/>
                <w:szCs w:val="21"/>
              </w:rPr>
              <w:t>44</w:t>
            </w:r>
          </w:p>
        </w:tc>
        <w:tc>
          <w:tcPr>
            <w:tcW w:w="1270" w:type="dxa"/>
            <w:vAlign w:val="top"/>
          </w:tcPr>
          <w:p w14:paraId="5346923D">
            <w:pPr>
              <w:spacing w:before="175" w:line="220" w:lineRule="auto"/>
              <w:ind w:left="109"/>
              <w:rPr>
                <w:rFonts w:ascii="宋体" w:hAnsi="宋体" w:eastAsia="宋体" w:cs="宋体"/>
                <w:sz w:val="21"/>
                <w:szCs w:val="21"/>
              </w:rPr>
            </w:pPr>
            <w:r>
              <w:rPr>
                <w:rFonts w:ascii="宋体" w:hAnsi="宋体" w:eastAsia="宋体" w:cs="宋体"/>
                <w:spacing w:val="-3"/>
                <w:sz w:val="21"/>
                <w:szCs w:val="21"/>
              </w:rPr>
              <w:t>赤胸啄木鸟</w:t>
            </w:r>
          </w:p>
        </w:tc>
        <w:tc>
          <w:tcPr>
            <w:tcW w:w="1554" w:type="dxa"/>
            <w:vAlign w:val="top"/>
          </w:tcPr>
          <w:p w14:paraId="617904FD">
            <w:pPr>
              <w:pStyle w:val="6"/>
              <w:spacing w:before="88" w:line="190" w:lineRule="auto"/>
              <w:ind w:left="193"/>
            </w:pPr>
            <w:r>
              <w:rPr>
                <w:i/>
                <w:iCs/>
              </w:rPr>
              <w:t>Dendrocopos</w:t>
            </w:r>
          </w:p>
          <w:p w14:paraId="097C67B8">
            <w:pPr>
              <w:pStyle w:val="6"/>
              <w:spacing w:before="51" w:line="190" w:lineRule="auto"/>
              <w:ind w:left="270"/>
            </w:pPr>
            <w:r>
              <w:rPr>
                <w:i/>
                <w:iCs/>
                <w:spacing w:val="-1"/>
              </w:rPr>
              <w:t>cathpharius</w:t>
            </w:r>
          </w:p>
        </w:tc>
        <w:tc>
          <w:tcPr>
            <w:tcW w:w="989" w:type="dxa"/>
            <w:vAlign w:val="top"/>
          </w:tcPr>
          <w:p w14:paraId="1C088AED">
            <w:pPr>
              <w:rPr>
                <w:rFonts w:ascii="Arial"/>
                <w:sz w:val="21"/>
              </w:rPr>
            </w:pPr>
          </w:p>
        </w:tc>
        <w:tc>
          <w:tcPr>
            <w:tcW w:w="1272" w:type="dxa"/>
            <w:vAlign w:val="top"/>
          </w:tcPr>
          <w:p w14:paraId="20CE73A3">
            <w:pPr>
              <w:rPr>
                <w:rFonts w:ascii="Arial"/>
                <w:sz w:val="21"/>
              </w:rPr>
            </w:pPr>
          </w:p>
        </w:tc>
        <w:tc>
          <w:tcPr>
            <w:tcW w:w="1693" w:type="dxa"/>
            <w:vAlign w:val="top"/>
          </w:tcPr>
          <w:p w14:paraId="73B0AB27">
            <w:pPr>
              <w:rPr>
                <w:rFonts w:ascii="Arial"/>
                <w:sz w:val="21"/>
              </w:rPr>
            </w:pPr>
          </w:p>
        </w:tc>
        <w:tc>
          <w:tcPr>
            <w:tcW w:w="845" w:type="dxa"/>
            <w:tcBorders>
              <w:right w:val="single" w:color="000000" w:sz="12" w:space="0"/>
            </w:tcBorders>
            <w:vAlign w:val="top"/>
          </w:tcPr>
          <w:p w14:paraId="7EC6C8EB">
            <w:pPr>
              <w:rPr>
                <w:rFonts w:ascii="Arial"/>
                <w:sz w:val="21"/>
              </w:rPr>
            </w:pPr>
          </w:p>
        </w:tc>
      </w:tr>
      <w:tr w14:paraId="5A0C0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B631EC2">
            <w:pPr>
              <w:spacing w:before="212" w:line="223" w:lineRule="auto"/>
              <w:ind w:left="302"/>
              <w:rPr>
                <w:rFonts w:ascii="宋体" w:hAnsi="宋体" w:eastAsia="宋体" w:cs="宋体"/>
                <w:sz w:val="21"/>
                <w:szCs w:val="21"/>
              </w:rPr>
            </w:pPr>
            <w:r>
              <w:rPr>
                <w:rFonts w:ascii="宋体" w:hAnsi="宋体" w:eastAsia="宋体" w:cs="宋体"/>
                <w:spacing w:val="-1"/>
                <w:sz w:val="21"/>
                <w:szCs w:val="21"/>
              </w:rPr>
              <w:t>45</w:t>
            </w:r>
          </w:p>
        </w:tc>
        <w:tc>
          <w:tcPr>
            <w:tcW w:w="1270" w:type="dxa"/>
            <w:vAlign w:val="top"/>
          </w:tcPr>
          <w:p w14:paraId="50CC9856">
            <w:pPr>
              <w:spacing w:before="178" w:line="220" w:lineRule="auto"/>
              <w:ind w:left="105"/>
              <w:rPr>
                <w:rFonts w:ascii="宋体" w:hAnsi="宋体" w:eastAsia="宋体" w:cs="宋体"/>
                <w:sz w:val="21"/>
                <w:szCs w:val="21"/>
              </w:rPr>
            </w:pPr>
            <w:r>
              <w:rPr>
                <w:rFonts w:ascii="宋体" w:hAnsi="宋体" w:eastAsia="宋体" w:cs="宋体"/>
                <w:spacing w:val="-2"/>
                <w:sz w:val="21"/>
                <w:szCs w:val="21"/>
              </w:rPr>
              <w:t>大斑啄木鸟</w:t>
            </w:r>
          </w:p>
        </w:tc>
        <w:tc>
          <w:tcPr>
            <w:tcW w:w="1554" w:type="dxa"/>
            <w:vAlign w:val="top"/>
          </w:tcPr>
          <w:p w14:paraId="6B5F820D">
            <w:pPr>
              <w:pStyle w:val="6"/>
              <w:spacing w:before="91" w:line="190" w:lineRule="auto"/>
              <w:ind w:left="193"/>
            </w:pPr>
            <w:r>
              <w:rPr>
                <w:i/>
                <w:iCs/>
              </w:rPr>
              <w:t>Dendrocopos</w:t>
            </w:r>
          </w:p>
          <w:p w14:paraId="27A0B097">
            <w:pPr>
              <w:pStyle w:val="6"/>
              <w:spacing w:before="49" w:line="190" w:lineRule="auto"/>
              <w:ind w:left="519"/>
            </w:pPr>
            <w:r>
              <w:rPr>
                <w:i/>
                <w:iCs/>
              </w:rPr>
              <w:t>major</w:t>
            </w:r>
          </w:p>
        </w:tc>
        <w:tc>
          <w:tcPr>
            <w:tcW w:w="989" w:type="dxa"/>
            <w:vAlign w:val="top"/>
          </w:tcPr>
          <w:p w14:paraId="67E12974">
            <w:pPr>
              <w:spacing w:before="212" w:line="223" w:lineRule="auto"/>
              <w:ind w:left="391"/>
              <w:rPr>
                <w:rFonts w:ascii="宋体" w:hAnsi="宋体" w:eastAsia="宋体" w:cs="宋体"/>
                <w:sz w:val="21"/>
                <w:szCs w:val="21"/>
              </w:rPr>
            </w:pPr>
            <w:r>
              <w:rPr>
                <w:rFonts w:ascii="宋体" w:hAnsi="宋体" w:eastAsia="宋体" w:cs="宋体"/>
                <w:spacing w:val="-3"/>
                <w:sz w:val="21"/>
                <w:szCs w:val="21"/>
              </w:rPr>
              <w:t>33</w:t>
            </w:r>
          </w:p>
        </w:tc>
        <w:tc>
          <w:tcPr>
            <w:tcW w:w="1272" w:type="dxa"/>
            <w:vAlign w:val="top"/>
          </w:tcPr>
          <w:p w14:paraId="227E6A6D">
            <w:pPr>
              <w:spacing w:before="178" w:line="220" w:lineRule="auto"/>
              <w:ind w:left="118"/>
              <w:rPr>
                <w:rFonts w:ascii="宋体" w:hAnsi="宋体" w:eastAsia="宋体" w:cs="宋体"/>
                <w:sz w:val="21"/>
                <w:szCs w:val="21"/>
              </w:rPr>
            </w:pPr>
            <w:r>
              <w:rPr>
                <w:rFonts w:ascii="宋体" w:hAnsi="宋体" w:eastAsia="宋体" w:cs="宋体"/>
                <w:spacing w:val="-2"/>
                <w:sz w:val="21"/>
                <w:szCs w:val="21"/>
              </w:rPr>
              <w:t>大斑啄木鸟</w:t>
            </w:r>
          </w:p>
        </w:tc>
        <w:tc>
          <w:tcPr>
            <w:tcW w:w="1693" w:type="dxa"/>
            <w:vAlign w:val="top"/>
          </w:tcPr>
          <w:p w14:paraId="24003C23">
            <w:pPr>
              <w:pStyle w:val="6"/>
              <w:spacing w:before="91" w:line="190" w:lineRule="auto"/>
              <w:ind w:left="278"/>
            </w:pPr>
            <w:r>
              <w:rPr>
                <w:i/>
                <w:iCs/>
              </w:rPr>
              <w:t>Dendrocopos</w:t>
            </w:r>
          </w:p>
          <w:p w14:paraId="4C2F9F2C">
            <w:pPr>
              <w:pStyle w:val="6"/>
              <w:spacing w:before="49" w:line="190" w:lineRule="auto"/>
              <w:ind w:left="603"/>
            </w:pPr>
            <w:r>
              <w:rPr>
                <w:i/>
                <w:iCs/>
              </w:rPr>
              <w:t>major</w:t>
            </w:r>
          </w:p>
        </w:tc>
        <w:tc>
          <w:tcPr>
            <w:tcW w:w="845" w:type="dxa"/>
            <w:tcBorders>
              <w:right w:val="single" w:color="000000" w:sz="12" w:space="0"/>
            </w:tcBorders>
            <w:vAlign w:val="top"/>
          </w:tcPr>
          <w:p w14:paraId="2D2F2046">
            <w:pPr>
              <w:rPr>
                <w:rFonts w:ascii="Arial"/>
                <w:sz w:val="21"/>
              </w:rPr>
            </w:pPr>
          </w:p>
        </w:tc>
      </w:tr>
      <w:tr w14:paraId="49122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50" w:type="dxa"/>
            <w:tcBorders>
              <w:left w:val="single" w:color="000000" w:sz="12" w:space="0"/>
            </w:tcBorders>
            <w:vAlign w:val="top"/>
          </w:tcPr>
          <w:p w14:paraId="2F07622E">
            <w:pPr>
              <w:spacing w:before="243" w:line="223" w:lineRule="auto"/>
              <w:ind w:left="302"/>
              <w:rPr>
                <w:rFonts w:ascii="宋体" w:hAnsi="宋体" w:eastAsia="宋体" w:cs="宋体"/>
                <w:sz w:val="21"/>
                <w:szCs w:val="21"/>
              </w:rPr>
            </w:pPr>
            <w:r>
              <w:rPr>
                <w:rFonts w:ascii="宋体" w:hAnsi="宋体" w:eastAsia="宋体" w:cs="宋体"/>
                <w:spacing w:val="-1"/>
                <w:sz w:val="21"/>
                <w:szCs w:val="21"/>
              </w:rPr>
              <w:t>46</w:t>
            </w:r>
          </w:p>
        </w:tc>
        <w:tc>
          <w:tcPr>
            <w:tcW w:w="1270" w:type="dxa"/>
            <w:vAlign w:val="top"/>
          </w:tcPr>
          <w:p w14:paraId="7859F1B0">
            <w:pPr>
              <w:spacing w:before="74" w:line="239" w:lineRule="auto"/>
              <w:ind w:left="526" w:right="115" w:hanging="422"/>
              <w:rPr>
                <w:rFonts w:ascii="宋体" w:hAnsi="宋体" w:eastAsia="宋体" w:cs="宋体"/>
                <w:sz w:val="21"/>
                <w:szCs w:val="21"/>
              </w:rPr>
            </w:pPr>
            <w:r>
              <w:rPr>
                <w:rFonts w:ascii="宋体" w:hAnsi="宋体" w:eastAsia="宋体" w:cs="宋体"/>
                <w:spacing w:val="-2"/>
                <w:sz w:val="21"/>
                <w:szCs w:val="21"/>
              </w:rPr>
              <w:t>灰头绿啄木</w:t>
            </w:r>
            <w:r>
              <w:rPr>
                <w:rFonts w:ascii="宋体" w:hAnsi="宋体" w:eastAsia="宋体" w:cs="宋体"/>
                <w:sz w:val="21"/>
                <w:szCs w:val="21"/>
              </w:rPr>
              <w:t>鸟</w:t>
            </w:r>
          </w:p>
        </w:tc>
        <w:tc>
          <w:tcPr>
            <w:tcW w:w="1554" w:type="dxa"/>
            <w:vAlign w:val="top"/>
          </w:tcPr>
          <w:p w14:paraId="56022F4C">
            <w:pPr>
              <w:pStyle w:val="6"/>
              <w:spacing w:before="243" w:line="233" w:lineRule="auto"/>
              <w:ind w:left="256"/>
            </w:pPr>
            <w:r>
              <w:rPr>
                <w:i/>
                <w:iCs/>
              </w:rPr>
              <w:t>Picus</w:t>
            </w:r>
            <w:r>
              <w:rPr>
                <w:i/>
                <w:iCs/>
                <w:spacing w:val="5"/>
              </w:rPr>
              <w:t xml:space="preserve"> </w:t>
            </w:r>
            <w:r>
              <w:rPr>
                <w:i/>
                <w:iCs/>
              </w:rPr>
              <w:t>canus</w:t>
            </w:r>
          </w:p>
        </w:tc>
        <w:tc>
          <w:tcPr>
            <w:tcW w:w="989" w:type="dxa"/>
            <w:vAlign w:val="top"/>
          </w:tcPr>
          <w:p w14:paraId="7B9829F0">
            <w:pPr>
              <w:spacing w:before="243" w:line="223" w:lineRule="auto"/>
              <w:ind w:left="391"/>
              <w:rPr>
                <w:rFonts w:ascii="宋体" w:hAnsi="宋体" w:eastAsia="宋体" w:cs="宋体"/>
                <w:sz w:val="21"/>
                <w:szCs w:val="21"/>
              </w:rPr>
            </w:pPr>
            <w:r>
              <w:rPr>
                <w:rFonts w:ascii="宋体" w:hAnsi="宋体" w:eastAsia="宋体" w:cs="宋体"/>
                <w:spacing w:val="-3"/>
                <w:sz w:val="21"/>
                <w:szCs w:val="21"/>
              </w:rPr>
              <w:t>34</w:t>
            </w:r>
          </w:p>
        </w:tc>
        <w:tc>
          <w:tcPr>
            <w:tcW w:w="1272" w:type="dxa"/>
            <w:vAlign w:val="top"/>
          </w:tcPr>
          <w:p w14:paraId="103F455F">
            <w:pPr>
              <w:spacing w:before="74" w:line="239" w:lineRule="auto"/>
              <w:ind w:left="539" w:right="104" w:hanging="422"/>
              <w:rPr>
                <w:rFonts w:ascii="宋体" w:hAnsi="宋体" w:eastAsia="宋体" w:cs="宋体"/>
                <w:sz w:val="21"/>
                <w:szCs w:val="21"/>
              </w:rPr>
            </w:pPr>
            <w:r>
              <w:rPr>
                <w:rFonts w:ascii="宋体" w:hAnsi="宋体" w:eastAsia="宋体" w:cs="宋体"/>
                <w:spacing w:val="-2"/>
                <w:sz w:val="21"/>
                <w:szCs w:val="21"/>
              </w:rPr>
              <w:t>灰头绿啄木</w:t>
            </w:r>
            <w:r>
              <w:rPr>
                <w:rFonts w:ascii="宋体" w:hAnsi="宋体" w:eastAsia="宋体" w:cs="宋体"/>
                <w:sz w:val="21"/>
                <w:szCs w:val="21"/>
              </w:rPr>
              <w:t>鸟</w:t>
            </w:r>
          </w:p>
        </w:tc>
        <w:tc>
          <w:tcPr>
            <w:tcW w:w="1693" w:type="dxa"/>
            <w:vAlign w:val="top"/>
          </w:tcPr>
          <w:p w14:paraId="76263863">
            <w:pPr>
              <w:pStyle w:val="6"/>
              <w:spacing w:before="243" w:line="233" w:lineRule="auto"/>
              <w:ind w:left="340"/>
            </w:pPr>
            <w:r>
              <w:rPr>
                <w:i/>
                <w:iCs/>
              </w:rPr>
              <w:t>Picus</w:t>
            </w:r>
            <w:r>
              <w:rPr>
                <w:i/>
                <w:iCs/>
                <w:spacing w:val="5"/>
              </w:rPr>
              <w:t xml:space="preserve"> </w:t>
            </w:r>
            <w:r>
              <w:rPr>
                <w:i/>
                <w:iCs/>
              </w:rPr>
              <w:t>canus</w:t>
            </w:r>
          </w:p>
        </w:tc>
        <w:tc>
          <w:tcPr>
            <w:tcW w:w="845" w:type="dxa"/>
            <w:tcBorders>
              <w:right w:val="single" w:color="000000" w:sz="12" w:space="0"/>
            </w:tcBorders>
            <w:vAlign w:val="top"/>
          </w:tcPr>
          <w:p w14:paraId="68E6B215">
            <w:pPr>
              <w:rPr>
                <w:rFonts w:ascii="Arial"/>
                <w:sz w:val="21"/>
              </w:rPr>
            </w:pPr>
          </w:p>
        </w:tc>
      </w:tr>
      <w:tr w14:paraId="043AE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F0FBF2E">
            <w:pPr>
              <w:pStyle w:val="6"/>
              <w:spacing w:before="114" w:line="186" w:lineRule="auto"/>
              <w:ind w:left="225"/>
            </w:pPr>
            <w:r>
              <w:rPr>
                <w:b/>
                <w:bCs/>
                <w:spacing w:val="-2"/>
              </w:rPr>
              <w:t>O14</w:t>
            </w:r>
          </w:p>
        </w:tc>
        <w:tc>
          <w:tcPr>
            <w:tcW w:w="1270" w:type="dxa"/>
            <w:vAlign w:val="top"/>
          </w:tcPr>
          <w:p w14:paraId="4C29FF62">
            <w:pPr>
              <w:spacing w:before="75" w:line="219" w:lineRule="auto"/>
              <w:ind w:left="312"/>
              <w:rPr>
                <w:rFonts w:ascii="宋体" w:hAnsi="宋体" w:eastAsia="宋体" w:cs="宋体"/>
                <w:sz w:val="21"/>
                <w:szCs w:val="21"/>
              </w:rPr>
            </w:pPr>
            <w:r>
              <w:rPr>
                <w:rFonts w:ascii="宋体" w:hAnsi="宋体" w:eastAsia="宋体" w:cs="宋体"/>
                <w:b/>
                <w:bCs/>
                <w:spacing w:val="-4"/>
                <w:sz w:val="21"/>
                <w:szCs w:val="21"/>
              </w:rPr>
              <w:t>隼形目</w:t>
            </w:r>
          </w:p>
        </w:tc>
        <w:tc>
          <w:tcPr>
            <w:tcW w:w="1554" w:type="dxa"/>
            <w:vAlign w:val="top"/>
          </w:tcPr>
          <w:p w14:paraId="2E1F0EBE">
            <w:pPr>
              <w:pStyle w:val="6"/>
              <w:spacing w:before="114" w:line="186" w:lineRule="auto"/>
              <w:ind w:left="129"/>
            </w:pPr>
            <w:r>
              <w:rPr>
                <w:b/>
                <w:bCs/>
                <w:spacing w:val="-1"/>
              </w:rPr>
              <w:t>Falconiformes</w:t>
            </w:r>
          </w:p>
        </w:tc>
        <w:tc>
          <w:tcPr>
            <w:tcW w:w="989" w:type="dxa"/>
            <w:vAlign w:val="top"/>
          </w:tcPr>
          <w:p w14:paraId="681FA64D">
            <w:pPr>
              <w:pStyle w:val="6"/>
              <w:spacing w:before="114" w:line="186" w:lineRule="auto"/>
              <w:ind w:left="309"/>
            </w:pPr>
            <w:r>
              <w:rPr>
                <w:b/>
                <w:bCs/>
                <w:spacing w:val="-2"/>
              </w:rPr>
              <w:t>O15</w:t>
            </w:r>
          </w:p>
        </w:tc>
        <w:tc>
          <w:tcPr>
            <w:tcW w:w="1272" w:type="dxa"/>
            <w:vAlign w:val="top"/>
          </w:tcPr>
          <w:p w14:paraId="12F87CC3">
            <w:pPr>
              <w:spacing w:before="75" w:line="219" w:lineRule="auto"/>
              <w:ind w:left="325"/>
              <w:rPr>
                <w:rFonts w:ascii="宋体" w:hAnsi="宋体" w:eastAsia="宋体" w:cs="宋体"/>
                <w:sz w:val="21"/>
                <w:szCs w:val="21"/>
              </w:rPr>
            </w:pPr>
            <w:r>
              <w:rPr>
                <w:rFonts w:ascii="宋体" w:hAnsi="宋体" w:eastAsia="宋体" w:cs="宋体"/>
                <w:b/>
                <w:bCs/>
                <w:spacing w:val="-4"/>
                <w:sz w:val="21"/>
                <w:szCs w:val="21"/>
              </w:rPr>
              <w:t>隼形目</w:t>
            </w:r>
          </w:p>
        </w:tc>
        <w:tc>
          <w:tcPr>
            <w:tcW w:w="1693" w:type="dxa"/>
            <w:vAlign w:val="top"/>
          </w:tcPr>
          <w:p w14:paraId="2E9E4BC0">
            <w:pPr>
              <w:pStyle w:val="6"/>
              <w:spacing w:before="114" w:line="186" w:lineRule="auto"/>
              <w:ind w:left="213"/>
            </w:pPr>
            <w:r>
              <w:rPr>
                <w:b/>
                <w:bCs/>
                <w:spacing w:val="-1"/>
              </w:rPr>
              <w:t>Falconiformes</w:t>
            </w:r>
          </w:p>
        </w:tc>
        <w:tc>
          <w:tcPr>
            <w:tcW w:w="845" w:type="dxa"/>
            <w:tcBorders>
              <w:right w:val="single" w:color="000000" w:sz="12" w:space="0"/>
            </w:tcBorders>
            <w:vAlign w:val="top"/>
          </w:tcPr>
          <w:p w14:paraId="4B41199F">
            <w:pPr>
              <w:rPr>
                <w:rFonts w:ascii="Arial"/>
                <w:sz w:val="21"/>
              </w:rPr>
            </w:pPr>
          </w:p>
        </w:tc>
      </w:tr>
      <w:tr w14:paraId="42AEE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0DE119C">
            <w:pPr>
              <w:pStyle w:val="6"/>
              <w:spacing w:before="115" w:line="186" w:lineRule="auto"/>
              <w:ind w:left="238"/>
            </w:pPr>
            <w:r>
              <w:rPr>
                <w:b/>
                <w:bCs/>
                <w:spacing w:val="-2"/>
              </w:rPr>
              <w:t>F15</w:t>
            </w:r>
          </w:p>
        </w:tc>
        <w:tc>
          <w:tcPr>
            <w:tcW w:w="1270" w:type="dxa"/>
            <w:vAlign w:val="top"/>
          </w:tcPr>
          <w:p w14:paraId="0D1DC33B">
            <w:pPr>
              <w:spacing w:before="76" w:line="219" w:lineRule="auto"/>
              <w:ind w:left="418"/>
              <w:rPr>
                <w:rFonts w:ascii="宋体" w:hAnsi="宋体" w:eastAsia="宋体" w:cs="宋体"/>
                <w:sz w:val="21"/>
                <w:szCs w:val="21"/>
              </w:rPr>
            </w:pPr>
            <w:r>
              <w:rPr>
                <w:rFonts w:ascii="宋体" w:hAnsi="宋体" w:eastAsia="宋体" w:cs="宋体"/>
                <w:b/>
                <w:bCs/>
                <w:spacing w:val="-5"/>
                <w:sz w:val="21"/>
                <w:szCs w:val="21"/>
              </w:rPr>
              <w:t>隼科</w:t>
            </w:r>
          </w:p>
        </w:tc>
        <w:tc>
          <w:tcPr>
            <w:tcW w:w="1554" w:type="dxa"/>
            <w:vAlign w:val="top"/>
          </w:tcPr>
          <w:p w14:paraId="1931AA17">
            <w:pPr>
              <w:pStyle w:val="6"/>
              <w:spacing w:before="115" w:line="186" w:lineRule="auto"/>
              <w:ind w:left="280"/>
            </w:pPr>
            <w:r>
              <w:rPr>
                <w:b/>
                <w:bCs/>
                <w:spacing w:val="-1"/>
              </w:rPr>
              <w:t>Falconidae</w:t>
            </w:r>
          </w:p>
        </w:tc>
        <w:tc>
          <w:tcPr>
            <w:tcW w:w="989" w:type="dxa"/>
            <w:vAlign w:val="top"/>
          </w:tcPr>
          <w:p w14:paraId="5B67EC2D">
            <w:pPr>
              <w:pStyle w:val="6"/>
              <w:spacing w:before="115" w:line="186" w:lineRule="auto"/>
              <w:ind w:left="323"/>
            </w:pPr>
            <w:r>
              <w:rPr>
                <w:b/>
                <w:bCs/>
                <w:spacing w:val="-2"/>
              </w:rPr>
              <w:t>F15</w:t>
            </w:r>
          </w:p>
        </w:tc>
        <w:tc>
          <w:tcPr>
            <w:tcW w:w="1272" w:type="dxa"/>
            <w:vAlign w:val="top"/>
          </w:tcPr>
          <w:p w14:paraId="341CCED4">
            <w:pPr>
              <w:spacing w:before="76" w:line="219" w:lineRule="auto"/>
              <w:ind w:left="431"/>
              <w:rPr>
                <w:rFonts w:ascii="宋体" w:hAnsi="宋体" w:eastAsia="宋体" w:cs="宋体"/>
                <w:sz w:val="21"/>
                <w:szCs w:val="21"/>
              </w:rPr>
            </w:pPr>
            <w:r>
              <w:rPr>
                <w:rFonts w:ascii="宋体" w:hAnsi="宋体" w:eastAsia="宋体" w:cs="宋体"/>
                <w:b/>
                <w:bCs/>
                <w:spacing w:val="-5"/>
                <w:sz w:val="21"/>
                <w:szCs w:val="21"/>
              </w:rPr>
              <w:t>隼科</w:t>
            </w:r>
          </w:p>
        </w:tc>
        <w:tc>
          <w:tcPr>
            <w:tcW w:w="1693" w:type="dxa"/>
            <w:vAlign w:val="top"/>
          </w:tcPr>
          <w:p w14:paraId="4DAB6C47">
            <w:pPr>
              <w:pStyle w:val="6"/>
              <w:spacing w:before="115" w:line="186" w:lineRule="auto"/>
              <w:ind w:left="364"/>
            </w:pPr>
            <w:r>
              <w:rPr>
                <w:b/>
                <w:bCs/>
                <w:spacing w:val="-1"/>
              </w:rPr>
              <w:t>Falconidae</w:t>
            </w:r>
          </w:p>
        </w:tc>
        <w:tc>
          <w:tcPr>
            <w:tcW w:w="845" w:type="dxa"/>
            <w:tcBorders>
              <w:right w:val="single" w:color="000000" w:sz="12" w:space="0"/>
            </w:tcBorders>
            <w:vAlign w:val="top"/>
          </w:tcPr>
          <w:p w14:paraId="2AE6242B">
            <w:pPr>
              <w:rPr>
                <w:rFonts w:ascii="Arial"/>
                <w:sz w:val="21"/>
              </w:rPr>
            </w:pPr>
          </w:p>
        </w:tc>
      </w:tr>
      <w:tr w14:paraId="2D388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F4BC9B0">
            <w:pPr>
              <w:spacing w:before="217" w:line="223" w:lineRule="auto"/>
              <w:ind w:left="302"/>
              <w:rPr>
                <w:rFonts w:ascii="宋体" w:hAnsi="宋体" w:eastAsia="宋体" w:cs="宋体"/>
                <w:sz w:val="21"/>
                <w:szCs w:val="21"/>
              </w:rPr>
            </w:pPr>
            <w:r>
              <w:rPr>
                <w:rFonts w:ascii="宋体" w:hAnsi="宋体" w:eastAsia="宋体" w:cs="宋体"/>
                <w:spacing w:val="-1"/>
                <w:sz w:val="21"/>
                <w:szCs w:val="21"/>
              </w:rPr>
              <w:t>47</w:t>
            </w:r>
          </w:p>
        </w:tc>
        <w:tc>
          <w:tcPr>
            <w:tcW w:w="1270" w:type="dxa"/>
            <w:vAlign w:val="top"/>
          </w:tcPr>
          <w:p w14:paraId="586A6E98">
            <w:pPr>
              <w:spacing w:before="183" w:line="219" w:lineRule="auto"/>
              <w:ind w:left="422"/>
              <w:rPr>
                <w:rFonts w:ascii="宋体" w:hAnsi="宋体" w:eastAsia="宋体" w:cs="宋体"/>
                <w:sz w:val="21"/>
                <w:szCs w:val="21"/>
              </w:rPr>
            </w:pPr>
            <w:r>
              <w:rPr>
                <w:rFonts w:ascii="宋体" w:hAnsi="宋体" w:eastAsia="宋体" w:cs="宋体"/>
                <w:spacing w:val="-7"/>
                <w:sz w:val="21"/>
                <w:szCs w:val="21"/>
              </w:rPr>
              <w:t>红隼</w:t>
            </w:r>
          </w:p>
        </w:tc>
        <w:tc>
          <w:tcPr>
            <w:tcW w:w="1554" w:type="dxa"/>
            <w:vAlign w:val="top"/>
          </w:tcPr>
          <w:p w14:paraId="479F860C">
            <w:pPr>
              <w:pStyle w:val="6"/>
              <w:spacing w:before="96" w:line="190" w:lineRule="auto"/>
              <w:ind w:left="515"/>
            </w:pPr>
            <w:r>
              <w:rPr>
                <w:i/>
                <w:iCs/>
                <w:spacing w:val="1"/>
              </w:rPr>
              <w:t>Falco</w:t>
            </w:r>
          </w:p>
          <w:p w14:paraId="1B6BC10D">
            <w:pPr>
              <w:pStyle w:val="6"/>
              <w:spacing w:before="50" w:line="218" w:lineRule="auto"/>
              <w:ind w:left="284"/>
            </w:pPr>
            <w:r>
              <w:rPr>
                <w:i/>
                <w:iCs/>
                <w:spacing w:val="-1"/>
              </w:rPr>
              <w:t>tinnunculus</w:t>
            </w:r>
          </w:p>
        </w:tc>
        <w:tc>
          <w:tcPr>
            <w:tcW w:w="989" w:type="dxa"/>
            <w:vAlign w:val="top"/>
          </w:tcPr>
          <w:p w14:paraId="763EE83A">
            <w:pPr>
              <w:spacing w:before="217" w:line="223" w:lineRule="auto"/>
              <w:ind w:left="391"/>
              <w:rPr>
                <w:rFonts w:ascii="宋体" w:hAnsi="宋体" w:eastAsia="宋体" w:cs="宋体"/>
                <w:sz w:val="21"/>
                <w:szCs w:val="21"/>
              </w:rPr>
            </w:pPr>
            <w:r>
              <w:rPr>
                <w:rFonts w:ascii="宋体" w:hAnsi="宋体" w:eastAsia="宋体" w:cs="宋体"/>
                <w:spacing w:val="-3"/>
                <w:sz w:val="21"/>
                <w:szCs w:val="21"/>
              </w:rPr>
              <w:t>35</w:t>
            </w:r>
          </w:p>
        </w:tc>
        <w:tc>
          <w:tcPr>
            <w:tcW w:w="1272" w:type="dxa"/>
            <w:vAlign w:val="top"/>
          </w:tcPr>
          <w:p w14:paraId="25704F66">
            <w:pPr>
              <w:spacing w:before="183" w:line="219" w:lineRule="auto"/>
              <w:ind w:left="436"/>
              <w:rPr>
                <w:rFonts w:ascii="宋体" w:hAnsi="宋体" w:eastAsia="宋体" w:cs="宋体"/>
                <w:sz w:val="21"/>
                <w:szCs w:val="21"/>
              </w:rPr>
            </w:pPr>
            <w:r>
              <w:rPr>
                <w:rFonts w:ascii="宋体" w:hAnsi="宋体" w:eastAsia="宋体" w:cs="宋体"/>
                <w:spacing w:val="-4"/>
                <w:sz w:val="21"/>
                <w:szCs w:val="21"/>
              </w:rPr>
              <w:t>红隼</w:t>
            </w:r>
          </w:p>
        </w:tc>
        <w:tc>
          <w:tcPr>
            <w:tcW w:w="1693" w:type="dxa"/>
            <w:vAlign w:val="top"/>
          </w:tcPr>
          <w:p w14:paraId="406442E9">
            <w:pPr>
              <w:pStyle w:val="6"/>
              <w:spacing w:before="217" w:line="233" w:lineRule="auto"/>
              <w:ind w:left="83"/>
            </w:pPr>
            <w:r>
              <w:rPr>
                <w:i/>
                <w:iCs/>
              </w:rPr>
              <w:t>Falco</w:t>
            </w:r>
            <w:r>
              <w:rPr>
                <w:i/>
                <w:iCs/>
                <w:spacing w:val="7"/>
              </w:rPr>
              <w:t xml:space="preserve"> </w:t>
            </w:r>
            <w:r>
              <w:rPr>
                <w:i/>
                <w:iCs/>
              </w:rPr>
              <w:t>tinnunculus</w:t>
            </w:r>
          </w:p>
        </w:tc>
        <w:tc>
          <w:tcPr>
            <w:tcW w:w="845" w:type="dxa"/>
            <w:tcBorders>
              <w:right w:val="single" w:color="000000" w:sz="12" w:space="0"/>
            </w:tcBorders>
            <w:vAlign w:val="top"/>
          </w:tcPr>
          <w:p w14:paraId="0AD8D39B">
            <w:pPr>
              <w:spacing w:before="183" w:line="220" w:lineRule="auto"/>
              <w:jc w:val="right"/>
              <w:rPr>
                <w:rFonts w:ascii="宋体" w:hAnsi="宋体" w:eastAsia="宋体" w:cs="宋体"/>
                <w:sz w:val="21"/>
                <w:szCs w:val="21"/>
              </w:rPr>
            </w:pPr>
            <w:r>
              <w:rPr>
                <w:rFonts w:ascii="宋体" w:hAnsi="宋体" w:eastAsia="宋体" w:cs="宋体"/>
                <w:spacing w:val="-31"/>
                <w:w w:val="94"/>
                <w:sz w:val="21"/>
                <w:szCs w:val="21"/>
              </w:rPr>
              <w:t>聂级、</w:t>
            </w:r>
            <w:r>
              <w:rPr>
                <w:rFonts w:ascii="宋体" w:hAnsi="宋体" w:eastAsia="宋体" w:cs="宋体"/>
                <w:spacing w:val="-11"/>
                <w:w w:val="94"/>
                <w:sz w:val="21"/>
                <w:szCs w:val="21"/>
              </w:rPr>
              <w:t>聂</w:t>
            </w:r>
          </w:p>
        </w:tc>
      </w:tr>
      <w:tr w14:paraId="6F7F3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7E118009">
            <w:pPr>
              <w:pStyle w:val="6"/>
              <w:spacing w:before="124" w:line="186" w:lineRule="auto"/>
              <w:ind w:left="225"/>
            </w:pPr>
            <w:r>
              <w:rPr>
                <w:b/>
                <w:bCs/>
                <w:spacing w:val="-2"/>
              </w:rPr>
              <w:t>O15</w:t>
            </w:r>
          </w:p>
        </w:tc>
        <w:tc>
          <w:tcPr>
            <w:tcW w:w="1270" w:type="dxa"/>
            <w:vAlign w:val="top"/>
          </w:tcPr>
          <w:p w14:paraId="14305D99">
            <w:pPr>
              <w:spacing w:before="86" w:line="220" w:lineRule="auto"/>
              <w:ind w:left="314"/>
              <w:rPr>
                <w:rFonts w:ascii="宋体" w:hAnsi="宋体" w:eastAsia="宋体" w:cs="宋体"/>
                <w:sz w:val="21"/>
                <w:szCs w:val="21"/>
              </w:rPr>
            </w:pPr>
            <w:r>
              <w:rPr>
                <w:rFonts w:ascii="宋体" w:hAnsi="宋体" w:eastAsia="宋体" w:cs="宋体"/>
                <w:b/>
                <w:bCs/>
                <w:spacing w:val="-5"/>
                <w:sz w:val="21"/>
                <w:szCs w:val="21"/>
              </w:rPr>
              <w:t>雀形目</w:t>
            </w:r>
          </w:p>
        </w:tc>
        <w:tc>
          <w:tcPr>
            <w:tcW w:w="1554" w:type="dxa"/>
            <w:vAlign w:val="top"/>
          </w:tcPr>
          <w:p w14:paraId="652EBF1C">
            <w:pPr>
              <w:pStyle w:val="6"/>
              <w:spacing w:before="124" w:line="186" w:lineRule="auto"/>
              <w:ind w:left="141"/>
            </w:pPr>
            <w:r>
              <w:rPr>
                <w:b/>
                <w:bCs/>
                <w:spacing w:val="-1"/>
              </w:rPr>
              <w:t>Passeriformes</w:t>
            </w:r>
          </w:p>
        </w:tc>
        <w:tc>
          <w:tcPr>
            <w:tcW w:w="989" w:type="dxa"/>
            <w:vAlign w:val="top"/>
          </w:tcPr>
          <w:p w14:paraId="5962BC7D">
            <w:pPr>
              <w:pStyle w:val="6"/>
              <w:spacing w:before="124" w:line="186" w:lineRule="auto"/>
              <w:ind w:left="309"/>
            </w:pPr>
            <w:r>
              <w:rPr>
                <w:b/>
                <w:bCs/>
                <w:spacing w:val="-2"/>
              </w:rPr>
              <w:t>O16</w:t>
            </w:r>
          </w:p>
        </w:tc>
        <w:tc>
          <w:tcPr>
            <w:tcW w:w="1272" w:type="dxa"/>
            <w:vAlign w:val="top"/>
          </w:tcPr>
          <w:p w14:paraId="651A7CBF">
            <w:pPr>
              <w:spacing w:before="86" w:line="220" w:lineRule="auto"/>
              <w:ind w:left="327"/>
              <w:rPr>
                <w:rFonts w:ascii="宋体" w:hAnsi="宋体" w:eastAsia="宋体" w:cs="宋体"/>
                <w:sz w:val="21"/>
                <w:szCs w:val="21"/>
              </w:rPr>
            </w:pPr>
            <w:r>
              <w:rPr>
                <w:rFonts w:ascii="宋体" w:hAnsi="宋体" w:eastAsia="宋体" w:cs="宋体"/>
                <w:b/>
                <w:bCs/>
                <w:spacing w:val="-5"/>
                <w:sz w:val="21"/>
                <w:szCs w:val="21"/>
              </w:rPr>
              <w:t>雀形目</w:t>
            </w:r>
          </w:p>
        </w:tc>
        <w:tc>
          <w:tcPr>
            <w:tcW w:w="1693" w:type="dxa"/>
            <w:vAlign w:val="top"/>
          </w:tcPr>
          <w:p w14:paraId="54B5BC36">
            <w:pPr>
              <w:pStyle w:val="6"/>
              <w:spacing w:before="124" w:line="186" w:lineRule="auto"/>
              <w:ind w:left="225"/>
            </w:pPr>
            <w:r>
              <w:rPr>
                <w:b/>
                <w:bCs/>
                <w:spacing w:val="-1"/>
              </w:rPr>
              <w:t>Passeriformes</w:t>
            </w:r>
          </w:p>
        </w:tc>
        <w:tc>
          <w:tcPr>
            <w:tcW w:w="845" w:type="dxa"/>
            <w:tcBorders>
              <w:right w:val="single" w:color="000000" w:sz="12" w:space="0"/>
            </w:tcBorders>
            <w:vAlign w:val="top"/>
          </w:tcPr>
          <w:p w14:paraId="5333BB93">
            <w:pPr>
              <w:rPr>
                <w:rFonts w:ascii="Arial"/>
                <w:sz w:val="21"/>
              </w:rPr>
            </w:pPr>
          </w:p>
        </w:tc>
      </w:tr>
      <w:tr w14:paraId="3AFBB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CAA94D2">
            <w:pPr>
              <w:pStyle w:val="6"/>
              <w:spacing w:before="125" w:line="186" w:lineRule="auto"/>
              <w:ind w:left="238"/>
            </w:pPr>
            <w:r>
              <w:rPr>
                <w:b/>
                <w:bCs/>
                <w:spacing w:val="-2"/>
              </w:rPr>
              <w:t>F16</w:t>
            </w:r>
          </w:p>
        </w:tc>
        <w:tc>
          <w:tcPr>
            <w:tcW w:w="1270" w:type="dxa"/>
            <w:vAlign w:val="top"/>
          </w:tcPr>
          <w:p w14:paraId="1BF3EF7F">
            <w:pPr>
              <w:spacing w:before="87" w:line="219" w:lineRule="auto"/>
              <w:ind w:left="310"/>
              <w:rPr>
                <w:rFonts w:ascii="宋体" w:hAnsi="宋体" w:eastAsia="宋体" w:cs="宋体"/>
                <w:sz w:val="21"/>
                <w:szCs w:val="21"/>
              </w:rPr>
            </w:pPr>
            <w:r>
              <w:rPr>
                <w:rFonts w:ascii="宋体" w:hAnsi="宋体" w:eastAsia="宋体" w:cs="宋体"/>
                <w:b/>
                <w:bCs/>
                <w:spacing w:val="-4"/>
                <w:sz w:val="21"/>
                <w:szCs w:val="21"/>
              </w:rPr>
              <w:t>黄鹂科</w:t>
            </w:r>
          </w:p>
        </w:tc>
        <w:tc>
          <w:tcPr>
            <w:tcW w:w="1554" w:type="dxa"/>
            <w:vAlign w:val="top"/>
          </w:tcPr>
          <w:p w14:paraId="45128221">
            <w:pPr>
              <w:pStyle w:val="6"/>
              <w:spacing w:before="125" w:line="186" w:lineRule="auto"/>
              <w:ind w:left="348"/>
            </w:pPr>
            <w:r>
              <w:rPr>
                <w:b/>
                <w:bCs/>
                <w:spacing w:val="-1"/>
              </w:rPr>
              <w:t>Oriolidae</w:t>
            </w:r>
          </w:p>
        </w:tc>
        <w:tc>
          <w:tcPr>
            <w:tcW w:w="989" w:type="dxa"/>
            <w:vAlign w:val="top"/>
          </w:tcPr>
          <w:p w14:paraId="7E2A5315">
            <w:pPr>
              <w:rPr>
                <w:rFonts w:ascii="Arial"/>
                <w:sz w:val="21"/>
              </w:rPr>
            </w:pPr>
          </w:p>
        </w:tc>
        <w:tc>
          <w:tcPr>
            <w:tcW w:w="1272" w:type="dxa"/>
            <w:vAlign w:val="top"/>
          </w:tcPr>
          <w:p w14:paraId="012BAAD3">
            <w:pPr>
              <w:rPr>
                <w:rFonts w:ascii="Arial"/>
                <w:sz w:val="21"/>
              </w:rPr>
            </w:pPr>
          </w:p>
        </w:tc>
        <w:tc>
          <w:tcPr>
            <w:tcW w:w="1693" w:type="dxa"/>
            <w:vAlign w:val="top"/>
          </w:tcPr>
          <w:p w14:paraId="7D7F45DE">
            <w:pPr>
              <w:rPr>
                <w:rFonts w:ascii="Arial"/>
                <w:sz w:val="21"/>
              </w:rPr>
            </w:pPr>
          </w:p>
        </w:tc>
        <w:tc>
          <w:tcPr>
            <w:tcW w:w="845" w:type="dxa"/>
            <w:tcBorders>
              <w:right w:val="single" w:color="000000" w:sz="12" w:space="0"/>
            </w:tcBorders>
            <w:vAlign w:val="top"/>
          </w:tcPr>
          <w:p w14:paraId="46B51498">
            <w:pPr>
              <w:rPr>
                <w:rFonts w:ascii="Arial"/>
                <w:sz w:val="21"/>
              </w:rPr>
            </w:pPr>
          </w:p>
        </w:tc>
      </w:tr>
      <w:tr w14:paraId="37DDA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7F5C8F5">
            <w:pPr>
              <w:spacing w:before="220" w:line="223" w:lineRule="auto"/>
              <w:ind w:left="302"/>
              <w:rPr>
                <w:rFonts w:ascii="宋体" w:hAnsi="宋体" w:eastAsia="宋体" w:cs="宋体"/>
                <w:sz w:val="21"/>
                <w:szCs w:val="21"/>
              </w:rPr>
            </w:pPr>
            <w:r>
              <w:rPr>
                <w:rFonts w:ascii="宋体" w:hAnsi="宋体" w:eastAsia="宋体" w:cs="宋体"/>
                <w:spacing w:val="-1"/>
                <w:sz w:val="21"/>
                <w:szCs w:val="21"/>
              </w:rPr>
              <w:t>48</w:t>
            </w:r>
          </w:p>
        </w:tc>
        <w:tc>
          <w:tcPr>
            <w:tcW w:w="1270" w:type="dxa"/>
            <w:vAlign w:val="top"/>
          </w:tcPr>
          <w:p w14:paraId="1890BA85">
            <w:pPr>
              <w:spacing w:before="186" w:line="220" w:lineRule="auto"/>
              <w:ind w:left="213"/>
              <w:rPr>
                <w:rFonts w:ascii="宋体" w:hAnsi="宋体" w:eastAsia="宋体" w:cs="宋体"/>
                <w:sz w:val="21"/>
                <w:szCs w:val="21"/>
              </w:rPr>
            </w:pPr>
            <w:r>
              <w:rPr>
                <w:rFonts w:ascii="宋体" w:hAnsi="宋体" w:eastAsia="宋体" w:cs="宋体"/>
                <w:spacing w:val="-3"/>
                <w:sz w:val="21"/>
                <w:szCs w:val="21"/>
              </w:rPr>
              <w:t>黑枕黄鹂</w:t>
            </w:r>
          </w:p>
        </w:tc>
        <w:tc>
          <w:tcPr>
            <w:tcW w:w="1554" w:type="dxa"/>
            <w:vAlign w:val="top"/>
          </w:tcPr>
          <w:p w14:paraId="6CB0A526">
            <w:pPr>
              <w:pStyle w:val="6"/>
              <w:spacing w:before="99" w:line="190" w:lineRule="auto"/>
              <w:ind w:left="457"/>
            </w:pPr>
            <w:r>
              <w:rPr>
                <w:i/>
                <w:iCs/>
                <w:spacing w:val="-2"/>
              </w:rPr>
              <w:t>Oriolus</w:t>
            </w:r>
          </w:p>
          <w:p w14:paraId="46F5241E">
            <w:pPr>
              <w:pStyle w:val="6"/>
              <w:spacing w:before="50" w:line="215" w:lineRule="auto"/>
              <w:ind w:left="380"/>
            </w:pPr>
            <w:r>
              <w:rPr>
                <w:i/>
                <w:iCs/>
                <w:spacing w:val="-1"/>
              </w:rPr>
              <w:t>chinensis</w:t>
            </w:r>
          </w:p>
        </w:tc>
        <w:tc>
          <w:tcPr>
            <w:tcW w:w="989" w:type="dxa"/>
            <w:vAlign w:val="top"/>
          </w:tcPr>
          <w:p w14:paraId="545E2841">
            <w:pPr>
              <w:rPr>
                <w:rFonts w:ascii="Arial"/>
                <w:sz w:val="21"/>
              </w:rPr>
            </w:pPr>
          </w:p>
        </w:tc>
        <w:tc>
          <w:tcPr>
            <w:tcW w:w="1272" w:type="dxa"/>
            <w:vAlign w:val="top"/>
          </w:tcPr>
          <w:p w14:paraId="7898F6FE">
            <w:pPr>
              <w:rPr>
                <w:rFonts w:ascii="Arial"/>
                <w:sz w:val="21"/>
              </w:rPr>
            </w:pPr>
          </w:p>
        </w:tc>
        <w:tc>
          <w:tcPr>
            <w:tcW w:w="1693" w:type="dxa"/>
            <w:vAlign w:val="top"/>
          </w:tcPr>
          <w:p w14:paraId="07599F14">
            <w:pPr>
              <w:rPr>
                <w:rFonts w:ascii="Arial"/>
                <w:sz w:val="21"/>
              </w:rPr>
            </w:pPr>
          </w:p>
        </w:tc>
        <w:tc>
          <w:tcPr>
            <w:tcW w:w="845" w:type="dxa"/>
            <w:tcBorders>
              <w:right w:val="single" w:color="000000" w:sz="12" w:space="0"/>
            </w:tcBorders>
            <w:vAlign w:val="top"/>
          </w:tcPr>
          <w:p w14:paraId="2F162054">
            <w:pPr>
              <w:rPr>
                <w:rFonts w:ascii="Arial"/>
                <w:sz w:val="21"/>
              </w:rPr>
            </w:pPr>
          </w:p>
        </w:tc>
      </w:tr>
      <w:tr w14:paraId="58D95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625C2BA5">
            <w:pPr>
              <w:pStyle w:val="6"/>
              <w:spacing w:before="120" w:line="186" w:lineRule="auto"/>
              <w:ind w:left="238"/>
            </w:pPr>
            <w:r>
              <w:rPr>
                <w:b/>
                <w:bCs/>
                <w:spacing w:val="-2"/>
              </w:rPr>
              <w:t>F17</w:t>
            </w:r>
          </w:p>
        </w:tc>
        <w:tc>
          <w:tcPr>
            <w:tcW w:w="1270" w:type="dxa"/>
            <w:vAlign w:val="top"/>
          </w:tcPr>
          <w:p w14:paraId="326381E3">
            <w:pPr>
              <w:spacing w:before="82" w:line="219" w:lineRule="auto"/>
              <w:ind w:left="315"/>
              <w:rPr>
                <w:rFonts w:ascii="宋体" w:hAnsi="宋体" w:eastAsia="宋体" w:cs="宋体"/>
                <w:sz w:val="21"/>
                <w:szCs w:val="21"/>
              </w:rPr>
            </w:pPr>
            <w:r>
              <w:rPr>
                <w:rFonts w:ascii="宋体" w:hAnsi="宋体" w:eastAsia="宋体" w:cs="宋体"/>
                <w:b/>
                <w:bCs/>
                <w:spacing w:val="-5"/>
                <w:sz w:val="21"/>
                <w:szCs w:val="21"/>
              </w:rPr>
              <w:t>莺雀科</w:t>
            </w:r>
          </w:p>
        </w:tc>
        <w:tc>
          <w:tcPr>
            <w:tcW w:w="1554" w:type="dxa"/>
            <w:vAlign w:val="top"/>
          </w:tcPr>
          <w:p w14:paraId="4791F4DE">
            <w:pPr>
              <w:pStyle w:val="6"/>
              <w:spacing w:before="120" w:line="186" w:lineRule="auto"/>
              <w:ind w:left="272"/>
            </w:pPr>
            <w:r>
              <w:rPr>
                <w:b/>
                <w:bCs/>
                <w:spacing w:val="-1"/>
              </w:rPr>
              <w:t>Vireonidae</w:t>
            </w:r>
          </w:p>
        </w:tc>
        <w:tc>
          <w:tcPr>
            <w:tcW w:w="989" w:type="dxa"/>
            <w:vAlign w:val="top"/>
          </w:tcPr>
          <w:p w14:paraId="244D1928">
            <w:pPr>
              <w:pStyle w:val="6"/>
              <w:spacing w:before="120" w:line="186" w:lineRule="auto"/>
              <w:ind w:left="323"/>
            </w:pPr>
            <w:r>
              <w:rPr>
                <w:b/>
                <w:bCs/>
                <w:spacing w:val="-2"/>
              </w:rPr>
              <w:t>F16</w:t>
            </w:r>
          </w:p>
        </w:tc>
        <w:tc>
          <w:tcPr>
            <w:tcW w:w="1272" w:type="dxa"/>
            <w:vAlign w:val="top"/>
          </w:tcPr>
          <w:p w14:paraId="5BE839A3">
            <w:pPr>
              <w:spacing w:before="82" w:line="219" w:lineRule="auto"/>
              <w:ind w:left="328"/>
              <w:rPr>
                <w:rFonts w:ascii="宋体" w:hAnsi="宋体" w:eastAsia="宋体" w:cs="宋体"/>
                <w:sz w:val="21"/>
                <w:szCs w:val="21"/>
              </w:rPr>
            </w:pPr>
            <w:r>
              <w:rPr>
                <w:rFonts w:ascii="宋体" w:hAnsi="宋体" w:eastAsia="宋体" w:cs="宋体"/>
                <w:b/>
                <w:bCs/>
                <w:spacing w:val="-5"/>
                <w:sz w:val="21"/>
                <w:szCs w:val="21"/>
              </w:rPr>
              <w:t>莺雀科</w:t>
            </w:r>
          </w:p>
        </w:tc>
        <w:tc>
          <w:tcPr>
            <w:tcW w:w="1693" w:type="dxa"/>
            <w:vAlign w:val="top"/>
          </w:tcPr>
          <w:p w14:paraId="2EB7C501">
            <w:pPr>
              <w:pStyle w:val="6"/>
              <w:spacing w:before="120" w:line="186" w:lineRule="auto"/>
              <w:ind w:left="356"/>
            </w:pPr>
            <w:r>
              <w:rPr>
                <w:b/>
                <w:bCs/>
                <w:spacing w:val="-1"/>
              </w:rPr>
              <w:t>Vireonidae</w:t>
            </w:r>
          </w:p>
        </w:tc>
        <w:tc>
          <w:tcPr>
            <w:tcW w:w="845" w:type="dxa"/>
            <w:tcBorders>
              <w:right w:val="single" w:color="000000" w:sz="12" w:space="0"/>
            </w:tcBorders>
            <w:vAlign w:val="top"/>
          </w:tcPr>
          <w:p w14:paraId="1A81945E">
            <w:pPr>
              <w:rPr>
                <w:rFonts w:ascii="Arial"/>
                <w:sz w:val="21"/>
              </w:rPr>
            </w:pPr>
          </w:p>
        </w:tc>
      </w:tr>
      <w:tr w14:paraId="08A20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3E48FC0">
            <w:pPr>
              <w:spacing w:before="222" w:line="223" w:lineRule="auto"/>
              <w:ind w:left="302"/>
              <w:rPr>
                <w:rFonts w:ascii="宋体" w:hAnsi="宋体" w:eastAsia="宋体" w:cs="宋体"/>
                <w:sz w:val="21"/>
                <w:szCs w:val="21"/>
              </w:rPr>
            </w:pPr>
            <w:r>
              <w:rPr>
                <w:rFonts w:ascii="宋体" w:hAnsi="宋体" w:eastAsia="宋体" w:cs="宋体"/>
                <w:spacing w:val="-1"/>
                <w:sz w:val="21"/>
                <w:szCs w:val="21"/>
              </w:rPr>
              <w:t>49</w:t>
            </w:r>
          </w:p>
        </w:tc>
        <w:tc>
          <w:tcPr>
            <w:tcW w:w="1270" w:type="dxa"/>
            <w:vAlign w:val="top"/>
          </w:tcPr>
          <w:p w14:paraId="3059B9AF">
            <w:pPr>
              <w:spacing w:before="188" w:line="221" w:lineRule="auto"/>
              <w:ind w:left="212"/>
              <w:rPr>
                <w:rFonts w:ascii="宋体" w:hAnsi="宋体" w:eastAsia="宋体" w:cs="宋体"/>
                <w:sz w:val="21"/>
                <w:szCs w:val="21"/>
              </w:rPr>
            </w:pPr>
            <w:r>
              <w:rPr>
                <w:rFonts w:ascii="宋体" w:hAnsi="宋体" w:eastAsia="宋体" w:cs="宋体"/>
                <w:spacing w:val="-3"/>
                <w:sz w:val="21"/>
                <w:szCs w:val="21"/>
              </w:rPr>
              <w:t>红翅鵙鹛</w:t>
            </w:r>
          </w:p>
        </w:tc>
        <w:tc>
          <w:tcPr>
            <w:tcW w:w="1554" w:type="dxa"/>
            <w:vAlign w:val="top"/>
          </w:tcPr>
          <w:p w14:paraId="6DA61E9A">
            <w:pPr>
              <w:pStyle w:val="6"/>
              <w:spacing w:before="101" w:line="190" w:lineRule="auto"/>
              <w:ind w:left="323"/>
            </w:pPr>
            <w:r>
              <w:rPr>
                <w:i/>
                <w:iCs/>
              </w:rPr>
              <w:t>Pteruthius</w:t>
            </w:r>
          </w:p>
          <w:p w14:paraId="079736EA">
            <w:pPr>
              <w:pStyle w:val="6"/>
              <w:spacing w:before="50" w:line="190" w:lineRule="auto"/>
              <w:ind w:left="280"/>
            </w:pPr>
            <w:r>
              <w:rPr>
                <w:i/>
                <w:iCs/>
                <w:spacing w:val="3"/>
              </w:rPr>
              <w:t>flaviscapis</w:t>
            </w:r>
          </w:p>
        </w:tc>
        <w:tc>
          <w:tcPr>
            <w:tcW w:w="989" w:type="dxa"/>
            <w:vAlign w:val="top"/>
          </w:tcPr>
          <w:p w14:paraId="5E21C67C">
            <w:pPr>
              <w:spacing w:before="222" w:line="223" w:lineRule="auto"/>
              <w:ind w:left="391"/>
              <w:rPr>
                <w:rFonts w:ascii="宋体" w:hAnsi="宋体" w:eastAsia="宋体" w:cs="宋体"/>
                <w:sz w:val="21"/>
                <w:szCs w:val="21"/>
              </w:rPr>
            </w:pPr>
            <w:r>
              <w:rPr>
                <w:rFonts w:ascii="宋体" w:hAnsi="宋体" w:eastAsia="宋体" w:cs="宋体"/>
                <w:spacing w:val="-3"/>
                <w:sz w:val="21"/>
                <w:szCs w:val="21"/>
              </w:rPr>
              <w:t>36</w:t>
            </w:r>
          </w:p>
        </w:tc>
        <w:tc>
          <w:tcPr>
            <w:tcW w:w="1272" w:type="dxa"/>
            <w:vAlign w:val="top"/>
          </w:tcPr>
          <w:p w14:paraId="2F15173B">
            <w:pPr>
              <w:spacing w:before="188" w:line="221" w:lineRule="auto"/>
              <w:ind w:left="226"/>
              <w:rPr>
                <w:rFonts w:ascii="宋体" w:hAnsi="宋体" w:eastAsia="宋体" w:cs="宋体"/>
                <w:sz w:val="21"/>
                <w:szCs w:val="21"/>
              </w:rPr>
            </w:pPr>
            <w:r>
              <w:rPr>
                <w:rFonts w:ascii="宋体" w:hAnsi="宋体" w:eastAsia="宋体" w:cs="宋体"/>
                <w:spacing w:val="-3"/>
                <w:sz w:val="21"/>
                <w:szCs w:val="21"/>
              </w:rPr>
              <w:t>红翅鵙鹛</w:t>
            </w:r>
          </w:p>
        </w:tc>
        <w:tc>
          <w:tcPr>
            <w:tcW w:w="1693" w:type="dxa"/>
            <w:vAlign w:val="top"/>
          </w:tcPr>
          <w:p w14:paraId="0FB5E22C">
            <w:pPr>
              <w:pStyle w:val="6"/>
              <w:spacing w:before="101" w:line="190" w:lineRule="auto"/>
              <w:ind w:left="408"/>
            </w:pPr>
            <w:r>
              <w:rPr>
                <w:i/>
                <w:iCs/>
              </w:rPr>
              <w:t>Pteruthius</w:t>
            </w:r>
          </w:p>
          <w:p w14:paraId="45FF93C5">
            <w:pPr>
              <w:pStyle w:val="6"/>
              <w:spacing w:before="50" w:line="190" w:lineRule="auto"/>
              <w:ind w:left="364"/>
            </w:pPr>
            <w:r>
              <w:rPr>
                <w:i/>
                <w:iCs/>
                <w:spacing w:val="3"/>
              </w:rPr>
              <w:t>flaviscapis</w:t>
            </w:r>
          </w:p>
        </w:tc>
        <w:tc>
          <w:tcPr>
            <w:tcW w:w="845" w:type="dxa"/>
            <w:tcBorders>
              <w:right w:val="single" w:color="000000" w:sz="12" w:space="0"/>
            </w:tcBorders>
            <w:vAlign w:val="top"/>
          </w:tcPr>
          <w:p w14:paraId="3163AC54">
            <w:pPr>
              <w:rPr>
                <w:rFonts w:ascii="Arial"/>
                <w:sz w:val="21"/>
              </w:rPr>
            </w:pPr>
          </w:p>
        </w:tc>
      </w:tr>
      <w:tr w14:paraId="54F24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325F125">
            <w:pPr>
              <w:pStyle w:val="6"/>
              <w:spacing w:before="228" w:line="229" w:lineRule="auto"/>
              <w:ind w:left="238"/>
            </w:pPr>
            <w:r>
              <w:rPr>
                <w:b/>
                <w:bCs/>
                <w:spacing w:val="-2"/>
              </w:rPr>
              <w:t>F18</w:t>
            </w:r>
          </w:p>
        </w:tc>
        <w:tc>
          <w:tcPr>
            <w:tcW w:w="1270" w:type="dxa"/>
            <w:vAlign w:val="top"/>
          </w:tcPr>
          <w:p w14:paraId="6C74058A">
            <w:pPr>
              <w:spacing w:before="189" w:line="219" w:lineRule="auto"/>
              <w:ind w:left="225"/>
              <w:rPr>
                <w:rFonts w:ascii="宋体" w:hAnsi="宋体" w:eastAsia="宋体" w:cs="宋体"/>
                <w:sz w:val="21"/>
                <w:szCs w:val="21"/>
              </w:rPr>
            </w:pPr>
            <w:r>
              <w:rPr>
                <w:rFonts w:ascii="宋体" w:hAnsi="宋体" w:eastAsia="宋体" w:cs="宋体"/>
                <w:b/>
                <w:bCs/>
                <w:spacing w:val="-7"/>
                <w:sz w:val="21"/>
                <w:szCs w:val="21"/>
              </w:rPr>
              <w:t>山椒鸟科</w:t>
            </w:r>
          </w:p>
        </w:tc>
        <w:tc>
          <w:tcPr>
            <w:tcW w:w="1554" w:type="dxa"/>
            <w:vAlign w:val="top"/>
          </w:tcPr>
          <w:p w14:paraId="2C104244">
            <w:pPr>
              <w:pStyle w:val="6"/>
              <w:spacing w:before="107" w:line="223" w:lineRule="auto"/>
              <w:ind w:left="726" w:right="95" w:hanging="635"/>
            </w:pPr>
            <w:r>
              <w:rPr>
                <w:b/>
                <w:bCs/>
                <w:spacing w:val="-1"/>
              </w:rPr>
              <w:t>Campephagida</w:t>
            </w:r>
            <w:r>
              <w:rPr>
                <w:b/>
                <w:bCs/>
                <w:spacing w:val="2"/>
              </w:rPr>
              <w:t xml:space="preserve"> </w:t>
            </w:r>
            <w:r>
              <w:rPr>
                <w:b/>
                <w:bCs/>
              </w:rPr>
              <w:t>e</w:t>
            </w:r>
          </w:p>
        </w:tc>
        <w:tc>
          <w:tcPr>
            <w:tcW w:w="989" w:type="dxa"/>
            <w:vAlign w:val="top"/>
          </w:tcPr>
          <w:p w14:paraId="3684A08B">
            <w:pPr>
              <w:pStyle w:val="6"/>
              <w:spacing w:before="228" w:line="186" w:lineRule="auto"/>
              <w:ind w:left="323"/>
            </w:pPr>
            <w:r>
              <w:rPr>
                <w:b/>
                <w:bCs/>
                <w:spacing w:val="-2"/>
              </w:rPr>
              <w:t>F17</w:t>
            </w:r>
          </w:p>
        </w:tc>
        <w:tc>
          <w:tcPr>
            <w:tcW w:w="1272" w:type="dxa"/>
            <w:vAlign w:val="top"/>
          </w:tcPr>
          <w:p w14:paraId="21A8D112">
            <w:pPr>
              <w:spacing w:before="189" w:line="219" w:lineRule="auto"/>
              <w:ind w:left="238"/>
              <w:rPr>
                <w:rFonts w:ascii="宋体" w:hAnsi="宋体" w:eastAsia="宋体" w:cs="宋体"/>
                <w:sz w:val="21"/>
                <w:szCs w:val="21"/>
              </w:rPr>
            </w:pPr>
            <w:r>
              <w:rPr>
                <w:rFonts w:ascii="宋体" w:hAnsi="宋体" w:eastAsia="宋体" w:cs="宋体"/>
                <w:b/>
                <w:bCs/>
                <w:spacing w:val="-7"/>
                <w:sz w:val="21"/>
                <w:szCs w:val="21"/>
              </w:rPr>
              <w:t>山椒鸟科</w:t>
            </w:r>
          </w:p>
        </w:tc>
        <w:tc>
          <w:tcPr>
            <w:tcW w:w="1693" w:type="dxa"/>
            <w:vAlign w:val="top"/>
          </w:tcPr>
          <w:p w14:paraId="0C1AAE7B">
            <w:pPr>
              <w:pStyle w:val="6"/>
              <w:spacing w:before="228" w:line="186" w:lineRule="auto"/>
              <w:ind w:left="129"/>
            </w:pPr>
            <w:r>
              <w:rPr>
                <w:b/>
                <w:bCs/>
                <w:spacing w:val="-1"/>
              </w:rPr>
              <w:t>Campephagidae</w:t>
            </w:r>
          </w:p>
        </w:tc>
        <w:tc>
          <w:tcPr>
            <w:tcW w:w="845" w:type="dxa"/>
            <w:tcBorders>
              <w:right w:val="single" w:color="000000" w:sz="12" w:space="0"/>
            </w:tcBorders>
            <w:vAlign w:val="top"/>
          </w:tcPr>
          <w:p w14:paraId="32F59799">
            <w:pPr>
              <w:rPr>
                <w:rFonts w:ascii="Arial"/>
                <w:sz w:val="21"/>
              </w:rPr>
            </w:pPr>
          </w:p>
        </w:tc>
      </w:tr>
      <w:tr w14:paraId="5D764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B3FD05D">
            <w:pPr>
              <w:spacing w:before="126" w:line="205" w:lineRule="auto"/>
              <w:ind w:left="308"/>
              <w:rPr>
                <w:rFonts w:ascii="宋体" w:hAnsi="宋体" w:eastAsia="宋体" w:cs="宋体"/>
                <w:sz w:val="21"/>
                <w:szCs w:val="21"/>
              </w:rPr>
            </w:pPr>
            <w:r>
              <w:rPr>
                <w:rFonts w:ascii="宋体" w:hAnsi="宋体" w:eastAsia="宋体" w:cs="宋体"/>
                <w:spacing w:val="-3"/>
                <w:sz w:val="21"/>
                <w:szCs w:val="21"/>
              </w:rPr>
              <w:t>50</w:t>
            </w:r>
          </w:p>
        </w:tc>
        <w:tc>
          <w:tcPr>
            <w:tcW w:w="1270" w:type="dxa"/>
            <w:vAlign w:val="top"/>
          </w:tcPr>
          <w:p w14:paraId="0B2ED3D2">
            <w:pPr>
              <w:spacing w:before="92" w:line="220" w:lineRule="auto"/>
              <w:ind w:left="315"/>
              <w:rPr>
                <w:rFonts w:ascii="宋体" w:hAnsi="宋体" w:eastAsia="宋体" w:cs="宋体"/>
                <w:sz w:val="21"/>
                <w:szCs w:val="21"/>
              </w:rPr>
            </w:pPr>
            <w:r>
              <w:rPr>
                <w:rFonts w:ascii="宋体" w:hAnsi="宋体" w:eastAsia="宋体" w:cs="宋体"/>
                <w:spacing w:val="-3"/>
                <w:sz w:val="21"/>
                <w:szCs w:val="21"/>
              </w:rPr>
              <w:t>大鹃鵙</w:t>
            </w:r>
          </w:p>
        </w:tc>
        <w:tc>
          <w:tcPr>
            <w:tcW w:w="1554" w:type="dxa"/>
            <w:vAlign w:val="top"/>
          </w:tcPr>
          <w:p w14:paraId="3B01F1EA">
            <w:pPr>
              <w:pStyle w:val="6"/>
              <w:spacing w:before="126" w:line="232" w:lineRule="auto"/>
              <w:ind w:left="107"/>
            </w:pPr>
            <w:r>
              <w:rPr>
                <w:i/>
                <w:iCs/>
                <w:spacing w:val="-2"/>
              </w:rPr>
              <w:t>Coracina macei</w:t>
            </w:r>
          </w:p>
        </w:tc>
        <w:tc>
          <w:tcPr>
            <w:tcW w:w="989" w:type="dxa"/>
            <w:vAlign w:val="top"/>
          </w:tcPr>
          <w:p w14:paraId="384F5C61">
            <w:pPr>
              <w:rPr>
                <w:rFonts w:ascii="Arial"/>
                <w:sz w:val="21"/>
              </w:rPr>
            </w:pPr>
          </w:p>
        </w:tc>
        <w:tc>
          <w:tcPr>
            <w:tcW w:w="1272" w:type="dxa"/>
            <w:vAlign w:val="top"/>
          </w:tcPr>
          <w:p w14:paraId="68E444A7">
            <w:pPr>
              <w:rPr>
                <w:rFonts w:ascii="Arial"/>
                <w:sz w:val="21"/>
              </w:rPr>
            </w:pPr>
          </w:p>
        </w:tc>
        <w:tc>
          <w:tcPr>
            <w:tcW w:w="1693" w:type="dxa"/>
            <w:vAlign w:val="top"/>
          </w:tcPr>
          <w:p w14:paraId="6AA7D478">
            <w:pPr>
              <w:rPr>
                <w:rFonts w:ascii="Arial"/>
                <w:sz w:val="21"/>
              </w:rPr>
            </w:pPr>
          </w:p>
        </w:tc>
        <w:tc>
          <w:tcPr>
            <w:tcW w:w="845" w:type="dxa"/>
            <w:tcBorders>
              <w:right w:val="single" w:color="000000" w:sz="12" w:space="0"/>
            </w:tcBorders>
            <w:vAlign w:val="top"/>
          </w:tcPr>
          <w:p w14:paraId="628F3569">
            <w:pPr>
              <w:rPr>
                <w:rFonts w:ascii="Arial"/>
                <w:sz w:val="21"/>
              </w:rPr>
            </w:pPr>
          </w:p>
        </w:tc>
      </w:tr>
      <w:tr w14:paraId="0CF23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51C62E1">
            <w:pPr>
              <w:spacing w:before="225" w:line="223" w:lineRule="auto"/>
              <w:ind w:left="308"/>
              <w:rPr>
                <w:rFonts w:ascii="宋体" w:hAnsi="宋体" w:eastAsia="宋体" w:cs="宋体"/>
                <w:sz w:val="21"/>
                <w:szCs w:val="21"/>
              </w:rPr>
            </w:pPr>
            <w:r>
              <w:rPr>
                <w:rFonts w:ascii="宋体" w:hAnsi="宋体" w:eastAsia="宋体" w:cs="宋体"/>
                <w:spacing w:val="-3"/>
                <w:sz w:val="21"/>
                <w:szCs w:val="21"/>
              </w:rPr>
              <w:t>51</w:t>
            </w:r>
          </w:p>
        </w:tc>
        <w:tc>
          <w:tcPr>
            <w:tcW w:w="1270" w:type="dxa"/>
            <w:vAlign w:val="top"/>
          </w:tcPr>
          <w:p w14:paraId="197129B6">
            <w:pPr>
              <w:spacing w:before="191" w:line="220" w:lineRule="auto"/>
              <w:ind w:left="216"/>
              <w:rPr>
                <w:rFonts w:ascii="宋体" w:hAnsi="宋体" w:eastAsia="宋体" w:cs="宋体"/>
                <w:sz w:val="21"/>
                <w:szCs w:val="21"/>
              </w:rPr>
            </w:pPr>
            <w:r>
              <w:rPr>
                <w:rFonts w:ascii="宋体" w:hAnsi="宋体" w:eastAsia="宋体" w:cs="宋体"/>
                <w:spacing w:val="-4"/>
                <w:sz w:val="21"/>
                <w:szCs w:val="21"/>
              </w:rPr>
              <w:t>暗灰鹃鵙</w:t>
            </w:r>
          </w:p>
        </w:tc>
        <w:tc>
          <w:tcPr>
            <w:tcW w:w="1554" w:type="dxa"/>
            <w:vAlign w:val="top"/>
          </w:tcPr>
          <w:p w14:paraId="79BA40EE">
            <w:pPr>
              <w:pStyle w:val="6"/>
              <w:spacing w:before="105" w:line="190" w:lineRule="auto"/>
              <w:ind w:left="467"/>
            </w:pPr>
            <w:r>
              <w:rPr>
                <w:i/>
                <w:iCs/>
                <w:spacing w:val="1"/>
              </w:rPr>
              <w:t>Lalage</w:t>
            </w:r>
          </w:p>
          <w:p w14:paraId="272E92DC">
            <w:pPr>
              <w:pStyle w:val="6"/>
              <w:spacing w:before="50" w:line="208" w:lineRule="auto"/>
              <w:ind w:left="233"/>
            </w:pPr>
            <w:r>
              <w:rPr>
                <w:i/>
                <w:iCs/>
                <w:spacing w:val="-1"/>
              </w:rPr>
              <w:t>melaschistos</w:t>
            </w:r>
          </w:p>
        </w:tc>
        <w:tc>
          <w:tcPr>
            <w:tcW w:w="989" w:type="dxa"/>
            <w:vAlign w:val="top"/>
          </w:tcPr>
          <w:p w14:paraId="39D687C3">
            <w:pPr>
              <w:rPr>
                <w:rFonts w:ascii="Arial"/>
                <w:sz w:val="21"/>
              </w:rPr>
            </w:pPr>
          </w:p>
        </w:tc>
        <w:tc>
          <w:tcPr>
            <w:tcW w:w="1272" w:type="dxa"/>
            <w:vAlign w:val="top"/>
          </w:tcPr>
          <w:p w14:paraId="4674773F">
            <w:pPr>
              <w:rPr>
                <w:rFonts w:ascii="Arial"/>
                <w:sz w:val="21"/>
              </w:rPr>
            </w:pPr>
          </w:p>
        </w:tc>
        <w:tc>
          <w:tcPr>
            <w:tcW w:w="1693" w:type="dxa"/>
            <w:vAlign w:val="top"/>
          </w:tcPr>
          <w:p w14:paraId="2B854151">
            <w:pPr>
              <w:rPr>
                <w:rFonts w:ascii="Arial"/>
                <w:sz w:val="21"/>
              </w:rPr>
            </w:pPr>
          </w:p>
        </w:tc>
        <w:tc>
          <w:tcPr>
            <w:tcW w:w="845" w:type="dxa"/>
            <w:tcBorders>
              <w:right w:val="single" w:color="000000" w:sz="12" w:space="0"/>
            </w:tcBorders>
            <w:vAlign w:val="top"/>
          </w:tcPr>
          <w:p w14:paraId="4EE69FC4">
            <w:pPr>
              <w:rPr>
                <w:rFonts w:ascii="Arial"/>
                <w:sz w:val="21"/>
              </w:rPr>
            </w:pPr>
          </w:p>
        </w:tc>
      </w:tr>
      <w:tr w14:paraId="7938C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9678BC0">
            <w:pPr>
              <w:spacing w:before="227" w:line="223" w:lineRule="auto"/>
              <w:ind w:left="308"/>
              <w:rPr>
                <w:rFonts w:ascii="宋体" w:hAnsi="宋体" w:eastAsia="宋体" w:cs="宋体"/>
                <w:sz w:val="21"/>
                <w:szCs w:val="21"/>
              </w:rPr>
            </w:pPr>
            <w:r>
              <w:rPr>
                <w:rFonts w:ascii="宋体" w:hAnsi="宋体" w:eastAsia="宋体" w:cs="宋体"/>
                <w:spacing w:val="-3"/>
                <w:sz w:val="21"/>
                <w:szCs w:val="21"/>
              </w:rPr>
              <w:t>52</w:t>
            </w:r>
          </w:p>
        </w:tc>
        <w:tc>
          <w:tcPr>
            <w:tcW w:w="1270" w:type="dxa"/>
            <w:vAlign w:val="top"/>
          </w:tcPr>
          <w:p w14:paraId="01E00D01">
            <w:pPr>
              <w:spacing w:before="194" w:line="220" w:lineRule="auto"/>
              <w:ind w:left="103"/>
              <w:rPr>
                <w:rFonts w:ascii="宋体" w:hAnsi="宋体" w:eastAsia="宋体" w:cs="宋体"/>
                <w:sz w:val="21"/>
                <w:szCs w:val="21"/>
              </w:rPr>
            </w:pPr>
            <w:r>
              <w:rPr>
                <w:rFonts w:ascii="宋体" w:hAnsi="宋体" w:eastAsia="宋体" w:cs="宋体"/>
                <w:spacing w:val="-2"/>
                <w:sz w:val="21"/>
                <w:szCs w:val="21"/>
              </w:rPr>
              <w:t>长尾山椒鸟</w:t>
            </w:r>
          </w:p>
        </w:tc>
        <w:tc>
          <w:tcPr>
            <w:tcW w:w="1554" w:type="dxa"/>
            <w:vAlign w:val="top"/>
          </w:tcPr>
          <w:p w14:paraId="50558B14">
            <w:pPr>
              <w:pStyle w:val="6"/>
              <w:spacing w:before="113" w:line="183" w:lineRule="auto"/>
              <w:ind w:left="219"/>
            </w:pPr>
            <w:r>
              <w:rPr>
                <w:i/>
                <w:iCs/>
              </w:rPr>
              <w:t>Pericrocotus</w:t>
            </w:r>
          </w:p>
          <w:p w14:paraId="5CCF81F8">
            <w:pPr>
              <w:pStyle w:val="6"/>
              <w:spacing w:before="51" w:line="190" w:lineRule="auto"/>
              <w:ind w:left="364"/>
            </w:pPr>
            <w:r>
              <w:rPr>
                <w:i/>
                <w:iCs/>
                <w:spacing w:val="-1"/>
              </w:rPr>
              <w:t>ethologus</w:t>
            </w:r>
          </w:p>
        </w:tc>
        <w:tc>
          <w:tcPr>
            <w:tcW w:w="989" w:type="dxa"/>
            <w:vAlign w:val="top"/>
          </w:tcPr>
          <w:p w14:paraId="3299CBDA">
            <w:pPr>
              <w:spacing w:before="227" w:line="223" w:lineRule="auto"/>
              <w:ind w:left="391"/>
              <w:rPr>
                <w:rFonts w:ascii="宋体" w:hAnsi="宋体" w:eastAsia="宋体" w:cs="宋体"/>
                <w:sz w:val="21"/>
                <w:szCs w:val="21"/>
              </w:rPr>
            </w:pPr>
            <w:r>
              <w:rPr>
                <w:rFonts w:ascii="宋体" w:hAnsi="宋体" w:eastAsia="宋体" w:cs="宋体"/>
                <w:spacing w:val="-3"/>
                <w:sz w:val="21"/>
                <w:szCs w:val="21"/>
              </w:rPr>
              <w:t>37</w:t>
            </w:r>
          </w:p>
        </w:tc>
        <w:tc>
          <w:tcPr>
            <w:tcW w:w="1272" w:type="dxa"/>
            <w:vAlign w:val="top"/>
          </w:tcPr>
          <w:p w14:paraId="20E69052">
            <w:pPr>
              <w:spacing w:before="194" w:line="220" w:lineRule="auto"/>
              <w:ind w:left="116"/>
              <w:rPr>
                <w:rFonts w:ascii="宋体" w:hAnsi="宋体" w:eastAsia="宋体" w:cs="宋体"/>
                <w:sz w:val="21"/>
                <w:szCs w:val="21"/>
              </w:rPr>
            </w:pPr>
            <w:r>
              <w:rPr>
                <w:rFonts w:ascii="宋体" w:hAnsi="宋体" w:eastAsia="宋体" w:cs="宋体"/>
                <w:spacing w:val="-2"/>
                <w:sz w:val="21"/>
                <w:szCs w:val="21"/>
              </w:rPr>
              <w:t>长尾山椒鸟</w:t>
            </w:r>
          </w:p>
        </w:tc>
        <w:tc>
          <w:tcPr>
            <w:tcW w:w="1693" w:type="dxa"/>
            <w:vAlign w:val="top"/>
          </w:tcPr>
          <w:p w14:paraId="2F346A20">
            <w:pPr>
              <w:pStyle w:val="6"/>
              <w:spacing w:before="113" w:line="183" w:lineRule="auto"/>
              <w:ind w:left="303"/>
            </w:pPr>
            <w:r>
              <w:rPr>
                <w:i/>
                <w:iCs/>
              </w:rPr>
              <w:t>Pericrocotus</w:t>
            </w:r>
          </w:p>
          <w:p w14:paraId="5C7C8465">
            <w:pPr>
              <w:pStyle w:val="6"/>
              <w:spacing w:before="51" w:line="190" w:lineRule="auto"/>
              <w:ind w:left="449"/>
            </w:pPr>
            <w:r>
              <w:rPr>
                <w:i/>
                <w:iCs/>
                <w:spacing w:val="-1"/>
              </w:rPr>
              <w:t>ethologus</w:t>
            </w:r>
          </w:p>
        </w:tc>
        <w:tc>
          <w:tcPr>
            <w:tcW w:w="845" w:type="dxa"/>
            <w:tcBorders>
              <w:right w:val="single" w:color="000000" w:sz="12" w:space="0"/>
            </w:tcBorders>
            <w:vAlign w:val="top"/>
          </w:tcPr>
          <w:p w14:paraId="0BD432C3">
            <w:pPr>
              <w:rPr>
                <w:rFonts w:ascii="Arial"/>
                <w:sz w:val="21"/>
              </w:rPr>
            </w:pPr>
          </w:p>
        </w:tc>
      </w:tr>
      <w:tr w14:paraId="01788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516DE48">
            <w:pPr>
              <w:rPr>
                <w:rFonts w:ascii="Arial"/>
                <w:sz w:val="21"/>
              </w:rPr>
            </w:pPr>
          </w:p>
        </w:tc>
        <w:tc>
          <w:tcPr>
            <w:tcW w:w="1270" w:type="dxa"/>
            <w:vAlign w:val="top"/>
          </w:tcPr>
          <w:p w14:paraId="246DFF09">
            <w:pPr>
              <w:rPr>
                <w:rFonts w:ascii="Arial"/>
                <w:sz w:val="21"/>
              </w:rPr>
            </w:pPr>
          </w:p>
        </w:tc>
        <w:tc>
          <w:tcPr>
            <w:tcW w:w="1554" w:type="dxa"/>
            <w:vAlign w:val="top"/>
          </w:tcPr>
          <w:p w14:paraId="6A2C2B28">
            <w:pPr>
              <w:rPr>
                <w:rFonts w:ascii="Arial"/>
                <w:sz w:val="21"/>
              </w:rPr>
            </w:pPr>
          </w:p>
        </w:tc>
        <w:tc>
          <w:tcPr>
            <w:tcW w:w="989" w:type="dxa"/>
            <w:vAlign w:val="top"/>
          </w:tcPr>
          <w:p w14:paraId="0DAFA44D">
            <w:pPr>
              <w:spacing w:before="229" w:line="223" w:lineRule="auto"/>
              <w:ind w:left="391"/>
              <w:rPr>
                <w:rFonts w:ascii="宋体" w:hAnsi="宋体" w:eastAsia="宋体" w:cs="宋体"/>
                <w:sz w:val="21"/>
                <w:szCs w:val="21"/>
              </w:rPr>
            </w:pPr>
            <w:r>
              <w:rPr>
                <w:rFonts w:ascii="宋体" w:hAnsi="宋体" w:eastAsia="宋体" w:cs="宋体"/>
                <w:spacing w:val="-3"/>
                <w:sz w:val="21"/>
                <w:szCs w:val="21"/>
              </w:rPr>
              <w:t>38</w:t>
            </w:r>
          </w:p>
        </w:tc>
        <w:tc>
          <w:tcPr>
            <w:tcW w:w="1272" w:type="dxa"/>
            <w:vAlign w:val="top"/>
          </w:tcPr>
          <w:p w14:paraId="0EA4A339">
            <w:pPr>
              <w:spacing w:before="195" w:line="220" w:lineRule="auto"/>
              <w:ind w:left="118"/>
              <w:rPr>
                <w:rFonts w:ascii="宋体" w:hAnsi="宋体" w:eastAsia="宋体" w:cs="宋体"/>
                <w:sz w:val="21"/>
                <w:szCs w:val="21"/>
              </w:rPr>
            </w:pPr>
            <w:r>
              <w:rPr>
                <w:rFonts w:ascii="宋体" w:hAnsi="宋体" w:eastAsia="宋体" w:cs="宋体"/>
                <w:spacing w:val="-2"/>
                <w:sz w:val="21"/>
                <w:szCs w:val="21"/>
              </w:rPr>
              <w:t>短嘴山椒鸟</w:t>
            </w:r>
          </w:p>
        </w:tc>
        <w:tc>
          <w:tcPr>
            <w:tcW w:w="1693" w:type="dxa"/>
            <w:vAlign w:val="top"/>
          </w:tcPr>
          <w:p w14:paraId="14370FAF">
            <w:pPr>
              <w:pStyle w:val="6"/>
              <w:spacing w:before="114" w:line="183" w:lineRule="auto"/>
              <w:ind w:left="303"/>
            </w:pPr>
            <w:r>
              <w:rPr>
                <w:i/>
                <w:iCs/>
              </w:rPr>
              <w:t>Pericrocotus</w:t>
            </w:r>
          </w:p>
          <w:p w14:paraId="4BB8BBEA">
            <w:pPr>
              <w:pStyle w:val="6"/>
              <w:spacing w:before="49" w:line="207" w:lineRule="auto"/>
              <w:ind w:left="365"/>
            </w:pPr>
            <w:r>
              <w:rPr>
                <w:i/>
                <w:iCs/>
                <w:spacing w:val="-1"/>
              </w:rPr>
              <w:t>brevirostris</w:t>
            </w:r>
          </w:p>
        </w:tc>
        <w:tc>
          <w:tcPr>
            <w:tcW w:w="845" w:type="dxa"/>
            <w:tcBorders>
              <w:right w:val="single" w:color="000000" w:sz="12" w:space="0"/>
            </w:tcBorders>
            <w:vAlign w:val="top"/>
          </w:tcPr>
          <w:p w14:paraId="14B83238">
            <w:pPr>
              <w:rPr>
                <w:rFonts w:ascii="Arial"/>
                <w:sz w:val="21"/>
              </w:rPr>
            </w:pPr>
          </w:p>
        </w:tc>
      </w:tr>
      <w:tr w14:paraId="44936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21CF301E">
            <w:pPr>
              <w:pStyle w:val="6"/>
              <w:spacing w:before="128" w:line="186" w:lineRule="auto"/>
              <w:ind w:left="238"/>
            </w:pPr>
            <w:r>
              <w:rPr>
                <w:b/>
                <w:bCs/>
                <w:spacing w:val="-2"/>
              </w:rPr>
              <w:t>F19</w:t>
            </w:r>
          </w:p>
        </w:tc>
        <w:tc>
          <w:tcPr>
            <w:tcW w:w="1270" w:type="dxa"/>
            <w:vAlign w:val="top"/>
          </w:tcPr>
          <w:p w14:paraId="203932E9">
            <w:pPr>
              <w:spacing w:before="89" w:line="219" w:lineRule="auto"/>
              <w:ind w:left="206"/>
              <w:rPr>
                <w:rFonts w:ascii="宋体" w:hAnsi="宋体" w:eastAsia="宋体" w:cs="宋体"/>
                <w:sz w:val="21"/>
                <w:szCs w:val="21"/>
              </w:rPr>
            </w:pPr>
            <w:r>
              <w:rPr>
                <w:rFonts w:ascii="宋体" w:hAnsi="宋体" w:eastAsia="宋体" w:cs="宋体"/>
                <w:b/>
                <w:bCs/>
                <w:spacing w:val="-4"/>
                <w:sz w:val="21"/>
                <w:szCs w:val="21"/>
              </w:rPr>
              <w:t>扇尾鹟科</w:t>
            </w:r>
          </w:p>
        </w:tc>
        <w:tc>
          <w:tcPr>
            <w:tcW w:w="1554" w:type="dxa"/>
            <w:vAlign w:val="top"/>
          </w:tcPr>
          <w:p w14:paraId="1CD772BF">
            <w:pPr>
              <w:pStyle w:val="6"/>
              <w:spacing w:before="128" w:line="187" w:lineRule="auto"/>
              <w:ind w:left="169"/>
            </w:pPr>
            <w:r>
              <w:rPr>
                <w:b/>
                <w:bCs/>
                <w:spacing w:val="-1"/>
              </w:rPr>
              <w:t>Rhipiduridae</w:t>
            </w:r>
          </w:p>
        </w:tc>
        <w:tc>
          <w:tcPr>
            <w:tcW w:w="989" w:type="dxa"/>
            <w:vAlign w:val="top"/>
          </w:tcPr>
          <w:p w14:paraId="64E1BE2A">
            <w:pPr>
              <w:pStyle w:val="6"/>
              <w:spacing w:before="128" w:line="186" w:lineRule="auto"/>
              <w:ind w:left="323"/>
            </w:pPr>
            <w:r>
              <w:rPr>
                <w:b/>
                <w:bCs/>
                <w:spacing w:val="-2"/>
              </w:rPr>
              <w:t>F18</w:t>
            </w:r>
          </w:p>
        </w:tc>
        <w:tc>
          <w:tcPr>
            <w:tcW w:w="1272" w:type="dxa"/>
            <w:vAlign w:val="top"/>
          </w:tcPr>
          <w:p w14:paraId="00BE70F5">
            <w:pPr>
              <w:spacing w:before="89" w:line="219" w:lineRule="auto"/>
              <w:ind w:left="219"/>
              <w:rPr>
                <w:rFonts w:ascii="宋体" w:hAnsi="宋体" w:eastAsia="宋体" w:cs="宋体"/>
                <w:sz w:val="21"/>
                <w:szCs w:val="21"/>
              </w:rPr>
            </w:pPr>
            <w:r>
              <w:rPr>
                <w:rFonts w:ascii="宋体" w:hAnsi="宋体" w:eastAsia="宋体" w:cs="宋体"/>
                <w:b/>
                <w:bCs/>
                <w:spacing w:val="-4"/>
                <w:sz w:val="21"/>
                <w:szCs w:val="21"/>
              </w:rPr>
              <w:t>扇尾鹟科</w:t>
            </w:r>
          </w:p>
        </w:tc>
        <w:tc>
          <w:tcPr>
            <w:tcW w:w="1693" w:type="dxa"/>
            <w:vAlign w:val="top"/>
          </w:tcPr>
          <w:p w14:paraId="388A68F7">
            <w:pPr>
              <w:pStyle w:val="6"/>
              <w:spacing w:before="128" w:line="187" w:lineRule="auto"/>
              <w:ind w:left="253"/>
            </w:pPr>
            <w:r>
              <w:rPr>
                <w:b/>
                <w:bCs/>
                <w:spacing w:val="-1"/>
              </w:rPr>
              <w:t>Rhipiduridae</w:t>
            </w:r>
          </w:p>
        </w:tc>
        <w:tc>
          <w:tcPr>
            <w:tcW w:w="845" w:type="dxa"/>
            <w:tcBorders>
              <w:right w:val="single" w:color="000000" w:sz="12" w:space="0"/>
            </w:tcBorders>
            <w:vAlign w:val="top"/>
          </w:tcPr>
          <w:p w14:paraId="39F2A4CA">
            <w:pPr>
              <w:rPr>
                <w:rFonts w:ascii="Arial"/>
                <w:sz w:val="21"/>
              </w:rPr>
            </w:pPr>
          </w:p>
        </w:tc>
      </w:tr>
      <w:tr w14:paraId="5127D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93C6CEA">
            <w:pPr>
              <w:spacing w:before="230" w:line="223" w:lineRule="auto"/>
              <w:ind w:left="308"/>
              <w:rPr>
                <w:rFonts w:ascii="宋体" w:hAnsi="宋体" w:eastAsia="宋体" w:cs="宋体"/>
                <w:sz w:val="21"/>
                <w:szCs w:val="21"/>
              </w:rPr>
            </w:pPr>
            <w:r>
              <w:rPr>
                <w:rFonts w:ascii="宋体" w:hAnsi="宋体" w:eastAsia="宋体" w:cs="宋体"/>
                <w:spacing w:val="-3"/>
                <w:sz w:val="21"/>
                <w:szCs w:val="21"/>
              </w:rPr>
              <w:t>53</w:t>
            </w:r>
          </w:p>
        </w:tc>
        <w:tc>
          <w:tcPr>
            <w:tcW w:w="1270" w:type="dxa"/>
            <w:vAlign w:val="top"/>
          </w:tcPr>
          <w:p w14:paraId="6A7299D0">
            <w:pPr>
              <w:spacing w:before="196" w:line="221" w:lineRule="auto"/>
              <w:ind w:left="133"/>
              <w:rPr>
                <w:rFonts w:ascii="宋体" w:hAnsi="宋体" w:eastAsia="宋体" w:cs="宋体"/>
                <w:sz w:val="21"/>
                <w:szCs w:val="21"/>
              </w:rPr>
            </w:pPr>
            <w:r>
              <w:rPr>
                <w:rFonts w:ascii="宋体" w:hAnsi="宋体" w:eastAsia="宋体" w:cs="宋体"/>
                <w:spacing w:val="-7"/>
                <w:sz w:val="21"/>
                <w:szCs w:val="21"/>
              </w:rPr>
              <w:t>白喉扇尾鹟</w:t>
            </w:r>
          </w:p>
        </w:tc>
        <w:tc>
          <w:tcPr>
            <w:tcW w:w="1554" w:type="dxa"/>
            <w:vAlign w:val="top"/>
          </w:tcPr>
          <w:p w14:paraId="2809E22A">
            <w:pPr>
              <w:pStyle w:val="6"/>
              <w:spacing w:before="110" w:line="190" w:lineRule="auto"/>
              <w:ind w:left="335"/>
            </w:pPr>
            <w:r>
              <w:rPr>
                <w:i/>
                <w:iCs/>
              </w:rPr>
              <w:t>Rhipidura</w:t>
            </w:r>
          </w:p>
          <w:p w14:paraId="29FE9A64">
            <w:pPr>
              <w:pStyle w:val="6"/>
              <w:spacing w:before="49" w:line="203" w:lineRule="auto"/>
              <w:ind w:left="380"/>
            </w:pPr>
            <w:r>
              <w:rPr>
                <w:i/>
                <w:iCs/>
                <w:spacing w:val="-1"/>
              </w:rPr>
              <w:t>albicollis</w:t>
            </w:r>
          </w:p>
        </w:tc>
        <w:tc>
          <w:tcPr>
            <w:tcW w:w="989" w:type="dxa"/>
            <w:vAlign w:val="top"/>
          </w:tcPr>
          <w:p w14:paraId="482A50F4">
            <w:pPr>
              <w:spacing w:before="230" w:line="223" w:lineRule="auto"/>
              <w:ind w:left="391"/>
              <w:rPr>
                <w:rFonts w:ascii="宋体" w:hAnsi="宋体" w:eastAsia="宋体" w:cs="宋体"/>
                <w:sz w:val="21"/>
                <w:szCs w:val="21"/>
              </w:rPr>
            </w:pPr>
            <w:r>
              <w:rPr>
                <w:rFonts w:ascii="宋体" w:hAnsi="宋体" w:eastAsia="宋体" w:cs="宋体"/>
                <w:spacing w:val="-3"/>
                <w:sz w:val="21"/>
                <w:szCs w:val="21"/>
              </w:rPr>
              <w:t>39</w:t>
            </w:r>
          </w:p>
        </w:tc>
        <w:tc>
          <w:tcPr>
            <w:tcW w:w="1272" w:type="dxa"/>
            <w:vAlign w:val="top"/>
          </w:tcPr>
          <w:p w14:paraId="4986A13D">
            <w:pPr>
              <w:spacing w:before="196" w:line="221" w:lineRule="auto"/>
              <w:ind w:left="146"/>
              <w:rPr>
                <w:rFonts w:ascii="宋体" w:hAnsi="宋体" w:eastAsia="宋体" w:cs="宋体"/>
                <w:sz w:val="21"/>
                <w:szCs w:val="21"/>
              </w:rPr>
            </w:pPr>
            <w:r>
              <w:rPr>
                <w:rFonts w:ascii="宋体" w:hAnsi="宋体" w:eastAsia="宋体" w:cs="宋体"/>
                <w:spacing w:val="-7"/>
                <w:sz w:val="21"/>
                <w:szCs w:val="21"/>
              </w:rPr>
              <w:t>白喉扇尾鹟</w:t>
            </w:r>
          </w:p>
        </w:tc>
        <w:tc>
          <w:tcPr>
            <w:tcW w:w="1693" w:type="dxa"/>
            <w:vAlign w:val="top"/>
          </w:tcPr>
          <w:p w14:paraId="38692C2B">
            <w:pPr>
              <w:pStyle w:val="6"/>
              <w:spacing w:before="110" w:line="190" w:lineRule="auto"/>
              <w:ind w:left="420"/>
            </w:pPr>
            <w:r>
              <w:rPr>
                <w:i/>
                <w:iCs/>
              </w:rPr>
              <w:t>Rhipidura</w:t>
            </w:r>
          </w:p>
          <w:p w14:paraId="3DDFC40C">
            <w:pPr>
              <w:pStyle w:val="6"/>
              <w:spacing w:before="49" w:line="203" w:lineRule="auto"/>
              <w:ind w:left="464"/>
            </w:pPr>
            <w:r>
              <w:rPr>
                <w:i/>
                <w:iCs/>
                <w:spacing w:val="-1"/>
              </w:rPr>
              <w:t>albicollis</w:t>
            </w:r>
          </w:p>
        </w:tc>
        <w:tc>
          <w:tcPr>
            <w:tcW w:w="845" w:type="dxa"/>
            <w:tcBorders>
              <w:right w:val="single" w:color="000000" w:sz="12" w:space="0"/>
            </w:tcBorders>
            <w:vAlign w:val="top"/>
          </w:tcPr>
          <w:p w14:paraId="0712D87D">
            <w:pPr>
              <w:rPr>
                <w:rFonts w:ascii="Arial"/>
                <w:sz w:val="21"/>
              </w:rPr>
            </w:pPr>
          </w:p>
        </w:tc>
      </w:tr>
      <w:tr w14:paraId="35410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AE4F982">
            <w:pPr>
              <w:pStyle w:val="6"/>
              <w:spacing w:before="138" w:line="186" w:lineRule="auto"/>
              <w:ind w:left="238"/>
            </w:pPr>
            <w:r>
              <w:rPr>
                <w:b/>
                <w:bCs/>
                <w:spacing w:val="-2"/>
              </w:rPr>
              <w:t>F20</w:t>
            </w:r>
          </w:p>
        </w:tc>
        <w:tc>
          <w:tcPr>
            <w:tcW w:w="1270" w:type="dxa"/>
            <w:vAlign w:val="top"/>
          </w:tcPr>
          <w:p w14:paraId="6390AB56">
            <w:pPr>
              <w:spacing w:before="100" w:line="219" w:lineRule="auto"/>
              <w:ind w:left="313"/>
              <w:rPr>
                <w:rFonts w:ascii="宋体" w:hAnsi="宋体" w:eastAsia="宋体" w:cs="宋体"/>
                <w:sz w:val="21"/>
                <w:szCs w:val="21"/>
              </w:rPr>
            </w:pPr>
            <w:r>
              <w:rPr>
                <w:rFonts w:ascii="宋体" w:hAnsi="宋体" w:eastAsia="宋体" w:cs="宋体"/>
                <w:b/>
                <w:bCs/>
                <w:spacing w:val="-4"/>
                <w:sz w:val="21"/>
                <w:szCs w:val="21"/>
              </w:rPr>
              <w:t>卷尾科</w:t>
            </w:r>
          </w:p>
        </w:tc>
        <w:tc>
          <w:tcPr>
            <w:tcW w:w="1554" w:type="dxa"/>
            <w:vAlign w:val="top"/>
          </w:tcPr>
          <w:p w14:paraId="098C52CB">
            <w:pPr>
              <w:pStyle w:val="6"/>
              <w:spacing w:before="137" w:line="187" w:lineRule="auto"/>
              <w:ind w:left="279"/>
            </w:pPr>
            <w:r>
              <w:rPr>
                <w:b/>
                <w:bCs/>
                <w:spacing w:val="-1"/>
              </w:rPr>
              <w:t>Dicruridae</w:t>
            </w:r>
          </w:p>
        </w:tc>
        <w:tc>
          <w:tcPr>
            <w:tcW w:w="989" w:type="dxa"/>
            <w:vAlign w:val="top"/>
          </w:tcPr>
          <w:p w14:paraId="370674B3">
            <w:pPr>
              <w:pStyle w:val="6"/>
              <w:spacing w:before="138" w:line="186" w:lineRule="auto"/>
              <w:ind w:left="323"/>
            </w:pPr>
            <w:r>
              <w:rPr>
                <w:b/>
                <w:bCs/>
                <w:spacing w:val="-2"/>
              </w:rPr>
              <w:t>F19</w:t>
            </w:r>
          </w:p>
        </w:tc>
        <w:tc>
          <w:tcPr>
            <w:tcW w:w="1272" w:type="dxa"/>
            <w:vAlign w:val="top"/>
          </w:tcPr>
          <w:p w14:paraId="570FE94B">
            <w:pPr>
              <w:spacing w:before="100" w:line="219" w:lineRule="auto"/>
              <w:ind w:left="326"/>
              <w:rPr>
                <w:rFonts w:ascii="宋体" w:hAnsi="宋体" w:eastAsia="宋体" w:cs="宋体"/>
                <w:sz w:val="21"/>
                <w:szCs w:val="21"/>
              </w:rPr>
            </w:pPr>
            <w:r>
              <w:rPr>
                <w:rFonts w:ascii="宋体" w:hAnsi="宋体" w:eastAsia="宋体" w:cs="宋体"/>
                <w:b/>
                <w:bCs/>
                <w:spacing w:val="-4"/>
                <w:sz w:val="21"/>
                <w:szCs w:val="21"/>
              </w:rPr>
              <w:t>卷尾科</w:t>
            </w:r>
          </w:p>
        </w:tc>
        <w:tc>
          <w:tcPr>
            <w:tcW w:w="1693" w:type="dxa"/>
            <w:vAlign w:val="top"/>
          </w:tcPr>
          <w:p w14:paraId="3E073978">
            <w:pPr>
              <w:pStyle w:val="6"/>
              <w:spacing w:before="137" w:line="187" w:lineRule="auto"/>
              <w:ind w:left="364"/>
            </w:pPr>
            <w:r>
              <w:rPr>
                <w:b/>
                <w:bCs/>
                <w:spacing w:val="-1"/>
              </w:rPr>
              <w:t>Dicruridae</w:t>
            </w:r>
          </w:p>
        </w:tc>
        <w:tc>
          <w:tcPr>
            <w:tcW w:w="845" w:type="dxa"/>
            <w:tcBorders>
              <w:right w:val="single" w:color="000000" w:sz="12" w:space="0"/>
            </w:tcBorders>
            <w:vAlign w:val="top"/>
          </w:tcPr>
          <w:p w14:paraId="1114B2A6">
            <w:pPr>
              <w:rPr>
                <w:rFonts w:ascii="Arial"/>
                <w:sz w:val="21"/>
              </w:rPr>
            </w:pPr>
          </w:p>
        </w:tc>
      </w:tr>
      <w:tr w14:paraId="7C93F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FBFCFBF">
            <w:pPr>
              <w:spacing w:before="233" w:line="223" w:lineRule="auto"/>
              <w:ind w:left="308"/>
              <w:rPr>
                <w:rFonts w:ascii="宋体" w:hAnsi="宋体" w:eastAsia="宋体" w:cs="宋体"/>
                <w:sz w:val="21"/>
                <w:szCs w:val="21"/>
              </w:rPr>
            </w:pPr>
            <w:r>
              <w:rPr>
                <w:rFonts w:ascii="宋体" w:hAnsi="宋体" w:eastAsia="宋体" w:cs="宋体"/>
                <w:spacing w:val="-3"/>
                <w:sz w:val="21"/>
                <w:szCs w:val="21"/>
              </w:rPr>
              <w:t>54</w:t>
            </w:r>
          </w:p>
        </w:tc>
        <w:tc>
          <w:tcPr>
            <w:tcW w:w="1270" w:type="dxa"/>
            <w:vAlign w:val="top"/>
          </w:tcPr>
          <w:p w14:paraId="0297ADEE">
            <w:pPr>
              <w:spacing w:before="199" w:line="222" w:lineRule="auto"/>
              <w:ind w:left="318"/>
              <w:rPr>
                <w:rFonts w:ascii="宋体" w:hAnsi="宋体" w:eastAsia="宋体" w:cs="宋体"/>
                <w:sz w:val="21"/>
                <w:szCs w:val="21"/>
              </w:rPr>
            </w:pPr>
            <w:r>
              <w:rPr>
                <w:rFonts w:ascii="宋体" w:hAnsi="宋体" w:eastAsia="宋体" w:cs="宋体"/>
                <w:spacing w:val="-4"/>
                <w:sz w:val="21"/>
                <w:szCs w:val="21"/>
              </w:rPr>
              <w:t>黑卷尾</w:t>
            </w:r>
          </w:p>
        </w:tc>
        <w:tc>
          <w:tcPr>
            <w:tcW w:w="1554" w:type="dxa"/>
            <w:vAlign w:val="top"/>
          </w:tcPr>
          <w:p w14:paraId="6A15590F">
            <w:pPr>
              <w:pStyle w:val="6"/>
              <w:spacing w:before="118" w:line="183" w:lineRule="auto"/>
              <w:ind w:left="381"/>
            </w:pPr>
            <w:r>
              <w:rPr>
                <w:i/>
                <w:iCs/>
              </w:rPr>
              <w:t>Dicrurus</w:t>
            </w:r>
          </w:p>
          <w:p w14:paraId="20C2CF99">
            <w:pPr>
              <w:pStyle w:val="6"/>
              <w:spacing w:before="50" w:line="202" w:lineRule="auto"/>
              <w:ind w:left="227"/>
            </w:pPr>
            <w:r>
              <w:rPr>
                <w:i/>
                <w:iCs/>
                <w:spacing w:val="-1"/>
              </w:rPr>
              <w:t>macrocercus</w:t>
            </w:r>
          </w:p>
        </w:tc>
        <w:tc>
          <w:tcPr>
            <w:tcW w:w="989" w:type="dxa"/>
            <w:vAlign w:val="top"/>
          </w:tcPr>
          <w:p w14:paraId="2C9A98BA">
            <w:pPr>
              <w:spacing w:before="233" w:line="223" w:lineRule="auto"/>
              <w:ind w:left="386"/>
              <w:rPr>
                <w:rFonts w:ascii="宋体" w:hAnsi="宋体" w:eastAsia="宋体" w:cs="宋体"/>
                <w:sz w:val="21"/>
                <w:szCs w:val="21"/>
              </w:rPr>
            </w:pPr>
            <w:r>
              <w:rPr>
                <w:rFonts w:ascii="宋体" w:hAnsi="宋体" w:eastAsia="宋体" w:cs="宋体"/>
                <w:spacing w:val="-1"/>
                <w:sz w:val="21"/>
                <w:szCs w:val="21"/>
              </w:rPr>
              <w:t>40</w:t>
            </w:r>
          </w:p>
        </w:tc>
        <w:tc>
          <w:tcPr>
            <w:tcW w:w="1272" w:type="dxa"/>
            <w:vAlign w:val="top"/>
          </w:tcPr>
          <w:p w14:paraId="40CD55F5">
            <w:pPr>
              <w:spacing w:before="199" w:line="222" w:lineRule="auto"/>
              <w:ind w:left="331"/>
              <w:rPr>
                <w:rFonts w:ascii="宋体" w:hAnsi="宋体" w:eastAsia="宋体" w:cs="宋体"/>
                <w:sz w:val="21"/>
                <w:szCs w:val="21"/>
              </w:rPr>
            </w:pPr>
            <w:r>
              <w:rPr>
                <w:rFonts w:ascii="宋体" w:hAnsi="宋体" w:eastAsia="宋体" w:cs="宋体"/>
                <w:spacing w:val="-4"/>
                <w:sz w:val="21"/>
                <w:szCs w:val="21"/>
              </w:rPr>
              <w:t>黑卷尾</w:t>
            </w:r>
          </w:p>
        </w:tc>
        <w:tc>
          <w:tcPr>
            <w:tcW w:w="1693" w:type="dxa"/>
            <w:vAlign w:val="top"/>
          </w:tcPr>
          <w:p w14:paraId="214B123A">
            <w:pPr>
              <w:pStyle w:val="6"/>
              <w:spacing w:before="118" w:line="183" w:lineRule="auto"/>
              <w:ind w:left="465"/>
            </w:pPr>
            <w:r>
              <w:rPr>
                <w:i/>
                <w:iCs/>
              </w:rPr>
              <w:t>Dicrurus</w:t>
            </w:r>
          </w:p>
          <w:p w14:paraId="6A67F53A">
            <w:pPr>
              <w:pStyle w:val="6"/>
              <w:spacing w:before="50" w:line="202" w:lineRule="auto"/>
              <w:ind w:left="311"/>
            </w:pPr>
            <w:r>
              <w:rPr>
                <w:i/>
                <w:iCs/>
                <w:spacing w:val="-1"/>
              </w:rPr>
              <w:t>macrocercus</w:t>
            </w:r>
          </w:p>
        </w:tc>
        <w:tc>
          <w:tcPr>
            <w:tcW w:w="845" w:type="dxa"/>
            <w:tcBorders>
              <w:right w:val="single" w:color="000000" w:sz="12" w:space="0"/>
            </w:tcBorders>
            <w:vAlign w:val="top"/>
          </w:tcPr>
          <w:p w14:paraId="4EF0C36D">
            <w:pPr>
              <w:rPr>
                <w:rFonts w:ascii="Arial"/>
                <w:sz w:val="21"/>
              </w:rPr>
            </w:pPr>
          </w:p>
        </w:tc>
      </w:tr>
      <w:tr w14:paraId="1A3CE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53A899B">
            <w:pPr>
              <w:spacing w:before="233" w:line="223" w:lineRule="auto"/>
              <w:ind w:left="308"/>
              <w:rPr>
                <w:rFonts w:ascii="宋体" w:hAnsi="宋体" w:eastAsia="宋体" w:cs="宋体"/>
                <w:sz w:val="21"/>
                <w:szCs w:val="21"/>
              </w:rPr>
            </w:pPr>
            <w:r>
              <w:rPr>
                <w:rFonts w:ascii="宋体" w:hAnsi="宋体" w:eastAsia="宋体" w:cs="宋体"/>
                <w:spacing w:val="-3"/>
                <w:sz w:val="21"/>
                <w:szCs w:val="21"/>
              </w:rPr>
              <w:t>55</w:t>
            </w:r>
          </w:p>
        </w:tc>
        <w:tc>
          <w:tcPr>
            <w:tcW w:w="1270" w:type="dxa"/>
            <w:vAlign w:val="top"/>
          </w:tcPr>
          <w:p w14:paraId="7055584A">
            <w:pPr>
              <w:spacing w:before="199" w:line="220" w:lineRule="auto"/>
              <w:ind w:left="314"/>
              <w:rPr>
                <w:rFonts w:ascii="宋体" w:hAnsi="宋体" w:eastAsia="宋体" w:cs="宋体"/>
                <w:sz w:val="21"/>
                <w:szCs w:val="21"/>
              </w:rPr>
            </w:pPr>
            <w:r>
              <w:rPr>
                <w:rFonts w:ascii="宋体" w:hAnsi="宋体" w:eastAsia="宋体" w:cs="宋体"/>
                <w:spacing w:val="-3"/>
                <w:sz w:val="21"/>
                <w:szCs w:val="21"/>
              </w:rPr>
              <w:t>灰卷尾</w:t>
            </w:r>
          </w:p>
        </w:tc>
        <w:tc>
          <w:tcPr>
            <w:tcW w:w="1554" w:type="dxa"/>
            <w:vAlign w:val="top"/>
          </w:tcPr>
          <w:p w14:paraId="3F432D1F">
            <w:pPr>
              <w:pStyle w:val="6"/>
              <w:spacing w:before="120" w:line="183" w:lineRule="auto"/>
              <w:ind w:left="381"/>
            </w:pPr>
            <w:r>
              <w:rPr>
                <w:i/>
                <w:iCs/>
              </w:rPr>
              <w:t>Dicrurus</w:t>
            </w:r>
          </w:p>
          <w:p w14:paraId="20EAB8C4">
            <w:pPr>
              <w:pStyle w:val="6"/>
              <w:spacing w:before="50" w:line="190" w:lineRule="auto"/>
              <w:ind w:left="248"/>
            </w:pPr>
            <w:r>
              <w:rPr>
                <w:i/>
                <w:iCs/>
                <w:spacing w:val="-1"/>
              </w:rPr>
              <w:t>leucophaeus</w:t>
            </w:r>
          </w:p>
        </w:tc>
        <w:tc>
          <w:tcPr>
            <w:tcW w:w="989" w:type="dxa"/>
            <w:vAlign w:val="top"/>
          </w:tcPr>
          <w:p w14:paraId="117DF3B7">
            <w:pPr>
              <w:spacing w:before="234" w:line="224" w:lineRule="auto"/>
              <w:ind w:left="386"/>
              <w:rPr>
                <w:rFonts w:ascii="宋体" w:hAnsi="宋体" w:eastAsia="宋体" w:cs="宋体"/>
                <w:sz w:val="21"/>
                <w:szCs w:val="21"/>
              </w:rPr>
            </w:pPr>
            <w:r>
              <w:rPr>
                <w:rFonts w:ascii="宋体" w:hAnsi="宋体" w:eastAsia="宋体" w:cs="宋体"/>
                <w:spacing w:val="-1"/>
                <w:sz w:val="21"/>
                <w:szCs w:val="21"/>
              </w:rPr>
              <w:t>41</w:t>
            </w:r>
          </w:p>
        </w:tc>
        <w:tc>
          <w:tcPr>
            <w:tcW w:w="1272" w:type="dxa"/>
            <w:vAlign w:val="top"/>
          </w:tcPr>
          <w:p w14:paraId="43BFF3D6">
            <w:pPr>
              <w:spacing w:before="199" w:line="220" w:lineRule="auto"/>
              <w:ind w:left="327"/>
              <w:rPr>
                <w:rFonts w:ascii="宋体" w:hAnsi="宋体" w:eastAsia="宋体" w:cs="宋体"/>
                <w:sz w:val="21"/>
                <w:szCs w:val="21"/>
              </w:rPr>
            </w:pPr>
            <w:r>
              <w:rPr>
                <w:rFonts w:ascii="宋体" w:hAnsi="宋体" w:eastAsia="宋体" w:cs="宋体"/>
                <w:spacing w:val="-3"/>
                <w:sz w:val="21"/>
                <w:szCs w:val="21"/>
              </w:rPr>
              <w:t>灰卷尾</w:t>
            </w:r>
          </w:p>
        </w:tc>
        <w:tc>
          <w:tcPr>
            <w:tcW w:w="1693" w:type="dxa"/>
            <w:vAlign w:val="top"/>
          </w:tcPr>
          <w:p w14:paraId="03F10CA1">
            <w:pPr>
              <w:pStyle w:val="6"/>
              <w:spacing w:before="120" w:line="183" w:lineRule="auto"/>
              <w:ind w:left="465"/>
            </w:pPr>
            <w:r>
              <w:rPr>
                <w:i/>
                <w:iCs/>
              </w:rPr>
              <w:t>Dicrurus</w:t>
            </w:r>
          </w:p>
          <w:p w14:paraId="6DCA31F5">
            <w:pPr>
              <w:pStyle w:val="6"/>
              <w:spacing w:before="50" w:line="190" w:lineRule="auto"/>
              <w:ind w:left="333"/>
            </w:pPr>
            <w:r>
              <w:rPr>
                <w:i/>
                <w:iCs/>
                <w:spacing w:val="-1"/>
              </w:rPr>
              <w:t>leucophaeus</w:t>
            </w:r>
          </w:p>
        </w:tc>
        <w:tc>
          <w:tcPr>
            <w:tcW w:w="845" w:type="dxa"/>
            <w:tcBorders>
              <w:right w:val="single" w:color="000000" w:sz="12" w:space="0"/>
            </w:tcBorders>
            <w:vAlign w:val="top"/>
          </w:tcPr>
          <w:p w14:paraId="59E1BBDD">
            <w:pPr>
              <w:rPr>
                <w:rFonts w:ascii="Arial"/>
                <w:sz w:val="21"/>
              </w:rPr>
            </w:pPr>
          </w:p>
        </w:tc>
      </w:tr>
      <w:tr w14:paraId="75BDE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850" w:type="dxa"/>
            <w:tcBorders>
              <w:left w:val="single" w:color="000000" w:sz="12" w:space="0"/>
            </w:tcBorders>
            <w:vAlign w:val="top"/>
          </w:tcPr>
          <w:p w14:paraId="0FA80604">
            <w:pPr>
              <w:spacing w:before="236" w:line="223" w:lineRule="auto"/>
              <w:ind w:left="308"/>
              <w:rPr>
                <w:rFonts w:ascii="宋体" w:hAnsi="宋体" w:eastAsia="宋体" w:cs="宋体"/>
                <w:sz w:val="21"/>
                <w:szCs w:val="21"/>
              </w:rPr>
            </w:pPr>
            <w:r>
              <w:rPr>
                <w:rFonts w:ascii="宋体" w:hAnsi="宋体" w:eastAsia="宋体" w:cs="宋体"/>
                <w:spacing w:val="-3"/>
                <w:sz w:val="21"/>
                <w:szCs w:val="21"/>
              </w:rPr>
              <w:t>56</w:t>
            </w:r>
          </w:p>
        </w:tc>
        <w:tc>
          <w:tcPr>
            <w:tcW w:w="1270" w:type="dxa"/>
            <w:vAlign w:val="top"/>
          </w:tcPr>
          <w:p w14:paraId="2125F0FA">
            <w:pPr>
              <w:spacing w:before="202" w:line="220" w:lineRule="auto"/>
              <w:ind w:left="210"/>
              <w:rPr>
                <w:rFonts w:ascii="宋体" w:hAnsi="宋体" w:eastAsia="宋体" w:cs="宋体"/>
                <w:sz w:val="21"/>
                <w:szCs w:val="21"/>
              </w:rPr>
            </w:pPr>
            <w:r>
              <w:rPr>
                <w:rFonts w:ascii="宋体" w:hAnsi="宋体" w:eastAsia="宋体" w:cs="宋体"/>
                <w:spacing w:val="-3"/>
                <w:sz w:val="21"/>
                <w:szCs w:val="21"/>
              </w:rPr>
              <w:t>发冠卷尾</w:t>
            </w:r>
          </w:p>
        </w:tc>
        <w:tc>
          <w:tcPr>
            <w:tcW w:w="1554" w:type="dxa"/>
            <w:vAlign w:val="top"/>
          </w:tcPr>
          <w:p w14:paraId="61B4B061">
            <w:pPr>
              <w:pStyle w:val="6"/>
              <w:spacing w:before="121" w:line="183" w:lineRule="auto"/>
              <w:ind w:left="381"/>
            </w:pPr>
            <w:r>
              <w:rPr>
                <w:i/>
                <w:iCs/>
              </w:rPr>
              <w:t>Dicrurus</w:t>
            </w:r>
          </w:p>
          <w:p w14:paraId="4B15EE98">
            <w:pPr>
              <w:pStyle w:val="6"/>
              <w:spacing w:before="49" w:line="201" w:lineRule="auto"/>
              <w:ind w:left="275"/>
            </w:pPr>
            <w:r>
              <w:rPr>
                <w:i/>
                <w:iCs/>
                <w:spacing w:val="-1"/>
              </w:rPr>
              <w:t>hottentottus</w:t>
            </w:r>
          </w:p>
        </w:tc>
        <w:tc>
          <w:tcPr>
            <w:tcW w:w="989" w:type="dxa"/>
            <w:vAlign w:val="top"/>
          </w:tcPr>
          <w:p w14:paraId="41C1B122">
            <w:pPr>
              <w:rPr>
                <w:rFonts w:ascii="Arial"/>
                <w:sz w:val="21"/>
              </w:rPr>
            </w:pPr>
          </w:p>
        </w:tc>
        <w:tc>
          <w:tcPr>
            <w:tcW w:w="1272" w:type="dxa"/>
            <w:vAlign w:val="top"/>
          </w:tcPr>
          <w:p w14:paraId="54C926F3">
            <w:pPr>
              <w:rPr>
                <w:rFonts w:ascii="Arial"/>
                <w:sz w:val="21"/>
              </w:rPr>
            </w:pPr>
          </w:p>
        </w:tc>
        <w:tc>
          <w:tcPr>
            <w:tcW w:w="1693" w:type="dxa"/>
            <w:vAlign w:val="top"/>
          </w:tcPr>
          <w:p w14:paraId="1733E477">
            <w:pPr>
              <w:rPr>
                <w:rFonts w:ascii="Arial"/>
                <w:sz w:val="21"/>
              </w:rPr>
            </w:pPr>
          </w:p>
        </w:tc>
        <w:tc>
          <w:tcPr>
            <w:tcW w:w="845" w:type="dxa"/>
            <w:tcBorders>
              <w:right w:val="single" w:color="000000" w:sz="12" w:space="0"/>
            </w:tcBorders>
            <w:vAlign w:val="top"/>
          </w:tcPr>
          <w:p w14:paraId="6322A650">
            <w:pPr>
              <w:rPr>
                <w:rFonts w:ascii="Arial"/>
                <w:sz w:val="21"/>
              </w:rPr>
            </w:pPr>
          </w:p>
        </w:tc>
      </w:tr>
      <w:tr w14:paraId="3F4EA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171D97F">
            <w:pPr>
              <w:pStyle w:val="6"/>
              <w:spacing w:before="141" w:line="217" w:lineRule="auto"/>
              <w:ind w:left="238"/>
            </w:pPr>
            <w:r>
              <w:rPr>
                <w:b/>
                <w:bCs/>
                <w:spacing w:val="-2"/>
              </w:rPr>
              <w:t>F21</w:t>
            </w:r>
          </w:p>
        </w:tc>
        <w:tc>
          <w:tcPr>
            <w:tcW w:w="1270" w:type="dxa"/>
            <w:vAlign w:val="top"/>
          </w:tcPr>
          <w:p w14:paraId="56F8BA47">
            <w:pPr>
              <w:spacing w:before="103" w:line="219" w:lineRule="auto"/>
              <w:ind w:left="311"/>
              <w:rPr>
                <w:rFonts w:ascii="宋体" w:hAnsi="宋体" w:eastAsia="宋体" w:cs="宋体"/>
                <w:sz w:val="21"/>
                <w:szCs w:val="21"/>
              </w:rPr>
            </w:pPr>
            <w:r>
              <w:rPr>
                <w:rFonts w:ascii="宋体" w:hAnsi="宋体" w:eastAsia="宋体" w:cs="宋体"/>
                <w:b/>
                <w:bCs/>
                <w:spacing w:val="-4"/>
                <w:sz w:val="21"/>
                <w:szCs w:val="21"/>
              </w:rPr>
              <w:t>伯劳科</w:t>
            </w:r>
          </w:p>
        </w:tc>
        <w:tc>
          <w:tcPr>
            <w:tcW w:w="1554" w:type="dxa"/>
            <w:vAlign w:val="top"/>
          </w:tcPr>
          <w:p w14:paraId="31B354A4">
            <w:pPr>
              <w:pStyle w:val="6"/>
              <w:spacing w:before="142" w:line="186" w:lineRule="auto"/>
              <w:ind w:left="373"/>
            </w:pPr>
            <w:r>
              <w:rPr>
                <w:b/>
                <w:bCs/>
                <w:spacing w:val="-1"/>
              </w:rPr>
              <w:t>Laniidae</w:t>
            </w:r>
          </w:p>
        </w:tc>
        <w:tc>
          <w:tcPr>
            <w:tcW w:w="989" w:type="dxa"/>
            <w:vAlign w:val="top"/>
          </w:tcPr>
          <w:p w14:paraId="6182D9C7">
            <w:pPr>
              <w:pStyle w:val="6"/>
              <w:spacing w:before="142" w:line="186" w:lineRule="auto"/>
              <w:ind w:left="323"/>
            </w:pPr>
            <w:r>
              <w:rPr>
                <w:b/>
                <w:bCs/>
                <w:spacing w:val="-2"/>
              </w:rPr>
              <w:t>F20</w:t>
            </w:r>
          </w:p>
        </w:tc>
        <w:tc>
          <w:tcPr>
            <w:tcW w:w="1272" w:type="dxa"/>
            <w:vAlign w:val="top"/>
          </w:tcPr>
          <w:p w14:paraId="52DEAA3B">
            <w:pPr>
              <w:spacing w:before="103" w:line="219" w:lineRule="auto"/>
              <w:ind w:left="324"/>
              <w:rPr>
                <w:rFonts w:ascii="宋体" w:hAnsi="宋体" w:eastAsia="宋体" w:cs="宋体"/>
                <w:sz w:val="21"/>
                <w:szCs w:val="21"/>
              </w:rPr>
            </w:pPr>
            <w:r>
              <w:rPr>
                <w:rFonts w:ascii="宋体" w:hAnsi="宋体" w:eastAsia="宋体" w:cs="宋体"/>
                <w:b/>
                <w:bCs/>
                <w:spacing w:val="-4"/>
                <w:sz w:val="21"/>
                <w:szCs w:val="21"/>
              </w:rPr>
              <w:t>伯劳科</w:t>
            </w:r>
          </w:p>
        </w:tc>
        <w:tc>
          <w:tcPr>
            <w:tcW w:w="1693" w:type="dxa"/>
            <w:vAlign w:val="top"/>
          </w:tcPr>
          <w:p w14:paraId="5CDDAD53">
            <w:pPr>
              <w:pStyle w:val="6"/>
              <w:spacing w:before="142" w:line="186" w:lineRule="auto"/>
              <w:ind w:left="457"/>
            </w:pPr>
            <w:r>
              <w:rPr>
                <w:b/>
                <w:bCs/>
                <w:spacing w:val="-1"/>
              </w:rPr>
              <w:t>Laniidae</w:t>
            </w:r>
          </w:p>
        </w:tc>
        <w:tc>
          <w:tcPr>
            <w:tcW w:w="845" w:type="dxa"/>
            <w:tcBorders>
              <w:right w:val="single" w:color="000000" w:sz="12" w:space="0"/>
            </w:tcBorders>
            <w:vAlign w:val="top"/>
          </w:tcPr>
          <w:p w14:paraId="153D48CB">
            <w:pPr>
              <w:rPr>
                <w:rFonts w:ascii="Arial"/>
                <w:sz w:val="21"/>
              </w:rPr>
            </w:pPr>
          </w:p>
        </w:tc>
      </w:tr>
      <w:tr w14:paraId="0C641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850" w:type="dxa"/>
            <w:tcBorders>
              <w:left w:val="single" w:color="000000" w:sz="12" w:space="0"/>
              <w:bottom w:val="single" w:color="000000" w:sz="12" w:space="0"/>
            </w:tcBorders>
            <w:vAlign w:val="top"/>
          </w:tcPr>
          <w:p w14:paraId="17825D6E">
            <w:pPr>
              <w:spacing w:before="137" w:line="214" w:lineRule="auto"/>
              <w:ind w:left="308"/>
              <w:rPr>
                <w:rFonts w:ascii="宋体" w:hAnsi="宋体" w:eastAsia="宋体" w:cs="宋体"/>
                <w:sz w:val="21"/>
                <w:szCs w:val="21"/>
              </w:rPr>
            </w:pPr>
            <w:r>
              <w:rPr>
                <w:rFonts w:ascii="宋体" w:hAnsi="宋体" w:eastAsia="宋体" w:cs="宋体"/>
                <w:spacing w:val="-3"/>
                <w:sz w:val="21"/>
                <w:szCs w:val="21"/>
              </w:rPr>
              <w:t>57</w:t>
            </w:r>
          </w:p>
        </w:tc>
        <w:tc>
          <w:tcPr>
            <w:tcW w:w="1270" w:type="dxa"/>
            <w:tcBorders>
              <w:bottom w:val="single" w:color="000000" w:sz="12" w:space="0"/>
            </w:tcBorders>
            <w:vAlign w:val="top"/>
          </w:tcPr>
          <w:p w14:paraId="6AE106FD">
            <w:pPr>
              <w:spacing w:before="103" w:line="219" w:lineRule="auto"/>
              <w:ind w:left="207"/>
              <w:rPr>
                <w:rFonts w:ascii="宋体" w:hAnsi="宋体" w:eastAsia="宋体" w:cs="宋体"/>
                <w:sz w:val="21"/>
                <w:szCs w:val="21"/>
              </w:rPr>
            </w:pPr>
            <w:r>
              <w:rPr>
                <w:rFonts w:ascii="宋体" w:hAnsi="宋体" w:eastAsia="宋体" w:cs="宋体"/>
                <w:spacing w:val="-2"/>
                <w:sz w:val="21"/>
                <w:szCs w:val="21"/>
              </w:rPr>
              <w:t>虎纹伯劳</w:t>
            </w:r>
          </w:p>
        </w:tc>
        <w:tc>
          <w:tcPr>
            <w:tcW w:w="1554" w:type="dxa"/>
            <w:tcBorders>
              <w:bottom w:val="single" w:color="000000" w:sz="12" w:space="0"/>
            </w:tcBorders>
            <w:vAlign w:val="top"/>
          </w:tcPr>
          <w:p w14:paraId="44B33514">
            <w:pPr>
              <w:pStyle w:val="6"/>
              <w:spacing w:before="137" w:line="190" w:lineRule="auto"/>
              <w:ind w:left="120"/>
            </w:pPr>
            <w:r>
              <w:rPr>
                <w:i/>
                <w:iCs/>
              </w:rPr>
              <w:t>Lanius</w:t>
            </w:r>
            <w:r>
              <w:rPr>
                <w:i/>
                <w:iCs/>
                <w:spacing w:val="6"/>
              </w:rPr>
              <w:t xml:space="preserve"> </w:t>
            </w:r>
            <w:r>
              <w:rPr>
                <w:i/>
                <w:iCs/>
              </w:rPr>
              <w:t>tigrinus</w:t>
            </w:r>
          </w:p>
        </w:tc>
        <w:tc>
          <w:tcPr>
            <w:tcW w:w="989" w:type="dxa"/>
            <w:tcBorders>
              <w:bottom w:val="single" w:color="000000" w:sz="12" w:space="0"/>
            </w:tcBorders>
            <w:vAlign w:val="top"/>
          </w:tcPr>
          <w:p w14:paraId="27AB05A5">
            <w:pPr>
              <w:rPr>
                <w:rFonts w:ascii="Arial"/>
                <w:sz w:val="21"/>
              </w:rPr>
            </w:pPr>
          </w:p>
        </w:tc>
        <w:tc>
          <w:tcPr>
            <w:tcW w:w="1272" w:type="dxa"/>
            <w:tcBorders>
              <w:bottom w:val="single" w:color="000000" w:sz="12" w:space="0"/>
            </w:tcBorders>
            <w:vAlign w:val="top"/>
          </w:tcPr>
          <w:p w14:paraId="06EC7EB5">
            <w:pPr>
              <w:rPr>
                <w:rFonts w:ascii="Arial"/>
                <w:sz w:val="21"/>
              </w:rPr>
            </w:pPr>
          </w:p>
        </w:tc>
        <w:tc>
          <w:tcPr>
            <w:tcW w:w="1693" w:type="dxa"/>
            <w:tcBorders>
              <w:bottom w:val="single" w:color="000000" w:sz="12" w:space="0"/>
            </w:tcBorders>
            <w:vAlign w:val="top"/>
          </w:tcPr>
          <w:p w14:paraId="59288BD5">
            <w:pPr>
              <w:rPr>
                <w:rFonts w:ascii="Arial"/>
                <w:sz w:val="21"/>
              </w:rPr>
            </w:pPr>
          </w:p>
        </w:tc>
        <w:tc>
          <w:tcPr>
            <w:tcW w:w="845" w:type="dxa"/>
            <w:tcBorders>
              <w:bottom w:val="single" w:color="000000" w:sz="12" w:space="0"/>
              <w:right w:val="single" w:color="000000" w:sz="12" w:space="0"/>
            </w:tcBorders>
            <w:vAlign w:val="top"/>
          </w:tcPr>
          <w:p w14:paraId="1056CDA1">
            <w:pPr>
              <w:rPr>
                <w:rFonts w:ascii="Arial"/>
                <w:sz w:val="21"/>
              </w:rPr>
            </w:pPr>
          </w:p>
        </w:tc>
      </w:tr>
    </w:tbl>
    <w:p w14:paraId="2478F538">
      <w:pPr>
        <w:rPr>
          <w:rFonts w:ascii="Arial"/>
          <w:sz w:val="21"/>
        </w:rPr>
      </w:pPr>
    </w:p>
    <w:p w14:paraId="4F4A43EA">
      <w:pPr>
        <w:rPr>
          <w:rFonts w:ascii="Arial" w:hAnsi="Arial" w:eastAsia="Arial" w:cs="Arial"/>
          <w:sz w:val="21"/>
          <w:szCs w:val="21"/>
        </w:rPr>
        <w:sectPr>
          <w:footerReference r:id="rId178" w:type="default"/>
          <w:pgSz w:w="11907" w:h="16839"/>
          <w:pgMar w:top="1376" w:right="1669" w:bottom="1061" w:left="1671" w:header="999" w:footer="844" w:gutter="0"/>
          <w:cols w:space="720" w:num="1"/>
        </w:sectPr>
      </w:pPr>
    </w:p>
    <w:p w14:paraId="0937F81C">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26F25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0824DAFE">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49237CCE">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13E8F0BD">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68708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169EE8C1">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5212AA3E">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2CC16956">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3B79C54E">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6CAA7D1F">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36C6ED5C">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5272B070">
            <w:pPr>
              <w:rPr>
                <w:rFonts w:ascii="Arial"/>
                <w:sz w:val="21"/>
              </w:rPr>
            </w:pPr>
          </w:p>
        </w:tc>
      </w:tr>
      <w:tr w14:paraId="5BCB9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5E906A30">
            <w:pPr>
              <w:pStyle w:val="6"/>
              <w:spacing w:before="111" w:line="232" w:lineRule="auto"/>
              <w:ind w:left="308"/>
            </w:pPr>
            <w:r>
              <w:rPr>
                <w:spacing w:val="-3"/>
              </w:rPr>
              <w:t>58</w:t>
            </w:r>
          </w:p>
        </w:tc>
        <w:tc>
          <w:tcPr>
            <w:tcW w:w="1270" w:type="dxa"/>
            <w:vAlign w:val="top"/>
          </w:tcPr>
          <w:p w14:paraId="668B214B">
            <w:pPr>
              <w:spacing w:before="77" w:line="219" w:lineRule="auto"/>
              <w:ind w:left="212"/>
              <w:rPr>
                <w:rFonts w:ascii="宋体" w:hAnsi="宋体" w:eastAsia="宋体" w:cs="宋体"/>
                <w:sz w:val="21"/>
                <w:szCs w:val="21"/>
              </w:rPr>
            </w:pPr>
            <w:r>
              <w:rPr>
                <w:rFonts w:ascii="宋体" w:hAnsi="宋体" w:eastAsia="宋体" w:cs="宋体"/>
                <w:spacing w:val="-3"/>
                <w:sz w:val="21"/>
                <w:szCs w:val="21"/>
              </w:rPr>
              <w:t>红尾伯劳</w:t>
            </w:r>
          </w:p>
        </w:tc>
        <w:tc>
          <w:tcPr>
            <w:tcW w:w="1554" w:type="dxa"/>
            <w:vAlign w:val="top"/>
          </w:tcPr>
          <w:p w14:paraId="4BBAF887">
            <w:pPr>
              <w:pStyle w:val="6"/>
              <w:spacing w:before="110" w:line="233" w:lineRule="auto"/>
              <w:ind w:left="85"/>
            </w:pPr>
            <w:r>
              <w:rPr>
                <w:i/>
                <w:iCs/>
              </w:rPr>
              <w:t>Lanius</w:t>
            </w:r>
            <w:r>
              <w:rPr>
                <w:i/>
                <w:iCs/>
                <w:spacing w:val="8"/>
              </w:rPr>
              <w:t xml:space="preserve"> </w:t>
            </w:r>
            <w:r>
              <w:rPr>
                <w:i/>
                <w:iCs/>
              </w:rPr>
              <w:t>cristatus</w:t>
            </w:r>
          </w:p>
        </w:tc>
        <w:tc>
          <w:tcPr>
            <w:tcW w:w="989" w:type="dxa"/>
            <w:vAlign w:val="top"/>
          </w:tcPr>
          <w:p w14:paraId="27986377">
            <w:pPr>
              <w:rPr>
                <w:rFonts w:ascii="Arial"/>
                <w:sz w:val="21"/>
              </w:rPr>
            </w:pPr>
          </w:p>
        </w:tc>
        <w:tc>
          <w:tcPr>
            <w:tcW w:w="1272" w:type="dxa"/>
            <w:vAlign w:val="top"/>
          </w:tcPr>
          <w:p w14:paraId="33977E40">
            <w:pPr>
              <w:rPr>
                <w:rFonts w:ascii="Arial"/>
                <w:sz w:val="21"/>
              </w:rPr>
            </w:pPr>
          </w:p>
        </w:tc>
        <w:tc>
          <w:tcPr>
            <w:tcW w:w="1693" w:type="dxa"/>
            <w:vAlign w:val="top"/>
          </w:tcPr>
          <w:p w14:paraId="393625FF">
            <w:pPr>
              <w:rPr>
                <w:rFonts w:ascii="Arial"/>
                <w:sz w:val="21"/>
              </w:rPr>
            </w:pPr>
          </w:p>
        </w:tc>
        <w:tc>
          <w:tcPr>
            <w:tcW w:w="845" w:type="dxa"/>
            <w:tcBorders>
              <w:right w:val="single" w:color="000000" w:sz="12" w:space="0"/>
            </w:tcBorders>
            <w:vAlign w:val="top"/>
          </w:tcPr>
          <w:p w14:paraId="4E5EA6C5">
            <w:pPr>
              <w:rPr>
                <w:rFonts w:ascii="Arial"/>
                <w:sz w:val="21"/>
              </w:rPr>
            </w:pPr>
          </w:p>
        </w:tc>
      </w:tr>
      <w:tr w14:paraId="4F4C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217B789">
            <w:pPr>
              <w:pStyle w:val="6"/>
              <w:spacing w:before="209" w:line="232" w:lineRule="auto"/>
              <w:ind w:left="308"/>
            </w:pPr>
            <w:r>
              <w:rPr>
                <w:spacing w:val="-3"/>
              </w:rPr>
              <w:t>59</w:t>
            </w:r>
          </w:p>
        </w:tc>
        <w:tc>
          <w:tcPr>
            <w:tcW w:w="1270" w:type="dxa"/>
            <w:vAlign w:val="top"/>
          </w:tcPr>
          <w:p w14:paraId="7AE083D2">
            <w:pPr>
              <w:spacing w:before="175" w:line="219" w:lineRule="auto"/>
              <w:ind w:left="207"/>
              <w:rPr>
                <w:rFonts w:ascii="宋体" w:hAnsi="宋体" w:eastAsia="宋体" w:cs="宋体"/>
                <w:sz w:val="21"/>
                <w:szCs w:val="21"/>
              </w:rPr>
            </w:pPr>
            <w:r>
              <w:rPr>
                <w:rFonts w:ascii="宋体" w:hAnsi="宋体" w:eastAsia="宋体" w:cs="宋体"/>
                <w:spacing w:val="-2"/>
                <w:sz w:val="21"/>
                <w:szCs w:val="21"/>
              </w:rPr>
              <w:t>栗背伯劳</w:t>
            </w:r>
          </w:p>
        </w:tc>
        <w:tc>
          <w:tcPr>
            <w:tcW w:w="1554" w:type="dxa"/>
            <w:vAlign w:val="top"/>
          </w:tcPr>
          <w:p w14:paraId="7DB04A5B">
            <w:pPr>
              <w:pStyle w:val="6"/>
              <w:spacing w:before="95" w:line="183" w:lineRule="auto"/>
              <w:ind w:left="473"/>
            </w:pPr>
            <w:r>
              <w:rPr>
                <w:i/>
                <w:iCs/>
                <w:spacing w:val="1"/>
              </w:rPr>
              <w:t>Lanius</w:t>
            </w:r>
          </w:p>
          <w:p w14:paraId="5637A071">
            <w:pPr>
              <w:pStyle w:val="6"/>
              <w:spacing w:before="51" w:line="224" w:lineRule="auto"/>
              <w:ind w:left="270"/>
            </w:pPr>
            <w:r>
              <w:rPr>
                <w:i/>
                <w:iCs/>
                <w:spacing w:val="-1"/>
              </w:rPr>
              <w:t>collurioides</w:t>
            </w:r>
          </w:p>
        </w:tc>
        <w:tc>
          <w:tcPr>
            <w:tcW w:w="989" w:type="dxa"/>
            <w:vAlign w:val="top"/>
          </w:tcPr>
          <w:p w14:paraId="53FC20F1">
            <w:pPr>
              <w:rPr>
                <w:rFonts w:ascii="Arial"/>
                <w:sz w:val="21"/>
              </w:rPr>
            </w:pPr>
          </w:p>
        </w:tc>
        <w:tc>
          <w:tcPr>
            <w:tcW w:w="1272" w:type="dxa"/>
            <w:vAlign w:val="top"/>
          </w:tcPr>
          <w:p w14:paraId="696E8F63">
            <w:pPr>
              <w:rPr>
                <w:rFonts w:ascii="Arial"/>
                <w:sz w:val="21"/>
              </w:rPr>
            </w:pPr>
          </w:p>
        </w:tc>
        <w:tc>
          <w:tcPr>
            <w:tcW w:w="1693" w:type="dxa"/>
            <w:vAlign w:val="top"/>
          </w:tcPr>
          <w:p w14:paraId="18883243">
            <w:pPr>
              <w:rPr>
                <w:rFonts w:ascii="Arial"/>
                <w:sz w:val="21"/>
              </w:rPr>
            </w:pPr>
          </w:p>
        </w:tc>
        <w:tc>
          <w:tcPr>
            <w:tcW w:w="845" w:type="dxa"/>
            <w:tcBorders>
              <w:right w:val="single" w:color="000000" w:sz="12" w:space="0"/>
            </w:tcBorders>
            <w:vAlign w:val="top"/>
          </w:tcPr>
          <w:p w14:paraId="674EDB6C">
            <w:pPr>
              <w:rPr>
                <w:rFonts w:ascii="Arial"/>
                <w:sz w:val="21"/>
              </w:rPr>
            </w:pPr>
          </w:p>
        </w:tc>
      </w:tr>
      <w:tr w14:paraId="71E0C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8776220">
            <w:pPr>
              <w:pStyle w:val="6"/>
              <w:spacing w:before="113" w:line="232" w:lineRule="auto"/>
              <w:ind w:left="307"/>
            </w:pPr>
            <w:r>
              <w:rPr>
                <w:spacing w:val="-3"/>
              </w:rPr>
              <w:t>60</w:t>
            </w:r>
          </w:p>
        </w:tc>
        <w:tc>
          <w:tcPr>
            <w:tcW w:w="1270" w:type="dxa"/>
            <w:vAlign w:val="top"/>
          </w:tcPr>
          <w:p w14:paraId="74F8A4DD">
            <w:pPr>
              <w:spacing w:before="78" w:line="219" w:lineRule="auto"/>
              <w:ind w:left="206"/>
              <w:rPr>
                <w:rFonts w:ascii="宋体" w:hAnsi="宋体" w:eastAsia="宋体" w:cs="宋体"/>
                <w:sz w:val="21"/>
                <w:szCs w:val="21"/>
              </w:rPr>
            </w:pPr>
            <w:r>
              <w:rPr>
                <w:rFonts w:ascii="宋体" w:hAnsi="宋体" w:eastAsia="宋体" w:cs="宋体"/>
                <w:spacing w:val="-2"/>
                <w:sz w:val="21"/>
                <w:szCs w:val="21"/>
              </w:rPr>
              <w:t>棕背伯劳</w:t>
            </w:r>
          </w:p>
        </w:tc>
        <w:tc>
          <w:tcPr>
            <w:tcW w:w="1554" w:type="dxa"/>
            <w:vAlign w:val="top"/>
          </w:tcPr>
          <w:p w14:paraId="52D368FC">
            <w:pPr>
              <w:pStyle w:val="6"/>
              <w:spacing w:before="112" w:line="233" w:lineRule="auto"/>
              <w:ind w:left="156"/>
            </w:pPr>
            <w:r>
              <w:rPr>
                <w:i/>
                <w:iCs/>
              </w:rPr>
              <w:t>Lanius</w:t>
            </w:r>
            <w:r>
              <w:rPr>
                <w:i/>
                <w:iCs/>
                <w:spacing w:val="6"/>
              </w:rPr>
              <w:t xml:space="preserve"> </w:t>
            </w:r>
            <w:r>
              <w:rPr>
                <w:i/>
                <w:iCs/>
              </w:rPr>
              <w:t>schach</w:t>
            </w:r>
          </w:p>
        </w:tc>
        <w:tc>
          <w:tcPr>
            <w:tcW w:w="989" w:type="dxa"/>
            <w:vAlign w:val="top"/>
          </w:tcPr>
          <w:p w14:paraId="0B3530F0">
            <w:pPr>
              <w:pStyle w:val="6"/>
              <w:spacing w:before="112" w:line="235" w:lineRule="auto"/>
              <w:ind w:left="386"/>
            </w:pPr>
            <w:r>
              <w:rPr>
                <w:spacing w:val="-1"/>
              </w:rPr>
              <w:t>42</w:t>
            </w:r>
          </w:p>
        </w:tc>
        <w:tc>
          <w:tcPr>
            <w:tcW w:w="1272" w:type="dxa"/>
            <w:vAlign w:val="top"/>
          </w:tcPr>
          <w:p w14:paraId="5E932144">
            <w:pPr>
              <w:spacing w:before="78" w:line="219" w:lineRule="auto"/>
              <w:ind w:left="220"/>
              <w:rPr>
                <w:rFonts w:ascii="宋体" w:hAnsi="宋体" w:eastAsia="宋体" w:cs="宋体"/>
                <w:sz w:val="21"/>
                <w:szCs w:val="21"/>
              </w:rPr>
            </w:pPr>
            <w:r>
              <w:rPr>
                <w:rFonts w:ascii="宋体" w:hAnsi="宋体" w:eastAsia="宋体" w:cs="宋体"/>
                <w:spacing w:val="-2"/>
                <w:sz w:val="21"/>
                <w:szCs w:val="21"/>
              </w:rPr>
              <w:t>棕背伯劳</w:t>
            </w:r>
          </w:p>
        </w:tc>
        <w:tc>
          <w:tcPr>
            <w:tcW w:w="1693" w:type="dxa"/>
            <w:vAlign w:val="top"/>
          </w:tcPr>
          <w:p w14:paraId="79DA8A48">
            <w:pPr>
              <w:pStyle w:val="6"/>
              <w:spacing w:before="112" w:line="233" w:lineRule="auto"/>
              <w:ind w:left="240"/>
            </w:pPr>
            <w:r>
              <w:rPr>
                <w:i/>
                <w:iCs/>
              </w:rPr>
              <w:t>Lanius</w:t>
            </w:r>
            <w:r>
              <w:rPr>
                <w:i/>
                <w:iCs/>
                <w:spacing w:val="6"/>
              </w:rPr>
              <w:t xml:space="preserve"> </w:t>
            </w:r>
            <w:r>
              <w:rPr>
                <w:i/>
                <w:iCs/>
              </w:rPr>
              <w:t>schach</w:t>
            </w:r>
          </w:p>
        </w:tc>
        <w:tc>
          <w:tcPr>
            <w:tcW w:w="845" w:type="dxa"/>
            <w:tcBorders>
              <w:right w:val="single" w:color="000000" w:sz="12" w:space="0"/>
            </w:tcBorders>
            <w:vAlign w:val="top"/>
          </w:tcPr>
          <w:p w14:paraId="604E686A">
            <w:pPr>
              <w:rPr>
                <w:rFonts w:ascii="Arial"/>
                <w:sz w:val="21"/>
              </w:rPr>
            </w:pPr>
          </w:p>
        </w:tc>
      </w:tr>
      <w:tr w14:paraId="11345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B1BFBAD">
            <w:pPr>
              <w:rPr>
                <w:rFonts w:ascii="Arial"/>
                <w:sz w:val="21"/>
              </w:rPr>
            </w:pPr>
          </w:p>
        </w:tc>
        <w:tc>
          <w:tcPr>
            <w:tcW w:w="1270" w:type="dxa"/>
            <w:vAlign w:val="top"/>
          </w:tcPr>
          <w:p w14:paraId="5E5ADC52">
            <w:pPr>
              <w:rPr>
                <w:rFonts w:ascii="Arial"/>
                <w:sz w:val="21"/>
              </w:rPr>
            </w:pPr>
          </w:p>
        </w:tc>
        <w:tc>
          <w:tcPr>
            <w:tcW w:w="1554" w:type="dxa"/>
            <w:vAlign w:val="top"/>
          </w:tcPr>
          <w:p w14:paraId="31B4B280">
            <w:pPr>
              <w:rPr>
                <w:rFonts w:ascii="Arial"/>
                <w:sz w:val="21"/>
              </w:rPr>
            </w:pPr>
          </w:p>
        </w:tc>
        <w:tc>
          <w:tcPr>
            <w:tcW w:w="989" w:type="dxa"/>
            <w:vAlign w:val="top"/>
          </w:tcPr>
          <w:p w14:paraId="1B02860B">
            <w:pPr>
              <w:pStyle w:val="6"/>
              <w:spacing w:before="211" w:line="232" w:lineRule="auto"/>
              <w:ind w:left="386"/>
            </w:pPr>
            <w:r>
              <w:rPr>
                <w:spacing w:val="-1"/>
              </w:rPr>
              <w:t>43</w:t>
            </w:r>
          </w:p>
        </w:tc>
        <w:tc>
          <w:tcPr>
            <w:tcW w:w="1272" w:type="dxa"/>
            <w:vAlign w:val="top"/>
          </w:tcPr>
          <w:p w14:paraId="17FB0891">
            <w:pPr>
              <w:spacing w:before="177" w:line="219" w:lineRule="auto"/>
              <w:ind w:left="223"/>
              <w:rPr>
                <w:rFonts w:ascii="宋体" w:hAnsi="宋体" w:eastAsia="宋体" w:cs="宋体"/>
                <w:sz w:val="21"/>
                <w:szCs w:val="21"/>
              </w:rPr>
            </w:pPr>
            <w:r>
              <w:rPr>
                <w:rFonts w:ascii="宋体" w:hAnsi="宋体" w:eastAsia="宋体" w:cs="宋体"/>
                <w:spacing w:val="-2"/>
                <w:sz w:val="21"/>
                <w:szCs w:val="21"/>
              </w:rPr>
              <w:t>灰背伯劳</w:t>
            </w:r>
          </w:p>
        </w:tc>
        <w:tc>
          <w:tcPr>
            <w:tcW w:w="1693" w:type="dxa"/>
            <w:vAlign w:val="top"/>
          </w:tcPr>
          <w:p w14:paraId="73A4DF8C">
            <w:pPr>
              <w:pStyle w:val="6"/>
              <w:spacing w:before="98" w:line="183" w:lineRule="auto"/>
              <w:ind w:left="557"/>
            </w:pPr>
            <w:r>
              <w:rPr>
                <w:i/>
                <w:iCs/>
                <w:spacing w:val="1"/>
              </w:rPr>
              <w:t>Lanius</w:t>
            </w:r>
          </w:p>
          <w:p w14:paraId="2E794554">
            <w:pPr>
              <w:pStyle w:val="6"/>
              <w:spacing w:before="50" w:line="190" w:lineRule="auto"/>
              <w:ind w:left="357"/>
            </w:pPr>
            <w:r>
              <w:rPr>
                <w:i/>
                <w:iCs/>
                <w:spacing w:val="-1"/>
              </w:rPr>
              <w:t>tephronotus</w:t>
            </w:r>
          </w:p>
        </w:tc>
        <w:tc>
          <w:tcPr>
            <w:tcW w:w="845" w:type="dxa"/>
            <w:tcBorders>
              <w:right w:val="single" w:color="000000" w:sz="12" w:space="0"/>
            </w:tcBorders>
            <w:vAlign w:val="top"/>
          </w:tcPr>
          <w:p w14:paraId="17BB10E1">
            <w:pPr>
              <w:rPr>
                <w:rFonts w:ascii="Arial"/>
                <w:sz w:val="21"/>
              </w:rPr>
            </w:pPr>
          </w:p>
        </w:tc>
      </w:tr>
      <w:tr w14:paraId="0E968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49533470">
            <w:pPr>
              <w:pStyle w:val="6"/>
              <w:spacing w:before="119" w:line="186" w:lineRule="auto"/>
              <w:ind w:left="238"/>
            </w:pPr>
            <w:r>
              <w:rPr>
                <w:b/>
                <w:bCs/>
                <w:spacing w:val="-2"/>
              </w:rPr>
              <w:t>F22</w:t>
            </w:r>
          </w:p>
        </w:tc>
        <w:tc>
          <w:tcPr>
            <w:tcW w:w="1270" w:type="dxa"/>
            <w:vAlign w:val="top"/>
          </w:tcPr>
          <w:p w14:paraId="48AF976F">
            <w:pPr>
              <w:spacing w:before="80" w:line="219" w:lineRule="auto"/>
              <w:ind w:left="417"/>
              <w:rPr>
                <w:rFonts w:ascii="宋体" w:hAnsi="宋体" w:eastAsia="宋体" w:cs="宋体"/>
                <w:sz w:val="21"/>
                <w:szCs w:val="21"/>
              </w:rPr>
            </w:pPr>
            <w:r>
              <w:rPr>
                <w:rFonts w:ascii="宋体" w:hAnsi="宋体" w:eastAsia="宋体" w:cs="宋体"/>
                <w:b/>
                <w:bCs/>
                <w:spacing w:val="-4"/>
                <w:sz w:val="21"/>
                <w:szCs w:val="21"/>
              </w:rPr>
              <w:t>鸦科</w:t>
            </w:r>
          </w:p>
        </w:tc>
        <w:tc>
          <w:tcPr>
            <w:tcW w:w="1554" w:type="dxa"/>
            <w:vAlign w:val="top"/>
          </w:tcPr>
          <w:p w14:paraId="3099EE5A">
            <w:pPr>
              <w:pStyle w:val="6"/>
              <w:spacing w:before="119" w:line="186" w:lineRule="auto"/>
              <w:ind w:left="360"/>
            </w:pPr>
            <w:r>
              <w:rPr>
                <w:b/>
                <w:bCs/>
                <w:spacing w:val="-2"/>
              </w:rPr>
              <w:t>Corvidae</w:t>
            </w:r>
          </w:p>
        </w:tc>
        <w:tc>
          <w:tcPr>
            <w:tcW w:w="989" w:type="dxa"/>
            <w:vAlign w:val="top"/>
          </w:tcPr>
          <w:p w14:paraId="0777D6BD">
            <w:pPr>
              <w:pStyle w:val="6"/>
              <w:spacing w:before="119" w:line="186" w:lineRule="auto"/>
              <w:ind w:left="323"/>
            </w:pPr>
            <w:r>
              <w:rPr>
                <w:b/>
                <w:bCs/>
                <w:spacing w:val="-2"/>
              </w:rPr>
              <w:t>F21</w:t>
            </w:r>
          </w:p>
        </w:tc>
        <w:tc>
          <w:tcPr>
            <w:tcW w:w="1272" w:type="dxa"/>
            <w:vAlign w:val="top"/>
          </w:tcPr>
          <w:p w14:paraId="4D23D334">
            <w:pPr>
              <w:spacing w:before="80" w:line="219" w:lineRule="auto"/>
              <w:ind w:left="430"/>
              <w:rPr>
                <w:rFonts w:ascii="宋体" w:hAnsi="宋体" w:eastAsia="宋体" w:cs="宋体"/>
                <w:sz w:val="21"/>
                <w:szCs w:val="21"/>
              </w:rPr>
            </w:pPr>
            <w:r>
              <w:rPr>
                <w:rFonts w:ascii="宋体" w:hAnsi="宋体" w:eastAsia="宋体" w:cs="宋体"/>
                <w:b/>
                <w:bCs/>
                <w:spacing w:val="-4"/>
                <w:sz w:val="21"/>
                <w:szCs w:val="21"/>
              </w:rPr>
              <w:t>鸦科</w:t>
            </w:r>
          </w:p>
        </w:tc>
        <w:tc>
          <w:tcPr>
            <w:tcW w:w="1693" w:type="dxa"/>
            <w:vAlign w:val="top"/>
          </w:tcPr>
          <w:p w14:paraId="0DAA439D">
            <w:pPr>
              <w:pStyle w:val="6"/>
              <w:spacing w:before="119" w:line="186" w:lineRule="auto"/>
              <w:ind w:left="445"/>
            </w:pPr>
            <w:r>
              <w:rPr>
                <w:b/>
                <w:bCs/>
                <w:spacing w:val="-2"/>
              </w:rPr>
              <w:t>Corvidae</w:t>
            </w:r>
          </w:p>
        </w:tc>
        <w:tc>
          <w:tcPr>
            <w:tcW w:w="845" w:type="dxa"/>
            <w:tcBorders>
              <w:right w:val="single" w:color="000000" w:sz="12" w:space="0"/>
            </w:tcBorders>
            <w:vAlign w:val="top"/>
          </w:tcPr>
          <w:p w14:paraId="1E1B7012">
            <w:pPr>
              <w:rPr>
                <w:rFonts w:ascii="Arial"/>
                <w:sz w:val="21"/>
              </w:rPr>
            </w:pPr>
          </w:p>
        </w:tc>
      </w:tr>
      <w:tr w14:paraId="0EDE3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5AE555F">
            <w:pPr>
              <w:pStyle w:val="6"/>
              <w:spacing w:before="215" w:line="232" w:lineRule="auto"/>
              <w:ind w:left="307"/>
            </w:pPr>
            <w:r>
              <w:rPr>
                <w:spacing w:val="-3"/>
              </w:rPr>
              <w:t>61</w:t>
            </w:r>
          </w:p>
        </w:tc>
        <w:tc>
          <w:tcPr>
            <w:tcW w:w="1270" w:type="dxa"/>
            <w:vAlign w:val="top"/>
          </w:tcPr>
          <w:p w14:paraId="66DD65D3">
            <w:pPr>
              <w:spacing w:before="181" w:line="220" w:lineRule="auto"/>
              <w:ind w:left="418"/>
              <w:rPr>
                <w:rFonts w:ascii="宋体" w:hAnsi="宋体" w:eastAsia="宋体" w:cs="宋体"/>
                <w:sz w:val="21"/>
                <w:szCs w:val="21"/>
              </w:rPr>
            </w:pPr>
            <w:r>
              <w:rPr>
                <w:rFonts w:ascii="宋体" w:hAnsi="宋体" w:eastAsia="宋体" w:cs="宋体"/>
                <w:spacing w:val="-3"/>
                <w:sz w:val="21"/>
                <w:szCs w:val="21"/>
              </w:rPr>
              <w:t>松鸦</w:t>
            </w:r>
          </w:p>
        </w:tc>
        <w:tc>
          <w:tcPr>
            <w:tcW w:w="1554" w:type="dxa"/>
            <w:vAlign w:val="top"/>
          </w:tcPr>
          <w:p w14:paraId="5FFF7E78">
            <w:pPr>
              <w:pStyle w:val="6"/>
              <w:spacing w:before="93" w:line="190" w:lineRule="auto"/>
              <w:ind w:left="395"/>
            </w:pPr>
            <w:r>
              <w:rPr>
                <w:i/>
                <w:iCs/>
                <w:spacing w:val="-2"/>
              </w:rPr>
              <w:t>Garrulus</w:t>
            </w:r>
          </w:p>
          <w:p w14:paraId="3F58D8FB">
            <w:pPr>
              <w:pStyle w:val="6"/>
              <w:spacing w:before="50" w:line="190" w:lineRule="auto"/>
              <w:ind w:left="306"/>
            </w:pPr>
            <w:r>
              <w:rPr>
                <w:i/>
                <w:iCs/>
              </w:rPr>
              <w:t>glandarius</w:t>
            </w:r>
          </w:p>
        </w:tc>
        <w:tc>
          <w:tcPr>
            <w:tcW w:w="989" w:type="dxa"/>
            <w:vAlign w:val="top"/>
          </w:tcPr>
          <w:p w14:paraId="74D03041">
            <w:pPr>
              <w:pStyle w:val="6"/>
              <w:spacing w:before="215" w:line="235" w:lineRule="auto"/>
              <w:ind w:left="386"/>
            </w:pPr>
            <w:r>
              <w:rPr>
                <w:spacing w:val="-1"/>
              </w:rPr>
              <w:t>44</w:t>
            </w:r>
          </w:p>
        </w:tc>
        <w:tc>
          <w:tcPr>
            <w:tcW w:w="1272" w:type="dxa"/>
            <w:vAlign w:val="top"/>
          </w:tcPr>
          <w:p w14:paraId="0AE1EC40">
            <w:pPr>
              <w:spacing w:before="181" w:line="220" w:lineRule="auto"/>
              <w:ind w:left="432"/>
              <w:rPr>
                <w:rFonts w:ascii="宋体" w:hAnsi="宋体" w:eastAsia="宋体" w:cs="宋体"/>
                <w:sz w:val="21"/>
                <w:szCs w:val="21"/>
              </w:rPr>
            </w:pPr>
            <w:r>
              <w:rPr>
                <w:rFonts w:ascii="宋体" w:hAnsi="宋体" w:eastAsia="宋体" w:cs="宋体"/>
                <w:spacing w:val="-3"/>
                <w:sz w:val="21"/>
                <w:szCs w:val="21"/>
              </w:rPr>
              <w:t>松鸦</w:t>
            </w:r>
          </w:p>
        </w:tc>
        <w:tc>
          <w:tcPr>
            <w:tcW w:w="1693" w:type="dxa"/>
            <w:vAlign w:val="top"/>
          </w:tcPr>
          <w:p w14:paraId="4992A78B">
            <w:pPr>
              <w:pStyle w:val="6"/>
              <w:spacing w:before="93" w:line="190" w:lineRule="auto"/>
              <w:ind w:left="480"/>
            </w:pPr>
            <w:r>
              <w:rPr>
                <w:i/>
                <w:iCs/>
                <w:spacing w:val="-2"/>
              </w:rPr>
              <w:t>Garrulus</w:t>
            </w:r>
          </w:p>
          <w:p w14:paraId="0A1E0819">
            <w:pPr>
              <w:pStyle w:val="6"/>
              <w:spacing w:before="50" w:line="190" w:lineRule="auto"/>
              <w:ind w:left="390"/>
            </w:pPr>
            <w:r>
              <w:rPr>
                <w:i/>
                <w:iCs/>
              </w:rPr>
              <w:t>glandarius</w:t>
            </w:r>
          </w:p>
        </w:tc>
        <w:tc>
          <w:tcPr>
            <w:tcW w:w="845" w:type="dxa"/>
            <w:tcBorders>
              <w:right w:val="single" w:color="000000" w:sz="12" w:space="0"/>
            </w:tcBorders>
            <w:vAlign w:val="top"/>
          </w:tcPr>
          <w:p w14:paraId="5F1041DC">
            <w:pPr>
              <w:rPr>
                <w:rFonts w:ascii="Arial"/>
                <w:sz w:val="21"/>
              </w:rPr>
            </w:pPr>
          </w:p>
        </w:tc>
      </w:tr>
      <w:tr w14:paraId="4B06D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20189010">
            <w:pPr>
              <w:pStyle w:val="6"/>
              <w:spacing w:before="215" w:line="232" w:lineRule="auto"/>
              <w:ind w:left="307"/>
            </w:pPr>
            <w:r>
              <w:rPr>
                <w:spacing w:val="-3"/>
              </w:rPr>
              <w:t>62</w:t>
            </w:r>
          </w:p>
        </w:tc>
        <w:tc>
          <w:tcPr>
            <w:tcW w:w="1270" w:type="dxa"/>
            <w:vAlign w:val="top"/>
          </w:tcPr>
          <w:p w14:paraId="566D82C9">
            <w:pPr>
              <w:spacing w:before="181" w:line="220" w:lineRule="auto"/>
              <w:ind w:left="212"/>
              <w:rPr>
                <w:rFonts w:ascii="宋体" w:hAnsi="宋体" w:eastAsia="宋体" w:cs="宋体"/>
                <w:sz w:val="21"/>
                <w:szCs w:val="21"/>
              </w:rPr>
            </w:pPr>
            <w:r>
              <w:rPr>
                <w:rFonts w:ascii="宋体" w:hAnsi="宋体" w:eastAsia="宋体" w:cs="宋体"/>
                <w:spacing w:val="-3"/>
                <w:sz w:val="21"/>
                <w:szCs w:val="21"/>
              </w:rPr>
              <w:t>红嘴蓝鹊</w:t>
            </w:r>
          </w:p>
        </w:tc>
        <w:tc>
          <w:tcPr>
            <w:tcW w:w="1554" w:type="dxa"/>
            <w:vAlign w:val="top"/>
          </w:tcPr>
          <w:p w14:paraId="39F92448">
            <w:pPr>
              <w:pStyle w:val="6"/>
              <w:spacing w:before="102" w:line="183" w:lineRule="auto"/>
              <w:ind w:left="409"/>
            </w:pPr>
            <w:r>
              <w:rPr>
                <w:i/>
                <w:iCs/>
                <w:spacing w:val="-3"/>
              </w:rPr>
              <w:t>Urocissa</w:t>
            </w:r>
          </w:p>
          <w:p w14:paraId="4419B32E">
            <w:pPr>
              <w:pStyle w:val="6"/>
              <w:spacing w:before="50" w:line="190" w:lineRule="auto"/>
              <w:ind w:left="120"/>
            </w:pPr>
            <w:r>
              <w:rPr>
                <w:i/>
                <w:iCs/>
                <w:spacing w:val="-1"/>
              </w:rPr>
              <w:t>erythrorhyncha</w:t>
            </w:r>
          </w:p>
        </w:tc>
        <w:tc>
          <w:tcPr>
            <w:tcW w:w="989" w:type="dxa"/>
            <w:vAlign w:val="top"/>
          </w:tcPr>
          <w:p w14:paraId="67E44E71">
            <w:pPr>
              <w:pStyle w:val="6"/>
              <w:spacing w:before="215" w:line="232" w:lineRule="auto"/>
              <w:ind w:left="386"/>
            </w:pPr>
            <w:r>
              <w:rPr>
                <w:spacing w:val="-1"/>
              </w:rPr>
              <w:t>45</w:t>
            </w:r>
          </w:p>
        </w:tc>
        <w:tc>
          <w:tcPr>
            <w:tcW w:w="1272" w:type="dxa"/>
            <w:vAlign w:val="top"/>
          </w:tcPr>
          <w:p w14:paraId="2F38DA57">
            <w:pPr>
              <w:spacing w:before="181" w:line="220" w:lineRule="auto"/>
              <w:ind w:left="226"/>
              <w:rPr>
                <w:rFonts w:ascii="宋体" w:hAnsi="宋体" w:eastAsia="宋体" w:cs="宋体"/>
                <w:sz w:val="21"/>
                <w:szCs w:val="21"/>
              </w:rPr>
            </w:pPr>
            <w:r>
              <w:rPr>
                <w:rFonts w:ascii="宋体" w:hAnsi="宋体" w:eastAsia="宋体" w:cs="宋体"/>
                <w:spacing w:val="-3"/>
                <w:sz w:val="21"/>
                <w:szCs w:val="21"/>
              </w:rPr>
              <w:t>红嘴蓝鹊</w:t>
            </w:r>
          </w:p>
        </w:tc>
        <w:tc>
          <w:tcPr>
            <w:tcW w:w="1693" w:type="dxa"/>
            <w:vAlign w:val="top"/>
          </w:tcPr>
          <w:p w14:paraId="7ED2B238">
            <w:pPr>
              <w:pStyle w:val="6"/>
              <w:spacing w:before="102" w:line="183" w:lineRule="auto"/>
              <w:ind w:left="494"/>
            </w:pPr>
            <w:r>
              <w:rPr>
                <w:i/>
                <w:iCs/>
                <w:spacing w:val="-3"/>
              </w:rPr>
              <w:t>Urocissa</w:t>
            </w:r>
          </w:p>
          <w:p w14:paraId="032DD554">
            <w:pPr>
              <w:pStyle w:val="6"/>
              <w:spacing w:before="50" w:line="190" w:lineRule="auto"/>
              <w:ind w:left="204"/>
            </w:pPr>
            <w:r>
              <w:rPr>
                <w:i/>
                <w:iCs/>
                <w:spacing w:val="-1"/>
              </w:rPr>
              <w:t>erythrorhyncha</w:t>
            </w:r>
          </w:p>
        </w:tc>
        <w:tc>
          <w:tcPr>
            <w:tcW w:w="845" w:type="dxa"/>
            <w:tcBorders>
              <w:right w:val="single" w:color="000000" w:sz="12" w:space="0"/>
            </w:tcBorders>
            <w:vAlign w:val="top"/>
          </w:tcPr>
          <w:p w14:paraId="62EAA254">
            <w:pPr>
              <w:rPr>
                <w:rFonts w:ascii="Arial"/>
                <w:sz w:val="21"/>
              </w:rPr>
            </w:pPr>
          </w:p>
        </w:tc>
      </w:tr>
      <w:tr w14:paraId="690BF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F4997A4">
            <w:pPr>
              <w:pStyle w:val="6"/>
              <w:spacing w:before="118" w:line="232" w:lineRule="auto"/>
              <w:ind w:left="307"/>
            </w:pPr>
            <w:r>
              <w:rPr>
                <w:spacing w:val="-3"/>
              </w:rPr>
              <w:t>63</w:t>
            </w:r>
          </w:p>
        </w:tc>
        <w:tc>
          <w:tcPr>
            <w:tcW w:w="1270" w:type="dxa"/>
            <w:vAlign w:val="top"/>
          </w:tcPr>
          <w:p w14:paraId="1CDFA62C">
            <w:pPr>
              <w:spacing w:before="85" w:line="220" w:lineRule="auto"/>
              <w:ind w:left="420"/>
              <w:rPr>
                <w:rFonts w:ascii="宋体" w:hAnsi="宋体" w:eastAsia="宋体" w:cs="宋体"/>
                <w:sz w:val="21"/>
                <w:szCs w:val="21"/>
              </w:rPr>
            </w:pPr>
            <w:r>
              <w:rPr>
                <w:rFonts w:ascii="宋体" w:hAnsi="宋体" w:eastAsia="宋体" w:cs="宋体"/>
                <w:spacing w:val="-3"/>
                <w:sz w:val="21"/>
                <w:szCs w:val="21"/>
              </w:rPr>
              <w:t>喜鹊</w:t>
            </w:r>
          </w:p>
        </w:tc>
        <w:tc>
          <w:tcPr>
            <w:tcW w:w="1554" w:type="dxa"/>
            <w:vAlign w:val="top"/>
          </w:tcPr>
          <w:p w14:paraId="508C0A4F">
            <w:pPr>
              <w:pStyle w:val="6"/>
              <w:spacing w:before="118" w:line="190" w:lineRule="auto"/>
              <w:ind w:left="361"/>
            </w:pPr>
            <w:r>
              <w:rPr>
                <w:i/>
                <w:iCs/>
                <w:spacing w:val="3"/>
              </w:rPr>
              <w:t>Pica</w:t>
            </w:r>
            <w:r>
              <w:rPr>
                <w:i/>
                <w:iCs/>
                <w:spacing w:val="-20"/>
              </w:rPr>
              <w:t xml:space="preserve"> </w:t>
            </w:r>
            <w:r>
              <w:rPr>
                <w:i/>
                <w:iCs/>
                <w:spacing w:val="3"/>
              </w:rPr>
              <w:t>pica</w:t>
            </w:r>
          </w:p>
        </w:tc>
        <w:tc>
          <w:tcPr>
            <w:tcW w:w="989" w:type="dxa"/>
            <w:vAlign w:val="top"/>
          </w:tcPr>
          <w:p w14:paraId="7D9D6402">
            <w:pPr>
              <w:pStyle w:val="6"/>
              <w:spacing w:before="118" w:line="232" w:lineRule="auto"/>
              <w:ind w:left="386"/>
            </w:pPr>
            <w:r>
              <w:rPr>
                <w:spacing w:val="-1"/>
              </w:rPr>
              <w:t>46</w:t>
            </w:r>
          </w:p>
        </w:tc>
        <w:tc>
          <w:tcPr>
            <w:tcW w:w="1272" w:type="dxa"/>
            <w:vAlign w:val="top"/>
          </w:tcPr>
          <w:p w14:paraId="5BE195CC">
            <w:pPr>
              <w:spacing w:before="85" w:line="220" w:lineRule="auto"/>
              <w:ind w:left="434"/>
              <w:rPr>
                <w:rFonts w:ascii="宋体" w:hAnsi="宋体" w:eastAsia="宋体" w:cs="宋体"/>
                <w:sz w:val="21"/>
                <w:szCs w:val="21"/>
              </w:rPr>
            </w:pPr>
            <w:r>
              <w:rPr>
                <w:rFonts w:ascii="宋体" w:hAnsi="宋体" w:eastAsia="宋体" w:cs="宋体"/>
                <w:spacing w:val="-3"/>
                <w:sz w:val="21"/>
                <w:szCs w:val="21"/>
              </w:rPr>
              <w:t>喜鹊</w:t>
            </w:r>
          </w:p>
        </w:tc>
        <w:tc>
          <w:tcPr>
            <w:tcW w:w="1693" w:type="dxa"/>
            <w:vAlign w:val="top"/>
          </w:tcPr>
          <w:p w14:paraId="008B9582">
            <w:pPr>
              <w:pStyle w:val="6"/>
              <w:spacing w:before="118" w:line="190" w:lineRule="auto"/>
              <w:ind w:left="446"/>
            </w:pPr>
            <w:r>
              <w:rPr>
                <w:i/>
                <w:iCs/>
                <w:spacing w:val="3"/>
              </w:rPr>
              <w:t>Pica</w:t>
            </w:r>
            <w:r>
              <w:rPr>
                <w:i/>
                <w:iCs/>
                <w:spacing w:val="-20"/>
              </w:rPr>
              <w:t xml:space="preserve"> </w:t>
            </w:r>
            <w:r>
              <w:rPr>
                <w:i/>
                <w:iCs/>
                <w:spacing w:val="3"/>
              </w:rPr>
              <w:t>pica</w:t>
            </w:r>
          </w:p>
        </w:tc>
        <w:tc>
          <w:tcPr>
            <w:tcW w:w="845" w:type="dxa"/>
            <w:tcBorders>
              <w:right w:val="single" w:color="000000" w:sz="12" w:space="0"/>
            </w:tcBorders>
            <w:vAlign w:val="top"/>
          </w:tcPr>
          <w:p w14:paraId="4C7366A1">
            <w:pPr>
              <w:rPr>
                <w:rFonts w:ascii="Arial"/>
                <w:sz w:val="21"/>
              </w:rPr>
            </w:pPr>
          </w:p>
        </w:tc>
      </w:tr>
      <w:tr w14:paraId="43427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AFCC947">
            <w:pPr>
              <w:pStyle w:val="6"/>
              <w:spacing w:before="218" w:line="232" w:lineRule="auto"/>
              <w:ind w:left="307"/>
            </w:pPr>
            <w:r>
              <w:rPr>
                <w:spacing w:val="-3"/>
              </w:rPr>
              <w:t>64</w:t>
            </w:r>
          </w:p>
        </w:tc>
        <w:tc>
          <w:tcPr>
            <w:tcW w:w="1270" w:type="dxa"/>
            <w:vAlign w:val="top"/>
          </w:tcPr>
          <w:p w14:paraId="7CF3D6AC">
            <w:pPr>
              <w:spacing w:before="184" w:line="220" w:lineRule="auto"/>
              <w:ind w:left="102"/>
              <w:rPr>
                <w:rFonts w:ascii="宋体" w:hAnsi="宋体" w:eastAsia="宋体" w:cs="宋体"/>
                <w:sz w:val="21"/>
                <w:szCs w:val="21"/>
              </w:rPr>
            </w:pPr>
            <w:r>
              <w:rPr>
                <w:rFonts w:ascii="宋体" w:hAnsi="宋体" w:eastAsia="宋体" w:cs="宋体"/>
                <w:spacing w:val="-2"/>
                <w:sz w:val="21"/>
                <w:szCs w:val="21"/>
              </w:rPr>
              <w:t>达乌里寒鸦</w:t>
            </w:r>
          </w:p>
        </w:tc>
        <w:tc>
          <w:tcPr>
            <w:tcW w:w="1554" w:type="dxa"/>
            <w:vAlign w:val="top"/>
          </w:tcPr>
          <w:p w14:paraId="35D0C39B">
            <w:pPr>
              <w:pStyle w:val="6"/>
              <w:spacing w:before="100" w:line="186" w:lineRule="auto"/>
              <w:ind w:left="476"/>
            </w:pPr>
            <w:r>
              <w:rPr>
                <w:i/>
                <w:iCs/>
                <w:spacing w:val="-3"/>
              </w:rPr>
              <w:t>Corvus</w:t>
            </w:r>
          </w:p>
          <w:p w14:paraId="4EF17619">
            <w:pPr>
              <w:pStyle w:val="6"/>
              <w:spacing w:before="49" w:line="218" w:lineRule="auto"/>
              <w:ind w:left="350"/>
            </w:pPr>
            <w:r>
              <w:rPr>
                <w:i/>
                <w:iCs/>
                <w:spacing w:val="-1"/>
              </w:rPr>
              <w:t>dauuricus</w:t>
            </w:r>
          </w:p>
        </w:tc>
        <w:tc>
          <w:tcPr>
            <w:tcW w:w="989" w:type="dxa"/>
            <w:vAlign w:val="top"/>
          </w:tcPr>
          <w:p w14:paraId="718C4613">
            <w:pPr>
              <w:rPr>
                <w:rFonts w:ascii="Arial"/>
                <w:sz w:val="21"/>
              </w:rPr>
            </w:pPr>
          </w:p>
        </w:tc>
        <w:tc>
          <w:tcPr>
            <w:tcW w:w="1272" w:type="dxa"/>
            <w:vAlign w:val="top"/>
          </w:tcPr>
          <w:p w14:paraId="0CFF379B">
            <w:pPr>
              <w:rPr>
                <w:rFonts w:ascii="Arial"/>
                <w:sz w:val="21"/>
              </w:rPr>
            </w:pPr>
          </w:p>
        </w:tc>
        <w:tc>
          <w:tcPr>
            <w:tcW w:w="1693" w:type="dxa"/>
            <w:vAlign w:val="top"/>
          </w:tcPr>
          <w:p w14:paraId="7A00F731">
            <w:pPr>
              <w:rPr>
                <w:rFonts w:ascii="Arial"/>
                <w:sz w:val="21"/>
              </w:rPr>
            </w:pPr>
          </w:p>
        </w:tc>
        <w:tc>
          <w:tcPr>
            <w:tcW w:w="845" w:type="dxa"/>
            <w:tcBorders>
              <w:right w:val="single" w:color="000000" w:sz="12" w:space="0"/>
            </w:tcBorders>
            <w:vAlign w:val="top"/>
          </w:tcPr>
          <w:p w14:paraId="7D58F2FA">
            <w:pPr>
              <w:rPr>
                <w:rFonts w:ascii="Arial"/>
                <w:sz w:val="21"/>
              </w:rPr>
            </w:pPr>
          </w:p>
        </w:tc>
      </w:tr>
      <w:tr w14:paraId="770B4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4756E149">
            <w:pPr>
              <w:pStyle w:val="6"/>
              <w:spacing w:before="120" w:line="232" w:lineRule="auto"/>
              <w:ind w:left="307"/>
            </w:pPr>
            <w:r>
              <w:rPr>
                <w:spacing w:val="-3"/>
              </w:rPr>
              <w:t>65</w:t>
            </w:r>
          </w:p>
        </w:tc>
        <w:tc>
          <w:tcPr>
            <w:tcW w:w="1270" w:type="dxa"/>
            <w:vAlign w:val="top"/>
          </w:tcPr>
          <w:p w14:paraId="7D147C5A">
            <w:pPr>
              <w:spacing w:before="85" w:line="220" w:lineRule="auto"/>
              <w:ind w:left="213"/>
              <w:rPr>
                <w:rFonts w:ascii="宋体" w:hAnsi="宋体" w:eastAsia="宋体" w:cs="宋体"/>
                <w:sz w:val="21"/>
                <w:szCs w:val="21"/>
              </w:rPr>
            </w:pPr>
            <w:r>
              <w:rPr>
                <w:rFonts w:ascii="宋体" w:hAnsi="宋体" w:eastAsia="宋体" w:cs="宋体"/>
                <w:spacing w:val="-3"/>
                <w:sz w:val="21"/>
                <w:szCs w:val="21"/>
              </w:rPr>
              <w:t>小嘴乌鸦</w:t>
            </w:r>
          </w:p>
        </w:tc>
        <w:tc>
          <w:tcPr>
            <w:tcW w:w="1554" w:type="dxa"/>
            <w:vAlign w:val="top"/>
          </w:tcPr>
          <w:p w14:paraId="31EE8B36">
            <w:pPr>
              <w:pStyle w:val="6"/>
              <w:spacing w:before="119" w:line="232" w:lineRule="auto"/>
              <w:ind w:left="158"/>
            </w:pPr>
            <w:r>
              <w:rPr>
                <w:i/>
                <w:iCs/>
                <w:spacing w:val="-2"/>
              </w:rPr>
              <w:t>Corvus corone</w:t>
            </w:r>
          </w:p>
        </w:tc>
        <w:tc>
          <w:tcPr>
            <w:tcW w:w="989" w:type="dxa"/>
            <w:vAlign w:val="top"/>
          </w:tcPr>
          <w:p w14:paraId="6CB1FB8C">
            <w:pPr>
              <w:rPr>
                <w:rFonts w:ascii="Arial"/>
                <w:sz w:val="21"/>
              </w:rPr>
            </w:pPr>
          </w:p>
        </w:tc>
        <w:tc>
          <w:tcPr>
            <w:tcW w:w="1272" w:type="dxa"/>
            <w:vAlign w:val="top"/>
          </w:tcPr>
          <w:p w14:paraId="77485D79">
            <w:pPr>
              <w:rPr>
                <w:rFonts w:ascii="Arial"/>
                <w:sz w:val="21"/>
              </w:rPr>
            </w:pPr>
          </w:p>
        </w:tc>
        <w:tc>
          <w:tcPr>
            <w:tcW w:w="1693" w:type="dxa"/>
            <w:vAlign w:val="top"/>
          </w:tcPr>
          <w:p w14:paraId="34330421">
            <w:pPr>
              <w:rPr>
                <w:rFonts w:ascii="Arial"/>
                <w:sz w:val="21"/>
              </w:rPr>
            </w:pPr>
          </w:p>
        </w:tc>
        <w:tc>
          <w:tcPr>
            <w:tcW w:w="845" w:type="dxa"/>
            <w:tcBorders>
              <w:right w:val="single" w:color="000000" w:sz="12" w:space="0"/>
            </w:tcBorders>
            <w:vAlign w:val="top"/>
          </w:tcPr>
          <w:p w14:paraId="15452F77">
            <w:pPr>
              <w:rPr>
                <w:rFonts w:ascii="Arial"/>
                <w:sz w:val="21"/>
              </w:rPr>
            </w:pPr>
          </w:p>
        </w:tc>
      </w:tr>
      <w:tr w14:paraId="395F2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1A81B5E">
            <w:pPr>
              <w:pStyle w:val="6"/>
              <w:spacing w:before="221" w:line="232" w:lineRule="auto"/>
              <w:ind w:left="307"/>
            </w:pPr>
            <w:r>
              <w:rPr>
                <w:spacing w:val="-3"/>
              </w:rPr>
              <w:t>66</w:t>
            </w:r>
          </w:p>
        </w:tc>
        <w:tc>
          <w:tcPr>
            <w:tcW w:w="1270" w:type="dxa"/>
            <w:vAlign w:val="top"/>
          </w:tcPr>
          <w:p w14:paraId="7D540AF3">
            <w:pPr>
              <w:spacing w:before="186" w:line="220" w:lineRule="auto"/>
              <w:ind w:left="209"/>
              <w:rPr>
                <w:rFonts w:ascii="宋体" w:hAnsi="宋体" w:eastAsia="宋体" w:cs="宋体"/>
                <w:sz w:val="21"/>
                <w:szCs w:val="21"/>
              </w:rPr>
            </w:pPr>
            <w:r>
              <w:rPr>
                <w:rFonts w:ascii="宋体" w:hAnsi="宋体" w:eastAsia="宋体" w:cs="宋体"/>
                <w:spacing w:val="-3"/>
                <w:sz w:val="21"/>
                <w:szCs w:val="21"/>
              </w:rPr>
              <w:t>大嘴乌鸦</w:t>
            </w:r>
          </w:p>
        </w:tc>
        <w:tc>
          <w:tcPr>
            <w:tcW w:w="1554" w:type="dxa"/>
            <w:vAlign w:val="top"/>
          </w:tcPr>
          <w:p w14:paraId="137A1940">
            <w:pPr>
              <w:pStyle w:val="6"/>
              <w:spacing w:before="103" w:line="186" w:lineRule="auto"/>
              <w:ind w:left="476"/>
            </w:pPr>
            <w:r>
              <w:rPr>
                <w:i/>
                <w:iCs/>
                <w:spacing w:val="-3"/>
              </w:rPr>
              <w:t>Corvus</w:t>
            </w:r>
          </w:p>
          <w:p w14:paraId="7D11E514">
            <w:pPr>
              <w:pStyle w:val="6"/>
              <w:spacing w:before="51" w:line="190" w:lineRule="auto"/>
              <w:ind w:left="115"/>
            </w:pPr>
            <w:r>
              <w:rPr>
                <w:i/>
                <w:iCs/>
                <w:spacing w:val="-1"/>
              </w:rPr>
              <w:t>macrorhynchos</w:t>
            </w:r>
          </w:p>
        </w:tc>
        <w:tc>
          <w:tcPr>
            <w:tcW w:w="989" w:type="dxa"/>
            <w:vAlign w:val="top"/>
          </w:tcPr>
          <w:p w14:paraId="2A1DCFCE">
            <w:pPr>
              <w:rPr>
                <w:rFonts w:ascii="Arial"/>
                <w:sz w:val="21"/>
              </w:rPr>
            </w:pPr>
          </w:p>
        </w:tc>
        <w:tc>
          <w:tcPr>
            <w:tcW w:w="1272" w:type="dxa"/>
            <w:vAlign w:val="top"/>
          </w:tcPr>
          <w:p w14:paraId="107C1132">
            <w:pPr>
              <w:rPr>
                <w:rFonts w:ascii="Arial"/>
                <w:sz w:val="21"/>
              </w:rPr>
            </w:pPr>
          </w:p>
        </w:tc>
        <w:tc>
          <w:tcPr>
            <w:tcW w:w="1693" w:type="dxa"/>
            <w:vAlign w:val="top"/>
          </w:tcPr>
          <w:p w14:paraId="6B277D76">
            <w:pPr>
              <w:rPr>
                <w:rFonts w:ascii="Arial"/>
                <w:sz w:val="21"/>
              </w:rPr>
            </w:pPr>
          </w:p>
        </w:tc>
        <w:tc>
          <w:tcPr>
            <w:tcW w:w="845" w:type="dxa"/>
            <w:tcBorders>
              <w:right w:val="single" w:color="000000" w:sz="12" w:space="0"/>
            </w:tcBorders>
            <w:vAlign w:val="top"/>
          </w:tcPr>
          <w:p w14:paraId="12BB9F0E">
            <w:pPr>
              <w:rPr>
                <w:rFonts w:ascii="Arial"/>
                <w:sz w:val="21"/>
              </w:rPr>
            </w:pPr>
          </w:p>
        </w:tc>
      </w:tr>
      <w:tr w14:paraId="5196A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A79FFF3">
            <w:pPr>
              <w:pStyle w:val="6"/>
              <w:spacing w:before="127" w:line="186" w:lineRule="auto"/>
              <w:ind w:left="238"/>
            </w:pPr>
            <w:r>
              <w:rPr>
                <w:b/>
                <w:bCs/>
                <w:spacing w:val="-2"/>
              </w:rPr>
              <w:t>F23</w:t>
            </w:r>
          </w:p>
        </w:tc>
        <w:tc>
          <w:tcPr>
            <w:tcW w:w="1270" w:type="dxa"/>
            <w:vAlign w:val="top"/>
          </w:tcPr>
          <w:p w14:paraId="6EE0AEC4">
            <w:pPr>
              <w:spacing w:before="88" w:line="219" w:lineRule="auto"/>
              <w:ind w:left="312"/>
              <w:rPr>
                <w:rFonts w:ascii="宋体" w:hAnsi="宋体" w:eastAsia="宋体" w:cs="宋体"/>
                <w:sz w:val="21"/>
                <w:szCs w:val="21"/>
              </w:rPr>
            </w:pPr>
            <w:r>
              <w:rPr>
                <w:rFonts w:ascii="宋体" w:hAnsi="宋体" w:eastAsia="宋体" w:cs="宋体"/>
                <w:b/>
                <w:bCs/>
                <w:spacing w:val="-4"/>
                <w:sz w:val="21"/>
                <w:szCs w:val="21"/>
              </w:rPr>
              <w:t>玉鹟科</w:t>
            </w:r>
          </w:p>
        </w:tc>
        <w:tc>
          <w:tcPr>
            <w:tcW w:w="1554" w:type="dxa"/>
            <w:vAlign w:val="top"/>
          </w:tcPr>
          <w:p w14:paraId="55724FCA">
            <w:pPr>
              <w:pStyle w:val="6"/>
              <w:spacing w:before="127" w:line="186" w:lineRule="auto"/>
              <w:ind w:left="188"/>
            </w:pPr>
            <w:r>
              <w:rPr>
                <w:b/>
                <w:bCs/>
                <w:spacing w:val="-1"/>
              </w:rPr>
              <w:t>Stenostiridae</w:t>
            </w:r>
          </w:p>
        </w:tc>
        <w:tc>
          <w:tcPr>
            <w:tcW w:w="989" w:type="dxa"/>
            <w:vAlign w:val="top"/>
          </w:tcPr>
          <w:p w14:paraId="5AD363A1">
            <w:pPr>
              <w:pStyle w:val="6"/>
              <w:spacing w:before="127" w:line="186" w:lineRule="auto"/>
              <w:ind w:left="323"/>
            </w:pPr>
            <w:r>
              <w:rPr>
                <w:b/>
                <w:bCs/>
                <w:spacing w:val="-2"/>
              </w:rPr>
              <w:t>F22</w:t>
            </w:r>
          </w:p>
        </w:tc>
        <w:tc>
          <w:tcPr>
            <w:tcW w:w="1272" w:type="dxa"/>
            <w:vAlign w:val="top"/>
          </w:tcPr>
          <w:p w14:paraId="6F78EB4A">
            <w:pPr>
              <w:spacing w:before="88" w:line="219" w:lineRule="auto"/>
              <w:ind w:left="325"/>
              <w:rPr>
                <w:rFonts w:ascii="宋体" w:hAnsi="宋体" w:eastAsia="宋体" w:cs="宋体"/>
                <w:sz w:val="21"/>
                <w:szCs w:val="21"/>
              </w:rPr>
            </w:pPr>
            <w:r>
              <w:rPr>
                <w:rFonts w:ascii="宋体" w:hAnsi="宋体" w:eastAsia="宋体" w:cs="宋体"/>
                <w:b/>
                <w:bCs/>
                <w:spacing w:val="-5"/>
                <w:sz w:val="21"/>
                <w:szCs w:val="21"/>
              </w:rPr>
              <w:t>玉鹟科</w:t>
            </w:r>
          </w:p>
        </w:tc>
        <w:tc>
          <w:tcPr>
            <w:tcW w:w="1693" w:type="dxa"/>
            <w:vAlign w:val="top"/>
          </w:tcPr>
          <w:p w14:paraId="5261F1BC">
            <w:pPr>
              <w:pStyle w:val="6"/>
              <w:spacing w:before="127" w:line="186" w:lineRule="auto"/>
              <w:ind w:left="272"/>
            </w:pPr>
            <w:r>
              <w:rPr>
                <w:b/>
                <w:bCs/>
                <w:spacing w:val="-1"/>
              </w:rPr>
              <w:t>Stenostiridae</w:t>
            </w:r>
          </w:p>
        </w:tc>
        <w:tc>
          <w:tcPr>
            <w:tcW w:w="845" w:type="dxa"/>
            <w:tcBorders>
              <w:right w:val="single" w:color="000000" w:sz="12" w:space="0"/>
            </w:tcBorders>
            <w:vAlign w:val="top"/>
          </w:tcPr>
          <w:p w14:paraId="07FA4BB7">
            <w:pPr>
              <w:rPr>
                <w:rFonts w:ascii="Arial"/>
                <w:sz w:val="21"/>
              </w:rPr>
            </w:pPr>
          </w:p>
        </w:tc>
      </w:tr>
      <w:tr w14:paraId="7E559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67B2910">
            <w:pPr>
              <w:pStyle w:val="6"/>
              <w:spacing w:before="221" w:line="232" w:lineRule="auto"/>
              <w:ind w:left="307"/>
            </w:pPr>
            <w:r>
              <w:rPr>
                <w:spacing w:val="-3"/>
              </w:rPr>
              <w:t>67</w:t>
            </w:r>
          </w:p>
        </w:tc>
        <w:tc>
          <w:tcPr>
            <w:tcW w:w="1270" w:type="dxa"/>
            <w:vAlign w:val="top"/>
          </w:tcPr>
          <w:p w14:paraId="5D741286">
            <w:pPr>
              <w:spacing w:before="188" w:line="221" w:lineRule="auto"/>
              <w:ind w:left="313"/>
              <w:rPr>
                <w:rFonts w:ascii="宋体" w:hAnsi="宋体" w:eastAsia="宋体" w:cs="宋体"/>
                <w:sz w:val="21"/>
                <w:szCs w:val="21"/>
              </w:rPr>
            </w:pPr>
            <w:r>
              <w:rPr>
                <w:rFonts w:ascii="宋体" w:hAnsi="宋体" w:eastAsia="宋体" w:cs="宋体"/>
                <w:spacing w:val="-3"/>
                <w:sz w:val="21"/>
                <w:szCs w:val="21"/>
              </w:rPr>
              <w:t>方尾鹟</w:t>
            </w:r>
          </w:p>
        </w:tc>
        <w:tc>
          <w:tcPr>
            <w:tcW w:w="1554" w:type="dxa"/>
            <w:vAlign w:val="top"/>
          </w:tcPr>
          <w:p w14:paraId="294E137C">
            <w:pPr>
              <w:pStyle w:val="6"/>
              <w:spacing w:before="102" w:line="190" w:lineRule="auto"/>
              <w:ind w:left="319"/>
            </w:pPr>
            <w:r>
              <w:rPr>
                <w:i/>
                <w:iCs/>
                <w:spacing w:val="-2"/>
              </w:rPr>
              <w:t>Culicicapa</w:t>
            </w:r>
          </w:p>
          <w:p w14:paraId="3FBE4C15">
            <w:pPr>
              <w:pStyle w:val="6"/>
              <w:spacing w:before="49" w:line="190" w:lineRule="auto"/>
              <w:ind w:left="287"/>
            </w:pPr>
            <w:r>
              <w:rPr>
                <w:i/>
                <w:iCs/>
                <w:spacing w:val="-1"/>
              </w:rPr>
              <w:t>ceylonensis</w:t>
            </w:r>
          </w:p>
        </w:tc>
        <w:tc>
          <w:tcPr>
            <w:tcW w:w="989" w:type="dxa"/>
            <w:vAlign w:val="top"/>
          </w:tcPr>
          <w:p w14:paraId="70AE04A8">
            <w:pPr>
              <w:pStyle w:val="6"/>
              <w:spacing w:before="221" w:line="232" w:lineRule="auto"/>
              <w:ind w:left="386"/>
            </w:pPr>
            <w:r>
              <w:rPr>
                <w:spacing w:val="-1"/>
              </w:rPr>
              <w:t>47</w:t>
            </w:r>
          </w:p>
        </w:tc>
        <w:tc>
          <w:tcPr>
            <w:tcW w:w="1272" w:type="dxa"/>
            <w:vAlign w:val="top"/>
          </w:tcPr>
          <w:p w14:paraId="3A2FE420">
            <w:pPr>
              <w:spacing w:before="188" w:line="221" w:lineRule="auto"/>
              <w:ind w:left="326"/>
              <w:rPr>
                <w:rFonts w:ascii="宋体" w:hAnsi="宋体" w:eastAsia="宋体" w:cs="宋体"/>
                <w:sz w:val="21"/>
                <w:szCs w:val="21"/>
              </w:rPr>
            </w:pPr>
            <w:r>
              <w:rPr>
                <w:rFonts w:ascii="宋体" w:hAnsi="宋体" w:eastAsia="宋体" w:cs="宋体"/>
                <w:spacing w:val="-3"/>
                <w:sz w:val="21"/>
                <w:szCs w:val="21"/>
              </w:rPr>
              <w:t>方尾鹟</w:t>
            </w:r>
          </w:p>
        </w:tc>
        <w:tc>
          <w:tcPr>
            <w:tcW w:w="1693" w:type="dxa"/>
            <w:vAlign w:val="top"/>
          </w:tcPr>
          <w:p w14:paraId="39CCFFAA">
            <w:pPr>
              <w:pStyle w:val="6"/>
              <w:spacing w:before="102" w:line="190" w:lineRule="auto"/>
              <w:ind w:left="404"/>
            </w:pPr>
            <w:r>
              <w:rPr>
                <w:i/>
                <w:iCs/>
                <w:spacing w:val="-2"/>
              </w:rPr>
              <w:t>Culicicapa</w:t>
            </w:r>
          </w:p>
          <w:p w14:paraId="50470760">
            <w:pPr>
              <w:pStyle w:val="6"/>
              <w:spacing w:before="49" w:line="190" w:lineRule="auto"/>
              <w:ind w:left="371"/>
            </w:pPr>
            <w:r>
              <w:rPr>
                <w:i/>
                <w:iCs/>
                <w:spacing w:val="-1"/>
              </w:rPr>
              <w:t>ceylonensis</w:t>
            </w:r>
          </w:p>
        </w:tc>
        <w:tc>
          <w:tcPr>
            <w:tcW w:w="845" w:type="dxa"/>
            <w:tcBorders>
              <w:right w:val="single" w:color="000000" w:sz="12" w:space="0"/>
            </w:tcBorders>
            <w:vAlign w:val="top"/>
          </w:tcPr>
          <w:p w14:paraId="660C4659">
            <w:pPr>
              <w:rPr>
                <w:rFonts w:ascii="Arial"/>
                <w:sz w:val="21"/>
              </w:rPr>
            </w:pPr>
          </w:p>
        </w:tc>
      </w:tr>
      <w:tr w14:paraId="4457F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4A4959A5">
            <w:pPr>
              <w:pStyle w:val="6"/>
              <w:spacing w:before="129" w:line="186" w:lineRule="auto"/>
              <w:ind w:left="238"/>
            </w:pPr>
            <w:r>
              <w:rPr>
                <w:b/>
                <w:bCs/>
                <w:spacing w:val="-2"/>
              </w:rPr>
              <w:t>F24</w:t>
            </w:r>
          </w:p>
        </w:tc>
        <w:tc>
          <w:tcPr>
            <w:tcW w:w="1270" w:type="dxa"/>
            <w:vAlign w:val="top"/>
          </w:tcPr>
          <w:p w14:paraId="0B532B93">
            <w:pPr>
              <w:spacing w:before="90" w:line="219" w:lineRule="auto"/>
              <w:ind w:left="330"/>
              <w:rPr>
                <w:rFonts w:ascii="宋体" w:hAnsi="宋体" w:eastAsia="宋体" w:cs="宋体"/>
                <w:sz w:val="21"/>
                <w:szCs w:val="21"/>
              </w:rPr>
            </w:pPr>
            <w:r>
              <w:rPr>
                <w:rFonts w:ascii="宋体" w:hAnsi="宋体" w:eastAsia="宋体" w:cs="宋体"/>
                <w:b/>
                <w:bCs/>
                <w:spacing w:val="-8"/>
                <w:sz w:val="21"/>
                <w:szCs w:val="21"/>
              </w:rPr>
              <w:t>山雀科</w:t>
            </w:r>
          </w:p>
        </w:tc>
        <w:tc>
          <w:tcPr>
            <w:tcW w:w="1554" w:type="dxa"/>
            <w:vAlign w:val="top"/>
          </w:tcPr>
          <w:p w14:paraId="28A8DAFD">
            <w:pPr>
              <w:pStyle w:val="6"/>
              <w:spacing w:before="129" w:line="186" w:lineRule="auto"/>
              <w:ind w:left="421"/>
            </w:pPr>
            <w:r>
              <w:rPr>
                <w:b/>
                <w:bCs/>
                <w:spacing w:val="-1"/>
              </w:rPr>
              <w:t>Paridae</w:t>
            </w:r>
          </w:p>
        </w:tc>
        <w:tc>
          <w:tcPr>
            <w:tcW w:w="989" w:type="dxa"/>
            <w:vAlign w:val="top"/>
          </w:tcPr>
          <w:p w14:paraId="452BBB55">
            <w:pPr>
              <w:pStyle w:val="6"/>
              <w:spacing w:before="129" w:line="186" w:lineRule="auto"/>
              <w:ind w:left="323"/>
            </w:pPr>
            <w:r>
              <w:rPr>
                <w:b/>
                <w:bCs/>
                <w:spacing w:val="-2"/>
              </w:rPr>
              <w:t>F23</w:t>
            </w:r>
          </w:p>
        </w:tc>
        <w:tc>
          <w:tcPr>
            <w:tcW w:w="1272" w:type="dxa"/>
            <w:vAlign w:val="top"/>
          </w:tcPr>
          <w:p w14:paraId="65DC9E92">
            <w:pPr>
              <w:spacing w:before="90" w:line="219" w:lineRule="auto"/>
              <w:ind w:left="343"/>
              <w:rPr>
                <w:rFonts w:ascii="宋体" w:hAnsi="宋体" w:eastAsia="宋体" w:cs="宋体"/>
                <w:sz w:val="21"/>
                <w:szCs w:val="21"/>
              </w:rPr>
            </w:pPr>
            <w:r>
              <w:rPr>
                <w:rFonts w:ascii="宋体" w:hAnsi="宋体" w:eastAsia="宋体" w:cs="宋体"/>
                <w:b/>
                <w:bCs/>
                <w:spacing w:val="-8"/>
                <w:sz w:val="21"/>
                <w:szCs w:val="21"/>
              </w:rPr>
              <w:t>山雀科</w:t>
            </w:r>
          </w:p>
        </w:tc>
        <w:tc>
          <w:tcPr>
            <w:tcW w:w="1693" w:type="dxa"/>
            <w:vAlign w:val="top"/>
          </w:tcPr>
          <w:p w14:paraId="018EBE2A">
            <w:pPr>
              <w:pStyle w:val="6"/>
              <w:spacing w:before="129" w:line="186" w:lineRule="auto"/>
              <w:ind w:left="505"/>
            </w:pPr>
            <w:r>
              <w:rPr>
                <w:b/>
                <w:bCs/>
                <w:spacing w:val="-1"/>
              </w:rPr>
              <w:t>Paridae</w:t>
            </w:r>
          </w:p>
        </w:tc>
        <w:tc>
          <w:tcPr>
            <w:tcW w:w="845" w:type="dxa"/>
            <w:tcBorders>
              <w:right w:val="single" w:color="000000" w:sz="12" w:space="0"/>
            </w:tcBorders>
            <w:vAlign w:val="top"/>
          </w:tcPr>
          <w:p w14:paraId="0998C8B9">
            <w:pPr>
              <w:rPr>
                <w:rFonts w:ascii="Arial"/>
                <w:sz w:val="21"/>
              </w:rPr>
            </w:pPr>
          </w:p>
        </w:tc>
      </w:tr>
      <w:tr w14:paraId="39C44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7C00D06">
            <w:pPr>
              <w:pStyle w:val="6"/>
              <w:spacing w:before="126" w:line="232" w:lineRule="auto"/>
              <w:ind w:left="307"/>
            </w:pPr>
            <w:r>
              <w:rPr>
                <w:spacing w:val="-3"/>
              </w:rPr>
              <w:t>68</w:t>
            </w:r>
          </w:p>
        </w:tc>
        <w:tc>
          <w:tcPr>
            <w:tcW w:w="1270" w:type="dxa"/>
            <w:vAlign w:val="top"/>
          </w:tcPr>
          <w:p w14:paraId="0B2BF386">
            <w:pPr>
              <w:spacing w:before="92" w:line="220" w:lineRule="auto"/>
              <w:ind w:left="315"/>
              <w:rPr>
                <w:rFonts w:ascii="宋体" w:hAnsi="宋体" w:eastAsia="宋体" w:cs="宋体"/>
                <w:sz w:val="21"/>
                <w:szCs w:val="21"/>
              </w:rPr>
            </w:pPr>
            <w:r>
              <w:rPr>
                <w:rFonts w:ascii="宋体" w:hAnsi="宋体" w:eastAsia="宋体" w:cs="宋体"/>
                <w:spacing w:val="-3"/>
                <w:sz w:val="21"/>
                <w:szCs w:val="21"/>
              </w:rPr>
              <w:t>大山雀</w:t>
            </w:r>
          </w:p>
        </w:tc>
        <w:tc>
          <w:tcPr>
            <w:tcW w:w="1554" w:type="dxa"/>
            <w:vAlign w:val="top"/>
          </w:tcPr>
          <w:p w14:paraId="2D9B1114">
            <w:pPr>
              <w:pStyle w:val="6"/>
              <w:spacing w:before="125" w:line="233" w:lineRule="auto"/>
              <w:ind w:left="127"/>
            </w:pPr>
            <w:r>
              <w:rPr>
                <w:i/>
                <w:iCs/>
              </w:rPr>
              <w:t>Parus</w:t>
            </w:r>
            <w:r>
              <w:rPr>
                <w:i/>
                <w:iCs/>
                <w:spacing w:val="4"/>
              </w:rPr>
              <w:t xml:space="preserve"> </w:t>
            </w:r>
            <w:r>
              <w:rPr>
                <w:i/>
                <w:iCs/>
              </w:rPr>
              <w:t>cinereus</w:t>
            </w:r>
          </w:p>
        </w:tc>
        <w:tc>
          <w:tcPr>
            <w:tcW w:w="989" w:type="dxa"/>
            <w:vAlign w:val="top"/>
          </w:tcPr>
          <w:p w14:paraId="3EAF6A74">
            <w:pPr>
              <w:pStyle w:val="6"/>
              <w:spacing w:before="126" w:line="232" w:lineRule="auto"/>
              <w:ind w:left="386"/>
            </w:pPr>
            <w:r>
              <w:rPr>
                <w:spacing w:val="-1"/>
              </w:rPr>
              <w:t>48</w:t>
            </w:r>
          </w:p>
        </w:tc>
        <w:tc>
          <w:tcPr>
            <w:tcW w:w="1272" w:type="dxa"/>
            <w:vAlign w:val="top"/>
          </w:tcPr>
          <w:p w14:paraId="03FDD38B">
            <w:pPr>
              <w:spacing w:before="92" w:line="220" w:lineRule="auto"/>
              <w:ind w:left="328"/>
              <w:rPr>
                <w:rFonts w:ascii="宋体" w:hAnsi="宋体" w:eastAsia="宋体" w:cs="宋体"/>
                <w:sz w:val="21"/>
                <w:szCs w:val="21"/>
              </w:rPr>
            </w:pPr>
            <w:r>
              <w:rPr>
                <w:rFonts w:ascii="宋体" w:hAnsi="宋体" w:eastAsia="宋体" w:cs="宋体"/>
                <w:spacing w:val="-3"/>
                <w:sz w:val="21"/>
                <w:szCs w:val="21"/>
              </w:rPr>
              <w:t>大山雀</w:t>
            </w:r>
          </w:p>
        </w:tc>
        <w:tc>
          <w:tcPr>
            <w:tcW w:w="1693" w:type="dxa"/>
            <w:vAlign w:val="top"/>
          </w:tcPr>
          <w:p w14:paraId="5C7E8B7C">
            <w:pPr>
              <w:pStyle w:val="6"/>
              <w:spacing w:before="125" w:line="233" w:lineRule="auto"/>
              <w:ind w:left="212"/>
            </w:pPr>
            <w:r>
              <w:rPr>
                <w:i/>
                <w:iCs/>
              </w:rPr>
              <w:t>Parus</w:t>
            </w:r>
            <w:r>
              <w:rPr>
                <w:i/>
                <w:iCs/>
                <w:spacing w:val="4"/>
              </w:rPr>
              <w:t xml:space="preserve"> </w:t>
            </w:r>
            <w:r>
              <w:rPr>
                <w:i/>
                <w:iCs/>
              </w:rPr>
              <w:t>cinereus</w:t>
            </w:r>
          </w:p>
        </w:tc>
        <w:tc>
          <w:tcPr>
            <w:tcW w:w="845" w:type="dxa"/>
            <w:tcBorders>
              <w:right w:val="single" w:color="000000" w:sz="12" w:space="0"/>
            </w:tcBorders>
            <w:vAlign w:val="top"/>
          </w:tcPr>
          <w:p w14:paraId="2141414B">
            <w:pPr>
              <w:rPr>
                <w:rFonts w:ascii="Arial"/>
                <w:sz w:val="21"/>
              </w:rPr>
            </w:pPr>
          </w:p>
        </w:tc>
      </w:tr>
      <w:tr w14:paraId="02993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70849AB1">
            <w:pPr>
              <w:pStyle w:val="6"/>
              <w:spacing w:before="224" w:line="232" w:lineRule="auto"/>
              <w:ind w:left="307"/>
            </w:pPr>
            <w:r>
              <w:rPr>
                <w:spacing w:val="-3"/>
              </w:rPr>
              <w:t>69</w:t>
            </w:r>
          </w:p>
        </w:tc>
        <w:tc>
          <w:tcPr>
            <w:tcW w:w="1270" w:type="dxa"/>
            <w:vAlign w:val="top"/>
          </w:tcPr>
          <w:p w14:paraId="109EDF6B">
            <w:pPr>
              <w:spacing w:before="190" w:line="220" w:lineRule="auto"/>
              <w:ind w:left="209"/>
              <w:rPr>
                <w:rFonts w:ascii="宋体" w:hAnsi="宋体" w:eastAsia="宋体" w:cs="宋体"/>
                <w:sz w:val="21"/>
                <w:szCs w:val="21"/>
              </w:rPr>
            </w:pPr>
            <w:r>
              <w:rPr>
                <w:rFonts w:ascii="宋体" w:hAnsi="宋体" w:eastAsia="宋体" w:cs="宋体"/>
                <w:spacing w:val="-2"/>
                <w:sz w:val="21"/>
                <w:szCs w:val="21"/>
              </w:rPr>
              <w:t>绿背山雀</w:t>
            </w:r>
          </w:p>
        </w:tc>
        <w:tc>
          <w:tcPr>
            <w:tcW w:w="1554" w:type="dxa"/>
            <w:vAlign w:val="top"/>
          </w:tcPr>
          <w:p w14:paraId="1BF596F1">
            <w:pPr>
              <w:pStyle w:val="6"/>
              <w:spacing w:before="111" w:line="183" w:lineRule="auto"/>
              <w:ind w:left="509"/>
            </w:pPr>
            <w:r>
              <w:rPr>
                <w:i/>
                <w:iCs/>
                <w:spacing w:val="1"/>
              </w:rPr>
              <w:t>Parus</w:t>
            </w:r>
          </w:p>
          <w:p w14:paraId="6BE531A5">
            <w:pPr>
              <w:pStyle w:val="6"/>
              <w:spacing w:before="50" w:line="209" w:lineRule="auto"/>
              <w:ind w:left="309"/>
            </w:pPr>
            <w:r>
              <w:rPr>
                <w:i/>
                <w:iCs/>
                <w:spacing w:val="-1"/>
              </w:rPr>
              <w:t>monticolus</w:t>
            </w:r>
          </w:p>
        </w:tc>
        <w:tc>
          <w:tcPr>
            <w:tcW w:w="989" w:type="dxa"/>
            <w:vAlign w:val="top"/>
          </w:tcPr>
          <w:p w14:paraId="290671B6">
            <w:pPr>
              <w:pStyle w:val="6"/>
              <w:spacing w:before="224" w:line="232" w:lineRule="auto"/>
              <w:ind w:left="386"/>
            </w:pPr>
            <w:r>
              <w:rPr>
                <w:spacing w:val="-1"/>
              </w:rPr>
              <w:t>49</w:t>
            </w:r>
          </w:p>
        </w:tc>
        <w:tc>
          <w:tcPr>
            <w:tcW w:w="1272" w:type="dxa"/>
            <w:vAlign w:val="top"/>
          </w:tcPr>
          <w:p w14:paraId="4096358B">
            <w:pPr>
              <w:spacing w:before="190" w:line="220" w:lineRule="auto"/>
              <w:ind w:left="223"/>
              <w:rPr>
                <w:rFonts w:ascii="宋体" w:hAnsi="宋体" w:eastAsia="宋体" w:cs="宋体"/>
                <w:sz w:val="21"/>
                <w:szCs w:val="21"/>
              </w:rPr>
            </w:pPr>
            <w:r>
              <w:rPr>
                <w:rFonts w:ascii="宋体" w:hAnsi="宋体" w:eastAsia="宋体" w:cs="宋体"/>
                <w:spacing w:val="-2"/>
                <w:sz w:val="21"/>
                <w:szCs w:val="21"/>
              </w:rPr>
              <w:t>绿背山雀</w:t>
            </w:r>
          </w:p>
        </w:tc>
        <w:tc>
          <w:tcPr>
            <w:tcW w:w="1693" w:type="dxa"/>
            <w:vAlign w:val="top"/>
          </w:tcPr>
          <w:p w14:paraId="0EC949A1">
            <w:pPr>
              <w:pStyle w:val="6"/>
              <w:spacing w:before="224" w:line="233" w:lineRule="auto"/>
              <w:ind w:left="107"/>
            </w:pPr>
            <w:r>
              <w:rPr>
                <w:i/>
                <w:iCs/>
              </w:rPr>
              <w:t>Parus</w:t>
            </w:r>
            <w:r>
              <w:rPr>
                <w:i/>
                <w:iCs/>
                <w:spacing w:val="5"/>
              </w:rPr>
              <w:t xml:space="preserve"> </w:t>
            </w:r>
            <w:r>
              <w:rPr>
                <w:i/>
                <w:iCs/>
              </w:rPr>
              <w:t>monticolus</w:t>
            </w:r>
          </w:p>
        </w:tc>
        <w:tc>
          <w:tcPr>
            <w:tcW w:w="845" w:type="dxa"/>
            <w:tcBorders>
              <w:right w:val="single" w:color="000000" w:sz="12" w:space="0"/>
            </w:tcBorders>
            <w:vAlign w:val="top"/>
          </w:tcPr>
          <w:p w14:paraId="35414D3F">
            <w:pPr>
              <w:rPr>
                <w:rFonts w:ascii="Arial"/>
                <w:sz w:val="21"/>
              </w:rPr>
            </w:pPr>
          </w:p>
        </w:tc>
      </w:tr>
      <w:tr w14:paraId="0A514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91A566A">
            <w:pPr>
              <w:pStyle w:val="6"/>
              <w:spacing w:before="227" w:line="232" w:lineRule="auto"/>
              <w:ind w:left="306"/>
            </w:pPr>
            <w:r>
              <w:rPr>
                <w:spacing w:val="-2"/>
              </w:rPr>
              <w:t>70</w:t>
            </w:r>
          </w:p>
        </w:tc>
        <w:tc>
          <w:tcPr>
            <w:tcW w:w="1270" w:type="dxa"/>
            <w:vAlign w:val="top"/>
          </w:tcPr>
          <w:p w14:paraId="0E445FB0">
            <w:pPr>
              <w:spacing w:before="193" w:line="220" w:lineRule="auto"/>
              <w:ind w:left="206"/>
              <w:rPr>
                <w:rFonts w:ascii="宋体" w:hAnsi="宋体" w:eastAsia="宋体" w:cs="宋体"/>
                <w:sz w:val="21"/>
                <w:szCs w:val="21"/>
              </w:rPr>
            </w:pPr>
            <w:r>
              <w:rPr>
                <w:rFonts w:ascii="宋体" w:hAnsi="宋体" w:eastAsia="宋体" w:cs="宋体"/>
                <w:spacing w:val="-2"/>
                <w:sz w:val="21"/>
                <w:szCs w:val="21"/>
              </w:rPr>
              <w:t>黄颊山雀</w:t>
            </w:r>
          </w:p>
        </w:tc>
        <w:tc>
          <w:tcPr>
            <w:tcW w:w="1554" w:type="dxa"/>
            <w:vAlign w:val="top"/>
          </w:tcPr>
          <w:p w14:paraId="4A4196D9">
            <w:pPr>
              <w:pStyle w:val="6"/>
              <w:spacing w:before="106" w:line="190" w:lineRule="auto"/>
              <w:ind w:left="158"/>
            </w:pPr>
            <w:r>
              <w:rPr>
                <w:i/>
                <w:iCs/>
              </w:rPr>
              <w:t>Machlolophus</w:t>
            </w:r>
          </w:p>
          <w:p w14:paraId="50447477">
            <w:pPr>
              <w:pStyle w:val="6"/>
              <w:spacing w:before="50" w:line="190" w:lineRule="auto"/>
              <w:ind w:left="332"/>
            </w:pPr>
            <w:r>
              <w:rPr>
                <w:i/>
                <w:iCs/>
              </w:rPr>
              <w:t>spilonotus</w:t>
            </w:r>
          </w:p>
        </w:tc>
        <w:tc>
          <w:tcPr>
            <w:tcW w:w="989" w:type="dxa"/>
            <w:vAlign w:val="top"/>
          </w:tcPr>
          <w:p w14:paraId="34F8D67D">
            <w:pPr>
              <w:rPr>
                <w:rFonts w:ascii="Arial"/>
                <w:sz w:val="21"/>
              </w:rPr>
            </w:pPr>
          </w:p>
        </w:tc>
        <w:tc>
          <w:tcPr>
            <w:tcW w:w="1272" w:type="dxa"/>
            <w:vAlign w:val="top"/>
          </w:tcPr>
          <w:p w14:paraId="3331762A">
            <w:pPr>
              <w:rPr>
                <w:rFonts w:ascii="Arial"/>
                <w:sz w:val="21"/>
              </w:rPr>
            </w:pPr>
          </w:p>
        </w:tc>
        <w:tc>
          <w:tcPr>
            <w:tcW w:w="1693" w:type="dxa"/>
            <w:vAlign w:val="top"/>
          </w:tcPr>
          <w:p w14:paraId="70E38A04">
            <w:pPr>
              <w:rPr>
                <w:rFonts w:ascii="Arial"/>
                <w:sz w:val="21"/>
              </w:rPr>
            </w:pPr>
          </w:p>
        </w:tc>
        <w:tc>
          <w:tcPr>
            <w:tcW w:w="845" w:type="dxa"/>
            <w:tcBorders>
              <w:right w:val="single" w:color="000000" w:sz="12" w:space="0"/>
            </w:tcBorders>
            <w:vAlign w:val="top"/>
          </w:tcPr>
          <w:p w14:paraId="504CFD50">
            <w:pPr>
              <w:rPr>
                <w:rFonts w:ascii="Arial"/>
                <w:sz w:val="21"/>
              </w:rPr>
            </w:pPr>
          </w:p>
        </w:tc>
      </w:tr>
      <w:tr w14:paraId="75C19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C0DEFEC">
            <w:pPr>
              <w:pStyle w:val="6"/>
              <w:spacing w:before="133" w:line="186" w:lineRule="auto"/>
              <w:ind w:left="238"/>
            </w:pPr>
            <w:r>
              <w:rPr>
                <w:b/>
                <w:bCs/>
                <w:spacing w:val="-2"/>
              </w:rPr>
              <w:t>F25</w:t>
            </w:r>
          </w:p>
        </w:tc>
        <w:tc>
          <w:tcPr>
            <w:tcW w:w="1270" w:type="dxa"/>
            <w:vAlign w:val="top"/>
          </w:tcPr>
          <w:p w14:paraId="273A7CED">
            <w:pPr>
              <w:spacing w:before="95" w:line="219" w:lineRule="auto"/>
              <w:ind w:left="319"/>
              <w:rPr>
                <w:rFonts w:ascii="宋体" w:hAnsi="宋体" w:eastAsia="宋体" w:cs="宋体"/>
                <w:sz w:val="21"/>
                <w:szCs w:val="21"/>
              </w:rPr>
            </w:pPr>
            <w:r>
              <w:rPr>
                <w:rFonts w:ascii="宋体" w:hAnsi="宋体" w:eastAsia="宋体" w:cs="宋体"/>
                <w:b/>
                <w:bCs/>
                <w:spacing w:val="-7"/>
                <w:sz w:val="21"/>
                <w:szCs w:val="21"/>
              </w:rPr>
              <w:t>百灵科</w:t>
            </w:r>
          </w:p>
        </w:tc>
        <w:tc>
          <w:tcPr>
            <w:tcW w:w="1554" w:type="dxa"/>
            <w:vAlign w:val="top"/>
          </w:tcPr>
          <w:p w14:paraId="7A3BACA0">
            <w:pPr>
              <w:pStyle w:val="6"/>
              <w:spacing w:before="133" w:line="186" w:lineRule="auto"/>
              <w:ind w:left="307"/>
            </w:pPr>
            <w:r>
              <w:rPr>
                <w:b/>
                <w:bCs/>
                <w:spacing w:val="-1"/>
              </w:rPr>
              <w:t>Alaudidae</w:t>
            </w:r>
          </w:p>
        </w:tc>
        <w:tc>
          <w:tcPr>
            <w:tcW w:w="989" w:type="dxa"/>
            <w:vAlign w:val="top"/>
          </w:tcPr>
          <w:p w14:paraId="4EF4CFAA">
            <w:pPr>
              <w:rPr>
                <w:rFonts w:ascii="Arial"/>
                <w:sz w:val="21"/>
              </w:rPr>
            </w:pPr>
          </w:p>
        </w:tc>
        <w:tc>
          <w:tcPr>
            <w:tcW w:w="1272" w:type="dxa"/>
            <w:vAlign w:val="top"/>
          </w:tcPr>
          <w:p w14:paraId="2703D78A">
            <w:pPr>
              <w:rPr>
                <w:rFonts w:ascii="Arial"/>
                <w:sz w:val="21"/>
              </w:rPr>
            </w:pPr>
          </w:p>
        </w:tc>
        <w:tc>
          <w:tcPr>
            <w:tcW w:w="1693" w:type="dxa"/>
            <w:vAlign w:val="top"/>
          </w:tcPr>
          <w:p w14:paraId="6A2E98DC">
            <w:pPr>
              <w:rPr>
                <w:rFonts w:ascii="Arial"/>
                <w:sz w:val="21"/>
              </w:rPr>
            </w:pPr>
          </w:p>
        </w:tc>
        <w:tc>
          <w:tcPr>
            <w:tcW w:w="845" w:type="dxa"/>
            <w:tcBorders>
              <w:right w:val="single" w:color="000000" w:sz="12" w:space="0"/>
            </w:tcBorders>
            <w:vAlign w:val="top"/>
          </w:tcPr>
          <w:p w14:paraId="35880F98">
            <w:pPr>
              <w:rPr>
                <w:rFonts w:ascii="Arial"/>
                <w:sz w:val="21"/>
              </w:rPr>
            </w:pPr>
          </w:p>
        </w:tc>
      </w:tr>
      <w:tr w14:paraId="6905A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7B520D01">
            <w:pPr>
              <w:pStyle w:val="6"/>
              <w:spacing w:before="122" w:line="222" w:lineRule="auto"/>
              <w:ind w:left="306"/>
            </w:pPr>
            <w:r>
              <w:rPr>
                <w:spacing w:val="-2"/>
              </w:rPr>
              <w:t>71</w:t>
            </w:r>
          </w:p>
        </w:tc>
        <w:tc>
          <w:tcPr>
            <w:tcW w:w="1270" w:type="dxa"/>
            <w:vAlign w:val="top"/>
          </w:tcPr>
          <w:p w14:paraId="768D2B98">
            <w:pPr>
              <w:spacing w:before="88" w:line="220" w:lineRule="auto"/>
              <w:ind w:left="318"/>
              <w:rPr>
                <w:rFonts w:ascii="宋体" w:hAnsi="宋体" w:eastAsia="宋体" w:cs="宋体"/>
                <w:sz w:val="21"/>
                <w:szCs w:val="21"/>
              </w:rPr>
            </w:pPr>
            <w:r>
              <w:rPr>
                <w:rFonts w:ascii="宋体" w:hAnsi="宋体" w:eastAsia="宋体" w:cs="宋体"/>
                <w:spacing w:val="-4"/>
                <w:sz w:val="21"/>
                <w:szCs w:val="21"/>
              </w:rPr>
              <w:t>小云雀</w:t>
            </w:r>
          </w:p>
        </w:tc>
        <w:tc>
          <w:tcPr>
            <w:tcW w:w="1554" w:type="dxa"/>
            <w:vAlign w:val="top"/>
          </w:tcPr>
          <w:p w14:paraId="215CE211">
            <w:pPr>
              <w:pStyle w:val="6"/>
              <w:spacing w:before="122" w:line="190" w:lineRule="auto"/>
              <w:ind w:left="105"/>
            </w:pPr>
            <w:r>
              <w:rPr>
                <w:i/>
                <w:iCs/>
              </w:rPr>
              <w:t>Alauda</w:t>
            </w:r>
            <w:r>
              <w:rPr>
                <w:i/>
                <w:iCs/>
                <w:spacing w:val="13"/>
              </w:rPr>
              <w:t xml:space="preserve"> </w:t>
            </w:r>
            <w:r>
              <w:rPr>
                <w:i/>
                <w:iCs/>
              </w:rPr>
              <w:t>gulgula</w:t>
            </w:r>
          </w:p>
        </w:tc>
        <w:tc>
          <w:tcPr>
            <w:tcW w:w="989" w:type="dxa"/>
            <w:vAlign w:val="top"/>
          </w:tcPr>
          <w:p w14:paraId="06325A22">
            <w:pPr>
              <w:rPr>
                <w:rFonts w:ascii="Arial"/>
                <w:sz w:val="21"/>
              </w:rPr>
            </w:pPr>
          </w:p>
        </w:tc>
        <w:tc>
          <w:tcPr>
            <w:tcW w:w="1272" w:type="dxa"/>
            <w:vAlign w:val="top"/>
          </w:tcPr>
          <w:p w14:paraId="0B945317">
            <w:pPr>
              <w:rPr>
                <w:rFonts w:ascii="Arial"/>
                <w:sz w:val="21"/>
              </w:rPr>
            </w:pPr>
          </w:p>
        </w:tc>
        <w:tc>
          <w:tcPr>
            <w:tcW w:w="1693" w:type="dxa"/>
            <w:vAlign w:val="top"/>
          </w:tcPr>
          <w:p w14:paraId="183D795C">
            <w:pPr>
              <w:rPr>
                <w:rFonts w:ascii="Arial"/>
                <w:sz w:val="21"/>
              </w:rPr>
            </w:pPr>
          </w:p>
        </w:tc>
        <w:tc>
          <w:tcPr>
            <w:tcW w:w="845" w:type="dxa"/>
            <w:tcBorders>
              <w:right w:val="single" w:color="000000" w:sz="12" w:space="0"/>
            </w:tcBorders>
            <w:vAlign w:val="top"/>
          </w:tcPr>
          <w:p w14:paraId="3E4D0668">
            <w:pPr>
              <w:rPr>
                <w:rFonts w:ascii="Arial"/>
                <w:sz w:val="21"/>
              </w:rPr>
            </w:pPr>
          </w:p>
        </w:tc>
      </w:tr>
      <w:tr w14:paraId="61FE6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4A5A6B61">
            <w:pPr>
              <w:pStyle w:val="6"/>
              <w:spacing w:before="128" w:line="186" w:lineRule="auto"/>
              <w:ind w:left="238"/>
            </w:pPr>
            <w:r>
              <w:rPr>
                <w:b/>
                <w:bCs/>
                <w:spacing w:val="-2"/>
              </w:rPr>
              <w:t>F26</w:t>
            </w:r>
          </w:p>
        </w:tc>
        <w:tc>
          <w:tcPr>
            <w:tcW w:w="1270" w:type="dxa"/>
            <w:vAlign w:val="top"/>
          </w:tcPr>
          <w:p w14:paraId="234F0DCF">
            <w:pPr>
              <w:spacing w:before="90" w:line="219" w:lineRule="auto"/>
              <w:ind w:left="206"/>
              <w:rPr>
                <w:rFonts w:ascii="宋体" w:hAnsi="宋体" w:eastAsia="宋体" w:cs="宋体"/>
                <w:sz w:val="21"/>
                <w:szCs w:val="21"/>
              </w:rPr>
            </w:pPr>
            <w:r>
              <w:rPr>
                <w:rFonts w:ascii="宋体" w:hAnsi="宋体" w:eastAsia="宋体" w:cs="宋体"/>
                <w:b/>
                <w:bCs/>
                <w:spacing w:val="-4"/>
                <w:sz w:val="21"/>
                <w:szCs w:val="21"/>
              </w:rPr>
              <w:t>扇尾莺科</w:t>
            </w:r>
          </w:p>
        </w:tc>
        <w:tc>
          <w:tcPr>
            <w:tcW w:w="1554" w:type="dxa"/>
            <w:vAlign w:val="top"/>
          </w:tcPr>
          <w:p w14:paraId="1496A035">
            <w:pPr>
              <w:pStyle w:val="6"/>
              <w:spacing w:before="128" w:line="186" w:lineRule="auto"/>
              <w:ind w:left="249"/>
            </w:pPr>
            <w:r>
              <w:rPr>
                <w:b/>
                <w:bCs/>
                <w:spacing w:val="-1"/>
              </w:rPr>
              <w:t>Cisticolidae</w:t>
            </w:r>
          </w:p>
        </w:tc>
        <w:tc>
          <w:tcPr>
            <w:tcW w:w="989" w:type="dxa"/>
            <w:vAlign w:val="top"/>
          </w:tcPr>
          <w:p w14:paraId="31B2E3C4">
            <w:pPr>
              <w:pStyle w:val="6"/>
              <w:spacing w:before="128" w:line="186" w:lineRule="auto"/>
              <w:ind w:left="323"/>
            </w:pPr>
            <w:r>
              <w:rPr>
                <w:b/>
                <w:bCs/>
                <w:spacing w:val="-2"/>
              </w:rPr>
              <w:t>F24</w:t>
            </w:r>
          </w:p>
        </w:tc>
        <w:tc>
          <w:tcPr>
            <w:tcW w:w="1272" w:type="dxa"/>
            <w:vAlign w:val="top"/>
          </w:tcPr>
          <w:p w14:paraId="1112CFE6">
            <w:pPr>
              <w:spacing w:before="90" w:line="219" w:lineRule="auto"/>
              <w:ind w:left="219"/>
              <w:rPr>
                <w:rFonts w:ascii="宋体" w:hAnsi="宋体" w:eastAsia="宋体" w:cs="宋体"/>
                <w:sz w:val="21"/>
                <w:szCs w:val="21"/>
              </w:rPr>
            </w:pPr>
            <w:r>
              <w:rPr>
                <w:rFonts w:ascii="宋体" w:hAnsi="宋体" w:eastAsia="宋体" w:cs="宋体"/>
                <w:b/>
                <w:bCs/>
                <w:spacing w:val="-4"/>
                <w:sz w:val="21"/>
                <w:szCs w:val="21"/>
              </w:rPr>
              <w:t>扇尾莺科</w:t>
            </w:r>
          </w:p>
        </w:tc>
        <w:tc>
          <w:tcPr>
            <w:tcW w:w="1693" w:type="dxa"/>
            <w:vAlign w:val="top"/>
          </w:tcPr>
          <w:p w14:paraId="14BE1FED">
            <w:pPr>
              <w:pStyle w:val="6"/>
              <w:spacing w:before="128" w:line="186" w:lineRule="auto"/>
              <w:ind w:left="333"/>
            </w:pPr>
            <w:r>
              <w:rPr>
                <w:b/>
                <w:bCs/>
                <w:spacing w:val="-1"/>
              </w:rPr>
              <w:t>Cisticolidae</w:t>
            </w:r>
          </w:p>
        </w:tc>
        <w:tc>
          <w:tcPr>
            <w:tcW w:w="845" w:type="dxa"/>
            <w:tcBorders>
              <w:right w:val="single" w:color="000000" w:sz="12" w:space="0"/>
            </w:tcBorders>
            <w:vAlign w:val="top"/>
          </w:tcPr>
          <w:p w14:paraId="19AAE1F8">
            <w:pPr>
              <w:rPr>
                <w:rFonts w:ascii="Arial"/>
                <w:sz w:val="21"/>
              </w:rPr>
            </w:pPr>
          </w:p>
        </w:tc>
      </w:tr>
      <w:tr w14:paraId="294A7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7309F92">
            <w:pPr>
              <w:pStyle w:val="6"/>
              <w:spacing w:before="125" w:line="219" w:lineRule="auto"/>
              <w:ind w:left="306"/>
            </w:pPr>
            <w:r>
              <w:rPr>
                <w:spacing w:val="-2"/>
              </w:rPr>
              <w:t>72</w:t>
            </w:r>
          </w:p>
        </w:tc>
        <w:tc>
          <w:tcPr>
            <w:tcW w:w="1270" w:type="dxa"/>
            <w:vAlign w:val="top"/>
          </w:tcPr>
          <w:p w14:paraId="6FE8F121">
            <w:pPr>
              <w:spacing w:before="92" w:line="221" w:lineRule="auto"/>
              <w:ind w:left="331"/>
              <w:rPr>
                <w:rFonts w:ascii="宋体" w:hAnsi="宋体" w:eastAsia="宋体" w:cs="宋体"/>
                <w:sz w:val="21"/>
                <w:szCs w:val="21"/>
              </w:rPr>
            </w:pPr>
            <w:r>
              <w:rPr>
                <w:rFonts w:ascii="宋体" w:hAnsi="宋体" w:eastAsia="宋体" w:cs="宋体"/>
                <w:spacing w:val="-7"/>
                <w:sz w:val="21"/>
                <w:szCs w:val="21"/>
              </w:rPr>
              <w:t>山鹪莺</w:t>
            </w:r>
          </w:p>
        </w:tc>
        <w:tc>
          <w:tcPr>
            <w:tcW w:w="1554" w:type="dxa"/>
            <w:vAlign w:val="top"/>
          </w:tcPr>
          <w:p w14:paraId="5398A016">
            <w:pPr>
              <w:pStyle w:val="6"/>
              <w:spacing w:before="125" w:line="190" w:lineRule="auto"/>
              <w:ind w:left="75"/>
            </w:pPr>
            <w:r>
              <w:rPr>
                <w:i/>
                <w:iCs/>
              </w:rPr>
              <w:t>Prinia</w:t>
            </w:r>
            <w:r>
              <w:rPr>
                <w:i/>
                <w:iCs/>
                <w:spacing w:val="7"/>
              </w:rPr>
              <w:t xml:space="preserve"> </w:t>
            </w:r>
            <w:r>
              <w:rPr>
                <w:i/>
                <w:iCs/>
              </w:rPr>
              <w:t>crinigera</w:t>
            </w:r>
          </w:p>
        </w:tc>
        <w:tc>
          <w:tcPr>
            <w:tcW w:w="989" w:type="dxa"/>
            <w:vAlign w:val="top"/>
          </w:tcPr>
          <w:p w14:paraId="2669E3B7">
            <w:pPr>
              <w:rPr>
                <w:rFonts w:ascii="Arial"/>
                <w:sz w:val="21"/>
              </w:rPr>
            </w:pPr>
          </w:p>
        </w:tc>
        <w:tc>
          <w:tcPr>
            <w:tcW w:w="1272" w:type="dxa"/>
            <w:vAlign w:val="top"/>
          </w:tcPr>
          <w:p w14:paraId="45177FB7">
            <w:pPr>
              <w:rPr>
                <w:rFonts w:ascii="Arial"/>
                <w:sz w:val="21"/>
              </w:rPr>
            </w:pPr>
          </w:p>
        </w:tc>
        <w:tc>
          <w:tcPr>
            <w:tcW w:w="1693" w:type="dxa"/>
            <w:vAlign w:val="top"/>
          </w:tcPr>
          <w:p w14:paraId="62104CB4">
            <w:pPr>
              <w:rPr>
                <w:rFonts w:ascii="Arial"/>
                <w:sz w:val="21"/>
              </w:rPr>
            </w:pPr>
          </w:p>
        </w:tc>
        <w:tc>
          <w:tcPr>
            <w:tcW w:w="845" w:type="dxa"/>
            <w:tcBorders>
              <w:right w:val="single" w:color="000000" w:sz="12" w:space="0"/>
            </w:tcBorders>
            <w:vAlign w:val="top"/>
          </w:tcPr>
          <w:p w14:paraId="40F5CB49">
            <w:pPr>
              <w:rPr>
                <w:rFonts w:ascii="Arial"/>
                <w:sz w:val="21"/>
              </w:rPr>
            </w:pPr>
          </w:p>
        </w:tc>
      </w:tr>
      <w:tr w14:paraId="3E0FE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C986591">
            <w:pPr>
              <w:pStyle w:val="6"/>
              <w:spacing w:before="132" w:line="226" w:lineRule="auto"/>
              <w:ind w:left="306"/>
            </w:pPr>
            <w:r>
              <w:rPr>
                <w:spacing w:val="-2"/>
              </w:rPr>
              <w:t>73</w:t>
            </w:r>
          </w:p>
        </w:tc>
        <w:tc>
          <w:tcPr>
            <w:tcW w:w="1270" w:type="dxa"/>
            <w:vAlign w:val="top"/>
          </w:tcPr>
          <w:p w14:paraId="34B795AC">
            <w:pPr>
              <w:spacing w:before="99" w:line="221" w:lineRule="auto"/>
              <w:ind w:left="105"/>
              <w:rPr>
                <w:rFonts w:ascii="宋体" w:hAnsi="宋体" w:eastAsia="宋体" w:cs="宋体"/>
                <w:sz w:val="21"/>
                <w:szCs w:val="21"/>
              </w:rPr>
            </w:pPr>
            <w:r>
              <w:rPr>
                <w:rFonts w:ascii="宋体" w:hAnsi="宋体" w:eastAsia="宋体" w:cs="宋体"/>
                <w:spacing w:val="-2"/>
                <w:sz w:val="21"/>
                <w:szCs w:val="21"/>
              </w:rPr>
              <w:t>纯色山鹪莺</w:t>
            </w:r>
          </w:p>
        </w:tc>
        <w:tc>
          <w:tcPr>
            <w:tcW w:w="1554" w:type="dxa"/>
            <w:vAlign w:val="top"/>
          </w:tcPr>
          <w:p w14:paraId="2D380BCA">
            <w:pPr>
              <w:pStyle w:val="6"/>
              <w:spacing w:before="132" w:line="226" w:lineRule="auto"/>
              <w:ind w:left="105"/>
            </w:pPr>
            <w:r>
              <w:rPr>
                <w:i/>
                <w:iCs/>
              </w:rPr>
              <w:t>Prinia</w:t>
            </w:r>
            <w:r>
              <w:rPr>
                <w:i/>
                <w:iCs/>
                <w:spacing w:val="8"/>
              </w:rPr>
              <w:t xml:space="preserve"> </w:t>
            </w:r>
            <w:r>
              <w:rPr>
                <w:i/>
                <w:iCs/>
              </w:rPr>
              <w:t>inornata</w:t>
            </w:r>
          </w:p>
        </w:tc>
        <w:tc>
          <w:tcPr>
            <w:tcW w:w="989" w:type="dxa"/>
            <w:vAlign w:val="top"/>
          </w:tcPr>
          <w:p w14:paraId="2F39E12E">
            <w:pPr>
              <w:pStyle w:val="6"/>
              <w:spacing w:before="132" w:line="226" w:lineRule="auto"/>
              <w:ind w:left="392"/>
            </w:pPr>
            <w:r>
              <w:rPr>
                <w:spacing w:val="-3"/>
              </w:rPr>
              <w:t>50</w:t>
            </w:r>
          </w:p>
        </w:tc>
        <w:tc>
          <w:tcPr>
            <w:tcW w:w="1272" w:type="dxa"/>
            <w:vAlign w:val="top"/>
          </w:tcPr>
          <w:p w14:paraId="5949AA75">
            <w:pPr>
              <w:spacing w:before="99" w:line="221" w:lineRule="auto"/>
              <w:ind w:left="118"/>
              <w:rPr>
                <w:rFonts w:ascii="宋体" w:hAnsi="宋体" w:eastAsia="宋体" w:cs="宋体"/>
                <w:sz w:val="21"/>
                <w:szCs w:val="21"/>
              </w:rPr>
            </w:pPr>
            <w:r>
              <w:rPr>
                <w:rFonts w:ascii="宋体" w:hAnsi="宋体" w:eastAsia="宋体" w:cs="宋体"/>
                <w:spacing w:val="-2"/>
                <w:sz w:val="21"/>
                <w:szCs w:val="21"/>
              </w:rPr>
              <w:t>纯色山鹪莺</w:t>
            </w:r>
          </w:p>
        </w:tc>
        <w:tc>
          <w:tcPr>
            <w:tcW w:w="1693" w:type="dxa"/>
            <w:vAlign w:val="top"/>
          </w:tcPr>
          <w:p w14:paraId="369F8572">
            <w:pPr>
              <w:pStyle w:val="6"/>
              <w:spacing w:before="132" w:line="226" w:lineRule="auto"/>
              <w:ind w:left="189"/>
            </w:pPr>
            <w:r>
              <w:rPr>
                <w:i/>
                <w:iCs/>
              </w:rPr>
              <w:t>Prinia</w:t>
            </w:r>
            <w:r>
              <w:rPr>
                <w:i/>
                <w:iCs/>
                <w:spacing w:val="8"/>
              </w:rPr>
              <w:t xml:space="preserve"> </w:t>
            </w:r>
            <w:r>
              <w:rPr>
                <w:i/>
                <w:iCs/>
              </w:rPr>
              <w:t>inornata</w:t>
            </w:r>
          </w:p>
        </w:tc>
        <w:tc>
          <w:tcPr>
            <w:tcW w:w="845" w:type="dxa"/>
            <w:tcBorders>
              <w:right w:val="single" w:color="000000" w:sz="12" w:space="0"/>
            </w:tcBorders>
            <w:vAlign w:val="top"/>
          </w:tcPr>
          <w:p w14:paraId="27FBE923">
            <w:pPr>
              <w:rPr>
                <w:rFonts w:ascii="Arial"/>
                <w:sz w:val="21"/>
              </w:rPr>
            </w:pPr>
          </w:p>
        </w:tc>
      </w:tr>
      <w:tr w14:paraId="53A7E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1CE96067">
            <w:pPr>
              <w:pStyle w:val="6"/>
              <w:spacing w:before="138" w:line="186" w:lineRule="auto"/>
              <w:ind w:left="238"/>
            </w:pPr>
            <w:r>
              <w:rPr>
                <w:b/>
                <w:bCs/>
                <w:spacing w:val="-2"/>
              </w:rPr>
              <w:t>F27</w:t>
            </w:r>
          </w:p>
        </w:tc>
        <w:tc>
          <w:tcPr>
            <w:tcW w:w="1270" w:type="dxa"/>
            <w:vAlign w:val="top"/>
          </w:tcPr>
          <w:p w14:paraId="09EBDE46">
            <w:pPr>
              <w:spacing w:before="99" w:line="219" w:lineRule="auto"/>
              <w:ind w:left="321"/>
              <w:rPr>
                <w:rFonts w:ascii="宋体" w:hAnsi="宋体" w:eastAsia="宋体" w:cs="宋体"/>
                <w:sz w:val="21"/>
                <w:szCs w:val="21"/>
              </w:rPr>
            </w:pPr>
            <w:r>
              <w:rPr>
                <w:rFonts w:ascii="宋体" w:hAnsi="宋体" w:eastAsia="宋体" w:cs="宋体"/>
                <w:b/>
                <w:bCs/>
                <w:spacing w:val="-6"/>
                <w:sz w:val="21"/>
                <w:szCs w:val="21"/>
              </w:rPr>
              <w:t>苇莺科</w:t>
            </w:r>
          </w:p>
        </w:tc>
        <w:tc>
          <w:tcPr>
            <w:tcW w:w="1554" w:type="dxa"/>
            <w:vAlign w:val="top"/>
          </w:tcPr>
          <w:p w14:paraId="78CB94F5">
            <w:pPr>
              <w:pStyle w:val="6"/>
              <w:spacing w:before="137" w:line="187" w:lineRule="auto"/>
              <w:ind w:left="68"/>
            </w:pPr>
            <w:r>
              <w:rPr>
                <w:b/>
                <w:bCs/>
                <w:spacing w:val="-1"/>
              </w:rPr>
              <w:t>Acrocephalidae</w:t>
            </w:r>
          </w:p>
        </w:tc>
        <w:tc>
          <w:tcPr>
            <w:tcW w:w="989" w:type="dxa"/>
            <w:vAlign w:val="top"/>
          </w:tcPr>
          <w:p w14:paraId="1AEAF1B1">
            <w:pPr>
              <w:rPr>
                <w:rFonts w:ascii="Arial"/>
                <w:sz w:val="21"/>
              </w:rPr>
            </w:pPr>
          </w:p>
        </w:tc>
        <w:tc>
          <w:tcPr>
            <w:tcW w:w="1272" w:type="dxa"/>
            <w:vAlign w:val="top"/>
          </w:tcPr>
          <w:p w14:paraId="4FA9AD80">
            <w:pPr>
              <w:rPr>
                <w:rFonts w:ascii="Arial"/>
                <w:sz w:val="21"/>
              </w:rPr>
            </w:pPr>
          </w:p>
        </w:tc>
        <w:tc>
          <w:tcPr>
            <w:tcW w:w="1693" w:type="dxa"/>
            <w:vAlign w:val="top"/>
          </w:tcPr>
          <w:p w14:paraId="19E50E47">
            <w:pPr>
              <w:rPr>
                <w:rFonts w:ascii="Arial"/>
                <w:sz w:val="21"/>
              </w:rPr>
            </w:pPr>
          </w:p>
        </w:tc>
        <w:tc>
          <w:tcPr>
            <w:tcW w:w="845" w:type="dxa"/>
            <w:tcBorders>
              <w:right w:val="single" w:color="000000" w:sz="12" w:space="0"/>
            </w:tcBorders>
            <w:vAlign w:val="top"/>
          </w:tcPr>
          <w:p w14:paraId="7F14E826">
            <w:pPr>
              <w:rPr>
                <w:rFonts w:ascii="Arial"/>
                <w:sz w:val="21"/>
              </w:rPr>
            </w:pPr>
          </w:p>
        </w:tc>
      </w:tr>
      <w:tr w14:paraId="1ADA1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2D94470">
            <w:pPr>
              <w:pStyle w:val="6"/>
              <w:spacing w:before="234" w:line="232" w:lineRule="auto"/>
              <w:ind w:left="306"/>
            </w:pPr>
            <w:r>
              <w:rPr>
                <w:spacing w:val="-2"/>
              </w:rPr>
              <w:t>74</w:t>
            </w:r>
          </w:p>
        </w:tc>
        <w:tc>
          <w:tcPr>
            <w:tcW w:w="1270" w:type="dxa"/>
            <w:vAlign w:val="top"/>
          </w:tcPr>
          <w:p w14:paraId="58A23280">
            <w:pPr>
              <w:spacing w:before="200" w:line="220" w:lineRule="auto"/>
              <w:ind w:left="110"/>
              <w:rPr>
                <w:rFonts w:ascii="宋体" w:hAnsi="宋体" w:eastAsia="宋体" w:cs="宋体"/>
                <w:sz w:val="21"/>
                <w:szCs w:val="21"/>
              </w:rPr>
            </w:pPr>
            <w:r>
              <w:rPr>
                <w:rFonts w:ascii="宋体" w:hAnsi="宋体" w:eastAsia="宋体" w:cs="宋体"/>
                <w:spacing w:val="-3"/>
                <w:sz w:val="21"/>
                <w:szCs w:val="21"/>
              </w:rPr>
              <w:t>东方大苇莺</w:t>
            </w:r>
          </w:p>
        </w:tc>
        <w:tc>
          <w:tcPr>
            <w:tcW w:w="1554" w:type="dxa"/>
            <w:vAlign w:val="top"/>
          </w:tcPr>
          <w:p w14:paraId="6C6BA01B">
            <w:pPr>
              <w:pStyle w:val="6"/>
              <w:spacing w:before="113" w:line="190" w:lineRule="auto"/>
              <w:ind w:left="179"/>
            </w:pPr>
            <w:r>
              <w:rPr>
                <w:i/>
                <w:iCs/>
                <w:spacing w:val="1"/>
              </w:rPr>
              <w:t>Acrocephalus</w:t>
            </w:r>
          </w:p>
          <w:p w14:paraId="0AEF6343">
            <w:pPr>
              <w:pStyle w:val="6"/>
              <w:spacing w:before="49" w:line="202" w:lineRule="auto"/>
              <w:ind w:left="369"/>
            </w:pPr>
            <w:r>
              <w:rPr>
                <w:i/>
                <w:iCs/>
                <w:spacing w:val="-1"/>
              </w:rPr>
              <w:t>orientalis</w:t>
            </w:r>
          </w:p>
        </w:tc>
        <w:tc>
          <w:tcPr>
            <w:tcW w:w="989" w:type="dxa"/>
            <w:vAlign w:val="top"/>
          </w:tcPr>
          <w:p w14:paraId="31F057EC">
            <w:pPr>
              <w:rPr>
                <w:rFonts w:ascii="Arial"/>
                <w:sz w:val="21"/>
              </w:rPr>
            </w:pPr>
          </w:p>
        </w:tc>
        <w:tc>
          <w:tcPr>
            <w:tcW w:w="1272" w:type="dxa"/>
            <w:vAlign w:val="top"/>
          </w:tcPr>
          <w:p w14:paraId="16FC19D4">
            <w:pPr>
              <w:rPr>
                <w:rFonts w:ascii="Arial"/>
                <w:sz w:val="21"/>
              </w:rPr>
            </w:pPr>
          </w:p>
        </w:tc>
        <w:tc>
          <w:tcPr>
            <w:tcW w:w="1693" w:type="dxa"/>
            <w:vAlign w:val="top"/>
          </w:tcPr>
          <w:p w14:paraId="52F2C3E3">
            <w:pPr>
              <w:rPr>
                <w:rFonts w:ascii="Arial"/>
                <w:sz w:val="21"/>
              </w:rPr>
            </w:pPr>
          </w:p>
        </w:tc>
        <w:tc>
          <w:tcPr>
            <w:tcW w:w="845" w:type="dxa"/>
            <w:tcBorders>
              <w:right w:val="single" w:color="000000" w:sz="12" w:space="0"/>
            </w:tcBorders>
            <w:vAlign w:val="top"/>
          </w:tcPr>
          <w:p w14:paraId="3E975BD1">
            <w:pPr>
              <w:rPr>
                <w:rFonts w:ascii="Arial"/>
                <w:sz w:val="21"/>
              </w:rPr>
            </w:pPr>
          </w:p>
        </w:tc>
      </w:tr>
      <w:tr w14:paraId="2D3B9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850" w:type="dxa"/>
            <w:tcBorders>
              <w:left w:val="single" w:color="000000" w:sz="12" w:space="0"/>
            </w:tcBorders>
            <w:vAlign w:val="top"/>
          </w:tcPr>
          <w:p w14:paraId="0878F49F">
            <w:pPr>
              <w:pStyle w:val="6"/>
              <w:spacing w:before="135" w:line="186" w:lineRule="auto"/>
              <w:ind w:left="238"/>
            </w:pPr>
            <w:r>
              <w:rPr>
                <w:b/>
                <w:bCs/>
                <w:spacing w:val="-2"/>
              </w:rPr>
              <w:t>F28</w:t>
            </w:r>
          </w:p>
        </w:tc>
        <w:tc>
          <w:tcPr>
            <w:tcW w:w="1270" w:type="dxa"/>
            <w:vAlign w:val="top"/>
          </w:tcPr>
          <w:p w14:paraId="0CB3E1FD">
            <w:pPr>
              <w:spacing w:before="96" w:line="219" w:lineRule="auto"/>
              <w:ind w:left="313"/>
              <w:rPr>
                <w:rFonts w:ascii="宋体" w:hAnsi="宋体" w:eastAsia="宋体" w:cs="宋体"/>
                <w:sz w:val="21"/>
                <w:szCs w:val="21"/>
              </w:rPr>
            </w:pPr>
            <w:r>
              <w:rPr>
                <w:rFonts w:ascii="宋体" w:hAnsi="宋体" w:eastAsia="宋体" w:cs="宋体"/>
                <w:b/>
                <w:bCs/>
                <w:spacing w:val="-4"/>
                <w:sz w:val="21"/>
                <w:szCs w:val="21"/>
              </w:rPr>
              <w:t>蝗莺科</w:t>
            </w:r>
          </w:p>
        </w:tc>
        <w:tc>
          <w:tcPr>
            <w:tcW w:w="1554" w:type="dxa"/>
            <w:vAlign w:val="top"/>
          </w:tcPr>
          <w:p w14:paraId="2943BAC6">
            <w:pPr>
              <w:pStyle w:val="6"/>
              <w:spacing w:before="134" w:line="211" w:lineRule="auto"/>
              <w:ind w:left="175"/>
            </w:pPr>
            <w:r>
              <w:rPr>
                <w:b/>
                <w:bCs/>
                <w:spacing w:val="-1"/>
              </w:rPr>
              <w:t>Locustellidae</w:t>
            </w:r>
          </w:p>
        </w:tc>
        <w:tc>
          <w:tcPr>
            <w:tcW w:w="989" w:type="dxa"/>
            <w:vAlign w:val="top"/>
          </w:tcPr>
          <w:p w14:paraId="16734B0F">
            <w:pPr>
              <w:rPr>
                <w:rFonts w:ascii="Arial"/>
                <w:sz w:val="21"/>
              </w:rPr>
            </w:pPr>
          </w:p>
        </w:tc>
        <w:tc>
          <w:tcPr>
            <w:tcW w:w="1272" w:type="dxa"/>
            <w:vAlign w:val="top"/>
          </w:tcPr>
          <w:p w14:paraId="7AC4C5F3">
            <w:pPr>
              <w:rPr>
                <w:rFonts w:ascii="Arial"/>
                <w:sz w:val="21"/>
              </w:rPr>
            </w:pPr>
          </w:p>
        </w:tc>
        <w:tc>
          <w:tcPr>
            <w:tcW w:w="1693" w:type="dxa"/>
            <w:vAlign w:val="top"/>
          </w:tcPr>
          <w:p w14:paraId="1BAE1A2A">
            <w:pPr>
              <w:rPr>
                <w:rFonts w:ascii="Arial"/>
                <w:sz w:val="21"/>
              </w:rPr>
            </w:pPr>
          </w:p>
        </w:tc>
        <w:tc>
          <w:tcPr>
            <w:tcW w:w="845" w:type="dxa"/>
            <w:tcBorders>
              <w:right w:val="single" w:color="000000" w:sz="12" w:space="0"/>
            </w:tcBorders>
            <w:vAlign w:val="top"/>
          </w:tcPr>
          <w:p w14:paraId="45AADC41">
            <w:pPr>
              <w:rPr>
                <w:rFonts w:ascii="Arial"/>
                <w:sz w:val="21"/>
              </w:rPr>
            </w:pPr>
          </w:p>
        </w:tc>
      </w:tr>
      <w:tr w14:paraId="44797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40DDAA7">
            <w:pPr>
              <w:pStyle w:val="6"/>
              <w:spacing w:before="236" w:line="232" w:lineRule="auto"/>
              <w:ind w:left="306"/>
            </w:pPr>
            <w:r>
              <w:rPr>
                <w:spacing w:val="-2"/>
              </w:rPr>
              <w:t>75</w:t>
            </w:r>
          </w:p>
        </w:tc>
        <w:tc>
          <w:tcPr>
            <w:tcW w:w="1270" w:type="dxa"/>
            <w:vAlign w:val="top"/>
          </w:tcPr>
          <w:p w14:paraId="348AE97E">
            <w:pPr>
              <w:spacing w:before="202" w:line="220" w:lineRule="auto"/>
              <w:ind w:left="107"/>
              <w:rPr>
                <w:rFonts w:ascii="宋体" w:hAnsi="宋体" w:eastAsia="宋体" w:cs="宋体"/>
                <w:sz w:val="21"/>
                <w:szCs w:val="21"/>
              </w:rPr>
            </w:pPr>
            <w:r>
              <w:rPr>
                <w:rFonts w:ascii="宋体" w:hAnsi="宋体" w:eastAsia="宋体" w:cs="宋体"/>
                <w:spacing w:val="-2"/>
                <w:sz w:val="21"/>
                <w:szCs w:val="21"/>
              </w:rPr>
              <w:t>沼泽大尾莺</w:t>
            </w:r>
          </w:p>
        </w:tc>
        <w:tc>
          <w:tcPr>
            <w:tcW w:w="1554" w:type="dxa"/>
            <w:vAlign w:val="top"/>
          </w:tcPr>
          <w:p w14:paraId="04EF6A58">
            <w:pPr>
              <w:pStyle w:val="6"/>
              <w:spacing w:before="114" w:line="190" w:lineRule="auto"/>
              <w:ind w:left="303"/>
            </w:pPr>
            <w:r>
              <w:rPr>
                <w:i/>
                <w:iCs/>
              </w:rPr>
              <w:t>Megalurus</w:t>
            </w:r>
          </w:p>
          <w:p w14:paraId="06015205">
            <w:pPr>
              <w:pStyle w:val="6"/>
              <w:spacing w:before="50" w:line="190" w:lineRule="auto"/>
              <w:ind w:left="375"/>
            </w:pPr>
            <w:r>
              <w:rPr>
                <w:i/>
                <w:iCs/>
                <w:spacing w:val="2"/>
              </w:rPr>
              <w:t>palustris</w:t>
            </w:r>
          </w:p>
        </w:tc>
        <w:tc>
          <w:tcPr>
            <w:tcW w:w="989" w:type="dxa"/>
            <w:vAlign w:val="top"/>
          </w:tcPr>
          <w:p w14:paraId="05F3804D">
            <w:pPr>
              <w:rPr>
                <w:rFonts w:ascii="Arial"/>
                <w:sz w:val="21"/>
              </w:rPr>
            </w:pPr>
          </w:p>
        </w:tc>
        <w:tc>
          <w:tcPr>
            <w:tcW w:w="1272" w:type="dxa"/>
            <w:vAlign w:val="top"/>
          </w:tcPr>
          <w:p w14:paraId="6ECB2888">
            <w:pPr>
              <w:rPr>
                <w:rFonts w:ascii="Arial"/>
                <w:sz w:val="21"/>
              </w:rPr>
            </w:pPr>
          </w:p>
        </w:tc>
        <w:tc>
          <w:tcPr>
            <w:tcW w:w="1693" w:type="dxa"/>
            <w:vAlign w:val="top"/>
          </w:tcPr>
          <w:p w14:paraId="13110F73">
            <w:pPr>
              <w:rPr>
                <w:rFonts w:ascii="Arial"/>
                <w:sz w:val="21"/>
              </w:rPr>
            </w:pPr>
          </w:p>
        </w:tc>
        <w:tc>
          <w:tcPr>
            <w:tcW w:w="845" w:type="dxa"/>
            <w:tcBorders>
              <w:right w:val="single" w:color="000000" w:sz="12" w:space="0"/>
            </w:tcBorders>
            <w:vAlign w:val="top"/>
          </w:tcPr>
          <w:p w14:paraId="6843E2F0">
            <w:pPr>
              <w:rPr>
                <w:rFonts w:ascii="Arial"/>
                <w:sz w:val="21"/>
              </w:rPr>
            </w:pPr>
          </w:p>
        </w:tc>
      </w:tr>
      <w:tr w14:paraId="3B877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850" w:type="dxa"/>
            <w:tcBorders>
              <w:left w:val="single" w:color="000000" w:sz="12" w:space="0"/>
              <w:bottom w:val="single" w:color="000000" w:sz="12" w:space="0"/>
            </w:tcBorders>
            <w:vAlign w:val="top"/>
          </w:tcPr>
          <w:p w14:paraId="74A05EF0">
            <w:pPr>
              <w:pStyle w:val="6"/>
              <w:spacing w:before="142" w:line="186" w:lineRule="auto"/>
              <w:ind w:left="238"/>
            </w:pPr>
            <w:r>
              <w:rPr>
                <w:b/>
                <w:bCs/>
                <w:spacing w:val="-2"/>
              </w:rPr>
              <w:t>F29</w:t>
            </w:r>
          </w:p>
        </w:tc>
        <w:tc>
          <w:tcPr>
            <w:tcW w:w="1270" w:type="dxa"/>
            <w:tcBorders>
              <w:bottom w:val="single" w:color="000000" w:sz="12" w:space="0"/>
            </w:tcBorders>
            <w:vAlign w:val="top"/>
          </w:tcPr>
          <w:p w14:paraId="2C4F5930">
            <w:pPr>
              <w:spacing w:before="104" w:line="219" w:lineRule="auto"/>
              <w:ind w:left="417"/>
              <w:rPr>
                <w:rFonts w:ascii="宋体" w:hAnsi="宋体" w:eastAsia="宋体" w:cs="宋体"/>
                <w:sz w:val="21"/>
                <w:szCs w:val="21"/>
              </w:rPr>
            </w:pPr>
            <w:r>
              <w:rPr>
                <w:rFonts w:ascii="宋体" w:hAnsi="宋体" w:eastAsia="宋体" w:cs="宋体"/>
                <w:b/>
                <w:bCs/>
                <w:spacing w:val="-4"/>
                <w:sz w:val="21"/>
                <w:szCs w:val="21"/>
              </w:rPr>
              <w:t>燕科</w:t>
            </w:r>
          </w:p>
        </w:tc>
        <w:tc>
          <w:tcPr>
            <w:tcW w:w="1554" w:type="dxa"/>
            <w:tcBorders>
              <w:bottom w:val="single" w:color="000000" w:sz="12" w:space="0"/>
            </w:tcBorders>
            <w:vAlign w:val="top"/>
          </w:tcPr>
          <w:p w14:paraId="1C075915">
            <w:pPr>
              <w:pStyle w:val="6"/>
              <w:spacing w:before="141" w:line="187" w:lineRule="auto"/>
              <w:ind w:left="163"/>
            </w:pPr>
            <w:r>
              <w:rPr>
                <w:b/>
                <w:bCs/>
                <w:spacing w:val="-1"/>
              </w:rPr>
              <w:t>Hirundinidae</w:t>
            </w:r>
          </w:p>
        </w:tc>
        <w:tc>
          <w:tcPr>
            <w:tcW w:w="989" w:type="dxa"/>
            <w:tcBorders>
              <w:bottom w:val="single" w:color="000000" w:sz="12" w:space="0"/>
            </w:tcBorders>
            <w:vAlign w:val="top"/>
          </w:tcPr>
          <w:p w14:paraId="1863C347">
            <w:pPr>
              <w:pStyle w:val="6"/>
              <w:spacing w:before="142" w:line="186" w:lineRule="auto"/>
              <w:ind w:left="323"/>
            </w:pPr>
            <w:r>
              <w:rPr>
                <w:b/>
                <w:bCs/>
                <w:spacing w:val="-2"/>
              </w:rPr>
              <w:t>F25</w:t>
            </w:r>
          </w:p>
        </w:tc>
        <w:tc>
          <w:tcPr>
            <w:tcW w:w="1272" w:type="dxa"/>
            <w:tcBorders>
              <w:bottom w:val="single" w:color="000000" w:sz="12" w:space="0"/>
            </w:tcBorders>
            <w:vAlign w:val="top"/>
          </w:tcPr>
          <w:p w14:paraId="42505477">
            <w:pPr>
              <w:spacing w:before="104" w:line="219" w:lineRule="auto"/>
              <w:ind w:left="430"/>
              <w:rPr>
                <w:rFonts w:ascii="宋体" w:hAnsi="宋体" w:eastAsia="宋体" w:cs="宋体"/>
                <w:sz w:val="21"/>
                <w:szCs w:val="21"/>
              </w:rPr>
            </w:pPr>
            <w:r>
              <w:rPr>
                <w:rFonts w:ascii="宋体" w:hAnsi="宋体" w:eastAsia="宋体" w:cs="宋体"/>
                <w:b/>
                <w:bCs/>
                <w:spacing w:val="-4"/>
                <w:sz w:val="21"/>
                <w:szCs w:val="21"/>
              </w:rPr>
              <w:t>燕科</w:t>
            </w:r>
          </w:p>
        </w:tc>
        <w:tc>
          <w:tcPr>
            <w:tcW w:w="1693" w:type="dxa"/>
            <w:tcBorders>
              <w:bottom w:val="single" w:color="000000" w:sz="12" w:space="0"/>
            </w:tcBorders>
            <w:vAlign w:val="top"/>
          </w:tcPr>
          <w:p w14:paraId="2D1DBD9B">
            <w:pPr>
              <w:pStyle w:val="6"/>
              <w:spacing w:before="141" w:line="187" w:lineRule="auto"/>
              <w:ind w:left="247"/>
            </w:pPr>
            <w:r>
              <w:rPr>
                <w:b/>
                <w:bCs/>
                <w:spacing w:val="-1"/>
              </w:rPr>
              <w:t>Hirundinidae</w:t>
            </w:r>
          </w:p>
        </w:tc>
        <w:tc>
          <w:tcPr>
            <w:tcW w:w="845" w:type="dxa"/>
            <w:tcBorders>
              <w:bottom w:val="single" w:color="000000" w:sz="12" w:space="0"/>
              <w:right w:val="single" w:color="000000" w:sz="12" w:space="0"/>
            </w:tcBorders>
            <w:vAlign w:val="top"/>
          </w:tcPr>
          <w:p w14:paraId="6415725F">
            <w:pPr>
              <w:rPr>
                <w:rFonts w:ascii="Arial"/>
                <w:sz w:val="21"/>
              </w:rPr>
            </w:pPr>
          </w:p>
        </w:tc>
      </w:tr>
    </w:tbl>
    <w:p w14:paraId="6B905876">
      <w:pPr>
        <w:rPr>
          <w:rFonts w:ascii="Arial"/>
          <w:sz w:val="21"/>
        </w:rPr>
      </w:pPr>
    </w:p>
    <w:p w14:paraId="0D5B5530">
      <w:pPr>
        <w:rPr>
          <w:rFonts w:ascii="Arial" w:hAnsi="Arial" w:eastAsia="Arial" w:cs="Arial"/>
          <w:sz w:val="21"/>
          <w:szCs w:val="21"/>
        </w:rPr>
        <w:sectPr>
          <w:footerReference r:id="rId179" w:type="default"/>
          <w:pgSz w:w="11907" w:h="16839"/>
          <w:pgMar w:top="1376" w:right="1669" w:bottom="1061" w:left="1671" w:header="999" w:footer="861" w:gutter="0"/>
          <w:cols w:space="720" w:num="1"/>
        </w:sectPr>
      </w:pPr>
    </w:p>
    <w:p w14:paraId="216E4721">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596D1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0E320577">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4A3EE4FE">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25A05603">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2543E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1485A535">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1A5547DB">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50A96139">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5260F4A4">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28BBEF28">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2B781C4F">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4B2B103A">
            <w:pPr>
              <w:rPr>
                <w:rFonts w:ascii="Arial"/>
                <w:sz w:val="21"/>
              </w:rPr>
            </w:pPr>
          </w:p>
        </w:tc>
      </w:tr>
      <w:tr w14:paraId="00F67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A7443F6">
            <w:pPr>
              <w:pStyle w:val="6"/>
              <w:spacing w:before="111" w:line="232" w:lineRule="auto"/>
              <w:ind w:left="306"/>
            </w:pPr>
            <w:r>
              <w:rPr>
                <w:spacing w:val="-2"/>
              </w:rPr>
              <w:t>76</w:t>
            </w:r>
          </w:p>
        </w:tc>
        <w:tc>
          <w:tcPr>
            <w:tcW w:w="1270" w:type="dxa"/>
            <w:vAlign w:val="top"/>
          </w:tcPr>
          <w:p w14:paraId="005769A5">
            <w:pPr>
              <w:spacing w:before="77" w:line="220" w:lineRule="auto"/>
              <w:ind w:left="419"/>
              <w:rPr>
                <w:rFonts w:ascii="宋体" w:hAnsi="宋体" w:eastAsia="宋体" w:cs="宋体"/>
                <w:sz w:val="21"/>
                <w:szCs w:val="21"/>
              </w:rPr>
            </w:pPr>
            <w:r>
              <w:rPr>
                <w:rFonts w:ascii="宋体" w:hAnsi="宋体" w:eastAsia="宋体" w:cs="宋体"/>
                <w:spacing w:val="-3"/>
                <w:sz w:val="21"/>
                <w:szCs w:val="21"/>
              </w:rPr>
              <w:t>家燕</w:t>
            </w:r>
          </w:p>
        </w:tc>
        <w:tc>
          <w:tcPr>
            <w:tcW w:w="1554" w:type="dxa"/>
            <w:vAlign w:val="top"/>
          </w:tcPr>
          <w:p w14:paraId="5F24AA3C">
            <w:pPr>
              <w:pStyle w:val="6"/>
              <w:spacing w:before="110" w:line="233" w:lineRule="auto"/>
              <w:ind w:left="86"/>
            </w:pPr>
            <w:r>
              <w:rPr>
                <w:i/>
                <w:iCs/>
              </w:rPr>
              <w:t>Hirundo</w:t>
            </w:r>
            <w:r>
              <w:rPr>
                <w:i/>
                <w:iCs/>
                <w:spacing w:val="5"/>
              </w:rPr>
              <w:t xml:space="preserve"> </w:t>
            </w:r>
            <w:r>
              <w:rPr>
                <w:i/>
                <w:iCs/>
              </w:rPr>
              <w:t>rustica</w:t>
            </w:r>
          </w:p>
        </w:tc>
        <w:tc>
          <w:tcPr>
            <w:tcW w:w="989" w:type="dxa"/>
            <w:vAlign w:val="top"/>
          </w:tcPr>
          <w:p w14:paraId="6A9F1650">
            <w:pPr>
              <w:pStyle w:val="6"/>
              <w:spacing w:before="111" w:line="232" w:lineRule="auto"/>
              <w:ind w:left="392"/>
            </w:pPr>
            <w:r>
              <w:rPr>
                <w:spacing w:val="-3"/>
              </w:rPr>
              <w:t>51</w:t>
            </w:r>
          </w:p>
        </w:tc>
        <w:tc>
          <w:tcPr>
            <w:tcW w:w="1272" w:type="dxa"/>
            <w:vAlign w:val="top"/>
          </w:tcPr>
          <w:p w14:paraId="28807618">
            <w:pPr>
              <w:spacing w:before="77" w:line="220" w:lineRule="auto"/>
              <w:ind w:left="433"/>
              <w:rPr>
                <w:rFonts w:ascii="宋体" w:hAnsi="宋体" w:eastAsia="宋体" w:cs="宋体"/>
                <w:sz w:val="21"/>
                <w:szCs w:val="21"/>
              </w:rPr>
            </w:pPr>
            <w:r>
              <w:rPr>
                <w:rFonts w:ascii="宋体" w:hAnsi="宋体" w:eastAsia="宋体" w:cs="宋体"/>
                <w:spacing w:val="-3"/>
                <w:sz w:val="21"/>
                <w:szCs w:val="21"/>
              </w:rPr>
              <w:t>家燕</w:t>
            </w:r>
          </w:p>
        </w:tc>
        <w:tc>
          <w:tcPr>
            <w:tcW w:w="1693" w:type="dxa"/>
            <w:vAlign w:val="top"/>
          </w:tcPr>
          <w:p w14:paraId="3D245A0C">
            <w:pPr>
              <w:pStyle w:val="6"/>
              <w:spacing w:before="110" w:line="233" w:lineRule="auto"/>
              <w:ind w:left="170"/>
            </w:pPr>
            <w:r>
              <w:rPr>
                <w:i/>
                <w:iCs/>
              </w:rPr>
              <w:t>Hirundo</w:t>
            </w:r>
            <w:r>
              <w:rPr>
                <w:i/>
                <w:iCs/>
                <w:spacing w:val="5"/>
              </w:rPr>
              <w:t xml:space="preserve"> </w:t>
            </w:r>
            <w:r>
              <w:rPr>
                <w:i/>
                <w:iCs/>
              </w:rPr>
              <w:t>rustica</w:t>
            </w:r>
          </w:p>
        </w:tc>
        <w:tc>
          <w:tcPr>
            <w:tcW w:w="845" w:type="dxa"/>
            <w:tcBorders>
              <w:right w:val="single" w:color="000000" w:sz="12" w:space="0"/>
            </w:tcBorders>
            <w:vAlign w:val="top"/>
          </w:tcPr>
          <w:p w14:paraId="0D3CBB9A">
            <w:pPr>
              <w:rPr>
                <w:rFonts w:ascii="Arial"/>
                <w:sz w:val="21"/>
              </w:rPr>
            </w:pPr>
          </w:p>
        </w:tc>
      </w:tr>
      <w:tr w14:paraId="43C60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7F9A80C8">
            <w:pPr>
              <w:pStyle w:val="6"/>
              <w:spacing w:before="209" w:line="232" w:lineRule="auto"/>
              <w:ind w:left="306"/>
            </w:pPr>
            <w:r>
              <w:rPr>
                <w:spacing w:val="-2"/>
              </w:rPr>
              <w:t>77</w:t>
            </w:r>
          </w:p>
        </w:tc>
        <w:tc>
          <w:tcPr>
            <w:tcW w:w="1270" w:type="dxa"/>
            <w:vAlign w:val="top"/>
          </w:tcPr>
          <w:p w14:paraId="010527B6">
            <w:pPr>
              <w:spacing w:before="176" w:line="220" w:lineRule="auto"/>
              <w:ind w:left="314"/>
              <w:rPr>
                <w:rFonts w:ascii="宋体" w:hAnsi="宋体" w:eastAsia="宋体" w:cs="宋体"/>
                <w:sz w:val="21"/>
                <w:szCs w:val="21"/>
              </w:rPr>
            </w:pPr>
            <w:r>
              <w:rPr>
                <w:rFonts w:ascii="宋体" w:hAnsi="宋体" w:eastAsia="宋体" w:cs="宋体"/>
                <w:spacing w:val="-3"/>
                <w:sz w:val="21"/>
                <w:szCs w:val="21"/>
              </w:rPr>
              <w:t>金腰燕</w:t>
            </w:r>
          </w:p>
        </w:tc>
        <w:tc>
          <w:tcPr>
            <w:tcW w:w="1554" w:type="dxa"/>
            <w:vAlign w:val="top"/>
          </w:tcPr>
          <w:p w14:paraId="545E49A9">
            <w:pPr>
              <w:pStyle w:val="6"/>
              <w:spacing w:before="88" w:line="190" w:lineRule="auto"/>
              <w:ind w:left="401"/>
            </w:pPr>
            <w:r>
              <w:rPr>
                <w:i/>
                <w:iCs/>
                <w:spacing w:val="-2"/>
              </w:rPr>
              <w:t>Cecropis</w:t>
            </w:r>
          </w:p>
          <w:p w14:paraId="682893F3">
            <w:pPr>
              <w:pStyle w:val="6"/>
              <w:spacing w:before="50" w:line="224" w:lineRule="auto"/>
              <w:ind w:left="443"/>
            </w:pPr>
            <w:r>
              <w:rPr>
                <w:i/>
                <w:iCs/>
                <w:spacing w:val="-1"/>
              </w:rPr>
              <w:t>daurica</w:t>
            </w:r>
          </w:p>
        </w:tc>
        <w:tc>
          <w:tcPr>
            <w:tcW w:w="989" w:type="dxa"/>
            <w:vAlign w:val="top"/>
          </w:tcPr>
          <w:p w14:paraId="2A1DBDE5">
            <w:pPr>
              <w:pStyle w:val="6"/>
              <w:spacing w:before="210" w:line="232" w:lineRule="auto"/>
              <w:ind w:left="392"/>
            </w:pPr>
            <w:r>
              <w:rPr>
                <w:spacing w:val="-3"/>
              </w:rPr>
              <w:t>52</w:t>
            </w:r>
          </w:p>
        </w:tc>
        <w:tc>
          <w:tcPr>
            <w:tcW w:w="1272" w:type="dxa"/>
            <w:vAlign w:val="top"/>
          </w:tcPr>
          <w:p w14:paraId="0B0C054A">
            <w:pPr>
              <w:spacing w:before="176" w:line="220" w:lineRule="auto"/>
              <w:ind w:left="327"/>
              <w:rPr>
                <w:rFonts w:ascii="宋体" w:hAnsi="宋体" w:eastAsia="宋体" w:cs="宋体"/>
                <w:sz w:val="21"/>
                <w:szCs w:val="21"/>
              </w:rPr>
            </w:pPr>
            <w:r>
              <w:rPr>
                <w:rFonts w:ascii="宋体" w:hAnsi="宋体" w:eastAsia="宋体" w:cs="宋体"/>
                <w:spacing w:val="-3"/>
                <w:sz w:val="21"/>
                <w:szCs w:val="21"/>
              </w:rPr>
              <w:t>金腰燕</w:t>
            </w:r>
          </w:p>
        </w:tc>
        <w:tc>
          <w:tcPr>
            <w:tcW w:w="1693" w:type="dxa"/>
            <w:vAlign w:val="top"/>
          </w:tcPr>
          <w:p w14:paraId="12D7172E">
            <w:pPr>
              <w:pStyle w:val="6"/>
              <w:spacing w:before="210" w:line="190" w:lineRule="auto"/>
              <w:ind w:left="132"/>
            </w:pPr>
            <w:r>
              <w:rPr>
                <w:i/>
                <w:iCs/>
                <w:spacing w:val="-1"/>
              </w:rPr>
              <w:t>Cecropis daurica</w:t>
            </w:r>
          </w:p>
        </w:tc>
        <w:tc>
          <w:tcPr>
            <w:tcW w:w="845" w:type="dxa"/>
            <w:tcBorders>
              <w:right w:val="single" w:color="000000" w:sz="12" w:space="0"/>
            </w:tcBorders>
            <w:vAlign w:val="top"/>
          </w:tcPr>
          <w:p w14:paraId="0DDE2875">
            <w:pPr>
              <w:rPr>
                <w:rFonts w:ascii="Arial"/>
                <w:sz w:val="21"/>
              </w:rPr>
            </w:pPr>
          </w:p>
        </w:tc>
      </w:tr>
      <w:tr w14:paraId="07603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C46171E">
            <w:pPr>
              <w:pStyle w:val="6"/>
              <w:spacing w:before="117" w:line="186" w:lineRule="auto"/>
              <w:ind w:left="238"/>
            </w:pPr>
            <w:r>
              <w:rPr>
                <w:b/>
                <w:bCs/>
                <w:spacing w:val="-2"/>
              </w:rPr>
              <w:t>F30</w:t>
            </w:r>
          </w:p>
        </w:tc>
        <w:tc>
          <w:tcPr>
            <w:tcW w:w="1270" w:type="dxa"/>
            <w:vAlign w:val="top"/>
          </w:tcPr>
          <w:p w14:paraId="66BABD1E">
            <w:pPr>
              <w:spacing w:before="78" w:line="219" w:lineRule="auto"/>
              <w:ind w:left="419"/>
              <w:rPr>
                <w:rFonts w:ascii="宋体" w:hAnsi="宋体" w:eastAsia="宋体" w:cs="宋体"/>
                <w:sz w:val="21"/>
                <w:szCs w:val="21"/>
              </w:rPr>
            </w:pPr>
            <w:r>
              <w:rPr>
                <w:rFonts w:ascii="宋体" w:hAnsi="宋体" w:eastAsia="宋体" w:cs="宋体"/>
                <w:b/>
                <w:bCs/>
                <w:spacing w:val="-5"/>
                <w:sz w:val="21"/>
                <w:szCs w:val="21"/>
              </w:rPr>
              <w:t>鹎科</w:t>
            </w:r>
          </w:p>
        </w:tc>
        <w:tc>
          <w:tcPr>
            <w:tcW w:w="1554" w:type="dxa"/>
            <w:vAlign w:val="top"/>
          </w:tcPr>
          <w:p w14:paraId="4BC7F933">
            <w:pPr>
              <w:pStyle w:val="6"/>
              <w:spacing w:before="117" w:line="186" w:lineRule="auto"/>
              <w:ind w:left="164"/>
            </w:pPr>
            <w:r>
              <w:rPr>
                <w:b/>
                <w:bCs/>
                <w:spacing w:val="-1"/>
              </w:rPr>
              <w:t>Pycnonotidae</w:t>
            </w:r>
          </w:p>
        </w:tc>
        <w:tc>
          <w:tcPr>
            <w:tcW w:w="989" w:type="dxa"/>
            <w:vAlign w:val="top"/>
          </w:tcPr>
          <w:p w14:paraId="5740DF55">
            <w:pPr>
              <w:pStyle w:val="6"/>
              <w:spacing w:before="117" w:line="186" w:lineRule="auto"/>
              <w:ind w:left="323"/>
            </w:pPr>
            <w:r>
              <w:rPr>
                <w:b/>
                <w:bCs/>
                <w:spacing w:val="-2"/>
              </w:rPr>
              <w:t>F26</w:t>
            </w:r>
          </w:p>
        </w:tc>
        <w:tc>
          <w:tcPr>
            <w:tcW w:w="1272" w:type="dxa"/>
            <w:vAlign w:val="top"/>
          </w:tcPr>
          <w:p w14:paraId="3AB2976E">
            <w:pPr>
              <w:spacing w:before="78" w:line="219" w:lineRule="auto"/>
              <w:ind w:left="432"/>
              <w:rPr>
                <w:rFonts w:ascii="宋体" w:hAnsi="宋体" w:eastAsia="宋体" w:cs="宋体"/>
                <w:sz w:val="21"/>
                <w:szCs w:val="21"/>
              </w:rPr>
            </w:pPr>
            <w:r>
              <w:rPr>
                <w:rFonts w:ascii="宋体" w:hAnsi="宋体" w:eastAsia="宋体" w:cs="宋体"/>
                <w:b/>
                <w:bCs/>
                <w:spacing w:val="-5"/>
                <w:sz w:val="21"/>
                <w:szCs w:val="21"/>
              </w:rPr>
              <w:t>鹎科</w:t>
            </w:r>
          </w:p>
        </w:tc>
        <w:tc>
          <w:tcPr>
            <w:tcW w:w="1693" w:type="dxa"/>
            <w:vAlign w:val="top"/>
          </w:tcPr>
          <w:p w14:paraId="1DA6411A">
            <w:pPr>
              <w:pStyle w:val="6"/>
              <w:spacing w:before="117" w:line="186" w:lineRule="auto"/>
              <w:ind w:left="248"/>
            </w:pPr>
            <w:r>
              <w:rPr>
                <w:b/>
                <w:bCs/>
                <w:spacing w:val="-1"/>
              </w:rPr>
              <w:t>Pycnonotidae</w:t>
            </w:r>
          </w:p>
        </w:tc>
        <w:tc>
          <w:tcPr>
            <w:tcW w:w="845" w:type="dxa"/>
            <w:tcBorders>
              <w:right w:val="single" w:color="000000" w:sz="12" w:space="0"/>
            </w:tcBorders>
            <w:vAlign w:val="top"/>
          </w:tcPr>
          <w:p w14:paraId="37D882BD">
            <w:pPr>
              <w:rPr>
                <w:rFonts w:ascii="Arial"/>
                <w:sz w:val="21"/>
              </w:rPr>
            </w:pPr>
          </w:p>
        </w:tc>
      </w:tr>
      <w:tr w14:paraId="532EC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B0088FF">
            <w:pPr>
              <w:pStyle w:val="6"/>
              <w:spacing w:before="211" w:line="232" w:lineRule="auto"/>
              <w:ind w:left="306"/>
            </w:pPr>
            <w:r>
              <w:rPr>
                <w:spacing w:val="-2"/>
              </w:rPr>
              <w:t>78</w:t>
            </w:r>
          </w:p>
        </w:tc>
        <w:tc>
          <w:tcPr>
            <w:tcW w:w="1270" w:type="dxa"/>
            <w:vAlign w:val="top"/>
          </w:tcPr>
          <w:p w14:paraId="32C7AE38">
            <w:pPr>
              <w:spacing w:before="177" w:line="220" w:lineRule="auto"/>
              <w:ind w:left="103"/>
              <w:rPr>
                <w:rFonts w:ascii="宋体" w:hAnsi="宋体" w:eastAsia="宋体" w:cs="宋体"/>
                <w:sz w:val="21"/>
                <w:szCs w:val="21"/>
              </w:rPr>
            </w:pPr>
            <w:r>
              <w:rPr>
                <w:rFonts w:ascii="宋体" w:hAnsi="宋体" w:eastAsia="宋体" w:cs="宋体"/>
                <w:spacing w:val="-2"/>
                <w:sz w:val="21"/>
                <w:szCs w:val="21"/>
              </w:rPr>
              <w:t>凤头雀嘴鹎</w:t>
            </w:r>
          </w:p>
        </w:tc>
        <w:tc>
          <w:tcPr>
            <w:tcW w:w="1554" w:type="dxa"/>
            <w:vAlign w:val="top"/>
          </w:tcPr>
          <w:p w14:paraId="6EBC1C7D">
            <w:pPr>
              <w:pStyle w:val="6"/>
              <w:spacing w:before="91" w:line="190" w:lineRule="auto"/>
              <w:ind w:left="423"/>
            </w:pPr>
            <w:r>
              <w:rPr>
                <w:i/>
                <w:iCs/>
                <w:spacing w:val="-1"/>
              </w:rPr>
              <w:t>Spizixos</w:t>
            </w:r>
          </w:p>
          <w:p w14:paraId="53A0559F">
            <w:pPr>
              <w:pStyle w:val="6"/>
              <w:spacing w:before="49" w:line="190" w:lineRule="auto"/>
              <w:ind w:left="374"/>
            </w:pPr>
            <w:r>
              <w:rPr>
                <w:i/>
                <w:iCs/>
                <w:spacing w:val="-1"/>
              </w:rPr>
              <w:t>canifrons</w:t>
            </w:r>
          </w:p>
        </w:tc>
        <w:tc>
          <w:tcPr>
            <w:tcW w:w="989" w:type="dxa"/>
            <w:vAlign w:val="top"/>
          </w:tcPr>
          <w:p w14:paraId="6202E335">
            <w:pPr>
              <w:pStyle w:val="6"/>
              <w:spacing w:before="211" w:line="232" w:lineRule="auto"/>
              <w:ind w:left="392"/>
            </w:pPr>
            <w:r>
              <w:rPr>
                <w:spacing w:val="-3"/>
              </w:rPr>
              <w:t>53</w:t>
            </w:r>
          </w:p>
        </w:tc>
        <w:tc>
          <w:tcPr>
            <w:tcW w:w="1272" w:type="dxa"/>
            <w:vAlign w:val="top"/>
          </w:tcPr>
          <w:p w14:paraId="721F8D1F">
            <w:pPr>
              <w:spacing w:before="177" w:line="220" w:lineRule="auto"/>
              <w:ind w:left="116"/>
              <w:rPr>
                <w:rFonts w:ascii="宋体" w:hAnsi="宋体" w:eastAsia="宋体" w:cs="宋体"/>
                <w:sz w:val="21"/>
                <w:szCs w:val="21"/>
              </w:rPr>
            </w:pPr>
            <w:r>
              <w:rPr>
                <w:rFonts w:ascii="宋体" w:hAnsi="宋体" w:eastAsia="宋体" w:cs="宋体"/>
                <w:spacing w:val="-2"/>
                <w:sz w:val="21"/>
                <w:szCs w:val="21"/>
              </w:rPr>
              <w:t>凤头雀嘴鹎</w:t>
            </w:r>
          </w:p>
        </w:tc>
        <w:tc>
          <w:tcPr>
            <w:tcW w:w="1693" w:type="dxa"/>
            <w:vAlign w:val="top"/>
          </w:tcPr>
          <w:p w14:paraId="16C348C7">
            <w:pPr>
              <w:pStyle w:val="6"/>
              <w:spacing w:before="211" w:line="190" w:lineRule="auto"/>
              <w:ind w:left="85"/>
            </w:pPr>
            <w:r>
              <w:rPr>
                <w:i/>
                <w:iCs/>
                <w:spacing w:val="-1"/>
              </w:rPr>
              <w:t>Spizixos canifrons</w:t>
            </w:r>
          </w:p>
        </w:tc>
        <w:tc>
          <w:tcPr>
            <w:tcW w:w="845" w:type="dxa"/>
            <w:tcBorders>
              <w:right w:val="single" w:color="000000" w:sz="12" w:space="0"/>
            </w:tcBorders>
            <w:vAlign w:val="top"/>
          </w:tcPr>
          <w:p w14:paraId="2F49860F">
            <w:pPr>
              <w:rPr>
                <w:rFonts w:ascii="Arial"/>
                <w:sz w:val="21"/>
              </w:rPr>
            </w:pPr>
          </w:p>
        </w:tc>
      </w:tr>
      <w:tr w14:paraId="3F5E5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0F5C5C5">
            <w:pPr>
              <w:pStyle w:val="6"/>
              <w:spacing w:before="212" w:line="232" w:lineRule="auto"/>
              <w:ind w:left="306"/>
            </w:pPr>
            <w:r>
              <w:rPr>
                <w:spacing w:val="-2"/>
              </w:rPr>
              <w:t>79</w:t>
            </w:r>
          </w:p>
        </w:tc>
        <w:tc>
          <w:tcPr>
            <w:tcW w:w="1270" w:type="dxa"/>
            <w:vAlign w:val="top"/>
          </w:tcPr>
          <w:p w14:paraId="780B8345">
            <w:pPr>
              <w:spacing w:before="178" w:line="220" w:lineRule="auto"/>
              <w:ind w:left="312"/>
              <w:rPr>
                <w:rFonts w:ascii="宋体" w:hAnsi="宋体" w:eastAsia="宋体" w:cs="宋体"/>
                <w:sz w:val="21"/>
                <w:szCs w:val="21"/>
              </w:rPr>
            </w:pPr>
            <w:r>
              <w:rPr>
                <w:rFonts w:ascii="宋体" w:hAnsi="宋体" w:eastAsia="宋体" w:cs="宋体"/>
                <w:spacing w:val="-2"/>
                <w:sz w:val="21"/>
                <w:szCs w:val="21"/>
              </w:rPr>
              <w:t>黄臀鹎</w:t>
            </w:r>
          </w:p>
        </w:tc>
        <w:tc>
          <w:tcPr>
            <w:tcW w:w="1554" w:type="dxa"/>
            <w:vAlign w:val="top"/>
          </w:tcPr>
          <w:p w14:paraId="7862D0D5">
            <w:pPr>
              <w:pStyle w:val="6"/>
              <w:spacing w:before="91" w:line="190" w:lineRule="auto"/>
              <w:ind w:left="270"/>
            </w:pPr>
            <w:r>
              <w:rPr>
                <w:i/>
                <w:iCs/>
              </w:rPr>
              <w:t>Pycnonotus</w:t>
            </w:r>
          </w:p>
          <w:p w14:paraId="01194A1C">
            <w:pPr>
              <w:pStyle w:val="6"/>
              <w:spacing w:before="50" w:line="221" w:lineRule="auto"/>
              <w:ind w:left="192"/>
            </w:pPr>
            <w:r>
              <w:rPr>
                <w:i/>
                <w:iCs/>
              </w:rPr>
              <w:t>xanthorrhous</w:t>
            </w:r>
          </w:p>
        </w:tc>
        <w:tc>
          <w:tcPr>
            <w:tcW w:w="989" w:type="dxa"/>
            <w:vAlign w:val="top"/>
          </w:tcPr>
          <w:p w14:paraId="134A710A">
            <w:pPr>
              <w:pStyle w:val="6"/>
              <w:spacing w:before="213" w:line="232" w:lineRule="auto"/>
              <w:ind w:left="392"/>
            </w:pPr>
            <w:r>
              <w:rPr>
                <w:spacing w:val="-3"/>
              </w:rPr>
              <w:t>54</w:t>
            </w:r>
          </w:p>
        </w:tc>
        <w:tc>
          <w:tcPr>
            <w:tcW w:w="1272" w:type="dxa"/>
            <w:vAlign w:val="top"/>
          </w:tcPr>
          <w:p w14:paraId="460D6332">
            <w:pPr>
              <w:spacing w:before="178" w:line="220" w:lineRule="auto"/>
              <w:ind w:left="325"/>
              <w:rPr>
                <w:rFonts w:ascii="宋体" w:hAnsi="宋体" w:eastAsia="宋体" w:cs="宋体"/>
                <w:sz w:val="21"/>
                <w:szCs w:val="21"/>
              </w:rPr>
            </w:pPr>
            <w:r>
              <w:rPr>
                <w:rFonts w:ascii="宋体" w:hAnsi="宋体" w:eastAsia="宋体" w:cs="宋体"/>
                <w:spacing w:val="-2"/>
                <w:sz w:val="21"/>
                <w:szCs w:val="21"/>
              </w:rPr>
              <w:t>黄臀鹎</w:t>
            </w:r>
          </w:p>
        </w:tc>
        <w:tc>
          <w:tcPr>
            <w:tcW w:w="1693" w:type="dxa"/>
            <w:vAlign w:val="top"/>
          </w:tcPr>
          <w:p w14:paraId="45209C7A">
            <w:pPr>
              <w:pStyle w:val="6"/>
              <w:spacing w:before="91" w:line="190" w:lineRule="auto"/>
              <w:ind w:left="355"/>
            </w:pPr>
            <w:r>
              <w:rPr>
                <w:i/>
                <w:iCs/>
              </w:rPr>
              <w:t>Pycnonotus</w:t>
            </w:r>
          </w:p>
          <w:p w14:paraId="603C5BD9">
            <w:pPr>
              <w:pStyle w:val="6"/>
              <w:spacing w:before="50" w:line="221" w:lineRule="auto"/>
              <w:ind w:left="277"/>
            </w:pPr>
            <w:r>
              <w:rPr>
                <w:i/>
                <w:iCs/>
              </w:rPr>
              <w:t>xanthorrhous</w:t>
            </w:r>
          </w:p>
        </w:tc>
        <w:tc>
          <w:tcPr>
            <w:tcW w:w="845" w:type="dxa"/>
            <w:tcBorders>
              <w:right w:val="single" w:color="000000" w:sz="12" w:space="0"/>
            </w:tcBorders>
            <w:vAlign w:val="top"/>
          </w:tcPr>
          <w:p w14:paraId="2FBF4E1C">
            <w:pPr>
              <w:rPr>
                <w:rFonts w:ascii="Arial"/>
                <w:sz w:val="21"/>
              </w:rPr>
            </w:pPr>
          </w:p>
        </w:tc>
      </w:tr>
      <w:tr w14:paraId="69FCA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828CF0B">
            <w:pPr>
              <w:pStyle w:val="6"/>
              <w:spacing w:before="215" w:line="232" w:lineRule="auto"/>
              <w:ind w:left="311"/>
            </w:pPr>
            <w:r>
              <w:rPr>
                <w:spacing w:val="-4"/>
              </w:rPr>
              <w:t>80</w:t>
            </w:r>
          </w:p>
        </w:tc>
        <w:tc>
          <w:tcPr>
            <w:tcW w:w="1270" w:type="dxa"/>
            <w:vAlign w:val="top"/>
          </w:tcPr>
          <w:p w14:paraId="3EFD1223">
            <w:pPr>
              <w:spacing w:before="181" w:line="220" w:lineRule="auto"/>
              <w:ind w:left="133"/>
              <w:rPr>
                <w:rFonts w:ascii="宋体" w:hAnsi="宋体" w:eastAsia="宋体" w:cs="宋体"/>
                <w:sz w:val="21"/>
                <w:szCs w:val="21"/>
              </w:rPr>
            </w:pPr>
            <w:r>
              <w:rPr>
                <w:rFonts w:ascii="宋体" w:hAnsi="宋体" w:eastAsia="宋体" w:cs="宋体"/>
                <w:spacing w:val="-7"/>
                <w:sz w:val="21"/>
                <w:szCs w:val="21"/>
              </w:rPr>
              <w:t>白喉红臀鹎</w:t>
            </w:r>
          </w:p>
        </w:tc>
        <w:tc>
          <w:tcPr>
            <w:tcW w:w="1554" w:type="dxa"/>
            <w:vAlign w:val="top"/>
          </w:tcPr>
          <w:p w14:paraId="22C3764D">
            <w:pPr>
              <w:pStyle w:val="6"/>
              <w:spacing w:before="93" w:line="190" w:lineRule="auto"/>
              <w:ind w:left="270"/>
            </w:pPr>
            <w:r>
              <w:rPr>
                <w:i/>
                <w:iCs/>
              </w:rPr>
              <w:t>Pycnonotus</w:t>
            </w:r>
          </w:p>
          <w:p w14:paraId="12949B73">
            <w:pPr>
              <w:pStyle w:val="6"/>
              <w:spacing w:before="50" w:line="190" w:lineRule="auto"/>
              <w:ind w:left="333"/>
            </w:pPr>
            <w:r>
              <w:rPr>
                <w:i/>
                <w:iCs/>
                <w:spacing w:val="-1"/>
              </w:rPr>
              <w:t>aurigaster</w:t>
            </w:r>
          </w:p>
        </w:tc>
        <w:tc>
          <w:tcPr>
            <w:tcW w:w="989" w:type="dxa"/>
            <w:vAlign w:val="top"/>
          </w:tcPr>
          <w:p w14:paraId="780CEA4F">
            <w:pPr>
              <w:pStyle w:val="6"/>
              <w:spacing w:before="215" w:line="232" w:lineRule="auto"/>
              <w:ind w:left="392"/>
            </w:pPr>
            <w:r>
              <w:rPr>
                <w:spacing w:val="-3"/>
              </w:rPr>
              <w:t>55</w:t>
            </w:r>
          </w:p>
        </w:tc>
        <w:tc>
          <w:tcPr>
            <w:tcW w:w="1272" w:type="dxa"/>
            <w:vAlign w:val="top"/>
          </w:tcPr>
          <w:p w14:paraId="3CACAE56">
            <w:pPr>
              <w:spacing w:before="181" w:line="220" w:lineRule="auto"/>
              <w:ind w:left="146"/>
              <w:rPr>
                <w:rFonts w:ascii="宋体" w:hAnsi="宋体" w:eastAsia="宋体" w:cs="宋体"/>
                <w:sz w:val="21"/>
                <w:szCs w:val="21"/>
              </w:rPr>
            </w:pPr>
            <w:r>
              <w:rPr>
                <w:rFonts w:ascii="宋体" w:hAnsi="宋体" w:eastAsia="宋体" w:cs="宋体"/>
                <w:spacing w:val="-7"/>
                <w:sz w:val="21"/>
                <w:szCs w:val="21"/>
              </w:rPr>
              <w:t>白喉红臀鹎</w:t>
            </w:r>
          </w:p>
        </w:tc>
        <w:tc>
          <w:tcPr>
            <w:tcW w:w="1693" w:type="dxa"/>
            <w:vAlign w:val="top"/>
          </w:tcPr>
          <w:p w14:paraId="5A3D6C0D">
            <w:pPr>
              <w:pStyle w:val="6"/>
              <w:spacing w:before="93" w:line="190" w:lineRule="auto"/>
              <w:ind w:left="355"/>
            </w:pPr>
            <w:r>
              <w:rPr>
                <w:i/>
                <w:iCs/>
              </w:rPr>
              <w:t>Pycnonotus</w:t>
            </w:r>
          </w:p>
          <w:p w14:paraId="60BC0E9D">
            <w:pPr>
              <w:pStyle w:val="6"/>
              <w:spacing w:before="50" w:line="190" w:lineRule="auto"/>
              <w:ind w:left="417"/>
            </w:pPr>
            <w:r>
              <w:rPr>
                <w:i/>
                <w:iCs/>
                <w:spacing w:val="-1"/>
              </w:rPr>
              <w:t>aurigaster</w:t>
            </w:r>
          </w:p>
        </w:tc>
        <w:tc>
          <w:tcPr>
            <w:tcW w:w="845" w:type="dxa"/>
            <w:tcBorders>
              <w:right w:val="single" w:color="000000" w:sz="12" w:space="0"/>
            </w:tcBorders>
            <w:vAlign w:val="top"/>
          </w:tcPr>
          <w:p w14:paraId="05B9E322">
            <w:pPr>
              <w:rPr>
                <w:rFonts w:ascii="Arial"/>
                <w:sz w:val="21"/>
              </w:rPr>
            </w:pPr>
          </w:p>
        </w:tc>
      </w:tr>
      <w:tr w14:paraId="2CAE0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7BD94649">
            <w:pPr>
              <w:pStyle w:val="6"/>
              <w:spacing w:before="215" w:line="232" w:lineRule="auto"/>
              <w:ind w:left="311"/>
            </w:pPr>
            <w:r>
              <w:rPr>
                <w:spacing w:val="-4"/>
              </w:rPr>
              <w:t>81</w:t>
            </w:r>
          </w:p>
        </w:tc>
        <w:tc>
          <w:tcPr>
            <w:tcW w:w="1270" w:type="dxa"/>
            <w:vAlign w:val="top"/>
          </w:tcPr>
          <w:p w14:paraId="0A44C056">
            <w:pPr>
              <w:spacing w:before="181" w:line="220" w:lineRule="auto"/>
              <w:ind w:left="312"/>
              <w:rPr>
                <w:rFonts w:ascii="宋体" w:hAnsi="宋体" w:eastAsia="宋体" w:cs="宋体"/>
                <w:sz w:val="21"/>
                <w:szCs w:val="21"/>
              </w:rPr>
            </w:pPr>
            <w:r>
              <w:rPr>
                <w:rFonts w:ascii="宋体" w:hAnsi="宋体" w:eastAsia="宋体" w:cs="宋体"/>
                <w:spacing w:val="-2"/>
                <w:sz w:val="21"/>
                <w:szCs w:val="21"/>
              </w:rPr>
              <w:t>黄绿鹎</w:t>
            </w:r>
          </w:p>
        </w:tc>
        <w:tc>
          <w:tcPr>
            <w:tcW w:w="1554" w:type="dxa"/>
            <w:vAlign w:val="top"/>
          </w:tcPr>
          <w:p w14:paraId="6DEAE4C2">
            <w:pPr>
              <w:pStyle w:val="6"/>
              <w:spacing w:before="95" w:line="190" w:lineRule="auto"/>
              <w:ind w:left="270"/>
            </w:pPr>
            <w:r>
              <w:rPr>
                <w:i/>
                <w:iCs/>
              </w:rPr>
              <w:t>Pycnonotus</w:t>
            </w:r>
          </w:p>
          <w:p w14:paraId="2DFDF343">
            <w:pPr>
              <w:pStyle w:val="6"/>
              <w:spacing w:before="50" w:line="190" w:lineRule="auto"/>
              <w:ind w:left="298"/>
            </w:pPr>
            <w:r>
              <w:rPr>
                <w:i/>
                <w:iCs/>
                <w:spacing w:val="3"/>
              </w:rPr>
              <w:t>flavescens</w:t>
            </w:r>
          </w:p>
        </w:tc>
        <w:tc>
          <w:tcPr>
            <w:tcW w:w="989" w:type="dxa"/>
            <w:vAlign w:val="top"/>
          </w:tcPr>
          <w:p w14:paraId="666D70C2">
            <w:pPr>
              <w:rPr>
                <w:rFonts w:ascii="Arial"/>
                <w:sz w:val="21"/>
              </w:rPr>
            </w:pPr>
          </w:p>
        </w:tc>
        <w:tc>
          <w:tcPr>
            <w:tcW w:w="1272" w:type="dxa"/>
            <w:vAlign w:val="top"/>
          </w:tcPr>
          <w:p w14:paraId="0CF81C2C">
            <w:pPr>
              <w:rPr>
                <w:rFonts w:ascii="Arial"/>
                <w:sz w:val="21"/>
              </w:rPr>
            </w:pPr>
          </w:p>
        </w:tc>
        <w:tc>
          <w:tcPr>
            <w:tcW w:w="1693" w:type="dxa"/>
            <w:vAlign w:val="top"/>
          </w:tcPr>
          <w:p w14:paraId="0C4E8973">
            <w:pPr>
              <w:rPr>
                <w:rFonts w:ascii="Arial"/>
                <w:sz w:val="21"/>
              </w:rPr>
            </w:pPr>
          </w:p>
        </w:tc>
        <w:tc>
          <w:tcPr>
            <w:tcW w:w="845" w:type="dxa"/>
            <w:tcBorders>
              <w:right w:val="single" w:color="000000" w:sz="12" w:space="0"/>
            </w:tcBorders>
            <w:vAlign w:val="top"/>
          </w:tcPr>
          <w:p w14:paraId="5B30815B">
            <w:pPr>
              <w:rPr>
                <w:rFonts w:ascii="Arial"/>
                <w:sz w:val="21"/>
              </w:rPr>
            </w:pPr>
          </w:p>
        </w:tc>
      </w:tr>
      <w:tr w14:paraId="514BF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FF70C08">
            <w:pPr>
              <w:pStyle w:val="6"/>
              <w:spacing w:before="118" w:line="232" w:lineRule="auto"/>
              <w:ind w:left="311"/>
            </w:pPr>
            <w:r>
              <w:rPr>
                <w:spacing w:val="-4"/>
              </w:rPr>
              <w:t>82</w:t>
            </w:r>
          </w:p>
        </w:tc>
        <w:tc>
          <w:tcPr>
            <w:tcW w:w="1270" w:type="dxa"/>
            <w:vAlign w:val="top"/>
          </w:tcPr>
          <w:p w14:paraId="223EA511">
            <w:pPr>
              <w:spacing w:before="85" w:line="219" w:lineRule="auto"/>
              <w:ind w:left="104"/>
              <w:rPr>
                <w:rFonts w:ascii="宋体" w:hAnsi="宋体" w:eastAsia="宋体" w:cs="宋体"/>
                <w:sz w:val="21"/>
                <w:szCs w:val="21"/>
              </w:rPr>
            </w:pPr>
            <w:r>
              <w:rPr>
                <w:rFonts w:ascii="宋体" w:hAnsi="宋体" w:eastAsia="宋体" w:cs="宋体"/>
                <w:spacing w:val="-2"/>
                <w:sz w:val="21"/>
                <w:szCs w:val="21"/>
              </w:rPr>
              <w:t>绿翅短脚鹎</w:t>
            </w:r>
          </w:p>
        </w:tc>
        <w:tc>
          <w:tcPr>
            <w:tcW w:w="1554" w:type="dxa"/>
            <w:vAlign w:val="top"/>
          </w:tcPr>
          <w:p w14:paraId="70929EFB">
            <w:pPr>
              <w:pStyle w:val="6"/>
              <w:spacing w:before="117" w:line="233" w:lineRule="auto"/>
              <w:ind w:left="38"/>
            </w:pPr>
            <w:r>
              <w:rPr>
                <w:i/>
                <w:iCs/>
              </w:rPr>
              <w:t>Ixos</w:t>
            </w:r>
            <w:r>
              <w:rPr>
                <w:i/>
                <w:iCs/>
                <w:spacing w:val="7"/>
              </w:rPr>
              <w:t xml:space="preserve"> </w:t>
            </w:r>
            <w:r>
              <w:rPr>
                <w:i/>
                <w:iCs/>
              </w:rPr>
              <w:t>mcclellandii</w:t>
            </w:r>
          </w:p>
        </w:tc>
        <w:tc>
          <w:tcPr>
            <w:tcW w:w="989" w:type="dxa"/>
            <w:vAlign w:val="top"/>
          </w:tcPr>
          <w:p w14:paraId="63177FE5">
            <w:pPr>
              <w:pStyle w:val="6"/>
              <w:spacing w:before="118" w:line="232" w:lineRule="auto"/>
              <w:ind w:left="392"/>
            </w:pPr>
            <w:r>
              <w:rPr>
                <w:spacing w:val="-3"/>
              </w:rPr>
              <w:t>56</w:t>
            </w:r>
          </w:p>
        </w:tc>
        <w:tc>
          <w:tcPr>
            <w:tcW w:w="1272" w:type="dxa"/>
            <w:vAlign w:val="top"/>
          </w:tcPr>
          <w:p w14:paraId="76ACB85D">
            <w:pPr>
              <w:spacing w:before="85" w:line="219" w:lineRule="auto"/>
              <w:ind w:left="117"/>
              <w:rPr>
                <w:rFonts w:ascii="宋体" w:hAnsi="宋体" w:eastAsia="宋体" w:cs="宋体"/>
                <w:sz w:val="21"/>
                <w:szCs w:val="21"/>
              </w:rPr>
            </w:pPr>
            <w:r>
              <w:rPr>
                <w:rFonts w:ascii="宋体" w:hAnsi="宋体" w:eastAsia="宋体" w:cs="宋体"/>
                <w:spacing w:val="-2"/>
                <w:sz w:val="21"/>
                <w:szCs w:val="21"/>
              </w:rPr>
              <w:t>绿翅短脚鹎</w:t>
            </w:r>
          </w:p>
        </w:tc>
        <w:tc>
          <w:tcPr>
            <w:tcW w:w="1693" w:type="dxa"/>
            <w:vAlign w:val="top"/>
          </w:tcPr>
          <w:p w14:paraId="4B4127DE">
            <w:pPr>
              <w:pStyle w:val="6"/>
              <w:spacing w:before="117" w:line="233" w:lineRule="auto"/>
              <w:ind w:left="123"/>
            </w:pPr>
            <w:r>
              <w:rPr>
                <w:i/>
                <w:iCs/>
              </w:rPr>
              <w:t>Ixos</w:t>
            </w:r>
            <w:r>
              <w:rPr>
                <w:i/>
                <w:iCs/>
                <w:spacing w:val="7"/>
              </w:rPr>
              <w:t xml:space="preserve"> </w:t>
            </w:r>
            <w:r>
              <w:rPr>
                <w:i/>
                <w:iCs/>
              </w:rPr>
              <w:t>mcclellandii</w:t>
            </w:r>
          </w:p>
        </w:tc>
        <w:tc>
          <w:tcPr>
            <w:tcW w:w="845" w:type="dxa"/>
            <w:tcBorders>
              <w:right w:val="single" w:color="000000" w:sz="12" w:space="0"/>
            </w:tcBorders>
            <w:vAlign w:val="top"/>
          </w:tcPr>
          <w:p w14:paraId="748DC537">
            <w:pPr>
              <w:rPr>
                <w:rFonts w:ascii="Arial"/>
                <w:sz w:val="21"/>
              </w:rPr>
            </w:pPr>
          </w:p>
        </w:tc>
      </w:tr>
      <w:tr w14:paraId="4D549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1D434D9">
            <w:pPr>
              <w:pStyle w:val="6"/>
              <w:spacing w:before="218" w:line="232" w:lineRule="auto"/>
              <w:ind w:left="311"/>
            </w:pPr>
            <w:r>
              <w:rPr>
                <w:spacing w:val="-4"/>
              </w:rPr>
              <w:t>83</w:t>
            </w:r>
          </w:p>
        </w:tc>
        <w:tc>
          <w:tcPr>
            <w:tcW w:w="1270" w:type="dxa"/>
            <w:vAlign w:val="top"/>
          </w:tcPr>
          <w:p w14:paraId="15D3AA83">
            <w:pPr>
              <w:spacing w:before="184" w:line="219" w:lineRule="auto"/>
              <w:ind w:left="213"/>
              <w:rPr>
                <w:rFonts w:ascii="宋体" w:hAnsi="宋体" w:eastAsia="宋体" w:cs="宋体"/>
                <w:sz w:val="21"/>
                <w:szCs w:val="21"/>
              </w:rPr>
            </w:pPr>
            <w:r>
              <w:rPr>
                <w:rFonts w:ascii="宋体" w:hAnsi="宋体" w:eastAsia="宋体" w:cs="宋体"/>
                <w:spacing w:val="-3"/>
                <w:sz w:val="21"/>
                <w:szCs w:val="21"/>
              </w:rPr>
              <w:t>黑短脚鹎</w:t>
            </w:r>
          </w:p>
        </w:tc>
        <w:tc>
          <w:tcPr>
            <w:tcW w:w="1554" w:type="dxa"/>
            <w:vAlign w:val="top"/>
          </w:tcPr>
          <w:p w14:paraId="2A7407A9">
            <w:pPr>
              <w:pStyle w:val="6"/>
              <w:spacing w:before="96" w:line="190" w:lineRule="auto"/>
              <w:ind w:left="300"/>
            </w:pPr>
            <w:r>
              <w:rPr>
                <w:i/>
                <w:iCs/>
              </w:rPr>
              <w:t>Hypsipetes</w:t>
            </w:r>
          </w:p>
          <w:p w14:paraId="02DE1651">
            <w:pPr>
              <w:pStyle w:val="6"/>
              <w:spacing w:before="50" w:line="190" w:lineRule="auto"/>
              <w:ind w:left="173"/>
            </w:pPr>
            <w:r>
              <w:rPr>
                <w:i/>
                <w:iCs/>
                <w:spacing w:val="-1"/>
              </w:rPr>
              <w:t>leucocephalus</w:t>
            </w:r>
          </w:p>
        </w:tc>
        <w:tc>
          <w:tcPr>
            <w:tcW w:w="989" w:type="dxa"/>
            <w:vAlign w:val="top"/>
          </w:tcPr>
          <w:p w14:paraId="43EA9CA4">
            <w:pPr>
              <w:pStyle w:val="6"/>
              <w:spacing w:before="218" w:line="232" w:lineRule="auto"/>
              <w:ind w:left="392"/>
            </w:pPr>
            <w:r>
              <w:rPr>
                <w:spacing w:val="-3"/>
              </w:rPr>
              <w:t>57</w:t>
            </w:r>
          </w:p>
        </w:tc>
        <w:tc>
          <w:tcPr>
            <w:tcW w:w="1272" w:type="dxa"/>
            <w:vAlign w:val="top"/>
          </w:tcPr>
          <w:p w14:paraId="6F629FEE">
            <w:pPr>
              <w:spacing w:before="184" w:line="219" w:lineRule="auto"/>
              <w:ind w:left="227"/>
              <w:rPr>
                <w:rFonts w:ascii="宋体" w:hAnsi="宋体" w:eastAsia="宋体" w:cs="宋体"/>
                <w:sz w:val="21"/>
                <w:szCs w:val="21"/>
              </w:rPr>
            </w:pPr>
            <w:r>
              <w:rPr>
                <w:rFonts w:ascii="宋体" w:hAnsi="宋体" w:eastAsia="宋体" w:cs="宋体"/>
                <w:spacing w:val="-3"/>
                <w:sz w:val="21"/>
                <w:szCs w:val="21"/>
              </w:rPr>
              <w:t>黑短脚鹎</w:t>
            </w:r>
          </w:p>
        </w:tc>
        <w:tc>
          <w:tcPr>
            <w:tcW w:w="1693" w:type="dxa"/>
            <w:vAlign w:val="top"/>
          </w:tcPr>
          <w:p w14:paraId="369C7CE1">
            <w:pPr>
              <w:pStyle w:val="6"/>
              <w:spacing w:before="96" w:line="190" w:lineRule="auto"/>
              <w:ind w:left="384"/>
            </w:pPr>
            <w:r>
              <w:rPr>
                <w:i/>
                <w:iCs/>
              </w:rPr>
              <w:t>Hypsipetes</w:t>
            </w:r>
          </w:p>
          <w:p w14:paraId="5B1DDFDC">
            <w:pPr>
              <w:pStyle w:val="6"/>
              <w:spacing w:before="50" w:line="190" w:lineRule="auto"/>
              <w:ind w:left="257"/>
            </w:pPr>
            <w:r>
              <w:rPr>
                <w:i/>
                <w:iCs/>
                <w:spacing w:val="-1"/>
              </w:rPr>
              <w:t>leucocephalus</w:t>
            </w:r>
          </w:p>
        </w:tc>
        <w:tc>
          <w:tcPr>
            <w:tcW w:w="845" w:type="dxa"/>
            <w:tcBorders>
              <w:right w:val="single" w:color="000000" w:sz="12" w:space="0"/>
            </w:tcBorders>
            <w:vAlign w:val="top"/>
          </w:tcPr>
          <w:p w14:paraId="06084B6A">
            <w:pPr>
              <w:rPr>
                <w:rFonts w:ascii="Arial"/>
                <w:sz w:val="21"/>
              </w:rPr>
            </w:pPr>
          </w:p>
        </w:tc>
      </w:tr>
      <w:tr w14:paraId="262DE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43B8017C">
            <w:pPr>
              <w:pStyle w:val="6"/>
              <w:spacing w:before="117" w:line="186" w:lineRule="auto"/>
              <w:ind w:left="238"/>
            </w:pPr>
            <w:r>
              <w:rPr>
                <w:b/>
                <w:bCs/>
                <w:spacing w:val="-2"/>
              </w:rPr>
              <w:t>F31</w:t>
            </w:r>
          </w:p>
        </w:tc>
        <w:tc>
          <w:tcPr>
            <w:tcW w:w="1270" w:type="dxa"/>
            <w:vAlign w:val="top"/>
          </w:tcPr>
          <w:p w14:paraId="2D1784C5">
            <w:pPr>
              <w:spacing w:before="80" w:line="219" w:lineRule="auto"/>
              <w:ind w:left="311"/>
              <w:rPr>
                <w:rFonts w:ascii="宋体" w:hAnsi="宋体" w:eastAsia="宋体" w:cs="宋体"/>
                <w:sz w:val="21"/>
                <w:szCs w:val="21"/>
              </w:rPr>
            </w:pPr>
            <w:r>
              <w:rPr>
                <w:rFonts w:ascii="宋体" w:hAnsi="宋体" w:eastAsia="宋体" w:cs="宋体"/>
                <w:b/>
                <w:bCs/>
                <w:spacing w:val="-4"/>
                <w:sz w:val="21"/>
                <w:szCs w:val="21"/>
              </w:rPr>
              <w:t>柳莺科</w:t>
            </w:r>
          </w:p>
        </w:tc>
        <w:tc>
          <w:tcPr>
            <w:tcW w:w="1554" w:type="dxa"/>
            <w:vAlign w:val="top"/>
          </w:tcPr>
          <w:p w14:paraId="25422FB0">
            <w:pPr>
              <w:pStyle w:val="6"/>
              <w:spacing w:before="117" w:line="186" w:lineRule="auto"/>
              <w:ind w:left="100"/>
            </w:pPr>
            <w:r>
              <w:rPr>
                <w:b/>
                <w:bCs/>
                <w:spacing w:val="-1"/>
              </w:rPr>
              <w:t>Phylloscopidae</w:t>
            </w:r>
          </w:p>
        </w:tc>
        <w:tc>
          <w:tcPr>
            <w:tcW w:w="989" w:type="dxa"/>
            <w:vAlign w:val="top"/>
          </w:tcPr>
          <w:p w14:paraId="3AA6E623">
            <w:pPr>
              <w:pStyle w:val="6"/>
              <w:spacing w:before="117" w:line="186" w:lineRule="auto"/>
              <w:ind w:left="323"/>
            </w:pPr>
            <w:r>
              <w:rPr>
                <w:b/>
                <w:bCs/>
                <w:spacing w:val="-2"/>
              </w:rPr>
              <w:t>F27</w:t>
            </w:r>
          </w:p>
        </w:tc>
        <w:tc>
          <w:tcPr>
            <w:tcW w:w="1272" w:type="dxa"/>
            <w:vAlign w:val="top"/>
          </w:tcPr>
          <w:p w14:paraId="59279E55">
            <w:pPr>
              <w:spacing w:before="80" w:line="219" w:lineRule="auto"/>
              <w:ind w:left="324"/>
              <w:rPr>
                <w:rFonts w:ascii="宋体" w:hAnsi="宋体" w:eastAsia="宋体" w:cs="宋体"/>
                <w:sz w:val="21"/>
                <w:szCs w:val="21"/>
              </w:rPr>
            </w:pPr>
            <w:r>
              <w:rPr>
                <w:rFonts w:ascii="宋体" w:hAnsi="宋体" w:eastAsia="宋体" w:cs="宋体"/>
                <w:b/>
                <w:bCs/>
                <w:spacing w:val="-4"/>
                <w:sz w:val="21"/>
                <w:szCs w:val="21"/>
              </w:rPr>
              <w:t>柳莺科</w:t>
            </w:r>
          </w:p>
        </w:tc>
        <w:tc>
          <w:tcPr>
            <w:tcW w:w="1693" w:type="dxa"/>
            <w:vAlign w:val="top"/>
          </w:tcPr>
          <w:p w14:paraId="7521423E">
            <w:pPr>
              <w:pStyle w:val="6"/>
              <w:spacing w:before="117" w:line="186" w:lineRule="auto"/>
              <w:ind w:left="185"/>
            </w:pPr>
            <w:r>
              <w:rPr>
                <w:b/>
                <w:bCs/>
                <w:spacing w:val="-1"/>
              </w:rPr>
              <w:t>Phylloscopidae</w:t>
            </w:r>
          </w:p>
        </w:tc>
        <w:tc>
          <w:tcPr>
            <w:tcW w:w="845" w:type="dxa"/>
            <w:tcBorders>
              <w:right w:val="single" w:color="000000" w:sz="12" w:space="0"/>
            </w:tcBorders>
            <w:vAlign w:val="top"/>
          </w:tcPr>
          <w:p w14:paraId="5831ADEC">
            <w:pPr>
              <w:rPr>
                <w:rFonts w:ascii="Arial"/>
                <w:sz w:val="21"/>
              </w:rPr>
            </w:pPr>
          </w:p>
        </w:tc>
      </w:tr>
      <w:tr w14:paraId="58A24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49F5209">
            <w:pPr>
              <w:pStyle w:val="6"/>
              <w:spacing w:before="220" w:line="232" w:lineRule="auto"/>
              <w:ind w:left="311"/>
            </w:pPr>
            <w:r>
              <w:rPr>
                <w:spacing w:val="-4"/>
              </w:rPr>
              <w:t>84</w:t>
            </w:r>
          </w:p>
        </w:tc>
        <w:tc>
          <w:tcPr>
            <w:tcW w:w="1270" w:type="dxa"/>
            <w:vAlign w:val="top"/>
          </w:tcPr>
          <w:p w14:paraId="4E921F81">
            <w:pPr>
              <w:spacing w:before="185" w:line="219" w:lineRule="auto"/>
              <w:ind w:left="312"/>
              <w:rPr>
                <w:rFonts w:ascii="宋体" w:hAnsi="宋体" w:eastAsia="宋体" w:cs="宋体"/>
                <w:sz w:val="21"/>
                <w:szCs w:val="21"/>
              </w:rPr>
            </w:pPr>
            <w:r>
              <w:rPr>
                <w:rFonts w:ascii="宋体" w:hAnsi="宋体" w:eastAsia="宋体" w:cs="宋体"/>
                <w:spacing w:val="-2"/>
                <w:sz w:val="21"/>
                <w:szCs w:val="21"/>
              </w:rPr>
              <w:t>褐柳莺</w:t>
            </w:r>
          </w:p>
        </w:tc>
        <w:tc>
          <w:tcPr>
            <w:tcW w:w="1554" w:type="dxa"/>
            <w:vAlign w:val="top"/>
          </w:tcPr>
          <w:p w14:paraId="10DE0517">
            <w:pPr>
              <w:pStyle w:val="6"/>
              <w:spacing w:before="99" w:line="190" w:lineRule="auto"/>
              <w:ind w:left="201"/>
            </w:pPr>
            <w:r>
              <w:rPr>
                <w:i/>
                <w:iCs/>
              </w:rPr>
              <w:t>Phylloscopus</w:t>
            </w:r>
          </w:p>
          <w:p w14:paraId="3CA78CCF">
            <w:pPr>
              <w:pStyle w:val="6"/>
              <w:spacing w:before="50" w:line="190" w:lineRule="auto"/>
              <w:ind w:left="385"/>
            </w:pPr>
            <w:r>
              <w:rPr>
                <w:i/>
                <w:iCs/>
                <w:spacing w:val="4"/>
              </w:rPr>
              <w:t>fuscatus</w:t>
            </w:r>
          </w:p>
        </w:tc>
        <w:tc>
          <w:tcPr>
            <w:tcW w:w="989" w:type="dxa"/>
            <w:vAlign w:val="top"/>
          </w:tcPr>
          <w:p w14:paraId="04B2F906">
            <w:pPr>
              <w:pStyle w:val="6"/>
              <w:spacing w:before="220" w:line="232" w:lineRule="auto"/>
              <w:ind w:left="392"/>
            </w:pPr>
            <w:r>
              <w:rPr>
                <w:spacing w:val="-3"/>
              </w:rPr>
              <w:t>58</w:t>
            </w:r>
          </w:p>
        </w:tc>
        <w:tc>
          <w:tcPr>
            <w:tcW w:w="1272" w:type="dxa"/>
            <w:vAlign w:val="top"/>
          </w:tcPr>
          <w:p w14:paraId="33C3C2E1">
            <w:pPr>
              <w:spacing w:before="185" w:line="219" w:lineRule="auto"/>
              <w:ind w:left="325"/>
              <w:rPr>
                <w:rFonts w:ascii="宋体" w:hAnsi="宋体" w:eastAsia="宋体" w:cs="宋体"/>
                <w:sz w:val="21"/>
                <w:szCs w:val="21"/>
              </w:rPr>
            </w:pPr>
            <w:r>
              <w:rPr>
                <w:rFonts w:ascii="宋体" w:hAnsi="宋体" w:eastAsia="宋体" w:cs="宋体"/>
                <w:spacing w:val="-2"/>
                <w:sz w:val="21"/>
                <w:szCs w:val="21"/>
              </w:rPr>
              <w:t>褐柳莺</w:t>
            </w:r>
          </w:p>
        </w:tc>
        <w:tc>
          <w:tcPr>
            <w:tcW w:w="1693" w:type="dxa"/>
            <w:vAlign w:val="top"/>
          </w:tcPr>
          <w:p w14:paraId="416672D6">
            <w:pPr>
              <w:pStyle w:val="6"/>
              <w:spacing w:before="99" w:line="190" w:lineRule="auto"/>
              <w:ind w:left="285"/>
            </w:pPr>
            <w:r>
              <w:rPr>
                <w:i/>
                <w:iCs/>
              </w:rPr>
              <w:t>Phylloscopus</w:t>
            </w:r>
          </w:p>
          <w:p w14:paraId="219468E1">
            <w:pPr>
              <w:pStyle w:val="6"/>
              <w:spacing w:before="50" w:line="190" w:lineRule="auto"/>
              <w:ind w:left="470"/>
            </w:pPr>
            <w:r>
              <w:rPr>
                <w:i/>
                <w:iCs/>
                <w:spacing w:val="4"/>
              </w:rPr>
              <w:t>fuscatus</w:t>
            </w:r>
          </w:p>
        </w:tc>
        <w:tc>
          <w:tcPr>
            <w:tcW w:w="845" w:type="dxa"/>
            <w:tcBorders>
              <w:right w:val="single" w:color="000000" w:sz="12" w:space="0"/>
            </w:tcBorders>
            <w:vAlign w:val="top"/>
          </w:tcPr>
          <w:p w14:paraId="351780B1">
            <w:pPr>
              <w:rPr>
                <w:rFonts w:ascii="Arial"/>
                <w:sz w:val="21"/>
              </w:rPr>
            </w:pPr>
          </w:p>
        </w:tc>
      </w:tr>
      <w:tr w14:paraId="68206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21455EF">
            <w:pPr>
              <w:pStyle w:val="6"/>
              <w:spacing w:before="221" w:line="232" w:lineRule="auto"/>
              <w:ind w:left="311"/>
            </w:pPr>
            <w:r>
              <w:rPr>
                <w:spacing w:val="-4"/>
              </w:rPr>
              <w:t>85</w:t>
            </w:r>
          </w:p>
        </w:tc>
        <w:tc>
          <w:tcPr>
            <w:tcW w:w="1270" w:type="dxa"/>
            <w:vAlign w:val="top"/>
          </w:tcPr>
          <w:p w14:paraId="1141D138">
            <w:pPr>
              <w:spacing w:before="187" w:line="219" w:lineRule="auto"/>
              <w:ind w:left="208"/>
              <w:rPr>
                <w:rFonts w:ascii="宋体" w:hAnsi="宋体" w:eastAsia="宋体" w:cs="宋体"/>
                <w:sz w:val="21"/>
                <w:szCs w:val="21"/>
              </w:rPr>
            </w:pPr>
            <w:r>
              <w:rPr>
                <w:rFonts w:ascii="宋体" w:hAnsi="宋体" w:eastAsia="宋体" w:cs="宋体"/>
                <w:spacing w:val="-2"/>
                <w:sz w:val="21"/>
                <w:szCs w:val="21"/>
              </w:rPr>
              <w:t>华西柳莺</w:t>
            </w:r>
          </w:p>
        </w:tc>
        <w:tc>
          <w:tcPr>
            <w:tcW w:w="1554" w:type="dxa"/>
            <w:vAlign w:val="top"/>
          </w:tcPr>
          <w:p w14:paraId="01490DB6">
            <w:pPr>
              <w:pStyle w:val="6"/>
              <w:spacing w:before="100" w:line="190" w:lineRule="auto"/>
              <w:ind w:left="201"/>
            </w:pPr>
            <w:r>
              <w:rPr>
                <w:i/>
                <w:iCs/>
              </w:rPr>
              <w:t>Phylloscopus</w:t>
            </w:r>
          </w:p>
          <w:p w14:paraId="321ABAB5">
            <w:pPr>
              <w:pStyle w:val="6"/>
              <w:spacing w:before="51" w:line="212" w:lineRule="auto"/>
              <w:ind w:left="264"/>
            </w:pPr>
            <w:r>
              <w:rPr>
                <w:i/>
                <w:iCs/>
                <w:spacing w:val="-1"/>
              </w:rPr>
              <w:t>occisinensis</w:t>
            </w:r>
          </w:p>
        </w:tc>
        <w:tc>
          <w:tcPr>
            <w:tcW w:w="989" w:type="dxa"/>
            <w:vAlign w:val="top"/>
          </w:tcPr>
          <w:p w14:paraId="3B71D114">
            <w:pPr>
              <w:rPr>
                <w:rFonts w:ascii="Arial"/>
                <w:sz w:val="21"/>
              </w:rPr>
            </w:pPr>
          </w:p>
        </w:tc>
        <w:tc>
          <w:tcPr>
            <w:tcW w:w="1272" w:type="dxa"/>
            <w:vAlign w:val="top"/>
          </w:tcPr>
          <w:p w14:paraId="4DE5C3C9">
            <w:pPr>
              <w:rPr>
                <w:rFonts w:ascii="Arial"/>
                <w:sz w:val="21"/>
              </w:rPr>
            </w:pPr>
          </w:p>
        </w:tc>
        <w:tc>
          <w:tcPr>
            <w:tcW w:w="1693" w:type="dxa"/>
            <w:vAlign w:val="top"/>
          </w:tcPr>
          <w:p w14:paraId="59EA6BF9">
            <w:pPr>
              <w:rPr>
                <w:rFonts w:ascii="Arial"/>
                <w:sz w:val="21"/>
              </w:rPr>
            </w:pPr>
          </w:p>
        </w:tc>
        <w:tc>
          <w:tcPr>
            <w:tcW w:w="845" w:type="dxa"/>
            <w:tcBorders>
              <w:right w:val="single" w:color="000000" w:sz="12" w:space="0"/>
            </w:tcBorders>
            <w:vAlign w:val="top"/>
          </w:tcPr>
          <w:p w14:paraId="7BA6EA92">
            <w:pPr>
              <w:rPr>
                <w:rFonts w:ascii="Arial"/>
                <w:sz w:val="21"/>
              </w:rPr>
            </w:pPr>
          </w:p>
        </w:tc>
      </w:tr>
      <w:tr w14:paraId="1DD6D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CB34623">
            <w:pPr>
              <w:pStyle w:val="6"/>
              <w:spacing w:before="224" w:line="232" w:lineRule="auto"/>
              <w:ind w:left="311"/>
            </w:pPr>
            <w:r>
              <w:rPr>
                <w:spacing w:val="-4"/>
              </w:rPr>
              <w:t>86</w:t>
            </w:r>
          </w:p>
        </w:tc>
        <w:tc>
          <w:tcPr>
            <w:tcW w:w="1270" w:type="dxa"/>
            <w:vAlign w:val="top"/>
          </w:tcPr>
          <w:p w14:paraId="39C6E72D">
            <w:pPr>
              <w:spacing w:before="189" w:line="219" w:lineRule="auto"/>
              <w:ind w:left="206"/>
              <w:rPr>
                <w:rFonts w:ascii="宋体" w:hAnsi="宋体" w:eastAsia="宋体" w:cs="宋体"/>
                <w:sz w:val="21"/>
                <w:szCs w:val="21"/>
              </w:rPr>
            </w:pPr>
            <w:r>
              <w:rPr>
                <w:rFonts w:ascii="宋体" w:hAnsi="宋体" w:eastAsia="宋体" w:cs="宋体"/>
                <w:spacing w:val="-2"/>
                <w:sz w:val="21"/>
                <w:szCs w:val="21"/>
              </w:rPr>
              <w:t>黄腰柳莺</w:t>
            </w:r>
          </w:p>
        </w:tc>
        <w:tc>
          <w:tcPr>
            <w:tcW w:w="1554" w:type="dxa"/>
            <w:vAlign w:val="top"/>
          </w:tcPr>
          <w:p w14:paraId="691B6D08">
            <w:pPr>
              <w:pStyle w:val="6"/>
              <w:spacing w:before="102" w:line="190" w:lineRule="auto"/>
              <w:ind w:left="201"/>
            </w:pPr>
            <w:r>
              <w:rPr>
                <w:i/>
                <w:iCs/>
              </w:rPr>
              <w:t>Phylloscopus</w:t>
            </w:r>
          </w:p>
          <w:p w14:paraId="78AF5EA4">
            <w:pPr>
              <w:pStyle w:val="6"/>
              <w:spacing w:before="50" w:line="190" w:lineRule="auto"/>
              <w:ind w:left="282"/>
            </w:pPr>
            <w:r>
              <w:rPr>
                <w:i/>
                <w:iCs/>
                <w:spacing w:val="2"/>
              </w:rPr>
              <w:t>proregulus</w:t>
            </w:r>
          </w:p>
        </w:tc>
        <w:tc>
          <w:tcPr>
            <w:tcW w:w="989" w:type="dxa"/>
            <w:vAlign w:val="top"/>
          </w:tcPr>
          <w:p w14:paraId="0AF1EF13">
            <w:pPr>
              <w:pStyle w:val="6"/>
              <w:spacing w:before="223" w:line="232" w:lineRule="auto"/>
              <w:ind w:left="392"/>
            </w:pPr>
            <w:r>
              <w:rPr>
                <w:spacing w:val="-3"/>
              </w:rPr>
              <w:t>59</w:t>
            </w:r>
          </w:p>
        </w:tc>
        <w:tc>
          <w:tcPr>
            <w:tcW w:w="1272" w:type="dxa"/>
            <w:vAlign w:val="top"/>
          </w:tcPr>
          <w:p w14:paraId="768A2EB7">
            <w:pPr>
              <w:spacing w:before="189" w:line="219" w:lineRule="auto"/>
              <w:ind w:left="220"/>
              <w:rPr>
                <w:rFonts w:ascii="宋体" w:hAnsi="宋体" w:eastAsia="宋体" w:cs="宋体"/>
                <w:sz w:val="21"/>
                <w:szCs w:val="21"/>
              </w:rPr>
            </w:pPr>
            <w:r>
              <w:rPr>
                <w:rFonts w:ascii="宋体" w:hAnsi="宋体" w:eastAsia="宋体" w:cs="宋体"/>
                <w:spacing w:val="-2"/>
                <w:sz w:val="21"/>
                <w:szCs w:val="21"/>
              </w:rPr>
              <w:t>黄腰柳莺</w:t>
            </w:r>
          </w:p>
        </w:tc>
        <w:tc>
          <w:tcPr>
            <w:tcW w:w="1693" w:type="dxa"/>
            <w:vAlign w:val="top"/>
          </w:tcPr>
          <w:p w14:paraId="2C1B334F">
            <w:pPr>
              <w:pStyle w:val="6"/>
              <w:spacing w:before="102" w:line="190" w:lineRule="auto"/>
              <w:ind w:left="285"/>
            </w:pPr>
            <w:r>
              <w:rPr>
                <w:i/>
                <w:iCs/>
              </w:rPr>
              <w:t>Phylloscopus</w:t>
            </w:r>
          </w:p>
          <w:p w14:paraId="227BE48B">
            <w:pPr>
              <w:pStyle w:val="6"/>
              <w:spacing w:before="50" w:line="190" w:lineRule="auto"/>
              <w:ind w:left="367"/>
            </w:pPr>
            <w:r>
              <w:rPr>
                <w:i/>
                <w:iCs/>
                <w:spacing w:val="2"/>
              </w:rPr>
              <w:t>proregulus</w:t>
            </w:r>
          </w:p>
        </w:tc>
        <w:tc>
          <w:tcPr>
            <w:tcW w:w="845" w:type="dxa"/>
            <w:tcBorders>
              <w:right w:val="single" w:color="000000" w:sz="12" w:space="0"/>
            </w:tcBorders>
            <w:vAlign w:val="top"/>
          </w:tcPr>
          <w:p w14:paraId="50090D6B">
            <w:pPr>
              <w:rPr>
                <w:rFonts w:ascii="Arial"/>
                <w:sz w:val="21"/>
              </w:rPr>
            </w:pPr>
          </w:p>
        </w:tc>
      </w:tr>
      <w:tr w14:paraId="6817D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A198BD4">
            <w:pPr>
              <w:pStyle w:val="6"/>
              <w:spacing w:before="224" w:line="232" w:lineRule="auto"/>
              <w:ind w:left="311"/>
            </w:pPr>
            <w:r>
              <w:rPr>
                <w:spacing w:val="-4"/>
              </w:rPr>
              <w:t>87</w:t>
            </w:r>
          </w:p>
        </w:tc>
        <w:tc>
          <w:tcPr>
            <w:tcW w:w="1270" w:type="dxa"/>
            <w:vAlign w:val="top"/>
          </w:tcPr>
          <w:p w14:paraId="1E7CF8B4">
            <w:pPr>
              <w:spacing w:before="190" w:line="219" w:lineRule="auto"/>
              <w:ind w:left="206"/>
              <w:rPr>
                <w:rFonts w:ascii="宋体" w:hAnsi="宋体" w:eastAsia="宋体" w:cs="宋体"/>
                <w:sz w:val="21"/>
                <w:szCs w:val="21"/>
              </w:rPr>
            </w:pPr>
            <w:r>
              <w:rPr>
                <w:rFonts w:ascii="宋体" w:hAnsi="宋体" w:eastAsia="宋体" w:cs="宋体"/>
                <w:spacing w:val="-2"/>
                <w:sz w:val="21"/>
                <w:szCs w:val="21"/>
              </w:rPr>
              <w:t>黄眉柳莺</w:t>
            </w:r>
          </w:p>
        </w:tc>
        <w:tc>
          <w:tcPr>
            <w:tcW w:w="1554" w:type="dxa"/>
            <w:vAlign w:val="top"/>
          </w:tcPr>
          <w:p w14:paraId="1820C26E">
            <w:pPr>
              <w:pStyle w:val="6"/>
              <w:spacing w:before="103" w:line="190" w:lineRule="auto"/>
              <w:ind w:left="201"/>
            </w:pPr>
            <w:r>
              <w:rPr>
                <w:i/>
                <w:iCs/>
              </w:rPr>
              <w:t>Phylloscopus</w:t>
            </w:r>
          </w:p>
          <w:p w14:paraId="27DD6CF0">
            <w:pPr>
              <w:pStyle w:val="6"/>
              <w:spacing w:before="49" w:line="210" w:lineRule="auto"/>
              <w:ind w:left="372"/>
            </w:pPr>
            <w:r>
              <w:rPr>
                <w:i/>
                <w:iCs/>
                <w:spacing w:val="-1"/>
              </w:rPr>
              <w:t>inornatus</w:t>
            </w:r>
          </w:p>
        </w:tc>
        <w:tc>
          <w:tcPr>
            <w:tcW w:w="989" w:type="dxa"/>
            <w:vAlign w:val="top"/>
          </w:tcPr>
          <w:p w14:paraId="3CF7C767">
            <w:pPr>
              <w:pStyle w:val="6"/>
              <w:spacing w:before="224" w:line="232" w:lineRule="auto"/>
              <w:ind w:left="391"/>
            </w:pPr>
            <w:r>
              <w:rPr>
                <w:spacing w:val="-3"/>
              </w:rPr>
              <w:t>60</w:t>
            </w:r>
          </w:p>
        </w:tc>
        <w:tc>
          <w:tcPr>
            <w:tcW w:w="1272" w:type="dxa"/>
            <w:vAlign w:val="top"/>
          </w:tcPr>
          <w:p w14:paraId="7A2FB528">
            <w:pPr>
              <w:spacing w:before="190" w:line="219" w:lineRule="auto"/>
              <w:ind w:left="220"/>
              <w:rPr>
                <w:rFonts w:ascii="宋体" w:hAnsi="宋体" w:eastAsia="宋体" w:cs="宋体"/>
                <w:sz w:val="21"/>
                <w:szCs w:val="21"/>
              </w:rPr>
            </w:pPr>
            <w:r>
              <w:rPr>
                <w:rFonts w:ascii="宋体" w:hAnsi="宋体" w:eastAsia="宋体" w:cs="宋体"/>
                <w:spacing w:val="-2"/>
                <w:sz w:val="21"/>
                <w:szCs w:val="21"/>
              </w:rPr>
              <w:t>黄眉柳莺</w:t>
            </w:r>
          </w:p>
        </w:tc>
        <w:tc>
          <w:tcPr>
            <w:tcW w:w="1693" w:type="dxa"/>
            <w:vAlign w:val="top"/>
          </w:tcPr>
          <w:p w14:paraId="385DF95B">
            <w:pPr>
              <w:pStyle w:val="6"/>
              <w:spacing w:before="103" w:line="190" w:lineRule="auto"/>
              <w:ind w:left="285"/>
            </w:pPr>
            <w:r>
              <w:rPr>
                <w:i/>
                <w:iCs/>
              </w:rPr>
              <w:t>Phylloscopus</w:t>
            </w:r>
          </w:p>
          <w:p w14:paraId="307D293D">
            <w:pPr>
              <w:pStyle w:val="6"/>
              <w:spacing w:before="49" w:line="210" w:lineRule="auto"/>
              <w:ind w:left="456"/>
            </w:pPr>
            <w:r>
              <w:rPr>
                <w:i/>
                <w:iCs/>
                <w:spacing w:val="-1"/>
              </w:rPr>
              <w:t>inornatus</w:t>
            </w:r>
          </w:p>
        </w:tc>
        <w:tc>
          <w:tcPr>
            <w:tcW w:w="845" w:type="dxa"/>
            <w:tcBorders>
              <w:right w:val="single" w:color="000000" w:sz="12" w:space="0"/>
            </w:tcBorders>
            <w:vAlign w:val="top"/>
          </w:tcPr>
          <w:p w14:paraId="764BA3C2">
            <w:pPr>
              <w:rPr>
                <w:rFonts w:ascii="Arial"/>
                <w:sz w:val="21"/>
              </w:rPr>
            </w:pPr>
          </w:p>
        </w:tc>
      </w:tr>
      <w:tr w14:paraId="3EE19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F2072A7">
            <w:pPr>
              <w:pStyle w:val="6"/>
              <w:spacing w:before="226" w:line="232" w:lineRule="auto"/>
              <w:ind w:left="311"/>
            </w:pPr>
            <w:r>
              <w:rPr>
                <w:spacing w:val="-4"/>
              </w:rPr>
              <w:t>88</w:t>
            </w:r>
          </w:p>
        </w:tc>
        <w:tc>
          <w:tcPr>
            <w:tcW w:w="1270" w:type="dxa"/>
            <w:vAlign w:val="top"/>
          </w:tcPr>
          <w:p w14:paraId="182A0C94">
            <w:pPr>
              <w:spacing w:before="192" w:line="219" w:lineRule="auto"/>
              <w:ind w:left="102"/>
              <w:rPr>
                <w:rFonts w:ascii="宋体" w:hAnsi="宋体" w:eastAsia="宋体" w:cs="宋体"/>
                <w:sz w:val="21"/>
                <w:szCs w:val="21"/>
              </w:rPr>
            </w:pPr>
            <w:r>
              <w:rPr>
                <w:rFonts w:ascii="宋体" w:hAnsi="宋体" w:eastAsia="宋体" w:cs="宋体"/>
                <w:spacing w:val="-2"/>
                <w:sz w:val="21"/>
                <w:szCs w:val="21"/>
              </w:rPr>
              <w:t>双斑绿柳莺</w:t>
            </w:r>
          </w:p>
        </w:tc>
        <w:tc>
          <w:tcPr>
            <w:tcW w:w="1554" w:type="dxa"/>
            <w:vAlign w:val="top"/>
          </w:tcPr>
          <w:p w14:paraId="00E4ECFD">
            <w:pPr>
              <w:pStyle w:val="6"/>
              <w:spacing w:before="105" w:line="190" w:lineRule="auto"/>
              <w:ind w:left="201"/>
            </w:pPr>
            <w:r>
              <w:rPr>
                <w:i/>
                <w:iCs/>
              </w:rPr>
              <w:t>Phylloscopus</w:t>
            </w:r>
          </w:p>
          <w:p w14:paraId="292FE167">
            <w:pPr>
              <w:pStyle w:val="6"/>
              <w:spacing w:before="50" w:line="190" w:lineRule="auto"/>
              <w:ind w:left="148"/>
            </w:pPr>
            <w:r>
              <w:rPr>
                <w:i/>
                <w:iCs/>
                <w:spacing w:val="1"/>
              </w:rPr>
              <w:t>plumbeitarsus</w:t>
            </w:r>
          </w:p>
        </w:tc>
        <w:tc>
          <w:tcPr>
            <w:tcW w:w="989" w:type="dxa"/>
            <w:vAlign w:val="top"/>
          </w:tcPr>
          <w:p w14:paraId="15517A58">
            <w:pPr>
              <w:rPr>
                <w:rFonts w:ascii="Arial"/>
                <w:sz w:val="21"/>
              </w:rPr>
            </w:pPr>
          </w:p>
        </w:tc>
        <w:tc>
          <w:tcPr>
            <w:tcW w:w="1272" w:type="dxa"/>
            <w:vAlign w:val="top"/>
          </w:tcPr>
          <w:p w14:paraId="29161DF4">
            <w:pPr>
              <w:rPr>
                <w:rFonts w:ascii="Arial"/>
                <w:sz w:val="21"/>
              </w:rPr>
            </w:pPr>
          </w:p>
        </w:tc>
        <w:tc>
          <w:tcPr>
            <w:tcW w:w="1693" w:type="dxa"/>
            <w:vAlign w:val="top"/>
          </w:tcPr>
          <w:p w14:paraId="01123A3D">
            <w:pPr>
              <w:rPr>
                <w:rFonts w:ascii="Arial"/>
                <w:sz w:val="21"/>
              </w:rPr>
            </w:pPr>
          </w:p>
        </w:tc>
        <w:tc>
          <w:tcPr>
            <w:tcW w:w="845" w:type="dxa"/>
            <w:tcBorders>
              <w:right w:val="single" w:color="000000" w:sz="12" w:space="0"/>
            </w:tcBorders>
            <w:vAlign w:val="top"/>
          </w:tcPr>
          <w:p w14:paraId="00330A80">
            <w:pPr>
              <w:rPr>
                <w:rFonts w:ascii="Arial"/>
                <w:sz w:val="21"/>
              </w:rPr>
            </w:pPr>
          </w:p>
        </w:tc>
      </w:tr>
      <w:tr w14:paraId="32102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8826D0A">
            <w:pPr>
              <w:pStyle w:val="6"/>
              <w:spacing w:before="226" w:line="232" w:lineRule="auto"/>
              <w:ind w:left="311"/>
            </w:pPr>
            <w:r>
              <w:rPr>
                <w:spacing w:val="-4"/>
              </w:rPr>
              <w:t>89</w:t>
            </w:r>
          </w:p>
        </w:tc>
        <w:tc>
          <w:tcPr>
            <w:tcW w:w="1270" w:type="dxa"/>
            <w:vAlign w:val="top"/>
          </w:tcPr>
          <w:p w14:paraId="6E3FD349">
            <w:pPr>
              <w:spacing w:before="193" w:line="219" w:lineRule="auto"/>
              <w:ind w:left="209"/>
              <w:rPr>
                <w:rFonts w:ascii="宋体" w:hAnsi="宋体" w:eastAsia="宋体" w:cs="宋体"/>
                <w:sz w:val="21"/>
                <w:szCs w:val="21"/>
              </w:rPr>
            </w:pPr>
            <w:r>
              <w:rPr>
                <w:rFonts w:ascii="宋体" w:hAnsi="宋体" w:eastAsia="宋体" w:cs="宋体"/>
                <w:spacing w:val="-2"/>
                <w:sz w:val="21"/>
                <w:szCs w:val="21"/>
              </w:rPr>
              <w:t>乌嘴柳莺</w:t>
            </w:r>
          </w:p>
        </w:tc>
        <w:tc>
          <w:tcPr>
            <w:tcW w:w="1554" w:type="dxa"/>
            <w:vAlign w:val="top"/>
          </w:tcPr>
          <w:p w14:paraId="66663DEE">
            <w:pPr>
              <w:pStyle w:val="6"/>
              <w:spacing w:before="106" w:line="190" w:lineRule="auto"/>
              <w:ind w:left="201"/>
            </w:pPr>
            <w:r>
              <w:rPr>
                <w:i/>
                <w:iCs/>
              </w:rPr>
              <w:t>Phylloscopus</w:t>
            </w:r>
          </w:p>
          <w:p w14:paraId="0360FAE2">
            <w:pPr>
              <w:pStyle w:val="6"/>
              <w:spacing w:before="50" w:line="190" w:lineRule="auto"/>
              <w:ind w:left="232"/>
            </w:pPr>
            <w:r>
              <w:rPr>
                <w:i/>
                <w:iCs/>
                <w:spacing w:val="-1"/>
              </w:rPr>
              <w:t>magnirostris</w:t>
            </w:r>
          </w:p>
        </w:tc>
        <w:tc>
          <w:tcPr>
            <w:tcW w:w="989" w:type="dxa"/>
            <w:vAlign w:val="top"/>
          </w:tcPr>
          <w:p w14:paraId="43C65A46">
            <w:pPr>
              <w:rPr>
                <w:rFonts w:ascii="Arial"/>
                <w:sz w:val="21"/>
              </w:rPr>
            </w:pPr>
          </w:p>
        </w:tc>
        <w:tc>
          <w:tcPr>
            <w:tcW w:w="1272" w:type="dxa"/>
            <w:vAlign w:val="top"/>
          </w:tcPr>
          <w:p w14:paraId="5B742EDA">
            <w:pPr>
              <w:rPr>
                <w:rFonts w:ascii="Arial"/>
                <w:sz w:val="21"/>
              </w:rPr>
            </w:pPr>
          </w:p>
        </w:tc>
        <w:tc>
          <w:tcPr>
            <w:tcW w:w="1693" w:type="dxa"/>
            <w:vAlign w:val="top"/>
          </w:tcPr>
          <w:p w14:paraId="67584380">
            <w:pPr>
              <w:rPr>
                <w:rFonts w:ascii="Arial"/>
                <w:sz w:val="21"/>
              </w:rPr>
            </w:pPr>
          </w:p>
        </w:tc>
        <w:tc>
          <w:tcPr>
            <w:tcW w:w="845" w:type="dxa"/>
            <w:tcBorders>
              <w:right w:val="single" w:color="000000" w:sz="12" w:space="0"/>
            </w:tcBorders>
            <w:vAlign w:val="top"/>
          </w:tcPr>
          <w:p w14:paraId="2BEB557C">
            <w:pPr>
              <w:rPr>
                <w:rFonts w:ascii="Arial"/>
                <w:sz w:val="21"/>
              </w:rPr>
            </w:pPr>
          </w:p>
        </w:tc>
      </w:tr>
      <w:tr w14:paraId="49E2F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4DBC4858">
            <w:pPr>
              <w:pStyle w:val="6"/>
              <w:spacing w:before="228" w:line="232" w:lineRule="auto"/>
              <w:ind w:left="307"/>
            </w:pPr>
            <w:r>
              <w:rPr>
                <w:spacing w:val="-2"/>
              </w:rPr>
              <w:t>90</w:t>
            </w:r>
          </w:p>
        </w:tc>
        <w:tc>
          <w:tcPr>
            <w:tcW w:w="1270" w:type="dxa"/>
            <w:vAlign w:val="top"/>
          </w:tcPr>
          <w:p w14:paraId="64A5A0C7">
            <w:pPr>
              <w:spacing w:before="194" w:line="219" w:lineRule="auto"/>
              <w:ind w:left="210"/>
              <w:rPr>
                <w:rFonts w:ascii="宋体" w:hAnsi="宋体" w:eastAsia="宋体" w:cs="宋体"/>
                <w:sz w:val="21"/>
                <w:szCs w:val="21"/>
              </w:rPr>
            </w:pPr>
            <w:r>
              <w:rPr>
                <w:rFonts w:ascii="宋体" w:hAnsi="宋体" w:eastAsia="宋体" w:cs="宋体"/>
                <w:spacing w:val="-3"/>
                <w:sz w:val="21"/>
                <w:szCs w:val="21"/>
              </w:rPr>
              <w:t>冠纹柳莺</w:t>
            </w:r>
          </w:p>
        </w:tc>
        <w:tc>
          <w:tcPr>
            <w:tcW w:w="1554" w:type="dxa"/>
            <w:vAlign w:val="top"/>
          </w:tcPr>
          <w:p w14:paraId="0629236E">
            <w:pPr>
              <w:pStyle w:val="6"/>
              <w:spacing w:before="106" w:line="190" w:lineRule="auto"/>
              <w:ind w:left="201"/>
            </w:pPr>
            <w:r>
              <w:rPr>
                <w:i/>
                <w:iCs/>
              </w:rPr>
              <w:t>Phylloscopus</w:t>
            </w:r>
          </w:p>
          <w:p w14:paraId="6A7A51F9">
            <w:pPr>
              <w:pStyle w:val="6"/>
              <w:spacing w:before="50" w:line="206" w:lineRule="auto"/>
              <w:ind w:left="409"/>
            </w:pPr>
            <w:r>
              <w:rPr>
                <w:i/>
                <w:iCs/>
                <w:spacing w:val="-1"/>
              </w:rPr>
              <w:t>claudiae</w:t>
            </w:r>
          </w:p>
        </w:tc>
        <w:tc>
          <w:tcPr>
            <w:tcW w:w="989" w:type="dxa"/>
            <w:vAlign w:val="top"/>
          </w:tcPr>
          <w:p w14:paraId="4A5BEC39">
            <w:pPr>
              <w:rPr>
                <w:rFonts w:ascii="Arial"/>
                <w:sz w:val="21"/>
              </w:rPr>
            </w:pPr>
          </w:p>
        </w:tc>
        <w:tc>
          <w:tcPr>
            <w:tcW w:w="1272" w:type="dxa"/>
            <w:vAlign w:val="top"/>
          </w:tcPr>
          <w:p w14:paraId="793C1ACD">
            <w:pPr>
              <w:rPr>
                <w:rFonts w:ascii="Arial"/>
                <w:sz w:val="21"/>
              </w:rPr>
            </w:pPr>
          </w:p>
        </w:tc>
        <w:tc>
          <w:tcPr>
            <w:tcW w:w="1693" w:type="dxa"/>
            <w:vAlign w:val="top"/>
          </w:tcPr>
          <w:p w14:paraId="3CDAD09D">
            <w:pPr>
              <w:rPr>
                <w:rFonts w:ascii="Arial"/>
                <w:sz w:val="21"/>
              </w:rPr>
            </w:pPr>
          </w:p>
        </w:tc>
        <w:tc>
          <w:tcPr>
            <w:tcW w:w="845" w:type="dxa"/>
            <w:tcBorders>
              <w:right w:val="single" w:color="000000" w:sz="12" w:space="0"/>
            </w:tcBorders>
            <w:vAlign w:val="top"/>
          </w:tcPr>
          <w:p w14:paraId="7A88F3D0">
            <w:pPr>
              <w:rPr>
                <w:rFonts w:ascii="Arial"/>
                <w:sz w:val="21"/>
              </w:rPr>
            </w:pPr>
          </w:p>
        </w:tc>
      </w:tr>
      <w:tr w14:paraId="1E396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50" w:type="dxa"/>
            <w:tcBorders>
              <w:left w:val="single" w:color="000000" w:sz="12" w:space="0"/>
            </w:tcBorders>
            <w:vAlign w:val="top"/>
          </w:tcPr>
          <w:p w14:paraId="04A3359C">
            <w:pPr>
              <w:pStyle w:val="6"/>
              <w:spacing w:before="260" w:line="232" w:lineRule="auto"/>
              <w:ind w:left="307"/>
            </w:pPr>
            <w:r>
              <w:rPr>
                <w:spacing w:val="-2"/>
              </w:rPr>
              <w:t>91</w:t>
            </w:r>
          </w:p>
        </w:tc>
        <w:tc>
          <w:tcPr>
            <w:tcW w:w="1270" w:type="dxa"/>
            <w:vAlign w:val="top"/>
          </w:tcPr>
          <w:p w14:paraId="2FA06CFB">
            <w:pPr>
              <w:spacing w:before="90" w:line="232" w:lineRule="auto"/>
              <w:ind w:left="416" w:right="115" w:hanging="308"/>
              <w:rPr>
                <w:rFonts w:ascii="宋体" w:hAnsi="宋体" w:eastAsia="宋体" w:cs="宋体"/>
                <w:sz w:val="21"/>
                <w:szCs w:val="21"/>
              </w:rPr>
            </w:pPr>
            <w:r>
              <w:rPr>
                <w:rFonts w:ascii="宋体" w:hAnsi="宋体" w:eastAsia="宋体" w:cs="宋体"/>
                <w:spacing w:val="-3"/>
                <w:sz w:val="21"/>
                <w:szCs w:val="21"/>
              </w:rPr>
              <w:t>云南白斑尾柳莺</w:t>
            </w:r>
          </w:p>
        </w:tc>
        <w:tc>
          <w:tcPr>
            <w:tcW w:w="1554" w:type="dxa"/>
            <w:vAlign w:val="top"/>
          </w:tcPr>
          <w:p w14:paraId="433A7AA9">
            <w:pPr>
              <w:pStyle w:val="6"/>
              <w:spacing w:before="140" w:line="190" w:lineRule="auto"/>
              <w:ind w:left="201"/>
            </w:pPr>
            <w:r>
              <w:rPr>
                <w:i/>
                <w:iCs/>
              </w:rPr>
              <w:t>Phylloscopus</w:t>
            </w:r>
          </w:p>
          <w:p w14:paraId="7C3DF1F3">
            <w:pPr>
              <w:pStyle w:val="6"/>
              <w:spacing w:before="49" w:line="233" w:lineRule="auto"/>
              <w:ind w:left="413"/>
            </w:pPr>
            <w:r>
              <w:rPr>
                <w:i/>
                <w:iCs/>
                <w:spacing w:val="-1"/>
              </w:rPr>
              <w:t>davisoni</w:t>
            </w:r>
          </w:p>
        </w:tc>
        <w:tc>
          <w:tcPr>
            <w:tcW w:w="989" w:type="dxa"/>
            <w:vAlign w:val="top"/>
          </w:tcPr>
          <w:p w14:paraId="25280D64">
            <w:pPr>
              <w:rPr>
                <w:rFonts w:ascii="Arial"/>
                <w:sz w:val="21"/>
              </w:rPr>
            </w:pPr>
          </w:p>
        </w:tc>
        <w:tc>
          <w:tcPr>
            <w:tcW w:w="1272" w:type="dxa"/>
            <w:vAlign w:val="top"/>
          </w:tcPr>
          <w:p w14:paraId="4FF15EC0">
            <w:pPr>
              <w:rPr>
                <w:rFonts w:ascii="Arial"/>
                <w:sz w:val="21"/>
              </w:rPr>
            </w:pPr>
          </w:p>
        </w:tc>
        <w:tc>
          <w:tcPr>
            <w:tcW w:w="1693" w:type="dxa"/>
            <w:vAlign w:val="top"/>
          </w:tcPr>
          <w:p w14:paraId="0C018F03">
            <w:pPr>
              <w:rPr>
                <w:rFonts w:ascii="Arial"/>
                <w:sz w:val="21"/>
              </w:rPr>
            </w:pPr>
          </w:p>
        </w:tc>
        <w:tc>
          <w:tcPr>
            <w:tcW w:w="845" w:type="dxa"/>
            <w:tcBorders>
              <w:right w:val="single" w:color="000000" w:sz="12" w:space="0"/>
            </w:tcBorders>
            <w:vAlign w:val="top"/>
          </w:tcPr>
          <w:p w14:paraId="2CDC1511">
            <w:pPr>
              <w:rPr>
                <w:rFonts w:ascii="Arial"/>
                <w:sz w:val="21"/>
              </w:rPr>
            </w:pPr>
          </w:p>
        </w:tc>
      </w:tr>
      <w:tr w14:paraId="21333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C8EF208">
            <w:pPr>
              <w:pStyle w:val="6"/>
              <w:spacing w:before="232" w:line="232" w:lineRule="auto"/>
              <w:ind w:left="307"/>
            </w:pPr>
            <w:r>
              <w:rPr>
                <w:spacing w:val="-2"/>
              </w:rPr>
              <w:t>92</w:t>
            </w:r>
          </w:p>
        </w:tc>
        <w:tc>
          <w:tcPr>
            <w:tcW w:w="1270" w:type="dxa"/>
            <w:vAlign w:val="top"/>
          </w:tcPr>
          <w:p w14:paraId="74A45192">
            <w:pPr>
              <w:spacing w:before="197" w:line="220" w:lineRule="auto"/>
              <w:ind w:left="207"/>
              <w:rPr>
                <w:rFonts w:ascii="宋体" w:hAnsi="宋体" w:eastAsia="宋体" w:cs="宋体"/>
                <w:sz w:val="21"/>
                <w:szCs w:val="21"/>
              </w:rPr>
            </w:pPr>
            <w:r>
              <w:rPr>
                <w:rFonts w:ascii="宋体" w:hAnsi="宋体" w:eastAsia="宋体" w:cs="宋体"/>
                <w:spacing w:val="-2"/>
                <w:sz w:val="21"/>
                <w:szCs w:val="21"/>
              </w:rPr>
              <w:t>栗头鹟莺</w:t>
            </w:r>
          </w:p>
        </w:tc>
        <w:tc>
          <w:tcPr>
            <w:tcW w:w="1554" w:type="dxa"/>
            <w:vAlign w:val="top"/>
          </w:tcPr>
          <w:p w14:paraId="573AA988">
            <w:pPr>
              <w:pStyle w:val="6"/>
              <w:spacing w:before="114" w:line="186" w:lineRule="auto"/>
              <w:ind w:left="364"/>
            </w:pPr>
            <w:r>
              <w:rPr>
                <w:i/>
                <w:iCs/>
                <w:spacing w:val="-1"/>
              </w:rPr>
              <w:t>Seicercus</w:t>
            </w:r>
          </w:p>
          <w:p w14:paraId="4302D72E">
            <w:pPr>
              <w:pStyle w:val="6"/>
              <w:spacing w:before="50" w:line="190" w:lineRule="auto"/>
              <w:ind w:left="282"/>
            </w:pPr>
            <w:r>
              <w:rPr>
                <w:i/>
                <w:iCs/>
                <w:spacing w:val="-1"/>
              </w:rPr>
              <w:t>castaniceps</w:t>
            </w:r>
          </w:p>
        </w:tc>
        <w:tc>
          <w:tcPr>
            <w:tcW w:w="989" w:type="dxa"/>
            <w:vAlign w:val="top"/>
          </w:tcPr>
          <w:p w14:paraId="332357EA">
            <w:pPr>
              <w:rPr>
                <w:rFonts w:ascii="Arial"/>
                <w:sz w:val="21"/>
              </w:rPr>
            </w:pPr>
          </w:p>
        </w:tc>
        <w:tc>
          <w:tcPr>
            <w:tcW w:w="1272" w:type="dxa"/>
            <w:vAlign w:val="top"/>
          </w:tcPr>
          <w:p w14:paraId="295C5183">
            <w:pPr>
              <w:rPr>
                <w:rFonts w:ascii="Arial"/>
                <w:sz w:val="21"/>
              </w:rPr>
            </w:pPr>
          </w:p>
        </w:tc>
        <w:tc>
          <w:tcPr>
            <w:tcW w:w="1693" w:type="dxa"/>
            <w:vAlign w:val="top"/>
          </w:tcPr>
          <w:p w14:paraId="2B4E39E9">
            <w:pPr>
              <w:rPr>
                <w:rFonts w:ascii="Arial"/>
                <w:sz w:val="21"/>
              </w:rPr>
            </w:pPr>
          </w:p>
        </w:tc>
        <w:tc>
          <w:tcPr>
            <w:tcW w:w="845" w:type="dxa"/>
            <w:tcBorders>
              <w:right w:val="single" w:color="000000" w:sz="12" w:space="0"/>
            </w:tcBorders>
            <w:vAlign w:val="top"/>
          </w:tcPr>
          <w:p w14:paraId="381AC02C">
            <w:pPr>
              <w:rPr>
                <w:rFonts w:ascii="Arial"/>
                <w:sz w:val="21"/>
              </w:rPr>
            </w:pPr>
          </w:p>
        </w:tc>
      </w:tr>
      <w:tr w14:paraId="703DA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6967B4BB">
            <w:pPr>
              <w:pStyle w:val="6"/>
              <w:spacing w:before="132" w:line="186" w:lineRule="auto"/>
              <w:ind w:left="238"/>
            </w:pPr>
            <w:r>
              <w:rPr>
                <w:b/>
                <w:bCs/>
                <w:spacing w:val="-2"/>
              </w:rPr>
              <w:t>F32</w:t>
            </w:r>
          </w:p>
        </w:tc>
        <w:tc>
          <w:tcPr>
            <w:tcW w:w="1270" w:type="dxa"/>
            <w:vAlign w:val="top"/>
          </w:tcPr>
          <w:p w14:paraId="2610FA44">
            <w:pPr>
              <w:spacing w:before="93" w:line="219" w:lineRule="auto"/>
              <w:ind w:left="311"/>
              <w:rPr>
                <w:rFonts w:ascii="宋体" w:hAnsi="宋体" w:eastAsia="宋体" w:cs="宋体"/>
                <w:sz w:val="21"/>
                <w:szCs w:val="21"/>
              </w:rPr>
            </w:pPr>
            <w:r>
              <w:rPr>
                <w:rFonts w:ascii="宋体" w:hAnsi="宋体" w:eastAsia="宋体" w:cs="宋体"/>
                <w:b/>
                <w:bCs/>
                <w:spacing w:val="-4"/>
                <w:sz w:val="21"/>
                <w:szCs w:val="21"/>
              </w:rPr>
              <w:t>树莺科</w:t>
            </w:r>
          </w:p>
        </w:tc>
        <w:tc>
          <w:tcPr>
            <w:tcW w:w="1554" w:type="dxa"/>
            <w:vAlign w:val="top"/>
          </w:tcPr>
          <w:p w14:paraId="17B156D9">
            <w:pPr>
              <w:pStyle w:val="6"/>
              <w:spacing w:before="132" w:line="186" w:lineRule="auto"/>
              <w:ind w:left="366"/>
            </w:pPr>
            <w:r>
              <w:rPr>
                <w:b/>
                <w:bCs/>
                <w:spacing w:val="-1"/>
              </w:rPr>
              <w:t>Cettiidae</w:t>
            </w:r>
          </w:p>
        </w:tc>
        <w:tc>
          <w:tcPr>
            <w:tcW w:w="989" w:type="dxa"/>
            <w:vAlign w:val="top"/>
          </w:tcPr>
          <w:p w14:paraId="09666424">
            <w:pPr>
              <w:pStyle w:val="6"/>
              <w:spacing w:before="132" w:line="186" w:lineRule="auto"/>
              <w:ind w:left="323"/>
            </w:pPr>
            <w:r>
              <w:rPr>
                <w:b/>
                <w:bCs/>
                <w:spacing w:val="-2"/>
              </w:rPr>
              <w:t>F28</w:t>
            </w:r>
          </w:p>
        </w:tc>
        <w:tc>
          <w:tcPr>
            <w:tcW w:w="1272" w:type="dxa"/>
            <w:vAlign w:val="top"/>
          </w:tcPr>
          <w:p w14:paraId="0FE7131C">
            <w:pPr>
              <w:spacing w:before="93" w:line="219" w:lineRule="auto"/>
              <w:ind w:left="324"/>
              <w:rPr>
                <w:rFonts w:ascii="宋体" w:hAnsi="宋体" w:eastAsia="宋体" w:cs="宋体"/>
                <w:sz w:val="21"/>
                <w:szCs w:val="21"/>
              </w:rPr>
            </w:pPr>
            <w:r>
              <w:rPr>
                <w:rFonts w:ascii="宋体" w:hAnsi="宋体" w:eastAsia="宋体" w:cs="宋体"/>
                <w:b/>
                <w:bCs/>
                <w:spacing w:val="-4"/>
                <w:sz w:val="21"/>
                <w:szCs w:val="21"/>
              </w:rPr>
              <w:t>树莺科</w:t>
            </w:r>
          </w:p>
        </w:tc>
        <w:tc>
          <w:tcPr>
            <w:tcW w:w="1693" w:type="dxa"/>
            <w:vAlign w:val="top"/>
          </w:tcPr>
          <w:p w14:paraId="24F03721">
            <w:pPr>
              <w:pStyle w:val="6"/>
              <w:spacing w:before="132" w:line="186" w:lineRule="auto"/>
              <w:ind w:left="451"/>
            </w:pPr>
            <w:r>
              <w:rPr>
                <w:b/>
                <w:bCs/>
                <w:spacing w:val="-1"/>
              </w:rPr>
              <w:t>Cettiidae</w:t>
            </w:r>
          </w:p>
        </w:tc>
        <w:tc>
          <w:tcPr>
            <w:tcW w:w="845" w:type="dxa"/>
            <w:tcBorders>
              <w:right w:val="single" w:color="000000" w:sz="12" w:space="0"/>
            </w:tcBorders>
            <w:vAlign w:val="top"/>
          </w:tcPr>
          <w:p w14:paraId="0F9029D5">
            <w:pPr>
              <w:rPr>
                <w:rFonts w:ascii="Arial"/>
                <w:sz w:val="21"/>
              </w:rPr>
            </w:pPr>
          </w:p>
        </w:tc>
      </w:tr>
      <w:tr w14:paraId="7C505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85FD7BE">
            <w:pPr>
              <w:pStyle w:val="6"/>
              <w:spacing w:before="234" w:line="232" w:lineRule="auto"/>
              <w:ind w:left="307"/>
            </w:pPr>
            <w:r>
              <w:rPr>
                <w:spacing w:val="-2"/>
              </w:rPr>
              <w:t>93</w:t>
            </w:r>
          </w:p>
        </w:tc>
        <w:tc>
          <w:tcPr>
            <w:tcW w:w="1270" w:type="dxa"/>
            <w:vAlign w:val="top"/>
          </w:tcPr>
          <w:p w14:paraId="74A41CAB">
            <w:pPr>
              <w:spacing w:before="200" w:line="220" w:lineRule="auto"/>
              <w:ind w:left="206"/>
              <w:rPr>
                <w:rFonts w:ascii="宋体" w:hAnsi="宋体" w:eastAsia="宋体" w:cs="宋体"/>
                <w:sz w:val="21"/>
                <w:szCs w:val="21"/>
              </w:rPr>
            </w:pPr>
            <w:r>
              <w:rPr>
                <w:rFonts w:ascii="宋体" w:hAnsi="宋体" w:eastAsia="宋体" w:cs="宋体"/>
                <w:spacing w:val="-2"/>
                <w:sz w:val="21"/>
                <w:szCs w:val="21"/>
              </w:rPr>
              <w:t>棕脸鹟莺</w:t>
            </w:r>
          </w:p>
        </w:tc>
        <w:tc>
          <w:tcPr>
            <w:tcW w:w="1554" w:type="dxa"/>
            <w:vAlign w:val="top"/>
          </w:tcPr>
          <w:p w14:paraId="5F2B2F4F">
            <w:pPr>
              <w:pStyle w:val="6"/>
              <w:spacing w:before="113" w:line="190" w:lineRule="auto"/>
              <w:ind w:left="259"/>
            </w:pPr>
            <w:r>
              <w:rPr>
                <w:i/>
                <w:iCs/>
                <w:spacing w:val="1"/>
              </w:rPr>
              <w:t>Abroscopus</w:t>
            </w:r>
          </w:p>
          <w:p w14:paraId="166C97C5">
            <w:pPr>
              <w:pStyle w:val="6"/>
              <w:spacing w:before="49" w:line="190" w:lineRule="auto"/>
              <w:ind w:left="286"/>
            </w:pPr>
            <w:r>
              <w:rPr>
                <w:i/>
                <w:iCs/>
                <w:spacing w:val="-1"/>
              </w:rPr>
              <w:t>albogularis</w:t>
            </w:r>
          </w:p>
        </w:tc>
        <w:tc>
          <w:tcPr>
            <w:tcW w:w="989" w:type="dxa"/>
            <w:vAlign w:val="top"/>
          </w:tcPr>
          <w:p w14:paraId="313E7709">
            <w:pPr>
              <w:rPr>
                <w:rFonts w:ascii="Arial"/>
                <w:sz w:val="21"/>
              </w:rPr>
            </w:pPr>
          </w:p>
        </w:tc>
        <w:tc>
          <w:tcPr>
            <w:tcW w:w="1272" w:type="dxa"/>
            <w:vAlign w:val="top"/>
          </w:tcPr>
          <w:p w14:paraId="1951FDAF">
            <w:pPr>
              <w:rPr>
                <w:rFonts w:ascii="Arial"/>
                <w:sz w:val="21"/>
              </w:rPr>
            </w:pPr>
          </w:p>
        </w:tc>
        <w:tc>
          <w:tcPr>
            <w:tcW w:w="1693" w:type="dxa"/>
            <w:vAlign w:val="top"/>
          </w:tcPr>
          <w:p w14:paraId="0ECD2F2D">
            <w:pPr>
              <w:rPr>
                <w:rFonts w:ascii="Arial"/>
                <w:sz w:val="21"/>
              </w:rPr>
            </w:pPr>
          </w:p>
        </w:tc>
        <w:tc>
          <w:tcPr>
            <w:tcW w:w="845" w:type="dxa"/>
            <w:tcBorders>
              <w:right w:val="single" w:color="000000" w:sz="12" w:space="0"/>
            </w:tcBorders>
            <w:vAlign w:val="top"/>
          </w:tcPr>
          <w:p w14:paraId="1571C492">
            <w:pPr>
              <w:rPr>
                <w:rFonts w:ascii="Arial"/>
                <w:sz w:val="21"/>
              </w:rPr>
            </w:pPr>
          </w:p>
        </w:tc>
      </w:tr>
      <w:tr w14:paraId="65D54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49E562A8">
            <w:pPr>
              <w:rPr>
                <w:rFonts w:ascii="Arial"/>
                <w:sz w:val="21"/>
              </w:rPr>
            </w:pPr>
          </w:p>
        </w:tc>
        <w:tc>
          <w:tcPr>
            <w:tcW w:w="1270" w:type="dxa"/>
            <w:vAlign w:val="top"/>
          </w:tcPr>
          <w:p w14:paraId="31551B6A">
            <w:pPr>
              <w:rPr>
                <w:rFonts w:ascii="Arial"/>
                <w:sz w:val="21"/>
              </w:rPr>
            </w:pPr>
          </w:p>
        </w:tc>
        <w:tc>
          <w:tcPr>
            <w:tcW w:w="1554" w:type="dxa"/>
            <w:vAlign w:val="top"/>
          </w:tcPr>
          <w:p w14:paraId="04245FDC">
            <w:pPr>
              <w:rPr>
                <w:rFonts w:ascii="Arial"/>
                <w:sz w:val="21"/>
              </w:rPr>
            </w:pPr>
          </w:p>
        </w:tc>
        <w:tc>
          <w:tcPr>
            <w:tcW w:w="989" w:type="dxa"/>
            <w:vAlign w:val="top"/>
          </w:tcPr>
          <w:p w14:paraId="1F03CA69">
            <w:pPr>
              <w:pStyle w:val="6"/>
              <w:spacing w:before="136" w:line="221" w:lineRule="auto"/>
              <w:ind w:left="391"/>
            </w:pPr>
            <w:r>
              <w:rPr>
                <w:spacing w:val="-3"/>
              </w:rPr>
              <w:t>61</w:t>
            </w:r>
          </w:p>
        </w:tc>
        <w:tc>
          <w:tcPr>
            <w:tcW w:w="1272" w:type="dxa"/>
            <w:vAlign w:val="top"/>
          </w:tcPr>
          <w:p w14:paraId="5A1EEE36">
            <w:pPr>
              <w:spacing w:before="102" w:line="219" w:lineRule="auto"/>
              <w:ind w:left="226"/>
              <w:rPr>
                <w:rFonts w:ascii="宋体" w:hAnsi="宋体" w:eastAsia="宋体" w:cs="宋体"/>
                <w:sz w:val="21"/>
                <w:szCs w:val="21"/>
              </w:rPr>
            </w:pPr>
            <w:r>
              <w:rPr>
                <w:rFonts w:ascii="宋体" w:hAnsi="宋体" w:eastAsia="宋体" w:cs="宋体"/>
                <w:spacing w:val="-3"/>
                <w:sz w:val="21"/>
                <w:szCs w:val="21"/>
              </w:rPr>
              <w:t>强脚树莺</w:t>
            </w:r>
          </w:p>
        </w:tc>
        <w:tc>
          <w:tcPr>
            <w:tcW w:w="1693" w:type="dxa"/>
            <w:vAlign w:val="top"/>
          </w:tcPr>
          <w:p w14:paraId="7FAB8365">
            <w:pPr>
              <w:pStyle w:val="6"/>
              <w:spacing w:before="136" w:line="190" w:lineRule="auto"/>
              <w:ind w:left="107"/>
            </w:pPr>
            <w:r>
              <w:rPr>
                <w:i/>
                <w:iCs/>
                <w:spacing w:val="2"/>
              </w:rPr>
              <w:t>Horoenis</w:t>
            </w:r>
            <w:r>
              <w:rPr>
                <w:i/>
                <w:iCs/>
                <w:spacing w:val="-27"/>
              </w:rPr>
              <w:t xml:space="preserve"> </w:t>
            </w:r>
            <w:r>
              <w:rPr>
                <w:i/>
                <w:iCs/>
                <w:spacing w:val="2"/>
              </w:rPr>
              <w:t>fortipes</w:t>
            </w:r>
          </w:p>
        </w:tc>
        <w:tc>
          <w:tcPr>
            <w:tcW w:w="845" w:type="dxa"/>
            <w:tcBorders>
              <w:right w:val="single" w:color="000000" w:sz="12" w:space="0"/>
            </w:tcBorders>
            <w:vAlign w:val="top"/>
          </w:tcPr>
          <w:p w14:paraId="77F3DC06">
            <w:pPr>
              <w:rPr>
                <w:rFonts w:ascii="Arial"/>
                <w:sz w:val="21"/>
              </w:rPr>
            </w:pPr>
          </w:p>
        </w:tc>
      </w:tr>
      <w:tr w14:paraId="7A907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436C50B">
            <w:pPr>
              <w:pStyle w:val="6"/>
              <w:spacing w:before="141" w:line="186" w:lineRule="auto"/>
              <w:ind w:left="238"/>
            </w:pPr>
            <w:r>
              <w:rPr>
                <w:b/>
                <w:bCs/>
                <w:spacing w:val="-2"/>
              </w:rPr>
              <w:t>F33</w:t>
            </w:r>
          </w:p>
        </w:tc>
        <w:tc>
          <w:tcPr>
            <w:tcW w:w="1270" w:type="dxa"/>
            <w:vAlign w:val="top"/>
          </w:tcPr>
          <w:p w14:paraId="7FECD555">
            <w:pPr>
              <w:spacing w:before="103" w:line="219" w:lineRule="auto"/>
              <w:ind w:left="101"/>
              <w:rPr>
                <w:rFonts w:ascii="宋体" w:hAnsi="宋体" w:eastAsia="宋体" w:cs="宋体"/>
                <w:sz w:val="21"/>
                <w:szCs w:val="21"/>
              </w:rPr>
            </w:pPr>
            <w:r>
              <w:rPr>
                <w:rFonts w:ascii="宋体" w:hAnsi="宋体" w:eastAsia="宋体" w:cs="宋体"/>
                <w:b/>
                <w:bCs/>
                <w:spacing w:val="-4"/>
                <w:sz w:val="21"/>
                <w:szCs w:val="21"/>
              </w:rPr>
              <w:t>长尾山雀科</w:t>
            </w:r>
          </w:p>
        </w:tc>
        <w:tc>
          <w:tcPr>
            <w:tcW w:w="1554" w:type="dxa"/>
            <w:vAlign w:val="top"/>
          </w:tcPr>
          <w:p w14:paraId="0AA2A31D">
            <w:pPr>
              <w:pStyle w:val="6"/>
              <w:spacing w:before="142" w:line="186" w:lineRule="auto"/>
              <w:ind w:left="201"/>
            </w:pPr>
            <w:r>
              <w:rPr>
                <w:b/>
                <w:bCs/>
                <w:spacing w:val="-1"/>
              </w:rPr>
              <w:t>Aegithalidae</w:t>
            </w:r>
          </w:p>
        </w:tc>
        <w:tc>
          <w:tcPr>
            <w:tcW w:w="989" w:type="dxa"/>
            <w:vAlign w:val="top"/>
          </w:tcPr>
          <w:p w14:paraId="4A5B6A2E">
            <w:pPr>
              <w:pStyle w:val="6"/>
              <w:spacing w:before="141" w:line="186" w:lineRule="auto"/>
              <w:ind w:left="323"/>
            </w:pPr>
            <w:r>
              <w:rPr>
                <w:b/>
                <w:bCs/>
                <w:spacing w:val="-2"/>
              </w:rPr>
              <w:t>F29</w:t>
            </w:r>
          </w:p>
        </w:tc>
        <w:tc>
          <w:tcPr>
            <w:tcW w:w="1272" w:type="dxa"/>
            <w:vAlign w:val="top"/>
          </w:tcPr>
          <w:p w14:paraId="1EB2376F">
            <w:pPr>
              <w:spacing w:before="103" w:line="219" w:lineRule="auto"/>
              <w:ind w:left="115"/>
              <w:rPr>
                <w:rFonts w:ascii="宋体" w:hAnsi="宋体" w:eastAsia="宋体" w:cs="宋体"/>
                <w:sz w:val="21"/>
                <w:szCs w:val="21"/>
              </w:rPr>
            </w:pPr>
            <w:r>
              <w:rPr>
                <w:rFonts w:ascii="宋体" w:hAnsi="宋体" w:eastAsia="宋体" w:cs="宋体"/>
                <w:b/>
                <w:bCs/>
                <w:spacing w:val="-4"/>
                <w:sz w:val="21"/>
                <w:szCs w:val="21"/>
              </w:rPr>
              <w:t>长尾山雀科</w:t>
            </w:r>
          </w:p>
        </w:tc>
        <w:tc>
          <w:tcPr>
            <w:tcW w:w="1693" w:type="dxa"/>
            <w:vAlign w:val="top"/>
          </w:tcPr>
          <w:p w14:paraId="29A3F86E">
            <w:pPr>
              <w:pStyle w:val="6"/>
              <w:spacing w:before="142" w:line="186" w:lineRule="auto"/>
              <w:ind w:left="285"/>
            </w:pPr>
            <w:r>
              <w:rPr>
                <w:b/>
                <w:bCs/>
                <w:spacing w:val="-1"/>
              </w:rPr>
              <w:t>Aegithalidae</w:t>
            </w:r>
          </w:p>
        </w:tc>
        <w:tc>
          <w:tcPr>
            <w:tcW w:w="845" w:type="dxa"/>
            <w:tcBorders>
              <w:right w:val="single" w:color="000000" w:sz="12" w:space="0"/>
            </w:tcBorders>
            <w:vAlign w:val="top"/>
          </w:tcPr>
          <w:p w14:paraId="0E1DFB68">
            <w:pPr>
              <w:rPr>
                <w:rFonts w:ascii="Arial"/>
                <w:sz w:val="21"/>
              </w:rPr>
            </w:pPr>
          </w:p>
        </w:tc>
      </w:tr>
      <w:tr w14:paraId="5A156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1505ED21">
            <w:pPr>
              <w:pStyle w:val="6"/>
              <w:spacing w:before="237" w:line="232" w:lineRule="auto"/>
              <w:ind w:left="307"/>
            </w:pPr>
            <w:r>
              <w:rPr>
                <w:spacing w:val="-2"/>
              </w:rPr>
              <w:t>94</w:t>
            </w:r>
          </w:p>
        </w:tc>
        <w:tc>
          <w:tcPr>
            <w:tcW w:w="1270" w:type="dxa"/>
            <w:tcBorders>
              <w:bottom w:val="single" w:color="000000" w:sz="12" w:space="0"/>
            </w:tcBorders>
            <w:vAlign w:val="top"/>
          </w:tcPr>
          <w:p w14:paraId="1AAA7EAE">
            <w:pPr>
              <w:spacing w:before="202" w:line="220" w:lineRule="auto"/>
              <w:ind w:left="108"/>
              <w:rPr>
                <w:rFonts w:ascii="宋体" w:hAnsi="宋体" w:eastAsia="宋体" w:cs="宋体"/>
                <w:sz w:val="21"/>
                <w:szCs w:val="21"/>
              </w:rPr>
            </w:pPr>
            <w:r>
              <w:rPr>
                <w:rFonts w:ascii="宋体" w:hAnsi="宋体" w:eastAsia="宋体" w:cs="宋体"/>
                <w:spacing w:val="-3"/>
                <w:sz w:val="21"/>
                <w:szCs w:val="21"/>
              </w:rPr>
              <w:t>红头长尾山</w:t>
            </w:r>
          </w:p>
        </w:tc>
        <w:tc>
          <w:tcPr>
            <w:tcW w:w="1554" w:type="dxa"/>
            <w:tcBorders>
              <w:bottom w:val="single" w:color="000000" w:sz="12" w:space="0"/>
            </w:tcBorders>
            <w:vAlign w:val="top"/>
          </w:tcPr>
          <w:p w14:paraId="39D434C1">
            <w:pPr>
              <w:pStyle w:val="6"/>
              <w:spacing w:before="115" w:line="190" w:lineRule="auto"/>
              <w:ind w:left="306"/>
            </w:pPr>
            <w:r>
              <w:rPr>
                <w:i/>
                <w:iCs/>
                <w:spacing w:val="1"/>
              </w:rPr>
              <w:t>Aegithalos</w:t>
            </w:r>
          </w:p>
          <w:p w14:paraId="2847EC3E">
            <w:pPr>
              <w:pStyle w:val="6"/>
              <w:spacing w:before="49" w:line="222" w:lineRule="auto"/>
              <w:ind w:left="346"/>
            </w:pPr>
            <w:r>
              <w:rPr>
                <w:i/>
                <w:iCs/>
                <w:spacing w:val="-1"/>
              </w:rPr>
              <w:t>concinnus</w:t>
            </w:r>
          </w:p>
        </w:tc>
        <w:tc>
          <w:tcPr>
            <w:tcW w:w="989" w:type="dxa"/>
            <w:tcBorders>
              <w:bottom w:val="single" w:color="000000" w:sz="12" w:space="0"/>
            </w:tcBorders>
            <w:vAlign w:val="top"/>
          </w:tcPr>
          <w:p w14:paraId="40E17CE4">
            <w:pPr>
              <w:pStyle w:val="6"/>
              <w:spacing w:before="237" w:line="232" w:lineRule="auto"/>
              <w:ind w:left="391"/>
            </w:pPr>
            <w:r>
              <w:rPr>
                <w:spacing w:val="-3"/>
              </w:rPr>
              <w:t>62</w:t>
            </w:r>
          </w:p>
        </w:tc>
        <w:tc>
          <w:tcPr>
            <w:tcW w:w="1272" w:type="dxa"/>
            <w:tcBorders>
              <w:bottom w:val="single" w:color="000000" w:sz="12" w:space="0"/>
            </w:tcBorders>
            <w:vAlign w:val="top"/>
          </w:tcPr>
          <w:p w14:paraId="0A11B5C8">
            <w:pPr>
              <w:spacing w:before="202" w:line="220" w:lineRule="auto"/>
              <w:ind w:left="121"/>
              <w:rPr>
                <w:rFonts w:ascii="宋体" w:hAnsi="宋体" w:eastAsia="宋体" w:cs="宋体"/>
                <w:sz w:val="21"/>
                <w:szCs w:val="21"/>
              </w:rPr>
            </w:pPr>
            <w:r>
              <w:rPr>
                <w:rFonts w:ascii="宋体" w:hAnsi="宋体" w:eastAsia="宋体" w:cs="宋体"/>
                <w:spacing w:val="-3"/>
                <w:sz w:val="21"/>
                <w:szCs w:val="21"/>
              </w:rPr>
              <w:t>红头长尾山</w:t>
            </w:r>
          </w:p>
        </w:tc>
        <w:tc>
          <w:tcPr>
            <w:tcW w:w="1693" w:type="dxa"/>
            <w:tcBorders>
              <w:bottom w:val="single" w:color="000000" w:sz="12" w:space="0"/>
            </w:tcBorders>
            <w:vAlign w:val="top"/>
          </w:tcPr>
          <w:p w14:paraId="3CF722F6">
            <w:pPr>
              <w:pStyle w:val="6"/>
              <w:spacing w:before="115" w:line="190" w:lineRule="auto"/>
              <w:ind w:left="390"/>
            </w:pPr>
            <w:r>
              <w:rPr>
                <w:i/>
                <w:iCs/>
                <w:spacing w:val="1"/>
              </w:rPr>
              <w:t>Aegithalos</w:t>
            </w:r>
          </w:p>
          <w:p w14:paraId="1CF6AFB1">
            <w:pPr>
              <w:pStyle w:val="6"/>
              <w:spacing w:before="49" w:line="222" w:lineRule="auto"/>
              <w:ind w:left="430"/>
            </w:pPr>
            <w:r>
              <w:rPr>
                <w:i/>
                <w:iCs/>
                <w:spacing w:val="-1"/>
              </w:rPr>
              <w:t>concinnus</w:t>
            </w:r>
          </w:p>
        </w:tc>
        <w:tc>
          <w:tcPr>
            <w:tcW w:w="845" w:type="dxa"/>
            <w:tcBorders>
              <w:bottom w:val="single" w:color="000000" w:sz="12" w:space="0"/>
              <w:right w:val="single" w:color="000000" w:sz="12" w:space="0"/>
            </w:tcBorders>
            <w:vAlign w:val="top"/>
          </w:tcPr>
          <w:p w14:paraId="53864B37">
            <w:pPr>
              <w:rPr>
                <w:rFonts w:ascii="Arial"/>
                <w:sz w:val="21"/>
              </w:rPr>
            </w:pPr>
          </w:p>
        </w:tc>
      </w:tr>
    </w:tbl>
    <w:p w14:paraId="788E5E4E">
      <w:pPr>
        <w:rPr>
          <w:rFonts w:ascii="Arial"/>
          <w:sz w:val="21"/>
        </w:rPr>
      </w:pPr>
    </w:p>
    <w:p w14:paraId="757B39D8">
      <w:pPr>
        <w:rPr>
          <w:rFonts w:ascii="Arial" w:hAnsi="Arial" w:eastAsia="Arial" w:cs="Arial"/>
          <w:sz w:val="21"/>
          <w:szCs w:val="21"/>
        </w:rPr>
        <w:sectPr>
          <w:footerReference r:id="rId180" w:type="default"/>
          <w:pgSz w:w="11907" w:h="16839"/>
          <w:pgMar w:top="1376" w:right="1669" w:bottom="1061" w:left="1671" w:header="999" w:footer="861" w:gutter="0"/>
          <w:cols w:space="720" w:num="1"/>
        </w:sectPr>
      </w:pPr>
    </w:p>
    <w:p w14:paraId="0B81D66E">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53BEC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48ED979F">
            <w:pPr>
              <w:spacing w:before="76" w:line="233" w:lineRule="auto"/>
              <w:ind w:left="962"/>
              <w:rPr>
                <w:rFonts w:ascii="宋体" w:hAnsi="宋体" w:eastAsia="宋体" w:cs="宋体"/>
                <w:sz w:val="21"/>
                <w:szCs w:val="21"/>
              </w:rPr>
            </w:pPr>
            <w:r>
              <w:rPr>
                <w:rFonts w:ascii="宋体" w:hAnsi="宋体" w:eastAsia="宋体" w:cs="宋体"/>
                <w:spacing w:val="-3"/>
                <w:sz w:val="21"/>
                <w:szCs w:val="21"/>
              </w:rPr>
              <w:t>环评期（2015</w:t>
            </w:r>
            <w:r>
              <w:rPr>
                <w:rFonts w:ascii="宋体" w:hAnsi="宋体" w:eastAsia="宋体" w:cs="宋体"/>
                <w:spacing w:val="-34"/>
                <w:sz w:val="21"/>
                <w:szCs w:val="21"/>
              </w:rPr>
              <w:t xml:space="preserve"> </w:t>
            </w:r>
            <w:r>
              <w:rPr>
                <w:rFonts w:ascii="宋体" w:hAnsi="宋体" w:eastAsia="宋体" w:cs="宋体"/>
                <w:spacing w:val="-3"/>
                <w:sz w:val="21"/>
                <w:szCs w:val="21"/>
              </w:rPr>
              <w:t>年）</w:t>
            </w:r>
          </w:p>
        </w:tc>
        <w:tc>
          <w:tcPr>
            <w:tcW w:w="3954" w:type="dxa"/>
            <w:gridSpan w:val="3"/>
            <w:tcBorders>
              <w:top w:val="single" w:color="000000" w:sz="12" w:space="0"/>
            </w:tcBorders>
            <w:vAlign w:val="top"/>
          </w:tcPr>
          <w:p w14:paraId="764D664A">
            <w:pPr>
              <w:spacing w:before="76" w:line="233" w:lineRule="auto"/>
              <w:ind w:left="1118"/>
              <w:rPr>
                <w:rFonts w:ascii="宋体" w:hAnsi="宋体" w:eastAsia="宋体" w:cs="宋体"/>
                <w:sz w:val="21"/>
                <w:szCs w:val="21"/>
              </w:rPr>
            </w:pPr>
            <w:r>
              <w:rPr>
                <w:rFonts w:ascii="宋体" w:hAnsi="宋体" w:eastAsia="宋体" w:cs="宋体"/>
                <w:spacing w:val="-2"/>
                <w:sz w:val="21"/>
                <w:szCs w:val="21"/>
              </w:rPr>
              <w:t>施工期（2020</w:t>
            </w:r>
            <w:r>
              <w:rPr>
                <w:rFonts w:ascii="宋体" w:hAnsi="宋体" w:eastAsia="宋体" w:cs="宋体"/>
                <w:spacing w:val="-43"/>
                <w:sz w:val="21"/>
                <w:szCs w:val="21"/>
              </w:rPr>
              <w:t xml:space="preserve"> </w:t>
            </w:r>
            <w:r>
              <w:rPr>
                <w:rFonts w:ascii="宋体" w:hAnsi="宋体" w:eastAsia="宋体" w:cs="宋体"/>
                <w:spacing w:val="-2"/>
                <w:sz w:val="21"/>
                <w:szCs w:val="21"/>
              </w:rPr>
              <w:t>年）</w:t>
            </w:r>
          </w:p>
        </w:tc>
        <w:tc>
          <w:tcPr>
            <w:tcW w:w="845" w:type="dxa"/>
            <w:vMerge w:val="restart"/>
            <w:tcBorders>
              <w:top w:val="single" w:color="000000" w:sz="12" w:space="0"/>
              <w:bottom w:val="nil"/>
              <w:right w:val="single" w:color="000000" w:sz="12" w:space="0"/>
            </w:tcBorders>
            <w:vAlign w:val="top"/>
          </w:tcPr>
          <w:p w14:paraId="7842DC64">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1173B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6919A705">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6F53B31B">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602641C7">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291C3746">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69218328">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4B5B6DB7">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1F11E324">
            <w:pPr>
              <w:rPr>
                <w:rFonts w:ascii="Arial"/>
                <w:sz w:val="21"/>
              </w:rPr>
            </w:pPr>
          </w:p>
        </w:tc>
      </w:tr>
      <w:tr w14:paraId="3E710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50" w:type="dxa"/>
            <w:tcBorders>
              <w:left w:val="single" w:color="000000" w:sz="12" w:space="0"/>
            </w:tcBorders>
            <w:vAlign w:val="top"/>
          </w:tcPr>
          <w:p w14:paraId="5A050778">
            <w:pPr>
              <w:rPr>
                <w:rFonts w:ascii="Arial"/>
                <w:sz w:val="21"/>
              </w:rPr>
            </w:pPr>
          </w:p>
        </w:tc>
        <w:tc>
          <w:tcPr>
            <w:tcW w:w="1270" w:type="dxa"/>
            <w:vAlign w:val="top"/>
          </w:tcPr>
          <w:p w14:paraId="3C1AD1D5">
            <w:pPr>
              <w:spacing w:before="86" w:line="220" w:lineRule="auto"/>
              <w:ind w:left="525"/>
              <w:rPr>
                <w:rFonts w:ascii="宋体" w:hAnsi="宋体" w:eastAsia="宋体" w:cs="宋体"/>
                <w:sz w:val="21"/>
                <w:szCs w:val="21"/>
              </w:rPr>
            </w:pPr>
            <w:r>
              <w:rPr>
                <w:rFonts w:ascii="宋体" w:hAnsi="宋体" w:eastAsia="宋体" w:cs="宋体"/>
                <w:sz w:val="21"/>
                <w:szCs w:val="21"/>
              </w:rPr>
              <w:t>雀</w:t>
            </w:r>
          </w:p>
        </w:tc>
        <w:tc>
          <w:tcPr>
            <w:tcW w:w="1554" w:type="dxa"/>
            <w:vAlign w:val="top"/>
          </w:tcPr>
          <w:p w14:paraId="3FAC4326">
            <w:pPr>
              <w:rPr>
                <w:rFonts w:ascii="Arial"/>
                <w:sz w:val="21"/>
              </w:rPr>
            </w:pPr>
          </w:p>
        </w:tc>
        <w:tc>
          <w:tcPr>
            <w:tcW w:w="989" w:type="dxa"/>
            <w:vAlign w:val="top"/>
          </w:tcPr>
          <w:p w14:paraId="61E14EF7">
            <w:pPr>
              <w:rPr>
                <w:rFonts w:ascii="Arial"/>
                <w:sz w:val="21"/>
              </w:rPr>
            </w:pPr>
          </w:p>
        </w:tc>
        <w:tc>
          <w:tcPr>
            <w:tcW w:w="1272" w:type="dxa"/>
            <w:vAlign w:val="top"/>
          </w:tcPr>
          <w:p w14:paraId="1AF61DF2">
            <w:pPr>
              <w:spacing w:before="86" w:line="220" w:lineRule="auto"/>
              <w:ind w:left="538"/>
              <w:rPr>
                <w:rFonts w:ascii="宋体" w:hAnsi="宋体" w:eastAsia="宋体" w:cs="宋体"/>
                <w:sz w:val="21"/>
                <w:szCs w:val="21"/>
              </w:rPr>
            </w:pPr>
            <w:r>
              <w:rPr>
                <w:rFonts w:ascii="宋体" w:hAnsi="宋体" w:eastAsia="宋体" w:cs="宋体"/>
                <w:sz w:val="21"/>
                <w:szCs w:val="21"/>
              </w:rPr>
              <w:t>雀</w:t>
            </w:r>
          </w:p>
        </w:tc>
        <w:tc>
          <w:tcPr>
            <w:tcW w:w="1693" w:type="dxa"/>
            <w:vAlign w:val="top"/>
          </w:tcPr>
          <w:p w14:paraId="78B7B9F4">
            <w:pPr>
              <w:rPr>
                <w:rFonts w:ascii="Arial"/>
                <w:sz w:val="21"/>
              </w:rPr>
            </w:pPr>
          </w:p>
        </w:tc>
        <w:tc>
          <w:tcPr>
            <w:tcW w:w="845" w:type="dxa"/>
            <w:tcBorders>
              <w:right w:val="single" w:color="000000" w:sz="12" w:space="0"/>
            </w:tcBorders>
            <w:vAlign w:val="top"/>
          </w:tcPr>
          <w:p w14:paraId="6B44E267">
            <w:pPr>
              <w:rPr>
                <w:rFonts w:ascii="Arial"/>
                <w:sz w:val="21"/>
              </w:rPr>
            </w:pPr>
          </w:p>
        </w:tc>
      </w:tr>
      <w:tr w14:paraId="35EFA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50" w:type="dxa"/>
            <w:tcBorders>
              <w:left w:val="single" w:color="000000" w:sz="12" w:space="0"/>
            </w:tcBorders>
            <w:vAlign w:val="top"/>
          </w:tcPr>
          <w:p w14:paraId="000FBD4E">
            <w:pPr>
              <w:spacing w:before="241" w:line="223" w:lineRule="auto"/>
              <w:ind w:left="307"/>
              <w:rPr>
                <w:rFonts w:ascii="宋体" w:hAnsi="宋体" w:eastAsia="宋体" w:cs="宋体"/>
                <w:sz w:val="21"/>
                <w:szCs w:val="21"/>
              </w:rPr>
            </w:pPr>
            <w:r>
              <w:rPr>
                <w:rFonts w:ascii="宋体" w:hAnsi="宋体" w:eastAsia="宋体" w:cs="宋体"/>
                <w:spacing w:val="-2"/>
                <w:sz w:val="21"/>
                <w:szCs w:val="21"/>
              </w:rPr>
              <w:t>95</w:t>
            </w:r>
          </w:p>
        </w:tc>
        <w:tc>
          <w:tcPr>
            <w:tcW w:w="1270" w:type="dxa"/>
            <w:vAlign w:val="top"/>
          </w:tcPr>
          <w:p w14:paraId="5F0A029F">
            <w:pPr>
              <w:spacing w:before="72"/>
              <w:ind w:left="525" w:right="115" w:hanging="423"/>
              <w:rPr>
                <w:rFonts w:ascii="宋体" w:hAnsi="宋体" w:eastAsia="宋体" w:cs="宋体"/>
                <w:sz w:val="21"/>
                <w:szCs w:val="21"/>
              </w:rPr>
            </w:pPr>
            <w:r>
              <w:rPr>
                <w:rFonts w:ascii="宋体" w:hAnsi="宋体" w:eastAsia="宋体" w:cs="宋体"/>
                <w:spacing w:val="-2"/>
                <w:sz w:val="21"/>
                <w:szCs w:val="21"/>
              </w:rPr>
              <w:t>棕额长尾山</w:t>
            </w:r>
            <w:r>
              <w:rPr>
                <w:rFonts w:ascii="宋体" w:hAnsi="宋体" w:eastAsia="宋体" w:cs="宋体"/>
                <w:sz w:val="21"/>
                <w:szCs w:val="21"/>
              </w:rPr>
              <w:t>雀</w:t>
            </w:r>
          </w:p>
        </w:tc>
        <w:tc>
          <w:tcPr>
            <w:tcW w:w="1554" w:type="dxa"/>
            <w:vAlign w:val="top"/>
          </w:tcPr>
          <w:p w14:paraId="6A79A0CD">
            <w:pPr>
              <w:pStyle w:val="6"/>
              <w:spacing w:before="121" w:line="190" w:lineRule="auto"/>
              <w:ind w:left="306"/>
            </w:pPr>
            <w:r>
              <w:rPr>
                <w:i/>
                <w:iCs/>
                <w:spacing w:val="1"/>
              </w:rPr>
              <w:t>Aegithalos</w:t>
            </w:r>
          </w:p>
          <w:p w14:paraId="7F0B90A3">
            <w:pPr>
              <w:pStyle w:val="6"/>
              <w:spacing w:before="49" w:line="233" w:lineRule="auto"/>
              <w:ind w:left="308"/>
            </w:pPr>
            <w:r>
              <w:rPr>
                <w:i/>
                <w:iCs/>
                <w:spacing w:val="-1"/>
              </w:rPr>
              <w:t>iouschistos</w:t>
            </w:r>
          </w:p>
        </w:tc>
        <w:tc>
          <w:tcPr>
            <w:tcW w:w="989" w:type="dxa"/>
            <w:vAlign w:val="top"/>
          </w:tcPr>
          <w:p w14:paraId="07E1368E">
            <w:pPr>
              <w:rPr>
                <w:rFonts w:ascii="Arial"/>
                <w:sz w:val="21"/>
              </w:rPr>
            </w:pPr>
          </w:p>
        </w:tc>
        <w:tc>
          <w:tcPr>
            <w:tcW w:w="1272" w:type="dxa"/>
            <w:vAlign w:val="top"/>
          </w:tcPr>
          <w:p w14:paraId="38846752">
            <w:pPr>
              <w:rPr>
                <w:rFonts w:ascii="Arial"/>
                <w:sz w:val="21"/>
              </w:rPr>
            </w:pPr>
          </w:p>
        </w:tc>
        <w:tc>
          <w:tcPr>
            <w:tcW w:w="1693" w:type="dxa"/>
            <w:vAlign w:val="top"/>
          </w:tcPr>
          <w:p w14:paraId="331A6B69">
            <w:pPr>
              <w:rPr>
                <w:rFonts w:ascii="Arial"/>
                <w:sz w:val="21"/>
              </w:rPr>
            </w:pPr>
          </w:p>
        </w:tc>
        <w:tc>
          <w:tcPr>
            <w:tcW w:w="845" w:type="dxa"/>
            <w:tcBorders>
              <w:right w:val="single" w:color="000000" w:sz="12" w:space="0"/>
            </w:tcBorders>
            <w:vAlign w:val="top"/>
          </w:tcPr>
          <w:p w14:paraId="7D11B129">
            <w:pPr>
              <w:rPr>
                <w:rFonts w:ascii="Arial"/>
                <w:sz w:val="21"/>
              </w:rPr>
            </w:pPr>
          </w:p>
        </w:tc>
      </w:tr>
      <w:tr w14:paraId="0FC35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23EED65C">
            <w:pPr>
              <w:pStyle w:val="6"/>
              <w:spacing w:before="112" w:line="186" w:lineRule="auto"/>
              <w:ind w:left="238"/>
            </w:pPr>
            <w:r>
              <w:rPr>
                <w:b/>
                <w:bCs/>
                <w:spacing w:val="-2"/>
              </w:rPr>
              <w:t>F34</w:t>
            </w:r>
          </w:p>
        </w:tc>
        <w:tc>
          <w:tcPr>
            <w:tcW w:w="1270" w:type="dxa"/>
            <w:vAlign w:val="top"/>
          </w:tcPr>
          <w:p w14:paraId="53979779">
            <w:pPr>
              <w:spacing w:before="73" w:line="219" w:lineRule="auto"/>
              <w:ind w:left="315"/>
              <w:rPr>
                <w:rFonts w:ascii="宋体" w:hAnsi="宋体" w:eastAsia="宋体" w:cs="宋体"/>
                <w:sz w:val="21"/>
                <w:szCs w:val="21"/>
              </w:rPr>
            </w:pPr>
            <w:r>
              <w:rPr>
                <w:rFonts w:ascii="宋体" w:hAnsi="宋体" w:eastAsia="宋体" w:cs="宋体"/>
                <w:b/>
                <w:bCs/>
                <w:spacing w:val="-5"/>
                <w:sz w:val="21"/>
                <w:szCs w:val="21"/>
              </w:rPr>
              <w:t>莺鹛科</w:t>
            </w:r>
          </w:p>
        </w:tc>
        <w:tc>
          <w:tcPr>
            <w:tcW w:w="1554" w:type="dxa"/>
            <w:vAlign w:val="top"/>
          </w:tcPr>
          <w:p w14:paraId="3CEA9574">
            <w:pPr>
              <w:pStyle w:val="6"/>
              <w:spacing w:before="112" w:line="186" w:lineRule="auto"/>
              <w:ind w:left="368"/>
            </w:pPr>
            <w:r>
              <w:rPr>
                <w:b/>
                <w:bCs/>
                <w:spacing w:val="-2"/>
              </w:rPr>
              <w:t>Sylviidae</w:t>
            </w:r>
          </w:p>
        </w:tc>
        <w:tc>
          <w:tcPr>
            <w:tcW w:w="989" w:type="dxa"/>
            <w:vAlign w:val="top"/>
          </w:tcPr>
          <w:p w14:paraId="0C1D7BC6">
            <w:pPr>
              <w:pStyle w:val="6"/>
              <w:spacing w:before="112" w:line="186" w:lineRule="auto"/>
              <w:ind w:left="323"/>
            </w:pPr>
            <w:r>
              <w:rPr>
                <w:b/>
                <w:bCs/>
                <w:spacing w:val="-2"/>
              </w:rPr>
              <w:t>F30</w:t>
            </w:r>
          </w:p>
        </w:tc>
        <w:tc>
          <w:tcPr>
            <w:tcW w:w="1272" w:type="dxa"/>
            <w:vAlign w:val="top"/>
          </w:tcPr>
          <w:p w14:paraId="65F8F694">
            <w:pPr>
              <w:spacing w:before="73" w:line="219" w:lineRule="auto"/>
              <w:ind w:left="328"/>
              <w:rPr>
                <w:rFonts w:ascii="宋体" w:hAnsi="宋体" w:eastAsia="宋体" w:cs="宋体"/>
                <w:sz w:val="21"/>
                <w:szCs w:val="21"/>
              </w:rPr>
            </w:pPr>
            <w:r>
              <w:rPr>
                <w:rFonts w:ascii="宋体" w:hAnsi="宋体" w:eastAsia="宋体" w:cs="宋体"/>
                <w:b/>
                <w:bCs/>
                <w:spacing w:val="-5"/>
                <w:sz w:val="21"/>
                <w:szCs w:val="21"/>
              </w:rPr>
              <w:t>莺鹛科</w:t>
            </w:r>
          </w:p>
        </w:tc>
        <w:tc>
          <w:tcPr>
            <w:tcW w:w="1693" w:type="dxa"/>
            <w:vAlign w:val="top"/>
          </w:tcPr>
          <w:p w14:paraId="7AD03ACD">
            <w:pPr>
              <w:pStyle w:val="6"/>
              <w:spacing w:before="112" w:line="186" w:lineRule="auto"/>
              <w:ind w:left="452"/>
            </w:pPr>
            <w:r>
              <w:rPr>
                <w:b/>
                <w:bCs/>
                <w:spacing w:val="-2"/>
              </w:rPr>
              <w:t>Sylviidae</w:t>
            </w:r>
          </w:p>
        </w:tc>
        <w:tc>
          <w:tcPr>
            <w:tcW w:w="845" w:type="dxa"/>
            <w:tcBorders>
              <w:right w:val="single" w:color="000000" w:sz="12" w:space="0"/>
            </w:tcBorders>
            <w:vAlign w:val="top"/>
          </w:tcPr>
          <w:p w14:paraId="4087D929">
            <w:pPr>
              <w:rPr>
                <w:rFonts w:ascii="Arial"/>
                <w:sz w:val="21"/>
              </w:rPr>
            </w:pPr>
          </w:p>
        </w:tc>
      </w:tr>
      <w:tr w14:paraId="7399B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0B07353">
            <w:pPr>
              <w:rPr>
                <w:rFonts w:ascii="Arial"/>
                <w:sz w:val="21"/>
              </w:rPr>
            </w:pPr>
          </w:p>
        </w:tc>
        <w:tc>
          <w:tcPr>
            <w:tcW w:w="1270" w:type="dxa"/>
            <w:vAlign w:val="top"/>
          </w:tcPr>
          <w:p w14:paraId="4A1A04D8">
            <w:pPr>
              <w:rPr>
                <w:rFonts w:ascii="Arial"/>
                <w:sz w:val="21"/>
              </w:rPr>
            </w:pPr>
          </w:p>
        </w:tc>
        <w:tc>
          <w:tcPr>
            <w:tcW w:w="1554" w:type="dxa"/>
            <w:vAlign w:val="top"/>
          </w:tcPr>
          <w:p w14:paraId="16060F78">
            <w:pPr>
              <w:rPr>
                <w:rFonts w:ascii="Arial"/>
                <w:sz w:val="21"/>
              </w:rPr>
            </w:pPr>
          </w:p>
        </w:tc>
        <w:tc>
          <w:tcPr>
            <w:tcW w:w="989" w:type="dxa"/>
            <w:vAlign w:val="top"/>
          </w:tcPr>
          <w:p w14:paraId="462F8BF6">
            <w:pPr>
              <w:spacing w:before="214" w:line="223" w:lineRule="auto"/>
              <w:ind w:left="391"/>
              <w:rPr>
                <w:rFonts w:ascii="宋体" w:hAnsi="宋体" w:eastAsia="宋体" w:cs="宋体"/>
                <w:sz w:val="21"/>
                <w:szCs w:val="21"/>
              </w:rPr>
            </w:pPr>
            <w:r>
              <w:rPr>
                <w:rFonts w:ascii="宋体" w:hAnsi="宋体" w:eastAsia="宋体" w:cs="宋体"/>
                <w:spacing w:val="-3"/>
                <w:sz w:val="21"/>
                <w:szCs w:val="21"/>
              </w:rPr>
              <w:t>63</w:t>
            </w:r>
          </w:p>
        </w:tc>
        <w:tc>
          <w:tcPr>
            <w:tcW w:w="1272" w:type="dxa"/>
            <w:vAlign w:val="top"/>
          </w:tcPr>
          <w:p w14:paraId="0ACA8C55">
            <w:pPr>
              <w:spacing w:before="180" w:line="220" w:lineRule="auto"/>
              <w:ind w:left="220"/>
              <w:rPr>
                <w:rFonts w:ascii="宋体" w:hAnsi="宋体" w:eastAsia="宋体" w:cs="宋体"/>
                <w:sz w:val="21"/>
                <w:szCs w:val="21"/>
              </w:rPr>
            </w:pPr>
            <w:r>
              <w:rPr>
                <w:rFonts w:ascii="宋体" w:hAnsi="宋体" w:eastAsia="宋体" w:cs="宋体"/>
                <w:spacing w:val="-2"/>
                <w:sz w:val="21"/>
                <w:szCs w:val="21"/>
              </w:rPr>
              <w:t>棕头雀鹛</w:t>
            </w:r>
          </w:p>
        </w:tc>
        <w:tc>
          <w:tcPr>
            <w:tcW w:w="1693" w:type="dxa"/>
            <w:vAlign w:val="top"/>
          </w:tcPr>
          <w:p w14:paraId="3E6A373A">
            <w:pPr>
              <w:pStyle w:val="6"/>
              <w:spacing w:before="92" w:line="190" w:lineRule="auto"/>
              <w:ind w:left="495"/>
            </w:pPr>
            <w:r>
              <w:rPr>
                <w:i/>
                <w:iCs/>
              </w:rPr>
              <w:t>Fulvetta</w:t>
            </w:r>
          </w:p>
          <w:p w14:paraId="68CA6217">
            <w:pPr>
              <w:pStyle w:val="6"/>
              <w:spacing w:before="50" w:line="190" w:lineRule="auto"/>
              <w:ind w:left="411"/>
            </w:pPr>
            <w:r>
              <w:rPr>
                <w:i/>
                <w:iCs/>
                <w:spacing w:val="-1"/>
              </w:rPr>
              <w:t>ruficapilla</w:t>
            </w:r>
          </w:p>
        </w:tc>
        <w:tc>
          <w:tcPr>
            <w:tcW w:w="845" w:type="dxa"/>
            <w:tcBorders>
              <w:right w:val="single" w:color="000000" w:sz="12" w:space="0"/>
            </w:tcBorders>
            <w:vAlign w:val="top"/>
          </w:tcPr>
          <w:p w14:paraId="1EF71E98">
            <w:pPr>
              <w:rPr>
                <w:rFonts w:ascii="Arial"/>
                <w:sz w:val="21"/>
              </w:rPr>
            </w:pPr>
          </w:p>
        </w:tc>
      </w:tr>
      <w:tr w14:paraId="5CC97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DD639B0">
            <w:pPr>
              <w:spacing w:before="214" w:line="223" w:lineRule="auto"/>
              <w:ind w:left="307"/>
              <w:rPr>
                <w:rFonts w:ascii="宋体" w:hAnsi="宋体" w:eastAsia="宋体" w:cs="宋体"/>
                <w:sz w:val="21"/>
                <w:szCs w:val="21"/>
              </w:rPr>
            </w:pPr>
            <w:r>
              <w:rPr>
                <w:rFonts w:ascii="宋体" w:hAnsi="宋体" w:eastAsia="宋体" w:cs="宋体"/>
                <w:spacing w:val="-2"/>
                <w:sz w:val="21"/>
                <w:szCs w:val="21"/>
              </w:rPr>
              <w:t>96</w:t>
            </w:r>
          </w:p>
        </w:tc>
        <w:tc>
          <w:tcPr>
            <w:tcW w:w="1270" w:type="dxa"/>
            <w:vAlign w:val="top"/>
          </w:tcPr>
          <w:p w14:paraId="70880C0C">
            <w:pPr>
              <w:spacing w:before="180" w:line="220" w:lineRule="auto"/>
              <w:ind w:left="206"/>
              <w:rPr>
                <w:rFonts w:ascii="宋体" w:hAnsi="宋体" w:eastAsia="宋体" w:cs="宋体"/>
                <w:sz w:val="21"/>
                <w:szCs w:val="21"/>
              </w:rPr>
            </w:pPr>
            <w:r>
              <w:rPr>
                <w:rFonts w:ascii="宋体" w:hAnsi="宋体" w:eastAsia="宋体" w:cs="宋体"/>
                <w:spacing w:val="-2"/>
                <w:sz w:val="21"/>
                <w:szCs w:val="21"/>
              </w:rPr>
              <w:t>棕头鸦雀</w:t>
            </w:r>
          </w:p>
        </w:tc>
        <w:tc>
          <w:tcPr>
            <w:tcW w:w="1554" w:type="dxa"/>
            <w:vAlign w:val="top"/>
          </w:tcPr>
          <w:p w14:paraId="5BEFA774">
            <w:pPr>
              <w:pStyle w:val="6"/>
              <w:spacing w:before="94" w:line="190" w:lineRule="auto"/>
              <w:ind w:left="260"/>
            </w:pPr>
            <w:r>
              <w:rPr>
                <w:i/>
                <w:iCs/>
                <w:spacing w:val="-1"/>
              </w:rPr>
              <w:t>Sinosuthora</w:t>
            </w:r>
          </w:p>
          <w:p w14:paraId="58A38034">
            <w:pPr>
              <w:pStyle w:val="6"/>
              <w:spacing w:before="50" w:line="220" w:lineRule="auto"/>
              <w:ind w:left="319"/>
            </w:pPr>
            <w:r>
              <w:rPr>
                <w:i/>
                <w:iCs/>
                <w:spacing w:val="-1"/>
              </w:rPr>
              <w:t>webbianus</w:t>
            </w:r>
          </w:p>
        </w:tc>
        <w:tc>
          <w:tcPr>
            <w:tcW w:w="989" w:type="dxa"/>
            <w:vAlign w:val="top"/>
          </w:tcPr>
          <w:p w14:paraId="551A3304">
            <w:pPr>
              <w:spacing w:before="214" w:line="223" w:lineRule="auto"/>
              <w:ind w:left="391"/>
              <w:rPr>
                <w:rFonts w:ascii="宋体" w:hAnsi="宋体" w:eastAsia="宋体" w:cs="宋体"/>
                <w:sz w:val="21"/>
                <w:szCs w:val="21"/>
              </w:rPr>
            </w:pPr>
            <w:r>
              <w:rPr>
                <w:rFonts w:ascii="宋体" w:hAnsi="宋体" w:eastAsia="宋体" w:cs="宋体"/>
                <w:spacing w:val="-3"/>
                <w:sz w:val="21"/>
                <w:szCs w:val="21"/>
              </w:rPr>
              <w:t>64</w:t>
            </w:r>
          </w:p>
        </w:tc>
        <w:tc>
          <w:tcPr>
            <w:tcW w:w="1272" w:type="dxa"/>
            <w:vAlign w:val="top"/>
          </w:tcPr>
          <w:p w14:paraId="7D199B46">
            <w:pPr>
              <w:spacing w:before="180" w:line="220" w:lineRule="auto"/>
              <w:ind w:left="220"/>
              <w:rPr>
                <w:rFonts w:ascii="宋体" w:hAnsi="宋体" w:eastAsia="宋体" w:cs="宋体"/>
                <w:sz w:val="21"/>
                <w:szCs w:val="21"/>
              </w:rPr>
            </w:pPr>
            <w:r>
              <w:rPr>
                <w:rFonts w:ascii="宋体" w:hAnsi="宋体" w:eastAsia="宋体" w:cs="宋体"/>
                <w:spacing w:val="-2"/>
                <w:sz w:val="21"/>
                <w:szCs w:val="21"/>
              </w:rPr>
              <w:t>棕头鸦雀</w:t>
            </w:r>
          </w:p>
        </w:tc>
        <w:tc>
          <w:tcPr>
            <w:tcW w:w="1693" w:type="dxa"/>
            <w:vAlign w:val="top"/>
          </w:tcPr>
          <w:p w14:paraId="5C7AA734">
            <w:pPr>
              <w:pStyle w:val="6"/>
              <w:spacing w:before="94" w:line="190" w:lineRule="auto"/>
              <w:ind w:left="344"/>
            </w:pPr>
            <w:r>
              <w:rPr>
                <w:i/>
                <w:iCs/>
                <w:spacing w:val="-1"/>
              </w:rPr>
              <w:t>Sinosuthora</w:t>
            </w:r>
          </w:p>
          <w:p w14:paraId="59945CB6">
            <w:pPr>
              <w:pStyle w:val="6"/>
              <w:spacing w:before="50" w:line="220" w:lineRule="auto"/>
              <w:ind w:left="404"/>
            </w:pPr>
            <w:r>
              <w:rPr>
                <w:i/>
                <w:iCs/>
                <w:spacing w:val="-1"/>
              </w:rPr>
              <w:t>webbianus</w:t>
            </w:r>
          </w:p>
        </w:tc>
        <w:tc>
          <w:tcPr>
            <w:tcW w:w="845" w:type="dxa"/>
            <w:tcBorders>
              <w:right w:val="single" w:color="000000" w:sz="12" w:space="0"/>
            </w:tcBorders>
            <w:vAlign w:val="top"/>
          </w:tcPr>
          <w:p w14:paraId="64820B29">
            <w:pPr>
              <w:rPr>
                <w:rFonts w:ascii="Arial"/>
                <w:sz w:val="21"/>
              </w:rPr>
            </w:pPr>
          </w:p>
        </w:tc>
      </w:tr>
      <w:tr w14:paraId="29FB2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13E711D">
            <w:pPr>
              <w:spacing w:before="215" w:line="223" w:lineRule="auto"/>
              <w:ind w:left="307"/>
              <w:rPr>
                <w:rFonts w:ascii="宋体" w:hAnsi="宋体" w:eastAsia="宋体" w:cs="宋体"/>
                <w:sz w:val="21"/>
                <w:szCs w:val="21"/>
              </w:rPr>
            </w:pPr>
            <w:r>
              <w:rPr>
                <w:rFonts w:ascii="宋体" w:hAnsi="宋体" w:eastAsia="宋体" w:cs="宋体"/>
                <w:spacing w:val="-2"/>
                <w:sz w:val="21"/>
                <w:szCs w:val="21"/>
              </w:rPr>
              <w:t>97</w:t>
            </w:r>
          </w:p>
        </w:tc>
        <w:tc>
          <w:tcPr>
            <w:tcW w:w="1270" w:type="dxa"/>
            <w:vAlign w:val="top"/>
          </w:tcPr>
          <w:p w14:paraId="0B95566C">
            <w:pPr>
              <w:spacing w:before="181" w:line="220" w:lineRule="auto"/>
              <w:ind w:left="209"/>
              <w:rPr>
                <w:rFonts w:ascii="宋体" w:hAnsi="宋体" w:eastAsia="宋体" w:cs="宋体"/>
                <w:sz w:val="21"/>
                <w:szCs w:val="21"/>
              </w:rPr>
            </w:pPr>
            <w:r>
              <w:rPr>
                <w:rFonts w:ascii="宋体" w:hAnsi="宋体" w:eastAsia="宋体" w:cs="宋体"/>
                <w:spacing w:val="-2"/>
                <w:sz w:val="21"/>
                <w:szCs w:val="21"/>
              </w:rPr>
              <w:t>灰喉鸦雀</w:t>
            </w:r>
          </w:p>
        </w:tc>
        <w:tc>
          <w:tcPr>
            <w:tcW w:w="1554" w:type="dxa"/>
            <w:vAlign w:val="top"/>
          </w:tcPr>
          <w:p w14:paraId="007F6685">
            <w:pPr>
              <w:pStyle w:val="6"/>
              <w:spacing w:before="94" w:line="190" w:lineRule="auto"/>
              <w:ind w:left="260"/>
            </w:pPr>
            <w:r>
              <w:rPr>
                <w:i/>
                <w:iCs/>
                <w:spacing w:val="-1"/>
              </w:rPr>
              <w:t>Sinosuthora</w:t>
            </w:r>
          </w:p>
          <w:p w14:paraId="19CF0917">
            <w:pPr>
              <w:pStyle w:val="6"/>
              <w:spacing w:before="51" w:line="190" w:lineRule="auto"/>
              <w:ind w:left="210"/>
            </w:pPr>
            <w:r>
              <w:rPr>
                <w:i/>
                <w:iCs/>
                <w:spacing w:val="-1"/>
              </w:rPr>
              <w:t>alphonsianus</w:t>
            </w:r>
          </w:p>
        </w:tc>
        <w:tc>
          <w:tcPr>
            <w:tcW w:w="989" w:type="dxa"/>
            <w:vAlign w:val="top"/>
          </w:tcPr>
          <w:p w14:paraId="286C60D2">
            <w:pPr>
              <w:rPr>
                <w:rFonts w:ascii="Arial"/>
                <w:sz w:val="21"/>
              </w:rPr>
            </w:pPr>
          </w:p>
        </w:tc>
        <w:tc>
          <w:tcPr>
            <w:tcW w:w="1272" w:type="dxa"/>
            <w:vAlign w:val="top"/>
          </w:tcPr>
          <w:p w14:paraId="3570C8D6">
            <w:pPr>
              <w:rPr>
                <w:rFonts w:ascii="Arial"/>
                <w:sz w:val="21"/>
              </w:rPr>
            </w:pPr>
          </w:p>
        </w:tc>
        <w:tc>
          <w:tcPr>
            <w:tcW w:w="1693" w:type="dxa"/>
            <w:vAlign w:val="top"/>
          </w:tcPr>
          <w:p w14:paraId="6351E61C">
            <w:pPr>
              <w:rPr>
                <w:rFonts w:ascii="Arial"/>
                <w:sz w:val="21"/>
              </w:rPr>
            </w:pPr>
          </w:p>
        </w:tc>
        <w:tc>
          <w:tcPr>
            <w:tcW w:w="845" w:type="dxa"/>
            <w:tcBorders>
              <w:right w:val="single" w:color="000000" w:sz="12" w:space="0"/>
            </w:tcBorders>
            <w:vAlign w:val="top"/>
          </w:tcPr>
          <w:p w14:paraId="71E282D8">
            <w:pPr>
              <w:rPr>
                <w:rFonts w:ascii="Arial"/>
                <w:sz w:val="21"/>
              </w:rPr>
            </w:pPr>
          </w:p>
        </w:tc>
      </w:tr>
      <w:tr w14:paraId="64B68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DD4C534">
            <w:pPr>
              <w:pStyle w:val="6"/>
              <w:spacing w:before="123" w:line="186" w:lineRule="auto"/>
              <w:ind w:left="238"/>
            </w:pPr>
            <w:r>
              <w:rPr>
                <w:b/>
                <w:bCs/>
                <w:spacing w:val="-2"/>
              </w:rPr>
              <w:t>F35</w:t>
            </w:r>
          </w:p>
        </w:tc>
        <w:tc>
          <w:tcPr>
            <w:tcW w:w="1270" w:type="dxa"/>
            <w:vAlign w:val="top"/>
          </w:tcPr>
          <w:p w14:paraId="08F3FAF6">
            <w:pPr>
              <w:spacing w:before="84" w:line="219" w:lineRule="auto"/>
              <w:ind w:left="207"/>
              <w:rPr>
                <w:rFonts w:ascii="宋体" w:hAnsi="宋体" w:eastAsia="宋体" w:cs="宋体"/>
                <w:sz w:val="21"/>
                <w:szCs w:val="21"/>
              </w:rPr>
            </w:pPr>
            <w:r>
              <w:rPr>
                <w:rFonts w:ascii="宋体" w:hAnsi="宋体" w:eastAsia="宋体" w:cs="宋体"/>
                <w:b/>
                <w:bCs/>
                <w:spacing w:val="-4"/>
                <w:sz w:val="21"/>
                <w:szCs w:val="21"/>
              </w:rPr>
              <w:t>绣眼鸟科</w:t>
            </w:r>
          </w:p>
        </w:tc>
        <w:tc>
          <w:tcPr>
            <w:tcW w:w="1554" w:type="dxa"/>
            <w:vAlign w:val="top"/>
          </w:tcPr>
          <w:p w14:paraId="3D33C864">
            <w:pPr>
              <w:pStyle w:val="6"/>
              <w:spacing w:before="123" w:line="187" w:lineRule="auto"/>
              <w:ind w:left="180"/>
            </w:pPr>
            <w:r>
              <w:rPr>
                <w:b/>
                <w:bCs/>
                <w:spacing w:val="-1"/>
              </w:rPr>
              <w:t>Zosteropidae</w:t>
            </w:r>
          </w:p>
        </w:tc>
        <w:tc>
          <w:tcPr>
            <w:tcW w:w="989" w:type="dxa"/>
            <w:vAlign w:val="top"/>
          </w:tcPr>
          <w:p w14:paraId="6BE79727">
            <w:pPr>
              <w:pStyle w:val="6"/>
              <w:spacing w:before="123" w:line="186" w:lineRule="auto"/>
              <w:ind w:left="323"/>
            </w:pPr>
            <w:r>
              <w:rPr>
                <w:b/>
                <w:bCs/>
                <w:spacing w:val="-2"/>
              </w:rPr>
              <w:t>F31</w:t>
            </w:r>
          </w:p>
        </w:tc>
        <w:tc>
          <w:tcPr>
            <w:tcW w:w="1272" w:type="dxa"/>
            <w:vAlign w:val="top"/>
          </w:tcPr>
          <w:p w14:paraId="35C31A62">
            <w:pPr>
              <w:spacing w:before="84" w:line="219" w:lineRule="auto"/>
              <w:ind w:left="220"/>
              <w:rPr>
                <w:rFonts w:ascii="宋体" w:hAnsi="宋体" w:eastAsia="宋体" w:cs="宋体"/>
                <w:sz w:val="21"/>
                <w:szCs w:val="21"/>
              </w:rPr>
            </w:pPr>
            <w:r>
              <w:rPr>
                <w:rFonts w:ascii="宋体" w:hAnsi="宋体" w:eastAsia="宋体" w:cs="宋体"/>
                <w:b/>
                <w:bCs/>
                <w:spacing w:val="-4"/>
                <w:sz w:val="21"/>
                <w:szCs w:val="21"/>
              </w:rPr>
              <w:t>绣眼鸟科</w:t>
            </w:r>
          </w:p>
        </w:tc>
        <w:tc>
          <w:tcPr>
            <w:tcW w:w="1693" w:type="dxa"/>
            <w:vAlign w:val="top"/>
          </w:tcPr>
          <w:p w14:paraId="49FA49FA">
            <w:pPr>
              <w:pStyle w:val="6"/>
              <w:spacing w:before="123" w:line="187" w:lineRule="auto"/>
              <w:ind w:left="264"/>
            </w:pPr>
            <w:r>
              <w:rPr>
                <w:b/>
                <w:bCs/>
                <w:spacing w:val="-1"/>
              </w:rPr>
              <w:t>Zosteropidae</w:t>
            </w:r>
          </w:p>
        </w:tc>
        <w:tc>
          <w:tcPr>
            <w:tcW w:w="845" w:type="dxa"/>
            <w:tcBorders>
              <w:right w:val="single" w:color="000000" w:sz="12" w:space="0"/>
            </w:tcBorders>
            <w:vAlign w:val="top"/>
          </w:tcPr>
          <w:p w14:paraId="6406F6E4">
            <w:pPr>
              <w:rPr>
                <w:rFonts w:ascii="Arial"/>
                <w:sz w:val="21"/>
              </w:rPr>
            </w:pPr>
          </w:p>
        </w:tc>
      </w:tr>
      <w:tr w14:paraId="71F5B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8DE4A5D">
            <w:pPr>
              <w:spacing w:before="217" w:line="223" w:lineRule="auto"/>
              <w:ind w:left="307"/>
              <w:rPr>
                <w:rFonts w:ascii="宋体" w:hAnsi="宋体" w:eastAsia="宋体" w:cs="宋体"/>
                <w:sz w:val="21"/>
                <w:szCs w:val="21"/>
              </w:rPr>
            </w:pPr>
            <w:r>
              <w:rPr>
                <w:rFonts w:ascii="宋体" w:hAnsi="宋体" w:eastAsia="宋体" w:cs="宋体"/>
                <w:spacing w:val="-2"/>
                <w:sz w:val="21"/>
                <w:szCs w:val="21"/>
              </w:rPr>
              <w:t>98</w:t>
            </w:r>
          </w:p>
        </w:tc>
        <w:tc>
          <w:tcPr>
            <w:tcW w:w="1270" w:type="dxa"/>
            <w:vAlign w:val="top"/>
          </w:tcPr>
          <w:p w14:paraId="2D0E2230">
            <w:pPr>
              <w:spacing w:before="184" w:line="220" w:lineRule="auto"/>
              <w:ind w:left="237"/>
              <w:rPr>
                <w:rFonts w:ascii="宋体" w:hAnsi="宋体" w:eastAsia="宋体" w:cs="宋体"/>
                <w:sz w:val="21"/>
                <w:szCs w:val="21"/>
              </w:rPr>
            </w:pPr>
            <w:r>
              <w:rPr>
                <w:rFonts w:ascii="宋体" w:hAnsi="宋体" w:eastAsia="宋体" w:cs="宋体"/>
                <w:spacing w:val="-8"/>
                <w:sz w:val="21"/>
                <w:szCs w:val="21"/>
              </w:rPr>
              <w:t>白领凤鹛</w:t>
            </w:r>
          </w:p>
        </w:tc>
        <w:tc>
          <w:tcPr>
            <w:tcW w:w="1554" w:type="dxa"/>
            <w:vAlign w:val="top"/>
          </w:tcPr>
          <w:p w14:paraId="448F30ED">
            <w:pPr>
              <w:pStyle w:val="6"/>
              <w:spacing w:before="97" w:line="190" w:lineRule="auto"/>
              <w:ind w:left="487"/>
            </w:pPr>
            <w:r>
              <w:rPr>
                <w:i/>
                <w:iCs/>
                <w:spacing w:val="-4"/>
              </w:rPr>
              <w:t>Yuhina</w:t>
            </w:r>
          </w:p>
          <w:p w14:paraId="6DB7783A">
            <w:pPr>
              <w:pStyle w:val="6"/>
              <w:spacing w:before="50" w:line="217" w:lineRule="auto"/>
              <w:ind w:left="326"/>
            </w:pPr>
            <w:r>
              <w:rPr>
                <w:i/>
                <w:iCs/>
                <w:spacing w:val="-1"/>
              </w:rPr>
              <w:t>diademata</w:t>
            </w:r>
          </w:p>
        </w:tc>
        <w:tc>
          <w:tcPr>
            <w:tcW w:w="989" w:type="dxa"/>
            <w:vAlign w:val="top"/>
          </w:tcPr>
          <w:p w14:paraId="67E2E090">
            <w:pPr>
              <w:spacing w:before="217" w:line="223" w:lineRule="auto"/>
              <w:ind w:left="391"/>
              <w:rPr>
                <w:rFonts w:ascii="宋体" w:hAnsi="宋体" w:eastAsia="宋体" w:cs="宋体"/>
                <w:sz w:val="21"/>
                <w:szCs w:val="21"/>
              </w:rPr>
            </w:pPr>
            <w:r>
              <w:rPr>
                <w:rFonts w:ascii="宋体" w:hAnsi="宋体" w:eastAsia="宋体" w:cs="宋体"/>
                <w:spacing w:val="-3"/>
                <w:sz w:val="21"/>
                <w:szCs w:val="21"/>
              </w:rPr>
              <w:t>65</w:t>
            </w:r>
          </w:p>
        </w:tc>
        <w:tc>
          <w:tcPr>
            <w:tcW w:w="1272" w:type="dxa"/>
            <w:vAlign w:val="top"/>
          </w:tcPr>
          <w:p w14:paraId="0D8C94D3">
            <w:pPr>
              <w:spacing w:before="184" w:line="220" w:lineRule="auto"/>
              <w:ind w:left="252"/>
              <w:rPr>
                <w:rFonts w:ascii="宋体" w:hAnsi="宋体" w:eastAsia="宋体" w:cs="宋体"/>
                <w:sz w:val="21"/>
                <w:szCs w:val="21"/>
              </w:rPr>
            </w:pPr>
            <w:r>
              <w:rPr>
                <w:rFonts w:ascii="宋体" w:hAnsi="宋体" w:eastAsia="宋体" w:cs="宋体"/>
                <w:spacing w:val="-8"/>
                <w:sz w:val="21"/>
                <w:szCs w:val="21"/>
              </w:rPr>
              <w:t>白领凤鹛</w:t>
            </w:r>
          </w:p>
        </w:tc>
        <w:tc>
          <w:tcPr>
            <w:tcW w:w="1693" w:type="dxa"/>
            <w:vAlign w:val="top"/>
          </w:tcPr>
          <w:p w14:paraId="5074A10F">
            <w:pPr>
              <w:pStyle w:val="6"/>
              <w:spacing w:before="216" w:line="233" w:lineRule="auto"/>
              <w:ind w:left="102"/>
            </w:pPr>
            <w:r>
              <w:rPr>
                <w:i/>
                <w:iCs/>
                <w:spacing w:val="-2"/>
              </w:rPr>
              <w:t>Yuhina diademata</w:t>
            </w:r>
          </w:p>
        </w:tc>
        <w:tc>
          <w:tcPr>
            <w:tcW w:w="845" w:type="dxa"/>
            <w:tcBorders>
              <w:right w:val="single" w:color="000000" w:sz="12" w:space="0"/>
            </w:tcBorders>
            <w:vAlign w:val="top"/>
          </w:tcPr>
          <w:p w14:paraId="5F4D40DA">
            <w:pPr>
              <w:rPr>
                <w:rFonts w:ascii="Arial"/>
                <w:sz w:val="21"/>
              </w:rPr>
            </w:pPr>
          </w:p>
        </w:tc>
      </w:tr>
      <w:tr w14:paraId="61B28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20B20D46">
            <w:pPr>
              <w:spacing w:before="218" w:line="223" w:lineRule="auto"/>
              <w:ind w:left="307"/>
              <w:rPr>
                <w:rFonts w:ascii="宋体" w:hAnsi="宋体" w:eastAsia="宋体" w:cs="宋体"/>
                <w:sz w:val="21"/>
                <w:szCs w:val="21"/>
              </w:rPr>
            </w:pPr>
            <w:r>
              <w:rPr>
                <w:rFonts w:ascii="宋体" w:hAnsi="宋体" w:eastAsia="宋体" w:cs="宋体"/>
                <w:spacing w:val="-2"/>
                <w:sz w:val="21"/>
                <w:szCs w:val="21"/>
              </w:rPr>
              <w:t>99</w:t>
            </w:r>
          </w:p>
        </w:tc>
        <w:tc>
          <w:tcPr>
            <w:tcW w:w="1270" w:type="dxa"/>
            <w:vAlign w:val="top"/>
          </w:tcPr>
          <w:p w14:paraId="65FBA63F">
            <w:pPr>
              <w:spacing w:before="185" w:line="220" w:lineRule="auto"/>
              <w:ind w:left="108"/>
              <w:rPr>
                <w:rFonts w:ascii="宋体" w:hAnsi="宋体" w:eastAsia="宋体" w:cs="宋体"/>
                <w:sz w:val="21"/>
                <w:szCs w:val="21"/>
              </w:rPr>
            </w:pPr>
            <w:r>
              <w:rPr>
                <w:rFonts w:ascii="宋体" w:hAnsi="宋体" w:eastAsia="宋体" w:cs="宋体"/>
                <w:spacing w:val="-3"/>
                <w:sz w:val="21"/>
                <w:szCs w:val="21"/>
              </w:rPr>
              <w:t>红胁绣眼鸟</w:t>
            </w:r>
          </w:p>
        </w:tc>
        <w:tc>
          <w:tcPr>
            <w:tcW w:w="1554" w:type="dxa"/>
            <w:vAlign w:val="top"/>
          </w:tcPr>
          <w:p w14:paraId="7117816D">
            <w:pPr>
              <w:pStyle w:val="6"/>
              <w:spacing w:before="97" w:line="190" w:lineRule="auto"/>
              <w:ind w:left="350"/>
            </w:pPr>
            <w:r>
              <w:rPr>
                <w:i/>
                <w:iCs/>
              </w:rPr>
              <w:t>Zosterops</w:t>
            </w:r>
          </w:p>
          <w:p w14:paraId="70631BA5">
            <w:pPr>
              <w:pStyle w:val="6"/>
              <w:spacing w:before="50" w:line="190" w:lineRule="auto"/>
              <w:ind w:left="148"/>
            </w:pPr>
            <w:r>
              <w:rPr>
                <w:i/>
                <w:iCs/>
                <w:spacing w:val="-1"/>
              </w:rPr>
              <w:t>erythropleurus</w:t>
            </w:r>
          </w:p>
        </w:tc>
        <w:tc>
          <w:tcPr>
            <w:tcW w:w="989" w:type="dxa"/>
            <w:vAlign w:val="top"/>
          </w:tcPr>
          <w:p w14:paraId="3ACA5852">
            <w:pPr>
              <w:rPr>
                <w:rFonts w:ascii="Arial"/>
                <w:sz w:val="21"/>
              </w:rPr>
            </w:pPr>
          </w:p>
        </w:tc>
        <w:tc>
          <w:tcPr>
            <w:tcW w:w="1272" w:type="dxa"/>
            <w:vAlign w:val="top"/>
          </w:tcPr>
          <w:p w14:paraId="0278C0C3">
            <w:pPr>
              <w:rPr>
                <w:rFonts w:ascii="Arial"/>
                <w:sz w:val="21"/>
              </w:rPr>
            </w:pPr>
          </w:p>
        </w:tc>
        <w:tc>
          <w:tcPr>
            <w:tcW w:w="1693" w:type="dxa"/>
            <w:vAlign w:val="top"/>
          </w:tcPr>
          <w:p w14:paraId="1E626484">
            <w:pPr>
              <w:rPr>
                <w:rFonts w:ascii="Arial"/>
                <w:sz w:val="21"/>
              </w:rPr>
            </w:pPr>
          </w:p>
        </w:tc>
        <w:tc>
          <w:tcPr>
            <w:tcW w:w="845" w:type="dxa"/>
            <w:tcBorders>
              <w:right w:val="single" w:color="000000" w:sz="12" w:space="0"/>
            </w:tcBorders>
            <w:vAlign w:val="top"/>
          </w:tcPr>
          <w:p w14:paraId="4FDA9F1D">
            <w:pPr>
              <w:rPr>
                <w:rFonts w:ascii="Arial"/>
                <w:sz w:val="21"/>
              </w:rPr>
            </w:pPr>
          </w:p>
        </w:tc>
      </w:tr>
      <w:tr w14:paraId="71738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CAB2FF9">
            <w:pPr>
              <w:spacing w:before="221" w:line="223" w:lineRule="auto"/>
              <w:ind w:left="270"/>
              <w:rPr>
                <w:rFonts w:ascii="宋体" w:hAnsi="宋体" w:eastAsia="宋体" w:cs="宋体"/>
                <w:sz w:val="21"/>
                <w:szCs w:val="21"/>
              </w:rPr>
            </w:pPr>
            <w:r>
              <w:rPr>
                <w:rFonts w:ascii="宋体" w:hAnsi="宋体" w:eastAsia="宋体" w:cs="宋体"/>
                <w:spacing w:val="-6"/>
                <w:sz w:val="21"/>
                <w:szCs w:val="21"/>
              </w:rPr>
              <w:t>100</w:t>
            </w:r>
          </w:p>
        </w:tc>
        <w:tc>
          <w:tcPr>
            <w:tcW w:w="1270" w:type="dxa"/>
            <w:vAlign w:val="top"/>
          </w:tcPr>
          <w:p w14:paraId="6473E95B">
            <w:pPr>
              <w:spacing w:before="187" w:line="220" w:lineRule="auto"/>
              <w:ind w:left="112"/>
              <w:rPr>
                <w:rFonts w:ascii="宋体" w:hAnsi="宋体" w:eastAsia="宋体" w:cs="宋体"/>
                <w:sz w:val="21"/>
                <w:szCs w:val="21"/>
              </w:rPr>
            </w:pPr>
            <w:r>
              <w:rPr>
                <w:rFonts w:ascii="宋体" w:hAnsi="宋体" w:eastAsia="宋体" w:cs="宋体"/>
                <w:spacing w:val="-3"/>
                <w:sz w:val="21"/>
                <w:szCs w:val="21"/>
              </w:rPr>
              <w:t>暗绿绣眼鸟</w:t>
            </w:r>
          </w:p>
        </w:tc>
        <w:tc>
          <w:tcPr>
            <w:tcW w:w="1554" w:type="dxa"/>
            <w:vAlign w:val="top"/>
          </w:tcPr>
          <w:p w14:paraId="25EDAD7E">
            <w:pPr>
              <w:pStyle w:val="6"/>
              <w:spacing w:before="100" w:line="190" w:lineRule="auto"/>
              <w:ind w:left="350"/>
            </w:pPr>
            <w:r>
              <w:rPr>
                <w:i/>
                <w:iCs/>
              </w:rPr>
              <w:t>Zosterops</w:t>
            </w:r>
          </w:p>
          <w:p w14:paraId="50F212EB">
            <w:pPr>
              <w:pStyle w:val="6"/>
              <w:spacing w:before="49" w:line="190" w:lineRule="auto"/>
              <w:ind w:left="322"/>
            </w:pPr>
            <w:r>
              <w:rPr>
                <w:i/>
                <w:iCs/>
                <w:spacing w:val="4"/>
              </w:rPr>
              <w:t>japonicus</w:t>
            </w:r>
          </w:p>
        </w:tc>
        <w:tc>
          <w:tcPr>
            <w:tcW w:w="989" w:type="dxa"/>
            <w:vAlign w:val="top"/>
          </w:tcPr>
          <w:p w14:paraId="7BB8F9DF">
            <w:pPr>
              <w:rPr>
                <w:rFonts w:ascii="Arial"/>
                <w:sz w:val="21"/>
              </w:rPr>
            </w:pPr>
          </w:p>
        </w:tc>
        <w:tc>
          <w:tcPr>
            <w:tcW w:w="1272" w:type="dxa"/>
            <w:vAlign w:val="top"/>
          </w:tcPr>
          <w:p w14:paraId="1E16D6E9">
            <w:pPr>
              <w:rPr>
                <w:rFonts w:ascii="Arial"/>
                <w:sz w:val="21"/>
              </w:rPr>
            </w:pPr>
          </w:p>
        </w:tc>
        <w:tc>
          <w:tcPr>
            <w:tcW w:w="1693" w:type="dxa"/>
            <w:vAlign w:val="top"/>
          </w:tcPr>
          <w:p w14:paraId="7EBDF274">
            <w:pPr>
              <w:rPr>
                <w:rFonts w:ascii="Arial"/>
                <w:sz w:val="21"/>
              </w:rPr>
            </w:pPr>
          </w:p>
        </w:tc>
        <w:tc>
          <w:tcPr>
            <w:tcW w:w="845" w:type="dxa"/>
            <w:tcBorders>
              <w:right w:val="single" w:color="000000" w:sz="12" w:space="0"/>
            </w:tcBorders>
            <w:vAlign w:val="top"/>
          </w:tcPr>
          <w:p w14:paraId="0E998267">
            <w:pPr>
              <w:rPr>
                <w:rFonts w:ascii="Arial"/>
                <w:sz w:val="21"/>
              </w:rPr>
            </w:pPr>
          </w:p>
        </w:tc>
      </w:tr>
      <w:tr w14:paraId="1D333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10E96A7">
            <w:pPr>
              <w:spacing w:before="221" w:line="223" w:lineRule="auto"/>
              <w:ind w:left="270"/>
              <w:rPr>
                <w:rFonts w:ascii="宋体" w:hAnsi="宋体" w:eastAsia="宋体" w:cs="宋体"/>
                <w:sz w:val="21"/>
                <w:szCs w:val="21"/>
              </w:rPr>
            </w:pPr>
            <w:r>
              <w:rPr>
                <w:rFonts w:ascii="宋体" w:hAnsi="宋体" w:eastAsia="宋体" w:cs="宋体"/>
                <w:spacing w:val="-6"/>
                <w:sz w:val="21"/>
                <w:szCs w:val="21"/>
              </w:rPr>
              <w:t>101</w:t>
            </w:r>
          </w:p>
        </w:tc>
        <w:tc>
          <w:tcPr>
            <w:tcW w:w="1270" w:type="dxa"/>
            <w:vAlign w:val="top"/>
          </w:tcPr>
          <w:p w14:paraId="55E9FB0F">
            <w:pPr>
              <w:spacing w:before="187" w:line="220" w:lineRule="auto"/>
              <w:ind w:left="104"/>
              <w:rPr>
                <w:rFonts w:ascii="宋体" w:hAnsi="宋体" w:eastAsia="宋体" w:cs="宋体"/>
                <w:sz w:val="21"/>
                <w:szCs w:val="21"/>
              </w:rPr>
            </w:pPr>
            <w:r>
              <w:rPr>
                <w:rFonts w:ascii="宋体" w:hAnsi="宋体" w:eastAsia="宋体" w:cs="宋体"/>
                <w:spacing w:val="-2"/>
                <w:sz w:val="21"/>
                <w:szCs w:val="21"/>
              </w:rPr>
              <w:t>灰腹绣眼鸟</w:t>
            </w:r>
          </w:p>
        </w:tc>
        <w:tc>
          <w:tcPr>
            <w:tcW w:w="1554" w:type="dxa"/>
            <w:vAlign w:val="top"/>
          </w:tcPr>
          <w:p w14:paraId="2F371EA7">
            <w:pPr>
              <w:pStyle w:val="6"/>
              <w:spacing w:before="101" w:line="190" w:lineRule="auto"/>
              <w:ind w:left="350"/>
            </w:pPr>
            <w:r>
              <w:rPr>
                <w:i/>
                <w:iCs/>
              </w:rPr>
              <w:t>Zosterops</w:t>
            </w:r>
          </w:p>
          <w:p w14:paraId="73EAE566">
            <w:pPr>
              <w:pStyle w:val="6"/>
              <w:spacing w:before="50" w:line="190" w:lineRule="auto"/>
              <w:ind w:left="229"/>
            </w:pPr>
            <w:r>
              <w:rPr>
                <w:i/>
                <w:iCs/>
                <w:spacing w:val="2"/>
              </w:rPr>
              <w:t>palpebrosus</w:t>
            </w:r>
          </w:p>
        </w:tc>
        <w:tc>
          <w:tcPr>
            <w:tcW w:w="989" w:type="dxa"/>
            <w:vAlign w:val="top"/>
          </w:tcPr>
          <w:p w14:paraId="460C7470">
            <w:pPr>
              <w:spacing w:before="221" w:line="223" w:lineRule="auto"/>
              <w:ind w:left="391"/>
              <w:rPr>
                <w:rFonts w:ascii="宋体" w:hAnsi="宋体" w:eastAsia="宋体" w:cs="宋体"/>
                <w:sz w:val="21"/>
                <w:szCs w:val="21"/>
              </w:rPr>
            </w:pPr>
            <w:r>
              <w:rPr>
                <w:rFonts w:ascii="宋体" w:hAnsi="宋体" w:eastAsia="宋体" w:cs="宋体"/>
                <w:spacing w:val="-3"/>
                <w:sz w:val="21"/>
                <w:szCs w:val="21"/>
              </w:rPr>
              <w:t>66</w:t>
            </w:r>
          </w:p>
        </w:tc>
        <w:tc>
          <w:tcPr>
            <w:tcW w:w="1272" w:type="dxa"/>
            <w:vAlign w:val="top"/>
          </w:tcPr>
          <w:p w14:paraId="03B2152F">
            <w:pPr>
              <w:spacing w:before="187" w:line="220" w:lineRule="auto"/>
              <w:ind w:left="117"/>
              <w:rPr>
                <w:rFonts w:ascii="宋体" w:hAnsi="宋体" w:eastAsia="宋体" w:cs="宋体"/>
                <w:sz w:val="21"/>
                <w:szCs w:val="21"/>
              </w:rPr>
            </w:pPr>
            <w:r>
              <w:rPr>
                <w:rFonts w:ascii="宋体" w:hAnsi="宋体" w:eastAsia="宋体" w:cs="宋体"/>
                <w:spacing w:val="-2"/>
                <w:sz w:val="21"/>
                <w:szCs w:val="21"/>
              </w:rPr>
              <w:t>灰腹绣眼鸟</w:t>
            </w:r>
          </w:p>
        </w:tc>
        <w:tc>
          <w:tcPr>
            <w:tcW w:w="1693" w:type="dxa"/>
            <w:vAlign w:val="top"/>
          </w:tcPr>
          <w:p w14:paraId="7596FA71">
            <w:pPr>
              <w:pStyle w:val="6"/>
              <w:spacing w:before="101" w:line="190" w:lineRule="auto"/>
              <w:ind w:left="435"/>
            </w:pPr>
            <w:r>
              <w:rPr>
                <w:i/>
                <w:iCs/>
              </w:rPr>
              <w:t>Zosterops</w:t>
            </w:r>
          </w:p>
          <w:p w14:paraId="5CB38EA1">
            <w:pPr>
              <w:pStyle w:val="6"/>
              <w:spacing w:before="50" w:line="190" w:lineRule="auto"/>
              <w:ind w:left="314"/>
            </w:pPr>
            <w:r>
              <w:rPr>
                <w:i/>
                <w:iCs/>
                <w:spacing w:val="2"/>
              </w:rPr>
              <w:t>palpebrosus</w:t>
            </w:r>
          </w:p>
        </w:tc>
        <w:tc>
          <w:tcPr>
            <w:tcW w:w="845" w:type="dxa"/>
            <w:tcBorders>
              <w:right w:val="single" w:color="000000" w:sz="12" w:space="0"/>
            </w:tcBorders>
            <w:vAlign w:val="top"/>
          </w:tcPr>
          <w:p w14:paraId="17783115">
            <w:pPr>
              <w:rPr>
                <w:rFonts w:ascii="Arial"/>
                <w:sz w:val="21"/>
              </w:rPr>
            </w:pPr>
          </w:p>
        </w:tc>
      </w:tr>
      <w:tr w14:paraId="0B336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850" w:type="dxa"/>
            <w:tcBorders>
              <w:left w:val="single" w:color="000000" w:sz="12" w:space="0"/>
            </w:tcBorders>
            <w:vAlign w:val="top"/>
          </w:tcPr>
          <w:p w14:paraId="567B6ED3">
            <w:pPr>
              <w:pStyle w:val="6"/>
              <w:spacing w:before="123" w:line="186" w:lineRule="auto"/>
              <w:ind w:left="238"/>
            </w:pPr>
            <w:r>
              <w:rPr>
                <w:b/>
                <w:bCs/>
                <w:spacing w:val="-2"/>
              </w:rPr>
              <w:t>F36</w:t>
            </w:r>
          </w:p>
        </w:tc>
        <w:tc>
          <w:tcPr>
            <w:tcW w:w="1270" w:type="dxa"/>
            <w:vAlign w:val="top"/>
          </w:tcPr>
          <w:p w14:paraId="64284F3D">
            <w:pPr>
              <w:spacing w:before="84" w:line="219" w:lineRule="auto"/>
              <w:ind w:left="312"/>
              <w:rPr>
                <w:rFonts w:ascii="宋体" w:hAnsi="宋体" w:eastAsia="宋体" w:cs="宋体"/>
                <w:sz w:val="21"/>
                <w:szCs w:val="21"/>
              </w:rPr>
            </w:pPr>
            <w:r>
              <w:rPr>
                <w:rFonts w:ascii="宋体" w:hAnsi="宋体" w:eastAsia="宋体" w:cs="宋体"/>
                <w:b/>
                <w:bCs/>
                <w:spacing w:val="-4"/>
                <w:sz w:val="21"/>
                <w:szCs w:val="21"/>
              </w:rPr>
              <w:t>林鹛科</w:t>
            </w:r>
          </w:p>
        </w:tc>
        <w:tc>
          <w:tcPr>
            <w:tcW w:w="1554" w:type="dxa"/>
            <w:vAlign w:val="top"/>
          </w:tcPr>
          <w:p w14:paraId="37B42ADC">
            <w:pPr>
              <w:pStyle w:val="6"/>
              <w:spacing w:before="122" w:line="187" w:lineRule="auto"/>
              <w:ind w:left="289"/>
            </w:pPr>
            <w:r>
              <w:rPr>
                <w:b/>
                <w:bCs/>
                <w:spacing w:val="-1"/>
              </w:rPr>
              <w:t>Timaliidae</w:t>
            </w:r>
          </w:p>
        </w:tc>
        <w:tc>
          <w:tcPr>
            <w:tcW w:w="989" w:type="dxa"/>
            <w:vAlign w:val="top"/>
          </w:tcPr>
          <w:p w14:paraId="6CED0BD3">
            <w:pPr>
              <w:pStyle w:val="6"/>
              <w:spacing w:before="123" w:line="186" w:lineRule="auto"/>
              <w:ind w:left="323"/>
            </w:pPr>
            <w:r>
              <w:rPr>
                <w:b/>
                <w:bCs/>
                <w:spacing w:val="-2"/>
              </w:rPr>
              <w:t>F32</w:t>
            </w:r>
          </w:p>
        </w:tc>
        <w:tc>
          <w:tcPr>
            <w:tcW w:w="1272" w:type="dxa"/>
            <w:vAlign w:val="top"/>
          </w:tcPr>
          <w:p w14:paraId="4ED80A78">
            <w:pPr>
              <w:spacing w:before="84" w:line="219" w:lineRule="auto"/>
              <w:ind w:left="325"/>
              <w:rPr>
                <w:rFonts w:ascii="宋体" w:hAnsi="宋体" w:eastAsia="宋体" w:cs="宋体"/>
                <w:sz w:val="21"/>
                <w:szCs w:val="21"/>
              </w:rPr>
            </w:pPr>
            <w:r>
              <w:rPr>
                <w:rFonts w:ascii="宋体" w:hAnsi="宋体" w:eastAsia="宋体" w:cs="宋体"/>
                <w:b/>
                <w:bCs/>
                <w:spacing w:val="-4"/>
                <w:sz w:val="21"/>
                <w:szCs w:val="21"/>
              </w:rPr>
              <w:t>林鹛科</w:t>
            </w:r>
          </w:p>
        </w:tc>
        <w:tc>
          <w:tcPr>
            <w:tcW w:w="1693" w:type="dxa"/>
            <w:vAlign w:val="top"/>
          </w:tcPr>
          <w:p w14:paraId="2F6409E7">
            <w:pPr>
              <w:pStyle w:val="6"/>
              <w:spacing w:before="122" w:line="187" w:lineRule="auto"/>
              <w:ind w:left="373"/>
            </w:pPr>
            <w:r>
              <w:rPr>
                <w:b/>
                <w:bCs/>
                <w:spacing w:val="-1"/>
              </w:rPr>
              <w:t>Timaliidae</w:t>
            </w:r>
          </w:p>
        </w:tc>
        <w:tc>
          <w:tcPr>
            <w:tcW w:w="845" w:type="dxa"/>
            <w:tcBorders>
              <w:right w:val="single" w:color="000000" w:sz="12" w:space="0"/>
            </w:tcBorders>
            <w:vAlign w:val="top"/>
          </w:tcPr>
          <w:p w14:paraId="416C796E">
            <w:pPr>
              <w:rPr>
                <w:rFonts w:ascii="Arial"/>
                <w:sz w:val="21"/>
              </w:rPr>
            </w:pPr>
          </w:p>
        </w:tc>
      </w:tr>
      <w:tr w14:paraId="26853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D11DACF">
            <w:pPr>
              <w:spacing w:before="223" w:line="223" w:lineRule="auto"/>
              <w:ind w:left="270"/>
              <w:rPr>
                <w:rFonts w:ascii="宋体" w:hAnsi="宋体" w:eastAsia="宋体" w:cs="宋体"/>
                <w:sz w:val="21"/>
                <w:szCs w:val="21"/>
              </w:rPr>
            </w:pPr>
            <w:r>
              <w:rPr>
                <w:rFonts w:ascii="宋体" w:hAnsi="宋体" w:eastAsia="宋体" w:cs="宋体"/>
                <w:spacing w:val="-6"/>
                <w:sz w:val="21"/>
                <w:szCs w:val="21"/>
              </w:rPr>
              <w:t>102</w:t>
            </w:r>
          </w:p>
        </w:tc>
        <w:tc>
          <w:tcPr>
            <w:tcW w:w="1270" w:type="dxa"/>
            <w:vAlign w:val="top"/>
          </w:tcPr>
          <w:p w14:paraId="5FF8A334">
            <w:pPr>
              <w:spacing w:before="189" w:line="220" w:lineRule="auto"/>
              <w:ind w:left="102"/>
              <w:rPr>
                <w:rFonts w:ascii="宋体" w:hAnsi="宋体" w:eastAsia="宋体" w:cs="宋体"/>
                <w:sz w:val="21"/>
                <w:szCs w:val="21"/>
              </w:rPr>
            </w:pPr>
            <w:r>
              <w:rPr>
                <w:rFonts w:ascii="宋体" w:hAnsi="宋体" w:eastAsia="宋体" w:cs="宋体"/>
                <w:spacing w:val="-2"/>
                <w:sz w:val="21"/>
                <w:szCs w:val="21"/>
              </w:rPr>
              <w:t>斑胸钩嘴鹛</w:t>
            </w:r>
          </w:p>
        </w:tc>
        <w:tc>
          <w:tcPr>
            <w:tcW w:w="1554" w:type="dxa"/>
            <w:vAlign w:val="top"/>
          </w:tcPr>
          <w:p w14:paraId="3E42758E">
            <w:pPr>
              <w:pStyle w:val="6"/>
              <w:spacing w:before="101" w:line="190" w:lineRule="auto"/>
              <w:ind w:left="167"/>
            </w:pPr>
            <w:r>
              <w:rPr>
                <w:i/>
                <w:iCs/>
              </w:rPr>
              <w:t>Pomatorhinus</w:t>
            </w:r>
          </w:p>
          <w:p w14:paraId="3FD3B1FA">
            <w:pPr>
              <w:pStyle w:val="6"/>
              <w:spacing w:before="51" w:line="190" w:lineRule="auto"/>
              <w:ind w:left="393"/>
            </w:pPr>
            <w:r>
              <w:rPr>
                <w:i/>
                <w:iCs/>
              </w:rPr>
              <w:t>gravivox</w:t>
            </w:r>
          </w:p>
        </w:tc>
        <w:tc>
          <w:tcPr>
            <w:tcW w:w="989" w:type="dxa"/>
            <w:vAlign w:val="top"/>
          </w:tcPr>
          <w:p w14:paraId="13488725">
            <w:pPr>
              <w:spacing w:before="223" w:line="223" w:lineRule="auto"/>
              <w:ind w:left="391"/>
              <w:rPr>
                <w:rFonts w:ascii="宋体" w:hAnsi="宋体" w:eastAsia="宋体" w:cs="宋体"/>
                <w:sz w:val="21"/>
                <w:szCs w:val="21"/>
              </w:rPr>
            </w:pPr>
            <w:r>
              <w:rPr>
                <w:rFonts w:ascii="宋体" w:hAnsi="宋体" w:eastAsia="宋体" w:cs="宋体"/>
                <w:spacing w:val="-3"/>
                <w:sz w:val="21"/>
                <w:szCs w:val="21"/>
              </w:rPr>
              <w:t>67</w:t>
            </w:r>
          </w:p>
        </w:tc>
        <w:tc>
          <w:tcPr>
            <w:tcW w:w="1272" w:type="dxa"/>
            <w:vAlign w:val="top"/>
          </w:tcPr>
          <w:p w14:paraId="2E6B736B">
            <w:pPr>
              <w:spacing w:before="189" w:line="220" w:lineRule="auto"/>
              <w:ind w:left="115"/>
              <w:rPr>
                <w:rFonts w:ascii="宋体" w:hAnsi="宋体" w:eastAsia="宋体" w:cs="宋体"/>
                <w:sz w:val="21"/>
                <w:szCs w:val="21"/>
              </w:rPr>
            </w:pPr>
            <w:r>
              <w:rPr>
                <w:rFonts w:ascii="宋体" w:hAnsi="宋体" w:eastAsia="宋体" w:cs="宋体"/>
                <w:spacing w:val="-2"/>
                <w:sz w:val="21"/>
                <w:szCs w:val="21"/>
              </w:rPr>
              <w:t>斑胸钩嘴鹛</w:t>
            </w:r>
          </w:p>
        </w:tc>
        <w:tc>
          <w:tcPr>
            <w:tcW w:w="1693" w:type="dxa"/>
            <w:vAlign w:val="top"/>
          </w:tcPr>
          <w:p w14:paraId="7F950E77">
            <w:pPr>
              <w:pStyle w:val="6"/>
              <w:spacing w:before="101" w:line="190" w:lineRule="auto"/>
              <w:ind w:left="251"/>
            </w:pPr>
            <w:r>
              <w:rPr>
                <w:i/>
                <w:iCs/>
              </w:rPr>
              <w:t>Pomatorhinus</w:t>
            </w:r>
          </w:p>
          <w:p w14:paraId="70118777">
            <w:pPr>
              <w:pStyle w:val="6"/>
              <w:spacing w:before="51" w:line="190" w:lineRule="auto"/>
              <w:ind w:left="478"/>
            </w:pPr>
            <w:r>
              <w:rPr>
                <w:i/>
                <w:iCs/>
              </w:rPr>
              <w:t>gravivox</w:t>
            </w:r>
          </w:p>
        </w:tc>
        <w:tc>
          <w:tcPr>
            <w:tcW w:w="845" w:type="dxa"/>
            <w:tcBorders>
              <w:right w:val="single" w:color="000000" w:sz="12" w:space="0"/>
            </w:tcBorders>
            <w:vAlign w:val="top"/>
          </w:tcPr>
          <w:p w14:paraId="6A073A3F">
            <w:pPr>
              <w:rPr>
                <w:rFonts w:ascii="Arial"/>
                <w:sz w:val="21"/>
              </w:rPr>
            </w:pPr>
          </w:p>
        </w:tc>
      </w:tr>
      <w:tr w14:paraId="3EFC6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4958585">
            <w:pPr>
              <w:rPr>
                <w:rFonts w:ascii="Arial"/>
                <w:sz w:val="21"/>
              </w:rPr>
            </w:pPr>
          </w:p>
        </w:tc>
        <w:tc>
          <w:tcPr>
            <w:tcW w:w="1270" w:type="dxa"/>
            <w:vAlign w:val="top"/>
          </w:tcPr>
          <w:p w14:paraId="377FAE88">
            <w:pPr>
              <w:rPr>
                <w:rFonts w:ascii="Arial"/>
                <w:sz w:val="21"/>
              </w:rPr>
            </w:pPr>
          </w:p>
        </w:tc>
        <w:tc>
          <w:tcPr>
            <w:tcW w:w="1554" w:type="dxa"/>
            <w:vAlign w:val="top"/>
          </w:tcPr>
          <w:p w14:paraId="3F2EEB8C">
            <w:pPr>
              <w:rPr>
                <w:rFonts w:ascii="Arial"/>
                <w:sz w:val="21"/>
              </w:rPr>
            </w:pPr>
          </w:p>
        </w:tc>
        <w:tc>
          <w:tcPr>
            <w:tcW w:w="989" w:type="dxa"/>
            <w:vAlign w:val="top"/>
          </w:tcPr>
          <w:p w14:paraId="299DB0D9">
            <w:pPr>
              <w:spacing w:before="225" w:line="223" w:lineRule="auto"/>
              <w:ind w:left="391"/>
              <w:rPr>
                <w:rFonts w:ascii="宋体" w:hAnsi="宋体" w:eastAsia="宋体" w:cs="宋体"/>
                <w:sz w:val="21"/>
                <w:szCs w:val="21"/>
              </w:rPr>
            </w:pPr>
            <w:r>
              <w:rPr>
                <w:rFonts w:ascii="宋体" w:hAnsi="宋体" w:eastAsia="宋体" w:cs="宋体"/>
                <w:spacing w:val="-3"/>
                <w:sz w:val="21"/>
                <w:szCs w:val="21"/>
              </w:rPr>
              <w:t>68</w:t>
            </w:r>
          </w:p>
        </w:tc>
        <w:tc>
          <w:tcPr>
            <w:tcW w:w="1272" w:type="dxa"/>
            <w:vAlign w:val="top"/>
          </w:tcPr>
          <w:p w14:paraId="12450857">
            <w:pPr>
              <w:spacing w:before="191" w:line="220" w:lineRule="auto"/>
              <w:ind w:left="115"/>
              <w:rPr>
                <w:rFonts w:ascii="宋体" w:hAnsi="宋体" w:eastAsia="宋体" w:cs="宋体"/>
                <w:sz w:val="21"/>
                <w:szCs w:val="21"/>
              </w:rPr>
            </w:pPr>
            <w:r>
              <w:rPr>
                <w:rFonts w:ascii="宋体" w:hAnsi="宋体" w:eastAsia="宋体" w:cs="宋体"/>
                <w:spacing w:val="-2"/>
                <w:sz w:val="21"/>
                <w:szCs w:val="21"/>
              </w:rPr>
              <w:t>棕颈钩嘴鹛</w:t>
            </w:r>
          </w:p>
        </w:tc>
        <w:tc>
          <w:tcPr>
            <w:tcW w:w="1693" w:type="dxa"/>
            <w:vAlign w:val="top"/>
          </w:tcPr>
          <w:p w14:paraId="03BA2D3F">
            <w:pPr>
              <w:pStyle w:val="6"/>
              <w:spacing w:before="104" w:line="190" w:lineRule="auto"/>
              <w:ind w:left="251"/>
            </w:pPr>
            <w:r>
              <w:rPr>
                <w:i/>
                <w:iCs/>
              </w:rPr>
              <w:t>Pomatorhinus</w:t>
            </w:r>
          </w:p>
          <w:p w14:paraId="4D5EBD5F">
            <w:pPr>
              <w:pStyle w:val="6"/>
              <w:spacing w:before="50" w:line="190" w:lineRule="auto"/>
              <w:ind w:left="476"/>
            </w:pPr>
            <w:r>
              <w:rPr>
                <w:i/>
                <w:iCs/>
                <w:spacing w:val="-1"/>
              </w:rPr>
              <w:t>ruficollis</w:t>
            </w:r>
          </w:p>
        </w:tc>
        <w:tc>
          <w:tcPr>
            <w:tcW w:w="845" w:type="dxa"/>
            <w:tcBorders>
              <w:right w:val="single" w:color="000000" w:sz="12" w:space="0"/>
            </w:tcBorders>
            <w:vAlign w:val="top"/>
          </w:tcPr>
          <w:p w14:paraId="709AC538">
            <w:pPr>
              <w:rPr>
                <w:rFonts w:ascii="Arial"/>
                <w:sz w:val="21"/>
              </w:rPr>
            </w:pPr>
          </w:p>
        </w:tc>
      </w:tr>
      <w:tr w14:paraId="730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2E4BAAE6">
            <w:pPr>
              <w:spacing w:before="225" w:line="223" w:lineRule="auto"/>
              <w:ind w:left="270"/>
              <w:rPr>
                <w:rFonts w:ascii="宋体" w:hAnsi="宋体" w:eastAsia="宋体" w:cs="宋体"/>
                <w:sz w:val="21"/>
                <w:szCs w:val="21"/>
              </w:rPr>
            </w:pPr>
            <w:r>
              <w:rPr>
                <w:rFonts w:ascii="宋体" w:hAnsi="宋体" w:eastAsia="宋体" w:cs="宋体"/>
                <w:spacing w:val="-6"/>
                <w:sz w:val="21"/>
                <w:szCs w:val="21"/>
              </w:rPr>
              <w:t>103</w:t>
            </w:r>
          </w:p>
        </w:tc>
        <w:tc>
          <w:tcPr>
            <w:tcW w:w="1270" w:type="dxa"/>
            <w:vAlign w:val="top"/>
          </w:tcPr>
          <w:p w14:paraId="60EFE57C">
            <w:pPr>
              <w:spacing w:before="191" w:line="220" w:lineRule="auto"/>
              <w:ind w:left="212"/>
              <w:rPr>
                <w:rFonts w:ascii="宋体" w:hAnsi="宋体" w:eastAsia="宋体" w:cs="宋体"/>
                <w:sz w:val="21"/>
                <w:szCs w:val="21"/>
              </w:rPr>
            </w:pPr>
            <w:r>
              <w:rPr>
                <w:rFonts w:ascii="宋体" w:hAnsi="宋体" w:eastAsia="宋体" w:cs="宋体"/>
                <w:spacing w:val="-3"/>
                <w:sz w:val="21"/>
                <w:szCs w:val="21"/>
              </w:rPr>
              <w:t>红头穗鹛</w:t>
            </w:r>
          </w:p>
        </w:tc>
        <w:tc>
          <w:tcPr>
            <w:tcW w:w="1554" w:type="dxa"/>
            <w:vAlign w:val="top"/>
          </w:tcPr>
          <w:p w14:paraId="419D42E0">
            <w:pPr>
              <w:pStyle w:val="6"/>
              <w:spacing w:before="105" w:line="190" w:lineRule="auto"/>
              <w:ind w:left="236"/>
            </w:pPr>
            <w:r>
              <w:rPr>
                <w:i/>
                <w:iCs/>
                <w:spacing w:val="-2"/>
              </w:rPr>
              <w:t>Cyanoderma</w:t>
            </w:r>
          </w:p>
          <w:p w14:paraId="33E2BB20">
            <w:pPr>
              <w:pStyle w:val="6"/>
              <w:spacing w:before="50" w:line="190" w:lineRule="auto"/>
              <w:ind w:left="432"/>
            </w:pPr>
            <w:r>
              <w:rPr>
                <w:i/>
                <w:iCs/>
                <w:spacing w:val="-1"/>
              </w:rPr>
              <w:t>ruficeps</w:t>
            </w:r>
          </w:p>
        </w:tc>
        <w:tc>
          <w:tcPr>
            <w:tcW w:w="989" w:type="dxa"/>
            <w:vAlign w:val="top"/>
          </w:tcPr>
          <w:p w14:paraId="0C721768">
            <w:pPr>
              <w:spacing w:before="225" w:line="223" w:lineRule="auto"/>
              <w:ind w:left="391"/>
              <w:rPr>
                <w:rFonts w:ascii="宋体" w:hAnsi="宋体" w:eastAsia="宋体" w:cs="宋体"/>
                <w:sz w:val="21"/>
                <w:szCs w:val="21"/>
              </w:rPr>
            </w:pPr>
            <w:r>
              <w:rPr>
                <w:rFonts w:ascii="宋体" w:hAnsi="宋体" w:eastAsia="宋体" w:cs="宋体"/>
                <w:spacing w:val="-3"/>
                <w:sz w:val="21"/>
                <w:szCs w:val="21"/>
              </w:rPr>
              <w:t>69</w:t>
            </w:r>
          </w:p>
        </w:tc>
        <w:tc>
          <w:tcPr>
            <w:tcW w:w="1272" w:type="dxa"/>
            <w:vAlign w:val="top"/>
          </w:tcPr>
          <w:p w14:paraId="3642CEC6">
            <w:pPr>
              <w:spacing w:before="191" w:line="220" w:lineRule="auto"/>
              <w:ind w:left="226"/>
              <w:rPr>
                <w:rFonts w:ascii="宋体" w:hAnsi="宋体" w:eastAsia="宋体" w:cs="宋体"/>
                <w:sz w:val="21"/>
                <w:szCs w:val="21"/>
              </w:rPr>
            </w:pPr>
            <w:r>
              <w:rPr>
                <w:rFonts w:ascii="宋体" w:hAnsi="宋体" w:eastAsia="宋体" w:cs="宋体"/>
                <w:spacing w:val="-3"/>
                <w:sz w:val="21"/>
                <w:szCs w:val="21"/>
              </w:rPr>
              <w:t>红头穗鹛</w:t>
            </w:r>
          </w:p>
        </w:tc>
        <w:tc>
          <w:tcPr>
            <w:tcW w:w="1693" w:type="dxa"/>
            <w:vAlign w:val="top"/>
          </w:tcPr>
          <w:p w14:paraId="48EEEB72">
            <w:pPr>
              <w:pStyle w:val="6"/>
              <w:spacing w:before="105" w:line="190" w:lineRule="auto"/>
              <w:ind w:left="321"/>
            </w:pPr>
            <w:r>
              <w:rPr>
                <w:i/>
                <w:iCs/>
                <w:spacing w:val="-2"/>
              </w:rPr>
              <w:t>Cyanoderma</w:t>
            </w:r>
          </w:p>
          <w:p w14:paraId="6F1D5216">
            <w:pPr>
              <w:pStyle w:val="6"/>
              <w:spacing w:before="50" w:line="190" w:lineRule="auto"/>
              <w:ind w:left="517"/>
            </w:pPr>
            <w:r>
              <w:rPr>
                <w:i/>
                <w:iCs/>
                <w:spacing w:val="-1"/>
              </w:rPr>
              <w:t>ruficeps</w:t>
            </w:r>
          </w:p>
        </w:tc>
        <w:tc>
          <w:tcPr>
            <w:tcW w:w="845" w:type="dxa"/>
            <w:tcBorders>
              <w:right w:val="single" w:color="000000" w:sz="12" w:space="0"/>
            </w:tcBorders>
            <w:vAlign w:val="top"/>
          </w:tcPr>
          <w:p w14:paraId="1A4292E4">
            <w:pPr>
              <w:rPr>
                <w:rFonts w:ascii="Arial"/>
                <w:sz w:val="21"/>
              </w:rPr>
            </w:pPr>
          </w:p>
        </w:tc>
      </w:tr>
      <w:tr w14:paraId="3BF9F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850" w:type="dxa"/>
            <w:tcBorders>
              <w:left w:val="single" w:color="000000" w:sz="12" w:space="0"/>
            </w:tcBorders>
            <w:vAlign w:val="top"/>
          </w:tcPr>
          <w:p w14:paraId="0E5F1065">
            <w:pPr>
              <w:pStyle w:val="6"/>
              <w:spacing w:before="127" w:line="186" w:lineRule="auto"/>
              <w:ind w:left="238"/>
            </w:pPr>
            <w:r>
              <w:rPr>
                <w:b/>
                <w:bCs/>
                <w:spacing w:val="-2"/>
              </w:rPr>
              <w:t>F37</w:t>
            </w:r>
          </w:p>
        </w:tc>
        <w:tc>
          <w:tcPr>
            <w:tcW w:w="1270" w:type="dxa"/>
            <w:vAlign w:val="top"/>
          </w:tcPr>
          <w:p w14:paraId="7D5E25F4">
            <w:pPr>
              <w:spacing w:before="88" w:line="219" w:lineRule="auto"/>
              <w:ind w:left="319"/>
              <w:rPr>
                <w:rFonts w:ascii="宋体" w:hAnsi="宋体" w:eastAsia="宋体" w:cs="宋体"/>
                <w:sz w:val="21"/>
                <w:szCs w:val="21"/>
              </w:rPr>
            </w:pPr>
            <w:r>
              <w:rPr>
                <w:rFonts w:ascii="宋体" w:hAnsi="宋体" w:eastAsia="宋体" w:cs="宋体"/>
                <w:b/>
                <w:bCs/>
                <w:spacing w:val="-6"/>
                <w:sz w:val="21"/>
                <w:szCs w:val="21"/>
              </w:rPr>
              <w:t>幽鹛科</w:t>
            </w:r>
          </w:p>
        </w:tc>
        <w:tc>
          <w:tcPr>
            <w:tcW w:w="1554" w:type="dxa"/>
            <w:vAlign w:val="top"/>
          </w:tcPr>
          <w:p w14:paraId="1470B727">
            <w:pPr>
              <w:pStyle w:val="6"/>
              <w:spacing w:before="127" w:line="186" w:lineRule="auto"/>
              <w:ind w:left="211"/>
            </w:pPr>
            <w:r>
              <w:rPr>
                <w:b/>
                <w:bCs/>
                <w:spacing w:val="-1"/>
              </w:rPr>
              <w:t>Pellorneidae</w:t>
            </w:r>
          </w:p>
        </w:tc>
        <w:tc>
          <w:tcPr>
            <w:tcW w:w="989" w:type="dxa"/>
            <w:vAlign w:val="top"/>
          </w:tcPr>
          <w:p w14:paraId="07F5FFDD">
            <w:pPr>
              <w:pStyle w:val="6"/>
              <w:spacing w:before="127" w:line="186" w:lineRule="auto"/>
              <w:ind w:left="323"/>
            </w:pPr>
            <w:r>
              <w:rPr>
                <w:b/>
                <w:bCs/>
                <w:spacing w:val="-2"/>
              </w:rPr>
              <w:t>F33</w:t>
            </w:r>
          </w:p>
        </w:tc>
        <w:tc>
          <w:tcPr>
            <w:tcW w:w="1272" w:type="dxa"/>
            <w:vAlign w:val="top"/>
          </w:tcPr>
          <w:p w14:paraId="3C552EA8">
            <w:pPr>
              <w:spacing w:before="88" w:line="219" w:lineRule="auto"/>
              <w:ind w:left="332"/>
              <w:rPr>
                <w:rFonts w:ascii="宋体" w:hAnsi="宋体" w:eastAsia="宋体" w:cs="宋体"/>
                <w:sz w:val="21"/>
                <w:szCs w:val="21"/>
              </w:rPr>
            </w:pPr>
            <w:r>
              <w:rPr>
                <w:rFonts w:ascii="宋体" w:hAnsi="宋体" w:eastAsia="宋体" w:cs="宋体"/>
                <w:b/>
                <w:bCs/>
                <w:spacing w:val="-6"/>
                <w:sz w:val="21"/>
                <w:szCs w:val="21"/>
              </w:rPr>
              <w:t>幽鹛科</w:t>
            </w:r>
          </w:p>
        </w:tc>
        <w:tc>
          <w:tcPr>
            <w:tcW w:w="1693" w:type="dxa"/>
            <w:vAlign w:val="top"/>
          </w:tcPr>
          <w:p w14:paraId="2F7BFA4A">
            <w:pPr>
              <w:pStyle w:val="6"/>
              <w:spacing w:before="127" w:line="186" w:lineRule="auto"/>
              <w:ind w:left="295"/>
            </w:pPr>
            <w:r>
              <w:rPr>
                <w:b/>
                <w:bCs/>
                <w:spacing w:val="-1"/>
              </w:rPr>
              <w:t>Pellorneidae</w:t>
            </w:r>
          </w:p>
        </w:tc>
        <w:tc>
          <w:tcPr>
            <w:tcW w:w="845" w:type="dxa"/>
            <w:tcBorders>
              <w:right w:val="single" w:color="000000" w:sz="12" w:space="0"/>
            </w:tcBorders>
            <w:vAlign w:val="top"/>
          </w:tcPr>
          <w:p w14:paraId="705DA1BC">
            <w:pPr>
              <w:rPr>
                <w:rFonts w:ascii="Arial"/>
                <w:sz w:val="21"/>
              </w:rPr>
            </w:pPr>
          </w:p>
        </w:tc>
      </w:tr>
      <w:tr w14:paraId="23116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E80679A">
            <w:pPr>
              <w:spacing w:before="227" w:line="223" w:lineRule="auto"/>
              <w:ind w:left="270"/>
              <w:rPr>
                <w:rFonts w:ascii="宋体" w:hAnsi="宋体" w:eastAsia="宋体" w:cs="宋体"/>
                <w:sz w:val="21"/>
                <w:szCs w:val="21"/>
              </w:rPr>
            </w:pPr>
            <w:r>
              <w:rPr>
                <w:rFonts w:ascii="宋体" w:hAnsi="宋体" w:eastAsia="宋体" w:cs="宋体"/>
                <w:spacing w:val="-6"/>
                <w:sz w:val="21"/>
                <w:szCs w:val="21"/>
              </w:rPr>
              <w:t>104</w:t>
            </w:r>
          </w:p>
        </w:tc>
        <w:tc>
          <w:tcPr>
            <w:tcW w:w="1270" w:type="dxa"/>
            <w:vAlign w:val="top"/>
          </w:tcPr>
          <w:p w14:paraId="63E2340B">
            <w:pPr>
              <w:spacing w:before="193" w:line="220" w:lineRule="auto"/>
              <w:ind w:left="207"/>
              <w:rPr>
                <w:rFonts w:ascii="宋体" w:hAnsi="宋体" w:eastAsia="宋体" w:cs="宋体"/>
                <w:sz w:val="21"/>
                <w:szCs w:val="21"/>
              </w:rPr>
            </w:pPr>
            <w:r>
              <w:rPr>
                <w:rFonts w:ascii="宋体" w:hAnsi="宋体" w:eastAsia="宋体" w:cs="宋体"/>
                <w:spacing w:val="-2"/>
                <w:sz w:val="21"/>
                <w:szCs w:val="21"/>
              </w:rPr>
              <w:t>褐胁雀鹛</w:t>
            </w:r>
          </w:p>
        </w:tc>
        <w:tc>
          <w:tcPr>
            <w:tcW w:w="1554" w:type="dxa"/>
            <w:vAlign w:val="top"/>
          </w:tcPr>
          <w:p w14:paraId="63EB21AB">
            <w:pPr>
              <w:pStyle w:val="6"/>
              <w:spacing w:before="106" w:line="190" w:lineRule="auto"/>
              <w:ind w:left="195"/>
            </w:pPr>
            <w:r>
              <w:rPr>
                <w:i/>
                <w:iCs/>
                <w:spacing w:val="-1"/>
              </w:rPr>
              <w:t>Schoeniparus</w:t>
            </w:r>
          </w:p>
          <w:p w14:paraId="12C4BE51">
            <w:pPr>
              <w:pStyle w:val="6"/>
              <w:spacing w:before="50" w:line="206" w:lineRule="auto"/>
              <w:ind w:left="530"/>
            </w:pPr>
            <w:r>
              <w:rPr>
                <w:i/>
                <w:iCs/>
                <w:spacing w:val="-1"/>
              </w:rPr>
              <w:t>dubia</w:t>
            </w:r>
          </w:p>
        </w:tc>
        <w:tc>
          <w:tcPr>
            <w:tcW w:w="989" w:type="dxa"/>
            <w:vAlign w:val="top"/>
          </w:tcPr>
          <w:p w14:paraId="7150AAF2">
            <w:pPr>
              <w:spacing w:before="227" w:line="223" w:lineRule="auto"/>
              <w:ind w:left="390"/>
              <w:rPr>
                <w:rFonts w:ascii="宋体" w:hAnsi="宋体" w:eastAsia="宋体" w:cs="宋体"/>
                <w:sz w:val="21"/>
                <w:szCs w:val="21"/>
              </w:rPr>
            </w:pPr>
            <w:r>
              <w:rPr>
                <w:rFonts w:ascii="宋体" w:hAnsi="宋体" w:eastAsia="宋体" w:cs="宋体"/>
                <w:spacing w:val="-2"/>
                <w:sz w:val="21"/>
                <w:szCs w:val="21"/>
              </w:rPr>
              <w:t>70</w:t>
            </w:r>
          </w:p>
        </w:tc>
        <w:tc>
          <w:tcPr>
            <w:tcW w:w="1272" w:type="dxa"/>
            <w:vAlign w:val="top"/>
          </w:tcPr>
          <w:p w14:paraId="471D9B10">
            <w:pPr>
              <w:spacing w:before="193" w:line="220" w:lineRule="auto"/>
              <w:ind w:left="221"/>
              <w:rPr>
                <w:rFonts w:ascii="宋体" w:hAnsi="宋体" w:eastAsia="宋体" w:cs="宋体"/>
                <w:sz w:val="21"/>
                <w:szCs w:val="21"/>
              </w:rPr>
            </w:pPr>
            <w:r>
              <w:rPr>
                <w:rFonts w:ascii="宋体" w:hAnsi="宋体" w:eastAsia="宋体" w:cs="宋体"/>
                <w:spacing w:val="-2"/>
                <w:sz w:val="21"/>
                <w:szCs w:val="21"/>
              </w:rPr>
              <w:t>褐胁雀鹛</w:t>
            </w:r>
          </w:p>
        </w:tc>
        <w:tc>
          <w:tcPr>
            <w:tcW w:w="1693" w:type="dxa"/>
            <w:vAlign w:val="top"/>
          </w:tcPr>
          <w:p w14:paraId="3CAB9DBD">
            <w:pPr>
              <w:pStyle w:val="6"/>
              <w:spacing w:before="106" w:line="190" w:lineRule="auto"/>
              <w:ind w:left="279"/>
            </w:pPr>
            <w:r>
              <w:rPr>
                <w:i/>
                <w:iCs/>
                <w:spacing w:val="-1"/>
              </w:rPr>
              <w:t>Schoeniparus</w:t>
            </w:r>
          </w:p>
          <w:p w14:paraId="58077D04">
            <w:pPr>
              <w:pStyle w:val="6"/>
              <w:spacing w:before="50" w:line="206" w:lineRule="auto"/>
              <w:ind w:left="614"/>
            </w:pPr>
            <w:r>
              <w:rPr>
                <w:i/>
                <w:iCs/>
                <w:spacing w:val="-1"/>
              </w:rPr>
              <w:t>dubia</w:t>
            </w:r>
          </w:p>
        </w:tc>
        <w:tc>
          <w:tcPr>
            <w:tcW w:w="845" w:type="dxa"/>
            <w:tcBorders>
              <w:right w:val="single" w:color="000000" w:sz="12" w:space="0"/>
            </w:tcBorders>
            <w:vAlign w:val="top"/>
          </w:tcPr>
          <w:p w14:paraId="13046248">
            <w:pPr>
              <w:rPr>
                <w:rFonts w:ascii="Arial"/>
                <w:sz w:val="21"/>
              </w:rPr>
            </w:pPr>
          </w:p>
        </w:tc>
      </w:tr>
      <w:tr w14:paraId="61021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BBE02F9">
            <w:pPr>
              <w:spacing w:before="229" w:line="223" w:lineRule="auto"/>
              <w:ind w:left="270"/>
              <w:rPr>
                <w:rFonts w:ascii="宋体" w:hAnsi="宋体" w:eastAsia="宋体" w:cs="宋体"/>
                <w:sz w:val="21"/>
                <w:szCs w:val="21"/>
              </w:rPr>
            </w:pPr>
            <w:r>
              <w:rPr>
                <w:rFonts w:ascii="宋体" w:hAnsi="宋体" w:eastAsia="宋体" w:cs="宋体"/>
                <w:spacing w:val="-6"/>
                <w:sz w:val="21"/>
                <w:szCs w:val="21"/>
              </w:rPr>
              <w:t>105</w:t>
            </w:r>
          </w:p>
        </w:tc>
        <w:tc>
          <w:tcPr>
            <w:tcW w:w="1270" w:type="dxa"/>
            <w:vAlign w:val="top"/>
          </w:tcPr>
          <w:p w14:paraId="1B737A39">
            <w:pPr>
              <w:spacing w:before="195" w:line="220" w:lineRule="auto"/>
              <w:ind w:left="209"/>
              <w:rPr>
                <w:rFonts w:ascii="宋体" w:hAnsi="宋体" w:eastAsia="宋体" w:cs="宋体"/>
                <w:sz w:val="21"/>
                <w:szCs w:val="21"/>
              </w:rPr>
            </w:pPr>
            <w:r>
              <w:rPr>
                <w:rFonts w:ascii="宋体" w:hAnsi="宋体" w:eastAsia="宋体" w:cs="宋体"/>
                <w:spacing w:val="-2"/>
                <w:sz w:val="21"/>
                <w:szCs w:val="21"/>
              </w:rPr>
              <w:t>灰眶雀鹛</w:t>
            </w:r>
          </w:p>
        </w:tc>
        <w:tc>
          <w:tcPr>
            <w:tcW w:w="1554" w:type="dxa"/>
            <w:vAlign w:val="top"/>
          </w:tcPr>
          <w:p w14:paraId="4CC69826">
            <w:pPr>
              <w:pStyle w:val="6"/>
              <w:spacing w:before="109" w:line="190" w:lineRule="auto"/>
              <w:ind w:left="434"/>
            </w:pPr>
            <w:r>
              <w:rPr>
                <w:i/>
                <w:iCs/>
                <w:spacing w:val="1"/>
              </w:rPr>
              <w:t>Alcippe</w:t>
            </w:r>
          </w:p>
          <w:p w14:paraId="54B206F1">
            <w:pPr>
              <w:pStyle w:val="6"/>
              <w:spacing w:before="49" w:line="206" w:lineRule="auto"/>
              <w:ind w:left="303"/>
            </w:pPr>
            <w:r>
              <w:rPr>
                <w:i/>
                <w:iCs/>
                <w:spacing w:val="-1"/>
              </w:rPr>
              <w:t>morrisonia</w:t>
            </w:r>
          </w:p>
        </w:tc>
        <w:tc>
          <w:tcPr>
            <w:tcW w:w="989" w:type="dxa"/>
            <w:vAlign w:val="top"/>
          </w:tcPr>
          <w:p w14:paraId="48921233">
            <w:pPr>
              <w:spacing w:before="229" w:line="223" w:lineRule="auto"/>
              <w:ind w:left="390"/>
              <w:rPr>
                <w:rFonts w:ascii="宋体" w:hAnsi="宋体" w:eastAsia="宋体" w:cs="宋体"/>
                <w:sz w:val="21"/>
                <w:szCs w:val="21"/>
              </w:rPr>
            </w:pPr>
            <w:r>
              <w:rPr>
                <w:rFonts w:ascii="宋体" w:hAnsi="宋体" w:eastAsia="宋体" w:cs="宋体"/>
                <w:spacing w:val="-2"/>
                <w:sz w:val="21"/>
                <w:szCs w:val="21"/>
              </w:rPr>
              <w:t>71</w:t>
            </w:r>
          </w:p>
        </w:tc>
        <w:tc>
          <w:tcPr>
            <w:tcW w:w="1272" w:type="dxa"/>
            <w:vAlign w:val="top"/>
          </w:tcPr>
          <w:p w14:paraId="3DF07702">
            <w:pPr>
              <w:spacing w:before="195" w:line="220" w:lineRule="auto"/>
              <w:ind w:left="223"/>
              <w:rPr>
                <w:rFonts w:ascii="宋体" w:hAnsi="宋体" w:eastAsia="宋体" w:cs="宋体"/>
                <w:sz w:val="21"/>
                <w:szCs w:val="21"/>
              </w:rPr>
            </w:pPr>
            <w:r>
              <w:rPr>
                <w:rFonts w:ascii="宋体" w:hAnsi="宋体" w:eastAsia="宋体" w:cs="宋体"/>
                <w:spacing w:val="-2"/>
                <w:sz w:val="21"/>
                <w:szCs w:val="21"/>
              </w:rPr>
              <w:t>灰眶雀鹛</w:t>
            </w:r>
          </w:p>
        </w:tc>
        <w:tc>
          <w:tcPr>
            <w:tcW w:w="1693" w:type="dxa"/>
            <w:vAlign w:val="top"/>
          </w:tcPr>
          <w:p w14:paraId="3946CDD4">
            <w:pPr>
              <w:pStyle w:val="6"/>
              <w:spacing w:before="109" w:line="190" w:lineRule="auto"/>
              <w:ind w:left="519"/>
            </w:pPr>
            <w:r>
              <w:rPr>
                <w:i/>
                <w:iCs/>
                <w:spacing w:val="1"/>
              </w:rPr>
              <w:t>Alcippe</w:t>
            </w:r>
          </w:p>
          <w:p w14:paraId="1E3C9923">
            <w:pPr>
              <w:pStyle w:val="6"/>
              <w:spacing w:before="49" w:line="206" w:lineRule="auto"/>
              <w:ind w:left="387"/>
            </w:pPr>
            <w:r>
              <w:rPr>
                <w:i/>
                <w:iCs/>
                <w:spacing w:val="-1"/>
              </w:rPr>
              <w:t>morrisonia</w:t>
            </w:r>
          </w:p>
        </w:tc>
        <w:tc>
          <w:tcPr>
            <w:tcW w:w="845" w:type="dxa"/>
            <w:tcBorders>
              <w:right w:val="single" w:color="000000" w:sz="12" w:space="0"/>
            </w:tcBorders>
            <w:vAlign w:val="top"/>
          </w:tcPr>
          <w:p w14:paraId="45001AA3">
            <w:pPr>
              <w:rPr>
                <w:rFonts w:ascii="Arial"/>
                <w:sz w:val="21"/>
              </w:rPr>
            </w:pPr>
          </w:p>
        </w:tc>
      </w:tr>
      <w:tr w14:paraId="09068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7D3D9F73">
            <w:pPr>
              <w:pStyle w:val="6"/>
              <w:spacing w:before="130" w:line="186" w:lineRule="auto"/>
              <w:ind w:left="238"/>
            </w:pPr>
            <w:r>
              <w:rPr>
                <w:b/>
                <w:bCs/>
                <w:spacing w:val="-2"/>
              </w:rPr>
              <w:t>F38</w:t>
            </w:r>
          </w:p>
        </w:tc>
        <w:tc>
          <w:tcPr>
            <w:tcW w:w="1270" w:type="dxa"/>
            <w:vAlign w:val="top"/>
          </w:tcPr>
          <w:p w14:paraId="2945CF8C">
            <w:pPr>
              <w:spacing w:before="91" w:line="219" w:lineRule="auto"/>
              <w:ind w:left="321"/>
              <w:rPr>
                <w:rFonts w:ascii="宋体" w:hAnsi="宋体" w:eastAsia="宋体" w:cs="宋体"/>
                <w:sz w:val="21"/>
                <w:szCs w:val="21"/>
              </w:rPr>
            </w:pPr>
            <w:r>
              <w:rPr>
                <w:rFonts w:ascii="宋体" w:hAnsi="宋体" w:eastAsia="宋体" w:cs="宋体"/>
                <w:b/>
                <w:bCs/>
                <w:spacing w:val="-6"/>
                <w:sz w:val="21"/>
                <w:szCs w:val="21"/>
              </w:rPr>
              <w:t>噪鹛科</w:t>
            </w:r>
          </w:p>
        </w:tc>
        <w:tc>
          <w:tcPr>
            <w:tcW w:w="1554" w:type="dxa"/>
            <w:vAlign w:val="top"/>
          </w:tcPr>
          <w:p w14:paraId="5711AFB0">
            <w:pPr>
              <w:pStyle w:val="6"/>
              <w:spacing w:before="130" w:line="186" w:lineRule="auto"/>
              <w:ind w:left="110"/>
            </w:pPr>
            <w:r>
              <w:rPr>
                <w:b/>
                <w:bCs/>
                <w:spacing w:val="-1"/>
              </w:rPr>
              <w:t>Leiothrichidae</w:t>
            </w:r>
          </w:p>
        </w:tc>
        <w:tc>
          <w:tcPr>
            <w:tcW w:w="989" w:type="dxa"/>
            <w:vAlign w:val="top"/>
          </w:tcPr>
          <w:p w14:paraId="34C7A716">
            <w:pPr>
              <w:pStyle w:val="6"/>
              <w:spacing w:before="130" w:line="186" w:lineRule="auto"/>
              <w:ind w:left="323"/>
            </w:pPr>
            <w:r>
              <w:rPr>
                <w:b/>
                <w:bCs/>
                <w:spacing w:val="-2"/>
              </w:rPr>
              <w:t>F34</w:t>
            </w:r>
          </w:p>
        </w:tc>
        <w:tc>
          <w:tcPr>
            <w:tcW w:w="1272" w:type="dxa"/>
            <w:vAlign w:val="top"/>
          </w:tcPr>
          <w:p w14:paraId="33F51917">
            <w:pPr>
              <w:spacing w:before="91" w:line="219" w:lineRule="auto"/>
              <w:ind w:left="334"/>
              <w:rPr>
                <w:rFonts w:ascii="宋体" w:hAnsi="宋体" w:eastAsia="宋体" w:cs="宋体"/>
                <w:sz w:val="21"/>
                <w:szCs w:val="21"/>
              </w:rPr>
            </w:pPr>
            <w:r>
              <w:rPr>
                <w:rFonts w:ascii="宋体" w:hAnsi="宋体" w:eastAsia="宋体" w:cs="宋体"/>
                <w:b/>
                <w:bCs/>
                <w:spacing w:val="-6"/>
                <w:sz w:val="21"/>
                <w:szCs w:val="21"/>
              </w:rPr>
              <w:t>噪鹛科</w:t>
            </w:r>
          </w:p>
        </w:tc>
        <w:tc>
          <w:tcPr>
            <w:tcW w:w="1693" w:type="dxa"/>
            <w:vAlign w:val="top"/>
          </w:tcPr>
          <w:p w14:paraId="4AE8C650">
            <w:pPr>
              <w:pStyle w:val="6"/>
              <w:spacing w:before="130" w:line="186" w:lineRule="auto"/>
              <w:ind w:left="194"/>
            </w:pPr>
            <w:r>
              <w:rPr>
                <w:b/>
                <w:bCs/>
                <w:spacing w:val="-1"/>
              </w:rPr>
              <w:t>Leiothrichidae</w:t>
            </w:r>
          </w:p>
        </w:tc>
        <w:tc>
          <w:tcPr>
            <w:tcW w:w="845" w:type="dxa"/>
            <w:tcBorders>
              <w:right w:val="single" w:color="000000" w:sz="12" w:space="0"/>
            </w:tcBorders>
            <w:vAlign w:val="top"/>
          </w:tcPr>
          <w:p w14:paraId="278D8DAF">
            <w:pPr>
              <w:rPr>
                <w:rFonts w:ascii="Arial"/>
                <w:sz w:val="21"/>
              </w:rPr>
            </w:pPr>
          </w:p>
        </w:tc>
      </w:tr>
      <w:tr w14:paraId="43D3F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8B3712B">
            <w:pPr>
              <w:spacing w:before="231" w:line="223" w:lineRule="auto"/>
              <w:ind w:left="270"/>
              <w:rPr>
                <w:rFonts w:ascii="宋体" w:hAnsi="宋体" w:eastAsia="宋体" w:cs="宋体"/>
                <w:sz w:val="21"/>
                <w:szCs w:val="21"/>
              </w:rPr>
            </w:pPr>
            <w:r>
              <w:rPr>
                <w:rFonts w:ascii="宋体" w:hAnsi="宋体" w:eastAsia="宋体" w:cs="宋体"/>
                <w:spacing w:val="-6"/>
                <w:sz w:val="21"/>
                <w:szCs w:val="21"/>
              </w:rPr>
              <w:t>106</w:t>
            </w:r>
          </w:p>
        </w:tc>
        <w:tc>
          <w:tcPr>
            <w:tcW w:w="1270" w:type="dxa"/>
            <w:vAlign w:val="top"/>
          </w:tcPr>
          <w:p w14:paraId="333798E8">
            <w:pPr>
              <w:spacing w:before="197" w:line="220" w:lineRule="auto"/>
              <w:ind w:left="209"/>
              <w:rPr>
                <w:rFonts w:ascii="宋体" w:hAnsi="宋体" w:eastAsia="宋体" w:cs="宋体"/>
                <w:sz w:val="21"/>
                <w:szCs w:val="21"/>
              </w:rPr>
            </w:pPr>
            <w:r>
              <w:rPr>
                <w:rFonts w:ascii="宋体" w:hAnsi="宋体" w:eastAsia="宋体" w:cs="宋体"/>
                <w:spacing w:val="-2"/>
                <w:sz w:val="21"/>
                <w:szCs w:val="21"/>
              </w:rPr>
              <w:t>矛纹草鹛</w:t>
            </w:r>
          </w:p>
        </w:tc>
        <w:tc>
          <w:tcPr>
            <w:tcW w:w="1554" w:type="dxa"/>
            <w:vAlign w:val="top"/>
          </w:tcPr>
          <w:p w14:paraId="1CEFF283">
            <w:pPr>
              <w:pStyle w:val="6"/>
              <w:spacing w:before="111" w:line="190" w:lineRule="auto"/>
              <w:ind w:left="492"/>
            </w:pPr>
            <w:r>
              <w:rPr>
                <w:i/>
                <w:iCs/>
                <w:spacing w:val="1"/>
              </w:rPr>
              <w:t>Babax</w:t>
            </w:r>
          </w:p>
          <w:p w14:paraId="7EAB9C09">
            <w:pPr>
              <w:pStyle w:val="6"/>
              <w:spacing w:before="50" w:line="203" w:lineRule="auto"/>
              <w:ind w:left="289"/>
            </w:pPr>
            <w:r>
              <w:rPr>
                <w:i/>
                <w:iCs/>
                <w:spacing w:val="-1"/>
              </w:rPr>
              <w:t>lanceolatus</w:t>
            </w:r>
          </w:p>
        </w:tc>
        <w:tc>
          <w:tcPr>
            <w:tcW w:w="989" w:type="dxa"/>
            <w:vAlign w:val="top"/>
          </w:tcPr>
          <w:p w14:paraId="5C7B6D3D">
            <w:pPr>
              <w:spacing w:before="231" w:line="223" w:lineRule="auto"/>
              <w:ind w:left="390"/>
              <w:rPr>
                <w:rFonts w:ascii="宋体" w:hAnsi="宋体" w:eastAsia="宋体" w:cs="宋体"/>
                <w:sz w:val="21"/>
                <w:szCs w:val="21"/>
              </w:rPr>
            </w:pPr>
            <w:r>
              <w:rPr>
                <w:rFonts w:ascii="宋体" w:hAnsi="宋体" w:eastAsia="宋体" w:cs="宋体"/>
                <w:spacing w:val="-2"/>
                <w:sz w:val="21"/>
                <w:szCs w:val="21"/>
              </w:rPr>
              <w:t>72</w:t>
            </w:r>
          </w:p>
        </w:tc>
        <w:tc>
          <w:tcPr>
            <w:tcW w:w="1272" w:type="dxa"/>
            <w:vAlign w:val="top"/>
          </w:tcPr>
          <w:p w14:paraId="55D8CAE0">
            <w:pPr>
              <w:spacing w:before="197" w:line="220" w:lineRule="auto"/>
              <w:ind w:left="223"/>
              <w:rPr>
                <w:rFonts w:ascii="宋体" w:hAnsi="宋体" w:eastAsia="宋体" w:cs="宋体"/>
                <w:sz w:val="21"/>
                <w:szCs w:val="21"/>
              </w:rPr>
            </w:pPr>
            <w:r>
              <w:rPr>
                <w:rFonts w:ascii="宋体" w:hAnsi="宋体" w:eastAsia="宋体" w:cs="宋体"/>
                <w:spacing w:val="-2"/>
                <w:sz w:val="21"/>
                <w:szCs w:val="21"/>
              </w:rPr>
              <w:t>矛纹草鹛</w:t>
            </w:r>
          </w:p>
        </w:tc>
        <w:tc>
          <w:tcPr>
            <w:tcW w:w="1693" w:type="dxa"/>
            <w:vAlign w:val="top"/>
          </w:tcPr>
          <w:p w14:paraId="79D0E0B4">
            <w:pPr>
              <w:pStyle w:val="6"/>
              <w:spacing w:before="230" w:line="233" w:lineRule="auto"/>
              <w:ind w:left="67"/>
            </w:pPr>
            <w:r>
              <w:rPr>
                <w:i/>
                <w:iCs/>
              </w:rPr>
              <w:t>Babax</w:t>
            </w:r>
            <w:r>
              <w:rPr>
                <w:i/>
                <w:iCs/>
                <w:spacing w:val="6"/>
              </w:rPr>
              <w:t xml:space="preserve"> </w:t>
            </w:r>
            <w:r>
              <w:rPr>
                <w:i/>
                <w:iCs/>
              </w:rPr>
              <w:t>lanceolatus</w:t>
            </w:r>
          </w:p>
        </w:tc>
        <w:tc>
          <w:tcPr>
            <w:tcW w:w="845" w:type="dxa"/>
            <w:tcBorders>
              <w:right w:val="single" w:color="000000" w:sz="12" w:space="0"/>
            </w:tcBorders>
            <w:vAlign w:val="top"/>
          </w:tcPr>
          <w:p w14:paraId="42BD3EC2">
            <w:pPr>
              <w:rPr>
                <w:rFonts w:ascii="Arial"/>
                <w:sz w:val="21"/>
              </w:rPr>
            </w:pPr>
          </w:p>
        </w:tc>
      </w:tr>
      <w:tr w14:paraId="010D0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29E41199">
            <w:pPr>
              <w:spacing w:before="232" w:line="223" w:lineRule="auto"/>
              <w:ind w:left="270"/>
              <w:rPr>
                <w:rFonts w:ascii="宋体" w:hAnsi="宋体" w:eastAsia="宋体" w:cs="宋体"/>
                <w:sz w:val="21"/>
                <w:szCs w:val="21"/>
              </w:rPr>
            </w:pPr>
            <w:r>
              <w:rPr>
                <w:rFonts w:ascii="宋体" w:hAnsi="宋体" w:eastAsia="宋体" w:cs="宋体"/>
                <w:spacing w:val="-6"/>
                <w:sz w:val="21"/>
                <w:szCs w:val="21"/>
              </w:rPr>
              <w:t>107</w:t>
            </w:r>
          </w:p>
        </w:tc>
        <w:tc>
          <w:tcPr>
            <w:tcW w:w="1270" w:type="dxa"/>
            <w:vAlign w:val="top"/>
          </w:tcPr>
          <w:p w14:paraId="12468F6F">
            <w:pPr>
              <w:spacing w:before="199" w:line="220" w:lineRule="auto"/>
              <w:ind w:left="423"/>
              <w:rPr>
                <w:rFonts w:ascii="宋体" w:hAnsi="宋体" w:eastAsia="宋体" w:cs="宋体"/>
                <w:sz w:val="21"/>
                <w:szCs w:val="21"/>
              </w:rPr>
            </w:pPr>
            <w:r>
              <w:rPr>
                <w:rFonts w:ascii="宋体" w:hAnsi="宋体" w:eastAsia="宋体" w:cs="宋体"/>
                <w:spacing w:val="-4"/>
                <w:sz w:val="21"/>
                <w:szCs w:val="21"/>
              </w:rPr>
              <w:t>画眉</w:t>
            </w:r>
          </w:p>
        </w:tc>
        <w:tc>
          <w:tcPr>
            <w:tcW w:w="1554" w:type="dxa"/>
            <w:vAlign w:val="top"/>
          </w:tcPr>
          <w:p w14:paraId="6C019D38">
            <w:pPr>
              <w:pStyle w:val="6"/>
              <w:spacing w:before="111" w:line="190" w:lineRule="auto"/>
              <w:ind w:left="389"/>
            </w:pPr>
            <w:r>
              <w:rPr>
                <w:i/>
                <w:iCs/>
                <w:spacing w:val="-2"/>
              </w:rPr>
              <w:t>Garrulax</w:t>
            </w:r>
          </w:p>
          <w:p w14:paraId="5C96F390">
            <w:pPr>
              <w:pStyle w:val="6"/>
              <w:spacing w:before="51" w:line="201" w:lineRule="auto"/>
              <w:ind w:left="433"/>
            </w:pPr>
            <w:r>
              <w:rPr>
                <w:i/>
                <w:iCs/>
                <w:spacing w:val="-1"/>
              </w:rPr>
              <w:t>canorus</w:t>
            </w:r>
          </w:p>
        </w:tc>
        <w:tc>
          <w:tcPr>
            <w:tcW w:w="989" w:type="dxa"/>
            <w:vAlign w:val="top"/>
          </w:tcPr>
          <w:p w14:paraId="530E0024">
            <w:pPr>
              <w:rPr>
                <w:rFonts w:ascii="Arial"/>
                <w:sz w:val="21"/>
              </w:rPr>
            </w:pPr>
          </w:p>
        </w:tc>
        <w:tc>
          <w:tcPr>
            <w:tcW w:w="1272" w:type="dxa"/>
            <w:vAlign w:val="top"/>
          </w:tcPr>
          <w:p w14:paraId="564B9544">
            <w:pPr>
              <w:rPr>
                <w:rFonts w:ascii="Arial"/>
                <w:sz w:val="21"/>
              </w:rPr>
            </w:pPr>
          </w:p>
        </w:tc>
        <w:tc>
          <w:tcPr>
            <w:tcW w:w="1693" w:type="dxa"/>
            <w:vAlign w:val="top"/>
          </w:tcPr>
          <w:p w14:paraId="3B2B5395">
            <w:pPr>
              <w:rPr>
                <w:rFonts w:ascii="Arial"/>
                <w:sz w:val="21"/>
              </w:rPr>
            </w:pPr>
          </w:p>
        </w:tc>
        <w:tc>
          <w:tcPr>
            <w:tcW w:w="845" w:type="dxa"/>
            <w:tcBorders>
              <w:right w:val="single" w:color="000000" w:sz="12" w:space="0"/>
            </w:tcBorders>
            <w:vAlign w:val="top"/>
          </w:tcPr>
          <w:p w14:paraId="4D1A35EC">
            <w:pPr>
              <w:spacing w:before="237" w:line="159" w:lineRule="auto"/>
              <w:ind w:left="360"/>
              <w:rPr>
                <w:rFonts w:ascii="宋体" w:hAnsi="宋体" w:eastAsia="宋体" w:cs="宋体"/>
                <w:sz w:val="21"/>
                <w:szCs w:val="21"/>
              </w:rPr>
            </w:pPr>
            <w:r>
              <w:rPr>
                <w:rFonts w:ascii="宋体" w:hAnsi="宋体" w:eastAsia="宋体" w:cs="宋体"/>
                <w:sz w:val="21"/>
                <w:szCs w:val="21"/>
              </w:rPr>
              <w:t>聂</w:t>
            </w:r>
          </w:p>
        </w:tc>
      </w:tr>
      <w:tr w14:paraId="0F033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850" w:type="dxa"/>
            <w:tcBorders>
              <w:left w:val="single" w:color="000000" w:sz="12" w:space="0"/>
            </w:tcBorders>
            <w:vAlign w:val="top"/>
          </w:tcPr>
          <w:p w14:paraId="3D0F1609">
            <w:pPr>
              <w:spacing w:before="235" w:line="223" w:lineRule="auto"/>
              <w:ind w:left="270"/>
              <w:rPr>
                <w:rFonts w:ascii="宋体" w:hAnsi="宋体" w:eastAsia="宋体" w:cs="宋体"/>
                <w:sz w:val="21"/>
                <w:szCs w:val="21"/>
              </w:rPr>
            </w:pPr>
            <w:r>
              <w:rPr>
                <w:rFonts w:ascii="宋体" w:hAnsi="宋体" w:eastAsia="宋体" w:cs="宋体"/>
                <w:spacing w:val="-6"/>
                <w:sz w:val="21"/>
                <w:szCs w:val="21"/>
              </w:rPr>
              <w:t>108</w:t>
            </w:r>
          </w:p>
        </w:tc>
        <w:tc>
          <w:tcPr>
            <w:tcW w:w="1270" w:type="dxa"/>
            <w:vAlign w:val="top"/>
          </w:tcPr>
          <w:p w14:paraId="71597323">
            <w:pPr>
              <w:spacing w:before="201" w:line="220" w:lineRule="auto"/>
              <w:ind w:left="209"/>
              <w:rPr>
                <w:rFonts w:ascii="宋体" w:hAnsi="宋体" w:eastAsia="宋体" w:cs="宋体"/>
                <w:sz w:val="21"/>
                <w:szCs w:val="21"/>
              </w:rPr>
            </w:pPr>
            <w:r>
              <w:rPr>
                <w:rFonts w:ascii="宋体" w:hAnsi="宋体" w:eastAsia="宋体" w:cs="宋体"/>
                <w:spacing w:val="-2"/>
                <w:sz w:val="21"/>
                <w:szCs w:val="21"/>
              </w:rPr>
              <w:t>灰翅噪鹛</w:t>
            </w:r>
          </w:p>
        </w:tc>
        <w:tc>
          <w:tcPr>
            <w:tcW w:w="1554" w:type="dxa"/>
            <w:vAlign w:val="top"/>
          </w:tcPr>
          <w:p w14:paraId="13720D96">
            <w:pPr>
              <w:pStyle w:val="6"/>
              <w:spacing w:before="113" w:line="190" w:lineRule="auto"/>
              <w:ind w:left="389"/>
            </w:pPr>
            <w:r>
              <w:rPr>
                <w:i/>
                <w:iCs/>
                <w:spacing w:val="-2"/>
              </w:rPr>
              <w:t>Garrulax</w:t>
            </w:r>
          </w:p>
          <w:p w14:paraId="32F343BE">
            <w:pPr>
              <w:pStyle w:val="6"/>
              <w:spacing w:before="50" w:line="201" w:lineRule="auto"/>
              <w:ind w:left="317"/>
            </w:pPr>
            <w:r>
              <w:rPr>
                <w:i/>
                <w:iCs/>
                <w:spacing w:val="-1"/>
              </w:rPr>
              <w:t>cineraceus</w:t>
            </w:r>
          </w:p>
        </w:tc>
        <w:tc>
          <w:tcPr>
            <w:tcW w:w="989" w:type="dxa"/>
            <w:vAlign w:val="top"/>
          </w:tcPr>
          <w:p w14:paraId="00B0AD7E">
            <w:pPr>
              <w:rPr>
                <w:rFonts w:ascii="Arial"/>
                <w:sz w:val="21"/>
              </w:rPr>
            </w:pPr>
          </w:p>
        </w:tc>
        <w:tc>
          <w:tcPr>
            <w:tcW w:w="1272" w:type="dxa"/>
            <w:vAlign w:val="top"/>
          </w:tcPr>
          <w:p w14:paraId="09871BA7">
            <w:pPr>
              <w:rPr>
                <w:rFonts w:ascii="Arial"/>
                <w:sz w:val="21"/>
              </w:rPr>
            </w:pPr>
          </w:p>
        </w:tc>
        <w:tc>
          <w:tcPr>
            <w:tcW w:w="1693" w:type="dxa"/>
            <w:vAlign w:val="top"/>
          </w:tcPr>
          <w:p w14:paraId="5E7A706D">
            <w:pPr>
              <w:rPr>
                <w:rFonts w:ascii="Arial"/>
                <w:sz w:val="21"/>
              </w:rPr>
            </w:pPr>
          </w:p>
        </w:tc>
        <w:tc>
          <w:tcPr>
            <w:tcW w:w="845" w:type="dxa"/>
            <w:tcBorders>
              <w:right w:val="single" w:color="000000" w:sz="12" w:space="0"/>
            </w:tcBorders>
            <w:vAlign w:val="top"/>
          </w:tcPr>
          <w:p w14:paraId="68D7BA39">
            <w:pPr>
              <w:rPr>
                <w:rFonts w:ascii="Arial"/>
                <w:sz w:val="21"/>
              </w:rPr>
            </w:pPr>
          </w:p>
        </w:tc>
      </w:tr>
      <w:tr w14:paraId="6F3E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D06B7DC">
            <w:pPr>
              <w:spacing w:before="234" w:line="223" w:lineRule="auto"/>
              <w:ind w:left="270"/>
              <w:rPr>
                <w:rFonts w:ascii="宋体" w:hAnsi="宋体" w:eastAsia="宋体" w:cs="宋体"/>
                <w:sz w:val="21"/>
                <w:szCs w:val="21"/>
              </w:rPr>
            </w:pPr>
            <w:r>
              <w:rPr>
                <w:rFonts w:ascii="宋体" w:hAnsi="宋体" w:eastAsia="宋体" w:cs="宋体"/>
                <w:spacing w:val="-6"/>
                <w:sz w:val="21"/>
                <w:szCs w:val="21"/>
              </w:rPr>
              <w:t>109</w:t>
            </w:r>
          </w:p>
        </w:tc>
        <w:tc>
          <w:tcPr>
            <w:tcW w:w="1270" w:type="dxa"/>
            <w:vAlign w:val="top"/>
          </w:tcPr>
          <w:p w14:paraId="0AC0A883">
            <w:pPr>
              <w:spacing w:before="201" w:line="221" w:lineRule="auto"/>
              <w:ind w:left="220"/>
              <w:rPr>
                <w:rFonts w:ascii="宋体" w:hAnsi="宋体" w:eastAsia="宋体" w:cs="宋体"/>
                <w:sz w:val="21"/>
                <w:szCs w:val="21"/>
              </w:rPr>
            </w:pPr>
            <w:r>
              <w:rPr>
                <w:rFonts w:ascii="宋体" w:hAnsi="宋体" w:eastAsia="宋体" w:cs="宋体"/>
                <w:spacing w:val="-5"/>
                <w:sz w:val="21"/>
                <w:szCs w:val="21"/>
              </w:rPr>
              <w:t>眼纹噪鹛</w:t>
            </w:r>
          </w:p>
        </w:tc>
        <w:tc>
          <w:tcPr>
            <w:tcW w:w="1554" w:type="dxa"/>
            <w:vAlign w:val="top"/>
          </w:tcPr>
          <w:p w14:paraId="2DE8A257">
            <w:pPr>
              <w:pStyle w:val="6"/>
              <w:spacing w:before="114" w:line="190" w:lineRule="auto"/>
              <w:ind w:left="389"/>
            </w:pPr>
            <w:r>
              <w:rPr>
                <w:i/>
                <w:iCs/>
                <w:spacing w:val="-2"/>
              </w:rPr>
              <w:t>Garrulax</w:t>
            </w:r>
          </w:p>
          <w:p w14:paraId="18AEDF86">
            <w:pPr>
              <w:pStyle w:val="6"/>
              <w:spacing w:before="50" w:line="199" w:lineRule="auto"/>
              <w:ind w:left="393"/>
            </w:pPr>
            <w:r>
              <w:rPr>
                <w:i/>
                <w:iCs/>
                <w:spacing w:val="-1"/>
              </w:rPr>
              <w:t>ocellatus</w:t>
            </w:r>
          </w:p>
        </w:tc>
        <w:tc>
          <w:tcPr>
            <w:tcW w:w="989" w:type="dxa"/>
            <w:vAlign w:val="top"/>
          </w:tcPr>
          <w:p w14:paraId="5606A7DC">
            <w:pPr>
              <w:rPr>
                <w:rFonts w:ascii="Arial"/>
                <w:sz w:val="21"/>
              </w:rPr>
            </w:pPr>
          </w:p>
        </w:tc>
        <w:tc>
          <w:tcPr>
            <w:tcW w:w="1272" w:type="dxa"/>
            <w:vAlign w:val="top"/>
          </w:tcPr>
          <w:p w14:paraId="6480BA14">
            <w:pPr>
              <w:rPr>
                <w:rFonts w:ascii="Arial"/>
                <w:sz w:val="21"/>
              </w:rPr>
            </w:pPr>
          </w:p>
        </w:tc>
        <w:tc>
          <w:tcPr>
            <w:tcW w:w="1693" w:type="dxa"/>
            <w:vAlign w:val="top"/>
          </w:tcPr>
          <w:p w14:paraId="028EB88E">
            <w:pPr>
              <w:rPr>
                <w:rFonts w:ascii="Arial"/>
                <w:sz w:val="21"/>
              </w:rPr>
            </w:pPr>
          </w:p>
        </w:tc>
        <w:tc>
          <w:tcPr>
            <w:tcW w:w="845" w:type="dxa"/>
            <w:tcBorders>
              <w:right w:val="single" w:color="000000" w:sz="12" w:space="0"/>
            </w:tcBorders>
            <w:vAlign w:val="top"/>
          </w:tcPr>
          <w:p w14:paraId="407200F8">
            <w:pPr>
              <w:rPr>
                <w:rFonts w:ascii="Arial"/>
                <w:sz w:val="21"/>
              </w:rPr>
            </w:pPr>
          </w:p>
        </w:tc>
      </w:tr>
      <w:tr w14:paraId="1100F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850" w:type="dxa"/>
            <w:tcBorders>
              <w:left w:val="single" w:color="000000" w:sz="12" w:space="0"/>
              <w:bottom w:val="single" w:color="000000" w:sz="12" w:space="0"/>
            </w:tcBorders>
            <w:vAlign w:val="top"/>
          </w:tcPr>
          <w:p w14:paraId="01A03031">
            <w:pPr>
              <w:spacing w:before="137" w:line="215" w:lineRule="auto"/>
              <w:ind w:left="270"/>
              <w:rPr>
                <w:rFonts w:ascii="宋体" w:hAnsi="宋体" w:eastAsia="宋体" w:cs="宋体"/>
                <w:sz w:val="21"/>
                <w:szCs w:val="21"/>
              </w:rPr>
            </w:pPr>
            <w:r>
              <w:rPr>
                <w:rFonts w:ascii="宋体" w:hAnsi="宋体" w:eastAsia="宋体" w:cs="宋体"/>
                <w:spacing w:val="-6"/>
                <w:sz w:val="21"/>
                <w:szCs w:val="21"/>
              </w:rPr>
              <w:t>110</w:t>
            </w:r>
          </w:p>
        </w:tc>
        <w:tc>
          <w:tcPr>
            <w:tcW w:w="1270" w:type="dxa"/>
            <w:tcBorders>
              <w:bottom w:val="single" w:color="000000" w:sz="12" w:space="0"/>
            </w:tcBorders>
            <w:vAlign w:val="top"/>
          </w:tcPr>
          <w:p w14:paraId="6DAA4B5B">
            <w:pPr>
              <w:spacing w:before="105" w:line="220" w:lineRule="auto"/>
              <w:ind w:left="237"/>
              <w:rPr>
                <w:rFonts w:ascii="宋体" w:hAnsi="宋体" w:eastAsia="宋体" w:cs="宋体"/>
                <w:sz w:val="21"/>
                <w:szCs w:val="21"/>
              </w:rPr>
            </w:pPr>
            <w:r>
              <w:rPr>
                <w:rFonts w:ascii="宋体" w:hAnsi="宋体" w:eastAsia="宋体" w:cs="宋体"/>
                <w:spacing w:val="-8"/>
                <w:sz w:val="21"/>
                <w:szCs w:val="21"/>
              </w:rPr>
              <w:t>白颊噪鹛</w:t>
            </w:r>
          </w:p>
        </w:tc>
        <w:tc>
          <w:tcPr>
            <w:tcW w:w="1554" w:type="dxa"/>
            <w:tcBorders>
              <w:bottom w:val="single" w:color="000000" w:sz="12" w:space="0"/>
            </w:tcBorders>
            <w:vAlign w:val="top"/>
          </w:tcPr>
          <w:p w14:paraId="39EBF147">
            <w:pPr>
              <w:pStyle w:val="6"/>
              <w:spacing w:before="137" w:line="232" w:lineRule="auto"/>
              <w:ind w:left="83"/>
            </w:pPr>
            <w:r>
              <w:rPr>
                <w:i/>
                <w:iCs/>
                <w:spacing w:val="-1"/>
              </w:rPr>
              <w:t>Garrulax sannio</w:t>
            </w:r>
          </w:p>
        </w:tc>
        <w:tc>
          <w:tcPr>
            <w:tcW w:w="989" w:type="dxa"/>
            <w:tcBorders>
              <w:bottom w:val="single" w:color="000000" w:sz="12" w:space="0"/>
            </w:tcBorders>
            <w:vAlign w:val="top"/>
          </w:tcPr>
          <w:p w14:paraId="6EC43B51">
            <w:pPr>
              <w:spacing w:before="137" w:line="215" w:lineRule="auto"/>
              <w:ind w:left="390"/>
              <w:rPr>
                <w:rFonts w:ascii="宋体" w:hAnsi="宋体" w:eastAsia="宋体" w:cs="宋体"/>
                <w:sz w:val="21"/>
                <w:szCs w:val="21"/>
              </w:rPr>
            </w:pPr>
            <w:r>
              <w:rPr>
                <w:rFonts w:ascii="宋体" w:hAnsi="宋体" w:eastAsia="宋体" w:cs="宋体"/>
                <w:spacing w:val="-2"/>
                <w:sz w:val="21"/>
                <w:szCs w:val="21"/>
              </w:rPr>
              <w:t>73</w:t>
            </w:r>
          </w:p>
        </w:tc>
        <w:tc>
          <w:tcPr>
            <w:tcW w:w="1272" w:type="dxa"/>
            <w:tcBorders>
              <w:bottom w:val="single" w:color="000000" w:sz="12" w:space="0"/>
            </w:tcBorders>
            <w:vAlign w:val="top"/>
          </w:tcPr>
          <w:p w14:paraId="7D1E0D8B">
            <w:pPr>
              <w:spacing w:before="105" w:line="220" w:lineRule="auto"/>
              <w:ind w:left="252"/>
              <w:rPr>
                <w:rFonts w:ascii="宋体" w:hAnsi="宋体" w:eastAsia="宋体" w:cs="宋体"/>
                <w:sz w:val="21"/>
                <w:szCs w:val="21"/>
              </w:rPr>
            </w:pPr>
            <w:r>
              <w:rPr>
                <w:rFonts w:ascii="宋体" w:hAnsi="宋体" w:eastAsia="宋体" w:cs="宋体"/>
                <w:spacing w:val="-8"/>
                <w:sz w:val="21"/>
                <w:szCs w:val="21"/>
              </w:rPr>
              <w:t>白颊噪鹛</w:t>
            </w:r>
          </w:p>
        </w:tc>
        <w:tc>
          <w:tcPr>
            <w:tcW w:w="1693" w:type="dxa"/>
            <w:tcBorders>
              <w:bottom w:val="single" w:color="000000" w:sz="12" w:space="0"/>
            </w:tcBorders>
            <w:vAlign w:val="top"/>
          </w:tcPr>
          <w:p w14:paraId="35B378DE">
            <w:pPr>
              <w:pStyle w:val="6"/>
              <w:spacing w:before="137" w:line="232" w:lineRule="auto"/>
              <w:ind w:left="167"/>
            </w:pPr>
            <w:r>
              <w:rPr>
                <w:i/>
                <w:iCs/>
                <w:spacing w:val="-1"/>
              </w:rPr>
              <w:t>Garrulax sannio</w:t>
            </w:r>
          </w:p>
        </w:tc>
        <w:tc>
          <w:tcPr>
            <w:tcW w:w="845" w:type="dxa"/>
            <w:tcBorders>
              <w:bottom w:val="single" w:color="000000" w:sz="12" w:space="0"/>
              <w:right w:val="single" w:color="000000" w:sz="12" w:space="0"/>
            </w:tcBorders>
            <w:vAlign w:val="top"/>
          </w:tcPr>
          <w:p w14:paraId="0C910D6A">
            <w:pPr>
              <w:rPr>
                <w:rFonts w:ascii="Arial"/>
                <w:sz w:val="21"/>
              </w:rPr>
            </w:pPr>
          </w:p>
        </w:tc>
      </w:tr>
    </w:tbl>
    <w:p w14:paraId="1C66060B">
      <w:pPr>
        <w:rPr>
          <w:rFonts w:ascii="Arial"/>
          <w:sz w:val="21"/>
        </w:rPr>
      </w:pPr>
    </w:p>
    <w:p w14:paraId="0E4B38AA">
      <w:pPr>
        <w:rPr>
          <w:rFonts w:ascii="Arial" w:hAnsi="Arial" w:eastAsia="Arial" w:cs="Arial"/>
          <w:sz w:val="21"/>
          <w:szCs w:val="21"/>
        </w:rPr>
        <w:sectPr>
          <w:footerReference r:id="rId181" w:type="default"/>
          <w:pgSz w:w="11907" w:h="16839"/>
          <w:pgMar w:top="1376" w:right="1669" w:bottom="1061" w:left="1671" w:header="999" w:footer="844" w:gutter="0"/>
          <w:cols w:space="720" w:num="1"/>
        </w:sectPr>
      </w:pPr>
    </w:p>
    <w:p w14:paraId="18FD58E2">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6A9E0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64F5F606">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74B3BCFC">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71A84FF9">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49877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7C0C8464">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120A9819">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3AB72DDC">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2D35CA31">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6160B22F">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31FF2961">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5075F1D1">
            <w:pPr>
              <w:rPr>
                <w:rFonts w:ascii="Arial"/>
                <w:sz w:val="21"/>
              </w:rPr>
            </w:pPr>
          </w:p>
        </w:tc>
      </w:tr>
      <w:tr w14:paraId="72F1E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3B15185C">
            <w:pPr>
              <w:pStyle w:val="6"/>
              <w:spacing w:before="209" w:line="235" w:lineRule="auto"/>
              <w:ind w:left="270"/>
            </w:pPr>
            <w:r>
              <w:rPr>
                <w:spacing w:val="-6"/>
              </w:rPr>
              <w:t>111</w:t>
            </w:r>
          </w:p>
        </w:tc>
        <w:tc>
          <w:tcPr>
            <w:tcW w:w="1270" w:type="dxa"/>
            <w:vAlign w:val="top"/>
          </w:tcPr>
          <w:p w14:paraId="64B9F57A">
            <w:pPr>
              <w:spacing w:before="175" w:line="220" w:lineRule="auto"/>
              <w:ind w:left="212"/>
              <w:rPr>
                <w:rFonts w:ascii="宋体" w:hAnsi="宋体" w:eastAsia="宋体" w:cs="宋体"/>
                <w:sz w:val="21"/>
                <w:szCs w:val="21"/>
              </w:rPr>
            </w:pPr>
            <w:r>
              <w:rPr>
                <w:rFonts w:ascii="宋体" w:hAnsi="宋体" w:eastAsia="宋体" w:cs="宋体"/>
                <w:spacing w:val="-3"/>
                <w:sz w:val="21"/>
                <w:szCs w:val="21"/>
              </w:rPr>
              <w:t>红头噪鹃</w:t>
            </w:r>
          </w:p>
        </w:tc>
        <w:tc>
          <w:tcPr>
            <w:tcW w:w="1554" w:type="dxa"/>
            <w:vAlign w:val="top"/>
          </w:tcPr>
          <w:p w14:paraId="6B033D22">
            <w:pPr>
              <w:pStyle w:val="6"/>
              <w:spacing w:before="89" w:line="224" w:lineRule="auto"/>
              <w:ind w:left="90" w:right="96" w:firstLine="30"/>
            </w:pPr>
            <w:r>
              <w:rPr>
                <w:i/>
                <w:iCs/>
                <w:spacing w:val="-2"/>
              </w:rPr>
              <w:t>Trochalopteron</w:t>
            </w:r>
            <w:r>
              <w:rPr>
                <w:i/>
                <w:iCs/>
                <w:spacing w:val="12"/>
              </w:rPr>
              <w:t xml:space="preserve"> </w:t>
            </w:r>
            <w:r>
              <w:rPr>
                <w:i/>
                <w:iCs/>
                <w:spacing w:val="-1"/>
              </w:rPr>
              <w:t>erythrocephalus</w:t>
            </w:r>
          </w:p>
        </w:tc>
        <w:tc>
          <w:tcPr>
            <w:tcW w:w="989" w:type="dxa"/>
            <w:vAlign w:val="top"/>
          </w:tcPr>
          <w:p w14:paraId="025A9DCF">
            <w:pPr>
              <w:rPr>
                <w:rFonts w:ascii="Arial"/>
                <w:sz w:val="21"/>
              </w:rPr>
            </w:pPr>
          </w:p>
        </w:tc>
        <w:tc>
          <w:tcPr>
            <w:tcW w:w="1272" w:type="dxa"/>
            <w:vAlign w:val="top"/>
          </w:tcPr>
          <w:p w14:paraId="44D10D37">
            <w:pPr>
              <w:rPr>
                <w:rFonts w:ascii="Arial"/>
                <w:sz w:val="21"/>
              </w:rPr>
            </w:pPr>
          </w:p>
        </w:tc>
        <w:tc>
          <w:tcPr>
            <w:tcW w:w="1693" w:type="dxa"/>
            <w:vAlign w:val="top"/>
          </w:tcPr>
          <w:p w14:paraId="56B62B3A">
            <w:pPr>
              <w:rPr>
                <w:rFonts w:ascii="Arial"/>
                <w:sz w:val="21"/>
              </w:rPr>
            </w:pPr>
          </w:p>
        </w:tc>
        <w:tc>
          <w:tcPr>
            <w:tcW w:w="845" w:type="dxa"/>
            <w:tcBorders>
              <w:right w:val="single" w:color="000000" w:sz="12" w:space="0"/>
            </w:tcBorders>
            <w:vAlign w:val="top"/>
          </w:tcPr>
          <w:p w14:paraId="6CBAF373">
            <w:pPr>
              <w:rPr>
                <w:rFonts w:ascii="Arial"/>
                <w:sz w:val="21"/>
              </w:rPr>
            </w:pPr>
          </w:p>
        </w:tc>
      </w:tr>
      <w:tr w14:paraId="2D5DF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F32C0DE">
            <w:pPr>
              <w:pStyle w:val="6"/>
              <w:spacing w:before="210" w:line="235" w:lineRule="auto"/>
              <w:ind w:left="270"/>
            </w:pPr>
            <w:r>
              <w:rPr>
                <w:spacing w:val="-6"/>
              </w:rPr>
              <w:t>112</w:t>
            </w:r>
          </w:p>
        </w:tc>
        <w:tc>
          <w:tcPr>
            <w:tcW w:w="1270" w:type="dxa"/>
            <w:vAlign w:val="top"/>
          </w:tcPr>
          <w:p w14:paraId="4DDDB5E3">
            <w:pPr>
              <w:spacing w:before="176" w:line="220" w:lineRule="auto"/>
              <w:ind w:left="208"/>
              <w:rPr>
                <w:rFonts w:ascii="宋体" w:hAnsi="宋体" w:eastAsia="宋体" w:cs="宋体"/>
                <w:sz w:val="21"/>
                <w:szCs w:val="21"/>
              </w:rPr>
            </w:pPr>
            <w:r>
              <w:rPr>
                <w:rFonts w:ascii="宋体" w:hAnsi="宋体" w:eastAsia="宋体" w:cs="宋体"/>
                <w:spacing w:val="-2"/>
                <w:sz w:val="21"/>
                <w:szCs w:val="21"/>
              </w:rPr>
              <w:t>蓝翅希鹃</w:t>
            </w:r>
          </w:p>
        </w:tc>
        <w:tc>
          <w:tcPr>
            <w:tcW w:w="1554" w:type="dxa"/>
            <w:vAlign w:val="top"/>
          </w:tcPr>
          <w:p w14:paraId="6FBE97E8">
            <w:pPr>
              <w:pStyle w:val="6"/>
              <w:spacing w:before="93" w:line="186" w:lineRule="auto"/>
              <w:ind w:left="586"/>
            </w:pPr>
            <w:r>
              <w:rPr>
                <w:i/>
                <w:iCs/>
                <w:spacing w:val="-1"/>
              </w:rPr>
              <w:t>Siva</w:t>
            </w:r>
          </w:p>
          <w:p w14:paraId="23921020">
            <w:pPr>
              <w:pStyle w:val="6"/>
              <w:spacing w:before="51" w:line="190" w:lineRule="auto"/>
              <w:ind w:left="154"/>
            </w:pPr>
            <w:r>
              <w:rPr>
                <w:i/>
                <w:iCs/>
                <w:spacing w:val="-1"/>
              </w:rPr>
              <w:t>cyanouroptera</w:t>
            </w:r>
          </w:p>
        </w:tc>
        <w:tc>
          <w:tcPr>
            <w:tcW w:w="989" w:type="dxa"/>
            <w:vAlign w:val="top"/>
          </w:tcPr>
          <w:p w14:paraId="14F952A5">
            <w:pPr>
              <w:pStyle w:val="6"/>
              <w:spacing w:before="210" w:line="232" w:lineRule="auto"/>
              <w:ind w:left="390"/>
            </w:pPr>
            <w:r>
              <w:rPr>
                <w:spacing w:val="-2"/>
              </w:rPr>
              <w:t>74</w:t>
            </w:r>
          </w:p>
        </w:tc>
        <w:tc>
          <w:tcPr>
            <w:tcW w:w="1272" w:type="dxa"/>
            <w:vAlign w:val="top"/>
          </w:tcPr>
          <w:p w14:paraId="13C6F0A6">
            <w:pPr>
              <w:spacing w:before="176" w:line="220" w:lineRule="auto"/>
              <w:ind w:left="222"/>
              <w:rPr>
                <w:rFonts w:ascii="宋体" w:hAnsi="宋体" w:eastAsia="宋体" w:cs="宋体"/>
                <w:sz w:val="21"/>
                <w:szCs w:val="21"/>
              </w:rPr>
            </w:pPr>
            <w:r>
              <w:rPr>
                <w:rFonts w:ascii="宋体" w:hAnsi="宋体" w:eastAsia="宋体" w:cs="宋体"/>
                <w:spacing w:val="-2"/>
                <w:sz w:val="21"/>
                <w:szCs w:val="21"/>
              </w:rPr>
              <w:t>蓝翅希鹃</w:t>
            </w:r>
          </w:p>
        </w:tc>
        <w:tc>
          <w:tcPr>
            <w:tcW w:w="1693" w:type="dxa"/>
            <w:vAlign w:val="top"/>
          </w:tcPr>
          <w:p w14:paraId="016A7002">
            <w:pPr>
              <w:pStyle w:val="6"/>
              <w:spacing w:before="93" w:line="186" w:lineRule="auto"/>
              <w:ind w:left="671"/>
            </w:pPr>
            <w:r>
              <w:rPr>
                <w:i/>
                <w:iCs/>
                <w:spacing w:val="-1"/>
              </w:rPr>
              <w:t>Siva</w:t>
            </w:r>
          </w:p>
          <w:p w14:paraId="1D751183">
            <w:pPr>
              <w:pStyle w:val="6"/>
              <w:spacing w:before="51" w:line="190" w:lineRule="auto"/>
              <w:ind w:left="238"/>
            </w:pPr>
            <w:r>
              <w:rPr>
                <w:i/>
                <w:iCs/>
                <w:spacing w:val="-1"/>
              </w:rPr>
              <w:t>cyanouroptera</w:t>
            </w:r>
          </w:p>
        </w:tc>
        <w:tc>
          <w:tcPr>
            <w:tcW w:w="845" w:type="dxa"/>
            <w:tcBorders>
              <w:right w:val="single" w:color="000000" w:sz="12" w:space="0"/>
            </w:tcBorders>
            <w:vAlign w:val="top"/>
          </w:tcPr>
          <w:p w14:paraId="46308577">
            <w:pPr>
              <w:rPr>
                <w:rFonts w:ascii="Arial"/>
                <w:sz w:val="21"/>
              </w:rPr>
            </w:pPr>
          </w:p>
        </w:tc>
      </w:tr>
      <w:tr w14:paraId="7E937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4C0D5E3">
            <w:pPr>
              <w:rPr>
                <w:rFonts w:ascii="Arial"/>
                <w:sz w:val="21"/>
              </w:rPr>
            </w:pPr>
          </w:p>
        </w:tc>
        <w:tc>
          <w:tcPr>
            <w:tcW w:w="1270" w:type="dxa"/>
            <w:vAlign w:val="top"/>
          </w:tcPr>
          <w:p w14:paraId="62793347">
            <w:pPr>
              <w:rPr>
                <w:rFonts w:ascii="Arial"/>
                <w:sz w:val="21"/>
              </w:rPr>
            </w:pPr>
          </w:p>
        </w:tc>
        <w:tc>
          <w:tcPr>
            <w:tcW w:w="1554" w:type="dxa"/>
            <w:vAlign w:val="top"/>
          </w:tcPr>
          <w:p w14:paraId="02E7888D">
            <w:pPr>
              <w:rPr>
                <w:rFonts w:ascii="Arial"/>
                <w:sz w:val="21"/>
              </w:rPr>
            </w:pPr>
          </w:p>
        </w:tc>
        <w:tc>
          <w:tcPr>
            <w:tcW w:w="989" w:type="dxa"/>
            <w:vAlign w:val="top"/>
          </w:tcPr>
          <w:p w14:paraId="41EED324">
            <w:pPr>
              <w:pStyle w:val="6"/>
              <w:spacing w:before="213" w:line="232" w:lineRule="auto"/>
              <w:ind w:left="390"/>
            </w:pPr>
            <w:r>
              <w:rPr>
                <w:spacing w:val="-2"/>
              </w:rPr>
              <w:t>75</w:t>
            </w:r>
          </w:p>
        </w:tc>
        <w:tc>
          <w:tcPr>
            <w:tcW w:w="1272" w:type="dxa"/>
            <w:vAlign w:val="top"/>
          </w:tcPr>
          <w:p w14:paraId="03F50EB6">
            <w:pPr>
              <w:spacing w:before="179" w:line="220" w:lineRule="auto"/>
              <w:ind w:left="221"/>
              <w:rPr>
                <w:rFonts w:ascii="宋体" w:hAnsi="宋体" w:eastAsia="宋体" w:cs="宋体"/>
                <w:sz w:val="21"/>
                <w:szCs w:val="21"/>
              </w:rPr>
            </w:pPr>
            <w:r>
              <w:rPr>
                <w:rFonts w:ascii="宋体" w:hAnsi="宋体" w:eastAsia="宋体" w:cs="宋体"/>
                <w:spacing w:val="-2"/>
                <w:sz w:val="21"/>
                <w:szCs w:val="21"/>
              </w:rPr>
              <w:t>斑喉希鹃</w:t>
            </w:r>
          </w:p>
        </w:tc>
        <w:tc>
          <w:tcPr>
            <w:tcW w:w="1693" w:type="dxa"/>
            <w:vAlign w:val="top"/>
          </w:tcPr>
          <w:p w14:paraId="3F8FEC86">
            <w:pPr>
              <w:pStyle w:val="6"/>
              <w:spacing w:before="91" w:line="190" w:lineRule="auto"/>
              <w:ind w:left="321"/>
            </w:pPr>
            <w:r>
              <w:rPr>
                <w:i/>
                <w:iCs/>
                <w:spacing w:val="-2"/>
              </w:rPr>
              <w:t>Chrysominla</w:t>
            </w:r>
          </w:p>
          <w:p w14:paraId="7CD0747E">
            <w:pPr>
              <w:pStyle w:val="6"/>
              <w:spacing w:before="50" w:line="190" w:lineRule="auto"/>
              <w:ind w:left="521"/>
            </w:pPr>
            <w:r>
              <w:rPr>
                <w:i/>
                <w:iCs/>
              </w:rPr>
              <w:t>strigula</w:t>
            </w:r>
          </w:p>
        </w:tc>
        <w:tc>
          <w:tcPr>
            <w:tcW w:w="845" w:type="dxa"/>
            <w:tcBorders>
              <w:right w:val="single" w:color="000000" w:sz="12" w:space="0"/>
            </w:tcBorders>
            <w:vAlign w:val="top"/>
          </w:tcPr>
          <w:p w14:paraId="2AAB4DC7">
            <w:pPr>
              <w:rPr>
                <w:rFonts w:ascii="Arial"/>
                <w:sz w:val="21"/>
              </w:rPr>
            </w:pPr>
          </w:p>
        </w:tc>
      </w:tr>
      <w:tr w14:paraId="6BC77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CC1EDC0">
            <w:pPr>
              <w:pStyle w:val="6"/>
              <w:spacing w:before="115" w:line="232" w:lineRule="auto"/>
              <w:ind w:left="270"/>
            </w:pPr>
            <w:r>
              <w:rPr>
                <w:spacing w:val="-6"/>
              </w:rPr>
              <w:t>113</w:t>
            </w:r>
          </w:p>
        </w:tc>
        <w:tc>
          <w:tcPr>
            <w:tcW w:w="1270" w:type="dxa"/>
            <w:vAlign w:val="top"/>
          </w:tcPr>
          <w:p w14:paraId="552385B6">
            <w:pPr>
              <w:spacing w:before="80" w:line="220" w:lineRule="auto"/>
              <w:ind w:left="212"/>
              <w:rPr>
                <w:rFonts w:ascii="宋体" w:hAnsi="宋体" w:eastAsia="宋体" w:cs="宋体"/>
                <w:sz w:val="21"/>
                <w:szCs w:val="21"/>
              </w:rPr>
            </w:pPr>
            <w:r>
              <w:rPr>
                <w:rFonts w:ascii="宋体" w:hAnsi="宋体" w:eastAsia="宋体" w:cs="宋体"/>
                <w:spacing w:val="-3"/>
                <w:sz w:val="21"/>
                <w:szCs w:val="21"/>
              </w:rPr>
              <w:t>红尾希鹃</w:t>
            </w:r>
          </w:p>
        </w:tc>
        <w:tc>
          <w:tcPr>
            <w:tcW w:w="1554" w:type="dxa"/>
            <w:vAlign w:val="top"/>
          </w:tcPr>
          <w:p w14:paraId="03BB495F">
            <w:pPr>
              <w:pStyle w:val="6"/>
              <w:spacing w:before="114" w:line="190" w:lineRule="auto"/>
              <w:ind w:left="56"/>
            </w:pPr>
            <w:r>
              <w:rPr>
                <w:i/>
                <w:iCs/>
              </w:rPr>
              <w:t>Minla</w:t>
            </w:r>
            <w:r>
              <w:rPr>
                <w:i/>
                <w:iCs/>
                <w:spacing w:val="7"/>
              </w:rPr>
              <w:t xml:space="preserve"> </w:t>
            </w:r>
            <w:r>
              <w:rPr>
                <w:i/>
                <w:iCs/>
              </w:rPr>
              <w:t>ignotincta</w:t>
            </w:r>
          </w:p>
        </w:tc>
        <w:tc>
          <w:tcPr>
            <w:tcW w:w="989" w:type="dxa"/>
            <w:vAlign w:val="top"/>
          </w:tcPr>
          <w:p w14:paraId="5DDA961C">
            <w:pPr>
              <w:pStyle w:val="6"/>
              <w:spacing w:before="115" w:line="232" w:lineRule="auto"/>
              <w:ind w:left="390"/>
            </w:pPr>
            <w:r>
              <w:rPr>
                <w:spacing w:val="-2"/>
              </w:rPr>
              <w:t>76</w:t>
            </w:r>
          </w:p>
        </w:tc>
        <w:tc>
          <w:tcPr>
            <w:tcW w:w="1272" w:type="dxa"/>
            <w:vAlign w:val="top"/>
          </w:tcPr>
          <w:p w14:paraId="21380D86">
            <w:pPr>
              <w:spacing w:before="80" w:line="220" w:lineRule="auto"/>
              <w:ind w:left="226"/>
              <w:rPr>
                <w:rFonts w:ascii="宋体" w:hAnsi="宋体" w:eastAsia="宋体" w:cs="宋体"/>
                <w:sz w:val="21"/>
                <w:szCs w:val="21"/>
              </w:rPr>
            </w:pPr>
            <w:r>
              <w:rPr>
                <w:rFonts w:ascii="宋体" w:hAnsi="宋体" w:eastAsia="宋体" w:cs="宋体"/>
                <w:spacing w:val="-3"/>
                <w:sz w:val="21"/>
                <w:szCs w:val="21"/>
              </w:rPr>
              <w:t>红尾希鹃</w:t>
            </w:r>
          </w:p>
        </w:tc>
        <w:tc>
          <w:tcPr>
            <w:tcW w:w="1693" w:type="dxa"/>
            <w:vAlign w:val="top"/>
          </w:tcPr>
          <w:p w14:paraId="63530113">
            <w:pPr>
              <w:pStyle w:val="6"/>
              <w:spacing w:before="114" w:line="190" w:lineRule="auto"/>
              <w:ind w:left="140"/>
            </w:pPr>
            <w:r>
              <w:rPr>
                <w:i/>
                <w:iCs/>
              </w:rPr>
              <w:t>Minla</w:t>
            </w:r>
            <w:r>
              <w:rPr>
                <w:i/>
                <w:iCs/>
                <w:spacing w:val="7"/>
              </w:rPr>
              <w:t xml:space="preserve"> </w:t>
            </w:r>
            <w:r>
              <w:rPr>
                <w:i/>
                <w:iCs/>
              </w:rPr>
              <w:t>ignotincta</w:t>
            </w:r>
          </w:p>
        </w:tc>
        <w:tc>
          <w:tcPr>
            <w:tcW w:w="845" w:type="dxa"/>
            <w:tcBorders>
              <w:right w:val="single" w:color="000000" w:sz="12" w:space="0"/>
            </w:tcBorders>
            <w:vAlign w:val="top"/>
          </w:tcPr>
          <w:p w14:paraId="5AAF5867">
            <w:pPr>
              <w:rPr>
                <w:rFonts w:ascii="Arial"/>
                <w:sz w:val="21"/>
              </w:rPr>
            </w:pPr>
          </w:p>
        </w:tc>
      </w:tr>
      <w:tr w14:paraId="5E118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6F77F45">
            <w:pPr>
              <w:pStyle w:val="6"/>
              <w:spacing w:before="213" w:line="235" w:lineRule="auto"/>
              <w:ind w:left="270"/>
            </w:pPr>
            <w:r>
              <w:rPr>
                <w:spacing w:val="-6"/>
              </w:rPr>
              <w:t>114</w:t>
            </w:r>
          </w:p>
        </w:tc>
        <w:tc>
          <w:tcPr>
            <w:tcW w:w="1270" w:type="dxa"/>
            <w:vAlign w:val="top"/>
          </w:tcPr>
          <w:p w14:paraId="068BDCBC">
            <w:pPr>
              <w:spacing w:before="179" w:line="220" w:lineRule="auto"/>
              <w:ind w:left="213"/>
              <w:rPr>
                <w:rFonts w:ascii="宋体" w:hAnsi="宋体" w:eastAsia="宋体" w:cs="宋体"/>
                <w:sz w:val="21"/>
                <w:szCs w:val="21"/>
              </w:rPr>
            </w:pPr>
            <w:r>
              <w:rPr>
                <w:rFonts w:ascii="宋体" w:hAnsi="宋体" w:eastAsia="宋体" w:cs="宋体"/>
                <w:spacing w:val="-3"/>
                <w:sz w:val="21"/>
                <w:szCs w:val="21"/>
              </w:rPr>
              <w:t>黑头奇鹃</w:t>
            </w:r>
          </w:p>
        </w:tc>
        <w:tc>
          <w:tcPr>
            <w:tcW w:w="1554" w:type="dxa"/>
            <w:vAlign w:val="top"/>
          </w:tcPr>
          <w:p w14:paraId="7E4B7E6A">
            <w:pPr>
              <w:pStyle w:val="6"/>
              <w:spacing w:before="92" w:line="190" w:lineRule="auto"/>
              <w:ind w:left="188"/>
            </w:pPr>
            <w:r>
              <w:rPr>
                <w:i/>
                <w:iCs/>
              </w:rPr>
              <w:t>Heterophasia</w:t>
            </w:r>
          </w:p>
          <w:p w14:paraId="06A7297C">
            <w:pPr>
              <w:pStyle w:val="6"/>
              <w:spacing w:before="50" w:line="190" w:lineRule="auto"/>
              <w:ind w:left="320"/>
            </w:pPr>
            <w:r>
              <w:rPr>
                <w:i/>
                <w:iCs/>
                <w:spacing w:val="-1"/>
              </w:rPr>
              <w:t>desgodinsi</w:t>
            </w:r>
          </w:p>
        </w:tc>
        <w:tc>
          <w:tcPr>
            <w:tcW w:w="989" w:type="dxa"/>
            <w:vAlign w:val="top"/>
          </w:tcPr>
          <w:p w14:paraId="11C83A7E">
            <w:pPr>
              <w:pStyle w:val="6"/>
              <w:spacing w:before="213" w:line="232" w:lineRule="auto"/>
              <w:ind w:left="390"/>
            </w:pPr>
            <w:r>
              <w:rPr>
                <w:spacing w:val="-2"/>
              </w:rPr>
              <w:t>77</w:t>
            </w:r>
          </w:p>
        </w:tc>
        <w:tc>
          <w:tcPr>
            <w:tcW w:w="1272" w:type="dxa"/>
            <w:vAlign w:val="top"/>
          </w:tcPr>
          <w:p w14:paraId="1924490A">
            <w:pPr>
              <w:spacing w:before="179" w:line="220" w:lineRule="auto"/>
              <w:ind w:left="227"/>
              <w:rPr>
                <w:rFonts w:ascii="宋体" w:hAnsi="宋体" w:eastAsia="宋体" w:cs="宋体"/>
                <w:sz w:val="21"/>
                <w:szCs w:val="21"/>
              </w:rPr>
            </w:pPr>
            <w:r>
              <w:rPr>
                <w:rFonts w:ascii="宋体" w:hAnsi="宋体" w:eastAsia="宋体" w:cs="宋体"/>
                <w:spacing w:val="-3"/>
                <w:sz w:val="21"/>
                <w:szCs w:val="21"/>
              </w:rPr>
              <w:t>黑头奇鹃</w:t>
            </w:r>
          </w:p>
        </w:tc>
        <w:tc>
          <w:tcPr>
            <w:tcW w:w="1693" w:type="dxa"/>
            <w:vAlign w:val="top"/>
          </w:tcPr>
          <w:p w14:paraId="5445ED77">
            <w:pPr>
              <w:pStyle w:val="6"/>
              <w:spacing w:before="92" w:line="190" w:lineRule="auto"/>
              <w:ind w:left="272"/>
            </w:pPr>
            <w:r>
              <w:rPr>
                <w:i/>
                <w:iCs/>
              </w:rPr>
              <w:t>Heterophasia</w:t>
            </w:r>
          </w:p>
          <w:p w14:paraId="7B15D082">
            <w:pPr>
              <w:pStyle w:val="6"/>
              <w:spacing w:before="50" w:line="190" w:lineRule="auto"/>
              <w:ind w:left="404"/>
            </w:pPr>
            <w:r>
              <w:rPr>
                <w:i/>
                <w:iCs/>
                <w:spacing w:val="-1"/>
              </w:rPr>
              <w:t>desgodinsi</w:t>
            </w:r>
          </w:p>
        </w:tc>
        <w:tc>
          <w:tcPr>
            <w:tcW w:w="845" w:type="dxa"/>
            <w:tcBorders>
              <w:right w:val="single" w:color="000000" w:sz="12" w:space="0"/>
            </w:tcBorders>
            <w:vAlign w:val="top"/>
          </w:tcPr>
          <w:p w14:paraId="3A45F99D">
            <w:pPr>
              <w:rPr>
                <w:rFonts w:ascii="Arial"/>
                <w:sz w:val="21"/>
              </w:rPr>
            </w:pPr>
          </w:p>
        </w:tc>
      </w:tr>
      <w:tr w14:paraId="14513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4FE6DF6">
            <w:pPr>
              <w:pStyle w:val="6"/>
              <w:spacing w:before="121" w:line="186" w:lineRule="auto"/>
              <w:ind w:left="238"/>
            </w:pPr>
            <w:r>
              <w:rPr>
                <w:b/>
                <w:bCs/>
                <w:spacing w:val="-2"/>
              </w:rPr>
              <w:t>F39</w:t>
            </w:r>
          </w:p>
        </w:tc>
        <w:tc>
          <w:tcPr>
            <w:tcW w:w="1270" w:type="dxa"/>
            <w:vAlign w:val="top"/>
          </w:tcPr>
          <w:p w14:paraId="6E4DCDB8">
            <w:pPr>
              <w:spacing w:before="82" w:line="219" w:lineRule="auto"/>
              <w:ind w:left="415"/>
              <w:rPr>
                <w:rFonts w:ascii="宋体" w:hAnsi="宋体" w:eastAsia="宋体" w:cs="宋体"/>
                <w:sz w:val="21"/>
                <w:szCs w:val="21"/>
              </w:rPr>
            </w:pPr>
            <w:r>
              <w:rPr>
                <w:rFonts w:ascii="宋体" w:hAnsi="宋体" w:eastAsia="宋体" w:cs="宋体"/>
                <w:b/>
                <w:bCs/>
                <w:spacing w:val="-4"/>
                <w:sz w:val="21"/>
                <w:szCs w:val="21"/>
              </w:rPr>
              <w:t>鹂科</w:t>
            </w:r>
          </w:p>
        </w:tc>
        <w:tc>
          <w:tcPr>
            <w:tcW w:w="1554" w:type="dxa"/>
            <w:vAlign w:val="top"/>
          </w:tcPr>
          <w:p w14:paraId="183D5580">
            <w:pPr>
              <w:pStyle w:val="6"/>
              <w:spacing w:before="120" w:line="187" w:lineRule="auto"/>
              <w:ind w:left="432"/>
            </w:pPr>
            <w:r>
              <w:rPr>
                <w:b/>
                <w:bCs/>
                <w:spacing w:val="-2"/>
              </w:rPr>
              <w:t>Sittidae</w:t>
            </w:r>
          </w:p>
        </w:tc>
        <w:tc>
          <w:tcPr>
            <w:tcW w:w="989" w:type="dxa"/>
            <w:vAlign w:val="top"/>
          </w:tcPr>
          <w:p w14:paraId="43938C2A">
            <w:pPr>
              <w:pStyle w:val="6"/>
              <w:spacing w:before="121" w:line="186" w:lineRule="auto"/>
              <w:ind w:left="323"/>
            </w:pPr>
            <w:r>
              <w:rPr>
                <w:b/>
                <w:bCs/>
                <w:spacing w:val="-2"/>
              </w:rPr>
              <w:t>F35</w:t>
            </w:r>
          </w:p>
        </w:tc>
        <w:tc>
          <w:tcPr>
            <w:tcW w:w="1272" w:type="dxa"/>
            <w:vAlign w:val="top"/>
          </w:tcPr>
          <w:p w14:paraId="0A2B7F43">
            <w:pPr>
              <w:spacing w:before="82" w:line="219" w:lineRule="auto"/>
              <w:ind w:left="428"/>
              <w:rPr>
                <w:rFonts w:ascii="宋体" w:hAnsi="宋体" w:eastAsia="宋体" w:cs="宋体"/>
                <w:sz w:val="21"/>
                <w:szCs w:val="21"/>
              </w:rPr>
            </w:pPr>
            <w:r>
              <w:rPr>
                <w:rFonts w:ascii="宋体" w:hAnsi="宋体" w:eastAsia="宋体" w:cs="宋体"/>
                <w:b/>
                <w:bCs/>
                <w:spacing w:val="-4"/>
                <w:sz w:val="21"/>
                <w:szCs w:val="21"/>
              </w:rPr>
              <w:t>鹂科</w:t>
            </w:r>
          </w:p>
        </w:tc>
        <w:tc>
          <w:tcPr>
            <w:tcW w:w="1693" w:type="dxa"/>
            <w:vAlign w:val="top"/>
          </w:tcPr>
          <w:p w14:paraId="01F2A569">
            <w:pPr>
              <w:pStyle w:val="6"/>
              <w:spacing w:before="120" w:line="187" w:lineRule="auto"/>
              <w:ind w:left="517"/>
            </w:pPr>
            <w:r>
              <w:rPr>
                <w:b/>
                <w:bCs/>
                <w:spacing w:val="-2"/>
              </w:rPr>
              <w:t>Sittidae</w:t>
            </w:r>
          </w:p>
        </w:tc>
        <w:tc>
          <w:tcPr>
            <w:tcW w:w="845" w:type="dxa"/>
            <w:tcBorders>
              <w:right w:val="single" w:color="000000" w:sz="12" w:space="0"/>
            </w:tcBorders>
            <w:vAlign w:val="top"/>
          </w:tcPr>
          <w:p w14:paraId="301B7849">
            <w:pPr>
              <w:rPr>
                <w:rFonts w:ascii="Arial"/>
                <w:sz w:val="21"/>
              </w:rPr>
            </w:pPr>
          </w:p>
        </w:tc>
      </w:tr>
      <w:tr w14:paraId="0DBF1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377AC586">
            <w:pPr>
              <w:pStyle w:val="6"/>
              <w:spacing w:before="117" w:line="232" w:lineRule="auto"/>
              <w:ind w:left="270"/>
            </w:pPr>
            <w:r>
              <w:rPr>
                <w:spacing w:val="-6"/>
              </w:rPr>
              <w:t>115</w:t>
            </w:r>
          </w:p>
        </w:tc>
        <w:tc>
          <w:tcPr>
            <w:tcW w:w="1270" w:type="dxa"/>
            <w:vAlign w:val="top"/>
          </w:tcPr>
          <w:p w14:paraId="0D47FEFB">
            <w:pPr>
              <w:spacing w:before="82" w:line="220" w:lineRule="auto"/>
              <w:ind w:left="312"/>
              <w:rPr>
                <w:rFonts w:ascii="宋体" w:hAnsi="宋体" w:eastAsia="宋体" w:cs="宋体"/>
                <w:sz w:val="21"/>
                <w:szCs w:val="21"/>
              </w:rPr>
            </w:pPr>
            <w:r>
              <w:rPr>
                <w:rFonts w:ascii="宋体" w:hAnsi="宋体" w:eastAsia="宋体" w:cs="宋体"/>
                <w:spacing w:val="-2"/>
                <w:sz w:val="21"/>
                <w:szCs w:val="21"/>
              </w:rPr>
              <w:t>普通鹂</w:t>
            </w:r>
          </w:p>
        </w:tc>
        <w:tc>
          <w:tcPr>
            <w:tcW w:w="1554" w:type="dxa"/>
            <w:vAlign w:val="top"/>
          </w:tcPr>
          <w:p w14:paraId="2B67D27D">
            <w:pPr>
              <w:pStyle w:val="6"/>
              <w:spacing w:before="117" w:line="190" w:lineRule="auto"/>
              <w:ind w:left="152"/>
            </w:pPr>
            <w:r>
              <w:rPr>
                <w:i/>
                <w:iCs/>
                <w:spacing w:val="-1"/>
              </w:rPr>
              <w:t>Sitta europaea</w:t>
            </w:r>
          </w:p>
        </w:tc>
        <w:tc>
          <w:tcPr>
            <w:tcW w:w="989" w:type="dxa"/>
            <w:vAlign w:val="top"/>
          </w:tcPr>
          <w:p w14:paraId="627A031B">
            <w:pPr>
              <w:rPr>
                <w:rFonts w:ascii="Arial"/>
                <w:sz w:val="21"/>
              </w:rPr>
            </w:pPr>
          </w:p>
        </w:tc>
        <w:tc>
          <w:tcPr>
            <w:tcW w:w="1272" w:type="dxa"/>
            <w:vAlign w:val="top"/>
          </w:tcPr>
          <w:p w14:paraId="0D7F4BCC">
            <w:pPr>
              <w:rPr>
                <w:rFonts w:ascii="Arial"/>
                <w:sz w:val="21"/>
              </w:rPr>
            </w:pPr>
          </w:p>
        </w:tc>
        <w:tc>
          <w:tcPr>
            <w:tcW w:w="1693" w:type="dxa"/>
            <w:vAlign w:val="top"/>
          </w:tcPr>
          <w:p w14:paraId="5A7C0791">
            <w:pPr>
              <w:rPr>
                <w:rFonts w:ascii="Arial"/>
                <w:sz w:val="21"/>
              </w:rPr>
            </w:pPr>
          </w:p>
        </w:tc>
        <w:tc>
          <w:tcPr>
            <w:tcW w:w="845" w:type="dxa"/>
            <w:tcBorders>
              <w:right w:val="single" w:color="000000" w:sz="12" w:space="0"/>
            </w:tcBorders>
            <w:vAlign w:val="top"/>
          </w:tcPr>
          <w:p w14:paraId="51AAC5A6">
            <w:pPr>
              <w:rPr>
                <w:rFonts w:ascii="Arial"/>
                <w:sz w:val="21"/>
              </w:rPr>
            </w:pPr>
          </w:p>
        </w:tc>
      </w:tr>
      <w:tr w14:paraId="3D9DB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027BD535">
            <w:pPr>
              <w:rPr>
                <w:rFonts w:ascii="Arial"/>
                <w:sz w:val="21"/>
              </w:rPr>
            </w:pPr>
          </w:p>
        </w:tc>
        <w:tc>
          <w:tcPr>
            <w:tcW w:w="1270" w:type="dxa"/>
            <w:vAlign w:val="top"/>
          </w:tcPr>
          <w:p w14:paraId="748EF686">
            <w:pPr>
              <w:rPr>
                <w:rFonts w:ascii="Arial"/>
                <w:sz w:val="21"/>
              </w:rPr>
            </w:pPr>
          </w:p>
        </w:tc>
        <w:tc>
          <w:tcPr>
            <w:tcW w:w="1554" w:type="dxa"/>
            <w:vAlign w:val="top"/>
          </w:tcPr>
          <w:p w14:paraId="75FB9D20">
            <w:pPr>
              <w:rPr>
                <w:rFonts w:ascii="Arial"/>
                <w:sz w:val="21"/>
              </w:rPr>
            </w:pPr>
          </w:p>
        </w:tc>
        <w:tc>
          <w:tcPr>
            <w:tcW w:w="989" w:type="dxa"/>
            <w:vAlign w:val="top"/>
          </w:tcPr>
          <w:p w14:paraId="73F6B141">
            <w:pPr>
              <w:pStyle w:val="6"/>
              <w:spacing w:before="118" w:line="232" w:lineRule="auto"/>
              <w:ind w:left="390"/>
            </w:pPr>
            <w:r>
              <w:rPr>
                <w:spacing w:val="-2"/>
              </w:rPr>
              <w:t>78</w:t>
            </w:r>
          </w:p>
        </w:tc>
        <w:tc>
          <w:tcPr>
            <w:tcW w:w="1272" w:type="dxa"/>
            <w:vAlign w:val="top"/>
          </w:tcPr>
          <w:p w14:paraId="445B48A3">
            <w:pPr>
              <w:spacing w:before="86" w:line="220" w:lineRule="auto"/>
              <w:ind w:left="325"/>
              <w:rPr>
                <w:rFonts w:ascii="宋体" w:hAnsi="宋体" w:eastAsia="宋体" w:cs="宋体"/>
                <w:sz w:val="21"/>
                <w:szCs w:val="21"/>
              </w:rPr>
            </w:pPr>
            <w:r>
              <w:rPr>
                <w:rFonts w:ascii="宋体" w:hAnsi="宋体" w:eastAsia="宋体" w:cs="宋体"/>
                <w:spacing w:val="-2"/>
                <w:sz w:val="21"/>
                <w:szCs w:val="21"/>
              </w:rPr>
              <w:t>栗臀鹂</w:t>
            </w:r>
          </w:p>
        </w:tc>
        <w:tc>
          <w:tcPr>
            <w:tcW w:w="1693" w:type="dxa"/>
            <w:vAlign w:val="top"/>
          </w:tcPr>
          <w:p w14:paraId="5E1204BF">
            <w:pPr>
              <w:pStyle w:val="6"/>
              <w:spacing w:before="118" w:line="190" w:lineRule="auto"/>
              <w:ind w:left="213"/>
            </w:pPr>
            <w:r>
              <w:rPr>
                <w:i/>
                <w:iCs/>
                <w:spacing w:val="-1"/>
              </w:rPr>
              <w:t>Sitta nagaensis</w:t>
            </w:r>
          </w:p>
        </w:tc>
        <w:tc>
          <w:tcPr>
            <w:tcW w:w="845" w:type="dxa"/>
            <w:tcBorders>
              <w:right w:val="single" w:color="000000" w:sz="12" w:space="0"/>
            </w:tcBorders>
            <w:vAlign w:val="top"/>
          </w:tcPr>
          <w:p w14:paraId="68C47CC0">
            <w:pPr>
              <w:rPr>
                <w:rFonts w:ascii="Arial"/>
                <w:sz w:val="21"/>
              </w:rPr>
            </w:pPr>
          </w:p>
        </w:tc>
      </w:tr>
      <w:tr w14:paraId="69CAB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850" w:type="dxa"/>
            <w:tcBorders>
              <w:left w:val="single" w:color="000000" w:sz="12" w:space="0"/>
            </w:tcBorders>
            <w:vAlign w:val="top"/>
          </w:tcPr>
          <w:p w14:paraId="53554262">
            <w:pPr>
              <w:spacing w:line="307" w:lineRule="auto"/>
              <w:rPr>
                <w:rFonts w:ascii="Arial"/>
                <w:sz w:val="21"/>
              </w:rPr>
            </w:pPr>
          </w:p>
          <w:p w14:paraId="5872EE1D">
            <w:pPr>
              <w:pStyle w:val="6"/>
              <w:spacing w:before="61" w:line="232" w:lineRule="auto"/>
              <w:ind w:left="270"/>
            </w:pPr>
            <w:r>
              <w:rPr>
                <w:spacing w:val="-6"/>
              </w:rPr>
              <w:t>116</w:t>
            </w:r>
          </w:p>
        </w:tc>
        <w:tc>
          <w:tcPr>
            <w:tcW w:w="1270" w:type="dxa"/>
            <w:vAlign w:val="top"/>
          </w:tcPr>
          <w:p w14:paraId="0BA8BA10">
            <w:pPr>
              <w:spacing w:line="265" w:lineRule="auto"/>
              <w:rPr>
                <w:rFonts w:ascii="Arial"/>
                <w:sz w:val="21"/>
              </w:rPr>
            </w:pPr>
          </w:p>
          <w:p w14:paraId="09CBA1D1">
            <w:pPr>
              <w:spacing w:before="68" w:line="220" w:lineRule="auto"/>
              <w:ind w:left="417"/>
              <w:rPr>
                <w:rFonts w:ascii="宋体" w:hAnsi="宋体" w:eastAsia="宋体" w:cs="宋体"/>
                <w:sz w:val="21"/>
                <w:szCs w:val="21"/>
              </w:rPr>
            </w:pPr>
            <w:r>
              <w:rPr>
                <w:rFonts w:ascii="宋体" w:hAnsi="宋体" w:eastAsia="宋体" w:cs="宋体"/>
                <w:spacing w:val="-3"/>
                <w:sz w:val="21"/>
                <w:szCs w:val="21"/>
              </w:rPr>
              <w:t>滇鹂</w:t>
            </w:r>
          </w:p>
        </w:tc>
        <w:tc>
          <w:tcPr>
            <w:tcW w:w="1554" w:type="dxa"/>
            <w:vAlign w:val="top"/>
          </w:tcPr>
          <w:p w14:paraId="4C156BD4">
            <w:pPr>
              <w:pStyle w:val="6"/>
              <w:spacing w:before="251" w:line="186" w:lineRule="auto"/>
              <w:ind w:left="574"/>
            </w:pPr>
            <w:r>
              <w:rPr>
                <w:i/>
                <w:iCs/>
              </w:rPr>
              <w:t>Sitta</w:t>
            </w:r>
          </w:p>
          <w:p w14:paraId="44FA8180">
            <w:pPr>
              <w:pStyle w:val="6"/>
              <w:spacing w:before="51" w:line="190" w:lineRule="auto"/>
              <w:ind w:left="230"/>
            </w:pPr>
            <w:r>
              <w:rPr>
                <w:i/>
                <w:iCs/>
                <w:spacing w:val="1"/>
              </w:rPr>
              <w:t>yunnanensis</w:t>
            </w:r>
          </w:p>
        </w:tc>
        <w:tc>
          <w:tcPr>
            <w:tcW w:w="989" w:type="dxa"/>
            <w:vAlign w:val="top"/>
          </w:tcPr>
          <w:p w14:paraId="28D4CF0D">
            <w:pPr>
              <w:rPr>
                <w:rFonts w:ascii="Arial"/>
                <w:sz w:val="21"/>
              </w:rPr>
            </w:pPr>
          </w:p>
        </w:tc>
        <w:tc>
          <w:tcPr>
            <w:tcW w:w="1272" w:type="dxa"/>
            <w:vAlign w:val="top"/>
          </w:tcPr>
          <w:p w14:paraId="36125E58">
            <w:pPr>
              <w:rPr>
                <w:rFonts w:ascii="Arial"/>
                <w:sz w:val="21"/>
              </w:rPr>
            </w:pPr>
          </w:p>
        </w:tc>
        <w:tc>
          <w:tcPr>
            <w:tcW w:w="1693" w:type="dxa"/>
            <w:vAlign w:val="top"/>
          </w:tcPr>
          <w:p w14:paraId="17D8E496">
            <w:pPr>
              <w:rPr>
                <w:rFonts w:ascii="Arial"/>
                <w:sz w:val="21"/>
              </w:rPr>
            </w:pPr>
          </w:p>
        </w:tc>
        <w:tc>
          <w:tcPr>
            <w:tcW w:w="845" w:type="dxa"/>
            <w:tcBorders>
              <w:right w:val="single" w:color="000000" w:sz="12" w:space="0"/>
            </w:tcBorders>
            <w:vAlign w:val="top"/>
          </w:tcPr>
          <w:p w14:paraId="2D402913">
            <w:pPr>
              <w:pStyle w:val="6"/>
              <w:spacing w:before="103" w:line="183" w:lineRule="auto"/>
              <w:ind w:left="238"/>
            </w:pPr>
            <w:r>
              <w:rPr>
                <w:spacing w:val="-1"/>
              </w:rPr>
              <w:t>VU-</w:t>
            </w:r>
          </w:p>
          <w:p w14:paraId="3FEFAA8B">
            <w:pPr>
              <w:pStyle w:val="6"/>
              <w:spacing w:before="31" w:line="220" w:lineRule="auto"/>
              <w:ind w:left="150"/>
              <w:rPr>
                <w:rFonts w:ascii="宋体" w:hAnsi="宋体" w:eastAsia="宋体" w:cs="宋体"/>
              </w:rPr>
            </w:pPr>
            <w:r>
              <w:rPr>
                <w:spacing w:val="-4"/>
              </w:rPr>
              <w:t>C</w:t>
            </w:r>
            <w:r>
              <w:rPr>
                <w:rFonts w:ascii="宋体" w:hAnsi="宋体" w:eastAsia="宋体" w:cs="宋体"/>
                <w:spacing w:val="-4"/>
              </w:rPr>
              <w:t>、特</w:t>
            </w:r>
          </w:p>
          <w:p w14:paraId="6258289D">
            <w:pPr>
              <w:spacing w:before="22" w:line="220" w:lineRule="auto"/>
              <w:ind w:left="327"/>
              <w:rPr>
                <w:rFonts w:ascii="宋体" w:hAnsi="宋体" w:eastAsia="宋体" w:cs="宋体"/>
                <w:sz w:val="21"/>
                <w:szCs w:val="21"/>
              </w:rPr>
            </w:pPr>
            <w:r>
              <w:rPr>
                <w:rFonts w:ascii="宋体" w:hAnsi="宋体" w:eastAsia="宋体" w:cs="宋体"/>
                <w:sz w:val="21"/>
                <w:szCs w:val="21"/>
              </w:rPr>
              <w:t>有</w:t>
            </w:r>
          </w:p>
        </w:tc>
      </w:tr>
      <w:tr w14:paraId="47AB3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6769D413">
            <w:pPr>
              <w:pStyle w:val="6"/>
              <w:spacing w:before="220" w:line="232" w:lineRule="auto"/>
              <w:ind w:left="270"/>
            </w:pPr>
            <w:r>
              <w:rPr>
                <w:spacing w:val="-6"/>
              </w:rPr>
              <w:t>117</w:t>
            </w:r>
          </w:p>
        </w:tc>
        <w:tc>
          <w:tcPr>
            <w:tcW w:w="1270" w:type="dxa"/>
            <w:vAlign w:val="top"/>
          </w:tcPr>
          <w:p w14:paraId="1C388FAA">
            <w:pPr>
              <w:spacing w:before="186" w:line="220" w:lineRule="auto"/>
              <w:ind w:left="108"/>
              <w:rPr>
                <w:rFonts w:ascii="宋体" w:hAnsi="宋体" w:eastAsia="宋体" w:cs="宋体"/>
                <w:sz w:val="21"/>
                <w:szCs w:val="21"/>
              </w:rPr>
            </w:pPr>
            <w:r>
              <w:rPr>
                <w:rFonts w:ascii="宋体" w:hAnsi="宋体" w:eastAsia="宋体" w:cs="宋体"/>
                <w:spacing w:val="-3"/>
                <w:sz w:val="21"/>
                <w:szCs w:val="21"/>
              </w:rPr>
              <w:t>红翅旋壁雀</w:t>
            </w:r>
          </w:p>
        </w:tc>
        <w:tc>
          <w:tcPr>
            <w:tcW w:w="1554" w:type="dxa"/>
            <w:vAlign w:val="top"/>
          </w:tcPr>
          <w:p w14:paraId="38153671">
            <w:pPr>
              <w:pStyle w:val="6"/>
              <w:spacing w:before="98" w:line="190" w:lineRule="auto"/>
              <w:ind w:left="267"/>
            </w:pPr>
            <w:r>
              <w:rPr>
                <w:i/>
                <w:iCs/>
                <w:spacing w:val="-2"/>
              </w:rPr>
              <w:t>Tichodroma</w:t>
            </w:r>
          </w:p>
          <w:p w14:paraId="796FF1D1">
            <w:pPr>
              <w:pStyle w:val="6"/>
              <w:spacing w:before="50" w:line="215" w:lineRule="auto"/>
              <w:ind w:left="425"/>
            </w:pPr>
            <w:r>
              <w:rPr>
                <w:i/>
                <w:iCs/>
                <w:spacing w:val="-1"/>
              </w:rPr>
              <w:t>muraria</w:t>
            </w:r>
          </w:p>
        </w:tc>
        <w:tc>
          <w:tcPr>
            <w:tcW w:w="989" w:type="dxa"/>
            <w:vAlign w:val="top"/>
          </w:tcPr>
          <w:p w14:paraId="78E35E4D">
            <w:pPr>
              <w:rPr>
                <w:rFonts w:ascii="Arial"/>
                <w:sz w:val="21"/>
              </w:rPr>
            </w:pPr>
          </w:p>
        </w:tc>
        <w:tc>
          <w:tcPr>
            <w:tcW w:w="1272" w:type="dxa"/>
            <w:vAlign w:val="top"/>
          </w:tcPr>
          <w:p w14:paraId="6B14EC9E">
            <w:pPr>
              <w:rPr>
                <w:rFonts w:ascii="Arial"/>
                <w:sz w:val="21"/>
              </w:rPr>
            </w:pPr>
          </w:p>
        </w:tc>
        <w:tc>
          <w:tcPr>
            <w:tcW w:w="1693" w:type="dxa"/>
            <w:vAlign w:val="top"/>
          </w:tcPr>
          <w:p w14:paraId="09F5C971">
            <w:pPr>
              <w:rPr>
                <w:rFonts w:ascii="Arial"/>
                <w:sz w:val="21"/>
              </w:rPr>
            </w:pPr>
          </w:p>
        </w:tc>
        <w:tc>
          <w:tcPr>
            <w:tcW w:w="845" w:type="dxa"/>
            <w:tcBorders>
              <w:right w:val="single" w:color="000000" w:sz="12" w:space="0"/>
            </w:tcBorders>
            <w:vAlign w:val="top"/>
          </w:tcPr>
          <w:p w14:paraId="0241300E">
            <w:pPr>
              <w:rPr>
                <w:rFonts w:ascii="Arial"/>
                <w:sz w:val="21"/>
              </w:rPr>
            </w:pPr>
          </w:p>
        </w:tc>
      </w:tr>
      <w:tr w14:paraId="1992D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13920EE">
            <w:pPr>
              <w:pStyle w:val="6"/>
              <w:spacing w:before="126" w:line="186" w:lineRule="auto"/>
              <w:ind w:left="238"/>
            </w:pPr>
            <w:r>
              <w:rPr>
                <w:b/>
                <w:bCs/>
                <w:spacing w:val="-2"/>
              </w:rPr>
              <w:t>F40</w:t>
            </w:r>
          </w:p>
        </w:tc>
        <w:tc>
          <w:tcPr>
            <w:tcW w:w="1270" w:type="dxa"/>
            <w:vAlign w:val="top"/>
          </w:tcPr>
          <w:p w14:paraId="0DBD2685">
            <w:pPr>
              <w:spacing w:before="87" w:line="219" w:lineRule="auto"/>
              <w:ind w:left="311"/>
              <w:rPr>
                <w:rFonts w:ascii="宋体" w:hAnsi="宋体" w:eastAsia="宋体" w:cs="宋体"/>
                <w:sz w:val="21"/>
                <w:szCs w:val="21"/>
              </w:rPr>
            </w:pPr>
            <w:r>
              <w:rPr>
                <w:rFonts w:ascii="宋体" w:hAnsi="宋体" w:eastAsia="宋体" w:cs="宋体"/>
                <w:b/>
                <w:bCs/>
                <w:spacing w:val="-4"/>
                <w:sz w:val="21"/>
                <w:szCs w:val="21"/>
              </w:rPr>
              <w:t>鹧翦科</w:t>
            </w:r>
          </w:p>
        </w:tc>
        <w:tc>
          <w:tcPr>
            <w:tcW w:w="1554" w:type="dxa"/>
            <w:vAlign w:val="top"/>
          </w:tcPr>
          <w:p w14:paraId="256BD248">
            <w:pPr>
              <w:pStyle w:val="6"/>
              <w:spacing w:before="126" w:line="186" w:lineRule="auto"/>
              <w:ind w:left="137"/>
            </w:pPr>
            <w:r>
              <w:rPr>
                <w:b/>
                <w:bCs/>
                <w:spacing w:val="-1"/>
              </w:rPr>
              <w:t>Troglodytidae</w:t>
            </w:r>
          </w:p>
        </w:tc>
        <w:tc>
          <w:tcPr>
            <w:tcW w:w="989" w:type="dxa"/>
            <w:vAlign w:val="top"/>
          </w:tcPr>
          <w:p w14:paraId="0057398C">
            <w:pPr>
              <w:rPr>
                <w:rFonts w:ascii="Arial"/>
                <w:sz w:val="21"/>
              </w:rPr>
            </w:pPr>
          </w:p>
        </w:tc>
        <w:tc>
          <w:tcPr>
            <w:tcW w:w="1272" w:type="dxa"/>
            <w:vAlign w:val="top"/>
          </w:tcPr>
          <w:p w14:paraId="364308AB">
            <w:pPr>
              <w:rPr>
                <w:rFonts w:ascii="Arial"/>
                <w:sz w:val="21"/>
              </w:rPr>
            </w:pPr>
          </w:p>
        </w:tc>
        <w:tc>
          <w:tcPr>
            <w:tcW w:w="1693" w:type="dxa"/>
            <w:vAlign w:val="top"/>
          </w:tcPr>
          <w:p w14:paraId="23FDB8C5">
            <w:pPr>
              <w:rPr>
                <w:rFonts w:ascii="Arial"/>
                <w:sz w:val="21"/>
              </w:rPr>
            </w:pPr>
          </w:p>
        </w:tc>
        <w:tc>
          <w:tcPr>
            <w:tcW w:w="845" w:type="dxa"/>
            <w:tcBorders>
              <w:right w:val="single" w:color="000000" w:sz="12" w:space="0"/>
            </w:tcBorders>
            <w:vAlign w:val="top"/>
          </w:tcPr>
          <w:p w14:paraId="6839C00C">
            <w:pPr>
              <w:rPr>
                <w:rFonts w:ascii="Arial"/>
                <w:sz w:val="21"/>
              </w:rPr>
            </w:pPr>
          </w:p>
        </w:tc>
      </w:tr>
      <w:tr w14:paraId="75D63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F8E2563">
            <w:pPr>
              <w:pStyle w:val="6"/>
              <w:spacing w:before="221" w:line="232" w:lineRule="auto"/>
              <w:ind w:left="270"/>
            </w:pPr>
            <w:r>
              <w:rPr>
                <w:spacing w:val="-6"/>
              </w:rPr>
              <w:t>118</w:t>
            </w:r>
          </w:p>
        </w:tc>
        <w:tc>
          <w:tcPr>
            <w:tcW w:w="1270" w:type="dxa"/>
            <w:vAlign w:val="top"/>
          </w:tcPr>
          <w:p w14:paraId="73A6489A">
            <w:pPr>
              <w:spacing w:before="186" w:line="220" w:lineRule="auto"/>
              <w:ind w:left="417"/>
              <w:rPr>
                <w:rFonts w:ascii="宋体" w:hAnsi="宋体" w:eastAsia="宋体" w:cs="宋体"/>
                <w:sz w:val="21"/>
                <w:szCs w:val="21"/>
              </w:rPr>
            </w:pPr>
            <w:r>
              <w:rPr>
                <w:rFonts w:ascii="宋体" w:hAnsi="宋体" w:eastAsia="宋体" w:cs="宋体"/>
                <w:spacing w:val="-3"/>
                <w:sz w:val="21"/>
                <w:szCs w:val="21"/>
              </w:rPr>
              <w:t>鹧翦</w:t>
            </w:r>
          </w:p>
        </w:tc>
        <w:tc>
          <w:tcPr>
            <w:tcW w:w="1554" w:type="dxa"/>
            <w:vAlign w:val="top"/>
          </w:tcPr>
          <w:p w14:paraId="08FA28D7">
            <w:pPr>
              <w:pStyle w:val="6"/>
              <w:spacing w:before="100" w:line="190" w:lineRule="auto"/>
              <w:ind w:left="278"/>
            </w:pPr>
            <w:r>
              <w:rPr>
                <w:i/>
                <w:iCs/>
                <w:spacing w:val="-2"/>
              </w:rPr>
              <w:t>Troglodytes</w:t>
            </w:r>
          </w:p>
          <w:p w14:paraId="780ADB38">
            <w:pPr>
              <w:pStyle w:val="6"/>
              <w:spacing w:before="50" w:line="190" w:lineRule="auto"/>
              <w:ind w:left="302"/>
            </w:pPr>
            <w:r>
              <w:rPr>
                <w:i/>
                <w:iCs/>
                <w:spacing w:val="-1"/>
              </w:rPr>
              <w:t>troglodytes</w:t>
            </w:r>
          </w:p>
        </w:tc>
        <w:tc>
          <w:tcPr>
            <w:tcW w:w="989" w:type="dxa"/>
            <w:vAlign w:val="top"/>
          </w:tcPr>
          <w:p w14:paraId="4455CABB">
            <w:pPr>
              <w:rPr>
                <w:rFonts w:ascii="Arial"/>
                <w:sz w:val="21"/>
              </w:rPr>
            </w:pPr>
          </w:p>
        </w:tc>
        <w:tc>
          <w:tcPr>
            <w:tcW w:w="1272" w:type="dxa"/>
            <w:vAlign w:val="top"/>
          </w:tcPr>
          <w:p w14:paraId="622325A9">
            <w:pPr>
              <w:rPr>
                <w:rFonts w:ascii="Arial"/>
                <w:sz w:val="21"/>
              </w:rPr>
            </w:pPr>
          </w:p>
        </w:tc>
        <w:tc>
          <w:tcPr>
            <w:tcW w:w="1693" w:type="dxa"/>
            <w:vAlign w:val="top"/>
          </w:tcPr>
          <w:p w14:paraId="20CC5300">
            <w:pPr>
              <w:rPr>
                <w:rFonts w:ascii="Arial"/>
                <w:sz w:val="21"/>
              </w:rPr>
            </w:pPr>
          </w:p>
        </w:tc>
        <w:tc>
          <w:tcPr>
            <w:tcW w:w="845" w:type="dxa"/>
            <w:tcBorders>
              <w:right w:val="single" w:color="000000" w:sz="12" w:space="0"/>
            </w:tcBorders>
            <w:vAlign w:val="top"/>
          </w:tcPr>
          <w:p w14:paraId="6F816818">
            <w:pPr>
              <w:rPr>
                <w:rFonts w:ascii="Arial"/>
                <w:sz w:val="21"/>
              </w:rPr>
            </w:pPr>
          </w:p>
        </w:tc>
      </w:tr>
      <w:tr w14:paraId="308E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137CBA1">
            <w:pPr>
              <w:rPr>
                <w:rFonts w:ascii="Arial"/>
                <w:sz w:val="21"/>
              </w:rPr>
            </w:pPr>
          </w:p>
        </w:tc>
        <w:tc>
          <w:tcPr>
            <w:tcW w:w="1270" w:type="dxa"/>
            <w:vAlign w:val="top"/>
          </w:tcPr>
          <w:p w14:paraId="381CFEFD">
            <w:pPr>
              <w:rPr>
                <w:rFonts w:ascii="Arial"/>
                <w:sz w:val="21"/>
              </w:rPr>
            </w:pPr>
          </w:p>
        </w:tc>
        <w:tc>
          <w:tcPr>
            <w:tcW w:w="1554" w:type="dxa"/>
            <w:vAlign w:val="top"/>
          </w:tcPr>
          <w:p w14:paraId="3F98203A">
            <w:pPr>
              <w:rPr>
                <w:rFonts w:ascii="Arial"/>
                <w:sz w:val="21"/>
              </w:rPr>
            </w:pPr>
          </w:p>
        </w:tc>
        <w:tc>
          <w:tcPr>
            <w:tcW w:w="989" w:type="dxa"/>
            <w:vAlign w:val="top"/>
          </w:tcPr>
          <w:p w14:paraId="70F8FE79">
            <w:pPr>
              <w:pStyle w:val="6"/>
              <w:spacing w:before="128" w:line="186" w:lineRule="auto"/>
              <w:ind w:left="323"/>
            </w:pPr>
            <w:r>
              <w:rPr>
                <w:b/>
                <w:bCs/>
                <w:spacing w:val="-2"/>
              </w:rPr>
              <w:t>F36</w:t>
            </w:r>
          </w:p>
        </w:tc>
        <w:tc>
          <w:tcPr>
            <w:tcW w:w="1272" w:type="dxa"/>
            <w:vAlign w:val="top"/>
          </w:tcPr>
          <w:p w14:paraId="5293F3AC">
            <w:pPr>
              <w:spacing w:before="89" w:line="219" w:lineRule="auto"/>
              <w:ind w:left="323"/>
              <w:rPr>
                <w:rFonts w:ascii="宋体" w:hAnsi="宋体" w:eastAsia="宋体" w:cs="宋体"/>
                <w:sz w:val="21"/>
                <w:szCs w:val="21"/>
              </w:rPr>
            </w:pPr>
            <w:r>
              <w:rPr>
                <w:rFonts w:ascii="宋体" w:hAnsi="宋体" w:eastAsia="宋体" w:cs="宋体"/>
                <w:b/>
                <w:bCs/>
                <w:spacing w:val="-4"/>
                <w:sz w:val="21"/>
                <w:szCs w:val="21"/>
              </w:rPr>
              <w:t>河乌科</w:t>
            </w:r>
          </w:p>
        </w:tc>
        <w:tc>
          <w:tcPr>
            <w:tcW w:w="1693" w:type="dxa"/>
            <w:vAlign w:val="top"/>
          </w:tcPr>
          <w:p w14:paraId="34E1632A">
            <w:pPr>
              <w:pStyle w:val="6"/>
              <w:spacing w:before="128" w:line="186" w:lineRule="auto"/>
              <w:ind w:left="433"/>
            </w:pPr>
            <w:r>
              <w:rPr>
                <w:b/>
                <w:bCs/>
                <w:spacing w:val="-1"/>
              </w:rPr>
              <w:t>Cinclidae</w:t>
            </w:r>
          </w:p>
        </w:tc>
        <w:tc>
          <w:tcPr>
            <w:tcW w:w="845" w:type="dxa"/>
            <w:tcBorders>
              <w:right w:val="single" w:color="000000" w:sz="12" w:space="0"/>
            </w:tcBorders>
            <w:vAlign w:val="top"/>
          </w:tcPr>
          <w:p w14:paraId="0DBC6EE9">
            <w:pPr>
              <w:rPr>
                <w:rFonts w:ascii="Arial"/>
                <w:sz w:val="21"/>
              </w:rPr>
            </w:pPr>
          </w:p>
        </w:tc>
      </w:tr>
      <w:tr w14:paraId="72FB2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47355FE9">
            <w:pPr>
              <w:rPr>
                <w:rFonts w:ascii="Arial"/>
                <w:sz w:val="21"/>
              </w:rPr>
            </w:pPr>
          </w:p>
        </w:tc>
        <w:tc>
          <w:tcPr>
            <w:tcW w:w="1270" w:type="dxa"/>
            <w:vAlign w:val="top"/>
          </w:tcPr>
          <w:p w14:paraId="3BD597A1">
            <w:pPr>
              <w:rPr>
                <w:rFonts w:ascii="Arial"/>
                <w:sz w:val="21"/>
              </w:rPr>
            </w:pPr>
          </w:p>
        </w:tc>
        <w:tc>
          <w:tcPr>
            <w:tcW w:w="1554" w:type="dxa"/>
            <w:vAlign w:val="top"/>
          </w:tcPr>
          <w:p w14:paraId="77BA2482">
            <w:pPr>
              <w:rPr>
                <w:rFonts w:ascii="Arial"/>
                <w:sz w:val="21"/>
              </w:rPr>
            </w:pPr>
          </w:p>
        </w:tc>
        <w:tc>
          <w:tcPr>
            <w:tcW w:w="989" w:type="dxa"/>
            <w:vAlign w:val="top"/>
          </w:tcPr>
          <w:p w14:paraId="20D2472D">
            <w:pPr>
              <w:pStyle w:val="6"/>
              <w:spacing w:before="124" w:line="232" w:lineRule="auto"/>
              <w:ind w:left="390"/>
            </w:pPr>
            <w:r>
              <w:rPr>
                <w:spacing w:val="-2"/>
              </w:rPr>
              <w:t>79</w:t>
            </w:r>
          </w:p>
        </w:tc>
        <w:tc>
          <w:tcPr>
            <w:tcW w:w="1272" w:type="dxa"/>
            <w:vAlign w:val="top"/>
          </w:tcPr>
          <w:p w14:paraId="44EEA1CC">
            <w:pPr>
              <w:spacing w:before="90" w:line="220" w:lineRule="auto"/>
              <w:ind w:left="325"/>
              <w:rPr>
                <w:rFonts w:ascii="宋体" w:hAnsi="宋体" w:eastAsia="宋体" w:cs="宋体"/>
                <w:sz w:val="21"/>
                <w:szCs w:val="21"/>
              </w:rPr>
            </w:pPr>
            <w:r>
              <w:rPr>
                <w:rFonts w:ascii="宋体" w:hAnsi="宋体" w:eastAsia="宋体" w:cs="宋体"/>
                <w:spacing w:val="-3"/>
                <w:sz w:val="21"/>
                <w:szCs w:val="21"/>
              </w:rPr>
              <w:t>褐河乌</w:t>
            </w:r>
          </w:p>
        </w:tc>
        <w:tc>
          <w:tcPr>
            <w:tcW w:w="1693" w:type="dxa"/>
            <w:vAlign w:val="top"/>
          </w:tcPr>
          <w:p w14:paraId="59C0241A">
            <w:pPr>
              <w:pStyle w:val="6"/>
              <w:spacing w:before="124" w:line="190" w:lineRule="auto"/>
              <w:ind w:left="202"/>
            </w:pPr>
            <w:r>
              <w:rPr>
                <w:i/>
                <w:iCs/>
              </w:rPr>
              <w:t>Cinclus</w:t>
            </w:r>
            <w:r>
              <w:rPr>
                <w:i/>
                <w:iCs/>
                <w:spacing w:val="-16"/>
              </w:rPr>
              <w:t xml:space="preserve"> </w:t>
            </w:r>
            <w:r>
              <w:rPr>
                <w:i/>
                <w:iCs/>
              </w:rPr>
              <w:t>pallasii</w:t>
            </w:r>
          </w:p>
        </w:tc>
        <w:tc>
          <w:tcPr>
            <w:tcW w:w="845" w:type="dxa"/>
            <w:tcBorders>
              <w:right w:val="single" w:color="000000" w:sz="12" w:space="0"/>
            </w:tcBorders>
            <w:vAlign w:val="top"/>
          </w:tcPr>
          <w:p w14:paraId="48F4C42B">
            <w:pPr>
              <w:rPr>
                <w:rFonts w:ascii="Arial"/>
                <w:sz w:val="21"/>
              </w:rPr>
            </w:pPr>
          </w:p>
        </w:tc>
      </w:tr>
      <w:tr w14:paraId="31831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3F34AF7D">
            <w:pPr>
              <w:pStyle w:val="6"/>
              <w:spacing w:before="130" w:line="186" w:lineRule="auto"/>
              <w:ind w:left="238"/>
            </w:pPr>
            <w:r>
              <w:rPr>
                <w:b/>
                <w:bCs/>
                <w:spacing w:val="-2"/>
              </w:rPr>
              <w:t>F41</w:t>
            </w:r>
          </w:p>
        </w:tc>
        <w:tc>
          <w:tcPr>
            <w:tcW w:w="1270" w:type="dxa"/>
            <w:vAlign w:val="top"/>
          </w:tcPr>
          <w:p w14:paraId="017AA905">
            <w:pPr>
              <w:spacing w:before="91" w:line="219" w:lineRule="auto"/>
              <w:ind w:left="312"/>
              <w:rPr>
                <w:rFonts w:ascii="宋体" w:hAnsi="宋体" w:eastAsia="宋体" w:cs="宋体"/>
                <w:sz w:val="21"/>
                <w:szCs w:val="21"/>
              </w:rPr>
            </w:pPr>
            <w:r>
              <w:rPr>
                <w:rFonts w:ascii="宋体" w:hAnsi="宋体" w:eastAsia="宋体" w:cs="宋体"/>
                <w:b/>
                <w:bCs/>
                <w:spacing w:val="-4"/>
                <w:sz w:val="21"/>
                <w:szCs w:val="21"/>
              </w:rPr>
              <w:t>椋鸟科</w:t>
            </w:r>
          </w:p>
        </w:tc>
        <w:tc>
          <w:tcPr>
            <w:tcW w:w="1554" w:type="dxa"/>
            <w:vAlign w:val="top"/>
          </w:tcPr>
          <w:p w14:paraId="483CD427">
            <w:pPr>
              <w:pStyle w:val="6"/>
              <w:spacing w:before="130" w:line="186" w:lineRule="auto"/>
              <w:ind w:left="333"/>
            </w:pPr>
            <w:r>
              <w:rPr>
                <w:b/>
                <w:bCs/>
                <w:spacing w:val="-2"/>
              </w:rPr>
              <w:t>Sturnidae</w:t>
            </w:r>
          </w:p>
        </w:tc>
        <w:tc>
          <w:tcPr>
            <w:tcW w:w="989" w:type="dxa"/>
            <w:vAlign w:val="top"/>
          </w:tcPr>
          <w:p w14:paraId="0B16B615">
            <w:pPr>
              <w:pStyle w:val="6"/>
              <w:spacing w:before="130" w:line="186" w:lineRule="auto"/>
              <w:ind w:left="323"/>
            </w:pPr>
            <w:r>
              <w:rPr>
                <w:b/>
                <w:bCs/>
                <w:spacing w:val="-2"/>
              </w:rPr>
              <w:t>F37</w:t>
            </w:r>
          </w:p>
        </w:tc>
        <w:tc>
          <w:tcPr>
            <w:tcW w:w="1272" w:type="dxa"/>
            <w:vAlign w:val="top"/>
          </w:tcPr>
          <w:p w14:paraId="2F3121CC">
            <w:pPr>
              <w:spacing w:before="91" w:line="219" w:lineRule="auto"/>
              <w:ind w:left="325"/>
              <w:rPr>
                <w:rFonts w:ascii="宋体" w:hAnsi="宋体" w:eastAsia="宋体" w:cs="宋体"/>
                <w:sz w:val="21"/>
                <w:szCs w:val="21"/>
              </w:rPr>
            </w:pPr>
            <w:r>
              <w:rPr>
                <w:rFonts w:ascii="宋体" w:hAnsi="宋体" w:eastAsia="宋体" w:cs="宋体"/>
                <w:b/>
                <w:bCs/>
                <w:spacing w:val="-4"/>
                <w:sz w:val="21"/>
                <w:szCs w:val="21"/>
              </w:rPr>
              <w:t>椋鸟科</w:t>
            </w:r>
          </w:p>
        </w:tc>
        <w:tc>
          <w:tcPr>
            <w:tcW w:w="1693" w:type="dxa"/>
            <w:vAlign w:val="top"/>
          </w:tcPr>
          <w:p w14:paraId="00A673E6">
            <w:pPr>
              <w:pStyle w:val="6"/>
              <w:spacing w:before="130" w:line="186" w:lineRule="auto"/>
              <w:ind w:left="417"/>
            </w:pPr>
            <w:r>
              <w:rPr>
                <w:b/>
                <w:bCs/>
                <w:spacing w:val="-2"/>
              </w:rPr>
              <w:t>Sturnidae</w:t>
            </w:r>
          </w:p>
        </w:tc>
        <w:tc>
          <w:tcPr>
            <w:tcW w:w="845" w:type="dxa"/>
            <w:tcBorders>
              <w:right w:val="single" w:color="000000" w:sz="12" w:space="0"/>
            </w:tcBorders>
            <w:vAlign w:val="top"/>
          </w:tcPr>
          <w:p w14:paraId="70C41059">
            <w:pPr>
              <w:rPr>
                <w:rFonts w:ascii="Arial"/>
                <w:sz w:val="21"/>
              </w:rPr>
            </w:pPr>
          </w:p>
        </w:tc>
      </w:tr>
      <w:tr w14:paraId="1C89F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9FD2B2A">
            <w:pPr>
              <w:pStyle w:val="6"/>
              <w:spacing w:before="226" w:line="232" w:lineRule="auto"/>
              <w:ind w:left="270"/>
            </w:pPr>
            <w:r>
              <w:rPr>
                <w:spacing w:val="-6"/>
              </w:rPr>
              <w:t>119</w:t>
            </w:r>
          </w:p>
        </w:tc>
        <w:tc>
          <w:tcPr>
            <w:tcW w:w="1270" w:type="dxa"/>
            <w:vAlign w:val="top"/>
          </w:tcPr>
          <w:p w14:paraId="65B2A256">
            <w:pPr>
              <w:spacing w:before="193" w:line="220" w:lineRule="auto"/>
              <w:ind w:left="420"/>
              <w:rPr>
                <w:rFonts w:ascii="宋体" w:hAnsi="宋体" w:eastAsia="宋体" w:cs="宋体"/>
                <w:sz w:val="21"/>
                <w:szCs w:val="21"/>
              </w:rPr>
            </w:pPr>
            <w:r>
              <w:rPr>
                <w:rFonts w:ascii="宋体" w:hAnsi="宋体" w:eastAsia="宋体" w:cs="宋体"/>
                <w:spacing w:val="-3"/>
                <w:sz w:val="21"/>
                <w:szCs w:val="21"/>
              </w:rPr>
              <w:t>八哥</w:t>
            </w:r>
          </w:p>
        </w:tc>
        <w:tc>
          <w:tcPr>
            <w:tcW w:w="1554" w:type="dxa"/>
            <w:vAlign w:val="top"/>
          </w:tcPr>
          <w:p w14:paraId="37D985DD">
            <w:pPr>
              <w:pStyle w:val="6"/>
              <w:spacing w:before="104" w:line="190" w:lineRule="auto"/>
              <w:ind w:left="213"/>
            </w:pPr>
            <w:r>
              <w:rPr>
                <w:i/>
                <w:iCs/>
              </w:rPr>
              <w:t>Acridotheres</w:t>
            </w:r>
          </w:p>
          <w:p w14:paraId="7C68C8C5">
            <w:pPr>
              <w:pStyle w:val="6"/>
              <w:spacing w:before="50" w:line="209" w:lineRule="auto"/>
              <w:ind w:left="305"/>
            </w:pPr>
            <w:r>
              <w:rPr>
                <w:i/>
                <w:iCs/>
                <w:spacing w:val="-1"/>
              </w:rPr>
              <w:t>cristatellus</w:t>
            </w:r>
          </w:p>
        </w:tc>
        <w:tc>
          <w:tcPr>
            <w:tcW w:w="989" w:type="dxa"/>
            <w:vAlign w:val="top"/>
          </w:tcPr>
          <w:p w14:paraId="1D34A949">
            <w:pPr>
              <w:pStyle w:val="6"/>
              <w:spacing w:before="226" w:line="232" w:lineRule="auto"/>
              <w:ind w:left="395"/>
            </w:pPr>
            <w:r>
              <w:rPr>
                <w:spacing w:val="-4"/>
              </w:rPr>
              <w:t>80</w:t>
            </w:r>
          </w:p>
        </w:tc>
        <w:tc>
          <w:tcPr>
            <w:tcW w:w="1272" w:type="dxa"/>
            <w:vAlign w:val="top"/>
          </w:tcPr>
          <w:p w14:paraId="715C1080">
            <w:pPr>
              <w:spacing w:before="193" w:line="220" w:lineRule="auto"/>
              <w:ind w:left="434"/>
              <w:rPr>
                <w:rFonts w:ascii="宋体" w:hAnsi="宋体" w:eastAsia="宋体" w:cs="宋体"/>
                <w:sz w:val="21"/>
                <w:szCs w:val="21"/>
              </w:rPr>
            </w:pPr>
            <w:r>
              <w:rPr>
                <w:rFonts w:ascii="宋体" w:hAnsi="宋体" w:eastAsia="宋体" w:cs="宋体"/>
                <w:spacing w:val="-3"/>
                <w:sz w:val="21"/>
                <w:szCs w:val="21"/>
              </w:rPr>
              <w:t>八哥</w:t>
            </w:r>
          </w:p>
        </w:tc>
        <w:tc>
          <w:tcPr>
            <w:tcW w:w="1693" w:type="dxa"/>
            <w:vAlign w:val="top"/>
          </w:tcPr>
          <w:p w14:paraId="1E08B61E">
            <w:pPr>
              <w:pStyle w:val="6"/>
              <w:spacing w:before="104" w:line="190" w:lineRule="auto"/>
              <w:ind w:left="298"/>
            </w:pPr>
            <w:r>
              <w:rPr>
                <w:i/>
                <w:iCs/>
              </w:rPr>
              <w:t>Acridotheres</w:t>
            </w:r>
          </w:p>
          <w:p w14:paraId="4481FC66">
            <w:pPr>
              <w:pStyle w:val="6"/>
              <w:spacing w:before="50" w:line="209" w:lineRule="auto"/>
              <w:ind w:left="389"/>
            </w:pPr>
            <w:r>
              <w:rPr>
                <w:i/>
                <w:iCs/>
                <w:spacing w:val="-1"/>
              </w:rPr>
              <w:t>cristatellus</w:t>
            </w:r>
          </w:p>
        </w:tc>
        <w:tc>
          <w:tcPr>
            <w:tcW w:w="845" w:type="dxa"/>
            <w:tcBorders>
              <w:right w:val="single" w:color="000000" w:sz="12" w:space="0"/>
            </w:tcBorders>
            <w:vAlign w:val="top"/>
          </w:tcPr>
          <w:p w14:paraId="1899E438">
            <w:pPr>
              <w:rPr>
                <w:rFonts w:ascii="Arial"/>
                <w:sz w:val="21"/>
              </w:rPr>
            </w:pPr>
          </w:p>
        </w:tc>
      </w:tr>
      <w:tr w14:paraId="3AFD5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B3F1015">
            <w:pPr>
              <w:rPr>
                <w:rFonts w:ascii="Arial"/>
                <w:sz w:val="21"/>
              </w:rPr>
            </w:pPr>
          </w:p>
        </w:tc>
        <w:tc>
          <w:tcPr>
            <w:tcW w:w="1270" w:type="dxa"/>
            <w:vAlign w:val="top"/>
          </w:tcPr>
          <w:p w14:paraId="552E8E54">
            <w:pPr>
              <w:rPr>
                <w:rFonts w:ascii="Arial"/>
                <w:sz w:val="21"/>
              </w:rPr>
            </w:pPr>
          </w:p>
        </w:tc>
        <w:tc>
          <w:tcPr>
            <w:tcW w:w="1554" w:type="dxa"/>
            <w:vAlign w:val="top"/>
          </w:tcPr>
          <w:p w14:paraId="3F7903EA">
            <w:pPr>
              <w:rPr>
                <w:rFonts w:ascii="Arial"/>
                <w:sz w:val="21"/>
              </w:rPr>
            </w:pPr>
          </w:p>
        </w:tc>
        <w:tc>
          <w:tcPr>
            <w:tcW w:w="989" w:type="dxa"/>
            <w:vAlign w:val="top"/>
          </w:tcPr>
          <w:p w14:paraId="414AFAEA">
            <w:pPr>
              <w:pStyle w:val="6"/>
              <w:spacing w:before="227" w:line="232" w:lineRule="auto"/>
              <w:ind w:left="395"/>
            </w:pPr>
            <w:r>
              <w:rPr>
                <w:spacing w:val="-4"/>
              </w:rPr>
              <w:t>81</w:t>
            </w:r>
          </w:p>
        </w:tc>
        <w:tc>
          <w:tcPr>
            <w:tcW w:w="1272" w:type="dxa"/>
            <w:vAlign w:val="top"/>
          </w:tcPr>
          <w:p w14:paraId="291A56F7">
            <w:pPr>
              <w:spacing w:before="193" w:line="220" w:lineRule="auto"/>
              <w:ind w:left="223"/>
              <w:rPr>
                <w:rFonts w:ascii="宋体" w:hAnsi="宋体" w:eastAsia="宋体" w:cs="宋体"/>
                <w:sz w:val="21"/>
                <w:szCs w:val="21"/>
              </w:rPr>
            </w:pPr>
            <w:r>
              <w:rPr>
                <w:rFonts w:ascii="宋体" w:hAnsi="宋体" w:eastAsia="宋体" w:cs="宋体"/>
                <w:spacing w:val="-2"/>
                <w:sz w:val="21"/>
                <w:szCs w:val="21"/>
              </w:rPr>
              <w:t>丝光椋鸟</w:t>
            </w:r>
          </w:p>
        </w:tc>
        <w:tc>
          <w:tcPr>
            <w:tcW w:w="1693" w:type="dxa"/>
            <w:vAlign w:val="top"/>
          </w:tcPr>
          <w:p w14:paraId="624F9F14">
            <w:pPr>
              <w:pStyle w:val="6"/>
              <w:spacing w:before="106" w:line="190" w:lineRule="auto"/>
              <w:ind w:left="373"/>
            </w:pPr>
            <w:r>
              <w:rPr>
                <w:i/>
                <w:iCs/>
              </w:rPr>
              <w:t>Spodiopsar</w:t>
            </w:r>
          </w:p>
          <w:p w14:paraId="40CE7D4C">
            <w:pPr>
              <w:pStyle w:val="6"/>
              <w:spacing w:before="49" w:line="208" w:lineRule="auto"/>
              <w:ind w:left="504"/>
            </w:pPr>
            <w:r>
              <w:rPr>
                <w:i/>
                <w:iCs/>
              </w:rPr>
              <w:t>sericeus</w:t>
            </w:r>
          </w:p>
        </w:tc>
        <w:tc>
          <w:tcPr>
            <w:tcW w:w="845" w:type="dxa"/>
            <w:tcBorders>
              <w:right w:val="single" w:color="000000" w:sz="12" w:space="0"/>
            </w:tcBorders>
            <w:vAlign w:val="top"/>
          </w:tcPr>
          <w:p w14:paraId="718F2DDE">
            <w:pPr>
              <w:rPr>
                <w:rFonts w:ascii="Arial"/>
                <w:sz w:val="21"/>
              </w:rPr>
            </w:pPr>
          </w:p>
        </w:tc>
      </w:tr>
      <w:tr w14:paraId="75700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438D5EE">
            <w:pPr>
              <w:pStyle w:val="6"/>
              <w:spacing w:before="228" w:line="232" w:lineRule="auto"/>
              <w:ind w:left="270"/>
            </w:pPr>
            <w:r>
              <w:rPr>
                <w:spacing w:val="-6"/>
              </w:rPr>
              <w:t>120</w:t>
            </w:r>
          </w:p>
        </w:tc>
        <w:tc>
          <w:tcPr>
            <w:tcW w:w="1270" w:type="dxa"/>
            <w:vAlign w:val="top"/>
          </w:tcPr>
          <w:p w14:paraId="49048705">
            <w:pPr>
              <w:spacing w:before="193" w:line="220" w:lineRule="auto"/>
              <w:ind w:left="314"/>
              <w:rPr>
                <w:rFonts w:ascii="宋体" w:hAnsi="宋体" w:eastAsia="宋体" w:cs="宋体"/>
                <w:sz w:val="21"/>
                <w:szCs w:val="21"/>
              </w:rPr>
            </w:pPr>
            <w:r>
              <w:rPr>
                <w:rFonts w:ascii="宋体" w:hAnsi="宋体" w:eastAsia="宋体" w:cs="宋体"/>
                <w:spacing w:val="-3"/>
                <w:sz w:val="21"/>
                <w:szCs w:val="21"/>
              </w:rPr>
              <w:t>灰椋鸟</w:t>
            </w:r>
          </w:p>
        </w:tc>
        <w:tc>
          <w:tcPr>
            <w:tcW w:w="1554" w:type="dxa"/>
            <w:vAlign w:val="top"/>
          </w:tcPr>
          <w:p w14:paraId="0C57AFE6">
            <w:pPr>
              <w:pStyle w:val="6"/>
              <w:spacing w:before="107" w:line="190" w:lineRule="auto"/>
              <w:ind w:left="289"/>
            </w:pPr>
            <w:r>
              <w:rPr>
                <w:i/>
                <w:iCs/>
              </w:rPr>
              <w:t>Spodiopsar</w:t>
            </w:r>
          </w:p>
          <w:p w14:paraId="73CAD371">
            <w:pPr>
              <w:pStyle w:val="6"/>
              <w:spacing w:before="50" w:line="206" w:lineRule="auto"/>
              <w:ind w:left="317"/>
            </w:pPr>
            <w:r>
              <w:rPr>
                <w:i/>
                <w:iCs/>
                <w:spacing w:val="-1"/>
              </w:rPr>
              <w:t>cineraceus</w:t>
            </w:r>
          </w:p>
        </w:tc>
        <w:tc>
          <w:tcPr>
            <w:tcW w:w="989" w:type="dxa"/>
            <w:vAlign w:val="top"/>
          </w:tcPr>
          <w:p w14:paraId="28C9A1AA">
            <w:pPr>
              <w:rPr>
                <w:rFonts w:ascii="Arial"/>
                <w:sz w:val="21"/>
              </w:rPr>
            </w:pPr>
          </w:p>
        </w:tc>
        <w:tc>
          <w:tcPr>
            <w:tcW w:w="1272" w:type="dxa"/>
            <w:vAlign w:val="top"/>
          </w:tcPr>
          <w:p w14:paraId="14D912FE">
            <w:pPr>
              <w:rPr>
                <w:rFonts w:ascii="Arial"/>
                <w:sz w:val="21"/>
              </w:rPr>
            </w:pPr>
          </w:p>
        </w:tc>
        <w:tc>
          <w:tcPr>
            <w:tcW w:w="1693" w:type="dxa"/>
            <w:vAlign w:val="top"/>
          </w:tcPr>
          <w:p w14:paraId="35640533">
            <w:pPr>
              <w:rPr>
                <w:rFonts w:ascii="Arial"/>
                <w:sz w:val="21"/>
              </w:rPr>
            </w:pPr>
          </w:p>
        </w:tc>
        <w:tc>
          <w:tcPr>
            <w:tcW w:w="845" w:type="dxa"/>
            <w:tcBorders>
              <w:right w:val="single" w:color="000000" w:sz="12" w:space="0"/>
            </w:tcBorders>
            <w:vAlign w:val="top"/>
          </w:tcPr>
          <w:p w14:paraId="5D9EAC07">
            <w:pPr>
              <w:rPr>
                <w:rFonts w:ascii="Arial"/>
                <w:sz w:val="21"/>
              </w:rPr>
            </w:pPr>
          </w:p>
        </w:tc>
      </w:tr>
      <w:tr w14:paraId="0AE0B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E5A0327">
            <w:pPr>
              <w:pStyle w:val="6"/>
              <w:spacing w:before="230" w:line="235" w:lineRule="auto"/>
              <w:ind w:left="270"/>
            </w:pPr>
            <w:r>
              <w:rPr>
                <w:spacing w:val="-6"/>
              </w:rPr>
              <w:t>121</w:t>
            </w:r>
          </w:p>
        </w:tc>
        <w:tc>
          <w:tcPr>
            <w:tcW w:w="1270" w:type="dxa"/>
            <w:vAlign w:val="top"/>
          </w:tcPr>
          <w:p w14:paraId="1041B9A6">
            <w:pPr>
              <w:spacing w:before="196" w:line="220" w:lineRule="auto"/>
              <w:ind w:left="209"/>
              <w:rPr>
                <w:rFonts w:ascii="宋体" w:hAnsi="宋体" w:eastAsia="宋体" w:cs="宋体"/>
                <w:sz w:val="21"/>
                <w:szCs w:val="21"/>
              </w:rPr>
            </w:pPr>
            <w:r>
              <w:rPr>
                <w:rFonts w:ascii="宋体" w:hAnsi="宋体" w:eastAsia="宋体" w:cs="宋体"/>
                <w:spacing w:val="-2"/>
                <w:sz w:val="21"/>
                <w:szCs w:val="21"/>
              </w:rPr>
              <w:t>灰头椋鸟</w:t>
            </w:r>
          </w:p>
        </w:tc>
        <w:tc>
          <w:tcPr>
            <w:tcW w:w="1554" w:type="dxa"/>
            <w:vAlign w:val="top"/>
          </w:tcPr>
          <w:p w14:paraId="73CBFC09">
            <w:pPr>
              <w:pStyle w:val="6"/>
              <w:spacing w:before="112" w:line="186" w:lineRule="auto"/>
              <w:ind w:left="458"/>
            </w:pPr>
            <w:r>
              <w:rPr>
                <w:i/>
                <w:iCs/>
                <w:spacing w:val="-1"/>
              </w:rPr>
              <w:t>Sturnia</w:t>
            </w:r>
          </w:p>
          <w:p w14:paraId="437B9127">
            <w:pPr>
              <w:pStyle w:val="6"/>
              <w:spacing w:before="50" w:line="205" w:lineRule="auto"/>
              <w:ind w:left="285"/>
            </w:pPr>
            <w:r>
              <w:rPr>
                <w:i/>
                <w:iCs/>
                <w:spacing w:val="-1"/>
              </w:rPr>
              <w:t>malabarica</w:t>
            </w:r>
          </w:p>
        </w:tc>
        <w:tc>
          <w:tcPr>
            <w:tcW w:w="989" w:type="dxa"/>
            <w:vAlign w:val="top"/>
          </w:tcPr>
          <w:p w14:paraId="14336D0B">
            <w:pPr>
              <w:rPr>
                <w:rFonts w:ascii="Arial"/>
                <w:sz w:val="21"/>
              </w:rPr>
            </w:pPr>
          </w:p>
        </w:tc>
        <w:tc>
          <w:tcPr>
            <w:tcW w:w="1272" w:type="dxa"/>
            <w:vAlign w:val="top"/>
          </w:tcPr>
          <w:p w14:paraId="41C8B829">
            <w:pPr>
              <w:rPr>
                <w:rFonts w:ascii="Arial"/>
                <w:sz w:val="21"/>
              </w:rPr>
            </w:pPr>
          </w:p>
        </w:tc>
        <w:tc>
          <w:tcPr>
            <w:tcW w:w="1693" w:type="dxa"/>
            <w:vAlign w:val="top"/>
          </w:tcPr>
          <w:p w14:paraId="4320ED1C">
            <w:pPr>
              <w:rPr>
                <w:rFonts w:ascii="Arial"/>
                <w:sz w:val="21"/>
              </w:rPr>
            </w:pPr>
          </w:p>
        </w:tc>
        <w:tc>
          <w:tcPr>
            <w:tcW w:w="845" w:type="dxa"/>
            <w:tcBorders>
              <w:right w:val="single" w:color="000000" w:sz="12" w:space="0"/>
            </w:tcBorders>
            <w:vAlign w:val="top"/>
          </w:tcPr>
          <w:p w14:paraId="4A5F4E09">
            <w:pPr>
              <w:rPr>
                <w:rFonts w:ascii="Arial"/>
                <w:sz w:val="21"/>
              </w:rPr>
            </w:pPr>
          </w:p>
        </w:tc>
      </w:tr>
      <w:tr w14:paraId="38BBD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013D0726">
            <w:pPr>
              <w:pStyle w:val="6"/>
              <w:spacing w:before="137" w:line="186" w:lineRule="auto"/>
              <w:ind w:left="238"/>
            </w:pPr>
            <w:r>
              <w:rPr>
                <w:b/>
                <w:bCs/>
                <w:spacing w:val="-2"/>
              </w:rPr>
              <w:t>F42</w:t>
            </w:r>
          </w:p>
        </w:tc>
        <w:tc>
          <w:tcPr>
            <w:tcW w:w="1270" w:type="dxa"/>
            <w:vAlign w:val="top"/>
          </w:tcPr>
          <w:p w14:paraId="213A021E">
            <w:pPr>
              <w:spacing w:before="98" w:line="219" w:lineRule="auto"/>
              <w:ind w:left="417"/>
              <w:rPr>
                <w:rFonts w:ascii="宋体" w:hAnsi="宋体" w:eastAsia="宋体" w:cs="宋体"/>
                <w:sz w:val="21"/>
                <w:szCs w:val="21"/>
              </w:rPr>
            </w:pPr>
            <w:r>
              <w:rPr>
                <w:rFonts w:ascii="宋体" w:hAnsi="宋体" w:eastAsia="宋体" w:cs="宋体"/>
                <w:b/>
                <w:bCs/>
                <w:spacing w:val="-4"/>
                <w:sz w:val="21"/>
                <w:szCs w:val="21"/>
              </w:rPr>
              <w:t>鹑科</w:t>
            </w:r>
          </w:p>
        </w:tc>
        <w:tc>
          <w:tcPr>
            <w:tcW w:w="1554" w:type="dxa"/>
            <w:vAlign w:val="top"/>
          </w:tcPr>
          <w:p w14:paraId="732668D0">
            <w:pPr>
              <w:pStyle w:val="6"/>
              <w:spacing w:before="136" w:line="187" w:lineRule="auto"/>
              <w:ind w:left="353"/>
            </w:pPr>
            <w:r>
              <w:rPr>
                <w:b/>
                <w:bCs/>
                <w:spacing w:val="-1"/>
              </w:rPr>
              <w:t>Turdidae</w:t>
            </w:r>
          </w:p>
        </w:tc>
        <w:tc>
          <w:tcPr>
            <w:tcW w:w="989" w:type="dxa"/>
            <w:vAlign w:val="top"/>
          </w:tcPr>
          <w:p w14:paraId="75608065">
            <w:pPr>
              <w:pStyle w:val="6"/>
              <w:spacing w:before="137" w:line="186" w:lineRule="auto"/>
              <w:ind w:left="323"/>
            </w:pPr>
            <w:r>
              <w:rPr>
                <w:b/>
                <w:bCs/>
                <w:spacing w:val="-2"/>
              </w:rPr>
              <w:t>F38</w:t>
            </w:r>
          </w:p>
        </w:tc>
        <w:tc>
          <w:tcPr>
            <w:tcW w:w="1272" w:type="dxa"/>
            <w:vAlign w:val="top"/>
          </w:tcPr>
          <w:p w14:paraId="424CF8D8">
            <w:pPr>
              <w:spacing w:before="98" w:line="219" w:lineRule="auto"/>
              <w:ind w:left="430"/>
              <w:rPr>
                <w:rFonts w:ascii="宋体" w:hAnsi="宋体" w:eastAsia="宋体" w:cs="宋体"/>
                <w:sz w:val="21"/>
                <w:szCs w:val="21"/>
              </w:rPr>
            </w:pPr>
            <w:r>
              <w:rPr>
                <w:rFonts w:ascii="宋体" w:hAnsi="宋体" w:eastAsia="宋体" w:cs="宋体"/>
                <w:b/>
                <w:bCs/>
                <w:spacing w:val="-4"/>
                <w:sz w:val="21"/>
                <w:szCs w:val="21"/>
              </w:rPr>
              <w:t>鹑科</w:t>
            </w:r>
          </w:p>
        </w:tc>
        <w:tc>
          <w:tcPr>
            <w:tcW w:w="1693" w:type="dxa"/>
            <w:vAlign w:val="top"/>
          </w:tcPr>
          <w:p w14:paraId="775D7D32">
            <w:pPr>
              <w:pStyle w:val="6"/>
              <w:spacing w:before="136" w:line="221" w:lineRule="auto"/>
              <w:ind w:left="438"/>
            </w:pPr>
            <w:r>
              <w:rPr>
                <w:b/>
                <w:bCs/>
                <w:spacing w:val="-1"/>
              </w:rPr>
              <w:t>Turdidae</w:t>
            </w:r>
          </w:p>
        </w:tc>
        <w:tc>
          <w:tcPr>
            <w:tcW w:w="845" w:type="dxa"/>
            <w:tcBorders>
              <w:right w:val="single" w:color="000000" w:sz="12" w:space="0"/>
            </w:tcBorders>
            <w:vAlign w:val="top"/>
          </w:tcPr>
          <w:p w14:paraId="44FB0F02">
            <w:pPr>
              <w:rPr>
                <w:rFonts w:ascii="Arial"/>
                <w:sz w:val="21"/>
              </w:rPr>
            </w:pPr>
          </w:p>
        </w:tc>
      </w:tr>
      <w:tr w14:paraId="20CE3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5713BAE">
            <w:pPr>
              <w:pStyle w:val="6"/>
              <w:spacing w:before="231" w:line="235" w:lineRule="auto"/>
              <w:ind w:left="270"/>
            </w:pPr>
            <w:r>
              <w:rPr>
                <w:spacing w:val="-6"/>
              </w:rPr>
              <w:t>122</w:t>
            </w:r>
          </w:p>
        </w:tc>
        <w:tc>
          <w:tcPr>
            <w:tcW w:w="1270" w:type="dxa"/>
            <w:vAlign w:val="top"/>
          </w:tcPr>
          <w:p w14:paraId="6E0DF77F">
            <w:pPr>
              <w:spacing w:before="198" w:line="219" w:lineRule="auto"/>
              <w:ind w:left="211"/>
              <w:rPr>
                <w:rFonts w:ascii="宋体" w:hAnsi="宋体" w:eastAsia="宋体" w:cs="宋体"/>
                <w:sz w:val="21"/>
                <w:szCs w:val="21"/>
              </w:rPr>
            </w:pPr>
            <w:r>
              <w:rPr>
                <w:rFonts w:ascii="宋体" w:hAnsi="宋体" w:eastAsia="宋体" w:cs="宋体"/>
                <w:spacing w:val="-3"/>
                <w:sz w:val="21"/>
                <w:szCs w:val="21"/>
              </w:rPr>
              <w:t>淡背地鹑</w:t>
            </w:r>
          </w:p>
        </w:tc>
        <w:tc>
          <w:tcPr>
            <w:tcW w:w="1554" w:type="dxa"/>
            <w:vAlign w:val="top"/>
          </w:tcPr>
          <w:p w14:paraId="42BD5CA5">
            <w:pPr>
              <w:pStyle w:val="6"/>
              <w:spacing w:before="110" w:line="190" w:lineRule="auto"/>
              <w:ind w:left="380"/>
            </w:pPr>
            <w:r>
              <w:rPr>
                <w:i/>
                <w:iCs/>
              </w:rPr>
              <w:t>Zoothera</w:t>
            </w:r>
          </w:p>
          <w:p w14:paraId="0875616C">
            <w:pPr>
              <w:pStyle w:val="6"/>
              <w:spacing w:before="51" w:line="202" w:lineRule="auto"/>
              <w:ind w:left="315"/>
            </w:pPr>
            <w:r>
              <w:rPr>
                <w:i/>
                <w:iCs/>
                <w:spacing w:val="-1"/>
              </w:rPr>
              <w:t>mollissima</w:t>
            </w:r>
          </w:p>
        </w:tc>
        <w:tc>
          <w:tcPr>
            <w:tcW w:w="989" w:type="dxa"/>
            <w:vAlign w:val="top"/>
          </w:tcPr>
          <w:p w14:paraId="34C5BCC4">
            <w:pPr>
              <w:rPr>
                <w:rFonts w:ascii="Arial"/>
                <w:sz w:val="21"/>
              </w:rPr>
            </w:pPr>
          </w:p>
        </w:tc>
        <w:tc>
          <w:tcPr>
            <w:tcW w:w="1272" w:type="dxa"/>
            <w:vAlign w:val="top"/>
          </w:tcPr>
          <w:p w14:paraId="5EA8345F">
            <w:pPr>
              <w:rPr>
                <w:rFonts w:ascii="Arial"/>
                <w:sz w:val="21"/>
              </w:rPr>
            </w:pPr>
          </w:p>
        </w:tc>
        <w:tc>
          <w:tcPr>
            <w:tcW w:w="1693" w:type="dxa"/>
            <w:vAlign w:val="top"/>
          </w:tcPr>
          <w:p w14:paraId="33C8DC1C">
            <w:pPr>
              <w:rPr>
                <w:rFonts w:ascii="Arial"/>
                <w:sz w:val="21"/>
              </w:rPr>
            </w:pPr>
          </w:p>
        </w:tc>
        <w:tc>
          <w:tcPr>
            <w:tcW w:w="845" w:type="dxa"/>
            <w:tcBorders>
              <w:right w:val="single" w:color="000000" w:sz="12" w:space="0"/>
            </w:tcBorders>
            <w:vAlign w:val="top"/>
          </w:tcPr>
          <w:p w14:paraId="3B976FF9">
            <w:pPr>
              <w:rPr>
                <w:rFonts w:ascii="Arial"/>
                <w:sz w:val="21"/>
              </w:rPr>
            </w:pPr>
          </w:p>
        </w:tc>
      </w:tr>
      <w:tr w14:paraId="66EC0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02865601">
            <w:pPr>
              <w:pStyle w:val="6"/>
              <w:spacing w:before="134" w:line="223" w:lineRule="auto"/>
              <w:ind w:left="270"/>
            </w:pPr>
            <w:r>
              <w:rPr>
                <w:spacing w:val="-6"/>
              </w:rPr>
              <w:t>123</w:t>
            </w:r>
          </w:p>
        </w:tc>
        <w:tc>
          <w:tcPr>
            <w:tcW w:w="1270" w:type="dxa"/>
            <w:vAlign w:val="top"/>
          </w:tcPr>
          <w:p w14:paraId="413B7D3D">
            <w:pPr>
              <w:spacing w:before="100" w:line="219" w:lineRule="auto"/>
              <w:ind w:left="207"/>
              <w:rPr>
                <w:rFonts w:ascii="宋体" w:hAnsi="宋体" w:eastAsia="宋体" w:cs="宋体"/>
                <w:sz w:val="21"/>
                <w:szCs w:val="21"/>
              </w:rPr>
            </w:pPr>
            <w:r>
              <w:rPr>
                <w:rFonts w:ascii="宋体" w:hAnsi="宋体" w:eastAsia="宋体" w:cs="宋体"/>
                <w:spacing w:val="-2"/>
                <w:sz w:val="21"/>
                <w:szCs w:val="21"/>
              </w:rPr>
              <w:t>虎斑地鹑</w:t>
            </w:r>
          </w:p>
        </w:tc>
        <w:tc>
          <w:tcPr>
            <w:tcW w:w="1554" w:type="dxa"/>
            <w:vAlign w:val="top"/>
          </w:tcPr>
          <w:p w14:paraId="44024B73">
            <w:pPr>
              <w:pStyle w:val="6"/>
              <w:spacing w:before="134" w:line="223" w:lineRule="auto"/>
              <w:ind w:left="109"/>
            </w:pPr>
            <w:r>
              <w:rPr>
                <w:i/>
                <w:iCs/>
              </w:rPr>
              <w:t>Zoothera aurea</w:t>
            </w:r>
          </w:p>
        </w:tc>
        <w:tc>
          <w:tcPr>
            <w:tcW w:w="989" w:type="dxa"/>
            <w:vAlign w:val="top"/>
          </w:tcPr>
          <w:p w14:paraId="58586499">
            <w:pPr>
              <w:rPr>
                <w:rFonts w:ascii="Arial"/>
                <w:sz w:val="21"/>
              </w:rPr>
            </w:pPr>
          </w:p>
        </w:tc>
        <w:tc>
          <w:tcPr>
            <w:tcW w:w="1272" w:type="dxa"/>
            <w:vAlign w:val="top"/>
          </w:tcPr>
          <w:p w14:paraId="64189A31">
            <w:pPr>
              <w:rPr>
                <w:rFonts w:ascii="Arial"/>
                <w:sz w:val="21"/>
              </w:rPr>
            </w:pPr>
          </w:p>
        </w:tc>
        <w:tc>
          <w:tcPr>
            <w:tcW w:w="1693" w:type="dxa"/>
            <w:vAlign w:val="top"/>
          </w:tcPr>
          <w:p w14:paraId="068F4B63">
            <w:pPr>
              <w:rPr>
                <w:rFonts w:ascii="Arial"/>
                <w:sz w:val="21"/>
              </w:rPr>
            </w:pPr>
          </w:p>
        </w:tc>
        <w:tc>
          <w:tcPr>
            <w:tcW w:w="845" w:type="dxa"/>
            <w:tcBorders>
              <w:right w:val="single" w:color="000000" w:sz="12" w:space="0"/>
            </w:tcBorders>
            <w:vAlign w:val="top"/>
          </w:tcPr>
          <w:p w14:paraId="06D8BBEA">
            <w:pPr>
              <w:rPr>
                <w:rFonts w:ascii="Arial"/>
                <w:sz w:val="21"/>
              </w:rPr>
            </w:pPr>
          </w:p>
        </w:tc>
      </w:tr>
      <w:tr w14:paraId="55194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FB3A6A2">
            <w:pPr>
              <w:pStyle w:val="6"/>
              <w:spacing w:before="136" w:line="222" w:lineRule="auto"/>
              <w:ind w:left="270"/>
            </w:pPr>
            <w:r>
              <w:rPr>
                <w:spacing w:val="-6"/>
              </w:rPr>
              <w:t>124</w:t>
            </w:r>
          </w:p>
        </w:tc>
        <w:tc>
          <w:tcPr>
            <w:tcW w:w="1270" w:type="dxa"/>
            <w:vAlign w:val="top"/>
          </w:tcPr>
          <w:p w14:paraId="5150CA73">
            <w:pPr>
              <w:spacing w:before="102" w:line="221" w:lineRule="auto"/>
              <w:ind w:left="318"/>
              <w:rPr>
                <w:rFonts w:ascii="宋体" w:hAnsi="宋体" w:eastAsia="宋体" w:cs="宋体"/>
                <w:sz w:val="21"/>
                <w:szCs w:val="21"/>
              </w:rPr>
            </w:pPr>
            <w:r>
              <w:rPr>
                <w:rFonts w:ascii="宋体" w:hAnsi="宋体" w:eastAsia="宋体" w:cs="宋体"/>
                <w:spacing w:val="-4"/>
                <w:sz w:val="21"/>
                <w:szCs w:val="21"/>
              </w:rPr>
              <w:t>黑胸鹑</w:t>
            </w:r>
          </w:p>
        </w:tc>
        <w:tc>
          <w:tcPr>
            <w:tcW w:w="1554" w:type="dxa"/>
            <w:vAlign w:val="top"/>
          </w:tcPr>
          <w:p w14:paraId="74C5A9C7">
            <w:pPr>
              <w:pStyle w:val="6"/>
              <w:spacing w:before="135" w:line="223" w:lineRule="auto"/>
              <w:ind w:left="59"/>
            </w:pPr>
            <w:r>
              <w:rPr>
                <w:i/>
                <w:iCs/>
                <w:spacing w:val="-1"/>
              </w:rPr>
              <w:t>Turdus dissimilis</w:t>
            </w:r>
          </w:p>
        </w:tc>
        <w:tc>
          <w:tcPr>
            <w:tcW w:w="989" w:type="dxa"/>
            <w:vAlign w:val="top"/>
          </w:tcPr>
          <w:p w14:paraId="7BD5D5C3">
            <w:pPr>
              <w:pStyle w:val="6"/>
              <w:spacing w:before="136" w:line="222" w:lineRule="auto"/>
              <w:ind w:left="395"/>
            </w:pPr>
            <w:r>
              <w:rPr>
                <w:spacing w:val="-4"/>
              </w:rPr>
              <w:t>82</w:t>
            </w:r>
          </w:p>
        </w:tc>
        <w:tc>
          <w:tcPr>
            <w:tcW w:w="1272" w:type="dxa"/>
            <w:vAlign w:val="top"/>
          </w:tcPr>
          <w:p w14:paraId="40D2DFA4">
            <w:pPr>
              <w:spacing w:before="102" w:line="221" w:lineRule="auto"/>
              <w:ind w:left="331"/>
              <w:rPr>
                <w:rFonts w:ascii="宋体" w:hAnsi="宋体" w:eastAsia="宋体" w:cs="宋体"/>
                <w:sz w:val="21"/>
                <w:szCs w:val="21"/>
              </w:rPr>
            </w:pPr>
            <w:r>
              <w:rPr>
                <w:rFonts w:ascii="宋体" w:hAnsi="宋体" w:eastAsia="宋体" w:cs="宋体"/>
                <w:spacing w:val="-4"/>
                <w:sz w:val="21"/>
                <w:szCs w:val="21"/>
              </w:rPr>
              <w:t>黑胸鹑</w:t>
            </w:r>
          </w:p>
        </w:tc>
        <w:tc>
          <w:tcPr>
            <w:tcW w:w="1693" w:type="dxa"/>
            <w:vAlign w:val="top"/>
          </w:tcPr>
          <w:p w14:paraId="604D7C66">
            <w:pPr>
              <w:pStyle w:val="6"/>
              <w:spacing w:before="135" w:line="223" w:lineRule="auto"/>
              <w:ind w:left="144"/>
            </w:pPr>
            <w:r>
              <w:rPr>
                <w:i/>
                <w:iCs/>
                <w:spacing w:val="-1"/>
              </w:rPr>
              <w:t>Turdus dissimilis</w:t>
            </w:r>
          </w:p>
        </w:tc>
        <w:tc>
          <w:tcPr>
            <w:tcW w:w="845" w:type="dxa"/>
            <w:tcBorders>
              <w:right w:val="single" w:color="000000" w:sz="12" w:space="0"/>
            </w:tcBorders>
            <w:vAlign w:val="top"/>
          </w:tcPr>
          <w:p w14:paraId="6C644AFF">
            <w:pPr>
              <w:rPr>
                <w:rFonts w:ascii="Arial"/>
                <w:sz w:val="21"/>
              </w:rPr>
            </w:pPr>
          </w:p>
        </w:tc>
      </w:tr>
      <w:tr w14:paraId="72AE7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3F42DFEE">
            <w:pPr>
              <w:pStyle w:val="6"/>
              <w:spacing w:before="235" w:line="232" w:lineRule="auto"/>
              <w:ind w:left="270"/>
            </w:pPr>
            <w:r>
              <w:rPr>
                <w:spacing w:val="-6"/>
              </w:rPr>
              <w:t>125</w:t>
            </w:r>
          </w:p>
        </w:tc>
        <w:tc>
          <w:tcPr>
            <w:tcW w:w="1270" w:type="dxa"/>
            <w:vAlign w:val="top"/>
          </w:tcPr>
          <w:p w14:paraId="7E054AEB">
            <w:pPr>
              <w:spacing w:before="202" w:line="220" w:lineRule="auto"/>
              <w:ind w:left="419"/>
              <w:rPr>
                <w:rFonts w:ascii="宋体" w:hAnsi="宋体" w:eastAsia="宋体" w:cs="宋体"/>
                <w:sz w:val="21"/>
                <w:szCs w:val="21"/>
              </w:rPr>
            </w:pPr>
            <w:r>
              <w:rPr>
                <w:rFonts w:ascii="宋体" w:hAnsi="宋体" w:eastAsia="宋体" w:cs="宋体"/>
                <w:spacing w:val="-3"/>
                <w:sz w:val="21"/>
                <w:szCs w:val="21"/>
              </w:rPr>
              <w:t>乌鹑</w:t>
            </w:r>
          </w:p>
        </w:tc>
        <w:tc>
          <w:tcPr>
            <w:tcW w:w="1554" w:type="dxa"/>
            <w:vAlign w:val="top"/>
          </w:tcPr>
          <w:p w14:paraId="30E8BA5E">
            <w:pPr>
              <w:pStyle w:val="6"/>
              <w:spacing w:before="113" w:line="190" w:lineRule="auto"/>
              <w:ind w:left="482"/>
            </w:pPr>
            <w:r>
              <w:rPr>
                <w:i/>
                <w:iCs/>
                <w:spacing w:val="-2"/>
              </w:rPr>
              <w:t>Turdus</w:t>
            </w:r>
          </w:p>
          <w:p w14:paraId="11964581">
            <w:pPr>
              <w:pStyle w:val="6"/>
              <w:spacing w:before="51" w:line="198" w:lineRule="auto"/>
              <w:ind w:left="268"/>
            </w:pPr>
            <w:r>
              <w:rPr>
                <w:i/>
                <w:iCs/>
                <w:spacing w:val="-1"/>
              </w:rPr>
              <w:t>mandarinus</w:t>
            </w:r>
          </w:p>
        </w:tc>
        <w:tc>
          <w:tcPr>
            <w:tcW w:w="989" w:type="dxa"/>
            <w:vAlign w:val="top"/>
          </w:tcPr>
          <w:p w14:paraId="6BE6F933">
            <w:pPr>
              <w:pStyle w:val="6"/>
              <w:spacing w:before="235" w:line="232" w:lineRule="auto"/>
              <w:ind w:left="395"/>
            </w:pPr>
            <w:r>
              <w:rPr>
                <w:spacing w:val="-4"/>
              </w:rPr>
              <w:t>83</w:t>
            </w:r>
          </w:p>
        </w:tc>
        <w:tc>
          <w:tcPr>
            <w:tcW w:w="1272" w:type="dxa"/>
            <w:vAlign w:val="top"/>
          </w:tcPr>
          <w:p w14:paraId="7011DC25">
            <w:pPr>
              <w:spacing w:before="202" w:line="220" w:lineRule="auto"/>
              <w:ind w:left="433"/>
              <w:rPr>
                <w:rFonts w:ascii="宋体" w:hAnsi="宋体" w:eastAsia="宋体" w:cs="宋体"/>
                <w:sz w:val="21"/>
                <w:szCs w:val="21"/>
              </w:rPr>
            </w:pPr>
            <w:r>
              <w:rPr>
                <w:rFonts w:ascii="宋体" w:hAnsi="宋体" w:eastAsia="宋体" w:cs="宋体"/>
                <w:spacing w:val="-3"/>
                <w:sz w:val="21"/>
                <w:szCs w:val="21"/>
              </w:rPr>
              <w:t>乌鹑</w:t>
            </w:r>
          </w:p>
        </w:tc>
        <w:tc>
          <w:tcPr>
            <w:tcW w:w="1693" w:type="dxa"/>
            <w:vAlign w:val="top"/>
          </w:tcPr>
          <w:p w14:paraId="3D1698C0">
            <w:pPr>
              <w:pStyle w:val="6"/>
              <w:spacing w:before="113" w:line="190" w:lineRule="auto"/>
              <w:ind w:left="566"/>
            </w:pPr>
            <w:r>
              <w:rPr>
                <w:i/>
                <w:iCs/>
                <w:spacing w:val="-2"/>
              </w:rPr>
              <w:t>Turdus</w:t>
            </w:r>
          </w:p>
          <w:p w14:paraId="3E17548C">
            <w:pPr>
              <w:pStyle w:val="6"/>
              <w:spacing w:before="51" w:line="198" w:lineRule="auto"/>
              <w:ind w:left="352"/>
            </w:pPr>
            <w:r>
              <w:rPr>
                <w:i/>
                <w:iCs/>
                <w:spacing w:val="-1"/>
              </w:rPr>
              <w:t>mandarinus</w:t>
            </w:r>
          </w:p>
        </w:tc>
        <w:tc>
          <w:tcPr>
            <w:tcW w:w="845" w:type="dxa"/>
            <w:tcBorders>
              <w:right w:val="single" w:color="000000" w:sz="12" w:space="0"/>
            </w:tcBorders>
            <w:vAlign w:val="top"/>
          </w:tcPr>
          <w:p w14:paraId="0CC12E44">
            <w:pPr>
              <w:rPr>
                <w:rFonts w:ascii="Arial"/>
                <w:sz w:val="21"/>
              </w:rPr>
            </w:pPr>
          </w:p>
        </w:tc>
      </w:tr>
      <w:tr w14:paraId="43520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53E4C447">
            <w:pPr>
              <w:pStyle w:val="6"/>
              <w:spacing w:before="238" w:line="232" w:lineRule="auto"/>
              <w:ind w:left="270"/>
            </w:pPr>
            <w:r>
              <w:rPr>
                <w:spacing w:val="-6"/>
              </w:rPr>
              <w:t>126</w:t>
            </w:r>
          </w:p>
        </w:tc>
        <w:tc>
          <w:tcPr>
            <w:tcW w:w="1270" w:type="dxa"/>
            <w:tcBorders>
              <w:bottom w:val="single" w:color="000000" w:sz="12" w:space="0"/>
            </w:tcBorders>
            <w:vAlign w:val="top"/>
          </w:tcPr>
          <w:p w14:paraId="0F4CC370">
            <w:pPr>
              <w:spacing w:before="204" w:line="221" w:lineRule="auto"/>
              <w:ind w:left="212"/>
              <w:rPr>
                <w:rFonts w:ascii="宋体" w:hAnsi="宋体" w:eastAsia="宋体" w:cs="宋体"/>
                <w:sz w:val="21"/>
                <w:szCs w:val="21"/>
              </w:rPr>
            </w:pPr>
            <w:r>
              <w:rPr>
                <w:rFonts w:ascii="宋体" w:hAnsi="宋体" w:eastAsia="宋体" w:cs="宋体"/>
                <w:spacing w:val="-3"/>
                <w:sz w:val="21"/>
                <w:szCs w:val="21"/>
              </w:rPr>
              <w:t>红尾斑鹑</w:t>
            </w:r>
          </w:p>
        </w:tc>
        <w:tc>
          <w:tcPr>
            <w:tcW w:w="1554" w:type="dxa"/>
            <w:tcBorders>
              <w:bottom w:val="single" w:color="000000" w:sz="12" w:space="0"/>
            </w:tcBorders>
            <w:vAlign w:val="top"/>
          </w:tcPr>
          <w:p w14:paraId="49CFD7F6">
            <w:pPr>
              <w:pStyle w:val="6"/>
              <w:spacing w:before="116" w:line="190" w:lineRule="auto"/>
              <w:ind w:left="482"/>
            </w:pPr>
            <w:r>
              <w:rPr>
                <w:i/>
                <w:iCs/>
                <w:spacing w:val="-2"/>
              </w:rPr>
              <w:t>Turdus</w:t>
            </w:r>
          </w:p>
          <w:p w14:paraId="2F308E2D">
            <w:pPr>
              <w:pStyle w:val="6"/>
              <w:spacing w:before="50" w:line="221" w:lineRule="auto"/>
              <w:ind w:left="350"/>
            </w:pPr>
            <w:r>
              <w:rPr>
                <w:i/>
                <w:iCs/>
                <w:spacing w:val="-1"/>
              </w:rPr>
              <w:t>naumanni</w:t>
            </w:r>
          </w:p>
        </w:tc>
        <w:tc>
          <w:tcPr>
            <w:tcW w:w="989" w:type="dxa"/>
            <w:tcBorders>
              <w:bottom w:val="single" w:color="000000" w:sz="12" w:space="0"/>
            </w:tcBorders>
            <w:vAlign w:val="top"/>
          </w:tcPr>
          <w:p w14:paraId="1A171B66">
            <w:pPr>
              <w:rPr>
                <w:rFonts w:ascii="Arial"/>
                <w:sz w:val="21"/>
              </w:rPr>
            </w:pPr>
          </w:p>
        </w:tc>
        <w:tc>
          <w:tcPr>
            <w:tcW w:w="1272" w:type="dxa"/>
            <w:tcBorders>
              <w:bottom w:val="single" w:color="000000" w:sz="12" w:space="0"/>
            </w:tcBorders>
            <w:vAlign w:val="top"/>
          </w:tcPr>
          <w:p w14:paraId="0AD6801A">
            <w:pPr>
              <w:rPr>
                <w:rFonts w:ascii="Arial"/>
                <w:sz w:val="21"/>
              </w:rPr>
            </w:pPr>
          </w:p>
        </w:tc>
        <w:tc>
          <w:tcPr>
            <w:tcW w:w="1693" w:type="dxa"/>
            <w:tcBorders>
              <w:bottom w:val="single" w:color="000000" w:sz="12" w:space="0"/>
            </w:tcBorders>
            <w:vAlign w:val="top"/>
          </w:tcPr>
          <w:p w14:paraId="6B2B68E9">
            <w:pPr>
              <w:rPr>
                <w:rFonts w:ascii="Arial"/>
                <w:sz w:val="21"/>
              </w:rPr>
            </w:pPr>
          </w:p>
        </w:tc>
        <w:tc>
          <w:tcPr>
            <w:tcW w:w="845" w:type="dxa"/>
            <w:tcBorders>
              <w:bottom w:val="single" w:color="000000" w:sz="12" w:space="0"/>
              <w:right w:val="single" w:color="000000" w:sz="12" w:space="0"/>
            </w:tcBorders>
            <w:vAlign w:val="top"/>
          </w:tcPr>
          <w:p w14:paraId="418E969B">
            <w:pPr>
              <w:rPr>
                <w:rFonts w:ascii="Arial"/>
                <w:sz w:val="21"/>
              </w:rPr>
            </w:pPr>
          </w:p>
        </w:tc>
      </w:tr>
    </w:tbl>
    <w:p w14:paraId="6E60E785">
      <w:pPr>
        <w:rPr>
          <w:rFonts w:ascii="Arial"/>
          <w:sz w:val="21"/>
        </w:rPr>
      </w:pPr>
    </w:p>
    <w:p w14:paraId="75B29E6A">
      <w:pPr>
        <w:rPr>
          <w:rFonts w:ascii="Arial" w:hAnsi="Arial" w:eastAsia="Arial" w:cs="Arial"/>
          <w:sz w:val="21"/>
          <w:szCs w:val="21"/>
        </w:rPr>
        <w:sectPr>
          <w:footerReference r:id="rId182" w:type="default"/>
          <w:pgSz w:w="11907" w:h="16839"/>
          <w:pgMar w:top="1376" w:right="1669" w:bottom="1061" w:left="1671" w:header="999" w:footer="861" w:gutter="0"/>
          <w:cols w:space="720" w:num="1"/>
        </w:sectPr>
      </w:pPr>
    </w:p>
    <w:p w14:paraId="15D1E41E">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44048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03259AC8">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606DF2BE">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139C6D45">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154D4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662C47C2">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2D222557">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39C51B25">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5BDE98E9">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3B30ABC9">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4280ECA7">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3C8D145C">
            <w:pPr>
              <w:rPr>
                <w:rFonts w:ascii="Arial"/>
                <w:sz w:val="21"/>
              </w:rPr>
            </w:pPr>
          </w:p>
        </w:tc>
      </w:tr>
      <w:tr w14:paraId="1C27A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C52DD56">
            <w:pPr>
              <w:pStyle w:val="6"/>
              <w:spacing w:before="115" w:line="186" w:lineRule="auto"/>
              <w:ind w:left="238"/>
            </w:pPr>
            <w:r>
              <w:rPr>
                <w:b/>
                <w:bCs/>
                <w:spacing w:val="-2"/>
              </w:rPr>
              <w:t>F43</w:t>
            </w:r>
          </w:p>
        </w:tc>
        <w:tc>
          <w:tcPr>
            <w:tcW w:w="1270" w:type="dxa"/>
            <w:vAlign w:val="top"/>
          </w:tcPr>
          <w:p w14:paraId="43747B1A">
            <w:pPr>
              <w:spacing w:before="77" w:line="219" w:lineRule="auto"/>
              <w:ind w:left="417"/>
              <w:rPr>
                <w:rFonts w:ascii="宋体" w:hAnsi="宋体" w:eastAsia="宋体" w:cs="宋体"/>
                <w:sz w:val="21"/>
                <w:szCs w:val="21"/>
              </w:rPr>
            </w:pPr>
            <w:r>
              <w:rPr>
                <w:rFonts w:ascii="宋体" w:hAnsi="宋体" w:eastAsia="宋体" w:cs="宋体"/>
                <w:b/>
                <w:bCs/>
                <w:spacing w:val="-4"/>
                <w:sz w:val="21"/>
                <w:szCs w:val="21"/>
              </w:rPr>
              <w:t>鹟科</w:t>
            </w:r>
          </w:p>
        </w:tc>
        <w:tc>
          <w:tcPr>
            <w:tcW w:w="1554" w:type="dxa"/>
            <w:vAlign w:val="top"/>
          </w:tcPr>
          <w:p w14:paraId="01FA32F3">
            <w:pPr>
              <w:pStyle w:val="6"/>
              <w:spacing w:before="115" w:line="187" w:lineRule="auto"/>
              <w:ind w:left="151"/>
            </w:pPr>
            <w:r>
              <w:rPr>
                <w:b/>
                <w:bCs/>
                <w:spacing w:val="-1"/>
              </w:rPr>
              <w:t>Muscicapidae</w:t>
            </w:r>
          </w:p>
        </w:tc>
        <w:tc>
          <w:tcPr>
            <w:tcW w:w="989" w:type="dxa"/>
            <w:vAlign w:val="top"/>
          </w:tcPr>
          <w:p w14:paraId="542E5930">
            <w:pPr>
              <w:pStyle w:val="6"/>
              <w:spacing w:before="115" w:line="186" w:lineRule="auto"/>
              <w:ind w:left="323"/>
            </w:pPr>
            <w:r>
              <w:rPr>
                <w:b/>
                <w:bCs/>
                <w:spacing w:val="-2"/>
              </w:rPr>
              <w:t>F39</w:t>
            </w:r>
          </w:p>
        </w:tc>
        <w:tc>
          <w:tcPr>
            <w:tcW w:w="1272" w:type="dxa"/>
            <w:vAlign w:val="top"/>
          </w:tcPr>
          <w:p w14:paraId="4DFD5D5E">
            <w:pPr>
              <w:spacing w:before="77" w:line="219" w:lineRule="auto"/>
              <w:ind w:left="430"/>
              <w:rPr>
                <w:rFonts w:ascii="宋体" w:hAnsi="宋体" w:eastAsia="宋体" w:cs="宋体"/>
                <w:sz w:val="21"/>
                <w:szCs w:val="21"/>
              </w:rPr>
            </w:pPr>
            <w:r>
              <w:rPr>
                <w:rFonts w:ascii="宋体" w:hAnsi="宋体" w:eastAsia="宋体" w:cs="宋体"/>
                <w:b/>
                <w:bCs/>
                <w:spacing w:val="-4"/>
                <w:sz w:val="21"/>
                <w:szCs w:val="21"/>
              </w:rPr>
              <w:t>鹟科</w:t>
            </w:r>
          </w:p>
        </w:tc>
        <w:tc>
          <w:tcPr>
            <w:tcW w:w="1693" w:type="dxa"/>
            <w:vAlign w:val="top"/>
          </w:tcPr>
          <w:p w14:paraId="2BACFF75">
            <w:pPr>
              <w:pStyle w:val="6"/>
              <w:spacing w:before="115" w:line="187" w:lineRule="auto"/>
              <w:ind w:left="235"/>
            </w:pPr>
            <w:r>
              <w:rPr>
                <w:b/>
                <w:bCs/>
                <w:spacing w:val="-1"/>
              </w:rPr>
              <w:t>Muscicapidae</w:t>
            </w:r>
          </w:p>
        </w:tc>
        <w:tc>
          <w:tcPr>
            <w:tcW w:w="845" w:type="dxa"/>
            <w:tcBorders>
              <w:right w:val="single" w:color="000000" w:sz="12" w:space="0"/>
            </w:tcBorders>
            <w:vAlign w:val="top"/>
          </w:tcPr>
          <w:p w14:paraId="7EFA0DC1">
            <w:pPr>
              <w:rPr>
                <w:rFonts w:ascii="Arial"/>
                <w:sz w:val="21"/>
              </w:rPr>
            </w:pPr>
          </w:p>
        </w:tc>
      </w:tr>
      <w:tr w14:paraId="0F4D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604EAC6">
            <w:pPr>
              <w:pStyle w:val="6"/>
              <w:spacing w:before="209" w:line="232" w:lineRule="auto"/>
              <w:ind w:left="270"/>
            </w:pPr>
            <w:r>
              <w:rPr>
                <w:spacing w:val="-6"/>
              </w:rPr>
              <w:t>127</w:t>
            </w:r>
          </w:p>
        </w:tc>
        <w:tc>
          <w:tcPr>
            <w:tcW w:w="1270" w:type="dxa"/>
            <w:vAlign w:val="top"/>
          </w:tcPr>
          <w:p w14:paraId="328A4A97">
            <w:pPr>
              <w:spacing w:before="175" w:line="219" w:lineRule="auto"/>
              <w:ind w:left="212"/>
              <w:rPr>
                <w:rFonts w:ascii="宋体" w:hAnsi="宋体" w:eastAsia="宋体" w:cs="宋体"/>
                <w:sz w:val="21"/>
                <w:szCs w:val="21"/>
              </w:rPr>
            </w:pPr>
            <w:r>
              <w:rPr>
                <w:rFonts w:ascii="宋体" w:hAnsi="宋体" w:eastAsia="宋体" w:cs="宋体"/>
                <w:spacing w:val="-3"/>
                <w:sz w:val="21"/>
                <w:szCs w:val="21"/>
              </w:rPr>
              <w:t>红喉歌鸲</w:t>
            </w:r>
          </w:p>
        </w:tc>
        <w:tc>
          <w:tcPr>
            <w:tcW w:w="1554" w:type="dxa"/>
            <w:vAlign w:val="top"/>
          </w:tcPr>
          <w:p w14:paraId="0C9B4C99">
            <w:pPr>
              <w:pStyle w:val="6"/>
              <w:spacing w:before="88" w:line="190" w:lineRule="auto"/>
              <w:ind w:left="418"/>
            </w:pPr>
            <w:r>
              <w:rPr>
                <w:i/>
                <w:iCs/>
                <w:spacing w:val="-2"/>
              </w:rPr>
              <w:t>Calliope</w:t>
            </w:r>
          </w:p>
          <w:p w14:paraId="4B6E4EC8">
            <w:pPr>
              <w:pStyle w:val="6"/>
              <w:spacing w:before="51" w:line="190" w:lineRule="auto"/>
              <w:ind w:left="433"/>
            </w:pPr>
            <w:r>
              <w:rPr>
                <w:i/>
                <w:iCs/>
                <w:spacing w:val="-1"/>
              </w:rPr>
              <w:t>calliope</w:t>
            </w:r>
          </w:p>
        </w:tc>
        <w:tc>
          <w:tcPr>
            <w:tcW w:w="989" w:type="dxa"/>
            <w:vAlign w:val="top"/>
          </w:tcPr>
          <w:p w14:paraId="1B86AB8E">
            <w:pPr>
              <w:pStyle w:val="6"/>
              <w:spacing w:before="210" w:line="232" w:lineRule="auto"/>
              <w:ind w:left="395"/>
            </w:pPr>
            <w:r>
              <w:rPr>
                <w:spacing w:val="-4"/>
              </w:rPr>
              <w:t>84</w:t>
            </w:r>
          </w:p>
        </w:tc>
        <w:tc>
          <w:tcPr>
            <w:tcW w:w="1272" w:type="dxa"/>
            <w:vAlign w:val="top"/>
          </w:tcPr>
          <w:p w14:paraId="5A4966A1">
            <w:pPr>
              <w:spacing w:before="175" w:line="219" w:lineRule="auto"/>
              <w:ind w:left="226"/>
              <w:rPr>
                <w:rFonts w:ascii="宋体" w:hAnsi="宋体" w:eastAsia="宋体" w:cs="宋体"/>
                <w:sz w:val="21"/>
                <w:szCs w:val="21"/>
              </w:rPr>
            </w:pPr>
            <w:r>
              <w:rPr>
                <w:rFonts w:ascii="宋体" w:hAnsi="宋体" w:eastAsia="宋体" w:cs="宋体"/>
                <w:spacing w:val="-3"/>
                <w:sz w:val="21"/>
                <w:szCs w:val="21"/>
              </w:rPr>
              <w:t>红喉歌鸲</w:t>
            </w:r>
          </w:p>
        </w:tc>
        <w:tc>
          <w:tcPr>
            <w:tcW w:w="1693" w:type="dxa"/>
            <w:vAlign w:val="top"/>
          </w:tcPr>
          <w:p w14:paraId="61165FB0">
            <w:pPr>
              <w:pStyle w:val="6"/>
              <w:spacing w:before="210" w:line="190" w:lineRule="auto"/>
              <w:ind w:left="137"/>
            </w:pPr>
            <w:r>
              <w:rPr>
                <w:i/>
                <w:iCs/>
                <w:spacing w:val="-1"/>
              </w:rPr>
              <w:t>Calliope calliope</w:t>
            </w:r>
          </w:p>
        </w:tc>
        <w:tc>
          <w:tcPr>
            <w:tcW w:w="845" w:type="dxa"/>
            <w:tcBorders>
              <w:right w:val="single" w:color="000000" w:sz="12" w:space="0"/>
            </w:tcBorders>
            <w:vAlign w:val="top"/>
          </w:tcPr>
          <w:p w14:paraId="6F997606">
            <w:pPr>
              <w:rPr>
                <w:rFonts w:ascii="Arial"/>
                <w:sz w:val="21"/>
              </w:rPr>
            </w:pPr>
          </w:p>
        </w:tc>
      </w:tr>
      <w:tr w14:paraId="29868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42E9E23">
            <w:pPr>
              <w:pStyle w:val="6"/>
              <w:spacing w:before="113" w:line="232" w:lineRule="auto"/>
              <w:ind w:left="270"/>
            </w:pPr>
            <w:r>
              <w:rPr>
                <w:spacing w:val="-6"/>
              </w:rPr>
              <w:t>128</w:t>
            </w:r>
          </w:p>
        </w:tc>
        <w:tc>
          <w:tcPr>
            <w:tcW w:w="1270" w:type="dxa"/>
            <w:vAlign w:val="top"/>
          </w:tcPr>
          <w:p w14:paraId="2C20F737">
            <w:pPr>
              <w:spacing w:before="78" w:line="219" w:lineRule="auto"/>
              <w:ind w:left="208"/>
              <w:rPr>
                <w:rFonts w:ascii="宋体" w:hAnsi="宋体" w:eastAsia="宋体" w:cs="宋体"/>
                <w:sz w:val="21"/>
                <w:szCs w:val="21"/>
              </w:rPr>
            </w:pPr>
            <w:r>
              <w:rPr>
                <w:rFonts w:ascii="宋体" w:hAnsi="宋体" w:eastAsia="宋体" w:cs="宋体"/>
                <w:spacing w:val="-2"/>
                <w:sz w:val="21"/>
                <w:szCs w:val="21"/>
              </w:rPr>
              <w:t>蓝喉歌鸲</w:t>
            </w:r>
          </w:p>
        </w:tc>
        <w:tc>
          <w:tcPr>
            <w:tcW w:w="1554" w:type="dxa"/>
            <w:vAlign w:val="top"/>
          </w:tcPr>
          <w:p w14:paraId="23822EBF">
            <w:pPr>
              <w:pStyle w:val="6"/>
              <w:spacing w:before="112" w:line="233" w:lineRule="auto"/>
              <w:ind w:left="62"/>
            </w:pPr>
            <w:r>
              <w:rPr>
                <w:i/>
                <w:iCs/>
              </w:rPr>
              <w:t>Luscinia</w:t>
            </w:r>
            <w:r>
              <w:rPr>
                <w:i/>
                <w:iCs/>
                <w:spacing w:val="5"/>
              </w:rPr>
              <w:t xml:space="preserve"> </w:t>
            </w:r>
            <w:r>
              <w:rPr>
                <w:i/>
                <w:iCs/>
              </w:rPr>
              <w:t>svecica</w:t>
            </w:r>
          </w:p>
        </w:tc>
        <w:tc>
          <w:tcPr>
            <w:tcW w:w="989" w:type="dxa"/>
            <w:vAlign w:val="top"/>
          </w:tcPr>
          <w:p w14:paraId="2FFE28FA">
            <w:pPr>
              <w:rPr>
                <w:rFonts w:ascii="Arial"/>
                <w:sz w:val="21"/>
              </w:rPr>
            </w:pPr>
          </w:p>
        </w:tc>
        <w:tc>
          <w:tcPr>
            <w:tcW w:w="1272" w:type="dxa"/>
            <w:vAlign w:val="top"/>
          </w:tcPr>
          <w:p w14:paraId="7D48AD39">
            <w:pPr>
              <w:rPr>
                <w:rFonts w:ascii="Arial"/>
                <w:sz w:val="21"/>
              </w:rPr>
            </w:pPr>
          </w:p>
        </w:tc>
        <w:tc>
          <w:tcPr>
            <w:tcW w:w="1693" w:type="dxa"/>
            <w:vAlign w:val="top"/>
          </w:tcPr>
          <w:p w14:paraId="2B893C55">
            <w:pPr>
              <w:rPr>
                <w:rFonts w:ascii="Arial"/>
                <w:sz w:val="21"/>
              </w:rPr>
            </w:pPr>
          </w:p>
        </w:tc>
        <w:tc>
          <w:tcPr>
            <w:tcW w:w="845" w:type="dxa"/>
            <w:tcBorders>
              <w:right w:val="single" w:color="000000" w:sz="12" w:space="0"/>
            </w:tcBorders>
            <w:vAlign w:val="top"/>
          </w:tcPr>
          <w:p w14:paraId="4DCCB69D">
            <w:pPr>
              <w:rPr>
                <w:rFonts w:ascii="Arial"/>
                <w:sz w:val="21"/>
              </w:rPr>
            </w:pPr>
          </w:p>
        </w:tc>
      </w:tr>
      <w:tr w14:paraId="36F72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1353E7D">
            <w:pPr>
              <w:pStyle w:val="6"/>
              <w:spacing w:before="211" w:line="232" w:lineRule="auto"/>
              <w:ind w:left="270"/>
            </w:pPr>
            <w:r>
              <w:rPr>
                <w:spacing w:val="-6"/>
              </w:rPr>
              <w:t>129</w:t>
            </w:r>
          </w:p>
        </w:tc>
        <w:tc>
          <w:tcPr>
            <w:tcW w:w="1270" w:type="dxa"/>
            <w:vAlign w:val="top"/>
          </w:tcPr>
          <w:p w14:paraId="455E2FAB">
            <w:pPr>
              <w:spacing w:before="177" w:line="221" w:lineRule="auto"/>
              <w:ind w:left="108"/>
              <w:rPr>
                <w:rFonts w:ascii="宋体" w:hAnsi="宋体" w:eastAsia="宋体" w:cs="宋体"/>
                <w:sz w:val="21"/>
                <w:szCs w:val="21"/>
              </w:rPr>
            </w:pPr>
            <w:r>
              <w:rPr>
                <w:rFonts w:ascii="宋体" w:hAnsi="宋体" w:eastAsia="宋体" w:cs="宋体"/>
                <w:spacing w:val="-3"/>
                <w:sz w:val="21"/>
                <w:szCs w:val="21"/>
              </w:rPr>
              <w:t>红胁蓝尾鸲</w:t>
            </w:r>
          </w:p>
        </w:tc>
        <w:tc>
          <w:tcPr>
            <w:tcW w:w="1554" w:type="dxa"/>
            <w:vAlign w:val="top"/>
          </w:tcPr>
          <w:p w14:paraId="4C3B9EEB">
            <w:pPr>
              <w:pStyle w:val="6"/>
              <w:spacing w:before="91" w:line="190" w:lineRule="auto"/>
              <w:ind w:left="418"/>
            </w:pPr>
            <w:r>
              <w:rPr>
                <w:i/>
                <w:iCs/>
                <w:spacing w:val="-2"/>
              </w:rPr>
              <w:t>Tarsiger</w:t>
            </w:r>
          </w:p>
          <w:p w14:paraId="12616EC7">
            <w:pPr>
              <w:pStyle w:val="6"/>
              <w:spacing w:before="50" w:line="190" w:lineRule="auto"/>
              <w:ind w:left="386"/>
            </w:pPr>
            <w:r>
              <w:rPr>
                <w:i/>
                <w:iCs/>
                <w:spacing w:val="-1"/>
              </w:rPr>
              <w:t>cyanurus</w:t>
            </w:r>
          </w:p>
        </w:tc>
        <w:tc>
          <w:tcPr>
            <w:tcW w:w="989" w:type="dxa"/>
            <w:vAlign w:val="top"/>
          </w:tcPr>
          <w:p w14:paraId="57259561">
            <w:pPr>
              <w:rPr>
                <w:rFonts w:ascii="Arial"/>
                <w:sz w:val="21"/>
              </w:rPr>
            </w:pPr>
          </w:p>
        </w:tc>
        <w:tc>
          <w:tcPr>
            <w:tcW w:w="1272" w:type="dxa"/>
            <w:vAlign w:val="top"/>
          </w:tcPr>
          <w:p w14:paraId="04444C1E">
            <w:pPr>
              <w:rPr>
                <w:rFonts w:ascii="Arial"/>
                <w:sz w:val="21"/>
              </w:rPr>
            </w:pPr>
          </w:p>
        </w:tc>
        <w:tc>
          <w:tcPr>
            <w:tcW w:w="1693" w:type="dxa"/>
            <w:vAlign w:val="top"/>
          </w:tcPr>
          <w:p w14:paraId="2C886337">
            <w:pPr>
              <w:rPr>
                <w:rFonts w:ascii="Arial"/>
                <w:sz w:val="21"/>
              </w:rPr>
            </w:pPr>
          </w:p>
        </w:tc>
        <w:tc>
          <w:tcPr>
            <w:tcW w:w="845" w:type="dxa"/>
            <w:tcBorders>
              <w:right w:val="single" w:color="000000" w:sz="12" w:space="0"/>
            </w:tcBorders>
            <w:vAlign w:val="top"/>
          </w:tcPr>
          <w:p w14:paraId="2B878C9F">
            <w:pPr>
              <w:rPr>
                <w:rFonts w:ascii="Arial"/>
                <w:sz w:val="21"/>
              </w:rPr>
            </w:pPr>
          </w:p>
        </w:tc>
      </w:tr>
      <w:tr w14:paraId="3E224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6D5B7CFA">
            <w:pPr>
              <w:rPr>
                <w:rFonts w:ascii="Arial"/>
                <w:sz w:val="21"/>
              </w:rPr>
            </w:pPr>
          </w:p>
        </w:tc>
        <w:tc>
          <w:tcPr>
            <w:tcW w:w="1270" w:type="dxa"/>
            <w:vAlign w:val="top"/>
          </w:tcPr>
          <w:p w14:paraId="609FD1D8">
            <w:pPr>
              <w:rPr>
                <w:rFonts w:ascii="Arial"/>
                <w:sz w:val="21"/>
              </w:rPr>
            </w:pPr>
          </w:p>
        </w:tc>
        <w:tc>
          <w:tcPr>
            <w:tcW w:w="1554" w:type="dxa"/>
            <w:vAlign w:val="top"/>
          </w:tcPr>
          <w:p w14:paraId="40E56D77">
            <w:pPr>
              <w:rPr>
                <w:rFonts w:ascii="Arial"/>
                <w:sz w:val="21"/>
              </w:rPr>
            </w:pPr>
          </w:p>
        </w:tc>
        <w:tc>
          <w:tcPr>
            <w:tcW w:w="989" w:type="dxa"/>
            <w:vAlign w:val="top"/>
          </w:tcPr>
          <w:p w14:paraId="02C97245">
            <w:pPr>
              <w:pStyle w:val="6"/>
              <w:spacing w:before="114" w:line="232" w:lineRule="auto"/>
              <w:ind w:left="395"/>
            </w:pPr>
            <w:r>
              <w:rPr>
                <w:spacing w:val="-4"/>
              </w:rPr>
              <w:t>85</w:t>
            </w:r>
          </w:p>
        </w:tc>
        <w:tc>
          <w:tcPr>
            <w:tcW w:w="1272" w:type="dxa"/>
            <w:vAlign w:val="top"/>
          </w:tcPr>
          <w:p w14:paraId="2D7A2457">
            <w:pPr>
              <w:spacing w:before="80" w:line="220" w:lineRule="auto"/>
              <w:ind w:left="222"/>
              <w:rPr>
                <w:rFonts w:ascii="宋体" w:hAnsi="宋体" w:eastAsia="宋体" w:cs="宋体"/>
                <w:sz w:val="21"/>
                <w:szCs w:val="21"/>
              </w:rPr>
            </w:pPr>
            <w:r>
              <w:rPr>
                <w:rFonts w:ascii="宋体" w:hAnsi="宋体" w:eastAsia="宋体" w:cs="宋体"/>
                <w:spacing w:val="-2"/>
                <w:sz w:val="21"/>
                <w:szCs w:val="21"/>
              </w:rPr>
              <w:t>蓝眉林鸲</w:t>
            </w:r>
          </w:p>
        </w:tc>
        <w:tc>
          <w:tcPr>
            <w:tcW w:w="1693" w:type="dxa"/>
            <w:vAlign w:val="top"/>
          </w:tcPr>
          <w:p w14:paraId="622298D8">
            <w:pPr>
              <w:pStyle w:val="6"/>
              <w:spacing w:before="114" w:line="190" w:lineRule="auto"/>
              <w:ind w:left="121"/>
            </w:pPr>
            <w:r>
              <w:rPr>
                <w:i/>
                <w:iCs/>
                <w:spacing w:val="-1"/>
              </w:rPr>
              <w:t>Tarsiger rufilatus</w:t>
            </w:r>
          </w:p>
        </w:tc>
        <w:tc>
          <w:tcPr>
            <w:tcW w:w="845" w:type="dxa"/>
            <w:tcBorders>
              <w:right w:val="single" w:color="000000" w:sz="12" w:space="0"/>
            </w:tcBorders>
            <w:vAlign w:val="top"/>
          </w:tcPr>
          <w:p w14:paraId="5E77F72D">
            <w:pPr>
              <w:rPr>
                <w:rFonts w:ascii="Arial"/>
                <w:sz w:val="21"/>
              </w:rPr>
            </w:pPr>
          </w:p>
        </w:tc>
      </w:tr>
      <w:tr w14:paraId="4994A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812A06D">
            <w:pPr>
              <w:pStyle w:val="6"/>
              <w:spacing w:before="215" w:line="232" w:lineRule="auto"/>
              <w:ind w:left="270"/>
            </w:pPr>
            <w:r>
              <w:rPr>
                <w:spacing w:val="-6"/>
              </w:rPr>
              <w:t>130</w:t>
            </w:r>
          </w:p>
        </w:tc>
        <w:tc>
          <w:tcPr>
            <w:tcW w:w="1270" w:type="dxa"/>
            <w:vAlign w:val="top"/>
          </w:tcPr>
          <w:p w14:paraId="037B8F0D">
            <w:pPr>
              <w:spacing w:before="181" w:line="220" w:lineRule="auto"/>
              <w:ind w:left="416"/>
              <w:rPr>
                <w:rFonts w:ascii="宋体" w:hAnsi="宋体" w:eastAsia="宋体" w:cs="宋体"/>
                <w:sz w:val="21"/>
                <w:szCs w:val="21"/>
              </w:rPr>
            </w:pPr>
            <w:r>
              <w:rPr>
                <w:rFonts w:ascii="宋体" w:hAnsi="宋体" w:eastAsia="宋体" w:cs="宋体"/>
                <w:spacing w:val="-2"/>
                <w:sz w:val="21"/>
                <w:szCs w:val="21"/>
              </w:rPr>
              <w:t>鹊鸲</w:t>
            </w:r>
          </w:p>
        </w:tc>
        <w:tc>
          <w:tcPr>
            <w:tcW w:w="1554" w:type="dxa"/>
            <w:vAlign w:val="top"/>
          </w:tcPr>
          <w:p w14:paraId="77004795">
            <w:pPr>
              <w:pStyle w:val="6"/>
              <w:spacing w:before="93" w:line="190" w:lineRule="auto"/>
              <w:ind w:left="324"/>
            </w:pPr>
            <w:r>
              <w:rPr>
                <w:i/>
                <w:iCs/>
                <w:spacing w:val="-2"/>
              </w:rPr>
              <w:t>Copsychus</w:t>
            </w:r>
          </w:p>
          <w:p w14:paraId="452C75EE">
            <w:pPr>
              <w:pStyle w:val="6"/>
              <w:spacing w:before="49" w:line="221" w:lineRule="auto"/>
              <w:ind w:left="426"/>
            </w:pPr>
            <w:r>
              <w:rPr>
                <w:i/>
                <w:iCs/>
              </w:rPr>
              <w:t>saularis</w:t>
            </w:r>
          </w:p>
        </w:tc>
        <w:tc>
          <w:tcPr>
            <w:tcW w:w="989" w:type="dxa"/>
            <w:vAlign w:val="top"/>
          </w:tcPr>
          <w:p w14:paraId="3F8A6357">
            <w:pPr>
              <w:pStyle w:val="6"/>
              <w:spacing w:before="215" w:line="232" w:lineRule="auto"/>
              <w:ind w:left="395"/>
            </w:pPr>
            <w:r>
              <w:rPr>
                <w:spacing w:val="-4"/>
              </w:rPr>
              <w:t>86</w:t>
            </w:r>
          </w:p>
        </w:tc>
        <w:tc>
          <w:tcPr>
            <w:tcW w:w="1272" w:type="dxa"/>
            <w:vAlign w:val="top"/>
          </w:tcPr>
          <w:p w14:paraId="2DB6FC06">
            <w:pPr>
              <w:spacing w:before="181" w:line="220" w:lineRule="auto"/>
              <w:ind w:left="430"/>
              <w:rPr>
                <w:rFonts w:ascii="宋体" w:hAnsi="宋体" w:eastAsia="宋体" w:cs="宋体"/>
                <w:sz w:val="21"/>
                <w:szCs w:val="21"/>
              </w:rPr>
            </w:pPr>
            <w:r>
              <w:rPr>
                <w:rFonts w:ascii="宋体" w:hAnsi="宋体" w:eastAsia="宋体" w:cs="宋体"/>
                <w:spacing w:val="-2"/>
                <w:sz w:val="21"/>
                <w:szCs w:val="21"/>
              </w:rPr>
              <w:t>鹊鸲</w:t>
            </w:r>
          </w:p>
        </w:tc>
        <w:tc>
          <w:tcPr>
            <w:tcW w:w="1693" w:type="dxa"/>
            <w:vAlign w:val="top"/>
          </w:tcPr>
          <w:p w14:paraId="631E209F">
            <w:pPr>
              <w:pStyle w:val="6"/>
              <w:spacing w:before="93" w:line="190" w:lineRule="auto"/>
              <w:ind w:left="409"/>
            </w:pPr>
            <w:r>
              <w:rPr>
                <w:i/>
                <w:iCs/>
                <w:spacing w:val="-2"/>
              </w:rPr>
              <w:t>Copsychus</w:t>
            </w:r>
          </w:p>
          <w:p w14:paraId="7E5D547B">
            <w:pPr>
              <w:pStyle w:val="6"/>
              <w:spacing w:before="49" w:line="221" w:lineRule="auto"/>
              <w:ind w:left="510"/>
            </w:pPr>
            <w:r>
              <w:rPr>
                <w:i/>
                <w:iCs/>
              </w:rPr>
              <w:t>saularis</w:t>
            </w:r>
          </w:p>
        </w:tc>
        <w:tc>
          <w:tcPr>
            <w:tcW w:w="845" w:type="dxa"/>
            <w:tcBorders>
              <w:right w:val="single" w:color="000000" w:sz="12" w:space="0"/>
            </w:tcBorders>
            <w:vAlign w:val="top"/>
          </w:tcPr>
          <w:p w14:paraId="2151143E">
            <w:pPr>
              <w:rPr>
                <w:rFonts w:ascii="Arial"/>
                <w:sz w:val="21"/>
              </w:rPr>
            </w:pPr>
          </w:p>
        </w:tc>
      </w:tr>
      <w:tr w14:paraId="3876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0075919C">
            <w:pPr>
              <w:pStyle w:val="6"/>
              <w:spacing w:before="215" w:line="232" w:lineRule="auto"/>
              <w:ind w:left="270"/>
            </w:pPr>
            <w:r>
              <w:rPr>
                <w:spacing w:val="-6"/>
              </w:rPr>
              <w:t>131</w:t>
            </w:r>
          </w:p>
        </w:tc>
        <w:tc>
          <w:tcPr>
            <w:tcW w:w="1270" w:type="dxa"/>
            <w:vAlign w:val="top"/>
          </w:tcPr>
          <w:p w14:paraId="48BB0103">
            <w:pPr>
              <w:spacing w:before="181" w:line="220" w:lineRule="auto"/>
              <w:ind w:left="103"/>
              <w:rPr>
                <w:rFonts w:ascii="宋体" w:hAnsi="宋体" w:eastAsia="宋体" w:cs="宋体"/>
                <w:sz w:val="21"/>
                <w:szCs w:val="21"/>
              </w:rPr>
            </w:pPr>
            <w:r>
              <w:rPr>
                <w:rFonts w:ascii="宋体" w:hAnsi="宋体" w:eastAsia="宋体" w:cs="宋体"/>
                <w:spacing w:val="-2"/>
                <w:sz w:val="21"/>
                <w:szCs w:val="21"/>
              </w:rPr>
              <w:t>蓝额红尾鸲</w:t>
            </w:r>
          </w:p>
        </w:tc>
        <w:tc>
          <w:tcPr>
            <w:tcW w:w="1554" w:type="dxa"/>
            <w:vAlign w:val="top"/>
          </w:tcPr>
          <w:p w14:paraId="122F7F53">
            <w:pPr>
              <w:pStyle w:val="6"/>
              <w:spacing w:before="95" w:line="224" w:lineRule="auto"/>
              <w:ind w:left="373" w:right="125" w:hanging="266"/>
            </w:pPr>
            <w:r>
              <w:rPr>
                <w:i/>
                <w:iCs/>
              </w:rPr>
              <w:t>Phoenicuropsis</w:t>
            </w:r>
            <w:r>
              <w:rPr>
                <w:i/>
                <w:iCs/>
                <w:spacing w:val="3"/>
              </w:rPr>
              <w:t xml:space="preserve"> </w:t>
            </w:r>
            <w:r>
              <w:rPr>
                <w:i/>
                <w:iCs/>
                <w:spacing w:val="4"/>
              </w:rPr>
              <w:t>frontalis</w:t>
            </w:r>
          </w:p>
        </w:tc>
        <w:tc>
          <w:tcPr>
            <w:tcW w:w="989" w:type="dxa"/>
            <w:vAlign w:val="top"/>
          </w:tcPr>
          <w:p w14:paraId="16031ACF">
            <w:pPr>
              <w:pStyle w:val="6"/>
              <w:spacing w:before="215" w:line="232" w:lineRule="auto"/>
              <w:ind w:left="395"/>
            </w:pPr>
            <w:r>
              <w:rPr>
                <w:spacing w:val="-4"/>
              </w:rPr>
              <w:t>87</w:t>
            </w:r>
          </w:p>
        </w:tc>
        <w:tc>
          <w:tcPr>
            <w:tcW w:w="1272" w:type="dxa"/>
            <w:vAlign w:val="top"/>
          </w:tcPr>
          <w:p w14:paraId="2BAC84A5">
            <w:pPr>
              <w:spacing w:before="181" w:line="220" w:lineRule="auto"/>
              <w:ind w:left="116"/>
              <w:rPr>
                <w:rFonts w:ascii="宋体" w:hAnsi="宋体" w:eastAsia="宋体" w:cs="宋体"/>
                <w:sz w:val="21"/>
                <w:szCs w:val="21"/>
              </w:rPr>
            </w:pPr>
            <w:r>
              <w:rPr>
                <w:rFonts w:ascii="宋体" w:hAnsi="宋体" w:eastAsia="宋体" w:cs="宋体"/>
                <w:spacing w:val="-2"/>
                <w:sz w:val="21"/>
                <w:szCs w:val="21"/>
              </w:rPr>
              <w:t>蓝额红尾鸲</w:t>
            </w:r>
          </w:p>
        </w:tc>
        <w:tc>
          <w:tcPr>
            <w:tcW w:w="1693" w:type="dxa"/>
            <w:vAlign w:val="top"/>
          </w:tcPr>
          <w:p w14:paraId="2CA55526">
            <w:pPr>
              <w:pStyle w:val="6"/>
              <w:spacing w:before="95" w:line="224" w:lineRule="auto"/>
              <w:ind w:left="457" w:right="179" w:hanging="266"/>
            </w:pPr>
            <w:r>
              <w:rPr>
                <w:i/>
                <w:iCs/>
              </w:rPr>
              <w:t>Phoenicuropsis</w:t>
            </w:r>
            <w:r>
              <w:rPr>
                <w:i/>
                <w:iCs/>
                <w:spacing w:val="3"/>
              </w:rPr>
              <w:t xml:space="preserve"> </w:t>
            </w:r>
            <w:r>
              <w:rPr>
                <w:i/>
                <w:iCs/>
                <w:spacing w:val="4"/>
              </w:rPr>
              <w:t>frontalis</w:t>
            </w:r>
          </w:p>
        </w:tc>
        <w:tc>
          <w:tcPr>
            <w:tcW w:w="845" w:type="dxa"/>
            <w:tcBorders>
              <w:right w:val="single" w:color="000000" w:sz="12" w:space="0"/>
            </w:tcBorders>
            <w:vAlign w:val="top"/>
          </w:tcPr>
          <w:p w14:paraId="6F443DB2">
            <w:pPr>
              <w:rPr>
                <w:rFonts w:ascii="Arial"/>
                <w:sz w:val="21"/>
              </w:rPr>
            </w:pPr>
          </w:p>
        </w:tc>
      </w:tr>
      <w:tr w14:paraId="7DCED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9D3B2A8">
            <w:pPr>
              <w:pStyle w:val="6"/>
              <w:spacing w:before="218" w:line="232" w:lineRule="auto"/>
              <w:ind w:left="270"/>
            </w:pPr>
            <w:r>
              <w:rPr>
                <w:spacing w:val="-6"/>
              </w:rPr>
              <w:t>132</w:t>
            </w:r>
          </w:p>
        </w:tc>
        <w:tc>
          <w:tcPr>
            <w:tcW w:w="1270" w:type="dxa"/>
            <w:vAlign w:val="top"/>
          </w:tcPr>
          <w:p w14:paraId="66293902">
            <w:pPr>
              <w:spacing w:before="184" w:line="221" w:lineRule="auto"/>
              <w:ind w:left="210"/>
              <w:rPr>
                <w:rFonts w:ascii="宋体" w:hAnsi="宋体" w:eastAsia="宋体" w:cs="宋体"/>
                <w:sz w:val="21"/>
                <w:szCs w:val="21"/>
              </w:rPr>
            </w:pPr>
            <w:r>
              <w:rPr>
                <w:rFonts w:ascii="宋体" w:hAnsi="宋体" w:eastAsia="宋体" w:cs="宋体"/>
                <w:spacing w:val="-3"/>
                <w:sz w:val="21"/>
                <w:szCs w:val="21"/>
              </w:rPr>
              <w:t>北红尾鸲</w:t>
            </w:r>
          </w:p>
        </w:tc>
        <w:tc>
          <w:tcPr>
            <w:tcW w:w="1554" w:type="dxa"/>
            <w:vAlign w:val="top"/>
          </w:tcPr>
          <w:p w14:paraId="0EBDB750">
            <w:pPr>
              <w:pStyle w:val="6"/>
              <w:spacing w:before="96" w:line="190" w:lineRule="auto"/>
              <w:ind w:left="229"/>
            </w:pPr>
            <w:r>
              <w:rPr>
                <w:i/>
                <w:iCs/>
              </w:rPr>
              <w:t>Phoenicurus</w:t>
            </w:r>
          </w:p>
          <w:p w14:paraId="73FDB34D">
            <w:pPr>
              <w:pStyle w:val="6"/>
              <w:spacing w:before="51" w:line="217" w:lineRule="auto"/>
              <w:ind w:left="392"/>
            </w:pPr>
            <w:r>
              <w:rPr>
                <w:i/>
                <w:iCs/>
                <w:spacing w:val="-1"/>
              </w:rPr>
              <w:t>auroreus</w:t>
            </w:r>
          </w:p>
        </w:tc>
        <w:tc>
          <w:tcPr>
            <w:tcW w:w="989" w:type="dxa"/>
            <w:vAlign w:val="top"/>
          </w:tcPr>
          <w:p w14:paraId="6287F4C1">
            <w:pPr>
              <w:pStyle w:val="6"/>
              <w:spacing w:before="218" w:line="232" w:lineRule="auto"/>
              <w:ind w:left="395"/>
            </w:pPr>
            <w:r>
              <w:rPr>
                <w:spacing w:val="-4"/>
              </w:rPr>
              <w:t>88</w:t>
            </w:r>
          </w:p>
        </w:tc>
        <w:tc>
          <w:tcPr>
            <w:tcW w:w="1272" w:type="dxa"/>
            <w:vAlign w:val="top"/>
          </w:tcPr>
          <w:p w14:paraId="382FD0CC">
            <w:pPr>
              <w:spacing w:before="184" w:line="221" w:lineRule="auto"/>
              <w:ind w:left="224"/>
              <w:rPr>
                <w:rFonts w:ascii="宋体" w:hAnsi="宋体" w:eastAsia="宋体" w:cs="宋体"/>
                <w:sz w:val="21"/>
                <w:szCs w:val="21"/>
              </w:rPr>
            </w:pPr>
            <w:r>
              <w:rPr>
                <w:rFonts w:ascii="宋体" w:hAnsi="宋体" w:eastAsia="宋体" w:cs="宋体"/>
                <w:spacing w:val="-3"/>
                <w:sz w:val="21"/>
                <w:szCs w:val="21"/>
              </w:rPr>
              <w:t>北红尾鸲</w:t>
            </w:r>
          </w:p>
        </w:tc>
        <w:tc>
          <w:tcPr>
            <w:tcW w:w="1693" w:type="dxa"/>
            <w:vAlign w:val="top"/>
          </w:tcPr>
          <w:p w14:paraId="3C421C90">
            <w:pPr>
              <w:pStyle w:val="6"/>
              <w:spacing w:before="96" w:line="190" w:lineRule="auto"/>
              <w:ind w:left="314"/>
            </w:pPr>
            <w:r>
              <w:rPr>
                <w:i/>
                <w:iCs/>
              </w:rPr>
              <w:t>Phoenicurus</w:t>
            </w:r>
          </w:p>
          <w:p w14:paraId="7F0B9AA4">
            <w:pPr>
              <w:pStyle w:val="6"/>
              <w:spacing w:before="51" w:line="217" w:lineRule="auto"/>
              <w:ind w:left="476"/>
            </w:pPr>
            <w:r>
              <w:rPr>
                <w:i/>
                <w:iCs/>
                <w:spacing w:val="-1"/>
              </w:rPr>
              <w:t>auroreus</w:t>
            </w:r>
          </w:p>
        </w:tc>
        <w:tc>
          <w:tcPr>
            <w:tcW w:w="845" w:type="dxa"/>
            <w:tcBorders>
              <w:right w:val="single" w:color="000000" w:sz="12" w:space="0"/>
            </w:tcBorders>
            <w:vAlign w:val="top"/>
          </w:tcPr>
          <w:p w14:paraId="6D9D4CFC">
            <w:pPr>
              <w:rPr>
                <w:rFonts w:ascii="Arial"/>
                <w:sz w:val="21"/>
              </w:rPr>
            </w:pPr>
          </w:p>
        </w:tc>
      </w:tr>
      <w:tr w14:paraId="26356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CD849CE">
            <w:pPr>
              <w:pStyle w:val="6"/>
              <w:spacing w:before="219" w:line="232" w:lineRule="auto"/>
              <w:ind w:left="270"/>
            </w:pPr>
            <w:r>
              <w:rPr>
                <w:spacing w:val="-6"/>
              </w:rPr>
              <w:t>133</w:t>
            </w:r>
          </w:p>
        </w:tc>
        <w:tc>
          <w:tcPr>
            <w:tcW w:w="1270" w:type="dxa"/>
            <w:vAlign w:val="top"/>
          </w:tcPr>
          <w:p w14:paraId="1935C10C">
            <w:pPr>
              <w:spacing w:before="185" w:line="220" w:lineRule="auto"/>
              <w:ind w:left="212"/>
              <w:rPr>
                <w:rFonts w:ascii="宋体" w:hAnsi="宋体" w:eastAsia="宋体" w:cs="宋体"/>
                <w:sz w:val="21"/>
                <w:szCs w:val="21"/>
              </w:rPr>
            </w:pPr>
            <w:r>
              <w:rPr>
                <w:rFonts w:ascii="宋体" w:hAnsi="宋体" w:eastAsia="宋体" w:cs="宋体"/>
                <w:spacing w:val="-3"/>
                <w:sz w:val="21"/>
                <w:szCs w:val="21"/>
              </w:rPr>
              <w:t>红尾水鸲</w:t>
            </w:r>
          </w:p>
        </w:tc>
        <w:tc>
          <w:tcPr>
            <w:tcW w:w="1554" w:type="dxa"/>
            <w:vAlign w:val="top"/>
          </w:tcPr>
          <w:p w14:paraId="2B4DA778">
            <w:pPr>
              <w:pStyle w:val="6"/>
              <w:spacing w:before="97" w:line="190" w:lineRule="auto"/>
              <w:ind w:left="282"/>
            </w:pPr>
            <w:r>
              <w:rPr>
                <w:i/>
                <w:iCs/>
              </w:rPr>
              <w:t>Rhyacornis</w:t>
            </w:r>
          </w:p>
          <w:p w14:paraId="22B35B19">
            <w:pPr>
              <w:pStyle w:val="6"/>
              <w:spacing w:before="50" w:line="190" w:lineRule="auto"/>
              <w:ind w:left="310"/>
            </w:pPr>
            <w:r>
              <w:rPr>
                <w:i/>
                <w:iCs/>
                <w:spacing w:val="3"/>
              </w:rPr>
              <w:t>fuliginosa</w:t>
            </w:r>
          </w:p>
        </w:tc>
        <w:tc>
          <w:tcPr>
            <w:tcW w:w="989" w:type="dxa"/>
            <w:vAlign w:val="top"/>
          </w:tcPr>
          <w:p w14:paraId="68B26E24">
            <w:pPr>
              <w:pStyle w:val="6"/>
              <w:spacing w:before="219" w:line="232" w:lineRule="auto"/>
              <w:ind w:left="395"/>
            </w:pPr>
            <w:r>
              <w:rPr>
                <w:spacing w:val="-4"/>
              </w:rPr>
              <w:t>89</w:t>
            </w:r>
          </w:p>
        </w:tc>
        <w:tc>
          <w:tcPr>
            <w:tcW w:w="1272" w:type="dxa"/>
            <w:vAlign w:val="top"/>
          </w:tcPr>
          <w:p w14:paraId="026EB990">
            <w:pPr>
              <w:spacing w:before="185" w:line="220" w:lineRule="auto"/>
              <w:ind w:left="226"/>
              <w:rPr>
                <w:rFonts w:ascii="宋体" w:hAnsi="宋体" w:eastAsia="宋体" w:cs="宋体"/>
                <w:sz w:val="21"/>
                <w:szCs w:val="21"/>
              </w:rPr>
            </w:pPr>
            <w:r>
              <w:rPr>
                <w:rFonts w:ascii="宋体" w:hAnsi="宋体" w:eastAsia="宋体" w:cs="宋体"/>
                <w:spacing w:val="-3"/>
                <w:sz w:val="21"/>
                <w:szCs w:val="21"/>
              </w:rPr>
              <w:t>红尾水鸲</w:t>
            </w:r>
          </w:p>
        </w:tc>
        <w:tc>
          <w:tcPr>
            <w:tcW w:w="1693" w:type="dxa"/>
            <w:vAlign w:val="top"/>
          </w:tcPr>
          <w:p w14:paraId="5AD21452">
            <w:pPr>
              <w:pStyle w:val="6"/>
              <w:spacing w:before="97" w:line="190" w:lineRule="auto"/>
              <w:ind w:left="367"/>
            </w:pPr>
            <w:r>
              <w:rPr>
                <w:i/>
                <w:iCs/>
              </w:rPr>
              <w:t>Rhyacornis</w:t>
            </w:r>
          </w:p>
          <w:p w14:paraId="6159C8A4">
            <w:pPr>
              <w:pStyle w:val="6"/>
              <w:spacing w:before="50" w:line="190" w:lineRule="auto"/>
              <w:ind w:left="394"/>
            </w:pPr>
            <w:r>
              <w:rPr>
                <w:i/>
                <w:iCs/>
                <w:spacing w:val="3"/>
              </w:rPr>
              <w:t>fuliginosa</w:t>
            </w:r>
          </w:p>
        </w:tc>
        <w:tc>
          <w:tcPr>
            <w:tcW w:w="845" w:type="dxa"/>
            <w:tcBorders>
              <w:right w:val="single" w:color="000000" w:sz="12" w:space="0"/>
            </w:tcBorders>
            <w:vAlign w:val="top"/>
          </w:tcPr>
          <w:p w14:paraId="0C5517BD">
            <w:pPr>
              <w:rPr>
                <w:rFonts w:ascii="Arial"/>
                <w:sz w:val="21"/>
              </w:rPr>
            </w:pPr>
          </w:p>
        </w:tc>
      </w:tr>
      <w:tr w14:paraId="21FF4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579791B">
            <w:pPr>
              <w:pStyle w:val="6"/>
              <w:spacing w:before="219" w:line="232" w:lineRule="auto"/>
              <w:ind w:left="270"/>
            </w:pPr>
            <w:r>
              <w:rPr>
                <w:spacing w:val="-6"/>
              </w:rPr>
              <w:t>134</w:t>
            </w:r>
          </w:p>
        </w:tc>
        <w:tc>
          <w:tcPr>
            <w:tcW w:w="1270" w:type="dxa"/>
            <w:vAlign w:val="top"/>
          </w:tcPr>
          <w:p w14:paraId="0D27C26D">
            <w:pPr>
              <w:spacing w:before="185" w:line="220" w:lineRule="auto"/>
              <w:ind w:left="237"/>
              <w:rPr>
                <w:rFonts w:ascii="宋体" w:hAnsi="宋体" w:eastAsia="宋体" w:cs="宋体"/>
                <w:sz w:val="21"/>
                <w:szCs w:val="21"/>
              </w:rPr>
            </w:pPr>
            <w:r>
              <w:rPr>
                <w:rFonts w:ascii="宋体" w:hAnsi="宋体" w:eastAsia="宋体" w:cs="宋体"/>
                <w:spacing w:val="-8"/>
                <w:sz w:val="21"/>
                <w:szCs w:val="21"/>
              </w:rPr>
              <w:t>白顶溪鸲</w:t>
            </w:r>
          </w:p>
        </w:tc>
        <w:tc>
          <w:tcPr>
            <w:tcW w:w="1554" w:type="dxa"/>
            <w:vAlign w:val="top"/>
          </w:tcPr>
          <w:p w14:paraId="4EF85FE1">
            <w:pPr>
              <w:pStyle w:val="6"/>
              <w:spacing w:before="99" w:line="190" w:lineRule="auto"/>
              <w:ind w:left="152"/>
            </w:pPr>
            <w:r>
              <w:rPr>
                <w:i/>
                <w:iCs/>
                <w:spacing w:val="-2"/>
              </w:rPr>
              <w:t>Chaimarrornis</w:t>
            </w:r>
          </w:p>
          <w:p w14:paraId="7CB4AA69">
            <w:pPr>
              <w:pStyle w:val="6"/>
              <w:spacing w:before="50" w:line="190" w:lineRule="auto"/>
              <w:ind w:left="173"/>
            </w:pPr>
            <w:r>
              <w:rPr>
                <w:i/>
                <w:iCs/>
                <w:spacing w:val="-1"/>
              </w:rPr>
              <w:t>leucocephalus</w:t>
            </w:r>
          </w:p>
        </w:tc>
        <w:tc>
          <w:tcPr>
            <w:tcW w:w="989" w:type="dxa"/>
            <w:vAlign w:val="top"/>
          </w:tcPr>
          <w:p w14:paraId="1362A9DB">
            <w:pPr>
              <w:pStyle w:val="6"/>
              <w:spacing w:before="219" w:line="232" w:lineRule="auto"/>
              <w:ind w:left="391"/>
            </w:pPr>
            <w:r>
              <w:rPr>
                <w:spacing w:val="-2"/>
              </w:rPr>
              <w:t>90</w:t>
            </w:r>
          </w:p>
        </w:tc>
        <w:tc>
          <w:tcPr>
            <w:tcW w:w="1272" w:type="dxa"/>
            <w:vAlign w:val="top"/>
          </w:tcPr>
          <w:p w14:paraId="5118B29C">
            <w:pPr>
              <w:spacing w:before="185" w:line="220" w:lineRule="auto"/>
              <w:ind w:left="252"/>
              <w:rPr>
                <w:rFonts w:ascii="宋体" w:hAnsi="宋体" w:eastAsia="宋体" w:cs="宋体"/>
                <w:sz w:val="21"/>
                <w:szCs w:val="21"/>
              </w:rPr>
            </w:pPr>
            <w:r>
              <w:rPr>
                <w:rFonts w:ascii="宋体" w:hAnsi="宋体" w:eastAsia="宋体" w:cs="宋体"/>
                <w:spacing w:val="-8"/>
                <w:sz w:val="21"/>
                <w:szCs w:val="21"/>
              </w:rPr>
              <w:t>白顶溪鸲</w:t>
            </w:r>
          </w:p>
        </w:tc>
        <w:tc>
          <w:tcPr>
            <w:tcW w:w="1693" w:type="dxa"/>
            <w:vAlign w:val="top"/>
          </w:tcPr>
          <w:p w14:paraId="49427D2E">
            <w:pPr>
              <w:pStyle w:val="6"/>
              <w:spacing w:before="99" w:line="190" w:lineRule="auto"/>
              <w:ind w:left="250"/>
            </w:pPr>
            <w:r>
              <w:rPr>
                <w:spacing w:val="-1"/>
              </w:rPr>
              <w:t>Chaimarrornis</w:t>
            </w:r>
          </w:p>
          <w:p w14:paraId="19E30BD6">
            <w:pPr>
              <w:pStyle w:val="6"/>
              <w:spacing w:before="50" w:line="190" w:lineRule="auto"/>
              <w:ind w:left="261"/>
            </w:pPr>
            <w:r>
              <w:rPr>
                <w:spacing w:val="-1"/>
              </w:rPr>
              <w:t>leucocephalus</w:t>
            </w:r>
          </w:p>
        </w:tc>
        <w:tc>
          <w:tcPr>
            <w:tcW w:w="845" w:type="dxa"/>
            <w:tcBorders>
              <w:right w:val="single" w:color="000000" w:sz="12" w:space="0"/>
            </w:tcBorders>
            <w:vAlign w:val="top"/>
          </w:tcPr>
          <w:p w14:paraId="629755D3">
            <w:pPr>
              <w:rPr>
                <w:rFonts w:ascii="Arial"/>
                <w:sz w:val="21"/>
              </w:rPr>
            </w:pPr>
          </w:p>
        </w:tc>
      </w:tr>
      <w:tr w14:paraId="6B1EE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FC71704">
            <w:pPr>
              <w:pStyle w:val="6"/>
              <w:spacing w:before="222" w:line="232" w:lineRule="auto"/>
              <w:ind w:left="270"/>
            </w:pPr>
            <w:r>
              <w:rPr>
                <w:spacing w:val="-6"/>
              </w:rPr>
              <w:t>135</w:t>
            </w:r>
          </w:p>
        </w:tc>
        <w:tc>
          <w:tcPr>
            <w:tcW w:w="1270" w:type="dxa"/>
            <w:vAlign w:val="top"/>
          </w:tcPr>
          <w:p w14:paraId="45AC561B">
            <w:pPr>
              <w:spacing w:before="188" w:line="221" w:lineRule="auto"/>
              <w:ind w:left="133"/>
              <w:rPr>
                <w:rFonts w:ascii="宋体" w:hAnsi="宋体" w:eastAsia="宋体" w:cs="宋体"/>
                <w:sz w:val="21"/>
                <w:szCs w:val="21"/>
              </w:rPr>
            </w:pPr>
            <w:r>
              <w:rPr>
                <w:rFonts w:ascii="宋体" w:hAnsi="宋体" w:eastAsia="宋体" w:cs="宋体"/>
                <w:spacing w:val="-7"/>
                <w:sz w:val="21"/>
                <w:szCs w:val="21"/>
              </w:rPr>
              <w:t>白尾蓝地鸲</w:t>
            </w:r>
          </w:p>
        </w:tc>
        <w:tc>
          <w:tcPr>
            <w:tcW w:w="1554" w:type="dxa"/>
            <w:vAlign w:val="top"/>
          </w:tcPr>
          <w:p w14:paraId="05C2DDDB">
            <w:pPr>
              <w:pStyle w:val="6"/>
              <w:spacing w:before="100" w:line="190" w:lineRule="auto"/>
              <w:ind w:left="339"/>
            </w:pPr>
            <w:r>
              <w:rPr>
                <w:i/>
                <w:iCs/>
              </w:rPr>
              <w:t>Myiomela</w:t>
            </w:r>
          </w:p>
          <w:p w14:paraId="0E141B44">
            <w:pPr>
              <w:pStyle w:val="6"/>
              <w:spacing w:before="50" w:line="214" w:lineRule="auto"/>
              <w:ind w:left="377"/>
            </w:pPr>
            <w:r>
              <w:rPr>
                <w:i/>
                <w:iCs/>
                <w:spacing w:val="-1"/>
              </w:rPr>
              <w:t>leucurum</w:t>
            </w:r>
          </w:p>
        </w:tc>
        <w:tc>
          <w:tcPr>
            <w:tcW w:w="989" w:type="dxa"/>
            <w:vAlign w:val="top"/>
          </w:tcPr>
          <w:p w14:paraId="45A9554C">
            <w:pPr>
              <w:pStyle w:val="6"/>
              <w:spacing w:before="221" w:line="232" w:lineRule="auto"/>
              <w:ind w:left="391"/>
            </w:pPr>
            <w:r>
              <w:rPr>
                <w:spacing w:val="-2"/>
              </w:rPr>
              <w:t>91</w:t>
            </w:r>
          </w:p>
        </w:tc>
        <w:tc>
          <w:tcPr>
            <w:tcW w:w="1272" w:type="dxa"/>
            <w:vAlign w:val="top"/>
          </w:tcPr>
          <w:p w14:paraId="2BB0CFD9">
            <w:pPr>
              <w:spacing w:before="188" w:line="221" w:lineRule="auto"/>
              <w:ind w:left="146"/>
              <w:rPr>
                <w:rFonts w:ascii="宋体" w:hAnsi="宋体" w:eastAsia="宋体" w:cs="宋体"/>
                <w:sz w:val="21"/>
                <w:szCs w:val="21"/>
              </w:rPr>
            </w:pPr>
            <w:r>
              <w:rPr>
                <w:rFonts w:ascii="宋体" w:hAnsi="宋体" w:eastAsia="宋体" w:cs="宋体"/>
                <w:spacing w:val="-7"/>
                <w:sz w:val="21"/>
                <w:szCs w:val="21"/>
              </w:rPr>
              <w:t>白尾蓝地鸲</w:t>
            </w:r>
          </w:p>
        </w:tc>
        <w:tc>
          <w:tcPr>
            <w:tcW w:w="1693" w:type="dxa"/>
            <w:vAlign w:val="top"/>
          </w:tcPr>
          <w:p w14:paraId="330FE780">
            <w:pPr>
              <w:pStyle w:val="6"/>
              <w:spacing w:before="100" w:line="190" w:lineRule="auto"/>
              <w:ind w:left="422"/>
            </w:pPr>
            <w:r>
              <w:rPr>
                <w:spacing w:val="-1"/>
              </w:rPr>
              <w:t>Myiomela</w:t>
            </w:r>
          </w:p>
          <w:p w14:paraId="76E3C1C6">
            <w:pPr>
              <w:pStyle w:val="6"/>
              <w:spacing w:before="50" w:line="214" w:lineRule="auto"/>
              <w:ind w:left="460"/>
            </w:pPr>
            <w:r>
              <w:rPr>
                <w:spacing w:val="-1"/>
              </w:rPr>
              <w:t>leucurum</w:t>
            </w:r>
          </w:p>
        </w:tc>
        <w:tc>
          <w:tcPr>
            <w:tcW w:w="845" w:type="dxa"/>
            <w:tcBorders>
              <w:right w:val="single" w:color="000000" w:sz="12" w:space="0"/>
            </w:tcBorders>
            <w:vAlign w:val="top"/>
          </w:tcPr>
          <w:p w14:paraId="2665832F">
            <w:pPr>
              <w:rPr>
                <w:rFonts w:ascii="Arial"/>
                <w:sz w:val="21"/>
              </w:rPr>
            </w:pPr>
          </w:p>
        </w:tc>
      </w:tr>
      <w:tr w14:paraId="139F2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27D44EB">
            <w:pPr>
              <w:pStyle w:val="6"/>
              <w:spacing w:before="222" w:line="232" w:lineRule="auto"/>
              <w:ind w:left="270"/>
            </w:pPr>
            <w:r>
              <w:rPr>
                <w:spacing w:val="-6"/>
              </w:rPr>
              <w:t>136</w:t>
            </w:r>
          </w:p>
        </w:tc>
        <w:tc>
          <w:tcPr>
            <w:tcW w:w="1270" w:type="dxa"/>
            <w:vAlign w:val="top"/>
          </w:tcPr>
          <w:p w14:paraId="7B85A871">
            <w:pPr>
              <w:spacing w:before="189" w:line="220" w:lineRule="auto"/>
              <w:ind w:left="318"/>
              <w:rPr>
                <w:rFonts w:ascii="宋体" w:hAnsi="宋体" w:eastAsia="宋体" w:cs="宋体"/>
                <w:sz w:val="21"/>
                <w:szCs w:val="21"/>
              </w:rPr>
            </w:pPr>
            <w:r>
              <w:rPr>
                <w:rFonts w:ascii="宋体" w:hAnsi="宋体" w:eastAsia="宋体" w:cs="宋体"/>
                <w:spacing w:val="-3"/>
                <w:sz w:val="21"/>
                <w:szCs w:val="21"/>
              </w:rPr>
              <w:t>紫啸鸫</w:t>
            </w:r>
          </w:p>
        </w:tc>
        <w:tc>
          <w:tcPr>
            <w:tcW w:w="1554" w:type="dxa"/>
            <w:vAlign w:val="top"/>
          </w:tcPr>
          <w:p w14:paraId="699CE4D8">
            <w:pPr>
              <w:pStyle w:val="6"/>
              <w:spacing w:before="102" w:line="190" w:lineRule="auto"/>
              <w:ind w:left="268"/>
            </w:pPr>
            <w:r>
              <w:rPr>
                <w:i/>
                <w:iCs/>
              </w:rPr>
              <w:t>Myophonus</w:t>
            </w:r>
          </w:p>
          <w:p w14:paraId="3DFE0006">
            <w:pPr>
              <w:pStyle w:val="6"/>
              <w:spacing w:before="50" w:line="212" w:lineRule="auto"/>
              <w:ind w:left="364"/>
            </w:pPr>
            <w:r>
              <w:rPr>
                <w:i/>
                <w:iCs/>
                <w:spacing w:val="-1"/>
              </w:rPr>
              <w:t>caeruleus</w:t>
            </w:r>
          </w:p>
        </w:tc>
        <w:tc>
          <w:tcPr>
            <w:tcW w:w="989" w:type="dxa"/>
            <w:vAlign w:val="top"/>
          </w:tcPr>
          <w:p w14:paraId="0F834AAA">
            <w:pPr>
              <w:pStyle w:val="6"/>
              <w:spacing w:before="222" w:line="232" w:lineRule="auto"/>
              <w:ind w:left="391"/>
            </w:pPr>
            <w:r>
              <w:rPr>
                <w:spacing w:val="-2"/>
              </w:rPr>
              <w:t>92</w:t>
            </w:r>
          </w:p>
        </w:tc>
        <w:tc>
          <w:tcPr>
            <w:tcW w:w="1272" w:type="dxa"/>
            <w:vAlign w:val="top"/>
          </w:tcPr>
          <w:p w14:paraId="31476B11">
            <w:pPr>
              <w:spacing w:before="189" w:line="220" w:lineRule="auto"/>
              <w:ind w:left="331"/>
              <w:rPr>
                <w:rFonts w:ascii="宋体" w:hAnsi="宋体" w:eastAsia="宋体" w:cs="宋体"/>
                <w:sz w:val="21"/>
                <w:szCs w:val="21"/>
              </w:rPr>
            </w:pPr>
            <w:r>
              <w:rPr>
                <w:rFonts w:ascii="宋体" w:hAnsi="宋体" w:eastAsia="宋体" w:cs="宋体"/>
                <w:spacing w:val="-3"/>
                <w:sz w:val="21"/>
                <w:szCs w:val="21"/>
              </w:rPr>
              <w:t>紫啸鸫</w:t>
            </w:r>
          </w:p>
        </w:tc>
        <w:tc>
          <w:tcPr>
            <w:tcW w:w="1693" w:type="dxa"/>
            <w:vAlign w:val="top"/>
          </w:tcPr>
          <w:p w14:paraId="56092AB9">
            <w:pPr>
              <w:pStyle w:val="6"/>
              <w:spacing w:before="102" w:line="190" w:lineRule="auto"/>
              <w:ind w:left="351"/>
            </w:pPr>
            <w:r>
              <w:rPr>
                <w:spacing w:val="-1"/>
              </w:rPr>
              <w:t>Myophonus</w:t>
            </w:r>
          </w:p>
          <w:p w14:paraId="21F362A4">
            <w:pPr>
              <w:pStyle w:val="6"/>
              <w:spacing w:before="50" w:line="212" w:lineRule="auto"/>
              <w:ind w:left="460"/>
            </w:pPr>
            <w:r>
              <w:rPr>
                <w:spacing w:val="-1"/>
              </w:rPr>
              <w:t>caeruleus</w:t>
            </w:r>
          </w:p>
        </w:tc>
        <w:tc>
          <w:tcPr>
            <w:tcW w:w="845" w:type="dxa"/>
            <w:tcBorders>
              <w:right w:val="single" w:color="000000" w:sz="12" w:space="0"/>
            </w:tcBorders>
            <w:vAlign w:val="top"/>
          </w:tcPr>
          <w:p w14:paraId="5EB212E7">
            <w:pPr>
              <w:rPr>
                <w:rFonts w:ascii="Arial"/>
                <w:sz w:val="21"/>
              </w:rPr>
            </w:pPr>
          </w:p>
        </w:tc>
      </w:tr>
      <w:tr w14:paraId="3A5B6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4D3BAA3D">
            <w:pPr>
              <w:pStyle w:val="6"/>
              <w:spacing w:before="223" w:line="232" w:lineRule="auto"/>
              <w:ind w:left="270"/>
            </w:pPr>
            <w:r>
              <w:rPr>
                <w:spacing w:val="-6"/>
              </w:rPr>
              <w:t>137</w:t>
            </w:r>
          </w:p>
        </w:tc>
        <w:tc>
          <w:tcPr>
            <w:tcW w:w="1270" w:type="dxa"/>
            <w:vAlign w:val="top"/>
          </w:tcPr>
          <w:p w14:paraId="3BEDDE53">
            <w:pPr>
              <w:spacing w:before="189" w:line="220" w:lineRule="auto"/>
              <w:ind w:left="213"/>
              <w:rPr>
                <w:rFonts w:ascii="宋体" w:hAnsi="宋体" w:eastAsia="宋体" w:cs="宋体"/>
                <w:sz w:val="21"/>
                <w:szCs w:val="21"/>
              </w:rPr>
            </w:pPr>
            <w:r>
              <w:rPr>
                <w:rFonts w:ascii="宋体" w:hAnsi="宋体" w:eastAsia="宋体" w:cs="宋体"/>
                <w:spacing w:val="-3"/>
                <w:sz w:val="21"/>
                <w:szCs w:val="21"/>
              </w:rPr>
              <w:t>黑背燕尾</w:t>
            </w:r>
          </w:p>
        </w:tc>
        <w:tc>
          <w:tcPr>
            <w:tcW w:w="1554" w:type="dxa"/>
            <w:vAlign w:val="top"/>
          </w:tcPr>
          <w:p w14:paraId="7D2B5BBE">
            <w:pPr>
              <w:pStyle w:val="6"/>
              <w:spacing w:before="109" w:line="183" w:lineRule="auto"/>
              <w:ind w:left="382"/>
            </w:pPr>
            <w:r>
              <w:rPr>
                <w:i/>
                <w:iCs/>
              </w:rPr>
              <w:t>Enicurus</w:t>
            </w:r>
          </w:p>
          <w:p w14:paraId="548C4403">
            <w:pPr>
              <w:pStyle w:val="6"/>
              <w:spacing w:before="51" w:line="210" w:lineRule="auto"/>
              <w:ind w:left="239"/>
            </w:pPr>
            <w:r>
              <w:rPr>
                <w:i/>
                <w:iCs/>
                <w:spacing w:val="-1"/>
              </w:rPr>
              <w:t>immaculatus</w:t>
            </w:r>
          </w:p>
        </w:tc>
        <w:tc>
          <w:tcPr>
            <w:tcW w:w="989" w:type="dxa"/>
            <w:vAlign w:val="top"/>
          </w:tcPr>
          <w:p w14:paraId="569525F1">
            <w:pPr>
              <w:rPr>
                <w:rFonts w:ascii="Arial"/>
                <w:sz w:val="21"/>
              </w:rPr>
            </w:pPr>
          </w:p>
        </w:tc>
        <w:tc>
          <w:tcPr>
            <w:tcW w:w="1272" w:type="dxa"/>
            <w:vAlign w:val="top"/>
          </w:tcPr>
          <w:p w14:paraId="2BC287BD">
            <w:pPr>
              <w:rPr>
                <w:rFonts w:ascii="Arial"/>
                <w:sz w:val="21"/>
              </w:rPr>
            </w:pPr>
          </w:p>
        </w:tc>
        <w:tc>
          <w:tcPr>
            <w:tcW w:w="1693" w:type="dxa"/>
            <w:vAlign w:val="top"/>
          </w:tcPr>
          <w:p w14:paraId="66FF4413">
            <w:pPr>
              <w:rPr>
                <w:rFonts w:ascii="Arial"/>
                <w:sz w:val="21"/>
              </w:rPr>
            </w:pPr>
          </w:p>
        </w:tc>
        <w:tc>
          <w:tcPr>
            <w:tcW w:w="845" w:type="dxa"/>
            <w:tcBorders>
              <w:right w:val="single" w:color="000000" w:sz="12" w:space="0"/>
            </w:tcBorders>
            <w:vAlign w:val="top"/>
          </w:tcPr>
          <w:p w14:paraId="2CC2C1B0">
            <w:pPr>
              <w:rPr>
                <w:rFonts w:ascii="Arial"/>
                <w:sz w:val="21"/>
              </w:rPr>
            </w:pPr>
          </w:p>
        </w:tc>
      </w:tr>
      <w:tr w14:paraId="7EDDA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1016B92">
            <w:pPr>
              <w:rPr>
                <w:rFonts w:ascii="Arial"/>
                <w:sz w:val="21"/>
              </w:rPr>
            </w:pPr>
          </w:p>
        </w:tc>
        <w:tc>
          <w:tcPr>
            <w:tcW w:w="1270" w:type="dxa"/>
            <w:vAlign w:val="top"/>
          </w:tcPr>
          <w:p w14:paraId="0758841F">
            <w:pPr>
              <w:rPr>
                <w:rFonts w:ascii="Arial"/>
                <w:sz w:val="21"/>
              </w:rPr>
            </w:pPr>
          </w:p>
        </w:tc>
        <w:tc>
          <w:tcPr>
            <w:tcW w:w="1554" w:type="dxa"/>
            <w:vAlign w:val="top"/>
          </w:tcPr>
          <w:p w14:paraId="4FF26386">
            <w:pPr>
              <w:rPr>
                <w:rFonts w:ascii="Arial"/>
                <w:sz w:val="21"/>
              </w:rPr>
            </w:pPr>
          </w:p>
        </w:tc>
        <w:tc>
          <w:tcPr>
            <w:tcW w:w="989" w:type="dxa"/>
            <w:vAlign w:val="top"/>
          </w:tcPr>
          <w:p w14:paraId="6EB32E44">
            <w:pPr>
              <w:pStyle w:val="6"/>
              <w:spacing w:before="226" w:line="232" w:lineRule="auto"/>
              <w:ind w:left="391"/>
            </w:pPr>
            <w:r>
              <w:rPr>
                <w:spacing w:val="-2"/>
              </w:rPr>
              <w:t>93</w:t>
            </w:r>
          </w:p>
        </w:tc>
        <w:tc>
          <w:tcPr>
            <w:tcW w:w="1272" w:type="dxa"/>
            <w:vAlign w:val="top"/>
          </w:tcPr>
          <w:p w14:paraId="36185DD4">
            <w:pPr>
              <w:spacing w:before="192" w:line="220" w:lineRule="auto"/>
              <w:ind w:left="223"/>
              <w:rPr>
                <w:rFonts w:ascii="宋体" w:hAnsi="宋体" w:eastAsia="宋体" w:cs="宋体"/>
                <w:sz w:val="21"/>
                <w:szCs w:val="21"/>
              </w:rPr>
            </w:pPr>
            <w:r>
              <w:rPr>
                <w:rFonts w:ascii="宋体" w:hAnsi="宋体" w:eastAsia="宋体" w:cs="宋体"/>
                <w:spacing w:val="-2"/>
                <w:sz w:val="21"/>
                <w:szCs w:val="21"/>
              </w:rPr>
              <w:t>灰背燕尾</w:t>
            </w:r>
          </w:p>
        </w:tc>
        <w:tc>
          <w:tcPr>
            <w:tcW w:w="1693" w:type="dxa"/>
            <w:vAlign w:val="top"/>
          </w:tcPr>
          <w:p w14:paraId="0AF0569A">
            <w:pPr>
              <w:pStyle w:val="6"/>
              <w:spacing w:before="111" w:line="183" w:lineRule="auto"/>
              <w:ind w:left="467"/>
            </w:pPr>
            <w:r>
              <w:rPr>
                <w:i/>
                <w:iCs/>
              </w:rPr>
              <w:t>Enicurus</w:t>
            </w:r>
          </w:p>
          <w:p w14:paraId="1B72ABAD">
            <w:pPr>
              <w:pStyle w:val="6"/>
              <w:spacing w:before="49" w:line="210" w:lineRule="auto"/>
              <w:ind w:left="370"/>
            </w:pPr>
            <w:r>
              <w:rPr>
                <w:i/>
                <w:iCs/>
              </w:rPr>
              <w:t>schistaceus</w:t>
            </w:r>
          </w:p>
        </w:tc>
        <w:tc>
          <w:tcPr>
            <w:tcW w:w="845" w:type="dxa"/>
            <w:tcBorders>
              <w:right w:val="single" w:color="000000" w:sz="12" w:space="0"/>
            </w:tcBorders>
            <w:vAlign w:val="top"/>
          </w:tcPr>
          <w:p w14:paraId="4E4AC8DD">
            <w:pPr>
              <w:rPr>
                <w:rFonts w:ascii="Arial"/>
                <w:sz w:val="21"/>
              </w:rPr>
            </w:pPr>
          </w:p>
        </w:tc>
      </w:tr>
      <w:tr w14:paraId="6ABDE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60FCC71">
            <w:pPr>
              <w:rPr>
                <w:rFonts w:ascii="Arial"/>
                <w:sz w:val="21"/>
              </w:rPr>
            </w:pPr>
          </w:p>
        </w:tc>
        <w:tc>
          <w:tcPr>
            <w:tcW w:w="1270" w:type="dxa"/>
            <w:vAlign w:val="top"/>
          </w:tcPr>
          <w:p w14:paraId="0C50E251">
            <w:pPr>
              <w:rPr>
                <w:rFonts w:ascii="Arial"/>
                <w:sz w:val="21"/>
              </w:rPr>
            </w:pPr>
          </w:p>
        </w:tc>
        <w:tc>
          <w:tcPr>
            <w:tcW w:w="1554" w:type="dxa"/>
            <w:vAlign w:val="top"/>
          </w:tcPr>
          <w:p w14:paraId="01727DFB">
            <w:pPr>
              <w:rPr>
                <w:rFonts w:ascii="Arial"/>
                <w:sz w:val="21"/>
              </w:rPr>
            </w:pPr>
          </w:p>
        </w:tc>
        <w:tc>
          <w:tcPr>
            <w:tcW w:w="989" w:type="dxa"/>
            <w:vAlign w:val="top"/>
          </w:tcPr>
          <w:p w14:paraId="7897F790">
            <w:pPr>
              <w:pStyle w:val="6"/>
              <w:spacing w:before="226" w:line="232" w:lineRule="auto"/>
              <w:ind w:left="391"/>
            </w:pPr>
            <w:r>
              <w:rPr>
                <w:spacing w:val="-2"/>
              </w:rPr>
              <w:t>94</w:t>
            </w:r>
          </w:p>
        </w:tc>
        <w:tc>
          <w:tcPr>
            <w:tcW w:w="1272" w:type="dxa"/>
            <w:vAlign w:val="top"/>
          </w:tcPr>
          <w:p w14:paraId="2F296C51">
            <w:pPr>
              <w:spacing w:before="192" w:line="220" w:lineRule="auto"/>
              <w:ind w:left="252"/>
              <w:rPr>
                <w:rFonts w:ascii="宋体" w:hAnsi="宋体" w:eastAsia="宋体" w:cs="宋体"/>
                <w:sz w:val="21"/>
                <w:szCs w:val="21"/>
              </w:rPr>
            </w:pPr>
            <w:r>
              <w:rPr>
                <w:rFonts w:ascii="宋体" w:hAnsi="宋体" w:eastAsia="宋体" w:cs="宋体"/>
                <w:spacing w:val="-8"/>
                <w:sz w:val="21"/>
                <w:szCs w:val="21"/>
              </w:rPr>
              <w:t>白额燕尾</w:t>
            </w:r>
          </w:p>
        </w:tc>
        <w:tc>
          <w:tcPr>
            <w:tcW w:w="1693" w:type="dxa"/>
            <w:vAlign w:val="top"/>
          </w:tcPr>
          <w:p w14:paraId="50E6993C">
            <w:pPr>
              <w:pStyle w:val="6"/>
              <w:spacing w:before="113" w:line="183" w:lineRule="auto"/>
              <w:ind w:left="467"/>
            </w:pPr>
            <w:r>
              <w:rPr>
                <w:i/>
                <w:iCs/>
              </w:rPr>
              <w:t>Enicurus</w:t>
            </w:r>
          </w:p>
          <w:p w14:paraId="0C525386">
            <w:pPr>
              <w:pStyle w:val="6"/>
              <w:spacing w:before="50" w:line="208" w:lineRule="auto"/>
              <w:ind w:left="351"/>
            </w:pPr>
            <w:r>
              <w:rPr>
                <w:i/>
                <w:iCs/>
                <w:spacing w:val="-1"/>
              </w:rPr>
              <w:t>leschenaulti</w:t>
            </w:r>
          </w:p>
        </w:tc>
        <w:tc>
          <w:tcPr>
            <w:tcW w:w="845" w:type="dxa"/>
            <w:tcBorders>
              <w:right w:val="single" w:color="000000" w:sz="12" w:space="0"/>
            </w:tcBorders>
            <w:vAlign w:val="top"/>
          </w:tcPr>
          <w:p w14:paraId="2569802F">
            <w:pPr>
              <w:rPr>
                <w:rFonts w:ascii="Arial"/>
                <w:sz w:val="21"/>
              </w:rPr>
            </w:pPr>
          </w:p>
        </w:tc>
      </w:tr>
      <w:tr w14:paraId="17B28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5BD7E1F4">
            <w:pPr>
              <w:pStyle w:val="6"/>
              <w:spacing w:before="129" w:line="227" w:lineRule="auto"/>
              <w:ind w:left="270"/>
            </w:pPr>
            <w:r>
              <w:rPr>
                <w:spacing w:val="-6"/>
              </w:rPr>
              <w:t>138</w:t>
            </w:r>
          </w:p>
        </w:tc>
        <w:tc>
          <w:tcPr>
            <w:tcW w:w="1270" w:type="dxa"/>
            <w:vAlign w:val="top"/>
          </w:tcPr>
          <w:p w14:paraId="38194AF4">
            <w:pPr>
              <w:spacing w:before="95" w:line="219" w:lineRule="auto"/>
              <w:ind w:left="213"/>
              <w:rPr>
                <w:rFonts w:ascii="宋体" w:hAnsi="宋体" w:eastAsia="宋体" w:cs="宋体"/>
                <w:sz w:val="21"/>
                <w:szCs w:val="21"/>
              </w:rPr>
            </w:pPr>
            <w:r>
              <w:rPr>
                <w:rFonts w:ascii="宋体" w:hAnsi="宋体" w:eastAsia="宋体" w:cs="宋体"/>
                <w:spacing w:val="-3"/>
                <w:sz w:val="21"/>
                <w:szCs w:val="21"/>
              </w:rPr>
              <w:t>黑喉石䳭</w:t>
            </w:r>
          </w:p>
        </w:tc>
        <w:tc>
          <w:tcPr>
            <w:tcW w:w="1554" w:type="dxa"/>
            <w:vAlign w:val="top"/>
          </w:tcPr>
          <w:p w14:paraId="1A4703D9">
            <w:pPr>
              <w:pStyle w:val="6"/>
              <w:spacing w:before="129" w:line="227" w:lineRule="auto"/>
              <w:ind w:left="64"/>
            </w:pPr>
            <w:r>
              <w:rPr>
                <w:i/>
                <w:iCs/>
              </w:rPr>
              <w:t>Saxicola maurus</w:t>
            </w:r>
          </w:p>
        </w:tc>
        <w:tc>
          <w:tcPr>
            <w:tcW w:w="989" w:type="dxa"/>
            <w:vAlign w:val="top"/>
          </w:tcPr>
          <w:p w14:paraId="4FC72B6E">
            <w:pPr>
              <w:pStyle w:val="6"/>
              <w:spacing w:before="129" w:line="227" w:lineRule="auto"/>
              <w:ind w:left="391"/>
            </w:pPr>
            <w:r>
              <w:rPr>
                <w:spacing w:val="-2"/>
              </w:rPr>
              <w:t>95</w:t>
            </w:r>
          </w:p>
        </w:tc>
        <w:tc>
          <w:tcPr>
            <w:tcW w:w="1272" w:type="dxa"/>
            <w:vAlign w:val="top"/>
          </w:tcPr>
          <w:p w14:paraId="2E790E77">
            <w:pPr>
              <w:spacing w:before="95" w:line="219" w:lineRule="auto"/>
              <w:ind w:left="227"/>
              <w:rPr>
                <w:rFonts w:ascii="宋体" w:hAnsi="宋体" w:eastAsia="宋体" w:cs="宋体"/>
                <w:sz w:val="21"/>
                <w:szCs w:val="21"/>
              </w:rPr>
            </w:pPr>
            <w:r>
              <w:rPr>
                <w:rFonts w:ascii="宋体" w:hAnsi="宋体" w:eastAsia="宋体" w:cs="宋体"/>
                <w:spacing w:val="-3"/>
                <w:sz w:val="21"/>
                <w:szCs w:val="21"/>
              </w:rPr>
              <w:t>黑喉石䳭</w:t>
            </w:r>
          </w:p>
        </w:tc>
        <w:tc>
          <w:tcPr>
            <w:tcW w:w="1693" w:type="dxa"/>
            <w:vAlign w:val="top"/>
          </w:tcPr>
          <w:p w14:paraId="4FEA201E">
            <w:pPr>
              <w:pStyle w:val="6"/>
              <w:spacing w:before="129" w:line="227" w:lineRule="auto"/>
              <w:ind w:left="148"/>
            </w:pPr>
            <w:r>
              <w:rPr>
                <w:i/>
                <w:iCs/>
              </w:rPr>
              <w:t>Saxicola maurus</w:t>
            </w:r>
          </w:p>
        </w:tc>
        <w:tc>
          <w:tcPr>
            <w:tcW w:w="845" w:type="dxa"/>
            <w:tcBorders>
              <w:right w:val="single" w:color="000000" w:sz="12" w:space="0"/>
            </w:tcBorders>
            <w:vAlign w:val="top"/>
          </w:tcPr>
          <w:p w14:paraId="4214C3B5">
            <w:pPr>
              <w:rPr>
                <w:rFonts w:ascii="Arial"/>
                <w:sz w:val="21"/>
              </w:rPr>
            </w:pPr>
          </w:p>
        </w:tc>
      </w:tr>
      <w:tr w14:paraId="59407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9877474">
            <w:pPr>
              <w:pStyle w:val="6"/>
              <w:spacing w:before="130" w:line="228" w:lineRule="auto"/>
              <w:ind w:left="270"/>
            </w:pPr>
            <w:r>
              <w:rPr>
                <w:spacing w:val="-6"/>
              </w:rPr>
              <w:t>139</w:t>
            </w:r>
          </w:p>
        </w:tc>
        <w:tc>
          <w:tcPr>
            <w:tcW w:w="1270" w:type="dxa"/>
            <w:vAlign w:val="top"/>
          </w:tcPr>
          <w:p w14:paraId="140DB47D">
            <w:pPr>
              <w:spacing w:before="96" w:line="219" w:lineRule="auto"/>
              <w:ind w:left="314"/>
              <w:rPr>
                <w:rFonts w:ascii="宋体" w:hAnsi="宋体" w:eastAsia="宋体" w:cs="宋体"/>
                <w:sz w:val="21"/>
                <w:szCs w:val="21"/>
              </w:rPr>
            </w:pPr>
            <w:r>
              <w:rPr>
                <w:rFonts w:ascii="宋体" w:hAnsi="宋体" w:eastAsia="宋体" w:cs="宋体"/>
                <w:spacing w:val="-3"/>
                <w:sz w:val="21"/>
                <w:szCs w:val="21"/>
              </w:rPr>
              <w:t>灰林䳭</w:t>
            </w:r>
          </w:p>
        </w:tc>
        <w:tc>
          <w:tcPr>
            <w:tcW w:w="1554" w:type="dxa"/>
            <w:vAlign w:val="top"/>
          </w:tcPr>
          <w:p w14:paraId="0344DAC2">
            <w:pPr>
              <w:pStyle w:val="6"/>
              <w:spacing w:before="130" w:line="190" w:lineRule="auto"/>
              <w:ind w:left="82"/>
            </w:pPr>
            <w:r>
              <w:rPr>
                <w:i/>
                <w:iCs/>
                <w:spacing w:val="2"/>
              </w:rPr>
              <w:t>Saxicola</w:t>
            </w:r>
            <w:r>
              <w:rPr>
                <w:i/>
                <w:iCs/>
                <w:spacing w:val="-34"/>
              </w:rPr>
              <w:t xml:space="preserve"> </w:t>
            </w:r>
            <w:r>
              <w:rPr>
                <w:i/>
                <w:iCs/>
                <w:spacing w:val="2"/>
              </w:rPr>
              <w:t>ferreus</w:t>
            </w:r>
          </w:p>
        </w:tc>
        <w:tc>
          <w:tcPr>
            <w:tcW w:w="989" w:type="dxa"/>
            <w:vAlign w:val="top"/>
          </w:tcPr>
          <w:p w14:paraId="37C2E8AB">
            <w:pPr>
              <w:pStyle w:val="6"/>
              <w:spacing w:before="130" w:line="228" w:lineRule="auto"/>
              <w:ind w:left="391"/>
            </w:pPr>
            <w:r>
              <w:rPr>
                <w:spacing w:val="-2"/>
              </w:rPr>
              <w:t>96</w:t>
            </w:r>
          </w:p>
        </w:tc>
        <w:tc>
          <w:tcPr>
            <w:tcW w:w="1272" w:type="dxa"/>
            <w:vAlign w:val="top"/>
          </w:tcPr>
          <w:p w14:paraId="720B62E4">
            <w:pPr>
              <w:spacing w:before="96" w:line="219" w:lineRule="auto"/>
              <w:ind w:left="327"/>
              <w:rPr>
                <w:rFonts w:ascii="宋体" w:hAnsi="宋体" w:eastAsia="宋体" w:cs="宋体"/>
                <w:sz w:val="21"/>
                <w:szCs w:val="21"/>
              </w:rPr>
            </w:pPr>
            <w:r>
              <w:rPr>
                <w:rFonts w:ascii="宋体" w:hAnsi="宋体" w:eastAsia="宋体" w:cs="宋体"/>
                <w:spacing w:val="-3"/>
                <w:sz w:val="21"/>
                <w:szCs w:val="21"/>
              </w:rPr>
              <w:t>灰林䳭</w:t>
            </w:r>
          </w:p>
        </w:tc>
        <w:tc>
          <w:tcPr>
            <w:tcW w:w="1693" w:type="dxa"/>
            <w:vAlign w:val="top"/>
          </w:tcPr>
          <w:p w14:paraId="3BB6C5B4">
            <w:pPr>
              <w:pStyle w:val="6"/>
              <w:spacing w:before="130" w:line="190" w:lineRule="auto"/>
              <w:ind w:left="166"/>
            </w:pPr>
            <w:r>
              <w:rPr>
                <w:i/>
                <w:iCs/>
                <w:spacing w:val="2"/>
              </w:rPr>
              <w:t>Saxicola</w:t>
            </w:r>
            <w:r>
              <w:rPr>
                <w:i/>
                <w:iCs/>
                <w:spacing w:val="-33"/>
              </w:rPr>
              <w:t xml:space="preserve"> </w:t>
            </w:r>
            <w:r>
              <w:rPr>
                <w:i/>
                <w:iCs/>
                <w:spacing w:val="2"/>
              </w:rPr>
              <w:t>ferreus</w:t>
            </w:r>
          </w:p>
        </w:tc>
        <w:tc>
          <w:tcPr>
            <w:tcW w:w="845" w:type="dxa"/>
            <w:tcBorders>
              <w:right w:val="single" w:color="000000" w:sz="12" w:space="0"/>
            </w:tcBorders>
            <w:vAlign w:val="top"/>
          </w:tcPr>
          <w:p w14:paraId="5D01B907">
            <w:pPr>
              <w:rPr>
                <w:rFonts w:ascii="Arial"/>
                <w:sz w:val="21"/>
              </w:rPr>
            </w:pPr>
          </w:p>
        </w:tc>
      </w:tr>
      <w:tr w14:paraId="518BF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E7485B6">
            <w:pPr>
              <w:pStyle w:val="6"/>
              <w:spacing w:before="229" w:line="232" w:lineRule="auto"/>
              <w:ind w:left="270"/>
            </w:pPr>
            <w:r>
              <w:rPr>
                <w:spacing w:val="-6"/>
              </w:rPr>
              <w:t>140</w:t>
            </w:r>
          </w:p>
        </w:tc>
        <w:tc>
          <w:tcPr>
            <w:tcW w:w="1270" w:type="dxa"/>
            <w:vAlign w:val="top"/>
          </w:tcPr>
          <w:p w14:paraId="3C9CE794">
            <w:pPr>
              <w:spacing w:before="196" w:line="220" w:lineRule="auto"/>
              <w:ind w:left="313"/>
              <w:rPr>
                <w:rFonts w:ascii="宋体" w:hAnsi="宋体" w:eastAsia="宋体" w:cs="宋体"/>
                <w:sz w:val="21"/>
                <w:szCs w:val="21"/>
              </w:rPr>
            </w:pPr>
            <w:r>
              <w:rPr>
                <w:rFonts w:ascii="宋体" w:hAnsi="宋体" w:eastAsia="宋体" w:cs="宋体"/>
                <w:spacing w:val="-3"/>
                <w:sz w:val="21"/>
                <w:szCs w:val="21"/>
              </w:rPr>
              <w:t>蓝矶鸫</w:t>
            </w:r>
          </w:p>
        </w:tc>
        <w:tc>
          <w:tcPr>
            <w:tcW w:w="1554" w:type="dxa"/>
            <w:vAlign w:val="top"/>
          </w:tcPr>
          <w:p w14:paraId="12371684">
            <w:pPr>
              <w:pStyle w:val="6"/>
              <w:spacing w:before="109" w:line="190" w:lineRule="auto"/>
              <w:ind w:left="327"/>
            </w:pPr>
            <w:r>
              <w:rPr>
                <w:i/>
                <w:iCs/>
                <w:spacing w:val="1"/>
              </w:rPr>
              <w:t>Monticola</w:t>
            </w:r>
          </w:p>
          <w:p w14:paraId="4F4A612D">
            <w:pPr>
              <w:pStyle w:val="6"/>
              <w:spacing w:before="50" w:line="205" w:lineRule="auto"/>
              <w:ind w:left="367"/>
            </w:pPr>
            <w:r>
              <w:rPr>
                <w:i/>
                <w:iCs/>
              </w:rPr>
              <w:t>solitarius</w:t>
            </w:r>
          </w:p>
        </w:tc>
        <w:tc>
          <w:tcPr>
            <w:tcW w:w="989" w:type="dxa"/>
            <w:vAlign w:val="top"/>
          </w:tcPr>
          <w:p w14:paraId="53E4D0A8">
            <w:pPr>
              <w:pStyle w:val="6"/>
              <w:spacing w:before="229" w:line="232" w:lineRule="auto"/>
              <w:ind w:left="391"/>
            </w:pPr>
            <w:r>
              <w:rPr>
                <w:spacing w:val="-2"/>
              </w:rPr>
              <w:t>97</w:t>
            </w:r>
          </w:p>
        </w:tc>
        <w:tc>
          <w:tcPr>
            <w:tcW w:w="1272" w:type="dxa"/>
            <w:vAlign w:val="top"/>
          </w:tcPr>
          <w:p w14:paraId="537BD9BC">
            <w:pPr>
              <w:spacing w:before="196" w:line="220" w:lineRule="auto"/>
              <w:ind w:left="326"/>
              <w:rPr>
                <w:rFonts w:ascii="宋体" w:hAnsi="宋体" w:eastAsia="宋体" w:cs="宋体"/>
                <w:sz w:val="21"/>
                <w:szCs w:val="21"/>
              </w:rPr>
            </w:pPr>
            <w:r>
              <w:rPr>
                <w:rFonts w:ascii="宋体" w:hAnsi="宋体" w:eastAsia="宋体" w:cs="宋体"/>
                <w:spacing w:val="-3"/>
                <w:sz w:val="21"/>
                <w:szCs w:val="21"/>
              </w:rPr>
              <w:t>蓝矶鸫</w:t>
            </w:r>
          </w:p>
        </w:tc>
        <w:tc>
          <w:tcPr>
            <w:tcW w:w="1693" w:type="dxa"/>
            <w:vAlign w:val="top"/>
          </w:tcPr>
          <w:p w14:paraId="05B09064">
            <w:pPr>
              <w:pStyle w:val="6"/>
              <w:spacing w:before="109" w:line="190" w:lineRule="auto"/>
              <w:ind w:left="412"/>
            </w:pPr>
            <w:r>
              <w:rPr>
                <w:i/>
                <w:iCs/>
                <w:spacing w:val="1"/>
              </w:rPr>
              <w:t>Monticola</w:t>
            </w:r>
          </w:p>
          <w:p w14:paraId="3D08A3F6">
            <w:pPr>
              <w:pStyle w:val="6"/>
              <w:spacing w:before="50" w:line="205" w:lineRule="auto"/>
              <w:ind w:left="452"/>
            </w:pPr>
            <w:r>
              <w:rPr>
                <w:i/>
                <w:iCs/>
              </w:rPr>
              <w:t>solitarius</w:t>
            </w:r>
          </w:p>
        </w:tc>
        <w:tc>
          <w:tcPr>
            <w:tcW w:w="845" w:type="dxa"/>
            <w:tcBorders>
              <w:right w:val="single" w:color="000000" w:sz="12" w:space="0"/>
            </w:tcBorders>
            <w:vAlign w:val="top"/>
          </w:tcPr>
          <w:p w14:paraId="690DA683">
            <w:pPr>
              <w:rPr>
                <w:rFonts w:ascii="Arial"/>
                <w:sz w:val="21"/>
              </w:rPr>
            </w:pPr>
          </w:p>
        </w:tc>
      </w:tr>
      <w:tr w14:paraId="7CF7D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688AC3DB">
            <w:pPr>
              <w:rPr>
                <w:rFonts w:ascii="Arial"/>
                <w:sz w:val="21"/>
              </w:rPr>
            </w:pPr>
          </w:p>
        </w:tc>
        <w:tc>
          <w:tcPr>
            <w:tcW w:w="1270" w:type="dxa"/>
            <w:vAlign w:val="top"/>
          </w:tcPr>
          <w:p w14:paraId="0A0EA0D0">
            <w:pPr>
              <w:rPr>
                <w:rFonts w:ascii="Arial"/>
                <w:sz w:val="21"/>
              </w:rPr>
            </w:pPr>
          </w:p>
        </w:tc>
        <w:tc>
          <w:tcPr>
            <w:tcW w:w="1554" w:type="dxa"/>
            <w:vAlign w:val="top"/>
          </w:tcPr>
          <w:p w14:paraId="1371A289">
            <w:pPr>
              <w:rPr>
                <w:rFonts w:ascii="Arial"/>
                <w:sz w:val="21"/>
              </w:rPr>
            </w:pPr>
          </w:p>
        </w:tc>
        <w:tc>
          <w:tcPr>
            <w:tcW w:w="989" w:type="dxa"/>
            <w:vAlign w:val="top"/>
          </w:tcPr>
          <w:p w14:paraId="17981595">
            <w:pPr>
              <w:pStyle w:val="6"/>
              <w:spacing w:before="230" w:line="232" w:lineRule="auto"/>
              <w:ind w:left="391"/>
            </w:pPr>
            <w:r>
              <w:rPr>
                <w:spacing w:val="-2"/>
              </w:rPr>
              <w:t>98</w:t>
            </w:r>
          </w:p>
        </w:tc>
        <w:tc>
          <w:tcPr>
            <w:tcW w:w="1272" w:type="dxa"/>
            <w:vAlign w:val="top"/>
          </w:tcPr>
          <w:p w14:paraId="7CC431E1">
            <w:pPr>
              <w:spacing w:before="196" w:line="220" w:lineRule="auto"/>
              <w:ind w:left="221"/>
              <w:rPr>
                <w:rFonts w:ascii="宋体" w:hAnsi="宋体" w:eastAsia="宋体" w:cs="宋体"/>
                <w:sz w:val="21"/>
                <w:szCs w:val="21"/>
              </w:rPr>
            </w:pPr>
            <w:r>
              <w:rPr>
                <w:rFonts w:ascii="宋体" w:hAnsi="宋体" w:eastAsia="宋体" w:cs="宋体"/>
                <w:spacing w:val="-2"/>
                <w:sz w:val="21"/>
                <w:szCs w:val="21"/>
              </w:rPr>
              <w:t>栗腹矶鸫</w:t>
            </w:r>
          </w:p>
        </w:tc>
        <w:tc>
          <w:tcPr>
            <w:tcW w:w="1693" w:type="dxa"/>
            <w:vAlign w:val="top"/>
          </w:tcPr>
          <w:p w14:paraId="315B4CA2">
            <w:pPr>
              <w:pStyle w:val="6"/>
              <w:spacing w:before="109" w:line="190" w:lineRule="auto"/>
              <w:ind w:left="412"/>
            </w:pPr>
            <w:r>
              <w:rPr>
                <w:i/>
                <w:iCs/>
                <w:spacing w:val="1"/>
              </w:rPr>
              <w:t>Monticola</w:t>
            </w:r>
          </w:p>
          <w:p w14:paraId="1DC3AB61">
            <w:pPr>
              <w:pStyle w:val="6"/>
              <w:spacing w:before="51" w:line="190" w:lineRule="auto"/>
              <w:ind w:left="417"/>
            </w:pPr>
            <w:r>
              <w:rPr>
                <w:i/>
                <w:iCs/>
                <w:spacing w:val="-1"/>
              </w:rPr>
              <w:t>rufiventris</w:t>
            </w:r>
          </w:p>
        </w:tc>
        <w:tc>
          <w:tcPr>
            <w:tcW w:w="845" w:type="dxa"/>
            <w:tcBorders>
              <w:right w:val="single" w:color="000000" w:sz="12" w:space="0"/>
            </w:tcBorders>
            <w:vAlign w:val="top"/>
          </w:tcPr>
          <w:p w14:paraId="63392DB4">
            <w:pPr>
              <w:rPr>
                <w:rFonts w:ascii="Arial"/>
                <w:sz w:val="21"/>
              </w:rPr>
            </w:pPr>
          </w:p>
        </w:tc>
      </w:tr>
      <w:tr w14:paraId="77CD3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26C598ED">
            <w:pPr>
              <w:pStyle w:val="6"/>
              <w:spacing w:before="233" w:line="235" w:lineRule="auto"/>
              <w:ind w:left="270"/>
            </w:pPr>
            <w:r>
              <w:rPr>
                <w:spacing w:val="-6"/>
              </w:rPr>
              <w:t>141</w:t>
            </w:r>
          </w:p>
        </w:tc>
        <w:tc>
          <w:tcPr>
            <w:tcW w:w="1270" w:type="dxa"/>
            <w:vAlign w:val="top"/>
          </w:tcPr>
          <w:p w14:paraId="4C8E1FE3">
            <w:pPr>
              <w:spacing w:before="199" w:line="220" w:lineRule="auto"/>
              <w:ind w:left="419"/>
              <w:rPr>
                <w:rFonts w:ascii="宋体" w:hAnsi="宋体" w:eastAsia="宋体" w:cs="宋体"/>
                <w:sz w:val="21"/>
                <w:szCs w:val="21"/>
              </w:rPr>
            </w:pPr>
            <w:r>
              <w:rPr>
                <w:rFonts w:ascii="宋体" w:hAnsi="宋体" w:eastAsia="宋体" w:cs="宋体"/>
                <w:spacing w:val="-3"/>
                <w:sz w:val="21"/>
                <w:szCs w:val="21"/>
              </w:rPr>
              <w:t>乌鹟</w:t>
            </w:r>
          </w:p>
        </w:tc>
        <w:tc>
          <w:tcPr>
            <w:tcW w:w="1554" w:type="dxa"/>
            <w:vAlign w:val="top"/>
          </w:tcPr>
          <w:p w14:paraId="24BE8B7E">
            <w:pPr>
              <w:pStyle w:val="6"/>
              <w:spacing w:before="112" w:line="190" w:lineRule="auto"/>
              <w:ind w:left="298"/>
            </w:pPr>
            <w:r>
              <w:rPr>
                <w:i/>
                <w:iCs/>
              </w:rPr>
              <w:t>Muscicapa</w:t>
            </w:r>
          </w:p>
          <w:p w14:paraId="0F604E05">
            <w:pPr>
              <w:pStyle w:val="6"/>
              <w:spacing w:before="49" w:line="203" w:lineRule="auto"/>
              <w:ind w:left="443"/>
            </w:pPr>
            <w:r>
              <w:rPr>
                <w:i/>
                <w:iCs/>
              </w:rPr>
              <w:t>sibirica</w:t>
            </w:r>
          </w:p>
        </w:tc>
        <w:tc>
          <w:tcPr>
            <w:tcW w:w="989" w:type="dxa"/>
            <w:vAlign w:val="top"/>
          </w:tcPr>
          <w:p w14:paraId="31BAB153">
            <w:pPr>
              <w:rPr>
                <w:rFonts w:ascii="Arial"/>
                <w:sz w:val="21"/>
              </w:rPr>
            </w:pPr>
          </w:p>
        </w:tc>
        <w:tc>
          <w:tcPr>
            <w:tcW w:w="1272" w:type="dxa"/>
            <w:vAlign w:val="top"/>
          </w:tcPr>
          <w:p w14:paraId="6C265BBA">
            <w:pPr>
              <w:rPr>
                <w:rFonts w:ascii="Arial"/>
                <w:sz w:val="21"/>
              </w:rPr>
            </w:pPr>
          </w:p>
        </w:tc>
        <w:tc>
          <w:tcPr>
            <w:tcW w:w="1693" w:type="dxa"/>
            <w:vAlign w:val="top"/>
          </w:tcPr>
          <w:p w14:paraId="4140C286">
            <w:pPr>
              <w:rPr>
                <w:rFonts w:ascii="Arial"/>
                <w:sz w:val="21"/>
              </w:rPr>
            </w:pPr>
          </w:p>
        </w:tc>
        <w:tc>
          <w:tcPr>
            <w:tcW w:w="845" w:type="dxa"/>
            <w:tcBorders>
              <w:right w:val="single" w:color="000000" w:sz="12" w:space="0"/>
            </w:tcBorders>
            <w:vAlign w:val="top"/>
          </w:tcPr>
          <w:p w14:paraId="3F94FA82">
            <w:pPr>
              <w:rPr>
                <w:rFonts w:ascii="Arial"/>
                <w:sz w:val="21"/>
              </w:rPr>
            </w:pPr>
          </w:p>
        </w:tc>
      </w:tr>
      <w:tr w14:paraId="7F708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4ACB0366">
            <w:pPr>
              <w:pStyle w:val="6"/>
              <w:spacing w:before="233" w:line="235" w:lineRule="auto"/>
              <w:ind w:left="270"/>
            </w:pPr>
            <w:r>
              <w:rPr>
                <w:spacing w:val="-6"/>
              </w:rPr>
              <w:t>142</w:t>
            </w:r>
          </w:p>
        </w:tc>
        <w:tc>
          <w:tcPr>
            <w:tcW w:w="1270" w:type="dxa"/>
            <w:vAlign w:val="top"/>
          </w:tcPr>
          <w:p w14:paraId="4AA77A7B">
            <w:pPr>
              <w:spacing w:before="199" w:line="220" w:lineRule="auto"/>
              <w:ind w:left="312"/>
              <w:rPr>
                <w:rFonts w:ascii="宋体" w:hAnsi="宋体" w:eastAsia="宋体" w:cs="宋体"/>
                <w:sz w:val="21"/>
                <w:szCs w:val="21"/>
              </w:rPr>
            </w:pPr>
            <w:r>
              <w:rPr>
                <w:rFonts w:ascii="宋体" w:hAnsi="宋体" w:eastAsia="宋体" w:cs="宋体"/>
                <w:spacing w:val="-2"/>
                <w:sz w:val="21"/>
                <w:szCs w:val="21"/>
              </w:rPr>
              <w:t>褐胸鹟</w:t>
            </w:r>
          </w:p>
        </w:tc>
        <w:tc>
          <w:tcPr>
            <w:tcW w:w="1554" w:type="dxa"/>
            <w:vAlign w:val="top"/>
          </w:tcPr>
          <w:p w14:paraId="40FAFA7A">
            <w:pPr>
              <w:pStyle w:val="6"/>
              <w:spacing w:before="113" w:line="190" w:lineRule="auto"/>
              <w:ind w:left="298"/>
            </w:pPr>
            <w:r>
              <w:rPr>
                <w:i/>
                <w:iCs/>
              </w:rPr>
              <w:t>Muscicapa</w:t>
            </w:r>
          </w:p>
          <w:p w14:paraId="3D00EC77">
            <w:pPr>
              <w:pStyle w:val="6"/>
              <w:spacing w:before="49" w:line="200" w:lineRule="auto"/>
              <w:ind w:left="501"/>
            </w:pPr>
            <w:r>
              <w:rPr>
                <w:i/>
                <w:iCs/>
                <w:spacing w:val="-1"/>
              </w:rPr>
              <w:t>muttui</w:t>
            </w:r>
          </w:p>
        </w:tc>
        <w:tc>
          <w:tcPr>
            <w:tcW w:w="989" w:type="dxa"/>
            <w:vAlign w:val="top"/>
          </w:tcPr>
          <w:p w14:paraId="33B6F59A">
            <w:pPr>
              <w:rPr>
                <w:rFonts w:ascii="Arial"/>
                <w:sz w:val="21"/>
              </w:rPr>
            </w:pPr>
          </w:p>
        </w:tc>
        <w:tc>
          <w:tcPr>
            <w:tcW w:w="1272" w:type="dxa"/>
            <w:vAlign w:val="top"/>
          </w:tcPr>
          <w:p w14:paraId="5967A79A">
            <w:pPr>
              <w:rPr>
                <w:rFonts w:ascii="Arial"/>
                <w:sz w:val="21"/>
              </w:rPr>
            </w:pPr>
          </w:p>
        </w:tc>
        <w:tc>
          <w:tcPr>
            <w:tcW w:w="1693" w:type="dxa"/>
            <w:vAlign w:val="top"/>
          </w:tcPr>
          <w:p w14:paraId="46680B41">
            <w:pPr>
              <w:rPr>
                <w:rFonts w:ascii="Arial"/>
                <w:sz w:val="21"/>
              </w:rPr>
            </w:pPr>
          </w:p>
        </w:tc>
        <w:tc>
          <w:tcPr>
            <w:tcW w:w="845" w:type="dxa"/>
            <w:tcBorders>
              <w:right w:val="single" w:color="000000" w:sz="12" w:space="0"/>
            </w:tcBorders>
            <w:vAlign w:val="top"/>
          </w:tcPr>
          <w:p w14:paraId="1BAEA67F">
            <w:pPr>
              <w:rPr>
                <w:rFonts w:ascii="Arial"/>
                <w:sz w:val="21"/>
              </w:rPr>
            </w:pPr>
          </w:p>
        </w:tc>
      </w:tr>
      <w:tr w14:paraId="42E26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46B57993">
            <w:pPr>
              <w:pStyle w:val="6"/>
              <w:spacing w:before="236" w:line="232" w:lineRule="auto"/>
              <w:ind w:left="270"/>
            </w:pPr>
            <w:r>
              <w:rPr>
                <w:spacing w:val="-6"/>
              </w:rPr>
              <w:t>143</w:t>
            </w:r>
          </w:p>
        </w:tc>
        <w:tc>
          <w:tcPr>
            <w:tcW w:w="1270" w:type="dxa"/>
            <w:vAlign w:val="top"/>
          </w:tcPr>
          <w:p w14:paraId="069B4BEF">
            <w:pPr>
              <w:spacing w:before="202" w:line="219" w:lineRule="auto"/>
              <w:ind w:left="206"/>
              <w:rPr>
                <w:rFonts w:ascii="宋体" w:hAnsi="宋体" w:eastAsia="宋体" w:cs="宋体"/>
                <w:sz w:val="21"/>
                <w:szCs w:val="21"/>
              </w:rPr>
            </w:pPr>
            <w:r>
              <w:rPr>
                <w:rFonts w:ascii="宋体" w:hAnsi="宋体" w:eastAsia="宋体" w:cs="宋体"/>
                <w:spacing w:val="-2"/>
                <w:sz w:val="21"/>
                <w:szCs w:val="21"/>
              </w:rPr>
              <w:t>橙胸姬鹟</w:t>
            </w:r>
          </w:p>
        </w:tc>
        <w:tc>
          <w:tcPr>
            <w:tcW w:w="1554" w:type="dxa"/>
            <w:vAlign w:val="top"/>
          </w:tcPr>
          <w:p w14:paraId="2C5EB718">
            <w:pPr>
              <w:pStyle w:val="6"/>
              <w:spacing w:before="114" w:line="190" w:lineRule="auto"/>
              <w:ind w:left="388"/>
            </w:pPr>
            <w:r>
              <w:rPr>
                <w:i/>
                <w:iCs/>
              </w:rPr>
              <w:t>Ficedula</w:t>
            </w:r>
          </w:p>
          <w:p w14:paraId="24E31429">
            <w:pPr>
              <w:pStyle w:val="6"/>
              <w:spacing w:before="50" w:line="190" w:lineRule="auto"/>
              <w:ind w:left="332"/>
            </w:pPr>
            <w:r>
              <w:rPr>
                <w:i/>
                <w:iCs/>
              </w:rPr>
              <w:t>strophiata</w:t>
            </w:r>
          </w:p>
        </w:tc>
        <w:tc>
          <w:tcPr>
            <w:tcW w:w="989" w:type="dxa"/>
            <w:vAlign w:val="top"/>
          </w:tcPr>
          <w:p w14:paraId="51F82009">
            <w:pPr>
              <w:rPr>
                <w:rFonts w:ascii="Arial"/>
                <w:sz w:val="21"/>
              </w:rPr>
            </w:pPr>
          </w:p>
        </w:tc>
        <w:tc>
          <w:tcPr>
            <w:tcW w:w="1272" w:type="dxa"/>
            <w:vAlign w:val="top"/>
          </w:tcPr>
          <w:p w14:paraId="0E0F740C">
            <w:pPr>
              <w:rPr>
                <w:rFonts w:ascii="Arial"/>
                <w:sz w:val="21"/>
              </w:rPr>
            </w:pPr>
          </w:p>
        </w:tc>
        <w:tc>
          <w:tcPr>
            <w:tcW w:w="1693" w:type="dxa"/>
            <w:vAlign w:val="top"/>
          </w:tcPr>
          <w:p w14:paraId="674CC607">
            <w:pPr>
              <w:rPr>
                <w:rFonts w:ascii="Arial"/>
                <w:sz w:val="21"/>
              </w:rPr>
            </w:pPr>
          </w:p>
        </w:tc>
        <w:tc>
          <w:tcPr>
            <w:tcW w:w="845" w:type="dxa"/>
            <w:tcBorders>
              <w:right w:val="single" w:color="000000" w:sz="12" w:space="0"/>
            </w:tcBorders>
            <w:vAlign w:val="top"/>
          </w:tcPr>
          <w:p w14:paraId="1FCDCED1">
            <w:pPr>
              <w:rPr>
                <w:rFonts w:ascii="Arial"/>
                <w:sz w:val="21"/>
              </w:rPr>
            </w:pPr>
          </w:p>
        </w:tc>
      </w:tr>
      <w:tr w14:paraId="6727E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50" w:type="dxa"/>
            <w:tcBorders>
              <w:left w:val="single" w:color="000000" w:sz="12" w:space="0"/>
              <w:bottom w:val="single" w:color="000000" w:sz="12" w:space="0"/>
            </w:tcBorders>
            <w:vAlign w:val="top"/>
          </w:tcPr>
          <w:p w14:paraId="19458BEE">
            <w:pPr>
              <w:pStyle w:val="6"/>
              <w:spacing w:before="236" w:line="235" w:lineRule="auto"/>
              <w:ind w:left="270"/>
            </w:pPr>
            <w:r>
              <w:rPr>
                <w:spacing w:val="-6"/>
              </w:rPr>
              <w:t>144</w:t>
            </w:r>
          </w:p>
        </w:tc>
        <w:tc>
          <w:tcPr>
            <w:tcW w:w="1270" w:type="dxa"/>
            <w:tcBorders>
              <w:bottom w:val="single" w:color="000000" w:sz="12" w:space="0"/>
            </w:tcBorders>
            <w:vAlign w:val="top"/>
          </w:tcPr>
          <w:p w14:paraId="4A87C474">
            <w:pPr>
              <w:spacing w:before="203" w:line="221" w:lineRule="auto"/>
              <w:ind w:left="212"/>
              <w:rPr>
                <w:rFonts w:ascii="宋体" w:hAnsi="宋体" w:eastAsia="宋体" w:cs="宋体"/>
                <w:sz w:val="21"/>
                <w:szCs w:val="21"/>
              </w:rPr>
            </w:pPr>
            <w:r>
              <w:rPr>
                <w:rFonts w:ascii="宋体" w:hAnsi="宋体" w:eastAsia="宋体" w:cs="宋体"/>
                <w:spacing w:val="-3"/>
                <w:sz w:val="21"/>
                <w:szCs w:val="21"/>
              </w:rPr>
              <w:t>红喉姬鹟</w:t>
            </w:r>
          </w:p>
        </w:tc>
        <w:tc>
          <w:tcPr>
            <w:tcW w:w="1554" w:type="dxa"/>
            <w:tcBorders>
              <w:bottom w:val="single" w:color="000000" w:sz="12" w:space="0"/>
            </w:tcBorders>
            <w:vAlign w:val="top"/>
          </w:tcPr>
          <w:p w14:paraId="24D76939">
            <w:pPr>
              <w:pStyle w:val="6"/>
              <w:spacing w:before="116" w:line="190" w:lineRule="auto"/>
              <w:ind w:left="388"/>
            </w:pPr>
            <w:r>
              <w:rPr>
                <w:i/>
                <w:iCs/>
              </w:rPr>
              <w:t>Ficedula</w:t>
            </w:r>
          </w:p>
          <w:p w14:paraId="1779A742">
            <w:pPr>
              <w:pStyle w:val="6"/>
              <w:spacing w:before="50" w:line="221" w:lineRule="auto"/>
              <w:ind w:left="420"/>
            </w:pPr>
            <w:r>
              <w:rPr>
                <w:i/>
                <w:iCs/>
              </w:rPr>
              <w:t>albicilla</w:t>
            </w:r>
          </w:p>
        </w:tc>
        <w:tc>
          <w:tcPr>
            <w:tcW w:w="989" w:type="dxa"/>
            <w:tcBorders>
              <w:bottom w:val="single" w:color="000000" w:sz="12" w:space="0"/>
            </w:tcBorders>
            <w:vAlign w:val="top"/>
          </w:tcPr>
          <w:p w14:paraId="1E3630DA">
            <w:pPr>
              <w:pStyle w:val="6"/>
              <w:spacing w:before="236" w:line="232" w:lineRule="auto"/>
              <w:ind w:left="391"/>
            </w:pPr>
            <w:r>
              <w:rPr>
                <w:spacing w:val="-2"/>
              </w:rPr>
              <w:t>99</w:t>
            </w:r>
          </w:p>
        </w:tc>
        <w:tc>
          <w:tcPr>
            <w:tcW w:w="1272" w:type="dxa"/>
            <w:tcBorders>
              <w:bottom w:val="single" w:color="000000" w:sz="12" w:space="0"/>
            </w:tcBorders>
            <w:vAlign w:val="top"/>
          </w:tcPr>
          <w:p w14:paraId="701AB8BC">
            <w:pPr>
              <w:spacing w:before="203" w:line="221" w:lineRule="auto"/>
              <w:ind w:left="226"/>
              <w:rPr>
                <w:rFonts w:ascii="宋体" w:hAnsi="宋体" w:eastAsia="宋体" w:cs="宋体"/>
                <w:sz w:val="21"/>
                <w:szCs w:val="21"/>
              </w:rPr>
            </w:pPr>
            <w:r>
              <w:rPr>
                <w:rFonts w:ascii="宋体" w:hAnsi="宋体" w:eastAsia="宋体" w:cs="宋体"/>
                <w:spacing w:val="-3"/>
                <w:sz w:val="21"/>
                <w:szCs w:val="21"/>
              </w:rPr>
              <w:t>红喉姬鹟</w:t>
            </w:r>
          </w:p>
        </w:tc>
        <w:tc>
          <w:tcPr>
            <w:tcW w:w="1693" w:type="dxa"/>
            <w:tcBorders>
              <w:bottom w:val="single" w:color="000000" w:sz="12" w:space="0"/>
            </w:tcBorders>
            <w:vAlign w:val="top"/>
          </w:tcPr>
          <w:p w14:paraId="2C9BCCC4">
            <w:pPr>
              <w:pStyle w:val="6"/>
              <w:spacing w:before="235" w:line="233" w:lineRule="auto"/>
              <w:ind w:left="95"/>
            </w:pPr>
            <w:r>
              <w:rPr>
                <w:i/>
                <w:iCs/>
              </w:rPr>
              <w:t>Ficedula</w:t>
            </w:r>
            <w:r>
              <w:rPr>
                <w:i/>
                <w:iCs/>
                <w:spacing w:val="7"/>
              </w:rPr>
              <w:t xml:space="preserve"> </w:t>
            </w:r>
            <w:r>
              <w:rPr>
                <w:i/>
                <w:iCs/>
              </w:rPr>
              <w:t>albicilla</w:t>
            </w:r>
          </w:p>
        </w:tc>
        <w:tc>
          <w:tcPr>
            <w:tcW w:w="845" w:type="dxa"/>
            <w:tcBorders>
              <w:bottom w:val="single" w:color="000000" w:sz="12" w:space="0"/>
              <w:right w:val="single" w:color="000000" w:sz="12" w:space="0"/>
            </w:tcBorders>
            <w:vAlign w:val="top"/>
          </w:tcPr>
          <w:p w14:paraId="2304B940">
            <w:pPr>
              <w:rPr>
                <w:rFonts w:ascii="Arial"/>
                <w:sz w:val="21"/>
              </w:rPr>
            </w:pPr>
          </w:p>
        </w:tc>
      </w:tr>
    </w:tbl>
    <w:p w14:paraId="32B6A186">
      <w:pPr>
        <w:rPr>
          <w:rFonts w:ascii="Arial"/>
          <w:sz w:val="21"/>
        </w:rPr>
      </w:pPr>
    </w:p>
    <w:p w14:paraId="136A2596">
      <w:pPr>
        <w:rPr>
          <w:rFonts w:ascii="Arial" w:hAnsi="Arial" w:eastAsia="Arial" w:cs="Arial"/>
          <w:sz w:val="21"/>
          <w:szCs w:val="21"/>
        </w:rPr>
        <w:sectPr>
          <w:footerReference r:id="rId183" w:type="default"/>
          <w:pgSz w:w="11907" w:h="16839"/>
          <w:pgMar w:top="1376" w:right="1669" w:bottom="1061" w:left="1671" w:header="999" w:footer="861" w:gutter="0"/>
          <w:cols w:space="720" w:num="1"/>
        </w:sectPr>
      </w:pPr>
    </w:p>
    <w:p w14:paraId="36493FEA">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6980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674" w:type="dxa"/>
            <w:gridSpan w:val="3"/>
            <w:tcBorders>
              <w:top w:val="single" w:color="000000" w:sz="12" w:space="0"/>
              <w:left w:val="single" w:color="000000" w:sz="12" w:space="0"/>
            </w:tcBorders>
            <w:vAlign w:val="top"/>
          </w:tcPr>
          <w:p w14:paraId="558B421C">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499F74AB">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0A9A7EA0">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042A4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3B6C25D6">
            <w:pPr>
              <w:spacing w:before="69"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3371CD04">
            <w:pPr>
              <w:spacing w:before="70"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59FD38BD">
            <w:pPr>
              <w:spacing w:before="69"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520C9999">
            <w:pPr>
              <w:spacing w:before="69"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17997B79">
            <w:pPr>
              <w:spacing w:before="70"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4B1B1C71">
            <w:pPr>
              <w:spacing w:before="69"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6A55819B">
            <w:pPr>
              <w:rPr>
                <w:rFonts w:ascii="Arial"/>
                <w:sz w:val="21"/>
              </w:rPr>
            </w:pPr>
          </w:p>
        </w:tc>
      </w:tr>
      <w:tr w14:paraId="1E6FF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18A85E65">
            <w:pPr>
              <w:rPr>
                <w:rFonts w:ascii="Arial"/>
                <w:sz w:val="21"/>
              </w:rPr>
            </w:pPr>
          </w:p>
        </w:tc>
        <w:tc>
          <w:tcPr>
            <w:tcW w:w="1270" w:type="dxa"/>
            <w:vAlign w:val="top"/>
          </w:tcPr>
          <w:p w14:paraId="1839DCA7">
            <w:pPr>
              <w:rPr>
                <w:rFonts w:ascii="Arial"/>
                <w:sz w:val="21"/>
              </w:rPr>
            </w:pPr>
          </w:p>
        </w:tc>
        <w:tc>
          <w:tcPr>
            <w:tcW w:w="1554" w:type="dxa"/>
            <w:vAlign w:val="top"/>
          </w:tcPr>
          <w:p w14:paraId="162AA8F0">
            <w:pPr>
              <w:rPr>
                <w:rFonts w:ascii="Arial"/>
                <w:sz w:val="21"/>
              </w:rPr>
            </w:pPr>
          </w:p>
        </w:tc>
        <w:tc>
          <w:tcPr>
            <w:tcW w:w="989" w:type="dxa"/>
            <w:vAlign w:val="top"/>
          </w:tcPr>
          <w:p w14:paraId="0FF67599">
            <w:pPr>
              <w:pStyle w:val="6"/>
              <w:spacing w:before="111" w:line="232" w:lineRule="auto"/>
              <w:ind w:left="355"/>
            </w:pPr>
            <w:r>
              <w:rPr>
                <w:spacing w:val="-6"/>
              </w:rPr>
              <w:t>100</w:t>
            </w:r>
          </w:p>
        </w:tc>
        <w:tc>
          <w:tcPr>
            <w:tcW w:w="1272" w:type="dxa"/>
            <w:vAlign w:val="top"/>
          </w:tcPr>
          <w:p w14:paraId="4D417005">
            <w:pPr>
              <w:spacing w:before="76" w:line="220" w:lineRule="auto"/>
              <w:ind w:left="223"/>
              <w:rPr>
                <w:rFonts w:ascii="宋体" w:hAnsi="宋体" w:eastAsia="宋体" w:cs="宋体"/>
                <w:sz w:val="21"/>
                <w:szCs w:val="21"/>
              </w:rPr>
            </w:pPr>
            <w:r>
              <w:rPr>
                <w:rFonts w:ascii="宋体" w:hAnsi="宋体" w:eastAsia="宋体" w:cs="宋体"/>
                <w:spacing w:val="-2"/>
                <w:sz w:val="21"/>
                <w:szCs w:val="21"/>
              </w:rPr>
              <w:t>灰蓝姬鹟</w:t>
            </w:r>
          </w:p>
        </w:tc>
        <w:tc>
          <w:tcPr>
            <w:tcW w:w="1693" w:type="dxa"/>
            <w:vAlign w:val="top"/>
          </w:tcPr>
          <w:p w14:paraId="590507D9">
            <w:pPr>
              <w:pStyle w:val="6"/>
              <w:spacing w:before="110" w:line="233" w:lineRule="auto"/>
              <w:ind w:left="125"/>
            </w:pPr>
            <w:r>
              <w:rPr>
                <w:i/>
                <w:iCs/>
              </w:rPr>
              <w:t>Ficedula</w:t>
            </w:r>
            <w:r>
              <w:rPr>
                <w:i/>
                <w:iCs/>
                <w:spacing w:val="8"/>
              </w:rPr>
              <w:t xml:space="preserve"> </w:t>
            </w:r>
            <w:r>
              <w:rPr>
                <w:i/>
                <w:iCs/>
              </w:rPr>
              <w:t>tricolor</w:t>
            </w:r>
          </w:p>
        </w:tc>
        <w:tc>
          <w:tcPr>
            <w:tcW w:w="845" w:type="dxa"/>
            <w:tcBorders>
              <w:right w:val="single" w:color="000000" w:sz="12" w:space="0"/>
            </w:tcBorders>
            <w:vAlign w:val="top"/>
          </w:tcPr>
          <w:p w14:paraId="025F4A22">
            <w:pPr>
              <w:rPr>
                <w:rFonts w:ascii="Arial"/>
                <w:sz w:val="21"/>
              </w:rPr>
            </w:pPr>
          </w:p>
        </w:tc>
      </w:tr>
      <w:tr w14:paraId="2CE74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4BC323C6">
            <w:pPr>
              <w:pStyle w:val="6"/>
              <w:spacing w:before="210" w:line="232" w:lineRule="auto"/>
              <w:ind w:left="270"/>
            </w:pPr>
            <w:r>
              <w:rPr>
                <w:spacing w:val="-6"/>
              </w:rPr>
              <w:t>145</w:t>
            </w:r>
          </w:p>
        </w:tc>
        <w:tc>
          <w:tcPr>
            <w:tcW w:w="1270" w:type="dxa"/>
            <w:vAlign w:val="top"/>
          </w:tcPr>
          <w:p w14:paraId="3DDC1D5B">
            <w:pPr>
              <w:spacing w:before="176" w:line="221" w:lineRule="auto"/>
              <w:ind w:left="312"/>
              <w:rPr>
                <w:rFonts w:ascii="宋体" w:hAnsi="宋体" w:eastAsia="宋体" w:cs="宋体"/>
                <w:sz w:val="21"/>
                <w:szCs w:val="21"/>
              </w:rPr>
            </w:pPr>
            <w:r>
              <w:rPr>
                <w:rFonts w:ascii="宋体" w:hAnsi="宋体" w:eastAsia="宋体" w:cs="宋体"/>
                <w:spacing w:val="-2"/>
                <w:sz w:val="21"/>
                <w:szCs w:val="21"/>
              </w:rPr>
              <w:t>铜蓝鹟</w:t>
            </w:r>
          </w:p>
        </w:tc>
        <w:tc>
          <w:tcPr>
            <w:tcW w:w="1554" w:type="dxa"/>
            <w:vAlign w:val="top"/>
          </w:tcPr>
          <w:p w14:paraId="10029F24">
            <w:pPr>
              <w:pStyle w:val="6"/>
              <w:spacing w:before="88" w:line="190" w:lineRule="auto"/>
              <w:ind w:left="399"/>
            </w:pPr>
            <w:r>
              <w:rPr>
                <w:i/>
                <w:iCs/>
              </w:rPr>
              <w:t>Eumyias</w:t>
            </w:r>
          </w:p>
          <w:p w14:paraId="1B9B334E">
            <w:pPr>
              <w:pStyle w:val="6"/>
              <w:spacing w:before="50" w:line="224" w:lineRule="auto"/>
              <w:ind w:left="302"/>
            </w:pPr>
            <w:r>
              <w:rPr>
                <w:i/>
                <w:iCs/>
                <w:spacing w:val="-1"/>
              </w:rPr>
              <w:t>thalassinus</w:t>
            </w:r>
          </w:p>
        </w:tc>
        <w:tc>
          <w:tcPr>
            <w:tcW w:w="989" w:type="dxa"/>
            <w:vAlign w:val="top"/>
          </w:tcPr>
          <w:p w14:paraId="36B28051">
            <w:pPr>
              <w:pStyle w:val="6"/>
              <w:spacing w:before="210" w:line="232" w:lineRule="auto"/>
              <w:ind w:left="355"/>
            </w:pPr>
            <w:r>
              <w:rPr>
                <w:spacing w:val="-6"/>
              </w:rPr>
              <w:t>101</w:t>
            </w:r>
          </w:p>
        </w:tc>
        <w:tc>
          <w:tcPr>
            <w:tcW w:w="1272" w:type="dxa"/>
            <w:vAlign w:val="top"/>
          </w:tcPr>
          <w:p w14:paraId="22287DBE">
            <w:pPr>
              <w:spacing w:before="176" w:line="221" w:lineRule="auto"/>
              <w:ind w:left="325"/>
              <w:rPr>
                <w:rFonts w:ascii="宋体" w:hAnsi="宋体" w:eastAsia="宋体" w:cs="宋体"/>
                <w:sz w:val="21"/>
                <w:szCs w:val="21"/>
              </w:rPr>
            </w:pPr>
            <w:r>
              <w:rPr>
                <w:rFonts w:ascii="宋体" w:hAnsi="宋体" w:eastAsia="宋体" w:cs="宋体"/>
                <w:spacing w:val="-2"/>
                <w:sz w:val="21"/>
                <w:szCs w:val="21"/>
              </w:rPr>
              <w:t>铜蓝鹟</w:t>
            </w:r>
          </w:p>
        </w:tc>
        <w:tc>
          <w:tcPr>
            <w:tcW w:w="1693" w:type="dxa"/>
            <w:vAlign w:val="top"/>
          </w:tcPr>
          <w:p w14:paraId="25540A03">
            <w:pPr>
              <w:pStyle w:val="6"/>
              <w:spacing w:before="88" w:line="190" w:lineRule="auto"/>
              <w:ind w:left="484"/>
            </w:pPr>
            <w:r>
              <w:rPr>
                <w:i/>
                <w:iCs/>
              </w:rPr>
              <w:t>Eumyias</w:t>
            </w:r>
          </w:p>
          <w:p w14:paraId="19E9BFB0">
            <w:pPr>
              <w:pStyle w:val="6"/>
              <w:spacing w:before="50" w:line="224" w:lineRule="auto"/>
              <w:ind w:left="386"/>
            </w:pPr>
            <w:r>
              <w:rPr>
                <w:i/>
                <w:iCs/>
                <w:spacing w:val="-1"/>
              </w:rPr>
              <w:t>thalassinus</w:t>
            </w:r>
          </w:p>
        </w:tc>
        <w:tc>
          <w:tcPr>
            <w:tcW w:w="845" w:type="dxa"/>
            <w:tcBorders>
              <w:right w:val="single" w:color="000000" w:sz="12" w:space="0"/>
            </w:tcBorders>
            <w:vAlign w:val="top"/>
          </w:tcPr>
          <w:p w14:paraId="7B98E181">
            <w:pPr>
              <w:rPr>
                <w:rFonts w:ascii="Arial"/>
                <w:sz w:val="21"/>
              </w:rPr>
            </w:pPr>
          </w:p>
        </w:tc>
      </w:tr>
      <w:tr w14:paraId="4DAD1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49ECC9C5">
            <w:pPr>
              <w:rPr>
                <w:rFonts w:ascii="Arial"/>
                <w:sz w:val="21"/>
              </w:rPr>
            </w:pPr>
          </w:p>
        </w:tc>
        <w:tc>
          <w:tcPr>
            <w:tcW w:w="1270" w:type="dxa"/>
            <w:vAlign w:val="top"/>
          </w:tcPr>
          <w:p w14:paraId="1F505BCA">
            <w:pPr>
              <w:rPr>
                <w:rFonts w:ascii="Arial"/>
                <w:sz w:val="21"/>
              </w:rPr>
            </w:pPr>
          </w:p>
        </w:tc>
        <w:tc>
          <w:tcPr>
            <w:tcW w:w="1554" w:type="dxa"/>
            <w:vAlign w:val="top"/>
          </w:tcPr>
          <w:p w14:paraId="22F59EEE">
            <w:pPr>
              <w:rPr>
                <w:rFonts w:ascii="Arial"/>
                <w:sz w:val="21"/>
              </w:rPr>
            </w:pPr>
          </w:p>
        </w:tc>
        <w:tc>
          <w:tcPr>
            <w:tcW w:w="989" w:type="dxa"/>
            <w:vAlign w:val="top"/>
          </w:tcPr>
          <w:p w14:paraId="0E3DEEC5">
            <w:pPr>
              <w:pStyle w:val="6"/>
              <w:spacing w:before="113" w:line="232" w:lineRule="auto"/>
              <w:ind w:left="355"/>
            </w:pPr>
            <w:r>
              <w:rPr>
                <w:spacing w:val="-6"/>
              </w:rPr>
              <w:t>102</w:t>
            </w:r>
          </w:p>
        </w:tc>
        <w:tc>
          <w:tcPr>
            <w:tcW w:w="1272" w:type="dxa"/>
            <w:vAlign w:val="top"/>
          </w:tcPr>
          <w:p w14:paraId="7E890169">
            <w:pPr>
              <w:spacing w:before="78" w:line="220" w:lineRule="auto"/>
              <w:ind w:left="240"/>
              <w:rPr>
                <w:rFonts w:ascii="宋体" w:hAnsi="宋体" w:eastAsia="宋体" w:cs="宋体"/>
                <w:sz w:val="21"/>
                <w:szCs w:val="21"/>
              </w:rPr>
            </w:pPr>
            <w:r>
              <w:rPr>
                <w:rFonts w:ascii="宋体" w:hAnsi="宋体" w:eastAsia="宋体" w:cs="宋体"/>
                <w:spacing w:val="-6"/>
                <w:sz w:val="21"/>
                <w:szCs w:val="21"/>
              </w:rPr>
              <w:t>山蓝仙鹟</w:t>
            </w:r>
          </w:p>
        </w:tc>
        <w:tc>
          <w:tcPr>
            <w:tcW w:w="1693" w:type="dxa"/>
            <w:vAlign w:val="top"/>
          </w:tcPr>
          <w:p w14:paraId="57196719">
            <w:pPr>
              <w:pStyle w:val="6"/>
              <w:spacing w:before="112" w:line="190" w:lineRule="auto"/>
              <w:ind w:left="79"/>
            </w:pPr>
            <w:r>
              <w:rPr>
                <w:i/>
                <w:iCs/>
                <w:spacing w:val="-1"/>
              </w:rPr>
              <w:t>Cyornis banyumas</w:t>
            </w:r>
          </w:p>
        </w:tc>
        <w:tc>
          <w:tcPr>
            <w:tcW w:w="845" w:type="dxa"/>
            <w:tcBorders>
              <w:right w:val="single" w:color="000000" w:sz="12" w:space="0"/>
            </w:tcBorders>
            <w:vAlign w:val="top"/>
          </w:tcPr>
          <w:p w14:paraId="6D832FFB">
            <w:pPr>
              <w:rPr>
                <w:rFonts w:ascii="Arial"/>
                <w:sz w:val="21"/>
              </w:rPr>
            </w:pPr>
          </w:p>
        </w:tc>
      </w:tr>
      <w:tr w14:paraId="0ED4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ACA0147">
            <w:pPr>
              <w:pStyle w:val="6"/>
              <w:spacing w:before="113" w:line="232" w:lineRule="auto"/>
              <w:ind w:left="270"/>
            </w:pPr>
            <w:r>
              <w:rPr>
                <w:spacing w:val="-6"/>
              </w:rPr>
              <w:t>146</w:t>
            </w:r>
          </w:p>
        </w:tc>
        <w:tc>
          <w:tcPr>
            <w:tcW w:w="1270" w:type="dxa"/>
            <w:vAlign w:val="top"/>
          </w:tcPr>
          <w:p w14:paraId="47ECBFDC">
            <w:pPr>
              <w:spacing w:before="78" w:line="220" w:lineRule="auto"/>
              <w:ind w:left="206"/>
              <w:rPr>
                <w:rFonts w:ascii="宋体" w:hAnsi="宋体" w:eastAsia="宋体" w:cs="宋体"/>
                <w:sz w:val="21"/>
                <w:szCs w:val="21"/>
              </w:rPr>
            </w:pPr>
            <w:r>
              <w:rPr>
                <w:rFonts w:ascii="宋体" w:hAnsi="宋体" w:eastAsia="宋体" w:cs="宋体"/>
                <w:spacing w:val="-2"/>
                <w:sz w:val="21"/>
                <w:szCs w:val="21"/>
              </w:rPr>
              <w:t>棕腹仙鹟</w:t>
            </w:r>
          </w:p>
        </w:tc>
        <w:tc>
          <w:tcPr>
            <w:tcW w:w="1554" w:type="dxa"/>
            <w:vAlign w:val="top"/>
          </w:tcPr>
          <w:p w14:paraId="2AE47999">
            <w:pPr>
              <w:pStyle w:val="6"/>
              <w:spacing w:before="113" w:line="232" w:lineRule="auto"/>
              <w:ind w:left="101"/>
            </w:pPr>
            <w:r>
              <w:t>Niltava</w:t>
            </w:r>
            <w:r>
              <w:rPr>
                <w:spacing w:val="2"/>
              </w:rPr>
              <w:t xml:space="preserve"> </w:t>
            </w:r>
            <w:r>
              <w:t>sundara</w:t>
            </w:r>
          </w:p>
        </w:tc>
        <w:tc>
          <w:tcPr>
            <w:tcW w:w="989" w:type="dxa"/>
            <w:vAlign w:val="top"/>
          </w:tcPr>
          <w:p w14:paraId="7611346F">
            <w:pPr>
              <w:rPr>
                <w:rFonts w:ascii="Arial"/>
                <w:sz w:val="21"/>
              </w:rPr>
            </w:pPr>
          </w:p>
        </w:tc>
        <w:tc>
          <w:tcPr>
            <w:tcW w:w="1272" w:type="dxa"/>
            <w:vAlign w:val="top"/>
          </w:tcPr>
          <w:p w14:paraId="05B897DF">
            <w:pPr>
              <w:rPr>
                <w:rFonts w:ascii="Arial"/>
                <w:sz w:val="21"/>
              </w:rPr>
            </w:pPr>
          </w:p>
        </w:tc>
        <w:tc>
          <w:tcPr>
            <w:tcW w:w="1693" w:type="dxa"/>
            <w:vAlign w:val="top"/>
          </w:tcPr>
          <w:p w14:paraId="14C3C827">
            <w:pPr>
              <w:rPr>
                <w:rFonts w:ascii="Arial"/>
                <w:sz w:val="21"/>
              </w:rPr>
            </w:pPr>
          </w:p>
        </w:tc>
        <w:tc>
          <w:tcPr>
            <w:tcW w:w="845" w:type="dxa"/>
            <w:tcBorders>
              <w:right w:val="single" w:color="000000" w:sz="12" w:space="0"/>
            </w:tcBorders>
            <w:vAlign w:val="top"/>
          </w:tcPr>
          <w:p w14:paraId="07235CA7">
            <w:pPr>
              <w:rPr>
                <w:rFonts w:ascii="Arial"/>
                <w:sz w:val="21"/>
              </w:rPr>
            </w:pPr>
          </w:p>
        </w:tc>
      </w:tr>
      <w:tr w14:paraId="56327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24BF3F79">
            <w:pPr>
              <w:pStyle w:val="6"/>
              <w:spacing w:before="118" w:line="186" w:lineRule="auto"/>
              <w:ind w:left="238"/>
            </w:pPr>
            <w:r>
              <w:rPr>
                <w:b/>
                <w:bCs/>
                <w:spacing w:val="-2"/>
              </w:rPr>
              <w:t>F44</w:t>
            </w:r>
          </w:p>
        </w:tc>
        <w:tc>
          <w:tcPr>
            <w:tcW w:w="1270" w:type="dxa"/>
            <w:vAlign w:val="top"/>
          </w:tcPr>
          <w:p w14:paraId="633CC650">
            <w:pPr>
              <w:spacing w:before="79" w:line="219" w:lineRule="auto"/>
              <w:ind w:left="214"/>
              <w:rPr>
                <w:rFonts w:ascii="宋体" w:hAnsi="宋体" w:eastAsia="宋体" w:cs="宋体"/>
                <w:sz w:val="21"/>
                <w:szCs w:val="21"/>
              </w:rPr>
            </w:pPr>
            <w:r>
              <w:rPr>
                <w:rFonts w:ascii="宋体" w:hAnsi="宋体" w:eastAsia="宋体" w:cs="宋体"/>
                <w:b/>
                <w:bCs/>
                <w:spacing w:val="-5"/>
                <w:sz w:val="21"/>
                <w:szCs w:val="21"/>
              </w:rPr>
              <w:t>啄花鸟科</w:t>
            </w:r>
          </w:p>
        </w:tc>
        <w:tc>
          <w:tcPr>
            <w:tcW w:w="1554" w:type="dxa"/>
            <w:vAlign w:val="top"/>
          </w:tcPr>
          <w:p w14:paraId="596249E0">
            <w:pPr>
              <w:pStyle w:val="6"/>
              <w:spacing w:before="117" w:line="187" w:lineRule="auto"/>
              <w:ind w:left="331"/>
            </w:pPr>
            <w:r>
              <w:rPr>
                <w:b/>
                <w:bCs/>
                <w:spacing w:val="-1"/>
              </w:rPr>
              <w:t>Dicaeidae</w:t>
            </w:r>
          </w:p>
        </w:tc>
        <w:tc>
          <w:tcPr>
            <w:tcW w:w="989" w:type="dxa"/>
            <w:vAlign w:val="top"/>
          </w:tcPr>
          <w:p w14:paraId="5B761E1C">
            <w:pPr>
              <w:rPr>
                <w:rFonts w:ascii="Arial"/>
                <w:sz w:val="21"/>
              </w:rPr>
            </w:pPr>
          </w:p>
        </w:tc>
        <w:tc>
          <w:tcPr>
            <w:tcW w:w="1272" w:type="dxa"/>
            <w:vAlign w:val="top"/>
          </w:tcPr>
          <w:p w14:paraId="6A0F6002">
            <w:pPr>
              <w:rPr>
                <w:rFonts w:ascii="Arial"/>
                <w:sz w:val="21"/>
              </w:rPr>
            </w:pPr>
          </w:p>
        </w:tc>
        <w:tc>
          <w:tcPr>
            <w:tcW w:w="1693" w:type="dxa"/>
            <w:vAlign w:val="top"/>
          </w:tcPr>
          <w:p w14:paraId="38FD2269">
            <w:pPr>
              <w:rPr>
                <w:rFonts w:ascii="Arial"/>
                <w:sz w:val="21"/>
              </w:rPr>
            </w:pPr>
          </w:p>
        </w:tc>
        <w:tc>
          <w:tcPr>
            <w:tcW w:w="845" w:type="dxa"/>
            <w:tcBorders>
              <w:right w:val="single" w:color="000000" w:sz="12" w:space="0"/>
            </w:tcBorders>
            <w:vAlign w:val="top"/>
          </w:tcPr>
          <w:p w14:paraId="166B0801">
            <w:pPr>
              <w:rPr>
                <w:rFonts w:ascii="Arial"/>
                <w:sz w:val="21"/>
              </w:rPr>
            </w:pPr>
          </w:p>
        </w:tc>
      </w:tr>
      <w:tr w14:paraId="30032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A48CD7F">
            <w:pPr>
              <w:pStyle w:val="6"/>
              <w:spacing w:before="214" w:line="232" w:lineRule="auto"/>
              <w:ind w:left="270"/>
            </w:pPr>
            <w:r>
              <w:rPr>
                <w:spacing w:val="-6"/>
              </w:rPr>
              <w:t>147</w:t>
            </w:r>
          </w:p>
        </w:tc>
        <w:tc>
          <w:tcPr>
            <w:tcW w:w="1270" w:type="dxa"/>
            <w:vAlign w:val="top"/>
          </w:tcPr>
          <w:p w14:paraId="73E06916">
            <w:pPr>
              <w:spacing w:before="180" w:line="220" w:lineRule="auto"/>
              <w:ind w:left="108"/>
              <w:rPr>
                <w:rFonts w:ascii="宋体" w:hAnsi="宋体" w:eastAsia="宋体" w:cs="宋体"/>
                <w:sz w:val="21"/>
                <w:szCs w:val="21"/>
              </w:rPr>
            </w:pPr>
            <w:r>
              <w:rPr>
                <w:rFonts w:ascii="宋体" w:hAnsi="宋体" w:eastAsia="宋体" w:cs="宋体"/>
                <w:spacing w:val="-3"/>
                <w:sz w:val="21"/>
                <w:szCs w:val="21"/>
              </w:rPr>
              <w:t>红胸啄花鸟</w:t>
            </w:r>
          </w:p>
        </w:tc>
        <w:tc>
          <w:tcPr>
            <w:tcW w:w="1554" w:type="dxa"/>
            <w:vAlign w:val="top"/>
          </w:tcPr>
          <w:p w14:paraId="46F2EF49">
            <w:pPr>
              <w:pStyle w:val="6"/>
              <w:spacing w:before="99" w:line="183" w:lineRule="auto"/>
              <w:ind w:left="381"/>
            </w:pPr>
            <w:r>
              <w:rPr>
                <w:i/>
                <w:iCs/>
              </w:rPr>
              <w:t>Dicaeum</w:t>
            </w:r>
          </w:p>
          <w:p w14:paraId="781C2185">
            <w:pPr>
              <w:pStyle w:val="6"/>
              <w:spacing w:before="50" w:line="190" w:lineRule="auto"/>
              <w:ind w:left="343"/>
            </w:pPr>
            <w:r>
              <w:rPr>
                <w:i/>
                <w:iCs/>
                <w:spacing w:val="-1"/>
              </w:rPr>
              <w:t>ignipectus</w:t>
            </w:r>
          </w:p>
        </w:tc>
        <w:tc>
          <w:tcPr>
            <w:tcW w:w="989" w:type="dxa"/>
            <w:vAlign w:val="top"/>
          </w:tcPr>
          <w:p w14:paraId="76B86B35">
            <w:pPr>
              <w:rPr>
                <w:rFonts w:ascii="Arial"/>
                <w:sz w:val="21"/>
              </w:rPr>
            </w:pPr>
          </w:p>
        </w:tc>
        <w:tc>
          <w:tcPr>
            <w:tcW w:w="1272" w:type="dxa"/>
            <w:vAlign w:val="top"/>
          </w:tcPr>
          <w:p w14:paraId="5BF3B2AF">
            <w:pPr>
              <w:rPr>
                <w:rFonts w:ascii="Arial"/>
                <w:sz w:val="21"/>
              </w:rPr>
            </w:pPr>
          </w:p>
        </w:tc>
        <w:tc>
          <w:tcPr>
            <w:tcW w:w="1693" w:type="dxa"/>
            <w:vAlign w:val="top"/>
          </w:tcPr>
          <w:p w14:paraId="07DDB9C9">
            <w:pPr>
              <w:rPr>
                <w:rFonts w:ascii="Arial"/>
                <w:sz w:val="21"/>
              </w:rPr>
            </w:pPr>
          </w:p>
        </w:tc>
        <w:tc>
          <w:tcPr>
            <w:tcW w:w="845" w:type="dxa"/>
            <w:tcBorders>
              <w:right w:val="single" w:color="000000" w:sz="12" w:space="0"/>
            </w:tcBorders>
            <w:vAlign w:val="top"/>
          </w:tcPr>
          <w:p w14:paraId="433AD7C9">
            <w:pPr>
              <w:rPr>
                <w:rFonts w:ascii="Arial"/>
                <w:sz w:val="21"/>
              </w:rPr>
            </w:pPr>
          </w:p>
        </w:tc>
      </w:tr>
      <w:tr w14:paraId="69784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5F8FE7EC">
            <w:pPr>
              <w:rPr>
                <w:rFonts w:ascii="Arial"/>
                <w:sz w:val="21"/>
              </w:rPr>
            </w:pPr>
          </w:p>
        </w:tc>
        <w:tc>
          <w:tcPr>
            <w:tcW w:w="1270" w:type="dxa"/>
            <w:vAlign w:val="top"/>
          </w:tcPr>
          <w:p w14:paraId="4502CE78">
            <w:pPr>
              <w:rPr>
                <w:rFonts w:ascii="Arial"/>
                <w:sz w:val="21"/>
              </w:rPr>
            </w:pPr>
          </w:p>
        </w:tc>
        <w:tc>
          <w:tcPr>
            <w:tcW w:w="1554" w:type="dxa"/>
            <w:vAlign w:val="top"/>
          </w:tcPr>
          <w:p w14:paraId="55BA5EA1">
            <w:pPr>
              <w:rPr>
                <w:rFonts w:ascii="Arial"/>
                <w:sz w:val="21"/>
              </w:rPr>
            </w:pPr>
          </w:p>
        </w:tc>
        <w:tc>
          <w:tcPr>
            <w:tcW w:w="989" w:type="dxa"/>
            <w:vAlign w:val="top"/>
          </w:tcPr>
          <w:p w14:paraId="1A46353E">
            <w:pPr>
              <w:pStyle w:val="6"/>
              <w:spacing w:before="120" w:line="186" w:lineRule="auto"/>
              <w:ind w:left="323"/>
            </w:pPr>
            <w:r>
              <w:rPr>
                <w:b/>
                <w:bCs/>
                <w:spacing w:val="-2"/>
              </w:rPr>
              <w:t>F40</w:t>
            </w:r>
          </w:p>
        </w:tc>
        <w:tc>
          <w:tcPr>
            <w:tcW w:w="1272" w:type="dxa"/>
            <w:vAlign w:val="top"/>
          </w:tcPr>
          <w:p w14:paraId="072EFFEE">
            <w:pPr>
              <w:spacing w:before="82" w:line="219" w:lineRule="auto"/>
              <w:ind w:left="220"/>
              <w:rPr>
                <w:rFonts w:ascii="宋体" w:hAnsi="宋体" w:eastAsia="宋体" w:cs="宋体"/>
                <w:sz w:val="21"/>
                <w:szCs w:val="21"/>
              </w:rPr>
            </w:pPr>
            <w:r>
              <w:rPr>
                <w:rFonts w:ascii="宋体" w:hAnsi="宋体" w:eastAsia="宋体" w:cs="宋体"/>
                <w:b/>
                <w:bCs/>
                <w:spacing w:val="-4"/>
                <w:sz w:val="21"/>
                <w:szCs w:val="21"/>
              </w:rPr>
              <w:t>花蜜鸟科</w:t>
            </w:r>
          </w:p>
        </w:tc>
        <w:tc>
          <w:tcPr>
            <w:tcW w:w="1693" w:type="dxa"/>
            <w:vAlign w:val="top"/>
          </w:tcPr>
          <w:p w14:paraId="36BE4270">
            <w:pPr>
              <w:pStyle w:val="6"/>
              <w:spacing w:before="120" w:line="186" w:lineRule="auto"/>
              <w:ind w:left="246"/>
            </w:pPr>
            <w:r>
              <w:rPr>
                <w:b/>
                <w:bCs/>
                <w:spacing w:val="-1"/>
              </w:rPr>
              <w:t>Nectariniidae</w:t>
            </w:r>
          </w:p>
        </w:tc>
        <w:tc>
          <w:tcPr>
            <w:tcW w:w="845" w:type="dxa"/>
            <w:tcBorders>
              <w:right w:val="single" w:color="000000" w:sz="12" w:space="0"/>
            </w:tcBorders>
            <w:vAlign w:val="top"/>
          </w:tcPr>
          <w:p w14:paraId="507FA1F8">
            <w:pPr>
              <w:rPr>
                <w:rFonts w:ascii="Arial"/>
                <w:sz w:val="21"/>
              </w:rPr>
            </w:pPr>
          </w:p>
        </w:tc>
      </w:tr>
      <w:tr w14:paraId="04DF6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18A208E4">
            <w:pPr>
              <w:rPr>
                <w:rFonts w:ascii="Arial"/>
                <w:sz w:val="21"/>
              </w:rPr>
            </w:pPr>
          </w:p>
        </w:tc>
        <w:tc>
          <w:tcPr>
            <w:tcW w:w="1270" w:type="dxa"/>
            <w:vAlign w:val="top"/>
          </w:tcPr>
          <w:p w14:paraId="28266222">
            <w:pPr>
              <w:rPr>
                <w:rFonts w:ascii="Arial"/>
                <w:sz w:val="21"/>
              </w:rPr>
            </w:pPr>
          </w:p>
        </w:tc>
        <w:tc>
          <w:tcPr>
            <w:tcW w:w="1554" w:type="dxa"/>
            <w:vAlign w:val="top"/>
          </w:tcPr>
          <w:p w14:paraId="473CDE01">
            <w:pPr>
              <w:rPr>
                <w:rFonts w:ascii="Arial"/>
                <w:sz w:val="21"/>
              </w:rPr>
            </w:pPr>
          </w:p>
        </w:tc>
        <w:tc>
          <w:tcPr>
            <w:tcW w:w="989" w:type="dxa"/>
            <w:vAlign w:val="top"/>
          </w:tcPr>
          <w:p w14:paraId="152AA2EA">
            <w:pPr>
              <w:pStyle w:val="6"/>
              <w:spacing w:before="215" w:line="232" w:lineRule="auto"/>
              <w:ind w:left="355"/>
            </w:pPr>
            <w:r>
              <w:rPr>
                <w:spacing w:val="-6"/>
              </w:rPr>
              <w:t>103</w:t>
            </w:r>
          </w:p>
        </w:tc>
        <w:tc>
          <w:tcPr>
            <w:tcW w:w="1272" w:type="dxa"/>
            <w:vAlign w:val="top"/>
          </w:tcPr>
          <w:p w14:paraId="055C95FF">
            <w:pPr>
              <w:spacing w:before="181" w:line="220" w:lineRule="auto"/>
              <w:ind w:left="116"/>
              <w:rPr>
                <w:rFonts w:ascii="宋体" w:hAnsi="宋体" w:eastAsia="宋体" w:cs="宋体"/>
                <w:sz w:val="21"/>
                <w:szCs w:val="21"/>
              </w:rPr>
            </w:pPr>
            <w:r>
              <w:rPr>
                <w:rFonts w:ascii="宋体" w:hAnsi="宋体" w:eastAsia="宋体" w:cs="宋体"/>
                <w:spacing w:val="-2"/>
                <w:sz w:val="21"/>
                <w:szCs w:val="21"/>
              </w:rPr>
              <w:t>蓝喉太阳鸟</w:t>
            </w:r>
          </w:p>
        </w:tc>
        <w:tc>
          <w:tcPr>
            <w:tcW w:w="1693" w:type="dxa"/>
            <w:vAlign w:val="top"/>
          </w:tcPr>
          <w:p w14:paraId="2F0082A3">
            <w:pPr>
              <w:pStyle w:val="6"/>
              <w:spacing w:before="93" w:line="190" w:lineRule="auto"/>
              <w:ind w:left="390"/>
            </w:pPr>
            <w:r>
              <w:rPr>
                <w:i/>
                <w:iCs/>
                <w:spacing w:val="1"/>
              </w:rPr>
              <w:t>Aethopyga</w:t>
            </w:r>
          </w:p>
          <w:p w14:paraId="1C70DA5E">
            <w:pPr>
              <w:pStyle w:val="6"/>
              <w:spacing w:before="51" w:line="190" w:lineRule="auto"/>
              <w:ind w:left="478"/>
            </w:pPr>
            <w:r>
              <w:rPr>
                <w:i/>
                <w:iCs/>
              </w:rPr>
              <w:t>gouldiae</w:t>
            </w:r>
          </w:p>
        </w:tc>
        <w:tc>
          <w:tcPr>
            <w:tcW w:w="845" w:type="dxa"/>
            <w:tcBorders>
              <w:right w:val="single" w:color="000000" w:sz="12" w:space="0"/>
            </w:tcBorders>
            <w:vAlign w:val="top"/>
          </w:tcPr>
          <w:p w14:paraId="5C2B3DC7">
            <w:pPr>
              <w:rPr>
                <w:rFonts w:ascii="Arial"/>
                <w:sz w:val="21"/>
              </w:rPr>
            </w:pPr>
          </w:p>
        </w:tc>
      </w:tr>
      <w:tr w14:paraId="709B4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25AC444E">
            <w:pPr>
              <w:pStyle w:val="6"/>
              <w:spacing w:before="116" w:line="186" w:lineRule="auto"/>
              <w:ind w:left="238"/>
            </w:pPr>
            <w:r>
              <w:rPr>
                <w:b/>
                <w:bCs/>
                <w:spacing w:val="-2"/>
              </w:rPr>
              <w:t>F45</w:t>
            </w:r>
          </w:p>
        </w:tc>
        <w:tc>
          <w:tcPr>
            <w:tcW w:w="1270" w:type="dxa"/>
            <w:vAlign w:val="top"/>
          </w:tcPr>
          <w:p w14:paraId="71595EE3">
            <w:pPr>
              <w:spacing w:before="77" w:line="219" w:lineRule="auto"/>
              <w:ind w:left="205"/>
              <w:rPr>
                <w:rFonts w:ascii="宋体" w:hAnsi="宋体" w:eastAsia="宋体" w:cs="宋体"/>
                <w:sz w:val="21"/>
                <w:szCs w:val="21"/>
              </w:rPr>
            </w:pPr>
            <w:r>
              <w:rPr>
                <w:rFonts w:ascii="宋体" w:hAnsi="宋体" w:eastAsia="宋体" w:cs="宋体"/>
                <w:b/>
                <w:bCs/>
                <w:spacing w:val="-3"/>
                <w:sz w:val="21"/>
                <w:szCs w:val="21"/>
              </w:rPr>
              <w:t>梅花雀科</w:t>
            </w:r>
          </w:p>
        </w:tc>
        <w:tc>
          <w:tcPr>
            <w:tcW w:w="1554" w:type="dxa"/>
            <w:vAlign w:val="top"/>
          </w:tcPr>
          <w:p w14:paraId="6EFBCDCD">
            <w:pPr>
              <w:pStyle w:val="6"/>
              <w:spacing w:before="115" w:line="187" w:lineRule="auto"/>
              <w:ind w:left="275"/>
            </w:pPr>
            <w:r>
              <w:rPr>
                <w:b/>
                <w:bCs/>
                <w:spacing w:val="-1"/>
              </w:rPr>
              <w:t>Estrildidae</w:t>
            </w:r>
          </w:p>
        </w:tc>
        <w:tc>
          <w:tcPr>
            <w:tcW w:w="989" w:type="dxa"/>
            <w:vAlign w:val="top"/>
          </w:tcPr>
          <w:p w14:paraId="37E572E3">
            <w:pPr>
              <w:pStyle w:val="6"/>
              <w:spacing w:before="116" w:line="186" w:lineRule="auto"/>
              <w:ind w:left="323"/>
            </w:pPr>
            <w:r>
              <w:rPr>
                <w:b/>
                <w:bCs/>
                <w:spacing w:val="-2"/>
              </w:rPr>
              <w:t>F41</w:t>
            </w:r>
          </w:p>
        </w:tc>
        <w:tc>
          <w:tcPr>
            <w:tcW w:w="1272" w:type="dxa"/>
            <w:vAlign w:val="top"/>
          </w:tcPr>
          <w:p w14:paraId="5679119F">
            <w:pPr>
              <w:spacing w:before="77" w:line="219" w:lineRule="auto"/>
              <w:ind w:left="218"/>
              <w:rPr>
                <w:rFonts w:ascii="宋体" w:hAnsi="宋体" w:eastAsia="宋体" w:cs="宋体"/>
                <w:sz w:val="21"/>
                <w:szCs w:val="21"/>
              </w:rPr>
            </w:pPr>
            <w:r>
              <w:rPr>
                <w:rFonts w:ascii="宋体" w:hAnsi="宋体" w:eastAsia="宋体" w:cs="宋体"/>
                <w:b/>
                <w:bCs/>
                <w:spacing w:val="-3"/>
                <w:sz w:val="21"/>
                <w:szCs w:val="21"/>
              </w:rPr>
              <w:t>梅花雀科</w:t>
            </w:r>
          </w:p>
        </w:tc>
        <w:tc>
          <w:tcPr>
            <w:tcW w:w="1693" w:type="dxa"/>
            <w:vAlign w:val="top"/>
          </w:tcPr>
          <w:p w14:paraId="668C1FC6">
            <w:pPr>
              <w:pStyle w:val="6"/>
              <w:spacing w:before="115" w:line="187" w:lineRule="auto"/>
              <w:ind w:left="359"/>
            </w:pPr>
            <w:r>
              <w:rPr>
                <w:b/>
                <w:bCs/>
                <w:spacing w:val="-1"/>
              </w:rPr>
              <w:t>Estrildidae</w:t>
            </w:r>
          </w:p>
        </w:tc>
        <w:tc>
          <w:tcPr>
            <w:tcW w:w="845" w:type="dxa"/>
            <w:tcBorders>
              <w:right w:val="single" w:color="000000" w:sz="12" w:space="0"/>
            </w:tcBorders>
            <w:vAlign w:val="top"/>
          </w:tcPr>
          <w:p w14:paraId="326B6775">
            <w:pPr>
              <w:rPr>
                <w:rFonts w:ascii="Arial"/>
                <w:sz w:val="21"/>
              </w:rPr>
            </w:pPr>
          </w:p>
        </w:tc>
      </w:tr>
      <w:tr w14:paraId="6566E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784DBFED">
            <w:pPr>
              <w:pStyle w:val="6"/>
              <w:spacing w:before="119" w:line="232" w:lineRule="auto"/>
              <w:ind w:left="270"/>
            </w:pPr>
            <w:r>
              <w:rPr>
                <w:spacing w:val="-6"/>
              </w:rPr>
              <w:t>148</w:t>
            </w:r>
          </w:p>
        </w:tc>
        <w:tc>
          <w:tcPr>
            <w:tcW w:w="1270" w:type="dxa"/>
            <w:vAlign w:val="top"/>
          </w:tcPr>
          <w:p w14:paraId="057BB47B">
            <w:pPr>
              <w:spacing w:before="85" w:line="220" w:lineRule="auto"/>
              <w:ind w:left="237"/>
              <w:rPr>
                <w:rFonts w:ascii="宋体" w:hAnsi="宋体" w:eastAsia="宋体" w:cs="宋体"/>
                <w:sz w:val="21"/>
                <w:szCs w:val="21"/>
              </w:rPr>
            </w:pPr>
            <w:r>
              <w:rPr>
                <w:rFonts w:ascii="宋体" w:hAnsi="宋体" w:eastAsia="宋体" w:cs="宋体"/>
                <w:spacing w:val="-8"/>
                <w:sz w:val="21"/>
                <w:szCs w:val="21"/>
              </w:rPr>
              <w:t>白腰文鸟</w:t>
            </w:r>
          </w:p>
        </w:tc>
        <w:tc>
          <w:tcPr>
            <w:tcW w:w="1554" w:type="dxa"/>
            <w:vAlign w:val="top"/>
          </w:tcPr>
          <w:p w14:paraId="119B9E61">
            <w:pPr>
              <w:pStyle w:val="6"/>
              <w:spacing w:before="118" w:line="233" w:lineRule="auto"/>
              <w:ind w:left="50"/>
            </w:pPr>
            <w:r>
              <w:rPr>
                <w:i/>
                <w:iCs/>
              </w:rPr>
              <w:t>Lonchura</w:t>
            </w:r>
            <w:r>
              <w:rPr>
                <w:i/>
                <w:iCs/>
                <w:spacing w:val="10"/>
              </w:rPr>
              <w:t xml:space="preserve"> </w:t>
            </w:r>
            <w:r>
              <w:rPr>
                <w:i/>
                <w:iCs/>
              </w:rPr>
              <w:t>striata</w:t>
            </w:r>
          </w:p>
        </w:tc>
        <w:tc>
          <w:tcPr>
            <w:tcW w:w="989" w:type="dxa"/>
            <w:vAlign w:val="top"/>
          </w:tcPr>
          <w:p w14:paraId="2DBE3E2B">
            <w:pPr>
              <w:pStyle w:val="6"/>
              <w:spacing w:before="119" w:line="232" w:lineRule="auto"/>
              <w:ind w:left="355"/>
            </w:pPr>
            <w:r>
              <w:rPr>
                <w:spacing w:val="-6"/>
              </w:rPr>
              <w:t>104</w:t>
            </w:r>
          </w:p>
        </w:tc>
        <w:tc>
          <w:tcPr>
            <w:tcW w:w="1272" w:type="dxa"/>
            <w:vAlign w:val="top"/>
          </w:tcPr>
          <w:p w14:paraId="4D29C2F8">
            <w:pPr>
              <w:spacing w:before="85" w:line="220" w:lineRule="auto"/>
              <w:ind w:left="252"/>
              <w:rPr>
                <w:rFonts w:ascii="宋体" w:hAnsi="宋体" w:eastAsia="宋体" w:cs="宋体"/>
                <w:sz w:val="21"/>
                <w:szCs w:val="21"/>
              </w:rPr>
            </w:pPr>
            <w:r>
              <w:rPr>
                <w:rFonts w:ascii="宋体" w:hAnsi="宋体" w:eastAsia="宋体" w:cs="宋体"/>
                <w:spacing w:val="-8"/>
                <w:sz w:val="21"/>
                <w:szCs w:val="21"/>
              </w:rPr>
              <w:t>白腰文鸟</w:t>
            </w:r>
          </w:p>
        </w:tc>
        <w:tc>
          <w:tcPr>
            <w:tcW w:w="1693" w:type="dxa"/>
            <w:vAlign w:val="top"/>
          </w:tcPr>
          <w:p w14:paraId="375638FB">
            <w:pPr>
              <w:pStyle w:val="6"/>
              <w:spacing w:before="118" w:line="233" w:lineRule="auto"/>
              <w:ind w:left="134"/>
            </w:pPr>
            <w:r>
              <w:rPr>
                <w:i/>
                <w:iCs/>
              </w:rPr>
              <w:t>Lonchura</w:t>
            </w:r>
            <w:r>
              <w:rPr>
                <w:i/>
                <w:iCs/>
                <w:spacing w:val="10"/>
              </w:rPr>
              <w:t xml:space="preserve"> </w:t>
            </w:r>
            <w:r>
              <w:rPr>
                <w:i/>
                <w:iCs/>
              </w:rPr>
              <w:t>striata</w:t>
            </w:r>
          </w:p>
        </w:tc>
        <w:tc>
          <w:tcPr>
            <w:tcW w:w="845" w:type="dxa"/>
            <w:tcBorders>
              <w:right w:val="single" w:color="000000" w:sz="12" w:space="0"/>
            </w:tcBorders>
            <w:vAlign w:val="top"/>
          </w:tcPr>
          <w:p w14:paraId="269F4255">
            <w:pPr>
              <w:rPr>
                <w:rFonts w:ascii="Arial"/>
                <w:sz w:val="21"/>
              </w:rPr>
            </w:pPr>
          </w:p>
        </w:tc>
      </w:tr>
      <w:tr w14:paraId="4D27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F7856D9">
            <w:pPr>
              <w:pStyle w:val="6"/>
              <w:spacing w:before="217" w:line="232" w:lineRule="auto"/>
              <w:ind w:left="270"/>
            </w:pPr>
            <w:r>
              <w:rPr>
                <w:spacing w:val="-6"/>
              </w:rPr>
              <w:t>149</w:t>
            </w:r>
          </w:p>
        </w:tc>
        <w:tc>
          <w:tcPr>
            <w:tcW w:w="1270" w:type="dxa"/>
            <w:vAlign w:val="top"/>
          </w:tcPr>
          <w:p w14:paraId="2C28263E">
            <w:pPr>
              <w:spacing w:before="185" w:line="220" w:lineRule="auto"/>
              <w:ind w:left="312"/>
              <w:rPr>
                <w:rFonts w:ascii="宋体" w:hAnsi="宋体" w:eastAsia="宋体" w:cs="宋体"/>
                <w:sz w:val="21"/>
                <w:szCs w:val="21"/>
              </w:rPr>
            </w:pPr>
            <w:r>
              <w:rPr>
                <w:rFonts w:ascii="宋体" w:hAnsi="宋体" w:eastAsia="宋体" w:cs="宋体"/>
                <w:spacing w:val="-2"/>
                <w:sz w:val="21"/>
                <w:szCs w:val="21"/>
              </w:rPr>
              <w:t>斑文鸟</w:t>
            </w:r>
          </w:p>
        </w:tc>
        <w:tc>
          <w:tcPr>
            <w:tcW w:w="1554" w:type="dxa"/>
            <w:vAlign w:val="top"/>
          </w:tcPr>
          <w:p w14:paraId="6BFBC865">
            <w:pPr>
              <w:pStyle w:val="6"/>
              <w:spacing w:before="97" w:line="190" w:lineRule="auto"/>
              <w:ind w:left="350"/>
            </w:pPr>
            <w:r>
              <w:rPr>
                <w:i/>
                <w:iCs/>
              </w:rPr>
              <w:t>Lonchura</w:t>
            </w:r>
          </w:p>
          <w:p w14:paraId="160BE7B2">
            <w:pPr>
              <w:pStyle w:val="6"/>
              <w:spacing w:before="50" w:line="190" w:lineRule="auto"/>
              <w:ind w:left="293"/>
            </w:pPr>
            <w:r>
              <w:rPr>
                <w:i/>
                <w:iCs/>
                <w:spacing w:val="2"/>
              </w:rPr>
              <w:t>punctulata</w:t>
            </w:r>
          </w:p>
        </w:tc>
        <w:tc>
          <w:tcPr>
            <w:tcW w:w="989" w:type="dxa"/>
            <w:vAlign w:val="top"/>
          </w:tcPr>
          <w:p w14:paraId="689BB516">
            <w:pPr>
              <w:pStyle w:val="6"/>
              <w:spacing w:before="218" w:line="232" w:lineRule="auto"/>
              <w:ind w:left="355"/>
            </w:pPr>
            <w:r>
              <w:rPr>
                <w:spacing w:val="-6"/>
              </w:rPr>
              <w:t>105</w:t>
            </w:r>
          </w:p>
        </w:tc>
        <w:tc>
          <w:tcPr>
            <w:tcW w:w="1272" w:type="dxa"/>
            <w:vAlign w:val="top"/>
          </w:tcPr>
          <w:p w14:paraId="2B484FCE">
            <w:pPr>
              <w:spacing w:before="185" w:line="220" w:lineRule="auto"/>
              <w:ind w:left="325"/>
              <w:rPr>
                <w:rFonts w:ascii="宋体" w:hAnsi="宋体" w:eastAsia="宋体" w:cs="宋体"/>
                <w:sz w:val="21"/>
                <w:szCs w:val="21"/>
              </w:rPr>
            </w:pPr>
            <w:r>
              <w:rPr>
                <w:rFonts w:ascii="宋体" w:hAnsi="宋体" w:eastAsia="宋体" w:cs="宋体"/>
                <w:spacing w:val="-2"/>
                <w:sz w:val="21"/>
                <w:szCs w:val="21"/>
              </w:rPr>
              <w:t>斑文鸟</w:t>
            </w:r>
          </w:p>
        </w:tc>
        <w:tc>
          <w:tcPr>
            <w:tcW w:w="1693" w:type="dxa"/>
            <w:vAlign w:val="top"/>
          </w:tcPr>
          <w:p w14:paraId="4487D23B">
            <w:pPr>
              <w:pStyle w:val="6"/>
              <w:spacing w:before="97" w:line="190" w:lineRule="auto"/>
              <w:ind w:left="435"/>
            </w:pPr>
            <w:r>
              <w:rPr>
                <w:i/>
                <w:iCs/>
              </w:rPr>
              <w:t>Lonchura</w:t>
            </w:r>
          </w:p>
          <w:p w14:paraId="4B5C35B1">
            <w:pPr>
              <w:pStyle w:val="6"/>
              <w:spacing w:before="50" w:line="190" w:lineRule="auto"/>
              <w:ind w:left="378"/>
            </w:pPr>
            <w:r>
              <w:rPr>
                <w:i/>
                <w:iCs/>
                <w:spacing w:val="2"/>
              </w:rPr>
              <w:t>punctulata</w:t>
            </w:r>
          </w:p>
        </w:tc>
        <w:tc>
          <w:tcPr>
            <w:tcW w:w="845" w:type="dxa"/>
            <w:tcBorders>
              <w:right w:val="single" w:color="000000" w:sz="12" w:space="0"/>
            </w:tcBorders>
            <w:vAlign w:val="top"/>
          </w:tcPr>
          <w:p w14:paraId="63260849">
            <w:pPr>
              <w:rPr>
                <w:rFonts w:ascii="Arial"/>
                <w:sz w:val="21"/>
              </w:rPr>
            </w:pPr>
          </w:p>
        </w:tc>
      </w:tr>
      <w:tr w14:paraId="23D56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1E5072C6">
            <w:pPr>
              <w:pStyle w:val="6"/>
              <w:spacing w:before="125" w:line="186" w:lineRule="auto"/>
              <w:ind w:left="238"/>
            </w:pPr>
            <w:r>
              <w:rPr>
                <w:b/>
                <w:bCs/>
                <w:spacing w:val="-2"/>
              </w:rPr>
              <w:t>F46</w:t>
            </w:r>
          </w:p>
        </w:tc>
        <w:tc>
          <w:tcPr>
            <w:tcW w:w="1270" w:type="dxa"/>
            <w:vAlign w:val="top"/>
          </w:tcPr>
          <w:p w14:paraId="5DE949D1">
            <w:pPr>
              <w:spacing w:before="86" w:line="219" w:lineRule="auto"/>
              <w:ind w:left="419"/>
              <w:rPr>
                <w:rFonts w:ascii="宋体" w:hAnsi="宋体" w:eastAsia="宋体" w:cs="宋体"/>
                <w:sz w:val="21"/>
                <w:szCs w:val="21"/>
              </w:rPr>
            </w:pPr>
            <w:r>
              <w:rPr>
                <w:rFonts w:ascii="宋体" w:hAnsi="宋体" w:eastAsia="宋体" w:cs="宋体"/>
                <w:b/>
                <w:bCs/>
                <w:spacing w:val="-5"/>
                <w:sz w:val="21"/>
                <w:szCs w:val="21"/>
              </w:rPr>
              <w:t>雀科</w:t>
            </w:r>
          </w:p>
        </w:tc>
        <w:tc>
          <w:tcPr>
            <w:tcW w:w="1554" w:type="dxa"/>
            <w:vAlign w:val="top"/>
          </w:tcPr>
          <w:p w14:paraId="4E2F2AF3">
            <w:pPr>
              <w:pStyle w:val="6"/>
              <w:spacing w:before="125" w:line="186" w:lineRule="auto"/>
              <w:ind w:left="292"/>
            </w:pPr>
            <w:r>
              <w:rPr>
                <w:b/>
                <w:bCs/>
                <w:spacing w:val="-1"/>
              </w:rPr>
              <w:t>Passeridae</w:t>
            </w:r>
          </w:p>
        </w:tc>
        <w:tc>
          <w:tcPr>
            <w:tcW w:w="989" w:type="dxa"/>
            <w:vAlign w:val="top"/>
          </w:tcPr>
          <w:p w14:paraId="3E8D1B93">
            <w:pPr>
              <w:pStyle w:val="6"/>
              <w:spacing w:before="125" w:line="186" w:lineRule="auto"/>
              <w:ind w:left="323"/>
            </w:pPr>
            <w:r>
              <w:rPr>
                <w:b/>
                <w:bCs/>
                <w:spacing w:val="-2"/>
              </w:rPr>
              <w:t>F42</w:t>
            </w:r>
          </w:p>
        </w:tc>
        <w:tc>
          <w:tcPr>
            <w:tcW w:w="1272" w:type="dxa"/>
            <w:vAlign w:val="top"/>
          </w:tcPr>
          <w:p w14:paraId="36582A36">
            <w:pPr>
              <w:spacing w:before="86" w:line="219" w:lineRule="auto"/>
              <w:ind w:left="432"/>
              <w:rPr>
                <w:rFonts w:ascii="宋体" w:hAnsi="宋体" w:eastAsia="宋体" w:cs="宋体"/>
                <w:sz w:val="21"/>
                <w:szCs w:val="21"/>
              </w:rPr>
            </w:pPr>
            <w:r>
              <w:rPr>
                <w:rFonts w:ascii="宋体" w:hAnsi="宋体" w:eastAsia="宋体" w:cs="宋体"/>
                <w:b/>
                <w:bCs/>
                <w:spacing w:val="-5"/>
                <w:sz w:val="21"/>
                <w:szCs w:val="21"/>
              </w:rPr>
              <w:t>雀科</w:t>
            </w:r>
          </w:p>
        </w:tc>
        <w:tc>
          <w:tcPr>
            <w:tcW w:w="1693" w:type="dxa"/>
            <w:vAlign w:val="top"/>
          </w:tcPr>
          <w:p w14:paraId="4D0FC66B">
            <w:pPr>
              <w:pStyle w:val="6"/>
              <w:spacing w:before="125" w:line="186" w:lineRule="auto"/>
              <w:ind w:left="377"/>
            </w:pPr>
            <w:r>
              <w:rPr>
                <w:b/>
                <w:bCs/>
                <w:spacing w:val="-1"/>
              </w:rPr>
              <w:t>Passeridae</w:t>
            </w:r>
          </w:p>
        </w:tc>
        <w:tc>
          <w:tcPr>
            <w:tcW w:w="845" w:type="dxa"/>
            <w:tcBorders>
              <w:right w:val="single" w:color="000000" w:sz="12" w:space="0"/>
            </w:tcBorders>
            <w:vAlign w:val="top"/>
          </w:tcPr>
          <w:p w14:paraId="14FF4C1C">
            <w:pPr>
              <w:rPr>
                <w:rFonts w:ascii="Arial"/>
                <w:sz w:val="21"/>
              </w:rPr>
            </w:pPr>
          </w:p>
        </w:tc>
      </w:tr>
      <w:tr w14:paraId="29D86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576A376">
            <w:pPr>
              <w:pStyle w:val="6"/>
              <w:spacing w:before="222" w:line="232" w:lineRule="auto"/>
              <w:ind w:left="270"/>
            </w:pPr>
            <w:r>
              <w:rPr>
                <w:spacing w:val="-6"/>
              </w:rPr>
              <w:t>150</w:t>
            </w:r>
          </w:p>
        </w:tc>
        <w:tc>
          <w:tcPr>
            <w:tcW w:w="1270" w:type="dxa"/>
            <w:vAlign w:val="top"/>
          </w:tcPr>
          <w:p w14:paraId="403DD173">
            <w:pPr>
              <w:spacing w:before="188" w:line="220" w:lineRule="auto"/>
              <w:ind w:left="331"/>
              <w:rPr>
                <w:rFonts w:ascii="宋体" w:hAnsi="宋体" w:eastAsia="宋体" w:cs="宋体"/>
                <w:sz w:val="21"/>
                <w:szCs w:val="21"/>
              </w:rPr>
            </w:pPr>
            <w:r>
              <w:rPr>
                <w:rFonts w:ascii="宋体" w:hAnsi="宋体" w:eastAsia="宋体" w:cs="宋体"/>
                <w:spacing w:val="-7"/>
                <w:sz w:val="21"/>
                <w:szCs w:val="21"/>
              </w:rPr>
              <w:t>山麻雀</w:t>
            </w:r>
          </w:p>
        </w:tc>
        <w:tc>
          <w:tcPr>
            <w:tcW w:w="1554" w:type="dxa"/>
            <w:vAlign w:val="top"/>
          </w:tcPr>
          <w:p w14:paraId="3A346B98">
            <w:pPr>
              <w:pStyle w:val="6"/>
              <w:spacing w:before="106" w:line="183" w:lineRule="auto"/>
              <w:ind w:left="474"/>
            </w:pPr>
            <w:r>
              <w:rPr>
                <w:i/>
                <w:iCs/>
                <w:spacing w:val="1"/>
              </w:rPr>
              <w:t>Passer</w:t>
            </w:r>
          </w:p>
          <w:p w14:paraId="52E37C79">
            <w:pPr>
              <w:pStyle w:val="6"/>
              <w:spacing w:before="50" w:line="214" w:lineRule="auto"/>
              <w:ind w:left="194"/>
            </w:pPr>
            <w:r>
              <w:rPr>
                <w:i/>
                <w:iCs/>
                <w:spacing w:val="-1"/>
              </w:rPr>
              <w:t>cinnamomeus</w:t>
            </w:r>
          </w:p>
        </w:tc>
        <w:tc>
          <w:tcPr>
            <w:tcW w:w="989" w:type="dxa"/>
            <w:vAlign w:val="top"/>
          </w:tcPr>
          <w:p w14:paraId="49D3BA8C">
            <w:pPr>
              <w:rPr>
                <w:rFonts w:ascii="Arial"/>
                <w:sz w:val="21"/>
              </w:rPr>
            </w:pPr>
          </w:p>
        </w:tc>
        <w:tc>
          <w:tcPr>
            <w:tcW w:w="1272" w:type="dxa"/>
            <w:vAlign w:val="top"/>
          </w:tcPr>
          <w:p w14:paraId="0DE36206">
            <w:pPr>
              <w:rPr>
                <w:rFonts w:ascii="Arial"/>
                <w:sz w:val="21"/>
              </w:rPr>
            </w:pPr>
          </w:p>
        </w:tc>
        <w:tc>
          <w:tcPr>
            <w:tcW w:w="1693" w:type="dxa"/>
            <w:vAlign w:val="top"/>
          </w:tcPr>
          <w:p w14:paraId="6CDC2DC4">
            <w:pPr>
              <w:rPr>
                <w:rFonts w:ascii="Arial"/>
                <w:sz w:val="21"/>
              </w:rPr>
            </w:pPr>
          </w:p>
        </w:tc>
        <w:tc>
          <w:tcPr>
            <w:tcW w:w="845" w:type="dxa"/>
            <w:tcBorders>
              <w:right w:val="single" w:color="000000" w:sz="12" w:space="0"/>
            </w:tcBorders>
            <w:vAlign w:val="top"/>
          </w:tcPr>
          <w:p w14:paraId="106CD674">
            <w:pPr>
              <w:rPr>
                <w:rFonts w:ascii="Arial"/>
                <w:sz w:val="21"/>
              </w:rPr>
            </w:pPr>
          </w:p>
        </w:tc>
      </w:tr>
      <w:tr w14:paraId="0B969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34B596B8">
            <w:pPr>
              <w:pStyle w:val="6"/>
              <w:spacing w:before="124" w:line="232" w:lineRule="auto"/>
              <w:ind w:left="270"/>
            </w:pPr>
            <w:r>
              <w:rPr>
                <w:spacing w:val="-6"/>
              </w:rPr>
              <w:t>151</w:t>
            </w:r>
          </w:p>
        </w:tc>
        <w:tc>
          <w:tcPr>
            <w:tcW w:w="1270" w:type="dxa"/>
            <w:vAlign w:val="top"/>
          </w:tcPr>
          <w:p w14:paraId="727BEBAD">
            <w:pPr>
              <w:spacing w:before="90" w:line="220" w:lineRule="auto"/>
              <w:ind w:left="418"/>
              <w:rPr>
                <w:rFonts w:ascii="宋体" w:hAnsi="宋体" w:eastAsia="宋体" w:cs="宋体"/>
                <w:sz w:val="21"/>
                <w:szCs w:val="21"/>
              </w:rPr>
            </w:pPr>
            <w:r>
              <w:rPr>
                <w:rFonts w:ascii="宋体" w:hAnsi="宋体" w:eastAsia="宋体" w:cs="宋体"/>
                <w:spacing w:val="-3"/>
                <w:sz w:val="21"/>
                <w:szCs w:val="21"/>
              </w:rPr>
              <w:t>麻雀</w:t>
            </w:r>
          </w:p>
        </w:tc>
        <w:tc>
          <w:tcPr>
            <w:tcW w:w="1554" w:type="dxa"/>
            <w:vAlign w:val="top"/>
          </w:tcPr>
          <w:p w14:paraId="78B14547">
            <w:pPr>
              <w:pStyle w:val="6"/>
              <w:spacing w:before="123" w:line="233" w:lineRule="auto"/>
              <w:ind w:left="40"/>
            </w:pPr>
            <w:r>
              <w:rPr>
                <w:i/>
                <w:iCs/>
              </w:rPr>
              <w:t>Passer</w:t>
            </w:r>
            <w:r>
              <w:rPr>
                <w:i/>
                <w:iCs/>
                <w:spacing w:val="6"/>
              </w:rPr>
              <w:t xml:space="preserve"> </w:t>
            </w:r>
            <w:r>
              <w:rPr>
                <w:i/>
                <w:iCs/>
              </w:rPr>
              <w:t>montanus</w:t>
            </w:r>
          </w:p>
        </w:tc>
        <w:tc>
          <w:tcPr>
            <w:tcW w:w="989" w:type="dxa"/>
            <w:vAlign w:val="top"/>
          </w:tcPr>
          <w:p w14:paraId="59C10291">
            <w:pPr>
              <w:pStyle w:val="6"/>
              <w:spacing w:before="124" w:line="232" w:lineRule="auto"/>
              <w:ind w:left="355"/>
            </w:pPr>
            <w:r>
              <w:rPr>
                <w:spacing w:val="-6"/>
              </w:rPr>
              <w:t>106</w:t>
            </w:r>
          </w:p>
        </w:tc>
        <w:tc>
          <w:tcPr>
            <w:tcW w:w="1272" w:type="dxa"/>
            <w:vAlign w:val="top"/>
          </w:tcPr>
          <w:p w14:paraId="2E04373F">
            <w:pPr>
              <w:spacing w:before="90" w:line="220" w:lineRule="auto"/>
              <w:ind w:left="432"/>
              <w:rPr>
                <w:rFonts w:ascii="宋体" w:hAnsi="宋体" w:eastAsia="宋体" w:cs="宋体"/>
                <w:sz w:val="21"/>
                <w:szCs w:val="21"/>
              </w:rPr>
            </w:pPr>
            <w:r>
              <w:rPr>
                <w:rFonts w:ascii="宋体" w:hAnsi="宋体" w:eastAsia="宋体" w:cs="宋体"/>
                <w:spacing w:val="-3"/>
                <w:sz w:val="21"/>
                <w:szCs w:val="21"/>
              </w:rPr>
              <w:t>麻雀</w:t>
            </w:r>
          </w:p>
        </w:tc>
        <w:tc>
          <w:tcPr>
            <w:tcW w:w="1693" w:type="dxa"/>
            <w:vAlign w:val="top"/>
          </w:tcPr>
          <w:p w14:paraId="33E417D7">
            <w:pPr>
              <w:pStyle w:val="6"/>
              <w:spacing w:before="123" w:line="233" w:lineRule="auto"/>
              <w:ind w:left="124"/>
            </w:pPr>
            <w:r>
              <w:rPr>
                <w:i/>
                <w:iCs/>
              </w:rPr>
              <w:t>Passer</w:t>
            </w:r>
            <w:r>
              <w:rPr>
                <w:i/>
                <w:iCs/>
                <w:spacing w:val="6"/>
              </w:rPr>
              <w:t xml:space="preserve"> </w:t>
            </w:r>
            <w:r>
              <w:rPr>
                <w:i/>
                <w:iCs/>
              </w:rPr>
              <w:t>montanus</w:t>
            </w:r>
          </w:p>
        </w:tc>
        <w:tc>
          <w:tcPr>
            <w:tcW w:w="845" w:type="dxa"/>
            <w:tcBorders>
              <w:right w:val="single" w:color="000000" w:sz="12" w:space="0"/>
            </w:tcBorders>
            <w:vAlign w:val="top"/>
          </w:tcPr>
          <w:p w14:paraId="309588DB">
            <w:pPr>
              <w:rPr>
                <w:rFonts w:ascii="Arial"/>
                <w:sz w:val="21"/>
              </w:rPr>
            </w:pPr>
          </w:p>
        </w:tc>
      </w:tr>
      <w:tr w14:paraId="0F5B3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58D3CC96">
            <w:pPr>
              <w:pStyle w:val="6"/>
              <w:spacing w:before="128" w:line="186" w:lineRule="auto"/>
              <w:ind w:left="238"/>
            </w:pPr>
            <w:r>
              <w:rPr>
                <w:b/>
                <w:bCs/>
                <w:spacing w:val="-2"/>
              </w:rPr>
              <w:t>F47</w:t>
            </w:r>
          </w:p>
        </w:tc>
        <w:tc>
          <w:tcPr>
            <w:tcW w:w="1270" w:type="dxa"/>
            <w:vAlign w:val="top"/>
          </w:tcPr>
          <w:p w14:paraId="20866977">
            <w:pPr>
              <w:spacing w:before="90" w:line="219" w:lineRule="auto"/>
              <w:ind w:left="310"/>
              <w:rPr>
                <w:rFonts w:ascii="宋体" w:hAnsi="宋体" w:eastAsia="宋体" w:cs="宋体"/>
                <w:sz w:val="21"/>
                <w:szCs w:val="21"/>
              </w:rPr>
            </w:pPr>
            <w:r>
              <w:rPr>
                <w:rFonts w:ascii="宋体" w:hAnsi="宋体" w:eastAsia="宋体" w:cs="宋体"/>
                <w:b/>
                <w:bCs/>
                <w:spacing w:val="-4"/>
                <w:sz w:val="21"/>
                <w:szCs w:val="21"/>
              </w:rPr>
              <w:t>鹡鸰科</w:t>
            </w:r>
          </w:p>
        </w:tc>
        <w:tc>
          <w:tcPr>
            <w:tcW w:w="1554" w:type="dxa"/>
            <w:vAlign w:val="top"/>
          </w:tcPr>
          <w:p w14:paraId="37065588">
            <w:pPr>
              <w:pStyle w:val="6"/>
              <w:spacing w:before="128" w:line="186" w:lineRule="auto"/>
              <w:ind w:left="210"/>
            </w:pPr>
            <w:r>
              <w:rPr>
                <w:b/>
                <w:bCs/>
                <w:spacing w:val="-1"/>
              </w:rPr>
              <w:t>Motacillidae</w:t>
            </w:r>
          </w:p>
        </w:tc>
        <w:tc>
          <w:tcPr>
            <w:tcW w:w="989" w:type="dxa"/>
            <w:vAlign w:val="top"/>
          </w:tcPr>
          <w:p w14:paraId="73FDC8EC">
            <w:pPr>
              <w:pStyle w:val="6"/>
              <w:spacing w:before="128" w:line="186" w:lineRule="auto"/>
              <w:ind w:left="323"/>
            </w:pPr>
            <w:r>
              <w:rPr>
                <w:b/>
                <w:bCs/>
                <w:spacing w:val="-2"/>
              </w:rPr>
              <w:t>F43</w:t>
            </w:r>
          </w:p>
        </w:tc>
        <w:tc>
          <w:tcPr>
            <w:tcW w:w="1272" w:type="dxa"/>
            <w:vAlign w:val="top"/>
          </w:tcPr>
          <w:p w14:paraId="7B355E06">
            <w:pPr>
              <w:spacing w:before="90" w:line="219" w:lineRule="auto"/>
              <w:ind w:left="323"/>
              <w:rPr>
                <w:rFonts w:ascii="宋体" w:hAnsi="宋体" w:eastAsia="宋体" w:cs="宋体"/>
                <w:sz w:val="21"/>
                <w:szCs w:val="21"/>
              </w:rPr>
            </w:pPr>
            <w:r>
              <w:rPr>
                <w:rFonts w:ascii="宋体" w:hAnsi="宋体" w:eastAsia="宋体" w:cs="宋体"/>
                <w:b/>
                <w:bCs/>
                <w:spacing w:val="-4"/>
                <w:sz w:val="21"/>
                <w:szCs w:val="21"/>
              </w:rPr>
              <w:t>鹡鸰科</w:t>
            </w:r>
          </w:p>
        </w:tc>
        <w:tc>
          <w:tcPr>
            <w:tcW w:w="1693" w:type="dxa"/>
            <w:vAlign w:val="top"/>
          </w:tcPr>
          <w:p w14:paraId="31F82220">
            <w:pPr>
              <w:pStyle w:val="6"/>
              <w:spacing w:before="128" w:line="186" w:lineRule="auto"/>
              <w:ind w:left="294"/>
            </w:pPr>
            <w:r>
              <w:rPr>
                <w:b/>
                <w:bCs/>
                <w:spacing w:val="-1"/>
              </w:rPr>
              <w:t>Motacillidae</w:t>
            </w:r>
          </w:p>
        </w:tc>
        <w:tc>
          <w:tcPr>
            <w:tcW w:w="845" w:type="dxa"/>
            <w:tcBorders>
              <w:right w:val="single" w:color="000000" w:sz="12" w:space="0"/>
            </w:tcBorders>
            <w:vAlign w:val="top"/>
          </w:tcPr>
          <w:p w14:paraId="06BF5F16">
            <w:pPr>
              <w:rPr>
                <w:rFonts w:ascii="Arial"/>
                <w:sz w:val="21"/>
              </w:rPr>
            </w:pPr>
          </w:p>
        </w:tc>
      </w:tr>
      <w:tr w14:paraId="27414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1732F989">
            <w:pPr>
              <w:pStyle w:val="6"/>
              <w:spacing w:before="225" w:line="232" w:lineRule="auto"/>
              <w:ind w:left="270"/>
            </w:pPr>
            <w:r>
              <w:rPr>
                <w:spacing w:val="-6"/>
              </w:rPr>
              <w:t>152</w:t>
            </w:r>
          </w:p>
        </w:tc>
        <w:tc>
          <w:tcPr>
            <w:tcW w:w="1270" w:type="dxa"/>
            <w:vAlign w:val="top"/>
          </w:tcPr>
          <w:p w14:paraId="441C89AA">
            <w:pPr>
              <w:spacing w:before="191" w:line="220" w:lineRule="auto"/>
              <w:ind w:left="331"/>
              <w:rPr>
                <w:rFonts w:ascii="宋体" w:hAnsi="宋体" w:eastAsia="宋体" w:cs="宋体"/>
                <w:sz w:val="21"/>
                <w:szCs w:val="21"/>
              </w:rPr>
            </w:pPr>
            <w:r>
              <w:rPr>
                <w:rFonts w:ascii="宋体" w:hAnsi="宋体" w:eastAsia="宋体" w:cs="宋体"/>
                <w:spacing w:val="-7"/>
                <w:sz w:val="21"/>
                <w:szCs w:val="21"/>
              </w:rPr>
              <w:t>山鹡鸰</w:t>
            </w:r>
          </w:p>
        </w:tc>
        <w:tc>
          <w:tcPr>
            <w:tcW w:w="1554" w:type="dxa"/>
            <w:vAlign w:val="top"/>
          </w:tcPr>
          <w:p w14:paraId="0C28BBB6">
            <w:pPr>
              <w:pStyle w:val="6"/>
              <w:spacing w:before="104" w:line="225" w:lineRule="auto"/>
              <w:ind w:left="471" w:right="127" w:hanging="362"/>
            </w:pPr>
            <w:r>
              <w:rPr>
                <w:i/>
                <w:iCs/>
                <w:spacing w:val="-1"/>
              </w:rPr>
              <w:t>Dendronanthus</w:t>
            </w:r>
            <w:r>
              <w:rPr>
                <w:i/>
                <w:iCs/>
                <w:spacing w:val="11"/>
              </w:rPr>
              <w:t xml:space="preserve"> </w:t>
            </w:r>
            <w:r>
              <w:rPr>
                <w:i/>
                <w:iCs/>
                <w:spacing w:val="-2"/>
              </w:rPr>
              <w:t>indicus</w:t>
            </w:r>
          </w:p>
        </w:tc>
        <w:tc>
          <w:tcPr>
            <w:tcW w:w="989" w:type="dxa"/>
            <w:vAlign w:val="top"/>
          </w:tcPr>
          <w:p w14:paraId="215F6BE9">
            <w:pPr>
              <w:rPr>
                <w:rFonts w:ascii="Arial"/>
                <w:sz w:val="21"/>
              </w:rPr>
            </w:pPr>
          </w:p>
        </w:tc>
        <w:tc>
          <w:tcPr>
            <w:tcW w:w="1272" w:type="dxa"/>
            <w:vAlign w:val="top"/>
          </w:tcPr>
          <w:p w14:paraId="3412423C">
            <w:pPr>
              <w:rPr>
                <w:rFonts w:ascii="Arial"/>
                <w:sz w:val="21"/>
              </w:rPr>
            </w:pPr>
          </w:p>
        </w:tc>
        <w:tc>
          <w:tcPr>
            <w:tcW w:w="1693" w:type="dxa"/>
            <w:vAlign w:val="top"/>
          </w:tcPr>
          <w:p w14:paraId="135A308F">
            <w:pPr>
              <w:rPr>
                <w:rFonts w:ascii="Arial"/>
                <w:sz w:val="21"/>
              </w:rPr>
            </w:pPr>
          </w:p>
        </w:tc>
        <w:tc>
          <w:tcPr>
            <w:tcW w:w="845" w:type="dxa"/>
            <w:tcBorders>
              <w:right w:val="single" w:color="000000" w:sz="12" w:space="0"/>
            </w:tcBorders>
            <w:vAlign w:val="top"/>
          </w:tcPr>
          <w:p w14:paraId="2093D2A2">
            <w:pPr>
              <w:rPr>
                <w:rFonts w:ascii="Arial"/>
                <w:sz w:val="21"/>
              </w:rPr>
            </w:pPr>
          </w:p>
        </w:tc>
      </w:tr>
      <w:tr w14:paraId="6FB8D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0075A930">
            <w:pPr>
              <w:pStyle w:val="6"/>
              <w:spacing w:before="225" w:line="232" w:lineRule="auto"/>
              <w:ind w:left="270"/>
            </w:pPr>
            <w:r>
              <w:rPr>
                <w:spacing w:val="-6"/>
              </w:rPr>
              <w:t>153</w:t>
            </w:r>
          </w:p>
        </w:tc>
        <w:tc>
          <w:tcPr>
            <w:tcW w:w="1270" w:type="dxa"/>
            <w:vAlign w:val="top"/>
          </w:tcPr>
          <w:p w14:paraId="58C1E21B">
            <w:pPr>
              <w:spacing w:before="190" w:line="220" w:lineRule="auto"/>
              <w:ind w:left="206"/>
              <w:rPr>
                <w:rFonts w:ascii="宋体" w:hAnsi="宋体" w:eastAsia="宋体" w:cs="宋体"/>
                <w:sz w:val="21"/>
                <w:szCs w:val="21"/>
              </w:rPr>
            </w:pPr>
            <w:r>
              <w:rPr>
                <w:rFonts w:ascii="宋体" w:hAnsi="宋体" w:eastAsia="宋体" w:cs="宋体"/>
                <w:spacing w:val="-2"/>
                <w:sz w:val="21"/>
                <w:szCs w:val="21"/>
              </w:rPr>
              <w:t>黄头鹡鸰</w:t>
            </w:r>
          </w:p>
        </w:tc>
        <w:tc>
          <w:tcPr>
            <w:tcW w:w="1554" w:type="dxa"/>
            <w:vAlign w:val="top"/>
          </w:tcPr>
          <w:p w14:paraId="6F9BF752">
            <w:pPr>
              <w:pStyle w:val="6"/>
              <w:spacing w:before="104" w:line="190" w:lineRule="auto"/>
              <w:ind w:left="350"/>
            </w:pPr>
            <w:r>
              <w:rPr>
                <w:i/>
                <w:iCs/>
              </w:rPr>
              <w:t>Motacilla</w:t>
            </w:r>
          </w:p>
          <w:p w14:paraId="79DAAD7C">
            <w:pPr>
              <w:pStyle w:val="6"/>
              <w:spacing w:before="49" w:line="210" w:lineRule="auto"/>
              <w:ind w:left="445"/>
            </w:pPr>
            <w:r>
              <w:rPr>
                <w:i/>
                <w:iCs/>
                <w:spacing w:val="-1"/>
              </w:rPr>
              <w:t>citreola</w:t>
            </w:r>
          </w:p>
        </w:tc>
        <w:tc>
          <w:tcPr>
            <w:tcW w:w="989" w:type="dxa"/>
            <w:vAlign w:val="top"/>
          </w:tcPr>
          <w:p w14:paraId="0D7B65E5">
            <w:pPr>
              <w:rPr>
                <w:rFonts w:ascii="Arial"/>
                <w:sz w:val="21"/>
              </w:rPr>
            </w:pPr>
          </w:p>
        </w:tc>
        <w:tc>
          <w:tcPr>
            <w:tcW w:w="1272" w:type="dxa"/>
            <w:vAlign w:val="top"/>
          </w:tcPr>
          <w:p w14:paraId="12B8A17D">
            <w:pPr>
              <w:rPr>
                <w:rFonts w:ascii="Arial"/>
                <w:sz w:val="21"/>
              </w:rPr>
            </w:pPr>
          </w:p>
        </w:tc>
        <w:tc>
          <w:tcPr>
            <w:tcW w:w="1693" w:type="dxa"/>
            <w:vAlign w:val="top"/>
          </w:tcPr>
          <w:p w14:paraId="12312C95">
            <w:pPr>
              <w:rPr>
                <w:rFonts w:ascii="Arial"/>
                <w:sz w:val="21"/>
              </w:rPr>
            </w:pPr>
          </w:p>
        </w:tc>
        <w:tc>
          <w:tcPr>
            <w:tcW w:w="845" w:type="dxa"/>
            <w:tcBorders>
              <w:right w:val="single" w:color="000000" w:sz="12" w:space="0"/>
            </w:tcBorders>
            <w:vAlign w:val="top"/>
          </w:tcPr>
          <w:p w14:paraId="4E4263D8">
            <w:pPr>
              <w:rPr>
                <w:rFonts w:ascii="Arial"/>
                <w:sz w:val="21"/>
              </w:rPr>
            </w:pPr>
          </w:p>
        </w:tc>
      </w:tr>
      <w:tr w14:paraId="34585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A6C1BE2">
            <w:pPr>
              <w:pStyle w:val="6"/>
              <w:spacing w:before="226" w:line="232" w:lineRule="auto"/>
              <w:ind w:left="270"/>
            </w:pPr>
            <w:r>
              <w:rPr>
                <w:spacing w:val="-6"/>
              </w:rPr>
              <w:t>154</w:t>
            </w:r>
          </w:p>
        </w:tc>
        <w:tc>
          <w:tcPr>
            <w:tcW w:w="1270" w:type="dxa"/>
            <w:vAlign w:val="top"/>
          </w:tcPr>
          <w:p w14:paraId="757577D3">
            <w:pPr>
              <w:spacing w:before="192" w:line="220" w:lineRule="auto"/>
              <w:ind w:left="314"/>
              <w:rPr>
                <w:rFonts w:ascii="宋体" w:hAnsi="宋体" w:eastAsia="宋体" w:cs="宋体"/>
                <w:sz w:val="21"/>
                <w:szCs w:val="21"/>
              </w:rPr>
            </w:pPr>
            <w:r>
              <w:rPr>
                <w:rFonts w:ascii="宋体" w:hAnsi="宋体" w:eastAsia="宋体" w:cs="宋体"/>
                <w:spacing w:val="-3"/>
                <w:sz w:val="21"/>
                <w:szCs w:val="21"/>
              </w:rPr>
              <w:t>灰鹡鸰</w:t>
            </w:r>
          </w:p>
        </w:tc>
        <w:tc>
          <w:tcPr>
            <w:tcW w:w="1554" w:type="dxa"/>
            <w:vAlign w:val="top"/>
          </w:tcPr>
          <w:p w14:paraId="60F17C2B">
            <w:pPr>
              <w:pStyle w:val="6"/>
              <w:spacing w:before="104" w:line="190" w:lineRule="auto"/>
              <w:ind w:left="350"/>
            </w:pPr>
            <w:r>
              <w:rPr>
                <w:i/>
                <w:iCs/>
              </w:rPr>
              <w:t>Motacilla</w:t>
            </w:r>
          </w:p>
          <w:p w14:paraId="0803C3DA">
            <w:pPr>
              <w:pStyle w:val="6"/>
              <w:spacing w:before="51" w:line="207" w:lineRule="auto"/>
              <w:ind w:left="456"/>
            </w:pPr>
            <w:r>
              <w:rPr>
                <w:i/>
                <w:iCs/>
                <w:spacing w:val="-1"/>
              </w:rPr>
              <w:t>cinerea</w:t>
            </w:r>
          </w:p>
        </w:tc>
        <w:tc>
          <w:tcPr>
            <w:tcW w:w="989" w:type="dxa"/>
            <w:vAlign w:val="top"/>
          </w:tcPr>
          <w:p w14:paraId="3F13AA6E">
            <w:pPr>
              <w:pStyle w:val="6"/>
              <w:spacing w:before="226" w:line="232" w:lineRule="auto"/>
              <w:ind w:left="355"/>
            </w:pPr>
            <w:r>
              <w:rPr>
                <w:spacing w:val="-6"/>
              </w:rPr>
              <w:t>107</w:t>
            </w:r>
          </w:p>
        </w:tc>
        <w:tc>
          <w:tcPr>
            <w:tcW w:w="1272" w:type="dxa"/>
            <w:vAlign w:val="top"/>
          </w:tcPr>
          <w:p w14:paraId="315457EF">
            <w:pPr>
              <w:spacing w:before="192" w:line="220" w:lineRule="auto"/>
              <w:ind w:left="327"/>
              <w:rPr>
                <w:rFonts w:ascii="宋体" w:hAnsi="宋体" w:eastAsia="宋体" w:cs="宋体"/>
                <w:sz w:val="21"/>
                <w:szCs w:val="21"/>
              </w:rPr>
            </w:pPr>
            <w:r>
              <w:rPr>
                <w:rFonts w:ascii="宋体" w:hAnsi="宋体" w:eastAsia="宋体" w:cs="宋体"/>
                <w:spacing w:val="-3"/>
                <w:sz w:val="21"/>
                <w:szCs w:val="21"/>
              </w:rPr>
              <w:t>灰鹡鸰</w:t>
            </w:r>
          </w:p>
        </w:tc>
        <w:tc>
          <w:tcPr>
            <w:tcW w:w="1693" w:type="dxa"/>
            <w:vAlign w:val="top"/>
          </w:tcPr>
          <w:p w14:paraId="0012EA35">
            <w:pPr>
              <w:pStyle w:val="6"/>
              <w:spacing w:before="225" w:line="233" w:lineRule="auto"/>
              <w:ind w:left="93"/>
            </w:pPr>
            <w:r>
              <w:rPr>
                <w:i/>
                <w:iCs/>
              </w:rPr>
              <w:t>Motacilla</w:t>
            </w:r>
            <w:r>
              <w:rPr>
                <w:i/>
                <w:iCs/>
                <w:spacing w:val="6"/>
              </w:rPr>
              <w:t xml:space="preserve"> </w:t>
            </w:r>
            <w:r>
              <w:rPr>
                <w:i/>
                <w:iCs/>
              </w:rPr>
              <w:t>cinerea</w:t>
            </w:r>
          </w:p>
        </w:tc>
        <w:tc>
          <w:tcPr>
            <w:tcW w:w="845" w:type="dxa"/>
            <w:tcBorders>
              <w:right w:val="single" w:color="000000" w:sz="12" w:space="0"/>
            </w:tcBorders>
            <w:vAlign w:val="top"/>
          </w:tcPr>
          <w:p w14:paraId="3E47652E">
            <w:pPr>
              <w:rPr>
                <w:rFonts w:ascii="Arial"/>
                <w:sz w:val="21"/>
              </w:rPr>
            </w:pPr>
          </w:p>
        </w:tc>
      </w:tr>
      <w:tr w14:paraId="2A5BD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646CA154">
            <w:pPr>
              <w:pStyle w:val="6"/>
              <w:spacing w:before="129" w:line="229" w:lineRule="auto"/>
              <w:ind w:left="270"/>
            </w:pPr>
            <w:r>
              <w:rPr>
                <w:spacing w:val="-6"/>
              </w:rPr>
              <w:t>155</w:t>
            </w:r>
          </w:p>
        </w:tc>
        <w:tc>
          <w:tcPr>
            <w:tcW w:w="1270" w:type="dxa"/>
            <w:vAlign w:val="top"/>
          </w:tcPr>
          <w:p w14:paraId="24A42DCD">
            <w:pPr>
              <w:spacing w:before="95" w:line="220" w:lineRule="auto"/>
              <w:ind w:left="343"/>
              <w:rPr>
                <w:rFonts w:ascii="宋体" w:hAnsi="宋体" w:eastAsia="宋体" w:cs="宋体"/>
                <w:sz w:val="21"/>
                <w:szCs w:val="21"/>
              </w:rPr>
            </w:pPr>
            <w:r>
              <w:rPr>
                <w:rFonts w:ascii="宋体" w:hAnsi="宋体" w:eastAsia="宋体" w:cs="宋体"/>
                <w:spacing w:val="-9"/>
                <w:sz w:val="21"/>
                <w:szCs w:val="21"/>
              </w:rPr>
              <w:t>白鹡鸰</w:t>
            </w:r>
          </w:p>
        </w:tc>
        <w:tc>
          <w:tcPr>
            <w:tcW w:w="1554" w:type="dxa"/>
            <w:vAlign w:val="top"/>
          </w:tcPr>
          <w:p w14:paraId="48D361C5">
            <w:pPr>
              <w:pStyle w:val="6"/>
              <w:spacing w:before="128" w:line="230" w:lineRule="auto"/>
              <w:ind w:left="138"/>
            </w:pPr>
            <w:r>
              <w:rPr>
                <w:i/>
                <w:iCs/>
              </w:rPr>
              <w:t>Motacilla</w:t>
            </w:r>
            <w:r>
              <w:rPr>
                <w:i/>
                <w:iCs/>
                <w:spacing w:val="8"/>
              </w:rPr>
              <w:t xml:space="preserve"> </w:t>
            </w:r>
            <w:r>
              <w:rPr>
                <w:i/>
                <w:iCs/>
              </w:rPr>
              <w:t>alba</w:t>
            </w:r>
          </w:p>
        </w:tc>
        <w:tc>
          <w:tcPr>
            <w:tcW w:w="989" w:type="dxa"/>
            <w:vAlign w:val="top"/>
          </w:tcPr>
          <w:p w14:paraId="2BA48FBC">
            <w:pPr>
              <w:pStyle w:val="6"/>
              <w:spacing w:before="129" w:line="229" w:lineRule="auto"/>
              <w:ind w:left="355"/>
            </w:pPr>
            <w:r>
              <w:rPr>
                <w:spacing w:val="-6"/>
              </w:rPr>
              <w:t>108</w:t>
            </w:r>
          </w:p>
        </w:tc>
        <w:tc>
          <w:tcPr>
            <w:tcW w:w="1272" w:type="dxa"/>
            <w:vAlign w:val="top"/>
          </w:tcPr>
          <w:p w14:paraId="3A564947">
            <w:pPr>
              <w:spacing w:before="95" w:line="220" w:lineRule="auto"/>
              <w:ind w:left="356"/>
              <w:rPr>
                <w:rFonts w:ascii="宋体" w:hAnsi="宋体" w:eastAsia="宋体" w:cs="宋体"/>
                <w:sz w:val="21"/>
                <w:szCs w:val="21"/>
              </w:rPr>
            </w:pPr>
            <w:r>
              <w:rPr>
                <w:rFonts w:ascii="宋体" w:hAnsi="宋体" w:eastAsia="宋体" w:cs="宋体"/>
                <w:spacing w:val="-9"/>
                <w:sz w:val="21"/>
                <w:szCs w:val="21"/>
              </w:rPr>
              <w:t>白鹡鸰</w:t>
            </w:r>
          </w:p>
        </w:tc>
        <w:tc>
          <w:tcPr>
            <w:tcW w:w="1693" w:type="dxa"/>
            <w:vAlign w:val="top"/>
          </w:tcPr>
          <w:p w14:paraId="5F4729A2">
            <w:pPr>
              <w:pStyle w:val="6"/>
              <w:spacing w:before="128" w:line="230" w:lineRule="auto"/>
              <w:ind w:left="222"/>
            </w:pPr>
            <w:r>
              <w:rPr>
                <w:i/>
                <w:iCs/>
              </w:rPr>
              <w:t>Motacilla</w:t>
            </w:r>
            <w:r>
              <w:rPr>
                <w:i/>
                <w:iCs/>
                <w:spacing w:val="8"/>
              </w:rPr>
              <w:t xml:space="preserve"> </w:t>
            </w:r>
            <w:r>
              <w:rPr>
                <w:i/>
                <w:iCs/>
              </w:rPr>
              <w:t>alba</w:t>
            </w:r>
          </w:p>
        </w:tc>
        <w:tc>
          <w:tcPr>
            <w:tcW w:w="845" w:type="dxa"/>
            <w:tcBorders>
              <w:right w:val="single" w:color="000000" w:sz="12" w:space="0"/>
            </w:tcBorders>
            <w:vAlign w:val="top"/>
          </w:tcPr>
          <w:p w14:paraId="2EFAB39F">
            <w:pPr>
              <w:rPr>
                <w:rFonts w:ascii="Arial"/>
                <w:sz w:val="21"/>
              </w:rPr>
            </w:pPr>
          </w:p>
        </w:tc>
      </w:tr>
      <w:tr w14:paraId="0453A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68103079">
            <w:pPr>
              <w:pStyle w:val="6"/>
              <w:spacing w:before="129" w:line="227" w:lineRule="auto"/>
              <w:ind w:left="270"/>
            </w:pPr>
            <w:r>
              <w:rPr>
                <w:spacing w:val="-6"/>
              </w:rPr>
              <w:t>156</w:t>
            </w:r>
          </w:p>
        </w:tc>
        <w:tc>
          <w:tcPr>
            <w:tcW w:w="1270" w:type="dxa"/>
            <w:vAlign w:val="top"/>
          </w:tcPr>
          <w:p w14:paraId="7D36C0C7">
            <w:pPr>
              <w:spacing w:before="95" w:line="221" w:lineRule="auto"/>
              <w:ind w:left="442"/>
              <w:rPr>
                <w:rFonts w:ascii="宋体" w:hAnsi="宋体" w:eastAsia="宋体" w:cs="宋体"/>
                <w:sz w:val="21"/>
                <w:szCs w:val="21"/>
              </w:rPr>
            </w:pPr>
            <w:r>
              <w:rPr>
                <w:rFonts w:ascii="宋体" w:hAnsi="宋体" w:eastAsia="宋体" w:cs="宋体"/>
                <w:spacing w:val="-9"/>
                <w:sz w:val="21"/>
                <w:szCs w:val="21"/>
              </w:rPr>
              <w:t>田鹨</w:t>
            </w:r>
          </w:p>
        </w:tc>
        <w:tc>
          <w:tcPr>
            <w:tcW w:w="1554" w:type="dxa"/>
            <w:vAlign w:val="top"/>
          </w:tcPr>
          <w:p w14:paraId="12C104A1">
            <w:pPr>
              <w:pStyle w:val="6"/>
              <w:spacing w:before="129" w:line="227" w:lineRule="auto"/>
              <w:ind w:left="93"/>
            </w:pPr>
            <w:r>
              <w:rPr>
                <w:i/>
                <w:iCs/>
                <w:spacing w:val="1"/>
              </w:rPr>
              <w:t>Anthus richardi</w:t>
            </w:r>
          </w:p>
        </w:tc>
        <w:tc>
          <w:tcPr>
            <w:tcW w:w="989" w:type="dxa"/>
            <w:vAlign w:val="top"/>
          </w:tcPr>
          <w:p w14:paraId="797786DE">
            <w:pPr>
              <w:rPr>
                <w:rFonts w:ascii="Arial"/>
                <w:sz w:val="21"/>
              </w:rPr>
            </w:pPr>
          </w:p>
        </w:tc>
        <w:tc>
          <w:tcPr>
            <w:tcW w:w="1272" w:type="dxa"/>
            <w:vAlign w:val="top"/>
          </w:tcPr>
          <w:p w14:paraId="07685293">
            <w:pPr>
              <w:rPr>
                <w:rFonts w:ascii="Arial"/>
                <w:sz w:val="21"/>
              </w:rPr>
            </w:pPr>
          </w:p>
        </w:tc>
        <w:tc>
          <w:tcPr>
            <w:tcW w:w="1693" w:type="dxa"/>
            <w:vAlign w:val="top"/>
          </w:tcPr>
          <w:p w14:paraId="7344C39F">
            <w:pPr>
              <w:rPr>
                <w:rFonts w:ascii="Arial"/>
                <w:sz w:val="21"/>
              </w:rPr>
            </w:pPr>
          </w:p>
        </w:tc>
        <w:tc>
          <w:tcPr>
            <w:tcW w:w="845" w:type="dxa"/>
            <w:tcBorders>
              <w:right w:val="single" w:color="000000" w:sz="12" w:space="0"/>
            </w:tcBorders>
            <w:vAlign w:val="top"/>
          </w:tcPr>
          <w:p w14:paraId="0CB43FEB">
            <w:pPr>
              <w:rPr>
                <w:rFonts w:ascii="Arial"/>
                <w:sz w:val="21"/>
              </w:rPr>
            </w:pPr>
          </w:p>
        </w:tc>
      </w:tr>
      <w:tr w14:paraId="6241C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50" w:type="dxa"/>
            <w:tcBorders>
              <w:left w:val="single" w:color="000000" w:sz="12" w:space="0"/>
            </w:tcBorders>
            <w:vAlign w:val="top"/>
          </w:tcPr>
          <w:p w14:paraId="288F3954">
            <w:pPr>
              <w:pStyle w:val="6"/>
              <w:spacing w:before="130" w:line="228" w:lineRule="auto"/>
              <w:ind w:left="270"/>
            </w:pPr>
            <w:r>
              <w:rPr>
                <w:spacing w:val="-6"/>
              </w:rPr>
              <w:t>157</w:t>
            </w:r>
          </w:p>
        </w:tc>
        <w:tc>
          <w:tcPr>
            <w:tcW w:w="1270" w:type="dxa"/>
            <w:vAlign w:val="top"/>
          </w:tcPr>
          <w:p w14:paraId="3C2E9B44">
            <w:pPr>
              <w:spacing w:before="97" w:line="220" w:lineRule="auto"/>
              <w:ind w:left="417"/>
              <w:rPr>
                <w:rFonts w:ascii="宋体" w:hAnsi="宋体" w:eastAsia="宋体" w:cs="宋体"/>
                <w:sz w:val="21"/>
                <w:szCs w:val="21"/>
              </w:rPr>
            </w:pPr>
            <w:r>
              <w:rPr>
                <w:rFonts w:ascii="宋体" w:hAnsi="宋体" w:eastAsia="宋体" w:cs="宋体"/>
                <w:spacing w:val="-3"/>
                <w:sz w:val="21"/>
                <w:szCs w:val="21"/>
              </w:rPr>
              <w:t>树鹨</w:t>
            </w:r>
          </w:p>
        </w:tc>
        <w:tc>
          <w:tcPr>
            <w:tcW w:w="1554" w:type="dxa"/>
            <w:vAlign w:val="top"/>
          </w:tcPr>
          <w:p w14:paraId="5C78FBB3">
            <w:pPr>
              <w:pStyle w:val="6"/>
              <w:spacing w:before="130" w:line="190" w:lineRule="auto"/>
              <w:ind w:left="53"/>
            </w:pPr>
            <w:r>
              <w:rPr>
                <w:i/>
                <w:iCs/>
              </w:rPr>
              <w:t>Anthus</w:t>
            </w:r>
            <w:r>
              <w:rPr>
                <w:i/>
                <w:iCs/>
                <w:spacing w:val="10"/>
              </w:rPr>
              <w:t xml:space="preserve"> </w:t>
            </w:r>
            <w:r>
              <w:rPr>
                <w:i/>
                <w:iCs/>
              </w:rPr>
              <w:t>hodgsoni</w:t>
            </w:r>
          </w:p>
        </w:tc>
        <w:tc>
          <w:tcPr>
            <w:tcW w:w="989" w:type="dxa"/>
            <w:vAlign w:val="top"/>
          </w:tcPr>
          <w:p w14:paraId="004DF6CB">
            <w:pPr>
              <w:pStyle w:val="6"/>
              <w:spacing w:before="130" w:line="228" w:lineRule="auto"/>
              <w:ind w:left="355"/>
            </w:pPr>
            <w:r>
              <w:rPr>
                <w:spacing w:val="-6"/>
              </w:rPr>
              <w:t>109</w:t>
            </w:r>
          </w:p>
        </w:tc>
        <w:tc>
          <w:tcPr>
            <w:tcW w:w="1272" w:type="dxa"/>
            <w:vAlign w:val="top"/>
          </w:tcPr>
          <w:p w14:paraId="2DB32457">
            <w:pPr>
              <w:spacing w:before="97" w:line="220" w:lineRule="auto"/>
              <w:ind w:left="431"/>
              <w:rPr>
                <w:rFonts w:ascii="宋体" w:hAnsi="宋体" w:eastAsia="宋体" w:cs="宋体"/>
                <w:sz w:val="21"/>
                <w:szCs w:val="21"/>
              </w:rPr>
            </w:pPr>
            <w:r>
              <w:rPr>
                <w:rFonts w:ascii="宋体" w:hAnsi="宋体" w:eastAsia="宋体" w:cs="宋体"/>
                <w:spacing w:val="-3"/>
                <w:sz w:val="21"/>
                <w:szCs w:val="21"/>
              </w:rPr>
              <w:t>树鹨</w:t>
            </w:r>
          </w:p>
        </w:tc>
        <w:tc>
          <w:tcPr>
            <w:tcW w:w="1693" w:type="dxa"/>
            <w:vAlign w:val="top"/>
          </w:tcPr>
          <w:p w14:paraId="12AFC409">
            <w:pPr>
              <w:pStyle w:val="6"/>
              <w:spacing w:before="130" w:line="190" w:lineRule="auto"/>
              <w:ind w:left="137"/>
            </w:pPr>
            <w:r>
              <w:rPr>
                <w:i/>
                <w:iCs/>
              </w:rPr>
              <w:t>Anthus</w:t>
            </w:r>
            <w:r>
              <w:rPr>
                <w:i/>
                <w:iCs/>
                <w:spacing w:val="10"/>
              </w:rPr>
              <w:t xml:space="preserve"> </w:t>
            </w:r>
            <w:r>
              <w:rPr>
                <w:i/>
                <w:iCs/>
              </w:rPr>
              <w:t>hodgsoni</w:t>
            </w:r>
          </w:p>
        </w:tc>
        <w:tc>
          <w:tcPr>
            <w:tcW w:w="845" w:type="dxa"/>
            <w:tcBorders>
              <w:right w:val="single" w:color="000000" w:sz="12" w:space="0"/>
            </w:tcBorders>
            <w:vAlign w:val="top"/>
          </w:tcPr>
          <w:p w14:paraId="7295438B">
            <w:pPr>
              <w:rPr>
                <w:rFonts w:ascii="Arial"/>
                <w:sz w:val="21"/>
              </w:rPr>
            </w:pPr>
          </w:p>
        </w:tc>
      </w:tr>
      <w:tr w14:paraId="4D986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6EEA0FA2">
            <w:pPr>
              <w:pStyle w:val="6"/>
              <w:spacing w:before="131" w:line="226" w:lineRule="auto"/>
              <w:ind w:left="270"/>
            </w:pPr>
            <w:r>
              <w:rPr>
                <w:spacing w:val="-6"/>
              </w:rPr>
              <w:t>158</w:t>
            </w:r>
          </w:p>
        </w:tc>
        <w:tc>
          <w:tcPr>
            <w:tcW w:w="1270" w:type="dxa"/>
            <w:vAlign w:val="top"/>
          </w:tcPr>
          <w:p w14:paraId="39503268">
            <w:pPr>
              <w:spacing w:before="97" w:line="220" w:lineRule="auto"/>
              <w:ind w:left="206"/>
              <w:rPr>
                <w:rFonts w:ascii="宋体" w:hAnsi="宋体" w:eastAsia="宋体" w:cs="宋体"/>
                <w:sz w:val="21"/>
                <w:szCs w:val="21"/>
              </w:rPr>
            </w:pPr>
            <w:r>
              <w:rPr>
                <w:rFonts w:ascii="宋体" w:hAnsi="宋体" w:eastAsia="宋体" w:cs="宋体"/>
                <w:spacing w:val="-2"/>
                <w:sz w:val="21"/>
                <w:szCs w:val="21"/>
              </w:rPr>
              <w:t>粉红胸鹨</w:t>
            </w:r>
          </w:p>
        </w:tc>
        <w:tc>
          <w:tcPr>
            <w:tcW w:w="1554" w:type="dxa"/>
            <w:vAlign w:val="top"/>
          </w:tcPr>
          <w:p w14:paraId="0C92F9D8">
            <w:pPr>
              <w:pStyle w:val="6"/>
              <w:spacing w:before="130" w:line="227" w:lineRule="auto"/>
              <w:ind w:left="81"/>
            </w:pPr>
            <w:r>
              <w:rPr>
                <w:i/>
                <w:iCs/>
              </w:rPr>
              <w:t>Anthus</w:t>
            </w:r>
            <w:r>
              <w:rPr>
                <w:i/>
                <w:iCs/>
                <w:spacing w:val="11"/>
              </w:rPr>
              <w:t xml:space="preserve"> </w:t>
            </w:r>
            <w:r>
              <w:rPr>
                <w:i/>
                <w:iCs/>
              </w:rPr>
              <w:t>roseatus</w:t>
            </w:r>
          </w:p>
        </w:tc>
        <w:tc>
          <w:tcPr>
            <w:tcW w:w="989" w:type="dxa"/>
            <w:vAlign w:val="top"/>
          </w:tcPr>
          <w:p w14:paraId="13BE9BE0">
            <w:pPr>
              <w:pStyle w:val="6"/>
              <w:spacing w:before="131" w:line="226" w:lineRule="auto"/>
              <w:ind w:left="355"/>
            </w:pPr>
            <w:r>
              <w:rPr>
                <w:spacing w:val="-6"/>
              </w:rPr>
              <w:t>110</w:t>
            </w:r>
          </w:p>
        </w:tc>
        <w:tc>
          <w:tcPr>
            <w:tcW w:w="1272" w:type="dxa"/>
            <w:vAlign w:val="top"/>
          </w:tcPr>
          <w:p w14:paraId="2571FE60">
            <w:pPr>
              <w:spacing w:before="97" w:line="220" w:lineRule="auto"/>
              <w:ind w:left="220"/>
              <w:rPr>
                <w:rFonts w:ascii="宋体" w:hAnsi="宋体" w:eastAsia="宋体" w:cs="宋体"/>
                <w:sz w:val="21"/>
                <w:szCs w:val="21"/>
              </w:rPr>
            </w:pPr>
            <w:r>
              <w:rPr>
                <w:rFonts w:ascii="宋体" w:hAnsi="宋体" w:eastAsia="宋体" w:cs="宋体"/>
                <w:spacing w:val="-2"/>
                <w:sz w:val="21"/>
                <w:szCs w:val="21"/>
              </w:rPr>
              <w:t>粉红胸鹨</w:t>
            </w:r>
          </w:p>
        </w:tc>
        <w:tc>
          <w:tcPr>
            <w:tcW w:w="1693" w:type="dxa"/>
            <w:vAlign w:val="top"/>
          </w:tcPr>
          <w:p w14:paraId="15683E46">
            <w:pPr>
              <w:pStyle w:val="6"/>
              <w:spacing w:before="130" w:line="227" w:lineRule="auto"/>
              <w:ind w:left="166"/>
            </w:pPr>
            <w:r>
              <w:rPr>
                <w:i/>
                <w:iCs/>
              </w:rPr>
              <w:t>Anthus</w:t>
            </w:r>
            <w:r>
              <w:rPr>
                <w:i/>
                <w:iCs/>
                <w:spacing w:val="11"/>
              </w:rPr>
              <w:t xml:space="preserve"> </w:t>
            </w:r>
            <w:r>
              <w:rPr>
                <w:i/>
                <w:iCs/>
              </w:rPr>
              <w:t>roseatus</w:t>
            </w:r>
          </w:p>
        </w:tc>
        <w:tc>
          <w:tcPr>
            <w:tcW w:w="845" w:type="dxa"/>
            <w:tcBorders>
              <w:right w:val="single" w:color="000000" w:sz="12" w:space="0"/>
            </w:tcBorders>
            <w:vAlign w:val="top"/>
          </w:tcPr>
          <w:p w14:paraId="000A7522">
            <w:pPr>
              <w:rPr>
                <w:rFonts w:ascii="Arial"/>
                <w:sz w:val="21"/>
              </w:rPr>
            </w:pPr>
          </w:p>
        </w:tc>
      </w:tr>
      <w:tr w14:paraId="3141C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50" w:type="dxa"/>
            <w:tcBorders>
              <w:left w:val="single" w:color="000000" w:sz="12" w:space="0"/>
            </w:tcBorders>
            <w:vAlign w:val="top"/>
          </w:tcPr>
          <w:p w14:paraId="77BBE08B">
            <w:pPr>
              <w:pStyle w:val="6"/>
              <w:spacing w:before="130" w:line="186" w:lineRule="auto"/>
              <w:ind w:left="238"/>
            </w:pPr>
            <w:r>
              <w:rPr>
                <w:b/>
                <w:bCs/>
                <w:spacing w:val="-2"/>
              </w:rPr>
              <w:t>F48</w:t>
            </w:r>
          </w:p>
        </w:tc>
        <w:tc>
          <w:tcPr>
            <w:tcW w:w="1270" w:type="dxa"/>
            <w:vAlign w:val="top"/>
          </w:tcPr>
          <w:p w14:paraId="61DD1C6D">
            <w:pPr>
              <w:spacing w:before="92" w:line="219" w:lineRule="auto"/>
              <w:ind w:left="311"/>
              <w:rPr>
                <w:rFonts w:ascii="宋体" w:hAnsi="宋体" w:eastAsia="宋体" w:cs="宋体"/>
                <w:sz w:val="21"/>
                <w:szCs w:val="21"/>
              </w:rPr>
            </w:pPr>
            <w:r>
              <w:rPr>
                <w:rFonts w:ascii="宋体" w:hAnsi="宋体" w:eastAsia="宋体" w:cs="宋体"/>
                <w:b/>
                <w:bCs/>
                <w:spacing w:val="-4"/>
                <w:sz w:val="21"/>
                <w:szCs w:val="21"/>
              </w:rPr>
              <w:t>燕雀科</w:t>
            </w:r>
          </w:p>
        </w:tc>
        <w:tc>
          <w:tcPr>
            <w:tcW w:w="1554" w:type="dxa"/>
            <w:vAlign w:val="top"/>
          </w:tcPr>
          <w:p w14:paraId="17AF9270">
            <w:pPr>
              <w:pStyle w:val="6"/>
              <w:spacing w:before="130" w:line="186" w:lineRule="auto"/>
              <w:ind w:left="245"/>
            </w:pPr>
            <w:r>
              <w:rPr>
                <w:b/>
                <w:bCs/>
                <w:spacing w:val="-1"/>
              </w:rPr>
              <w:t>Fringillidae</w:t>
            </w:r>
          </w:p>
        </w:tc>
        <w:tc>
          <w:tcPr>
            <w:tcW w:w="989" w:type="dxa"/>
            <w:vAlign w:val="top"/>
          </w:tcPr>
          <w:p w14:paraId="63ADE6C3">
            <w:pPr>
              <w:pStyle w:val="6"/>
              <w:spacing w:before="130" w:line="186" w:lineRule="auto"/>
              <w:ind w:left="323"/>
            </w:pPr>
            <w:r>
              <w:rPr>
                <w:b/>
                <w:bCs/>
                <w:spacing w:val="-2"/>
              </w:rPr>
              <w:t>F44</w:t>
            </w:r>
          </w:p>
        </w:tc>
        <w:tc>
          <w:tcPr>
            <w:tcW w:w="1272" w:type="dxa"/>
            <w:vAlign w:val="top"/>
          </w:tcPr>
          <w:p w14:paraId="0FEEF99D">
            <w:pPr>
              <w:spacing w:before="92" w:line="219" w:lineRule="auto"/>
              <w:ind w:left="324"/>
              <w:rPr>
                <w:rFonts w:ascii="宋体" w:hAnsi="宋体" w:eastAsia="宋体" w:cs="宋体"/>
                <w:sz w:val="21"/>
                <w:szCs w:val="21"/>
              </w:rPr>
            </w:pPr>
            <w:r>
              <w:rPr>
                <w:rFonts w:ascii="宋体" w:hAnsi="宋体" w:eastAsia="宋体" w:cs="宋体"/>
                <w:b/>
                <w:bCs/>
                <w:spacing w:val="-4"/>
                <w:sz w:val="21"/>
                <w:szCs w:val="21"/>
              </w:rPr>
              <w:t>燕雀科</w:t>
            </w:r>
          </w:p>
        </w:tc>
        <w:tc>
          <w:tcPr>
            <w:tcW w:w="1693" w:type="dxa"/>
            <w:vAlign w:val="top"/>
          </w:tcPr>
          <w:p w14:paraId="57209BB0">
            <w:pPr>
              <w:pStyle w:val="6"/>
              <w:spacing w:before="130" w:line="186" w:lineRule="auto"/>
              <w:ind w:left="329"/>
            </w:pPr>
            <w:r>
              <w:rPr>
                <w:b/>
                <w:bCs/>
                <w:spacing w:val="-1"/>
              </w:rPr>
              <w:t>Fringillidae</w:t>
            </w:r>
          </w:p>
        </w:tc>
        <w:tc>
          <w:tcPr>
            <w:tcW w:w="845" w:type="dxa"/>
            <w:tcBorders>
              <w:right w:val="single" w:color="000000" w:sz="12" w:space="0"/>
            </w:tcBorders>
            <w:vAlign w:val="top"/>
          </w:tcPr>
          <w:p w14:paraId="623ABD90">
            <w:pPr>
              <w:rPr>
                <w:rFonts w:ascii="Arial"/>
                <w:sz w:val="21"/>
              </w:rPr>
            </w:pPr>
          </w:p>
        </w:tc>
      </w:tr>
      <w:tr w14:paraId="534B7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52342909">
            <w:pPr>
              <w:pStyle w:val="6"/>
              <w:spacing w:before="232" w:line="232" w:lineRule="auto"/>
              <w:ind w:left="270"/>
            </w:pPr>
            <w:r>
              <w:rPr>
                <w:spacing w:val="-6"/>
              </w:rPr>
              <w:t>159</w:t>
            </w:r>
          </w:p>
        </w:tc>
        <w:tc>
          <w:tcPr>
            <w:tcW w:w="1270" w:type="dxa"/>
            <w:vAlign w:val="top"/>
          </w:tcPr>
          <w:p w14:paraId="74C774AB">
            <w:pPr>
              <w:spacing w:before="198" w:line="220" w:lineRule="auto"/>
              <w:ind w:left="417"/>
              <w:rPr>
                <w:rFonts w:ascii="宋体" w:hAnsi="宋体" w:eastAsia="宋体" w:cs="宋体"/>
                <w:sz w:val="21"/>
                <w:szCs w:val="21"/>
              </w:rPr>
            </w:pPr>
            <w:r>
              <w:rPr>
                <w:rFonts w:ascii="宋体" w:hAnsi="宋体" w:eastAsia="宋体" w:cs="宋体"/>
                <w:spacing w:val="-3"/>
                <w:sz w:val="21"/>
                <w:szCs w:val="21"/>
              </w:rPr>
              <w:t>燕雀</w:t>
            </w:r>
          </w:p>
        </w:tc>
        <w:tc>
          <w:tcPr>
            <w:tcW w:w="1554" w:type="dxa"/>
            <w:vAlign w:val="top"/>
          </w:tcPr>
          <w:p w14:paraId="4671807D">
            <w:pPr>
              <w:pStyle w:val="6"/>
              <w:spacing w:before="112" w:line="190" w:lineRule="auto"/>
              <w:ind w:left="382"/>
            </w:pPr>
            <w:r>
              <w:rPr>
                <w:i/>
                <w:iCs/>
              </w:rPr>
              <w:t>Fringilla</w:t>
            </w:r>
          </w:p>
          <w:p w14:paraId="33D7EDAC">
            <w:pPr>
              <w:pStyle w:val="6"/>
              <w:spacing w:before="50" w:line="190" w:lineRule="auto"/>
              <w:ind w:left="186"/>
            </w:pPr>
            <w:r>
              <w:rPr>
                <w:i/>
                <w:iCs/>
                <w:spacing w:val="-1"/>
              </w:rPr>
              <w:t>montifringilla</w:t>
            </w:r>
          </w:p>
        </w:tc>
        <w:tc>
          <w:tcPr>
            <w:tcW w:w="989" w:type="dxa"/>
            <w:vAlign w:val="top"/>
          </w:tcPr>
          <w:p w14:paraId="1E5BDFA6">
            <w:pPr>
              <w:pStyle w:val="6"/>
              <w:spacing w:before="232" w:line="235" w:lineRule="auto"/>
              <w:ind w:left="355"/>
            </w:pPr>
            <w:r>
              <w:rPr>
                <w:spacing w:val="-6"/>
              </w:rPr>
              <w:t>111</w:t>
            </w:r>
          </w:p>
        </w:tc>
        <w:tc>
          <w:tcPr>
            <w:tcW w:w="1272" w:type="dxa"/>
            <w:vAlign w:val="top"/>
          </w:tcPr>
          <w:p w14:paraId="041075E9">
            <w:pPr>
              <w:spacing w:before="198" w:line="220" w:lineRule="auto"/>
              <w:ind w:left="431"/>
              <w:rPr>
                <w:rFonts w:ascii="宋体" w:hAnsi="宋体" w:eastAsia="宋体" w:cs="宋体"/>
                <w:sz w:val="21"/>
                <w:szCs w:val="21"/>
              </w:rPr>
            </w:pPr>
            <w:r>
              <w:rPr>
                <w:rFonts w:ascii="宋体" w:hAnsi="宋体" w:eastAsia="宋体" w:cs="宋体"/>
                <w:spacing w:val="-3"/>
                <w:sz w:val="21"/>
                <w:szCs w:val="21"/>
              </w:rPr>
              <w:t>燕雀</w:t>
            </w:r>
          </w:p>
        </w:tc>
        <w:tc>
          <w:tcPr>
            <w:tcW w:w="1693" w:type="dxa"/>
            <w:vAlign w:val="top"/>
          </w:tcPr>
          <w:p w14:paraId="7DFA2683">
            <w:pPr>
              <w:pStyle w:val="6"/>
              <w:spacing w:before="112" w:line="190" w:lineRule="auto"/>
              <w:ind w:left="466"/>
            </w:pPr>
            <w:r>
              <w:rPr>
                <w:i/>
                <w:iCs/>
              </w:rPr>
              <w:t>Fringilla</w:t>
            </w:r>
          </w:p>
          <w:p w14:paraId="1621072D">
            <w:pPr>
              <w:pStyle w:val="6"/>
              <w:spacing w:before="50" w:line="190" w:lineRule="auto"/>
              <w:ind w:left="270"/>
            </w:pPr>
            <w:r>
              <w:rPr>
                <w:i/>
                <w:iCs/>
                <w:spacing w:val="-1"/>
              </w:rPr>
              <w:t>montifringilla</w:t>
            </w:r>
          </w:p>
        </w:tc>
        <w:tc>
          <w:tcPr>
            <w:tcW w:w="845" w:type="dxa"/>
            <w:tcBorders>
              <w:right w:val="single" w:color="000000" w:sz="12" w:space="0"/>
            </w:tcBorders>
            <w:vAlign w:val="top"/>
          </w:tcPr>
          <w:p w14:paraId="496F78D6">
            <w:pPr>
              <w:rPr>
                <w:rFonts w:ascii="Arial"/>
                <w:sz w:val="21"/>
              </w:rPr>
            </w:pPr>
          </w:p>
        </w:tc>
      </w:tr>
      <w:tr w14:paraId="1117C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Borders>
              <w:left w:val="single" w:color="000000" w:sz="12" w:space="0"/>
            </w:tcBorders>
            <w:vAlign w:val="top"/>
          </w:tcPr>
          <w:p w14:paraId="5712DCAC">
            <w:pPr>
              <w:pStyle w:val="6"/>
              <w:spacing w:before="234" w:line="232" w:lineRule="auto"/>
              <w:ind w:left="270"/>
            </w:pPr>
            <w:r>
              <w:rPr>
                <w:spacing w:val="-6"/>
              </w:rPr>
              <w:t>160</w:t>
            </w:r>
          </w:p>
        </w:tc>
        <w:tc>
          <w:tcPr>
            <w:tcW w:w="1270" w:type="dxa"/>
            <w:vAlign w:val="top"/>
          </w:tcPr>
          <w:p w14:paraId="22D3F9A7">
            <w:pPr>
              <w:spacing w:before="199" w:line="220" w:lineRule="auto"/>
              <w:ind w:left="108"/>
              <w:rPr>
                <w:rFonts w:ascii="宋体" w:hAnsi="宋体" w:eastAsia="宋体" w:cs="宋体"/>
                <w:sz w:val="21"/>
                <w:szCs w:val="21"/>
              </w:rPr>
            </w:pPr>
            <w:r>
              <w:rPr>
                <w:rFonts w:ascii="宋体" w:hAnsi="宋体" w:eastAsia="宋体" w:cs="宋体"/>
                <w:spacing w:val="-3"/>
                <w:sz w:val="21"/>
                <w:szCs w:val="21"/>
              </w:rPr>
              <w:t>黑尾蜡嘴雀</w:t>
            </w:r>
          </w:p>
        </w:tc>
        <w:tc>
          <w:tcPr>
            <w:tcW w:w="1554" w:type="dxa"/>
            <w:vAlign w:val="top"/>
          </w:tcPr>
          <w:p w14:paraId="3CB4778E">
            <w:pPr>
              <w:pStyle w:val="6"/>
              <w:spacing w:before="112" w:line="190" w:lineRule="auto"/>
              <w:ind w:left="382"/>
            </w:pPr>
            <w:r>
              <w:rPr>
                <w:i/>
                <w:iCs/>
              </w:rPr>
              <w:t>Eophona</w:t>
            </w:r>
          </w:p>
          <w:p w14:paraId="4C3287A8">
            <w:pPr>
              <w:pStyle w:val="6"/>
              <w:spacing w:before="51" w:line="190" w:lineRule="auto"/>
              <w:ind w:left="315"/>
            </w:pPr>
            <w:r>
              <w:rPr>
                <w:i/>
                <w:iCs/>
                <w:spacing w:val="-1"/>
              </w:rPr>
              <w:t>migratoria</w:t>
            </w:r>
          </w:p>
        </w:tc>
        <w:tc>
          <w:tcPr>
            <w:tcW w:w="989" w:type="dxa"/>
            <w:vAlign w:val="top"/>
          </w:tcPr>
          <w:p w14:paraId="779283A8">
            <w:pPr>
              <w:rPr>
                <w:rFonts w:ascii="Arial"/>
                <w:sz w:val="21"/>
              </w:rPr>
            </w:pPr>
          </w:p>
        </w:tc>
        <w:tc>
          <w:tcPr>
            <w:tcW w:w="1272" w:type="dxa"/>
            <w:vAlign w:val="top"/>
          </w:tcPr>
          <w:p w14:paraId="029EA4CE">
            <w:pPr>
              <w:rPr>
                <w:rFonts w:ascii="Arial"/>
                <w:sz w:val="21"/>
              </w:rPr>
            </w:pPr>
          </w:p>
        </w:tc>
        <w:tc>
          <w:tcPr>
            <w:tcW w:w="1693" w:type="dxa"/>
            <w:vAlign w:val="top"/>
          </w:tcPr>
          <w:p w14:paraId="707689E9">
            <w:pPr>
              <w:rPr>
                <w:rFonts w:ascii="Arial"/>
                <w:sz w:val="21"/>
              </w:rPr>
            </w:pPr>
          </w:p>
        </w:tc>
        <w:tc>
          <w:tcPr>
            <w:tcW w:w="845" w:type="dxa"/>
            <w:tcBorders>
              <w:right w:val="single" w:color="000000" w:sz="12" w:space="0"/>
            </w:tcBorders>
            <w:vAlign w:val="top"/>
          </w:tcPr>
          <w:p w14:paraId="44B943B0">
            <w:pPr>
              <w:rPr>
                <w:rFonts w:ascii="Arial"/>
                <w:sz w:val="21"/>
              </w:rPr>
            </w:pPr>
          </w:p>
        </w:tc>
      </w:tr>
      <w:tr w14:paraId="16761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0" w:type="dxa"/>
            <w:tcBorders>
              <w:left w:val="single" w:color="000000" w:sz="12" w:space="0"/>
            </w:tcBorders>
            <w:vAlign w:val="top"/>
          </w:tcPr>
          <w:p w14:paraId="75570AC5">
            <w:pPr>
              <w:pStyle w:val="6"/>
              <w:spacing w:before="236" w:line="232" w:lineRule="auto"/>
              <w:ind w:left="270"/>
            </w:pPr>
            <w:r>
              <w:rPr>
                <w:spacing w:val="-6"/>
              </w:rPr>
              <w:t>161</w:t>
            </w:r>
          </w:p>
        </w:tc>
        <w:tc>
          <w:tcPr>
            <w:tcW w:w="1270" w:type="dxa"/>
            <w:vAlign w:val="top"/>
          </w:tcPr>
          <w:p w14:paraId="333830D9">
            <w:pPr>
              <w:spacing w:before="202" w:line="220" w:lineRule="auto"/>
              <w:ind w:left="206"/>
              <w:rPr>
                <w:rFonts w:ascii="宋体" w:hAnsi="宋体" w:eastAsia="宋体" w:cs="宋体"/>
                <w:sz w:val="21"/>
                <w:szCs w:val="21"/>
              </w:rPr>
            </w:pPr>
            <w:r>
              <w:rPr>
                <w:rFonts w:ascii="宋体" w:hAnsi="宋体" w:eastAsia="宋体" w:cs="宋体"/>
                <w:spacing w:val="-2"/>
                <w:sz w:val="21"/>
                <w:szCs w:val="21"/>
              </w:rPr>
              <w:t>普通朱雀</w:t>
            </w:r>
          </w:p>
        </w:tc>
        <w:tc>
          <w:tcPr>
            <w:tcW w:w="1554" w:type="dxa"/>
            <w:vAlign w:val="top"/>
          </w:tcPr>
          <w:p w14:paraId="3C0E3E25">
            <w:pPr>
              <w:pStyle w:val="6"/>
              <w:spacing w:before="115" w:line="190" w:lineRule="auto"/>
              <w:ind w:left="266"/>
            </w:pPr>
            <w:r>
              <w:rPr>
                <w:i/>
                <w:iCs/>
                <w:spacing w:val="-2"/>
              </w:rPr>
              <w:t>Carpodacus</w:t>
            </w:r>
          </w:p>
          <w:p w14:paraId="3273BA3A">
            <w:pPr>
              <w:pStyle w:val="6"/>
              <w:spacing w:before="49" w:line="190" w:lineRule="auto"/>
              <w:ind w:left="340"/>
            </w:pPr>
            <w:r>
              <w:rPr>
                <w:i/>
                <w:iCs/>
                <w:spacing w:val="-1"/>
              </w:rPr>
              <w:t>erythrinus</w:t>
            </w:r>
          </w:p>
        </w:tc>
        <w:tc>
          <w:tcPr>
            <w:tcW w:w="989" w:type="dxa"/>
            <w:vAlign w:val="top"/>
          </w:tcPr>
          <w:p w14:paraId="18EB59ED">
            <w:pPr>
              <w:rPr>
                <w:rFonts w:ascii="Arial"/>
                <w:sz w:val="21"/>
              </w:rPr>
            </w:pPr>
          </w:p>
        </w:tc>
        <w:tc>
          <w:tcPr>
            <w:tcW w:w="1272" w:type="dxa"/>
            <w:vAlign w:val="top"/>
          </w:tcPr>
          <w:p w14:paraId="57368C17">
            <w:pPr>
              <w:rPr>
                <w:rFonts w:ascii="Arial"/>
                <w:sz w:val="21"/>
              </w:rPr>
            </w:pPr>
          </w:p>
        </w:tc>
        <w:tc>
          <w:tcPr>
            <w:tcW w:w="1693" w:type="dxa"/>
            <w:vAlign w:val="top"/>
          </w:tcPr>
          <w:p w14:paraId="3A92FA8F">
            <w:pPr>
              <w:rPr>
                <w:rFonts w:ascii="Arial"/>
                <w:sz w:val="21"/>
              </w:rPr>
            </w:pPr>
          </w:p>
        </w:tc>
        <w:tc>
          <w:tcPr>
            <w:tcW w:w="845" w:type="dxa"/>
            <w:tcBorders>
              <w:right w:val="single" w:color="000000" w:sz="12" w:space="0"/>
            </w:tcBorders>
            <w:vAlign w:val="top"/>
          </w:tcPr>
          <w:p w14:paraId="0482801F">
            <w:pPr>
              <w:rPr>
                <w:rFonts w:ascii="Arial"/>
                <w:sz w:val="21"/>
              </w:rPr>
            </w:pPr>
          </w:p>
        </w:tc>
      </w:tr>
      <w:tr w14:paraId="7BA5B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850" w:type="dxa"/>
            <w:tcBorders>
              <w:left w:val="single" w:color="000000" w:sz="12" w:space="0"/>
              <w:bottom w:val="single" w:color="000000" w:sz="12" w:space="0"/>
            </w:tcBorders>
            <w:vAlign w:val="top"/>
          </w:tcPr>
          <w:p w14:paraId="2578AB67">
            <w:pPr>
              <w:pStyle w:val="6"/>
              <w:spacing w:before="138" w:line="232" w:lineRule="auto"/>
              <w:ind w:left="270"/>
            </w:pPr>
            <w:r>
              <w:rPr>
                <w:spacing w:val="-6"/>
              </w:rPr>
              <w:t>162</w:t>
            </w:r>
          </w:p>
        </w:tc>
        <w:tc>
          <w:tcPr>
            <w:tcW w:w="1270" w:type="dxa"/>
            <w:tcBorders>
              <w:bottom w:val="single" w:color="000000" w:sz="12" w:space="0"/>
            </w:tcBorders>
            <w:vAlign w:val="top"/>
          </w:tcPr>
          <w:p w14:paraId="30851D53">
            <w:pPr>
              <w:spacing w:before="104" w:line="220" w:lineRule="auto"/>
              <w:ind w:left="212"/>
              <w:rPr>
                <w:rFonts w:ascii="宋体" w:hAnsi="宋体" w:eastAsia="宋体" w:cs="宋体"/>
                <w:sz w:val="21"/>
                <w:szCs w:val="21"/>
              </w:rPr>
            </w:pPr>
            <w:r>
              <w:rPr>
                <w:rFonts w:ascii="宋体" w:hAnsi="宋体" w:eastAsia="宋体" w:cs="宋体"/>
                <w:spacing w:val="-3"/>
                <w:sz w:val="21"/>
                <w:szCs w:val="21"/>
              </w:rPr>
              <w:t>红眉松雀</w:t>
            </w:r>
          </w:p>
        </w:tc>
        <w:tc>
          <w:tcPr>
            <w:tcW w:w="1554" w:type="dxa"/>
            <w:tcBorders>
              <w:bottom w:val="single" w:color="000000" w:sz="12" w:space="0"/>
            </w:tcBorders>
            <w:vAlign w:val="top"/>
          </w:tcPr>
          <w:p w14:paraId="6F06C087">
            <w:pPr>
              <w:pStyle w:val="6"/>
              <w:spacing w:before="138" w:line="190" w:lineRule="auto"/>
              <w:ind w:left="266"/>
            </w:pPr>
            <w:r>
              <w:rPr>
                <w:i/>
                <w:iCs/>
                <w:spacing w:val="-2"/>
              </w:rPr>
              <w:t>Carpodacus</w:t>
            </w:r>
          </w:p>
        </w:tc>
        <w:tc>
          <w:tcPr>
            <w:tcW w:w="989" w:type="dxa"/>
            <w:tcBorders>
              <w:bottom w:val="single" w:color="000000" w:sz="12" w:space="0"/>
            </w:tcBorders>
            <w:vAlign w:val="top"/>
          </w:tcPr>
          <w:p w14:paraId="532601A3">
            <w:pPr>
              <w:rPr>
                <w:rFonts w:ascii="Arial"/>
                <w:sz w:val="21"/>
              </w:rPr>
            </w:pPr>
          </w:p>
        </w:tc>
        <w:tc>
          <w:tcPr>
            <w:tcW w:w="1272" w:type="dxa"/>
            <w:tcBorders>
              <w:bottom w:val="single" w:color="000000" w:sz="12" w:space="0"/>
            </w:tcBorders>
            <w:vAlign w:val="top"/>
          </w:tcPr>
          <w:p w14:paraId="32B55F42">
            <w:pPr>
              <w:rPr>
                <w:rFonts w:ascii="Arial"/>
                <w:sz w:val="21"/>
              </w:rPr>
            </w:pPr>
          </w:p>
        </w:tc>
        <w:tc>
          <w:tcPr>
            <w:tcW w:w="1693" w:type="dxa"/>
            <w:tcBorders>
              <w:bottom w:val="single" w:color="000000" w:sz="12" w:space="0"/>
            </w:tcBorders>
            <w:vAlign w:val="top"/>
          </w:tcPr>
          <w:p w14:paraId="5F29BBB1">
            <w:pPr>
              <w:rPr>
                <w:rFonts w:ascii="Arial"/>
                <w:sz w:val="21"/>
              </w:rPr>
            </w:pPr>
          </w:p>
        </w:tc>
        <w:tc>
          <w:tcPr>
            <w:tcW w:w="845" w:type="dxa"/>
            <w:tcBorders>
              <w:bottom w:val="single" w:color="000000" w:sz="12" w:space="0"/>
              <w:right w:val="single" w:color="000000" w:sz="12" w:space="0"/>
            </w:tcBorders>
            <w:vAlign w:val="top"/>
          </w:tcPr>
          <w:p w14:paraId="0A51F20F">
            <w:pPr>
              <w:rPr>
                <w:rFonts w:ascii="Arial"/>
                <w:sz w:val="21"/>
              </w:rPr>
            </w:pPr>
          </w:p>
        </w:tc>
      </w:tr>
    </w:tbl>
    <w:p w14:paraId="49C2DF47">
      <w:pPr>
        <w:rPr>
          <w:rFonts w:ascii="Arial"/>
          <w:sz w:val="21"/>
        </w:rPr>
      </w:pPr>
    </w:p>
    <w:p w14:paraId="58D4091B">
      <w:pPr>
        <w:rPr>
          <w:rFonts w:ascii="Arial" w:hAnsi="Arial" w:eastAsia="Arial" w:cs="Arial"/>
          <w:sz w:val="21"/>
          <w:szCs w:val="21"/>
        </w:rPr>
        <w:sectPr>
          <w:footerReference r:id="rId184" w:type="default"/>
          <w:pgSz w:w="11907" w:h="16839"/>
          <w:pgMar w:top="1376" w:right="1669" w:bottom="1061" w:left="1671" w:header="999" w:footer="861" w:gutter="0"/>
          <w:cols w:space="720" w:num="1"/>
        </w:sectPr>
      </w:pPr>
    </w:p>
    <w:p w14:paraId="3BF47D0B">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70"/>
        <w:gridCol w:w="1554"/>
        <w:gridCol w:w="989"/>
        <w:gridCol w:w="1272"/>
        <w:gridCol w:w="1693"/>
        <w:gridCol w:w="845"/>
      </w:tblGrid>
      <w:tr w14:paraId="420F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674" w:type="dxa"/>
            <w:gridSpan w:val="3"/>
            <w:tcBorders>
              <w:top w:val="single" w:color="000000" w:sz="12" w:space="0"/>
              <w:left w:val="single" w:color="000000" w:sz="12" w:space="0"/>
            </w:tcBorders>
            <w:vAlign w:val="top"/>
          </w:tcPr>
          <w:p w14:paraId="6DD715E5">
            <w:pPr>
              <w:pStyle w:val="6"/>
              <w:spacing w:before="76" w:line="233" w:lineRule="auto"/>
              <w:ind w:left="962"/>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954" w:type="dxa"/>
            <w:gridSpan w:val="3"/>
            <w:tcBorders>
              <w:top w:val="single" w:color="000000" w:sz="12" w:space="0"/>
            </w:tcBorders>
            <w:vAlign w:val="top"/>
          </w:tcPr>
          <w:p w14:paraId="5D54C323">
            <w:pPr>
              <w:pStyle w:val="6"/>
              <w:spacing w:before="76" w:line="233" w:lineRule="auto"/>
              <w:ind w:left="1118"/>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845" w:type="dxa"/>
            <w:vMerge w:val="restart"/>
            <w:tcBorders>
              <w:top w:val="single" w:color="000000" w:sz="12" w:space="0"/>
              <w:bottom w:val="nil"/>
              <w:right w:val="single" w:color="000000" w:sz="12" w:space="0"/>
            </w:tcBorders>
            <w:vAlign w:val="top"/>
          </w:tcPr>
          <w:p w14:paraId="3DB1A582">
            <w:pPr>
              <w:spacing w:before="124" w:line="242" w:lineRule="auto"/>
              <w:ind w:left="223" w:right="191"/>
              <w:rPr>
                <w:rFonts w:ascii="宋体" w:hAnsi="宋体" w:eastAsia="宋体" w:cs="宋体"/>
                <w:sz w:val="21"/>
                <w:szCs w:val="21"/>
              </w:rPr>
            </w:pPr>
            <w:r>
              <w:rPr>
                <w:rFonts w:ascii="宋体" w:hAnsi="宋体" w:eastAsia="宋体" w:cs="宋体"/>
                <w:spacing w:val="-5"/>
                <w:sz w:val="21"/>
                <w:szCs w:val="21"/>
              </w:rPr>
              <w:t>保护情况</w:t>
            </w:r>
          </w:p>
        </w:tc>
      </w:tr>
      <w:tr w14:paraId="79BFD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850" w:type="dxa"/>
            <w:tcBorders>
              <w:left w:val="single" w:color="000000" w:sz="12" w:space="0"/>
            </w:tcBorders>
            <w:vAlign w:val="top"/>
          </w:tcPr>
          <w:p w14:paraId="35B132DF">
            <w:pPr>
              <w:spacing w:before="70" w:line="221" w:lineRule="auto"/>
              <w:ind w:left="200"/>
              <w:rPr>
                <w:rFonts w:ascii="宋体" w:hAnsi="宋体" w:eastAsia="宋体" w:cs="宋体"/>
                <w:sz w:val="21"/>
                <w:szCs w:val="21"/>
              </w:rPr>
            </w:pPr>
            <w:r>
              <w:rPr>
                <w:rFonts w:ascii="宋体" w:hAnsi="宋体" w:eastAsia="宋体" w:cs="宋体"/>
                <w:spacing w:val="-2"/>
                <w:sz w:val="21"/>
                <w:szCs w:val="21"/>
              </w:rPr>
              <w:t>序号</w:t>
            </w:r>
          </w:p>
        </w:tc>
        <w:tc>
          <w:tcPr>
            <w:tcW w:w="1270" w:type="dxa"/>
            <w:vAlign w:val="top"/>
          </w:tcPr>
          <w:p w14:paraId="301FE193">
            <w:pPr>
              <w:spacing w:before="71" w:line="220" w:lineRule="auto"/>
              <w:ind w:left="332"/>
              <w:rPr>
                <w:rFonts w:ascii="宋体" w:hAnsi="宋体" w:eastAsia="宋体" w:cs="宋体"/>
                <w:sz w:val="21"/>
                <w:szCs w:val="21"/>
              </w:rPr>
            </w:pPr>
            <w:r>
              <w:rPr>
                <w:rFonts w:ascii="宋体" w:hAnsi="宋体" w:eastAsia="宋体" w:cs="宋体"/>
                <w:spacing w:val="-7"/>
                <w:sz w:val="21"/>
                <w:szCs w:val="21"/>
              </w:rPr>
              <w:t>中文名</w:t>
            </w:r>
          </w:p>
        </w:tc>
        <w:tc>
          <w:tcPr>
            <w:tcW w:w="1554" w:type="dxa"/>
            <w:vAlign w:val="top"/>
          </w:tcPr>
          <w:p w14:paraId="30081B3A">
            <w:pPr>
              <w:spacing w:before="70" w:line="221" w:lineRule="auto"/>
              <w:ind w:left="460"/>
              <w:rPr>
                <w:rFonts w:ascii="宋体" w:hAnsi="宋体" w:eastAsia="宋体" w:cs="宋体"/>
                <w:sz w:val="21"/>
                <w:szCs w:val="21"/>
              </w:rPr>
            </w:pPr>
            <w:r>
              <w:rPr>
                <w:rFonts w:ascii="宋体" w:hAnsi="宋体" w:eastAsia="宋体" w:cs="宋体"/>
                <w:spacing w:val="-3"/>
                <w:sz w:val="21"/>
                <w:szCs w:val="21"/>
              </w:rPr>
              <w:t>拉丁名</w:t>
            </w:r>
          </w:p>
        </w:tc>
        <w:tc>
          <w:tcPr>
            <w:tcW w:w="989" w:type="dxa"/>
            <w:vAlign w:val="top"/>
          </w:tcPr>
          <w:p w14:paraId="621DDAE8">
            <w:pPr>
              <w:spacing w:before="70" w:line="221" w:lineRule="auto"/>
              <w:ind w:left="285"/>
              <w:rPr>
                <w:rFonts w:ascii="宋体" w:hAnsi="宋体" w:eastAsia="宋体" w:cs="宋体"/>
                <w:sz w:val="21"/>
                <w:szCs w:val="21"/>
              </w:rPr>
            </w:pPr>
            <w:r>
              <w:rPr>
                <w:rFonts w:ascii="宋体" w:hAnsi="宋体" w:eastAsia="宋体" w:cs="宋体"/>
                <w:spacing w:val="-2"/>
                <w:sz w:val="21"/>
                <w:szCs w:val="21"/>
              </w:rPr>
              <w:t>序号</w:t>
            </w:r>
          </w:p>
        </w:tc>
        <w:tc>
          <w:tcPr>
            <w:tcW w:w="1272" w:type="dxa"/>
            <w:vAlign w:val="top"/>
          </w:tcPr>
          <w:p w14:paraId="58A4D017">
            <w:pPr>
              <w:spacing w:before="71" w:line="220" w:lineRule="auto"/>
              <w:ind w:left="345"/>
              <w:rPr>
                <w:rFonts w:ascii="宋体" w:hAnsi="宋体" w:eastAsia="宋体" w:cs="宋体"/>
                <w:sz w:val="21"/>
                <w:szCs w:val="21"/>
              </w:rPr>
            </w:pPr>
            <w:r>
              <w:rPr>
                <w:rFonts w:ascii="宋体" w:hAnsi="宋体" w:eastAsia="宋体" w:cs="宋体"/>
                <w:spacing w:val="-7"/>
                <w:sz w:val="21"/>
                <w:szCs w:val="21"/>
              </w:rPr>
              <w:t>中文名</w:t>
            </w:r>
          </w:p>
        </w:tc>
        <w:tc>
          <w:tcPr>
            <w:tcW w:w="1693" w:type="dxa"/>
            <w:vAlign w:val="top"/>
          </w:tcPr>
          <w:p w14:paraId="640D701F">
            <w:pPr>
              <w:spacing w:before="70" w:line="221" w:lineRule="auto"/>
              <w:ind w:left="545"/>
              <w:rPr>
                <w:rFonts w:ascii="宋体" w:hAnsi="宋体" w:eastAsia="宋体" w:cs="宋体"/>
                <w:sz w:val="21"/>
                <w:szCs w:val="21"/>
              </w:rPr>
            </w:pPr>
            <w:r>
              <w:rPr>
                <w:rFonts w:ascii="宋体" w:hAnsi="宋体" w:eastAsia="宋体" w:cs="宋体"/>
                <w:spacing w:val="-3"/>
                <w:sz w:val="21"/>
                <w:szCs w:val="21"/>
              </w:rPr>
              <w:t>拉丁名</w:t>
            </w:r>
          </w:p>
        </w:tc>
        <w:tc>
          <w:tcPr>
            <w:tcW w:w="845" w:type="dxa"/>
            <w:vMerge w:val="continue"/>
            <w:tcBorders>
              <w:top w:val="nil"/>
              <w:right w:val="single" w:color="000000" w:sz="12" w:space="0"/>
            </w:tcBorders>
            <w:vAlign w:val="top"/>
          </w:tcPr>
          <w:p w14:paraId="185F7F39">
            <w:pPr>
              <w:rPr>
                <w:rFonts w:ascii="Arial"/>
                <w:sz w:val="21"/>
              </w:rPr>
            </w:pPr>
          </w:p>
        </w:tc>
      </w:tr>
      <w:tr w14:paraId="43151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850" w:type="dxa"/>
            <w:tcBorders>
              <w:left w:val="single" w:color="000000" w:sz="12" w:space="0"/>
            </w:tcBorders>
            <w:vAlign w:val="top"/>
          </w:tcPr>
          <w:p w14:paraId="011DD126">
            <w:pPr>
              <w:rPr>
                <w:rFonts w:ascii="Arial"/>
                <w:sz w:val="21"/>
              </w:rPr>
            </w:pPr>
          </w:p>
        </w:tc>
        <w:tc>
          <w:tcPr>
            <w:tcW w:w="1270" w:type="dxa"/>
            <w:vAlign w:val="top"/>
          </w:tcPr>
          <w:p w14:paraId="0C7AFBFE">
            <w:pPr>
              <w:rPr>
                <w:rFonts w:ascii="Arial"/>
                <w:sz w:val="21"/>
              </w:rPr>
            </w:pPr>
          </w:p>
        </w:tc>
        <w:tc>
          <w:tcPr>
            <w:tcW w:w="1554" w:type="dxa"/>
            <w:vAlign w:val="top"/>
          </w:tcPr>
          <w:p w14:paraId="68999E54">
            <w:pPr>
              <w:pStyle w:val="6"/>
              <w:spacing w:before="105" w:line="233" w:lineRule="auto"/>
              <w:ind w:left="175"/>
            </w:pPr>
            <w:r>
              <w:rPr>
                <w:i/>
                <w:iCs/>
              </w:rPr>
              <w:t>subhimachala</w:t>
            </w:r>
          </w:p>
        </w:tc>
        <w:tc>
          <w:tcPr>
            <w:tcW w:w="989" w:type="dxa"/>
            <w:vAlign w:val="top"/>
          </w:tcPr>
          <w:p w14:paraId="6E5D89A5">
            <w:pPr>
              <w:rPr>
                <w:rFonts w:ascii="Arial"/>
                <w:sz w:val="21"/>
              </w:rPr>
            </w:pPr>
          </w:p>
        </w:tc>
        <w:tc>
          <w:tcPr>
            <w:tcW w:w="1272" w:type="dxa"/>
            <w:vAlign w:val="top"/>
          </w:tcPr>
          <w:p w14:paraId="22101C92">
            <w:pPr>
              <w:rPr>
                <w:rFonts w:ascii="Arial"/>
                <w:sz w:val="21"/>
              </w:rPr>
            </w:pPr>
          </w:p>
        </w:tc>
        <w:tc>
          <w:tcPr>
            <w:tcW w:w="1693" w:type="dxa"/>
            <w:vAlign w:val="top"/>
          </w:tcPr>
          <w:p w14:paraId="18DD1786">
            <w:pPr>
              <w:rPr>
                <w:rFonts w:ascii="Arial"/>
                <w:sz w:val="21"/>
              </w:rPr>
            </w:pPr>
          </w:p>
        </w:tc>
        <w:tc>
          <w:tcPr>
            <w:tcW w:w="845" w:type="dxa"/>
            <w:tcBorders>
              <w:right w:val="single" w:color="000000" w:sz="12" w:space="0"/>
            </w:tcBorders>
            <w:vAlign w:val="top"/>
          </w:tcPr>
          <w:p w14:paraId="5455ABB8">
            <w:pPr>
              <w:rPr>
                <w:rFonts w:ascii="Arial"/>
                <w:sz w:val="21"/>
              </w:rPr>
            </w:pPr>
          </w:p>
        </w:tc>
      </w:tr>
      <w:tr w14:paraId="0B7D9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093C994F">
            <w:pPr>
              <w:pStyle w:val="6"/>
              <w:spacing w:before="115" w:line="232" w:lineRule="auto"/>
              <w:ind w:left="270"/>
            </w:pPr>
            <w:r>
              <w:rPr>
                <w:spacing w:val="-6"/>
              </w:rPr>
              <w:t>163</w:t>
            </w:r>
          </w:p>
        </w:tc>
        <w:tc>
          <w:tcPr>
            <w:tcW w:w="1270" w:type="dxa"/>
            <w:vAlign w:val="top"/>
          </w:tcPr>
          <w:p w14:paraId="082CAF12">
            <w:pPr>
              <w:spacing w:before="80" w:line="220" w:lineRule="auto"/>
              <w:ind w:left="108"/>
              <w:rPr>
                <w:rFonts w:ascii="宋体" w:hAnsi="宋体" w:eastAsia="宋体" w:cs="宋体"/>
                <w:sz w:val="21"/>
                <w:szCs w:val="21"/>
              </w:rPr>
            </w:pPr>
            <w:r>
              <w:rPr>
                <w:rFonts w:ascii="宋体" w:hAnsi="宋体" w:eastAsia="宋体" w:cs="宋体"/>
                <w:spacing w:val="-3"/>
                <w:sz w:val="21"/>
                <w:szCs w:val="21"/>
              </w:rPr>
              <w:t>黑头金翅雀</w:t>
            </w:r>
          </w:p>
        </w:tc>
        <w:tc>
          <w:tcPr>
            <w:tcW w:w="1554" w:type="dxa"/>
            <w:vAlign w:val="top"/>
          </w:tcPr>
          <w:p w14:paraId="6A002730">
            <w:pPr>
              <w:pStyle w:val="6"/>
              <w:spacing w:before="114" w:line="190" w:lineRule="auto"/>
              <w:ind w:left="71"/>
            </w:pPr>
            <w:r>
              <w:rPr>
                <w:i/>
                <w:iCs/>
                <w:spacing w:val="-1"/>
              </w:rPr>
              <w:t>Chloris ambigua</w:t>
            </w:r>
          </w:p>
        </w:tc>
        <w:tc>
          <w:tcPr>
            <w:tcW w:w="989" w:type="dxa"/>
            <w:vAlign w:val="top"/>
          </w:tcPr>
          <w:p w14:paraId="07CBBEA0">
            <w:pPr>
              <w:pStyle w:val="6"/>
              <w:spacing w:before="114" w:line="235" w:lineRule="auto"/>
              <w:ind w:left="355"/>
            </w:pPr>
            <w:r>
              <w:rPr>
                <w:spacing w:val="-6"/>
              </w:rPr>
              <w:t>112</w:t>
            </w:r>
          </w:p>
        </w:tc>
        <w:tc>
          <w:tcPr>
            <w:tcW w:w="1272" w:type="dxa"/>
            <w:vAlign w:val="top"/>
          </w:tcPr>
          <w:p w14:paraId="4B6C4265">
            <w:pPr>
              <w:spacing w:before="80" w:line="220" w:lineRule="auto"/>
              <w:ind w:left="121"/>
              <w:rPr>
                <w:rFonts w:ascii="宋体" w:hAnsi="宋体" w:eastAsia="宋体" w:cs="宋体"/>
                <w:sz w:val="21"/>
                <w:szCs w:val="21"/>
              </w:rPr>
            </w:pPr>
            <w:r>
              <w:rPr>
                <w:rFonts w:ascii="宋体" w:hAnsi="宋体" w:eastAsia="宋体" w:cs="宋体"/>
                <w:spacing w:val="-3"/>
                <w:sz w:val="21"/>
                <w:szCs w:val="21"/>
              </w:rPr>
              <w:t>黑头金翅雀</w:t>
            </w:r>
          </w:p>
        </w:tc>
        <w:tc>
          <w:tcPr>
            <w:tcW w:w="1693" w:type="dxa"/>
            <w:vAlign w:val="top"/>
          </w:tcPr>
          <w:p w14:paraId="20B25037">
            <w:pPr>
              <w:pStyle w:val="6"/>
              <w:spacing w:before="114" w:line="190" w:lineRule="auto"/>
              <w:ind w:left="155"/>
            </w:pPr>
            <w:r>
              <w:rPr>
                <w:i/>
                <w:iCs/>
                <w:spacing w:val="-1"/>
              </w:rPr>
              <w:t>Chloris ambigua</w:t>
            </w:r>
          </w:p>
        </w:tc>
        <w:tc>
          <w:tcPr>
            <w:tcW w:w="845" w:type="dxa"/>
            <w:tcBorders>
              <w:right w:val="single" w:color="000000" w:sz="12" w:space="0"/>
            </w:tcBorders>
            <w:vAlign w:val="top"/>
          </w:tcPr>
          <w:p w14:paraId="3C0770AB">
            <w:pPr>
              <w:rPr>
                <w:rFonts w:ascii="Arial"/>
                <w:sz w:val="21"/>
              </w:rPr>
            </w:pPr>
          </w:p>
        </w:tc>
      </w:tr>
      <w:tr w14:paraId="25024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850" w:type="dxa"/>
            <w:tcBorders>
              <w:left w:val="single" w:color="000000" w:sz="12" w:space="0"/>
            </w:tcBorders>
            <w:vAlign w:val="top"/>
          </w:tcPr>
          <w:p w14:paraId="73A3A7F5">
            <w:pPr>
              <w:pStyle w:val="6"/>
              <w:spacing w:before="122" w:line="186" w:lineRule="auto"/>
              <w:ind w:left="238"/>
            </w:pPr>
            <w:r>
              <w:rPr>
                <w:b/>
                <w:bCs/>
                <w:spacing w:val="-2"/>
              </w:rPr>
              <w:t>F49</w:t>
            </w:r>
          </w:p>
        </w:tc>
        <w:tc>
          <w:tcPr>
            <w:tcW w:w="1270" w:type="dxa"/>
            <w:vAlign w:val="top"/>
          </w:tcPr>
          <w:p w14:paraId="47BE4DAF">
            <w:pPr>
              <w:spacing w:before="83" w:line="219" w:lineRule="auto"/>
              <w:ind w:left="420"/>
              <w:rPr>
                <w:rFonts w:ascii="宋体" w:hAnsi="宋体" w:eastAsia="宋体" w:cs="宋体"/>
                <w:sz w:val="21"/>
                <w:szCs w:val="21"/>
              </w:rPr>
            </w:pPr>
            <w:r>
              <w:rPr>
                <w:rFonts w:ascii="宋体" w:hAnsi="宋体" w:eastAsia="宋体" w:cs="宋体"/>
                <w:b/>
                <w:bCs/>
                <w:spacing w:val="-5"/>
                <w:sz w:val="21"/>
                <w:szCs w:val="21"/>
              </w:rPr>
              <w:t>鹀科</w:t>
            </w:r>
          </w:p>
        </w:tc>
        <w:tc>
          <w:tcPr>
            <w:tcW w:w="1554" w:type="dxa"/>
            <w:vAlign w:val="top"/>
          </w:tcPr>
          <w:p w14:paraId="7F7271EC">
            <w:pPr>
              <w:pStyle w:val="6"/>
              <w:spacing w:before="122" w:line="186" w:lineRule="auto"/>
              <w:ind w:left="198"/>
            </w:pPr>
            <w:r>
              <w:rPr>
                <w:b/>
                <w:bCs/>
                <w:spacing w:val="-1"/>
              </w:rPr>
              <w:t>Emberizidae</w:t>
            </w:r>
          </w:p>
        </w:tc>
        <w:tc>
          <w:tcPr>
            <w:tcW w:w="989" w:type="dxa"/>
            <w:vAlign w:val="top"/>
          </w:tcPr>
          <w:p w14:paraId="667540C8">
            <w:pPr>
              <w:pStyle w:val="6"/>
              <w:spacing w:before="122" w:line="186" w:lineRule="auto"/>
              <w:ind w:left="323"/>
            </w:pPr>
            <w:r>
              <w:rPr>
                <w:b/>
                <w:bCs/>
                <w:spacing w:val="-2"/>
              </w:rPr>
              <w:t>F45</w:t>
            </w:r>
          </w:p>
        </w:tc>
        <w:tc>
          <w:tcPr>
            <w:tcW w:w="1272" w:type="dxa"/>
            <w:vAlign w:val="top"/>
          </w:tcPr>
          <w:p w14:paraId="34239377">
            <w:pPr>
              <w:spacing w:before="83" w:line="219" w:lineRule="auto"/>
              <w:ind w:left="433"/>
              <w:rPr>
                <w:rFonts w:ascii="宋体" w:hAnsi="宋体" w:eastAsia="宋体" w:cs="宋体"/>
                <w:sz w:val="21"/>
                <w:szCs w:val="21"/>
              </w:rPr>
            </w:pPr>
            <w:r>
              <w:rPr>
                <w:rFonts w:ascii="宋体" w:hAnsi="宋体" w:eastAsia="宋体" w:cs="宋体"/>
                <w:b/>
                <w:bCs/>
                <w:spacing w:val="-5"/>
                <w:sz w:val="21"/>
                <w:szCs w:val="21"/>
              </w:rPr>
              <w:t>鹀科</w:t>
            </w:r>
          </w:p>
        </w:tc>
        <w:tc>
          <w:tcPr>
            <w:tcW w:w="1693" w:type="dxa"/>
            <w:vAlign w:val="top"/>
          </w:tcPr>
          <w:p w14:paraId="556DB26D">
            <w:pPr>
              <w:pStyle w:val="6"/>
              <w:spacing w:before="122" w:line="186" w:lineRule="auto"/>
              <w:ind w:left="282"/>
            </w:pPr>
            <w:r>
              <w:rPr>
                <w:b/>
                <w:bCs/>
                <w:spacing w:val="-1"/>
              </w:rPr>
              <w:t>Emberizidae</w:t>
            </w:r>
          </w:p>
        </w:tc>
        <w:tc>
          <w:tcPr>
            <w:tcW w:w="845" w:type="dxa"/>
            <w:tcBorders>
              <w:right w:val="single" w:color="000000" w:sz="12" w:space="0"/>
            </w:tcBorders>
            <w:vAlign w:val="top"/>
          </w:tcPr>
          <w:p w14:paraId="4918EC82">
            <w:pPr>
              <w:rPr>
                <w:rFonts w:ascii="Arial"/>
                <w:sz w:val="21"/>
              </w:rPr>
            </w:pPr>
          </w:p>
        </w:tc>
      </w:tr>
      <w:tr w14:paraId="11850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50" w:type="dxa"/>
            <w:tcBorders>
              <w:left w:val="single" w:color="000000" w:sz="12" w:space="0"/>
            </w:tcBorders>
            <w:vAlign w:val="top"/>
          </w:tcPr>
          <w:p w14:paraId="6875E8D4">
            <w:pPr>
              <w:pStyle w:val="6"/>
              <w:spacing w:before="219" w:line="232" w:lineRule="auto"/>
              <w:ind w:left="270"/>
            </w:pPr>
            <w:r>
              <w:rPr>
                <w:spacing w:val="-6"/>
              </w:rPr>
              <w:t>164</w:t>
            </w:r>
          </w:p>
        </w:tc>
        <w:tc>
          <w:tcPr>
            <w:tcW w:w="1270" w:type="dxa"/>
            <w:vAlign w:val="top"/>
          </w:tcPr>
          <w:p w14:paraId="1D759601">
            <w:pPr>
              <w:spacing w:before="184" w:line="220" w:lineRule="auto"/>
              <w:ind w:left="313"/>
              <w:rPr>
                <w:rFonts w:ascii="宋体" w:hAnsi="宋体" w:eastAsia="宋体" w:cs="宋体"/>
                <w:sz w:val="21"/>
                <w:szCs w:val="21"/>
              </w:rPr>
            </w:pPr>
            <w:r>
              <w:rPr>
                <w:rFonts w:ascii="宋体" w:hAnsi="宋体" w:eastAsia="宋体" w:cs="宋体"/>
                <w:spacing w:val="-3"/>
                <w:sz w:val="21"/>
                <w:szCs w:val="21"/>
              </w:rPr>
              <w:t>凤头鹀</w:t>
            </w:r>
          </w:p>
        </w:tc>
        <w:tc>
          <w:tcPr>
            <w:tcW w:w="1554" w:type="dxa"/>
            <w:vAlign w:val="top"/>
          </w:tcPr>
          <w:p w14:paraId="718B2002">
            <w:pPr>
              <w:pStyle w:val="6"/>
              <w:spacing w:before="98" w:line="190" w:lineRule="auto"/>
              <w:ind w:left="344"/>
            </w:pPr>
            <w:r>
              <w:rPr>
                <w:i/>
                <w:iCs/>
              </w:rPr>
              <w:t>Melophus</w:t>
            </w:r>
          </w:p>
          <w:p w14:paraId="19D3DF4B">
            <w:pPr>
              <w:pStyle w:val="6"/>
              <w:spacing w:before="50" w:line="214" w:lineRule="auto"/>
              <w:ind w:left="452"/>
            </w:pPr>
            <w:r>
              <w:rPr>
                <w:i/>
                <w:iCs/>
                <w:spacing w:val="-2"/>
              </w:rPr>
              <w:t>lathami</w:t>
            </w:r>
          </w:p>
        </w:tc>
        <w:tc>
          <w:tcPr>
            <w:tcW w:w="989" w:type="dxa"/>
            <w:vAlign w:val="top"/>
          </w:tcPr>
          <w:p w14:paraId="4D365EBA">
            <w:pPr>
              <w:rPr>
                <w:rFonts w:ascii="Arial"/>
                <w:sz w:val="21"/>
              </w:rPr>
            </w:pPr>
          </w:p>
        </w:tc>
        <w:tc>
          <w:tcPr>
            <w:tcW w:w="1272" w:type="dxa"/>
            <w:vAlign w:val="top"/>
          </w:tcPr>
          <w:p w14:paraId="05D8F395">
            <w:pPr>
              <w:rPr>
                <w:rFonts w:ascii="Arial"/>
                <w:sz w:val="21"/>
              </w:rPr>
            </w:pPr>
          </w:p>
        </w:tc>
        <w:tc>
          <w:tcPr>
            <w:tcW w:w="1693" w:type="dxa"/>
            <w:vAlign w:val="top"/>
          </w:tcPr>
          <w:p w14:paraId="3A282149">
            <w:pPr>
              <w:rPr>
                <w:rFonts w:ascii="Arial"/>
                <w:sz w:val="21"/>
              </w:rPr>
            </w:pPr>
          </w:p>
        </w:tc>
        <w:tc>
          <w:tcPr>
            <w:tcW w:w="845" w:type="dxa"/>
            <w:tcBorders>
              <w:right w:val="single" w:color="000000" w:sz="12" w:space="0"/>
            </w:tcBorders>
            <w:vAlign w:val="top"/>
          </w:tcPr>
          <w:p w14:paraId="46069C25">
            <w:pPr>
              <w:rPr>
                <w:rFonts w:ascii="Arial"/>
                <w:sz w:val="21"/>
              </w:rPr>
            </w:pPr>
          </w:p>
        </w:tc>
      </w:tr>
      <w:tr w14:paraId="031CF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4845E550">
            <w:pPr>
              <w:pStyle w:val="6"/>
              <w:spacing w:before="123" w:line="232" w:lineRule="auto"/>
              <w:ind w:left="270"/>
            </w:pPr>
            <w:r>
              <w:rPr>
                <w:spacing w:val="-6"/>
              </w:rPr>
              <w:t>165</w:t>
            </w:r>
          </w:p>
        </w:tc>
        <w:tc>
          <w:tcPr>
            <w:tcW w:w="1270" w:type="dxa"/>
            <w:vAlign w:val="top"/>
          </w:tcPr>
          <w:p w14:paraId="691AFABF">
            <w:pPr>
              <w:spacing w:before="88" w:line="219" w:lineRule="auto"/>
              <w:ind w:left="107"/>
              <w:rPr>
                <w:rFonts w:ascii="宋体" w:hAnsi="宋体" w:eastAsia="宋体" w:cs="宋体"/>
                <w:sz w:val="21"/>
                <w:szCs w:val="21"/>
              </w:rPr>
            </w:pPr>
            <w:r>
              <w:rPr>
                <w:rFonts w:ascii="宋体" w:hAnsi="宋体" w:eastAsia="宋体" w:cs="宋体"/>
                <w:spacing w:val="-2"/>
                <w:sz w:val="21"/>
                <w:szCs w:val="21"/>
              </w:rPr>
              <w:t>淡灰眉岩鹀</w:t>
            </w:r>
          </w:p>
        </w:tc>
        <w:tc>
          <w:tcPr>
            <w:tcW w:w="1554" w:type="dxa"/>
            <w:vAlign w:val="top"/>
          </w:tcPr>
          <w:p w14:paraId="019F7855">
            <w:pPr>
              <w:pStyle w:val="6"/>
              <w:spacing w:before="122" w:line="233" w:lineRule="auto"/>
              <w:ind w:left="205"/>
            </w:pPr>
            <w:r>
              <w:rPr>
                <w:i/>
                <w:iCs/>
              </w:rPr>
              <w:t>Emberiza</w:t>
            </w:r>
            <w:r>
              <w:rPr>
                <w:i/>
                <w:iCs/>
                <w:spacing w:val="7"/>
              </w:rPr>
              <w:t xml:space="preserve"> </w:t>
            </w:r>
            <w:r>
              <w:rPr>
                <w:i/>
                <w:iCs/>
              </w:rPr>
              <w:t>cia</w:t>
            </w:r>
          </w:p>
        </w:tc>
        <w:tc>
          <w:tcPr>
            <w:tcW w:w="989" w:type="dxa"/>
            <w:vAlign w:val="top"/>
          </w:tcPr>
          <w:p w14:paraId="66031693">
            <w:pPr>
              <w:rPr>
                <w:rFonts w:ascii="Arial"/>
                <w:sz w:val="21"/>
              </w:rPr>
            </w:pPr>
          </w:p>
        </w:tc>
        <w:tc>
          <w:tcPr>
            <w:tcW w:w="1272" w:type="dxa"/>
            <w:vAlign w:val="top"/>
          </w:tcPr>
          <w:p w14:paraId="61C0B71D">
            <w:pPr>
              <w:rPr>
                <w:rFonts w:ascii="Arial"/>
                <w:sz w:val="21"/>
              </w:rPr>
            </w:pPr>
          </w:p>
        </w:tc>
        <w:tc>
          <w:tcPr>
            <w:tcW w:w="1693" w:type="dxa"/>
            <w:vAlign w:val="top"/>
          </w:tcPr>
          <w:p w14:paraId="6864541D">
            <w:pPr>
              <w:rPr>
                <w:rFonts w:ascii="Arial"/>
                <w:sz w:val="21"/>
              </w:rPr>
            </w:pPr>
          </w:p>
        </w:tc>
        <w:tc>
          <w:tcPr>
            <w:tcW w:w="845" w:type="dxa"/>
            <w:tcBorders>
              <w:right w:val="single" w:color="000000" w:sz="12" w:space="0"/>
            </w:tcBorders>
            <w:vAlign w:val="top"/>
          </w:tcPr>
          <w:p w14:paraId="093DCCDF">
            <w:pPr>
              <w:rPr>
                <w:rFonts w:ascii="Arial"/>
                <w:sz w:val="21"/>
              </w:rPr>
            </w:pPr>
          </w:p>
        </w:tc>
      </w:tr>
      <w:tr w14:paraId="291E5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50" w:type="dxa"/>
            <w:tcBorders>
              <w:left w:val="single" w:color="000000" w:sz="12" w:space="0"/>
            </w:tcBorders>
            <w:vAlign w:val="top"/>
          </w:tcPr>
          <w:p w14:paraId="5629E544">
            <w:pPr>
              <w:rPr>
                <w:rFonts w:ascii="Arial"/>
                <w:sz w:val="21"/>
              </w:rPr>
            </w:pPr>
          </w:p>
        </w:tc>
        <w:tc>
          <w:tcPr>
            <w:tcW w:w="1270" w:type="dxa"/>
            <w:vAlign w:val="top"/>
          </w:tcPr>
          <w:p w14:paraId="2156B6B3">
            <w:pPr>
              <w:rPr>
                <w:rFonts w:ascii="Arial"/>
                <w:sz w:val="21"/>
              </w:rPr>
            </w:pPr>
          </w:p>
        </w:tc>
        <w:tc>
          <w:tcPr>
            <w:tcW w:w="1554" w:type="dxa"/>
            <w:vAlign w:val="top"/>
          </w:tcPr>
          <w:p w14:paraId="02D6C811">
            <w:pPr>
              <w:rPr>
                <w:rFonts w:ascii="Arial"/>
                <w:sz w:val="21"/>
              </w:rPr>
            </w:pPr>
          </w:p>
        </w:tc>
        <w:tc>
          <w:tcPr>
            <w:tcW w:w="989" w:type="dxa"/>
            <w:vAlign w:val="top"/>
          </w:tcPr>
          <w:p w14:paraId="4D389252">
            <w:pPr>
              <w:pStyle w:val="6"/>
              <w:spacing w:before="224" w:line="232" w:lineRule="auto"/>
              <w:ind w:left="355"/>
            </w:pPr>
            <w:r>
              <w:rPr>
                <w:spacing w:val="-6"/>
              </w:rPr>
              <w:t>113</w:t>
            </w:r>
          </w:p>
        </w:tc>
        <w:tc>
          <w:tcPr>
            <w:tcW w:w="1272" w:type="dxa"/>
            <w:vAlign w:val="top"/>
          </w:tcPr>
          <w:p w14:paraId="5F0E1E98">
            <w:pPr>
              <w:spacing w:before="189" w:line="220" w:lineRule="auto"/>
              <w:ind w:left="223"/>
              <w:rPr>
                <w:rFonts w:ascii="宋体" w:hAnsi="宋体" w:eastAsia="宋体" w:cs="宋体"/>
                <w:sz w:val="21"/>
                <w:szCs w:val="21"/>
              </w:rPr>
            </w:pPr>
            <w:r>
              <w:rPr>
                <w:rFonts w:ascii="宋体" w:hAnsi="宋体" w:eastAsia="宋体" w:cs="宋体"/>
                <w:spacing w:val="-2"/>
                <w:sz w:val="21"/>
                <w:szCs w:val="21"/>
              </w:rPr>
              <w:t>灰眉岩鹀</w:t>
            </w:r>
          </w:p>
        </w:tc>
        <w:tc>
          <w:tcPr>
            <w:tcW w:w="1693" w:type="dxa"/>
            <w:vAlign w:val="top"/>
          </w:tcPr>
          <w:p w14:paraId="660AD536">
            <w:pPr>
              <w:pStyle w:val="6"/>
              <w:spacing w:before="103" w:line="233" w:lineRule="auto"/>
              <w:ind w:left="443"/>
            </w:pPr>
            <w:r>
              <w:rPr>
                <w:i/>
                <w:iCs/>
              </w:rPr>
              <w:t>Emberiza</w:t>
            </w:r>
          </w:p>
          <w:p w14:paraId="41AEF28B">
            <w:pPr>
              <w:pStyle w:val="6"/>
              <w:spacing w:before="7" w:line="190" w:lineRule="auto"/>
              <w:ind w:left="395"/>
            </w:pPr>
            <w:r>
              <w:rPr>
                <w:i/>
                <w:iCs/>
              </w:rPr>
              <w:t>godlewskii</w:t>
            </w:r>
          </w:p>
        </w:tc>
        <w:tc>
          <w:tcPr>
            <w:tcW w:w="845" w:type="dxa"/>
            <w:tcBorders>
              <w:right w:val="single" w:color="000000" w:sz="12" w:space="0"/>
            </w:tcBorders>
            <w:vAlign w:val="top"/>
          </w:tcPr>
          <w:p w14:paraId="2BCF0494">
            <w:pPr>
              <w:rPr>
                <w:rFonts w:ascii="Arial"/>
                <w:sz w:val="21"/>
              </w:rPr>
            </w:pPr>
          </w:p>
        </w:tc>
      </w:tr>
      <w:tr w14:paraId="05DA6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50" w:type="dxa"/>
            <w:tcBorders>
              <w:left w:val="single" w:color="000000" w:sz="12" w:space="0"/>
            </w:tcBorders>
            <w:vAlign w:val="top"/>
          </w:tcPr>
          <w:p w14:paraId="12531C0F">
            <w:pPr>
              <w:pStyle w:val="6"/>
              <w:spacing w:before="128" w:line="228" w:lineRule="auto"/>
              <w:ind w:left="270"/>
            </w:pPr>
            <w:r>
              <w:rPr>
                <w:spacing w:val="-6"/>
              </w:rPr>
              <w:t>166</w:t>
            </w:r>
          </w:p>
        </w:tc>
        <w:tc>
          <w:tcPr>
            <w:tcW w:w="1270" w:type="dxa"/>
            <w:vAlign w:val="top"/>
          </w:tcPr>
          <w:p w14:paraId="67ADC278">
            <w:pPr>
              <w:spacing w:before="95" w:line="220" w:lineRule="auto"/>
              <w:ind w:left="312"/>
              <w:rPr>
                <w:rFonts w:ascii="宋体" w:hAnsi="宋体" w:eastAsia="宋体" w:cs="宋体"/>
                <w:sz w:val="21"/>
                <w:szCs w:val="21"/>
              </w:rPr>
            </w:pPr>
            <w:r>
              <w:rPr>
                <w:rFonts w:ascii="宋体" w:hAnsi="宋体" w:eastAsia="宋体" w:cs="宋体"/>
                <w:spacing w:val="-2"/>
                <w:sz w:val="21"/>
                <w:szCs w:val="21"/>
              </w:rPr>
              <w:t>栗耳鹀</w:t>
            </w:r>
          </w:p>
        </w:tc>
        <w:tc>
          <w:tcPr>
            <w:tcW w:w="1554" w:type="dxa"/>
            <w:vAlign w:val="top"/>
          </w:tcPr>
          <w:p w14:paraId="12362AC1">
            <w:pPr>
              <w:pStyle w:val="6"/>
              <w:spacing w:before="128" w:line="190" w:lineRule="auto"/>
              <w:ind w:left="70"/>
            </w:pPr>
            <w:r>
              <w:rPr>
                <w:i/>
                <w:iCs/>
                <w:spacing w:val="2"/>
              </w:rPr>
              <w:t>Emberiza</w:t>
            </w:r>
            <w:r>
              <w:rPr>
                <w:i/>
                <w:iCs/>
                <w:spacing w:val="-25"/>
              </w:rPr>
              <w:t xml:space="preserve"> </w:t>
            </w:r>
            <w:r>
              <w:rPr>
                <w:i/>
                <w:iCs/>
                <w:spacing w:val="2"/>
              </w:rPr>
              <w:t>fucata</w:t>
            </w:r>
          </w:p>
        </w:tc>
        <w:tc>
          <w:tcPr>
            <w:tcW w:w="989" w:type="dxa"/>
            <w:vAlign w:val="top"/>
          </w:tcPr>
          <w:p w14:paraId="7256F5CB">
            <w:pPr>
              <w:rPr>
                <w:rFonts w:ascii="Arial"/>
                <w:sz w:val="21"/>
              </w:rPr>
            </w:pPr>
          </w:p>
        </w:tc>
        <w:tc>
          <w:tcPr>
            <w:tcW w:w="1272" w:type="dxa"/>
            <w:vAlign w:val="top"/>
          </w:tcPr>
          <w:p w14:paraId="5F34588D">
            <w:pPr>
              <w:rPr>
                <w:rFonts w:ascii="Arial"/>
                <w:sz w:val="21"/>
              </w:rPr>
            </w:pPr>
          </w:p>
        </w:tc>
        <w:tc>
          <w:tcPr>
            <w:tcW w:w="1693" w:type="dxa"/>
            <w:vAlign w:val="top"/>
          </w:tcPr>
          <w:p w14:paraId="75DA44B3">
            <w:pPr>
              <w:rPr>
                <w:rFonts w:ascii="Arial"/>
                <w:sz w:val="21"/>
              </w:rPr>
            </w:pPr>
          </w:p>
        </w:tc>
        <w:tc>
          <w:tcPr>
            <w:tcW w:w="845" w:type="dxa"/>
            <w:tcBorders>
              <w:right w:val="single" w:color="000000" w:sz="12" w:space="0"/>
            </w:tcBorders>
            <w:vAlign w:val="top"/>
          </w:tcPr>
          <w:p w14:paraId="36B64F6C">
            <w:pPr>
              <w:rPr>
                <w:rFonts w:ascii="Arial"/>
                <w:sz w:val="21"/>
              </w:rPr>
            </w:pPr>
          </w:p>
        </w:tc>
      </w:tr>
      <w:tr w14:paraId="3E84A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0" w:type="dxa"/>
            <w:tcBorders>
              <w:left w:val="single" w:color="000000" w:sz="12" w:space="0"/>
            </w:tcBorders>
            <w:vAlign w:val="top"/>
          </w:tcPr>
          <w:p w14:paraId="0A08467F">
            <w:pPr>
              <w:pStyle w:val="6"/>
              <w:spacing w:before="130" w:line="227" w:lineRule="auto"/>
              <w:ind w:left="270"/>
            </w:pPr>
            <w:r>
              <w:rPr>
                <w:spacing w:val="-6"/>
              </w:rPr>
              <w:t>167</w:t>
            </w:r>
          </w:p>
        </w:tc>
        <w:tc>
          <w:tcPr>
            <w:tcW w:w="1270" w:type="dxa"/>
            <w:vAlign w:val="top"/>
          </w:tcPr>
          <w:p w14:paraId="622C7366">
            <w:pPr>
              <w:spacing w:before="97" w:line="220" w:lineRule="auto"/>
              <w:ind w:left="423"/>
              <w:rPr>
                <w:rFonts w:ascii="宋体" w:hAnsi="宋体" w:eastAsia="宋体" w:cs="宋体"/>
                <w:sz w:val="21"/>
                <w:szCs w:val="21"/>
              </w:rPr>
            </w:pPr>
            <w:r>
              <w:rPr>
                <w:rFonts w:ascii="宋体" w:hAnsi="宋体" w:eastAsia="宋体" w:cs="宋体"/>
                <w:spacing w:val="-4"/>
                <w:sz w:val="21"/>
                <w:szCs w:val="21"/>
              </w:rPr>
              <w:t>小鹀</w:t>
            </w:r>
          </w:p>
        </w:tc>
        <w:tc>
          <w:tcPr>
            <w:tcW w:w="1554" w:type="dxa"/>
            <w:vAlign w:val="top"/>
          </w:tcPr>
          <w:p w14:paraId="5D0F96F6">
            <w:pPr>
              <w:pStyle w:val="6"/>
              <w:spacing w:before="131" w:line="190" w:lineRule="auto"/>
              <w:ind w:left="46"/>
            </w:pPr>
            <w:r>
              <w:rPr>
                <w:i/>
                <w:iCs/>
                <w:spacing w:val="3"/>
              </w:rPr>
              <w:t>Emberizapusilla</w:t>
            </w:r>
          </w:p>
        </w:tc>
        <w:tc>
          <w:tcPr>
            <w:tcW w:w="989" w:type="dxa"/>
            <w:vAlign w:val="top"/>
          </w:tcPr>
          <w:p w14:paraId="7A273011">
            <w:pPr>
              <w:pStyle w:val="6"/>
              <w:spacing w:before="130" w:line="227" w:lineRule="auto"/>
              <w:ind w:left="355"/>
            </w:pPr>
            <w:r>
              <w:rPr>
                <w:spacing w:val="-6"/>
              </w:rPr>
              <w:t>114</w:t>
            </w:r>
          </w:p>
        </w:tc>
        <w:tc>
          <w:tcPr>
            <w:tcW w:w="1272" w:type="dxa"/>
            <w:vAlign w:val="top"/>
          </w:tcPr>
          <w:p w14:paraId="19120B26">
            <w:pPr>
              <w:spacing w:before="97" w:line="220" w:lineRule="auto"/>
              <w:ind w:left="437"/>
              <w:rPr>
                <w:rFonts w:ascii="宋体" w:hAnsi="宋体" w:eastAsia="宋体" w:cs="宋体"/>
                <w:sz w:val="21"/>
                <w:szCs w:val="21"/>
              </w:rPr>
            </w:pPr>
            <w:r>
              <w:rPr>
                <w:rFonts w:ascii="宋体" w:hAnsi="宋体" w:eastAsia="宋体" w:cs="宋体"/>
                <w:spacing w:val="-4"/>
                <w:sz w:val="21"/>
                <w:szCs w:val="21"/>
              </w:rPr>
              <w:t>小鹀</w:t>
            </w:r>
          </w:p>
        </w:tc>
        <w:tc>
          <w:tcPr>
            <w:tcW w:w="1693" w:type="dxa"/>
            <w:vAlign w:val="top"/>
          </w:tcPr>
          <w:p w14:paraId="1679EF9E">
            <w:pPr>
              <w:pStyle w:val="6"/>
              <w:spacing w:before="131" w:line="190" w:lineRule="auto"/>
              <w:ind w:left="130"/>
            </w:pPr>
            <w:r>
              <w:rPr>
                <w:i/>
                <w:iCs/>
                <w:spacing w:val="3"/>
              </w:rPr>
              <w:t>Emberizapusilla</w:t>
            </w:r>
          </w:p>
        </w:tc>
        <w:tc>
          <w:tcPr>
            <w:tcW w:w="845" w:type="dxa"/>
            <w:tcBorders>
              <w:right w:val="single" w:color="000000" w:sz="12" w:space="0"/>
            </w:tcBorders>
            <w:vAlign w:val="top"/>
          </w:tcPr>
          <w:p w14:paraId="651D38EC">
            <w:pPr>
              <w:rPr>
                <w:rFonts w:ascii="Arial"/>
                <w:sz w:val="21"/>
              </w:rPr>
            </w:pPr>
          </w:p>
        </w:tc>
      </w:tr>
      <w:tr w14:paraId="406A6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50" w:type="dxa"/>
            <w:tcBorders>
              <w:left w:val="single" w:color="000000" w:sz="12" w:space="0"/>
            </w:tcBorders>
            <w:vAlign w:val="top"/>
          </w:tcPr>
          <w:p w14:paraId="3345D3CF">
            <w:pPr>
              <w:pStyle w:val="6"/>
              <w:spacing w:before="231" w:line="232" w:lineRule="auto"/>
              <w:ind w:left="270"/>
            </w:pPr>
            <w:r>
              <w:rPr>
                <w:spacing w:val="-6"/>
              </w:rPr>
              <w:t>168</w:t>
            </w:r>
          </w:p>
        </w:tc>
        <w:tc>
          <w:tcPr>
            <w:tcW w:w="1270" w:type="dxa"/>
            <w:vAlign w:val="top"/>
          </w:tcPr>
          <w:p w14:paraId="3F1618FA">
            <w:pPr>
              <w:spacing w:before="196" w:line="220" w:lineRule="auto"/>
              <w:ind w:left="312"/>
              <w:rPr>
                <w:rFonts w:ascii="宋体" w:hAnsi="宋体" w:eastAsia="宋体" w:cs="宋体"/>
                <w:sz w:val="21"/>
                <w:szCs w:val="21"/>
              </w:rPr>
            </w:pPr>
            <w:r>
              <w:rPr>
                <w:rFonts w:ascii="宋体" w:hAnsi="宋体" w:eastAsia="宋体" w:cs="宋体"/>
                <w:spacing w:val="-2"/>
                <w:sz w:val="21"/>
                <w:szCs w:val="21"/>
              </w:rPr>
              <w:t>黄喉鹀</w:t>
            </w:r>
          </w:p>
        </w:tc>
        <w:tc>
          <w:tcPr>
            <w:tcW w:w="1554" w:type="dxa"/>
            <w:vAlign w:val="top"/>
          </w:tcPr>
          <w:p w14:paraId="7139B9B2">
            <w:pPr>
              <w:pStyle w:val="6"/>
              <w:spacing w:before="110" w:line="190" w:lineRule="auto"/>
              <w:ind w:left="358"/>
            </w:pPr>
            <w:r>
              <w:rPr>
                <w:i/>
                <w:iCs/>
              </w:rPr>
              <w:t>Emberiza</w:t>
            </w:r>
          </w:p>
          <w:p w14:paraId="70601631">
            <w:pPr>
              <w:pStyle w:val="6"/>
              <w:spacing w:before="50" w:line="190" w:lineRule="auto"/>
              <w:ind w:left="451"/>
            </w:pPr>
            <w:r>
              <w:rPr>
                <w:i/>
                <w:iCs/>
                <w:spacing w:val="-1"/>
              </w:rPr>
              <w:t>elegans</w:t>
            </w:r>
          </w:p>
        </w:tc>
        <w:tc>
          <w:tcPr>
            <w:tcW w:w="989" w:type="dxa"/>
            <w:vAlign w:val="top"/>
          </w:tcPr>
          <w:p w14:paraId="2F4F6688">
            <w:pPr>
              <w:pStyle w:val="6"/>
              <w:spacing w:before="231" w:line="232" w:lineRule="auto"/>
              <w:ind w:left="355"/>
            </w:pPr>
            <w:r>
              <w:rPr>
                <w:spacing w:val="-6"/>
              </w:rPr>
              <w:t>115</w:t>
            </w:r>
          </w:p>
        </w:tc>
        <w:tc>
          <w:tcPr>
            <w:tcW w:w="1272" w:type="dxa"/>
            <w:vAlign w:val="top"/>
          </w:tcPr>
          <w:p w14:paraId="3F609ACC">
            <w:pPr>
              <w:spacing w:before="196" w:line="220" w:lineRule="auto"/>
              <w:ind w:left="325"/>
              <w:rPr>
                <w:rFonts w:ascii="宋体" w:hAnsi="宋体" w:eastAsia="宋体" w:cs="宋体"/>
                <w:sz w:val="21"/>
                <w:szCs w:val="21"/>
              </w:rPr>
            </w:pPr>
            <w:r>
              <w:rPr>
                <w:rFonts w:ascii="宋体" w:hAnsi="宋体" w:eastAsia="宋体" w:cs="宋体"/>
                <w:spacing w:val="-2"/>
                <w:sz w:val="21"/>
                <w:szCs w:val="21"/>
              </w:rPr>
              <w:t>黄喉鹀</w:t>
            </w:r>
          </w:p>
        </w:tc>
        <w:tc>
          <w:tcPr>
            <w:tcW w:w="1693" w:type="dxa"/>
            <w:vAlign w:val="top"/>
          </w:tcPr>
          <w:p w14:paraId="03443EA3">
            <w:pPr>
              <w:pStyle w:val="6"/>
              <w:spacing w:before="230" w:line="190" w:lineRule="auto"/>
              <w:ind w:left="96"/>
            </w:pPr>
            <w:r>
              <w:rPr>
                <w:i/>
                <w:iCs/>
              </w:rPr>
              <w:t>Emberiza</w:t>
            </w:r>
            <w:r>
              <w:rPr>
                <w:i/>
                <w:iCs/>
                <w:spacing w:val="5"/>
              </w:rPr>
              <w:t xml:space="preserve"> </w:t>
            </w:r>
            <w:r>
              <w:rPr>
                <w:i/>
                <w:iCs/>
              </w:rPr>
              <w:t>elegans</w:t>
            </w:r>
          </w:p>
        </w:tc>
        <w:tc>
          <w:tcPr>
            <w:tcW w:w="845" w:type="dxa"/>
            <w:tcBorders>
              <w:right w:val="single" w:color="000000" w:sz="12" w:space="0"/>
            </w:tcBorders>
            <w:vAlign w:val="top"/>
          </w:tcPr>
          <w:p w14:paraId="4D6113D0">
            <w:pPr>
              <w:rPr>
                <w:rFonts w:ascii="Arial"/>
                <w:sz w:val="21"/>
              </w:rPr>
            </w:pPr>
          </w:p>
        </w:tc>
      </w:tr>
      <w:tr w14:paraId="1CA94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50" w:type="dxa"/>
            <w:tcBorders>
              <w:left w:val="single" w:color="000000" w:sz="12" w:space="0"/>
              <w:bottom w:val="single" w:color="000000" w:sz="12" w:space="0"/>
            </w:tcBorders>
            <w:vAlign w:val="top"/>
          </w:tcPr>
          <w:p w14:paraId="102D3606">
            <w:pPr>
              <w:pStyle w:val="6"/>
              <w:spacing w:before="250" w:line="232" w:lineRule="auto"/>
              <w:ind w:left="270"/>
            </w:pPr>
            <w:r>
              <w:rPr>
                <w:spacing w:val="-6"/>
              </w:rPr>
              <w:t>169</w:t>
            </w:r>
          </w:p>
        </w:tc>
        <w:tc>
          <w:tcPr>
            <w:tcW w:w="1270" w:type="dxa"/>
            <w:tcBorders>
              <w:bottom w:val="single" w:color="000000" w:sz="12" w:space="0"/>
            </w:tcBorders>
            <w:vAlign w:val="top"/>
          </w:tcPr>
          <w:p w14:paraId="1073A4B0">
            <w:pPr>
              <w:spacing w:before="216" w:line="220" w:lineRule="auto"/>
              <w:ind w:left="312"/>
              <w:rPr>
                <w:rFonts w:ascii="宋体" w:hAnsi="宋体" w:eastAsia="宋体" w:cs="宋体"/>
                <w:sz w:val="21"/>
                <w:szCs w:val="21"/>
              </w:rPr>
            </w:pPr>
            <w:r>
              <w:rPr>
                <w:rFonts w:ascii="宋体" w:hAnsi="宋体" w:eastAsia="宋体" w:cs="宋体"/>
                <w:spacing w:val="-2"/>
                <w:sz w:val="21"/>
                <w:szCs w:val="21"/>
              </w:rPr>
              <w:t>黄胸鹀</w:t>
            </w:r>
          </w:p>
        </w:tc>
        <w:tc>
          <w:tcPr>
            <w:tcW w:w="1554" w:type="dxa"/>
            <w:tcBorders>
              <w:bottom w:val="single" w:color="000000" w:sz="12" w:space="0"/>
            </w:tcBorders>
            <w:vAlign w:val="top"/>
          </w:tcPr>
          <w:p w14:paraId="1EE71BEA">
            <w:pPr>
              <w:pStyle w:val="6"/>
              <w:spacing w:before="129" w:line="190" w:lineRule="auto"/>
              <w:ind w:left="358"/>
            </w:pPr>
            <w:r>
              <w:rPr>
                <w:i/>
                <w:iCs/>
              </w:rPr>
              <w:t>Emberiza</w:t>
            </w:r>
          </w:p>
          <w:p w14:paraId="111F21E9">
            <w:pPr>
              <w:pStyle w:val="6"/>
              <w:spacing w:before="49" w:line="233" w:lineRule="auto"/>
              <w:ind w:left="444"/>
            </w:pPr>
            <w:r>
              <w:rPr>
                <w:i/>
                <w:iCs/>
                <w:spacing w:val="-1"/>
              </w:rPr>
              <w:t>aureola</w:t>
            </w:r>
          </w:p>
        </w:tc>
        <w:tc>
          <w:tcPr>
            <w:tcW w:w="989" w:type="dxa"/>
            <w:tcBorders>
              <w:bottom w:val="single" w:color="000000" w:sz="12" w:space="0"/>
            </w:tcBorders>
            <w:vAlign w:val="top"/>
          </w:tcPr>
          <w:p w14:paraId="52B0BB51">
            <w:pPr>
              <w:rPr>
                <w:rFonts w:ascii="Arial"/>
                <w:sz w:val="21"/>
              </w:rPr>
            </w:pPr>
          </w:p>
        </w:tc>
        <w:tc>
          <w:tcPr>
            <w:tcW w:w="1272" w:type="dxa"/>
            <w:tcBorders>
              <w:bottom w:val="single" w:color="000000" w:sz="12" w:space="0"/>
            </w:tcBorders>
            <w:vAlign w:val="top"/>
          </w:tcPr>
          <w:p w14:paraId="64AE240B">
            <w:pPr>
              <w:rPr>
                <w:rFonts w:ascii="Arial"/>
                <w:sz w:val="21"/>
              </w:rPr>
            </w:pPr>
          </w:p>
        </w:tc>
        <w:tc>
          <w:tcPr>
            <w:tcW w:w="1693" w:type="dxa"/>
            <w:tcBorders>
              <w:bottom w:val="single" w:color="000000" w:sz="12" w:space="0"/>
            </w:tcBorders>
            <w:vAlign w:val="top"/>
          </w:tcPr>
          <w:p w14:paraId="15162637">
            <w:pPr>
              <w:rPr>
                <w:rFonts w:ascii="Arial"/>
                <w:sz w:val="21"/>
              </w:rPr>
            </w:pPr>
          </w:p>
        </w:tc>
        <w:tc>
          <w:tcPr>
            <w:tcW w:w="845" w:type="dxa"/>
            <w:tcBorders>
              <w:bottom w:val="single" w:color="000000" w:sz="12" w:space="0"/>
              <w:right w:val="single" w:color="000000" w:sz="12" w:space="0"/>
            </w:tcBorders>
            <w:vAlign w:val="top"/>
          </w:tcPr>
          <w:p w14:paraId="43957432">
            <w:pPr>
              <w:pStyle w:val="6"/>
              <w:spacing w:before="133" w:line="222" w:lineRule="auto"/>
              <w:ind w:left="291" w:right="82" w:hanging="213"/>
            </w:pPr>
            <w:r>
              <w:rPr>
                <w:spacing w:val="-8"/>
              </w:rPr>
              <w:t>EN-C</w:t>
            </w:r>
            <w:r>
              <w:rPr>
                <w:rFonts w:ascii="宋体" w:hAnsi="宋体" w:eastAsia="宋体" w:cs="宋体"/>
                <w:spacing w:val="-8"/>
              </w:rPr>
              <w:t>、</w:t>
            </w:r>
            <w:r>
              <w:rPr>
                <w:rFonts w:ascii="宋体" w:hAnsi="宋体" w:eastAsia="宋体" w:cs="宋体"/>
                <w:spacing w:val="3"/>
              </w:rPr>
              <w:t xml:space="preserve"> </w:t>
            </w:r>
            <w:r>
              <w:rPr>
                <w:spacing w:val="-2"/>
              </w:rPr>
              <w:t>CR</w:t>
            </w:r>
          </w:p>
        </w:tc>
      </w:tr>
    </w:tbl>
    <w:p w14:paraId="61C53148">
      <w:pPr>
        <w:pStyle w:val="2"/>
        <w:spacing w:before="31" w:line="233" w:lineRule="auto"/>
        <w:ind w:left="40"/>
        <w:rPr>
          <w:sz w:val="21"/>
          <w:szCs w:val="21"/>
        </w:rPr>
      </w:pPr>
      <w:r>
        <w:rPr>
          <w:spacing w:val="-2"/>
          <w:sz w:val="21"/>
          <w:szCs w:val="21"/>
        </w:rPr>
        <w:t>备注：表中阴影部分为施工期监测新增的</w:t>
      </w:r>
      <w:r>
        <w:rPr>
          <w:spacing w:val="-35"/>
          <w:sz w:val="21"/>
          <w:szCs w:val="21"/>
        </w:rPr>
        <w:t xml:space="preserve"> </w:t>
      </w:r>
      <w:r>
        <w:rPr>
          <w:rFonts w:ascii="Times New Roman" w:hAnsi="Times New Roman" w:eastAsia="Times New Roman" w:cs="Times New Roman"/>
          <w:spacing w:val="-2"/>
          <w:sz w:val="21"/>
          <w:szCs w:val="21"/>
        </w:rPr>
        <w:t xml:space="preserve">28 </w:t>
      </w:r>
      <w:r>
        <w:rPr>
          <w:spacing w:val="-2"/>
          <w:sz w:val="21"/>
          <w:szCs w:val="21"/>
        </w:rPr>
        <w:t>种鸟类。</w:t>
      </w:r>
    </w:p>
    <w:p w14:paraId="649355A9">
      <w:pPr>
        <w:pStyle w:val="2"/>
        <w:spacing w:before="259" w:line="338" w:lineRule="auto"/>
        <w:ind w:left="43" w:right="30" w:firstLine="475"/>
        <w:rPr>
          <w:sz w:val="24"/>
          <w:szCs w:val="24"/>
        </w:rPr>
      </w:pPr>
      <w:r>
        <w:rPr>
          <w:spacing w:val="-4"/>
          <w:sz w:val="24"/>
          <w:szCs w:val="24"/>
        </w:rPr>
        <w:t>施工期监测中未记录到环评阶段记录的雀鹰、苍鹰、鹊</w:t>
      </w:r>
      <w:r>
        <w:rPr>
          <w:spacing w:val="-5"/>
          <w:sz w:val="24"/>
          <w:szCs w:val="24"/>
        </w:rPr>
        <w:t>鹞、画眉、滇䴓和黄胸</w:t>
      </w:r>
      <w:r>
        <w:rPr>
          <w:spacing w:val="-1"/>
          <w:sz w:val="24"/>
          <w:szCs w:val="24"/>
        </w:rPr>
        <w:t>鹀。施工期新增鸟类名录、保护情况及发现方式见表</w:t>
      </w:r>
      <w:r>
        <w:rPr>
          <w:spacing w:val="-44"/>
          <w:sz w:val="24"/>
          <w:szCs w:val="24"/>
        </w:rPr>
        <w:t xml:space="preserve"> </w:t>
      </w:r>
      <w:r>
        <w:rPr>
          <w:rFonts w:ascii="Times New Roman" w:hAnsi="Times New Roman" w:eastAsia="Times New Roman" w:cs="Times New Roman"/>
          <w:spacing w:val="-1"/>
          <w:sz w:val="24"/>
          <w:szCs w:val="24"/>
        </w:rPr>
        <w:t>6.1-13</w:t>
      </w:r>
      <w:r>
        <w:rPr>
          <w:spacing w:val="-1"/>
          <w:sz w:val="24"/>
          <w:szCs w:val="24"/>
        </w:rPr>
        <w:t>。</w:t>
      </w:r>
    </w:p>
    <w:p w14:paraId="6043A723">
      <w:pPr>
        <w:pStyle w:val="2"/>
        <w:spacing w:before="1" w:line="225" w:lineRule="auto"/>
        <w:ind w:left="279"/>
        <w:rPr>
          <w:sz w:val="24"/>
          <w:szCs w:val="24"/>
        </w:rPr>
      </w:pPr>
      <w:r>
        <w:rPr>
          <w:b/>
          <w:bCs/>
          <w:spacing w:val="-1"/>
          <w:sz w:val="24"/>
          <w:szCs w:val="24"/>
        </w:rPr>
        <w:t>表</w:t>
      </w:r>
      <w:r>
        <w:rPr>
          <w:spacing w:val="-37"/>
          <w:sz w:val="24"/>
          <w:szCs w:val="24"/>
        </w:rPr>
        <w:t xml:space="preserve"> </w:t>
      </w:r>
      <w:r>
        <w:rPr>
          <w:rFonts w:ascii="Times New Roman" w:hAnsi="Times New Roman" w:eastAsia="Times New Roman" w:cs="Times New Roman"/>
          <w:b/>
          <w:bCs/>
          <w:spacing w:val="-1"/>
          <w:sz w:val="24"/>
          <w:szCs w:val="24"/>
        </w:rPr>
        <w:t xml:space="preserve">6.1-13                            </w:t>
      </w:r>
      <w:r>
        <w:rPr>
          <w:b/>
          <w:bCs/>
          <w:spacing w:val="-1"/>
          <w:sz w:val="24"/>
          <w:szCs w:val="24"/>
        </w:rPr>
        <w:t>施工期监测新增鸟类名录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1602"/>
        <w:gridCol w:w="2577"/>
        <w:gridCol w:w="1162"/>
        <w:gridCol w:w="2301"/>
      </w:tblGrid>
      <w:tr w14:paraId="424CB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831" w:type="dxa"/>
            <w:tcBorders>
              <w:top w:val="single" w:color="000000" w:sz="12" w:space="0"/>
              <w:left w:val="single" w:color="000000" w:sz="12" w:space="0"/>
            </w:tcBorders>
            <w:vAlign w:val="top"/>
          </w:tcPr>
          <w:p w14:paraId="1672D597">
            <w:pPr>
              <w:spacing w:before="58" w:line="221" w:lineRule="auto"/>
              <w:ind w:left="190"/>
              <w:rPr>
                <w:rFonts w:ascii="宋体" w:hAnsi="宋体" w:eastAsia="宋体" w:cs="宋体"/>
                <w:sz w:val="21"/>
                <w:szCs w:val="21"/>
              </w:rPr>
            </w:pPr>
            <w:r>
              <w:rPr>
                <w:rFonts w:ascii="宋体" w:hAnsi="宋体" w:eastAsia="宋体" w:cs="宋体"/>
                <w:b/>
                <w:bCs/>
                <w:spacing w:val="-4"/>
                <w:sz w:val="21"/>
                <w:szCs w:val="21"/>
              </w:rPr>
              <w:t>序号</w:t>
            </w:r>
          </w:p>
        </w:tc>
        <w:tc>
          <w:tcPr>
            <w:tcW w:w="1602" w:type="dxa"/>
            <w:tcBorders>
              <w:top w:val="single" w:color="000000" w:sz="12" w:space="0"/>
            </w:tcBorders>
            <w:vAlign w:val="top"/>
          </w:tcPr>
          <w:p w14:paraId="281AC5DA">
            <w:pPr>
              <w:spacing w:before="58" w:line="220" w:lineRule="auto"/>
              <w:ind w:left="498"/>
              <w:rPr>
                <w:rFonts w:ascii="宋体" w:hAnsi="宋体" w:eastAsia="宋体" w:cs="宋体"/>
                <w:sz w:val="21"/>
                <w:szCs w:val="21"/>
              </w:rPr>
            </w:pPr>
            <w:r>
              <w:rPr>
                <w:rFonts w:ascii="宋体" w:hAnsi="宋体" w:eastAsia="宋体" w:cs="宋体"/>
                <w:b/>
                <w:bCs/>
                <w:spacing w:val="-8"/>
                <w:sz w:val="21"/>
                <w:szCs w:val="21"/>
              </w:rPr>
              <w:t>中文名</w:t>
            </w:r>
          </w:p>
        </w:tc>
        <w:tc>
          <w:tcPr>
            <w:tcW w:w="2577" w:type="dxa"/>
            <w:tcBorders>
              <w:top w:val="single" w:color="000000" w:sz="12" w:space="0"/>
            </w:tcBorders>
            <w:vAlign w:val="top"/>
          </w:tcPr>
          <w:p w14:paraId="4E8E3C65">
            <w:pPr>
              <w:spacing w:before="58" w:line="221" w:lineRule="auto"/>
              <w:ind w:left="974"/>
              <w:rPr>
                <w:rFonts w:ascii="宋体" w:hAnsi="宋体" w:eastAsia="宋体" w:cs="宋体"/>
                <w:sz w:val="21"/>
                <w:szCs w:val="21"/>
              </w:rPr>
            </w:pPr>
            <w:r>
              <w:rPr>
                <w:rFonts w:ascii="宋体" w:hAnsi="宋体" w:eastAsia="宋体" w:cs="宋体"/>
                <w:b/>
                <w:bCs/>
                <w:spacing w:val="-4"/>
                <w:sz w:val="21"/>
                <w:szCs w:val="21"/>
              </w:rPr>
              <w:t>拉丁名</w:t>
            </w:r>
          </w:p>
        </w:tc>
        <w:tc>
          <w:tcPr>
            <w:tcW w:w="1162" w:type="dxa"/>
            <w:tcBorders>
              <w:top w:val="single" w:color="000000" w:sz="12" w:space="0"/>
            </w:tcBorders>
            <w:vAlign w:val="top"/>
          </w:tcPr>
          <w:p w14:paraId="5DF28EF4">
            <w:pPr>
              <w:spacing w:before="58" w:line="220" w:lineRule="auto"/>
              <w:ind w:left="168"/>
              <w:rPr>
                <w:rFonts w:ascii="宋体" w:hAnsi="宋体" w:eastAsia="宋体" w:cs="宋体"/>
                <w:sz w:val="21"/>
                <w:szCs w:val="21"/>
              </w:rPr>
            </w:pPr>
            <w:r>
              <w:rPr>
                <w:rFonts w:ascii="宋体" w:hAnsi="宋体" w:eastAsia="宋体" w:cs="宋体"/>
                <w:b/>
                <w:bCs/>
                <w:spacing w:val="-4"/>
                <w:sz w:val="21"/>
                <w:szCs w:val="21"/>
              </w:rPr>
              <w:t>保护情况</w:t>
            </w:r>
          </w:p>
        </w:tc>
        <w:tc>
          <w:tcPr>
            <w:tcW w:w="2301" w:type="dxa"/>
            <w:tcBorders>
              <w:top w:val="single" w:color="000000" w:sz="12" w:space="0"/>
              <w:right w:val="single" w:color="000000" w:sz="12" w:space="0"/>
            </w:tcBorders>
            <w:vAlign w:val="top"/>
          </w:tcPr>
          <w:p w14:paraId="2DC0B0FB">
            <w:pPr>
              <w:spacing w:before="57" w:line="220" w:lineRule="auto"/>
              <w:ind w:left="948"/>
              <w:rPr>
                <w:rFonts w:ascii="宋体" w:hAnsi="宋体" w:eastAsia="宋体" w:cs="宋体"/>
                <w:sz w:val="21"/>
                <w:szCs w:val="21"/>
              </w:rPr>
            </w:pPr>
            <w:r>
              <w:rPr>
                <w:rFonts w:ascii="宋体" w:hAnsi="宋体" w:eastAsia="宋体" w:cs="宋体"/>
                <w:b/>
                <w:bCs/>
                <w:spacing w:val="-5"/>
                <w:sz w:val="21"/>
                <w:szCs w:val="21"/>
              </w:rPr>
              <w:t>来源</w:t>
            </w:r>
          </w:p>
        </w:tc>
      </w:tr>
      <w:tr w14:paraId="76D40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0B4FD751">
            <w:pPr>
              <w:pStyle w:val="6"/>
              <w:spacing w:before="119" w:line="212" w:lineRule="auto"/>
              <w:ind w:left="366"/>
            </w:pPr>
            <w:r>
              <w:t>1</w:t>
            </w:r>
          </w:p>
        </w:tc>
        <w:tc>
          <w:tcPr>
            <w:tcW w:w="1602" w:type="dxa"/>
            <w:vAlign w:val="top"/>
          </w:tcPr>
          <w:p w14:paraId="230173F8">
            <w:pPr>
              <w:spacing w:before="64" w:line="220" w:lineRule="auto"/>
              <w:ind w:left="78"/>
              <w:rPr>
                <w:rFonts w:ascii="宋体" w:hAnsi="宋体" w:eastAsia="宋体" w:cs="宋体"/>
                <w:sz w:val="21"/>
                <w:szCs w:val="21"/>
              </w:rPr>
            </w:pPr>
            <w:r>
              <w:rPr>
                <w:rFonts w:ascii="宋体" w:hAnsi="宋体" w:eastAsia="宋体" w:cs="宋体"/>
                <w:spacing w:val="-8"/>
                <w:sz w:val="21"/>
                <w:szCs w:val="21"/>
              </w:rPr>
              <w:t>白腹锦鸡</w:t>
            </w:r>
          </w:p>
        </w:tc>
        <w:tc>
          <w:tcPr>
            <w:tcW w:w="2577" w:type="dxa"/>
            <w:vAlign w:val="top"/>
          </w:tcPr>
          <w:p w14:paraId="0D913296">
            <w:pPr>
              <w:pStyle w:val="6"/>
              <w:spacing w:before="96" w:line="192" w:lineRule="auto"/>
              <w:ind w:left="59"/>
            </w:pPr>
            <w:r>
              <w:rPr>
                <w:i/>
                <w:iCs/>
                <w:spacing w:val="-1"/>
              </w:rPr>
              <w:t>Chrysolophus amherstiae</w:t>
            </w:r>
          </w:p>
        </w:tc>
        <w:tc>
          <w:tcPr>
            <w:tcW w:w="1162" w:type="dxa"/>
            <w:vAlign w:val="top"/>
          </w:tcPr>
          <w:p w14:paraId="7FF5BFBF">
            <w:pPr>
              <w:pStyle w:val="6"/>
              <w:spacing w:before="64" w:line="222" w:lineRule="auto"/>
              <w:ind w:left="412"/>
              <w:rPr>
                <w:rFonts w:ascii="宋体" w:hAnsi="宋体" w:eastAsia="宋体" w:cs="宋体"/>
              </w:rPr>
            </w:pPr>
            <w:r>
              <w:rPr>
                <w:spacing w:val="-3"/>
              </w:rPr>
              <w:t>Ⅱ</w:t>
            </w:r>
            <w:r>
              <w:rPr>
                <w:rFonts w:ascii="宋体" w:hAnsi="宋体" w:eastAsia="宋体" w:cs="宋体"/>
                <w:spacing w:val="-3"/>
              </w:rPr>
              <w:t>级</w:t>
            </w:r>
          </w:p>
        </w:tc>
        <w:tc>
          <w:tcPr>
            <w:tcW w:w="2301" w:type="dxa"/>
            <w:tcBorders>
              <w:right w:val="single" w:color="000000" w:sz="12" w:space="0"/>
            </w:tcBorders>
            <w:vAlign w:val="top"/>
          </w:tcPr>
          <w:p w14:paraId="3B911432">
            <w:pPr>
              <w:spacing w:before="58" w:line="219" w:lineRule="auto"/>
              <w:ind w:left="72"/>
              <w:rPr>
                <w:rFonts w:ascii="宋体" w:hAnsi="宋体" w:eastAsia="宋体" w:cs="宋体"/>
                <w:sz w:val="21"/>
                <w:szCs w:val="21"/>
              </w:rPr>
            </w:pPr>
            <w:r>
              <w:rPr>
                <w:rFonts w:ascii="宋体" w:hAnsi="宋体" w:eastAsia="宋体" w:cs="宋体"/>
                <w:spacing w:val="-2"/>
                <w:sz w:val="21"/>
                <w:szCs w:val="21"/>
              </w:rPr>
              <w:t>红外相机，鸣声</w:t>
            </w:r>
          </w:p>
        </w:tc>
      </w:tr>
      <w:tr w14:paraId="20974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73D53D72">
            <w:pPr>
              <w:pStyle w:val="6"/>
              <w:spacing w:before="123" w:line="210" w:lineRule="auto"/>
              <w:ind w:left="346"/>
            </w:pPr>
            <w:r>
              <w:t>2</w:t>
            </w:r>
          </w:p>
        </w:tc>
        <w:tc>
          <w:tcPr>
            <w:tcW w:w="1602" w:type="dxa"/>
            <w:vAlign w:val="top"/>
          </w:tcPr>
          <w:p w14:paraId="0C029B8D">
            <w:pPr>
              <w:spacing w:before="66" w:line="220" w:lineRule="auto"/>
              <w:ind w:left="47"/>
              <w:rPr>
                <w:rFonts w:ascii="宋体" w:hAnsi="宋体" w:eastAsia="宋体" w:cs="宋体"/>
                <w:sz w:val="21"/>
                <w:szCs w:val="21"/>
              </w:rPr>
            </w:pPr>
            <w:r>
              <w:rPr>
                <w:rFonts w:ascii="宋体" w:hAnsi="宋体" w:eastAsia="宋体" w:cs="宋体"/>
                <w:spacing w:val="-2"/>
                <w:sz w:val="21"/>
                <w:szCs w:val="21"/>
              </w:rPr>
              <w:t>斑嘴鸭</w:t>
            </w:r>
          </w:p>
        </w:tc>
        <w:tc>
          <w:tcPr>
            <w:tcW w:w="2577" w:type="dxa"/>
            <w:vAlign w:val="top"/>
          </w:tcPr>
          <w:p w14:paraId="508A99BA">
            <w:pPr>
              <w:pStyle w:val="6"/>
              <w:spacing w:before="98" w:line="192" w:lineRule="auto"/>
              <w:ind w:left="35"/>
            </w:pPr>
            <w:r>
              <w:rPr>
                <w:i/>
                <w:iCs/>
              </w:rPr>
              <w:t>Anas</w:t>
            </w:r>
            <w:r>
              <w:rPr>
                <w:i/>
                <w:iCs/>
                <w:spacing w:val="6"/>
              </w:rPr>
              <w:t xml:space="preserve"> </w:t>
            </w:r>
            <w:r>
              <w:rPr>
                <w:i/>
                <w:iCs/>
              </w:rPr>
              <w:t>zonorhyncha</w:t>
            </w:r>
          </w:p>
        </w:tc>
        <w:tc>
          <w:tcPr>
            <w:tcW w:w="1162" w:type="dxa"/>
            <w:vAlign w:val="top"/>
          </w:tcPr>
          <w:p w14:paraId="485087EB">
            <w:pPr>
              <w:rPr>
                <w:rFonts w:ascii="Arial"/>
                <w:sz w:val="21"/>
              </w:rPr>
            </w:pPr>
          </w:p>
        </w:tc>
        <w:tc>
          <w:tcPr>
            <w:tcW w:w="2301" w:type="dxa"/>
            <w:tcBorders>
              <w:right w:val="single" w:color="000000" w:sz="12" w:space="0"/>
            </w:tcBorders>
            <w:vAlign w:val="top"/>
          </w:tcPr>
          <w:p w14:paraId="28B6E7EF">
            <w:pPr>
              <w:spacing w:before="61"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244D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1D73B885">
            <w:pPr>
              <w:pStyle w:val="6"/>
              <w:spacing w:before="123" w:line="209" w:lineRule="auto"/>
              <w:ind w:left="350"/>
            </w:pPr>
            <w:r>
              <w:t>3</w:t>
            </w:r>
          </w:p>
        </w:tc>
        <w:tc>
          <w:tcPr>
            <w:tcW w:w="1602" w:type="dxa"/>
            <w:vAlign w:val="top"/>
          </w:tcPr>
          <w:p w14:paraId="61529A45">
            <w:pPr>
              <w:spacing w:before="67" w:line="220" w:lineRule="auto"/>
              <w:ind w:left="47"/>
              <w:rPr>
                <w:rFonts w:ascii="宋体" w:hAnsi="宋体" w:eastAsia="宋体" w:cs="宋体"/>
                <w:sz w:val="21"/>
                <w:szCs w:val="21"/>
              </w:rPr>
            </w:pPr>
            <w:r>
              <w:rPr>
                <w:rFonts w:ascii="宋体" w:hAnsi="宋体" w:eastAsia="宋体" w:cs="宋体"/>
                <w:spacing w:val="-2"/>
                <w:sz w:val="21"/>
                <w:szCs w:val="21"/>
              </w:rPr>
              <w:t>褐翅鸦鹃</w:t>
            </w:r>
          </w:p>
        </w:tc>
        <w:tc>
          <w:tcPr>
            <w:tcW w:w="2577" w:type="dxa"/>
            <w:vAlign w:val="top"/>
          </w:tcPr>
          <w:p w14:paraId="559EA1FF">
            <w:pPr>
              <w:pStyle w:val="6"/>
              <w:spacing w:before="102" w:line="190" w:lineRule="auto"/>
              <w:ind w:left="59"/>
            </w:pPr>
            <w:r>
              <w:rPr>
                <w:i/>
                <w:iCs/>
                <w:spacing w:val="-2"/>
              </w:rPr>
              <w:t>Centropus sinensis</w:t>
            </w:r>
          </w:p>
        </w:tc>
        <w:tc>
          <w:tcPr>
            <w:tcW w:w="1162" w:type="dxa"/>
            <w:vAlign w:val="top"/>
          </w:tcPr>
          <w:p w14:paraId="53AF3635">
            <w:pPr>
              <w:pStyle w:val="6"/>
              <w:spacing w:before="68" w:line="222" w:lineRule="auto"/>
              <w:ind w:left="412"/>
              <w:rPr>
                <w:rFonts w:ascii="宋体" w:hAnsi="宋体" w:eastAsia="宋体" w:cs="宋体"/>
              </w:rPr>
            </w:pPr>
            <w:r>
              <w:rPr>
                <w:spacing w:val="-3"/>
              </w:rPr>
              <w:t>Ⅱ</w:t>
            </w:r>
            <w:r>
              <w:rPr>
                <w:rFonts w:ascii="宋体" w:hAnsi="宋体" w:eastAsia="宋体" w:cs="宋体"/>
                <w:spacing w:val="-3"/>
              </w:rPr>
              <w:t>级</w:t>
            </w:r>
          </w:p>
        </w:tc>
        <w:tc>
          <w:tcPr>
            <w:tcW w:w="2301" w:type="dxa"/>
            <w:tcBorders>
              <w:right w:val="single" w:color="000000" w:sz="12" w:space="0"/>
            </w:tcBorders>
            <w:vAlign w:val="top"/>
          </w:tcPr>
          <w:p w14:paraId="267A409B">
            <w:pPr>
              <w:spacing w:before="62" w:line="220" w:lineRule="auto"/>
              <w:ind w:left="78"/>
              <w:rPr>
                <w:rFonts w:ascii="宋体" w:hAnsi="宋体" w:eastAsia="宋体" w:cs="宋体"/>
                <w:sz w:val="21"/>
                <w:szCs w:val="21"/>
              </w:rPr>
            </w:pPr>
            <w:r>
              <w:rPr>
                <w:rFonts w:ascii="宋体" w:hAnsi="宋体" w:eastAsia="宋体" w:cs="宋体"/>
                <w:spacing w:val="-5"/>
                <w:sz w:val="21"/>
                <w:szCs w:val="21"/>
              </w:rPr>
              <w:t>鸣声</w:t>
            </w:r>
          </w:p>
        </w:tc>
      </w:tr>
      <w:tr w14:paraId="770B5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61F91933">
            <w:pPr>
              <w:pStyle w:val="6"/>
              <w:spacing w:before="125" w:line="206" w:lineRule="auto"/>
              <w:ind w:left="345"/>
            </w:pPr>
            <w:r>
              <w:t>4</w:t>
            </w:r>
          </w:p>
        </w:tc>
        <w:tc>
          <w:tcPr>
            <w:tcW w:w="1602" w:type="dxa"/>
            <w:vAlign w:val="top"/>
          </w:tcPr>
          <w:p w14:paraId="46A0678A">
            <w:pPr>
              <w:spacing w:before="70" w:line="220" w:lineRule="auto"/>
              <w:ind w:left="50"/>
              <w:rPr>
                <w:rFonts w:ascii="宋体" w:hAnsi="宋体" w:eastAsia="宋体" w:cs="宋体"/>
                <w:sz w:val="21"/>
                <w:szCs w:val="21"/>
              </w:rPr>
            </w:pPr>
            <w:r>
              <w:rPr>
                <w:rFonts w:ascii="宋体" w:hAnsi="宋体" w:eastAsia="宋体" w:cs="宋体"/>
                <w:spacing w:val="-3"/>
                <w:sz w:val="21"/>
                <w:szCs w:val="21"/>
              </w:rPr>
              <w:t>大鹰鹃</w:t>
            </w:r>
          </w:p>
        </w:tc>
        <w:tc>
          <w:tcPr>
            <w:tcW w:w="2577" w:type="dxa"/>
            <w:vAlign w:val="top"/>
          </w:tcPr>
          <w:p w14:paraId="5C1A98B8">
            <w:pPr>
              <w:pStyle w:val="6"/>
              <w:spacing w:before="102" w:line="192" w:lineRule="auto"/>
              <w:ind w:left="40"/>
            </w:pPr>
            <w:r>
              <w:rPr>
                <w:i/>
                <w:iCs/>
              </w:rPr>
              <w:t>Hierococcyx</w:t>
            </w:r>
            <w:r>
              <w:rPr>
                <w:i/>
                <w:iCs/>
                <w:spacing w:val="1"/>
              </w:rPr>
              <w:t xml:space="preserve"> </w:t>
            </w:r>
            <w:r>
              <w:rPr>
                <w:i/>
                <w:iCs/>
              </w:rPr>
              <w:t>sparverioides</w:t>
            </w:r>
          </w:p>
        </w:tc>
        <w:tc>
          <w:tcPr>
            <w:tcW w:w="1162" w:type="dxa"/>
            <w:vAlign w:val="top"/>
          </w:tcPr>
          <w:p w14:paraId="5B702E99">
            <w:pPr>
              <w:rPr>
                <w:rFonts w:ascii="Arial"/>
                <w:sz w:val="21"/>
              </w:rPr>
            </w:pPr>
          </w:p>
        </w:tc>
        <w:tc>
          <w:tcPr>
            <w:tcW w:w="2301" w:type="dxa"/>
            <w:tcBorders>
              <w:right w:val="single" w:color="000000" w:sz="12" w:space="0"/>
            </w:tcBorders>
            <w:vAlign w:val="top"/>
          </w:tcPr>
          <w:p w14:paraId="40A45223">
            <w:pPr>
              <w:spacing w:before="64" w:line="219" w:lineRule="auto"/>
              <w:ind w:left="72"/>
              <w:rPr>
                <w:rFonts w:ascii="宋体" w:hAnsi="宋体" w:eastAsia="宋体" w:cs="宋体"/>
                <w:sz w:val="21"/>
                <w:szCs w:val="21"/>
              </w:rPr>
            </w:pPr>
            <w:r>
              <w:rPr>
                <w:rFonts w:ascii="宋体" w:hAnsi="宋体" w:eastAsia="宋体" w:cs="宋体"/>
                <w:spacing w:val="-3"/>
                <w:sz w:val="21"/>
                <w:szCs w:val="21"/>
              </w:rPr>
              <w:t>红外相机</w:t>
            </w:r>
          </w:p>
        </w:tc>
      </w:tr>
      <w:tr w14:paraId="7043D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5031880C">
            <w:pPr>
              <w:pStyle w:val="6"/>
              <w:spacing w:before="129" w:line="204" w:lineRule="auto"/>
              <w:ind w:left="352"/>
            </w:pPr>
            <w:r>
              <w:t>5</w:t>
            </w:r>
          </w:p>
        </w:tc>
        <w:tc>
          <w:tcPr>
            <w:tcW w:w="1602" w:type="dxa"/>
            <w:vAlign w:val="top"/>
          </w:tcPr>
          <w:p w14:paraId="45CA4C8A">
            <w:pPr>
              <w:spacing w:before="72" w:line="220" w:lineRule="auto"/>
              <w:ind w:left="67"/>
              <w:rPr>
                <w:rFonts w:ascii="宋体" w:hAnsi="宋体" w:eastAsia="宋体" w:cs="宋体"/>
                <w:sz w:val="21"/>
                <w:szCs w:val="21"/>
              </w:rPr>
            </w:pPr>
            <w:r>
              <w:rPr>
                <w:rFonts w:ascii="宋体" w:hAnsi="宋体" w:eastAsia="宋体" w:cs="宋体"/>
                <w:spacing w:val="-7"/>
                <w:sz w:val="21"/>
                <w:szCs w:val="21"/>
              </w:rPr>
              <w:t>中杜鹃</w:t>
            </w:r>
          </w:p>
        </w:tc>
        <w:tc>
          <w:tcPr>
            <w:tcW w:w="2577" w:type="dxa"/>
            <w:vAlign w:val="top"/>
          </w:tcPr>
          <w:p w14:paraId="2B7711BD">
            <w:pPr>
              <w:pStyle w:val="6"/>
              <w:spacing w:before="104" w:line="229" w:lineRule="auto"/>
              <w:ind w:left="59"/>
            </w:pPr>
            <w:r>
              <w:rPr>
                <w:i/>
                <w:iCs/>
                <w:spacing w:val="-1"/>
              </w:rPr>
              <w:t>Cuculus saturatus</w:t>
            </w:r>
          </w:p>
        </w:tc>
        <w:tc>
          <w:tcPr>
            <w:tcW w:w="1162" w:type="dxa"/>
            <w:vAlign w:val="top"/>
          </w:tcPr>
          <w:p w14:paraId="7C4EC197">
            <w:pPr>
              <w:rPr>
                <w:rFonts w:ascii="Arial"/>
                <w:sz w:val="21"/>
              </w:rPr>
            </w:pPr>
          </w:p>
        </w:tc>
        <w:tc>
          <w:tcPr>
            <w:tcW w:w="2301" w:type="dxa"/>
            <w:tcBorders>
              <w:right w:val="single" w:color="000000" w:sz="12" w:space="0"/>
            </w:tcBorders>
            <w:vAlign w:val="top"/>
          </w:tcPr>
          <w:p w14:paraId="0308E1A1">
            <w:pPr>
              <w:spacing w:before="67" w:line="220" w:lineRule="auto"/>
              <w:ind w:left="78"/>
              <w:rPr>
                <w:rFonts w:ascii="宋体" w:hAnsi="宋体" w:eastAsia="宋体" w:cs="宋体"/>
                <w:sz w:val="21"/>
                <w:szCs w:val="21"/>
              </w:rPr>
            </w:pPr>
            <w:r>
              <w:rPr>
                <w:rFonts w:ascii="宋体" w:hAnsi="宋体" w:eastAsia="宋体" w:cs="宋体"/>
                <w:spacing w:val="-5"/>
                <w:sz w:val="21"/>
                <w:szCs w:val="21"/>
              </w:rPr>
              <w:t>鸣声</w:t>
            </w:r>
          </w:p>
        </w:tc>
      </w:tr>
      <w:tr w14:paraId="5380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4F658C65">
            <w:pPr>
              <w:pStyle w:val="6"/>
              <w:spacing w:before="129" w:line="204" w:lineRule="auto"/>
              <w:ind w:left="351"/>
            </w:pPr>
            <w:r>
              <w:t>6</w:t>
            </w:r>
          </w:p>
        </w:tc>
        <w:tc>
          <w:tcPr>
            <w:tcW w:w="1602" w:type="dxa"/>
            <w:vAlign w:val="top"/>
          </w:tcPr>
          <w:p w14:paraId="0ADB419E">
            <w:pPr>
              <w:spacing w:before="74" w:line="220" w:lineRule="auto"/>
              <w:ind w:left="47"/>
              <w:rPr>
                <w:rFonts w:ascii="宋体" w:hAnsi="宋体" w:eastAsia="宋体" w:cs="宋体"/>
                <w:sz w:val="21"/>
                <w:szCs w:val="21"/>
              </w:rPr>
            </w:pPr>
            <w:r>
              <w:rPr>
                <w:rFonts w:ascii="宋体" w:hAnsi="宋体" w:eastAsia="宋体" w:cs="宋体"/>
                <w:spacing w:val="-2"/>
                <w:sz w:val="21"/>
                <w:szCs w:val="21"/>
              </w:rPr>
              <w:t>扇尾沙锥</w:t>
            </w:r>
          </w:p>
        </w:tc>
        <w:tc>
          <w:tcPr>
            <w:tcW w:w="2577" w:type="dxa"/>
            <w:vAlign w:val="top"/>
          </w:tcPr>
          <w:p w14:paraId="592514A1">
            <w:pPr>
              <w:pStyle w:val="6"/>
              <w:spacing w:before="105" w:line="192" w:lineRule="auto"/>
              <w:ind w:left="59"/>
            </w:pPr>
            <w:r>
              <w:rPr>
                <w:i/>
                <w:iCs/>
                <w:spacing w:val="-1"/>
              </w:rPr>
              <w:t>Gallinago gallinago</w:t>
            </w:r>
          </w:p>
        </w:tc>
        <w:tc>
          <w:tcPr>
            <w:tcW w:w="1162" w:type="dxa"/>
            <w:vAlign w:val="top"/>
          </w:tcPr>
          <w:p w14:paraId="7D81880F">
            <w:pPr>
              <w:rPr>
                <w:rFonts w:ascii="Arial"/>
                <w:sz w:val="21"/>
              </w:rPr>
            </w:pPr>
          </w:p>
        </w:tc>
        <w:tc>
          <w:tcPr>
            <w:tcW w:w="2301" w:type="dxa"/>
            <w:tcBorders>
              <w:right w:val="single" w:color="000000" w:sz="12" w:space="0"/>
            </w:tcBorders>
            <w:vAlign w:val="top"/>
          </w:tcPr>
          <w:p w14:paraId="60EC76A5">
            <w:pPr>
              <w:spacing w:before="68"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086FF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6817C2F7">
            <w:pPr>
              <w:pStyle w:val="6"/>
              <w:spacing w:before="130" w:line="201" w:lineRule="auto"/>
              <w:ind w:left="349"/>
            </w:pPr>
            <w:r>
              <w:t>7</w:t>
            </w:r>
          </w:p>
        </w:tc>
        <w:tc>
          <w:tcPr>
            <w:tcW w:w="1602" w:type="dxa"/>
            <w:vAlign w:val="top"/>
          </w:tcPr>
          <w:p w14:paraId="4F86680E">
            <w:pPr>
              <w:spacing w:before="75" w:line="220" w:lineRule="auto"/>
              <w:ind w:left="48"/>
              <w:rPr>
                <w:rFonts w:ascii="宋体" w:hAnsi="宋体" w:eastAsia="宋体" w:cs="宋体"/>
                <w:sz w:val="21"/>
                <w:szCs w:val="21"/>
              </w:rPr>
            </w:pPr>
            <w:r>
              <w:rPr>
                <w:rFonts w:ascii="宋体" w:hAnsi="宋体" w:eastAsia="宋体" w:cs="宋体"/>
                <w:spacing w:val="-3"/>
                <w:sz w:val="21"/>
                <w:szCs w:val="21"/>
              </w:rPr>
              <w:t>林鹬</w:t>
            </w:r>
          </w:p>
        </w:tc>
        <w:tc>
          <w:tcPr>
            <w:tcW w:w="2577" w:type="dxa"/>
            <w:vAlign w:val="top"/>
          </w:tcPr>
          <w:p w14:paraId="42011744">
            <w:pPr>
              <w:pStyle w:val="6"/>
              <w:spacing w:before="107" w:line="192" w:lineRule="auto"/>
              <w:ind w:left="60"/>
            </w:pPr>
            <w:r>
              <w:rPr>
                <w:i/>
                <w:iCs/>
                <w:spacing w:val="-3"/>
              </w:rPr>
              <w:t>Tringa glareola</w:t>
            </w:r>
          </w:p>
        </w:tc>
        <w:tc>
          <w:tcPr>
            <w:tcW w:w="1162" w:type="dxa"/>
            <w:vAlign w:val="top"/>
          </w:tcPr>
          <w:p w14:paraId="750F1D33">
            <w:pPr>
              <w:rPr>
                <w:rFonts w:ascii="Arial"/>
                <w:sz w:val="21"/>
              </w:rPr>
            </w:pPr>
          </w:p>
        </w:tc>
        <w:tc>
          <w:tcPr>
            <w:tcW w:w="2301" w:type="dxa"/>
            <w:tcBorders>
              <w:right w:val="single" w:color="000000" w:sz="12" w:space="0"/>
            </w:tcBorders>
            <w:vAlign w:val="top"/>
          </w:tcPr>
          <w:p w14:paraId="0B57A2B4">
            <w:pPr>
              <w:spacing w:before="70"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10CD1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59711914">
            <w:pPr>
              <w:pStyle w:val="6"/>
              <w:spacing w:before="132" w:line="200" w:lineRule="auto"/>
              <w:ind w:left="354"/>
            </w:pPr>
            <w:r>
              <w:t>8</w:t>
            </w:r>
          </w:p>
        </w:tc>
        <w:tc>
          <w:tcPr>
            <w:tcW w:w="1602" w:type="dxa"/>
            <w:vAlign w:val="top"/>
          </w:tcPr>
          <w:p w14:paraId="3D888FA4">
            <w:pPr>
              <w:spacing w:before="77" w:line="220" w:lineRule="auto"/>
              <w:ind w:left="52"/>
              <w:rPr>
                <w:rFonts w:ascii="宋体" w:hAnsi="宋体" w:eastAsia="宋体" w:cs="宋体"/>
                <w:sz w:val="21"/>
                <w:szCs w:val="21"/>
              </w:rPr>
            </w:pPr>
            <w:r>
              <w:rPr>
                <w:rFonts w:ascii="宋体" w:hAnsi="宋体" w:eastAsia="宋体" w:cs="宋体"/>
                <w:spacing w:val="-3"/>
                <w:sz w:val="21"/>
                <w:szCs w:val="21"/>
              </w:rPr>
              <w:t>牛背鹭</w:t>
            </w:r>
          </w:p>
        </w:tc>
        <w:tc>
          <w:tcPr>
            <w:tcW w:w="2577" w:type="dxa"/>
            <w:vAlign w:val="top"/>
          </w:tcPr>
          <w:p w14:paraId="07D69FD0">
            <w:pPr>
              <w:pStyle w:val="6"/>
              <w:spacing w:before="109" w:line="223" w:lineRule="auto"/>
              <w:ind w:left="40"/>
            </w:pPr>
            <w:r>
              <w:rPr>
                <w:i/>
                <w:iCs/>
              </w:rPr>
              <w:t>Bubulcus</w:t>
            </w:r>
            <w:r>
              <w:rPr>
                <w:i/>
                <w:iCs/>
                <w:spacing w:val="5"/>
              </w:rPr>
              <w:t xml:space="preserve"> </w:t>
            </w:r>
            <w:r>
              <w:rPr>
                <w:i/>
                <w:iCs/>
              </w:rPr>
              <w:t>ibis</w:t>
            </w:r>
          </w:p>
        </w:tc>
        <w:tc>
          <w:tcPr>
            <w:tcW w:w="1162" w:type="dxa"/>
            <w:vAlign w:val="top"/>
          </w:tcPr>
          <w:p w14:paraId="055F368F">
            <w:pPr>
              <w:rPr>
                <w:rFonts w:ascii="Arial"/>
                <w:sz w:val="21"/>
              </w:rPr>
            </w:pPr>
          </w:p>
        </w:tc>
        <w:tc>
          <w:tcPr>
            <w:tcW w:w="2301" w:type="dxa"/>
            <w:tcBorders>
              <w:right w:val="single" w:color="000000" w:sz="12" w:space="0"/>
            </w:tcBorders>
            <w:vAlign w:val="top"/>
          </w:tcPr>
          <w:p w14:paraId="5F5C511D">
            <w:pPr>
              <w:spacing w:before="72"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3FD33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44A9016F">
            <w:pPr>
              <w:pStyle w:val="6"/>
              <w:spacing w:before="135" w:line="198" w:lineRule="auto"/>
              <w:ind w:left="350"/>
            </w:pPr>
            <w:r>
              <w:t>9</w:t>
            </w:r>
          </w:p>
        </w:tc>
        <w:tc>
          <w:tcPr>
            <w:tcW w:w="1602" w:type="dxa"/>
            <w:vAlign w:val="top"/>
          </w:tcPr>
          <w:p w14:paraId="7E4BA84D">
            <w:pPr>
              <w:spacing w:before="80" w:line="219" w:lineRule="auto"/>
              <w:ind w:left="47"/>
              <w:rPr>
                <w:rFonts w:ascii="宋体" w:hAnsi="宋体" w:eastAsia="宋体" w:cs="宋体"/>
                <w:sz w:val="21"/>
                <w:szCs w:val="21"/>
              </w:rPr>
            </w:pPr>
            <w:r>
              <w:rPr>
                <w:rFonts w:ascii="宋体" w:hAnsi="宋体" w:eastAsia="宋体" w:cs="宋体"/>
                <w:spacing w:val="-2"/>
                <w:sz w:val="21"/>
                <w:szCs w:val="21"/>
              </w:rPr>
              <w:t>领角鸮</w:t>
            </w:r>
          </w:p>
        </w:tc>
        <w:tc>
          <w:tcPr>
            <w:tcW w:w="2577" w:type="dxa"/>
            <w:vAlign w:val="top"/>
          </w:tcPr>
          <w:p w14:paraId="6292F224">
            <w:pPr>
              <w:pStyle w:val="6"/>
              <w:spacing w:before="113" w:line="220" w:lineRule="auto"/>
              <w:ind w:left="58"/>
            </w:pPr>
            <w:r>
              <w:rPr>
                <w:i/>
                <w:iCs/>
                <w:spacing w:val="-2"/>
              </w:rPr>
              <w:t>Otus</w:t>
            </w:r>
            <w:r>
              <w:rPr>
                <w:i/>
                <w:iCs/>
                <w:spacing w:val="9"/>
              </w:rPr>
              <w:t xml:space="preserve"> </w:t>
            </w:r>
            <w:r>
              <w:rPr>
                <w:i/>
                <w:iCs/>
                <w:spacing w:val="-2"/>
              </w:rPr>
              <w:t>lettia</w:t>
            </w:r>
          </w:p>
        </w:tc>
        <w:tc>
          <w:tcPr>
            <w:tcW w:w="1162" w:type="dxa"/>
            <w:vAlign w:val="top"/>
          </w:tcPr>
          <w:p w14:paraId="112F2E01">
            <w:pPr>
              <w:pStyle w:val="6"/>
              <w:spacing w:before="80" w:line="222" w:lineRule="auto"/>
              <w:ind w:left="240"/>
            </w:pPr>
            <w:r>
              <w:rPr>
                <w:spacing w:val="-1"/>
              </w:rPr>
              <w:t>Ⅱ</w:t>
            </w:r>
            <w:r>
              <w:rPr>
                <w:rFonts w:ascii="宋体" w:hAnsi="宋体" w:eastAsia="宋体" w:cs="宋体"/>
                <w:spacing w:val="-1"/>
              </w:rPr>
              <w:t>级、</w:t>
            </w:r>
            <w:r>
              <w:rPr>
                <w:spacing w:val="-1"/>
              </w:rPr>
              <w:t>Ⅱ</w:t>
            </w:r>
          </w:p>
        </w:tc>
        <w:tc>
          <w:tcPr>
            <w:tcW w:w="2301" w:type="dxa"/>
            <w:tcBorders>
              <w:right w:val="single" w:color="000000" w:sz="12" w:space="0"/>
            </w:tcBorders>
            <w:vAlign w:val="top"/>
          </w:tcPr>
          <w:p w14:paraId="589C8409">
            <w:pPr>
              <w:spacing w:before="73" w:line="220" w:lineRule="auto"/>
              <w:ind w:left="70"/>
              <w:rPr>
                <w:rFonts w:ascii="宋体" w:hAnsi="宋体" w:eastAsia="宋体" w:cs="宋体"/>
                <w:sz w:val="21"/>
                <w:szCs w:val="21"/>
              </w:rPr>
            </w:pPr>
            <w:r>
              <w:rPr>
                <w:rFonts w:ascii="宋体" w:hAnsi="宋体" w:eastAsia="宋体" w:cs="宋体"/>
                <w:spacing w:val="-2"/>
                <w:sz w:val="21"/>
                <w:szCs w:val="21"/>
              </w:rPr>
              <w:t>夜间两爬调查记录鸣声</w:t>
            </w:r>
          </w:p>
        </w:tc>
      </w:tr>
      <w:tr w14:paraId="4CF68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2D148A45">
            <w:pPr>
              <w:pStyle w:val="6"/>
              <w:spacing w:before="136" w:line="195" w:lineRule="auto"/>
              <w:ind w:left="313"/>
            </w:pPr>
            <w:r>
              <w:rPr>
                <w:spacing w:val="-6"/>
              </w:rPr>
              <w:t>10</w:t>
            </w:r>
          </w:p>
        </w:tc>
        <w:tc>
          <w:tcPr>
            <w:tcW w:w="1602" w:type="dxa"/>
            <w:vAlign w:val="top"/>
          </w:tcPr>
          <w:p w14:paraId="42C6C948">
            <w:pPr>
              <w:spacing w:before="81" w:line="219" w:lineRule="auto"/>
              <w:ind w:left="47"/>
              <w:rPr>
                <w:rFonts w:ascii="宋体" w:hAnsi="宋体" w:eastAsia="宋体" w:cs="宋体"/>
                <w:sz w:val="21"/>
                <w:szCs w:val="21"/>
              </w:rPr>
            </w:pPr>
            <w:r>
              <w:rPr>
                <w:rFonts w:ascii="宋体" w:hAnsi="宋体" w:eastAsia="宋体" w:cs="宋体"/>
                <w:spacing w:val="-2"/>
                <w:sz w:val="21"/>
                <w:szCs w:val="21"/>
              </w:rPr>
              <w:t>斑头鸺鹠</w:t>
            </w:r>
          </w:p>
        </w:tc>
        <w:tc>
          <w:tcPr>
            <w:tcW w:w="2577" w:type="dxa"/>
            <w:vAlign w:val="top"/>
          </w:tcPr>
          <w:p w14:paraId="113F7096">
            <w:pPr>
              <w:pStyle w:val="6"/>
              <w:spacing w:before="113" w:line="218" w:lineRule="auto"/>
              <w:ind w:left="59"/>
            </w:pPr>
            <w:r>
              <w:rPr>
                <w:i/>
                <w:iCs/>
                <w:spacing w:val="-1"/>
              </w:rPr>
              <w:t>Glaucidium cuculoides</w:t>
            </w:r>
          </w:p>
        </w:tc>
        <w:tc>
          <w:tcPr>
            <w:tcW w:w="1162" w:type="dxa"/>
            <w:vAlign w:val="top"/>
          </w:tcPr>
          <w:p w14:paraId="14DD73B7">
            <w:pPr>
              <w:pStyle w:val="6"/>
              <w:spacing w:before="81" w:line="221" w:lineRule="auto"/>
              <w:ind w:left="240"/>
            </w:pPr>
            <w:r>
              <w:rPr>
                <w:spacing w:val="-1"/>
              </w:rPr>
              <w:t>Ⅱ</w:t>
            </w:r>
            <w:r>
              <w:rPr>
                <w:rFonts w:ascii="宋体" w:hAnsi="宋体" w:eastAsia="宋体" w:cs="宋体"/>
                <w:spacing w:val="-1"/>
              </w:rPr>
              <w:t>级、</w:t>
            </w:r>
            <w:r>
              <w:rPr>
                <w:spacing w:val="-1"/>
              </w:rPr>
              <w:t>Ⅱ</w:t>
            </w:r>
          </w:p>
        </w:tc>
        <w:tc>
          <w:tcPr>
            <w:tcW w:w="2301" w:type="dxa"/>
            <w:tcBorders>
              <w:right w:val="single" w:color="000000" w:sz="12" w:space="0"/>
            </w:tcBorders>
            <w:vAlign w:val="top"/>
          </w:tcPr>
          <w:p w14:paraId="7AB3495E">
            <w:pPr>
              <w:spacing w:before="75" w:line="220" w:lineRule="auto"/>
              <w:ind w:left="70"/>
              <w:rPr>
                <w:rFonts w:ascii="宋体" w:hAnsi="宋体" w:eastAsia="宋体" w:cs="宋体"/>
                <w:sz w:val="21"/>
                <w:szCs w:val="21"/>
              </w:rPr>
            </w:pPr>
            <w:r>
              <w:rPr>
                <w:rFonts w:ascii="宋体" w:hAnsi="宋体" w:eastAsia="宋体" w:cs="宋体"/>
                <w:spacing w:val="-2"/>
                <w:sz w:val="21"/>
                <w:szCs w:val="21"/>
              </w:rPr>
              <w:t>夜间两爬调查记录鸣声</w:t>
            </w:r>
          </w:p>
        </w:tc>
      </w:tr>
      <w:tr w14:paraId="6FC4B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5A63908A">
            <w:pPr>
              <w:pStyle w:val="6"/>
              <w:spacing w:before="138" w:line="195" w:lineRule="auto"/>
              <w:ind w:left="318"/>
            </w:pPr>
            <w:r>
              <w:rPr>
                <w:spacing w:val="-9"/>
              </w:rPr>
              <w:t>11</w:t>
            </w:r>
          </w:p>
        </w:tc>
        <w:tc>
          <w:tcPr>
            <w:tcW w:w="1602" w:type="dxa"/>
            <w:vAlign w:val="top"/>
          </w:tcPr>
          <w:p w14:paraId="42D7DF51">
            <w:pPr>
              <w:spacing w:before="83" w:line="220" w:lineRule="auto"/>
              <w:ind w:left="50"/>
              <w:rPr>
                <w:rFonts w:ascii="宋体" w:hAnsi="宋体" w:eastAsia="宋体" w:cs="宋体"/>
                <w:sz w:val="21"/>
                <w:szCs w:val="21"/>
              </w:rPr>
            </w:pPr>
            <w:r>
              <w:rPr>
                <w:rFonts w:ascii="宋体" w:hAnsi="宋体" w:eastAsia="宋体" w:cs="宋体"/>
                <w:spacing w:val="-2"/>
                <w:sz w:val="21"/>
                <w:szCs w:val="21"/>
              </w:rPr>
              <w:t>星头啄木鸟</w:t>
            </w:r>
          </w:p>
        </w:tc>
        <w:tc>
          <w:tcPr>
            <w:tcW w:w="2577" w:type="dxa"/>
            <w:vAlign w:val="top"/>
          </w:tcPr>
          <w:p w14:paraId="42DF46A4">
            <w:pPr>
              <w:pStyle w:val="6"/>
              <w:spacing w:before="115" w:line="192" w:lineRule="auto"/>
              <w:ind w:left="39"/>
            </w:pPr>
            <w:r>
              <w:rPr>
                <w:i/>
                <w:iCs/>
              </w:rPr>
              <w:t>Dendrocopos canicapill</w:t>
            </w:r>
            <w:r>
              <w:rPr>
                <w:i/>
                <w:iCs/>
                <w:spacing w:val="-1"/>
              </w:rPr>
              <w:t>us</w:t>
            </w:r>
          </w:p>
        </w:tc>
        <w:tc>
          <w:tcPr>
            <w:tcW w:w="1162" w:type="dxa"/>
            <w:vAlign w:val="top"/>
          </w:tcPr>
          <w:p w14:paraId="401C1751">
            <w:pPr>
              <w:rPr>
                <w:rFonts w:ascii="Arial"/>
                <w:sz w:val="21"/>
              </w:rPr>
            </w:pPr>
          </w:p>
        </w:tc>
        <w:tc>
          <w:tcPr>
            <w:tcW w:w="2301" w:type="dxa"/>
            <w:tcBorders>
              <w:right w:val="single" w:color="000000" w:sz="12" w:space="0"/>
            </w:tcBorders>
            <w:vAlign w:val="top"/>
          </w:tcPr>
          <w:p w14:paraId="5101F7AA">
            <w:pPr>
              <w:spacing w:before="78"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39C40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3047E8EF">
            <w:pPr>
              <w:pStyle w:val="6"/>
              <w:spacing w:before="140" w:line="193" w:lineRule="auto"/>
              <w:ind w:left="313"/>
            </w:pPr>
            <w:r>
              <w:rPr>
                <w:spacing w:val="-6"/>
              </w:rPr>
              <w:t>12</w:t>
            </w:r>
          </w:p>
        </w:tc>
        <w:tc>
          <w:tcPr>
            <w:tcW w:w="1602" w:type="dxa"/>
            <w:vAlign w:val="top"/>
          </w:tcPr>
          <w:p w14:paraId="385167A6">
            <w:pPr>
              <w:spacing w:before="85" w:line="219" w:lineRule="auto"/>
              <w:ind w:left="50"/>
              <w:rPr>
                <w:rFonts w:ascii="宋体" w:hAnsi="宋体" w:eastAsia="宋体" w:cs="宋体"/>
                <w:sz w:val="21"/>
                <w:szCs w:val="21"/>
              </w:rPr>
            </w:pPr>
            <w:r>
              <w:rPr>
                <w:rFonts w:ascii="宋体" w:hAnsi="宋体" w:eastAsia="宋体" w:cs="宋体"/>
                <w:spacing w:val="-2"/>
                <w:sz w:val="21"/>
                <w:szCs w:val="21"/>
              </w:rPr>
              <w:t>短嘴山椒鸟</w:t>
            </w:r>
          </w:p>
        </w:tc>
        <w:tc>
          <w:tcPr>
            <w:tcW w:w="2577" w:type="dxa"/>
            <w:vAlign w:val="top"/>
          </w:tcPr>
          <w:p w14:paraId="35E24AA2">
            <w:pPr>
              <w:pStyle w:val="6"/>
              <w:spacing w:before="118" w:line="215" w:lineRule="auto"/>
              <w:ind w:left="40"/>
            </w:pPr>
            <w:r>
              <w:rPr>
                <w:i/>
                <w:iCs/>
                <w:spacing w:val="-1"/>
              </w:rPr>
              <w:t>Pericrocotus brevirostris</w:t>
            </w:r>
          </w:p>
        </w:tc>
        <w:tc>
          <w:tcPr>
            <w:tcW w:w="1162" w:type="dxa"/>
            <w:vAlign w:val="top"/>
          </w:tcPr>
          <w:p w14:paraId="3D70549D">
            <w:pPr>
              <w:rPr>
                <w:rFonts w:ascii="Arial"/>
                <w:sz w:val="21"/>
              </w:rPr>
            </w:pPr>
          </w:p>
        </w:tc>
        <w:tc>
          <w:tcPr>
            <w:tcW w:w="2301" w:type="dxa"/>
            <w:tcBorders>
              <w:right w:val="single" w:color="000000" w:sz="12" w:space="0"/>
            </w:tcBorders>
            <w:vAlign w:val="top"/>
          </w:tcPr>
          <w:p w14:paraId="3910AE35">
            <w:pPr>
              <w:spacing w:before="79"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3480A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7302EC94">
            <w:pPr>
              <w:pStyle w:val="6"/>
              <w:spacing w:before="141" w:line="191" w:lineRule="auto"/>
              <w:ind w:left="313"/>
            </w:pPr>
            <w:r>
              <w:rPr>
                <w:spacing w:val="-6"/>
              </w:rPr>
              <w:t>13</w:t>
            </w:r>
          </w:p>
        </w:tc>
        <w:tc>
          <w:tcPr>
            <w:tcW w:w="1602" w:type="dxa"/>
            <w:vAlign w:val="top"/>
          </w:tcPr>
          <w:p w14:paraId="4B2382B0">
            <w:pPr>
              <w:spacing w:before="87" w:line="217" w:lineRule="auto"/>
              <w:ind w:left="49"/>
              <w:rPr>
                <w:rFonts w:ascii="宋体" w:hAnsi="宋体" w:eastAsia="宋体" w:cs="宋体"/>
                <w:sz w:val="21"/>
                <w:szCs w:val="21"/>
              </w:rPr>
            </w:pPr>
            <w:r>
              <w:rPr>
                <w:rFonts w:ascii="宋体" w:hAnsi="宋体" w:eastAsia="宋体" w:cs="宋体"/>
                <w:spacing w:val="-2"/>
                <w:sz w:val="21"/>
                <w:szCs w:val="21"/>
              </w:rPr>
              <w:t>灰背伯劳</w:t>
            </w:r>
          </w:p>
        </w:tc>
        <w:tc>
          <w:tcPr>
            <w:tcW w:w="2577" w:type="dxa"/>
            <w:vAlign w:val="top"/>
          </w:tcPr>
          <w:p w14:paraId="37955410">
            <w:pPr>
              <w:pStyle w:val="6"/>
              <w:spacing w:before="117" w:line="193" w:lineRule="auto"/>
              <w:ind w:left="38"/>
            </w:pPr>
            <w:r>
              <w:rPr>
                <w:i/>
                <w:iCs/>
                <w:spacing w:val="-1"/>
              </w:rPr>
              <w:t>Lanius tephronotus</w:t>
            </w:r>
          </w:p>
        </w:tc>
        <w:tc>
          <w:tcPr>
            <w:tcW w:w="1162" w:type="dxa"/>
            <w:vAlign w:val="top"/>
          </w:tcPr>
          <w:p w14:paraId="5520FF1A">
            <w:pPr>
              <w:rPr>
                <w:rFonts w:ascii="Arial"/>
                <w:sz w:val="21"/>
              </w:rPr>
            </w:pPr>
          </w:p>
        </w:tc>
        <w:tc>
          <w:tcPr>
            <w:tcW w:w="2301" w:type="dxa"/>
            <w:tcBorders>
              <w:right w:val="single" w:color="000000" w:sz="12" w:space="0"/>
            </w:tcBorders>
            <w:vAlign w:val="top"/>
          </w:tcPr>
          <w:p w14:paraId="1FE702BD">
            <w:pPr>
              <w:spacing w:before="80"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4A395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2BCEDA66">
            <w:pPr>
              <w:pStyle w:val="6"/>
              <w:spacing w:before="143" w:line="190" w:lineRule="auto"/>
              <w:ind w:left="313"/>
            </w:pPr>
            <w:r>
              <w:rPr>
                <w:spacing w:val="-6"/>
              </w:rPr>
              <w:t>14</w:t>
            </w:r>
          </w:p>
        </w:tc>
        <w:tc>
          <w:tcPr>
            <w:tcW w:w="1602" w:type="dxa"/>
            <w:vAlign w:val="top"/>
          </w:tcPr>
          <w:p w14:paraId="7F1F2880">
            <w:pPr>
              <w:spacing w:before="88" w:line="217" w:lineRule="auto"/>
              <w:ind w:left="52"/>
              <w:rPr>
                <w:rFonts w:ascii="宋体" w:hAnsi="宋体" w:eastAsia="宋体" w:cs="宋体"/>
                <w:sz w:val="21"/>
                <w:szCs w:val="21"/>
              </w:rPr>
            </w:pPr>
            <w:r>
              <w:rPr>
                <w:rFonts w:ascii="宋体" w:hAnsi="宋体" w:eastAsia="宋体" w:cs="宋体"/>
                <w:spacing w:val="-3"/>
                <w:sz w:val="21"/>
                <w:szCs w:val="21"/>
              </w:rPr>
              <w:t>强脚树莺</w:t>
            </w:r>
          </w:p>
        </w:tc>
        <w:tc>
          <w:tcPr>
            <w:tcW w:w="2577" w:type="dxa"/>
            <w:vAlign w:val="top"/>
          </w:tcPr>
          <w:p w14:paraId="574480FB">
            <w:pPr>
              <w:pStyle w:val="6"/>
              <w:spacing w:before="119" w:line="192" w:lineRule="auto"/>
              <w:ind w:left="40"/>
            </w:pPr>
            <w:r>
              <w:rPr>
                <w:i/>
                <w:iCs/>
                <w:spacing w:val="2"/>
              </w:rPr>
              <w:t>Horoenis</w:t>
            </w:r>
            <w:r>
              <w:rPr>
                <w:i/>
                <w:iCs/>
                <w:spacing w:val="-36"/>
              </w:rPr>
              <w:t xml:space="preserve"> </w:t>
            </w:r>
            <w:r>
              <w:rPr>
                <w:i/>
                <w:iCs/>
                <w:spacing w:val="2"/>
              </w:rPr>
              <w:t>fortipes</w:t>
            </w:r>
          </w:p>
        </w:tc>
        <w:tc>
          <w:tcPr>
            <w:tcW w:w="1162" w:type="dxa"/>
            <w:vAlign w:val="top"/>
          </w:tcPr>
          <w:p w14:paraId="07F08594">
            <w:pPr>
              <w:rPr>
                <w:rFonts w:ascii="Arial"/>
                <w:sz w:val="21"/>
              </w:rPr>
            </w:pPr>
          </w:p>
        </w:tc>
        <w:tc>
          <w:tcPr>
            <w:tcW w:w="2301" w:type="dxa"/>
            <w:tcBorders>
              <w:right w:val="single" w:color="000000" w:sz="12" w:space="0"/>
            </w:tcBorders>
            <w:vAlign w:val="top"/>
          </w:tcPr>
          <w:p w14:paraId="7FDCA289">
            <w:pPr>
              <w:spacing w:before="82"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22DB5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69134ADB">
            <w:pPr>
              <w:pStyle w:val="6"/>
              <w:spacing w:before="144" w:line="189" w:lineRule="auto"/>
              <w:ind w:left="313"/>
            </w:pPr>
            <w:r>
              <w:rPr>
                <w:spacing w:val="-6"/>
              </w:rPr>
              <w:t>15</w:t>
            </w:r>
          </w:p>
        </w:tc>
        <w:tc>
          <w:tcPr>
            <w:tcW w:w="1602" w:type="dxa"/>
            <w:vAlign w:val="top"/>
          </w:tcPr>
          <w:p w14:paraId="5FD2EC5E">
            <w:pPr>
              <w:spacing w:before="89" w:line="216" w:lineRule="auto"/>
              <w:ind w:left="46"/>
              <w:rPr>
                <w:rFonts w:ascii="宋体" w:hAnsi="宋体" w:eastAsia="宋体" w:cs="宋体"/>
                <w:sz w:val="21"/>
                <w:szCs w:val="21"/>
              </w:rPr>
            </w:pPr>
            <w:r>
              <w:rPr>
                <w:rFonts w:ascii="宋体" w:hAnsi="宋体" w:eastAsia="宋体" w:cs="宋体"/>
                <w:spacing w:val="-2"/>
                <w:sz w:val="21"/>
                <w:szCs w:val="21"/>
              </w:rPr>
              <w:t>棕头雀鹛</w:t>
            </w:r>
          </w:p>
        </w:tc>
        <w:tc>
          <w:tcPr>
            <w:tcW w:w="2577" w:type="dxa"/>
            <w:vAlign w:val="top"/>
          </w:tcPr>
          <w:p w14:paraId="69DCD10C">
            <w:pPr>
              <w:pStyle w:val="6"/>
              <w:spacing w:before="121" w:line="192" w:lineRule="auto"/>
              <w:ind w:left="40"/>
            </w:pPr>
            <w:r>
              <w:rPr>
                <w:i/>
                <w:iCs/>
              </w:rPr>
              <w:t>Fulvetta</w:t>
            </w:r>
            <w:r>
              <w:rPr>
                <w:i/>
                <w:iCs/>
                <w:spacing w:val="8"/>
              </w:rPr>
              <w:t xml:space="preserve"> </w:t>
            </w:r>
            <w:r>
              <w:rPr>
                <w:i/>
                <w:iCs/>
              </w:rPr>
              <w:t>ruficapilla</w:t>
            </w:r>
          </w:p>
        </w:tc>
        <w:tc>
          <w:tcPr>
            <w:tcW w:w="1162" w:type="dxa"/>
            <w:vAlign w:val="top"/>
          </w:tcPr>
          <w:p w14:paraId="7FA5D3A7">
            <w:pPr>
              <w:rPr>
                <w:rFonts w:ascii="Arial"/>
                <w:sz w:val="21"/>
              </w:rPr>
            </w:pPr>
          </w:p>
        </w:tc>
        <w:tc>
          <w:tcPr>
            <w:tcW w:w="2301" w:type="dxa"/>
            <w:tcBorders>
              <w:right w:val="single" w:color="000000" w:sz="12" w:space="0"/>
            </w:tcBorders>
            <w:vAlign w:val="top"/>
          </w:tcPr>
          <w:p w14:paraId="0B960BDB">
            <w:pPr>
              <w:spacing w:before="83" w:line="221" w:lineRule="auto"/>
              <w:ind w:left="107"/>
              <w:rPr>
                <w:rFonts w:ascii="宋体" w:hAnsi="宋体" w:eastAsia="宋体" w:cs="宋体"/>
                <w:sz w:val="21"/>
                <w:szCs w:val="21"/>
              </w:rPr>
            </w:pPr>
            <w:r>
              <w:rPr>
                <w:rFonts w:ascii="宋体" w:hAnsi="宋体" w:eastAsia="宋体" w:cs="宋体"/>
                <w:spacing w:val="-13"/>
                <w:sz w:val="21"/>
                <w:szCs w:val="21"/>
              </w:rPr>
              <w:t>目击</w:t>
            </w:r>
          </w:p>
        </w:tc>
      </w:tr>
      <w:tr w14:paraId="7DF0C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831" w:type="dxa"/>
            <w:tcBorders>
              <w:left w:val="single" w:color="000000" w:sz="12" w:space="0"/>
              <w:bottom w:val="single" w:color="000000" w:sz="12" w:space="0"/>
            </w:tcBorders>
            <w:vAlign w:val="top"/>
          </w:tcPr>
          <w:p w14:paraId="7C174A89">
            <w:pPr>
              <w:pStyle w:val="6"/>
              <w:spacing w:before="146" w:line="208" w:lineRule="auto"/>
              <w:ind w:left="313"/>
            </w:pPr>
            <w:r>
              <w:rPr>
                <w:spacing w:val="-6"/>
              </w:rPr>
              <w:t>16</w:t>
            </w:r>
          </w:p>
        </w:tc>
        <w:tc>
          <w:tcPr>
            <w:tcW w:w="1602" w:type="dxa"/>
            <w:tcBorders>
              <w:bottom w:val="single" w:color="000000" w:sz="12" w:space="0"/>
            </w:tcBorders>
            <w:vAlign w:val="top"/>
          </w:tcPr>
          <w:p w14:paraId="76C76AEE">
            <w:pPr>
              <w:spacing w:before="90" w:line="220" w:lineRule="auto"/>
              <w:ind w:left="46"/>
              <w:rPr>
                <w:rFonts w:ascii="宋体" w:hAnsi="宋体" w:eastAsia="宋体" w:cs="宋体"/>
                <w:sz w:val="21"/>
                <w:szCs w:val="21"/>
              </w:rPr>
            </w:pPr>
            <w:r>
              <w:rPr>
                <w:rFonts w:ascii="宋体" w:hAnsi="宋体" w:eastAsia="宋体" w:cs="宋体"/>
                <w:spacing w:val="-2"/>
                <w:sz w:val="21"/>
                <w:szCs w:val="21"/>
              </w:rPr>
              <w:t>棕颈钩嘴鹛</w:t>
            </w:r>
          </w:p>
        </w:tc>
        <w:tc>
          <w:tcPr>
            <w:tcW w:w="2577" w:type="dxa"/>
            <w:tcBorders>
              <w:bottom w:val="single" w:color="000000" w:sz="12" w:space="0"/>
            </w:tcBorders>
            <w:vAlign w:val="top"/>
          </w:tcPr>
          <w:p w14:paraId="7EA0BF96">
            <w:pPr>
              <w:pStyle w:val="6"/>
              <w:spacing w:before="122" w:line="192" w:lineRule="auto"/>
              <w:ind w:left="41"/>
            </w:pPr>
            <w:r>
              <w:rPr>
                <w:i/>
                <w:iCs/>
              </w:rPr>
              <w:t>Pomatorhinus</w:t>
            </w:r>
            <w:r>
              <w:rPr>
                <w:i/>
                <w:iCs/>
                <w:spacing w:val="1"/>
              </w:rPr>
              <w:t xml:space="preserve"> </w:t>
            </w:r>
            <w:r>
              <w:rPr>
                <w:i/>
                <w:iCs/>
              </w:rPr>
              <w:t>ruficollis</w:t>
            </w:r>
          </w:p>
        </w:tc>
        <w:tc>
          <w:tcPr>
            <w:tcW w:w="1162" w:type="dxa"/>
            <w:tcBorders>
              <w:bottom w:val="single" w:color="000000" w:sz="12" w:space="0"/>
            </w:tcBorders>
            <w:vAlign w:val="top"/>
          </w:tcPr>
          <w:p w14:paraId="24E3B4C4">
            <w:pPr>
              <w:rPr>
                <w:rFonts w:ascii="Arial"/>
                <w:sz w:val="21"/>
              </w:rPr>
            </w:pPr>
          </w:p>
        </w:tc>
        <w:tc>
          <w:tcPr>
            <w:tcW w:w="2301" w:type="dxa"/>
            <w:tcBorders>
              <w:bottom w:val="single" w:color="000000" w:sz="12" w:space="0"/>
              <w:right w:val="single" w:color="000000" w:sz="12" w:space="0"/>
            </w:tcBorders>
            <w:vAlign w:val="top"/>
          </w:tcPr>
          <w:p w14:paraId="6F89E1C9">
            <w:pPr>
              <w:spacing w:before="84" w:line="220" w:lineRule="auto"/>
              <w:ind w:left="107"/>
              <w:rPr>
                <w:rFonts w:ascii="宋体" w:hAnsi="宋体" w:eastAsia="宋体" w:cs="宋体"/>
                <w:sz w:val="21"/>
                <w:szCs w:val="21"/>
              </w:rPr>
            </w:pPr>
            <w:r>
              <w:rPr>
                <w:rFonts w:ascii="宋体" w:hAnsi="宋体" w:eastAsia="宋体" w:cs="宋体"/>
                <w:spacing w:val="-8"/>
                <w:sz w:val="21"/>
                <w:szCs w:val="21"/>
              </w:rPr>
              <w:t>目击、鸣声</w:t>
            </w:r>
          </w:p>
        </w:tc>
      </w:tr>
    </w:tbl>
    <w:p w14:paraId="3936F434">
      <w:pPr>
        <w:rPr>
          <w:rFonts w:ascii="Arial"/>
          <w:sz w:val="21"/>
        </w:rPr>
      </w:pPr>
    </w:p>
    <w:p w14:paraId="1647F08C">
      <w:pPr>
        <w:rPr>
          <w:rFonts w:ascii="Arial" w:hAnsi="Arial" w:eastAsia="Arial" w:cs="Arial"/>
          <w:sz w:val="21"/>
          <w:szCs w:val="21"/>
        </w:rPr>
        <w:sectPr>
          <w:footerReference r:id="rId185" w:type="default"/>
          <w:pgSz w:w="11907" w:h="16839"/>
          <w:pgMar w:top="1376" w:right="1669" w:bottom="1061" w:left="1671" w:header="999" w:footer="861" w:gutter="0"/>
          <w:cols w:space="720" w:num="1"/>
        </w:sectPr>
      </w:pPr>
    </w:p>
    <w:p w14:paraId="453017ED">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1602"/>
        <w:gridCol w:w="2577"/>
        <w:gridCol w:w="1162"/>
        <w:gridCol w:w="2301"/>
      </w:tblGrid>
      <w:tr w14:paraId="0BB21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831" w:type="dxa"/>
            <w:tcBorders>
              <w:top w:val="single" w:color="000000" w:sz="12" w:space="0"/>
              <w:left w:val="single" w:color="000000" w:sz="12" w:space="0"/>
            </w:tcBorders>
            <w:vAlign w:val="top"/>
          </w:tcPr>
          <w:p w14:paraId="036228AF">
            <w:pPr>
              <w:spacing w:before="58" w:line="221" w:lineRule="auto"/>
              <w:ind w:left="190"/>
              <w:rPr>
                <w:rFonts w:ascii="宋体" w:hAnsi="宋体" w:eastAsia="宋体" w:cs="宋体"/>
                <w:sz w:val="21"/>
                <w:szCs w:val="21"/>
              </w:rPr>
            </w:pPr>
            <w:r>
              <w:rPr>
                <w:rFonts w:ascii="宋体" w:hAnsi="宋体" w:eastAsia="宋体" w:cs="宋体"/>
                <w:b/>
                <w:bCs/>
                <w:spacing w:val="-4"/>
                <w:sz w:val="21"/>
                <w:szCs w:val="21"/>
              </w:rPr>
              <w:t>序号</w:t>
            </w:r>
          </w:p>
        </w:tc>
        <w:tc>
          <w:tcPr>
            <w:tcW w:w="1602" w:type="dxa"/>
            <w:tcBorders>
              <w:top w:val="single" w:color="000000" w:sz="12" w:space="0"/>
            </w:tcBorders>
            <w:vAlign w:val="top"/>
          </w:tcPr>
          <w:p w14:paraId="04521268">
            <w:pPr>
              <w:spacing w:before="58" w:line="220" w:lineRule="auto"/>
              <w:ind w:left="498"/>
              <w:rPr>
                <w:rFonts w:ascii="宋体" w:hAnsi="宋体" w:eastAsia="宋体" w:cs="宋体"/>
                <w:sz w:val="21"/>
                <w:szCs w:val="21"/>
              </w:rPr>
            </w:pPr>
            <w:r>
              <w:rPr>
                <w:rFonts w:ascii="宋体" w:hAnsi="宋体" w:eastAsia="宋体" w:cs="宋体"/>
                <w:b/>
                <w:bCs/>
                <w:spacing w:val="-8"/>
                <w:sz w:val="21"/>
                <w:szCs w:val="21"/>
              </w:rPr>
              <w:t>中文名</w:t>
            </w:r>
          </w:p>
        </w:tc>
        <w:tc>
          <w:tcPr>
            <w:tcW w:w="2577" w:type="dxa"/>
            <w:tcBorders>
              <w:top w:val="single" w:color="000000" w:sz="12" w:space="0"/>
            </w:tcBorders>
            <w:vAlign w:val="top"/>
          </w:tcPr>
          <w:p w14:paraId="7A7AFA93">
            <w:pPr>
              <w:spacing w:before="58" w:line="221" w:lineRule="auto"/>
              <w:ind w:left="974"/>
              <w:rPr>
                <w:rFonts w:ascii="宋体" w:hAnsi="宋体" w:eastAsia="宋体" w:cs="宋体"/>
                <w:sz w:val="21"/>
                <w:szCs w:val="21"/>
              </w:rPr>
            </w:pPr>
            <w:r>
              <w:rPr>
                <w:rFonts w:ascii="宋体" w:hAnsi="宋体" w:eastAsia="宋体" w:cs="宋体"/>
                <w:b/>
                <w:bCs/>
                <w:spacing w:val="-4"/>
                <w:sz w:val="21"/>
                <w:szCs w:val="21"/>
              </w:rPr>
              <w:t>拉丁名</w:t>
            </w:r>
          </w:p>
        </w:tc>
        <w:tc>
          <w:tcPr>
            <w:tcW w:w="1162" w:type="dxa"/>
            <w:tcBorders>
              <w:top w:val="single" w:color="000000" w:sz="12" w:space="0"/>
            </w:tcBorders>
            <w:vAlign w:val="top"/>
          </w:tcPr>
          <w:p w14:paraId="4441FCB0">
            <w:pPr>
              <w:spacing w:before="58" w:line="220" w:lineRule="auto"/>
              <w:ind w:left="168"/>
              <w:rPr>
                <w:rFonts w:ascii="宋体" w:hAnsi="宋体" w:eastAsia="宋体" w:cs="宋体"/>
                <w:sz w:val="21"/>
                <w:szCs w:val="21"/>
              </w:rPr>
            </w:pPr>
            <w:r>
              <w:rPr>
                <w:rFonts w:ascii="宋体" w:hAnsi="宋体" w:eastAsia="宋体" w:cs="宋体"/>
                <w:b/>
                <w:bCs/>
                <w:spacing w:val="-4"/>
                <w:sz w:val="21"/>
                <w:szCs w:val="21"/>
              </w:rPr>
              <w:t>保护情况</w:t>
            </w:r>
          </w:p>
        </w:tc>
        <w:tc>
          <w:tcPr>
            <w:tcW w:w="2301" w:type="dxa"/>
            <w:tcBorders>
              <w:top w:val="single" w:color="000000" w:sz="12" w:space="0"/>
              <w:right w:val="single" w:color="000000" w:sz="12" w:space="0"/>
            </w:tcBorders>
            <w:vAlign w:val="top"/>
          </w:tcPr>
          <w:p w14:paraId="1B37AC22">
            <w:pPr>
              <w:spacing w:before="57" w:line="220" w:lineRule="auto"/>
              <w:ind w:left="948"/>
              <w:rPr>
                <w:rFonts w:ascii="宋体" w:hAnsi="宋体" w:eastAsia="宋体" w:cs="宋体"/>
                <w:sz w:val="21"/>
                <w:szCs w:val="21"/>
              </w:rPr>
            </w:pPr>
            <w:r>
              <w:rPr>
                <w:rFonts w:ascii="宋体" w:hAnsi="宋体" w:eastAsia="宋体" w:cs="宋体"/>
                <w:b/>
                <w:bCs/>
                <w:spacing w:val="-5"/>
                <w:sz w:val="21"/>
                <w:szCs w:val="21"/>
              </w:rPr>
              <w:t>来源</w:t>
            </w:r>
          </w:p>
        </w:tc>
      </w:tr>
      <w:tr w14:paraId="492B8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339E7A59">
            <w:pPr>
              <w:pStyle w:val="6"/>
              <w:spacing w:before="120" w:line="212" w:lineRule="auto"/>
              <w:ind w:left="313"/>
            </w:pPr>
            <w:r>
              <w:rPr>
                <w:spacing w:val="-6"/>
              </w:rPr>
              <w:t>17</w:t>
            </w:r>
          </w:p>
        </w:tc>
        <w:tc>
          <w:tcPr>
            <w:tcW w:w="1602" w:type="dxa"/>
            <w:vAlign w:val="top"/>
          </w:tcPr>
          <w:p w14:paraId="49657454">
            <w:pPr>
              <w:spacing w:before="65" w:line="220" w:lineRule="auto"/>
              <w:ind w:left="47"/>
              <w:rPr>
                <w:rFonts w:ascii="宋体" w:hAnsi="宋体" w:eastAsia="宋体" w:cs="宋体"/>
                <w:sz w:val="21"/>
                <w:szCs w:val="21"/>
              </w:rPr>
            </w:pPr>
            <w:r>
              <w:rPr>
                <w:rFonts w:ascii="宋体" w:hAnsi="宋体" w:eastAsia="宋体" w:cs="宋体"/>
                <w:spacing w:val="-2"/>
                <w:sz w:val="21"/>
                <w:szCs w:val="21"/>
              </w:rPr>
              <w:t>斑喉希鹛</w:t>
            </w:r>
          </w:p>
        </w:tc>
        <w:tc>
          <w:tcPr>
            <w:tcW w:w="2577" w:type="dxa"/>
            <w:vAlign w:val="top"/>
          </w:tcPr>
          <w:p w14:paraId="73CD4A7C">
            <w:pPr>
              <w:pStyle w:val="6"/>
              <w:spacing w:before="96" w:line="192" w:lineRule="auto"/>
              <w:ind w:left="59"/>
            </w:pPr>
            <w:r>
              <w:rPr>
                <w:i/>
                <w:iCs/>
                <w:spacing w:val="-1"/>
              </w:rPr>
              <w:t>Chrysominla strigula</w:t>
            </w:r>
          </w:p>
        </w:tc>
        <w:tc>
          <w:tcPr>
            <w:tcW w:w="1162" w:type="dxa"/>
            <w:vAlign w:val="top"/>
          </w:tcPr>
          <w:p w14:paraId="435E33B2">
            <w:pPr>
              <w:rPr>
                <w:rFonts w:ascii="Arial"/>
                <w:sz w:val="21"/>
              </w:rPr>
            </w:pPr>
          </w:p>
        </w:tc>
        <w:tc>
          <w:tcPr>
            <w:tcW w:w="2301" w:type="dxa"/>
            <w:tcBorders>
              <w:right w:val="single" w:color="000000" w:sz="12" w:space="0"/>
            </w:tcBorders>
            <w:vAlign w:val="top"/>
          </w:tcPr>
          <w:p w14:paraId="753FAD54">
            <w:pPr>
              <w:spacing w:before="60"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59F0B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31" w:type="dxa"/>
            <w:tcBorders>
              <w:left w:val="single" w:color="000000" w:sz="12" w:space="0"/>
            </w:tcBorders>
            <w:vAlign w:val="top"/>
          </w:tcPr>
          <w:p w14:paraId="1F689E3C">
            <w:pPr>
              <w:pStyle w:val="6"/>
              <w:spacing w:before="123" w:line="210" w:lineRule="auto"/>
              <w:ind w:left="313"/>
            </w:pPr>
            <w:r>
              <w:rPr>
                <w:spacing w:val="-6"/>
              </w:rPr>
              <w:t>18</w:t>
            </w:r>
          </w:p>
        </w:tc>
        <w:tc>
          <w:tcPr>
            <w:tcW w:w="1602" w:type="dxa"/>
            <w:vAlign w:val="top"/>
          </w:tcPr>
          <w:p w14:paraId="3AB37EA0">
            <w:pPr>
              <w:spacing w:before="68" w:line="218" w:lineRule="auto"/>
              <w:ind w:left="47"/>
              <w:rPr>
                <w:rFonts w:ascii="宋体" w:hAnsi="宋体" w:eastAsia="宋体" w:cs="宋体"/>
                <w:sz w:val="21"/>
                <w:szCs w:val="21"/>
              </w:rPr>
            </w:pPr>
            <w:r>
              <w:rPr>
                <w:rFonts w:ascii="宋体" w:hAnsi="宋体" w:eastAsia="宋体" w:cs="宋体"/>
                <w:spacing w:val="-2"/>
                <w:sz w:val="21"/>
                <w:szCs w:val="21"/>
              </w:rPr>
              <w:t>栗臀䴓</w:t>
            </w:r>
          </w:p>
        </w:tc>
        <w:tc>
          <w:tcPr>
            <w:tcW w:w="2577" w:type="dxa"/>
            <w:vAlign w:val="top"/>
          </w:tcPr>
          <w:p w14:paraId="082826EB">
            <w:pPr>
              <w:pStyle w:val="6"/>
              <w:spacing w:before="101" w:line="190" w:lineRule="auto"/>
              <w:ind w:left="46"/>
            </w:pPr>
            <w:r>
              <w:rPr>
                <w:i/>
                <w:iCs/>
                <w:spacing w:val="-1"/>
              </w:rPr>
              <w:t>Sitta nagaensis</w:t>
            </w:r>
          </w:p>
        </w:tc>
        <w:tc>
          <w:tcPr>
            <w:tcW w:w="1162" w:type="dxa"/>
            <w:vAlign w:val="top"/>
          </w:tcPr>
          <w:p w14:paraId="378D9702">
            <w:pPr>
              <w:rPr>
                <w:rFonts w:ascii="Arial"/>
                <w:sz w:val="21"/>
              </w:rPr>
            </w:pPr>
          </w:p>
        </w:tc>
        <w:tc>
          <w:tcPr>
            <w:tcW w:w="2301" w:type="dxa"/>
            <w:tcBorders>
              <w:right w:val="single" w:color="000000" w:sz="12" w:space="0"/>
            </w:tcBorders>
            <w:vAlign w:val="top"/>
          </w:tcPr>
          <w:p w14:paraId="3B3EFE67">
            <w:pPr>
              <w:spacing w:before="62"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7FFA2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61CF97E2">
            <w:pPr>
              <w:pStyle w:val="6"/>
              <w:spacing w:before="124" w:line="207" w:lineRule="auto"/>
              <w:ind w:left="313"/>
            </w:pPr>
            <w:r>
              <w:rPr>
                <w:spacing w:val="-6"/>
              </w:rPr>
              <w:t>19</w:t>
            </w:r>
          </w:p>
        </w:tc>
        <w:tc>
          <w:tcPr>
            <w:tcW w:w="1602" w:type="dxa"/>
            <w:vAlign w:val="top"/>
          </w:tcPr>
          <w:p w14:paraId="34F977B7">
            <w:pPr>
              <w:spacing w:before="69" w:line="220" w:lineRule="auto"/>
              <w:ind w:left="47"/>
              <w:rPr>
                <w:rFonts w:ascii="宋体" w:hAnsi="宋体" w:eastAsia="宋体" w:cs="宋体"/>
                <w:sz w:val="21"/>
                <w:szCs w:val="21"/>
              </w:rPr>
            </w:pPr>
            <w:r>
              <w:rPr>
                <w:rFonts w:ascii="宋体" w:hAnsi="宋体" w:eastAsia="宋体" w:cs="宋体"/>
                <w:spacing w:val="-2"/>
                <w:sz w:val="21"/>
                <w:szCs w:val="21"/>
              </w:rPr>
              <w:t>褐河乌</w:t>
            </w:r>
          </w:p>
        </w:tc>
        <w:tc>
          <w:tcPr>
            <w:tcW w:w="2577" w:type="dxa"/>
            <w:vAlign w:val="top"/>
          </w:tcPr>
          <w:p w14:paraId="0299DA32">
            <w:pPr>
              <w:pStyle w:val="6"/>
              <w:spacing w:before="101" w:line="192" w:lineRule="auto"/>
              <w:ind w:left="59"/>
            </w:pPr>
            <w:r>
              <w:rPr>
                <w:i/>
                <w:iCs/>
              </w:rPr>
              <w:t>Cinclus</w:t>
            </w:r>
            <w:r>
              <w:rPr>
                <w:i/>
                <w:iCs/>
                <w:spacing w:val="-16"/>
              </w:rPr>
              <w:t xml:space="preserve"> </w:t>
            </w:r>
            <w:r>
              <w:rPr>
                <w:i/>
                <w:iCs/>
              </w:rPr>
              <w:t>pallasii</w:t>
            </w:r>
          </w:p>
        </w:tc>
        <w:tc>
          <w:tcPr>
            <w:tcW w:w="1162" w:type="dxa"/>
            <w:vAlign w:val="top"/>
          </w:tcPr>
          <w:p w14:paraId="398F641C">
            <w:pPr>
              <w:rPr>
                <w:rFonts w:ascii="Arial"/>
                <w:sz w:val="21"/>
              </w:rPr>
            </w:pPr>
          </w:p>
        </w:tc>
        <w:tc>
          <w:tcPr>
            <w:tcW w:w="2301" w:type="dxa"/>
            <w:tcBorders>
              <w:right w:val="single" w:color="000000" w:sz="12" w:space="0"/>
            </w:tcBorders>
            <w:vAlign w:val="top"/>
          </w:tcPr>
          <w:p w14:paraId="3E95BF01">
            <w:pPr>
              <w:spacing w:before="63"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2C4C6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2B34002C">
            <w:pPr>
              <w:pStyle w:val="6"/>
              <w:spacing w:before="127" w:line="205" w:lineRule="auto"/>
              <w:ind w:left="293"/>
            </w:pPr>
            <w:r>
              <w:rPr>
                <w:spacing w:val="-1"/>
              </w:rPr>
              <w:t>20</w:t>
            </w:r>
          </w:p>
        </w:tc>
        <w:tc>
          <w:tcPr>
            <w:tcW w:w="1602" w:type="dxa"/>
            <w:vAlign w:val="top"/>
          </w:tcPr>
          <w:p w14:paraId="084FA801">
            <w:pPr>
              <w:spacing w:before="71" w:line="220" w:lineRule="auto"/>
              <w:ind w:left="49"/>
              <w:rPr>
                <w:rFonts w:ascii="宋体" w:hAnsi="宋体" w:eastAsia="宋体" w:cs="宋体"/>
                <w:sz w:val="21"/>
                <w:szCs w:val="21"/>
              </w:rPr>
            </w:pPr>
            <w:r>
              <w:rPr>
                <w:rFonts w:ascii="宋体" w:hAnsi="宋体" w:eastAsia="宋体" w:cs="宋体"/>
                <w:spacing w:val="-2"/>
                <w:sz w:val="21"/>
                <w:szCs w:val="21"/>
              </w:rPr>
              <w:t>丝光椋鸟</w:t>
            </w:r>
          </w:p>
        </w:tc>
        <w:tc>
          <w:tcPr>
            <w:tcW w:w="2577" w:type="dxa"/>
            <w:vAlign w:val="top"/>
          </w:tcPr>
          <w:p w14:paraId="58C3407E">
            <w:pPr>
              <w:pStyle w:val="6"/>
              <w:spacing w:before="102" w:line="193" w:lineRule="auto"/>
              <w:ind w:left="46"/>
            </w:pPr>
            <w:r>
              <w:rPr>
                <w:i/>
                <w:iCs/>
              </w:rPr>
              <w:t>Spodiopsar sericeus</w:t>
            </w:r>
          </w:p>
        </w:tc>
        <w:tc>
          <w:tcPr>
            <w:tcW w:w="1162" w:type="dxa"/>
            <w:vAlign w:val="top"/>
          </w:tcPr>
          <w:p w14:paraId="2092818B">
            <w:pPr>
              <w:rPr>
                <w:rFonts w:ascii="Arial"/>
                <w:sz w:val="21"/>
              </w:rPr>
            </w:pPr>
          </w:p>
        </w:tc>
        <w:tc>
          <w:tcPr>
            <w:tcW w:w="2301" w:type="dxa"/>
            <w:tcBorders>
              <w:right w:val="single" w:color="000000" w:sz="12" w:space="0"/>
            </w:tcBorders>
            <w:vAlign w:val="top"/>
          </w:tcPr>
          <w:p w14:paraId="2B84E9B0">
            <w:pPr>
              <w:spacing w:before="66"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49F90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432E7E76">
            <w:pPr>
              <w:pStyle w:val="6"/>
              <w:spacing w:before="107" w:line="225" w:lineRule="auto"/>
              <w:ind w:left="293"/>
            </w:pPr>
            <w:r>
              <w:rPr>
                <w:spacing w:val="-1"/>
              </w:rPr>
              <w:t>21</w:t>
            </w:r>
          </w:p>
        </w:tc>
        <w:tc>
          <w:tcPr>
            <w:tcW w:w="1602" w:type="dxa"/>
            <w:vAlign w:val="top"/>
          </w:tcPr>
          <w:p w14:paraId="572C76DE">
            <w:pPr>
              <w:spacing w:before="73" w:line="220" w:lineRule="auto"/>
              <w:ind w:left="48"/>
              <w:rPr>
                <w:rFonts w:ascii="宋体" w:hAnsi="宋体" w:eastAsia="宋体" w:cs="宋体"/>
                <w:sz w:val="21"/>
                <w:szCs w:val="21"/>
              </w:rPr>
            </w:pPr>
            <w:r>
              <w:rPr>
                <w:rFonts w:ascii="宋体" w:hAnsi="宋体" w:eastAsia="宋体" w:cs="宋体"/>
                <w:spacing w:val="-2"/>
                <w:sz w:val="21"/>
                <w:szCs w:val="21"/>
              </w:rPr>
              <w:t>蓝眉林鸲</w:t>
            </w:r>
          </w:p>
        </w:tc>
        <w:tc>
          <w:tcPr>
            <w:tcW w:w="2577" w:type="dxa"/>
            <w:vAlign w:val="top"/>
          </w:tcPr>
          <w:p w14:paraId="48FC80CB">
            <w:pPr>
              <w:pStyle w:val="6"/>
              <w:spacing w:before="105" w:line="192" w:lineRule="auto"/>
              <w:ind w:left="60"/>
            </w:pPr>
            <w:r>
              <w:rPr>
                <w:i/>
                <w:iCs/>
                <w:spacing w:val="-2"/>
              </w:rPr>
              <w:t>Tarsiger rufilatus</w:t>
            </w:r>
          </w:p>
        </w:tc>
        <w:tc>
          <w:tcPr>
            <w:tcW w:w="1162" w:type="dxa"/>
            <w:vAlign w:val="top"/>
          </w:tcPr>
          <w:p w14:paraId="392C5EE0">
            <w:pPr>
              <w:rPr>
                <w:rFonts w:ascii="Arial"/>
                <w:sz w:val="21"/>
              </w:rPr>
            </w:pPr>
          </w:p>
        </w:tc>
        <w:tc>
          <w:tcPr>
            <w:tcW w:w="2301" w:type="dxa"/>
            <w:tcBorders>
              <w:right w:val="single" w:color="000000" w:sz="12" w:space="0"/>
            </w:tcBorders>
            <w:vAlign w:val="top"/>
          </w:tcPr>
          <w:p w14:paraId="1F90374C">
            <w:pPr>
              <w:spacing w:before="68"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6760D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2A19AD2D">
            <w:pPr>
              <w:pStyle w:val="6"/>
              <w:spacing w:before="131" w:line="200" w:lineRule="auto"/>
              <w:ind w:left="293"/>
            </w:pPr>
            <w:r>
              <w:rPr>
                <w:spacing w:val="-1"/>
              </w:rPr>
              <w:t>22</w:t>
            </w:r>
          </w:p>
        </w:tc>
        <w:tc>
          <w:tcPr>
            <w:tcW w:w="1602" w:type="dxa"/>
            <w:vAlign w:val="top"/>
          </w:tcPr>
          <w:p w14:paraId="72F0EF97">
            <w:pPr>
              <w:spacing w:before="76" w:line="220" w:lineRule="auto"/>
              <w:ind w:left="49"/>
              <w:rPr>
                <w:rFonts w:ascii="宋体" w:hAnsi="宋体" w:eastAsia="宋体" w:cs="宋体"/>
                <w:sz w:val="21"/>
                <w:szCs w:val="21"/>
              </w:rPr>
            </w:pPr>
            <w:r>
              <w:rPr>
                <w:rFonts w:ascii="宋体" w:hAnsi="宋体" w:eastAsia="宋体" w:cs="宋体"/>
                <w:spacing w:val="-2"/>
                <w:sz w:val="21"/>
                <w:szCs w:val="21"/>
              </w:rPr>
              <w:t>灰背燕尾</w:t>
            </w:r>
          </w:p>
        </w:tc>
        <w:tc>
          <w:tcPr>
            <w:tcW w:w="2577" w:type="dxa"/>
            <w:vAlign w:val="top"/>
          </w:tcPr>
          <w:p w14:paraId="46F5E2E4">
            <w:pPr>
              <w:pStyle w:val="6"/>
              <w:spacing w:before="110" w:line="221" w:lineRule="auto"/>
              <w:ind w:left="40"/>
            </w:pPr>
            <w:r>
              <w:rPr>
                <w:i/>
                <w:iCs/>
              </w:rPr>
              <w:t>Enicurus</w:t>
            </w:r>
            <w:r>
              <w:rPr>
                <w:i/>
                <w:iCs/>
                <w:spacing w:val="4"/>
              </w:rPr>
              <w:t xml:space="preserve"> </w:t>
            </w:r>
            <w:r>
              <w:rPr>
                <w:i/>
                <w:iCs/>
              </w:rPr>
              <w:t>schistaceus</w:t>
            </w:r>
          </w:p>
        </w:tc>
        <w:tc>
          <w:tcPr>
            <w:tcW w:w="1162" w:type="dxa"/>
            <w:vAlign w:val="top"/>
          </w:tcPr>
          <w:p w14:paraId="623B6766">
            <w:pPr>
              <w:rPr>
                <w:rFonts w:ascii="Arial"/>
                <w:sz w:val="21"/>
              </w:rPr>
            </w:pPr>
          </w:p>
        </w:tc>
        <w:tc>
          <w:tcPr>
            <w:tcW w:w="2301" w:type="dxa"/>
            <w:tcBorders>
              <w:right w:val="single" w:color="000000" w:sz="12" w:space="0"/>
            </w:tcBorders>
            <w:vAlign w:val="top"/>
          </w:tcPr>
          <w:p w14:paraId="241826A5">
            <w:pPr>
              <w:spacing w:before="70"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5A641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4CE7710A">
            <w:pPr>
              <w:pStyle w:val="6"/>
              <w:spacing w:before="133" w:line="199" w:lineRule="auto"/>
              <w:ind w:left="293"/>
            </w:pPr>
            <w:r>
              <w:rPr>
                <w:spacing w:val="-1"/>
              </w:rPr>
              <w:t>23</w:t>
            </w:r>
          </w:p>
        </w:tc>
        <w:tc>
          <w:tcPr>
            <w:tcW w:w="1602" w:type="dxa"/>
            <w:vAlign w:val="top"/>
          </w:tcPr>
          <w:p w14:paraId="76676D25">
            <w:pPr>
              <w:spacing w:before="78" w:line="220" w:lineRule="auto"/>
              <w:ind w:left="78"/>
              <w:rPr>
                <w:rFonts w:ascii="宋体" w:hAnsi="宋体" w:eastAsia="宋体" w:cs="宋体"/>
                <w:sz w:val="21"/>
                <w:szCs w:val="21"/>
              </w:rPr>
            </w:pPr>
            <w:r>
              <w:rPr>
                <w:rFonts w:ascii="宋体" w:hAnsi="宋体" w:eastAsia="宋体" w:cs="宋体"/>
                <w:spacing w:val="-8"/>
                <w:sz w:val="21"/>
                <w:szCs w:val="21"/>
              </w:rPr>
              <w:t>白额燕尾</w:t>
            </w:r>
          </w:p>
        </w:tc>
        <w:tc>
          <w:tcPr>
            <w:tcW w:w="2577" w:type="dxa"/>
            <w:vAlign w:val="top"/>
          </w:tcPr>
          <w:p w14:paraId="7CD1ED0A">
            <w:pPr>
              <w:pStyle w:val="6"/>
              <w:spacing w:before="112" w:line="220" w:lineRule="auto"/>
              <w:ind w:left="40"/>
            </w:pPr>
            <w:r>
              <w:rPr>
                <w:i/>
                <w:iCs/>
              </w:rPr>
              <w:t>Enicurus</w:t>
            </w:r>
            <w:r>
              <w:rPr>
                <w:i/>
                <w:iCs/>
                <w:spacing w:val="9"/>
              </w:rPr>
              <w:t xml:space="preserve"> </w:t>
            </w:r>
            <w:r>
              <w:rPr>
                <w:i/>
                <w:iCs/>
              </w:rPr>
              <w:t>leschenaulti</w:t>
            </w:r>
          </w:p>
        </w:tc>
        <w:tc>
          <w:tcPr>
            <w:tcW w:w="1162" w:type="dxa"/>
            <w:vAlign w:val="top"/>
          </w:tcPr>
          <w:p w14:paraId="356FA5E4">
            <w:pPr>
              <w:rPr>
                <w:rFonts w:ascii="Arial"/>
                <w:sz w:val="21"/>
              </w:rPr>
            </w:pPr>
          </w:p>
        </w:tc>
        <w:tc>
          <w:tcPr>
            <w:tcW w:w="2301" w:type="dxa"/>
            <w:tcBorders>
              <w:right w:val="single" w:color="000000" w:sz="12" w:space="0"/>
            </w:tcBorders>
            <w:vAlign w:val="top"/>
          </w:tcPr>
          <w:p w14:paraId="3BA0FE82">
            <w:pPr>
              <w:spacing w:before="73"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1462B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0020D6D8">
            <w:pPr>
              <w:pStyle w:val="6"/>
              <w:spacing w:before="136" w:line="196" w:lineRule="auto"/>
              <w:ind w:left="293"/>
            </w:pPr>
            <w:r>
              <w:rPr>
                <w:spacing w:val="-1"/>
              </w:rPr>
              <w:t>24</w:t>
            </w:r>
          </w:p>
        </w:tc>
        <w:tc>
          <w:tcPr>
            <w:tcW w:w="1602" w:type="dxa"/>
            <w:vAlign w:val="top"/>
          </w:tcPr>
          <w:p w14:paraId="1FFDD3AA">
            <w:pPr>
              <w:spacing w:before="80" w:line="220" w:lineRule="auto"/>
              <w:ind w:left="47"/>
              <w:rPr>
                <w:rFonts w:ascii="宋体" w:hAnsi="宋体" w:eastAsia="宋体" w:cs="宋体"/>
                <w:sz w:val="21"/>
                <w:szCs w:val="21"/>
              </w:rPr>
            </w:pPr>
            <w:r>
              <w:rPr>
                <w:rFonts w:ascii="宋体" w:hAnsi="宋体" w:eastAsia="宋体" w:cs="宋体"/>
                <w:spacing w:val="-2"/>
                <w:sz w:val="21"/>
                <w:szCs w:val="21"/>
              </w:rPr>
              <w:t>栗腹矶鸫</w:t>
            </w:r>
          </w:p>
        </w:tc>
        <w:tc>
          <w:tcPr>
            <w:tcW w:w="2577" w:type="dxa"/>
            <w:vAlign w:val="top"/>
          </w:tcPr>
          <w:p w14:paraId="7EF70CDF">
            <w:pPr>
              <w:pStyle w:val="6"/>
              <w:spacing w:before="112" w:line="192" w:lineRule="auto"/>
              <w:ind w:left="38"/>
            </w:pPr>
            <w:r>
              <w:rPr>
                <w:i/>
                <w:iCs/>
              </w:rPr>
              <w:t>Monticola</w:t>
            </w:r>
            <w:r>
              <w:rPr>
                <w:i/>
                <w:iCs/>
                <w:spacing w:val="8"/>
              </w:rPr>
              <w:t xml:space="preserve"> </w:t>
            </w:r>
            <w:r>
              <w:rPr>
                <w:i/>
                <w:iCs/>
              </w:rPr>
              <w:t>rufiventris</w:t>
            </w:r>
          </w:p>
        </w:tc>
        <w:tc>
          <w:tcPr>
            <w:tcW w:w="1162" w:type="dxa"/>
            <w:vAlign w:val="top"/>
          </w:tcPr>
          <w:p w14:paraId="199773B5">
            <w:pPr>
              <w:rPr>
                <w:rFonts w:ascii="Arial"/>
                <w:sz w:val="21"/>
              </w:rPr>
            </w:pPr>
          </w:p>
        </w:tc>
        <w:tc>
          <w:tcPr>
            <w:tcW w:w="2301" w:type="dxa"/>
            <w:tcBorders>
              <w:right w:val="single" w:color="000000" w:sz="12" w:space="0"/>
            </w:tcBorders>
            <w:vAlign w:val="top"/>
          </w:tcPr>
          <w:p w14:paraId="73B57255">
            <w:pPr>
              <w:spacing w:before="75"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064FE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31" w:type="dxa"/>
            <w:tcBorders>
              <w:left w:val="single" w:color="000000" w:sz="12" w:space="0"/>
            </w:tcBorders>
            <w:vAlign w:val="top"/>
          </w:tcPr>
          <w:p w14:paraId="609E869A">
            <w:pPr>
              <w:pStyle w:val="6"/>
              <w:spacing w:before="138" w:line="193" w:lineRule="auto"/>
              <w:ind w:left="293"/>
            </w:pPr>
            <w:r>
              <w:rPr>
                <w:spacing w:val="-1"/>
              </w:rPr>
              <w:t>25</w:t>
            </w:r>
          </w:p>
        </w:tc>
        <w:tc>
          <w:tcPr>
            <w:tcW w:w="1602" w:type="dxa"/>
            <w:vAlign w:val="top"/>
          </w:tcPr>
          <w:p w14:paraId="2BC4C24F">
            <w:pPr>
              <w:spacing w:before="83" w:line="219" w:lineRule="auto"/>
              <w:ind w:left="49"/>
              <w:rPr>
                <w:rFonts w:ascii="宋体" w:hAnsi="宋体" w:eastAsia="宋体" w:cs="宋体"/>
                <w:sz w:val="21"/>
                <w:szCs w:val="21"/>
              </w:rPr>
            </w:pPr>
            <w:r>
              <w:rPr>
                <w:rFonts w:ascii="宋体" w:hAnsi="宋体" w:eastAsia="宋体" w:cs="宋体"/>
                <w:spacing w:val="-2"/>
                <w:sz w:val="21"/>
                <w:szCs w:val="21"/>
              </w:rPr>
              <w:t>灰蓝姬鹟</w:t>
            </w:r>
          </w:p>
        </w:tc>
        <w:tc>
          <w:tcPr>
            <w:tcW w:w="2577" w:type="dxa"/>
            <w:vAlign w:val="top"/>
          </w:tcPr>
          <w:p w14:paraId="3F0C7E46">
            <w:pPr>
              <w:pStyle w:val="6"/>
              <w:spacing w:before="114" w:line="217" w:lineRule="auto"/>
              <w:ind w:left="40"/>
            </w:pPr>
            <w:r>
              <w:rPr>
                <w:i/>
                <w:iCs/>
              </w:rPr>
              <w:t>Ficedula</w:t>
            </w:r>
            <w:r>
              <w:rPr>
                <w:i/>
                <w:iCs/>
                <w:spacing w:val="8"/>
              </w:rPr>
              <w:t xml:space="preserve"> </w:t>
            </w:r>
            <w:r>
              <w:rPr>
                <w:i/>
                <w:iCs/>
              </w:rPr>
              <w:t>tricolor</w:t>
            </w:r>
          </w:p>
        </w:tc>
        <w:tc>
          <w:tcPr>
            <w:tcW w:w="1162" w:type="dxa"/>
            <w:vAlign w:val="top"/>
          </w:tcPr>
          <w:p w14:paraId="573C0C92">
            <w:pPr>
              <w:rPr>
                <w:rFonts w:ascii="Arial"/>
                <w:sz w:val="21"/>
              </w:rPr>
            </w:pPr>
          </w:p>
        </w:tc>
        <w:tc>
          <w:tcPr>
            <w:tcW w:w="2301" w:type="dxa"/>
            <w:tcBorders>
              <w:right w:val="single" w:color="000000" w:sz="12" w:space="0"/>
            </w:tcBorders>
            <w:vAlign w:val="top"/>
          </w:tcPr>
          <w:p w14:paraId="4AE6BF34">
            <w:pPr>
              <w:spacing w:before="76" w:line="219" w:lineRule="auto"/>
              <w:ind w:left="72"/>
              <w:rPr>
                <w:rFonts w:ascii="宋体" w:hAnsi="宋体" w:eastAsia="宋体" w:cs="宋体"/>
                <w:sz w:val="21"/>
                <w:szCs w:val="21"/>
              </w:rPr>
            </w:pPr>
            <w:r>
              <w:rPr>
                <w:rFonts w:ascii="宋体" w:hAnsi="宋体" w:eastAsia="宋体" w:cs="宋体"/>
                <w:spacing w:val="-4"/>
                <w:sz w:val="21"/>
                <w:szCs w:val="21"/>
              </w:rPr>
              <w:t>红外相机</w:t>
            </w:r>
          </w:p>
        </w:tc>
      </w:tr>
      <w:tr w14:paraId="33D0A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7F55B7EB">
            <w:pPr>
              <w:pStyle w:val="6"/>
              <w:spacing w:before="140" w:line="192" w:lineRule="auto"/>
              <w:ind w:left="293"/>
            </w:pPr>
            <w:r>
              <w:rPr>
                <w:spacing w:val="-1"/>
              </w:rPr>
              <w:t>26</w:t>
            </w:r>
          </w:p>
        </w:tc>
        <w:tc>
          <w:tcPr>
            <w:tcW w:w="1602" w:type="dxa"/>
            <w:vAlign w:val="top"/>
          </w:tcPr>
          <w:p w14:paraId="66CBC9D6">
            <w:pPr>
              <w:spacing w:before="86" w:line="218" w:lineRule="auto"/>
              <w:ind w:left="66"/>
              <w:rPr>
                <w:rFonts w:ascii="宋体" w:hAnsi="宋体" w:eastAsia="宋体" w:cs="宋体"/>
                <w:sz w:val="21"/>
                <w:szCs w:val="21"/>
              </w:rPr>
            </w:pPr>
            <w:r>
              <w:rPr>
                <w:rFonts w:ascii="宋体" w:hAnsi="宋体" w:eastAsia="宋体" w:cs="宋体"/>
                <w:spacing w:val="-6"/>
                <w:sz w:val="21"/>
                <w:szCs w:val="21"/>
              </w:rPr>
              <w:t>山蓝仙鹟</w:t>
            </w:r>
          </w:p>
        </w:tc>
        <w:tc>
          <w:tcPr>
            <w:tcW w:w="2577" w:type="dxa"/>
            <w:vAlign w:val="top"/>
          </w:tcPr>
          <w:p w14:paraId="1B74E61F">
            <w:pPr>
              <w:pStyle w:val="6"/>
              <w:spacing w:before="117" w:line="192" w:lineRule="auto"/>
              <w:ind w:left="59"/>
            </w:pPr>
            <w:r>
              <w:rPr>
                <w:i/>
                <w:iCs/>
                <w:spacing w:val="-1"/>
              </w:rPr>
              <w:t>Cyornis banyumas</w:t>
            </w:r>
          </w:p>
        </w:tc>
        <w:tc>
          <w:tcPr>
            <w:tcW w:w="1162" w:type="dxa"/>
            <w:vAlign w:val="top"/>
          </w:tcPr>
          <w:p w14:paraId="22BE5205">
            <w:pPr>
              <w:rPr>
                <w:rFonts w:ascii="Arial"/>
                <w:sz w:val="21"/>
              </w:rPr>
            </w:pPr>
          </w:p>
        </w:tc>
        <w:tc>
          <w:tcPr>
            <w:tcW w:w="2301" w:type="dxa"/>
            <w:tcBorders>
              <w:right w:val="single" w:color="000000" w:sz="12" w:space="0"/>
            </w:tcBorders>
            <w:vAlign w:val="top"/>
          </w:tcPr>
          <w:p w14:paraId="471B2F1F">
            <w:pPr>
              <w:spacing w:before="80" w:line="222" w:lineRule="auto"/>
              <w:ind w:left="107"/>
              <w:rPr>
                <w:rFonts w:ascii="宋体" w:hAnsi="宋体" w:eastAsia="宋体" w:cs="宋体"/>
                <w:sz w:val="21"/>
                <w:szCs w:val="21"/>
              </w:rPr>
            </w:pPr>
            <w:r>
              <w:rPr>
                <w:rFonts w:ascii="宋体" w:hAnsi="宋体" w:eastAsia="宋体" w:cs="宋体"/>
                <w:spacing w:val="-13"/>
                <w:sz w:val="21"/>
                <w:szCs w:val="21"/>
              </w:rPr>
              <w:t>目击</w:t>
            </w:r>
          </w:p>
        </w:tc>
      </w:tr>
      <w:tr w14:paraId="034BF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31" w:type="dxa"/>
            <w:tcBorders>
              <w:left w:val="single" w:color="000000" w:sz="12" w:space="0"/>
            </w:tcBorders>
            <w:vAlign w:val="top"/>
          </w:tcPr>
          <w:p w14:paraId="22670420">
            <w:pPr>
              <w:pStyle w:val="6"/>
              <w:spacing w:before="143" w:line="189" w:lineRule="auto"/>
              <w:ind w:left="293"/>
            </w:pPr>
            <w:r>
              <w:rPr>
                <w:spacing w:val="-1"/>
              </w:rPr>
              <w:t>27</w:t>
            </w:r>
          </w:p>
        </w:tc>
        <w:tc>
          <w:tcPr>
            <w:tcW w:w="1602" w:type="dxa"/>
            <w:vAlign w:val="top"/>
          </w:tcPr>
          <w:p w14:paraId="449901AB">
            <w:pPr>
              <w:spacing w:before="88" w:line="216" w:lineRule="auto"/>
              <w:ind w:left="48"/>
              <w:rPr>
                <w:rFonts w:ascii="宋体" w:hAnsi="宋体" w:eastAsia="宋体" w:cs="宋体"/>
                <w:sz w:val="21"/>
                <w:szCs w:val="21"/>
              </w:rPr>
            </w:pPr>
            <w:r>
              <w:rPr>
                <w:rFonts w:ascii="宋体" w:hAnsi="宋体" w:eastAsia="宋体" w:cs="宋体"/>
                <w:spacing w:val="-2"/>
                <w:sz w:val="21"/>
                <w:szCs w:val="21"/>
              </w:rPr>
              <w:t>蓝喉太阳鸟</w:t>
            </w:r>
          </w:p>
        </w:tc>
        <w:tc>
          <w:tcPr>
            <w:tcW w:w="2577" w:type="dxa"/>
            <w:vAlign w:val="top"/>
          </w:tcPr>
          <w:p w14:paraId="39128443">
            <w:pPr>
              <w:pStyle w:val="6"/>
              <w:spacing w:before="121" w:line="190" w:lineRule="auto"/>
              <w:ind w:left="35"/>
            </w:pPr>
            <w:r>
              <w:rPr>
                <w:i/>
                <w:iCs/>
              </w:rPr>
              <w:t>Aethopyga</w:t>
            </w:r>
            <w:r>
              <w:rPr>
                <w:i/>
                <w:iCs/>
                <w:spacing w:val="10"/>
              </w:rPr>
              <w:t xml:space="preserve"> </w:t>
            </w:r>
            <w:r>
              <w:rPr>
                <w:i/>
                <w:iCs/>
              </w:rPr>
              <w:t>gouldiae</w:t>
            </w:r>
          </w:p>
        </w:tc>
        <w:tc>
          <w:tcPr>
            <w:tcW w:w="1162" w:type="dxa"/>
            <w:vAlign w:val="top"/>
          </w:tcPr>
          <w:p w14:paraId="766AA8EE">
            <w:pPr>
              <w:rPr>
                <w:rFonts w:ascii="Arial"/>
                <w:sz w:val="21"/>
              </w:rPr>
            </w:pPr>
          </w:p>
        </w:tc>
        <w:tc>
          <w:tcPr>
            <w:tcW w:w="2301" w:type="dxa"/>
            <w:tcBorders>
              <w:right w:val="single" w:color="000000" w:sz="12" w:space="0"/>
            </w:tcBorders>
            <w:vAlign w:val="top"/>
          </w:tcPr>
          <w:p w14:paraId="39A1DB0A">
            <w:pPr>
              <w:spacing w:before="82" w:line="221" w:lineRule="auto"/>
              <w:ind w:left="107"/>
              <w:rPr>
                <w:rFonts w:ascii="宋体" w:hAnsi="宋体" w:eastAsia="宋体" w:cs="宋体"/>
                <w:sz w:val="21"/>
                <w:szCs w:val="21"/>
              </w:rPr>
            </w:pPr>
            <w:r>
              <w:rPr>
                <w:rFonts w:ascii="宋体" w:hAnsi="宋体" w:eastAsia="宋体" w:cs="宋体"/>
                <w:spacing w:val="-13"/>
                <w:sz w:val="21"/>
                <w:szCs w:val="21"/>
              </w:rPr>
              <w:t>目击</w:t>
            </w:r>
          </w:p>
        </w:tc>
      </w:tr>
      <w:tr w14:paraId="5C181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831" w:type="dxa"/>
            <w:tcBorders>
              <w:left w:val="single" w:color="000000" w:sz="12" w:space="0"/>
              <w:bottom w:val="single" w:color="000000" w:sz="12" w:space="0"/>
            </w:tcBorders>
            <w:vAlign w:val="top"/>
          </w:tcPr>
          <w:p w14:paraId="596C71B1">
            <w:pPr>
              <w:pStyle w:val="6"/>
              <w:spacing w:before="145" w:line="209" w:lineRule="auto"/>
              <w:ind w:left="293"/>
            </w:pPr>
            <w:r>
              <w:rPr>
                <w:spacing w:val="-1"/>
              </w:rPr>
              <w:t>28</w:t>
            </w:r>
          </w:p>
        </w:tc>
        <w:tc>
          <w:tcPr>
            <w:tcW w:w="1602" w:type="dxa"/>
            <w:tcBorders>
              <w:bottom w:val="single" w:color="000000" w:sz="12" w:space="0"/>
            </w:tcBorders>
            <w:vAlign w:val="top"/>
          </w:tcPr>
          <w:p w14:paraId="65355960">
            <w:pPr>
              <w:spacing w:before="90" w:line="220" w:lineRule="auto"/>
              <w:ind w:left="49"/>
              <w:rPr>
                <w:rFonts w:ascii="宋体" w:hAnsi="宋体" w:eastAsia="宋体" w:cs="宋体"/>
                <w:sz w:val="21"/>
                <w:szCs w:val="21"/>
              </w:rPr>
            </w:pPr>
            <w:r>
              <w:rPr>
                <w:rFonts w:ascii="宋体" w:hAnsi="宋体" w:eastAsia="宋体" w:cs="宋体"/>
                <w:spacing w:val="-3"/>
                <w:sz w:val="21"/>
                <w:szCs w:val="21"/>
              </w:rPr>
              <w:t>灰眉岩鹀</w:t>
            </w:r>
          </w:p>
        </w:tc>
        <w:tc>
          <w:tcPr>
            <w:tcW w:w="2577" w:type="dxa"/>
            <w:tcBorders>
              <w:bottom w:val="single" w:color="000000" w:sz="12" w:space="0"/>
            </w:tcBorders>
            <w:vAlign w:val="top"/>
          </w:tcPr>
          <w:p w14:paraId="32934D41">
            <w:pPr>
              <w:pStyle w:val="6"/>
              <w:spacing w:before="124" w:line="190" w:lineRule="auto"/>
              <w:ind w:left="40"/>
            </w:pPr>
            <w:r>
              <w:rPr>
                <w:i/>
                <w:iCs/>
              </w:rPr>
              <w:t>Emberiza</w:t>
            </w:r>
            <w:r>
              <w:rPr>
                <w:i/>
                <w:iCs/>
                <w:spacing w:val="4"/>
              </w:rPr>
              <w:t xml:space="preserve"> </w:t>
            </w:r>
            <w:r>
              <w:rPr>
                <w:i/>
                <w:iCs/>
              </w:rPr>
              <w:t>godlewskii</w:t>
            </w:r>
          </w:p>
        </w:tc>
        <w:tc>
          <w:tcPr>
            <w:tcW w:w="1162" w:type="dxa"/>
            <w:tcBorders>
              <w:bottom w:val="single" w:color="000000" w:sz="12" w:space="0"/>
            </w:tcBorders>
            <w:vAlign w:val="top"/>
          </w:tcPr>
          <w:p w14:paraId="3F933F8A">
            <w:pPr>
              <w:rPr>
                <w:rFonts w:ascii="Arial"/>
                <w:sz w:val="21"/>
              </w:rPr>
            </w:pPr>
          </w:p>
        </w:tc>
        <w:tc>
          <w:tcPr>
            <w:tcW w:w="2301" w:type="dxa"/>
            <w:tcBorders>
              <w:bottom w:val="single" w:color="000000" w:sz="12" w:space="0"/>
              <w:right w:val="single" w:color="000000" w:sz="12" w:space="0"/>
            </w:tcBorders>
            <w:vAlign w:val="top"/>
          </w:tcPr>
          <w:p w14:paraId="7FEFE243">
            <w:pPr>
              <w:spacing w:before="84" w:line="222" w:lineRule="auto"/>
              <w:ind w:left="107"/>
              <w:rPr>
                <w:rFonts w:ascii="宋体" w:hAnsi="宋体" w:eastAsia="宋体" w:cs="宋体"/>
                <w:sz w:val="21"/>
                <w:szCs w:val="21"/>
              </w:rPr>
            </w:pPr>
            <w:r>
              <w:rPr>
                <w:rFonts w:ascii="宋体" w:hAnsi="宋体" w:eastAsia="宋体" w:cs="宋体"/>
                <w:spacing w:val="-13"/>
                <w:sz w:val="21"/>
                <w:szCs w:val="21"/>
              </w:rPr>
              <w:t>目击</w:t>
            </w:r>
          </w:p>
        </w:tc>
      </w:tr>
    </w:tbl>
    <w:p w14:paraId="4991E597">
      <w:pPr>
        <w:spacing w:line="253" w:lineRule="auto"/>
        <w:rPr>
          <w:rFonts w:ascii="Arial"/>
          <w:sz w:val="21"/>
        </w:rPr>
      </w:pPr>
    </w:p>
    <w:p w14:paraId="4CFA8580">
      <w:pPr>
        <w:spacing w:line="253" w:lineRule="auto"/>
        <w:rPr>
          <w:rFonts w:ascii="Arial"/>
          <w:sz w:val="21"/>
        </w:rPr>
      </w:pPr>
    </w:p>
    <w:p w14:paraId="2F5F6F68">
      <w:pPr>
        <w:pStyle w:val="2"/>
        <w:spacing w:before="78" w:line="338" w:lineRule="auto"/>
        <w:ind w:left="39" w:right="3" w:firstLine="480"/>
        <w:rPr>
          <w:sz w:val="24"/>
          <w:szCs w:val="24"/>
        </w:rPr>
      </w:pPr>
      <w:r>
        <w:rPr>
          <w:spacing w:val="-4"/>
          <w:sz w:val="24"/>
          <w:szCs w:val="24"/>
        </w:rPr>
        <w:t>两期监测差异原因主要为：①部分鸟类在调查区数</w:t>
      </w:r>
      <w:r>
        <w:rPr>
          <w:spacing w:val="-5"/>
          <w:sz w:val="24"/>
          <w:szCs w:val="24"/>
        </w:rPr>
        <w:t>量少，遇见率低，如过境的</w:t>
      </w:r>
      <w:r>
        <w:rPr>
          <w:spacing w:val="-2"/>
          <w:sz w:val="24"/>
          <w:szCs w:val="24"/>
        </w:rPr>
        <w:t>青脚鹬</w:t>
      </w:r>
      <w:r>
        <w:rPr>
          <w:spacing w:val="-44"/>
          <w:sz w:val="24"/>
          <w:szCs w:val="24"/>
        </w:rPr>
        <w:t xml:space="preserve"> </w:t>
      </w:r>
      <w:r>
        <w:rPr>
          <w:rFonts w:ascii="Times New Roman" w:hAnsi="Times New Roman" w:eastAsia="Times New Roman" w:cs="Times New Roman"/>
          <w:i/>
          <w:iCs/>
          <w:spacing w:val="-2"/>
          <w:sz w:val="24"/>
          <w:szCs w:val="24"/>
        </w:rPr>
        <w:t>Tringa</w:t>
      </w:r>
      <w:r>
        <w:rPr>
          <w:rFonts w:ascii="Times New Roman" w:hAnsi="Times New Roman" w:eastAsia="Times New Roman" w:cs="Times New Roman"/>
          <w:i/>
          <w:iCs/>
          <w:spacing w:val="33"/>
          <w:sz w:val="24"/>
          <w:szCs w:val="24"/>
        </w:rPr>
        <w:t xml:space="preserve"> </w:t>
      </w:r>
      <w:r>
        <w:rPr>
          <w:rFonts w:ascii="Times New Roman" w:hAnsi="Times New Roman" w:eastAsia="Times New Roman" w:cs="Times New Roman"/>
          <w:i/>
          <w:iCs/>
          <w:spacing w:val="-2"/>
          <w:sz w:val="24"/>
          <w:szCs w:val="24"/>
        </w:rPr>
        <w:t>nebularia</w:t>
      </w:r>
      <w:r>
        <w:rPr>
          <w:spacing w:val="-2"/>
          <w:sz w:val="24"/>
          <w:szCs w:val="24"/>
        </w:rPr>
        <w:t>、青脚滨鹬</w:t>
      </w:r>
      <w:r>
        <w:rPr>
          <w:spacing w:val="-32"/>
          <w:sz w:val="24"/>
          <w:szCs w:val="24"/>
        </w:rPr>
        <w:t xml:space="preserve"> </w:t>
      </w:r>
      <w:r>
        <w:rPr>
          <w:rFonts w:ascii="Times New Roman" w:hAnsi="Times New Roman" w:eastAsia="Times New Roman" w:cs="Times New Roman"/>
          <w:i/>
          <w:iCs/>
          <w:spacing w:val="-2"/>
          <w:sz w:val="24"/>
          <w:szCs w:val="24"/>
        </w:rPr>
        <w:t>Calidris</w:t>
      </w:r>
      <w:r>
        <w:rPr>
          <w:rFonts w:ascii="Times New Roman" w:hAnsi="Times New Roman" w:eastAsia="Times New Roman" w:cs="Times New Roman"/>
          <w:i/>
          <w:iCs/>
          <w:spacing w:val="36"/>
          <w:sz w:val="24"/>
          <w:szCs w:val="24"/>
        </w:rPr>
        <w:t xml:space="preserve"> </w:t>
      </w:r>
      <w:r>
        <w:rPr>
          <w:rFonts w:ascii="Times New Roman" w:hAnsi="Times New Roman" w:eastAsia="Times New Roman" w:cs="Times New Roman"/>
          <w:i/>
          <w:iCs/>
          <w:spacing w:val="-2"/>
          <w:sz w:val="24"/>
          <w:szCs w:val="24"/>
        </w:rPr>
        <w:t>temminckii</w:t>
      </w:r>
      <w:r>
        <w:rPr>
          <w:spacing w:val="-2"/>
          <w:sz w:val="24"/>
          <w:szCs w:val="24"/>
        </w:rPr>
        <w:t>、苍鹰</w:t>
      </w:r>
      <w:r>
        <w:rPr>
          <w:spacing w:val="-56"/>
          <w:sz w:val="24"/>
          <w:szCs w:val="24"/>
        </w:rPr>
        <w:t xml:space="preserve"> </w:t>
      </w:r>
      <w:r>
        <w:rPr>
          <w:rFonts w:ascii="Times New Roman" w:hAnsi="Times New Roman" w:eastAsia="Times New Roman" w:cs="Times New Roman"/>
          <w:i/>
          <w:iCs/>
          <w:spacing w:val="-2"/>
          <w:sz w:val="24"/>
          <w:szCs w:val="24"/>
        </w:rPr>
        <w:t>Accipiter</w:t>
      </w:r>
      <w:r>
        <w:rPr>
          <w:rFonts w:ascii="Times New Roman" w:hAnsi="Times New Roman" w:eastAsia="Times New Roman" w:cs="Times New Roman"/>
          <w:i/>
          <w:iCs/>
          <w:spacing w:val="17"/>
          <w:sz w:val="24"/>
          <w:szCs w:val="24"/>
        </w:rPr>
        <w:t xml:space="preserve"> </w:t>
      </w:r>
      <w:r>
        <w:rPr>
          <w:rFonts w:ascii="Times New Roman" w:hAnsi="Times New Roman" w:eastAsia="Times New Roman" w:cs="Times New Roman"/>
          <w:i/>
          <w:iCs/>
          <w:spacing w:val="-2"/>
          <w:sz w:val="24"/>
          <w:szCs w:val="24"/>
        </w:rPr>
        <w:t xml:space="preserve">gentilis </w:t>
      </w:r>
      <w:r>
        <w:rPr>
          <w:spacing w:val="-3"/>
          <w:sz w:val="24"/>
          <w:szCs w:val="24"/>
        </w:rPr>
        <w:t>等；</w:t>
      </w:r>
    </w:p>
    <w:p w14:paraId="03965563">
      <w:pPr>
        <w:pStyle w:val="2"/>
        <w:spacing w:before="4" w:line="335" w:lineRule="auto"/>
        <w:ind w:left="24" w:right="67" w:firstLine="12"/>
        <w:jc w:val="both"/>
        <w:rPr>
          <w:sz w:val="24"/>
          <w:szCs w:val="24"/>
        </w:rPr>
      </w:pPr>
      <w:r>
        <w:rPr>
          <w:spacing w:val="-1"/>
          <w:sz w:val="24"/>
          <w:szCs w:val="24"/>
        </w:rPr>
        <w:t>②环评阶段调查时间为</w:t>
      </w:r>
      <w:r>
        <w:rPr>
          <w:spacing w:val="-35"/>
          <w:sz w:val="24"/>
          <w:szCs w:val="24"/>
        </w:rPr>
        <w:t xml:space="preserve"> </w:t>
      </w:r>
      <w:r>
        <w:rPr>
          <w:rFonts w:ascii="Times New Roman" w:hAnsi="Times New Roman" w:eastAsia="Times New Roman" w:cs="Times New Roman"/>
          <w:spacing w:val="-1"/>
          <w:sz w:val="24"/>
          <w:szCs w:val="24"/>
        </w:rPr>
        <w:t>9-10</w:t>
      </w:r>
      <w:r>
        <w:rPr>
          <w:rFonts w:ascii="Times New Roman" w:hAnsi="Times New Roman" w:eastAsia="Times New Roman" w:cs="Times New Roman"/>
          <w:spacing w:val="27"/>
          <w:w w:val="101"/>
          <w:sz w:val="24"/>
          <w:szCs w:val="24"/>
        </w:rPr>
        <w:t xml:space="preserve"> </w:t>
      </w:r>
      <w:r>
        <w:rPr>
          <w:spacing w:val="-1"/>
          <w:sz w:val="24"/>
          <w:szCs w:val="24"/>
        </w:rPr>
        <w:t>月，部分鸟类为通过文献资料得出，可能存在误差，</w:t>
      </w:r>
      <w:r>
        <w:rPr>
          <w:spacing w:val="-2"/>
          <w:sz w:val="24"/>
          <w:szCs w:val="24"/>
        </w:rPr>
        <w:t>如棕额长尾山雀</w:t>
      </w:r>
      <w:r>
        <w:rPr>
          <w:spacing w:val="-71"/>
          <w:sz w:val="24"/>
          <w:szCs w:val="24"/>
        </w:rPr>
        <w:t xml:space="preserve"> </w:t>
      </w:r>
      <w:r>
        <w:rPr>
          <w:rFonts w:ascii="Times New Roman" w:hAnsi="Times New Roman" w:eastAsia="Times New Roman" w:cs="Times New Roman"/>
          <w:i/>
          <w:iCs/>
          <w:spacing w:val="-2"/>
          <w:sz w:val="24"/>
          <w:szCs w:val="24"/>
        </w:rPr>
        <w:t>Aegithalosiouschistos</w:t>
      </w:r>
      <w:r>
        <w:rPr>
          <w:spacing w:val="-2"/>
          <w:sz w:val="24"/>
          <w:szCs w:val="24"/>
        </w:rPr>
        <w:t>（中</w:t>
      </w:r>
      <w:r>
        <w:rPr>
          <w:spacing w:val="-3"/>
          <w:sz w:val="24"/>
          <w:szCs w:val="24"/>
        </w:rPr>
        <w:t>国仅分布于西藏南部，云南无分布）、黑</w:t>
      </w:r>
      <w:r>
        <w:rPr>
          <w:spacing w:val="-8"/>
          <w:sz w:val="24"/>
          <w:szCs w:val="24"/>
        </w:rPr>
        <w:t>背燕尾</w:t>
      </w:r>
      <w:r>
        <w:rPr>
          <w:spacing w:val="-50"/>
          <w:sz w:val="24"/>
          <w:szCs w:val="24"/>
        </w:rPr>
        <w:t xml:space="preserve"> </w:t>
      </w:r>
      <w:r>
        <w:rPr>
          <w:rFonts w:ascii="Times New Roman" w:hAnsi="Times New Roman" w:eastAsia="Times New Roman" w:cs="Times New Roman"/>
          <w:i/>
          <w:iCs/>
          <w:spacing w:val="-8"/>
          <w:sz w:val="24"/>
          <w:szCs w:val="24"/>
        </w:rPr>
        <w:t>Enicurusimmaculatus</w:t>
      </w:r>
      <w:r>
        <w:rPr>
          <w:spacing w:val="-8"/>
          <w:sz w:val="24"/>
          <w:szCs w:val="24"/>
        </w:rPr>
        <w:t>（国内仅见于盈江，调查区出现的可能性极低）。此外，</w:t>
      </w:r>
      <w:r>
        <w:rPr>
          <w:spacing w:val="19"/>
          <w:sz w:val="24"/>
          <w:szCs w:val="24"/>
        </w:rPr>
        <w:t xml:space="preserve">如栗背伯劳 </w:t>
      </w:r>
      <w:r>
        <w:rPr>
          <w:rFonts w:ascii="Times New Roman" w:hAnsi="Times New Roman" w:eastAsia="Times New Roman" w:cs="Times New Roman"/>
          <w:i/>
          <w:iCs/>
          <w:sz w:val="24"/>
          <w:szCs w:val="24"/>
        </w:rPr>
        <w:t>Lanius</w:t>
      </w:r>
      <w:r>
        <w:rPr>
          <w:rFonts w:ascii="Times New Roman" w:hAnsi="Times New Roman" w:eastAsia="Times New Roman" w:cs="Times New Roman"/>
          <w:i/>
          <w:iCs/>
          <w:spacing w:val="58"/>
          <w:sz w:val="24"/>
          <w:szCs w:val="24"/>
        </w:rPr>
        <w:t xml:space="preserve"> </w:t>
      </w:r>
      <w:r>
        <w:rPr>
          <w:rFonts w:ascii="Times New Roman" w:hAnsi="Times New Roman" w:eastAsia="Times New Roman" w:cs="Times New Roman"/>
          <w:i/>
          <w:iCs/>
          <w:sz w:val="24"/>
          <w:szCs w:val="24"/>
        </w:rPr>
        <w:t>collurioides</w:t>
      </w:r>
      <w:r>
        <w:rPr>
          <w:spacing w:val="19"/>
          <w:sz w:val="24"/>
          <w:szCs w:val="24"/>
        </w:rPr>
        <w:t xml:space="preserve">、中华鹧鸪 </w:t>
      </w:r>
      <w:r>
        <w:rPr>
          <w:rFonts w:ascii="Times New Roman" w:hAnsi="Times New Roman" w:eastAsia="Times New Roman" w:cs="Times New Roman"/>
          <w:i/>
          <w:iCs/>
          <w:sz w:val="24"/>
          <w:szCs w:val="24"/>
        </w:rPr>
        <w:t>Francolinus</w:t>
      </w:r>
      <w:r>
        <w:rPr>
          <w:rFonts w:ascii="Times New Roman" w:hAnsi="Times New Roman" w:eastAsia="Times New Roman" w:cs="Times New Roman"/>
          <w:i/>
          <w:iCs/>
          <w:spacing w:val="19"/>
          <w:w w:val="101"/>
          <w:sz w:val="24"/>
          <w:szCs w:val="24"/>
        </w:rPr>
        <w:t xml:space="preserve"> </w:t>
      </w:r>
      <w:r>
        <w:rPr>
          <w:rFonts w:ascii="Times New Roman" w:hAnsi="Times New Roman" w:eastAsia="Times New Roman" w:cs="Times New Roman"/>
          <w:i/>
          <w:iCs/>
          <w:sz w:val="24"/>
          <w:szCs w:val="24"/>
        </w:rPr>
        <w:t>pintadeanus</w:t>
      </w:r>
      <w:r>
        <w:rPr>
          <w:spacing w:val="19"/>
          <w:sz w:val="24"/>
          <w:szCs w:val="24"/>
        </w:rPr>
        <w:t>、绿嘴地鹃</w:t>
      </w:r>
      <w:r>
        <w:rPr>
          <w:rFonts w:ascii="Times New Roman" w:hAnsi="Times New Roman" w:eastAsia="Times New Roman" w:cs="Times New Roman"/>
          <w:i/>
          <w:iCs/>
          <w:spacing w:val="-2"/>
          <w:sz w:val="24"/>
          <w:szCs w:val="24"/>
        </w:rPr>
        <w:t>Phaenicophaeus tristis</w:t>
      </w:r>
      <w:r>
        <w:rPr>
          <w:spacing w:val="-2"/>
          <w:sz w:val="24"/>
          <w:szCs w:val="24"/>
        </w:rPr>
        <w:t>、八</w:t>
      </w:r>
      <w:r>
        <w:rPr>
          <w:spacing w:val="-3"/>
          <w:sz w:val="24"/>
          <w:szCs w:val="24"/>
        </w:rPr>
        <w:t>声杜鹃</w:t>
      </w:r>
      <w:r>
        <w:rPr>
          <w:spacing w:val="-52"/>
          <w:sz w:val="24"/>
          <w:szCs w:val="24"/>
        </w:rPr>
        <w:t xml:space="preserve"> </w:t>
      </w:r>
      <w:r>
        <w:rPr>
          <w:rFonts w:ascii="Times New Roman" w:hAnsi="Times New Roman" w:eastAsia="Times New Roman" w:cs="Times New Roman"/>
          <w:i/>
          <w:iCs/>
          <w:spacing w:val="-3"/>
          <w:sz w:val="24"/>
          <w:szCs w:val="24"/>
        </w:rPr>
        <w:t>Cacomantis merulinus</w:t>
      </w:r>
      <w:r>
        <w:rPr>
          <w:spacing w:val="-3"/>
          <w:sz w:val="24"/>
          <w:szCs w:val="24"/>
        </w:rPr>
        <w:t>、黄绿鹎</w:t>
      </w:r>
      <w:r>
        <w:rPr>
          <w:rFonts w:ascii="Times New Roman" w:hAnsi="Times New Roman" w:eastAsia="Times New Roman" w:cs="Times New Roman"/>
          <w:i/>
          <w:iCs/>
          <w:spacing w:val="-3"/>
          <w:sz w:val="24"/>
          <w:szCs w:val="24"/>
        </w:rPr>
        <w:t>Pycnonotus</w:t>
      </w:r>
      <w:r>
        <w:rPr>
          <w:rFonts w:ascii="Times New Roman" w:hAnsi="Times New Roman" w:eastAsia="Times New Roman" w:cs="Times New Roman"/>
          <w:i/>
          <w:iCs/>
          <w:spacing w:val="-57"/>
          <w:sz w:val="24"/>
          <w:szCs w:val="24"/>
        </w:rPr>
        <w:t xml:space="preserve"> </w:t>
      </w:r>
      <w:r>
        <w:rPr>
          <w:rFonts w:ascii="Times New Roman" w:hAnsi="Times New Roman" w:eastAsia="Times New Roman" w:cs="Times New Roman"/>
          <w:i/>
          <w:iCs/>
          <w:spacing w:val="-3"/>
          <w:sz w:val="24"/>
          <w:szCs w:val="24"/>
        </w:rPr>
        <w:t>flavescens</w:t>
      </w:r>
      <w:r>
        <w:rPr>
          <w:spacing w:val="-1"/>
          <w:sz w:val="24"/>
          <w:szCs w:val="24"/>
        </w:rPr>
        <w:t>等主要分布于热带低山地带，在调查区出现的可能性也较小。</w:t>
      </w:r>
    </w:p>
    <w:p w14:paraId="0DF1DDBC">
      <w:pPr>
        <w:pStyle w:val="2"/>
        <w:spacing w:before="24" w:line="336" w:lineRule="auto"/>
        <w:ind w:left="34" w:right="66" w:firstLine="484"/>
        <w:jc w:val="both"/>
        <w:rPr>
          <w:sz w:val="24"/>
          <w:szCs w:val="24"/>
        </w:rPr>
      </w:pPr>
      <w:r>
        <w:rPr>
          <w:spacing w:val="16"/>
          <w:sz w:val="24"/>
          <w:szCs w:val="24"/>
        </w:rPr>
        <w:t>环评阶段记录的特有鸟类有：画眉</w:t>
      </w:r>
      <w:r>
        <w:rPr>
          <w:spacing w:val="55"/>
          <w:sz w:val="24"/>
          <w:szCs w:val="24"/>
        </w:rPr>
        <w:t xml:space="preserve"> </w:t>
      </w:r>
      <w:r>
        <w:rPr>
          <w:rFonts w:ascii="Times New Roman" w:hAnsi="Times New Roman" w:eastAsia="Times New Roman" w:cs="Times New Roman"/>
          <w:i/>
          <w:iCs/>
          <w:sz w:val="24"/>
          <w:szCs w:val="24"/>
        </w:rPr>
        <w:t>Garrulax</w:t>
      </w:r>
      <w:r>
        <w:rPr>
          <w:rFonts w:ascii="Times New Roman" w:hAnsi="Times New Roman" w:eastAsia="Times New Roman" w:cs="Times New Roman"/>
          <w:i/>
          <w:iCs/>
          <w:spacing w:val="60"/>
          <w:sz w:val="24"/>
          <w:szCs w:val="24"/>
        </w:rPr>
        <w:t xml:space="preserve"> </w:t>
      </w:r>
      <w:r>
        <w:rPr>
          <w:rFonts w:ascii="Times New Roman" w:hAnsi="Times New Roman" w:eastAsia="Times New Roman" w:cs="Times New Roman"/>
          <w:i/>
          <w:iCs/>
          <w:sz w:val="24"/>
          <w:szCs w:val="24"/>
        </w:rPr>
        <w:t>canorus</w:t>
      </w:r>
      <w:r>
        <w:rPr>
          <w:rFonts w:ascii="Times New Roman" w:hAnsi="Times New Roman" w:eastAsia="Times New Roman" w:cs="Times New Roman"/>
          <w:i/>
          <w:iCs/>
          <w:spacing w:val="16"/>
          <w:sz w:val="24"/>
          <w:szCs w:val="24"/>
        </w:rPr>
        <w:t xml:space="preserve"> </w:t>
      </w:r>
      <w:r>
        <w:rPr>
          <w:spacing w:val="16"/>
          <w:sz w:val="24"/>
          <w:szCs w:val="24"/>
        </w:rPr>
        <w:t>、白领凤鹛</w:t>
      </w:r>
      <w:r>
        <w:rPr>
          <w:spacing w:val="57"/>
          <w:sz w:val="24"/>
          <w:szCs w:val="24"/>
        </w:rPr>
        <w:t xml:space="preserve"> </w:t>
      </w:r>
      <w:r>
        <w:rPr>
          <w:rFonts w:ascii="Times New Roman" w:hAnsi="Times New Roman" w:eastAsia="Times New Roman" w:cs="Times New Roman"/>
          <w:i/>
          <w:iCs/>
          <w:sz w:val="24"/>
          <w:szCs w:val="24"/>
        </w:rPr>
        <w:t xml:space="preserve">Yuhina </w:t>
      </w:r>
      <w:r>
        <w:rPr>
          <w:rFonts w:ascii="Times New Roman" w:hAnsi="Times New Roman" w:eastAsia="Times New Roman" w:cs="Times New Roman"/>
          <w:i/>
          <w:iCs/>
          <w:spacing w:val="-1"/>
          <w:sz w:val="24"/>
          <w:szCs w:val="24"/>
        </w:rPr>
        <w:t xml:space="preserve">diademata </w:t>
      </w:r>
      <w:r>
        <w:rPr>
          <w:spacing w:val="-1"/>
          <w:sz w:val="24"/>
          <w:szCs w:val="24"/>
        </w:rPr>
        <w:t>和滇䴓</w:t>
      </w:r>
      <w:r>
        <w:rPr>
          <w:rFonts w:ascii="Times New Roman" w:hAnsi="Times New Roman" w:eastAsia="Times New Roman" w:cs="Times New Roman"/>
          <w:i/>
          <w:iCs/>
          <w:spacing w:val="-1"/>
          <w:sz w:val="24"/>
          <w:szCs w:val="24"/>
        </w:rPr>
        <w:t>Sitta</w:t>
      </w:r>
      <w:r>
        <w:rPr>
          <w:rFonts w:ascii="Times New Roman" w:hAnsi="Times New Roman" w:eastAsia="Times New Roman" w:cs="Times New Roman"/>
          <w:i/>
          <w:iCs/>
          <w:spacing w:val="-35"/>
          <w:sz w:val="24"/>
          <w:szCs w:val="24"/>
        </w:rPr>
        <w:t xml:space="preserve"> </w:t>
      </w:r>
      <w:r>
        <w:rPr>
          <w:rFonts w:ascii="Times New Roman" w:hAnsi="Times New Roman" w:eastAsia="Times New Roman" w:cs="Times New Roman"/>
          <w:i/>
          <w:iCs/>
          <w:spacing w:val="-1"/>
          <w:sz w:val="24"/>
          <w:szCs w:val="24"/>
        </w:rPr>
        <w:t>yun</w:t>
      </w:r>
      <w:r>
        <w:rPr>
          <w:rFonts w:ascii="Times New Roman" w:hAnsi="Times New Roman" w:eastAsia="Times New Roman" w:cs="Times New Roman"/>
          <w:i/>
          <w:iCs/>
          <w:spacing w:val="-2"/>
          <w:sz w:val="24"/>
          <w:szCs w:val="24"/>
        </w:rPr>
        <w:t xml:space="preserve">nanensis </w:t>
      </w:r>
      <w:r>
        <w:rPr>
          <w:spacing w:val="-2"/>
          <w:sz w:val="24"/>
          <w:szCs w:val="24"/>
        </w:rPr>
        <w:t>等</w:t>
      </w:r>
      <w:r>
        <w:rPr>
          <w:spacing w:val="-50"/>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种，施工期监测记录了白领凤鹛。经查《中</w:t>
      </w:r>
      <w:r>
        <w:rPr>
          <w:spacing w:val="-6"/>
          <w:sz w:val="24"/>
          <w:szCs w:val="24"/>
        </w:rPr>
        <w:t>国脊椎动物红色名录》的特有情况，</w:t>
      </w:r>
      <w:r>
        <w:rPr>
          <w:spacing w:val="-47"/>
          <w:sz w:val="24"/>
          <w:szCs w:val="24"/>
        </w:rPr>
        <w:t xml:space="preserve"> </w:t>
      </w:r>
      <w:r>
        <w:rPr>
          <w:spacing w:val="-6"/>
          <w:sz w:val="24"/>
          <w:szCs w:val="24"/>
        </w:rPr>
        <w:t>画眉和白领凤鹛并不属于特有种，环评阶段记</w:t>
      </w:r>
      <w:r>
        <w:rPr>
          <w:spacing w:val="-2"/>
          <w:sz w:val="24"/>
          <w:szCs w:val="24"/>
        </w:rPr>
        <w:t>录有误，因此，施工期监测未记录到特有鸟类。</w:t>
      </w:r>
    </w:p>
    <w:p w14:paraId="55A8258C">
      <w:pPr>
        <w:pStyle w:val="2"/>
        <w:spacing w:before="8" w:line="336" w:lineRule="auto"/>
        <w:ind w:left="18" w:firstLine="500"/>
        <w:jc w:val="both"/>
        <w:rPr>
          <w:rFonts w:ascii="Times New Roman" w:hAnsi="Times New Roman" w:eastAsia="Times New Roman" w:cs="Times New Roman"/>
          <w:sz w:val="24"/>
          <w:szCs w:val="24"/>
        </w:rPr>
      </w:pPr>
      <w:r>
        <w:rPr>
          <w:spacing w:val="5"/>
          <w:sz w:val="24"/>
          <w:szCs w:val="24"/>
        </w:rPr>
        <w:t>环评阶段记录的保护鸟类有：国家Ⅱ级保护</w:t>
      </w:r>
      <w:r>
        <w:rPr>
          <w:spacing w:val="4"/>
          <w:sz w:val="24"/>
          <w:szCs w:val="24"/>
        </w:rPr>
        <w:t xml:space="preserve">并被 </w:t>
      </w:r>
      <w:r>
        <w:rPr>
          <w:rFonts w:ascii="Times New Roman" w:hAnsi="Times New Roman" w:eastAsia="Times New Roman" w:cs="Times New Roman"/>
          <w:sz w:val="24"/>
          <w:szCs w:val="24"/>
        </w:rPr>
        <w:t>CITES</w:t>
      </w:r>
      <w:r>
        <w:rPr>
          <w:rFonts w:ascii="Times New Roman" w:hAnsi="Times New Roman" w:eastAsia="Times New Roman" w:cs="Times New Roman"/>
          <w:spacing w:val="4"/>
          <w:sz w:val="24"/>
          <w:szCs w:val="24"/>
        </w:rPr>
        <w:t xml:space="preserve">  </w:t>
      </w:r>
      <w:r>
        <w:rPr>
          <w:spacing w:val="4"/>
          <w:sz w:val="24"/>
          <w:szCs w:val="24"/>
        </w:rPr>
        <w:t>列入附录Ⅱ的雀鹰</w:t>
      </w:r>
      <w:r>
        <w:rPr>
          <w:rFonts w:ascii="Times New Roman" w:hAnsi="Times New Roman" w:eastAsia="Times New Roman" w:cs="Times New Roman"/>
          <w:i/>
          <w:iCs/>
          <w:sz w:val="24"/>
          <w:szCs w:val="24"/>
        </w:rPr>
        <w:t>Accipiter</w:t>
      </w:r>
      <w:r>
        <w:rPr>
          <w:rFonts w:ascii="Times New Roman" w:hAnsi="Times New Roman" w:eastAsia="Times New Roman" w:cs="Times New Roman"/>
          <w:i/>
          <w:iCs/>
          <w:spacing w:val="-15"/>
          <w:sz w:val="24"/>
          <w:szCs w:val="24"/>
        </w:rPr>
        <w:t xml:space="preserve"> </w:t>
      </w:r>
      <w:r>
        <w:rPr>
          <w:rFonts w:ascii="Times New Roman" w:hAnsi="Times New Roman" w:eastAsia="Times New Roman" w:cs="Times New Roman"/>
          <w:i/>
          <w:iCs/>
          <w:sz w:val="24"/>
          <w:szCs w:val="24"/>
        </w:rPr>
        <w:t>nisus</w:t>
      </w:r>
      <w:r>
        <w:rPr>
          <w:sz w:val="24"/>
          <w:szCs w:val="24"/>
        </w:rPr>
        <w:t>、苍鹰</w:t>
      </w:r>
      <w:r>
        <w:rPr>
          <w:spacing w:val="-71"/>
          <w:sz w:val="24"/>
          <w:szCs w:val="24"/>
        </w:rPr>
        <w:t xml:space="preserve"> </w:t>
      </w:r>
      <w:r>
        <w:rPr>
          <w:rFonts w:ascii="Times New Roman" w:hAnsi="Times New Roman" w:eastAsia="Times New Roman" w:cs="Times New Roman"/>
          <w:i/>
          <w:iCs/>
          <w:sz w:val="24"/>
          <w:szCs w:val="24"/>
        </w:rPr>
        <w:t>Accipiter</w:t>
      </w:r>
      <w:r>
        <w:rPr>
          <w:rFonts w:ascii="Times New Roman" w:hAnsi="Times New Roman" w:eastAsia="Times New Roman" w:cs="Times New Roman"/>
          <w:i/>
          <w:iCs/>
          <w:spacing w:val="-26"/>
          <w:sz w:val="24"/>
          <w:szCs w:val="24"/>
        </w:rPr>
        <w:t xml:space="preserve"> </w:t>
      </w:r>
      <w:r>
        <w:rPr>
          <w:rFonts w:ascii="Times New Roman" w:hAnsi="Times New Roman" w:eastAsia="Times New Roman" w:cs="Times New Roman"/>
          <w:i/>
          <w:iCs/>
          <w:sz w:val="24"/>
          <w:szCs w:val="24"/>
        </w:rPr>
        <w:t>gentilis</w:t>
      </w:r>
      <w:r>
        <w:rPr>
          <w:sz w:val="24"/>
          <w:szCs w:val="24"/>
        </w:rPr>
        <w:t>、白尾鹞、鹊鹞</w:t>
      </w:r>
      <w:r>
        <w:rPr>
          <w:spacing w:val="-44"/>
          <w:sz w:val="24"/>
          <w:szCs w:val="24"/>
        </w:rPr>
        <w:t xml:space="preserve"> </w:t>
      </w:r>
      <w:r>
        <w:rPr>
          <w:rFonts w:ascii="Times New Roman" w:hAnsi="Times New Roman" w:eastAsia="Times New Roman" w:cs="Times New Roman"/>
          <w:i/>
          <w:iCs/>
          <w:sz w:val="24"/>
          <w:szCs w:val="24"/>
        </w:rPr>
        <w:t>Circu</w:t>
      </w:r>
      <w:r>
        <w:rPr>
          <w:rFonts w:ascii="Times New Roman" w:hAnsi="Times New Roman" w:eastAsia="Times New Roman" w:cs="Times New Roman"/>
          <w:i/>
          <w:iCs/>
          <w:spacing w:val="-1"/>
          <w:sz w:val="24"/>
          <w:szCs w:val="24"/>
        </w:rPr>
        <w:t>s</w:t>
      </w:r>
      <w:r>
        <w:rPr>
          <w:rFonts w:ascii="Times New Roman" w:hAnsi="Times New Roman" w:eastAsia="Times New Roman" w:cs="Times New Roman"/>
          <w:i/>
          <w:iCs/>
          <w:spacing w:val="-11"/>
          <w:sz w:val="24"/>
          <w:szCs w:val="24"/>
        </w:rPr>
        <w:t xml:space="preserve"> </w:t>
      </w:r>
      <w:r>
        <w:rPr>
          <w:rFonts w:ascii="Times New Roman" w:hAnsi="Times New Roman" w:eastAsia="Times New Roman" w:cs="Times New Roman"/>
          <w:i/>
          <w:iCs/>
          <w:spacing w:val="-1"/>
          <w:sz w:val="24"/>
          <w:szCs w:val="24"/>
        </w:rPr>
        <w:t>melanoleucos</w:t>
      </w:r>
      <w:r>
        <w:rPr>
          <w:spacing w:val="-1"/>
          <w:sz w:val="24"/>
          <w:szCs w:val="24"/>
        </w:rPr>
        <w:t>、普通鵟和红隼等</w:t>
      </w:r>
      <w:r>
        <w:rPr>
          <w:spacing w:val="-36"/>
          <w:sz w:val="24"/>
          <w:szCs w:val="24"/>
        </w:rPr>
        <w:t xml:space="preserve"> </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19"/>
          <w:w w:val="101"/>
          <w:sz w:val="24"/>
          <w:szCs w:val="24"/>
        </w:rPr>
        <w:t xml:space="preserve"> </w:t>
      </w:r>
      <w:r>
        <w:rPr>
          <w:spacing w:val="-1"/>
          <w:sz w:val="24"/>
          <w:szCs w:val="24"/>
        </w:rPr>
        <w:t>种，还有被</w:t>
      </w:r>
      <w:r>
        <w:rPr>
          <w:spacing w:val="-42"/>
          <w:sz w:val="24"/>
          <w:szCs w:val="24"/>
        </w:rPr>
        <w:t xml:space="preserve"> </w:t>
      </w:r>
      <w:r>
        <w:rPr>
          <w:rFonts w:ascii="Times New Roman" w:hAnsi="Times New Roman" w:eastAsia="Times New Roman" w:cs="Times New Roman"/>
          <w:spacing w:val="-1"/>
          <w:sz w:val="24"/>
          <w:szCs w:val="24"/>
        </w:rPr>
        <w:t>CITES</w:t>
      </w:r>
      <w:r>
        <w:rPr>
          <w:rFonts w:ascii="Times New Roman" w:hAnsi="Times New Roman" w:eastAsia="Times New Roman" w:cs="Times New Roman"/>
          <w:spacing w:val="24"/>
          <w:sz w:val="24"/>
          <w:szCs w:val="24"/>
        </w:rPr>
        <w:t xml:space="preserve"> </w:t>
      </w:r>
      <w:r>
        <w:rPr>
          <w:spacing w:val="-1"/>
          <w:sz w:val="24"/>
          <w:szCs w:val="24"/>
        </w:rPr>
        <w:t>列入附录Ⅱ的画眉。其中滇䴓被《中国脊椎动物红</w:t>
      </w:r>
      <w:r>
        <w:rPr>
          <w:spacing w:val="-3"/>
          <w:sz w:val="24"/>
          <w:szCs w:val="24"/>
        </w:rPr>
        <w:t>色名录》列为易危种（</w:t>
      </w:r>
      <w:r>
        <w:rPr>
          <w:rFonts w:ascii="Times New Roman" w:hAnsi="Times New Roman" w:eastAsia="Times New Roman" w:cs="Times New Roman"/>
          <w:spacing w:val="-3"/>
          <w:sz w:val="24"/>
          <w:szCs w:val="24"/>
        </w:rPr>
        <w:t>VU</w:t>
      </w:r>
      <w:r>
        <w:rPr>
          <w:spacing w:val="-53"/>
          <w:w w:val="85"/>
          <w:sz w:val="24"/>
          <w:szCs w:val="24"/>
        </w:rPr>
        <w:t>），</w:t>
      </w:r>
      <w:r>
        <w:rPr>
          <w:spacing w:val="-3"/>
          <w:sz w:val="24"/>
          <w:szCs w:val="24"/>
        </w:rPr>
        <w:t>黄胸鹀</w:t>
      </w:r>
      <w:r>
        <w:rPr>
          <w:spacing w:val="-64"/>
          <w:sz w:val="24"/>
          <w:szCs w:val="24"/>
        </w:rPr>
        <w:t xml:space="preserve"> </w:t>
      </w:r>
      <w:r>
        <w:rPr>
          <w:rFonts w:ascii="Times New Roman" w:hAnsi="Times New Roman" w:eastAsia="Times New Roman" w:cs="Times New Roman"/>
          <w:i/>
          <w:iCs/>
          <w:spacing w:val="-3"/>
          <w:sz w:val="24"/>
          <w:szCs w:val="24"/>
        </w:rPr>
        <w:t>Emberiza aureola</w:t>
      </w:r>
      <w:r>
        <w:rPr>
          <w:rFonts w:ascii="Times New Roman" w:hAnsi="Times New Roman" w:eastAsia="Times New Roman" w:cs="Times New Roman"/>
          <w:i/>
          <w:iCs/>
          <w:spacing w:val="-4"/>
          <w:sz w:val="24"/>
          <w:szCs w:val="24"/>
        </w:rPr>
        <w:t xml:space="preserve"> </w:t>
      </w:r>
      <w:r>
        <w:rPr>
          <w:spacing w:val="-4"/>
          <w:sz w:val="24"/>
          <w:szCs w:val="24"/>
        </w:rPr>
        <w:t>被《中国脊椎动物红色名录》</w:t>
      </w:r>
      <w:r>
        <w:rPr>
          <w:spacing w:val="-3"/>
          <w:sz w:val="24"/>
          <w:szCs w:val="24"/>
        </w:rPr>
        <w:t>列为濒危种（</w:t>
      </w:r>
      <w:r>
        <w:rPr>
          <w:rFonts w:ascii="Times New Roman" w:hAnsi="Times New Roman" w:eastAsia="Times New Roman" w:cs="Times New Roman"/>
          <w:spacing w:val="-3"/>
          <w:sz w:val="24"/>
          <w:szCs w:val="24"/>
        </w:rPr>
        <w:t>EN</w:t>
      </w:r>
      <w:r>
        <w:rPr>
          <w:spacing w:val="-50"/>
          <w:sz w:val="24"/>
          <w:szCs w:val="24"/>
        </w:rPr>
        <w:t>），</w:t>
      </w:r>
      <w:r>
        <w:rPr>
          <w:spacing w:val="-3"/>
          <w:sz w:val="24"/>
          <w:szCs w:val="24"/>
        </w:rPr>
        <w:t>被</w:t>
      </w:r>
      <w:r>
        <w:rPr>
          <w:spacing w:val="-45"/>
          <w:sz w:val="24"/>
          <w:szCs w:val="24"/>
        </w:rPr>
        <w:t xml:space="preserve"> </w:t>
      </w:r>
      <w:r>
        <w:rPr>
          <w:rFonts w:ascii="Times New Roman" w:hAnsi="Times New Roman" w:eastAsia="Times New Roman" w:cs="Times New Roman"/>
          <w:spacing w:val="-3"/>
          <w:sz w:val="24"/>
          <w:szCs w:val="24"/>
        </w:rPr>
        <w:t>IUCN</w:t>
      </w:r>
      <w:r>
        <w:rPr>
          <w:rFonts w:ascii="Times New Roman" w:hAnsi="Times New Roman" w:eastAsia="Times New Roman" w:cs="Times New Roman"/>
          <w:spacing w:val="25"/>
          <w:sz w:val="24"/>
          <w:szCs w:val="24"/>
        </w:rPr>
        <w:t xml:space="preserve"> </w:t>
      </w:r>
      <w:r>
        <w:rPr>
          <w:spacing w:val="-3"/>
          <w:sz w:val="24"/>
          <w:szCs w:val="24"/>
        </w:rPr>
        <w:t>红色名录列为极危种。施工期监测到保护鸟类</w:t>
      </w:r>
      <w:r>
        <w:rPr>
          <w:spacing w:val="-36"/>
          <w:sz w:val="24"/>
          <w:szCs w:val="24"/>
        </w:rPr>
        <w:t xml:space="preserve"> </w:t>
      </w:r>
      <w:r>
        <w:rPr>
          <w:rFonts w:ascii="Times New Roman" w:hAnsi="Times New Roman" w:eastAsia="Times New Roman" w:cs="Times New Roman"/>
          <w:spacing w:val="-3"/>
          <w:sz w:val="24"/>
          <w:szCs w:val="24"/>
        </w:rPr>
        <w:t>8</w:t>
      </w:r>
      <w:r>
        <w:rPr>
          <w:rFonts w:ascii="Times New Roman" w:hAnsi="Times New Roman" w:eastAsia="Times New Roman" w:cs="Times New Roman"/>
          <w:spacing w:val="19"/>
          <w:w w:val="101"/>
          <w:sz w:val="24"/>
          <w:szCs w:val="24"/>
        </w:rPr>
        <w:t xml:space="preserve"> </w:t>
      </w:r>
      <w:r>
        <w:rPr>
          <w:spacing w:val="-3"/>
          <w:sz w:val="24"/>
          <w:szCs w:val="24"/>
        </w:rPr>
        <w:t>种，</w:t>
      </w:r>
      <w:r>
        <w:rPr>
          <w:spacing w:val="12"/>
          <w:sz w:val="24"/>
          <w:szCs w:val="24"/>
        </w:rPr>
        <w:t xml:space="preserve">包括环评阶段的白尾鹞 </w:t>
      </w:r>
      <w:r>
        <w:rPr>
          <w:rFonts w:ascii="Times New Roman" w:hAnsi="Times New Roman" w:eastAsia="Times New Roman" w:cs="Times New Roman"/>
          <w:i/>
          <w:iCs/>
          <w:sz w:val="24"/>
          <w:szCs w:val="24"/>
        </w:rPr>
        <w:t>Circus</w:t>
      </w:r>
      <w:r>
        <w:rPr>
          <w:rFonts w:ascii="Times New Roman" w:hAnsi="Times New Roman" w:eastAsia="Times New Roman" w:cs="Times New Roman"/>
          <w:i/>
          <w:iCs/>
          <w:spacing w:val="12"/>
          <w:sz w:val="24"/>
          <w:szCs w:val="24"/>
        </w:rPr>
        <w:t xml:space="preserve">  </w:t>
      </w:r>
      <w:r>
        <w:rPr>
          <w:rFonts w:ascii="Times New Roman" w:hAnsi="Times New Roman" w:eastAsia="Times New Roman" w:cs="Times New Roman"/>
          <w:i/>
          <w:iCs/>
          <w:sz w:val="24"/>
          <w:szCs w:val="24"/>
        </w:rPr>
        <w:t>cyaneus</w:t>
      </w:r>
      <w:r>
        <w:rPr>
          <w:spacing w:val="12"/>
          <w:sz w:val="24"/>
          <w:szCs w:val="24"/>
        </w:rPr>
        <w:t xml:space="preserve">、普通鵟 </w:t>
      </w:r>
      <w:r>
        <w:rPr>
          <w:rFonts w:ascii="Times New Roman" w:hAnsi="Times New Roman" w:eastAsia="Times New Roman" w:cs="Times New Roman"/>
          <w:i/>
          <w:iCs/>
          <w:sz w:val="24"/>
          <w:szCs w:val="24"/>
        </w:rPr>
        <w:t>Buteo</w:t>
      </w:r>
      <w:r>
        <w:rPr>
          <w:rFonts w:ascii="Times New Roman" w:hAnsi="Times New Roman" w:eastAsia="Times New Roman" w:cs="Times New Roman"/>
          <w:i/>
          <w:iCs/>
          <w:spacing w:val="12"/>
          <w:sz w:val="24"/>
          <w:szCs w:val="24"/>
        </w:rPr>
        <w:t xml:space="preserve"> </w:t>
      </w:r>
      <w:r>
        <w:rPr>
          <w:rFonts w:ascii="Times New Roman" w:hAnsi="Times New Roman" w:eastAsia="Times New Roman" w:cs="Times New Roman"/>
          <w:i/>
          <w:iCs/>
          <w:sz w:val="24"/>
          <w:szCs w:val="24"/>
        </w:rPr>
        <w:t>japonicus</w:t>
      </w:r>
      <w:r>
        <w:rPr>
          <w:rFonts w:ascii="Times New Roman" w:hAnsi="Times New Roman" w:eastAsia="Times New Roman" w:cs="Times New Roman"/>
          <w:i/>
          <w:iCs/>
          <w:spacing w:val="12"/>
          <w:sz w:val="24"/>
          <w:szCs w:val="24"/>
        </w:rPr>
        <w:t xml:space="preserve">  </w:t>
      </w:r>
      <w:r>
        <w:rPr>
          <w:spacing w:val="12"/>
          <w:sz w:val="24"/>
          <w:szCs w:val="24"/>
        </w:rPr>
        <w:t xml:space="preserve">和红隼 </w:t>
      </w:r>
      <w:r>
        <w:rPr>
          <w:rFonts w:ascii="Times New Roman" w:hAnsi="Times New Roman" w:eastAsia="Times New Roman" w:cs="Times New Roman"/>
          <w:i/>
          <w:iCs/>
          <w:sz w:val="24"/>
          <w:szCs w:val="24"/>
        </w:rPr>
        <w:t>Falco</w:t>
      </w:r>
    </w:p>
    <w:p w14:paraId="49981EBE">
      <w:pPr>
        <w:spacing w:line="336" w:lineRule="auto"/>
        <w:rPr>
          <w:rFonts w:ascii="Times New Roman" w:hAnsi="Times New Roman" w:eastAsia="Times New Roman" w:cs="Times New Roman"/>
          <w:sz w:val="24"/>
          <w:szCs w:val="24"/>
        </w:rPr>
        <w:sectPr>
          <w:headerReference r:id="rId186" w:type="default"/>
          <w:footerReference r:id="rId187" w:type="default"/>
          <w:pgSz w:w="11907" w:h="16839"/>
          <w:pgMar w:top="1376" w:right="1632" w:bottom="1061" w:left="1671" w:header="999" w:footer="861" w:gutter="0"/>
          <w:cols w:space="720" w:num="1"/>
        </w:sectPr>
      </w:pPr>
    </w:p>
    <w:p w14:paraId="7D567246">
      <w:pPr>
        <w:spacing w:line="454" w:lineRule="auto"/>
        <w:rPr>
          <w:rFonts w:ascii="Arial"/>
          <w:sz w:val="21"/>
        </w:rPr>
      </w:pPr>
    </w:p>
    <w:p w14:paraId="10F3657F">
      <w:pPr>
        <w:pStyle w:val="2"/>
        <w:spacing w:before="81" w:line="333" w:lineRule="auto"/>
        <w:ind w:left="35" w:right="29" w:firstLine="4"/>
        <w:jc w:val="both"/>
        <w:rPr>
          <w:sz w:val="24"/>
          <w:szCs w:val="24"/>
        </w:rPr>
      </w:pPr>
      <w:r>
        <w:rPr>
          <w:rFonts w:ascii="Times New Roman" w:hAnsi="Times New Roman" w:eastAsia="Times New Roman" w:cs="Times New Roman"/>
          <w:i/>
          <w:iCs/>
          <w:sz w:val="24"/>
          <w:szCs w:val="24"/>
        </w:rPr>
        <w:t>tinnunculus</w:t>
      </w:r>
      <w:r>
        <w:rPr>
          <w:rFonts w:ascii="Times New Roman" w:hAnsi="Times New Roman" w:eastAsia="Times New Roman" w:cs="Times New Roman"/>
          <w:i/>
          <w:iCs/>
          <w:spacing w:val="13"/>
          <w:sz w:val="24"/>
          <w:szCs w:val="24"/>
        </w:rPr>
        <w:t xml:space="preserve"> </w:t>
      </w:r>
      <w:r>
        <w:rPr>
          <w:i/>
          <w:iCs/>
          <w:spacing w:val="13"/>
          <w:sz w:val="25"/>
          <w:szCs w:val="25"/>
        </w:rPr>
        <w:t>、</w:t>
      </w:r>
      <w:r>
        <w:rPr>
          <w:spacing w:val="-54"/>
          <w:sz w:val="25"/>
          <w:szCs w:val="25"/>
        </w:rPr>
        <w:t xml:space="preserve"> </w:t>
      </w:r>
      <w:r>
        <w:rPr>
          <w:spacing w:val="13"/>
          <w:sz w:val="24"/>
          <w:szCs w:val="24"/>
        </w:rPr>
        <w:t xml:space="preserve">白胸翡翠等 </w:t>
      </w:r>
      <w:r>
        <w:rPr>
          <w:rFonts w:ascii="Times New Roman" w:hAnsi="Times New Roman" w:eastAsia="Times New Roman" w:cs="Times New Roman"/>
          <w:spacing w:val="13"/>
          <w:sz w:val="24"/>
          <w:szCs w:val="24"/>
        </w:rPr>
        <w:t xml:space="preserve">4  </w:t>
      </w:r>
      <w:r>
        <w:rPr>
          <w:spacing w:val="13"/>
          <w:sz w:val="24"/>
          <w:szCs w:val="24"/>
        </w:rPr>
        <w:t>种，新增国家Ⅱ保护鸟类白腹锦鸡</w:t>
      </w:r>
      <w:r>
        <w:rPr>
          <w:spacing w:val="40"/>
          <w:sz w:val="24"/>
          <w:szCs w:val="24"/>
        </w:rPr>
        <w:t xml:space="preserve"> </w:t>
      </w:r>
      <w:r>
        <w:rPr>
          <w:rFonts w:ascii="Times New Roman" w:hAnsi="Times New Roman" w:eastAsia="Times New Roman" w:cs="Times New Roman"/>
          <w:i/>
          <w:iCs/>
          <w:sz w:val="24"/>
          <w:szCs w:val="24"/>
        </w:rPr>
        <w:t xml:space="preserve">Chrysolophus </w:t>
      </w:r>
      <w:r>
        <w:rPr>
          <w:rFonts w:ascii="Times New Roman" w:hAnsi="Times New Roman" w:eastAsia="Times New Roman" w:cs="Times New Roman"/>
          <w:i/>
          <w:iCs/>
          <w:spacing w:val="-2"/>
          <w:sz w:val="24"/>
          <w:szCs w:val="24"/>
        </w:rPr>
        <w:t>amherstiae</w:t>
      </w:r>
      <w:r>
        <w:rPr>
          <w:spacing w:val="-2"/>
          <w:sz w:val="24"/>
          <w:szCs w:val="24"/>
        </w:rPr>
        <w:t>、褐翅鸦鹃</w:t>
      </w:r>
      <w:r>
        <w:rPr>
          <w:spacing w:val="-44"/>
          <w:sz w:val="24"/>
          <w:szCs w:val="24"/>
        </w:rPr>
        <w:t xml:space="preserve"> </w:t>
      </w:r>
      <w:r>
        <w:rPr>
          <w:rFonts w:ascii="Times New Roman" w:hAnsi="Times New Roman" w:eastAsia="Times New Roman" w:cs="Times New Roman"/>
          <w:i/>
          <w:iCs/>
          <w:spacing w:val="-2"/>
          <w:sz w:val="24"/>
          <w:szCs w:val="24"/>
        </w:rPr>
        <w:t>Centropus</w:t>
      </w:r>
      <w:r>
        <w:rPr>
          <w:rFonts w:ascii="Times New Roman" w:hAnsi="Times New Roman" w:eastAsia="Times New Roman" w:cs="Times New Roman"/>
          <w:i/>
          <w:iCs/>
          <w:spacing w:val="-17"/>
          <w:sz w:val="24"/>
          <w:szCs w:val="24"/>
        </w:rPr>
        <w:t xml:space="preserve"> </w:t>
      </w:r>
      <w:r>
        <w:rPr>
          <w:rFonts w:ascii="Times New Roman" w:hAnsi="Times New Roman" w:eastAsia="Times New Roman" w:cs="Times New Roman"/>
          <w:i/>
          <w:iCs/>
          <w:spacing w:val="-2"/>
          <w:sz w:val="24"/>
          <w:szCs w:val="24"/>
        </w:rPr>
        <w:t>sinensi</w:t>
      </w:r>
      <w:r>
        <w:rPr>
          <w:rFonts w:ascii="Times New Roman" w:hAnsi="Times New Roman" w:eastAsia="Times New Roman" w:cs="Times New Roman"/>
          <w:i/>
          <w:iCs/>
          <w:spacing w:val="-3"/>
          <w:sz w:val="24"/>
          <w:szCs w:val="24"/>
        </w:rPr>
        <w:t>s</w:t>
      </w:r>
      <w:r>
        <w:rPr>
          <w:spacing w:val="-3"/>
          <w:sz w:val="24"/>
          <w:szCs w:val="24"/>
        </w:rPr>
        <w:t>、领角鸮</w:t>
      </w:r>
      <w:r>
        <w:rPr>
          <w:spacing w:val="-46"/>
          <w:sz w:val="24"/>
          <w:szCs w:val="24"/>
        </w:rPr>
        <w:t xml:space="preserve"> </w:t>
      </w:r>
      <w:r>
        <w:rPr>
          <w:rFonts w:ascii="Times New Roman" w:hAnsi="Times New Roman" w:eastAsia="Times New Roman" w:cs="Times New Roman"/>
          <w:i/>
          <w:iCs/>
          <w:spacing w:val="-3"/>
          <w:sz w:val="24"/>
          <w:szCs w:val="24"/>
        </w:rPr>
        <w:t xml:space="preserve">Otus lettia </w:t>
      </w:r>
      <w:r>
        <w:rPr>
          <w:spacing w:val="-3"/>
          <w:sz w:val="24"/>
          <w:szCs w:val="24"/>
        </w:rPr>
        <w:t>和斑头鸺鹠</w:t>
      </w:r>
      <w:r>
        <w:rPr>
          <w:spacing w:val="-43"/>
          <w:sz w:val="24"/>
          <w:szCs w:val="24"/>
        </w:rPr>
        <w:t xml:space="preserve"> </w:t>
      </w:r>
      <w:r>
        <w:rPr>
          <w:rFonts w:ascii="Times New Roman" w:hAnsi="Times New Roman" w:eastAsia="Times New Roman" w:cs="Times New Roman"/>
          <w:i/>
          <w:iCs/>
          <w:spacing w:val="-3"/>
          <w:sz w:val="24"/>
          <w:szCs w:val="24"/>
        </w:rPr>
        <w:t>Glaucidium</w:t>
      </w:r>
      <w:r>
        <w:rPr>
          <w:rFonts w:ascii="Times New Roman" w:hAnsi="Times New Roman" w:eastAsia="Times New Roman" w:cs="Times New Roman"/>
          <w:i/>
          <w:iCs/>
          <w:sz w:val="24"/>
          <w:szCs w:val="24"/>
        </w:rPr>
        <w:t xml:space="preserve"> </w:t>
      </w:r>
      <w:r>
        <w:rPr>
          <w:rFonts w:ascii="Times New Roman" w:hAnsi="Times New Roman" w:eastAsia="Times New Roman" w:cs="Times New Roman"/>
          <w:i/>
          <w:iCs/>
          <w:spacing w:val="-1"/>
          <w:sz w:val="24"/>
          <w:szCs w:val="24"/>
        </w:rPr>
        <w:t xml:space="preserve">cuculoides </w:t>
      </w:r>
      <w:r>
        <w:rPr>
          <w:spacing w:val="-1"/>
          <w:sz w:val="24"/>
          <w:szCs w:val="24"/>
        </w:rPr>
        <w:t>等</w:t>
      </w:r>
      <w:r>
        <w:rPr>
          <w:spacing w:val="-56"/>
          <w:sz w:val="24"/>
          <w:szCs w:val="24"/>
        </w:rPr>
        <w:t xml:space="preserve"> </w:t>
      </w:r>
      <w:r>
        <w:rPr>
          <w:rFonts w:ascii="Times New Roman" w:hAnsi="Times New Roman" w:eastAsia="Times New Roman" w:cs="Times New Roman"/>
          <w:spacing w:val="-1"/>
          <w:sz w:val="24"/>
          <w:szCs w:val="24"/>
        </w:rPr>
        <w:t xml:space="preserve">4 </w:t>
      </w:r>
      <w:r>
        <w:rPr>
          <w:spacing w:val="-1"/>
          <w:sz w:val="24"/>
          <w:szCs w:val="24"/>
        </w:rPr>
        <w:t>种，其中白尾鹞、普通鵟、领角鸮、斑头鸺鹠和红隼</w:t>
      </w:r>
      <w:r>
        <w:rPr>
          <w:spacing w:val="-48"/>
          <w:sz w:val="24"/>
          <w:szCs w:val="24"/>
        </w:rPr>
        <w:t xml:space="preserve"> </w:t>
      </w:r>
      <w:r>
        <w:rPr>
          <w:rFonts w:ascii="Times New Roman" w:hAnsi="Times New Roman" w:eastAsia="Times New Roman" w:cs="Times New Roman"/>
          <w:spacing w:val="-1"/>
          <w:sz w:val="24"/>
          <w:szCs w:val="24"/>
        </w:rPr>
        <w:t xml:space="preserve">5 </w:t>
      </w:r>
      <w:r>
        <w:rPr>
          <w:spacing w:val="-1"/>
          <w:sz w:val="24"/>
          <w:szCs w:val="24"/>
        </w:rPr>
        <w:t>种猛禽</w:t>
      </w:r>
      <w:r>
        <w:rPr>
          <w:spacing w:val="-2"/>
          <w:sz w:val="24"/>
          <w:szCs w:val="24"/>
        </w:rPr>
        <w:t>亦被</w:t>
      </w:r>
      <w:r>
        <w:rPr>
          <w:rFonts w:ascii="Times New Roman" w:hAnsi="Times New Roman" w:eastAsia="Times New Roman" w:cs="Times New Roman"/>
          <w:sz w:val="24"/>
          <w:szCs w:val="24"/>
        </w:rPr>
        <w:t>CITES</w:t>
      </w:r>
      <w:r>
        <w:rPr>
          <w:rFonts w:ascii="Times New Roman" w:hAnsi="Times New Roman" w:eastAsia="Times New Roman" w:cs="Times New Roman"/>
          <w:spacing w:val="1"/>
          <w:sz w:val="24"/>
          <w:szCs w:val="24"/>
        </w:rPr>
        <w:t xml:space="preserve">  </w:t>
      </w:r>
      <w:r>
        <w:rPr>
          <w:spacing w:val="1"/>
          <w:sz w:val="24"/>
          <w:szCs w:val="24"/>
        </w:rPr>
        <w:t>列为附录Ⅱ保护种。施工期监测过程中未记录到环评阶段记录的雀</w:t>
      </w:r>
      <w:r>
        <w:rPr>
          <w:sz w:val="24"/>
          <w:szCs w:val="24"/>
        </w:rPr>
        <w:t>鹰、苍</w:t>
      </w:r>
      <w:r>
        <w:rPr>
          <w:spacing w:val="-3"/>
          <w:sz w:val="24"/>
          <w:szCs w:val="24"/>
        </w:rPr>
        <w:t>鹰、鹊鹞、画眉、滇䴓和黄胸鹀。</w:t>
      </w:r>
    </w:p>
    <w:p w14:paraId="16F2CC0C">
      <w:pPr>
        <w:pStyle w:val="2"/>
        <w:spacing w:before="21" w:line="338" w:lineRule="auto"/>
        <w:ind w:left="21" w:right="29" w:firstLine="500"/>
        <w:jc w:val="both"/>
        <w:rPr>
          <w:sz w:val="24"/>
          <w:szCs w:val="24"/>
        </w:rPr>
      </w:pPr>
      <w:r>
        <w:rPr>
          <w:spacing w:val="-4"/>
          <w:sz w:val="24"/>
          <w:szCs w:val="24"/>
        </w:rPr>
        <w:t>综上分析：项目处于施工阶段，虽然存在一定</w:t>
      </w:r>
      <w:r>
        <w:rPr>
          <w:spacing w:val="-5"/>
          <w:sz w:val="24"/>
          <w:szCs w:val="24"/>
        </w:rPr>
        <w:t>的施工干扰，但调查区内施工占</w:t>
      </w:r>
      <w:r>
        <w:rPr>
          <w:spacing w:val="-4"/>
          <w:sz w:val="24"/>
          <w:szCs w:val="24"/>
        </w:rPr>
        <w:t>地较小，施工仅在坝区等施工点存在干扰，对调查区的大部分面积没有形成干扰，</w:t>
      </w:r>
      <w:r>
        <w:rPr>
          <w:spacing w:val="3"/>
          <w:sz w:val="24"/>
          <w:szCs w:val="24"/>
        </w:rPr>
        <w:t>因此，调查区的鸟类较环评阶段差异的主要原因可能由于环评阶段部分鸟类数据</w:t>
      </w:r>
      <w:r>
        <w:rPr>
          <w:spacing w:val="-4"/>
          <w:sz w:val="24"/>
          <w:szCs w:val="24"/>
        </w:rPr>
        <w:t>来源于文献资料。通过监测，</w:t>
      </w:r>
      <w:r>
        <w:rPr>
          <w:spacing w:val="74"/>
          <w:sz w:val="24"/>
          <w:szCs w:val="24"/>
        </w:rPr>
        <w:t xml:space="preserve"> </w:t>
      </w:r>
      <w:r>
        <w:rPr>
          <w:spacing w:val="-4"/>
          <w:sz w:val="24"/>
          <w:szCs w:val="24"/>
        </w:rPr>
        <w:t>调查区的鸟类适应性相对较强，在大坝施工区</w:t>
      </w:r>
      <w:r>
        <w:rPr>
          <w:rFonts w:ascii="Times New Roman" w:hAnsi="Times New Roman" w:eastAsia="Times New Roman" w:cs="Times New Roman"/>
          <w:spacing w:val="-4"/>
          <w:sz w:val="24"/>
          <w:szCs w:val="24"/>
        </w:rPr>
        <w:t>200m</w:t>
      </w:r>
      <w:r>
        <w:rPr>
          <w:spacing w:val="-3"/>
          <w:sz w:val="24"/>
          <w:szCs w:val="24"/>
        </w:rPr>
        <w:t>以外区域有白腹锦鸡等保护鸟类活动，坝前水域有小䴙䴘</w:t>
      </w:r>
      <w:r>
        <w:rPr>
          <w:rFonts w:ascii="Times New Roman" w:hAnsi="Times New Roman" w:eastAsia="Times New Roman" w:cs="Times New Roman"/>
          <w:i/>
          <w:iCs/>
          <w:spacing w:val="-3"/>
          <w:sz w:val="24"/>
          <w:szCs w:val="24"/>
        </w:rPr>
        <w:t>Tachybaptus ruficollis</w:t>
      </w:r>
      <w:r>
        <w:rPr>
          <w:spacing w:val="-3"/>
          <w:sz w:val="24"/>
          <w:szCs w:val="24"/>
        </w:rPr>
        <w:t>、斑</w:t>
      </w:r>
      <w:r>
        <w:rPr>
          <w:spacing w:val="7"/>
          <w:sz w:val="24"/>
          <w:szCs w:val="24"/>
        </w:rPr>
        <w:t xml:space="preserve">嘴鸭 </w:t>
      </w:r>
      <w:r>
        <w:rPr>
          <w:rFonts w:ascii="Times New Roman" w:hAnsi="Times New Roman" w:eastAsia="Times New Roman" w:cs="Times New Roman"/>
          <w:i/>
          <w:iCs/>
          <w:sz w:val="24"/>
          <w:szCs w:val="24"/>
        </w:rPr>
        <w:t>Anas</w:t>
      </w:r>
      <w:r>
        <w:rPr>
          <w:rFonts w:ascii="Times New Roman" w:hAnsi="Times New Roman" w:eastAsia="Times New Roman" w:cs="Times New Roman"/>
          <w:i/>
          <w:iCs/>
          <w:spacing w:val="38"/>
          <w:sz w:val="24"/>
          <w:szCs w:val="24"/>
        </w:rPr>
        <w:t xml:space="preserve"> </w:t>
      </w:r>
      <w:r>
        <w:rPr>
          <w:rFonts w:ascii="Times New Roman" w:hAnsi="Times New Roman" w:eastAsia="Times New Roman" w:cs="Times New Roman"/>
          <w:i/>
          <w:iCs/>
          <w:sz w:val="24"/>
          <w:szCs w:val="24"/>
        </w:rPr>
        <w:t>zonorhyncha</w:t>
      </w:r>
      <w:r>
        <w:rPr>
          <w:rFonts w:ascii="Times New Roman" w:hAnsi="Times New Roman" w:eastAsia="Times New Roman" w:cs="Times New Roman"/>
          <w:i/>
          <w:iCs/>
          <w:spacing w:val="7"/>
          <w:sz w:val="24"/>
          <w:szCs w:val="24"/>
        </w:rPr>
        <w:t xml:space="preserve">  </w:t>
      </w:r>
      <w:r>
        <w:rPr>
          <w:spacing w:val="7"/>
          <w:sz w:val="24"/>
          <w:szCs w:val="24"/>
        </w:rPr>
        <w:t xml:space="preserve">和鹭类等水鸟活动，坝下河岸两侧有黄臀鹎 </w:t>
      </w:r>
      <w:r>
        <w:rPr>
          <w:rFonts w:ascii="Times New Roman" w:hAnsi="Times New Roman" w:eastAsia="Times New Roman" w:cs="Times New Roman"/>
          <w:i/>
          <w:iCs/>
          <w:sz w:val="24"/>
          <w:szCs w:val="24"/>
        </w:rPr>
        <w:t>Pycnonotus xanthorrhous</w:t>
      </w:r>
      <w:r>
        <w:rPr>
          <w:sz w:val="24"/>
          <w:szCs w:val="24"/>
        </w:rPr>
        <w:t>、白喉红臀鹎</w:t>
      </w:r>
      <w:r>
        <w:rPr>
          <w:spacing w:val="-66"/>
          <w:sz w:val="24"/>
          <w:szCs w:val="24"/>
        </w:rPr>
        <w:t xml:space="preserve"> </w:t>
      </w:r>
      <w:r>
        <w:rPr>
          <w:rFonts w:ascii="Times New Roman" w:hAnsi="Times New Roman" w:eastAsia="Times New Roman" w:cs="Times New Roman"/>
          <w:i/>
          <w:iCs/>
          <w:sz w:val="24"/>
          <w:szCs w:val="24"/>
        </w:rPr>
        <w:t>Pycnonotus aurigast</w:t>
      </w:r>
      <w:r>
        <w:rPr>
          <w:rFonts w:ascii="Times New Roman" w:hAnsi="Times New Roman" w:eastAsia="Times New Roman" w:cs="Times New Roman"/>
          <w:i/>
          <w:iCs/>
          <w:spacing w:val="-1"/>
          <w:sz w:val="24"/>
          <w:szCs w:val="24"/>
        </w:rPr>
        <w:t>er</w:t>
      </w:r>
      <w:r>
        <w:rPr>
          <w:spacing w:val="-1"/>
          <w:sz w:val="24"/>
          <w:szCs w:val="24"/>
        </w:rPr>
        <w:t>、褐柳莺</w:t>
      </w:r>
      <w:r>
        <w:rPr>
          <w:spacing w:val="-65"/>
          <w:sz w:val="24"/>
          <w:szCs w:val="24"/>
        </w:rPr>
        <w:t xml:space="preserve"> </w:t>
      </w:r>
      <w:r>
        <w:rPr>
          <w:rFonts w:ascii="Times New Roman" w:hAnsi="Times New Roman" w:eastAsia="Times New Roman" w:cs="Times New Roman"/>
          <w:i/>
          <w:iCs/>
          <w:spacing w:val="-1"/>
          <w:sz w:val="24"/>
          <w:szCs w:val="24"/>
        </w:rPr>
        <w:t>Phylloscopusfuscatus</w:t>
      </w:r>
      <w:r>
        <w:rPr>
          <w:spacing w:val="-1"/>
          <w:sz w:val="24"/>
          <w:szCs w:val="24"/>
        </w:rPr>
        <w:t>、红</w:t>
      </w:r>
      <w:r>
        <w:rPr>
          <w:spacing w:val="2"/>
          <w:sz w:val="24"/>
          <w:szCs w:val="24"/>
        </w:rPr>
        <w:t>尾水鸲</w:t>
      </w:r>
      <w:r>
        <w:rPr>
          <w:spacing w:val="-65"/>
          <w:sz w:val="24"/>
          <w:szCs w:val="24"/>
        </w:rPr>
        <w:t xml:space="preserve"> </w:t>
      </w:r>
      <w:r>
        <w:rPr>
          <w:rFonts w:ascii="Times New Roman" w:hAnsi="Times New Roman" w:eastAsia="Times New Roman" w:cs="Times New Roman"/>
          <w:i/>
          <w:iCs/>
          <w:sz w:val="24"/>
          <w:szCs w:val="24"/>
        </w:rPr>
        <w:t>Rhyacornis</w:t>
      </w:r>
      <w:r>
        <w:rPr>
          <w:rFonts w:ascii="Times New Roman" w:hAnsi="Times New Roman" w:eastAsia="Times New Roman" w:cs="Times New Roman"/>
          <w:i/>
          <w:iCs/>
          <w:spacing w:val="-11"/>
          <w:sz w:val="24"/>
          <w:szCs w:val="24"/>
        </w:rPr>
        <w:t xml:space="preserve"> </w:t>
      </w:r>
      <w:r>
        <w:rPr>
          <w:rFonts w:ascii="Times New Roman" w:hAnsi="Times New Roman" w:eastAsia="Times New Roman" w:cs="Times New Roman"/>
          <w:i/>
          <w:iCs/>
          <w:sz w:val="24"/>
          <w:szCs w:val="24"/>
        </w:rPr>
        <w:t>fuliginosa</w:t>
      </w:r>
      <w:r>
        <w:rPr>
          <w:rFonts w:ascii="Times New Roman" w:hAnsi="Times New Roman" w:eastAsia="Times New Roman" w:cs="Times New Roman"/>
          <w:i/>
          <w:iCs/>
          <w:spacing w:val="2"/>
          <w:sz w:val="24"/>
          <w:szCs w:val="24"/>
        </w:rPr>
        <w:t xml:space="preserve"> </w:t>
      </w:r>
      <w:r>
        <w:rPr>
          <w:spacing w:val="2"/>
          <w:sz w:val="24"/>
          <w:szCs w:val="24"/>
        </w:rPr>
        <w:t>等鸟类活动。施工区域则受干扰较多，仅偶见白鹡鸰</w:t>
      </w:r>
      <w:r>
        <w:rPr>
          <w:rFonts w:ascii="Times New Roman" w:hAnsi="Times New Roman" w:eastAsia="Times New Roman" w:cs="Times New Roman"/>
          <w:i/>
          <w:iCs/>
          <w:spacing w:val="-1"/>
          <w:sz w:val="24"/>
          <w:szCs w:val="24"/>
        </w:rPr>
        <w:t>Motacilla alba</w:t>
      </w:r>
      <w:r>
        <w:rPr>
          <w:spacing w:val="-1"/>
          <w:sz w:val="24"/>
          <w:szCs w:val="24"/>
        </w:rPr>
        <w:t>、麻雀</w:t>
      </w:r>
      <w:r>
        <w:rPr>
          <w:spacing w:val="-42"/>
          <w:sz w:val="24"/>
          <w:szCs w:val="24"/>
        </w:rPr>
        <w:t xml:space="preserve"> </w:t>
      </w:r>
      <w:r>
        <w:rPr>
          <w:rFonts w:ascii="Times New Roman" w:hAnsi="Times New Roman" w:eastAsia="Times New Roman" w:cs="Times New Roman"/>
          <w:i/>
          <w:iCs/>
          <w:spacing w:val="-1"/>
          <w:sz w:val="24"/>
          <w:szCs w:val="24"/>
        </w:rPr>
        <w:t xml:space="preserve">Passer montanus </w:t>
      </w:r>
      <w:r>
        <w:rPr>
          <w:spacing w:val="-1"/>
          <w:sz w:val="24"/>
          <w:szCs w:val="24"/>
        </w:rPr>
        <w:t>等伴人居鸟类。</w:t>
      </w:r>
    </w:p>
    <w:p w14:paraId="76042E0E">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）对兽类的影响</w:t>
      </w:r>
    </w:p>
    <w:p w14:paraId="5124293C">
      <w:pPr>
        <w:pStyle w:val="2"/>
        <w:spacing w:before="137" w:line="338" w:lineRule="auto"/>
        <w:ind w:left="38" w:right="31" w:firstLine="480"/>
        <w:jc w:val="both"/>
        <w:rPr>
          <w:sz w:val="24"/>
          <w:szCs w:val="24"/>
        </w:rPr>
      </w:pPr>
      <w:r>
        <w:rPr>
          <w:spacing w:val="-6"/>
          <w:sz w:val="24"/>
          <w:szCs w:val="24"/>
        </w:rPr>
        <w:t>环评阶段调查单位根据现场调查、访问当地年长的老百姓，</w:t>
      </w:r>
      <w:r>
        <w:rPr>
          <w:spacing w:val="-64"/>
          <w:sz w:val="24"/>
          <w:szCs w:val="24"/>
        </w:rPr>
        <w:t xml:space="preserve"> </w:t>
      </w:r>
      <w:r>
        <w:rPr>
          <w:spacing w:val="-6"/>
          <w:sz w:val="24"/>
          <w:szCs w:val="24"/>
        </w:rPr>
        <w:t>以共同翻看兽类图</w:t>
      </w:r>
      <w:r>
        <w:rPr>
          <w:spacing w:val="-4"/>
          <w:sz w:val="24"/>
          <w:szCs w:val="24"/>
        </w:rPr>
        <w:t>谱的方式咨询护林员，查阅历史文献资料等，确定车马碧水库工程调查区分布</w:t>
      </w:r>
      <w:r>
        <w:rPr>
          <w:spacing w:val="-5"/>
          <w:sz w:val="24"/>
          <w:szCs w:val="24"/>
        </w:rPr>
        <w:t>哺乳</w:t>
      </w:r>
      <w:r>
        <w:rPr>
          <w:spacing w:val="-7"/>
          <w:sz w:val="24"/>
          <w:szCs w:val="24"/>
        </w:rPr>
        <w:t>动物</w:t>
      </w:r>
      <w:r>
        <w:rPr>
          <w:spacing w:val="-54"/>
          <w:sz w:val="24"/>
          <w:szCs w:val="24"/>
        </w:rPr>
        <w:t xml:space="preserve"> </w:t>
      </w:r>
      <w:r>
        <w:rPr>
          <w:rFonts w:ascii="Times New Roman" w:hAnsi="Times New Roman" w:eastAsia="Times New Roman" w:cs="Times New Roman"/>
          <w:spacing w:val="-7"/>
          <w:sz w:val="24"/>
          <w:szCs w:val="24"/>
        </w:rPr>
        <w:t xml:space="preserve">28 </w:t>
      </w:r>
      <w:r>
        <w:rPr>
          <w:spacing w:val="-7"/>
          <w:sz w:val="24"/>
          <w:szCs w:val="24"/>
        </w:rPr>
        <w:t>种，分属于</w:t>
      </w:r>
      <w:r>
        <w:rPr>
          <w:spacing w:val="-49"/>
          <w:sz w:val="24"/>
          <w:szCs w:val="24"/>
        </w:rPr>
        <w:t xml:space="preserve"> </w:t>
      </w:r>
      <w:r>
        <w:rPr>
          <w:rFonts w:ascii="Times New Roman" w:hAnsi="Times New Roman" w:eastAsia="Times New Roman" w:cs="Times New Roman"/>
          <w:spacing w:val="-7"/>
          <w:sz w:val="24"/>
          <w:szCs w:val="24"/>
        </w:rPr>
        <w:t xml:space="preserve">5  </w:t>
      </w:r>
      <w:r>
        <w:rPr>
          <w:spacing w:val="-7"/>
          <w:sz w:val="24"/>
          <w:szCs w:val="24"/>
        </w:rPr>
        <w:t>目</w:t>
      </w:r>
      <w:r>
        <w:rPr>
          <w:spacing w:val="-51"/>
          <w:sz w:val="24"/>
          <w:szCs w:val="24"/>
        </w:rPr>
        <w:t xml:space="preserve"> </w:t>
      </w:r>
      <w:r>
        <w:rPr>
          <w:rFonts w:ascii="Times New Roman" w:hAnsi="Times New Roman" w:eastAsia="Times New Roman" w:cs="Times New Roman"/>
          <w:spacing w:val="-7"/>
          <w:sz w:val="24"/>
          <w:szCs w:val="24"/>
        </w:rPr>
        <w:t xml:space="preserve">7 </w:t>
      </w:r>
      <w:r>
        <w:rPr>
          <w:spacing w:val="-7"/>
          <w:sz w:val="24"/>
          <w:szCs w:val="24"/>
        </w:rPr>
        <w:t>科</w:t>
      </w:r>
      <w:r>
        <w:rPr>
          <w:spacing w:val="-32"/>
          <w:sz w:val="24"/>
          <w:szCs w:val="24"/>
        </w:rPr>
        <w:t xml:space="preserve"> </w:t>
      </w:r>
      <w:r>
        <w:rPr>
          <w:rFonts w:ascii="Times New Roman" w:hAnsi="Times New Roman" w:eastAsia="Times New Roman" w:cs="Times New Roman"/>
          <w:spacing w:val="-7"/>
          <w:sz w:val="24"/>
          <w:szCs w:val="24"/>
        </w:rPr>
        <w:t>19</w:t>
      </w:r>
      <w:r>
        <w:rPr>
          <w:rFonts w:ascii="Times New Roman" w:hAnsi="Times New Roman" w:eastAsia="Times New Roman" w:cs="Times New Roman"/>
          <w:spacing w:val="12"/>
          <w:sz w:val="24"/>
          <w:szCs w:val="24"/>
        </w:rPr>
        <w:t xml:space="preserve"> </w:t>
      </w:r>
      <w:r>
        <w:rPr>
          <w:spacing w:val="-7"/>
          <w:sz w:val="24"/>
          <w:szCs w:val="24"/>
        </w:rPr>
        <w:t>属。</w:t>
      </w:r>
    </w:p>
    <w:p w14:paraId="7E7CA6FA">
      <w:pPr>
        <w:pStyle w:val="2"/>
        <w:spacing w:before="2" w:line="338" w:lineRule="auto"/>
        <w:ind w:left="39" w:right="31" w:firstLine="478"/>
        <w:jc w:val="both"/>
        <w:rPr>
          <w:sz w:val="24"/>
          <w:szCs w:val="24"/>
        </w:rPr>
      </w:pPr>
      <w:r>
        <w:rPr>
          <w:spacing w:val="-4"/>
          <w:sz w:val="24"/>
          <w:szCs w:val="24"/>
        </w:rPr>
        <w:t>施工期调查单位通过实地调查、自动相机调和访问调查</w:t>
      </w:r>
      <w:r>
        <w:rPr>
          <w:spacing w:val="-5"/>
          <w:sz w:val="24"/>
          <w:szCs w:val="24"/>
        </w:rPr>
        <w:t>，仅记录了目击或访查</w:t>
      </w:r>
      <w:r>
        <w:rPr>
          <w:spacing w:val="-2"/>
          <w:sz w:val="24"/>
          <w:szCs w:val="24"/>
        </w:rPr>
        <w:t>可信度较高的兽类，施工期在监测区记录到可辨识的兽类</w:t>
      </w:r>
      <w:r>
        <w:rPr>
          <w:spacing w:val="-16"/>
          <w:sz w:val="24"/>
          <w:szCs w:val="24"/>
        </w:rPr>
        <w:t xml:space="preserve"> </w:t>
      </w:r>
      <w:r>
        <w:rPr>
          <w:rFonts w:ascii="Times New Roman" w:hAnsi="Times New Roman" w:eastAsia="Times New Roman" w:cs="Times New Roman"/>
          <w:spacing w:val="-2"/>
          <w:sz w:val="24"/>
          <w:szCs w:val="24"/>
        </w:rPr>
        <w:t xml:space="preserve">10 </w:t>
      </w:r>
      <w:r>
        <w:rPr>
          <w:spacing w:val="-2"/>
          <w:sz w:val="24"/>
          <w:szCs w:val="24"/>
        </w:rPr>
        <w:t>种，分属于</w:t>
      </w:r>
      <w:r>
        <w:rPr>
          <w:rFonts w:ascii="Times New Roman" w:hAnsi="Times New Roman" w:eastAsia="Times New Roman" w:cs="Times New Roman"/>
          <w:spacing w:val="-2"/>
          <w:sz w:val="24"/>
          <w:szCs w:val="24"/>
        </w:rPr>
        <w:t xml:space="preserve">4  </w:t>
      </w:r>
      <w:r>
        <w:rPr>
          <w:spacing w:val="-2"/>
          <w:sz w:val="24"/>
          <w:szCs w:val="24"/>
        </w:rPr>
        <w:t>目</w:t>
      </w:r>
      <w:r>
        <w:rPr>
          <w:spacing w:val="-51"/>
          <w:sz w:val="24"/>
          <w:szCs w:val="24"/>
        </w:rPr>
        <w:t xml:space="preserve"> </w:t>
      </w:r>
      <w:r>
        <w:rPr>
          <w:rFonts w:ascii="Times New Roman" w:hAnsi="Times New Roman" w:eastAsia="Times New Roman" w:cs="Times New Roman"/>
          <w:spacing w:val="-2"/>
          <w:sz w:val="24"/>
          <w:szCs w:val="24"/>
        </w:rPr>
        <w:t xml:space="preserve">7 </w:t>
      </w:r>
      <w:r>
        <w:rPr>
          <w:spacing w:val="-2"/>
          <w:sz w:val="24"/>
          <w:szCs w:val="24"/>
        </w:rPr>
        <w:t>科</w:t>
      </w:r>
      <w:r>
        <w:rPr>
          <w:rFonts w:ascii="Times New Roman" w:hAnsi="Times New Roman" w:eastAsia="Times New Roman" w:cs="Times New Roman"/>
          <w:spacing w:val="-1"/>
          <w:sz w:val="24"/>
          <w:szCs w:val="24"/>
        </w:rPr>
        <w:t xml:space="preserve">9 </w:t>
      </w:r>
      <w:r>
        <w:rPr>
          <w:spacing w:val="-1"/>
          <w:sz w:val="24"/>
          <w:szCs w:val="24"/>
        </w:rPr>
        <w:t>属。环评阶段和施工期调查兽类组成情况见表</w:t>
      </w:r>
      <w:r>
        <w:rPr>
          <w:spacing w:val="-41"/>
          <w:sz w:val="24"/>
          <w:szCs w:val="24"/>
        </w:rPr>
        <w:t xml:space="preserve"> </w:t>
      </w:r>
      <w:r>
        <w:rPr>
          <w:rFonts w:ascii="Times New Roman" w:hAnsi="Times New Roman" w:eastAsia="Times New Roman" w:cs="Times New Roman"/>
          <w:spacing w:val="-1"/>
          <w:sz w:val="24"/>
          <w:szCs w:val="24"/>
        </w:rPr>
        <w:t>6.1-14</w:t>
      </w:r>
      <w:r>
        <w:rPr>
          <w:spacing w:val="-1"/>
          <w:sz w:val="24"/>
          <w:szCs w:val="24"/>
        </w:rPr>
        <w:t>。</w:t>
      </w:r>
    </w:p>
    <w:p w14:paraId="012749D3">
      <w:pPr>
        <w:pStyle w:val="2"/>
        <w:spacing w:before="1" w:line="225" w:lineRule="auto"/>
        <w:ind w:left="279"/>
        <w:rPr>
          <w:sz w:val="24"/>
          <w:szCs w:val="24"/>
        </w:rPr>
      </w:pPr>
      <w:r>
        <w:rPr>
          <w:b/>
          <w:bCs/>
          <w:spacing w:val="-1"/>
          <w:sz w:val="24"/>
          <w:szCs w:val="24"/>
        </w:rPr>
        <w:t>表</w:t>
      </w:r>
      <w:r>
        <w:rPr>
          <w:spacing w:val="-44"/>
          <w:sz w:val="24"/>
          <w:szCs w:val="24"/>
        </w:rPr>
        <w:t xml:space="preserve"> </w:t>
      </w:r>
      <w:r>
        <w:rPr>
          <w:rFonts w:ascii="Times New Roman" w:hAnsi="Times New Roman" w:eastAsia="Times New Roman" w:cs="Times New Roman"/>
          <w:b/>
          <w:bCs/>
          <w:spacing w:val="-1"/>
          <w:sz w:val="24"/>
          <w:szCs w:val="24"/>
        </w:rPr>
        <w:t xml:space="preserve">6.1-14                        </w:t>
      </w:r>
      <w:r>
        <w:rPr>
          <w:b/>
          <w:bCs/>
          <w:spacing w:val="-1"/>
          <w:sz w:val="24"/>
          <w:szCs w:val="24"/>
        </w:rPr>
        <w:t>环评期和施工期调查兽类组成情况表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1552"/>
        <w:gridCol w:w="1491"/>
        <w:gridCol w:w="770"/>
        <w:gridCol w:w="1131"/>
        <w:gridCol w:w="1697"/>
        <w:gridCol w:w="985"/>
      </w:tblGrid>
      <w:tr w14:paraId="0E5BB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3890" w:type="dxa"/>
            <w:gridSpan w:val="3"/>
            <w:tcBorders>
              <w:top w:val="single" w:color="000000" w:sz="12" w:space="0"/>
              <w:left w:val="single" w:color="000000" w:sz="12" w:space="0"/>
            </w:tcBorders>
            <w:vAlign w:val="top"/>
          </w:tcPr>
          <w:p w14:paraId="1577C22B">
            <w:pPr>
              <w:pStyle w:val="6"/>
              <w:spacing w:before="72" w:line="233" w:lineRule="auto"/>
              <w:ind w:left="1071"/>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598" w:type="dxa"/>
            <w:gridSpan w:val="3"/>
            <w:tcBorders>
              <w:top w:val="single" w:color="000000" w:sz="12" w:space="0"/>
            </w:tcBorders>
            <w:vAlign w:val="top"/>
          </w:tcPr>
          <w:p w14:paraId="4679B2F9">
            <w:pPr>
              <w:pStyle w:val="6"/>
              <w:spacing w:before="72" w:line="233" w:lineRule="auto"/>
              <w:ind w:left="939"/>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985" w:type="dxa"/>
            <w:vMerge w:val="restart"/>
            <w:tcBorders>
              <w:top w:val="single" w:color="000000" w:sz="12" w:space="0"/>
              <w:bottom w:val="nil"/>
              <w:right w:val="single" w:color="000000" w:sz="12" w:space="0"/>
            </w:tcBorders>
            <w:vAlign w:val="top"/>
          </w:tcPr>
          <w:p w14:paraId="7F67E4A6">
            <w:pPr>
              <w:spacing w:before="118" w:line="242" w:lineRule="auto"/>
              <w:ind w:left="293" w:right="260"/>
              <w:rPr>
                <w:rFonts w:ascii="宋体" w:hAnsi="宋体" w:eastAsia="宋体" w:cs="宋体"/>
                <w:sz w:val="21"/>
                <w:szCs w:val="21"/>
              </w:rPr>
            </w:pPr>
            <w:r>
              <w:rPr>
                <w:rFonts w:ascii="宋体" w:hAnsi="宋体" w:eastAsia="宋体" w:cs="宋体"/>
                <w:spacing w:val="-5"/>
                <w:sz w:val="21"/>
                <w:szCs w:val="21"/>
              </w:rPr>
              <w:t>保护情况</w:t>
            </w:r>
          </w:p>
        </w:tc>
      </w:tr>
      <w:tr w14:paraId="7097F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847" w:type="dxa"/>
            <w:tcBorders>
              <w:left w:val="single" w:color="000000" w:sz="12" w:space="0"/>
            </w:tcBorders>
            <w:vAlign w:val="top"/>
          </w:tcPr>
          <w:p w14:paraId="6A3DC7B5">
            <w:pPr>
              <w:spacing w:before="71" w:line="221" w:lineRule="auto"/>
              <w:ind w:left="199"/>
              <w:rPr>
                <w:rFonts w:ascii="宋体" w:hAnsi="宋体" w:eastAsia="宋体" w:cs="宋体"/>
                <w:sz w:val="21"/>
                <w:szCs w:val="21"/>
              </w:rPr>
            </w:pPr>
            <w:r>
              <w:rPr>
                <w:rFonts w:ascii="宋体" w:hAnsi="宋体" w:eastAsia="宋体" w:cs="宋体"/>
                <w:spacing w:val="-2"/>
                <w:sz w:val="21"/>
                <w:szCs w:val="21"/>
              </w:rPr>
              <w:t>序号</w:t>
            </w:r>
          </w:p>
        </w:tc>
        <w:tc>
          <w:tcPr>
            <w:tcW w:w="1552" w:type="dxa"/>
            <w:vAlign w:val="top"/>
          </w:tcPr>
          <w:p w14:paraId="46E91793">
            <w:pPr>
              <w:spacing w:before="72" w:line="220" w:lineRule="auto"/>
              <w:ind w:left="472"/>
              <w:rPr>
                <w:rFonts w:ascii="宋体" w:hAnsi="宋体" w:eastAsia="宋体" w:cs="宋体"/>
                <w:sz w:val="21"/>
                <w:szCs w:val="21"/>
              </w:rPr>
            </w:pPr>
            <w:r>
              <w:rPr>
                <w:rFonts w:ascii="宋体" w:hAnsi="宋体" w:eastAsia="宋体" w:cs="宋体"/>
                <w:spacing w:val="-7"/>
                <w:sz w:val="21"/>
                <w:szCs w:val="21"/>
              </w:rPr>
              <w:t>中文名</w:t>
            </w:r>
          </w:p>
        </w:tc>
        <w:tc>
          <w:tcPr>
            <w:tcW w:w="1491" w:type="dxa"/>
            <w:vAlign w:val="top"/>
          </w:tcPr>
          <w:p w14:paraId="4E75007F">
            <w:pPr>
              <w:spacing w:before="71" w:line="221" w:lineRule="auto"/>
              <w:ind w:left="430"/>
              <w:rPr>
                <w:rFonts w:ascii="宋体" w:hAnsi="宋体" w:eastAsia="宋体" w:cs="宋体"/>
                <w:sz w:val="21"/>
                <w:szCs w:val="21"/>
              </w:rPr>
            </w:pPr>
            <w:r>
              <w:rPr>
                <w:rFonts w:ascii="宋体" w:hAnsi="宋体" w:eastAsia="宋体" w:cs="宋体"/>
                <w:spacing w:val="-3"/>
                <w:sz w:val="21"/>
                <w:szCs w:val="21"/>
              </w:rPr>
              <w:t>拉丁名</w:t>
            </w:r>
          </w:p>
        </w:tc>
        <w:tc>
          <w:tcPr>
            <w:tcW w:w="770" w:type="dxa"/>
            <w:vAlign w:val="top"/>
          </w:tcPr>
          <w:p w14:paraId="294BAA23">
            <w:pPr>
              <w:spacing w:before="71" w:line="221" w:lineRule="auto"/>
              <w:ind w:left="176"/>
              <w:rPr>
                <w:rFonts w:ascii="宋体" w:hAnsi="宋体" w:eastAsia="宋体" w:cs="宋体"/>
                <w:sz w:val="21"/>
                <w:szCs w:val="21"/>
              </w:rPr>
            </w:pPr>
            <w:r>
              <w:rPr>
                <w:rFonts w:ascii="宋体" w:hAnsi="宋体" w:eastAsia="宋体" w:cs="宋体"/>
                <w:spacing w:val="-2"/>
                <w:sz w:val="21"/>
                <w:szCs w:val="21"/>
              </w:rPr>
              <w:t>序号</w:t>
            </w:r>
          </w:p>
        </w:tc>
        <w:tc>
          <w:tcPr>
            <w:tcW w:w="1131" w:type="dxa"/>
            <w:vAlign w:val="top"/>
          </w:tcPr>
          <w:p w14:paraId="06D069E9">
            <w:pPr>
              <w:spacing w:before="72" w:line="220" w:lineRule="auto"/>
              <w:ind w:left="276"/>
              <w:rPr>
                <w:rFonts w:ascii="宋体" w:hAnsi="宋体" w:eastAsia="宋体" w:cs="宋体"/>
                <w:sz w:val="21"/>
                <w:szCs w:val="21"/>
              </w:rPr>
            </w:pPr>
            <w:r>
              <w:rPr>
                <w:rFonts w:ascii="宋体" w:hAnsi="宋体" w:eastAsia="宋体" w:cs="宋体"/>
                <w:spacing w:val="-7"/>
                <w:sz w:val="21"/>
                <w:szCs w:val="21"/>
              </w:rPr>
              <w:t>中文名</w:t>
            </w:r>
          </w:p>
        </w:tc>
        <w:tc>
          <w:tcPr>
            <w:tcW w:w="1697" w:type="dxa"/>
            <w:vAlign w:val="top"/>
          </w:tcPr>
          <w:p w14:paraId="66F589B3">
            <w:pPr>
              <w:spacing w:before="71" w:line="221" w:lineRule="auto"/>
              <w:ind w:left="546"/>
              <w:rPr>
                <w:rFonts w:ascii="宋体" w:hAnsi="宋体" w:eastAsia="宋体" w:cs="宋体"/>
                <w:sz w:val="21"/>
                <w:szCs w:val="21"/>
              </w:rPr>
            </w:pPr>
            <w:r>
              <w:rPr>
                <w:rFonts w:ascii="宋体" w:hAnsi="宋体" w:eastAsia="宋体" w:cs="宋体"/>
                <w:spacing w:val="-3"/>
                <w:sz w:val="21"/>
                <w:szCs w:val="21"/>
              </w:rPr>
              <w:t>拉丁名</w:t>
            </w:r>
          </w:p>
        </w:tc>
        <w:tc>
          <w:tcPr>
            <w:tcW w:w="985" w:type="dxa"/>
            <w:vMerge w:val="continue"/>
            <w:tcBorders>
              <w:top w:val="nil"/>
              <w:right w:val="single" w:color="000000" w:sz="12" w:space="0"/>
            </w:tcBorders>
            <w:vAlign w:val="top"/>
          </w:tcPr>
          <w:p w14:paraId="19223620">
            <w:pPr>
              <w:rPr>
                <w:rFonts w:ascii="Arial"/>
                <w:sz w:val="21"/>
              </w:rPr>
            </w:pPr>
          </w:p>
        </w:tc>
      </w:tr>
      <w:tr w14:paraId="4069E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847" w:type="dxa"/>
            <w:tcBorders>
              <w:left w:val="single" w:color="000000" w:sz="12" w:space="0"/>
            </w:tcBorders>
            <w:vAlign w:val="top"/>
          </w:tcPr>
          <w:p w14:paraId="484C57BF">
            <w:pPr>
              <w:pStyle w:val="6"/>
              <w:spacing w:before="113" w:line="186" w:lineRule="auto"/>
              <w:ind w:left="275"/>
            </w:pPr>
            <w:r>
              <w:rPr>
                <w:b/>
                <w:bCs/>
                <w:spacing w:val="-3"/>
              </w:rPr>
              <w:t>O1</w:t>
            </w:r>
          </w:p>
        </w:tc>
        <w:tc>
          <w:tcPr>
            <w:tcW w:w="1552" w:type="dxa"/>
            <w:vAlign w:val="top"/>
          </w:tcPr>
          <w:p w14:paraId="0FC2E7D9">
            <w:pPr>
              <w:spacing w:before="74" w:line="220" w:lineRule="auto"/>
              <w:ind w:left="246"/>
              <w:rPr>
                <w:rFonts w:ascii="宋体" w:hAnsi="宋体" w:eastAsia="宋体" w:cs="宋体"/>
                <w:sz w:val="21"/>
                <w:szCs w:val="21"/>
              </w:rPr>
            </w:pPr>
            <w:r>
              <w:rPr>
                <w:rFonts w:ascii="宋体" w:hAnsi="宋体" w:eastAsia="宋体" w:cs="宋体"/>
                <w:b/>
                <w:bCs/>
                <w:spacing w:val="-5"/>
                <w:sz w:val="21"/>
                <w:szCs w:val="21"/>
              </w:rPr>
              <w:t>劳亚食虫目</w:t>
            </w:r>
          </w:p>
        </w:tc>
        <w:tc>
          <w:tcPr>
            <w:tcW w:w="1491" w:type="dxa"/>
            <w:vAlign w:val="top"/>
          </w:tcPr>
          <w:p w14:paraId="3D5848EF">
            <w:pPr>
              <w:pStyle w:val="6"/>
              <w:spacing w:before="113" w:line="186" w:lineRule="auto"/>
              <w:ind w:left="155"/>
            </w:pPr>
            <w:r>
              <w:rPr>
                <w:b/>
                <w:bCs/>
                <w:spacing w:val="-1"/>
              </w:rPr>
              <w:t>Eulipotyphla</w:t>
            </w:r>
          </w:p>
        </w:tc>
        <w:tc>
          <w:tcPr>
            <w:tcW w:w="770" w:type="dxa"/>
            <w:vAlign w:val="top"/>
          </w:tcPr>
          <w:p w14:paraId="54F03E57">
            <w:pPr>
              <w:rPr>
                <w:rFonts w:ascii="Arial"/>
                <w:sz w:val="21"/>
              </w:rPr>
            </w:pPr>
          </w:p>
        </w:tc>
        <w:tc>
          <w:tcPr>
            <w:tcW w:w="1131" w:type="dxa"/>
            <w:vAlign w:val="top"/>
          </w:tcPr>
          <w:p w14:paraId="5BC07965">
            <w:pPr>
              <w:rPr>
                <w:rFonts w:ascii="Arial"/>
                <w:sz w:val="21"/>
              </w:rPr>
            </w:pPr>
          </w:p>
        </w:tc>
        <w:tc>
          <w:tcPr>
            <w:tcW w:w="1697" w:type="dxa"/>
            <w:vAlign w:val="top"/>
          </w:tcPr>
          <w:p w14:paraId="4F1C6336">
            <w:pPr>
              <w:rPr>
                <w:rFonts w:ascii="Arial"/>
                <w:sz w:val="21"/>
              </w:rPr>
            </w:pPr>
          </w:p>
        </w:tc>
        <w:tc>
          <w:tcPr>
            <w:tcW w:w="985" w:type="dxa"/>
            <w:tcBorders>
              <w:right w:val="single" w:color="000000" w:sz="12" w:space="0"/>
            </w:tcBorders>
            <w:vAlign w:val="top"/>
          </w:tcPr>
          <w:p w14:paraId="604C5B09">
            <w:pPr>
              <w:rPr>
                <w:rFonts w:ascii="Arial"/>
                <w:sz w:val="21"/>
              </w:rPr>
            </w:pPr>
          </w:p>
        </w:tc>
      </w:tr>
      <w:tr w14:paraId="62E10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847" w:type="dxa"/>
            <w:tcBorders>
              <w:left w:val="single" w:color="000000" w:sz="12" w:space="0"/>
            </w:tcBorders>
            <w:vAlign w:val="top"/>
          </w:tcPr>
          <w:p w14:paraId="2F17325B">
            <w:pPr>
              <w:pStyle w:val="6"/>
              <w:spacing w:before="116" w:line="186" w:lineRule="auto"/>
              <w:ind w:left="290"/>
            </w:pPr>
            <w:r>
              <w:rPr>
                <w:b/>
                <w:bCs/>
                <w:spacing w:val="-2"/>
              </w:rPr>
              <w:t>F1</w:t>
            </w:r>
          </w:p>
        </w:tc>
        <w:tc>
          <w:tcPr>
            <w:tcW w:w="1552" w:type="dxa"/>
            <w:vAlign w:val="top"/>
          </w:tcPr>
          <w:p w14:paraId="16E09C99">
            <w:pPr>
              <w:spacing w:before="77" w:line="219" w:lineRule="auto"/>
              <w:ind w:left="457"/>
              <w:rPr>
                <w:rFonts w:ascii="宋体" w:hAnsi="宋体" w:eastAsia="宋体" w:cs="宋体"/>
                <w:sz w:val="21"/>
                <w:szCs w:val="21"/>
              </w:rPr>
            </w:pPr>
            <w:r>
              <w:rPr>
                <w:rFonts w:ascii="宋体" w:hAnsi="宋体" w:eastAsia="宋体" w:cs="宋体"/>
                <w:b/>
                <w:bCs/>
                <w:spacing w:val="-5"/>
                <w:sz w:val="21"/>
                <w:szCs w:val="21"/>
              </w:rPr>
              <w:t>鼩鼱科</w:t>
            </w:r>
          </w:p>
        </w:tc>
        <w:tc>
          <w:tcPr>
            <w:tcW w:w="1491" w:type="dxa"/>
            <w:vAlign w:val="top"/>
          </w:tcPr>
          <w:p w14:paraId="2942F141">
            <w:pPr>
              <w:pStyle w:val="6"/>
              <w:spacing w:before="115" w:line="187" w:lineRule="auto"/>
              <w:ind w:left="325"/>
            </w:pPr>
            <w:r>
              <w:rPr>
                <w:b/>
                <w:bCs/>
                <w:spacing w:val="-2"/>
              </w:rPr>
              <w:t>Soricidae</w:t>
            </w:r>
          </w:p>
        </w:tc>
        <w:tc>
          <w:tcPr>
            <w:tcW w:w="770" w:type="dxa"/>
            <w:vAlign w:val="top"/>
          </w:tcPr>
          <w:p w14:paraId="60CF161F">
            <w:pPr>
              <w:rPr>
                <w:rFonts w:ascii="Arial"/>
                <w:sz w:val="21"/>
              </w:rPr>
            </w:pPr>
          </w:p>
        </w:tc>
        <w:tc>
          <w:tcPr>
            <w:tcW w:w="1131" w:type="dxa"/>
            <w:vAlign w:val="top"/>
          </w:tcPr>
          <w:p w14:paraId="3DE91F10">
            <w:pPr>
              <w:rPr>
                <w:rFonts w:ascii="Arial"/>
                <w:sz w:val="21"/>
              </w:rPr>
            </w:pPr>
          </w:p>
        </w:tc>
        <w:tc>
          <w:tcPr>
            <w:tcW w:w="1697" w:type="dxa"/>
            <w:vAlign w:val="top"/>
          </w:tcPr>
          <w:p w14:paraId="623DFCA0">
            <w:pPr>
              <w:rPr>
                <w:rFonts w:ascii="Arial"/>
                <w:sz w:val="21"/>
              </w:rPr>
            </w:pPr>
          </w:p>
        </w:tc>
        <w:tc>
          <w:tcPr>
            <w:tcW w:w="985" w:type="dxa"/>
            <w:tcBorders>
              <w:right w:val="single" w:color="000000" w:sz="12" w:space="0"/>
            </w:tcBorders>
            <w:vAlign w:val="top"/>
          </w:tcPr>
          <w:p w14:paraId="194226E6">
            <w:pPr>
              <w:rPr>
                <w:rFonts w:ascii="Arial"/>
                <w:sz w:val="21"/>
              </w:rPr>
            </w:pPr>
          </w:p>
        </w:tc>
      </w:tr>
      <w:tr w14:paraId="3469C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47" w:type="dxa"/>
            <w:tcBorders>
              <w:left w:val="single" w:color="000000" w:sz="12" w:space="0"/>
            </w:tcBorders>
            <w:vAlign w:val="top"/>
          </w:tcPr>
          <w:p w14:paraId="6C0586FE">
            <w:pPr>
              <w:pStyle w:val="6"/>
              <w:spacing w:before="220" w:line="235" w:lineRule="auto"/>
              <w:ind w:left="374"/>
            </w:pPr>
            <w:r>
              <w:t>1</w:t>
            </w:r>
          </w:p>
        </w:tc>
        <w:tc>
          <w:tcPr>
            <w:tcW w:w="1552" w:type="dxa"/>
            <w:vAlign w:val="top"/>
          </w:tcPr>
          <w:p w14:paraId="70082CAE">
            <w:pPr>
              <w:spacing w:before="187" w:line="220" w:lineRule="auto"/>
              <w:ind w:left="453"/>
              <w:rPr>
                <w:rFonts w:ascii="宋体" w:hAnsi="宋体" w:eastAsia="宋体" w:cs="宋体"/>
                <w:sz w:val="21"/>
                <w:szCs w:val="21"/>
              </w:rPr>
            </w:pPr>
            <w:r>
              <w:rPr>
                <w:rFonts w:ascii="宋体" w:hAnsi="宋体" w:eastAsia="宋体" w:cs="宋体"/>
                <w:spacing w:val="-3"/>
                <w:sz w:val="21"/>
                <w:szCs w:val="21"/>
              </w:rPr>
              <w:t>长尾鼩</w:t>
            </w:r>
          </w:p>
        </w:tc>
        <w:tc>
          <w:tcPr>
            <w:tcW w:w="1491" w:type="dxa"/>
            <w:vAlign w:val="top"/>
          </w:tcPr>
          <w:p w14:paraId="04994965">
            <w:pPr>
              <w:pStyle w:val="6"/>
              <w:spacing w:before="99" w:line="190" w:lineRule="auto"/>
              <w:ind w:left="199"/>
            </w:pPr>
            <w:r>
              <w:rPr>
                <w:i/>
                <w:iCs/>
              </w:rPr>
              <w:t>Episoriculus</w:t>
            </w:r>
          </w:p>
          <w:p w14:paraId="052C7F8A">
            <w:pPr>
              <w:pStyle w:val="6"/>
              <w:spacing w:before="49" w:line="212" w:lineRule="auto"/>
              <w:ind w:left="362"/>
            </w:pPr>
            <w:r>
              <w:rPr>
                <w:i/>
                <w:iCs/>
                <w:spacing w:val="-1"/>
              </w:rPr>
              <w:t>caudatus</w:t>
            </w:r>
          </w:p>
        </w:tc>
        <w:tc>
          <w:tcPr>
            <w:tcW w:w="770" w:type="dxa"/>
            <w:vAlign w:val="top"/>
          </w:tcPr>
          <w:p w14:paraId="12D18EE7">
            <w:pPr>
              <w:rPr>
                <w:rFonts w:ascii="Arial"/>
                <w:sz w:val="21"/>
              </w:rPr>
            </w:pPr>
          </w:p>
        </w:tc>
        <w:tc>
          <w:tcPr>
            <w:tcW w:w="1131" w:type="dxa"/>
            <w:vAlign w:val="top"/>
          </w:tcPr>
          <w:p w14:paraId="15C36DC5">
            <w:pPr>
              <w:rPr>
                <w:rFonts w:ascii="Arial"/>
                <w:sz w:val="21"/>
              </w:rPr>
            </w:pPr>
          </w:p>
        </w:tc>
        <w:tc>
          <w:tcPr>
            <w:tcW w:w="1697" w:type="dxa"/>
            <w:vAlign w:val="top"/>
          </w:tcPr>
          <w:p w14:paraId="0A0F292D">
            <w:pPr>
              <w:rPr>
                <w:rFonts w:ascii="Arial"/>
                <w:sz w:val="21"/>
              </w:rPr>
            </w:pPr>
          </w:p>
        </w:tc>
        <w:tc>
          <w:tcPr>
            <w:tcW w:w="985" w:type="dxa"/>
            <w:tcBorders>
              <w:right w:val="single" w:color="000000" w:sz="12" w:space="0"/>
            </w:tcBorders>
            <w:vAlign w:val="top"/>
          </w:tcPr>
          <w:p w14:paraId="4FD7B335">
            <w:pPr>
              <w:rPr>
                <w:rFonts w:ascii="Arial"/>
                <w:sz w:val="21"/>
              </w:rPr>
            </w:pPr>
          </w:p>
        </w:tc>
      </w:tr>
      <w:tr w14:paraId="31D65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47" w:type="dxa"/>
            <w:tcBorders>
              <w:left w:val="single" w:color="000000" w:sz="12" w:space="0"/>
            </w:tcBorders>
            <w:vAlign w:val="top"/>
          </w:tcPr>
          <w:p w14:paraId="4620D7F9">
            <w:pPr>
              <w:pStyle w:val="6"/>
              <w:spacing w:before="224" w:line="235" w:lineRule="auto"/>
              <w:ind w:left="354"/>
            </w:pPr>
            <w:r>
              <w:t>2</w:t>
            </w:r>
          </w:p>
        </w:tc>
        <w:tc>
          <w:tcPr>
            <w:tcW w:w="1552" w:type="dxa"/>
            <w:vAlign w:val="top"/>
          </w:tcPr>
          <w:p w14:paraId="7E58D1FE">
            <w:pPr>
              <w:spacing w:before="190" w:line="219" w:lineRule="auto"/>
              <w:ind w:left="142"/>
              <w:rPr>
                <w:rFonts w:ascii="宋体" w:hAnsi="宋体" w:eastAsia="宋体" w:cs="宋体"/>
                <w:sz w:val="21"/>
                <w:szCs w:val="21"/>
              </w:rPr>
            </w:pPr>
            <w:r>
              <w:rPr>
                <w:rFonts w:ascii="宋体" w:hAnsi="宋体" w:eastAsia="宋体" w:cs="宋体"/>
                <w:spacing w:val="-2"/>
                <w:sz w:val="21"/>
                <w:szCs w:val="21"/>
              </w:rPr>
              <w:t>淡灰黑齿鼩鼱</w:t>
            </w:r>
          </w:p>
        </w:tc>
        <w:tc>
          <w:tcPr>
            <w:tcW w:w="1491" w:type="dxa"/>
            <w:vAlign w:val="top"/>
          </w:tcPr>
          <w:p w14:paraId="1F26BFF3">
            <w:pPr>
              <w:pStyle w:val="6"/>
              <w:spacing w:before="103" w:line="190" w:lineRule="auto"/>
              <w:ind w:left="305"/>
            </w:pPr>
            <w:r>
              <w:rPr>
                <w:i/>
                <w:iCs/>
              </w:rPr>
              <w:t>Blarinella</w:t>
            </w:r>
          </w:p>
          <w:p w14:paraId="2282C073">
            <w:pPr>
              <w:pStyle w:val="6"/>
              <w:spacing w:before="50" w:line="190" w:lineRule="auto"/>
              <w:ind w:left="385"/>
            </w:pPr>
            <w:r>
              <w:rPr>
                <w:i/>
                <w:iCs/>
                <w:spacing w:val="1"/>
              </w:rPr>
              <w:t>griselda</w:t>
            </w:r>
          </w:p>
        </w:tc>
        <w:tc>
          <w:tcPr>
            <w:tcW w:w="770" w:type="dxa"/>
            <w:vAlign w:val="top"/>
          </w:tcPr>
          <w:p w14:paraId="59162162">
            <w:pPr>
              <w:rPr>
                <w:rFonts w:ascii="Arial"/>
                <w:sz w:val="21"/>
              </w:rPr>
            </w:pPr>
          </w:p>
        </w:tc>
        <w:tc>
          <w:tcPr>
            <w:tcW w:w="1131" w:type="dxa"/>
            <w:vAlign w:val="top"/>
          </w:tcPr>
          <w:p w14:paraId="2605D3A6">
            <w:pPr>
              <w:rPr>
                <w:rFonts w:ascii="Arial"/>
                <w:sz w:val="21"/>
              </w:rPr>
            </w:pPr>
          </w:p>
        </w:tc>
        <w:tc>
          <w:tcPr>
            <w:tcW w:w="1697" w:type="dxa"/>
            <w:vAlign w:val="top"/>
          </w:tcPr>
          <w:p w14:paraId="2760822C">
            <w:pPr>
              <w:rPr>
                <w:rFonts w:ascii="Arial"/>
                <w:sz w:val="21"/>
              </w:rPr>
            </w:pPr>
          </w:p>
        </w:tc>
        <w:tc>
          <w:tcPr>
            <w:tcW w:w="985" w:type="dxa"/>
            <w:tcBorders>
              <w:right w:val="single" w:color="000000" w:sz="12" w:space="0"/>
            </w:tcBorders>
            <w:vAlign w:val="top"/>
          </w:tcPr>
          <w:p w14:paraId="38823D97">
            <w:pPr>
              <w:rPr>
                <w:rFonts w:ascii="Arial"/>
                <w:sz w:val="21"/>
              </w:rPr>
            </w:pPr>
          </w:p>
        </w:tc>
      </w:tr>
      <w:tr w14:paraId="3508C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847" w:type="dxa"/>
            <w:tcBorders>
              <w:left w:val="single" w:color="000000" w:sz="12" w:space="0"/>
            </w:tcBorders>
            <w:vAlign w:val="top"/>
          </w:tcPr>
          <w:p w14:paraId="66D6A03B">
            <w:pPr>
              <w:pStyle w:val="6"/>
              <w:spacing w:before="229" w:line="232" w:lineRule="auto"/>
              <w:ind w:left="359"/>
            </w:pPr>
            <w:r>
              <w:t>3</w:t>
            </w:r>
          </w:p>
        </w:tc>
        <w:tc>
          <w:tcPr>
            <w:tcW w:w="1552" w:type="dxa"/>
            <w:vAlign w:val="top"/>
          </w:tcPr>
          <w:p w14:paraId="39BFB0F7">
            <w:pPr>
              <w:spacing w:before="195" w:line="220" w:lineRule="auto"/>
              <w:ind w:left="144"/>
              <w:rPr>
                <w:rFonts w:ascii="宋体" w:hAnsi="宋体" w:eastAsia="宋体" w:cs="宋体"/>
                <w:sz w:val="21"/>
                <w:szCs w:val="21"/>
              </w:rPr>
            </w:pPr>
            <w:r>
              <w:rPr>
                <w:rFonts w:ascii="宋体" w:hAnsi="宋体" w:eastAsia="宋体" w:cs="宋体"/>
                <w:spacing w:val="-2"/>
                <w:sz w:val="21"/>
                <w:szCs w:val="21"/>
              </w:rPr>
              <w:t>云南缺齿鼩鼱</w:t>
            </w:r>
          </w:p>
        </w:tc>
        <w:tc>
          <w:tcPr>
            <w:tcW w:w="1491" w:type="dxa"/>
            <w:vAlign w:val="top"/>
          </w:tcPr>
          <w:p w14:paraId="041D2E02">
            <w:pPr>
              <w:pStyle w:val="6"/>
              <w:spacing w:before="107" w:line="190" w:lineRule="auto"/>
              <w:ind w:left="293"/>
            </w:pPr>
            <w:r>
              <w:rPr>
                <w:i/>
                <w:iCs/>
                <w:spacing w:val="-2"/>
              </w:rPr>
              <w:t>Chodsigoa</w:t>
            </w:r>
          </w:p>
          <w:p w14:paraId="0AA5D5F3">
            <w:pPr>
              <w:pStyle w:val="6"/>
              <w:spacing w:before="51" w:line="190" w:lineRule="auto"/>
              <w:ind w:left="466"/>
            </w:pPr>
            <w:r>
              <w:rPr>
                <w:i/>
                <w:iCs/>
                <w:spacing w:val="4"/>
              </w:rPr>
              <w:t>parca</w:t>
            </w:r>
          </w:p>
        </w:tc>
        <w:tc>
          <w:tcPr>
            <w:tcW w:w="770" w:type="dxa"/>
            <w:vAlign w:val="top"/>
          </w:tcPr>
          <w:p w14:paraId="431AC241">
            <w:pPr>
              <w:rPr>
                <w:rFonts w:ascii="Arial"/>
                <w:sz w:val="21"/>
              </w:rPr>
            </w:pPr>
          </w:p>
        </w:tc>
        <w:tc>
          <w:tcPr>
            <w:tcW w:w="1131" w:type="dxa"/>
            <w:vAlign w:val="top"/>
          </w:tcPr>
          <w:p w14:paraId="5DC029AD">
            <w:pPr>
              <w:rPr>
                <w:rFonts w:ascii="Arial"/>
                <w:sz w:val="21"/>
              </w:rPr>
            </w:pPr>
          </w:p>
        </w:tc>
        <w:tc>
          <w:tcPr>
            <w:tcW w:w="1697" w:type="dxa"/>
            <w:vAlign w:val="top"/>
          </w:tcPr>
          <w:p w14:paraId="7C0A6D15">
            <w:pPr>
              <w:rPr>
                <w:rFonts w:ascii="Arial"/>
                <w:sz w:val="21"/>
              </w:rPr>
            </w:pPr>
          </w:p>
        </w:tc>
        <w:tc>
          <w:tcPr>
            <w:tcW w:w="985" w:type="dxa"/>
            <w:tcBorders>
              <w:right w:val="single" w:color="000000" w:sz="12" w:space="0"/>
            </w:tcBorders>
            <w:vAlign w:val="top"/>
          </w:tcPr>
          <w:p w14:paraId="7D989A90">
            <w:pPr>
              <w:rPr>
                <w:rFonts w:ascii="Arial"/>
                <w:sz w:val="21"/>
              </w:rPr>
            </w:pPr>
          </w:p>
        </w:tc>
      </w:tr>
      <w:tr w14:paraId="5DA98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847" w:type="dxa"/>
            <w:tcBorders>
              <w:left w:val="single" w:color="000000" w:sz="12" w:space="0"/>
              <w:bottom w:val="single" w:color="000000" w:sz="12" w:space="0"/>
            </w:tcBorders>
            <w:vAlign w:val="top"/>
          </w:tcPr>
          <w:p w14:paraId="633EA4A9">
            <w:pPr>
              <w:pStyle w:val="6"/>
              <w:spacing w:before="135" w:line="235" w:lineRule="auto"/>
              <w:ind w:left="353"/>
            </w:pPr>
            <w:r>
              <w:t>4</w:t>
            </w:r>
          </w:p>
        </w:tc>
        <w:tc>
          <w:tcPr>
            <w:tcW w:w="1552" w:type="dxa"/>
            <w:tcBorders>
              <w:bottom w:val="single" w:color="000000" w:sz="12" w:space="0"/>
            </w:tcBorders>
            <w:vAlign w:val="top"/>
          </w:tcPr>
          <w:p w14:paraId="5423C7C1">
            <w:pPr>
              <w:spacing w:before="101" w:line="220" w:lineRule="auto"/>
              <w:ind w:left="558"/>
              <w:rPr>
                <w:rFonts w:ascii="宋体" w:hAnsi="宋体" w:eastAsia="宋体" w:cs="宋体"/>
                <w:sz w:val="21"/>
                <w:szCs w:val="21"/>
              </w:rPr>
            </w:pPr>
            <w:r>
              <w:rPr>
                <w:rFonts w:ascii="宋体" w:hAnsi="宋体" w:eastAsia="宋体" w:cs="宋体"/>
                <w:spacing w:val="-3"/>
                <w:sz w:val="21"/>
                <w:szCs w:val="21"/>
              </w:rPr>
              <w:t>臭鼩</w:t>
            </w:r>
          </w:p>
        </w:tc>
        <w:tc>
          <w:tcPr>
            <w:tcW w:w="1491" w:type="dxa"/>
            <w:tcBorders>
              <w:bottom w:val="single" w:color="000000" w:sz="12" w:space="0"/>
            </w:tcBorders>
            <w:vAlign w:val="top"/>
          </w:tcPr>
          <w:p w14:paraId="216F9CE2">
            <w:pPr>
              <w:pStyle w:val="6"/>
              <w:spacing w:before="135" w:line="232" w:lineRule="auto"/>
              <w:ind w:left="68"/>
            </w:pPr>
            <w:r>
              <w:rPr>
                <w:i/>
                <w:iCs/>
                <w:spacing w:val="-1"/>
              </w:rPr>
              <w:t>Suncus murinus</w:t>
            </w:r>
          </w:p>
        </w:tc>
        <w:tc>
          <w:tcPr>
            <w:tcW w:w="770" w:type="dxa"/>
            <w:tcBorders>
              <w:bottom w:val="single" w:color="000000" w:sz="12" w:space="0"/>
            </w:tcBorders>
            <w:vAlign w:val="top"/>
          </w:tcPr>
          <w:p w14:paraId="5012A3C6">
            <w:pPr>
              <w:rPr>
                <w:rFonts w:ascii="Arial"/>
                <w:sz w:val="21"/>
              </w:rPr>
            </w:pPr>
          </w:p>
        </w:tc>
        <w:tc>
          <w:tcPr>
            <w:tcW w:w="1131" w:type="dxa"/>
            <w:tcBorders>
              <w:bottom w:val="single" w:color="000000" w:sz="12" w:space="0"/>
            </w:tcBorders>
            <w:vAlign w:val="top"/>
          </w:tcPr>
          <w:p w14:paraId="39448469">
            <w:pPr>
              <w:rPr>
                <w:rFonts w:ascii="Arial"/>
                <w:sz w:val="21"/>
              </w:rPr>
            </w:pPr>
          </w:p>
        </w:tc>
        <w:tc>
          <w:tcPr>
            <w:tcW w:w="1697" w:type="dxa"/>
            <w:tcBorders>
              <w:bottom w:val="single" w:color="000000" w:sz="12" w:space="0"/>
            </w:tcBorders>
            <w:vAlign w:val="top"/>
          </w:tcPr>
          <w:p w14:paraId="3559FF14">
            <w:pPr>
              <w:rPr>
                <w:rFonts w:ascii="Arial"/>
                <w:sz w:val="21"/>
              </w:rPr>
            </w:pPr>
          </w:p>
        </w:tc>
        <w:tc>
          <w:tcPr>
            <w:tcW w:w="985" w:type="dxa"/>
            <w:tcBorders>
              <w:bottom w:val="single" w:color="000000" w:sz="12" w:space="0"/>
              <w:right w:val="single" w:color="000000" w:sz="12" w:space="0"/>
            </w:tcBorders>
            <w:vAlign w:val="top"/>
          </w:tcPr>
          <w:p w14:paraId="1C8FC70B">
            <w:pPr>
              <w:rPr>
                <w:rFonts w:ascii="Arial"/>
                <w:sz w:val="21"/>
              </w:rPr>
            </w:pPr>
          </w:p>
        </w:tc>
      </w:tr>
    </w:tbl>
    <w:p w14:paraId="1923E859">
      <w:pPr>
        <w:rPr>
          <w:rFonts w:ascii="Arial"/>
          <w:sz w:val="21"/>
        </w:rPr>
      </w:pPr>
    </w:p>
    <w:p w14:paraId="2661E0A4">
      <w:pPr>
        <w:rPr>
          <w:rFonts w:ascii="Arial" w:hAnsi="Arial" w:eastAsia="Arial" w:cs="Arial"/>
          <w:sz w:val="21"/>
          <w:szCs w:val="21"/>
        </w:rPr>
        <w:sectPr>
          <w:headerReference r:id="rId188" w:type="default"/>
          <w:footerReference r:id="rId189" w:type="default"/>
          <w:pgSz w:w="11907" w:h="16839"/>
          <w:pgMar w:top="1376" w:right="1669" w:bottom="1061" w:left="1671" w:header="999" w:footer="861" w:gutter="0"/>
          <w:cols w:space="720" w:num="1"/>
        </w:sectPr>
      </w:pPr>
    </w:p>
    <w:p w14:paraId="26EB1CCF">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1552"/>
        <w:gridCol w:w="1491"/>
        <w:gridCol w:w="770"/>
        <w:gridCol w:w="1131"/>
        <w:gridCol w:w="1697"/>
        <w:gridCol w:w="985"/>
      </w:tblGrid>
      <w:tr w14:paraId="7572E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3890" w:type="dxa"/>
            <w:gridSpan w:val="3"/>
            <w:tcBorders>
              <w:top w:val="single" w:color="000000" w:sz="12" w:space="0"/>
              <w:left w:val="single" w:color="000000" w:sz="12" w:space="0"/>
            </w:tcBorders>
            <w:vAlign w:val="top"/>
          </w:tcPr>
          <w:p w14:paraId="6710F1AA">
            <w:pPr>
              <w:pStyle w:val="6"/>
              <w:spacing w:before="70" w:line="233" w:lineRule="auto"/>
              <w:ind w:left="1071"/>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598" w:type="dxa"/>
            <w:gridSpan w:val="3"/>
            <w:tcBorders>
              <w:top w:val="single" w:color="000000" w:sz="12" w:space="0"/>
            </w:tcBorders>
            <w:vAlign w:val="top"/>
          </w:tcPr>
          <w:p w14:paraId="7C09D9C2">
            <w:pPr>
              <w:pStyle w:val="6"/>
              <w:spacing w:before="70" w:line="233" w:lineRule="auto"/>
              <w:ind w:left="939"/>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985" w:type="dxa"/>
            <w:vMerge w:val="restart"/>
            <w:tcBorders>
              <w:top w:val="single" w:color="000000" w:sz="12" w:space="0"/>
              <w:bottom w:val="nil"/>
              <w:right w:val="single" w:color="000000" w:sz="12" w:space="0"/>
            </w:tcBorders>
            <w:vAlign w:val="top"/>
          </w:tcPr>
          <w:p w14:paraId="1719E8CA">
            <w:pPr>
              <w:spacing w:before="118" w:line="241" w:lineRule="auto"/>
              <w:ind w:left="293" w:right="260"/>
              <w:rPr>
                <w:rFonts w:ascii="宋体" w:hAnsi="宋体" w:eastAsia="宋体" w:cs="宋体"/>
                <w:sz w:val="21"/>
                <w:szCs w:val="21"/>
              </w:rPr>
            </w:pPr>
            <w:r>
              <w:rPr>
                <w:rFonts w:ascii="宋体" w:hAnsi="宋体" w:eastAsia="宋体" w:cs="宋体"/>
                <w:spacing w:val="-5"/>
                <w:sz w:val="21"/>
                <w:szCs w:val="21"/>
              </w:rPr>
              <w:t>保护情况</w:t>
            </w:r>
          </w:p>
        </w:tc>
      </w:tr>
      <w:tr w14:paraId="66AAD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847" w:type="dxa"/>
            <w:tcBorders>
              <w:left w:val="single" w:color="000000" w:sz="12" w:space="0"/>
            </w:tcBorders>
            <w:vAlign w:val="top"/>
          </w:tcPr>
          <w:p w14:paraId="029DA72F">
            <w:pPr>
              <w:spacing w:before="69" w:line="221" w:lineRule="auto"/>
              <w:ind w:left="199"/>
              <w:rPr>
                <w:rFonts w:ascii="宋体" w:hAnsi="宋体" w:eastAsia="宋体" w:cs="宋体"/>
                <w:sz w:val="21"/>
                <w:szCs w:val="21"/>
              </w:rPr>
            </w:pPr>
            <w:r>
              <w:rPr>
                <w:rFonts w:ascii="宋体" w:hAnsi="宋体" w:eastAsia="宋体" w:cs="宋体"/>
                <w:spacing w:val="-2"/>
                <w:sz w:val="21"/>
                <w:szCs w:val="21"/>
              </w:rPr>
              <w:t>序号</w:t>
            </w:r>
          </w:p>
        </w:tc>
        <w:tc>
          <w:tcPr>
            <w:tcW w:w="1552" w:type="dxa"/>
            <w:vAlign w:val="top"/>
          </w:tcPr>
          <w:p w14:paraId="02FDF6B0">
            <w:pPr>
              <w:spacing w:before="69" w:line="220" w:lineRule="auto"/>
              <w:ind w:left="472"/>
              <w:rPr>
                <w:rFonts w:ascii="宋体" w:hAnsi="宋体" w:eastAsia="宋体" w:cs="宋体"/>
                <w:sz w:val="21"/>
                <w:szCs w:val="21"/>
              </w:rPr>
            </w:pPr>
            <w:r>
              <w:rPr>
                <w:rFonts w:ascii="宋体" w:hAnsi="宋体" w:eastAsia="宋体" w:cs="宋体"/>
                <w:spacing w:val="-7"/>
                <w:sz w:val="21"/>
                <w:szCs w:val="21"/>
              </w:rPr>
              <w:t>中文名</w:t>
            </w:r>
          </w:p>
        </w:tc>
        <w:tc>
          <w:tcPr>
            <w:tcW w:w="1491" w:type="dxa"/>
            <w:vAlign w:val="top"/>
          </w:tcPr>
          <w:p w14:paraId="566526EA">
            <w:pPr>
              <w:spacing w:before="69" w:line="221" w:lineRule="auto"/>
              <w:ind w:left="430"/>
              <w:rPr>
                <w:rFonts w:ascii="宋体" w:hAnsi="宋体" w:eastAsia="宋体" w:cs="宋体"/>
                <w:sz w:val="21"/>
                <w:szCs w:val="21"/>
              </w:rPr>
            </w:pPr>
            <w:r>
              <w:rPr>
                <w:rFonts w:ascii="宋体" w:hAnsi="宋体" w:eastAsia="宋体" w:cs="宋体"/>
                <w:spacing w:val="-3"/>
                <w:sz w:val="21"/>
                <w:szCs w:val="21"/>
              </w:rPr>
              <w:t>拉丁名</w:t>
            </w:r>
          </w:p>
        </w:tc>
        <w:tc>
          <w:tcPr>
            <w:tcW w:w="770" w:type="dxa"/>
            <w:vAlign w:val="top"/>
          </w:tcPr>
          <w:p w14:paraId="51504130">
            <w:pPr>
              <w:spacing w:before="69" w:line="221" w:lineRule="auto"/>
              <w:ind w:left="176"/>
              <w:rPr>
                <w:rFonts w:ascii="宋体" w:hAnsi="宋体" w:eastAsia="宋体" w:cs="宋体"/>
                <w:sz w:val="21"/>
                <w:szCs w:val="21"/>
              </w:rPr>
            </w:pPr>
            <w:r>
              <w:rPr>
                <w:rFonts w:ascii="宋体" w:hAnsi="宋体" w:eastAsia="宋体" w:cs="宋体"/>
                <w:spacing w:val="-2"/>
                <w:sz w:val="21"/>
                <w:szCs w:val="21"/>
              </w:rPr>
              <w:t>序号</w:t>
            </w:r>
          </w:p>
        </w:tc>
        <w:tc>
          <w:tcPr>
            <w:tcW w:w="1131" w:type="dxa"/>
            <w:vAlign w:val="top"/>
          </w:tcPr>
          <w:p w14:paraId="0717BCC4">
            <w:pPr>
              <w:spacing w:before="69" w:line="220" w:lineRule="auto"/>
              <w:ind w:left="276"/>
              <w:rPr>
                <w:rFonts w:ascii="宋体" w:hAnsi="宋体" w:eastAsia="宋体" w:cs="宋体"/>
                <w:sz w:val="21"/>
                <w:szCs w:val="21"/>
              </w:rPr>
            </w:pPr>
            <w:r>
              <w:rPr>
                <w:rFonts w:ascii="宋体" w:hAnsi="宋体" w:eastAsia="宋体" w:cs="宋体"/>
                <w:spacing w:val="-7"/>
                <w:sz w:val="21"/>
                <w:szCs w:val="21"/>
              </w:rPr>
              <w:t>中文名</w:t>
            </w:r>
          </w:p>
        </w:tc>
        <w:tc>
          <w:tcPr>
            <w:tcW w:w="1697" w:type="dxa"/>
            <w:vAlign w:val="top"/>
          </w:tcPr>
          <w:p w14:paraId="19430010">
            <w:pPr>
              <w:spacing w:before="69" w:line="221" w:lineRule="auto"/>
              <w:ind w:left="546"/>
              <w:rPr>
                <w:rFonts w:ascii="宋体" w:hAnsi="宋体" w:eastAsia="宋体" w:cs="宋体"/>
                <w:sz w:val="21"/>
                <w:szCs w:val="21"/>
              </w:rPr>
            </w:pPr>
            <w:r>
              <w:rPr>
                <w:rFonts w:ascii="宋体" w:hAnsi="宋体" w:eastAsia="宋体" w:cs="宋体"/>
                <w:spacing w:val="-3"/>
                <w:sz w:val="21"/>
                <w:szCs w:val="21"/>
              </w:rPr>
              <w:t>拉丁名</w:t>
            </w:r>
          </w:p>
        </w:tc>
        <w:tc>
          <w:tcPr>
            <w:tcW w:w="985" w:type="dxa"/>
            <w:vMerge w:val="continue"/>
            <w:tcBorders>
              <w:top w:val="nil"/>
              <w:right w:val="single" w:color="000000" w:sz="12" w:space="0"/>
            </w:tcBorders>
            <w:vAlign w:val="top"/>
          </w:tcPr>
          <w:p w14:paraId="15F64408">
            <w:pPr>
              <w:rPr>
                <w:rFonts w:ascii="Arial"/>
                <w:sz w:val="21"/>
              </w:rPr>
            </w:pPr>
          </w:p>
        </w:tc>
      </w:tr>
      <w:tr w14:paraId="1DFEC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646AFD0A">
            <w:pPr>
              <w:pStyle w:val="6"/>
              <w:spacing w:before="210" w:line="232" w:lineRule="auto"/>
              <w:ind w:left="360"/>
            </w:pPr>
            <w:r>
              <w:t>5</w:t>
            </w:r>
          </w:p>
        </w:tc>
        <w:tc>
          <w:tcPr>
            <w:tcW w:w="1552" w:type="dxa"/>
            <w:vAlign w:val="top"/>
          </w:tcPr>
          <w:p w14:paraId="6F53F924">
            <w:pPr>
              <w:spacing w:before="176" w:line="220" w:lineRule="auto"/>
              <w:ind w:left="273"/>
              <w:rPr>
                <w:rFonts w:ascii="宋体" w:hAnsi="宋体" w:eastAsia="宋体" w:cs="宋体"/>
                <w:sz w:val="21"/>
                <w:szCs w:val="21"/>
              </w:rPr>
            </w:pPr>
            <w:r>
              <w:rPr>
                <w:rFonts w:ascii="宋体" w:hAnsi="宋体" w:eastAsia="宋体" w:cs="宋体"/>
                <w:spacing w:val="-7"/>
                <w:sz w:val="21"/>
                <w:szCs w:val="21"/>
              </w:rPr>
              <w:t>白尾梢麝鼩</w:t>
            </w:r>
          </w:p>
        </w:tc>
        <w:tc>
          <w:tcPr>
            <w:tcW w:w="1491" w:type="dxa"/>
            <w:vAlign w:val="top"/>
          </w:tcPr>
          <w:p w14:paraId="4487C799">
            <w:pPr>
              <w:pStyle w:val="6"/>
              <w:spacing w:before="88" w:line="190" w:lineRule="auto"/>
              <w:ind w:left="311"/>
            </w:pPr>
            <w:r>
              <w:rPr>
                <w:i/>
                <w:iCs/>
                <w:spacing w:val="-2"/>
              </w:rPr>
              <w:t>Crocidura</w:t>
            </w:r>
          </w:p>
          <w:p w14:paraId="460FB292">
            <w:pPr>
              <w:pStyle w:val="6"/>
              <w:spacing w:before="50" w:line="190" w:lineRule="auto"/>
              <w:ind w:left="278"/>
            </w:pPr>
            <w:r>
              <w:rPr>
                <w:i/>
                <w:iCs/>
                <w:spacing w:val="3"/>
              </w:rPr>
              <w:t>fuliginosa</w:t>
            </w:r>
          </w:p>
        </w:tc>
        <w:tc>
          <w:tcPr>
            <w:tcW w:w="770" w:type="dxa"/>
            <w:vAlign w:val="top"/>
          </w:tcPr>
          <w:p w14:paraId="1E5AAC67">
            <w:pPr>
              <w:rPr>
                <w:rFonts w:ascii="Arial"/>
                <w:sz w:val="21"/>
              </w:rPr>
            </w:pPr>
          </w:p>
        </w:tc>
        <w:tc>
          <w:tcPr>
            <w:tcW w:w="1131" w:type="dxa"/>
            <w:vAlign w:val="top"/>
          </w:tcPr>
          <w:p w14:paraId="40115A46">
            <w:pPr>
              <w:rPr>
                <w:rFonts w:ascii="Arial"/>
                <w:sz w:val="21"/>
              </w:rPr>
            </w:pPr>
          </w:p>
        </w:tc>
        <w:tc>
          <w:tcPr>
            <w:tcW w:w="1697" w:type="dxa"/>
            <w:vAlign w:val="top"/>
          </w:tcPr>
          <w:p w14:paraId="7FA4FA0C">
            <w:pPr>
              <w:rPr>
                <w:rFonts w:ascii="Arial"/>
                <w:sz w:val="21"/>
              </w:rPr>
            </w:pPr>
          </w:p>
        </w:tc>
        <w:tc>
          <w:tcPr>
            <w:tcW w:w="985" w:type="dxa"/>
            <w:tcBorders>
              <w:right w:val="single" w:color="000000" w:sz="12" w:space="0"/>
            </w:tcBorders>
            <w:vAlign w:val="top"/>
          </w:tcPr>
          <w:p w14:paraId="3C9E5303">
            <w:pPr>
              <w:rPr>
                <w:rFonts w:ascii="Arial"/>
                <w:sz w:val="21"/>
              </w:rPr>
            </w:pPr>
          </w:p>
        </w:tc>
      </w:tr>
      <w:tr w14:paraId="32909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43267881">
            <w:pPr>
              <w:pStyle w:val="6"/>
              <w:spacing w:before="211" w:line="232" w:lineRule="auto"/>
              <w:ind w:left="359"/>
            </w:pPr>
            <w:r>
              <w:t>6</w:t>
            </w:r>
          </w:p>
        </w:tc>
        <w:tc>
          <w:tcPr>
            <w:tcW w:w="1552" w:type="dxa"/>
            <w:vAlign w:val="top"/>
          </w:tcPr>
          <w:p w14:paraId="05660A32">
            <w:pPr>
              <w:spacing w:before="177" w:line="220" w:lineRule="auto"/>
              <w:ind w:left="455"/>
              <w:rPr>
                <w:rFonts w:ascii="宋体" w:hAnsi="宋体" w:eastAsia="宋体" w:cs="宋体"/>
                <w:sz w:val="21"/>
                <w:szCs w:val="21"/>
              </w:rPr>
            </w:pPr>
            <w:r>
              <w:rPr>
                <w:rFonts w:ascii="宋体" w:hAnsi="宋体" w:eastAsia="宋体" w:cs="宋体"/>
                <w:spacing w:val="-3"/>
                <w:sz w:val="21"/>
                <w:szCs w:val="21"/>
              </w:rPr>
              <w:t>大麝鼩</w:t>
            </w:r>
          </w:p>
        </w:tc>
        <w:tc>
          <w:tcPr>
            <w:tcW w:w="1491" w:type="dxa"/>
            <w:vAlign w:val="top"/>
          </w:tcPr>
          <w:p w14:paraId="1D428B15">
            <w:pPr>
              <w:pStyle w:val="6"/>
              <w:spacing w:before="90" w:line="190" w:lineRule="auto"/>
              <w:ind w:left="311"/>
            </w:pPr>
            <w:r>
              <w:rPr>
                <w:i/>
                <w:iCs/>
                <w:spacing w:val="-2"/>
              </w:rPr>
              <w:t>Crocidura</w:t>
            </w:r>
          </w:p>
          <w:p w14:paraId="2396D16E">
            <w:pPr>
              <w:pStyle w:val="6"/>
              <w:spacing w:before="50" w:line="224" w:lineRule="auto"/>
              <w:ind w:left="446"/>
            </w:pPr>
            <w:r>
              <w:rPr>
                <w:i/>
                <w:iCs/>
                <w:spacing w:val="-2"/>
              </w:rPr>
              <w:t>lasiura</w:t>
            </w:r>
          </w:p>
        </w:tc>
        <w:tc>
          <w:tcPr>
            <w:tcW w:w="770" w:type="dxa"/>
            <w:vAlign w:val="top"/>
          </w:tcPr>
          <w:p w14:paraId="336B8508">
            <w:pPr>
              <w:rPr>
                <w:rFonts w:ascii="Arial"/>
                <w:sz w:val="21"/>
              </w:rPr>
            </w:pPr>
          </w:p>
        </w:tc>
        <w:tc>
          <w:tcPr>
            <w:tcW w:w="1131" w:type="dxa"/>
            <w:vAlign w:val="top"/>
          </w:tcPr>
          <w:p w14:paraId="1F77CC7F">
            <w:pPr>
              <w:rPr>
                <w:rFonts w:ascii="Arial"/>
                <w:sz w:val="21"/>
              </w:rPr>
            </w:pPr>
          </w:p>
        </w:tc>
        <w:tc>
          <w:tcPr>
            <w:tcW w:w="1697" w:type="dxa"/>
            <w:vAlign w:val="top"/>
          </w:tcPr>
          <w:p w14:paraId="44C83C35">
            <w:pPr>
              <w:rPr>
                <w:rFonts w:ascii="Arial"/>
                <w:sz w:val="21"/>
              </w:rPr>
            </w:pPr>
          </w:p>
        </w:tc>
        <w:tc>
          <w:tcPr>
            <w:tcW w:w="985" w:type="dxa"/>
            <w:tcBorders>
              <w:right w:val="single" w:color="000000" w:sz="12" w:space="0"/>
            </w:tcBorders>
            <w:vAlign w:val="top"/>
          </w:tcPr>
          <w:p w14:paraId="7D17480A">
            <w:pPr>
              <w:rPr>
                <w:rFonts w:ascii="Arial"/>
                <w:sz w:val="21"/>
              </w:rPr>
            </w:pPr>
          </w:p>
        </w:tc>
      </w:tr>
      <w:tr w14:paraId="5D3C0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6AE6A12C">
            <w:pPr>
              <w:pStyle w:val="6"/>
              <w:spacing w:before="118" w:line="186" w:lineRule="auto"/>
              <w:ind w:left="275"/>
            </w:pPr>
            <w:r>
              <w:rPr>
                <w:b/>
                <w:bCs/>
                <w:spacing w:val="-3"/>
              </w:rPr>
              <w:t>O2</w:t>
            </w:r>
          </w:p>
        </w:tc>
        <w:tc>
          <w:tcPr>
            <w:tcW w:w="1552" w:type="dxa"/>
            <w:vAlign w:val="top"/>
          </w:tcPr>
          <w:p w14:paraId="2475709F">
            <w:pPr>
              <w:spacing w:before="79" w:line="219" w:lineRule="auto"/>
              <w:ind w:left="450"/>
              <w:rPr>
                <w:rFonts w:ascii="宋体" w:hAnsi="宋体" w:eastAsia="宋体" w:cs="宋体"/>
                <w:sz w:val="21"/>
                <w:szCs w:val="21"/>
              </w:rPr>
            </w:pPr>
            <w:r>
              <w:rPr>
                <w:rFonts w:ascii="宋体" w:hAnsi="宋体" w:eastAsia="宋体" w:cs="宋体"/>
                <w:b/>
                <w:bCs/>
                <w:spacing w:val="-4"/>
                <w:sz w:val="21"/>
                <w:szCs w:val="21"/>
              </w:rPr>
              <w:t>攀鼩目</w:t>
            </w:r>
          </w:p>
        </w:tc>
        <w:tc>
          <w:tcPr>
            <w:tcW w:w="1491" w:type="dxa"/>
            <w:vAlign w:val="top"/>
          </w:tcPr>
          <w:p w14:paraId="70F9BA02">
            <w:pPr>
              <w:pStyle w:val="6"/>
              <w:spacing w:before="117" w:line="187" w:lineRule="auto"/>
              <w:ind w:left="249"/>
            </w:pPr>
            <w:r>
              <w:rPr>
                <w:b/>
                <w:bCs/>
                <w:spacing w:val="-1"/>
              </w:rPr>
              <w:t>Scandentia</w:t>
            </w:r>
          </w:p>
        </w:tc>
        <w:tc>
          <w:tcPr>
            <w:tcW w:w="770" w:type="dxa"/>
            <w:vAlign w:val="top"/>
          </w:tcPr>
          <w:p w14:paraId="3893A981">
            <w:pPr>
              <w:pStyle w:val="6"/>
              <w:spacing w:before="118" w:line="186" w:lineRule="auto"/>
              <w:ind w:left="252"/>
            </w:pPr>
            <w:r>
              <w:rPr>
                <w:b/>
                <w:bCs/>
                <w:spacing w:val="-3"/>
              </w:rPr>
              <w:t>O1</w:t>
            </w:r>
          </w:p>
        </w:tc>
        <w:tc>
          <w:tcPr>
            <w:tcW w:w="1131" w:type="dxa"/>
            <w:vAlign w:val="top"/>
          </w:tcPr>
          <w:p w14:paraId="2160158A">
            <w:pPr>
              <w:spacing w:before="79" w:line="219" w:lineRule="auto"/>
              <w:ind w:left="254"/>
              <w:rPr>
                <w:rFonts w:ascii="宋体" w:hAnsi="宋体" w:eastAsia="宋体" w:cs="宋体"/>
                <w:sz w:val="21"/>
                <w:szCs w:val="21"/>
              </w:rPr>
            </w:pPr>
            <w:r>
              <w:rPr>
                <w:rFonts w:ascii="宋体" w:hAnsi="宋体" w:eastAsia="宋体" w:cs="宋体"/>
                <w:b/>
                <w:bCs/>
                <w:spacing w:val="-4"/>
                <w:sz w:val="21"/>
                <w:szCs w:val="21"/>
              </w:rPr>
              <w:t>攀鼩目</w:t>
            </w:r>
          </w:p>
        </w:tc>
        <w:tc>
          <w:tcPr>
            <w:tcW w:w="1697" w:type="dxa"/>
            <w:vAlign w:val="top"/>
          </w:tcPr>
          <w:p w14:paraId="6850DA35">
            <w:pPr>
              <w:pStyle w:val="6"/>
              <w:spacing w:before="117" w:line="187" w:lineRule="auto"/>
              <w:ind w:left="365"/>
            </w:pPr>
            <w:r>
              <w:rPr>
                <w:b/>
                <w:bCs/>
                <w:spacing w:val="-1"/>
              </w:rPr>
              <w:t>Scandentia</w:t>
            </w:r>
          </w:p>
        </w:tc>
        <w:tc>
          <w:tcPr>
            <w:tcW w:w="985" w:type="dxa"/>
            <w:tcBorders>
              <w:right w:val="single" w:color="000000" w:sz="12" w:space="0"/>
            </w:tcBorders>
            <w:vAlign w:val="top"/>
          </w:tcPr>
          <w:p w14:paraId="6AA8A1EE">
            <w:pPr>
              <w:rPr>
                <w:rFonts w:ascii="Arial"/>
                <w:sz w:val="21"/>
              </w:rPr>
            </w:pPr>
          </w:p>
        </w:tc>
      </w:tr>
      <w:tr w14:paraId="7A82A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2C7EFA57">
            <w:pPr>
              <w:pStyle w:val="6"/>
              <w:spacing w:before="119" w:line="186" w:lineRule="auto"/>
              <w:ind w:left="290"/>
            </w:pPr>
            <w:r>
              <w:rPr>
                <w:b/>
                <w:bCs/>
                <w:spacing w:val="-2"/>
              </w:rPr>
              <w:t>F2</w:t>
            </w:r>
          </w:p>
        </w:tc>
        <w:tc>
          <w:tcPr>
            <w:tcW w:w="1552" w:type="dxa"/>
            <w:vAlign w:val="top"/>
          </w:tcPr>
          <w:p w14:paraId="0EB44A66">
            <w:pPr>
              <w:spacing w:before="80" w:line="219" w:lineRule="auto"/>
              <w:ind w:left="451"/>
              <w:rPr>
                <w:rFonts w:ascii="宋体" w:hAnsi="宋体" w:eastAsia="宋体" w:cs="宋体"/>
                <w:sz w:val="21"/>
                <w:szCs w:val="21"/>
              </w:rPr>
            </w:pPr>
            <w:r>
              <w:rPr>
                <w:rFonts w:ascii="宋体" w:hAnsi="宋体" w:eastAsia="宋体" w:cs="宋体"/>
                <w:b/>
                <w:bCs/>
                <w:spacing w:val="-4"/>
                <w:sz w:val="21"/>
                <w:szCs w:val="21"/>
              </w:rPr>
              <w:t>树鼩科</w:t>
            </w:r>
          </w:p>
        </w:tc>
        <w:tc>
          <w:tcPr>
            <w:tcW w:w="1491" w:type="dxa"/>
            <w:vAlign w:val="top"/>
          </w:tcPr>
          <w:p w14:paraId="63D11E16">
            <w:pPr>
              <w:pStyle w:val="6"/>
              <w:spacing w:before="119" w:line="187" w:lineRule="auto"/>
              <w:ind w:left="287"/>
            </w:pPr>
            <w:r>
              <w:rPr>
                <w:b/>
                <w:bCs/>
                <w:spacing w:val="-1"/>
              </w:rPr>
              <w:t>Tupaiidae</w:t>
            </w:r>
          </w:p>
        </w:tc>
        <w:tc>
          <w:tcPr>
            <w:tcW w:w="770" w:type="dxa"/>
            <w:vAlign w:val="top"/>
          </w:tcPr>
          <w:p w14:paraId="6D3C78D8">
            <w:pPr>
              <w:pStyle w:val="6"/>
              <w:spacing w:before="119" w:line="186" w:lineRule="auto"/>
              <w:ind w:left="267"/>
            </w:pPr>
            <w:r>
              <w:rPr>
                <w:b/>
                <w:bCs/>
                <w:spacing w:val="-2"/>
              </w:rPr>
              <w:t>F1</w:t>
            </w:r>
          </w:p>
        </w:tc>
        <w:tc>
          <w:tcPr>
            <w:tcW w:w="1131" w:type="dxa"/>
            <w:vAlign w:val="top"/>
          </w:tcPr>
          <w:p w14:paraId="380065A3">
            <w:pPr>
              <w:spacing w:before="80" w:line="219" w:lineRule="auto"/>
              <w:ind w:left="255"/>
              <w:rPr>
                <w:rFonts w:ascii="宋体" w:hAnsi="宋体" w:eastAsia="宋体" w:cs="宋体"/>
                <w:sz w:val="21"/>
                <w:szCs w:val="21"/>
              </w:rPr>
            </w:pPr>
            <w:r>
              <w:rPr>
                <w:rFonts w:ascii="宋体" w:hAnsi="宋体" w:eastAsia="宋体" w:cs="宋体"/>
                <w:b/>
                <w:bCs/>
                <w:spacing w:val="-4"/>
                <w:sz w:val="21"/>
                <w:szCs w:val="21"/>
              </w:rPr>
              <w:t>树鼩科</w:t>
            </w:r>
          </w:p>
        </w:tc>
        <w:tc>
          <w:tcPr>
            <w:tcW w:w="1697" w:type="dxa"/>
            <w:vAlign w:val="top"/>
          </w:tcPr>
          <w:p w14:paraId="10F39CCD">
            <w:pPr>
              <w:pStyle w:val="6"/>
              <w:spacing w:before="119" w:line="187" w:lineRule="auto"/>
              <w:ind w:left="403"/>
            </w:pPr>
            <w:r>
              <w:rPr>
                <w:b/>
                <w:bCs/>
                <w:spacing w:val="-1"/>
              </w:rPr>
              <w:t>Tupaiidae</w:t>
            </w:r>
          </w:p>
        </w:tc>
        <w:tc>
          <w:tcPr>
            <w:tcW w:w="985" w:type="dxa"/>
            <w:tcBorders>
              <w:right w:val="single" w:color="000000" w:sz="12" w:space="0"/>
            </w:tcBorders>
            <w:vAlign w:val="top"/>
          </w:tcPr>
          <w:p w14:paraId="0433A034">
            <w:pPr>
              <w:rPr>
                <w:rFonts w:ascii="Arial"/>
                <w:sz w:val="21"/>
              </w:rPr>
            </w:pPr>
          </w:p>
        </w:tc>
      </w:tr>
      <w:tr w14:paraId="7831C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79B9C4F3">
            <w:pPr>
              <w:pStyle w:val="6"/>
              <w:spacing w:before="213" w:line="232" w:lineRule="auto"/>
              <w:ind w:left="358"/>
            </w:pPr>
            <w:r>
              <w:t>7</w:t>
            </w:r>
          </w:p>
        </w:tc>
        <w:tc>
          <w:tcPr>
            <w:tcW w:w="1552" w:type="dxa"/>
            <w:vAlign w:val="top"/>
          </w:tcPr>
          <w:p w14:paraId="2FF5F593">
            <w:pPr>
              <w:spacing w:before="180" w:line="220" w:lineRule="auto"/>
              <w:ind w:left="456"/>
              <w:rPr>
                <w:rFonts w:ascii="宋体" w:hAnsi="宋体" w:eastAsia="宋体" w:cs="宋体"/>
                <w:sz w:val="21"/>
                <w:szCs w:val="21"/>
              </w:rPr>
            </w:pPr>
            <w:r>
              <w:rPr>
                <w:rFonts w:ascii="宋体" w:hAnsi="宋体" w:eastAsia="宋体" w:cs="宋体"/>
                <w:spacing w:val="-4"/>
                <w:sz w:val="21"/>
                <w:szCs w:val="21"/>
              </w:rPr>
              <w:t>北树鼩</w:t>
            </w:r>
          </w:p>
        </w:tc>
        <w:tc>
          <w:tcPr>
            <w:tcW w:w="1491" w:type="dxa"/>
            <w:vAlign w:val="top"/>
          </w:tcPr>
          <w:p w14:paraId="2BD53A7B">
            <w:pPr>
              <w:pStyle w:val="6"/>
              <w:spacing w:before="93" w:line="190" w:lineRule="auto"/>
              <w:ind w:left="452"/>
            </w:pPr>
            <w:r>
              <w:rPr>
                <w:i/>
                <w:iCs/>
                <w:spacing w:val="-3"/>
              </w:rPr>
              <w:t>Tupaia</w:t>
            </w:r>
          </w:p>
          <w:p w14:paraId="68F320DD">
            <w:pPr>
              <w:pStyle w:val="6"/>
              <w:spacing w:before="49" w:line="190" w:lineRule="auto"/>
              <w:ind w:left="338"/>
            </w:pPr>
            <w:r>
              <w:rPr>
                <w:i/>
                <w:iCs/>
                <w:spacing w:val="-1"/>
              </w:rPr>
              <w:t>belangeri</w:t>
            </w:r>
          </w:p>
        </w:tc>
        <w:tc>
          <w:tcPr>
            <w:tcW w:w="770" w:type="dxa"/>
            <w:vAlign w:val="top"/>
          </w:tcPr>
          <w:p w14:paraId="185B0A4F">
            <w:pPr>
              <w:pStyle w:val="6"/>
              <w:spacing w:before="213" w:line="235" w:lineRule="auto"/>
              <w:ind w:left="352"/>
            </w:pPr>
            <w:r>
              <w:t>1</w:t>
            </w:r>
          </w:p>
        </w:tc>
        <w:tc>
          <w:tcPr>
            <w:tcW w:w="1131" w:type="dxa"/>
            <w:vAlign w:val="top"/>
          </w:tcPr>
          <w:p w14:paraId="137F9C86">
            <w:pPr>
              <w:spacing w:before="180" w:line="220" w:lineRule="auto"/>
              <w:ind w:left="260"/>
              <w:rPr>
                <w:rFonts w:ascii="宋体" w:hAnsi="宋体" w:eastAsia="宋体" w:cs="宋体"/>
                <w:sz w:val="21"/>
                <w:szCs w:val="21"/>
              </w:rPr>
            </w:pPr>
            <w:r>
              <w:rPr>
                <w:rFonts w:ascii="宋体" w:hAnsi="宋体" w:eastAsia="宋体" w:cs="宋体"/>
                <w:spacing w:val="-3"/>
                <w:sz w:val="21"/>
                <w:szCs w:val="21"/>
              </w:rPr>
              <w:t>北树鼩</w:t>
            </w:r>
          </w:p>
        </w:tc>
        <w:tc>
          <w:tcPr>
            <w:tcW w:w="1697" w:type="dxa"/>
            <w:vAlign w:val="top"/>
          </w:tcPr>
          <w:p w14:paraId="36F40B3D">
            <w:pPr>
              <w:pStyle w:val="6"/>
              <w:spacing w:before="213" w:line="190" w:lineRule="auto"/>
              <w:ind w:left="139"/>
            </w:pPr>
            <w:r>
              <w:rPr>
                <w:i/>
                <w:iCs/>
                <w:spacing w:val="-1"/>
              </w:rPr>
              <w:t>Tupaia belangeri</w:t>
            </w:r>
          </w:p>
        </w:tc>
        <w:tc>
          <w:tcPr>
            <w:tcW w:w="985" w:type="dxa"/>
            <w:tcBorders>
              <w:right w:val="single" w:color="000000" w:sz="12" w:space="0"/>
            </w:tcBorders>
            <w:vAlign w:val="top"/>
          </w:tcPr>
          <w:p w14:paraId="7B146ACA">
            <w:pPr>
              <w:pStyle w:val="6"/>
              <w:spacing w:before="218" w:line="185" w:lineRule="auto"/>
              <w:ind w:left="431"/>
            </w:pPr>
            <w:r>
              <w:t>Ⅱ</w:t>
            </w:r>
          </w:p>
        </w:tc>
      </w:tr>
      <w:tr w14:paraId="48DE0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1F8159E8">
            <w:pPr>
              <w:pStyle w:val="6"/>
              <w:spacing w:before="121" w:line="186" w:lineRule="auto"/>
              <w:ind w:left="275"/>
            </w:pPr>
            <w:r>
              <w:rPr>
                <w:b/>
                <w:bCs/>
                <w:spacing w:val="-3"/>
              </w:rPr>
              <w:t>O3</w:t>
            </w:r>
          </w:p>
        </w:tc>
        <w:tc>
          <w:tcPr>
            <w:tcW w:w="1552" w:type="dxa"/>
            <w:vAlign w:val="top"/>
          </w:tcPr>
          <w:p w14:paraId="08C91CDD">
            <w:pPr>
              <w:spacing w:before="83" w:line="220" w:lineRule="auto"/>
              <w:ind w:left="451"/>
              <w:rPr>
                <w:rFonts w:ascii="宋体" w:hAnsi="宋体" w:eastAsia="宋体" w:cs="宋体"/>
                <w:sz w:val="21"/>
                <w:szCs w:val="21"/>
              </w:rPr>
            </w:pPr>
            <w:r>
              <w:rPr>
                <w:rFonts w:ascii="宋体" w:hAnsi="宋体" w:eastAsia="宋体" w:cs="宋体"/>
                <w:b/>
                <w:bCs/>
                <w:spacing w:val="-4"/>
                <w:sz w:val="21"/>
                <w:szCs w:val="21"/>
              </w:rPr>
              <w:t>食肉目</w:t>
            </w:r>
          </w:p>
        </w:tc>
        <w:tc>
          <w:tcPr>
            <w:tcW w:w="1491" w:type="dxa"/>
            <w:vAlign w:val="top"/>
          </w:tcPr>
          <w:p w14:paraId="0D373170">
            <w:pPr>
              <w:pStyle w:val="6"/>
              <w:spacing w:before="121" w:line="186" w:lineRule="auto"/>
              <w:ind w:left="277"/>
            </w:pPr>
            <w:r>
              <w:rPr>
                <w:b/>
                <w:bCs/>
                <w:spacing w:val="-1"/>
              </w:rPr>
              <w:t>Carnivora</w:t>
            </w:r>
          </w:p>
        </w:tc>
        <w:tc>
          <w:tcPr>
            <w:tcW w:w="770" w:type="dxa"/>
            <w:vAlign w:val="top"/>
          </w:tcPr>
          <w:p w14:paraId="17F19EAC">
            <w:pPr>
              <w:pStyle w:val="6"/>
              <w:spacing w:before="121" w:line="186" w:lineRule="auto"/>
              <w:ind w:left="252"/>
            </w:pPr>
            <w:r>
              <w:rPr>
                <w:b/>
                <w:bCs/>
                <w:spacing w:val="-3"/>
              </w:rPr>
              <w:t>O2</w:t>
            </w:r>
          </w:p>
        </w:tc>
        <w:tc>
          <w:tcPr>
            <w:tcW w:w="1131" w:type="dxa"/>
            <w:vAlign w:val="top"/>
          </w:tcPr>
          <w:p w14:paraId="66431D50">
            <w:pPr>
              <w:spacing w:before="83" w:line="220" w:lineRule="auto"/>
              <w:ind w:left="255"/>
              <w:rPr>
                <w:rFonts w:ascii="宋体" w:hAnsi="宋体" w:eastAsia="宋体" w:cs="宋体"/>
                <w:sz w:val="21"/>
                <w:szCs w:val="21"/>
              </w:rPr>
            </w:pPr>
            <w:r>
              <w:rPr>
                <w:rFonts w:ascii="宋体" w:hAnsi="宋体" w:eastAsia="宋体" w:cs="宋体"/>
                <w:b/>
                <w:bCs/>
                <w:spacing w:val="-4"/>
                <w:sz w:val="21"/>
                <w:szCs w:val="21"/>
              </w:rPr>
              <w:t>食肉目</w:t>
            </w:r>
          </w:p>
        </w:tc>
        <w:tc>
          <w:tcPr>
            <w:tcW w:w="1697" w:type="dxa"/>
            <w:vAlign w:val="top"/>
          </w:tcPr>
          <w:p w14:paraId="405ABA79">
            <w:pPr>
              <w:pStyle w:val="6"/>
              <w:spacing w:before="121" w:line="186" w:lineRule="auto"/>
              <w:ind w:left="392"/>
            </w:pPr>
            <w:r>
              <w:rPr>
                <w:b/>
                <w:bCs/>
                <w:spacing w:val="-1"/>
              </w:rPr>
              <w:t>Carnivora</w:t>
            </w:r>
          </w:p>
        </w:tc>
        <w:tc>
          <w:tcPr>
            <w:tcW w:w="985" w:type="dxa"/>
            <w:tcBorders>
              <w:right w:val="single" w:color="000000" w:sz="12" w:space="0"/>
            </w:tcBorders>
            <w:vAlign w:val="top"/>
          </w:tcPr>
          <w:p w14:paraId="73F9A35B">
            <w:pPr>
              <w:rPr>
                <w:rFonts w:ascii="Arial"/>
                <w:sz w:val="21"/>
              </w:rPr>
            </w:pPr>
          </w:p>
        </w:tc>
      </w:tr>
      <w:tr w14:paraId="7D677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347163FA">
            <w:pPr>
              <w:pStyle w:val="6"/>
              <w:spacing w:before="122" w:line="186" w:lineRule="auto"/>
              <w:ind w:left="290"/>
            </w:pPr>
            <w:r>
              <w:rPr>
                <w:b/>
                <w:bCs/>
                <w:spacing w:val="-2"/>
              </w:rPr>
              <w:t>F3</w:t>
            </w:r>
          </w:p>
        </w:tc>
        <w:tc>
          <w:tcPr>
            <w:tcW w:w="1552" w:type="dxa"/>
            <w:vAlign w:val="top"/>
          </w:tcPr>
          <w:p w14:paraId="2FA20EF4">
            <w:pPr>
              <w:spacing w:before="83" w:line="219" w:lineRule="auto"/>
              <w:ind w:left="563"/>
              <w:rPr>
                <w:rFonts w:ascii="宋体" w:hAnsi="宋体" w:eastAsia="宋体" w:cs="宋体"/>
                <w:sz w:val="21"/>
                <w:szCs w:val="21"/>
              </w:rPr>
            </w:pPr>
            <w:r>
              <w:rPr>
                <w:rFonts w:ascii="宋体" w:hAnsi="宋体" w:eastAsia="宋体" w:cs="宋体"/>
                <w:b/>
                <w:bCs/>
                <w:spacing w:val="-6"/>
                <w:sz w:val="21"/>
                <w:szCs w:val="21"/>
              </w:rPr>
              <w:t>鼬科</w:t>
            </w:r>
          </w:p>
        </w:tc>
        <w:tc>
          <w:tcPr>
            <w:tcW w:w="1491" w:type="dxa"/>
            <w:vAlign w:val="top"/>
          </w:tcPr>
          <w:p w14:paraId="591358E3">
            <w:pPr>
              <w:pStyle w:val="6"/>
              <w:spacing w:before="122" w:line="186" w:lineRule="auto"/>
              <w:ind w:left="244"/>
            </w:pPr>
            <w:r>
              <w:rPr>
                <w:b/>
                <w:bCs/>
                <w:spacing w:val="-1"/>
              </w:rPr>
              <w:t>Mustelidae</w:t>
            </w:r>
          </w:p>
        </w:tc>
        <w:tc>
          <w:tcPr>
            <w:tcW w:w="770" w:type="dxa"/>
            <w:vAlign w:val="top"/>
          </w:tcPr>
          <w:p w14:paraId="664DC9CF">
            <w:pPr>
              <w:pStyle w:val="6"/>
              <w:spacing w:before="122" w:line="186" w:lineRule="auto"/>
              <w:ind w:left="267"/>
            </w:pPr>
            <w:r>
              <w:rPr>
                <w:b/>
                <w:bCs/>
                <w:spacing w:val="-2"/>
              </w:rPr>
              <w:t>F2</w:t>
            </w:r>
          </w:p>
        </w:tc>
        <w:tc>
          <w:tcPr>
            <w:tcW w:w="1131" w:type="dxa"/>
            <w:vAlign w:val="top"/>
          </w:tcPr>
          <w:p w14:paraId="446911D5">
            <w:pPr>
              <w:spacing w:before="83" w:line="219" w:lineRule="auto"/>
              <w:ind w:left="367"/>
              <w:rPr>
                <w:rFonts w:ascii="宋体" w:hAnsi="宋体" w:eastAsia="宋体" w:cs="宋体"/>
                <w:sz w:val="21"/>
                <w:szCs w:val="21"/>
              </w:rPr>
            </w:pPr>
            <w:r>
              <w:rPr>
                <w:rFonts w:ascii="宋体" w:hAnsi="宋体" w:eastAsia="宋体" w:cs="宋体"/>
                <w:b/>
                <w:bCs/>
                <w:spacing w:val="-6"/>
                <w:sz w:val="21"/>
                <w:szCs w:val="21"/>
              </w:rPr>
              <w:t>鼬科</w:t>
            </w:r>
          </w:p>
        </w:tc>
        <w:tc>
          <w:tcPr>
            <w:tcW w:w="1697" w:type="dxa"/>
            <w:vAlign w:val="top"/>
          </w:tcPr>
          <w:p w14:paraId="3EFE0535">
            <w:pPr>
              <w:pStyle w:val="6"/>
              <w:spacing w:before="122" w:line="186" w:lineRule="auto"/>
              <w:ind w:left="359"/>
            </w:pPr>
            <w:r>
              <w:rPr>
                <w:b/>
                <w:bCs/>
                <w:spacing w:val="-1"/>
              </w:rPr>
              <w:t>Mustelidae</w:t>
            </w:r>
          </w:p>
        </w:tc>
        <w:tc>
          <w:tcPr>
            <w:tcW w:w="985" w:type="dxa"/>
            <w:tcBorders>
              <w:right w:val="single" w:color="000000" w:sz="12" w:space="0"/>
            </w:tcBorders>
            <w:vAlign w:val="top"/>
          </w:tcPr>
          <w:p w14:paraId="7E9084DF">
            <w:pPr>
              <w:rPr>
                <w:rFonts w:ascii="Arial"/>
                <w:sz w:val="21"/>
              </w:rPr>
            </w:pPr>
          </w:p>
        </w:tc>
      </w:tr>
      <w:tr w14:paraId="1158A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2BBAF953">
            <w:pPr>
              <w:pStyle w:val="6"/>
              <w:spacing w:before="118" w:line="232" w:lineRule="auto"/>
              <w:ind w:left="363"/>
            </w:pPr>
            <w:r>
              <w:t>8</w:t>
            </w:r>
          </w:p>
        </w:tc>
        <w:tc>
          <w:tcPr>
            <w:tcW w:w="1552" w:type="dxa"/>
            <w:vAlign w:val="top"/>
          </w:tcPr>
          <w:p w14:paraId="4C473DEB">
            <w:pPr>
              <w:spacing w:before="84" w:line="220" w:lineRule="auto"/>
              <w:ind w:left="557"/>
              <w:rPr>
                <w:rFonts w:ascii="宋体" w:hAnsi="宋体" w:eastAsia="宋体" w:cs="宋体"/>
                <w:sz w:val="21"/>
                <w:szCs w:val="21"/>
              </w:rPr>
            </w:pPr>
            <w:r>
              <w:rPr>
                <w:rFonts w:ascii="宋体" w:hAnsi="宋体" w:eastAsia="宋体" w:cs="宋体"/>
                <w:spacing w:val="-2"/>
                <w:sz w:val="21"/>
                <w:szCs w:val="21"/>
              </w:rPr>
              <w:t>黄鼬</w:t>
            </w:r>
          </w:p>
        </w:tc>
        <w:tc>
          <w:tcPr>
            <w:tcW w:w="1491" w:type="dxa"/>
            <w:vAlign w:val="top"/>
          </w:tcPr>
          <w:p w14:paraId="7B950FB0">
            <w:pPr>
              <w:pStyle w:val="6"/>
              <w:spacing w:before="117" w:line="233" w:lineRule="auto"/>
              <w:ind w:left="43"/>
            </w:pPr>
            <w:r>
              <w:rPr>
                <w:i/>
                <w:iCs/>
              </w:rPr>
              <w:t>Mustela</w:t>
            </w:r>
            <w:r>
              <w:rPr>
                <w:i/>
                <w:iCs/>
                <w:spacing w:val="6"/>
              </w:rPr>
              <w:t xml:space="preserve"> </w:t>
            </w:r>
            <w:r>
              <w:rPr>
                <w:i/>
                <w:iCs/>
              </w:rPr>
              <w:t>sibirica</w:t>
            </w:r>
          </w:p>
        </w:tc>
        <w:tc>
          <w:tcPr>
            <w:tcW w:w="770" w:type="dxa"/>
            <w:vAlign w:val="top"/>
          </w:tcPr>
          <w:p w14:paraId="0723151B">
            <w:pPr>
              <w:pStyle w:val="6"/>
              <w:spacing w:before="118" w:line="235" w:lineRule="auto"/>
              <w:ind w:left="332"/>
            </w:pPr>
            <w:r>
              <w:t>2</w:t>
            </w:r>
          </w:p>
        </w:tc>
        <w:tc>
          <w:tcPr>
            <w:tcW w:w="1131" w:type="dxa"/>
            <w:vAlign w:val="top"/>
          </w:tcPr>
          <w:p w14:paraId="6D466124">
            <w:pPr>
              <w:spacing w:before="84" w:line="220" w:lineRule="auto"/>
              <w:ind w:left="361"/>
              <w:rPr>
                <w:rFonts w:ascii="宋体" w:hAnsi="宋体" w:eastAsia="宋体" w:cs="宋体"/>
                <w:sz w:val="21"/>
                <w:szCs w:val="21"/>
              </w:rPr>
            </w:pPr>
            <w:r>
              <w:rPr>
                <w:rFonts w:ascii="宋体" w:hAnsi="宋体" w:eastAsia="宋体" w:cs="宋体"/>
                <w:spacing w:val="-2"/>
                <w:sz w:val="21"/>
                <w:szCs w:val="21"/>
              </w:rPr>
              <w:t>黄鼬</w:t>
            </w:r>
          </w:p>
        </w:tc>
        <w:tc>
          <w:tcPr>
            <w:tcW w:w="1697" w:type="dxa"/>
            <w:vAlign w:val="top"/>
          </w:tcPr>
          <w:p w14:paraId="7A26EDF7">
            <w:pPr>
              <w:pStyle w:val="6"/>
              <w:spacing w:before="117" w:line="233" w:lineRule="auto"/>
              <w:ind w:left="158"/>
            </w:pPr>
            <w:r>
              <w:rPr>
                <w:i/>
                <w:iCs/>
              </w:rPr>
              <w:t>Mustela</w:t>
            </w:r>
            <w:r>
              <w:rPr>
                <w:i/>
                <w:iCs/>
                <w:spacing w:val="6"/>
              </w:rPr>
              <w:t xml:space="preserve"> </w:t>
            </w:r>
            <w:r>
              <w:rPr>
                <w:i/>
                <w:iCs/>
              </w:rPr>
              <w:t>sibirica</w:t>
            </w:r>
          </w:p>
        </w:tc>
        <w:tc>
          <w:tcPr>
            <w:tcW w:w="985" w:type="dxa"/>
            <w:tcBorders>
              <w:right w:val="single" w:color="000000" w:sz="12" w:space="0"/>
            </w:tcBorders>
            <w:vAlign w:val="top"/>
          </w:tcPr>
          <w:p w14:paraId="786A30F2">
            <w:pPr>
              <w:rPr>
                <w:rFonts w:ascii="Arial"/>
                <w:sz w:val="21"/>
              </w:rPr>
            </w:pPr>
          </w:p>
        </w:tc>
      </w:tr>
      <w:tr w14:paraId="5D8A5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4ABD4449">
            <w:pPr>
              <w:pStyle w:val="6"/>
              <w:spacing w:before="217" w:line="232" w:lineRule="auto"/>
              <w:ind w:left="358"/>
            </w:pPr>
            <w:r>
              <w:t>9</w:t>
            </w:r>
          </w:p>
        </w:tc>
        <w:tc>
          <w:tcPr>
            <w:tcW w:w="1552" w:type="dxa"/>
            <w:vAlign w:val="top"/>
          </w:tcPr>
          <w:p w14:paraId="43067BCD">
            <w:pPr>
              <w:spacing w:before="183" w:line="220" w:lineRule="auto"/>
              <w:ind w:left="564"/>
              <w:rPr>
                <w:rFonts w:ascii="宋体" w:hAnsi="宋体" w:eastAsia="宋体" w:cs="宋体"/>
                <w:sz w:val="21"/>
                <w:szCs w:val="21"/>
              </w:rPr>
            </w:pPr>
            <w:r>
              <w:rPr>
                <w:rFonts w:ascii="宋体" w:hAnsi="宋体" w:eastAsia="宋体" w:cs="宋体"/>
                <w:spacing w:val="-4"/>
                <w:sz w:val="21"/>
                <w:szCs w:val="21"/>
              </w:rPr>
              <w:t>鼬獾</w:t>
            </w:r>
          </w:p>
        </w:tc>
        <w:tc>
          <w:tcPr>
            <w:tcW w:w="1491" w:type="dxa"/>
            <w:vAlign w:val="top"/>
          </w:tcPr>
          <w:p w14:paraId="3CE2F078">
            <w:pPr>
              <w:pStyle w:val="6"/>
              <w:spacing w:before="95" w:line="190" w:lineRule="auto"/>
              <w:ind w:left="331"/>
            </w:pPr>
            <w:r>
              <w:rPr>
                <w:i/>
                <w:iCs/>
              </w:rPr>
              <w:t>Melogale</w:t>
            </w:r>
          </w:p>
          <w:p w14:paraId="4EA871D6">
            <w:pPr>
              <w:pStyle w:val="6"/>
              <w:spacing w:before="50" w:line="217" w:lineRule="auto"/>
              <w:ind w:left="336"/>
            </w:pPr>
            <w:r>
              <w:rPr>
                <w:i/>
                <w:iCs/>
              </w:rPr>
              <w:t>moschata</w:t>
            </w:r>
          </w:p>
        </w:tc>
        <w:tc>
          <w:tcPr>
            <w:tcW w:w="770" w:type="dxa"/>
            <w:vAlign w:val="top"/>
          </w:tcPr>
          <w:p w14:paraId="6F78ADB7">
            <w:pPr>
              <w:pStyle w:val="6"/>
              <w:spacing w:before="217" w:line="232" w:lineRule="auto"/>
              <w:ind w:left="336"/>
            </w:pPr>
            <w:r>
              <w:t>3</w:t>
            </w:r>
          </w:p>
        </w:tc>
        <w:tc>
          <w:tcPr>
            <w:tcW w:w="1131" w:type="dxa"/>
            <w:vAlign w:val="top"/>
          </w:tcPr>
          <w:p w14:paraId="0C1E42D6">
            <w:pPr>
              <w:spacing w:before="183" w:line="220" w:lineRule="auto"/>
              <w:ind w:left="369"/>
              <w:rPr>
                <w:rFonts w:ascii="宋体" w:hAnsi="宋体" w:eastAsia="宋体" w:cs="宋体"/>
                <w:sz w:val="21"/>
                <w:szCs w:val="21"/>
              </w:rPr>
            </w:pPr>
            <w:r>
              <w:rPr>
                <w:rFonts w:ascii="宋体" w:hAnsi="宋体" w:eastAsia="宋体" w:cs="宋体"/>
                <w:spacing w:val="-4"/>
                <w:sz w:val="21"/>
                <w:szCs w:val="21"/>
              </w:rPr>
              <w:t>鼬獾</w:t>
            </w:r>
          </w:p>
        </w:tc>
        <w:tc>
          <w:tcPr>
            <w:tcW w:w="1697" w:type="dxa"/>
            <w:vAlign w:val="top"/>
          </w:tcPr>
          <w:p w14:paraId="1E84A5E4">
            <w:pPr>
              <w:pStyle w:val="6"/>
              <w:spacing w:before="95" w:line="190" w:lineRule="auto"/>
              <w:ind w:left="447"/>
            </w:pPr>
            <w:r>
              <w:rPr>
                <w:i/>
                <w:iCs/>
              </w:rPr>
              <w:t>Melogale</w:t>
            </w:r>
          </w:p>
          <w:p w14:paraId="39644442">
            <w:pPr>
              <w:pStyle w:val="6"/>
              <w:spacing w:before="50" w:line="217" w:lineRule="auto"/>
              <w:ind w:left="452"/>
            </w:pPr>
            <w:r>
              <w:rPr>
                <w:i/>
                <w:iCs/>
              </w:rPr>
              <w:t>moschata</w:t>
            </w:r>
          </w:p>
        </w:tc>
        <w:tc>
          <w:tcPr>
            <w:tcW w:w="985" w:type="dxa"/>
            <w:tcBorders>
              <w:right w:val="single" w:color="000000" w:sz="12" w:space="0"/>
            </w:tcBorders>
            <w:vAlign w:val="top"/>
          </w:tcPr>
          <w:p w14:paraId="2A35AFC9">
            <w:pPr>
              <w:rPr>
                <w:rFonts w:ascii="Arial"/>
                <w:sz w:val="21"/>
              </w:rPr>
            </w:pPr>
          </w:p>
        </w:tc>
      </w:tr>
      <w:tr w14:paraId="1D70D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019EB599">
            <w:pPr>
              <w:pStyle w:val="6"/>
              <w:spacing w:before="219" w:line="232" w:lineRule="auto"/>
              <w:ind w:left="322"/>
            </w:pPr>
            <w:r>
              <w:rPr>
                <w:spacing w:val="-6"/>
              </w:rPr>
              <w:t>10</w:t>
            </w:r>
          </w:p>
        </w:tc>
        <w:tc>
          <w:tcPr>
            <w:tcW w:w="1552" w:type="dxa"/>
            <w:vAlign w:val="top"/>
          </w:tcPr>
          <w:p w14:paraId="1558D772">
            <w:pPr>
              <w:spacing w:before="186" w:line="220" w:lineRule="auto"/>
              <w:ind w:left="558"/>
              <w:rPr>
                <w:rFonts w:ascii="宋体" w:hAnsi="宋体" w:eastAsia="宋体" w:cs="宋体"/>
                <w:sz w:val="21"/>
                <w:szCs w:val="21"/>
              </w:rPr>
            </w:pPr>
            <w:r>
              <w:rPr>
                <w:rFonts w:ascii="宋体" w:hAnsi="宋体" w:eastAsia="宋体" w:cs="宋体"/>
                <w:spacing w:val="-3"/>
                <w:sz w:val="21"/>
                <w:szCs w:val="21"/>
              </w:rPr>
              <w:t>猪獾</w:t>
            </w:r>
          </w:p>
        </w:tc>
        <w:tc>
          <w:tcPr>
            <w:tcW w:w="1491" w:type="dxa"/>
            <w:vAlign w:val="top"/>
          </w:tcPr>
          <w:p w14:paraId="7CFCFBCF">
            <w:pPr>
              <w:pStyle w:val="6"/>
              <w:spacing w:before="98" w:line="190" w:lineRule="auto"/>
              <w:ind w:left="346"/>
            </w:pPr>
            <w:r>
              <w:rPr>
                <w:i/>
                <w:iCs/>
                <w:spacing w:val="1"/>
              </w:rPr>
              <w:t>Arctonyx</w:t>
            </w:r>
          </w:p>
          <w:p w14:paraId="11596C7F">
            <w:pPr>
              <w:pStyle w:val="6"/>
              <w:spacing w:before="50" w:line="216" w:lineRule="auto"/>
              <w:ind w:left="419"/>
            </w:pPr>
            <w:r>
              <w:rPr>
                <w:i/>
                <w:iCs/>
                <w:spacing w:val="-1"/>
              </w:rPr>
              <w:t>collaris</w:t>
            </w:r>
          </w:p>
        </w:tc>
        <w:tc>
          <w:tcPr>
            <w:tcW w:w="770" w:type="dxa"/>
            <w:vAlign w:val="top"/>
          </w:tcPr>
          <w:p w14:paraId="283A19B1">
            <w:pPr>
              <w:rPr>
                <w:rFonts w:ascii="Arial"/>
                <w:sz w:val="21"/>
              </w:rPr>
            </w:pPr>
          </w:p>
        </w:tc>
        <w:tc>
          <w:tcPr>
            <w:tcW w:w="1131" w:type="dxa"/>
            <w:vAlign w:val="top"/>
          </w:tcPr>
          <w:p w14:paraId="0D0865F1">
            <w:pPr>
              <w:rPr>
                <w:rFonts w:ascii="Arial"/>
                <w:sz w:val="21"/>
              </w:rPr>
            </w:pPr>
          </w:p>
        </w:tc>
        <w:tc>
          <w:tcPr>
            <w:tcW w:w="1697" w:type="dxa"/>
            <w:vAlign w:val="top"/>
          </w:tcPr>
          <w:p w14:paraId="498C03E2">
            <w:pPr>
              <w:rPr>
                <w:rFonts w:ascii="Arial"/>
                <w:sz w:val="21"/>
              </w:rPr>
            </w:pPr>
          </w:p>
        </w:tc>
        <w:tc>
          <w:tcPr>
            <w:tcW w:w="985" w:type="dxa"/>
            <w:tcBorders>
              <w:right w:val="single" w:color="000000" w:sz="12" w:space="0"/>
            </w:tcBorders>
            <w:vAlign w:val="top"/>
          </w:tcPr>
          <w:p w14:paraId="228F84B2">
            <w:pPr>
              <w:rPr>
                <w:rFonts w:ascii="Arial"/>
                <w:sz w:val="21"/>
              </w:rPr>
            </w:pPr>
          </w:p>
        </w:tc>
      </w:tr>
      <w:tr w14:paraId="0BEB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7CE5CE8A">
            <w:pPr>
              <w:pStyle w:val="6"/>
              <w:spacing w:before="126" w:line="186" w:lineRule="auto"/>
              <w:ind w:left="290"/>
            </w:pPr>
            <w:r>
              <w:rPr>
                <w:b/>
                <w:bCs/>
                <w:spacing w:val="-2"/>
              </w:rPr>
              <w:t>F4</w:t>
            </w:r>
          </w:p>
        </w:tc>
        <w:tc>
          <w:tcPr>
            <w:tcW w:w="1552" w:type="dxa"/>
            <w:vAlign w:val="top"/>
          </w:tcPr>
          <w:p w14:paraId="59AD0DB0">
            <w:pPr>
              <w:spacing w:before="87" w:line="219" w:lineRule="auto"/>
              <w:ind w:left="454"/>
              <w:rPr>
                <w:rFonts w:ascii="宋体" w:hAnsi="宋体" w:eastAsia="宋体" w:cs="宋体"/>
                <w:sz w:val="21"/>
                <w:szCs w:val="21"/>
              </w:rPr>
            </w:pPr>
            <w:r>
              <w:rPr>
                <w:rFonts w:ascii="宋体" w:hAnsi="宋体" w:eastAsia="宋体" w:cs="宋体"/>
                <w:b/>
                <w:bCs/>
                <w:spacing w:val="-5"/>
                <w:sz w:val="21"/>
                <w:szCs w:val="21"/>
              </w:rPr>
              <w:t>灵猫科</w:t>
            </w:r>
          </w:p>
        </w:tc>
        <w:tc>
          <w:tcPr>
            <w:tcW w:w="1491" w:type="dxa"/>
            <w:vAlign w:val="top"/>
          </w:tcPr>
          <w:p w14:paraId="542BCFF9">
            <w:pPr>
              <w:pStyle w:val="6"/>
              <w:spacing w:before="125" w:line="229" w:lineRule="auto"/>
              <w:ind w:left="252"/>
            </w:pPr>
            <w:r>
              <w:rPr>
                <w:b/>
                <w:bCs/>
                <w:spacing w:val="-1"/>
              </w:rPr>
              <w:t>Viverridae</w:t>
            </w:r>
          </w:p>
        </w:tc>
        <w:tc>
          <w:tcPr>
            <w:tcW w:w="770" w:type="dxa"/>
            <w:vAlign w:val="top"/>
          </w:tcPr>
          <w:p w14:paraId="2B8037E3">
            <w:pPr>
              <w:pStyle w:val="6"/>
              <w:spacing w:before="126" w:line="186" w:lineRule="auto"/>
              <w:ind w:left="267"/>
            </w:pPr>
            <w:r>
              <w:rPr>
                <w:b/>
                <w:bCs/>
                <w:spacing w:val="-2"/>
              </w:rPr>
              <w:t>F3</w:t>
            </w:r>
          </w:p>
        </w:tc>
        <w:tc>
          <w:tcPr>
            <w:tcW w:w="1131" w:type="dxa"/>
            <w:vAlign w:val="top"/>
          </w:tcPr>
          <w:p w14:paraId="7F4B28F1">
            <w:pPr>
              <w:spacing w:before="87" w:line="219" w:lineRule="auto"/>
              <w:ind w:left="259"/>
              <w:rPr>
                <w:rFonts w:ascii="宋体" w:hAnsi="宋体" w:eastAsia="宋体" w:cs="宋体"/>
                <w:sz w:val="21"/>
                <w:szCs w:val="21"/>
              </w:rPr>
            </w:pPr>
            <w:r>
              <w:rPr>
                <w:rFonts w:ascii="宋体" w:hAnsi="宋体" w:eastAsia="宋体" w:cs="宋体"/>
                <w:b/>
                <w:bCs/>
                <w:spacing w:val="-5"/>
                <w:sz w:val="21"/>
                <w:szCs w:val="21"/>
              </w:rPr>
              <w:t>灵猫科</w:t>
            </w:r>
          </w:p>
        </w:tc>
        <w:tc>
          <w:tcPr>
            <w:tcW w:w="1697" w:type="dxa"/>
            <w:vAlign w:val="top"/>
          </w:tcPr>
          <w:p w14:paraId="014480B4">
            <w:pPr>
              <w:pStyle w:val="6"/>
              <w:spacing w:before="126" w:line="186" w:lineRule="auto"/>
              <w:ind w:left="368"/>
            </w:pPr>
            <w:r>
              <w:rPr>
                <w:b/>
                <w:bCs/>
                <w:spacing w:val="-1"/>
              </w:rPr>
              <w:t>Viverridae</w:t>
            </w:r>
          </w:p>
        </w:tc>
        <w:tc>
          <w:tcPr>
            <w:tcW w:w="985" w:type="dxa"/>
            <w:tcBorders>
              <w:right w:val="single" w:color="000000" w:sz="12" w:space="0"/>
            </w:tcBorders>
            <w:vAlign w:val="top"/>
          </w:tcPr>
          <w:p w14:paraId="3083AB34">
            <w:pPr>
              <w:rPr>
                <w:rFonts w:ascii="Arial"/>
                <w:sz w:val="21"/>
              </w:rPr>
            </w:pPr>
          </w:p>
        </w:tc>
      </w:tr>
      <w:tr w14:paraId="69BA5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1BABF405">
            <w:pPr>
              <w:pStyle w:val="6"/>
              <w:spacing w:before="121" w:line="235" w:lineRule="auto"/>
              <w:ind w:left="322"/>
            </w:pPr>
            <w:r>
              <w:rPr>
                <w:spacing w:val="-6"/>
              </w:rPr>
              <w:t>11</w:t>
            </w:r>
          </w:p>
        </w:tc>
        <w:tc>
          <w:tcPr>
            <w:tcW w:w="1552" w:type="dxa"/>
            <w:vAlign w:val="top"/>
          </w:tcPr>
          <w:p w14:paraId="4FB80065">
            <w:pPr>
              <w:spacing w:before="88" w:line="220" w:lineRule="auto"/>
              <w:ind w:left="456"/>
              <w:rPr>
                <w:rFonts w:ascii="宋体" w:hAnsi="宋体" w:eastAsia="宋体" w:cs="宋体"/>
                <w:sz w:val="21"/>
                <w:szCs w:val="21"/>
              </w:rPr>
            </w:pPr>
            <w:r>
              <w:rPr>
                <w:rFonts w:ascii="宋体" w:hAnsi="宋体" w:eastAsia="宋体" w:cs="宋体"/>
                <w:spacing w:val="-3"/>
                <w:sz w:val="21"/>
                <w:szCs w:val="21"/>
              </w:rPr>
              <w:t>果子狸</w:t>
            </w:r>
          </w:p>
        </w:tc>
        <w:tc>
          <w:tcPr>
            <w:tcW w:w="1491" w:type="dxa"/>
            <w:vAlign w:val="top"/>
          </w:tcPr>
          <w:p w14:paraId="0423C43F">
            <w:pPr>
              <w:pStyle w:val="6"/>
              <w:spacing w:before="121" w:line="190" w:lineRule="auto"/>
              <w:ind w:left="51"/>
            </w:pPr>
            <w:r>
              <w:rPr>
                <w:i/>
                <w:iCs/>
              </w:rPr>
              <w:t>Paguma</w:t>
            </w:r>
            <w:r>
              <w:rPr>
                <w:i/>
                <w:iCs/>
                <w:spacing w:val="4"/>
              </w:rPr>
              <w:t xml:space="preserve"> </w:t>
            </w:r>
            <w:r>
              <w:rPr>
                <w:i/>
                <w:iCs/>
              </w:rPr>
              <w:t>larvata</w:t>
            </w:r>
          </w:p>
        </w:tc>
        <w:tc>
          <w:tcPr>
            <w:tcW w:w="770" w:type="dxa"/>
            <w:vAlign w:val="top"/>
          </w:tcPr>
          <w:p w14:paraId="6E9E9F00">
            <w:pPr>
              <w:pStyle w:val="6"/>
              <w:spacing w:before="121" w:line="235" w:lineRule="auto"/>
              <w:ind w:left="330"/>
            </w:pPr>
            <w:r>
              <w:t>4</w:t>
            </w:r>
          </w:p>
        </w:tc>
        <w:tc>
          <w:tcPr>
            <w:tcW w:w="1131" w:type="dxa"/>
            <w:vAlign w:val="top"/>
          </w:tcPr>
          <w:p w14:paraId="6BC35B4E">
            <w:pPr>
              <w:spacing w:before="88" w:line="220" w:lineRule="auto"/>
              <w:ind w:left="261"/>
              <w:rPr>
                <w:rFonts w:ascii="宋体" w:hAnsi="宋体" w:eastAsia="宋体" w:cs="宋体"/>
                <w:sz w:val="21"/>
                <w:szCs w:val="21"/>
              </w:rPr>
            </w:pPr>
            <w:r>
              <w:rPr>
                <w:rFonts w:ascii="宋体" w:hAnsi="宋体" w:eastAsia="宋体" w:cs="宋体"/>
                <w:spacing w:val="-3"/>
                <w:sz w:val="21"/>
                <w:szCs w:val="21"/>
              </w:rPr>
              <w:t>果子狸</w:t>
            </w:r>
          </w:p>
        </w:tc>
        <w:tc>
          <w:tcPr>
            <w:tcW w:w="1697" w:type="dxa"/>
            <w:vAlign w:val="top"/>
          </w:tcPr>
          <w:p w14:paraId="63310301">
            <w:pPr>
              <w:pStyle w:val="6"/>
              <w:spacing w:before="121" w:line="190" w:lineRule="auto"/>
              <w:ind w:left="203"/>
            </w:pPr>
            <w:r>
              <w:rPr>
                <w:spacing w:val="-1"/>
              </w:rPr>
              <w:t>Paguma larvata</w:t>
            </w:r>
          </w:p>
        </w:tc>
        <w:tc>
          <w:tcPr>
            <w:tcW w:w="985" w:type="dxa"/>
            <w:tcBorders>
              <w:right w:val="single" w:color="000000" w:sz="12" w:space="0"/>
            </w:tcBorders>
            <w:vAlign w:val="top"/>
          </w:tcPr>
          <w:p w14:paraId="5EA353DA">
            <w:pPr>
              <w:rPr>
                <w:rFonts w:ascii="Arial"/>
                <w:sz w:val="21"/>
              </w:rPr>
            </w:pPr>
          </w:p>
        </w:tc>
      </w:tr>
      <w:tr w14:paraId="46915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6D615075">
            <w:pPr>
              <w:rPr>
                <w:rFonts w:ascii="Arial"/>
                <w:sz w:val="21"/>
              </w:rPr>
            </w:pPr>
          </w:p>
        </w:tc>
        <w:tc>
          <w:tcPr>
            <w:tcW w:w="1552" w:type="dxa"/>
            <w:vAlign w:val="top"/>
          </w:tcPr>
          <w:p w14:paraId="1A7F7EF9">
            <w:pPr>
              <w:rPr>
                <w:rFonts w:ascii="Arial"/>
                <w:sz w:val="21"/>
              </w:rPr>
            </w:pPr>
          </w:p>
        </w:tc>
        <w:tc>
          <w:tcPr>
            <w:tcW w:w="1491" w:type="dxa"/>
            <w:vAlign w:val="top"/>
          </w:tcPr>
          <w:p w14:paraId="58ECB298">
            <w:pPr>
              <w:rPr>
                <w:rFonts w:ascii="Arial"/>
                <w:sz w:val="21"/>
              </w:rPr>
            </w:pPr>
          </w:p>
        </w:tc>
        <w:tc>
          <w:tcPr>
            <w:tcW w:w="770" w:type="dxa"/>
            <w:vAlign w:val="top"/>
          </w:tcPr>
          <w:p w14:paraId="65EF9CA7">
            <w:pPr>
              <w:pStyle w:val="6"/>
              <w:spacing w:before="128" w:line="186" w:lineRule="auto"/>
              <w:ind w:left="267"/>
            </w:pPr>
            <w:r>
              <w:rPr>
                <w:b/>
                <w:bCs/>
                <w:spacing w:val="-2"/>
              </w:rPr>
              <w:t>F4</w:t>
            </w:r>
          </w:p>
        </w:tc>
        <w:tc>
          <w:tcPr>
            <w:tcW w:w="1131" w:type="dxa"/>
            <w:vAlign w:val="top"/>
          </w:tcPr>
          <w:p w14:paraId="65801387">
            <w:pPr>
              <w:spacing w:before="89" w:line="219" w:lineRule="auto"/>
              <w:ind w:left="360"/>
              <w:rPr>
                <w:rFonts w:ascii="宋体" w:hAnsi="宋体" w:eastAsia="宋体" w:cs="宋体"/>
                <w:sz w:val="21"/>
                <w:szCs w:val="21"/>
              </w:rPr>
            </w:pPr>
            <w:r>
              <w:rPr>
                <w:rFonts w:ascii="宋体" w:hAnsi="宋体" w:eastAsia="宋体" w:cs="宋体"/>
                <w:b/>
                <w:bCs/>
                <w:spacing w:val="-4"/>
                <w:sz w:val="21"/>
                <w:szCs w:val="21"/>
              </w:rPr>
              <w:t>猫科</w:t>
            </w:r>
          </w:p>
        </w:tc>
        <w:tc>
          <w:tcPr>
            <w:tcW w:w="1697" w:type="dxa"/>
            <w:vAlign w:val="top"/>
          </w:tcPr>
          <w:p w14:paraId="13E677B7">
            <w:pPr>
              <w:pStyle w:val="6"/>
              <w:spacing w:before="128" w:line="186" w:lineRule="auto"/>
              <w:ind w:left="529"/>
            </w:pPr>
            <w:r>
              <w:rPr>
                <w:b/>
                <w:bCs/>
                <w:spacing w:val="-1"/>
              </w:rPr>
              <w:t>Felidae</w:t>
            </w:r>
          </w:p>
        </w:tc>
        <w:tc>
          <w:tcPr>
            <w:tcW w:w="985" w:type="dxa"/>
            <w:tcBorders>
              <w:right w:val="single" w:color="000000" w:sz="12" w:space="0"/>
            </w:tcBorders>
            <w:vAlign w:val="top"/>
          </w:tcPr>
          <w:p w14:paraId="20497D92">
            <w:pPr>
              <w:rPr>
                <w:rFonts w:ascii="Arial"/>
                <w:sz w:val="21"/>
              </w:rPr>
            </w:pPr>
          </w:p>
        </w:tc>
      </w:tr>
      <w:tr w14:paraId="33A0D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7A6D4128">
            <w:pPr>
              <w:rPr>
                <w:rFonts w:ascii="Arial"/>
                <w:sz w:val="21"/>
              </w:rPr>
            </w:pPr>
          </w:p>
        </w:tc>
        <w:tc>
          <w:tcPr>
            <w:tcW w:w="1552" w:type="dxa"/>
            <w:vAlign w:val="top"/>
          </w:tcPr>
          <w:p w14:paraId="542F81FA">
            <w:pPr>
              <w:rPr>
                <w:rFonts w:ascii="Arial"/>
                <w:sz w:val="21"/>
              </w:rPr>
            </w:pPr>
          </w:p>
        </w:tc>
        <w:tc>
          <w:tcPr>
            <w:tcW w:w="1491" w:type="dxa"/>
            <w:vAlign w:val="top"/>
          </w:tcPr>
          <w:p w14:paraId="00E97E8F">
            <w:pPr>
              <w:rPr>
                <w:rFonts w:ascii="Arial"/>
                <w:sz w:val="21"/>
              </w:rPr>
            </w:pPr>
          </w:p>
        </w:tc>
        <w:tc>
          <w:tcPr>
            <w:tcW w:w="770" w:type="dxa"/>
            <w:vAlign w:val="top"/>
          </w:tcPr>
          <w:p w14:paraId="522DA417">
            <w:pPr>
              <w:pStyle w:val="6"/>
              <w:spacing w:before="222" w:line="232" w:lineRule="auto"/>
              <w:ind w:left="337"/>
            </w:pPr>
            <w:r>
              <w:t>5</w:t>
            </w:r>
          </w:p>
        </w:tc>
        <w:tc>
          <w:tcPr>
            <w:tcW w:w="1131" w:type="dxa"/>
            <w:vAlign w:val="top"/>
          </w:tcPr>
          <w:p w14:paraId="3F334D65">
            <w:pPr>
              <w:spacing w:before="187" w:line="220" w:lineRule="auto"/>
              <w:ind w:left="362"/>
              <w:rPr>
                <w:rFonts w:ascii="宋体" w:hAnsi="宋体" w:eastAsia="宋体" w:cs="宋体"/>
                <w:sz w:val="21"/>
                <w:szCs w:val="21"/>
              </w:rPr>
            </w:pPr>
            <w:r>
              <w:rPr>
                <w:rFonts w:ascii="宋体" w:hAnsi="宋体" w:eastAsia="宋体" w:cs="宋体"/>
                <w:spacing w:val="-3"/>
                <w:sz w:val="21"/>
                <w:szCs w:val="21"/>
              </w:rPr>
              <w:t>豹猫</w:t>
            </w:r>
          </w:p>
        </w:tc>
        <w:tc>
          <w:tcPr>
            <w:tcW w:w="1697" w:type="dxa"/>
            <w:vAlign w:val="top"/>
          </w:tcPr>
          <w:p w14:paraId="2C40AD9F">
            <w:pPr>
              <w:pStyle w:val="6"/>
              <w:spacing w:before="101" w:line="190" w:lineRule="auto"/>
              <w:ind w:left="340"/>
            </w:pPr>
            <w:r>
              <w:rPr>
                <w:spacing w:val="-1"/>
              </w:rPr>
              <w:t>Prionailurus</w:t>
            </w:r>
          </w:p>
          <w:p w14:paraId="286A90CA">
            <w:pPr>
              <w:pStyle w:val="6"/>
              <w:spacing w:before="50" w:line="190" w:lineRule="auto"/>
              <w:ind w:left="360"/>
            </w:pPr>
            <w:r>
              <w:t>bengalensis</w:t>
            </w:r>
          </w:p>
        </w:tc>
        <w:tc>
          <w:tcPr>
            <w:tcW w:w="985" w:type="dxa"/>
            <w:tcBorders>
              <w:right w:val="single" w:color="000000" w:sz="12" w:space="0"/>
            </w:tcBorders>
            <w:vAlign w:val="top"/>
          </w:tcPr>
          <w:p w14:paraId="0681099D">
            <w:pPr>
              <w:pStyle w:val="6"/>
              <w:spacing w:before="226" w:line="179" w:lineRule="auto"/>
              <w:ind w:left="70"/>
            </w:pPr>
            <w:r>
              <w:rPr>
                <w:spacing w:val="-5"/>
              </w:rPr>
              <w:t>Ⅱ</w:t>
            </w:r>
            <w:r>
              <w:rPr>
                <w:spacing w:val="-30"/>
              </w:rPr>
              <w:t xml:space="preserve"> </w:t>
            </w:r>
            <w:r>
              <w:rPr>
                <w:rFonts w:ascii="宋体" w:hAnsi="宋体" w:eastAsia="宋体" w:cs="宋体"/>
                <w:spacing w:val="-5"/>
              </w:rPr>
              <w:t>、</w:t>
            </w:r>
            <w:r>
              <w:rPr>
                <w:spacing w:val="-5"/>
              </w:rPr>
              <w:t>VU-C</w:t>
            </w:r>
          </w:p>
        </w:tc>
      </w:tr>
      <w:tr w14:paraId="6A466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4070DA63">
            <w:pPr>
              <w:pStyle w:val="6"/>
              <w:spacing w:before="129" w:line="186" w:lineRule="auto"/>
              <w:ind w:left="275"/>
            </w:pPr>
            <w:r>
              <w:rPr>
                <w:b/>
                <w:bCs/>
                <w:spacing w:val="-3"/>
              </w:rPr>
              <w:t>O4</w:t>
            </w:r>
          </w:p>
        </w:tc>
        <w:tc>
          <w:tcPr>
            <w:tcW w:w="1552" w:type="dxa"/>
            <w:vAlign w:val="top"/>
          </w:tcPr>
          <w:p w14:paraId="2E66B6B0">
            <w:pPr>
              <w:spacing w:before="91" w:line="222" w:lineRule="auto"/>
              <w:ind w:left="460"/>
              <w:rPr>
                <w:rFonts w:ascii="宋体" w:hAnsi="宋体" w:eastAsia="宋体" w:cs="宋体"/>
                <w:sz w:val="21"/>
                <w:szCs w:val="21"/>
              </w:rPr>
            </w:pPr>
            <w:r>
              <w:rPr>
                <w:rFonts w:ascii="宋体" w:hAnsi="宋体" w:eastAsia="宋体" w:cs="宋体"/>
                <w:b/>
                <w:bCs/>
                <w:spacing w:val="-6"/>
                <w:sz w:val="21"/>
                <w:szCs w:val="21"/>
              </w:rPr>
              <w:t>啮齿目</w:t>
            </w:r>
          </w:p>
        </w:tc>
        <w:tc>
          <w:tcPr>
            <w:tcW w:w="1491" w:type="dxa"/>
            <w:vAlign w:val="top"/>
          </w:tcPr>
          <w:p w14:paraId="52D4775D">
            <w:pPr>
              <w:pStyle w:val="6"/>
              <w:spacing w:before="128" w:line="187" w:lineRule="auto"/>
              <w:ind w:left="330"/>
            </w:pPr>
            <w:r>
              <w:rPr>
                <w:b/>
                <w:bCs/>
                <w:spacing w:val="-1"/>
              </w:rPr>
              <w:t>Rodentia</w:t>
            </w:r>
          </w:p>
        </w:tc>
        <w:tc>
          <w:tcPr>
            <w:tcW w:w="770" w:type="dxa"/>
            <w:vAlign w:val="top"/>
          </w:tcPr>
          <w:p w14:paraId="1766D35C">
            <w:pPr>
              <w:pStyle w:val="6"/>
              <w:spacing w:before="129" w:line="186" w:lineRule="auto"/>
              <w:ind w:left="252"/>
            </w:pPr>
            <w:r>
              <w:rPr>
                <w:b/>
                <w:bCs/>
                <w:spacing w:val="-3"/>
              </w:rPr>
              <w:t>O3</w:t>
            </w:r>
          </w:p>
        </w:tc>
        <w:tc>
          <w:tcPr>
            <w:tcW w:w="1131" w:type="dxa"/>
            <w:vAlign w:val="top"/>
          </w:tcPr>
          <w:p w14:paraId="03D22118">
            <w:pPr>
              <w:spacing w:before="91" w:line="222" w:lineRule="auto"/>
              <w:ind w:left="264"/>
              <w:rPr>
                <w:rFonts w:ascii="宋体" w:hAnsi="宋体" w:eastAsia="宋体" w:cs="宋体"/>
                <w:sz w:val="21"/>
                <w:szCs w:val="21"/>
              </w:rPr>
            </w:pPr>
            <w:r>
              <w:rPr>
                <w:rFonts w:ascii="宋体" w:hAnsi="宋体" w:eastAsia="宋体" w:cs="宋体"/>
                <w:b/>
                <w:bCs/>
                <w:spacing w:val="-6"/>
                <w:sz w:val="21"/>
                <w:szCs w:val="21"/>
              </w:rPr>
              <w:t>啮齿目</w:t>
            </w:r>
          </w:p>
        </w:tc>
        <w:tc>
          <w:tcPr>
            <w:tcW w:w="1697" w:type="dxa"/>
            <w:vAlign w:val="top"/>
          </w:tcPr>
          <w:p w14:paraId="182B1950">
            <w:pPr>
              <w:pStyle w:val="6"/>
              <w:spacing w:before="128" w:line="187" w:lineRule="auto"/>
              <w:ind w:left="446"/>
            </w:pPr>
            <w:r>
              <w:rPr>
                <w:b/>
                <w:bCs/>
                <w:spacing w:val="-1"/>
              </w:rPr>
              <w:t>Rodentia</w:t>
            </w:r>
          </w:p>
        </w:tc>
        <w:tc>
          <w:tcPr>
            <w:tcW w:w="985" w:type="dxa"/>
            <w:tcBorders>
              <w:right w:val="single" w:color="000000" w:sz="12" w:space="0"/>
            </w:tcBorders>
            <w:vAlign w:val="top"/>
          </w:tcPr>
          <w:p w14:paraId="5F64387C">
            <w:pPr>
              <w:rPr>
                <w:rFonts w:ascii="Arial"/>
                <w:sz w:val="21"/>
              </w:rPr>
            </w:pPr>
          </w:p>
        </w:tc>
      </w:tr>
      <w:tr w14:paraId="63FF0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7" w:type="dxa"/>
            <w:tcBorders>
              <w:left w:val="single" w:color="000000" w:sz="12" w:space="0"/>
            </w:tcBorders>
            <w:vAlign w:val="top"/>
          </w:tcPr>
          <w:p w14:paraId="1AB0B6AB">
            <w:pPr>
              <w:pStyle w:val="6"/>
              <w:spacing w:before="134" w:line="183" w:lineRule="auto"/>
              <w:ind w:left="290"/>
            </w:pPr>
            <w:r>
              <w:rPr>
                <w:b/>
                <w:bCs/>
                <w:spacing w:val="-2"/>
              </w:rPr>
              <w:t>F5</w:t>
            </w:r>
          </w:p>
        </w:tc>
        <w:tc>
          <w:tcPr>
            <w:tcW w:w="1552" w:type="dxa"/>
            <w:vAlign w:val="top"/>
          </w:tcPr>
          <w:p w14:paraId="05C3FE74">
            <w:pPr>
              <w:spacing w:before="92" w:line="219" w:lineRule="auto"/>
              <w:ind w:left="452"/>
              <w:rPr>
                <w:rFonts w:ascii="宋体" w:hAnsi="宋体" w:eastAsia="宋体" w:cs="宋体"/>
                <w:sz w:val="21"/>
                <w:szCs w:val="21"/>
              </w:rPr>
            </w:pPr>
            <w:r>
              <w:rPr>
                <w:rFonts w:ascii="宋体" w:hAnsi="宋体" w:eastAsia="宋体" w:cs="宋体"/>
                <w:b/>
                <w:bCs/>
                <w:spacing w:val="-4"/>
                <w:sz w:val="21"/>
                <w:szCs w:val="21"/>
              </w:rPr>
              <w:t>松鼠科</w:t>
            </w:r>
          </w:p>
        </w:tc>
        <w:tc>
          <w:tcPr>
            <w:tcW w:w="1491" w:type="dxa"/>
            <w:vAlign w:val="top"/>
          </w:tcPr>
          <w:p w14:paraId="7A2BB220">
            <w:pPr>
              <w:pStyle w:val="6"/>
              <w:spacing w:before="130" w:line="187" w:lineRule="auto"/>
              <w:ind w:left="320"/>
            </w:pPr>
            <w:r>
              <w:rPr>
                <w:b/>
                <w:bCs/>
                <w:spacing w:val="-2"/>
              </w:rPr>
              <w:t>Sciuridae</w:t>
            </w:r>
          </w:p>
        </w:tc>
        <w:tc>
          <w:tcPr>
            <w:tcW w:w="770" w:type="dxa"/>
            <w:vAlign w:val="top"/>
          </w:tcPr>
          <w:p w14:paraId="46A0309A">
            <w:pPr>
              <w:pStyle w:val="6"/>
              <w:spacing w:before="134" w:line="183" w:lineRule="auto"/>
              <w:ind w:left="267"/>
            </w:pPr>
            <w:r>
              <w:rPr>
                <w:b/>
                <w:bCs/>
                <w:spacing w:val="-2"/>
              </w:rPr>
              <w:t>F5</w:t>
            </w:r>
          </w:p>
        </w:tc>
        <w:tc>
          <w:tcPr>
            <w:tcW w:w="1131" w:type="dxa"/>
            <w:vAlign w:val="top"/>
          </w:tcPr>
          <w:p w14:paraId="18827F06">
            <w:pPr>
              <w:spacing w:before="92" w:line="219" w:lineRule="auto"/>
              <w:ind w:left="256"/>
              <w:rPr>
                <w:rFonts w:ascii="宋体" w:hAnsi="宋体" w:eastAsia="宋体" w:cs="宋体"/>
                <w:sz w:val="21"/>
                <w:szCs w:val="21"/>
              </w:rPr>
            </w:pPr>
            <w:r>
              <w:rPr>
                <w:rFonts w:ascii="宋体" w:hAnsi="宋体" w:eastAsia="宋体" w:cs="宋体"/>
                <w:b/>
                <w:bCs/>
                <w:spacing w:val="-4"/>
                <w:sz w:val="21"/>
                <w:szCs w:val="21"/>
              </w:rPr>
              <w:t>松鼠科</w:t>
            </w:r>
          </w:p>
        </w:tc>
        <w:tc>
          <w:tcPr>
            <w:tcW w:w="1697" w:type="dxa"/>
            <w:vAlign w:val="top"/>
          </w:tcPr>
          <w:p w14:paraId="5B908B06">
            <w:pPr>
              <w:pStyle w:val="6"/>
              <w:spacing w:before="130" w:line="187" w:lineRule="auto"/>
              <w:ind w:left="435"/>
            </w:pPr>
            <w:r>
              <w:rPr>
                <w:b/>
                <w:bCs/>
                <w:spacing w:val="-2"/>
              </w:rPr>
              <w:t>Sciuridae</w:t>
            </w:r>
          </w:p>
        </w:tc>
        <w:tc>
          <w:tcPr>
            <w:tcW w:w="985" w:type="dxa"/>
            <w:tcBorders>
              <w:right w:val="single" w:color="000000" w:sz="12" w:space="0"/>
            </w:tcBorders>
            <w:vAlign w:val="top"/>
          </w:tcPr>
          <w:p w14:paraId="6EC614A7">
            <w:pPr>
              <w:rPr>
                <w:rFonts w:ascii="Arial"/>
                <w:sz w:val="21"/>
              </w:rPr>
            </w:pPr>
          </w:p>
        </w:tc>
      </w:tr>
      <w:tr w14:paraId="74411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5859820B">
            <w:pPr>
              <w:pStyle w:val="6"/>
              <w:spacing w:before="224" w:line="235" w:lineRule="auto"/>
              <w:ind w:left="322"/>
            </w:pPr>
            <w:r>
              <w:rPr>
                <w:spacing w:val="-6"/>
              </w:rPr>
              <w:t>12</w:t>
            </w:r>
          </w:p>
        </w:tc>
        <w:tc>
          <w:tcPr>
            <w:tcW w:w="1552" w:type="dxa"/>
            <w:vAlign w:val="top"/>
          </w:tcPr>
          <w:p w14:paraId="77B1FDB6">
            <w:pPr>
              <w:spacing w:before="190" w:line="220" w:lineRule="auto"/>
              <w:ind w:left="354"/>
              <w:rPr>
                <w:rFonts w:ascii="宋体" w:hAnsi="宋体" w:eastAsia="宋体" w:cs="宋体"/>
                <w:sz w:val="21"/>
                <w:szCs w:val="21"/>
              </w:rPr>
            </w:pPr>
            <w:r>
              <w:rPr>
                <w:rFonts w:ascii="宋体" w:hAnsi="宋体" w:eastAsia="宋体" w:cs="宋体"/>
                <w:spacing w:val="-3"/>
                <w:sz w:val="21"/>
                <w:szCs w:val="21"/>
              </w:rPr>
              <w:t>赤腹松鼠</w:t>
            </w:r>
          </w:p>
        </w:tc>
        <w:tc>
          <w:tcPr>
            <w:tcW w:w="1491" w:type="dxa"/>
            <w:vAlign w:val="top"/>
          </w:tcPr>
          <w:p w14:paraId="255537B9">
            <w:pPr>
              <w:pStyle w:val="6"/>
              <w:spacing w:before="104" w:line="190" w:lineRule="auto"/>
              <w:ind w:left="212"/>
            </w:pPr>
            <w:r>
              <w:rPr>
                <w:i/>
                <w:iCs/>
                <w:spacing w:val="-2"/>
              </w:rPr>
              <w:t>Callosciurus</w:t>
            </w:r>
          </w:p>
          <w:p w14:paraId="6D0CFF57">
            <w:pPr>
              <w:pStyle w:val="6"/>
              <w:spacing w:before="50" w:line="190" w:lineRule="auto"/>
              <w:ind w:left="293"/>
            </w:pPr>
            <w:r>
              <w:rPr>
                <w:i/>
                <w:iCs/>
                <w:spacing w:val="-1"/>
              </w:rPr>
              <w:t>erythraeus</w:t>
            </w:r>
          </w:p>
        </w:tc>
        <w:tc>
          <w:tcPr>
            <w:tcW w:w="770" w:type="dxa"/>
            <w:vAlign w:val="top"/>
          </w:tcPr>
          <w:p w14:paraId="49489F86">
            <w:pPr>
              <w:pStyle w:val="6"/>
              <w:spacing w:before="225" w:line="232" w:lineRule="auto"/>
              <w:ind w:left="336"/>
            </w:pPr>
            <w:r>
              <w:t>6</w:t>
            </w:r>
          </w:p>
        </w:tc>
        <w:tc>
          <w:tcPr>
            <w:tcW w:w="1131" w:type="dxa"/>
            <w:vAlign w:val="top"/>
          </w:tcPr>
          <w:p w14:paraId="7CD6E662">
            <w:pPr>
              <w:spacing w:before="190" w:line="220" w:lineRule="auto"/>
              <w:ind w:left="159"/>
              <w:rPr>
                <w:rFonts w:ascii="宋体" w:hAnsi="宋体" w:eastAsia="宋体" w:cs="宋体"/>
                <w:sz w:val="21"/>
                <w:szCs w:val="21"/>
              </w:rPr>
            </w:pPr>
            <w:r>
              <w:rPr>
                <w:rFonts w:ascii="宋体" w:hAnsi="宋体" w:eastAsia="宋体" w:cs="宋体"/>
                <w:spacing w:val="-3"/>
                <w:sz w:val="21"/>
                <w:szCs w:val="21"/>
              </w:rPr>
              <w:t>赤腹松鼠</w:t>
            </w:r>
          </w:p>
        </w:tc>
        <w:tc>
          <w:tcPr>
            <w:tcW w:w="1697" w:type="dxa"/>
            <w:vAlign w:val="top"/>
          </w:tcPr>
          <w:p w14:paraId="791C661E">
            <w:pPr>
              <w:pStyle w:val="6"/>
              <w:spacing w:before="104" w:line="190" w:lineRule="auto"/>
              <w:ind w:left="333"/>
            </w:pPr>
            <w:r>
              <w:rPr>
                <w:spacing w:val="-1"/>
              </w:rPr>
              <w:t>Callosciurus</w:t>
            </w:r>
          </w:p>
          <w:p w14:paraId="7FFDDB1A">
            <w:pPr>
              <w:pStyle w:val="6"/>
              <w:spacing w:before="50" w:line="190" w:lineRule="auto"/>
              <w:ind w:left="421"/>
            </w:pPr>
            <w:r>
              <w:rPr>
                <w:spacing w:val="-1"/>
              </w:rPr>
              <w:t>erythraeus</w:t>
            </w:r>
          </w:p>
        </w:tc>
        <w:tc>
          <w:tcPr>
            <w:tcW w:w="985" w:type="dxa"/>
            <w:tcBorders>
              <w:right w:val="single" w:color="000000" w:sz="12" w:space="0"/>
            </w:tcBorders>
            <w:vAlign w:val="top"/>
          </w:tcPr>
          <w:p w14:paraId="1F6F2889">
            <w:pPr>
              <w:rPr>
                <w:rFonts w:ascii="Arial"/>
                <w:sz w:val="21"/>
              </w:rPr>
            </w:pPr>
          </w:p>
        </w:tc>
      </w:tr>
      <w:tr w14:paraId="76E5E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2881AE21">
            <w:pPr>
              <w:pStyle w:val="6"/>
              <w:spacing w:before="226" w:line="232" w:lineRule="auto"/>
              <w:ind w:left="322"/>
            </w:pPr>
            <w:r>
              <w:rPr>
                <w:spacing w:val="-6"/>
              </w:rPr>
              <w:t>13</w:t>
            </w:r>
          </w:p>
        </w:tc>
        <w:tc>
          <w:tcPr>
            <w:tcW w:w="1552" w:type="dxa"/>
            <w:vAlign w:val="top"/>
          </w:tcPr>
          <w:p w14:paraId="07EC9E61">
            <w:pPr>
              <w:spacing w:before="192" w:line="220" w:lineRule="auto"/>
              <w:ind w:left="256"/>
              <w:rPr>
                <w:rFonts w:ascii="宋体" w:hAnsi="宋体" w:eastAsia="宋体" w:cs="宋体"/>
                <w:sz w:val="21"/>
                <w:szCs w:val="21"/>
              </w:rPr>
            </w:pPr>
            <w:r>
              <w:rPr>
                <w:rFonts w:ascii="宋体" w:hAnsi="宋体" w:eastAsia="宋体" w:cs="宋体"/>
                <w:spacing w:val="-4"/>
                <w:sz w:val="21"/>
                <w:szCs w:val="21"/>
              </w:rPr>
              <w:t>隐纹花松鼠</w:t>
            </w:r>
          </w:p>
        </w:tc>
        <w:tc>
          <w:tcPr>
            <w:tcW w:w="1491" w:type="dxa"/>
            <w:vAlign w:val="top"/>
          </w:tcPr>
          <w:p w14:paraId="0D18F93C">
            <w:pPr>
              <w:pStyle w:val="6"/>
              <w:spacing w:before="105" w:line="190" w:lineRule="auto"/>
              <w:ind w:left="388"/>
            </w:pPr>
            <w:r>
              <w:rPr>
                <w:i/>
                <w:iCs/>
                <w:spacing w:val="-3"/>
              </w:rPr>
              <w:t>Tamiops</w:t>
            </w:r>
          </w:p>
          <w:p w14:paraId="2317787C">
            <w:pPr>
              <w:pStyle w:val="6"/>
              <w:spacing w:before="51" w:line="207" w:lineRule="auto"/>
              <w:ind w:left="359"/>
            </w:pPr>
            <w:r>
              <w:rPr>
                <w:i/>
                <w:iCs/>
              </w:rPr>
              <w:t>swinhoei</w:t>
            </w:r>
          </w:p>
        </w:tc>
        <w:tc>
          <w:tcPr>
            <w:tcW w:w="770" w:type="dxa"/>
            <w:vAlign w:val="top"/>
          </w:tcPr>
          <w:p w14:paraId="5576C216">
            <w:pPr>
              <w:rPr>
                <w:rFonts w:ascii="Arial"/>
                <w:sz w:val="21"/>
              </w:rPr>
            </w:pPr>
          </w:p>
        </w:tc>
        <w:tc>
          <w:tcPr>
            <w:tcW w:w="1131" w:type="dxa"/>
            <w:vAlign w:val="top"/>
          </w:tcPr>
          <w:p w14:paraId="3048EAF4">
            <w:pPr>
              <w:rPr>
                <w:rFonts w:ascii="Arial"/>
                <w:sz w:val="21"/>
              </w:rPr>
            </w:pPr>
          </w:p>
        </w:tc>
        <w:tc>
          <w:tcPr>
            <w:tcW w:w="1697" w:type="dxa"/>
            <w:vAlign w:val="top"/>
          </w:tcPr>
          <w:p w14:paraId="25EED0B8">
            <w:pPr>
              <w:rPr>
                <w:rFonts w:ascii="Arial"/>
                <w:sz w:val="21"/>
              </w:rPr>
            </w:pPr>
          </w:p>
        </w:tc>
        <w:tc>
          <w:tcPr>
            <w:tcW w:w="985" w:type="dxa"/>
            <w:tcBorders>
              <w:right w:val="single" w:color="000000" w:sz="12" w:space="0"/>
            </w:tcBorders>
            <w:vAlign w:val="top"/>
          </w:tcPr>
          <w:p w14:paraId="192D28F9">
            <w:pPr>
              <w:rPr>
                <w:rFonts w:ascii="Arial"/>
                <w:sz w:val="21"/>
              </w:rPr>
            </w:pPr>
          </w:p>
        </w:tc>
      </w:tr>
      <w:tr w14:paraId="779EB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47" w:type="dxa"/>
            <w:tcBorders>
              <w:left w:val="single" w:color="000000" w:sz="12" w:space="0"/>
            </w:tcBorders>
            <w:vAlign w:val="top"/>
          </w:tcPr>
          <w:p w14:paraId="65091D46">
            <w:pPr>
              <w:pStyle w:val="6"/>
              <w:spacing w:before="258" w:line="235" w:lineRule="auto"/>
              <w:ind w:left="322"/>
            </w:pPr>
            <w:r>
              <w:rPr>
                <w:spacing w:val="-6"/>
              </w:rPr>
              <w:t>14</w:t>
            </w:r>
          </w:p>
        </w:tc>
        <w:tc>
          <w:tcPr>
            <w:tcW w:w="1552" w:type="dxa"/>
            <w:vAlign w:val="top"/>
          </w:tcPr>
          <w:p w14:paraId="35405D7A">
            <w:pPr>
              <w:spacing w:before="224" w:line="220" w:lineRule="auto"/>
              <w:ind w:left="140"/>
              <w:rPr>
                <w:rFonts w:ascii="宋体" w:hAnsi="宋体" w:eastAsia="宋体" w:cs="宋体"/>
                <w:sz w:val="21"/>
                <w:szCs w:val="21"/>
              </w:rPr>
            </w:pPr>
            <w:r>
              <w:rPr>
                <w:rFonts w:ascii="宋体" w:hAnsi="宋体" w:eastAsia="宋体" w:cs="宋体"/>
                <w:spacing w:val="-2"/>
                <w:sz w:val="21"/>
                <w:szCs w:val="21"/>
              </w:rPr>
              <w:t>珀氏长吻松鼠</w:t>
            </w:r>
          </w:p>
        </w:tc>
        <w:tc>
          <w:tcPr>
            <w:tcW w:w="1491" w:type="dxa"/>
            <w:vAlign w:val="top"/>
          </w:tcPr>
          <w:p w14:paraId="1CEDEC20">
            <w:pPr>
              <w:pStyle w:val="6"/>
              <w:spacing w:before="138" w:line="190" w:lineRule="auto"/>
              <w:ind w:left="274"/>
            </w:pPr>
            <w:r>
              <w:rPr>
                <w:i/>
                <w:iCs/>
              </w:rPr>
              <w:t>Dremomys</w:t>
            </w:r>
          </w:p>
          <w:p w14:paraId="5D845E9F">
            <w:pPr>
              <w:pStyle w:val="6"/>
              <w:spacing w:before="50" w:line="190" w:lineRule="auto"/>
              <w:ind w:left="444"/>
            </w:pPr>
            <w:r>
              <w:rPr>
                <w:i/>
                <w:iCs/>
                <w:spacing w:val="3"/>
              </w:rPr>
              <w:t>pernyi</w:t>
            </w:r>
          </w:p>
        </w:tc>
        <w:tc>
          <w:tcPr>
            <w:tcW w:w="770" w:type="dxa"/>
            <w:vAlign w:val="top"/>
          </w:tcPr>
          <w:p w14:paraId="00212C71">
            <w:pPr>
              <w:pStyle w:val="6"/>
              <w:spacing w:before="258" w:line="232" w:lineRule="auto"/>
              <w:ind w:left="335"/>
            </w:pPr>
            <w:r>
              <w:t>7</w:t>
            </w:r>
          </w:p>
        </w:tc>
        <w:tc>
          <w:tcPr>
            <w:tcW w:w="1131" w:type="dxa"/>
            <w:vAlign w:val="top"/>
          </w:tcPr>
          <w:p w14:paraId="72EF804B">
            <w:pPr>
              <w:spacing w:before="90" w:line="232" w:lineRule="auto"/>
              <w:ind w:left="363" w:right="136" w:hanging="209"/>
              <w:rPr>
                <w:rFonts w:ascii="宋体" w:hAnsi="宋体" w:eastAsia="宋体" w:cs="宋体"/>
                <w:sz w:val="21"/>
                <w:szCs w:val="21"/>
              </w:rPr>
            </w:pPr>
            <w:r>
              <w:rPr>
                <w:rFonts w:ascii="宋体" w:hAnsi="宋体" w:eastAsia="宋体" w:cs="宋体"/>
                <w:spacing w:val="-3"/>
                <w:sz w:val="21"/>
                <w:szCs w:val="21"/>
              </w:rPr>
              <w:t>珀氏长吻松鼠</w:t>
            </w:r>
          </w:p>
        </w:tc>
        <w:tc>
          <w:tcPr>
            <w:tcW w:w="1697" w:type="dxa"/>
            <w:vAlign w:val="top"/>
          </w:tcPr>
          <w:p w14:paraId="0AC71CDD">
            <w:pPr>
              <w:pStyle w:val="6"/>
              <w:spacing w:before="258" w:line="190" w:lineRule="auto"/>
              <w:ind w:left="93"/>
            </w:pPr>
            <w:r>
              <w:rPr>
                <w:spacing w:val="-1"/>
              </w:rPr>
              <w:t>Dremomys pernyi</w:t>
            </w:r>
          </w:p>
        </w:tc>
        <w:tc>
          <w:tcPr>
            <w:tcW w:w="985" w:type="dxa"/>
            <w:tcBorders>
              <w:right w:val="single" w:color="000000" w:sz="12" w:space="0"/>
            </w:tcBorders>
            <w:vAlign w:val="top"/>
          </w:tcPr>
          <w:p w14:paraId="51AD6EE3">
            <w:pPr>
              <w:rPr>
                <w:rFonts w:ascii="Arial"/>
                <w:sz w:val="21"/>
              </w:rPr>
            </w:pPr>
          </w:p>
        </w:tc>
      </w:tr>
      <w:tr w14:paraId="30C2B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01EC810F">
            <w:pPr>
              <w:pStyle w:val="6"/>
              <w:spacing w:before="230" w:line="232" w:lineRule="auto"/>
              <w:ind w:left="322"/>
            </w:pPr>
            <w:r>
              <w:rPr>
                <w:spacing w:val="-6"/>
              </w:rPr>
              <w:t>15</w:t>
            </w:r>
          </w:p>
        </w:tc>
        <w:tc>
          <w:tcPr>
            <w:tcW w:w="1552" w:type="dxa"/>
            <w:vAlign w:val="top"/>
          </w:tcPr>
          <w:p w14:paraId="55F3C000">
            <w:pPr>
              <w:spacing w:before="196" w:line="220" w:lineRule="auto"/>
              <w:ind w:left="143"/>
              <w:rPr>
                <w:rFonts w:ascii="宋体" w:hAnsi="宋体" w:eastAsia="宋体" w:cs="宋体"/>
                <w:sz w:val="21"/>
                <w:szCs w:val="21"/>
              </w:rPr>
            </w:pPr>
            <w:r>
              <w:rPr>
                <w:rFonts w:ascii="宋体" w:hAnsi="宋体" w:eastAsia="宋体" w:cs="宋体"/>
                <w:spacing w:val="-2"/>
                <w:sz w:val="21"/>
                <w:szCs w:val="21"/>
              </w:rPr>
              <w:t>红颊长吻松鼠</w:t>
            </w:r>
          </w:p>
        </w:tc>
        <w:tc>
          <w:tcPr>
            <w:tcW w:w="1491" w:type="dxa"/>
            <w:vAlign w:val="top"/>
          </w:tcPr>
          <w:p w14:paraId="56EDC910">
            <w:pPr>
              <w:pStyle w:val="6"/>
              <w:spacing w:before="109" w:line="190" w:lineRule="auto"/>
              <w:ind w:left="274"/>
            </w:pPr>
            <w:r>
              <w:rPr>
                <w:i/>
                <w:iCs/>
              </w:rPr>
              <w:t>Dremomys</w:t>
            </w:r>
          </w:p>
          <w:p w14:paraId="16993C3E">
            <w:pPr>
              <w:pStyle w:val="6"/>
              <w:spacing w:before="50" w:line="190" w:lineRule="auto"/>
              <w:ind w:left="365"/>
            </w:pPr>
            <w:r>
              <w:rPr>
                <w:i/>
                <w:iCs/>
                <w:spacing w:val="-1"/>
              </w:rPr>
              <w:t>rufigenis</w:t>
            </w:r>
          </w:p>
        </w:tc>
        <w:tc>
          <w:tcPr>
            <w:tcW w:w="770" w:type="dxa"/>
            <w:vAlign w:val="top"/>
          </w:tcPr>
          <w:p w14:paraId="26D960DF">
            <w:pPr>
              <w:rPr>
                <w:rFonts w:ascii="Arial"/>
                <w:sz w:val="21"/>
              </w:rPr>
            </w:pPr>
          </w:p>
        </w:tc>
        <w:tc>
          <w:tcPr>
            <w:tcW w:w="1131" w:type="dxa"/>
            <w:vAlign w:val="top"/>
          </w:tcPr>
          <w:p w14:paraId="4F88ACA3">
            <w:pPr>
              <w:rPr>
                <w:rFonts w:ascii="Arial"/>
                <w:sz w:val="21"/>
              </w:rPr>
            </w:pPr>
          </w:p>
        </w:tc>
        <w:tc>
          <w:tcPr>
            <w:tcW w:w="1697" w:type="dxa"/>
            <w:vAlign w:val="top"/>
          </w:tcPr>
          <w:p w14:paraId="6DC03765">
            <w:pPr>
              <w:rPr>
                <w:rFonts w:ascii="Arial"/>
                <w:sz w:val="21"/>
              </w:rPr>
            </w:pPr>
          </w:p>
        </w:tc>
        <w:tc>
          <w:tcPr>
            <w:tcW w:w="985" w:type="dxa"/>
            <w:tcBorders>
              <w:right w:val="single" w:color="000000" w:sz="12" w:space="0"/>
            </w:tcBorders>
            <w:vAlign w:val="top"/>
          </w:tcPr>
          <w:p w14:paraId="7F07B0C3">
            <w:pPr>
              <w:rPr>
                <w:rFonts w:ascii="Arial"/>
                <w:sz w:val="21"/>
              </w:rPr>
            </w:pPr>
          </w:p>
        </w:tc>
      </w:tr>
      <w:tr w14:paraId="2CE36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76AB07D1">
            <w:pPr>
              <w:pStyle w:val="6"/>
              <w:spacing w:before="231" w:line="232" w:lineRule="auto"/>
              <w:ind w:left="322"/>
            </w:pPr>
            <w:r>
              <w:rPr>
                <w:spacing w:val="-6"/>
              </w:rPr>
              <w:t>16</w:t>
            </w:r>
          </w:p>
        </w:tc>
        <w:tc>
          <w:tcPr>
            <w:tcW w:w="1552" w:type="dxa"/>
            <w:vAlign w:val="top"/>
          </w:tcPr>
          <w:p w14:paraId="1F549842">
            <w:pPr>
              <w:spacing w:before="196" w:line="220" w:lineRule="auto"/>
              <w:ind w:left="452"/>
              <w:rPr>
                <w:rFonts w:ascii="宋体" w:hAnsi="宋体" w:eastAsia="宋体" w:cs="宋体"/>
                <w:sz w:val="21"/>
                <w:szCs w:val="21"/>
              </w:rPr>
            </w:pPr>
            <w:r>
              <w:rPr>
                <w:rFonts w:ascii="宋体" w:hAnsi="宋体" w:eastAsia="宋体" w:cs="宋体"/>
                <w:spacing w:val="-2"/>
                <w:sz w:val="21"/>
                <w:szCs w:val="21"/>
              </w:rPr>
              <w:t>岩松鼠</w:t>
            </w:r>
          </w:p>
        </w:tc>
        <w:tc>
          <w:tcPr>
            <w:tcW w:w="1491" w:type="dxa"/>
            <w:vAlign w:val="top"/>
          </w:tcPr>
          <w:p w14:paraId="3A64463B">
            <w:pPr>
              <w:pStyle w:val="6"/>
              <w:spacing w:before="114" w:line="186" w:lineRule="auto"/>
              <w:ind w:left="182"/>
            </w:pPr>
            <w:r>
              <w:rPr>
                <w:i/>
                <w:iCs/>
                <w:spacing w:val="-1"/>
              </w:rPr>
              <w:t>Sciurotamias</w:t>
            </w:r>
          </w:p>
          <w:p w14:paraId="5FC116A4">
            <w:pPr>
              <w:pStyle w:val="6"/>
              <w:spacing w:before="50" w:line="203" w:lineRule="auto"/>
              <w:ind w:left="278"/>
            </w:pPr>
            <w:r>
              <w:rPr>
                <w:i/>
                <w:iCs/>
                <w:spacing w:val="-1"/>
              </w:rPr>
              <w:t>davidianus</w:t>
            </w:r>
          </w:p>
        </w:tc>
        <w:tc>
          <w:tcPr>
            <w:tcW w:w="770" w:type="dxa"/>
            <w:vAlign w:val="top"/>
          </w:tcPr>
          <w:p w14:paraId="1E25C95B">
            <w:pPr>
              <w:rPr>
                <w:rFonts w:ascii="Arial"/>
                <w:sz w:val="21"/>
              </w:rPr>
            </w:pPr>
          </w:p>
        </w:tc>
        <w:tc>
          <w:tcPr>
            <w:tcW w:w="1131" w:type="dxa"/>
            <w:vAlign w:val="top"/>
          </w:tcPr>
          <w:p w14:paraId="55A11EB2">
            <w:pPr>
              <w:rPr>
                <w:rFonts w:ascii="Arial"/>
                <w:sz w:val="21"/>
              </w:rPr>
            </w:pPr>
          </w:p>
        </w:tc>
        <w:tc>
          <w:tcPr>
            <w:tcW w:w="1697" w:type="dxa"/>
            <w:vAlign w:val="top"/>
          </w:tcPr>
          <w:p w14:paraId="24A3BA1A">
            <w:pPr>
              <w:rPr>
                <w:rFonts w:ascii="Arial"/>
                <w:sz w:val="21"/>
              </w:rPr>
            </w:pPr>
          </w:p>
        </w:tc>
        <w:tc>
          <w:tcPr>
            <w:tcW w:w="985" w:type="dxa"/>
            <w:tcBorders>
              <w:right w:val="single" w:color="000000" w:sz="12" w:space="0"/>
            </w:tcBorders>
            <w:vAlign w:val="top"/>
          </w:tcPr>
          <w:p w14:paraId="53BC610F">
            <w:pPr>
              <w:spacing w:before="196" w:line="220" w:lineRule="auto"/>
              <w:ind w:left="292"/>
              <w:rPr>
                <w:rFonts w:ascii="宋体" w:hAnsi="宋体" w:eastAsia="宋体" w:cs="宋体"/>
                <w:sz w:val="21"/>
                <w:szCs w:val="21"/>
              </w:rPr>
            </w:pPr>
            <w:r>
              <w:rPr>
                <w:rFonts w:ascii="宋体" w:hAnsi="宋体" w:eastAsia="宋体" w:cs="宋体"/>
                <w:spacing w:val="-3"/>
                <w:sz w:val="21"/>
                <w:szCs w:val="21"/>
              </w:rPr>
              <w:t>特有</w:t>
            </w:r>
          </w:p>
        </w:tc>
      </w:tr>
      <w:tr w14:paraId="57657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47" w:type="dxa"/>
            <w:tcBorders>
              <w:left w:val="single" w:color="000000" w:sz="12" w:space="0"/>
            </w:tcBorders>
            <w:vAlign w:val="top"/>
          </w:tcPr>
          <w:p w14:paraId="77D5DE2F">
            <w:pPr>
              <w:pStyle w:val="6"/>
              <w:spacing w:before="233" w:line="232" w:lineRule="auto"/>
              <w:ind w:left="322"/>
            </w:pPr>
            <w:r>
              <w:rPr>
                <w:spacing w:val="-6"/>
              </w:rPr>
              <w:t>17</w:t>
            </w:r>
          </w:p>
        </w:tc>
        <w:tc>
          <w:tcPr>
            <w:tcW w:w="1552" w:type="dxa"/>
            <w:vAlign w:val="top"/>
          </w:tcPr>
          <w:p w14:paraId="57F29C8F">
            <w:pPr>
              <w:spacing w:before="198" w:line="220" w:lineRule="auto"/>
              <w:ind w:left="241"/>
              <w:rPr>
                <w:rFonts w:ascii="宋体" w:hAnsi="宋体" w:eastAsia="宋体" w:cs="宋体"/>
                <w:sz w:val="21"/>
                <w:szCs w:val="21"/>
              </w:rPr>
            </w:pPr>
            <w:r>
              <w:rPr>
                <w:rFonts w:ascii="宋体" w:hAnsi="宋体" w:eastAsia="宋体" w:cs="宋体"/>
                <w:spacing w:val="-2"/>
                <w:sz w:val="21"/>
                <w:szCs w:val="21"/>
              </w:rPr>
              <w:t>侧纹岩松鼠</w:t>
            </w:r>
          </w:p>
        </w:tc>
        <w:tc>
          <w:tcPr>
            <w:tcW w:w="1491" w:type="dxa"/>
            <w:vAlign w:val="top"/>
          </w:tcPr>
          <w:p w14:paraId="1CB6E402">
            <w:pPr>
              <w:pStyle w:val="6"/>
              <w:spacing w:before="112" w:line="190" w:lineRule="auto"/>
              <w:ind w:left="356"/>
            </w:pPr>
            <w:r>
              <w:rPr>
                <w:i/>
                <w:iCs/>
              </w:rPr>
              <w:t>Rupestes</w:t>
            </w:r>
          </w:p>
          <w:p w14:paraId="611407C7">
            <w:pPr>
              <w:pStyle w:val="6"/>
              <w:spacing w:before="50" w:line="190" w:lineRule="auto"/>
              <w:ind w:left="389"/>
            </w:pPr>
            <w:r>
              <w:rPr>
                <w:i/>
                <w:iCs/>
                <w:spacing w:val="5"/>
              </w:rPr>
              <w:t>forresti</w:t>
            </w:r>
          </w:p>
        </w:tc>
        <w:tc>
          <w:tcPr>
            <w:tcW w:w="770" w:type="dxa"/>
            <w:vAlign w:val="top"/>
          </w:tcPr>
          <w:p w14:paraId="1501ED40">
            <w:pPr>
              <w:rPr>
                <w:rFonts w:ascii="Arial"/>
                <w:sz w:val="21"/>
              </w:rPr>
            </w:pPr>
          </w:p>
        </w:tc>
        <w:tc>
          <w:tcPr>
            <w:tcW w:w="1131" w:type="dxa"/>
            <w:vAlign w:val="top"/>
          </w:tcPr>
          <w:p w14:paraId="7755F897">
            <w:pPr>
              <w:rPr>
                <w:rFonts w:ascii="Arial"/>
                <w:sz w:val="21"/>
              </w:rPr>
            </w:pPr>
          </w:p>
        </w:tc>
        <w:tc>
          <w:tcPr>
            <w:tcW w:w="1697" w:type="dxa"/>
            <w:vAlign w:val="top"/>
          </w:tcPr>
          <w:p w14:paraId="458AF770">
            <w:pPr>
              <w:rPr>
                <w:rFonts w:ascii="Arial"/>
                <w:sz w:val="21"/>
              </w:rPr>
            </w:pPr>
          </w:p>
        </w:tc>
        <w:tc>
          <w:tcPr>
            <w:tcW w:w="985" w:type="dxa"/>
            <w:tcBorders>
              <w:right w:val="single" w:color="000000" w:sz="12" w:space="0"/>
            </w:tcBorders>
            <w:vAlign w:val="top"/>
          </w:tcPr>
          <w:p w14:paraId="67A86E28">
            <w:pPr>
              <w:spacing w:before="198" w:line="220" w:lineRule="auto"/>
              <w:ind w:left="292"/>
              <w:rPr>
                <w:rFonts w:ascii="宋体" w:hAnsi="宋体" w:eastAsia="宋体" w:cs="宋体"/>
                <w:sz w:val="21"/>
                <w:szCs w:val="21"/>
              </w:rPr>
            </w:pPr>
            <w:r>
              <w:rPr>
                <w:rFonts w:ascii="宋体" w:hAnsi="宋体" w:eastAsia="宋体" w:cs="宋体"/>
                <w:spacing w:val="-3"/>
                <w:sz w:val="21"/>
                <w:szCs w:val="21"/>
              </w:rPr>
              <w:t>特有</w:t>
            </w:r>
          </w:p>
        </w:tc>
      </w:tr>
      <w:tr w14:paraId="6EF17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7" w:type="dxa"/>
            <w:tcBorders>
              <w:left w:val="single" w:color="000000" w:sz="12" w:space="0"/>
            </w:tcBorders>
            <w:vAlign w:val="top"/>
          </w:tcPr>
          <w:p w14:paraId="77D271C0">
            <w:pPr>
              <w:pStyle w:val="6"/>
              <w:spacing w:before="139" w:line="186" w:lineRule="auto"/>
              <w:ind w:left="290"/>
            </w:pPr>
            <w:r>
              <w:rPr>
                <w:b/>
                <w:bCs/>
                <w:spacing w:val="-2"/>
              </w:rPr>
              <w:t>F6</w:t>
            </w:r>
          </w:p>
        </w:tc>
        <w:tc>
          <w:tcPr>
            <w:tcW w:w="1552" w:type="dxa"/>
            <w:vAlign w:val="top"/>
          </w:tcPr>
          <w:p w14:paraId="6631A12E">
            <w:pPr>
              <w:spacing w:before="100" w:line="219" w:lineRule="auto"/>
              <w:ind w:left="582"/>
              <w:rPr>
                <w:rFonts w:ascii="宋体" w:hAnsi="宋体" w:eastAsia="宋体" w:cs="宋体"/>
                <w:sz w:val="21"/>
                <w:szCs w:val="21"/>
              </w:rPr>
            </w:pPr>
            <w:r>
              <w:rPr>
                <w:rFonts w:ascii="宋体" w:hAnsi="宋体" w:eastAsia="宋体" w:cs="宋体"/>
                <w:b/>
                <w:bCs/>
                <w:spacing w:val="-11"/>
                <w:sz w:val="21"/>
                <w:szCs w:val="21"/>
              </w:rPr>
              <w:t>鼠科</w:t>
            </w:r>
          </w:p>
        </w:tc>
        <w:tc>
          <w:tcPr>
            <w:tcW w:w="1491" w:type="dxa"/>
            <w:vAlign w:val="top"/>
          </w:tcPr>
          <w:p w14:paraId="5605AD88">
            <w:pPr>
              <w:pStyle w:val="6"/>
              <w:spacing w:before="138" w:line="187" w:lineRule="auto"/>
              <w:ind w:left="348"/>
            </w:pPr>
            <w:r>
              <w:rPr>
                <w:b/>
                <w:bCs/>
                <w:spacing w:val="-1"/>
              </w:rPr>
              <w:t>Muridae</w:t>
            </w:r>
          </w:p>
        </w:tc>
        <w:tc>
          <w:tcPr>
            <w:tcW w:w="770" w:type="dxa"/>
            <w:vAlign w:val="top"/>
          </w:tcPr>
          <w:p w14:paraId="2E85CD5D">
            <w:pPr>
              <w:pStyle w:val="6"/>
              <w:spacing w:before="139" w:line="186" w:lineRule="auto"/>
              <w:ind w:left="267"/>
            </w:pPr>
            <w:r>
              <w:rPr>
                <w:b/>
                <w:bCs/>
                <w:spacing w:val="-2"/>
              </w:rPr>
              <w:t>F6</w:t>
            </w:r>
          </w:p>
        </w:tc>
        <w:tc>
          <w:tcPr>
            <w:tcW w:w="1131" w:type="dxa"/>
            <w:vAlign w:val="top"/>
          </w:tcPr>
          <w:p w14:paraId="7BA23E9D">
            <w:pPr>
              <w:spacing w:before="100" w:line="219" w:lineRule="auto"/>
              <w:ind w:left="386"/>
              <w:rPr>
                <w:rFonts w:ascii="宋体" w:hAnsi="宋体" w:eastAsia="宋体" w:cs="宋体"/>
                <w:sz w:val="21"/>
                <w:szCs w:val="21"/>
              </w:rPr>
            </w:pPr>
            <w:r>
              <w:rPr>
                <w:rFonts w:ascii="宋体" w:hAnsi="宋体" w:eastAsia="宋体" w:cs="宋体"/>
                <w:b/>
                <w:bCs/>
                <w:spacing w:val="-11"/>
                <w:sz w:val="21"/>
                <w:szCs w:val="21"/>
              </w:rPr>
              <w:t>鼠科</w:t>
            </w:r>
          </w:p>
        </w:tc>
        <w:tc>
          <w:tcPr>
            <w:tcW w:w="1697" w:type="dxa"/>
            <w:vAlign w:val="top"/>
          </w:tcPr>
          <w:p w14:paraId="3A28A7D3">
            <w:pPr>
              <w:pStyle w:val="6"/>
              <w:spacing w:before="138" w:line="187" w:lineRule="auto"/>
              <w:ind w:left="464"/>
            </w:pPr>
            <w:r>
              <w:rPr>
                <w:b/>
                <w:bCs/>
                <w:spacing w:val="-1"/>
              </w:rPr>
              <w:t>Muridae</w:t>
            </w:r>
          </w:p>
        </w:tc>
        <w:tc>
          <w:tcPr>
            <w:tcW w:w="985" w:type="dxa"/>
            <w:tcBorders>
              <w:right w:val="single" w:color="000000" w:sz="12" w:space="0"/>
            </w:tcBorders>
            <w:vAlign w:val="top"/>
          </w:tcPr>
          <w:p w14:paraId="540A5AA9">
            <w:pPr>
              <w:rPr>
                <w:rFonts w:ascii="Arial"/>
                <w:sz w:val="21"/>
              </w:rPr>
            </w:pPr>
          </w:p>
        </w:tc>
      </w:tr>
      <w:tr w14:paraId="64E18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1E614856">
            <w:pPr>
              <w:pStyle w:val="6"/>
              <w:spacing w:before="235" w:line="232" w:lineRule="auto"/>
              <w:ind w:left="322"/>
            </w:pPr>
            <w:r>
              <w:rPr>
                <w:spacing w:val="-6"/>
              </w:rPr>
              <w:t>18</w:t>
            </w:r>
          </w:p>
        </w:tc>
        <w:tc>
          <w:tcPr>
            <w:tcW w:w="1552" w:type="dxa"/>
            <w:vAlign w:val="top"/>
          </w:tcPr>
          <w:p w14:paraId="401880A8">
            <w:pPr>
              <w:spacing w:before="201" w:line="220" w:lineRule="auto"/>
              <w:ind w:left="368"/>
              <w:rPr>
                <w:rFonts w:ascii="宋体" w:hAnsi="宋体" w:eastAsia="宋体" w:cs="宋体"/>
                <w:sz w:val="21"/>
                <w:szCs w:val="21"/>
              </w:rPr>
            </w:pPr>
            <w:r>
              <w:rPr>
                <w:rFonts w:ascii="宋体" w:hAnsi="宋体" w:eastAsia="宋体" w:cs="宋体"/>
                <w:spacing w:val="-6"/>
                <w:sz w:val="21"/>
                <w:szCs w:val="21"/>
              </w:rPr>
              <w:t>中华姬鼠</w:t>
            </w:r>
          </w:p>
        </w:tc>
        <w:tc>
          <w:tcPr>
            <w:tcW w:w="1491" w:type="dxa"/>
            <w:vAlign w:val="top"/>
          </w:tcPr>
          <w:p w14:paraId="71C1D2CE">
            <w:pPr>
              <w:pStyle w:val="6"/>
              <w:spacing w:before="115" w:line="190" w:lineRule="auto"/>
              <w:ind w:left="287"/>
            </w:pPr>
            <w:r>
              <w:rPr>
                <w:i/>
                <w:iCs/>
                <w:spacing w:val="1"/>
              </w:rPr>
              <w:t>Apodemus</w:t>
            </w:r>
          </w:p>
          <w:p w14:paraId="52CD3BFB">
            <w:pPr>
              <w:pStyle w:val="6"/>
              <w:spacing w:before="49" w:line="199" w:lineRule="auto"/>
              <w:ind w:left="493"/>
            </w:pPr>
            <w:r>
              <w:rPr>
                <w:i/>
                <w:iCs/>
                <w:spacing w:val="-1"/>
              </w:rPr>
              <w:t>draco</w:t>
            </w:r>
          </w:p>
        </w:tc>
        <w:tc>
          <w:tcPr>
            <w:tcW w:w="770" w:type="dxa"/>
            <w:vAlign w:val="top"/>
          </w:tcPr>
          <w:p w14:paraId="0233EBC5">
            <w:pPr>
              <w:rPr>
                <w:rFonts w:ascii="Arial"/>
                <w:sz w:val="21"/>
              </w:rPr>
            </w:pPr>
          </w:p>
        </w:tc>
        <w:tc>
          <w:tcPr>
            <w:tcW w:w="1131" w:type="dxa"/>
            <w:vAlign w:val="top"/>
          </w:tcPr>
          <w:p w14:paraId="038DAF40">
            <w:pPr>
              <w:rPr>
                <w:rFonts w:ascii="Arial"/>
                <w:sz w:val="21"/>
              </w:rPr>
            </w:pPr>
          </w:p>
        </w:tc>
        <w:tc>
          <w:tcPr>
            <w:tcW w:w="1697" w:type="dxa"/>
            <w:vAlign w:val="top"/>
          </w:tcPr>
          <w:p w14:paraId="21D8840D">
            <w:pPr>
              <w:rPr>
                <w:rFonts w:ascii="Arial"/>
                <w:sz w:val="21"/>
              </w:rPr>
            </w:pPr>
          </w:p>
        </w:tc>
        <w:tc>
          <w:tcPr>
            <w:tcW w:w="985" w:type="dxa"/>
            <w:tcBorders>
              <w:right w:val="single" w:color="000000" w:sz="12" w:space="0"/>
            </w:tcBorders>
            <w:vAlign w:val="top"/>
          </w:tcPr>
          <w:p w14:paraId="603ECD60">
            <w:pPr>
              <w:rPr>
                <w:rFonts w:ascii="Arial"/>
                <w:sz w:val="21"/>
              </w:rPr>
            </w:pPr>
          </w:p>
        </w:tc>
      </w:tr>
      <w:tr w14:paraId="2F19D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847" w:type="dxa"/>
            <w:tcBorders>
              <w:left w:val="single" w:color="000000" w:sz="12" w:space="0"/>
              <w:bottom w:val="single" w:color="000000" w:sz="12" w:space="0"/>
            </w:tcBorders>
            <w:vAlign w:val="top"/>
          </w:tcPr>
          <w:p w14:paraId="35B38ABA">
            <w:pPr>
              <w:pStyle w:val="6"/>
              <w:spacing w:before="237" w:line="232" w:lineRule="auto"/>
              <w:ind w:left="322"/>
            </w:pPr>
            <w:r>
              <w:rPr>
                <w:spacing w:val="-6"/>
              </w:rPr>
              <w:t>19</w:t>
            </w:r>
          </w:p>
        </w:tc>
        <w:tc>
          <w:tcPr>
            <w:tcW w:w="1552" w:type="dxa"/>
            <w:tcBorders>
              <w:bottom w:val="single" w:color="000000" w:sz="12" w:space="0"/>
            </w:tcBorders>
            <w:vAlign w:val="top"/>
          </w:tcPr>
          <w:p w14:paraId="5782E3BC">
            <w:pPr>
              <w:spacing w:before="203" w:line="220" w:lineRule="auto"/>
              <w:ind w:left="350"/>
              <w:rPr>
                <w:rFonts w:ascii="宋体" w:hAnsi="宋体" w:eastAsia="宋体" w:cs="宋体"/>
                <w:sz w:val="21"/>
                <w:szCs w:val="21"/>
              </w:rPr>
            </w:pPr>
            <w:r>
              <w:rPr>
                <w:rFonts w:ascii="宋体" w:hAnsi="宋体" w:eastAsia="宋体" w:cs="宋体"/>
                <w:spacing w:val="-3"/>
                <w:sz w:val="21"/>
                <w:szCs w:val="21"/>
              </w:rPr>
              <w:t>大林姬鼠</w:t>
            </w:r>
          </w:p>
        </w:tc>
        <w:tc>
          <w:tcPr>
            <w:tcW w:w="1491" w:type="dxa"/>
            <w:tcBorders>
              <w:bottom w:val="single" w:color="000000" w:sz="12" w:space="0"/>
            </w:tcBorders>
            <w:vAlign w:val="top"/>
          </w:tcPr>
          <w:p w14:paraId="59E7D658">
            <w:pPr>
              <w:pStyle w:val="6"/>
              <w:spacing w:before="116" w:line="190" w:lineRule="auto"/>
              <w:ind w:left="287"/>
            </w:pPr>
            <w:r>
              <w:rPr>
                <w:i/>
                <w:iCs/>
                <w:spacing w:val="1"/>
              </w:rPr>
              <w:t>Apodemus</w:t>
            </w:r>
          </w:p>
          <w:p w14:paraId="4A9CA3E9">
            <w:pPr>
              <w:pStyle w:val="6"/>
              <w:spacing w:before="50" w:line="190" w:lineRule="auto"/>
              <w:ind w:left="256"/>
            </w:pPr>
            <w:r>
              <w:rPr>
                <w:i/>
                <w:iCs/>
                <w:spacing w:val="2"/>
              </w:rPr>
              <w:t>peninsulae</w:t>
            </w:r>
          </w:p>
        </w:tc>
        <w:tc>
          <w:tcPr>
            <w:tcW w:w="770" w:type="dxa"/>
            <w:tcBorders>
              <w:bottom w:val="single" w:color="000000" w:sz="12" w:space="0"/>
            </w:tcBorders>
            <w:vAlign w:val="top"/>
          </w:tcPr>
          <w:p w14:paraId="7D15526B">
            <w:pPr>
              <w:rPr>
                <w:rFonts w:ascii="Arial"/>
                <w:sz w:val="21"/>
              </w:rPr>
            </w:pPr>
          </w:p>
        </w:tc>
        <w:tc>
          <w:tcPr>
            <w:tcW w:w="1131" w:type="dxa"/>
            <w:tcBorders>
              <w:bottom w:val="single" w:color="000000" w:sz="12" w:space="0"/>
            </w:tcBorders>
            <w:vAlign w:val="top"/>
          </w:tcPr>
          <w:p w14:paraId="6FF8EF48">
            <w:pPr>
              <w:rPr>
                <w:rFonts w:ascii="Arial"/>
                <w:sz w:val="21"/>
              </w:rPr>
            </w:pPr>
          </w:p>
        </w:tc>
        <w:tc>
          <w:tcPr>
            <w:tcW w:w="1697" w:type="dxa"/>
            <w:tcBorders>
              <w:bottom w:val="single" w:color="000000" w:sz="12" w:space="0"/>
            </w:tcBorders>
            <w:vAlign w:val="top"/>
          </w:tcPr>
          <w:p w14:paraId="64226835">
            <w:pPr>
              <w:rPr>
                <w:rFonts w:ascii="Arial"/>
                <w:sz w:val="21"/>
              </w:rPr>
            </w:pPr>
          </w:p>
        </w:tc>
        <w:tc>
          <w:tcPr>
            <w:tcW w:w="985" w:type="dxa"/>
            <w:tcBorders>
              <w:bottom w:val="single" w:color="000000" w:sz="12" w:space="0"/>
              <w:right w:val="single" w:color="000000" w:sz="12" w:space="0"/>
            </w:tcBorders>
            <w:vAlign w:val="top"/>
          </w:tcPr>
          <w:p w14:paraId="20FCB76A">
            <w:pPr>
              <w:rPr>
                <w:rFonts w:ascii="Arial"/>
                <w:sz w:val="21"/>
              </w:rPr>
            </w:pPr>
          </w:p>
        </w:tc>
      </w:tr>
    </w:tbl>
    <w:p w14:paraId="5D344790">
      <w:pPr>
        <w:rPr>
          <w:rFonts w:ascii="Arial"/>
          <w:sz w:val="21"/>
        </w:rPr>
      </w:pPr>
    </w:p>
    <w:p w14:paraId="62AD61DE">
      <w:pPr>
        <w:rPr>
          <w:rFonts w:ascii="Arial" w:hAnsi="Arial" w:eastAsia="Arial" w:cs="Arial"/>
          <w:sz w:val="21"/>
          <w:szCs w:val="21"/>
        </w:rPr>
        <w:sectPr>
          <w:footerReference r:id="rId190" w:type="default"/>
          <w:pgSz w:w="11907" w:h="16839"/>
          <w:pgMar w:top="1376" w:right="1669" w:bottom="1061" w:left="1671" w:header="999" w:footer="859" w:gutter="0"/>
          <w:cols w:space="720" w:num="1"/>
        </w:sectPr>
      </w:pPr>
    </w:p>
    <w:p w14:paraId="014B33FC">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1552"/>
        <w:gridCol w:w="1491"/>
        <w:gridCol w:w="770"/>
        <w:gridCol w:w="1131"/>
        <w:gridCol w:w="1697"/>
        <w:gridCol w:w="985"/>
      </w:tblGrid>
      <w:tr w14:paraId="7B2B1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3890" w:type="dxa"/>
            <w:gridSpan w:val="3"/>
            <w:tcBorders>
              <w:top w:val="single" w:color="000000" w:sz="12" w:space="0"/>
              <w:left w:val="single" w:color="000000" w:sz="12" w:space="0"/>
            </w:tcBorders>
            <w:vAlign w:val="top"/>
          </w:tcPr>
          <w:p w14:paraId="1CA124F1">
            <w:pPr>
              <w:pStyle w:val="6"/>
              <w:spacing w:before="70" w:line="233" w:lineRule="auto"/>
              <w:ind w:left="1071"/>
              <w:rPr>
                <w:rFonts w:ascii="宋体" w:hAnsi="宋体" w:eastAsia="宋体" w:cs="宋体"/>
              </w:rPr>
            </w:pPr>
            <w:r>
              <w:rPr>
                <w:rFonts w:ascii="宋体" w:hAnsi="宋体" w:eastAsia="宋体" w:cs="宋体"/>
                <w:spacing w:val="-1"/>
              </w:rPr>
              <w:t>环评期（</w:t>
            </w:r>
            <w:r>
              <w:rPr>
                <w:spacing w:val="-1"/>
              </w:rPr>
              <w:t xml:space="preserve">2015 </w:t>
            </w:r>
            <w:r>
              <w:rPr>
                <w:rFonts w:ascii="宋体" w:hAnsi="宋体" w:eastAsia="宋体" w:cs="宋体"/>
                <w:spacing w:val="-1"/>
              </w:rPr>
              <w:t>年）</w:t>
            </w:r>
          </w:p>
        </w:tc>
        <w:tc>
          <w:tcPr>
            <w:tcW w:w="3598" w:type="dxa"/>
            <w:gridSpan w:val="3"/>
            <w:tcBorders>
              <w:top w:val="single" w:color="000000" w:sz="12" w:space="0"/>
            </w:tcBorders>
            <w:vAlign w:val="top"/>
          </w:tcPr>
          <w:p w14:paraId="05E28F69">
            <w:pPr>
              <w:pStyle w:val="6"/>
              <w:spacing w:before="70" w:line="233" w:lineRule="auto"/>
              <w:ind w:left="939"/>
              <w:rPr>
                <w:rFonts w:ascii="宋体" w:hAnsi="宋体" w:eastAsia="宋体" w:cs="宋体"/>
              </w:rPr>
            </w:pPr>
            <w:r>
              <w:rPr>
                <w:rFonts w:ascii="宋体" w:hAnsi="宋体" w:eastAsia="宋体" w:cs="宋体"/>
                <w:spacing w:val="-1"/>
              </w:rPr>
              <w:t>施工期（</w:t>
            </w:r>
            <w:r>
              <w:rPr>
                <w:spacing w:val="-1"/>
              </w:rPr>
              <w:t xml:space="preserve">2020 </w:t>
            </w:r>
            <w:r>
              <w:rPr>
                <w:rFonts w:ascii="宋体" w:hAnsi="宋体" w:eastAsia="宋体" w:cs="宋体"/>
                <w:spacing w:val="-1"/>
              </w:rPr>
              <w:t>年）</w:t>
            </w:r>
          </w:p>
        </w:tc>
        <w:tc>
          <w:tcPr>
            <w:tcW w:w="985" w:type="dxa"/>
            <w:vMerge w:val="restart"/>
            <w:tcBorders>
              <w:top w:val="single" w:color="000000" w:sz="12" w:space="0"/>
              <w:bottom w:val="nil"/>
              <w:right w:val="single" w:color="000000" w:sz="12" w:space="0"/>
            </w:tcBorders>
            <w:vAlign w:val="top"/>
          </w:tcPr>
          <w:p w14:paraId="3AE381CC">
            <w:pPr>
              <w:spacing w:before="118" w:line="241" w:lineRule="auto"/>
              <w:ind w:left="293" w:right="260"/>
              <w:rPr>
                <w:rFonts w:ascii="宋体" w:hAnsi="宋体" w:eastAsia="宋体" w:cs="宋体"/>
                <w:sz w:val="21"/>
                <w:szCs w:val="21"/>
              </w:rPr>
            </w:pPr>
            <w:r>
              <w:rPr>
                <w:rFonts w:ascii="宋体" w:hAnsi="宋体" w:eastAsia="宋体" w:cs="宋体"/>
                <w:spacing w:val="-5"/>
                <w:sz w:val="21"/>
                <w:szCs w:val="21"/>
              </w:rPr>
              <w:t>保护情况</w:t>
            </w:r>
          </w:p>
        </w:tc>
      </w:tr>
      <w:tr w14:paraId="5975E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847" w:type="dxa"/>
            <w:tcBorders>
              <w:left w:val="single" w:color="000000" w:sz="12" w:space="0"/>
            </w:tcBorders>
            <w:vAlign w:val="top"/>
          </w:tcPr>
          <w:p w14:paraId="254315C3">
            <w:pPr>
              <w:spacing w:before="70" w:line="221" w:lineRule="auto"/>
              <w:ind w:left="199"/>
              <w:rPr>
                <w:rFonts w:ascii="宋体" w:hAnsi="宋体" w:eastAsia="宋体" w:cs="宋体"/>
                <w:sz w:val="21"/>
                <w:szCs w:val="21"/>
              </w:rPr>
            </w:pPr>
            <w:r>
              <w:rPr>
                <w:rFonts w:ascii="宋体" w:hAnsi="宋体" w:eastAsia="宋体" w:cs="宋体"/>
                <w:spacing w:val="-2"/>
                <w:sz w:val="21"/>
                <w:szCs w:val="21"/>
              </w:rPr>
              <w:t>序号</w:t>
            </w:r>
          </w:p>
        </w:tc>
        <w:tc>
          <w:tcPr>
            <w:tcW w:w="1552" w:type="dxa"/>
            <w:vAlign w:val="top"/>
          </w:tcPr>
          <w:p w14:paraId="03BA742E">
            <w:pPr>
              <w:spacing w:before="70" w:line="220" w:lineRule="auto"/>
              <w:ind w:left="472"/>
              <w:rPr>
                <w:rFonts w:ascii="宋体" w:hAnsi="宋体" w:eastAsia="宋体" w:cs="宋体"/>
                <w:sz w:val="21"/>
                <w:szCs w:val="21"/>
              </w:rPr>
            </w:pPr>
            <w:r>
              <w:rPr>
                <w:rFonts w:ascii="宋体" w:hAnsi="宋体" w:eastAsia="宋体" w:cs="宋体"/>
                <w:spacing w:val="-7"/>
                <w:sz w:val="21"/>
                <w:szCs w:val="21"/>
              </w:rPr>
              <w:t>中文名</w:t>
            </w:r>
          </w:p>
        </w:tc>
        <w:tc>
          <w:tcPr>
            <w:tcW w:w="1491" w:type="dxa"/>
            <w:vAlign w:val="top"/>
          </w:tcPr>
          <w:p w14:paraId="5382E346">
            <w:pPr>
              <w:spacing w:before="70" w:line="221" w:lineRule="auto"/>
              <w:ind w:left="430"/>
              <w:rPr>
                <w:rFonts w:ascii="宋体" w:hAnsi="宋体" w:eastAsia="宋体" w:cs="宋体"/>
                <w:sz w:val="21"/>
                <w:szCs w:val="21"/>
              </w:rPr>
            </w:pPr>
            <w:r>
              <w:rPr>
                <w:rFonts w:ascii="宋体" w:hAnsi="宋体" w:eastAsia="宋体" w:cs="宋体"/>
                <w:spacing w:val="-3"/>
                <w:sz w:val="21"/>
                <w:szCs w:val="21"/>
              </w:rPr>
              <w:t>拉丁名</w:t>
            </w:r>
          </w:p>
        </w:tc>
        <w:tc>
          <w:tcPr>
            <w:tcW w:w="770" w:type="dxa"/>
            <w:vAlign w:val="top"/>
          </w:tcPr>
          <w:p w14:paraId="30FEA077">
            <w:pPr>
              <w:spacing w:before="70" w:line="221" w:lineRule="auto"/>
              <w:ind w:left="176"/>
              <w:rPr>
                <w:rFonts w:ascii="宋体" w:hAnsi="宋体" w:eastAsia="宋体" w:cs="宋体"/>
                <w:sz w:val="21"/>
                <w:szCs w:val="21"/>
              </w:rPr>
            </w:pPr>
            <w:r>
              <w:rPr>
                <w:rFonts w:ascii="宋体" w:hAnsi="宋体" w:eastAsia="宋体" w:cs="宋体"/>
                <w:spacing w:val="-2"/>
                <w:sz w:val="21"/>
                <w:szCs w:val="21"/>
              </w:rPr>
              <w:t>序号</w:t>
            </w:r>
          </w:p>
        </w:tc>
        <w:tc>
          <w:tcPr>
            <w:tcW w:w="1131" w:type="dxa"/>
            <w:vAlign w:val="top"/>
          </w:tcPr>
          <w:p w14:paraId="5F020FF0">
            <w:pPr>
              <w:spacing w:before="70" w:line="220" w:lineRule="auto"/>
              <w:ind w:left="276"/>
              <w:rPr>
                <w:rFonts w:ascii="宋体" w:hAnsi="宋体" w:eastAsia="宋体" w:cs="宋体"/>
                <w:sz w:val="21"/>
                <w:szCs w:val="21"/>
              </w:rPr>
            </w:pPr>
            <w:r>
              <w:rPr>
                <w:rFonts w:ascii="宋体" w:hAnsi="宋体" w:eastAsia="宋体" w:cs="宋体"/>
                <w:spacing w:val="-7"/>
                <w:sz w:val="21"/>
                <w:szCs w:val="21"/>
              </w:rPr>
              <w:t>中文名</w:t>
            </w:r>
          </w:p>
        </w:tc>
        <w:tc>
          <w:tcPr>
            <w:tcW w:w="1697" w:type="dxa"/>
            <w:vAlign w:val="top"/>
          </w:tcPr>
          <w:p w14:paraId="71D1E9E3">
            <w:pPr>
              <w:spacing w:before="70" w:line="221" w:lineRule="auto"/>
              <w:ind w:left="546"/>
              <w:rPr>
                <w:rFonts w:ascii="宋体" w:hAnsi="宋体" w:eastAsia="宋体" w:cs="宋体"/>
                <w:sz w:val="21"/>
                <w:szCs w:val="21"/>
              </w:rPr>
            </w:pPr>
            <w:r>
              <w:rPr>
                <w:rFonts w:ascii="宋体" w:hAnsi="宋体" w:eastAsia="宋体" w:cs="宋体"/>
                <w:spacing w:val="-3"/>
                <w:sz w:val="21"/>
                <w:szCs w:val="21"/>
              </w:rPr>
              <w:t>拉丁名</w:t>
            </w:r>
          </w:p>
        </w:tc>
        <w:tc>
          <w:tcPr>
            <w:tcW w:w="985" w:type="dxa"/>
            <w:vMerge w:val="continue"/>
            <w:tcBorders>
              <w:top w:val="nil"/>
              <w:right w:val="single" w:color="000000" w:sz="12" w:space="0"/>
            </w:tcBorders>
            <w:vAlign w:val="top"/>
          </w:tcPr>
          <w:p w14:paraId="6827A55C">
            <w:pPr>
              <w:rPr>
                <w:rFonts w:ascii="Arial"/>
                <w:sz w:val="21"/>
              </w:rPr>
            </w:pPr>
          </w:p>
        </w:tc>
      </w:tr>
      <w:tr w14:paraId="79932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496C7964">
            <w:pPr>
              <w:pStyle w:val="6"/>
              <w:spacing w:before="212" w:line="232" w:lineRule="auto"/>
              <w:ind w:left="302"/>
            </w:pPr>
            <w:r>
              <w:rPr>
                <w:spacing w:val="-1"/>
              </w:rPr>
              <w:t>20</w:t>
            </w:r>
          </w:p>
        </w:tc>
        <w:tc>
          <w:tcPr>
            <w:tcW w:w="1552" w:type="dxa"/>
            <w:vAlign w:val="top"/>
          </w:tcPr>
          <w:p w14:paraId="2464593D">
            <w:pPr>
              <w:spacing w:before="179" w:line="220" w:lineRule="auto"/>
              <w:ind w:left="455"/>
              <w:rPr>
                <w:rFonts w:ascii="宋体" w:hAnsi="宋体" w:eastAsia="宋体" w:cs="宋体"/>
                <w:sz w:val="21"/>
                <w:szCs w:val="21"/>
              </w:rPr>
            </w:pPr>
            <w:r>
              <w:rPr>
                <w:rFonts w:ascii="宋体" w:hAnsi="宋体" w:eastAsia="宋体" w:cs="宋体"/>
                <w:spacing w:val="-3"/>
                <w:sz w:val="21"/>
                <w:szCs w:val="21"/>
              </w:rPr>
              <w:t>大齿鼠</w:t>
            </w:r>
          </w:p>
        </w:tc>
        <w:tc>
          <w:tcPr>
            <w:tcW w:w="1491" w:type="dxa"/>
            <w:vAlign w:val="top"/>
          </w:tcPr>
          <w:p w14:paraId="5FD167A6">
            <w:pPr>
              <w:pStyle w:val="6"/>
              <w:spacing w:before="91" w:line="190" w:lineRule="auto"/>
              <w:ind w:left="285"/>
            </w:pPr>
            <w:r>
              <w:rPr>
                <w:i/>
                <w:iCs/>
              </w:rPr>
              <w:t>Dacnomys</w:t>
            </w:r>
          </w:p>
          <w:p w14:paraId="04CAF4D6">
            <w:pPr>
              <w:pStyle w:val="6"/>
              <w:spacing w:before="50" w:line="222" w:lineRule="auto"/>
              <w:ind w:left="400"/>
            </w:pPr>
            <w:r>
              <w:rPr>
                <w:i/>
                <w:iCs/>
              </w:rPr>
              <w:t>millardi</w:t>
            </w:r>
          </w:p>
        </w:tc>
        <w:tc>
          <w:tcPr>
            <w:tcW w:w="770" w:type="dxa"/>
            <w:vAlign w:val="top"/>
          </w:tcPr>
          <w:p w14:paraId="22978CFA">
            <w:pPr>
              <w:rPr>
                <w:rFonts w:ascii="Arial"/>
                <w:sz w:val="21"/>
              </w:rPr>
            </w:pPr>
          </w:p>
        </w:tc>
        <w:tc>
          <w:tcPr>
            <w:tcW w:w="1131" w:type="dxa"/>
            <w:vAlign w:val="top"/>
          </w:tcPr>
          <w:p w14:paraId="010707EF">
            <w:pPr>
              <w:rPr>
                <w:rFonts w:ascii="Arial"/>
                <w:sz w:val="21"/>
              </w:rPr>
            </w:pPr>
          </w:p>
        </w:tc>
        <w:tc>
          <w:tcPr>
            <w:tcW w:w="1697" w:type="dxa"/>
            <w:vAlign w:val="top"/>
          </w:tcPr>
          <w:p w14:paraId="349BB2B0">
            <w:pPr>
              <w:rPr>
                <w:rFonts w:ascii="Arial"/>
                <w:sz w:val="21"/>
              </w:rPr>
            </w:pPr>
          </w:p>
        </w:tc>
        <w:tc>
          <w:tcPr>
            <w:tcW w:w="985" w:type="dxa"/>
            <w:tcBorders>
              <w:right w:val="single" w:color="000000" w:sz="12" w:space="0"/>
            </w:tcBorders>
            <w:vAlign w:val="top"/>
          </w:tcPr>
          <w:p w14:paraId="63243953">
            <w:pPr>
              <w:rPr>
                <w:rFonts w:ascii="Arial"/>
                <w:sz w:val="21"/>
              </w:rPr>
            </w:pPr>
          </w:p>
        </w:tc>
      </w:tr>
      <w:tr w14:paraId="288F2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282317B5">
            <w:pPr>
              <w:pStyle w:val="6"/>
              <w:spacing w:before="213" w:line="235" w:lineRule="auto"/>
              <w:ind w:left="302"/>
            </w:pPr>
            <w:r>
              <w:rPr>
                <w:spacing w:val="-1"/>
              </w:rPr>
              <w:t>21</w:t>
            </w:r>
          </w:p>
        </w:tc>
        <w:tc>
          <w:tcPr>
            <w:tcW w:w="1552" w:type="dxa"/>
            <w:vAlign w:val="top"/>
          </w:tcPr>
          <w:p w14:paraId="047BC738">
            <w:pPr>
              <w:spacing w:before="180" w:line="220" w:lineRule="auto"/>
              <w:ind w:left="250"/>
              <w:rPr>
                <w:rFonts w:ascii="宋体" w:hAnsi="宋体" w:eastAsia="宋体" w:cs="宋体"/>
                <w:sz w:val="21"/>
                <w:szCs w:val="21"/>
              </w:rPr>
            </w:pPr>
            <w:r>
              <w:rPr>
                <w:rFonts w:ascii="宋体" w:hAnsi="宋体" w:eastAsia="宋体" w:cs="宋体"/>
                <w:spacing w:val="-3"/>
                <w:sz w:val="21"/>
                <w:szCs w:val="21"/>
              </w:rPr>
              <w:t>东亚屋顶鼠</w:t>
            </w:r>
          </w:p>
        </w:tc>
        <w:tc>
          <w:tcPr>
            <w:tcW w:w="1491" w:type="dxa"/>
            <w:vAlign w:val="top"/>
          </w:tcPr>
          <w:p w14:paraId="6D67CCB1">
            <w:pPr>
              <w:pStyle w:val="6"/>
              <w:spacing w:before="100" w:line="183" w:lineRule="auto"/>
              <w:ind w:left="462"/>
            </w:pPr>
            <w:r>
              <w:rPr>
                <w:i/>
                <w:iCs/>
              </w:rPr>
              <w:t>Rattus</w:t>
            </w:r>
          </w:p>
          <w:p w14:paraId="5E4B7D56">
            <w:pPr>
              <w:pStyle w:val="6"/>
              <w:spacing w:before="50" w:line="220" w:lineRule="auto"/>
              <w:ind w:left="128"/>
            </w:pPr>
            <w:r>
              <w:rPr>
                <w:i/>
                <w:iCs/>
                <w:spacing w:val="-1"/>
              </w:rPr>
              <w:t>brunneusculus</w:t>
            </w:r>
          </w:p>
        </w:tc>
        <w:tc>
          <w:tcPr>
            <w:tcW w:w="770" w:type="dxa"/>
            <w:vAlign w:val="top"/>
          </w:tcPr>
          <w:p w14:paraId="726A0372">
            <w:pPr>
              <w:rPr>
                <w:rFonts w:ascii="Arial"/>
                <w:sz w:val="21"/>
              </w:rPr>
            </w:pPr>
          </w:p>
        </w:tc>
        <w:tc>
          <w:tcPr>
            <w:tcW w:w="1131" w:type="dxa"/>
            <w:vAlign w:val="top"/>
          </w:tcPr>
          <w:p w14:paraId="15ED94D7">
            <w:pPr>
              <w:rPr>
                <w:rFonts w:ascii="Arial"/>
                <w:sz w:val="21"/>
              </w:rPr>
            </w:pPr>
          </w:p>
        </w:tc>
        <w:tc>
          <w:tcPr>
            <w:tcW w:w="1697" w:type="dxa"/>
            <w:vAlign w:val="top"/>
          </w:tcPr>
          <w:p w14:paraId="00438F63">
            <w:pPr>
              <w:rPr>
                <w:rFonts w:ascii="Arial"/>
                <w:sz w:val="21"/>
              </w:rPr>
            </w:pPr>
          </w:p>
        </w:tc>
        <w:tc>
          <w:tcPr>
            <w:tcW w:w="985" w:type="dxa"/>
            <w:tcBorders>
              <w:right w:val="single" w:color="000000" w:sz="12" w:space="0"/>
            </w:tcBorders>
            <w:vAlign w:val="top"/>
          </w:tcPr>
          <w:p w14:paraId="5D445CB7">
            <w:pPr>
              <w:rPr>
                <w:rFonts w:ascii="Arial"/>
                <w:sz w:val="21"/>
              </w:rPr>
            </w:pPr>
          </w:p>
        </w:tc>
      </w:tr>
      <w:tr w14:paraId="60E0D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47" w:type="dxa"/>
            <w:tcBorders>
              <w:left w:val="single" w:color="000000" w:sz="12" w:space="0"/>
            </w:tcBorders>
            <w:vAlign w:val="top"/>
          </w:tcPr>
          <w:p w14:paraId="529689DA">
            <w:pPr>
              <w:pStyle w:val="6"/>
              <w:spacing w:before="215" w:line="235" w:lineRule="auto"/>
              <w:ind w:left="302"/>
            </w:pPr>
            <w:r>
              <w:rPr>
                <w:spacing w:val="-1"/>
              </w:rPr>
              <w:t>22</w:t>
            </w:r>
          </w:p>
        </w:tc>
        <w:tc>
          <w:tcPr>
            <w:tcW w:w="1552" w:type="dxa"/>
            <w:vAlign w:val="top"/>
          </w:tcPr>
          <w:p w14:paraId="26A08A3E">
            <w:pPr>
              <w:spacing w:before="181" w:line="220" w:lineRule="auto"/>
              <w:ind w:left="452"/>
              <w:rPr>
                <w:rFonts w:ascii="宋体" w:hAnsi="宋体" w:eastAsia="宋体" w:cs="宋体"/>
                <w:sz w:val="21"/>
                <w:szCs w:val="21"/>
              </w:rPr>
            </w:pPr>
            <w:r>
              <w:rPr>
                <w:rFonts w:ascii="宋体" w:hAnsi="宋体" w:eastAsia="宋体" w:cs="宋体"/>
                <w:spacing w:val="-2"/>
                <w:sz w:val="21"/>
                <w:szCs w:val="21"/>
              </w:rPr>
              <w:t>褐家鼠</w:t>
            </w:r>
          </w:p>
        </w:tc>
        <w:tc>
          <w:tcPr>
            <w:tcW w:w="1491" w:type="dxa"/>
            <w:vAlign w:val="top"/>
          </w:tcPr>
          <w:p w14:paraId="0001E69B">
            <w:pPr>
              <w:pStyle w:val="6"/>
              <w:spacing w:before="102" w:line="183" w:lineRule="auto"/>
              <w:ind w:left="462"/>
            </w:pPr>
            <w:r>
              <w:rPr>
                <w:i/>
                <w:iCs/>
              </w:rPr>
              <w:t>Rattus</w:t>
            </w:r>
          </w:p>
          <w:p w14:paraId="66C63D8F">
            <w:pPr>
              <w:pStyle w:val="6"/>
              <w:spacing w:before="50" w:line="190" w:lineRule="auto"/>
              <w:ind w:left="278"/>
            </w:pPr>
            <w:r>
              <w:rPr>
                <w:i/>
                <w:iCs/>
                <w:spacing w:val="-1"/>
              </w:rPr>
              <w:t>norvegicus</w:t>
            </w:r>
          </w:p>
        </w:tc>
        <w:tc>
          <w:tcPr>
            <w:tcW w:w="770" w:type="dxa"/>
            <w:vAlign w:val="top"/>
          </w:tcPr>
          <w:p w14:paraId="6AB8A6E6">
            <w:pPr>
              <w:pStyle w:val="6"/>
              <w:spacing w:before="216" w:line="232" w:lineRule="auto"/>
              <w:ind w:left="340"/>
            </w:pPr>
            <w:r>
              <w:t>8</w:t>
            </w:r>
          </w:p>
        </w:tc>
        <w:tc>
          <w:tcPr>
            <w:tcW w:w="1131" w:type="dxa"/>
            <w:vAlign w:val="top"/>
          </w:tcPr>
          <w:p w14:paraId="03879FB5">
            <w:pPr>
              <w:spacing w:before="181" w:line="220" w:lineRule="auto"/>
              <w:ind w:left="256"/>
              <w:rPr>
                <w:rFonts w:ascii="宋体" w:hAnsi="宋体" w:eastAsia="宋体" w:cs="宋体"/>
                <w:sz w:val="21"/>
                <w:szCs w:val="21"/>
              </w:rPr>
            </w:pPr>
            <w:r>
              <w:rPr>
                <w:rFonts w:ascii="宋体" w:hAnsi="宋体" w:eastAsia="宋体" w:cs="宋体"/>
                <w:spacing w:val="-2"/>
                <w:sz w:val="21"/>
                <w:szCs w:val="21"/>
              </w:rPr>
              <w:t>褐家鼠</w:t>
            </w:r>
          </w:p>
        </w:tc>
        <w:tc>
          <w:tcPr>
            <w:tcW w:w="1697" w:type="dxa"/>
            <w:vAlign w:val="top"/>
          </w:tcPr>
          <w:p w14:paraId="50D2636D">
            <w:pPr>
              <w:pStyle w:val="6"/>
              <w:spacing w:before="215" w:line="190" w:lineRule="auto"/>
              <w:ind w:left="91"/>
            </w:pPr>
            <w:r>
              <w:rPr>
                <w:i/>
                <w:iCs/>
              </w:rPr>
              <w:t>Rattus</w:t>
            </w:r>
            <w:r>
              <w:rPr>
                <w:i/>
                <w:iCs/>
                <w:spacing w:val="5"/>
              </w:rPr>
              <w:t xml:space="preserve"> </w:t>
            </w:r>
            <w:r>
              <w:rPr>
                <w:i/>
                <w:iCs/>
              </w:rPr>
              <w:t>norvegicus</w:t>
            </w:r>
          </w:p>
        </w:tc>
        <w:tc>
          <w:tcPr>
            <w:tcW w:w="985" w:type="dxa"/>
            <w:tcBorders>
              <w:right w:val="single" w:color="000000" w:sz="12" w:space="0"/>
            </w:tcBorders>
            <w:vAlign w:val="top"/>
          </w:tcPr>
          <w:p w14:paraId="0DF4B467">
            <w:pPr>
              <w:rPr>
                <w:rFonts w:ascii="Arial"/>
                <w:sz w:val="21"/>
              </w:rPr>
            </w:pPr>
          </w:p>
        </w:tc>
      </w:tr>
      <w:tr w14:paraId="726ED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0CFB4573">
            <w:pPr>
              <w:pStyle w:val="6"/>
              <w:spacing w:before="121" w:line="232" w:lineRule="auto"/>
              <w:ind w:left="302"/>
            </w:pPr>
            <w:r>
              <w:rPr>
                <w:spacing w:val="-1"/>
              </w:rPr>
              <w:t>23</w:t>
            </w:r>
          </w:p>
        </w:tc>
        <w:tc>
          <w:tcPr>
            <w:tcW w:w="1552" w:type="dxa"/>
            <w:vAlign w:val="top"/>
          </w:tcPr>
          <w:p w14:paraId="5ED93496">
            <w:pPr>
              <w:spacing w:before="86" w:line="220" w:lineRule="auto"/>
              <w:ind w:left="451"/>
              <w:rPr>
                <w:rFonts w:ascii="宋体" w:hAnsi="宋体" w:eastAsia="宋体" w:cs="宋体"/>
                <w:sz w:val="21"/>
                <w:szCs w:val="21"/>
              </w:rPr>
            </w:pPr>
            <w:r>
              <w:rPr>
                <w:rFonts w:ascii="宋体" w:hAnsi="宋体" w:eastAsia="宋体" w:cs="宋体"/>
                <w:spacing w:val="-2"/>
                <w:sz w:val="21"/>
                <w:szCs w:val="21"/>
              </w:rPr>
              <w:t>黄胸鼠</w:t>
            </w:r>
          </w:p>
        </w:tc>
        <w:tc>
          <w:tcPr>
            <w:tcW w:w="1491" w:type="dxa"/>
            <w:vAlign w:val="top"/>
          </w:tcPr>
          <w:p w14:paraId="344D0F92">
            <w:pPr>
              <w:pStyle w:val="6"/>
              <w:spacing w:before="120" w:line="233" w:lineRule="auto"/>
              <w:ind w:left="56"/>
            </w:pPr>
            <w:r>
              <w:rPr>
                <w:i/>
                <w:iCs/>
              </w:rPr>
              <w:t>Rattus</w:t>
            </w:r>
            <w:r>
              <w:rPr>
                <w:i/>
                <w:iCs/>
                <w:spacing w:val="4"/>
              </w:rPr>
              <w:t xml:space="preserve"> </w:t>
            </w:r>
            <w:r>
              <w:rPr>
                <w:i/>
                <w:iCs/>
              </w:rPr>
              <w:t>tanezumi</w:t>
            </w:r>
          </w:p>
        </w:tc>
        <w:tc>
          <w:tcPr>
            <w:tcW w:w="770" w:type="dxa"/>
            <w:vAlign w:val="top"/>
          </w:tcPr>
          <w:p w14:paraId="6EA63F23">
            <w:pPr>
              <w:pStyle w:val="6"/>
              <w:spacing w:before="120" w:line="232" w:lineRule="auto"/>
              <w:ind w:left="336"/>
            </w:pPr>
            <w:r>
              <w:t>9</w:t>
            </w:r>
          </w:p>
        </w:tc>
        <w:tc>
          <w:tcPr>
            <w:tcW w:w="1131" w:type="dxa"/>
            <w:vAlign w:val="top"/>
          </w:tcPr>
          <w:p w14:paraId="7D7D5FF5">
            <w:pPr>
              <w:spacing w:before="86" w:line="220" w:lineRule="auto"/>
              <w:ind w:left="256"/>
              <w:rPr>
                <w:rFonts w:ascii="宋体" w:hAnsi="宋体" w:eastAsia="宋体" w:cs="宋体"/>
                <w:sz w:val="21"/>
                <w:szCs w:val="21"/>
              </w:rPr>
            </w:pPr>
            <w:r>
              <w:rPr>
                <w:rFonts w:ascii="宋体" w:hAnsi="宋体" w:eastAsia="宋体" w:cs="宋体"/>
                <w:spacing w:val="-2"/>
                <w:sz w:val="21"/>
                <w:szCs w:val="21"/>
              </w:rPr>
              <w:t>黄胸鼠</w:t>
            </w:r>
          </w:p>
        </w:tc>
        <w:tc>
          <w:tcPr>
            <w:tcW w:w="1697" w:type="dxa"/>
            <w:vAlign w:val="top"/>
          </w:tcPr>
          <w:p w14:paraId="20AAA1BF">
            <w:pPr>
              <w:pStyle w:val="6"/>
              <w:spacing w:before="120" w:line="233" w:lineRule="auto"/>
              <w:ind w:left="172"/>
            </w:pPr>
            <w:r>
              <w:rPr>
                <w:i/>
                <w:iCs/>
              </w:rPr>
              <w:t>Rattus</w:t>
            </w:r>
            <w:r>
              <w:rPr>
                <w:i/>
                <w:iCs/>
                <w:spacing w:val="4"/>
              </w:rPr>
              <w:t xml:space="preserve"> </w:t>
            </w:r>
            <w:r>
              <w:rPr>
                <w:i/>
                <w:iCs/>
              </w:rPr>
              <w:t>tanezumi</w:t>
            </w:r>
          </w:p>
        </w:tc>
        <w:tc>
          <w:tcPr>
            <w:tcW w:w="985" w:type="dxa"/>
            <w:tcBorders>
              <w:right w:val="single" w:color="000000" w:sz="12" w:space="0"/>
            </w:tcBorders>
            <w:vAlign w:val="top"/>
          </w:tcPr>
          <w:p w14:paraId="21CCF50A">
            <w:pPr>
              <w:rPr>
                <w:rFonts w:ascii="Arial"/>
                <w:sz w:val="21"/>
              </w:rPr>
            </w:pPr>
          </w:p>
        </w:tc>
      </w:tr>
      <w:tr w14:paraId="032D6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47" w:type="dxa"/>
            <w:tcBorders>
              <w:left w:val="single" w:color="000000" w:sz="12" w:space="0"/>
            </w:tcBorders>
            <w:vAlign w:val="top"/>
          </w:tcPr>
          <w:p w14:paraId="285C5CBD">
            <w:pPr>
              <w:pStyle w:val="6"/>
              <w:spacing w:before="221" w:line="235" w:lineRule="auto"/>
              <w:ind w:left="302"/>
            </w:pPr>
            <w:r>
              <w:rPr>
                <w:spacing w:val="-1"/>
              </w:rPr>
              <w:t>24</w:t>
            </w:r>
          </w:p>
        </w:tc>
        <w:tc>
          <w:tcPr>
            <w:tcW w:w="1552" w:type="dxa"/>
            <w:vAlign w:val="top"/>
          </w:tcPr>
          <w:p w14:paraId="58F98133">
            <w:pPr>
              <w:spacing w:before="188" w:line="220" w:lineRule="auto"/>
              <w:ind w:left="456"/>
              <w:rPr>
                <w:rFonts w:ascii="宋体" w:hAnsi="宋体" w:eastAsia="宋体" w:cs="宋体"/>
                <w:sz w:val="21"/>
                <w:szCs w:val="21"/>
              </w:rPr>
            </w:pPr>
            <w:r>
              <w:rPr>
                <w:rFonts w:ascii="宋体" w:hAnsi="宋体" w:eastAsia="宋体" w:cs="宋体"/>
                <w:spacing w:val="-3"/>
                <w:sz w:val="21"/>
                <w:szCs w:val="21"/>
              </w:rPr>
              <w:t>北社鼠</w:t>
            </w:r>
          </w:p>
        </w:tc>
        <w:tc>
          <w:tcPr>
            <w:tcW w:w="1491" w:type="dxa"/>
            <w:vAlign w:val="top"/>
          </w:tcPr>
          <w:p w14:paraId="38D165DE">
            <w:pPr>
              <w:pStyle w:val="6"/>
              <w:spacing w:before="108" w:line="183" w:lineRule="auto"/>
              <w:ind w:left="292"/>
            </w:pPr>
            <w:r>
              <w:rPr>
                <w:i/>
                <w:iCs/>
              </w:rPr>
              <w:t>Niviventer</w:t>
            </w:r>
          </w:p>
          <w:p w14:paraId="75F5CA91">
            <w:pPr>
              <w:pStyle w:val="6"/>
              <w:spacing w:before="50" w:line="190" w:lineRule="auto"/>
              <w:ind w:left="233"/>
            </w:pPr>
            <w:r>
              <w:rPr>
                <w:i/>
                <w:iCs/>
                <w:spacing w:val="-1"/>
              </w:rPr>
              <w:t>confucianus</w:t>
            </w:r>
          </w:p>
        </w:tc>
        <w:tc>
          <w:tcPr>
            <w:tcW w:w="770" w:type="dxa"/>
            <w:vAlign w:val="top"/>
          </w:tcPr>
          <w:p w14:paraId="32585204">
            <w:pPr>
              <w:rPr>
                <w:rFonts w:ascii="Arial"/>
                <w:sz w:val="21"/>
              </w:rPr>
            </w:pPr>
          </w:p>
        </w:tc>
        <w:tc>
          <w:tcPr>
            <w:tcW w:w="1131" w:type="dxa"/>
            <w:vAlign w:val="top"/>
          </w:tcPr>
          <w:p w14:paraId="01C79B86">
            <w:pPr>
              <w:rPr>
                <w:rFonts w:ascii="Arial"/>
                <w:sz w:val="21"/>
              </w:rPr>
            </w:pPr>
          </w:p>
        </w:tc>
        <w:tc>
          <w:tcPr>
            <w:tcW w:w="1697" w:type="dxa"/>
            <w:vAlign w:val="top"/>
          </w:tcPr>
          <w:p w14:paraId="04A3778E">
            <w:pPr>
              <w:rPr>
                <w:rFonts w:ascii="Arial"/>
                <w:sz w:val="21"/>
              </w:rPr>
            </w:pPr>
          </w:p>
        </w:tc>
        <w:tc>
          <w:tcPr>
            <w:tcW w:w="985" w:type="dxa"/>
            <w:tcBorders>
              <w:right w:val="single" w:color="000000" w:sz="12" w:space="0"/>
            </w:tcBorders>
            <w:vAlign w:val="top"/>
          </w:tcPr>
          <w:p w14:paraId="2E8810A2">
            <w:pPr>
              <w:rPr>
                <w:rFonts w:ascii="Arial"/>
                <w:sz w:val="21"/>
              </w:rPr>
            </w:pPr>
          </w:p>
        </w:tc>
      </w:tr>
      <w:tr w14:paraId="3EA87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847" w:type="dxa"/>
            <w:tcBorders>
              <w:left w:val="single" w:color="000000" w:sz="12" w:space="0"/>
            </w:tcBorders>
            <w:vAlign w:val="top"/>
          </w:tcPr>
          <w:p w14:paraId="7DD35EA9">
            <w:pPr>
              <w:pStyle w:val="6"/>
              <w:spacing w:before="224" w:line="232" w:lineRule="auto"/>
              <w:ind w:left="302"/>
            </w:pPr>
            <w:r>
              <w:rPr>
                <w:spacing w:val="-1"/>
              </w:rPr>
              <w:t>25</w:t>
            </w:r>
          </w:p>
        </w:tc>
        <w:tc>
          <w:tcPr>
            <w:tcW w:w="1552" w:type="dxa"/>
            <w:vAlign w:val="top"/>
          </w:tcPr>
          <w:p w14:paraId="2BFCD572">
            <w:pPr>
              <w:spacing w:before="190" w:line="221" w:lineRule="auto"/>
              <w:ind w:left="452"/>
              <w:rPr>
                <w:rFonts w:ascii="宋体" w:hAnsi="宋体" w:eastAsia="宋体" w:cs="宋体"/>
                <w:sz w:val="21"/>
                <w:szCs w:val="21"/>
              </w:rPr>
            </w:pPr>
            <w:r>
              <w:rPr>
                <w:rFonts w:ascii="宋体" w:hAnsi="宋体" w:eastAsia="宋体" w:cs="宋体"/>
                <w:spacing w:val="-2"/>
                <w:sz w:val="21"/>
                <w:szCs w:val="21"/>
              </w:rPr>
              <w:t>针毛鼠</w:t>
            </w:r>
          </w:p>
        </w:tc>
        <w:tc>
          <w:tcPr>
            <w:tcW w:w="1491" w:type="dxa"/>
            <w:vAlign w:val="top"/>
          </w:tcPr>
          <w:p w14:paraId="7B73645F">
            <w:pPr>
              <w:pStyle w:val="6"/>
              <w:spacing w:before="109" w:line="183" w:lineRule="auto"/>
              <w:ind w:left="292"/>
            </w:pPr>
            <w:r>
              <w:rPr>
                <w:i/>
                <w:iCs/>
              </w:rPr>
              <w:t>Niviventer</w:t>
            </w:r>
          </w:p>
          <w:p w14:paraId="689DDBAE">
            <w:pPr>
              <w:pStyle w:val="6"/>
              <w:spacing w:before="51" w:line="190" w:lineRule="auto"/>
              <w:ind w:left="267"/>
            </w:pPr>
            <w:r>
              <w:rPr>
                <w:i/>
                <w:iCs/>
                <w:spacing w:val="3"/>
              </w:rPr>
              <w:t>fulvescens</w:t>
            </w:r>
          </w:p>
        </w:tc>
        <w:tc>
          <w:tcPr>
            <w:tcW w:w="770" w:type="dxa"/>
            <w:vAlign w:val="top"/>
          </w:tcPr>
          <w:p w14:paraId="19B2F730">
            <w:pPr>
              <w:rPr>
                <w:rFonts w:ascii="Arial"/>
                <w:sz w:val="21"/>
              </w:rPr>
            </w:pPr>
          </w:p>
        </w:tc>
        <w:tc>
          <w:tcPr>
            <w:tcW w:w="1131" w:type="dxa"/>
            <w:vAlign w:val="top"/>
          </w:tcPr>
          <w:p w14:paraId="3556070A">
            <w:pPr>
              <w:rPr>
                <w:rFonts w:ascii="Arial"/>
                <w:sz w:val="21"/>
              </w:rPr>
            </w:pPr>
          </w:p>
        </w:tc>
        <w:tc>
          <w:tcPr>
            <w:tcW w:w="1697" w:type="dxa"/>
            <w:vAlign w:val="top"/>
          </w:tcPr>
          <w:p w14:paraId="3773C06B">
            <w:pPr>
              <w:rPr>
                <w:rFonts w:ascii="Arial"/>
                <w:sz w:val="21"/>
              </w:rPr>
            </w:pPr>
          </w:p>
        </w:tc>
        <w:tc>
          <w:tcPr>
            <w:tcW w:w="985" w:type="dxa"/>
            <w:tcBorders>
              <w:right w:val="single" w:color="000000" w:sz="12" w:space="0"/>
            </w:tcBorders>
            <w:vAlign w:val="top"/>
          </w:tcPr>
          <w:p w14:paraId="4CDF5D93">
            <w:pPr>
              <w:rPr>
                <w:rFonts w:ascii="Arial"/>
                <w:sz w:val="21"/>
              </w:rPr>
            </w:pPr>
          </w:p>
        </w:tc>
      </w:tr>
      <w:tr w14:paraId="7F80F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7" w:type="dxa"/>
            <w:tcBorders>
              <w:left w:val="single" w:color="000000" w:sz="12" w:space="0"/>
            </w:tcBorders>
            <w:vAlign w:val="top"/>
          </w:tcPr>
          <w:p w14:paraId="02681B8B">
            <w:pPr>
              <w:pStyle w:val="6"/>
              <w:spacing w:before="128" w:line="229" w:lineRule="auto"/>
              <w:ind w:left="302"/>
            </w:pPr>
            <w:r>
              <w:rPr>
                <w:spacing w:val="-1"/>
              </w:rPr>
              <w:t>26</w:t>
            </w:r>
          </w:p>
        </w:tc>
        <w:tc>
          <w:tcPr>
            <w:tcW w:w="1552" w:type="dxa"/>
            <w:vAlign w:val="top"/>
          </w:tcPr>
          <w:p w14:paraId="6C0B1CF5">
            <w:pPr>
              <w:spacing w:before="95" w:line="221" w:lineRule="auto"/>
              <w:ind w:left="350"/>
              <w:rPr>
                <w:rFonts w:ascii="宋体" w:hAnsi="宋体" w:eastAsia="宋体" w:cs="宋体"/>
                <w:sz w:val="21"/>
                <w:szCs w:val="21"/>
              </w:rPr>
            </w:pPr>
            <w:r>
              <w:rPr>
                <w:rFonts w:ascii="宋体" w:hAnsi="宋体" w:eastAsia="宋体" w:cs="宋体"/>
                <w:spacing w:val="-3"/>
                <w:sz w:val="21"/>
                <w:szCs w:val="21"/>
              </w:rPr>
              <w:t>卡氏小鼠</w:t>
            </w:r>
          </w:p>
        </w:tc>
        <w:tc>
          <w:tcPr>
            <w:tcW w:w="1491" w:type="dxa"/>
            <w:vAlign w:val="top"/>
          </w:tcPr>
          <w:p w14:paraId="363D67C3">
            <w:pPr>
              <w:pStyle w:val="6"/>
              <w:spacing w:before="128" w:line="229" w:lineRule="auto"/>
              <w:ind w:left="270"/>
            </w:pPr>
            <w:r>
              <w:rPr>
                <w:i/>
                <w:iCs/>
              </w:rPr>
              <w:t>Mus</w:t>
            </w:r>
            <w:r>
              <w:rPr>
                <w:i/>
                <w:iCs/>
                <w:spacing w:val="10"/>
              </w:rPr>
              <w:t xml:space="preserve"> </w:t>
            </w:r>
            <w:r>
              <w:rPr>
                <w:i/>
                <w:iCs/>
              </w:rPr>
              <w:t>caroli</w:t>
            </w:r>
          </w:p>
        </w:tc>
        <w:tc>
          <w:tcPr>
            <w:tcW w:w="770" w:type="dxa"/>
            <w:vAlign w:val="top"/>
          </w:tcPr>
          <w:p w14:paraId="23770C53">
            <w:pPr>
              <w:rPr>
                <w:rFonts w:ascii="Arial"/>
                <w:sz w:val="21"/>
              </w:rPr>
            </w:pPr>
          </w:p>
        </w:tc>
        <w:tc>
          <w:tcPr>
            <w:tcW w:w="1131" w:type="dxa"/>
            <w:vAlign w:val="top"/>
          </w:tcPr>
          <w:p w14:paraId="7B08B511">
            <w:pPr>
              <w:rPr>
                <w:rFonts w:ascii="Arial"/>
                <w:sz w:val="21"/>
              </w:rPr>
            </w:pPr>
          </w:p>
        </w:tc>
        <w:tc>
          <w:tcPr>
            <w:tcW w:w="1697" w:type="dxa"/>
            <w:vAlign w:val="top"/>
          </w:tcPr>
          <w:p w14:paraId="5C9E837E">
            <w:pPr>
              <w:rPr>
                <w:rFonts w:ascii="Arial"/>
                <w:sz w:val="21"/>
              </w:rPr>
            </w:pPr>
          </w:p>
        </w:tc>
        <w:tc>
          <w:tcPr>
            <w:tcW w:w="985" w:type="dxa"/>
            <w:tcBorders>
              <w:right w:val="single" w:color="000000" w:sz="12" w:space="0"/>
            </w:tcBorders>
            <w:vAlign w:val="top"/>
          </w:tcPr>
          <w:p w14:paraId="0ECD81FA">
            <w:pPr>
              <w:rPr>
                <w:rFonts w:ascii="Arial"/>
                <w:sz w:val="21"/>
              </w:rPr>
            </w:pPr>
          </w:p>
        </w:tc>
      </w:tr>
      <w:tr w14:paraId="42785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7" w:type="dxa"/>
            <w:tcBorders>
              <w:left w:val="single" w:color="000000" w:sz="12" w:space="0"/>
            </w:tcBorders>
            <w:vAlign w:val="top"/>
          </w:tcPr>
          <w:p w14:paraId="6B15156B">
            <w:pPr>
              <w:pStyle w:val="6"/>
              <w:spacing w:before="130" w:line="227" w:lineRule="auto"/>
              <w:ind w:left="302"/>
            </w:pPr>
            <w:r>
              <w:rPr>
                <w:spacing w:val="-1"/>
              </w:rPr>
              <w:t>27</w:t>
            </w:r>
          </w:p>
        </w:tc>
        <w:tc>
          <w:tcPr>
            <w:tcW w:w="1552" w:type="dxa"/>
            <w:vAlign w:val="top"/>
          </w:tcPr>
          <w:p w14:paraId="3B1D82E1">
            <w:pPr>
              <w:spacing w:before="96" w:line="220" w:lineRule="auto"/>
              <w:ind w:left="458"/>
              <w:rPr>
                <w:rFonts w:ascii="宋体" w:hAnsi="宋体" w:eastAsia="宋体" w:cs="宋体"/>
                <w:sz w:val="21"/>
                <w:szCs w:val="21"/>
              </w:rPr>
            </w:pPr>
            <w:r>
              <w:rPr>
                <w:rFonts w:ascii="宋体" w:hAnsi="宋体" w:eastAsia="宋体" w:cs="宋体"/>
                <w:spacing w:val="-4"/>
                <w:sz w:val="21"/>
                <w:szCs w:val="21"/>
              </w:rPr>
              <w:t>小家鼠</w:t>
            </w:r>
          </w:p>
        </w:tc>
        <w:tc>
          <w:tcPr>
            <w:tcW w:w="1491" w:type="dxa"/>
            <w:vAlign w:val="top"/>
          </w:tcPr>
          <w:p w14:paraId="0486FCF4">
            <w:pPr>
              <w:pStyle w:val="6"/>
              <w:spacing w:before="129" w:line="228" w:lineRule="auto"/>
              <w:ind w:left="131"/>
            </w:pPr>
            <w:r>
              <w:rPr>
                <w:i/>
                <w:iCs/>
              </w:rPr>
              <w:t>Mus</w:t>
            </w:r>
            <w:r>
              <w:rPr>
                <w:i/>
                <w:iCs/>
                <w:spacing w:val="8"/>
              </w:rPr>
              <w:t xml:space="preserve"> </w:t>
            </w:r>
            <w:r>
              <w:rPr>
                <w:i/>
                <w:iCs/>
              </w:rPr>
              <w:t>musculus</w:t>
            </w:r>
          </w:p>
        </w:tc>
        <w:tc>
          <w:tcPr>
            <w:tcW w:w="770" w:type="dxa"/>
            <w:vAlign w:val="top"/>
          </w:tcPr>
          <w:p w14:paraId="38A209F3">
            <w:pPr>
              <w:rPr>
                <w:rFonts w:ascii="Arial"/>
                <w:sz w:val="21"/>
              </w:rPr>
            </w:pPr>
          </w:p>
        </w:tc>
        <w:tc>
          <w:tcPr>
            <w:tcW w:w="1131" w:type="dxa"/>
            <w:vAlign w:val="top"/>
          </w:tcPr>
          <w:p w14:paraId="30408308">
            <w:pPr>
              <w:rPr>
                <w:rFonts w:ascii="Arial"/>
                <w:sz w:val="21"/>
              </w:rPr>
            </w:pPr>
          </w:p>
        </w:tc>
        <w:tc>
          <w:tcPr>
            <w:tcW w:w="1697" w:type="dxa"/>
            <w:vAlign w:val="top"/>
          </w:tcPr>
          <w:p w14:paraId="4C0F84AF">
            <w:pPr>
              <w:rPr>
                <w:rFonts w:ascii="Arial"/>
                <w:sz w:val="21"/>
              </w:rPr>
            </w:pPr>
          </w:p>
        </w:tc>
        <w:tc>
          <w:tcPr>
            <w:tcW w:w="985" w:type="dxa"/>
            <w:tcBorders>
              <w:right w:val="single" w:color="000000" w:sz="12" w:space="0"/>
            </w:tcBorders>
            <w:vAlign w:val="top"/>
          </w:tcPr>
          <w:p w14:paraId="0FF9BE9D">
            <w:pPr>
              <w:rPr>
                <w:rFonts w:ascii="Arial"/>
                <w:sz w:val="21"/>
              </w:rPr>
            </w:pPr>
          </w:p>
        </w:tc>
      </w:tr>
      <w:tr w14:paraId="68B3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847" w:type="dxa"/>
            <w:tcBorders>
              <w:left w:val="single" w:color="000000" w:sz="12" w:space="0"/>
            </w:tcBorders>
            <w:vAlign w:val="top"/>
          </w:tcPr>
          <w:p w14:paraId="51962BAE">
            <w:pPr>
              <w:pStyle w:val="6"/>
              <w:spacing w:before="136" w:line="186" w:lineRule="auto"/>
              <w:ind w:left="275"/>
            </w:pPr>
            <w:r>
              <w:rPr>
                <w:b/>
                <w:bCs/>
                <w:spacing w:val="-3"/>
              </w:rPr>
              <w:t>O5</w:t>
            </w:r>
          </w:p>
        </w:tc>
        <w:tc>
          <w:tcPr>
            <w:tcW w:w="1552" w:type="dxa"/>
            <w:vAlign w:val="top"/>
          </w:tcPr>
          <w:p w14:paraId="4F0E2AD0">
            <w:pPr>
              <w:spacing w:before="97" w:line="221" w:lineRule="auto"/>
              <w:ind w:left="456"/>
              <w:rPr>
                <w:rFonts w:ascii="宋体" w:hAnsi="宋体" w:eastAsia="宋体" w:cs="宋体"/>
                <w:sz w:val="21"/>
                <w:szCs w:val="21"/>
              </w:rPr>
            </w:pPr>
            <w:r>
              <w:rPr>
                <w:rFonts w:ascii="宋体" w:hAnsi="宋体" w:eastAsia="宋体" w:cs="宋体"/>
                <w:b/>
                <w:bCs/>
                <w:spacing w:val="-5"/>
                <w:sz w:val="21"/>
                <w:szCs w:val="21"/>
              </w:rPr>
              <w:t>兔形目</w:t>
            </w:r>
          </w:p>
        </w:tc>
        <w:tc>
          <w:tcPr>
            <w:tcW w:w="1491" w:type="dxa"/>
            <w:vAlign w:val="top"/>
          </w:tcPr>
          <w:p w14:paraId="4877795E">
            <w:pPr>
              <w:pStyle w:val="6"/>
              <w:spacing w:before="136" w:line="186" w:lineRule="auto"/>
              <w:ind w:left="156"/>
            </w:pPr>
            <w:r>
              <w:rPr>
                <w:b/>
                <w:bCs/>
                <w:spacing w:val="-1"/>
              </w:rPr>
              <w:t>Lagomorpha</w:t>
            </w:r>
          </w:p>
        </w:tc>
        <w:tc>
          <w:tcPr>
            <w:tcW w:w="770" w:type="dxa"/>
            <w:vAlign w:val="top"/>
          </w:tcPr>
          <w:p w14:paraId="13ECF587">
            <w:pPr>
              <w:pStyle w:val="6"/>
              <w:spacing w:before="136" w:line="186" w:lineRule="auto"/>
              <w:ind w:left="252"/>
            </w:pPr>
            <w:r>
              <w:rPr>
                <w:b/>
                <w:bCs/>
                <w:spacing w:val="-3"/>
              </w:rPr>
              <w:t>O4</w:t>
            </w:r>
          </w:p>
        </w:tc>
        <w:tc>
          <w:tcPr>
            <w:tcW w:w="1131" w:type="dxa"/>
            <w:vAlign w:val="top"/>
          </w:tcPr>
          <w:p w14:paraId="4A7130DC">
            <w:pPr>
              <w:spacing w:before="97" w:line="221" w:lineRule="auto"/>
              <w:ind w:left="260"/>
              <w:rPr>
                <w:rFonts w:ascii="宋体" w:hAnsi="宋体" w:eastAsia="宋体" w:cs="宋体"/>
                <w:sz w:val="21"/>
                <w:szCs w:val="21"/>
              </w:rPr>
            </w:pPr>
            <w:r>
              <w:rPr>
                <w:rFonts w:ascii="宋体" w:hAnsi="宋体" w:eastAsia="宋体" w:cs="宋体"/>
                <w:b/>
                <w:bCs/>
                <w:spacing w:val="-5"/>
                <w:sz w:val="21"/>
                <w:szCs w:val="21"/>
              </w:rPr>
              <w:t>兔形目</w:t>
            </w:r>
          </w:p>
        </w:tc>
        <w:tc>
          <w:tcPr>
            <w:tcW w:w="1697" w:type="dxa"/>
            <w:vAlign w:val="top"/>
          </w:tcPr>
          <w:p w14:paraId="15E663F6">
            <w:pPr>
              <w:pStyle w:val="6"/>
              <w:spacing w:before="136" w:line="186" w:lineRule="auto"/>
              <w:ind w:left="271"/>
            </w:pPr>
            <w:r>
              <w:rPr>
                <w:b/>
                <w:bCs/>
                <w:spacing w:val="-1"/>
              </w:rPr>
              <w:t>Lagomorpha</w:t>
            </w:r>
          </w:p>
        </w:tc>
        <w:tc>
          <w:tcPr>
            <w:tcW w:w="985" w:type="dxa"/>
            <w:tcBorders>
              <w:right w:val="single" w:color="000000" w:sz="12" w:space="0"/>
            </w:tcBorders>
            <w:vAlign w:val="top"/>
          </w:tcPr>
          <w:p w14:paraId="35AFB201">
            <w:pPr>
              <w:rPr>
                <w:rFonts w:ascii="Arial"/>
                <w:sz w:val="21"/>
              </w:rPr>
            </w:pPr>
          </w:p>
        </w:tc>
      </w:tr>
      <w:tr w14:paraId="143D1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847" w:type="dxa"/>
            <w:tcBorders>
              <w:left w:val="single" w:color="000000" w:sz="12" w:space="0"/>
            </w:tcBorders>
            <w:vAlign w:val="top"/>
          </w:tcPr>
          <w:p w14:paraId="7260DB48">
            <w:pPr>
              <w:pStyle w:val="6"/>
              <w:spacing w:before="141" w:line="183" w:lineRule="auto"/>
              <w:ind w:left="290"/>
            </w:pPr>
            <w:r>
              <w:rPr>
                <w:b/>
                <w:bCs/>
                <w:spacing w:val="-2"/>
              </w:rPr>
              <w:t>F7</w:t>
            </w:r>
          </w:p>
        </w:tc>
        <w:tc>
          <w:tcPr>
            <w:tcW w:w="1552" w:type="dxa"/>
            <w:vAlign w:val="top"/>
          </w:tcPr>
          <w:p w14:paraId="6C6EF19A">
            <w:pPr>
              <w:spacing w:before="99" w:line="219" w:lineRule="auto"/>
              <w:ind w:left="562"/>
              <w:rPr>
                <w:rFonts w:ascii="宋体" w:hAnsi="宋体" w:eastAsia="宋体" w:cs="宋体"/>
                <w:sz w:val="21"/>
                <w:szCs w:val="21"/>
              </w:rPr>
            </w:pPr>
            <w:r>
              <w:rPr>
                <w:rFonts w:ascii="宋体" w:hAnsi="宋体" w:eastAsia="宋体" w:cs="宋体"/>
                <w:b/>
                <w:bCs/>
                <w:spacing w:val="-6"/>
                <w:sz w:val="21"/>
                <w:szCs w:val="21"/>
              </w:rPr>
              <w:t>兔科</w:t>
            </w:r>
          </w:p>
        </w:tc>
        <w:tc>
          <w:tcPr>
            <w:tcW w:w="1491" w:type="dxa"/>
            <w:vAlign w:val="top"/>
          </w:tcPr>
          <w:p w14:paraId="192C16CD">
            <w:pPr>
              <w:pStyle w:val="6"/>
              <w:spacing w:before="138" w:line="187" w:lineRule="auto"/>
              <w:ind w:left="278"/>
            </w:pPr>
            <w:r>
              <w:rPr>
                <w:b/>
                <w:bCs/>
                <w:spacing w:val="-1"/>
              </w:rPr>
              <w:t>Leporidae</w:t>
            </w:r>
          </w:p>
        </w:tc>
        <w:tc>
          <w:tcPr>
            <w:tcW w:w="770" w:type="dxa"/>
            <w:vAlign w:val="top"/>
          </w:tcPr>
          <w:p w14:paraId="47A1D4CE">
            <w:pPr>
              <w:pStyle w:val="6"/>
              <w:spacing w:before="141" w:line="183" w:lineRule="auto"/>
              <w:ind w:left="267"/>
            </w:pPr>
            <w:r>
              <w:rPr>
                <w:b/>
                <w:bCs/>
                <w:spacing w:val="-2"/>
              </w:rPr>
              <w:t>F7</w:t>
            </w:r>
          </w:p>
        </w:tc>
        <w:tc>
          <w:tcPr>
            <w:tcW w:w="1131" w:type="dxa"/>
            <w:vAlign w:val="top"/>
          </w:tcPr>
          <w:p w14:paraId="132173E2">
            <w:pPr>
              <w:spacing w:before="99" w:line="219" w:lineRule="auto"/>
              <w:ind w:left="366"/>
              <w:rPr>
                <w:rFonts w:ascii="宋体" w:hAnsi="宋体" w:eastAsia="宋体" w:cs="宋体"/>
                <w:sz w:val="21"/>
                <w:szCs w:val="21"/>
              </w:rPr>
            </w:pPr>
            <w:r>
              <w:rPr>
                <w:rFonts w:ascii="宋体" w:hAnsi="宋体" w:eastAsia="宋体" w:cs="宋体"/>
                <w:b/>
                <w:bCs/>
                <w:spacing w:val="-6"/>
                <w:sz w:val="21"/>
                <w:szCs w:val="21"/>
              </w:rPr>
              <w:t>兔科</w:t>
            </w:r>
          </w:p>
        </w:tc>
        <w:tc>
          <w:tcPr>
            <w:tcW w:w="1697" w:type="dxa"/>
            <w:vAlign w:val="top"/>
          </w:tcPr>
          <w:p w14:paraId="2D3F390D">
            <w:pPr>
              <w:pStyle w:val="6"/>
              <w:spacing w:before="138" w:line="187" w:lineRule="auto"/>
              <w:ind w:left="393"/>
            </w:pPr>
            <w:r>
              <w:rPr>
                <w:b/>
                <w:bCs/>
                <w:spacing w:val="-1"/>
              </w:rPr>
              <w:t>Leporidae</w:t>
            </w:r>
          </w:p>
        </w:tc>
        <w:tc>
          <w:tcPr>
            <w:tcW w:w="985" w:type="dxa"/>
            <w:tcBorders>
              <w:right w:val="single" w:color="000000" w:sz="12" w:space="0"/>
            </w:tcBorders>
            <w:vAlign w:val="top"/>
          </w:tcPr>
          <w:p w14:paraId="08B8D936">
            <w:pPr>
              <w:rPr>
                <w:rFonts w:ascii="Arial"/>
                <w:sz w:val="21"/>
              </w:rPr>
            </w:pPr>
          </w:p>
        </w:tc>
      </w:tr>
      <w:tr w14:paraId="156EA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847" w:type="dxa"/>
            <w:tcBorders>
              <w:left w:val="single" w:color="000000" w:sz="12" w:space="0"/>
              <w:bottom w:val="single" w:color="000000" w:sz="12" w:space="0"/>
            </w:tcBorders>
            <w:vAlign w:val="top"/>
          </w:tcPr>
          <w:p w14:paraId="2912A438">
            <w:pPr>
              <w:pStyle w:val="6"/>
              <w:spacing w:before="136" w:line="232" w:lineRule="auto"/>
              <w:ind w:left="302"/>
            </w:pPr>
            <w:r>
              <w:rPr>
                <w:spacing w:val="-1"/>
              </w:rPr>
              <w:t>28</w:t>
            </w:r>
          </w:p>
        </w:tc>
        <w:tc>
          <w:tcPr>
            <w:tcW w:w="1552" w:type="dxa"/>
            <w:tcBorders>
              <w:bottom w:val="single" w:color="000000" w:sz="12" w:space="0"/>
            </w:tcBorders>
            <w:vAlign w:val="top"/>
          </w:tcPr>
          <w:p w14:paraId="1D8E8EEC">
            <w:pPr>
              <w:spacing w:before="102" w:line="221" w:lineRule="auto"/>
              <w:ind w:left="458"/>
              <w:rPr>
                <w:rFonts w:ascii="宋体" w:hAnsi="宋体" w:eastAsia="宋体" w:cs="宋体"/>
                <w:sz w:val="21"/>
                <w:szCs w:val="21"/>
              </w:rPr>
            </w:pPr>
            <w:r>
              <w:rPr>
                <w:rFonts w:ascii="宋体" w:hAnsi="宋体" w:eastAsia="宋体" w:cs="宋体"/>
                <w:spacing w:val="-4"/>
                <w:sz w:val="21"/>
                <w:szCs w:val="21"/>
              </w:rPr>
              <w:t>云南兔</w:t>
            </w:r>
          </w:p>
        </w:tc>
        <w:tc>
          <w:tcPr>
            <w:tcW w:w="1491" w:type="dxa"/>
            <w:tcBorders>
              <w:bottom w:val="single" w:color="000000" w:sz="12" w:space="0"/>
            </w:tcBorders>
            <w:vAlign w:val="top"/>
          </w:tcPr>
          <w:p w14:paraId="35050199">
            <w:pPr>
              <w:pStyle w:val="6"/>
              <w:spacing w:before="136" w:line="190" w:lineRule="auto"/>
              <w:ind w:left="183"/>
            </w:pPr>
            <w:r>
              <w:rPr>
                <w:i/>
                <w:iCs/>
              </w:rPr>
              <w:t>Lepus</w:t>
            </w:r>
            <w:r>
              <w:rPr>
                <w:i/>
                <w:iCs/>
                <w:spacing w:val="7"/>
              </w:rPr>
              <w:t xml:space="preserve"> </w:t>
            </w:r>
            <w:r>
              <w:rPr>
                <w:i/>
                <w:iCs/>
              </w:rPr>
              <w:t>comus</w:t>
            </w:r>
          </w:p>
        </w:tc>
        <w:tc>
          <w:tcPr>
            <w:tcW w:w="770" w:type="dxa"/>
            <w:tcBorders>
              <w:bottom w:val="single" w:color="000000" w:sz="12" w:space="0"/>
            </w:tcBorders>
            <w:vAlign w:val="top"/>
          </w:tcPr>
          <w:p w14:paraId="5343D7E3">
            <w:pPr>
              <w:pStyle w:val="6"/>
              <w:spacing w:before="136" w:line="232" w:lineRule="auto"/>
              <w:ind w:left="299"/>
            </w:pPr>
            <w:r>
              <w:rPr>
                <w:spacing w:val="-6"/>
              </w:rPr>
              <w:t>10</w:t>
            </w:r>
          </w:p>
        </w:tc>
        <w:tc>
          <w:tcPr>
            <w:tcW w:w="1131" w:type="dxa"/>
            <w:tcBorders>
              <w:bottom w:val="single" w:color="000000" w:sz="12" w:space="0"/>
            </w:tcBorders>
            <w:vAlign w:val="top"/>
          </w:tcPr>
          <w:p w14:paraId="21D0FA0D">
            <w:pPr>
              <w:spacing w:before="102" w:line="221" w:lineRule="auto"/>
              <w:ind w:left="262"/>
              <w:rPr>
                <w:rFonts w:ascii="宋体" w:hAnsi="宋体" w:eastAsia="宋体" w:cs="宋体"/>
                <w:sz w:val="21"/>
                <w:szCs w:val="21"/>
              </w:rPr>
            </w:pPr>
            <w:r>
              <w:rPr>
                <w:rFonts w:ascii="宋体" w:hAnsi="宋体" w:eastAsia="宋体" w:cs="宋体"/>
                <w:spacing w:val="-4"/>
                <w:sz w:val="21"/>
                <w:szCs w:val="21"/>
              </w:rPr>
              <w:t>云南兔</w:t>
            </w:r>
          </w:p>
        </w:tc>
        <w:tc>
          <w:tcPr>
            <w:tcW w:w="1697" w:type="dxa"/>
            <w:tcBorders>
              <w:bottom w:val="single" w:color="000000" w:sz="12" w:space="0"/>
            </w:tcBorders>
            <w:vAlign w:val="top"/>
          </w:tcPr>
          <w:p w14:paraId="7A890060">
            <w:pPr>
              <w:pStyle w:val="6"/>
              <w:spacing w:before="136" w:line="190" w:lineRule="auto"/>
              <w:ind w:left="299"/>
            </w:pPr>
            <w:r>
              <w:rPr>
                <w:i/>
                <w:iCs/>
              </w:rPr>
              <w:t>Lepus</w:t>
            </w:r>
            <w:r>
              <w:rPr>
                <w:i/>
                <w:iCs/>
                <w:spacing w:val="7"/>
              </w:rPr>
              <w:t xml:space="preserve"> </w:t>
            </w:r>
            <w:r>
              <w:rPr>
                <w:i/>
                <w:iCs/>
              </w:rPr>
              <w:t>comus</w:t>
            </w:r>
          </w:p>
        </w:tc>
        <w:tc>
          <w:tcPr>
            <w:tcW w:w="985" w:type="dxa"/>
            <w:tcBorders>
              <w:bottom w:val="single" w:color="000000" w:sz="12" w:space="0"/>
              <w:right w:val="single" w:color="000000" w:sz="12" w:space="0"/>
            </w:tcBorders>
            <w:vAlign w:val="top"/>
          </w:tcPr>
          <w:p w14:paraId="511FA173">
            <w:pPr>
              <w:rPr>
                <w:rFonts w:ascii="Arial"/>
                <w:sz w:val="21"/>
              </w:rPr>
            </w:pPr>
          </w:p>
        </w:tc>
      </w:tr>
    </w:tbl>
    <w:p w14:paraId="4B049F7C">
      <w:pPr>
        <w:spacing w:line="478" w:lineRule="auto"/>
        <w:rPr>
          <w:rFonts w:ascii="Arial"/>
          <w:sz w:val="21"/>
        </w:rPr>
      </w:pPr>
    </w:p>
    <w:p w14:paraId="668A87BF">
      <w:pPr>
        <w:pStyle w:val="2"/>
        <w:spacing w:before="78" w:line="339" w:lineRule="auto"/>
        <w:ind w:left="39" w:right="241" w:firstLine="508"/>
        <w:rPr>
          <w:sz w:val="24"/>
          <w:szCs w:val="24"/>
        </w:rPr>
      </w:pPr>
      <w:r>
        <w:rPr>
          <w:spacing w:val="-7"/>
          <w:sz w:val="24"/>
          <w:szCs w:val="24"/>
        </w:rPr>
        <w:t>由上表</w:t>
      </w:r>
      <w:r>
        <w:rPr>
          <w:spacing w:val="-50"/>
          <w:sz w:val="24"/>
          <w:szCs w:val="24"/>
        </w:rPr>
        <w:t xml:space="preserve"> </w:t>
      </w:r>
      <w:r>
        <w:rPr>
          <w:rFonts w:ascii="Times New Roman" w:hAnsi="Times New Roman" w:eastAsia="Times New Roman" w:cs="Times New Roman"/>
          <w:spacing w:val="-7"/>
          <w:sz w:val="24"/>
          <w:szCs w:val="24"/>
        </w:rPr>
        <w:t xml:space="preserve">6.1-14 </w:t>
      </w:r>
      <w:r>
        <w:rPr>
          <w:spacing w:val="-7"/>
          <w:sz w:val="24"/>
          <w:szCs w:val="24"/>
        </w:rPr>
        <w:t>物种对比结果分析：施工期监</w:t>
      </w:r>
      <w:r>
        <w:rPr>
          <w:spacing w:val="-8"/>
          <w:sz w:val="24"/>
          <w:szCs w:val="24"/>
        </w:rPr>
        <w:t>测较环评阶段新增</w:t>
      </w:r>
      <w:r>
        <w:rPr>
          <w:spacing w:val="-32"/>
          <w:sz w:val="24"/>
          <w:szCs w:val="24"/>
        </w:rPr>
        <w:t xml:space="preserve"> </w:t>
      </w:r>
      <w:r>
        <w:rPr>
          <w:rFonts w:ascii="Times New Roman" w:hAnsi="Times New Roman" w:eastAsia="Times New Roman" w:cs="Times New Roman"/>
          <w:spacing w:val="-8"/>
          <w:sz w:val="24"/>
          <w:szCs w:val="24"/>
        </w:rPr>
        <w:t xml:space="preserve">1 </w:t>
      </w:r>
      <w:r>
        <w:rPr>
          <w:spacing w:val="-8"/>
          <w:sz w:val="24"/>
          <w:szCs w:val="24"/>
        </w:rPr>
        <w:t>种，即豹猫；</w:t>
      </w:r>
      <w:r>
        <w:rPr>
          <w:sz w:val="24"/>
          <w:szCs w:val="24"/>
        </w:rPr>
        <w:t xml:space="preserve"> </w:t>
      </w:r>
      <w:r>
        <w:rPr>
          <w:rFonts w:ascii="Times New Roman" w:hAnsi="Times New Roman" w:eastAsia="Times New Roman" w:cs="Times New Roman"/>
          <w:spacing w:val="-1"/>
          <w:sz w:val="24"/>
          <w:szCs w:val="24"/>
        </w:rPr>
        <w:t xml:space="preserve">9 </w:t>
      </w:r>
      <w:r>
        <w:rPr>
          <w:spacing w:val="-1"/>
          <w:sz w:val="24"/>
          <w:szCs w:val="24"/>
        </w:rPr>
        <w:t>种和环评阶段记录相同；</w:t>
      </w:r>
      <w:r>
        <w:rPr>
          <w:rFonts w:ascii="Times New Roman" w:hAnsi="Times New Roman" w:eastAsia="Times New Roman" w:cs="Times New Roman"/>
          <w:spacing w:val="-1"/>
          <w:sz w:val="24"/>
          <w:szCs w:val="24"/>
        </w:rPr>
        <w:t xml:space="preserve">19 </w:t>
      </w:r>
      <w:r>
        <w:rPr>
          <w:spacing w:val="-1"/>
          <w:sz w:val="24"/>
          <w:szCs w:val="24"/>
        </w:rPr>
        <w:t>种环评阶段记录的兽类施工期监测</w:t>
      </w:r>
      <w:r>
        <w:rPr>
          <w:spacing w:val="-2"/>
          <w:sz w:val="24"/>
          <w:szCs w:val="24"/>
        </w:rPr>
        <w:t>未记录到。</w:t>
      </w:r>
    </w:p>
    <w:p w14:paraId="6ECC3B93">
      <w:pPr>
        <w:pStyle w:val="2"/>
        <w:spacing w:before="1" w:line="338" w:lineRule="auto"/>
        <w:ind w:left="38" w:firstLine="481"/>
        <w:jc w:val="both"/>
        <w:rPr>
          <w:sz w:val="24"/>
          <w:szCs w:val="24"/>
        </w:rPr>
      </w:pPr>
      <w:r>
        <w:rPr>
          <w:spacing w:val="-1"/>
          <w:sz w:val="24"/>
          <w:szCs w:val="24"/>
        </w:rPr>
        <w:t>两期监测差异的原因主要为：①小型兽类，如劳</w:t>
      </w:r>
      <w:r>
        <w:rPr>
          <w:spacing w:val="-2"/>
          <w:sz w:val="24"/>
          <w:szCs w:val="24"/>
        </w:rPr>
        <w:t>亚食虫目</w:t>
      </w:r>
      <w:r>
        <w:rPr>
          <w:spacing w:val="-64"/>
          <w:sz w:val="24"/>
          <w:szCs w:val="24"/>
        </w:rPr>
        <w:t xml:space="preserve"> </w:t>
      </w:r>
      <w:r>
        <w:rPr>
          <w:rFonts w:ascii="Times New Roman" w:hAnsi="Times New Roman" w:eastAsia="Times New Roman" w:cs="Times New Roman"/>
          <w:i/>
          <w:iCs/>
          <w:spacing w:val="-2"/>
          <w:sz w:val="24"/>
          <w:szCs w:val="24"/>
        </w:rPr>
        <w:t xml:space="preserve">Eulipotyphla </w:t>
      </w:r>
      <w:r>
        <w:rPr>
          <w:spacing w:val="-2"/>
          <w:sz w:val="24"/>
          <w:szCs w:val="24"/>
        </w:rPr>
        <w:t>和啮齿</w:t>
      </w:r>
      <w:r>
        <w:rPr>
          <w:sz w:val="24"/>
          <w:szCs w:val="24"/>
        </w:rPr>
        <w:t>目</w:t>
      </w:r>
      <w:r>
        <w:rPr>
          <w:spacing w:val="-27"/>
          <w:sz w:val="24"/>
          <w:szCs w:val="24"/>
        </w:rPr>
        <w:t xml:space="preserve"> </w:t>
      </w:r>
      <w:r>
        <w:rPr>
          <w:rFonts w:ascii="Times New Roman" w:hAnsi="Times New Roman" w:eastAsia="Times New Roman" w:cs="Times New Roman"/>
          <w:i/>
          <w:iCs/>
          <w:sz w:val="24"/>
          <w:szCs w:val="24"/>
        </w:rPr>
        <w:t>Rodentia</w:t>
      </w:r>
      <w:r>
        <w:rPr>
          <w:rFonts w:ascii="Times New Roman" w:hAnsi="Times New Roman" w:eastAsia="Times New Roman" w:cs="Times New Roman"/>
          <w:i/>
          <w:iCs/>
          <w:spacing w:val="49"/>
          <w:sz w:val="24"/>
          <w:szCs w:val="24"/>
        </w:rPr>
        <w:t xml:space="preserve"> </w:t>
      </w:r>
      <w:r>
        <w:rPr>
          <w:sz w:val="24"/>
          <w:szCs w:val="24"/>
        </w:rPr>
        <w:t>动物体型较小，且多于夜间活动，遇</w:t>
      </w:r>
      <w:r>
        <w:rPr>
          <w:spacing w:val="-1"/>
          <w:sz w:val="24"/>
          <w:szCs w:val="24"/>
        </w:rPr>
        <w:t>见率较低；②环评阶段调查数据</w:t>
      </w:r>
      <w:r>
        <w:rPr>
          <w:spacing w:val="-5"/>
          <w:sz w:val="24"/>
          <w:szCs w:val="24"/>
        </w:rPr>
        <w:t>部分由文献资料补充，而施工期监测仅记录了目击或</w:t>
      </w:r>
      <w:r>
        <w:rPr>
          <w:spacing w:val="-6"/>
          <w:sz w:val="24"/>
          <w:szCs w:val="24"/>
        </w:rPr>
        <w:t>访查可信度较高的物种。因此，</w:t>
      </w:r>
      <w:r>
        <w:rPr>
          <w:spacing w:val="-1"/>
          <w:sz w:val="24"/>
          <w:szCs w:val="24"/>
        </w:rPr>
        <w:t>施工期记录物种数量较环评阶段较少。</w:t>
      </w:r>
    </w:p>
    <w:p w14:paraId="4AAC4FB1">
      <w:pPr>
        <w:pStyle w:val="2"/>
        <w:spacing w:line="329" w:lineRule="auto"/>
        <w:ind w:left="24" w:right="186" w:firstLine="494"/>
        <w:rPr>
          <w:sz w:val="24"/>
          <w:szCs w:val="24"/>
        </w:rPr>
      </w:pPr>
      <w:r>
        <w:rPr>
          <w:spacing w:val="12"/>
          <w:sz w:val="24"/>
          <w:szCs w:val="24"/>
        </w:rPr>
        <w:t xml:space="preserve">环评阶段记录的特有种有：岩松鼠 </w:t>
      </w:r>
      <w:r>
        <w:rPr>
          <w:rFonts w:ascii="Times New Roman" w:hAnsi="Times New Roman" w:eastAsia="Times New Roman" w:cs="Times New Roman"/>
          <w:i/>
          <w:iCs/>
          <w:sz w:val="24"/>
          <w:szCs w:val="24"/>
        </w:rPr>
        <w:t>Sciurotamias</w:t>
      </w:r>
      <w:r>
        <w:rPr>
          <w:rFonts w:ascii="Times New Roman" w:hAnsi="Times New Roman" w:eastAsia="Times New Roman" w:cs="Times New Roman"/>
          <w:i/>
          <w:iCs/>
          <w:spacing w:val="65"/>
          <w:w w:val="101"/>
          <w:sz w:val="24"/>
          <w:szCs w:val="24"/>
        </w:rPr>
        <w:t xml:space="preserve"> </w:t>
      </w:r>
      <w:r>
        <w:rPr>
          <w:rFonts w:ascii="Times New Roman" w:hAnsi="Times New Roman" w:eastAsia="Times New Roman" w:cs="Times New Roman"/>
          <w:i/>
          <w:iCs/>
          <w:sz w:val="24"/>
          <w:szCs w:val="24"/>
        </w:rPr>
        <w:t>davidianus</w:t>
      </w:r>
      <w:r>
        <w:rPr>
          <w:rFonts w:ascii="Times New Roman" w:hAnsi="Times New Roman" w:eastAsia="Times New Roman" w:cs="Times New Roman"/>
          <w:i/>
          <w:iCs/>
          <w:spacing w:val="12"/>
          <w:sz w:val="24"/>
          <w:szCs w:val="24"/>
        </w:rPr>
        <w:t xml:space="preserve">  </w:t>
      </w:r>
      <w:r>
        <w:rPr>
          <w:spacing w:val="12"/>
          <w:sz w:val="24"/>
          <w:szCs w:val="24"/>
        </w:rPr>
        <w:t>和侧纹岩松鼠</w:t>
      </w:r>
      <w:r>
        <w:rPr>
          <w:rFonts w:ascii="Times New Roman" w:hAnsi="Times New Roman" w:eastAsia="Times New Roman" w:cs="Times New Roman"/>
          <w:i/>
          <w:iCs/>
          <w:sz w:val="24"/>
          <w:szCs w:val="24"/>
        </w:rPr>
        <w:t>Rupestes</w:t>
      </w:r>
      <w:r>
        <w:rPr>
          <w:rFonts w:ascii="Times New Roman" w:hAnsi="Times New Roman" w:eastAsia="Times New Roman" w:cs="Times New Roman"/>
          <w:i/>
          <w:iCs/>
          <w:spacing w:val="-41"/>
          <w:sz w:val="24"/>
          <w:szCs w:val="24"/>
        </w:rPr>
        <w:t xml:space="preserve"> </w:t>
      </w:r>
      <w:r>
        <w:rPr>
          <w:rFonts w:ascii="Times New Roman" w:hAnsi="Times New Roman" w:eastAsia="Times New Roman" w:cs="Times New Roman"/>
          <w:i/>
          <w:iCs/>
          <w:sz w:val="24"/>
          <w:szCs w:val="24"/>
        </w:rPr>
        <w:t xml:space="preserve">forresti </w:t>
      </w:r>
      <w:r>
        <w:rPr>
          <w:sz w:val="24"/>
          <w:szCs w:val="24"/>
        </w:rPr>
        <w:t>两种。施工期监测未记录到兽类特有种。</w:t>
      </w:r>
    </w:p>
    <w:p w14:paraId="1ADDC1C9">
      <w:pPr>
        <w:pStyle w:val="2"/>
        <w:spacing w:before="26" w:line="334" w:lineRule="auto"/>
        <w:ind w:left="40" w:right="185" w:firstLine="479"/>
        <w:jc w:val="both"/>
        <w:rPr>
          <w:sz w:val="24"/>
          <w:szCs w:val="24"/>
        </w:rPr>
      </w:pPr>
      <w:r>
        <w:rPr>
          <w:spacing w:val="-2"/>
          <w:sz w:val="24"/>
          <w:szCs w:val="24"/>
        </w:rPr>
        <w:t>环评阶段记录的保护种为被</w:t>
      </w:r>
      <w:r>
        <w:rPr>
          <w:spacing w:val="-51"/>
          <w:sz w:val="24"/>
          <w:szCs w:val="24"/>
        </w:rPr>
        <w:t xml:space="preserve"> </w:t>
      </w:r>
      <w:r>
        <w:rPr>
          <w:rFonts w:ascii="Times New Roman" w:hAnsi="Times New Roman" w:eastAsia="Times New Roman" w:cs="Times New Roman"/>
          <w:spacing w:val="-2"/>
          <w:sz w:val="24"/>
          <w:szCs w:val="24"/>
        </w:rPr>
        <w:t>CITES</w:t>
      </w:r>
      <w:r>
        <w:rPr>
          <w:rFonts w:ascii="Times New Roman" w:hAnsi="Times New Roman" w:eastAsia="Times New Roman" w:cs="Times New Roman"/>
          <w:spacing w:val="28"/>
          <w:sz w:val="24"/>
          <w:szCs w:val="24"/>
        </w:rPr>
        <w:t xml:space="preserve"> </w:t>
      </w:r>
      <w:r>
        <w:rPr>
          <w:spacing w:val="-2"/>
          <w:sz w:val="24"/>
          <w:szCs w:val="24"/>
        </w:rPr>
        <w:t>附录Ⅱ收录的北树鼩</w:t>
      </w:r>
      <w:r>
        <w:rPr>
          <w:spacing w:val="-43"/>
          <w:sz w:val="24"/>
          <w:szCs w:val="24"/>
        </w:rPr>
        <w:t xml:space="preserve"> </w:t>
      </w:r>
      <w:r>
        <w:rPr>
          <w:rFonts w:ascii="Times New Roman" w:hAnsi="Times New Roman" w:eastAsia="Times New Roman" w:cs="Times New Roman"/>
          <w:i/>
          <w:iCs/>
          <w:spacing w:val="-2"/>
          <w:sz w:val="24"/>
          <w:szCs w:val="24"/>
        </w:rPr>
        <w:t>Tupaia</w:t>
      </w:r>
      <w:r>
        <w:rPr>
          <w:rFonts w:ascii="Times New Roman" w:hAnsi="Times New Roman" w:eastAsia="Times New Roman" w:cs="Times New Roman"/>
          <w:i/>
          <w:iCs/>
          <w:spacing w:val="17"/>
          <w:w w:val="101"/>
          <w:sz w:val="24"/>
          <w:szCs w:val="24"/>
        </w:rPr>
        <w:t xml:space="preserve"> </w:t>
      </w:r>
      <w:r>
        <w:rPr>
          <w:rFonts w:ascii="Times New Roman" w:hAnsi="Times New Roman" w:eastAsia="Times New Roman" w:cs="Times New Roman"/>
          <w:i/>
          <w:iCs/>
          <w:spacing w:val="-2"/>
          <w:sz w:val="24"/>
          <w:szCs w:val="24"/>
        </w:rPr>
        <w:t>b</w:t>
      </w:r>
      <w:r>
        <w:rPr>
          <w:rFonts w:ascii="Times New Roman" w:hAnsi="Times New Roman" w:eastAsia="Times New Roman" w:cs="Times New Roman"/>
          <w:i/>
          <w:iCs/>
          <w:spacing w:val="-3"/>
          <w:sz w:val="24"/>
          <w:szCs w:val="24"/>
        </w:rPr>
        <w:t>elangeri</w:t>
      </w:r>
      <w:r>
        <w:rPr>
          <w:spacing w:val="-3"/>
          <w:sz w:val="24"/>
          <w:szCs w:val="24"/>
        </w:rPr>
        <w:t>。施</w:t>
      </w:r>
      <w:r>
        <w:rPr>
          <w:spacing w:val="-1"/>
          <w:sz w:val="24"/>
          <w:szCs w:val="24"/>
        </w:rPr>
        <w:t>工期记录到保护种</w:t>
      </w:r>
      <w:r>
        <w:rPr>
          <w:spacing w:val="-55"/>
          <w:sz w:val="24"/>
          <w:szCs w:val="24"/>
        </w:rPr>
        <w:t xml:space="preserve"> </w:t>
      </w:r>
      <w:r>
        <w:rPr>
          <w:rFonts w:ascii="Times New Roman" w:hAnsi="Times New Roman" w:eastAsia="Times New Roman" w:cs="Times New Roman"/>
          <w:spacing w:val="-1"/>
          <w:sz w:val="24"/>
          <w:szCs w:val="24"/>
        </w:rPr>
        <w:t xml:space="preserve">2 </w:t>
      </w:r>
      <w:r>
        <w:rPr>
          <w:spacing w:val="-1"/>
          <w:sz w:val="24"/>
          <w:szCs w:val="24"/>
        </w:rPr>
        <w:t>种，即被</w:t>
      </w:r>
      <w:r>
        <w:rPr>
          <w:spacing w:val="-51"/>
          <w:sz w:val="24"/>
          <w:szCs w:val="24"/>
        </w:rPr>
        <w:t xml:space="preserve"> </w:t>
      </w:r>
      <w:r>
        <w:rPr>
          <w:rFonts w:ascii="Times New Roman" w:hAnsi="Times New Roman" w:eastAsia="Times New Roman" w:cs="Times New Roman"/>
          <w:spacing w:val="-1"/>
          <w:sz w:val="24"/>
          <w:szCs w:val="24"/>
        </w:rPr>
        <w:t xml:space="preserve">CITES </w:t>
      </w:r>
      <w:r>
        <w:rPr>
          <w:spacing w:val="-1"/>
          <w:sz w:val="24"/>
          <w:szCs w:val="24"/>
        </w:rPr>
        <w:t>列入附录Ⅱ的北树鼩</w:t>
      </w:r>
      <w:r>
        <w:rPr>
          <w:spacing w:val="-43"/>
          <w:sz w:val="24"/>
          <w:szCs w:val="24"/>
        </w:rPr>
        <w:t xml:space="preserve"> </w:t>
      </w:r>
      <w:r>
        <w:rPr>
          <w:rFonts w:ascii="Times New Roman" w:hAnsi="Times New Roman" w:eastAsia="Times New Roman" w:cs="Times New Roman"/>
          <w:i/>
          <w:iCs/>
          <w:spacing w:val="-1"/>
          <w:sz w:val="24"/>
          <w:szCs w:val="24"/>
        </w:rPr>
        <w:t>Tu</w:t>
      </w:r>
      <w:r>
        <w:rPr>
          <w:rFonts w:ascii="Times New Roman" w:hAnsi="Times New Roman" w:eastAsia="Times New Roman" w:cs="Times New Roman"/>
          <w:i/>
          <w:iCs/>
          <w:spacing w:val="-2"/>
          <w:sz w:val="24"/>
          <w:szCs w:val="24"/>
        </w:rPr>
        <w:t>paia</w:t>
      </w:r>
      <w:r>
        <w:rPr>
          <w:rFonts w:ascii="Times New Roman" w:hAnsi="Times New Roman" w:eastAsia="Times New Roman" w:cs="Times New Roman"/>
          <w:i/>
          <w:iCs/>
          <w:spacing w:val="18"/>
          <w:sz w:val="24"/>
          <w:szCs w:val="24"/>
        </w:rPr>
        <w:t xml:space="preserve"> </w:t>
      </w:r>
      <w:r>
        <w:rPr>
          <w:rFonts w:ascii="Times New Roman" w:hAnsi="Times New Roman" w:eastAsia="Times New Roman" w:cs="Times New Roman"/>
          <w:i/>
          <w:iCs/>
          <w:spacing w:val="-2"/>
          <w:sz w:val="24"/>
          <w:szCs w:val="24"/>
        </w:rPr>
        <w:t>belangeri</w:t>
      </w:r>
      <w:r>
        <w:rPr>
          <w:spacing w:val="-2"/>
          <w:sz w:val="24"/>
          <w:szCs w:val="24"/>
        </w:rPr>
        <w:t>，和本次新记录到的豹猫</w:t>
      </w:r>
      <w:r>
        <w:rPr>
          <w:spacing w:val="-66"/>
          <w:sz w:val="24"/>
          <w:szCs w:val="24"/>
        </w:rPr>
        <w:t xml:space="preserve"> </w:t>
      </w:r>
      <w:r>
        <w:rPr>
          <w:rFonts w:ascii="Times New Roman" w:hAnsi="Times New Roman" w:eastAsia="Times New Roman" w:cs="Times New Roman"/>
          <w:i/>
          <w:iCs/>
          <w:spacing w:val="-2"/>
          <w:sz w:val="24"/>
          <w:szCs w:val="24"/>
        </w:rPr>
        <w:t>Prionailurus bengalensis</w:t>
      </w:r>
      <w:r>
        <w:rPr>
          <w:spacing w:val="-2"/>
          <w:sz w:val="24"/>
          <w:szCs w:val="24"/>
        </w:rPr>
        <w:t>，除被</w:t>
      </w:r>
      <w:r>
        <w:rPr>
          <w:spacing w:val="-51"/>
          <w:sz w:val="24"/>
          <w:szCs w:val="24"/>
        </w:rPr>
        <w:t xml:space="preserve"> </w:t>
      </w:r>
      <w:r>
        <w:rPr>
          <w:rFonts w:ascii="Times New Roman" w:hAnsi="Times New Roman" w:eastAsia="Times New Roman" w:cs="Times New Roman"/>
          <w:spacing w:val="-2"/>
          <w:sz w:val="24"/>
          <w:szCs w:val="24"/>
        </w:rPr>
        <w:t>CITES</w:t>
      </w:r>
      <w:r>
        <w:rPr>
          <w:rFonts w:ascii="Times New Roman" w:hAnsi="Times New Roman" w:eastAsia="Times New Roman" w:cs="Times New Roman"/>
          <w:spacing w:val="-3"/>
          <w:sz w:val="24"/>
          <w:szCs w:val="24"/>
        </w:rPr>
        <w:t xml:space="preserve"> </w:t>
      </w:r>
      <w:r>
        <w:rPr>
          <w:spacing w:val="-3"/>
          <w:sz w:val="24"/>
          <w:szCs w:val="24"/>
        </w:rPr>
        <w:t>列入附录Ⅱ,</w:t>
      </w:r>
      <w:r>
        <w:rPr>
          <w:spacing w:val="59"/>
          <w:sz w:val="24"/>
          <w:szCs w:val="24"/>
        </w:rPr>
        <w:t xml:space="preserve"> </w:t>
      </w:r>
      <w:r>
        <w:rPr>
          <w:spacing w:val="-3"/>
          <w:sz w:val="24"/>
          <w:szCs w:val="24"/>
        </w:rPr>
        <w:t>亦被《中国</w:t>
      </w:r>
      <w:r>
        <w:rPr>
          <w:spacing w:val="-5"/>
          <w:sz w:val="24"/>
          <w:szCs w:val="24"/>
        </w:rPr>
        <w:t>脊椎动物红色名录》列为易危种（</w:t>
      </w:r>
      <w:r>
        <w:rPr>
          <w:rFonts w:ascii="Times New Roman" w:hAnsi="Times New Roman" w:eastAsia="Times New Roman" w:cs="Times New Roman"/>
          <w:spacing w:val="-5"/>
          <w:sz w:val="24"/>
          <w:szCs w:val="24"/>
        </w:rPr>
        <w:t>VU</w:t>
      </w:r>
      <w:r>
        <w:rPr>
          <w:spacing w:val="-5"/>
          <w:sz w:val="24"/>
          <w:szCs w:val="24"/>
        </w:rPr>
        <w:t>）。</w:t>
      </w:r>
    </w:p>
    <w:p w14:paraId="159B8132">
      <w:pPr>
        <w:pStyle w:val="2"/>
        <w:spacing w:before="20" w:line="347" w:lineRule="auto"/>
        <w:ind w:left="39" w:right="185" w:firstLine="482"/>
        <w:rPr>
          <w:sz w:val="24"/>
          <w:szCs w:val="24"/>
        </w:rPr>
      </w:pPr>
      <w:r>
        <w:rPr>
          <w:spacing w:val="-4"/>
          <w:sz w:val="24"/>
          <w:szCs w:val="24"/>
        </w:rPr>
        <w:t>综上所述，因施工期监测仅记录了目击或访</w:t>
      </w:r>
      <w:r>
        <w:rPr>
          <w:spacing w:val="-5"/>
          <w:sz w:val="24"/>
          <w:szCs w:val="24"/>
        </w:rPr>
        <w:t>查可信度较高的兽类，故导致兽类</w:t>
      </w:r>
      <w:r>
        <w:rPr>
          <w:spacing w:val="-6"/>
          <w:sz w:val="24"/>
          <w:szCs w:val="24"/>
        </w:rPr>
        <w:t>种类较环评阶段少。从兽类数量来看，</w:t>
      </w:r>
      <w:r>
        <w:rPr>
          <w:spacing w:val="-45"/>
          <w:sz w:val="24"/>
          <w:szCs w:val="24"/>
        </w:rPr>
        <w:t xml:space="preserve"> </w:t>
      </w:r>
      <w:r>
        <w:rPr>
          <w:spacing w:val="-6"/>
          <w:sz w:val="24"/>
          <w:szCs w:val="24"/>
        </w:rPr>
        <w:t>调查区兽类以小型兽种群较多，</w:t>
      </w:r>
      <w:r>
        <w:rPr>
          <w:spacing w:val="-7"/>
          <w:sz w:val="24"/>
          <w:szCs w:val="24"/>
        </w:rPr>
        <w:t>如北树鼩、</w:t>
      </w:r>
      <w:r>
        <w:rPr>
          <w:spacing w:val="-6"/>
          <w:sz w:val="24"/>
          <w:szCs w:val="24"/>
        </w:rPr>
        <w:t>赤腹松鼠等。通过监测发现， 在大坝施工区周边</w:t>
      </w:r>
      <w:r>
        <w:rPr>
          <w:spacing w:val="-32"/>
          <w:sz w:val="24"/>
          <w:szCs w:val="24"/>
        </w:rPr>
        <w:t xml:space="preserve"> </w:t>
      </w:r>
      <w:r>
        <w:rPr>
          <w:rFonts w:ascii="Times New Roman" w:hAnsi="Times New Roman" w:eastAsia="Times New Roman" w:cs="Times New Roman"/>
          <w:spacing w:val="-6"/>
          <w:sz w:val="24"/>
          <w:szCs w:val="24"/>
        </w:rPr>
        <w:t xml:space="preserve">100m </w:t>
      </w:r>
      <w:r>
        <w:rPr>
          <w:spacing w:val="-6"/>
          <w:sz w:val="24"/>
          <w:szCs w:val="24"/>
        </w:rPr>
        <w:t>之外就有豹</w:t>
      </w:r>
      <w:r>
        <w:rPr>
          <w:spacing w:val="-7"/>
          <w:sz w:val="24"/>
          <w:szCs w:val="24"/>
        </w:rPr>
        <w:t>猫粪便出现，施</w:t>
      </w:r>
    </w:p>
    <w:p w14:paraId="4BA2359B">
      <w:pPr>
        <w:spacing w:line="347" w:lineRule="auto"/>
        <w:rPr>
          <w:sz w:val="24"/>
          <w:szCs w:val="24"/>
        </w:rPr>
        <w:sectPr>
          <w:headerReference r:id="rId191" w:type="default"/>
          <w:footerReference r:id="rId192" w:type="default"/>
          <w:pgSz w:w="11907" w:h="16839"/>
          <w:pgMar w:top="1376" w:right="1513" w:bottom="1061" w:left="1671" w:header="999" w:footer="859" w:gutter="0"/>
          <w:cols w:space="720" w:num="1"/>
        </w:sectPr>
      </w:pPr>
    </w:p>
    <w:p w14:paraId="13A66C51">
      <w:pPr>
        <w:spacing w:line="456" w:lineRule="auto"/>
        <w:rPr>
          <w:rFonts w:ascii="Arial"/>
          <w:sz w:val="21"/>
        </w:rPr>
      </w:pPr>
    </w:p>
    <w:p w14:paraId="1F2EB15B">
      <w:pPr>
        <w:pStyle w:val="2"/>
        <w:spacing w:before="78" w:line="336" w:lineRule="auto"/>
        <w:ind w:left="22" w:right="83" w:firstLine="19"/>
        <w:jc w:val="both"/>
        <w:rPr>
          <w:sz w:val="24"/>
          <w:szCs w:val="24"/>
        </w:rPr>
      </w:pPr>
      <w:r>
        <w:rPr>
          <w:spacing w:val="-1"/>
          <w:sz w:val="24"/>
          <w:szCs w:val="24"/>
        </w:rPr>
        <w:t>工点周边仅北树鼩和赤腹松鼠</w:t>
      </w:r>
      <w:r>
        <w:rPr>
          <w:spacing w:val="-23"/>
          <w:sz w:val="24"/>
          <w:szCs w:val="24"/>
        </w:rPr>
        <w:t xml:space="preserve"> </w:t>
      </w:r>
      <w:r>
        <w:rPr>
          <w:rFonts w:ascii="Times New Roman" w:hAnsi="Times New Roman" w:eastAsia="Times New Roman" w:cs="Times New Roman"/>
          <w:i/>
          <w:iCs/>
          <w:spacing w:val="-1"/>
          <w:sz w:val="24"/>
          <w:szCs w:val="24"/>
        </w:rPr>
        <w:t>Callosciurus</w:t>
      </w:r>
      <w:r>
        <w:rPr>
          <w:rFonts w:ascii="Times New Roman" w:hAnsi="Times New Roman" w:eastAsia="Times New Roman" w:cs="Times New Roman"/>
          <w:i/>
          <w:iCs/>
          <w:spacing w:val="37"/>
          <w:w w:val="101"/>
          <w:sz w:val="24"/>
          <w:szCs w:val="24"/>
        </w:rPr>
        <w:t xml:space="preserve"> </w:t>
      </w:r>
      <w:r>
        <w:rPr>
          <w:rFonts w:ascii="Times New Roman" w:hAnsi="Times New Roman" w:eastAsia="Times New Roman" w:cs="Times New Roman"/>
          <w:i/>
          <w:iCs/>
          <w:spacing w:val="-1"/>
          <w:sz w:val="24"/>
          <w:szCs w:val="24"/>
        </w:rPr>
        <w:t>erythraeus</w:t>
      </w:r>
      <w:r>
        <w:rPr>
          <w:rFonts w:ascii="Times New Roman" w:hAnsi="Times New Roman" w:eastAsia="Times New Roman" w:cs="Times New Roman"/>
          <w:i/>
          <w:iCs/>
          <w:spacing w:val="32"/>
          <w:sz w:val="24"/>
          <w:szCs w:val="24"/>
        </w:rPr>
        <w:t xml:space="preserve"> </w:t>
      </w:r>
      <w:r>
        <w:rPr>
          <w:spacing w:val="-1"/>
          <w:sz w:val="24"/>
          <w:szCs w:val="24"/>
        </w:rPr>
        <w:t>等伴人居的动物出现</w:t>
      </w:r>
      <w:r>
        <w:rPr>
          <w:spacing w:val="-2"/>
          <w:sz w:val="24"/>
          <w:szCs w:val="24"/>
        </w:rPr>
        <w:t>。虽然</w:t>
      </w:r>
      <w:r>
        <w:rPr>
          <w:spacing w:val="-4"/>
          <w:sz w:val="24"/>
          <w:szCs w:val="24"/>
        </w:rPr>
        <w:t>项目正处于施工阶段，但相较于整个调查区来说，施工区（或施工点位）占地面积</w:t>
      </w:r>
      <w:r>
        <w:rPr>
          <w:spacing w:val="1"/>
          <w:sz w:val="24"/>
          <w:szCs w:val="24"/>
        </w:rPr>
        <w:t xml:space="preserve">较小，对兽类资源的影响为局部影响。在大坝施工区边缘约 </w:t>
      </w:r>
      <w:r>
        <w:rPr>
          <w:rFonts w:ascii="Times New Roman" w:hAnsi="Times New Roman" w:eastAsia="Times New Roman" w:cs="Times New Roman"/>
          <w:spacing w:val="1"/>
          <w:sz w:val="24"/>
          <w:szCs w:val="24"/>
        </w:rPr>
        <w:t xml:space="preserve">500m  </w:t>
      </w:r>
      <w:r>
        <w:rPr>
          <w:spacing w:val="1"/>
          <w:sz w:val="24"/>
          <w:szCs w:val="24"/>
        </w:rPr>
        <w:t>有豹猫、鼬獾</w:t>
      </w:r>
      <w:r>
        <w:rPr>
          <w:rFonts w:ascii="Times New Roman" w:hAnsi="Times New Roman" w:eastAsia="Times New Roman" w:cs="Times New Roman"/>
          <w:i/>
          <w:iCs/>
          <w:sz w:val="24"/>
          <w:szCs w:val="24"/>
        </w:rPr>
        <w:t>Melogale</w:t>
      </w:r>
      <w:r>
        <w:rPr>
          <w:rFonts w:ascii="Times New Roman" w:hAnsi="Times New Roman" w:eastAsia="Times New Roman" w:cs="Times New Roman"/>
          <w:i/>
          <w:iCs/>
          <w:spacing w:val="34"/>
          <w:w w:val="101"/>
          <w:sz w:val="24"/>
          <w:szCs w:val="24"/>
        </w:rPr>
        <w:t xml:space="preserve"> </w:t>
      </w:r>
      <w:r>
        <w:rPr>
          <w:rFonts w:ascii="Times New Roman" w:hAnsi="Times New Roman" w:eastAsia="Times New Roman" w:cs="Times New Roman"/>
          <w:i/>
          <w:iCs/>
          <w:sz w:val="24"/>
          <w:szCs w:val="24"/>
        </w:rPr>
        <w:t xml:space="preserve">moschata  </w:t>
      </w:r>
      <w:r>
        <w:rPr>
          <w:sz w:val="24"/>
          <w:szCs w:val="24"/>
        </w:rPr>
        <w:t>等动物出现，说明调查区兽类适应能力</w:t>
      </w:r>
      <w:r>
        <w:rPr>
          <w:spacing w:val="-1"/>
          <w:sz w:val="24"/>
          <w:szCs w:val="24"/>
        </w:rPr>
        <w:t>较强，能适应一定的施</w:t>
      </w:r>
      <w:r>
        <w:rPr>
          <w:spacing w:val="-6"/>
          <w:sz w:val="24"/>
          <w:szCs w:val="24"/>
        </w:rPr>
        <w:t>工干扰。</w:t>
      </w:r>
    </w:p>
    <w:p w14:paraId="73A33608">
      <w:pPr>
        <w:pStyle w:val="2"/>
        <w:spacing w:before="12" w:line="339" w:lineRule="auto"/>
        <w:ind w:left="39" w:right="82" w:firstLine="482"/>
        <w:jc w:val="both"/>
        <w:rPr>
          <w:sz w:val="24"/>
          <w:szCs w:val="24"/>
        </w:rPr>
      </w:pPr>
      <w:r>
        <w:rPr>
          <w:spacing w:val="-2"/>
          <w:sz w:val="24"/>
          <w:szCs w:val="24"/>
        </w:rPr>
        <w:t>综上分析，虽然在施工区内仅见少量伴人居陆生脊椎动物，但在其周围</w:t>
      </w:r>
      <w:r>
        <w:rPr>
          <w:spacing w:val="-24"/>
          <w:sz w:val="24"/>
          <w:szCs w:val="24"/>
        </w:rPr>
        <w:t xml:space="preserve"> </w:t>
      </w:r>
      <w:r>
        <w:rPr>
          <w:rFonts w:ascii="Times New Roman" w:hAnsi="Times New Roman" w:eastAsia="Times New Roman" w:cs="Times New Roman"/>
          <w:spacing w:val="-2"/>
          <w:sz w:val="24"/>
          <w:szCs w:val="24"/>
        </w:rPr>
        <w:t>100m</w:t>
      </w:r>
      <w:r>
        <w:rPr>
          <w:spacing w:val="-4"/>
          <w:sz w:val="24"/>
          <w:szCs w:val="24"/>
        </w:rPr>
        <w:t>以外区域就有很多动物活动，说明调查区的部分动物适应性较强，且没有施</w:t>
      </w:r>
      <w:r>
        <w:rPr>
          <w:spacing w:val="-5"/>
          <w:sz w:val="24"/>
          <w:szCs w:val="24"/>
        </w:rPr>
        <w:t>工人员</w:t>
      </w:r>
      <w:r>
        <w:rPr>
          <w:spacing w:val="-6"/>
          <w:sz w:val="24"/>
          <w:szCs w:val="24"/>
        </w:rPr>
        <w:t>非法捕猎等现象。落实了野生动物保护宣传，</w:t>
      </w:r>
      <w:r>
        <w:rPr>
          <w:spacing w:val="-46"/>
          <w:sz w:val="24"/>
          <w:szCs w:val="24"/>
        </w:rPr>
        <w:t xml:space="preserve"> </w:t>
      </w:r>
      <w:r>
        <w:rPr>
          <w:spacing w:val="-6"/>
          <w:sz w:val="24"/>
          <w:szCs w:val="24"/>
        </w:rPr>
        <w:t>严禁非法捕杀野生动物等</w:t>
      </w:r>
      <w:r>
        <w:rPr>
          <w:spacing w:val="-7"/>
          <w:sz w:val="24"/>
          <w:szCs w:val="24"/>
        </w:rPr>
        <w:t>措施。随着</w:t>
      </w:r>
      <w:r>
        <w:rPr>
          <w:spacing w:val="-4"/>
          <w:sz w:val="24"/>
          <w:szCs w:val="24"/>
        </w:rPr>
        <w:t>项目施工接近尾声，施工活动减少，渣场合理有序开展植被恢复，逐渐恢复</w:t>
      </w:r>
      <w:r>
        <w:rPr>
          <w:spacing w:val="-5"/>
          <w:sz w:val="24"/>
          <w:szCs w:val="24"/>
        </w:rPr>
        <w:t>野生动</w:t>
      </w:r>
      <w:r>
        <w:rPr>
          <w:spacing w:val="-1"/>
          <w:sz w:val="24"/>
          <w:szCs w:val="24"/>
        </w:rPr>
        <w:t>物的栖息生境，施工活动对动物的影响也将逐渐由负</w:t>
      </w:r>
      <w:r>
        <w:rPr>
          <w:spacing w:val="-2"/>
          <w:sz w:val="24"/>
          <w:szCs w:val="24"/>
        </w:rPr>
        <w:t>面影响过度为正影响。</w:t>
      </w:r>
    </w:p>
    <w:p w14:paraId="59BD2F22">
      <w:pPr>
        <w:pStyle w:val="2"/>
        <w:spacing w:before="85" w:line="226" w:lineRule="auto"/>
        <w:ind w:left="36"/>
        <w:rPr>
          <w:sz w:val="27"/>
          <w:szCs w:val="27"/>
        </w:rPr>
      </w:pPr>
      <w:r>
        <w:rPr>
          <w:rFonts w:ascii="Arial" w:hAnsi="Arial" w:eastAsia="Arial" w:cs="Arial"/>
          <w:spacing w:val="9"/>
          <w:position w:val="1"/>
          <w:sz w:val="21"/>
          <w:szCs w:val="21"/>
        </w:rPr>
        <w:t>6.1.2</w:t>
      </w:r>
      <w:r>
        <w:rPr>
          <w:rFonts w:ascii="Arial" w:hAnsi="Arial" w:eastAsia="Arial" w:cs="Arial"/>
          <w:spacing w:val="4"/>
          <w:position w:val="1"/>
          <w:sz w:val="21"/>
          <w:szCs w:val="21"/>
        </w:rPr>
        <w:t xml:space="preserve">     </w:t>
      </w:r>
      <w:r>
        <w:rPr>
          <w:b/>
          <w:bCs/>
          <w:spacing w:val="9"/>
          <w:position w:val="-1"/>
          <w:sz w:val="27"/>
          <w:szCs w:val="27"/>
        </w:rPr>
        <w:t>水生生态影响</w:t>
      </w:r>
    </w:p>
    <w:p w14:paraId="5B8528B2">
      <w:pPr>
        <w:pStyle w:val="2"/>
        <w:spacing w:before="263" w:line="220" w:lineRule="auto"/>
        <w:ind w:left="35"/>
        <w:rPr>
          <w:sz w:val="24"/>
          <w:szCs w:val="24"/>
        </w:rPr>
      </w:pPr>
      <w:r>
        <w:rPr>
          <w:rFonts w:ascii="Arial" w:hAnsi="Arial" w:eastAsia="Arial" w:cs="Arial"/>
          <w:spacing w:val="4"/>
          <w:position w:val="1"/>
          <w:sz w:val="18"/>
          <w:szCs w:val="18"/>
        </w:rPr>
        <w:t>6.1.2.1</w:t>
      </w:r>
      <w:r>
        <w:rPr>
          <w:rFonts w:ascii="Arial" w:hAnsi="Arial" w:eastAsia="Arial" w:cs="Arial"/>
          <w:spacing w:val="56"/>
          <w:w w:val="101"/>
          <w:position w:val="1"/>
          <w:sz w:val="18"/>
          <w:szCs w:val="18"/>
        </w:rPr>
        <w:t xml:space="preserve"> </w:t>
      </w:r>
      <w:r>
        <w:rPr>
          <w:b/>
          <w:bCs/>
          <w:spacing w:val="4"/>
          <w:position w:val="-1"/>
          <w:sz w:val="24"/>
          <w:szCs w:val="24"/>
        </w:rPr>
        <w:t>调查情况说明</w:t>
      </w:r>
    </w:p>
    <w:p w14:paraId="25A89029">
      <w:pPr>
        <w:pStyle w:val="2"/>
        <w:spacing w:before="273" w:line="350" w:lineRule="auto"/>
        <w:ind w:left="41" w:firstLine="478"/>
        <w:rPr>
          <w:sz w:val="24"/>
          <w:szCs w:val="24"/>
        </w:rPr>
      </w:pPr>
      <w:r>
        <w:rPr>
          <w:spacing w:val="-2"/>
          <w:sz w:val="24"/>
          <w:szCs w:val="24"/>
        </w:rPr>
        <w:t>环评阶段水生生态调查和施工期高峰期水生生态调查的调查范围、调查时间、</w:t>
      </w:r>
      <w:r>
        <w:rPr>
          <w:spacing w:val="-1"/>
          <w:sz w:val="24"/>
          <w:szCs w:val="24"/>
        </w:rPr>
        <w:t>调查单位、调查方法等情况见表</w:t>
      </w:r>
      <w:r>
        <w:rPr>
          <w:spacing w:val="-49"/>
          <w:sz w:val="24"/>
          <w:szCs w:val="24"/>
        </w:rPr>
        <w:t xml:space="preserve"> </w:t>
      </w:r>
      <w:r>
        <w:rPr>
          <w:rFonts w:ascii="Times New Roman" w:hAnsi="Times New Roman" w:eastAsia="Times New Roman" w:cs="Times New Roman"/>
          <w:spacing w:val="-1"/>
          <w:sz w:val="24"/>
          <w:szCs w:val="24"/>
        </w:rPr>
        <w:t>6.1-1</w:t>
      </w:r>
      <w:r>
        <w:rPr>
          <w:rFonts w:ascii="Times New Roman" w:hAnsi="Times New Roman" w:eastAsia="Times New Roman" w:cs="Times New Roman"/>
          <w:spacing w:val="-2"/>
          <w:sz w:val="24"/>
          <w:szCs w:val="24"/>
        </w:rPr>
        <w:t>5</w:t>
      </w:r>
      <w:r>
        <w:rPr>
          <w:spacing w:val="-2"/>
          <w:sz w:val="24"/>
          <w:szCs w:val="24"/>
        </w:rPr>
        <w:t>。</w:t>
      </w:r>
    </w:p>
    <w:p w14:paraId="39BB31B4">
      <w:pPr>
        <w:spacing w:line="350" w:lineRule="auto"/>
        <w:rPr>
          <w:sz w:val="24"/>
          <w:szCs w:val="24"/>
        </w:rPr>
        <w:sectPr>
          <w:headerReference r:id="rId193" w:type="default"/>
          <w:footerReference r:id="rId194" w:type="default"/>
          <w:pgSz w:w="11907" w:h="16839"/>
          <w:pgMar w:top="1376" w:right="1614" w:bottom="1061" w:left="1671" w:header="999" w:footer="861" w:gutter="0"/>
          <w:cols w:space="720" w:num="1"/>
        </w:sectPr>
      </w:pPr>
    </w:p>
    <w:p w14:paraId="069A6F72">
      <w:pPr>
        <w:spacing w:line="454" w:lineRule="auto"/>
        <w:rPr>
          <w:rFonts w:ascii="Arial"/>
          <w:sz w:val="21"/>
        </w:rPr>
      </w:pPr>
    </w:p>
    <w:p w14:paraId="144F9960">
      <w:pPr>
        <w:pStyle w:val="2"/>
        <w:spacing w:before="78" w:line="226" w:lineRule="auto"/>
        <w:ind w:left="279"/>
        <w:rPr>
          <w:sz w:val="24"/>
          <w:szCs w:val="24"/>
        </w:rPr>
      </w:pPr>
      <w:r>
        <w:rPr>
          <w:b/>
          <w:bCs/>
          <w:spacing w:val="-1"/>
          <w:sz w:val="24"/>
          <w:szCs w:val="24"/>
        </w:rPr>
        <w:t>表</w:t>
      </w:r>
      <w:r>
        <w:rPr>
          <w:spacing w:val="-45"/>
          <w:sz w:val="24"/>
          <w:szCs w:val="24"/>
        </w:rPr>
        <w:t xml:space="preserve"> </w:t>
      </w:r>
      <w:r>
        <w:rPr>
          <w:rFonts w:ascii="Times New Roman" w:hAnsi="Times New Roman" w:eastAsia="Times New Roman" w:cs="Times New Roman"/>
          <w:b/>
          <w:bCs/>
          <w:spacing w:val="-1"/>
          <w:sz w:val="24"/>
          <w:szCs w:val="24"/>
        </w:rPr>
        <w:t xml:space="preserve">6.1-15                          </w:t>
      </w:r>
      <w:r>
        <w:rPr>
          <w:b/>
          <w:bCs/>
          <w:spacing w:val="-1"/>
          <w:sz w:val="24"/>
          <w:szCs w:val="24"/>
        </w:rPr>
        <w:t>环评期和施工期水生生态调查情况</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1"/>
        <w:gridCol w:w="3390"/>
        <w:gridCol w:w="3812"/>
      </w:tblGrid>
      <w:tr w14:paraId="0F787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271" w:type="dxa"/>
            <w:tcBorders>
              <w:top w:val="single" w:color="000000" w:sz="12" w:space="0"/>
              <w:left w:val="single" w:color="000000" w:sz="12" w:space="0"/>
            </w:tcBorders>
            <w:vAlign w:val="top"/>
          </w:tcPr>
          <w:p w14:paraId="0C1574EE">
            <w:pPr>
              <w:spacing w:before="91" w:line="220" w:lineRule="auto"/>
              <w:ind w:left="415"/>
              <w:rPr>
                <w:rFonts w:ascii="宋体" w:hAnsi="宋体" w:eastAsia="宋体" w:cs="宋体"/>
                <w:sz w:val="21"/>
                <w:szCs w:val="21"/>
              </w:rPr>
            </w:pPr>
            <w:r>
              <w:rPr>
                <w:rFonts w:ascii="宋体" w:hAnsi="宋体" w:eastAsia="宋体" w:cs="宋体"/>
                <w:spacing w:val="-3"/>
                <w:sz w:val="21"/>
                <w:szCs w:val="21"/>
              </w:rPr>
              <w:t>项目</w:t>
            </w:r>
          </w:p>
        </w:tc>
        <w:tc>
          <w:tcPr>
            <w:tcW w:w="3390" w:type="dxa"/>
            <w:tcBorders>
              <w:top w:val="single" w:color="000000" w:sz="12" w:space="0"/>
            </w:tcBorders>
            <w:vAlign w:val="top"/>
          </w:tcPr>
          <w:p w14:paraId="73000F29">
            <w:pPr>
              <w:spacing w:before="91" w:line="220" w:lineRule="auto"/>
              <w:ind w:left="1063"/>
              <w:rPr>
                <w:rFonts w:ascii="宋体" w:hAnsi="宋体" w:eastAsia="宋体" w:cs="宋体"/>
                <w:sz w:val="21"/>
                <w:szCs w:val="21"/>
              </w:rPr>
            </w:pPr>
            <w:r>
              <w:rPr>
                <w:rFonts w:ascii="宋体" w:hAnsi="宋体" w:eastAsia="宋体" w:cs="宋体"/>
                <w:spacing w:val="-2"/>
                <w:sz w:val="21"/>
                <w:szCs w:val="21"/>
              </w:rPr>
              <w:t>环评阶段调查</w:t>
            </w:r>
          </w:p>
        </w:tc>
        <w:tc>
          <w:tcPr>
            <w:tcW w:w="3812" w:type="dxa"/>
            <w:tcBorders>
              <w:top w:val="single" w:color="000000" w:sz="12" w:space="0"/>
              <w:right w:val="single" w:color="000000" w:sz="12" w:space="0"/>
            </w:tcBorders>
            <w:vAlign w:val="top"/>
          </w:tcPr>
          <w:p w14:paraId="09E2B485">
            <w:pPr>
              <w:spacing w:before="90" w:line="220" w:lineRule="auto"/>
              <w:ind w:left="1174"/>
              <w:rPr>
                <w:rFonts w:ascii="宋体" w:hAnsi="宋体" w:eastAsia="宋体" w:cs="宋体"/>
                <w:sz w:val="21"/>
                <w:szCs w:val="21"/>
              </w:rPr>
            </w:pPr>
            <w:r>
              <w:rPr>
                <w:rFonts w:ascii="宋体" w:hAnsi="宋体" w:eastAsia="宋体" w:cs="宋体"/>
                <w:spacing w:val="-1"/>
                <w:sz w:val="21"/>
                <w:szCs w:val="21"/>
              </w:rPr>
              <w:t>施工高峰期调查</w:t>
            </w:r>
          </w:p>
        </w:tc>
      </w:tr>
      <w:tr w14:paraId="74C25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71" w:type="dxa"/>
            <w:tcBorders>
              <w:left w:val="single" w:color="000000" w:sz="12" w:space="0"/>
            </w:tcBorders>
            <w:vAlign w:val="top"/>
          </w:tcPr>
          <w:p w14:paraId="282A1BF3">
            <w:pPr>
              <w:spacing w:before="97" w:line="220" w:lineRule="auto"/>
              <w:ind w:left="204"/>
              <w:rPr>
                <w:rFonts w:ascii="宋体" w:hAnsi="宋体" w:eastAsia="宋体" w:cs="宋体"/>
                <w:sz w:val="21"/>
                <w:szCs w:val="21"/>
              </w:rPr>
            </w:pPr>
            <w:r>
              <w:rPr>
                <w:rFonts w:ascii="宋体" w:hAnsi="宋体" w:eastAsia="宋体" w:cs="宋体"/>
                <w:spacing w:val="-2"/>
                <w:sz w:val="21"/>
                <w:szCs w:val="21"/>
              </w:rPr>
              <w:t>调查单位</w:t>
            </w:r>
          </w:p>
        </w:tc>
        <w:tc>
          <w:tcPr>
            <w:tcW w:w="3390" w:type="dxa"/>
            <w:vAlign w:val="top"/>
          </w:tcPr>
          <w:p w14:paraId="7E88BCF3">
            <w:pPr>
              <w:spacing w:before="97" w:line="220" w:lineRule="auto"/>
              <w:ind w:left="1278"/>
              <w:rPr>
                <w:rFonts w:ascii="宋体" w:hAnsi="宋体" w:eastAsia="宋体" w:cs="宋体"/>
                <w:sz w:val="21"/>
                <w:szCs w:val="21"/>
              </w:rPr>
            </w:pPr>
            <w:r>
              <w:rPr>
                <w:rFonts w:ascii="宋体" w:hAnsi="宋体" w:eastAsia="宋体" w:cs="宋体"/>
                <w:spacing w:val="-4"/>
                <w:sz w:val="21"/>
                <w:szCs w:val="21"/>
              </w:rPr>
              <w:t>云南大学</w:t>
            </w:r>
          </w:p>
        </w:tc>
        <w:tc>
          <w:tcPr>
            <w:tcW w:w="3812" w:type="dxa"/>
            <w:tcBorders>
              <w:right w:val="single" w:color="000000" w:sz="12" w:space="0"/>
            </w:tcBorders>
            <w:vAlign w:val="top"/>
          </w:tcPr>
          <w:p w14:paraId="7C227834">
            <w:pPr>
              <w:spacing w:before="96" w:line="220" w:lineRule="auto"/>
              <w:ind w:left="445"/>
              <w:rPr>
                <w:rFonts w:ascii="宋体" w:hAnsi="宋体" w:eastAsia="宋体" w:cs="宋体"/>
                <w:sz w:val="21"/>
                <w:szCs w:val="21"/>
              </w:rPr>
            </w:pPr>
            <w:r>
              <w:rPr>
                <w:rFonts w:ascii="宋体" w:hAnsi="宋体" w:eastAsia="宋体" w:cs="宋体"/>
                <w:spacing w:val="-1"/>
                <w:sz w:val="21"/>
                <w:szCs w:val="21"/>
              </w:rPr>
              <w:t>云南环绿环境检测技术有限公司</w:t>
            </w:r>
          </w:p>
        </w:tc>
      </w:tr>
      <w:tr w14:paraId="7ECD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271" w:type="dxa"/>
            <w:tcBorders>
              <w:left w:val="single" w:color="000000" w:sz="12" w:space="0"/>
            </w:tcBorders>
            <w:vAlign w:val="top"/>
          </w:tcPr>
          <w:p w14:paraId="49753A40">
            <w:pPr>
              <w:spacing w:line="290" w:lineRule="auto"/>
              <w:rPr>
                <w:rFonts w:ascii="Arial"/>
                <w:sz w:val="21"/>
              </w:rPr>
            </w:pPr>
          </w:p>
          <w:p w14:paraId="0A60EB7C">
            <w:pPr>
              <w:spacing w:before="68" w:line="222" w:lineRule="auto"/>
              <w:ind w:left="204"/>
              <w:rPr>
                <w:rFonts w:ascii="宋体" w:hAnsi="宋体" w:eastAsia="宋体" w:cs="宋体"/>
                <w:sz w:val="21"/>
                <w:szCs w:val="21"/>
              </w:rPr>
            </w:pPr>
            <w:r>
              <w:rPr>
                <w:rFonts w:ascii="宋体" w:hAnsi="宋体" w:eastAsia="宋体" w:cs="宋体"/>
                <w:spacing w:val="-2"/>
                <w:sz w:val="21"/>
                <w:szCs w:val="21"/>
              </w:rPr>
              <w:t>调查时间</w:t>
            </w:r>
          </w:p>
        </w:tc>
        <w:tc>
          <w:tcPr>
            <w:tcW w:w="3390" w:type="dxa"/>
            <w:vAlign w:val="top"/>
          </w:tcPr>
          <w:p w14:paraId="01F633FD">
            <w:pPr>
              <w:spacing w:line="290" w:lineRule="auto"/>
              <w:rPr>
                <w:rFonts w:ascii="Arial"/>
                <w:sz w:val="21"/>
              </w:rPr>
            </w:pPr>
          </w:p>
          <w:p w14:paraId="02062A14">
            <w:pPr>
              <w:pStyle w:val="6"/>
              <w:spacing w:before="69" w:line="233" w:lineRule="auto"/>
              <w:ind w:left="849"/>
              <w:rPr>
                <w:rFonts w:ascii="宋体" w:hAnsi="宋体" w:eastAsia="宋体" w:cs="宋体"/>
              </w:rPr>
            </w:pPr>
            <w:r>
              <w:rPr>
                <w:spacing w:val="-3"/>
              </w:rPr>
              <w:t xml:space="preserve">2015 </w:t>
            </w:r>
            <w:r>
              <w:rPr>
                <w:rFonts w:ascii="宋体" w:hAnsi="宋体" w:eastAsia="宋体" w:cs="宋体"/>
                <w:spacing w:val="-3"/>
              </w:rPr>
              <w:t>年</w:t>
            </w:r>
            <w:r>
              <w:rPr>
                <w:rFonts w:ascii="宋体" w:hAnsi="宋体" w:eastAsia="宋体" w:cs="宋体"/>
                <w:spacing w:val="-39"/>
              </w:rPr>
              <w:t xml:space="preserve"> </w:t>
            </w:r>
            <w:r>
              <w:rPr>
                <w:spacing w:val="-3"/>
              </w:rPr>
              <w:t>7</w:t>
            </w:r>
            <w:r>
              <w:rPr>
                <w:spacing w:val="14"/>
                <w:w w:val="101"/>
              </w:rPr>
              <w:t xml:space="preserve"> </w:t>
            </w:r>
            <w:r>
              <w:rPr>
                <w:rFonts w:ascii="宋体" w:hAnsi="宋体" w:eastAsia="宋体" w:cs="宋体"/>
                <w:spacing w:val="-3"/>
              </w:rPr>
              <w:t>月、</w:t>
            </w:r>
            <w:r>
              <w:rPr>
                <w:spacing w:val="-3"/>
              </w:rPr>
              <w:t>9</w:t>
            </w:r>
            <w:r>
              <w:rPr>
                <w:spacing w:val="14"/>
              </w:rPr>
              <w:t xml:space="preserve"> </w:t>
            </w:r>
            <w:r>
              <w:rPr>
                <w:rFonts w:ascii="宋体" w:hAnsi="宋体" w:eastAsia="宋体" w:cs="宋体"/>
                <w:spacing w:val="-3"/>
              </w:rPr>
              <w:t>月</w:t>
            </w:r>
          </w:p>
        </w:tc>
        <w:tc>
          <w:tcPr>
            <w:tcW w:w="3812" w:type="dxa"/>
            <w:tcBorders>
              <w:right w:val="single" w:color="000000" w:sz="12" w:space="0"/>
            </w:tcBorders>
            <w:vAlign w:val="top"/>
          </w:tcPr>
          <w:p w14:paraId="626A8C3A">
            <w:pPr>
              <w:pStyle w:val="6"/>
              <w:spacing w:before="88"/>
              <w:ind w:left="85" w:right="67" w:firstLine="5"/>
              <w:jc w:val="both"/>
              <w:rPr>
                <w:rFonts w:ascii="宋体" w:hAnsi="宋体" w:eastAsia="宋体" w:cs="宋体"/>
              </w:rPr>
            </w:pPr>
            <w:r>
              <w:rPr>
                <w:rFonts w:ascii="宋体" w:hAnsi="宋体" w:eastAsia="宋体" w:cs="宋体"/>
                <w:spacing w:val="-2"/>
              </w:rPr>
              <w:t>主要鱼类产卵期监测时间是</w:t>
            </w:r>
            <w:r>
              <w:rPr>
                <w:rFonts w:ascii="宋体" w:hAnsi="宋体" w:eastAsia="宋体" w:cs="宋体"/>
                <w:spacing w:val="-54"/>
              </w:rPr>
              <w:t xml:space="preserve"> </w:t>
            </w:r>
            <w:r>
              <w:rPr>
                <w:spacing w:val="-2"/>
              </w:rPr>
              <w:t xml:space="preserve">2020 </w:t>
            </w:r>
            <w:r>
              <w:rPr>
                <w:rFonts w:ascii="宋体" w:hAnsi="宋体" w:eastAsia="宋体" w:cs="宋体"/>
                <w:spacing w:val="-2"/>
              </w:rPr>
              <w:t>年</w:t>
            </w:r>
            <w:r>
              <w:rPr>
                <w:rFonts w:ascii="宋体" w:hAnsi="宋体" w:eastAsia="宋体" w:cs="宋体"/>
                <w:spacing w:val="-52"/>
              </w:rPr>
              <w:t xml:space="preserve"> </w:t>
            </w:r>
            <w:r>
              <w:rPr>
                <w:spacing w:val="-2"/>
              </w:rPr>
              <w:t xml:space="preserve">5 </w:t>
            </w:r>
            <w:r>
              <w:rPr>
                <w:rFonts w:ascii="宋体" w:hAnsi="宋体" w:eastAsia="宋体" w:cs="宋体"/>
                <w:spacing w:val="-2"/>
              </w:rPr>
              <w:t>月</w:t>
            </w:r>
            <w:r>
              <w:rPr>
                <w:spacing w:val="-5"/>
              </w:rPr>
              <w:t>2-5</w:t>
            </w:r>
            <w:r>
              <w:rPr>
                <w:spacing w:val="49"/>
                <w:w w:val="101"/>
              </w:rPr>
              <w:t xml:space="preserve"> </w:t>
            </w:r>
            <w:r>
              <w:rPr>
                <w:rFonts w:ascii="宋体" w:hAnsi="宋体" w:eastAsia="宋体" w:cs="宋体"/>
                <w:spacing w:val="-5"/>
              </w:rPr>
              <w:t>日；主要鱼类渔获期监测时间是</w:t>
            </w:r>
            <w:r>
              <w:rPr>
                <w:spacing w:val="-5"/>
              </w:rPr>
              <w:t>2020</w:t>
            </w:r>
            <w:r>
              <w:rPr>
                <w:rFonts w:ascii="宋体" w:hAnsi="宋体" w:eastAsia="宋体" w:cs="宋体"/>
                <w:spacing w:val="-11"/>
              </w:rPr>
              <w:t>年</w:t>
            </w:r>
            <w:r>
              <w:rPr>
                <w:rFonts w:ascii="宋体" w:hAnsi="宋体" w:eastAsia="宋体" w:cs="宋体"/>
                <w:spacing w:val="-36"/>
              </w:rPr>
              <w:t xml:space="preserve"> </w:t>
            </w:r>
            <w:r>
              <w:rPr>
                <w:spacing w:val="-11"/>
              </w:rPr>
              <w:t>8</w:t>
            </w:r>
            <w:r>
              <w:rPr>
                <w:spacing w:val="14"/>
                <w:w w:val="101"/>
              </w:rPr>
              <w:t xml:space="preserve"> </w:t>
            </w:r>
            <w:r>
              <w:rPr>
                <w:rFonts w:ascii="宋体" w:hAnsi="宋体" w:eastAsia="宋体" w:cs="宋体"/>
                <w:spacing w:val="-11"/>
              </w:rPr>
              <w:t>月</w:t>
            </w:r>
            <w:r>
              <w:rPr>
                <w:rFonts w:ascii="宋体" w:hAnsi="宋体" w:eastAsia="宋体" w:cs="宋体"/>
                <w:spacing w:val="-45"/>
              </w:rPr>
              <w:t xml:space="preserve"> </w:t>
            </w:r>
            <w:r>
              <w:rPr>
                <w:spacing w:val="-11"/>
              </w:rPr>
              <w:t>3-6</w:t>
            </w:r>
            <w:r>
              <w:rPr>
                <w:spacing w:val="45"/>
                <w:w w:val="101"/>
              </w:rPr>
              <w:t xml:space="preserve"> </w:t>
            </w:r>
            <w:r>
              <w:rPr>
                <w:rFonts w:ascii="宋体" w:hAnsi="宋体" w:eastAsia="宋体" w:cs="宋体"/>
                <w:spacing w:val="-11"/>
              </w:rPr>
              <w:t>日。</w:t>
            </w:r>
          </w:p>
        </w:tc>
      </w:tr>
      <w:tr w14:paraId="5C70D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3" w:hRule="atLeast"/>
        </w:trPr>
        <w:tc>
          <w:tcPr>
            <w:tcW w:w="1271" w:type="dxa"/>
            <w:tcBorders>
              <w:left w:val="single" w:color="000000" w:sz="12" w:space="0"/>
            </w:tcBorders>
            <w:vAlign w:val="top"/>
          </w:tcPr>
          <w:p w14:paraId="092DE138">
            <w:pPr>
              <w:spacing w:line="242" w:lineRule="auto"/>
              <w:rPr>
                <w:rFonts w:ascii="Arial"/>
                <w:sz w:val="21"/>
              </w:rPr>
            </w:pPr>
          </w:p>
          <w:p w14:paraId="15265A01">
            <w:pPr>
              <w:spacing w:line="242" w:lineRule="auto"/>
              <w:rPr>
                <w:rFonts w:ascii="Arial"/>
                <w:sz w:val="21"/>
              </w:rPr>
            </w:pPr>
          </w:p>
          <w:p w14:paraId="1F5576EB">
            <w:pPr>
              <w:spacing w:line="242" w:lineRule="auto"/>
              <w:rPr>
                <w:rFonts w:ascii="Arial"/>
                <w:sz w:val="21"/>
              </w:rPr>
            </w:pPr>
          </w:p>
          <w:p w14:paraId="326157E1">
            <w:pPr>
              <w:spacing w:line="242" w:lineRule="auto"/>
              <w:rPr>
                <w:rFonts w:ascii="Arial"/>
                <w:sz w:val="21"/>
              </w:rPr>
            </w:pPr>
          </w:p>
          <w:p w14:paraId="0718BD6F">
            <w:pPr>
              <w:spacing w:line="242" w:lineRule="auto"/>
              <w:rPr>
                <w:rFonts w:ascii="Arial"/>
                <w:sz w:val="21"/>
              </w:rPr>
            </w:pPr>
          </w:p>
          <w:p w14:paraId="77718657">
            <w:pPr>
              <w:spacing w:line="243" w:lineRule="auto"/>
              <w:rPr>
                <w:rFonts w:ascii="Arial"/>
                <w:sz w:val="21"/>
              </w:rPr>
            </w:pPr>
          </w:p>
          <w:p w14:paraId="5F7252B6">
            <w:pPr>
              <w:spacing w:before="68" w:line="220" w:lineRule="auto"/>
              <w:ind w:left="204"/>
              <w:rPr>
                <w:rFonts w:ascii="宋体" w:hAnsi="宋体" w:eastAsia="宋体" w:cs="宋体"/>
                <w:sz w:val="21"/>
                <w:szCs w:val="21"/>
              </w:rPr>
            </w:pPr>
            <w:r>
              <w:rPr>
                <w:rFonts w:ascii="宋体" w:hAnsi="宋体" w:eastAsia="宋体" w:cs="宋体"/>
                <w:spacing w:val="-2"/>
                <w:sz w:val="21"/>
                <w:szCs w:val="21"/>
              </w:rPr>
              <w:t>调查范围</w:t>
            </w:r>
          </w:p>
        </w:tc>
        <w:tc>
          <w:tcPr>
            <w:tcW w:w="3390" w:type="dxa"/>
            <w:vAlign w:val="top"/>
          </w:tcPr>
          <w:p w14:paraId="122379E1">
            <w:pPr>
              <w:spacing w:line="366" w:lineRule="auto"/>
              <w:rPr>
                <w:rFonts w:ascii="Arial"/>
                <w:sz w:val="21"/>
              </w:rPr>
            </w:pPr>
          </w:p>
          <w:p w14:paraId="644B62AF">
            <w:pPr>
              <w:pStyle w:val="6"/>
              <w:spacing w:before="68"/>
              <w:ind w:left="77" w:right="79"/>
              <w:jc w:val="both"/>
              <w:rPr>
                <w:rFonts w:ascii="宋体" w:hAnsi="宋体" w:eastAsia="宋体" w:cs="宋体"/>
              </w:rPr>
            </w:pPr>
            <w:r>
              <w:rPr>
                <w:rFonts w:ascii="宋体" w:hAnsi="宋体" w:eastAsia="宋体" w:cs="宋体"/>
                <w:spacing w:val="-9"/>
              </w:rPr>
              <w:t>包括水源区和受水区。其中，水源区</w:t>
            </w:r>
            <w:r>
              <w:rPr>
                <w:rFonts w:ascii="宋体" w:hAnsi="宋体" w:eastAsia="宋体" w:cs="宋体"/>
                <w:spacing w:val="16"/>
              </w:rPr>
              <w:t>包括：</w:t>
            </w:r>
            <w:r>
              <w:rPr>
                <w:rFonts w:ascii="宋体" w:hAnsi="宋体" w:eastAsia="宋体" w:cs="宋体"/>
                <w:spacing w:val="-48"/>
              </w:rPr>
              <w:t xml:space="preserve"> </w:t>
            </w:r>
            <w:r>
              <w:rPr>
                <w:rFonts w:ascii="宋体" w:hAnsi="宋体" w:eastAsia="宋体" w:cs="宋体"/>
                <w:spacing w:val="16"/>
              </w:rPr>
              <w:t>车马碧水库回水末端上游</w:t>
            </w:r>
            <w:r>
              <w:rPr>
                <w:spacing w:val="7"/>
              </w:rPr>
              <w:t>15</w:t>
            </w:r>
            <w:r>
              <w:t>km</w:t>
            </w:r>
            <w:r>
              <w:rPr>
                <w:spacing w:val="7"/>
              </w:rPr>
              <w:t xml:space="preserve">  </w:t>
            </w:r>
            <w:r>
              <w:rPr>
                <w:rFonts w:ascii="宋体" w:hAnsi="宋体" w:eastAsia="宋体" w:cs="宋体"/>
                <w:spacing w:val="7"/>
              </w:rPr>
              <w:t>河段上端至马龙河汇牛栏江</w:t>
            </w:r>
            <w:r>
              <w:rPr>
                <w:rFonts w:ascii="宋体" w:hAnsi="宋体" w:eastAsia="宋体" w:cs="宋体"/>
                <w:spacing w:val="4"/>
              </w:rPr>
              <w:t>汇入口的马龙河干流河段、其间支流和凤龙湾水库、马龙河汇口附近的牛栏江干流河段；受水区河段包</w:t>
            </w:r>
            <w:r>
              <w:rPr>
                <w:rFonts w:ascii="宋体" w:hAnsi="宋体" w:eastAsia="宋体" w:cs="宋体"/>
                <w:spacing w:val="-9"/>
              </w:rPr>
              <w:t>括：剪彩河、白石江至其汇南盘江汇</w:t>
            </w:r>
            <w:r>
              <w:rPr>
                <w:rFonts w:ascii="宋体" w:hAnsi="宋体" w:eastAsia="宋体" w:cs="宋体"/>
                <w:spacing w:val="4"/>
              </w:rPr>
              <w:t>入口河段、白石江汇口附近的南盘</w:t>
            </w:r>
            <w:r>
              <w:rPr>
                <w:rFonts w:ascii="宋体" w:hAnsi="宋体" w:eastAsia="宋体" w:cs="宋体"/>
                <w:spacing w:val="-6"/>
              </w:rPr>
              <w:t>江干流河段。</w:t>
            </w:r>
          </w:p>
        </w:tc>
        <w:tc>
          <w:tcPr>
            <w:tcW w:w="3812" w:type="dxa"/>
            <w:tcBorders>
              <w:right w:val="single" w:color="000000" w:sz="12" w:space="0"/>
            </w:tcBorders>
            <w:vAlign w:val="top"/>
          </w:tcPr>
          <w:p w14:paraId="35581C16">
            <w:pPr>
              <w:pStyle w:val="6"/>
              <w:spacing w:before="162"/>
              <w:ind w:left="88" w:firstLine="2"/>
              <w:jc w:val="both"/>
              <w:rPr>
                <w:rFonts w:ascii="宋体" w:hAnsi="宋体" w:eastAsia="宋体" w:cs="宋体"/>
              </w:rPr>
            </w:pPr>
            <w:r>
              <w:rPr>
                <w:rFonts w:ascii="宋体" w:hAnsi="宋体" w:eastAsia="宋体" w:cs="宋体"/>
                <w:spacing w:val="3"/>
              </w:rPr>
              <w:t>调查范围包括工程涉及的马龙河、车章</w:t>
            </w:r>
            <w:r>
              <w:rPr>
                <w:rFonts w:ascii="宋体" w:hAnsi="宋体" w:eastAsia="宋体" w:cs="宋体"/>
                <w:spacing w:val="-9"/>
              </w:rPr>
              <w:t>河、白塔河。鱼类资源监测以区域监测为主，不设固定监测断面，范围为曲靖车马</w:t>
            </w:r>
            <w:r>
              <w:rPr>
                <w:rFonts w:ascii="宋体" w:hAnsi="宋体" w:eastAsia="宋体" w:cs="宋体"/>
                <w:spacing w:val="3"/>
              </w:rPr>
              <w:t>碧水库坝址至车章河和白塔河。水生植被监测范围从曲靖车马碧水库库尾到车</w:t>
            </w:r>
            <w:r>
              <w:rPr>
                <w:rFonts w:ascii="宋体" w:hAnsi="宋体" w:eastAsia="宋体" w:cs="宋体"/>
                <w:spacing w:val="-3"/>
              </w:rPr>
              <w:t>章河和白塔河上游，长约</w:t>
            </w:r>
            <w:r>
              <w:rPr>
                <w:rFonts w:ascii="宋体" w:hAnsi="宋体" w:eastAsia="宋体" w:cs="宋体"/>
                <w:spacing w:val="-39"/>
              </w:rPr>
              <w:t xml:space="preserve"> </w:t>
            </w:r>
            <w:r>
              <w:rPr>
                <w:spacing w:val="-3"/>
              </w:rPr>
              <w:t>2</w:t>
            </w:r>
            <w:r>
              <w:rPr>
                <w:spacing w:val="16"/>
              </w:rPr>
              <w:t xml:space="preserve"> </w:t>
            </w:r>
            <w:r>
              <w:rPr>
                <w:spacing w:val="-3"/>
              </w:rPr>
              <w:t>km</w:t>
            </w:r>
            <w:r>
              <w:rPr>
                <w:spacing w:val="-29"/>
              </w:rPr>
              <w:t xml:space="preserve"> </w:t>
            </w:r>
            <w:r>
              <w:rPr>
                <w:rFonts w:ascii="宋体" w:hAnsi="宋体" w:eastAsia="宋体" w:cs="宋体"/>
                <w:spacing w:val="-3"/>
              </w:rPr>
              <w:t>，重点区</w:t>
            </w:r>
            <w:r>
              <w:rPr>
                <w:rFonts w:ascii="宋体" w:hAnsi="宋体" w:eastAsia="宋体" w:cs="宋体"/>
                <w:spacing w:val="-9"/>
              </w:rPr>
              <w:t>域为水库淹没区、建筑物永久占地区、施</w:t>
            </w:r>
            <w:r>
              <w:rPr>
                <w:rFonts w:ascii="宋体" w:hAnsi="宋体" w:eastAsia="宋体" w:cs="宋体"/>
                <w:spacing w:val="-5"/>
              </w:rPr>
              <w:t>工营地、渣场、料场、施工临时工作面。</w:t>
            </w:r>
            <w:r>
              <w:rPr>
                <w:rFonts w:ascii="宋体" w:hAnsi="宋体" w:eastAsia="宋体" w:cs="宋体"/>
                <w:spacing w:val="3"/>
              </w:rPr>
              <w:t>湿地水网河道断面地形和水文测定根据</w:t>
            </w:r>
            <w:r>
              <w:rPr>
                <w:rFonts w:ascii="宋体" w:hAnsi="宋体" w:eastAsia="宋体" w:cs="宋体"/>
                <w:spacing w:val="-1"/>
              </w:rPr>
              <w:t xml:space="preserve">不同河道形态与计算需要设置 </w:t>
            </w:r>
            <w:r>
              <w:rPr>
                <w:spacing w:val="-1"/>
              </w:rPr>
              <w:t xml:space="preserve">2-3  </w:t>
            </w:r>
            <w:r>
              <w:rPr>
                <w:rFonts w:ascii="宋体" w:hAnsi="宋体" w:eastAsia="宋体" w:cs="宋体"/>
                <w:spacing w:val="-1"/>
              </w:rPr>
              <w:t>个测</w:t>
            </w:r>
            <w:r>
              <w:rPr>
                <w:rFonts w:ascii="宋体" w:hAnsi="宋体" w:eastAsia="宋体" w:cs="宋体"/>
                <w:spacing w:val="-8"/>
              </w:rPr>
              <w:t>量断面。</w:t>
            </w:r>
          </w:p>
        </w:tc>
      </w:tr>
      <w:tr w14:paraId="18299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0" w:hRule="atLeast"/>
        </w:trPr>
        <w:tc>
          <w:tcPr>
            <w:tcW w:w="1271" w:type="dxa"/>
            <w:tcBorders>
              <w:left w:val="single" w:color="000000" w:sz="12" w:space="0"/>
            </w:tcBorders>
            <w:vAlign w:val="top"/>
          </w:tcPr>
          <w:p w14:paraId="595DAD57">
            <w:pPr>
              <w:spacing w:line="262" w:lineRule="auto"/>
              <w:rPr>
                <w:rFonts w:ascii="Arial"/>
                <w:sz w:val="21"/>
              </w:rPr>
            </w:pPr>
          </w:p>
          <w:p w14:paraId="6C2B24BA">
            <w:pPr>
              <w:spacing w:line="262" w:lineRule="auto"/>
              <w:rPr>
                <w:rFonts w:ascii="Arial"/>
                <w:sz w:val="21"/>
              </w:rPr>
            </w:pPr>
          </w:p>
          <w:p w14:paraId="18B13CC7">
            <w:pPr>
              <w:spacing w:line="262" w:lineRule="auto"/>
              <w:rPr>
                <w:rFonts w:ascii="Arial"/>
                <w:sz w:val="21"/>
              </w:rPr>
            </w:pPr>
          </w:p>
          <w:p w14:paraId="36FCEA90">
            <w:pPr>
              <w:spacing w:line="262" w:lineRule="auto"/>
              <w:rPr>
                <w:rFonts w:ascii="Arial"/>
                <w:sz w:val="21"/>
              </w:rPr>
            </w:pPr>
          </w:p>
          <w:p w14:paraId="3C641D14">
            <w:pPr>
              <w:spacing w:line="262" w:lineRule="auto"/>
              <w:rPr>
                <w:rFonts w:ascii="Arial"/>
                <w:sz w:val="21"/>
              </w:rPr>
            </w:pPr>
          </w:p>
          <w:p w14:paraId="39EE1D34">
            <w:pPr>
              <w:spacing w:line="263" w:lineRule="auto"/>
              <w:rPr>
                <w:rFonts w:ascii="Arial"/>
                <w:sz w:val="21"/>
              </w:rPr>
            </w:pPr>
          </w:p>
          <w:p w14:paraId="090AC2B0">
            <w:pPr>
              <w:spacing w:line="263" w:lineRule="auto"/>
              <w:rPr>
                <w:rFonts w:ascii="Arial"/>
                <w:sz w:val="21"/>
              </w:rPr>
            </w:pPr>
          </w:p>
          <w:p w14:paraId="1578CB11">
            <w:pPr>
              <w:spacing w:line="263" w:lineRule="auto"/>
              <w:rPr>
                <w:rFonts w:ascii="Arial"/>
                <w:sz w:val="21"/>
              </w:rPr>
            </w:pPr>
          </w:p>
          <w:p w14:paraId="616D4A01">
            <w:pPr>
              <w:spacing w:before="68" w:line="220" w:lineRule="auto"/>
              <w:ind w:left="204"/>
              <w:rPr>
                <w:rFonts w:ascii="宋体" w:hAnsi="宋体" w:eastAsia="宋体" w:cs="宋体"/>
                <w:sz w:val="21"/>
                <w:szCs w:val="21"/>
              </w:rPr>
            </w:pPr>
            <w:r>
              <w:rPr>
                <w:rFonts w:ascii="宋体" w:hAnsi="宋体" w:eastAsia="宋体" w:cs="宋体"/>
                <w:spacing w:val="-2"/>
                <w:sz w:val="21"/>
                <w:szCs w:val="21"/>
              </w:rPr>
              <w:t>调查断面</w:t>
            </w:r>
          </w:p>
        </w:tc>
        <w:tc>
          <w:tcPr>
            <w:tcW w:w="3390" w:type="dxa"/>
            <w:vAlign w:val="top"/>
          </w:tcPr>
          <w:p w14:paraId="65D3B698">
            <w:pPr>
              <w:pStyle w:val="6"/>
              <w:spacing w:before="135" w:line="239" w:lineRule="auto"/>
              <w:ind w:left="77" w:right="79"/>
              <w:jc w:val="both"/>
              <w:rPr>
                <w:rFonts w:ascii="宋体" w:hAnsi="宋体" w:eastAsia="宋体" w:cs="宋体"/>
              </w:rPr>
            </w:pPr>
            <w:r>
              <w:rPr>
                <w:rFonts w:ascii="宋体" w:hAnsi="宋体" w:eastAsia="宋体" w:cs="宋体"/>
                <w:spacing w:val="-13"/>
              </w:rPr>
              <w:t>根据控制性、代表性原则，</w:t>
            </w:r>
            <w:r>
              <w:rPr>
                <w:rFonts w:ascii="宋体" w:hAnsi="宋体" w:eastAsia="宋体" w:cs="宋体"/>
                <w:spacing w:val="-36"/>
              </w:rPr>
              <w:t xml:space="preserve"> </w:t>
            </w:r>
            <w:r>
              <w:rPr>
                <w:rFonts w:ascii="宋体" w:hAnsi="宋体" w:eastAsia="宋体" w:cs="宋体"/>
                <w:spacing w:val="-13"/>
              </w:rPr>
              <w:t>在干、支</w:t>
            </w:r>
            <w:r>
              <w:rPr>
                <w:rFonts w:ascii="宋体" w:hAnsi="宋体" w:eastAsia="宋体" w:cs="宋体"/>
                <w:spacing w:val="-4"/>
              </w:rPr>
              <w:t>流共布设</w:t>
            </w:r>
            <w:r>
              <w:rPr>
                <w:rFonts w:ascii="宋体" w:hAnsi="宋体" w:eastAsia="宋体" w:cs="宋体"/>
                <w:spacing w:val="-18"/>
              </w:rPr>
              <w:t xml:space="preserve"> </w:t>
            </w:r>
            <w:r>
              <w:rPr>
                <w:spacing w:val="-4"/>
              </w:rPr>
              <w:t xml:space="preserve">15 </w:t>
            </w:r>
            <w:r>
              <w:rPr>
                <w:rFonts w:ascii="宋体" w:hAnsi="宋体" w:eastAsia="宋体" w:cs="宋体"/>
                <w:spacing w:val="-4"/>
              </w:rPr>
              <w:t>个断面。其中干流从上</w:t>
            </w:r>
            <w:r>
              <w:rPr>
                <w:rFonts w:ascii="宋体" w:hAnsi="宋体" w:eastAsia="宋体" w:cs="宋体"/>
                <w:spacing w:val="-2"/>
              </w:rPr>
              <w:t>游至下游依次为：</w:t>
            </w:r>
            <w:r>
              <w:rPr>
                <w:spacing w:val="-2"/>
              </w:rPr>
              <w:t>1</w:t>
            </w:r>
            <w:r>
              <w:rPr>
                <w:rFonts w:ascii="宋体" w:hAnsi="宋体" w:eastAsia="宋体" w:cs="宋体"/>
                <w:spacing w:val="-2"/>
              </w:rPr>
              <w:t>）车马碧水库回</w:t>
            </w:r>
            <w:r>
              <w:rPr>
                <w:rFonts w:ascii="宋体" w:hAnsi="宋体" w:eastAsia="宋体" w:cs="宋体"/>
                <w:spacing w:val="-9"/>
              </w:rPr>
              <w:t>水末端、</w:t>
            </w:r>
            <w:r>
              <w:rPr>
                <w:spacing w:val="-9"/>
              </w:rPr>
              <w:t>2</w:t>
            </w:r>
            <w:r>
              <w:rPr>
                <w:rFonts w:ascii="宋体" w:hAnsi="宋体" w:eastAsia="宋体" w:cs="宋体"/>
                <w:spacing w:val="-9"/>
              </w:rPr>
              <w:t>）车马碧水库库中、</w:t>
            </w:r>
            <w:r>
              <w:rPr>
                <w:spacing w:val="-9"/>
              </w:rPr>
              <w:t>3</w:t>
            </w:r>
            <w:r>
              <w:rPr>
                <w:rFonts w:ascii="宋体" w:hAnsi="宋体" w:eastAsia="宋体" w:cs="宋体"/>
                <w:spacing w:val="-9"/>
              </w:rPr>
              <w:t>）车</w:t>
            </w:r>
            <w:r>
              <w:rPr>
                <w:rFonts w:ascii="宋体" w:hAnsi="宋体" w:eastAsia="宋体" w:cs="宋体"/>
                <w:spacing w:val="-2"/>
              </w:rPr>
              <w:t>马碧水库坝址处、</w:t>
            </w:r>
            <w:r>
              <w:rPr>
                <w:spacing w:val="-2"/>
              </w:rPr>
              <w:t>4</w:t>
            </w:r>
            <w:r>
              <w:rPr>
                <w:rFonts w:ascii="宋体" w:hAnsi="宋体" w:eastAsia="宋体" w:cs="宋体"/>
                <w:spacing w:val="-2"/>
              </w:rPr>
              <w:t>）红桥河汇口干</w:t>
            </w:r>
            <w:r>
              <w:rPr>
                <w:rFonts w:ascii="宋体" w:hAnsi="宋体" w:eastAsia="宋体" w:cs="宋体"/>
                <w:spacing w:val="-5"/>
              </w:rPr>
              <w:t>流下游</w:t>
            </w:r>
            <w:r>
              <w:rPr>
                <w:rFonts w:ascii="宋体" w:hAnsi="宋体" w:eastAsia="宋体" w:cs="宋体"/>
                <w:spacing w:val="-28"/>
              </w:rPr>
              <w:t xml:space="preserve"> </w:t>
            </w:r>
            <w:r>
              <w:rPr>
                <w:spacing w:val="-5"/>
              </w:rPr>
              <w:t>1km</w:t>
            </w:r>
            <w:r>
              <w:rPr>
                <w:spacing w:val="-31"/>
              </w:rPr>
              <w:t xml:space="preserve"> </w:t>
            </w:r>
            <w:r>
              <w:rPr>
                <w:rFonts w:ascii="宋体" w:hAnsi="宋体" w:eastAsia="宋体" w:cs="宋体"/>
                <w:spacing w:val="-5"/>
              </w:rPr>
              <w:t>、</w:t>
            </w:r>
            <w:r>
              <w:rPr>
                <w:spacing w:val="-5"/>
              </w:rPr>
              <w:t>5</w:t>
            </w:r>
            <w:r>
              <w:rPr>
                <w:rFonts w:ascii="宋体" w:hAnsi="宋体" w:eastAsia="宋体" w:cs="宋体"/>
                <w:spacing w:val="-5"/>
              </w:rPr>
              <w:t>）凤龙湾水库回水末</w:t>
            </w:r>
            <w:r>
              <w:rPr>
                <w:rFonts w:ascii="宋体" w:hAnsi="宋体" w:eastAsia="宋体" w:cs="宋体"/>
                <w:spacing w:val="-9"/>
              </w:rPr>
              <w:t>端、</w:t>
            </w:r>
            <w:r>
              <w:rPr>
                <w:spacing w:val="-9"/>
              </w:rPr>
              <w:t>6</w:t>
            </w:r>
            <w:r>
              <w:rPr>
                <w:rFonts w:ascii="宋体" w:hAnsi="宋体" w:eastAsia="宋体" w:cs="宋体"/>
                <w:spacing w:val="-9"/>
              </w:rPr>
              <w:t>）凤龙湾水库库中、</w:t>
            </w:r>
            <w:r>
              <w:rPr>
                <w:spacing w:val="-9"/>
              </w:rPr>
              <w:t>7</w:t>
            </w:r>
            <w:r>
              <w:rPr>
                <w:rFonts w:ascii="宋体" w:hAnsi="宋体" w:eastAsia="宋体" w:cs="宋体"/>
                <w:spacing w:val="-9"/>
              </w:rPr>
              <w:t>）凤龙湾</w:t>
            </w:r>
            <w:r>
              <w:rPr>
                <w:rFonts w:ascii="宋体" w:hAnsi="宋体" w:eastAsia="宋体" w:cs="宋体"/>
                <w:spacing w:val="-5"/>
              </w:rPr>
              <w:t>水库下游</w:t>
            </w:r>
            <w:r>
              <w:rPr>
                <w:rFonts w:ascii="宋体" w:hAnsi="宋体" w:eastAsia="宋体" w:cs="宋体"/>
                <w:spacing w:val="-28"/>
              </w:rPr>
              <w:t xml:space="preserve"> </w:t>
            </w:r>
            <w:r>
              <w:rPr>
                <w:spacing w:val="-5"/>
              </w:rPr>
              <w:t>1km</w:t>
            </w:r>
            <w:r>
              <w:rPr>
                <w:spacing w:val="-31"/>
              </w:rPr>
              <w:t xml:space="preserve"> </w:t>
            </w:r>
            <w:r>
              <w:rPr>
                <w:rFonts w:ascii="宋体" w:hAnsi="宋体" w:eastAsia="宋体" w:cs="宋体"/>
                <w:spacing w:val="-5"/>
              </w:rPr>
              <w:t>、</w:t>
            </w:r>
            <w:r>
              <w:rPr>
                <w:spacing w:val="-5"/>
              </w:rPr>
              <w:t>8</w:t>
            </w:r>
            <w:r>
              <w:rPr>
                <w:rFonts w:ascii="宋体" w:hAnsi="宋体" w:eastAsia="宋体" w:cs="宋体"/>
                <w:spacing w:val="-5"/>
              </w:rPr>
              <w:t>）马龙河汇牛栏江</w:t>
            </w:r>
            <w:r>
              <w:rPr>
                <w:rFonts w:ascii="宋体" w:hAnsi="宋体" w:eastAsia="宋体" w:cs="宋体"/>
                <w:spacing w:val="-3"/>
              </w:rPr>
              <w:t>汇入口；支流采样点依次为：</w:t>
            </w:r>
            <w:r>
              <w:rPr>
                <w:spacing w:val="-3"/>
              </w:rPr>
              <w:t>9</w:t>
            </w:r>
            <w:r>
              <w:rPr>
                <w:rFonts w:ascii="宋体" w:hAnsi="宋体" w:eastAsia="宋体" w:cs="宋体"/>
                <w:spacing w:val="-3"/>
              </w:rPr>
              <w:t>）车</w:t>
            </w:r>
            <w:r>
              <w:rPr>
                <w:rFonts w:ascii="宋体" w:hAnsi="宋体" w:eastAsia="宋体" w:cs="宋体"/>
                <w:spacing w:val="-9"/>
              </w:rPr>
              <w:t>章河支流距汇口以上</w:t>
            </w:r>
            <w:r>
              <w:rPr>
                <w:rFonts w:ascii="宋体" w:hAnsi="宋体" w:eastAsia="宋体" w:cs="宋体"/>
                <w:spacing w:val="-35"/>
              </w:rPr>
              <w:t xml:space="preserve"> </w:t>
            </w:r>
            <w:r>
              <w:rPr>
                <w:spacing w:val="-9"/>
              </w:rPr>
              <w:t>2km</w:t>
            </w:r>
            <w:r>
              <w:rPr>
                <w:rFonts w:ascii="宋体" w:hAnsi="宋体" w:eastAsia="宋体" w:cs="宋体"/>
                <w:spacing w:val="-9"/>
              </w:rPr>
              <w:t>、</w:t>
            </w:r>
            <w:r>
              <w:rPr>
                <w:spacing w:val="-9"/>
              </w:rPr>
              <w:t>10</w:t>
            </w:r>
            <w:r>
              <w:rPr>
                <w:rFonts w:ascii="宋体" w:hAnsi="宋体" w:eastAsia="宋体" w:cs="宋体"/>
                <w:spacing w:val="-9"/>
              </w:rPr>
              <w:t>）白塔河支流距汇口以上</w:t>
            </w:r>
            <w:r>
              <w:rPr>
                <w:rFonts w:ascii="宋体" w:hAnsi="宋体" w:eastAsia="宋体" w:cs="宋体"/>
                <w:spacing w:val="-35"/>
              </w:rPr>
              <w:t xml:space="preserve"> </w:t>
            </w:r>
            <w:r>
              <w:rPr>
                <w:spacing w:val="-9"/>
              </w:rPr>
              <w:t>2km</w:t>
            </w:r>
            <w:r>
              <w:rPr>
                <w:rFonts w:ascii="宋体" w:hAnsi="宋体" w:eastAsia="宋体" w:cs="宋体"/>
                <w:spacing w:val="-9"/>
              </w:rPr>
              <w:t>、</w:t>
            </w:r>
            <w:r>
              <w:rPr>
                <w:spacing w:val="-9"/>
              </w:rPr>
              <w:t>11</w:t>
            </w:r>
            <w:r>
              <w:rPr>
                <w:rFonts w:ascii="宋体" w:hAnsi="宋体" w:eastAsia="宋体" w:cs="宋体"/>
                <w:spacing w:val="-9"/>
              </w:rPr>
              <w:t>）红桥河支流距汇口以上</w:t>
            </w:r>
            <w:r>
              <w:rPr>
                <w:rFonts w:ascii="宋体" w:hAnsi="宋体" w:eastAsia="宋体" w:cs="宋体"/>
                <w:spacing w:val="-35"/>
              </w:rPr>
              <w:t xml:space="preserve"> </w:t>
            </w:r>
            <w:r>
              <w:rPr>
                <w:spacing w:val="-9"/>
              </w:rPr>
              <w:t>2km</w:t>
            </w:r>
            <w:r>
              <w:rPr>
                <w:rFonts w:ascii="宋体" w:hAnsi="宋体" w:eastAsia="宋体" w:cs="宋体"/>
                <w:spacing w:val="-9"/>
              </w:rPr>
              <w:t>、</w:t>
            </w:r>
            <w:r>
              <w:rPr>
                <w:spacing w:val="-9"/>
              </w:rPr>
              <w:t>12</w:t>
            </w:r>
            <w:r>
              <w:rPr>
                <w:rFonts w:ascii="宋体" w:hAnsi="宋体" w:eastAsia="宋体" w:cs="宋体"/>
                <w:spacing w:val="-9"/>
              </w:rPr>
              <w:t>）莫浪河支</w:t>
            </w:r>
            <w:r>
              <w:rPr>
                <w:rFonts w:ascii="宋体" w:hAnsi="宋体" w:eastAsia="宋体" w:cs="宋体"/>
              </w:rPr>
              <w:t xml:space="preserve">流距汇口以上 </w:t>
            </w:r>
            <w:r>
              <w:t>2km</w:t>
            </w:r>
            <w:r>
              <w:rPr>
                <w:rFonts w:ascii="宋体" w:hAnsi="宋体" w:eastAsia="宋体" w:cs="宋体"/>
              </w:rPr>
              <w:t>；输水河道采样</w:t>
            </w:r>
            <w:r>
              <w:rPr>
                <w:rFonts w:ascii="宋体" w:hAnsi="宋体" w:eastAsia="宋体" w:cs="宋体"/>
                <w:spacing w:val="-8"/>
              </w:rPr>
              <w:t>点依次为：</w:t>
            </w:r>
            <w:r>
              <w:rPr>
                <w:spacing w:val="-8"/>
              </w:rPr>
              <w:t>13</w:t>
            </w:r>
            <w:r>
              <w:rPr>
                <w:rFonts w:ascii="宋体" w:hAnsi="宋体" w:eastAsia="宋体" w:cs="宋体"/>
                <w:spacing w:val="-8"/>
              </w:rPr>
              <w:t>）剪彩河、</w:t>
            </w:r>
            <w:r>
              <w:rPr>
                <w:spacing w:val="-8"/>
              </w:rPr>
              <w:t>14</w:t>
            </w:r>
            <w:r>
              <w:rPr>
                <w:rFonts w:ascii="宋体" w:hAnsi="宋体" w:eastAsia="宋体" w:cs="宋体"/>
                <w:spacing w:val="-8"/>
              </w:rPr>
              <w:t>）剪彩河</w:t>
            </w:r>
            <w:r>
              <w:rPr>
                <w:rFonts w:ascii="宋体" w:hAnsi="宋体" w:eastAsia="宋体" w:cs="宋体"/>
                <w:spacing w:val="-10"/>
              </w:rPr>
              <w:t>汇白石江汇口下游</w:t>
            </w:r>
            <w:r>
              <w:rPr>
                <w:rFonts w:ascii="宋体" w:hAnsi="宋体" w:eastAsia="宋体" w:cs="宋体"/>
                <w:spacing w:val="-17"/>
              </w:rPr>
              <w:t xml:space="preserve"> </w:t>
            </w:r>
            <w:r>
              <w:rPr>
                <w:spacing w:val="-10"/>
              </w:rPr>
              <w:t>1km</w:t>
            </w:r>
            <w:r>
              <w:rPr>
                <w:rFonts w:ascii="宋体" w:hAnsi="宋体" w:eastAsia="宋体" w:cs="宋体"/>
                <w:spacing w:val="-10"/>
              </w:rPr>
              <w:t>、</w:t>
            </w:r>
            <w:r>
              <w:rPr>
                <w:spacing w:val="-10"/>
              </w:rPr>
              <w:t>15</w:t>
            </w:r>
            <w:r>
              <w:rPr>
                <w:rFonts w:ascii="宋体" w:hAnsi="宋体" w:eastAsia="宋体" w:cs="宋体"/>
                <w:spacing w:val="-10"/>
              </w:rPr>
              <w:t>）白石江</w:t>
            </w:r>
            <w:r>
              <w:rPr>
                <w:rFonts w:ascii="宋体" w:hAnsi="宋体" w:eastAsia="宋体" w:cs="宋体"/>
                <w:spacing w:val="-5"/>
              </w:rPr>
              <w:t>汇南盘江汇口处。</w:t>
            </w:r>
          </w:p>
        </w:tc>
        <w:tc>
          <w:tcPr>
            <w:tcW w:w="3812" w:type="dxa"/>
            <w:tcBorders>
              <w:right w:val="single" w:color="000000" w:sz="12" w:space="0"/>
            </w:tcBorders>
            <w:vAlign w:val="top"/>
          </w:tcPr>
          <w:p w14:paraId="5BA7B464">
            <w:pPr>
              <w:spacing w:line="257" w:lineRule="auto"/>
              <w:rPr>
                <w:rFonts w:ascii="Arial"/>
                <w:sz w:val="21"/>
              </w:rPr>
            </w:pPr>
          </w:p>
          <w:p w14:paraId="7E1F1105">
            <w:pPr>
              <w:spacing w:line="257" w:lineRule="auto"/>
              <w:rPr>
                <w:rFonts w:ascii="Arial"/>
                <w:sz w:val="21"/>
              </w:rPr>
            </w:pPr>
          </w:p>
          <w:p w14:paraId="663FBED7">
            <w:pPr>
              <w:spacing w:line="257" w:lineRule="auto"/>
              <w:rPr>
                <w:rFonts w:ascii="Arial"/>
                <w:sz w:val="21"/>
              </w:rPr>
            </w:pPr>
          </w:p>
          <w:p w14:paraId="460C1B27">
            <w:pPr>
              <w:spacing w:line="258" w:lineRule="auto"/>
              <w:rPr>
                <w:rFonts w:ascii="Arial"/>
                <w:sz w:val="21"/>
              </w:rPr>
            </w:pPr>
          </w:p>
          <w:p w14:paraId="560E1FA4">
            <w:pPr>
              <w:spacing w:line="258" w:lineRule="auto"/>
              <w:rPr>
                <w:rFonts w:ascii="Arial"/>
                <w:sz w:val="21"/>
              </w:rPr>
            </w:pPr>
          </w:p>
          <w:p w14:paraId="070D90F0">
            <w:pPr>
              <w:pStyle w:val="6"/>
              <w:spacing w:before="68"/>
              <w:ind w:left="88" w:firstLine="1"/>
              <w:jc w:val="both"/>
              <w:rPr>
                <w:rFonts w:ascii="宋体" w:hAnsi="宋体" w:eastAsia="宋体" w:cs="宋体"/>
              </w:rPr>
            </w:pPr>
            <w:r>
              <w:rPr>
                <w:rFonts w:ascii="宋体" w:hAnsi="宋体" w:eastAsia="宋体" w:cs="宋体"/>
                <w:spacing w:val="3"/>
              </w:rPr>
              <w:t>监测范围包括工程涉及的马龙河、车章</w:t>
            </w:r>
            <w:r>
              <w:rPr>
                <w:rFonts w:ascii="宋体" w:hAnsi="宋体" w:eastAsia="宋体" w:cs="宋体"/>
                <w:spacing w:val="-9"/>
              </w:rPr>
              <w:t>河和白塔河，坝址位于马龙河干流，并在</w:t>
            </w:r>
            <w:r>
              <w:rPr>
                <w:rFonts w:ascii="宋体" w:hAnsi="宋体" w:eastAsia="宋体" w:cs="宋体"/>
                <w:spacing w:val="-4"/>
              </w:rPr>
              <w:t xml:space="preserve">监测流域设置 </w:t>
            </w:r>
            <w:r>
              <w:rPr>
                <w:spacing w:val="-4"/>
              </w:rPr>
              <w:t>6</w:t>
            </w:r>
            <w:r>
              <w:rPr>
                <w:spacing w:val="61"/>
              </w:rPr>
              <w:t xml:space="preserve"> </w:t>
            </w:r>
            <w:r>
              <w:rPr>
                <w:rFonts w:ascii="宋体" w:hAnsi="宋体" w:eastAsia="宋体" w:cs="宋体"/>
                <w:spacing w:val="-4"/>
              </w:rPr>
              <w:t>个断面，每个断面分别</w:t>
            </w:r>
            <w:r>
              <w:rPr>
                <w:rFonts w:ascii="宋体" w:hAnsi="宋体" w:eastAsia="宋体" w:cs="宋体"/>
                <w:spacing w:val="-6"/>
              </w:rPr>
              <w:t>设置</w:t>
            </w:r>
            <w:r>
              <w:rPr>
                <w:rFonts w:ascii="宋体" w:hAnsi="宋体" w:eastAsia="宋体" w:cs="宋体"/>
                <w:spacing w:val="-48"/>
              </w:rPr>
              <w:t xml:space="preserve"> </w:t>
            </w:r>
            <w:r>
              <w:rPr>
                <w:spacing w:val="-6"/>
              </w:rPr>
              <w:t xml:space="preserve">2 </w:t>
            </w:r>
            <w:r>
              <w:rPr>
                <w:rFonts w:ascii="宋体" w:hAnsi="宋体" w:eastAsia="宋体" w:cs="宋体"/>
                <w:spacing w:val="-6"/>
              </w:rPr>
              <w:t>至</w:t>
            </w:r>
            <w:r>
              <w:rPr>
                <w:rFonts w:ascii="宋体" w:hAnsi="宋体" w:eastAsia="宋体" w:cs="宋体"/>
                <w:spacing w:val="-45"/>
              </w:rPr>
              <w:t xml:space="preserve"> </w:t>
            </w:r>
            <w:r>
              <w:rPr>
                <w:spacing w:val="-6"/>
              </w:rPr>
              <w:t xml:space="preserve">3 </w:t>
            </w:r>
            <w:r>
              <w:rPr>
                <w:rFonts w:ascii="宋体" w:hAnsi="宋体" w:eastAsia="宋体" w:cs="宋体"/>
                <w:spacing w:val="-6"/>
              </w:rPr>
              <w:t>个样点。</w:t>
            </w:r>
            <w:r>
              <w:rPr>
                <w:spacing w:val="-6"/>
              </w:rPr>
              <w:t>6</w:t>
            </w:r>
            <w:r>
              <w:rPr>
                <w:spacing w:val="9"/>
              </w:rPr>
              <w:t xml:space="preserve"> </w:t>
            </w:r>
            <w:r>
              <w:rPr>
                <w:rFonts w:ascii="宋体" w:hAnsi="宋体" w:eastAsia="宋体" w:cs="宋体"/>
                <w:spacing w:val="-6"/>
              </w:rPr>
              <w:t>个断面分别为，库</w:t>
            </w:r>
            <w:r>
              <w:rPr>
                <w:rFonts w:ascii="宋体" w:hAnsi="宋体" w:eastAsia="宋体" w:cs="宋体"/>
                <w:spacing w:val="-5"/>
              </w:rPr>
              <w:t>区</w:t>
            </w:r>
            <w:r>
              <w:rPr>
                <w:rFonts w:ascii="宋体" w:hAnsi="宋体" w:eastAsia="宋体" w:cs="宋体"/>
                <w:spacing w:val="-35"/>
              </w:rPr>
              <w:t xml:space="preserve"> </w:t>
            </w:r>
            <w:r>
              <w:rPr>
                <w:spacing w:val="-5"/>
              </w:rPr>
              <w:t xml:space="preserve">4 </w:t>
            </w:r>
            <w:r>
              <w:rPr>
                <w:rFonts w:ascii="宋体" w:hAnsi="宋体" w:eastAsia="宋体" w:cs="宋体"/>
                <w:spacing w:val="-5"/>
              </w:rPr>
              <w:t>个断面：马龙河库尾、车章河库尾、</w:t>
            </w:r>
            <w:r>
              <w:rPr>
                <w:rFonts w:ascii="宋体" w:hAnsi="宋体" w:eastAsia="宋体" w:cs="宋体"/>
                <w:spacing w:val="-11"/>
              </w:rPr>
              <w:t>白塔河库尾、坝前； 坝下：马龙河干流</w:t>
            </w:r>
            <w:r>
              <w:rPr>
                <w:rFonts w:ascii="宋体" w:hAnsi="宋体" w:eastAsia="宋体" w:cs="宋体"/>
                <w:spacing w:val="-48"/>
              </w:rPr>
              <w:t xml:space="preserve"> </w:t>
            </w:r>
            <w:r>
              <w:rPr>
                <w:spacing w:val="-11"/>
              </w:rPr>
              <w:t>2</w:t>
            </w:r>
            <w:r>
              <w:rPr>
                <w:rFonts w:ascii="宋体" w:hAnsi="宋体" w:eastAsia="宋体" w:cs="宋体"/>
                <w:spacing w:val="-3"/>
              </w:rPr>
              <w:t>个断面（坝址</w:t>
            </w:r>
            <w:r>
              <w:rPr>
                <w:rFonts w:ascii="宋体" w:hAnsi="宋体" w:eastAsia="宋体" w:cs="宋体"/>
                <w:spacing w:val="-42"/>
              </w:rPr>
              <w:t xml:space="preserve"> </w:t>
            </w:r>
            <w:r>
              <w:rPr>
                <w:spacing w:val="-3"/>
              </w:rPr>
              <w:t xml:space="preserve">2km </w:t>
            </w:r>
            <w:r>
              <w:rPr>
                <w:rFonts w:ascii="宋体" w:hAnsi="宋体" w:eastAsia="宋体" w:cs="宋体"/>
                <w:spacing w:val="-3"/>
              </w:rPr>
              <w:t>和</w:t>
            </w:r>
            <w:r>
              <w:rPr>
                <w:rFonts w:ascii="宋体" w:hAnsi="宋体" w:eastAsia="宋体" w:cs="宋体"/>
                <w:spacing w:val="-43"/>
              </w:rPr>
              <w:t xml:space="preserve"> </w:t>
            </w:r>
            <w:r>
              <w:rPr>
                <w:spacing w:val="-3"/>
              </w:rPr>
              <w:t>6km</w:t>
            </w:r>
            <w:r>
              <w:rPr>
                <w:rFonts w:ascii="宋体" w:hAnsi="宋体" w:eastAsia="宋体" w:cs="宋体"/>
                <w:spacing w:val="-3"/>
              </w:rPr>
              <w:t>）。</w:t>
            </w:r>
          </w:p>
        </w:tc>
      </w:tr>
      <w:tr w14:paraId="17B49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4" w:hRule="atLeast"/>
        </w:trPr>
        <w:tc>
          <w:tcPr>
            <w:tcW w:w="1271" w:type="dxa"/>
            <w:tcBorders>
              <w:left w:val="single" w:color="000000" w:sz="12" w:space="0"/>
              <w:bottom w:val="single" w:color="000000" w:sz="12" w:space="0"/>
            </w:tcBorders>
            <w:vAlign w:val="top"/>
          </w:tcPr>
          <w:p w14:paraId="263D4216">
            <w:pPr>
              <w:spacing w:line="315" w:lineRule="auto"/>
              <w:rPr>
                <w:rFonts w:ascii="Arial"/>
                <w:sz w:val="21"/>
              </w:rPr>
            </w:pPr>
          </w:p>
          <w:p w14:paraId="583CDE42">
            <w:pPr>
              <w:spacing w:line="316" w:lineRule="auto"/>
              <w:rPr>
                <w:rFonts w:ascii="Arial"/>
                <w:sz w:val="21"/>
              </w:rPr>
            </w:pPr>
          </w:p>
          <w:p w14:paraId="654D7FD4">
            <w:pPr>
              <w:spacing w:before="69" w:line="221" w:lineRule="auto"/>
              <w:ind w:left="204"/>
              <w:rPr>
                <w:rFonts w:ascii="宋体" w:hAnsi="宋体" w:eastAsia="宋体" w:cs="宋体"/>
                <w:sz w:val="21"/>
                <w:szCs w:val="21"/>
              </w:rPr>
            </w:pPr>
            <w:r>
              <w:rPr>
                <w:rFonts w:ascii="宋体" w:hAnsi="宋体" w:eastAsia="宋体" w:cs="宋体"/>
                <w:spacing w:val="-2"/>
                <w:sz w:val="21"/>
                <w:szCs w:val="21"/>
              </w:rPr>
              <w:t>调查方法</w:t>
            </w:r>
          </w:p>
        </w:tc>
        <w:tc>
          <w:tcPr>
            <w:tcW w:w="3390" w:type="dxa"/>
            <w:tcBorders>
              <w:bottom w:val="single" w:color="000000" w:sz="12" w:space="0"/>
            </w:tcBorders>
            <w:vAlign w:val="top"/>
          </w:tcPr>
          <w:p w14:paraId="7A43083F">
            <w:pPr>
              <w:pStyle w:val="6"/>
              <w:spacing w:before="294" w:line="239" w:lineRule="auto"/>
              <w:ind w:left="77" w:right="4" w:firstLine="1"/>
              <w:jc w:val="both"/>
              <w:rPr>
                <w:rFonts w:ascii="宋体" w:hAnsi="宋体" w:eastAsia="宋体" w:cs="宋体"/>
              </w:rPr>
            </w:pPr>
            <w:r>
              <w:rPr>
                <w:rFonts w:ascii="宋体" w:hAnsi="宋体" w:eastAsia="宋体" w:cs="宋体"/>
                <w:spacing w:val="4"/>
              </w:rPr>
              <w:t>调查方法按照《水库渔业资源调查</w:t>
            </w:r>
            <w:r>
              <w:rPr>
                <w:rFonts w:ascii="宋体" w:hAnsi="宋体" w:eastAsia="宋体" w:cs="宋体"/>
                <w:spacing w:val="-7"/>
              </w:rPr>
              <w:t>规范》（</w:t>
            </w:r>
            <w:r>
              <w:rPr>
                <w:spacing w:val="-7"/>
              </w:rPr>
              <w:t>SL167-2014</w:t>
            </w:r>
            <w:r>
              <w:rPr>
                <w:rFonts w:ascii="宋体" w:hAnsi="宋体" w:eastAsia="宋体" w:cs="宋体"/>
                <w:spacing w:val="-7"/>
              </w:rPr>
              <w:t>）、《内陆水域</w:t>
            </w:r>
            <w:r>
              <w:rPr>
                <w:rFonts w:ascii="宋体" w:hAnsi="宋体" w:eastAsia="宋体" w:cs="宋体"/>
                <w:spacing w:val="-10"/>
              </w:rPr>
              <w:t>渔业自然资源调查手册》、《淡水浮</w:t>
            </w:r>
            <w:r>
              <w:rPr>
                <w:rFonts w:ascii="宋体" w:hAnsi="宋体" w:eastAsia="宋体" w:cs="宋体"/>
                <w:spacing w:val="-4"/>
              </w:rPr>
              <w:t>游生物研究方法》进行采样和检测。</w:t>
            </w:r>
          </w:p>
        </w:tc>
        <w:tc>
          <w:tcPr>
            <w:tcW w:w="3812" w:type="dxa"/>
            <w:tcBorders>
              <w:bottom w:val="single" w:color="000000" w:sz="12" w:space="0"/>
              <w:right w:val="single" w:color="000000" w:sz="12" w:space="0"/>
            </w:tcBorders>
            <w:vAlign w:val="top"/>
          </w:tcPr>
          <w:p w14:paraId="5791B05E">
            <w:pPr>
              <w:pStyle w:val="6"/>
              <w:spacing w:before="161" w:line="239" w:lineRule="auto"/>
              <w:ind w:left="88" w:right="67"/>
              <w:jc w:val="both"/>
              <w:rPr>
                <w:rFonts w:ascii="宋体" w:hAnsi="宋体" w:eastAsia="宋体" w:cs="宋体"/>
              </w:rPr>
            </w:pPr>
            <w:r>
              <w:rPr>
                <w:rFonts w:ascii="宋体" w:hAnsi="宋体" w:eastAsia="宋体" w:cs="宋体"/>
                <w:spacing w:val="3"/>
              </w:rPr>
              <w:t>通过定性调查采集浮游生物进行属种鉴</w:t>
            </w:r>
            <w:r>
              <w:rPr>
                <w:rFonts w:ascii="宋体" w:hAnsi="宋体" w:eastAsia="宋体" w:cs="宋体"/>
                <w:spacing w:val="-9"/>
              </w:rPr>
              <w:t>定，了解水体中浮游生物的种类组成、其分布状况。采用网捕法采集鱼类标本，对</w:t>
            </w:r>
            <w:r>
              <w:rPr>
                <w:rFonts w:ascii="宋体" w:hAnsi="宋体" w:eastAsia="宋体" w:cs="宋体"/>
                <w:spacing w:val="-1"/>
              </w:rPr>
              <w:t xml:space="preserve">采集到的标本用 </w:t>
            </w:r>
            <w:r>
              <w:rPr>
                <w:spacing w:val="-1"/>
              </w:rPr>
              <w:t>95%</w:t>
            </w:r>
            <w:r>
              <w:rPr>
                <w:rFonts w:ascii="宋体" w:hAnsi="宋体" w:eastAsia="宋体" w:cs="宋体"/>
                <w:spacing w:val="-1"/>
              </w:rPr>
              <w:t>的酒精溶液进行保</w:t>
            </w:r>
            <w:r>
              <w:rPr>
                <w:rFonts w:ascii="宋体" w:hAnsi="宋体" w:eastAsia="宋体" w:cs="宋体"/>
                <w:spacing w:val="-5"/>
              </w:rPr>
              <w:t>存，以等鉴定。</w:t>
            </w:r>
          </w:p>
        </w:tc>
      </w:tr>
    </w:tbl>
    <w:p w14:paraId="616CCCF6">
      <w:pPr>
        <w:pStyle w:val="2"/>
        <w:spacing w:before="266" w:line="220" w:lineRule="auto"/>
        <w:ind w:left="35"/>
        <w:rPr>
          <w:sz w:val="24"/>
          <w:szCs w:val="24"/>
        </w:rPr>
      </w:pPr>
      <w:r>
        <w:rPr>
          <w:rFonts w:ascii="Arial" w:hAnsi="Arial" w:eastAsia="Arial" w:cs="Arial"/>
          <w:spacing w:val="5"/>
          <w:position w:val="1"/>
          <w:sz w:val="18"/>
          <w:szCs w:val="18"/>
        </w:rPr>
        <w:t>6.1.2.2</w:t>
      </w:r>
      <w:r>
        <w:rPr>
          <w:rFonts w:ascii="Arial" w:hAnsi="Arial" w:eastAsia="Arial" w:cs="Arial"/>
          <w:spacing w:val="43"/>
          <w:w w:val="101"/>
          <w:position w:val="1"/>
          <w:sz w:val="18"/>
          <w:szCs w:val="18"/>
        </w:rPr>
        <w:t xml:space="preserve"> </w:t>
      </w:r>
      <w:r>
        <w:rPr>
          <w:b/>
          <w:bCs/>
          <w:spacing w:val="5"/>
          <w:position w:val="-1"/>
          <w:sz w:val="24"/>
          <w:szCs w:val="24"/>
        </w:rPr>
        <w:t>浮游植物影响</w:t>
      </w:r>
    </w:p>
    <w:p w14:paraId="4863DE34">
      <w:pPr>
        <w:pStyle w:val="2"/>
        <w:spacing w:before="272" w:line="340" w:lineRule="auto"/>
        <w:ind w:left="40" w:firstLine="478"/>
        <w:rPr>
          <w:sz w:val="24"/>
          <w:szCs w:val="24"/>
        </w:rPr>
      </w:pPr>
      <w:r>
        <w:rPr>
          <w:spacing w:val="-4"/>
          <w:sz w:val="24"/>
          <w:szCs w:val="24"/>
        </w:rPr>
        <w:t>施工期评价河段共检出浮游植物</w:t>
      </w:r>
      <w:r>
        <w:rPr>
          <w:spacing w:val="-32"/>
          <w:sz w:val="24"/>
          <w:szCs w:val="24"/>
        </w:rPr>
        <w:t xml:space="preserve"> </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40"/>
          <w:sz w:val="24"/>
          <w:szCs w:val="24"/>
        </w:rPr>
        <w:t xml:space="preserve"> </w:t>
      </w:r>
      <w:r>
        <w:rPr>
          <w:spacing w:val="-4"/>
          <w:sz w:val="24"/>
          <w:szCs w:val="24"/>
        </w:rPr>
        <w:t>门</w:t>
      </w:r>
      <w:r>
        <w:rPr>
          <w:spacing w:val="-53"/>
          <w:sz w:val="24"/>
          <w:szCs w:val="24"/>
        </w:rPr>
        <w:t xml:space="preserve"> </w:t>
      </w:r>
      <w:r>
        <w:rPr>
          <w:rFonts w:ascii="Times New Roman" w:hAnsi="Times New Roman" w:eastAsia="Times New Roman" w:cs="Times New Roman"/>
          <w:spacing w:val="-4"/>
          <w:sz w:val="24"/>
          <w:szCs w:val="24"/>
        </w:rPr>
        <w:t>44</w:t>
      </w:r>
      <w:r>
        <w:rPr>
          <w:rFonts w:ascii="Times New Roman" w:hAnsi="Times New Roman" w:eastAsia="Times New Roman" w:cs="Times New Roman"/>
          <w:spacing w:val="15"/>
          <w:w w:val="101"/>
          <w:sz w:val="24"/>
          <w:szCs w:val="24"/>
        </w:rPr>
        <w:t xml:space="preserve"> </w:t>
      </w:r>
      <w:r>
        <w:rPr>
          <w:spacing w:val="-4"/>
          <w:sz w:val="24"/>
          <w:szCs w:val="24"/>
        </w:rPr>
        <w:t>属</w:t>
      </w:r>
      <w:r>
        <w:rPr>
          <w:spacing w:val="-47"/>
          <w:sz w:val="24"/>
          <w:szCs w:val="24"/>
        </w:rPr>
        <w:t xml:space="preserve"> </w:t>
      </w:r>
      <w:r>
        <w:rPr>
          <w:rFonts w:ascii="Times New Roman" w:hAnsi="Times New Roman" w:eastAsia="Times New Roman" w:cs="Times New Roman"/>
          <w:spacing w:val="-4"/>
          <w:sz w:val="24"/>
          <w:szCs w:val="24"/>
        </w:rPr>
        <w:t xml:space="preserve">91 </w:t>
      </w:r>
      <w:r>
        <w:rPr>
          <w:spacing w:val="-4"/>
          <w:sz w:val="24"/>
          <w:szCs w:val="24"/>
        </w:rPr>
        <w:t>种淡水浮游植物，见表</w:t>
      </w:r>
      <w:r>
        <w:rPr>
          <w:spacing w:val="-46"/>
          <w:sz w:val="24"/>
          <w:szCs w:val="24"/>
        </w:rPr>
        <w:t xml:space="preserve"> </w:t>
      </w:r>
      <w:r>
        <w:rPr>
          <w:rFonts w:ascii="Times New Roman" w:hAnsi="Times New Roman" w:eastAsia="Times New Roman" w:cs="Times New Roman"/>
          <w:spacing w:val="-4"/>
          <w:sz w:val="24"/>
          <w:szCs w:val="24"/>
        </w:rPr>
        <w:t>6.1-16</w:t>
      </w:r>
      <w:r>
        <w:rPr>
          <w:spacing w:val="-4"/>
          <w:sz w:val="24"/>
          <w:szCs w:val="24"/>
        </w:rPr>
        <w:t>，其中硅藻门</w:t>
      </w:r>
      <w:r>
        <w:rPr>
          <w:spacing w:val="-33"/>
          <w:sz w:val="24"/>
          <w:szCs w:val="24"/>
        </w:rPr>
        <w:t xml:space="preserve"> </w:t>
      </w:r>
      <w:r>
        <w:rPr>
          <w:rFonts w:ascii="Times New Roman" w:hAnsi="Times New Roman" w:eastAsia="Times New Roman" w:cs="Times New Roman"/>
          <w:spacing w:val="-4"/>
          <w:sz w:val="24"/>
          <w:szCs w:val="24"/>
        </w:rPr>
        <w:t>35</w:t>
      </w:r>
      <w:r>
        <w:rPr>
          <w:rFonts w:ascii="Times New Roman" w:hAnsi="Times New Roman" w:eastAsia="Times New Roman" w:cs="Times New Roman"/>
          <w:spacing w:val="20"/>
          <w:w w:val="101"/>
          <w:sz w:val="24"/>
          <w:szCs w:val="24"/>
        </w:rPr>
        <w:t xml:space="preserve"> </w:t>
      </w:r>
      <w:r>
        <w:rPr>
          <w:spacing w:val="-4"/>
          <w:sz w:val="24"/>
          <w:szCs w:val="24"/>
        </w:rPr>
        <w:t>种，占检出种类的</w:t>
      </w:r>
      <w:r>
        <w:rPr>
          <w:spacing w:val="-39"/>
          <w:sz w:val="24"/>
          <w:szCs w:val="24"/>
        </w:rPr>
        <w:t xml:space="preserve"> </w:t>
      </w:r>
      <w:r>
        <w:rPr>
          <w:rFonts w:ascii="Times New Roman" w:hAnsi="Times New Roman" w:eastAsia="Times New Roman" w:cs="Times New Roman"/>
          <w:spacing w:val="-4"/>
          <w:sz w:val="24"/>
          <w:szCs w:val="24"/>
        </w:rPr>
        <w:t>38.46%</w:t>
      </w:r>
      <w:r>
        <w:rPr>
          <w:spacing w:val="-4"/>
          <w:sz w:val="24"/>
          <w:szCs w:val="24"/>
        </w:rPr>
        <w:t xml:space="preserve">；绿藻门 </w:t>
      </w:r>
      <w:r>
        <w:rPr>
          <w:rFonts w:ascii="Times New Roman" w:hAnsi="Times New Roman" w:eastAsia="Times New Roman" w:cs="Times New Roman"/>
          <w:spacing w:val="-4"/>
          <w:sz w:val="24"/>
          <w:szCs w:val="24"/>
        </w:rPr>
        <w:t>33</w:t>
      </w:r>
      <w:r>
        <w:rPr>
          <w:rFonts w:ascii="Times New Roman" w:hAnsi="Times New Roman" w:eastAsia="Times New Roman" w:cs="Times New Roman"/>
          <w:spacing w:val="20"/>
          <w:sz w:val="24"/>
          <w:szCs w:val="24"/>
        </w:rPr>
        <w:t xml:space="preserve"> </w:t>
      </w:r>
      <w:r>
        <w:rPr>
          <w:spacing w:val="-4"/>
          <w:sz w:val="24"/>
          <w:szCs w:val="24"/>
        </w:rPr>
        <w:t>种，占检出种类的</w:t>
      </w:r>
      <w:r>
        <w:rPr>
          <w:spacing w:val="-39"/>
          <w:sz w:val="24"/>
          <w:szCs w:val="24"/>
        </w:rPr>
        <w:t xml:space="preserve"> </w:t>
      </w:r>
      <w:r>
        <w:rPr>
          <w:rFonts w:ascii="Times New Roman" w:hAnsi="Times New Roman" w:eastAsia="Times New Roman" w:cs="Times New Roman"/>
          <w:spacing w:val="-4"/>
          <w:sz w:val="24"/>
          <w:szCs w:val="24"/>
        </w:rPr>
        <w:t>36.26%</w:t>
      </w:r>
      <w:r>
        <w:rPr>
          <w:spacing w:val="-4"/>
          <w:sz w:val="24"/>
          <w:szCs w:val="24"/>
        </w:rPr>
        <w:t>；</w:t>
      </w:r>
    </w:p>
    <w:p w14:paraId="5B637982">
      <w:pPr>
        <w:spacing w:line="340" w:lineRule="auto"/>
        <w:rPr>
          <w:sz w:val="24"/>
          <w:szCs w:val="24"/>
        </w:rPr>
        <w:sectPr>
          <w:headerReference r:id="rId195" w:type="default"/>
          <w:footerReference r:id="rId196" w:type="default"/>
          <w:pgSz w:w="11907" w:h="16839"/>
          <w:pgMar w:top="1376" w:right="1632" w:bottom="1061" w:left="1671" w:header="999" w:footer="859" w:gutter="0"/>
          <w:cols w:space="720" w:num="1"/>
        </w:sectPr>
      </w:pPr>
    </w:p>
    <w:p w14:paraId="59C7BE61">
      <w:pPr>
        <w:spacing w:line="454" w:lineRule="auto"/>
        <w:rPr>
          <w:rFonts w:ascii="Arial"/>
          <w:sz w:val="21"/>
        </w:rPr>
      </w:pPr>
    </w:p>
    <w:p w14:paraId="225B08E5">
      <w:pPr>
        <w:pStyle w:val="2"/>
        <w:spacing w:before="78" w:line="339" w:lineRule="auto"/>
        <w:ind w:left="35" w:right="58" w:firstLine="5"/>
        <w:rPr>
          <w:sz w:val="24"/>
          <w:szCs w:val="24"/>
        </w:rPr>
      </w:pPr>
      <w:r>
        <w:rPr>
          <w:spacing w:val="-4"/>
          <w:sz w:val="24"/>
          <w:szCs w:val="24"/>
        </w:rPr>
        <w:t>蓝藻门</w:t>
      </w:r>
      <w:r>
        <w:rPr>
          <w:spacing w:val="-19"/>
          <w:sz w:val="24"/>
          <w:szCs w:val="24"/>
        </w:rPr>
        <w:t xml:space="preserve"> </w:t>
      </w:r>
      <w:r>
        <w:rPr>
          <w:rFonts w:ascii="Times New Roman" w:hAnsi="Times New Roman" w:eastAsia="Times New Roman" w:cs="Times New Roman"/>
          <w:spacing w:val="-4"/>
          <w:sz w:val="24"/>
          <w:szCs w:val="24"/>
        </w:rPr>
        <w:t xml:space="preserve">17 </w:t>
      </w:r>
      <w:r>
        <w:rPr>
          <w:spacing w:val="-4"/>
          <w:sz w:val="24"/>
          <w:szCs w:val="24"/>
        </w:rPr>
        <w:t>种，占检出种类的</w:t>
      </w:r>
      <w:r>
        <w:rPr>
          <w:spacing w:val="-32"/>
          <w:sz w:val="24"/>
          <w:szCs w:val="24"/>
        </w:rPr>
        <w:t xml:space="preserve"> </w:t>
      </w:r>
      <w:r>
        <w:rPr>
          <w:rFonts w:ascii="Times New Roman" w:hAnsi="Times New Roman" w:eastAsia="Times New Roman" w:cs="Times New Roman"/>
          <w:spacing w:val="-4"/>
          <w:sz w:val="24"/>
          <w:szCs w:val="24"/>
        </w:rPr>
        <w:t>18.68%</w:t>
      </w:r>
      <w:r>
        <w:rPr>
          <w:spacing w:val="-4"/>
          <w:sz w:val="24"/>
          <w:szCs w:val="24"/>
        </w:rPr>
        <w:t>；裸藻门</w:t>
      </w:r>
      <w:r>
        <w:rPr>
          <w:spacing w:val="-56"/>
          <w:sz w:val="24"/>
          <w:szCs w:val="24"/>
        </w:rPr>
        <w:t xml:space="preserve"> </w:t>
      </w:r>
      <w:r>
        <w:rPr>
          <w:rFonts w:ascii="Times New Roman" w:hAnsi="Times New Roman" w:eastAsia="Times New Roman" w:cs="Times New Roman"/>
          <w:spacing w:val="-4"/>
          <w:sz w:val="24"/>
          <w:szCs w:val="24"/>
        </w:rPr>
        <w:t xml:space="preserve">4 </w:t>
      </w:r>
      <w:r>
        <w:rPr>
          <w:spacing w:val="-4"/>
          <w:sz w:val="24"/>
          <w:szCs w:val="24"/>
        </w:rPr>
        <w:t>种，占检出种类的</w:t>
      </w:r>
      <w:r>
        <w:rPr>
          <w:spacing w:val="-56"/>
          <w:sz w:val="24"/>
          <w:szCs w:val="24"/>
        </w:rPr>
        <w:t xml:space="preserve"> </w:t>
      </w:r>
      <w:r>
        <w:rPr>
          <w:rFonts w:ascii="Times New Roman" w:hAnsi="Times New Roman" w:eastAsia="Times New Roman" w:cs="Times New Roman"/>
          <w:spacing w:val="-4"/>
          <w:sz w:val="24"/>
          <w:szCs w:val="24"/>
        </w:rPr>
        <w:t>4.40%</w:t>
      </w:r>
      <w:r>
        <w:rPr>
          <w:spacing w:val="-4"/>
          <w:sz w:val="24"/>
          <w:szCs w:val="24"/>
        </w:rPr>
        <w:t>；甲藻门</w:t>
      </w:r>
      <w:r>
        <w:rPr>
          <w:rFonts w:ascii="Times New Roman" w:hAnsi="Times New Roman" w:eastAsia="Times New Roman" w:cs="Times New Roman"/>
          <w:spacing w:val="3"/>
          <w:sz w:val="24"/>
          <w:szCs w:val="24"/>
        </w:rPr>
        <w:t xml:space="preserve">2 </w:t>
      </w:r>
      <w:r>
        <w:rPr>
          <w:spacing w:val="3"/>
          <w:sz w:val="24"/>
          <w:szCs w:val="24"/>
        </w:rPr>
        <w:t>种，占检出种类的</w:t>
      </w:r>
      <w:r>
        <w:rPr>
          <w:rFonts w:ascii="Times New Roman" w:hAnsi="Times New Roman" w:eastAsia="Times New Roman" w:cs="Times New Roman"/>
          <w:spacing w:val="3"/>
          <w:sz w:val="24"/>
          <w:szCs w:val="24"/>
        </w:rPr>
        <w:t>2.20%</w:t>
      </w:r>
      <w:r>
        <w:rPr>
          <w:spacing w:val="3"/>
          <w:sz w:val="24"/>
          <w:szCs w:val="24"/>
        </w:rPr>
        <w:t>。</w:t>
      </w:r>
    </w:p>
    <w:p w14:paraId="71E66F2C">
      <w:pPr>
        <w:pStyle w:val="2"/>
        <w:spacing w:before="1" w:line="225" w:lineRule="auto"/>
        <w:ind w:left="279"/>
        <w:rPr>
          <w:sz w:val="24"/>
          <w:szCs w:val="24"/>
        </w:rPr>
      </w:pPr>
      <w:r>
        <w:rPr>
          <w:b/>
          <w:bCs/>
          <w:spacing w:val="-1"/>
          <w:sz w:val="24"/>
          <w:szCs w:val="24"/>
        </w:rPr>
        <w:t>表</w:t>
      </w:r>
      <w:r>
        <w:rPr>
          <w:spacing w:val="-39"/>
          <w:sz w:val="24"/>
          <w:szCs w:val="24"/>
        </w:rPr>
        <w:t xml:space="preserve"> </w:t>
      </w:r>
      <w:r>
        <w:rPr>
          <w:rFonts w:ascii="Times New Roman" w:hAnsi="Times New Roman" w:eastAsia="Times New Roman" w:cs="Times New Roman"/>
          <w:b/>
          <w:bCs/>
          <w:spacing w:val="-1"/>
          <w:sz w:val="24"/>
          <w:szCs w:val="24"/>
        </w:rPr>
        <w:t xml:space="preserve">6.1-16                              </w:t>
      </w:r>
      <w:r>
        <w:rPr>
          <w:b/>
          <w:bCs/>
          <w:spacing w:val="-1"/>
          <w:sz w:val="24"/>
          <w:szCs w:val="24"/>
        </w:rPr>
        <w:t>施工期监测区淡水浮游植物名录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
        <w:gridCol w:w="2823"/>
        <w:gridCol w:w="678"/>
        <w:gridCol w:w="750"/>
        <w:gridCol w:w="677"/>
        <w:gridCol w:w="749"/>
        <w:gridCol w:w="1148"/>
        <w:gridCol w:w="1166"/>
      </w:tblGrid>
      <w:tr w14:paraId="7C406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05" w:type="dxa"/>
            <w:gridSpan w:val="2"/>
            <w:vMerge w:val="restart"/>
            <w:tcBorders>
              <w:top w:val="single" w:color="000000" w:sz="12" w:space="0"/>
              <w:left w:val="single" w:color="000000" w:sz="12" w:space="0"/>
              <w:bottom w:val="nil"/>
            </w:tcBorders>
            <w:vAlign w:val="top"/>
          </w:tcPr>
          <w:p w14:paraId="1A99AB46">
            <w:pPr>
              <w:spacing w:line="430" w:lineRule="auto"/>
              <w:rPr>
                <w:rFonts w:ascii="Arial"/>
                <w:sz w:val="21"/>
              </w:rPr>
            </w:pPr>
          </w:p>
          <w:p w14:paraId="22A73424">
            <w:pPr>
              <w:spacing w:before="69" w:line="220" w:lineRule="auto"/>
              <w:ind w:left="1433"/>
              <w:rPr>
                <w:rFonts w:ascii="宋体" w:hAnsi="宋体" w:eastAsia="宋体" w:cs="宋体"/>
                <w:sz w:val="21"/>
                <w:szCs w:val="21"/>
              </w:rPr>
            </w:pPr>
            <w:r>
              <w:rPr>
                <w:rFonts w:ascii="宋体" w:hAnsi="宋体" w:eastAsia="宋体" w:cs="宋体"/>
                <w:spacing w:val="-3"/>
                <w:sz w:val="21"/>
                <w:szCs w:val="21"/>
              </w:rPr>
              <w:t>种类</w:t>
            </w:r>
          </w:p>
        </w:tc>
        <w:tc>
          <w:tcPr>
            <w:tcW w:w="5168" w:type="dxa"/>
            <w:gridSpan w:val="6"/>
            <w:tcBorders>
              <w:top w:val="single" w:color="000000" w:sz="12" w:space="0"/>
              <w:right w:val="single" w:color="000000" w:sz="12" w:space="0"/>
            </w:tcBorders>
            <w:vAlign w:val="top"/>
          </w:tcPr>
          <w:p w14:paraId="0F724A98">
            <w:pPr>
              <w:spacing w:before="57" w:line="220" w:lineRule="auto"/>
              <w:ind w:left="2165"/>
              <w:rPr>
                <w:rFonts w:ascii="宋体" w:hAnsi="宋体" w:eastAsia="宋体" w:cs="宋体"/>
                <w:sz w:val="21"/>
                <w:szCs w:val="21"/>
              </w:rPr>
            </w:pPr>
            <w:r>
              <w:rPr>
                <w:rFonts w:ascii="宋体" w:hAnsi="宋体" w:eastAsia="宋体" w:cs="宋体"/>
                <w:spacing w:val="-2"/>
                <w:sz w:val="21"/>
                <w:szCs w:val="21"/>
              </w:rPr>
              <w:t>相对数量</w:t>
            </w:r>
          </w:p>
        </w:tc>
      </w:tr>
      <w:tr w14:paraId="61B96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305" w:type="dxa"/>
            <w:gridSpan w:val="2"/>
            <w:vMerge w:val="continue"/>
            <w:tcBorders>
              <w:top w:val="nil"/>
              <w:left w:val="single" w:color="000000" w:sz="12" w:space="0"/>
            </w:tcBorders>
            <w:vAlign w:val="top"/>
          </w:tcPr>
          <w:p w14:paraId="69B37640">
            <w:pPr>
              <w:rPr>
                <w:rFonts w:ascii="Arial"/>
                <w:sz w:val="21"/>
              </w:rPr>
            </w:pPr>
          </w:p>
        </w:tc>
        <w:tc>
          <w:tcPr>
            <w:tcW w:w="678" w:type="dxa"/>
            <w:vAlign w:val="top"/>
          </w:tcPr>
          <w:p w14:paraId="3B10B040">
            <w:pPr>
              <w:spacing w:before="57" w:line="220" w:lineRule="auto"/>
              <w:ind w:left="136"/>
              <w:rPr>
                <w:rFonts w:ascii="宋体" w:hAnsi="宋体" w:eastAsia="宋体" w:cs="宋体"/>
                <w:sz w:val="21"/>
                <w:szCs w:val="21"/>
              </w:rPr>
            </w:pPr>
            <w:r>
              <w:rPr>
                <w:rFonts w:ascii="宋体" w:hAnsi="宋体" w:eastAsia="宋体" w:cs="宋体"/>
                <w:spacing w:val="-4"/>
                <w:sz w:val="21"/>
                <w:szCs w:val="21"/>
              </w:rPr>
              <w:t>马龙</w:t>
            </w:r>
          </w:p>
          <w:p w14:paraId="31CB6F6D">
            <w:pPr>
              <w:spacing w:before="21" w:line="236" w:lineRule="auto"/>
              <w:ind w:left="234" w:right="126"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50" w:type="dxa"/>
            <w:vAlign w:val="top"/>
          </w:tcPr>
          <w:p w14:paraId="7029717E">
            <w:pPr>
              <w:spacing w:before="195"/>
              <w:ind w:left="168" w:right="55" w:hanging="104"/>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677" w:type="dxa"/>
            <w:vAlign w:val="top"/>
          </w:tcPr>
          <w:p w14:paraId="0F078608">
            <w:pPr>
              <w:spacing w:before="57" w:line="222" w:lineRule="auto"/>
              <w:ind w:left="165"/>
              <w:rPr>
                <w:rFonts w:ascii="宋体" w:hAnsi="宋体" w:eastAsia="宋体" w:cs="宋体"/>
                <w:sz w:val="21"/>
                <w:szCs w:val="21"/>
              </w:rPr>
            </w:pPr>
            <w:r>
              <w:rPr>
                <w:rFonts w:ascii="宋体" w:hAnsi="宋体" w:eastAsia="宋体" w:cs="宋体"/>
                <w:spacing w:val="-10"/>
                <w:sz w:val="21"/>
                <w:szCs w:val="21"/>
              </w:rPr>
              <w:t>白塔</w:t>
            </w:r>
          </w:p>
          <w:p w14:paraId="49E5DFE9">
            <w:pPr>
              <w:spacing w:before="19" w:line="236" w:lineRule="auto"/>
              <w:ind w:left="238" w:right="120"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49" w:type="dxa"/>
            <w:vAlign w:val="top"/>
          </w:tcPr>
          <w:p w14:paraId="3D934AC1">
            <w:pPr>
              <w:spacing w:before="194" w:line="241" w:lineRule="auto"/>
              <w:ind w:left="171" w:right="49" w:hanging="74"/>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48" w:type="dxa"/>
            <w:vAlign w:val="top"/>
          </w:tcPr>
          <w:p w14:paraId="6D8C1BBE">
            <w:pPr>
              <w:spacing w:before="57" w:line="219" w:lineRule="auto"/>
              <w:ind w:left="172"/>
              <w:rPr>
                <w:rFonts w:ascii="宋体" w:hAnsi="宋体" w:eastAsia="宋体" w:cs="宋体"/>
                <w:sz w:val="21"/>
                <w:szCs w:val="21"/>
              </w:rPr>
            </w:pPr>
            <w:r>
              <w:rPr>
                <w:rFonts w:ascii="宋体" w:hAnsi="宋体" w:eastAsia="宋体" w:cs="宋体"/>
                <w:spacing w:val="-3"/>
                <w:sz w:val="21"/>
                <w:szCs w:val="21"/>
              </w:rPr>
              <w:t>马龙河干</w:t>
            </w:r>
          </w:p>
          <w:p w14:paraId="6967F8AF">
            <w:pPr>
              <w:pStyle w:val="6"/>
              <w:spacing w:before="22" w:line="236" w:lineRule="auto"/>
              <w:ind w:left="136" w:right="111" w:firstLine="30"/>
              <w:rPr>
                <w:rFonts w:ascii="宋体" w:hAnsi="宋体" w:eastAsia="宋体" w:cs="宋体"/>
              </w:rPr>
            </w:pPr>
            <w:r>
              <w:rPr>
                <w:rFonts w:ascii="宋体" w:hAnsi="宋体" w:eastAsia="宋体" w:cs="宋体"/>
                <w:spacing w:val="-3"/>
              </w:rPr>
              <w:t>流坝址下</w:t>
            </w:r>
            <w:r>
              <w:rPr>
                <w:rFonts w:ascii="宋体" w:hAnsi="宋体" w:eastAsia="宋体" w:cs="宋体"/>
                <w:spacing w:val="-5"/>
              </w:rPr>
              <w:t>游</w:t>
            </w:r>
            <w:r>
              <w:rPr>
                <w:rFonts w:ascii="宋体" w:hAnsi="宋体" w:eastAsia="宋体" w:cs="宋体"/>
                <w:spacing w:val="-48"/>
              </w:rPr>
              <w:t xml:space="preserve"> </w:t>
            </w:r>
            <w:r>
              <w:rPr>
                <w:spacing w:val="-5"/>
              </w:rPr>
              <w:t>2km</w:t>
            </w:r>
            <w:r>
              <w:rPr>
                <w:spacing w:val="10"/>
              </w:rPr>
              <w:t xml:space="preserve"> </w:t>
            </w:r>
            <w:r>
              <w:rPr>
                <w:rFonts w:ascii="宋体" w:hAnsi="宋体" w:eastAsia="宋体" w:cs="宋体"/>
                <w:spacing w:val="-5"/>
              </w:rPr>
              <w:t>处</w:t>
            </w:r>
          </w:p>
        </w:tc>
        <w:tc>
          <w:tcPr>
            <w:tcW w:w="1166" w:type="dxa"/>
            <w:tcBorders>
              <w:right w:val="single" w:color="000000" w:sz="12" w:space="0"/>
            </w:tcBorders>
            <w:vAlign w:val="top"/>
          </w:tcPr>
          <w:p w14:paraId="352CA6E3">
            <w:pPr>
              <w:spacing w:before="57" w:line="219" w:lineRule="auto"/>
              <w:ind w:left="178"/>
              <w:rPr>
                <w:rFonts w:ascii="宋体" w:hAnsi="宋体" w:eastAsia="宋体" w:cs="宋体"/>
                <w:sz w:val="21"/>
                <w:szCs w:val="21"/>
              </w:rPr>
            </w:pPr>
            <w:r>
              <w:rPr>
                <w:rFonts w:ascii="宋体" w:hAnsi="宋体" w:eastAsia="宋体" w:cs="宋体"/>
                <w:spacing w:val="-3"/>
                <w:sz w:val="21"/>
                <w:szCs w:val="21"/>
              </w:rPr>
              <w:t>马龙河干</w:t>
            </w:r>
          </w:p>
          <w:p w14:paraId="406DB08A">
            <w:pPr>
              <w:pStyle w:val="6"/>
              <w:spacing w:before="22" w:line="236" w:lineRule="auto"/>
              <w:ind w:left="142" w:right="114" w:firstLine="30"/>
              <w:rPr>
                <w:rFonts w:ascii="宋体" w:hAnsi="宋体" w:eastAsia="宋体" w:cs="宋体"/>
              </w:rPr>
            </w:pPr>
            <w:r>
              <w:rPr>
                <w:rFonts w:ascii="宋体" w:hAnsi="宋体" w:eastAsia="宋体" w:cs="宋体"/>
                <w:spacing w:val="-3"/>
              </w:rPr>
              <w:t>流坝址下</w:t>
            </w:r>
            <w:r>
              <w:rPr>
                <w:rFonts w:ascii="宋体" w:hAnsi="宋体" w:eastAsia="宋体" w:cs="宋体"/>
                <w:spacing w:val="-6"/>
              </w:rPr>
              <w:t>游</w:t>
            </w:r>
            <w:r>
              <w:rPr>
                <w:rFonts w:ascii="宋体" w:hAnsi="宋体" w:eastAsia="宋体" w:cs="宋体"/>
                <w:spacing w:val="-43"/>
              </w:rPr>
              <w:t xml:space="preserve"> </w:t>
            </w:r>
            <w:r>
              <w:rPr>
                <w:spacing w:val="-6"/>
              </w:rPr>
              <w:t>6km</w:t>
            </w:r>
            <w:r>
              <w:rPr>
                <w:spacing w:val="10"/>
              </w:rPr>
              <w:t xml:space="preserve"> </w:t>
            </w:r>
            <w:r>
              <w:rPr>
                <w:rFonts w:ascii="宋体" w:hAnsi="宋体" w:eastAsia="宋体" w:cs="宋体"/>
                <w:spacing w:val="-6"/>
              </w:rPr>
              <w:t>处</w:t>
            </w:r>
          </w:p>
        </w:tc>
      </w:tr>
      <w:tr w14:paraId="29C63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3305" w:type="dxa"/>
            <w:gridSpan w:val="2"/>
            <w:tcBorders>
              <w:left w:val="single" w:color="000000" w:sz="12" w:space="0"/>
            </w:tcBorders>
            <w:vAlign w:val="top"/>
          </w:tcPr>
          <w:p w14:paraId="48A52AC9">
            <w:pPr>
              <w:pStyle w:val="6"/>
              <w:spacing w:before="59" w:line="212" w:lineRule="auto"/>
              <w:ind w:left="400"/>
            </w:pPr>
            <w:r>
              <w:rPr>
                <w:rFonts w:ascii="宋体" w:hAnsi="宋体" w:eastAsia="宋体" w:cs="宋体"/>
                <w:b/>
                <w:bCs/>
                <w:spacing w:val="-2"/>
              </w:rPr>
              <w:t>一、硅藻门</w:t>
            </w:r>
            <w:r>
              <w:rPr>
                <w:rFonts w:ascii="宋体" w:hAnsi="宋体" w:eastAsia="宋体" w:cs="宋体"/>
                <w:spacing w:val="-33"/>
              </w:rPr>
              <w:t xml:space="preserve"> </w:t>
            </w:r>
            <w:r>
              <w:rPr>
                <w:b/>
                <w:bCs/>
                <w:spacing w:val="-2"/>
              </w:rPr>
              <w:t>Bacillariophyta</w:t>
            </w:r>
          </w:p>
        </w:tc>
        <w:tc>
          <w:tcPr>
            <w:tcW w:w="678" w:type="dxa"/>
            <w:vAlign w:val="top"/>
          </w:tcPr>
          <w:p w14:paraId="33403B74">
            <w:pPr>
              <w:rPr>
                <w:rFonts w:ascii="Arial"/>
                <w:sz w:val="21"/>
              </w:rPr>
            </w:pPr>
          </w:p>
        </w:tc>
        <w:tc>
          <w:tcPr>
            <w:tcW w:w="750" w:type="dxa"/>
            <w:vAlign w:val="top"/>
          </w:tcPr>
          <w:p w14:paraId="157025EE">
            <w:pPr>
              <w:rPr>
                <w:rFonts w:ascii="Arial"/>
                <w:sz w:val="21"/>
              </w:rPr>
            </w:pPr>
          </w:p>
        </w:tc>
        <w:tc>
          <w:tcPr>
            <w:tcW w:w="677" w:type="dxa"/>
            <w:vAlign w:val="top"/>
          </w:tcPr>
          <w:p w14:paraId="26B67579">
            <w:pPr>
              <w:rPr>
                <w:rFonts w:ascii="Arial"/>
                <w:sz w:val="21"/>
              </w:rPr>
            </w:pPr>
          </w:p>
        </w:tc>
        <w:tc>
          <w:tcPr>
            <w:tcW w:w="749" w:type="dxa"/>
            <w:vAlign w:val="top"/>
          </w:tcPr>
          <w:p w14:paraId="6714A87B">
            <w:pPr>
              <w:rPr>
                <w:rFonts w:ascii="Arial"/>
                <w:sz w:val="21"/>
              </w:rPr>
            </w:pPr>
          </w:p>
        </w:tc>
        <w:tc>
          <w:tcPr>
            <w:tcW w:w="1148" w:type="dxa"/>
            <w:vAlign w:val="top"/>
          </w:tcPr>
          <w:p w14:paraId="5C16CAB2">
            <w:pPr>
              <w:rPr>
                <w:rFonts w:ascii="Arial"/>
                <w:sz w:val="21"/>
              </w:rPr>
            </w:pPr>
          </w:p>
        </w:tc>
        <w:tc>
          <w:tcPr>
            <w:tcW w:w="1166" w:type="dxa"/>
            <w:tcBorders>
              <w:right w:val="single" w:color="000000" w:sz="12" w:space="0"/>
            </w:tcBorders>
            <w:vAlign w:val="top"/>
          </w:tcPr>
          <w:p w14:paraId="144CD666">
            <w:pPr>
              <w:rPr>
                <w:rFonts w:ascii="Arial"/>
                <w:sz w:val="21"/>
              </w:rPr>
            </w:pPr>
          </w:p>
        </w:tc>
      </w:tr>
      <w:tr w14:paraId="60EBD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82" w:type="dxa"/>
            <w:vMerge w:val="restart"/>
            <w:tcBorders>
              <w:left w:val="single" w:color="000000" w:sz="12" w:space="0"/>
              <w:bottom w:val="nil"/>
            </w:tcBorders>
            <w:textDirection w:val="tbRlV"/>
            <w:vAlign w:val="top"/>
          </w:tcPr>
          <w:p w14:paraId="1EEB2A18">
            <w:pPr>
              <w:spacing w:before="137" w:line="208" w:lineRule="auto"/>
              <w:ind w:left="545"/>
              <w:rPr>
                <w:rFonts w:ascii="宋体" w:hAnsi="宋体" w:eastAsia="宋体" w:cs="宋体"/>
                <w:sz w:val="21"/>
                <w:szCs w:val="21"/>
              </w:rPr>
            </w:pPr>
            <w:r>
              <w:rPr>
                <w:rFonts w:ascii="宋体" w:hAnsi="宋体" w:eastAsia="宋体" w:cs="宋体"/>
                <w:spacing w:val="41"/>
                <w:sz w:val="21"/>
                <w:szCs w:val="21"/>
              </w:rPr>
              <w:t>针杆藻</w:t>
            </w:r>
          </w:p>
        </w:tc>
        <w:tc>
          <w:tcPr>
            <w:tcW w:w="2823" w:type="dxa"/>
            <w:vAlign w:val="top"/>
          </w:tcPr>
          <w:p w14:paraId="541E6F9D">
            <w:pPr>
              <w:pStyle w:val="6"/>
              <w:spacing w:before="61" w:line="212" w:lineRule="auto"/>
              <w:ind w:left="396"/>
            </w:pPr>
            <w:r>
              <w:rPr>
                <w:rFonts w:ascii="宋体" w:hAnsi="宋体" w:eastAsia="宋体" w:cs="宋体"/>
                <w:spacing w:val="-1"/>
              </w:rPr>
              <w:t>尖针杆藻</w:t>
            </w:r>
            <w:r>
              <w:rPr>
                <w:rFonts w:ascii="宋体" w:hAnsi="宋体" w:eastAsia="宋体" w:cs="宋体"/>
                <w:spacing w:val="-45"/>
              </w:rPr>
              <w:t xml:space="preserve"> </w:t>
            </w:r>
            <w:r>
              <w:rPr>
                <w:i/>
                <w:iCs/>
                <w:spacing w:val="-1"/>
              </w:rPr>
              <w:t>Synedra acus</w:t>
            </w:r>
          </w:p>
        </w:tc>
        <w:tc>
          <w:tcPr>
            <w:tcW w:w="678" w:type="dxa"/>
            <w:vAlign w:val="top"/>
          </w:tcPr>
          <w:p w14:paraId="5AE6B13E">
            <w:pPr>
              <w:pStyle w:val="6"/>
              <w:spacing w:before="94" w:line="228" w:lineRule="auto"/>
              <w:ind w:left="275"/>
            </w:pPr>
            <w:r>
              <w:t>+</w:t>
            </w:r>
          </w:p>
        </w:tc>
        <w:tc>
          <w:tcPr>
            <w:tcW w:w="750" w:type="dxa"/>
            <w:vAlign w:val="top"/>
          </w:tcPr>
          <w:p w14:paraId="4ED428E2">
            <w:pPr>
              <w:pStyle w:val="6"/>
              <w:spacing w:before="94" w:line="228" w:lineRule="auto"/>
              <w:ind w:left="313"/>
            </w:pPr>
            <w:r>
              <w:t>+</w:t>
            </w:r>
          </w:p>
        </w:tc>
        <w:tc>
          <w:tcPr>
            <w:tcW w:w="677" w:type="dxa"/>
            <w:vAlign w:val="top"/>
          </w:tcPr>
          <w:p w14:paraId="2C002B3E">
            <w:pPr>
              <w:pStyle w:val="6"/>
              <w:spacing w:before="94" w:line="228" w:lineRule="auto"/>
              <w:ind w:left="162"/>
            </w:pPr>
            <w:r>
              <w:rPr>
                <w:spacing w:val="-1"/>
              </w:rPr>
              <w:t>+++</w:t>
            </w:r>
          </w:p>
        </w:tc>
        <w:tc>
          <w:tcPr>
            <w:tcW w:w="749" w:type="dxa"/>
            <w:vAlign w:val="top"/>
          </w:tcPr>
          <w:p w14:paraId="34BEFDD7">
            <w:pPr>
              <w:pStyle w:val="6"/>
              <w:spacing w:before="94" w:line="228" w:lineRule="auto"/>
              <w:ind w:left="318"/>
            </w:pPr>
            <w:r>
              <w:t>+</w:t>
            </w:r>
          </w:p>
        </w:tc>
        <w:tc>
          <w:tcPr>
            <w:tcW w:w="1148" w:type="dxa"/>
            <w:vAlign w:val="top"/>
          </w:tcPr>
          <w:p w14:paraId="21CE37D2">
            <w:pPr>
              <w:rPr>
                <w:rFonts w:ascii="Arial"/>
                <w:sz w:val="21"/>
              </w:rPr>
            </w:pPr>
          </w:p>
        </w:tc>
        <w:tc>
          <w:tcPr>
            <w:tcW w:w="1166" w:type="dxa"/>
            <w:tcBorders>
              <w:right w:val="single" w:color="000000" w:sz="12" w:space="0"/>
            </w:tcBorders>
            <w:vAlign w:val="top"/>
          </w:tcPr>
          <w:p w14:paraId="3043076A">
            <w:pPr>
              <w:pStyle w:val="6"/>
              <w:spacing w:before="94" w:line="228" w:lineRule="auto"/>
              <w:ind w:left="527"/>
            </w:pPr>
            <w:r>
              <w:t>+</w:t>
            </w:r>
          </w:p>
        </w:tc>
      </w:tr>
      <w:tr w14:paraId="42662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0BD74543">
            <w:pPr>
              <w:rPr>
                <w:rFonts w:ascii="Arial"/>
                <w:sz w:val="21"/>
              </w:rPr>
            </w:pPr>
          </w:p>
        </w:tc>
        <w:tc>
          <w:tcPr>
            <w:tcW w:w="2823" w:type="dxa"/>
            <w:vAlign w:val="top"/>
          </w:tcPr>
          <w:p w14:paraId="2B4D6A9A">
            <w:pPr>
              <w:pStyle w:val="6"/>
              <w:spacing w:before="59" w:line="235" w:lineRule="auto"/>
              <w:ind w:left="807" w:right="519" w:hanging="297"/>
            </w:pPr>
            <w:r>
              <w:rPr>
                <w:rFonts w:ascii="宋体" w:hAnsi="宋体" w:eastAsia="宋体" w:cs="宋体"/>
                <w:spacing w:val="-1"/>
              </w:rPr>
              <w:t>双头针杆藻</w:t>
            </w:r>
            <w:r>
              <w:rPr>
                <w:rFonts w:ascii="宋体" w:hAnsi="宋体" w:eastAsia="宋体" w:cs="宋体"/>
                <w:spacing w:val="-50"/>
              </w:rPr>
              <w:t xml:space="preserve"> </w:t>
            </w:r>
            <w:r>
              <w:rPr>
                <w:i/>
                <w:iCs/>
                <w:spacing w:val="-1"/>
              </w:rPr>
              <w:t>Synedra</w:t>
            </w:r>
            <w:r>
              <w:rPr>
                <w:i/>
                <w:iCs/>
              </w:rPr>
              <w:t xml:space="preserve"> </w:t>
            </w:r>
            <w:r>
              <w:rPr>
                <w:i/>
                <w:iCs/>
                <w:spacing w:val="-1"/>
              </w:rPr>
              <w:t>amphicephala</w:t>
            </w:r>
          </w:p>
        </w:tc>
        <w:tc>
          <w:tcPr>
            <w:tcW w:w="678" w:type="dxa"/>
            <w:vAlign w:val="top"/>
          </w:tcPr>
          <w:p w14:paraId="3163A90F">
            <w:pPr>
              <w:pStyle w:val="6"/>
              <w:spacing w:before="214" w:line="251" w:lineRule="exact"/>
              <w:ind w:left="275"/>
            </w:pPr>
            <w:r>
              <w:rPr>
                <w:position w:val="1"/>
              </w:rPr>
              <w:t>+</w:t>
            </w:r>
          </w:p>
        </w:tc>
        <w:tc>
          <w:tcPr>
            <w:tcW w:w="750" w:type="dxa"/>
            <w:vAlign w:val="top"/>
          </w:tcPr>
          <w:p w14:paraId="779BCB8D">
            <w:pPr>
              <w:pStyle w:val="6"/>
              <w:spacing w:before="214" w:line="251" w:lineRule="exact"/>
              <w:ind w:left="313"/>
            </w:pPr>
            <w:r>
              <w:rPr>
                <w:position w:val="1"/>
              </w:rPr>
              <w:t>+</w:t>
            </w:r>
          </w:p>
        </w:tc>
        <w:tc>
          <w:tcPr>
            <w:tcW w:w="677" w:type="dxa"/>
            <w:vAlign w:val="top"/>
          </w:tcPr>
          <w:p w14:paraId="716F613B">
            <w:pPr>
              <w:pStyle w:val="6"/>
              <w:spacing w:before="214" w:line="251" w:lineRule="exact"/>
              <w:ind w:left="280"/>
            </w:pPr>
            <w:r>
              <w:rPr>
                <w:position w:val="1"/>
              </w:rPr>
              <w:t>+</w:t>
            </w:r>
          </w:p>
        </w:tc>
        <w:tc>
          <w:tcPr>
            <w:tcW w:w="749" w:type="dxa"/>
            <w:vAlign w:val="top"/>
          </w:tcPr>
          <w:p w14:paraId="4A261FAE">
            <w:pPr>
              <w:rPr>
                <w:rFonts w:ascii="Arial"/>
                <w:sz w:val="21"/>
              </w:rPr>
            </w:pPr>
          </w:p>
        </w:tc>
        <w:tc>
          <w:tcPr>
            <w:tcW w:w="1148" w:type="dxa"/>
            <w:vAlign w:val="top"/>
          </w:tcPr>
          <w:p w14:paraId="0D4FB8AD">
            <w:pPr>
              <w:pStyle w:val="6"/>
              <w:spacing w:before="214" w:line="251" w:lineRule="exact"/>
              <w:ind w:left="522"/>
            </w:pPr>
            <w:r>
              <w:rPr>
                <w:position w:val="1"/>
              </w:rPr>
              <w:t>+</w:t>
            </w:r>
          </w:p>
        </w:tc>
        <w:tc>
          <w:tcPr>
            <w:tcW w:w="1166" w:type="dxa"/>
            <w:tcBorders>
              <w:right w:val="single" w:color="000000" w:sz="12" w:space="0"/>
            </w:tcBorders>
            <w:vAlign w:val="top"/>
          </w:tcPr>
          <w:p w14:paraId="28B4B91D">
            <w:pPr>
              <w:pStyle w:val="6"/>
              <w:spacing w:before="214" w:line="251" w:lineRule="exact"/>
              <w:ind w:left="527"/>
            </w:pPr>
            <w:r>
              <w:rPr>
                <w:position w:val="1"/>
              </w:rPr>
              <w:t>+</w:t>
            </w:r>
          </w:p>
        </w:tc>
      </w:tr>
      <w:tr w14:paraId="2AA02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bottom w:val="nil"/>
            </w:tcBorders>
            <w:textDirection w:val="tbRlV"/>
            <w:vAlign w:val="top"/>
          </w:tcPr>
          <w:p w14:paraId="6B51468B">
            <w:pPr>
              <w:rPr>
                <w:rFonts w:ascii="Arial"/>
                <w:sz w:val="21"/>
              </w:rPr>
            </w:pPr>
          </w:p>
        </w:tc>
        <w:tc>
          <w:tcPr>
            <w:tcW w:w="2823" w:type="dxa"/>
            <w:vAlign w:val="top"/>
          </w:tcPr>
          <w:p w14:paraId="2E8A85E5">
            <w:pPr>
              <w:pStyle w:val="6"/>
              <w:spacing w:before="62" w:line="212" w:lineRule="auto"/>
              <w:ind w:left="298"/>
            </w:pPr>
            <w:r>
              <w:rPr>
                <w:rFonts w:ascii="宋体" w:hAnsi="宋体" w:eastAsia="宋体" w:cs="宋体"/>
                <w:spacing w:val="8"/>
              </w:rPr>
              <w:t>肘状针杆藻</w:t>
            </w:r>
            <w:r>
              <w:rPr>
                <w:rFonts w:ascii="宋体" w:hAnsi="宋体" w:eastAsia="宋体" w:cs="宋体"/>
                <w:spacing w:val="-49"/>
              </w:rPr>
              <w:t xml:space="preserve"> </w:t>
            </w:r>
            <w:r>
              <w:rPr>
                <w:i/>
                <w:iCs/>
              </w:rPr>
              <w:t>Synedrauina</w:t>
            </w:r>
          </w:p>
        </w:tc>
        <w:tc>
          <w:tcPr>
            <w:tcW w:w="678" w:type="dxa"/>
            <w:vAlign w:val="top"/>
          </w:tcPr>
          <w:p w14:paraId="5411BCA5">
            <w:pPr>
              <w:pStyle w:val="6"/>
              <w:spacing w:before="96" w:line="224" w:lineRule="auto"/>
              <w:ind w:left="275"/>
            </w:pPr>
            <w:r>
              <w:t>+</w:t>
            </w:r>
          </w:p>
        </w:tc>
        <w:tc>
          <w:tcPr>
            <w:tcW w:w="750" w:type="dxa"/>
            <w:vAlign w:val="top"/>
          </w:tcPr>
          <w:p w14:paraId="7192906E">
            <w:pPr>
              <w:rPr>
                <w:rFonts w:ascii="Arial"/>
                <w:sz w:val="21"/>
              </w:rPr>
            </w:pPr>
          </w:p>
        </w:tc>
        <w:tc>
          <w:tcPr>
            <w:tcW w:w="677" w:type="dxa"/>
            <w:vAlign w:val="top"/>
          </w:tcPr>
          <w:p w14:paraId="26138855">
            <w:pPr>
              <w:pStyle w:val="6"/>
              <w:spacing w:before="96" w:line="224" w:lineRule="auto"/>
              <w:ind w:left="280"/>
            </w:pPr>
            <w:r>
              <w:t>+</w:t>
            </w:r>
          </w:p>
        </w:tc>
        <w:tc>
          <w:tcPr>
            <w:tcW w:w="749" w:type="dxa"/>
            <w:vAlign w:val="top"/>
          </w:tcPr>
          <w:p w14:paraId="7D3FBA78">
            <w:pPr>
              <w:pStyle w:val="6"/>
              <w:spacing w:before="96" w:line="224" w:lineRule="auto"/>
              <w:ind w:left="259"/>
            </w:pPr>
            <w:r>
              <w:rPr>
                <w:spacing w:val="-1"/>
              </w:rPr>
              <w:t>++</w:t>
            </w:r>
          </w:p>
        </w:tc>
        <w:tc>
          <w:tcPr>
            <w:tcW w:w="1148" w:type="dxa"/>
            <w:vAlign w:val="top"/>
          </w:tcPr>
          <w:p w14:paraId="07BA3D99">
            <w:pPr>
              <w:rPr>
                <w:rFonts w:ascii="Arial"/>
                <w:sz w:val="21"/>
              </w:rPr>
            </w:pPr>
          </w:p>
        </w:tc>
        <w:tc>
          <w:tcPr>
            <w:tcW w:w="1166" w:type="dxa"/>
            <w:tcBorders>
              <w:right w:val="single" w:color="000000" w:sz="12" w:space="0"/>
            </w:tcBorders>
            <w:vAlign w:val="top"/>
          </w:tcPr>
          <w:p w14:paraId="6B98AC17">
            <w:pPr>
              <w:rPr>
                <w:rFonts w:ascii="Arial"/>
                <w:sz w:val="21"/>
              </w:rPr>
            </w:pPr>
          </w:p>
        </w:tc>
      </w:tr>
      <w:tr w14:paraId="5F984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6EDBA358">
            <w:pPr>
              <w:rPr>
                <w:rFonts w:ascii="Arial"/>
                <w:sz w:val="21"/>
              </w:rPr>
            </w:pPr>
          </w:p>
        </w:tc>
        <w:tc>
          <w:tcPr>
            <w:tcW w:w="2823" w:type="dxa"/>
            <w:vAlign w:val="top"/>
          </w:tcPr>
          <w:p w14:paraId="490AB693">
            <w:pPr>
              <w:pStyle w:val="6"/>
              <w:spacing w:before="63" w:line="233" w:lineRule="auto"/>
              <w:ind w:left="890" w:right="519" w:hanging="380"/>
            </w:pPr>
            <w:r>
              <w:rPr>
                <w:rFonts w:ascii="宋体" w:hAnsi="宋体" w:eastAsia="宋体" w:cs="宋体"/>
                <w:spacing w:val="-1"/>
              </w:rPr>
              <w:t>放射针杆藻</w:t>
            </w:r>
            <w:r>
              <w:rPr>
                <w:rFonts w:ascii="宋体" w:hAnsi="宋体" w:eastAsia="宋体" w:cs="宋体"/>
                <w:spacing w:val="-50"/>
              </w:rPr>
              <w:t xml:space="preserve"> </w:t>
            </w:r>
            <w:r>
              <w:rPr>
                <w:i/>
                <w:iCs/>
                <w:spacing w:val="-1"/>
              </w:rPr>
              <w:t>Synedru</w:t>
            </w:r>
            <w:r>
              <w:rPr>
                <w:i/>
                <w:iCs/>
              </w:rPr>
              <w:t xml:space="preserve"> </w:t>
            </w:r>
            <w:r>
              <w:rPr>
                <w:i/>
                <w:iCs/>
                <w:spacing w:val="-1"/>
              </w:rPr>
              <w:t>berolinensis</w:t>
            </w:r>
          </w:p>
        </w:tc>
        <w:tc>
          <w:tcPr>
            <w:tcW w:w="678" w:type="dxa"/>
            <w:vAlign w:val="top"/>
          </w:tcPr>
          <w:p w14:paraId="3C97DCEA">
            <w:pPr>
              <w:pStyle w:val="6"/>
              <w:spacing w:before="217" w:line="251" w:lineRule="exact"/>
              <w:ind w:left="275"/>
            </w:pPr>
            <w:r>
              <w:rPr>
                <w:position w:val="1"/>
              </w:rPr>
              <w:t>+</w:t>
            </w:r>
          </w:p>
        </w:tc>
        <w:tc>
          <w:tcPr>
            <w:tcW w:w="750" w:type="dxa"/>
            <w:vAlign w:val="top"/>
          </w:tcPr>
          <w:p w14:paraId="4F2ABF7A">
            <w:pPr>
              <w:pStyle w:val="6"/>
              <w:spacing w:before="217" w:line="251" w:lineRule="exact"/>
              <w:ind w:left="313"/>
            </w:pPr>
            <w:r>
              <w:rPr>
                <w:position w:val="1"/>
              </w:rPr>
              <w:t>+</w:t>
            </w:r>
          </w:p>
        </w:tc>
        <w:tc>
          <w:tcPr>
            <w:tcW w:w="677" w:type="dxa"/>
            <w:vAlign w:val="top"/>
          </w:tcPr>
          <w:p w14:paraId="322F3651">
            <w:pPr>
              <w:rPr>
                <w:rFonts w:ascii="Arial"/>
                <w:sz w:val="21"/>
              </w:rPr>
            </w:pPr>
          </w:p>
        </w:tc>
        <w:tc>
          <w:tcPr>
            <w:tcW w:w="749" w:type="dxa"/>
            <w:vAlign w:val="top"/>
          </w:tcPr>
          <w:p w14:paraId="71332993">
            <w:pPr>
              <w:pStyle w:val="6"/>
              <w:spacing w:before="217" w:line="251" w:lineRule="exact"/>
              <w:ind w:left="318"/>
            </w:pPr>
            <w:r>
              <w:rPr>
                <w:position w:val="1"/>
              </w:rPr>
              <w:t>+</w:t>
            </w:r>
          </w:p>
        </w:tc>
        <w:tc>
          <w:tcPr>
            <w:tcW w:w="1148" w:type="dxa"/>
            <w:vAlign w:val="top"/>
          </w:tcPr>
          <w:p w14:paraId="18407B6E">
            <w:pPr>
              <w:pStyle w:val="6"/>
              <w:spacing w:before="217" w:line="251" w:lineRule="exact"/>
              <w:ind w:left="522"/>
            </w:pPr>
            <w:r>
              <w:rPr>
                <w:position w:val="1"/>
              </w:rPr>
              <w:t>+</w:t>
            </w:r>
          </w:p>
        </w:tc>
        <w:tc>
          <w:tcPr>
            <w:tcW w:w="1166" w:type="dxa"/>
            <w:tcBorders>
              <w:right w:val="single" w:color="000000" w:sz="12" w:space="0"/>
            </w:tcBorders>
            <w:vAlign w:val="top"/>
          </w:tcPr>
          <w:p w14:paraId="05070B93">
            <w:pPr>
              <w:pStyle w:val="6"/>
              <w:spacing w:before="217" w:line="251" w:lineRule="exact"/>
              <w:ind w:left="527"/>
            </w:pPr>
            <w:r>
              <w:rPr>
                <w:position w:val="1"/>
              </w:rPr>
              <w:t>+</w:t>
            </w:r>
          </w:p>
        </w:tc>
      </w:tr>
      <w:tr w14:paraId="6BAF4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restart"/>
            <w:tcBorders>
              <w:left w:val="single" w:color="000000" w:sz="12" w:space="0"/>
              <w:bottom w:val="nil"/>
            </w:tcBorders>
            <w:textDirection w:val="tbRlV"/>
            <w:vAlign w:val="top"/>
          </w:tcPr>
          <w:p w14:paraId="3FCDDF9B">
            <w:pPr>
              <w:spacing w:before="138" w:line="207" w:lineRule="auto"/>
              <w:ind w:left="85"/>
              <w:rPr>
                <w:rFonts w:ascii="宋体" w:hAnsi="宋体" w:eastAsia="宋体" w:cs="宋体"/>
                <w:sz w:val="21"/>
                <w:szCs w:val="21"/>
              </w:rPr>
            </w:pPr>
            <w:r>
              <w:rPr>
                <w:rFonts w:ascii="宋体" w:hAnsi="宋体" w:eastAsia="宋体" w:cs="宋体"/>
                <w:spacing w:val="41"/>
                <w:sz w:val="21"/>
                <w:szCs w:val="21"/>
              </w:rPr>
              <w:t>脆杆藻</w:t>
            </w:r>
          </w:p>
        </w:tc>
        <w:tc>
          <w:tcPr>
            <w:tcW w:w="2823" w:type="dxa"/>
            <w:vAlign w:val="top"/>
          </w:tcPr>
          <w:p w14:paraId="551728F8">
            <w:pPr>
              <w:pStyle w:val="6"/>
              <w:spacing w:before="64" w:line="233" w:lineRule="auto"/>
              <w:ind w:left="912" w:right="420" w:hanging="499"/>
            </w:pPr>
            <w:r>
              <w:rPr>
                <w:rFonts w:ascii="宋体" w:hAnsi="宋体" w:eastAsia="宋体" w:cs="宋体"/>
                <w:spacing w:val="-1"/>
              </w:rPr>
              <w:t>短线脆杆藻</w:t>
            </w:r>
            <w:r>
              <w:rPr>
                <w:rFonts w:ascii="宋体" w:hAnsi="宋体" w:eastAsia="宋体" w:cs="宋体"/>
                <w:spacing w:val="-50"/>
              </w:rPr>
              <w:t xml:space="preserve"> </w:t>
            </w:r>
            <w:r>
              <w:rPr>
                <w:i/>
                <w:iCs/>
                <w:spacing w:val="-1"/>
              </w:rPr>
              <w:t>Fragilaria</w:t>
            </w:r>
            <w:r>
              <w:rPr>
                <w:i/>
                <w:iCs/>
              </w:rPr>
              <w:t xml:space="preserve"> </w:t>
            </w:r>
            <w:r>
              <w:rPr>
                <w:i/>
                <w:iCs/>
                <w:spacing w:val="-1"/>
              </w:rPr>
              <w:t>brevistriata</w:t>
            </w:r>
          </w:p>
        </w:tc>
        <w:tc>
          <w:tcPr>
            <w:tcW w:w="678" w:type="dxa"/>
            <w:vAlign w:val="top"/>
          </w:tcPr>
          <w:p w14:paraId="5C206DDB">
            <w:pPr>
              <w:pStyle w:val="6"/>
              <w:spacing w:before="220" w:line="250" w:lineRule="exact"/>
              <w:ind w:left="275"/>
            </w:pPr>
            <w:r>
              <w:rPr>
                <w:position w:val="1"/>
              </w:rPr>
              <w:t>+</w:t>
            </w:r>
          </w:p>
        </w:tc>
        <w:tc>
          <w:tcPr>
            <w:tcW w:w="750" w:type="dxa"/>
            <w:vAlign w:val="top"/>
          </w:tcPr>
          <w:p w14:paraId="6F45C979">
            <w:pPr>
              <w:pStyle w:val="6"/>
              <w:spacing w:before="220" w:line="250" w:lineRule="exact"/>
              <w:ind w:left="196"/>
            </w:pPr>
            <w:r>
              <w:rPr>
                <w:spacing w:val="-1"/>
                <w:position w:val="1"/>
              </w:rPr>
              <w:t>+++</w:t>
            </w:r>
          </w:p>
        </w:tc>
        <w:tc>
          <w:tcPr>
            <w:tcW w:w="677" w:type="dxa"/>
            <w:vAlign w:val="top"/>
          </w:tcPr>
          <w:p w14:paraId="6368C9FC">
            <w:pPr>
              <w:pStyle w:val="6"/>
              <w:spacing w:before="220" w:line="250" w:lineRule="exact"/>
              <w:ind w:left="280"/>
            </w:pPr>
            <w:r>
              <w:rPr>
                <w:position w:val="1"/>
              </w:rPr>
              <w:t>+</w:t>
            </w:r>
          </w:p>
        </w:tc>
        <w:tc>
          <w:tcPr>
            <w:tcW w:w="749" w:type="dxa"/>
            <w:vAlign w:val="top"/>
          </w:tcPr>
          <w:p w14:paraId="0925A0AE">
            <w:pPr>
              <w:rPr>
                <w:rFonts w:ascii="Arial"/>
                <w:sz w:val="21"/>
              </w:rPr>
            </w:pPr>
          </w:p>
        </w:tc>
        <w:tc>
          <w:tcPr>
            <w:tcW w:w="1148" w:type="dxa"/>
            <w:vAlign w:val="top"/>
          </w:tcPr>
          <w:p w14:paraId="40465497">
            <w:pPr>
              <w:pStyle w:val="6"/>
              <w:spacing w:before="220" w:line="250" w:lineRule="exact"/>
              <w:ind w:left="522"/>
            </w:pPr>
            <w:r>
              <w:rPr>
                <w:position w:val="1"/>
              </w:rPr>
              <w:t>+</w:t>
            </w:r>
          </w:p>
        </w:tc>
        <w:tc>
          <w:tcPr>
            <w:tcW w:w="1166" w:type="dxa"/>
            <w:tcBorders>
              <w:right w:val="single" w:color="000000" w:sz="12" w:space="0"/>
            </w:tcBorders>
            <w:vAlign w:val="top"/>
          </w:tcPr>
          <w:p w14:paraId="1C7EFDCD">
            <w:pPr>
              <w:rPr>
                <w:rFonts w:ascii="Arial"/>
                <w:sz w:val="21"/>
              </w:rPr>
            </w:pPr>
          </w:p>
        </w:tc>
      </w:tr>
      <w:tr w14:paraId="58328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tcBorders>
            <w:textDirection w:val="tbRlV"/>
            <w:vAlign w:val="top"/>
          </w:tcPr>
          <w:p w14:paraId="485D999F">
            <w:pPr>
              <w:rPr>
                <w:rFonts w:ascii="Arial"/>
                <w:sz w:val="21"/>
              </w:rPr>
            </w:pPr>
          </w:p>
        </w:tc>
        <w:tc>
          <w:tcPr>
            <w:tcW w:w="2823" w:type="dxa"/>
            <w:vAlign w:val="top"/>
          </w:tcPr>
          <w:p w14:paraId="6F2A3D8F">
            <w:pPr>
              <w:pStyle w:val="6"/>
              <w:spacing w:before="65" w:line="212" w:lineRule="auto"/>
              <w:ind w:left="104"/>
            </w:pPr>
            <w:r>
              <w:rPr>
                <w:rFonts w:ascii="宋体" w:hAnsi="宋体" w:eastAsia="宋体" w:cs="宋体"/>
                <w:spacing w:val="-1"/>
              </w:rPr>
              <w:t>钝脆杆藻</w:t>
            </w:r>
            <w:r>
              <w:rPr>
                <w:rFonts w:ascii="宋体" w:hAnsi="宋体" w:eastAsia="宋体" w:cs="宋体"/>
                <w:spacing w:val="-39"/>
              </w:rPr>
              <w:t xml:space="preserve"> </w:t>
            </w:r>
            <w:r>
              <w:rPr>
                <w:i/>
                <w:iCs/>
                <w:spacing w:val="-1"/>
              </w:rPr>
              <w:t>Fragilaria capucina</w:t>
            </w:r>
          </w:p>
        </w:tc>
        <w:tc>
          <w:tcPr>
            <w:tcW w:w="678" w:type="dxa"/>
            <w:vAlign w:val="top"/>
          </w:tcPr>
          <w:p w14:paraId="4F5CAE91">
            <w:pPr>
              <w:pStyle w:val="6"/>
              <w:spacing w:before="99" w:line="221" w:lineRule="auto"/>
              <w:ind w:left="275"/>
            </w:pPr>
            <w:r>
              <w:t>+</w:t>
            </w:r>
          </w:p>
        </w:tc>
        <w:tc>
          <w:tcPr>
            <w:tcW w:w="750" w:type="dxa"/>
            <w:vAlign w:val="top"/>
          </w:tcPr>
          <w:p w14:paraId="21ED5763">
            <w:pPr>
              <w:pStyle w:val="6"/>
              <w:spacing w:before="99" w:line="221" w:lineRule="auto"/>
              <w:ind w:left="313"/>
            </w:pPr>
            <w:r>
              <w:t>+</w:t>
            </w:r>
          </w:p>
        </w:tc>
        <w:tc>
          <w:tcPr>
            <w:tcW w:w="677" w:type="dxa"/>
            <w:vAlign w:val="top"/>
          </w:tcPr>
          <w:p w14:paraId="5D391AC3">
            <w:pPr>
              <w:pStyle w:val="6"/>
              <w:spacing w:before="99" w:line="221" w:lineRule="auto"/>
              <w:ind w:left="280"/>
            </w:pPr>
            <w:r>
              <w:t>+</w:t>
            </w:r>
          </w:p>
        </w:tc>
        <w:tc>
          <w:tcPr>
            <w:tcW w:w="749" w:type="dxa"/>
            <w:vAlign w:val="top"/>
          </w:tcPr>
          <w:p w14:paraId="07E0EEA3">
            <w:pPr>
              <w:rPr>
                <w:rFonts w:ascii="Arial"/>
                <w:sz w:val="21"/>
              </w:rPr>
            </w:pPr>
          </w:p>
        </w:tc>
        <w:tc>
          <w:tcPr>
            <w:tcW w:w="1148" w:type="dxa"/>
            <w:vAlign w:val="top"/>
          </w:tcPr>
          <w:p w14:paraId="6677E38F">
            <w:pPr>
              <w:pStyle w:val="6"/>
              <w:spacing w:before="99" w:line="221" w:lineRule="auto"/>
              <w:ind w:left="522"/>
            </w:pPr>
            <w:r>
              <w:t>+</w:t>
            </w:r>
          </w:p>
        </w:tc>
        <w:tc>
          <w:tcPr>
            <w:tcW w:w="1166" w:type="dxa"/>
            <w:tcBorders>
              <w:right w:val="single" w:color="000000" w:sz="12" w:space="0"/>
            </w:tcBorders>
            <w:vAlign w:val="top"/>
          </w:tcPr>
          <w:p w14:paraId="2ACA52F9">
            <w:pPr>
              <w:pStyle w:val="6"/>
              <w:spacing w:before="99" w:line="221" w:lineRule="auto"/>
              <w:ind w:left="527"/>
            </w:pPr>
            <w:r>
              <w:t>+</w:t>
            </w:r>
          </w:p>
        </w:tc>
      </w:tr>
      <w:tr w14:paraId="3051B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restart"/>
            <w:tcBorders>
              <w:left w:val="single" w:color="000000" w:sz="12" w:space="0"/>
              <w:bottom w:val="nil"/>
            </w:tcBorders>
            <w:textDirection w:val="tbRlV"/>
            <w:vAlign w:val="top"/>
          </w:tcPr>
          <w:p w14:paraId="1E4B3EF9">
            <w:pPr>
              <w:spacing w:before="138" w:line="206" w:lineRule="auto"/>
              <w:ind w:left="87"/>
              <w:rPr>
                <w:rFonts w:ascii="宋体" w:hAnsi="宋体" w:eastAsia="宋体" w:cs="宋体"/>
                <w:sz w:val="21"/>
                <w:szCs w:val="21"/>
              </w:rPr>
            </w:pPr>
            <w:r>
              <w:rPr>
                <w:rFonts w:ascii="宋体" w:hAnsi="宋体" w:eastAsia="宋体" w:cs="宋体"/>
                <w:spacing w:val="41"/>
                <w:sz w:val="21"/>
                <w:szCs w:val="21"/>
              </w:rPr>
              <w:t>等片藻</w:t>
            </w:r>
          </w:p>
        </w:tc>
        <w:tc>
          <w:tcPr>
            <w:tcW w:w="2823" w:type="dxa"/>
            <w:vAlign w:val="top"/>
          </w:tcPr>
          <w:p w14:paraId="43014384">
            <w:pPr>
              <w:pStyle w:val="6"/>
              <w:spacing w:before="68" w:line="212" w:lineRule="auto"/>
              <w:ind w:left="138"/>
            </w:pPr>
            <w:r>
              <w:rPr>
                <w:rFonts w:ascii="宋体" w:hAnsi="宋体" w:eastAsia="宋体" w:cs="宋体"/>
                <w:spacing w:val="-1"/>
              </w:rPr>
              <w:t>普通等片藻</w:t>
            </w:r>
            <w:r>
              <w:rPr>
                <w:rFonts w:ascii="宋体" w:hAnsi="宋体" w:eastAsia="宋体" w:cs="宋体"/>
                <w:spacing w:val="-40"/>
              </w:rPr>
              <w:t xml:space="preserve"> </w:t>
            </w:r>
            <w:r>
              <w:rPr>
                <w:i/>
                <w:iCs/>
                <w:spacing w:val="-1"/>
              </w:rPr>
              <w:t>Diatoma vulgare</w:t>
            </w:r>
          </w:p>
        </w:tc>
        <w:tc>
          <w:tcPr>
            <w:tcW w:w="678" w:type="dxa"/>
            <w:vAlign w:val="top"/>
          </w:tcPr>
          <w:p w14:paraId="5332654A">
            <w:pPr>
              <w:pStyle w:val="6"/>
              <w:spacing w:before="101" w:line="219" w:lineRule="auto"/>
              <w:ind w:left="216"/>
            </w:pPr>
            <w:r>
              <w:rPr>
                <w:spacing w:val="-1"/>
              </w:rPr>
              <w:t>++</w:t>
            </w:r>
          </w:p>
        </w:tc>
        <w:tc>
          <w:tcPr>
            <w:tcW w:w="750" w:type="dxa"/>
            <w:vAlign w:val="top"/>
          </w:tcPr>
          <w:p w14:paraId="6471FC8D">
            <w:pPr>
              <w:rPr>
                <w:rFonts w:ascii="Arial"/>
                <w:sz w:val="21"/>
              </w:rPr>
            </w:pPr>
          </w:p>
        </w:tc>
        <w:tc>
          <w:tcPr>
            <w:tcW w:w="677" w:type="dxa"/>
            <w:vAlign w:val="top"/>
          </w:tcPr>
          <w:p w14:paraId="5CB8E0B6">
            <w:pPr>
              <w:pStyle w:val="6"/>
              <w:spacing w:before="101" w:line="219" w:lineRule="auto"/>
              <w:ind w:left="280"/>
            </w:pPr>
            <w:r>
              <w:t>+</w:t>
            </w:r>
          </w:p>
        </w:tc>
        <w:tc>
          <w:tcPr>
            <w:tcW w:w="749" w:type="dxa"/>
            <w:vAlign w:val="top"/>
          </w:tcPr>
          <w:p w14:paraId="14E9E37D">
            <w:pPr>
              <w:pStyle w:val="6"/>
              <w:spacing w:before="101" w:line="219" w:lineRule="auto"/>
              <w:ind w:left="259"/>
            </w:pPr>
            <w:r>
              <w:rPr>
                <w:spacing w:val="-1"/>
              </w:rPr>
              <w:t>++</w:t>
            </w:r>
          </w:p>
        </w:tc>
        <w:tc>
          <w:tcPr>
            <w:tcW w:w="1148" w:type="dxa"/>
            <w:vAlign w:val="top"/>
          </w:tcPr>
          <w:p w14:paraId="4199E153">
            <w:pPr>
              <w:rPr>
                <w:rFonts w:ascii="Arial"/>
                <w:sz w:val="21"/>
              </w:rPr>
            </w:pPr>
          </w:p>
        </w:tc>
        <w:tc>
          <w:tcPr>
            <w:tcW w:w="1166" w:type="dxa"/>
            <w:tcBorders>
              <w:right w:val="single" w:color="000000" w:sz="12" w:space="0"/>
            </w:tcBorders>
            <w:vAlign w:val="top"/>
          </w:tcPr>
          <w:p w14:paraId="6783489B">
            <w:pPr>
              <w:pStyle w:val="6"/>
              <w:spacing w:before="101" w:line="219" w:lineRule="auto"/>
              <w:ind w:left="527"/>
            </w:pPr>
            <w:r>
              <w:t>+</w:t>
            </w:r>
          </w:p>
        </w:tc>
      </w:tr>
      <w:tr w14:paraId="0CE0B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2629257B">
            <w:pPr>
              <w:rPr>
                <w:rFonts w:ascii="Arial"/>
                <w:sz w:val="21"/>
              </w:rPr>
            </w:pPr>
          </w:p>
        </w:tc>
        <w:tc>
          <w:tcPr>
            <w:tcW w:w="2823" w:type="dxa"/>
            <w:vAlign w:val="top"/>
          </w:tcPr>
          <w:p w14:paraId="0E028AA4">
            <w:pPr>
              <w:pStyle w:val="6"/>
              <w:spacing w:before="69" w:line="230" w:lineRule="auto"/>
              <w:ind w:left="610" w:right="75" w:hanging="544"/>
            </w:pPr>
            <w:r>
              <w:rPr>
                <w:rFonts w:ascii="宋体" w:hAnsi="宋体" w:eastAsia="宋体" w:cs="宋体"/>
                <w:spacing w:val="-1"/>
              </w:rPr>
              <w:t>普通等片藻卵圆变种</w:t>
            </w:r>
            <w:r>
              <w:rPr>
                <w:rFonts w:ascii="宋体" w:hAnsi="宋体" w:eastAsia="宋体" w:cs="宋体"/>
                <w:spacing w:val="-45"/>
              </w:rPr>
              <w:t xml:space="preserve"> </w:t>
            </w:r>
            <w:r>
              <w:rPr>
                <w:i/>
                <w:iCs/>
                <w:spacing w:val="-1"/>
              </w:rPr>
              <w:t>Diatoma</w:t>
            </w:r>
            <w:r>
              <w:rPr>
                <w:i/>
                <w:iCs/>
              </w:rPr>
              <w:t xml:space="preserve"> </w:t>
            </w:r>
            <w:r>
              <w:rPr>
                <w:i/>
                <w:iCs/>
                <w:spacing w:val="-1"/>
              </w:rPr>
              <w:t>vulgare var. ovalis</w:t>
            </w:r>
          </w:p>
        </w:tc>
        <w:tc>
          <w:tcPr>
            <w:tcW w:w="678" w:type="dxa"/>
            <w:vAlign w:val="top"/>
          </w:tcPr>
          <w:p w14:paraId="0E19631D">
            <w:pPr>
              <w:pStyle w:val="6"/>
              <w:spacing w:before="222" w:line="251" w:lineRule="exact"/>
              <w:ind w:left="275"/>
            </w:pPr>
            <w:r>
              <w:rPr>
                <w:position w:val="1"/>
              </w:rPr>
              <w:t>+</w:t>
            </w:r>
          </w:p>
        </w:tc>
        <w:tc>
          <w:tcPr>
            <w:tcW w:w="750" w:type="dxa"/>
            <w:vAlign w:val="top"/>
          </w:tcPr>
          <w:p w14:paraId="079B2770">
            <w:pPr>
              <w:pStyle w:val="6"/>
              <w:spacing w:before="222" w:line="251" w:lineRule="exact"/>
              <w:ind w:left="255"/>
            </w:pPr>
            <w:r>
              <w:rPr>
                <w:spacing w:val="-1"/>
                <w:position w:val="1"/>
              </w:rPr>
              <w:t>++</w:t>
            </w:r>
          </w:p>
        </w:tc>
        <w:tc>
          <w:tcPr>
            <w:tcW w:w="677" w:type="dxa"/>
            <w:vAlign w:val="top"/>
          </w:tcPr>
          <w:p w14:paraId="15D162B5">
            <w:pPr>
              <w:pStyle w:val="6"/>
              <w:spacing w:before="222" w:line="251" w:lineRule="exact"/>
              <w:ind w:left="280"/>
            </w:pPr>
            <w:r>
              <w:rPr>
                <w:position w:val="1"/>
              </w:rPr>
              <w:t>+</w:t>
            </w:r>
          </w:p>
        </w:tc>
        <w:tc>
          <w:tcPr>
            <w:tcW w:w="749" w:type="dxa"/>
            <w:vAlign w:val="top"/>
          </w:tcPr>
          <w:p w14:paraId="73617152">
            <w:pPr>
              <w:rPr>
                <w:rFonts w:ascii="Arial"/>
                <w:sz w:val="21"/>
              </w:rPr>
            </w:pPr>
          </w:p>
        </w:tc>
        <w:tc>
          <w:tcPr>
            <w:tcW w:w="1148" w:type="dxa"/>
            <w:vAlign w:val="top"/>
          </w:tcPr>
          <w:p w14:paraId="0BF6A1E7">
            <w:pPr>
              <w:pStyle w:val="6"/>
              <w:spacing w:before="222" w:line="251" w:lineRule="exact"/>
              <w:ind w:left="522"/>
            </w:pPr>
            <w:r>
              <w:rPr>
                <w:position w:val="1"/>
              </w:rPr>
              <w:t>+</w:t>
            </w:r>
          </w:p>
        </w:tc>
        <w:tc>
          <w:tcPr>
            <w:tcW w:w="1166" w:type="dxa"/>
            <w:tcBorders>
              <w:right w:val="single" w:color="000000" w:sz="12" w:space="0"/>
            </w:tcBorders>
            <w:vAlign w:val="top"/>
          </w:tcPr>
          <w:p w14:paraId="7ACEDD08">
            <w:pPr>
              <w:pStyle w:val="6"/>
              <w:spacing w:before="222" w:line="251" w:lineRule="exact"/>
              <w:ind w:left="527"/>
            </w:pPr>
            <w:r>
              <w:rPr>
                <w:position w:val="1"/>
              </w:rPr>
              <w:t>+</w:t>
            </w:r>
          </w:p>
        </w:tc>
      </w:tr>
      <w:tr w14:paraId="3915A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5E011D46">
            <w:pPr>
              <w:spacing w:before="137" w:line="208" w:lineRule="auto"/>
              <w:ind w:left="71"/>
              <w:rPr>
                <w:rFonts w:ascii="宋体" w:hAnsi="宋体" w:eastAsia="宋体" w:cs="宋体"/>
                <w:sz w:val="21"/>
                <w:szCs w:val="21"/>
              </w:rPr>
            </w:pPr>
            <w:r>
              <w:rPr>
                <w:rFonts w:ascii="宋体" w:hAnsi="宋体" w:eastAsia="宋体" w:cs="宋体"/>
                <w:spacing w:val="41"/>
                <w:sz w:val="21"/>
                <w:szCs w:val="21"/>
              </w:rPr>
              <w:t>短缝藻</w:t>
            </w:r>
          </w:p>
        </w:tc>
        <w:tc>
          <w:tcPr>
            <w:tcW w:w="2823" w:type="dxa"/>
            <w:vAlign w:val="top"/>
          </w:tcPr>
          <w:p w14:paraId="3632FEA6">
            <w:pPr>
              <w:spacing w:line="273" w:lineRule="auto"/>
              <w:rPr>
                <w:rFonts w:ascii="Arial"/>
                <w:sz w:val="21"/>
              </w:rPr>
            </w:pPr>
          </w:p>
          <w:p w14:paraId="6F5C949F">
            <w:pPr>
              <w:pStyle w:val="6"/>
              <w:spacing w:before="68" w:line="213" w:lineRule="auto"/>
              <w:ind w:left="69"/>
            </w:pPr>
            <w:r>
              <w:rPr>
                <w:rFonts w:ascii="宋体" w:hAnsi="宋体" w:eastAsia="宋体" w:cs="宋体"/>
                <w:spacing w:val="1"/>
              </w:rPr>
              <w:t xml:space="preserve">篦形短缝藻 </w:t>
            </w:r>
            <w:r>
              <w:rPr>
                <w:i/>
                <w:iCs/>
              </w:rPr>
              <w:t>Eunotia</w:t>
            </w:r>
            <w:r>
              <w:rPr>
                <w:i/>
                <w:iCs/>
                <w:spacing w:val="-21"/>
              </w:rPr>
              <w:t xml:space="preserve"> </w:t>
            </w:r>
            <w:r>
              <w:rPr>
                <w:i/>
                <w:iCs/>
              </w:rPr>
              <w:t>pectinalis</w:t>
            </w:r>
          </w:p>
        </w:tc>
        <w:tc>
          <w:tcPr>
            <w:tcW w:w="678" w:type="dxa"/>
            <w:vAlign w:val="top"/>
          </w:tcPr>
          <w:p w14:paraId="1A1B7A3B">
            <w:pPr>
              <w:rPr>
                <w:rFonts w:ascii="Arial"/>
                <w:sz w:val="21"/>
              </w:rPr>
            </w:pPr>
          </w:p>
        </w:tc>
        <w:tc>
          <w:tcPr>
            <w:tcW w:w="750" w:type="dxa"/>
            <w:vAlign w:val="top"/>
          </w:tcPr>
          <w:p w14:paraId="23F1397C">
            <w:pPr>
              <w:spacing w:line="314" w:lineRule="auto"/>
              <w:rPr>
                <w:rFonts w:ascii="Arial"/>
                <w:sz w:val="21"/>
              </w:rPr>
            </w:pPr>
          </w:p>
          <w:p w14:paraId="270B4FB6">
            <w:pPr>
              <w:pStyle w:val="6"/>
              <w:spacing w:before="61" w:line="250" w:lineRule="exact"/>
              <w:ind w:left="313"/>
            </w:pPr>
            <w:r>
              <w:rPr>
                <w:position w:val="1"/>
              </w:rPr>
              <w:t>+</w:t>
            </w:r>
          </w:p>
        </w:tc>
        <w:tc>
          <w:tcPr>
            <w:tcW w:w="677" w:type="dxa"/>
            <w:vAlign w:val="top"/>
          </w:tcPr>
          <w:p w14:paraId="4C7B9318">
            <w:pPr>
              <w:rPr>
                <w:rFonts w:ascii="Arial"/>
                <w:sz w:val="21"/>
              </w:rPr>
            </w:pPr>
          </w:p>
        </w:tc>
        <w:tc>
          <w:tcPr>
            <w:tcW w:w="749" w:type="dxa"/>
            <w:vAlign w:val="top"/>
          </w:tcPr>
          <w:p w14:paraId="2C7A908F">
            <w:pPr>
              <w:spacing w:line="314" w:lineRule="auto"/>
              <w:rPr>
                <w:rFonts w:ascii="Arial"/>
                <w:sz w:val="21"/>
              </w:rPr>
            </w:pPr>
          </w:p>
          <w:p w14:paraId="286D7176">
            <w:pPr>
              <w:pStyle w:val="6"/>
              <w:spacing w:before="61" w:line="250" w:lineRule="exact"/>
              <w:ind w:left="318"/>
            </w:pPr>
            <w:r>
              <w:rPr>
                <w:position w:val="1"/>
              </w:rPr>
              <w:t>+</w:t>
            </w:r>
          </w:p>
        </w:tc>
        <w:tc>
          <w:tcPr>
            <w:tcW w:w="1148" w:type="dxa"/>
            <w:vAlign w:val="top"/>
          </w:tcPr>
          <w:p w14:paraId="0FBE58E0">
            <w:pPr>
              <w:spacing w:line="314" w:lineRule="auto"/>
              <w:rPr>
                <w:rFonts w:ascii="Arial"/>
                <w:sz w:val="21"/>
              </w:rPr>
            </w:pPr>
          </w:p>
          <w:p w14:paraId="006A6F3A">
            <w:pPr>
              <w:pStyle w:val="6"/>
              <w:spacing w:before="61" w:line="250" w:lineRule="exact"/>
              <w:ind w:left="463"/>
            </w:pPr>
            <w:r>
              <w:rPr>
                <w:spacing w:val="-1"/>
                <w:position w:val="1"/>
              </w:rPr>
              <w:t>++</w:t>
            </w:r>
          </w:p>
        </w:tc>
        <w:tc>
          <w:tcPr>
            <w:tcW w:w="1166" w:type="dxa"/>
            <w:tcBorders>
              <w:right w:val="single" w:color="000000" w:sz="12" w:space="0"/>
            </w:tcBorders>
            <w:vAlign w:val="top"/>
          </w:tcPr>
          <w:p w14:paraId="572198E5">
            <w:pPr>
              <w:rPr>
                <w:rFonts w:ascii="Arial"/>
                <w:sz w:val="21"/>
              </w:rPr>
            </w:pPr>
          </w:p>
        </w:tc>
      </w:tr>
      <w:tr w14:paraId="33762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restart"/>
            <w:tcBorders>
              <w:left w:val="single" w:color="000000" w:sz="12" w:space="0"/>
              <w:bottom w:val="nil"/>
            </w:tcBorders>
            <w:textDirection w:val="tbRlV"/>
            <w:vAlign w:val="top"/>
          </w:tcPr>
          <w:p w14:paraId="0BBEBF39">
            <w:pPr>
              <w:spacing w:before="138" w:line="207" w:lineRule="auto"/>
              <w:ind w:left="385"/>
              <w:rPr>
                <w:rFonts w:ascii="宋体" w:hAnsi="宋体" w:eastAsia="宋体" w:cs="宋体"/>
                <w:sz w:val="21"/>
                <w:szCs w:val="21"/>
              </w:rPr>
            </w:pPr>
            <w:r>
              <w:rPr>
                <w:rFonts w:ascii="宋体" w:hAnsi="宋体" w:eastAsia="宋体" w:cs="宋体"/>
                <w:spacing w:val="41"/>
                <w:sz w:val="21"/>
                <w:szCs w:val="21"/>
              </w:rPr>
              <w:t>布纹藻</w:t>
            </w:r>
          </w:p>
        </w:tc>
        <w:tc>
          <w:tcPr>
            <w:tcW w:w="2823" w:type="dxa"/>
            <w:vAlign w:val="top"/>
          </w:tcPr>
          <w:p w14:paraId="53EBA0B5">
            <w:pPr>
              <w:pStyle w:val="6"/>
              <w:spacing w:before="73" w:line="212" w:lineRule="auto"/>
              <w:ind w:left="105"/>
            </w:pPr>
            <w:r>
              <w:rPr>
                <w:rFonts w:ascii="宋体" w:hAnsi="宋体" w:eastAsia="宋体" w:cs="宋体"/>
                <w:spacing w:val="-1"/>
              </w:rPr>
              <w:t>细布纹藻</w:t>
            </w:r>
            <w:r>
              <w:rPr>
                <w:rFonts w:ascii="宋体" w:hAnsi="宋体" w:eastAsia="宋体" w:cs="宋体"/>
                <w:spacing w:val="-37"/>
              </w:rPr>
              <w:t xml:space="preserve"> </w:t>
            </w:r>
            <w:r>
              <w:rPr>
                <w:i/>
                <w:iCs/>
                <w:spacing w:val="-1"/>
              </w:rPr>
              <w:t>Gyrosigma kutzingli</w:t>
            </w:r>
          </w:p>
        </w:tc>
        <w:tc>
          <w:tcPr>
            <w:tcW w:w="678" w:type="dxa"/>
            <w:vAlign w:val="top"/>
          </w:tcPr>
          <w:p w14:paraId="4A49A019">
            <w:pPr>
              <w:pStyle w:val="6"/>
              <w:spacing w:before="106" w:line="214" w:lineRule="auto"/>
              <w:ind w:left="216"/>
            </w:pPr>
            <w:r>
              <w:rPr>
                <w:spacing w:val="-1"/>
              </w:rPr>
              <w:t>++</w:t>
            </w:r>
          </w:p>
        </w:tc>
        <w:tc>
          <w:tcPr>
            <w:tcW w:w="750" w:type="dxa"/>
            <w:vAlign w:val="top"/>
          </w:tcPr>
          <w:p w14:paraId="78CFA944">
            <w:pPr>
              <w:pStyle w:val="6"/>
              <w:spacing w:before="106" w:line="214" w:lineRule="auto"/>
              <w:ind w:left="313"/>
            </w:pPr>
            <w:r>
              <w:t>+</w:t>
            </w:r>
          </w:p>
        </w:tc>
        <w:tc>
          <w:tcPr>
            <w:tcW w:w="677" w:type="dxa"/>
            <w:vAlign w:val="top"/>
          </w:tcPr>
          <w:p w14:paraId="6FA330F1">
            <w:pPr>
              <w:pStyle w:val="6"/>
              <w:spacing w:before="106" w:line="214" w:lineRule="auto"/>
              <w:ind w:left="280"/>
            </w:pPr>
            <w:r>
              <w:t>+</w:t>
            </w:r>
          </w:p>
        </w:tc>
        <w:tc>
          <w:tcPr>
            <w:tcW w:w="749" w:type="dxa"/>
            <w:vAlign w:val="top"/>
          </w:tcPr>
          <w:p w14:paraId="7F15AF87">
            <w:pPr>
              <w:pStyle w:val="6"/>
              <w:spacing w:before="106" w:line="214" w:lineRule="auto"/>
              <w:ind w:left="259"/>
            </w:pPr>
            <w:r>
              <w:rPr>
                <w:spacing w:val="-1"/>
              </w:rPr>
              <w:t>++</w:t>
            </w:r>
          </w:p>
        </w:tc>
        <w:tc>
          <w:tcPr>
            <w:tcW w:w="1148" w:type="dxa"/>
            <w:vAlign w:val="top"/>
          </w:tcPr>
          <w:p w14:paraId="6AD90D85">
            <w:pPr>
              <w:rPr>
                <w:rFonts w:ascii="Arial"/>
                <w:sz w:val="21"/>
              </w:rPr>
            </w:pPr>
          </w:p>
        </w:tc>
        <w:tc>
          <w:tcPr>
            <w:tcW w:w="1166" w:type="dxa"/>
            <w:tcBorders>
              <w:right w:val="single" w:color="000000" w:sz="12" w:space="0"/>
            </w:tcBorders>
            <w:vAlign w:val="top"/>
          </w:tcPr>
          <w:p w14:paraId="7EE1D5C4">
            <w:pPr>
              <w:pStyle w:val="6"/>
              <w:spacing w:before="106" w:line="214" w:lineRule="auto"/>
              <w:ind w:left="527"/>
            </w:pPr>
            <w:r>
              <w:t>+</w:t>
            </w:r>
          </w:p>
        </w:tc>
      </w:tr>
      <w:tr w14:paraId="47E94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1CF06D23">
            <w:pPr>
              <w:rPr>
                <w:rFonts w:ascii="Arial"/>
                <w:sz w:val="21"/>
              </w:rPr>
            </w:pPr>
          </w:p>
        </w:tc>
        <w:tc>
          <w:tcPr>
            <w:tcW w:w="2823" w:type="dxa"/>
            <w:vAlign w:val="top"/>
          </w:tcPr>
          <w:p w14:paraId="7562AD3E">
            <w:pPr>
              <w:pStyle w:val="6"/>
              <w:spacing w:before="75" w:line="228" w:lineRule="auto"/>
              <w:ind w:left="906" w:right="501" w:hanging="415"/>
            </w:pPr>
            <w:r>
              <w:rPr>
                <w:rFonts w:ascii="宋体" w:hAnsi="宋体" w:eastAsia="宋体" w:cs="宋体"/>
                <w:spacing w:val="-2"/>
              </w:rPr>
              <w:t>尖布纹藻</w:t>
            </w:r>
            <w:r>
              <w:rPr>
                <w:rFonts w:ascii="宋体" w:hAnsi="宋体" w:eastAsia="宋体" w:cs="宋体"/>
                <w:spacing w:val="-34"/>
              </w:rPr>
              <w:t xml:space="preserve"> </w:t>
            </w:r>
            <w:r>
              <w:rPr>
                <w:i/>
                <w:iCs/>
                <w:spacing w:val="-2"/>
              </w:rPr>
              <w:t>Gyrosigma</w:t>
            </w:r>
            <w:r>
              <w:rPr>
                <w:i/>
                <w:iCs/>
              </w:rPr>
              <w:t xml:space="preserve"> </w:t>
            </w:r>
            <w:r>
              <w:rPr>
                <w:i/>
                <w:iCs/>
                <w:spacing w:val="-1"/>
              </w:rPr>
              <w:t>acuninatum</w:t>
            </w:r>
          </w:p>
        </w:tc>
        <w:tc>
          <w:tcPr>
            <w:tcW w:w="678" w:type="dxa"/>
            <w:vAlign w:val="top"/>
          </w:tcPr>
          <w:p w14:paraId="176BDB3F">
            <w:pPr>
              <w:pStyle w:val="6"/>
              <w:spacing w:before="229" w:line="250" w:lineRule="exact"/>
              <w:ind w:left="275"/>
            </w:pPr>
            <w:r>
              <w:rPr>
                <w:position w:val="1"/>
              </w:rPr>
              <w:t>+</w:t>
            </w:r>
          </w:p>
        </w:tc>
        <w:tc>
          <w:tcPr>
            <w:tcW w:w="750" w:type="dxa"/>
            <w:vAlign w:val="top"/>
          </w:tcPr>
          <w:p w14:paraId="3911DD8A">
            <w:pPr>
              <w:pStyle w:val="6"/>
              <w:spacing w:before="229" w:line="250" w:lineRule="exact"/>
              <w:ind w:left="255"/>
            </w:pPr>
            <w:r>
              <w:rPr>
                <w:spacing w:val="-1"/>
                <w:position w:val="1"/>
              </w:rPr>
              <w:t>++</w:t>
            </w:r>
          </w:p>
        </w:tc>
        <w:tc>
          <w:tcPr>
            <w:tcW w:w="677" w:type="dxa"/>
            <w:vAlign w:val="top"/>
          </w:tcPr>
          <w:p w14:paraId="4836ED6B">
            <w:pPr>
              <w:pStyle w:val="6"/>
              <w:spacing w:before="229" w:line="250" w:lineRule="exact"/>
              <w:ind w:left="280"/>
            </w:pPr>
            <w:r>
              <w:rPr>
                <w:position w:val="1"/>
              </w:rPr>
              <w:t>+</w:t>
            </w:r>
          </w:p>
        </w:tc>
        <w:tc>
          <w:tcPr>
            <w:tcW w:w="749" w:type="dxa"/>
            <w:vAlign w:val="top"/>
          </w:tcPr>
          <w:p w14:paraId="74E9D1CB">
            <w:pPr>
              <w:pStyle w:val="6"/>
              <w:spacing w:before="229" w:line="250" w:lineRule="exact"/>
              <w:ind w:left="318"/>
            </w:pPr>
            <w:r>
              <w:rPr>
                <w:position w:val="1"/>
              </w:rPr>
              <w:t>+</w:t>
            </w:r>
          </w:p>
        </w:tc>
        <w:tc>
          <w:tcPr>
            <w:tcW w:w="1148" w:type="dxa"/>
            <w:vAlign w:val="top"/>
          </w:tcPr>
          <w:p w14:paraId="2230A8C5">
            <w:pPr>
              <w:pStyle w:val="6"/>
              <w:spacing w:before="229" w:line="250" w:lineRule="exact"/>
              <w:ind w:left="522"/>
            </w:pPr>
            <w:r>
              <w:rPr>
                <w:position w:val="1"/>
              </w:rPr>
              <w:t>+</w:t>
            </w:r>
          </w:p>
        </w:tc>
        <w:tc>
          <w:tcPr>
            <w:tcW w:w="1166" w:type="dxa"/>
            <w:tcBorders>
              <w:right w:val="single" w:color="000000" w:sz="12" w:space="0"/>
            </w:tcBorders>
            <w:vAlign w:val="top"/>
          </w:tcPr>
          <w:p w14:paraId="46B1F0C3">
            <w:pPr>
              <w:rPr>
                <w:rFonts w:ascii="Arial"/>
                <w:sz w:val="21"/>
              </w:rPr>
            </w:pPr>
          </w:p>
        </w:tc>
      </w:tr>
      <w:tr w14:paraId="6CCB0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0EAEB9C9">
            <w:pPr>
              <w:rPr>
                <w:rFonts w:ascii="Arial"/>
                <w:sz w:val="21"/>
              </w:rPr>
            </w:pPr>
          </w:p>
        </w:tc>
        <w:tc>
          <w:tcPr>
            <w:tcW w:w="2823" w:type="dxa"/>
            <w:vAlign w:val="top"/>
          </w:tcPr>
          <w:p w14:paraId="3C50A2A3">
            <w:pPr>
              <w:pStyle w:val="6"/>
              <w:spacing w:before="76" w:line="227" w:lineRule="auto"/>
              <w:ind w:left="940" w:right="501" w:hanging="449"/>
            </w:pPr>
            <w:r>
              <w:rPr>
                <w:rFonts w:ascii="宋体" w:hAnsi="宋体" w:eastAsia="宋体" w:cs="宋体"/>
                <w:spacing w:val="-2"/>
              </w:rPr>
              <w:t>狭布纹藻</w:t>
            </w:r>
            <w:r>
              <w:rPr>
                <w:rFonts w:ascii="宋体" w:hAnsi="宋体" w:eastAsia="宋体" w:cs="宋体"/>
                <w:spacing w:val="-34"/>
              </w:rPr>
              <w:t xml:space="preserve"> </w:t>
            </w:r>
            <w:r>
              <w:rPr>
                <w:i/>
                <w:iCs/>
                <w:spacing w:val="-2"/>
              </w:rPr>
              <w:t>Gyrosigma</w:t>
            </w:r>
            <w:r>
              <w:rPr>
                <w:i/>
                <w:iCs/>
              </w:rPr>
              <w:t xml:space="preserve"> </w:t>
            </w:r>
            <w:r>
              <w:rPr>
                <w:i/>
                <w:iCs/>
                <w:spacing w:val="-1"/>
              </w:rPr>
              <w:t>atleruatum</w:t>
            </w:r>
          </w:p>
        </w:tc>
        <w:tc>
          <w:tcPr>
            <w:tcW w:w="678" w:type="dxa"/>
            <w:vAlign w:val="top"/>
          </w:tcPr>
          <w:p w14:paraId="4D5D0A58">
            <w:pPr>
              <w:pStyle w:val="6"/>
              <w:spacing w:before="229" w:line="251" w:lineRule="exact"/>
              <w:ind w:left="216"/>
            </w:pPr>
            <w:r>
              <w:rPr>
                <w:spacing w:val="-1"/>
                <w:position w:val="1"/>
              </w:rPr>
              <w:t>++</w:t>
            </w:r>
          </w:p>
        </w:tc>
        <w:tc>
          <w:tcPr>
            <w:tcW w:w="750" w:type="dxa"/>
            <w:vAlign w:val="top"/>
          </w:tcPr>
          <w:p w14:paraId="0FD20AAA">
            <w:pPr>
              <w:pStyle w:val="6"/>
              <w:spacing w:before="229" w:line="251" w:lineRule="exact"/>
              <w:ind w:left="313"/>
            </w:pPr>
            <w:r>
              <w:rPr>
                <w:position w:val="1"/>
              </w:rPr>
              <w:t>+</w:t>
            </w:r>
          </w:p>
        </w:tc>
        <w:tc>
          <w:tcPr>
            <w:tcW w:w="677" w:type="dxa"/>
            <w:vAlign w:val="top"/>
          </w:tcPr>
          <w:p w14:paraId="053CF630">
            <w:pPr>
              <w:pStyle w:val="6"/>
              <w:spacing w:before="229" w:line="251" w:lineRule="exact"/>
              <w:ind w:left="221"/>
            </w:pPr>
            <w:r>
              <w:rPr>
                <w:spacing w:val="-1"/>
                <w:position w:val="1"/>
              </w:rPr>
              <w:t>++</w:t>
            </w:r>
          </w:p>
        </w:tc>
        <w:tc>
          <w:tcPr>
            <w:tcW w:w="749" w:type="dxa"/>
            <w:vAlign w:val="top"/>
          </w:tcPr>
          <w:p w14:paraId="03550347">
            <w:pPr>
              <w:pStyle w:val="6"/>
              <w:spacing w:before="229" w:line="251" w:lineRule="exact"/>
              <w:ind w:left="318"/>
            </w:pPr>
            <w:r>
              <w:rPr>
                <w:position w:val="1"/>
              </w:rPr>
              <w:t>+</w:t>
            </w:r>
          </w:p>
        </w:tc>
        <w:tc>
          <w:tcPr>
            <w:tcW w:w="1148" w:type="dxa"/>
            <w:vAlign w:val="top"/>
          </w:tcPr>
          <w:p w14:paraId="4523075E">
            <w:pPr>
              <w:pStyle w:val="6"/>
              <w:spacing w:before="229" w:line="251" w:lineRule="exact"/>
              <w:ind w:left="522"/>
            </w:pPr>
            <w:r>
              <w:rPr>
                <w:position w:val="1"/>
              </w:rPr>
              <w:t>+</w:t>
            </w:r>
          </w:p>
        </w:tc>
        <w:tc>
          <w:tcPr>
            <w:tcW w:w="1166" w:type="dxa"/>
            <w:tcBorders>
              <w:right w:val="single" w:color="000000" w:sz="12" w:space="0"/>
            </w:tcBorders>
            <w:vAlign w:val="top"/>
          </w:tcPr>
          <w:p w14:paraId="0B2BE33B">
            <w:pPr>
              <w:pStyle w:val="6"/>
              <w:spacing w:before="229" w:line="251" w:lineRule="exact"/>
              <w:ind w:left="527"/>
            </w:pPr>
            <w:r>
              <w:rPr>
                <w:position w:val="1"/>
              </w:rPr>
              <w:t>+</w:t>
            </w:r>
          </w:p>
        </w:tc>
      </w:tr>
      <w:tr w14:paraId="007C0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3B9B0FFF">
            <w:pPr>
              <w:spacing w:before="138" w:line="206" w:lineRule="auto"/>
              <w:ind w:left="623"/>
              <w:rPr>
                <w:rFonts w:ascii="宋体" w:hAnsi="宋体" w:eastAsia="宋体" w:cs="宋体"/>
                <w:sz w:val="21"/>
                <w:szCs w:val="21"/>
              </w:rPr>
            </w:pPr>
            <w:r>
              <w:rPr>
                <w:rFonts w:ascii="宋体" w:hAnsi="宋体" w:eastAsia="宋体" w:cs="宋体"/>
                <w:spacing w:val="41"/>
                <w:sz w:val="21"/>
                <w:szCs w:val="21"/>
              </w:rPr>
              <w:t>舟形藻</w:t>
            </w:r>
          </w:p>
        </w:tc>
        <w:tc>
          <w:tcPr>
            <w:tcW w:w="2823" w:type="dxa"/>
            <w:vAlign w:val="top"/>
          </w:tcPr>
          <w:p w14:paraId="3BA1FADA">
            <w:pPr>
              <w:pStyle w:val="6"/>
              <w:spacing w:before="76" w:line="227" w:lineRule="auto"/>
              <w:ind w:left="802" w:right="464" w:hanging="334"/>
            </w:pPr>
            <w:r>
              <w:rPr>
                <w:rFonts w:ascii="宋体" w:hAnsi="宋体" w:eastAsia="宋体" w:cs="宋体"/>
                <w:spacing w:val="-2"/>
              </w:rPr>
              <w:t xml:space="preserve">隐头舟形藻 </w:t>
            </w:r>
            <w:r>
              <w:rPr>
                <w:i/>
                <w:iCs/>
                <w:spacing w:val="-2"/>
              </w:rPr>
              <w:t>Navicule</w:t>
            </w:r>
            <w:r>
              <w:rPr>
                <w:i/>
                <w:iCs/>
                <w:spacing w:val="5"/>
              </w:rPr>
              <w:t xml:space="preserve"> </w:t>
            </w:r>
            <w:r>
              <w:rPr>
                <w:i/>
                <w:iCs/>
                <w:spacing w:val="-1"/>
              </w:rPr>
              <w:t>cryptocephala</w:t>
            </w:r>
          </w:p>
        </w:tc>
        <w:tc>
          <w:tcPr>
            <w:tcW w:w="678" w:type="dxa"/>
            <w:vAlign w:val="top"/>
          </w:tcPr>
          <w:p w14:paraId="1091A4F8">
            <w:pPr>
              <w:pStyle w:val="6"/>
              <w:spacing w:before="230" w:line="251" w:lineRule="exact"/>
              <w:ind w:left="216"/>
            </w:pPr>
            <w:r>
              <w:rPr>
                <w:spacing w:val="-1"/>
                <w:position w:val="1"/>
              </w:rPr>
              <w:t>++</w:t>
            </w:r>
          </w:p>
        </w:tc>
        <w:tc>
          <w:tcPr>
            <w:tcW w:w="750" w:type="dxa"/>
            <w:vAlign w:val="top"/>
          </w:tcPr>
          <w:p w14:paraId="6D04CDA5">
            <w:pPr>
              <w:rPr>
                <w:rFonts w:ascii="Arial"/>
                <w:sz w:val="21"/>
              </w:rPr>
            </w:pPr>
          </w:p>
        </w:tc>
        <w:tc>
          <w:tcPr>
            <w:tcW w:w="677" w:type="dxa"/>
            <w:vAlign w:val="top"/>
          </w:tcPr>
          <w:p w14:paraId="4BB62645">
            <w:pPr>
              <w:pStyle w:val="6"/>
              <w:spacing w:before="230" w:line="251" w:lineRule="exact"/>
              <w:ind w:left="280"/>
            </w:pPr>
            <w:r>
              <w:rPr>
                <w:position w:val="1"/>
              </w:rPr>
              <w:t>+</w:t>
            </w:r>
          </w:p>
        </w:tc>
        <w:tc>
          <w:tcPr>
            <w:tcW w:w="749" w:type="dxa"/>
            <w:vAlign w:val="top"/>
          </w:tcPr>
          <w:p w14:paraId="773FE9F2">
            <w:pPr>
              <w:pStyle w:val="6"/>
              <w:spacing w:before="230" w:line="251" w:lineRule="exact"/>
              <w:ind w:left="318"/>
            </w:pPr>
            <w:r>
              <w:rPr>
                <w:position w:val="1"/>
              </w:rPr>
              <w:t>+</w:t>
            </w:r>
          </w:p>
        </w:tc>
        <w:tc>
          <w:tcPr>
            <w:tcW w:w="1148" w:type="dxa"/>
            <w:vAlign w:val="top"/>
          </w:tcPr>
          <w:p w14:paraId="47995469">
            <w:pPr>
              <w:pStyle w:val="6"/>
              <w:spacing w:before="230" w:line="251" w:lineRule="exact"/>
              <w:ind w:left="463"/>
            </w:pPr>
            <w:r>
              <w:rPr>
                <w:spacing w:val="-1"/>
                <w:position w:val="1"/>
              </w:rPr>
              <w:t>++</w:t>
            </w:r>
          </w:p>
        </w:tc>
        <w:tc>
          <w:tcPr>
            <w:tcW w:w="1166" w:type="dxa"/>
            <w:tcBorders>
              <w:right w:val="single" w:color="000000" w:sz="12" w:space="0"/>
            </w:tcBorders>
            <w:vAlign w:val="top"/>
          </w:tcPr>
          <w:p w14:paraId="6C5E1A17">
            <w:pPr>
              <w:pStyle w:val="6"/>
              <w:spacing w:before="230" w:line="251" w:lineRule="exact"/>
              <w:ind w:left="527"/>
            </w:pPr>
            <w:r>
              <w:rPr>
                <w:position w:val="1"/>
              </w:rPr>
              <w:t>+</w:t>
            </w:r>
          </w:p>
        </w:tc>
      </w:tr>
      <w:tr w14:paraId="4E274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82" w:type="dxa"/>
            <w:vMerge w:val="continue"/>
            <w:tcBorders>
              <w:top w:val="nil"/>
              <w:left w:val="single" w:color="000000" w:sz="12" w:space="0"/>
              <w:bottom w:val="nil"/>
            </w:tcBorders>
            <w:textDirection w:val="tbRlV"/>
            <w:vAlign w:val="top"/>
          </w:tcPr>
          <w:p w14:paraId="53061F71">
            <w:pPr>
              <w:rPr>
                <w:rFonts w:ascii="Arial"/>
                <w:sz w:val="21"/>
              </w:rPr>
            </w:pPr>
          </w:p>
        </w:tc>
        <w:tc>
          <w:tcPr>
            <w:tcW w:w="2823" w:type="dxa"/>
            <w:vAlign w:val="top"/>
          </w:tcPr>
          <w:p w14:paraId="6DF3514A">
            <w:pPr>
              <w:pStyle w:val="6"/>
              <w:spacing w:before="78" w:line="212" w:lineRule="auto"/>
              <w:ind w:left="172"/>
            </w:pPr>
            <w:r>
              <w:rPr>
                <w:rFonts w:ascii="宋体" w:hAnsi="宋体" w:eastAsia="宋体" w:cs="宋体"/>
                <w:spacing w:val="-1"/>
              </w:rPr>
              <w:t>短小舟形藻</w:t>
            </w:r>
            <w:r>
              <w:rPr>
                <w:rFonts w:ascii="宋体" w:hAnsi="宋体" w:eastAsia="宋体" w:cs="宋体"/>
                <w:spacing w:val="-42"/>
              </w:rPr>
              <w:t xml:space="preserve"> </w:t>
            </w:r>
            <w:r>
              <w:rPr>
                <w:i/>
                <w:iCs/>
                <w:spacing w:val="-1"/>
              </w:rPr>
              <w:t>Navicula exigua</w:t>
            </w:r>
          </w:p>
        </w:tc>
        <w:tc>
          <w:tcPr>
            <w:tcW w:w="678" w:type="dxa"/>
            <w:vAlign w:val="top"/>
          </w:tcPr>
          <w:p w14:paraId="1B22BFAC">
            <w:pPr>
              <w:pStyle w:val="6"/>
              <w:spacing w:before="112" w:line="210" w:lineRule="auto"/>
              <w:ind w:left="275"/>
            </w:pPr>
            <w:r>
              <w:t>+</w:t>
            </w:r>
          </w:p>
        </w:tc>
        <w:tc>
          <w:tcPr>
            <w:tcW w:w="750" w:type="dxa"/>
            <w:vAlign w:val="top"/>
          </w:tcPr>
          <w:p w14:paraId="00884B76">
            <w:pPr>
              <w:rPr>
                <w:rFonts w:ascii="Arial"/>
                <w:sz w:val="21"/>
              </w:rPr>
            </w:pPr>
          </w:p>
        </w:tc>
        <w:tc>
          <w:tcPr>
            <w:tcW w:w="677" w:type="dxa"/>
            <w:vAlign w:val="top"/>
          </w:tcPr>
          <w:p w14:paraId="2215CC98">
            <w:pPr>
              <w:pStyle w:val="6"/>
              <w:spacing w:before="112" w:line="210" w:lineRule="auto"/>
              <w:ind w:left="280"/>
            </w:pPr>
            <w:r>
              <w:t>+</w:t>
            </w:r>
          </w:p>
        </w:tc>
        <w:tc>
          <w:tcPr>
            <w:tcW w:w="749" w:type="dxa"/>
            <w:vAlign w:val="top"/>
          </w:tcPr>
          <w:p w14:paraId="5CD8C2AA">
            <w:pPr>
              <w:pStyle w:val="6"/>
              <w:spacing w:before="112" w:line="210" w:lineRule="auto"/>
              <w:ind w:left="318"/>
            </w:pPr>
            <w:r>
              <w:t>+</w:t>
            </w:r>
          </w:p>
        </w:tc>
        <w:tc>
          <w:tcPr>
            <w:tcW w:w="1148" w:type="dxa"/>
            <w:vAlign w:val="top"/>
          </w:tcPr>
          <w:p w14:paraId="7F603F6E">
            <w:pPr>
              <w:pStyle w:val="6"/>
              <w:spacing w:before="112" w:line="210" w:lineRule="auto"/>
              <w:ind w:left="522"/>
            </w:pPr>
            <w:r>
              <w:t>+</w:t>
            </w:r>
          </w:p>
        </w:tc>
        <w:tc>
          <w:tcPr>
            <w:tcW w:w="1166" w:type="dxa"/>
            <w:tcBorders>
              <w:right w:val="single" w:color="000000" w:sz="12" w:space="0"/>
            </w:tcBorders>
            <w:vAlign w:val="top"/>
          </w:tcPr>
          <w:p w14:paraId="3FE6A804">
            <w:pPr>
              <w:pStyle w:val="6"/>
              <w:spacing w:before="112" w:line="210" w:lineRule="auto"/>
              <w:ind w:left="527"/>
            </w:pPr>
            <w:r>
              <w:t>+</w:t>
            </w:r>
          </w:p>
        </w:tc>
      </w:tr>
      <w:tr w14:paraId="31B22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51BAA437">
            <w:pPr>
              <w:rPr>
                <w:rFonts w:ascii="Arial"/>
                <w:sz w:val="21"/>
              </w:rPr>
            </w:pPr>
          </w:p>
        </w:tc>
        <w:tc>
          <w:tcPr>
            <w:tcW w:w="2823" w:type="dxa"/>
            <w:vAlign w:val="top"/>
          </w:tcPr>
          <w:p w14:paraId="7D502A86">
            <w:pPr>
              <w:pStyle w:val="6"/>
              <w:spacing w:before="78" w:line="226" w:lineRule="auto"/>
              <w:ind w:left="725" w:right="484" w:hanging="240"/>
            </w:pPr>
            <w:r>
              <w:rPr>
                <w:rFonts w:ascii="宋体" w:hAnsi="宋体" w:eastAsia="宋体" w:cs="宋体"/>
                <w:spacing w:val="-1"/>
              </w:rPr>
              <w:t>喙头舟形藻</w:t>
            </w:r>
            <w:r>
              <w:rPr>
                <w:rFonts w:ascii="宋体" w:hAnsi="宋体" w:eastAsia="宋体" w:cs="宋体"/>
                <w:spacing w:val="-58"/>
              </w:rPr>
              <w:t xml:space="preserve"> </w:t>
            </w:r>
            <w:r>
              <w:rPr>
                <w:i/>
                <w:iCs/>
                <w:spacing w:val="-1"/>
              </w:rPr>
              <w:t>Navicula</w:t>
            </w:r>
            <w:r>
              <w:rPr>
                <w:i/>
                <w:iCs/>
              </w:rPr>
              <w:t xml:space="preserve"> </w:t>
            </w:r>
            <w:r>
              <w:rPr>
                <w:i/>
                <w:iCs/>
                <w:spacing w:val="-1"/>
              </w:rPr>
              <w:t>rhynchocephala</w:t>
            </w:r>
          </w:p>
        </w:tc>
        <w:tc>
          <w:tcPr>
            <w:tcW w:w="678" w:type="dxa"/>
            <w:vAlign w:val="top"/>
          </w:tcPr>
          <w:p w14:paraId="0CFB10BD">
            <w:pPr>
              <w:rPr>
                <w:rFonts w:ascii="Arial"/>
                <w:sz w:val="21"/>
              </w:rPr>
            </w:pPr>
          </w:p>
        </w:tc>
        <w:tc>
          <w:tcPr>
            <w:tcW w:w="750" w:type="dxa"/>
            <w:vAlign w:val="top"/>
          </w:tcPr>
          <w:p w14:paraId="14202FDC">
            <w:pPr>
              <w:pStyle w:val="6"/>
              <w:spacing w:before="232" w:line="251" w:lineRule="exact"/>
              <w:ind w:left="255"/>
            </w:pPr>
            <w:r>
              <w:rPr>
                <w:spacing w:val="-1"/>
                <w:position w:val="1"/>
              </w:rPr>
              <w:t>++</w:t>
            </w:r>
          </w:p>
        </w:tc>
        <w:tc>
          <w:tcPr>
            <w:tcW w:w="677" w:type="dxa"/>
            <w:vAlign w:val="top"/>
          </w:tcPr>
          <w:p w14:paraId="7C0B4BE1">
            <w:pPr>
              <w:pStyle w:val="6"/>
              <w:spacing w:before="232" w:line="251" w:lineRule="exact"/>
              <w:ind w:left="280"/>
            </w:pPr>
            <w:r>
              <w:rPr>
                <w:position w:val="1"/>
              </w:rPr>
              <w:t>+</w:t>
            </w:r>
          </w:p>
        </w:tc>
        <w:tc>
          <w:tcPr>
            <w:tcW w:w="749" w:type="dxa"/>
            <w:vAlign w:val="top"/>
          </w:tcPr>
          <w:p w14:paraId="7E0DE9CA">
            <w:pPr>
              <w:pStyle w:val="6"/>
              <w:spacing w:before="232" w:line="251" w:lineRule="exact"/>
              <w:ind w:left="318"/>
            </w:pPr>
            <w:r>
              <w:rPr>
                <w:position w:val="1"/>
              </w:rPr>
              <w:t>+</w:t>
            </w:r>
          </w:p>
        </w:tc>
        <w:tc>
          <w:tcPr>
            <w:tcW w:w="1148" w:type="dxa"/>
            <w:vAlign w:val="top"/>
          </w:tcPr>
          <w:p w14:paraId="4EEE70EC">
            <w:pPr>
              <w:pStyle w:val="6"/>
              <w:spacing w:before="232" w:line="251" w:lineRule="exact"/>
              <w:ind w:left="463"/>
            </w:pPr>
            <w:r>
              <w:rPr>
                <w:spacing w:val="-1"/>
                <w:position w:val="1"/>
              </w:rPr>
              <w:t>++</w:t>
            </w:r>
          </w:p>
        </w:tc>
        <w:tc>
          <w:tcPr>
            <w:tcW w:w="1166" w:type="dxa"/>
            <w:tcBorders>
              <w:right w:val="single" w:color="000000" w:sz="12" w:space="0"/>
            </w:tcBorders>
            <w:vAlign w:val="top"/>
          </w:tcPr>
          <w:p w14:paraId="4586E95D">
            <w:pPr>
              <w:pStyle w:val="6"/>
              <w:spacing w:before="232" w:line="251" w:lineRule="exact"/>
              <w:ind w:left="527"/>
            </w:pPr>
            <w:r>
              <w:rPr>
                <w:position w:val="1"/>
              </w:rPr>
              <w:t>+</w:t>
            </w:r>
          </w:p>
        </w:tc>
      </w:tr>
      <w:tr w14:paraId="086C7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82" w:type="dxa"/>
            <w:vMerge w:val="continue"/>
            <w:tcBorders>
              <w:top w:val="nil"/>
              <w:left w:val="single" w:color="000000" w:sz="12" w:space="0"/>
            </w:tcBorders>
            <w:textDirection w:val="tbRlV"/>
            <w:vAlign w:val="top"/>
          </w:tcPr>
          <w:p w14:paraId="68DBBC9E">
            <w:pPr>
              <w:rPr>
                <w:rFonts w:ascii="Arial"/>
                <w:sz w:val="21"/>
              </w:rPr>
            </w:pPr>
          </w:p>
        </w:tc>
        <w:tc>
          <w:tcPr>
            <w:tcW w:w="2823" w:type="dxa"/>
            <w:vAlign w:val="top"/>
          </w:tcPr>
          <w:p w14:paraId="20783094">
            <w:pPr>
              <w:pStyle w:val="6"/>
              <w:spacing w:before="142" w:line="213" w:lineRule="auto"/>
              <w:ind w:left="46"/>
            </w:pPr>
            <w:r>
              <w:rPr>
                <w:rFonts w:ascii="宋体" w:hAnsi="宋体" w:eastAsia="宋体" w:cs="宋体"/>
              </w:rPr>
              <w:t>尖头舟形藻</w:t>
            </w:r>
            <w:r>
              <w:rPr>
                <w:rFonts w:ascii="宋体" w:hAnsi="宋体" w:eastAsia="宋体" w:cs="宋体"/>
                <w:spacing w:val="-58"/>
              </w:rPr>
              <w:t xml:space="preserve"> </w:t>
            </w:r>
            <w:r>
              <w:rPr>
                <w:i/>
                <w:iCs/>
              </w:rPr>
              <w:t>Navicula cuspidate</w:t>
            </w:r>
          </w:p>
        </w:tc>
        <w:tc>
          <w:tcPr>
            <w:tcW w:w="678" w:type="dxa"/>
            <w:vAlign w:val="top"/>
          </w:tcPr>
          <w:p w14:paraId="25537A7C">
            <w:pPr>
              <w:pStyle w:val="6"/>
              <w:spacing w:before="176" w:line="251" w:lineRule="exact"/>
              <w:ind w:left="275"/>
            </w:pPr>
            <w:r>
              <w:rPr>
                <w:position w:val="1"/>
              </w:rPr>
              <w:t>+</w:t>
            </w:r>
          </w:p>
        </w:tc>
        <w:tc>
          <w:tcPr>
            <w:tcW w:w="750" w:type="dxa"/>
            <w:vAlign w:val="top"/>
          </w:tcPr>
          <w:p w14:paraId="790DF60F">
            <w:pPr>
              <w:pStyle w:val="6"/>
              <w:spacing w:before="176" w:line="251" w:lineRule="exact"/>
              <w:ind w:left="313"/>
            </w:pPr>
            <w:r>
              <w:rPr>
                <w:position w:val="1"/>
              </w:rPr>
              <w:t>+</w:t>
            </w:r>
          </w:p>
        </w:tc>
        <w:tc>
          <w:tcPr>
            <w:tcW w:w="677" w:type="dxa"/>
            <w:vAlign w:val="top"/>
          </w:tcPr>
          <w:p w14:paraId="4FE66193">
            <w:pPr>
              <w:pStyle w:val="6"/>
              <w:spacing w:before="176" w:line="251" w:lineRule="exact"/>
              <w:ind w:left="221"/>
            </w:pPr>
            <w:r>
              <w:rPr>
                <w:spacing w:val="-1"/>
                <w:position w:val="1"/>
              </w:rPr>
              <w:t>++</w:t>
            </w:r>
          </w:p>
        </w:tc>
        <w:tc>
          <w:tcPr>
            <w:tcW w:w="749" w:type="dxa"/>
            <w:vAlign w:val="top"/>
          </w:tcPr>
          <w:p w14:paraId="23653D4C">
            <w:pPr>
              <w:pStyle w:val="6"/>
              <w:spacing w:before="176" w:line="251" w:lineRule="exact"/>
              <w:ind w:left="318"/>
            </w:pPr>
            <w:r>
              <w:rPr>
                <w:position w:val="1"/>
              </w:rPr>
              <w:t>+</w:t>
            </w:r>
          </w:p>
        </w:tc>
        <w:tc>
          <w:tcPr>
            <w:tcW w:w="1148" w:type="dxa"/>
            <w:vAlign w:val="top"/>
          </w:tcPr>
          <w:p w14:paraId="1F5A1219">
            <w:pPr>
              <w:rPr>
                <w:rFonts w:ascii="Arial"/>
                <w:sz w:val="21"/>
              </w:rPr>
            </w:pPr>
          </w:p>
        </w:tc>
        <w:tc>
          <w:tcPr>
            <w:tcW w:w="1166" w:type="dxa"/>
            <w:tcBorders>
              <w:right w:val="single" w:color="000000" w:sz="12" w:space="0"/>
            </w:tcBorders>
            <w:vAlign w:val="top"/>
          </w:tcPr>
          <w:p w14:paraId="0EBA6514">
            <w:pPr>
              <w:pStyle w:val="6"/>
              <w:spacing w:before="176" w:line="251" w:lineRule="exact"/>
              <w:ind w:left="527"/>
            </w:pPr>
            <w:r>
              <w:rPr>
                <w:position w:val="1"/>
              </w:rPr>
              <w:t>+</w:t>
            </w:r>
          </w:p>
        </w:tc>
      </w:tr>
      <w:tr w14:paraId="0F1C4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restart"/>
            <w:tcBorders>
              <w:left w:val="single" w:color="000000" w:sz="12" w:space="0"/>
              <w:bottom w:val="nil"/>
            </w:tcBorders>
            <w:textDirection w:val="tbRlV"/>
            <w:vAlign w:val="top"/>
          </w:tcPr>
          <w:p w14:paraId="38CFA50B">
            <w:pPr>
              <w:spacing w:before="137" w:line="209" w:lineRule="auto"/>
              <w:ind w:left="736"/>
              <w:rPr>
                <w:rFonts w:ascii="宋体" w:hAnsi="宋体" w:eastAsia="宋体" w:cs="宋体"/>
                <w:sz w:val="21"/>
                <w:szCs w:val="21"/>
              </w:rPr>
            </w:pPr>
            <w:r>
              <w:rPr>
                <w:rFonts w:ascii="宋体" w:hAnsi="宋体" w:eastAsia="宋体" w:cs="宋体"/>
                <w:spacing w:val="41"/>
                <w:sz w:val="21"/>
                <w:szCs w:val="21"/>
              </w:rPr>
              <w:t>桥弯藻</w:t>
            </w:r>
          </w:p>
        </w:tc>
        <w:tc>
          <w:tcPr>
            <w:tcW w:w="2823" w:type="dxa"/>
            <w:vAlign w:val="top"/>
          </w:tcPr>
          <w:p w14:paraId="28A4A359">
            <w:pPr>
              <w:pStyle w:val="6"/>
              <w:spacing w:before="80" w:line="212" w:lineRule="auto"/>
              <w:ind w:left="162"/>
            </w:pPr>
            <w:r>
              <w:rPr>
                <w:rFonts w:ascii="宋体" w:hAnsi="宋体" w:eastAsia="宋体" w:cs="宋体"/>
                <w:spacing w:val="-1"/>
              </w:rPr>
              <w:t>近缘桥弯藻</w:t>
            </w:r>
            <w:r>
              <w:rPr>
                <w:rFonts w:ascii="宋体" w:hAnsi="宋体" w:eastAsia="宋体" w:cs="宋体"/>
                <w:spacing w:val="-39"/>
              </w:rPr>
              <w:t xml:space="preserve"> </w:t>
            </w:r>
            <w:r>
              <w:rPr>
                <w:i/>
                <w:iCs/>
                <w:spacing w:val="-1"/>
              </w:rPr>
              <w:t>Cymbella affinis</w:t>
            </w:r>
          </w:p>
        </w:tc>
        <w:tc>
          <w:tcPr>
            <w:tcW w:w="678" w:type="dxa"/>
            <w:vAlign w:val="top"/>
          </w:tcPr>
          <w:p w14:paraId="33565C0C">
            <w:pPr>
              <w:pStyle w:val="6"/>
              <w:spacing w:before="114" w:line="206" w:lineRule="auto"/>
              <w:ind w:left="216"/>
            </w:pPr>
            <w:r>
              <w:rPr>
                <w:spacing w:val="-1"/>
              </w:rPr>
              <w:t>++</w:t>
            </w:r>
          </w:p>
        </w:tc>
        <w:tc>
          <w:tcPr>
            <w:tcW w:w="750" w:type="dxa"/>
            <w:vAlign w:val="top"/>
          </w:tcPr>
          <w:p w14:paraId="3CE15B3E">
            <w:pPr>
              <w:pStyle w:val="6"/>
              <w:spacing w:before="114" w:line="206" w:lineRule="auto"/>
              <w:ind w:left="196"/>
            </w:pPr>
            <w:r>
              <w:rPr>
                <w:spacing w:val="-1"/>
              </w:rPr>
              <w:t>+++</w:t>
            </w:r>
          </w:p>
        </w:tc>
        <w:tc>
          <w:tcPr>
            <w:tcW w:w="677" w:type="dxa"/>
            <w:vAlign w:val="top"/>
          </w:tcPr>
          <w:p w14:paraId="0641D7D6">
            <w:pPr>
              <w:pStyle w:val="6"/>
              <w:spacing w:before="114" w:line="206" w:lineRule="auto"/>
              <w:ind w:left="221"/>
            </w:pPr>
            <w:r>
              <w:rPr>
                <w:spacing w:val="-1"/>
              </w:rPr>
              <w:t>++</w:t>
            </w:r>
          </w:p>
        </w:tc>
        <w:tc>
          <w:tcPr>
            <w:tcW w:w="749" w:type="dxa"/>
            <w:vAlign w:val="top"/>
          </w:tcPr>
          <w:p w14:paraId="0DA1ACAE">
            <w:pPr>
              <w:pStyle w:val="6"/>
              <w:spacing w:before="114" w:line="206" w:lineRule="auto"/>
              <w:ind w:left="259"/>
            </w:pPr>
            <w:r>
              <w:rPr>
                <w:spacing w:val="-1"/>
              </w:rPr>
              <w:t>++</w:t>
            </w:r>
          </w:p>
        </w:tc>
        <w:tc>
          <w:tcPr>
            <w:tcW w:w="1148" w:type="dxa"/>
            <w:vAlign w:val="top"/>
          </w:tcPr>
          <w:p w14:paraId="28592304">
            <w:pPr>
              <w:rPr>
                <w:rFonts w:ascii="Arial"/>
                <w:sz w:val="21"/>
              </w:rPr>
            </w:pPr>
          </w:p>
        </w:tc>
        <w:tc>
          <w:tcPr>
            <w:tcW w:w="1166" w:type="dxa"/>
            <w:tcBorders>
              <w:right w:val="single" w:color="000000" w:sz="12" w:space="0"/>
            </w:tcBorders>
            <w:vAlign w:val="top"/>
          </w:tcPr>
          <w:p w14:paraId="252DFB49">
            <w:pPr>
              <w:rPr>
                <w:rFonts w:ascii="Arial"/>
                <w:sz w:val="21"/>
              </w:rPr>
            </w:pPr>
          </w:p>
        </w:tc>
      </w:tr>
      <w:tr w14:paraId="26670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0498359A">
            <w:pPr>
              <w:rPr>
                <w:rFonts w:ascii="Arial"/>
                <w:sz w:val="21"/>
              </w:rPr>
            </w:pPr>
          </w:p>
        </w:tc>
        <w:tc>
          <w:tcPr>
            <w:tcW w:w="2823" w:type="dxa"/>
            <w:vAlign w:val="top"/>
          </w:tcPr>
          <w:p w14:paraId="58D177A3">
            <w:pPr>
              <w:pStyle w:val="6"/>
              <w:spacing w:before="82" w:line="224" w:lineRule="auto"/>
              <w:ind w:left="891" w:right="461" w:hanging="439"/>
            </w:pPr>
            <w:r>
              <w:rPr>
                <w:rFonts w:ascii="宋体" w:hAnsi="宋体" w:eastAsia="宋体" w:cs="宋体"/>
                <w:spacing w:val="-2"/>
              </w:rPr>
              <w:t>埃伦桥弯藻</w:t>
            </w:r>
            <w:r>
              <w:rPr>
                <w:rFonts w:ascii="宋体" w:hAnsi="宋体" w:eastAsia="宋体" w:cs="宋体"/>
                <w:spacing w:val="-36"/>
              </w:rPr>
              <w:t xml:space="preserve"> </w:t>
            </w:r>
            <w:r>
              <w:rPr>
                <w:i/>
                <w:iCs/>
                <w:spacing w:val="-2"/>
              </w:rPr>
              <w:t>Cymbella</w:t>
            </w:r>
            <w:r>
              <w:rPr>
                <w:i/>
                <w:iCs/>
              </w:rPr>
              <w:t xml:space="preserve"> </w:t>
            </w:r>
            <w:r>
              <w:rPr>
                <w:i/>
                <w:iCs/>
                <w:spacing w:val="4"/>
              </w:rPr>
              <w:t>ehrenbergiü</w:t>
            </w:r>
          </w:p>
        </w:tc>
        <w:tc>
          <w:tcPr>
            <w:tcW w:w="678" w:type="dxa"/>
            <w:vAlign w:val="top"/>
          </w:tcPr>
          <w:p w14:paraId="36EC686F">
            <w:pPr>
              <w:pStyle w:val="6"/>
              <w:spacing w:before="236" w:line="251" w:lineRule="exact"/>
              <w:ind w:left="275"/>
            </w:pPr>
            <w:r>
              <w:rPr>
                <w:position w:val="1"/>
              </w:rPr>
              <w:t>+</w:t>
            </w:r>
          </w:p>
        </w:tc>
        <w:tc>
          <w:tcPr>
            <w:tcW w:w="750" w:type="dxa"/>
            <w:vAlign w:val="top"/>
          </w:tcPr>
          <w:p w14:paraId="6381BBF8">
            <w:pPr>
              <w:pStyle w:val="6"/>
              <w:spacing w:before="236" w:line="251" w:lineRule="exact"/>
              <w:ind w:left="313"/>
            </w:pPr>
            <w:r>
              <w:rPr>
                <w:position w:val="1"/>
              </w:rPr>
              <w:t>+</w:t>
            </w:r>
          </w:p>
        </w:tc>
        <w:tc>
          <w:tcPr>
            <w:tcW w:w="677" w:type="dxa"/>
            <w:vAlign w:val="top"/>
          </w:tcPr>
          <w:p w14:paraId="0E8AB14F">
            <w:pPr>
              <w:pStyle w:val="6"/>
              <w:spacing w:before="236" w:line="251" w:lineRule="exact"/>
              <w:ind w:left="280"/>
            </w:pPr>
            <w:r>
              <w:rPr>
                <w:position w:val="1"/>
              </w:rPr>
              <w:t>+</w:t>
            </w:r>
          </w:p>
        </w:tc>
        <w:tc>
          <w:tcPr>
            <w:tcW w:w="749" w:type="dxa"/>
            <w:vAlign w:val="top"/>
          </w:tcPr>
          <w:p w14:paraId="644DF4EB">
            <w:pPr>
              <w:pStyle w:val="6"/>
              <w:spacing w:before="236" w:line="251" w:lineRule="exact"/>
              <w:ind w:left="318"/>
            </w:pPr>
            <w:r>
              <w:rPr>
                <w:position w:val="1"/>
              </w:rPr>
              <w:t>+</w:t>
            </w:r>
          </w:p>
        </w:tc>
        <w:tc>
          <w:tcPr>
            <w:tcW w:w="1148" w:type="dxa"/>
            <w:vAlign w:val="top"/>
          </w:tcPr>
          <w:p w14:paraId="7A648851">
            <w:pPr>
              <w:pStyle w:val="6"/>
              <w:spacing w:before="236" w:line="251" w:lineRule="exact"/>
              <w:ind w:left="522"/>
            </w:pPr>
            <w:r>
              <w:rPr>
                <w:position w:val="1"/>
              </w:rPr>
              <w:t>+</w:t>
            </w:r>
          </w:p>
        </w:tc>
        <w:tc>
          <w:tcPr>
            <w:tcW w:w="1166" w:type="dxa"/>
            <w:tcBorders>
              <w:right w:val="single" w:color="000000" w:sz="12" w:space="0"/>
            </w:tcBorders>
            <w:vAlign w:val="top"/>
          </w:tcPr>
          <w:p w14:paraId="385695B6">
            <w:pPr>
              <w:pStyle w:val="6"/>
              <w:spacing w:before="236" w:line="251" w:lineRule="exact"/>
              <w:ind w:left="527"/>
            </w:pPr>
            <w:r>
              <w:rPr>
                <w:position w:val="1"/>
              </w:rPr>
              <w:t>+</w:t>
            </w:r>
          </w:p>
        </w:tc>
      </w:tr>
      <w:tr w14:paraId="60395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482" w:type="dxa"/>
            <w:vMerge w:val="continue"/>
            <w:tcBorders>
              <w:top w:val="nil"/>
              <w:left w:val="single" w:color="000000" w:sz="12" w:space="0"/>
              <w:bottom w:val="nil"/>
            </w:tcBorders>
            <w:textDirection w:val="tbRlV"/>
            <w:vAlign w:val="top"/>
          </w:tcPr>
          <w:p w14:paraId="02A369CF">
            <w:pPr>
              <w:rPr>
                <w:rFonts w:ascii="Arial"/>
                <w:sz w:val="21"/>
              </w:rPr>
            </w:pPr>
          </w:p>
        </w:tc>
        <w:tc>
          <w:tcPr>
            <w:tcW w:w="2823" w:type="dxa"/>
            <w:vAlign w:val="top"/>
          </w:tcPr>
          <w:p w14:paraId="3B3F746D">
            <w:pPr>
              <w:pStyle w:val="6"/>
              <w:spacing w:before="84" w:line="224" w:lineRule="auto"/>
              <w:ind w:left="962" w:right="461" w:hanging="511"/>
            </w:pPr>
            <w:r>
              <w:rPr>
                <w:rFonts w:ascii="宋体" w:hAnsi="宋体" w:eastAsia="宋体" w:cs="宋体"/>
                <w:spacing w:val="-2"/>
              </w:rPr>
              <w:t>披针桥弯藻</w:t>
            </w:r>
            <w:r>
              <w:rPr>
                <w:rFonts w:ascii="宋体" w:hAnsi="宋体" w:eastAsia="宋体" w:cs="宋体"/>
                <w:spacing w:val="-35"/>
              </w:rPr>
              <w:t xml:space="preserve"> </w:t>
            </w:r>
            <w:r>
              <w:rPr>
                <w:i/>
                <w:iCs/>
                <w:spacing w:val="-2"/>
              </w:rPr>
              <w:t>Cymbella</w:t>
            </w:r>
            <w:r>
              <w:rPr>
                <w:i/>
                <w:iCs/>
              </w:rPr>
              <w:t xml:space="preserve"> </w:t>
            </w:r>
            <w:r>
              <w:rPr>
                <w:i/>
                <w:iCs/>
                <w:spacing w:val="-1"/>
              </w:rPr>
              <w:t>lanceolata</w:t>
            </w:r>
          </w:p>
        </w:tc>
        <w:tc>
          <w:tcPr>
            <w:tcW w:w="678" w:type="dxa"/>
            <w:vAlign w:val="top"/>
          </w:tcPr>
          <w:p w14:paraId="1267701A">
            <w:pPr>
              <w:pStyle w:val="6"/>
              <w:spacing w:before="239" w:line="251" w:lineRule="exact"/>
              <w:ind w:left="275"/>
            </w:pPr>
            <w:r>
              <w:rPr>
                <w:position w:val="1"/>
              </w:rPr>
              <w:t>+</w:t>
            </w:r>
          </w:p>
        </w:tc>
        <w:tc>
          <w:tcPr>
            <w:tcW w:w="750" w:type="dxa"/>
            <w:vAlign w:val="top"/>
          </w:tcPr>
          <w:p w14:paraId="5E9CF9A9">
            <w:pPr>
              <w:rPr>
                <w:rFonts w:ascii="Arial"/>
                <w:sz w:val="21"/>
              </w:rPr>
            </w:pPr>
          </w:p>
        </w:tc>
        <w:tc>
          <w:tcPr>
            <w:tcW w:w="677" w:type="dxa"/>
            <w:vAlign w:val="top"/>
          </w:tcPr>
          <w:p w14:paraId="49F82F54">
            <w:pPr>
              <w:pStyle w:val="6"/>
              <w:spacing w:before="239" w:line="251" w:lineRule="exact"/>
              <w:ind w:left="280"/>
            </w:pPr>
            <w:r>
              <w:rPr>
                <w:position w:val="1"/>
              </w:rPr>
              <w:t>+</w:t>
            </w:r>
          </w:p>
        </w:tc>
        <w:tc>
          <w:tcPr>
            <w:tcW w:w="749" w:type="dxa"/>
            <w:vAlign w:val="top"/>
          </w:tcPr>
          <w:p w14:paraId="5DB2FEB2">
            <w:pPr>
              <w:pStyle w:val="6"/>
              <w:spacing w:before="239" w:line="251" w:lineRule="exact"/>
              <w:ind w:left="318"/>
            </w:pPr>
            <w:r>
              <w:rPr>
                <w:position w:val="1"/>
              </w:rPr>
              <w:t>+</w:t>
            </w:r>
          </w:p>
        </w:tc>
        <w:tc>
          <w:tcPr>
            <w:tcW w:w="1148" w:type="dxa"/>
            <w:vAlign w:val="top"/>
          </w:tcPr>
          <w:p w14:paraId="2C5FD163">
            <w:pPr>
              <w:pStyle w:val="6"/>
              <w:spacing w:before="239" w:line="251" w:lineRule="exact"/>
              <w:ind w:left="522"/>
            </w:pPr>
            <w:r>
              <w:rPr>
                <w:position w:val="1"/>
              </w:rPr>
              <w:t>+</w:t>
            </w:r>
          </w:p>
        </w:tc>
        <w:tc>
          <w:tcPr>
            <w:tcW w:w="1166" w:type="dxa"/>
            <w:tcBorders>
              <w:right w:val="single" w:color="000000" w:sz="12" w:space="0"/>
            </w:tcBorders>
            <w:vAlign w:val="top"/>
          </w:tcPr>
          <w:p w14:paraId="588D59C4">
            <w:pPr>
              <w:pStyle w:val="6"/>
              <w:spacing w:before="239" w:line="251" w:lineRule="exact"/>
              <w:ind w:left="527"/>
            </w:pPr>
            <w:r>
              <w:rPr>
                <w:position w:val="1"/>
              </w:rPr>
              <w:t>+</w:t>
            </w:r>
          </w:p>
        </w:tc>
      </w:tr>
      <w:tr w14:paraId="3A14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bottom w:val="nil"/>
            </w:tcBorders>
            <w:textDirection w:val="tbRlV"/>
            <w:vAlign w:val="top"/>
          </w:tcPr>
          <w:p w14:paraId="6AEA8CA4">
            <w:pPr>
              <w:rPr>
                <w:rFonts w:ascii="Arial"/>
                <w:sz w:val="21"/>
              </w:rPr>
            </w:pPr>
          </w:p>
        </w:tc>
        <w:tc>
          <w:tcPr>
            <w:tcW w:w="2823" w:type="dxa"/>
            <w:vAlign w:val="top"/>
          </w:tcPr>
          <w:p w14:paraId="047CBC40">
            <w:pPr>
              <w:pStyle w:val="6"/>
              <w:spacing w:before="85" w:line="208" w:lineRule="auto"/>
              <w:ind w:left="147"/>
            </w:pPr>
            <w:r>
              <w:rPr>
                <w:rFonts w:ascii="宋体" w:hAnsi="宋体" w:eastAsia="宋体" w:cs="宋体"/>
                <w:spacing w:val="-1"/>
              </w:rPr>
              <w:t>箱形桥弯藻</w:t>
            </w:r>
            <w:r>
              <w:rPr>
                <w:rFonts w:ascii="宋体" w:hAnsi="宋体" w:eastAsia="宋体" w:cs="宋体"/>
                <w:spacing w:val="-38"/>
              </w:rPr>
              <w:t xml:space="preserve"> </w:t>
            </w:r>
            <w:r>
              <w:rPr>
                <w:i/>
                <w:iCs/>
                <w:spacing w:val="-1"/>
              </w:rPr>
              <w:t>Cymbella cistu</w:t>
            </w:r>
            <w:r>
              <w:rPr>
                <w:i/>
                <w:iCs/>
                <w:spacing w:val="-2"/>
              </w:rPr>
              <w:t>la</w:t>
            </w:r>
          </w:p>
        </w:tc>
        <w:tc>
          <w:tcPr>
            <w:tcW w:w="678" w:type="dxa"/>
            <w:vAlign w:val="top"/>
          </w:tcPr>
          <w:p w14:paraId="7D7D2C16">
            <w:pPr>
              <w:pStyle w:val="6"/>
              <w:spacing w:before="117" w:line="203" w:lineRule="auto"/>
              <w:ind w:left="275"/>
            </w:pPr>
            <w:r>
              <w:t>+</w:t>
            </w:r>
          </w:p>
        </w:tc>
        <w:tc>
          <w:tcPr>
            <w:tcW w:w="750" w:type="dxa"/>
            <w:vAlign w:val="top"/>
          </w:tcPr>
          <w:p w14:paraId="5C1D8D7C">
            <w:pPr>
              <w:pStyle w:val="6"/>
              <w:spacing w:before="117" w:line="203" w:lineRule="auto"/>
              <w:ind w:left="255"/>
            </w:pPr>
            <w:r>
              <w:rPr>
                <w:spacing w:val="-1"/>
              </w:rPr>
              <w:t>++</w:t>
            </w:r>
          </w:p>
        </w:tc>
        <w:tc>
          <w:tcPr>
            <w:tcW w:w="677" w:type="dxa"/>
            <w:vAlign w:val="top"/>
          </w:tcPr>
          <w:p w14:paraId="7BF86D09">
            <w:pPr>
              <w:pStyle w:val="6"/>
              <w:spacing w:before="117" w:line="203" w:lineRule="auto"/>
              <w:ind w:left="280"/>
            </w:pPr>
            <w:r>
              <w:t>+</w:t>
            </w:r>
          </w:p>
        </w:tc>
        <w:tc>
          <w:tcPr>
            <w:tcW w:w="749" w:type="dxa"/>
            <w:vAlign w:val="top"/>
          </w:tcPr>
          <w:p w14:paraId="0BFBCCB9">
            <w:pPr>
              <w:pStyle w:val="6"/>
              <w:spacing w:before="117" w:line="203" w:lineRule="auto"/>
              <w:ind w:left="259"/>
            </w:pPr>
            <w:r>
              <w:rPr>
                <w:spacing w:val="-1"/>
              </w:rPr>
              <w:t>++</w:t>
            </w:r>
          </w:p>
        </w:tc>
        <w:tc>
          <w:tcPr>
            <w:tcW w:w="1148" w:type="dxa"/>
            <w:vAlign w:val="top"/>
          </w:tcPr>
          <w:p w14:paraId="176876C1">
            <w:pPr>
              <w:rPr>
                <w:rFonts w:ascii="Arial"/>
                <w:sz w:val="21"/>
              </w:rPr>
            </w:pPr>
          </w:p>
        </w:tc>
        <w:tc>
          <w:tcPr>
            <w:tcW w:w="1166" w:type="dxa"/>
            <w:tcBorders>
              <w:right w:val="single" w:color="000000" w:sz="12" w:space="0"/>
            </w:tcBorders>
            <w:vAlign w:val="top"/>
          </w:tcPr>
          <w:p w14:paraId="21A5E1F4">
            <w:pPr>
              <w:pStyle w:val="6"/>
              <w:spacing w:before="117" w:line="203" w:lineRule="auto"/>
              <w:ind w:left="527"/>
            </w:pPr>
            <w:r>
              <w:t>+</w:t>
            </w:r>
          </w:p>
        </w:tc>
      </w:tr>
      <w:tr w14:paraId="3E3D1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82" w:type="dxa"/>
            <w:vMerge w:val="continue"/>
            <w:tcBorders>
              <w:top w:val="nil"/>
              <w:left w:val="single" w:color="000000" w:sz="12" w:space="0"/>
              <w:bottom w:val="single" w:color="000000" w:sz="12" w:space="0"/>
            </w:tcBorders>
            <w:textDirection w:val="tbRlV"/>
            <w:vAlign w:val="top"/>
          </w:tcPr>
          <w:p w14:paraId="4845ED7F">
            <w:pPr>
              <w:rPr>
                <w:rFonts w:ascii="Arial"/>
                <w:sz w:val="21"/>
              </w:rPr>
            </w:pPr>
          </w:p>
        </w:tc>
        <w:tc>
          <w:tcPr>
            <w:tcW w:w="2823" w:type="dxa"/>
            <w:tcBorders>
              <w:bottom w:val="single" w:color="000000" w:sz="12" w:space="0"/>
            </w:tcBorders>
            <w:vAlign w:val="top"/>
          </w:tcPr>
          <w:p w14:paraId="4E05D0B3">
            <w:pPr>
              <w:pStyle w:val="6"/>
              <w:spacing w:before="86" w:line="212" w:lineRule="auto"/>
              <w:ind w:left="133"/>
            </w:pPr>
            <w:r>
              <w:rPr>
                <w:rFonts w:ascii="宋体" w:hAnsi="宋体" w:eastAsia="宋体" w:cs="宋体"/>
                <w:spacing w:val="-1"/>
              </w:rPr>
              <w:t>膨胀桥弯藻</w:t>
            </w:r>
            <w:r>
              <w:rPr>
                <w:rFonts w:ascii="宋体" w:hAnsi="宋体" w:eastAsia="宋体" w:cs="宋体"/>
                <w:spacing w:val="-34"/>
              </w:rPr>
              <w:t xml:space="preserve"> </w:t>
            </w:r>
            <w:r>
              <w:rPr>
                <w:i/>
                <w:iCs/>
                <w:spacing w:val="-1"/>
              </w:rPr>
              <w:t>Cymbella tumida</w:t>
            </w:r>
          </w:p>
        </w:tc>
        <w:tc>
          <w:tcPr>
            <w:tcW w:w="678" w:type="dxa"/>
            <w:tcBorders>
              <w:bottom w:val="single" w:color="000000" w:sz="12" w:space="0"/>
            </w:tcBorders>
            <w:vAlign w:val="top"/>
          </w:tcPr>
          <w:p w14:paraId="08C042A8">
            <w:pPr>
              <w:pStyle w:val="6"/>
              <w:spacing w:before="119" w:line="224" w:lineRule="auto"/>
              <w:ind w:left="157"/>
            </w:pPr>
            <w:r>
              <w:rPr>
                <w:spacing w:val="-1"/>
              </w:rPr>
              <w:t>+++</w:t>
            </w:r>
          </w:p>
        </w:tc>
        <w:tc>
          <w:tcPr>
            <w:tcW w:w="750" w:type="dxa"/>
            <w:tcBorders>
              <w:bottom w:val="single" w:color="000000" w:sz="12" w:space="0"/>
            </w:tcBorders>
            <w:vAlign w:val="top"/>
          </w:tcPr>
          <w:p w14:paraId="21D75866">
            <w:pPr>
              <w:pStyle w:val="6"/>
              <w:spacing w:before="119" w:line="224" w:lineRule="auto"/>
              <w:ind w:left="313"/>
            </w:pPr>
            <w:r>
              <w:t>+</w:t>
            </w:r>
          </w:p>
        </w:tc>
        <w:tc>
          <w:tcPr>
            <w:tcW w:w="677" w:type="dxa"/>
            <w:tcBorders>
              <w:bottom w:val="single" w:color="000000" w:sz="12" w:space="0"/>
            </w:tcBorders>
            <w:vAlign w:val="top"/>
          </w:tcPr>
          <w:p w14:paraId="2E1BC3C9">
            <w:pPr>
              <w:rPr>
                <w:rFonts w:ascii="Arial"/>
                <w:sz w:val="21"/>
              </w:rPr>
            </w:pPr>
          </w:p>
        </w:tc>
        <w:tc>
          <w:tcPr>
            <w:tcW w:w="749" w:type="dxa"/>
            <w:tcBorders>
              <w:bottom w:val="single" w:color="000000" w:sz="12" w:space="0"/>
            </w:tcBorders>
            <w:vAlign w:val="top"/>
          </w:tcPr>
          <w:p w14:paraId="00D48FDE">
            <w:pPr>
              <w:pStyle w:val="6"/>
              <w:spacing w:before="119" w:line="224" w:lineRule="auto"/>
              <w:ind w:left="318"/>
            </w:pPr>
            <w:r>
              <w:t>+</w:t>
            </w:r>
          </w:p>
        </w:tc>
        <w:tc>
          <w:tcPr>
            <w:tcW w:w="1148" w:type="dxa"/>
            <w:tcBorders>
              <w:bottom w:val="single" w:color="000000" w:sz="12" w:space="0"/>
            </w:tcBorders>
            <w:vAlign w:val="top"/>
          </w:tcPr>
          <w:p w14:paraId="0FACB1B5">
            <w:pPr>
              <w:pStyle w:val="6"/>
              <w:spacing w:before="119" w:line="224" w:lineRule="auto"/>
              <w:ind w:left="522"/>
            </w:pPr>
            <w:r>
              <w:t>+</w:t>
            </w:r>
          </w:p>
        </w:tc>
        <w:tc>
          <w:tcPr>
            <w:tcW w:w="1166" w:type="dxa"/>
            <w:tcBorders>
              <w:bottom w:val="single" w:color="000000" w:sz="12" w:space="0"/>
              <w:right w:val="single" w:color="000000" w:sz="12" w:space="0"/>
            </w:tcBorders>
            <w:vAlign w:val="top"/>
          </w:tcPr>
          <w:p w14:paraId="1AC1EB83">
            <w:pPr>
              <w:rPr>
                <w:rFonts w:ascii="Arial"/>
                <w:sz w:val="21"/>
              </w:rPr>
            </w:pPr>
          </w:p>
        </w:tc>
      </w:tr>
    </w:tbl>
    <w:p w14:paraId="3EE989E5">
      <w:pPr>
        <w:rPr>
          <w:rFonts w:ascii="Arial"/>
          <w:sz w:val="21"/>
        </w:rPr>
      </w:pPr>
    </w:p>
    <w:p w14:paraId="299A40AE">
      <w:pPr>
        <w:rPr>
          <w:rFonts w:ascii="Arial" w:hAnsi="Arial" w:eastAsia="Arial" w:cs="Arial"/>
          <w:sz w:val="21"/>
          <w:szCs w:val="21"/>
        </w:rPr>
        <w:sectPr>
          <w:headerReference r:id="rId197" w:type="default"/>
          <w:footerReference r:id="rId198" w:type="default"/>
          <w:pgSz w:w="11907" w:h="16839"/>
          <w:pgMar w:top="1376" w:right="1669" w:bottom="1061" w:left="1671" w:header="999" w:footer="861" w:gutter="0"/>
          <w:cols w:space="720" w:num="1"/>
        </w:sectPr>
      </w:pPr>
    </w:p>
    <w:p w14:paraId="6AB8831E">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
        <w:gridCol w:w="2823"/>
        <w:gridCol w:w="678"/>
        <w:gridCol w:w="750"/>
        <w:gridCol w:w="677"/>
        <w:gridCol w:w="749"/>
        <w:gridCol w:w="1148"/>
        <w:gridCol w:w="1166"/>
      </w:tblGrid>
      <w:tr w14:paraId="47688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05" w:type="dxa"/>
            <w:gridSpan w:val="2"/>
            <w:vMerge w:val="restart"/>
            <w:tcBorders>
              <w:top w:val="single" w:color="000000" w:sz="12" w:space="0"/>
              <w:left w:val="single" w:color="000000" w:sz="12" w:space="0"/>
              <w:bottom w:val="nil"/>
            </w:tcBorders>
            <w:vAlign w:val="top"/>
          </w:tcPr>
          <w:p w14:paraId="40757C3A">
            <w:pPr>
              <w:spacing w:line="430" w:lineRule="auto"/>
              <w:rPr>
                <w:rFonts w:ascii="Arial"/>
                <w:sz w:val="21"/>
              </w:rPr>
            </w:pPr>
          </w:p>
          <w:p w14:paraId="141752C1">
            <w:pPr>
              <w:spacing w:before="69" w:line="220" w:lineRule="auto"/>
              <w:ind w:left="1433"/>
              <w:rPr>
                <w:rFonts w:ascii="宋体" w:hAnsi="宋体" w:eastAsia="宋体" w:cs="宋体"/>
                <w:sz w:val="21"/>
                <w:szCs w:val="21"/>
              </w:rPr>
            </w:pPr>
            <w:r>
              <w:rPr>
                <w:rFonts w:ascii="宋体" w:hAnsi="宋体" w:eastAsia="宋体" w:cs="宋体"/>
                <w:spacing w:val="-3"/>
                <w:sz w:val="21"/>
                <w:szCs w:val="21"/>
              </w:rPr>
              <w:t>种类</w:t>
            </w:r>
          </w:p>
        </w:tc>
        <w:tc>
          <w:tcPr>
            <w:tcW w:w="5168" w:type="dxa"/>
            <w:gridSpan w:val="6"/>
            <w:tcBorders>
              <w:top w:val="single" w:color="000000" w:sz="12" w:space="0"/>
              <w:right w:val="single" w:color="000000" w:sz="12" w:space="0"/>
            </w:tcBorders>
            <w:vAlign w:val="top"/>
          </w:tcPr>
          <w:p w14:paraId="343117B7">
            <w:pPr>
              <w:spacing w:before="57" w:line="220" w:lineRule="auto"/>
              <w:ind w:left="2165"/>
              <w:rPr>
                <w:rFonts w:ascii="宋体" w:hAnsi="宋体" w:eastAsia="宋体" w:cs="宋体"/>
                <w:sz w:val="21"/>
                <w:szCs w:val="21"/>
              </w:rPr>
            </w:pPr>
            <w:r>
              <w:rPr>
                <w:rFonts w:ascii="宋体" w:hAnsi="宋体" w:eastAsia="宋体" w:cs="宋体"/>
                <w:spacing w:val="-2"/>
                <w:sz w:val="21"/>
                <w:szCs w:val="21"/>
              </w:rPr>
              <w:t>相对数量</w:t>
            </w:r>
          </w:p>
        </w:tc>
      </w:tr>
      <w:tr w14:paraId="1821E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305" w:type="dxa"/>
            <w:gridSpan w:val="2"/>
            <w:vMerge w:val="continue"/>
            <w:tcBorders>
              <w:top w:val="nil"/>
              <w:left w:val="single" w:color="000000" w:sz="12" w:space="0"/>
            </w:tcBorders>
            <w:vAlign w:val="top"/>
          </w:tcPr>
          <w:p w14:paraId="07C42E73">
            <w:pPr>
              <w:rPr>
                <w:rFonts w:ascii="Arial"/>
                <w:sz w:val="21"/>
              </w:rPr>
            </w:pPr>
          </w:p>
        </w:tc>
        <w:tc>
          <w:tcPr>
            <w:tcW w:w="678" w:type="dxa"/>
            <w:vAlign w:val="top"/>
          </w:tcPr>
          <w:p w14:paraId="22352FF9">
            <w:pPr>
              <w:spacing w:before="57" w:line="220" w:lineRule="auto"/>
              <w:ind w:left="136"/>
              <w:rPr>
                <w:rFonts w:ascii="宋体" w:hAnsi="宋体" w:eastAsia="宋体" w:cs="宋体"/>
                <w:sz w:val="21"/>
                <w:szCs w:val="21"/>
              </w:rPr>
            </w:pPr>
            <w:r>
              <w:rPr>
                <w:rFonts w:ascii="宋体" w:hAnsi="宋体" w:eastAsia="宋体" w:cs="宋体"/>
                <w:spacing w:val="-4"/>
                <w:sz w:val="21"/>
                <w:szCs w:val="21"/>
              </w:rPr>
              <w:t>马龙</w:t>
            </w:r>
          </w:p>
          <w:p w14:paraId="6E568FF7">
            <w:pPr>
              <w:spacing w:before="24" w:line="235" w:lineRule="auto"/>
              <w:ind w:left="234" w:right="126"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50" w:type="dxa"/>
            <w:vAlign w:val="top"/>
          </w:tcPr>
          <w:p w14:paraId="1E62598F">
            <w:pPr>
              <w:spacing w:before="194" w:line="241" w:lineRule="auto"/>
              <w:ind w:left="168" w:right="55" w:hanging="104"/>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677" w:type="dxa"/>
            <w:vAlign w:val="top"/>
          </w:tcPr>
          <w:p w14:paraId="2C04CA39">
            <w:pPr>
              <w:spacing w:before="57" w:line="222" w:lineRule="auto"/>
              <w:ind w:left="165"/>
              <w:rPr>
                <w:rFonts w:ascii="宋体" w:hAnsi="宋体" w:eastAsia="宋体" w:cs="宋体"/>
                <w:sz w:val="21"/>
                <w:szCs w:val="21"/>
              </w:rPr>
            </w:pPr>
            <w:r>
              <w:rPr>
                <w:rFonts w:ascii="宋体" w:hAnsi="宋体" w:eastAsia="宋体" w:cs="宋体"/>
                <w:spacing w:val="-10"/>
                <w:sz w:val="21"/>
                <w:szCs w:val="21"/>
              </w:rPr>
              <w:t>白塔</w:t>
            </w:r>
          </w:p>
          <w:p w14:paraId="11696899">
            <w:pPr>
              <w:spacing w:before="21" w:line="235" w:lineRule="auto"/>
              <w:ind w:left="238" w:right="120"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49" w:type="dxa"/>
            <w:vAlign w:val="top"/>
          </w:tcPr>
          <w:p w14:paraId="1F36C24E">
            <w:pPr>
              <w:spacing w:before="193" w:line="242" w:lineRule="auto"/>
              <w:ind w:left="171" w:right="49" w:hanging="74"/>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48" w:type="dxa"/>
            <w:vAlign w:val="top"/>
          </w:tcPr>
          <w:p w14:paraId="6E3F616E">
            <w:pPr>
              <w:spacing w:before="57" w:line="219" w:lineRule="auto"/>
              <w:ind w:left="172"/>
              <w:rPr>
                <w:rFonts w:ascii="宋体" w:hAnsi="宋体" w:eastAsia="宋体" w:cs="宋体"/>
                <w:sz w:val="21"/>
                <w:szCs w:val="21"/>
              </w:rPr>
            </w:pPr>
            <w:r>
              <w:rPr>
                <w:rFonts w:ascii="宋体" w:hAnsi="宋体" w:eastAsia="宋体" w:cs="宋体"/>
                <w:spacing w:val="-3"/>
                <w:sz w:val="21"/>
                <w:szCs w:val="21"/>
              </w:rPr>
              <w:t>马龙河干</w:t>
            </w:r>
          </w:p>
          <w:p w14:paraId="41A59BA8">
            <w:pPr>
              <w:pStyle w:val="6"/>
              <w:spacing w:before="24" w:line="235" w:lineRule="auto"/>
              <w:ind w:left="136" w:right="111" w:firstLine="30"/>
              <w:rPr>
                <w:rFonts w:ascii="宋体" w:hAnsi="宋体" w:eastAsia="宋体" w:cs="宋体"/>
              </w:rPr>
            </w:pPr>
            <w:r>
              <w:rPr>
                <w:rFonts w:ascii="宋体" w:hAnsi="宋体" w:eastAsia="宋体" w:cs="宋体"/>
                <w:spacing w:val="-3"/>
              </w:rPr>
              <w:t>流坝址下</w:t>
            </w:r>
            <w:r>
              <w:rPr>
                <w:rFonts w:ascii="宋体" w:hAnsi="宋体" w:eastAsia="宋体" w:cs="宋体"/>
                <w:spacing w:val="-5"/>
              </w:rPr>
              <w:t>游</w:t>
            </w:r>
            <w:r>
              <w:rPr>
                <w:rFonts w:ascii="宋体" w:hAnsi="宋体" w:eastAsia="宋体" w:cs="宋体"/>
                <w:spacing w:val="-48"/>
              </w:rPr>
              <w:t xml:space="preserve"> </w:t>
            </w:r>
            <w:r>
              <w:rPr>
                <w:spacing w:val="-5"/>
              </w:rPr>
              <w:t>2km</w:t>
            </w:r>
            <w:r>
              <w:rPr>
                <w:spacing w:val="10"/>
              </w:rPr>
              <w:t xml:space="preserve"> </w:t>
            </w:r>
            <w:r>
              <w:rPr>
                <w:rFonts w:ascii="宋体" w:hAnsi="宋体" w:eastAsia="宋体" w:cs="宋体"/>
                <w:spacing w:val="-5"/>
              </w:rPr>
              <w:t>处</w:t>
            </w:r>
          </w:p>
        </w:tc>
        <w:tc>
          <w:tcPr>
            <w:tcW w:w="1166" w:type="dxa"/>
            <w:tcBorders>
              <w:right w:val="single" w:color="000000" w:sz="12" w:space="0"/>
            </w:tcBorders>
            <w:vAlign w:val="top"/>
          </w:tcPr>
          <w:p w14:paraId="06FCB409">
            <w:pPr>
              <w:spacing w:before="57" w:line="219" w:lineRule="auto"/>
              <w:ind w:left="178"/>
              <w:rPr>
                <w:rFonts w:ascii="宋体" w:hAnsi="宋体" w:eastAsia="宋体" w:cs="宋体"/>
                <w:sz w:val="21"/>
                <w:szCs w:val="21"/>
              </w:rPr>
            </w:pPr>
            <w:r>
              <w:rPr>
                <w:rFonts w:ascii="宋体" w:hAnsi="宋体" w:eastAsia="宋体" w:cs="宋体"/>
                <w:spacing w:val="-3"/>
                <w:sz w:val="21"/>
                <w:szCs w:val="21"/>
              </w:rPr>
              <w:t>马龙河干</w:t>
            </w:r>
          </w:p>
          <w:p w14:paraId="7F4F4685">
            <w:pPr>
              <w:pStyle w:val="6"/>
              <w:spacing w:before="24" w:line="235" w:lineRule="auto"/>
              <w:ind w:left="142" w:right="114" w:firstLine="30"/>
              <w:rPr>
                <w:rFonts w:ascii="宋体" w:hAnsi="宋体" w:eastAsia="宋体" w:cs="宋体"/>
              </w:rPr>
            </w:pPr>
            <w:r>
              <w:rPr>
                <w:rFonts w:ascii="宋体" w:hAnsi="宋体" w:eastAsia="宋体" w:cs="宋体"/>
                <w:spacing w:val="-3"/>
              </w:rPr>
              <w:t>流坝址下</w:t>
            </w:r>
            <w:r>
              <w:rPr>
                <w:rFonts w:ascii="宋体" w:hAnsi="宋体" w:eastAsia="宋体" w:cs="宋体"/>
                <w:spacing w:val="-6"/>
              </w:rPr>
              <w:t>游</w:t>
            </w:r>
            <w:r>
              <w:rPr>
                <w:rFonts w:ascii="宋体" w:hAnsi="宋体" w:eastAsia="宋体" w:cs="宋体"/>
                <w:spacing w:val="-43"/>
              </w:rPr>
              <w:t xml:space="preserve"> </w:t>
            </w:r>
            <w:r>
              <w:rPr>
                <w:spacing w:val="-6"/>
              </w:rPr>
              <w:t>6km</w:t>
            </w:r>
            <w:r>
              <w:rPr>
                <w:spacing w:val="10"/>
              </w:rPr>
              <w:t xml:space="preserve"> </w:t>
            </w:r>
            <w:r>
              <w:rPr>
                <w:rFonts w:ascii="宋体" w:hAnsi="宋体" w:eastAsia="宋体" w:cs="宋体"/>
                <w:spacing w:val="-6"/>
              </w:rPr>
              <w:t>处</w:t>
            </w:r>
          </w:p>
        </w:tc>
      </w:tr>
      <w:tr w14:paraId="0FA5C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482" w:type="dxa"/>
            <w:vMerge w:val="restart"/>
            <w:tcBorders>
              <w:left w:val="single" w:color="000000" w:sz="12" w:space="0"/>
              <w:bottom w:val="nil"/>
            </w:tcBorders>
            <w:textDirection w:val="tbRlV"/>
            <w:vAlign w:val="top"/>
          </w:tcPr>
          <w:p w14:paraId="4A007AEB">
            <w:pPr>
              <w:spacing w:before="137" w:line="206" w:lineRule="auto"/>
              <w:ind w:left="321"/>
              <w:rPr>
                <w:rFonts w:ascii="宋体" w:hAnsi="宋体" w:eastAsia="宋体" w:cs="宋体"/>
                <w:sz w:val="21"/>
                <w:szCs w:val="21"/>
              </w:rPr>
            </w:pPr>
            <w:r>
              <w:rPr>
                <w:rFonts w:ascii="宋体" w:hAnsi="宋体" w:eastAsia="宋体" w:cs="宋体"/>
                <w:spacing w:val="41"/>
                <w:sz w:val="21"/>
                <w:szCs w:val="21"/>
              </w:rPr>
              <w:t>异极藻</w:t>
            </w:r>
          </w:p>
        </w:tc>
        <w:tc>
          <w:tcPr>
            <w:tcW w:w="2823" w:type="dxa"/>
            <w:vAlign w:val="top"/>
          </w:tcPr>
          <w:p w14:paraId="0E6A3836">
            <w:pPr>
              <w:spacing w:before="59" w:line="219" w:lineRule="auto"/>
              <w:ind w:left="564"/>
              <w:rPr>
                <w:rFonts w:ascii="宋体" w:hAnsi="宋体" w:eastAsia="宋体" w:cs="宋体"/>
                <w:sz w:val="21"/>
                <w:szCs w:val="21"/>
              </w:rPr>
            </w:pPr>
            <w:r>
              <w:rPr>
                <w:rFonts w:ascii="宋体" w:hAnsi="宋体" w:eastAsia="宋体" w:cs="宋体"/>
                <w:spacing w:val="-1"/>
                <w:sz w:val="21"/>
                <w:szCs w:val="21"/>
              </w:rPr>
              <w:t>尖异极藻布雷变种</w:t>
            </w:r>
          </w:p>
          <w:p w14:paraId="369C6498">
            <w:pPr>
              <w:pStyle w:val="6"/>
              <w:spacing w:before="41" w:line="190" w:lineRule="auto"/>
              <w:ind w:left="84"/>
            </w:pPr>
            <w:r>
              <w:rPr>
                <w:i/>
                <w:iCs/>
                <w:spacing w:val="-1"/>
              </w:rPr>
              <w:t>Gomphonema acuminatum var.</w:t>
            </w:r>
          </w:p>
          <w:p w14:paraId="279C60D3">
            <w:pPr>
              <w:pStyle w:val="6"/>
              <w:spacing w:before="49" w:line="212" w:lineRule="auto"/>
              <w:ind w:left="936"/>
            </w:pPr>
            <w:r>
              <w:rPr>
                <w:i/>
                <w:iCs/>
                <w:spacing w:val="-1"/>
              </w:rPr>
              <w:t>brebissonii</w:t>
            </w:r>
          </w:p>
        </w:tc>
        <w:tc>
          <w:tcPr>
            <w:tcW w:w="678" w:type="dxa"/>
            <w:vAlign w:val="top"/>
          </w:tcPr>
          <w:p w14:paraId="35647B88">
            <w:pPr>
              <w:spacing w:line="272" w:lineRule="auto"/>
              <w:rPr>
                <w:rFonts w:ascii="Arial"/>
                <w:sz w:val="21"/>
              </w:rPr>
            </w:pPr>
          </w:p>
          <w:p w14:paraId="5BA1010C">
            <w:pPr>
              <w:pStyle w:val="6"/>
              <w:spacing w:before="61" w:line="250" w:lineRule="exact"/>
              <w:ind w:left="275"/>
            </w:pPr>
            <w:r>
              <w:rPr>
                <w:position w:val="1"/>
              </w:rPr>
              <w:t>+</w:t>
            </w:r>
          </w:p>
        </w:tc>
        <w:tc>
          <w:tcPr>
            <w:tcW w:w="750" w:type="dxa"/>
            <w:vAlign w:val="top"/>
          </w:tcPr>
          <w:p w14:paraId="0114ADA3">
            <w:pPr>
              <w:spacing w:line="272" w:lineRule="auto"/>
              <w:rPr>
                <w:rFonts w:ascii="Arial"/>
                <w:sz w:val="21"/>
              </w:rPr>
            </w:pPr>
          </w:p>
          <w:p w14:paraId="76551FCE">
            <w:pPr>
              <w:pStyle w:val="6"/>
              <w:spacing w:before="61" w:line="250" w:lineRule="exact"/>
              <w:ind w:left="255"/>
            </w:pPr>
            <w:r>
              <w:rPr>
                <w:spacing w:val="-1"/>
                <w:position w:val="1"/>
              </w:rPr>
              <w:t>++</w:t>
            </w:r>
          </w:p>
        </w:tc>
        <w:tc>
          <w:tcPr>
            <w:tcW w:w="677" w:type="dxa"/>
            <w:vAlign w:val="top"/>
          </w:tcPr>
          <w:p w14:paraId="2565AE9A">
            <w:pPr>
              <w:spacing w:line="272" w:lineRule="auto"/>
              <w:rPr>
                <w:rFonts w:ascii="Arial"/>
                <w:sz w:val="21"/>
              </w:rPr>
            </w:pPr>
          </w:p>
          <w:p w14:paraId="47D37569">
            <w:pPr>
              <w:pStyle w:val="6"/>
              <w:spacing w:before="61" w:line="250" w:lineRule="exact"/>
              <w:ind w:left="221"/>
            </w:pPr>
            <w:r>
              <w:rPr>
                <w:spacing w:val="-1"/>
                <w:position w:val="1"/>
              </w:rPr>
              <w:t>++</w:t>
            </w:r>
          </w:p>
        </w:tc>
        <w:tc>
          <w:tcPr>
            <w:tcW w:w="749" w:type="dxa"/>
            <w:vAlign w:val="top"/>
          </w:tcPr>
          <w:p w14:paraId="63F766F4">
            <w:pPr>
              <w:spacing w:line="272" w:lineRule="auto"/>
              <w:rPr>
                <w:rFonts w:ascii="Arial"/>
                <w:sz w:val="21"/>
              </w:rPr>
            </w:pPr>
          </w:p>
          <w:p w14:paraId="739F17DD">
            <w:pPr>
              <w:pStyle w:val="6"/>
              <w:spacing w:before="61" w:line="250" w:lineRule="exact"/>
              <w:ind w:left="200"/>
            </w:pPr>
            <w:r>
              <w:rPr>
                <w:spacing w:val="-2"/>
                <w:position w:val="1"/>
              </w:rPr>
              <w:t>+++</w:t>
            </w:r>
          </w:p>
        </w:tc>
        <w:tc>
          <w:tcPr>
            <w:tcW w:w="1148" w:type="dxa"/>
            <w:vAlign w:val="top"/>
          </w:tcPr>
          <w:p w14:paraId="3259D8B6">
            <w:pPr>
              <w:rPr>
                <w:rFonts w:ascii="Arial"/>
                <w:sz w:val="21"/>
              </w:rPr>
            </w:pPr>
          </w:p>
        </w:tc>
        <w:tc>
          <w:tcPr>
            <w:tcW w:w="1166" w:type="dxa"/>
            <w:tcBorders>
              <w:right w:val="single" w:color="000000" w:sz="12" w:space="0"/>
            </w:tcBorders>
            <w:vAlign w:val="top"/>
          </w:tcPr>
          <w:p w14:paraId="2E6EEBD2">
            <w:pPr>
              <w:spacing w:line="272" w:lineRule="auto"/>
              <w:rPr>
                <w:rFonts w:ascii="Arial"/>
                <w:sz w:val="21"/>
              </w:rPr>
            </w:pPr>
          </w:p>
          <w:p w14:paraId="78D1F429">
            <w:pPr>
              <w:pStyle w:val="6"/>
              <w:spacing w:before="61" w:line="250" w:lineRule="exact"/>
              <w:ind w:left="527"/>
            </w:pPr>
            <w:r>
              <w:rPr>
                <w:position w:val="1"/>
              </w:rPr>
              <w:t>+</w:t>
            </w:r>
          </w:p>
        </w:tc>
      </w:tr>
      <w:tr w14:paraId="796C6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49958351">
            <w:pPr>
              <w:rPr>
                <w:rFonts w:ascii="Arial"/>
                <w:sz w:val="21"/>
              </w:rPr>
            </w:pPr>
          </w:p>
        </w:tc>
        <w:tc>
          <w:tcPr>
            <w:tcW w:w="2823" w:type="dxa"/>
            <w:vAlign w:val="top"/>
          </w:tcPr>
          <w:p w14:paraId="4CB96D18">
            <w:pPr>
              <w:pStyle w:val="6"/>
              <w:spacing w:before="61" w:line="234" w:lineRule="auto"/>
              <w:ind w:left="884" w:right="273" w:hanging="617"/>
            </w:pPr>
            <w:r>
              <w:rPr>
                <w:rFonts w:ascii="宋体" w:hAnsi="宋体" w:eastAsia="宋体" w:cs="宋体"/>
                <w:spacing w:val="-2"/>
              </w:rPr>
              <w:t>溢缩异极藻</w:t>
            </w:r>
            <w:r>
              <w:rPr>
                <w:rFonts w:ascii="宋体" w:hAnsi="宋体" w:eastAsia="宋体" w:cs="宋体"/>
                <w:spacing w:val="-33"/>
              </w:rPr>
              <w:t xml:space="preserve"> </w:t>
            </w:r>
            <w:r>
              <w:rPr>
                <w:i/>
                <w:iCs/>
                <w:spacing w:val="-2"/>
              </w:rPr>
              <w:t>Gomphonema</w:t>
            </w:r>
            <w:r>
              <w:rPr>
                <w:i/>
                <w:iCs/>
              </w:rPr>
              <w:t xml:space="preserve"> </w:t>
            </w:r>
            <w:r>
              <w:rPr>
                <w:i/>
                <w:iCs/>
                <w:spacing w:val="-1"/>
              </w:rPr>
              <w:t>constricnum</w:t>
            </w:r>
          </w:p>
        </w:tc>
        <w:tc>
          <w:tcPr>
            <w:tcW w:w="678" w:type="dxa"/>
            <w:vAlign w:val="top"/>
          </w:tcPr>
          <w:p w14:paraId="18D07781">
            <w:pPr>
              <w:pStyle w:val="6"/>
              <w:spacing w:before="215" w:line="251" w:lineRule="exact"/>
              <w:ind w:left="275"/>
            </w:pPr>
            <w:r>
              <w:rPr>
                <w:position w:val="1"/>
              </w:rPr>
              <w:t>+</w:t>
            </w:r>
          </w:p>
        </w:tc>
        <w:tc>
          <w:tcPr>
            <w:tcW w:w="750" w:type="dxa"/>
            <w:vAlign w:val="top"/>
          </w:tcPr>
          <w:p w14:paraId="7B20FD0A">
            <w:pPr>
              <w:pStyle w:val="6"/>
              <w:spacing w:before="215" w:line="251" w:lineRule="exact"/>
              <w:ind w:left="313"/>
            </w:pPr>
            <w:r>
              <w:rPr>
                <w:position w:val="1"/>
              </w:rPr>
              <w:t>+</w:t>
            </w:r>
          </w:p>
        </w:tc>
        <w:tc>
          <w:tcPr>
            <w:tcW w:w="677" w:type="dxa"/>
            <w:vAlign w:val="top"/>
          </w:tcPr>
          <w:p w14:paraId="5D447754">
            <w:pPr>
              <w:rPr>
                <w:rFonts w:ascii="Arial"/>
                <w:sz w:val="21"/>
              </w:rPr>
            </w:pPr>
          </w:p>
        </w:tc>
        <w:tc>
          <w:tcPr>
            <w:tcW w:w="749" w:type="dxa"/>
            <w:vAlign w:val="top"/>
          </w:tcPr>
          <w:p w14:paraId="5C2BE300">
            <w:pPr>
              <w:pStyle w:val="6"/>
              <w:spacing w:before="215" w:line="251" w:lineRule="exact"/>
              <w:ind w:left="318"/>
            </w:pPr>
            <w:r>
              <w:rPr>
                <w:position w:val="1"/>
              </w:rPr>
              <w:t>+</w:t>
            </w:r>
          </w:p>
        </w:tc>
        <w:tc>
          <w:tcPr>
            <w:tcW w:w="1148" w:type="dxa"/>
            <w:vAlign w:val="top"/>
          </w:tcPr>
          <w:p w14:paraId="7797837E">
            <w:pPr>
              <w:rPr>
                <w:rFonts w:ascii="Arial"/>
                <w:sz w:val="21"/>
              </w:rPr>
            </w:pPr>
          </w:p>
        </w:tc>
        <w:tc>
          <w:tcPr>
            <w:tcW w:w="1166" w:type="dxa"/>
            <w:tcBorders>
              <w:right w:val="single" w:color="000000" w:sz="12" w:space="0"/>
            </w:tcBorders>
            <w:vAlign w:val="top"/>
          </w:tcPr>
          <w:p w14:paraId="775246B4">
            <w:pPr>
              <w:pStyle w:val="6"/>
              <w:spacing w:before="215" w:line="251" w:lineRule="exact"/>
              <w:ind w:left="527"/>
            </w:pPr>
            <w:r>
              <w:rPr>
                <w:position w:val="1"/>
              </w:rPr>
              <w:t>+</w:t>
            </w:r>
          </w:p>
        </w:tc>
      </w:tr>
      <w:tr w14:paraId="37FA9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restart"/>
            <w:tcBorders>
              <w:left w:val="single" w:color="000000" w:sz="12" w:space="0"/>
              <w:bottom w:val="nil"/>
            </w:tcBorders>
            <w:textDirection w:val="tbRlV"/>
            <w:vAlign w:val="top"/>
          </w:tcPr>
          <w:p w14:paraId="58530233">
            <w:pPr>
              <w:spacing w:before="137" w:line="206" w:lineRule="auto"/>
              <w:ind w:left="83"/>
              <w:rPr>
                <w:rFonts w:ascii="宋体" w:hAnsi="宋体" w:eastAsia="宋体" w:cs="宋体"/>
                <w:sz w:val="21"/>
                <w:szCs w:val="21"/>
              </w:rPr>
            </w:pPr>
            <w:r>
              <w:rPr>
                <w:rFonts w:ascii="宋体" w:hAnsi="宋体" w:eastAsia="宋体" w:cs="宋体"/>
                <w:spacing w:val="41"/>
                <w:sz w:val="21"/>
                <w:szCs w:val="21"/>
              </w:rPr>
              <w:t>曲壳藻</w:t>
            </w:r>
          </w:p>
        </w:tc>
        <w:tc>
          <w:tcPr>
            <w:tcW w:w="2823" w:type="dxa"/>
            <w:vAlign w:val="top"/>
          </w:tcPr>
          <w:p w14:paraId="764A481A">
            <w:pPr>
              <w:pStyle w:val="6"/>
              <w:spacing w:before="62" w:line="234" w:lineRule="auto"/>
              <w:ind w:left="981" w:right="374" w:hanging="618"/>
            </w:pPr>
            <w:r>
              <w:rPr>
                <w:rFonts w:ascii="宋体" w:hAnsi="宋体" w:eastAsia="宋体" w:cs="宋体"/>
              </w:rPr>
              <w:t>优美曲壳藻</w:t>
            </w:r>
            <w:r>
              <w:rPr>
                <w:rFonts w:ascii="宋体" w:hAnsi="宋体" w:eastAsia="宋体" w:cs="宋体"/>
                <w:spacing w:val="-61"/>
              </w:rPr>
              <w:t xml:space="preserve"> </w:t>
            </w:r>
            <w:r>
              <w:rPr>
                <w:i/>
                <w:iCs/>
              </w:rPr>
              <w:t xml:space="preserve">Achnanthes </w:t>
            </w:r>
            <w:r>
              <w:rPr>
                <w:i/>
                <w:iCs/>
                <w:spacing w:val="-1"/>
              </w:rPr>
              <w:t>delicatula</w:t>
            </w:r>
          </w:p>
        </w:tc>
        <w:tc>
          <w:tcPr>
            <w:tcW w:w="678" w:type="dxa"/>
            <w:vAlign w:val="top"/>
          </w:tcPr>
          <w:p w14:paraId="7C44AA0A">
            <w:pPr>
              <w:pStyle w:val="6"/>
              <w:spacing w:before="218" w:line="250" w:lineRule="exact"/>
              <w:ind w:left="275"/>
            </w:pPr>
            <w:r>
              <w:rPr>
                <w:position w:val="1"/>
              </w:rPr>
              <w:t>+</w:t>
            </w:r>
          </w:p>
        </w:tc>
        <w:tc>
          <w:tcPr>
            <w:tcW w:w="750" w:type="dxa"/>
            <w:vAlign w:val="top"/>
          </w:tcPr>
          <w:p w14:paraId="4D81B123">
            <w:pPr>
              <w:pStyle w:val="6"/>
              <w:spacing w:before="218" w:line="250" w:lineRule="exact"/>
              <w:ind w:left="313"/>
            </w:pPr>
            <w:r>
              <w:rPr>
                <w:position w:val="1"/>
              </w:rPr>
              <w:t>+</w:t>
            </w:r>
          </w:p>
        </w:tc>
        <w:tc>
          <w:tcPr>
            <w:tcW w:w="677" w:type="dxa"/>
            <w:vAlign w:val="top"/>
          </w:tcPr>
          <w:p w14:paraId="4A8B7E51">
            <w:pPr>
              <w:pStyle w:val="6"/>
              <w:spacing w:before="218" w:line="250" w:lineRule="exact"/>
              <w:ind w:left="280"/>
            </w:pPr>
            <w:r>
              <w:rPr>
                <w:position w:val="1"/>
              </w:rPr>
              <w:t>+</w:t>
            </w:r>
          </w:p>
        </w:tc>
        <w:tc>
          <w:tcPr>
            <w:tcW w:w="749" w:type="dxa"/>
            <w:vAlign w:val="top"/>
          </w:tcPr>
          <w:p w14:paraId="3DC4670B">
            <w:pPr>
              <w:pStyle w:val="6"/>
              <w:spacing w:before="218" w:line="250" w:lineRule="exact"/>
              <w:ind w:left="318"/>
            </w:pPr>
            <w:r>
              <w:rPr>
                <w:position w:val="1"/>
              </w:rPr>
              <w:t>+</w:t>
            </w:r>
          </w:p>
        </w:tc>
        <w:tc>
          <w:tcPr>
            <w:tcW w:w="1148" w:type="dxa"/>
            <w:vAlign w:val="top"/>
          </w:tcPr>
          <w:p w14:paraId="2B4DD4F7">
            <w:pPr>
              <w:pStyle w:val="6"/>
              <w:spacing w:before="218" w:line="250" w:lineRule="exact"/>
              <w:ind w:left="463"/>
            </w:pPr>
            <w:r>
              <w:rPr>
                <w:spacing w:val="-1"/>
                <w:position w:val="1"/>
              </w:rPr>
              <w:t>++</w:t>
            </w:r>
          </w:p>
        </w:tc>
        <w:tc>
          <w:tcPr>
            <w:tcW w:w="1166" w:type="dxa"/>
            <w:tcBorders>
              <w:right w:val="single" w:color="000000" w:sz="12" w:space="0"/>
            </w:tcBorders>
            <w:vAlign w:val="top"/>
          </w:tcPr>
          <w:p w14:paraId="5F6D1EEB">
            <w:pPr>
              <w:rPr>
                <w:rFonts w:ascii="Arial"/>
                <w:sz w:val="21"/>
              </w:rPr>
            </w:pPr>
          </w:p>
        </w:tc>
      </w:tr>
      <w:tr w14:paraId="509D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tcBorders>
            <w:textDirection w:val="tbRlV"/>
            <w:vAlign w:val="top"/>
          </w:tcPr>
          <w:p w14:paraId="7664E76E">
            <w:pPr>
              <w:rPr>
                <w:rFonts w:ascii="Arial"/>
                <w:sz w:val="21"/>
              </w:rPr>
            </w:pPr>
          </w:p>
        </w:tc>
        <w:tc>
          <w:tcPr>
            <w:tcW w:w="2823" w:type="dxa"/>
            <w:vAlign w:val="top"/>
          </w:tcPr>
          <w:p w14:paraId="7F4DDF6B">
            <w:pPr>
              <w:pStyle w:val="6"/>
              <w:spacing w:before="63" w:line="212" w:lineRule="auto"/>
              <w:ind w:left="60"/>
            </w:pPr>
            <w:r>
              <w:rPr>
                <w:rFonts w:ascii="宋体" w:hAnsi="宋体" w:eastAsia="宋体" w:cs="宋体"/>
              </w:rPr>
              <w:t>短小曲壳藻</w:t>
            </w:r>
            <w:r>
              <w:rPr>
                <w:rFonts w:ascii="宋体" w:hAnsi="宋体" w:eastAsia="宋体" w:cs="宋体"/>
                <w:spacing w:val="-62"/>
              </w:rPr>
              <w:t xml:space="preserve"> </w:t>
            </w:r>
            <w:r>
              <w:rPr>
                <w:i/>
                <w:iCs/>
              </w:rPr>
              <w:t>Achnanthes exigua</w:t>
            </w:r>
          </w:p>
        </w:tc>
        <w:tc>
          <w:tcPr>
            <w:tcW w:w="678" w:type="dxa"/>
            <w:vAlign w:val="top"/>
          </w:tcPr>
          <w:p w14:paraId="0DD693EB">
            <w:pPr>
              <w:rPr>
                <w:rFonts w:ascii="Arial"/>
                <w:sz w:val="21"/>
              </w:rPr>
            </w:pPr>
          </w:p>
        </w:tc>
        <w:tc>
          <w:tcPr>
            <w:tcW w:w="750" w:type="dxa"/>
            <w:vAlign w:val="top"/>
          </w:tcPr>
          <w:p w14:paraId="17DE18D2">
            <w:pPr>
              <w:pStyle w:val="6"/>
              <w:spacing w:before="97" w:line="223" w:lineRule="auto"/>
              <w:ind w:left="313"/>
            </w:pPr>
            <w:r>
              <w:t>+</w:t>
            </w:r>
          </w:p>
        </w:tc>
        <w:tc>
          <w:tcPr>
            <w:tcW w:w="677" w:type="dxa"/>
            <w:vAlign w:val="top"/>
          </w:tcPr>
          <w:p w14:paraId="09C3B3FA">
            <w:pPr>
              <w:pStyle w:val="6"/>
              <w:spacing w:before="97" w:line="223" w:lineRule="auto"/>
              <w:ind w:left="280"/>
            </w:pPr>
            <w:r>
              <w:t>+</w:t>
            </w:r>
          </w:p>
        </w:tc>
        <w:tc>
          <w:tcPr>
            <w:tcW w:w="749" w:type="dxa"/>
            <w:vAlign w:val="top"/>
          </w:tcPr>
          <w:p w14:paraId="24597F14">
            <w:pPr>
              <w:pStyle w:val="6"/>
              <w:spacing w:before="97" w:line="223" w:lineRule="auto"/>
              <w:ind w:left="259"/>
            </w:pPr>
            <w:r>
              <w:rPr>
                <w:spacing w:val="-1"/>
              </w:rPr>
              <w:t>++</w:t>
            </w:r>
          </w:p>
        </w:tc>
        <w:tc>
          <w:tcPr>
            <w:tcW w:w="1148" w:type="dxa"/>
            <w:vAlign w:val="top"/>
          </w:tcPr>
          <w:p w14:paraId="53BB1E11">
            <w:pPr>
              <w:rPr>
                <w:rFonts w:ascii="Arial"/>
                <w:sz w:val="21"/>
              </w:rPr>
            </w:pPr>
          </w:p>
        </w:tc>
        <w:tc>
          <w:tcPr>
            <w:tcW w:w="1166" w:type="dxa"/>
            <w:tcBorders>
              <w:right w:val="single" w:color="000000" w:sz="12" w:space="0"/>
            </w:tcBorders>
            <w:vAlign w:val="top"/>
          </w:tcPr>
          <w:p w14:paraId="3D26D6AA">
            <w:pPr>
              <w:pStyle w:val="6"/>
              <w:spacing w:before="97" w:line="223" w:lineRule="auto"/>
              <w:ind w:left="527"/>
            </w:pPr>
            <w:r>
              <w:t>+</w:t>
            </w:r>
          </w:p>
        </w:tc>
      </w:tr>
      <w:tr w14:paraId="6E4F1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118CC82E">
            <w:pPr>
              <w:spacing w:before="138" w:line="206" w:lineRule="auto"/>
              <w:ind w:left="326"/>
              <w:rPr>
                <w:rFonts w:ascii="宋体" w:hAnsi="宋体" w:eastAsia="宋体" w:cs="宋体"/>
                <w:sz w:val="21"/>
                <w:szCs w:val="21"/>
              </w:rPr>
            </w:pPr>
            <w:r>
              <w:rPr>
                <w:rFonts w:ascii="宋体" w:hAnsi="宋体" w:eastAsia="宋体" w:cs="宋体"/>
                <w:spacing w:val="41"/>
                <w:sz w:val="21"/>
                <w:szCs w:val="21"/>
              </w:rPr>
              <w:t>卵形藻</w:t>
            </w:r>
          </w:p>
        </w:tc>
        <w:tc>
          <w:tcPr>
            <w:tcW w:w="2823" w:type="dxa"/>
            <w:vAlign w:val="top"/>
          </w:tcPr>
          <w:p w14:paraId="52707061">
            <w:pPr>
              <w:pStyle w:val="6"/>
              <w:spacing w:before="65" w:line="232" w:lineRule="auto"/>
              <w:ind w:left="931" w:right="425" w:hanging="513"/>
            </w:pPr>
            <w:r>
              <w:rPr>
                <w:rFonts w:ascii="宋体" w:hAnsi="宋体" w:eastAsia="宋体" w:cs="宋体"/>
                <w:spacing w:val="-2"/>
              </w:rPr>
              <w:t>扁圆卵形藻</w:t>
            </w:r>
            <w:r>
              <w:rPr>
                <w:rFonts w:ascii="宋体" w:hAnsi="宋体" w:eastAsia="宋体" w:cs="宋体"/>
                <w:spacing w:val="-35"/>
              </w:rPr>
              <w:t xml:space="preserve"> </w:t>
            </w:r>
            <w:r>
              <w:rPr>
                <w:i/>
                <w:iCs/>
                <w:spacing w:val="-2"/>
              </w:rPr>
              <w:t>Cocconeis</w:t>
            </w:r>
            <w:r>
              <w:rPr>
                <w:i/>
                <w:iCs/>
              </w:rPr>
              <w:t xml:space="preserve"> </w:t>
            </w:r>
            <w:r>
              <w:rPr>
                <w:i/>
                <w:iCs/>
                <w:spacing w:val="2"/>
              </w:rPr>
              <w:t>placentula</w:t>
            </w:r>
          </w:p>
        </w:tc>
        <w:tc>
          <w:tcPr>
            <w:tcW w:w="678" w:type="dxa"/>
            <w:vAlign w:val="top"/>
          </w:tcPr>
          <w:p w14:paraId="3495A172">
            <w:pPr>
              <w:pStyle w:val="6"/>
              <w:spacing w:before="219" w:line="251" w:lineRule="exact"/>
              <w:ind w:left="275"/>
            </w:pPr>
            <w:r>
              <w:rPr>
                <w:position w:val="1"/>
              </w:rPr>
              <w:t>+</w:t>
            </w:r>
          </w:p>
        </w:tc>
        <w:tc>
          <w:tcPr>
            <w:tcW w:w="750" w:type="dxa"/>
            <w:vAlign w:val="top"/>
          </w:tcPr>
          <w:p w14:paraId="0745D217">
            <w:pPr>
              <w:pStyle w:val="6"/>
              <w:spacing w:before="219" w:line="251" w:lineRule="exact"/>
              <w:ind w:left="313"/>
            </w:pPr>
            <w:r>
              <w:rPr>
                <w:position w:val="1"/>
              </w:rPr>
              <w:t>+</w:t>
            </w:r>
          </w:p>
        </w:tc>
        <w:tc>
          <w:tcPr>
            <w:tcW w:w="677" w:type="dxa"/>
            <w:vAlign w:val="top"/>
          </w:tcPr>
          <w:p w14:paraId="0FB13B3D">
            <w:pPr>
              <w:pStyle w:val="6"/>
              <w:spacing w:before="219" w:line="251" w:lineRule="exact"/>
              <w:ind w:left="280"/>
            </w:pPr>
            <w:r>
              <w:rPr>
                <w:position w:val="1"/>
              </w:rPr>
              <w:t>+</w:t>
            </w:r>
          </w:p>
        </w:tc>
        <w:tc>
          <w:tcPr>
            <w:tcW w:w="749" w:type="dxa"/>
            <w:vAlign w:val="top"/>
          </w:tcPr>
          <w:p w14:paraId="00633062">
            <w:pPr>
              <w:pStyle w:val="6"/>
              <w:spacing w:before="219" w:line="251" w:lineRule="exact"/>
              <w:ind w:left="318"/>
            </w:pPr>
            <w:r>
              <w:rPr>
                <w:position w:val="1"/>
              </w:rPr>
              <w:t>+</w:t>
            </w:r>
          </w:p>
        </w:tc>
        <w:tc>
          <w:tcPr>
            <w:tcW w:w="1148" w:type="dxa"/>
            <w:vAlign w:val="top"/>
          </w:tcPr>
          <w:p w14:paraId="41F811A9">
            <w:pPr>
              <w:pStyle w:val="6"/>
              <w:spacing w:before="219" w:line="251" w:lineRule="exact"/>
              <w:ind w:left="522"/>
            </w:pPr>
            <w:r>
              <w:rPr>
                <w:position w:val="1"/>
              </w:rPr>
              <w:t>+</w:t>
            </w:r>
          </w:p>
        </w:tc>
        <w:tc>
          <w:tcPr>
            <w:tcW w:w="1166" w:type="dxa"/>
            <w:tcBorders>
              <w:right w:val="single" w:color="000000" w:sz="12" w:space="0"/>
            </w:tcBorders>
            <w:vAlign w:val="top"/>
          </w:tcPr>
          <w:p w14:paraId="0D112194">
            <w:pPr>
              <w:pStyle w:val="6"/>
              <w:spacing w:before="219" w:line="251" w:lineRule="exact"/>
              <w:ind w:left="527"/>
            </w:pPr>
            <w:r>
              <w:rPr>
                <w:position w:val="1"/>
              </w:rPr>
              <w:t>+</w:t>
            </w:r>
          </w:p>
        </w:tc>
      </w:tr>
      <w:tr w14:paraId="502E0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482" w:type="dxa"/>
            <w:vMerge w:val="continue"/>
            <w:tcBorders>
              <w:top w:val="nil"/>
              <w:left w:val="single" w:color="000000" w:sz="12" w:space="0"/>
            </w:tcBorders>
            <w:textDirection w:val="tbRlV"/>
            <w:vAlign w:val="top"/>
          </w:tcPr>
          <w:p w14:paraId="690A9BB1">
            <w:pPr>
              <w:rPr>
                <w:rFonts w:ascii="Arial"/>
                <w:sz w:val="21"/>
              </w:rPr>
            </w:pPr>
          </w:p>
        </w:tc>
        <w:tc>
          <w:tcPr>
            <w:tcW w:w="2823" w:type="dxa"/>
            <w:vAlign w:val="top"/>
          </w:tcPr>
          <w:p w14:paraId="4F165797">
            <w:pPr>
              <w:pStyle w:val="6"/>
              <w:spacing w:before="66" w:line="247" w:lineRule="auto"/>
              <w:ind w:left="312" w:right="315" w:firstLine="150"/>
            </w:pPr>
            <w:r>
              <w:rPr>
                <w:rFonts w:ascii="宋体" w:hAnsi="宋体" w:eastAsia="宋体" w:cs="宋体"/>
                <w:spacing w:val="-2"/>
              </w:rPr>
              <w:t>扁圆卵形藻多孔变种</w:t>
            </w:r>
            <w:r>
              <w:rPr>
                <w:rFonts w:ascii="宋体" w:hAnsi="宋体" w:eastAsia="宋体" w:cs="宋体"/>
                <w:spacing w:val="3"/>
              </w:rPr>
              <w:t xml:space="preserve"> </w:t>
            </w:r>
            <w:r>
              <w:rPr>
                <w:i/>
                <w:iCs/>
              </w:rPr>
              <w:t>Cocconeis</w:t>
            </w:r>
            <w:r>
              <w:rPr>
                <w:i/>
                <w:iCs/>
                <w:spacing w:val="-24"/>
              </w:rPr>
              <w:t xml:space="preserve"> </w:t>
            </w:r>
            <w:r>
              <w:rPr>
                <w:i/>
                <w:iCs/>
              </w:rPr>
              <w:t>placentula</w:t>
            </w:r>
            <w:r>
              <w:rPr>
                <w:i/>
                <w:iCs/>
                <w:spacing w:val="4"/>
              </w:rPr>
              <w:t xml:space="preserve"> </w:t>
            </w:r>
            <w:r>
              <w:rPr>
                <w:i/>
                <w:iCs/>
              </w:rPr>
              <w:t>var</w:t>
            </w:r>
            <w:r>
              <w:rPr>
                <w:i/>
                <w:iCs/>
                <w:spacing w:val="4"/>
              </w:rPr>
              <w:t>.</w:t>
            </w:r>
          </w:p>
          <w:p w14:paraId="0446FF04">
            <w:pPr>
              <w:pStyle w:val="6"/>
              <w:spacing w:before="2" w:line="190" w:lineRule="auto"/>
              <w:ind w:left="1042"/>
            </w:pPr>
            <w:r>
              <w:rPr>
                <w:i/>
                <w:iCs/>
                <w:spacing w:val="-1"/>
              </w:rPr>
              <w:t>euglypta</w:t>
            </w:r>
          </w:p>
        </w:tc>
        <w:tc>
          <w:tcPr>
            <w:tcW w:w="678" w:type="dxa"/>
            <w:vAlign w:val="top"/>
          </w:tcPr>
          <w:p w14:paraId="1E9AD610">
            <w:pPr>
              <w:spacing w:line="280" w:lineRule="auto"/>
              <w:rPr>
                <w:rFonts w:ascii="Arial"/>
                <w:sz w:val="21"/>
              </w:rPr>
            </w:pPr>
          </w:p>
          <w:p w14:paraId="76FD610F">
            <w:pPr>
              <w:pStyle w:val="6"/>
              <w:spacing w:before="60" w:line="251" w:lineRule="exact"/>
              <w:ind w:left="275"/>
            </w:pPr>
            <w:r>
              <w:rPr>
                <w:position w:val="1"/>
              </w:rPr>
              <w:t>+</w:t>
            </w:r>
          </w:p>
        </w:tc>
        <w:tc>
          <w:tcPr>
            <w:tcW w:w="750" w:type="dxa"/>
            <w:vAlign w:val="top"/>
          </w:tcPr>
          <w:p w14:paraId="59942770">
            <w:pPr>
              <w:spacing w:line="280" w:lineRule="auto"/>
              <w:rPr>
                <w:rFonts w:ascii="Arial"/>
                <w:sz w:val="21"/>
              </w:rPr>
            </w:pPr>
          </w:p>
          <w:p w14:paraId="25E6F27C">
            <w:pPr>
              <w:pStyle w:val="6"/>
              <w:spacing w:before="60" w:line="251" w:lineRule="exact"/>
              <w:ind w:left="313"/>
            </w:pPr>
            <w:r>
              <w:rPr>
                <w:position w:val="1"/>
              </w:rPr>
              <w:t>+</w:t>
            </w:r>
          </w:p>
        </w:tc>
        <w:tc>
          <w:tcPr>
            <w:tcW w:w="677" w:type="dxa"/>
            <w:vAlign w:val="top"/>
          </w:tcPr>
          <w:p w14:paraId="4B7E777C">
            <w:pPr>
              <w:spacing w:line="280" w:lineRule="auto"/>
              <w:rPr>
                <w:rFonts w:ascii="Arial"/>
                <w:sz w:val="21"/>
              </w:rPr>
            </w:pPr>
          </w:p>
          <w:p w14:paraId="35641268">
            <w:pPr>
              <w:pStyle w:val="6"/>
              <w:spacing w:before="60" w:line="251" w:lineRule="exact"/>
              <w:ind w:left="280"/>
            </w:pPr>
            <w:r>
              <w:rPr>
                <w:position w:val="1"/>
              </w:rPr>
              <w:t>+</w:t>
            </w:r>
          </w:p>
        </w:tc>
        <w:tc>
          <w:tcPr>
            <w:tcW w:w="749" w:type="dxa"/>
            <w:vAlign w:val="top"/>
          </w:tcPr>
          <w:p w14:paraId="1A33E804">
            <w:pPr>
              <w:spacing w:line="280" w:lineRule="auto"/>
              <w:rPr>
                <w:rFonts w:ascii="Arial"/>
                <w:sz w:val="21"/>
              </w:rPr>
            </w:pPr>
          </w:p>
          <w:p w14:paraId="43C136F4">
            <w:pPr>
              <w:pStyle w:val="6"/>
              <w:spacing w:before="60" w:line="251" w:lineRule="exact"/>
              <w:ind w:left="318"/>
            </w:pPr>
            <w:r>
              <w:rPr>
                <w:position w:val="1"/>
              </w:rPr>
              <w:t>+</w:t>
            </w:r>
          </w:p>
        </w:tc>
        <w:tc>
          <w:tcPr>
            <w:tcW w:w="1148" w:type="dxa"/>
            <w:vAlign w:val="top"/>
          </w:tcPr>
          <w:p w14:paraId="4D2EB16F">
            <w:pPr>
              <w:spacing w:line="280" w:lineRule="auto"/>
              <w:rPr>
                <w:rFonts w:ascii="Arial"/>
                <w:sz w:val="21"/>
              </w:rPr>
            </w:pPr>
          </w:p>
          <w:p w14:paraId="3C05F274">
            <w:pPr>
              <w:pStyle w:val="6"/>
              <w:spacing w:before="60" w:line="251" w:lineRule="exact"/>
              <w:ind w:left="522"/>
            </w:pPr>
            <w:r>
              <w:rPr>
                <w:position w:val="1"/>
              </w:rPr>
              <w:t>+</w:t>
            </w:r>
          </w:p>
        </w:tc>
        <w:tc>
          <w:tcPr>
            <w:tcW w:w="1166" w:type="dxa"/>
            <w:tcBorders>
              <w:right w:val="single" w:color="000000" w:sz="12" w:space="0"/>
            </w:tcBorders>
            <w:vAlign w:val="top"/>
          </w:tcPr>
          <w:p w14:paraId="40FB1612">
            <w:pPr>
              <w:spacing w:line="280" w:lineRule="auto"/>
              <w:rPr>
                <w:rFonts w:ascii="Arial"/>
                <w:sz w:val="21"/>
              </w:rPr>
            </w:pPr>
          </w:p>
          <w:p w14:paraId="3A85A308">
            <w:pPr>
              <w:pStyle w:val="6"/>
              <w:spacing w:before="60" w:line="251" w:lineRule="exact"/>
              <w:ind w:left="527"/>
            </w:pPr>
            <w:r>
              <w:rPr>
                <w:position w:val="1"/>
              </w:rPr>
              <w:t>+</w:t>
            </w:r>
          </w:p>
        </w:tc>
      </w:tr>
      <w:tr w14:paraId="2548D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82" w:type="dxa"/>
            <w:vMerge w:val="restart"/>
            <w:tcBorders>
              <w:left w:val="single" w:color="000000" w:sz="12" w:space="0"/>
              <w:bottom w:val="nil"/>
            </w:tcBorders>
            <w:textDirection w:val="tbRlV"/>
            <w:vAlign w:val="top"/>
          </w:tcPr>
          <w:p w14:paraId="17F27B2B">
            <w:pPr>
              <w:spacing w:before="138" w:line="206" w:lineRule="auto"/>
              <w:ind w:left="92"/>
              <w:rPr>
                <w:rFonts w:ascii="宋体" w:hAnsi="宋体" w:eastAsia="宋体" w:cs="宋体"/>
                <w:sz w:val="21"/>
                <w:szCs w:val="21"/>
              </w:rPr>
            </w:pPr>
            <w:r>
              <w:rPr>
                <w:rFonts w:ascii="宋体" w:hAnsi="宋体" w:eastAsia="宋体" w:cs="宋体"/>
                <w:spacing w:val="41"/>
                <w:sz w:val="21"/>
                <w:szCs w:val="21"/>
              </w:rPr>
              <w:t>窗纹藻</w:t>
            </w:r>
          </w:p>
        </w:tc>
        <w:tc>
          <w:tcPr>
            <w:tcW w:w="2823" w:type="dxa"/>
            <w:vAlign w:val="top"/>
          </w:tcPr>
          <w:p w14:paraId="4BEE88FB">
            <w:pPr>
              <w:pStyle w:val="6"/>
              <w:spacing w:before="129" w:line="213" w:lineRule="auto"/>
              <w:ind w:left="163"/>
            </w:pPr>
            <w:r>
              <w:rPr>
                <w:rFonts w:ascii="宋体" w:hAnsi="宋体" w:eastAsia="宋体" w:cs="宋体"/>
                <w:spacing w:val="-1"/>
              </w:rPr>
              <w:t>斑纹窗纹藻</w:t>
            </w:r>
            <w:r>
              <w:rPr>
                <w:rFonts w:ascii="宋体" w:hAnsi="宋体" w:eastAsia="宋体" w:cs="宋体"/>
                <w:spacing w:val="-39"/>
              </w:rPr>
              <w:t xml:space="preserve"> </w:t>
            </w:r>
            <w:r>
              <w:rPr>
                <w:i/>
                <w:iCs/>
                <w:spacing w:val="-1"/>
              </w:rPr>
              <w:t>Epithemia zebra</w:t>
            </w:r>
          </w:p>
        </w:tc>
        <w:tc>
          <w:tcPr>
            <w:tcW w:w="678" w:type="dxa"/>
            <w:vAlign w:val="top"/>
          </w:tcPr>
          <w:p w14:paraId="00EA8DBF">
            <w:pPr>
              <w:pStyle w:val="6"/>
              <w:spacing w:before="164" w:line="250" w:lineRule="exact"/>
              <w:ind w:left="275"/>
            </w:pPr>
            <w:r>
              <w:rPr>
                <w:position w:val="1"/>
              </w:rPr>
              <w:t>+</w:t>
            </w:r>
          </w:p>
        </w:tc>
        <w:tc>
          <w:tcPr>
            <w:tcW w:w="750" w:type="dxa"/>
            <w:vAlign w:val="top"/>
          </w:tcPr>
          <w:p w14:paraId="6D13DE2D">
            <w:pPr>
              <w:pStyle w:val="6"/>
              <w:spacing w:before="164" w:line="250" w:lineRule="exact"/>
              <w:ind w:left="313"/>
            </w:pPr>
            <w:r>
              <w:rPr>
                <w:position w:val="1"/>
              </w:rPr>
              <w:t>+</w:t>
            </w:r>
          </w:p>
        </w:tc>
        <w:tc>
          <w:tcPr>
            <w:tcW w:w="677" w:type="dxa"/>
            <w:vAlign w:val="top"/>
          </w:tcPr>
          <w:p w14:paraId="4BA2A7E6">
            <w:pPr>
              <w:pStyle w:val="6"/>
              <w:spacing w:before="164" w:line="250" w:lineRule="exact"/>
              <w:ind w:left="280"/>
            </w:pPr>
            <w:r>
              <w:rPr>
                <w:position w:val="1"/>
              </w:rPr>
              <w:t>+</w:t>
            </w:r>
          </w:p>
        </w:tc>
        <w:tc>
          <w:tcPr>
            <w:tcW w:w="749" w:type="dxa"/>
            <w:vAlign w:val="top"/>
          </w:tcPr>
          <w:p w14:paraId="2E21D1FE">
            <w:pPr>
              <w:rPr>
                <w:rFonts w:ascii="Arial"/>
                <w:sz w:val="21"/>
              </w:rPr>
            </w:pPr>
          </w:p>
        </w:tc>
        <w:tc>
          <w:tcPr>
            <w:tcW w:w="1148" w:type="dxa"/>
            <w:vAlign w:val="top"/>
          </w:tcPr>
          <w:p w14:paraId="3333C2FC">
            <w:pPr>
              <w:pStyle w:val="6"/>
              <w:spacing w:before="164" w:line="250" w:lineRule="exact"/>
              <w:ind w:left="522"/>
            </w:pPr>
            <w:r>
              <w:rPr>
                <w:position w:val="1"/>
              </w:rPr>
              <w:t>+</w:t>
            </w:r>
          </w:p>
        </w:tc>
        <w:tc>
          <w:tcPr>
            <w:tcW w:w="1166" w:type="dxa"/>
            <w:tcBorders>
              <w:right w:val="single" w:color="000000" w:sz="12" w:space="0"/>
            </w:tcBorders>
            <w:vAlign w:val="top"/>
          </w:tcPr>
          <w:p w14:paraId="33FEA6C1">
            <w:pPr>
              <w:pStyle w:val="6"/>
              <w:spacing w:before="164" w:line="250" w:lineRule="exact"/>
              <w:ind w:left="527"/>
            </w:pPr>
            <w:r>
              <w:rPr>
                <w:position w:val="1"/>
              </w:rPr>
              <w:t>+</w:t>
            </w:r>
          </w:p>
        </w:tc>
      </w:tr>
      <w:tr w14:paraId="0E781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82" w:type="dxa"/>
            <w:vMerge w:val="continue"/>
            <w:tcBorders>
              <w:top w:val="nil"/>
              <w:left w:val="single" w:color="000000" w:sz="12" w:space="0"/>
            </w:tcBorders>
            <w:textDirection w:val="tbRlV"/>
            <w:vAlign w:val="top"/>
          </w:tcPr>
          <w:p w14:paraId="6FC858CA">
            <w:pPr>
              <w:rPr>
                <w:rFonts w:ascii="Arial"/>
                <w:sz w:val="21"/>
              </w:rPr>
            </w:pPr>
          </w:p>
        </w:tc>
        <w:tc>
          <w:tcPr>
            <w:tcW w:w="2823" w:type="dxa"/>
            <w:vAlign w:val="top"/>
          </w:tcPr>
          <w:p w14:paraId="7A2638D0">
            <w:pPr>
              <w:pStyle w:val="6"/>
              <w:spacing w:before="130" w:line="213" w:lineRule="auto"/>
              <w:ind w:left="236"/>
            </w:pPr>
            <w:r>
              <w:rPr>
                <w:rFonts w:ascii="宋体" w:hAnsi="宋体" w:eastAsia="宋体" w:cs="宋体"/>
                <w:spacing w:val="-2"/>
              </w:rPr>
              <w:t>鼠形窗纹藻</w:t>
            </w:r>
            <w:r>
              <w:rPr>
                <w:rFonts w:ascii="宋体" w:hAnsi="宋体" w:eastAsia="宋体" w:cs="宋体"/>
                <w:spacing w:val="-49"/>
              </w:rPr>
              <w:t xml:space="preserve"> </w:t>
            </w:r>
            <w:r>
              <w:rPr>
                <w:i/>
                <w:iCs/>
                <w:spacing w:val="-2"/>
              </w:rPr>
              <w:t>Epithemia orex</w:t>
            </w:r>
          </w:p>
        </w:tc>
        <w:tc>
          <w:tcPr>
            <w:tcW w:w="678" w:type="dxa"/>
            <w:vAlign w:val="top"/>
          </w:tcPr>
          <w:p w14:paraId="3F5E2FE2">
            <w:pPr>
              <w:pStyle w:val="6"/>
              <w:spacing w:before="165" w:line="250" w:lineRule="exact"/>
              <w:ind w:left="275"/>
            </w:pPr>
            <w:r>
              <w:rPr>
                <w:position w:val="1"/>
              </w:rPr>
              <w:t>+</w:t>
            </w:r>
          </w:p>
        </w:tc>
        <w:tc>
          <w:tcPr>
            <w:tcW w:w="750" w:type="dxa"/>
            <w:vAlign w:val="top"/>
          </w:tcPr>
          <w:p w14:paraId="64C37466">
            <w:pPr>
              <w:pStyle w:val="6"/>
              <w:spacing w:before="165" w:line="250" w:lineRule="exact"/>
              <w:ind w:left="255"/>
            </w:pPr>
            <w:r>
              <w:rPr>
                <w:spacing w:val="-1"/>
                <w:position w:val="1"/>
              </w:rPr>
              <w:t>++</w:t>
            </w:r>
          </w:p>
        </w:tc>
        <w:tc>
          <w:tcPr>
            <w:tcW w:w="677" w:type="dxa"/>
            <w:vAlign w:val="top"/>
          </w:tcPr>
          <w:p w14:paraId="7DB14A1C">
            <w:pPr>
              <w:pStyle w:val="6"/>
              <w:spacing w:before="165" w:line="250" w:lineRule="exact"/>
              <w:ind w:left="280"/>
            </w:pPr>
            <w:r>
              <w:rPr>
                <w:position w:val="1"/>
              </w:rPr>
              <w:t>+</w:t>
            </w:r>
          </w:p>
        </w:tc>
        <w:tc>
          <w:tcPr>
            <w:tcW w:w="749" w:type="dxa"/>
            <w:vAlign w:val="top"/>
          </w:tcPr>
          <w:p w14:paraId="64F5CED1">
            <w:pPr>
              <w:pStyle w:val="6"/>
              <w:spacing w:before="165" w:line="250" w:lineRule="exact"/>
              <w:ind w:left="318"/>
            </w:pPr>
            <w:r>
              <w:rPr>
                <w:position w:val="1"/>
              </w:rPr>
              <w:t>+</w:t>
            </w:r>
          </w:p>
        </w:tc>
        <w:tc>
          <w:tcPr>
            <w:tcW w:w="1148" w:type="dxa"/>
            <w:vAlign w:val="top"/>
          </w:tcPr>
          <w:p w14:paraId="25FEB203">
            <w:pPr>
              <w:pStyle w:val="6"/>
              <w:spacing w:before="165" w:line="250" w:lineRule="exact"/>
              <w:ind w:left="522"/>
            </w:pPr>
            <w:r>
              <w:rPr>
                <w:position w:val="1"/>
              </w:rPr>
              <w:t>+</w:t>
            </w:r>
          </w:p>
        </w:tc>
        <w:tc>
          <w:tcPr>
            <w:tcW w:w="1166" w:type="dxa"/>
            <w:tcBorders>
              <w:right w:val="single" w:color="000000" w:sz="12" w:space="0"/>
            </w:tcBorders>
            <w:vAlign w:val="top"/>
          </w:tcPr>
          <w:p w14:paraId="514D1314">
            <w:pPr>
              <w:pStyle w:val="6"/>
              <w:spacing w:before="165" w:line="250" w:lineRule="exact"/>
              <w:ind w:left="527"/>
            </w:pPr>
            <w:r>
              <w:rPr>
                <w:position w:val="1"/>
              </w:rPr>
              <w:t>+</w:t>
            </w:r>
          </w:p>
        </w:tc>
      </w:tr>
      <w:tr w14:paraId="2CF9A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restart"/>
            <w:tcBorders>
              <w:left w:val="single" w:color="000000" w:sz="12" w:space="0"/>
              <w:bottom w:val="nil"/>
            </w:tcBorders>
            <w:textDirection w:val="tbRlV"/>
            <w:vAlign w:val="top"/>
          </w:tcPr>
          <w:p w14:paraId="47851890">
            <w:pPr>
              <w:spacing w:before="137" w:line="208" w:lineRule="auto"/>
              <w:ind w:left="383"/>
              <w:rPr>
                <w:rFonts w:ascii="宋体" w:hAnsi="宋体" w:eastAsia="宋体" w:cs="宋体"/>
                <w:sz w:val="21"/>
                <w:szCs w:val="21"/>
              </w:rPr>
            </w:pPr>
            <w:r>
              <w:rPr>
                <w:rFonts w:ascii="宋体" w:hAnsi="宋体" w:eastAsia="宋体" w:cs="宋体"/>
                <w:spacing w:val="41"/>
                <w:sz w:val="21"/>
                <w:szCs w:val="21"/>
              </w:rPr>
              <w:t>菱形藻</w:t>
            </w:r>
          </w:p>
        </w:tc>
        <w:tc>
          <w:tcPr>
            <w:tcW w:w="2823" w:type="dxa"/>
            <w:vAlign w:val="top"/>
          </w:tcPr>
          <w:p w14:paraId="78490EF6">
            <w:pPr>
              <w:pStyle w:val="6"/>
              <w:spacing w:before="70" w:line="230" w:lineRule="auto"/>
              <w:ind w:left="972" w:right="472" w:hanging="507"/>
            </w:pPr>
            <w:r>
              <w:rPr>
                <w:rFonts w:ascii="宋体" w:hAnsi="宋体" w:eastAsia="宋体" w:cs="宋体"/>
                <w:spacing w:val="-1"/>
              </w:rPr>
              <w:t>奇异菱形藻</w:t>
            </w:r>
            <w:r>
              <w:rPr>
                <w:rFonts w:ascii="宋体" w:hAnsi="宋体" w:eastAsia="宋体" w:cs="宋体"/>
                <w:spacing w:val="-50"/>
              </w:rPr>
              <w:t xml:space="preserve"> </w:t>
            </w:r>
            <w:r>
              <w:rPr>
                <w:i/>
                <w:iCs/>
                <w:spacing w:val="-1"/>
              </w:rPr>
              <w:t>Nitzschia</w:t>
            </w:r>
            <w:r>
              <w:rPr>
                <w:i/>
                <w:iCs/>
              </w:rPr>
              <w:t xml:space="preserve"> </w:t>
            </w:r>
            <w:r>
              <w:rPr>
                <w:i/>
                <w:iCs/>
                <w:spacing w:val="2"/>
              </w:rPr>
              <w:t>paradoxa</w:t>
            </w:r>
          </w:p>
        </w:tc>
        <w:tc>
          <w:tcPr>
            <w:tcW w:w="678" w:type="dxa"/>
            <w:vAlign w:val="top"/>
          </w:tcPr>
          <w:p w14:paraId="072BC1E5">
            <w:pPr>
              <w:pStyle w:val="6"/>
              <w:spacing w:before="224" w:line="251" w:lineRule="exact"/>
              <w:ind w:left="275"/>
            </w:pPr>
            <w:r>
              <w:rPr>
                <w:position w:val="1"/>
              </w:rPr>
              <w:t>+</w:t>
            </w:r>
          </w:p>
        </w:tc>
        <w:tc>
          <w:tcPr>
            <w:tcW w:w="750" w:type="dxa"/>
            <w:vAlign w:val="top"/>
          </w:tcPr>
          <w:p w14:paraId="67EB5631">
            <w:pPr>
              <w:pStyle w:val="6"/>
              <w:spacing w:before="224" w:line="251" w:lineRule="exact"/>
              <w:ind w:left="313"/>
            </w:pPr>
            <w:r>
              <w:rPr>
                <w:position w:val="1"/>
              </w:rPr>
              <w:t>+</w:t>
            </w:r>
          </w:p>
        </w:tc>
        <w:tc>
          <w:tcPr>
            <w:tcW w:w="677" w:type="dxa"/>
            <w:vAlign w:val="top"/>
          </w:tcPr>
          <w:p w14:paraId="3DC5F273">
            <w:pPr>
              <w:pStyle w:val="6"/>
              <w:spacing w:before="224" w:line="251" w:lineRule="exact"/>
              <w:ind w:left="280"/>
            </w:pPr>
            <w:r>
              <w:rPr>
                <w:position w:val="1"/>
              </w:rPr>
              <w:t>+</w:t>
            </w:r>
          </w:p>
        </w:tc>
        <w:tc>
          <w:tcPr>
            <w:tcW w:w="749" w:type="dxa"/>
            <w:vAlign w:val="top"/>
          </w:tcPr>
          <w:p w14:paraId="0BCC56FA">
            <w:pPr>
              <w:pStyle w:val="6"/>
              <w:spacing w:before="224" w:line="251" w:lineRule="exact"/>
              <w:ind w:left="318"/>
            </w:pPr>
            <w:r>
              <w:rPr>
                <w:position w:val="1"/>
              </w:rPr>
              <w:t>+</w:t>
            </w:r>
          </w:p>
        </w:tc>
        <w:tc>
          <w:tcPr>
            <w:tcW w:w="1148" w:type="dxa"/>
            <w:vAlign w:val="top"/>
          </w:tcPr>
          <w:p w14:paraId="7C154BA3">
            <w:pPr>
              <w:rPr>
                <w:rFonts w:ascii="Arial"/>
                <w:sz w:val="21"/>
              </w:rPr>
            </w:pPr>
          </w:p>
        </w:tc>
        <w:tc>
          <w:tcPr>
            <w:tcW w:w="1166" w:type="dxa"/>
            <w:tcBorders>
              <w:right w:val="single" w:color="000000" w:sz="12" w:space="0"/>
            </w:tcBorders>
            <w:vAlign w:val="top"/>
          </w:tcPr>
          <w:p w14:paraId="222350CC">
            <w:pPr>
              <w:rPr>
                <w:rFonts w:ascii="Arial"/>
                <w:sz w:val="21"/>
              </w:rPr>
            </w:pPr>
          </w:p>
        </w:tc>
      </w:tr>
      <w:tr w14:paraId="56C94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82" w:type="dxa"/>
            <w:vMerge w:val="continue"/>
            <w:tcBorders>
              <w:top w:val="nil"/>
              <w:left w:val="single" w:color="000000" w:sz="12" w:space="0"/>
              <w:bottom w:val="nil"/>
            </w:tcBorders>
            <w:textDirection w:val="tbRlV"/>
            <w:vAlign w:val="top"/>
          </w:tcPr>
          <w:p w14:paraId="29274640">
            <w:pPr>
              <w:rPr>
                <w:rFonts w:ascii="Arial"/>
                <w:sz w:val="21"/>
              </w:rPr>
            </w:pPr>
          </w:p>
        </w:tc>
        <w:tc>
          <w:tcPr>
            <w:tcW w:w="2823" w:type="dxa"/>
            <w:vAlign w:val="top"/>
          </w:tcPr>
          <w:p w14:paraId="279B88AA">
            <w:pPr>
              <w:pStyle w:val="6"/>
              <w:spacing w:before="71" w:line="221" w:lineRule="auto"/>
              <w:ind w:left="228"/>
            </w:pPr>
            <w:r>
              <w:rPr>
                <w:rFonts w:ascii="宋体" w:hAnsi="宋体" w:eastAsia="宋体" w:cs="宋体"/>
              </w:rPr>
              <w:t>缝合菱形藻</w:t>
            </w:r>
            <w:r>
              <w:rPr>
                <w:rFonts w:ascii="宋体" w:hAnsi="宋体" w:eastAsia="宋体" w:cs="宋体"/>
                <w:spacing w:val="-58"/>
              </w:rPr>
              <w:t xml:space="preserve"> </w:t>
            </w:r>
            <w:r>
              <w:rPr>
                <w:i/>
                <w:iCs/>
              </w:rPr>
              <w:t>Nirzschia ricta</w:t>
            </w:r>
          </w:p>
        </w:tc>
        <w:tc>
          <w:tcPr>
            <w:tcW w:w="678" w:type="dxa"/>
            <w:vAlign w:val="top"/>
          </w:tcPr>
          <w:p w14:paraId="4AF536E8">
            <w:pPr>
              <w:pStyle w:val="6"/>
              <w:spacing w:before="105" w:line="216" w:lineRule="auto"/>
              <w:ind w:left="275"/>
            </w:pPr>
            <w:r>
              <w:t>+</w:t>
            </w:r>
          </w:p>
        </w:tc>
        <w:tc>
          <w:tcPr>
            <w:tcW w:w="750" w:type="dxa"/>
            <w:vAlign w:val="top"/>
          </w:tcPr>
          <w:p w14:paraId="34C00EF8">
            <w:pPr>
              <w:pStyle w:val="6"/>
              <w:spacing w:before="105" w:line="216" w:lineRule="auto"/>
              <w:ind w:left="196"/>
            </w:pPr>
            <w:r>
              <w:rPr>
                <w:spacing w:val="-1"/>
              </w:rPr>
              <w:t>+++</w:t>
            </w:r>
          </w:p>
        </w:tc>
        <w:tc>
          <w:tcPr>
            <w:tcW w:w="677" w:type="dxa"/>
            <w:vAlign w:val="top"/>
          </w:tcPr>
          <w:p w14:paraId="4DCBE609">
            <w:pPr>
              <w:pStyle w:val="6"/>
              <w:spacing w:before="105" w:line="216" w:lineRule="auto"/>
              <w:ind w:left="280"/>
            </w:pPr>
            <w:r>
              <w:t>+</w:t>
            </w:r>
          </w:p>
        </w:tc>
        <w:tc>
          <w:tcPr>
            <w:tcW w:w="749" w:type="dxa"/>
            <w:vAlign w:val="top"/>
          </w:tcPr>
          <w:p w14:paraId="213EEFAF">
            <w:pPr>
              <w:pStyle w:val="6"/>
              <w:spacing w:before="105" w:line="216" w:lineRule="auto"/>
              <w:ind w:left="318"/>
            </w:pPr>
            <w:r>
              <w:t>+</w:t>
            </w:r>
          </w:p>
        </w:tc>
        <w:tc>
          <w:tcPr>
            <w:tcW w:w="1148" w:type="dxa"/>
            <w:vAlign w:val="top"/>
          </w:tcPr>
          <w:p w14:paraId="13392F38">
            <w:pPr>
              <w:pStyle w:val="6"/>
              <w:spacing w:before="105" w:line="216" w:lineRule="auto"/>
              <w:ind w:left="522"/>
            </w:pPr>
            <w:r>
              <w:t>+</w:t>
            </w:r>
          </w:p>
        </w:tc>
        <w:tc>
          <w:tcPr>
            <w:tcW w:w="1166" w:type="dxa"/>
            <w:tcBorders>
              <w:right w:val="single" w:color="000000" w:sz="12" w:space="0"/>
            </w:tcBorders>
            <w:vAlign w:val="top"/>
          </w:tcPr>
          <w:p w14:paraId="01506B1A">
            <w:pPr>
              <w:pStyle w:val="6"/>
              <w:spacing w:before="105" w:line="216" w:lineRule="auto"/>
              <w:ind w:left="527"/>
            </w:pPr>
            <w:r>
              <w:t>+</w:t>
            </w:r>
          </w:p>
        </w:tc>
      </w:tr>
      <w:tr w14:paraId="610D5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1D63595C">
            <w:pPr>
              <w:rPr>
                <w:rFonts w:ascii="Arial"/>
                <w:sz w:val="21"/>
              </w:rPr>
            </w:pPr>
          </w:p>
        </w:tc>
        <w:tc>
          <w:tcPr>
            <w:tcW w:w="2823" w:type="dxa"/>
            <w:vAlign w:val="top"/>
          </w:tcPr>
          <w:p w14:paraId="6CF08B6F">
            <w:pPr>
              <w:pStyle w:val="6"/>
              <w:spacing w:before="72" w:line="229" w:lineRule="auto"/>
              <w:ind w:left="953" w:right="391" w:hanging="571"/>
            </w:pPr>
            <w:r>
              <w:rPr>
                <w:rFonts w:ascii="宋体" w:hAnsi="宋体" w:eastAsia="宋体" w:cs="宋体"/>
                <w:spacing w:val="-1"/>
              </w:rPr>
              <w:t>双尖菱板藻</w:t>
            </w:r>
            <w:r>
              <w:rPr>
                <w:rFonts w:ascii="宋体" w:hAnsi="宋体" w:eastAsia="宋体" w:cs="宋体"/>
                <w:spacing w:val="-47"/>
              </w:rPr>
              <w:t xml:space="preserve"> </w:t>
            </w:r>
            <w:r>
              <w:rPr>
                <w:i/>
                <w:iCs/>
                <w:spacing w:val="-1"/>
              </w:rPr>
              <w:t>Hantzschia</w:t>
            </w:r>
            <w:r>
              <w:rPr>
                <w:i/>
                <w:iCs/>
              </w:rPr>
              <w:t xml:space="preserve"> </w:t>
            </w:r>
            <w:r>
              <w:rPr>
                <w:i/>
                <w:iCs/>
                <w:spacing w:val="-1"/>
              </w:rPr>
              <w:t>amphioxys</w:t>
            </w:r>
          </w:p>
        </w:tc>
        <w:tc>
          <w:tcPr>
            <w:tcW w:w="678" w:type="dxa"/>
            <w:vAlign w:val="top"/>
          </w:tcPr>
          <w:p w14:paraId="018D5ADC">
            <w:pPr>
              <w:pStyle w:val="6"/>
              <w:spacing w:before="225" w:line="251" w:lineRule="exact"/>
              <w:ind w:left="157"/>
            </w:pPr>
            <w:r>
              <w:rPr>
                <w:spacing w:val="-1"/>
                <w:position w:val="1"/>
              </w:rPr>
              <w:t>+++</w:t>
            </w:r>
          </w:p>
        </w:tc>
        <w:tc>
          <w:tcPr>
            <w:tcW w:w="750" w:type="dxa"/>
            <w:vAlign w:val="top"/>
          </w:tcPr>
          <w:p w14:paraId="44BCDFFF">
            <w:pPr>
              <w:pStyle w:val="6"/>
              <w:spacing w:before="225" w:line="251" w:lineRule="exact"/>
              <w:ind w:left="313"/>
            </w:pPr>
            <w:r>
              <w:rPr>
                <w:position w:val="1"/>
              </w:rPr>
              <w:t>+</w:t>
            </w:r>
          </w:p>
        </w:tc>
        <w:tc>
          <w:tcPr>
            <w:tcW w:w="677" w:type="dxa"/>
            <w:vAlign w:val="top"/>
          </w:tcPr>
          <w:p w14:paraId="3B08BF9E">
            <w:pPr>
              <w:rPr>
                <w:rFonts w:ascii="Arial"/>
                <w:sz w:val="21"/>
              </w:rPr>
            </w:pPr>
          </w:p>
        </w:tc>
        <w:tc>
          <w:tcPr>
            <w:tcW w:w="749" w:type="dxa"/>
            <w:vAlign w:val="top"/>
          </w:tcPr>
          <w:p w14:paraId="69E565E7">
            <w:pPr>
              <w:pStyle w:val="6"/>
              <w:spacing w:before="225" w:line="251" w:lineRule="exact"/>
              <w:ind w:left="318"/>
            </w:pPr>
            <w:r>
              <w:rPr>
                <w:position w:val="1"/>
              </w:rPr>
              <w:t>+</w:t>
            </w:r>
          </w:p>
        </w:tc>
        <w:tc>
          <w:tcPr>
            <w:tcW w:w="1148" w:type="dxa"/>
            <w:vAlign w:val="top"/>
          </w:tcPr>
          <w:p w14:paraId="73E3BCEA">
            <w:pPr>
              <w:pStyle w:val="6"/>
              <w:spacing w:before="225" w:line="251" w:lineRule="exact"/>
              <w:ind w:left="522"/>
            </w:pPr>
            <w:r>
              <w:rPr>
                <w:position w:val="1"/>
              </w:rPr>
              <w:t>+</w:t>
            </w:r>
          </w:p>
        </w:tc>
        <w:tc>
          <w:tcPr>
            <w:tcW w:w="1166" w:type="dxa"/>
            <w:tcBorders>
              <w:right w:val="single" w:color="000000" w:sz="12" w:space="0"/>
            </w:tcBorders>
            <w:vAlign w:val="top"/>
          </w:tcPr>
          <w:p w14:paraId="55F39A2E">
            <w:pPr>
              <w:pStyle w:val="6"/>
              <w:spacing w:before="225" w:line="251" w:lineRule="exact"/>
              <w:ind w:left="527"/>
            </w:pPr>
            <w:r>
              <w:rPr>
                <w:position w:val="1"/>
              </w:rPr>
              <w:t>+</w:t>
            </w:r>
          </w:p>
        </w:tc>
      </w:tr>
      <w:tr w14:paraId="28C71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82" w:type="dxa"/>
            <w:vMerge w:val="restart"/>
            <w:tcBorders>
              <w:left w:val="single" w:color="000000" w:sz="12" w:space="0"/>
              <w:bottom w:val="nil"/>
            </w:tcBorders>
            <w:textDirection w:val="tbRlV"/>
            <w:vAlign w:val="top"/>
          </w:tcPr>
          <w:p w14:paraId="7D3E5F16">
            <w:pPr>
              <w:spacing w:before="137" w:line="208" w:lineRule="auto"/>
              <w:ind w:left="265"/>
              <w:rPr>
                <w:rFonts w:ascii="宋体" w:hAnsi="宋体" w:eastAsia="宋体" w:cs="宋体"/>
                <w:sz w:val="21"/>
                <w:szCs w:val="21"/>
              </w:rPr>
            </w:pPr>
            <w:r>
              <w:rPr>
                <w:rFonts w:ascii="宋体" w:hAnsi="宋体" w:eastAsia="宋体" w:cs="宋体"/>
                <w:spacing w:val="41"/>
                <w:sz w:val="21"/>
                <w:szCs w:val="21"/>
              </w:rPr>
              <w:t>双菱藻</w:t>
            </w:r>
          </w:p>
        </w:tc>
        <w:tc>
          <w:tcPr>
            <w:tcW w:w="2823" w:type="dxa"/>
            <w:vAlign w:val="top"/>
          </w:tcPr>
          <w:p w14:paraId="56C51585">
            <w:pPr>
              <w:pStyle w:val="6"/>
              <w:spacing w:before="73" w:line="220" w:lineRule="auto"/>
              <w:ind w:left="228"/>
            </w:pPr>
            <w:r>
              <w:rPr>
                <w:rFonts w:ascii="宋体" w:hAnsi="宋体" w:eastAsia="宋体" w:cs="宋体"/>
                <w:spacing w:val="-1"/>
              </w:rPr>
              <w:t>卵形双菱藻</w:t>
            </w:r>
            <w:r>
              <w:rPr>
                <w:rFonts w:ascii="宋体" w:hAnsi="宋体" w:eastAsia="宋体" w:cs="宋体"/>
                <w:spacing w:val="-47"/>
              </w:rPr>
              <w:t xml:space="preserve"> </w:t>
            </w:r>
            <w:r>
              <w:rPr>
                <w:i/>
                <w:iCs/>
                <w:spacing w:val="-1"/>
              </w:rPr>
              <w:t>Surirella ovata</w:t>
            </w:r>
          </w:p>
        </w:tc>
        <w:tc>
          <w:tcPr>
            <w:tcW w:w="678" w:type="dxa"/>
            <w:vAlign w:val="top"/>
          </w:tcPr>
          <w:p w14:paraId="12DA6CDB">
            <w:pPr>
              <w:pStyle w:val="6"/>
              <w:spacing w:before="107" w:line="215" w:lineRule="auto"/>
              <w:ind w:left="275"/>
            </w:pPr>
            <w:r>
              <w:t>+</w:t>
            </w:r>
          </w:p>
        </w:tc>
        <w:tc>
          <w:tcPr>
            <w:tcW w:w="750" w:type="dxa"/>
            <w:vAlign w:val="top"/>
          </w:tcPr>
          <w:p w14:paraId="443B6637">
            <w:pPr>
              <w:rPr>
                <w:rFonts w:ascii="Arial"/>
                <w:sz w:val="21"/>
              </w:rPr>
            </w:pPr>
          </w:p>
        </w:tc>
        <w:tc>
          <w:tcPr>
            <w:tcW w:w="677" w:type="dxa"/>
            <w:vAlign w:val="top"/>
          </w:tcPr>
          <w:p w14:paraId="2D877F1D">
            <w:pPr>
              <w:pStyle w:val="6"/>
              <w:spacing w:before="107" w:line="215" w:lineRule="auto"/>
              <w:ind w:left="280"/>
            </w:pPr>
            <w:r>
              <w:t>+</w:t>
            </w:r>
          </w:p>
        </w:tc>
        <w:tc>
          <w:tcPr>
            <w:tcW w:w="749" w:type="dxa"/>
            <w:vAlign w:val="top"/>
          </w:tcPr>
          <w:p w14:paraId="2F2E6861">
            <w:pPr>
              <w:pStyle w:val="6"/>
              <w:spacing w:before="107" w:line="215" w:lineRule="auto"/>
              <w:ind w:left="318"/>
            </w:pPr>
            <w:r>
              <w:t>+</w:t>
            </w:r>
          </w:p>
        </w:tc>
        <w:tc>
          <w:tcPr>
            <w:tcW w:w="1148" w:type="dxa"/>
            <w:vAlign w:val="top"/>
          </w:tcPr>
          <w:p w14:paraId="4590DCE5">
            <w:pPr>
              <w:pStyle w:val="6"/>
              <w:spacing w:before="107" w:line="215" w:lineRule="auto"/>
              <w:ind w:left="522"/>
            </w:pPr>
            <w:r>
              <w:t>+</w:t>
            </w:r>
          </w:p>
        </w:tc>
        <w:tc>
          <w:tcPr>
            <w:tcW w:w="1166" w:type="dxa"/>
            <w:tcBorders>
              <w:right w:val="single" w:color="000000" w:sz="12" w:space="0"/>
            </w:tcBorders>
            <w:vAlign w:val="top"/>
          </w:tcPr>
          <w:p w14:paraId="35E8207B">
            <w:pPr>
              <w:pStyle w:val="6"/>
              <w:spacing w:before="107" w:line="215" w:lineRule="auto"/>
              <w:ind w:left="527"/>
            </w:pPr>
            <w:r>
              <w:t>+</w:t>
            </w:r>
          </w:p>
        </w:tc>
      </w:tr>
      <w:tr w14:paraId="2AFB0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63C15E6E">
            <w:pPr>
              <w:rPr>
                <w:rFonts w:ascii="Arial"/>
                <w:sz w:val="21"/>
              </w:rPr>
            </w:pPr>
          </w:p>
        </w:tc>
        <w:tc>
          <w:tcPr>
            <w:tcW w:w="2823" w:type="dxa"/>
            <w:vAlign w:val="top"/>
          </w:tcPr>
          <w:p w14:paraId="153FEFC6">
            <w:pPr>
              <w:spacing w:before="72" w:line="220" w:lineRule="auto"/>
              <w:ind w:left="467"/>
              <w:rPr>
                <w:rFonts w:ascii="宋体" w:hAnsi="宋体" w:eastAsia="宋体" w:cs="宋体"/>
                <w:sz w:val="21"/>
                <w:szCs w:val="21"/>
              </w:rPr>
            </w:pPr>
            <w:r>
              <w:rPr>
                <w:rFonts w:ascii="宋体" w:hAnsi="宋体" w:eastAsia="宋体" w:cs="宋体"/>
                <w:spacing w:val="-2"/>
                <w:sz w:val="21"/>
                <w:szCs w:val="21"/>
              </w:rPr>
              <w:t>卵形双菱藻羽纹变种</w:t>
            </w:r>
          </w:p>
          <w:p w14:paraId="695E2939">
            <w:pPr>
              <w:pStyle w:val="6"/>
              <w:spacing w:before="40" w:line="190" w:lineRule="auto"/>
              <w:ind w:left="250"/>
            </w:pPr>
            <w:r>
              <w:rPr>
                <w:i/>
                <w:iCs/>
              </w:rPr>
              <w:t>Suwirella</w:t>
            </w:r>
            <w:r>
              <w:rPr>
                <w:i/>
                <w:iCs/>
                <w:spacing w:val="6"/>
              </w:rPr>
              <w:t xml:space="preserve"> </w:t>
            </w:r>
            <w:r>
              <w:rPr>
                <w:i/>
                <w:iCs/>
              </w:rPr>
              <w:t>ovata</w:t>
            </w:r>
            <w:r>
              <w:rPr>
                <w:i/>
                <w:iCs/>
                <w:spacing w:val="6"/>
              </w:rPr>
              <w:t xml:space="preserve"> </w:t>
            </w:r>
            <w:r>
              <w:rPr>
                <w:i/>
                <w:iCs/>
              </w:rPr>
              <w:t>var</w:t>
            </w:r>
            <w:r>
              <w:rPr>
                <w:i/>
                <w:iCs/>
                <w:spacing w:val="6"/>
              </w:rPr>
              <w:t>.</w:t>
            </w:r>
            <w:r>
              <w:rPr>
                <w:i/>
                <w:iCs/>
                <w:spacing w:val="-21"/>
              </w:rPr>
              <w:t xml:space="preserve"> </w:t>
            </w:r>
            <w:r>
              <w:rPr>
                <w:i/>
                <w:iCs/>
              </w:rPr>
              <w:t>pinala</w:t>
            </w:r>
          </w:p>
        </w:tc>
        <w:tc>
          <w:tcPr>
            <w:tcW w:w="678" w:type="dxa"/>
            <w:vAlign w:val="top"/>
          </w:tcPr>
          <w:p w14:paraId="7D262253">
            <w:pPr>
              <w:pStyle w:val="6"/>
              <w:spacing w:before="227" w:line="251" w:lineRule="exact"/>
              <w:ind w:left="216"/>
            </w:pPr>
            <w:r>
              <w:rPr>
                <w:spacing w:val="-1"/>
                <w:position w:val="1"/>
              </w:rPr>
              <w:t>++</w:t>
            </w:r>
          </w:p>
        </w:tc>
        <w:tc>
          <w:tcPr>
            <w:tcW w:w="750" w:type="dxa"/>
            <w:vAlign w:val="top"/>
          </w:tcPr>
          <w:p w14:paraId="71CF262A">
            <w:pPr>
              <w:pStyle w:val="6"/>
              <w:spacing w:before="227" w:line="251" w:lineRule="exact"/>
              <w:ind w:left="313"/>
            </w:pPr>
            <w:r>
              <w:rPr>
                <w:position w:val="1"/>
              </w:rPr>
              <w:t>+</w:t>
            </w:r>
          </w:p>
        </w:tc>
        <w:tc>
          <w:tcPr>
            <w:tcW w:w="677" w:type="dxa"/>
            <w:vAlign w:val="top"/>
          </w:tcPr>
          <w:p w14:paraId="4A30A4F6">
            <w:pPr>
              <w:rPr>
                <w:rFonts w:ascii="Arial"/>
                <w:sz w:val="21"/>
              </w:rPr>
            </w:pPr>
          </w:p>
        </w:tc>
        <w:tc>
          <w:tcPr>
            <w:tcW w:w="749" w:type="dxa"/>
            <w:vAlign w:val="top"/>
          </w:tcPr>
          <w:p w14:paraId="136F970C">
            <w:pPr>
              <w:pStyle w:val="6"/>
              <w:spacing w:before="227" w:line="251" w:lineRule="exact"/>
              <w:ind w:left="259"/>
            </w:pPr>
            <w:r>
              <w:rPr>
                <w:spacing w:val="-1"/>
                <w:position w:val="1"/>
              </w:rPr>
              <w:t>++</w:t>
            </w:r>
          </w:p>
        </w:tc>
        <w:tc>
          <w:tcPr>
            <w:tcW w:w="1148" w:type="dxa"/>
            <w:vAlign w:val="top"/>
          </w:tcPr>
          <w:p w14:paraId="60820CFB">
            <w:pPr>
              <w:pStyle w:val="6"/>
              <w:spacing w:before="227" w:line="251" w:lineRule="exact"/>
              <w:ind w:left="522"/>
            </w:pPr>
            <w:r>
              <w:rPr>
                <w:position w:val="1"/>
              </w:rPr>
              <w:t>+</w:t>
            </w:r>
          </w:p>
        </w:tc>
        <w:tc>
          <w:tcPr>
            <w:tcW w:w="1166" w:type="dxa"/>
            <w:tcBorders>
              <w:right w:val="single" w:color="000000" w:sz="12" w:space="0"/>
            </w:tcBorders>
            <w:vAlign w:val="top"/>
          </w:tcPr>
          <w:p w14:paraId="65589CF1">
            <w:pPr>
              <w:rPr>
                <w:rFonts w:ascii="Arial"/>
                <w:sz w:val="21"/>
              </w:rPr>
            </w:pPr>
          </w:p>
        </w:tc>
      </w:tr>
      <w:tr w14:paraId="11A01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82" w:type="dxa"/>
            <w:vMerge w:val="continue"/>
            <w:tcBorders>
              <w:top w:val="nil"/>
              <w:left w:val="single" w:color="000000" w:sz="12" w:space="0"/>
            </w:tcBorders>
            <w:textDirection w:val="tbRlV"/>
            <w:vAlign w:val="top"/>
          </w:tcPr>
          <w:p w14:paraId="3B9211DF">
            <w:pPr>
              <w:rPr>
                <w:rFonts w:ascii="Arial"/>
                <w:sz w:val="21"/>
              </w:rPr>
            </w:pPr>
          </w:p>
        </w:tc>
        <w:tc>
          <w:tcPr>
            <w:tcW w:w="2823" w:type="dxa"/>
            <w:vAlign w:val="top"/>
          </w:tcPr>
          <w:p w14:paraId="0CF76B40">
            <w:pPr>
              <w:pStyle w:val="6"/>
              <w:spacing w:before="75" w:line="218" w:lineRule="auto"/>
              <w:ind w:left="124"/>
            </w:pPr>
            <w:r>
              <w:rPr>
                <w:rFonts w:ascii="宋体" w:hAnsi="宋体" w:eastAsia="宋体" w:cs="宋体"/>
                <w:spacing w:val="-1"/>
              </w:rPr>
              <w:t>租壮双菱藻</w:t>
            </w:r>
            <w:r>
              <w:rPr>
                <w:rFonts w:ascii="宋体" w:hAnsi="宋体" w:eastAsia="宋体" w:cs="宋体"/>
                <w:spacing w:val="-39"/>
              </w:rPr>
              <w:t xml:space="preserve"> </w:t>
            </w:r>
            <w:r>
              <w:rPr>
                <w:i/>
                <w:iCs/>
                <w:spacing w:val="-1"/>
              </w:rPr>
              <w:t>Sunirella robusta</w:t>
            </w:r>
          </w:p>
        </w:tc>
        <w:tc>
          <w:tcPr>
            <w:tcW w:w="678" w:type="dxa"/>
            <w:vAlign w:val="top"/>
          </w:tcPr>
          <w:p w14:paraId="25B90B3C">
            <w:pPr>
              <w:pStyle w:val="6"/>
              <w:spacing w:before="108" w:line="213" w:lineRule="auto"/>
              <w:ind w:left="275"/>
            </w:pPr>
            <w:r>
              <w:t>+</w:t>
            </w:r>
          </w:p>
        </w:tc>
        <w:tc>
          <w:tcPr>
            <w:tcW w:w="750" w:type="dxa"/>
            <w:vAlign w:val="top"/>
          </w:tcPr>
          <w:p w14:paraId="0A400C5B">
            <w:pPr>
              <w:pStyle w:val="6"/>
              <w:spacing w:before="108" w:line="213" w:lineRule="auto"/>
              <w:ind w:left="313"/>
            </w:pPr>
            <w:r>
              <w:t>+</w:t>
            </w:r>
          </w:p>
        </w:tc>
        <w:tc>
          <w:tcPr>
            <w:tcW w:w="677" w:type="dxa"/>
            <w:vAlign w:val="top"/>
          </w:tcPr>
          <w:p w14:paraId="1BA067DC">
            <w:pPr>
              <w:pStyle w:val="6"/>
              <w:spacing w:before="108" w:line="213" w:lineRule="auto"/>
              <w:ind w:left="280"/>
            </w:pPr>
            <w:r>
              <w:t>+</w:t>
            </w:r>
          </w:p>
        </w:tc>
        <w:tc>
          <w:tcPr>
            <w:tcW w:w="749" w:type="dxa"/>
            <w:vAlign w:val="top"/>
          </w:tcPr>
          <w:p w14:paraId="687C9F36">
            <w:pPr>
              <w:pStyle w:val="6"/>
              <w:spacing w:before="108" w:line="213" w:lineRule="auto"/>
              <w:ind w:left="318"/>
            </w:pPr>
            <w:r>
              <w:t>+</w:t>
            </w:r>
          </w:p>
        </w:tc>
        <w:tc>
          <w:tcPr>
            <w:tcW w:w="1148" w:type="dxa"/>
            <w:vAlign w:val="top"/>
          </w:tcPr>
          <w:p w14:paraId="2D5123B2">
            <w:pPr>
              <w:pStyle w:val="6"/>
              <w:spacing w:before="108" w:line="213" w:lineRule="auto"/>
              <w:ind w:left="403"/>
            </w:pPr>
            <w:r>
              <w:rPr>
                <w:spacing w:val="-1"/>
              </w:rPr>
              <w:t>+++</w:t>
            </w:r>
          </w:p>
        </w:tc>
        <w:tc>
          <w:tcPr>
            <w:tcW w:w="1166" w:type="dxa"/>
            <w:tcBorders>
              <w:right w:val="single" w:color="000000" w:sz="12" w:space="0"/>
            </w:tcBorders>
            <w:vAlign w:val="top"/>
          </w:tcPr>
          <w:p w14:paraId="1055B257">
            <w:pPr>
              <w:pStyle w:val="6"/>
              <w:spacing w:before="108" w:line="213" w:lineRule="auto"/>
              <w:ind w:left="527"/>
            </w:pPr>
            <w:r>
              <w:t>+</w:t>
            </w:r>
          </w:p>
        </w:tc>
      </w:tr>
      <w:tr w14:paraId="7D50B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3305" w:type="dxa"/>
            <w:gridSpan w:val="2"/>
            <w:tcBorders>
              <w:left w:val="single" w:color="000000" w:sz="12" w:space="0"/>
            </w:tcBorders>
            <w:vAlign w:val="top"/>
          </w:tcPr>
          <w:p w14:paraId="13A33EA6">
            <w:pPr>
              <w:pStyle w:val="6"/>
              <w:spacing w:before="138" w:line="212" w:lineRule="auto"/>
              <w:ind w:left="522"/>
            </w:pPr>
            <w:r>
              <w:rPr>
                <w:rFonts w:ascii="宋体" w:hAnsi="宋体" w:eastAsia="宋体" w:cs="宋体"/>
                <w:b/>
                <w:bCs/>
                <w:spacing w:val="-2"/>
              </w:rPr>
              <w:t>二、绿藻门</w:t>
            </w:r>
            <w:r>
              <w:rPr>
                <w:rFonts w:ascii="宋体" w:hAnsi="宋体" w:eastAsia="宋体" w:cs="宋体"/>
                <w:spacing w:val="-40"/>
              </w:rPr>
              <w:t xml:space="preserve"> </w:t>
            </w:r>
            <w:r>
              <w:rPr>
                <w:b/>
                <w:bCs/>
                <w:spacing w:val="-2"/>
              </w:rPr>
              <w:t>Chlorophyta</w:t>
            </w:r>
          </w:p>
        </w:tc>
        <w:tc>
          <w:tcPr>
            <w:tcW w:w="678" w:type="dxa"/>
            <w:vAlign w:val="top"/>
          </w:tcPr>
          <w:p w14:paraId="44F8F7C8">
            <w:pPr>
              <w:rPr>
                <w:rFonts w:ascii="Arial"/>
                <w:sz w:val="21"/>
              </w:rPr>
            </w:pPr>
          </w:p>
        </w:tc>
        <w:tc>
          <w:tcPr>
            <w:tcW w:w="750" w:type="dxa"/>
            <w:vAlign w:val="top"/>
          </w:tcPr>
          <w:p w14:paraId="253D3787">
            <w:pPr>
              <w:rPr>
                <w:rFonts w:ascii="Arial"/>
                <w:sz w:val="21"/>
              </w:rPr>
            </w:pPr>
          </w:p>
        </w:tc>
        <w:tc>
          <w:tcPr>
            <w:tcW w:w="677" w:type="dxa"/>
            <w:vAlign w:val="top"/>
          </w:tcPr>
          <w:p w14:paraId="28001CCD">
            <w:pPr>
              <w:rPr>
                <w:rFonts w:ascii="Arial"/>
                <w:sz w:val="21"/>
              </w:rPr>
            </w:pPr>
          </w:p>
        </w:tc>
        <w:tc>
          <w:tcPr>
            <w:tcW w:w="749" w:type="dxa"/>
            <w:vAlign w:val="top"/>
          </w:tcPr>
          <w:p w14:paraId="31E42DB6">
            <w:pPr>
              <w:rPr>
                <w:rFonts w:ascii="Arial"/>
                <w:sz w:val="21"/>
              </w:rPr>
            </w:pPr>
          </w:p>
        </w:tc>
        <w:tc>
          <w:tcPr>
            <w:tcW w:w="1148" w:type="dxa"/>
            <w:vAlign w:val="top"/>
          </w:tcPr>
          <w:p w14:paraId="0E4A4693">
            <w:pPr>
              <w:rPr>
                <w:rFonts w:ascii="Arial"/>
                <w:sz w:val="21"/>
              </w:rPr>
            </w:pPr>
          </w:p>
        </w:tc>
        <w:tc>
          <w:tcPr>
            <w:tcW w:w="1166" w:type="dxa"/>
            <w:tcBorders>
              <w:right w:val="single" w:color="000000" w:sz="12" w:space="0"/>
            </w:tcBorders>
            <w:vAlign w:val="top"/>
          </w:tcPr>
          <w:p w14:paraId="256B743F">
            <w:pPr>
              <w:rPr>
                <w:rFonts w:ascii="Arial"/>
                <w:sz w:val="21"/>
              </w:rPr>
            </w:pPr>
          </w:p>
        </w:tc>
      </w:tr>
      <w:tr w14:paraId="468BA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482" w:type="dxa"/>
            <w:tcBorders>
              <w:left w:val="single" w:color="000000" w:sz="12" w:space="0"/>
            </w:tcBorders>
            <w:textDirection w:val="tbRlV"/>
            <w:vAlign w:val="top"/>
          </w:tcPr>
          <w:p w14:paraId="69C78717">
            <w:pPr>
              <w:spacing w:before="137" w:line="209" w:lineRule="auto"/>
              <w:ind w:left="76"/>
              <w:rPr>
                <w:rFonts w:ascii="宋体" w:hAnsi="宋体" w:eastAsia="宋体" w:cs="宋体"/>
                <w:sz w:val="21"/>
                <w:szCs w:val="21"/>
              </w:rPr>
            </w:pPr>
            <w:r>
              <w:rPr>
                <w:rFonts w:ascii="宋体" w:hAnsi="宋体" w:eastAsia="宋体" w:cs="宋体"/>
                <w:spacing w:val="31"/>
                <w:sz w:val="21"/>
                <w:szCs w:val="21"/>
              </w:rPr>
              <w:t>盘藻</w:t>
            </w:r>
          </w:p>
        </w:tc>
        <w:tc>
          <w:tcPr>
            <w:tcW w:w="2823" w:type="dxa"/>
            <w:vAlign w:val="top"/>
          </w:tcPr>
          <w:p w14:paraId="602FFD57">
            <w:pPr>
              <w:pStyle w:val="6"/>
              <w:spacing w:before="211" w:line="213" w:lineRule="auto"/>
              <w:ind w:left="391"/>
            </w:pPr>
            <w:r>
              <w:rPr>
                <w:rFonts w:ascii="宋体" w:hAnsi="宋体" w:eastAsia="宋体" w:cs="宋体"/>
                <w:spacing w:val="-1"/>
              </w:rPr>
              <w:t>盘藻</w:t>
            </w:r>
            <w:r>
              <w:rPr>
                <w:rFonts w:ascii="宋体" w:hAnsi="宋体" w:eastAsia="宋体" w:cs="宋体"/>
                <w:spacing w:val="-44"/>
              </w:rPr>
              <w:t xml:space="preserve"> </w:t>
            </w:r>
            <w:r>
              <w:rPr>
                <w:spacing w:val="-1"/>
              </w:rPr>
              <w:t>Gonitam pectorale</w:t>
            </w:r>
          </w:p>
        </w:tc>
        <w:tc>
          <w:tcPr>
            <w:tcW w:w="678" w:type="dxa"/>
            <w:vAlign w:val="top"/>
          </w:tcPr>
          <w:p w14:paraId="4805295B">
            <w:pPr>
              <w:pStyle w:val="6"/>
              <w:spacing w:before="245" w:line="251" w:lineRule="exact"/>
              <w:ind w:left="216"/>
            </w:pPr>
            <w:r>
              <w:rPr>
                <w:spacing w:val="-1"/>
                <w:position w:val="1"/>
              </w:rPr>
              <w:t>++</w:t>
            </w:r>
          </w:p>
        </w:tc>
        <w:tc>
          <w:tcPr>
            <w:tcW w:w="750" w:type="dxa"/>
            <w:vAlign w:val="top"/>
          </w:tcPr>
          <w:p w14:paraId="1DE7087E">
            <w:pPr>
              <w:pStyle w:val="6"/>
              <w:spacing w:before="245" w:line="251" w:lineRule="exact"/>
              <w:ind w:left="313"/>
            </w:pPr>
            <w:r>
              <w:rPr>
                <w:position w:val="1"/>
              </w:rPr>
              <w:t>+</w:t>
            </w:r>
          </w:p>
        </w:tc>
        <w:tc>
          <w:tcPr>
            <w:tcW w:w="677" w:type="dxa"/>
            <w:vAlign w:val="top"/>
          </w:tcPr>
          <w:p w14:paraId="42036AE4">
            <w:pPr>
              <w:pStyle w:val="6"/>
              <w:spacing w:before="245" w:line="251" w:lineRule="exact"/>
              <w:ind w:left="280"/>
            </w:pPr>
            <w:r>
              <w:rPr>
                <w:position w:val="1"/>
              </w:rPr>
              <w:t>+</w:t>
            </w:r>
          </w:p>
        </w:tc>
        <w:tc>
          <w:tcPr>
            <w:tcW w:w="749" w:type="dxa"/>
            <w:vAlign w:val="top"/>
          </w:tcPr>
          <w:p w14:paraId="382FE79A">
            <w:pPr>
              <w:rPr>
                <w:rFonts w:ascii="Arial"/>
                <w:sz w:val="21"/>
              </w:rPr>
            </w:pPr>
          </w:p>
        </w:tc>
        <w:tc>
          <w:tcPr>
            <w:tcW w:w="1148" w:type="dxa"/>
            <w:vAlign w:val="top"/>
          </w:tcPr>
          <w:p w14:paraId="2B5BAF8D">
            <w:pPr>
              <w:rPr>
                <w:rFonts w:ascii="Arial"/>
                <w:sz w:val="21"/>
              </w:rPr>
            </w:pPr>
          </w:p>
        </w:tc>
        <w:tc>
          <w:tcPr>
            <w:tcW w:w="1166" w:type="dxa"/>
            <w:tcBorders>
              <w:right w:val="single" w:color="000000" w:sz="12" w:space="0"/>
            </w:tcBorders>
            <w:vAlign w:val="top"/>
          </w:tcPr>
          <w:p w14:paraId="1579DCCA">
            <w:pPr>
              <w:rPr>
                <w:rFonts w:ascii="Arial"/>
                <w:sz w:val="21"/>
              </w:rPr>
            </w:pPr>
          </w:p>
        </w:tc>
      </w:tr>
      <w:tr w14:paraId="76EB3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482" w:type="dxa"/>
            <w:tcBorders>
              <w:left w:val="single" w:color="000000" w:sz="12" w:space="0"/>
            </w:tcBorders>
            <w:textDirection w:val="tbRlV"/>
            <w:vAlign w:val="top"/>
          </w:tcPr>
          <w:p w14:paraId="498DD59B">
            <w:pPr>
              <w:spacing w:before="138" w:line="206" w:lineRule="auto"/>
              <w:ind w:left="78"/>
              <w:rPr>
                <w:rFonts w:ascii="宋体" w:hAnsi="宋体" w:eastAsia="宋体" w:cs="宋体"/>
                <w:sz w:val="21"/>
                <w:szCs w:val="21"/>
              </w:rPr>
            </w:pPr>
            <w:r>
              <w:rPr>
                <w:rFonts w:ascii="宋体" w:hAnsi="宋体" w:eastAsia="宋体" w:cs="宋体"/>
                <w:spacing w:val="31"/>
                <w:sz w:val="21"/>
                <w:szCs w:val="21"/>
              </w:rPr>
              <w:t>团藻</w:t>
            </w:r>
          </w:p>
        </w:tc>
        <w:tc>
          <w:tcPr>
            <w:tcW w:w="2823" w:type="dxa"/>
            <w:vAlign w:val="top"/>
          </w:tcPr>
          <w:p w14:paraId="0B7A8AED">
            <w:pPr>
              <w:pStyle w:val="6"/>
              <w:spacing w:before="213" w:line="234" w:lineRule="auto"/>
              <w:ind w:left="381"/>
            </w:pPr>
            <w:r>
              <w:rPr>
                <w:rFonts w:ascii="宋体" w:hAnsi="宋体" w:eastAsia="宋体" w:cs="宋体"/>
                <w:spacing w:val="-1"/>
              </w:rPr>
              <w:t>美丽团藻</w:t>
            </w:r>
            <w:r>
              <w:rPr>
                <w:rFonts w:ascii="宋体" w:hAnsi="宋体" w:eastAsia="宋体" w:cs="宋体"/>
                <w:spacing w:val="-47"/>
              </w:rPr>
              <w:t xml:space="preserve"> </w:t>
            </w:r>
            <w:r>
              <w:rPr>
                <w:spacing w:val="-1"/>
              </w:rPr>
              <w:t>Vehox aurens</w:t>
            </w:r>
          </w:p>
        </w:tc>
        <w:tc>
          <w:tcPr>
            <w:tcW w:w="678" w:type="dxa"/>
            <w:vAlign w:val="top"/>
          </w:tcPr>
          <w:p w14:paraId="5E1E539B">
            <w:pPr>
              <w:pStyle w:val="6"/>
              <w:spacing w:before="247" w:line="251" w:lineRule="exact"/>
              <w:ind w:left="275"/>
            </w:pPr>
            <w:r>
              <w:rPr>
                <w:position w:val="1"/>
              </w:rPr>
              <w:t>+</w:t>
            </w:r>
          </w:p>
        </w:tc>
        <w:tc>
          <w:tcPr>
            <w:tcW w:w="750" w:type="dxa"/>
            <w:vAlign w:val="top"/>
          </w:tcPr>
          <w:p w14:paraId="664B3EB8">
            <w:pPr>
              <w:rPr>
                <w:rFonts w:ascii="Arial"/>
                <w:sz w:val="21"/>
              </w:rPr>
            </w:pPr>
          </w:p>
        </w:tc>
        <w:tc>
          <w:tcPr>
            <w:tcW w:w="677" w:type="dxa"/>
            <w:vAlign w:val="top"/>
          </w:tcPr>
          <w:p w14:paraId="14AD22F9">
            <w:pPr>
              <w:pStyle w:val="6"/>
              <w:spacing w:before="247" w:line="251" w:lineRule="exact"/>
              <w:ind w:left="280"/>
            </w:pPr>
            <w:r>
              <w:rPr>
                <w:position w:val="1"/>
              </w:rPr>
              <w:t>+</w:t>
            </w:r>
          </w:p>
        </w:tc>
        <w:tc>
          <w:tcPr>
            <w:tcW w:w="749" w:type="dxa"/>
            <w:vAlign w:val="top"/>
          </w:tcPr>
          <w:p w14:paraId="2F5A5CFB">
            <w:pPr>
              <w:pStyle w:val="6"/>
              <w:spacing w:before="247" w:line="251" w:lineRule="exact"/>
              <w:ind w:left="318"/>
            </w:pPr>
            <w:r>
              <w:rPr>
                <w:position w:val="1"/>
              </w:rPr>
              <w:t>+</w:t>
            </w:r>
          </w:p>
        </w:tc>
        <w:tc>
          <w:tcPr>
            <w:tcW w:w="1148" w:type="dxa"/>
            <w:vAlign w:val="top"/>
          </w:tcPr>
          <w:p w14:paraId="24CD9B9D">
            <w:pPr>
              <w:rPr>
                <w:rFonts w:ascii="Arial"/>
                <w:sz w:val="21"/>
              </w:rPr>
            </w:pPr>
          </w:p>
        </w:tc>
        <w:tc>
          <w:tcPr>
            <w:tcW w:w="1166" w:type="dxa"/>
            <w:tcBorders>
              <w:right w:val="single" w:color="000000" w:sz="12" w:space="0"/>
            </w:tcBorders>
            <w:vAlign w:val="top"/>
          </w:tcPr>
          <w:p w14:paraId="5A6049C2">
            <w:pPr>
              <w:rPr>
                <w:rFonts w:ascii="Arial"/>
                <w:sz w:val="21"/>
              </w:rPr>
            </w:pPr>
          </w:p>
        </w:tc>
      </w:tr>
      <w:tr w14:paraId="60674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82" w:type="dxa"/>
            <w:vMerge w:val="restart"/>
            <w:tcBorders>
              <w:left w:val="single" w:color="000000" w:sz="12" w:space="0"/>
              <w:bottom w:val="nil"/>
            </w:tcBorders>
            <w:textDirection w:val="tbRlV"/>
            <w:vAlign w:val="top"/>
          </w:tcPr>
          <w:p w14:paraId="58DBDCDF">
            <w:pPr>
              <w:spacing w:before="137" w:line="209" w:lineRule="auto"/>
              <w:ind w:left="95"/>
              <w:rPr>
                <w:rFonts w:ascii="宋体" w:hAnsi="宋体" w:eastAsia="宋体" w:cs="宋体"/>
                <w:sz w:val="21"/>
                <w:szCs w:val="21"/>
              </w:rPr>
            </w:pPr>
            <w:r>
              <w:rPr>
                <w:rFonts w:ascii="宋体" w:hAnsi="宋体" w:eastAsia="宋体" w:cs="宋体"/>
                <w:spacing w:val="41"/>
                <w:sz w:val="21"/>
                <w:szCs w:val="21"/>
              </w:rPr>
              <w:t>实球藻</w:t>
            </w:r>
          </w:p>
        </w:tc>
        <w:tc>
          <w:tcPr>
            <w:tcW w:w="2823" w:type="dxa"/>
            <w:vAlign w:val="top"/>
          </w:tcPr>
          <w:p w14:paraId="5662C818">
            <w:pPr>
              <w:pStyle w:val="6"/>
              <w:spacing w:before="133" w:line="234" w:lineRule="auto"/>
              <w:ind w:left="344"/>
            </w:pPr>
            <w:r>
              <w:rPr>
                <w:rFonts w:ascii="宋体" w:hAnsi="宋体" w:eastAsia="宋体" w:cs="宋体"/>
                <w:spacing w:val="-2"/>
              </w:rPr>
              <w:t>实球藻</w:t>
            </w:r>
            <w:r>
              <w:rPr>
                <w:rFonts w:ascii="宋体" w:hAnsi="宋体" w:eastAsia="宋体" w:cs="宋体"/>
                <w:spacing w:val="-32"/>
              </w:rPr>
              <w:t xml:space="preserve"> </w:t>
            </w:r>
            <w:r>
              <w:rPr>
                <w:spacing w:val="-2"/>
              </w:rPr>
              <w:t>Pandorina morun</w:t>
            </w:r>
          </w:p>
        </w:tc>
        <w:tc>
          <w:tcPr>
            <w:tcW w:w="678" w:type="dxa"/>
            <w:vAlign w:val="top"/>
          </w:tcPr>
          <w:p w14:paraId="51A049A1">
            <w:pPr>
              <w:pStyle w:val="6"/>
              <w:spacing w:before="167" w:line="251" w:lineRule="exact"/>
              <w:ind w:left="275"/>
            </w:pPr>
            <w:r>
              <w:rPr>
                <w:position w:val="1"/>
              </w:rPr>
              <w:t>+</w:t>
            </w:r>
          </w:p>
        </w:tc>
        <w:tc>
          <w:tcPr>
            <w:tcW w:w="750" w:type="dxa"/>
            <w:vAlign w:val="top"/>
          </w:tcPr>
          <w:p w14:paraId="123363C9">
            <w:pPr>
              <w:pStyle w:val="6"/>
              <w:spacing w:before="167" w:line="251" w:lineRule="exact"/>
              <w:ind w:left="313"/>
            </w:pPr>
            <w:r>
              <w:rPr>
                <w:position w:val="1"/>
              </w:rPr>
              <w:t>+</w:t>
            </w:r>
          </w:p>
        </w:tc>
        <w:tc>
          <w:tcPr>
            <w:tcW w:w="677" w:type="dxa"/>
            <w:vAlign w:val="top"/>
          </w:tcPr>
          <w:p w14:paraId="1EF15B64">
            <w:pPr>
              <w:pStyle w:val="6"/>
              <w:spacing w:before="167" w:line="251" w:lineRule="exact"/>
              <w:ind w:left="280"/>
            </w:pPr>
            <w:r>
              <w:rPr>
                <w:position w:val="1"/>
              </w:rPr>
              <w:t>+</w:t>
            </w:r>
          </w:p>
        </w:tc>
        <w:tc>
          <w:tcPr>
            <w:tcW w:w="749" w:type="dxa"/>
            <w:vAlign w:val="top"/>
          </w:tcPr>
          <w:p w14:paraId="650B49FF">
            <w:pPr>
              <w:pStyle w:val="6"/>
              <w:spacing w:before="167" w:line="251" w:lineRule="exact"/>
              <w:ind w:left="318"/>
            </w:pPr>
            <w:r>
              <w:rPr>
                <w:position w:val="1"/>
              </w:rPr>
              <w:t>+</w:t>
            </w:r>
          </w:p>
        </w:tc>
        <w:tc>
          <w:tcPr>
            <w:tcW w:w="1148" w:type="dxa"/>
            <w:vAlign w:val="top"/>
          </w:tcPr>
          <w:p w14:paraId="379D3D09">
            <w:pPr>
              <w:rPr>
                <w:rFonts w:ascii="Arial"/>
                <w:sz w:val="21"/>
              </w:rPr>
            </w:pPr>
          </w:p>
        </w:tc>
        <w:tc>
          <w:tcPr>
            <w:tcW w:w="1166" w:type="dxa"/>
            <w:tcBorders>
              <w:right w:val="single" w:color="000000" w:sz="12" w:space="0"/>
            </w:tcBorders>
            <w:vAlign w:val="top"/>
          </w:tcPr>
          <w:p w14:paraId="0C7E3274">
            <w:pPr>
              <w:pStyle w:val="6"/>
              <w:spacing w:before="167" w:line="251" w:lineRule="exact"/>
              <w:ind w:left="527"/>
            </w:pPr>
            <w:r>
              <w:rPr>
                <w:position w:val="1"/>
              </w:rPr>
              <w:t>+</w:t>
            </w:r>
          </w:p>
        </w:tc>
      </w:tr>
      <w:tr w14:paraId="5A94E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82" w:type="dxa"/>
            <w:vMerge w:val="continue"/>
            <w:tcBorders>
              <w:top w:val="nil"/>
              <w:left w:val="single" w:color="000000" w:sz="12" w:space="0"/>
            </w:tcBorders>
            <w:textDirection w:val="tbRlV"/>
            <w:vAlign w:val="top"/>
          </w:tcPr>
          <w:p w14:paraId="4498B2B5">
            <w:pPr>
              <w:rPr>
                <w:rFonts w:ascii="Arial"/>
                <w:sz w:val="21"/>
              </w:rPr>
            </w:pPr>
          </w:p>
        </w:tc>
        <w:tc>
          <w:tcPr>
            <w:tcW w:w="2823" w:type="dxa"/>
            <w:vAlign w:val="top"/>
          </w:tcPr>
          <w:p w14:paraId="36F805DD">
            <w:pPr>
              <w:pStyle w:val="6"/>
              <w:spacing w:before="143" w:line="234" w:lineRule="auto"/>
              <w:ind w:left="102"/>
            </w:pPr>
            <w:r>
              <w:rPr>
                <w:rFonts w:ascii="宋体" w:hAnsi="宋体" w:eastAsia="宋体" w:cs="宋体"/>
                <w:spacing w:val="7"/>
              </w:rPr>
              <w:t>桑椹实球藻</w:t>
            </w:r>
            <w:r>
              <w:rPr>
                <w:rFonts w:ascii="宋体" w:hAnsi="宋体" w:eastAsia="宋体" w:cs="宋体"/>
                <w:spacing w:val="-47"/>
              </w:rPr>
              <w:t xml:space="preserve"> </w:t>
            </w:r>
            <w:r>
              <w:t>Pandorinamorum</w:t>
            </w:r>
          </w:p>
        </w:tc>
        <w:tc>
          <w:tcPr>
            <w:tcW w:w="678" w:type="dxa"/>
            <w:vAlign w:val="top"/>
          </w:tcPr>
          <w:p w14:paraId="6C2BBC61">
            <w:pPr>
              <w:pStyle w:val="6"/>
              <w:spacing w:before="177" w:line="250" w:lineRule="exact"/>
              <w:ind w:left="216"/>
            </w:pPr>
            <w:r>
              <w:rPr>
                <w:spacing w:val="-1"/>
                <w:position w:val="1"/>
              </w:rPr>
              <w:t>++</w:t>
            </w:r>
          </w:p>
        </w:tc>
        <w:tc>
          <w:tcPr>
            <w:tcW w:w="750" w:type="dxa"/>
            <w:vAlign w:val="top"/>
          </w:tcPr>
          <w:p w14:paraId="679D8B65">
            <w:pPr>
              <w:pStyle w:val="6"/>
              <w:spacing w:before="177" w:line="250" w:lineRule="exact"/>
              <w:ind w:left="313"/>
            </w:pPr>
            <w:r>
              <w:rPr>
                <w:position w:val="1"/>
              </w:rPr>
              <w:t>+</w:t>
            </w:r>
          </w:p>
        </w:tc>
        <w:tc>
          <w:tcPr>
            <w:tcW w:w="677" w:type="dxa"/>
            <w:vAlign w:val="top"/>
          </w:tcPr>
          <w:p w14:paraId="47ED3584">
            <w:pPr>
              <w:pStyle w:val="6"/>
              <w:spacing w:before="177" w:line="250" w:lineRule="exact"/>
              <w:ind w:left="162"/>
            </w:pPr>
            <w:r>
              <w:rPr>
                <w:spacing w:val="-1"/>
                <w:position w:val="1"/>
              </w:rPr>
              <w:t>+++</w:t>
            </w:r>
          </w:p>
        </w:tc>
        <w:tc>
          <w:tcPr>
            <w:tcW w:w="749" w:type="dxa"/>
            <w:vAlign w:val="top"/>
          </w:tcPr>
          <w:p w14:paraId="54E7707E">
            <w:pPr>
              <w:pStyle w:val="6"/>
              <w:spacing w:before="177" w:line="250" w:lineRule="exact"/>
              <w:ind w:left="318"/>
            </w:pPr>
            <w:r>
              <w:rPr>
                <w:position w:val="1"/>
              </w:rPr>
              <w:t>+</w:t>
            </w:r>
          </w:p>
        </w:tc>
        <w:tc>
          <w:tcPr>
            <w:tcW w:w="1148" w:type="dxa"/>
            <w:vAlign w:val="top"/>
          </w:tcPr>
          <w:p w14:paraId="55EA3669">
            <w:pPr>
              <w:pStyle w:val="6"/>
              <w:spacing w:before="177" w:line="250" w:lineRule="exact"/>
              <w:ind w:left="522"/>
            </w:pPr>
            <w:r>
              <w:rPr>
                <w:position w:val="1"/>
              </w:rPr>
              <w:t>+</w:t>
            </w:r>
          </w:p>
        </w:tc>
        <w:tc>
          <w:tcPr>
            <w:tcW w:w="1166" w:type="dxa"/>
            <w:tcBorders>
              <w:right w:val="single" w:color="000000" w:sz="12" w:space="0"/>
            </w:tcBorders>
            <w:vAlign w:val="top"/>
          </w:tcPr>
          <w:p w14:paraId="7E7067D4">
            <w:pPr>
              <w:pStyle w:val="6"/>
              <w:spacing w:before="177" w:line="250" w:lineRule="exact"/>
              <w:ind w:left="527"/>
            </w:pPr>
            <w:r>
              <w:rPr>
                <w:position w:val="1"/>
              </w:rPr>
              <w:t>+</w:t>
            </w:r>
          </w:p>
        </w:tc>
      </w:tr>
      <w:tr w14:paraId="55C29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4D9961BE">
            <w:pPr>
              <w:spacing w:before="137" w:line="209" w:lineRule="auto"/>
              <w:ind w:left="82"/>
              <w:rPr>
                <w:rFonts w:ascii="宋体" w:hAnsi="宋体" w:eastAsia="宋体" w:cs="宋体"/>
                <w:sz w:val="21"/>
                <w:szCs w:val="21"/>
              </w:rPr>
            </w:pPr>
            <w:r>
              <w:rPr>
                <w:rFonts w:ascii="宋体" w:hAnsi="宋体" w:eastAsia="宋体" w:cs="宋体"/>
                <w:spacing w:val="41"/>
                <w:sz w:val="21"/>
                <w:szCs w:val="21"/>
              </w:rPr>
              <w:t>空球藻</w:t>
            </w:r>
          </w:p>
        </w:tc>
        <w:tc>
          <w:tcPr>
            <w:tcW w:w="2823" w:type="dxa"/>
            <w:vAlign w:val="top"/>
          </w:tcPr>
          <w:p w14:paraId="6B3CB98F">
            <w:pPr>
              <w:spacing w:line="284" w:lineRule="auto"/>
              <w:rPr>
                <w:rFonts w:ascii="Arial"/>
                <w:sz w:val="21"/>
              </w:rPr>
            </w:pPr>
          </w:p>
          <w:p w14:paraId="580ECD45">
            <w:pPr>
              <w:pStyle w:val="6"/>
              <w:spacing w:before="68" w:line="212" w:lineRule="auto"/>
              <w:ind w:left="319"/>
            </w:pPr>
            <w:r>
              <w:rPr>
                <w:rFonts w:ascii="宋体" w:hAnsi="宋体" w:eastAsia="宋体" w:cs="宋体"/>
                <w:spacing w:val="-1"/>
              </w:rPr>
              <w:t xml:space="preserve">空球藻 </w:t>
            </w:r>
            <w:r>
              <w:rPr>
                <w:spacing w:val="-1"/>
              </w:rPr>
              <w:t>Ewiorina elegans</w:t>
            </w:r>
          </w:p>
        </w:tc>
        <w:tc>
          <w:tcPr>
            <w:tcW w:w="678" w:type="dxa"/>
            <w:vAlign w:val="top"/>
          </w:tcPr>
          <w:p w14:paraId="601EF2C6">
            <w:pPr>
              <w:spacing w:line="325" w:lineRule="auto"/>
              <w:rPr>
                <w:rFonts w:ascii="Arial"/>
                <w:sz w:val="21"/>
              </w:rPr>
            </w:pPr>
          </w:p>
          <w:p w14:paraId="68A1D696">
            <w:pPr>
              <w:pStyle w:val="6"/>
              <w:spacing w:before="61" w:line="250" w:lineRule="exact"/>
              <w:ind w:left="275"/>
            </w:pPr>
            <w:r>
              <w:rPr>
                <w:position w:val="1"/>
              </w:rPr>
              <w:t>+</w:t>
            </w:r>
          </w:p>
        </w:tc>
        <w:tc>
          <w:tcPr>
            <w:tcW w:w="750" w:type="dxa"/>
            <w:vAlign w:val="top"/>
          </w:tcPr>
          <w:p w14:paraId="53EECAB0">
            <w:pPr>
              <w:spacing w:line="325" w:lineRule="auto"/>
              <w:rPr>
                <w:rFonts w:ascii="Arial"/>
                <w:sz w:val="21"/>
              </w:rPr>
            </w:pPr>
          </w:p>
          <w:p w14:paraId="4EFC9D7E">
            <w:pPr>
              <w:pStyle w:val="6"/>
              <w:spacing w:before="61" w:line="250" w:lineRule="exact"/>
              <w:ind w:left="255"/>
            </w:pPr>
            <w:r>
              <w:rPr>
                <w:spacing w:val="-1"/>
                <w:position w:val="1"/>
              </w:rPr>
              <w:t>++</w:t>
            </w:r>
          </w:p>
        </w:tc>
        <w:tc>
          <w:tcPr>
            <w:tcW w:w="677" w:type="dxa"/>
            <w:vAlign w:val="top"/>
          </w:tcPr>
          <w:p w14:paraId="7ACAD271">
            <w:pPr>
              <w:spacing w:line="325" w:lineRule="auto"/>
              <w:rPr>
                <w:rFonts w:ascii="Arial"/>
                <w:sz w:val="21"/>
              </w:rPr>
            </w:pPr>
          </w:p>
          <w:p w14:paraId="57CB1BCF">
            <w:pPr>
              <w:pStyle w:val="6"/>
              <w:spacing w:before="61" w:line="250" w:lineRule="exact"/>
              <w:ind w:left="280"/>
            </w:pPr>
            <w:r>
              <w:rPr>
                <w:position w:val="1"/>
              </w:rPr>
              <w:t>+</w:t>
            </w:r>
          </w:p>
        </w:tc>
        <w:tc>
          <w:tcPr>
            <w:tcW w:w="749" w:type="dxa"/>
            <w:vAlign w:val="top"/>
          </w:tcPr>
          <w:p w14:paraId="62141A93">
            <w:pPr>
              <w:spacing w:line="325" w:lineRule="auto"/>
              <w:rPr>
                <w:rFonts w:ascii="Arial"/>
                <w:sz w:val="21"/>
              </w:rPr>
            </w:pPr>
          </w:p>
          <w:p w14:paraId="3D16C550">
            <w:pPr>
              <w:pStyle w:val="6"/>
              <w:spacing w:before="61" w:line="250" w:lineRule="exact"/>
              <w:ind w:left="318"/>
            </w:pPr>
            <w:r>
              <w:rPr>
                <w:position w:val="1"/>
              </w:rPr>
              <w:t>+</w:t>
            </w:r>
          </w:p>
        </w:tc>
        <w:tc>
          <w:tcPr>
            <w:tcW w:w="1148" w:type="dxa"/>
            <w:vAlign w:val="top"/>
          </w:tcPr>
          <w:p w14:paraId="2A262510">
            <w:pPr>
              <w:rPr>
                <w:rFonts w:ascii="Arial"/>
                <w:sz w:val="21"/>
              </w:rPr>
            </w:pPr>
          </w:p>
        </w:tc>
        <w:tc>
          <w:tcPr>
            <w:tcW w:w="1166" w:type="dxa"/>
            <w:tcBorders>
              <w:right w:val="single" w:color="000000" w:sz="12" w:space="0"/>
            </w:tcBorders>
            <w:vAlign w:val="top"/>
          </w:tcPr>
          <w:p w14:paraId="2606CCF4">
            <w:pPr>
              <w:rPr>
                <w:rFonts w:ascii="Arial"/>
                <w:sz w:val="21"/>
              </w:rPr>
            </w:pPr>
          </w:p>
        </w:tc>
      </w:tr>
      <w:tr w14:paraId="59EEB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58E33064">
            <w:pPr>
              <w:spacing w:before="137" w:line="209" w:lineRule="auto"/>
              <w:ind w:left="104"/>
              <w:rPr>
                <w:rFonts w:ascii="宋体" w:hAnsi="宋体" w:eastAsia="宋体" w:cs="宋体"/>
                <w:sz w:val="21"/>
                <w:szCs w:val="21"/>
              </w:rPr>
            </w:pPr>
            <w:r>
              <w:rPr>
                <w:rFonts w:ascii="宋体" w:hAnsi="宋体" w:eastAsia="宋体" w:cs="宋体"/>
                <w:spacing w:val="41"/>
                <w:sz w:val="21"/>
                <w:szCs w:val="21"/>
              </w:rPr>
              <w:t>小球藻</w:t>
            </w:r>
          </w:p>
        </w:tc>
        <w:tc>
          <w:tcPr>
            <w:tcW w:w="2823" w:type="dxa"/>
            <w:vAlign w:val="top"/>
          </w:tcPr>
          <w:p w14:paraId="1D43F9C5">
            <w:pPr>
              <w:pStyle w:val="6"/>
              <w:spacing w:before="84" w:line="223" w:lineRule="auto"/>
              <w:ind w:left="949" w:right="447" w:hanging="514"/>
            </w:pPr>
            <w:r>
              <w:rPr>
                <w:rFonts w:ascii="宋体" w:hAnsi="宋体" w:eastAsia="宋体" w:cs="宋体"/>
                <w:spacing w:val="-1"/>
              </w:rPr>
              <w:t xml:space="preserve">椭圆小球藻 </w:t>
            </w:r>
            <w:r>
              <w:rPr>
                <w:spacing w:val="-1"/>
              </w:rPr>
              <w:t>Chlorella</w:t>
            </w:r>
            <w:r>
              <w:rPr>
                <w:spacing w:val="7"/>
              </w:rPr>
              <w:t xml:space="preserve"> </w:t>
            </w:r>
            <w:r>
              <w:rPr>
                <w:spacing w:val="-1"/>
              </w:rPr>
              <w:t>ellipsoidea</w:t>
            </w:r>
          </w:p>
        </w:tc>
        <w:tc>
          <w:tcPr>
            <w:tcW w:w="678" w:type="dxa"/>
            <w:vAlign w:val="top"/>
          </w:tcPr>
          <w:p w14:paraId="42C8D1A2">
            <w:pPr>
              <w:pStyle w:val="6"/>
              <w:spacing w:before="238" w:line="250" w:lineRule="exact"/>
              <w:ind w:left="275"/>
            </w:pPr>
            <w:r>
              <w:rPr>
                <w:position w:val="1"/>
              </w:rPr>
              <w:t>+</w:t>
            </w:r>
          </w:p>
        </w:tc>
        <w:tc>
          <w:tcPr>
            <w:tcW w:w="750" w:type="dxa"/>
            <w:vAlign w:val="top"/>
          </w:tcPr>
          <w:p w14:paraId="03AD40EA">
            <w:pPr>
              <w:rPr>
                <w:rFonts w:ascii="Arial"/>
                <w:sz w:val="21"/>
              </w:rPr>
            </w:pPr>
          </w:p>
        </w:tc>
        <w:tc>
          <w:tcPr>
            <w:tcW w:w="677" w:type="dxa"/>
            <w:vAlign w:val="top"/>
          </w:tcPr>
          <w:p w14:paraId="58FFF018">
            <w:pPr>
              <w:pStyle w:val="6"/>
              <w:spacing w:before="238" w:line="250" w:lineRule="exact"/>
              <w:ind w:left="280"/>
            </w:pPr>
            <w:r>
              <w:rPr>
                <w:position w:val="1"/>
              </w:rPr>
              <w:t>+</w:t>
            </w:r>
          </w:p>
        </w:tc>
        <w:tc>
          <w:tcPr>
            <w:tcW w:w="749" w:type="dxa"/>
            <w:vAlign w:val="top"/>
          </w:tcPr>
          <w:p w14:paraId="1B8224EC">
            <w:pPr>
              <w:rPr>
                <w:rFonts w:ascii="Arial"/>
                <w:sz w:val="21"/>
              </w:rPr>
            </w:pPr>
          </w:p>
        </w:tc>
        <w:tc>
          <w:tcPr>
            <w:tcW w:w="1148" w:type="dxa"/>
            <w:vAlign w:val="top"/>
          </w:tcPr>
          <w:p w14:paraId="61719CC7">
            <w:pPr>
              <w:rPr>
                <w:rFonts w:ascii="Arial"/>
                <w:sz w:val="21"/>
              </w:rPr>
            </w:pPr>
          </w:p>
        </w:tc>
        <w:tc>
          <w:tcPr>
            <w:tcW w:w="1166" w:type="dxa"/>
            <w:tcBorders>
              <w:right w:val="single" w:color="000000" w:sz="12" w:space="0"/>
            </w:tcBorders>
            <w:vAlign w:val="top"/>
          </w:tcPr>
          <w:p w14:paraId="4737A24C">
            <w:pPr>
              <w:pStyle w:val="6"/>
              <w:spacing w:before="238" w:line="250" w:lineRule="exact"/>
              <w:ind w:left="469"/>
            </w:pPr>
            <w:r>
              <w:rPr>
                <w:spacing w:val="-1"/>
                <w:position w:val="1"/>
              </w:rPr>
              <w:t>++</w:t>
            </w:r>
          </w:p>
        </w:tc>
      </w:tr>
      <w:tr w14:paraId="3E0A4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82" w:type="dxa"/>
            <w:vMerge w:val="continue"/>
            <w:tcBorders>
              <w:top w:val="nil"/>
              <w:left w:val="single" w:color="000000" w:sz="12" w:space="0"/>
              <w:bottom w:val="single" w:color="000000" w:sz="12" w:space="0"/>
            </w:tcBorders>
            <w:textDirection w:val="tbRlV"/>
            <w:vAlign w:val="top"/>
          </w:tcPr>
          <w:p w14:paraId="4575A902">
            <w:pPr>
              <w:rPr>
                <w:rFonts w:ascii="Arial"/>
                <w:sz w:val="21"/>
              </w:rPr>
            </w:pPr>
          </w:p>
        </w:tc>
        <w:tc>
          <w:tcPr>
            <w:tcW w:w="2823" w:type="dxa"/>
            <w:tcBorders>
              <w:bottom w:val="single" w:color="000000" w:sz="12" w:space="0"/>
            </w:tcBorders>
            <w:vAlign w:val="top"/>
          </w:tcPr>
          <w:p w14:paraId="37A9B081">
            <w:pPr>
              <w:pStyle w:val="6"/>
              <w:spacing w:before="86" w:line="212" w:lineRule="auto"/>
              <w:ind w:left="291"/>
            </w:pPr>
            <w:r>
              <w:rPr>
                <w:rFonts w:ascii="宋体" w:hAnsi="宋体" w:eastAsia="宋体" w:cs="宋体"/>
                <w:spacing w:val="-1"/>
              </w:rPr>
              <w:t>小球藻</w:t>
            </w:r>
            <w:r>
              <w:rPr>
                <w:rFonts w:ascii="宋体" w:hAnsi="宋体" w:eastAsia="宋体" w:cs="宋体"/>
                <w:spacing w:val="-45"/>
              </w:rPr>
              <w:t xml:space="preserve"> </w:t>
            </w:r>
            <w:r>
              <w:rPr>
                <w:spacing w:val="-1"/>
              </w:rPr>
              <w:t>Chlorella vudgaris</w:t>
            </w:r>
          </w:p>
        </w:tc>
        <w:tc>
          <w:tcPr>
            <w:tcW w:w="678" w:type="dxa"/>
            <w:tcBorders>
              <w:bottom w:val="single" w:color="000000" w:sz="12" w:space="0"/>
            </w:tcBorders>
            <w:vAlign w:val="top"/>
          </w:tcPr>
          <w:p w14:paraId="2054DD8F">
            <w:pPr>
              <w:pStyle w:val="6"/>
              <w:spacing w:before="119" w:line="224" w:lineRule="auto"/>
              <w:ind w:left="275"/>
            </w:pPr>
            <w:r>
              <w:t>+</w:t>
            </w:r>
          </w:p>
        </w:tc>
        <w:tc>
          <w:tcPr>
            <w:tcW w:w="750" w:type="dxa"/>
            <w:tcBorders>
              <w:bottom w:val="single" w:color="000000" w:sz="12" w:space="0"/>
            </w:tcBorders>
            <w:vAlign w:val="top"/>
          </w:tcPr>
          <w:p w14:paraId="6F2661D0">
            <w:pPr>
              <w:pStyle w:val="6"/>
              <w:spacing w:before="119" w:line="224" w:lineRule="auto"/>
              <w:ind w:left="313"/>
            </w:pPr>
            <w:r>
              <w:t>+</w:t>
            </w:r>
          </w:p>
        </w:tc>
        <w:tc>
          <w:tcPr>
            <w:tcW w:w="677" w:type="dxa"/>
            <w:tcBorders>
              <w:bottom w:val="single" w:color="000000" w:sz="12" w:space="0"/>
            </w:tcBorders>
            <w:vAlign w:val="top"/>
          </w:tcPr>
          <w:p w14:paraId="2EBAA94B">
            <w:pPr>
              <w:pStyle w:val="6"/>
              <w:spacing w:before="119" w:line="224" w:lineRule="auto"/>
              <w:ind w:left="280"/>
            </w:pPr>
            <w:r>
              <w:t>+</w:t>
            </w:r>
          </w:p>
        </w:tc>
        <w:tc>
          <w:tcPr>
            <w:tcW w:w="749" w:type="dxa"/>
            <w:tcBorders>
              <w:bottom w:val="single" w:color="000000" w:sz="12" w:space="0"/>
            </w:tcBorders>
            <w:vAlign w:val="top"/>
          </w:tcPr>
          <w:p w14:paraId="679F1E53">
            <w:pPr>
              <w:pStyle w:val="6"/>
              <w:spacing w:before="119" w:line="224" w:lineRule="auto"/>
              <w:ind w:left="259"/>
            </w:pPr>
            <w:r>
              <w:rPr>
                <w:spacing w:val="-1"/>
              </w:rPr>
              <w:t>++</w:t>
            </w:r>
          </w:p>
        </w:tc>
        <w:tc>
          <w:tcPr>
            <w:tcW w:w="1148" w:type="dxa"/>
            <w:tcBorders>
              <w:bottom w:val="single" w:color="000000" w:sz="12" w:space="0"/>
            </w:tcBorders>
            <w:vAlign w:val="top"/>
          </w:tcPr>
          <w:p w14:paraId="5DDF1211">
            <w:pPr>
              <w:rPr>
                <w:rFonts w:ascii="Arial"/>
                <w:sz w:val="21"/>
              </w:rPr>
            </w:pPr>
          </w:p>
        </w:tc>
        <w:tc>
          <w:tcPr>
            <w:tcW w:w="1166" w:type="dxa"/>
            <w:tcBorders>
              <w:bottom w:val="single" w:color="000000" w:sz="12" w:space="0"/>
              <w:right w:val="single" w:color="000000" w:sz="12" w:space="0"/>
            </w:tcBorders>
            <w:vAlign w:val="top"/>
          </w:tcPr>
          <w:p w14:paraId="2DB9879B">
            <w:pPr>
              <w:rPr>
                <w:rFonts w:ascii="Arial"/>
                <w:sz w:val="21"/>
              </w:rPr>
            </w:pPr>
          </w:p>
        </w:tc>
      </w:tr>
    </w:tbl>
    <w:p w14:paraId="313B104C">
      <w:pPr>
        <w:rPr>
          <w:rFonts w:ascii="Arial"/>
          <w:sz w:val="21"/>
        </w:rPr>
      </w:pPr>
    </w:p>
    <w:p w14:paraId="413A352D">
      <w:pPr>
        <w:rPr>
          <w:rFonts w:ascii="Arial" w:hAnsi="Arial" w:eastAsia="Arial" w:cs="Arial"/>
          <w:sz w:val="21"/>
          <w:szCs w:val="21"/>
        </w:rPr>
        <w:sectPr>
          <w:footerReference r:id="rId199" w:type="default"/>
          <w:pgSz w:w="11907" w:h="16839"/>
          <w:pgMar w:top="1376" w:right="1669" w:bottom="1061" w:left="1671" w:header="999" w:footer="861" w:gutter="0"/>
          <w:cols w:space="720" w:num="1"/>
        </w:sectPr>
      </w:pPr>
    </w:p>
    <w:p w14:paraId="44C2CC4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
        <w:gridCol w:w="2823"/>
        <w:gridCol w:w="678"/>
        <w:gridCol w:w="750"/>
        <w:gridCol w:w="677"/>
        <w:gridCol w:w="749"/>
        <w:gridCol w:w="1148"/>
        <w:gridCol w:w="1166"/>
      </w:tblGrid>
      <w:tr w14:paraId="6DA03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05" w:type="dxa"/>
            <w:gridSpan w:val="2"/>
            <w:vMerge w:val="restart"/>
            <w:tcBorders>
              <w:top w:val="single" w:color="000000" w:sz="12" w:space="0"/>
              <w:left w:val="single" w:color="000000" w:sz="12" w:space="0"/>
              <w:bottom w:val="nil"/>
            </w:tcBorders>
            <w:vAlign w:val="top"/>
          </w:tcPr>
          <w:p w14:paraId="7502443D">
            <w:pPr>
              <w:spacing w:line="430" w:lineRule="auto"/>
              <w:rPr>
                <w:rFonts w:ascii="Arial"/>
                <w:sz w:val="21"/>
              </w:rPr>
            </w:pPr>
          </w:p>
          <w:p w14:paraId="590EF765">
            <w:pPr>
              <w:spacing w:before="69" w:line="220" w:lineRule="auto"/>
              <w:ind w:left="1433"/>
              <w:rPr>
                <w:rFonts w:ascii="宋体" w:hAnsi="宋体" w:eastAsia="宋体" w:cs="宋体"/>
                <w:sz w:val="21"/>
                <w:szCs w:val="21"/>
              </w:rPr>
            </w:pPr>
            <w:r>
              <w:rPr>
                <w:rFonts w:ascii="宋体" w:hAnsi="宋体" w:eastAsia="宋体" w:cs="宋体"/>
                <w:spacing w:val="-3"/>
                <w:sz w:val="21"/>
                <w:szCs w:val="21"/>
              </w:rPr>
              <w:t>种类</w:t>
            </w:r>
          </w:p>
        </w:tc>
        <w:tc>
          <w:tcPr>
            <w:tcW w:w="5168" w:type="dxa"/>
            <w:gridSpan w:val="6"/>
            <w:tcBorders>
              <w:top w:val="single" w:color="000000" w:sz="12" w:space="0"/>
              <w:right w:val="single" w:color="000000" w:sz="12" w:space="0"/>
            </w:tcBorders>
            <w:vAlign w:val="top"/>
          </w:tcPr>
          <w:p w14:paraId="07752C62">
            <w:pPr>
              <w:spacing w:before="57" w:line="220" w:lineRule="auto"/>
              <w:ind w:left="2165"/>
              <w:rPr>
                <w:rFonts w:ascii="宋体" w:hAnsi="宋体" w:eastAsia="宋体" w:cs="宋体"/>
                <w:sz w:val="21"/>
                <w:szCs w:val="21"/>
              </w:rPr>
            </w:pPr>
            <w:r>
              <w:rPr>
                <w:rFonts w:ascii="宋体" w:hAnsi="宋体" w:eastAsia="宋体" w:cs="宋体"/>
                <w:spacing w:val="-2"/>
                <w:sz w:val="21"/>
                <w:szCs w:val="21"/>
              </w:rPr>
              <w:t>相对数量</w:t>
            </w:r>
          </w:p>
        </w:tc>
      </w:tr>
      <w:tr w14:paraId="483F7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305" w:type="dxa"/>
            <w:gridSpan w:val="2"/>
            <w:vMerge w:val="continue"/>
            <w:tcBorders>
              <w:top w:val="nil"/>
              <w:left w:val="single" w:color="000000" w:sz="12" w:space="0"/>
            </w:tcBorders>
            <w:vAlign w:val="top"/>
          </w:tcPr>
          <w:p w14:paraId="5EACC3D1">
            <w:pPr>
              <w:rPr>
                <w:rFonts w:ascii="Arial"/>
                <w:sz w:val="21"/>
              </w:rPr>
            </w:pPr>
          </w:p>
        </w:tc>
        <w:tc>
          <w:tcPr>
            <w:tcW w:w="678" w:type="dxa"/>
            <w:vAlign w:val="top"/>
          </w:tcPr>
          <w:p w14:paraId="06A877DF">
            <w:pPr>
              <w:spacing w:before="57" w:line="220" w:lineRule="auto"/>
              <w:ind w:left="136"/>
              <w:rPr>
                <w:rFonts w:ascii="宋体" w:hAnsi="宋体" w:eastAsia="宋体" w:cs="宋体"/>
                <w:sz w:val="21"/>
                <w:szCs w:val="21"/>
              </w:rPr>
            </w:pPr>
            <w:r>
              <w:rPr>
                <w:rFonts w:ascii="宋体" w:hAnsi="宋体" w:eastAsia="宋体" w:cs="宋体"/>
                <w:spacing w:val="-4"/>
                <w:sz w:val="21"/>
                <w:szCs w:val="21"/>
              </w:rPr>
              <w:t>马龙</w:t>
            </w:r>
          </w:p>
          <w:p w14:paraId="36A9B61A">
            <w:pPr>
              <w:spacing w:before="24" w:line="235" w:lineRule="auto"/>
              <w:ind w:left="234" w:right="126"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50" w:type="dxa"/>
            <w:vAlign w:val="top"/>
          </w:tcPr>
          <w:p w14:paraId="17DAD299">
            <w:pPr>
              <w:spacing w:before="194" w:line="241" w:lineRule="auto"/>
              <w:ind w:left="168" w:right="55" w:hanging="104"/>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677" w:type="dxa"/>
            <w:vAlign w:val="top"/>
          </w:tcPr>
          <w:p w14:paraId="69315391">
            <w:pPr>
              <w:spacing w:before="57" w:line="222" w:lineRule="auto"/>
              <w:ind w:left="165"/>
              <w:rPr>
                <w:rFonts w:ascii="宋体" w:hAnsi="宋体" w:eastAsia="宋体" w:cs="宋体"/>
                <w:sz w:val="21"/>
                <w:szCs w:val="21"/>
              </w:rPr>
            </w:pPr>
            <w:r>
              <w:rPr>
                <w:rFonts w:ascii="宋体" w:hAnsi="宋体" w:eastAsia="宋体" w:cs="宋体"/>
                <w:spacing w:val="-10"/>
                <w:sz w:val="21"/>
                <w:szCs w:val="21"/>
              </w:rPr>
              <w:t>白塔</w:t>
            </w:r>
          </w:p>
          <w:p w14:paraId="067E53DF">
            <w:pPr>
              <w:spacing w:before="21" w:line="235" w:lineRule="auto"/>
              <w:ind w:left="238" w:right="120"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49" w:type="dxa"/>
            <w:vAlign w:val="top"/>
          </w:tcPr>
          <w:p w14:paraId="118B0420">
            <w:pPr>
              <w:spacing w:before="193" w:line="242" w:lineRule="auto"/>
              <w:ind w:left="171" w:right="49" w:hanging="74"/>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48" w:type="dxa"/>
            <w:vAlign w:val="top"/>
          </w:tcPr>
          <w:p w14:paraId="29FDDBA1">
            <w:pPr>
              <w:spacing w:before="57" w:line="219" w:lineRule="auto"/>
              <w:ind w:left="172"/>
              <w:rPr>
                <w:rFonts w:ascii="宋体" w:hAnsi="宋体" w:eastAsia="宋体" w:cs="宋体"/>
                <w:sz w:val="21"/>
                <w:szCs w:val="21"/>
              </w:rPr>
            </w:pPr>
            <w:r>
              <w:rPr>
                <w:rFonts w:ascii="宋体" w:hAnsi="宋体" w:eastAsia="宋体" w:cs="宋体"/>
                <w:spacing w:val="-3"/>
                <w:sz w:val="21"/>
                <w:szCs w:val="21"/>
              </w:rPr>
              <w:t>马龙河干</w:t>
            </w:r>
          </w:p>
          <w:p w14:paraId="697DE33C">
            <w:pPr>
              <w:pStyle w:val="6"/>
              <w:spacing w:before="24" w:line="235" w:lineRule="auto"/>
              <w:ind w:left="136" w:right="111" w:firstLine="30"/>
              <w:rPr>
                <w:rFonts w:ascii="宋体" w:hAnsi="宋体" w:eastAsia="宋体" w:cs="宋体"/>
              </w:rPr>
            </w:pPr>
            <w:r>
              <w:rPr>
                <w:rFonts w:ascii="宋体" w:hAnsi="宋体" w:eastAsia="宋体" w:cs="宋体"/>
                <w:spacing w:val="-3"/>
              </w:rPr>
              <w:t>流坝址下</w:t>
            </w:r>
            <w:r>
              <w:rPr>
                <w:rFonts w:ascii="宋体" w:hAnsi="宋体" w:eastAsia="宋体" w:cs="宋体"/>
                <w:spacing w:val="-5"/>
              </w:rPr>
              <w:t>游</w:t>
            </w:r>
            <w:r>
              <w:rPr>
                <w:rFonts w:ascii="宋体" w:hAnsi="宋体" w:eastAsia="宋体" w:cs="宋体"/>
                <w:spacing w:val="-48"/>
              </w:rPr>
              <w:t xml:space="preserve"> </w:t>
            </w:r>
            <w:r>
              <w:rPr>
                <w:spacing w:val="-5"/>
              </w:rPr>
              <w:t>2km</w:t>
            </w:r>
            <w:r>
              <w:rPr>
                <w:spacing w:val="10"/>
              </w:rPr>
              <w:t xml:space="preserve"> </w:t>
            </w:r>
            <w:r>
              <w:rPr>
                <w:rFonts w:ascii="宋体" w:hAnsi="宋体" w:eastAsia="宋体" w:cs="宋体"/>
                <w:spacing w:val="-5"/>
              </w:rPr>
              <w:t>处</w:t>
            </w:r>
          </w:p>
        </w:tc>
        <w:tc>
          <w:tcPr>
            <w:tcW w:w="1166" w:type="dxa"/>
            <w:tcBorders>
              <w:right w:val="single" w:color="000000" w:sz="12" w:space="0"/>
            </w:tcBorders>
            <w:vAlign w:val="top"/>
          </w:tcPr>
          <w:p w14:paraId="2EFC1D3D">
            <w:pPr>
              <w:spacing w:before="57" w:line="219" w:lineRule="auto"/>
              <w:ind w:left="178"/>
              <w:rPr>
                <w:rFonts w:ascii="宋体" w:hAnsi="宋体" w:eastAsia="宋体" w:cs="宋体"/>
                <w:sz w:val="21"/>
                <w:szCs w:val="21"/>
              </w:rPr>
            </w:pPr>
            <w:r>
              <w:rPr>
                <w:rFonts w:ascii="宋体" w:hAnsi="宋体" w:eastAsia="宋体" w:cs="宋体"/>
                <w:spacing w:val="-3"/>
                <w:sz w:val="21"/>
                <w:szCs w:val="21"/>
              </w:rPr>
              <w:t>马龙河干</w:t>
            </w:r>
          </w:p>
          <w:p w14:paraId="180D081E">
            <w:pPr>
              <w:pStyle w:val="6"/>
              <w:spacing w:before="24" w:line="235" w:lineRule="auto"/>
              <w:ind w:left="142" w:right="114" w:firstLine="30"/>
              <w:rPr>
                <w:rFonts w:ascii="宋体" w:hAnsi="宋体" w:eastAsia="宋体" w:cs="宋体"/>
              </w:rPr>
            </w:pPr>
            <w:r>
              <w:rPr>
                <w:rFonts w:ascii="宋体" w:hAnsi="宋体" w:eastAsia="宋体" w:cs="宋体"/>
                <w:spacing w:val="-3"/>
              </w:rPr>
              <w:t>流坝址下</w:t>
            </w:r>
            <w:r>
              <w:rPr>
                <w:rFonts w:ascii="宋体" w:hAnsi="宋体" w:eastAsia="宋体" w:cs="宋体"/>
                <w:spacing w:val="-6"/>
              </w:rPr>
              <w:t>游</w:t>
            </w:r>
            <w:r>
              <w:rPr>
                <w:rFonts w:ascii="宋体" w:hAnsi="宋体" w:eastAsia="宋体" w:cs="宋体"/>
                <w:spacing w:val="-43"/>
              </w:rPr>
              <w:t xml:space="preserve"> </w:t>
            </w:r>
            <w:r>
              <w:rPr>
                <w:spacing w:val="-6"/>
              </w:rPr>
              <w:t>6km</w:t>
            </w:r>
            <w:r>
              <w:rPr>
                <w:spacing w:val="10"/>
              </w:rPr>
              <w:t xml:space="preserve"> </w:t>
            </w:r>
            <w:r>
              <w:rPr>
                <w:rFonts w:ascii="宋体" w:hAnsi="宋体" w:eastAsia="宋体" w:cs="宋体"/>
                <w:spacing w:val="-6"/>
              </w:rPr>
              <w:t>处</w:t>
            </w:r>
          </w:p>
        </w:tc>
      </w:tr>
      <w:tr w14:paraId="553C3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7F347B4F">
            <w:pPr>
              <w:spacing w:before="137" w:line="208" w:lineRule="auto"/>
              <w:ind w:left="60"/>
              <w:rPr>
                <w:rFonts w:ascii="宋体" w:hAnsi="宋体" w:eastAsia="宋体" w:cs="宋体"/>
                <w:sz w:val="21"/>
                <w:szCs w:val="21"/>
              </w:rPr>
            </w:pPr>
            <w:r>
              <w:rPr>
                <w:rFonts w:ascii="宋体" w:hAnsi="宋体" w:eastAsia="宋体" w:cs="宋体"/>
                <w:spacing w:val="41"/>
                <w:sz w:val="21"/>
                <w:szCs w:val="21"/>
              </w:rPr>
              <w:t>卵囊藻</w:t>
            </w:r>
          </w:p>
        </w:tc>
        <w:tc>
          <w:tcPr>
            <w:tcW w:w="2823" w:type="dxa"/>
            <w:vAlign w:val="top"/>
          </w:tcPr>
          <w:p w14:paraId="295491D6">
            <w:pPr>
              <w:spacing w:line="262" w:lineRule="auto"/>
              <w:rPr>
                <w:rFonts w:ascii="Arial"/>
                <w:sz w:val="21"/>
              </w:rPr>
            </w:pPr>
          </w:p>
          <w:p w14:paraId="1B168ADB">
            <w:pPr>
              <w:pStyle w:val="6"/>
              <w:spacing w:before="69" w:line="212" w:lineRule="auto"/>
              <w:ind w:left="121"/>
            </w:pPr>
            <w:r>
              <w:rPr>
                <w:rFonts w:ascii="宋体" w:hAnsi="宋体" w:eastAsia="宋体" w:cs="宋体"/>
                <w:spacing w:val="-1"/>
              </w:rPr>
              <w:t>椭圆卵囊基</w:t>
            </w:r>
            <w:r>
              <w:rPr>
                <w:rFonts w:ascii="宋体" w:hAnsi="宋体" w:eastAsia="宋体" w:cs="宋体"/>
                <w:spacing w:val="-37"/>
              </w:rPr>
              <w:t xml:space="preserve"> </w:t>
            </w:r>
            <w:r>
              <w:rPr>
                <w:spacing w:val="-1"/>
              </w:rPr>
              <w:t>Oocystis elliptica</w:t>
            </w:r>
          </w:p>
        </w:tc>
        <w:tc>
          <w:tcPr>
            <w:tcW w:w="678" w:type="dxa"/>
            <w:vAlign w:val="top"/>
          </w:tcPr>
          <w:p w14:paraId="3A7C7659">
            <w:pPr>
              <w:spacing w:line="303" w:lineRule="auto"/>
              <w:rPr>
                <w:rFonts w:ascii="Arial"/>
                <w:sz w:val="21"/>
              </w:rPr>
            </w:pPr>
          </w:p>
          <w:p w14:paraId="3456CEFC">
            <w:pPr>
              <w:pStyle w:val="6"/>
              <w:spacing w:before="61" w:line="250" w:lineRule="exact"/>
              <w:ind w:left="275"/>
            </w:pPr>
            <w:r>
              <w:rPr>
                <w:position w:val="1"/>
              </w:rPr>
              <w:t>+</w:t>
            </w:r>
          </w:p>
        </w:tc>
        <w:tc>
          <w:tcPr>
            <w:tcW w:w="750" w:type="dxa"/>
            <w:vAlign w:val="top"/>
          </w:tcPr>
          <w:p w14:paraId="6937C24F">
            <w:pPr>
              <w:spacing w:line="303" w:lineRule="auto"/>
              <w:rPr>
                <w:rFonts w:ascii="Arial"/>
                <w:sz w:val="21"/>
              </w:rPr>
            </w:pPr>
          </w:p>
          <w:p w14:paraId="26A0B98A">
            <w:pPr>
              <w:pStyle w:val="6"/>
              <w:spacing w:before="61" w:line="250" w:lineRule="exact"/>
              <w:ind w:left="313"/>
            </w:pPr>
            <w:r>
              <w:rPr>
                <w:position w:val="1"/>
              </w:rPr>
              <w:t>+</w:t>
            </w:r>
          </w:p>
        </w:tc>
        <w:tc>
          <w:tcPr>
            <w:tcW w:w="677" w:type="dxa"/>
            <w:vAlign w:val="top"/>
          </w:tcPr>
          <w:p w14:paraId="00FC3AEF">
            <w:pPr>
              <w:spacing w:line="303" w:lineRule="auto"/>
              <w:rPr>
                <w:rFonts w:ascii="Arial"/>
                <w:sz w:val="21"/>
              </w:rPr>
            </w:pPr>
          </w:p>
          <w:p w14:paraId="20983018">
            <w:pPr>
              <w:pStyle w:val="6"/>
              <w:spacing w:before="61" w:line="250" w:lineRule="exact"/>
              <w:ind w:left="280"/>
            </w:pPr>
            <w:r>
              <w:rPr>
                <w:position w:val="1"/>
              </w:rPr>
              <w:t>+</w:t>
            </w:r>
          </w:p>
        </w:tc>
        <w:tc>
          <w:tcPr>
            <w:tcW w:w="749" w:type="dxa"/>
            <w:vAlign w:val="top"/>
          </w:tcPr>
          <w:p w14:paraId="771A86AD">
            <w:pPr>
              <w:spacing w:line="303" w:lineRule="auto"/>
              <w:rPr>
                <w:rFonts w:ascii="Arial"/>
                <w:sz w:val="21"/>
              </w:rPr>
            </w:pPr>
          </w:p>
          <w:p w14:paraId="13A25059">
            <w:pPr>
              <w:pStyle w:val="6"/>
              <w:spacing w:before="61" w:line="250" w:lineRule="exact"/>
              <w:ind w:left="318"/>
            </w:pPr>
            <w:r>
              <w:rPr>
                <w:position w:val="1"/>
              </w:rPr>
              <w:t>+</w:t>
            </w:r>
          </w:p>
        </w:tc>
        <w:tc>
          <w:tcPr>
            <w:tcW w:w="1148" w:type="dxa"/>
            <w:vAlign w:val="top"/>
          </w:tcPr>
          <w:p w14:paraId="03AC65F3">
            <w:pPr>
              <w:spacing w:line="303" w:lineRule="auto"/>
              <w:rPr>
                <w:rFonts w:ascii="Arial"/>
                <w:sz w:val="21"/>
              </w:rPr>
            </w:pPr>
          </w:p>
          <w:p w14:paraId="44496430">
            <w:pPr>
              <w:pStyle w:val="6"/>
              <w:spacing w:before="61" w:line="250" w:lineRule="exact"/>
              <w:ind w:left="522"/>
            </w:pPr>
            <w:r>
              <w:rPr>
                <w:position w:val="1"/>
              </w:rPr>
              <w:t>+</w:t>
            </w:r>
          </w:p>
        </w:tc>
        <w:tc>
          <w:tcPr>
            <w:tcW w:w="1166" w:type="dxa"/>
            <w:tcBorders>
              <w:right w:val="single" w:color="000000" w:sz="12" w:space="0"/>
            </w:tcBorders>
            <w:vAlign w:val="top"/>
          </w:tcPr>
          <w:p w14:paraId="6B248064">
            <w:pPr>
              <w:spacing w:line="303" w:lineRule="auto"/>
              <w:rPr>
                <w:rFonts w:ascii="Arial"/>
                <w:sz w:val="21"/>
              </w:rPr>
            </w:pPr>
          </w:p>
          <w:p w14:paraId="21581711">
            <w:pPr>
              <w:pStyle w:val="6"/>
              <w:spacing w:before="61" w:line="250" w:lineRule="exact"/>
              <w:ind w:left="527"/>
            </w:pPr>
            <w:r>
              <w:rPr>
                <w:position w:val="1"/>
              </w:rPr>
              <w:t>+</w:t>
            </w:r>
          </w:p>
        </w:tc>
      </w:tr>
      <w:tr w14:paraId="2357F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77155835">
            <w:pPr>
              <w:spacing w:before="137" w:line="206" w:lineRule="auto"/>
              <w:ind w:left="62"/>
              <w:rPr>
                <w:rFonts w:ascii="宋体" w:hAnsi="宋体" w:eastAsia="宋体" w:cs="宋体"/>
                <w:sz w:val="21"/>
                <w:szCs w:val="21"/>
              </w:rPr>
            </w:pPr>
            <w:r>
              <w:rPr>
                <w:rFonts w:ascii="宋体" w:hAnsi="宋体" w:eastAsia="宋体" w:cs="宋体"/>
                <w:spacing w:val="41"/>
                <w:sz w:val="21"/>
                <w:szCs w:val="21"/>
              </w:rPr>
              <w:t>纤维藻</w:t>
            </w:r>
          </w:p>
        </w:tc>
        <w:tc>
          <w:tcPr>
            <w:tcW w:w="2823" w:type="dxa"/>
            <w:vAlign w:val="top"/>
          </w:tcPr>
          <w:p w14:paraId="22EECE81">
            <w:pPr>
              <w:pStyle w:val="6"/>
              <w:spacing w:before="212" w:line="220" w:lineRule="auto"/>
              <w:ind w:left="130"/>
            </w:pPr>
            <w:r>
              <w:rPr>
                <w:rFonts w:ascii="宋体" w:hAnsi="宋体" w:eastAsia="宋体" w:cs="宋体"/>
                <w:spacing w:val="-1"/>
              </w:rPr>
              <w:t>镰形纤维藻</w:t>
            </w:r>
            <w:r>
              <w:rPr>
                <w:rFonts w:ascii="宋体" w:hAnsi="宋体" w:eastAsia="宋体" w:cs="宋体"/>
                <w:spacing w:val="-41"/>
              </w:rPr>
              <w:t xml:space="preserve"> </w:t>
            </w:r>
            <w:r>
              <w:rPr>
                <w:spacing w:val="-1"/>
              </w:rPr>
              <w:t>Ankistrodesmum</w:t>
            </w:r>
          </w:p>
          <w:p w14:paraId="4CC67EF3">
            <w:pPr>
              <w:pStyle w:val="6"/>
              <w:spacing w:before="40" w:line="232" w:lineRule="auto"/>
              <w:ind w:left="1079"/>
            </w:pPr>
            <w:r>
              <w:rPr>
                <w:spacing w:val="-1"/>
              </w:rPr>
              <w:t>falcatus</w:t>
            </w:r>
          </w:p>
        </w:tc>
        <w:tc>
          <w:tcPr>
            <w:tcW w:w="678" w:type="dxa"/>
            <w:vAlign w:val="top"/>
          </w:tcPr>
          <w:p w14:paraId="712ED596">
            <w:pPr>
              <w:spacing w:line="305" w:lineRule="auto"/>
              <w:rPr>
                <w:rFonts w:ascii="Arial"/>
                <w:sz w:val="21"/>
              </w:rPr>
            </w:pPr>
          </w:p>
          <w:p w14:paraId="00E3C7F5">
            <w:pPr>
              <w:pStyle w:val="6"/>
              <w:spacing w:before="61" w:line="250" w:lineRule="exact"/>
              <w:ind w:left="275"/>
            </w:pPr>
            <w:r>
              <w:rPr>
                <w:position w:val="1"/>
              </w:rPr>
              <w:t>+</w:t>
            </w:r>
          </w:p>
        </w:tc>
        <w:tc>
          <w:tcPr>
            <w:tcW w:w="750" w:type="dxa"/>
            <w:vAlign w:val="top"/>
          </w:tcPr>
          <w:p w14:paraId="2DBA7F8B">
            <w:pPr>
              <w:spacing w:line="305" w:lineRule="auto"/>
              <w:rPr>
                <w:rFonts w:ascii="Arial"/>
                <w:sz w:val="21"/>
              </w:rPr>
            </w:pPr>
          </w:p>
          <w:p w14:paraId="7299143A">
            <w:pPr>
              <w:pStyle w:val="6"/>
              <w:spacing w:before="61" w:line="250" w:lineRule="exact"/>
              <w:ind w:left="313"/>
            </w:pPr>
            <w:r>
              <w:rPr>
                <w:position w:val="1"/>
              </w:rPr>
              <w:t>+</w:t>
            </w:r>
          </w:p>
        </w:tc>
        <w:tc>
          <w:tcPr>
            <w:tcW w:w="677" w:type="dxa"/>
            <w:vAlign w:val="top"/>
          </w:tcPr>
          <w:p w14:paraId="4C341020">
            <w:pPr>
              <w:spacing w:line="305" w:lineRule="auto"/>
              <w:rPr>
                <w:rFonts w:ascii="Arial"/>
                <w:sz w:val="21"/>
              </w:rPr>
            </w:pPr>
          </w:p>
          <w:p w14:paraId="2ABA33F5">
            <w:pPr>
              <w:pStyle w:val="6"/>
              <w:spacing w:before="61" w:line="250" w:lineRule="exact"/>
              <w:ind w:left="280"/>
            </w:pPr>
            <w:r>
              <w:rPr>
                <w:position w:val="1"/>
              </w:rPr>
              <w:t>+</w:t>
            </w:r>
          </w:p>
        </w:tc>
        <w:tc>
          <w:tcPr>
            <w:tcW w:w="749" w:type="dxa"/>
            <w:vAlign w:val="top"/>
          </w:tcPr>
          <w:p w14:paraId="61AEACFF">
            <w:pPr>
              <w:spacing w:line="305" w:lineRule="auto"/>
              <w:rPr>
                <w:rFonts w:ascii="Arial"/>
                <w:sz w:val="21"/>
              </w:rPr>
            </w:pPr>
          </w:p>
          <w:p w14:paraId="1C22C6E0">
            <w:pPr>
              <w:pStyle w:val="6"/>
              <w:spacing w:before="61" w:line="250" w:lineRule="exact"/>
              <w:ind w:left="318"/>
            </w:pPr>
            <w:r>
              <w:rPr>
                <w:position w:val="1"/>
              </w:rPr>
              <w:t>+</w:t>
            </w:r>
          </w:p>
        </w:tc>
        <w:tc>
          <w:tcPr>
            <w:tcW w:w="1148" w:type="dxa"/>
            <w:vAlign w:val="top"/>
          </w:tcPr>
          <w:p w14:paraId="184C834A">
            <w:pPr>
              <w:spacing w:line="305" w:lineRule="auto"/>
              <w:rPr>
                <w:rFonts w:ascii="Arial"/>
                <w:sz w:val="21"/>
              </w:rPr>
            </w:pPr>
          </w:p>
          <w:p w14:paraId="5FC0B855">
            <w:pPr>
              <w:pStyle w:val="6"/>
              <w:spacing w:before="61" w:line="250" w:lineRule="exact"/>
              <w:ind w:left="522"/>
            </w:pPr>
            <w:r>
              <w:rPr>
                <w:position w:val="1"/>
              </w:rPr>
              <w:t>+</w:t>
            </w:r>
          </w:p>
        </w:tc>
        <w:tc>
          <w:tcPr>
            <w:tcW w:w="1166" w:type="dxa"/>
            <w:tcBorders>
              <w:right w:val="single" w:color="000000" w:sz="12" w:space="0"/>
            </w:tcBorders>
            <w:vAlign w:val="top"/>
          </w:tcPr>
          <w:p w14:paraId="328621B0">
            <w:pPr>
              <w:spacing w:line="305" w:lineRule="auto"/>
              <w:rPr>
                <w:rFonts w:ascii="Arial"/>
                <w:sz w:val="21"/>
              </w:rPr>
            </w:pPr>
          </w:p>
          <w:p w14:paraId="791567C4">
            <w:pPr>
              <w:pStyle w:val="6"/>
              <w:spacing w:before="61" w:line="250" w:lineRule="exact"/>
              <w:ind w:left="527"/>
            </w:pPr>
            <w:r>
              <w:rPr>
                <w:position w:val="1"/>
              </w:rPr>
              <w:t>+</w:t>
            </w:r>
          </w:p>
        </w:tc>
      </w:tr>
      <w:tr w14:paraId="021DE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15624437">
            <w:pPr>
              <w:spacing w:before="137" w:line="206" w:lineRule="auto"/>
              <w:ind w:left="64"/>
              <w:rPr>
                <w:rFonts w:ascii="宋体" w:hAnsi="宋体" w:eastAsia="宋体" w:cs="宋体"/>
                <w:sz w:val="21"/>
                <w:szCs w:val="21"/>
              </w:rPr>
            </w:pPr>
            <w:r>
              <w:rPr>
                <w:rFonts w:ascii="宋体" w:hAnsi="宋体" w:eastAsia="宋体" w:cs="宋体"/>
                <w:spacing w:val="41"/>
                <w:sz w:val="21"/>
                <w:szCs w:val="21"/>
              </w:rPr>
              <w:t>肾形藻</w:t>
            </w:r>
          </w:p>
        </w:tc>
        <w:tc>
          <w:tcPr>
            <w:tcW w:w="2823" w:type="dxa"/>
            <w:vAlign w:val="top"/>
          </w:tcPr>
          <w:p w14:paraId="6E614F4C">
            <w:pPr>
              <w:pStyle w:val="6"/>
              <w:spacing w:before="215"/>
              <w:ind w:left="856" w:right="465" w:hanging="379"/>
            </w:pPr>
            <w:r>
              <w:rPr>
                <w:rFonts w:ascii="宋体" w:hAnsi="宋体" w:eastAsia="宋体" w:cs="宋体"/>
                <w:spacing w:val="-2"/>
              </w:rPr>
              <w:t>肾形藻</w:t>
            </w:r>
            <w:r>
              <w:rPr>
                <w:rFonts w:ascii="宋体" w:hAnsi="宋体" w:eastAsia="宋体" w:cs="宋体"/>
                <w:spacing w:val="-49"/>
              </w:rPr>
              <w:t xml:space="preserve"> </w:t>
            </w:r>
            <w:r>
              <w:rPr>
                <w:spacing w:val="-2"/>
              </w:rPr>
              <w:t>Nephrocytium</w:t>
            </w:r>
            <w:r>
              <w:t xml:space="preserve"> </w:t>
            </w:r>
            <w:r>
              <w:rPr>
                <w:spacing w:val="-1"/>
              </w:rPr>
              <w:t>agardhianum</w:t>
            </w:r>
          </w:p>
        </w:tc>
        <w:tc>
          <w:tcPr>
            <w:tcW w:w="678" w:type="dxa"/>
            <w:vAlign w:val="top"/>
          </w:tcPr>
          <w:p w14:paraId="663D14DB">
            <w:pPr>
              <w:spacing w:line="307" w:lineRule="auto"/>
              <w:rPr>
                <w:rFonts w:ascii="Arial"/>
                <w:sz w:val="21"/>
              </w:rPr>
            </w:pPr>
          </w:p>
          <w:p w14:paraId="24D60E2F">
            <w:pPr>
              <w:pStyle w:val="6"/>
              <w:spacing w:before="61" w:line="250" w:lineRule="exact"/>
              <w:ind w:left="275"/>
            </w:pPr>
            <w:r>
              <w:rPr>
                <w:position w:val="1"/>
              </w:rPr>
              <w:t>+</w:t>
            </w:r>
          </w:p>
        </w:tc>
        <w:tc>
          <w:tcPr>
            <w:tcW w:w="750" w:type="dxa"/>
            <w:vAlign w:val="top"/>
          </w:tcPr>
          <w:p w14:paraId="6FB36743">
            <w:pPr>
              <w:spacing w:line="307" w:lineRule="auto"/>
              <w:rPr>
                <w:rFonts w:ascii="Arial"/>
                <w:sz w:val="21"/>
              </w:rPr>
            </w:pPr>
          </w:p>
          <w:p w14:paraId="1038D411">
            <w:pPr>
              <w:pStyle w:val="6"/>
              <w:spacing w:before="61" w:line="250" w:lineRule="exact"/>
              <w:ind w:left="255"/>
            </w:pPr>
            <w:r>
              <w:rPr>
                <w:spacing w:val="-1"/>
                <w:position w:val="1"/>
              </w:rPr>
              <w:t>++</w:t>
            </w:r>
          </w:p>
        </w:tc>
        <w:tc>
          <w:tcPr>
            <w:tcW w:w="677" w:type="dxa"/>
            <w:vAlign w:val="top"/>
          </w:tcPr>
          <w:p w14:paraId="72C4D6F4">
            <w:pPr>
              <w:spacing w:line="307" w:lineRule="auto"/>
              <w:rPr>
                <w:rFonts w:ascii="Arial"/>
                <w:sz w:val="21"/>
              </w:rPr>
            </w:pPr>
          </w:p>
          <w:p w14:paraId="3A949DE4">
            <w:pPr>
              <w:pStyle w:val="6"/>
              <w:spacing w:before="61" w:line="250" w:lineRule="exact"/>
              <w:ind w:left="280"/>
            </w:pPr>
            <w:r>
              <w:rPr>
                <w:position w:val="1"/>
              </w:rPr>
              <w:t>+</w:t>
            </w:r>
          </w:p>
        </w:tc>
        <w:tc>
          <w:tcPr>
            <w:tcW w:w="749" w:type="dxa"/>
            <w:vAlign w:val="top"/>
          </w:tcPr>
          <w:p w14:paraId="6A6B6D78">
            <w:pPr>
              <w:rPr>
                <w:rFonts w:ascii="Arial"/>
                <w:sz w:val="21"/>
              </w:rPr>
            </w:pPr>
          </w:p>
        </w:tc>
        <w:tc>
          <w:tcPr>
            <w:tcW w:w="1148" w:type="dxa"/>
            <w:vAlign w:val="top"/>
          </w:tcPr>
          <w:p w14:paraId="48593C53">
            <w:pPr>
              <w:spacing w:line="307" w:lineRule="auto"/>
              <w:rPr>
                <w:rFonts w:ascii="Arial"/>
                <w:sz w:val="21"/>
              </w:rPr>
            </w:pPr>
          </w:p>
          <w:p w14:paraId="353B042E">
            <w:pPr>
              <w:pStyle w:val="6"/>
              <w:spacing w:before="61" w:line="250" w:lineRule="exact"/>
              <w:ind w:left="522"/>
            </w:pPr>
            <w:r>
              <w:rPr>
                <w:position w:val="1"/>
              </w:rPr>
              <w:t>+</w:t>
            </w:r>
          </w:p>
        </w:tc>
        <w:tc>
          <w:tcPr>
            <w:tcW w:w="1166" w:type="dxa"/>
            <w:tcBorders>
              <w:right w:val="single" w:color="000000" w:sz="12" w:space="0"/>
            </w:tcBorders>
            <w:vAlign w:val="top"/>
          </w:tcPr>
          <w:p w14:paraId="39907F74">
            <w:pPr>
              <w:spacing w:line="307" w:lineRule="auto"/>
              <w:rPr>
                <w:rFonts w:ascii="Arial"/>
                <w:sz w:val="21"/>
              </w:rPr>
            </w:pPr>
          </w:p>
          <w:p w14:paraId="02E45EEC">
            <w:pPr>
              <w:pStyle w:val="6"/>
              <w:spacing w:before="61" w:line="250" w:lineRule="exact"/>
              <w:ind w:left="527"/>
            </w:pPr>
            <w:r>
              <w:rPr>
                <w:position w:val="1"/>
              </w:rPr>
              <w:t>+</w:t>
            </w:r>
          </w:p>
        </w:tc>
      </w:tr>
      <w:tr w14:paraId="567C6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26A7106A">
            <w:pPr>
              <w:spacing w:before="137" w:line="209" w:lineRule="auto"/>
              <w:ind w:left="66"/>
              <w:rPr>
                <w:rFonts w:ascii="宋体" w:hAnsi="宋体" w:eastAsia="宋体" w:cs="宋体"/>
                <w:sz w:val="21"/>
                <w:szCs w:val="21"/>
              </w:rPr>
            </w:pPr>
            <w:r>
              <w:rPr>
                <w:rFonts w:ascii="宋体" w:hAnsi="宋体" w:eastAsia="宋体" w:cs="宋体"/>
                <w:spacing w:val="41"/>
                <w:sz w:val="21"/>
                <w:szCs w:val="21"/>
              </w:rPr>
              <w:t>网球藻</w:t>
            </w:r>
          </w:p>
        </w:tc>
        <w:tc>
          <w:tcPr>
            <w:tcW w:w="2823" w:type="dxa"/>
            <w:vAlign w:val="top"/>
          </w:tcPr>
          <w:p w14:paraId="310709EC">
            <w:pPr>
              <w:pStyle w:val="6"/>
              <w:spacing w:before="217" w:line="212" w:lineRule="auto"/>
              <w:ind w:left="133"/>
            </w:pPr>
            <w:r>
              <w:rPr>
                <w:rFonts w:ascii="宋体" w:hAnsi="宋体" w:eastAsia="宋体" w:cs="宋体"/>
                <w:spacing w:val="-1"/>
              </w:rPr>
              <w:t>美丽网球藻</w:t>
            </w:r>
            <w:r>
              <w:rPr>
                <w:rFonts w:ascii="宋体" w:hAnsi="宋体" w:eastAsia="宋体" w:cs="宋体"/>
                <w:spacing w:val="-42"/>
              </w:rPr>
              <w:t xml:space="preserve"> </w:t>
            </w:r>
            <w:r>
              <w:rPr>
                <w:spacing w:val="-1"/>
              </w:rPr>
              <w:t>Dictyosphacrium</w:t>
            </w:r>
          </w:p>
          <w:p w14:paraId="6BCA2A0C">
            <w:pPr>
              <w:pStyle w:val="6"/>
              <w:spacing w:before="49" w:line="190" w:lineRule="auto"/>
              <w:ind w:left="872"/>
            </w:pPr>
            <w:r>
              <w:t>pulchelluom</w:t>
            </w:r>
          </w:p>
        </w:tc>
        <w:tc>
          <w:tcPr>
            <w:tcW w:w="678" w:type="dxa"/>
            <w:vAlign w:val="top"/>
          </w:tcPr>
          <w:p w14:paraId="1FB17E9A">
            <w:pPr>
              <w:spacing w:line="309" w:lineRule="auto"/>
              <w:rPr>
                <w:rFonts w:ascii="Arial"/>
                <w:sz w:val="21"/>
              </w:rPr>
            </w:pPr>
          </w:p>
          <w:p w14:paraId="6946E6E0">
            <w:pPr>
              <w:pStyle w:val="6"/>
              <w:spacing w:before="61" w:line="250" w:lineRule="exact"/>
              <w:ind w:left="275"/>
            </w:pPr>
            <w:r>
              <w:rPr>
                <w:position w:val="1"/>
              </w:rPr>
              <w:t>+</w:t>
            </w:r>
          </w:p>
        </w:tc>
        <w:tc>
          <w:tcPr>
            <w:tcW w:w="750" w:type="dxa"/>
            <w:vAlign w:val="top"/>
          </w:tcPr>
          <w:p w14:paraId="68B4DF87">
            <w:pPr>
              <w:spacing w:line="309" w:lineRule="auto"/>
              <w:rPr>
                <w:rFonts w:ascii="Arial"/>
                <w:sz w:val="21"/>
              </w:rPr>
            </w:pPr>
          </w:p>
          <w:p w14:paraId="371494D2">
            <w:pPr>
              <w:pStyle w:val="6"/>
              <w:spacing w:before="61" w:line="250" w:lineRule="exact"/>
              <w:ind w:left="313"/>
            </w:pPr>
            <w:r>
              <w:rPr>
                <w:position w:val="1"/>
              </w:rPr>
              <w:t>+</w:t>
            </w:r>
          </w:p>
        </w:tc>
        <w:tc>
          <w:tcPr>
            <w:tcW w:w="677" w:type="dxa"/>
            <w:vAlign w:val="top"/>
          </w:tcPr>
          <w:p w14:paraId="5A8BE46C">
            <w:pPr>
              <w:spacing w:line="309" w:lineRule="auto"/>
              <w:rPr>
                <w:rFonts w:ascii="Arial"/>
                <w:sz w:val="21"/>
              </w:rPr>
            </w:pPr>
          </w:p>
          <w:p w14:paraId="4CB2BC3B">
            <w:pPr>
              <w:pStyle w:val="6"/>
              <w:spacing w:before="61" w:line="250" w:lineRule="exact"/>
              <w:ind w:left="221"/>
            </w:pPr>
            <w:r>
              <w:rPr>
                <w:spacing w:val="-1"/>
                <w:position w:val="1"/>
              </w:rPr>
              <w:t>++</w:t>
            </w:r>
          </w:p>
        </w:tc>
        <w:tc>
          <w:tcPr>
            <w:tcW w:w="749" w:type="dxa"/>
            <w:vAlign w:val="top"/>
          </w:tcPr>
          <w:p w14:paraId="39339268">
            <w:pPr>
              <w:spacing w:line="309" w:lineRule="auto"/>
              <w:rPr>
                <w:rFonts w:ascii="Arial"/>
                <w:sz w:val="21"/>
              </w:rPr>
            </w:pPr>
          </w:p>
          <w:p w14:paraId="15345F2C">
            <w:pPr>
              <w:pStyle w:val="6"/>
              <w:spacing w:before="61" w:line="250" w:lineRule="exact"/>
              <w:ind w:left="318"/>
            </w:pPr>
            <w:r>
              <w:rPr>
                <w:position w:val="1"/>
              </w:rPr>
              <w:t>+</w:t>
            </w:r>
          </w:p>
        </w:tc>
        <w:tc>
          <w:tcPr>
            <w:tcW w:w="1148" w:type="dxa"/>
            <w:vAlign w:val="top"/>
          </w:tcPr>
          <w:p w14:paraId="548B7EB4">
            <w:pPr>
              <w:rPr>
                <w:rFonts w:ascii="Arial"/>
                <w:sz w:val="21"/>
              </w:rPr>
            </w:pPr>
          </w:p>
        </w:tc>
        <w:tc>
          <w:tcPr>
            <w:tcW w:w="1166" w:type="dxa"/>
            <w:tcBorders>
              <w:right w:val="single" w:color="000000" w:sz="12" w:space="0"/>
            </w:tcBorders>
            <w:vAlign w:val="top"/>
          </w:tcPr>
          <w:p w14:paraId="542F5D80">
            <w:pPr>
              <w:spacing w:line="309" w:lineRule="auto"/>
              <w:rPr>
                <w:rFonts w:ascii="Arial"/>
                <w:sz w:val="21"/>
              </w:rPr>
            </w:pPr>
          </w:p>
          <w:p w14:paraId="1A34CD59">
            <w:pPr>
              <w:pStyle w:val="6"/>
              <w:spacing w:before="61" w:line="250" w:lineRule="exact"/>
              <w:ind w:left="469"/>
            </w:pPr>
            <w:r>
              <w:rPr>
                <w:spacing w:val="-1"/>
                <w:position w:val="1"/>
              </w:rPr>
              <w:t>++</w:t>
            </w:r>
          </w:p>
        </w:tc>
      </w:tr>
      <w:tr w14:paraId="7F9D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0FA945BF">
            <w:pPr>
              <w:spacing w:before="137" w:line="205" w:lineRule="auto"/>
              <w:ind w:left="68"/>
              <w:rPr>
                <w:rFonts w:ascii="宋体" w:hAnsi="宋体" w:eastAsia="宋体" w:cs="宋体"/>
                <w:sz w:val="21"/>
                <w:szCs w:val="21"/>
              </w:rPr>
            </w:pPr>
            <w:r>
              <w:rPr>
                <w:rFonts w:ascii="宋体" w:hAnsi="宋体" w:eastAsia="宋体" w:cs="宋体"/>
                <w:spacing w:val="41"/>
                <w:sz w:val="21"/>
                <w:szCs w:val="21"/>
              </w:rPr>
              <w:t>四角藻</w:t>
            </w:r>
          </w:p>
        </w:tc>
        <w:tc>
          <w:tcPr>
            <w:tcW w:w="2823" w:type="dxa"/>
            <w:vAlign w:val="top"/>
          </w:tcPr>
          <w:p w14:paraId="38E2851A">
            <w:pPr>
              <w:pStyle w:val="6"/>
              <w:spacing w:before="219" w:line="267" w:lineRule="auto"/>
              <w:ind w:left="968" w:right="397" w:hanging="580"/>
            </w:pPr>
            <w:r>
              <w:rPr>
                <w:rFonts w:ascii="宋体" w:hAnsi="宋体" w:eastAsia="宋体" w:cs="宋体"/>
                <w:spacing w:val="-1"/>
              </w:rPr>
              <w:t>膨胀四角藻</w:t>
            </w:r>
            <w:r>
              <w:rPr>
                <w:rFonts w:ascii="宋体" w:hAnsi="宋体" w:eastAsia="宋体" w:cs="宋体"/>
                <w:spacing w:val="-46"/>
              </w:rPr>
              <w:t xml:space="preserve"> </w:t>
            </w:r>
            <w:r>
              <w:rPr>
                <w:spacing w:val="-1"/>
              </w:rPr>
              <w:t>Tetroedron</w:t>
            </w:r>
            <w:r>
              <w:t xml:space="preserve"> </w:t>
            </w:r>
            <w:r>
              <w:rPr>
                <w:spacing w:val="-1"/>
              </w:rPr>
              <w:t>tumidulon</w:t>
            </w:r>
          </w:p>
        </w:tc>
        <w:tc>
          <w:tcPr>
            <w:tcW w:w="678" w:type="dxa"/>
            <w:vAlign w:val="top"/>
          </w:tcPr>
          <w:p w14:paraId="73549D92">
            <w:pPr>
              <w:rPr>
                <w:rFonts w:ascii="Arial"/>
                <w:sz w:val="21"/>
              </w:rPr>
            </w:pPr>
          </w:p>
        </w:tc>
        <w:tc>
          <w:tcPr>
            <w:tcW w:w="750" w:type="dxa"/>
            <w:vAlign w:val="top"/>
          </w:tcPr>
          <w:p w14:paraId="2A3A4E4C">
            <w:pPr>
              <w:spacing w:line="311" w:lineRule="auto"/>
              <w:rPr>
                <w:rFonts w:ascii="Arial"/>
                <w:sz w:val="21"/>
              </w:rPr>
            </w:pPr>
          </w:p>
          <w:p w14:paraId="1DC09C7B">
            <w:pPr>
              <w:pStyle w:val="6"/>
              <w:spacing w:before="61" w:line="250" w:lineRule="exact"/>
              <w:ind w:left="255"/>
            </w:pPr>
            <w:r>
              <w:rPr>
                <w:spacing w:val="-1"/>
                <w:position w:val="1"/>
              </w:rPr>
              <w:t>++</w:t>
            </w:r>
          </w:p>
        </w:tc>
        <w:tc>
          <w:tcPr>
            <w:tcW w:w="677" w:type="dxa"/>
            <w:vAlign w:val="top"/>
          </w:tcPr>
          <w:p w14:paraId="7B0FEAE4">
            <w:pPr>
              <w:spacing w:line="311" w:lineRule="auto"/>
              <w:rPr>
                <w:rFonts w:ascii="Arial"/>
                <w:sz w:val="21"/>
              </w:rPr>
            </w:pPr>
          </w:p>
          <w:p w14:paraId="4B6B5806">
            <w:pPr>
              <w:pStyle w:val="6"/>
              <w:spacing w:before="61" w:line="250" w:lineRule="exact"/>
              <w:ind w:left="280"/>
            </w:pPr>
            <w:r>
              <w:rPr>
                <w:position w:val="1"/>
              </w:rPr>
              <w:t>+</w:t>
            </w:r>
          </w:p>
        </w:tc>
        <w:tc>
          <w:tcPr>
            <w:tcW w:w="749" w:type="dxa"/>
            <w:vAlign w:val="top"/>
          </w:tcPr>
          <w:p w14:paraId="1C48A976">
            <w:pPr>
              <w:spacing w:line="311" w:lineRule="auto"/>
              <w:rPr>
                <w:rFonts w:ascii="Arial"/>
                <w:sz w:val="21"/>
              </w:rPr>
            </w:pPr>
          </w:p>
          <w:p w14:paraId="2280DAC0">
            <w:pPr>
              <w:pStyle w:val="6"/>
              <w:spacing w:before="61" w:line="250" w:lineRule="exact"/>
              <w:ind w:left="318"/>
            </w:pPr>
            <w:r>
              <w:rPr>
                <w:position w:val="1"/>
              </w:rPr>
              <w:t>+</w:t>
            </w:r>
          </w:p>
        </w:tc>
        <w:tc>
          <w:tcPr>
            <w:tcW w:w="1148" w:type="dxa"/>
            <w:vAlign w:val="top"/>
          </w:tcPr>
          <w:p w14:paraId="10675B9A">
            <w:pPr>
              <w:spacing w:line="311" w:lineRule="auto"/>
              <w:rPr>
                <w:rFonts w:ascii="Arial"/>
                <w:sz w:val="21"/>
              </w:rPr>
            </w:pPr>
          </w:p>
          <w:p w14:paraId="3D5EA961">
            <w:pPr>
              <w:pStyle w:val="6"/>
              <w:spacing w:before="61" w:line="250" w:lineRule="exact"/>
              <w:ind w:left="522"/>
            </w:pPr>
            <w:r>
              <w:rPr>
                <w:position w:val="1"/>
              </w:rPr>
              <w:t>+</w:t>
            </w:r>
          </w:p>
        </w:tc>
        <w:tc>
          <w:tcPr>
            <w:tcW w:w="1166" w:type="dxa"/>
            <w:tcBorders>
              <w:right w:val="single" w:color="000000" w:sz="12" w:space="0"/>
            </w:tcBorders>
            <w:vAlign w:val="top"/>
          </w:tcPr>
          <w:p w14:paraId="435DF3C5">
            <w:pPr>
              <w:spacing w:line="311" w:lineRule="auto"/>
              <w:rPr>
                <w:rFonts w:ascii="Arial"/>
                <w:sz w:val="21"/>
              </w:rPr>
            </w:pPr>
          </w:p>
          <w:p w14:paraId="2D1BD3DF">
            <w:pPr>
              <w:pStyle w:val="6"/>
              <w:spacing w:before="61" w:line="250" w:lineRule="exact"/>
              <w:ind w:left="527"/>
            </w:pPr>
            <w:r>
              <w:rPr>
                <w:position w:val="1"/>
              </w:rPr>
              <w:t>+</w:t>
            </w:r>
          </w:p>
        </w:tc>
      </w:tr>
      <w:tr w14:paraId="0945F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43A1E385">
            <w:pPr>
              <w:spacing w:before="138" w:line="206" w:lineRule="auto"/>
              <w:ind w:left="70"/>
              <w:rPr>
                <w:rFonts w:ascii="宋体" w:hAnsi="宋体" w:eastAsia="宋体" w:cs="宋体"/>
                <w:sz w:val="21"/>
                <w:szCs w:val="21"/>
              </w:rPr>
            </w:pPr>
            <w:r>
              <w:rPr>
                <w:rFonts w:ascii="宋体" w:hAnsi="宋体" w:eastAsia="宋体" w:cs="宋体"/>
                <w:spacing w:val="41"/>
                <w:sz w:val="21"/>
                <w:szCs w:val="21"/>
              </w:rPr>
              <w:t>蹄形藻</w:t>
            </w:r>
          </w:p>
        </w:tc>
        <w:tc>
          <w:tcPr>
            <w:tcW w:w="2823" w:type="dxa"/>
            <w:vAlign w:val="top"/>
          </w:tcPr>
          <w:p w14:paraId="03F87DDD">
            <w:pPr>
              <w:spacing w:line="272" w:lineRule="auto"/>
              <w:rPr>
                <w:rFonts w:ascii="Arial"/>
                <w:sz w:val="21"/>
              </w:rPr>
            </w:pPr>
          </w:p>
          <w:p w14:paraId="320A7C83">
            <w:pPr>
              <w:pStyle w:val="6"/>
              <w:spacing w:before="68" w:line="234" w:lineRule="auto"/>
              <w:ind w:left="175"/>
            </w:pPr>
            <w:r>
              <w:rPr>
                <w:rFonts w:ascii="宋体" w:hAnsi="宋体" w:eastAsia="宋体" w:cs="宋体"/>
                <w:spacing w:val="-1"/>
              </w:rPr>
              <w:t xml:space="preserve">蹄形藻 </w:t>
            </w:r>
            <w:r>
              <w:rPr>
                <w:spacing w:val="-1"/>
              </w:rPr>
              <w:t>Kirchneriella lunaris</w:t>
            </w:r>
          </w:p>
        </w:tc>
        <w:tc>
          <w:tcPr>
            <w:tcW w:w="678" w:type="dxa"/>
            <w:vAlign w:val="top"/>
          </w:tcPr>
          <w:p w14:paraId="4870D01A">
            <w:pPr>
              <w:spacing w:line="313" w:lineRule="auto"/>
              <w:rPr>
                <w:rFonts w:ascii="Arial"/>
                <w:sz w:val="21"/>
              </w:rPr>
            </w:pPr>
          </w:p>
          <w:p w14:paraId="154B7763">
            <w:pPr>
              <w:pStyle w:val="6"/>
              <w:spacing w:before="61" w:line="250" w:lineRule="exact"/>
              <w:ind w:left="275"/>
            </w:pPr>
            <w:r>
              <w:rPr>
                <w:position w:val="1"/>
              </w:rPr>
              <w:t>+</w:t>
            </w:r>
          </w:p>
        </w:tc>
        <w:tc>
          <w:tcPr>
            <w:tcW w:w="750" w:type="dxa"/>
            <w:vAlign w:val="top"/>
          </w:tcPr>
          <w:p w14:paraId="76D20BE9">
            <w:pPr>
              <w:spacing w:line="313" w:lineRule="auto"/>
              <w:rPr>
                <w:rFonts w:ascii="Arial"/>
                <w:sz w:val="21"/>
              </w:rPr>
            </w:pPr>
          </w:p>
          <w:p w14:paraId="319B6D8E">
            <w:pPr>
              <w:pStyle w:val="6"/>
              <w:spacing w:before="61" w:line="250" w:lineRule="exact"/>
              <w:ind w:left="313"/>
            </w:pPr>
            <w:r>
              <w:rPr>
                <w:position w:val="1"/>
              </w:rPr>
              <w:t>+</w:t>
            </w:r>
          </w:p>
        </w:tc>
        <w:tc>
          <w:tcPr>
            <w:tcW w:w="677" w:type="dxa"/>
            <w:vAlign w:val="top"/>
          </w:tcPr>
          <w:p w14:paraId="69340198">
            <w:pPr>
              <w:spacing w:line="313" w:lineRule="auto"/>
              <w:rPr>
                <w:rFonts w:ascii="Arial"/>
                <w:sz w:val="21"/>
              </w:rPr>
            </w:pPr>
          </w:p>
          <w:p w14:paraId="2F741990">
            <w:pPr>
              <w:pStyle w:val="6"/>
              <w:spacing w:before="61" w:line="250" w:lineRule="exact"/>
              <w:ind w:left="280"/>
            </w:pPr>
            <w:r>
              <w:rPr>
                <w:position w:val="1"/>
              </w:rPr>
              <w:t>+</w:t>
            </w:r>
          </w:p>
        </w:tc>
        <w:tc>
          <w:tcPr>
            <w:tcW w:w="749" w:type="dxa"/>
            <w:vAlign w:val="top"/>
          </w:tcPr>
          <w:p w14:paraId="0C73C824">
            <w:pPr>
              <w:spacing w:line="313" w:lineRule="auto"/>
              <w:rPr>
                <w:rFonts w:ascii="Arial"/>
                <w:sz w:val="21"/>
              </w:rPr>
            </w:pPr>
          </w:p>
          <w:p w14:paraId="57D21EC8">
            <w:pPr>
              <w:pStyle w:val="6"/>
              <w:spacing w:before="61" w:line="250" w:lineRule="exact"/>
              <w:ind w:left="318"/>
            </w:pPr>
            <w:r>
              <w:rPr>
                <w:position w:val="1"/>
              </w:rPr>
              <w:t>+</w:t>
            </w:r>
          </w:p>
        </w:tc>
        <w:tc>
          <w:tcPr>
            <w:tcW w:w="1148" w:type="dxa"/>
            <w:vAlign w:val="top"/>
          </w:tcPr>
          <w:p w14:paraId="2AED6FB7">
            <w:pPr>
              <w:spacing w:line="313" w:lineRule="auto"/>
              <w:rPr>
                <w:rFonts w:ascii="Arial"/>
                <w:sz w:val="21"/>
              </w:rPr>
            </w:pPr>
          </w:p>
          <w:p w14:paraId="5CCC183D">
            <w:pPr>
              <w:pStyle w:val="6"/>
              <w:spacing w:before="61" w:line="250" w:lineRule="exact"/>
              <w:ind w:left="522"/>
            </w:pPr>
            <w:r>
              <w:rPr>
                <w:position w:val="1"/>
              </w:rPr>
              <w:t>+</w:t>
            </w:r>
          </w:p>
        </w:tc>
        <w:tc>
          <w:tcPr>
            <w:tcW w:w="1166" w:type="dxa"/>
            <w:tcBorders>
              <w:right w:val="single" w:color="000000" w:sz="12" w:space="0"/>
            </w:tcBorders>
            <w:vAlign w:val="top"/>
          </w:tcPr>
          <w:p w14:paraId="018DE9C4">
            <w:pPr>
              <w:spacing w:line="313" w:lineRule="auto"/>
              <w:rPr>
                <w:rFonts w:ascii="Arial"/>
                <w:sz w:val="21"/>
              </w:rPr>
            </w:pPr>
          </w:p>
          <w:p w14:paraId="6B24F15E">
            <w:pPr>
              <w:pStyle w:val="6"/>
              <w:spacing w:before="61" w:line="250" w:lineRule="exact"/>
              <w:ind w:left="527"/>
            </w:pPr>
            <w:r>
              <w:rPr>
                <w:position w:val="1"/>
              </w:rPr>
              <w:t>+</w:t>
            </w:r>
          </w:p>
        </w:tc>
      </w:tr>
      <w:tr w14:paraId="39999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482" w:type="dxa"/>
            <w:vMerge w:val="restart"/>
            <w:tcBorders>
              <w:left w:val="single" w:color="000000" w:sz="12" w:space="0"/>
              <w:bottom w:val="nil"/>
            </w:tcBorders>
            <w:textDirection w:val="tbRlV"/>
            <w:vAlign w:val="top"/>
          </w:tcPr>
          <w:p w14:paraId="237B9217">
            <w:pPr>
              <w:spacing w:before="138" w:line="207" w:lineRule="auto"/>
              <w:ind w:left="113"/>
              <w:rPr>
                <w:rFonts w:ascii="宋体" w:hAnsi="宋体" w:eastAsia="宋体" w:cs="宋体"/>
                <w:sz w:val="21"/>
                <w:szCs w:val="21"/>
              </w:rPr>
            </w:pPr>
            <w:r>
              <w:rPr>
                <w:rFonts w:ascii="宋体" w:hAnsi="宋体" w:eastAsia="宋体" w:cs="宋体"/>
                <w:spacing w:val="31"/>
                <w:sz w:val="21"/>
                <w:szCs w:val="21"/>
              </w:rPr>
              <w:t>丝藻</w:t>
            </w:r>
          </w:p>
        </w:tc>
        <w:tc>
          <w:tcPr>
            <w:tcW w:w="2823" w:type="dxa"/>
            <w:vAlign w:val="top"/>
          </w:tcPr>
          <w:p w14:paraId="0D129FD3">
            <w:pPr>
              <w:pStyle w:val="6"/>
              <w:spacing w:before="78" w:line="224" w:lineRule="auto"/>
              <w:ind w:left="344"/>
            </w:pPr>
            <w:r>
              <w:rPr>
                <w:rFonts w:ascii="宋体" w:hAnsi="宋体" w:eastAsia="宋体" w:cs="宋体"/>
                <w:spacing w:val="-1"/>
              </w:rPr>
              <w:t>链丝藻</w:t>
            </w:r>
            <w:r>
              <w:rPr>
                <w:rFonts w:ascii="宋体" w:hAnsi="宋体" w:eastAsia="宋体" w:cs="宋体"/>
                <w:spacing w:val="-41"/>
              </w:rPr>
              <w:t xml:space="preserve"> </w:t>
            </w:r>
            <w:r>
              <w:rPr>
                <w:spacing w:val="-1"/>
              </w:rPr>
              <w:t>Ulothrix flaccion</w:t>
            </w:r>
          </w:p>
        </w:tc>
        <w:tc>
          <w:tcPr>
            <w:tcW w:w="678" w:type="dxa"/>
            <w:vAlign w:val="top"/>
          </w:tcPr>
          <w:p w14:paraId="6F48CEDA">
            <w:pPr>
              <w:pStyle w:val="6"/>
              <w:spacing w:before="111" w:line="220" w:lineRule="auto"/>
              <w:ind w:left="157"/>
            </w:pPr>
            <w:r>
              <w:rPr>
                <w:spacing w:val="-1"/>
              </w:rPr>
              <w:t>+++</w:t>
            </w:r>
          </w:p>
        </w:tc>
        <w:tc>
          <w:tcPr>
            <w:tcW w:w="750" w:type="dxa"/>
            <w:vAlign w:val="top"/>
          </w:tcPr>
          <w:p w14:paraId="7254CA53">
            <w:pPr>
              <w:pStyle w:val="6"/>
              <w:spacing w:before="111" w:line="220" w:lineRule="auto"/>
              <w:ind w:left="313"/>
            </w:pPr>
            <w:r>
              <w:t>+</w:t>
            </w:r>
          </w:p>
        </w:tc>
        <w:tc>
          <w:tcPr>
            <w:tcW w:w="677" w:type="dxa"/>
            <w:vAlign w:val="top"/>
          </w:tcPr>
          <w:p w14:paraId="0C6177B2">
            <w:pPr>
              <w:rPr>
                <w:rFonts w:ascii="Arial"/>
                <w:sz w:val="21"/>
              </w:rPr>
            </w:pPr>
          </w:p>
        </w:tc>
        <w:tc>
          <w:tcPr>
            <w:tcW w:w="749" w:type="dxa"/>
            <w:vAlign w:val="top"/>
          </w:tcPr>
          <w:p w14:paraId="7C060D19">
            <w:pPr>
              <w:pStyle w:val="6"/>
              <w:spacing w:before="111" w:line="220" w:lineRule="auto"/>
              <w:ind w:left="259"/>
            </w:pPr>
            <w:r>
              <w:rPr>
                <w:spacing w:val="-1"/>
              </w:rPr>
              <w:t>++</w:t>
            </w:r>
          </w:p>
        </w:tc>
        <w:tc>
          <w:tcPr>
            <w:tcW w:w="1148" w:type="dxa"/>
            <w:vAlign w:val="top"/>
          </w:tcPr>
          <w:p w14:paraId="118FE7D2">
            <w:pPr>
              <w:pStyle w:val="6"/>
              <w:spacing w:before="111" w:line="220" w:lineRule="auto"/>
              <w:ind w:left="522"/>
            </w:pPr>
            <w:r>
              <w:t>+</w:t>
            </w:r>
          </w:p>
        </w:tc>
        <w:tc>
          <w:tcPr>
            <w:tcW w:w="1166" w:type="dxa"/>
            <w:tcBorders>
              <w:right w:val="single" w:color="000000" w:sz="12" w:space="0"/>
            </w:tcBorders>
            <w:vAlign w:val="top"/>
          </w:tcPr>
          <w:p w14:paraId="1919F023">
            <w:pPr>
              <w:pStyle w:val="6"/>
              <w:spacing w:before="111" w:line="220" w:lineRule="auto"/>
              <w:ind w:left="527"/>
            </w:pPr>
            <w:r>
              <w:t>+</w:t>
            </w:r>
          </w:p>
        </w:tc>
      </w:tr>
      <w:tr w14:paraId="29F1F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82" w:type="dxa"/>
            <w:vMerge w:val="continue"/>
            <w:tcBorders>
              <w:top w:val="nil"/>
              <w:left w:val="single" w:color="000000" w:sz="12" w:space="0"/>
            </w:tcBorders>
            <w:textDirection w:val="tbRlV"/>
            <w:vAlign w:val="top"/>
          </w:tcPr>
          <w:p w14:paraId="48E6E344">
            <w:pPr>
              <w:rPr>
                <w:rFonts w:ascii="Arial"/>
                <w:sz w:val="21"/>
              </w:rPr>
            </w:pPr>
          </w:p>
        </w:tc>
        <w:tc>
          <w:tcPr>
            <w:tcW w:w="2823" w:type="dxa"/>
            <w:vAlign w:val="top"/>
          </w:tcPr>
          <w:p w14:paraId="1F155E01">
            <w:pPr>
              <w:pStyle w:val="6"/>
              <w:spacing w:before="73" w:line="220" w:lineRule="auto"/>
              <w:ind w:left="281"/>
            </w:pPr>
            <w:r>
              <w:rPr>
                <w:rFonts w:ascii="宋体" w:hAnsi="宋体" w:eastAsia="宋体" w:cs="宋体"/>
                <w:spacing w:val="-1"/>
              </w:rPr>
              <w:t>细丝藻</w:t>
            </w:r>
            <w:r>
              <w:rPr>
                <w:rFonts w:ascii="宋体" w:hAnsi="宋体" w:eastAsia="宋体" w:cs="宋体"/>
                <w:spacing w:val="-42"/>
              </w:rPr>
              <w:t xml:space="preserve"> </w:t>
            </w:r>
            <w:r>
              <w:rPr>
                <w:spacing w:val="-1"/>
              </w:rPr>
              <w:t>Ulothrix tenerrima</w:t>
            </w:r>
          </w:p>
        </w:tc>
        <w:tc>
          <w:tcPr>
            <w:tcW w:w="678" w:type="dxa"/>
            <w:vAlign w:val="top"/>
          </w:tcPr>
          <w:p w14:paraId="2A43DF02">
            <w:pPr>
              <w:pStyle w:val="6"/>
              <w:spacing w:before="106" w:line="216" w:lineRule="auto"/>
              <w:ind w:left="275"/>
            </w:pPr>
            <w:r>
              <w:t>+</w:t>
            </w:r>
          </w:p>
        </w:tc>
        <w:tc>
          <w:tcPr>
            <w:tcW w:w="750" w:type="dxa"/>
            <w:vAlign w:val="top"/>
          </w:tcPr>
          <w:p w14:paraId="5F18FC7A">
            <w:pPr>
              <w:pStyle w:val="6"/>
              <w:spacing w:before="106" w:line="216" w:lineRule="auto"/>
              <w:ind w:left="313"/>
            </w:pPr>
            <w:r>
              <w:t>+</w:t>
            </w:r>
          </w:p>
        </w:tc>
        <w:tc>
          <w:tcPr>
            <w:tcW w:w="677" w:type="dxa"/>
            <w:vAlign w:val="top"/>
          </w:tcPr>
          <w:p w14:paraId="5057C0A6">
            <w:pPr>
              <w:pStyle w:val="6"/>
              <w:spacing w:before="106" w:line="216" w:lineRule="auto"/>
              <w:ind w:left="280"/>
            </w:pPr>
            <w:r>
              <w:t>+</w:t>
            </w:r>
          </w:p>
        </w:tc>
        <w:tc>
          <w:tcPr>
            <w:tcW w:w="749" w:type="dxa"/>
            <w:vAlign w:val="top"/>
          </w:tcPr>
          <w:p w14:paraId="50EBEA00">
            <w:pPr>
              <w:pStyle w:val="6"/>
              <w:spacing w:before="106" w:line="216" w:lineRule="auto"/>
              <w:ind w:left="318"/>
            </w:pPr>
            <w:r>
              <w:t>+</w:t>
            </w:r>
          </w:p>
        </w:tc>
        <w:tc>
          <w:tcPr>
            <w:tcW w:w="1148" w:type="dxa"/>
            <w:vAlign w:val="top"/>
          </w:tcPr>
          <w:p w14:paraId="2B2E8D03">
            <w:pPr>
              <w:rPr>
                <w:rFonts w:ascii="Arial"/>
                <w:sz w:val="21"/>
              </w:rPr>
            </w:pPr>
          </w:p>
        </w:tc>
        <w:tc>
          <w:tcPr>
            <w:tcW w:w="1166" w:type="dxa"/>
            <w:tcBorders>
              <w:right w:val="single" w:color="000000" w:sz="12" w:space="0"/>
            </w:tcBorders>
            <w:vAlign w:val="top"/>
          </w:tcPr>
          <w:p w14:paraId="0E64A3DC">
            <w:pPr>
              <w:rPr>
                <w:rFonts w:ascii="Arial"/>
                <w:sz w:val="21"/>
              </w:rPr>
            </w:pPr>
          </w:p>
        </w:tc>
      </w:tr>
      <w:tr w14:paraId="2A796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0A2A41D8">
            <w:pPr>
              <w:spacing w:before="137" w:line="209" w:lineRule="auto"/>
              <w:ind w:left="72"/>
              <w:rPr>
                <w:rFonts w:ascii="宋体" w:hAnsi="宋体" w:eastAsia="宋体" w:cs="宋体"/>
                <w:sz w:val="21"/>
                <w:szCs w:val="21"/>
              </w:rPr>
            </w:pPr>
            <w:r>
              <w:rPr>
                <w:rFonts w:ascii="宋体" w:hAnsi="宋体" w:eastAsia="宋体" w:cs="宋体"/>
                <w:spacing w:val="41"/>
                <w:sz w:val="21"/>
                <w:szCs w:val="21"/>
              </w:rPr>
              <w:t>胶毛藻</w:t>
            </w:r>
          </w:p>
        </w:tc>
        <w:tc>
          <w:tcPr>
            <w:tcW w:w="2823" w:type="dxa"/>
            <w:vAlign w:val="top"/>
          </w:tcPr>
          <w:p w14:paraId="75F72483">
            <w:pPr>
              <w:pStyle w:val="6"/>
              <w:spacing w:before="224" w:line="213" w:lineRule="auto"/>
              <w:ind w:left="316"/>
            </w:pPr>
            <w:r>
              <w:rPr>
                <w:rFonts w:ascii="宋体" w:hAnsi="宋体" w:eastAsia="宋体" w:cs="宋体"/>
                <w:spacing w:val="-1"/>
              </w:rPr>
              <w:t>优美胶毛藻</w:t>
            </w:r>
            <w:r>
              <w:rPr>
                <w:rFonts w:ascii="宋体" w:hAnsi="宋体" w:eastAsia="宋体" w:cs="宋体"/>
                <w:spacing w:val="-45"/>
              </w:rPr>
              <w:t xml:space="preserve"> </w:t>
            </w:r>
            <w:r>
              <w:rPr>
                <w:spacing w:val="-1"/>
              </w:rPr>
              <w:t>Chaetophora</w:t>
            </w:r>
          </w:p>
          <w:p w14:paraId="0D9A9723">
            <w:pPr>
              <w:pStyle w:val="6"/>
              <w:spacing w:before="48" w:line="190" w:lineRule="auto"/>
              <w:ind w:left="1090"/>
            </w:pPr>
            <w:r>
              <w:rPr>
                <w:spacing w:val="-2"/>
              </w:rPr>
              <w:t>elegans</w:t>
            </w:r>
          </w:p>
        </w:tc>
        <w:tc>
          <w:tcPr>
            <w:tcW w:w="678" w:type="dxa"/>
            <w:vAlign w:val="top"/>
          </w:tcPr>
          <w:p w14:paraId="25863545">
            <w:pPr>
              <w:spacing w:line="316" w:lineRule="auto"/>
              <w:rPr>
                <w:rFonts w:ascii="Arial"/>
                <w:sz w:val="21"/>
              </w:rPr>
            </w:pPr>
          </w:p>
          <w:p w14:paraId="39317D61">
            <w:pPr>
              <w:pStyle w:val="6"/>
              <w:spacing w:before="60" w:line="251" w:lineRule="exact"/>
              <w:ind w:left="275"/>
            </w:pPr>
            <w:r>
              <w:rPr>
                <w:position w:val="1"/>
              </w:rPr>
              <w:t>+</w:t>
            </w:r>
          </w:p>
        </w:tc>
        <w:tc>
          <w:tcPr>
            <w:tcW w:w="750" w:type="dxa"/>
            <w:vAlign w:val="top"/>
          </w:tcPr>
          <w:p w14:paraId="16487E63">
            <w:pPr>
              <w:rPr>
                <w:rFonts w:ascii="Arial"/>
                <w:sz w:val="21"/>
              </w:rPr>
            </w:pPr>
          </w:p>
        </w:tc>
        <w:tc>
          <w:tcPr>
            <w:tcW w:w="677" w:type="dxa"/>
            <w:vAlign w:val="top"/>
          </w:tcPr>
          <w:p w14:paraId="0FC2301F">
            <w:pPr>
              <w:spacing w:line="316" w:lineRule="auto"/>
              <w:rPr>
                <w:rFonts w:ascii="Arial"/>
                <w:sz w:val="21"/>
              </w:rPr>
            </w:pPr>
          </w:p>
          <w:p w14:paraId="14B927E4">
            <w:pPr>
              <w:pStyle w:val="6"/>
              <w:spacing w:before="60" w:line="251" w:lineRule="exact"/>
              <w:ind w:left="280"/>
            </w:pPr>
            <w:r>
              <w:rPr>
                <w:position w:val="1"/>
              </w:rPr>
              <w:t>+</w:t>
            </w:r>
          </w:p>
        </w:tc>
        <w:tc>
          <w:tcPr>
            <w:tcW w:w="749" w:type="dxa"/>
            <w:vAlign w:val="top"/>
          </w:tcPr>
          <w:p w14:paraId="34B62D07">
            <w:pPr>
              <w:spacing w:line="316" w:lineRule="auto"/>
              <w:rPr>
                <w:rFonts w:ascii="Arial"/>
                <w:sz w:val="21"/>
              </w:rPr>
            </w:pPr>
          </w:p>
          <w:p w14:paraId="0637E873">
            <w:pPr>
              <w:pStyle w:val="6"/>
              <w:spacing w:before="60" w:line="251" w:lineRule="exact"/>
              <w:ind w:left="259"/>
            </w:pPr>
            <w:r>
              <w:rPr>
                <w:spacing w:val="-1"/>
                <w:position w:val="1"/>
              </w:rPr>
              <w:t>++</w:t>
            </w:r>
          </w:p>
        </w:tc>
        <w:tc>
          <w:tcPr>
            <w:tcW w:w="1148" w:type="dxa"/>
            <w:vAlign w:val="top"/>
          </w:tcPr>
          <w:p w14:paraId="03C4401D">
            <w:pPr>
              <w:spacing w:line="316" w:lineRule="auto"/>
              <w:rPr>
                <w:rFonts w:ascii="Arial"/>
                <w:sz w:val="21"/>
              </w:rPr>
            </w:pPr>
          </w:p>
          <w:p w14:paraId="671EF6C6">
            <w:pPr>
              <w:pStyle w:val="6"/>
              <w:spacing w:before="60" w:line="251" w:lineRule="exact"/>
              <w:ind w:left="522"/>
            </w:pPr>
            <w:r>
              <w:rPr>
                <w:position w:val="1"/>
              </w:rPr>
              <w:t>+</w:t>
            </w:r>
          </w:p>
        </w:tc>
        <w:tc>
          <w:tcPr>
            <w:tcW w:w="1166" w:type="dxa"/>
            <w:tcBorders>
              <w:right w:val="single" w:color="000000" w:sz="12" w:space="0"/>
            </w:tcBorders>
            <w:vAlign w:val="top"/>
          </w:tcPr>
          <w:p w14:paraId="5BB4479E">
            <w:pPr>
              <w:spacing w:line="316" w:lineRule="auto"/>
              <w:rPr>
                <w:rFonts w:ascii="Arial"/>
                <w:sz w:val="21"/>
              </w:rPr>
            </w:pPr>
          </w:p>
          <w:p w14:paraId="66C1A8B2">
            <w:pPr>
              <w:pStyle w:val="6"/>
              <w:spacing w:before="60" w:line="251" w:lineRule="exact"/>
              <w:ind w:left="469"/>
            </w:pPr>
            <w:r>
              <w:rPr>
                <w:spacing w:val="-1"/>
                <w:position w:val="1"/>
              </w:rPr>
              <w:t>++</w:t>
            </w:r>
          </w:p>
        </w:tc>
      </w:tr>
      <w:tr w14:paraId="06690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0295527D">
            <w:pPr>
              <w:spacing w:before="137" w:line="208" w:lineRule="auto"/>
              <w:ind w:left="74"/>
              <w:rPr>
                <w:rFonts w:ascii="宋体" w:hAnsi="宋体" w:eastAsia="宋体" w:cs="宋体"/>
                <w:sz w:val="21"/>
                <w:szCs w:val="21"/>
              </w:rPr>
            </w:pPr>
            <w:r>
              <w:rPr>
                <w:rFonts w:ascii="宋体" w:hAnsi="宋体" w:eastAsia="宋体" w:cs="宋体"/>
                <w:spacing w:val="41"/>
                <w:sz w:val="21"/>
                <w:szCs w:val="21"/>
              </w:rPr>
              <w:t>刚毛藻</w:t>
            </w:r>
          </w:p>
        </w:tc>
        <w:tc>
          <w:tcPr>
            <w:tcW w:w="2823" w:type="dxa"/>
            <w:vAlign w:val="top"/>
          </w:tcPr>
          <w:p w14:paraId="71D9C1DD">
            <w:pPr>
              <w:spacing w:line="276" w:lineRule="auto"/>
              <w:rPr>
                <w:rFonts w:ascii="Arial"/>
                <w:sz w:val="21"/>
              </w:rPr>
            </w:pPr>
          </w:p>
          <w:p w14:paraId="4665EED1">
            <w:pPr>
              <w:pStyle w:val="6"/>
              <w:spacing w:before="68" w:line="213" w:lineRule="auto"/>
              <w:ind w:left="73"/>
            </w:pPr>
            <w:r>
              <w:rPr>
                <w:rFonts w:ascii="宋体" w:hAnsi="宋体" w:eastAsia="宋体" w:cs="宋体"/>
                <w:spacing w:val="-1"/>
              </w:rPr>
              <w:t xml:space="preserve">脆弱刚毛藻 </w:t>
            </w:r>
            <w:r>
              <w:rPr>
                <w:spacing w:val="-1"/>
              </w:rPr>
              <w:t>Cladophora fracta</w:t>
            </w:r>
          </w:p>
        </w:tc>
        <w:tc>
          <w:tcPr>
            <w:tcW w:w="678" w:type="dxa"/>
            <w:vAlign w:val="top"/>
          </w:tcPr>
          <w:p w14:paraId="7DAEEF88">
            <w:pPr>
              <w:spacing w:line="318" w:lineRule="auto"/>
              <w:rPr>
                <w:rFonts w:ascii="Arial"/>
                <w:sz w:val="21"/>
              </w:rPr>
            </w:pPr>
          </w:p>
          <w:p w14:paraId="4BEBA89D">
            <w:pPr>
              <w:pStyle w:val="6"/>
              <w:spacing w:before="60" w:line="251" w:lineRule="exact"/>
              <w:ind w:left="275"/>
            </w:pPr>
            <w:r>
              <w:rPr>
                <w:position w:val="1"/>
              </w:rPr>
              <w:t>+</w:t>
            </w:r>
          </w:p>
        </w:tc>
        <w:tc>
          <w:tcPr>
            <w:tcW w:w="750" w:type="dxa"/>
            <w:vAlign w:val="top"/>
          </w:tcPr>
          <w:p w14:paraId="3B40045C">
            <w:pPr>
              <w:spacing w:line="318" w:lineRule="auto"/>
              <w:rPr>
                <w:rFonts w:ascii="Arial"/>
                <w:sz w:val="21"/>
              </w:rPr>
            </w:pPr>
          </w:p>
          <w:p w14:paraId="1496D321">
            <w:pPr>
              <w:pStyle w:val="6"/>
              <w:spacing w:before="60" w:line="251" w:lineRule="exact"/>
              <w:ind w:left="196"/>
            </w:pPr>
            <w:r>
              <w:rPr>
                <w:spacing w:val="-1"/>
                <w:position w:val="1"/>
              </w:rPr>
              <w:t>+++</w:t>
            </w:r>
          </w:p>
        </w:tc>
        <w:tc>
          <w:tcPr>
            <w:tcW w:w="677" w:type="dxa"/>
            <w:vAlign w:val="top"/>
          </w:tcPr>
          <w:p w14:paraId="57AF3B3C">
            <w:pPr>
              <w:spacing w:line="318" w:lineRule="auto"/>
              <w:rPr>
                <w:rFonts w:ascii="Arial"/>
                <w:sz w:val="21"/>
              </w:rPr>
            </w:pPr>
          </w:p>
          <w:p w14:paraId="4C5641E9">
            <w:pPr>
              <w:pStyle w:val="6"/>
              <w:spacing w:before="60" w:line="251" w:lineRule="exact"/>
              <w:ind w:left="280"/>
            </w:pPr>
            <w:r>
              <w:rPr>
                <w:position w:val="1"/>
              </w:rPr>
              <w:t>+</w:t>
            </w:r>
          </w:p>
        </w:tc>
        <w:tc>
          <w:tcPr>
            <w:tcW w:w="749" w:type="dxa"/>
            <w:vAlign w:val="top"/>
          </w:tcPr>
          <w:p w14:paraId="08176CF9">
            <w:pPr>
              <w:rPr>
                <w:rFonts w:ascii="Arial"/>
                <w:sz w:val="21"/>
              </w:rPr>
            </w:pPr>
          </w:p>
        </w:tc>
        <w:tc>
          <w:tcPr>
            <w:tcW w:w="1148" w:type="dxa"/>
            <w:vAlign w:val="top"/>
          </w:tcPr>
          <w:p w14:paraId="293040DC">
            <w:pPr>
              <w:spacing w:line="318" w:lineRule="auto"/>
              <w:rPr>
                <w:rFonts w:ascii="Arial"/>
                <w:sz w:val="21"/>
              </w:rPr>
            </w:pPr>
          </w:p>
          <w:p w14:paraId="4FC7AC66">
            <w:pPr>
              <w:pStyle w:val="6"/>
              <w:spacing w:before="60" w:line="251" w:lineRule="exact"/>
              <w:ind w:left="522"/>
            </w:pPr>
            <w:r>
              <w:rPr>
                <w:position w:val="1"/>
              </w:rPr>
              <w:t>+</w:t>
            </w:r>
          </w:p>
        </w:tc>
        <w:tc>
          <w:tcPr>
            <w:tcW w:w="1166" w:type="dxa"/>
            <w:tcBorders>
              <w:right w:val="single" w:color="000000" w:sz="12" w:space="0"/>
            </w:tcBorders>
            <w:vAlign w:val="top"/>
          </w:tcPr>
          <w:p w14:paraId="461EB136">
            <w:pPr>
              <w:spacing w:line="318" w:lineRule="auto"/>
              <w:rPr>
                <w:rFonts w:ascii="Arial"/>
                <w:sz w:val="21"/>
              </w:rPr>
            </w:pPr>
          </w:p>
          <w:p w14:paraId="5621D9ED">
            <w:pPr>
              <w:pStyle w:val="6"/>
              <w:spacing w:before="60" w:line="251" w:lineRule="exact"/>
              <w:ind w:left="527"/>
            </w:pPr>
            <w:r>
              <w:rPr>
                <w:position w:val="1"/>
              </w:rPr>
              <w:t>+</w:t>
            </w:r>
          </w:p>
        </w:tc>
      </w:tr>
      <w:tr w14:paraId="4AB1C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trPr>
        <w:tc>
          <w:tcPr>
            <w:tcW w:w="482" w:type="dxa"/>
            <w:tcBorders>
              <w:left w:val="single" w:color="000000" w:sz="12" w:space="0"/>
            </w:tcBorders>
            <w:textDirection w:val="tbRlV"/>
            <w:vAlign w:val="top"/>
          </w:tcPr>
          <w:p w14:paraId="6BB452C6">
            <w:pPr>
              <w:spacing w:before="138" w:line="206" w:lineRule="auto"/>
              <w:ind w:left="76"/>
              <w:rPr>
                <w:rFonts w:ascii="宋体" w:hAnsi="宋体" w:eastAsia="宋体" w:cs="宋体"/>
                <w:sz w:val="21"/>
                <w:szCs w:val="21"/>
              </w:rPr>
            </w:pPr>
            <w:r>
              <w:rPr>
                <w:rFonts w:ascii="宋体" w:hAnsi="宋体" w:eastAsia="宋体" w:cs="宋体"/>
                <w:spacing w:val="46"/>
                <w:sz w:val="21"/>
                <w:szCs w:val="21"/>
              </w:rPr>
              <w:t>中带鼓藻</w:t>
            </w:r>
          </w:p>
        </w:tc>
        <w:tc>
          <w:tcPr>
            <w:tcW w:w="2823" w:type="dxa"/>
            <w:vAlign w:val="top"/>
          </w:tcPr>
          <w:p w14:paraId="6C5D898C">
            <w:pPr>
              <w:spacing w:line="293" w:lineRule="auto"/>
              <w:rPr>
                <w:rFonts w:ascii="Arial"/>
                <w:sz w:val="21"/>
              </w:rPr>
            </w:pPr>
          </w:p>
          <w:p w14:paraId="51F40F4D">
            <w:pPr>
              <w:pStyle w:val="6"/>
              <w:spacing w:before="68" w:line="267" w:lineRule="auto"/>
              <w:ind w:left="752" w:right="395" w:hanging="343"/>
            </w:pPr>
            <w:r>
              <w:rPr>
                <w:rFonts w:ascii="宋体" w:hAnsi="宋体" w:eastAsia="宋体" w:cs="宋体"/>
                <w:spacing w:val="-3"/>
              </w:rPr>
              <w:t>中带鼓藻</w:t>
            </w:r>
            <w:r>
              <w:rPr>
                <w:rFonts w:ascii="宋体" w:hAnsi="宋体" w:eastAsia="宋体" w:cs="宋体"/>
                <w:spacing w:val="-36"/>
              </w:rPr>
              <w:t xml:space="preserve"> </w:t>
            </w:r>
            <w:r>
              <w:rPr>
                <w:spacing w:val="-3"/>
              </w:rPr>
              <w:t>Mesotaenium</w:t>
            </w:r>
            <w:r>
              <w:t xml:space="preserve"> </w:t>
            </w:r>
            <w:r>
              <w:rPr>
                <w:spacing w:val="-1"/>
              </w:rPr>
              <w:t>endlicherianum</w:t>
            </w:r>
          </w:p>
        </w:tc>
        <w:tc>
          <w:tcPr>
            <w:tcW w:w="678" w:type="dxa"/>
            <w:vAlign w:val="top"/>
          </w:tcPr>
          <w:p w14:paraId="44D3C6FB">
            <w:pPr>
              <w:spacing w:line="456" w:lineRule="auto"/>
              <w:rPr>
                <w:rFonts w:ascii="Arial"/>
                <w:sz w:val="21"/>
              </w:rPr>
            </w:pPr>
          </w:p>
          <w:p w14:paraId="14EB174E">
            <w:pPr>
              <w:pStyle w:val="6"/>
              <w:spacing w:before="60" w:line="251" w:lineRule="exact"/>
              <w:ind w:left="275"/>
            </w:pPr>
            <w:r>
              <w:rPr>
                <w:position w:val="1"/>
              </w:rPr>
              <w:t>+</w:t>
            </w:r>
          </w:p>
        </w:tc>
        <w:tc>
          <w:tcPr>
            <w:tcW w:w="750" w:type="dxa"/>
            <w:vAlign w:val="top"/>
          </w:tcPr>
          <w:p w14:paraId="4388E9CB">
            <w:pPr>
              <w:spacing w:line="456" w:lineRule="auto"/>
              <w:rPr>
                <w:rFonts w:ascii="Arial"/>
                <w:sz w:val="21"/>
              </w:rPr>
            </w:pPr>
          </w:p>
          <w:p w14:paraId="56A4BF14">
            <w:pPr>
              <w:pStyle w:val="6"/>
              <w:spacing w:before="60" w:line="251" w:lineRule="exact"/>
              <w:ind w:left="313"/>
            </w:pPr>
            <w:r>
              <w:rPr>
                <w:position w:val="1"/>
              </w:rPr>
              <w:t>+</w:t>
            </w:r>
          </w:p>
        </w:tc>
        <w:tc>
          <w:tcPr>
            <w:tcW w:w="677" w:type="dxa"/>
            <w:vAlign w:val="top"/>
          </w:tcPr>
          <w:p w14:paraId="4D1C4747">
            <w:pPr>
              <w:spacing w:line="456" w:lineRule="auto"/>
              <w:rPr>
                <w:rFonts w:ascii="Arial"/>
                <w:sz w:val="21"/>
              </w:rPr>
            </w:pPr>
          </w:p>
          <w:p w14:paraId="4EB62B63">
            <w:pPr>
              <w:pStyle w:val="6"/>
              <w:spacing w:before="60" w:line="251" w:lineRule="exact"/>
              <w:ind w:left="280"/>
            </w:pPr>
            <w:r>
              <w:rPr>
                <w:position w:val="1"/>
              </w:rPr>
              <w:t>+</w:t>
            </w:r>
          </w:p>
        </w:tc>
        <w:tc>
          <w:tcPr>
            <w:tcW w:w="749" w:type="dxa"/>
            <w:vAlign w:val="top"/>
          </w:tcPr>
          <w:p w14:paraId="5A0FDCFB">
            <w:pPr>
              <w:spacing w:line="456" w:lineRule="auto"/>
              <w:rPr>
                <w:rFonts w:ascii="Arial"/>
                <w:sz w:val="21"/>
              </w:rPr>
            </w:pPr>
          </w:p>
          <w:p w14:paraId="0B6D2292">
            <w:pPr>
              <w:pStyle w:val="6"/>
              <w:spacing w:before="60" w:line="251" w:lineRule="exact"/>
              <w:ind w:left="318"/>
            </w:pPr>
            <w:r>
              <w:rPr>
                <w:position w:val="1"/>
              </w:rPr>
              <w:t>+</w:t>
            </w:r>
          </w:p>
        </w:tc>
        <w:tc>
          <w:tcPr>
            <w:tcW w:w="1148" w:type="dxa"/>
            <w:vAlign w:val="top"/>
          </w:tcPr>
          <w:p w14:paraId="59FC63E6">
            <w:pPr>
              <w:spacing w:line="456" w:lineRule="auto"/>
              <w:rPr>
                <w:rFonts w:ascii="Arial"/>
                <w:sz w:val="21"/>
              </w:rPr>
            </w:pPr>
          </w:p>
          <w:p w14:paraId="3B5B8327">
            <w:pPr>
              <w:pStyle w:val="6"/>
              <w:spacing w:before="60" w:line="251" w:lineRule="exact"/>
              <w:ind w:left="522"/>
            </w:pPr>
            <w:r>
              <w:rPr>
                <w:position w:val="1"/>
              </w:rPr>
              <w:t>+</w:t>
            </w:r>
          </w:p>
        </w:tc>
        <w:tc>
          <w:tcPr>
            <w:tcW w:w="1166" w:type="dxa"/>
            <w:tcBorders>
              <w:right w:val="single" w:color="000000" w:sz="12" w:space="0"/>
            </w:tcBorders>
            <w:vAlign w:val="top"/>
          </w:tcPr>
          <w:p w14:paraId="1B1C198D">
            <w:pPr>
              <w:spacing w:line="456" w:lineRule="auto"/>
              <w:rPr>
                <w:rFonts w:ascii="Arial"/>
                <w:sz w:val="21"/>
              </w:rPr>
            </w:pPr>
          </w:p>
          <w:p w14:paraId="7DF3012E">
            <w:pPr>
              <w:pStyle w:val="6"/>
              <w:spacing w:before="60" w:line="251" w:lineRule="exact"/>
              <w:ind w:left="527"/>
            </w:pPr>
            <w:r>
              <w:rPr>
                <w:position w:val="1"/>
              </w:rPr>
              <w:t>+</w:t>
            </w:r>
          </w:p>
        </w:tc>
      </w:tr>
      <w:tr w14:paraId="0FE19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65D9B4AF">
            <w:pPr>
              <w:spacing w:before="137" w:line="209" w:lineRule="auto"/>
              <w:ind w:left="79"/>
              <w:rPr>
                <w:rFonts w:ascii="宋体" w:hAnsi="宋体" w:eastAsia="宋体" w:cs="宋体"/>
                <w:sz w:val="21"/>
                <w:szCs w:val="21"/>
              </w:rPr>
            </w:pPr>
            <w:r>
              <w:rPr>
                <w:rFonts w:ascii="宋体" w:hAnsi="宋体" w:eastAsia="宋体" w:cs="宋体"/>
                <w:spacing w:val="41"/>
                <w:sz w:val="21"/>
                <w:szCs w:val="21"/>
              </w:rPr>
              <w:t>双星藻</w:t>
            </w:r>
          </w:p>
        </w:tc>
        <w:tc>
          <w:tcPr>
            <w:tcW w:w="2823" w:type="dxa"/>
            <w:vAlign w:val="top"/>
          </w:tcPr>
          <w:p w14:paraId="4C531059">
            <w:pPr>
              <w:pStyle w:val="6"/>
              <w:spacing w:before="231" w:line="260" w:lineRule="auto"/>
              <w:ind w:left="1017" w:right="442" w:hanging="582"/>
            </w:pPr>
            <w:r>
              <w:rPr>
                <w:rFonts w:ascii="宋体" w:hAnsi="宋体" w:eastAsia="宋体" w:cs="宋体"/>
                <w:spacing w:val="-2"/>
              </w:rPr>
              <w:t xml:space="preserve">星芒双星藻 </w:t>
            </w:r>
            <w:r>
              <w:rPr>
                <w:spacing w:val="-2"/>
              </w:rPr>
              <w:t>Zygnema</w:t>
            </w:r>
            <w:r>
              <w:rPr>
                <w:spacing w:val="11"/>
              </w:rPr>
              <w:t xml:space="preserve"> </w:t>
            </w:r>
            <w:r>
              <w:rPr>
                <w:spacing w:val="-2"/>
              </w:rPr>
              <w:t>stellinum</w:t>
            </w:r>
          </w:p>
        </w:tc>
        <w:tc>
          <w:tcPr>
            <w:tcW w:w="678" w:type="dxa"/>
            <w:vAlign w:val="top"/>
          </w:tcPr>
          <w:p w14:paraId="4EF0E3F0">
            <w:pPr>
              <w:spacing w:line="322" w:lineRule="auto"/>
              <w:rPr>
                <w:rFonts w:ascii="Arial"/>
                <w:sz w:val="21"/>
              </w:rPr>
            </w:pPr>
          </w:p>
          <w:p w14:paraId="2D22E417">
            <w:pPr>
              <w:pStyle w:val="6"/>
              <w:spacing w:before="61" w:line="250" w:lineRule="exact"/>
              <w:ind w:left="275"/>
            </w:pPr>
            <w:r>
              <w:rPr>
                <w:position w:val="1"/>
              </w:rPr>
              <w:t>+</w:t>
            </w:r>
          </w:p>
        </w:tc>
        <w:tc>
          <w:tcPr>
            <w:tcW w:w="750" w:type="dxa"/>
            <w:vAlign w:val="top"/>
          </w:tcPr>
          <w:p w14:paraId="5E41D192">
            <w:pPr>
              <w:spacing w:line="322" w:lineRule="auto"/>
              <w:rPr>
                <w:rFonts w:ascii="Arial"/>
                <w:sz w:val="21"/>
              </w:rPr>
            </w:pPr>
          </w:p>
          <w:p w14:paraId="53D7A25D">
            <w:pPr>
              <w:pStyle w:val="6"/>
              <w:spacing w:before="61" w:line="250" w:lineRule="exact"/>
              <w:ind w:left="255"/>
            </w:pPr>
            <w:r>
              <w:rPr>
                <w:spacing w:val="-1"/>
                <w:position w:val="1"/>
              </w:rPr>
              <w:t>++</w:t>
            </w:r>
          </w:p>
        </w:tc>
        <w:tc>
          <w:tcPr>
            <w:tcW w:w="677" w:type="dxa"/>
            <w:vAlign w:val="top"/>
          </w:tcPr>
          <w:p w14:paraId="714383AC">
            <w:pPr>
              <w:rPr>
                <w:rFonts w:ascii="Arial"/>
                <w:sz w:val="21"/>
              </w:rPr>
            </w:pPr>
          </w:p>
        </w:tc>
        <w:tc>
          <w:tcPr>
            <w:tcW w:w="749" w:type="dxa"/>
            <w:vAlign w:val="top"/>
          </w:tcPr>
          <w:p w14:paraId="384431D9">
            <w:pPr>
              <w:spacing w:line="322" w:lineRule="auto"/>
              <w:rPr>
                <w:rFonts w:ascii="Arial"/>
                <w:sz w:val="21"/>
              </w:rPr>
            </w:pPr>
          </w:p>
          <w:p w14:paraId="1910C49F">
            <w:pPr>
              <w:pStyle w:val="6"/>
              <w:spacing w:before="61" w:line="250" w:lineRule="exact"/>
              <w:ind w:left="318"/>
            </w:pPr>
            <w:r>
              <w:rPr>
                <w:position w:val="1"/>
              </w:rPr>
              <w:t>+</w:t>
            </w:r>
          </w:p>
        </w:tc>
        <w:tc>
          <w:tcPr>
            <w:tcW w:w="1148" w:type="dxa"/>
            <w:vAlign w:val="top"/>
          </w:tcPr>
          <w:p w14:paraId="0660F2BB">
            <w:pPr>
              <w:spacing w:line="322" w:lineRule="auto"/>
              <w:rPr>
                <w:rFonts w:ascii="Arial"/>
                <w:sz w:val="21"/>
              </w:rPr>
            </w:pPr>
          </w:p>
          <w:p w14:paraId="181AC396">
            <w:pPr>
              <w:pStyle w:val="6"/>
              <w:spacing w:before="61" w:line="250" w:lineRule="exact"/>
              <w:ind w:left="522"/>
            </w:pPr>
            <w:r>
              <w:rPr>
                <w:position w:val="1"/>
              </w:rPr>
              <w:t>+</w:t>
            </w:r>
          </w:p>
        </w:tc>
        <w:tc>
          <w:tcPr>
            <w:tcW w:w="1166" w:type="dxa"/>
            <w:tcBorders>
              <w:right w:val="single" w:color="000000" w:sz="12" w:space="0"/>
            </w:tcBorders>
            <w:vAlign w:val="top"/>
          </w:tcPr>
          <w:p w14:paraId="3D2E76EB">
            <w:pPr>
              <w:rPr>
                <w:rFonts w:ascii="Arial"/>
                <w:sz w:val="21"/>
              </w:rPr>
            </w:pPr>
          </w:p>
        </w:tc>
      </w:tr>
      <w:tr w14:paraId="1588B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73B26529">
            <w:pPr>
              <w:spacing w:before="138" w:line="207" w:lineRule="auto"/>
              <w:ind w:left="685"/>
              <w:rPr>
                <w:rFonts w:ascii="宋体" w:hAnsi="宋体" w:eastAsia="宋体" w:cs="宋体"/>
                <w:sz w:val="21"/>
                <w:szCs w:val="21"/>
              </w:rPr>
            </w:pPr>
            <w:r>
              <w:rPr>
                <w:rFonts w:ascii="宋体" w:hAnsi="宋体" w:eastAsia="宋体" w:cs="宋体"/>
                <w:spacing w:val="41"/>
                <w:sz w:val="21"/>
                <w:szCs w:val="21"/>
              </w:rPr>
              <w:t>新月藻</w:t>
            </w:r>
          </w:p>
        </w:tc>
        <w:tc>
          <w:tcPr>
            <w:tcW w:w="2823" w:type="dxa"/>
            <w:vAlign w:val="top"/>
          </w:tcPr>
          <w:p w14:paraId="02A65BBF">
            <w:pPr>
              <w:pStyle w:val="6"/>
              <w:spacing w:before="80" w:line="225" w:lineRule="auto"/>
              <w:ind w:left="1030" w:right="369" w:hanging="667"/>
            </w:pPr>
            <w:r>
              <w:rPr>
                <w:rFonts w:ascii="宋体" w:hAnsi="宋体" w:eastAsia="宋体" w:cs="宋体"/>
                <w:spacing w:val="-1"/>
              </w:rPr>
              <w:t xml:space="preserve">库氏新月藻 </w:t>
            </w:r>
            <w:r>
              <w:rPr>
                <w:spacing w:val="-1"/>
              </w:rPr>
              <w:t>Closteriom</w:t>
            </w:r>
            <w:r>
              <w:rPr>
                <w:spacing w:val="6"/>
              </w:rPr>
              <w:t xml:space="preserve"> </w:t>
            </w:r>
            <w:r>
              <w:rPr>
                <w:spacing w:val="-1"/>
              </w:rPr>
              <w:t>hetzingii</w:t>
            </w:r>
          </w:p>
        </w:tc>
        <w:tc>
          <w:tcPr>
            <w:tcW w:w="678" w:type="dxa"/>
            <w:vAlign w:val="top"/>
          </w:tcPr>
          <w:p w14:paraId="123F2402">
            <w:pPr>
              <w:pStyle w:val="6"/>
              <w:spacing w:before="235" w:line="251" w:lineRule="exact"/>
              <w:ind w:left="275"/>
            </w:pPr>
            <w:r>
              <w:rPr>
                <w:position w:val="1"/>
              </w:rPr>
              <w:t>+</w:t>
            </w:r>
          </w:p>
        </w:tc>
        <w:tc>
          <w:tcPr>
            <w:tcW w:w="750" w:type="dxa"/>
            <w:vAlign w:val="top"/>
          </w:tcPr>
          <w:p w14:paraId="27E89B8E">
            <w:pPr>
              <w:pStyle w:val="6"/>
              <w:spacing w:before="235" w:line="251" w:lineRule="exact"/>
              <w:ind w:left="313"/>
            </w:pPr>
            <w:r>
              <w:rPr>
                <w:position w:val="1"/>
              </w:rPr>
              <w:t>+</w:t>
            </w:r>
          </w:p>
        </w:tc>
        <w:tc>
          <w:tcPr>
            <w:tcW w:w="677" w:type="dxa"/>
            <w:vAlign w:val="top"/>
          </w:tcPr>
          <w:p w14:paraId="2E438007">
            <w:pPr>
              <w:pStyle w:val="6"/>
              <w:spacing w:before="235" w:line="251" w:lineRule="exact"/>
              <w:ind w:left="280"/>
            </w:pPr>
            <w:r>
              <w:rPr>
                <w:position w:val="1"/>
              </w:rPr>
              <w:t>+</w:t>
            </w:r>
          </w:p>
        </w:tc>
        <w:tc>
          <w:tcPr>
            <w:tcW w:w="749" w:type="dxa"/>
            <w:vAlign w:val="top"/>
          </w:tcPr>
          <w:p w14:paraId="218CF20E">
            <w:pPr>
              <w:pStyle w:val="6"/>
              <w:spacing w:before="235" w:line="251" w:lineRule="exact"/>
              <w:ind w:left="318"/>
            </w:pPr>
            <w:r>
              <w:rPr>
                <w:position w:val="1"/>
              </w:rPr>
              <w:t>+</w:t>
            </w:r>
          </w:p>
        </w:tc>
        <w:tc>
          <w:tcPr>
            <w:tcW w:w="1148" w:type="dxa"/>
            <w:vAlign w:val="top"/>
          </w:tcPr>
          <w:p w14:paraId="159F26DE">
            <w:pPr>
              <w:pStyle w:val="6"/>
              <w:spacing w:before="235" w:line="251" w:lineRule="exact"/>
              <w:ind w:left="522"/>
            </w:pPr>
            <w:r>
              <w:rPr>
                <w:position w:val="1"/>
              </w:rPr>
              <w:t>+</w:t>
            </w:r>
          </w:p>
        </w:tc>
        <w:tc>
          <w:tcPr>
            <w:tcW w:w="1166" w:type="dxa"/>
            <w:tcBorders>
              <w:right w:val="single" w:color="000000" w:sz="12" w:space="0"/>
            </w:tcBorders>
            <w:vAlign w:val="top"/>
          </w:tcPr>
          <w:p w14:paraId="4CBBA48C">
            <w:pPr>
              <w:rPr>
                <w:rFonts w:ascii="Arial"/>
                <w:sz w:val="21"/>
              </w:rPr>
            </w:pPr>
          </w:p>
        </w:tc>
      </w:tr>
      <w:tr w14:paraId="1369C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6B8BFB5E">
            <w:pPr>
              <w:rPr>
                <w:rFonts w:ascii="Arial"/>
                <w:sz w:val="21"/>
              </w:rPr>
            </w:pPr>
          </w:p>
        </w:tc>
        <w:tc>
          <w:tcPr>
            <w:tcW w:w="2823" w:type="dxa"/>
            <w:vAlign w:val="top"/>
          </w:tcPr>
          <w:p w14:paraId="7445C5AE">
            <w:pPr>
              <w:pStyle w:val="6"/>
              <w:spacing w:before="83" w:line="224" w:lineRule="auto"/>
              <w:ind w:left="903" w:right="369" w:hanging="537"/>
            </w:pPr>
            <w:r>
              <w:rPr>
                <w:rFonts w:ascii="宋体" w:hAnsi="宋体" w:eastAsia="宋体" w:cs="宋体"/>
                <w:spacing w:val="-1"/>
              </w:rPr>
              <w:t xml:space="preserve">项圈新月藻 </w:t>
            </w:r>
            <w:r>
              <w:rPr>
                <w:spacing w:val="-1"/>
              </w:rPr>
              <w:t>Closterium</w:t>
            </w:r>
            <w:r>
              <w:rPr>
                <w:spacing w:val="4"/>
              </w:rPr>
              <w:t xml:space="preserve"> </w:t>
            </w:r>
            <w:r>
              <w:rPr>
                <w:spacing w:val="-1"/>
              </w:rPr>
              <w:t>moniliferon</w:t>
            </w:r>
          </w:p>
        </w:tc>
        <w:tc>
          <w:tcPr>
            <w:tcW w:w="678" w:type="dxa"/>
            <w:vAlign w:val="top"/>
          </w:tcPr>
          <w:p w14:paraId="36DD6A0C">
            <w:pPr>
              <w:pStyle w:val="6"/>
              <w:spacing w:before="237" w:line="251" w:lineRule="exact"/>
              <w:ind w:left="157"/>
            </w:pPr>
            <w:r>
              <w:rPr>
                <w:spacing w:val="-1"/>
                <w:position w:val="1"/>
              </w:rPr>
              <w:t>+++</w:t>
            </w:r>
          </w:p>
        </w:tc>
        <w:tc>
          <w:tcPr>
            <w:tcW w:w="750" w:type="dxa"/>
            <w:vAlign w:val="top"/>
          </w:tcPr>
          <w:p w14:paraId="106997F7">
            <w:pPr>
              <w:pStyle w:val="6"/>
              <w:spacing w:before="237" w:line="251" w:lineRule="exact"/>
              <w:ind w:left="313"/>
            </w:pPr>
            <w:r>
              <w:rPr>
                <w:position w:val="1"/>
              </w:rPr>
              <w:t>+</w:t>
            </w:r>
          </w:p>
        </w:tc>
        <w:tc>
          <w:tcPr>
            <w:tcW w:w="677" w:type="dxa"/>
            <w:vAlign w:val="top"/>
          </w:tcPr>
          <w:p w14:paraId="110C4340">
            <w:pPr>
              <w:pStyle w:val="6"/>
              <w:spacing w:before="237" w:line="251" w:lineRule="exact"/>
              <w:ind w:left="280"/>
            </w:pPr>
            <w:r>
              <w:rPr>
                <w:position w:val="1"/>
              </w:rPr>
              <w:t>+</w:t>
            </w:r>
          </w:p>
        </w:tc>
        <w:tc>
          <w:tcPr>
            <w:tcW w:w="749" w:type="dxa"/>
            <w:vAlign w:val="top"/>
          </w:tcPr>
          <w:p w14:paraId="2B775011">
            <w:pPr>
              <w:pStyle w:val="6"/>
              <w:spacing w:before="237" w:line="251" w:lineRule="exact"/>
              <w:ind w:left="318"/>
            </w:pPr>
            <w:r>
              <w:rPr>
                <w:position w:val="1"/>
              </w:rPr>
              <w:t>+</w:t>
            </w:r>
          </w:p>
        </w:tc>
        <w:tc>
          <w:tcPr>
            <w:tcW w:w="1148" w:type="dxa"/>
            <w:vAlign w:val="top"/>
          </w:tcPr>
          <w:p w14:paraId="07E6991A">
            <w:pPr>
              <w:rPr>
                <w:rFonts w:ascii="Arial"/>
                <w:sz w:val="21"/>
              </w:rPr>
            </w:pPr>
          </w:p>
        </w:tc>
        <w:tc>
          <w:tcPr>
            <w:tcW w:w="1166" w:type="dxa"/>
            <w:tcBorders>
              <w:right w:val="single" w:color="000000" w:sz="12" w:space="0"/>
            </w:tcBorders>
            <w:vAlign w:val="top"/>
          </w:tcPr>
          <w:p w14:paraId="55CE91EC">
            <w:pPr>
              <w:pStyle w:val="6"/>
              <w:spacing w:before="237" w:line="251" w:lineRule="exact"/>
              <w:ind w:left="527"/>
            </w:pPr>
            <w:r>
              <w:rPr>
                <w:position w:val="1"/>
              </w:rPr>
              <w:t>+</w:t>
            </w:r>
          </w:p>
        </w:tc>
      </w:tr>
      <w:tr w14:paraId="4668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bottom w:val="nil"/>
            </w:tcBorders>
            <w:textDirection w:val="tbRlV"/>
            <w:vAlign w:val="top"/>
          </w:tcPr>
          <w:p w14:paraId="35A54E82">
            <w:pPr>
              <w:rPr>
                <w:rFonts w:ascii="Arial"/>
                <w:sz w:val="21"/>
              </w:rPr>
            </w:pPr>
          </w:p>
        </w:tc>
        <w:tc>
          <w:tcPr>
            <w:tcW w:w="2823" w:type="dxa"/>
            <w:vAlign w:val="top"/>
          </w:tcPr>
          <w:p w14:paraId="6508D1BA">
            <w:pPr>
              <w:pStyle w:val="6"/>
              <w:spacing w:before="84" w:line="209" w:lineRule="auto"/>
              <w:ind w:left="102"/>
            </w:pPr>
            <w:r>
              <w:rPr>
                <w:rFonts w:ascii="宋体" w:hAnsi="宋体" w:eastAsia="宋体" w:cs="宋体"/>
                <w:spacing w:val="-1"/>
              </w:rPr>
              <w:t>喙新月藻</w:t>
            </w:r>
            <w:r>
              <w:rPr>
                <w:rFonts w:ascii="宋体" w:hAnsi="宋体" w:eastAsia="宋体" w:cs="宋体"/>
                <w:spacing w:val="-45"/>
              </w:rPr>
              <w:t xml:space="preserve"> </w:t>
            </w:r>
            <w:r>
              <w:rPr>
                <w:spacing w:val="-1"/>
              </w:rPr>
              <w:t>Closteriun rostrat</w:t>
            </w:r>
            <w:r>
              <w:rPr>
                <w:spacing w:val="-2"/>
              </w:rPr>
              <w:t>um</w:t>
            </w:r>
          </w:p>
        </w:tc>
        <w:tc>
          <w:tcPr>
            <w:tcW w:w="678" w:type="dxa"/>
            <w:vAlign w:val="top"/>
          </w:tcPr>
          <w:p w14:paraId="59CF24E7">
            <w:pPr>
              <w:pStyle w:val="6"/>
              <w:spacing w:before="117" w:line="203" w:lineRule="auto"/>
              <w:ind w:left="275"/>
            </w:pPr>
            <w:r>
              <w:t>+</w:t>
            </w:r>
          </w:p>
        </w:tc>
        <w:tc>
          <w:tcPr>
            <w:tcW w:w="750" w:type="dxa"/>
            <w:vAlign w:val="top"/>
          </w:tcPr>
          <w:p w14:paraId="02D2C035">
            <w:pPr>
              <w:pStyle w:val="6"/>
              <w:spacing w:before="117" w:line="203" w:lineRule="auto"/>
              <w:ind w:left="313"/>
            </w:pPr>
            <w:r>
              <w:t>+</w:t>
            </w:r>
          </w:p>
        </w:tc>
        <w:tc>
          <w:tcPr>
            <w:tcW w:w="677" w:type="dxa"/>
            <w:vAlign w:val="top"/>
          </w:tcPr>
          <w:p w14:paraId="6B3B85C3">
            <w:pPr>
              <w:rPr>
                <w:rFonts w:ascii="Arial"/>
                <w:sz w:val="21"/>
              </w:rPr>
            </w:pPr>
          </w:p>
        </w:tc>
        <w:tc>
          <w:tcPr>
            <w:tcW w:w="749" w:type="dxa"/>
            <w:vAlign w:val="top"/>
          </w:tcPr>
          <w:p w14:paraId="7243B1FE">
            <w:pPr>
              <w:pStyle w:val="6"/>
              <w:spacing w:before="117" w:line="203" w:lineRule="auto"/>
              <w:ind w:left="318"/>
            </w:pPr>
            <w:r>
              <w:t>+</w:t>
            </w:r>
          </w:p>
        </w:tc>
        <w:tc>
          <w:tcPr>
            <w:tcW w:w="1148" w:type="dxa"/>
            <w:vAlign w:val="top"/>
          </w:tcPr>
          <w:p w14:paraId="3722DACD">
            <w:pPr>
              <w:pStyle w:val="6"/>
              <w:spacing w:before="117" w:line="203" w:lineRule="auto"/>
              <w:ind w:left="522"/>
            </w:pPr>
            <w:r>
              <w:t>+</w:t>
            </w:r>
          </w:p>
        </w:tc>
        <w:tc>
          <w:tcPr>
            <w:tcW w:w="1166" w:type="dxa"/>
            <w:tcBorders>
              <w:right w:val="single" w:color="000000" w:sz="12" w:space="0"/>
            </w:tcBorders>
            <w:vAlign w:val="top"/>
          </w:tcPr>
          <w:p w14:paraId="2BDC41A1">
            <w:pPr>
              <w:pStyle w:val="6"/>
              <w:spacing w:before="117" w:line="203" w:lineRule="auto"/>
              <w:ind w:left="527"/>
            </w:pPr>
            <w:r>
              <w:t>+</w:t>
            </w:r>
          </w:p>
        </w:tc>
      </w:tr>
      <w:tr w14:paraId="595AA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482" w:type="dxa"/>
            <w:vMerge w:val="continue"/>
            <w:tcBorders>
              <w:top w:val="nil"/>
              <w:left w:val="single" w:color="000000" w:sz="12" w:space="0"/>
              <w:bottom w:val="single" w:color="000000" w:sz="12" w:space="0"/>
            </w:tcBorders>
            <w:textDirection w:val="tbRlV"/>
            <w:vAlign w:val="top"/>
          </w:tcPr>
          <w:p w14:paraId="0C6DCEB9">
            <w:pPr>
              <w:rPr>
                <w:rFonts w:ascii="Arial"/>
                <w:sz w:val="21"/>
              </w:rPr>
            </w:pPr>
          </w:p>
        </w:tc>
        <w:tc>
          <w:tcPr>
            <w:tcW w:w="2823" w:type="dxa"/>
            <w:tcBorders>
              <w:bottom w:val="single" w:color="000000" w:sz="12" w:space="0"/>
            </w:tcBorders>
            <w:vAlign w:val="top"/>
          </w:tcPr>
          <w:p w14:paraId="143B68CF">
            <w:pPr>
              <w:pStyle w:val="6"/>
              <w:spacing w:before="85" w:line="234" w:lineRule="auto"/>
              <w:ind w:left="901" w:right="400" w:hanging="508"/>
            </w:pPr>
            <w:r>
              <w:rPr>
                <w:rFonts w:ascii="宋体" w:hAnsi="宋体" w:eastAsia="宋体" w:cs="宋体"/>
                <w:spacing w:val="-1"/>
              </w:rPr>
              <w:t xml:space="preserve">极锐新月藻 </w:t>
            </w:r>
            <w:r>
              <w:rPr>
                <w:spacing w:val="-1"/>
              </w:rPr>
              <w:t>Closterion</w:t>
            </w:r>
            <w:r>
              <w:rPr>
                <w:spacing w:val="4"/>
              </w:rPr>
              <w:t xml:space="preserve"> </w:t>
            </w:r>
            <w:r>
              <w:t>peraceroum</w:t>
            </w:r>
          </w:p>
        </w:tc>
        <w:tc>
          <w:tcPr>
            <w:tcW w:w="678" w:type="dxa"/>
            <w:tcBorders>
              <w:bottom w:val="single" w:color="000000" w:sz="12" w:space="0"/>
            </w:tcBorders>
            <w:vAlign w:val="top"/>
          </w:tcPr>
          <w:p w14:paraId="0B62DE70">
            <w:pPr>
              <w:pStyle w:val="6"/>
              <w:spacing w:before="240" w:line="251" w:lineRule="exact"/>
              <w:ind w:left="275"/>
            </w:pPr>
            <w:r>
              <w:rPr>
                <w:position w:val="1"/>
              </w:rPr>
              <w:t>+</w:t>
            </w:r>
          </w:p>
        </w:tc>
        <w:tc>
          <w:tcPr>
            <w:tcW w:w="750" w:type="dxa"/>
            <w:tcBorders>
              <w:bottom w:val="single" w:color="000000" w:sz="12" w:space="0"/>
            </w:tcBorders>
            <w:vAlign w:val="top"/>
          </w:tcPr>
          <w:p w14:paraId="6C428CD7">
            <w:pPr>
              <w:pStyle w:val="6"/>
              <w:spacing w:before="240" w:line="251" w:lineRule="exact"/>
              <w:ind w:left="313"/>
            </w:pPr>
            <w:r>
              <w:rPr>
                <w:position w:val="1"/>
              </w:rPr>
              <w:t>+</w:t>
            </w:r>
          </w:p>
        </w:tc>
        <w:tc>
          <w:tcPr>
            <w:tcW w:w="677" w:type="dxa"/>
            <w:tcBorders>
              <w:bottom w:val="single" w:color="000000" w:sz="12" w:space="0"/>
            </w:tcBorders>
            <w:vAlign w:val="top"/>
          </w:tcPr>
          <w:p w14:paraId="174156E3">
            <w:pPr>
              <w:pStyle w:val="6"/>
              <w:spacing w:before="240" w:line="251" w:lineRule="exact"/>
              <w:ind w:left="221"/>
            </w:pPr>
            <w:r>
              <w:rPr>
                <w:spacing w:val="-1"/>
                <w:position w:val="1"/>
              </w:rPr>
              <w:t>++</w:t>
            </w:r>
          </w:p>
        </w:tc>
        <w:tc>
          <w:tcPr>
            <w:tcW w:w="749" w:type="dxa"/>
            <w:tcBorders>
              <w:bottom w:val="single" w:color="000000" w:sz="12" w:space="0"/>
            </w:tcBorders>
            <w:vAlign w:val="top"/>
          </w:tcPr>
          <w:p w14:paraId="2D5A84ED">
            <w:pPr>
              <w:pStyle w:val="6"/>
              <w:spacing w:before="240" w:line="251" w:lineRule="exact"/>
              <w:ind w:left="318"/>
            </w:pPr>
            <w:r>
              <w:rPr>
                <w:position w:val="1"/>
              </w:rPr>
              <w:t>+</w:t>
            </w:r>
          </w:p>
        </w:tc>
        <w:tc>
          <w:tcPr>
            <w:tcW w:w="1148" w:type="dxa"/>
            <w:tcBorders>
              <w:bottom w:val="single" w:color="000000" w:sz="12" w:space="0"/>
            </w:tcBorders>
            <w:vAlign w:val="top"/>
          </w:tcPr>
          <w:p w14:paraId="60407BEA">
            <w:pPr>
              <w:pStyle w:val="6"/>
              <w:spacing w:before="240" w:line="251" w:lineRule="exact"/>
              <w:ind w:left="522"/>
            </w:pPr>
            <w:r>
              <w:rPr>
                <w:position w:val="1"/>
              </w:rPr>
              <w:t>+</w:t>
            </w:r>
          </w:p>
        </w:tc>
        <w:tc>
          <w:tcPr>
            <w:tcW w:w="1166" w:type="dxa"/>
            <w:tcBorders>
              <w:bottom w:val="single" w:color="000000" w:sz="12" w:space="0"/>
              <w:right w:val="single" w:color="000000" w:sz="12" w:space="0"/>
            </w:tcBorders>
            <w:vAlign w:val="top"/>
          </w:tcPr>
          <w:p w14:paraId="5269BF0D">
            <w:pPr>
              <w:pStyle w:val="6"/>
              <w:spacing w:before="240" w:line="251" w:lineRule="exact"/>
              <w:ind w:left="469"/>
            </w:pPr>
            <w:r>
              <w:rPr>
                <w:spacing w:val="-1"/>
                <w:position w:val="1"/>
              </w:rPr>
              <w:t>++</w:t>
            </w:r>
          </w:p>
        </w:tc>
      </w:tr>
    </w:tbl>
    <w:p w14:paraId="1172CFFF">
      <w:pPr>
        <w:rPr>
          <w:rFonts w:ascii="Arial"/>
          <w:sz w:val="21"/>
        </w:rPr>
      </w:pPr>
    </w:p>
    <w:p w14:paraId="2CB506E7">
      <w:pPr>
        <w:rPr>
          <w:rFonts w:ascii="Arial" w:hAnsi="Arial" w:eastAsia="Arial" w:cs="Arial"/>
          <w:sz w:val="21"/>
          <w:szCs w:val="21"/>
        </w:rPr>
        <w:sectPr>
          <w:footerReference r:id="rId200" w:type="default"/>
          <w:pgSz w:w="11907" w:h="16839"/>
          <w:pgMar w:top="1376" w:right="1669" w:bottom="1061" w:left="1671" w:header="999" w:footer="861" w:gutter="0"/>
          <w:cols w:space="720" w:num="1"/>
        </w:sectPr>
      </w:pPr>
    </w:p>
    <w:p w14:paraId="1938589D">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
        <w:gridCol w:w="2823"/>
        <w:gridCol w:w="678"/>
        <w:gridCol w:w="750"/>
        <w:gridCol w:w="677"/>
        <w:gridCol w:w="749"/>
        <w:gridCol w:w="1148"/>
        <w:gridCol w:w="1166"/>
      </w:tblGrid>
      <w:tr w14:paraId="2C213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05" w:type="dxa"/>
            <w:gridSpan w:val="2"/>
            <w:vMerge w:val="restart"/>
            <w:tcBorders>
              <w:top w:val="single" w:color="000000" w:sz="12" w:space="0"/>
              <w:left w:val="single" w:color="000000" w:sz="12" w:space="0"/>
              <w:bottom w:val="nil"/>
            </w:tcBorders>
            <w:vAlign w:val="top"/>
          </w:tcPr>
          <w:p w14:paraId="52CA3E14">
            <w:pPr>
              <w:spacing w:line="430" w:lineRule="auto"/>
              <w:rPr>
                <w:rFonts w:ascii="Arial"/>
                <w:sz w:val="21"/>
              </w:rPr>
            </w:pPr>
          </w:p>
          <w:p w14:paraId="18322312">
            <w:pPr>
              <w:spacing w:before="69" w:line="220" w:lineRule="auto"/>
              <w:ind w:left="1433"/>
              <w:rPr>
                <w:rFonts w:ascii="宋体" w:hAnsi="宋体" w:eastAsia="宋体" w:cs="宋体"/>
                <w:sz w:val="21"/>
                <w:szCs w:val="21"/>
              </w:rPr>
            </w:pPr>
            <w:r>
              <w:rPr>
                <w:rFonts w:ascii="宋体" w:hAnsi="宋体" w:eastAsia="宋体" w:cs="宋体"/>
                <w:spacing w:val="-3"/>
                <w:sz w:val="21"/>
                <w:szCs w:val="21"/>
              </w:rPr>
              <w:t>种类</w:t>
            </w:r>
          </w:p>
        </w:tc>
        <w:tc>
          <w:tcPr>
            <w:tcW w:w="5168" w:type="dxa"/>
            <w:gridSpan w:val="6"/>
            <w:tcBorders>
              <w:top w:val="single" w:color="000000" w:sz="12" w:space="0"/>
              <w:right w:val="single" w:color="000000" w:sz="12" w:space="0"/>
            </w:tcBorders>
            <w:vAlign w:val="top"/>
          </w:tcPr>
          <w:p w14:paraId="49E0545B">
            <w:pPr>
              <w:spacing w:before="57" w:line="220" w:lineRule="auto"/>
              <w:ind w:left="2165"/>
              <w:rPr>
                <w:rFonts w:ascii="宋体" w:hAnsi="宋体" w:eastAsia="宋体" w:cs="宋体"/>
                <w:sz w:val="21"/>
                <w:szCs w:val="21"/>
              </w:rPr>
            </w:pPr>
            <w:r>
              <w:rPr>
                <w:rFonts w:ascii="宋体" w:hAnsi="宋体" w:eastAsia="宋体" w:cs="宋体"/>
                <w:spacing w:val="-2"/>
                <w:sz w:val="21"/>
                <w:szCs w:val="21"/>
              </w:rPr>
              <w:t>相对数量</w:t>
            </w:r>
          </w:p>
        </w:tc>
      </w:tr>
      <w:tr w14:paraId="57732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305" w:type="dxa"/>
            <w:gridSpan w:val="2"/>
            <w:vMerge w:val="continue"/>
            <w:tcBorders>
              <w:top w:val="nil"/>
              <w:left w:val="single" w:color="000000" w:sz="12" w:space="0"/>
            </w:tcBorders>
            <w:vAlign w:val="top"/>
          </w:tcPr>
          <w:p w14:paraId="6222A810">
            <w:pPr>
              <w:rPr>
                <w:rFonts w:ascii="Arial"/>
                <w:sz w:val="21"/>
              </w:rPr>
            </w:pPr>
          </w:p>
        </w:tc>
        <w:tc>
          <w:tcPr>
            <w:tcW w:w="678" w:type="dxa"/>
            <w:vAlign w:val="top"/>
          </w:tcPr>
          <w:p w14:paraId="118D9D0B">
            <w:pPr>
              <w:spacing w:before="57" w:line="220" w:lineRule="auto"/>
              <w:ind w:left="136"/>
              <w:rPr>
                <w:rFonts w:ascii="宋体" w:hAnsi="宋体" w:eastAsia="宋体" w:cs="宋体"/>
                <w:sz w:val="21"/>
                <w:szCs w:val="21"/>
              </w:rPr>
            </w:pPr>
            <w:r>
              <w:rPr>
                <w:rFonts w:ascii="宋体" w:hAnsi="宋体" w:eastAsia="宋体" w:cs="宋体"/>
                <w:spacing w:val="-4"/>
                <w:sz w:val="21"/>
                <w:szCs w:val="21"/>
              </w:rPr>
              <w:t>马龙</w:t>
            </w:r>
          </w:p>
          <w:p w14:paraId="0F6224D1">
            <w:pPr>
              <w:spacing w:before="24" w:line="235" w:lineRule="auto"/>
              <w:ind w:left="234" w:right="126"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50" w:type="dxa"/>
            <w:vAlign w:val="top"/>
          </w:tcPr>
          <w:p w14:paraId="2AD8D251">
            <w:pPr>
              <w:spacing w:before="194" w:line="241" w:lineRule="auto"/>
              <w:ind w:left="168" w:right="55" w:hanging="104"/>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677" w:type="dxa"/>
            <w:vAlign w:val="top"/>
          </w:tcPr>
          <w:p w14:paraId="18CACB98">
            <w:pPr>
              <w:spacing w:before="57" w:line="222" w:lineRule="auto"/>
              <w:ind w:left="165"/>
              <w:rPr>
                <w:rFonts w:ascii="宋体" w:hAnsi="宋体" w:eastAsia="宋体" w:cs="宋体"/>
                <w:sz w:val="21"/>
                <w:szCs w:val="21"/>
              </w:rPr>
            </w:pPr>
            <w:r>
              <w:rPr>
                <w:rFonts w:ascii="宋体" w:hAnsi="宋体" w:eastAsia="宋体" w:cs="宋体"/>
                <w:spacing w:val="-10"/>
                <w:sz w:val="21"/>
                <w:szCs w:val="21"/>
              </w:rPr>
              <w:t>白塔</w:t>
            </w:r>
          </w:p>
          <w:p w14:paraId="61555BC0">
            <w:pPr>
              <w:spacing w:before="21" w:line="235" w:lineRule="auto"/>
              <w:ind w:left="238" w:right="120"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49" w:type="dxa"/>
            <w:vAlign w:val="top"/>
          </w:tcPr>
          <w:p w14:paraId="066E5C38">
            <w:pPr>
              <w:spacing w:before="193" w:line="242" w:lineRule="auto"/>
              <w:ind w:left="171" w:right="49" w:hanging="74"/>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48" w:type="dxa"/>
            <w:vAlign w:val="top"/>
          </w:tcPr>
          <w:p w14:paraId="2D1F06A6">
            <w:pPr>
              <w:spacing w:before="57" w:line="219" w:lineRule="auto"/>
              <w:ind w:left="172"/>
              <w:rPr>
                <w:rFonts w:ascii="宋体" w:hAnsi="宋体" w:eastAsia="宋体" w:cs="宋体"/>
                <w:sz w:val="21"/>
                <w:szCs w:val="21"/>
              </w:rPr>
            </w:pPr>
            <w:r>
              <w:rPr>
                <w:rFonts w:ascii="宋体" w:hAnsi="宋体" w:eastAsia="宋体" w:cs="宋体"/>
                <w:spacing w:val="-3"/>
                <w:sz w:val="21"/>
                <w:szCs w:val="21"/>
              </w:rPr>
              <w:t>马龙河干</w:t>
            </w:r>
          </w:p>
          <w:p w14:paraId="3E295673">
            <w:pPr>
              <w:pStyle w:val="6"/>
              <w:spacing w:before="24" w:line="235" w:lineRule="auto"/>
              <w:ind w:left="136" w:right="111" w:firstLine="30"/>
              <w:rPr>
                <w:rFonts w:ascii="宋体" w:hAnsi="宋体" w:eastAsia="宋体" w:cs="宋体"/>
              </w:rPr>
            </w:pPr>
            <w:r>
              <w:rPr>
                <w:rFonts w:ascii="宋体" w:hAnsi="宋体" w:eastAsia="宋体" w:cs="宋体"/>
                <w:spacing w:val="-3"/>
              </w:rPr>
              <w:t>流坝址下</w:t>
            </w:r>
            <w:r>
              <w:rPr>
                <w:rFonts w:ascii="宋体" w:hAnsi="宋体" w:eastAsia="宋体" w:cs="宋体"/>
                <w:spacing w:val="-5"/>
              </w:rPr>
              <w:t>游</w:t>
            </w:r>
            <w:r>
              <w:rPr>
                <w:rFonts w:ascii="宋体" w:hAnsi="宋体" w:eastAsia="宋体" w:cs="宋体"/>
                <w:spacing w:val="-48"/>
              </w:rPr>
              <w:t xml:space="preserve"> </w:t>
            </w:r>
            <w:r>
              <w:rPr>
                <w:spacing w:val="-5"/>
              </w:rPr>
              <w:t>2km</w:t>
            </w:r>
            <w:r>
              <w:rPr>
                <w:spacing w:val="10"/>
              </w:rPr>
              <w:t xml:space="preserve"> </w:t>
            </w:r>
            <w:r>
              <w:rPr>
                <w:rFonts w:ascii="宋体" w:hAnsi="宋体" w:eastAsia="宋体" w:cs="宋体"/>
                <w:spacing w:val="-5"/>
              </w:rPr>
              <w:t>处</w:t>
            </w:r>
          </w:p>
        </w:tc>
        <w:tc>
          <w:tcPr>
            <w:tcW w:w="1166" w:type="dxa"/>
            <w:tcBorders>
              <w:right w:val="single" w:color="000000" w:sz="12" w:space="0"/>
            </w:tcBorders>
            <w:vAlign w:val="top"/>
          </w:tcPr>
          <w:p w14:paraId="7835CA90">
            <w:pPr>
              <w:spacing w:before="57" w:line="219" w:lineRule="auto"/>
              <w:ind w:left="178"/>
              <w:rPr>
                <w:rFonts w:ascii="宋体" w:hAnsi="宋体" w:eastAsia="宋体" w:cs="宋体"/>
                <w:sz w:val="21"/>
                <w:szCs w:val="21"/>
              </w:rPr>
            </w:pPr>
            <w:r>
              <w:rPr>
                <w:rFonts w:ascii="宋体" w:hAnsi="宋体" w:eastAsia="宋体" w:cs="宋体"/>
                <w:spacing w:val="-3"/>
                <w:sz w:val="21"/>
                <w:szCs w:val="21"/>
              </w:rPr>
              <w:t>马龙河干</w:t>
            </w:r>
          </w:p>
          <w:p w14:paraId="08B2F5E3">
            <w:pPr>
              <w:pStyle w:val="6"/>
              <w:spacing w:before="24" w:line="235" w:lineRule="auto"/>
              <w:ind w:left="142" w:right="114" w:firstLine="30"/>
              <w:rPr>
                <w:rFonts w:ascii="宋体" w:hAnsi="宋体" w:eastAsia="宋体" w:cs="宋体"/>
              </w:rPr>
            </w:pPr>
            <w:r>
              <w:rPr>
                <w:rFonts w:ascii="宋体" w:hAnsi="宋体" w:eastAsia="宋体" w:cs="宋体"/>
                <w:spacing w:val="-3"/>
              </w:rPr>
              <w:t>流坝址下</w:t>
            </w:r>
            <w:r>
              <w:rPr>
                <w:rFonts w:ascii="宋体" w:hAnsi="宋体" w:eastAsia="宋体" w:cs="宋体"/>
                <w:spacing w:val="-6"/>
              </w:rPr>
              <w:t>游</w:t>
            </w:r>
            <w:r>
              <w:rPr>
                <w:rFonts w:ascii="宋体" w:hAnsi="宋体" w:eastAsia="宋体" w:cs="宋体"/>
                <w:spacing w:val="-43"/>
              </w:rPr>
              <w:t xml:space="preserve"> </w:t>
            </w:r>
            <w:r>
              <w:rPr>
                <w:spacing w:val="-6"/>
              </w:rPr>
              <w:t>6km</w:t>
            </w:r>
            <w:r>
              <w:rPr>
                <w:spacing w:val="10"/>
              </w:rPr>
              <w:t xml:space="preserve"> </w:t>
            </w:r>
            <w:r>
              <w:rPr>
                <w:rFonts w:ascii="宋体" w:hAnsi="宋体" w:eastAsia="宋体" w:cs="宋体"/>
                <w:spacing w:val="-6"/>
              </w:rPr>
              <w:t>处</w:t>
            </w:r>
          </w:p>
        </w:tc>
      </w:tr>
      <w:tr w14:paraId="6E891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restart"/>
            <w:tcBorders>
              <w:left w:val="single" w:color="000000" w:sz="12" w:space="0"/>
              <w:bottom w:val="nil"/>
            </w:tcBorders>
            <w:textDirection w:val="tbRlV"/>
            <w:vAlign w:val="top"/>
          </w:tcPr>
          <w:p w14:paraId="5CD65063">
            <w:pPr>
              <w:spacing w:before="138" w:line="207" w:lineRule="auto"/>
              <w:ind w:left="559"/>
              <w:rPr>
                <w:rFonts w:ascii="宋体" w:hAnsi="宋体" w:eastAsia="宋体" w:cs="宋体"/>
                <w:sz w:val="21"/>
                <w:szCs w:val="21"/>
              </w:rPr>
            </w:pPr>
            <w:r>
              <w:rPr>
                <w:rFonts w:ascii="宋体" w:hAnsi="宋体" w:eastAsia="宋体" w:cs="宋体"/>
                <w:spacing w:val="31"/>
                <w:sz w:val="21"/>
                <w:szCs w:val="21"/>
              </w:rPr>
              <w:t>鼓藻</w:t>
            </w:r>
          </w:p>
        </w:tc>
        <w:tc>
          <w:tcPr>
            <w:tcW w:w="2823" w:type="dxa"/>
            <w:vAlign w:val="top"/>
          </w:tcPr>
          <w:p w14:paraId="028F13EB">
            <w:pPr>
              <w:pStyle w:val="6"/>
              <w:spacing w:before="60" w:line="235" w:lineRule="auto"/>
              <w:ind w:left="990" w:right="477" w:hanging="520"/>
            </w:pPr>
            <w:r>
              <w:rPr>
                <w:rFonts w:ascii="宋体" w:hAnsi="宋体" w:eastAsia="宋体" w:cs="宋体"/>
                <w:spacing w:val="-2"/>
              </w:rPr>
              <w:t>近园鼓藻</w:t>
            </w:r>
            <w:r>
              <w:rPr>
                <w:rFonts w:ascii="宋体" w:hAnsi="宋体" w:eastAsia="宋体" w:cs="宋体"/>
                <w:spacing w:val="-35"/>
              </w:rPr>
              <w:t xml:space="preserve"> </w:t>
            </w:r>
            <w:r>
              <w:rPr>
                <w:spacing w:val="-2"/>
              </w:rPr>
              <w:t>Cosmarium</w:t>
            </w:r>
            <w:r>
              <w:t xml:space="preserve"> </w:t>
            </w:r>
            <w:r>
              <w:rPr>
                <w:spacing w:val="-1"/>
              </w:rPr>
              <w:t>connatum</w:t>
            </w:r>
          </w:p>
        </w:tc>
        <w:tc>
          <w:tcPr>
            <w:tcW w:w="678" w:type="dxa"/>
            <w:vAlign w:val="top"/>
          </w:tcPr>
          <w:p w14:paraId="6DF565F4">
            <w:pPr>
              <w:pStyle w:val="6"/>
              <w:spacing w:before="214" w:line="251" w:lineRule="exact"/>
              <w:ind w:left="275"/>
            </w:pPr>
            <w:r>
              <w:rPr>
                <w:position w:val="1"/>
              </w:rPr>
              <w:t>+</w:t>
            </w:r>
          </w:p>
        </w:tc>
        <w:tc>
          <w:tcPr>
            <w:tcW w:w="750" w:type="dxa"/>
            <w:vAlign w:val="top"/>
          </w:tcPr>
          <w:p w14:paraId="0BF1FBA4">
            <w:pPr>
              <w:pStyle w:val="6"/>
              <w:spacing w:before="214" w:line="251" w:lineRule="exact"/>
              <w:ind w:left="313"/>
            </w:pPr>
            <w:r>
              <w:rPr>
                <w:position w:val="1"/>
              </w:rPr>
              <w:t>+</w:t>
            </w:r>
          </w:p>
        </w:tc>
        <w:tc>
          <w:tcPr>
            <w:tcW w:w="677" w:type="dxa"/>
            <w:vAlign w:val="top"/>
          </w:tcPr>
          <w:p w14:paraId="78DB4457">
            <w:pPr>
              <w:rPr>
                <w:rFonts w:ascii="Arial"/>
                <w:sz w:val="21"/>
              </w:rPr>
            </w:pPr>
          </w:p>
        </w:tc>
        <w:tc>
          <w:tcPr>
            <w:tcW w:w="749" w:type="dxa"/>
            <w:vAlign w:val="top"/>
          </w:tcPr>
          <w:p w14:paraId="3B69EB20">
            <w:pPr>
              <w:rPr>
                <w:rFonts w:ascii="Arial"/>
                <w:sz w:val="21"/>
              </w:rPr>
            </w:pPr>
          </w:p>
        </w:tc>
        <w:tc>
          <w:tcPr>
            <w:tcW w:w="1148" w:type="dxa"/>
            <w:vAlign w:val="top"/>
          </w:tcPr>
          <w:p w14:paraId="2946A852">
            <w:pPr>
              <w:pStyle w:val="6"/>
              <w:spacing w:before="214" w:line="251" w:lineRule="exact"/>
              <w:ind w:left="522"/>
            </w:pPr>
            <w:r>
              <w:rPr>
                <w:position w:val="1"/>
              </w:rPr>
              <w:t>+</w:t>
            </w:r>
          </w:p>
        </w:tc>
        <w:tc>
          <w:tcPr>
            <w:tcW w:w="1166" w:type="dxa"/>
            <w:tcBorders>
              <w:right w:val="single" w:color="000000" w:sz="12" w:space="0"/>
            </w:tcBorders>
            <w:vAlign w:val="top"/>
          </w:tcPr>
          <w:p w14:paraId="60FD02CD">
            <w:pPr>
              <w:pStyle w:val="6"/>
              <w:spacing w:before="214" w:line="251" w:lineRule="exact"/>
              <w:ind w:left="527"/>
            </w:pPr>
            <w:r>
              <w:rPr>
                <w:position w:val="1"/>
              </w:rPr>
              <w:t>+</w:t>
            </w:r>
          </w:p>
        </w:tc>
      </w:tr>
      <w:tr w14:paraId="211B8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82" w:type="dxa"/>
            <w:vMerge w:val="continue"/>
            <w:tcBorders>
              <w:top w:val="nil"/>
              <w:left w:val="single" w:color="000000" w:sz="12" w:space="0"/>
              <w:bottom w:val="nil"/>
            </w:tcBorders>
            <w:textDirection w:val="tbRlV"/>
            <w:vAlign w:val="top"/>
          </w:tcPr>
          <w:p w14:paraId="2D6AF941">
            <w:pPr>
              <w:rPr>
                <w:rFonts w:ascii="Arial"/>
                <w:sz w:val="21"/>
              </w:rPr>
            </w:pPr>
          </w:p>
        </w:tc>
        <w:tc>
          <w:tcPr>
            <w:tcW w:w="2823" w:type="dxa"/>
            <w:vAlign w:val="top"/>
          </w:tcPr>
          <w:p w14:paraId="05BFB3D0">
            <w:pPr>
              <w:pStyle w:val="6"/>
              <w:spacing w:before="60" w:line="231" w:lineRule="auto"/>
              <w:ind w:left="199"/>
            </w:pPr>
            <w:r>
              <w:rPr>
                <w:rFonts w:ascii="宋体" w:hAnsi="宋体" w:eastAsia="宋体" w:cs="宋体"/>
                <w:spacing w:val="-2"/>
              </w:rPr>
              <w:t>园鼓藻</w:t>
            </w:r>
            <w:r>
              <w:rPr>
                <w:rFonts w:ascii="宋体" w:hAnsi="宋体" w:eastAsia="宋体" w:cs="宋体"/>
                <w:spacing w:val="-34"/>
              </w:rPr>
              <w:t xml:space="preserve"> </w:t>
            </w:r>
            <w:r>
              <w:rPr>
                <w:spacing w:val="-2"/>
              </w:rPr>
              <w:t>Cosmarium circulare</w:t>
            </w:r>
          </w:p>
        </w:tc>
        <w:tc>
          <w:tcPr>
            <w:tcW w:w="678" w:type="dxa"/>
            <w:vAlign w:val="top"/>
          </w:tcPr>
          <w:p w14:paraId="21524349">
            <w:pPr>
              <w:pStyle w:val="6"/>
              <w:spacing w:before="93" w:line="228" w:lineRule="auto"/>
              <w:ind w:left="275"/>
            </w:pPr>
            <w:r>
              <w:t>+</w:t>
            </w:r>
          </w:p>
        </w:tc>
        <w:tc>
          <w:tcPr>
            <w:tcW w:w="750" w:type="dxa"/>
            <w:vAlign w:val="top"/>
          </w:tcPr>
          <w:p w14:paraId="01BC113B">
            <w:pPr>
              <w:rPr>
                <w:rFonts w:ascii="Arial"/>
                <w:sz w:val="21"/>
              </w:rPr>
            </w:pPr>
          </w:p>
        </w:tc>
        <w:tc>
          <w:tcPr>
            <w:tcW w:w="677" w:type="dxa"/>
            <w:vAlign w:val="top"/>
          </w:tcPr>
          <w:p w14:paraId="69C50B99">
            <w:pPr>
              <w:pStyle w:val="6"/>
              <w:spacing w:before="93" w:line="228" w:lineRule="auto"/>
              <w:ind w:left="280"/>
            </w:pPr>
            <w:r>
              <w:t>+</w:t>
            </w:r>
          </w:p>
        </w:tc>
        <w:tc>
          <w:tcPr>
            <w:tcW w:w="749" w:type="dxa"/>
            <w:vAlign w:val="top"/>
          </w:tcPr>
          <w:p w14:paraId="6837C401">
            <w:pPr>
              <w:pStyle w:val="6"/>
              <w:spacing w:before="93" w:line="228" w:lineRule="auto"/>
              <w:ind w:left="318"/>
            </w:pPr>
            <w:r>
              <w:t>+</w:t>
            </w:r>
          </w:p>
        </w:tc>
        <w:tc>
          <w:tcPr>
            <w:tcW w:w="1148" w:type="dxa"/>
            <w:vAlign w:val="top"/>
          </w:tcPr>
          <w:p w14:paraId="4A16E16D">
            <w:pPr>
              <w:rPr>
                <w:rFonts w:ascii="Arial"/>
                <w:sz w:val="21"/>
              </w:rPr>
            </w:pPr>
          </w:p>
        </w:tc>
        <w:tc>
          <w:tcPr>
            <w:tcW w:w="1166" w:type="dxa"/>
            <w:tcBorders>
              <w:right w:val="single" w:color="000000" w:sz="12" w:space="0"/>
            </w:tcBorders>
            <w:vAlign w:val="top"/>
          </w:tcPr>
          <w:p w14:paraId="680D8C2A">
            <w:pPr>
              <w:pStyle w:val="6"/>
              <w:spacing w:before="93" w:line="228" w:lineRule="auto"/>
              <w:ind w:left="527"/>
            </w:pPr>
            <w:r>
              <w:t>+</w:t>
            </w:r>
          </w:p>
        </w:tc>
      </w:tr>
      <w:tr w14:paraId="2B043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82" w:type="dxa"/>
            <w:vMerge w:val="continue"/>
            <w:tcBorders>
              <w:top w:val="nil"/>
              <w:left w:val="single" w:color="000000" w:sz="12" w:space="0"/>
              <w:bottom w:val="nil"/>
            </w:tcBorders>
            <w:textDirection w:val="tbRlV"/>
            <w:vAlign w:val="top"/>
          </w:tcPr>
          <w:p w14:paraId="48C700C1">
            <w:pPr>
              <w:rPr>
                <w:rFonts w:ascii="Arial"/>
                <w:sz w:val="21"/>
              </w:rPr>
            </w:pPr>
          </w:p>
        </w:tc>
        <w:tc>
          <w:tcPr>
            <w:tcW w:w="2823" w:type="dxa"/>
            <w:vAlign w:val="top"/>
          </w:tcPr>
          <w:p w14:paraId="4050B492">
            <w:pPr>
              <w:pStyle w:val="6"/>
              <w:spacing w:before="61" w:line="230" w:lineRule="auto"/>
              <w:ind w:left="110"/>
            </w:pPr>
            <w:r>
              <w:rPr>
                <w:rFonts w:ascii="宋体" w:hAnsi="宋体" w:eastAsia="宋体" w:cs="宋体"/>
                <w:spacing w:val="-1"/>
              </w:rPr>
              <w:t>钝鼓藻</w:t>
            </w:r>
            <w:r>
              <w:rPr>
                <w:rFonts w:ascii="宋体" w:hAnsi="宋体" w:eastAsia="宋体" w:cs="宋体"/>
                <w:spacing w:val="-40"/>
              </w:rPr>
              <w:t xml:space="preserve"> </w:t>
            </w:r>
            <w:r>
              <w:rPr>
                <w:spacing w:val="-1"/>
              </w:rPr>
              <w:t>Cosmarium obtusatum</w:t>
            </w:r>
          </w:p>
        </w:tc>
        <w:tc>
          <w:tcPr>
            <w:tcW w:w="678" w:type="dxa"/>
            <w:vAlign w:val="top"/>
          </w:tcPr>
          <w:p w14:paraId="59D5D5C3">
            <w:pPr>
              <w:pStyle w:val="6"/>
              <w:spacing w:before="94" w:line="227" w:lineRule="auto"/>
              <w:ind w:left="275"/>
            </w:pPr>
            <w:r>
              <w:t>+</w:t>
            </w:r>
          </w:p>
        </w:tc>
        <w:tc>
          <w:tcPr>
            <w:tcW w:w="750" w:type="dxa"/>
            <w:vAlign w:val="top"/>
          </w:tcPr>
          <w:p w14:paraId="443905C4">
            <w:pPr>
              <w:pStyle w:val="6"/>
              <w:spacing w:before="94" w:line="227" w:lineRule="auto"/>
              <w:ind w:left="313"/>
            </w:pPr>
            <w:r>
              <w:t>+</w:t>
            </w:r>
          </w:p>
        </w:tc>
        <w:tc>
          <w:tcPr>
            <w:tcW w:w="677" w:type="dxa"/>
            <w:vAlign w:val="top"/>
          </w:tcPr>
          <w:p w14:paraId="53C8B657">
            <w:pPr>
              <w:rPr>
                <w:rFonts w:ascii="Arial"/>
                <w:sz w:val="21"/>
              </w:rPr>
            </w:pPr>
          </w:p>
        </w:tc>
        <w:tc>
          <w:tcPr>
            <w:tcW w:w="749" w:type="dxa"/>
            <w:vAlign w:val="top"/>
          </w:tcPr>
          <w:p w14:paraId="754C1F89">
            <w:pPr>
              <w:pStyle w:val="6"/>
              <w:spacing w:before="94" w:line="227" w:lineRule="auto"/>
              <w:ind w:left="318"/>
            </w:pPr>
            <w:r>
              <w:t>+</w:t>
            </w:r>
          </w:p>
        </w:tc>
        <w:tc>
          <w:tcPr>
            <w:tcW w:w="1148" w:type="dxa"/>
            <w:vAlign w:val="top"/>
          </w:tcPr>
          <w:p w14:paraId="275A501F">
            <w:pPr>
              <w:pStyle w:val="6"/>
              <w:spacing w:before="94" w:line="227" w:lineRule="auto"/>
              <w:ind w:left="522"/>
            </w:pPr>
            <w:r>
              <w:t>+</w:t>
            </w:r>
          </w:p>
        </w:tc>
        <w:tc>
          <w:tcPr>
            <w:tcW w:w="1166" w:type="dxa"/>
            <w:tcBorders>
              <w:right w:val="single" w:color="000000" w:sz="12" w:space="0"/>
            </w:tcBorders>
            <w:vAlign w:val="top"/>
          </w:tcPr>
          <w:p w14:paraId="12B22C40">
            <w:pPr>
              <w:pStyle w:val="6"/>
              <w:spacing w:before="94" w:line="227" w:lineRule="auto"/>
              <w:ind w:left="469"/>
            </w:pPr>
            <w:r>
              <w:rPr>
                <w:spacing w:val="-1"/>
              </w:rPr>
              <w:t>++</w:t>
            </w:r>
          </w:p>
        </w:tc>
      </w:tr>
      <w:tr w14:paraId="03272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82" w:type="dxa"/>
            <w:vMerge w:val="continue"/>
            <w:tcBorders>
              <w:top w:val="nil"/>
              <w:left w:val="single" w:color="000000" w:sz="12" w:space="0"/>
            </w:tcBorders>
            <w:textDirection w:val="tbRlV"/>
            <w:vAlign w:val="top"/>
          </w:tcPr>
          <w:p w14:paraId="035E4917">
            <w:pPr>
              <w:rPr>
                <w:rFonts w:ascii="Arial"/>
                <w:sz w:val="21"/>
              </w:rPr>
            </w:pPr>
          </w:p>
        </w:tc>
        <w:tc>
          <w:tcPr>
            <w:tcW w:w="2823" w:type="dxa"/>
            <w:vAlign w:val="top"/>
          </w:tcPr>
          <w:p w14:paraId="5C01954C">
            <w:pPr>
              <w:pStyle w:val="6"/>
              <w:spacing w:before="62" w:line="212" w:lineRule="auto"/>
              <w:ind w:left="75"/>
            </w:pPr>
            <w:r>
              <w:rPr>
                <w:rFonts w:ascii="宋体" w:hAnsi="宋体" w:eastAsia="宋体" w:cs="宋体"/>
                <w:spacing w:val="-1"/>
              </w:rPr>
              <w:t>颗粒鼓藻</w:t>
            </w:r>
            <w:r>
              <w:rPr>
                <w:rFonts w:ascii="宋体" w:hAnsi="宋体" w:eastAsia="宋体" w:cs="宋体"/>
                <w:spacing w:val="-40"/>
              </w:rPr>
              <w:t xml:space="preserve"> </w:t>
            </w:r>
            <w:r>
              <w:rPr>
                <w:spacing w:val="-1"/>
              </w:rPr>
              <w:t>Cosmarium granatun</w:t>
            </w:r>
          </w:p>
        </w:tc>
        <w:tc>
          <w:tcPr>
            <w:tcW w:w="678" w:type="dxa"/>
            <w:vAlign w:val="top"/>
          </w:tcPr>
          <w:p w14:paraId="5329B486">
            <w:pPr>
              <w:pStyle w:val="6"/>
              <w:spacing w:before="95" w:line="226" w:lineRule="auto"/>
              <w:ind w:left="275"/>
            </w:pPr>
            <w:r>
              <w:t>+</w:t>
            </w:r>
          </w:p>
        </w:tc>
        <w:tc>
          <w:tcPr>
            <w:tcW w:w="750" w:type="dxa"/>
            <w:vAlign w:val="top"/>
          </w:tcPr>
          <w:p w14:paraId="3591F543">
            <w:pPr>
              <w:pStyle w:val="6"/>
              <w:spacing w:before="95" w:line="226" w:lineRule="auto"/>
              <w:ind w:left="313"/>
            </w:pPr>
            <w:r>
              <w:t>+</w:t>
            </w:r>
          </w:p>
        </w:tc>
        <w:tc>
          <w:tcPr>
            <w:tcW w:w="677" w:type="dxa"/>
            <w:vAlign w:val="top"/>
          </w:tcPr>
          <w:p w14:paraId="12E22841">
            <w:pPr>
              <w:pStyle w:val="6"/>
              <w:spacing w:before="95" w:line="226" w:lineRule="auto"/>
              <w:ind w:left="280"/>
            </w:pPr>
            <w:r>
              <w:t>+</w:t>
            </w:r>
          </w:p>
        </w:tc>
        <w:tc>
          <w:tcPr>
            <w:tcW w:w="749" w:type="dxa"/>
            <w:vAlign w:val="top"/>
          </w:tcPr>
          <w:p w14:paraId="6D531D36">
            <w:pPr>
              <w:pStyle w:val="6"/>
              <w:spacing w:before="95" w:line="226" w:lineRule="auto"/>
              <w:ind w:left="318"/>
            </w:pPr>
            <w:r>
              <w:t>+</w:t>
            </w:r>
          </w:p>
        </w:tc>
        <w:tc>
          <w:tcPr>
            <w:tcW w:w="1148" w:type="dxa"/>
            <w:vAlign w:val="top"/>
          </w:tcPr>
          <w:p w14:paraId="6A0FCF1C">
            <w:pPr>
              <w:pStyle w:val="6"/>
              <w:spacing w:before="95" w:line="226" w:lineRule="auto"/>
              <w:ind w:left="403"/>
            </w:pPr>
            <w:r>
              <w:rPr>
                <w:spacing w:val="-1"/>
              </w:rPr>
              <w:t>+++</w:t>
            </w:r>
          </w:p>
        </w:tc>
        <w:tc>
          <w:tcPr>
            <w:tcW w:w="1166" w:type="dxa"/>
            <w:tcBorders>
              <w:right w:val="single" w:color="000000" w:sz="12" w:space="0"/>
            </w:tcBorders>
            <w:vAlign w:val="top"/>
          </w:tcPr>
          <w:p w14:paraId="3020F88C">
            <w:pPr>
              <w:pStyle w:val="6"/>
              <w:spacing w:before="95" w:line="226" w:lineRule="auto"/>
              <w:ind w:left="527"/>
            </w:pPr>
            <w:r>
              <w:t>+</w:t>
            </w:r>
          </w:p>
        </w:tc>
      </w:tr>
      <w:tr w14:paraId="187A8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4B6D8237">
            <w:pPr>
              <w:spacing w:before="137" w:line="206" w:lineRule="auto"/>
              <w:ind w:left="1235"/>
              <w:rPr>
                <w:rFonts w:ascii="宋体" w:hAnsi="宋体" w:eastAsia="宋体" w:cs="宋体"/>
                <w:sz w:val="21"/>
                <w:szCs w:val="21"/>
              </w:rPr>
            </w:pPr>
            <w:r>
              <w:rPr>
                <w:rFonts w:ascii="宋体" w:hAnsi="宋体" w:eastAsia="宋体" w:cs="宋体"/>
                <w:spacing w:val="46"/>
                <w:sz w:val="21"/>
                <w:szCs w:val="21"/>
              </w:rPr>
              <w:t>角星鼓藻</w:t>
            </w:r>
          </w:p>
        </w:tc>
        <w:tc>
          <w:tcPr>
            <w:tcW w:w="2823" w:type="dxa"/>
            <w:vAlign w:val="top"/>
          </w:tcPr>
          <w:p w14:paraId="6E2C4B7B">
            <w:pPr>
              <w:pStyle w:val="6"/>
              <w:spacing w:before="61" w:line="234" w:lineRule="auto"/>
              <w:ind w:left="943" w:right="250" w:hanging="698"/>
            </w:pPr>
            <w:r>
              <w:rPr>
                <w:rFonts w:ascii="宋体" w:hAnsi="宋体" w:eastAsia="宋体" w:cs="宋体"/>
                <w:spacing w:val="-2"/>
              </w:rPr>
              <w:t>芒角角星鼓藻</w:t>
            </w:r>
            <w:r>
              <w:rPr>
                <w:rFonts w:ascii="宋体" w:hAnsi="宋体" w:eastAsia="宋体" w:cs="宋体"/>
                <w:spacing w:val="-31"/>
              </w:rPr>
              <w:t xml:space="preserve"> </w:t>
            </w:r>
            <w:r>
              <w:rPr>
                <w:spacing w:val="-2"/>
              </w:rPr>
              <w:t>Siaurastrom</w:t>
            </w:r>
            <w:r>
              <w:t xml:space="preserve"> </w:t>
            </w:r>
            <w:r>
              <w:rPr>
                <w:spacing w:val="-1"/>
              </w:rPr>
              <w:t>aristiferum</w:t>
            </w:r>
          </w:p>
        </w:tc>
        <w:tc>
          <w:tcPr>
            <w:tcW w:w="678" w:type="dxa"/>
            <w:vAlign w:val="top"/>
          </w:tcPr>
          <w:p w14:paraId="1C8D7C12">
            <w:pPr>
              <w:pStyle w:val="6"/>
              <w:spacing w:before="215" w:line="251" w:lineRule="exact"/>
              <w:ind w:left="275"/>
            </w:pPr>
            <w:r>
              <w:rPr>
                <w:position w:val="1"/>
              </w:rPr>
              <w:t>+</w:t>
            </w:r>
          </w:p>
        </w:tc>
        <w:tc>
          <w:tcPr>
            <w:tcW w:w="750" w:type="dxa"/>
            <w:vAlign w:val="top"/>
          </w:tcPr>
          <w:p w14:paraId="304A114A">
            <w:pPr>
              <w:rPr>
                <w:rFonts w:ascii="Arial"/>
                <w:sz w:val="21"/>
              </w:rPr>
            </w:pPr>
          </w:p>
        </w:tc>
        <w:tc>
          <w:tcPr>
            <w:tcW w:w="677" w:type="dxa"/>
            <w:vAlign w:val="top"/>
          </w:tcPr>
          <w:p w14:paraId="404C50D9">
            <w:pPr>
              <w:pStyle w:val="6"/>
              <w:spacing w:before="215" w:line="251" w:lineRule="exact"/>
              <w:ind w:left="280"/>
            </w:pPr>
            <w:r>
              <w:rPr>
                <w:position w:val="1"/>
              </w:rPr>
              <w:t>+</w:t>
            </w:r>
          </w:p>
        </w:tc>
        <w:tc>
          <w:tcPr>
            <w:tcW w:w="749" w:type="dxa"/>
            <w:vAlign w:val="top"/>
          </w:tcPr>
          <w:p w14:paraId="0A648BAB">
            <w:pPr>
              <w:pStyle w:val="6"/>
              <w:spacing w:before="215" w:line="251" w:lineRule="exact"/>
              <w:ind w:left="318"/>
            </w:pPr>
            <w:r>
              <w:rPr>
                <w:position w:val="1"/>
              </w:rPr>
              <w:t>+</w:t>
            </w:r>
          </w:p>
        </w:tc>
        <w:tc>
          <w:tcPr>
            <w:tcW w:w="1148" w:type="dxa"/>
            <w:vAlign w:val="top"/>
          </w:tcPr>
          <w:p w14:paraId="5310D97B">
            <w:pPr>
              <w:pStyle w:val="6"/>
              <w:spacing w:before="215" w:line="251" w:lineRule="exact"/>
              <w:ind w:left="522"/>
            </w:pPr>
            <w:r>
              <w:rPr>
                <w:position w:val="1"/>
              </w:rPr>
              <w:t>+</w:t>
            </w:r>
          </w:p>
        </w:tc>
        <w:tc>
          <w:tcPr>
            <w:tcW w:w="1166" w:type="dxa"/>
            <w:tcBorders>
              <w:right w:val="single" w:color="000000" w:sz="12" w:space="0"/>
            </w:tcBorders>
            <w:vAlign w:val="top"/>
          </w:tcPr>
          <w:p w14:paraId="37208A3D">
            <w:pPr>
              <w:pStyle w:val="6"/>
              <w:spacing w:before="215" w:line="251" w:lineRule="exact"/>
              <w:ind w:left="527"/>
            </w:pPr>
            <w:r>
              <w:rPr>
                <w:position w:val="1"/>
              </w:rPr>
              <w:t>+</w:t>
            </w:r>
          </w:p>
        </w:tc>
      </w:tr>
      <w:tr w14:paraId="0D8C2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2F14FE70">
            <w:pPr>
              <w:rPr>
                <w:rFonts w:ascii="Arial"/>
                <w:sz w:val="21"/>
              </w:rPr>
            </w:pPr>
          </w:p>
        </w:tc>
        <w:tc>
          <w:tcPr>
            <w:tcW w:w="2823" w:type="dxa"/>
            <w:vAlign w:val="top"/>
          </w:tcPr>
          <w:p w14:paraId="1C479138">
            <w:pPr>
              <w:pStyle w:val="6"/>
              <w:spacing w:before="63" w:line="219" w:lineRule="auto"/>
              <w:ind w:left="235"/>
            </w:pPr>
            <w:r>
              <w:rPr>
                <w:rFonts w:ascii="宋体" w:hAnsi="宋体" w:eastAsia="宋体" w:cs="宋体"/>
                <w:spacing w:val="-2"/>
              </w:rPr>
              <w:t xml:space="preserve">四角角星鼓藻 </w:t>
            </w:r>
            <w:r>
              <w:rPr>
                <w:spacing w:val="-2"/>
              </w:rPr>
              <w:t>Staurastrion</w:t>
            </w:r>
          </w:p>
          <w:p w14:paraId="33FD1C24">
            <w:pPr>
              <w:pStyle w:val="6"/>
              <w:spacing w:before="41" w:line="209" w:lineRule="auto"/>
              <w:ind w:left="950"/>
            </w:pPr>
            <w:r>
              <w:rPr>
                <w:spacing w:val="-1"/>
              </w:rPr>
              <w:t>tetracerum</w:t>
            </w:r>
          </w:p>
        </w:tc>
        <w:tc>
          <w:tcPr>
            <w:tcW w:w="678" w:type="dxa"/>
            <w:vAlign w:val="top"/>
          </w:tcPr>
          <w:p w14:paraId="65AA970B">
            <w:pPr>
              <w:pStyle w:val="6"/>
              <w:spacing w:before="218" w:line="251" w:lineRule="exact"/>
              <w:ind w:left="157"/>
            </w:pPr>
            <w:r>
              <w:rPr>
                <w:spacing w:val="-1"/>
                <w:position w:val="1"/>
              </w:rPr>
              <w:t>+++</w:t>
            </w:r>
          </w:p>
        </w:tc>
        <w:tc>
          <w:tcPr>
            <w:tcW w:w="750" w:type="dxa"/>
            <w:vAlign w:val="top"/>
          </w:tcPr>
          <w:p w14:paraId="4E35354A">
            <w:pPr>
              <w:pStyle w:val="6"/>
              <w:spacing w:before="218" w:line="251" w:lineRule="exact"/>
              <w:ind w:left="313"/>
            </w:pPr>
            <w:r>
              <w:rPr>
                <w:position w:val="1"/>
              </w:rPr>
              <w:t>+</w:t>
            </w:r>
          </w:p>
        </w:tc>
        <w:tc>
          <w:tcPr>
            <w:tcW w:w="677" w:type="dxa"/>
            <w:vAlign w:val="top"/>
          </w:tcPr>
          <w:p w14:paraId="706342ED">
            <w:pPr>
              <w:pStyle w:val="6"/>
              <w:spacing w:before="218" w:line="251" w:lineRule="exact"/>
              <w:ind w:left="280"/>
            </w:pPr>
            <w:r>
              <w:rPr>
                <w:position w:val="1"/>
              </w:rPr>
              <w:t>+</w:t>
            </w:r>
          </w:p>
        </w:tc>
        <w:tc>
          <w:tcPr>
            <w:tcW w:w="749" w:type="dxa"/>
            <w:vAlign w:val="top"/>
          </w:tcPr>
          <w:p w14:paraId="6BA7CEE3">
            <w:pPr>
              <w:rPr>
                <w:rFonts w:ascii="Arial"/>
                <w:sz w:val="21"/>
              </w:rPr>
            </w:pPr>
          </w:p>
        </w:tc>
        <w:tc>
          <w:tcPr>
            <w:tcW w:w="1148" w:type="dxa"/>
            <w:vAlign w:val="top"/>
          </w:tcPr>
          <w:p w14:paraId="1092005A">
            <w:pPr>
              <w:pStyle w:val="6"/>
              <w:spacing w:before="218" w:line="251" w:lineRule="exact"/>
              <w:ind w:left="522"/>
            </w:pPr>
            <w:r>
              <w:rPr>
                <w:position w:val="1"/>
              </w:rPr>
              <w:t>+</w:t>
            </w:r>
          </w:p>
        </w:tc>
        <w:tc>
          <w:tcPr>
            <w:tcW w:w="1166" w:type="dxa"/>
            <w:tcBorders>
              <w:right w:val="single" w:color="000000" w:sz="12" w:space="0"/>
            </w:tcBorders>
            <w:vAlign w:val="top"/>
          </w:tcPr>
          <w:p w14:paraId="1268D970">
            <w:pPr>
              <w:pStyle w:val="6"/>
              <w:spacing w:before="218" w:line="251" w:lineRule="exact"/>
              <w:ind w:left="527"/>
            </w:pPr>
            <w:r>
              <w:rPr>
                <w:position w:val="1"/>
              </w:rPr>
              <w:t>+</w:t>
            </w:r>
          </w:p>
        </w:tc>
      </w:tr>
      <w:tr w14:paraId="6A59E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6A633427">
            <w:pPr>
              <w:rPr>
                <w:rFonts w:ascii="Arial"/>
                <w:sz w:val="21"/>
              </w:rPr>
            </w:pPr>
          </w:p>
        </w:tc>
        <w:tc>
          <w:tcPr>
            <w:tcW w:w="2823" w:type="dxa"/>
            <w:vAlign w:val="top"/>
          </w:tcPr>
          <w:p w14:paraId="2C7B8AC9">
            <w:pPr>
              <w:pStyle w:val="6"/>
              <w:spacing w:before="63" w:line="233" w:lineRule="auto"/>
              <w:ind w:left="820" w:right="224" w:hanging="602"/>
            </w:pPr>
            <w:r>
              <w:rPr>
                <w:rFonts w:ascii="宋体" w:hAnsi="宋体" w:eastAsia="宋体" w:cs="宋体"/>
                <w:spacing w:val="-1"/>
              </w:rPr>
              <w:t xml:space="preserve">成对角星鼓藻 </w:t>
            </w:r>
            <w:r>
              <w:rPr>
                <w:spacing w:val="-1"/>
              </w:rPr>
              <w:t>Staurastrum</w:t>
            </w:r>
            <w:r>
              <w:rPr>
                <w:spacing w:val="7"/>
              </w:rPr>
              <w:t xml:space="preserve"> </w:t>
            </w:r>
            <w:r>
              <w:rPr>
                <w:spacing w:val="-1"/>
              </w:rPr>
              <w:t>gemelliparum</w:t>
            </w:r>
          </w:p>
        </w:tc>
        <w:tc>
          <w:tcPr>
            <w:tcW w:w="678" w:type="dxa"/>
            <w:vAlign w:val="top"/>
          </w:tcPr>
          <w:p w14:paraId="674296EA">
            <w:pPr>
              <w:pStyle w:val="6"/>
              <w:spacing w:before="218" w:line="251" w:lineRule="exact"/>
              <w:ind w:left="275"/>
            </w:pPr>
            <w:r>
              <w:rPr>
                <w:position w:val="1"/>
              </w:rPr>
              <w:t>+</w:t>
            </w:r>
          </w:p>
        </w:tc>
        <w:tc>
          <w:tcPr>
            <w:tcW w:w="750" w:type="dxa"/>
            <w:vAlign w:val="top"/>
          </w:tcPr>
          <w:p w14:paraId="7DD3938F">
            <w:pPr>
              <w:pStyle w:val="6"/>
              <w:spacing w:before="218" w:line="251" w:lineRule="exact"/>
              <w:ind w:left="313"/>
            </w:pPr>
            <w:r>
              <w:rPr>
                <w:position w:val="1"/>
              </w:rPr>
              <w:t>+</w:t>
            </w:r>
          </w:p>
        </w:tc>
        <w:tc>
          <w:tcPr>
            <w:tcW w:w="677" w:type="dxa"/>
            <w:vAlign w:val="top"/>
          </w:tcPr>
          <w:p w14:paraId="562CEE75">
            <w:pPr>
              <w:pStyle w:val="6"/>
              <w:spacing w:before="218" w:line="251" w:lineRule="exact"/>
              <w:ind w:left="280"/>
            </w:pPr>
            <w:r>
              <w:rPr>
                <w:position w:val="1"/>
              </w:rPr>
              <w:t>+</w:t>
            </w:r>
          </w:p>
        </w:tc>
        <w:tc>
          <w:tcPr>
            <w:tcW w:w="749" w:type="dxa"/>
            <w:vAlign w:val="top"/>
          </w:tcPr>
          <w:p w14:paraId="0692AA17">
            <w:pPr>
              <w:rPr>
                <w:rFonts w:ascii="Arial"/>
                <w:sz w:val="21"/>
              </w:rPr>
            </w:pPr>
          </w:p>
        </w:tc>
        <w:tc>
          <w:tcPr>
            <w:tcW w:w="1148" w:type="dxa"/>
            <w:vAlign w:val="top"/>
          </w:tcPr>
          <w:p w14:paraId="1CEFFC64">
            <w:pPr>
              <w:pStyle w:val="6"/>
              <w:spacing w:before="218" w:line="251" w:lineRule="exact"/>
              <w:ind w:left="522"/>
            </w:pPr>
            <w:r>
              <w:rPr>
                <w:position w:val="1"/>
              </w:rPr>
              <w:t>+</w:t>
            </w:r>
          </w:p>
        </w:tc>
        <w:tc>
          <w:tcPr>
            <w:tcW w:w="1166" w:type="dxa"/>
            <w:tcBorders>
              <w:right w:val="single" w:color="000000" w:sz="12" w:space="0"/>
            </w:tcBorders>
            <w:vAlign w:val="top"/>
          </w:tcPr>
          <w:p w14:paraId="3CF2A6E6">
            <w:pPr>
              <w:rPr>
                <w:rFonts w:ascii="Arial"/>
                <w:sz w:val="21"/>
              </w:rPr>
            </w:pPr>
          </w:p>
        </w:tc>
      </w:tr>
      <w:tr w14:paraId="4F863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bottom w:val="nil"/>
            </w:tcBorders>
            <w:textDirection w:val="tbRlV"/>
            <w:vAlign w:val="top"/>
          </w:tcPr>
          <w:p w14:paraId="4568CF6B">
            <w:pPr>
              <w:rPr>
                <w:rFonts w:ascii="Arial"/>
                <w:sz w:val="21"/>
              </w:rPr>
            </w:pPr>
          </w:p>
        </w:tc>
        <w:tc>
          <w:tcPr>
            <w:tcW w:w="2823" w:type="dxa"/>
            <w:vAlign w:val="top"/>
          </w:tcPr>
          <w:p w14:paraId="5CD4A65E">
            <w:pPr>
              <w:pStyle w:val="6"/>
              <w:spacing w:before="66" w:line="219" w:lineRule="auto"/>
              <w:ind w:left="229"/>
            </w:pPr>
            <w:r>
              <w:rPr>
                <w:rFonts w:ascii="宋体" w:hAnsi="宋体" w:eastAsia="宋体" w:cs="宋体"/>
                <w:spacing w:val="-2"/>
              </w:rPr>
              <w:t>具齿角星鼓藻</w:t>
            </w:r>
            <w:r>
              <w:rPr>
                <w:rFonts w:ascii="宋体" w:hAnsi="宋体" w:eastAsia="宋体" w:cs="宋体"/>
                <w:spacing w:val="-32"/>
              </w:rPr>
              <w:t xml:space="preserve"> </w:t>
            </w:r>
            <w:r>
              <w:rPr>
                <w:spacing w:val="-2"/>
              </w:rPr>
              <w:t>Srmtrastrum</w:t>
            </w:r>
          </w:p>
          <w:p w14:paraId="5EEDCAF2">
            <w:pPr>
              <w:pStyle w:val="6"/>
              <w:spacing w:before="41" w:line="205" w:lineRule="auto"/>
              <w:ind w:left="932"/>
            </w:pPr>
            <w:r>
              <w:rPr>
                <w:spacing w:val="-1"/>
              </w:rPr>
              <w:t>indentatum</w:t>
            </w:r>
          </w:p>
        </w:tc>
        <w:tc>
          <w:tcPr>
            <w:tcW w:w="678" w:type="dxa"/>
            <w:vAlign w:val="top"/>
          </w:tcPr>
          <w:p w14:paraId="712636A1">
            <w:pPr>
              <w:pStyle w:val="6"/>
              <w:spacing w:before="220" w:line="251" w:lineRule="exact"/>
              <w:ind w:left="216"/>
            </w:pPr>
            <w:r>
              <w:rPr>
                <w:spacing w:val="-1"/>
                <w:position w:val="1"/>
              </w:rPr>
              <w:t>++</w:t>
            </w:r>
          </w:p>
        </w:tc>
        <w:tc>
          <w:tcPr>
            <w:tcW w:w="750" w:type="dxa"/>
            <w:vAlign w:val="top"/>
          </w:tcPr>
          <w:p w14:paraId="7A41CC16">
            <w:pPr>
              <w:pStyle w:val="6"/>
              <w:spacing w:before="220" w:line="251" w:lineRule="exact"/>
              <w:ind w:left="313"/>
            </w:pPr>
            <w:r>
              <w:rPr>
                <w:position w:val="1"/>
              </w:rPr>
              <w:t>+</w:t>
            </w:r>
          </w:p>
        </w:tc>
        <w:tc>
          <w:tcPr>
            <w:tcW w:w="677" w:type="dxa"/>
            <w:vAlign w:val="top"/>
          </w:tcPr>
          <w:p w14:paraId="3F46B72C">
            <w:pPr>
              <w:pStyle w:val="6"/>
              <w:spacing w:before="220" w:line="251" w:lineRule="exact"/>
              <w:ind w:left="221"/>
            </w:pPr>
            <w:r>
              <w:rPr>
                <w:spacing w:val="-1"/>
                <w:position w:val="1"/>
              </w:rPr>
              <w:t>++</w:t>
            </w:r>
          </w:p>
        </w:tc>
        <w:tc>
          <w:tcPr>
            <w:tcW w:w="749" w:type="dxa"/>
            <w:vAlign w:val="top"/>
          </w:tcPr>
          <w:p w14:paraId="0EB13016">
            <w:pPr>
              <w:pStyle w:val="6"/>
              <w:spacing w:before="220" w:line="251" w:lineRule="exact"/>
              <w:ind w:left="318"/>
            </w:pPr>
            <w:r>
              <w:rPr>
                <w:position w:val="1"/>
              </w:rPr>
              <w:t>+</w:t>
            </w:r>
          </w:p>
        </w:tc>
        <w:tc>
          <w:tcPr>
            <w:tcW w:w="1148" w:type="dxa"/>
            <w:vAlign w:val="top"/>
          </w:tcPr>
          <w:p w14:paraId="72C2645F">
            <w:pPr>
              <w:pStyle w:val="6"/>
              <w:spacing w:before="220" w:line="251" w:lineRule="exact"/>
              <w:ind w:left="522"/>
            </w:pPr>
            <w:r>
              <w:rPr>
                <w:position w:val="1"/>
              </w:rPr>
              <w:t>+</w:t>
            </w:r>
          </w:p>
        </w:tc>
        <w:tc>
          <w:tcPr>
            <w:tcW w:w="1166" w:type="dxa"/>
            <w:tcBorders>
              <w:right w:val="single" w:color="000000" w:sz="12" w:space="0"/>
            </w:tcBorders>
            <w:vAlign w:val="top"/>
          </w:tcPr>
          <w:p w14:paraId="7D738B70">
            <w:pPr>
              <w:pStyle w:val="6"/>
              <w:spacing w:before="220" w:line="251" w:lineRule="exact"/>
              <w:ind w:left="527"/>
            </w:pPr>
            <w:r>
              <w:rPr>
                <w:position w:val="1"/>
              </w:rPr>
              <w:t>+</w:t>
            </w:r>
          </w:p>
        </w:tc>
      </w:tr>
      <w:tr w14:paraId="4D6A2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50C3D9C3">
            <w:pPr>
              <w:rPr>
                <w:rFonts w:ascii="Arial"/>
                <w:sz w:val="21"/>
              </w:rPr>
            </w:pPr>
          </w:p>
        </w:tc>
        <w:tc>
          <w:tcPr>
            <w:tcW w:w="2823" w:type="dxa"/>
            <w:vAlign w:val="top"/>
          </w:tcPr>
          <w:p w14:paraId="4FFE3AD4">
            <w:pPr>
              <w:pStyle w:val="6"/>
              <w:spacing w:before="67" w:line="219" w:lineRule="auto"/>
              <w:ind w:left="248"/>
            </w:pPr>
            <w:r>
              <w:rPr>
                <w:rFonts w:ascii="宋体" w:hAnsi="宋体" w:eastAsia="宋体" w:cs="宋体"/>
                <w:spacing w:val="-2"/>
              </w:rPr>
              <w:t>纤细角星鼓藻</w:t>
            </w:r>
            <w:r>
              <w:rPr>
                <w:rFonts w:ascii="宋体" w:hAnsi="宋体" w:eastAsia="宋体" w:cs="宋体"/>
                <w:spacing w:val="-32"/>
              </w:rPr>
              <w:t xml:space="preserve"> </w:t>
            </w:r>
            <w:r>
              <w:rPr>
                <w:spacing w:val="-2"/>
              </w:rPr>
              <w:t>Staurastrum</w:t>
            </w:r>
          </w:p>
          <w:p w14:paraId="5E61F228">
            <w:pPr>
              <w:pStyle w:val="6"/>
              <w:spacing w:before="41" w:line="190" w:lineRule="auto"/>
              <w:ind w:left="1118"/>
            </w:pPr>
            <w:r>
              <w:rPr>
                <w:spacing w:val="-1"/>
              </w:rPr>
              <w:t>gracile</w:t>
            </w:r>
          </w:p>
        </w:tc>
        <w:tc>
          <w:tcPr>
            <w:tcW w:w="678" w:type="dxa"/>
            <w:vAlign w:val="top"/>
          </w:tcPr>
          <w:p w14:paraId="5DFC932C">
            <w:pPr>
              <w:pStyle w:val="6"/>
              <w:spacing w:before="222" w:line="251" w:lineRule="exact"/>
              <w:ind w:left="275"/>
            </w:pPr>
            <w:r>
              <w:rPr>
                <w:position w:val="1"/>
              </w:rPr>
              <w:t>+</w:t>
            </w:r>
          </w:p>
        </w:tc>
        <w:tc>
          <w:tcPr>
            <w:tcW w:w="750" w:type="dxa"/>
            <w:vAlign w:val="top"/>
          </w:tcPr>
          <w:p w14:paraId="17ECDBDC">
            <w:pPr>
              <w:rPr>
                <w:rFonts w:ascii="Arial"/>
                <w:sz w:val="21"/>
              </w:rPr>
            </w:pPr>
          </w:p>
        </w:tc>
        <w:tc>
          <w:tcPr>
            <w:tcW w:w="677" w:type="dxa"/>
            <w:vAlign w:val="top"/>
          </w:tcPr>
          <w:p w14:paraId="31F6332F">
            <w:pPr>
              <w:pStyle w:val="6"/>
              <w:spacing w:before="222" w:line="251" w:lineRule="exact"/>
              <w:ind w:left="280"/>
            </w:pPr>
            <w:r>
              <w:rPr>
                <w:position w:val="1"/>
              </w:rPr>
              <w:t>+</w:t>
            </w:r>
          </w:p>
        </w:tc>
        <w:tc>
          <w:tcPr>
            <w:tcW w:w="749" w:type="dxa"/>
            <w:vAlign w:val="top"/>
          </w:tcPr>
          <w:p w14:paraId="3FDC425B">
            <w:pPr>
              <w:pStyle w:val="6"/>
              <w:spacing w:before="222" w:line="251" w:lineRule="exact"/>
              <w:ind w:left="318"/>
            </w:pPr>
            <w:r>
              <w:rPr>
                <w:position w:val="1"/>
              </w:rPr>
              <w:t>+</w:t>
            </w:r>
          </w:p>
        </w:tc>
        <w:tc>
          <w:tcPr>
            <w:tcW w:w="1148" w:type="dxa"/>
            <w:vAlign w:val="top"/>
          </w:tcPr>
          <w:p w14:paraId="2D97C341">
            <w:pPr>
              <w:rPr>
                <w:rFonts w:ascii="Arial"/>
                <w:sz w:val="21"/>
              </w:rPr>
            </w:pPr>
          </w:p>
        </w:tc>
        <w:tc>
          <w:tcPr>
            <w:tcW w:w="1166" w:type="dxa"/>
            <w:tcBorders>
              <w:right w:val="single" w:color="000000" w:sz="12" w:space="0"/>
            </w:tcBorders>
            <w:vAlign w:val="top"/>
          </w:tcPr>
          <w:p w14:paraId="41F3E115">
            <w:pPr>
              <w:pStyle w:val="6"/>
              <w:spacing w:before="222" w:line="251" w:lineRule="exact"/>
              <w:ind w:left="527"/>
            </w:pPr>
            <w:r>
              <w:rPr>
                <w:position w:val="1"/>
              </w:rPr>
              <w:t>+</w:t>
            </w:r>
          </w:p>
        </w:tc>
      </w:tr>
      <w:tr w14:paraId="73CCC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6EFE9B87">
            <w:pPr>
              <w:rPr>
                <w:rFonts w:ascii="Arial"/>
                <w:sz w:val="21"/>
              </w:rPr>
            </w:pPr>
          </w:p>
        </w:tc>
        <w:tc>
          <w:tcPr>
            <w:tcW w:w="2823" w:type="dxa"/>
            <w:vAlign w:val="top"/>
          </w:tcPr>
          <w:p w14:paraId="1B235E9E">
            <w:pPr>
              <w:pStyle w:val="6"/>
              <w:spacing w:before="69" w:line="230" w:lineRule="auto"/>
              <w:ind w:left="856" w:right="251" w:hanging="615"/>
            </w:pPr>
            <w:r>
              <w:rPr>
                <w:rFonts w:ascii="宋体" w:hAnsi="宋体" w:eastAsia="宋体" w:cs="宋体"/>
                <w:spacing w:val="-2"/>
              </w:rPr>
              <w:t>广西角星鼓藻</w:t>
            </w:r>
            <w:r>
              <w:rPr>
                <w:rFonts w:ascii="宋体" w:hAnsi="宋体" w:eastAsia="宋体" w:cs="宋体"/>
                <w:spacing w:val="-26"/>
              </w:rPr>
              <w:t xml:space="preserve"> </w:t>
            </w:r>
            <w:r>
              <w:rPr>
                <w:spacing w:val="-2"/>
              </w:rPr>
              <w:t>Slaturastrun</w:t>
            </w:r>
            <w:r>
              <w:t xml:space="preserve"> </w:t>
            </w:r>
            <w:r>
              <w:rPr>
                <w:spacing w:val="-1"/>
              </w:rPr>
              <w:t>krangsieense</w:t>
            </w:r>
          </w:p>
        </w:tc>
        <w:tc>
          <w:tcPr>
            <w:tcW w:w="678" w:type="dxa"/>
            <w:vAlign w:val="top"/>
          </w:tcPr>
          <w:p w14:paraId="39278B89">
            <w:pPr>
              <w:pStyle w:val="6"/>
              <w:spacing w:before="223" w:line="251" w:lineRule="exact"/>
              <w:ind w:left="216"/>
            </w:pPr>
            <w:r>
              <w:rPr>
                <w:spacing w:val="-1"/>
                <w:position w:val="1"/>
              </w:rPr>
              <w:t>++</w:t>
            </w:r>
          </w:p>
        </w:tc>
        <w:tc>
          <w:tcPr>
            <w:tcW w:w="750" w:type="dxa"/>
            <w:vAlign w:val="top"/>
          </w:tcPr>
          <w:p w14:paraId="12702A8C">
            <w:pPr>
              <w:pStyle w:val="6"/>
              <w:spacing w:before="223" w:line="251" w:lineRule="exact"/>
              <w:ind w:left="313"/>
            </w:pPr>
            <w:r>
              <w:rPr>
                <w:position w:val="1"/>
              </w:rPr>
              <w:t>+</w:t>
            </w:r>
          </w:p>
        </w:tc>
        <w:tc>
          <w:tcPr>
            <w:tcW w:w="677" w:type="dxa"/>
            <w:vAlign w:val="top"/>
          </w:tcPr>
          <w:p w14:paraId="45BCBB29">
            <w:pPr>
              <w:rPr>
                <w:rFonts w:ascii="Arial"/>
                <w:sz w:val="21"/>
              </w:rPr>
            </w:pPr>
          </w:p>
        </w:tc>
        <w:tc>
          <w:tcPr>
            <w:tcW w:w="749" w:type="dxa"/>
            <w:vAlign w:val="top"/>
          </w:tcPr>
          <w:p w14:paraId="4A0C23FF">
            <w:pPr>
              <w:pStyle w:val="6"/>
              <w:spacing w:before="223" w:line="251" w:lineRule="exact"/>
              <w:ind w:left="318"/>
            </w:pPr>
            <w:r>
              <w:rPr>
                <w:position w:val="1"/>
              </w:rPr>
              <w:t>+</w:t>
            </w:r>
          </w:p>
        </w:tc>
        <w:tc>
          <w:tcPr>
            <w:tcW w:w="1148" w:type="dxa"/>
            <w:vAlign w:val="top"/>
          </w:tcPr>
          <w:p w14:paraId="55064F71">
            <w:pPr>
              <w:pStyle w:val="6"/>
              <w:spacing w:before="223" w:line="251" w:lineRule="exact"/>
              <w:ind w:left="522"/>
            </w:pPr>
            <w:r>
              <w:rPr>
                <w:position w:val="1"/>
              </w:rPr>
              <w:t>+</w:t>
            </w:r>
          </w:p>
        </w:tc>
        <w:tc>
          <w:tcPr>
            <w:tcW w:w="1166" w:type="dxa"/>
            <w:tcBorders>
              <w:right w:val="single" w:color="000000" w:sz="12" w:space="0"/>
            </w:tcBorders>
            <w:vAlign w:val="top"/>
          </w:tcPr>
          <w:p w14:paraId="6DCD446E">
            <w:pPr>
              <w:pStyle w:val="6"/>
              <w:spacing w:before="223" w:line="251" w:lineRule="exact"/>
              <w:ind w:left="527"/>
            </w:pPr>
            <w:r>
              <w:rPr>
                <w:position w:val="1"/>
              </w:rPr>
              <w:t>+</w:t>
            </w:r>
          </w:p>
        </w:tc>
      </w:tr>
      <w:tr w14:paraId="4403C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3305" w:type="dxa"/>
            <w:gridSpan w:val="2"/>
            <w:tcBorders>
              <w:left w:val="single" w:color="000000" w:sz="12" w:space="0"/>
            </w:tcBorders>
            <w:vAlign w:val="top"/>
          </w:tcPr>
          <w:p w14:paraId="53F16CB5">
            <w:pPr>
              <w:pStyle w:val="6"/>
              <w:spacing w:before="134" w:line="212" w:lineRule="auto"/>
              <w:ind w:left="542"/>
            </w:pPr>
            <w:r>
              <w:rPr>
                <w:rFonts w:ascii="宋体" w:hAnsi="宋体" w:eastAsia="宋体" w:cs="宋体"/>
                <w:b/>
                <w:bCs/>
                <w:spacing w:val="-2"/>
              </w:rPr>
              <w:t>三、蓝藻门</w:t>
            </w:r>
            <w:r>
              <w:rPr>
                <w:rFonts w:ascii="宋体" w:hAnsi="宋体" w:eastAsia="宋体" w:cs="宋体"/>
                <w:spacing w:val="-39"/>
              </w:rPr>
              <w:t xml:space="preserve"> </w:t>
            </w:r>
            <w:r>
              <w:rPr>
                <w:b/>
                <w:bCs/>
                <w:spacing w:val="-2"/>
              </w:rPr>
              <w:t>Cyanophyta</w:t>
            </w:r>
          </w:p>
        </w:tc>
        <w:tc>
          <w:tcPr>
            <w:tcW w:w="678" w:type="dxa"/>
            <w:vAlign w:val="top"/>
          </w:tcPr>
          <w:p w14:paraId="5FA1255B">
            <w:pPr>
              <w:rPr>
                <w:rFonts w:ascii="Arial"/>
                <w:sz w:val="21"/>
              </w:rPr>
            </w:pPr>
          </w:p>
        </w:tc>
        <w:tc>
          <w:tcPr>
            <w:tcW w:w="750" w:type="dxa"/>
            <w:vAlign w:val="top"/>
          </w:tcPr>
          <w:p w14:paraId="2226E76C">
            <w:pPr>
              <w:pStyle w:val="6"/>
              <w:spacing w:before="167" w:line="251" w:lineRule="exact"/>
              <w:ind w:left="313"/>
            </w:pPr>
            <w:r>
              <w:rPr>
                <w:position w:val="1"/>
              </w:rPr>
              <w:t>+</w:t>
            </w:r>
          </w:p>
        </w:tc>
        <w:tc>
          <w:tcPr>
            <w:tcW w:w="677" w:type="dxa"/>
            <w:vAlign w:val="top"/>
          </w:tcPr>
          <w:p w14:paraId="27CD83F9">
            <w:pPr>
              <w:pStyle w:val="6"/>
              <w:spacing w:before="167" w:line="251" w:lineRule="exact"/>
              <w:ind w:left="280"/>
            </w:pPr>
            <w:r>
              <w:rPr>
                <w:position w:val="1"/>
              </w:rPr>
              <w:t>+</w:t>
            </w:r>
          </w:p>
        </w:tc>
        <w:tc>
          <w:tcPr>
            <w:tcW w:w="749" w:type="dxa"/>
            <w:vAlign w:val="top"/>
          </w:tcPr>
          <w:p w14:paraId="47049AA2">
            <w:pPr>
              <w:rPr>
                <w:rFonts w:ascii="Arial"/>
                <w:sz w:val="21"/>
              </w:rPr>
            </w:pPr>
          </w:p>
        </w:tc>
        <w:tc>
          <w:tcPr>
            <w:tcW w:w="1148" w:type="dxa"/>
            <w:vAlign w:val="top"/>
          </w:tcPr>
          <w:p w14:paraId="6D88EFFF">
            <w:pPr>
              <w:rPr>
                <w:rFonts w:ascii="Arial"/>
                <w:sz w:val="21"/>
              </w:rPr>
            </w:pPr>
          </w:p>
        </w:tc>
        <w:tc>
          <w:tcPr>
            <w:tcW w:w="1166" w:type="dxa"/>
            <w:tcBorders>
              <w:right w:val="single" w:color="000000" w:sz="12" w:space="0"/>
            </w:tcBorders>
            <w:vAlign w:val="top"/>
          </w:tcPr>
          <w:p w14:paraId="02865D2C">
            <w:pPr>
              <w:rPr>
                <w:rFonts w:ascii="Arial"/>
                <w:sz w:val="21"/>
              </w:rPr>
            </w:pPr>
          </w:p>
        </w:tc>
      </w:tr>
      <w:tr w14:paraId="0D5F5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trPr>
        <w:tc>
          <w:tcPr>
            <w:tcW w:w="482" w:type="dxa"/>
            <w:tcBorders>
              <w:left w:val="single" w:color="000000" w:sz="12" w:space="0"/>
            </w:tcBorders>
            <w:textDirection w:val="tbRlV"/>
            <w:vAlign w:val="top"/>
          </w:tcPr>
          <w:p w14:paraId="4D708D47">
            <w:pPr>
              <w:spacing w:before="138" w:line="207" w:lineRule="auto"/>
              <w:ind w:left="72"/>
              <w:rPr>
                <w:rFonts w:ascii="宋体" w:hAnsi="宋体" w:eastAsia="宋体" w:cs="宋体"/>
                <w:sz w:val="21"/>
                <w:szCs w:val="21"/>
              </w:rPr>
            </w:pPr>
            <w:r>
              <w:rPr>
                <w:rFonts w:ascii="宋体" w:hAnsi="宋体" w:eastAsia="宋体" w:cs="宋体"/>
                <w:spacing w:val="46"/>
                <w:sz w:val="21"/>
                <w:szCs w:val="21"/>
              </w:rPr>
              <w:t>蓝纤维藻</w:t>
            </w:r>
          </w:p>
        </w:tc>
        <w:tc>
          <w:tcPr>
            <w:tcW w:w="2823" w:type="dxa"/>
            <w:vAlign w:val="top"/>
          </w:tcPr>
          <w:p w14:paraId="0D63C3B2">
            <w:pPr>
              <w:spacing w:line="289" w:lineRule="auto"/>
              <w:rPr>
                <w:rFonts w:ascii="Arial"/>
                <w:sz w:val="21"/>
              </w:rPr>
            </w:pPr>
          </w:p>
          <w:p w14:paraId="71BF3E31">
            <w:pPr>
              <w:spacing w:before="69" w:line="220" w:lineRule="auto"/>
              <w:ind w:left="775"/>
              <w:rPr>
                <w:rFonts w:ascii="宋体" w:hAnsi="宋体" w:eastAsia="宋体" w:cs="宋体"/>
                <w:sz w:val="21"/>
                <w:szCs w:val="21"/>
              </w:rPr>
            </w:pPr>
            <w:r>
              <w:rPr>
                <w:rFonts w:ascii="宋体" w:hAnsi="宋体" w:eastAsia="宋体" w:cs="宋体"/>
                <w:spacing w:val="-2"/>
                <w:sz w:val="21"/>
                <w:szCs w:val="21"/>
              </w:rPr>
              <w:t>针状蓝纤维藻</w:t>
            </w:r>
          </w:p>
          <w:p w14:paraId="541A9F1E">
            <w:pPr>
              <w:pStyle w:val="6"/>
              <w:spacing w:before="40" w:line="190" w:lineRule="auto"/>
              <w:ind w:left="232"/>
            </w:pPr>
            <w:r>
              <w:t>Dactylococcopsis acicu</w:t>
            </w:r>
            <w:r>
              <w:rPr>
                <w:spacing w:val="-1"/>
              </w:rPr>
              <w:t>laris</w:t>
            </w:r>
          </w:p>
        </w:tc>
        <w:tc>
          <w:tcPr>
            <w:tcW w:w="678" w:type="dxa"/>
            <w:vAlign w:val="top"/>
          </w:tcPr>
          <w:p w14:paraId="2E73E0E6">
            <w:pPr>
              <w:spacing w:line="450" w:lineRule="auto"/>
              <w:rPr>
                <w:rFonts w:ascii="Arial"/>
                <w:sz w:val="21"/>
              </w:rPr>
            </w:pPr>
          </w:p>
          <w:p w14:paraId="0023E138">
            <w:pPr>
              <w:pStyle w:val="6"/>
              <w:spacing w:before="61" w:line="251" w:lineRule="exact"/>
              <w:ind w:left="216"/>
            </w:pPr>
            <w:r>
              <w:rPr>
                <w:spacing w:val="-1"/>
                <w:position w:val="1"/>
              </w:rPr>
              <w:t>++</w:t>
            </w:r>
          </w:p>
        </w:tc>
        <w:tc>
          <w:tcPr>
            <w:tcW w:w="750" w:type="dxa"/>
            <w:vAlign w:val="top"/>
          </w:tcPr>
          <w:p w14:paraId="2442CF27">
            <w:pPr>
              <w:spacing w:line="450" w:lineRule="auto"/>
              <w:rPr>
                <w:rFonts w:ascii="Arial"/>
                <w:sz w:val="21"/>
              </w:rPr>
            </w:pPr>
          </w:p>
          <w:p w14:paraId="7AA24701">
            <w:pPr>
              <w:pStyle w:val="6"/>
              <w:spacing w:before="61" w:line="251" w:lineRule="exact"/>
              <w:ind w:left="313"/>
            </w:pPr>
            <w:r>
              <w:rPr>
                <w:position w:val="1"/>
              </w:rPr>
              <w:t>+</w:t>
            </w:r>
          </w:p>
        </w:tc>
        <w:tc>
          <w:tcPr>
            <w:tcW w:w="677" w:type="dxa"/>
            <w:vAlign w:val="top"/>
          </w:tcPr>
          <w:p w14:paraId="5F341889">
            <w:pPr>
              <w:spacing w:line="450" w:lineRule="auto"/>
              <w:rPr>
                <w:rFonts w:ascii="Arial"/>
                <w:sz w:val="21"/>
              </w:rPr>
            </w:pPr>
          </w:p>
          <w:p w14:paraId="7FAAF77F">
            <w:pPr>
              <w:pStyle w:val="6"/>
              <w:spacing w:before="61" w:line="251" w:lineRule="exact"/>
              <w:ind w:left="221"/>
            </w:pPr>
            <w:r>
              <w:rPr>
                <w:spacing w:val="-1"/>
                <w:position w:val="1"/>
              </w:rPr>
              <w:t>++</w:t>
            </w:r>
          </w:p>
        </w:tc>
        <w:tc>
          <w:tcPr>
            <w:tcW w:w="749" w:type="dxa"/>
            <w:vAlign w:val="top"/>
          </w:tcPr>
          <w:p w14:paraId="18FB9389">
            <w:pPr>
              <w:spacing w:line="450" w:lineRule="auto"/>
              <w:rPr>
                <w:rFonts w:ascii="Arial"/>
                <w:sz w:val="21"/>
              </w:rPr>
            </w:pPr>
          </w:p>
          <w:p w14:paraId="6498457A">
            <w:pPr>
              <w:pStyle w:val="6"/>
              <w:spacing w:before="61" w:line="251" w:lineRule="exact"/>
              <w:ind w:left="318"/>
            </w:pPr>
            <w:r>
              <w:rPr>
                <w:position w:val="1"/>
              </w:rPr>
              <w:t>+</w:t>
            </w:r>
          </w:p>
        </w:tc>
        <w:tc>
          <w:tcPr>
            <w:tcW w:w="1148" w:type="dxa"/>
            <w:vAlign w:val="top"/>
          </w:tcPr>
          <w:p w14:paraId="431A5434">
            <w:pPr>
              <w:rPr>
                <w:rFonts w:ascii="Arial"/>
                <w:sz w:val="21"/>
              </w:rPr>
            </w:pPr>
          </w:p>
        </w:tc>
        <w:tc>
          <w:tcPr>
            <w:tcW w:w="1166" w:type="dxa"/>
            <w:tcBorders>
              <w:right w:val="single" w:color="000000" w:sz="12" w:space="0"/>
            </w:tcBorders>
            <w:vAlign w:val="top"/>
          </w:tcPr>
          <w:p w14:paraId="3EE08501">
            <w:pPr>
              <w:rPr>
                <w:rFonts w:ascii="Arial"/>
                <w:sz w:val="21"/>
              </w:rPr>
            </w:pPr>
          </w:p>
        </w:tc>
      </w:tr>
      <w:tr w14:paraId="48BFE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110D47CA">
            <w:pPr>
              <w:spacing w:before="138" w:line="209" w:lineRule="auto"/>
              <w:ind w:left="508"/>
              <w:rPr>
                <w:rFonts w:ascii="宋体" w:hAnsi="宋体" w:eastAsia="宋体" w:cs="宋体"/>
                <w:sz w:val="21"/>
                <w:szCs w:val="21"/>
              </w:rPr>
            </w:pPr>
            <w:r>
              <w:rPr>
                <w:rFonts w:ascii="宋体" w:hAnsi="宋体" w:eastAsia="宋体" w:cs="宋体"/>
                <w:spacing w:val="41"/>
                <w:sz w:val="21"/>
                <w:szCs w:val="21"/>
              </w:rPr>
              <w:t>平裂藻</w:t>
            </w:r>
          </w:p>
        </w:tc>
        <w:tc>
          <w:tcPr>
            <w:tcW w:w="2823" w:type="dxa"/>
            <w:vAlign w:val="top"/>
          </w:tcPr>
          <w:p w14:paraId="61A4679C">
            <w:pPr>
              <w:pStyle w:val="6"/>
              <w:spacing w:before="74" w:line="228" w:lineRule="auto"/>
              <w:ind w:left="950" w:right="257" w:hanging="703"/>
            </w:pPr>
            <w:r>
              <w:rPr>
                <w:rFonts w:ascii="宋体" w:hAnsi="宋体" w:eastAsia="宋体" w:cs="宋体"/>
                <w:spacing w:val="-1"/>
              </w:rPr>
              <w:t>微小平裂藻</w:t>
            </w:r>
            <w:r>
              <w:rPr>
                <w:rFonts w:ascii="宋体" w:hAnsi="宋体" w:eastAsia="宋体" w:cs="宋体"/>
                <w:spacing w:val="-45"/>
              </w:rPr>
              <w:t xml:space="preserve"> </w:t>
            </w:r>
            <w:r>
              <w:rPr>
                <w:spacing w:val="-1"/>
              </w:rPr>
              <w:t>Merismopedia</w:t>
            </w:r>
            <w:r>
              <w:t xml:space="preserve"> </w:t>
            </w:r>
            <w:r>
              <w:rPr>
                <w:spacing w:val="-1"/>
              </w:rPr>
              <w:t>tenuissima</w:t>
            </w:r>
          </w:p>
        </w:tc>
        <w:tc>
          <w:tcPr>
            <w:tcW w:w="678" w:type="dxa"/>
            <w:vAlign w:val="top"/>
          </w:tcPr>
          <w:p w14:paraId="775B1E09">
            <w:pPr>
              <w:pStyle w:val="6"/>
              <w:spacing w:before="228" w:line="251" w:lineRule="exact"/>
              <w:ind w:left="275"/>
            </w:pPr>
            <w:r>
              <w:rPr>
                <w:position w:val="1"/>
              </w:rPr>
              <w:t>+</w:t>
            </w:r>
          </w:p>
        </w:tc>
        <w:tc>
          <w:tcPr>
            <w:tcW w:w="750" w:type="dxa"/>
            <w:vAlign w:val="top"/>
          </w:tcPr>
          <w:p w14:paraId="7C4F076D">
            <w:pPr>
              <w:rPr>
                <w:rFonts w:ascii="Arial"/>
                <w:sz w:val="21"/>
              </w:rPr>
            </w:pPr>
          </w:p>
        </w:tc>
        <w:tc>
          <w:tcPr>
            <w:tcW w:w="677" w:type="dxa"/>
            <w:vAlign w:val="top"/>
          </w:tcPr>
          <w:p w14:paraId="4DCB0FFF">
            <w:pPr>
              <w:pStyle w:val="6"/>
              <w:spacing w:before="228" w:line="251" w:lineRule="exact"/>
              <w:ind w:left="280"/>
            </w:pPr>
            <w:r>
              <w:rPr>
                <w:position w:val="1"/>
              </w:rPr>
              <w:t>+</w:t>
            </w:r>
          </w:p>
        </w:tc>
        <w:tc>
          <w:tcPr>
            <w:tcW w:w="749" w:type="dxa"/>
            <w:vAlign w:val="top"/>
          </w:tcPr>
          <w:p w14:paraId="7BE17C2C">
            <w:pPr>
              <w:rPr>
                <w:rFonts w:ascii="Arial"/>
                <w:sz w:val="21"/>
              </w:rPr>
            </w:pPr>
          </w:p>
        </w:tc>
        <w:tc>
          <w:tcPr>
            <w:tcW w:w="1148" w:type="dxa"/>
            <w:vAlign w:val="top"/>
          </w:tcPr>
          <w:p w14:paraId="358FACD9">
            <w:pPr>
              <w:pStyle w:val="6"/>
              <w:spacing w:before="228" w:line="251" w:lineRule="exact"/>
              <w:ind w:left="463"/>
            </w:pPr>
            <w:r>
              <w:rPr>
                <w:spacing w:val="-1"/>
                <w:position w:val="1"/>
              </w:rPr>
              <w:t>++</w:t>
            </w:r>
          </w:p>
        </w:tc>
        <w:tc>
          <w:tcPr>
            <w:tcW w:w="1166" w:type="dxa"/>
            <w:tcBorders>
              <w:right w:val="single" w:color="000000" w:sz="12" w:space="0"/>
            </w:tcBorders>
            <w:vAlign w:val="top"/>
          </w:tcPr>
          <w:p w14:paraId="41FD731D">
            <w:pPr>
              <w:pStyle w:val="6"/>
              <w:spacing w:before="228" w:line="251" w:lineRule="exact"/>
              <w:ind w:left="527"/>
            </w:pPr>
            <w:r>
              <w:rPr>
                <w:position w:val="1"/>
              </w:rPr>
              <w:t>+</w:t>
            </w:r>
          </w:p>
        </w:tc>
      </w:tr>
      <w:tr w14:paraId="434AB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175FCBA6">
            <w:pPr>
              <w:rPr>
                <w:rFonts w:ascii="Arial"/>
                <w:sz w:val="21"/>
              </w:rPr>
            </w:pPr>
          </w:p>
        </w:tc>
        <w:tc>
          <w:tcPr>
            <w:tcW w:w="2823" w:type="dxa"/>
            <w:vAlign w:val="top"/>
          </w:tcPr>
          <w:p w14:paraId="631BCA21">
            <w:pPr>
              <w:pStyle w:val="6"/>
              <w:spacing w:before="75" w:line="228" w:lineRule="auto"/>
              <w:ind w:left="908" w:right="257" w:hanging="660"/>
            </w:pPr>
            <w:r>
              <w:rPr>
                <w:rFonts w:ascii="宋体" w:hAnsi="宋体" w:eastAsia="宋体" w:cs="宋体"/>
                <w:spacing w:val="-1"/>
              </w:rPr>
              <w:t>细小平列藻</w:t>
            </w:r>
            <w:r>
              <w:rPr>
                <w:rFonts w:ascii="宋体" w:hAnsi="宋体" w:eastAsia="宋体" w:cs="宋体"/>
                <w:spacing w:val="-46"/>
              </w:rPr>
              <w:t xml:space="preserve"> </w:t>
            </w:r>
            <w:r>
              <w:rPr>
                <w:spacing w:val="-1"/>
              </w:rPr>
              <w:t>Merismopedia</w:t>
            </w:r>
            <w:r>
              <w:t xml:space="preserve"> </w:t>
            </w:r>
            <w:r>
              <w:rPr>
                <w:spacing w:val="-1"/>
              </w:rPr>
              <w:t>atenuissima</w:t>
            </w:r>
          </w:p>
        </w:tc>
        <w:tc>
          <w:tcPr>
            <w:tcW w:w="678" w:type="dxa"/>
            <w:vAlign w:val="top"/>
          </w:tcPr>
          <w:p w14:paraId="52D36EF1">
            <w:pPr>
              <w:pStyle w:val="6"/>
              <w:spacing w:before="231" w:line="250" w:lineRule="exact"/>
              <w:ind w:left="275"/>
            </w:pPr>
            <w:r>
              <w:rPr>
                <w:position w:val="1"/>
              </w:rPr>
              <w:t>+</w:t>
            </w:r>
          </w:p>
        </w:tc>
        <w:tc>
          <w:tcPr>
            <w:tcW w:w="750" w:type="dxa"/>
            <w:vAlign w:val="top"/>
          </w:tcPr>
          <w:p w14:paraId="024E2297">
            <w:pPr>
              <w:pStyle w:val="6"/>
              <w:spacing w:before="231" w:line="250" w:lineRule="exact"/>
              <w:ind w:left="196"/>
            </w:pPr>
            <w:r>
              <w:rPr>
                <w:spacing w:val="-1"/>
                <w:position w:val="1"/>
              </w:rPr>
              <w:t>+++</w:t>
            </w:r>
          </w:p>
        </w:tc>
        <w:tc>
          <w:tcPr>
            <w:tcW w:w="677" w:type="dxa"/>
            <w:vAlign w:val="top"/>
          </w:tcPr>
          <w:p w14:paraId="1CA97774">
            <w:pPr>
              <w:pStyle w:val="6"/>
              <w:spacing w:before="231" w:line="250" w:lineRule="exact"/>
              <w:ind w:left="280"/>
            </w:pPr>
            <w:r>
              <w:rPr>
                <w:position w:val="1"/>
              </w:rPr>
              <w:t>+</w:t>
            </w:r>
          </w:p>
        </w:tc>
        <w:tc>
          <w:tcPr>
            <w:tcW w:w="749" w:type="dxa"/>
            <w:vAlign w:val="top"/>
          </w:tcPr>
          <w:p w14:paraId="7871454A">
            <w:pPr>
              <w:pStyle w:val="6"/>
              <w:spacing w:before="231" w:line="250" w:lineRule="exact"/>
              <w:ind w:left="318"/>
            </w:pPr>
            <w:r>
              <w:rPr>
                <w:position w:val="1"/>
              </w:rPr>
              <w:t>+</w:t>
            </w:r>
          </w:p>
        </w:tc>
        <w:tc>
          <w:tcPr>
            <w:tcW w:w="1148" w:type="dxa"/>
            <w:vAlign w:val="top"/>
          </w:tcPr>
          <w:p w14:paraId="5D962BAC">
            <w:pPr>
              <w:pStyle w:val="6"/>
              <w:spacing w:before="231" w:line="250" w:lineRule="exact"/>
              <w:ind w:left="463"/>
            </w:pPr>
            <w:r>
              <w:rPr>
                <w:spacing w:val="-1"/>
                <w:position w:val="1"/>
              </w:rPr>
              <w:t>++</w:t>
            </w:r>
          </w:p>
        </w:tc>
        <w:tc>
          <w:tcPr>
            <w:tcW w:w="1166" w:type="dxa"/>
            <w:tcBorders>
              <w:right w:val="single" w:color="000000" w:sz="12" w:space="0"/>
            </w:tcBorders>
            <w:vAlign w:val="top"/>
          </w:tcPr>
          <w:p w14:paraId="5FE713CE">
            <w:pPr>
              <w:pStyle w:val="6"/>
              <w:spacing w:before="231" w:line="250" w:lineRule="exact"/>
              <w:ind w:left="527"/>
            </w:pPr>
            <w:r>
              <w:rPr>
                <w:position w:val="1"/>
              </w:rPr>
              <w:t>+</w:t>
            </w:r>
          </w:p>
        </w:tc>
      </w:tr>
      <w:tr w14:paraId="27D59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5AAF8FC8">
            <w:pPr>
              <w:rPr>
                <w:rFonts w:ascii="Arial"/>
                <w:sz w:val="21"/>
              </w:rPr>
            </w:pPr>
          </w:p>
        </w:tc>
        <w:tc>
          <w:tcPr>
            <w:tcW w:w="2823" w:type="dxa"/>
            <w:vAlign w:val="top"/>
          </w:tcPr>
          <w:p w14:paraId="3D629456">
            <w:pPr>
              <w:pStyle w:val="6"/>
              <w:spacing w:before="77" w:line="213" w:lineRule="auto"/>
              <w:ind w:left="258"/>
            </w:pPr>
            <w:r>
              <w:rPr>
                <w:rFonts w:ascii="宋体" w:hAnsi="宋体" w:eastAsia="宋体" w:cs="宋体"/>
                <w:spacing w:val="-2"/>
              </w:rPr>
              <w:t>点状平列藻</w:t>
            </w:r>
            <w:r>
              <w:rPr>
                <w:rFonts w:ascii="宋体" w:hAnsi="宋体" w:eastAsia="宋体" w:cs="宋体"/>
                <w:spacing w:val="-38"/>
              </w:rPr>
              <w:t xml:space="preserve"> </w:t>
            </w:r>
            <w:r>
              <w:rPr>
                <w:spacing w:val="-2"/>
              </w:rPr>
              <w:t>Merismopedia</w:t>
            </w:r>
          </w:p>
          <w:p w14:paraId="16C50D3D">
            <w:pPr>
              <w:pStyle w:val="6"/>
              <w:spacing w:before="48" w:line="190" w:lineRule="auto"/>
              <w:ind w:left="1041"/>
            </w:pPr>
            <w:r>
              <w:t>punctata</w:t>
            </w:r>
          </w:p>
        </w:tc>
        <w:tc>
          <w:tcPr>
            <w:tcW w:w="678" w:type="dxa"/>
            <w:vAlign w:val="top"/>
          </w:tcPr>
          <w:p w14:paraId="5428827C">
            <w:pPr>
              <w:rPr>
                <w:rFonts w:ascii="Arial"/>
                <w:sz w:val="21"/>
              </w:rPr>
            </w:pPr>
          </w:p>
        </w:tc>
        <w:tc>
          <w:tcPr>
            <w:tcW w:w="750" w:type="dxa"/>
            <w:vAlign w:val="top"/>
          </w:tcPr>
          <w:p w14:paraId="07D8772C">
            <w:pPr>
              <w:pStyle w:val="6"/>
              <w:spacing w:before="231" w:line="251" w:lineRule="exact"/>
              <w:ind w:left="313"/>
            </w:pPr>
            <w:r>
              <w:rPr>
                <w:position w:val="1"/>
              </w:rPr>
              <w:t>+</w:t>
            </w:r>
          </w:p>
        </w:tc>
        <w:tc>
          <w:tcPr>
            <w:tcW w:w="677" w:type="dxa"/>
            <w:vAlign w:val="top"/>
          </w:tcPr>
          <w:p w14:paraId="5B70FABF">
            <w:pPr>
              <w:rPr>
                <w:rFonts w:ascii="Arial"/>
                <w:sz w:val="21"/>
              </w:rPr>
            </w:pPr>
          </w:p>
        </w:tc>
        <w:tc>
          <w:tcPr>
            <w:tcW w:w="749" w:type="dxa"/>
            <w:vAlign w:val="top"/>
          </w:tcPr>
          <w:p w14:paraId="475CCD5A">
            <w:pPr>
              <w:pStyle w:val="6"/>
              <w:spacing w:before="231" w:line="251" w:lineRule="exact"/>
              <w:ind w:left="259"/>
            </w:pPr>
            <w:r>
              <w:rPr>
                <w:spacing w:val="-1"/>
                <w:position w:val="1"/>
              </w:rPr>
              <w:t>++</w:t>
            </w:r>
          </w:p>
        </w:tc>
        <w:tc>
          <w:tcPr>
            <w:tcW w:w="1148" w:type="dxa"/>
            <w:vAlign w:val="top"/>
          </w:tcPr>
          <w:p w14:paraId="3DEC82C3">
            <w:pPr>
              <w:rPr>
                <w:rFonts w:ascii="Arial"/>
                <w:sz w:val="21"/>
              </w:rPr>
            </w:pPr>
          </w:p>
        </w:tc>
        <w:tc>
          <w:tcPr>
            <w:tcW w:w="1166" w:type="dxa"/>
            <w:tcBorders>
              <w:right w:val="single" w:color="000000" w:sz="12" w:space="0"/>
            </w:tcBorders>
            <w:vAlign w:val="top"/>
          </w:tcPr>
          <w:p w14:paraId="684526C4">
            <w:pPr>
              <w:pStyle w:val="6"/>
              <w:spacing w:before="231" w:line="251" w:lineRule="exact"/>
              <w:ind w:left="527"/>
            </w:pPr>
            <w:r>
              <w:rPr>
                <w:position w:val="1"/>
              </w:rPr>
              <w:t>+</w:t>
            </w:r>
          </w:p>
        </w:tc>
      </w:tr>
      <w:tr w14:paraId="573EC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restart"/>
            <w:tcBorders>
              <w:left w:val="single" w:color="000000" w:sz="12" w:space="0"/>
              <w:bottom w:val="nil"/>
            </w:tcBorders>
            <w:textDirection w:val="tbRlV"/>
            <w:vAlign w:val="top"/>
          </w:tcPr>
          <w:p w14:paraId="0C94FDA0">
            <w:pPr>
              <w:spacing w:before="137" w:line="208" w:lineRule="auto"/>
              <w:ind w:left="512"/>
              <w:rPr>
                <w:rFonts w:ascii="宋体" w:hAnsi="宋体" w:eastAsia="宋体" w:cs="宋体"/>
                <w:sz w:val="21"/>
                <w:szCs w:val="21"/>
              </w:rPr>
            </w:pPr>
            <w:r>
              <w:rPr>
                <w:rFonts w:ascii="宋体" w:hAnsi="宋体" w:eastAsia="宋体" w:cs="宋体"/>
                <w:spacing w:val="41"/>
                <w:sz w:val="21"/>
                <w:szCs w:val="21"/>
              </w:rPr>
              <w:t>微囊藻</w:t>
            </w:r>
          </w:p>
        </w:tc>
        <w:tc>
          <w:tcPr>
            <w:tcW w:w="2823" w:type="dxa"/>
            <w:vAlign w:val="top"/>
          </w:tcPr>
          <w:p w14:paraId="7465025E">
            <w:pPr>
              <w:pStyle w:val="6"/>
              <w:spacing w:before="78" w:line="226" w:lineRule="auto"/>
              <w:ind w:left="950" w:right="368" w:hanging="592"/>
            </w:pPr>
            <w:r>
              <w:rPr>
                <w:rFonts w:ascii="宋体" w:hAnsi="宋体" w:eastAsia="宋体" w:cs="宋体"/>
                <w:spacing w:val="-1"/>
              </w:rPr>
              <w:t>铜绿微糞藻</w:t>
            </w:r>
            <w:r>
              <w:rPr>
                <w:rFonts w:ascii="宋体" w:hAnsi="宋体" w:eastAsia="宋体" w:cs="宋体"/>
                <w:spacing w:val="-45"/>
              </w:rPr>
              <w:t xml:space="preserve"> </w:t>
            </w:r>
            <w:r>
              <w:rPr>
                <w:spacing w:val="-1"/>
              </w:rPr>
              <w:t>Microcystis</w:t>
            </w:r>
            <w:r>
              <w:t xml:space="preserve"> </w:t>
            </w:r>
            <w:r>
              <w:rPr>
                <w:spacing w:val="-1"/>
              </w:rPr>
              <w:t>aeruginosa</w:t>
            </w:r>
          </w:p>
        </w:tc>
        <w:tc>
          <w:tcPr>
            <w:tcW w:w="678" w:type="dxa"/>
            <w:vAlign w:val="top"/>
          </w:tcPr>
          <w:p w14:paraId="462971B9">
            <w:pPr>
              <w:pStyle w:val="6"/>
              <w:spacing w:before="232" w:line="251" w:lineRule="exact"/>
              <w:ind w:left="216"/>
            </w:pPr>
            <w:r>
              <w:rPr>
                <w:spacing w:val="-1"/>
                <w:position w:val="1"/>
              </w:rPr>
              <w:t>++</w:t>
            </w:r>
          </w:p>
        </w:tc>
        <w:tc>
          <w:tcPr>
            <w:tcW w:w="750" w:type="dxa"/>
            <w:vAlign w:val="top"/>
          </w:tcPr>
          <w:p w14:paraId="72A2CF57">
            <w:pPr>
              <w:pStyle w:val="6"/>
              <w:spacing w:before="232" w:line="251" w:lineRule="exact"/>
              <w:ind w:left="255"/>
            </w:pPr>
            <w:r>
              <w:rPr>
                <w:spacing w:val="-1"/>
                <w:position w:val="1"/>
              </w:rPr>
              <w:t>++</w:t>
            </w:r>
          </w:p>
        </w:tc>
        <w:tc>
          <w:tcPr>
            <w:tcW w:w="677" w:type="dxa"/>
            <w:vAlign w:val="top"/>
          </w:tcPr>
          <w:p w14:paraId="0009F3DC">
            <w:pPr>
              <w:pStyle w:val="6"/>
              <w:spacing w:before="232" w:line="251" w:lineRule="exact"/>
              <w:ind w:left="280"/>
            </w:pPr>
            <w:r>
              <w:rPr>
                <w:position w:val="1"/>
              </w:rPr>
              <w:t>+</w:t>
            </w:r>
          </w:p>
        </w:tc>
        <w:tc>
          <w:tcPr>
            <w:tcW w:w="749" w:type="dxa"/>
            <w:vAlign w:val="top"/>
          </w:tcPr>
          <w:p w14:paraId="017120B3">
            <w:pPr>
              <w:pStyle w:val="6"/>
              <w:spacing w:before="232" w:line="251" w:lineRule="exact"/>
              <w:ind w:left="259"/>
            </w:pPr>
            <w:r>
              <w:rPr>
                <w:spacing w:val="-1"/>
                <w:position w:val="1"/>
              </w:rPr>
              <w:t>++</w:t>
            </w:r>
          </w:p>
        </w:tc>
        <w:tc>
          <w:tcPr>
            <w:tcW w:w="1148" w:type="dxa"/>
            <w:vAlign w:val="top"/>
          </w:tcPr>
          <w:p w14:paraId="3DC1AF65">
            <w:pPr>
              <w:pStyle w:val="6"/>
              <w:spacing w:before="232" w:line="251" w:lineRule="exact"/>
              <w:ind w:left="463"/>
            </w:pPr>
            <w:r>
              <w:rPr>
                <w:spacing w:val="-1"/>
                <w:position w:val="1"/>
              </w:rPr>
              <w:t>++</w:t>
            </w:r>
          </w:p>
        </w:tc>
        <w:tc>
          <w:tcPr>
            <w:tcW w:w="1166" w:type="dxa"/>
            <w:tcBorders>
              <w:right w:val="single" w:color="000000" w:sz="12" w:space="0"/>
            </w:tcBorders>
            <w:vAlign w:val="top"/>
          </w:tcPr>
          <w:p w14:paraId="47284E2D">
            <w:pPr>
              <w:pStyle w:val="6"/>
              <w:spacing w:before="232" w:line="251" w:lineRule="exact"/>
              <w:ind w:left="527"/>
            </w:pPr>
            <w:r>
              <w:rPr>
                <w:position w:val="1"/>
              </w:rPr>
              <w:t>+</w:t>
            </w:r>
          </w:p>
        </w:tc>
      </w:tr>
      <w:tr w14:paraId="288A4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continue"/>
            <w:tcBorders>
              <w:top w:val="nil"/>
              <w:left w:val="single" w:color="000000" w:sz="12" w:space="0"/>
              <w:bottom w:val="nil"/>
            </w:tcBorders>
            <w:textDirection w:val="tbRlV"/>
            <w:vAlign w:val="top"/>
          </w:tcPr>
          <w:p w14:paraId="51E9AFBE">
            <w:pPr>
              <w:rPr>
                <w:rFonts w:ascii="Arial"/>
                <w:sz w:val="21"/>
              </w:rPr>
            </w:pPr>
          </w:p>
        </w:tc>
        <w:tc>
          <w:tcPr>
            <w:tcW w:w="2823" w:type="dxa"/>
            <w:vAlign w:val="top"/>
          </w:tcPr>
          <w:p w14:paraId="79EE5F1A">
            <w:pPr>
              <w:pStyle w:val="6"/>
              <w:spacing w:before="81" w:line="225" w:lineRule="auto"/>
              <w:ind w:left="1003" w:right="368" w:hanging="643"/>
            </w:pPr>
            <w:r>
              <w:rPr>
                <w:rFonts w:ascii="宋体" w:hAnsi="宋体" w:eastAsia="宋体" w:cs="宋体"/>
                <w:spacing w:val="-1"/>
              </w:rPr>
              <w:t>水花微囊藻</w:t>
            </w:r>
            <w:r>
              <w:rPr>
                <w:rFonts w:ascii="宋体" w:hAnsi="宋体" w:eastAsia="宋体" w:cs="宋体"/>
                <w:spacing w:val="-48"/>
              </w:rPr>
              <w:t xml:space="preserve"> </w:t>
            </w:r>
            <w:r>
              <w:rPr>
                <w:spacing w:val="-1"/>
              </w:rPr>
              <w:t>Microcystis</w:t>
            </w:r>
            <w:r>
              <w:t xml:space="preserve"> </w:t>
            </w:r>
            <w:r>
              <w:rPr>
                <w:spacing w:val="-1"/>
              </w:rPr>
              <w:t>flosaquae</w:t>
            </w:r>
          </w:p>
        </w:tc>
        <w:tc>
          <w:tcPr>
            <w:tcW w:w="678" w:type="dxa"/>
            <w:vAlign w:val="top"/>
          </w:tcPr>
          <w:p w14:paraId="0BE78C41">
            <w:pPr>
              <w:pStyle w:val="6"/>
              <w:spacing w:before="235" w:line="251" w:lineRule="exact"/>
              <w:ind w:left="216"/>
            </w:pPr>
            <w:r>
              <w:rPr>
                <w:spacing w:val="-1"/>
                <w:position w:val="1"/>
              </w:rPr>
              <w:t>++</w:t>
            </w:r>
          </w:p>
        </w:tc>
        <w:tc>
          <w:tcPr>
            <w:tcW w:w="750" w:type="dxa"/>
            <w:vAlign w:val="top"/>
          </w:tcPr>
          <w:p w14:paraId="260CF5A0">
            <w:pPr>
              <w:pStyle w:val="6"/>
              <w:spacing w:before="235" w:line="251" w:lineRule="exact"/>
              <w:ind w:left="255"/>
            </w:pPr>
            <w:r>
              <w:rPr>
                <w:spacing w:val="-1"/>
                <w:position w:val="1"/>
              </w:rPr>
              <w:t>++</w:t>
            </w:r>
          </w:p>
        </w:tc>
        <w:tc>
          <w:tcPr>
            <w:tcW w:w="677" w:type="dxa"/>
            <w:vAlign w:val="top"/>
          </w:tcPr>
          <w:p w14:paraId="6C685370">
            <w:pPr>
              <w:pStyle w:val="6"/>
              <w:spacing w:before="235" w:line="251" w:lineRule="exact"/>
              <w:ind w:left="280"/>
            </w:pPr>
            <w:r>
              <w:rPr>
                <w:position w:val="1"/>
              </w:rPr>
              <w:t>+</w:t>
            </w:r>
          </w:p>
        </w:tc>
        <w:tc>
          <w:tcPr>
            <w:tcW w:w="749" w:type="dxa"/>
            <w:vAlign w:val="top"/>
          </w:tcPr>
          <w:p w14:paraId="09A8C1FF">
            <w:pPr>
              <w:pStyle w:val="6"/>
              <w:spacing w:before="235" w:line="251" w:lineRule="exact"/>
              <w:ind w:left="259"/>
            </w:pPr>
            <w:r>
              <w:rPr>
                <w:spacing w:val="-1"/>
                <w:position w:val="1"/>
              </w:rPr>
              <w:t>++</w:t>
            </w:r>
          </w:p>
        </w:tc>
        <w:tc>
          <w:tcPr>
            <w:tcW w:w="1148" w:type="dxa"/>
            <w:vAlign w:val="top"/>
          </w:tcPr>
          <w:p w14:paraId="2F5C353D">
            <w:pPr>
              <w:rPr>
                <w:rFonts w:ascii="Arial"/>
                <w:sz w:val="21"/>
              </w:rPr>
            </w:pPr>
          </w:p>
        </w:tc>
        <w:tc>
          <w:tcPr>
            <w:tcW w:w="1166" w:type="dxa"/>
            <w:tcBorders>
              <w:right w:val="single" w:color="000000" w:sz="12" w:space="0"/>
            </w:tcBorders>
            <w:vAlign w:val="top"/>
          </w:tcPr>
          <w:p w14:paraId="0513C0A9">
            <w:pPr>
              <w:pStyle w:val="6"/>
              <w:spacing w:before="235" w:line="251" w:lineRule="exact"/>
              <w:ind w:left="527"/>
            </w:pPr>
            <w:r>
              <w:rPr>
                <w:position w:val="1"/>
              </w:rPr>
              <w:t>+</w:t>
            </w:r>
          </w:p>
        </w:tc>
      </w:tr>
      <w:tr w14:paraId="7BDF3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4AB23B7F">
            <w:pPr>
              <w:rPr>
                <w:rFonts w:ascii="Arial"/>
                <w:sz w:val="21"/>
              </w:rPr>
            </w:pPr>
          </w:p>
        </w:tc>
        <w:tc>
          <w:tcPr>
            <w:tcW w:w="2823" w:type="dxa"/>
            <w:vAlign w:val="top"/>
          </w:tcPr>
          <w:p w14:paraId="403166E9">
            <w:pPr>
              <w:pStyle w:val="6"/>
              <w:spacing w:before="82" w:line="212" w:lineRule="auto"/>
              <w:ind w:left="142"/>
            </w:pPr>
            <w:r>
              <w:rPr>
                <w:rFonts w:ascii="宋体" w:hAnsi="宋体" w:eastAsia="宋体" w:cs="宋体"/>
                <w:spacing w:val="-1"/>
              </w:rPr>
              <w:t>水华微囊藻</w:t>
            </w:r>
            <w:r>
              <w:rPr>
                <w:rFonts w:ascii="宋体" w:hAnsi="宋体" w:eastAsia="宋体" w:cs="宋体"/>
                <w:spacing w:val="-41"/>
              </w:rPr>
              <w:t xml:space="preserve"> </w:t>
            </w:r>
            <w:r>
              <w:rPr>
                <w:spacing w:val="-1"/>
              </w:rPr>
              <w:t>Microcystis flos-</w:t>
            </w:r>
          </w:p>
          <w:p w14:paraId="2F07886F">
            <w:pPr>
              <w:pStyle w:val="6"/>
              <w:spacing w:before="49" w:line="189" w:lineRule="auto"/>
              <w:ind w:left="1160"/>
            </w:pPr>
            <w:r>
              <w:rPr>
                <w:spacing w:val="-2"/>
              </w:rPr>
              <w:t>aquae</w:t>
            </w:r>
          </w:p>
        </w:tc>
        <w:tc>
          <w:tcPr>
            <w:tcW w:w="678" w:type="dxa"/>
            <w:vAlign w:val="top"/>
          </w:tcPr>
          <w:p w14:paraId="15462850">
            <w:pPr>
              <w:rPr>
                <w:rFonts w:ascii="Arial"/>
                <w:sz w:val="21"/>
              </w:rPr>
            </w:pPr>
          </w:p>
        </w:tc>
        <w:tc>
          <w:tcPr>
            <w:tcW w:w="750" w:type="dxa"/>
            <w:vAlign w:val="top"/>
          </w:tcPr>
          <w:p w14:paraId="5047D793">
            <w:pPr>
              <w:pStyle w:val="6"/>
              <w:spacing w:before="235" w:line="251" w:lineRule="exact"/>
              <w:ind w:left="255"/>
            </w:pPr>
            <w:r>
              <w:rPr>
                <w:spacing w:val="-1"/>
                <w:position w:val="1"/>
              </w:rPr>
              <w:t>++</w:t>
            </w:r>
          </w:p>
        </w:tc>
        <w:tc>
          <w:tcPr>
            <w:tcW w:w="677" w:type="dxa"/>
            <w:vAlign w:val="top"/>
          </w:tcPr>
          <w:p w14:paraId="61B2A79A">
            <w:pPr>
              <w:pStyle w:val="6"/>
              <w:spacing w:before="235" w:line="251" w:lineRule="exact"/>
              <w:ind w:left="280"/>
            </w:pPr>
            <w:r>
              <w:rPr>
                <w:position w:val="1"/>
              </w:rPr>
              <w:t>+</w:t>
            </w:r>
          </w:p>
        </w:tc>
        <w:tc>
          <w:tcPr>
            <w:tcW w:w="749" w:type="dxa"/>
            <w:vAlign w:val="top"/>
          </w:tcPr>
          <w:p w14:paraId="3DE2676C">
            <w:pPr>
              <w:pStyle w:val="6"/>
              <w:spacing w:before="235" w:line="251" w:lineRule="exact"/>
              <w:ind w:left="259"/>
            </w:pPr>
            <w:r>
              <w:rPr>
                <w:spacing w:val="-1"/>
                <w:position w:val="1"/>
              </w:rPr>
              <w:t>++</w:t>
            </w:r>
          </w:p>
        </w:tc>
        <w:tc>
          <w:tcPr>
            <w:tcW w:w="1148" w:type="dxa"/>
            <w:vAlign w:val="top"/>
          </w:tcPr>
          <w:p w14:paraId="79D6BB77">
            <w:pPr>
              <w:pStyle w:val="6"/>
              <w:spacing w:before="235" w:line="251" w:lineRule="exact"/>
              <w:ind w:left="522"/>
            </w:pPr>
            <w:r>
              <w:rPr>
                <w:position w:val="1"/>
              </w:rPr>
              <w:t>+</w:t>
            </w:r>
          </w:p>
        </w:tc>
        <w:tc>
          <w:tcPr>
            <w:tcW w:w="1166" w:type="dxa"/>
            <w:tcBorders>
              <w:right w:val="single" w:color="000000" w:sz="12" w:space="0"/>
            </w:tcBorders>
            <w:vAlign w:val="top"/>
          </w:tcPr>
          <w:p w14:paraId="7ECA2847">
            <w:pPr>
              <w:pStyle w:val="6"/>
              <w:spacing w:before="235" w:line="251" w:lineRule="exact"/>
              <w:ind w:left="527"/>
            </w:pPr>
            <w:r>
              <w:rPr>
                <w:position w:val="1"/>
              </w:rPr>
              <w:t>+</w:t>
            </w:r>
          </w:p>
        </w:tc>
      </w:tr>
      <w:tr w14:paraId="466FD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482" w:type="dxa"/>
            <w:vMerge w:val="restart"/>
            <w:tcBorders>
              <w:left w:val="single" w:color="000000" w:sz="12" w:space="0"/>
              <w:bottom w:val="nil"/>
            </w:tcBorders>
            <w:textDirection w:val="tbRlV"/>
            <w:vAlign w:val="top"/>
          </w:tcPr>
          <w:p w14:paraId="65D4E018">
            <w:pPr>
              <w:spacing w:before="137" w:line="209" w:lineRule="auto"/>
              <w:ind w:left="224"/>
              <w:rPr>
                <w:rFonts w:ascii="宋体" w:hAnsi="宋体" w:eastAsia="宋体" w:cs="宋体"/>
                <w:sz w:val="21"/>
                <w:szCs w:val="21"/>
              </w:rPr>
            </w:pPr>
            <w:r>
              <w:rPr>
                <w:rFonts w:ascii="宋体" w:hAnsi="宋体" w:eastAsia="宋体" w:cs="宋体"/>
                <w:spacing w:val="41"/>
                <w:sz w:val="21"/>
                <w:szCs w:val="21"/>
              </w:rPr>
              <w:t>色球藻</w:t>
            </w:r>
          </w:p>
        </w:tc>
        <w:tc>
          <w:tcPr>
            <w:tcW w:w="2823" w:type="dxa"/>
            <w:vAlign w:val="top"/>
          </w:tcPr>
          <w:p w14:paraId="6497D19F">
            <w:pPr>
              <w:pStyle w:val="6"/>
              <w:spacing w:before="83" w:line="220" w:lineRule="auto"/>
              <w:ind w:left="306"/>
            </w:pPr>
            <w:r>
              <w:rPr>
                <w:rFonts w:ascii="宋体" w:hAnsi="宋体" w:eastAsia="宋体" w:cs="宋体"/>
                <w:spacing w:val="-1"/>
              </w:rPr>
              <w:t>微小色球藻</w:t>
            </w:r>
            <w:r>
              <w:rPr>
                <w:rFonts w:ascii="宋体" w:hAnsi="宋体" w:eastAsia="宋体" w:cs="宋体"/>
                <w:spacing w:val="-45"/>
              </w:rPr>
              <w:t xml:space="preserve"> </w:t>
            </w:r>
            <w:r>
              <w:rPr>
                <w:spacing w:val="-1"/>
              </w:rPr>
              <w:t>Chroococcus</w:t>
            </w:r>
          </w:p>
          <w:p w14:paraId="11A500E6">
            <w:pPr>
              <w:pStyle w:val="6"/>
              <w:spacing w:before="40" w:line="190" w:lineRule="auto"/>
              <w:ind w:left="1060"/>
            </w:pPr>
            <w:r>
              <w:rPr>
                <w:spacing w:val="-1"/>
              </w:rPr>
              <w:t>minutus</w:t>
            </w:r>
          </w:p>
        </w:tc>
        <w:tc>
          <w:tcPr>
            <w:tcW w:w="678" w:type="dxa"/>
            <w:vAlign w:val="top"/>
          </w:tcPr>
          <w:p w14:paraId="392E8A90">
            <w:pPr>
              <w:pStyle w:val="6"/>
              <w:spacing w:before="237" w:line="251" w:lineRule="exact"/>
              <w:ind w:left="275"/>
            </w:pPr>
            <w:r>
              <w:rPr>
                <w:position w:val="1"/>
              </w:rPr>
              <w:t>+</w:t>
            </w:r>
          </w:p>
        </w:tc>
        <w:tc>
          <w:tcPr>
            <w:tcW w:w="750" w:type="dxa"/>
            <w:vAlign w:val="top"/>
          </w:tcPr>
          <w:p w14:paraId="12C7B2FD">
            <w:pPr>
              <w:rPr>
                <w:rFonts w:ascii="Arial"/>
                <w:sz w:val="21"/>
              </w:rPr>
            </w:pPr>
          </w:p>
        </w:tc>
        <w:tc>
          <w:tcPr>
            <w:tcW w:w="677" w:type="dxa"/>
            <w:vAlign w:val="top"/>
          </w:tcPr>
          <w:p w14:paraId="42A42311">
            <w:pPr>
              <w:pStyle w:val="6"/>
              <w:spacing w:before="237" w:line="251" w:lineRule="exact"/>
              <w:ind w:left="221"/>
            </w:pPr>
            <w:r>
              <w:rPr>
                <w:spacing w:val="-1"/>
                <w:position w:val="1"/>
              </w:rPr>
              <w:t>++</w:t>
            </w:r>
          </w:p>
        </w:tc>
        <w:tc>
          <w:tcPr>
            <w:tcW w:w="749" w:type="dxa"/>
            <w:vAlign w:val="top"/>
          </w:tcPr>
          <w:p w14:paraId="0A40F37E">
            <w:pPr>
              <w:pStyle w:val="6"/>
              <w:spacing w:before="237" w:line="251" w:lineRule="exact"/>
              <w:ind w:left="318"/>
            </w:pPr>
            <w:r>
              <w:rPr>
                <w:position w:val="1"/>
              </w:rPr>
              <w:t>+</w:t>
            </w:r>
          </w:p>
        </w:tc>
        <w:tc>
          <w:tcPr>
            <w:tcW w:w="1148" w:type="dxa"/>
            <w:vAlign w:val="top"/>
          </w:tcPr>
          <w:p w14:paraId="5B9B971D">
            <w:pPr>
              <w:pStyle w:val="6"/>
              <w:spacing w:before="237" w:line="251" w:lineRule="exact"/>
              <w:ind w:left="463"/>
            </w:pPr>
            <w:r>
              <w:rPr>
                <w:spacing w:val="-1"/>
                <w:position w:val="1"/>
              </w:rPr>
              <w:t>++</w:t>
            </w:r>
          </w:p>
        </w:tc>
        <w:tc>
          <w:tcPr>
            <w:tcW w:w="1166" w:type="dxa"/>
            <w:tcBorders>
              <w:right w:val="single" w:color="000000" w:sz="12" w:space="0"/>
            </w:tcBorders>
            <w:vAlign w:val="top"/>
          </w:tcPr>
          <w:p w14:paraId="797A2C43">
            <w:pPr>
              <w:pStyle w:val="6"/>
              <w:spacing w:before="237" w:line="251" w:lineRule="exact"/>
              <w:ind w:left="527"/>
            </w:pPr>
            <w:r>
              <w:rPr>
                <w:position w:val="1"/>
              </w:rPr>
              <w:t>+</w:t>
            </w:r>
          </w:p>
        </w:tc>
      </w:tr>
      <w:tr w14:paraId="5F4D0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1022E959">
            <w:pPr>
              <w:rPr>
                <w:rFonts w:ascii="Arial"/>
                <w:sz w:val="21"/>
              </w:rPr>
            </w:pPr>
          </w:p>
        </w:tc>
        <w:tc>
          <w:tcPr>
            <w:tcW w:w="2823" w:type="dxa"/>
            <w:vAlign w:val="top"/>
          </w:tcPr>
          <w:p w14:paraId="52276EDC">
            <w:pPr>
              <w:pStyle w:val="6"/>
              <w:spacing w:before="82" w:line="224" w:lineRule="auto"/>
              <w:ind w:left="966" w:right="315" w:hanging="661"/>
            </w:pPr>
            <w:r>
              <w:rPr>
                <w:rFonts w:ascii="宋体" w:hAnsi="宋体" w:eastAsia="宋体" w:cs="宋体"/>
                <w:spacing w:val="-1"/>
              </w:rPr>
              <w:t>湖沼色球藻</w:t>
            </w:r>
            <w:r>
              <w:rPr>
                <w:rFonts w:ascii="宋体" w:hAnsi="宋体" w:eastAsia="宋体" w:cs="宋体"/>
                <w:spacing w:val="-45"/>
              </w:rPr>
              <w:t xml:space="preserve"> </w:t>
            </w:r>
            <w:r>
              <w:rPr>
                <w:spacing w:val="-1"/>
              </w:rPr>
              <w:t>Chroococcus</w:t>
            </w:r>
            <w:r>
              <w:t xml:space="preserve"> </w:t>
            </w:r>
            <w:r>
              <w:rPr>
                <w:spacing w:val="-1"/>
              </w:rPr>
              <w:t>limneticus</w:t>
            </w:r>
          </w:p>
        </w:tc>
        <w:tc>
          <w:tcPr>
            <w:tcW w:w="678" w:type="dxa"/>
            <w:vAlign w:val="top"/>
          </w:tcPr>
          <w:p w14:paraId="586D9621">
            <w:pPr>
              <w:rPr>
                <w:rFonts w:ascii="Arial"/>
                <w:sz w:val="21"/>
              </w:rPr>
            </w:pPr>
          </w:p>
        </w:tc>
        <w:tc>
          <w:tcPr>
            <w:tcW w:w="750" w:type="dxa"/>
            <w:vAlign w:val="top"/>
          </w:tcPr>
          <w:p w14:paraId="34F3A54E">
            <w:pPr>
              <w:pStyle w:val="6"/>
              <w:spacing w:before="238" w:line="251" w:lineRule="exact"/>
              <w:ind w:left="313"/>
            </w:pPr>
            <w:r>
              <w:rPr>
                <w:position w:val="1"/>
              </w:rPr>
              <w:t>+</w:t>
            </w:r>
          </w:p>
        </w:tc>
        <w:tc>
          <w:tcPr>
            <w:tcW w:w="677" w:type="dxa"/>
            <w:vAlign w:val="top"/>
          </w:tcPr>
          <w:p w14:paraId="473BC2EF">
            <w:pPr>
              <w:rPr>
                <w:rFonts w:ascii="Arial"/>
                <w:sz w:val="21"/>
              </w:rPr>
            </w:pPr>
          </w:p>
        </w:tc>
        <w:tc>
          <w:tcPr>
            <w:tcW w:w="749" w:type="dxa"/>
            <w:vAlign w:val="top"/>
          </w:tcPr>
          <w:p w14:paraId="7E66D957">
            <w:pPr>
              <w:pStyle w:val="6"/>
              <w:spacing w:before="238" w:line="251" w:lineRule="exact"/>
              <w:ind w:left="318"/>
            </w:pPr>
            <w:r>
              <w:rPr>
                <w:position w:val="1"/>
              </w:rPr>
              <w:t>+</w:t>
            </w:r>
          </w:p>
        </w:tc>
        <w:tc>
          <w:tcPr>
            <w:tcW w:w="1148" w:type="dxa"/>
            <w:vAlign w:val="top"/>
          </w:tcPr>
          <w:p w14:paraId="5C4E4E9D">
            <w:pPr>
              <w:pStyle w:val="6"/>
              <w:spacing w:before="238" w:line="251" w:lineRule="exact"/>
              <w:ind w:left="522"/>
            </w:pPr>
            <w:r>
              <w:rPr>
                <w:position w:val="1"/>
              </w:rPr>
              <w:t>+</w:t>
            </w:r>
          </w:p>
        </w:tc>
        <w:tc>
          <w:tcPr>
            <w:tcW w:w="1166" w:type="dxa"/>
            <w:tcBorders>
              <w:right w:val="single" w:color="000000" w:sz="12" w:space="0"/>
            </w:tcBorders>
            <w:vAlign w:val="top"/>
          </w:tcPr>
          <w:p w14:paraId="284606C1">
            <w:pPr>
              <w:rPr>
                <w:rFonts w:ascii="Arial"/>
                <w:sz w:val="21"/>
              </w:rPr>
            </w:pPr>
          </w:p>
        </w:tc>
      </w:tr>
      <w:tr w14:paraId="179C1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482" w:type="dxa"/>
            <w:tcBorders>
              <w:left w:val="single" w:color="000000" w:sz="12" w:space="0"/>
              <w:bottom w:val="single" w:color="000000" w:sz="12" w:space="0"/>
            </w:tcBorders>
            <w:textDirection w:val="tbRlV"/>
            <w:vAlign w:val="top"/>
          </w:tcPr>
          <w:p w14:paraId="7AD96F0E">
            <w:pPr>
              <w:spacing w:before="137" w:line="208" w:lineRule="auto"/>
              <w:ind w:left="86"/>
              <w:rPr>
                <w:rFonts w:ascii="宋体" w:hAnsi="宋体" w:eastAsia="宋体" w:cs="宋体"/>
                <w:sz w:val="21"/>
                <w:szCs w:val="21"/>
              </w:rPr>
            </w:pPr>
            <w:r>
              <w:rPr>
                <w:rFonts w:ascii="宋体" w:hAnsi="宋体" w:eastAsia="宋体" w:cs="宋体"/>
                <w:spacing w:val="31"/>
                <w:sz w:val="21"/>
                <w:szCs w:val="21"/>
              </w:rPr>
              <w:t>腔球</w:t>
            </w:r>
          </w:p>
        </w:tc>
        <w:tc>
          <w:tcPr>
            <w:tcW w:w="2823" w:type="dxa"/>
            <w:tcBorders>
              <w:bottom w:val="single" w:color="000000" w:sz="12" w:space="0"/>
            </w:tcBorders>
            <w:vAlign w:val="top"/>
          </w:tcPr>
          <w:p w14:paraId="6D4EE724">
            <w:pPr>
              <w:pStyle w:val="6"/>
              <w:spacing w:before="101" w:line="213" w:lineRule="auto"/>
              <w:ind w:left="170"/>
            </w:pPr>
            <w:r>
              <w:rPr>
                <w:rFonts w:ascii="宋体" w:hAnsi="宋体" w:eastAsia="宋体" w:cs="宋体"/>
                <w:spacing w:val="-2"/>
              </w:rPr>
              <w:t>不定腔球藻</w:t>
            </w:r>
            <w:r>
              <w:rPr>
                <w:rFonts w:ascii="宋体" w:hAnsi="宋体" w:eastAsia="宋体" w:cs="宋体"/>
                <w:spacing w:val="-27"/>
              </w:rPr>
              <w:t xml:space="preserve"> </w:t>
            </w:r>
            <w:r>
              <w:rPr>
                <w:spacing w:val="-2"/>
              </w:rPr>
              <w:t>Coelosphaerium</w:t>
            </w:r>
          </w:p>
          <w:p w14:paraId="391AA117">
            <w:pPr>
              <w:pStyle w:val="6"/>
              <w:spacing w:before="48" w:line="224" w:lineRule="auto"/>
              <w:ind w:left="1084"/>
            </w:pPr>
            <w:r>
              <w:rPr>
                <w:spacing w:val="-2"/>
              </w:rPr>
              <w:t>dubium</w:t>
            </w:r>
          </w:p>
        </w:tc>
        <w:tc>
          <w:tcPr>
            <w:tcW w:w="678" w:type="dxa"/>
            <w:tcBorders>
              <w:bottom w:val="single" w:color="000000" w:sz="12" w:space="0"/>
            </w:tcBorders>
            <w:vAlign w:val="top"/>
          </w:tcPr>
          <w:p w14:paraId="1C32E06D">
            <w:pPr>
              <w:pStyle w:val="6"/>
              <w:spacing w:before="255" w:line="251" w:lineRule="exact"/>
              <w:ind w:left="275"/>
            </w:pPr>
            <w:r>
              <w:rPr>
                <w:position w:val="1"/>
              </w:rPr>
              <w:t>+</w:t>
            </w:r>
          </w:p>
        </w:tc>
        <w:tc>
          <w:tcPr>
            <w:tcW w:w="750" w:type="dxa"/>
            <w:tcBorders>
              <w:bottom w:val="single" w:color="000000" w:sz="12" w:space="0"/>
            </w:tcBorders>
            <w:vAlign w:val="top"/>
          </w:tcPr>
          <w:p w14:paraId="0E9E80C7">
            <w:pPr>
              <w:pStyle w:val="6"/>
              <w:spacing w:before="255" w:line="251" w:lineRule="exact"/>
              <w:ind w:left="313"/>
            </w:pPr>
            <w:r>
              <w:rPr>
                <w:position w:val="1"/>
              </w:rPr>
              <w:t>+</w:t>
            </w:r>
          </w:p>
        </w:tc>
        <w:tc>
          <w:tcPr>
            <w:tcW w:w="677" w:type="dxa"/>
            <w:tcBorders>
              <w:bottom w:val="single" w:color="000000" w:sz="12" w:space="0"/>
            </w:tcBorders>
            <w:vAlign w:val="top"/>
          </w:tcPr>
          <w:p w14:paraId="313B9E25">
            <w:pPr>
              <w:rPr>
                <w:rFonts w:ascii="Arial"/>
                <w:sz w:val="21"/>
              </w:rPr>
            </w:pPr>
          </w:p>
        </w:tc>
        <w:tc>
          <w:tcPr>
            <w:tcW w:w="749" w:type="dxa"/>
            <w:tcBorders>
              <w:bottom w:val="single" w:color="000000" w:sz="12" w:space="0"/>
            </w:tcBorders>
            <w:vAlign w:val="top"/>
          </w:tcPr>
          <w:p w14:paraId="306A0355">
            <w:pPr>
              <w:pStyle w:val="6"/>
              <w:spacing w:before="255" w:line="251" w:lineRule="exact"/>
              <w:ind w:left="318"/>
            </w:pPr>
            <w:r>
              <w:rPr>
                <w:position w:val="1"/>
              </w:rPr>
              <w:t>+</w:t>
            </w:r>
          </w:p>
        </w:tc>
        <w:tc>
          <w:tcPr>
            <w:tcW w:w="1148" w:type="dxa"/>
            <w:tcBorders>
              <w:bottom w:val="single" w:color="000000" w:sz="12" w:space="0"/>
            </w:tcBorders>
            <w:vAlign w:val="top"/>
          </w:tcPr>
          <w:p w14:paraId="51976DDE">
            <w:pPr>
              <w:pStyle w:val="6"/>
              <w:spacing w:before="255" w:line="251" w:lineRule="exact"/>
              <w:ind w:left="522"/>
            </w:pPr>
            <w:r>
              <w:rPr>
                <w:position w:val="1"/>
              </w:rPr>
              <w:t>+</w:t>
            </w:r>
          </w:p>
        </w:tc>
        <w:tc>
          <w:tcPr>
            <w:tcW w:w="1166" w:type="dxa"/>
            <w:tcBorders>
              <w:bottom w:val="single" w:color="000000" w:sz="12" w:space="0"/>
              <w:right w:val="single" w:color="000000" w:sz="12" w:space="0"/>
            </w:tcBorders>
            <w:vAlign w:val="top"/>
          </w:tcPr>
          <w:p w14:paraId="3602E0D0">
            <w:pPr>
              <w:rPr>
                <w:rFonts w:ascii="Arial"/>
                <w:sz w:val="21"/>
              </w:rPr>
            </w:pPr>
          </w:p>
        </w:tc>
      </w:tr>
    </w:tbl>
    <w:p w14:paraId="77182DEE">
      <w:pPr>
        <w:rPr>
          <w:rFonts w:ascii="Arial"/>
          <w:sz w:val="21"/>
        </w:rPr>
      </w:pPr>
    </w:p>
    <w:p w14:paraId="7DFE509F">
      <w:pPr>
        <w:rPr>
          <w:rFonts w:ascii="Arial" w:hAnsi="Arial" w:eastAsia="Arial" w:cs="Arial"/>
          <w:sz w:val="21"/>
          <w:szCs w:val="21"/>
        </w:rPr>
        <w:sectPr>
          <w:footerReference r:id="rId201" w:type="default"/>
          <w:pgSz w:w="11907" w:h="16839"/>
          <w:pgMar w:top="1376" w:right="1669" w:bottom="1061" w:left="1671" w:header="999" w:footer="861" w:gutter="0"/>
          <w:cols w:space="720" w:num="1"/>
        </w:sectPr>
      </w:pPr>
    </w:p>
    <w:p w14:paraId="544DDC68">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
        <w:gridCol w:w="2823"/>
        <w:gridCol w:w="678"/>
        <w:gridCol w:w="750"/>
        <w:gridCol w:w="677"/>
        <w:gridCol w:w="749"/>
        <w:gridCol w:w="1148"/>
        <w:gridCol w:w="1166"/>
      </w:tblGrid>
      <w:tr w14:paraId="70EC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05" w:type="dxa"/>
            <w:gridSpan w:val="2"/>
            <w:vMerge w:val="restart"/>
            <w:tcBorders>
              <w:top w:val="single" w:color="000000" w:sz="12" w:space="0"/>
              <w:left w:val="single" w:color="000000" w:sz="12" w:space="0"/>
              <w:bottom w:val="nil"/>
            </w:tcBorders>
            <w:vAlign w:val="top"/>
          </w:tcPr>
          <w:p w14:paraId="0F5266D0">
            <w:pPr>
              <w:spacing w:line="430" w:lineRule="auto"/>
              <w:rPr>
                <w:rFonts w:ascii="Arial"/>
                <w:sz w:val="21"/>
              </w:rPr>
            </w:pPr>
          </w:p>
          <w:p w14:paraId="7E5EE88B">
            <w:pPr>
              <w:spacing w:before="69" w:line="220" w:lineRule="auto"/>
              <w:ind w:left="1433"/>
              <w:rPr>
                <w:rFonts w:ascii="宋体" w:hAnsi="宋体" w:eastAsia="宋体" w:cs="宋体"/>
                <w:sz w:val="21"/>
                <w:szCs w:val="21"/>
              </w:rPr>
            </w:pPr>
            <w:r>
              <w:rPr>
                <w:rFonts w:ascii="宋体" w:hAnsi="宋体" w:eastAsia="宋体" w:cs="宋体"/>
                <w:spacing w:val="-3"/>
                <w:sz w:val="21"/>
                <w:szCs w:val="21"/>
              </w:rPr>
              <w:t>种类</w:t>
            </w:r>
          </w:p>
        </w:tc>
        <w:tc>
          <w:tcPr>
            <w:tcW w:w="5168" w:type="dxa"/>
            <w:gridSpan w:val="6"/>
            <w:tcBorders>
              <w:top w:val="single" w:color="000000" w:sz="12" w:space="0"/>
              <w:right w:val="single" w:color="000000" w:sz="12" w:space="0"/>
            </w:tcBorders>
            <w:vAlign w:val="top"/>
          </w:tcPr>
          <w:p w14:paraId="766FDC79">
            <w:pPr>
              <w:spacing w:before="57" w:line="220" w:lineRule="auto"/>
              <w:ind w:left="2165"/>
              <w:rPr>
                <w:rFonts w:ascii="宋体" w:hAnsi="宋体" w:eastAsia="宋体" w:cs="宋体"/>
                <w:sz w:val="21"/>
                <w:szCs w:val="21"/>
              </w:rPr>
            </w:pPr>
            <w:r>
              <w:rPr>
                <w:rFonts w:ascii="宋体" w:hAnsi="宋体" w:eastAsia="宋体" w:cs="宋体"/>
                <w:spacing w:val="-2"/>
                <w:sz w:val="21"/>
                <w:szCs w:val="21"/>
              </w:rPr>
              <w:t>相对数量</w:t>
            </w:r>
          </w:p>
        </w:tc>
      </w:tr>
      <w:tr w14:paraId="20FAA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305" w:type="dxa"/>
            <w:gridSpan w:val="2"/>
            <w:vMerge w:val="continue"/>
            <w:tcBorders>
              <w:top w:val="nil"/>
              <w:left w:val="single" w:color="000000" w:sz="12" w:space="0"/>
            </w:tcBorders>
            <w:vAlign w:val="top"/>
          </w:tcPr>
          <w:p w14:paraId="41762372">
            <w:pPr>
              <w:rPr>
                <w:rFonts w:ascii="Arial"/>
                <w:sz w:val="21"/>
              </w:rPr>
            </w:pPr>
          </w:p>
        </w:tc>
        <w:tc>
          <w:tcPr>
            <w:tcW w:w="678" w:type="dxa"/>
            <w:vAlign w:val="top"/>
          </w:tcPr>
          <w:p w14:paraId="307D01D4">
            <w:pPr>
              <w:spacing w:before="57" w:line="220" w:lineRule="auto"/>
              <w:ind w:left="136"/>
              <w:rPr>
                <w:rFonts w:ascii="宋体" w:hAnsi="宋体" w:eastAsia="宋体" w:cs="宋体"/>
                <w:sz w:val="21"/>
                <w:szCs w:val="21"/>
              </w:rPr>
            </w:pPr>
            <w:r>
              <w:rPr>
                <w:rFonts w:ascii="宋体" w:hAnsi="宋体" w:eastAsia="宋体" w:cs="宋体"/>
                <w:spacing w:val="-4"/>
                <w:sz w:val="21"/>
                <w:szCs w:val="21"/>
              </w:rPr>
              <w:t>马龙</w:t>
            </w:r>
          </w:p>
          <w:p w14:paraId="72B3929B">
            <w:pPr>
              <w:spacing w:before="24" w:line="235" w:lineRule="auto"/>
              <w:ind w:left="234" w:right="126"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50" w:type="dxa"/>
            <w:vAlign w:val="top"/>
          </w:tcPr>
          <w:p w14:paraId="67860AEF">
            <w:pPr>
              <w:spacing w:before="194" w:line="241" w:lineRule="auto"/>
              <w:ind w:left="168" w:right="55" w:hanging="104"/>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677" w:type="dxa"/>
            <w:vAlign w:val="top"/>
          </w:tcPr>
          <w:p w14:paraId="672BA7C1">
            <w:pPr>
              <w:spacing w:before="57" w:line="222" w:lineRule="auto"/>
              <w:ind w:left="165"/>
              <w:rPr>
                <w:rFonts w:ascii="宋体" w:hAnsi="宋体" w:eastAsia="宋体" w:cs="宋体"/>
                <w:sz w:val="21"/>
                <w:szCs w:val="21"/>
              </w:rPr>
            </w:pPr>
            <w:r>
              <w:rPr>
                <w:rFonts w:ascii="宋体" w:hAnsi="宋体" w:eastAsia="宋体" w:cs="宋体"/>
                <w:spacing w:val="-10"/>
                <w:sz w:val="21"/>
                <w:szCs w:val="21"/>
              </w:rPr>
              <w:t>白塔</w:t>
            </w:r>
          </w:p>
          <w:p w14:paraId="06C86907">
            <w:pPr>
              <w:spacing w:before="21" w:line="235" w:lineRule="auto"/>
              <w:ind w:left="238" w:right="120"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49" w:type="dxa"/>
            <w:vAlign w:val="top"/>
          </w:tcPr>
          <w:p w14:paraId="368742EA">
            <w:pPr>
              <w:spacing w:before="193" w:line="242" w:lineRule="auto"/>
              <w:ind w:left="171" w:right="49" w:hanging="74"/>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48" w:type="dxa"/>
            <w:vAlign w:val="top"/>
          </w:tcPr>
          <w:p w14:paraId="42E64029">
            <w:pPr>
              <w:spacing w:before="57" w:line="219" w:lineRule="auto"/>
              <w:ind w:left="172"/>
              <w:rPr>
                <w:rFonts w:ascii="宋体" w:hAnsi="宋体" w:eastAsia="宋体" w:cs="宋体"/>
                <w:sz w:val="21"/>
                <w:szCs w:val="21"/>
              </w:rPr>
            </w:pPr>
            <w:r>
              <w:rPr>
                <w:rFonts w:ascii="宋体" w:hAnsi="宋体" w:eastAsia="宋体" w:cs="宋体"/>
                <w:spacing w:val="-3"/>
                <w:sz w:val="21"/>
                <w:szCs w:val="21"/>
              </w:rPr>
              <w:t>马龙河干</w:t>
            </w:r>
          </w:p>
          <w:p w14:paraId="5FC57ABA">
            <w:pPr>
              <w:pStyle w:val="6"/>
              <w:spacing w:before="24" w:line="235" w:lineRule="auto"/>
              <w:ind w:left="136" w:right="111" w:firstLine="30"/>
              <w:rPr>
                <w:rFonts w:ascii="宋体" w:hAnsi="宋体" w:eastAsia="宋体" w:cs="宋体"/>
              </w:rPr>
            </w:pPr>
            <w:r>
              <w:rPr>
                <w:rFonts w:ascii="宋体" w:hAnsi="宋体" w:eastAsia="宋体" w:cs="宋体"/>
                <w:spacing w:val="-3"/>
              </w:rPr>
              <w:t>流坝址下</w:t>
            </w:r>
            <w:r>
              <w:rPr>
                <w:rFonts w:ascii="宋体" w:hAnsi="宋体" w:eastAsia="宋体" w:cs="宋体"/>
                <w:spacing w:val="-5"/>
              </w:rPr>
              <w:t>游</w:t>
            </w:r>
            <w:r>
              <w:rPr>
                <w:rFonts w:ascii="宋体" w:hAnsi="宋体" w:eastAsia="宋体" w:cs="宋体"/>
                <w:spacing w:val="-48"/>
              </w:rPr>
              <w:t xml:space="preserve"> </w:t>
            </w:r>
            <w:r>
              <w:rPr>
                <w:spacing w:val="-5"/>
              </w:rPr>
              <w:t>2km</w:t>
            </w:r>
            <w:r>
              <w:rPr>
                <w:spacing w:val="10"/>
              </w:rPr>
              <w:t xml:space="preserve"> </w:t>
            </w:r>
            <w:r>
              <w:rPr>
                <w:rFonts w:ascii="宋体" w:hAnsi="宋体" w:eastAsia="宋体" w:cs="宋体"/>
                <w:spacing w:val="-5"/>
              </w:rPr>
              <w:t>处</w:t>
            </w:r>
          </w:p>
        </w:tc>
        <w:tc>
          <w:tcPr>
            <w:tcW w:w="1166" w:type="dxa"/>
            <w:tcBorders>
              <w:right w:val="single" w:color="000000" w:sz="12" w:space="0"/>
            </w:tcBorders>
            <w:vAlign w:val="top"/>
          </w:tcPr>
          <w:p w14:paraId="498F4028">
            <w:pPr>
              <w:spacing w:before="57" w:line="219" w:lineRule="auto"/>
              <w:ind w:left="178"/>
              <w:rPr>
                <w:rFonts w:ascii="宋体" w:hAnsi="宋体" w:eastAsia="宋体" w:cs="宋体"/>
                <w:sz w:val="21"/>
                <w:szCs w:val="21"/>
              </w:rPr>
            </w:pPr>
            <w:r>
              <w:rPr>
                <w:rFonts w:ascii="宋体" w:hAnsi="宋体" w:eastAsia="宋体" w:cs="宋体"/>
                <w:spacing w:val="-3"/>
                <w:sz w:val="21"/>
                <w:szCs w:val="21"/>
              </w:rPr>
              <w:t>马龙河干</w:t>
            </w:r>
          </w:p>
          <w:p w14:paraId="7D0E9B69">
            <w:pPr>
              <w:pStyle w:val="6"/>
              <w:spacing w:before="24" w:line="235" w:lineRule="auto"/>
              <w:ind w:left="142" w:right="114" w:firstLine="30"/>
              <w:rPr>
                <w:rFonts w:ascii="宋体" w:hAnsi="宋体" w:eastAsia="宋体" w:cs="宋体"/>
              </w:rPr>
            </w:pPr>
            <w:r>
              <w:rPr>
                <w:rFonts w:ascii="宋体" w:hAnsi="宋体" w:eastAsia="宋体" w:cs="宋体"/>
                <w:spacing w:val="-3"/>
              </w:rPr>
              <w:t>流坝址下</w:t>
            </w:r>
            <w:r>
              <w:rPr>
                <w:rFonts w:ascii="宋体" w:hAnsi="宋体" w:eastAsia="宋体" w:cs="宋体"/>
                <w:spacing w:val="-6"/>
              </w:rPr>
              <w:t>游</w:t>
            </w:r>
            <w:r>
              <w:rPr>
                <w:rFonts w:ascii="宋体" w:hAnsi="宋体" w:eastAsia="宋体" w:cs="宋体"/>
                <w:spacing w:val="-43"/>
              </w:rPr>
              <w:t xml:space="preserve"> </w:t>
            </w:r>
            <w:r>
              <w:rPr>
                <w:spacing w:val="-6"/>
              </w:rPr>
              <w:t>6km</w:t>
            </w:r>
            <w:r>
              <w:rPr>
                <w:spacing w:val="10"/>
              </w:rPr>
              <w:t xml:space="preserve"> </w:t>
            </w:r>
            <w:r>
              <w:rPr>
                <w:rFonts w:ascii="宋体" w:hAnsi="宋体" w:eastAsia="宋体" w:cs="宋体"/>
                <w:spacing w:val="-6"/>
              </w:rPr>
              <w:t>处</w:t>
            </w:r>
          </w:p>
        </w:tc>
      </w:tr>
      <w:tr w14:paraId="15071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482" w:type="dxa"/>
            <w:tcBorders>
              <w:left w:val="single" w:color="000000" w:sz="12" w:space="0"/>
            </w:tcBorders>
            <w:vAlign w:val="top"/>
          </w:tcPr>
          <w:p w14:paraId="22EF5871">
            <w:pPr>
              <w:spacing w:before="75" w:line="220" w:lineRule="auto"/>
              <w:ind w:left="124"/>
              <w:rPr>
                <w:rFonts w:ascii="宋体" w:hAnsi="宋体" w:eastAsia="宋体" w:cs="宋体"/>
                <w:sz w:val="21"/>
                <w:szCs w:val="21"/>
              </w:rPr>
            </w:pPr>
            <w:r>
              <w:rPr>
                <w:rFonts w:ascii="宋体" w:hAnsi="宋体" w:eastAsia="宋体" w:cs="宋体"/>
                <w:sz w:val="21"/>
                <w:szCs w:val="21"/>
              </w:rPr>
              <w:t>藻</w:t>
            </w:r>
          </w:p>
        </w:tc>
        <w:tc>
          <w:tcPr>
            <w:tcW w:w="2823" w:type="dxa"/>
            <w:vAlign w:val="top"/>
          </w:tcPr>
          <w:p w14:paraId="0BD19422">
            <w:pPr>
              <w:rPr>
                <w:rFonts w:ascii="Arial"/>
                <w:sz w:val="21"/>
              </w:rPr>
            </w:pPr>
          </w:p>
        </w:tc>
        <w:tc>
          <w:tcPr>
            <w:tcW w:w="678" w:type="dxa"/>
            <w:vAlign w:val="top"/>
          </w:tcPr>
          <w:p w14:paraId="73729479">
            <w:pPr>
              <w:rPr>
                <w:rFonts w:ascii="Arial"/>
                <w:sz w:val="21"/>
              </w:rPr>
            </w:pPr>
          </w:p>
        </w:tc>
        <w:tc>
          <w:tcPr>
            <w:tcW w:w="750" w:type="dxa"/>
            <w:vAlign w:val="top"/>
          </w:tcPr>
          <w:p w14:paraId="26B416EF">
            <w:pPr>
              <w:rPr>
                <w:rFonts w:ascii="Arial"/>
                <w:sz w:val="21"/>
              </w:rPr>
            </w:pPr>
          </w:p>
        </w:tc>
        <w:tc>
          <w:tcPr>
            <w:tcW w:w="677" w:type="dxa"/>
            <w:vAlign w:val="top"/>
          </w:tcPr>
          <w:p w14:paraId="19C1D0D2">
            <w:pPr>
              <w:rPr>
                <w:rFonts w:ascii="Arial"/>
                <w:sz w:val="21"/>
              </w:rPr>
            </w:pPr>
          </w:p>
        </w:tc>
        <w:tc>
          <w:tcPr>
            <w:tcW w:w="749" w:type="dxa"/>
            <w:vAlign w:val="top"/>
          </w:tcPr>
          <w:p w14:paraId="29CC35E1">
            <w:pPr>
              <w:rPr>
                <w:rFonts w:ascii="Arial"/>
                <w:sz w:val="21"/>
              </w:rPr>
            </w:pPr>
          </w:p>
        </w:tc>
        <w:tc>
          <w:tcPr>
            <w:tcW w:w="1148" w:type="dxa"/>
            <w:vAlign w:val="top"/>
          </w:tcPr>
          <w:p w14:paraId="7CDEB734">
            <w:pPr>
              <w:rPr>
                <w:rFonts w:ascii="Arial"/>
                <w:sz w:val="21"/>
              </w:rPr>
            </w:pPr>
          </w:p>
        </w:tc>
        <w:tc>
          <w:tcPr>
            <w:tcW w:w="1166" w:type="dxa"/>
            <w:tcBorders>
              <w:right w:val="single" w:color="000000" w:sz="12" w:space="0"/>
            </w:tcBorders>
            <w:vAlign w:val="top"/>
          </w:tcPr>
          <w:p w14:paraId="6D5C7E45">
            <w:pPr>
              <w:rPr>
                <w:rFonts w:ascii="Arial"/>
                <w:sz w:val="21"/>
              </w:rPr>
            </w:pPr>
          </w:p>
        </w:tc>
      </w:tr>
      <w:tr w14:paraId="088C2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restart"/>
            <w:tcBorders>
              <w:left w:val="single" w:color="000000" w:sz="12" w:space="0"/>
              <w:bottom w:val="nil"/>
            </w:tcBorders>
            <w:textDirection w:val="tbRlV"/>
            <w:vAlign w:val="top"/>
          </w:tcPr>
          <w:p w14:paraId="747DE3E3">
            <w:pPr>
              <w:spacing w:before="138" w:line="206" w:lineRule="auto"/>
              <w:ind w:left="268"/>
              <w:rPr>
                <w:rFonts w:ascii="宋体" w:hAnsi="宋体" w:eastAsia="宋体" w:cs="宋体"/>
                <w:sz w:val="21"/>
                <w:szCs w:val="21"/>
              </w:rPr>
            </w:pPr>
            <w:r>
              <w:rPr>
                <w:rFonts w:ascii="宋体" w:hAnsi="宋体" w:eastAsia="宋体" w:cs="宋体"/>
                <w:spacing w:val="31"/>
                <w:sz w:val="21"/>
                <w:szCs w:val="21"/>
              </w:rPr>
              <w:t>颤藻</w:t>
            </w:r>
          </w:p>
        </w:tc>
        <w:tc>
          <w:tcPr>
            <w:tcW w:w="2823" w:type="dxa"/>
            <w:vAlign w:val="top"/>
          </w:tcPr>
          <w:p w14:paraId="5EEE391A">
            <w:pPr>
              <w:pStyle w:val="6"/>
              <w:spacing w:before="61" w:line="229" w:lineRule="auto"/>
              <w:ind w:left="155"/>
            </w:pPr>
            <w:r>
              <w:rPr>
                <w:rFonts w:ascii="宋体" w:hAnsi="宋体" w:eastAsia="宋体" w:cs="宋体"/>
                <w:spacing w:val="-1"/>
              </w:rPr>
              <w:t xml:space="preserve">清净颤藻 </w:t>
            </w:r>
            <w:r>
              <w:rPr>
                <w:spacing w:val="-1"/>
              </w:rPr>
              <w:t>Oscillatoria sancta</w:t>
            </w:r>
          </w:p>
        </w:tc>
        <w:tc>
          <w:tcPr>
            <w:tcW w:w="678" w:type="dxa"/>
            <w:vAlign w:val="top"/>
          </w:tcPr>
          <w:p w14:paraId="076AA8EF">
            <w:pPr>
              <w:pStyle w:val="6"/>
              <w:spacing w:before="93" w:line="227" w:lineRule="auto"/>
              <w:ind w:left="216"/>
            </w:pPr>
            <w:r>
              <w:rPr>
                <w:spacing w:val="-1"/>
              </w:rPr>
              <w:t>++</w:t>
            </w:r>
          </w:p>
        </w:tc>
        <w:tc>
          <w:tcPr>
            <w:tcW w:w="750" w:type="dxa"/>
            <w:vAlign w:val="top"/>
          </w:tcPr>
          <w:p w14:paraId="7C3900FD">
            <w:pPr>
              <w:pStyle w:val="6"/>
              <w:spacing w:before="93" w:line="227" w:lineRule="auto"/>
              <w:ind w:left="313"/>
            </w:pPr>
            <w:r>
              <w:t>+</w:t>
            </w:r>
          </w:p>
        </w:tc>
        <w:tc>
          <w:tcPr>
            <w:tcW w:w="677" w:type="dxa"/>
            <w:vAlign w:val="top"/>
          </w:tcPr>
          <w:p w14:paraId="7F215244">
            <w:pPr>
              <w:pStyle w:val="6"/>
              <w:spacing w:before="93" w:line="227" w:lineRule="auto"/>
              <w:ind w:left="221"/>
            </w:pPr>
            <w:r>
              <w:rPr>
                <w:spacing w:val="-1"/>
              </w:rPr>
              <w:t>++</w:t>
            </w:r>
          </w:p>
        </w:tc>
        <w:tc>
          <w:tcPr>
            <w:tcW w:w="749" w:type="dxa"/>
            <w:vAlign w:val="top"/>
          </w:tcPr>
          <w:p w14:paraId="441065C9">
            <w:pPr>
              <w:pStyle w:val="6"/>
              <w:spacing w:before="93" w:line="227" w:lineRule="auto"/>
              <w:ind w:left="318"/>
            </w:pPr>
            <w:r>
              <w:t>+</w:t>
            </w:r>
          </w:p>
        </w:tc>
        <w:tc>
          <w:tcPr>
            <w:tcW w:w="1148" w:type="dxa"/>
            <w:vAlign w:val="top"/>
          </w:tcPr>
          <w:p w14:paraId="21E4DAA6">
            <w:pPr>
              <w:rPr>
                <w:rFonts w:ascii="Arial"/>
                <w:sz w:val="21"/>
              </w:rPr>
            </w:pPr>
          </w:p>
        </w:tc>
        <w:tc>
          <w:tcPr>
            <w:tcW w:w="1166" w:type="dxa"/>
            <w:tcBorders>
              <w:right w:val="single" w:color="000000" w:sz="12" w:space="0"/>
            </w:tcBorders>
            <w:vAlign w:val="top"/>
          </w:tcPr>
          <w:p w14:paraId="53762945">
            <w:pPr>
              <w:pStyle w:val="6"/>
              <w:spacing w:before="93" w:line="227" w:lineRule="auto"/>
              <w:ind w:left="527"/>
            </w:pPr>
            <w:r>
              <w:t>+</w:t>
            </w:r>
          </w:p>
        </w:tc>
      </w:tr>
      <w:tr w14:paraId="53905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bottom w:val="nil"/>
            </w:tcBorders>
            <w:textDirection w:val="tbRlV"/>
            <w:vAlign w:val="top"/>
          </w:tcPr>
          <w:p w14:paraId="6C4ECBEE">
            <w:pPr>
              <w:rPr>
                <w:rFonts w:ascii="Arial"/>
                <w:sz w:val="21"/>
              </w:rPr>
            </w:pPr>
          </w:p>
        </w:tc>
        <w:tc>
          <w:tcPr>
            <w:tcW w:w="2823" w:type="dxa"/>
            <w:vAlign w:val="top"/>
          </w:tcPr>
          <w:p w14:paraId="7176B668">
            <w:pPr>
              <w:pStyle w:val="6"/>
              <w:spacing w:before="62" w:line="228" w:lineRule="auto"/>
              <w:ind w:left="303"/>
            </w:pPr>
            <w:r>
              <w:rPr>
                <w:rFonts w:ascii="宋体" w:hAnsi="宋体" w:eastAsia="宋体" w:cs="宋体"/>
                <w:spacing w:val="-1"/>
              </w:rPr>
              <w:t>小颤藻</w:t>
            </w:r>
            <w:r>
              <w:rPr>
                <w:rFonts w:ascii="宋体" w:hAnsi="宋体" w:eastAsia="宋体" w:cs="宋体"/>
                <w:spacing w:val="-45"/>
              </w:rPr>
              <w:t xml:space="preserve"> </w:t>
            </w:r>
            <w:r>
              <w:rPr>
                <w:spacing w:val="-1"/>
              </w:rPr>
              <w:t>Oscillatoria tenuis</w:t>
            </w:r>
          </w:p>
        </w:tc>
        <w:tc>
          <w:tcPr>
            <w:tcW w:w="678" w:type="dxa"/>
            <w:vAlign w:val="top"/>
          </w:tcPr>
          <w:p w14:paraId="58DEC7CD">
            <w:pPr>
              <w:pStyle w:val="6"/>
              <w:spacing w:before="96" w:line="224" w:lineRule="auto"/>
              <w:ind w:left="216"/>
            </w:pPr>
            <w:r>
              <w:rPr>
                <w:spacing w:val="-1"/>
              </w:rPr>
              <w:t>++</w:t>
            </w:r>
          </w:p>
        </w:tc>
        <w:tc>
          <w:tcPr>
            <w:tcW w:w="750" w:type="dxa"/>
            <w:vAlign w:val="top"/>
          </w:tcPr>
          <w:p w14:paraId="41A99498">
            <w:pPr>
              <w:rPr>
                <w:rFonts w:ascii="Arial"/>
                <w:sz w:val="21"/>
              </w:rPr>
            </w:pPr>
          </w:p>
        </w:tc>
        <w:tc>
          <w:tcPr>
            <w:tcW w:w="677" w:type="dxa"/>
            <w:vAlign w:val="top"/>
          </w:tcPr>
          <w:p w14:paraId="2249182B">
            <w:pPr>
              <w:pStyle w:val="6"/>
              <w:spacing w:before="96" w:line="224" w:lineRule="auto"/>
              <w:ind w:left="221"/>
            </w:pPr>
            <w:r>
              <w:rPr>
                <w:spacing w:val="-1"/>
              </w:rPr>
              <w:t>++</w:t>
            </w:r>
          </w:p>
        </w:tc>
        <w:tc>
          <w:tcPr>
            <w:tcW w:w="749" w:type="dxa"/>
            <w:vAlign w:val="top"/>
          </w:tcPr>
          <w:p w14:paraId="44D041DA">
            <w:pPr>
              <w:pStyle w:val="6"/>
              <w:spacing w:before="96" w:line="224" w:lineRule="auto"/>
              <w:ind w:left="318"/>
            </w:pPr>
            <w:r>
              <w:t>+</w:t>
            </w:r>
          </w:p>
        </w:tc>
        <w:tc>
          <w:tcPr>
            <w:tcW w:w="1148" w:type="dxa"/>
            <w:vAlign w:val="top"/>
          </w:tcPr>
          <w:p w14:paraId="34EFB0DE">
            <w:pPr>
              <w:pStyle w:val="6"/>
              <w:spacing w:before="96" w:line="224" w:lineRule="auto"/>
              <w:ind w:left="463"/>
            </w:pPr>
            <w:r>
              <w:rPr>
                <w:spacing w:val="-1"/>
              </w:rPr>
              <w:t>++</w:t>
            </w:r>
          </w:p>
        </w:tc>
        <w:tc>
          <w:tcPr>
            <w:tcW w:w="1166" w:type="dxa"/>
            <w:tcBorders>
              <w:right w:val="single" w:color="000000" w:sz="12" w:space="0"/>
            </w:tcBorders>
            <w:vAlign w:val="top"/>
          </w:tcPr>
          <w:p w14:paraId="1CD000BA">
            <w:pPr>
              <w:pStyle w:val="6"/>
              <w:spacing w:before="96" w:line="224" w:lineRule="auto"/>
              <w:ind w:left="527"/>
            </w:pPr>
            <w:r>
              <w:t>+</w:t>
            </w:r>
          </w:p>
        </w:tc>
      </w:tr>
      <w:tr w14:paraId="49AD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tcBorders>
            <w:textDirection w:val="tbRlV"/>
            <w:vAlign w:val="top"/>
          </w:tcPr>
          <w:p w14:paraId="3C089EDA">
            <w:pPr>
              <w:rPr>
                <w:rFonts w:ascii="Arial"/>
                <w:sz w:val="21"/>
              </w:rPr>
            </w:pPr>
          </w:p>
        </w:tc>
        <w:tc>
          <w:tcPr>
            <w:tcW w:w="2823" w:type="dxa"/>
            <w:vAlign w:val="top"/>
          </w:tcPr>
          <w:p w14:paraId="668195D1">
            <w:pPr>
              <w:pStyle w:val="6"/>
              <w:spacing w:before="63" w:line="227" w:lineRule="auto"/>
              <w:ind w:left="165"/>
            </w:pPr>
            <w:r>
              <w:rPr>
                <w:rFonts w:ascii="宋体" w:hAnsi="宋体" w:eastAsia="宋体" w:cs="宋体"/>
                <w:spacing w:val="-1"/>
              </w:rPr>
              <w:t>泥污颤藻</w:t>
            </w:r>
            <w:r>
              <w:rPr>
                <w:rFonts w:ascii="宋体" w:hAnsi="宋体" w:eastAsia="宋体" w:cs="宋体"/>
                <w:spacing w:val="-41"/>
              </w:rPr>
              <w:t xml:space="preserve"> </w:t>
            </w:r>
            <w:r>
              <w:rPr>
                <w:spacing w:val="-1"/>
              </w:rPr>
              <w:t>Oscillatoria limosa</w:t>
            </w:r>
          </w:p>
        </w:tc>
        <w:tc>
          <w:tcPr>
            <w:tcW w:w="678" w:type="dxa"/>
            <w:vAlign w:val="top"/>
          </w:tcPr>
          <w:p w14:paraId="61EEEEA6">
            <w:pPr>
              <w:pStyle w:val="6"/>
              <w:spacing w:before="97" w:line="223" w:lineRule="auto"/>
              <w:ind w:left="275"/>
            </w:pPr>
            <w:r>
              <w:t>+</w:t>
            </w:r>
          </w:p>
        </w:tc>
        <w:tc>
          <w:tcPr>
            <w:tcW w:w="750" w:type="dxa"/>
            <w:vAlign w:val="top"/>
          </w:tcPr>
          <w:p w14:paraId="1B8A26C8">
            <w:pPr>
              <w:pStyle w:val="6"/>
              <w:spacing w:before="97" w:line="223" w:lineRule="auto"/>
              <w:ind w:left="255"/>
            </w:pPr>
            <w:r>
              <w:rPr>
                <w:spacing w:val="-1"/>
              </w:rPr>
              <w:t>++</w:t>
            </w:r>
          </w:p>
        </w:tc>
        <w:tc>
          <w:tcPr>
            <w:tcW w:w="677" w:type="dxa"/>
            <w:vAlign w:val="top"/>
          </w:tcPr>
          <w:p w14:paraId="224E5196">
            <w:pPr>
              <w:rPr>
                <w:rFonts w:ascii="Arial"/>
                <w:sz w:val="21"/>
              </w:rPr>
            </w:pPr>
          </w:p>
        </w:tc>
        <w:tc>
          <w:tcPr>
            <w:tcW w:w="749" w:type="dxa"/>
            <w:vAlign w:val="top"/>
          </w:tcPr>
          <w:p w14:paraId="3798D2D6">
            <w:pPr>
              <w:pStyle w:val="6"/>
              <w:spacing w:before="97" w:line="223" w:lineRule="auto"/>
              <w:ind w:left="259"/>
            </w:pPr>
            <w:r>
              <w:rPr>
                <w:spacing w:val="-1"/>
              </w:rPr>
              <w:t>++</w:t>
            </w:r>
          </w:p>
        </w:tc>
        <w:tc>
          <w:tcPr>
            <w:tcW w:w="1148" w:type="dxa"/>
            <w:vAlign w:val="top"/>
          </w:tcPr>
          <w:p w14:paraId="40446B20">
            <w:pPr>
              <w:rPr>
                <w:rFonts w:ascii="Arial"/>
                <w:sz w:val="21"/>
              </w:rPr>
            </w:pPr>
          </w:p>
        </w:tc>
        <w:tc>
          <w:tcPr>
            <w:tcW w:w="1166" w:type="dxa"/>
            <w:tcBorders>
              <w:right w:val="single" w:color="000000" w:sz="12" w:space="0"/>
            </w:tcBorders>
            <w:vAlign w:val="top"/>
          </w:tcPr>
          <w:p w14:paraId="2A5DAD72">
            <w:pPr>
              <w:rPr>
                <w:rFonts w:ascii="Arial"/>
                <w:sz w:val="21"/>
              </w:rPr>
            </w:pPr>
          </w:p>
        </w:tc>
      </w:tr>
      <w:tr w14:paraId="1AD1E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82" w:type="dxa"/>
            <w:vMerge w:val="restart"/>
            <w:tcBorders>
              <w:left w:val="single" w:color="000000" w:sz="12" w:space="0"/>
              <w:bottom w:val="nil"/>
            </w:tcBorders>
            <w:textDirection w:val="tbRlV"/>
            <w:vAlign w:val="top"/>
          </w:tcPr>
          <w:p w14:paraId="388BBEE3">
            <w:pPr>
              <w:spacing w:before="137" w:line="209" w:lineRule="auto"/>
              <w:ind w:left="377"/>
              <w:rPr>
                <w:rFonts w:ascii="宋体" w:hAnsi="宋体" w:eastAsia="宋体" w:cs="宋体"/>
                <w:sz w:val="21"/>
                <w:szCs w:val="21"/>
              </w:rPr>
            </w:pPr>
            <w:r>
              <w:rPr>
                <w:rFonts w:ascii="宋体" w:hAnsi="宋体" w:eastAsia="宋体" w:cs="宋体"/>
                <w:spacing w:val="41"/>
                <w:sz w:val="21"/>
                <w:szCs w:val="21"/>
              </w:rPr>
              <w:t>鱼腥藻</w:t>
            </w:r>
          </w:p>
        </w:tc>
        <w:tc>
          <w:tcPr>
            <w:tcW w:w="2823" w:type="dxa"/>
            <w:vAlign w:val="top"/>
          </w:tcPr>
          <w:p w14:paraId="58CCB46E">
            <w:pPr>
              <w:pStyle w:val="6"/>
              <w:spacing w:before="64" w:line="233" w:lineRule="auto"/>
              <w:ind w:left="1020" w:right="442" w:hanging="584"/>
            </w:pPr>
            <w:r>
              <w:rPr>
                <w:rFonts w:ascii="宋体" w:hAnsi="宋体" w:eastAsia="宋体" w:cs="宋体"/>
                <w:spacing w:val="-1"/>
              </w:rPr>
              <w:t>卷曲鱼腥藻</w:t>
            </w:r>
            <w:r>
              <w:rPr>
                <w:rFonts w:ascii="宋体" w:hAnsi="宋体" w:eastAsia="宋体" w:cs="宋体"/>
                <w:spacing w:val="-50"/>
              </w:rPr>
              <w:t xml:space="preserve"> </w:t>
            </w:r>
            <w:r>
              <w:rPr>
                <w:spacing w:val="-1"/>
              </w:rPr>
              <w:t>Anabaena</w:t>
            </w:r>
            <w:r>
              <w:t xml:space="preserve"> </w:t>
            </w:r>
            <w:r>
              <w:rPr>
                <w:spacing w:val="-1"/>
              </w:rPr>
              <w:t>circinalis</w:t>
            </w:r>
          </w:p>
        </w:tc>
        <w:tc>
          <w:tcPr>
            <w:tcW w:w="678" w:type="dxa"/>
            <w:vAlign w:val="top"/>
          </w:tcPr>
          <w:p w14:paraId="0401B674">
            <w:pPr>
              <w:pStyle w:val="6"/>
              <w:spacing w:before="218" w:line="251" w:lineRule="exact"/>
              <w:ind w:left="216"/>
            </w:pPr>
            <w:r>
              <w:rPr>
                <w:spacing w:val="-1"/>
                <w:position w:val="1"/>
              </w:rPr>
              <w:t>++</w:t>
            </w:r>
          </w:p>
        </w:tc>
        <w:tc>
          <w:tcPr>
            <w:tcW w:w="750" w:type="dxa"/>
            <w:vAlign w:val="top"/>
          </w:tcPr>
          <w:p w14:paraId="25F0AF88">
            <w:pPr>
              <w:pStyle w:val="6"/>
              <w:spacing w:before="218" w:line="251" w:lineRule="exact"/>
              <w:ind w:left="255"/>
            </w:pPr>
            <w:r>
              <w:rPr>
                <w:spacing w:val="-1"/>
                <w:position w:val="1"/>
              </w:rPr>
              <w:t>++</w:t>
            </w:r>
          </w:p>
        </w:tc>
        <w:tc>
          <w:tcPr>
            <w:tcW w:w="677" w:type="dxa"/>
            <w:vAlign w:val="top"/>
          </w:tcPr>
          <w:p w14:paraId="735E4141">
            <w:pPr>
              <w:pStyle w:val="6"/>
              <w:spacing w:before="218" w:line="251" w:lineRule="exact"/>
              <w:ind w:left="221"/>
            </w:pPr>
            <w:r>
              <w:rPr>
                <w:spacing w:val="-1"/>
                <w:position w:val="1"/>
              </w:rPr>
              <w:t>++</w:t>
            </w:r>
          </w:p>
        </w:tc>
        <w:tc>
          <w:tcPr>
            <w:tcW w:w="749" w:type="dxa"/>
            <w:vAlign w:val="top"/>
          </w:tcPr>
          <w:p w14:paraId="40848E75">
            <w:pPr>
              <w:pStyle w:val="6"/>
              <w:spacing w:before="218" w:line="251" w:lineRule="exact"/>
              <w:ind w:left="318"/>
            </w:pPr>
            <w:r>
              <w:rPr>
                <w:position w:val="1"/>
              </w:rPr>
              <w:t>+</w:t>
            </w:r>
          </w:p>
        </w:tc>
        <w:tc>
          <w:tcPr>
            <w:tcW w:w="1148" w:type="dxa"/>
            <w:vAlign w:val="top"/>
          </w:tcPr>
          <w:p w14:paraId="110ECA41">
            <w:pPr>
              <w:rPr>
                <w:rFonts w:ascii="Arial"/>
                <w:sz w:val="21"/>
              </w:rPr>
            </w:pPr>
          </w:p>
        </w:tc>
        <w:tc>
          <w:tcPr>
            <w:tcW w:w="1166" w:type="dxa"/>
            <w:tcBorders>
              <w:right w:val="single" w:color="000000" w:sz="12" w:space="0"/>
            </w:tcBorders>
            <w:vAlign w:val="top"/>
          </w:tcPr>
          <w:p w14:paraId="567C3C9E">
            <w:pPr>
              <w:pStyle w:val="6"/>
              <w:spacing w:before="218" w:line="251" w:lineRule="exact"/>
              <w:ind w:left="527"/>
            </w:pPr>
            <w:r>
              <w:rPr>
                <w:position w:val="1"/>
              </w:rPr>
              <w:t>+</w:t>
            </w:r>
          </w:p>
        </w:tc>
      </w:tr>
      <w:tr w14:paraId="40FCA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82" w:type="dxa"/>
            <w:vMerge w:val="continue"/>
            <w:tcBorders>
              <w:top w:val="nil"/>
              <w:left w:val="single" w:color="000000" w:sz="12" w:space="0"/>
              <w:bottom w:val="nil"/>
            </w:tcBorders>
            <w:textDirection w:val="tbRlV"/>
            <w:vAlign w:val="top"/>
          </w:tcPr>
          <w:p w14:paraId="1FA3BDE2">
            <w:pPr>
              <w:rPr>
                <w:rFonts w:ascii="Arial"/>
                <w:sz w:val="21"/>
              </w:rPr>
            </w:pPr>
          </w:p>
        </w:tc>
        <w:tc>
          <w:tcPr>
            <w:tcW w:w="2823" w:type="dxa"/>
            <w:vAlign w:val="top"/>
          </w:tcPr>
          <w:p w14:paraId="015EAE7F">
            <w:pPr>
              <w:pStyle w:val="6"/>
              <w:spacing w:before="66" w:line="225" w:lineRule="auto"/>
              <w:ind w:left="129"/>
            </w:pPr>
            <w:r>
              <w:rPr>
                <w:rFonts w:ascii="宋体" w:hAnsi="宋体" w:eastAsia="宋体" w:cs="宋体"/>
                <w:spacing w:val="-2"/>
              </w:rPr>
              <w:t>固氮鱼腥藻</w:t>
            </w:r>
            <w:r>
              <w:rPr>
                <w:rFonts w:ascii="宋体" w:hAnsi="宋体" w:eastAsia="宋体" w:cs="宋体"/>
                <w:spacing w:val="-38"/>
              </w:rPr>
              <w:t xml:space="preserve"> </w:t>
            </w:r>
            <w:r>
              <w:rPr>
                <w:spacing w:val="-2"/>
              </w:rPr>
              <w:t>Anabaena azotica</w:t>
            </w:r>
          </w:p>
        </w:tc>
        <w:tc>
          <w:tcPr>
            <w:tcW w:w="678" w:type="dxa"/>
            <w:vAlign w:val="top"/>
          </w:tcPr>
          <w:p w14:paraId="5BD501A3">
            <w:pPr>
              <w:pStyle w:val="6"/>
              <w:spacing w:before="99" w:line="221" w:lineRule="auto"/>
              <w:ind w:left="275"/>
            </w:pPr>
            <w:r>
              <w:t>+</w:t>
            </w:r>
          </w:p>
        </w:tc>
        <w:tc>
          <w:tcPr>
            <w:tcW w:w="750" w:type="dxa"/>
            <w:vAlign w:val="top"/>
          </w:tcPr>
          <w:p w14:paraId="7EC8EED3">
            <w:pPr>
              <w:pStyle w:val="6"/>
              <w:spacing w:before="99" w:line="221" w:lineRule="auto"/>
              <w:ind w:left="255"/>
            </w:pPr>
            <w:r>
              <w:rPr>
                <w:spacing w:val="-1"/>
              </w:rPr>
              <w:t>++</w:t>
            </w:r>
          </w:p>
        </w:tc>
        <w:tc>
          <w:tcPr>
            <w:tcW w:w="677" w:type="dxa"/>
            <w:vAlign w:val="top"/>
          </w:tcPr>
          <w:p w14:paraId="59615071">
            <w:pPr>
              <w:rPr>
                <w:rFonts w:ascii="Arial"/>
                <w:sz w:val="21"/>
              </w:rPr>
            </w:pPr>
          </w:p>
        </w:tc>
        <w:tc>
          <w:tcPr>
            <w:tcW w:w="749" w:type="dxa"/>
            <w:vAlign w:val="top"/>
          </w:tcPr>
          <w:p w14:paraId="43304F24">
            <w:pPr>
              <w:pStyle w:val="6"/>
              <w:spacing w:before="99" w:line="221" w:lineRule="auto"/>
              <w:ind w:left="259"/>
            </w:pPr>
            <w:r>
              <w:rPr>
                <w:spacing w:val="-1"/>
              </w:rPr>
              <w:t>++</w:t>
            </w:r>
          </w:p>
        </w:tc>
        <w:tc>
          <w:tcPr>
            <w:tcW w:w="1148" w:type="dxa"/>
            <w:vAlign w:val="top"/>
          </w:tcPr>
          <w:p w14:paraId="2BB38546">
            <w:pPr>
              <w:rPr>
                <w:rFonts w:ascii="Arial"/>
                <w:sz w:val="21"/>
              </w:rPr>
            </w:pPr>
          </w:p>
        </w:tc>
        <w:tc>
          <w:tcPr>
            <w:tcW w:w="1166" w:type="dxa"/>
            <w:tcBorders>
              <w:right w:val="single" w:color="000000" w:sz="12" w:space="0"/>
            </w:tcBorders>
            <w:vAlign w:val="top"/>
          </w:tcPr>
          <w:p w14:paraId="51074D23">
            <w:pPr>
              <w:pStyle w:val="6"/>
              <w:spacing w:before="99" w:line="221" w:lineRule="auto"/>
              <w:ind w:left="527"/>
            </w:pPr>
            <w:r>
              <w:t>+</w:t>
            </w:r>
          </w:p>
        </w:tc>
      </w:tr>
      <w:tr w14:paraId="3C600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82" w:type="dxa"/>
            <w:vMerge w:val="continue"/>
            <w:tcBorders>
              <w:top w:val="nil"/>
              <w:left w:val="single" w:color="000000" w:sz="12" w:space="0"/>
            </w:tcBorders>
            <w:textDirection w:val="tbRlV"/>
            <w:vAlign w:val="top"/>
          </w:tcPr>
          <w:p w14:paraId="6DE43A57">
            <w:pPr>
              <w:rPr>
                <w:rFonts w:ascii="Arial"/>
                <w:sz w:val="21"/>
              </w:rPr>
            </w:pPr>
          </w:p>
        </w:tc>
        <w:tc>
          <w:tcPr>
            <w:tcW w:w="2823" w:type="dxa"/>
            <w:vAlign w:val="top"/>
          </w:tcPr>
          <w:p w14:paraId="17D6FEDD">
            <w:pPr>
              <w:pStyle w:val="6"/>
              <w:spacing w:before="67" w:line="231" w:lineRule="auto"/>
              <w:ind w:left="1003" w:right="442" w:hanging="566"/>
            </w:pPr>
            <w:r>
              <w:rPr>
                <w:rFonts w:ascii="宋体" w:hAnsi="宋体" w:eastAsia="宋体" w:cs="宋体"/>
                <w:spacing w:val="-1"/>
              </w:rPr>
              <w:t>水华鱼腥藻</w:t>
            </w:r>
            <w:r>
              <w:rPr>
                <w:rFonts w:ascii="宋体" w:hAnsi="宋体" w:eastAsia="宋体" w:cs="宋体"/>
                <w:spacing w:val="-50"/>
              </w:rPr>
              <w:t xml:space="preserve"> </w:t>
            </w:r>
            <w:r>
              <w:rPr>
                <w:spacing w:val="-1"/>
              </w:rPr>
              <w:t>Anabaena</w:t>
            </w:r>
            <w:r>
              <w:t xml:space="preserve"> </w:t>
            </w:r>
            <w:r>
              <w:rPr>
                <w:spacing w:val="-1"/>
              </w:rPr>
              <w:t>flosaguae</w:t>
            </w:r>
          </w:p>
        </w:tc>
        <w:tc>
          <w:tcPr>
            <w:tcW w:w="678" w:type="dxa"/>
            <w:vAlign w:val="top"/>
          </w:tcPr>
          <w:p w14:paraId="457FDED4">
            <w:pPr>
              <w:pStyle w:val="6"/>
              <w:spacing w:before="221" w:line="251" w:lineRule="exact"/>
              <w:ind w:left="216"/>
            </w:pPr>
            <w:r>
              <w:rPr>
                <w:spacing w:val="-1"/>
                <w:position w:val="1"/>
              </w:rPr>
              <w:t>++</w:t>
            </w:r>
          </w:p>
        </w:tc>
        <w:tc>
          <w:tcPr>
            <w:tcW w:w="750" w:type="dxa"/>
            <w:vAlign w:val="top"/>
          </w:tcPr>
          <w:p w14:paraId="0F79CB9A">
            <w:pPr>
              <w:pStyle w:val="6"/>
              <w:spacing w:before="221" w:line="251" w:lineRule="exact"/>
              <w:ind w:left="255"/>
            </w:pPr>
            <w:r>
              <w:rPr>
                <w:spacing w:val="-1"/>
                <w:position w:val="1"/>
              </w:rPr>
              <w:t>++</w:t>
            </w:r>
          </w:p>
        </w:tc>
        <w:tc>
          <w:tcPr>
            <w:tcW w:w="677" w:type="dxa"/>
            <w:vAlign w:val="top"/>
          </w:tcPr>
          <w:p w14:paraId="20EDFFCD">
            <w:pPr>
              <w:pStyle w:val="6"/>
              <w:spacing w:before="221" w:line="251" w:lineRule="exact"/>
              <w:ind w:left="221"/>
            </w:pPr>
            <w:r>
              <w:rPr>
                <w:spacing w:val="-1"/>
                <w:position w:val="1"/>
              </w:rPr>
              <w:t>++</w:t>
            </w:r>
          </w:p>
        </w:tc>
        <w:tc>
          <w:tcPr>
            <w:tcW w:w="749" w:type="dxa"/>
            <w:vAlign w:val="top"/>
          </w:tcPr>
          <w:p w14:paraId="1E7D9BB2">
            <w:pPr>
              <w:pStyle w:val="6"/>
              <w:spacing w:before="221" w:line="251" w:lineRule="exact"/>
              <w:ind w:left="259"/>
            </w:pPr>
            <w:r>
              <w:rPr>
                <w:spacing w:val="-1"/>
                <w:position w:val="1"/>
              </w:rPr>
              <w:t>++</w:t>
            </w:r>
          </w:p>
        </w:tc>
        <w:tc>
          <w:tcPr>
            <w:tcW w:w="1148" w:type="dxa"/>
            <w:vAlign w:val="top"/>
          </w:tcPr>
          <w:p w14:paraId="795A9013">
            <w:pPr>
              <w:pStyle w:val="6"/>
              <w:spacing w:before="221" w:line="251" w:lineRule="exact"/>
              <w:ind w:left="463"/>
            </w:pPr>
            <w:r>
              <w:rPr>
                <w:spacing w:val="-1"/>
                <w:position w:val="1"/>
              </w:rPr>
              <w:t>++</w:t>
            </w:r>
          </w:p>
        </w:tc>
        <w:tc>
          <w:tcPr>
            <w:tcW w:w="1166" w:type="dxa"/>
            <w:tcBorders>
              <w:right w:val="single" w:color="000000" w:sz="12" w:space="0"/>
            </w:tcBorders>
            <w:vAlign w:val="top"/>
          </w:tcPr>
          <w:p w14:paraId="70F3195D">
            <w:pPr>
              <w:pStyle w:val="6"/>
              <w:spacing w:before="221" w:line="251" w:lineRule="exact"/>
              <w:ind w:left="527"/>
            </w:pPr>
            <w:r>
              <w:rPr>
                <w:position w:val="1"/>
              </w:rPr>
              <w:t>+</w:t>
            </w:r>
          </w:p>
        </w:tc>
      </w:tr>
      <w:tr w14:paraId="01083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482" w:type="dxa"/>
            <w:tcBorders>
              <w:left w:val="single" w:color="000000" w:sz="12" w:space="0"/>
            </w:tcBorders>
            <w:textDirection w:val="tbRlV"/>
            <w:vAlign w:val="top"/>
          </w:tcPr>
          <w:p w14:paraId="36CEC193">
            <w:pPr>
              <w:spacing w:before="138" w:line="207" w:lineRule="auto"/>
              <w:ind w:left="69"/>
              <w:rPr>
                <w:rFonts w:ascii="宋体" w:hAnsi="宋体" w:eastAsia="宋体" w:cs="宋体"/>
                <w:sz w:val="21"/>
                <w:szCs w:val="21"/>
              </w:rPr>
            </w:pPr>
            <w:r>
              <w:rPr>
                <w:rFonts w:ascii="宋体" w:hAnsi="宋体" w:eastAsia="宋体" w:cs="宋体"/>
                <w:spacing w:val="41"/>
                <w:sz w:val="21"/>
                <w:szCs w:val="21"/>
              </w:rPr>
              <w:t>束丝藻</w:t>
            </w:r>
          </w:p>
        </w:tc>
        <w:tc>
          <w:tcPr>
            <w:tcW w:w="2823" w:type="dxa"/>
            <w:vAlign w:val="top"/>
          </w:tcPr>
          <w:p w14:paraId="03FE87EB">
            <w:pPr>
              <w:pStyle w:val="6"/>
              <w:spacing w:before="220" w:line="213" w:lineRule="auto"/>
              <w:ind w:left="162"/>
            </w:pPr>
            <w:r>
              <w:rPr>
                <w:rFonts w:ascii="宋体" w:hAnsi="宋体" w:eastAsia="宋体" w:cs="宋体"/>
                <w:spacing w:val="-1"/>
              </w:rPr>
              <w:t>水华束丝藻</w:t>
            </w:r>
            <w:r>
              <w:rPr>
                <w:rFonts w:ascii="宋体" w:hAnsi="宋体" w:eastAsia="宋体" w:cs="宋体"/>
                <w:spacing w:val="-46"/>
              </w:rPr>
              <w:t xml:space="preserve"> </w:t>
            </w:r>
            <w:r>
              <w:rPr>
                <w:spacing w:val="-1"/>
              </w:rPr>
              <w:t>Aphanizomenon</w:t>
            </w:r>
          </w:p>
          <w:p w14:paraId="2B33B6D3">
            <w:pPr>
              <w:pStyle w:val="6"/>
              <w:spacing w:before="48" w:line="190" w:lineRule="auto"/>
              <w:ind w:left="1003"/>
            </w:pPr>
            <w:r>
              <w:rPr>
                <w:spacing w:val="-1"/>
              </w:rPr>
              <w:t>flosaquae</w:t>
            </w:r>
          </w:p>
        </w:tc>
        <w:tc>
          <w:tcPr>
            <w:tcW w:w="678" w:type="dxa"/>
            <w:vAlign w:val="top"/>
          </w:tcPr>
          <w:p w14:paraId="1141257D">
            <w:pPr>
              <w:spacing w:line="313" w:lineRule="auto"/>
              <w:rPr>
                <w:rFonts w:ascii="Arial"/>
                <w:sz w:val="21"/>
              </w:rPr>
            </w:pPr>
          </w:p>
          <w:p w14:paraId="1313AD7C">
            <w:pPr>
              <w:pStyle w:val="6"/>
              <w:spacing w:before="60" w:line="251" w:lineRule="exact"/>
              <w:ind w:left="275"/>
            </w:pPr>
            <w:r>
              <w:rPr>
                <w:position w:val="1"/>
              </w:rPr>
              <w:t>+</w:t>
            </w:r>
          </w:p>
        </w:tc>
        <w:tc>
          <w:tcPr>
            <w:tcW w:w="750" w:type="dxa"/>
            <w:vAlign w:val="top"/>
          </w:tcPr>
          <w:p w14:paraId="2C863BC2">
            <w:pPr>
              <w:spacing w:line="313" w:lineRule="auto"/>
              <w:rPr>
                <w:rFonts w:ascii="Arial"/>
                <w:sz w:val="21"/>
              </w:rPr>
            </w:pPr>
          </w:p>
          <w:p w14:paraId="067CCDC0">
            <w:pPr>
              <w:pStyle w:val="6"/>
              <w:spacing w:before="60" w:line="251" w:lineRule="exact"/>
              <w:ind w:left="255"/>
            </w:pPr>
            <w:r>
              <w:rPr>
                <w:spacing w:val="-1"/>
                <w:position w:val="1"/>
              </w:rPr>
              <w:t>++</w:t>
            </w:r>
          </w:p>
        </w:tc>
        <w:tc>
          <w:tcPr>
            <w:tcW w:w="677" w:type="dxa"/>
            <w:vAlign w:val="top"/>
          </w:tcPr>
          <w:p w14:paraId="0D884D6C">
            <w:pPr>
              <w:rPr>
                <w:rFonts w:ascii="Arial"/>
                <w:sz w:val="21"/>
              </w:rPr>
            </w:pPr>
          </w:p>
        </w:tc>
        <w:tc>
          <w:tcPr>
            <w:tcW w:w="749" w:type="dxa"/>
            <w:vAlign w:val="top"/>
          </w:tcPr>
          <w:p w14:paraId="2273FD18">
            <w:pPr>
              <w:rPr>
                <w:rFonts w:ascii="Arial"/>
                <w:sz w:val="21"/>
              </w:rPr>
            </w:pPr>
          </w:p>
        </w:tc>
        <w:tc>
          <w:tcPr>
            <w:tcW w:w="1148" w:type="dxa"/>
            <w:vAlign w:val="top"/>
          </w:tcPr>
          <w:p w14:paraId="479400EC">
            <w:pPr>
              <w:spacing w:line="313" w:lineRule="auto"/>
              <w:rPr>
                <w:rFonts w:ascii="Arial"/>
                <w:sz w:val="21"/>
              </w:rPr>
            </w:pPr>
          </w:p>
          <w:p w14:paraId="1EF8D55A">
            <w:pPr>
              <w:pStyle w:val="6"/>
              <w:spacing w:before="60" w:line="251" w:lineRule="exact"/>
              <w:ind w:left="522"/>
            </w:pPr>
            <w:r>
              <w:rPr>
                <w:position w:val="1"/>
              </w:rPr>
              <w:t>+</w:t>
            </w:r>
          </w:p>
        </w:tc>
        <w:tc>
          <w:tcPr>
            <w:tcW w:w="1166" w:type="dxa"/>
            <w:tcBorders>
              <w:right w:val="single" w:color="000000" w:sz="12" w:space="0"/>
            </w:tcBorders>
            <w:vAlign w:val="top"/>
          </w:tcPr>
          <w:p w14:paraId="06944A4B">
            <w:pPr>
              <w:rPr>
                <w:rFonts w:ascii="Arial"/>
                <w:sz w:val="21"/>
              </w:rPr>
            </w:pPr>
          </w:p>
        </w:tc>
      </w:tr>
      <w:tr w14:paraId="14C0E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305" w:type="dxa"/>
            <w:gridSpan w:val="2"/>
            <w:tcBorders>
              <w:left w:val="single" w:color="000000" w:sz="12" w:space="0"/>
            </w:tcBorders>
            <w:vAlign w:val="top"/>
          </w:tcPr>
          <w:p w14:paraId="2883823A">
            <w:pPr>
              <w:pStyle w:val="6"/>
              <w:spacing w:before="135" w:line="212" w:lineRule="auto"/>
              <w:ind w:left="486"/>
            </w:pPr>
            <w:r>
              <w:rPr>
                <w:rFonts w:ascii="宋体" w:hAnsi="宋体" w:eastAsia="宋体" w:cs="宋体"/>
                <w:b/>
                <w:bCs/>
                <w:spacing w:val="-3"/>
              </w:rPr>
              <w:t>四、裸藻门</w:t>
            </w:r>
            <w:r>
              <w:rPr>
                <w:rFonts w:ascii="宋体" w:hAnsi="宋体" w:eastAsia="宋体" w:cs="宋体"/>
                <w:spacing w:val="-37"/>
              </w:rPr>
              <w:t xml:space="preserve"> </w:t>
            </w:r>
            <w:r>
              <w:rPr>
                <w:b/>
                <w:bCs/>
                <w:spacing w:val="-3"/>
              </w:rPr>
              <w:t>Englenophyta</w:t>
            </w:r>
          </w:p>
        </w:tc>
        <w:tc>
          <w:tcPr>
            <w:tcW w:w="678" w:type="dxa"/>
            <w:vAlign w:val="top"/>
          </w:tcPr>
          <w:p w14:paraId="31A9F97B">
            <w:pPr>
              <w:rPr>
                <w:rFonts w:ascii="Arial"/>
                <w:sz w:val="21"/>
              </w:rPr>
            </w:pPr>
          </w:p>
        </w:tc>
        <w:tc>
          <w:tcPr>
            <w:tcW w:w="750" w:type="dxa"/>
            <w:vAlign w:val="top"/>
          </w:tcPr>
          <w:p w14:paraId="31DB8CD0">
            <w:pPr>
              <w:rPr>
                <w:rFonts w:ascii="Arial"/>
                <w:sz w:val="21"/>
              </w:rPr>
            </w:pPr>
          </w:p>
        </w:tc>
        <w:tc>
          <w:tcPr>
            <w:tcW w:w="677" w:type="dxa"/>
            <w:vAlign w:val="top"/>
          </w:tcPr>
          <w:p w14:paraId="7635B19A">
            <w:pPr>
              <w:rPr>
                <w:rFonts w:ascii="Arial"/>
                <w:sz w:val="21"/>
              </w:rPr>
            </w:pPr>
          </w:p>
        </w:tc>
        <w:tc>
          <w:tcPr>
            <w:tcW w:w="749" w:type="dxa"/>
            <w:vAlign w:val="top"/>
          </w:tcPr>
          <w:p w14:paraId="36B5C2FC">
            <w:pPr>
              <w:rPr>
                <w:rFonts w:ascii="Arial"/>
                <w:sz w:val="21"/>
              </w:rPr>
            </w:pPr>
          </w:p>
        </w:tc>
        <w:tc>
          <w:tcPr>
            <w:tcW w:w="1148" w:type="dxa"/>
            <w:vAlign w:val="top"/>
          </w:tcPr>
          <w:p w14:paraId="68D6A340">
            <w:pPr>
              <w:rPr>
                <w:rFonts w:ascii="Arial"/>
                <w:sz w:val="21"/>
              </w:rPr>
            </w:pPr>
          </w:p>
        </w:tc>
        <w:tc>
          <w:tcPr>
            <w:tcW w:w="1166" w:type="dxa"/>
            <w:tcBorders>
              <w:right w:val="single" w:color="000000" w:sz="12" w:space="0"/>
            </w:tcBorders>
            <w:vAlign w:val="top"/>
          </w:tcPr>
          <w:p w14:paraId="6A234FA9">
            <w:pPr>
              <w:rPr>
                <w:rFonts w:ascii="Arial"/>
                <w:sz w:val="21"/>
              </w:rPr>
            </w:pPr>
          </w:p>
        </w:tc>
      </w:tr>
      <w:tr w14:paraId="4CF08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482" w:type="dxa"/>
            <w:tcBorders>
              <w:left w:val="single" w:color="000000" w:sz="12" w:space="0"/>
            </w:tcBorders>
            <w:textDirection w:val="tbRlV"/>
            <w:vAlign w:val="top"/>
          </w:tcPr>
          <w:p w14:paraId="1C8B879F">
            <w:pPr>
              <w:spacing w:before="137" w:line="209" w:lineRule="auto"/>
              <w:ind w:left="74"/>
              <w:rPr>
                <w:rFonts w:ascii="宋体" w:hAnsi="宋体" w:eastAsia="宋体" w:cs="宋体"/>
                <w:sz w:val="21"/>
                <w:szCs w:val="21"/>
              </w:rPr>
            </w:pPr>
            <w:r>
              <w:rPr>
                <w:rFonts w:ascii="宋体" w:hAnsi="宋体" w:eastAsia="宋体" w:cs="宋体"/>
                <w:spacing w:val="31"/>
                <w:sz w:val="21"/>
                <w:szCs w:val="21"/>
              </w:rPr>
              <w:t>裸藻</w:t>
            </w:r>
          </w:p>
        </w:tc>
        <w:tc>
          <w:tcPr>
            <w:tcW w:w="2823" w:type="dxa"/>
            <w:vAlign w:val="top"/>
          </w:tcPr>
          <w:p w14:paraId="68CB97F1">
            <w:pPr>
              <w:pStyle w:val="6"/>
              <w:spacing w:before="210" w:line="212" w:lineRule="auto"/>
              <w:ind w:left="400"/>
            </w:pPr>
            <w:r>
              <w:rPr>
                <w:rFonts w:ascii="宋体" w:hAnsi="宋体" w:eastAsia="宋体" w:cs="宋体"/>
                <w:spacing w:val="-1"/>
              </w:rPr>
              <w:t>梭形裸藻</w:t>
            </w:r>
            <w:r>
              <w:rPr>
                <w:rFonts w:ascii="宋体" w:hAnsi="宋体" w:eastAsia="宋体" w:cs="宋体"/>
                <w:spacing w:val="-43"/>
              </w:rPr>
              <w:t xml:space="preserve"> </w:t>
            </w:r>
            <w:r>
              <w:rPr>
                <w:spacing w:val="-1"/>
              </w:rPr>
              <w:t>Euglena acus</w:t>
            </w:r>
          </w:p>
        </w:tc>
        <w:tc>
          <w:tcPr>
            <w:tcW w:w="678" w:type="dxa"/>
            <w:vAlign w:val="top"/>
          </w:tcPr>
          <w:p w14:paraId="3B31A5AB">
            <w:pPr>
              <w:pStyle w:val="6"/>
              <w:spacing w:before="243" w:line="251" w:lineRule="exact"/>
              <w:ind w:left="275"/>
            </w:pPr>
            <w:r>
              <w:rPr>
                <w:position w:val="1"/>
              </w:rPr>
              <w:t>+</w:t>
            </w:r>
          </w:p>
        </w:tc>
        <w:tc>
          <w:tcPr>
            <w:tcW w:w="750" w:type="dxa"/>
            <w:vAlign w:val="top"/>
          </w:tcPr>
          <w:p w14:paraId="6CD02924">
            <w:pPr>
              <w:rPr>
                <w:rFonts w:ascii="Arial"/>
                <w:sz w:val="21"/>
              </w:rPr>
            </w:pPr>
          </w:p>
        </w:tc>
        <w:tc>
          <w:tcPr>
            <w:tcW w:w="677" w:type="dxa"/>
            <w:vAlign w:val="top"/>
          </w:tcPr>
          <w:p w14:paraId="4FAA11A9">
            <w:pPr>
              <w:pStyle w:val="6"/>
              <w:spacing w:before="243" w:line="251" w:lineRule="exact"/>
              <w:ind w:left="280"/>
            </w:pPr>
            <w:r>
              <w:rPr>
                <w:position w:val="1"/>
              </w:rPr>
              <w:t>+</w:t>
            </w:r>
          </w:p>
        </w:tc>
        <w:tc>
          <w:tcPr>
            <w:tcW w:w="749" w:type="dxa"/>
            <w:vAlign w:val="top"/>
          </w:tcPr>
          <w:p w14:paraId="1B2F7727">
            <w:pPr>
              <w:pStyle w:val="6"/>
              <w:spacing w:before="243" w:line="251" w:lineRule="exact"/>
              <w:ind w:left="318"/>
            </w:pPr>
            <w:r>
              <w:rPr>
                <w:position w:val="1"/>
              </w:rPr>
              <w:t>+</w:t>
            </w:r>
          </w:p>
        </w:tc>
        <w:tc>
          <w:tcPr>
            <w:tcW w:w="1148" w:type="dxa"/>
            <w:vAlign w:val="top"/>
          </w:tcPr>
          <w:p w14:paraId="210313E3">
            <w:pPr>
              <w:rPr>
                <w:rFonts w:ascii="Arial"/>
                <w:sz w:val="21"/>
              </w:rPr>
            </w:pPr>
          </w:p>
        </w:tc>
        <w:tc>
          <w:tcPr>
            <w:tcW w:w="1166" w:type="dxa"/>
            <w:tcBorders>
              <w:right w:val="single" w:color="000000" w:sz="12" w:space="0"/>
            </w:tcBorders>
            <w:vAlign w:val="top"/>
          </w:tcPr>
          <w:p w14:paraId="0F5A2F26">
            <w:pPr>
              <w:rPr>
                <w:rFonts w:ascii="Arial"/>
                <w:sz w:val="21"/>
              </w:rPr>
            </w:pPr>
          </w:p>
        </w:tc>
      </w:tr>
      <w:tr w14:paraId="31E0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82" w:type="dxa"/>
            <w:tcBorders>
              <w:left w:val="single" w:color="000000" w:sz="12" w:space="0"/>
            </w:tcBorders>
            <w:textDirection w:val="tbRlV"/>
            <w:vAlign w:val="top"/>
          </w:tcPr>
          <w:p w14:paraId="1AC70BD9">
            <w:pPr>
              <w:spacing w:before="137" w:line="208" w:lineRule="auto"/>
              <w:ind w:left="76"/>
              <w:rPr>
                <w:rFonts w:ascii="宋体" w:hAnsi="宋体" w:eastAsia="宋体" w:cs="宋体"/>
                <w:sz w:val="21"/>
                <w:szCs w:val="21"/>
              </w:rPr>
            </w:pPr>
            <w:r>
              <w:rPr>
                <w:rFonts w:ascii="宋体" w:hAnsi="宋体" w:eastAsia="宋体" w:cs="宋体"/>
                <w:spacing w:val="41"/>
                <w:sz w:val="21"/>
                <w:szCs w:val="21"/>
              </w:rPr>
              <w:t>囊裸藻</w:t>
            </w:r>
          </w:p>
        </w:tc>
        <w:tc>
          <w:tcPr>
            <w:tcW w:w="2823" w:type="dxa"/>
            <w:vAlign w:val="top"/>
          </w:tcPr>
          <w:p w14:paraId="3D1C45CE">
            <w:pPr>
              <w:pStyle w:val="6"/>
              <w:spacing w:before="227" w:line="220" w:lineRule="auto"/>
              <w:ind w:left="206"/>
            </w:pPr>
            <w:r>
              <w:rPr>
                <w:rFonts w:ascii="宋体" w:hAnsi="宋体" w:eastAsia="宋体" w:cs="宋体"/>
                <w:spacing w:val="-1"/>
              </w:rPr>
              <w:t>棘刺囊裸藻</w:t>
            </w:r>
            <w:r>
              <w:rPr>
                <w:rFonts w:ascii="宋体" w:hAnsi="宋体" w:eastAsia="宋体" w:cs="宋体"/>
                <w:spacing w:val="-44"/>
              </w:rPr>
              <w:t xml:space="preserve"> </w:t>
            </w:r>
            <w:r>
              <w:rPr>
                <w:spacing w:val="-1"/>
              </w:rPr>
              <w:t>Trachelomonas</w:t>
            </w:r>
          </w:p>
          <w:p w14:paraId="4D70D5B5">
            <w:pPr>
              <w:pStyle w:val="6"/>
              <w:spacing w:before="40" w:line="190" w:lineRule="auto"/>
              <w:ind w:left="1096"/>
            </w:pPr>
            <w:r>
              <w:rPr>
                <w:spacing w:val="-1"/>
              </w:rPr>
              <w:t>hispida</w:t>
            </w:r>
          </w:p>
        </w:tc>
        <w:tc>
          <w:tcPr>
            <w:tcW w:w="678" w:type="dxa"/>
            <w:vAlign w:val="top"/>
          </w:tcPr>
          <w:p w14:paraId="0F029C8C">
            <w:pPr>
              <w:spacing w:line="320" w:lineRule="auto"/>
              <w:rPr>
                <w:rFonts w:ascii="Arial"/>
                <w:sz w:val="21"/>
              </w:rPr>
            </w:pPr>
          </w:p>
          <w:p w14:paraId="04519C0D">
            <w:pPr>
              <w:pStyle w:val="6"/>
              <w:spacing w:before="60" w:line="251" w:lineRule="exact"/>
              <w:ind w:left="157"/>
            </w:pPr>
            <w:r>
              <w:rPr>
                <w:spacing w:val="-1"/>
                <w:position w:val="1"/>
              </w:rPr>
              <w:t>+++</w:t>
            </w:r>
          </w:p>
        </w:tc>
        <w:tc>
          <w:tcPr>
            <w:tcW w:w="750" w:type="dxa"/>
            <w:vAlign w:val="top"/>
          </w:tcPr>
          <w:p w14:paraId="36665A47">
            <w:pPr>
              <w:spacing w:line="320" w:lineRule="auto"/>
              <w:rPr>
                <w:rFonts w:ascii="Arial"/>
                <w:sz w:val="21"/>
              </w:rPr>
            </w:pPr>
          </w:p>
          <w:p w14:paraId="5BC3D075">
            <w:pPr>
              <w:pStyle w:val="6"/>
              <w:spacing w:before="60" w:line="251" w:lineRule="exact"/>
              <w:ind w:left="313"/>
            </w:pPr>
            <w:r>
              <w:rPr>
                <w:position w:val="1"/>
              </w:rPr>
              <w:t>+</w:t>
            </w:r>
          </w:p>
        </w:tc>
        <w:tc>
          <w:tcPr>
            <w:tcW w:w="677" w:type="dxa"/>
            <w:vAlign w:val="top"/>
          </w:tcPr>
          <w:p w14:paraId="04CC9F81">
            <w:pPr>
              <w:spacing w:line="320" w:lineRule="auto"/>
              <w:rPr>
                <w:rFonts w:ascii="Arial"/>
                <w:sz w:val="21"/>
              </w:rPr>
            </w:pPr>
          </w:p>
          <w:p w14:paraId="69A25D27">
            <w:pPr>
              <w:pStyle w:val="6"/>
              <w:spacing w:before="60" w:line="251" w:lineRule="exact"/>
              <w:ind w:left="280"/>
            </w:pPr>
            <w:r>
              <w:rPr>
                <w:position w:val="1"/>
              </w:rPr>
              <w:t>+</w:t>
            </w:r>
          </w:p>
        </w:tc>
        <w:tc>
          <w:tcPr>
            <w:tcW w:w="749" w:type="dxa"/>
            <w:vAlign w:val="top"/>
          </w:tcPr>
          <w:p w14:paraId="46DC2A8C">
            <w:pPr>
              <w:spacing w:line="320" w:lineRule="auto"/>
              <w:rPr>
                <w:rFonts w:ascii="Arial"/>
                <w:sz w:val="21"/>
              </w:rPr>
            </w:pPr>
          </w:p>
          <w:p w14:paraId="4003125C">
            <w:pPr>
              <w:pStyle w:val="6"/>
              <w:spacing w:before="60" w:line="251" w:lineRule="exact"/>
              <w:ind w:left="318"/>
            </w:pPr>
            <w:r>
              <w:rPr>
                <w:position w:val="1"/>
              </w:rPr>
              <w:t>+</w:t>
            </w:r>
          </w:p>
        </w:tc>
        <w:tc>
          <w:tcPr>
            <w:tcW w:w="1148" w:type="dxa"/>
            <w:vAlign w:val="top"/>
          </w:tcPr>
          <w:p w14:paraId="216B11D0">
            <w:pPr>
              <w:spacing w:line="320" w:lineRule="auto"/>
              <w:rPr>
                <w:rFonts w:ascii="Arial"/>
                <w:sz w:val="21"/>
              </w:rPr>
            </w:pPr>
          </w:p>
          <w:p w14:paraId="68D04D75">
            <w:pPr>
              <w:pStyle w:val="6"/>
              <w:spacing w:before="60" w:line="251" w:lineRule="exact"/>
              <w:ind w:left="463"/>
            </w:pPr>
            <w:r>
              <w:rPr>
                <w:spacing w:val="-1"/>
                <w:position w:val="1"/>
              </w:rPr>
              <w:t>++</w:t>
            </w:r>
          </w:p>
        </w:tc>
        <w:tc>
          <w:tcPr>
            <w:tcW w:w="1166" w:type="dxa"/>
            <w:tcBorders>
              <w:right w:val="single" w:color="000000" w:sz="12" w:space="0"/>
            </w:tcBorders>
            <w:vAlign w:val="top"/>
          </w:tcPr>
          <w:p w14:paraId="1B7A306B">
            <w:pPr>
              <w:rPr>
                <w:rFonts w:ascii="Arial"/>
                <w:sz w:val="21"/>
              </w:rPr>
            </w:pPr>
          </w:p>
        </w:tc>
      </w:tr>
      <w:tr w14:paraId="51AF2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482" w:type="dxa"/>
            <w:vMerge w:val="restart"/>
            <w:tcBorders>
              <w:left w:val="single" w:color="000000" w:sz="12" w:space="0"/>
              <w:bottom w:val="nil"/>
            </w:tcBorders>
            <w:textDirection w:val="tbRlV"/>
            <w:vAlign w:val="top"/>
          </w:tcPr>
          <w:p w14:paraId="3CA2C4BF">
            <w:pPr>
              <w:spacing w:before="137" w:line="209" w:lineRule="auto"/>
              <w:ind w:left="78"/>
              <w:rPr>
                <w:rFonts w:ascii="宋体" w:hAnsi="宋体" w:eastAsia="宋体" w:cs="宋体"/>
                <w:sz w:val="21"/>
                <w:szCs w:val="21"/>
              </w:rPr>
            </w:pPr>
            <w:r>
              <w:rPr>
                <w:rFonts w:ascii="宋体" w:hAnsi="宋体" w:eastAsia="宋体" w:cs="宋体"/>
                <w:spacing w:val="41"/>
                <w:sz w:val="21"/>
                <w:szCs w:val="21"/>
              </w:rPr>
              <w:t>扁裸藻</w:t>
            </w:r>
          </w:p>
        </w:tc>
        <w:tc>
          <w:tcPr>
            <w:tcW w:w="2823" w:type="dxa"/>
            <w:vAlign w:val="top"/>
          </w:tcPr>
          <w:p w14:paraId="1808B73A">
            <w:pPr>
              <w:pStyle w:val="6"/>
              <w:spacing w:before="140" w:line="233" w:lineRule="auto"/>
              <w:ind w:left="157"/>
            </w:pPr>
            <w:r>
              <w:rPr>
                <w:rFonts w:ascii="宋体" w:hAnsi="宋体" w:eastAsia="宋体" w:cs="宋体"/>
                <w:spacing w:val="-1"/>
              </w:rPr>
              <w:t>沟状扁裸藻</w:t>
            </w:r>
            <w:r>
              <w:rPr>
                <w:rFonts w:ascii="宋体" w:hAnsi="宋体" w:eastAsia="宋体" w:cs="宋体"/>
                <w:spacing w:val="-44"/>
              </w:rPr>
              <w:t xml:space="preserve"> </w:t>
            </w:r>
            <w:r>
              <w:rPr>
                <w:spacing w:val="-1"/>
              </w:rPr>
              <w:t>Phacus hamanus</w:t>
            </w:r>
          </w:p>
        </w:tc>
        <w:tc>
          <w:tcPr>
            <w:tcW w:w="678" w:type="dxa"/>
            <w:vAlign w:val="top"/>
          </w:tcPr>
          <w:p w14:paraId="71469D50">
            <w:pPr>
              <w:pStyle w:val="6"/>
              <w:spacing w:before="173" w:line="251" w:lineRule="exact"/>
              <w:ind w:left="275"/>
            </w:pPr>
            <w:r>
              <w:rPr>
                <w:position w:val="1"/>
              </w:rPr>
              <w:t>+</w:t>
            </w:r>
          </w:p>
        </w:tc>
        <w:tc>
          <w:tcPr>
            <w:tcW w:w="750" w:type="dxa"/>
            <w:vAlign w:val="top"/>
          </w:tcPr>
          <w:p w14:paraId="5A241F05">
            <w:pPr>
              <w:pStyle w:val="6"/>
              <w:spacing w:before="173" w:line="251" w:lineRule="exact"/>
              <w:ind w:left="313"/>
            </w:pPr>
            <w:r>
              <w:rPr>
                <w:position w:val="1"/>
              </w:rPr>
              <w:t>+</w:t>
            </w:r>
          </w:p>
        </w:tc>
        <w:tc>
          <w:tcPr>
            <w:tcW w:w="677" w:type="dxa"/>
            <w:vAlign w:val="top"/>
          </w:tcPr>
          <w:p w14:paraId="0B7FFE4E">
            <w:pPr>
              <w:pStyle w:val="6"/>
              <w:spacing w:before="173" w:line="251" w:lineRule="exact"/>
              <w:ind w:left="280"/>
            </w:pPr>
            <w:r>
              <w:rPr>
                <w:position w:val="1"/>
              </w:rPr>
              <w:t>+</w:t>
            </w:r>
          </w:p>
        </w:tc>
        <w:tc>
          <w:tcPr>
            <w:tcW w:w="749" w:type="dxa"/>
            <w:vAlign w:val="top"/>
          </w:tcPr>
          <w:p w14:paraId="56E87B1E">
            <w:pPr>
              <w:pStyle w:val="6"/>
              <w:spacing w:before="173" w:line="251" w:lineRule="exact"/>
              <w:ind w:left="259"/>
            </w:pPr>
            <w:r>
              <w:rPr>
                <w:spacing w:val="-1"/>
                <w:position w:val="1"/>
              </w:rPr>
              <w:t>++</w:t>
            </w:r>
          </w:p>
        </w:tc>
        <w:tc>
          <w:tcPr>
            <w:tcW w:w="1148" w:type="dxa"/>
            <w:vAlign w:val="top"/>
          </w:tcPr>
          <w:p w14:paraId="52A57201">
            <w:pPr>
              <w:pStyle w:val="6"/>
              <w:spacing w:before="173" w:line="251" w:lineRule="exact"/>
              <w:ind w:left="522"/>
            </w:pPr>
            <w:r>
              <w:rPr>
                <w:position w:val="1"/>
              </w:rPr>
              <w:t>+</w:t>
            </w:r>
          </w:p>
        </w:tc>
        <w:tc>
          <w:tcPr>
            <w:tcW w:w="1166" w:type="dxa"/>
            <w:tcBorders>
              <w:right w:val="single" w:color="000000" w:sz="12" w:space="0"/>
            </w:tcBorders>
            <w:vAlign w:val="top"/>
          </w:tcPr>
          <w:p w14:paraId="62C27165">
            <w:pPr>
              <w:rPr>
                <w:rFonts w:ascii="Arial"/>
                <w:sz w:val="21"/>
              </w:rPr>
            </w:pPr>
          </w:p>
        </w:tc>
      </w:tr>
      <w:tr w14:paraId="5744F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82" w:type="dxa"/>
            <w:vMerge w:val="continue"/>
            <w:tcBorders>
              <w:top w:val="nil"/>
              <w:left w:val="single" w:color="000000" w:sz="12" w:space="0"/>
            </w:tcBorders>
            <w:textDirection w:val="tbRlV"/>
            <w:vAlign w:val="top"/>
          </w:tcPr>
          <w:p w14:paraId="2DC2B774">
            <w:pPr>
              <w:rPr>
                <w:rFonts w:ascii="Arial"/>
                <w:sz w:val="21"/>
              </w:rPr>
            </w:pPr>
          </w:p>
        </w:tc>
        <w:tc>
          <w:tcPr>
            <w:tcW w:w="2823" w:type="dxa"/>
            <w:vAlign w:val="top"/>
          </w:tcPr>
          <w:p w14:paraId="3F7FF12D">
            <w:pPr>
              <w:pStyle w:val="6"/>
              <w:spacing w:before="118" w:line="213" w:lineRule="auto"/>
              <w:ind w:left="226"/>
            </w:pPr>
            <w:r>
              <w:rPr>
                <w:rFonts w:ascii="宋体" w:hAnsi="宋体" w:eastAsia="宋体" w:cs="宋体"/>
                <w:spacing w:val="-2"/>
              </w:rPr>
              <w:t>哑铃扁裸藻</w:t>
            </w:r>
            <w:r>
              <w:rPr>
                <w:rFonts w:ascii="宋体" w:hAnsi="宋体" w:eastAsia="宋体" w:cs="宋体"/>
                <w:spacing w:val="-32"/>
              </w:rPr>
              <w:t xml:space="preserve"> </w:t>
            </w:r>
            <w:r>
              <w:rPr>
                <w:spacing w:val="-2"/>
              </w:rPr>
              <w:t>Phacus peteloti</w:t>
            </w:r>
          </w:p>
        </w:tc>
        <w:tc>
          <w:tcPr>
            <w:tcW w:w="678" w:type="dxa"/>
            <w:vAlign w:val="top"/>
          </w:tcPr>
          <w:p w14:paraId="7DFFE3F5">
            <w:pPr>
              <w:pStyle w:val="6"/>
              <w:spacing w:before="152" w:line="247" w:lineRule="exact"/>
              <w:ind w:left="275"/>
            </w:pPr>
            <w:r>
              <w:t>+</w:t>
            </w:r>
          </w:p>
        </w:tc>
        <w:tc>
          <w:tcPr>
            <w:tcW w:w="750" w:type="dxa"/>
            <w:vAlign w:val="top"/>
          </w:tcPr>
          <w:p w14:paraId="24014224">
            <w:pPr>
              <w:pStyle w:val="6"/>
              <w:spacing w:before="152" w:line="247" w:lineRule="exact"/>
              <w:ind w:left="255"/>
            </w:pPr>
            <w:r>
              <w:rPr>
                <w:spacing w:val="-1"/>
              </w:rPr>
              <w:t>++</w:t>
            </w:r>
          </w:p>
        </w:tc>
        <w:tc>
          <w:tcPr>
            <w:tcW w:w="677" w:type="dxa"/>
            <w:vAlign w:val="top"/>
          </w:tcPr>
          <w:p w14:paraId="77FC055E">
            <w:pPr>
              <w:rPr>
                <w:rFonts w:ascii="Arial"/>
                <w:sz w:val="21"/>
              </w:rPr>
            </w:pPr>
          </w:p>
        </w:tc>
        <w:tc>
          <w:tcPr>
            <w:tcW w:w="749" w:type="dxa"/>
            <w:vAlign w:val="top"/>
          </w:tcPr>
          <w:p w14:paraId="7564A3AF">
            <w:pPr>
              <w:pStyle w:val="6"/>
              <w:spacing w:before="152" w:line="247" w:lineRule="exact"/>
              <w:ind w:left="318"/>
            </w:pPr>
            <w:r>
              <w:t>+</w:t>
            </w:r>
          </w:p>
        </w:tc>
        <w:tc>
          <w:tcPr>
            <w:tcW w:w="1148" w:type="dxa"/>
            <w:vAlign w:val="top"/>
          </w:tcPr>
          <w:p w14:paraId="43D31D02">
            <w:pPr>
              <w:pStyle w:val="6"/>
              <w:spacing w:before="152" w:line="247" w:lineRule="exact"/>
              <w:ind w:left="522"/>
            </w:pPr>
            <w:r>
              <w:t>+</w:t>
            </w:r>
          </w:p>
        </w:tc>
        <w:tc>
          <w:tcPr>
            <w:tcW w:w="1166" w:type="dxa"/>
            <w:tcBorders>
              <w:right w:val="single" w:color="000000" w:sz="12" w:space="0"/>
            </w:tcBorders>
            <w:vAlign w:val="top"/>
          </w:tcPr>
          <w:p w14:paraId="4E7002F3">
            <w:pPr>
              <w:pStyle w:val="6"/>
              <w:spacing w:before="152" w:line="247" w:lineRule="exact"/>
              <w:ind w:left="527"/>
            </w:pPr>
            <w:r>
              <w:t>+</w:t>
            </w:r>
          </w:p>
        </w:tc>
      </w:tr>
      <w:tr w14:paraId="1B96D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305" w:type="dxa"/>
            <w:gridSpan w:val="2"/>
            <w:tcBorders>
              <w:left w:val="single" w:color="000000" w:sz="12" w:space="0"/>
            </w:tcBorders>
            <w:vAlign w:val="top"/>
          </w:tcPr>
          <w:p w14:paraId="7A48F94C">
            <w:pPr>
              <w:pStyle w:val="6"/>
              <w:spacing w:before="144" w:line="212" w:lineRule="auto"/>
              <w:ind w:left="621"/>
            </w:pPr>
            <w:r>
              <w:rPr>
                <w:rFonts w:ascii="宋体" w:hAnsi="宋体" w:eastAsia="宋体" w:cs="宋体"/>
                <w:b/>
                <w:bCs/>
                <w:spacing w:val="-2"/>
              </w:rPr>
              <w:t>五、甲藻门</w:t>
            </w:r>
            <w:r>
              <w:rPr>
                <w:rFonts w:ascii="宋体" w:hAnsi="宋体" w:eastAsia="宋体" w:cs="宋体"/>
                <w:spacing w:val="-45"/>
              </w:rPr>
              <w:t xml:space="preserve"> </w:t>
            </w:r>
            <w:r>
              <w:rPr>
                <w:b/>
                <w:bCs/>
                <w:spacing w:val="-2"/>
              </w:rPr>
              <w:t>Dinopbyta</w:t>
            </w:r>
          </w:p>
        </w:tc>
        <w:tc>
          <w:tcPr>
            <w:tcW w:w="678" w:type="dxa"/>
            <w:vAlign w:val="top"/>
          </w:tcPr>
          <w:p w14:paraId="5D361536">
            <w:pPr>
              <w:rPr>
                <w:rFonts w:ascii="Arial"/>
                <w:sz w:val="21"/>
              </w:rPr>
            </w:pPr>
          </w:p>
        </w:tc>
        <w:tc>
          <w:tcPr>
            <w:tcW w:w="750" w:type="dxa"/>
            <w:vAlign w:val="top"/>
          </w:tcPr>
          <w:p w14:paraId="7BE72070">
            <w:pPr>
              <w:rPr>
                <w:rFonts w:ascii="Arial"/>
                <w:sz w:val="21"/>
              </w:rPr>
            </w:pPr>
          </w:p>
        </w:tc>
        <w:tc>
          <w:tcPr>
            <w:tcW w:w="677" w:type="dxa"/>
            <w:vAlign w:val="top"/>
          </w:tcPr>
          <w:p w14:paraId="3B45E89F">
            <w:pPr>
              <w:rPr>
                <w:rFonts w:ascii="Arial"/>
                <w:sz w:val="21"/>
              </w:rPr>
            </w:pPr>
          </w:p>
        </w:tc>
        <w:tc>
          <w:tcPr>
            <w:tcW w:w="749" w:type="dxa"/>
            <w:vAlign w:val="top"/>
          </w:tcPr>
          <w:p w14:paraId="2AFE5284">
            <w:pPr>
              <w:rPr>
                <w:rFonts w:ascii="Arial"/>
                <w:sz w:val="21"/>
              </w:rPr>
            </w:pPr>
          </w:p>
        </w:tc>
        <w:tc>
          <w:tcPr>
            <w:tcW w:w="1148" w:type="dxa"/>
            <w:vAlign w:val="top"/>
          </w:tcPr>
          <w:p w14:paraId="5A78EDF0">
            <w:pPr>
              <w:rPr>
                <w:rFonts w:ascii="Arial"/>
                <w:sz w:val="21"/>
              </w:rPr>
            </w:pPr>
          </w:p>
        </w:tc>
        <w:tc>
          <w:tcPr>
            <w:tcW w:w="1166" w:type="dxa"/>
            <w:tcBorders>
              <w:right w:val="single" w:color="000000" w:sz="12" w:space="0"/>
            </w:tcBorders>
            <w:vAlign w:val="top"/>
          </w:tcPr>
          <w:p w14:paraId="21EC48D4">
            <w:pPr>
              <w:rPr>
                <w:rFonts w:ascii="Arial"/>
                <w:sz w:val="21"/>
              </w:rPr>
            </w:pPr>
          </w:p>
        </w:tc>
      </w:tr>
      <w:tr w14:paraId="5EE8A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482" w:type="dxa"/>
            <w:vMerge w:val="restart"/>
            <w:tcBorders>
              <w:left w:val="single" w:color="000000" w:sz="12" w:space="0"/>
              <w:bottom w:val="nil"/>
            </w:tcBorders>
            <w:textDirection w:val="tbRlV"/>
            <w:vAlign w:val="top"/>
          </w:tcPr>
          <w:p w14:paraId="2AA9462E">
            <w:pPr>
              <w:spacing w:before="137" w:line="205" w:lineRule="auto"/>
              <w:ind w:left="166"/>
              <w:rPr>
                <w:rFonts w:ascii="宋体" w:hAnsi="宋体" w:eastAsia="宋体" w:cs="宋体"/>
                <w:sz w:val="21"/>
                <w:szCs w:val="21"/>
              </w:rPr>
            </w:pPr>
            <w:r>
              <w:rPr>
                <w:rFonts w:ascii="宋体" w:hAnsi="宋体" w:eastAsia="宋体" w:cs="宋体"/>
                <w:spacing w:val="41"/>
                <w:sz w:val="21"/>
                <w:szCs w:val="21"/>
              </w:rPr>
              <w:t>角甲藻</w:t>
            </w:r>
          </w:p>
        </w:tc>
        <w:tc>
          <w:tcPr>
            <w:tcW w:w="2823" w:type="dxa"/>
            <w:vAlign w:val="top"/>
          </w:tcPr>
          <w:p w14:paraId="24A6176E">
            <w:pPr>
              <w:pStyle w:val="6"/>
              <w:spacing w:before="145" w:line="233" w:lineRule="auto"/>
              <w:ind w:left="68"/>
            </w:pPr>
            <w:r>
              <w:rPr>
                <w:rFonts w:ascii="宋体" w:hAnsi="宋体" w:eastAsia="宋体" w:cs="宋体"/>
                <w:spacing w:val="-1"/>
              </w:rPr>
              <w:t>具角角甲藻</w:t>
            </w:r>
            <w:r>
              <w:rPr>
                <w:rFonts w:ascii="宋体" w:hAnsi="宋体" w:eastAsia="宋体" w:cs="宋体"/>
                <w:spacing w:val="-44"/>
              </w:rPr>
              <w:t xml:space="preserve"> </w:t>
            </w:r>
            <w:r>
              <w:rPr>
                <w:spacing w:val="-1"/>
              </w:rPr>
              <w:t>Ceratiun cornutum</w:t>
            </w:r>
          </w:p>
        </w:tc>
        <w:tc>
          <w:tcPr>
            <w:tcW w:w="678" w:type="dxa"/>
            <w:vAlign w:val="top"/>
          </w:tcPr>
          <w:p w14:paraId="45EA4677">
            <w:pPr>
              <w:pStyle w:val="6"/>
              <w:spacing w:before="179" w:line="251" w:lineRule="exact"/>
              <w:ind w:left="275"/>
            </w:pPr>
            <w:r>
              <w:rPr>
                <w:position w:val="1"/>
              </w:rPr>
              <w:t>+</w:t>
            </w:r>
          </w:p>
        </w:tc>
        <w:tc>
          <w:tcPr>
            <w:tcW w:w="750" w:type="dxa"/>
            <w:vAlign w:val="top"/>
          </w:tcPr>
          <w:p w14:paraId="53F1D0C1">
            <w:pPr>
              <w:rPr>
                <w:rFonts w:ascii="Arial"/>
                <w:sz w:val="21"/>
              </w:rPr>
            </w:pPr>
          </w:p>
        </w:tc>
        <w:tc>
          <w:tcPr>
            <w:tcW w:w="677" w:type="dxa"/>
            <w:vAlign w:val="top"/>
          </w:tcPr>
          <w:p w14:paraId="5AF3EBDB">
            <w:pPr>
              <w:pStyle w:val="6"/>
              <w:spacing w:before="179" w:line="251" w:lineRule="exact"/>
              <w:ind w:left="280"/>
            </w:pPr>
            <w:r>
              <w:rPr>
                <w:position w:val="1"/>
              </w:rPr>
              <w:t>+</w:t>
            </w:r>
          </w:p>
        </w:tc>
        <w:tc>
          <w:tcPr>
            <w:tcW w:w="749" w:type="dxa"/>
            <w:vAlign w:val="top"/>
          </w:tcPr>
          <w:p w14:paraId="03C04270">
            <w:pPr>
              <w:pStyle w:val="6"/>
              <w:spacing w:before="179" w:line="251" w:lineRule="exact"/>
              <w:ind w:left="318"/>
            </w:pPr>
            <w:r>
              <w:rPr>
                <w:position w:val="1"/>
              </w:rPr>
              <w:t>+</w:t>
            </w:r>
          </w:p>
        </w:tc>
        <w:tc>
          <w:tcPr>
            <w:tcW w:w="1148" w:type="dxa"/>
            <w:vAlign w:val="top"/>
          </w:tcPr>
          <w:p w14:paraId="4C68E81C">
            <w:pPr>
              <w:pStyle w:val="6"/>
              <w:spacing w:before="179" w:line="251" w:lineRule="exact"/>
              <w:ind w:left="522"/>
            </w:pPr>
            <w:r>
              <w:rPr>
                <w:position w:val="1"/>
              </w:rPr>
              <w:t>+</w:t>
            </w:r>
          </w:p>
        </w:tc>
        <w:tc>
          <w:tcPr>
            <w:tcW w:w="1166" w:type="dxa"/>
            <w:tcBorders>
              <w:right w:val="single" w:color="000000" w:sz="12" w:space="0"/>
            </w:tcBorders>
            <w:vAlign w:val="top"/>
          </w:tcPr>
          <w:p w14:paraId="27AD67C9">
            <w:pPr>
              <w:rPr>
                <w:rFonts w:ascii="Arial"/>
                <w:sz w:val="21"/>
              </w:rPr>
            </w:pPr>
          </w:p>
        </w:tc>
      </w:tr>
      <w:tr w14:paraId="45901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482" w:type="dxa"/>
            <w:vMerge w:val="continue"/>
            <w:tcBorders>
              <w:top w:val="nil"/>
              <w:left w:val="single" w:color="000000" w:sz="12" w:space="0"/>
              <w:bottom w:val="single" w:color="000000" w:sz="12" w:space="0"/>
            </w:tcBorders>
            <w:textDirection w:val="tbRlV"/>
            <w:vAlign w:val="top"/>
          </w:tcPr>
          <w:p w14:paraId="7FC10F59">
            <w:pPr>
              <w:rPr>
                <w:rFonts w:ascii="Arial"/>
                <w:sz w:val="21"/>
              </w:rPr>
            </w:pPr>
          </w:p>
        </w:tc>
        <w:tc>
          <w:tcPr>
            <w:tcW w:w="2823" w:type="dxa"/>
            <w:tcBorders>
              <w:bottom w:val="single" w:color="000000" w:sz="12" w:space="0"/>
            </w:tcBorders>
            <w:vAlign w:val="top"/>
          </w:tcPr>
          <w:p w14:paraId="34BE61E3">
            <w:pPr>
              <w:pStyle w:val="6"/>
              <w:spacing w:before="85" w:line="233" w:lineRule="auto"/>
              <w:ind w:left="891" w:right="446" w:hanging="446"/>
            </w:pPr>
            <w:r>
              <w:rPr>
                <w:rFonts w:ascii="宋体" w:hAnsi="宋体" w:eastAsia="宋体" w:cs="宋体"/>
                <w:spacing w:val="-2"/>
              </w:rPr>
              <w:t xml:space="preserve">飞燕角甲藻 </w:t>
            </w:r>
            <w:r>
              <w:rPr>
                <w:spacing w:val="-2"/>
              </w:rPr>
              <w:t>Ceratium</w:t>
            </w:r>
            <w:r>
              <w:rPr>
                <w:spacing w:val="12"/>
              </w:rPr>
              <w:t xml:space="preserve"> </w:t>
            </w:r>
            <w:r>
              <w:rPr>
                <w:spacing w:val="-1"/>
              </w:rPr>
              <w:t>hirundinella</w:t>
            </w:r>
          </w:p>
        </w:tc>
        <w:tc>
          <w:tcPr>
            <w:tcW w:w="678" w:type="dxa"/>
            <w:tcBorders>
              <w:bottom w:val="single" w:color="000000" w:sz="12" w:space="0"/>
            </w:tcBorders>
            <w:vAlign w:val="top"/>
          </w:tcPr>
          <w:p w14:paraId="70B3F74D">
            <w:pPr>
              <w:pStyle w:val="6"/>
              <w:spacing w:before="239" w:line="250" w:lineRule="exact"/>
              <w:ind w:left="216"/>
            </w:pPr>
            <w:r>
              <w:rPr>
                <w:spacing w:val="-1"/>
                <w:position w:val="1"/>
              </w:rPr>
              <w:t>++</w:t>
            </w:r>
          </w:p>
        </w:tc>
        <w:tc>
          <w:tcPr>
            <w:tcW w:w="750" w:type="dxa"/>
            <w:tcBorders>
              <w:bottom w:val="single" w:color="000000" w:sz="12" w:space="0"/>
            </w:tcBorders>
            <w:vAlign w:val="top"/>
          </w:tcPr>
          <w:p w14:paraId="5B2B2A85">
            <w:pPr>
              <w:pStyle w:val="6"/>
              <w:spacing w:before="239" w:line="250" w:lineRule="exact"/>
              <w:ind w:left="313"/>
            </w:pPr>
            <w:r>
              <w:rPr>
                <w:position w:val="1"/>
              </w:rPr>
              <w:t>+</w:t>
            </w:r>
          </w:p>
        </w:tc>
        <w:tc>
          <w:tcPr>
            <w:tcW w:w="677" w:type="dxa"/>
            <w:tcBorders>
              <w:bottom w:val="single" w:color="000000" w:sz="12" w:space="0"/>
            </w:tcBorders>
            <w:vAlign w:val="top"/>
          </w:tcPr>
          <w:p w14:paraId="661CD423">
            <w:pPr>
              <w:pStyle w:val="6"/>
              <w:spacing w:before="239" w:line="250" w:lineRule="exact"/>
              <w:ind w:left="280"/>
            </w:pPr>
            <w:r>
              <w:rPr>
                <w:position w:val="1"/>
              </w:rPr>
              <w:t>+</w:t>
            </w:r>
          </w:p>
        </w:tc>
        <w:tc>
          <w:tcPr>
            <w:tcW w:w="749" w:type="dxa"/>
            <w:tcBorders>
              <w:bottom w:val="single" w:color="000000" w:sz="12" w:space="0"/>
            </w:tcBorders>
            <w:vAlign w:val="top"/>
          </w:tcPr>
          <w:p w14:paraId="5DF45AA9">
            <w:pPr>
              <w:rPr>
                <w:rFonts w:ascii="Arial"/>
                <w:sz w:val="21"/>
              </w:rPr>
            </w:pPr>
          </w:p>
        </w:tc>
        <w:tc>
          <w:tcPr>
            <w:tcW w:w="1148" w:type="dxa"/>
            <w:tcBorders>
              <w:bottom w:val="single" w:color="000000" w:sz="12" w:space="0"/>
            </w:tcBorders>
            <w:vAlign w:val="top"/>
          </w:tcPr>
          <w:p w14:paraId="62D4EE6D">
            <w:pPr>
              <w:rPr>
                <w:rFonts w:ascii="Arial"/>
                <w:sz w:val="21"/>
              </w:rPr>
            </w:pPr>
          </w:p>
        </w:tc>
        <w:tc>
          <w:tcPr>
            <w:tcW w:w="1166" w:type="dxa"/>
            <w:tcBorders>
              <w:bottom w:val="single" w:color="000000" w:sz="12" w:space="0"/>
              <w:right w:val="single" w:color="000000" w:sz="12" w:space="0"/>
            </w:tcBorders>
            <w:vAlign w:val="top"/>
          </w:tcPr>
          <w:p w14:paraId="6C64D90C">
            <w:pPr>
              <w:pStyle w:val="6"/>
              <w:spacing w:before="239" w:line="250" w:lineRule="exact"/>
              <w:ind w:left="527"/>
            </w:pPr>
            <w:r>
              <w:rPr>
                <w:position w:val="1"/>
              </w:rPr>
              <w:t>+</w:t>
            </w:r>
          </w:p>
        </w:tc>
      </w:tr>
    </w:tbl>
    <w:p w14:paraId="53B50FEB">
      <w:pPr>
        <w:spacing w:line="251" w:lineRule="auto"/>
        <w:rPr>
          <w:rFonts w:ascii="Arial"/>
          <w:sz w:val="21"/>
        </w:rPr>
      </w:pPr>
    </w:p>
    <w:p w14:paraId="10639626">
      <w:pPr>
        <w:spacing w:line="252" w:lineRule="auto"/>
        <w:rPr>
          <w:rFonts w:ascii="Arial"/>
          <w:sz w:val="21"/>
        </w:rPr>
      </w:pPr>
    </w:p>
    <w:p w14:paraId="28BCC3CA">
      <w:pPr>
        <w:pStyle w:val="2"/>
        <w:spacing w:before="78" w:line="335" w:lineRule="auto"/>
        <w:ind w:left="3" w:firstLine="518"/>
        <w:jc w:val="both"/>
        <w:rPr>
          <w:sz w:val="24"/>
          <w:szCs w:val="24"/>
        </w:rPr>
      </w:pPr>
      <w:r>
        <w:rPr>
          <w:spacing w:val="-9"/>
          <w:sz w:val="24"/>
          <w:szCs w:val="24"/>
        </w:rPr>
        <w:t>从监测区水生藻类的物种区系来看，在马龙河库尾、车章河库尾、白塔河库尾、</w:t>
      </w:r>
      <w:r>
        <w:rPr>
          <w:sz w:val="24"/>
          <w:szCs w:val="24"/>
        </w:rPr>
        <w:t>白塔河坝前、马龙河干流离坝址</w:t>
      </w:r>
      <w:r>
        <w:rPr>
          <w:spacing w:val="-54"/>
          <w:sz w:val="24"/>
          <w:szCs w:val="24"/>
        </w:rPr>
        <w:t xml:space="preserve"> </w:t>
      </w:r>
      <w:r>
        <w:rPr>
          <w:rFonts w:ascii="Times New Roman" w:hAnsi="Times New Roman" w:eastAsia="Times New Roman" w:cs="Times New Roman"/>
          <w:sz w:val="24"/>
          <w:szCs w:val="24"/>
        </w:rPr>
        <w:t xml:space="preserve">2km </w:t>
      </w:r>
      <w:r>
        <w:rPr>
          <w:sz w:val="24"/>
          <w:szCs w:val="24"/>
        </w:rPr>
        <w:t>处</w:t>
      </w:r>
      <w:r>
        <w:rPr>
          <w:spacing w:val="-1"/>
          <w:sz w:val="24"/>
          <w:szCs w:val="24"/>
        </w:rPr>
        <w:t>与马龙河干流离坝址</w:t>
      </w:r>
      <w:r>
        <w:rPr>
          <w:spacing w:val="-49"/>
          <w:sz w:val="24"/>
          <w:szCs w:val="24"/>
        </w:rPr>
        <w:t xml:space="preserve"> </w:t>
      </w:r>
      <w:r>
        <w:rPr>
          <w:rFonts w:ascii="Times New Roman" w:hAnsi="Times New Roman" w:eastAsia="Times New Roman" w:cs="Times New Roman"/>
          <w:spacing w:val="-1"/>
          <w:sz w:val="24"/>
          <w:szCs w:val="24"/>
        </w:rPr>
        <w:t xml:space="preserve">6km </w:t>
      </w:r>
      <w:r>
        <w:rPr>
          <w:spacing w:val="-1"/>
          <w:sz w:val="24"/>
          <w:szCs w:val="24"/>
        </w:rPr>
        <w:t>处河段各个采样</w:t>
      </w:r>
      <w:r>
        <w:rPr>
          <w:spacing w:val="3"/>
          <w:sz w:val="24"/>
          <w:szCs w:val="24"/>
        </w:rPr>
        <w:t>点的水生藻类植物以硅藻门、绿藻门和蓝藻门种类占优势，硅藻门中奇异菱形藻</w:t>
      </w:r>
      <w:r>
        <w:rPr>
          <w:sz w:val="24"/>
          <w:szCs w:val="24"/>
        </w:rPr>
        <w:t>（</w:t>
      </w:r>
      <w:r>
        <w:rPr>
          <w:rFonts w:ascii="Times New Roman" w:hAnsi="Times New Roman" w:eastAsia="Times New Roman" w:cs="Times New Roman"/>
          <w:i/>
          <w:iCs/>
          <w:sz w:val="24"/>
          <w:szCs w:val="24"/>
        </w:rPr>
        <w:t>Nitzschia   paradoxa</w:t>
      </w:r>
      <w:r>
        <w:rPr>
          <w:spacing w:val="-52"/>
          <w:w w:val="83"/>
          <w:sz w:val="24"/>
          <w:szCs w:val="24"/>
        </w:rPr>
        <w:t>），</w:t>
      </w:r>
      <w:r>
        <w:rPr>
          <w:sz w:val="24"/>
          <w:szCs w:val="24"/>
        </w:rPr>
        <w:t>短小曲壳藻</w:t>
      </w:r>
      <w:r>
        <w:rPr>
          <w:spacing w:val="-60"/>
          <w:sz w:val="24"/>
          <w:szCs w:val="24"/>
        </w:rPr>
        <w:t xml:space="preserve"> </w:t>
      </w:r>
      <w:r>
        <w:rPr>
          <w:i/>
          <w:iCs/>
          <w:sz w:val="25"/>
          <w:szCs w:val="25"/>
        </w:rPr>
        <w:t>（</w:t>
      </w:r>
      <w:r>
        <w:rPr>
          <w:rFonts w:ascii="Times New Roman" w:hAnsi="Times New Roman" w:eastAsia="Times New Roman" w:cs="Times New Roman"/>
          <w:i/>
          <w:iCs/>
          <w:sz w:val="24"/>
          <w:szCs w:val="24"/>
        </w:rPr>
        <w:t>Achnanthesexigua</w:t>
      </w:r>
      <w:r>
        <w:rPr>
          <w:spacing w:val="-52"/>
          <w:w w:val="83"/>
          <w:sz w:val="24"/>
          <w:szCs w:val="24"/>
        </w:rPr>
        <w:t>），</w:t>
      </w:r>
      <w:r>
        <w:rPr>
          <w:sz w:val="24"/>
          <w:szCs w:val="24"/>
        </w:rPr>
        <w:t>扁圆卵形藻（</w:t>
      </w:r>
      <w:r>
        <w:rPr>
          <w:rFonts w:ascii="Times New Roman" w:hAnsi="Times New Roman" w:eastAsia="Times New Roman" w:cs="Times New Roman"/>
          <w:i/>
          <w:iCs/>
          <w:sz w:val="24"/>
          <w:szCs w:val="24"/>
        </w:rPr>
        <w:t>Cocconeis placentula</w:t>
      </w:r>
      <w:r>
        <w:rPr>
          <w:spacing w:val="2"/>
          <w:sz w:val="24"/>
          <w:szCs w:val="24"/>
        </w:rPr>
        <w:t>）等为常见种，为典型的河流生境浮游植物群落结构。蓝藻门中鱼腥藻</w:t>
      </w:r>
      <w:r>
        <w:rPr>
          <w:spacing w:val="-6"/>
          <w:sz w:val="24"/>
          <w:szCs w:val="24"/>
        </w:rPr>
        <w:t>属、颤藻属、微囊藻属等</w:t>
      </w:r>
      <w:r>
        <w:rPr>
          <w:spacing w:val="-50"/>
          <w:sz w:val="24"/>
          <w:szCs w:val="24"/>
        </w:rPr>
        <w:t xml:space="preserve"> </w:t>
      </w:r>
      <w:r>
        <w:rPr>
          <w:rFonts w:ascii="Times New Roman" w:hAnsi="Times New Roman" w:eastAsia="Times New Roman" w:cs="Times New Roman"/>
          <w:spacing w:val="-6"/>
          <w:sz w:val="24"/>
          <w:szCs w:val="24"/>
        </w:rPr>
        <w:t xml:space="preserve">3 </w:t>
      </w:r>
      <w:r>
        <w:rPr>
          <w:spacing w:val="-6"/>
          <w:sz w:val="24"/>
          <w:szCs w:val="24"/>
        </w:rPr>
        <w:t>个污染带指示种出现率较高。</w:t>
      </w:r>
      <w:r>
        <w:rPr>
          <w:spacing w:val="-7"/>
          <w:sz w:val="24"/>
          <w:szCs w:val="24"/>
        </w:rPr>
        <w:t>调查河段中， 绿藻门的种</w:t>
      </w:r>
      <w:r>
        <w:rPr>
          <w:spacing w:val="-3"/>
          <w:sz w:val="24"/>
          <w:szCs w:val="24"/>
        </w:rPr>
        <w:t>类主要有角星鼓藻、鼓藻属、纤维藻属和新月藻属等种类。硅藻门的种类</w:t>
      </w:r>
      <w:r>
        <w:rPr>
          <w:spacing w:val="-4"/>
          <w:sz w:val="24"/>
          <w:szCs w:val="24"/>
        </w:rPr>
        <w:t>主要为舟</w:t>
      </w:r>
    </w:p>
    <w:p w14:paraId="2F18709D">
      <w:pPr>
        <w:spacing w:line="335" w:lineRule="auto"/>
        <w:rPr>
          <w:sz w:val="24"/>
          <w:szCs w:val="24"/>
        </w:rPr>
        <w:sectPr>
          <w:headerReference r:id="rId202" w:type="default"/>
          <w:footerReference r:id="rId203" w:type="default"/>
          <w:pgSz w:w="11907" w:h="16839"/>
          <w:pgMar w:top="1376" w:right="1614" w:bottom="1061" w:left="1671" w:header="999" w:footer="861" w:gutter="0"/>
          <w:cols w:space="720" w:num="1"/>
        </w:sectPr>
      </w:pPr>
    </w:p>
    <w:p w14:paraId="18831054">
      <w:pPr>
        <w:spacing w:line="452" w:lineRule="auto"/>
        <w:rPr>
          <w:rFonts w:ascii="Arial"/>
          <w:sz w:val="21"/>
        </w:rPr>
      </w:pPr>
    </w:p>
    <w:p w14:paraId="46D1F9D5">
      <w:pPr>
        <w:pStyle w:val="2"/>
        <w:spacing w:before="78" w:line="339" w:lineRule="auto"/>
        <w:ind w:left="41" w:right="86"/>
        <w:jc w:val="both"/>
        <w:rPr>
          <w:sz w:val="24"/>
          <w:szCs w:val="24"/>
        </w:rPr>
      </w:pPr>
      <w:r>
        <w:rPr>
          <w:spacing w:val="-7"/>
          <w:sz w:val="24"/>
          <w:szCs w:val="24"/>
        </w:rPr>
        <w:t>形藻属、桥弯藻属、针杆藻属等喜洁净水体生境特征的种</w:t>
      </w:r>
      <w:r>
        <w:rPr>
          <w:spacing w:val="-8"/>
          <w:sz w:val="24"/>
          <w:szCs w:val="24"/>
        </w:rPr>
        <w:t>类和密度明显减少， 由此</w:t>
      </w:r>
      <w:r>
        <w:rPr>
          <w:spacing w:val="2"/>
          <w:sz w:val="24"/>
          <w:szCs w:val="24"/>
        </w:rPr>
        <w:t>可见，本次调查断面由于施工区生产废水和生活污水将对水体造成一定程度的污</w:t>
      </w:r>
      <w:r>
        <w:rPr>
          <w:spacing w:val="-4"/>
          <w:sz w:val="24"/>
          <w:szCs w:val="24"/>
        </w:rPr>
        <w:t>染，使施工期间硅藻、绿藻等喜洁净水体种类的密度和数量下降，其它</w:t>
      </w:r>
      <w:r>
        <w:rPr>
          <w:spacing w:val="-5"/>
          <w:sz w:val="24"/>
          <w:szCs w:val="24"/>
        </w:rPr>
        <w:t>藻类变化不</w:t>
      </w:r>
      <w:r>
        <w:rPr>
          <w:spacing w:val="-8"/>
          <w:sz w:val="24"/>
          <w:szCs w:val="24"/>
        </w:rPr>
        <w:t>是很明显。</w:t>
      </w:r>
    </w:p>
    <w:p w14:paraId="6D29F10E">
      <w:pPr>
        <w:pStyle w:val="2"/>
        <w:spacing w:line="217" w:lineRule="auto"/>
        <w:ind w:left="518"/>
        <w:rPr>
          <w:sz w:val="24"/>
          <w:szCs w:val="24"/>
        </w:rPr>
      </w:pPr>
      <w:r>
        <w:rPr>
          <w:spacing w:val="-3"/>
          <w:sz w:val="24"/>
          <w:szCs w:val="24"/>
        </w:rPr>
        <w:t>①密度</w:t>
      </w:r>
    </w:p>
    <w:p w14:paraId="77616A06">
      <w:pPr>
        <w:pStyle w:val="2"/>
        <w:spacing w:before="161" w:line="338" w:lineRule="auto"/>
        <w:ind w:left="35" w:right="16" w:firstLine="484"/>
        <w:rPr>
          <w:sz w:val="24"/>
          <w:szCs w:val="24"/>
        </w:rPr>
      </w:pPr>
      <w:r>
        <w:rPr>
          <w:spacing w:val="3"/>
          <w:sz w:val="24"/>
          <w:szCs w:val="24"/>
        </w:rPr>
        <w:t>通过对工程影响水域各采样点的浮游植物的定量统</w:t>
      </w:r>
      <w:r>
        <w:rPr>
          <w:spacing w:val="2"/>
          <w:sz w:val="24"/>
          <w:szCs w:val="24"/>
        </w:rPr>
        <w:t>计，浮游植物的平均密度</w:t>
      </w:r>
      <w:r>
        <w:rPr>
          <w:spacing w:val="-2"/>
          <w:sz w:val="24"/>
          <w:szCs w:val="24"/>
        </w:rPr>
        <w:t>为</w:t>
      </w:r>
      <w:r>
        <w:rPr>
          <w:spacing w:val="-40"/>
          <w:sz w:val="24"/>
          <w:szCs w:val="24"/>
        </w:rPr>
        <w:t xml:space="preserve"> </w:t>
      </w:r>
      <w:r>
        <w:rPr>
          <w:rFonts w:ascii="Times New Roman" w:hAnsi="Times New Roman" w:eastAsia="Times New Roman" w:cs="Times New Roman"/>
          <w:spacing w:val="-2"/>
          <w:sz w:val="24"/>
          <w:szCs w:val="24"/>
        </w:rPr>
        <w:t>318.53×10</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11"/>
          <w:w w:val="101"/>
          <w:position w:val="8"/>
          <w:sz w:val="15"/>
          <w:szCs w:val="15"/>
        </w:rPr>
        <w:t xml:space="preserve">  </w:t>
      </w:r>
      <w:r>
        <w:rPr>
          <w:rFonts w:ascii="Times New Roman" w:hAnsi="Times New Roman" w:eastAsia="Times New Roman" w:cs="Times New Roman"/>
          <w:spacing w:val="-2"/>
          <w:sz w:val="24"/>
          <w:szCs w:val="24"/>
        </w:rPr>
        <w:t>ind./L</w:t>
      </w:r>
      <w:r>
        <w:rPr>
          <w:spacing w:val="-2"/>
          <w:sz w:val="24"/>
          <w:szCs w:val="24"/>
        </w:rPr>
        <w:t>，其中硅藻门为</w:t>
      </w:r>
      <w:r>
        <w:rPr>
          <w:spacing w:val="-22"/>
          <w:sz w:val="24"/>
          <w:szCs w:val="24"/>
        </w:rPr>
        <w:t xml:space="preserve"> </w:t>
      </w:r>
      <w:r>
        <w:rPr>
          <w:rFonts w:ascii="Times New Roman" w:hAnsi="Times New Roman" w:eastAsia="Times New Roman" w:cs="Times New Roman"/>
          <w:spacing w:val="-2"/>
          <w:sz w:val="24"/>
          <w:szCs w:val="24"/>
        </w:rPr>
        <w:t>178.53×10</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ind./L</w:t>
      </w:r>
      <w:r>
        <w:rPr>
          <w:spacing w:val="-2"/>
          <w:sz w:val="24"/>
          <w:szCs w:val="24"/>
        </w:rPr>
        <w:t>，绿藻门为</w:t>
      </w:r>
      <w:r>
        <w:rPr>
          <w:spacing w:val="-46"/>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12×10</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4"/>
          <w:szCs w:val="24"/>
        </w:rPr>
        <w:t>ind./L</w:t>
      </w:r>
      <w:r>
        <w:rPr>
          <w:spacing w:val="-2"/>
          <w:sz w:val="24"/>
          <w:szCs w:val="24"/>
        </w:rPr>
        <w:t>，</w:t>
      </w:r>
      <w:r>
        <w:rPr>
          <w:sz w:val="24"/>
          <w:szCs w:val="24"/>
        </w:rPr>
        <w:t>蓝藻门为</w:t>
      </w:r>
      <w:r>
        <w:rPr>
          <w:spacing w:val="-46"/>
          <w:sz w:val="24"/>
          <w:szCs w:val="24"/>
        </w:rPr>
        <w:t xml:space="preserve"> </w:t>
      </w:r>
      <w:r>
        <w:rPr>
          <w:rFonts w:ascii="Times New Roman" w:hAnsi="Times New Roman" w:eastAsia="Times New Roman" w:cs="Times New Roman"/>
          <w:sz w:val="24"/>
          <w:szCs w:val="24"/>
        </w:rPr>
        <w:t>87.25×10</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ind./L</w:t>
      </w:r>
      <w:r>
        <w:rPr>
          <w:sz w:val="24"/>
          <w:szCs w:val="24"/>
        </w:rPr>
        <w:t>，裸藻门为</w:t>
      </w:r>
      <w:r>
        <w:rPr>
          <w:spacing w:val="-56"/>
          <w:sz w:val="24"/>
          <w:szCs w:val="24"/>
        </w:rPr>
        <w:t xml:space="preserve"> </w:t>
      </w:r>
      <w:r>
        <w:rPr>
          <w:rFonts w:ascii="Times New Roman" w:hAnsi="Times New Roman" w:eastAsia="Times New Roman" w:cs="Times New Roman"/>
          <w:sz w:val="24"/>
          <w:szCs w:val="24"/>
        </w:rPr>
        <w:t>4.0</w:t>
      </w:r>
      <w:r>
        <w:rPr>
          <w:rFonts w:ascii="Times New Roman" w:hAnsi="Times New Roman" w:eastAsia="Times New Roman" w:cs="Times New Roman"/>
          <w:spacing w:val="-1"/>
          <w:sz w:val="24"/>
          <w:szCs w:val="24"/>
        </w:rPr>
        <w:t>2×10</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ind./L</w:t>
      </w:r>
      <w:r>
        <w:rPr>
          <w:spacing w:val="-1"/>
          <w:sz w:val="24"/>
          <w:szCs w:val="24"/>
        </w:rPr>
        <w:t>，甲藻门为</w:t>
      </w:r>
      <w:r>
        <w:rPr>
          <w:spacing w:val="-49"/>
          <w:sz w:val="24"/>
          <w:szCs w:val="24"/>
        </w:rPr>
        <w:t xml:space="preserve"> </w:t>
      </w:r>
      <w:r>
        <w:rPr>
          <w:rFonts w:ascii="Times New Roman" w:hAnsi="Times New Roman" w:eastAsia="Times New Roman" w:cs="Times New Roman"/>
          <w:spacing w:val="-1"/>
          <w:sz w:val="24"/>
          <w:szCs w:val="24"/>
        </w:rPr>
        <w:t>6.61×10</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ind./L</w:t>
      </w:r>
      <w:r>
        <w:rPr>
          <w:spacing w:val="-1"/>
          <w:sz w:val="24"/>
          <w:szCs w:val="24"/>
        </w:rPr>
        <w:t>。从</w:t>
      </w:r>
      <w:r>
        <w:rPr>
          <w:spacing w:val="3"/>
          <w:sz w:val="24"/>
          <w:szCs w:val="24"/>
        </w:rPr>
        <w:t>各采样点看，硅藻门藻类的种群密度都略大于绿藻</w:t>
      </w:r>
      <w:r>
        <w:rPr>
          <w:spacing w:val="2"/>
          <w:sz w:val="24"/>
          <w:szCs w:val="24"/>
        </w:rPr>
        <w:t>门和蓝藻门藻类的密度，但同</w:t>
      </w:r>
      <w:r>
        <w:rPr>
          <w:rFonts w:ascii="Times New Roman" w:hAnsi="Times New Roman" w:eastAsia="Times New Roman" w:cs="Times New Roman"/>
          <w:sz w:val="24"/>
          <w:szCs w:val="24"/>
        </w:rPr>
        <w:t>2015</w:t>
      </w:r>
      <w:r>
        <w:rPr>
          <w:rFonts w:ascii="Times New Roman" w:hAnsi="Times New Roman" w:eastAsia="Times New Roman" w:cs="Times New Roman"/>
          <w:spacing w:val="55"/>
          <w:sz w:val="24"/>
          <w:szCs w:val="24"/>
        </w:rPr>
        <w:t xml:space="preserve"> </w:t>
      </w:r>
      <w:r>
        <w:rPr>
          <w:sz w:val="24"/>
          <w:szCs w:val="24"/>
        </w:rPr>
        <w:t>年环评期调查结果相比，硅藻门和绿藻</w:t>
      </w:r>
      <w:r>
        <w:rPr>
          <w:spacing w:val="-1"/>
          <w:sz w:val="24"/>
          <w:szCs w:val="24"/>
        </w:rPr>
        <w:t>门等喜洁净水体生境特征的，密度明</w:t>
      </w:r>
      <w:r>
        <w:rPr>
          <w:spacing w:val="-2"/>
          <w:sz w:val="24"/>
          <w:szCs w:val="24"/>
        </w:rPr>
        <w:t>显降低，而蓝藻门的</w:t>
      </w:r>
      <w:r>
        <w:rPr>
          <w:spacing w:val="-45"/>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个污染带指示种的密度则略有升高。</w:t>
      </w:r>
    </w:p>
    <w:p w14:paraId="623DBFF8">
      <w:pPr>
        <w:pStyle w:val="2"/>
        <w:spacing w:line="232"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6.1-17              </w:t>
      </w:r>
      <w:r>
        <w:rPr>
          <w:b/>
          <w:bCs/>
          <w:spacing w:val="-1"/>
          <w:sz w:val="24"/>
          <w:szCs w:val="24"/>
        </w:rPr>
        <w:t>环评期和施工期淡水浮游植物密度监测表（</w:t>
      </w:r>
      <w:r>
        <w:rPr>
          <w:rFonts w:ascii="Times New Roman" w:hAnsi="Times New Roman" w:eastAsia="Times New Roman" w:cs="Times New Roman"/>
          <w:b/>
          <w:bCs/>
          <w:spacing w:val="-1"/>
          <w:sz w:val="24"/>
          <w:szCs w:val="24"/>
        </w:rPr>
        <w:t>10</w:t>
      </w:r>
      <w:r>
        <w:rPr>
          <w:rFonts w:ascii="Times New Roman" w:hAnsi="Times New Roman" w:eastAsia="Times New Roman" w:cs="Times New Roman"/>
          <w:b/>
          <w:bCs/>
          <w:spacing w:val="-1"/>
          <w:position w:val="7"/>
          <w:sz w:val="15"/>
          <w:szCs w:val="15"/>
        </w:rPr>
        <w:t>3</w:t>
      </w:r>
      <w:r>
        <w:rPr>
          <w:rFonts w:ascii="Times New Roman" w:hAnsi="Times New Roman" w:eastAsia="Times New Roman" w:cs="Times New Roman"/>
          <w:b/>
          <w:bCs/>
          <w:spacing w:val="-2"/>
          <w:position w:val="7"/>
          <w:sz w:val="15"/>
          <w:szCs w:val="15"/>
        </w:rPr>
        <w:t xml:space="preserve">  </w:t>
      </w:r>
      <w:r>
        <w:rPr>
          <w:rFonts w:ascii="Times New Roman" w:hAnsi="Times New Roman" w:eastAsia="Times New Roman" w:cs="Times New Roman"/>
          <w:b/>
          <w:bCs/>
          <w:spacing w:val="-2"/>
          <w:sz w:val="24"/>
          <w:szCs w:val="24"/>
        </w:rPr>
        <w:t>ind./L</w:t>
      </w:r>
      <w:r>
        <w:rPr>
          <w:b/>
          <w:bCs/>
          <w:spacing w:val="-2"/>
          <w:sz w:val="24"/>
          <w:szCs w:val="24"/>
        </w:rPr>
        <w:t>）</w:t>
      </w:r>
    </w:p>
    <w:p w14:paraId="46D28BC0">
      <w:pPr>
        <w:spacing w:line="94" w:lineRule="exact"/>
      </w:pPr>
    </w:p>
    <w:tbl>
      <w:tblPr>
        <w:tblStyle w:val="5"/>
        <w:tblW w:w="8469" w:type="dxa"/>
        <w:tblInd w:w="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1118"/>
        <w:gridCol w:w="1220"/>
        <w:gridCol w:w="1158"/>
        <w:gridCol w:w="1118"/>
        <w:gridCol w:w="1118"/>
        <w:gridCol w:w="1184"/>
      </w:tblGrid>
      <w:tr w14:paraId="543ED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553" w:type="dxa"/>
            <w:tcBorders>
              <w:top w:val="single" w:color="000000" w:sz="12" w:space="0"/>
              <w:left w:val="single" w:color="000000" w:sz="12" w:space="0"/>
            </w:tcBorders>
            <w:vAlign w:val="top"/>
          </w:tcPr>
          <w:p w14:paraId="7FAAB7FA">
            <w:pPr>
              <w:spacing w:before="100" w:line="221" w:lineRule="auto"/>
              <w:ind w:left="345"/>
              <w:rPr>
                <w:rFonts w:ascii="宋体" w:hAnsi="宋体" w:eastAsia="宋体" w:cs="宋体"/>
                <w:sz w:val="21"/>
                <w:szCs w:val="21"/>
              </w:rPr>
            </w:pPr>
            <w:r>
              <w:rPr>
                <w:rFonts w:ascii="宋体" w:hAnsi="宋体" w:eastAsia="宋体" w:cs="宋体"/>
                <w:spacing w:val="-3"/>
                <w:sz w:val="21"/>
                <w:szCs w:val="21"/>
              </w:rPr>
              <w:t>监测时间</w:t>
            </w:r>
          </w:p>
        </w:tc>
        <w:tc>
          <w:tcPr>
            <w:tcW w:w="1118" w:type="dxa"/>
            <w:tcBorders>
              <w:top w:val="single" w:color="000000" w:sz="12" w:space="0"/>
            </w:tcBorders>
            <w:vAlign w:val="top"/>
          </w:tcPr>
          <w:p w14:paraId="5B936C69">
            <w:pPr>
              <w:spacing w:before="100" w:line="220" w:lineRule="auto"/>
              <w:ind w:left="239"/>
              <w:rPr>
                <w:rFonts w:ascii="宋体" w:hAnsi="宋体" w:eastAsia="宋体" w:cs="宋体"/>
                <w:sz w:val="21"/>
                <w:szCs w:val="21"/>
              </w:rPr>
            </w:pPr>
            <w:r>
              <w:rPr>
                <w:rFonts w:ascii="宋体" w:hAnsi="宋体" w:eastAsia="宋体" w:cs="宋体"/>
                <w:spacing w:val="-2"/>
                <w:sz w:val="21"/>
                <w:szCs w:val="21"/>
              </w:rPr>
              <w:t>硅藻门</w:t>
            </w:r>
          </w:p>
        </w:tc>
        <w:tc>
          <w:tcPr>
            <w:tcW w:w="1220" w:type="dxa"/>
            <w:tcBorders>
              <w:top w:val="single" w:color="000000" w:sz="12" w:space="0"/>
            </w:tcBorders>
            <w:vAlign w:val="top"/>
          </w:tcPr>
          <w:p w14:paraId="659705ED">
            <w:pPr>
              <w:spacing w:before="100" w:line="220" w:lineRule="auto"/>
              <w:ind w:left="296"/>
              <w:rPr>
                <w:rFonts w:ascii="宋体" w:hAnsi="宋体" w:eastAsia="宋体" w:cs="宋体"/>
                <w:sz w:val="21"/>
                <w:szCs w:val="21"/>
              </w:rPr>
            </w:pPr>
            <w:r>
              <w:rPr>
                <w:rFonts w:ascii="宋体" w:hAnsi="宋体" w:eastAsia="宋体" w:cs="宋体"/>
                <w:spacing w:val="-3"/>
                <w:sz w:val="21"/>
                <w:szCs w:val="21"/>
              </w:rPr>
              <w:t>绿藻门</w:t>
            </w:r>
          </w:p>
        </w:tc>
        <w:tc>
          <w:tcPr>
            <w:tcW w:w="1158" w:type="dxa"/>
            <w:tcBorders>
              <w:top w:val="single" w:color="000000" w:sz="12" w:space="0"/>
            </w:tcBorders>
            <w:vAlign w:val="top"/>
          </w:tcPr>
          <w:p w14:paraId="4641C3F5">
            <w:pPr>
              <w:spacing w:before="100" w:line="220" w:lineRule="auto"/>
              <w:ind w:left="268"/>
              <w:rPr>
                <w:rFonts w:ascii="宋体" w:hAnsi="宋体" w:eastAsia="宋体" w:cs="宋体"/>
                <w:sz w:val="21"/>
                <w:szCs w:val="21"/>
              </w:rPr>
            </w:pPr>
            <w:r>
              <w:rPr>
                <w:rFonts w:ascii="宋体" w:hAnsi="宋体" w:eastAsia="宋体" w:cs="宋体"/>
                <w:spacing w:val="-3"/>
                <w:sz w:val="21"/>
                <w:szCs w:val="21"/>
              </w:rPr>
              <w:t>蓝藻门</w:t>
            </w:r>
          </w:p>
        </w:tc>
        <w:tc>
          <w:tcPr>
            <w:tcW w:w="1118" w:type="dxa"/>
            <w:tcBorders>
              <w:top w:val="single" w:color="000000" w:sz="12" w:space="0"/>
            </w:tcBorders>
            <w:vAlign w:val="top"/>
          </w:tcPr>
          <w:p w14:paraId="69949506">
            <w:pPr>
              <w:spacing w:before="100" w:line="220" w:lineRule="auto"/>
              <w:ind w:left="250"/>
              <w:rPr>
                <w:rFonts w:ascii="宋体" w:hAnsi="宋体" w:eastAsia="宋体" w:cs="宋体"/>
                <w:sz w:val="21"/>
                <w:szCs w:val="21"/>
              </w:rPr>
            </w:pPr>
            <w:r>
              <w:rPr>
                <w:rFonts w:ascii="宋体" w:hAnsi="宋体" w:eastAsia="宋体" w:cs="宋体"/>
                <w:spacing w:val="-2"/>
                <w:sz w:val="21"/>
                <w:szCs w:val="21"/>
              </w:rPr>
              <w:t>裸藻门</w:t>
            </w:r>
          </w:p>
        </w:tc>
        <w:tc>
          <w:tcPr>
            <w:tcW w:w="1118" w:type="dxa"/>
            <w:tcBorders>
              <w:top w:val="single" w:color="000000" w:sz="12" w:space="0"/>
            </w:tcBorders>
            <w:vAlign w:val="top"/>
          </w:tcPr>
          <w:p w14:paraId="24669189">
            <w:pPr>
              <w:spacing w:before="100" w:line="220" w:lineRule="auto"/>
              <w:ind w:left="282"/>
              <w:rPr>
                <w:rFonts w:ascii="宋体" w:hAnsi="宋体" w:eastAsia="宋体" w:cs="宋体"/>
                <w:sz w:val="21"/>
                <w:szCs w:val="21"/>
              </w:rPr>
            </w:pPr>
            <w:r>
              <w:rPr>
                <w:rFonts w:ascii="宋体" w:hAnsi="宋体" w:eastAsia="宋体" w:cs="宋体"/>
                <w:spacing w:val="-8"/>
                <w:sz w:val="21"/>
                <w:szCs w:val="21"/>
              </w:rPr>
              <w:t>甲藻门</w:t>
            </w:r>
          </w:p>
        </w:tc>
        <w:tc>
          <w:tcPr>
            <w:tcW w:w="1184" w:type="dxa"/>
            <w:tcBorders>
              <w:top w:val="single" w:color="000000" w:sz="12" w:space="0"/>
              <w:right w:val="single" w:color="000000" w:sz="12" w:space="0"/>
            </w:tcBorders>
            <w:vAlign w:val="top"/>
          </w:tcPr>
          <w:p w14:paraId="1DC60353">
            <w:pPr>
              <w:spacing w:before="99" w:line="220" w:lineRule="auto"/>
              <w:ind w:left="283"/>
              <w:rPr>
                <w:rFonts w:ascii="宋体" w:hAnsi="宋体" w:eastAsia="宋体" w:cs="宋体"/>
                <w:sz w:val="21"/>
                <w:szCs w:val="21"/>
              </w:rPr>
            </w:pPr>
            <w:r>
              <w:rPr>
                <w:rFonts w:ascii="宋体" w:hAnsi="宋体" w:eastAsia="宋体" w:cs="宋体"/>
                <w:spacing w:val="-2"/>
                <w:sz w:val="21"/>
                <w:szCs w:val="21"/>
              </w:rPr>
              <w:t>平均值</w:t>
            </w:r>
          </w:p>
        </w:tc>
      </w:tr>
      <w:tr w14:paraId="5CA6D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553" w:type="dxa"/>
            <w:tcBorders>
              <w:left w:val="single" w:color="000000" w:sz="12" w:space="0"/>
            </w:tcBorders>
            <w:vAlign w:val="top"/>
          </w:tcPr>
          <w:p w14:paraId="71B57B96">
            <w:pPr>
              <w:pStyle w:val="6"/>
              <w:spacing w:before="137" w:line="234" w:lineRule="auto"/>
              <w:ind w:left="209"/>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118" w:type="dxa"/>
            <w:vAlign w:val="top"/>
          </w:tcPr>
          <w:p w14:paraId="7CEC675A">
            <w:pPr>
              <w:pStyle w:val="6"/>
              <w:spacing w:before="149" w:line="232" w:lineRule="auto"/>
              <w:ind w:left="262"/>
            </w:pPr>
            <w:r>
              <w:rPr>
                <w:spacing w:val="-1"/>
              </w:rPr>
              <w:t>200.47</w:t>
            </w:r>
          </w:p>
        </w:tc>
        <w:tc>
          <w:tcPr>
            <w:tcW w:w="1220" w:type="dxa"/>
            <w:vAlign w:val="top"/>
          </w:tcPr>
          <w:p w14:paraId="141BDDD1">
            <w:pPr>
              <w:pStyle w:val="6"/>
              <w:spacing w:before="149" w:line="232" w:lineRule="auto"/>
              <w:ind w:left="375"/>
            </w:pPr>
            <w:r>
              <w:rPr>
                <w:spacing w:val="-2"/>
              </w:rPr>
              <w:t>53.53</w:t>
            </w:r>
          </w:p>
        </w:tc>
        <w:tc>
          <w:tcPr>
            <w:tcW w:w="1158" w:type="dxa"/>
            <w:vAlign w:val="top"/>
          </w:tcPr>
          <w:p w14:paraId="767555AA">
            <w:pPr>
              <w:pStyle w:val="6"/>
              <w:spacing w:before="149" w:line="232" w:lineRule="auto"/>
              <w:ind w:left="351"/>
            </w:pPr>
            <w:r>
              <w:rPr>
                <w:spacing w:val="-3"/>
              </w:rPr>
              <w:t>83.51</w:t>
            </w:r>
          </w:p>
        </w:tc>
        <w:tc>
          <w:tcPr>
            <w:tcW w:w="1118" w:type="dxa"/>
            <w:vAlign w:val="top"/>
          </w:tcPr>
          <w:p w14:paraId="641A6790">
            <w:pPr>
              <w:pStyle w:val="6"/>
              <w:spacing w:before="149" w:line="232" w:lineRule="auto"/>
              <w:ind w:left="376"/>
            </w:pPr>
            <w:r>
              <w:rPr>
                <w:spacing w:val="-1"/>
              </w:rPr>
              <w:t>4.14</w:t>
            </w:r>
          </w:p>
        </w:tc>
        <w:tc>
          <w:tcPr>
            <w:tcW w:w="1118" w:type="dxa"/>
            <w:vAlign w:val="top"/>
          </w:tcPr>
          <w:p w14:paraId="25E647A9">
            <w:pPr>
              <w:pStyle w:val="6"/>
              <w:spacing w:before="149" w:line="232" w:lineRule="auto"/>
              <w:ind w:left="386"/>
            </w:pPr>
            <w:r>
              <w:rPr>
                <w:spacing w:val="-3"/>
              </w:rPr>
              <w:t>6.47</w:t>
            </w:r>
          </w:p>
        </w:tc>
        <w:tc>
          <w:tcPr>
            <w:tcW w:w="1184" w:type="dxa"/>
            <w:tcBorders>
              <w:right w:val="single" w:color="000000" w:sz="12" w:space="0"/>
            </w:tcBorders>
            <w:vAlign w:val="top"/>
          </w:tcPr>
          <w:p w14:paraId="383F9F01">
            <w:pPr>
              <w:pStyle w:val="6"/>
              <w:spacing w:before="149" w:line="232" w:lineRule="auto"/>
              <w:ind w:left="311"/>
            </w:pPr>
            <w:r>
              <w:rPr>
                <w:spacing w:val="-2"/>
              </w:rPr>
              <w:t>348.12</w:t>
            </w:r>
          </w:p>
        </w:tc>
      </w:tr>
      <w:tr w14:paraId="7C5EA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53" w:type="dxa"/>
            <w:tcBorders>
              <w:left w:val="single" w:color="000000" w:sz="12" w:space="0"/>
              <w:bottom w:val="single" w:color="000000" w:sz="12" w:space="0"/>
            </w:tcBorders>
            <w:vAlign w:val="top"/>
          </w:tcPr>
          <w:p w14:paraId="2E057E59">
            <w:pPr>
              <w:pStyle w:val="6"/>
              <w:spacing w:before="110" w:line="234" w:lineRule="auto"/>
              <w:ind w:left="209"/>
              <w:rPr>
                <w:rFonts w:ascii="宋体" w:hAnsi="宋体" w:eastAsia="宋体" w:cs="宋体"/>
              </w:rPr>
            </w:pPr>
            <w:r>
              <w:rPr>
                <w:spacing w:val="-1"/>
              </w:rPr>
              <w:t xml:space="preserve">2020 </w:t>
            </w:r>
            <w:r>
              <w:rPr>
                <w:rFonts w:ascii="宋体" w:hAnsi="宋体" w:eastAsia="宋体" w:cs="宋体"/>
                <w:spacing w:val="-1"/>
              </w:rPr>
              <w:t>施工期</w:t>
            </w:r>
          </w:p>
        </w:tc>
        <w:tc>
          <w:tcPr>
            <w:tcW w:w="1118" w:type="dxa"/>
            <w:tcBorders>
              <w:bottom w:val="single" w:color="000000" w:sz="12" w:space="0"/>
            </w:tcBorders>
            <w:vAlign w:val="top"/>
          </w:tcPr>
          <w:p w14:paraId="1ABB2088">
            <w:pPr>
              <w:pStyle w:val="6"/>
              <w:spacing w:before="141" w:line="232" w:lineRule="auto"/>
              <w:ind w:left="282"/>
            </w:pPr>
            <w:r>
              <w:rPr>
                <w:spacing w:val="-4"/>
              </w:rPr>
              <w:t>178.53</w:t>
            </w:r>
          </w:p>
        </w:tc>
        <w:tc>
          <w:tcPr>
            <w:tcW w:w="1220" w:type="dxa"/>
            <w:tcBorders>
              <w:bottom w:val="single" w:color="000000" w:sz="12" w:space="0"/>
            </w:tcBorders>
            <w:vAlign w:val="top"/>
          </w:tcPr>
          <w:p w14:paraId="3CEC268E">
            <w:pPr>
              <w:pStyle w:val="6"/>
              <w:spacing w:before="141" w:line="232" w:lineRule="auto"/>
              <w:ind w:left="368"/>
            </w:pPr>
            <w:r>
              <w:rPr>
                <w:spacing w:val="-1"/>
              </w:rPr>
              <w:t>42.12</w:t>
            </w:r>
          </w:p>
        </w:tc>
        <w:tc>
          <w:tcPr>
            <w:tcW w:w="1158" w:type="dxa"/>
            <w:tcBorders>
              <w:bottom w:val="single" w:color="000000" w:sz="12" w:space="0"/>
            </w:tcBorders>
            <w:vAlign w:val="top"/>
          </w:tcPr>
          <w:p w14:paraId="27437862">
            <w:pPr>
              <w:pStyle w:val="6"/>
              <w:spacing w:before="141" w:line="232" w:lineRule="auto"/>
              <w:ind w:left="351"/>
            </w:pPr>
            <w:r>
              <w:rPr>
                <w:spacing w:val="-3"/>
              </w:rPr>
              <w:t>87.25</w:t>
            </w:r>
          </w:p>
        </w:tc>
        <w:tc>
          <w:tcPr>
            <w:tcW w:w="1118" w:type="dxa"/>
            <w:tcBorders>
              <w:bottom w:val="single" w:color="000000" w:sz="12" w:space="0"/>
            </w:tcBorders>
            <w:vAlign w:val="top"/>
          </w:tcPr>
          <w:p w14:paraId="5DF8B14C">
            <w:pPr>
              <w:pStyle w:val="6"/>
              <w:spacing w:before="141" w:line="232" w:lineRule="auto"/>
              <w:ind w:left="376"/>
            </w:pPr>
            <w:r>
              <w:rPr>
                <w:spacing w:val="-1"/>
              </w:rPr>
              <w:t>4.02</w:t>
            </w:r>
          </w:p>
        </w:tc>
        <w:tc>
          <w:tcPr>
            <w:tcW w:w="1118" w:type="dxa"/>
            <w:tcBorders>
              <w:bottom w:val="single" w:color="000000" w:sz="12" w:space="0"/>
            </w:tcBorders>
            <w:vAlign w:val="top"/>
          </w:tcPr>
          <w:p w14:paraId="34FFB2BF">
            <w:pPr>
              <w:pStyle w:val="6"/>
              <w:spacing w:before="141" w:line="232" w:lineRule="auto"/>
              <w:ind w:left="386"/>
            </w:pPr>
            <w:r>
              <w:rPr>
                <w:spacing w:val="-3"/>
              </w:rPr>
              <w:t>6.61</w:t>
            </w:r>
          </w:p>
        </w:tc>
        <w:tc>
          <w:tcPr>
            <w:tcW w:w="1184" w:type="dxa"/>
            <w:tcBorders>
              <w:bottom w:val="single" w:color="000000" w:sz="12" w:space="0"/>
              <w:right w:val="single" w:color="000000" w:sz="12" w:space="0"/>
            </w:tcBorders>
            <w:vAlign w:val="top"/>
          </w:tcPr>
          <w:p w14:paraId="203E7D26">
            <w:pPr>
              <w:pStyle w:val="6"/>
              <w:spacing w:before="141" w:line="232" w:lineRule="auto"/>
              <w:ind w:left="311"/>
            </w:pPr>
            <w:r>
              <w:rPr>
                <w:spacing w:val="-2"/>
              </w:rPr>
              <w:t>318.53</w:t>
            </w:r>
          </w:p>
        </w:tc>
      </w:tr>
    </w:tbl>
    <w:p w14:paraId="721AA58A">
      <w:pPr>
        <w:spacing w:line="410" w:lineRule="auto"/>
        <w:rPr>
          <w:rFonts w:ascii="Arial"/>
          <w:sz w:val="21"/>
        </w:rPr>
      </w:pPr>
    </w:p>
    <w:p w14:paraId="4E65271C">
      <w:pPr>
        <w:spacing w:before="1" w:line="3735" w:lineRule="exact"/>
        <w:ind w:firstLine="921"/>
      </w:pPr>
      <w:r>
        <w:rPr>
          <w:position w:val="-74"/>
        </w:rPr>
        <w:drawing>
          <wp:inline distT="0" distB="0" distL="0" distR="0">
            <wp:extent cx="4260850" cy="2371090"/>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413"/>
                    <a:stretch>
                      <a:fillRect/>
                    </a:stretch>
                  </pic:blipFill>
                  <pic:spPr>
                    <a:xfrm>
                      <a:off x="0" y="0"/>
                      <a:ext cx="4260850" cy="2371724"/>
                    </a:xfrm>
                    <a:prstGeom prst="rect">
                      <a:avLst/>
                    </a:prstGeom>
                  </pic:spPr>
                </pic:pic>
              </a:graphicData>
            </a:graphic>
          </wp:inline>
        </w:drawing>
      </w:r>
    </w:p>
    <w:p w14:paraId="6D82C146">
      <w:pPr>
        <w:spacing w:before="188" w:line="232" w:lineRule="auto"/>
        <w:ind w:left="1917"/>
        <w:rPr>
          <w:rFonts w:ascii="黑体" w:hAnsi="黑体" w:eastAsia="黑体" w:cs="黑体"/>
          <w:sz w:val="24"/>
          <w:szCs w:val="24"/>
        </w:rPr>
      </w:pPr>
      <w:r>
        <w:rPr>
          <w:rFonts w:ascii="黑体" w:hAnsi="黑体" w:eastAsia="黑体" w:cs="黑体"/>
          <w:b/>
          <w:bCs/>
          <w:spacing w:val="-2"/>
          <w:sz w:val="24"/>
          <w:szCs w:val="24"/>
        </w:rPr>
        <w:t>图</w:t>
      </w:r>
      <w:r>
        <w:rPr>
          <w:rFonts w:ascii="黑体" w:hAnsi="黑体" w:eastAsia="黑体" w:cs="黑体"/>
          <w:spacing w:val="-50"/>
          <w:sz w:val="24"/>
          <w:szCs w:val="24"/>
        </w:rPr>
        <w:t xml:space="preserve"> </w:t>
      </w:r>
      <w:r>
        <w:rPr>
          <w:rFonts w:ascii="Times New Roman" w:hAnsi="Times New Roman" w:eastAsia="Times New Roman" w:cs="Times New Roman"/>
          <w:b/>
          <w:bCs/>
          <w:spacing w:val="-2"/>
          <w:sz w:val="24"/>
          <w:szCs w:val="24"/>
        </w:rPr>
        <w:t xml:space="preserve">6.1-1      </w:t>
      </w:r>
      <w:r>
        <w:rPr>
          <w:rFonts w:ascii="黑体" w:hAnsi="黑体" w:eastAsia="黑体" w:cs="黑体"/>
          <w:b/>
          <w:bCs/>
          <w:spacing w:val="-2"/>
          <w:sz w:val="24"/>
          <w:szCs w:val="24"/>
        </w:rPr>
        <w:t>施工期和环评期浮</w:t>
      </w:r>
      <w:r>
        <w:rPr>
          <w:rFonts w:ascii="黑体" w:hAnsi="黑体" w:eastAsia="黑体" w:cs="黑体"/>
          <w:b/>
          <w:bCs/>
          <w:spacing w:val="-3"/>
          <w:sz w:val="24"/>
          <w:szCs w:val="24"/>
        </w:rPr>
        <w:t>游植物密度对比</w:t>
      </w:r>
    </w:p>
    <w:p w14:paraId="58A9EA7B">
      <w:pPr>
        <w:pStyle w:val="2"/>
        <w:spacing w:before="277" w:line="341" w:lineRule="auto"/>
        <w:ind w:left="38" w:firstLine="483"/>
        <w:rPr>
          <w:sz w:val="24"/>
          <w:szCs w:val="24"/>
        </w:rPr>
      </w:pPr>
      <w:r>
        <w:rPr>
          <w:spacing w:val="-2"/>
          <w:sz w:val="24"/>
          <w:szCs w:val="24"/>
        </w:rPr>
        <w:t>从采样点藻类植物种群密度来看，浮游藻类的数量在不同采样点有一定差异。</w:t>
      </w:r>
      <w:r>
        <w:rPr>
          <w:spacing w:val="-6"/>
          <w:sz w:val="24"/>
          <w:szCs w:val="24"/>
        </w:rPr>
        <w:t>在马龙河库尾、车章河库尾、白塔河库尾、白塔河坝前、马龙河</w:t>
      </w:r>
      <w:r>
        <w:rPr>
          <w:spacing w:val="-7"/>
          <w:sz w:val="24"/>
          <w:szCs w:val="24"/>
        </w:rPr>
        <w:t>干流离坝址</w:t>
      </w:r>
      <w:r>
        <w:rPr>
          <w:spacing w:val="-54"/>
          <w:sz w:val="24"/>
          <w:szCs w:val="24"/>
        </w:rPr>
        <w:t xml:space="preserve"> </w:t>
      </w:r>
      <w:r>
        <w:rPr>
          <w:rFonts w:ascii="Times New Roman" w:hAnsi="Times New Roman" w:eastAsia="Times New Roman" w:cs="Times New Roman"/>
          <w:spacing w:val="-7"/>
          <w:sz w:val="24"/>
          <w:szCs w:val="24"/>
        </w:rPr>
        <w:t>2km</w:t>
      </w:r>
      <w:r>
        <w:rPr>
          <w:rFonts w:ascii="Times New Roman" w:hAnsi="Times New Roman" w:eastAsia="Times New Roman" w:cs="Times New Roman"/>
          <w:spacing w:val="14"/>
          <w:sz w:val="24"/>
          <w:szCs w:val="24"/>
        </w:rPr>
        <w:t xml:space="preserve"> </w:t>
      </w:r>
      <w:r>
        <w:rPr>
          <w:spacing w:val="-7"/>
          <w:sz w:val="24"/>
          <w:szCs w:val="24"/>
        </w:rPr>
        <w:t>处</w:t>
      </w:r>
      <w:r>
        <w:rPr>
          <w:spacing w:val="8"/>
          <w:sz w:val="24"/>
          <w:szCs w:val="24"/>
        </w:rPr>
        <w:t xml:space="preserve">与马龙河干流离坝址 </w:t>
      </w:r>
      <w:r>
        <w:rPr>
          <w:rFonts w:ascii="Times New Roman" w:hAnsi="Times New Roman" w:eastAsia="Times New Roman" w:cs="Times New Roman"/>
          <w:spacing w:val="8"/>
          <w:sz w:val="24"/>
          <w:szCs w:val="24"/>
        </w:rPr>
        <w:t>6</w:t>
      </w:r>
      <w:r>
        <w:rPr>
          <w:rFonts w:ascii="Times New Roman" w:hAnsi="Times New Roman" w:eastAsia="Times New Roman" w:cs="Times New Roman"/>
          <w:sz w:val="24"/>
          <w:szCs w:val="24"/>
        </w:rPr>
        <w:t>km</w:t>
      </w:r>
      <w:r>
        <w:rPr>
          <w:rFonts w:ascii="Times New Roman" w:hAnsi="Times New Roman" w:eastAsia="Times New Roman" w:cs="Times New Roman"/>
          <w:spacing w:val="8"/>
          <w:sz w:val="24"/>
          <w:szCs w:val="24"/>
        </w:rPr>
        <w:t xml:space="preserve">  </w:t>
      </w:r>
      <w:r>
        <w:rPr>
          <w:spacing w:val="8"/>
          <w:sz w:val="24"/>
          <w:szCs w:val="24"/>
        </w:rPr>
        <w:t xml:space="preserve">处河段的藻类种群密度分别为 </w:t>
      </w:r>
      <w:r>
        <w:rPr>
          <w:rFonts w:ascii="Times New Roman" w:hAnsi="Times New Roman" w:eastAsia="Times New Roman" w:cs="Times New Roman"/>
          <w:spacing w:val="8"/>
          <w:sz w:val="24"/>
          <w:szCs w:val="24"/>
        </w:rPr>
        <w:t>333.53×10</w:t>
      </w:r>
      <w:r>
        <w:rPr>
          <w:rFonts w:ascii="Times New Roman" w:hAnsi="Times New Roman" w:eastAsia="Times New Roman" w:cs="Times New Roman"/>
          <w:spacing w:val="8"/>
          <w:position w:val="8"/>
          <w:sz w:val="15"/>
          <w:szCs w:val="15"/>
        </w:rPr>
        <w:t xml:space="preserve">3   </w:t>
      </w:r>
      <w:r>
        <w:rPr>
          <w:rFonts w:ascii="Times New Roman" w:hAnsi="Times New Roman" w:eastAsia="Times New Roman" w:cs="Times New Roman"/>
          <w:sz w:val="24"/>
          <w:szCs w:val="24"/>
        </w:rPr>
        <w:t>ind</w:t>
      </w:r>
      <w:r>
        <w:rPr>
          <w:rFonts w:ascii="Times New Roman" w:hAnsi="Times New Roman" w:eastAsia="Times New Roman" w:cs="Times New Roman"/>
          <w:spacing w:val="8"/>
          <w:sz w:val="24"/>
          <w:szCs w:val="24"/>
        </w:rPr>
        <w:t>./L</w:t>
      </w:r>
      <w:r>
        <w:rPr>
          <w:rFonts w:ascii="Times New Roman" w:hAnsi="Times New Roman" w:eastAsia="Times New Roman" w:cs="Times New Roman"/>
          <w:spacing w:val="1"/>
          <w:sz w:val="24"/>
          <w:szCs w:val="24"/>
        </w:rPr>
        <w:t xml:space="preserve"> </w:t>
      </w:r>
      <w:r>
        <w:rPr>
          <w:spacing w:val="8"/>
          <w:sz w:val="24"/>
          <w:szCs w:val="24"/>
        </w:rPr>
        <w:t>、</w:t>
      </w:r>
      <w:r>
        <w:rPr>
          <w:sz w:val="24"/>
          <w:szCs w:val="24"/>
        </w:rPr>
        <w:t xml:space="preserve"> </w:t>
      </w:r>
      <w:r>
        <w:rPr>
          <w:rFonts w:ascii="Times New Roman" w:hAnsi="Times New Roman" w:eastAsia="Times New Roman" w:cs="Times New Roman"/>
          <w:sz w:val="24"/>
          <w:szCs w:val="24"/>
        </w:rPr>
        <w:t>321.53×10</w:t>
      </w:r>
      <w:r>
        <w:rPr>
          <w:rFonts w:ascii="Times New Roman" w:hAnsi="Times New Roman" w:eastAsia="Times New Roman" w:cs="Times New Roman"/>
          <w:position w:val="8"/>
          <w:sz w:val="15"/>
          <w:szCs w:val="15"/>
        </w:rPr>
        <w:t xml:space="preserve">3   </w:t>
      </w:r>
      <w:r>
        <w:rPr>
          <w:rFonts w:ascii="Times New Roman" w:hAnsi="Times New Roman" w:eastAsia="Times New Roman" w:cs="Times New Roman"/>
          <w:sz w:val="24"/>
          <w:szCs w:val="24"/>
        </w:rPr>
        <w:t xml:space="preserve">ind./L </w:t>
      </w:r>
      <w:r>
        <w:rPr>
          <w:sz w:val="24"/>
          <w:szCs w:val="24"/>
        </w:rPr>
        <w:t>、</w:t>
      </w:r>
      <w:r>
        <w:rPr>
          <w:rFonts w:ascii="Times New Roman" w:hAnsi="Times New Roman" w:eastAsia="Times New Roman" w:cs="Times New Roman"/>
          <w:sz w:val="24"/>
          <w:szCs w:val="24"/>
        </w:rPr>
        <w:t>335.53×10</w:t>
      </w:r>
      <w:r>
        <w:rPr>
          <w:rFonts w:ascii="Times New Roman" w:hAnsi="Times New Roman" w:eastAsia="Times New Roman" w:cs="Times New Roman"/>
          <w:position w:val="8"/>
          <w:sz w:val="15"/>
          <w:szCs w:val="15"/>
        </w:rPr>
        <w:t xml:space="preserve">3   </w:t>
      </w:r>
      <w:r>
        <w:rPr>
          <w:rFonts w:ascii="Times New Roman" w:hAnsi="Times New Roman" w:eastAsia="Times New Roman" w:cs="Times New Roman"/>
          <w:sz w:val="24"/>
          <w:szCs w:val="24"/>
        </w:rPr>
        <w:t xml:space="preserve">ind./L </w:t>
      </w:r>
      <w:r>
        <w:rPr>
          <w:sz w:val="24"/>
          <w:szCs w:val="24"/>
        </w:rPr>
        <w:t>、</w:t>
      </w:r>
      <w:r>
        <w:rPr>
          <w:rFonts w:ascii="Times New Roman" w:hAnsi="Times New Roman" w:eastAsia="Times New Roman" w:cs="Times New Roman"/>
          <w:sz w:val="24"/>
          <w:szCs w:val="24"/>
        </w:rPr>
        <w:t>282.31×10</w:t>
      </w:r>
      <w:r>
        <w:rPr>
          <w:rFonts w:ascii="Times New Roman" w:hAnsi="Times New Roman" w:eastAsia="Times New Roman" w:cs="Times New Roman"/>
          <w:position w:val="8"/>
          <w:sz w:val="15"/>
          <w:szCs w:val="15"/>
        </w:rPr>
        <w:t xml:space="preserve">3   </w:t>
      </w:r>
      <w:r>
        <w:rPr>
          <w:rFonts w:ascii="Times New Roman" w:hAnsi="Times New Roman" w:eastAsia="Times New Roman" w:cs="Times New Roman"/>
          <w:sz w:val="24"/>
          <w:szCs w:val="24"/>
        </w:rPr>
        <w:t xml:space="preserve">ind./L </w:t>
      </w:r>
      <w:r>
        <w:rPr>
          <w:sz w:val="24"/>
          <w:szCs w:val="24"/>
        </w:rPr>
        <w:t>、</w:t>
      </w:r>
      <w:r>
        <w:rPr>
          <w:rFonts w:ascii="Times New Roman" w:hAnsi="Times New Roman" w:eastAsia="Times New Roman" w:cs="Times New Roman"/>
          <w:sz w:val="24"/>
          <w:szCs w:val="24"/>
        </w:rPr>
        <w:t>296.05×10</w:t>
      </w:r>
      <w:r>
        <w:rPr>
          <w:rFonts w:ascii="Times New Roman" w:hAnsi="Times New Roman" w:eastAsia="Times New Roman" w:cs="Times New Roman"/>
          <w:position w:val="8"/>
          <w:sz w:val="15"/>
          <w:szCs w:val="15"/>
        </w:rPr>
        <w:t xml:space="preserve">3   </w:t>
      </w:r>
      <w:r>
        <w:rPr>
          <w:rFonts w:ascii="Times New Roman" w:hAnsi="Times New Roman" w:eastAsia="Times New Roman" w:cs="Times New Roman"/>
          <w:sz w:val="24"/>
          <w:szCs w:val="24"/>
        </w:rPr>
        <w:t>ind./L</w:t>
      </w:r>
      <w:r>
        <w:rPr>
          <w:rFonts w:ascii="Times New Roman" w:hAnsi="Times New Roman" w:eastAsia="Times New Roman" w:cs="Times New Roman"/>
          <w:spacing w:val="16"/>
          <w:w w:val="101"/>
          <w:sz w:val="24"/>
          <w:szCs w:val="24"/>
        </w:rPr>
        <w:t xml:space="preserve">  </w:t>
      </w:r>
      <w:r>
        <w:rPr>
          <w:sz w:val="24"/>
          <w:szCs w:val="24"/>
        </w:rPr>
        <w:t>和</w:t>
      </w:r>
    </w:p>
    <w:p w14:paraId="4C7D4FAF">
      <w:pPr>
        <w:spacing w:line="341" w:lineRule="auto"/>
        <w:rPr>
          <w:sz w:val="24"/>
          <w:szCs w:val="24"/>
        </w:rPr>
        <w:sectPr>
          <w:headerReference r:id="rId204" w:type="default"/>
          <w:footerReference r:id="rId205" w:type="default"/>
          <w:pgSz w:w="11907" w:h="16839"/>
          <w:pgMar w:top="1376" w:right="1614" w:bottom="1061" w:left="1671" w:header="999" w:footer="861" w:gutter="0"/>
          <w:cols w:space="720" w:num="1"/>
        </w:sectPr>
      </w:pPr>
    </w:p>
    <w:p w14:paraId="4FCB66CC">
      <w:pPr>
        <w:spacing w:line="454" w:lineRule="auto"/>
        <w:rPr>
          <w:rFonts w:ascii="Arial"/>
          <w:sz w:val="21"/>
        </w:rPr>
      </w:pPr>
    </w:p>
    <w:p w14:paraId="52A5FF95">
      <w:pPr>
        <w:pStyle w:val="2"/>
        <w:spacing w:before="78" w:line="233" w:lineRule="auto"/>
        <w:ind w:left="39"/>
        <w:rPr>
          <w:sz w:val="24"/>
          <w:szCs w:val="24"/>
        </w:rPr>
      </w:pPr>
      <w:r>
        <w:rPr>
          <w:rFonts w:ascii="Times New Roman" w:hAnsi="Times New Roman" w:eastAsia="Times New Roman" w:cs="Times New Roman"/>
          <w:spacing w:val="-1"/>
          <w:sz w:val="24"/>
          <w:szCs w:val="24"/>
        </w:rPr>
        <w:t>342.23×10</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29"/>
          <w:position w:val="8"/>
          <w:sz w:val="15"/>
          <w:szCs w:val="15"/>
        </w:rPr>
        <w:t xml:space="preserve"> </w:t>
      </w:r>
      <w:r>
        <w:rPr>
          <w:rFonts w:ascii="Times New Roman" w:hAnsi="Times New Roman" w:eastAsia="Times New Roman" w:cs="Times New Roman"/>
          <w:spacing w:val="-1"/>
          <w:sz w:val="24"/>
          <w:szCs w:val="24"/>
        </w:rPr>
        <w:t>ind./L</w:t>
      </w:r>
      <w:r>
        <w:rPr>
          <w:spacing w:val="-1"/>
          <w:sz w:val="24"/>
          <w:szCs w:val="24"/>
        </w:rPr>
        <w:t>。由此可以看出，在各个采样点的藻类种群密</w:t>
      </w:r>
      <w:r>
        <w:rPr>
          <w:spacing w:val="-2"/>
          <w:sz w:val="24"/>
          <w:szCs w:val="24"/>
        </w:rPr>
        <w:t>度相差不大。</w:t>
      </w:r>
    </w:p>
    <w:p w14:paraId="5895D394">
      <w:pPr>
        <w:pStyle w:val="2"/>
        <w:spacing w:before="138" w:line="217" w:lineRule="auto"/>
        <w:ind w:left="517"/>
        <w:rPr>
          <w:sz w:val="24"/>
          <w:szCs w:val="24"/>
        </w:rPr>
      </w:pPr>
      <w:r>
        <w:rPr>
          <w:spacing w:val="-2"/>
          <w:sz w:val="24"/>
          <w:szCs w:val="24"/>
        </w:rPr>
        <w:t>②生物量</w:t>
      </w:r>
    </w:p>
    <w:p w14:paraId="228E4D5C">
      <w:pPr>
        <w:pStyle w:val="2"/>
        <w:spacing w:before="156" w:line="334" w:lineRule="auto"/>
        <w:ind w:left="37" w:right="30" w:firstLine="481"/>
        <w:rPr>
          <w:sz w:val="24"/>
          <w:szCs w:val="24"/>
        </w:rPr>
      </w:pPr>
      <w:r>
        <w:rPr>
          <w:spacing w:val="-1"/>
          <w:sz w:val="24"/>
          <w:szCs w:val="24"/>
        </w:rPr>
        <w:t>施工期调查水域浮游植物生物量平均</w:t>
      </w:r>
      <w:r>
        <w:rPr>
          <w:spacing w:val="-56"/>
          <w:sz w:val="24"/>
          <w:szCs w:val="24"/>
        </w:rPr>
        <w:t xml:space="preserve"> </w:t>
      </w:r>
      <w:r>
        <w:rPr>
          <w:rFonts w:ascii="Times New Roman" w:hAnsi="Times New Roman" w:eastAsia="Times New Roman" w:cs="Times New Roman"/>
          <w:spacing w:val="-1"/>
          <w:sz w:val="24"/>
          <w:szCs w:val="24"/>
        </w:rPr>
        <w:t>4410×10</w:t>
      </w:r>
      <w:r>
        <w:rPr>
          <w:rFonts w:ascii="Times New Roman" w:hAnsi="Times New Roman" w:eastAsia="Times New Roman" w:cs="Times New Roman"/>
          <w:spacing w:val="-1"/>
          <w:position w:val="8"/>
          <w:sz w:val="15"/>
          <w:szCs w:val="15"/>
        </w:rPr>
        <w:t>-4</w:t>
      </w:r>
      <w:r>
        <w:rPr>
          <w:rFonts w:ascii="Times New Roman" w:hAnsi="Times New Roman" w:eastAsia="Times New Roman" w:cs="Times New Roman"/>
          <w:spacing w:val="-1"/>
          <w:sz w:val="24"/>
          <w:szCs w:val="24"/>
        </w:rPr>
        <w:t>mg/</w:t>
      </w:r>
      <w:r>
        <w:rPr>
          <w:rFonts w:ascii="Times New Roman" w:hAnsi="Times New Roman" w:eastAsia="Times New Roman" w:cs="Times New Roman"/>
          <w:spacing w:val="-2"/>
          <w:sz w:val="24"/>
          <w:szCs w:val="24"/>
        </w:rPr>
        <w:t>L</w:t>
      </w:r>
      <w:r>
        <w:rPr>
          <w:spacing w:val="-2"/>
          <w:sz w:val="24"/>
          <w:szCs w:val="24"/>
        </w:rPr>
        <w:t>，其中硅藻门</w:t>
      </w:r>
      <w:r>
        <w:rPr>
          <w:spacing w:val="-54"/>
          <w:sz w:val="24"/>
          <w:szCs w:val="24"/>
        </w:rPr>
        <w:t xml:space="preserve"> </w:t>
      </w:r>
      <w:r>
        <w:rPr>
          <w:rFonts w:ascii="Times New Roman" w:hAnsi="Times New Roman" w:eastAsia="Times New Roman" w:cs="Times New Roman"/>
          <w:spacing w:val="-2"/>
          <w:sz w:val="24"/>
          <w:szCs w:val="24"/>
        </w:rPr>
        <w:t>2178×10</w:t>
      </w:r>
      <w:r>
        <w:rPr>
          <w:rFonts w:ascii="Times New Roman" w:hAnsi="Times New Roman" w:eastAsia="Times New Roman" w:cs="Times New Roman"/>
          <w:spacing w:val="-2"/>
          <w:position w:val="8"/>
          <w:sz w:val="15"/>
          <w:szCs w:val="15"/>
        </w:rPr>
        <w:t>-4</w:t>
      </w:r>
      <w:r>
        <w:rPr>
          <w:rFonts w:ascii="Times New Roman" w:hAnsi="Times New Roman" w:eastAsia="Times New Roman" w:cs="Times New Roman"/>
          <w:spacing w:val="-2"/>
          <w:sz w:val="24"/>
          <w:szCs w:val="24"/>
        </w:rPr>
        <w:t>m</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5"/>
          <w:sz w:val="24"/>
          <w:szCs w:val="24"/>
        </w:rPr>
        <w:t>g/L</w:t>
      </w:r>
      <w:r>
        <w:rPr>
          <w:rFonts w:ascii="Times New Roman" w:hAnsi="Times New Roman" w:eastAsia="Times New Roman" w:cs="Times New Roman"/>
          <w:spacing w:val="-30"/>
          <w:sz w:val="24"/>
          <w:szCs w:val="24"/>
        </w:rPr>
        <w:t xml:space="preserve"> </w:t>
      </w:r>
      <w:r>
        <w:rPr>
          <w:spacing w:val="-5"/>
          <w:sz w:val="24"/>
          <w:szCs w:val="24"/>
        </w:rPr>
        <w:t>，</w:t>
      </w:r>
      <w:r>
        <w:rPr>
          <w:spacing w:val="-71"/>
          <w:sz w:val="24"/>
          <w:szCs w:val="24"/>
        </w:rPr>
        <w:t xml:space="preserve"> </w:t>
      </w:r>
      <w:r>
        <w:rPr>
          <w:spacing w:val="-5"/>
          <w:sz w:val="24"/>
          <w:szCs w:val="24"/>
        </w:rPr>
        <w:t>占</w:t>
      </w:r>
      <w:r>
        <w:rPr>
          <w:spacing w:val="-54"/>
          <w:sz w:val="24"/>
          <w:szCs w:val="24"/>
        </w:rPr>
        <w:t xml:space="preserve"> </w:t>
      </w:r>
      <w:r>
        <w:rPr>
          <w:rFonts w:ascii="Times New Roman" w:hAnsi="Times New Roman" w:eastAsia="Times New Roman" w:cs="Times New Roman"/>
          <w:spacing w:val="-5"/>
          <w:sz w:val="24"/>
          <w:szCs w:val="24"/>
        </w:rPr>
        <w:t>49.38%</w:t>
      </w:r>
      <w:r>
        <w:rPr>
          <w:spacing w:val="-5"/>
          <w:sz w:val="24"/>
          <w:szCs w:val="24"/>
        </w:rPr>
        <w:t>；绿藻门</w:t>
      </w:r>
      <w:r>
        <w:rPr>
          <w:spacing w:val="-30"/>
          <w:sz w:val="24"/>
          <w:szCs w:val="24"/>
        </w:rPr>
        <w:t xml:space="preserve"> </w:t>
      </w:r>
      <w:r>
        <w:rPr>
          <w:rFonts w:ascii="Times New Roman" w:hAnsi="Times New Roman" w:eastAsia="Times New Roman" w:cs="Times New Roman"/>
          <w:spacing w:val="-5"/>
          <w:sz w:val="24"/>
          <w:szCs w:val="24"/>
        </w:rPr>
        <w:t>1269×10</w:t>
      </w:r>
      <w:r>
        <w:rPr>
          <w:rFonts w:ascii="Times New Roman" w:hAnsi="Times New Roman" w:eastAsia="Times New Roman" w:cs="Times New Roman"/>
          <w:spacing w:val="-5"/>
          <w:position w:val="8"/>
          <w:sz w:val="15"/>
          <w:szCs w:val="15"/>
        </w:rPr>
        <w:t>-4</w:t>
      </w:r>
      <w:r>
        <w:rPr>
          <w:rFonts w:ascii="Times New Roman" w:hAnsi="Times New Roman" w:eastAsia="Times New Roman" w:cs="Times New Roman"/>
          <w:spacing w:val="-5"/>
          <w:sz w:val="24"/>
          <w:szCs w:val="24"/>
        </w:rPr>
        <w:t>mg/L</w:t>
      </w:r>
      <w:r>
        <w:rPr>
          <w:rFonts w:ascii="Times New Roman" w:hAnsi="Times New Roman" w:eastAsia="Times New Roman" w:cs="Times New Roman"/>
          <w:spacing w:val="-30"/>
          <w:sz w:val="24"/>
          <w:szCs w:val="24"/>
        </w:rPr>
        <w:t xml:space="preserve"> </w:t>
      </w:r>
      <w:r>
        <w:rPr>
          <w:spacing w:val="-6"/>
          <w:sz w:val="24"/>
          <w:szCs w:val="24"/>
        </w:rPr>
        <w:t>，</w:t>
      </w:r>
      <w:r>
        <w:rPr>
          <w:spacing w:val="-72"/>
          <w:sz w:val="24"/>
          <w:szCs w:val="24"/>
        </w:rPr>
        <w:t xml:space="preserve"> </w:t>
      </w:r>
      <w:r>
        <w:rPr>
          <w:spacing w:val="-6"/>
          <w:sz w:val="24"/>
          <w:szCs w:val="24"/>
        </w:rPr>
        <w:t>占</w:t>
      </w:r>
      <w:r>
        <w:rPr>
          <w:spacing w:val="-51"/>
          <w:sz w:val="24"/>
          <w:szCs w:val="24"/>
        </w:rPr>
        <w:t xml:space="preserve"> </w:t>
      </w:r>
      <w:r>
        <w:rPr>
          <w:rFonts w:ascii="Times New Roman" w:hAnsi="Times New Roman" w:eastAsia="Times New Roman" w:cs="Times New Roman"/>
          <w:spacing w:val="-6"/>
          <w:sz w:val="24"/>
          <w:szCs w:val="24"/>
        </w:rPr>
        <w:t>28.78%</w:t>
      </w:r>
      <w:r>
        <w:rPr>
          <w:spacing w:val="-6"/>
          <w:sz w:val="24"/>
          <w:szCs w:val="24"/>
        </w:rPr>
        <w:t>；蓝藻门</w:t>
      </w:r>
      <w:r>
        <w:rPr>
          <w:spacing w:val="-47"/>
          <w:sz w:val="24"/>
          <w:szCs w:val="24"/>
        </w:rPr>
        <w:t xml:space="preserve"> </w:t>
      </w:r>
      <w:r>
        <w:rPr>
          <w:rFonts w:ascii="Times New Roman" w:hAnsi="Times New Roman" w:eastAsia="Times New Roman" w:cs="Times New Roman"/>
          <w:spacing w:val="-6"/>
          <w:sz w:val="24"/>
          <w:szCs w:val="24"/>
        </w:rPr>
        <w:t>679×10</w:t>
      </w:r>
      <w:r>
        <w:rPr>
          <w:rFonts w:ascii="Times New Roman" w:hAnsi="Times New Roman" w:eastAsia="Times New Roman" w:cs="Times New Roman"/>
          <w:spacing w:val="-6"/>
          <w:position w:val="8"/>
          <w:sz w:val="15"/>
          <w:szCs w:val="15"/>
        </w:rPr>
        <w:t>-4</w:t>
      </w:r>
      <w:r>
        <w:rPr>
          <w:rFonts w:ascii="Times New Roman" w:hAnsi="Times New Roman" w:eastAsia="Times New Roman" w:cs="Times New Roman"/>
          <w:spacing w:val="-6"/>
          <w:sz w:val="24"/>
          <w:szCs w:val="24"/>
        </w:rPr>
        <w:t>mg/L</w:t>
      </w:r>
      <w:r>
        <w:rPr>
          <w:rFonts w:ascii="Times New Roman" w:hAnsi="Times New Roman" w:eastAsia="Times New Roman" w:cs="Times New Roman"/>
          <w:spacing w:val="-31"/>
          <w:sz w:val="24"/>
          <w:szCs w:val="24"/>
        </w:rPr>
        <w:t xml:space="preserve"> </w:t>
      </w:r>
      <w:r>
        <w:rPr>
          <w:spacing w:val="-6"/>
          <w:sz w:val="24"/>
          <w:szCs w:val="24"/>
        </w:rPr>
        <w:t>，</w:t>
      </w:r>
      <w:r>
        <w:rPr>
          <w:spacing w:val="-71"/>
          <w:sz w:val="24"/>
          <w:szCs w:val="24"/>
        </w:rPr>
        <w:t xml:space="preserve"> </w:t>
      </w:r>
      <w:r>
        <w:rPr>
          <w:spacing w:val="-6"/>
          <w:sz w:val="24"/>
          <w:szCs w:val="24"/>
        </w:rPr>
        <w:t>占</w:t>
      </w:r>
      <w:r>
        <w:rPr>
          <w:spacing w:val="-29"/>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4"/>
          <w:sz w:val="24"/>
          <w:szCs w:val="24"/>
        </w:rPr>
        <w:t>5.39%</w:t>
      </w:r>
      <w:r>
        <w:rPr>
          <w:spacing w:val="-4"/>
          <w:sz w:val="24"/>
          <w:szCs w:val="24"/>
        </w:rPr>
        <w:t>；裸藻门</w:t>
      </w:r>
      <w:r>
        <w:rPr>
          <w:spacing w:val="-51"/>
          <w:sz w:val="24"/>
          <w:szCs w:val="24"/>
        </w:rPr>
        <w:t xml:space="preserve"> </w:t>
      </w:r>
      <w:r>
        <w:rPr>
          <w:rFonts w:ascii="Times New Roman" w:hAnsi="Times New Roman" w:eastAsia="Times New Roman" w:cs="Times New Roman"/>
          <w:spacing w:val="-4"/>
          <w:sz w:val="24"/>
          <w:szCs w:val="24"/>
        </w:rPr>
        <w:t>76×10</w:t>
      </w:r>
      <w:r>
        <w:rPr>
          <w:rFonts w:ascii="Times New Roman" w:hAnsi="Times New Roman" w:eastAsia="Times New Roman" w:cs="Times New Roman"/>
          <w:spacing w:val="-4"/>
          <w:position w:val="8"/>
          <w:sz w:val="15"/>
          <w:szCs w:val="15"/>
        </w:rPr>
        <w:t>-4</w:t>
      </w:r>
      <w:r>
        <w:rPr>
          <w:rFonts w:ascii="Times New Roman" w:hAnsi="Times New Roman" w:eastAsia="Times New Roman" w:cs="Times New Roman"/>
          <w:spacing w:val="-4"/>
          <w:sz w:val="24"/>
          <w:szCs w:val="24"/>
        </w:rPr>
        <w:t>mg/L</w:t>
      </w:r>
      <w:r>
        <w:rPr>
          <w:rFonts w:ascii="Times New Roman" w:hAnsi="Times New Roman" w:eastAsia="Times New Roman" w:cs="Times New Roman"/>
          <w:spacing w:val="-31"/>
          <w:sz w:val="24"/>
          <w:szCs w:val="24"/>
        </w:rPr>
        <w:t xml:space="preserve"> </w:t>
      </w:r>
      <w:r>
        <w:rPr>
          <w:spacing w:val="-4"/>
          <w:sz w:val="24"/>
          <w:szCs w:val="24"/>
        </w:rPr>
        <w:t>，占</w:t>
      </w:r>
      <w:r>
        <w:rPr>
          <w:spacing w:val="-32"/>
          <w:sz w:val="24"/>
          <w:szCs w:val="24"/>
        </w:rPr>
        <w:t xml:space="preserve"> </w:t>
      </w:r>
      <w:r>
        <w:rPr>
          <w:rFonts w:ascii="Times New Roman" w:hAnsi="Times New Roman" w:eastAsia="Times New Roman" w:cs="Times New Roman"/>
          <w:spacing w:val="-4"/>
          <w:sz w:val="24"/>
          <w:szCs w:val="24"/>
        </w:rPr>
        <w:t>1.72%</w:t>
      </w:r>
      <w:r>
        <w:rPr>
          <w:spacing w:val="-4"/>
          <w:sz w:val="24"/>
          <w:szCs w:val="24"/>
        </w:rPr>
        <w:t>；隐藻门</w:t>
      </w:r>
      <w:r>
        <w:rPr>
          <w:spacing w:val="-32"/>
          <w:sz w:val="24"/>
          <w:szCs w:val="24"/>
        </w:rPr>
        <w:t xml:space="preserve"> </w:t>
      </w:r>
      <w:r>
        <w:rPr>
          <w:rFonts w:ascii="Times New Roman" w:hAnsi="Times New Roman" w:eastAsia="Times New Roman" w:cs="Times New Roman"/>
          <w:spacing w:val="-4"/>
          <w:sz w:val="24"/>
          <w:szCs w:val="24"/>
        </w:rPr>
        <w:t>148×10</w:t>
      </w:r>
      <w:r>
        <w:rPr>
          <w:rFonts w:ascii="Times New Roman" w:hAnsi="Times New Roman" w:eastAsia="Times New Roman" w:cs="Times New Roman"/>
          <w:spacing w:val="-4"/>
          <w:position w:val="8"/>
          <w:sz w:val="15"/>
          <w:szCs w:val="15"/>
        </w:rPr>
        <w:t>-4</w:t>
      </w:r>
      <w:r>
        <w:rPr>
          <w:rFonts w:ascii="Times New Roman" w:hAnsi="Times New Roman" w:eastAsia="Times New Roman" w:cs="Times New Roman"/>
          <w:spacing w:val="-4"/>
          <w:sz w:val="24"/>
          <w:szCs w:val="24"/>
        </w:rPr>
        <w:t>mg/L</w:t>
      </w:r>
      <w:r>
        <w:rPr>
          <w:rFonts w:ascii="Times New Roman" w:hAnsi="Times New Roman" w:eastAsia="Times New Roman" w:cs="Times New Roman"/>
          <w:spacing w:val="-30"/>
          <w:sz w:val="24"/>
          <w:szCs w:val="24"/>
        </w:rPr>
        <w:t xml:space="preserve"> </w:t>
      </w:r>
      <w:r>
        <w:rPr>
          <w:spacing w:val="-4"/>
          <w:sz w:val="24"/>
          <w:szCs w:val="24"/>
        </w:rPr>
        <w:t>，占</w:t>
      </w:r>
      <w:r>
        <w:rPr>
          <w:spacing w:val="-50"/>
          <w:sz w:val="24"/>
          <w:szCs w:val="24"/>
        </w:rPr>
        <w:t xml:space="preserve"> </w:t>
      </w:r>
      <w:r>
        <w:rPr>
          <w:rFonts w:ascii="Times New Roman" w:hAnsi="Times New Roman" w:eastAsia="Times New Roman" w:cs="Times New Roman"/>
          <w:spacing w:val="-4"/>
          <w:sz w:val="24"/>
          <w:szCs w:val="24"/>
        </w:rPr>
        <w:t>3.37%</w:t>
      </w:r>
      <w:r>
        <w:rPr>
          <w:spacing w:val="-4"/>
          <w:sz w:val="24"/>
          <w:szCs w:val="24"/>
        </w:rPr>
        <w:t>；</w:t>
      </w:r>
      <w:r>
        <w:rPr>
          <w:spacing w:val="-5"/>
          <w:sz w:val="24"/>
          <w:szCs w:val="24"/>
        </w:rPr>
        <w:t>金藻门</w:t>
      </w:r>
      <w:r>
        <w:rPr>
          <w:rFonts w:ascii="Times New Roman" w:hAnsi="Times New Roman" w:eastAsia="Times New Roman" w:cs="Times New Roman"/>
          <w:spacing w:val="-6"/>
          <w:sz w:val="24"/>
          <w:szCs w:val="24"/>
        </w:rPr>
        <w:t>60×10</w:t>
      </w:r>
      <w:r>
        <w:rPr>
          <w:rFonts w:ascii="Times New Roman" w:hAnsi="Times New Roman" w:eastAsia="Times New Roman" w:cs="Times New Roman"/>
          <w:spacing w:val="-6"/>
          <w:position w:val="8"/>
          <w:sz w:val="15"/>
          <w:szCs w:val="15"/>
        </w:rPr>
        <w:t>-4</w:t>
      </w:r>
      <w:r>
        <w:rPr>
          <w:rFonts w:ascii="Times New Roman" w:hAnsi="Times New Roman" w:eastAsia="Times New Roman" w:cs="Times New Roman"/>
          <w:spacing w:val="-6"/>
          <w:sz w:val="24"/>
          <w:szCs w:val="24"/>
        </w:rPr>
        <w:t>mg/L</w:t>
      </w:r>
      <w:r>
        <w:rPr>
          <w:rFonts w:ascii="Times New Roman" w:hAnsi="Times New Roman" w:eastAsia="Times New Roman" w:cs="Times New Roman"/>
          <w:spacing w:val="-23"/>
          <w:sz w:val="24"/>
          <w:szCs w:val="24"/>
        </w:rPr>
        <w:t xml:space="preserve"> </w:t>
      </w:r>
      <w:r>
        <w:rPr>
          <w:spacing w:val="-6"/>
          <w:sz w:val="24"/>
          <w:szCs w:val="24"/>
        </w:rPr>
        <w:t>，</w:t>
      </w:r>
      <w:r>
        <w:rPr>
          <w:spacing w:val="-72"/>
          <w:sz w:val="24"/>
          <w:szCs w:val="24"/>
        </w:rPr>
        <w:t xml:space="preserve"> </w:t>
      </w:r>
      <w:r>
        <w:rPr>
          <w:spacing w:val="-6"/>
          <w:sz w:val="24"/>
          <w:szCs w:val="24"/>
        </w:rPr>
        <w:t>占</w:t>
      </w:r>
      <w:r>
        <w:rPr>
          <w:spacing w:val="-32"/>
          <w:sz w:val="24"/>
          <w:szCs w:val="24"/>
        </w:rPr>
        <w:t xml:space="preserve"> </w:t>
      </w:r>
      <w:r>
        <w:rPr>
          <w:rFonts w:ascii="Times New Roman" w:hAnsi="Times New Roman" w:eastAsia="Times New Roman" w:cs="Times New Roman"/>
          <w:spacing w:val="-6"/>
          <w:sz w:val="24"/>
          <w:szCs w:val="24"/>
        </w:rPr>
        <w:t>1.36%</w:t>
      </w:r>
      <w:r>
        <w:rPr>
          <w:spacing w:val="-6"/>
          <w:sz w:val="24"/>
          <w:szCs w:val="24"/>
        </w:rPr>
        <w:t>。</w:t>
      </w:r>
    </w:p>
    <w:p w14:paraId="44169FD4">
      <w:pPr>
        <w:pStyle w:val="2"/>
        <w:spacing w:before="24" w:line="212" w:lineRule="auto"/>
        <w:ind w:left="279"/>
        <w:rPr>
          <w:sz w:val="24"/>
          <w:szCs w:val="24"/>
        </w:rPr>
      </w:pPr>
      <w:r>
        <w:rPr>
          <w:b/>
          <w:bCs/>
          <w:spacing w:val="-1"/>
          <w:sz w:val="24"/>
          <w:szCs w:val="24"/>
        </w:rPr>
        <w:t>表</w:t>
      </w:r>
      <w:r>
        <w:rPr>
          <w:spacing w:val="-49"/>
          <w:sz w:val="24"/>
          <w:szCs w:val="24"/>
        </w:rPr>
        <w:t xml:space="preserve"> </w:t>
      </w:r>
      <w:r>
        <w:rPr>
          <w:rFonts w:ascii="Times New Roman" w:hAnsi="Times New Roman" w:eastAsia="Times New Roman" w:cs="Times New Roman"/>
          <w:b/>
          <w:bCs/>
          <w:spacing w:val="-1"/>
          <w:sz w:val="24"/>
          <w:szCs w:val="24"/>
        </w:rPr>
        <w:t xml:space="preserve">6.1-18          </w:t>
      </w:r>
      <w:r>
        <w:rPr>
          <w:b/>
          <w:bCs/>
          <w:spacing w:val="-1"/>
          <w:sz w:val="24"/>
          <w:szCs w:val="24"/>
        </w:rPr>
        <w:t>环评期和施工期淡水浮游植物生物量监测对比表（</w:t>
      </w:r>
      <w:r>
        <w:rPr>
          <w:rFonts w:ascii="Times New Roman" w:hAnsi="Times New Roman" w:eastAsia="Times New Roman" w:cs="Times New Roman"/>
          <w:b/>
          <w:bCs/>
          <w:spacing w:val="-1"/>
          <w:sz w:val="24"/>
          <w:szCs w:val="24"/>
        </w:rPr>
        <w:t>10</w:t>
      </w:r>
      <w:r>
        <w:rPr>
          <w:rFonts w:ascii="Times New Roman" w:hAnsi="Times New Roman" w:eastAsia="Times New Roman" w:cs="Times New Roman"/>
          <w:b/>
          <w:bCs/>
          <w:spacing w:val="-1"/>
          <w:position w:val="7"/>
          <w:sz w:val="15"/>
          <w:szCs w:val="15"/>
        </w:rPr>
        <w:t>-4</w:t>
      </w:r>
      <w:r>
        <w:rPr>
          <w:rFonts w:ascii="Times New Roman" w:hAnsi="Times New Roman" w:eastAsia="Times New Roman" w:cs="Times New Roman"/>
          <w:b/>
          <w:bCs/>
          <w:spacing w:val="-1"/>
          <w:sz w:val="24"/>
          <w:szCs w:val="24"/>
        </w:rPr>
        <w:t>mg/L</w:t>
      </w:r>
      <w:r>
        <w:rPr>
          <w:b/>
          <w:bCs/>
          <w:spacing w:val="-1"/>
          <w:sz w:val="24"/>
          <w:szCs w:val="24"/>
        </w:rPr>
        <w:t>）</w:t>
      </w:r>
    </w:p>
    <w:p w14:paraId="39E17588">
      <w:pPr>
        <w:spacing w:line="17" w:lineRule="exact"/>
      </w:pPr>
    </w:p>
    <w:tbl>
      <w:tblPr>
        <w:tblStyle w:val="5"/>
        <w:tblW w:w="8471" w:type="dxa"/>
        <w:tblInd w:w="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1101"/>
        <w:gridCol w:w="1103"/>
        <w:gridCol w:w="1101"/>
        <w:gridCol w:w="1126"/>
        <w:gridCol w:w="1212"/>
        <w:gridCol w:w="1265"/>
      </w:tblGrid>
      <w:tr w14:paraId="16216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563" w:type="dxa"/>
            <w:tcBorders>
              <w:top w:val="single" w:color="000000" w:sz="12" w:space="0"/>
              <w:left w:val="single" w:color="000000" w:sz="12" w:space="0"/>
            </w:tcBorders>
            <w:vAlign w:val="top"/>
          </w:tcPr>
          <w:p w14:paraId="76A7608A">
            <w:pPr>
              <w:spacing w:before="100" w:line="221" w:lineRule="auto"/>
              <w:ind w:left="349"/>
              <w:rPr>
                <w:rFonts w:ascii="宋体" w:hAnsi="宋体" w:eastAsia="宋体" w:cs="宋体"/>
                <w:sz w:val="21"/>
                <w:szCs w:val="21"/>
              </w:rPr>
            </w:pPr>
            <w:r>
              <w:rPr>
                <w:rFonts w:ascii="宋体" w:hAnsi="宋体" w:eastAsia="宋体" w:cs="宋体"/>
                <w:spacing w:val="-3"/>
                <w:sz w:val="21"/>
                <w:szCs w:val="21"/>
              </w:rPr>
              <w:t>监测时间</w:t>
            </w:r>
          </w:p>
        </w:tc>
        <w:tc>
          <w:tcPr>
            <w:tcW w:w="1101" w:type="dxa"/>
            <w:tcBorders>
              <w:top w:val="single" w:color="000000" w:sz="12" w:space="0"/>
            </w:tcBorders>
            <w:vAlign w:val="top"/>
          </w:tcPr>
          <w:p w14:paraId="3426474F">
            <w:pPr>
              <w:spacing w:before="100" w:line="220" w:lineRule="auto"/>
              <w:ind w:left="229"/>
              <w:rPr>
                <w:rFonts w:ascii="宋体" w:hAnsi="宋体" w:eastAsia="宋体" w:cs="宋体"/>
                <w:sz w:val="21"/>
                <w:szCs w:val="21"/>
              </w:rPr>
            </w:pPr>
            <w:r>
              <w:rPr>
                <w:rFonts w:ascii="宋体" w:hAnsi="宋体" w:eastAsia="宋体" w:cs="宋体"/>
                <w:spacing w:val="-2"/>
                <w:sz w:val="21"/>
                <w:szCs w:val="21"/>
              </w:rPr>
              <w:t>硅藻门</w:t>
            </w:r>
          </w:p>
        </w:tc>
        <w:tc>
          <w:tcPr>
            <w:tcW w:w="1103" w:type="dxa"/>
            <w:tcBorders>
              <w:top w:val="single" w:color="000000" w:sz="12" w:space="0"/>
            </w:tcBorders>
            <w:vAlign w:val="top"/>
          </w:tcPr>
          <w:p w14:paraId="225D2ADC">
            <w:pPr>
              <w:spacing w:before="100" w:line="220" w:lineRule="auto"/>
              <w:ind w:left="237"/>
              <w:rPr>
                <w:rFonts w:ascii="宋体" w:hAnsi="宋体" w:eastAsia="宋体" w:cs="宋体"/>
                <w:sz w:val="21"/>
                <w:szCs w:val="21"/>
              </w:rPr>
            </w:pPr>
            <w:r>
              <w:rPr>
                <w:rFonts w:ascii="宋体" w:hAnsi="宋体" w:eastAsia="宋体" w:cs="宋体"/>
                <w:spacing w:val="-3"/>
                <w:sz w:val="21"/>
                <w:szCs w:val="21"/>
              </w:rPr>
              <w:t>绿藻门</w:t>
            </w:r>
          </w:p>
        </w:tc>
        <w:tc>
          <w:tcPr>
            <w:tcW w:w="1101" w:type="dxa"/>
            <w:tcBorders>
              <w:top w:val="single" w:color="000000" w:sz="12" w:space="0"/>
            </w:tcBorders>
            <w:vAlign w:val="top"/>
          </w:tcPr>
          <w:p w14:paraId="0D6EC607">
            <w:pPr>
              <w:spacing w:before="100" w:line="220" w:lineRule="auto"/>
              <w:ind w:left="240"/>
              <w:rPr>
                <w:rFonts w:ascii="宋体" w:hAnsi="宋体" w:eastAsia="宋体" w:cs="宋体"/>
                <w:sz w:val="21"/>
                <w:szCs w:val="21"/>
              </w:rPr>
            </w:pPr>
            <w:r>
              <w:rPr>
                <w:rFonts w:ascii="宋体" w:hAnsi="宋体" w:eastAsia="宋体" w:cs="宋体"/>
                <w:spacing w:val="-3"/>
                <w:sz w:val="21"/>
                <w:szCs w:val="21"/>
              </w:rPr>
              <w:t>蓝藻门</w:t>
            </w:r>
          </w:p>
        </w:tc>
        <w:tc>
          <w:tcPr>
            <w:tcW w:w="1126" w:type="dxa"/>
            <w:tcBorders>
              <w:top w:val="single" w:color="000000" w:sz="12" w:space="0"/>
            </w:tcBorders>
            <w:vAlign w:val="top"/>
          </w:tcPr>
          <w:p w14:paraId="477CD03E">
            <w:pPr>
              <w:spacing w:before="100" w:line="220" w:lineRule="auto"/>
              <w:ind w:left="254"/>
              <w:rPr>
                <w:rFonts w:ascii="宋体" w:hAnsi="宋体" w:eastAsia="宋体" w:cs="宋体"/>
                <w:sz w:val="21"/>
                <w:szCs w:val="21"/>
              </w:rPr>
            </w:pPr>
            <w:r>
              <w:rPr>
                <w:rFonts w:ascii="宋体" w:hAnsi="宋体" w:eastAsia="宋体" w:cs="宋体"/>
                <w:spacing w:val="-2"/>
                <w:sz w:val="21"/>
                <w:szCs w:val="21"/>
              </w:rPr>
              <w:t>裸藻门</w:t>
            </w:r>
          </w:p>
        </w:tc>
        <w:tc>
          <w:tcPr>
            <w:tcW w:w="1212" w:type="dxa"/>
            <w:tcBorders>
              <w:top w:val="single" w:color="000000" w:sz="12" w:space="0"/>
            </w:tcBorders>
            <w:vAlign w:val="top"/>
          </w:tcPr>
          <w:p w14:paraId="28520C70">
            <w:pPr>
              <w:spacing w:before="100" w:line="220" w:lineRule="auto"/>
              <w:ind w:left="328"/>
              <w:rPr>
                <w:rFonts w:ascii="宋体" w:hAnsi="宋体" w:eastAsia="宋体" w:cs="宋体"/>
                <w:sz w:val="21"/>
                <w:szCs w:val="21"/>
              </w:rPr>
            </w:pPr>
            <w:r>
              <w:rPr>
                <w:rFonts w:ascii="宋体" w:hAnsi="宋体" w:eastAsia="宋体" w:cs="宋体"/>
                <w:spacing w:val="-8"/>
                <w:sz w:val="21"/>
                <w:szCs w:val="21"/>
              </w:rPr>
              <w:t>甲藻门</w:t>
            </w:r>
          </w:p>
        </w:tc>
        <w:tc>
          <w:tcPr>
            <w:tcW w:w="1265" w:type="dxa"/>
            <w:tcBorders>
              <w:top w:val="single" w:color="000000" w:sz="12" w:space="0"/>
              <w:right w:val="single" w:color="000000" w:sz="12" w:space="0"/>
            </w:tcBorders>
            <w:vAlign w:val="top"/>
          </w:tcPr>
          <w:p w14:paraId="1CFEB43F">
            <w:pPr>
              <w:spacing w:before="99" w:line="220" w:lineRule="auto"/>
              <w:ind w:left="324"/>
              <w:rPr>
                <w:rFonts w:ascii="宋体" w:hAnsi="宋体" w:eastAsia="宋体" w:cs="宋体"/>
                <w:sz w:val="21"/>
                <w:szCs w:val="21"/>
              </w:rPr>
            </w:pPr>
            <w:r>
              <w:rPr>
                <w:rFonts w:ascii="宋体" w:hAnsi="宋体" w:eastAsia="宋体" w:cs="宋体"/>
                <w:spacing w:val="-2"/>
                <w:sz w:val="21"/>
                <w:szCs w:val="21"/>
              </w:rPr>
              <w:t>平均值</w:t>
            </w:r>
          </w:p>
        </w:tc>
      </w:tr>
      <w:tr w14:paraId="11B36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563" w:type="dxa"/>
            <w:tcBorders>
              <w:left w:val="single" w:color="000000" w:sz="12" w:space="0"/>
            </w:tcBorders>
            <w:vAlign w:val="top"/>
          </w:tcPr>
          <w:p w14:paraId="0F72E394">
            <w:pPr>
              <w:pStyle w:val="6"/>
              <w:spacing w:before="104" w:line="234" w:lineRule="auto"/>
              <w:ind w:left="213"/>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101" w:type="dxa"/>
            <w:vAlign w:val="top"/>
          </w:tcPr>
          <w:p w14:paraId="22FA23CE">
            <w:pPr>
              <w:pStyle w:val="6"/>
              <w:spacing w:before="133" w:line="232" w:lineRule="auto"/>
              <w:ind w:left="199"/>
            </w:pPr>
            <w:r>
              <w:rPr>
                <w:spacing w:val="-1"/>
              </w:rPr>
              <w:t>2004.73</w:t>
            </w:r>
          </w:p>
        </w:tc>
        <w:tc>
          <w:tcPr>
            <w:tcW w:w="1103" w:type="dxa"/>
            <w:vAlign w:val="top"/>
          </w:tcPr>
          <w:p w14:paraId="21F5B568">
            <w:pPr>
              <w:pStyle w:val="6"/>
              <w:spacing w:before="133" w:line="232" w:lineRule="auto"/>
              <w:ind w:left="258"/>
            </w:pPr>
            <w:r>
              <w:rPr>
                <w:spacing w:val="-1"/>
              </w:rPr>
              <w:t>267.67</w:t>
            </w:r>
          </w:p>
        </w:tc>
        <w:tc>
          <w:tcPr>
            <w:tcW w:w="1101" w:type="dxa"/>
            <w:vAlign w:val="top"/>
          </w:tcPr>
          <w:p w14:paraId="19AC48A7">
            <w:pPr>
              <w:pStyle w:val="6"/>
              <w:spacing w:before="133" w:line="232" w:lineRule="auto"/>
              <w:ind w:left="321"/>
            </w:pPr>
            <w:r>
              <w:rPr>
                <w:spacing w:val="-3"/>
              </w:rPr>
              <w:t>83.53</w:t>
            </w:r>
          </w:p>
        </w:tc>
        <w:tc>
          <w:tcPr>
            <w:tcW w:w="1126" w:type="dxa"/>
            <w:vAlign w:val="top"/>
          </w:tcPr>
          <w:p w14:paraId="628E7396">
            <w:pPr>
              <w:pStyle w:val="6"/>
              <w:spacing w:before="133" w:line="232" w:lineRule="auto"/>
              <w:ind w:left="338"/>
            </w:pPr>
            <w:r>
              <w:rPr>
                <w:spacing w:val="-3"/>
              </w:rPr>
              <w:t>82.87</w:t>
            </w:r>
          </w:p>
        </w:tc>
        <w:tc>
          <w:tcPr>
            <w:tcW w:w="1212" w:type="dxa"/>
            <w:vAlign w:val="top"/>
          </w:tcPr>
          <w:p w14:paraId="79D9C566">
            <w:pPr>
              <w:pStyle w:val="6"/>
              <w:spacing w:before="133" w:line="232" w:lineRule="auto"/>
              <w:ind w:left="329"/>
            </w:pPr>
            <w:r>
              <w:rPr>
                <w:spacing w:val="-2"/>
              </w:rPr>
              <w:t>323.53</w:t>
            </w:r>
          </w:p>
        </w:tc>
        <w:tc>
          <w:tcPr>
            <w:tcW w:w="1265" w:type="dxa"/>
            <w:tcBorders>
              <w:right w:val="single" w:color="000000" w:sz="12" w:space="0"/>
            </w:tcBorders>
            <w:vAlign w:val="top"/>
          </w:tcPr>
          <w:p w14:paraId="786F8384">
            <w:pPr>
              <w:pStyle w:val="6"/>
              <w:spacing w:before="133" w:line="232" w:lineRule="auto"/>
              <w:ind w:left="294"/>
            </w:pPr>
            <w:r>
              <w:rPr>
                <w:spacing w:val="-1"/>
              </w:rPr>
              <w:t>2762.33</w:t>
            </w:r>
          </w:p>
        </w:tc>
      </w:tr>
      <w:tr w14:paraId="2C244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563" w:type="dxa"/>
            <w:tcBorders>
              <w:left w:val="single" w:color="000000" w:sz="12" w:space="0"/>
              <w:bottom w:val="single" w:color="000000" w:sz="12" w:space="0"/>
            </w:tcBorders>
            <w:vAlign w:val="top"/>
          </w:tcPr>
          <w:p w14:paraId="2A5BEEF6">
            <w:pPr>
              <w:pStyle w:val="6"/>
              <w:spacing w:before="104" w:line="234" w:lineRule="auto"/>
              <w:ind w:left="213"/>
              <w:rPr>
                <w:rFonts w:ascii="宋体" w:hAnsi="宋体" w:eastAsia="宋体" w:cs="宋体"/>
              </w:rPr>
            </w:pPr>
            <w:r>
              <w:rPr>
                <w:spacing w:val="-1"/>
              </w:rPr>
              <w:t xml:space="preserve">2020 </w:t>
            </w:r>
            <w:r>
              <w:rPr>
                <w:rFonts w:ascii="宋体" w:hAnsi="宋体" w:eastAsia="宋体" w:cs="宋体"/>
                <w:spacing w:val="-1"/>
              </w:rPr>
              <w:t>施工期</w:t>
            </w:r>
          </w:p>
        </w:tc>
        <w:tc>
          <w:tcPr>
            <w:tcW w:w="1101" w:type="dxa"/>
            <w:tcBorders>
              <w:bottom w:val="single" w:color="000000" w:sz="12" w:space="0"/>
            </w:tcBorders>
            <w:vAlign w:val="top"/>
          </w:tcPr>
          <w:p w14:paraId="6795FC7C">
            <w:pPr>
              <w:pStyle w:val="6"/>
              <w:spacing w:before="138" w:line="232" w:lineRule="auto"/>
              <w:ind w:left="219"/>
            </w:pPr>
            <w:r>
              <w:rPr>
                <w:spacing w:val="-4"/>
              </w:rPr>
              <w:t>1785.45</w:t>
            </w:r>
          </w:p>
        </w:tc>
        <w:tc>
          <w:tcPr>
            <w:tcW w:w="1103" w:type="dxa"/>
            <w:tcBorders>
              <w:bottom w:val="single" w:color="000000" w:sz="12" w:space="0"/>
            </w:tcBorders>
            <w:vAlign w:val="top"/>
          </w:tcPr>
          <w:p w14:paraId="52799016">
            <w:pPr>
              <w:pStyle w:val="6"/>
              <w:spacing w:before="138" w:line="232" w:lineRule="auto"/>
              <w:ind w:left="258"/>
            </w:pPr>
            <w:r>
              <w:rPr>
                <w:spacing w:val="-1"/>
              </w:rPr>
              <w:t>221.33</w:t>
            </w:r>
          </w:p>
        </w:tc>
        <w:tc>
          <w:tcPr>
            <w:tcW w:w="1101" w:type="dxa"/>
            <w:tcBorders>
              <w:bottom w:val="single" w:color="000000" w:sz="12" w:space="0"/>
            </w:tcBorders>
            <w:vAlign w:val="top"/>
          </w:tcPr>
          <w:p w14:paraId="73AFFDA4">
            <w:pPr>
              <w:pStyle w:val="6"/>
              <w:spacing w:before="138" w:line="232" w:lineRule="auto"/>
              <w:ind w:left="321"/>
            </w:pPr>
            <w:r>
              <w:rPr>
                <w:spacing w:val="-3"/>
              </w:rPr>
              <w:t>88.25</w:t>
            </w:r>
          </w:p>
        </w:tc>
        <w:tc>
          <w:tcPr>
            <w:tcW w:w="1126" w:type="dxa"/>
            <w:tcBorders>
              <w:bottom w:val="single" w:color="000000" w:sz="12" w:space="0"/>
            </w:tcBorders>
            <w:vAlign w:val="top"/>
          </w:tcPr>
          <w:p w14:paraId="0C3AA991">
            <w:pPr>
              <w:pStyle w:val="6"/>
              <w:spacing w:before="138" w:line="232" w:lineRule="auto"/>
              <w:ind w:left="338"/>
            </w:pPr>
            <w:r>
              <w:rPr>
                <w:spacing w:val="-3"/>
              </w:rPr>
              <w:t>83.45</w:t>
            </w:r>
          </w:p>
        </w:tc>
        <w:tc>
          <w:tcPr>
            <w:tcW w:w="1212" w:type="dxa"/>
            <w:tcBorders>
              <w:bottom w:val="single" w:color="000000" w:sz="12" w:space="0"/>
            </w:tcBorders>
            <w:vAlign w:val="top"/>
          </w:tcPr>
          <w:p w14:paraId="44C9FAB6">
            <w:pPr>
              <w:pStyle w:val="6"/>
              <w:spacing w:before="138" w:line="232" w:lineRule="auto"/>
              <w:ind w:left="329"/>
            </w:pPr>
            <w:r>
              <w:rPr>
                <w:spacing w:val="-2"/>
              </w:rPr>
              <w:t>321.64</w:t>
            </w:r>
          </w:p>
        </w:tc>
        <w:tc>
          <w:tcPr>
            <w:tcW w:w="1265" w:type="dxa"/>
            <w:tcBorders>
              <w:bottom w:val="single" w:color="000000" w:sz="12" w:space="0"/>
              <w:right w:val="single" w:color="000000" w:sz="12" w:space="0"/>
            </w:tcBorders>
            <w:vAlign w:val="top"/>
          </w:tcPr>
          <w:p w14:paraId="07030B28">
            <w:pPr>
              <w:pStyle w:val="6"/>
              <w:spacing w:before="138" w:line="232" w:lineRule="auto"/>
              <w:ind w:left="294"/>
            </w:pPr>
            <w:r>
              <w:rPr>
                <w:spacing w:val="-1"/>
              </w:rPr>
              <w:t>2500.12</w:t>
            </w:r>
          </w:p>
        </w:tc>
      </w:tr>
    </w:tbl>
    <w:p w14:paraId="315FFF53">
      <w:pPr>
        <w:spacing w:line="437" w:lineRule="auto"/>
        <w:rPr>
          <w:rFonts w:ascii="Arial"/>
          <w:sz w:val="21"/>
        </w:rPr>
      </w:pPr>
    </w:p>
    <w:p w14:paraId="2B42A7F7">
      <w:pPr>
        <w:spacing w:line="4340" w:lineRule="exact"/>
        <w:ind w:firstLine="666"/>
      </w:pPr>
      <w:r>
        <w:rPr>
          <w:position w:val="-86"/>
        </w:rPr>
        <w:drawing>
          <wp:inline distT="0" distB="0" distL="0" distR="0">
            <wp:extent cx="4584700" cy="275526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414"/>
                    <a:stretch>
                      <a:fillRect/>
                    </a:stretch>
                  </pic:blipFill>
                  <pic:spPr>
                    <a:xfrm>
                      <a:off x="0" y="0"/>
                      <a:ext cx="4584700" cy="2755646"/>
                    </a:xfrm>
                    <a:prstGeom prst="rect">
                      <a:avLst/>
                    </a:prstGeom>
                  </pic:spPr>
                </pic:pic>
              </a:graphicData>
            </a:graphic>
          </wp:inline>
        </w:drawing>
      </w:r>
    </w:p>
    <w:p w14:paraId="0F44BE96">
      <w:pPr>
        <w:spacing w:before="184" w:line="233" w:lineRule="auto"/>
        <w:ind w:left="1795"/>
        <w:rPr>
          <w:rFonts w:ascii="黑体" w:hAnsi="黑体" w:eastAsia="黑体" w:cs="黑体"/>
          <w:sz w:val="24"/>
          <w:szCs w:val="24"/>
        </w:rPr>
      </w:pPr>
      <w:r>
        <w:rPr>
          <w:rFonts w:ascii="黑体" w:hAnsi="黑体" w:eastAsia="黑体" w:cs="黑体"/>
          <w:b/>
          <w:bCs/>
          <w:spacing w:val="-2"/>
          <w:sz w:val="24"/>
          <w:szCs w:val="24"/>
        </w:rPr>
        <w:t>图</w:t>
      </w:r>
      <w:r>
        <w:rPr>
          <w:rFonts w:ascii="黑体" w:hAnsi="黑体" w:eastAsia="黑体" w:cs="黑体"/>
          <w:spacing w:val="-50"/>
          <w:sz w:val="24"/>
          <w:szCs w:val="24"/>
        </w:rPr>
        <w:t xml:space="preserve"> </w:t>
      </w:r>
      <w:r>
        <w:rPr>
          <w:rFonts w:ascii="Times New Roman" w:hAnsi="Times New Roman" w:eastAsia="Times New Roman" w:cs="Times New Roman"/>
          <w:b/>
          <w:bCs/>
          <w:spacing w:val="-2"/>
          <w:sz w:val="24"/>
          <w:szCs w:val="24"/>
        </w:rPr>
        <w:t xml:space="preserve">6.1-2      </w:t>
      </w:r>
      <w:r>
        <w:rPr>
          <w:rFonts w:ascii="黑体" w:hAnsi="黑体" w:eastAsia="黑体" w:cs="黑体"/>
          <w:b/>
          <w:bCs/>
          <w:spacing w:val="-2"/>
          <w:sz w:val="24"/>
          <w:szCs w:val="24"/>
        </w:rPr>
        <w:t>施工期和环评期浮游植物生</w:t>
      </w:r>
      <w:r>
        <w:rPr>
          <w:rFonts w:ascii="黑体" w:hAnsi="黑体" w:eastAsia="黑体" w:cs="黑体"/>
          <w:b/>
          <w:bCs/>
          <w:spacing w:val="-3"/>
          <w:sz w:val="24"/>
          <w:szCs w:val="24"/>
        </w:rPr>
        <w:t>物量对比</w:t>
      </w:r>
    </w:p>
    <w:p w14:paraId="3BB5D58D">
      <w:pPr>
        <w:pStyle w:val="2"/>
        <w:spacing w:before="276" w:line="338" w:lineRule="auto"/>
        <w:ind w:left="40" w:right="30" w:firstLine="508"/>
        <w:jc w:val="both"/>
        <w:rPr>
          <w:sz w:val="24"/>
          <w:szCs w:val="24"/>
        </w:rPr>
      </w:pPr>
      <w:r>
        <w:rPr>
          <w:spacing w:val="-5"/>
          <w:sz w:val="24"/>
          <w:szCs w:val="24"/>
        </w:rPr>
        <w:t>由于施工已开始，输水隧洞和大坝等已按计划施工，进场公路已</w:t>
      </w:r>
      <w:r>
        <w:rPr>
          <w:spacing w:val="-6"/>
          <w:sz w:val="24"/>
          <w:szCs w:val="24"/>
        </w:rPr>
        <w:t>开始修筑，河</w:t>
      </w:r>
      <w:r>
        <w:rPr>
          <w:spacing w:val="-1"/>
          <w:sz w:val="24"/>
          <w:szCs w:val="24"/>
        </w:rPr>
        <w:t xml:space="preserve">水受到不同程度的污染，施工前后两次监测对比结果表明，浮游植物种类比 </w:t>
      </w:r>
      <w:r>
        <w:rPr>
          <w:rFonts w:ascii="Times New Roman" w:hAnsi="Times New Roman" w:eastAsia="Times New Roman" w:cs="Times New Roman"/>
          <w:spacing w:val="-1"/>
          <w:sz w:val="24"/>
          <w:szCs w:val="24"/>
        </w:rPr>
        <w:t>2016</w:t>
      </w:r>
      <w:r>
        <w:rPr>
          <w:spacing w:val="-4"/>
          <w:sz w:val="24"/>
          <w:szCs w:val="24"/>
        </w:rPr>
        <w:t>年环评期有所减少，藻类平均密度和生物量也不同程度的降低。施工期监</w:t>
      </w:r>
      <w:r>
        <w:rPr>
          <w:spacing w:val="-5"/>
          <w:sz w:val="24"/>
          <w:szCs w:val="24"/>
        </w:rPr>
        <w:t>测结果表</w:t>
      </w:r>
      <w:r>
        <w:rPr>
          <w:spacing w:val="-6"/>
          <w:sz w:val="24"/>
          <w:szCs w:val="24"/>
        </w:rPr>
        <w:t>明：施工期间硅藻、绿藻等喜洁净水体种类的密度和数量下降，</w:t>
      </w:r>
      <w:r>
        <w:rPr>
          <w:spacing w:val="-46"/>
          <w:sz w:val="24"/>
          <w:szCs w:val="24"/>
        </w:rPr>
        <w:t xml:space="preserve"> </w:t>
      </w:r>
      <w:r>
        <w:rPr>
          <w:spacing w:val="-6"/>
          <w:sz w:val="24"/>
          <w:szCs w:val="24"/>
        </w:rPr>
        <w:t>而</w:t>
      </w:r>
      <w:r>
        <w:rPr>
          <w:spacing w:val="-7"/>
          <w:sz w:val="24"/>
          <w:szCs w:val="24"/>
        </w:rPr>
        <w:t>蓝藻等污染带指</w:t>
      </w:r>
      <w:r>
        <w:rPr>
          <w:spacing w:val="-4"/>
          <w:sz w:val="24"/>
          <w:szCs w:val="24"/>
        </w:rPr>
        <w:t>示种的密度则略有升高。</w:t>
      </w:r>
    </w:p>
    <w:p w14:paraId="0EB462BF">
      <w:pPr>
        <w:pStyle w:val="2"/>
        <w:spacing w:before="123" w:line="220" w:lineRule="auto"/>
        <w:ind w:left="35"/>
        <w:rPr>
          <w:sz w:val="24"/>
          <w:szCs w:val="24"/>
        </w:rPr>
      </w:pPr>
      <w:r>
        <w:rPr>
          <w:rFonts w:ascii="Arial" w:hAnsi="Arial" w:eastAsia="Arial" w:cs="Arial"/>
          <w:spacing w:val="5"/>
          <w:position w:val="1"/>
          <w:sz w:val="18"/>
          <w:szCs w:val="18"/>
        </w:rPr>
        <w:t>6.1.2.3</w:t>
      </w:r>
      <w:r>
        <w:rPr>
          <w:rFonts w:ascii="Arial" w:hAnsi="Arial" w:eastAsia="Arial" w:cs="Arial"/>
          <w:spacing w:val="43"/>
          <w:w w:val="101"/>
          <w:position w:val="1"/>
          <w:sz w:val="18"/>
          <w:szCs w:val="18"/>
        </w:rPr>
        <w:t xml:space="preserve"> </w:t>
      </w:r>
      <w:r>
        <w:rPr>
          <w:b/>
          <w:bCs/>
          <w:spacing w:val="5"/>
          <w:position w:val="-1"/>
          <w:sz w:val="24"/>
          <w:szCs w:val="24"/>
        </w:rPr>
        <w:t>浮游动物影响</w:t>
      </w:r>
    </w:p>
    <w:p w14:paraId="7F90C004">
      <w:pPr>
        <w:pStyle w:val="2"/>
        <w:spacing w:before="273" w:line="219" w:lineRule="auto"/>
        <w:ind w:right="29"/>
        <w:jc w:val="right"/>
        <w:rPr>
          <w:sz w:val="24"/>
          <w:szCs w:val="24"/>
        </w:rPr>
      </w:pPr>
      <w:r>
        <w:rPr>
          <w:spacing w:val="-4"/>
          <w:sz w:val="24"/>
          <w:szCs w:val="24"/>
        </w:rPr>
        <w:t>工程河段浮游动物种类较少，区系组成结构相对简</w:t>
      </w:r>
      <w:r>
        <w:rPr>
          <w:spacing w:val="-5"/>
          <w:sz w:val="24"/>
          <w:szCs w:val="24"/>
        </w:rPr>
        <w:t>单，由原生动物、轮虫、节</w:t>
      </w:r>
    </w:p>
    <w:p w14:paraId="72A45C11">
      <w:pPr>
        <w:spacing w:line="219" w:lineRule="auto"/>
        <w:rPr>
          <w:sz w:val="24"/>
          <w:szCs w:val="24"/>
        </w:rPr>
        <w:sectPr>
          <w:headerReference r:id="rId206" w:type="default"/>
          <w:footerReference r:id="rId207" w:type="default"/>
          <w:pgSz w:w="11907" w:h="16839"/>
          <w:pgMar w:top="1376" w:right="1669" w:bottom="1061" w:left="1671" w:header="999" w:footer="859" w:gutter="0"/>
          <w:cols w:space="720" w:num="1"/>
        </w:sectPr>
      </w:pPr>
    </w:p>
    <w:p w14:paraId="50AAEE13">
      <w:pPr>
        <w:spacing w:line="462" w:lineRule="auto"/>
        <w:rPr>
          <w:rFonts w:ascii="Arial"/>
          <w:sz w:val="21"/>
        </w:rPr>
      </w:pPr>
    </w:p>
    <w:p w14:paraId="61F57D6A">
      <w:pPr>
        <w:pStyle w:val="2"/>
        <w:spacing w:before="78" w:line="337" w:lineRule="auto"/>
        <w:ind w:left="34" w:firstLine="5"/>
        <w:rPr>
          <w:sz w:val="24"/>
          <w:szCs w:val="24"/>
        </w:rPr>
      </w:pPr>
      <w:r>
        <w:rPr>
          <w:spacing w:val="-3"/>
          <w:sz w:val="24"/>
          <w:szCs w:val="24"/>
        </w:rPr>
        <w:t>肢动物组成，共检出浮游动物计</w:t>
      </w:r>
      <w:r>
        <w:rPr>
          <w:spacing w:val="-39"/>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46"/>
          <w:sz w:val="24"/>
          <w:szCs w:val="24"/>
        </w:rPr>
        <w:t xml:space="preserve"> </w:t>
      </w:r>
      <w:r>
        <w:rPr>
          <w:spacing w:val="-3"/>
          <w:sz w:val="24"/>
          <w:szCs w:val="24"/>
        </w:rPr>
        <w:t>门</w:t>
      </w:r>
      <w:r>
        <w:rPr>
          <w:spacing w:val="-38"/>
          <w:sz w:val="24"/>
          <w:szCs w:val="24"/>
        </w:rPr>
        <w:t xml:space="preserve"> </w:t>
      </w:r>
      <w:r>
        <w:rPr>
          <w:rFonts w:ascii="Times New Roman" w:hAnsi="Times New Roman" w:eastAsia="Times New Roman" w:cs="Times New Roman"/>
          <w:spacing w:val="-3"/>
          <w:sz w:val="24"/>
          <w:szCs w:val="24"/>
        </w:rPr>
        <w:t>51</w:t>
      </w:r>
      <w:r>
        <w:rPr>
          <w:rFonts w:ascii="Times New Roman" w:hAnsi="Times New Roman" w:eastAsia="Times New Roman" w:cs="Times New Roman"/>
          <w:spacing w:val="22"/>
          <w:w w:val="101"/>
          <w:sz w:val="24"/>
          <w:szCs w:val="24"/>
        </w:rPr>
        <w:t xml:space="preserve"> </w:t>
      </w:r>
      <w:r>
        <w:rPr>
          <w:spacing w:val="-3"/>
          <w:sz w:val="24"/>
          <w:szCs w:val="24"/>
        </w:rPr>
        <w:t>属</w:t>
      </w:r>
      <w:r>
        <w:rPr>
          <w:spacing w:val="-40"/>
          <w:sz w:val="24"/>
          <w:szCs w:val="24"/>
        </w:rPr>
        <w:t xml:space="preserve"> </w:t>
      </w:r>
      <w:r>
        <w:rPr>
          <w:rFonts w:ascii="Times New Roman" w:hAnsi="Times New Roman" w:eastAsia="Times New Roman" w:cs="Times New Roman"/>
          <w:spacing w:val="-3"/>
          <w:sz w:val="24"/>
          <w:szCs w:val="24"/>
        </w:rPr>
        <w:t>97</w:t>
      </w:r>
      <w:r>
        <w:rPr>
          <w:rFonts w:ascii="Times New Roman" w:hAnsi="Times New Roman" w:eastAsia="Times New Roman" w:cs="Times New Roman"/>
          <w:spacing w:val="20"/>
          <w:w w:val="101"/>
          <w:sz w:val="24"/>
          <w:szCs w:val="24"/>
        </w:rPr>
        <w:t xml:space="preserve"> </w:t>
      </w:r>
      <w:r>
        <w:rPr>
          <w:spacing w:val="-3"/>
          <w:sz w:val="24"/>
          <w:szCs w:val="24"/>
        </w:rPr>
        <w:t>种，见表</w:t>
      </w:r>
      <w:r>
        <w:rPr>
          <w:spacing w:val="-41"/>
          <w:sz w:val="24"/>
          <w:szCs w:val="24"/>
        </w:rPr>
        <w:t xml:space="preserve"> </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4"/>
          <w:sz w:val="24"/>
          <w:szCs w:val="24"/>
        </w:rPr>
        <w:t>.1-18</w:t>
      </w:r>
      <w:r>
        <w:rPr>
          <w:spacing w:val="-4"/>
          <w:sz w:val="24"/>
          <w:szCs w:val="24"/>
        </w:rPr>
        <w:t>。其中原生动物</w:t>
      </w:r>
      <w:r>
        <w:rPr>
          <w:spacing w:val="-25"/>
          <w:sz w:val="24"/>
          <w:szCs w:val="24"/>
        </w:rPr>
        <w:t xml:space="preserve"> </w:t>
      </w:r>
      <w:r>
        <w:rPr>
          <w:rFonts w:ascii="Times New Roman" w:hAnsi="Times New Roman" w:eastAsia="Times New Roman" w:cs="Times New Roman"/>
          <w:spacing w:val="-4"/>
          <w:sz w:val="24"/>
          <w:szCs w:val="24"/>
        </w:rPr>
        <w:t>50</w:t>
      </w:r>
      <w:r>
        <w:rPr>
          <w:spacing w:val="-4"/>
          <w:sz w:val="24"/>
          <w:szCs w:val="24"/>
        </w:rPr>
        <w:t>种、占检出种类的</w:t>
      </w:r>
      <w:r>
        <w:rPr>
          <w:spacing w:val="-19"/>
          <w:sz w:val="24"/>
          <w:szCs w:val="24"/>
        </w:rPr>
        <w:t xml:space="preserve"> </w:t>
      </w:r>
      <w:r>
        <w:rPr>
          <w:rFonts w:ascii="Times New Roman" w:hAnsi="Times New Roman" w:eastAsia="Times New Roman" w:cs="Times New Roman"/>
          <w:spacing w:val="-4"/>
          <w:sz w:val="24"/>
          <w:szCs w:val="24"/>
        </w:rPr>
        <w:t>51.55%</w:t>
      </w:r>
      <w:r>
        <w:rPr>
          <w:spacing w:val="-4"/>
          <w:sz w:val="24"/>
          <w:szCs w:val="24"/>
        </w:rPr>
        <w:t>，轮虫</w:t>
      </w:r>
      <w:r>
        <w:rPr>
          <w:spacing w:val="-26"/>
          <w:sz w:val="24"/>
          <w:szCs w:val="24"/>
        </w:rPr>
        <w:t xml:space="preserve"> </w:t>
      </w:r>
      <w:r>
        <w:rPr>
          <w:rFonts w:ascii="Times New Roman" w:hAnsi="Times New Roman" w:eastAsia="Times New Roman" w:cs="Times New Roman"/>
          <w:spacing w:val="-4"/>
          <w:sz w:val="24"/>
          <w:szCs w:val="24"/>
        </w:rPr>
        <w:t>30</w:t>
      </w:r>
      <w:r>
        <w:rPr>
          <w:rFonts w:ascii="Times New Roman" w:hAnsi="Times New Roman" w:eastAsia="Times New Roman" w:cs="Times New Roman"/>
          <w:spacing w:val="20"/>
          <w:w w:val="101"/>
          <w:sz w:val="24"/>
          <w:szCs w:val="24"/>
        </w:rPr>
        <w:t xml:space="preserve"> </w:t>
      </w:r>
      <w:r>
        <w:rPr>
          <w:spacing w:val="-4"/>
          <w:sz w:val="24"/>
          <w:szCs w:val="24"/>
        </w:rPr>
        <w:t>种、占检出种类的</w:t>
      </w:r>
      <w:r>
        <w:rPr>
          <w:spacing w:val="-40"/>
          <w:sz w:val="24"/>
          <w:szCs w:val="24"/>
        </w:rPr>
        <w:t xml:space="preserve"> </w:t>
      </w:r>
      <w:r>
        <w:rPr>
          <w:rFonts w:ascii="Times New Roman" w:hAnsi="Times New Roman" w:eastAsia="Times New Roman" w:cs="Times New Roman"/>
          <w:spacing w:val="-4"/>
          <w:sz w:val="24"/>
          <w:szCs w:val="24"/>
        </w:rPr>
        <w:t>30.93%</w:t>
      </w:r>
      <w:r>
        <w:rPr>
          <w:spacing w:val="-4"/>
          <w:sz w:val="24"/>
          <w:szCs w:val="24"/>
        </w:rPr>
        <w:t xml:space="preserve">，节肢动物 </w:t>
      </w:r>
      <w:r>
        <w:rPr>
          <w:rFonts w:ascii="Times New Roman" w:hAnsi="Times New Roman" w:eastAsia="Times New Roman" w:cs="Times New Roman"/>
          <w:spacing w:val="-4"/>
          <w:sz w:val="24"/>
          <w:szCs w:val="24"/>
        </w:rPr>
        <w:t>17</w:t>
      </w:r>
      <w:r>
        <w:rPr>
          <w:rFonts w:ascii="Times New Roman" w:hAnsi="Times New Roman" w:eastAsia="Times New Roman" w:cs="Times New Roman"/>
          <w:spacing w:val="21"/>
          <w:sz w:val="24"/>
          <w:szCs w:val="24"/>
        </w:rPr>
        <w:t xml:space="preserve"> </w:t>
      </w:r>
      <w:r>
        <w:rPr>
          <w:spacing w:val="-4"/>
          <w:sz w:val="24"/>
          <w:szCs w:val="24"/>
        </w:rPr>
        <w:t>种、</w:t>
      </w:r>
      <w:r>
        <w:rPr>
          <w:spacing w:val="-2"/>
          <w:sz w:val="24"/>
          <w:szCs w:val="24"/>
        </w:rPr>
        <w:t xml:space="preserve">占检出种类的 </w:t>
      </w:r>
      <w:r>
        <w:rPr>
          <w:rFonts w:ascii="Times New Roman" w:hAnsi="Times New Roman" w:eastAsia="Times New Roman" w:cs="Times New Roman"/>
          <w:spacing w:val="-2"/>
          <w:sz w:val="24"/>
          <w:szCs w:val="24"/>
        </w:rPr>
        <w:t>17.53%</w:t>
      </w:r>
      <w:r>
        <w:rPr>
          <w:spacing w:val="-2"/>
          <w:sz w:val="24"/>
          <w:szCs w:val="24"/>
        </w:rPr>
        <w:t>。在马龙河库尾、车章河库尾、白塔河库尾、白塔河坝前、</w:t>
      </w:r>
      <w:r>
        <w:rPr>
          <w:spacing w:val="-1"/>
          <w:sz w:val="24"/>
          <w:szCs w:val="24"/>
        </w:rPr>
        <w:t>马龙河干流离坝址</w:t>
      </w:r>
      <w:r>
        <w:rPr>
          <w:spacing w:val="-49"/>
          <w:sz w:val="24"/>
          <w:szCs w:val="24"/>
        </w:rPr>
        <w:t xml:space="preserve"> </w:t>
      </w:r>
      <w:r>
        <w:rPr>
          <w:rFonts w:ascii="Times New Roman" w:hAnsi="Times New Roman" w:eastAsia="Times New Roman" w:cs="Times New Roman"/>
          <w:spacing w:val="-1"/>
          <w:sz w:val="24"/>
          <w:szCs w:val="24"/>
        </w:rPr>
        <w:t>2km</w:t>
      </w:r>
      <w:r>
        <w:rPr>
          <w:rFonts w:ascii="Times New Roman" w:hAnsi="Times New Roman" w:eastAsia="Times New Roman" w:cs="Times New Roman"/>
          <w:spacing w:val="20"/>
          <w:sz w:val="24"/>
          <w:szCs w:val="24"/>
        </w:rPr>
        <w:t xml:space="preserve"> </w:t>
      </w:r>
      <w:r>
        <w:rPr>
          <w:spacing w:val="-1"/>
          <w:sz w:val="24"/>
          <w:szCs w:val="24"/>
        </w:rPr>
        <w:t>处与马龙河干流离坝址</w:t>
      </w:r>
      <w:r>
        <w:rPr>
          <w:rFonts w:ascii="Times New Roman" w:hAnsi="Times New Roman" w:eastAsia="Times New Roman" w:cs="Times New Roman"/>
          <w:spacing w:val="-1"/>
          <w:sz w:val="24"/>
          <w:szCs w:val="24"/>
        </w:rPr>
        <w:t>6km</w:t>
      </w:r>
      <w:r>
        <w:rPr>
          <w:rFonts w:ascii="Times New Roman" w:hAnsi="Times New Roman" w:eastAsia="Times New Roman" w:cs="Times New Roman"/>
          <w:spacing w:val="18"/>
          <w:w w:val="101"/>
          <w:sz w:val="24"/>
          <w:szCs w:val="24"/>
        </w:rPr>
        <w:t xml:space="preserve"> </w:t>
      </w:r>
      <w:r>
        <w:rPr>
          <w:spacing w:val="-1"/>
          <w:sz w:val="24"/>
          <w:szCs w:val="24"/>
        </w:rPr>
        <w:t>处河段中分别采集</w:t>
      </w:r>
      <w:r>
        <w:rPr>
          <w:spacing w:val="-2"/>
          <w:sz w:val="24"/>
          <w:szCs w:val="24"/>
        </w:rPr>
        <w:t>到</w:t>
      </w:r>
      <w:r>
        <w:rPr>
          <w:spacing w:val="-39"/>
          <w:sz w:val="24"/>
          <w:szCs w:val="24"/>
        </w:rPr>
        <w:t xml:space="preserve"> </w:t>
      </w:r>
      <w:r>
        <w:rPr>
          <w:rFonts w:ascii="Times New Roman" w:hAnsi="Times New Roman" w:eastAsia="Times New Roman" w:cs="Times New Roman"/>
          <w:spacing w:val="-2"/>
          <w:sz w:val="24"/>
          <w:szCs w:val="24"/>
        </w:rPr>
        <w:t>85</w:t>
      </w:r>
      <w:r>
        <w:rPr>
          <w:rFonts w:ascii="Times New Roman" w:hAnsi="Times New Roman" w:eastAsia="Times New Roman" w:cs="Times New Roman"/>
          <w:spacing w:val="-34"/>
          <w:sz w:val="24"/>
          <w:szCs w:val="24"/>
        </w:rPr>
        <w:t xml:space="preserve"> </w:t>
      </w:r>
      <w:r>
        <w:rPr>
          <w:spacing w:val="-2"/>
          <w:sz w:val="24"/>
          <w:szCs w:val="24"/>
        </w:rPr>
        <w:t>、</w:t>
      </w:r>
      <w:r>
        <w:rPr>
          <w:rFonts w:ascii="Times New Roman" w:hAnsi="Times New Roman" w:eastAsia="Times New Roman" w:cs="Times New Roman"/>
          <w:spacing w:val="-2"/>
          <w:sz w:val="24"/>
          <w:szCs w:val="24"/>
        </w:rPr>
        <w:t>86</w:t>
      </w:r>
      <w:r>
        <w:rPr>
          <w:spacing w:val="-2"/>
          <w:sz w:val="24"/>
          <w:szCs w:val="24"/>
        </w:rPr>
        <w:t>、</w:t>
      </w:r>
      <w:r>
        <w:rPr>
          <w:sz w:val="24"/>
          <w:szCs w:val="24"/>
        </w:rPr>
        <w:t xml:space="preserve"> </w:t>
      </w:r>
      <w:r>
        <w:rPr>
          <w:rFonts w:ascii="Times New Roman" w:hAnsi="Times New Roman" w:eastAsia="Times New Roman" w:cs="Times New Roman"/>
          <w:spacing w:val="-3"/>
          <w:sz w:val="24"/>
          <w:szCs w:val="24"/>
        </w:rPr>
        <w:t>80</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81</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66</w:t>
      </w:r>
      <w:r>
        <w:rPr>
          <w:rFonts w:ascii="Times New Roman" w:hAnsi="Times New Roman" w:eastAsia="Times New Roman" w:cs="Times New Roman"/>
          <w:spacing w:val="25"/>
          <w:sz w:val="24"/>
          <w:szCs w:val="24"/>
        </w:rPr>
        <w:t xml:space="preserve"> </w:t>
      </w:r>
      <w:r>
        <w:rPr>
          <w:spacing w:val="-3"/>
          <w:sz w:val="24"/>
          <w:szCs w:val="24"/>
        </w:rPr>
        <w:t>和</w:t>
      </w:r>
      <w:r>
        <w:rPr>
          <w:spacing w:val="-36"/>
          <w:sz w:val="24"/>
          <w:szCs w:val="24"/>
        </w:rPr>
        <w:t xml:space="preserve"> </w:t>
      </w:r>
      <w:r>
        <w:rPr>
          <w:rFonts w:ascii="Times New Roman" w:hAnsi="Times New Roman" w:eastAsia="Times New Roman" w:cs="Times New Roman"/>
          <w:spacing w:val="-3"/>
          <w:sz w:val="24"/>
          <w:szCs w:val="24"/>
        </w:rPr>
        <w:t>67</w:t>
      </w:r>
      <w:r>
        <w:rPr>
          <w:rFonts w:ascii="Times New Roman" w:hAnsi="Times New Roman" w:eastAsia="Times New Roman" w:cs="Times New Roman"/>
          <w:spacing w:val="24"/>
          <w:sz w:val="24"/>
          <w:szCs w:val="24"/>
        </w:rPr>
        <w:t xml:space="preserve"> </w:t>
      </w:r>
      <w:r>
        <w:rPr>
          <w:spacing w:val="-3"/>
          <w:sz w:val="24"/>
          <w:szCs w:val="24"/>
        </w:rPr>
        <w:t>种，各个样点采集的种类相差不是很明显。浮游动物</w:t>
      </w:r>
      <w:r>
        <w:rPr>
          <w:spacing w:val="-4"/>
          <w:sz w:val="24"/>
          <w:szCs w:val="24"/>
        </w:rPr>
        <w:t>群落组成、数量的变化受到食物、温度、盐度、径流以及其它水生动物摄食等多种因素的共同影响。施工期调查中原生动物和轮虫种类最多，桡足类和枝角类的种类在采样中较</w:t>
      </w:r>
      <w:r>
        <w:rPr>
          <w:spacing w:val="3"/>
          <w:sz w:val="24"/>
          <w:szCs w:val="24"/>
        </w:rPr>
        <w:t>少，但桡足类和枝角类的密度却很高。其中常见种肉足虫有半圆表壳虫（</w:t>
      </w:r>
      <w:r>
        <w:rPr>
          <w:rFonts w:ascii="Times New Roman" w:hAnsi="Times New Roman" w:eastAsia="Times New Roman" w:cs="Times New Roman"/>
          <w:i/>
          <w:iCs/>
          <w:sz w:val="24"/>
          <w:szCs w:val="24"/>
        </w:rPr>
        <w:t>Arcella</w:t>
      </w:r>
      <w:r>
        <w:rPr>
          <w:rFonts w:ascii="Times New Roman" w:hAnsi="Times New Roman" w:eastAsia="Times New Roman" w:cs="Times New Roman"/>
          <w:i/>
          <w:iCs/>
          <w:spacing w:val="8"/>
          <w:sz w:val="24"/>
          <w:szCs w:val="24"/>
        </w:rPr>
        <w:t xml:space="preserve"> </w:t>
      </w:r>
      <w:r>
        <w:rPr>
          <w:rFonts w:ascii="Times New Roman" w:hAnsi="Times New Roman" w:eastAsia="Times New Roman" w:cs="Times New Roman"/>
          <w:i/>
          <w:iCs/>
          <w:spacing w:val="-9"/>
          <w:sz w:val="24"/>
          <w:szCs w:val="24"/>
        </w:rPr>
        <w:t>hemisphaerica</w:t>
      </w:r>
      <w:r>
        <w:rPr>
          <w:spacing w:val="-9"/>
          <w:sz w:val="24"/>
          <w:szCs w:val="24"/>
        </w:rPr>
        <w:t>）、普通表壳虫（</w:t>
      </w:r>
      <w:r>
        <w:rPr>
          <w:rFonts w:ascii="Times New Roman" w:hAnsi="Times New Roman" w:eastAsia="Times New Roman" w:cs="Times New Roman"/>
          <w:i/>
          <w:iCs/>
          <w:spacing w:val="-9"/>
          <w:sz w:val="24"/>
          <w:szCs w:val="24"/>
        </w:rPr>
        <w:t>Arcella vulga</w:t>
      </w:r>
      <w:r>
        <w:rPr>
          <w:rFonts w:ascii="Times New Roman" w:hAnsi="Times New Roman" w:eastAsia="Times New Roman" w:cs="Times New Roman"/>
          <w:i/>
          <w:iCs/>
          <w:spacing w:val="-10"/>
          <w:sz w:val="24"/>
          <w:szCs w:val="24"/>
        </w:rPr>
        <w:t>ris</w:t>
      </w:r>
      <w:r>
        <w:rPr>
          <w:spacing w:val="-10"/>
          <w:sz w:val="24"/>
          <w:szCs w:val="24"/>
        </w:rPr>
        <w:t>）、球形砂壳虫（</w:t>
      </w:r>
      <w:r>
        <w:rPr>
          <w:rFonts w:ascii="Times New Roman" w:hAnsi="Times New Roman" w:eastAsia="Times New Roman" w:cs="Times New Roman"/>
          <w:i/>
          <w:iCs/>
          <w:spacing w:val="-10"/>
          <w:sz w:val="24"/>
          <w:szCs w:val="24"/>
        </w:rPr>
        <w:t>Difflugia</w:t>
      </w:r>
      <w:r>
        <w:rPr>
          <w:rFonts w:ascii="Times New Roman" w:hAnsi="Times New Roman" w:eastAsia="Times New Roman" w:cs="Times New Roman"/>
          <w:i/>
          <w:iCs/>
          <w:spacing w:val="-20"/>
          <w:sz w:val="24"/>
          <w:szCs w:val="24"/>
        </w:rPr>
        <w:t xml:space="preserve"> </w:t>
      </w:r>
      <w:r>
        <w:rPr>
          <w:rFonts w:ascii="Times New Roman" w:hAnsi="Times New Roman" w:eastAsia="Times New Roman" w:cs="Times New Roman"/>
          <w:i/>
          <w:iCs/>
          <w:spacing w:val="-10"/>
          <w:sz w:val="24"/>
          <w:szCs w:val="24"/>
        </w:rPr>
        <w:t>globulosa</w:t>
      </w:r>
      <w:r>
        <w:rPr>
          <w:spacing w:val="-10"/>
          <w:sz w:val="24"/>
          <w:szCs w:val="24"/>
        </w:rPr>
        <w:t>）、</w:t>
      </w:r>
      <w:r>
        <w:rPr>
          <w:sz w:val="24"/>
          <w:szCs w:val="24"/>
        </w:rPr>
        <w:t>橡子砂壳虫（</w:t>
      </w:r>
      <w:r>
        <w:rPr>
          <w:rFonts w:ascii="Times New Roman" w:hAnsi="Times New Roman" w:eastAsia="Times New Roman" w:cs="Times New Roman"/>
          <w:i/>
          <w:iCs/>
          <w:sz w:val="24"/>
          <w:szCs w:val="24"/>
        </w:rPr>
        <w:t>Difflugia</w:t>
      </w:r>
      <w:r>
        <w:rPr>
          <w:rFonts w:ascii="Times New Roman" w:hAnsi="Times New Roman" w:eastAsia="Times New Roman" w:cs="Times New Roman"/>
          <w:i/>
          <w:iCs/>
          <w:spacing w:val="32"/>
          <w:w w:val="101"/>
          <w:sz w:val="24"/>
          <w:szCs w:val="24"/>
        </w:rPr>
        <w:t xml:space="preserve"> </w:t>
      </w:r>
      <w:r>
        <w:rPr>
          <w:rFonts w:ascii="Times New Roman" w:hAnsi="Times New Roman" w:eastAsia="Times New Roman" w:cs="Times New Roman"/>
          <w:i/>
          <w:iCs/>
          <w:sz w:val="24"/>
          <w:szCs w:val="24"/>
        </w:rPr>
        <w:t>glans</w:t>
      </w:r>
      <w:r>
        <w:rPr>
          <w:sz w:val="24"/>
          <w:szCs w:val="24"/>
        </w:rPr>
        <w:t>）、无棘匣壳虫（</w:t>
      </w:r>
      <w:r>
        <w:rPr>
          <w:rFonts w:ascii="Times New Roman" w:hAnsi="Times New Roman" w:eastAsia="Times New Roman" w:cs="Times New Roman"/>
          <w:i/>
          <w:iCs/>
          <w:sz w:val="24"/>
          <w:szCs w:val="24"/>
        </w:rPr>
        <w:t>Centropyxis</w:t>
      </w:r>
      <w:r>
        <w:rPr>
          <w:rFonts w:ascii="Times New Roman" w:hAnsi="Times New Roman" w:eastAsia="Times New Roman" w:cs="Times New Roman"/>
          <w:i/>
          <w:iCs/>
          <w:spacing w:val="45"/>
          <w:w w:val="101"/>
          <w:sz w:val="24"/>
          <w:szCs w:val="24"/>
        </w:rPr>
        <w:t xml:space="preserve"> </w:t>
      </w:r>
      <w:r>
        <w:rPr>
          <w:rFonts w:ascii="Times New Roman" w:hAnsi="Times New Roman" w:eastAsia="Times New Roman" w:cs="Times New Roman"/>
          <w:i/>
          <w:iCs/>
          <w:sz w:val="24"/>
          <w:szCs w:val="24"/>
        </w:rPr>
        <w:t>ecornis</w:t>
      </w:r>
      <w:r>
        <w:rPr>
          <w:sz w:val="24"/>
          <w:szCs w:val="24"/>
        </w:rPr>
        <w:t>）</w:t>
      </w:r>
      <w:r>
        <w:rPr>
          <w:spacing w:val="-1"/>
          <w:sz w:val="24"/>
          <w:szCs w:val="24"/>
        </w:rPr>
        <w:t>、片口匣壳虫</w:t>
      </w:r>
      <w:r>
        <w:rPr>
          <w:spacing w:val="-2"/>
          <w:sz w:val="24"/>
          <w:szCs w:val="24"/>
        </w:rPr>
        <w:t>（</w:t>
      </w:r>
      <w:r>
        <w:rPr>
          <w:rFonts w:ascii="Times New Roman" w:hAnsi="Times New Roman" w:eastAsia="Times New Roman" w:cs="Times New Roman"/>
          <w:i/>
          <w:iCs/>
          <w:spacing w:val="-2"/>
          <w:sz w:val="24"/>
          <w:szCs w:val="24"/>
        </w:rPr>
        <w:t>Centropyxis</w:t>
      </w:r>
      <w:r>
        <w:rPr>
          <w:rFonts w:ascii="Times New Roman" w:hAnsi="Times New Roman" w:eastAsia="Times New Roman" w:cs="Times New Roman"/>
          <w:i/>
          <w:iCs/>
          <w:spacing w:val="-40"/>
          <w:sz w:val="24"/>
          <w:szCs w:val="24"/>
        </w:rPr>
        <w:t xml:space="preserve"> </w:t>
      </w:r>
      <w:r>
        <w:rPr>
          <w:rFonts w:ascii="Times New Roman" w:hAnsi="Times New Roman" w:eastAsia="Times New Roman" w:cs="Times New Roman"/>
          <w:i/>
          <w:iCs/>
          <w:spacing w:val="-2"/>
          <w:sz w:val="24"/>
          <w:szCs w:val="24"/>
        </w:rPr>
        <w:t>platystoma</w:t>
      </w:r>
      <w:r>
        <w:rPr>
          <w:spacing w:val="-2"/>
          <w:sz w:val="24"/>
          <w:szCs w:val="24"/>
        </w:rPr>
        <w:t>）和馍状</w:t>
      </w:r>
      <w:r>
        <w:rPr>
          <w:spacing w:val="-3"/>
          <w:sz w:val="24"/>
          <w:szCs w:val="24"/>
        </w:rPr>
        <w:t>圆壳虫（</w:t>
      </w:r>
      <w:r>
        <w:rPr>
          <w:rFonts w:ascii="Times New Roman" w:hAnsi="Times New Roman" w:eastAsia="Times New Roman" w:cs="Times New Roman"/>
          <w:i/>
          <w:iCs/>
          <w:spacing w:val="-3"/>
          <w:sz w:val="24"/>
          <w:szCs w:val="24"/>
        </w:rPr>
        <w:t>Cyclopyxis deflandrei</w:t>
      </w:r>
      <w:r>
        <w:rPr>
          <w:spacing w:val="-3"/>
          <w:sz w:val="24"/>
          <w:szCs w:val="24"/>
        </w:rPr>
        <w:t>）等；常见纤毛虫有</w:t>
      </w:r>
      <w:r>
        <w:rPr>
          <w:spacing w:val="-4"/>
          <w:sz w:val="24"/>
          <w:szCs w:val="24"/>
        </w:rPr>
        <w:t>瞬目膜袋虫</w:t>
      </w:r>
      <w:r>
        <w:rPr>
          <w:spacing w:val="-14"/>
          <w:sz w:val="24"/>
          <w:szCs w:val="24"/>
        </w:rPr>
        <w:t xml:space="preserve"> </w:t>
      </w:r>
      <w:r>
        <w:rPr>
          <w:spacing w:val="-4"/>
          <w:sz w:val="24"/>
          <w:szCs w:val="24"/>
        </w:rPr>
        <w:t>（</w:t>
      </w:r>
      <w:r>
        <w:rPr>
          <w:rFonts w:ascii="Times New Roman" w:hAnsi="Times New Roman" w:eastAsia="Times New Roman" w:cs="Times New Roman"/>
          <w:i/>
          <w:iCs/>
          <w:spacing w:val="-4"/>
          <w:sz w:val="24"/>
          <w:szCs w:val="24"/>
        </w:rPr>
        <w:t>Cyclidium</w:t>
      </w:r>
      <w:r>
        <w:rPr>
          <w:rFonts w:ascii="Times New Roman" w:hAnsi="Times New Roman" w:eastAsia="Times New Roman" w:cs="Times New Roman"/>
          <w:i/>
          <w:iCs/>
          <w:spacing w:val="-21"/>
          <w:sz w:val="24"/>
          <w:szCs w:val="24"/>
        </w:rPr>
        <w:t xml:space="preserve"> </w:t>
      </w:r>
      <w:r>
        <w:rPr>
          <w:rFonts w:ascii="Times New Roman" w:hAnsi="Times New Roman" w:eastAsia="Times New Roman" w:cs="Times New Roman"/>
          <w:i/>
          <w:iCs/>
          <w:spacing w:val="-4"/>
          <w:sz w:val="24"/>
          <w:szCs w:val="24"/>
        </w:rPr>
        <w:t>glaucome</w:t>
      </w:r>
      <w:r>
        <w:rPr>
          <w:spacing w:val="-4"/>
          <w:sz w:val="24"/>
          <w:szCs w:val="24"/>
        </w:rPr>
        <w:t>）、旋回侠盗虫（</w:t>
      </w:r>
      <w:r>
        <w:rPr>
          <w:rFonts w:ascii="Times New Roman" w:hAnsi="Times New Roman" w:eastAsia="Times New Roman" w:cs="Times New Roman"/>
          <w:i/>
          <w:iCs/>
          <w:spacing w:val="-4"/>
          <w:sz w:val="24"/>
          <w:szCs w:val="24"/>
        </w:rPr>
        <w:t>Strobilidiumgyrans</w:t>
      </w:r>
      <w:r>
        <w:rPr>
          <w:spacing w:val="-4"/>
          <w:sz w:val="24"/>
          <w:szCs w:val="24"/>
        </w:rPr>
        <w:t>）和小筒壳虫</w:t>
      </w:r>
      <w:r>
        <w:rPr>
          <w:spacing w:val="-2"/>
          <w:sz w:val="24"/>
          <w:szCs w:val="24"/>
        </w:rPr>
        <w:t>（</w:t>
      </w:r>
      <w:r>
        <w:rPr>
          <w:rFonts w:ascii="Times New Roman" w:hAnsi="Times New Roman" w:eastAsia="Times New Roman" w:cs="Times New Roman"/>
          <w:i/>
          <w:iCs/>
          <w:spacing w:val="-2"/>
          <w:sz w:val="24"/>
          <w:szCs w:val="24"/>
        </w:rPr>
        <w:t>Tintinnidiumpusillum</w:t>
      </w:r>
      <w:r>
        <w:rPr>
          <w:spacing w:val="-2"/>
          <w:sz w:val="24"/>
          <w:szCs w:val="24"/>
        </w:rPr>
        <w:t>）等。</w:t>
      </w:r>
    </w:p>
    <w:p w14:paraId="53481E78">
      <w:pPr>
        <w:pStyle w:val="2"/>
        <w:spacing w:before="17" w:line="226"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6.1-19                    </w:t>
      </w:r>
      <w:r>
        <w:rPr>
          <w:b/>
          <w:bCs/>
          <w:spacing w:val="-1"/>
          <w:sz w:val="24"/>
          <w:szCs w:val="24"/>
        </w:rPr>
        <w:t>施工期工程影响河段不同采样点浮游</w:t>
      </w:r>
      <w:r>
        <w:rPr>
          <w:b/>
          <w:bCs/>
          <w:spacing w:val="-2"/>
          <w:sz w:val="24"/>
          <w:szCs w:val="24"/>
        </w:rPr>
        <w:t>动物名录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112"/>
        <w:gridCol w:w="705"/>
        <w:gridCol w:w="746"/>
        <w:gridCol w:w="525"/>
        <w:gridCol w:w="562"/>
        <w:gridCol w:w="1207"/>
        <w:gridCol w:w="912"/>
      </w:tblGrid>
      <w:tr w14:paraId="10109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3816" w:type="dxa"/>
            <w:gridSpan w:val="2"/>
            <w:vMerge w:val="restart"/>
            <w:tcBorders>
              <w:top w:val="single" w:color="000000" w:sz="12" w:space="0"/>
              <w:left w:val="single" w:color="000000" w:sz="12" w:space="0"/>
              <w:bottom w:val="nil"/>
            </w:tcBorders>
            <w:vAlign w:val="top"/>
          </w:tcPr>
          <w:p w14:paraId="006AE0C6">
            <w:pPr>
              <w:spacing w:line="405" w:lineRule="auto"/>
              <w:rPr>
                <w:rFonts w:ascii="Arial"/>
                <w:sz w:val="21"/>
              </w:rPr>
            </w:pPr>
          </w:p>
          <w:p w14:paraId="045404C9">
            <w:pPr>
              <w:spacing w:before="68" w:line="220" w:lineRule="auto"/>
              <w:ind w:left="1689"/>
              <w:rPr>
                <w:rFonts w:ascii="宋体" w:hAnsi="宋体" w:eastAsia="宋体" w:cs="宋体"/>
                <w:sz w:val="21"/>
                <w:szCs w:val="21"/>
              </w:rPr>
            </w:pPr>
            <w:r>
              <w:rPr>
                <w:rFonts w:ascii="宋体" w:hAnsi="宋体" w:eastAsia="宋体" w:cs="宋体"/>
                <w:spacing w:val="-3"/>
                <w:sz w:val="21"/>
                <w:szCs w:val="21"/>
              </w:rPr>
              <w:t>种类</w:t>
            </w:r>
          </w:p>
        </w:tc>
        <w:tc>
          <w:tcPr>
            <w:tcW w:w="4657" w:type="dxa"/>
            <w:gridSpan w:val="6"/>
            <w:tcBorders>
              <w:top w:val="single" w:color="000000" w:sz="12" w:space="0"/>
              <w:right w:val="single" w:color="000000" w:sz="12" w:space="0"/>
            </w:tcBorders>
            <w:vAlign w:val="top"/>
          </w:tcPr>
          <w:p w14:paraId="0AA41A12">
            <w:pPr>
              <w:spacing w:before="45" w:line="209" w:lineRule="auto"/>
              <w:ind w:left="1910"/>
              <w:rPr>
                <w:rFonts w:ascii="宋体" w:hAnsi="宋体" w:eastAsia="宋体" w:cs="宋体"/>
                <w:sz w:val="21"/>
                <w:szCs w:val="21"/>
              </w:rPr>
            </w:pPr>
            <w:r>
              <w:rPr>
                <w:rFonts w:ascii="宋体" w:hAnsi="宋体" w:eastAsia="宋体" w:cs="宋体"/>
                <w:spacing w:val="-2"/>
                <w:sz w:val="21"/>
                <w:szCs w:val="21"/>
              </w:rPr>
              <w:t>相对数量</w:t>
            </w:r>
          </w:p>
        </w:tc>
      </w:tr>
      <w:tr w14:paraId="5F59C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4" w:hRule="atLeast"/>
        </w:trPr>
        <w:tc>
          <w:tcPr>
            <w:tcW w:w="3816" w:type="dxa"/>
            <w:gridSpan w:val="2"/>
            <w:vMerge w:val="continue"/>
            <w:tcBorders>
              <w:top w:val="nil"/>
              <w:left w:val="single" w:color="000000" w:sz="12" w:space="0"/>
            </w:tcBorders>
            <w:vAlign w:val="top"/>
          </w:tcPr>
          <w:p w14:paraId="6992CF37">
            <w:pPr>
              <w:rPr>
                <w:rFonts w:ascii="Arial"/>
                <w:sz w:val="21"/>
              </w:rPr>
            </w:pPr>
          </w:p>
        </w:tc>
        <w:tc>
          <w:tcPr>
            <w:tcW w:w="705" w:type="dxa"/>
            <w:vAlign w:val="top"/>
          </w:tcPr>
          <w:p w14:paraId="456EA089">
            <w:pPr>
              <w:spacing w:before="193" w:line="242" w:lineRule="auto"/>
              <w:ind w:left="144" w:right="33" w:hanging="98"/>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746" w:type="dxa"/>
            <w:vAlign w:val="top"/>
          </w:tcPr>
          <w:p w14:paraId="442E0565">
            <w:pPr>
              <w:spacing w:before="193" w:line="242" w:lineRule="auto"/>
              <w:ind w:left="168" w:right="50" w:hanging="103"/>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525" w:type="dxa"/>
            <w:vAlign w:val="top"/>
          </w:tcPr>
          <w:p w14:paraId="56096599">
            <w:pPr>
              <w:spacing w:before="57" w:line="222" w:lineRule="auto"/>
              <w:ind w:left="90"/>
              <w:rPr>
                <w:rFonts w:ascii="宋体" w:hAnsi="宋体" w:eastAsia="宋体" w:cs="宋体"/>
                <w:sz w:val="21"/>
                <w:szCs w:val="21"/>
              </w:rPr>
            </w:pPr>
            <w:r>
              <w:rPr>
                <w:rFonts w:ascii="宋体" w:hAnsi="宋体" w:eastAsia="宋体" w:cs="宋体"/>
                <w:spacing w:val="-10"/>
                <w:sz w:val="21"/>
                <w:szCs w:val="21"/>
              </w:rPr>
              <w:t>白塔</w:t>
            </w:r>
          </w:p>
          <w:p w14:paraId="4A36994C">
            <w:pPr>
              <w:spacing w:before="21" w:line="234" w:lineRule="auto"/>
              <w:ind w:left="164" w:right="42"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562" w:type="dxa"/>
            <w:vAlign w:val="top"/>
          </w:tcPr>
          <w:p w14:paraId="365D3CEE">
            <w:pPr>
              <w:spacing w:before="57" w:line="222" w:lineRule="auto"/>
              <w:ind w:left="110"/>
              <w:rPr>
                <w:rFonts w:ascii="宋体" w:hAnsi="宋体" w:eastAsia="宋体" w:cs="宋体"/>
                <w:sz w:val="21"/>
                <w:szCs w:val="21"/>
              </w:rPr>
            </w:pPr>
            <w:r>
              <w:rPr>
                <w:rFonts w:ascii="宋体" w:hAnsi="宋体" w:eastAsia="宋体" w:cs="宋体"/>
                <w:spacing w:val="-10"/>
                <w:sz w:val="21"/>
                <w:szCs w:val="21"/>
              </w:rPr>
              <w:t>白塔</w:t>
            </w:r>
          </w:p>
          <w:p w14:paraId="7D3A7C2D">
            <w:pPr>
              <w:spacing w:before="21" w:line="234" w:lineRule="auto"/>
              <w:ind w:left="188" w:right="60"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207" w:type="dxa"/>
            <w:vAlign w:val="top"/>
          </w:tcPr>
          <w:p w14:paraId="126D7020">
            <w:pPr>
              <w:spacing w:before="57" w:line="219" w:lineRule="auto"/>
              <w:ind w:left="97"/>
              <w:rPr>
                <w:rFonts w:ascii="宋体" w:hAnsi="宋体" w:eastAsia="宋体" w:cs="宋体"/>
                <w:sz w:val="21"/>
                <w:szCs w:val="21"/>
              </w:rPr>
            </w:pPr>
            <w:r>
              <w:rPr>
                <w:rFonts w:ascii="宋体" w:hAnsi="宋体" w:eastAsia="宋体" w:cs="宋体"/>
                <w:spacing w:val="-3"/>
                <w:sz w:val="21"/>
                <w:szCs w:val="21"/>
              </w:rPr>
              <w:t>马龙河干流</w:t>
            </w:r>
          </w:p>
          <w:p w14:paraId="62DD4DE9">
            <w:pPr>
              <w:pStyle w:val="6"/>
              <w:spacing w:before="23" w:line="234" w:lineRule="auto"/>
              <w:ind w:left="91"/>
            </w:pPr>
            <w:r>
              <w:rPr>
                <w:rFonts w:ascii="宋体" w:hAnsi="宋体" w:eastAsia="宋体" w:cs="宋体"/>
                <w:spacing w:val="-3"/>
              </w:rPr>
              <w:t>离坝址</w:t>
            </w:r>
            <w:r>
              <w:rPr>
                <w:rFonts w:ascii="宋体" w:hAnsi="宋体" w:eastAsia="宋体" w:cs="宋体"/>
                <w:spacing w:val="-45"/>
              </w:rPr>
              <w:t xml:space="preserve"> </w:t>
            </w:r>
            <w:r>
              <w:rPr>
                <w:spacing w:val="-3"/>
              </w:rPr>
              <w:t>2km</w:t>
            </w:r>
          </w:p>
          <w:p w14:paraId="02A4874A">
            <w:pPr>
              <w:spacing w:before="5" w:line="224" w:lineRule="auto"/>
              <w:ind w:left="515"/>
              <w:rPr>
                <w:rFonts w:ascii="宋体" w:hAnsi="宋体" w:eastAsia="宋体" w:cs="宋体"/>
                <w:sz w:val="21"/>
                <w:szCs w:val="21"/>
              </w:rPr>
            </w:pPr>
            <w:r>
              <w:rPr>
                <w:rFonts w:ascii="宋体" w:hAnsi="宋体" w:eastAsia="宋体" w:cs="宋体"/>
                <w:sz w:val="21"/>
                <w:szCs w:val="21"/>
              </w:rPr>
              <w:t>处</w:t>
            </w:r>
          </w:p>
        </w:tc>
        <w:tc>
          <w:tcPr>
            <w:tcW w:w="912" w:type="dxa"/>
            <w:tcBorders>
              <w:right w:val="single" w:color="000000" w:sz="12" w:space="0"/>
            </w:tcBorders>
            <w:vAlign w:val="top"/>
          </w:tcPr>
          <w:p w14:paraId="6108C398">
            <w:pPr>
              <w:spacing w:before="57" w:line="219" w:lineRule="auto"/>
              <w:ind w:left="47"/>
              <w:rPr>
                <w:rFonts w:ascii="宋体" w:hAnsi="宋体" w:eastAsia="宋体" w:cs="宋体"/>
                <w:sz w:val="21"/>
                <w:szCs w:val="21"/>
              </w:rPr>
            </w:pPr>
            <w:r>
              <w:rPr>
                <w:rFonts w:ascii="宋体" w:hAnsi="宋体" w:eastAsia="宋体" w:cs="宋体"/>
                <w:spacing w:val="-3"/>
                <w:sz w:val="21"/>
                <w:szCs w:val="21"/>
              </w:rPr>
              <w:t>马龙河干</w:t>
            </w:r>
          </w:p>
          <w:p w14:paraId="79C72F07">
            <w:pPr>
              <w:spacing w:before="23" w:line="220" w:lineRule="auto"/>
              <w:ind w:left="41"/>
              <w:rPr>
                <w:rFonts w:ascii="宋体" w:hAnsi="宋体" w:eastAsia="宋体" w:cs="宋体"/>
                <w:sz w:val="21"/>
                <w:szCs w:val="21"/>
              </w:rPr>
            </w:pPr>
            <w:r>
              <w:rPr>
                <w:rFonts w:ascii="宋体" w:hAnsi="宋体" w:eastAsia="宋体" w:cs="宋体"/>
                <w:spacing w:val="-2"/>
                <w:sz w:val="21"/>
                <w:szCs w:val="21"/>
              </w:rPr>
              <w:t>流离坝址</w:t>
            </w:r>
          </w:p>
          <w:p w14:paraId="0CEBED52">
            <w:pPr>
              <w:pStyle w:val="6"/>
              <w:spacing w:before="22" w:line="229" w:lineRule="auto"/>
              <w:ind w:left="14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2C5A2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3816" w:type="dxa"/>
            <w:gridSpan w:val="2"/>
            <w:tcBorders>
              <w:left w:val="single" w:color="000000" w:sz="12" w:space="0"/>
            </w:tcBorders>
            <w:vAlign w:val="top"/>
          </w:tcPr>
          <w:p w14:paraId="2CEF7072">
            <w:pPr>
              <w:pStyle w:val="6"/>
              <w:spacing w:before="62" w:line="220" w:lineRule="auto"/>
              <w:ind w:left="855"/>
            </w:pPr>
            <w:r>
              <w:rPr>
                <w:rFonts w:ascii="宋体" w:hAnsi="宋体" w:eastAsia="宋体" w:cs="宋体"/>
                <w:b/>
                <w:bCs/>
                <w:spacing w:val="-3"/>
              </w:rPr>
              <w:t>原生动物</w:t>
            </w:r>
            <w:r>
              <w:rPr>
                <w:rFonts w:ascii="宋体" w:hAnsi="宋体" w:eastAsia="宋体" w:cs="宋体"/>
                <w:spacing w:val="-36"/>
              </w:rPr>
              <w:t xml:space="preserve"> </w:t>
            </w:r>
            <w:r>
              <w:rPr>
                <w:b/>
                <w:bCs/>
                <w:spacing w:val="-3"/>
              </w:rPr>
              <w:t>PROTOZOA</w:t>
            </w:r>
          </w:p>
        </w:tc>
        <w:tc>
          <w:tcPr>
            <w:tcW w:w="705" w:type="dxa"/>
            <w:vAlign w:val="top"/>
          </w:tcPr>
          <w:p w14:paraId="56EB7E68">
            <w:pPr>
              <w:rPr>
                <w:rFonts w:ascii="Arial"/>
                <w:sz w:val="21"/>
              </w:rPr>
            </w:pPr>
          </w:p>
        </w:tc>
        <w:tc>
          <w:tcPr>
            <w:tcW w:w="746" w:type="dxa"/>
            <w:vAlign w:val="top"/>
          </w:tcPr>
          <w:p w14:paraId="29BEAEDA">
            <w:pPr>
              <w:rPr>
                <w:rFonts w:ascii="Arial"/>
                <w:sz w:val="21"/>
              </w:rPr>
            </w:pPr>
          </w:p>
        </w:tc>
        <w:tc>
          <w:tcPr>
            <w:tcW w:w="525" w:type="dxa"/>
            <w:vAlign w:val="top"/>
          </w:tcPr>
          <w:p w14:paraId="210A5857">
            <w:pPr>
              <w:rPr>
                <w:rFonts w:ascii="Arial"/>
                <w:sz w:val="21"/>
              </w:rPr>
            </w:pPr>
          </w:p>
        </w:tc>
        <w:tc>
          <w:tcPr>
            <w:tcW w:w="562" w:type="dxa"/>
            <w:vAlign w:val="top"/>
          </w:tcPr>
          <w:p w14:paraId="1E144713">
            <w:pPr>
              <w:rPr>
                <w:rFonts w:ascii="Arial"/>
                <w:sz w:val="21"/>
              </w:rPr>
            </w:pPr>
          </w:p>
        </w:tc>
        <w:tc>
          <w:tcPr>
            <w:tcW w:w="1207" w:type="dxa"/>
            <w:vAlign w:val="top"/>
          </w:tcPr>
          <w:p w14:paraId="59E9BFF6">
            <w:pPr>
              <w:rPr>
                <w:rFonts w:ascii="Arial"/>
                <w:sz w:val="21"/>
              </w:rPr>
            </w:pPr>
          </w:p>
        </w:tc>
        <w:tc>
          <w:tcPr>
            <w:tcW w:w="912" w:type="dxa"/>
            <w:tcBorders>
              <w:right w:val="single" w:color="000000" w:sz="12" w:space="0"/>
            </w:tcBorders>
            <w:vAlign w:val="top"/>
          </w:tcPr>
          <w:p w14:paraId="4A721663">
            <w:pPr>
              <w:rPr>
                <w:rFonts w:ascii="Arial"/>
                <w:sz w:val="21"/>
              </w:rPr>
            </w:pPr>
          </w:p>
        </w:tc>
      </w:tr>
      <w:tr w14:paraId="6F3F9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04" w:type="dxa"/>
            <w:vMerge w:val="restart"/>
            <w:tcBorders>
              <w:left w:val="single" w:color="000000" w:sz="12" w:space="0"/>
              <w:bottom w:val="nil"/>
            </w:tcBorders>
            <w:vAlign w:val="top"/>
          </w:tcPr>
          <w:p w14:paraId="1417E640">
            <w:pPr>
              <w:spacing w:before="233" w:line="221" w:lineRule="auto"/>
              <w:ind w:left="23"/>
              <w:rPr>
                <w:rFonts w:ascii="宋体" w:hAnsi="宋体" w:eastAsia="宋体" w:cs="宋体"/>
                <w:sz w:val="21"/>
                <w:szCs w:val="21"/>
              </w:rPr>
            </w:pPr>
            <w:r>
              <w:rPr>
                <w:rFonts w:ascii="宋体" w:hAnsi="宋体" w:eastAsia="宋体" w:cs="宋体"/>
                <w:spacing w:val="-2"/>
                <w:sz w:val="21"/>
                <w:szCs w:val="21"/>
              </w:rPr>
              <w:t>变形虫</w:t>
            </w:r>
          </w:p>
        </w:tc>
        <w:tc>
          <w:tcPr>
            <w:tcW w:w="3112" w:type="dxa"/>
            <w:vAlign w:val="top"/>
          </w:tcPr>
          <w:p w14:paraId="77C89BCC">
            <w:pPr>
              <w:pStyle w:val="6"/>
              <w:spacing w:before="62" w:line="227" w:lineRule="auto"/>
              <w:ind w:left="370"/>
            </w:pPr>
            <w:r>
              <w:rPr>
                <w:rFonts w:ascii="宋体" w:hAnsi="宋体" w:eastAsia="宋体" w:cs="宋体"/>
              </w:rPr>
              <w:t>蛞虫变形虫</w:t>
            </w:r>
            <w:r>
              <w:rPr>
                <w:rFonts w:ascii="宋体" w:hAnsi="宋体" w:eastAsia="宋体" w:cs="宋体"/>
                <w:spacing w:val="-62"/>
              </w:rPr>
              <w:t xml:space="preserve"> </w:t>
            </w:r>
            <w:r>
              <w:rPr>
                <w:i/>
                <w:iCs/>
              </w:rPr>
              <w:t>Amoeba  limax</w:t>
            </w:r>
          </w:p>
        </w:tc>
        <w:tc>
          <w:tcPr>
            <w:tcW w:w="705" w:type="dxa"/>
            <w:vAlign w:val="top"/>
          </w:tcPr>
          <w:p w14:paraId="758261CE">
            <w:pPr>
              <w:pStyle w:val="6"/>
              <w:spacing w:before="95" w:line="224" w:lineRule="auto"/>
              <w:ind w:left="291"/>
            </w:pPr>
            <w:r>
              <w:t>+</w:t>
            </w:r>
          </w:p>
        </w:tc>
        <w:tc>
          <w:tcPr>
            <w:tcW w:w="746" w:type="dxa"/>
            <w:vAlign w:val="top"/>
          </w:tcPr>
          <w:p w14:paraId="7A3F32C9">
            <w:pPr>
              <w:pStyle w:val="6"/>
              <w:spacing w:before="95" w:line="224" w:lineRule="auto"/>
              <w:ind w:left="314"/>
            </w:pPr>
            <w:r>
              <w:t>+</w:t>
            </w:r>
          </w:p>
        </w:tc>
        <w:tc>
          <w:tcPr>
            <w:tcW w:w="525" w:type="dxa"/>
            <w:vAlign w:val="top"/>
          </w:tcPr>
          <w:p w14:paraId="0834A9AB">
            <w:pPr>
              <w:pStyle w:val="6"/>
              <w:spacing w:before="95" w:line="224" w:lineRule="auto"/>
              <w:ind w:left="147"/>
            </w:pPr>
            <w:r>
              <w:rPr>
                <w:spacing w:val="-1"/>
              </w:rPr>
              <w:t>++</w:t>
            </w:r>
          </w:p>
        </w:tc>
        <w:tc>
          <w:tcPr>
            <w:tcW w:w="562" w:type="dxa"/>
            <w:vAlign w:val="top"/>
          </w:tcPr>
          <w:p w14:paraId="38F3C240">
            <w:pPr>
              <w:pStyle w:val="6"/>
              <w:spacing w:before="95" w:line="224" w:lineRule="auto"/>
              <w:ind w:left="108"/>
            </w:pPr>
            <w:r>
              <w:rPr>
                <w:spacing w:val="-1"/>
              </w:rPr>
              <w:t>+++</w:t>
            </w:r>
          </w:p>
        </w:tc>
        <w:tc>
          <w:tcPr>
            <w:tcW w:w="1207" w:type="dxa"/>
            <w:vAlign w:val="top"/>
          </w:tcPr>
          <w:p w14:paraId="4E301285">
            <w:pPr>
              <w:rPr>
                <w:rFonts w:ascii="Arial"/>
                <w:sz w:val="21"/>
              </w:rPr>
            </w:pPr>
          </w:p>
        </w:tc>
        <w:tc>
          <w:tcPr>
            <w:tcW w:w="912" w:type="dxa"/>
            <w:tcBorders>
              <w:right w:val="single" w:color="000000" w:sz="12" w:space="0"/>
            </w:tcBorders>
            <w:vAlign w:val="top"/>
          </w:tcPr>
          <w:p w14:paraId="648AEC06">
            <w:pPr>
              <w:pStyle w:val="6"/>
              <w:spacing w:before="95" w:line="224" w:lineRule="auto"/>
              <w:ind w:left="397"/>
            </w:pPr>
            <w:r>
              <w:t>+</w:t>
            </w:r>
          </w:p>
        </w:tc>
      </w:tr>
      <w:tr w14:paraId="51D0C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4FE2C7FE">
            <w:pPr>
              <w:rPr>
                <w:rFonts w:ascii="Arial"/>
                <w:sz w:val="21"/>
              </w:rPr>
            </w:pPr>
          </w:p>
        </w:tc>
        <w:tc>
          <w:tcPr>
            <w:tcW w:w="3112" w:type="dxa"/>
            <w:vAlign w:val="top"/>
          </w:tcPr>
          <w:p w14:paraId="206A1EA3">
            <w:pPr>
              <w:pStyle w:val="6"/>
              <w:spacing w:before="64" w:line="213" w:lineRule="auto"/>
              <w:ind w:left="395"/>
            </w:pPr>
            <w:r>
              <w:rPr>
                <w:rFonts w:ascii="宋体" w:hAnsi="宋体" w:eastAsia="宋体" w:cs="宋体"/>
                <w:spacing w:val="5"/>
              </w:rPr>
              <w:t>大变形虫</w:t>
            </w:r>
            <w:r>
              <w:rPr>
                <w:rFonts w:ascii="宋体" w:hAnsi="宋体" w:eastAsia="宋体" w:cs="宋体"/>
                <w:spacing w:val="-61"/>
              </w:rPr>
              <w:t xml:space="preserve"> </w:t>
            </w:r>
            <w:r>
              <w:rPr>
                <w:i/>
                <w:iCs/>
              </w:rPr>
              <w:t>Amoeba</w:t>
            </w:r>
            <w:r>
              <w:rPr>
                <w:i/>
                <w:iCs/>
                <w:spacing w:val="29"/>
                <w:w w:val="101"/>
              </w:rPr>
              <w:t xml:space="preserve"> </w:t>
            </w:r>
            <w:r>
              <w:rPr>
                <w:i/>
                <w:iCs/>
              </w:rPr>
              <w:t>proteus</w:t>
            </w:r>
          </w:p>
        </w:tc>
        <w:tc>
          <w:tcPr>
            <w:tcW w:w="705" w:type="dxa"/>
            <w:vAlign w:val="top"/>
          </w:tcPr>
          <w:p w14:paraId="2DDDFCD8">
            <w:pPr>
              <w:pStyle w:val="6"/>
              <w:spacing w:before="98" w:line="222" w:lineRule="auto"/>
              <w:ind w:left="291"/>
            </w:pPr>
            <w:r>
              <w:t>+</w:t>
            </w:r>
          </w:p>
        </w:tc>
        <w:tc>
          <w:tcPr>
            <w:tcW w:w="746" w:type="dxa"/>
            <w:vAlign w:val="top"/>
          </w:tcPr>
          <w:p w14:paraId="18160D02">
            <w:pPr>
              <w:pStyle w:val="6"/>
              <w:spacing w:before="98" w:line="222" w:lineRule="auto"/>
              <w:ind w:left="255"/>
            </w:pPr>
            <w:r>
              <w:rPr>
                <w:spacing w:val="-1"/>
              </w:rPr>
              <w:t>++</w:t>
            </w:r>
          </w:p>
        </w:tc>
        <w:tc>
          <w:tcPr>
            <w:tcW w:w="525" w:type="dxa"/>
            <w:vAlign w:val="top"/>
          </w:tcPr>
          <w:p w14:paraId="3AF1EC49">
            <w:pPr>
              <w:pStyle w:val="6"/>
              <w:spacing w:before="98" w:line="222" w:lineRule="auto"/>
              <w:ind w:left="205"/>
            </w:pPr>
            <w:r>
              <w:t>+</w:t>
            </w:r>
          </w:p>
        </w:tc>
        <w:tc>
          <w:tcPr>
            <w:tcW w:w="562" w:type="dxa"/>
            <w:vAlign w:val="top"/>
          </w:tcPr>
          <w:p w14:paraId="5391D118">
            <w:pPr>
              <w:pStyle w:val="6"/>
              <w:spacing w:before="98" w:line="222" w:lineRule="auto"/>
              <w:ind w:left="168"/>
            </w:pPr>
            <w:r>
              <w:rPr>
                <w:spacing w:val="-1"/>
              </w:rPr>
              <w:t>++</w:t>
            </w:r>
          </w:p>
        </w:tc>
        <w:tc>
          <w:tcPr>
            <w:tcW w:w="1207" w:type="dxa"/>
            <w:vAlign w:val="top"/>
          </w:tcPr>
          <w:p w14:paraId="111A2451">
            <w:pPr>
              <w:pStyle w:val="6"/>
              <w:spacing w:before="98" w:line="222" w:lineRule="auto"/>
              <w:ind w:left="552"/>
            </w:pPr>
            <w:r>
              <w:t>+</w:t>
            </w:r>
          </w:p>
        </w:tc>
        <w:tc>
          <w:tcPr>
            <w:tcW w:w="912" w:type="dxa"/>
            <w:tcBorders>
              <w:right w:val="single" w:color="000000" w:sz="12" w:space="0"/>
            </w:tcBorders>
            <w:vAlign w:val="top"/>
          </w:tcPr>
          <w:p w14:paraId="252857A6">
            <w:pPr>
              <w:rPr>
                <w:rFonts w:ascii="Arial"/>
                <w:sz w:val="21"/>
              </w:rPr>
            </w:pPr>
          </w:p>
        </w:tc>
      </w:tr>
      <w:tr w14:paraId="01769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04" w:type="dxa"/>
            <w:tcBorders>
              <w:left w:val="single" w:color="000000" w:sz="12" w:space="0"/>
            </w:tcBorders>
            <w:vAlign w:val="top"/>
          </w:tcPr>
          <w:p w14:paraId="66FDD991">
            <w:pPr>
              <w:spacing w:before="67" w:line="231" w:lineRule="auto"/>
              <w:ind w:left="238" w:right="38" w:hanging="205"/>
              <w:rPr>
                <w:rFonts w:ascii="宋体" w:hAnsi="宋体" w:eastAsia="宋体" w:cs="宋体"/>
                <w:sz w:val="21"/>
                <w:szCs w:val="21"/>
              </w:rPr>
            </w:pPr>
            <w:r>
              <w:rPr>
                <w:rFonts w:ascii="宋体" w:hAnsi="宋体" w:eastAsia="宋体" w:cs="宋体"/>
                <w:spacing w:val="-7"/>
                <w:sz w:val="21"/>
                <w:szCs w:val="21"/>
              </w:rPr>
              <w:t>多卓变</w:t>
            </w:r>
            <w:r>
              <w:rPr>
                <w:rFonts w:ascii="宋体" w:hAnsi="宋体" w:eastAsia="宋体" w:cs="宋体"/>
                <w:sz w:val="21"/>
                <w:szCs w:val="21"/>
              </w:rPr>
              <w:t>虫</w:t>
            </w:r>
          </w:p>
        </w:tc>
        <w:tc>
          <w:tcPr>
            <w:tcW w:w="3112" w:type="dxa"/>
            <w:vAlign w:val="top"/>
          </w:tcPr>
          <w:p w14:paraId="0A4C7F38">
            <w:pPr>
              <w:spacing w:before="80" w:line="220" w:lineRule="auto"/>
              <w:ind w:left="1026"/>
              <w:rPr>
                <w:rFonts w:ascii="宋体" w:hAnsi="宋体" w:eastAsia="宋体" w:cs="宋体"/>
                <w:sz w:val="21"/>
                <w:szCs w:val="21"/>
              </w:rPr>
            </w:pPr>
            <w:r>
              <w:rPr>
                <w:rFonts w:ascii="宋体" w:hAnsi="宋体" w:eastAsia="宋体" w:cs="宋体"/>
                <w:spacing w:val="-2"/>
                <w:sz w:val="21"/>
                <w:szCs w:val="21"/>
              </w:rPr>
              <w:t>囊多卓变虫</w:t>
            </w:r>
          </w:p>
          <w:p w14:paraId="506C0DE9">
            <w:pPr>
              <w:pStyle w:val="6"/>
              <w:spacing w:before="40" w:line="190" w:lineRule="auto"/>
              <w:ind w:left="511"/>
            </w:pPr>
            <w:r>
              <w:rPr>
                <w:i/>
                <w:iCs/>
                <w:spacing w:val="2"/>
              </w:rPr>
              <w:t>Polychaos</w:t>
            </w:r>
            <w:r>
              <w:rPr>
                <w:i/>
                <w:iCs/>
                <w:spacing w:val="15"/>
                <w:w w:val="101"/>
              </w:rPr>
              <w:t xml:space="preserve"> </w:t>
            </w:r>
            <w:r>
              <w:rPr>
                <w:i/>
                <w:iCs/>
                <w:spacing w:val="2"/>
              </w:rPr>
              <w:t>fasxixulatum</w:t>
            </w:r>
          </w:p>
        </w:tc>
        <w:tc>
          <w:tcPr>
            <w:tcW w:w="705" w:type="dxa"/>
            <w:vAlign w:val="top"/>
          </w:tcPr>
          <w:p w14:paraId="5CBAAD3B">
            <w:pPr>
              <w:pStyle w:val="6"/>
              <w:spacing w:before="236" w:line="251" w:lineRule="exact"/>
              <w:ind w:left="291"/>
            </w:pPr>
            <w:r>
              <w:rPr>
                <w:position w:val="1"/>
              </w:rPr>
              <w:t>+</w:t>
            </w:r>
          </w:p>
        </w:tc>
        <w:tc>
          <w:tcPr>
            <w:tcW w:w="746" w:type="dxa"/>
            <w:vAlign w:val="top"/>
          </w:tcPr>
          <w:p w14:paraId="6CD37290">
            <w:pPr>
              <w:pStyle w:val="6"/>
              <w:spacing w:before="236" w:line="251" w:lineRule="exact"/>
              <w:ind w:left="314"/>
            </w:pPr>
            <w:r>
              <w:rPr>
                <w:position w:val="1"/>
              </w:rPr>
              <w:t>+</w:t>
            </w:r>
          </w:p>
        </w:tc>
        <w:tc>
          <w:tcPr>
            <w:tcW w:w="525" w:type="dxa"/>
            <w:vAlign w:val="top"/>
          </w:tcPr>
          <w:p w14:paraId="7AAE2E4B">
            <w:pPr>
              <w:rPr>
                <w:rFonts w:ascii="Arial"/>
                <w:sz w:val="21"/>
              </w:rPr>
            </w:pPr>
          </w:p>
        </w:tc>
        <w:tc>
          <w:tcPr>
            <w:tcW w:w="562" w:type="dxa"/>
            <w:vAlign w:val="top"/>
          </w:tcPr>
          <w:p w14:paraId="25B60AD6">
            <w:pPr>
              <w:pStyle w:val="6"/>
              <w:spacing w:before="236" w:line="251" w:lineRule="exact"/>
              <w:ind w:left="168"/>
            </w:pPr>
            <w:r>
              <w:rPr>
                <w:spacing w:val="-1"/>
                <w:position w:val="1"/>
              </w:rPr>
              <w:t>++</w:t>
            </w:r>
          </w:p>
        </w:tc>
        <w:tc>
          <w:tcPr>
            <w:tcW w:w="1207" w:type="dxa"/>
            <w:vAlign w:val="top"/>
          </w:tcPr>
          <w:p w14:paraId="038082E8">
            <w:pPr>
              <w:rPr>
                <w:rFonts w:ascii="Arial"/>
                <w:sz w:val="21"/>
              </w:rPr>
            </w:pPr>
          </w:p>
        </w:tc>
        <w:tc>
          <w:tcPr>
            <w:tcW w:w="912" w:type="dxa"/>
            <w:tcBorders>
              <w:right w:val="single" w:color="000000" w:sz="12" w:space="0"/>
            </w:tcBorders>
            <w:vAlign w:val="top"/>
          </w:tcPr>
          <w:p w14:paraId="6380C484">
            <w:pPr>
              <w:pStyle w:val="6"/>
              <w:spacing w:before="236" w:line="251" w:lineRule="exact"/>
              <w:ind w:left="397"/>
            </w:pPr>
            <w:r>
              <w:rPr>
                <w:position w:val="1"/>
              </w:rPr>
              <w:t>+</w:t>
            </w:r>
          </w:p>
        </w:tc>
      </w:tr>
      <w:tr w14:paraId="2CCE2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73090447">
            <w:pPr>
              <w:spacing w:line="256" w:lineRule="auto"/>
              <w:rPr>
                <w:rFonts w:ascii="Arial"/>
                <w:sz w:val="21"/>
              </w:rPr>
            </w:pPr>
          </w:p>
          <w:p w14:paraId="680226BC">
            <w:pPr>
              <w:spacing w:line="256" w:lineRule="auto"/>
              <w:rPr>
                <w:rFonts w:ascii="Arial"/>
                <w:sz w:val="21"/>
              </w:rPr>
            </w:pPr>
          </w:p>
          <w:p w14:paraId="44B8B3FE">
            <w:pPr>
              <w:spacing w:line="256" w:lineRule="auto"/>
              <w:rPr>
                <w:rFonts w:ascii="Arial"/>
                <w:sz w:val="21"/>
              </w:rPr>
            </w:pPr>
          </w:p>
          <w:p w14:paraId="496DF12E">
            <w:pPr>
              <w:spacing w:line="256" w:lineRule="auto"/>
              <w:rPr>
                <w:rFonts w:ascii="Arial"/>
                <w:sz w:val="21"/>
              </w:rPr>
            </w:pPr>
          </w:p>
          <w:p w14:paraId="03F82130">
            <w:pPr>
              <w:spacing w:before="68" w:line="220" w:lineRule="auto"/>
              <w:ind w:left="22"/>
              <w:rPr>
                <w:rFonts w:ascii="宋体" w:hAnsi="宋体" w:eastAsia="宋体" w:cs="宋体"/>
                <w:sz w:val="21"/>
                <w:szCs w:val="21"/>
              </w:rPr>
            </w:pPr>
            <w:r>
              <w:rPr>
                <w:rFonts w:ascii="宋体" w:hAnsi="宋体" w:eastAsia="宋体" w:cs="宋体"/>
                <w:spacing w:val="-2"/>
                <w:sz w:val="21"/>
                <w:szCs w:val="21"/>
              </w:rPr>
              <w:t>表壳虫</w:t>
            </w:r>
          </w:p>
        </w:tc>
        <w:tc>
          <w:tcPr>
            <w:tcW w:w="3112" w:type="dxa"/>
            <w:vAlign w:val="top"/>
          </w:tcPr>
          <w:p w14:paraId="64590627">
            <w:pPr>
              <w:pStyle w:val="6"/>
              <w:spacing w:before="69" w:line="222" w:lineRule="auto"/>
              <w:ind w:left="330"/>
            </w:pPr>
            <w:r>
              <w:rPr>
                <w:rFonts w:ascii="宋体" w:hAnsi="宋体" w:eastAsia="宋体" w:cs="宋体"/>
              </w:rPr>
              <w:t>法冠表壳虫</w:t>
            </w:r>
            <w:r>
              <w:rPr>
                <w:rFonts w:ascii="宋体" w:hAnsi="宋体" w:eastAsia="宋体" w:cs="宋体"/>
                <w:spacing w:val="-63"/>
              </w:rPr>
              <w:t xml:space="preserve"> </w:t>
            </w:r>
            <w:r>
              <w:rPr>
                <w:i/>
                <w:iCs/>
              </w:rPr>
              <w:t>Arcella  mitrata</w:t>
            </w:r>
          </w:p>
        </w:tc>
        <w:tc>
          <w:tcPr>
            <w:tcW w:w="705" w:type="dxa"/>
            <w:vAlign w:val="top"/>
          </w:tcPr>
          <w:p w14:paraId="41499A11">
            <w:pPr>
              <w:pStyle w:val="6"/>
              <w:spacing w:before="103" w:line="217" w:lineRule="auto"/>
              <w:ind w:left="232"/>
            </w:pPr>
            <w:r>
              <w:rPr>
                <w:spacing w:val="-1"/>
              </w:rPr>
              <w:t>++</w:t>
            </w:r>
          </w:p>
        </w:tc>
        <w:tc>
          <w:tcPr>
            <w:tcW w:w="746" w:type="dxa"/>
            <w:vAlign w:val="top"/>
          </w:tcPr>
          <w:p w14:paraId="03E4640F">
            <w:pPr>
              <w:pStyle w:val="6"/>
              <w:spacing w:before="103" w:line="217" w:lineRule="auto"/>
              <w:ind w:left="255"/>
            </w:pPr>
            <w:r>
              <w:rPr>
                <w:spacing w:val="-1"/>
              </w:rPr>
              <w:t>++</w:t>
            </w:r>
          </w:p>
        </w:tc>
        <w:tc>
          <w:tcPr>
            <w:tcW w:w="525" w:type="dxa"/>
            <w:vAlign w:val="top"/>
          </w:tcPr>
          <w:p w14:paraId="61BEDBBB">
            <w:pPr>
              <w:pStyle w:val="6"/>
              <w:spacing w:before="103" w:line="217" w:lineRule="auto"/>
              <w:ind w:left="205"/>
            </w:pPr>
            <w:r>
              <w:t>+</w:t>
            </w:r>
          </w:p>
        </w:tc>
        <w:tc>
          <w:tcPr>
            <w:tcW w:w="562" w:type="dxa"/>
            <w:vAlign w:val="top"/>
          </w:tcPr>
          <w:p w14:paraId="717B0B48">
            <w:pPr>
              <w:rPr>
                <w:rFonts w:ascii="Arial"/>
                <w:sz w:val="21"/>
              </w:rPr>
            </w:pPr>
          </w:p>
        </w:tc>
        <w:tc>
          <w:tcPr>
            <w:tcW w:w="1207" w:type="dxa"/>
            <w:vAlign w:val="top"/>
          </w:tcPr>
          <w:p w14:paraId="2B2A890C">
            <w:pPr>
              <w:pStyle w:val="6"/>
              <w:spacing w:before="103" w:line="217" w:lineRule="auto"/>
              <w:ind w:left="552"/>
            </w:pPr>
            <w:r>
              <w:t>+</w:t>
            </w:r>
          </w:p>
        </w:tc>
        <w:tc>
          <w:tcPr>
            <w:tcW w:w="912" w:type="dxa"/>
            <w:tcBorders>
              <w:right w:val="single" w:color="000000" w:sz="12" w:space="0"/>
            </w:tcBorders>
            <w:vAlign w:val="top"/>
          </w:tcPr>
          <w:p w14:paraId="35501CAA">
            <w:pPr>
              <w:pStyle w:val="6"/>
              <w:spacing w:before="103" w:line="217" w:lineRule="auto"/>
              <w:ind w:left="397"/>
            </w:pPr>
            <w:r>
              <w:t>+</w:t>
            </w:r>
          </w:p>
        </w:tc>
      </w:tr>
      <w:tr w14:paraId="200B1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3E79A702">
            <w:pPr>
              <w:rPr>
                <w:rFonts w:ascii="Arial"/>
                <w:sz w:val="21"/>
              </w:rPr>
            </w:pPr>
          </w:p>
        </w:tc>
        <w:tc>
          <w:tcPr>
            <w:tcW w:w="3112" w:type="dxa"/>
            <w:vAlign w:val="top"/>
          </w:tcPr>
          <w:p w14:paraId="7114CE63">
            <w:pPr>
              <w:pStyle w:val="6"/>
              <w:spacing w:before="70" w:line="221" w:lineRule="auto"/>
              <w:ind w:left="247"/>
            </w:pPr>
            <w:r>
              <w:rPr>
                <w:rFonts w:ascii="宋体" w:hAnsi="宋体" w:eastAsia="宋体" w:cs="宋体"/>
              </w:rPr>
              <w:t>盘状表壳虫</w:t>
            </w:r>
            <w:r>
              <w:rPr>
                <w:rFonts w:ascii="宋体" w:hAnsi="宋体" w:eastAsia="宋体" w:cs="宋体"/>
                <w:spacing w:val="-61"/>
              </w:rPr>
              <w:t xml:space="preserve"> </w:t>
            </w:r>
            <w:r>
              <w:rPr>
                <w:i/>
                <w:iCs/>
              </w:rPr>
              <w:t>Arcella  discoides</w:t>
            </w:r>
          </w:p>
        </w:tc>
        <w:tc>
          <w:tcPr>
            <w:tcW w:w="705" w:type="dxa"/>
            <w:vAlign w:val="top"/>
          </w:tcPr>
          <w:p w14:paraId="53828606">
            <w:pPr>
              <w:pStyle w:val="6"/>
              <w:spacing w:before="104" w:line="216" w:lineRule="auto"/>
              <w:ind w:left="291"/>
            </w:pPr>
            <w:r>
              <w:t>+</w:t>
            </w:r>
          </w:p>
        </w:tc>
        <w:tc>
          <w:tcPr>
            <w:tcW w:w="746" w:type="dxa"/>
            <w:vAlign w:val="top"/>
          </w:tcPr>
          <w:p w14:paraId="457014D4">
            <w:pPr>
              <w:pStyle w:val="6"/>
              <w:spacing w:before="104" w:line="216" w:lineRule="auto"/>
              <w:ind w:left="314"/>
            </w:pPr>
            <w:r>
              <w:t>+</w:t>
            </w:r>
          </w:p>
        </w:tc>
        <w:tc>
          <w:tcPr>
            <w:tcW w:w="525" w:type="dxa"/>
            <w:vAlign w:val="top"/>
          </w:tcPr>
          <w:p w14:paraId="5F54F83D">
            <w:pPr>
              <w:pStyle w:val="6"/>
              <w:spacing w:before="104" w:line="216" w:lineRule="auto"/>
              <w:ind w:left="147"/>
            </w:pPr>
            <w:r>
              <w:rPr>
                <w:spacing w:val="-1"/>
              </w:rPr>
              <w:t>++</w:t>
            </w:r>
          </w:p>
        </w:tc>
        <w:tc>
          <w:tcPr>
            <w:tcW w:w="562" w:type="dxa"/>
            <w:vAlign w:val="top"/>
          </w:tcPr>
          <w:p w14:paraId="3B7B21A2">
            <w:pPr>
              <w:pStyle w:val="6"/>
              <w:spacing w:before="104" w:line="216" w:lineRule="auto"/>
              <w:ind w:left="226"/>
            </w:pPr>
            <w:r>
              <w:t>+</w:t>
            </w:r>
          </w:p>
        </w:tc>
        <w:tc>
          <w:tcPr>
            <w:tcW w:w="1207" w:type="dxa"/>
            <w:vAlign w:val="top"/>
          </w:tcPr>
          <w:p w14:paraId="05672981">
            <w:pPr>
              <w:rPr>
                <w:rFonts w:ascii="Arial"/>
                <w:sz w:val="21"/>
              </w:rPr>
            </w:pPr>
          </w:p>
        </w:tc>
        <w:tc>
          <w:tcPr>
            <w:tcW w:w="912" w:type="dxa"/>
            <w:tcBorders>
              <w:right w:val="single" w:color="000000" w:sz="12" w:space="0"/>
            </w:tcBorders>
            <w:vAlign w:val="top"/>
          </w:tcPr>
          <w:p w14:paraId="1F324CCB">
            <w:pPr>
              <w:pStyle w:val="6"/>
              <w:spacing w:before="104" w:line="216" w:lineRule="auto"/>
              <w:ind w:left="338"/>
            </w:pPr>
            <w:r>
              <w:rPr>
                <w:spacing w:val="-1"/>
              </w:rPr>
              <w:t>++</w:t>
            </w:r>
          </w:p>
        </w:tc>
      </w:tr>
      <w:tr w14:paraId="570A0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0A7E59B5">
            <w:pPr>
              <w:rPr>
                <w:rFonts w:ascii="Arial"/>
                <w:sz w:val="21"/>
              </w:rPr>
            </w:pPr>
          </w:p>
        </w:tc>
        <w:tc>
          <w:tcPr>
            <w:tcW w:w="3112" w:type="dxa"/>
            <w:vAlign w:val="top"/>
          </w:tcPr>
          <w:p w14:paraId="78A72038">
            <w:pPr>
              <w:pStyle w:val="6"/>
              <w:spacing w:before="71" w:line="220" w:lineRule="auto"/>
              <w:ind w:left="377"/>
            </w:pPr>
            <w:r>
              <w:rPr>
                <w:rFonts w:ascii="宋体" w:hAnsi="宋体" w:eastAsia="宋体" w:cs="宋体"/>
              </w:rPr>
              <w:t>沙表壳虫</w:t>
            </w:r>
            <w:r>
              <w:rPr>
                <w:rFonts w:ascii="宋体" w:hAnsi="宋体" w:eastAsia="宋体" w:cs="宋体"/>
                <w:spacing w:val="-62"/>
              </w:rPr>
              <w:t xml:space="preserve"> </w:t>
            </w:r>
            <w:r>
              <w:rPr>
                <w:i/>
                <w:iCs/>
              </w:rPr>
              <w:t>Arcella  arenar</w:t>
            </w:r>
            <w:r>
              <w:rPr>
                <w:i/>
                <w:iCs/>
                <w:spacing w:val="-1"/>
              </w:rPr>
              <w:t>ia</w:t>
            </w:r>
          </w:p>
        </w:tc>
        <w:tc>
          <w:tcPr>
            <w:tcW w:w="705" w:type="dxa"/>
            <w:vAlign w:val="top"/>
          </w:tcPr>
          <w:p w14:paraId="660E57F7">
            <w:pPr>
              <w:pStyle w:val="6"/>
              <w:spacing w:before="105" w:line="215" w:lineRule="auto"/>
              <w:ind w:left="232"/>
            </w:pPr>
            <w:r>
              <w:rPr>
                <w:spacing w:val="-1"/>
              </w:rPr>
              <w:t>++</w:t>
            </w:r>
          </w:p>
        </w:tc>
        <w:tc>
          <w:tcPr>
            <w:tcW w:w="746" w:type="dxa"/>
            <w:vAlign w:val="top"/>
          </w:tcPr>
          <w:p w14:paraId="172EBD59">
            <w:pPr>
              <w:pStyle w:val="6"/>
              <w:spacing w:before="105" w:line="215" w:lineRule="auto"/>
              <w:ind w:left="255"/>
            </w:pPr>
            <w:r>
              <w:rPr>
                <w:spacing w:val="-1"/>
              </w:rPr>
              <w:t>++</w:t>
            </w:r>
          </w:p>
        </w:tc>
        <w:tc>
          <w:tcPr>
            <w:tcW w:w="525" w:type="dxa"/>
            <w:vAlign w:val="top"/>
          </w:tcPr>
          <w:p w14:paraId="7EFA5C27">
            <w:pPr>
              <w:rPr>
                <w:rFonts w:ascii="Arial"/>
                <w:sz w:val="21"/>
              </w:rPr>
            </w:pPr>
          </w:p>
        </w:tc>
        <w:tc>
          <w:tcPr>
            <w:tcW w:w="562" w:type="dxa"/>
            <w:vAlign w:val="top"/>
          </w:tcPr>
          <w:p w14:paraId="204DE54F">
            <w:pPr>
              <w:pStyle w:val="6"/>
              <w:spacing w:before="105" w:line="215" w:lineRule="auto"/>
              <w:ind w:left="226"/>
            </w:pPr>
            <w:r>
              <w:t>+</w:t>
            </w:r>
          </w:p>
        </w:tc>
        <w:tc>
          <w:tcPr>
            <w:tcW w:w="1207" w:type="dxa"/>
            <w:vAlign w:val="top"/>
          </w:tcPr>
          <w:p w14:paraId="2B909FBF">
            <w:pPr>
              <w:pStyle w:val="6"/>
              <w:spacing w:before="105" w:line="215" w:lineRule="auto"/>
              <w:ind w:left="552"/>
            </w:pPr>
            <w:r>
              <w:t>+</w:t>
            </w:r>
          </w:p>
        </w:tc>
        <w:tc>
          <w:tcPr>
            <w:tcW w:w="912" w:type="dxa"/>
            <w:tcBorders>
              <w:right w:val="single" w:color="000000" w:sz="12" w:space="0"/>
            </w:tcBorders>
            <w:vAlign w:val="top"/>
          </w:tcPr>
          <w:p w14:paraId="34E13D6E">
            <w:pPr>
              <w:pStyle w:val="6"/>
              <w:spacing w:before="105" w:line="215" w:lineRule="auto"/>
              <w:ind w:left="397"/>
            </w:pPr>
            <w:r>
              <w:t>+</w:t>
            </w:r>
          </w:p>
        </w:tc>
      </w:tr>
      <w:tr w14:paraId="66EDA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04" w:type="dxa"/>
            <w:vMerge w:val="continue"/>
            <w:tcBorders>
              <w:top w:val="nil"/>
              <w:left w:val="single" w:color="000000" w:sz="12" w:space="0"/>
              <w:bottom w:val="nil"/>
            </w:tcBorders>
            <w:vAlign w:val="top"/>
          </w:tcPr>
          <w:p w14:paraId="10BE080E">
            <w:pPr>
              <w:rPr>
                <w:rFonts w:ascii="Arial"/>
                <w:sz w:val="21"/>
              </w:rPr>
            </w:pPr>
          </w:p>
        </w:tc>
        <w:tc>
          <w:tcPr>
            <w:tcW w:w="3112" w:type="dxa"/>
            <w:vAlign w:val="top"/>
          </w:tcPr>
          <w:p w14:paraId="1E83DCE5">
            <w:pPr>
              <w:pStyle w:val="6"/>
              <w:spacing w:before="73" w:line="212" w:lineRule="auto"/>
              <w:ind w:left="64"/>
            </w:pPr>
            <w:r>
              <w:rPr>
                <w:rFonts w:ascii="宋体" w:hAnsi="宋体" w:eastAsia="宋体" w:cs="宋体"/>
                <w:spacing w:val="3"/>
              </w:rPr>
              <w:t>水藓沙表壳虫</w:t>
            </w:r>
            <w:r>
              <w:rPr>
                <w:rFonts w:ascii="宋体" w:hAnsi="宋体" w:eastAsia="宋体" w:cs="宋体"/>
                <w:spacing w:val="-61"/>
              </w:rPr>
              <w:t xml:space="preserve"> </w:t>
            </w:r>
            <w:r>
              <w:rPr>
                <w:i/>
                <w:iCs/>
              </w:rPr>
              <w:t>Arcella</w:t>
            </w:r>
            <w:r>
              <w:rPr>
                <w:i/>
                <w:iCs/>
                <w:spacing w:val="30"/>
                <w:w w:val="101"/>
              </w:rPr>
              <w:t xml:space="preserve"> </w:t>
            </w:r>
            <w:r>
              <w:rPr>
                <w:i/>
                <w:iCs/>
              </w:rPr>
              <w:t>phagnicola</w:t>
            </w:r>
          </w:p>
        </w:tc>
        <w:tc>
          <w:tcPr>
            <w:tcW w:w="705" w:type="dxa"/>
            <w:vAlign w:val="top"/>
          </w:tcPr>
          <w:p w14:paraId="1440321D">
            <w:pPr>
              <w:pStyle w:val="6"/>
              <w:spacing w:before="106" w:line="213" w:lineRule="auto"/>
              <w:ind w:left="291"/>
            </w:pPr>
            <w:r>
              <w:t>+</w:t>
            </w:r>
          </w:p>
        </w:tc>
        <w:tc>
          <w:tcPr>
            <w:tcW w:w="746" w:type="dxa"/>
            <w:vAlign w:val="top"/>
          </w:tcPr>
          <w:p w14:paraId="34295964">
            <w:pPr>
              <w:pStyle w:val="6"/>
              <w:spacing w:before="106" w:line="213" w:lineRule="auto"/>
              <w:ind w:left="255"/>
            </w:pPr>
            <w:r>
              <w:rPr>
                <w:spacing w:val="-1"/>
              </w:rPr>
              <w:t>++</w:t>
            </w:r>
          </w:p>
        </w:tc>
        <w:tc>
          <w:tcPr>
            <w:tcW w:w="525" w:type="dxa"/>
            <w:vAlign w:val="top"/>
          </w:tcPr>
          <w:p w14:paraId="018E8804">
            <w:pPr>
              <w:rPr>
                <w:rFonts w:ascii="Arial"/>
                <w:sz w:val="21"/>
              </w:rPr>
            </w:pPr>
          </w:p>
        </w:tc>
        <w:tc>
          <w:tcPr>
            <w:tcW w:w="562" w:type="dxa"/>
            <w:vAlign w:val="top"/>
          </w:tcPr>
          <w:p w14:paraId="658503B8">
            <w:pPr>
              <w:pStyle w:val="6"/>
              <w:spacing w:before="106" w:line="213" w:lineRule="auto"/>
              <w:ind w:left="226"/>
            </w:pPr>
            <w:r>
              <w:t>+</w:t>
            </w:r>
          </w:p>
        </w:tc>
        <w:tc>
          <w:tcPr>
            <w:tcW w:w="1207" w:type="dxa"/>
            <w:vAlign w:val="top"/>
          </w:tcPr>
          <w:p w14:paraId="4AEFBAF8">
            <w:pPr>
              <w:pStyle w:val="6"/>
              <w:spacing w:before="106" w:line="213" w:lineRule="auto"/>
              <w:ind w:left="552"/>
            </w:pPr>
            <w:r>
              <w:t>+</w:t>
            </w:r>
          </w:p>
        </w:tc>
        <w:tc>
          <w:tcPr>
            <w:tcW w:w="912" w:type="dxa"/>
            <w:tcBorders>
              <w:right w:val="single" w:color="000000" w:sz="12" w:space="0"/>
            </w:tcBorders>
            <w:vAlign w:val="top"/>
          </w:tcPr>
          <w:p w14:paraId="7F4EDB4E">
            <w:pPr>
              <w:pStyle w:val="6"/>
              <w:spacing w:before="106" w:line="213" w:lineRule="auto"/>
              <w:ind w:left="397"/>
            </w:pPr>
            <w:r>
              <w:t>+</w:t>
            </w:r>
          </w:p>
        </w:tc>
      </w:tr>
      <w:tr w14:paraId="5CFE5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258D9C59">
            <w:pPr>
              <w:rPr>
                <w:rFonts w:ascii="Arial"/>
                <w:sz w:val="21"/>
              </w:rPr>
            </w:pPr>
          </w:p>
        </w:tc>
        <w:tc>
          <w:tcPr>
            <w:tcW w:w="3112" w:type="dxa"/>
            <w:vAlign w:val="top"/>
          </w:tcPr>
          <w:p w14:paraId="4A3743D7">
            <w:pPr>
              <w:pStyle w:val="6"/>
              <w:spacing w:before="75" w:line="212" w:lineRule="auto"/>
              <w:ind w:left="162"/>
            </w:pPr>
            <w:r>
              <w:rPr>
                <w:rFonts w:ascii="宋体" w:hAnsi="宋体" w:eastAsia="宋体" w:cs="宋体"/>
              </w:rPr>
              <w:t>大口表壳虫</w:t>
            </w:r>
            <w:r>
              <w:rPr>
                <w:rFonts w:ascii="宋体" w:hAnsi="宋体" w:eastAsia="宋体" w:cs="宋体"/>
                <w:spacing w:val="-62"/>
              </w:rPr>
              <w:t xml:space="preserve"> </w:t>
            </w:r>
            <w:r>
              <w:rPr>
                <w:i/>
                <w:iCs/>
              </w:rPr>
              <w:t>Arcella  megasto</w:t>
            </w:r>
            <w:r>
              <w:rPr>
                <w:i/>
                <w:iCs/>
                <w:spacing w:val="-1"/>
              </w:rPr>
              <w:t>ma</w:t>
            </w:r>
          </w:p>
        </w:tc>
        <w:tc>
          <w:tcPr>
            <w:tcW w:w="705" w:type="dxa"/>
            <w:vAlign w:val="top"/>
          </w:tcPr>
          <w:p w14:paraId="3FA4BF10">
            <w:pPr>
              <w:pStyle w:val="6"/>
              <w:spacing w:before="108" w:line="212" w:lineRule="auto"/>
              <w:ind w:left="232"/>
            </w:pPr>
            <w:r>
              <w:rPr>
                <w:spacing w:val="-1"/>
              </w:rPr>
              <w:t>++</w:t>
            </w:r>
          </w:p>
        </w:tc>
        <w:tc>
          <w:tcPr>
            <w:tcW w:w="746" w:type="dxa"/>
            <w:vAlign w:val="top"/>
          </w:tcPr>
          <w:p w14:paraId="6570F6FC">
            <w:pPr>
              <w:pStyle w:val="6"/>
              <w:spacing w:before="108" w:line="212" w:lineRule="auto"/>
              <w:ind w:left="314"/>
            </w:pPr>
            <w:r>
              <w:t>+</w:t>
            </w:r>
          </w:p>
        </w:tc>
        <w:tc>
          <w:tcPr>
            <w:tcW w:w="525" w:type="dxa"/>
            <w:vAlign w:val="top"/>
          </w:tcPr>
          <w:p w14:paraId="35F50316">
            <w:pPr>
              <w:pStyle w:val="6"/>
              <w:spacing w:before="108" w:line="212" w:lineRule="auto"/>
              <w:ind w:left="147"/>
            </w:pPr>
            <w:r>
              <w:rPr>
                <w:spacing w:val="-1"/>
              </w:rPr>
              <w:t>++</w:t>
            </w:r>
          </w:p>
        </w:tc>
        <w:tc>
          <w:tcPr>
            <w:tcW w:w="562" w:type="dxa"/>
            <w:vAlign w:val="top"/>
          </w:tcPr>
          <w:p w14:paraId="6F785EE8">
            <w:pPr>
              <w:pStyle w:val="6"/>
              <w:spacing w:before="108" w:line="212" w:lineRule="auto"/>
              <w:ind w:left="226"/>
            </w:pPr>
            <w:r>
              <w:t>+</w:t>
            </w:r>
          </w:p>
        </w:tc>
        <w:tc>
          <w:tcPr>
            <w:tcW w:w="1207" w:type="dxa"/>
            <w:vAlign w:val="top"/>
          </w:tcPr>
          <w:p w14:paraId="551F3D81">
            <w:pPr>
              <w:rPr>
                <w:rFonts w:ascii="Arial"/>
                <w:sz w:val="21"/>
              </w:rPr>
            </w:pPr>
          </w:p>
        </w:tc>
        <w:tc>
          <w:tcPr>
            <w:tcW w:w="912" w:type="dxa"/>
            <w:tcBorders>
              <w:right w:val="single" w:color="000000" w:sz="12" w:space="0"/>
            </w:tcBorders>
            <w:vAlign w:val="top"/>
          </w:tcPr>
          <w:p w14:paraId="03249B3B">
            <w:pPr>
              <w:pStyle w:val="6"/>
              <w:spacing w:before="108" w:line="212" w:lineRule="auto"/>
              <w:ind w:left="397"/>
            </w:pPr>
            <w:r>
              <w:t>+</w:t>
            </w:r>
          </w:p>
        </w:tc>
      </w:tr>
      <w:tr w14:paraId="5DFFF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bottom w:val="nil"/>
            </w:tcBorders>
            <w:vAlign w:val="top"/>
          </w:tcPr>
          <w:p w14:paraId="77C7A7A3">
            <w:pPr>
              <w:rPr>
                <w:rFonts w:ascii="Arial"/>
                <w:sz w:val="21"/>
              </w:rPr>
            </w:pPr>
          </w:p>
        </w:tc>
        <w:tc>
          <w:tcPr>
            <w:tcW w:w="3112" w:type="dxa"/>
            <w:vAlign w:val="top"/>
          </w:tcPr>
          <w:p w14:paraId="5B469374">
            <w:pPr>
              <w:pStyle w:val="6"/>
              <w:spacing w:before="76" w:line="213" w:lineRule="auto"/>
              <w:ind w:left="23"/>
            </w:pPr>
            <w:r>
              <w:rPr>
                <w:rFonts w:ascii="宋体" w:hAnsi="宋体" w:eastAsia="宋体" w:cs="宋体"/>
              </w:rPr>
              <w:t>半圆表壳虫</w:t>
            </w:r>
            <w:r>
              <w:rPr>
                <w:rFonts w:ascii="宋体" w:hAnsi="宋体" w:eastAsia="宋体" w:cs="宋体"/>
                <w:spacing w:val="-62"/>
              </w:rPr>
              <w:t xml:space="preserve"> </w:t>
            </w:r>
            <w:r>
              <w:rPr>
                <w:i/>
                <w:iCs/>
              </w:rPr>
              <w:t>Arcella  hemisphaer</w:t>
            </w:r>
            <w:r>
              <w:rPr>
                <w:i/>
                <w:iCs/>
                <w:spacing w:val="-1"/>
              </w:rPr>
              <w:t>ica</w:t>
            </w:r>
          </w:p>
        </w:tc>
        <w:tc>
          <w:tcPr>
            <w:tcW w:w="705" w:type="dxa"/>
            <w:vAlign w:val="top"/>
          </w:tcPr>
          <w:p w14:paraId="68D52306">
            <w:pPr>
              <w:pStyle w:val="6"/>
              <w:spacing w:before="110" w:line="211" w:lineRule="auto"/>
              <w:ind w:left="291"/>
            </w:pPr>
            <w:r>
              <w:t>+</w:t>
            </w:r>
          </w:p>
        </w:tc>
        <w:tc>
          <w:tcPr>
            <w:tcW w:w="746" w:type="dxa"/>
            <w:vAlign w:val="top"/>
          </w:tcPr>
          <w:p w14:paraId="37D53CBC">
            <w:pPr>
              <w:pStyle w:val="6"/>
              <w:spacing w:before="110" w:line="211" w:lineRule="auto"/>
              <w:ind w:left="255"/>
            </w:pPr>
            <w:r>
              <w:rPr>
                <w:spacing w:val="-1"/>
              </w:rPr>
              <w:t>++</w:t>
            </w:r>
          </w:p>
        </w:tc>
        <w:tc>
          <w:tcPr>
            <w:tcW w:w="525" w:type="dxa"/>
            <w:vAlign w:val="top"/>
          </w:tcPr>
          <w:p w14:paraId="40CB856E">
            <w:pPr>
              <w:pStyle w:val="6"/>
              <w:spacing w:before="110" w:line="211" w:lineRule="auto"/>
              <w:ind w:left="147"/>
            </w:pPr>
            <w:r>
              <w:rPr>
                <w:spacing w:val="-1"/>
              </w:rPr>
              <w:t>++</w:t>
            </w:r>
          </w:p>
        </w:tc>
        <w:tc>
          <w:tcPr>
            <w:tcW w:w="562" w:type="dxa"/>
            <w:vAlign w:val="top"/>
          </w:tcPr>
          <w:p w14:paraId="7F7BD494">
            <w:pPr>
              <w:pStyle w:val="6"/>
              <w:spacing w:before="110" w:line="211" w:lineRule="auto"/>
              <w:ind w:left="108"/>
            </w:pPr>
            <w:r>
              <w:rPr>
                <w:spacing w:val="-1"/>
              </w:rPr>
              <w:t>+++</w:t>
            </w:r>
          </w:p>
        </w:tc>
        <w:tc>
          <w:tcPr>
            <w:tcW w:w="1207" w:type="dxa"/>
            <w:vAlign w:val="top"/>
          </w:tcPr>
          <w:p w14:paraId="3557C31E">
            <w:pPr>
              <w:rPr>
                <w:rFonts w:ascii="Arial"/>
                <w:sz w:val="21"/>
              </w:rPr>
            </w:pPr>
          </w:p>
        </w:tc>
        <w:tc>
          <w:tcPr>
            <w:tcW w:w="912" w:type="dxa"/>
            <w:tcBorders>
              <w:right w:val="single" w:color="000000" w:sz="12" w:space="0"/>
            </w:tcBorders>
            <w:vAlign w:val="top"/>
          </w:tcPr>
          <w:p w14:paraId="20EDF5C8">
            <w:pPr>
              <w:pStyle w:val="6"/>
              <w:spacing w:before="110" w:line="211" w:lineRule="auto"/>
              <w:ind w:left="397"/>
            </w:pPr>
            <w:r>
              <w:t>+</w:t>
            </w:r>
          </w:p>
        </w:tc>
      </w:tr>
      <w:tr w14:paraId="6C2EF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704" w:type="dxa"/>
            <w:vMerge w:val="continue"/>
            <w:tcBorders>
              <w:top w:val="nil"/>
              <w:left w:val="single" w:color="000000" w:sz="12" w:space="0"/>
            </w:tcBorders>
            <w:vAlign w:val="top"/>
          </w:tcPr>
          <w:p w14:paraId="2E78DEDA">
            <w:pPr>
              <w:rPr>
                <w:rFonts w:ascii="Arial"/>
                <w:sz w:val="21"/>
              </w:rPr>
            </w:pPr>
          </w:p>
        </w:tc>
        <w:tc>
          <w:tcPr>
            <w:tcW w:w="3112" w:type="dxa"/>
            <w:vAlign w:val="top"/>
          </w:tcPr>
          <w:p w14:paraId="6B5B80C2">
            <w:pPr>
              <w:pStyle w:val="6"/>
              <w:spacing w:before="77" w:line="212" w:lineRule="auto"/>
              <w:ind w:left="293"/>
            </w:pPr>
            <w:r>
              <w:rPr>
                <w:rFonts w:ascii="宋体" w:hAnsi="宋体" w:eastAsia="宋体" w:cs="宋体"/>
              </w:rPr>
              <w:t>普通表壳虫</w:t>
            </w:r>
            <w:r>
              <w:rPr>
                <w:rFonts w:ascii="宋体" w:hAnsi="宋体" w:eastAsia="宋体" w:cs="宋体"/>
                <w:spacing w:val="-62"/>
              </w:rPr>
              <w:t xml:space="preserve"> </w:t>
            </w:r>
            <w:r>
              <w:rPr>
                <w:i/>
                <w:iCs/>
              </w:rPr>
              <w:t>Arcella  vulgaris</w:t>
            </w:r>
          </w:p>
        </w:tc>
        <w:tc>
          <w:tcPr>
            <w:tcW w:w="705" w:type="dxa"/>
            <w:vAlign w:val="top"/>
          </w:tcPr>
          <w:p w14:paraId="7F5491B4">
            <w:pPr>
              <w:pStyle w:val="6"/>
              <w:spacing w:before="110" w:line="209" w:lineRule="auto"/>
              <w:ind w:left="291"/>
            </w:pPr>
            <w:r>
              <w:t>+</w:t>
            </w:r>
          </w:p>
        </w:tc>
        <w:tc>
          <w:tcPr>
            <w:tcW w:w="746" w:type="dxa"/>
            <w:vAlign w:val="top"/>
          </w:tcPr>
          <w:p w14:paraId="20D47E84">
            <w:pPr>
              <w:pStyle w:val="6"/>
              <w:spacing w:before="110" w:line="209" w:lineRule="auto"/>
              <w:ind w:left="314"/>
            </w:pPr>
            <w:r>
              <w:t>+</w:t>
            </w:r>
          </w:p>
        </w:tc>
        <w:tc>
          <w:tcPr>
            <w:tcW w:w="525" w:type="dxa"/>
            <w:vAlign w:val="top"/>
          </w:tcPr>
          <w:p w14:paraId="54FD4E09">
            <w:pPr>
              <w:pStyle w:val="6"/>
              <w:spacing w:before="110" w:line="209" w:lineRule="auto"/>
              <w:ind w:left="147"/>
            </w:pPr>
            <w:r>
              <w:rPr>
                <w:spacing w:val="-1"/>
              </w:rPr>
              <w:t>++</w:t>
            </w:r>
          </w:p>
        </w:tc>
        <w:tc>
          <w:tcPr>
            <w:tcW w:w="562" w:type="dxa"/>
            <w:vAlign w:val="top"/>
          </w:tcPr>
          <w:p w14:paraId="060C2FF3">
            <w:pPr>
              <w:pStyle w:val="6"/>
              <w:spacing w:before="110" w:line="209" w:lineRule="auto"/>
              <w:ind w:left="226"/>
            </w:pPr>
            <w:r>
              <w:t>+</w:t>
            </w:r>
          </w:p>
        </w:tc>
        <w:tc>
          <w:tcPr>
            <w:tcW w:w="1207" w:type="dxa"/>
            <w:vAlign w:val="top"/>
          </w:tcPr>
          <w:p w14:paraId="235BAC83">
            <w:pPr>
              <w:pStyle w:val="6"/>
              <w:spacing w:before="110" w:line="209" w:lineRule="auto"/>
              <w:ind w:left="552"/>
            </w:pPr>
            <w:r>
              <w:t>+</w:t>
            </w:r>
          </w:p>
        </w:tc>
        <w:tc>
          <w:tcPr>
            <w:tcW w:w="912" w:type="dxa"/>
            <w:tcBorders>
              <w:right w:val="single" w:color="000000" w:sz="12" w:space="0"/>
            </w:tcBorders>
            <w:vAlign w:val="top"/>
          </w:tcPr>
          <w:p w14:paraId="3133DB3D">
            <w:pPr>
              <w:rPr>
                <w:rFonts w:ascii="Arial"/>
                <w:sz w:val="21"/>
              </w:rPr>
            </w:pPr>
          </w:p>
        </w:tc>
      </w:tr>
      <w:tr w14:paraId="00BFF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0CACCEB7">
            <w:pPr>
              <w:spacing w:line="346" w:lineRule="auto"/>
              <w:rPr>
                <w:rFonts w:ascii="Arial"/>
                <w:sz w:val="21"/>
              </w:rPr>
            </w:pPr>
          </w:p>
          <w:p w14:paraId="3FC0A2EB">
            <w:pPr>
              <w:spacing w:line="347" w:lineRule="auto"/>
              <w:rPr>
                <w:rFonts w:ascii="Arial"/>
                <w:sz w:val="21"/>
              </w:rPr>
            </w:pPr>
          </w:p>
          <w:p w14:paraId="756E4CB9">
            <w:pPr>
              <w:spacing w:before="69" w:line="220" w:lineRule="auto"/>
              <w:ind w:left="22"/>
              <w:rPr>
                <w:rFonts w:ascii="宋体" w:hAnsi="宋体" w:eastAsia="宋体" w:cs="宋体"/>
                <w:sz w:val="21"/>
                <w:szCs w:val="21"/>
              </w:rPr>
            </w:pPr>
            <w:r>
              <w:rPr>
                <w:rFonts w:ascii="宋体" w:hAnsi="宋体" w:eastAsia="宋体" w:cs="宋体"/>
                <w:spacing w:val="-2"/>
                <w:sz w:val="21"/>
                <w:szCs w:val="21"/>
              </w:rPr>
              <w:t>砂壳虫</w:t>
            </w:r>
          </w:p>
        </w:tc>
        <w:tc>
          <w:tcPr>
            <w:tcW w:w="3112" w:type="dxa"/>
            <w:vAlign w:val="top"/>
          </w:tcPr>
          <w:p w14:paraId="1F5D987B">
            <w:pPr>
              <w:pStyle w:val="6"/>
              <w:spacing w:before="79" w:line="212" w:lineRule="auto"/>
              <w:ind w:left="129"/>
            </w:pPr>
            <w:r>
              <w:rPr>
                <w:rFonts w:ascii="宋体" w:hAnsi="宋体" w:eastAsia="宋体" w:cs="宋体"/>
              </w:rPr>
              <w:t>尖顶砂壳虫</w:t>
            </w:r>
            <w:r>
              <w:rPr>
                <w:rFonts w:ascii="宋体" w:hAnsi="宋体" w:eastAsia="宋体" w:cs="宋体"/>
                <w:spacing w:val="-56"/>
              </w:rPr>
              <w:t xml:space="preserve"> </w:t>
            </w:r>
            <w:r>
              <w:rPr>
                <w:i/>
                <w:iCs/>
              </w:rPr>
              <w:t>Difflugia  aruminata</w:t>
            </w:r>
          </w:p>
        </w:tc>
        <w:tc>
          <w:tcPr>
            <w:tcW w:w="705" w:type="dxa"/>
            <w:vAlign w:val="top"/>
          </w:tcPr>
          <w:p w14:paraId="4529E01B">
            <w:pPr>
              <w:pStyle w:val="6"/>
              <w:spacing w:before="112" w:line="208" w:lineRule="auto"/>
              <w:ind w:left="291"/>
            </w:pPr>
            <w:r>
              <w:t>+</w:t>
            </w:r>
          </w:p>
        </w:tc>
        <w:tc>
          <w:tcPr>
            <w:tcW w:w="746" w:type="dxa"/>
            <w:vAlign w:val="top"/>
          </w:tcPr>
          <w:p w14:paraId="53F13016">
            <w:pPr>
              <w:pStyle w:val="6"/>
              <w:spacing w:before="112" w:line="208" w:lineRule="auto"/>
              <w:ind w:left="255"/>
            </w:pPr>
            <w:r>
              <w:rPr>
                <w:spacing w:val="-1"/>
              </w:rPr>
              <w:t>++</w:t>
            </w:r>
          </w:p>
        </w:tc>
        <w:tc>
          <w:tcPr>
            <w:tcW w:w="525" w:type="dxa"/>
            <w:vAlign w:val="top"/>
          </w:tcPr>
          <w:p w14:paraId="64943FFE">
            <w:pPr>
              <w:pStyle w:val="6"/>
              <w:spacing w:before="112" w:line="208" w:lineRule="auto"/>
              <w:ind w:left="205"/>
            </w:pPr>
            <w:r>
              <w:t>+</w:t>
            </w:r>
          </w:p>
        </w:tc>
        <w:tc>
          <w:tcPr>
            <w:tcW w:w="562" w:type="dxa"/>
            <w:vAlign w:val="top"/>
          </w:tcPr>
          <w:p w14:paraId="2FB92424">
            <w:pPr>
              <w:pStyle w:val="6"/>
              <w:spacing w:before="112" w:line="208" w:lineRule="auto"/>
              <w:ind w:left="168"/>
            </w:pPr>
            <w:r>
              <w:rPr>
                <w:spacing w:val="-1"/>
              </w:rPr>
              <w:t>++</w:t>
            </w:r>
          </w:p>
        </w:tc>
        <w:tc>
          <w:tcPr>
            <w:tcW w:w="1207" w:type="dxa"/>
            <w:vAlign w:val="top"/>
          </w:tcPr>
          <w:p w14:paraId="1ACD93B8">
            <w:pPr>
              <w:pStyle w:val="6"/>
              <w:spacing w:before="112" w:line="208" w:lineRule="auto"/>
              <w:ind w:left="552"/>
            </w:pPr>
            <w:r>
              <w:t>+</w:t>
            </w:r>
          </w:p>
        </w:tc>
        <w:tc>
          <w:tcPr>
            <w:tcW w:w="912" w:type="dxa"/>
            <w:tcBorders>
              <w:right w:val="single" w:color="000000" w:sz="12" w:space="0"/>
            </w:tcBorders>
            <w:vAlign w:val="top"/>
          </w:tcPr>
          <w:p w14:paraId="082C0416">
            <w:pPr>
              <w:pStyle w:val="6"/>
              <w:spacing w:before="112" w:line="208" w:lineRule="auto"/>
              <w:ind w:left="338"/>
            </w:pPr>
            <w:r>
              <w:rPr>
                <w:spacing w:val="-1"/>
              </w:rPr>
              <w:t>++</w:t>
            </w:r>
          </w:p>
        </w:tc>
      </w:tr>
      <w:tr w14:paraId="104F4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4F1C30F8">
            <w:pPr>
              <w:rPr>
                <w:rFonts w:ascii="Arial"/>
                <w:sz w:val="21"/>
              </w:rPr>
            </w:pPr>
          </w:p>
        </w:tc>
        <w:tc>
          <w:tcPr>
            <w:tcW w:w="3112" w:type="dxa"/>
            <w:vAlign w:val="top"/>
          </w:tcPr>
          <w:p w14:paraId="1123AA64">
            <w:pPr>
              <w:pStyle w:val="6"/>
              <w:spacing w:before="80" w:line="212" w:lineRule="auto"/>
              <w:ind w:left="379"/>
            </w:pPr>
            <w:r>
              <w:rPr>
                <w:rFonts w:ascii="宋体" w:hAnsi="宋体" w:eastAsia="宋体" w:cs="宋体"/>
                <w:spacing w:val="-1"/>
              </w:rPr>
              <w:t>冠砂壳虫</w:t>
            </w:r>
            <w:r>
              <w:rPr>
                <w:rFonts w:ascii="宋体" w:hAnsi="宋体" w:eastAsia="宋体" w:cs="宋体"/>
                <w:spacing w:val="-45"/>
              </w:rPr>
              <w:t xml:space="preserve"> </w:t>
            </w:r>
            <w:r>
              <w:rPr>
                <w:i/>
                <w:iCs/>
                <w:spacing w:val="-1"/>
              </w:rPr>
              <w:t>Difflugia  corona</w:t>
            </w:r>
          </w:p>
        </w:tc>
        <w:tc>
          <w:tcPr>
            <w:tcW w:w="705" w:type="dxa"/>
            <w:vAlign w:val="top"/>
          </w:tcPr>
          <w:p w14:paraId="3BC96013">
            <w:pPr>
              <w:pStyle w:val="6"/>
              <w:spacing w:before="114" w:line="206" w:lineRule="auto"/>
              <w:ind w:left="232"/>
            </w:pPr>
            <w:r>
              <w:rPr>
                <w:spacing w:val="-1"/>
              </w:rPr>
              <w:t>++</w:t>
            </w:r>
          </w:p>
        </w:tc>
        <w:tc>
          <w:tcPr>
            <w:tcW w:w="746" w:type="dxa"/>
            <w:vAlign w:val="top"/>
          </w:tcPr>
          <w:p w14:paraId="7BC25FA6">
            <w:pPr>
              <w:pStyle w:val="6"/>
              <w:spacing w:before="114" w:line="206" w:lineRule="auto"/>
              <w:ind w:left="314"/>
            </w:pPr>
            <w:r>
              <w:t>+</w:t>
            </w:r>
          </w:p>
        </w:tc>
        <w:tc>
          <w:tcPr>
            <w:tcW w:w="525" w:type="dxa"/>
            <w:vAlign w:val="top"/>
          </w:tcPr>
          <w:p w14:paraId="5E150837">
            <w:pPr>
              <w:pStyle w:val="6"/>
              <w:spacing w:before="114" w:line="206" w:lineRule="auto"/>
              <w:ind w:left="205"/>
            </w:pPr>
            <w:r>
              <w:t>+</w:t>
            </w:r>
          </w:p>
        </w:tc>
        <w:tc>
          <w:tcPr>
            <w:tcW w:w="562" w:type="dxa"/>
            <w:vAlign w:val="top"/>
          </w:tcPr>
          <w:p w14:paraId="192D4CDD">
            <w:pPr>
              <w:pStyle w:val="6"/>
              <w:spacing w:before="114" w:line="206" w:lineRule="auto"/>
              <w:ind w:left="226"/>
            </w:pPr>
            <w:r>
              <w:t>+</w:t>
            </w:r>
          </w:p>
        </w:tc>
        <w:tc>
          <w:tcPr>
            <w:tcW w:w="1207" w:type="dxa"/>
            <w:vAlign w:val="top"/>
          </w:tcPr>
          <w:p w14:paraId="0B3C561B">
            <w:pPr>
              <w:rPr>
                <w:rFonts w:ascii="Arial"/>
                <w:sz w:val="21"/>
              </w:rPr>
            </w:pPr>
          </w:p>
        </w:tc>
        <w:tc>
          <w:tcPr>
            <w:tcW w:w="912" w:type="dxa"/>
            <w:tcBorders>
              <w:right w:val="single" w:color="000000" w:sz="12" w:space="0"/>
            </w:tcBorders>
            <w:vAlign w:val="top"/>
          </w:tcPr>
          <w:p w14:paraId="1FA51D60">
            <w:pPr>
              <w:pStyle w:val="6"/>
              <w:spacing w:before="114" w:line="206" w:lineRule="auto"/>
              <w:ind w:left="397"/>
            </w:pPr>
            <w:r>
              <w:t>+</w:t>
            </w:r>
          </w:p>
        </w:tc>
      </w:tr>
      <w:tr w14:paraId="704B4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7419B903">
            <w:pPr>
              <w:rPr>
                <w:rFonts w:ascii="Arial"/>
                <w:sz w:val="21"/>
              </w:rPr>
            </w:pPr>
          </w:p>
        </w:tc>
        <w:tc>
          <w:tcPr>
            <w:tcW w:w="3112" w:type="dxa"/>
            <w:vAlign w:val="top"/>
          </w:tcPr>
          <w:p w14:paraId="25B695FB">
            <w:pPr>
              <w:pStyle w:val="6"/>
              <w:spacing w:before="83" w:line="210" w:lineRule="auto"/>
              <w:ind w:left="206"/>
            </w:pPr>
            <w:r>
              <w:rPr>
                <w:rFonts w:ascii="宋体" w:hAnsi="宋体" w:eastAsia="宋体" w:cs="宋体"/>
                <w:spacing w:val="-1"/>
              </w:rPr>
              <w:t>球形砂壳虫</w:t>
            </w:r>
            <w:r>
              <w:rPr>
                <w:rFonts w:ascii="宋体" w:hAnsi="宋体" w:eastAsia="宋体" w:cs="宋体"/>
                <w:spacing w:val="-39"/>
              </w:rPr>
              <w:t xml:space="preserve"> </w:t>
            </w:r>
            <w:r>
              <w:rPr>
                <w:i/>
                <w:iCs/>
                <w:spacing w:val="-1"/>
              </w:rPr>
              <w:t>Difflugiaglobulosa</w:t>
            </w:r>
          </w:p>
        </w:tc>
        <w:tc>
          <w:tcPr>
            <w:tcW w:w="705" w:type="dxa"/>
            <w:vAlign w:val="top"/>
          </w:tcPr>
          <w:p w14:paraId="41258C42">
            <w:pPr>
              <w:pStyle w:val="6"/>
              <w:spacing w:before="116" w:line="204" w:lineRule="auto"/>
              <w:ind w:left="291"/>
            </w:pPr>
            <w:r>
              <w:t>+</w:t>
            </w:r>
          </w:p>
        </w:tc>
        <w:tc>
          <w:tcPr>
            <w:tcW w:w="746" w:type="dxa"/>
            <w:vAlign w:val="top"/>
          </w:tcPr>
          <w:p w14:paraId="26792560">
            <w:pPr>
              <w:pStyle w:val="6"/>
              <w:spacing w:before="116" w:line="204" w:lineRule="auto"/>
              <w:ind w:left="255"/>
            </w:pPr>
            <w:r>
              <w:rPr>
                <w:spacing w:val="-1"/>
              </w:rPr>
              <w:t>++</w:t>
            </w:r>
          </w:p>
        </w:tc>
        <w:tc>
          <w:tcPr>
            <w:tcW w:w="525" w:type="dxa"/>
            <w:vAlign w:val="top"/>
          </w:tcPr>
          <w:p w14:paraId="5CDCF612">
            <w:pPr>
              <w:rPr>
                <w:rFonts w:ascii="Arial"/>
                <w:sz w:val="21"/>
              </w:rPr>
            </w:pPr>
          </w:p>
        </w:tc>
        <w:tc>
          <w:tcPr>
            <w:tcW w:w="562" w:type="dxa"/>
            <w:vAlign w:val="top"/>
          </w:tcPr>
          <w:p w14:paraId="64925A33">
            <w:pPr>
              <w:pStyle w:val="6"/>
              <w:spacing w:before="116" w:line="204" w:lineRule="auto"/>
              <w:ind w:left="168"/>
            </w:pPr>
            <w:r>
              <w:rPr>
                <w:spacing w:val="-1"/>
              </w:rPr>
              <w:t>++</w:t>
            </w:r>
          </w:p>
        </w:tc>
        <w:tc>
          <w:tcPr>
            <w:tcW w:w="1207" w:type="dxa"/>
            <w:vAlign w:val="top"/>
          </w:tcPr>
          <w:p w14:paraId="5E604069">
            <w:pPr>
              <w:rPr>
                <w:rFonts w:ascii="Arial"/>
                <w:sz w:val="21"/>
              </w:rPr>
            </w:pPr>
          </w:p>
        </w:tc>
        <w:tc>
          <w:tcPr>
            <w:tcW w:w="912" w:type="dxa"/>
            <w:tcBorders>
              <w:right w:val="single" w:color="000000" w:sz="12" w:space="0"/>
            </w:tcBorders>
            <w:vAlign w:val="top"/>
          </w:tcPr>
          <w:p w14:paraId="111BBBE4">
            <w:pPr>
              <w:pStyle w:val="6"/>
              <w:spacing w:before="116" w:line="204" w:lineRule="auto"/>
              <w:ind w:left="397"/>
            </w:pPr>
            <w:r>
              <w:t>+</w:t>
            </w:r>
          </w:p>
        </w:tc>
      </w:tr>
      <w:tr w14:paraId="0D641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6E6A41DC">
            <w:pPr>
              <w:rPr>
                <w:rFonts w:ascii="Arial"/>
                <w:sz w:val="21"/>
              </w:rPr>
            </w:pPr>
          </w:p>
        </w:tc>
        <w:tc>
          <w:tcPr>
            <w:tcW w:w="3112" w:type="dxa"/>
            <w:vAlign w:val="top"/>
          </w:tcPr>
          <w:p w14:paraId="61D48D01">
            <w:pPr>
              <w:pStyle w:val="6"/>
              <w:spacing w:before="84" w:line="209" w:lineRule="auto"/>
              <w:ind w:left="339"/>
            </w:pPr>
            <w:r>
              <w:rPr>
                <w:rFonts w:ascii="宋体" w:hAnsi="宋体" w:eastAsia="宋体" w:cs="宋体"/>
              </w:rPr>
              <w:t>橡子砂壳虫</w:t>
            </w:r>
            <w:r>
              <w:rPr>
                <w:rFonts w:ascii="宋体" w:hAnsi="宋体" w:eastAsia="宋体" w:cs="宋体"/>
                <w:spacing w:val="-56"/>
              </w:rPr>
              <w:t xml:space="preserve"> </w:t>
            </w:r>
            <w:r>
              <w:rPr>
                <w:i/>
                <w:iCs/>
              </w:rPr>
              <w:t>Difflugia</w:t>
            </w:r>
            <w:r>
              <w:rPr>
                <w:i/>
                <w:iCs/>
                <w:spacing w:val="47"/>
                <w:w w:val="101"/>
              </w:rPr>
              <w:t xml:space="preserve"> </w:t>
            </w:r>
            <w:r>
              <w:rPr>
                <w:i/>
                <w:iCs/>
              </w:rPr>
              <w:t>glans</w:t>
            </w:r>
          </w:p>
        </w:tc>
        <w:tc>
          <w:tcPr>
            <w:tcW w:w="705" w:type="dxa"/>
            <w:vAlign w:val="top"/>
          </w:tcPr>
          <w:p w14:paraId="036FC48E">
            <w:pPr>
              <w:pStyle w:val="6"/>
              <w:spacing w:before="117" w:line="203" w:lineRule="auto"/>
              <w:ind w:left="232"/>
            </w:pPr>
            <w:r>
              <w:rPr>
                <w:spacing w:val="-1"/>
              </w:rPr>
              <w:t>++</w:t>
            </w:r>
          </w:p>
        </w:tc>
        <w:tc>
          <w:tcPr>
            <w:tcW w:w="746" w:type="dxa"/>
            <w:vAlign w:val="top"/>
          </w:tcPr>
          <w:p w14:paraId="04BD6C13">
            <w:pPr>
              <w:pStyle w:val="6"/>
              <w:spacing w:before="117" w:line="203" w:lineRule="auto"/>
              <w:ind w:left="314"/>
            </w:pPr>
            <w:r>
              <w:t>+</w:t>
            </w:r>
          </w:p>
        </w:tc>
        <w:tc>
          <w:tcPr>
            <w:tcW w:w="525" w:type="dxa"/>
            <w:vAlign w:val="top"/>
          </w:tcPr>
          <w:p w14:paraId="6D24A5D9">
            <w:pPr>
              <w:pStyle w:val="6"/>
              <w:spacing w:before="117" w:line="203" w:lineRule="auto"/>
              <w:ind w:left="205"/>
            </w:pPr>
            <w:r>
              <w:t>+</w:t>
            </w:r>
          </w:p>
        </w:tc>
        <w:tc>
          <w:tcPr>
            <w:tcW w:w="562" w:type="dxa"/>
            <w:vAlign w:val="top"/>
          </w:tcPr>
          <w:p w14:paraId="28BEAD91">
            <w:pPr>
              <w:pStyle w:val="6"/>
              <w:spacing w:before="117" w:line="203" w:lineRule="auto"/>
              <w:ind w:left="168"/>
            </w:pPr>
            <w:r>
              <w:rPr>
                <w:spacing w:val="-1"/>
              </w:rPr>
              <w:t>++</w:t>
            </w:r>
          </w:p>
        </w:tc>
        <w:tc>
          <w:tcPr>
            <w:tcW w:w="1207" w:type="dxa"/>
            <w:vAlign w:val="top"/>
          </w:tcPr>
          <w:p w14:paraId="68CB4CAB">
            <w:pPr>
              <w:pStyle w:val="6"/>
              <w:spacing w:before="117" w:line="203" w:lineRule="auto"/>
              <w:ind w:left="552"/>
            </w:pPr>
            <w:r>
              <w:t>+</w:t>
            </w:r>
          </w:p>
        </w:tc>
        <w:tc>
          <w:tcPr>
            <w:tcW w:w="912" w:type="dxa"/>
            <w:tcBorders>
              <w:right w:val="single" w:color="000000" w:sz="12" w:space="0"/>
            </w:tcBorders>
            <w:vAlign w:val="top"/>
          </w:tcPr>
          <w:p w14:paraId="3F1C7BB6">
            <w:pPr>
              <w:rPr>
                <w:rFonts w:ascii="Arial"/>
                <w:sz w:val="21"/>
              </w:rPr>
            </w:pPr>
          </w:p>
        </w:tc>
      </w:tr>
      <w:tr w14:paraId="1F011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704" w:type="dxa"/>
            <w:vMerge w:val="continue"/>
            <w:tcBorders>
              <w:top w:val="nil"/>
              <w:left w:val="single" w:color="000000" w:sz="12" w:space="0"/>
              <w:bottom w:val="single" w:color="000000" w:sz="12" w:space="0"/>
            </w:tcBorders>
            <w:vAlign w:val="top"/>
          </w:tcPr>
          <w:p w14:paraId="7D985632">
            <w:pPr>
              <w:rPr>
                <w:rFonts w:ascii="Arial"/>
                <w:sz w:val="21"/>
              </w:rPr>
            </w:pPr>
          </w:p>
        </w:tc>
        <w:tc>
          <w:tcPr>
            <w:tcW w:w="3112" w:type="dxa"/>
            <w:tcBorders>
              <w:bottom w:val="single" w:color="000000" w:sz="12" w:space="0"/>
            </w:tcBorders>
            <w:vAlign w:val="top"/>
          </w:tcPr>
          <w:p w14:paraId="3C5AC589">
            <w:pPr>
              <w:pStyle w:val="6"/>
              <w:spacing w:before="85" w:line="212" w:lineRule="auto"/>
              <w:ind w:left="38"/>
            </w:pPr>
            <w:r>
              <w:rPr>
                <w:rFonts w:ascii="宋体" w:hAnsi="宋体" w:eastAsia="宋体" w:cs="宋体"/>
              </w:rPr>
              <w:t>孔头砂壳虫</w:t>
            </w:r>
            <w:r>
              <w:rPr>
                <w:rFonts w:ascii="宋体" w:hAnsi="宋体" w:eastAsia="宋体" w:cs="宋体"/>
                <w:spacing w:val="-58"/>
              </w:rPr>
              <w:t xml:space="preserve"> </w:t>
            </w:r>
            <w:r>
              <w:rPr>
                <w:i/>
                <w:iCs/>
              </w:rPr>
              <w:t>Difflugia  mammil</w:t>
            </w:r>
            <w:r>
              <w:rPr>
                <w:i/>
                <w:iCs/>
                <w:spacing w:val="-1"/>
              </w:rPr>
              <w:t>laris</w:t>
            </w:r>
          </w:p>
        </w:tc>
        <w:tc>
          <w:tcPr>
            <w:tcW w:w="705" w:type="dxa"/>
            <w:tcBorders>
              <w:bottom w:val="single" w:color="000000" w:sz="12" w:space="0"/>
            </w:tcBorders>
            <w:vAlign w:val="top"/>
          </w:tcPr>
          <w:p w14:paraId="71CBB5AE">
            <w:pPr>
              <w:rPr>
                <w:rFonts w:ascii="Arial"/>
                <w:sz w:val="21"/>
              </w:rPr>
            </w:pPr>
          </w:p>
        </w:tc>
        <w:tc>
          <w:tcPr>
            <w:tcW w:w="746" w:type="dxa"/>
            <w:tcBorders>
              <w:bottom w:val="single" w:color="000000" w:sz="12" w:space="0"/>
            </w:tcBorders>
            <w:vAlign w:val="top"/>
          </w:tcPr>
          <w:p w14:paraId="2FD30B29">
            <w:pPr>
              <w:pStyle w:val="6"/>
              <w:spacing w:before="118" w:line="224" w:lineRule="auto"/>
              <w:ind w:left="314"/>
            </w:pPr>
            <w:r>
              <w:t>+</w:t>
            </w:r>
          </w:p>
        </w:tc>
        <w:tc>
          <w:tcPr>
            <w:tcW w:w="525" w:type="dxa"/>
            <w:tcBorders>
              <w:bottom w:val="single" w:color="000000" w:sz="12" w:space="0"/>
            </w:tcBorders>
            <w:vAlign w:val="top"/>
          </w:tcPr>
          <w:p w14:paraId="117726C5">
            <w:pPr>
              <w:pStyle w:val="6"/>
              <w:spacing w:before="118" w:line="224" w:lineRule="auto"/>
              <w:ind w:left="147"/>
            </w:pPr>
            <w:r>
              <w:rPr>
                <w:spacing w:val="-1"/>
              </w:rPr>
              <w:t>++</w:t>
            </w:r>
          </w:p>
        </w:tc>
        <w:tc>
          <w:tcPr>
            <w:tcW w:w="562" w:type="dxa"/>
            <w:tcBorders>
              <w:bottom w:val="single" w:color="000000" w:sz="12" w:space="0"/>
            </w:tcBorders>
            <w:vAlign w:val="top"/>
          </w:tcPr>
          <w:p w14:paraId="4542A24C">
            <w:pPr>
              <w:pStyle w:val="6"/>
              <w:spacing w:before="118" w:line="224" w:lineRule="auto"/>
              <w:ind w:left="226"/>
            </w:pPr>
            <w:r>
              <w:t>+</w:t>
            </w:r>
          </w:p>
        </w:tc>
        <w:tc>
          <w:tcPr>
            <w:tcW w:w="1207" w:type="dxa"/>
            <w:tcBorders>
              <w:bottom w:val="single" w:color="000000" w:sz="12" w:space="0"/>
            </w:tcBorders>
            <w:vAlign w:val="top"/>
          </w:tcPr>
          <w:p w14:paraId="7C2E0DF0">
            <w:pPr>
              <w:rPr>
                <w:rFonts w:ascii="Arial"/>
                <w:sz w:val="21"/>
              </w:rPr>
            </w:pPr>
          </w:p>
        </w:tc>
        <w:tc>
          <w:tcPr>
            <w:tcW w:w="912" w:type="dxa"/>
            <w:tcBorders>
              <w:bottom w:val="single" w:color="000000" w:sz="12" w:space="0"/>
              <w:right w:val="single" w:color="000000" w:sz="12" w:space="0"/>
            </w:tcBorders>
            <w:vAlign w:val="top"/>
          </w:tcPr>
          <w:p w14:paraId="0842E574">
            <w:pPr>
              <w:pStyle w:val="6"/>
              <w:spacing w:before="118" w:line="224" w:lineRule="auto"/>
              <w:ind w:left="397"/>
            </w:pPr>
            <w:r>
              <w:t>+</w:t>
            </w:r>
          </w:p>
        </w:tc>
      </w:tr>
    </w:tbl>
    <w:p w14:paraId="08A30389">
      <w:pPr>
        <w:rPr>
          <w:rFonts w:ascii="Arial"/>
          <w:sz w:val="21"/>
        </w:rPr>
      </w:pPr>
    </w:p>
    <w:p w14:paraId="09A745DA">
      <w:pPr>
        <w:rPr>
          <w:rFonts w:ascii="Arial" w:hAnsi="Arial" w:eastAsia="Arial" w:cs="Arial"/>
          <w:sz w:val="21"/>
          <w:szCs w:val="21"/>
        </w:rPr>
        <w:sectPr>
          <w:headerReference r:id="rId208" w:type="default"/>
          <w:footerReference r:id="rId209" w:type="default"/>
          <w:pgSz w:w="11907" w:h="16839"/>
          <w:pgMar w:top="1376" w:right="1614" w:bottom="1061" w:left="1671" w:header="999" w:footer="859" w:gutter="0"/>
          <w:cols w:space="720" w:num="1"/>
        </w:sectPr>
      </w:pPr>
    </w:p>
    <w:p w14:paraId="3ED2AD41">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112"/>
        <w:gridCol w:w="705"/>
        <w:gridCol w:w="746"/>
        <w:gridCol w:w="525"/>
        <w:gridCol w:w="562"/>
        <w:gridCol w:w="1207"/>
        <w:gridCol w:w="912"/>
      </w:tblGrid>
      <w:tr w14:paraId="34BA5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3816" w:type="dxa"/>
            <w:gridSpan w:val="2"/>
            <w:vMerge w:val="restart"/>
            <w:tcBorders>
              <w:top w:val="single" w:color="000000" w:sz="12" w:space="0"/>
              <w:left w:val="single" w:color="000000" w:sz="12" w:space="0"/>
              <w:bottom w:val="nil"/>
            </w:tcBorders>
            <w:vAlign w:val="top"/>
          </w:tcPr>
          <w:p w14:paraId="4415A7E4">
            <w:pPr>
              <w:spacing w:line="403" w:lineRule="auto"/>
              <w:rPr>
                <w:rFonts w:ascii="Arial"/>
                <w:sz w:val="21"/>
              </w:rPr>
            </w:pPr>
          </w:p>
          <w:p w14:paraId="3B4370B1">
            <w:pPr>
              <w:spacing w:before="68" w:line="220" w:lineRule="auto"/>
              <w:ind w:left="1689"/>
              <w:rPr>
                <w:rFonts w:ascii="宋体" w:hAnsi="宋体" w:eastAsia="宋体" w:cs="宋体"/>
                <w:sz w:val="21"/>
                <w:szCs w:val="21"/>
              </w:rPr>
            </w:pPr>
            <w:r>
              <w:rPr>
                <w:rFonts w:ascii="宋体" w:hAnsi="宋体" w:eastAsia="宋体" w:cs="宋体"/>
                <w:spacing w:val="-3"/>
                <w:sz w:val="21"/>
                <w:szCs w:val="21"/>
              </w:rPr>
              <w:t>种类</w:t>
            </w:r>
          </w:p>
        </w:tc>
        <w:tc>
          <w:tcPr>
            <w:tcW w:w="4657" w:type="dxa"/>
            <w:gridSpan w:val="6"/>
            <w:tcBorders>
              <w:top w:val="single" w:color="000000" w:sz="12" w:space="0"/>
              <w:right w:val="single" w:color="000000" w:sz="12" w:space="0"/>
            </w:tcBorders>
            <w:vAlign w:val="top"/>
          </w:tcPr>
          <w:p w14:paraId="3E3AF606">
            <w:pPr>
              <w:spacing w:before="45" w:line="209" w:lineRule="auto"/>
              <w:ind w:left="1910"/>
              <w:rPr>
                <w:rFonts w:ascii="宋体" w:hAnsi="宋体" w:eastAsia="宋体" w:cs="宋体"/>
                <w:sz w:val="21"/>
                <w:szCs w:val="21"/>
              </w:rPr>
            </w:pPr>
            <w:r>
              <w:rPr>
                <w:rFonts w:ascii="宋体" w:hAnsi="宋体" w:eastAsia="宋体" w:cs="宋体"/>
                <w:spacing w:val="-2"/>
                <w:sz w:val="21"/>
                <w:szCs w:val="21"/>
              </w:rPr>
              <w:t>相对数量</w:t>
            </w:r>
          </w:p>
        </w:tc>
      </w:tr>
      <w:tr w14:paraId="7D952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816" w:type="dxa"/>
            <w:gridSpan w:val="2"/>
            <w:vMerge w:val="continue"/>
            <w:tcBorders>
              <w:top w:val="nil"/>
              <w:left w:val="single" w:color="000000" w:sz="12" w:space="0"/>
            </w:tcBorders>
            <w:vAlign w:val="top"/>
          </w:tcPr>
          <w:p w14:paraId="71887FFF">
            <w:pPr>
              <w:rPr>
                <w:rFonts w:ascii="Arial"/>
                <w:sz w:val="21"/>
              </w:rPr>
            </w:pPr>
          </w:p>
        </w:tc>
        <w:tc>
          <w:tcPr>
            <w:tcW w:w="705" w:type="dxa"/>
            <w:vAlign w:val="top"/>
          </w:tcPr>
          <w:p w14:paraId="15A6B7A7">
            <w:pPr>
              <w:spacing w:before="193" w:line="242" w:lineRule="auto"/>
              <w:ind w:left="144" w:right="33" w:hanging="98"/>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746" w:type="dxa"/>
            <w:vAlign w:val="top"/>
          </w:tcPr>
          <w:p w14:paraId="27E6562D">
            <w:pPr>
              <w:spacing w:before="193" w:line="242" w:lineRule="auto"/>
              <w:ind w:left="168" w:right="50" w:hanging="103"/>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525" w:type="dxa"/>
            <w:vAlign w:val="top"/>
          </w:tcPr>
          <w:p w14:paraId="3990ED02">
            <w:pPr>
              <w:spacing w:before="57" w:line="222" w:lineRule="auto"/>
              <w:ind w:left="90"/>
              <w:rPr>
                <w:rFonts w:ascii="宋体" w:hAnsi="宋体" w:eastAsia="宋体" w:cs="宋体"/>
                <w:sz w:val="21"/>
                <w:szCs w:val="21"/>
              </w:rPr>
            </w:pPr>
            <w:r>
              <w:rPr>
                <w:rFonts w:ascii="宋体" w:hAnsi="宋体" w:eastAsia="宋体" w:cs="宋体"/>
                <w:spacing w:val="-10"/>
                <w:sz w:val="21"/>
                <w:szCs w:val="21"/>
              </w:rPr>
              <w:t>白塔</w:t>
            </w:r>
          </w:p>
          <w:p w14:paraId="049CE069">
            <w:pPr>
              <w:spacing w:before="19" w:line="236" w:lineRule="auto"/>
              <w:ind w:left="164" w:right="42"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562" w:type="dxa"/>
            <w:vAlign w:val="top"/>
          </w:tcPr>
          <w:p w14:paraId="0BA462AF">
            <w:pPr>
              <w:spacing w:before="57" w:line="222" w:lineRule="auto"/>
              <w:ind w:left="110"/>
              <w:rPr>
                <w:rFonts w:ascii="宋体" w:hAnsi="宋体" w:eastAsia="宋体" w:cs="宋体"/>
                <w:sz w:val="21"/>
                <w:szCs w:val="21"/>
              </w:rPr>
            </w:pPr>
            <w:r>
              <w:rPr>
                <w:rFonts w:ascii="宋体" w:hAnsi="宋体" w:eastAsia="宋体" w:cs="宋体"/>
                <w:spacing w:val="-10"/>
                <w:sz w:val="21"/>
                <w:szCs w:val="21"/>
              </w:rPr>
              <w:t>白塔</w:t>
            </w:r>
          </w:p>
          <w:p w14:paraId="40BEE6D9">
            <w:pPr>
              <w:spacing w:before="19" w:line="236" w:lineRule="auto"/>
              <w:ind w:left="188" w:right="60"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207" w:type="dxa"/>
            <w:vAlign w:val="top"/>
          </w:tcPr>
          <w:p w14:paraId="384B4FBC">
            <w:pPr>
              <w:spacing w:before="57" w:line="219" w:lineRule="auto"/>
              <w:ind w:left="97"/>
              <w:rPr>
                <w:rFonts w:ascii="宋体" w:hAnsi="宋体" w:eastAsia="宋体" w:cs="宋体"/>
                <w:sz w:val="21"/>
                <w:szCs w:val="21"/>
              </w:rPr>
            </w:pPr>
            <w:r>
              <w:rPr>
                <w:rFonts w:ascii="宋体" w:hAnsi="宋体" w:eastAsia="宋体" w:cs="宋体"/>
                <w:spacing w:val="-3"/>
                <w:sz w:val="21"/>
                <w:szCs w:val="21"/>
              </w:rPr>
              <w:t>马龙河干流</w:t>
            </w:r>
          </w:p>
          <w:p w14:paraId="4B52CB02">
            <w:pPr>
              <w:pStyle w:val="6"/>
              <w:spacing w:before="23" w:line="234" w:lineRule="auto"/>
              <w:ind w:left="91"/>
            </w:pPr>
            <w:r>
              <w:rPr>
                <w:rFonts w:ascii="宋体" w:hAnsi="宋体" w:eastAsia="宋体" w:cs="宋体"/>
                <w:spacing w:val="-3"/>
              </w:rPr>
              <w:t>离坝址</w:t>
            </w:r>
            <w:r>
              <w:rPr>
                <w:rFonts w:ascii="宋体" w:hAnsi="宋体" w:eastAsia="宋体" w:cs="宋体"/>
                <w:spacing w:val="-45"/>
              </w:rPr>
              <w:t xml:space="preserve"> </w:t>
            </w:r>
            <w:r>
              <w:rPr>
                <w:spacing w:val="-3"/>
              </w:rPr>
              <w:t>2km</w:t>
            </w:r>
          </w:p>
          <w:p w14:paraId="537E3225">
            <w:pPr>
              <w:spacing w:before="6" w:line="224" w:lineRule="auto"/>
              <w:ind w:left="515"/>
              <w:rPr>
                <w:rFonts w:ascii="宋体" w:hAnsi="宋体" w:eastAsia="宋体" w:cs="宋体"/>
                <w:sz w:val="21"/>
                <w:szCs w:val="21"/>
              </w:rPr>
            </w:pPr>
            <w:r>
              <w:rPr>
                <w:rFonts w:ascii="宋体" w:hAnsi="宋体" w:eastAsia="宋体" w:cs="宋体"/>
                <w:sz w:val="21"/>
                <w:szCs w:val="21"/>
              </w:rPr>
              <w:t>处</w:t>
            </w:r>
          </w:p>
        </w:tc>
        <w:tc>
          <w:tcPr>
            <w:tcW w:w="912" w:type="dxa"/>
            <w:tcBorders>
              <w:right w:val="single" w:color="000000" w:sz="12" w:space="0"/>
            </w:tcBorders>
            <w:vAlign w:val="top"/>
          </w:tcPr>
          <w:p w14:paraId="75ED2B99">
            <w:pPr>
              <w:spacing w:before="57" w:line="219" w:lineRule="auto"/>
              <w:ind w:left="47"/>
              <w:rPr>
                <w:rFonts w:ascii="宋体" w:hAnsi="宋体" w:eastAsia="宋体" w:cs="宋体"/>
                <w:sz w:val="21"/>
                <w:szCs w:val="21"/>
              </w:rPr>
            </w:pPr>
            <w:r>
              <w:rPr>
                <w:rFonts w:ascii="宋体" w:hAnsi="宋体" w:eastAsia="宋体" w:cs="宋体"/>
                <w:spacing w:val="-3"/>
                <w:sz w:val="21"/>
                <w:szCs w:val="21"/>
              </w:rPr>
              <w:t>马龙河干</w:t>
            </w:r>
          </w:p>
          <w:p w14:paraId="0EAD40E2">
            <w:pPr>
              <w:spacing w:before="23" w:line="220" w:lineRule="auto"/>
              <w:ind w:left="41"/>
              <w:rPr>
                <w:rFonts w:ascii="宋体" w:hAnsi="宋体" w:eastAsia="宋体" w:cs="宋体"/>
                <w:sz w:val="21"/>
                <w:szCs w:val="21"/>
              </w:rPr>
            </w:pPr>
            <w:r>
              <w:rPr>
                <w:rFonts w:ascii="宋体" w:hAnsi="宋体" w:eastAsia="宋体" w:cs="宋体"/>
                <w:spacing w:val="-2"/>
                <w:sz w:val="21"/>
                <w:szCs w:val="21"/>
              </w:rPr>
              <w:t>流离坝址</w:t>
            </w:r>
          </w:p>
          <w:p w14:paraId="66532377">
            <w:pPr>
              <w:pStyle w:val="6"/>
              <w:spacing w:before="22" w:line="231" w:lineRule="auto"/>
              <w:ind w:left="14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4EF42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tcBorders>
              <w:left w:val="single" w:color="000000" w:sz="12" w:space="0"/>
            </w:tcBorders>
            <w:vAlign w:val="top"/>
          </w:tcPr>
          <w:p w14:paraId="77DE868E">
            <w:pPr>
              <w:spacing w:before="181" w:line="219" w:lineRule="auto"/>
              <w:ind w:left="31"/>
              <w:rPr>
                <w:rFonts w:ascii="宋体" w:hAnsi="宋体" w:eastAsia="宋体" w:cs="宋体"/>
                <w:sz w:val="21"/>
                <w:szCs w:val="21"/>
              </w:rPr>
            </w:pPr>
            <w:r>
              <w:rPr>
                <w:rFonts w:ascii="宋体" w:hAnsi="宋体" w:eastAsia="宋体" w:cs="宋体"/>
                <w:spacing w:val="-4"/>
                <w:sz w:val="21"/>
                <w:szCs w:val="21"/>
              </w:rPr>
              <w:t>葫芦虫</w:t>
            </w:r>
          </w:p>
        </w:tc>
        <w:tc>
          <w:tcPr>
            <w:tcW w:w="3112" w:type="dxa"/>
            <w:vAlign w:val="top"/>
          </w:tcPr>
          <w:p w14:paraId="6AE390A6">
            <w:pPr>
              <w:spacing w:before="59" w:line="219" w:lineRule="auto"/>
              <w:ind w:left="1132"/>
              <w:rPr>
                <w:rFonts w:ascii="宋体" w:hAnsi="宋体" w:eastAsia="宋体" w:cs="宋体"/>
                <w:sz w:val="21"/>
                <w:szCs w:val="21"/>
              </w:rPr>
            </w:pPr>
            <w:r>
              <w:rPr>
                <w:rFonts w:ascii="宋体" w:hAnsi="宋体" w:eastAsia="宋体" w:cs="宋体"/>
                <w:spacing w:val="-2"/>
                <w:sz w:val="21"/>
                <w:szCs w:val="21"/>
              </w:rPr>
              <w:t>杂葫芦虫</w:t>
            </w:r>
          </w:p>
          <w:p w14:paraId="6356A2C3">
            <w:pPr>
              <w:pStyle w:val="6"/>
              <w:spacing w:before="41" w:line="190" w:lineRule="auto"/>
              <w:ind w:left="402"/>
            </w:pPr>
            <w:r>
              <w:rPr>
                <w:i/>
                <w:iCs/>
                <w:spacing w:val="-1"/>
              </w:rPr>
              <w:t>Cucurbitella  mespiliformis</w:t>
            </w:r>
          </w:p>
        </w:tc>
        <w:tc>
          <w:tcPr>
            <w:tcW w:w="705" w:type="dxa"/>
            <w:vAlign w:val="top"/>
          </w:tcPr>
          <w:p w14:paraId="400E906B">
            <w:pPr>
              <w:pStyle w:val="6"/>
              <w:spacing w:before="213" w:line="251" w:lineRule="exact"/>
              <w:ind w:left="232"/>
            </w:pPr>
            <w:r>
              <w:rPr>
                <w:spacing w:val="-1"/>
                <w:position w:val="1"/>
              </w:rPr>
              <w:t>++</w:t>
            </w:r>
          </w:p>
        </w:tc>
        <w:tc>
          <w:tcPr>
            <w:tcW w:w="746" w:type="dxa"/>
            <w:vAlign w:val="top"/>
          </w:tcPr>
          <w:p w14:paraId="528E2CDF">
            <w:pPr>
              <w:pStyle w:val="6"/>
              <w:spacing w:before="213" w:line="251" w:lineRule="exact"/>
              <w:ind w:left="314"/>
            </w:pPr>
            <w:r>
              <w:rPr>
                <w:position w:val="1"/>
              </w:rPr>
              <w:t>+</w:t>
            </w:r>
          </w:p>
        </w:tc>
        <w:tc>
          <w:tcPr>
            <w:tcW w:w="525" w:type="dxa"/>
            <w:vAlign w:val="top"/>
          </w:tcPr>
          <w:p w14:paraId="0DC13B80">
            <w:pPr>
              <w:pStyle w:val="6"/>
              <w:spacing w:before="213" w:line="251" w:lineRule="exact"/>
              <w:ind w:left="147"/>
            </w:pPr>
            <w:r>
              <w:rPr>
                <w:spacing w:val="-1"/>
                <w:position w:val="1"/>
              </w:rPr>
              <w:t>++</w:t>
            </w:r>
          </w:p>
        </w:tc>
        <w:tc>
          <w:tcPr>
            <w:tcW w:w="562" w:type="dxa"/>
            <w:vAlign w:val="top"/>
          </w:tcPr>
          <w:p w14:paraId="69742CFE">
            <w:pPr>
              <w:rPr>
                <w:rFonts w:ascii="Arial"/>
                <w:sz w:val="21"/>
              </w:rPr>
            </w:pPr>
          </w:p>
        </w:tc>
        <w:tc>
          <w:tcPr>
            <w:tcW w:w="1207" w:type="dxa"/>
            <w:vAlign w:val="top"/>
          </w:tcPr>
          <w:p w14:paraId="30378E5D">
            <w:pPr>
              <w:pStyle w:val="6"/>
              <w:spacing w:before="213" w:line="251" w:lineRule="exact"/>
              <w:ind w:left="552"/>
            </w:pPr>
            <w:r>
              <w:rPr>
                <w:position w:val="1"/>
              </w:rPr>
              <w:t>+</w:t>
            </w:r>
          </w:p>
        </w:tc>
        <w:tc>
          <w:tcPr>
            <w:tcW w:w="912" w:type="dxa"/>
            <w:tcBorders>
              <w:right w:val="single" w:color="000000" w:sz="12" w:space="0"/>
            </w:tcBorders>
            <w:vAlign w:val="top"/>
          </w:tcPr>
          <w:p w14:paraId="5E9544D8">
            <w:pPr>
              <w:pStyle w:val="6"/>
              <w:spacing w:before="213" w:line="251" w:lineRule="exact"/>
              <w:ind w:left="397"/>
            </w:pPr>
            <w:r>
              <w:rPr>
                <w:position w:val="1"/>
              </w:rPr>
              <w:t>+</w:t>
            </w:r>
          </w:p>
        </w:tc>
      </w:tr>
      <w:tr w14:paraId="60251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vMerge w:val="restart"/>
            <w:tcBorders>
              <w:left w:val="single" w:color="000000" w:sz="12" w:space="0"/>
              <w:bottom w:val="nil"/>
            </w:tcBorders>
            <w:vAlign w:val="top"/>
          </w:tcPr>
          <w:p w14:paraId="0A90258A">
            <w:pPr>
              <w:spacing w:before="232" w:line="220" w:lineRule="auto"/>
              <w:ind w:left="22"/>
              <w:rPr>
                <w:rFonts w:ascii="宋体" w:hAnsi="宋体" w:eastAsia="宋体" w:cs="宋体"/>
                <w:sz w:val="21"/>
                <w:szCs w:val="21"/>
              </w:rPr>
            </w:pPr>
            <w:r>
              <w:rPr>
                <w:rFonts w:ascii="宋体" w:hAnsi="宋体" w:eastAsia="宋体" w:cs="宋体"/>
                <w:spacing w:val="-2"/>
                <w:sz w:val="21"/>
                <w:szCs w:val="21"/>
              </w:rPr>
              <w:t>鳞壳虫</w:t>
            </w:r>
          </w:p>
        </w:tc>
        <w:tc>
          <w:tcPr>
            <w:tcW w:w="3112" w:type="dxa"/>
            <w:vAlign w:val="top"/>
          </w:tcPr>
          <w:p w14:paraId="308BFC4D">
            <w:pPr>
              <w:pStyle w:val="6"/>
              <w:spacing w:before="61" w:line="212" w:lineRule="auto"/>
              <w:ind w:left="32"/>
            </w:pPr>
            <w:r>
              <w:rPr>
                <w:rFonts w:ascii="宋体" w:hAnsi="宋体" w:eastAsia="宋体" w:cs="宋体"/>
              </w:rPr>
              <w:t>有棘鳞壳虫</w:t>
            </w:r>
            <w:r>
              <w:rPr>
                <w:rFonts w:ascii="宋体" w:hAnsi="宋体" w:eastAsia="宋体" w:cs="宋体"/>
                <w:spacing w:val="-56"/>
              </w:rPr>
              <w:t xml:space="preserve"> </w:t>
            </w:r>
            <w:r>
              <w:rPr>
                <w:i/>
                <w:iCs/>
              </w:rPr>
              <w:t>Eughpha  acant</w:t>
            </w:r>
            <w:r>
              <w:rPr>
                <w:i/>
                <w:iCs/>
                <w:spacing w:val="-1"/>
              </w:rPr>
              <w:t>hohora</w:t>
            </w:r>
          </w:p>
        </w:tc>
        <w:tc>
          <w:tcPr>
            <w:tcW w:w="705" w:type="dxa"/>
            <w:vAlign w:val="top"/>
          </w:tcPr>
          <w:p w14:paraId="3F02580D">
            <w:pPr>
              <w:rPr>
                <w:rFonts w:ascii="Arial"/>
                <w:sz w:val="21"/>
              </w:rPr>
            </w:pPr>
          </w:p>
        </w:tc>
        <w:tc>
          <w:tcPr>
            <w:tcW w:w="746" w:type="dxa"/>
            <w:vAlign w:val="top"/>
          </w:tcPr>
          <w:p w14:paraId="398D9E48">
            <w:pPr>
              <w:pStyle w:val="6"/>
              <w:spacing w:before="95" w:line="227" w:lineRule="auto"/>
              <w:ind w:left="314"/>
            </w:pPr>
            <w:r>
              <w:t>+</w:t>
            </w:r>
          </w:p>
        </w:tc>
        <w:tc>
          <w:tcPr>
            <w:tcW w:w="525" w:type="dxa"/>
            <w:vAlign w:val="top"/>
          </w:tcPr>
          <w:p w14:paraId="7B4BFBC7">
            <w:pPr>
              <w:pStyle w:val="6"/>
              <w:spacing w:before="95" w:line="227" w:lineRule="auto"/>
              <w:ind w:left="205"/>
            </w:pPr>
            <w:r>
              <w:t>+</w:t>
            </w:r>
          </w:p>
        </w:tc>
        <w:tc>
          <w:tcPr>
            <w:tcW w:w="562" w:type="dxa"/>
            <w:vAlign w:val="top"/>
          </w:tcPr>
          <w:p w14:paraId="3075CF73">
            <w:pPr>
              <w:pStyle w:val="6"/>
              <w:spacing w:before="95" w:line="227" w:lineRule="auto"/>
              <w:ind w:left="226"/>
            </w:pPr>
            <w:r>
              <w:t>+</w:t>
            </w:r>
          </w:p>
        </w:tc>
        <w:tc>
          <w:tcPr>
            <w:tcW w:w="1207" w:type="dxa"/>
            <w:vAlign w:val="top"/>
          </w:tcPr>
          <w:p w14:paraId="1FFD8CD4">
            <w:pPr>
              <w:pStyle w:val="6"/>
              <w:spacing w:before="95" w:line="227" w:lineRule="auto"/>
              <w:ind w:left="552"/>
            </w:pPr>
            <w:r>
              <w:t>+</w:t>
            </w:r>
          </w:p>
        </w:tc>
        <w:tc>
          <w:tcPr>
            <w:tcW w:w="912" w:type="dxa"/>
            <w:tcBorders>
              <w:right w:val="single" w:color="000000" w:sz="12" w:space="0"/>
            </w:tcBorders>
            <w:vAlign w:val="top"/>
          </w:tcPr>
          <w:p w14:paraId="76D419CC">
            <w:pPr>
              <w:pStyle w:val="6"/>
              <w:spacing w:before="95" w:line="227" w:lineRule="auto"/>
              <w:ind w:left="397"/>
            </w:pPr>
            <w:r>
              <w:t>+</w:t>
            </w:r>
          </w:p>
        </w:tc>
      </w:tr>
      <w:tr w14:paraId="01C43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2F3A8745">
            <w:pPr>
              <w:rPr>
                <w:rFonts w:ascii="Arial"/>
                <w:sz w:val="21"/>
              </w:rPr>
            </w:pPr>
          </w:p>
        </w:tc>
        <w:tc>
          <w:tcPr>
            <w:tcW w:w="3112" w:type="dxa"/>
            <w:vAlign w:val="top"/>
          </w:tcPr>
          <w:p w14:paraId="0AAD5576">
            <w:pPr>
              <w:pStyle w:val="6"/>
              <w:spacing w:before="61" w:line="212" w:lineRule="auto"/>
              <w:ind w:left="236"/>
            </w:pPr>
            <w:r>
              <w:rPr>
                <w:rFonts w:ascii="宋体" w:hAnsi="宋体" w:eastAsia="宋体" w:cs="宋体"/>
                <w:spacing w:val="-1"/>
              </w:rPr>
              <w:t>长园鳞壳虫</w:t>
            </w:r>
            <w:r>
              <w:rPr>
                <w:rFonts w:ascii="宋体" w:hAnsi="宋体" w:eastAsia="宋体" w:cs="宋体"/>
                <w:spacing w:val="-42"/>
              </w:rPr>
              <w:t xml:space="preserve"> </w:t>
            </w:r>
            <w:r>
              <w:rPr>
                <w:i/>
                <w:iCs/>
                <w:spacing w:val="-1"/>
              </w:rPr>
              <w:t>Eugbpha  rotunda</w:t>
            </w:r>
          </w:p>
        </w:tc>
        <w:tc>
          <w:tcPr>
            <w:tcW w:w="705" w:type="dxa"/>
            <w:vAlign w:val="top"/>
          </w:tcPr>
          <w:p w14:paraId="7926BC5C">
            <w:pPr>
              <w:pStyle w:val="6"/>
              <w:spacing w:before="94" w:line="226" w:lineRule="auto"/>
              <w:ind w:left="291"/>
            </w:pPr>
            <w:r>
              <w:t>+</w:t>
            </w:r>
          </w:p>
        </w:tc>
        <w:tc>
          <w:tcPr>
            <w:tcW w:w="746" w:type="dxa"/>
            <w:vAlign w:val="top"/>
          </w:tcPr>
          <w:p w14:paraId="31E35CCE">
            <w:pPr>
              <w:pStyle w:val="6"/>
              <w:spacing w:before="94" w:line="226" w:lineRule="auto"/>
              <w:ind w:left="255"/>
            </w:pPr>
            <w:r>
              <w:rPr>
                <w:spacing w:val="-1"/>
              </w:rPr>
              <w:t>++</w:t>
            </w:r>
          </w:p>
        </w:tc>
        <w:tc>
          <w:tcPr>
            <w:tcW w:w="525" w:type="dxa"/>
            <w:vAlign w:val="top"/>
          </w:tcPr>
          <w:p w14:paraId="45DF8D46">
            <w:pPr>
              <w:pStyle w:val="6"/>
              <w:spacing w:before="94" w:line="226" w:lineRule="auto"/>
              <w:ind w:left="205"/>
            </w:pPr>
            <w:r>
              <w:t>+</w:t>
            </w:r>
          </w:p>
        </w:tc>
        <w:tc>
          <w:tcPr>
            <w:tcW w:w="562" w:type="dxa"/>
            <w:vAlign w:val="top"/>
          </w:tcPr>
          <w:p w14:paraId="7362DA1F">
            <w:pPr>
              <w:pStyle w:val="6"/>
              <w:spacing w:before="94" w:line="226" w:lineRule="auto"/>
              <w:ind w:left="226"/>
            </w:pPr>
            <w:r>
              <w:t>+</w:t>
            </w:r>
          </w:p>
        </w:tc>
        <w:tc>
          <w:tcPr>
            <w:tcW w:w="1207" w:type="dxa"/>
            <w:vAlign w:val="top"/>
          </w:tcPr>
          <w:p w14:paraId="6CA33DC4">
            <w:pPr>
              <w:rPr>
                <w:rFonts w:ascii="Arial"/>
                <w:sz w:val="21"/>
              </w:rPr>
            </w:pPr>
          </w:p>
        </w:tc>
        <w:tc>
          <w:tcPr>
            <w:tcW w:w="912" w:type="dxa"/>
            <w:tcBorders>
              <w:right w:val="single" w:color="000000" w:sz="12" w:space="0"/>
            </w:tcBorders>
            <w:vAlign w:val="top"/>
          </w:tcPr>
          <w:p w14:paraId="0AABB3C9">
            <w:pPr>
              <w:pStyle w:val="6"/>
              <w:spacing w:before="94" w:line="226" w:lineRule="auto"/>
              <w:ind w:left="397"/>
            </w:pPr>
            <w:r>
              <w:t>+</w:t>
            </w:r>
          </w:p>
        </w:tc>
      </w:tr>
      <w:tr w14:paraId="1D926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tcBorders>
              <w:left w:val="single" w:color="000000" w:sz="12" w:space="0"/>
            </w:tcBorders>
            <w:vAlign w:val="top"/>
          </w:tcPr>
          <w:p w14:paraId="062C4EF4">
            <w:pPr>
              <w:spacing w:before="63" w:line="220" w:lineRule="auto"/>
              <w:ind w:left="48"/>
              <w:rPr>
                <w:rFonts w:ascii="宋体" w:hAnsi="宋体" w:eastAsia="宋体" w:cs="宋体"/>
                <w:sz w:val="21"/>
                <w:szCs w:val="21"/>
              </w:rPr>
            </w:pPr>
            <w:r>
              <w:rPr>
                <w:rFonts w:ascii="宋体" w:hAnsi="宋体" w:eastAsia="宋体" w:cs="宋体"/>
                <w:spacing w:val="-8"/>
                <w:sz w:val="21"/>
                <w:szCs w:val="21"/>
              </w:rPr>
              <w:t>曲颈虫</w:t>
            </w:r>
          </w:p>
        </w:tc>
        <w:tc>
          <w:tcPr>
            <w:tcW w:w="3112" w:type="dxa"/>
            <w:vAlign w:val="top"/>
          </w:tcPr>
          <w:p w14:paraId="066C840E">
            <w:pPr>
              <w:pStyle w:val="6"/>
              <w:spacing w:before="63" w:line="212" w:lineRule="auto"/>
              <w:ind w:left="106"/>
            </w:pPr>
            <w:r>
              <w:rPr>
                <w:rFonts w:ascii="宋体" w:hAnsi="宋体" w:eastAsia="宋体" w:cs="宋体"/>
                <w:spacing w:val="-1"/>
              </w:rPr>
              <w:t>坛状曲颈虫</w:t>
            </w:r>
            <w:r>
              <w:rPr>
                <w:rFonts w:ascii="宋体" w:hAnsi="宋体" w:eastAsia="宋体" w:cs="宋体"/>
                <w:spacing w:val="-35"/>
              </w:rPr>
              <w:t xml:space="preserve"> </w:t>
            </w:r>
            <w:r>
              <w:rPr>
                <w:i/>
                <w:iCs/>
                <w:spacing w:val="-1"/>
              </w:rPr>
              <w:t>Cyphoderia  ampulla</w:t>
            </w:r>
          </w:p>
        </w:tc>
        <w:tc>
          <w:tcPr>
            <w:tcW w:w="705" w:type="dxa"/>
            <w:vAlign w:val="top"/>
          </w:tcPr>
          <w:p w14:paraId="4CD3B2B6">
            <w:pPr>
              <w:rPr>
                <w:rFonts w:ascii="Arial"/>
                <w:sz w:val="21"/>
              </w:rPr>
            </w:pPr>
          </w:p>
        </w:tc>
        <w:tc>
          <w:tcPr>
            <w:tcW w:w="746" w:type="dxa"/>
            <w:vAlign w:val="top"/>
          </w:tcPr>
          <w:p w14:paraId="6D19A120">
            <w:pPr>
              <w:pStyle w:val="6"/>
              <w:spacing w:before="95" w:line="226" w:lineRule="auto"/>
              <w:ind w:left="314"/>
            </w:pPr>
            <w:r>
              <w:t>+</w:t>
            </w:r>
          </w:p>
        </w:tc>
        <w:tc>
          <w:tcPr>
            <w:tcW w:w="525" w:type="dxa"/>
            <w:vAlign w:val="top"/>
          </w:tcPr>
          <w:p w14:paraId="20BC3922">
            <w:pPr>
              <w:pStyle w:val="6"/>
              <w:spacing w:before="95" w:line="226" w:lineRule="auto"/>
              <w:ind w:left="147"/>
            </w:pPr>
            <w:r>
              <w:rPr>
                <w:spacing w:val="-1"/>
              </w:rPr>
              <w:t>++</w:t>
            </w:r>
          </w:p>
        </w:tc>
        <w:tc>
          <w:tcPr>
            <w:tcW w:w="562" w:type="dxa"/>
            <w:vAlign w:val="top"/>
          </w:tcPr>
          <w:p w14:paraId="7DBE6F60">
            <w:pPr>
              <w:pStyle w:val="6"/>
              <w:spacing w:before="95" w:line="226" w:lineRule="auto"/>
              <w:ind w:left="226"/>
            </w:pPr>
            <w:r>
              <w:t>+</w:t>
            </w:r>
          </w:p>
        </w:tc>
        <w:tc>
          <w:tcPr>
            <w:tcW w:w="1207" w:type="dxa"/>
            <w:vAlign w:val="top"/>
          </w:tcPr>
          <w:p w14:paraId="1F73DE23">
            <w:pPr>
              <w:pStyle w:val="6"/>
              <w:spacing w:before="95" w:line="226" w:lineRule="auto"/>
              <w:ind w:left="552"/>
            </w:pPr>
            <w:r>
              <w:t>+</w:t>
            </w:r>
          </w:p>
        </w:tc>
        <w:tc>
          <w:tcPr>
            <w:tcW w:w="912" w:type="dxa"/>
            <w:tcBorders>
              <w:right w:val="single" w:color="000000" w:sz="12" w:space="0"/>
            </w:tcBorders>
            <w:vAlign w:val="top"/>
          </w:tcPr>
          <w:p w14:paraId="4420E7EE">
            <w:pPr>
              <w:pStyle w:val="6"/>
              <w:spacing w:before="95" w:line="226" w:lineRule="auto"/>
              <w:ind w:left="397"/>
            </w:pPr>
            <w:r>
              <w:t>+</w:t>
            </w:r>
          </w:p>
        </w:tc>
      </w:tr>
      <w:tr w14:paraId="4D516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258C4674">
            <w:pPr>
              <w:spacing w:before="63" w:line="220" w:lineRule="auto"/>
              <w:ind w:left="23"/>
              <w:rPr>
                <w:rFonts w:ascii="宋体" w:hAnsi="宋体" w:eastAsia="宋体" w:cs="宋体"/>
                <w:sz w:val="21"/>
                <w:szCs w:val="21"/>
              </w:rPr>
            </w:pPr>
            <w:r>
              <w:rPr>
                <w:rFonts w:ascii="宋体" w:hAnsi="宋体" w:eastAsia="宋体" w:cs="宋体"/>
                <w:spacing w:val="-2"/>
                <w:sz w:val="21"/>
                <w:szCs w:val="21"/>
              </w:rPr>
              <w:t>太阳虫</w:t>
            </w:r>
          </w:p>
        </w:tc>
        <w:tc>
          <w:tcPr>
            <w:tcW w:w="3112" w:type="dxa"/>
            <w:vAlign w:val="top"/>
          </w:tcPr>
          <w:p w14:paraId="7C4EAE65">
            <w:pPr>
              <w:pStyle w:val="6"/>
              <w:spacing w:before="63" w:line="212" w:lineRule="auto"/>
              <w:ind w:left="317"/>
            </w:pPr>
            <w:r>
              <w:rPr>
                <w:rFonts w:ascii="宋体" w:hAnsi="宋体" w:eastAsia="宋体" w:cs="宋体"/>
                <w:spacing w:val="1"/>
              </w:rPr>
              <w:t>放射太阳虫</w:t>
            </w:r>
            <w:r>
              <w:rPr>
                <w:rFonts w:ascii="宋体" w:hAnsi="宋体" w:eastAsia="宋体" w:cs="宋体"/>
                <w:spacing w:val="-62"/>
              </w:rPr>
              <w:t xml:space="preserve"> </w:t>
            </w:r>
            <w:r>
              <w:rPr>
                <w:i/>
                <w:iCs/>
              </w:rPr>
              <w:t>Actinophrys</w:t>
            </w:r>
            <w:r>
              <w:rPr>
                <w:i/>
                <w:iCs/>
                <w:spacing w:val="51"/>
              </w:rPr>
              <w:t xml:space="preserve"> </w:t>
            </w:r>
            <w:r>
              <w:rPr>
                <w:i/>
                <w:iCs/>
              </w:rPr>
              <w:t>sol</w:t>
            </w:r>
          </w:p>
        </w:tc>
        <w:tc>
          <w:tcPr>
            <w:tcW w:w="705" w:type="dxa"/>
            <w:vAlign w:val="top"/>
          </w:tcPr>
          <w:p w14:paraId="2FDBB1EF">
            <w:pPr>
              <w:pStyle w:val="6"/>
              <w:spacing w:before="96" w:line="224" w:lineRule="auto"/>
              <w:ind w:left="232"/>
            </w:pPr>
            <w:r>
              <w:rPr>
                <w:spacing w:val="-1"/>
              </w:rPr>
              <w:t>++</w:t>
            </w:r>
          </w:p>
        </w:tc>
        <w:tc>
          <w:tcPr>
            <w:tcW w:w="746" w:type="dxa"/>
            <w:vAlign w:val="top"/>
          </w:tcPr>
          <w:p w14:paraId="2A4A42C1">
            <w:pPr>
              <w:pStyle w:val="6"/>
              <w:spacing w:before="96" w:line="224" w:lineRule="auto"/>
              <w:ind w:left="314"/>
            </w:pPr>
            <w:r>
              <w:t>+</w:t>
            </w:r>
          </w:p>
        </w:tc>
        <w:tc>
          <w:tcPr>
            <w:tcW w:w="525" w:type="dxa"/>
            <w:vAlign w:val="top"/>
          </w:tcPr>
          <w:p w14:paraId="78540B6E">
            <w:pPr>
              <w:pStyle w:val="6"/>
              <w:spacing w:before="96" w:line="224" w:lineRule="auto"/>
              <w:ind w:left="205"/>
            </w:pPr>
            <w:r>
              <w:t>+</w:t>
            </w:r>
          </w:p>
        </w:tc>
        <w:tc>
          <w:tcPr>
            <w:tcW w:w="562" w:type="dxa"/>
            <w:vAlign w:val="top"/>
          </w:tcPr>
          <w:p w14:paraId="3C1D4974">
            <w:pPr>
              <w:pStyle w:val="6"/>
              <w:spacing w:before="96" w:line="224" w:lineRule="auto"/>
              <w:ind w:left="226"/>
            </w:pPr>
            <w:r>
              <w:t>+</w:t>
            </w:r>
          </w:p>
        </w:tc>
        <w:tc>
          <w:tcPr>
            <w:tcW w:w="1207" w:type="dxa"/>
            <w:vAlign w:val="top"/>
          </w:tcPr>
          <w:p w14:paraId="25C8B327">
            <w:pPr>
              <w:rPr>
                <w:rFonts w:ascii="Arial"/>
                <w:sz w:val="21"/>
              </w:rPr>
            </w:pPr>
          </w:p>
        </w:tc>
        <w:tc>
          <w:tcPr>
            <w:tcW w:w="912" w:type="dxa"/>
            <w:tcBorders>
              <w:right w:val="single" w:color="000000" w:sz="12" w:space="0"/>
            </w:tcBorders>
            <w:vAlign w:val="top"/>
          </w:tcPr>
          <w:p w14:paraId="5F7BA95F">
            <w:pPr>
              <w:pStyle w:val="6"/>
              <w:spacing w:before="96" w:line="224" w:lineRule="auto"/>
              <w:ind w:left="397"/>
            </w:pPr>
            <w:r>
              <w:t>+</w:t>
            </w:r>
          </w:p>
        </w:tc>
      </w:tr>
      <w:tr w14:paraId="1AE9E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5DFF2761">
            <w:pPr>
              <w:spacing w:before="235" w:line="219" w:lineRule="auto"/>
              <w:ind w:left="24"/>
              <w:rPr>
                <w:rFonts w:ascii="宋体" w:hAnsi="宋体" w:eastAsia="宋体" w:cs="宋体"/>
                <w:sz w:val="21"/>
                <w:szCs w:val="21"/>
              </w:rPr>
            </w:pPr>
            <w:r>
              <w:rPr>
                <w:rFonts w:ascii="宋体" w:hAnsi="宋体" w:eastAsia="宋体" w:cs="宋体"/>
                <w:spacing w:val="-3"/>
                <w:sz w:val="21"/>
                <w:szCs w:val="21"/>
              </w:rPr>
              <w:t>板壳虫</w:t>
            </w:r>
          </w:p>
        </w:tc>
        <w:tc>
          <w:tcPr>
            <w:tcW w:w="3112" w:type="dxa"/>
            <w:vAlign w:val="top"/>
          </w:tcPr>
          <w:p w14:paraId="4F7483CF">
            <w:pPr>
              <w:pStyle w:val="6"/>
              <w:spacing w:before="64" w:line="213" w:lineRule="auto"/>
              <w:ind w:left="210"/>
            </w:pPr>
            <w:r>
              <w:rPr>
                <w:rFonts w:ascii="宋体" w:hAnsi="宋体" w:eastAsia="宋体" w:cs="宋体"/>
                <w:spacing w:val="-1"/>
              </w:rPr>
              <w:t>八刺板売虫</w:t>
            </w:r>
            <w:r>
              <w:rPr>
                <w:rFonts w:ascii="宋体" w:hAnsi="宋体" w:eastAsia="宋体" w:cs="宋体"/>
                <w:spacing w:val="-38"/>
              </w:rPr>
              <w:t xml:space="preserve"> </w:t>
            </w:r>
            <w:r>
              <w:rPr>
                <w:i/>
                <w:iCs/>
                <w:spacing w:val="-1"/>
              </w:rPr>
              <w:t>Coleps  octosp</w:t>
            </w:r>
            <w:r>
              <w:rPr>
                <w:i/>
                <w:iCs/>
                <w:spacing w:val="-2"/>
              </w:rPr>
              <w:t>inus</w:t>
            </w:r>
          </w:p>
        </w:tc>
        <w:tc>
          <w:tcPr>
            <w:tcW w:w="705" w:type="dxa"/>
            <w:vAlign w:val="top"/>
          </w:tcPr>
          <w:p w14:paraId="2D2035F1">
            <w:pPr>
              <w:rPr>
                <w:rFonts w:ascii="Arial"/>
                <w:sz w:val="21"/>
              </w:rPr>
            </w:pPr>
          </w:p>
        </w:tc>
        <w:tc>
          <w:tcPr>
            <w:tcW w:w="746" w:type="dxa"/>
            <w:vAlign w:val="top"/>
          </w:tcPr>
          <w:p w14:paraId="3FE8923F">
            <w:pPr>
              <w:pStyle w:val="6"/>
              <w:spacing w:before="98" w:line="223" w:lineRule="auto"/>
              <w:ind w:left="255"/>
            </w:pPr>
            <w:r>
              <w:rPr>
                <w:spacing w:val="-1"/>
              </w:rPr>
              <w:t>++</w:t>
            </w:r>
          </w:p>
        </w:tc>
        <w:tc>
          <w:tcPr>
            <w:tcW w:w="525" w:type="dxa"/>
            <w:vAlign w:val="top"/>
          </w:tcPr>
          <w:p w14:paraId="40575866">
            <w:pPr>
              <w:pStyle w:val="6"/>
              <w:spacing w:before="98" w:line="223" w:lineRule="auto"/>
              <w:ind w:left="205"/>
            </w:pPr>
            <w:r>
              <w:t>+</w:t>
            </w:r>
          </w:p>
        </w:tc>
        <w:tc>
          <w:tcPr>
            <w:tcW w:w="562" w:type="dxa"/>
            <w:vAlign w:val="top"/>
          </w:tcPr>
          <w:p w14:paraId="2A269D56">
            <w:pPr>
              <w:pStyle w:val="6"/>
              <w:spacing w:before="98" w:line="223" w:lineRule="auto"/>
              <w:ind w:left="226"/>
            </w:pPr>
            <w:r>
              <w:t>+</w:t>
            </w:r>
          </w:p>
        </w:tc>
        <w:tc>
          <w:tcPr>
            <w:tcW w:w="1207" w:type="dxa"/>
            <w:vAlign w:val="top"/>
          </w:tcPr>
          <w:p w14:paraId="5C04A747">
            <w:pPr>
              <w:pStyle w:val="6"/>
              <w:spacing w:before="98" w:line="223" w:lineRule="auto"/>
              <w:ind w:left="552"/>
            </w:pPr>
            <w:r>
              <w:t>+</w:t>
            </w:r>
          </w:p>
        </w:tc>
        <w:tc>
          <w:tcPr>
            <w:tcW w:w="912" w:type="dxa"/>
            <w:tcBorders>
              <w:right w:val="single" w:color="000000" w:sz="12" w:space="0"/>
            </w:tcBorders>
            <w:vAlign w:val="top"/>
          </w:tcPr>
          <w:p w14:paraId="7B5641B3">
            <w:pPr>
              <w:pStyle w:val="6"/>
              <w:spacing w:before="98" w:line="223" w:lineRule="auto"/>
              <w:ind w:left="397"/>
            </w:pPr>
            <w:r>
              <w:t>+</w:t>
            </w:r>
          </w:p>
        </w:tc>
      </w:tr>
      <w:tr w14:paraId="07E06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2BE69C4D">
            <w:pPr>
              <w:rPr>
                <w:rFonts w:ascii="Arial"/>
                <w:sz w:val="21"/>
              </w:rPr>
            </w:pPr>
          </w:p>
        </w:tc>
        <w:tc>
          <w:tcPr>
            <w:tcW w:w="3112" w:type="dxa"/>
            <w:vAlign w:val="top"/>
          </w:tcPr>
          <w:p w14:paraId="719A48E7">
            <w:pPr>
              <w:pStyle w:val="6"/>
              <w:spacing w:before="64" w:line="213" w:lineRule="auto"/>
              <w:ind w:left="516"/>
            </w:pPr>
            <w:r>
              <w:rPr>
                <w:rFonts w:ascii="宋体" w:hAnsi="宋体" w:eastAsia="宋体" w:cs="宋体"/>
                <w:spacing w:val="-2"/>
              </w:rPr>
              <w:t>毛板壳虫</w:t>
            </w:r>
            <w:r>
              <w:rPr>
                <w:rFonts w:ascii="宋体" w:hAnsi="宋体" w:eastAsia="宋体" w:cs="宋体"/>
                <w:spacing w:val="-25"/>
              </w:rPr>
              <w:t xml:space="preserve"> </w:t>
            </w:r>
            <w:r>
              <w:rPr>
                <w:i/>
                <w:iCs/>
                <w:spacing w:val="-2"/>
              </w:rPr>
              <w:t>Coleps  hirtus</w:t>
            </w:r>
          </w:p>
        </w:tc>
        <w:tc>
          <w:tcPr>
            <w:tcW w:w="705" w:type="dxa"/>
            <w:vAlign w:val="top"/>
          </w:tcPr>
          <w:p w14:paraId="0C84CA05">
            <w:pPr>
              <w:pStyle w:val="6"/>
              <w:spacing w:before="98" w:line="222" w:lineRule="auto"/>
              <w:ind w:left="232"/>
            </w:pPr>
            <w:r>
              <w:rPr>
                <w:spacing w:val="-2"/>
              </w:rPr>
              <w:t>++</w:t>
            </w:r>
          </w:p>
        </w:tc>
        <w:tc>
          <w:tcPr>
            <w:tcW w:w="746" w:type="dxa"/>
            <w:vAlign w:val="top"/>
          </w:tcPr>
          <w:p w14:paraId="746B550A">
            <w:pPr>
              <w:pStyle w:val="6"/>
              <w:spacing w:before="98" w:line="222" w:lineRule="auto"/>
              <w:ind w:left="314"/>
            </w:pPr>
            <w:r>
              <w:t>+</w:t>
            </w:r>
          </w:p>
        </w:tc>
        <w:tc>
          <w:tcPr>
            <w:tcW w:w="525" w:type="dxa"/>
            <w:vAlign w:val="top"/>
          </w:tcPr>
          <w:p w14:paraId="6580ACF2">
            <w:pPr>
              <w:pStyle w:val="6"/>
              <w:spacing w:before="98" w:line="222" w:lineRule="auto"/>
              <w:ind w:left="205"/>
            </w:pPr>
            <w:r>
              <w:t>+</w:t>
            </w:r>
          </w:p>
        </w:tc>
        <w:tc>
          <w:tcPr>
            <w:tcW w:w="562" w:type="dxa"/>
            <w:vAlign w:val="top"/>
          </w:tcPr>
          <w:p w14:paraId="78ED7C56">
            <w:pPr>
              <w:rPr>
                <w:rFonts w:ascii="Arial"/>
                <w:sz w:val="21"/>
              </w:rPr>
            </w:pPr>
          </w:p>
        </w:tc>
        <w:tc>
          <w:tcPr>
            <w:tcW w:w="1207" w:type="dxa"/>
            <w:vAlign w:val="top"/>
          </w:tcPr>
          <w:p w14:paraId="4A11DC17">
            <w:pPr>
              <w:pStyle w:val="6"/>
              <w:spacing w:before="98" w:line="222" w:lineRule="auto"/>
              <w:ind w:left="552"/>
            </w:pPr>
            <w:r>
              <w:t>+</w:t>
            </w:r>
          </w:p>
        </w:tc>
        <w:tc>
          <w:tcPr>
            <w:tcW w:w="912" w:type="dxa"/>
            <w:tcBorders>
              <w:right w:val="single" w:color="000000" w:sz="12" w:space="0"/>
            </w:tcBorders>
            <w:vAlign w:val="top"/>
          </w:tcPr>
          <w:p w14:paraId="4BA86C83">
            <w:pPr>
              <w:rPr>
                <w:rFonts w:ascii="Arial"/>
                <w:sz w:val="21"/>
              </w:rPr>
            </w:pPr>
          </w:p>
        </w:tc>
      </w:tr>
      <w:tr w14:paraId="50671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7C7ABCA2">
            <w:pPr>
              <w:spacing w:before="66" w:line="220" w:lineRule="auto"/>
              <w:ind w:left="23"/>
              <w:rPr>
                <w:rFonts w:ascii="宋体" w:hAnsi="宋体" w:eastAsia="宋体" w:cs="宋体"/>
                <w:sz w:val="21"/>
                <w:szCs w:val="21"/>
              </w:rPr>
            </w:pPr>
            <w:r>
              <w:rPr>
                <w:rFonts w:ascii="宋体" w:hAnsi="宋体" w:eastAsia="宋体" w:cs="宋体"/>
                <w:spacing w:val="-2"/>
                <w:sz w:val="21"/>
                <w:szCs w:val="21"/>
              </w:rPr>
              <w:t>裸口虫</w:t>
            </w:r>
          </w:p>
        </w:tc>
        <w:tc>
          <w:tcPr>
            <w:tcW w:w="3112" w:type="dxa"/>
            <w:vAlign w:val="top"/>
          </w:tcPr>
          <w:p w14:paraId="1224A8D2">
            <w:pPr>
              <w:pStyle w:val="6"/>
              <w:spacing w:before="66" w:line="212" w:lineRule="auto"/>
              <w:ind w:left="286"/>
            </w:pPr>
            <w:r>
              <w:rPr>
                <w:rFonts w:ascii="宋体" w:hAnsi="宋体" w:eastAsia="宋体" w:cs="宋体"/>
                <w:spacing w:val="-1"/>
              </w:rPr>
              <w:t>简裸口虫</w:t>
            </w:r>
            <w:r>
              <w:rPr>
                <w:rFonts w:ascii="宋体" w:hAnsi="宋体" w:eastAsia="宋体" w:cs="宋体"/>
                <w:spacing w:val="-46"/>
              </w:rPr>
              <w:t xml:space="preserve"> </w:t>
            </w:r>
            <w:r>
              <w:rPr>
                <w:i/>
                <w:iCs/>
                <w:spacing w:val="-1"/>
              </w:rPr>
              <w:t>Holophrya</w:t>
            </w:r>
            <w:r>
              <w:rPr>
                <w:i/>
                <w:iCs/>
                <w:spacing w:val="51"/>
              </w:rPr>
              <w:t xml:space="preserve"> </w:t>
            </w:r>
            <w:r>
              <w:rPr>
                <w:i/>
                <w:iCs/>
                <w:spacing w:val="-1"/>
              </w:rPr>
              <w:t>simples</w:t>
            </w:r>
          </w:p>
        </w:tc>
        <w:tc>
          <w:tcPr>
            <w:tcW w:w="705" w:type="dxa"/>
            <w:vAlign w:val="top"/>
          </w:tcPr>
          <w:p w14:paraId="319DCA1E">
            <w:pPr>
              <w:pStyle w:val="6"/>
              <w:spacing w:before="99" w:line="221" w:lineRule="auto"/>
              <w:ind w:left="291"/>
            </w:pPr>
            <w:r>
              <w:t>+</w:t>
            </w:r>
          </w:p>
        </w:tc>
        <w:tc>
          <w:tcPr>
            <w:tcW w:w="746" w:type="dxa"/>
            <w:vAlign w:val="top"/>
          </w:tcPr>
          <w:p w14:paraId="2CE5A12F">
            <w:pPr>
              <w:pStyle w:val="6"/>
              <w:spacing w:before="99" w:line="221" w:lineRule="auto"/>
              <w:ind w:left="255"/>
            </w:pPr>
            <w:r>
              <w:rPr>
                <w:spacing w:val="-1"/>
              </w:rPr>
              <w:t>++</w:t>
            </w:r>
          </w:p>
        </w:tc>
        <w:tc>
          <w:tcPr>
            <w:tcW w:w="525" w:type="dxa"/>
            <w:vAlign w:val="top"/>
          </w:tcPr>
          <w:p w14:paraId="64EE5C8D">
            <w:pPr>
              <w:rPr>
                <w:rFonts w:ascii="Arial"/>
                <w:sz w:val="21"/>
              </w:rPr>
            </w:pPr>
          </w:p>
        </w:tc>
        <w:tc>
          <w:tcPr>
            <w:tcW w:w="562" w:type="dxa"/>
            <w:vAlign w:val="top"/>
          </w:tcPr>
          <w:p w14:paraId="15A5C4CF">
            <w:pPr>
              <w:pStyle w:val="6"/>
              <w:spacing w:before="99" w:line="221" w:lineRule="auto"/>
              <w:ind w:left="226"/>
            </w:pPr>
            <w:r>
              <w:t>+</w:t>
            </w:r>
          </w:p>
        </w:tc>
        <w:tc>
          <w:tcPr>
            <w:tcW w:w="1207" w:type="dxa"/>
            <w:vAlign w:val="top"/>
          </w:tcPr>
          <w:p w14:paraId="47E2D1AE">
            <w:pPr>
              <w:pStyle w:val="6"/>
              <w:spacing w:before="99" w:line="221" w:lineRule="auto"/>
              <w:ind w:left="552"/>
            </w:pPr>
            <w:r>
              <w:t>+</w:t>
            </w:r>
          </w:p>
        </w:tc>
        <w:tc>
          <w:tcPr>
            <w:tcW w:w="912" w:type="dxa"/>
            <w:tcBorders>
              <w:right w:val="single" w:color="000000" w:sz="12" w:space="0"/>
            </w:tcBorders>
            <w:vAlign w:val="top"/>
          </w:tcPr>
          <w:p w14:paraId="68159A9B">
            <w:pPr>
              <w:pStyle w:val="6"/>
              <w:spacing w:before="99" w:line="221" w:lineRule="auto"/>
              <w:ind w:left="397"/>
            </w:pPr>
            <w:r>
              <w:t>+</w:t>
            </w:r>
          </w:p>
        </w:tc>
      </w:tr>
      <w:tr w14:paraId="382C3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restart"/>
            <w:tcBorders>
              <w:left w:val="single" w:color="000000" w:sz="12" w:space="0"/>
              <w:bottom w:val="nil"/>
            </w:tcBorders>
            <w:vAlign w:val="top"/>
          </w:tcPr>
          <w:p w14:paraId="15D27228">
            <w:pPr>
              <w:spacing w:line="290" w:lineRule="auto"/>
              <w:rPr>
                <w:rFonts w:ascii="Arial"/>
                <w:sz w:val="21"/>
              </w:rPr>
            </w:pPr>
          </w:p>
          <w:p w14:paraId="586956CC">
            <w:pPr>
              <w:spacing w:before="68" w:line="220" w:lineRule="auto"/>
              <w:ind w:left="27"/>
              <w:rPr>
                <w:rFonts w:ascii="宋体" w:hAnsi="宋体" w:eastAsia="宋体" w:cs="宋体"/>
                <w:sz w:val="21"/>
                <w:szCs w:val="21"/>
              </w:rPr>
            </w:pPr>
            <w:r>
              <w:rPr>
                <w:rFonts w:ascii="宋体" w:hAnsi="宋体" w:eastAsia="宋体" w:cs="宋体"/>
                <w:spacing w:val="-3"/>
                <w:sz w:val="21"/>
                <w:szCs w:val="21"/>
              </w:rPr>
              <w:t>半眉虫</w:t>
            </w:r>
          </w:p>
        </w:tc>
        <w:tc>
          <w:tcPr>
            <w:tcW w:w="3112" w:type="dxa"/>
            <w:vAlign w:val="top"/>
          </w:tcPr>
          <w:p w14:paraId="22CFC6A6">
            <w:pPr>
              <w:spacing w:before="67" w:line="211" w:lineRule="auto"/>
              <w:ind w:left="1062"/>
              <w:rPr>
                <w:rFonts w:ascii="宋体" w:hAnsi="宋体" w:eastAsia="宋体" w:cs="宋体"/>
                <w:sz w:val="22"/>
                <w:szCs w:val="22"/>
              </w:rPr>
            </w:pPr>
            <w:r>
              <w:rPr>
                <w:rFonts w:ascii="宋体" w:hAnsi="宋体" w:eastAsia="宋体" w:cs="宋体"/>
                <w:i/>
                <w:iCs/>
                <w:spacing w:val="-13"/>
                <w:sz w:val="22"/>
                <w:szCs w:val="22"/>
              </w:rPr>
              <w:t>肋状半眉虫</w:t>
            </w:r>
          </w:p>
          <w:p w14:paraId="243B0697">
            <w:pPr>
              <w:pStyle w:val="6"/>
              <w:spacing w:before="38" w:line="190" w:lineRule="auto"/>
              <w:ind w:left="480"/>
            </w:pPr>
            <w:r>
              <w:rPr>
                <w:i/>
                <w:iCs/>
              </w:rPr>
              <w:t>hemiophrys</w:t>
            </w:r>
            <w:r>
              <w:rPr>
                <w:i/>
                <w:iCs/>
                <w:spacing w:val="48"/>
              </w:rPr>
              <w:t xml:space="preserve"> </w:t>
            </w:r>
            <w:r>
              <w:rPr>
                <w:i/>
                <w:iCs/>
              </w:rPr>
              <w:t>pleurosigma</w:t>
            </w:r>
          </w:p>
        </w:tc>
        <w:tc>
          <w:tcPr>
            <w:tcW w:w="705" w:type="dxa"/>
            <w:vAlign w:val="top"/>
          </w:tcPr>
          <w:p w14:paraId="694FE3C7">
            <w:pPr>
              <w:pStyle w:val="6"/>
              <w:spacing w:before="222" w:line="250" w:lineRule="exact"/>
              <w:ind w:left="291"/>
            </w:pPr>
            <w:r>
              <w:rPr>
                <w:position w:val="1"/>
              </w:rPr>
              <w:t>+</w:t>
            </w:r>
          </w:p>
        </w:tc>
        <w:tc>
          <w:tcPr>
            <w:tcW w:w="746" w:type="dxa"/>
            <w:vAlign w:val="top"/>
          </w:tcPr>
          <w:p w14:paraId="2C07417F">
            <w:pPr>
              <w:pStyle w:val="6"/>
              <w:spacing w:before="222" w:line="250" w:lineRule="exact"/>
              <w:ind w:left="314"/>
            </w:pPr>
            <w:r>
              <w:rPr>
                <w:position w:val="1"/>
              </w:rPr>
              <w:t>+</w:t>
            </w:r>
          </w:p>
        </w:tc>
        <w:tc>
          <w:tcPr>
            <w:tcW w:w="525" w:type="dxa"/>
            <w:vAlign w:val="top"/>
          </w:tcPr>
          <w:p w14:paraId="6401E312">
            <w:pPr>
              <w:pStyle w:val="6"/>
              <w:spacing w:before="222" w:line="250" w:lineRule="exact"/>
              <w:ind w:left="147"/>
            </w:pPr>
            <w:r>
              <w:rPr>
                <w:spacing w:val="-1"/>
                <w:position w:val="1"/>
              </w:rPr>
              <w:t>++</w:t>
            </w:r>
          </w:p>
        </w:tc>
        <w:tc>
          <w:tcPr>
            <w:tcW w:w="562" w:type="dxa"/>
            <w:vAlign w:val="top"/>
          </w:tcPr>
          <w:p w14:paraId="0945276A">
            <w:pPr>
              <w:pStyle w:val="6"/>
              <w:spacing w:before="222" w:line="250" w:lineRule="exact"/>
              <w:ind w:left="226"/>
            </w:pPr>
            <w:r>
              <w:rPr>
                <w:position w:val="1"/>
              </w:rPr>
              <w:t>+</w:t>
            </w:r>
          </w:p>
        </w:tc>
        <w:tc>
          <w:tcPr>
            <w:tcW w:w="1207" w:type="dxa"/>
            <w:vAlign w:val="top"/>
          </w:tcPr>
          <w:p w14:paraId="232E9A78">
            <w:pPr>
              <w:rPr>
                <w:rFonts w:ascii="Arial"/>
                <w:sz w:val="21"/>
              </w:rPr>
            </w:pPr>
          </w:p>
        </w:tc>
        <w:tc>
          <w:tcPr>
            <w:tcW w:w="912" w:type="dxa"/>
            <w:tcBorders>
              <w:right w:val="single" w:color="000000" w:sz="12" w:space="0"/>
            </w:tcBorders>
            <w:vAlign w:val="top"/>
          </w:tcPr>
          <w:p w14:paraId="79C83ED1">
            <w:pPr>
              <w:pStyle w:val="6"/>
              <w:spacing w:before="222" w:line="250" w:lineRule="exact"/>
              <w:ind w:left="338"/>
            </w:pPr>
            <w:r>
              <w:rPr>
                <w:spacing w:val="-1"/>
                <w:position w:val="1"/>
              </w:rPr>
              <w:t>++</w:t>
            </w:r>
          </w:p>
        </w:tc>
      </w:tr>
      <w:tr w14:paraId="15A61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2A06E4DD">
            <w:pPr>
              <w:rPr>
                <w:rFonts w:ascii="Arial"/>
                <w:sz w:val="21"/>
              </w:rPr>
            </w:pPr>
          </w:p>
        </w:tc>
        <w:tc>
          <w:tcPr>
            <w:tcW w:w="3112" w:type="dxa"/>
            <w:vAlign w:val="top"/>
          </w:tcPr>
          <w:p w14:paraId="4EC9F1C7">
            <w:pPr>
              <w:pStyle w:val="6"/>
              <w:spacing w:before="67" w:line="212" w:lineRule="auto"/>
              <w:ind w:left="18"/>
            </w:pPr>
            <w:r>
              <w:rPr>
                <w:rFonts w:ascii="宋体" w:hAnsi="宋体" w:eastAsia="宋体" w:cs="宋体"/>
              </w:rPr>
              <w:t>猎状半眉虫</w:t>
            </w:r>
            <w:r>
              <w:rPr>
                <w:rFonts w:ascii="宋体" w:hAnsi="宋体" w:eastAsia="宋体" w:cs="宋体"/>
                <w:spacing w:val="-57"/>
              </w:rPr>
              <w:t xml:space="preserve"> </w:t>
            </w:r>
            <w:r>
              <w:rPr>
                <w:i/>
                <w:iCs/>
              </w:rPr>
              <w:t>Hemiophrys  melea</w:t>
            </w:r>
            <w:r>
              <w:rPr>
                <w:i/>
                <w:iCs/>
                <w:spacing w:val="-1"/>
              </w:rPr>
              <w:t>gris</w:t>
            </w:r>
          </w:p>
        </w:tc>
        <w:tc>
          <w:tcPr>
            <w:tcW w:w="705" w:type="dxa"/>
            <w:vAlign w:val="top"/>
          </w:tcPr>
          <w:p w14:paraId="78DCDBB4">
            <w:pPr>
              <w:pStyle w:val="6"/>
              <w:spacing w:before="101" w:line="219" w:lineRule="auto"/>
              <w:ind w:left="232"/>
            </w:pPr>
            <w:r>
              <w:rPr>
                <w:spacing w:val="-1"/>
              </w:rPr>
              <w:t>++</w:t>
            </w:r>
          </w:p>
        </w:tc>
        <w:tc>
          <w:tcPr>
            <w:tcW w:w="746" w:type="dxa"/>
            <w:vAlign w:val="top"/>
          </w:tcPr>
          <w:p w14:paraId="5952BA0D">
            <w:pPr>
              <w:pStyle w:val="6"/>
              <w:spacing w:before="101" w:line="219" w:lineRule="auto"/>
              <w:ind w:left="314"/>
            </w:pPr>
            <w:r>
              <w:t>+</w:t>
            </w:r>
          </w:p>
        </w:tc>
        <w:tc>
          <w:tcPr>
            <w:tcW w:w="525" w:type="dxa"/>
            <w:vAlign w:val="top"/>
          </w:tcPr>
          <w:p w14:paraId="52B430A0">
            <w:pPr>
              <w:pStyle w:val="6"/>
              <w:spacing w:before="101" w:line="219" w:lineRule="auto"/>
              <w:ind w:left="205"/>
            </w:pPr>
            <w:r>
              <w:t>+</w:t>
            </w:r>
          </w:p>
        </w:tc>
        <w:tc>
          <w:tcPr>
            <w:tcW w:w="562" w:type="dxa"/>
            <w:vAlign w:val="top"/>
          </w:tcPr>
          <w:p w14:paraId="5655F958">
            <w:pPr>
              <w:rPr>
                <w:rFonts w:ascii="Arial"/>
                <w:sz w:val="21"/>
              </w:rPr>
            </w:pPr>
          </w:p>
        </w:tc>
        <w:tc>
          <w:tcPr>
            <w:tcW w:w="1207" w:type="dxa"/>
            <w:vAlign w:val="top"/>
          </w:tcPr>
          <w:p w14:paraId="4AC9CDC2">
            <w:pPr>
              <w:pStyle w:val="6"/>
              <w:spacing w:before="101" w:line="219" w:lineRule="auto"/>
              <w:ind w:left="552"/>
            </w:pPr>
            <w:r>
              <w:t>+</w:t>
            </w:r>
          </w:p>
        </w:tc>
        <w:tc>
          <w:tcPr>
            <w:tcW w:w="912" w:type="dxa"/>
            <w:tcBorders>
              <w:right w:val="single" w:color="000000" w:sz="12" w:space="0"/>
            </w:tcBorders>
            <w:vAlign w:val="top"/>
          </w:tcPr>
          <w:p w14:paraId="1EFAF0FA">
            <w:pPr>
              <w:pStyle w:val="6"/>
              <w:spacing w:before="101" w:line="219" w:lineRule="auto"/>
              <w:ind w:left="397"/>
            </w:pPr>
            <w:r>
              <w:t>+</w:t>
            </w:r>
          </w:p>
        </w:tc>
      </w:tr>
      <w:tr w14:paraId="4EF65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tcBorders>
              <w:left w:val="single" w:color="000000" w:sz="12" w:space="0"/>
            </w:tcBorders>
            <w:vAlign w:val="top"/>
          </w:tcPr>
          <w:p w14:paraId="1D4BD0F3">
            <w:pPr>
              <w:spacing w:before="69" w:line="220" w:lineRule="auto"/>
              <w:ind w:left="25"/>
              <w:rPr>
                <w:rFonts w:ascii="宋体" w:hAnsi="宋体" w:eastAsia="宋体" w:cs="宋体"/>
                <w:sz w:val="21"/>
                <w:szCs w:val="21"/>
              </w:rPr>
            </w:pPr>
            <w:r>
              <w:rPr>
                <w:rFonts w:ascii="宋体" w:hAnsi="宋体" w:eastAsia="宋体" w:cs="宋体"/>
                <w:spacing w:val="-3"/>
                <w:sz w:val="21"/>
                <w:szCs w:val="21"/>
              </w:rPr>
              <w:t>草履虫</w:t>
            </w:r>
          </w:p>
        </w:tc>
        <w:tc>
          <w:tcPr>
            <w:tcW w:w="3112" w:type="dxa"/>
            <w:vAlign w:val="top"/>
          </w:tcPr>
          <w:p w14:paraId="39A0D55B">
            <w:pPr>
              <w:pStyle w:val="6"/>
              <w:spacing w:before="70" w:line="222" w:lineRule="auto"/>
              <w:ind w:left="102"/>
            </w:pPr>
            <w:r>
              <w:rPr>
                <w:rFonts w:ascii="宋体" w:hAnsi="宋体" w:eastAsia="宋体" w:cs="宋体"/>
              </w:rPr>
              <w:t>尾草履虫</w:t>
            </w:r>
            <w:r>
              <w:rPr>
                <w:rFonts w:ascii="宋体" w:hAnsi="宋体" w:eastAsia="宋体" w:cs="宋体"/>
                <w:spacing w:val="-57"/>
              </w:rPr>
              <w:t xml:space="preserve"> </w:t>
            </w:r>
            <w:r>
              <w:rPr>
                <w:i/>
                <w:iCs/>
              </w:rPr>
              <w:t>Paramecium  cauda</w:t>
            </w:r>
            <w:r>
              <w:rPr>
                <w:i/>
                <w:iCs/>
                <w:spacing w:val="-1"/>
              </w:rPr>
              <w:t>tum</w:t>
            </w:r>
          </w:p>
        </w:tc>
        <w:tc>
          <w:tcPr>
            <w:tcW w:w="705" w:type="dxa"/>
            <w:vAlign w:val="top"/>
          </w:tcPr>
          <w:p w14:paraId="161805FA">
            <w:pPr>
              <w:rPr>
                <w:rFonts w:ascii="Arial"/>
                <w:sz w:val="21"/>
              </w:rPr>
            </w:pPr>
          </w:p>
        </w:tc>
        <w:tc>
          <w:tcPr>
            <w:tcW w:w="746" w:type="dxa"/>
            <w:vAlign w:val="top"/>
          </w:tcPr>
          <w:p w14:paraId="22869F19">
            <w:pPr>
              <w:pStyle w:val="6"/>
              <w:spacing w:before="102" w:line="219" w:lineRule="auto"/>
              <w:ind w:left="255"/>
            </w:pPr>
            <w:r>
              <w:rPr>
                <w:spacing w:val="-1"/>
              </w:rPr>
              <w:t>++</w:t>
            </w:r>
          </w:p>
        </w:tc>
        <w:tc>
          <w:tcPr>
            <w:tcW w:w="525" w:type="dxa"/>
            <w:vAlign w:val="top"/>
          </w:tcPr>
          <w:p w14:paraId="74D53204">
            <w:pPr>
              <w:pStyle w:val="6"/>
              <w:spacing w:before="102" w:line="219" w:lineRule="auto"/>
              <w:ind w:left="205"/>
            </w:pPr>
            <w:r>
              <w:t>+</w:t>
            </w:r>
          </w:p>
        </w:tc>
        <w:tc>
          <w:tcPr>
            <w:tcW w:w="562" w:type="dxa"/>
            <w:vAlign w:val="top"/>
          </w:tcPr>
          <w:p w14:paraId="7CFC71E7">
            <w:pPr>
              <w:pStyle w:val="6"/>
              <w:spacing w:before="102" w:line="219" w:lineRule="auto"/>
              <w:ind w:left="226"/>
            </w:pPr>
            <w:r>
              <w:t>+</w:t>
            </w:r>
          </w:p>
        </w:tc>
        <w:tc>
          <w:tcPr>
            <w:tcW w:w="1207" w:type="dxa"/>
            <w:vAlign w:val="top"/>
          </w:tcPr>
          <w:p w14:paraId="1C571B46">
            <w:pPr>
              <w:pStyle w:val="6"/>
              <w:spacing w:before="102" w:line="219" w:lineRule="auto"/>
              <w:ind w:left="552"/>
            </w:pPr>
            <w:r>
              <w:t>+</w:t>
            </w:r>
          </w:p>
        </w:tc>
        <w:tc>
          <w:tcPr>
            <w:tcW w:w="912" w:type="dxa"/>
            <w:tcBorders>
              <w:right w:val="single" w:color="000000" w:sz="12" w:space="0"/>
            </w:tcBorders>
            <w:vAlign w:val="top"/>
          </w:tcPr>
          <w:p w14:paraId="7142B8C4">
            <w:pPr>
              <w:pStyle w:val="6"/>
              <w:spacing w:before="102" w:line="219" w:lineRule="auto"/>
              <w:ind w:left="397"/>
            </w:pPr>
            <w:r>
              <w:t>+</w:t>
            </w:r>
          </w:p>
        </w:tc>
      </w:tr>
      <w:tr w14:paraId="3DA83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16D6B1B3">
            <w:pPr>
              <w:spacing w:before="242" w:line="220" w:lineRule="auto"/>
              <w:ind w:left="22"/>
              <w:rPr>
                <w:rFonts w:ascii="宋体" w:hAnsi="宋体" w:eastAsia="宋体" w:cs="宋体"/>
                <w:sz w:val="21"/>
                <w:szCs w:val="21"/>
              </w:rPr>
            </w:pPr>
            <w:r>
              <w:rPr>
                <w:rFonts w:ascii="宋体" w:hAnsi="宋体" w:eastAsia="宋体" w:cs="宋体"/>
                <w:spacing w:val="-2"/>
                <w:sz w:val="21"/>
                <w:szCs w:val="21"/>
              </w:rPr>
              <w:t>膜袋虫</w:t>
            </w:r>
          </w:p>
        </w:tc>
        <w:tc>
          <w:tcPr>
            <w:tcW w:w="3112" w:type="dxa"/>
            <w:vAlign w:val="top"/>
          </w:tcPr>
          <w:p w14:paraId="71F6F251">
            <w:pPr>
              <w:pStyle w:val="6"/>
              <w:spacing w:before="70" w:line="212" w:lineRule="auto"/>
              <w:ind w:left="166"/>
            </w:pPr>
            <w:r>
              <w:rPr>
                <w:rFonts w:ascii="宋体" w:hAnsi="宋体" w:eastAsia="宋体" w:cs="宋体"/>
                <w:spacing w:val="-1"/>
              </w:rPr>
              <w:t>瓜形膜袋虫</w:t>
            </w:r>
            <w:r>
              <w:rPr>
                <w:rFonts w:ascii="宋体" w:hAnsi="宋体" w:eastAsia="宋体" w:cs="宋体"/>
                <w:spacing w:val="-35"/>
              </w:rPr>
              <w:t xml:space="preserve"> </w:t>
            </w:r>
            <w:r>
              <w:rPr>
                <w:i/>
                <w:iCs/>
                <w:spacing w:val="-1"/>
              </w:rPr>
              <w:t>Cyclidium  citrullus</w:t>
            </w:r>
          </w:p>
        </w:tc>
        <w:tc>
          <w:tcPr>
            <w:tcW w:w="705" w:type="dxa"/>
            <w:vAlign w:val="top"/>
          </w:tcPr>
          <w:p w14:paraId="2624AF24">
            <w:pPr>
              <w:rPr>
                <w:rFonts w:ascii="Arial"/>
                <w:sz w:val="21"/>
              </w:rPr>
            </w:pPr>
          </w:p>
        </w:tc>
        <w:tc>
          <w:tcPr>
            <w:tcW w:w="746" w:type="dxa"/>
            <w:vAlign w:val="top"/>
          </w:tcPr>
          <w:p w14:paraId="126D900F">
            <w:pPr>
              <w:pStyle w:val="6"/>
              <w:spacing w:before="103" w:line="217" w:lineRule="auto"/>
              <w:ind w:left="314"/>
            </w:pPr>
            <w:r>
              <w:t>+</w:t>
            </w:r>
          </w:p>
        </w:tc>
        <w:tc>
          <w:tcPr>
            <w:tcW w:w="525" w:type="dxa"/>
            <w:vAlign w:val="top"/>
          </w:tcPr>
          <w:p w14:paraId="46DFA78A">
            <w:pPr>
              <w:pStyle w:val="6"/>
              <w:spacing w:before="103" w:line="217" w:lineRule="auto"/>
              <w:ind w:left="147"/>
            </w:pPr>
            <w:r>
              <w:rPr>
                <w:spacing w:val="-1"/>
              </w:rPr>
              <w:t>++</w:t>
            </w:r>
          </w:p>
        </w:tc>
        <w:tc>
          <w:tcPr>
            <w:tcW w:w="562" w:type="dxa"/>
            <w:vAlign w:val="top"/>
          </w:tcPr>
          <w:p w14:paraId="7DCC3D3E">
            <w:pPr>
              <w:pStyle w:val="6"/>
              <w:spacing w:before="103" w:line="217" w:lineRule="auto"/>
              <w:ind w:left="226"/>
            </w:pPr>
            <w:r>
              <w:t>+</w:t>
            </w:r>
          </w:p>
        </w:tc>
        <w:tc>
          <w:tcPr>
            <w:tcW w:w="1207" w:type="dxa"/>
            <w:vAlign w:val="top"/>
          </w:tcPr>
          <w:p w14:paraId="047AEBC1">
            <w:pPr>
              <w:pStyle w:val="6"/>
              <w:spacing w:before="103" w:line="217" w:lineRule="auto"/>
              <w:ind w:left="552"/>
            </w:pPr>
            <w:r>
              <w:t>+</w:t>
            </w:r>
          </w:p>
        </w:tc>
        <w:tc>
          <w:tcPr>
            <w:tcW w:w="912" w:type="dxa"/>
            <w:tcBorders>
              <w:right w:val="single" w:color="000000" w:sz="12" w:space="0"/>
            </w:tcBorders>
            <w:vAlign w:val="top"/>
          </w:tcPr>
          <w:p w14:paraId="109C045A">
            <w:pPr>
              <w:pStyle w:val="6"/>
              <w:spacing w:before="103" w:line="217" w:lineRule="auto"/>
              <w:ind w:left="397"/>
            </w:pPr>
            <w:r>
              <w:t>+</w:t>
            </w:r>
          </w:p>
        </w:tc>
      </w:tr>
      <w:tr w14:paraId="1369C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5071948A">
            <w:pPr>
              <w:rPr>
                <w:rFonts w:ascii="Arial"/>
                <w:sz w:val="21"/>
              </w:rPr>
            </w:pPr>
          </w:p>
        </w:tc>
        <w:tc>
          <w:tcPr>
            <w:tcW w:w="3112" w:type="dxa"/>
            <w:vAlign w:val="top"/>
          </w:tcPr>
          <w:p w14:paraId="46164A0C">
            <w:pPr>
              <w:pStyle w:val="6"/>
              <w:spacing w:before="71" w:line="212" w:lineRule="auto"/>
              <w:ind w:left="114"/>
            </w:pPr>
            <w:r>
              <w:rPr>
                <w:rFonts w:ascii="宋体" w:hAnsi="宋体" w:eastAsia="宋体" w:cs="宋体"/>
                <w:spacing w:val="-1"/>
              </w:rPr>
              <w:t>瞬目膜袋虫</w:t>
            </w:r>
            <w:r>
              <w:rPr>
                <w:rFonts w:ascii="宋体" w:hAnsi="宋体" w:eastAsia="宋体" w:cs="宋体"/>
                <w:spacing w:val="-38"/>
              </w:rPr>
              <w:t xml:space="preserve"> </w:t>
            </w:r>
            <w:r>
              <w:rPr>
                <w:i/>
                <w:iCs/>
                <w:spacing w:val="-1"/>
              </w:rPr>
              <w:t>Cyclidium</w:t>
            </w:r>
            <w:r>
              <w:rPr>
                <w:i/>
                <w:iCs/>
                <w:spacing w:val="46"/>
                <w:w w:val="101"/>
              </w:rPr>
              <w:t xml:space="preserve"> </w:t>
            </w:r>
            <w:r>
              <w:rPr>
                <w:i/>
                <w:iCs/>
                <w:spacing w:val="-1"/>
              </w:rPr>
              <w:t>glauc</w:t>
            </w:r>
            <w:r>
              <w:rPr>
                <w:i/>
                <w:iCs/>
                <w:spacing w:val="-2"/>
              </w:rPr>
              <w:t>ome</w:t>
            </w:r>
          </w:p>
        </w:tc>
        <w:tc>
          <w:tcPr>
            <w:tcW w:w="705" w:type="dxa"/>
            <w:vAlign w:val="top"/>
          </w:tcPr>
          <w:p w14:paraId="351301F0">
            <w:pPr>
              <w:pStyle w:val="6"/>
              <w:spacing w:before="104" w:line="217" w:lineRule="auto"/>
              <w:ind w:left="291"/>
            </w:pPr>
            <w:r>
              <w:t>+</w:t>
            </w:r>
          </w:p>
        </w:tc>
        <w:tc>
          <w:tcPr>
            <w:tcW w:w="746" w:type="dxa"/>
            <w:vAlign w:val="top"/>
          </w:tcPr>
          <w:p w14:paraId="69363D9B">
            <w:pPr>
              <w:pStyle w:val="6"/>
              <w:spacing w:before="104" w:line="217" w:lineRule="auto"/>
              <w:ind w:left="255"/>
            </w:pPr>
            <w:r>
              <w:rPr>
                <w:spacing w:val="-1"/>
              </w:rPr>
              <w:t>++</w:t>
            </w:r>
          </w:p>
        </w:tc>
        <w:tc>
          <w:tcPr>
            <w:tcW w:w="525" w:type="dxa"/>
            <w:vAlign w:val="top"/>
          </w:tcPr>
          <w:p w14:paraId="32D33A7A">
            <w:pPr>
              <w:pStyle w:val="6"/>
              <w:spacing w:before="104" w:line="217" w:lineRule="auto"/>
              <w:ind w:left="205"/>
            </w:pPr>
            <w:r>
              <w:t>+</w:t>
            </w:r>
          </w:p>
        </w:tc>
        <w:tc>
          <w:tcPr>
            <w:tcW w:w="562" w:type="dxa"/>
            <w:vAlign w:val="top"/>
          </w:tcPr>
          <w:p w14:paraId="1BEE8EDA">
            <w:pPr>
              <w:pStyle w:val="6"/>
              <w:spacing w:before="104" w:line="217" w:lineRule="auto"/>
              <w:ind w:left="226"/>
            </w:pPr>
            <w:r>
              <w:t>+</w:t>
            </w:r>
          </w:p>
        </w:tc>
        <w:tc>
          <w:tcPr>
            <w:tcW w:w="1207" w:type="dxa"/>
            <w:vAlign w:val="top"/>
          </w:tcPr>
          <w:p w14:paraId="5939644C">
            <w:pPr>
              <w:rPr>
                <w:rFonts w:ascii="Arial"/>
                <w:sz w:val="21"/>
              </w:rPr>
            </w:pPr>
          </w:p>
        </w:tc>
        <w:tc>
          <w:tcPr>
            <w:tcW w:w="912" w:type="dxa"/>
            <w:tcBorders>
              <w:right w:val="single" w:color="000000" w:sz="12" w:space="0"/>
            </w:tcBorders>
            <w:vAlign w:val="top"/>
          </w:tcPr>
          <w:p w14:paraId="150B27F5">
            <w:pPr>
              <w:pStyle w:val="6"/>
              <w:spacing w:before="104" w:line="217" w:lineRule="auto"/>
              <w:ind w:left="397"/>
            </w:pPr>
            <w:r>
              <w:t>+</w:t>
            </w:r>
          </w:p>
        </w:tc>
      </w:tr>
      <w:tr w14:paraId="55818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704" w:type="dxa"/>
            <w:vMerge w:val="restart"/>
            <w:tcBorders>
              <w:left w:val="single" w:color="000000" w:sz="12" w:space="0"/>
              <w:bottom w:val="nil"/>
            </w:tcBorders>
            <w:vAlign w:val="top"/>
          </w:tcPr>
          <w:p w14:paraId="700DBB70">
            <w:pPr>
              <w:spacing w:line="347" w:lineRule="auto"/>
              <w:rPr>
                <w:rFonts w:ascii="Arial"/>
                <w:sz w:val="21"/>
              </w:rPr>
            </w:pPr>
          </w:p>
          <w:p w14:paraId="75F6DA46">
            <w:pPr>
              <w:spacing w:before="68" w:line="221" w:lineRule="auto"/>
              <w:ind w:left="31"/>
              <w:rPr>
                <w:rFonts w:ascii="宋体" w:hAnsi="宋体" w:eastAsia="宋体" w:cs="宋体"/>
                <w:sz w:val="21"/>
                <w:szCs w:val="21"/>
              </w:rPr>
            </w:pPr>
            <w:r>
              <w:rPr>
                <w:rFonts w:ascii="宋体" w:hAnsi="宋体" w:eastAsia="宋体" w:cs="宋体"/>
                <w:spacing w:val="-4"/>
                <w:sz w:val="21"/>
                <w:szCs w:val="21"/>
              </w:rPr>
              <w:t>瞬目虫</w:t>
            </w:r>
          </w:p>
        </w:tc>
        <w:tc>
          <w:tcPr>
            <w:tcW w:w="3112" w:type="dxa"/>
            <w:vAlign w:val="top"/>
          </w:tcPr>
          <w:p w14:paraId="46AD65B6">
            <w:pPr>
              <w:pStyle w:val="6"/>
              <w:spacing w:before="125" w:line="234" w:lineRule="auto"/>
              <w:ind w:left="201"/>
            </w:pPr>
            <w:r>
              <w:rPr>
                <w:rFonts w:ascii="宋体" w:hAnsi="宋体" w:eastAsia="宋体" w:cs="宋体"/>
                <w:spacing w:val="-2"/>
              </w:rPr>
              <w:t>闪瞬目虫</w:t>
            </w:r>
            <w:r>
              <w:rPr>
                <w:rFonts w:ascii="宋体" w:hAnsi="宋体" w:eastAsia="宋体" w:cs="宋体"/>
                <w:spacing w:val="-33"/>
              </w:rPr>
              <w:t xml:space="preserve"> </w:t>
            </w:r>
            <w:r>
              <w:rPr>
                <w:i/>
                <w:iCs/>
                <w:spacing w:val="-2"/>
              </w:rPr>
              <w:t>Glaucoma</w:t>
            </w:r>
            <w:r>
              <w:rPr>
                <w:i/>
                <w:iCs/>
                <w:spacing w:val="51"/>
              </w:rPr>
              <w:t xml:space="preserve"> </w:t>
            </w:r>
            <w:r>
              <w:rPr>
                <w:i/>
                <w:iCs/>
                <w:spacing w:val="-2"/>
              </w:rPr>
              <w:t>scintillans</w:t>
            </w:r>
          </w:p>
        </w:tc>
        <w:tc>
          <w:tcPr>
            <w:tcW w:w="705" w:type="dxa"/>
            <w:vAlign w:val="top"/>
          </w:tcPr>
          <w:p w14:paraId="30A15705">
            <w:pPr>
              <w:pStyle w:val="6"/>
              <w:spacing w:before="159" w:line="251" w:lineRule="exact"/>
              <w:ind w:left="232"/>
            </w:pPr>
            <w:r>
              <w:rPr>
                <w:spacing w:val="-1"/>
                <w:position w:val="1"/>
              </w:rPr>
              <w:t>++</w:t>
            </w:r>
          </w:p>
        </w:tc>
        <w:tc>
          <w:tcPr>
            <w:tcW w:w="746" w:type="dxa"/>
            <w:vAlign w:val="top"/>
          </w:tcPr>
          <w:p w14:paraId="7F21EA27">
            <w:pPr>
              <w:pStyle w:val="6"/>
              <w:spacing w:before="159" w:line="251" w:lineRule="exact"/>
              <w:ind w:left="314"/>
            </w:pPr>
            <w:r>
              <w:rPr>
                <w:position w:val="1"/>
              </w:rPr>
              <w:t>+</w:t>
            </w:r>
          </w:p>
        </w:tc>
        <w:tc>
          <w:tcPr>
            <w:tcW w:w="525" w:type="dxa"/>
            <w:vAlign w:val="top"/>
          </w:tcPr>
          <w:p w14:paraId="7FAD692C">
            <w:pPr>
              <w:pStyle w:val="6"/>
              <w:spacing w:before="159" w:line="251" w:lineRule="exact"/>
              <w:ind w:left="205"/>
            </w:pPr>
            <w:r>
              <w:rPr>
                <w:position w:val="1"/>
              </w:rPr>
              <w:t>+</w:t>
            </w:r>
          </w:p>
        </w:tc>
        <w:tc>
          <w:tcPr>
            <w:tcW w:w="562" w:type="dxa"/>
            <w:vAlign w:val="top"/>
          </w:tcPr>
          <w:p w14:paraId="76B4F919">
            <w:pPr>
              <w:pStyle w:val="6"/>
              <w:spacing w:before="159" w:line="251" w:lineRule="exact"/>
              <w:ind w:left="226"/>
            </w:pPr>
            <w:r>
              <w:rPr>
                <w:position w:val="1"/>
              </w:rPr>
              <w:t>+</w:t>
            </w:r>
          </w:p>
        </w:tc>
        <w:tc>
          <w:tcPr>
            <w:tcW w:w="1207" w:type="dxa"/>
            <w:vAlign w:val="top"/>
          </w:tcPr>
          <w:p w14:paraId="1362A3C6">
            <w:pPr>
              <w:rPr>
                <w:rFonts w:ascii="Arial"/>
                <w:sz w:val="21"/>
              </w:rPr>
            </w:pPr>
          </w:p>
        </w:tc>
        <w:tc>
          <w:tcPr>
            <w:tcW w:w="912" w:type="dxa"/>
            <w:tcBorders>
              <w:right w:val="single" w:color="000000" w:sz="12" w:space="0"/>
            </w:tcBorders>
            <w:vAlign w:val="top"/>
          </w:tcPr>
          <w:p w14:paraId="406B040B">
            <w:pPr>
              <w:pStyle w:val="6"/>
              <w:spacing w:before="159" w:line="251" w:lineRule="exact"/>
              <w:ind w:left="397"/>
            </w:pPr>
            <w:r>
              <w:rPr>
                <w:position w:val="1"/>
              </w:rPr>
              <w:t>+</w:t>
            </w:r>
          </w:p>
        </w:tc>
      </w:tr>
      <w:tr w14:paraId="1006B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continue"/>
            <w:tcBorders>
              <w:top w:val="nil"/>
              <w:left w:val="single" w:color="000000" w:sz="12" w:space="0"/>
            </w:tcBorders>
            <w:vAlign w:val="top"/>
          </w:tcPr>
          <w:p w14:paraId="2AEF4747">
            <w:pPr>
              <w:rPr>
                <w:rFonts w:ascii="Arial"/>
                <w:sz w:val="21"/>
              </w:rPr>
            </w:pPr>
          </w:p>
        </w:tc>
        <w:tc>
          <w:tcPr>
            <w:tcW w:w="3112" w:type="dxa"/>
            <w:vAlign w:val="top"/>
          </w:tcPr>
          <w:p w14:paraId="77430B28">
            <w:pPr>
              <w:spacing w:before="72" w:line="220" w:lineRule="auto"/>
              <w:ind w:left="1029"/>
              <w:rPr>
                <w:rFonts w:ascii="宋体" w:hAnsi="宋体" w:eastAsia="宋体" w:cs="宋体"/>
                <w:sz w:val="21"/>
                <w:szCs w:val="21"/>
              </w:rPr>
            </w:pPr>
            <w:r>
              <w:rPr>
                <w:rFonts w:ascii="宋体" w:hAnsi="宋体" w:eastAsia="宋体" w:cs="宋体"/>
                <w:spacing w:val="-2"/>
                <w:sz w:val="21"/>
                <w:szCs w:val="21"/>
              </w:rPr>
              <w:t>大口瞬目虫</w:t>
            </w:r>
          </w:p>
          <w:p w14:paraId="2E842F20">
            <w:pPr>
              <w:pStyle w:val="6"/>
              <w:spacing w:before="40" w:line="199" w:lineRule="auto"/>
              <w:ind w:left="548"/>
            </w:pPr>
            <w:r>
              <w:rPr>
                <w:i/>
                <w:iCs/>
                <w:spacing w:val="-1"/>
              </w:rPr>
              <w:t>Glaucoma  macrostoma</w:t>
            </w:r>
          </w:p>
        </w:tc>
        <w:tc>
          <w:tcPr>
            <w:tcW w:w="705" w:type="dxa"/>
            <w:vAlign w:val="top"/>
          </w:tcPr>
          <w:p w14:paraId="1E4C6DB8">
            <w:pPr>
              <w:rPr>
                <w:rFonts w:ascii="Arial"/>
                <w:sz w:val="21"/>
              </w:rPr>
            </w:pPr>
          </w:p>
        </w:tc>
        <w:tc>
          <w:tcPr>
            <w:tcW w:w="746" w:type="dxa"/>
            <w:vAlign w:val="top"/>
          </w:tcPr>
          <w:p w14:paraId="6FB0C6C3">
            <w:pPr>
              <w:pStyle w:val="6"/>
              <w:spacing w:before="225" w:line="251" w:lineRule="exact"/>
              <w:ind w:left="255"/>
            </w:pPr>
            <w:r>
              <w:rPr>
                <w:spacing w:val="-1"/>
                <w:position w:val="1"/>
              </w:rPr>
              <w:t>++</w:t>
            </w:r>
          </w:p>
        </w:tc>
        <w:tc>
          <w:tcPr>
            <w:tcW w:w="525" w:type="dxa"/>
            <w:vAlign w:val="top"/>
          </w:tcPr>
          <w:p w14:paraId="4F3B10E7">
            <w:pPr>
              <w:pStyle w:val="6"/>
              <w:spacing w:before="225" w:line="251" w:lineRule="exact"/>
              <w:ind w:left="205"/>
            </w:pPr>
            <w:r>
              <w:rPr>
                <w:position w:val="1"/>
              </w:rPr>
              <w:t>+</w:t>
            </w:r>
          </w:p>
        </w:tc>
        <w:tc>
          <w:tcPr>
            <w:tcW w:w="562" w:type="dxa"/>
            <w:vAlign w:val="top"/>
          </w:tcPr>
          <w:p w14:paraId="5E6D09A9">
            <w:pPr>
              <w:pStyle w:val="6"/>
              <w:spacing w:before="225" w:line="251" w:lineRule="exact"/>
              <w:ind w:left="226"/>
            </w:pPr>
            <w:r>
              <w:rPr>
                <w:position w:val="1"/>
              </w:rPr>
              <w:t>+</w:t>
            </w:r>
          </w:p>
        </w:tc>
        <w:tc>
          <w:tcPr>
            <w:tcW w:w="1207" w:type="dxa"/>
            <w:vAlign w:val="top"/>
          </w:tcPr>
          <w:p w14:paraId="22F957A8">
            <w:pPr>
              <w:pStyle w:val="6"/>
              <w:spacing w:before="225" w:line="251" w:lineRule="exact"/>
              <w:ind w:left="552"/>
            </w:pPr>
            <w:r>
              <w:rPr>
                <w:position w:val="1"/>
              </w:rPr>
              <w:t>+</w:t>
            </w:r>
          </w:p>
        </w:tc>
        <w:tc>
          <w:tcPr>
            <w:tcW w:w="912" w:type="dxa"/>
            <w:tcBorders>
              <w:right w:val="single" w:color="000000" w:sz="12" w:space="0"/>
            </w:tcBorders>
            <w:vAlign w:val="top"/>
          </w:tcPr>
          <w:p w14:paraId="1AFE8A6F">
            <w:pPr>
              <w:pStyle w:val="6"/>
              <w:spacing w:before="225" w:line="251" w:lineRule="exact"/>
              <w:ind w:left="397"/>
            </w:pPr>
            <w:r>
              <w:rPr>
                <w:position w:val="1"/>
              </w:rPr>
              <w:t>+</w:t>
            </w:r>
          </w:p>
        </w:tc>
      </w:tr>
      <w:tr w14:paraId="428AC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2F795830">
            <w:pPr>
              <w:spacing w:before="244" w:line="220" w:lineRule="auto"/>
              <w:ind w:left="41"/>
              <w:rPr>
                <w:rFonts w:ascii="宋体" w:hAnsi="宋体" w:eastAsia="宋体" w:cs="宋体"/>
                <w:sz w:val="21"/>
                <w:szCs w:val="21"/>
              </w:rPr>
            </w:pPr>
            <w:r>
              <w:rPr>
                <w:rFonts w:ascii="宋体" w:hAnsi="宋体" w:eastAsia="宋体" w:cs="宋体"/>
                <w:spacing w:val="-6"/>
                <w:sz w:val="21"/>
                <w:szCs w:val="21"/>
              </w:rPr>
              <w:t>肾形虫</w:t>
            </w:r>
          </w:p>
        </w:tc>
        <w:tc>
          <w:tcPr>
            <w:tcW w:w="3112" w:type="dxa"/>
            <w:vAlign w:val="top"/>
          </w:tcPr>
          <w:p w14:paraId="7BF1CAC0">
            <w:pPr>
              <w:pStyle w:val="6"/>
              <w:spacing w:before="73" w:line="213" w:lineRule="auto"/>
              <w:ind w:left="237"/>
            </w:pPr>
            <w:r>
              <w:rPr>
                <w:rFonts w:ascii="宋体" w:hAnsi="宋体" w:eastAsia="宋体" w:cs="宋体"/>
                <w:spacing w:val="-1"/>
              </w:rPr>
              <w:t>僧帽肾形虫</w:t>
            </w:r>
            <w:r>
              <w:rPr>
                <w:rFonts w:ascii="宋体" w:hAnsi="宋体" w:eastAsia="宋体" w:cs="宋体"/>
                <w:spacing w:val="-39"/>
              </w:rPr>
              <w:t xml:space="preserve"> </w:t>
            </w:r>
            <w:r>
              <w:rPr>
                <w:i/>
                <w:iCs/>
                <w:spacing w:val="-1"/>
              </w:rPr>
              <w:t>Colpoda  cucall</w:t>
            </w:r>
            <w:r>
              <w:rPr>
                <w:i/>
                <w:iCs/>
                <w:spacing w:val="-2"/>
              </w:rPr>
              <w:t>us</w:t>
            </w:r>
          </w:p>
        </w:tc>
        <w:tc>
          <w:tcPr>
            <w:tcW w:w="705" w:type="dxa"/>
            <w:vAlign w:val="top"/>
          </w:tcPr>
          <w:p w14:paraId="06E9F1CD">
            <w:pPr>
              <w:pStyle w:val="6"/>
              <w:spacing w:before="107" w:line="213" w:lineRule="auto"/>
              <w:ind w:left="291"/>
            </w:pPr>
            <w:r>
              <w:t>+</w:t>
            </w:r>
          </w:p>
        </w:tc>
        <w:tc>
          <w:tcPr>
            <w:tcW w:w="746" w:type="dxa"/>
            <w:vAlign w:val="top"/>
          </w:tcPr>
          <w:p w14:paraId="7FA5EE66">
            <w:pPr>
              <w:pStyle w:val="6"/>
              <w:spacing w:before="107" w:line="213" w:lineRule="auto"/>
              <w:ind w:left="314"/>
            </w:pPr>
            <w:r>
              <w:t>+</w:t>
            </w:r>
          </w:p>
        </w:tc>
        <w:tc>
          <w:tcPr>
            <w:tcW w:w="525" w:type="dxa"/>
            <w:vAlign w:val="top"/>
          </w:tcPr>
          <w:p w14:paraId="6F1C12D1">
            <w:pPr>
              <w:pStyle w:val="6"/>
              <w:spacing w:before="107" w:line="213" w:lineRule="auto"/>
              <w:ind w:left="147"/>
            </w:pPr>
            <w:r>
              <w:rPr>
                <w:spacing w:val="-1"/>
              </w:rPr>
              <w:t>++</w:t>
            </w:r>
          </w:p>
        </w:tc>
        <w:tc>
          <w:tcPr>
            <w:tcW w:w="562" w:type="dxa"/>
            <w:vAlign w:val="top"/>
          </w:tcPr>
          <w:p w14:paraId="15764C90">
            <w:pPr>
              <w:rPr>
                <w:rFonts w:ascii="Arial"/>
                <w:sz w:val="21"/>
              </w:rPr>
            </w:pPr>
          </w:p>
        </w:tc>
        <w:tc>
          <w:tcPr>
            <w:tcW w:w="1207" w:type="dxa"/>
            <w:vAlign w:val="top"/>
          </w:tcPr>
          <w:p w14:paraId="12D18DA2">
            <w:pPr>
              <w:pStyle w:val="6"/>
              <w:spacing w:before="107" w:line="213" w:lineRule="auto"/>
              <w:ind w:left="552"/>
            </w:pPr>
            <w:r>
              <w:t>+</w:t>
            </w:r>
          </w:p>
        </w:tc>
        <w:tc>
          <w:tcPr>
            <w:tcW w:w="912" w:type="dxa"/>
            <w:tcBorders>
              <w:right w:val="single" w:color="000000" w:sz="12" w:space="0"/>
            </w:tcBorders>
            <w:vAlign w:val="top"/>
          </w:tcPr>
          <w:p w14:paraId="71A2D60B">
            <w:pPr>
              <w:pStyle w:val="6"/>
              <w:spacing w:before="107" w:line="213" w:lineRule="auto"/>
              <w:ind w:left="397"/>
            </w:pPr>
            <w:r>
              <w:t>+</w:t>
            </w:r>
          </w:p>
        </w:tc>
      </w:tr>
      <w:tr w14:paraId="00744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vMerge w:val="continue"/>
            <w:tcBorders>
              <w:top w:val="nil"/>
              <w:left w:val="single" w:color="000000" w:sz="12" w:space="0"/>
            </w:tcBorders>
            <w:vAlign w:val="top"/>
          </w:tcPr>
          <w:p w14:paraId="69D4B97C">
            <w:pPr>
              <w:rPr>
                <w:rFonts w:ascii="Arial"/>
                <w:sz w:val="21"/>
              </w:rPr>
            </w:pPr>
          </w:p>
        </w:tc>
        <w:tc>
          <w:tcPr>
            <w:tcW w:w="3112" w:type="dxa"/>
            <w:vAlign w:val="top"/>
          </w:tcPr>
          <w:p w14:paraId="713F2DD9">
            <w:pPr>
              <w:pStyle w:val="6"/>
              <w:spacing w:before="74" w:line="213" w:lineRule="auto"/>
              <w:ind w:left="331"/>
            </w:pPr>
            <w:r>
              <w:rPr>
                <w:rFonts w:ascii="宋体" w:hAnsi="宋体" w:eastAsia="宋体" w:cs="宋体"/>
                <w:spacing w:val="-2"/>
              </w:rPr>
              <w:t>齿脊肾形虫</w:t>
            </w:r>
            <w:r>
              <w:rPr>
                <w:rFonts w:ascii="宋体" w:hAnsi="宋体" w:eastAsia="宋体" w:cs="宋体"/>
                <w:spacing w:val="-24"/>
              </w:rPr>
              <w:t xml:space="preserve"> </w:t>
            </w:r>
            <w:r>
              <w:rPr>
                <w:i/>
                <w:iCs/>
                <w:spacing w:val="-2"/>
              </w:rPr>
              <w:t>Colpoda</w:t>
            </w:r>
            <w:r>
              <w:rPr>
                <w:i/>
                <w:iCs/>
                <w:spacing w:val="51"/>
              </w:rPr>
              <w:t xml:space="preserve"> </w:t>
            </w:r>
            <w:r>
              <w:rPr>
                <w:i/>
                <w:iCs/>
                <w:spacing w:val="-2"/>
              </w:rPr>
              <w:t>steinii</w:t>
            </w:r>
          </w:p>
        </w:tc>
        <w:tc>
          <w:tcPr>
            <w:tcW w:w="705" w:type="dxa"/>
            <w:vAlign w:val="top"/>
          </w:tcPr>
          <w:p w14:paraId="2A662E64">
            <w:pPr>
              <w:pStyle w:val="6"/>
              <w:spacing w:before="108" w:line="214" w:lineRule="auto"/>
              <w:ind w:left="232"/>
            </w:pPr>
            <w:r>
              <w:rPr>
                <w:spacing w:val="-1"/>
              </w:rPr>
              <w:t>++</w:t>
            </w:r>
          </w:p>
        </w:tc>
        <w:tc>
          <w:tcPr>
            <w:tcW w:w="746" w:type="dxa"/>
            <w:vAlign w:val="top"/>
          </w:tcPr>
          <w:p w14:paraId="1BA0E9FE">
            <w:pPr>
              <w:pStyle w:val="6"/>
              <w:spacing w:before="108" w:line="214" w:lineRule="auto"/>
              <w:ind w:left="255"/>
            </w:pPr>
            <w:r>
              <w:rPr>
                <w:spacing w:val="-1"/>
              </w:rPr>
              <w:t>++</w:t>
            </w:r>
          </w:p>
        </w:tc>
        <w:tc>
          <w:tcPr>
            <w:tcW w:w="525" w:type="dxa"/>
            <w:vAlign w:val="top"/>
          </w:tcPr>
          <w:p w14:paraId="727A9D36">
            <w:pPr>
              <w:pStyle w:val="6"/>
              <w:spacing w:before="108" w:line="214" w:lineRule="auto"/>
              <w:ind w:left="205"/>
            </w:pPr>
            <w:r>
              <w:t>+</w:t>
            </w:r>
          </w:p>
        </w:tc>
        <w:tc>
          <w:tcPr>
            <w:tcW w:w="562" w:type="dxa"/>
            <w:vAlign w:val="top"/>
          </w:tcPr>
          <w:p w14:paraId="485B0F2A">
            <w:pPr>
              <w:pStyle w:val="6"/>
              <w:spacing w:before="108" w:line="214" w:lineRule="auto"/>
              <w:ind w:left="226"/>
            </w:pPr>
            <w:r>
              <w:t>+</w:t>
            </w:r>
          </w:p>
        </w:tc>
        <w:tc>
          <w:tcPr>
            <w:tcW w:w="1207" w:type="dxa"/>
            <w:vAlign w:val="top"/>
          </w:tcPr>
          <w:p w14:paraId="169B264E">
            <w:pPr>
              <w:pStyle w:val="6"/>
              <w:spacing w:before="108" w:line="214" w:lineRule="auto"/>
              <w:ind w:left="552"/>
            </w:pPr>
            <w:r>
              <w:t>+</w:t>
            </w:r>
          </w:p>
        </w:tc>
        <w:tc>
          <w:tcPr>
            <w:tcW w:w="912" w:type="dxa"/>
            <w:tcBorders>
              <w:right w:val="single" w:color="000000" w:sz="12" w:space="0"/>
            </w:tcBorders>
            <w:vAlign w:val="top"/>
          </w:tcPr>
          <w:p w14:paraId="5BC36ED8">
            <w:pPr>
              <w:rPr>
                <w:rFonts w:ascii="Arial"/>
                <w:sz w:val="21"/>
              </w:rPr>
            </w:pPr>
          </w:p>
        </w:tc>
      </w:tr>
      <w:tr w14:paraId="0AB09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3A0EC6B9">
            <w:pPr>
              <w:spacing w:line="296" w:lineRule="auto"/>
              <w:rPr>
                <w:rFonts w:ascii="Arial"/>
                <w:sz w:val="21"/>
              </w:rPr>
            </w:pPr>
          </w:p>
          <w:p w14:paraId="225B6072">
            <w:pPr>
              <w:spacing w:before="68" w:line="220" w:lineRule="auto"/>
              <w:ind w:left="22"/>
              <w:rPr>
                <w:rFonts w:ascii="宋体" w:hAnsi="宋体" w:eastAsia="宋体" w:cs="宋体"/>
                <w:sz w:val="21"/>
                <w:szCs w:val="21"/>
              </w:rPr>
            </w:pPr>
            <w:r>
              <w:rPr>
                <w:rFonts w:ascii="宋体" w:hAnsi="宋体" w:eastAsia="宋体" w:cs="宋体"/>
                <w:spacing w:val="-2"/>
                <w:sz w:val="21"/>
                <w:szCs w:val="21"/>
              </w:rPr>
              <w:t>斜管虫</w:t>
            </w:r>
          </w:p>
        </w:tc>
        <w:tc>
          <w:tcPr>
            <w:tcW w:w="3112" w:type="dxa"/>
            <w:vAlign w:val="top"/>
          </w:tcPr>
          <w:p w14:paraId="4C568633">
            <w:pPr>
              <w:pStyle w:val="6"/>
              <w:spacing w:before="73" w:line="213" w:lineRule="auto"/>
              <w:ind w:left="35"/>
            </w:pPr>
            <w:r>
              <w:rPr>
                <w:rFonts w:ascii="宋体" w:hAnsi="宋体" w:eastAsia="宋体" w:cs="宋体"/>
                <w:spacing w:val="-1"/>
              </w:rPr>
              <w:t>非游斜管虫</w:t>
            </w:r>
            <w:r>
              <w:rPr>
                <w:rFonts w:ascii="宋体" w:hAnsi="宋体" w:eastAsia="宋体" w:cs="宋体"/>
                <w:spacing w:val="-39"/>
              </w:rPr>
              <w:t xml:space="preserve"> </w:t>
            </w:r>
            <w:r>
              <w:rPr>
                <w:i/>
                <w:iCs/>
                <w:spacing w:val="-1"/>
              </w:rPr>
              <w:t>Chilodonella  aplanate</w:t>
            </w:r>
          </w:p>
        </w:tc>
        <w:tc>
          <w:tcPr>
            <w:tcW w:w="705" w:type="dxa"/>
            <w:vAlign w:val="top"/>
          </w:tcPr>
          <w:p w14:paraId="26EF5A1A">
            <w:pPr>
              <w:pStyle w:val="6"/>
              <w:spacing w:before="107" w:line="213" w:lineRule="auto"/>
              <w:ind w:left="232"/>
            </w:pPr>
            <w:r>
              <w:rPr>
                <w:spacing w:val="-1"/>
              </w:rPr>
              <w:t>++</w:t>
            </w:r>
          </w:p>
        </w:tc>
        <w:tc>
          <w:tcPr>
            <w:tcW w:w="746" w:type="dxa"/>
            <w:vAlign w:val="top"/>
          </w:tcPr>
          <w:p w14:paraId="3A3F9FF6">
            <w:pPr>
              <w:pStyle w:val="6"/>
              <w:spacing w:before="107" w:line="213" w:lineRule="auto"/>
              <w:ind w:left="314"/>
            </w:pPr>
            <w:r>
              <w:t>+</w:t>
            </w:r>
          </w:p>
        </w:tc>
        <w:tc>
          <w:tcPr>
            <w:tcW w:w="525" w:type="dxa"/>
            <w:vAlign w:val="top"/>
          </w:tcPr>
          <w:p w14:paraId="3128D6F5">
            <w:pPr>
              <w:pStyle w:val="6"/>
              <w:spacing w:before="107" w:line="213" w:lineRule="auto"/>
              <w:ind w:left="205"/>
            </w:pPr>
            <w:r>
              <w:t>+</w:t>
            </w:r>
          </w:p>
        </w:tc>
        <w:tc>
          <w:tcPr>
            <w:tcW w:w="562" w:type="dxa"/>
            <w:vAlign w:val="top"/>
          </w:tcPr>
          <w:p w14:paraId="21EA4FA1">
            <w:pPr>
              <w:pStyle w:val="6"/>
              <w:spacing w:before="107" w:line="213" w:lineRule="auto"/>
              <w:ind w:left="226"/>
            </w:pPr>
            <w:r>
              <w:t>+</w:t>
            </w:r>
          </w:p>
        </w:tc>
        <w:tc>
          <w:tcPr>
            <w:tcW w:w="1207" w:type="dxa"/>
            <w:vAlign w:val="top"/>
          </w:tcPr>
          <w:p w14:paraId="749F5A18">
            <w:pPr>
              <w:rPr>
                <w:rFonts w:ascii="Arial"/>
                <w:sz w:val="21"/>
              </w:rPr>
            </w:pPr>
          </w:p>
        </w:tc>
        <w:tc>
          <w:tcPr>
            <w:tcW w:w="912" w:type="dxa"/>
            <w:tcBorders>
              <w:right w:val="single" w:color="000000" w:sz="12" w:space="0"/>
            </w:tcBorders>
            <w:vAlign w:val="top"/>
          </w:tcPr>
          <w:p w14:paraId="7BB2BC9B">
            <w:pPr>
              <w:pStyle w:val="6"/>
              <w:spacing w:before="107" w:line="213" w:lineRule="auto"/>
              <w:ind w:left="397"/>
            </w:pPr>
            <w:r>
              <w:t>+</w:t>
            </w:r>
          </w:p>
        </w:tc>
      </w:tr>
      <w:tr w14:paraId="169CA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continue"/>
            <w:tcBorders>
              <w:top w:val="nil"/>
              <w:left w:val="single" w:color="000000" w:sz="12" w:space="0"/>
            </w:tcBorders>
            <w:vAlign w:val="top"/>
          </w:tcPr>
          <w:p w14:paraId="1E0F0B07">
            <w:pPr>
              <w:rPr>
                <w:rFonts w:ascii="Arial"/>
                <w:sz w:val="21"/>
              </w:rPr>
            </w:pPr>
          </w:p>
        </w:tc>
        <w:tc>
          <w:tcPr>
            <w:tcW w:w="3112" w:type="dxa"/>
            <w:vAlign w:val="top"/>
          </w:tcPr>
          <w:p w14:paraId="300374BA">
            <w:pPr>
              <w:spacing w:before="74" w:line="220" w:lineRule="auto"/>
              <w:ind w:left="838"/>
              <w:rPr>
                <w:rFonts w:ascii="宋体" w:hAnsi="宋体" w:eastAsia="宋体" w:cs="宋体"/>
                <w:sz w:val="21"/>
                <w:szCs w:val="21"/>
              </w:rPr>
            </w:pPr>
            <w:r>
              <w:rPr>
                <w:rFonts w:ascii="宋体" w:hAnsi="宋体" w:eastAsia="宋体" w:cs="宋体"/>
                <w:spacing w:val="-4"/>
                <w:sz w:val="21"/>
                <w:szCs w:val="21"/>
              </w:rPr>
              <w:t>巴维利亚斜管虫</w:t>
            </w:r>
          </w:p>
          <w:p w14:paraId="05E61E94">
            <w:pPr>
              <w:pStyle w:val="6"/>
              <w:spacing w:before="40" w:line="196" w:lineRule="auto"/>
              <w:ind w:left="431"/>
            </w:pPr>
            <w:r>
              <w:rPr>
                <w:i/>
                <w:iCs/>
                <w:spacing w:val="-1"/>
              </w:rPr>
              <w:t>Chilodonella  barvariensis</w:t>
            </w:r>
          </w:p>
        </w:tc>
        <w:tc>
          <w:tcPr>
            <w:tcW w:w="705" w:type="dxa"/>
            <w:vAlign w:val="top"/>
          </w:tcPr>
          <w:p w14:paraId="6E29F00E">
            <w:pPr>
              <w:pStyle w:val="6"/>
              <w:spacing w:before="230" w:line="250" w:lineRule="exact"/>
              <w:ind w:left="291"/>
            </w:pPr>
            <w:r>
              <w:rPr>
                <w:position w:val="1"/>
              </w:rPr>
              <w:t>+</w:t>
            </w:r>
          </w:p>
        </w:tc>
        <w:tc>
          <w:tcPr>
            <w:tcW w:w="746" w:type="dxa"/>
            <w:vAlign w:val="top"/>
          </w:tcPr>
          <w:p w14:paraId="0D0EA420">
            <w:pPr>
              <w:pStyle w:val="6"/>
              <w:spacing w:before="230" w:line="250" w:lineRule="exact"/>
              <w:ind w:left="255"/>
            </w:pPr>
            <w:r>
              <w:rPr>
                <w:spacing w:val="-1"/>
                <w:position w:val="1"/>
              </w:rPr>
              <w:t>++</w:t>
            </w:r>
          </w:p>
        </w:tc>
        <w:tc>
          <w:tcPr>
            <w:tcW w:w="525" w:type="dxa"/>
            <w:vAlign w:val="top"/>
          </w:tcPr>
          <w:p w14:paraId="370B096E">
            <w:pPr>
              <w:pStyle w:val="6"/>
              <w:spacing w:before="230" w:line="250" w:lineRule="exact"/>
              <w:ind w:left="147"/>
            </w:pPr>
            <w:r>
              <w:rPr>
                <w:spacing w:val="-1"/>
                <w:position w:val="1"/>
              </w:rPr>
              <w:t>++</w:t>
            </w:r>
          </w:p>
        </w:tc>
        <w:tc>
          <w:tcPr>
            <w:tcW w:w="562" w:type="dxa"/>
            <w:vAlign w:val="top"/>
          </w:tcPr>
          <w:p w14:paraId="7B31D0B7">
            <w:pPr>
              <w:pStyle w:val="6"/>
              <w:spacing w:before="230" w:line="250" w:lineRule="exact"/>
              <w:ind w:left="226"/>
            </w:pPr>
            <w:r>
              <w:rPr>
                <w:position w:val="1"/>
              </w:rPr>
              <w:t>+</w:t>
            </w:r>
          </w:p>
        </w:tc>
        <w:tc>
          <w:tcPr>
            <w:tcW w:w="1207" w:type="dxa"/>
            <w:vAlign w:val="top"/>
          </w:tcPr>
          <w:p w14:paraId="63DD44F8">
            <w:pPr>
              <w:pStyle w:val="6"/>
              <w:spacing w:before="230" w:line="250" w:lineRule="exact"/>
              <w:ind w:left="493"/>
            </w:pPr>
            <w:r>
              <w:rPr>
                <w:spacing w:val="-1"/>
                <w:position w:val="1"/>
              </w:rPr>
              <w:t>++</w:t>
            </w:r>
          </w:p>
        </w:tc>
        <w:tc>
          <w:tcPr>
            <w:tcW w:w="912" w:type="dxa"/>
            <w:tcBorders>
              <w:right w:val="single" w:color="000000" w:sz="12" w:space="0"/>
            </w:tcBorders>
            <w:vAlign w:val="top"/>
          </w:tcPr>
          <w:p w14:paraId="478D3C8D">
            <w:pPr>
              <w:pStyle w:val="6"/>
              <w:spacing w:before="230" w:line="250" w:lineRule="exact"/>
              <w:ind w:left="397"/>
            </w:pPr>
            <w:r>
              <w:rPr>
                <w:position w:val="1"/>
              </w:rPr>
              <w:t>+</w:t>
            </w:r>
          </w:p>
        </w:tc>
      </w:tr>
      <w:tr w14:paraId="51AF3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tcBorders>
              <w:left w:val="single" w:color="000000" w:sz="12" w:space="0"/>
            </w:tcBorders>
            <w:vAlign w:val="top"/>
          </w:tcPr>
          <w:p w14:paraId="21D188A4">
            <w:pPr>
              <w:spacing w:before="198" w:line="220" w:lineRule="auto"/>
              <w:ind w:left="43"/>
              <w:rPr>
                <w:rFonts w:ascii="宋体" w:hAnsi="宋体" w:eastAsia="宋体" w:cs="宋体"/>
                <w:sz w:val="21"/>
                <w:szCs w:val="21"/>
              </w:rPr>
            </w:pPr>
            <w:r>
              <w:rPr>
                <w:rFonts w:ascii="宋体" w:hAnsi="宋体" w:eastAsia="宋体" w:cs="宋体"/>
                <w:spacing w:val="-10"/>
                <w:sz w:val="21"/>
                <w:szCs w:val="21"/>
              </w:rPr>
              <w:t>四膜虫</w:t>
            </w:r>
          </w:p>
        </w:tc>
        <w:tc>
          <w:tcPr>
            <w:tcW w:w="3112" w:type="dxa"/>
            <w:vAlign w:val="top"/>
          </w:tcPr>
          <w:p w14:paraId="530C42CD">
            <w:pPr>
              <w:spacing w:before="77" w:line="220" w:lineRule="auto"/>
              <w:ind w:left="1026"/>
              <w:rPr>
                <w:rFonts w:ascii="宋体" w:hAnsi="宋体" w:eastAsia="宋体" w:cs="宋体"/>
                <w:sz w:val="21"/>
                <w:szCs w:val="21"/>
              </w:rPr>
            </w:pPr>
            <w:r>
              <w:rPr>
                <w:rFonts w:ascii="宋体" w:hAnsi="宋体" w:eastAsia="宋体" w:cs="宋体"/>
                <w:spacing w:val="-2"/>
                <w:sz w:val="21"/>
                <w:szCs w:val="21"/>
              </w:rPr>
              <w:t>梨形四膜虫</w:t>
            </w:r>
          </w:p>
          <w:p w14:paraId="1B81A918">
            <w:pPr>
              <w:pStyle w:val="6"/>
              <w:spacing w:before="40" w:line="190" w:lineRule="auto"/>
              <w:ind w:left="513"/>
            </w:pPr>
            <w:r>
              <w:rPr>
                <w:i/>
                <w:iCs/>
              </w:rPr>
              <w:t>Tetrahymena</w:t>
            </w:r>
            <w:r>
              <w:rPr>
                <w:i/>
                <w:iCs/>
                <w:spacing w:val="37"/>
              </w:rPr>
              <w:t xml:space="preserve"> </w:t>
            </w:r>
            <w:r>
              <w:rPr>
                <w:i/>
                <w:iCs/>
              </w:rPr>
              <w:t>pyriformis</w:t>
            </w:r>
          </w:p>
        </w:tc>
        <w:tc>
          <w:tcPr>
            <w:tcW w:w="705" w:type="dxa"/>
            <w:vAlign w:val="top"/>
          </w:tcPr>
          <w:p w14:paraId="1EFC3989">
            <w:pPr>
              <w:pStyle w:val="6"/>
              <w:spacing w:before="231" w:line="251" w:lineRule="exact"/>
              <w:ind w:left="172"/>
            </w:pPr>
            <w:r>
              <w:rPr>
                <w:spacing w:val="-1"/>
                <w:position w:val="1"/>
              </w:rPr>
              <w:t>+++</w:t>
            </w:r>
          </w:p>
        </w:tc>
        <w:tc>
          <w:tcPr>
            <w:tcW w:w="746" w:type="dxa"/>
            <w:vAlign w:val="top"/>
          </w:tcPr>
          <w:p w14:paraId="3E1CE6EB">
            <w:pPr>
              <w:pStyle w:val="6"/>
              <w:spacing w:before="231" w:line="251" w:lineRule="exact"/>
              <w:ind w:left="314"/>
            </w:pPr>
            <w:r>
              <w:rPr>
                <w:position w:val="1"/>
              </w:rPr>
              <w:t>+</w:t>
            </w:r>
          </w:p>
        </w:tc>
        <w:tc>
          <w:tcPr>
            <w:tcW w:w="525" w:type="dxa"/>
            <w:vAlign w:val="top"/>
          </w:tcPr>
          <w:p w14:paraId="04B662DF">
            <w:pPr>
              <w:pStyle w:val="6"/>
              <w:spacing w:before="231" w:line="251" w:lineRule="exact"/>
              <w:ind w:left="205"/>
            </w:pPr>
            <w:r>
              <w:rPr>
                <w:position w:val="1"/>
              </w:rPr>
              <w:t>+</w:t>
            </w:r>
          </w:p>
        </w:tc>
        <w:tc>
          <w:tcPr>
            <w:tcW w:w="562" w:type="dxa"/>
            <w:vAlign w:val="top"/>
          </w:tcPr>
          <w:p w14:paraId="7E9FDD77">
            <w:pPr>
              <w:rPr>
                <w:rFonts w:ascii="Arial"/>
                <w:sz w:val="21"/>
              </w:rPr>
            </w:pPr>
          </w:p>
        </w:tc>
        <w:tc>
          <w:tcPr>
            <w:tcW w:w="1207" w:type="dxa"/>
            <w:vAlign w:val="top"/>
          </w:tcPr>
          <w:p w14:paraId="2E9910AC">
            <w:pPr>
              <w:pStyle w:val="6"/>
              <w:spacing w:before="231" w:line="251" w:lineRule="exact"/>
              <w:ind w:left="552"/>
            </w:pPr>
            <w:r>
              <w:rPr>
                <w:position w:val="1"/>
              </w:rPr>
              <w:t>+</w:t>
            </w:r>
          </w:p>
        </w:tc>
        <w:tc>
          <w:tcPr>
            <w:tcW w:w="912" w:type="dxa"/>
            <w:tcBorders>
              <w:right w:val="single" w:color="000000" w:sz="12" w:space="0"/>
            </w:tcBorders>
            <w:vAlign w:val="top"/>
          </w:tcPr>
          <w:p w14:paraId="5BD4E3CC">
            <w:pPr>
              <w:pStyle w:val="6"/>
              <w:spacing w:before="231" w:line="251" w:lineRule="exact"/>
              <w:ind w:left="397"/>
            </w:pPr>
            <w:r>
              <w:rPr>
                <w:position w:val="1"/>
              </w:rPr>
              <w:t>+</w:t>
            </w:r>
          </w:p>
        </w:tc>
      </w:tr>
      <w:tr w14:paraId="1EA66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66A8262F">
            <w:pPr>
              <w:spacing w:before="79" w:line="213" w:lineRule="auto"/>
              <w:ind w:left="24"/>
              <w:rPr>
                <w:rFonts w:ascii="宋体" w:hAnsi="宋体" w:eastAsia="宋体" w:cs="宋体"/>
                <w:sz w:val="21"/>
                <w:szCs w:val="21"/>
              </w:rPr>
            </w:pPr>
            <w:r>
              <w:rPr>
                <w:rFonts w:ascii="宋体" w:hAnsi="宋体" w:eastAsia="宋体" w:cs="宋体"/>
                <w:spacing w:val="-3"/>
                <w:sz w:val="21"/>
                <w:szCs w:val="21"/>
              </w:rPr>
              <w:t>豆形虫</w:t>
            </w:r>
          </w:p>
        </w:tc>
        <w:tc>
          <w:tcPr>
            <w:tcW w:w="3112" w:type="dxa"/>
            <w:vAlign w:val="top"/>
          </w:tcPr>
          <w:p w14:paraId="50F12617">
            <w:pPr>
              <w:pStyle w:val="6"/>
              <w:spacing w:before="79" w:line="212" w:lineRule="auto"/>
              <w:ind w:left="182"/>
            </w:pPr>
            <w:r>
              <w:rPr>
                <w:rFonts w:ascii="宋体" w:hAnsi="宋体" w:eastAsia="宋体" w:cs="宋体"/>
                <w:spacing w:val="-1"/>
              </w:rPr>
              <w:t>弯豆形虫</w:t>
            </w:r>
            <w:r>
              <w:rPr>
                <w:rFonts w:ascii="宋体" w:hAnsi="宋体" w:eastAsia="宋体" w:cs="宋体"/>
                <w:spacing w:val="-39"/>
              </w:rPr>
              <w:t xml:space="preserve"> </w:t>
            </w:r>
            <w:r>
              <w:rPr>
                <w:i/>
                <w:iCs/>
                <w:spacing w:val="-1"/>
              </w:rPr>
              <w:t>Colpidium  compy</w:t>
            </w:r>
            <w:r>
              <w:rPr>
                <w:i/>
                <w:iCs/>
                <w:spacing w:val="-2"/>
              </w:rPr>
              <w:t>lum</w:t>
            </w:r>
          </w:p>
        </w:tc>
        <w:tc>
          <w:tcPr>
            <w:tcW w:w="705" w:type="dxa"/>
            <w:vAlign w:val="top"/>
          </w:tcPr>
          <w:p w14:paraId="64FF1661">
            <w:pPr>
              <w:pStyle w:val="6"/>
              <w:spacing w:before="112" w:line="208" w:lineRule="auto"/>
              <w:ind w:left="291"/>
            </w:pPr>
            <w:r>
              <w:t>+</w:t>
            </w:r>
          </w:p>
        </w:tc>
        <w:tc>
          <w:tcPr>
            <w:tcW w:w="746" w:type="dxa"/>
            <w:vAlign w:val="top"/>
          </w:tcPr>
          <w:p w14:paraId="793A5423">
            <w:pPr>
              <w:pStyle w:val="6"/>
              <w:spacing w:before="112" w:line="208" w:lineRule="auto"/>
              <w:ind w:left="255"/>
            </w:pPr>
            <w:r>
              <w:rPr>
                <w:spacing w:val="-1"/>
              </w:rPr>
              <w:t>++</w:t>
            </w:r>
          </w:p>
        </w:tc>
        <w:tc>
          <w:tcPr>
            <w:tcW w:w="525" w:type="dxa"/>
            <w:vAlign w:val="top"/>
          </w:tcPr>
          <w:p w14:paraId="2113A224">
            <w:pPr>
              <w:pStyle w:val="6"/>
              <w:spacing w:before="112" w:line="208" w:lineRule="auto"/>
              <w:ind w:left="205"/>
            </w:pPr>
            <w:r>
              <w:t>+</w:t>
            </w:r>
          </w:p>
        </w:tc>
        <w:tc>
          <w:tcPr>
            <w:tcW w:w="562" w:type="dxa"/>
            <w:vAlign w:val="top"/>
          </w:tcPr>
          <w:p w14:paraId="6B486A13">
            <w:pPr>
              <w:pStyle w:val="6"/>
              <w:spacing w:before="112" w:line="208" w:lineRule="auto"/>
              <w:ind w:left="168"/>
            </w:pPr>
            <w:r>
              <w:rPr>
                <w:spacing w:val="-1"/>
              </w:rPr>
              <w:t>++</w:t>
            </w:r>
          </w:p>
        </w:tc>
        <w:tc>
          <w:tcPr>
            <w:tcW w:w="1207" w:type="dxa"/>
            <w:vAlign w:val="top"/>
          </w:tcPr>
          <w:p w14:paraId="2611E9D4">
            <w:pPr>
              <w:pStyle w:val="6"/>
              <w:spacing w:before="112" w:line="208" w:lineRule="auto"/>
              <w:ind w:left="552"/>
            </w:pPr>
            <w:r>
              <w:t>+</w:t>
            </w:r>
          </w:p>
        </w:tc>
        <w:tc>
          <w:tcPr>
            <w:tcW w:w="912" w:type="dxa"/>
            <w:tcBorders>
              <w:right w:val="single" w:color="000000" w:sz="12" w:space="0"/>
            </w:tcBorders>
            <w:vAlign w:val="top"/>
          </w:tcPr>
          <w:p w14:paraId="1AF8C9E7">
            <w:pPr>
              <w:rPr>
                <w:rFonts w:ascii="Arial"/>
                <w:sz w:val="21"/>
              </w:rPr>
            </w:pPr>
          </w:p>
        </w:tc>
      </w:tr>
      <w:tr w14:paraId="7565F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tcBorders>
              <w:left w:val="single" w:color="000000" w:sz="12" w:space="0"/>
            </w:tcBorders>
            <w:vAlign w:val="top"/>
          </w:tcPr>
          <w:p w14:paraId="10D0AC7B">
            <w:pPr>
              <w:spacing w:before="80" w:line="214" w:lineRule="auto"/>
              <w:ind w:left="31"/>
              <w:rPr>
                <w:rFonts w:ascii="宋体" w:hAnsi="宋体" w:eastAsia="宋体" w:cs="宋体"/>
                <w:sz w:val="21"/>
                <w:szCs w:val="21"/>
              </w:rPr>
            </w:pPr>
            <w:r>
              <w:rPr>
                <w:rFonts w:ascii="宋体" w:hAnsi="宋体" w:eastAsia="宋体" w:cs="宋体"/>
                <w:spacing w:val="-4"/>
                <w:sz w:val="21"/>
                <w:szCs w:val="21"/>
              </w:rPr>
              <w:t>喇叭虫</w:t>
            </w:r>
          </w:p>
        </w:tc>
        <w:tc>
          <w:tcPr>
            <w:tcW w:w="3112" w:type="dxa"/>
            <w:vAlign w:val="top"/>
          </w:tcPr>
          <w:p w14:paraId="33C9A241">
            <w:pPr>
              <w:pStyle w:val="6"/>
              <w:spacing w:before="80" w:line="212" w:lineRule="auto"/>
              <w:ind w:left="170"/>
            </w:pPr>
            <w:r>
              <w:rPr>
                <w:rFonts w:ascii="宋体" w:hAnsi="宋体" w:eastAsia="宋体" w:cs="宋体"/>
                <w:spacing w:val="-1"/>
              </w:rPr>
              <w:t>多态喇叭虫</w:t>
            </w:r>
            <w:r>
              <w:rPr>
                <w:rFonts w:ascii="宋体" w:hAnsi="宋体" w:eastAsia="宋体" w:cs="宋体"/>
                <w:spacing w:val="-48"/>
              </w:rPr>
              <w:t xml:space="preserve"> </w:t>
            </w:r>
            <w:r>
              <w:rPr>
                <w:i/>
                <w:iCs/>
                <w:spacing w:val="-1"/>
              </w:rPr>
              <w:t>Stentor  multiformis</w:t>
            </w:r>
          </w:p>
        </w:tc>
        <w:tc>
          <w:tcPr>
            <w:tcW w:w="705" w:type="dxa"/>
            <w:vAlign w:val="top"/>
          </w:tcPr>
          <w:p w14:paraId="79BE064C">
            <w:pPr>
              <w:pStyle w:val="6"/>
              <w:spacing w:before="113" w:line="209" w:lineRule="auto"/>
              <w:ind w:left="291"/>
            </w:pPr>
            <w:r>
              <w:t>+</w:t>
            </w:r>
          </w:p>
        </w:tc>
        <w:tc>
          <w:tcPr>
            <w:tcW w:w="746" w:type="dxa"/>
            <w:vAlign w:val="top"/>
          </w:tcPr>
          <w:p w14:paraId="00430C31">
            <w:pPr>
              <w:pStyle w:val="6"/>
              <w:spacing w:before="113" w:line="209" w:lineRule="auto"/>
              <w:ind w:left="255"/>
            </w:pPr>
            <w:r>
              <w:rPr>
                <w:spacing w:val="-1"/>
              </w:rPr>
              <w:t>++</w:t>
            </w:r>
          </w:p>
        </w:tc>
        <w:tc>
          <w:tcPr>
            <w:tcW w:w="525" w:type="dxa"/>
            <w:vAlign w:val="top"/>
          </w:tcPr>
          <w:p w14:paraId="6603D84E">
            <w:pPr>
              <w:rPr>
                <w:rFonts w:ascii="Arial"/>
                <w:sz w:val="21"/>
              </w:rPr>
            </w:pPr>
          </w:p>
        </w:tc>
        <w:tc>
          <w:tcPr>
            <w:tcW w:w="562" w:type="dxa"/>
            <w:vAlign w:val="top"/>
          </w:tcPr>
          <w:p w14:paraId="3EAEAE3B">
            <w:pPr>
              <w:pStyle w:val="6"/>
              <w:spacing w:before="113" w:line="209" w:lineRule="auto"/>
              <w:ind w:left="226"/>
            </w:pPr>
            <w:r>
              <w:t>+</w:t>
            </w:r>
          </w:p>
        </w:tc>
        <w:tc>
          <w:tcPr>
            <w:tcW w:w="1207" w:type="dxa"/>
            <w:vAlign w:val="top"/>
          </w:tcPr>
          <w:p w14:paraId="1D11A5B9">
            <w:pPr>
              <w:rPr>
                <w:rFonts w:ascii="Arial"/>
                <w:sz w:val="21"/>
              </w:rPr>
            </w:pPr>
          </w:p>
        </w:tc>
        <w:tc>
          <w:tcPr>
            <w:tcW w:w="912" w:type="dxa"/>
            <w:tcBorders>
              <w:right w:val="single" w:color="000000" w:sz="12" w:space="0"/>
            </w:tcBorders>
            <w:vAlign w:val="top"/>
          </w:tcPr>
          <w:p w14:paraId="5B2CBC05">
            <w:pPr>
              <w:pStyle w:val="6"/>
              <w:spacing w:before="113" w:line="209" w:lineRule="auto"/>
              <w:ind w:left="397"/>
            </w:pPr>
            <w:r>
              <w:t>+</w:t>
            </w:r>
          </w:p>
        </w:tc>
      </w:tr>
      <w:tr w14:paraId="0B1A3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66CE0184">
            <w:pPr>
              <w:spacing w:before="79" w:line="213" w:lineRule="auto"/>
              <w:ind w:left="27"/>
              <w:rPr>
                <w:rFonts w:ascii="宋体" w:hAnsi="宋体" w:eastAsia="宋体" w:cs="宋体"/>
                <w:sz w:val="21"/>
                <w:szCs w:val="21"/>
              </w:rPr>
            </w:pPr>
            <w:r>
              <w:rPr>
                <w:rFonts w:ascii="宋体" w:hAnsi="宋体" w:eastAsia="宋体" w:cs="宋体"/>
                <w:spacing w:val="-3"/>
                <w:sz w:val="21"/>
                <w:szCs w:val="21"/>
              </w:rPr>
              <w:t>弹跳虫</w:t>
            </w:r>
          </w:p>
        </w:tc>
        <w:tc>
          <w:tcPr>
            <w:tcW w:w="3112" w:type="dxa"/>
            <w:vAlign w:val="top"/>
          </w:tcPr>
          <w:p w14:paraId="25DDB86C">
            <w:pPr>
              <w:pStyle w:val="6"/>
              <w:spacing w:before="79" w:line="212" w:lineRule="auto"/>
              <w:ind w:left="209"/>
            </w:pPr>
            <w:r>
              <w:rPr>
                <w:rFonts w:ascii="宋体" w:hAnsi="宋体" w:eastAsia="宋体" w:cs="宋体"/>
              </w:rPr>
              <w:t>大弹跳虫</w:t>
            </w:r>
            <w:r>
              <w:rPr>
                <w:rFonts w:ascii="宋体" w:hAnsi="宋体" w:eastAsia="宋体" w:cs="宋体"/>
                <w:spacing w:val="-58"/>
              </w:rPr>
              <w:t xml:space="preserve"> </w:t>
            </w:r>
            <w:r>
              <w:rPr>
                <w:i/>
                <w:iCs/>
              </w:rPr>
              <w:t>Halteria</w:t>
            </w:r>
            <w:r>
              <w:rPr>
                <w:i/>
                <w:iCs/>
                <w:spacing w:val="46"/>
              </w:rPr>
              <w:t xml:space="preserve"> </w:t>
            </w:r>
            <w:r>
              <w:rPr>
                <w:i/>
                <w:iCs/>
              </w:rPr>
              <w:t>grandinella</w:t>
            </w:r>
          </w:p>
        </w:tc>
        <w:tc>
          <w:tcPr>
            <w:tcW w:w="705" w:type="dxa"/>
            <w:vAlign w:val="top"/>
          </w:tcPr>
          <w:p w14:paraId="46F4BFD5">
            <w:pPr>
              <w:pStyle w:val="6"/>
              <w:spacing w:before="113" w:line="207" w:lineRule="auto"/>
              <w:ind w:left="291"/>
            </w:pPr>
            <w:r>
              <w:t>+</w:t>
            </w:r>
          </w:p>
        </w:tc>
        <w:tc>
          <w:tcPr>
            <w:tcW w:w="746" w:type="dxa"/>
            <w:vAlign w:val="top"/>
          </w:tcPr>
          <w:p w14:paraId="657A9958">
            <w:pPr>
              <w:pStyle w:val="6"/>
              <w:spacing w:before="113" w:line="207" w:lineRule="auto"/>
              <w:ind w:left="314"/>
            </w:pPr>
            <w:r>
              <w:t>+</w:t>
            </w:r>
          </w:p>
        </w:tc>
        <w:tc>
          <w:tcPr>
            <w:tcW w:w="525" w:type="dxa"/>
            <w:vAlign w:val="top"/>
          </w:tcPr>
          <w:p w14:paraId="04F17165">
            <w:pPr>
              <w:pStyle w:val="6"/>
              <w:spacing w:before="113" w:line="207" w:lineRule="auto"/>
              <w:ind w:left="205"/>
            </w:pPr>
            <w:r>
              <w:t>+</w:t>
            </w:r>
          </w:p>
        </w:tc>
        <w:tc>
          <w:tcPr>
            <w:tcW w:w="562" w:type="dxa"/>
            <w:vAlign w:val="top"/>
          </w:tcPr>
          <w:p w14:paraId="4E4BC449">
            <w:pPr>
              <w:pStyle w:val="6"/>
              <w:spacing w:before="113" w:line="207" w:lineRule="auto"/>
              <w:ind w:left="226"/>
            </w:pPr>
            <w:r>
              <w:t>+</w:t>
            </w:r>
          </w:p>
        </w:tc>
        <w:tc>
          <w:tcPr>
            <w:tcW w:w="1207" w:type="dxa"/>
            <w:vAlign w:val="top"/>
          </w:tcPr>
          <w:p w14:paraId="6009EFB5">
            <w:pPr>
              <w:pStyle w:val="6"/>
              <w:spacing w:before="113" w:line="207" w:lineRule="auto"/>
              <w:ind w:left="552"/>
            </w:pPr>
            <w:r>
              <w:t>+</w:t>
            </w:r>
          </w:p>
        </w:tc>
        <w:tc>
          <w:tcPr>
            <w:tcW w:w="912" w:type="dxa"/>
            <w:tcBorders>
              <w:right w:val="single" w:color="000000" w:sz="12" w:space="0"/>
            </w:tcBorders>
            <w:vAlign w:val="top"/>
          </w:tcPr>
          <w:p w14:paraId="7A556C7A">
            <w:pPr>
              <w:rPr>
                <w:rFonts w:ascii="Arial"/>
                <w:sz w:val="21"/>
              </w:rPr>
            </w:pPr>
          </w:p>
        </w:tc>
      </w:tr>
      <w:tr w14:paraId="76EEA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630DB1E5">
            <w:pPr>
              <w:spacing w:before="253" w:line="220" w:lineRule="auto"/>
              <w:ind w:left="27"/>
              <w:rPr>
                <w:rFonts w:ascii="宋体" w:hAnsi="宋体" w:eastAsia="宋体" w:cs="宋体"/>
                <w:sz w:val="21"/>
                <w:szCs w:val="21"/>
              </w:rPr>
            </w:pPr>
            <w:r>
              <w:rPr>
                <w:rFonts w:ascii="宋体" w:hAnsi="宋体" w:eastAsia="宋体" w:cs="宋体"/>
                <w:spacing w:val="-3"/>
                <w:sz w:val="21"/>
                <w:szCs w:val="21"/>
              </w:rPr>
              <w:t>筒壳虫</w:t>
            </w:r>
          </w:p>
        </w:tc>
        <w:tc>
          <w:tcPr>
            <w:tcW w:w="3112" w:type="dxa"/>
            <w:vAlign w:val="top"/>
          </w:tcPr>
          <w:p w14:paraId="531B7B43">
            <w:pPr>
              <w:pStyle w:val="6"/>
              <w:spacing w:before="80" w:line="213" w:lineRule="auto"/>
              <w:ind w:left="206"/>
            </w:pPr>
            <w:r>
              <w:rPr>
                <w:rFonts w:ascii="宋体" w:hAnsi="宋体" w:eastAsia="宋体" w:cs="宋体"/>
                <w:spacing w:val="-2"/>
              </w:rPr>
              <w:t>小筒壳虫</w:t>
            </w:r>
            <w:r>
              <w:rPr>
                <w:rFonts w:ascii="宋体" w:hAnsi="宋体" w:eastAsia="宋体" w:cs="宋体"/>
                <w:spacing w:val="-20"/>
              </w:rPr>
              <w:t xml:space="preserve"> </w:t>
            </w:r>
            <w:r>
              <w:rPr>
                <w:i/>
                <w:iCs/>
                <w:spacing w:val="-2"/>
              </w:rPr>
              <w:t>Tintinnidiumpusillum</w:t>
            </w:r>
          </w:p>
        </w:tc>
        <w:tc>
          <w:tcPr>
            <w:tcW w:w="705" w:type="dxa"/>
            <w:vAlign w:val="top"/>
          </w:tcPr>
          <w:p w14:paraId="379C7936">
            <w:pPr>
              <w:pStyle w:val="6"/>
              <w:spacing w:before="114" w:line="207" w:lineRule="auto"/>
              <w:ind w:left="291"/>
            </w:pPr>
            <w:r>
              <w:t>+</w:t>
            </w:r>
          </w:p>
        </w:tc>
        <w:tc>
          <w:tcPr>
            <w:tcW w:w="746" w:type="dxa"/>
            <w:vAlign w:val="top"/>
          </w:tcPr>
          <w:p w14:paraId="24A84C52">
            <w:pPr>
              <w:rPr>
                <w:rFonts w:ascii="Arial"/>
                <w:sz w:val="21"/>
              </w:rPr>
            </w:pPr>
          </w:p>
        </w:tc>
        <w:tc>
          <w:tcPr>
            <w:tcW w:w="525" w:type="dxa"/>
            <w:vAlign w:val="top"/>
          </w:tcPr>
          <w:p w14:paraId="488869BB">
            <w:pPr>
              <w:pStyle w:val="6"/>
              <w:spacing w:before="114" w:line="207" w:lineRule="auto"/>
              <w:ind w:left="147"/>
            </w:pPr>
            <w:r>
              <w:rPr>
                <w:spacing w:val="-1"/>
              </w:rPr>
              <w:t>++</w:t>
            </w:r>
          </w:p>
        </w:tc>
        <w:tc>
          <w:tcPr>
            <w:tcW w:w="562" w:type="dxa"/>
            <w:vAlign w:val="top"/>
          </w:tcPr>
          <w:p w14:paraId="593EF095">
            <w:pPr>
              <w:pStyle w:val="6"/>
              <w:spacing w:before="114" w:line="207" w:lineRule="auto"/>
              <w:ind w:left="108"/>
            </w:pPr>
            <w:r>
              <w:rPr>
                <w:spacing w:val="-1"/>
              </w:rPr>
              <w:t>+++</w:t>
            </w:r>
          </w:p>
        </w:tc>
        <w:tc>
          <w:tcPr>
            <w:tcW w:w="1207" w:type="dxa"/>
            <w:vAlign w:val="top"/>
          </w:tcPr>
          <w:p w14:paraId="41396F0F">
            <w:pPr>
              <w:pStyle w:val="6"/>
              <w:spacing w:before="114" w:line="207" w:lineRule="auto"/>
              <w:ind w:left="552"/>
            </w:pPr>
            <w:r>
              <w:t>+</w:t>
            </w:r>
          </w:p>
        </w:tc>
        <w:tc>
          <w:tcPr>
            <w:tcW w:w="912" w:type="dxa"/>
            <w:tcBorders>
              <w:right w:val="single" w:color="000000" w:sz="12" w:space="0"/>
            </w:tcBorders>
            <w:vAlign w:val="top"/>
          </w:tcPr>
          <w:p w14:paraId="4DBF7BAF">
            <w:pPr>
              <w:pStyle w:val="6"/>
              <w:spacing w:before="114" w:line="207" w:lineRule="auto"/>
              <w:ind w:left="397"/>
            </w:pPr>
            <w:r>
              <w:t>+</w:t>
            </w:r>
          </w:p>
        </w:tc>
      </w:tr>
      <w:tr w14:paraId="11305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53908811">
            <w:pPr>
              <w:rPr>
                <w:rFonts w:ascii="Arial"/>
                <w:sz w:val="21"/>
              </w:rPr>
            </w:pPr>
          </w:p>
        </w:tc>
        <w:tc>
          <w:tcPr>
            <w:tcW w:w="3112" w:type="dxa"/>
            <w:vAlign w:val="top"/>
          </w:tcPr>
          <w:p w14:paraId="0BA7BD94">
            <w:pPr>
              <w:pStyle w:val="6"/>
              <w:spacing w:before="81" w:line="211" w:lineRule="auto"/>
              <w:ind w:left="30"/>
            </w:pPr>
            <w:r>
              <w:rPr>
                <w:rFonts w:ascii="宋体" w:hAnsi="宋体" w:eastAsia="宋体" w:cs="宋体"/>
                <w:spacing w:val="2"/>
              </w:rPr>
              <w:t>河生筒壳虫</w:t>
            </w:r>
            <w:r>
              <w:rPr>
                <w:rFonts w:ascii="宋体" w:hAnsi="宋体" w:eastAsia="宋体" w:cs="宋体"/>
                <w:spacing w:val="-34"/>
              </w:rPr>
              <w:t xml:space="preserve"> </w:t>
            </w:r>
            <w:r>
              <w:rPr>
                <w:i/>
                <w:iCs/>
              </w:rPr>
              <w:t>Tintinnidium</w:t>
            </w:r>
            <w:r>
              <w:rPr>
                <w:i/>
                <w:iCs/>
                <w:spacing w:val="15"/>
                <w:w w:val="101"/>
              </w:rPr>
              <w:t xml:space="preserve"> </w:t>
            </w:r>
            <w:r>
              <w:rPr>
                <w:i/>
                <w:iCs/>
              </w:rPr>
              <w:t>fluviatile</w:t>
            </w:r>
          </w:p>
        </w:tc>
        <w:tc>
          <w:tcPr>
            <w:tcW w:w="705" w:type="dxa"/>
            <w:vAlign w:val="top"/>
          </w:tcPr>
          <w:p w14:paraId="712E5765">
            <w:pPr>
              <w:pStyle w:val="6"/>
              <w:spacing w:before="115" w:line="205" w:lineRule="auto"/>
              <w:ind w:left="291"/>
            </w:pPr>
            <w:r>
              <w:t>+</w:t>
            </w:r>
          </w:p>
        </w:tc>
        <w:tc>
          <w:tcPr>
            <w:tcW w:w="746" w:type="dxa"/>
            <w:vAlign w:val="top"/>
          </w:tcPr>
          <w:p w14:paraId="553E02A0">
            <w:pPr>
              <w:pStyle w:val="6"/>
              <w:spacing w:before="115" w:line="205" w:lineRule="auto"/>
              <w:ind w:left="255"/>
            </w:pPr>
            <w:r>
              <w:rPr>
                <w:spacing w:val="-1"/>
              </w:rPr>
              <w:t>++</w:t>
            </w:r>
          </w:p>
        </w:tc>
        <w:tc>
          <w:tcPr>
            <w:tcW w:w="525" w:type="dxa"/>
            <w:vAlign w:val="top"/>
          </w:tcPr>
          <w:p w14:paraId="532758F2">
            <w:pPr>
              <w:pStyle w:val="6"/>
              <w:spacing w:before="115" w:line="205" w:lineRule="auto"/>
              <w:ind w:left="205"/>
            </w:pPr>
            <w:r>
              <w:t>+</w:t>
            </w:r>
          </w:p>
        </w:tc>
        <w:tc>
          <w:tcPr>
            <w:tcW w:w="562" w:type="dxa"/>
            <w:vAlign w:val="top"/>
          </w:tcPr>
          <w:p w14:paraId="53536BFE">
            <w:pPr>
              <w:pStyle w:val="6"/>
              <w:spacing w:before="115" w:line="205" w:lineRule="auto"/>
              <w:ind w:left="168"/>
            </w:pPr>
            <w:r>
              <w:rPr>
                <w:spacing w:val="-1"/>
              </w:rPr>
              <w:t>++</w:t>
            </w:r>
          </w:p>
        </w:tc>
        <w:tc>
          <w:tcPr>
            <w:tcW w:w="1207" w:type="dxa"/>
            <w:vAlign w:val="top"/>
          </w:tcPr>
          <w:p w14:paraId="39119CB9">
            <w:pPr>
              <w:pStyle w:val="6"/>
              <w:spacing w:before="115" w:line="205" w:lineRule="auto"/>
              <w:ind w:left="552"/>
            </w:pPr>
            <w:r>
              <w:t>+</w:t>
            </w:r>
          </w:p>
        </w:tc>
        <w:tc>
          <w:tcPr>
            <w:tcW w:w="912" w:type="dxa"/>
            <w:tcBorders>
              <w:right w:val="single" w:color="000000" w:sz="12" w:space="0"/>
            </w:tcBorders>
            <w:vAlign w:val="top"/>
          </w:tcPr>
          <w:p w14:paraId="31EE9964">
            <w:pPr>
              <w:rPr>
                <w:rFonts w:ascii="Arial"/>
                <w:sz w:val="21"/>
              </w:rPr>
            </w:pPr>
          </w:p>
        </w:tc>
      </w:tr>
      <w:tr w14:paraId="2099C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10DC66C5">
            <w:pPr>
              <w:spacing w:before="254" w:line="221" w:lineRule="auto"/>
              <w:ind w:left="130"/>
              <w:rPr>
                <w:rFonts w:ascii="宋体" w:hAnsi="宋体" w:eastAsia="宋体" w:cs="宋体"/>
                <w:sz w:val="21"/>
                <w:szCs w:val="21"/>
              </w:rPr>
            </w:pPr>
            <w:r>
              <w:rPr>
                <w:rFonts w:ascii="宋体" w:hAnsi="宋体" w:eastAsia="宋体" w:cs="宋体"/>
                <w:spacing w:val="-3"/>
                <w:sz w:val="21"/>
                <w:szCs w:val="21"/>
              </w:rPr>
              <w:t>钟虫</w:t>
            </w:r>
          </w:p>
        </w:tc>
        <w:tc>
          <w:tcPr>
            <w:tcW w:w="3112" w:type="dxa"/>
            <w:vAlign w:val="top"/>
          </w:tcPr>
          <w:p w14:paraId="343DC3AB">
            <w:pPr>
              <w:pStyle w:val="6"/>
              <w:spacing w:before="82" w:line="211" w:lineRule="auto"/>
              <w:ind w:left="270"/>
            </w:pPr>
            <w:r>
              <w:rPr>
                <w:rFonts w:ascii="宋体" w:hAnsi="宋体" w:eastAsia="宋体" w:cs="宋体"/>
                <w:spacing w:val="-1"/>
              </w:rPr>
              <w:t>沟钟虫</w:t>
            </w:r>
            <w:r>
              <w:rPr>
                <w:rFonts w:ascii="宋体" w:hAnsi="宋体" w:eastAsia="宋体" w:cs="宋体"/>
                <w:spacing w:val="-35"/>
              </w:rPr>
              <w:t xml:space="preserve"> </w:t>
            </w:r>
            <w:r>
              <w:rPr>
                <w:i/>
                <w:iCs/>
                <w:spacing w:val="-1"/>
              </w:rPr>
              <w:t>vorticella  convallaria</w:t>
            </w:r>
          </w:p>
        </w:tc>
        <w:tc>
          <w:tcPr>
            <w:tcW w:w="705" w:type="dxa"/>
            <w:vAlign w:val="top"/>
          </w:tcPr>
          <w:p w14:paraId="05FF971C">
            <w:pPr>
              <w:pStyle w:val="6"/>
              <w:spacing w:before="116" w:line="205" w:lineRule="auto"/>
              <w:ind w:left="232"/>
            </w:pPr>
            <w:r>
              <w:rPr>
                <w:spacing w:val="-1"/>
              </w:rPr>
              <w:t>++</w:t>
            </w:r>
          </w:p>
        </w:tc>
        <w:tc>
          <w:tcPr>
            <w:tcW w:w="746" w:type="dxa"/>
            <w:vAlign w:val="top"/>
          </w:tcPr>
          <w:p w14:paraId="3B55797A">
            <w:pPr>
              <w:pStyle w:val="6"/>
              <w:spacing w:before="116" w:line="205" w:lineRule="auto"/>
              <w:ind w:left="314"/>
            </w:pPr>
            <w:r>
              <w:t>+</w:t>
            </w:r>
          </w:p>
        </w:tc>
        <w:tc>
          <w:tcPr>
            <w:tcW w:w="525" w:type="dxa"/>
            <w:vAlign w:val="top"/>
          </w:tcPr>
          <w:p w14:paraId="795BDF65">
            <w:pPr>
              <w:pStyle w:val="6"/>
              <w:spacing w:before="116" w:line="205" w:lineRule="auto"/>
              <w:ind w:left="205"/>
            </w:pPr>
            <w:r>
              <w:t>+</w:t>
            </w:r>
          </w:p>
        </w:tc>
        <w:tc>
          <w:tcPr>
            <w:tcW w:w="562" w:type="dxa"/>
            <w:vAlign w:val="top"/>
          </w:tcPr>
          <w:p w14:paraId="6D4F57C3">
            <w:pPr>
              <w:pStyle w:val="6"/>
              <w:spacing w:before="116" w:line="205" w:lineRule="auto"/>
              <w:ind w:left="226"/>
            </w:pPr>
            <w:r>
              <w:t>+</w:t>
            </w:r>
          </w:p>
        </w:tc>
        <w:tc>
          <w:tcPr>
            <w:tcW w:w="1207" w:type="dxa"/>
            <w:vAlign w:val="top"/>
          </w:tcPr>
          <w:p w14:paraId="2AB0497F">
            <w:pPr>
              <w:pStyle w:val="6"/>
              <w:spacing w:before="116" w:line="205" w:lineRule="auto"/>
              <w:ind w:left="552"/>
            </w:pPr>
            <w:r>
              <w:t>+</w:t>
            </w:r>
          </w:p>
        </w:tc>
        <w:tc>
          <w:tcPr>
            <w:tcW w:w="912" w:type="dxa"/>
            <w:tcBorders>
              <w:right w:val="single" w:color="000000" w:sz="12" w:space="0"/>
            </w:tcBorders>
            <w:vAlign w:val="top"/>
          </w:tcPr>
          <w:p w14:paraId="6A1B8CC9">
            <w:pPr>
              <w:rPr>
                <w:rFonts w:ascii="Arial"/>
                <w:sz w:val="21"/>
              </w:rPr>
            </w:pPr>
          </w:p>
        </w:tc>
      </w:tr>
      <w:tr w14:paraId="63506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0F22FE45">
            <w:pPr>
              <w:rPr>
                <w:rFonts w:ascii="Arial"/>
                <w:sz w:val="21"/>
              </w:rPr>
            </w:pPr>
          </w:p>
        </w:tc>
        <w:tc>
          <w:tcPr>
            <w:tcW w:w="3112" w:type="dxa"/>
            <w:vAlign w:val="top"/>
          </w:tcPr>
          <w:p w14:paraId="38F63687">
            <w:pPr>
              <w:pStyle w:val="6"/>
              <w:spacing w:before="83" w:line="210" w:lineRule="auto"/>
              <w:ind w:left="358"/>
            </w:pPr>
            <w:r>
              <w:rPr>
                <w:rFonts w:ascii="宋体" w:hAnsi="宋体" w:eastAsia="宋体" w:cs="宋体"/>
                <w:spacing w:val="-1"/>
              </w:rPr>
              <w:t>领钟虫</w:t>
            </w:r>
            <w:r>
              <w:rPr>
                <w:rFonts w:ascii="宋体" w:hAnsi="宋体" w:eastAsia="宋体" w:cs="宋体"/>
                <w:spacing w:val="-37"/>
              </w:rPr>
              <w:t xml:space="preserve"> </w:t>
            </w:r>
            <w:r>
              <w:rPr>
                <w:i/>
                <w:iCs/>
                <w:spacing w:val="-1"/>
              </w:rPr>
              <w:t>vorticella  acquilata</w:t>
            </w:r>
          </w:p>
        </w:tc>
        <w:tc>
          <w:tcPr>
            <w:tcW w:w="705" w:type="dxa"/>
            <w:vAlign w:val="top"/>
          </w:tcPr>
          <w:p w14:paraId="2540D36E">
            <w:pPr>
              <w:pStyle w:val="6"/>
              <w:spacing w:before="117" w:line="203" w:lineRule="auto"/>
              <w:ind w:left="232"/>
            </w:pPr>
            <w:r>
              <w:rPr>
                <w:spacing w:val="-1"/>
              </w:rPr>
              <w:t>++</w:t>
            </w:r>
          </w:p>
        </w:tc>
        <w:tc>
          <w:tcPr>
            <w:tcW w:w="746" w:type="dxa"/>
            <w:vAlign w:val="top"/>
          </w:tcPr>
          <w:p w14:paraId="3E08B148">
            <w:pPr>
              <w:pStyle w:val="6"/>
              <w:spacing w:before="117" w:line="203" w:lineRule="auto"/>
              <w:ind w:left="314"/>
            </w:pPr>
            <w:r>
              <w:t>+</w:t>
            </w:r>
          </w:p>
        </w:tc>
        <w:tc>
          <w:tcPr>
            <w:tcW w:w="525" w:type="dxa"/>
            <w:vAlign w:val="top"/>
          </w:tcPr>
          <w:p w14:paraId="4CEF40D4">
            <w:pPr>
              <w:pStyle w:val="6"/>
              <w:spacing w:before="117" w:line="203" w:lineRule="auto"/>
              <w:ind w:left="147"/>
            </w:pPr>
            <w:r>
              <w:rPr>
                <w:spacing w:val="-1"/>
              </w:rPr>
              <w:t>++</w:t>
            </w:r>
          </w:p>
        </w:tc>
        <w:tc>
          <w:tcPr>
            <w:tcW w:w="562" w:type="dxa"/>
            <w:vAlign w:val="top"/>
          </w:tcPr>
          <w:p w14:paraId="01D5CD5E">
            <w:pPr>
              <w:rPr>
                <w:rFonts w:ascii="Arial"/>
                <w:sz w:val="21"/>
              </w:rPr>
            </w:pPr>
          </w:p>
        </w:tc>
        <w:tc>
          <w:tcPr>
            <w:tcW w:w="1207" w:type="dxa"/>
            <w:vAlign w:val="top"/>
          </w:tcPr>
          <w:p w14:paraId="7A1624EA">
            <w:pPr>
              <w:pStyle w:val="6"/>
              <w:spacing w:before="117" w:line="203" w:lineRule="auto"/>
              <w:ind w:left="552"/>
            </w:pPr>
            <w:r>
              <w:t>+</w:t>
            </w:r>
          </w:p>
        </w:tc>
        <w:tc>
          <w:tcPr>
            <w:tcW w:w="912" w:type="dxa"/>
            <w:tcBorders>
              <w:right w:val="single" w:color="000000" w:sz="12" w:space="0"/>
            </w:tcBorders>
            <w:vAlign w:val="top"/>
          </w:tcPr>
          <w:p w14:paraId="72046842">
            <w:pPr>
              <w:pStyle w:val="6"/>
              <w:spacing w:before="117" w:line="203" w:lineRule="auto"/>
              <w:ind w:left="397"/>
            </w:pPr>
            <w:r>
              <w:t>+</w:t>
            </w:r>
          </w:p>
        </w:tc>
      </w:tr>
      <w:tr w14:paraId="3BEB7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046B0D9D">
            <w:pPr>
              <w:spacing w:before="256" w:line="220" w:lineRule="auto"/>
              <w:ind w:left="31"/>
              <w:rPr>
                <w:rFonts w:ascii="宋体" w:hAnsi="宋体" w:eastAsia="宋体" w:cs="宋体"/>
                <w:sz w:val="21"/>
                <w:szCs w:val="21"/>
              </w:rPr>
            </w:pPr>
            <w:r>
              <w:rPr>
                <w:rFonts w:ascii="宋体" w:hAnsi="宋体" w:eastAsia="宋体" w:cs="宋体"/>
                <w:spacing w:val="-4"/>
                <w:sz w:val="21"/>
                <w:szCs w:val="21"/>
              </w:rPr>
              <w:t>累枝虫</w:t>
            </w:r>
          </w:p>
        </w:tc>
        <w:tc>
          <w:tcPr>
            <w:tcW w:w="3112" w:type="dxa"/>
            <w:vAlign w:val="top"/>
          </w:tcPr>
          <w:p w14:paraId="42C9BF0E">
            <w:pPr>
              <w:pStyle w:val="6"/>
              <w:spacing w:before="85" w:line="209" w:lineRule="auto"/>
              <w:ind w:left="322"/>
            </w:pPr>
            <w:r>
              <w:rPr>
                <w:rFonts w:ascii="宋体" w:hAnsi="宋体" w:eastAsia="宋体" w:cs="宋体"/>
                <w:spacing w:val="5"/>
              </w:rPr>
              <w:t>褶累枝虫</w:t>
            </w:r>
            <w:r>
              <w:rPr>
                <w:rFonts w:ascii="宋体" w:hAnsi="宋体" w:eastAsia="宋体" w:cs="宋体"/>
                <w:spacing w:val="-57"/>
              </w:rPr>
              <w:t xml:space="preserve"> </w:t>
            </w:r>
            <w:r>
              <w:rPr>
                <w:i/>
                <w:iCs/>
              </w:rPr>
              <w:t>Epistylis</w:t>
            </w:r>
            <w:r>
              <w:rPr>
                <w:i/>
                <w:iCs/>
                <w:spacing w:val="28"/>
                <w:w w:val="101"/>
              </w:rPr>
              <w:t xml:space="preserve"> </w:t>
            </w:r>
            <w:r>
              <w:rPr>
                <w:i/>
                <w:iCs/>
              </w:rPr>
              <w:t>plicatilis</w:t>
            </w:r>
          </w:p>
        </w:tc>
        <w:tc>
          <w:tcPr>
            <w:tcW w:w="705" w:type="dxa"/>
            <w:vAlign w:val="top"/>
          </w:tcPr>
          <w:p w14:paraId="753B4C22">
            <w:pPr>
              <w:rPr>
                <w:rFonts w:ascii="Arial"/>
                <w:sz w:val="21"/>
              </w:rPr>
            </w:pPr>
          </w:p>
        </w:tc>
        <w:tc>
          <w:tcPr>
            <w:tcW w:w="746" w:type="dxa"/>
            <w:vAlign w:val="top"/>
          </w:tcPr>
          <w:p w14:paraId="369E41D6">
            <w:pPr>
              <w:pStyle w:val="6"/>
              <w:spacing w:before="118" w:line="203" w:lineRule="auto"/>
              <w:ind w:left="255"/>
            </w:pPr>
            <w:r>
              <w:rPr>
                <w:spacing w:val="-1"/>
              </w:rPr>
              <w:t>++</w:t>
            </w:r>
          </w:p>
        </w:tc>
        <w:tc>
          <w:tcPr>
            <w:tcW w:w="525" w:type="dxa"/>
            <w:vAlign w:val="top"/>
          </w:tcPr>
          <w:p w14:paraId="76F091A5">
            <w:pPr>
              <w:pStyle w:val="6"/>
              <w:spacing w:before="118" w:line="203" w:lineRule="auto"/>
              <w:ind w:left="205"/>
            </w:pPr>
            <w:r>
              <w:t>+</w:t>
            </w:r>
          </w:p>
        </w:tc>
        <w:tc>
          <w:tcPr>
            <w:tcW w:w="562" w:type="dxa"/>
            <w:vAlign w:val="top"/>
          </w:tcPr>
          <w:p w14:paraId="0C22269C">
            <w:pPr>
              <w:pStyle w:val="6"/>
              <w:spacing w:before="118" w:line="203" w:lineRule="auto"/>
              <w:ind w:left="168"/>
            </w:pPr>
            <w:r>
              <w:rPr>
                <w:spacing w:val="-1"/>
              </w:rPr>
              <w:t>++</w:t>
            </w:r>
          </w:p>
        </w:tc>
        <w:tc>
          <w:tcPr>
            <w:tcW w:w="1207" w:type="dxa"/>
            <w:vAlign w:val="top"/>
          </w:tcPr>
          <w:p w14:paraId="7F5817D2">
            <w:pPr>
              <w:pStyle w:val="6"/>
              <w:spacing w:before="118" w:line="203" w:lineRule="auto"/>
              <w:ind w:left="552"/>
            </w:pPr>
            <w:r>
              <w:t>+</w:t>
            </w:r>
          </w:p>
        </w:tc>
        <w:tc>
          <w:tcPr>
            <w:tcW w:w="912" w:type="dxa"/>
            <w:tcBorders>
              <w:right w:val="single" w:color="000000" w:sz="12" w:space="0"/>
            </w:tcBorders>
            <w:vAlign w:val="top"/>
          </w:tcPr>
          <w:p w14:paraId="02D64879">
            <w:pPr>
              <w:pStyle w:val="6"/>
              <w:spacing w:before="118" w:line="203" w:lineRule="auto"/>
              <w:ind w:left="397"/>
            </w:pPr>
            <w:r>
              <w:t>+</w:t>
            </w:r>
          </w:p>
        </w:tc>
      </w:tr>
      <w:tr w14:paraId="5A51B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2436CC6F">
            <w:pPr>
              <w:rPr>
                <w:rFonts w:ascii="Arial"/>
                <w:sz w:val="21"/>
              </w:rPr>
            </w:pPr>
          </w:p>
        </w:tc>
        <w:tc>
          <w:tcPr>
            <w:tcW w:w="3112" w:type="dxa"/>
            <w:vAlign w:val="top"/>
          </w:tcPr>
          <w:p w14:paraId="2781AA2E">
            <w:pPr>
              <w:pStyle w:val="6"/>
              <w:spacing w:before="85" w:line="209" w:lineRule="auto"/>
              <w:ind w:left="328"/>
            </w:pPr>
            <w:r>
              <w:rPr>
                <w:rFonts w:ascii="宋体" w:hAnsi="宋体" w:eastAsia="宋体" w:cs="宋体"/>
              </w:rPr>
              <w:t>湖累枝虫</w:t>
            </w:r>
            <w:r>
              <w:rPr>
                <w:rFonts w:ascii="宋体" w:hAnsi="宋体" w:eastAsia="宋体" w:cs="宋体"/>
                <w:spacing w:val="-57"/>
              </w:rPr>
              <w:t xml:space="preserve"> </w:t>
            </w:r>
            <w:r>
              <w:rPr>
                <w:i/>
                <w:iCs/>
              </w:rPr>
              <w:t>Epistylis  lacust</w:t>
            </w:r>
            <w:r>
              <w:rPr>
                <w:i/>
                <w:iCs/>
                <w:spacing w:val="-1"/>
              </w:rPr>
              <w:t>ris</w:t>
            </w:r>
          </w:p>
        </w:tc>
        <w:tc>
          <w:tcPr>
            <w:tcW w:w="705" w:type="dxa"/>
            <w:vAlign w:val="top"/>
          </w:tcPr>
          <w:p w14:paraId="77AB2490">
            <w:pPr>
              <w:pStyle w:val="6"/>
              <w:spacing w:before="118" w:line="203" w:lineRule="auto"/>
              <w:ind w:left="232"/>
            </w:pPr>
            <w:r>
              <w:rPr>
                <w:spacing w:val="-1"/>
              </w:rPr>
              <w:t>++</w:t>
            </w:r>
          </w:p>
        </w:tc>
        <w:tc>
          <w:tcPr>
            <w:tcW w:w="746" w:type="dxa"/>
            <w:vAlign w:val="top"/>
          </w:tcPr>
          <w:p w14:paraId="789EAA63">
            <w:pPr>
              <w:rPr>
                <w:rFonts w:ascii="Arial"/>
                <w:sz w:val="21"/>
              </w:rPr>
            </w:pPr>
          </w:p>
        </w:tc>
        <w:tc>
          <w:tcPr>
            <w:tcW w:w="525" w:type="dxa"/>
            <w:vAlign w:val="top"/>
          </w:tcPr>
          <w:p w14:paraId="38E587F8">
            <w:pPr>
              <w:pStyle w:val="6"/>
              <w:spacing w:before="118" w:line="203" w:lineRule="auto"/>
              <w:ind w:left="205"/>
            </w:pPr>
            <w:r>
              <w:t>+</w:t>
            </w:r>
          </w:p>
        </w:tc>
        <w:tc>
          <w:tcPr>
            <w:tcW w:w="562" w:type="dxa"/>
            <w:vAlign w:val="top"/>
          </w:tcPr>
          <w:p w14:paraId="5F393157">
            <w:pPr>
              <w:pStyle w:val="6"/>
              <w:spacing w:before="118" w:line="203" w:lineRule="auto"/>
              <w:ind w:left="226"/>
            </w:pPr>
            <w:r>
              <w:t>+</w:t>
            </w:r>
          </w:p>
        </w:tc>
        <w:tc>
          <w:tcPr>
            <w:tcW w:w="1207" w:type="dxa"/>
            <w:vAlign w:val="top"/>
          </w:tcPr>
          <w:p w14:paraId="52201F97">
            <w:pPr>
              <w:pStyle w:val="6"/>
              <w:spacing w:before="118" w:line="203" w:lineRule="auto"/>
              <w:ind w:left="552"/>
            </w:pPr>
            <w:r>
              <w:t>+</w:t>
            </w:r>
          </w:p>
        </w:tc>
        <w:tc>
          <w:tcPr>
            <w:tcW w:w="912" w:type="dxa"/>
            <w:tcBorders>
              <w:right w:val="single" w:color="000000" w:sz="12" w:space="0"/>
            </w:tcBorders>
            <w:vAlign w:val="top"/>
          </w:tcPr>
          <w:p w14:paraId="53907B4A">
            <w:pPr>
              <w:pStyle w:val="6"/>
              <w:spacing w:before="118" w:line="203" w:lineRule="auto"/>
              <w:ind w:left="397"/>
            </w:pPr>
            <w:r>
              <w:t>+</w:t>
            </w:r>
          </w:p>
        </w:tc>
      </w:tr>
      <w:tr w14:paraId="3F121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vMerge w:val="restart"/>
            <w:tcBorders>
              <w:left w:val="single" w:color="000000" w:sz="12" w:space="0"/>
              <w:bottom w:val="nil"/>
            </w:tcBorders>
            <w:vAlign w:val="top"/>
          </w:tcPr>
          <w:p w14:paraId="592984FF">
            <w:pPr>
              <w:spacing w:before="256" w:line="220" w:lineRule="auto"/>
              <w:ind w:left="37"/>
              <w:rPr>
                <w:rFonts w:ascii="宋体" w:hAnsi="宋体" w:eastAsia="宋体" w:cs="宋体"/>
                <w:sz w:val="21"/>
                <w:szCs w:val="21"/>
              </w:rPr>
            </w:pPr>
            <w:r>
              <w:rPr>
                <w:rFonts w:ascii="宋体" w:hAnsi="宋体" w:eastAsia="宋体" w:cs="宋体"/>
                <w:spacing w:val="-5"/>
                <w:sz w:val="21"/>
                <w:szCs w:val="21"/>
              </w:rPr>
              <w:t>匣壳虫</w:t>
            </w:r>
          </w:p>
        </w:tc>
        <w:tc>
          <w:tcPr>
            <w:tcW w:w="3112" w:type="dxa"/>
            <w:vAlign w:val="top"/>
          </w:tcPr>
          <w:p w14:paraId="70A9F45D">
            <w:pPr>
              <w:pStyle w:val="6"/>
              <w:spacing w:before="85" w:line="210" w:lineRule="auto"/>
              <w:ind w:left="84"/>
            </w:pPr>
            <w:r>
              <w:rPr>
                <w:rFonts w:ascii="宋体" w:hAnsi="宋体" w:eastAsia="宋体" w:cs="宋体"/>
                <w:spacing w:val="-1"/>
              </w:rPr>
              <w:t>针棘匣壳虫</w:t>
            </w:r>
            <w:r>
              <w:rPr>
                <w:rFonts w:ascii="宋体" w:hAnsi="宋体" w:eastAsia="宋体" w:cs="宋体"/>
                <w:spacing w:val="-36"/>
              </w:rPr>
              <w:t xml:space="preserve"> </w:t>
            </w:r>
            <w:r>
              <w:rPr>
                <w:i/>
                <w:iCs/>
                <w:spacing w:val="-1"/>
              </w:rPr>
              <w:t>Centropyxis  aculeate</w:t>
            </w:r>
          </w:p>
        </w:tc>
        <w:tc>
          <w:tcPr>
            <w:tcW w:w="705" w:type="dxa"/>
            <w:vAlign w:val="top"/>
          </w:tcPr>
          <w:p w14:paraId="7278B4BC">
            <w:pPr>
              <w:pStyle w:val="6"/>
              <w:spacing w:before="119" w:line="203" w:lineRule="auto"/>
              <w:ind w:left="291"/>
            </w:pPr>
            <w:r>
              <w:t>+</w:t>
            </w:r>
          </w:p>
        </w:tc>
        <w:tc>
          <w:tcPr>
            <w:tcW w:w="746" w:type="dxa"/>
            <w:vAlign w:val="top"/>
          </w:tcPr>
          <w:p w14:paraId="1093F9CB">
            <w:pPr>
              <w:pStyle w:val="6"/>
              <w:spacing w:before="119" w:line="203" w:lineRule="auto"/>
              <w:ind w:left="314"/>
            </w:pPr>
            <w:r>
              <w:t>+</w:t>
            </w:r>
          </w:p>
        </w:tc>
        <w:tc>
          <w:tcPr>
            <w:tcW w:w="525" w:type="dxa"/>
            <w:vAlign w:val="top"/>
          </w:tcPr>
          <w:p w14:paraId="5F625A8B">
            <w:pPr>
              <w:pStyle w:val="6"/>
              <w:spacing w:before="119" w:line="203" w:lineRule="auto"/>
              <w:ind w:left="147"/>
            </w:pPr>
            <w:r>
              <w:rPr>
                <w:spacing w:val="-1"/>
              </w:rPr>
              <w:t>++</w:t>
            </w:r>
          </w:p>
        </w:tc>
        <w:tc>
          <w:tcPr>
            <w:tcW w:w="562" w:type="dxa"/>
            <w:vAlign w:val="top"/>
          </w:tcPr>
          <w:p w14:paraId="11B44F15">
            <w:pPr>
              <w:pStyle w:val="6"/>
              <w:spacing w:before="119" w:line="203" w:lineRule="auto"/>
              <w:ind w:left="108"/>
            </w:pPr>
            <w:r>
              <w:rPr>
                <w:spacing w:val="-1"/>
              </w:rPr>
              <w:t>+++</w:t>
            </w:r>
          </w:p>
        </w:tc>
        <w:tc>
          <w:tcPr>
            <w:tcW w:w="1207" w:type="dxa"/>
            <w:vAlign w:val="top"/>
          </w:tcPr>
          <w:p w14:paraId="43B3FC8F">
            <w:pPr>
              <w:rPr>
                <w:rFonts w:ascii="Arial"/>
                <w:sz w:val="21"/>
              </w:rPr>
            </w:pPr>
          </w:p>
        </w:tc>
        <w:tc>
          <w:tcPr>
            <w:tcW w:w="912" w:type="dxa"/>
            <w:tcBorders>
              <w:right w:val="single" w:color="000000" w:sz="12" w:space="0"/>
            </w:tcBorders>
            <w:vAlign w:val="top"/>
          </w:tcPr>
          <w:p w14:paraId="5D10FFEE">
            <w:pPr>
              <w:pStyle w:val="6"/>
              <w:spacing w:before="119" w:line="203" w:lineRule="auto"/>
              <w:ind w:left="397"/>
            </w:pPr>
            <w:r>
              <w:t>+</w:t>
            </w:r>
          </w:p>
        </w:tc>
      </w:tr>
      <w:tr w14:paraId="08ECD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04" w:type="dxa"/>
            <w:vMerge w:val="continue"/>
            <w:tcBorders>
              <w:top w:val="nil"/>
              <w:left w:val="single" w:color="000000" w:sz="12" w:space="0"/>
              <w:bottom w:val="single" w:color="000000" w:sz="12" w:space="0"/>
            </w:tcBorders>
            <w:vAlign w:val="top"/>
          </w:tcPr>
          <w:p w14:paraId="3F259995">
            <w:pPr>
              <w:rPr>
                <w:rFonts w:ascii="Arial"/>
                <w:sz w:val="21"/>
              </w:rPr>
            </w:pPr>
          </w:p>
        </w:tc>
        <w:tc>
          <w:tcPr>
            <w:tcW w:w="3112" w:type="dxa"/>
            <w:tcBorders>
              <w:bottom w:val="single" w:color="000000" w:sz="12" w:space="0"/>
            </w:tcBorders>
            <w:vAlign w:val="top"/>
          </w:tcPr>
          <w:p w14:paraId="6432BECA">
            <w:pPr>
              <w:pStyle w:val="6"/>
              <w:spacing w:before="85" w:line="212" w:lineRule="auto"/>
              <w:ind w:left="133"/>
            </w:pPr>
            <w:r>
              <w:rPr>
                <w:rFonts w:ascii="宋体" w:hAnsi="宋体" w:eastAsia="宋体" w:cs="宋体"/>
                <w:spacing w:val="-1"/>
              </w:rPr>
              <w:t>无棘匣壳虫</w:t>
            </w:r>
            <w:r>
              <w:rPr>
                <w:rFonts w:ascii="宋体" w:hAnsi="宋体" w:eastAsia="宋体" w:cs="宋体"/>
                <w:spacing w:val="-39"/>
              </w:rPr>
              <w:t xml:space="preserve"> </w:t>
            </w:r>
            <w:r>
              <w:rPr>
                <w:i/>
                <w:iCs/>
                <w:spacing w:val="-1"/>
              </w:rPr>
              <w:t>Centropyxis  ecornis</w:t>
            </w:r>
          </w:p>
        </w:tc>
        <w:tc>
          <w:tcPr>
            <w:tcW w:w="705" w:type="dxa"/>
            <w:tcBorders>
              <w:bottom w:val="single" w:color="000000" w:sz="12" w:space="0"/>
            </w:tcBorders>
            <w:vAlign w:val="top"/>
          </w:tcPr>
          <w:p w14:paraId="185518B0">
            <w:pPr>
              <w:pStyle w:val="6"/>
              <w:spacing w:before="118" w:line="225" w:lineRule="auto"/>
              <w:ind w:left="291"/>
            </w:pPr>
            <w:r>
              <w:t>+</w:t>
            </w:r>
          </w:p>
        </w:tc>
        <w:tc>
          <w:tcPr>
            <w:tcW w:w="746" w:type="dxa"/>
            <w:tcBorders>
              <w:bottom w:val="single" w:color="000000" w:sz="12" w:space="0"/>
            </w:tcBorders>
            <w:vAlign w:val="top"/>
          </w:tcPr>
          <w:p w14:paraId="6686FD60">
            <w:pPr>
              <w:pStyle w:val="6"/>
              <w:spacing w:before="118" w:line="225" w:lineRule="auto"/>
              <w:ind w:left="255"/>
            </w:pPr>
            <w:r>
              <w:rPr>
                <w:spacing w:val="-1"/>
              </w:rPr>
              <w:t>++</w:t>
            </w:r>
          </w:p>
        </w:tc>
        <w:tc>
          <w:tcPr>
            <w:tcW w:w="525" w:type="dxa"/>
            <w:tcBorders>
              <w:bottom w:val="single" w:color="000000" w:sz="12" w:space="0"/>
            </w:tcBorders>
            <w:vAlign w:val="top"/>
          </w:tcPr>
          <w:p w14:paraId="15709B24">
            <w:pPr>
              <w:pStyle w:val="6"/>
              <w:spacing w:before="118" w:line="225" w:lineRule="auto"/>
              <w:ind w:left="205"/>
            </w:pPr>
            <w:r>
              <w:t>+</w:t>
            </w:r>
          </w:p>
        </w:tc>
        <w:tc>
          <w:tcPr>
            <w:tcW w:w="562" w:type="dxa"/>
            <w:tcBorders>
              <w:bottom w:val="single" w:color="000000" w:sz="12" w:space="0"/>
            </w:tcBorders>
            <w:vAlign w:val="top"/>
          </w:tcPr>
          <w:p w14:paraId="2620BAB0">
            <w:pPr>
              <w:pStyle w:val="6"/>
              <w:spacing w:before="118" w:line="225" w:lineRule="auto"/>
              <w:ind w:left="168"/>
            </w:pPr>
            <w:r>
              <w:rPr>
                <w:spacing w:val="-1"/>
              </w:rPr>
              <w:t>++</w:t>
            </w:r>
          </w:p>
        </w:tc>
        <w:tc>
          <w:tcPr>
            <w:tcW w:w="1207" w:type="dxa"/>
            <w:tcBorders>
              <w:bottom w:val="single" w:color="000000" w:sz="12" w:space="0"/>
            </w:tcBorders>
            <w:vAlign w:val="top"/>
          </w:tcPr>
          <w:p w14:paraId="79012F69">
            <w:pPr>
              <w:pStyle w:val="6"/>
              <w:spacing w:before="118" w:line="225" w:lineRule="auto"/>
              <w:ind w:left="552"/>
            </w:pPr>
            <w:r>
              <w:t>+</w:t>
            </w:r>
          </w:p>
        </w:tc>
        <w:tc>
          <w:tcPr>
            <w:tcW w:w="912" w:type="dxa"/>
            <w:tcBorders>
              <w:bottom w:val="single" w:color="000000" w:sz="12" w:space="0"/>
              <w:right w:val="single" w:color="000000" w:sz="12" w:space="0"/>
            </w:tcBorders>
            <w:vAlign w:val="top"/>
          </w:tcPr>
          <w:p w14:paraId="5787D216">
            <w:pPr>
              <w:rPr>
                <w:rFonts w:ascii="Arial"/>
                <w:sz w:val="21"/>
              </w:rPr>
            </w:pPr>
          </w:p>
        </w:tc>
      </w:tr>
    </w:tbl>
    <w:p w14:paraId="5B75A932">
      <w:pPr>
        <w:rPr>
          <w:rFonts w:ascii="Arial"/>
          <w:sz w:val="21"/>
        </w:rPr>
      </w:pPr>
    </w:p>
    <w:p w14:paraId="23BEA125">
      <w:pPr>
        <w:rPr>
          <w:rFonts w:ascii="Arial" w:hAnsi="Arial" w:eastAsia="Arial" w:cs="Arial"/>
          <w:sz w:val="21"/>
          <w:szCs w:val="21"/>
        </w:rPr>
        <w:sectPr>
          <w:headerReference r:id="rId210" w:type="default"/>
          <w:footerReference r:id="rId211" w:type="default"/>
          <w:pgSz w:w="11907" w:h="16839"/>
          <w:pgMar w:top="1376" w:right="1669" w:bottom="1061" w:left="1671" w:header="999" w:footer="861" w:gutter="0"/>
          <w:cols w:space="720" w:num="1"/>
        </w:sectPr>
      </w:pPr>
    </w:p>
    <w:p w14:paraId="53A03911">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112"/>
        <w:gridCol w:w="705"/>
        <w:gridCol w:w="746"/>
        <w:gridCol w:w="525"/>
        <w:gridCol w:w="562"/>
        <w:gridCol w:w="1207"/>
        <w:gridCol w:w="912"/>
      </w:tblGrid>
      <w:tr w14:paraId="5FBA6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3816" w:type="dxa"/>
            <w:gridSpan w:val="2"/>
            <w:vMerge w:val="restart"/>
            <w:tcBorders>
              <w:top w:val="single" w:color="000000" w:sz="12" w:space="0"/>
              <w:left w:val="single" w:color="000000" w:sz="12" w:space="0"/>
              <w:bottom w:val="nil"/>
            </w:tcBorders>
            <w:vAlign w:val="top"/>
          </w:tcPr>
          <w:p w14:paraId="3C4ADD61">
            <w:pPr>
              <w:spacing w:line="403" w:lineRule="auto"/>
              <w:rPr>
                <w:rFonts w:ascii="Arial"/>
                <w:sz w:val="21"/>
              </w:rPr>
            </w:pPr>
          </w:p>
          <w:p w14:paraId="20317A22">
            <w:pPr>
              <w:spacing w:before="68" w:line="220" w:lineRule="auto"/>
              <w:ind w:left="1689"/>
              <w:rPr>
                <w:rFonts w:ascii="宋体" w:hAnsi="宋体" w:eastAsia="宋体" w:cs="宋体"/>
                <w:sz w:val="21"/>
                <w:szCs w:val="21"/>
              </w:rPr>
            </w:pPr>
            <w:r>
              <w:rPr>
                <w:rFonts w:ascii="宋体" w:hAnsi="宋体" w:eastAsia="宋体" w:cs="宋体"/>
                <w:spacing w:val="-3"/>
                <w:sz w:val="21"/>
                <w:szCs w:val="21"/>
              </w:rPr>
              <w:t>种类</w:t>
            </w:r>
          </w:p>
        </w:tc>
        <w:tc>
          <w:tcPr>
            <w:tcW w:w="4657" w:type="dxa"/>
            <w:gridSpan w:val="6"/>
            <w:tcBorders>
              <w:top w:val="single" w:color="000000" w:sz="12" w:space="0"/>
              <w:right w:val="single" w:color="000000" w:sz="12" w:space="0"/>
            </w:tcBorders>
            <w:vAlign w:val="top"/>
          </w:tcPr>
          <w:p w14:paraId="45AD7B94">
            <w:pPr>
              <w:spacing w:before="45" w:line="209" w:lineRule="auto"/>
              <w:ind w:left="1910"/>
              <w:rPr>
                <w:rFonts w:ascii="宋体" w:hAnsi="宋体" w:eastAsia="宋体" w:cs="宋体"/>
                <w:sz w:val="21"/>
                <w:szCs w:val="21"/>
              </w:rPr>
            </w:pPr>
            <w:r>
              <w:rPr>
                <w:rFonts w:ascii="宋体" w:hAnsi="宋体" w:eastAsia="宋体" w:cs="宋体"/>
                <w:spacing w:val="-2"/>
                <w:sz w:val="21"/>
                <w:szCs w:val="21"/>
              </w:rPr>
              <w:t>相对数量</w:t>
            </w:r>
          </w:p>
        </w:tc>
      </w:tr>
      <w:tr w14:paraId="45C43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816" w:type="dxa"/>
            <w:gridSpan w:val="2"/>
            <w:vMerge w:val="continue"/>
            <w:tcBorders>
              <w:top w:val="nil"/>
              <w:left w:val="single" w:color="000000" w:sz="12" w:space="0"/>
            </w:tcBorders>
            <w:vAlign w:val="top"/>
          </w:tcPr>
          <w:p w14:paraId="7C274412">
            <w:pPr>
              <w:rPr>
                <w:rFonts w:ascii="Arial"/>
                <w:sz w:val="21"/>
              </w:rPr>
            </w:pPr>
          </w:p>
        </w:tc>
        <w:tc>
          <w:tcPr>
            <w:tcW w:w="705" w:type="dxa"/>
            <w:vAlign w:val="top"/>
          </w:tcPr>
          <w:p w14:paraId="37652349">
            <w:pPr>
              <w:spacing w:before="193" w:line="242" w:lineRule="auto"/>
              <w:ind w:left="144" w:right="33" w:hanging="98"/>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746" w:type="dxa"/>
            <w:vAlign w:val="top"/>
          </w:tcPr>
          <w:p w14:paraId="2302EA9B">
            <w:pPr>
              <w:spacing w:before="193" w:line="242" w:lineRule="auto"/>
              <w:ind w:left="168" w:right="50" w:hanging="103"/>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525" w:type="dxa"/>
            <w:vAlign w:val="top"/>
          </w:tcPr>
          <w:p w14:paraId="439E597E">
            <w:pPr>
              <w:spacing w:before="57" w:line="222" w:lineRule="auto"/>
              <w:ind w:left="90"/>
              <w:rPr>
                <w:rFonts w:ascii="宋体" w:hAnsi="宋体" w:eastAsia="宋体" w:cs="宋体"/>
                <w:sz w:val="21"/>
                <w:szCs w:val="21"/>
              </w:rPr>
            </w:pPr>
            <w:r>
              <w:rPr>
                <w:rFonts w:ascii="宋体" w:hAnsi="宋体" w:eastAsia="宋体" w:cs="宋体"/>
                <w:spacing w:val="-10"/>
                <w:sz w:val="21"/>
                <w:szCs w:val="21"/>
              </w:rPr>
              <w:t>白塔</w:t>
            </w:r>
          </w:p>
          <w:p w14:paraId="7A0FDA25">
            <w:pPr>
              <w:spacing w:before="19" w:line="236" w:lineRule="auto"/>
              <w:ind w:left="164" w:right="42"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562" w:type="dxa"/>
            <w:vAlign w:val="top"/>
          </w:tcPr>
          <w:p w14:paraId="0A50B3AA">
            <w:pPr>
              <w:spacing w:before="57" w:line="222" w:lineRule="auto"/>
              <w:ind w:left="110"/>
              <w:rPr>
                <w:rFonts w:ascii="宋体" w:hAnsi="宋体" w:eastAsia="宋体" w:cs="宋体"/>
                <w:sz w:val="21"/>
                <w:szCs w:val="21"/>
              </w:rPr>
            </w:pPr>
            <w:r>
              <w:rPr>
                <w:rFonts w:ascii="宋体" w:hAnsi="宋体" w:eastAsia="宋体" w:cs="宋体"/>
                <w:spacing w:val="-10"/>
                <w:sz w:val="21"/>
                <w:szCs w:val="21"/>
              </w:rPr>
              <w:t>白塔</w:t>
            </w:r>
          </w:p>
          <w:p w14:paraId="0CDB8841">
            <w:pPr>
              <w:spacing w:before="19" w:line="236" w:lineRule="auto"/>
              <w:ind w:left="188" w:right="60"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207" w:type="dxa"/>
            <w:vAlign w:val="top"/>
          </w:tcPr>
          <w:p w14:paraId="6A3CC2C5">
            <w:pPr>
              <w:spacing w:before="57" w:line="219" w:lineRule="auto"/>
              <w:ind w:left="97"/>
              <w:rPr>
                <w:rFonts w:ascii="宋体" w:hAnsi="宋体" w:eastAsia="宋体" w:cs="宋体"/>
                <w:sz w:val="21"/>
                <w:szCs w:val="21"/>
              </w:rPr>
            </w:pPr>
            <w:r>
              <w:rPr>
                <w:rFonts w:ascii="宋体" w:hAnsi="宋体" w:eastAsia="宋体" w:cs="宋体"/>
                <w:spacing w:val="-3"/>
                <w:sz w:val="21"/>
                <w:szCs w:val="21"/>
              </w:rPr>
              <w:t>马龙河干流</w:t>
            </w:r>
          </w:p>
          <w:p w14:paraId="29FD7978">
            <w:pPr>
              <w:pStyle w:val="6"/>
              <w:spacing w:before="23" w:line="234" w:lineRule="auto"/>
              <w:ind w:left="91"/>
            </w:pPr>
            <w:r>
              <w:rPr>
                <w:rFonts w:ascii="宋体" w:hAnsi="宋体" w:eastAsia="宋体" w:cs="宋体"/>
                <w:spacing w:val="-3"/>
              </w:rPr>
              <w:t>离坝址</w:t>
            </w:r>
            <w:r>
              <w:rPr>
                <w:rFonts w:ascii="宋体" w:hAnsi="宋体" w:eastAsia="宋体" w:cs="宋体"/>
                <w:spacing w:val="-45"/>
              </w:rPr>
              <w:t xml:space="preserve"> </w:t>
            </w:r>
            <w:r>
              <w:rPr>
                <w:spacing w:val="-3"/>
              </w:rPr>
              <w:t>2km</w:t>
            </w:r>
          </w:p>
          <w:p w14:paraId="4E489DD8">
            <w:pPr>
              <w:spacing w:before="6" w:line="224" w:lineRule="auto"/>
              <w:ind w:left="515"/>
              <w:rPr>
                <w:rFonts w:ascii="宋体" w:hAnsi="宋体" w:eastAsia="宋体" w:cs="宋体"/>
                <w:sz w:val="21"/>
                <w:szCs w:val="21"/>
              </w:rPr>
            </w:pPr>
            <w:r>
              <w:rPr>
                <w:rFonts w:ascii="宋体" w:hAnsi="宋体" w:eastAsia="宋体" w:cs="宋体"/>
                <w:sz w:val="21"/>
                <w:szCs w:val="21"/>
              </w:rPr>
              <w:t>处</w:t>
            </w:r>
          </w:p>
        </w:tc>
        <w:tc>
          <w:tcPr>
            <w:tcW w:w="912" w:type="dxa"/>
            <w:tcBorders>
              <w:right w:val="single" w:color="000000" w:sz="12" w:space="0"/>
            </w:tcBorders>
            <w:vAlign w:val="top"/>
          </w:tcPr>
          <w:p w14:paraId="6C8938B9">
            <w:pPr>
              <w:spacing w:before="57" w:line="219" w:lineRule="auto"/>
              <w:ind w:left="47"/>
              <w:rPr>
                <w:rFonts w:ascii="宋体" w:hAnsi="宋体" w:eastAsia="宋体" w:cs="宋体"/>
                <w:sz w:val="21"/>
                <w:szCs w:val="21"/>
              </w:rPr>
            </w:pPr>
            <w:r>
              <w:rPr>
                <w:rFonts w:ascii="宋体" w:hAnsi="宋体" w:eastAsia="宋体" w:cs="宋体"/>
                <w:spacing w:val="-3"/>
                <w:sz w:val="21"/>
                <w:szCs w:val="21"/>
              </w:rPr>
              <w:t>马龙河干</w:t>
            </w:r>
          </w:p>
          <w:p w14:paraId="73AAB706">
            <w:pPr>
              <w:spacing w:before="23" w:line="220" w:lineRule="auto"/>
              <w:ind w:left="41"/>
              <w:rPr>
                <w:rFonts w:ascii="宋体" w:hAnsi="宋体" w:eastAsia="宋体" w:cs="宋体"/>
                <w:sz w:val="21"/>
                <w:szCs w:val="21"/>
              </w:rPr>
            </w:pPr>
            <w:r>
              <w:rPr>
                <w:rFonts w:ascii="宋体" w:hAnsi="宋体" w:eastAsia="宋体" w:cs="宋体"/>
                <w:spacing w:val="-2"/>
                <w:sz w:val="21"/>
                <w:szCs w:val="21"/>
              </w:rPr>
              <w:t>流离坝址</w:t>
            </w:r>
          </w:p>
          <w:p w14:paraId="4F259905">
            <w:pPr>
              <w:pStyle w:val="6"/>
              <w:spacing w:before="22" w:line="231" w:lineRule="auto"/>
              <w:ind w:left="14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67D1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restart"/>
            <w:tcBorders>
              <w:top w:val="nil"/>
              <w:left w:val="single" w:color="000000" w:sz="12" w:space="0"/>
              <w:bottom w:val="nil"/>
            </w:tcBorders>
            <w:vAlign w:val="top"/>
          </w:tcPr>
          <w:p w14:paraId="332A9801">
            <w:pPr>
              <w:rPr>
                <w:rFonts w:ascii="Arial"/>
                <w:sz w:val="21"/>
              </w:rPr>
            </w:pPr>
          </w:p>
        </w:tc>
        <w:tc>
          <w:tcPr>
            <w:tcW w:w="3112" w:type="dxa"/>
            <w:vAlign w:val="top"/>
          </w:tcPr>
          <w:p w14:paraId="2D438D89">
            <w:pPr>
              <w:spacing w:before="59" w:line="220" w:lineRule="auto"/>
              <w:ind w:left="1031"/>
              <w:rPr>
                <w:rFonts w:ascii="宋体" w:hAnsi="宋体" w:eastAsia="宋体" w:cs="宋体"/>
                <w:sz w:val="21"/>
                <w:szCs w:val="21"/>
              </w:rPr>
            </w:pPr>
            <w:r>
              <w:rPr>
                <w:rFonts w:ascii="宋体" w:hAnsi="宋体" w:eastAsia="宋体" w:cs="宋体"/>
                <w:spacing w:val="-3"/>
                <w:sz w:val="21"/>
                <w:szCs w:val="21"/>
              </w:rPr>
              <w:t>片口匣壳虫</w:t>
            </w:r>
          </w:p>
          <w:p w14:paraId="673DEBE7">
            <w:pPr>
              <w:pStyle w:val="6"/>
              <w:spacing w:before="40" w:line="190" w:lineRule="auto"/>
              <w:ind w:left="536"/>
            </w:pPr>
            <w:r>
              <w:rPr>
                <w:i/>
                <w:iCs/>
              </w:rPr>
              <w:t>Centropyxis</w:t>
            </w:r>
            <w:r>
              <w:rPr>
                <w:i/>
                <w:iCs/>
                <w:spacing w:val="38"/>
              </w:rPr>
              <w:t xml:space="preserve"> </w:t>
            </w:r>
            <w:r>
              <w:rPr>
                <w:i/>
                <w:iCs/>
              </w:rPr>
              <w:t>platystoma</w:t>
            </w:r>
          </w:p>
        </w:tc>
        <w:tc>
          <w:tcPr>
            <w:tcW w:w="705" w:type="dxa"/>
            <w:vAlign w:val="top"/>
          </w:tcPr>
          <w:p w14:paraId="426E27E4">
            <w:pPr>
              <w:pStyle w:val="6"/>
              <w:spacing w:before="213" w:line="251" w:lineRule="exact"/>
              <w:ind w:left="291"/>
            </w:pPr>
            <w:r>
              <w:rPr>
                <w:position w:val="1"/>
              </w:rPr>
              <w:t>+</w:t>
            </w:r>
          </w:p>
        </w:tc>
        <w:tc>
          <w:tcPr>
            <w:tcW w:w="746" w:type="dxa"/>
            <w:vAlign w:val="top"/>
          </w:tcPr>
          <w:p w14:paraId="398C9B49">
            <w:pPr>
              <w:pStyle w:val="6"/>
              <w:spacing w:before="213" w:line="251" w:lineRule="exact"/>
              <w:ind w:left="314"/>
            </w:pPr>
            <w:r>
              <w:rPr>
                <w:position w:val="1"/>
              </w:rPr>
              <w:t>+</w:t>
            </w:r>
          </w:p>
        </w:tc>
        <w:tc>
          <w:tcPr>
            <w:tcW w:w="525" w:type="dxa"/>
            <w:vAlign w:val="top"/>
          </w:tcPr>
          <w:p w14:paraId="33C26173">
            <w:pPr>
              <w:rPr>
                <w:rFonts w:ascii="Arial"/>
                <w:sz w:val="21"/>
              </w:rPr>
            </w:pPr>
          </w:p>
        </w:tc>
        <w:tc>
          <w:tcPr>
            <w:tcW w:w="562" w:type="dxa"/>
            <w:vAlign w:val="top"/>
          </w:tcPr>
          <w:p w14:paraId="41CC7439">
            <w:pPr>
              <w:pStyle w:val="6"/>
              <w:spacing w:before="213" w:line="251" w:lineRule="exact"/>
              <w:ind w:left="168"/>
            </w:pPr>
            <w:r>
              <w:rPr>
                <w:spacing w:val="-1"/>
                <w:position w:val="1"/>
              </w:rPr>
              <w:t>++</w:t>
            </w:r>
          </w:p>
        </w:tc>
        <w:tc>
          <w:tcPr>
            <w:tcW w:w="1207" w:type="dxa"/>
            <w:vAlign w:val="top"/>
          </w:tcPr>
          <w:p w14:paraId="123E951F">
            <w:pPr>
              <w:rPr>
                <w:rFonts w:ascii="Arial"/>
                <w:sz w:val="21"/>
              </w:rPr>
            </w:pPr>
          </w:p>
        </w:tc>
        <w:tc>
          <w:tcPr>
            <w:tcW w:w="912" w:type="dxa"/>
            <w:tcBorders>
              <w:right w:val="single" w:color="000000" w:sz="12" w:space="0"/>
            </w:tcBorders>
            <w:vAlign w:val="top"/>
          </w:tcPr>
          <w:p w14:paraId="28C454ED">
            <w:pPr>
              <w:pStyle w:val="6"/>
              <w:spacing w:before="213" w:line="251" w:lineRule="exact"/>
              <w:ind w:left="338"/>
            </w:pPr>
            <w:r>
              <w:rPr>
                <w:spacing w:val="-1"/>
                <w:position w:val="1"/>
              </w:rPr>
              <w:t>++</w:t>
            </w:r>
          </w:p>
        </w:tc>
      </w:tr>
      <w:tr w14:paraId="428C8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vMerge w:val="continue"/>
            <w:tcBorders>
              <w:top w:val="nil"/>
              <w:left w:val="single" w:color="000000" w:sz="12" w:space="0"/>
            </w:tcBorders>
            <w:vAlign w:val="top"/>
          </w:tcPr>
          <w:p w14:paraId="462D4D65">
            <w:pPr>
              <w:rPr>
                <w:rFonts w:ascii="Arial"/>
                <w:sz w:val="21"/>
              </w:rPr>
            </w:pPr>
          </w:p>
        </w:tc>
        <w:tc>
          <w:tcPr>
            <w:tcW w:w="3112" w:type="dxa"/>
            <w:vAlign w:val="top"/>
          </w:tcPr>
          <w:p w14:paraId="539D5603">
            <w:pPr>
              <w:pStyle w:val="6"/>
              <w:spacing w:before="61" w:line="212" w:lineRule="auto"/>
              <w:ind w:left="415"/>
            </w:pPr>
            <w:r>
              <w:rPr>
                <w:rFonts w:ascii="宋体" w:hAnsi="宋体" w:eastAsia="宋体" w:cs="宋体"/>
                <w:spacing w:val="-2"/>
              </w:rPr>
              <w:t>网匣壳</w:t>
            </w:r>
            <w:r>
              <w:rPr>
                <w:rFonts w:ascii="宋体" w:hAnsi="宋体" w:eastAsia="宋体" w:cs="宋体"/>
                <w:spacing w:val="-34"/>
              </w:rPr>
              <w:t xml:space="preserve"> </w:t>
            </w:r>
            <w:r>
              <w:rPr>
                <w:i/>
                <w:iCs/>
                <w:spacing w:val="-2"/>
              </w:rPr>
              <w:t>Centropyxis  cassis</w:t>
            </w:r>
          </w:p>
        </w:tc>
        <w:tc>
          <w:tcPr>
            <w:tcW w:w="705" w:type="dxa"/>
            <w:vAlign w:val="top"/>
          </w:tcPr>
          <w:p w14:paraId="74E5602D">
            <w:pPr>
              <w:pStyle w:val="6"/>
              <w:spacing w:before="95" w:line="227" w:lineRule="auto"/>
              <w:ind w:left="291"/>
            </w:pPr>
            <w:r>
              <w:t>+</w:t>
            </w:r>
          </w:p>
        </w:tc>
        <w:tc>
          <w:tcPr>
            <w:tcW w:w="746" w:type="dxa"/>
            <w:vAlign w:val="top"/>
          </w:tcPr>
          <w:p w14:paraId="33216E4B">
            <w:pPr>
              <w:rPr>
                <w:rFonts w:ascii="Arial"/>
                <w:sz w:val="21"/>
              </w:rPr>
            </w:pPr>
          </w:p>
        </w:tc>
        <w:tc>
          <w:tcPr>
            <w:tcW w:w="525" w:type="dxa"/>
            <w:vAlign w:val="top"/>
          </w:tcPr>
          <w:p w14:paraId="49434F7F">
            <w:pPr>
              <w:pStyle w:val="6"/>
              <w:spacing w:before="95" w:line="227" w:lineRule="auto"/>
              <w:ind w:left="205"/>
            </w:pPr>
            <w:r>
              <w:t>+</w:t>
            </w:r>
          </w:p>
        </w:tc>
        <w:tc>
          <w:tcPr>
            <w:tcW w:w="562" w:type="dxa"/>
            <w:vAlign w:val="top"/>
          </w:tcPr>
          <w:p w14:paraId="17F33163">
            <w:pPr>
              <w:pStyle w:val="6"/>
              <w:spacing w:before="95" w:line="227" w:lineRule="auto"/>
              <w:ind w:left="226"/>
            </w:pPr>
            <w:r>
              <w:t>+</w:t>
            </w:r>
          </w:p>
        </w:tc>
        <w:tc>
          <w:tcPr>
            <w:tcW w:w="1207" w:type="dxa"/>
            <w:vAlign w:val="top"/>
          </w:tcPr>
          <w:p w14:paraId="2E881C64">
            <w:pPr>
              <w:pStyle w:val="6"/>
              <w:spacing w:before="95" w:line="227" w:lineRule="auto"/>
              <w:ind w:left="552"/>
            </w:pPr>
            <w:r>
              <w:t>+</w:t>
            </w:r>
          </w:p>
        </w:tc>
        <w:tc>
          <w:tcPr>
            <w:tcW w:w="912" w:type="dxa"/>
            <w:tcBorders>
              <w:right w:val="single" w:color="000000" w:sz="12" w:space="0"/>
            </w:tcBorders>
            <w:vAlign w:val="top"/>
          </w:tcPr>
          <w:p w14:paraId="5C98BD80">
            <w:pPr>
              <w:pStyle w:val="6"/>
              <w:spacing w:before="95" w:line="227" w:lineRule="auto"/>
              <w:ind w:left="397"/>
            </w:pPr>
            <w:r>
              <w:t>+</w:t>
            </w:r>
          </w:p>
        </w:tc>
      </w:tr>
      <w:tr w14:paraId="7DAA587C">
        <w:tblPrEx>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3570F6D3">
            <w:pPr>
              <w:spacing w:before="60" w:line="220" w:lineRule="auto"/>
              <w:ind w:left="41"/>
              <w:rPr>
                <w:rFonts w:ascii="宋体" w:hAnsi="宋体" w:eastAsia="宋体" w:cs="宋体"/>
                <w:sz w:val="21"/>
                <w:szCs w:val="21"/>
              </w:rPr>
            </w:pPr>
            <w:r>
              <w:rPr>
                <w:rFonts w:ascii="宋体" w:hAnsi="宋体" w:eastAsia="宋体" w:cs="宋体"/>
                <w:spacing w:val="-6"/>
                <w:sz w:val="21"/>
                <w:szCs w:val="21"/>
              </w:rPr>
              <w:t>圆壳虫</w:t>
            </w:r>
          </w:p>
        </w:tc>
        <w:tc>
          <w:tcPr>
            <w:tcW w:w="3112" w:type="dxa"/>
            <w:vAlign w:val="top"/>
          </w:tcPr>
          <w:p w14:paraId="3F2EF56D">
            <w:pPr>
              <w:pStyle w:val="6"/>
              <w:spacing w:before="61" w:line="212" w:lineRule="auto"/>
              <w:ind w:left="107"/>
            </w:pPr>
            <w:r>
              <w:rPr>
                <w:rFonts w:ascii="宋体" w:hAnsi="宋体" w:eastAsia="宋体" w:cs="宋体"/>
                <w:spacing w:val="-1"/>
              </w:rPr>
              <w:t>馍状圆壳虫</w:t>
            </w:r>
            <w:r>
              <w:rPr>
                <w:rFonts w:ascii="宋体" w:hAnsi="宋体" w:eastAsia="宋体" w:cs="宋体"/>
                <w:spacing w:val="-32"/>
              </w:rPr>
              <w:t xml:space="preserve"> </w:t>
            </w:r>
            <w:r>
              <w:rPr>
                <w:i/>
                <w:iCs/>
                <w:spacing w:val="-1"/>
              </w:rPr>
              <w:t>Cyclopyxisdeflan</w:t>
            </w:r>
            <w:r>
              <w:rPr>
                <w:i/>
                <w:iCs/>
                <w:spacing w:val="-2"/>
              </w:rPr>
              <w:t>drei</w:t>
            </w:r>
          </w:p>
        </w:tc>
        <w:tc>
          <w:tcPr>
            <w:tcW w:w="705" w:type="dxa"/>
            <w:vAlign w:val="top"/>
          </w:tcPr>
          <w:p w14:paraId="393A5779">
            <w:pPr>
              <w:pStyle w:val="6"/>
              <w:spacing w:before="94" w:line="226" w:lineRule="auto"/>
              <w:ind w:left="232"/>
            </w:pPr>
            <w:r>
              <w:rPr>
                <w:spacing w:val="-1"/>
              </w:rPr>
              <w:t>++</w:t>
            </w:r>
          </w:p>
        </w:tc>
        <w:tc>
          <w:tcPr>
            <w:tcW w:w="746" w:type="dxa"/>
            <w:vAlign w:val="top"/>
          </w:tcPr>
          <w:p w14:paraId="75910AB0">
            <w:pPr>
              <w:pStyle w:val="6"/>
              <w:spacing w:before="94" w:line="226" w:lineRule="auto"/>
              <w:ind w:left="314"/>
            </w:pPr>
            <w:r>
              <w:t>+</w:t>
            </w:r>
          </w:p>
        </w:tc>
        <w:tc>
          <w:tcPr>
            <w:tcW w:w="525" w:type="dxa"/>
            <w:vAlign w:val="top"/>
          </w:tcPr>
          <w:p w14:paraId="4599940B">
            <w:pPr>
              <w:pStyle w:val="6"/>
              <w:spacing w:before="94" w:line="226" w:lineRule="auto"/>
              <w:ind w:left="205"/>
            </w:pPr>
            <w:r>
              <w:t>+</w:t>
            </w:r>
          </w:p>
        </w:tc>
        <w:tc>
          <w:tcPr>
            <w:tcW w:w="562" w:type="dxa"/>
            <w:vAlign w:val="top"/>
          </w:tcPr>
          <w:p w14:paraId="392D5D41">
            <w:pPr>
              <w:pStyle w:val="6"/>
              <w:spacing w:before="94" w:line="226" w:lineRule="auto"/>
              <w:ind w:left="168"/>
            </w:pPr>
            <w:r>
              <w:rPr>
                <w:spacing w:val="-1"/>
              </w:rPr>
              <w:t>++</w:t>
            </w:r>
          </w:p>
        </w:tc>
        <w:tc>
          <w:tcPr>
            <w:tcW w:w="1207" w:type="dxa"/>
            <w:vAlign w:val="top"/>
          </w:tcPr>
          <w:p w14:paraId="670CE4C4">
            <w:pPr>
              <w:pStyle w:val="6"/>
              <w:spacing w:before="94" w:line="226" w:lineRule="auto"/>
              <w:ind w:left="552"/>
            </w:pPr>
            <w:r>
              <w:t>+</w:t>
            </w:r>
          </w:p>
        </w:tc>
        <w:tc>
          <w:tcPr>
            <w:tcW w:w="912" w:type="dxa"/>
            <w:tcBorders>
              <w:right w:val="single" w:color="000000" w:sz="12" w:space="0"/>
            </w:tcBorders>
            <w:vAlign w:val="top"/>
          </w:tcPr>
          <w:p w14:paraId="6B1030C1">
            <w:pPr>
              <w:rPr>
                <w:rFonts w:ascii="Arial"/>
                <w:sz w:val="21"/>
              </w:rPr>
            </w:pPr>
          </w:p>
        </w:tc>
      </w:tr>
      <w:tr w14:paraId="615B9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tcBorders>
              <w:left w:val="single" w:color="000000" w:sz="12" w:space="0"/>
            </w:tcBorders>
            <w:vAlign w:val="top"/>
          </w:tcPr>
          <w:p w14:paraId="09B1E875">
            <w:pPr>
              <w:spacing w:before="63" w:line="220" w:lineRule="auto"/>
              <w:ind w:left="23"/>
              <w:rPr>
                <w:rFonts w:ascii="宋体" w:hAnsi="宋体" w:eastAsia="宋体" w:cs="宋体"/>
                <w:sz w:val="21"/>
                <w:szCs w:val="21"/>
              </w:rPr>
            </w:pPr>
            <w:r>
              <w:rPr>
                <w:rFonts w:ascii="宋体" w:hAnsi="宋体" w:eastAsia="宋体" w:cs="宋体"/>
                <w:spacing w:val="-2"/>
                <w:sz w:val="21"/>
                <w:szCs w:val="21"/>
              </w:rPr>
              <w:t>侠盗虫</w:t>
            </w:r>
          </w:p>
        </w:tc>
        <w:tc>
          <w:tcPr>
            <w:tcW w:w="3112" w:type="dxa"/>
            <w:vAlign w:val="top"/>
          </w:tcPr>
          <w:p w14:paraId="1833ADE7">
            <w:pPr>
              <w:pStyle w:val="6"/>
              <w:spacing w:before="63" w:line="212" w:lineRule="auto"/>
              <w:ind w:left="190"/>
            </w:pPr>
            <w:r>
              <w:rPr>
                <w:rFonts w:ascii="宋体" w:hAnsi="宋体" w:eastAsia="宋体" w:cs="宋体"/>
                <w:spacing w:val="-1"/>
              </w:rPr>
              <w:t>旋回侠盗虫</w:t>
            </w:r>
            <w:r>
              <w:rPr>
                <w:rFonts w:ascii="宋体" w:hAnsi="宋体" w:eastAsia="宋体" w:cs="宋体"/>
                <w:spacing w:val="-41"/>
              </w:rPr>
              <w:t xml:space="preserve"> </w:t>
            </w:r>
            <w:r>
              <w:rPr>
                <w:i/>
                <w:iCs/>
                <w:spacing w:val="-1"/>
              </w:rPr>
              <w:t>Strobilidiumgyrans</w:t>
            </w:r>
          </w:p>
        </w:tc>
        <w:tc>
          <w:tcPr>
            <w:tcW w:w="705" w:type="dxa"/>
            <w:vAlign w:val="top"/>
          </w:tcPr>
          <w:p w14:paraId="6C930336">
            <w:pPr>
              <w:pStyle w:val="6"/>
              <w:spacing w:before="95" w:line="226" w:lineRule="auto"/>
              <w:ind w:left="232"/>
            </w:pPr>
            <w:r>
              <w:rPr>
                <w:spacing w:val="-1"/>
              </w:rPr>
              <w:t>++</w:t>
            </w:r>
          </w:p>
        </w:tc>
        <w:tc>
          <w:tcPr>
            <w:tcW w:w="746" w:type="dxa"/>
            <w:vAlign w:val="top"/>
          </w:tcPr>
          <w:p w14:paraId="37F958CD">
            <w:pPr>
              <w:pStyle w:val="6"/>
              <w:spacing w:before="95" w:line="226" w:lineRule="auto"/>
              <w:ind w:left="255"/>
            </w:pPr>
            <w:r>
              <w:rPr>
                <w:spacing w:val="-1"/>
              </w:rPr>
              <w:t>++</w:t>
            </w:r>
          </w:p>
        </w:tc>
        <w:tc>
          <w:tcPr>
            <w:tcW w:w="525" w:type="dxa"/>
            <w:vAlign w:val="top"/>
          </w:tcPr>
          <w:p w14:paraId="2C0DB234">
            <w:pPr>
              <w:pStyle w:val="6"/>
              <w:spacing w:before="95" w:line="226" w:lineRule="auto"/>
              <w:ind w:left="88"/>
            </w:pPr>
            <w:r>
              <w:rPr>
                <w:spacing w:val="-1"/>
              </w:rPr>
              <w:t>+++</w:t>
            </w:r>
          </w:p>
        </w:tc>
        <w:tc>
          <w:tcPr>
            <w:tcW w:w="562" w:type="dxa"/>
            <w:vAlign w:val="top"/>
          </w:tcPr>
          <w:p w14:paraId="1206E81D">
            <w:pPr>
              <w:rPr>
                <w:rFonts w:ascii="Arial"/>
                <w:sz w:val="21"/>
              </w:rPr>
            </w:pPr>
          </w:p>
        </w:tc>
        <w:tc>
          <w:tcPr>
            <w:tcW w:w="1207" w:type="dxa"/>
            <w:vAlign w:val="top"/>
          </w:tcPr>
          <w:p w14:paraId="07B45998">
            <w:pPr>
              <w:pStyle w:val="6"/>
              <w:spacing w:before="95" w:line="226" w:lineRule="auto"/>
              <w:ind w:left="552"/>
            </w:pPr>
            <w:r>
              <w:t>+</w:t>
            </w:r>
          </w:p>
        </w:tc>
        <w:tc>
          <w:tcPr>
            <w:tcW w:w="912" w:type="dxa"/>
            <w:tcBorders>
              <w:right w:val="single" w:color="000000" w:sz="12" w:space="0"/>
            </w:tcBorders>
            <w:vAlign w:val="top"/>
          </w:tcPr>
          <w:p w14:paraId="7D476901">
            <w:pPr>
              <w:rPr>
                <w:rFonts w:ascii="Arial"/>
                <w:sz w:val="21"/>
              </w:rPr>
            </w:pPr>
          </w:p>
        </w:tc>
      </w:tr>
      <w:tr w14:paraId="5E5C9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3816" w:type="dxa"/>
            <w:gridSpan w:val="2"/>
            <w:tcBorders>
              <w:left w:val="single" w:color="000000" w:sz="12" w:space="0"/>
            </w:tcBorders>
            <w:vAlign w:val="top"/>
          </w:tcPr>
          <w:p w14:paraId="01FF775E">
            <w:pPr>
              <w:pStyle w:val="6"/>
              <w:spacing w:before="63" w:line="221" w:lineRule="auto"/>
              <w:ind w:left="1082"/>
            </w:pPr>
            <w:r>
              <w:rPr>
                <w:rFonts w:ascii="宋体" w:hAnsi="宋体" w:eastAsia="宋体" w:cs="宋体"/>
                <w:b/>
                <w:bCs/>
                <w:spacing w:val="-1"/>
              </w:rPr>
              <w:t>轮虫</w:t>
            </w:r>
            <w:r>
              <w:rPr>
                <w:rFonts w:ascii="宋体" w:hAnsi="宋体" w:eastAsia="宋体" w:cs="宋体"/>
                <w:spacing w:val="-1"/>
              </w:rPr>
              <w:t xml:space="preserve"> </w:t>
            </w:r>
            <w:r>
              <w:rPr>
                <w:b/>
                <w:bCs/>
                <w:spacing w:val="-1"/>
              </w:rPr>
              <w:t>ROTIFERA</w:t>
            </w:r>
          </w:p>
        </w:tc>
        <w:tc>
          <w:tcPr>
            <w:tcW w:w="705" w:type="dxa"/>
            <w:vAlign w:val="top"/>
          </w:tcPr>
          <w:p w14:paraId="65E9BCDC">
            <w:pPr>
              <w:rPr>
                <w:rFonts w:ascii="Arial"/>
                <w:sz w:val="21"/>
              </w:rPr>
            </w:pPr>
          </w:p>
        </w:tc>
        <w:tc>
          <w:tcPr>
            <w:tcW w:w="746" w:type="dxa"/>
            <w:vAlign w:val="top"/>
          </w:tcPr>
          <w:p w14:paraId="3120B4E1">
            <w:pPr>
              <w:rPr>
                <w:rFonts w:ascii="Arial"/>
                <w:sz w:val="21"/>
              </w:rPr>
            </w:pPr>
          </w:p>
        </w:tc>
        <w:tc>
          <w:tcPr>
            <w:tcW w:w="525" w:type="dxa"/>
            <w:vAlign w:val="top"/>
          </w:tcPr>
          <w:p w14:paraId="10456B3C">
            <w:pPr>
              <w:rPr>
                <w:rFonts w:ascii="Arial"/>
                <w:sz w:val="21"/>
              </w:rPr>
            </w:pPr>
          </w:p>
        </w:tc>
        <w:tc>
          <w:tcPr>
            <w:tcW w:w="562" w:type="dxa"/>
            <w:vAlign w:val="top"/>
          </w:tcPr>
          <w:p w14:paraId="5D2EE2B6">
            <w:pPr>
              <w:rPr>
                <w:rFonts w:ascii="Arial"/>
                <w:sz w:val="21"/>
              </w:rPr>
            </w:pPr>
          </w:p>
        </w:tc>
        <w:tc>
          <w:tcPr>
            <w:tcW w:w="1207" w:type="dxa"/>
            <w:vAlign w:val="top"/>
          </w:tcPr>
          <w:p w14:paraId="5ECAEAE9">
            <w:pPr>
              <w:rPr>
                <w:rFonts w:ascii="Arial"/>
                <w:sz w:val="21"/>
              </w:rPr>
            </w:pPr>
          </w:p>
        </w:tc>
        <w:tc>
          <w:tcPr>
            <w:tcW w:w="912" w:type="dxa"/>
            <w:tcBorders>
              <w:right w:val="single" w:color="000000" w:sz="12" w:space="0"/>
            </w:tcBorders>
            <w:vAlign w:val="top"/>
          </w:tcPr>
          <w:p w14:paraId="5D0654C9">
            <w:pPr>
              <w:rPr>
                <w:rFonts w:ascii="Arial"/>
                <w:sz w:val="21"/>
              </w:rPr>
            </w:pPr>
          </w:p>
        </w:tc>
      </w:tr>
      <w:tr w14:paraId="2A940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tcBorders>
              <w:left w:val="single" w:color="000000" w:sz="12" w:space="0"/>
            </w:tcBorders>
            <w:vAlign w:val="top"/>
          </w:tcPr>
          <w:p w14:paraId="21D9BCB4">
            <w:pPr>
              <w:spacing w:before="64" w:line="220" w:lineRule="auto"/>
              <w:ind w:left="24"/>
              <w:rPr>
                <w:rFonts w:ascii="宋体" w:hAnsi="宋体" w:eastAsia="宋体" w:cs="宋体"/>
                <w:sz w:val="21"/>
                <w:szCs w:val="21"/>
              </w:rPr>
            </w:pPr>
            <w:r>
              <w:rPr>
                <w:rFonts w:ascii="宋体" w:hAnsi="宋体" w:eastAsia="宋体" w:cs="宋体"/>
                <w:spacing w:val="-3"/>
                <w:sz w:val="21"/>
                <w:szCs w:val="21"/>
              </w:rPr>
              <w:t>懒轮虫</w:t>
            </w:r>
          </w:p>
        </w:tc>
        <w:tc>
          <w:tcPr>
            <w:tcW w:w="3112" w:type="dxa"/>
            <w:vAlign w:val="top"/>
          </w:tcPr>
          <w:p w14:paraId="44604DD8">
            <w:pPr>
              <w:pStyle w:val="6"/>
              <w:spacing w:before="64" w:line="212" w:lineRule="auto"/>
              <w:ind w:left="301"/>
            </w:pPr>
            <w:r>
              <w:rPr>
                <w:rFonts w:ascii="宋体" w:hAnsi="宋体" w:eastAsia="宋体" w:cs="宋体"/>
                <w:spacing w:val="-1"/>
              </w:rPr>
              <w:t>懒轮虫</w:t>
            </w:r>
            <w:r>
              <w:rPr>
                <w:rFonts w:ascii="宋体" w:hAnsi="宋体" w:eastAsia="宋体" w:cs="宋体"/>
                <w:spacing w:val="-39"/>
              </w:rPr>
              <w:t xml:space="preserve"> </w:t>
            </w:r>
            <w:r>
              <w:rPr>
                <w:i/>
                <w:iCs/>
                <w:spacing w:val="-1"/>
              </w:rPr>
              <w:t>Rotaria  tardigigrada</w:t>
            </w:r>
          </w:p>
        </w:tc>
        <w:tc>
          <w:tcPr>
            <w:tcW w:w="705" w:type="dxa"/>
            <w:vAlign w:val="top"/>
          </w:tcPr>
          <w:p w14:paraId="0B96FF26">
            <w:pPr>
              <w:pStyle w:val="6"/>
              <w:spacing w:before="98" w:line="223" w:lineRule="auto"/>
              <w:ind w:left="291"/>
            </w:pPr>
            <w:r>
              <w:t>+</w:t>
            </w:r>
          </w:p>
        </w:tc>
        <w:tc>
          <w:tcPr>
            <w:tcW w:w="746" w:type="dxa"/>
            <w:vAlign w:val="top"/>
          </w:tcPr>
          <w:p w14:paraId="7EF1004F">
            <w:pPr>
              <w:pStyle w:val="6"/>
              <w:spacing w:before="98" w:line="223" w:lineRule="auto"/>
              <w:ind w:left="255"/>
            </w:pPr>
            <w:r>
              <w:rPr>
                <w:spacing w:val="-1"/>
              </w:rPr>
              <w:t>++</w:t>
            </w:r>
          </w:p>
        </w:tc>
        <w:tc>
          <w:tcPr>
            <w:tcW w:w="525" w:type="dxa"/>
            <w:vAlign w:val="top"/>
          </w:tcPr>
          <w:p w14:paraId="3A2F9309">
            <w:pPr>
              <w:pStyle w:val="6"/>
              <w:spacing w:before="98" w:line="223" w:lineRule="auto"/>
              <w:ind w:left="205"/>
            </w:pPr>
            <w:r>
              <w:t>+</w:t>
            </w:r>
          </w:p>
        </w:tc>
        <w:tc>
          <w:tcPr>
            <w:tcW w:w="562" w:type="dxa"/>
            <w:vAlign w:val="top"/>
          </w:tcPr>
          <w:p w14:paraId="052831DE">
            <w:pPr>
              <w:pStyle w:val="6"/>
              <w:spacing w:before="98" w:line="223" w:lineRule="auto"/>
              <w:ind w:left="226"/>
            </w:pPr>
            <w:r>
              <w:t>+</w:t>
            </w:r>
          </w:p>
        </w:tc>
        <w:tc>
          <w:tcPr>
            <w:tcW w:w="1207" w:type="dxa"/>
            <w:vAlign w:val="top"/>
          </w:tcPr>
          <w:p w14:paraId="56D2F8AD">
            <w:pPr>
              <w:rPr>
                <w:rFonts w:ascii="Arial"/>
                <w:sz w:val="21"/>
              </w:rPr>
            </w:pPr>
          </w:p>
        </w:tc>
        <w:tc>
          <w:tcPr>
            <w:tcW w:w="912" w:type="dxa"/>
            <w:tcBorders>
              <w:right w:val="single" w:color="000000" w:sz="12" w:space="0"/>
            </w:tcBorders>
            <w:vAlign w:val="top"/>
          </w:tcPr>
          <w:p w14:paraId="097676B7">
            <w:pPr>
              <w:pStyle w:val="6"/>
              <w:spacing w:before="98" w:line="223" w:lineRule="auto"/>
              <w:ind w:left="397"/>
            </w:pPr>
            <w:r>
              <w:t>+</w:t>
            </w:r>
          </w:p>
        </w:tc>
      </w:tr>
      <w:tr w14:paraId="4FF6E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restart"/>
            <w:tcBorders>
              <w:left w:val="single" w:color="000000" w:sz="12" w:space="0"/>
              <w:bottom w:val="nil"/>
            </w:tcBorders>
            <w:vAlign w:val="top"/>
          </w:tcPr>
          <w:p w14:paraId="221E0709">
            <w:pPr>
              <w:spacing w:line="272" w:lineRule="auto"/>
              <w:rPr>
                <w:rFonts w:ascii="Arial"/>
                <w:sz w:val="21"/>
              </w:rPr>
            </w:pPr>
          </w:p>
          <w:p w14:paraId="1F6080B0">
            <w:pPr>
              <w:spacing w:before="68" w:line="242" w:lineRule="auto"/>
              <w:ind w:left="129" w:right="142" w:firstLine="4"/>
              <w:rPr>
                <w:rFonts w:ascii="宋体" w:hAnsi="宋体" w:eastAsia="宋体" w:cs="宋体"/>
                <w:sz w:val="21"/>
                <w:szCs w:val="21"/>
              </w:rPr>
            </w:pPr>
            <w:r>
              <w:rPr>
                <w:rFonts w:ascii="宋体" w:hAnsi="宋体" w:eastAsia="宋体" w:cs="宋体"/>
                <w:spacing w:val="-7"/>
                <w:sz w:val="21"/>
                <w:szCs w:val="21"/>
              </w:rPr>
              <w:t>臂尾</w:t>
            </w:r>
            <w:r>
              <w:rPr>
                <w:rFonts w:ascii="宋体" w:hAnsi="宋体" w:eastAsia="宋体" w:cs="宋体"/>
                <w:spacing w:val="-5"/>
                <w:sz w:val="21"/>
                <w:szCs w:val="21"/>
              </w:rPr>
              <w:t>轮虫</w:t>
            </w:r>
          </w:p>
        </w:tc>
        <w:tc>
          <w:tcPr>
            <w:tcW w:w="3112" w:type="dxa"/>
            <w:vAlign w:val="top"/>
          </w:tcPr>
          <w:p w14:paraId="295F85DB">
            <w:pPr>
              <w:spacing w:before="64" w:line="219" w:lineRule="auto"/>
              <w:ind w:left="923"/>
              <w:rPr>
                <w:rFonts w:ascii="宋体" w:hAnsi="宋体" w:eastAsia="宋体" w:cs="宋体"/>
                <w:sz w:val="21"/>
                <w:szCs w:val="21"/>
              </w:rPr>
            </w:pPr>
            <w:r>
              <w:rPr>
                <w:rFonts w:ascii="宋体" w:hAnsi="宋体" w:eastAsia="宋体" w:cs="宋体"/>
                <w:spacing w:val="-2"/>
                <w:sz w:val="21"/>
                <w:szCs w:val="21"/>
              </w:rPr>
              <w:t>萼花臂尾轮虫</w:t>
            </w:r>
          </w:p>
          <w:p w14:paraId="48F6D91F">
            <w:pPr>
              <w:pStyle w:val="6"/>
              <w:spacing w:before="41" w:line="190" w:lineRule="auto"/>
              <w:ind w:left="506"/>
            </w:pPr>
            <w:r>
              <w:rPr>
                <w:i/>
                <w:iCs/>
              </w:rPr>
              <w:t>Brachionus</w:t>
            </w:r>
            <w:r>
              <w:rPr>
                <w:i/>
                <w:iCs/>
                <w:spacing w:val="2"/>
              </w:rPr>
              <w:t xml:space="preserve">  </w:t>
            </w:r>
            <w:r>
              <w:rPr>
                <w:i/>
                <w:iCs/>
              </w:rPr>
              <w:t>calyciflorus</w:t>
            </w:r>
          </w:p>
        </w:tc>
        <w:tc>
          <w:tcPr>
            <w:tcW w:w="705" w:type="dxa"/>
            <w:vAlign w:val="top"/>
          </w:tcPr>
          <w:p w14:paraId="7299E643">
            <w:pPr>
              <w:pStyle w:val="6"/>
              <w:spacing w:before="218" w:line="251" w:lineRule="exact"/>
              <w:ind w:left="232"/>
            </w:pPr>
            <w:r>
              <w:rPr>
                <w:spacing w:val="-1"/>
                <w:position w:val="1"/>
              </w:rPr>
              <w:t>++</w:t>
            </w:r>
          </w:p>
        </w:tc>
        <w:tc>
          <w:tcPr>
            <w:tcW w:w="746" w:type="dxa"/>
            <w:vAlign w:val="top"/>
          </w:tcPr>
          <w:p w14:paraId="6860C0D0">
            <w:pPr>
              <w:pStyle w:val="6"/>
              <w:spacing w:before="218" w:line="251" w:lineRule="exact"/>
              <w:ind w:left="314"/>
            </w:pPr>
            <w:r>
              <w:rPr>
                <w:position w:val="1"/>
              </w:rPr>
              <w:t>+</w:t>
            </w:r>
          </w:p>
        </w:tc>
        <w:tc>
          <w:tcPr>
            <w:tcW w:w="525" w:type="dxa"/>
            <w:vAlign w:val="top"/>
          </w:tcPr>
          <w:p w14:paraId="759F4F60">
            <w:pPr>
              <w:pStyle w:val="6"/>
              <w:spacing w:before="218" w:line="251" w:lineRule="exact"/>
              <w:ind w:left="147"/>
            </w:pPr>
            <w:r>
              <w:rPr>
                <w:spacing w:val="-1"/>
                <w:position w:val="1"/>
              </w:rPr>
              <w:t>++</w:t>
            </w:r>
          </w:p>
        </w:tc>
        <w:tc>
          <w:tcPr>
            <w:tcW w:w="562" w:type="dxa"/>
            <w:vAlign w:val="top"/>
          </w:tcPr>
          <w:p w14:paraId="6DE48DAC">
            <w:pPr>
              <w:rPr>
                <w:rFonts w:ascii="Arial"/>
                <w:sz w:val="21"/>
              </w:rPr>
            </w:pPr>
          </w:p>
        </w:tc>
        <w:tc>
          <w:tcPr>
            <w:tcW w:w="1207" w:type="dxa"/>
            <w:vAlign w:val="top"/>
          </w:tcPr>
          <w:p w14:paraId="4F84964A">
            <w:pPr>
              <w:pStyle w:val="6"/>
              <w:spacing w:before="218" w:line="251" w:lineRule="exact"/>
              <w:ind w:left="552"/>
            </w:pPr>
            <w:r>
              <w:rPr>
                <w:position w:val="1"/>
              </w:rPr>
              <w:t>+</w:t>
            </w:r>
          </w:p>
        </w:tc>
        <w:tc>
          <w:tcPr>
            <w:tcW w:w="912" w:type="dxa"/>
            <w:tcBorders>
              <w:right w:val="single" w:color="000000" w:sz="12" w:space="0"/>
            </w:tcBorders>
            <w:vAlign w:val="top"/>
          </w:tcPr>
          <w:p w14:paraId="5D9E241E">
            <w:pPr>
              <w:pStyle w:val="6"/>
              <w:spacing w:before="218" w:line="251" w:lineRule="exact"/>
              <w:ind w:left="397"/>
            </w:pPr>
            <w:r>
              <w:rPr>
                <w:position w:val="1"/>
              </w:rPr>
              <w:t>+</w:t>
            </w:r>
          </w:p>
        </w:tc>
      </w:tr>
      <w:tr w14:paraId="2FDB4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continue"/>
            <w:tcBorders>
              <w:top w:val="nil"/>
              <w:left w:val="single" w:color="000000" w:sz="12" w:space="0"/>
            </w:tcBorders>
            <w:vAlign w:val="top"/>
          </w:tcPr>
          <w:p w14:paraId="3E55BA18">
            <w:pPr>
              <w:rPr>
                <w:rFonts w:ascii="Arial"/>
                <w:sz w:val="21"/>
              </w:rPr>
            </w:pPr>
          </w:p>
        </w:tc>
        <w:tc>
          <w:tcPr>
            <w:tcW w:w="3112" w:type="dxa"/>
            <w:vAlign w:val="top"/>
          </w:tcPr>
          <w:p w14:paraId="32A3DD5A">
            <w:pPr>
              <w:spacing w:before="65" w:line="219" w:lineRule="auto"/>
              <w:ind w:left="921"/>
              <w:rPr>
                <w:rFonts w:ascii="宋体" w:hAnsi="宋体" w:eastAsia="宋体" w:cs="宋体"/>
                <w:sz w:val="21"/>
                <w:szCs w:val="21"/>
              </w:rPr>
            </w:pPr>
            <w:r>
              <w:rPr>
                <w:rFonts w:ascii="宋体" w:hAnsi="宋体" w:eastAsia="宋体" w:cs="宋体"/>
                <w:spacing w:val="-2"/>
                <w:sz w:val="21"/>
                <w:szCs w:val="21"/>
              </w:rPr>
              <w:t>剪形臂尾轮虫</w:t>
            </w:r>
          </w:p>
          <w:p w14:paraId="492DC9BD">
            <w:pPr>
              <w:pStyle w:val="6"/>
              <w:spacing w:before="41" w:line="190" w:lineRule="auto"/>
              <w:ind w:left="640"/>
            </w:pPr>
            <w:r>
              <w:rPr>
                <w:i/>
                <w:iCs/>
                <w:spacing w:val="2"/>
              </w:rPr>
              <w:t>Brachionus</w:t>
            </w:r>
            <w:r>
              <w:rPr>
                <w:i/>
                <w:iCs/>
                <w:spacing w:val="18"/>
              </w:rPr>
              <w:t xml:space="preserve"> </w:t>
            </w:r>
            <w:r>
              <w:rPr>
                <w:i/>
                <w:iCs/>
                <w:spacing w:val="2"/>
              </w:rPr>
              <w:t>forficula</w:t>
            </w:r>
          </w:p>
        </w:tc>
        <w:tc>
          <w:tcPr>
            <w:tcW w:w="705" w:type="dxa"/>
            <w:vAlign w:val="top"/>
          </w:tcPr>
          <w:p w14:paraId="30A60502">
            <w:pPr>
              <w:pStyle w:val="6"/>
              <w:spacing w:before="221" w:line="250" w:lineRule="exact"/>
              <w:ind w:left="232"/>
            </w:pPr>
            <w:r>
              <w:rPr>
                <w:spacing w:val="-1"/>
                <w:position w:val="1"/>
              </w:rPr>
              <w:t>++</w:t>
            </w:r>
          </w:p>
        </w:tc>
        <w:tc>
          <w:tcPr>
            <w:tcW w:w="746" w:type="dxa"/>
            <w:vAlign w:val="top"/>
          </w:tcPr>
          <w:p w14:paraId="1115DD96">
            <w:pPr>
              <w:pStyle w:val="6"/>
              <w:spacing w:before="221" w:line="250" w:lineRule="exact"/>
              <w:ind w:left="314"/>
            </w:pPr>
            <w:r>
              <w:rPr>
                <w:position w:val="1"/>
              </w:rPr>
              <w:t>+</w:t>
            </w:r>
          </w:p>
        </w:tc>
        <w:tc>
          <w:tcPr>
            <w:tcW w:w="525" w:type="dxa"/>
            <w:vAlign w:val="top"/>
          </w:tcPr>
          <w:p w14:paraId="3F997803">
            <w:pPr>
              <w:pStyle w:val="6"/>
              <w:spacing w:before="221" w:line="250" w:lineRule="exact"/>
              <w:ind w:left="205"/>
            </w:pPr>
            <w:r>
              <w:rPr>
                <w:position w:val="1"/>
              </w:rPr>
              <w:t>+</w:t>
            </w:r>
          </w:p>
        </w:tc>
        <w:tc>
          <w:tcPr>
            <w:tcW w:w="562" w:type="dxa"/>
            <w:vAlign w:val="top"/>
          </w:tcPr>
          <w:p w14:paraId="14FBA068">
            <w:pPr>
              <w:pStyle w:val="6"/>
              <w:spacing w:before="221" w:line="250" w:lineRule="exact"/>
              <w:ind w:left="226"/>
            </w:pPr>
            <w:r>
              <w:rPr>
                <w:position w:val="1"/>
              </w:rPr>
              <w:t>+</w:t>
            </w:r>
          </w:p>
        </w:tc>
        <w:tc>
          <w:tcPr>
            <w:tcW w:w="1207" w:type="dxa"/>
            <w:vAlign w:val="top"/>
          </w:tcPr>
          <w:p w14:paraId="4D9E4109">
            <w:pPr>
              <w:pStyle w:val="6"/>
              <w:spacing w:before="221" w:line="250" w:lineRule="exact"/>
              <w:ind w:left="552"/>
            </w:pPr>
            <w:r>
              <w:rPr>
                <w:position w:val="1"/>
              </w:rPr>
              <w:t>+</w:t>
            </w:r>
          </w:p>
        </w:tc>
        <w:tc>
          <w:tcPr>
            <w:tcW w:w="912" w:type="dxa"/>
            <w:tcBorders>
              <w:right w:val="single" w:color="000000" w:sz="12" w:space="0"/>
            </w:tcBorders>
            <w:vAlign w:val="top"/>
          </w:tcPr>
          <w:p w14:paraId="413F57DC">
            <w:pPr>
              <w:pStyle w:val="6"/>
              <w:spacing w:before="221" w:line="250" w:lineRule="exact"/>
              <w:ind w:left="397"/>
            </w:pPr>
            <w:r>
              <w:rPr>
                <w:position w:val="1"/>
              </w:rPr>
              <w:t>+</w:t>
            </w:r>
          </w:p>
        </w:tc>
      </w:tr>
      <w:tr w14:paraId="75B57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171F9E51">
            <w:pPr>
              <w:spacing w:before="274" w:line="242" w:lineRule="auto"/>
              <w:ind w:left="129" w:right="142" w:firstLine="2"/>
              <w:rPr>
                <w:rFonts w:ascii="宋体" w:hAnsi="宋体" w:eastAsia="宋体" w:cs="宋体"/>
                <w:sz w:val="21"/>
                <w:szCs w:val="21"/>
              </w:rPr>
            </w:pPr>
            <w:r>
              <w:rPr>
                <w:rFonts w:ascii="宋体" w:hAnsi="宋体" w:eastAsia="宋体" w:cs="宋体"/>
                <w:spacing w:val="-6"/>
                <w:sz w:val="21"/>
                <w:szCs w:val="21"/>
              </w:rPr>
              <w:t>龟甲</w:t>
            </w:r>
            <w:r>
              <w:rPr>
                <w:rFonts w:ascii="宋体" w:hAnsi="宋体" w:eastAsia="宋体" w:cs="宋体"/>
                <w:spacing w:val="-5"/>
                <w:sz w:val="21"/>
                <w:szCs w:val="21"/>
              </w:rPr>
              <w:t>轮虫</w:t>
            </w:r>
          </w:p>
        </w:tc>
        <w:tc>
          <w:tcPr>
            <w:tcW w:w="3112" w:type="dxa"/>
            <w:vAlign w:val="top"/>
          </w:tcPr>
          <w:p w14:paraId="16E2CBA1">
            <w:pPr>
              <w:pStyle w:val="6"/>
              <w:spacing w:before="68" w:line="223" w:lineRule="auto"/>
              <w:ind w:left="11"/>
            </w:pPr>
            <w:r>
              <w:rPr>
                <w:rFonts w:ascii="宋体" w:hAnsi="宋体" w:eastAsia="宋体" w:cs="宋体"/>
              </w:rPr>
              <w:t>螺形龟甲轮虫</w:t>
            </w:r>
            <w:r>
              <w:rPr>
                <w:rFonts w:ascii="宋体" w:hAnsi="宋体" w:eastAsia="宋体" w:cs="宋体"/>
                <w:spacing w:val="-58"/>
              </w:rPr>
              <w:t xml:space="preserve"> </w:t>
            </w:r>
            <w:r>
              <w:rPr>
                <w:i/>
                <w:iCs/>
              </w:rPr>
              <w:t>Keratella  coc</w:t>
            </w:r>
            <w:r>
              <w:rPr>
                <w:i/>
                <w:iCs/>
                <w:spacing w:val="-1"/>
              </w:rPr>
              <w:t>hlearis</w:t>
            </w:r>
          </w:p>
        </w:tc>
        <w:tc>
          <w:tcPr>
            <w:tcW w:w="705" w:type="dxa"/>
            <w:vAlign w:val="top"/>
          </w:tcPr>
          <w:p w14:paraId="270E6B1E">
            <w:pPr>
              <w:rPr>
                <w:rFonts w:ascii="Arial"/>
                <w:sz w:val="21"/>
              </w:rPr>
            </w:pPr>
          </w:p>
        </w:tc>
        <w:tc>
          <w:tcPr>
            <w:tcW w:w="746" w:type="dxa"/>
            <w:vAlign w:val="top"/>
          </w:tcPr>
          <w:p w14:paraId="6A2D1AFB">
            <w:pPr>
              <w:pStyle w:val="6"/>
              <w:spacing w:before="100" w:line="220" w:lineRule="auto"/>
              <w:ind w:left="195"/>
            </w:pPr>
            <w:r>
              <w:rPr>
                <w:spacing w:val="-1"/>
              </w:rPr>
              <w:t>+++</w:t>
            </w:r>
          </w:p>
        </w:tc>
        <w:tc>
          <w:tcPr>
            <w:tcW w:w="525" w:type="dxa"/>
            <w:vAlign w:val="top"/>
          </w:tcPr>
          <w:p w14:paraId="366A1839">
            <w:pPr>
              <w:pStyle w:val="6"/>
              <w:spacing w:before="100" w:line="220" w:lineRule="auto"/>
              <w:ind w:left="205"/>
            </w:pPr>
            <w:r>
              <w:t>+</w:t>
            </w:r>
          </w:p>
        </w:tc>
        <w:tc>
          <w:tcPr>
            <w:tcW w:w="562" w:type="dxa"/>
            <w:vAlign w:val="top"/>
          </w:tcPr>
          <w:p w14:paraId="464ABD7F">
            <w:pPr>
              <w:pStyle w:val="6"/>
              <w:spacing w:before="100" w:line="220" w:lineRule="auto"/>
              <w:ind w:left="226"/>
            </w:pPr>
            <w:r>
              <w:t>+</w:t>
            </w:r>
          </w:p>
        </w:tc>
        <w:tc>
          <w:tcPr>
            <w:tcW w:w="1207" w:type="dxa"/>
            <w:vAlign w:val="top"/>
          </w:tcPr>
          <w:p w14:paraId="25515857">
            <w:pPr>
              <w:pStyle w:val="6"/>
              <w:spacing w:before="100" w:line="220" w:lineRule="auto"/>
              <w:ind w:left="552"/>
            </w:pPr>
            <w:r>
              <w:t>+</w:t>
            </w:r>
          </w:p>
        </w:tc>
        <w:tc>
          <w:tcPr>
            <w:tcW w:w="912" w:type="dxa"/>
            <w:tcBorders>
              <w:right w:val="single" w:color="000000" w:sz="12" w:space="0"/>
            </w:tcBorders>
            <w:vAlign w:val="top"/>
          </w:tcPr>
          <w:p w14:paraId="4A22B9F7">
            <w:pPr>
              <w:pStyle w:val="6"/>
              <w:spacing w:before="100" w:line="220" w:lineRule="auto"/>
              <w:ind w:left="397"/>
            </w:pPr>
            <w:r>
              <w:t>+</w:t>
            </w:r>
          </w:p>
        </w:tc>
      </w:tr>
      <w:tr w14:paraId="6F1C7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6A7111DF">
            <w:pPr>
              <w:rPr>
                <w:rFonts w:ascii="Arial"/>
                <w:sz w:val="21"/>
              </w:rPr>
            </w:pPr>
          </w:p>
        </w:tc>
        <w:tc>
          <w:tcPr>
            <w:tcW w:w="3112" w:type="dxa"/>
            <w:vAlign w:val="top"/>
          </w:tcPr>
          <w:p w14:paraId="73E3AA17">
            <w:pPr>
              <w:pStyle w:val="6"/>
              <w:spacing w:before="69" w:line="212" w:lineRule="auto"/>
              <w:ind w:left="237"/>
            </w:pPr>
            <w:r>
              <w:rPr>
                <w:rFonts w:ascii="宋体" w:hAnsi="宋体" w:eastAsia="宋体" w:cs="宋体"/>
                <w:spacing w:val="-2"/>
              </w:rPr>
              <w:t>曲腿龟甲轮虫</w:t>
            </w:r>
            <w:r>
              <w:rPr>
                <w:rFonts w:ascii="宋体" w:hAnsi="宋体" w:eastAsia="宋体" w:cs="宋体"/>
                <w:spacing w:val="-41"/>
              </w:rPr>
              <w:t xml:space="preserve"> </w:t>
            </w:r>
            <w:r>
              <w:rPr>
                <w:i/>
                <w:iCs/>
                <w:spacing w:val="-2"/>
              </w:rPr>
              <w:t>Keratella  valga</w:t>
            </w:r>
          </w:p>
        </w:tc>
        <w:tc>
          <w:tcPr>
            <w:tcW w:w="705" w:type="dxa"/>
            <w:vAlign w:val="top"/>
          </w:tcPr>
          <w:p w14:paraId="19945E9E">
            <w:pPr>
              <w:pStyle w:val="6"/>
              <w:spacing w:before="102" w:line="218" w:lineRule="auto"/>
              <w:ind w:left="232"/>
            </w:pPr>
            <w:r>
              <w:rPr>
                <w:spacing w:val="-1"/>
              </w:rPr>
              <w:t>++</w:t>
            </w:r>
          </w:p>
        </w:tc>
        <w:tc>
          <w:tcPr>
            <w:tcW w:w="746" w:type="dxa"/>
            <w:vAlign w:val="top"/>
          </w:tcPr>
          <w:p w14:paraId="0F49F4EB">
            <w:pPr>
              <w:pStyle w:val="6"/>
              <w:spacing w:before="102" w:line="218" w:lineRule="auto"/>
              <w:ind w:left="314"/>
            </w:pPr>
            <w:r>
              <w:t>+</w:t>
            </w:r>
          </w:p>
        </w:tc>
        <w:tc>
          <w:tcPr>
            <w:tcW w:w="525" w:type="dxa"/>
            <w:vAlign w:val="top"/>
          </w:tcPr>
          <w:p w14:paraId="290A9F19">
            <w:pPr>
              <w:rPr>
                <w:rFonts w:ascii="Arial"/>
                <w:sz w:val="21"/>
              </w:rPr>
            </w:pPr>
          </w:p>
        </w:tc>
        <w:tc>
          <w:tcPr>
            <w:tcW w:w="562" w:type="dxa"/>
            <w:vAlign w:val="top"/>
          </w:tcPr>
          <w:p w14:paraId="0EF128DC">
            <w:pPr>
              <w:pStyle w:val="6"/>
              <w:spacing w:before="102" w:line="218" w:lineRule="auto"/>
              <w:ind w:left="226"/>
            </w:pPr>
            <w:r>
              <w:t>+</w:t>
            </w:r>
          </w:p>
        </w:tc>
        <w:tc>
          <w:tcPr>
            <w:tcW w:w="1207" w:type="dxa"/>
            <w:vAlign w:val="top"/>
          </w:tcPr>
          <w:p w14:paraId="04BC801C">
            <w:pPr>
              <w:pStyle w:val="6"/>
              <w:spacing w:before="102" w:line="218" w:lineRule="auto"/>
              <w:ind w:left="552"/>
            </w:pPr>
            <w:r>
              <w:t>+</w:t>
            </w:r>
          </w:p>
        </w:tc>
        <w:tc>
          <w:tcPr>
            <w:tcW w:w="912" w:type="dxa"/>
            <w:tcBorders>
              <w:right w:val="single" w:color="000000" w:sz="12" w:space="0"/>
            </w:tcBorders>
            <w:vAlign w:val="top"/>
          </w:tcPr>
          <w:p w14:paraId="7EEF6F3C">
            <w:pPr>
              <w:pStyle w:val="6"/>
              <w:spacing w:before="102" w:line="218" w:lineRule="auto"/>
              <w:ind w:left="397"/>
            </w:pPr>
            <w:r>
              <w:t>+</w:t>
            </w:r>
          </w:p>
        </w:tc>
      </w:tr>
      <w:tr w14:paraId="32ED2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34B172DA">
            <w:pPr>
              <w:rPr>
                <w:rFonts w:ascii="Arial"/>
                <w:sz w:val="21"/>
              </w:rPr>
            </w:pPr>
          </w:p>
        </w:tc>
        <w:tc>
          <w:tcPr>
            <w:tcW w:w="3112" w:type="dxa"/>
            <w:vAlign w:val="top"/>
          </w:tcPr>
          <w:p w14:paraId="4C171528">
            <w:pPr>
              <w:pStyle w:val="6"/>
              <w:spacing w:before="69" w:line="213" w:lineRule="auto"/>
              <w:ind w:left="59"/>
            </w:pPr>
            <w:r>
              <w:rPr>
                <w:rFonts w:ascii="宋体" w:hAnsi="宋体" w:eastAsia="宋体" w:cs="宋体"/>
              </w:rPr>
              <w:t>矩形龟甲轮虫</w:t>
            </w:r>
            <w:r>
              <w:rPr>
                <w:rFonts w:ascii="宋体" w:hAnsi="宋体" w:eastAsia="宋体" w:cs="宋体"/>
                <w:spacing w:val="-58"/>
              </w:rPr>
              <w:t xml:space="preserve"> </w:t>
            </w:r>
            <w:r>
              <w:rPr>
                <w:i/>
                <w:iCs/>
              </w:rPr>
              <w:t>Keratella  quad</w:t>
            </w:r>
            <w:r>
              <w:rPr>
                <w:i/>
                <w:iCs/>
                <w:spacing w:val="-1"/>
              </w:rPr>
              <w:t>rata</w:t>
            </w:r>
          </w:p>
        </w:tc>
        <w:tc>
          <w:tcPr>
            <w:tcW w:w="705" w:type="dxa"/>
            <w:vAlign w:val="top"/>
          </w:tcPr>
          <w:p w14:paraId="5DBFDFDD">
            <w:pPr>
              <w:pStyle w:val="6"/>
              <w:spacing w:before="103" w:line="218" w:lineRule="auto"/>
              <w:ind w:left="232"/>
            </w:pPr>
            <w:r>
              <w:rPr>
                <w:spacing w:val="-1"/>
              </w:rPr>
              <w:t>++</w:t>
            </w:r>
          </w:p>
        </w:tc>
        <w:tc>
          <w:tcPr>
            <w:tcW w:w="746" w:type="dxa"/>
            <w:vAlign w:val="top"/>
          </w:tcPr>
          <w:p w14:paraId="48F3A57F">
            <w:pPr>
              <w:rPr>
                <w:rFonts w:ascii="Arial"/>
                <w:sz w:val="21"/>
              </w:rPr>
            </w:pPr>
          </w:p>
        </w:tc>
        <w:tc>
          <w:tcPr>
            <w:tcW w:w="525" w:type="dxa"/>
            <w:vAlign w:val="top"/>
          </w:tcPr>
          <w:p w14:paraId="7900130C">
            <w:pPr>
              <w:pStyle w:val="6"/>
              <w:spacing w:before="103" w:line="218" w:lineRule="auto"/>
              <w:ind w:left="205"/>
            </w:pPr>
            <w:r>
              <w:t>+</w:t>
            </w:r>
          </w:p>
        </w:tc>
        <w:tc>
          <w:tcPr>
            <w:tcW w:w="562" w:type="dxa"/>
            <w:vAlign w:val="top"/>
          </w:tcPr>
          <w:p w14:paraId="6051CE8B">
            <w:pPr>
              <w:pStyle w:val="6"/>
              <w:spacing w:before="103" w:line="218" w:lineRule="auto"/>
              <w:ind w:left="226"/>
            </w:pPr>
            <w:r>
              <w:t>+</w:t>
            </w:r>
          </w:p>
        </w:tc>
        <w:tc>
          <w:tcPr>
            <w:tcW w:w="1207" w:type="dxa"/>
            <w:vAlign w:val="top"/>
          </w:tcPr>
          <w:p w14:paraId="0C5C885D">
            <w:pPr>
              <w:pStyle w:val="6"/>
              <w:spacing w:before="103" w:line="218" w:lineRule="auto"/>
              <w:ind w:left="493"/>
            </w:pPr>
            <w:r>
              <w:rPr>
                <w:spacing w:val="-1"/>
              </w:rPr>
              <w:t>++</w:t>
            </w:r>
          </w:p>
        </w:tc>
        <w:tc>
          <w:tcPr>
            <w:tcW w:w="912" w:type="dxa"/>
            <w:tcBorders>
              <w:right w:val="single" w:color="000000" w:sz="12" w:space="0"/>
            </w:tcBorders>
            <w:vAlign w:val="top"/>
          </w:tcPr>
          <w:p w14:paraId="50F737B7">
            <w:pPr>
              <w:pStyle w:val="6"/>
              <w:spacing w:before="103" w:line="218" w:lineRule="auto"/>
              <w:ind w:left="397"/>
            </w:pPr>
            <w:r>
              <w:t>+</w:t>
            </w:r>
          </w:p>
        </w:tc>
      </w:tr>
      <w:tr w14:paraId="26925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0AA87750">
            <w:pPr>
              <w:spacing w:before="159" w:line="242" w:lineRule="auto"/>
              <w:ind w:left="129" w:right="142" w:firstLine="1"/>
              <w:rPr>
                <w:rFonts w:ascii="宋体" w:hAnsi="宋体" w:eastAsia="宋体" w:cs="宋体"/>
                <w:sz w:val="21"/>
                <w:szCs w:val="21"/>
              </w:rPr>
            </w:pPr>
            <w:r>
              <w:rPr>
                <w:rFonts w:ascii="宋体" w:hAnsi="宋体" w:eastAsia="宋体" w:cs="宋体"/>
                <w:spacing w:val="-5"/>
                <w:sz w:val="21"/>
                <w:szCs w:val="21"/>
              </w:rPr>
              <w:t>单趾轮虫</w:t>
            </w:r>
          </w:p>
        </w:tc>
        <w:tc>
          <w:tcPr>
            <w:tcW w:w="3112" w:type="dxa"/>
            <w:vAlign w:val="top"/>
          </w:tcPr>
          <w:p w14:paraId="454966C9">
            <w:pPr>
              <w:pStyle w:val="6"/>
              <w:spacing w:before="70" w:line="212" w:lineRule="auto"/>
              <w:ind w:left="100"/>
            </w:pPr>
            <w:r>
              <w:rPr>
                <w:rFonts w:ascii="宋体" w:hAnsi="宋体" w:eastAsia="宋体" w:cs="宋体"/>
              </w:rPr>
              <w:t>月形单趾轮虫</w:t>
            </w:r>
            <w:r>
              <w:rPr>
                <w:rFonts w:ascii="宋体" w:hAnsi="宋体" w:eastAsia="宋体" w:cs="宋体"/>
                <w:spacing w:val="-57"/>
              </w:rPr>
              <w:t xml:space="preserve"> </w:t>
            </w:r>
            <w:r>
              <w:rPr>
                <w:i/>
                <w:iCs/>
              </w:rPr>
              <w:t>Monostyla</w:t>
            </w:r>
            <w:r>
              <w:rPr>
                <w:i/>
                <w:iCs/>
                <w:spacing w:val="46"/>
                <w:w w:val="101"/>
              </w:rPr>
              <w:t xml:space="preserve"> </w:t>
            </w:r>
            <w:r>
              <w:rPr>
                <w:i/>
                <w:iCs/>
              </w:rPr>
              <w:t>Iunarir</w:t>
            </w:r>
          </w:p>
        </w:tc>
        <w:tc>
          <w:tcPr>
            <w:tcW w:w="705" w:type="dxa"/>
            <w:vAlign w:val="top"/>
          </w:tcPr>
          <w:p w14:paraId="23B18AA6">
            <w:pPr>
              <w:pStyle w:val="6"/>
              <w:spacing w:before="103" w:line="217" w:lineRule="auto"/>
              <w:ind w:left="232"/>
            </w:pPr>
            <w:r>
              <w:rPr>
                <w:spacing w:val="-1"/>
              </w:rPr>
              <w:t>++</w:t>
            </w:r>
          </w:p>
        </w:tc>
        <w:tc>
          <w:tcPr>
            <w:tcW w:w="746" w:type="dxa"/>
            <w:vAlign w:val="top"/>
          </w:tcPr>
          <w:p w14:paraId="76E86499">
            <w:pPr>
              <w:pStyle w:val="6"/>
              <w:spacing w:before="103" w:line="217" w:lineRule="auto"/>
              <w:ind w:left="314"/>
            </w:pPr>
            <w:r>
              <w:t>+</w:t>
            </w:r>
          </w:p>
        </w:tc>
        <w:tc>
          <w:tcPr>
            <w:tcW w:w="525" w:type="dxa"/>
            <w:vAlign w:val="top"/>
          </w:tcPr>
          <w:p w14:paraId="132B6FFE">
            <w:pPr>
              <w:pStyle w:val="6"/>
              <w:spacing w:before="103" w:line="217" w:lineRule="auto"/>
              <w:ind w:left="205"/>
            </w:pPr>
            <w:r>
              <w:t>+</w:t>
            </w:r>
          </w:p>
        </w:tc>
        <w:tc>
          <w:tcPr>
            <w:tcW w:w="562" w:type="dxa"/>
            <w:vAlign w:val="top"/>
          </w:tcPr>
          <w:p w14:paraId="37ABC7C8">
            <w:pPr>
              <w:rPr>
                <w:rFonts w:ascii="Arial"/>
                <w:sz w:val="21"/>
              </w:rPr>
            </w:pPr>
          </w:p>
        </w:tc>
        <w:tc>
          <w:tcPr>
            <w:tcW w:w="1207" w:type="dxa"/>
            <w:vAlign w:val="top"/>
          </w:tcPr>
          <w:p w14:paraId="38D9C1F3">
            <w:pPr>
              <w:pStyle w:val="6"/>
              <w:spacing w:before="103" w:line="217" w:lineRule="auto"/>
              <w:ind w:left="552"/>
            </w:pPr>
            <w:r>
              <w:t>+</w:t>
            </w:r>
          </w:p>
        </w:tc>
        <w:tc>
          <w:tcPr>
            <w:tcW w:w="912" w:type="dxa"/>
            <w:tcBorders>
              <w:right w:val="single" w:color="000000" w:sz="12" w:space="0"/>
            </w:tcBorders>
            <w:vAlign w:val="top"/>
          </w:tcPr>
          <w:p w14:paraId="2134DCE5">
            <w:pPr>
              <w:pStyle w:val="6"/>
              <w:spacing w:before="103" w:line="217" w:lineRule="auto"/>
              <w:ind w:left="397"/>
            </w:pPr>
            <w:r>
              <w:t>+</w:t>
            </w:r>
          </w:p>
        </w:tc>
      </w:tr>
      <w:tr w14:paraId="5766B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704" w:type="dxa"/>
            <w:vMerge w:val="continue"/>
            <w:tcBorders>
              <w:top w:val="nil"/>
              <w:left w:val="single" w:color="000000" w:sz="12" w:space="0"/>
            </w:tcBorders>
            <w:vAlign w:val="top"/>
          </w:tcPr>
          <w:p w14:paraId="32E17A90">
            <w:pPr>
              <w:rPr>
                <w:rFonts w:ascii="Arial"/>
                <w:sz w:val="21"/>
              </w:rPr>
            </w:pPr>
          </w:p>
        </w:tc>
        <w:tc>
          <w:tcPr>
            <w:tcW w:w="3112" w:type="dxa"/>
            <w:vAlign w:val="top"/>
          </w:tcPr>
          <w:p w14:paraId="2F93563B">
            <w:pPr>
              <w:pStyle w:val="6"/>
              <w:spacing w:before="125" w:line="212" w:lineRule="auto"/>
              <w:ind w:left="182"/>
            </w:pPr>
            <w:r>
              <w:rPr>
                <w:rFonts w:ascii="宋体" w:hAnsi="宋体" w:eastAsia="宋体" w:cs="宋体"/>
              </w:rPr>
              <w:t>囊形单趾轮虫</w:t>
            </w:r>
            <w:r>
              <w:rPr>
                <w:rFonts w:ascii="宋体" w:hAnsi="宋体" w:eastAsia="宋体" w:cs="宋体"/>
                <w:spacing w:val="-59"/>
              </w:rPr>
              <w:t xml:space="preserve"> </w:t>
            </w:r>
            <w:r>
              <w:rPr>
                <w:i/>
                <w:iCs/>
              </w:rPr>
              <w:t>Monostyla  bulla</w:t>
            </w:r>
          </w:p>
        </w:tc>
        <w:tc>
          <w:tcPr>
            <w:tcW w:w="705" w:type="dxa"/>
            <w:vAlign w:val="top"/>
          </w:tcPr>
          <w:p w14:paraId="3DC87CBD">
            <w:pPr>
              <w:pStyle w:val="6"/>
              <w:spacing w:before="159" w:line="251" w:lineRule="exact"/>
              <w:ind w:left="291"/>
            </w:pPr>
            <w:r>
              <w:rPr>
                <w:position w:val="1"/>
              </w:rPr>
              <w:t>+</w:t>
            </w:r>
          </w:p>
        </w:tc>
        <w:tc>
          <w:tcPr>
            <w:tcW w:w="746" w:type="dxa"/>
            <w:vAlign w:val="top"/>
          </w:tcPr>
          <w:p w14:paraId="42732EA3">
            <w:pPr>
              <w:pStyle w:val="6"/>
              <w:spacing w:before="159" w:line="251" w:lineRule="exact"/>
              <w:ind w:left="255"/>
            </w:pPr>
            <w:r>
              <w:rPr>
                <w:spacing w:val="-1"/>
                <w:position w:val="1"/>
              </w:rPr>
              <w:t>++</w:t>
            </w:r>
          </w:p>
        </w:tc>
        <w:tc>
          <w:tcPr>
            <w:tcW w:w="525" w:type="dxa"/>
            <w:vAlign w:val="top"/>
          </w:tcPr>
          <w:p w14:paraId="7CA6F236">
            <w:pPr>
              <w:rPr>
                <w:rFonts w:ascii="Arial"/>
                <w:sz w:val="21"/>
              </w:rPr>
            </w:pPr>
          </w:p>
        </w:tc>
        <w:tc>
          <w:tcPr>
            <w:tcW w:w="562" w:type="dxa"/>
            <w:vAlign w:val="top"/>
          </w:tcPr>
          <w:p w14:paraId="0F24BF42">
            <w:pPr>
              <w:pStyle w:val="6"/>
              <w:spacing w:before="159" w:line="251" w:lineRule="exact"/>
              <w:ind w:left="226"/>
            </w:pPr>
            <w:r>
              <w:rPr>
                <w:position w:val="1"/>
              </w:rPr>
              <w:t>+</w:t>
            </w:r>
          </w:p>
        </w:tc>
        <w:tc>
          <w:tcPr>
            <w:tcW w:w="1207" w:type="dxa"/>
            <w:vAlign w:val="top"/>
          </w:tcPr>
          <w:p w14:paraId="04993424">
            <w:pPr>
              <w:pStyle w:val="6"/>
              <w:spacing w:before="159" w:line="251" w:lineRule="exact"/>
              <w:ind w:left="552"/>
            </w:pPr>
            <w:r>
              <w:rPr>
                <w:position w:val="1"/>
              </w:rPr>
              <w:t>+</w:t>
            </w:r>
          </w:p>
        </w:tc>
        <w:tc>
          <w:tcPr>
            <w:tcW w:w="912" w:type="dxa"/>
            <w:tcBorders>
              <w:right w:val="single" w:color="000000" w:sz="12" w:space="0"/>
            </w:tcBorders>
            <w:vAlign w:val="top"/>
          </w:tcPr>
          <w:p w14:paraId="26EB799F">
            <w:pPr>
              <w:pStyle w:val="6"/>
              <w:spacing w:before="159" w:line="251" w:lineRule="exact"/>
              <w:ind w:left="397"/>
            </w:pPr>
            <w:r>
              <w:rPr>
                <w:position w:val="1"/>
              </w:rPr>
              <w:t>+</w:t>
            </w:r>
          </w:p>
        </w:tc>
      </w:tr>
      <w:tr w14:paraId="5F53D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restart"/>
            <w:tcBorders>
              <w:left w:val="single" w:color="000000" w:sz="12" w:space="0"/>
              <w:bottom w:val="nil"/>
            </w:tcBorders>
            <w:vAlign w:val="top"/>
          </w:tcPr>
          <w:p w14:paraId="24459D64">
            <w:pPr>
              <w:spacing w:before="106" w:line="221" w:lineRule="auto"/>
              <w:ind w:left="129"/>
              <w:rPr>
                <w:rFonts w:ascii="宋体" w:hAnsi="宋体" w:eastAsia="宋体" w:cs="宋体"/>
                <w:sz w:val="21"/>
                <w:szCs w:val="21"/>
              </w:rPr>
            </w:pPr>
            <w:r>
              <w:rPr>
                <w:rFonts w:ascii="宋体" w:hAnsi="宋体" w:eastAsia="宋体" w:cs="宋体"/>
                <w:spacing w:val="-3"/>
                <w:sz w:val="21"/>
                <w:szCs w:val="21"/>
              </w:rPr>
              <w:t>三肢</w:t>
            </w:r>
          </w:p>
          <w:p w14:paraId="4F921B7A">
            <w:pPr>
              <w:spacing w:before="21" w:line="221" w:lineRule="auto"/>
              <w:ind w:left="129"/>
              <w:rPr>
                <w:rFonts w:ascii="宋体" w:hAnsi="宋体" w:eastAsia="宋体" w:cs="宋体"/>
                <w:sz w:val="21"/>
                <w:szCs w:val="21"/>
              </w:rPr>
            </w:pPr>
            <w:r>
              <w:rPr>
                <w:rFonts w:ascii="宋体" w:hAnsi="宋体" w:eastAsia="宋体" w:cs="宋体"/>
                <w:spacing w:val="-3"/>
                <w:sz w:val="21"/>
                <w:szCs w:val="21"/>
              </w:rPr>
              <w:t>轮虫</w:t>
            </w:r>
          </w:p>
        </w:tc>
        <w:tc>
          <w:tcPr>
            <w:tcW w:w="3112" w:type="dxa"/>
            <w:vAlign w:val="top"/>
          </w:tcPr>
          <w:p w14:paraId="6818A48B">
            <w:pPr>
              <w:pStyle w:val="6"/>
              <w:spacing w:before="72" w:line="212" w:lineRule="auto"/>
              <w:ind w:left="277"/>
            </w:pPr>
            <w:r>
              <w:rPr>
                <w:rFonts w:ascii="宋体" w:hAnsi="宋体" w:eastAsia="宋体" w:cs="宋体"/>
              </w:rPr>
              <w:t>长三肢轮虫</w:t>
            </w:r>
            <w:r>
              <w:rPr>
                <w:rFonts w:ascii="宋体" w:hAnsi="宋体" w:eastAsia="宋体" w:cs="宋体"/>
                <w:spacing w:val="-57"/>
              </w:rPr>
              <w:t xml:space="preserve"> </w:t>
            </w:r>
            <w:r>
              <w:rPr>
                <w:i/>
                <w:iCs/>
              </w:rPr>
              <w:t>Filinia  longise</w:t>
            </w:r>
            <w:r>
              <w:rPr>
                <w:i/>
                <w:iCs/>
                <w:spacing w:val="-1"/>
              </w:rPr>
              <w:t>ta</w:t>
            </w:r>
          </w:p>
        </w:tc>
        <w:tc>
          <w:tcPr>
            <w:tcW w:w="705" w:type="dxa"/>
            <w:vAlign w:val="top"/>
          </w:tcPr>
          <w:p w14:paraId="1C225EA3">
            <w:pPr>
              <w:pStyle w:val="6"/>
              <w:spacing w:before="105" w:line="215" w:lineRule="auto"/>
              <w:ind w:left="172"/>
            </w:pPr>
            <w:r>
              <w:rPr>
                <w:spacing w:val="-1"/>
              </w:rPr>
              <w:t>+++</w:t>
            </w:r>
          </w:p>
        </w:tc>
        <w:tc>
          <w:tcPr>
            <w:tcW w:w="746" w:type="dxa"/>
            <w:vAlign w:val="top"/>
          </w:tcPr>
          <w:p w14:paraId="5032B11A">
            <w:pPr>
              <w:pStyle w:val="6"/>
              <w:spacing w:before="105" w:line="215" w:lineRule="auto"/>
              <w:ind w:left="314"/>
            </w:pPr>
            <w:r>
              <w:t>+</w:t>
            </w:r>
          </w:p>
        </w:tc>
        <w:tc>
          <w:tcPr>
            <w:tcW w:w="525" w:type="dxa"/>
            <w:vAlign w:val="top"/>
          </w:tcPr>
          <w:p w14:paraId="07B8F081">
            <w:pPr>
              <w:rPr>
                <w:rFonts w:ascii="Arial"/>
                <w:sz w:val="21"/>
              </w:rPr>
            </w:pPr>
          </w:p>
        </w:tc>
        <w:tc>
          <w:tcPr>
            <w:tcW w:w="562" w:type="dxa"/>
            <w:vAlign w:val="top"/>
          </w:tcPr>
          <w:p w14:paraId="13F5F870">
            <w:pPr>
              <w:pStyle w:val="6"/>
              <w:spacing w:before="105" w:line="215" w:lineRule="auto"/>
              <w:ind w:left="168"/>
            </w:pPr>
            <w:r>
              <w:rPr>
                <w:spacing w:val="-1"/>
              </w:rPr>
              <w:t>++</w:t>
            </w:r>
          </w:p>
        </w:tc>
        <w:tc>
          <w:tcPr>
            <w:tcW w:w="1207" w:type="dxa"/>
            <w:vAlign w:val="top"/>
          </w:tcPr>
          <w:p w14:paraId="55C6B674">
            <w:pPr>
              <w:rPr>
                <w:rFonts w:ascii="Arial"/>
                <w:sz w:val="21"/>
              </w:rPr>
            </w:pPr>
          </w:p>
        </w:tc>
        <w:tc>
          <w:tcPr>
            <w:tcW w:w="912" w:type="dxa"/>
            <w:tcBorders>
              <w:right w:val="single" w:color="000000" w:sz="12" w:space="0"/>
            </w:tcBorders>
            <w:vAlign w:val="top"/>
          </w:tcPr>
          <w:p w14:paraId="4BC43D73">
            <w:pPr>
              <w:pStyle w:val="6"/>
              <w:spacing w:before="105" w:line="215" w:lineRule="auto"/>
              <w:ind w:left="397"/>
            </w:pPr>
            <w:r>
              <w:t>+</w:t>
            </w:r>
          </w:p>
        </w:tc>
      </w:tr>
      <w:tr w14:paraId="0344E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750C6AE6">
            <w:pPr>
              <w:rPr>
                <w:rFonts w:ascii="Arial"/>
                <w:sz w:val="21"/>
              </w:rPr>
            </w:pPr>
          </w:p>
        </w:tc>
        <w:tc>
          <w:tcPr>
            <w:tcW w:w="3112" w:type="dxa"/>
            <w:vAlign w:val="top"/>
          </w:tcPr>
          <w:p w14:paraId="299DE40D">
            <w:pPr>
              <w:pStyle w:val="6"/>
              <w:spacing w:before="73" w:line="219" w:lineRule="auto"/>
              <w:ind w:left="410"/>
            </w:pPr>
            <w:r>
              <w:rPr>
                <w:rFonts w:ascii="宋体" w:hAnsi="宋体" w:eastAsia="宋体" w:cs="宋体"/>
              </w:rPr>
              <w:t>尾三肢轮虫</w:t>
            </w:r>
            <w:r>
              <w:rPr>
                <w:rFonts w:ascii="宋体" w:hAnsi="宋体" w:eastAsia="宋体" w:cs="宋体"/>
                <w:spacing w:val="-58"/>
              </w:rPr>
              <w:t xml:space="preserve"> </w:t>
            </w:r>
            <w:r>
              <w:rPr>
                <w:i/>
                <w:iCs/>
              </w:rPr>
              <w:t>Filinia  maior</w:t>
            </w:r>
          </w:p>
        </w:tc>
        <w:tc>
          <w:tcPr>
            <w:tcW w:w="705" w:type="dxa"/>
            <w:vAlign w:val="top"/>
          </w:tcPr>
          <w:p w14:paraId="60BC28C6">
            <w:pPr>
              <w:pStyle w:val="6"/>
              <w:spacing w:before="106" w:line="215" w:lineRule="auto"/>
              <w:ind w:left="291"/>
            </w:pPr>
            <w:r>
              <w:t>+</w:t>
            </w:r>
          </w:p>
        </w:tc>
        <w:tc>
          <w:tcPr>
            <w:tcW w:w="746" w:type="dxa"/>
            <w:vAlign w:val="top"/>
          </w:tcPr>
          <w:p w14:paraId="11D2F6F0">
            <w:pPr>
              <w:pStyle w:val="6"/>
              <w:spacing w:before="106" w:line="215" w:lineRule="auto"/>
              <w:ind w:left="314"/>
            </w:pPr>
            <w:r>
              <w:t>+</w:t>
            </w:r>
          </w:p>
        </w:tc>
        <w:tc>
          <w:tcPr>
            <w:tcW w:w="525" w:type="dxa"/>
            <w:vAlign w:val="top"/>
          </w:tcPr>
          <w:p w14:paraId="7CE00D52">
            <w:pPr>
              <w:rPr>
                <w:rFonts w:ascii="Arial"/>
                <w:sz w:val="21"/>
              </w:rPr>
            </w:pPr>
          </w:p>
        </w:tc>
        <w:tc>
          <w:tcPr>
            <w:tcW w:w="562" w:type="dxa"/>
            <w:vAlign w:val="top"/>
          </w:tcPr>
          <w:p w14:paraId="69DC2685">
            <w:pPr>
              <w:pStyle w:val="6"/>
              <w:spacing w:before="106" w:line="215" w:lineRule="auto"/>
              <w:ind w:left="226"/>
            </w:pPr>
            <w:r>
              <w:t>+</w:t>
            </w:r>
          </w:p>
        </w:tc>
        <w:tc>
          <w:tcPr>
            <w:tcW w:w="1207" w:type="dxa"/>
            <w:vAlign w:val="top"/>
          </w:tcPr>
          <w:p w14:paraId="4C92420B">
            <w:pPr>
              <w:pStyle w:val="6"/>
              <w:spacing w:before="106" w:line="215" w:lineRule="auto"/>
              <w:ind w:left="552"/>
            </w:pPr>
            <w:r>
              <w:t>+</w:t>
            </w:r>
          </w:p>
        </w:tc>
        <w:tc>
          <w:tcPr>
            <w:tcW w:w="912" w:type="dxa"/>
            <w:tcBorders>
              <w:right w:val="single" w:color="000000" w:sz="12" w:space="0"/>
            </w:tcBorders>
            <w:vAlign w:val="top"/>
          </w:tcPr>
          <w:p w14:paraId="612D3A42">
            <w:pPr>
              <w:rPr>
                <w:rFonts w:ascii="Arial"/>
                <w:sz w:val="21"/>
              </w:rPr>
            </w:pPr>
          </w:p>
        </w:tc>
      </w:tr>
      <w:tr w14:paraId="0AA2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restart"/>
            <w:tcBorders>
              <w:left w:val="single" w:color="000000" w:sz="12" w:space="0"/>
              <w:bottom w:val="nil"/>
            </w:tcBorders>
            <w:vAlign w:val="top"/>
          </w:tcPr>
          <w:p w14:paraId="00436219">
            <w:pPr>
              <w:spacing w:line="304" w:lineRule="auto"/>
              <w:rPr>
                <w:rFonts w:ascii="Arial"/>
                <w:sz w:val="21"/>
              </w:rPr>
            </w:pPr>
          </w:p>
          <w:p w14:paraId="2FB7D32F">
            <w:pPr>
              <w:spacing w:line="304" w:lineRule="auto"/>
              <w:rPr>
                <w:rFonts w:ascii="Arial"/>
                <w:sz w:val="21"/>
              </w:rPr>
            </w:pPr>
          </w:p>
          <w:p w14:paraId="3922D2A0">
            <w:pPr>
              <w:spacing w:line="305" w:lineRule="auto"/>
              <w:rPr>
                <w:rFonts w:ascii="Arial"/>
                <w:sz w:val="21"/>
              </w:rPr>
            </w:pPr>
          </w:p>
          <w:p w14:paraId="24B95A69">
            <w:pPr>
              <w:spacing w:before="68" w:line="242" w:lineRule="auto"/>
              <w:ind w:left="129" w:right="142" w:firstLine="2"/>
              <w:rPr>
                <w:rFonts w:ascii="宋体" w:hAnsi="宋体" w:eastAsia="宋体" w:cs="宋体"/>
                <w:sz w:val="21"/>
                <w:szCs w:val="21"/>
              </w:rPr>
            </w:pPr>
            <w:r>
              <w:rPr>
                <w:rFonts w:ascii="宋体" w:hAnsi="宋体" w:eastAsia="宋体" w:cs="宋体"/>
                <w:spacing w:val="-6"/>
                <w:sz w:val="21"/>
                <w:szCs w:val="21"/>
              </w:rPr>
              <w:t>异尾</w:t>
            </w:r>
            <w:r>
              <w:rPr>
                <w:rFonts w:ascii="宋体" w:hAnsi="宋体" w:eastAsia="宋体" w:cs="宋体"/>
                <w:spacing w:val="-5"/>
                <w:sz w:val="21"/>
                <w:szCs w:val="21"/>
              </w:rPr>
              <w:t>轮虫</w:t>
            </w:r>
          </w:p>
        </w:tc>
        <w:tc>
          <w:tcPr>
            <w:tcW w:w="3112" w:type="dxa"/>
            <w:vAlign w:val="top"/>
          </w:tcPr>
          <w:p w14:paraId="7496DC88">
            <w:pPr>
              <w:spacing w:before="73" w:line="220" w:lineRule="auto"/>
              <w:ind w:left="924"/>
              <w:rPr>
                <w:rFonts w:ascii="宋体" w:hAnsi="宋体" w:eastAsia="宋体" w:cs="宋体"/>
                <w:sz w:val="21"/>
                <w:szCs w:val="21"/>
              </w:rPr>
            </w:pPr>
            <w:r>
              <w:rPr>
                <w:rFonts w:ascii="宋体" w:hAnsi="宋体" w:eastAsia="宋体" w:cs="宋体"/>
                <w:spacing w:val="-2"/>
                <w:sz w:val="21"/>
                <w:szCs w:val="21"/>
              </w:rPr>
              <w:t>冠饰异尾轮虫</w:t>
            </w:r>
          </w:p>
          <w:p w14:paraId="39545A04">
            <w:pPr>
              <w:pStyle w:val="6"/>
              <w:spacing w:before="40" w:line="190" w:lineRule="auto"/>
              <w:ind w:left="572"/>
            </w:pPr>
            <w:r>
              <w:rPr>
                <w:i/>
                <w:iCs/>
                <w:spacing w:val="-1"/>
              </w:rPr>
              <w:t>Trichocerca  lophoessa</w:t>
            </w:r>
          </w:p>
        </w:tc>
        <w:tc>
          <w:tcPr>
            <w:tcW w:w="705" w:type="dxa"/>
            <w:vAlign w:val="top"/>
          </w:tcPr>
          <w:p w14:paraId="6CC23206">
            <w:pPr>
              <w:pStyle w:val="6"/>
              <w:spacing w:before="228" w:line="251" w:lineRule="exact"/>
              <w:ind w:left="232"/>
            </w:pPr>
            <w:r>
              <w:rPr>
                <w:spacing w:val="-1"/>
                <w:position w:val="1"/>
              </w:rPr>
              <w:t>++</w:t>
            </w:r>
          </w:p>
        </w:tc>
        <w:tc>
          <w:tcPr>
            <w:tcW w:w="746" w:type="dxa"/>
            <w:vAlign w:val="top"/>
          </w:tcPr>
          <w:p w14:paraId="246FE146">
            <w:pPr>
              <w:rPr>
                <w:rFonts w:ascii="Arial"/>
                <w:sz w:val="21"/>
              </w:rPr>
            </w:pPr>
          </w:p>
        </w:tc>
        <w:tc>
          <w:tcPr>
            <w:tcW w:w="525" w:type="dxa"/>
            <w:vAlign w:val="top"/>
          </w:tcPr>
          <w:p w14:paraId="288B940D">
            <w:pPr>
              <w:pStyle w:val="6"/>
              <w:spacing w:before="228" w:line="251" w:lineRule="exact"/>
              <w:ind w:left="205"/>
            </w:pPr>
            <w:r>
              <w:rPr>
                <w:position w:val="1"/>
              </w:rPr>
              <w:t>+</w:t>
            </w:r>
          </w:p>
        </w:tc>
        <w:tc>
          <w:tcPr>
            <w:tcW w:w="562" w:type="dxa"/>
            <w:vAlign w:val="top"/>
          </w:tcPr>
          <w:p w14:paraId="189468D2">
            <w:pPr>
              <w:pStyle w:val="6"/>
              <w:spacing w:before="228" w:line="251" w:lineRule="exact"/>
              <w:ind w:left="226"/>
            </w:pPr>
            <w:r>
              <w:rPr>
                <w:position w:val="1"/>
              </w:rPr>
              <w:t>+</w:t>
            </w:r>
          </w:p>
        </w:tc>
        <w:tc>
          <w:tcPr>
            <w:tcW w:w="1207" w:type="dxa"/>
            <w:vAlign w:val="top"/>
          </w:tcPr>
          <w:p w14:paraId="2F00EACC">
            <w:pPr>
              <w:pStyle w:val="6"/>
              <w:spacing w:before="228" w:line="251" w:lineRule="exact"/>
              <w:ind w:left="552"/>
            </w:pPr>
            <w:r>
              <w:rPr>
                <w:position w:val="1"/>
              </w:rPr>
              <w:t>+</w:t>
            </w:r>
          </w:p>
        </w:tc>
        <w:tc>
          <w:tcPr>
            <w:tcW w:w="912" w:type="dxa"/>
            <w:tcBorders>
              <w:right w:val="single" w:color="000000" w:sz="12" w:space="0"/>
            </w:tcBorders>
            <w:vAlign w:val="top"/>
          </w:tcPr>
          <w:p w14:paraId="197857D4">
            <w:pPr>
              <w:rPr>
                <w:rFonts w:ascii="Arial"/>
                <w:sz w:val="21"/>
              </w:rPr>
            </w:pPr>
          </w:p>
        </w:tc>
      </w:tr>
      <w:tr w14:paraId="0DB4A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bottom w:val="nil"/>
            </w:tcBorders>
            <w:vAlign w:val="top"/>
          </w:tcPr>
          <w:p w14:paraId="5771E47B">
            <w:pPr>
              <w:rPr>
                <w:rFonts w:ascii="Arial"/>
                <w:sz w:val="21"/>
              </w:rPr>
            </w:pPr>
          </w:p>
        </w:tc>
        <w:tc>
          <w:tcPr>
            <w:tcW w:w="3112" w:type="dxa"/>
            <w:vAlign w:val="top"/>
          </w:tcPr>
          <w:p w14:paraId="420757DD">
            <w:pPr>
              <w:pStyle w:val="6"/>
              <w:spacing w:before="73" w:line="219" w:lineRule="auto"/>
              <w:ind w:left="48"/>
            </w:pPr>
            <w:r>
              <w:rPr>
                <w:rFonts w:ascii="宋体" w:hAnsi="宋体" w:eastAsia="宋体" w:cs="宋体"/>
                <w:spacing w:val="-1"/>
              </w:rPr>
              <w:t>韦氏异尾轮虫</w:t>
            </w:r>
            <w:r>
              <w:rPr>
                <w:rFonts w:ascii="宋体" w:hAnsi="宋体" w:eastAsia="宋体" w:cs="宋体"/>
                <w:spacing w:val="-38"/>
              </w:rPr>
              <w:t xml:space="preserve"> </w:t>
            </w:r>
            <w:r>
              <w:rPr>
                <w:i/>
                <w:iCs/>
                <w:spacing w:val="-1"/>
              </w:rPr>
              <w:t>Trichocerca  weberi</w:t>
            </w:r>
          </w:p>
        </w:tc>
        <w:tc>
          <w:tcPr>
            <w:tcW w:w="705" w:type="dxa"/>
            <w:vAlign w:val="top"/>
          </w:tcPr>
          <w:p w14:paraId="6A0EBF34">
            <w:pPr>
              <w:pStyle w:val="6"/>
              <w:spacing w:before="107" w:line="214" w:lineRule="auto"/>
              <w:ind w:left="291"/>
            </w:pPr>
            <w:r>
              <w:t>+</w:t>
            </w:r>
          </w:p>
        </w:tc>
        <w:tc>
          <w:tcPr>
            <w:tcW w:w="746" w:type="dxa"/>
            <w:vAlign w:val="top"/>
          </w:tcPr>
          <w:p w14:paraId="21496982">
            <w:pPr>
              <w:pStyle w:val="6"/>
              <w:spacing w:before="107" w:line="214" w:lineRule="auto"/>
              <w:ind w:left="314"/>
            </w:pPr>
            <w:r>
              <w:t>+</w:t>
            </w:r>
          </w:p>
        </w:tc>
        <w:tc>
          <w:tcPr>
            <w:tcW w:w="525" w:type="dxa"/>
            <w:vAlign w:val="top"/>
          </w:tcPr>
          <w:p w14:paraId="2A112622">
            <w:pPr>
              <w:pStyle w:val="6"/>
              <w:spacing w:before="107" w:line="214" w:lineRule="auto"/>
              <w:ind w:left="205"/>
            </w:pPr>
            <w:r>
              <w:t>+</w:t>
            </w:r>
          </w:p>
        </w:tc>
        <w:tc>
          <w:tcPr>
            <w:tcW w:w="562" w:type="dxa"/>
            <w:vAlign w:val="top"/>
          </w:tcPr>
          <w:p w14:paraId="1D48FDEF">
            <w:pPr>
              <w:pStyle w:val="6"/>
              <w:spacing w:before="107" w:line="214" w:lineRule="auto"/>
              <w:ind w:left="168"/>
            </w:pPr>
            <w:r>
              <w:rPr>
                <w:spacing w:val="-1"/>
              </w:rPr>
              <w:t>++</w:t>
            </w:r>
          </w:p>
        </w:tc>
        <w:tc>
          <w:tcPr>
            <w:tcW w:w="1207" w:type="dxa"/>
            <w:vAlign w:val="top"/>
          </w:tcPr>
          <w:p w14:paraId="7125455A">
            <w:pPr>
              <w:rPr>
                <w:rFonts w:ascii="Arial"/>
                <w:sz w:val="21"/>
              </w:rPr>
            </w:pPr>
          </w:p>
        </w:tc>
        <w:tc>
          <w:tcPr>
            <w:tcW w:w="912" w:type="dxa"/>
            <w:tcBorders>
              <w:right w:val="single" w:color="000000" w:sz="12" w:space="0"/>
            </w:tcBorders>
            <w:vAlign w:val="top"/>
          </w:tcPr>
          <w:p w14:paraId="00DD0089">
            <w:pPr>
              <w:pStyle w:val="6"/>
              <w:spacing w:before="107" w:line="214" w:lineRule="auto"/>
              <w:ind w:left="397"/>
            </w:pPr>
            <w:r>
              <w:t>+</w:t>
            </w:r>
          </w:p>
        </w:tc>
      </w:tr>
      <w:tr w14:paraId="565CA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0D1B9B61">
            <w:pPr>
              <w:rPr>
                <w:rFonts w:ascii="Arial"/>
                <w:sz w:val="21"/>
              </w:rPr>
            </w:pPr>
          </w:p>
        </w:tc>
        <w:tc>
          <w:tcPr>
            <w:tcW w:w="3112" w:type="dxa"/>
            <w:vAlign w:val="top"/>
          </w:tcPr>
          <w:p w14:paraId="51122E9F">
            <w:pPr>
              <w:pStyle w:val="6"/>
              <w:spacing w:before="75" w:line="212" w:lineRule="auto"/>
              <w:ind w:left="155"/>
            </w:pPr>
            <w:r>
              <w:rPr>
                <w:rFonts w:ascii="宋体" w:hAnsi="宋体" w:eastAsia="宋体" w:cs="宋体"/>
                <w:spacing w:val="-1"/>
              </w:rPr>
              <w:t>细异尾轮虫</w:t>
            </w:r>
            <w:r>
              <w:rPr>
                <w:rFonts w:ascii="宋体" w:hAnsi="宋体" w:eastAsia="宋体" w:cs="宋体"/>
                <w:spacing w:val="-37"/>
              </w:rPr>
              <w:t xml:space="preserve"> </w:t>
            </w:r>
            <w:r>
              <w:rPr>
                <w:i/>
                <w:iCs/>
                <w:spacing w:val="-1"/>
              </w:rPr>
              <w:t>Trichocerca</w:t>
            </w:r>
            <w:r>
              <w:rPr>
                <w:i/>
                <w:iCs/>
                <w:spacing w:val="51"/>
              </w:rPr>
              <w:t xml:space="preserve"> </w:t>
            </w:r>
            <w:r>
              <w:rPr>
                <w:i/>
                <w:iCs/>
                <w:spacing w:val="-1"/>
              </w:rPr>
              <w:t>stylata</w:t>
            </w:r>
          </w:p>
        </w:tc>
        <w:tc>
          <w:tcPr>
            <w:tcW w:w="705" w:type="dxa"/>
            <w:vAlign w:val="top"/>
          </w:tcPr>
          <w:p w14:paraId="215389CB">
            <w:pPr>
              <w:pStyle w:val="6"/>
              <w:spacing w:before="107" w:line="213" w:lineRule="auto"/>
              <w:ind w:left="291"/>
            </w:pPr>
            <w:r>
              <w:t>+</w:t>
            </w:r>
          </w:p>
        </w:tc>
        <w:tc>
          <w:tcPr>
            <w:tcW w:w="746" w:type="dxa"/>
            <w:vAlign w:val="top"/>
          </w:tcPr>
          <w:p w14:paraId="725FB7C5">
            <w:pPr>
              <w:pStyle w:val="6"/>
              <w:spacing w:before="107" w:line="213" w:lineRule="auto"/>
              <w:ind w:left="314"/>
            </w:pPr>
            <w:r>
              <w:t>+</w:t>
            </w:r>
          </w:p>
        </w:tc>
        <w:tc>
          <w:tcPr>
            <w:tcW w:w="525" w:type="dxa"/>
            <w:vAlign w:val="top"/>
          </w:tcPr>
          <w:p w14:paraId="3DA2001B">
            <w:pPr>
              <w:pStyle w:val="6"/>
              <w:spacing w:before="107" w:line="213" w:lineRule="auto"/>
              <w:ind w:left="147"/>
            </w:pPr>
            <w:r>
              <w:rPr>
                <w:spacing w:val="-1"/>
              </w:rPr>
              <w:t>++</w:t>
            </w:r>
          </w:p>
        </w:tc>
        <w:tc>
          <w:tcPr>
            <w:tcW w:w="562" w:type="dxa"/>
            <w:vAlign w:val="top"/>
          </w:tcPr>
          <w:p w14:paraId="6A684B92">
            <w:pPr>
              <w:pStyle w:val="6"/>
              <w:spacing w:before="107" w:line="213" w:lineRule="auto"/>
              <w:ind w:left="226"/>
            </w:pPr>
            <w:r>
              <w:t>+</w:t>
            </w:r>
          </w:p>
        </w:tc>
        <w:tc>
          <w:tcPr>
            <w:tcW w:w="1207" w:type="dxa"/>
            <w:vAlign w:val="top"/>
          </w:tcPr>
          <w:p w14:paraId="0E19274E">
            <w:pPr>
              <w:pStyle w:val="6"/>
              <w:spacing w:before="107" w:line="213" w:lineRule="auto"/>
              <w:ind w:left="552"/>
            </w:pPr>
            <w:r>
              <w:t>+</w:t>
            </w:r>
          </w:p>
        </w:tc>
        <w:tc>
          <w:tcPr>
            <w:tcW w:w="912" w:type="dxa"/>
            <w:tcBorders>
              <w:right w:val="single" w:color="000000" w:sz="12" w:space="0"/>
            </w:tcBorders>
            <w:vAlign w:val="top"/>
          </w:tcPr>
          <w:p w14:paraId="7DA2434D">
            <w:pPr>
              <w:rPr>
                <w:rFonts w:ascii="Arial"/>
                <w:sz w:val="21"/>
              </w:rPr>
            </w:pPr>
          </w:p>
        </w:tc>
      </w:tr>
      <w:tr w14:paraId="14E22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continue"/>
            <w:tcBorders>
              <w:top w:val="nil"/>
              <w:left w:val="single" w:color="000000" w:sz="12" w:space="0"/>
              <w:bottom w:val="nil"/>
            </w:tcBorders>
            <w:vAlign w:val="top"/>
          </w:tcPr>
          <w:p w14:paraId="60AD795D">
            <w:pPr>
              <w:rPr>
                <w:rFonts w:ascii="Arial"/>
                <w:sz w:val="21"/>
              </w:rPr>
            </w:pPr>
          </w:p>
        </w:tc>
        <w:tc>
          <w:tcPr>
            <w:tcW w:w="3112" w:type="dxa"/>
            <w:vAlign w:val="top"/>
          </w:tcPr>
          <w:p w14:paraId="0ADD6FAD">
            <w:pPr>
              <w:spacing w:before="76" w:line="220" w:lineRule="auto"/>
              <w:ind w:left="924"/>
              <w:rPr>
                <w:rFonts w:ascii="宋体" w:hAnsi="宋体" w:eastAsia="宋体" w:cs="宋体"/>
                <w:sz w:val="21"/>
                <w:szCs w:val="21"/>
              </w:rPr>
            </w:pPr>
            <w:r>
              <w:rPr>
                <w:rFonts w:ascii="宋体" w:hAnsi="宋体" w:eastAsia="宋体" w:cs="宋体"/>
                <w:spacing w:val="-2"/>
                <w:sz w:val="21"/>
                <w:szCs w:val="21"/>
              </w:rPr>
              <w:t>纵长异尾轮虫</w:t>
            </w:r>
          </w:p>
          <w:p w14:paraId="1803ACC2">
            <w:pPr>
              <w:pStyle w:val="6"/>
              <w:spacing w:before="40" w:line="190" w:lineRule="auto"/>
              <w:ind w:left="625"/>
            </w:pPr>
            <w:r>
              <w:rPr>
                <w:i/>
                <w:iCs/>
                <w:spacing w:val="-1"/>
              </w:rPr>
              <w:t>Trichocerca  elongata</w:t>
            </w:r>
          </w:p>
        </w:tc>
        <w:tc>
          <w:tcPr>
            <w:tcW w:w="705" w:type="dxa"/>
            <w:vAlign w:val="top"/>
          </w:tcPr>
          <w:p w14:paraId="019A3FED">
            <w:pPr>
              <w:pStyle w:val="6"/>
              <w:spacing w:before="230" w:line="251" w:lineRule="exact"/>
              <w:ind w:left="291"/>
            </w:pPr>
            <w:r>
              <w:rPr>
                <w:position w:val="1"/>
              </w:rPr>
              <w:t>+</w:t>
            </w:r>
          </w:p>
        </w:tc>
        <w:tc>
          <w:tcPr>
            <w:tcW w:w="746" w:type="dxa"/>
            <w:vAlign w:val="top"/>
          </w:tcPr>
          <w:p w14:paraId="383D75EC">
            <w:pPr>
              <w:pStyle w:val="6"/>
              <w:spacing w:before="230" w:line="251" w:lineRule="exact"/>
              <w:ind w:left="255"/>
            </w:pPr>
            <w:r>
              <w:rPr>
                <w:spacing w:val="-1"/>
                <w:position w:val="1"/>
              </w:rPr>
              <w:t>++</w:t>
            </w:r>
          </w:p>
        </w:tc>
        <w:tc>
          <w:tcPr>
            <w:tcW w:w="525" w:type="dxa"/>
            <w:vAlign w:val="top"/>
          </w:tcPr>
          <w:p w14:paraId="30B05DF4">
            <w:pPr>
              <w:pStyle w:val="6"/>
              <w:spacing w:before="230" w:line="251" w:lineRule="exact"/>
              <w:ind w:left="205"/>
            </w:pPr>
            <w:r>
              <w:rPr>
                <w:position w:val="1"/>
              </w:rPr>
              <w:t>+</w:t>
            </w:r>
          </w:p>
        </w:tc>
        <w:tc>
          <w:tcPr>
            <w:tcW w:w="562" w:type="dxa"/>
            <w:vAlign w:val="top"/>
          </w:tcPr>
          <w:p w14:paraId="784120E4">
            <w:pPr>
              <w:rPr>
                <w:rFonts w:ascii="Arial"/>
                <w:sz w:val="21"/>
              </w:rPr>
            </w:pPr>
          </w:p>
        </w:tc>
        <w:tc>
          <w:tcPr>
            <w:tcW w:w="1207" w:type="dxa"/>
            <w:vAlign w:val="top"/>
          </w:tcPr>
          <w:p w14:paraId="0465EA26">
            <w:pPr>
              <w:pStyle w:val="6"/>
              <w:spacing w:before="230" w:line="251" w:lineRule="exact"/>
              <w:ind w:left="552"/>
            </w:pPr>
            <w:r>
              <w:rPr>
                <w:position w:val="1"/>
              </w:rPr>
              <w:t>+</w:t>
            </w:r>
          </w:p>
        </w:tc>
        <w:tc>
          <w:tcPr>
            <w:tcW w:w="912" w:type="dxa"/>
            <w:tcBorders>
              <w:right w:val="single" w:color="000000" w:sz="12" w:space="0"/>
            </w:tcBorders>
            <w:vAlign w:val="top"/>
          </w:tcPr>
          <w:p w14:paraId="190613AA">
            <w:pPr>
              <w:pStyle w:val="6"/>
              <w:spacing w:before="230" w:line="251" w:lineRule="exact"/>
              <w:ind w:left="397"/>
            </w:pPr>
            <w:r>
              <w:rPr>
                <w:position w:val="1"/>
              </w:rPr>
              <w:t>+</w:t>
            </w:r>
          </w:p>
        </w:tc>
      </w:tr>
      <w:tr w14:paraId="3778D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continue"/>
            <w:tcBorders>
              <w:top w:val="nil"/>
              <w:left w:val="single" w:color="000000" w:sz="12" w:space="0"/>
            </w:tcBorders>
            <w:vAlign w:val="top"/>
          </w:tcPr>
          <w:p w14:paraId="158D4F73">
            <w:pPr>
              <w:rPr>
                <w:rFonts w:ascii="Arial"/>
                <w:sz w:val="21"/>
              </w:rPr>
            </w:pPr>
          </w:p>
        </w:tc>
        <w:tc>
          <w:tcPr>
            <w:tcW w:w="3112" w:type="dxa"/>
            <w:vAlign w:val="top"/>
          </w:tcPr>
          <w:p w14:paraId="5AD4BD65">
            <w:pPr>
              <w:spacing w:before="77" w:line="220" w:lineRule="auto"/>
              <w:ind w:left="924"/>
              <w:rPr>
                <w:rFonts w:ascii="宋体" w:hAnsi="宋体" w:eastAsia="宋体" w:cs="宋体"/>
                <w:sz w:val="21"/>
                <w:szCs w:val="21"/>
              </w:rPr>
            </w:pPr>
            <w:r>
              <w:rPr>
                <w:rFonts w:ascii="宋体" w:hAnsi="宋体" w:eastAsia="宋体" w:cs="宋体"/>
                <w:spacing w:val="-2"/>
                <w:sz w:val="21"/>
                <w:szCs w:val="21"/>
              </w:rPr>
              <w:t>二突异尾轮虫</w:t>
            </w:r>
          </w:p>
          <w:p w14:paraId="76395CC5">
            <w:pPr>
              <w:pStyle w:val="6"/>
              <w:spacing w:before="40" w:line="195" w:lineRule="auto"/>
              <w:ind w:left="589"/>
            </w:pPr>
            <w:r>
              <w:rPr>
                <w:i/>
                <w:iCs/>
                <w:spacing w:val="-1"/>
              </w:rPr>
              <w:t>Trichocerca  bicristata</w:t>
            </w:r>
          </w:p>
        </w:tc>
        <w:tc>
          <w:tcPr>
            <w:tcW w:w="705" w:type="dxa"/>
            <w:vAlign w:val="top"/>
          </w:tcPr>
          <w:p w14:paraId="7DC0BA31">
            <w:pPr>
              <w:pStyle w:val="6"/>
              <w:spacing w:before="232" w:line="251" w:lineRule="exact"/>
              <w:ind w:left="232"/>
            </w:pPr>
            <w:r>
              <w:rPr>
                <w:spacing w:val="-1"/>
                <w:position w:val="1"/>
              </w:rPr>
              <w:t>++</w:t>
            </w:r>
          </w:p>
        </w:tc>
        <w:tc>
          <w:tcPr>
            <w:tcW w:w="746" w:type="dxa"/>
            <w:vAlign w:val="top"/>
          </w:tcPr>
          <w:p w14:paraId="10EEE5F4">
            <w:pPr>
              <w:rPr>
                <w:rFonts w:ascii="Arial"/>
                <w:sz w:val="21"/>
              </w:rPr>
            </w:pPr>
          </w:p>
        </w:tc>
        <w:tc>
          <w:tcPr>
            <w:tcW w:w="525" w:type="dxa"/>
            <w:vAlign w:val="top"/>
          </w:tcPr>
          <w:p w14:paraId="5C6A685C">
            <w:pPr>
              <w:pStyle w:val="6"/>
              <w:spacing w:before="232" w:line="251" w:lineRule="exact"/>
              <w:ind w:left="205"/>
            </w:pPr>
            <w:r>
              <w:rPr>
                <w:position w:val="1"/>
              </w:rPr>
              <w:t>+</w:t>
            </w:r>
          </w:p>
        </w:tc>
        <w:tc>
          <w:tcPr>
            <w:tcW w:w="562" w:type="dxa"/>
            <w:vAlign w:val="top"/>
          </w:tcPr>
          <w:p w14:paraId="3221820C">
            <w:pPr>
              <w:pStyle w:val="6"/>
              <w:spacing w:before="232" w:line="251" w:lineRule="exact"/>
              <w:ind w:left="226"/>
            </w:pPr>
            <w:r>
              <w:rPr>
                <w:position w:val="1"/>
              </w:rPr>
              <w:t>+</w:t>
            </w:r>
          </w:p>
        </w:tc>
        <w:tc>
          <w:tcPr>
            <w:tcW w:w="1207" w:type="dxa"/>
            <w:vAlign w:val="top"/>
          </w:tcPr>
          <w:p w14:paraId="1A596A00">
            <w:pPr>
              <w:pStyle w:val="6"/>
              <w:spacing w:before="232" w:line="251" w:lineRule="exact"/>
              <w:ind w:left="552"/>
            </w:pPr>
            <w:r>
              <w:rPr>
                <w:position w:val="1"/>
              </w:rPr>
              <w:t>+</w:t>
            </w:r>
          </w:p>
        </w:tc>
        <w:tc>
          <w:tcPr>
            <w:tcW w:w="912" w:type="dxa"/>
            <w:tcBorders>
              <w:right w:val="single" w:color="000000" w:sz="12" w:space="0"/>
            </w:tcBorders>
            <w:vAlign w:val="top"/>
          </w:tcPr>
          <w:p w14:paraId="72FFF48B">
            <w:pPr>
              <w:pStyle w:val="6"/>
              <w:spacing w:before="232" w:line="251" w:lineRule="exact"/>
              <w:ind w:left="397"/>
            </w:pPr>
            <w:r>
              <w:rPr>
                <w:position w:val="1"/>
              </w:rPr>
              <w:t>+</w:t>
            </w:r>
          </w:p>
        </w:tc>
      </w:tr>
      <w:tr w14:paraId="55EA8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restart"/>
            <w:tcBorders>
              <w:left w:val="single" w:color="000000" w:sz="12" w:space="0"/>
              <w:bottom w:val="nil"/>
            </w:tcBorders>
            <w:vAlign w:val="top"/>
          </w:tcPr>
          <w:p w14:paraId="4D2AE8C7">
            <w:pPr>
              <w:spacing w:line="295" w:lineRule="auto"/>
              <w:rPr>
                <w:rFonts w:ascii="Arial"/>
                <w:sz w:val="21"/>
              </w:rPr>
            </w:pPr>
          </w:p>
          <w:p w14:paraId="1CE56CAB">
            <w:pPr>
              <w:spacing w:line="296" w:lineRule="auto"/>
              <w:rPr>
                <w:rFonts w:ascii="Arial"/>
                <w:sz w:val="21"/>
              </w:rPr>
            </w:pPr>
          </w:p>
          <w:p w14:paraId="488BCB09">
            <w:pPr>
              <w:spacing w:before="68" w:line="220" w:lineRule="auto"/>
              <w:ind w:left="23"/>
              <w:rPr>
                <w:rFonts w:ascii="宋体" w:hAnsi="宋体" w:eastAsia="宋体" w:cs="宋体"/>
                <w:sz w:val="21"/>
                <w:szCs w:val="21"/>
              </w:rPr>
            </w:pPr>
            <w:r>
              <w:rPr>
                <w:rFonts w:ascii="宋体" w:hAnsi="宋体" w:eastAsia="宋体" w:cs="宋体"/>
                <w:spacing w:val="-2"/>
                <w:sz w:val="21"/>
                <w:szCs w:val="21"/>
              </w:rPr>
              <w:t>囊轮虫</w:t>
            </w:r>
          </w:p>
        </w:tc>
        <w:tc>
          <w:tcPr>
            <w:tcW w:w="3112" w:type="dxa"/>
            <w:vAlign w:val="top"/>
          </w:tcPr>
          <w:p w14:paraId="3CDFD857">
            <w:pPr>
              <w:spacing w:before="77" w:line="220" w:lineRule="auto"/>
              <w:ind w:left="1001"/>
              <w:rPr>
                <w:rFonts w:ascii="宋体" w:hAnsi="宋体" w:eastAsia="宋体" w:cs="宋体"/>
                <w:sz w:val="21"/>
                <w:szCs w:val="21"/>
              </w:rPr>
            </w:pPr>
            <w:r>
              <w:rPr>
                <w:rFonts w:ascii="宋体" w:hAnsi="宋体" w:eastAsia="宋体" w:cs="宋体"/>
                <w:spacing w:val="-13"/>
                <w:sz w:val="21"/>
                <w:szCs w:val="21"/>
              </w:rPr>
              <w:t>卜氏晶囊轮虫</w:t>
            </w:r>
          </w:p>
          <w:p w14:paraId="760E6AA9">
            <w:pPr>
              <w:pStyle w:val="6"/>
              <w:spacing w:before="40" w:line="190" w:lineRule="auto"/>
              <w:ind w:left="523"/>
            </w:pPr>
            <w:r>
              <w:rPr>
                <w:i/>
                <w:iCs/>
              </w:rPr>
              <w:t>Asplanchna</w:t>
            </w:r>
            <w:r>
              <w:rPr>
                <w:i/>
                <w:iCs/>
                <w:spacing w:val="6"/>
              </w:rPr>
              <w:t xml:space="preserve">  </w:t>
            </w:r>
            <w:r>
              <w:rPr>
                <w:i/>
                <w:iCs/>
              </w:rPr>
              <w:t>brightwelli</w:t>
            </w:r>
          </w:p>
        </w:tc>
        <w:tc>
          <w:tcPr>
            <w:tcW w:w="705" w:type="dxa"/>
            <w:vAlign w:val="top"/>
          </w:tcPr>
          <w:p w14:paraId="1CC9B277">
            <w:pPr>
              <w:pStyle w:val="6"/>
              <w:spacing w:before="233" w:line="251" w:lineRule="exact"/>
              <w:ind w:left="232"/>
            </w:pPr>
            <w:r>
              <w:rPr>
                <w:spacing w:val="-1"/>
                <w:position w:val="1"/>
              </w:rPr>
              <w:t>++</w:t>
            </w:r>
          </w:p>
        </w:tc>
        <w:tc>
          <w:tcPr>
            <w:tcW w:w="746" w:type="dxa"/>
            <w:vAlign w:val="top"/>
          </w:tcPr>
          <w:p w14:paraId="31F8DE8C">
            <w:pPr>
              <w:rPr>
                <w:rFonts w:ascii="Arial"/>
                <w:sz w:val="21"/>
              </w:rPr>
            </w:pPr>
          </w:p>
        </w:tc>
        <w:tc>
          <w:tcPr>
            <w:tcW w:w="525" w:type="dxa"/>
            <w:vAlign w:val="top"/>
          </w:tcPr>
          <w:p w14:paraId="33242703">
            <w:pPr>
              <w:pStyle w:val="6"/>
              <w:spacing w:before="233" w:line="251" w:lineRule="exact"/>
              <w:ind w:left="147"/>
            </w:pPr>
            <w:r>
              <w:rPr>
                <w:spacing w:val="-1"/>
                <w:position w:val="1"/>
              </w:rPr>
              <w:t>++</w:t>
            </w:r>
          </w:p>
        </w:tc>
        <w:tc>
          <w:tcPr>
            <w:tcW w:w="562" w:type="dxa"/>
            <w:vAlign w:val="top"/>
          </w:tcPr>
          <w:p w14:paraId="50522962">
            <w:pPr>
              <w:pStyle w:val="6"/>
              <w:spacing w:before="233" w:line="251" w:lineRule="exact"/>
              <w:ind w:left="226"/>
            </w:pPr>
            <w:r>
              <w:rPr>
                <w:position w:val="1"/>
              </w:rPr>
              <w:t>+</w:t>
            </w:r>
          </w:p>
        </w:tc>
        <w:tc>
          <w:tcPr>
            <w:tcW w:w="1207" w:type="dxa"/>
            <w:vAlign w:val="top"/>
          </w:tcPr>
          <w:p w14:paraId="7E45E3C9">
            <w:pPr>
              <w:rPr>
                <w:rFonts w:ascii="Arial"/>
                <w:sz w:val="21"/>
              </w:rPr>
            </w:pPr>
          </w:p>
        </w:tc>
        <w:tc>
          <w:tcPr>
            <w:tcW w:w="912" w:type="dxa"/>
            <w:tcBorders>
              <w:right w:val="single" w:color="000000" w:sz="12" w:space="0"/>
            </w:tcBorders>
            <w:vAlign w:val="top"/>
          </w:tcPr>
          <w:p w14:paraId="704B2903">
            <w:pPr>
              <w:pStyle w:val="6"/>
              <w:spacing w:before="233" w:line="251" w:lineRule="exact"/>
              <w:ind w:left="397"/>
            </w:pPr>
            <w:r>
              <w:rPr>
                <w:position w:val="1"/>
              </w:rPr>
              <w:t>+</w:t>
            </w:r>
          </w:p>
        </w:tc>
      </w:tr>
      <w:tr w14:paraId="162A9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continue"/>
            <w:tcBorders>
              <w:top w:val="nil"/>
              <w:left w:val="single" w:color="000000" w:sz="12" w:space="0"/>
              <w:bottom w:val="nil"/>
            </w:tcBorders>
            <w:vAlign w:val="top"/>
          </w:tcPr>
          <w:p w14:paraId="2F2E0999">
            <w:pPr>
              <w:rPr>
                <w:rFonts w:ascii="Arial"/>
                <w:sz w:val="21"/>
              </w:rPr>
            </w:pPr>
          </w:p>
        </w:tc>
        <w:tc>
          <w:tcPr>
            <w:tcW w:w="3112" w:type="dxa"/>
            <w:vAlign w:val="top"/>
          </w:tcPr>
          <w:p w14:paraId="6794B150">
            <w:pPr>
              <w:spacing w:before="80" w:line="220" w:lineRule="auto"/>
              <w:ind w:left="924"/>
              <w:rPr>
                <w:rFonts w:ascii="宋体" w:hAnsi="宋体" w:eastAsia="宋体" w:cs="宋体"/>
                <w:sz w:val="21"/>
                <w:szCs w:val="21"/>
              </w:rPr>
            </w:pPr>
            <w:r>
              <w:rPr>
                <w:rFonts w:ascii="宋体" w:hAnsi="宋体" w:eastAsia="宋体" w:cs="宋体"/>
                <w:spacing w:val="-2"/>
                <w:sz w:val="21"/>
                <w:szCs w:val="21"/>
              </w:rPr>
              <w:t>前节晶囊轮虫</w:t>
            </w:r>
          </w:p>
          <w:p w14:paraId="120B9A03">
            <w:pPr>
              <w:pStyle w:val="6"/>
              <w:spacing w:before="40" w:line="190" w:lineRule="auto"/>
              <w:ind w:left="570"/>
            </w:pPr>
            <w:r>
              <w:rPr>
                <w:i/>
                <w:iCs/>
                <w:spacing w:val="1"/>
              </w:rPr>
              <w:t>Asplanchna</w:t>
            </w:r>
            <w:r>
              <w:rPr>
                <w:i/>
                <w:iCs/>
                <w:spacing w:val="42"/>
                <w:w w:val="101"/>
              </w:rPr>
              <w:t xml:space="preserve"> </w:t>
            </w:r>
            <w:r>
              <w:rPr>
                <w:i/>
                <w:iCs/>
                <w:spacing w:val="1"/>
              </w:rPr>
              <w:t>priodonta</w:t>
            </w:r>
          </w:p>
        </w:tc>
        <w:tc>
          <w:tcPr>
            <w:tcW w:w="705" w:type="dxa"/>
            <w:vAlign w:val="top"/>
          </w:tcPr>
          <w:p w14:paraId="60ABDAD0">
            <w:pPr>
              <w:pStyle w:val="6"/>
              <w:spacing w:before="234" w:line="251" w:lineRule="exact"/>
              <w:ind w:left="291"/>
            </w:pPr>
            <w:r>
              <w:rPr>
                <w:position w:val="1"/>
              </w:rPr>
              <w:t>+</w:t>
            </w:r>
          </w:p>
        </w:tc>
        <w:tc>
          <w:tcPr>
            <w:tcW w:w="746" w:type="dxa"/>
            <w:vAlign w:val="top"/>
          </w:tcPr>
          <w:p w14:paraId="564E8AA8">
            <w:pPr>
              <w:rPr>
                <w:rFonts w:ascii="Arial"/>
                <w:sz w:val="21"/>
              </w:rPr>
            </w:pPr>
          </w:p>
        </w:tc>
        <w:tc>
          <w:tcPr>
            <w:tcW w:w="525" w:type="dxa"/>
            <w:vAlign w:val="top"/>
          </w:tcPr>
          <w:p w14:paraId="45E46CF0">
            <w:pPr>
              <w:pStyle w:val="6"/>
              <w:spacing w:before="234" w:line="251" w:lineRule="exact"/>
              <w:ind w:left="205"/>
            </w:pPr>
            <w:r>
              <w:rPr>
                <w:position w:val="1"/>
              </w:rPr>
              <w:t>+</w:t>
            </w:r>
          </w:p>
        </w:tc>
        <w:tc>
          <w:tcPr>
            <w:tcW w:w="562" w:type="dxa"/>
            <w:vAlign w:val="top"/>
          </w:tcPr>
          <w:p w14:paraId="22112BCE">
            <w:pPr>
              <w:rPr>
                <w:rFonts w:ascii="Arial"/>
                <w:sz w:val="21"/>
              </w:rPr>
            </w:pPr>
          </w:p>
        </w:tc>
        <w:tc>
          <w:tcPr>
            <w:tcW w:w="1207" w:type="dxa"/>
            <w:vAlign w:val="top"/>
          </w:tcPr>
          <w:p w14:paraId="4A6AE952">
            <w:pPr>
              <w:pStyle w:val="6"/>
              <w:spacing w:before="234" w:line="251" w:lineRule="exact"/>
              <w:ind w:left="552"/>
            </w:pPr>
            <w:r>
              <w:rPr>
                <w:position w:val="1"/>
              </w:rPr>
              <w:t>+</w:t>
            </w:r>
          </w:p>
        </w:tc>
        <w:tc>
          <w:tcPr>
            <w:tcW w:w="912" w:type="dxa"/>
            <w:tcBorders>
              <w:right w:val="single" w:color="000000" w:sz="12" w:space="0"/>
            </w:tcBorders>
            <w:vAlign w:val="top"/>
          </w:tcPr>
          <w:p w14:paraId="071C89F0">
            <w:pPr>
              <w:pStyle w:val="6"/>
              <w:spacing w:before="234" w:line="251" w:lineRule="exact"/>
              <w:ind w:left="397"/>
            </w:pPr>
            <w:r>
              <w:rPr>
                <w:position w:val="1"/>
              </w:rPr>
              <w:t>+</w:t>
            </w:r>
          </w:p>
        </w:tc>
      </w:tr>
      <w:tr w14:paraId="4C305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040179CD">
            <w:pPr>
              <w:rPr>
                <w:rFonts w:ascii="Arial"/>
                <w:sz w:val="21"/>
              </w:rPr>
            </w:pPr>
          </w:p>
        </w:tc>
        <w:tc>
          <w:tcPr>
            <w:tcW w:w="3112" w:type="dxa"/>
            <w:vAlign w:val="top"/>
          </w:tcPr>
          <w:p w14:paraId="69A4B9BA">
            <w:pPr>
              <w:pStyle w:val="6"/>
              <w:spacing w:before="81" w:line="211" w:lineRule="auto"/>
              <w:ind w:left="120"/>
            </w:pPr>
            <w:r>
              <w:rPr>
                <w:rFonts w:ascii="宋体" w:hAnsi="宋体" w:eastAsia="宋体" w:cs="宋体"/>
                <w:spacing w:val="2"/>
              </w:rPr>
              <w:t>盖氏晶囊轮虫</w:t>
            </w:r>
            <w:r>
              <w:rPr>
                <w:rFonts w:ascii="宋体" w:hAnsi="宋体" w:eastAsia="宋体" w:cs="宋体"/>
                <w:spacing w:val="-60"/>
              </w:rPr>
              <w:t xml:space="preserve"> </w:t>
            </w:r>
            <w:r>
              <w:rPr>
                <w:i/>
                <w:iCs/>
              </w:rPr>
              <w:t>Asplanchna</w:t>
            </w:r>
            <w:r>
              <w:rPr>
                <w:i/>
                <w:iCs/>
                <w:spacing w:val="46"/>
                <w:w w:val="101"/>
              </w:rPr>
              <w:t xml:space="preserve"> </w:t>
            </w:r>
            <w:r>
              <w:rPr>
                <w:i/>
                <w:iCs/>
              </w:rPr>
              <w:t>girod</w:t>
            </w:r>
          </w:p>
        </w:tc>
        <w:tc>
          <w:tcPr>
            <w:tcW w:w="705" w:type="dxa"/>
            <w:vAlign w:val="top"/>
          </w:tcPr>
          <w:p w14:paraId="74D3891A">
            <w:pPr>
              <w:pStyle w:val="6"/>
              <w:spacing w:before="115" w:line="205" w:lineRule="auto"/>
              <w:ind w:left="232"/>
            </w:pPr>
            <w:r>
              <w:rPr>
                <w:spacing w:val="-1"/>
              </w:rPr>
              <w:t>++</w:t>
            </w:r>
          </w:p>
        </w:tc>
        <w:tc>
          <w:tcPr>
            <w:tcW w:w="746" w:type="dxa"/>
            <w:vAlign w:val="top"/>
          </w:tcPr>
          <w:p w14:paraId="605AB2AB">
            <w:pPr>
              <w:pStyle w:val="6"/>
              <w:spacing w:before="115" w:line="205" w:lineRule="auto"/>
              <w:ind w:left="314"/>
            </w:pPr>
            <w:r>
              <w:t>+</w:t>
            </w:r>
          </w:p>
        </w:tc>
        <w:tc>
          <w:tcPr>
            <w:tcW w:w="525" w:type="dxa"/>
            <w:vAlign w:val="top"/>
          </w:tcPr>
          <w:p w14:paraId="1D8D4C1F">
            <w:pPr>
              <w:pStyle w:val="6"/>
              <w:spacing w:before="115" w:line="205" w:lineRule="auto"/>
              <w:ind w:left="205"/>
            </w:pPr>
            <w:r>
              <w:t>+</w:t>
            </w:r>
          </w:p>
        </w:tc>
        <w:tc>
          <w:tcPr>
            <w:tcW w:w="562" w:type="dxa"/>
            <w:vAlign w:val="top"/>
          </w:tcPr>
          <w:p w14:paraId="2BA0136F">
            <w:pPr>
              <w:pStyle w:val="6"/>
              <w:spacing w:before="115" w:line="205" w:lineRule="auto"/>
              <w:ind w:left="168"/>
            </w:pPr>
            <w:r>
              <w:rPr>
                <w:spacing w:val="-1"/>
              </w:rPr>
              <w:t>++</w:t>
            </w:r>
          </w:p>
        </w:tc>
        <w:tc>
          <w:tcPr>
            <w:tcW w:w="1207" w:type="dxa"/>
            <w:vAlign w:val="top"/>
          </w:tcPr>
          <w:p w14:paraId="5F56A4BB">
            <w:pPr>
              <w:pStyle w:val="6"/>
              <w:spacing w:before="115" w:line="205" w:lineRule="auto"/>
              <w:ind w:left="552"/>
            </w:pPr>
            <w:r>
              <w:t>+</w:t>
            </w:r>
          </w:p>
        </w:tc>
        <w:tc>
          <w:tcPr>
            <w:tcW w:w="912" w:type="dxa"/>
            <w:tcBorders>
              <w:right w:val="single" w:color="000000" w:sz="12" w:space="0"/>
            </w:tcBorders>
            <w:vAlign w:val="top"/>
          </w:tcPr>
          <w:p w14:paraId="7A40BA84">
            <w:pPr>
              <w:rPr>
                <w:rFonts w:ascii="Arial"/>
                <w:sz w:val="21"/>
              </w:rPr>
            </w:pPr>
          </w:p>
        </w:tc>
      </w:tr>
      <w:tr w14:paraId="075AB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restart"/>
            <w:tcBorders>
              <w:left w:val="single" w:color="000000" w:sz="12" w:space="0"/>
              <w:bottom w:val="nil"/>
            </w:tcBorders>
            <w:vAlign w:val="top"/>
          </w:tcPr>
          <w:p w14:paraId="64EB156D">
            <w:pPr>
              <w:spacing w:before="240" w:line="242" w:lineRule="auto"/>
              <w:ind w:left="129" w:right="142"/>
              <w:rPr>
                <w:rFonts w:ascii="宋体" w:hAnsi="宋体" w:eastAsia="宋体" w:cs="宋体"/>
                <w:sz w:val="21"/>
                <w:szCs w:val="21"/>
              </w:rPr>
            </w:pPr>
            <w:r>
              <w:rPr>
                <w:rFonts w:ascii="宋体" w:hAnsi="宋体" w:eastAsia="宋体" w:cs="宋体"/>
                <w:spacing w:val="-5"/>
                <w:sz w:val="21"/>
                <w:szCs w:val="21"/>
              </w:rPr>
              <w:t>猪吻轮虫</w:t>
            </w:r>
          </w:p>
        </w:tc>
        <w:tc>
          <w:tcPr>
            <w:tcW w:w="3112" w:type="dxa"/>
            <w:vAlign w:val="top"/>
          </w:tcPr>
          <w:p w14:paraId="65DED990">
            <w:pPr>
              <w:spacing w:before="83" w:line="220" w:lineRule="auto"/>
              <w:ind w:left="815"/>
              <w:rPr>
                <w:rFonts w:ascii="宋体" w:hAnsi="宋体" w:eastAsia="宋体" w:cs="宋体"/>
                <w:sz w:val="21"/>
                <w:szCs w:val="21"/>
              </w:rPr>
            </w:pPr>
            <w:r>
              <w:rPr>
                <w:rFonts w:ascii="宋体" w:hAnsi="宋体" w:eastAsia="宋体" w:cs="宋体"/>
                <w:spacing w:val="-1"/>
                <w:sz w:val="21"/>
                <w:szCs w:val="21"/>
              </w:rPr>
              <w:t>尖棘异猪吻轮虫</w:t>
            </w:r>
          </w:p>
          <w:p w14:paraId="2535E883">
            <w:pPr>
              <w:pStyle w:val="6"/>
              <w:spacing w:before="40" w:line="189" w:lineRule="auto"/>
              <w:ind w:left="463"/>
            </w:pPr>
            <w:r>
              <w:rPr>
                <w:i/>
                <w:iCs/>
              </w:rPr>
              <w:t>Dicranophorus</w:t>
            </w:r>
            <w:r>
              <w:rPr>
                <w:i/>
                <w:iCs/>
                <w:spacing w:val="2"/>
              </w:rPr>
              <w:t xml:space="preserve">  </w:t>
            </w:r>
            <w:r>
              <w:rPr>
                <w:i/>
                <w:iCs/>
              </w:rPr>
              <w:t>caudatus</w:t>
            </w:r>
          </w:p>
        </w:tc>
        <w:tc>
          <w:tcPr>
            <w:tcW w:w="705" w:type="dxa"/>
            <w:vAlign w:val="top"/>
          </w:tcPr>
          <w:p w14:paraId="2F84CE21">
            <w:pPr>
              <w:pStyle w:val="6"/>
              <w:spacing w:before="238" w:line="251" w:lineRule="exact"/>
              <w:ind w:left="291"/>
            </w:pPr>
            <w:r>
              <w:rPr>
                <w:position w:val="1"/>
              </w:rPr>
              <w:t>+</w:t>
            </w:r>
          </w:p>
        </w:tc>
        <w:tc>
          <w:tcPr>
            <w:tcW w:w="746" w:type="dxa"/>
            <w:vAlign w:val="top"/>
          </w:tcPr>
          <w:p w14:paraId="72F03103">
            <w:pPr>
              <w:pStyle w:val="6"/>
              <w:spacing w:before="238" w:line="251" w:lineRule="exact"/>
              <w:ind w:left="255"/>
            </w:pPr>
            <w:r>
              <w:rPr>
                <w:spacing w:val="-1"/>
                <w:position w:val="1"/>
              </w:rPr>
              <w:t>++</w:t>
            </w:r>
          </w:p>
        </w:tc>
        <w:tc>
          <w:tcPr>
            <w:tcW w:w="525" w:type="dxa"/>
            <w:vAlign w:val="top"/>
          </w:tcPr>
          <w:p w14:paraId="500F7D4A">
            <w:pPr>
              <w:pStyle w:val="6"/>
              <w:spacing w:before="238" w:line="251" w:lineRule="exact"/>
              <w:ind w:left="147"/>
            </w:pPr>
            <w:r>
              <w:rPr>
                <w:spacing w:val="-1"/>
                <w:position w:val="1"/>
              </w:rPr>
              <w:t>++</w:t>
            </w:r>
          </w:p>
        </w:tc>
        <w:tc>
          <w:tcPr>
            <w:tcW w:w="562" w:type="dxa"/>
            <w:vAlign w:val="top"/>
          </w:tcPr>
          <w:p w14:paraId="708D048E">
            <w:pPr>
              <w:pStyle w:val="6"/>
              <w:spacing w:before="238" w:line="251" w:lineRule="exact"/>
              <w:ind w:left="108"/>
            </w:pPr>
            <w:r>
              <w:rPr>
                <w:spacing w:val="-1"/>
                <w:position w:val="1"/>
              </w:rPr>
              <w:t>+++</w:t>
            </w:r>
          </w:p>
        </w:tc>
        <w:tc>
          <w:tcPr>
            <w:tcW w:w="1207" w:type="dxa"/>
            <w:vAlign w:val="top"/>
          </w:tcPr>
          <w:p w14:paraId="34B0B0CF">
            <w:pPr>
              <w:rPr>
                <w:rFonts w:ascii="Arial"/>
                <w:sz w:val="21"/>
              </w:rPr>
            </w:pPr>
          </w:p>
        </w:tc>
        <w:tc>
          <w:tcPr>
            <w:tcW w:w="912" w:type="dxa"/>
            <w:tcBorders>
              <w:right w:val="single" w:color="000000" w:sz="12" w:space="0"/>
            </w:tcBorders>
            <w:vAlign w:val="top"/>
          </w:tcPr>
          <w:p w14:paraId="65E68839">
            <w:pPr>
              <w:pStyle w:val="6"/>
              <w:spacing w:before="238" w:line="251" w:lineRule="exact"/>
              <w:ind w:left="338"/>
            </w:pPr>
            <w:r>
              <w:rPr>
                <w:spacing w:val="-1"/>
                <w:position w:val="1"/>
              </w:rPr>
              <w:t>++</w:t>
            </w:r>
          </w:p>
        </w:tc>
      </w:tr>
      <w:tr w14:paraId="2DED9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416E9965">
            <w:pPr>
              <w:rPr>
                <w:rFonts w:ascii="Arial"/>
                <w:sz w:val="21"/>
              </w:rPr>
            </w:pPr>
          </w:p>
        </w:tc>
        <w:tc>
          <w:tcPr>
            <w:tcW w:w="3112" w:type="dxa"/>
            <w:vAlign w:val="top"/>
          </w:tcPr>
          <w:p w14:paraId="1EF6FC9D">
            <w:pPr>
              <w:pStyle w:val="6"/>
              <w:spacing w:before="85" w:line="209" w:lineRule="auto"/>
              <w:ind w:left="43"/>
            </w:pPr>
            <w:r>
              <w:rPr>
                <w:rFonts w:ascii="宋体" w:hAnsi="宋体" w:eastAsia="宋体" w:cs="宋体"/>
                <w:spacing w:val="5"/>
              </w:rPr>
              <w:t>猪吻轮虫</w:t>
            </w:r>
            <w:r>
              <w:rPr>
                <w:rFonts w:ascii="宋体" w:hAnsi="宋体" w:eastAsia="宋体" w:cs="宋体"/>
                <w:spacing w:val="-59"/>
              </w:rPr>
              <w:t xml:space="preserve"> </w:t>
            </w:r>
            <w:r>
              <w:rPr>
                <w:i/>
                <w:iCs/>
              </w:rPr>
              <w:t>Dicranophorus</w:t>
            </w:r>
            <w:r>
              <w:rPr>
                <w:i/>
                <w:iCs/>
                <w:spacing w:val="30"/>
              </w:rPr>
              <w:t xml:space="preserve"> </w:t>
            </w:r>
            <w:r>
              <w:rPr>
                <w:i/>
                <w:iCs/>
              </w:rPr>
              <w:t>pronacis</w:t>
            </w:r>
          </w:p>
        </w:tc>
        <w:tc>
          <w:tcPr>
            <w:tcW w:w="705" w:type="dxa"/>
            <w:vAlign w:val="top"/>
          </w:tcPr>
          <w:p w14:paraId="0A59B99C">
            <w:pPr>
              <w:pStyle w:val="6"/>
              <w:spacing w:before="117" w:line="204" w:lineRule="auto"/>
              <w:ind w:left="291"/>
            </w:pPr>
            <w:r>
              <w:t>+</w:t>
            </w:r>
          </w:p>
        </w:tc>
        <w:tc>
          <w:tcPr>
            <w:tcW w:w="746" w:type="dxa"/>
            <w:vAlign w:val="top"/>
          </w:tcPr>
          <w:p w14:paraId="26448381">
            <w:pPr>
              <w:pStyle w:val="6"/>
              <w:spacing w:before="117" w:line="204" w:lineRule="auto"/>
              <w:ind w:left="314"/>
            </w:pPr>
            <w:r>
              <w:t>+</w:t>
            </w:r>
          </w:p>
        </w:tc>
        <w:tc>
          <w:tcPr>
            <w:tcW w:w="525" w:type="dxa"/>
            <w:vAlign w:val="top"/>
          </w:tcPr>
          <w:p w14:paraId="29ED933B">
            <w:pPr>
              <w:pStyle w:val="6"/>
              <w:spacing w:before="117" w:line="204" w:lineRule="auto"/>
              <w:ind w:left="147"/>
            </w:pPr>
            <w:r>
              <w:rPr>
                <w:spacing w:val="-1"/>
              </w:rPr>
              <w:t>++</w:t>
            </w:r>
          </w:p>
        </w:tc>
        <w:tc>
          <w:tcPr>
            <w:tcW w:w="562" w:type="dxa"/>
            <w:vAlign w:val="top"/>
          </w:tcPr>
          <w:p w14:paraId="05A9FBC9">
            <w:pPr>
              <w:pStyle w:val="6"/>
              <w:spacing w:before="117" w:line="204" w:lineRule="auto"/>
              <w:ind w:left="226"/>
            </w:pPr>
            <w:r>
              <w:t>+</w:t>
            </w:r>
          </w:p>
        </w:tc>
        <w:tc>
          <w:tcPr>
            <w:tcW w:w="1207" w:type="dxa"/>
            <w:vAlign w:val="top"/>
          </w:tcPr>
          <w:p w14:paraId="7862CCE7">
            <w:pPr>
              <w:pStyle w:val="6"/>
              <w:spacing w:before="117" w:line="204" w:lineRule="auto"/>
              <w:ind w:left="493"/>
            </w:pPr>
            <w:r>
              <w:rPr>
                <w:spacing w:val="-1"/>
              </w:rPr>
              <w:t>++</w:t>
            </w:r>
          </w:p>
        </w:tc>
        <w:tc>
          <w:tcPr>
            <w:tcW w:w="912" w:type="dxa"/>
            <w:tcBorders>
              <w:right w:val="single" w:color="000000" w:sz="12" w:space="0"/>
            </w:tcBorders>
            <w:vAlign w:val="top"/>
          </w:tcPr>
          <w:p w14:paraId="70906B73">
            <w:pPr>
              <w:rPr>
                <w:rFonts w:ascii="Arial"/>
                <w:sz w:val="21"/>
              </w:rPr>
            </w:pPr>
          </w:p>
        </w:tc>
      </w:tr>
      <w:tr w14:paraId="4E9AE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7EA9CBF2">
            <w:pPr>
              <w:spacing w:line="307" w:lineRule="auto"/>
              <w:rPr>
                <w:rFonts w:ascii="Arial"/>
                <w:sz w:val="21"/>
              </w:rPr>
            </w:pPr>
          </w:p>
          <w:p w14:paraId="0540E0C6">
            <w:pPr>
              <w:spacing w:before="68" w:line="221" w:lineRule="auto"/>
              <w:ind w:left="50"/>
              <w:rPr>
                <w:rFonts w:ascii="宋体" w:hAnsi="宋体" w:eastAsia="宋体" w:cs="宋体"/>
                <w:sz w:val="21"/>
                <w:szCs w:val="21"/>
              </w:rPr>
            </w:pPr>
            <w:r>
              <w:rPr>
                <w:rFonts w:ascii="宋体" w:hAnsi="宋体" w:eastAsia="宋体" w:cs="宋体"/>
                <w:spacing w:val="-8"/>
                <w:sz w:val="21"/>
                <w:szCs w:val="21"/>
              </w:rPr>
              <w:t>甲轮虫</w:t>
            </w:r>
          </w:p>
        </w:tc>
        <w:tc>
          <w:tcPr>
            <w:tcW w:w="3112" w:type="dxa"/>
            <w:vAlign w:val="top"/>
          </w:tcPr>
          <w:p w14:paraId="7C7DA460">
            <w:pPr>
              <w:pStyle w:val="6"/>
              <w:spacing w:before="85" w:line="209" w:lineRule="auto"/>
              <w:ind w:left="166"/>
            </w:pPr>
            <w:r>
              <w:rPr>
                <w:rFonts w:ascii="宋体" w:hAnsi="宋体" w:eastAsia="宋体" w:cs="宋体"/>
                <w:spacing w:val="-1"/>
              </w:rPr>
              <w:t>钝角狭甲轮虫</w:t>
            </w:r>
            <w:r>
              <w:rPr>
                <w:rFonts w:ascii="宋体" w:hAnsi="宋体" w:eastAsia="宋体" w:cs="宋体"/>
                <w:spacing w:val="-38"/>
              </w:rPr>
              <w:t xml:space="preserve"> </w:t>
            </w:r>
            <w:r>
              <w:rPr>
                <w:i/>
                <w:iCs/>
                <w:spacing w:val="-1"/>
              </w:rPr>
              <w:t>Colurella  obtuse</w:t>
            </w:r>
          </w:p>
        </w:tc>
        <w:tc>
          <w:tcPr>
            <w:tcW w:w="705" w:type="dxa"/>
            <w:vAlign w:val="top"/>
          </w:tcPr>
          <w:p w14:paraId="2C157D96">
            <w:pPr>
              <w:pStyle w:val="6"/>
              <w:spacing w:before="119" w:line="202" w:lineRule="auto"/>
              <w:ind w:left="291"/>
            </w:pPr>
            <w:r>
              <w:t>+</w:t>
            </w:r>
          </w:p>
        </w:tc>
        <w:tc>
          <w:tcPr>
            <w:tcW w:w="746" w:type="dxa"/>
            <w:vAlign w:val="top"/>
          </w:tcPr>
          <w:p w14:paraId="67A25085">
            <w:pPr>
              <w:pStyle w:val="6"/>
              <w:spacing w:before="119" w:line="202" w:lineRule="auto"/>
              <w:ind w:left="255"/>
            </w:pPr>
            <w:r>
              <w:rPr>
                <w:spacing w:val="-1"/>
              </w:rPr>
              <w:t>++</w:t>
            </w:r>
          </w:p>
        </w:tc>
        <w:tc>
          <w:tcPr>
            <w:tcW w:w="525" w:type="dxa"/>
            <w:vAlign w:val="top"/>
          </w:tcPr>
          <w:p w14:paraId="6F4564A4">
            <w:pPr>
              <w:pStyle w:val="6"/>
              <w:spacing w:before="119" w:line="202" w:lineRule="auto"/>
              <w:ind w:left="147"/>
            </w:pPr>
            <w:r>
              <w:rPr>
                <w:spacing w:val="-1"/>
              </w:rPr>
              <w:t>++</w:t>
            </w:r>
          </w:p>
        </w:tc>
        <w:tc>
          <w:tcPr>
            <w:tcW w:w="562" w:type="dxa"/>
            <w:vAlign w:val="top"/>
          </w:tcPr>
          <w:p w14:paraId="19CFE91D">
            <w:pPr>
              <w:pStyle w:val="6"/>
              <w:spacing w:before="119" w:line="202" w:lineRule="auto"/>
              <w:ind w:left="108"/>
            </w:pPr>
            <w:r>
              <w:rPr>
                <w:spacing w:val="-1"/>
              </w:rPr>
              <w:t>+++</w:t>
            </w:r>
          </w:p>
        </w:tc>
        <w:tc>
          <w:tcPr>
            <w:tcW w:w="1207" w:type="dxa"/>
            <w:vAlign w:val="top"/>
          </w:tcPr>
          <w:p w14:paraId="038F4D3A">
            <w:pPr>
              <w:rPr>
                <w:rFonts w:ascii="Arial"/>
                <w:sz w:val="21"/>
              </w:rPr>
            </w:pPr>
          </w:p>
        </w:tc>
        <w:tc>
          <w:tcPr>
            <w:tcW w:w="912" w:type="dxa"/>
            <w:tcBorders>
              <w:right w:val="single" w:color="000000" w:sz="12" w:space="0"/>
            </w:tcBorders>
            <w:vAlign w:val="top"/>
          </w:tcPr>
          <w:p w14:paraId="2726042B">
            <w:pPr>
              <w:pStyle w:val="6"/>
              <w:spacing w:before="119" w:line="202" w:lineRule="auto"/>
              <w:ind w:left="397"/>
            </w:pPr>
            <w:r>
              <w:t>+</w:t>
            </w:r>
          </w:p>
        </w:tc>
      </w:tr>
      <w:tr w14:paraId="07F52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704" w:type="dxa"/>
            <w:vMerge w:val="continue"/>
            <w:tcBorders>
              <w:top w:val="nil"/>
              <w:left w:val="single" w:color="000000" w:sz="12" w:space="0"/>
              <w:bottom w:val="single" w:color="000000" w:sz="12" w:space="0"/>
            </w:tcBorders>
            <w:vAlign w:val="top"/>
          </w:tcPr>
          <w:p w14:paraId="2164A3F8">
            <w:pPr>
              <w:rPr>
                <w:rFonts w:ascii="Arial"/>
                <w:sz w:val="21"/>
              </w:rPr>
            </w:pPr>
          </w:p>
        </w:tc>
        <w:tc>
          <w:tcPr>
            <w:tcW w:w="3112" w:type="dxa"/>
            <w:tcBorders>
              <w:bottom w:val="single" w:color="000000" w:sz="12" w:space="0"/>
            </w:tcBorders>
            <w:vAlign w:val="top"/>
          </w:tcPr>
          <w:p w14:paraId="32CB988D">
            <w:pPr>
              <w:pStyle w:val="6"/>
              <w:spacing w:before="86" w:line="233" w:lineRule="auto"/>
              <w:ind w:left="716" w:right="719"/>
            </w:pPr>
            <w:r>
              <w:rPr>
                <w:rFonts w:ascii="宋体" w:hAnsi="宋体" w:eastAsia="宋体" w:cs="宋体"/>
                <w:spacing w:val="-2"/>
              </w:rPr>
              <w:t>爱德里亚狭甲轮虫</w:t>
            </w:r>
            <w:r>
              <w:rPr>
                <w:i/>
                <w:iCs/>
                <w:spacing w:val="-1"/>
              </w:rPr>
              <w:t>Colurella  adriatica</w:t>
            </w:r>
          </w:p>
        </w:tc>
        <w:tc>
          <w:tcPr>
            <w:tcW w:w="705" w:type="dxa"/>
            <w:tcBorders>
              <w:bottom w:val="single" w:color="000000" w:sz="12" w:space="0"/>
            </w:tcBorders>
            <w:vAlign w:val="top"/>
          </w:tcPr>
          <w:p w14:paraId="4FCED2F9">
            <w:pPr>
              <w:rPr>
                <w:rFonts w:ascii="Arial"/>
                <w:sz w:val="21"/>
              </w:rPr>
            </w:pPr>
          </w:p>
        </w:tc>
        <w:tc>
          <w:tcPr>
            <w:tcW w:w="746" w:type="dxa"/>
            <w:tcBorders>
              <w:bottom w:val="single" w:color="000000" w:sz="12" w:space="0"/>
            </w:tcBorders>
            <w:vAlign w:val="top"/>
          </w:tcPr>
          <w:p w14:paraId="291FF9E8">
            <w:pPr>
              <w:pStyle w:val="6"/>
              <w:spacing w:before="239" w:line="251" w:lineRule="exact"/>
              <w:ind w:left="255"/>
            </w:pPr>
            <w:r>
              <w:rPr>
                <w:spacing w:val="-1"/>
                <w:position w:val="1"/>
              </w:rPr>
              <w:t>++</w:t>
            </w:r>
          </w:p>
        </w:tc>
        <w:tc>
          <w:tcPr>
            <w:tcW w:w="525" w:type="dxa"/>
            <w:tcBorders>
              <w:bottom w:val="single" w:color="000000" w:sz="12" w:space="0"/>
            </w:tcBorders>
            <w:vAlign w:val="top"/>
          </w:tcPr>
          <w:p w14:paraId="69A62BFC">
            <w:pPr>
              <w:pStyle w:val="6"/>
              <w:spacing w:before="239" w:line="251" w:lineRule="exact"/>
              <w:ind w:left="205"/>
            </w:pPr>
            <w:r>
              <w:rPr>
                <w:position w:val="1"/>
              </w:rPr>
              <w:t>+</w:t>
            </w:r>
          </w:p>
        </w:tc>
        <w:tc>
          <w:tcPr>
            <w:tcW w:w="562" w:type="dxa"/>
            <w:tcBorders>
              <w:bottom w:val="single" w:color="000000" w:sz="12" w:space="0"/>
            </w:tcBorders>
            <w:vAlign w:val="top"/>
          </w:tcPr>
          <w:p w14:paraId="7F01B59C">
            <w:pPr>
              <w:pStyle w:val="6"/>
              <w:spacing w:before="239" w:line="251" w:lineRule="exact"/>
              <w:ind w:left="226"/>
            </w:pPr>
            <w:r>
              <w:rPr>
                <w:position w:val="1"/>
              </w:rPr>
              <w:t>+</w:t>
            </w:r>
          </w:p>
        </w:tc>
        <w:tc>
          <w:tcPr>
            <w:tcW w:w="1207" w:type="dxa"/>
            <w:tcBorders>
              <w:bottom w:val="single" w:color="000000" w:sz="12" w:space="0"/>
            </w:tcBorders>
            <w:vAlign w:val="top"/>
          </w:tcPr>
          <w:p w14:paraId="222DF708">
            <w:pPr>
              <w:pStyle w:val="6"/>
              <w:spacing w:before="239" w:line="251" w:lineRule="exact"/>
              <w:ind w:left="552"/>
            </w:pPr>
            <w:r>
              <w:rPr>
                <w:position w:val="1"/>
              </w:rPr>
              <w:t>+</w:t>
            </w:r>
          </w:p>
        </w:tc>
        <w:tc>
          <w:tcPr>
            <w:tcW w:w="912" w:type="dxa"/>
            <w:tcBorders>
              <w:bottom w:val="single" w:color="000000" w:sz="12" w:space="0"/>
              <w:right w:val="single" w:color="000000" w:sz="12" w:space="0"/>
            </w:tcBorders>
            <w:vAlign w:val="top"/>
          </w:tcPr>
          <w:p w14:paraId="6DAD27B2">
            <w:pPr>
              <w:rPr>
                <w:rFonts w:ascii="Arial"/>
                <w:sz w:val="21"/>
              </w:rPr>
            </w:pPr>
          </w:p>
        </w:tc>
      </w:tr>
    </w:tbl>
    <w:p w14:paraId="21C01D5E">
      <w:pPr>
        <w:rPr>
          <w:rFonts w:ascii="Arial"/>
          <w:sz w:val="21"/>
        </w:rPr>
      </w:pPr>
    </w:p>
    <w:p w14:paraId="6A42D170">
      <w:pPr>
        <w:rPr>
          <w:rFonts w:ascii="Arial" w:hAnsi="Arial" w:eastAsia="Arial" w:cs="Arial"/>
          <w:sz w:val="21"/>
          <w:szCs w:val="21"/>
        </w:rPr>
        <w:sectPr>
          <w:footerReference r:id="rId212" w:type="default"/>
          <w:pgSz w:w="11907" w:h="16839"/>
          <w:pgMar w:top="1376" w:right="1669" w:bottom="1061" w:left="1671" w:header="999" w:footer="859" w:gutter="0"/>
          <w:cols w:space="720" w:num="1"/>
        </w:sectPr>
      </w:pPr>
    </w:p>
    <w:p w14:paraId="5F885824">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112"/>
        <w:gridCol w:w="705"/>
        <w:gridCol w:w="746"/>
        <w:gridCol w:w="525"/>
        <w:gridCol w:w="562"/>
        <w:gridCol w:w="1207"/>
        <w:gridCol w:w="912"/>
      </w:tblGrid>
      <w:tr w14:paraId="6D7D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3816" w:type="dxa"/>
            <w:gridSpan w:val="2"/>
            <w:vMerge w:val="restart"/>
            <w:tcBorders>
              <w:top w:val="single" w:color="000000" w:sz="12" w:space="0"/>
              <w:left w:val="single" w:color="000000" w:sz="12" w:space="0"/>
              <w:bottom w:val="nil"/>
            </w:tcBorders>
            <w:vAlign w:val="top"/>
          </w:tcPr>
          <w:p w14:paraId="077785D8">
            <w:pPr>
              <w:spacing w:line="403" w:lineRule="auto"/>
              <w:rPr>
                <w:rFonts w:ascii="Arial"/>
                <w:sz w:val="21"/>
              </w:rPr>
            </w:pPr>
          </w:p>
          <w:p w14:paraId="1708D7FD">
            <w:pPr>
              <w:spacing w:before="68" w:line="220" w:lineRule="auto"/>
              <w:ind w:left="1689"/>
              <w:rPr>
                <w:rFonts w:ascii="宋体" w:hAnsi="宋体" w:eastAsia="宋体" w:cs="宋体"/>
                <w:sz w:val="21"/>
                <w:szCs w:val="21"/>
              </w:rPr>
            </w:pPr>
            <w:r>
              <w:rPr>
                <w:rFonts w:ascii="宋体" w:hAnsi="宋体" w:eastAsia="宋体" w:cs="宋体"/>
                <w:spacing w:val="-3"/>
                <w:sz w:val="21"/>
                <w:szCs w:val="21"/>
              </w:rPr>
              <w:t>种类</w:t>
            </w:r>
          </w:p>
        </w:tc>
        <w:tc>
          <w:tcPr>
            <w:tcW w:w="4657" w:type="dxa"/>
            <w:gridSpan w:val="6"/>
            <w:tcBorders>
              <w:top w:val="single" w:color="000000" w:sz="12" w:space="0"/>
              <w:right w:val="single" w:color="000000" w:sz="12" w:space="0"/>
            </w:tcBorders>
            <w:vAlign w:val="top"/>
          </w:tcPr>
          <w:p w14:paraId="3EDAAD30">
            <w:pPr>
              <w:spacing w:before="45" w:line="209" w:lineRule="auto"/>
              <w:ind w:left="1910"/>
              <w:rPr>
                <w:rFonts w:ascii="宋体" w:hAnsi="宋体" w:eastAsia="宋体" w:cs="宋体"/>
                <w:sz w:val="21"/>
                <w:szCs w:val="21"/>
              </w:rPr>
            </w:pPr>
            <w:r>
              <w:rPr>
                <w:rFonts w:ascii="宋体" w:hAnsi="宋体" w:eastAsia="宋体" w:cs="宋体"/>
                <w:spacing w:val="-2"/>
                <w:sz w:val="21"/>
                <w:szCs w:val="21"/>
              </w:rPr>
              <w:t>相对数量</w:t>
            </w:r>
          </w:p>
        </w:tc>
      </w:tr>
      <w:tr w14:paraId="04A49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3816" w:type="dxa"/>
            <w:gridSpan w:val="2"/>
            <w:vMerge w:val="continue"/>
            <w:tcBorders>
              <w:top w:val="nil"/>
              <w:left w:val="single" w:color="000000" w:sz="12" w:space="0"/>
            </w:tcBorders>
            <w:vAlign w:val="top"/>
          </w:tcPr>
          <w:p w14:paraId="33DBA6A1">
            <w:pPr>
              <w:rPr>
                <w:rFonts w:ascii="Arial"/>
                <w:sz w:val="21"/>
              </w:rPr>
            </w:pPr>
          </w:p>
        </w:tc>
        <w:tc>
          <w:tcPr>
            <w:tcW w:w="705" w:type="dxa"/>
            <w:vAlign w:val="top"/>
          </w:tcPr>
          <w:p w14:paraId="64D6BFA6">
            <w:pPr>
              <w:spacing w:before="193" w:line="242" w:lineRule="auto"/>
              <w:ind w:left="144" w:right="33" w:hanging="98"/>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746" w:type="dxa"/>
            <w:vAlign w:val="top"/>
          </w:tcPr>
          <w:p w14:paraId="15E5DB0E">
            <w:pPr>
              <w:spacing w:before="193" w:line="242" w:lineRule="auto"/>
              <w:ind w:left="168" w:right="50" w:hanging="103"/>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525" w:type="dxa"/>
            <w:vAlign w:val="top"/>
          </w:tcPr>
          <w:p w14:paraId="4C51007E">
            <w:pPr>
              <w:spacing w:before="57" w:line="222" w:lineRule="auto"/>
              <w:ind w:left="90"/>
              <w:rPr>
                <w:rFonts w:ascii="宋体" w:hAnsi="宋体" w:eastAsia="宋体" w:cs="宋体"/>
                <w:sz w:val="21"/>
                <w:szCs w:val="21"/>
              </w:rPr>
            </w:pPr>
            <w:r>
              <w:rPr>
                <w:rFonts w:ascii="宋体" w:hAnsi="宋体" w:eastAsia="宋体" w:cs="宋体"/>
                <w:spacing w:val="-10"/>
                <w:sz w:val="21"/>
                <w:szCs w:val="21"/>
              </w:rPr>
              <w:t>白塔</w:t>
            </w:r>
          </w:p>
          <w:p w14:paraId="37806C20">
            <w:pPr>
              <w:spacing w:before="19" w:line="236" w:lineRule="auto"/>
              <w:ind w:left="164" w:right="42"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562" w:type="dxa"/>
            <w:vAlign w:val="top"/>
          </w:tcPr>
          <w:p w14:paraId="06957320">
            <w:pPr>
              <w:spacing w:before="57" w:line="222" w:lineRule="auto"/>
              <w:ind w:left="110"/>
              <w:rPr>
                <w:rFonts w:ascii="宋体" w:hAnsi="宋体" w:eastAsia="宋体" w:cs="宋体"/>
                <w:sz w:val="21"/>
                <w:szCs w:val="21"/>
              </w:rPr>
            </w:pPr>
            <w:r>
              <w:rPr>
                <w:rFonts w:ascii="宋体" w:hAnsi="宋体" w:eastAsia="宋体" w:cs="宋体"/>
                <w:spacing w:val="-10"/>
                <w:sz w:val="21"/>
                <w:szCs w:val="21"/>
              </w:rPr>
              <w:t>白塔</w:t>
            </w:r>
          </w:p>
          <w:p w14:paraId="49A1D8D8">
            <w:pPr>
              <w:spacing w:before="19" w:line="236" w:lineRule="auto"/>
              <w:ind w:left="188" w:right="60"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207" w:type="dxa"/>
            <w:vAlign w:val="top"/>
          </w:tcPr>
          <w:p w14:paraId="3B573C7F">
            <w:pPr>
              <w:spacing w:before="57" w:line="219" w:lineRule="auto"/>
              <w:ind w:left="97"/>
              <w:rPr>
                <w:rFonts w:ascii="宋体" w:hAnsi="宋体" w:eastAsia="宋体" w:cs="宋体"/>
                <w:sz w:val="21"/>
                <w:szCs w:val="21"/>
              </w:rPr>
            </w:pPr>
            <w:r>
              <w:rPr>
                <w:rFonts w:ascii="宋体" w:hAnsi="宋体" w:eastAsia="宋体" w:cs="宋体"/>
                <w:spacing w:val="-3"/>
                <w:sz w:val="21"/>
                <w:szCs w:val="21"/>
              </w:rPr>
              <w:t>马龙河干流</w:t>
            </w:r>
          </w:p>
          <w:p w14:paraId="45C77895">
            <w:pPr>
              <w:pStyle w:val="6"/>
              <w:spacing w:before="23" w:line="234" w:lineRule="auto"/>
              <w:ind w:left="91"/>
            </w:pPr>
            <w:r>
              <w:rPr>
                <w:rFonts w:ascii="宋体" w:hAnsi="宋体" w:eastAsia="宋体" w:cs="宋体"/>
                <w:spacing w:val="-3"/>
              </w:rPr>
              <w:t>离坝址</w:t>
            </w:r>
            <w:r>
              <w:rPr>
                <w:rFonts w:ascii="宋体" w:hAnsi="宋体" w:eastAsia="宋体" w:cs="宋体"/>
                <w:spacing w:val="-45"/>
              </w:rPr>
              <w:t xml:space="preserve"> </w:t>
            </w:r>
            <w:r>
              <w:rPr>
                <w:spacing w:val="-3"/>
              </w:rPr>
              <w:t>2km</w:t>
            </w:r>
          </w:p>
          <w:p w14:paraId="16997559">
            <w:pPr>
              <w:spacing w:before="6" w:line="224" w:lineRule="auto"/>
              <w:ind w:left="515"/>
              <w:rPr>
                <w:rFonts w:ascii="宋体" w:hAnsi="宋体" w:eastAsia="宋体" w:cs="宋体"/>
                <w:sz w:val="21"/>
                <w:szCs w:val="21"/>
              </w:rPr>
            </w:pPr>
            <w:r>
              <w:rPr>
                <w:rFonts w:ascii="宋体" w:hAnsi="宋体" w:eastAsia="宋体" w:cs="宋体"/>
                <w:sz w:val="21"/>
                <w:szCs w:val="21"/>
              </w:rPr>
              <w:t>处</w:t>
            </w:r>
          </w:p>
        </w:tc>
        <w:tc>
          <w:tcPr>
            <w:tcW w:w="912" w:type="dxa"/>
            <w:tcBorders>
              <w:right w:val="single" w:color="000000" w:sz="12" w:space="0"/>
            </w:tcBorders>
            <w:vAlign w:val="top"/>
          </w:tcPr>
          <w:p w14:paraId="1823D442">
            <w:pPr>
              <w:spacing w:before="57" w:line="219" w:lineRule="auto"/>
              <w:ind w:left="47"/>
              <w:rPr>
                <w:rFonts w:ascii="宋体" w:hAnsi="宋体" w:eastAsia="宋体" w:cs="宋体"/>
                <w:sz w:val="21"/>
                <w:szCs w:val="21"/>
              </w:rPr>
            </w:pPr>
            <w:r>
              <w:rPr>
                <w:rFonts w:ascii="宋体" w:hAnsi="宋体" w:eastAsia="宋体" w:cs="宋体"/>
                <w:spacing w:val="-3"/>
                <w:sz w:val="21"/>
                <w:szCs w:val="21"/>
              </w:rPr>
              <w:t>马龙河干</w:t>
            </w:r>
          </w:p>
          <w:p w14:paraId="7C65D8FE">
            <w:pPr>
              <w:spacing w:before="23" w:line="220" w:lineRule="auto"/>
              <w:ind w:left="41"/>
              <w:rPr>
                <w:rFonts w:ascii="宋体" w:hAnsi="宋体" w:eastAsia="宋体" w:cs="宋体"/>
                <w:sz w:val="21"/>
                <w:szCs w:val="21"/>
              </w:rPr>
            </w:pPr>
            <w:r>
              <w:rPr>
                <w:rFonts w:ascii="宋体" w:hAnsi="宋体" w:eastAsia="宋体" w:cs="宋体"/>
                <w:spacing w:val="-2"/>
                <w:sz w:val="21"/>
                <w:szCs w:val="21"/>
              </w:rPr>
              <w:t>流离坝址</w:t>
            </w:r>
          </w:p>
          <w:p w14:paraId="6F289493">
            <w:pPr>
              <w:pStyle w:val="6"/>
              <w:spacing w:before="22" w:line="231" w:lineRule="auto"/>
              <w:ind w:left="14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7AEA7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690B2ACB">
            <w:pPr>
              <w:spacing w:before="59" w:line="220" w:lineRule="auto"/>
              <w:ind w:left="26"/>
              <w:rPr>
                <w:rFonts w:ascii="宋体" w:hAnsi="宋体" w:eastAsia="宋体" w:cs="宋体"/>
                <w:sz w:val="21"/>
                <w:szCs w:val="21"/>
              </w:rPr>
            </w:pPr>
            <w:r>
              <w:rPr>
                <w:rFonts w:ascii="宋体" w:hAnsi="宋体" w:eastAsia="宋体" w:cs="宋体"/>
                <w:spacing w:val="-3"/>
                <w:sz w:val="21"/>
                <w:szCs w:val="21"/>
              </w:rPr>
              <w:t>水轮虫</w:t>
            </w:r>
          </w:p>
        </w:tc>
        <w:tc>
          <w:tcPr>
            <w:tcW w:w="3112" w:type="dxa"/>
            <w:vAlign w:val="top"/>
          </w:tcPr>
          <w:p w14:paraId="5FDF7E5E">
            <w:pPr>
              <w:pStyle w:val="6"/>
              <w:spacing w:before="59" w:line="213" w:lineRule="auto"/>
              <w:ind w:left="253"/>
            </w:pPr>
            <w:r>
              <w:rPr>
                <w:rFonts w:ascii="宋体" w:hAnsi="宋体" w:eastAsia="宋体" w:cs="宋体"/>
              </w:rPr>
              <w:t>椎尾水轮虫</w:t>
            </w:r>
            <w:r>
              <w:rPr>
                <w:rFonts w:ascii="宋体" w:hAnsi="宋体" w:eastAsia="宋体" w:cs="宋体"/>
                <w:spacing w:val="-57"/>
              </w:rPr>
              <w:t xml:space="preserve"> </w:t>
            </w:r>
            <w:r>
              <w:rPr>
                <w:i/>
                <w:iCs/>
              </w:rPr>
              <w:t>Epilphanes</w:t>
            </w:r>
            <w:r>
              <w:rPr>
                <w:i/>
                <w:iCs/>
                <w:spacing w:val="51"/>
              </w:rPr>
              <w:t xml:space="preserve"> </w:t>
            </w:r>
            <w:r>
              <w:rPr>
                <w:i/>
                <w:iCs/>
              </w:rPr>
              <w:t>senta</w:t>
            </w:r>
          </w:p>
        </w:tc>
        <w:tc>
          <w:tcPr>
            <w:tcW w:w="705" w:type="dxa"/>
            <w:vAlign w:val="top"/>
          </w:tcPr>
          <w:p w14:paraId="0DAF4C06">
            <w:pPr>
              <w:pStyle w:val="6"/>
              <w:spacing w:before="93" w:line="227" w:lineRule="auto"/>
              <w:ind w:left="291"/>
            </w:pPr>
            <w:r>
              <w:t>+</w:t>
            </w:r>
          </w:p>
        </w:tc>
        <w:tc>
          <w:tcPr>
            <w:tcW w:w="746" w:type="dxa"/>
            <w:vAlign w:val="top"/>
          </w:tcPr>
          <w:p w14:paraId="7D4279A1">
            <w:pPr>
              <w:pStyle w:val="6"/>
              <w:spacing w:before="93" w:line="227" w:lineRule="auto"/>
              <w:ind w:left="255"/>
            </w:pPr>
            <w:r>
              <w:rPr>
                <w:spacing w:val="-1"/>
              </w:rPr>
              <w:t>++</w:t>
            </w:r>
          </w:p>
        </w:tc>
        <w:tc>
          <w:tcPr>
            <w:tcW w:w="525" w:type="dxa"/>
            <w:vAlign w:val="top"/>
          </w:tcPr>
          <w:p w14:paraId="2915FAAD">
            <w:pPr>
              <w:pStyle w:val="6"/>
              <w:spacing w:before="93" w:line="227" w:lineRule="auto"/>
              <w:ind w:left="205"/>
            </w:pPr>
            <w:r>
              <w:t>+</w:t>
            </w:r>
          </w:p>
        </w:tc>
        <w:tc>
          <w:tcPr>
            <w:tcW w:w="562" w:type="dxa"/>
            <w:vAlign w:val="top"/>
          </w:tcPr>
          <w:p w14:paraId="47EBA440">
            <w:pPr>
              <w:pStyle w:val="6"/>
              <w:spacing w:before="93" w:line="227" w:lineRule="auto"/>
              <w:ind w:left="226"/>
            </w:pPr>
            <w:r>
              <w:t>+</w:t>
            </w:r>
          </w:p>
        </w:tc>
        <w:tc>
          <w:tcPr>
            <w:tcW w:w="1207" w:type="dxa"/>
            <w:vAlign w:val="top"/>
          </w:tcPr>
          <w:p w14:paraId="33049312">
            <w:pPr>
              <w:pStyle w:val="6"/>
              <w:spacing w:before="93" w:line="227" w:lineRule="auto"/>
              <w:ind w:left="552"/>
            </w:pPr>
            <w:r>
              <w:t>+</w:t>
            </w:r>
          </w:p>
        </w:tc>
        <w:tc>
          <w:tcPr>
            <w:tcW w:w="912" w:type="dxa"/>
            <w:tcBorders>
              <w:right w:val="single" w:color="000000" w:sz="12" w:space="0"/>
            </w:tcBorders>
            <w:vAlign w:val="top"/>
          </w:tcPr>
          <w:p w14:paraId="76BC530E">
            <w:pPr>
              <w:rPr>
                <w:rFonts w:ascii="Arial"/>
                <w:sz w:val="21"/>
              </w:rPr>
            </w:pPr>
          </w:p>
        </w:tc>
      </w:tr>
      <w:tr w14:paraId="68B4D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6F8D5AA2">
            <w:pPr>
              <w:spacing w:before="97" w:line="221" w:lineRule="auto"/>
              <w:ind w:left="139"/>
              <w:rPr>
                <w:rFonts w:ascii="宋体" w:hAnsi="宋体" w:eastAsia="宋体" w:cs="宋体"/>
                <w:sz w:val="21"/>
                <w:szCs w:val="21"/>
              </w:rPr>
            </w:pPr>
            <w:r>
              <w:rPr>
                <w:rFonts w:ascii="宋体" w:hAnsi="宋体" w:eastAsia="宋体" w:cs="宋体"/>
                <w:spacing w:val="-5"/>
                <w:sz w:val="21"/>
                <w:szCs w:val="21"/>
              </w:rPr>
              <w:t>多肢</w:t>
            </w:r>
          </w:p>
          <w:p w14:paraId="593814AF">
            <w:pPr>
              <w:spacing w:before="21" w:line="221" w:lineRule="auto"/>
              <w:ind w:left="129"/>
              <w:rPr>
                <w:rFonts w:ascii="宋体" w:hAnsi="宋体" w:eastAsia="宋体" w:cs="宋体"/>
                <w:sz w:val="21"/>
                <w:szCs w:val="21"/>
              </w:rPr>
            </w:pPr>
            <w:r>
              <w:rPr>
                <w:rFonts w:ascii="宋体" w:hAnsi="宋体" w:eastAsia="宋体" w:cs="宋体"/>
                <w:spacing w:val="-3"/>
                <w:sz w:val="21"/>
                <w:szCs w:val="21"/>
              </w:rPr>
              <w:t>轮虫</w:t>
            </w:r>
          </w:p>
        </w:tc>
        <w:tc>
          <w:tcPr>
            <w:tcW w:w="3112" w:type="dxa"/>
            <w:vAlign w:val="top"/>
          </w:tcPr>
          <w:p w14:paraId="08ABD3DE">
            <w:pPr>
              <w:pStyle w:val="6"/>
              <w:spacing w:before="61" w:line="212" w:lineRule="auto"/>
              <w:ind w:left="37"/>
            </w:pPr>
            <w:r>
              <w:rPr>
                <w:rFonts w:ascii="宋体" w:hAnsi="宋体" w:eastAsia="宋体" w:cs="宋体"/>
              </w:rPr>
              <w:t>广布多肢轮虫</w:t>
            </w:r>
            <w:r>
              <w:rPr>
                <w:rFonts w:ascii="宋体" w:hAnsi="宋体" w:eastAsia="宋体" w:cs="宋体"/>
                <w:spacing w:val="-57"/>
              </w:rPr>
              <w:t xml:space="preserve"> </w:t>
            </w:r>
            <w:r>
              <w:rPr>
                <w:i/>
                <w:iCs/>
              </w:rPr>
              <w:t>Polyarthra  vulg</w:t>
            </w:r>
            <w:r>
              <w:rPr>
                <w:i/>
                <w:iCs/>
                <w:spacing w:val="-1"/>
              </w:rPr>
              <w:t>aris</w:t>
            </w:r>
          </w:p>
        </w:tc>
        <w:tc>
          <w:tcPr>
            <w:tcW w:w="705" w:type="dxa"/>
            <w:vAlign w:val="top"/>
          </w:tcPr>
          <w:p w14:paraId="7627A856">
            <w:pPr>
              <w:pStyle w:val="6"/>
              <w:spacing w:before="94" w:line="227" w:lineRule="auto"/>
              <w:ind w:left="291"/>
            </w:pPr>
            <w:r>
              <w:t>+</w:t>
            </w:r>
          </w:p>
        </w:tc>
        <w:tc>
          <w:tcPr>
            <w:tcW w:w="746" w:type="dxa"/>
            <w:vAlign w:val="top"/>
          </w:tcPr>
          <w:p w14:paraId="05DC380D">
            <w:pPr>
              <w:pStyle w:val="6"/>
              <w:spacing w:before="94" w:line="227" w:lineRule="auto"/>
              <w:ind w:left="314"/>
            </w:pPr>
            <w:r>
              <w:t>+</w:t>
            </w:r>
          </w:p>
        </w:tc>
        <w:tc>
          <w:tcPr>
            <w:tcW w:w="525" w:type="dxa"/>
            <w:vAlign w:val="top"/>
          </w:tcPr>
          <w:p w14:paraId="5082E49C">
            <w:pPr>
              <w:rPr>
                <w:rFonts w:ascii="Arial"/>
                <w:sz w:val="21"/>
              </w:rPr>
            </w:pPr>
          </w:p>
        </w:tc>
        <w:tc>
          <w:tcPr>
            <w:tcW w:w="562" w:type="dxa"/>
            <w:vAlign w:val="top"/>
          </w:tcPr>
          <w:p w14:paraId="7EA9E59C">
            <w:pPr>
              <w:pStyle w:val="6"/>
              <w:spacing w:before="94" w:line="227" w:lineRule="auto"/>
              <w:ind w:left="226"/>
            </w:pPr>
            <w:r>
              <w:t>+</w:t>
            </w:r>
          </w:p>
        </w:tc>
        <w:tc>
          <w:tcPr>
            <w:tcW w:w="1207" w:type="dxa"/>
            <w:vAlign w:val="top"/>
          </w:tcPr>
          <w:p w14:paraId="562DF220">
            <w:pPr>
              <w:pStyle w:val="6"/>
              <w:spacing w:before="94" w:line="227" w:lineRule="auto"/>
              <w:ind w:left="493"/>
            </w:pPr>
            <w:r>
              <w:rPr>
                <w:spacing w:val="-1"/>
              </w:rPr>
              <w:t>++</w:t>
            </w:r>
          </w:p>
        </w:tc>
        <w:tc>
          <w:tcPr>
            <w:tcW w:w="912" w:type="dxa"/>
            <w:tcBorders>
              <w:right w:val="single" w:color="000000" w:sz="12" w:space="0"/>
            </w:tcBorders>
            <w:vAlign w:val="top"/>
          </w:tcPr>
          <w:p w14:paraId="01EB0BDD">
            <w:pPr>
              <w:pStyle w:val="6"/>
              <w:spacing w:before="94" w:line="227" w:lineRule="auto"/>
              <w:ind w:left="397"/>
            </w:pPr>
            <w:r>
              <w:t>+</w:t>
            </w:r>
          </w:p>
        </w:tc>
      </w:tr>
      <w:tr w14:paraId="21B93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tcBorders>
            <w:vAlign w:val="top"/>
          </w:tcPr>
          <w:p w14:paraId="0C507610">
            <w:pPr>
              <w:rPr>
                <w:rFonts w:ascii="Arial"/>
                <w:sz w:val="21"/>
              </w:rPr>
            </w:pPr>
          </w:p>
        </w:tc>
        <w:tc>
          <w:tcPr>
            <w:tcW w:w="3112" w:type="dxa"/>
            <w:vAlign w:val="top"/>
          </w:tcPr>
          <w:p w14:paraId="009EC04C">
            <w:pPr>
              <w:pStyle w:val="6"/>
              <w:spacing w:before="61" w:line="212" w:lineRule="auto"/>
              <w:ind w:left="148"/>
            </w:pPr>
            <w:r>
              <w:rPr>
                <w:rFonts w:ascii="宋体" w:hAnsi="宋体" w:eastAsia="宋体" w:cs="宋体"/>
              </w:rPr>
              <w:t>针簇多肢轮虫</w:t>
            </w:r>
            <w:r>
              <w:rPr>
                <w:rFonts w:ascii="宋体" w:hAnsi="宋体" w:eastAsia="宋体" w:cs="宋体"/>
                <w:spacing w:val="-58"/>
              </w:rPr>
              <w:t xml:space="preserve"> </w:t>
            </w:r>
            <w:r>
              <w:rPr>
                <w:i/>
                <w:iCs/>
              </w:rPr>
              <w:t>Polyarthra  trigla</w:t>
            </w:r>
          </w:p>
        </w:tc>
        <w:tc>
          <w:tcPr>
            <w:tcW w:w="705" w:type="dxa"/>
            <w:vAlign w:val="top"/>
          </w:tcPr>
          <w:p w14:paraId="0B9AE645">
            <w:pPr>
              <w:pStyle w:val="6"/>
              <w:spacing w:before="95" w:line="226" w:lineRule="auto"/>
              <w:ind w:left="291"/>
            </w:pPr>
            <w:r>
              <w:t>+</w:t>
            </w:r>
          </w:p>
        </w:tc>
        <w:tc>
          <w:tcPr>
            <w:tcW w:w="746" w:type="dxa"/>
            <w:vAlign w:val="top"/>
          </w:tcPr>
          <w:p w14:paraId="351E0D0A">
            <w:pPr>
              <w:pStyle w:val="6"/>
              <w:spacing w:before="95" w:line="226" w:lineRule="auto"/>
              <w:ind w:left="255"/>
            </w:pPr>
            <w:r>
              <w:rPr>
                <w:spacing w:val="-1"/>
              </w:rPr>
              <w:t>++</w:t>
            </w:r>
          </w:p>
        </w:tc>
        <w:tc>
          <w:tcPr>
            <w:tcW w:w="525" w:type="dxa"/>
            <w:vAlign w:val="top"/>
          </w:tcPr>
          <w:p w14:paraId="02C9BBA2">
            <w:pPr>
              <w:pStyle w:val="6"/>
              <w:spacing w:before="95" w:line="226" w:lineRule="auto"/>
              <w:ind w:left="205"/>
            </w:pPr>
            <w:r>
              <w:t>+</w:t>
            </w:r>
          </w:p>
        </w:tc>
        <w:tc>
          <w:tcPr>
            <w:tcW w:w="562" w:type="dxa"/>
            <w:vAlign w:val="top"/>
          </w:tcPr>
          <w:p w14:paraId="2EE26A38">
            <w:pPr>
              <w:pStyle w:val="6"/>
              <w:spacing w:before="95" w:line="226" w:lineRule="auto"/>
              <w:ind w:left="168"/>
            </w:pPr>
            <w:r>
              <w:rPr>
                <w:spacing w:val="-1"/>
              </w:rPr>
              <w:t>++</w:t>
            </w:r>
          </w:p>
        </w:tc>
        <w:tc>
          <w:tcPr>
            <w:tcW w:w="1207" w:type="dxa"/>
            <w:vAlign w:val="top"/>
          </w:tcPr>
          <w:p w14:paraId="398024C0">
            <w:pPr>
              <w:rPr>
                <w:rFonts w:ascii="Arial"/>
                <w:sz w:val="21"/>
              </w:rPr>
            </w:pPr>
          </w:p>
        </w:tc>
        <w:tc>
          <w:tcPr>
            <w:tcW w:w="912" w:type="dxa"/>
            <w:tcBorders>
              <w:right w:val="single" w:color="000000" w:sz="12" w:space="0"/>
            </w:tcBorders>
            <w:vAlign w:val="top"/>
          </w:tcPr>
          <w:p w14:paraId="346208FC">
            <w:pPr>
              <w:pStyle w:val="6"/>
              <w:spacing w:before="95" w:line="226" w:lineRule="auto"/>
              <w:ind w:left="397"/>
            </w:pPr>
            <w:r>
              <w:t>+</w:t>
            </w:r>
          </w:p>
        </w:tc>
      </w:tr>
      <w:tr w14:paraId="54F6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4" w:type="dxa"/>
            <w:vMerge w:val="restart"/>
            <w:tcBorders>
              <w:left w:val="single" w:color="000000" w:sz="12" w:space="0"/>
              <w:bottom w:val="nil"/>
            </w:tcBorders>
            <w:vAlign w:val="top"/>
          </w:tcPr>
          <w:p w14:paraId="46A13444">
            <w:pPr>
              <w:spacing w:line="338" w:lineRule="auto"/>
              <w:rPr>
                <w:rFonts w:ascii="Arial"/>
                <w:sz w:val="21"/>
              </w:rPr>
            </w:pPr>
          </w:p>
          <w:p w14:paraId="78479962">
            <w:pPr>
              <w:spacing w:line="338" w:lineRule="auto"/>
              <w:rPr>
                <w:rFonts w:ascii="Arial"/>
                <w:sz w:val="21"/>
              </w:rPr>
            </w:pPr>
          </w:p>
          <w:p w14:paraId="72CB8FB3">
            <w:pPr>
              <w:spacing w:before="68" w:line="220" w:lineRule="auto"/>
              <w:ind w:left="23"/>
              <w:rPr>
                <w:rFonts w:ascii="宋体" w:hAnsi="宋体" w:eastAsia="宋体" w:cs="宋体"/>
                <w:sz w:val="21"/>
                <w:szCs w:val="21"/>
              </w:rPr>
            </w:pPr>
            <w:r>
              <w:rPr>
                <w:rFonts w:ascii="宋体" w:hAnsi="宋体" w:eastAsia="宋体" w:cs="宋体"/>
                <w:spacing w:val="-2"/>
                <w:sz w:val="21"/>
                <w:szCs w:val="21"/>
              </w:rPr>
              <w:t>腔轮虫</w:t>
            </w:r>
          </w:p>
        </w:tc>
        <w:tc>
          <w:tcPr>
            <w:tcW w:w="3112" w:type="dxa"/>
            <w:vAlign w:val="top"/>
          </w:tcPr>
          <w:p w14:paraId="12A59FF4">
            <w:pPr>
              <w:pStyle w:val="6"/>
              <w:spacing w:before="62" w:line="212" w:lineRule="auto"/>
              <w:ind w:left="365"/>
            </w:pPr>
            <w:r>
              <w:rPr>
                <w:rFonts w:ascii="宋体" w:hAnsi="宋体" w:eastAsia="宋体" w:cs="宋体"/>
                <w:spacing w:val="7"/>
              </w:rPr>
              <w:t>柔韧腔轮虫</w:t>
            </w:r>
            <w:r>
              <w:rPr>
                <w:rFonts w:ascii="宋体" w:hAnsi="宋体" w:eastAsia="宋体" w:cs="宋体"/>
                <w:spacing w:val="-59"/>
              </w:rPr>
              <w:t xml:space="preserve"> </w:t>
            </w:r>
            <w:r>
              <w:rPr>
                <w:i/>
                <w:iCs/>
              </w:rPr>
              <w:t>Lecane</w:t>
            </w:r>
            <w:r>
              <w:rPr>
                <w:i/>
                <w:iCs/>
                <w:spacing w:val="16"/>
              </w:rPr>
              <w:t xml:space="preserve"> </w:t>
            </w:r>
            <w:r>
              <w:rPr>
                <w:i/>
                <w:iCs/>
              </w:rPr>
              <w:t>flexilis</w:t>
            </w:r>
          </w:p>
        </w:tc>
        <w:tc>
          <w:tcPr>
            <w:tcW w:w="705" w:type="dxa"/>
            <w:vAlign w:val="top"/>
          </w:tcPr>
          <w:p w14:paraId="6A71545C">
            <w:pPr>
              <w:pStyle w:val="6"/>
              <w:spacing w:before="95" w:line="227" w:lineRule="auto"/>
              <w:ind w:left="291"/>
            </w:pPr>
            <w:r>
              <w:t>+</w:t>
            </w:r>
          </w:p>
        </w:tc>
        <w:tc>
          <w:tcPr>
            <w:tcW w:w="746" w:type="dxa"/>
            <w:vAlign w:val="top"/>
          </w:tcPr>
          <w:p w14:paraId="112F3097">
            <w:pPr>
              <w:pStyle w:val="6"/>
              <w:spacing w:before="95" w:line="227" w:lineRule="auto"/>
              <w:ind w:left="255"/>
            </w:pPr>
            <w:r>
              <w:rPr>
                <w:spacing w:val="-1"/>
              </w:rPr>
              <w:t>++</w:t>
            </w:r>
          </w:p>
        </w:tc>
        <w:tc>
          <w:tcPr>
            <w:tcW w:w="525" w:type="dxa"/>
            <w:vAlign w:val="top"/>
          </w:tcPr>
          <w:p w14:paraId="5238F6DC">
            <w:pPr>
              <w:rPr>
                <w:rFonts w:ascii="Arial"/>
                <w:sz w:val="21"/>
              </w:rPr>
            </w:pPr>
          </w:p>
        </w:tc>
        <w:tc>
          <w:tcPr>
            <w:tcW w:w="562" w:type="dxa"/>
            <w:vAlign w:val="top"/>
          </w:tcPr>
          <w:p w14:paraId="2198C462">
            <w:pPr>
              <w:pStyle w:val="6"/>
              <w:spacing w:before="95" w:line="227" w:lineRule="auto"/>
              <w:ind w:left="168"/>
            </w:pPr>
            <w:r>
              <w:rPr>
                <w:spacing w:val="-1"/>
              </w:rPr>
              <w:t>++</w:t>
            </w:r>
          </w:p>
        </w:tc>
        <w:tc>
          <w:tcPr>
            <w:tcW w:w="1207" w:type="dxa"/>
            <w:vAlign w:val="top"/>
          </w:tcPr>
          <w:p w14:paraId="4BB7987E">
            <w:pPr>
              <w:pStyle w:val="6"/>
              <w:spacing w:before="95" w:line="227" w:lineRule="auto"/>
              <w:ind w:left="552"/>
            </w:pPr>
            <w:r>
              <w:t>+</w:t>
            </w:r>
          </w:p>
        </w:tc>
        <w:tc>
          <w:tcPr>
            <w:tcW w:w="912" w:type="dxa"/>
            <w:tcBorders>
              <w:right w:val="single" w:color="000000" w:sz="12" w:space="0"/>
            </w:tcBorders>
            <w:vAlign w:val="top"/>
          </w:tcPr>
          <w:p w14:paraId="411783FF">
            <w:pPr>
              <w:rPr>
                <w:rFonts w:ascii="Arial"/>
                <w:sz w:val="21"/>
              </w:rPr>
            </w:pPr>
          </w:p>
        </w:tc>
      </w:tr>
      <w:tr w14:paraId="6DA64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bottom w:val="nil"/>
            </w:tcBorders>
            <w:vAlign w:val="top"/>
          </w:tcPr>
          <w:p w14:paraId="7EABA241">
            <w:pPr>
              <w:rPr>
                <w:rFonts w:ascii="Arial"/>
                <w:sz w:val="21"/>
              </w:rPr>
            </w:pPr>
          </w:p>
        </w:tc>
        <w:tc>
          <w:tcPr>
            <w:tcW w:w="3112" w:type="dxa"/>
            <w:vAlign w:val="top"/>
          </w:tcPr>
          <w:p w14:paraId="48F8E876">
            <w:pPr>
              <w:pStyle w:val="6"/>
              <w:spacing w:before="61" w:line="212" w:lineRule="auto"/>
              <w:ind w:left="273"/>
            </w:pPr>
            <w:r>
              <w:rPr>
                <w:rFonts w:ascii="宋体" w:hAnsi="宋体" w:eastAsia="宋体" w:cs="宋体"/>
                <w:spacing w:val="-1"/>
              </w:rPr>
              <w:t>蹄形腔轮虫</w:t>
            </w:r>
            <w:r>
              <w:rPr>
                <w:rFonts w:ascii="宋体" w:hAnsi="宋体" w:eastAsia="宋体" w:cs="宋体"/>
                <w:spacing w:val="-42"/>
              </w:rPr>
              <w:t xml:space="preserve"> </w:t>
            </w:r>
            <w:r>
              <w:rPr>
                <w:i/>
                <w:iCs/>
                <w:spacing w:val="-1"/>
              </w:rPr>
              <w:t>Lecane  ungulata</w:t>
            </w:r>
          </w:p>
        </w:tc>
        <w:tc>
          <w:tcPr>
            <w:tcW w:w="705" w:type="dxa"/>
            <w:vAlign w:val="top"/>
          </w:tcPr>
          <w:p w14:paraId="16FCB92F">
            <w:pPr>
              <w:pStyle w:val="6"/>
              <w:spacing w:before="94" w:line="227" w:lineRule="auto"/>
              <w:ind w:left="291"/>
            </w:pPr>
            <w:r>
              <w:t>+</w:t>
            </w:r>
          </w:p>
        </w:tc>
        <w:tc>
          <w:tcPr>
            <w:tcW w:w="746" w:type="dxa"/>
            <w:vAlign w:val="top"/>
          </w:tcPr>
          <w:p w14:paraId="20F3343E">
            <w:pPr>
              <w:pStyle w:val="6"/>
              <w:spacing w:before="94" w:line="227" w:lineRule="auto"/>
              <w:ind w:left="255"/>
            </w:pPr>
            <w:r>
              <w:rPr>
                <w:spacing w:val="-1"/>
              </w:rPr>
              <w:t>++</w:t>
            </w:r>
          </w:p>
        </w:tc>
        <w:tc>
          <w:tcPr>
            <w:tcW w:w="525" w:type="dxa"/>
            <w:vAlign w:val="top"/>
          </w:tcPr>
          <w:p w14:paraId="4E06DA27">
            <w:pPr>
              <w:pStyle w:val="6"/>
              <w:spacing w:before="94" w:line="227" w:lineRule="auto"/>
              <w:ind w:left="205"/>
            </w:pPr>
            <w:r>
              <w:t>+</w:t>
            </w:r>
          </w:p>
        </w:tc>
        <w:tc>
          <w:tcPr>
            <w:tcW w:w="562" w:type="dxa"/>
            <w:vAlign w:val="top"/>
          </w:tcPr>
          <w:p w14:paraId="5489CCBB">
            <w:pPr>
              <w:pStyle w:val="6"/>
              <w:spacing w:before="94" w:line="227" w:lineRule="auto"/>
              <w:ind w:left="226"/>
            </w:pPr>
            <w:r>
              <w:t>+</w:t>
            </w:r>
          </w:p>
        </w:tc>
        <w:tc>
          <w:tcPr>
            <w:tcW w:w="1207" w:type="dxa"/>
            <w:vAlign w:val="top"/>
          </w:tcPr>
          <w:p w14:paraId="45F25262">
            <w:pPr>
              <w:pStyle w:val="6"/>
              <w:spacing w:before="94" w:line="227" w:lineRule="auto"/>
              <w:ind w:left="552"/>
            </w:pPr>
            <w:r>
              <w:t>+</w:t>
            </w:r>
          </w:p>
        </w:tc>
        <w:tc>
          <w:tcPr>
            <w:tcW w:w="912" w:type="dxa"/>
            <w:tcBorders>
              <w:right w:val="single" w:color="000000" w:sz="12" w:space="0"/>
            </w:tcBorders>
            <w:vAlign w:val="top"/>
          </w:tcPr>
          <w:p w14:paraId="4FB2E233">
            <w:pPr>
              <w:rPr>
                <w:rFonts w:ascii="Arial"/>
                <w:sz w:val="21"/>
              </w:rPr>
            </w:pPr>
          </w:p>
        </w:tc>
      </w:tr>
      <w:tr w14:paraId="3A7F7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continue"/>
            <w:tcBorders>
              <w:top w:val="nil"/>
              <w:left w:val="single" w:color="000000" w:sz="12" w:space="0"/>
              <w:bottom w:val="nil"/>
            </w:tcBorders>
            <w:vAlign w:val="top"/>
          </w:tcPr>
          <w:p w14:paraId="20A9C7F6">
            <w:pPr>
              <w:rPr>
                <w:rFonts w:ascii="Arial"/>
                <w:sz w:val="21"/>
              </w:rPr>
            </w:pPr>
          </w:p>
        </w:tc>
        <w:tc>
          <w:tcPr>
            <w:tcW w:w="3112" w:type="dxa"/>
            <w:vAlign w:val="top"/>
          </w:tcPr>
          <w:p w14:paraId="44FDB4C2">
            <w:pPr>
              <w:pStyle w:val="6"/>
              <w:spacing w:before="62" w:line="229" w:lineRule="auto"/>
              <w:ind w:left="462"/>
            </w:pPr>
            <w:r>
              <w:rPr>
                <w:rFonts w:ascii="宋体" w:hAnsi="宋体" w:eastAsia="宋体" w:cs="宋体"/>
                <w:spacing w:val="-1"/>
              </w:rPr>
              <w:t>月形腔轮虫</w:t>
            </w:r>
            <w:r>
              <w:rPr>
                <w:rFonts w:ascii="宋体" w:hAnsi="宋体" w:eastAsia="宋体" w:cs="宋体"/>
                <w:spacing w:val="-48"/>
              </w:rPr>
              <w:t xml:space="preserve"> </w:t>
            </w:r>
            <w:r>
              <w:rPr>
                <w:i/>
                <w:iCs/>
                <w:spacing w:val="-1"/>
              </w:rPr>
              <w:t>Lecane  luna</w:t>
            </w:r>
          </w:p>
        </w:tc>
        <w:tc>
          <w:tcPr>
            <w:tcW w:w="705" w:type="dxa"/>
            <w:vAlign w:val="top"/>
          </w:tcPr>
          <w:p w14:paraId="6E6E9589">
            <w:pPr>
              <w:pStyle w:val="6"/>
              <w:spacing w:before="94" w:line="227" w:lineRule="auto"/>
              <w:ind w:left="291"/>
            </w:pPr>
            <w:r>
              <w:t>+</w:t>
            </w:r>
          </w:p>
        </w:tc>
        <w:tc>
          <w:tcPr>
            <w:tcW w:w="746" w:type="dxa"/>
            <w:vAlign w:val="top"/>
          </w:tcPr>
          <w:p w14:paraId="51A87E2C">
            <w:pPr>
              <w:pStyle w:val="6"/>
              <w:spacing w:before="94" w:line="227" w:lineRule="auto"/>
              <w:ind w:left="255"/>
            </w:pPr>
            <w:r>
              <w:rPr>
                <w:spacing w:val="-1"/>
              </w:rPr>
              <w:t>++</w:t>
            </w:r>
          </w:p>
        </w:tc>
        <w:tc>
          <w:tcPr>
            <w:tcW w:w="525" w:type="dxa"/>
            <w:vAlign w:val="top"/>
          </w:tcPr>
          <w:p w14:paraId="5A62FBB2">
            <w:pPr>
              <w:pStyle w:val="6"/>
              <w:spacing w:before="94" w:line="227" w:lineRule="auto"/>
              <w:ind w:left="205"/>
            </w:pPr>
            <w:r>
              <w:t>+</w:t>
            </w:r>
          </w:p>
        </w:tc>
        <w:tc>
          <w:tcPr>
            <w:tcW w:w="562" w:type="dxa"/>
            <w:vAlign w:val="top"/>
          </w:tcPr>
          <w:p w14:paraId="44E1EFE5">
            <w:pPr>
              <w:rPr>
                <w:rFonts w:ascii="Arial"/>
                <w:sz w:val="21"/>
              </w:rPr>
            </w:pPr>
          </w:p>
        </w:tc>
        <w:tc>
          <w:tcPr>
            <w:tcW w:w="1207" w:type="dxa"/>
            <w:vAlign w:val="top"/>
          </w:tcPr>
          <w:p w14:paraId="022F8AFB">
            <w:pPr>
              <w:pStyle w:val="6"/>
              <w:spacing w:before="94" w:line="227" w:lineRule="auto"/>
              <w:ind w:left="552"/>
            </w:pPr>
            <w:r>
              <w:t>+</w:t>
            </w:r>
          </w:p>
        </w:tc>
        <w:tc>
          <w:tcPr>
            <w:tcW w:w="912" w:type="dxa"/>
            <w:tcBorders>
              <w:right w:val="single" w:color="000000" w:sz="12" w:space="0"/>
            </w:tcBorders>
            <w:vAlign w:val="top"/>
          </w:tcPr>
          <w:p w14:paraId="4B099B28">
            <w:pPr>
              <w:pStyle w:val="6"/>
              <w:spacing w:before="94" w:line="227" w:lineRule="auto"/>
              <w:ind w:left="397"/>
            </w:pPr>
            <w:r>
              <w:t>+</w:t>
            </w:r>
          </w:p>
        </w:tc>
      </w:tr>
      <w:tr w14:paraId="74512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bottom w:val="nil"/>
            </w:tcBorders>
            <w:vAlign w:val="top"/>
          </w:tcPr>
          <w:p w14:paraId="17F1F82C">
            <w:pPr>
              <w:rPr>
                <w:rFonts w:ascii="Arial"/>
                <w:sz w:val="21"/>
              </w:rPr>
            </w:pPr>
          </w:p>
        </w:tc>
        <w:tc>
          <w:tcPr>
            <w:tcW w:w="3112" w:type="dxa"/>
            <w:vAlign w:val="top"/>
          </w:tcPr>
          <w:p w14:paraId="6AECE4E5">
            <w:pPr>
              <w:pStyle w:val="6"/>
              <w:spacing w:before="62" w:line="213" w:lineRule="auto"/>
              <w:ind w:left="309"/>
            </w:pPr>
            <w:r>
              <w:rPr>
                <w:rFonts w:ascii="宋体" w:hAnsi="宋体" w:eastAsia="宋体" w:cs="宋体"/>
                <w:spacing w:val="1"/>
              </w:rPr>
              <w:t>凹项腔轮虫</w:t>
            </w:r>
            <w:r>
              <w:rPr>
                <w:rFonts w:ascii="宋体" w:hAnsi="宋体" w:eastAsia="宋体" w:cs="宋体"/>
                <w:spacing w:val="-56"/>
              </w:rPr>
              <w:t xml:space="preserve"> </w:t>
            </w:r>
            <w:r>
              <w:rPr>
                <w:i/>
                <w:iCs/>
              </w:rPr>
              <w:t>Lecane</w:t>
            </w:r>
            <w:r>
              <w:rPr>
                <w:i/>
                <w:iCs/>
                <w:spacing w:val="29"/>
                <w:w w:val="101"/>
              </w:rPr>
              <w:t xml:space="preserve"> </w:t>
            </w:r>
            <w:r>
              <w:rPr>
                <w:i/>
                <w:iCs/>
              </w:rPr>
              <w:t>papkans</w:t>
            </w:r>
          </w:p>
        </w:tc>
        <w:tc>
          <w:tcPr>
            <w:tcW w:w="705" w:type="dxa"/>
            <w:vAlign w:val="top"/>
          </w:tcPr>
          <w:p w14:paraId="2DF73716">
            <w:pPr>
              <w:pStyle w:val="6"/>
              <w:spacing w:before="96" w:line="224" w:lineRule="auto"/>
              <w:ind w:left="232"/>
            </w:pPr>
            <w:r>
              <w:rPr>
                <w:spacing w:val="-1"/>
              </w:rPr>
              <w:t>++</w:t>
            </w:r>
          </w:p>
        </w:tc>
        <w:tc>
          <w:tcPr>
            <w:tcW w:w="746" w:type="dxa"/>
            <w:vAlign w:val="top"/>
          </w:tcPr>
          <w:p w14:paraId="05EDA964">
            <w:pPr>
              <w:rPr>
                <w:rFonts w:ascii="Arial"/>
                <w:sz w:val="21"/>
              </w:rPr>
            </w:pPr>
          </w:p>
        </w:tc>
        <w:tc>
          <w:tcPr>
            <w:tcW w:w="525" w:type="dxa"/>
            <w:vAlign w:val="top"/>
          </w:tcPr>
          <w:p w14:paraId="20457D0A">
            <w:pPr>
              <w:pStyle w:val="6"/>
              <w:spacing w:before="96" w:line="224" w:lineRule="auto"/>
              <w:ind w:left="205"/>
            </w:pPr>
            <w:r>
              <w:t>+</w:t>
            </w:r>
          </w:p>
        </w:tc>
        <w:tc>
          <w:tcPr>
            <w:tcW w:w="562" w:type="dxa"/>
            <w:vAlign w:val="top"/>
          </w:tcPr>
          <w:p w14:paraId="56EBB0F6">
            <w:pPr>
              <w:pStyle w:val="6"/>
              <w:spacing w:before="96" w:line="224" w:lineRule="auto"/>
              <w:ind w:left="168"/>
            </w:pPr>
            <w:r>
              <w:rPr>
                <w:spacing w:val="-1"/>
              </w:rPr>
              <w:t>++</w:t>
            </w:r>
          </w:p>
        </w:tc>
        <w:tc>
          <w:tcPr>
            <w:tcW w:w="1207" w:type="dxa"/>
            <w:vAlign w:val="top"/>
          </w:tcPr>
          <w:p w14:paraId="2B63EF21">
            <w:pPr>
              <w:pStyle w:val="6"/>
              <w:spacing w:before="96" w:line="224" w:lineRule="auto"/>
              <w:ind w:left="552"/>
            </w:pPr>
            <w:r>
              <w:t>+</w:t>
            </w:r>
          </w:p>
        </w:tc>
        <w:tc>
          <w:tcPr>
            <w:tcW w:w="912" w:type="dxa"/>
            <w:tcBorders>
              <w:right w:val="single" w:color="000000" w:sz="12" w:space="0"/>
            </w:tcBorders>
            <w:vAlign w:val="top"/>
          </w:tcPr>
          <w:p w14:paraId="5924D835">
            <w:pPr>
              <w:pStyle w:val="6"/>
              <w:spacing w:before="96" w:line="224" w:lineRule="auto"/>
              <w:ind w:left="397"/>
            </w:pPr>
            <w:r>
              <w:t>+</w:t>
            </w:r>
          </w:p>
        </w:tc>
      </w:tr>
      <w:tr w14:paraId="0798E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7AC1C9A4">
            <w:pPr>
              <w:rPr>
                <w:rFonts w:ascii="Arial"/>
                <w:sz w:val="21"/>
              </w:rPr>
            </w:pPr>
          </w:p>
        </w:tc>
        <w:tc>
          <w:tcPr>
            <w:tcW w:w="3112" w:type="dxa"/>
            <w:vAlign w:val="top"/>
          </w:tcPr>
          <w:p w14:paraId="7A51770E">
            <w:pPr>
              <w:pStyle w:val="6"/>
              <w:spacing w:before="64" w:line="212" w:lineRule="auto"/>
              <w:ind w:left="212"/>
            </w:pPr>
            <w:r>
              <w:rPr>
                <w:rFonts w:ascii="宋体" w:hAnsi="宋体" w:eastAsia="宋体" w:cs="宋体"/>
                <w:spacing w:val="-1"/>
              </w:rPr>
              <w:t>道李沙腔轮虫</w:t>
            </w:r>
            <w:r>
              <w:rPr>
                <w:rFonts w:ascii="宋体" w:hAnsi="宋体" w:eastAsia="宋体" w:cs="宋体"/>
                <w:spacing w:val="-40"/>
              </w:rPr>
              <w:t xml:space="preserve"> </w:t>
            </w:r>
            <w:r>
              <w:rPr>
                <w:i/>
                <w:iCs/>
                <w:spacing w:val="-1"/>
              </w:rPr>
              <w:t>Lecane  doryssa</w:t>
            </w:r>
          </w:p>
        </w:tc>
        <w:tc>
          <w:tcPr>
            <w:tcW w:w="705" w:type="dxa"/>
            <w:vAlign w:val="top"/>
          </w:tcPr>
          <w:p w14:paraId="066C1A33">
            <w:pPr>
              <w:pStyle w:val="6"/>
              <w:spacing w:before="97" w:line="223" w:lineRule="auto"/>
              <w:ind w:left="291"/>
            </w:pPr>
            <w:r>
              <w:t>+</w:t>
            </w:r>
          </w:p>
        </w:tc>
        <w:tc>
          <w:tcPr>
            <w:tcW w:w="746" w:type="dxa"/>
            <w:vAlign w:val="top"/>
          </w:tcPr>
          <w:p w14:paraId="5E47D89D">
            <w:pPr>
              <w:pStyle w:val="6"/>
              <w:spacing w:before="97" w:line="223" w:lineRule="auto"/>
              <w:ind w:left="255"/>
            </w:pPr>
            <w:r>
              <w:rPr>
                <w:spacing w:val="-1"/>
              </w:rPr>
              <w:t>++</w:t>
            </w:r>
          </w:p>
        </w:tc>
        <w:tc>
          <w:tcPr>
            <w:tcW w:w="525" w:type="dxa"/>
            <w:vAlign w:val="top"/>
          </w:tcPr>
          <w:p w14:paraId="5F6A6C9F">
            <w:pPr>
              <w:pStyle w:val="6"/>
              <w:spacing w:before="97" w:line="223" w:lineRule="auto"/>
              <w:ind w:left="205"/>
            </w:pPr>
            <w:r>
              <w:t>+</w:t>
            </w:r>
          </w:p>
        </w:tc>
        <w:tc>
          <w:tcPr>
            <w:tcW w:w="562" w:type="dxa"/>
            <w:vAlign w:val="top"/>
          </w:tcPr>
          <w:p w14:paraId="557F498B">
            <w:pPr>
              <w:rPr>
                <w:rFonts w:ascii="Arial"/>
                <w:sz w:val="21"/>
              </w:rPr>
            </w:pPr>
          </w:p>
        </w:tc>
        <w:tc>
          <w:tcPr>
            <w:tcW w:w="1207" w:type="dxa"/>
            <w:vAlign w:val="top"/>
          </w:tcPr>
          <w:p w14:paraId="05AA4BBB">
            <w:pPr>
              <w:rPr>
                <w:rFonts w:ascii="Arial"/>
                <w:sz w:val="21"/>
              </w:rPr>
            </w:pPr>
          </w:p>
        </w:tc>
        <w:tc>
          <w:tcPr>
            <w:tcW w:w="912" w:type="dxa"/>
            <w:tcBorders>
              <w:right w:val="single" w:color="000000" w:sz="12" w:space="0"/>
            </w:tcBorders>
            <w:vAlign w:val="top"/>
          </w:tcPr>
          <w:p w14:paraId="3F8DEE85">
            <w:pPr>
              <w:pStyle w:val="6"/>
              <w:spacing w:before="97" w:line="223" w:lineRule="auto"/>
              <w:ind w:left="397"/>
            </w:pPr>
            <w:r>
              <w:t>+</w:t>
            </w:r>
          </w:p>
        </w:tc>
      </w:tr>
      <w:tr w14:paraId="3034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3816" w:type="dxa"/>
            <w:gridSpan w:val="2"/>
            <w:tcBorders>
              <w:left w:val="single" w:color="000000" w:sz="12" w:space="0"/>
            </w:tcBorders>
            <w:vAlign w:val="top"/>
          </w:tcPr>
          <w:p w14:paraId="09592136">
            <w:pPr>
              <w:pStyle w:val="6"/>
              <w:spacing w:before="65" w:line="220" w:lineRule="auto"/>
              <w:ind w:left="666"/>
            </w:pPr>
            <w:r>
              <w:rPr>
                <w:rFonts w:ascii="宋体" w:hAnsi="宋体" w:eastAsia="宋体" w:cs="宋体"/>
                <w:b/>
                <w:bCs/>
                <w:spacing w:val="-1"/>
              </w:rPr>
              <w:t>节肢动物</w:t>
            </w:r>
            <w:r>
              <w:rPr>
                <w:rFonts w:ascii="宋体" w:hAnsi="宋体" w:eastAsia="宋体" w:cs="宋体"/>
                <w:spacing w:val="-1"/>
              </w:rPr>
              <w:t xml:space="preserve"> </w:t>
            </w:r>
            <w:r>
              <w:rPr>
                <w:b/>
                <w:bCs/>
                <w:spacing w:val="-1"/>
              </w:rPr>
              <w:t>ARTHROPODA</w:t>
            </w:r>
          </w:p>
        </w:tc>
        <w:tc>
          <w:tcPr>
            <w:tcW w:w="705" w:type="dxa"/>
            <w:vAlign w:val="top"/>
          </w:tcPr>
          <w:p w14:paraId="2FFD2828">
            <w:pPr>
              <w:rPr>
                <w:rFonts w:ascii="Arial"/>
                <w:sz w:val="21"/>
              </w:rPr>
            </w:pPr>
          </w:p>
        </w:tc>
        <w:tc>
          <w:tcPr>
            <w:tcW w:w="746" w:type="dxa"/>
            <w:vAlign w:val="top"/>
          </w:tcPr>
          <w:p w14:paraId="138D53B4">
            <w:pPr>
              <w:rPr>
                <w:rFonts w:ascii="Arial"/>
                <w:sz w:val="21"/>
              </w:rPr>
            </w:pPr>
          </w:p>
        </w:tc>
        <w:tc>
          <w:tcPr>
            <w:tcW w:w="525" w:type="dxa"/>
            <w:vAlign w:val="top"/>
          </w:tcPr>
          <w:p w14:paraId="618A942B">
            <w:pPr>
              <w:rPr>
                <w:rFonts w:ascii="Arial"/>
                <w:sz w:val="21"/>
              </w:rPr>
            </w:pPr>
          </w:p>
        </w:tc>
        <w:tc>
          <w:tcPr>
            <w:tcW w:w="562" w:type="dxa"/>
            <w:vAlign w:val="top"/>
          </w:tcPr>
          <w:p w14:paraId="10B38678">
            <w:pPr>
              <w:rPr>
                <w:rFonts w:ascii="Arial"/>
                <w:sz w:val="21"/>
              </w:rPr>
            </w:pPr>
          </w:p>
        </w:tc>
        <w:tc>
          <w:tcPr>
            <w:tcW w:w="1207" w:type="dxa"/>
            <w:vAlign w:val="top"/>
          </w:tcPr>
          <w:p w14:paraId="17171F44">
            <w:pPr>
              <w:rPr>
                <w:rFonts w:ascii="Arial"/>
                <w:sz w:val="21"/>
              </w:rPr>
            </w:pPr>
          </w:p>
        </w:tc>
        <w:tc>
          <w:tcPr>
            <w:tcW w:w="912" w:type="dxa"/>
            <w:tcBorders>
              <w:right w:val="single" w:color="000000" w:sz="12" w:space="0"/>
            </w:tcBorders>
            <w:vAlign w:val="top"/>
          </w:tcPr>
          <w:p w14:paraId="23636794">
            <w:pPr>
              <w:rPr>
                <w:rFonts w:ascii="Arial"/>
                <w:sz w:val="21"/>
              </w:rPr>
            </w:pPr>
          </w:p>
        </w:tc>
      </w:tr>
      <w:tr w14:paraId="75912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3816" w:type="dxa"/>
            <w:gridSpan w:val="2"/>
            <w:tcBorders>
              <w:left w:val="single" w:color="000000" w:sz="12" w:space="0"/>
            </w:tcBorders>
            <w:vAlign w:val="top"/>
          </w:tcPr>
          <w:p w14:paraId="21359C88">
            <w:pPr>
              <w:pStyle w:val="6"/>
              <w:spacing w:before="64" w:line="219" w:lineRule="auto"/>
              <w:ind w:left="1098"/>
            </w:pPr>
            <w:r>
              <w:rPr>
                <w:rFonts w:ascii="宋体" w:hAnsi="宋体" w:eastAsia="宋体" w:cs="宋体"/>
                <w:b/>
                <w:bCs/>
                <w:spacing w:val="-2"/>
              </w:rPr>
              <w:t>枝角类</w:t>
            </w:r>
            <w:r>
              <w:rPr>
                <w:rFonts w:ascii="宋体" w:hAnsi="宋体" w:eastAsia="宋体" w:cs="宋体"/>
                <w:spacing w:val="-43"/>
              </w:rPr>
              <w:t xml:space="preserve"> </w:t>
            </w:r>
            <w:r>
              <w:rPr>
                <w:b/>
                <w:bCs/>
                <w:spacing w:val="-2"/>
              </w:rPr>
              <w:t>Cladocera</w:t>
            </w:r>
          </w:p>
        </w:tc>
        <w:tc>
          <w:tcPr>
            <w:tcW w:w="705" w:type="dxa"/>
            <w:vAlign w:val="top"/>
          </w:tcPr>
          <w:p w14:paraId="14B0B161">
            <w:pPr>
              <w:rPr>
                <w:rFonts w:ascii="Arial"/>
                <w:sz w:val="21"/>
              </w:rPr>
            </w:pPr>
          </w:p>
        </w:tc>
        <w:tc>
          <w:tcPr>
            <w:tcW w:w="746" w:type="dxa"/>
            <w:vAlign w:val="top"/>
          </w:tcPr>
          <w:p w14:paraId="4512F22D">
            <w:pPr>
              <w:rPr>
                <w:rFonts w:ascii="Arial"/>
                <w:sz w:val="21"/>
              </w:rPr>
            </w:pPr>
          </w:p>
        </w:tc>
        <w:tc>
          <w:tcPr>
            <w:tcW w:w="525" w:type="dxa"/>
            <w:vAlign w:val="top"/>
          </w:tcPr>
          <w:p w14:paraId="25408D00">
            <w:pPr>
              <w:rPr>
                <w:rFonts w:ascii="Arial"/>
                <w:sz w:val="21"/>
              </w:rPr>
            </w:pPr>
          </w:p>
        </w:tc>
        <w:tc>
          <w:tcPr>
            <w:tcW w:w="562" w:type="dxa"/>
            <w:vAlign w:val="top"/>
          </w:tcPr>
          <w:p w14:paraId="001A7E54">
            <w:pPr>
              <w:rPr>
                <w:rFonts w:ascii="Arial"/>
                <w:sz w:val="21"/>
              </w:rPr>
            </w:pPr>
          </w:p>
        </w:tc>
        <w:tc>
          <w:tcPr>
            <w:tcW w:w="1207" w:type="dxa"/>
            <w:vAlign w:val="top"/>
          </w:tcPr>
          <w:p w14:paraId="208FF213">
            <w:pPr>
              <w:rPr>
                <w:rFonts w:ascii="Arial"/>
                <w:sz w:val="21"/>
              </w:rPr>
            </w:pPr>
          </w:p>
        </w:tc>
        <w:tc>
          <w:tcPr>
            <w:tcW w:w="912" w:type="dxa"/>
            <w:tcBorders>
              <w:right w:val="single" w:color="000000" w:sz="12" w:space="0"/>
            </w:tcBorders>
            <w:vAlign w:val="top"/>
          </w:tcPr>
          <w:p w14:paraId="13414604">
            <w:pPr>
              <w:rPr>
                <w:rFonts w:ascii="Arial"/>
                <w:sz w:val="21"/>
              </w:rPr>
            </w:pPr>
          </w:p>
        </w:tc>
      </w:tr>
      <w:tr w14:paraId="29ACB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restart"/>
            <w:tcBorders>
              <w:left w:val="single" w:color="000000" w:sz="12" w:space="0"/>
              <w:bottom w:val="nil"/>
            </w:tcBorders>
            <w:vAlign w:val="top"/>
          </w:tcPr>
          <w:p w14:paraId="4230F367">
            <w:pPr>
              <w:spacing w:line="408" w:lineRule="auto"/>
              <w:rPr>
                <w:rFonts w:ascii="Arial"/>
                <w:sz w:val="21"/>
              </w:rPr>
            </w:pPr>
          </w:p>
          <w:p w14:paraId="64B1FF8E">
            <w:pPr>
              <w:spacing w:before="68" w:line="220" w:lineRule="auto"/>
              <w:ind w:left="25"/>
              <w:rPr>
                <w:rFonts w:ascii="宋体" w:hAnsi="宋体" w:eastAsia="宋体" w:cs="宋体"/>
                <w:sz w:val="21"/>
                <w:szCs w:val="21"/>
              </w:rPr>
            </w:pPr>
            <w:r>
              <w:rPr>
                <w:rFonts w:ascii="宋体" w:hAnsi="宋体" w:eastAsia="宋体" w:cs="宋体"/>
                <w:spacing w:val="-3"/>
                <w:sz w:val="21"/>
                <w:szCs w:val="21"/>
              </w:rPr>
              <w:t>秀体溞</w:t>
            </w:r>
          </w:p>
        </w:tc>
        <w:tc>
          <w:tcPr>
            <w:tcW w:w="3112" w:type="dxa"/>
            <w:vAlign w:val="top"/>
          </w:tcPr>
          <w:p w14:paraId="591D3050">
            <w:pPr>
              <w:spacing w:before="66" w:line="220" w:lineRule="auto"/>
              <w:ind w:left="1029"/>
              <w:rPr>
                <w:rFonts w:ascii="宋体" w:hAnsi="宋体" w:eastAsia="宋体" w:cs="宋体"/>
                <w:sz w:val="21"/>
                <w:szCs w:val="21"/>
              </w:rPr>
            </w:pPr>
            <w:r>
              <w:rPr>
                <w:rFonts w:ascii="宋体" w:hAnsi="宋体" w:eastAsia="宋体" w:cs="宋体"/>
                <w:spacing w:val="-2"/>
                <w:sz w:val="21"/>
                <w:szCs w:val="21"/>
              </w:rPr>
              <w:t>短尾秀体溞</w:t>
            </w:r>
          </w:p>
          <w:p w14:paraId="0C6CDBC0">
            <w:pPr>
              <w:pStyle w:val="6"/>
              <w:spacing w:before="39" w:line="190" w:lineRule="auto"/>
              <w:ind w:left="329"/>
            </w:pPr>
            <w:r>
              <w:rPr>
                <w:i/>
                <w:iCs/>
              </w:rPr>
              <w:t>Diaphanosoma</w:t>
            </w:r>
            <w:r>
              <w:rPr>
                <w:i/>
                <w:iCs/>
                <w:spacing w:val="2"/>
              </w:rPr>
              <w:t xml:space="preserve">  </w:t>
            </w:r>
            <w:r>
              <w:rPr>
                <w:i/>
                <w:iCs/>
              </w:rPr>
              <w:t>brachyurum</w:t>
            </w:r>
          </w:p>
        </w:tc>
        <w:tc>
          <w:tcPr>
            <w:tcW w:w="705" w:type="dxa"/>
            <w:vAlign w:val="top"/>
          </w:tcPr>
          <w:p w14:paraId="60E16A73">
            <w:pPr>
              <w:pStyle w:val="6"/>
              <w:spacing w:before="221" w:line="251" w:lineRule="exact"/>
              <w:ind w:left="291"/>
            </w:pPr>
            <w:r>
              <w:rPr>
                <w:position w:val="1"/>
              </w:rPr>
              <w:t>+</w:t>
            </w:r>
          </w:p>
        </w:tc>
        <w:tc>
          <w:tcPr>
            <w:tcW w:w="746" w:type="dxa"/>
            <w:vAlign w:val="top"/>
          </w:tcPr>
          <w:p w14:paraId="2BEC3231">
            <w:pPr>
              <w:pStyle w:val="6"/>
              <w:spacing w:before="221" w:line="251" w:lineRule="exact"/>
              <w:ind w:left="255"/>
            </w:pPr>
            <w:r>
              <w:rPr>
                <w:spacing w:val="-1"/>
                <w:position w:val="1"/>
              </w:rPr>
              <w:t>++</w:t>
            </w:r>
          </w:p>
        </w:tc>
        <w:tc>
          <w:tcPr>
            <w:tcW w:w="525" w:type="dxa"/>
            <w:vAlign w:val="top"/>
          </w:tcPr>
          <w:p w14:paraId="490C66FA">
            <w:pPr>
              <w:pStyle w:val="6"/>
              <w:spacing w:before="221" w:line="251" w:lineRule="exact"/>
              <w:ind w:left="205"/>
            </w:pPr>
            <w:r>
              <w:rPr>
                <w:position w:val="1"/>
              </w:rPr>
              <w:t>+</w:t>
            </w:r>
          </w:p>
        </w:tc>
        <w:tc>
          <w:tcPr>
            <w:tcW w:w="562" w:type="dxa"/>
            <w:vAlign w:val="top"/>
          </w:tcPr>
          <w:p w14:paraId="3D0062EC">
            <w:pPr>
              <w:pStyle w:val="6"/>
              <w:spacing w:before="221" w:line="251" w:lineRule="exact"/>
              <w:ind w:left="108"/>
            </w:pPr>
            <w:r>
              <w:rPr>
                <w:spacing w:val="-1"/>
                <w:position w:val="1"/>
              </w:rPr>
              <w:t>+++</w:t>
            </w:r>
          </w:p>
        </w:tc>
        <w:tc>
          <w:tcPr>
            <w:tcW w:w="1207" w:type="dxa"/>
            <w:vAlign w:val="top"/>
          </w:tcPr>
          <w:p w14:paraId="2F61279D">
            <w:pPr>
              <w:pStyle w:val="6"/>
              <w:spacing w:before="221" w:line="251" w:lineRule="exact"/>
              <w:ind w:left="552"/>
            </w:pPr>
            <w:r>
              <w:rPr>
                <w:position w:val="1"/>
              </w:rPr>
              <w:t>+</w:t>
            </w:r>
          </w:p>
        </w:tc>
        <w:tc>
          <w:tcPr>
            <w:tcW w:w="912" w:type="dxa"/>
            <w:tcBorders>
              <w:right w:val="single" w:color="000000" w:sz="12" w:space="0"/>
            </w:tcBorders>
            <w:vAlign w:val="top"/>
          </w:tcPr>
          <w:p w14:paraId="684861E1">
            <w:pPr>
              <w:rPr>
                <w:rFonts w:ascii="Arial"/>
                <w:sz w:val="21"/>
              </w:rPr>
            </w:pPr>
          </w:p>
        </w:tc>
      </w:tr>
      <w:tr w14:paraId="3760D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continue"/>
            <w:tcBorders>
              <w:top w:val="nil"/>
              <w:left w:val="single" w:color="000000" w:sz="12" w:space="0"/>
            </w:tcBorders>
            <w:vAlign w:val="top"/>
          </w:tcPr>
          <w:p w14:paraId="2BFD8D7B">
            <w:pPr>
              <w:rPr>
                <w:rFonts w:ascii="Arial"/>
                <w:sz w:val="21"/>
              </w:rPr>
            </w:pPr>
          </w:p>
        </w:tc>
        <w:tc>
          <w:tcPr>
            <w:tcW w:w="3112" w:type="dxa"/>
            <w:vAlign w:val="top"/>
          </w:tcPr>
          <w:p w14:paraId="1524C0AC">
            <w:pPr>
              <w:spacing w:before="67" w:line="220" w:lineRule="auto"/>
              <w:ind w:left="1027"/>
              <w:rPr>
                <w:rFonts w:ascii="宋体" w:hAnsi="宋体" w:eastAsia="宋体" w:cs="宋体"/>
                <w:sz w:val="21"/>
                <w:szCs w:val="21"/>
              </w:rPr>
            </w:pPr>
            <w:r>
              <w:rPr>
                <w:rFonts w:ascii="宋体" w:hAnsi="宋体" w:eastAsia="宋体" w:cs="宋体"/>
                <w:spacing w:val="-2"/>
                <w:sz w:val="21"/>
                <w:szCs w:val="21"/>
              </w:rPr>
              <w:t>长肢秀体溞</w:t>
            </w:r>
          </w:p>
          <w:p w14:paraId="2CFEC1EE">
            <w:pPr>
              <w:pStyle w:val="6"/>
              <w:spacing w:before="40" w:line="190" w:lineRule="auto"/>
              <w:ind w:left="353"/>
            </w:pPr>
            <w:r>
              <w:rPr>
                <w:i/>
                <w:iCs/>
              </w:rPr>
              <w:t>Diaphanosoma</w:t>
            </w:r>
            <w:r>
              <w:rPr>
                <w:i/>
                <w:iCs/>
                <w:spacing w:val="4"/>
              </w:rPr>
              <w:t xml:space="preserve">  </w:t>
            </w:r>
            <w:r>
              <w:rPr>
                <w:i/>
                <w:iCs/>
              </w:rPr>
              <w:t>lruchtenber</w:t>
            </w:r>
          </w:p>
        </w:tc>
        <w:tc>
          <w:tcPr>
            <w:tcW w:w="705" w:type="dxa"/>
            <w:vAlign w:val="top"/>
          </w:tcPr>
          <w:p w14:paraId="5E3A2A02">
            <w:pPr>
              <w:pStyle w:val="6"/>
              <w:spacing w:before="221" w:line="251" w:lineRule="exact"/>
              <w:ind w:left="232"/>
            </w:pPr>
            <w:r>
              <w:rPr>
                <w:spacing w:val="-1"/>
                <w:position w:val="1"/>
              </w:rPr>
              <w:t>++</w:t>
            </w:r>
          </w:p>
        </w:tc>
        <w:tc>
          <w:tcPr>
            <w:tcW w:w="746" w:type="dxa"/>
            <w:vAlign w:val="top"/>
          </w:tcPr>
          <w:p w14:paraId="563747B9">
            <w:pPr>
              <w:pStyle w:val="6"/>
              <w:spacing w:before="221" w:line="251" w:lineRule="exact"/>
              <w:ind w:left="314"/>
            </w:pPr>
            <w:r>
              <w:rPr>
                <w:position w:val="1"/>
              </w:rPr>
              <w:t>+</w:t>
            </w:r>
          </w:p>
        </w:tc>
        <w:tc>
          <w:tcPr>
            <w:tcW w:w="525" w:type="dxa"/>
            <w:vAlign w:val="top"/>
          </w:tcPr>
          <w:p w14:paraId="433A3109">
            <w:pPr>
              <w:rPr>
                <w:rFonts w:ascii="Arial"/>
                <w:sz w:val="21"/>
              </w:rPr>
            </w:pPr>
          </w:p>
        </w:tc>
        <w:tc>
          <w:tcPr>
            <w:tcW w:w="562" w:type="dxa"/>
            <w:vAlign w:val="top"/>
          </w:tcPr>
          <w:p w14:paraId="59F550E8">
            <w:pPr>
              <w:pStyle w:val="6"/>
              <w:spacing w:before="221" w:line="251" w:lineRule="exact"/>
              <w:ind w:left="226"/>
            </w:pPr>
            <w:r>
              <w:rPr>
                <w:position w:val="1"/>
              </w:rPr>
              <w:t>+</w:t>
            </w:r>
          </w:p>
        </w:tc>
        <w:tc>
          <w:tcPr>
            <w:tcW w:w="1207" w:type="dxa"/>
            <w:vAlign w:val="top"/>
          </w:tcPr>
          <w:p w14:paraId="06DF84E3">
            <w:pPr>
              <w:pStyle w:val="6"/>
              <w:spacing w:before="221" w:line="251" w:lineRule="exact"/>
              <w:ind w:left="552"/>
            </w:pPr>
            <w:r>
              <w:rPr>
                <w:position w:val="1"/>
              </w:rPr>
              <w:t>+</w:t>
            </w:r>
          </w:p>
        </w:tc>
        <w:tc>
          <w:tcPr>
            <w:tcW w:w="912" w:type="dxa"/>
            <w:tcBorders>
              <w:right w:val="single" w:color="000000" w:sz="12" w:space="0"/>
            </w:tcBorders>
            <w:vAlign w:val="top"/>
          </w:tcPr>
          <w:p w14:paraId="714E15EE">
            <w:pPr>
              <w:rPr>
                <w:rFonts w:ascii="Arial"/>
                <w:sz w:val="21"/>
              </w:rPr>
            </w:pPr>
          </w:p>
        </w:tc>
      </w:tr>
      <w:tr w14:paraId="0ACA2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3A2B665B">
            <w:pPr>
              <w:spacing w:before="303" w:line="220" w:lineRule="auto"/>
              <w:ind w:left="236"/>
              <w:rPr>
                <w:rFonts w:ascii="宋体" w:hAnsi="宋体" w:eastAsia="宋体" w:cs="宋体"/>
                <w:sz w:val="21"/>
                <w:szCs w:val="21"/>
              </w:rPr>
            </w:pPr>
            <w:r>
              <w:rPr>
                <w:rFonts w:ascii="宋体" w:hAnsi="宋体" w:eastAsia="宋体" w:cs="宋体"/>
                <w:sz w:val="21"/>
                <w:szCs w:val="21"/>
              </w:rPr>
              <w:t>溞</w:t>
            </w:r>
          </w:p>
        </w:tc>
        <w:tc>
          <w:tcPr>
            <w:tcW w:w="3112" w:type="dxa"/>
            <w:vAlign w:val="top"/>
          </w:tcPr>
          <w:p w14:paraId="2B779102">
            <w:pPr>
              <w:pStyle w:val="6"/>
              <w:spacing w:before="69" w:line="212" w:lineRule="auto"/>
              <w:ind w:left="473"/>
            </w:pPr>
            <w:r>
              <w:rPr>
                <w:rFonts w:ascii="宋体" w:hAnsi="宋体" w:eastAsia="宋体" w:cs="宋体"/>
                <w:spacing w:val="-1"/>
              </w:rPr>
              <w:t>透明溞</w:t>
            </w:r>
            <w:r>
              <w:rPr>
                <w:rFonts w:ascii="宋体" w:hAnsi="宋体" w:eastAsia="宋体" w:cs="宋体"/>
                <w:spacing w:val="-41"/>
              </w:rPr>
              <w:t xml:space="preserve"> </w:t>
            </w:r>
            <w:r>
              <w:rPr>
                <w:i/>
                <w:iCs/>
                <w:spacing w:val="-1"/>
              </w:rPr>
              <w:t>Daphnia  hyalina</w:t>
            </w:r>
          </w:p>
        </w:tc>
        <w:tc>
          <w:tcPr>
            <w:tcW w:w="705" w:type="dxa"/>
            <w:vAlign w:val="top"/>
          </w:tcPr>
          <w:p w14:paraId="027C08CF">
            <w:pPr>
              <w:pStyle w:val="6"/>
              <w:spacing w:before="102" w:line="219" w:lineRule="auto"/>
              <w:ind w:left="232"/>
            </w:pPr>
            <w:r>
              <w:rPr>
                <w:spacing w:val="-1"/>
              </w:rPr>
              <w:t>++</w:t>
            </w:r>
          </w:p>
        </w:tc>
        <w:tc>
          <w:tcPr>
            <w:tcW w:w="746" w:type="dxa"/>
            <w:vAlign w:val="top"/>
          </w:tcPr>
          <w:p w14:paraId="10B09C8F">
            <w:pPr>
              <w:pStyle w:val="6"/>
              <w:spacing w:before="102" w:line="219" w:lineRule="auto"/>
              <w:ind w:left="314"/>
            </w:pPr>
            <w:r>
              <w:t>+</w:t>
            </w:r>
          </w:p>
        </w:tc>
        <w:tc>
          <w:tcPr>
            <w:tcW w:w="525" w:type="dxa"/>
            <w:vAlign w:val="top"/>
          </w:tcPr>
          <w:p w14:paraId="1F009D7F">
            <w:pPr>
              <w:pStyle w:val="6"/>
              <w:spacing w:before="102" w:line="219" w:lineRule="auto"/>
              <w:ind w:left="205"/>
            </w:pPr>
            <w:r>
              <w:t>+</w:t>
            </w:r>
          </w:p>
        </w:tc>
        <w:tc>
          <w:tcPr>
            <w:tcW w:w="562" w:type="dxa"/>
            <w:vAlign w:val="top"/>
          </w:tcPr>
          <w:p w14:paraId="77A504E0">
            <w:pPr>
              <w:rPr>
                <w:rFonts w:ascii="Arial"/>
                <w:sz w:val="21"/>
              </w:rPr>
            </w:pPr>
          </w:p>
        </w:tc>
        <w:tc>
          <w:tcPr>
            <w:tcW w:w="1207" w:type="dxa"/>
            <w:vAlign w:val="top"/>
          </w:tcPr>
          <w:p w14:paraId="6242A6B4">
            <w:pPr>
              <w:pStyle w:val="6"/>
              <w:spacing w:before="102" w:line="219" w:lineRule="auto"/>
              <w:ind w:left="552"/>
            </w:pPr>
            <w:r>
              <w:t>+</w:t>
            </w:r>
          </w:p>
        </w:tc>
        <w:tc>
          <w:tcPr>
            <w:tcW w:w="912" w:type="dxa"/>
            <w:tcBorders>
              <w:right w:val="single" w:color="000000" w:sz="12" w:space="0"/>
            </w:tcBorders>
            <w:vAlign w:val="top"/>
          </w:tcPr>
          <w:p w14:paraId="4E6AE985">
            <w:pPr>
              <w:pStyle w:val="6"/>
              <w:spacing w:before="102" w:line="219" w:lineRule="auto"/>
              <w:ind w:left="397"/>
            </w:pPr>
            <w:r>
              <w:t>+</w:t>
            </w:r>
          </w:p>
        </w:tc>
      </w:tr>
      <w:tr w14:paraId="025E2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704" w:type="dxa"/>
            <w:vMerge w:val="continue"/>
            <w:tcBorders>
              <w:top w:val="nil"/>
              <w:left w:val="single" w:color="000000" w:sz="12" w:space="0"/>
            </w:tcBorders>
            <w:vAlign w:val="top"/>
          </w:tcPr>
          <w:p w14:paraId="5820C891">
            <w:pPr>
              <w:rPr>
                <w:rFonts w:ascii="Arial"/>
                <w:sz w:val="21"/>
              </w:rPr>
            </w:pPr>
          </w:p>
        </w:tc>
        <w:tc>
          <w:tcPr>
            <w:tcW w:w="3112" w:type="dxa"/>
            <w:vAlign w:val="top"/>
          </w:tcPr>
          <w:p w14:paraId="660FB4C9">
            <w:pPr>
              <w:pStyle w:val="6"/>
              <w:spacing w:before="131" w:line="213" w:lineRule="auto"/>
              <w:ind w:left="564"/>
            </w:pPr>
            <w:r>
              <w:rPr>
                <w:rFonts w:ascii="宋体" w:hAnsi="宋体" w:eastAsia="宋体" w:cs="宋体"/>
                <w:spacing w:val="6"/>
              </w:rPr>
              <w:t>蚤状溞</w:t>
            </w:r>
            <w:r>
              <w:rPr>
                <w:rFonts w:ascii="宋体" w:hAnsi="宋体" w:eastAsia="宋体" w:cs="宋体"/>
                <w:spacing w:val="-57"/>
              </w:rPr>
              <w:t xml:space="preserve"> </w:t>
            </w:r>
            <w:r>
              <w:rPr>
                <w:i/>
                <w:iCs/>
              </w:rPr>
              <w:t>Daphnia</w:t>
            </w:r>
            <w:r>
              <w:rPr>
                <w:i/>
                <w:iCs/>
                <w:spacing w:val="30"/>
              </w:rPr>
              <w:t xml:space="preserve"> </w:t>
            </w:r>
            <w:r>
              <w:rPr>
                <w:i/>
                <w:iCs/>
              </w:rPr>
              <w:t>pulex</w:t>
            </w:r>
          </w:p>
        </w:tc>
        <w:tc>
          <w:tcPr>
            <w:tcW w:w="705" w:type="dxa"/>
            <w:vAlign w:val="top"/>
          </w:tcPr>
          <w:p w14:paraId="5FA55622">
            <w:pPr>
              <w:pStyle w:val="6"/>
              <w:spacing w:before="165" w:line="251" w:lineRule="exact"/>
              <w:ind w:left="291"/>
            </w:pPr>
            <w:r>
              <w:rPr>
                <w:position w:val="1"/>
              </w:rPr>
              <w:t>+</w:t>
            </w:r>
          </w:p>
        </w:tc>
        <w:tc>
          <w:tcPr>
            <w:tcW w:w="746" w:type="dxa"/>
            <w:vAlign w:val="top"/>
          </w:tcPr>
          <w:p w14:paraId="12F92642">
            <w:pPr>
              <w:rPr>
                <w:rFonts w:ascii="Arial"/>
                <w:sz w:val="21"/>
              </w:rPr>
            </w:pPr>
          </w:p>
        </w:tc>
        <w:tc>
          <w:tcPr>
            <w:tcW w:w="525" w:type="dxa"/>
            <w:vAlign w:val="top"/>
          </w:tcPr>
          <w:p w14:paraId="7DCF5706">
            <w:pPr>
              <w:pStyle w:val="6"/>
              <w:spacing w:before="165" w:line="251" w:lineRule="exact"/>
              <w:ind w:left="147"/>
            </w:pPr>
            <w:r>
              <w:rPr>
                <w:spacing w:val="-1"/>
                <w:position w:val="1"/>
              </w:rPr>
              <w:t>++</w:t>
            </w:r>
          </w:p>
        </w:tc>
        <w:tc>
          <w:tcPr>
            <w:tcW w:w="562" w:type="dxa"/>
            <w:vAlign w:val="top"/>
          </w:tcPr>
          <w:p w14:paraId="02B1076F">
            <w:pPr>
              <w:pStyle w:val="6"/>
              <w:spacing w:before="165" w:line="251" w:lineRule="exact"/>
              <w:ind w:left="226"/>
            </w:pPr>
            <w:r>
              <w:rPr>
                <w:position w:val="1"/>
              </w:rPr>
              <w:t>+</w:t>
            </w:r>
          </w:p>
        </w:tc>
        <w:tc>
          <w:tcPr>
            <w:tcW w:w="1207" w:type="dxa"/>
            <w:vAlign w:val="top"/>
          </w:tcPr>
          <w:p w14:paraId="49DB81A6">
            <w:pPr>
              <w:rPr>
                <w:rFonts w:ascii="Arial"/>
                <w:sz w:val="21"/>
              </w:rPr>
            </w:pPr>
          </w:p>
        </w:tc>
        <w:tc>
          <w:tcPr>
            <w:tcW w:w="912" w:type="dxa"/>
            <w:tcBorders>
              <w:right w:val="single" w:color="000000" w:sz="12" w:space="0"/>
            </w:tcBorders>
            <w:vAlign w:val="top"/>
          </w:tcPr>
          <w:p w14:paraId="058B72AE">
            <w:pPr>
              <w:pStyle w:val="6"/>
              <w:spacing w:before="165" w:line="251" w:lineRule="exact"/>
              <w:ind w:left="397"/>
            </w:pPr>
            <w:r>
              <w:rPr>
                <w:position w:val="1"/>
              </w:rPr>
              <w:t>+</w:t>
            </w:r>
          </w:p>
        </w:tc>
      </w:tr>
      <w:tr w14:paraId="3E1E2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4" w:type="dxa"/>
            <w:vMerge w:val="restart"/>
            <w:tcBorders>
              <w:left w:val="single" w:color="000000" w:sz="12" w:space="0"/>
              <w:bottom w:val="nil"/>
            </w:tcBorders>
            <w:vAlign w:val="top"/>
          </w:tcPr>
          <w:p w14:paraId="01D3F5C6">
            <w:pPr>
              <w:spacing w:line="413" w:lineRule="auto"/>
              <w:rPr>
                <w:rFonts w:ascii="Arial"/>
                <w:sz w:val="21"/>
              </w:rPr>
            </w:pPr>
          </w:p>
          <w:p w14:paraId="428F9C9B">
            <w:pPr>
              <w:spacing w:before="68" w:line="220" w:lineRule="auto"/>
              <w:ind w:left="40"/>
              <w:rPr>
                <w:rFonts w:ascii="宋体" w:hAnsi="宋体" w:eastAsia="宋体" w:cs="宋体"/>
                <w:sz w:val="21"/>
                <w:szCs w:val="21"/>
              </w:rPr>
            </w:pPr>
            <w:r>
              <w:rPr>
                <w:rFonts w:ascii="宋体" w:hAnsi="宋体" w:eastAsia="宋体" w:cs="宋体"/>
                <w:spacing w:val="-6"/>
                <w:sz w:val="21"/>
                <w:szCs w:val="21"/>
              </w:rPr>
              <w:t>网纹溞</w:t>
            </w:r>
          </w:p>
        </w:tc>
        <w:tc>
          <w:tcPr>
            <w:tcW w:w="3112" w:type="dxa"/>
            <w:vAlign w:val="top"/>
          </w:tcPr>
          <w:p w14:paraId="7BAEB243">
            <w:pPr>
              <w:spacing w:before="70" w:line="220" w:lineRule="auto"/>
              <w:ind w:left="1026"/>
              <w:rPr>
                <w:rFonts w:ascii="宋体" w:hAnsi="宋体" w:eastAsia="宋体" w:cs="宋体"/>
                <w:sz w:val="21"/>
                <w:szCs w:val="21"/>
              </w:rPr>
            </w:pPr>
            <w:r>
              <w:rPr>
                <w:rFonts w:ascii="宋体" w:hAnsi="宋体" w:eastAsia="宋体" w:cs="宋体"/>
                <w:spacing w:val="-2"/>
                <w:sz w:val="21"/>
                <w:szCs w:val="21"/>
              </w:rPr>
              <w:t>棘爪网纹溞</w:t>
            </w:r>
          </w:p>
          <w:p w14:paraId="612E188A">
            <w:pPr>
              <w:pStyle w:val="6"/>
              <w:spacing w:before="40" w:line="190" w:lineRule="auto"/>
              <w:ind w:left="512"/>
            </w:pPr>
            <w:r>
              <w:rPr>
                <w:i/>
                <w:iCs/>
                <w:spacing w:val="-1"/>
              </w:rPr>
              <w:t>Ceriodaphnia  reticulata</w:t>
            </w:r>
          </w:p>
        </w:tc>
        <w:tc>
          <w:tcPr>
            <w:tcW w:w="705" w:type="dxa"/>
            <w:vAlign w:val="top"/>
          </w:tcPr>
          <w:p w14:paraId="46A448B1">
            <w:pPr>
              <w:pStyle w:val="6"/>
              <w:spacing w:before="224" w:line="251" w:lineRule="exact"/>
              <w:ind w:left="232"/>
            </w:pPr>
            <w:r>
              <w:rPr>
                <w:spacing w:val="-1"/>
                <w:position w:val="1"/>
              </w:rPr>
              <w:t>++</w:t>
            </w:r>
          </w:p>
        </w:tc>
        <w:tc>
          <w:tcPr>
            <w:tcW w:w="746" w:type="dxa"/>
            <w:vAlign w:val="top"/>
          </w:tcPr>
          <w:p w14:paraId="205508EE">
            <w:pPr>
              <w:pStyle w:val="6"/>
              <w:spacing w:before="224" w:line="251" w:lineRule="exact"/>
              <w:ind w:left="314"/>
            </w:pPr>
            <w:r>
              <w:rPr>
                <w:position w:val="1"/>
              </w:rPr>
              <w:t>+</w:t>
            </w:r>
          </w:p>
        </w:tc>
        <w:tc>
          <w:tcPr>
            <w:tcW w:w="525" w:type="dxa"/>
            <w:vAlign w:val="top"/>
          </w:tcPr>
          <w:p w14:paraId="2B97385C">
            <w:pPr>
              <w:pStyle w:val="6"/>
              <w:spacing w:before="224" w:line="251" w:lineRule="exact"/>
              <w:ind w:left="147"/>
            </w:pPr>
            <w:r>
              <w:rPr>
                <w:spacing w:val="-1"/>
                <w:position w:val="1"/>
              </w:rPr>
              <w:t>++</w:t>
            </w:r>
          </w:p>
        </w:tc>
        <w:tc>
          <w:tcPr>
            <w:tcW w:w="562" w:type="dxa"/>
            <w:vAlign w:val="top"/>
          </w:tcPr>
          <w:p w14:paraId="10BA393A">
            <w:pPr>
              <w:pStyle w:val="6"/>
              <w:spacing w:before="224" w:line="251" w:lineRule="exact"/>
              <w:ind w:left="226"/>
            </w:pPr>
            <w:r>
              <w:rPr>
                <w:position w:val="1"/>
              </w:rPr>
              <w:t>+</w:t>
            </w:r>
          </w:p>
        </w:tc>
        <w:tc>
          <w:tcPr>
            <w:tcW w:w="1207" w:type="dxa"/>
            <w:vAlign w:val="top"/>
          </w:tcPr>
          <w:p w14:paraId="40DCD832">
            <w:pPr>
              <w:rPr>
                <w:rFonts w:ascii="Arial"/>
                <w:sz w:val="21"/>
              </w:rPr>
            </w:pPr>
          </w:p>
        </w:tc>
        <w:tc>
          <w:tcPr>
            <w:tcW w:w="912" w:type="dxa"/>
            <w:tcBorders>
              <w:right w:val="single" w:color="000000" w:sz="12" w:space="0"/>
            </w:tcBorders>
            <w:vAlign w:val="top"/>
          </w:tcPr>
          <w:p w14:paraId="57424ABA">
            <w:pPr>
              <w:pStyle w:val="6"/>
              <w:spacing w:before="224" w:line="251" w:lineRule="exact"/>
              <w:ind w:left="397"/>
            </w:pPr>
            <w:r>
              <w:rPr>
                <w:position w:val="1"/>
              </w:rPr>
              <w:t>+</w:t>
            </w:r>
          </w:p>
        </w:tc>
      </w:tr>
      <w:tr w14:paraId="03CC4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4" w:type="dxa"/>
            <w:vMerge w:val="continue"/>
            <w:tcBorders>
              <w:top w:val="nil"/>
              <w:left w:val="single" w:color="000000" w:sz="12" w:space="0"/>
            </w:tcBorders>
            <w:vAlign w:val="top"/>
          </w:tcPr>
          <w:p w14:paraId="6D587810">
            <w:pPr>
              <w:rPr>
                <w:rFonts w:ascii="Arial"/>
                <w:sz w:val="21"/>
              </w:rPr>
            </w:pPr>
          </w:p>
        </w:tc>
        <w:tc>
          <w:tcPr>
            <w:tcW w:w="3112" w:type="dxa"/>
            <w:vAlign w:val="top"/>
          </w:tcPr>
          <w:p w14:paraId="7A7B11D4">
            <w:pPr>
              <w:spacing w:before="72" w:line="220" w:lineRule="auto"/>
              <w:ind w:left="1027"/>
              <w:rPr>
                <w:rFonts w:ascii="宋体" w:hAnsi="宋体" w:eastAsia="宋体" w:cs="宋体"/>
                <w:sz w:val="21"/>
                <w:szCs w:val="21"/>
              </w:rPr>
            </w:pPr>
            <w:r>
              <w:rPr>
                <w:rFonts w:ascii="宋体" w:hAnsi="宋体" w:eastAsia="宋体" w:cs="宋体"/>
                <w:spacing w:val="-2"/>
                <w:sz w:val="21"/>
                <w:szCs w:val="21"/>
              </w:rPr>
              <w:t>方形网纹溞</w:t>
            </w:r>
          </w:p>
          <w:p w14:paraId="46BEB108">
            <w:pPr>
              <w:pStyle w:val="6"/>
              <w:spacing w:before="39" w:line="190" w:lineRule="auto"/>
              <w:ind w:left="337"/>
            </w:pPr>
            <w:r>
              <w:rPr>
                <w:i/>
                <w:iCs/>
                <w:spacing w:val="-1"/>
              </w:rPr>
              <w:t>Ceriodaphnia  quadrangulor</w:t>
            </w:r>
          </w:p>
        </w:tc>
        <w:tc>
          <w:tcPr>
            <w:tcW w:w="705" w:type="dxa"/>
            <w:vAlign w:val="top"/>
          </w:tcPr>
          <w:p w14:paraId="0742F409">
            <w:pPr>
              <w:rPr>
                <w:rFonts w:ascii="Arial"/>
                <w:sz w:val="21"/>
              </w:rPr>
            </w:pPr>
          </w:p>
        </w:tc>
        <w:tc>
          <w:tcPr>
            <w:tcW w:w="746" w:type="dxa"/>
            <w:vAlign w:val="top"/>
          </w:tcPr>
          <w:p w14:paraId="0BEE7C05">
            <w:pPr>
              <w:pStyle w:val="6"/>
              <w:spacing w:before="227" w:line="251" w:lineRule="exact"/>
              <w:ind w:left="314"/>
            </w:pPr>
            <w:r>
              <w:rPr>
                <w:position w:val="1"/>
              </w:rPr>
              <w:t>+</w:t>
            </w:r>
          </w:p>
        </w:tc>
        <w:tc>
          <w:tcPr>
            <w:tcW w:w="525" w:type="dxa"/>
            <w:vAlign w:val="top"/>
          </w:tcPr>
          <w:p w14:paraId="7F47FB63">
            <w:pPr>
              <w:pStyle w:val="6"/>
              <w:spacing w:before="227" w:line="251" w:lineRule="exact"/>
              <w:ind w:left="147"/>
            </w:pPr>
            <w:r>
              <w:rPr>
                <w:spacing w:val="-1"/>
                <w:position w:val="1"/>
              </w:rPr>
              <w:t>++</w:t>
            </w:r>
          </w:p>
        </w:tc>
        <w:tc>
          <w:tcPr>
            <w:tcW w:w="562" w:type="dxa"/>
            <w:vAlign w:val="top"/>
          </w:tcPr>
          <w:p w14:paraId="1C96575E">
            <w:pPr>
              <w:pStyle w:val="6"/>
              <w:spacing w:before="227" w:line="251" w:lineRule="exact"/>
              <w:ind w:left="226"/>
            </w:pPr>
            <w:r>
              <w:rPr>
                <w:position w:val="1"/>
              </w:rPr>
              <w:t>+</w:t>
            </w:r>
          </w:p>
        </w:tc>
        <w:tc>
          <w:tcPr>
            <w:tcW w:w="1207" w:type="dxa"/>
            <w:vAlign w:val="top"/>
          </w:tcPr>
          <w:p w14:paraId="12CD8AC4">
            <w:pPr>
              <w:pStyle w:val="6"/>
              <w:spacing w:before="227" w:line="251" w:lineRule="exact"/>
              <w:ind w:left="552"/>
            </w:pPr>
            <w:r>
              <w:rPr>
                <w:position w:val="1"/>
              </w:rPr>
              <w:t>+</w:t>
            </w:r>
          </w:p>
        </w:tc>
        <w:tc>
          <w:tcPr>
            <w:tcW w:w="912" w:type="dxa"/>
            <w:tcBorders>
              <w:right w:val="single" w:color="000000" w:sz="12" w:space="0"/>
            </w:tcBorders>
            <w:vAlign w:val="top"/>
          </w:tcPr>
          <w:p w14:paraId="6D8CD2A7">
            <w:pPr>
              <w:pStyle w:val="6"/>
              <w:spacing w:before="227" w:line="251" w:lineRule="exact"/>
              <w:ind w:left="397"/>
            </w:pPr>
            <w:r>
              <w:rPr>
                <w:position w:val="1"/>
              </w:rPr>
              <w:t>+</w:t>
            </w:r>
          </w:p>
        </w:tc>
      </w:tr>
      <w:tr w14:paraId="4C65E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7C79788B">
            <w:pPr>
              <w:spacing w:before="74" w:line="218" w:lineRule="auto"/>
              <w:ind w:left="23"/>
              <w:rPr>
                <w:rFonts w:ascii="宋体" w:hAnsi="宋体" w:eastAsia="宋体" w:cs="宋体"/>
                <w:sz w:val="21"/>
                <w:szCs w:val="21"/>
              </w:rPr>
            </w:pPr>
            <w:r>
              <w:rPr>
                <w:rFonts w:ascii="宋体" w:hAnsi="宋体" w:eastAsia="宋体" w:cs="宋体"/>
                <w:spacing w:val="-2"/>
                <w:sz w:val="21"/>
                <w:szCs w:val="21"/>
              </w:rPr>
              <w:t>裸腹溞</w:t>
            </w:r>
          </w:p>
        </w:tc>
        <w:tc>
          <w:tcPr>
            <w:tcW w:w="3112" w:type="dxa"/>
            <w:vAlign w:val="top"/>
          </w:tcPr>
          <w:p w14:paraId="29260DB3">
            <w:pPr>
              <w:pStyle w:val="6"/>
              <w:spacing w:before="74" w:line="218" w:lineRule="auto"/>
              <w:ind w:left="166"/>
            </w:pPr>
            <w:r>
              <w:rPr>
                <w:rFonts w:ascii="宋体" w:hAnsi="宋体" w:eastAsia="宋体" w:cs="宋体"/>
              </w:rPr>
              <w:t>直额裸腹溞</w:t>
            </w:r>
            <w:r>
              <w:rPr>
                <w:rFonts w:ascii="宋体" w:hAnsi="宋体" w:eastAsia="宋体" w:cs="宋体"/>
                <w:spacing w:val="-59"/>
              </w:rPr>
              <w:t xml:space="preserve"> </w:t>
            </w:r>
            <w:r>
              <w:rPr>
                <w:i/>
                <w:iCs/>
              </w:rPr>
              <w:t>Moina  rectirorst</w:t>
            </w:r>
            <w:r>
              <w:rPr>
                <w:i/>
                <w:iCs/>
                <w:spacing w:val="-1"/>
              </w:rPr>
              <w:t>ris</w:t>
            </w:r>
          </w:p>
        </w:tc>
        <w:tc>
          <w:tcPr>
            <w:tcW w:w="705" w:type="dxa"/>
            <w:vAlign w:val="top"/>
          </w:tcPr>
          <w:p w14:paraId="32A3364B">
            <w:pPr>
              <w:pStyle w:val="6"/>
              <w:spacing w:before="107" w:line="213" w:lineRule="auto"/>
              <w:ind w:left="291"/>
            </w:pPr>
            <w:r>
              <w:t>+</w:t>
            </w:r>
          </w:p>
        </w:tc>
        <w:tc>
          <w:tcPr>
            <w:tcW w:w="746" w:type="dxa"/>
            <w:vAlign w:val="top"/>
          </w:tcPr>
          <w:p w14:paraId="53599543">
            <w:pPr>
              <w:pStyle w:val="6"/>
              <w:spacing w:before="107" w:line="213" w:lineRule="auto"/>
              <w:ind w:left="255"/>
            </w:pPr>
            <w:r>
              <w:rPr>
                <w:spacing w:val="-1"/>
              </w:rPr>
              <w:t>++</w:t>
            </w:r>
          </w:p>
        </w:tc>
        <w:tc>
          <w:tcPr>
            <w:tcW w:w="525" w:type="dxa"/>
            <w:vAlign w:val="top"/>
          </w:tcPr>
          <w:p w14:paraId="7B4BD718">
            <w:pPr>
              <w:pStyle w:val="6"/>
              <w:spacing w:before="107" w:line="213" w:lineRule="auto"/>
              <w:ind w:left="205"/>
            </w:pPr>
            <w:r>
              <w:t>+</w:t>
            </w:r>
          </w:p>
        </w:tc>
        <w:tc>
          <w:tcPr>
            <w:tcW w:w="562" w:type="dxa"/>
            <w:vAlign w:val="top"/>
          </w:tcPr>
          <w:p w14:paraId="06D976EC">
            <w:pPr>
              <w:pStyle w:val="6"/>
              <w:spacing w:before="107" w:line="213" w:lineRule="auto"/>
              <w:ind w:left="108"/>
            </w:pPr>
            <w:r>
              <w:rPr>
                <w:spacing w:val="-1"/>
              </w:rPr>
              <w:t>+++</w:t>
            </w:r>
          </w:p>
        </w:tc>
        <w:tc>
          <w:tcPr>
            <w:tcW w:w="1207" w:type="dxa"/>
            <w:vAlign w:val="top"/>
          </w:tcPr>
          <w:p w14:paraId="304AD463">
            <w:pPr>
              <w:rPr>
                <w:rFonts w:ascii="Arial"/>
                <w:sz w:val="21"/>
              </w:rPr>
            </w:pPr>
          </w:p>
        </w:tc>
        <w:tc>
          <w:tcPr>
            <w:tcW w:w="912" w:type="dxa"/>
            <w:tcBorders>
              <w:right w:val="single" w:color="000000" w:sz="12" w:space="0"/>
            </w:tcBorders>
            <w:vAlign w:val="top"/>
          </w:tcPr>
          <w:p w14:paraId="64B00599">
            <w:pPr>
              <w:rPr>
                <w:rFonts w:ascii="Arial"/>
                <w:sz w:val="21"/>
              </w:rPr>
            </w:pPr>
          </w:p>
        </w:tc>
      </w:tr>
      <w:tr w14:paraId="0B3A0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4" w:type="dxa"/>
            <w:vMerge w:val="restart"/>
            <w:tcBorders>
              <w:left w:val="single" w:color="000000" w:sz="12" w:space="0"/>
              <w:bottom w:val="nil"/>
            </w:tcBorders>
            <w:vAlign w:val="top"/>
          </w:tcPr>
          <w:p w14:paraId="7E3FD1C6">
            <w:pPr>
              <w:spacing w:before="246" w:line="220" w:lineRule="auto"/>
              <w:ind w:left="31"/>
              <w:rPr>
                <w:rFonts w:ascii="宋体" w:hAnsi="宋体" w:eastAsia="宋体" w:cs="宋体"/>
                <w:sz w:val="21"/>
                <w:szCs w:val="21"/>
              </w:rPr>
            </w:pPr>
            <w:r>
              <w:rPr>
                <w:rFonts w:ascii="宋体" w:hAnsi="宋体" w:eastAsia="宋体" w:cs="宋体"/>
                <w:spacing w:val="-4"/>
                <w:sz w:val="21"/>
                <w:szCs w:val="21"/>
              </w:rPr>
              <w:t>象鼻溞</w:t>
            </w:r>
          </w:p>
        </w:tc>
        <w:tc>
          <w:tcPr>
            <w:tcW w:w="3112" w:type="dxa"/>
            <w:vAlign w:val="top"/>
          </w:tcPr>
          <w:p w14:paraId="7BD2F11A">
            <w:pPr>
              <w:pStyle w:val="6"/>
              <w:spacing w:before="75" w:line="212" w:lineRule="auto"/>
              <w:ind w:left="211"/>
            </w:pPr>
            <w:r>
              <w:rPr>
                <w:rFonts w:ascii="宋体" w:hAnsi="宋体" w:eastAsia="宋体" w:cs="宋体"/>
                <w:spacing w:val="-1"/>
              </w:rPr>
              <w:t>简弧象鼻溞</w:t>
            </w:r>
            <w:r>
              <w:rPr>
                <w:rFonts w:ascii="宋体" w:hAnsi="宋体" w:eastAsia="宋体" w:cs="宋体"/>
                <w:spacing w:val="-44"/>
              </w:rPr>
              <w:t xml:space="preserve"> </w:t>
            </w:r>
            <w:r>
              <w:rPr>
                <w:i/>
                <w:iCs/>
                <w:spacing w:val="-1"/>
              </w:rPr>
              <w:t>Bosmina  coregoni</w:t>
            </w:r>
          </w:p>
        </w:tc>
        <w:tc>
          <w:tcPr>
            <w:tcW w:w="705" w:type="dxa"/>
            <w:vAlign w:val="top"/>
          </w:tcPr>
          <w:p w14:paraId="31B029D1">
            <w:pPr>
              <w:pStyle w:val="6"/>
              <w:spacing w:before="108" w:line="213" w:lineRule="auto"/>
              <w:ind w:left="291"/>
            </w:pPr>
            <w:r>
              <w:t>+</w:t>
            </w:r>
          </w:p>
        </w:tc>
        <w:tc>
          <w:tcPr>
            <w:tcW w:w="746" w:type="dxa"/>
            <w:vAlign w:val="top"/>
          </w:tcPr>
          <w:p w14:paraId="01FC5761">
            <w:pPr>
              <w:pStyle w:val="6"/>
              <w:spacing w:before="108" w:line="213" w:lineRule="auto"/>
              <w:ind w:left="314"/>
            </w:pPr>
            <w:r>
              <w:t>+</w:t>
            </w:r>
          </w:p>
        </w:tc>
        <w:tc>
          <w:tcPr>
            <w:tcW w:w="525" w:type="dxa"/>
            <w:vAlign w:val="top"/>
          </w:tcPr>
          <w:p w14:paraId="37192DF2">
            <w:pPr>
              <w:pStyle w:val="6"/>
              <w:spacing w:before="108" w:line="213" w:lineRule="auto"/>
              <w:ind w:left="147"/>
            </w:pPr>
            <w:r>
              <w:rPr>
                <w:spacing w:val="-1"/>
              </w:rPr>
              <w:t>++</w:t>
            </w:r>
          </w:p>
        </w:tc>
        <w:tc>
          <w:tcPr>
            <w:tcW w:w="562" w:type="dxa"/>
            <w:vAlign w:val="top"/>
          </w:tcPr>
          <w:p w14:paraId="0CED5877">
            <w:pPr>
              <w:pStyle w:val="6"/>
              <w:spacing w:before="108" w:line="213" w:lineRule="auto"/>
              <w:ind w:left="226"/>
            </w:pPr>
            <w:r>
              <w:t>+</w:t>
            </w:r>
          </w:p>
        </w:tc>
        <w:tc>
          <w:tcPr>
            <w:tcW w:w="1207" w:type="dxa"/>
            <w:vAlign w:val="top"/>
          </w:tcPr>
          <w:p w14:paraId="019AEE54">
            <w:pPr>
              <w:pStyle w:val="6"/>
              <w:spacing w:before="108" w:line="213" w:lineRule="auto"/>
              <w:ind w:left="552"/>
            </w:pPr>
            <w:r>
              <w:t>+</w:t>
            </w:r>
          </w:p>
        </w:tc>
        <w:tc>
          <w:tcPr>
            <w:tcW w:w="912" w:type="dxa"/>
            <w:tcBorders>
              <w:right w:val="single" w:color="000000" w:sz="12" w:space="0"/>
            </w:tcBorders>
            <w:vAlign w:val="top"/>
          </w:tcPr>
          <w:p w14:paraId="54032905">
            <w:pPr>
              <w:rPr>
                <w:rFonts w:ascii="Arial"/>
                <w:sz w:val="21"/>
              </w:rPr>
            </w:pPr>
          </w:p>
        </w:tc>
      </w:tr>
      <w:tr w14:paraId="30DE3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vMerge w:val="continue"/>
            <w:tcBorders>
              <w:top w:val="nil"/>
              <w:left w:val="single" w:color="000000" w:sz="12" w:space="0"/>
            </w:tcBorders>
            <w:vAlign w:val="top"/>
          </w:tcPr>
          <w:p w14:paraId="2832669B">
            <w:pPr>
              <w:rPr>
                <w:rFonts w:ascii="Arial"/>
                <w:sz w:val="21"/>
              </w:rPr>
            </w:pPr>
          </w:p>
        </w:tc>
        <w:tc>
          <w:tcPr>
            <w:tcW w:w="3112" w:type="dxa"/>
            <w:vAlign w:val="top"/>
          </w:tcPr>
          <w:p w14:paraId="57826DEC">
            <w:pPr>
              <w:pStyle w:val="6"/>
              <w:spacing w:before="75" w:line="212" w:lineRule="auto"/>
              <w:ind w:left="38"/>
            </w:pPr>
            <w:r>
              <w:rPr>
                <w:rFonts w:ascii="宋体" w:hAnsi="宋体" w:eastAsia="宋体" w:cs="宋体"/>
              </w:rPr>
              <w:t>长额象鼻溞</w:t>
            </w:r>
            <w:r>
              <w:rPr>
                <w:rFonts w:ascii="宋体" w:hAnsi="宋体" w:eastAsia="宋体" w:cs="宋体"/>
                <w:spacing w:val="-57"/>
              </w:rPr>
              <w:t xml:space="preserve"> </w:t>
            </w:r>
            <w:r>
              <w:rPr>
                <w:i/>
                <w:iCs/>
              </w:rPr>
              <w:t>Bosmina  longiroa</w:t>
            </w:r>
            <w:r>
              <w:rPr>
                <w:i/>
                <w:iCs/>
                <w:spacing w:val="-1"/>
              </w:rPr>
              <w:t>stris</w:t>
            </w:r>
          </w:p>
        </w:tc>
        <w:tc>
          <w:tcPr>
            <w:tcW w:w="705" w:type="dxa"/>
            <w:vAlign w:val="top"/>
          </w:tcPr>
          <w:p w14:paraId="7751A5FB">
            <w:pPr>
              <w:rPr>
                <w:rFonts w:ascii="Arial"/>
                <w:sz w:val="21"/>
              </w:rPr>
            </w:pPr>
          </w:p>
        </w:tc>
        <w:tc>
          <w:tcPr>
            <w:tcW w:w="746" w:type="dxa"/>
            <w:vAlign w:val="top"/>
          </w:tcPr>
          <w:p w14:paraId="644D78B3">
            <w:pPr>
              <w:pStyle w:val="6"/>
              <w:spacing w:before="108" w:line="212" w:lineRule="auto"/>
              <w:ind w:left="314"/>
            </w:pPr>
            <w:r>
              <w:t>+</w:t>
            </w:r>
          </w:p>
        </w:tc>
        <w:tc>
          <w:tcPr>
            <w:tcW w:w="525" w:type="dxa"/>
            <w:vAlign w:val="top"/>
          </w:tcPr>
          <w:p w14:paraId="5F852866">
            <w:pPr>
              <w:pStyle w:val="6"/>
              <w:spacing w:before="108" w:line="212" w:lineRule="auto"/>
              <w:ind w:left="205"/>
            </w:pPr>
            <w:r>
              <w:t>+</w:t>
            </w:r>
          </w:p>
        </w:tc>
        <w:tc>
          <w:tcPr>
            <w:tcW w:w="562" w:type="dxa"/>
            <w:vAlign w:val="top"/>
          </w:tcPr>
          <w:p w14:paraId="0F77A41E">
            <w:pPr>
              <w:pStyle w:val="6"/>
              <w:spacing w:before="108" w:line="212" w:lineRule="auto"/>
              <w:ind w:left="226"/>
            </w:pPr>
            <w:r>
              <w:t>+</w:t>
            </w:r>
          </w:p>
        </w:tc>
        <w:tc>
          <w:tcPr>
            <w:tcW w:w="1207" w:type="dxa"/>
            <w:vAlign w:val="top"/>
          </w:tcPr>
          <w:p w14:paraId="02623674">
            <w:pPr>
              <w:pStyle w:val="6"/>
              <w:spacing w:before="108" w:line="212" w:lineRule="auto"/>
              <w:ind w:left="552"/>
            </w:pPr>
            <w:r>
              <w:t>+</w:t>
            </w:r>
          </w:p>
        </w:tc>
        <w:tc>
          <w:tcPr>
            <w:tcW w:w="912" w:type="dxa"/>
            <w:tcBorders>
              <w:right w:val="single" w:color="000000" w:sz="12" w:space="0"/>
            </w:tcBorders>
            <w:vAlign w:val="top"/>
          </w:tcPr>
          <w:p w14:paraId="20669CA4">
            <w:pPr>
              <w:pStyle w:val="6"/>
              <w:spacing w:before="108" w:line="212" w:lineRule="auto"/>
              <w:ind w:left="397"/>
            </w:pPr>
            <w:r>
              <w:t>+</w:t>
            </w:r>
          </w:p>
        </w:tc>
      </w:tr>
      <w:tr w14:paraId="65CED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4" w:type="dxa"/>
            <w:tcBorders>
              <w:left w:val="single" w:color="000000" w:sz="12" w:space="0"/>
            </w:tcBorders>
            <w:vAlign w:val="top"/>
          </w:tcPr>
          <w:p w14:paraId="6341DCD5">
            <w:pPr>
              <w:spacing w:before="76" w:line="216" w:lineRule="auto"/>
              <w:ind w:left="23"/>
              <w:rPr>
                <w:rFonts w:ascii="宋体" w:hAnsi="宋体" w:eastAsia="宋体" w:cs="宋体"/>
                <w:sz w:val="21"/>
                <w:szCs w:val="21"/>
              </w:rPr>
            </w:pPr>
            <w:r>
              <w:rPr>
                <w:rFonts w:ascii="宋体" w:hAnsi="宋体" w:eastAsia="宋体" w:cs="宋体"/>
                <w:spacing w:val="-2"/>
                <w:sz w:val="21"/>
                <w:szCs w:val="21"/>
              </w:rPr>
              <w:t>盘肠溞</w:t>
            </w:r>
          </w:p>
        </w:tc>
        <w:tc>
          <w:tcPr>
            <w:tcW w:w="3112" w:type="dxa"/>
            <w:vAlign w:val="top"/>
          </w:tcPr>
          <w:p w14:paraId="4298DF22">
            <w:pPr>
              <w:pStyle w:val="6"/>
              <w:spacing w:before="76" w:line="212" w:lineRule="auto"/>
              <w:ind w:left="101"/>
            </w:pPr>
            <w:r>
              <w:rPr>
                <w:rFonts w:ascii="宋体" w:hAnsi="宋体" w:eastAsia="宋体" w:cs="宋体"/>
                <w:spacing w:val="-2"/>
              </w:rPr>
              <w:t>圆形盘肠溞</w:t>
            </w:r>
            <w:r>
              <w:rPr>
                <w:rFonts w:ascii="宋体" w:hAnsi="宋体" w:eastAsia="宋体" w:cs="宋体"/>
                <w:spacing w:val="-29"/>
              </w:rPr>
              <w:t xml:space="preserve"> </w:t>
            </w:r>
            <w:r>
              <w:rPr>
                <w:i/>
                <w:iCs/>
                <w:spacing w:val="-2"/>
              </w:rPr>
              <w:t>Chydorus  sphaericus</w:t>
            </w:r>
          </w:p>
        </w:tc>
        <w:tc>
          <w:tcPr>
            <w:tcW w:w="705" w:type="dxa"/>
            <w:vAlign w:val="top"/>
          </w:tcPr>
          <w:p w14:paraId="7BAF32B5">
            <w:pPr>
              <w:pStyle w:val="6"/>
              <w:spacing w:before="110" w:line="210" w:lineRule="auto"/>
              <w:ind w:left="291"/>
            </w:pPr>
            <w:r>
              <w:t>+</w:t>
            </w:r>
          </w:p>
        </w:tc>
        <w:tc>
          <w:tcPr>
            <w:tcW w:w="746" w:type="dxa"/>
            <w:vAlign w:val="top"/>
          </w:tcPr>
          <w:p w14:paraId="396E2257">
            <w:pPr>
              <w:pStyle w:val="6"/>
              <w:spacing w:before="110" w:line="210" w:lineRule="auto"/>
              <w:ind w:left="255"/>
            </w:pPr>
            <w:r>
              <w:rPr>
                <w:spacing w:val="-1"/>
              </w:rPr>
              <w:t>++</w:t>
            </w:r>
          </w:p>
        </w:tc>
        <w:tc>
          <w:tcPr>
            <w:tcW w:w="525" w:type="dxa"/>
            <w:vAlign w:val="top"/>
          </w:tcPr>
          <w:p w14:paraId="42B05FF2">
            <w:pPr>
              <w:pStyle w:val="6"/>
              <w:spacing w:before="110" w:line="210" w:lineRule="auto"/>
              <w:ind w:left="205"/>
            </w:pPr>
            <w:r>
              <w:t>+</w:t>
            </w:r>
          </w:p>
        </w:tc>
        <w:tc>
          <w:tcPr>
            <w:tcW w:w="562" w:type="dxa"/>
            <w:vAlign w:val="top"/>
          </w:tcPr>
          <w:p w14:paraId="6E364565">
            <w:pPr>
              <w:pStyle w:val="6"/>
              <w:spacing w:before="110" w:line="210" w:lineRule="auto"/>
              <w:ind w:left="226"/>
            </w:pPr>
            <w:r>
              <w:t>+</w:t>
            </w:r>
          </w:p>
        </w:tc>
        <w:tc>
          <w:tcPr>
            <w:tcW w:w="1207" w:type="dxa"/>
            <w:vAlign w:val="top"/>
          </w:tcPr>
          <w:p w14:paraId="13D527AD">
            <w:pPr>
              <w:rPr>
                <w:rFonts w:ascii="Arial"/>
                <w:sz w:val="21"/>
              </w:rPr>
            </w:pPr>
          </w:p>
        </w:tc>
        <w:tc>
          <w:tcPr>
            <w:tcW w:w="912" w:type="dxa"/>
            <w:tcBorders>
              <w:right w:val="single" w:color="000000" w:sz="12" w:space="0"/>
            </w:tcBorders>
            <w:vAlign w:val="top"/>
          </w:tcPr>
          <w:p w14:paraId="0D842E1E">
            <w:pPr>
              <w:rPr>
                <w:rFonts w:ascii="Arial"/>
                <w:sz w:val="21"/>
              </w:rPr>
            </w:pPr>
          </w:p>
        </w:tc>
      </w:tr>
      <w:tr w14:paraId="784BA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3816" w:type="dxa"/>
            <w:gridSpan w:val="2"/>
            <w:tcBorders>
              <w:left w:val="single" w:color="000000" w:sz="12" w:space="0"/>
            </w:tcBorders>
            <w:vAlign w:val="top"/>
          </w:tcPr>
          <w:p w14:paraId="7CD51BFB">
            <w:pPr>
              <w:pStyle w:val="6"/>
              <w:spacing w:before="77" w:line="213" w:lineRule="auto"/>
              <w:ind w:left="1101"/>
            </w:pPr>
            <w:r>
              <w:rPr>
                <w:rFonts w:ascii="宋体" w:hAnsi="宋体" w:eastAsia="宋体" w:cs="宋体"/>
                <w:b/>
                <w:bCs/>
                <w:spacing w:val="-2"/>
              </w:rPr>
              <w:t>桡足类</w:t>
            </w:r>
            <w:r>
              <w:rPr>
                <w:rFonts w:ascii="宋体" w:hAnsi="宋体" w:eastAsia="宋体" w:cs="宋体"/>
                <w:spacing w:val="-43"/>
              </w:rPr>
              <w:t xml:space="preserve"> </w:t>
            </w:r>
            <w:r>
              <w:rPr>
                <w:b/>
                <w:bCs/>
                <w:spacing w:val="-2"/>
              </w:rPr>
              <w:t>Copepoda</w:t>
            </w:r>
          </w:p>
        </w:tc>
        <w:tc>
          <w:tcPr>
            <w:tcW w:w="705" w:type="dxa"/>
            <w:vAlign w:val="top"/>
          </w:tcPr>
          <w:p w14:paraId="573D9AD0">
            <w:pPr>
              <w:rPr>
                <w:rFonts w:ascii="Arial"/>
                <w:sz w:val="21"/>
              </w:rPr>
            </w:pPr>
          </w:p>
        </w:tc>
        <w:tc>
          <w:tcPr>
            <w:tcW w:w="746" w:type="dxa"/>
            <w:vAlign w:val="top"/>
          </w:tcPr>
          <w:p w14:paraId="533B8EB4">
            <w:pPr>
              <w:rPr>
                <w:rFonts w:ascii="Arial"/>
                <w:sz w:val="21"/>
              </w:rPr>
            </w:pPr>
          </w:p>
        </w:tc>
        <w:tc>
          <w:tcPr>
            <w:tcW w:w="525" w:type="dxa"/>
            <w:vAlign w:val="top"/>
          </w:tcPr>
          <w:p w14:paraId="0C98FA93">
            <w:pPr>
              <w:rPr>
                <w:rFonts w:ascii="Arial"/>
                <w:sz w:val="21"/>
              </w:rPr>
            </w:pPr>
          </w:p>
        </w:tc>
        <w:tc>
          <w:tcPr>
            <w:tcW w:w="562" w:type="dxa"/>
            <w:vAlign w:val="top"/>
          </w:tcPr>
          <w:p w14:paraId="788D8E52">
            <w:pPr>
              <w:rPr>
                <w:rFonts w:ascii="Arial"/>
                <w:sz w:val="21"/>
              </w:rPr>
            </w:pPr>
          </w:p>
        </w:tc>
        <w:tc>
          <w:tcPr>
            <w:tcW w:w="1207" w:type="dxa"/>
            <w:vAlign w:val="top"/>
          </w:tcPr>
          <w:p w14:paraId="2AF9CCEB">
            <w:pPr>
              <w:rPr>
                <w:rFonts w:ascii="Arial"/>
                <w:sz w:val="21"/>
              </w:rPr>
            </w:pPr>
          </w:p>
        </w:tc>
        <w:tc>
          <w:tcPr>
            <w:tcW w:w="912" w:type="dxa"/>
            <w:tcBorders>
              <w:right w:val="single" w:color="000000" w:sz="12" w:space="0"/>
            </w:tcBorders>
            <w:vAlign w:val="top"/>
          </w:tcPr>
          <w:p w14:paraId="487E95CA">
            <w:pPr>
              <w:rPr>
                <w:rFonts w:ascii="Arial"/>
                <w:sz w:val="21"/>
              </w:rPr>
            </w:pPr>
          </w:p>
        </w:tc>
      </w:tr>
      <w:tr w14:paraId="2191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4" w:type="dxa"/>
            <w:tcBorders>
              <w:left w:val="single" w:color="000000" w:sz="12" w:space="0"/>
            </w:tcBorders>
            <w:vAlign w:val="top"/>
          </w:tcPr>
          <w:p w14:paraId="7D702F2E">
            <w:pPr>
              <w:spacing w:before="78" w:line="220" w:lineRule="auto"/>
              <w:ind w:left="149"/>
              <w:rPr>
                <w:rFonts w:ascii="宋体" w:hAnsi="宋体" w:eastAsia="宋体" w:cs="宋体"/>
                <w:sz w:val="21"/>
                <w:szCs w:val="21"/>
              </w:rPr>
            </w:pPr>
            <w:r>
              <w:rPr>
                <w:rFonts w:ascii="宋体" w:hAnsi="宋体" w:eastAsia="宋体" w:cs="宋体"/>
                <w:spacing w:val="-7"/>
                <w:sz w:val="21"/>
                <w:szCs w:val="21"/>
              </w:rPr>
              <w:t>中镖</w:t>
            </w:r>
          </w:p>
          <w:p w14:paraId="4DEF29D7">
            <w:pPr>
              <w:spacing w:before="22" w:line="214"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5584A24D">
            <w:pPr>
              <w:spacing w:before="93" w:line="220" w:lineRule="auto"/>
              <w:ind w:left="923"/>
              <w:rPr>
                <w:rFonts w:ascii="宋体" w:hAnsi="宋体" w:eastAsia="宋体" w:cs="宋体"/>
                <w:sz w:val="21"/>
                <w:szCs w:val="21"/>
              </w:rPr>
            </w:pPr>
            <w:r>
              <w:rPr>
                <w:rFonts w:ascii="宋体" w:hAnsi="宋体" w:eastAsia="宋体" w:cs="宋体"/>
                <w:spacing w:val="-2"/>
                <w:sz w:val="21"/>
                <w:szCs w:val="21"/>
              </w:rPr>
              <w:t>大型中镖水蚤</w:t>
            </w:r>
          </w:p>
          <w:p w14:paraId="660CC0E0">
            <w:pPr>
              <w:pStyle w:val="6"/>
              <w:spacing w:before="40" w:line="190" w:lineRule="auto"/>
              <w:ind w:left="663"/>
            </w:pPr>
            <w:r>
              <w:rPr>
                <w:i/>
                <w:iCs/>
              </w:rPr>
              <w:t>Sinodiaptomus</w:t>
            </w:r>
            <w:r>
              <w:rPr>
                <w:i/>
                <w:iCs/>
                <w:spacing w:val="51"/>
              </w:rPr>
              <w:t xml:space="preserve"> </w:t>
            </w:r>
            <w:r>
              <w:rPr>
                <w:i/>
                <w:iCs/>
              </w:rPr>
              <w:t>sarsi</w:t>
            </w:r>
          </w:p>
        </w:tc>
        <w:tc>
          <w:tcPr>
            <w:tcW w:w="705" w:type="dxa"/>
            <w:vAlign w:val="top"/>
          </w:tcPr>
          <w:p w14:paraId="08F3B4C1">
            <w:pPr>
              <w:pStyle w:val="6"/>
              <w:spacing w:before="248" w:line="251" w:lineRule="exact"/>
              <w:ind w:left="232"/>
            </w:pPr>
            <w:r>
              <w:rPr>
                <w:spacing w:val="-1"/>
                <w:position w:val="1"/>
              </w:rPr>
              <w:t>++</w:t>
            </w:r>
          </w:p>
        </w:tc>
        <w:tc>
          <w:tcPr>
            <w:tcW w:w="746" w:type="dxa"/>
            <w:vAlign w:val="top"/>
          </w:tcPr>
          <w:p w14:paraId="17FCADD9">
            <w:pPr>
              <w:pStyle w:val="6"/>
              <w:spacing w:before="248" w:line="251" w:lineRule="exact"/>
              <w:ind w:left="314"/>
            </w:pPr>
            <w:r>
              <w:rPr>
                <w:position w:val="1"/>
              </w:rPr>
              <w:t>+</w:t>
            </w:r>
          </w:p>
        </w:tc>
        <w:tc>
          <w:tcPr>
            <w:tcW w:w="525" w:type="dxa"/>
            <w:vAlign w:val="top"/>
          </w:tcPr>
          <w:p w14:paraId="738B9EDD">
            <w:pPr>
              <w:rPr>
                <w:rFonts w:ascii="Arial"/>
                <w:sz w:val="21"/>
              </w:rPr>
            </w:pPr>
          </w:p>
        </w:tc>
        <w:tc>
          <w:tcPr>
            <w:tcW w:w="562" w:type="dxa"/>
            <w:vAlign w:val="top"/>
          </w:tcPr>
          <w:p w14:paraId="7A7D6D55">
            <w:pPr>
              <w:pStyle w:val="6"/>
              <w:spacing w:before="248" w:line="251" w:lineRule="exact"/>
              <w:ind w:left="168"/>
            </w:pPr>
            <w:r>
              <w:rPr>
                <w:spacing w:val="-1"/>
                <w:position w:val="1"/>
              </w:rPr>
              <w:t>++</w:t>
            </w:r>
          </w:p>
        </w:tc>
        <w:tc>
          <w:tcPr>
            <w:tcW w:w="1207" w:type="dxa"/>
            <w:vAlign w:val="top"/>
          </w:tcPr>
          <w:p w14:paraId="07425D1D">
            <w:pPr>
              <w:rPr>
                <w:rFonts w:ascii="Arial"/>
                <w:sz w:val="21"/>
              </w:rPr>
            </w:pPr>
          </w:p>
        </w:tc>
        <w:tc>
          <w:tcPr>
            <w:tcW w:w="912" w:type="dxa"/>
            <w:tcBorders>
              <w:right w:val="single" w:color="000000" w:sz="12" w:space="0"/>
            </w:tcBorders>
            <w:vAlign w:val="top"/>
          </w:tcPr>
          <w:p w14:paraId="40E58B5A">
            <w:pPr>
              <w:rPr>
                <w:rFonts w:ascii="Arial"/>
                <w:sz w:val="21"/>
              </w:rPr>
            </w:pPr>
          </w:p>
        </w:tc>
      </w:tr>
      <w:tr w14:paraId="5453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04" w:type="dxa"/>
            <w:tcBorders>
              <w:left w:val="single" w:color="000000" w:sz="12" w:space="0"/>
            </w:tcBorders>
            <w:vAlign w:val="top"/>
          </w:tcPr>
          <w:p w14:paraId="0A14260B">
            <w:pPr>
              <w:spacing w:before="79" w:line="220" w:lineRule="auto"/>
              <w:ind w:left="142"/>
              <w:rPr>
                <w:rFonts w:ascii="宋体" w:hAnsi="宋体" w:eastAsia="宋体" w:cs="宋体"/>
                <w:sz w:val="21"/>
                <w:szCs w:val="21"/>
              </w:rPr>
            </w:pPr>
            <w:r>
              <w:rPr>
                <w:rFonts w:ascii="宋体" w:hAnsi="宋体" w:eastAsia="宋体" w:cs="宋体"/>
                <w:spacing w:val="-6"/>
                <w:sz w:val="21"/>
                <w:szCs w:val="21"/>
              </w:rPr>
              <w:t>叶镖</w:t>
            </w:r>
          </w:p>
          <w:p w14:paraId="101E2AE3">
            <w:pPr>
              <w:spacing w:before="22" w:line="214"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6194A5E5">
            <w:pPr>
              <w:spacing w:before="94" w:line="220" w:lineRule="auto"/>
              <w:ind w:left="921"/>
              <w:rPr>
                <w:rFonts w:ascii="宋体" w:hAnsi="宋体" w:eastAsia="宋体" w:cs="宋体"/>
                <w:sz w:val="21"/>
                <w:szCs w:val="21"/>
              </w:rPr>
            </w:pPr>
            <w:r>
              <w:rPr>
                <w:rFonts w:ascii="宋体" w:hAnsi="宋体" w:eastAsia="宋体" w:cs="宋体"/>
                <w:spacing w:val="-2"/>
                <w:sz w:val="21"/>
                <w:szCs w:val="21"/>
              </w:rPr>
              <w:t>舌状叶镖水蚤</w:t>
            </w:r>
          </w:p>
          <w:p w14:paraId="2946058A">
            <w:pPr>
              <w:pStyle w:val="6"/>
              <w:spacing w:before="40" w:line="190" w:lineRule="auto"/>
              <w:ind w:left="359"/>
            </w:pPr>
            <w:r>
              <w:rPr>
                <w:i/>
                <w:iCs/>
              </w:rPr>
              <w:t>Phyllodiaptomus</w:t>
            </w:r>
            <w:r>
              <w:rPr>
                <w:i/>
                <w:iCs/>
                <w:spacing w:val="4"/>
              </w:rPr>
              <w:t xml:space="preserve">  </w:t>
            </w:r>
            <w:r>
              <w:rPr>
                <w:i/>
                <w:iCs/>
              </w:rPr>
              <w:t>tunguidus</w:t>
            </w:r>
          </w:p>
        </w:tc>
        <w:tc>
          <w:tcPr>
            <w:tcW w:w="705" w:type="dxa"/>
            <w:vAlign w:val="top"/>
          </w:tcPr>
          <w:p w14:paraId="300A3EA5">
            <w:pPr>
              <w:pStyle w:val="6"/>
              <w:spacing w:before="250" w:line="250" w:lineRule="exact"/>
              <w:ind w:left="291"/>
            </w:pPr>
            <w:r>
              <w:rPr>
                <w:position w:val="1"/>
              </w:rPr>
              <w:t>+</w:t>
            </w:r>
          </w:p>
        </w:tc>
        <w:tc>
          <w:tcPr>
            <w:tcW w:w="746" w:type="dxa"/>
            <w:vAlign w:val="top"/>
          </w:tcPr>
          <w:p w14:paraId="6B80CF79">
            <w:pPr>
              <w:pStyle w:val="6"/>
              <w:spacing w:before="250" w:line="250" w:lineRule="exact"/>
              <w:ind w:left="314"/>
            </w:pPr>
            <w:r>
              <w:rPr>
                <w:position w:val="1"/>
              </w:rPr>
              <w:t>+</w:t>
            </w:r>
          </w:p>
        </w:tc>
        <w:tc>
          <w:tcPr>
            <w:tcW w:w="525" w:type="dxa"/>
            <w:vAlign w:val="top"/>
          </w:tcPr>
          <w:p w14:paraId="09AF0956">
            <w:pPr>
              <w:pStyle w:val="6"/>
              <w:spacing w:before="250" w:line="250" w:lineRule="exact"/>
              <w:ind w:left="147"/>
            </w:pPr>
            <w:r>
              <w:rPr>
                <w:spacing w:val="-1"/>
                <w:position w:val="1"/>
              </w:rPr>
              <w:t>++</w:t>
            </w:r>
          </w:p>
        </w:tc>
        <w:tc>
          <w:tcPr>
            <w:tcW w:w="562" w:type="dxa"/>
            <w:vAlign w:val="top"/>
          </w:tcPr>
          <w:p w14:paraId="106B8C4A">
            <w:pPr>
              <w:pStyle w:val="6"/>
              <w:spacing w:before="250" w:line="250" w:lineRule="exact"/>
              <w:ind w:left="226"/>
            </w:pPr>
            <w:r>
              <w:rPr>
                <w:position w:val="1"/>
              </w:rPr>
              <w:t>+</w:t>
            </w:r>
          </w:p>
        </w:tc>
        <w:tc>
          <w:tcPr>
            <w:tcW w:w="1207" w:type="dxa"/>
            <w:vAlign w:val="top"/>
          </w:tcPr>
          <w:p w14:paraId="551C31DA">
            <w:pPr>
              <w:pStyle w:val="6"/>
              <w:spacing w:before="250" w:line="250" w:lineRule="exact"/>
              <w:ind w:left="552"/>
            </w:pPr>
            <w:r>
              <w:rPr>
                <w:position w:val="1"/>
              </w:rPr>
              <w:t>+</w:t>
            </w:r>
          </w:p>
        </w:tc>
        <w:tc>
          <w:tcPr>
            <w:tcW w:w="912" w:type="dxa"/>
            <w:tcBorders>
              <w:right w:val="single" w:color="000000" w:sz="12" w:space="0"/>
            </w:tcBorders>
            <w:vAlign w:val="top"/>
          </w:tcPr>
          <w:p w14:paraId="549054DD">
            <w:pPr>
              <w:rPr>
                <w:rFonts w:ascii="Arial"/>
                <w:sz w:val="21"/>
              </w:rPr>
            </w:pPr>
          </w:p>
        </w:tc>
      </w:tr>
      <w:tr w14:paraId="619EE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4" w:type="dxa"/>
            <w:tcBorders>
              <w:left w:val="single" w:color="000000" w:sz="12" w:space="0"/>
            </w:tcBorders>
            <w:vAlign w:val="top"/>
          </w:tcPr>
          <w:p w14:paraId="3F371C6B">
            <w:pPr>
              <w:spacing w:before="79" w:line="220" w:lineRule="auto"/>
              <w:ind w:left="131"/>
              <w:rPr>
                <w:rFonts w:ascii="宋体" w:hAnsi="宋体" w:eastAsia="宋体" w:cs="宋体"/>
                <w:sz w:val="21"/>
                <w:szCs w:val="21"/>
              </w:rPr>
            </w:pPr>
            <w:r>
              <w:rPr>
                <w:rFonts w:ascii="宋体" w:hAnsi="宋体" w:eastAsia="宋体" w:cs="宋体"/>
                <w:spacing w:val="-3"/>
                <w:sz w:val="21"/>
                <w:szCs w:val="21"/>
              </w:rPr>
              <w:t>真剑</w:t>
            </w:r>
          </w:p>
          <w:p w14:paraId="71BF446B">
            <w:pPr>
              <w:spacing w:before="22" w:line="212"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7CF4E096">
            <w:pPr>
              <w:spacing w:before="95" w:line="220" w:lineRule="auto"/>
              <w:ind w:left="920"/>
              <w:rPr>
                <w:rFonts w:ascii="宋体" w:hAnsi="宋体" w:eastAsia="宋体" w:cs="宋体"/>
                <w:sz w:val="21"/>
                <w:szCs w:val="21"/>
              </w:rPr>
            </w:pPr>
            <w:r>
              <w:rPr>
                <w:rFonts w:ascii="宋体" w:hAnsi="宋体" w:eastAsia="宋体" w:cs="宋体"/>
                <w:spacing w:val="-2"/>
                <w:sz w:val="21"/>
                <w:szCs w:val="21"/>
              </w:rPr>
              <w:t>锯缘真剑水蚤</w:t>
            </w:r>
          </w:p>
          <w:p w14:paraId="3FB2B7D1">
            <w:pPr>
              <w:pStyle w:val="6"/>
              <w:spacing w:before="40" w:line="190" w:lineRule="auto"/>
              <w:ind w:left="628"/>
            </w:pPr>
            <w:r>
              <w:rPr>
                <w:i/>
                <w:iCs/>
              </w:rPr>
              <w:t>Eucyclops</w:t>
            </w:r>
            <w:r>
              <w:rPr>
                <w:i/>
                <w:iCs/>
                <w:spacing w:val="57"/>
              </w:rPr>
              <w:t xml:space="preserve"> </w:t>
            </w:r>
            <w:r>
              <w:rPr>
                <w:i/>
                <w:iCs/>
              </w:rPr>
              <w:t>serrulatus</w:t>
            </w:r>
          </w:p>
        </w:tc>
        <w:tc>
          <w:tcPr>
            <w:tcW w:w="705" w:type="dxa"/>
            <w:vAlign w:val="top"/>
          </w:tcPr>
          <w:p w14:paraId="37F193E9">
            <w:pPr>
              <w:pStyle w:val="6"/>
              <w:spacing w:before="250" w:line="251" w:lineRule="exact"/>
              <w:ind w:left="232"/>
            </w:pPr>
            <w:r>
              <w:rPr>
                <w:spacing w:val="-1"/>
                <w:position w:val="1"/>
              </w:rPr>
              <w:t>++</w:t>
            </w:r>
          </w:p>
        </w:tc>
        <w:tc>
          <w:tcPr>
            <w:tcW w:w="746" w:type="dxa"/>
            <w:vAlign w:val="top"/>
          </w:tcPr>
          <w:p w14:paraId="31C33983">
            <w:pPr>
              <w:pStyle w:val="6"/>
              <w:spacing w:before="250" w:line="251" w:lineRule="exact"/>
              <w:ind w:left="314"/>
            </w:pPr>
            <w:r>
              <w:rPr>
                <w:position w:val="1"/>
              </w:rPr>
              <w:t>+</w:t>
            </w:r>
          </w:p>
        </w:tc>
        <w:tc>
          <w:tcPr>
            <w:tcW w:w="525" w:type="dxa"/>
            <w:vAlign w:val="top"/>
          </w:tcPr>
          <w:p w14:paraId="4BDA0DA4">
            <w:pPr>
              <w:rPr>
                <w:rFonts w:ascii="Arial"/>
                <w:sz w:val="21"/>
              </w:rPr>
            </w:pPr>
          </w:p>
        </w:tc>
        <w:tc>
          <w:tcPr>
            <w:tcW w:w="562" w:type="dxa"/>
            <w:vAlign w:val="top"/>
          </w:tcPr>
          <w:p w14:paraId="2DD408D0">
            <w:pPr>
              <w:pStyle w:val="6"/>
              <w:spacing w:before="250" w:line="251" w:lineRule="exact"/>
              <w:ind w:left="168"/>
            </w:pPr>
            <w:r>
              <w:rPr>
                <w:spacing w:val="-1"/>
                <w:position w:val="1"/>
              </w:rPr>
              <w:t>++</w:t>
            </w:r>
          </w:p>
        </w:tc>
        <w:tc>
          <w:tcPr>
            <w:tcW w:w="1207" w:type="dxa"/>
            <w:vAlign w:val="top"/>
          </w:tcPr>
          <w:p w14:paraId="4437A09F">
            <w:pPr>
              <w:rPr>
                <w:rFonts w:ascii="Arial"/>
                <w:sz w:val="21"/>
              </w:rPr>
            </w:pPr>
          </w:p>
        </w:tc>
        <w:tc>
          <w:tcPr>
            <w:tcW w:w="912" w:type="dxa"/>
            <w:tcBorders>
              <w:right w:val="single" w:color="000000" w:sz="12" w:space="0"/>
            </w:tcBorders>
            <w:vAlign w:val="top"/>
          </w:tcPr>
          <w:p w14:paraId="5EF23C4A">
            <w:pPr>
              <w:pStyle w:val="6"/>
              <w:spacing w:before="250" w:line="251" w:lineRule="exact"/>
              <w:ind w:left="338"/>
            </w:pPr>
            <w:r>
              <w:rPr>
                <w:spacing w:val="-1"/>
                <w:position w:val="1"/>
              </w:rPr>
              <w:t>++</w:t>
            </w:r>
          </w:p>
        </w:tc>
      </w:tr>
      <w:tr w14:paraId="4F82A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704" w:type="dxa"/>
            <w:tcBorders>
              <w:left w:val="single" w:color="000000" w:sz="12" w:space="0"/>
            </w:tcBorders>
            <w:vAlign w:val="top"/>
          </w:tcPr>
          <w:p w14:paraId="26A68C1E">
            <w:pPr>
              <w:spacing w:before="81" w:line="220" w:lineRule="auto"/>
              <w:ind w:left="149"/>
              <w:rPr>
                <w:rFonts w:ascii="宋体" w:hAnsi="宋体" w:eastAsia="宋体" w:cs="宋体"/>
                <w:sz w:val="21"/>
                <w:szCs w:val="21"/>
              </w:rPr>
            </w:pPr>
            <w:r>
              <w:rPr>
                <w:rFonts w:ascii="宋体" w:hAnsi="宋体" w:eastAsia="宋体" w:cs="宋体"/>
                <w:spacing w:val="-7"/>
                <w:sz w:val="21"/>
                <w:szCs w:val="21"/>
              </w:rPr>
              <w:t>中剑</w:t>
            </w:r>
          </w:p>
          <w:p w14:paraId="24E07B13">
            <w:pPr>
              <w:spacing w:before="22" w:line="211"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0B3F3C7C">
            <w:pPr>
              <w:spacing w:before="97" w:line="219" w:lineRule="auto"/>
              <w:ind w:left="920"/>
              <w:rPr>
                <w:rFonts w:ascii="宋体" w:hAnsi="宋体" w:eastAsia="宋体" w:cs="宋体"/>
                <w:sz w:val="21"/>
                <w:szCs w:val="21"/>
              </w:rPr>
            </w:pPr>
            <w:r>
              <w:rPr>
                <w:rFonts w:ascii="宋体" w:hAnsi="宋体" w:eastAsia="宋体" w:cs="宋体"/>
                <w:spacing w:val="-2"/>
                <w:sz w:val="21"/>
                <w:szCs w:val="21"/>
              </w:rPr>
              <w:t>广布中剑水蚤</w:t>
            </w:r>
          </w:p>
          <w:p w14:paraId="1EC4EA57">
            <w:pPr>
              <w:pStyle w:val="6"/>
              <w:spacing w:before="41" w:line="190" w:lineRule="auto"/>
              <w:ind w:left="568"/>
            </w:pPr>
            <w:r>
              <w:rPr>
                <w:i/>
                <w:iCs/>
              </w:rPr>
              <w:t>Mesocyclops</w:t>
            </w:r>
            <w:r>
              <w:rPr>
                <w:i/>
                <w:iCs/>
                <w:spacing w:val="5"/>
              </w:rPr>
              <w:t xml:space="preserve">  </w:t>
            </w:r>
            <w:r>
              <w:rPr>
                <w:i/>
                <w:iCs/>
              </w:rPr>
              <w:t>leuckarti</w:t>
            </w:r>
          </w:p>
        </w:tc>
        <w:tc>
          <w:tcPr>
            <w:tcW w:w="705" w:type="dxa"/>
            <w:vAlign w:val="top"/>
          </w:tcPr>
          <w:p w14:paraId="0935DCD7">
            <w:pPr>
              <w:pStyle w:val="6"/>
              <w:spacing w:before="252" w:line="251" w:lineRule="exact"/>
              <w:ind w:left="291"/>
            </w:pPr>
            <w:r>
              <w:rPr>
                <w:position w:val="1"/>
              </w:rPr>
              <w:t>+</w:t>
            </w:r>
          </w:p>
        </w:tc>
        <w:tc>
          <w:tcPr>
            <w:tcW w:w="746" w:type="dxa"/>
            <w:vAlign w:val="top"/>
          </w:tcPr>
          <w:p w14:paraId="5F590C8C">
            <w:pPr>
              <w:pStyle w:val="6"/>
              <w:spacing w:before="252" w:line="251" w:lineRule="exact"/>
              <w:ind w:left="314"/>
            </w:pPr>
            <w:r>
              <w:rPr>
                <w:position w:val="1"/>
              </w:rPr>
              <w:t>+</w:t>
            </w:r>
          </w:p>
        </w:tc>
        <w:tc>
          <w:tcPr>
            <w:tcW w:w="525" w:type="dxa"/>
            <w:vAlign w:val="top"/>
          </w:tcPr>
          <w:p w14:paraId="00E6815F">
            <w:pPr>
              <w:pStyle w:val="6"/>
              <w:spacing w:before="252" w:line="251" w:lineRule="exact"/>
              <w:ind w:left="147"/>
            </w:pPr>
            <w:r>
              <w:rPr>
                <w:spacing w:val="-1"/>
                <w:position w:val="1"/>
              </w:rPr>
              <w:t>++</w:t>
            </w:r>
          </w:p>
        </w:tc>
        <w:tc>
          <w:tcPr>
            <w:tcW w:w="562" w:type="dxa"/>
            <w:vAlign w:val="top"/>
          </w:tcPr>
          <w:p w14:paraId="0F44D7E8">
            <w:pPr>
              <w:pStyle w:val="6"/>
              <w:spacing w:before="252" w:line="251" w:lineRule="exact"/>
              <w:ind w:left="226"/>
            </w:pPr>
            <w:r>
              <w:rPr>
                <w:position w:val="1"/>
              </w:rPr>
              <w:t>+</w:t>
            </w:r>
          </w:p>
        </w:tc>
        <w:tc>
          <w:tcPr>
            <w:tcW w:w="1207" w:type="dxa"/>
            <w:vAlign w:val="top"/>
          </w:tcPr>
          <w:p w14:paraId="656AAE03">
            <w:pPr>
              <w:pStyle w:val="6"/>
              <w:spacing w:before="252" w:line="251" w:lineRule="exact"/>
              <w:ind w:left="552"/>
            </w:pPr>
            <w:r>
              <w:rPr>
                <w:position w:val="1"/>
              </w:rPr>
              <w:t>+</w:t>
            </w:r>
          </w:p>
        </w:tc>
        <w:tc>
          <w:tcPr>
            <w:tcW w:w="912" w:type="dxa"/>
            <w:tcBorders>
              <w:right w:val="single" w:color="000000" w:sz="12" w:space="0"/>
            </w:tcBorders>
            <w:vAlign w:val="top"/>
          </w:tcPr>
          <w:p w14:paraId="1CB407AC">
            <w:pPr>
              <w:rPr>
                <w:rFonts w:ascii="Arial"/>
                <w:sz w:val="21"/>
              </w:rPr>
            </w:pPr>
          </w:p>
        </w:tc>
      </w:tr>
      <w:tr w14:paraId="07C43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04" w:type="dxa"/>
            <w:tcBorders>
              <w:left w:val="single" w:color="000000" w:sz="12" w:space="0"/>
            </w:tcBorders>
            <w:vAlign w:val="top"/>
          </w:tcPr>
          <w:p w14:paraId="445551C2">
            <w:pPr>
              <w:spacing w:before="83" w:line="220" w:lineRule="auto"/>
              <w:ind w:left="135"/>
              <w:rPr>
                <w:rFonts w:ascii="宋体" w:hAnsi="宋体" w:eastAsia="宋体" w:cs="宋体"/>
                <w:sz w:val="21"/>
                <w:szCs w:val="21"/>
              </w:rPr>
            </w:pPr>
            <w:r>
              <w:rPr>
                <w:rFonts w:ascii="宋体" w:hAnsi="宋体" w:eastAsia="宋体" w:cs="宋体"/>
                <w:spacing w:val="-4"/>
                <w:sz w:val="21"/>
                <w:szCs w:val="21"/>
              </w:rPr>
              <w:t>小剑</w:t>
            </w:r>
          </w:p>
          <w:p w14:paraId="3CA462A2">
            <w:pPr>
              <w:spacing w:before="22" w:line="210"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55510FE1">
            <w:pPr>
              <w:spacing w:before="98" w:line="220" w:lineRule="auto"/>
              <w:ind w:left="920"/>
              <w:rPr>
                <w:rFonts w:ascii="宋体" w:hAnsi="宋体" w:eastAsia="宋体" w:cs="宋体"/>
                <w:sz w:val="21"/>
                <w:szCs w:val="21"/>
              </w:rPr>
            </w:pPr>
            <w:r>
              <w:rPr>
                <w:rFonts w:ascii="宋体" w:hAnsi="宋体" w:eastAsia="宋体" w:cs="宋体"/>
                <w:spacing w:val="-2"/>
                <w:sz w:val="21"/>
                <w:szCs w:val="21"/>
              </w:rPr>
              <w:t>跨立小剑水蚤</w:t>
            </w:r>
          </w:p>
          <w:p w14:paraId="11E90728">
            <w:pPr>
              <w:pStyle w:val="6"/>
              <w:spacing w:before="40" w:line="190" w:lineRule="auto"/>
              <w:ind w:left="550"/>
            </w:pPr>
            <w:r>
              <w:rPr>
                <w:i/>
                <w:iCs/>
              </w:rPr>
              <w:t>Microcyclops</w:t>
            </w:r>
            <w:r>
              <w:rPr>
                <w:i/>
                <w:iCs/>
                <w:spacing w:val="3"/>
              </w:rPr>
              <w:t xml:space="preserve">  </w:t>
            </w:r>
            <w:r>
              <w:rPr>
                <w:i/>
                <w:iCs/>
              </w:rPr>
              <w:t>varicans</w:t>
            </w:r>
          </w:p>
        </w:tc>
        <w:tc>
          <w:tcPr>
            <w:tcW w:w="705" w:type="dxa"/>
            <w:vAlign w:val="top"/>
          </w:tcPr>
          <w:p w14:paraId="23A22217">
            <w:pPr>
              <w:pStyle w:val="6"/>
              <w:spacing w:before="254" w:line="251" w:lineRule="exact"/>
              <w:ind w:left="291"/>
            </w:pPr>
            <w:r>
              <w:rPr>
                <w:position w:val="1"/>
              </w:rPr>
              <w:t>+</w:t>
            </w:r>
          </w:p>
        </w:tc>
        <w:tc>
          <w:tcPr>
            <w:tcW w:w="746" w:type="dxa"/>
            <w:vAlign w:val="top"/>
          </w:tcPr>
          <w:p w14:paraId="0729197E">
            <w:pPr>
              <w:pStyle w:val="6"/>
              <w:spacing w:before="254" w:line="251" w:lineRule="exact"/>
              <w:ind w:left="255"/>
            </w:pPr>
            <w:r>
              <w:rPr>
                <w:spacing w:val="-1"/>
                <w:position w:val="1"/>
              </w:rPr>
              <w:t>++</w:t>
            </w:r>
          </w:p>
        </w:tc>
        <w:tc>
          <w:tcPr>
            <w:tcW w:w="525" w:type="dxa"/>
            <w:vAlign w:val="top"/>
          </w:tcPr>
          <w:p w14:paraId="0EDFE550">
            <w:pPr>
              <w:rPr>
                <w:rFonts w:ascii="Arial"/>
                <w:sz w:val="21"/>
              </w:rPr>
            </w:pPr>
          </w:p>
        </w:tc>
        <w:tc>
          <w:tcPr>
            <w:tcW w:w="562" w:type="dxa"/>
            <w:vAlign w:val="top"/>
          </w:tcPr>
          <w:p w14:paraId="190D4BDF">
            <w:pPr>
              <w:pStyle w:val="6"/>
              <w:spacing w:before="254" w:line="251" w:lineRule="exact"/>
              <w:ind w:left="226"/>
            </w:pPr>
            <w:r>
              <w:rPr>
                <w:position w:val="1"/>
              </w:rPr>
              <w:t>+</w:t>
            </w:r>
          </w:p>
        </w:tc>
        <w:tc>
          <w:tcPr>
            <w:tcW w:w="1207" w:type="dxa"/>
            <w:vAlign w:val="top"/>
          </w:tcPr>
          <w:p w14:paraId="71A7FC3E">
            <w:pPr>
              <w:pStyle w:val="6"/>
              <w:spacing w:before="254" w:line="251" w:lineRule="exact"/>
              <w:ind w:left="552"/>
            </w:pPr>
            <w:r>
              <w:rPr>
                <w:position w:val="1"/>
              </w:rPr>
              <w:t>+</w:t>
            </w:r>
          </w:p>
        </w:tc>
        <w:tc>
          <w:tcPr>
            <w:tcW w:w="912" w:type="dxa"/>
            <w:tcBorders>
              <w:right w:val="single" w:color="000000" w:sz="12" w:space="0"/>
            </w:tcBorders>
            <w:vAlign w:val="top"/>
          </w:tcPr>
          <w:p w14:paraId="6577CEBE">
            <w:pPr>
              <w:pStyle w:val="6"/>
              <w:spacing w:before="254" w:line="251" w:lineRule="exact"/>
              <w:ind w:left="397"/>
            </w:pPr>
            <w:r>
              <w:rPr>
                <w:position w:val="1"/>
              </w:rPr>
              <w:t>+</w:t>
            </w:r>
          </w:p>
        </w:tc>
      </w:tr>
      <w:tr w14:paraId="4B53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704" w:type="dxa"/>
            <w:tcBorders>
              <w:left w:val="single" w:color="000000" w:sz="12" w:space="0"/>
              <w:bottom w:val="single" w:color="000000" w:sz="12" w:space="0"/>
            </w:tcBorders>
            <w:vAlign w:val="top"/>
          </w:tcPr>
          <w:p w14:paraId="627580FB">
            <w:pPr>
              <w:spacing w:before="85" w:line="220" w:lineRule="auto"/>
              <w:ind w:left="131"/>
              <w:rPr>
                <w:rFonts w:ascii="宋体" w:hAnsi="宋体" w:eastAsia="宋体" w:cs="宋体"/>
                <w:sz w:val="21"/>
                <w:szCs w:val="21"/>
              </w:rPr>
            </w:pPr>
            <w:r>
              <w:rPr>
                <w:rFonts w:ascii="宋体" w:hAnsi="宋体" w:eastAsia="宋体" w:cs="宋体"/>
                <w:spacing w:val="-3"/>
                <w:sz w:val="21"/>
                <w:szCs w:val="21"/>
              </w:rPr>
              <w:t>温剑</w:t>
            </w:r>
          </w:p>
          <w:p w14:paraId="0548BFC0">
            <w:pPr>
              <w:spacing w:before="20" w:line="220"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tcBorders>
              <w:bottom w:val="single" w:color="000000" w:sz="12" w:space="0"/>
            </w:tcBorders>
            <w:vAlign w:val="top"/>
          </w:tcPr>
          <w:p w14:paraId="7221CCD8">
            <w:pPr>
              <w:spacing w:before="99" w:line="220" w:lineRule="auto"/>
              <w:ind w:left="937"/>
              <w:rPr>
                <w:rFonts w:ascii="宋体" w:hAnsi="宋体" w:eastAsia="宋体" w:cs="宋体"/>
                <w:sz w:val="21"/>
                <w:szCs w:val="21"/>
              </w:rPr>
            </w:pPr>
            <w:r>
              <w:rPr>
                <w:rFonts w:ascii="宋体" w:hAnsi="宋体" w:eastAsia="宋体" w:cs="宋体"/>
                <w:spacing w:val="-4"/>
                <w:sz w:val="21"/>
                <w:szCs w:val="21"/>
              </w:rPr>
              <w:t>台湾温剑水蚤</w:t>
            </w:r>
          </w:p>
          <w:p w14:paraId="33F8BBC1">
            <w:pPr>
              <w:pStyle w:val="6"/>
              <w:spacing w:before="40" w:line="190" w:lineRule="auto"/>
              <w:ind w:left="339"/>
            </w:pPr>
            <w:r>
              <w:rPr>
                <w:i/>
                <w:iCs/>
                <w:spacing w:val="-1"/>
              </w:rPr>
              <w:t>Thermocyclops  taihokuensis</w:t>
            </w:r>
          </w:p>
        </w:tc>
        <w:tc>
          <w:tcPr>
            <w:tcW w:w="705" w:type="dxa"/>
            <w:tcBorders>
              <w:bottom w:val="single" w:color="000000" w:sz="12" w:space="0"/>
            </w:tcBorders>
            <w:vAlign w:val="top"/>
          </w:tcPr>
          <w:p w14:paraId="6E6DD180">
            <w:pPr>
              <w:pStyle w:val="6"/>
              <w:spacing w:before="254" w:line="251" w:lineRule="exact"/>
              <w:ind w:left="232"/>
            </w:pPr>
            <w:r>
              <w:rPr>
                <w:spacing w:val="-1"/>
                <w:position w:val="1"/>
              </w:rPr>
              <w:t>++</w:t>
            </w:r>
          </w:p>
        </w:tc>
        <w:tc>
          <w:tcPr>
            <w:tcW w:w="746" w:type="dxa"/>
            <w:tcBorders>
              <w:bottom w:val="single" w:color="000000" w:sz="12" w:space="0"/>
            </w:tcBorders>
            <w:vAlign w:val="top"/>
          </w:tcPr>
          <w:p w14:paraId="30233742">
            <w:pPr>
              <w:pStyle w:val="6"/>
              <w:spacing w:before="254" w:line="251" w:lineRule="exact"/>
              <w:ind w:left="314"/>
            </w:pPr>
            <w:r>
              <w:rPr>
                <w:position w:val="1"/>
              </w:rPr>
              <w:t>+</w:t>
            </w:r>
          </w:p>
        </w:tc>
        <w:tc>
          <w:tcPr>
            <w:tcW w:w="525" w:type="dxa"/>
            <w:tcBorders>
              <w:bottom w:val="single" w:color="000000" w:sz="12" w:space="0"/>
            </w:tcBorders>
            <w:vAlign w:val="top"/>
          </w:tcPr>
          <w:p w14:paraId="4964E3E0">
            <w:pPr>
              <w:pStyle w:val="6"/>
              <w:spacing w:before="254" w:line="251" w:lineRule="exact"/>
              <w:ind w:left="205"/>
            </w:pPr>
            <w:r>
              <w:rPr>
                <w:position w:val="1"/>
              </w:rPr>
              <w:t>+</w:t>
            </w:r>
          </w:p>
        </w:tc>
        <w:tc>
          <w:tcPr>
            <w:tcW w:w="562" w:type="dxa"/>
            <w:tcBorders>
              <w:bottom w:val="single" w:color="000000" w:sz="12" w:space="0"/>
            </w:tcBorders>
            <w:vAlign w:val="top"/>
          </w:tcPr>
          <w:p w14:paraId="2352637C">
            <w:pPr>
              <w:rPr>
                <w:rFonts w:ascii="Arial"/>
                <w:sz w:val="21"/>
              </w:rPr>
            </w:pPr>
          </w:p>
        </w:tc>
        <w:tc>
          <w:tcPr>
            <w:tcW w:w="1207" w:type="dxa"/>
            <w:tcBorders>
              <w:bottom w:val="single" w:color="000000" w:sz="12" w:space="0"/>
            </w:tcBorders>
            <w:vAlign w:val="top"/>
          </w:tcPr>
          <w:p w14:paraId="46E22EC9">
            <w:pPr>
              <w:pStyle w:val="6"/>
              <w:spacing w:before="254" w:line="251" w:lineRule="exact"/>
              <w:ind w:left="552"/>
            </w:pPr>
            <w:r>
              <w:rPr>
                <w:position w:val="1"/>
              </w:rPr>
              <w:t>+</w:t>
            </w:r>
          </w:p>
        </w:tc>
        <w:tc>
          <w:tcPr>
            <w:tcW w:w="912" w:type="dxa"/>
            <w:tcBorders>
              <w:bottom w:val="single" w:color="000000" w:sz="12" w:space="0"/>
              <w:right w:val="single" w:color="000000" w:sz="12" w:space="0"/>
            </w:tcBorders>
            <w:vAlign w:val="top"/>
          </w:tcPr>
          <w:p w14:paraId="6D42A729">
            <w:pPr>
              <w:pStyle w:val="6"/>
              <w:spacing w:before="254" w:line="251" w:lineRule="exact"/>
              <w:ind w:left="338"/>
            </w:pPr>
            <w:r>
              <w:rPr>
                <w:spacing w:val="-1"/>
                <w:position w:val="1"/>
              </w:rPr>
              <w:t>++</w:t>
            </w:r>
          </w:p>
        </w:tc>
      </w:tr>
    </w:tbl>
    <w:p w14:paraId="110D98F2">
      <w:pPr>
        <w:rPr>
          <w:rFonts w:ascii="Arial"/>
          <w:sz w:val="21"/>
        </w:rPr>
      </w:pPr>
    </w:p>
    <w:p w14:paraId="3D27F173">
      <w:pPr>
        <w:rPr>
          <w:rFonts w:ascii="Arial" w:hAnsi="Arial" w:eastAsia="Arial" w:cs="Arial"/>
          <w:sz w:val="21"/>
          <w:szCs w:val="21"/>
        </w:rPr>
        <w:sectPr>
          <w:footerReference r:id="rId213" w:type="default"/>
          <w:pgSz w:w="11907" w:h="16839"/>
          <w:pgMar w:top="1376" w:right="1669" w:bottom="1061" w:left="1671" w:header="999" w:footer="861" w:gutter="0"/>
          <w:cols w:space="720" w:num="1"/>
        </w:sectPr>
      </w:pPr>
    </w:p>
    <w:p w14:paraId="62C2A7B8">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112"/>
        <w:gridCol w:w="705"/>
        <w:gridCol w:w="746"/>
        <w:gridCol w:w="525"/>
        <w:gridCol w:w="562"/>
        <w:gridCol w:w="1207"/>
        <w:gridCol w:w="912"/>
      </w:tblGrid>
      <w:tr w14:paraId="1E60D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816" w:type="dxa"/>
            <w:gridSpan w:val="2"/>
            <w:vMerge w:val="restart"/>
            <w:tcBorders>
              <w:top w:val="single" w:color="000000" w:sz="12" w:space="0"/>
              <w:left w:val="single" w:color="000000" w:sz="12" w:space="0"/>
              <w:bottom w:val="nil"/>
            </w:tcBorders>
            <w:vAlign w:val="top"/>
          </w:tcPr>
          <w:p w14:paraId="06FC20F8">
            <w:pPr>
              <w:spacing w:line="403" w:lineRule="auto"/>
              <w:rPr>
                <w:rFonts w:ascii="Arial"/>
                <w:sz w:val="21"/>
              </w:rPr>
            </w:pPr>
          </w:p>
          <w:p w14:paraId="15DDB693">
            <w:pPr>
              <w:spacing w:before="68" w:line="220" w:lineRule="auto"/>
              <w:ind w:left="1689"/>
              <w:rPr>
                <w:rFonts w:ascii="宋体" w:hAnsi="宋体" w:eastAsia="宋体" w:cs="宋体"/>
                <w:sz w:val="21"/>
                <w:szCs w:val="21"/>
              </w:rPr>
            </w:pPr>
            <w:r>
              <w:rPr>
                <w:rFonts w:ascii="宋体" w:hAnsi="宋体" w:eastAsia="宋体" w:cs="宋体"/>
                <w:spacing w:val="-3"/>
                <w:sz w:val="21"/>
                <w:szCs w:val="21"/>
              </w:rPr>
              <w:t>种类</w:t>
            </w:r>
          </w:p>
        </w:tc>
        <w:tc>
          <w:tcPr>
            <w:tcW w:w="4657" w:type="dxa"/>
            <w:gridSpan w:val="6"/>
            <w:tcBorders>
              <w:top w:val="single" w:color="000000" w:sz="12" w:space="0"/>
              <w:right w:val="single" w:color="000000" w:sz="12" w:space="0"/>
            </w:tcBorders>
            <w:vAlign w:val="top"/>
          </w:tcPr>
          <w:p w14:paraId="6FE5A4BB">
            <w:pPr>
              <w:spacing w:before="45" w:line="206" w:lineRule="auto"/>
              <w:ind w:left="1910"/>
              <w:rPr>
                <w:rFonts w:ascii="宋体" w:hAnsi="宋体" w:eastAsia="宋体" w:cs="宋体"/>
                <w:sz w:val="21"/>
                <w:szCs w:val="21"/>
              </w:rPr>
            </w:pPr>
            <w:r>
              <w:rPr>
                <w:rFonts w:ascii="宋体" w:hAnsi="宋体" w:eastAsia="宋体" w:cs="宋体"/>
                <w:spacing w:val="-2"/>
                <w:sz w:val="21"/>
                <w:szCs w:val="21"/>
              </w:rPr>
              <w:t>相对数量</w:t>
            </w:r>
          </w:p>
        </w:tc>
      </w:tr>
      <w:tr w14:paraId="2C535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3816" w:type="dxa"/>
            <w:gridSpan w:val="2"/>
            <w:vMerge w:val="continue"/>
            <w:tcBorders>
              <w:top w:val="nil"/>
              <w:left w:val="single" w:color="000000" w:sz="12" w:space="0"/>
            </w:tcBorders>
            <w:vAlign w:val="top"/>
          </w:tcPr>
          <w:p w14:paraId="7487A0B3">
            <w:pPr>
              <w:rPr>
                <w:rFonts w:ascii="Arial"/>
                <w:sz w:val="21"/>
              </w:rPr>
            </w:pPr>
          </w:p>
        </w:tc>
        <w:tc>
          <w:tcPr>
            <w:tcW w:w="705" w:type="dxa"/>
            <w:vAlign w:val="top"/>
          </w:tcPr>
          <w:p w14:paraId="776B9776">
            <w:pPr>
              <w:spacing w:before="196" w:line="242" w:lineRule="auto"/>
              <w:ind w:left="144" w:right="33" w:hanging="98"/>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746" w:type="dxa"/>
            <w:vAlign w:val="top"/>
          </w:tcPr>
          <w:p w14:paraId="0FF23BB6">
            <w:pPr>
              <w:spacing w:before="196" w:line="242" w:lineRule="auto"/>
              <w:ind w:left="168" w:right="50" w:hanging="103"/>
              <w:rPr>
                <w:rFonts w:ascii="宋体" w:hAnsi="宋体" w:eastAsia="宋体" w:cs="宋体"/>
                <w:sz w:val="21"/>
                <w:szCs w:val="21"/>
              </w:rPr>
            </w:pPr>
            <w:r>
              <w:rPr>
                <w:rFonts w:ascii="宋体" w:hAnsi="宋体" w:eastAsia="宋体" w:cs="宋体"/>
                <w:spacing w:val="-4"/>
                <w:sz w:val="21"/>
                <w:szCs w:val="21"/>
              </w:rPr>
              <w:t>车章河</w:t>
            </w:r>
            <w:r>
              <w:rPr>
                <w:rFonts w:ascii="宋体" w:hAnsi="宋体" w:eastAsia="宋体" w:cs="宋体"/>
                <w:spacing w:val="-3"/>
                <w:sz w:val="21"/>
                <w:szCs w:val="21"/>
              </w:rPr>
              <w:t>库尾</w:t>
            </w:r>
          </w:p>
        </w:tc>
        <w:tc>
          <w:tcPr>
            <w:tcW w:w="525" w:type="dxa"/>
            <w:vAlign w:val="top"/>
          </w:tcPr>
          <w:p w14:paraId="5C39F928">
            <w:pPr>
              <w:spacing w:before="60" w:line="222" w:lineRule="auto"/>
              <w:ind w:left="90"/>
              <w:rPr>
                <w:rFonts w:ascii="宋体" w:hAnsi="宋体" w:eastAsia="宋体" w:cs="宋体"/>
                <w:sz w:val="21"/>
                <w:szCs w:val="21"/>
              </w:rPr>
            </w:pPr>
            <w:r>
              <w:rPr>
                <w:rFonts w:ascii="宋体" w:hAnsi="宋体" w:eastAsia="宋体" w:cs="宋体"/>
                <w:spacing w:val="-10"/>
                <w:sz w:val="21"/>
                <w:szCs w:val="21"/>
              </w:rPr>
              <w:t>白塔</w:t>
            </w:r>
          </w:p>
          <w:p w14:paraId="67A9E175">
            <w:pPr>
              <w:spacing w:before="19" w:line="230" w:lineRule="auto"/>
              <w:ind w:left="164" w:right="42" w:hanging="105"/>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562" w:type="dxa"/>
            <w:vAlign w:val="top"/>
          </w:tcPr>
          <w:p w14:paraId="036975BA">
            <w:pPr>
              <w:spacing w:before="60" w:line="222" w:lineRule="auto"/>
              <w:ind w:left="110"/>
              <w:rPr>
                <w:rFonts w:ascii="宋体" w:hAnsi="宋体" w:eastAsia="宋体" w:cs="宋体"/>
                <w:sz w:val="21"/>
                <w:szCs w:val="21"/>
              </w:rPr>
            </w:pPr>
            <w:r>
              <w:rPr>
                <w:rFonts w:ascii="宋体" w:hAnsi="宋体" w:eastAsia="宋体" w:cs="宋体"/>
                <w:spacing w:val="-10"/>
                <w:sz w:val="21"/>
                <w:szCs w:val="21"/>
              </w:rPr>
              <w:t>白塔</w:t>
            </w:r>
          </w:p>
          <w:p w14:paraId="50680226">
            <w:pPr>
              <w:spacing w:before="19" w:line="230" w:lineRule="auto"/>
              <w:ind w:left="188" w:right="60"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207" w:type="dxa"/>
            <w:vAlign w:val="top"/>
          </w:tcPr>
          <w:p w14:paraId="6E7A02AF">
            <w:pPr>
              <w:spacing w:before="60" w:line="219" w:lineRule="auto"/>
              <w:ind w:left="97"/>
              <w:rPr>
                <w:rFonts w:ascii="宋体" w:hAnsi="宋体" w:eastAsia="宋体" w:cs="宋体"/>
                <w:sz w:val="21"/>
                <w:szCs w:val="21"/>
              </w:rPr>
            </w:pPr>
            <w:r>
              <w:rPr>
                <w:rFonts w:ascii="宋体" w:hAnsi="宋体" w:eastAsia="宋体" w:cs="宋体"/>
                <w:spacing w:val="-3"/>
                <w:sz w:val="21"/>
                <w:szCs w:val="21"/>
              </w:rPr>
              <w:t>马龙河干流</w:t>
            </w:r>
          </w:p>
          <w:p w14:paraId="79BD14EE">
            <w:pPr>
              <w:pStyle w:val="6"/>
              <w:spacing w:before="23" w:line="234" w:lineRule="auto"/>
              <w:ind w:left="91"/>
            </w:pPr>
            <w:r>
              <w:rPr>
                <w:rFonts w:ascii="宋体" w:hAnsi="宋体" w:eastAsia="宋体" w:cs="宋体"/>
                <w:spacing w:val="-3"/>
              </w:rPr>
              <w:t>离坝址</w:t>
            </w:r>
            <w:r>
              <w:rPr>
                <w:rFonts w:ascii="宋体" w:hAnsi="宋体" w:eastAsia="宋体" w:cs="宋体"/>
                <w:spacing w:val="-45"/>
              </w:rPr>
              <w:t xml:space="preserve"> </w:t>
            </w:r>
            <w:r>
              <w:rPr>
                <w:spacing w:val="-3"/>
              </w:rPr>
              <w:t>2km</w:t>
            </w:r>
          </w:p>
          <w:p w14:paraId="1D646558">
            <w:pPr>
              <w:spacing w:before="6" w:line="220" w:lineRule="auto"/>
              <w:ind w:left="515"/>
              <w:rPr>
                <w:rFonts w:ascii="宋体" w:hAnsi="宋体" w:eastAsia="宋体" w:cs="宋体"/>
                <w:sz w:val="21"/>
                <w:szCs w:val="21"/>
              </w:rPr>
            </w:pPr>
            <w:r>
              <w:rPr>
                <w:rFonts w:ascii="宋体" w:hAnsi="宋体" w:eastAsia="宋体" w:cs="宋体"/>
                <w:sz w:val="21"/>
                <w:szCs w:val="21"/>
              </w:rPr>
              <w:t>处</w:t>
            </w:r>
          </w:p>
        </w:tc>
        <w:tc>
          <w:tcPr>
            <w:tcW w:w="912" w:type="dxa"/>
            <w:tcBorders>
              <w:right w:val="single" w:color="000000" w:sz="12" w:space="0"/>
            </w:tcBorders>
            <w:vAlign w:val="top"/>
          </w:tcPr>
          <w:p w14:paraId="460E2850">
            <w:pPr>
              <w:spacing w:before="60" w:line="219" w:lineRule="auto"/>
              <w:ind w:left="47"/>
              <w:rPr>
                <w:rFonts w:ascii="宋体" w:hAnsi="宋体" w:eastAsia="宋体" w:cs="宋体"/>
                <w:sz w:val="21"/>
                <w:szCs w:val="21"/>
              </w:rPr>
            </w:pPr>
            <w:r>
              <w:rPr>
                <w:rFonts w:ascii="宋体" w:hAnsi="宋体" w:eastAsia="宋体" w:cs="宋体"/>
                <w:spacing w:val="-3"/>
                <w:sz w:val="21"/>
                <w:szCs w:val="21"/>
              </w:rPr>
              <w:t>马龙河干</w:t>
            </w:r>
          </w:p>
          <w:p w14:paraId="1E187229">
            <w:pPr>
              <w:spacing w:before="23" w:line="220" w:lineRule="auto"/>
              <w:ind w:left="41"/>
              <w:rPr>
                <w:rFonts w:ascii="宋体" w:hAnsi="宋体" w:eastAsia="宋体" w:cs="宋体"/>
                <w:sz w:val="21"/>
                <w:szCs w:val="21"/>
              </w:rPr>
            </w:pPr>
            <w:r>
              <w:rPr>
                <w:rFonts w:ascii="宋体" w:hAnsi="宋体" w:eastAsia="宋体" w:cs="宋体"/>
                <w:spacing w:val="-2"/>
                <w:sz w:val="21"/>
                <w:szCs w:val="21"/>
              </w:rPr>
              <w:t>流离坝址</w:t>
            </w:r>
          </w:p>
          <w:p w14:paraId="07A8F652">
            <w:pPr>
              <w:pStyle w:val="6"/>
              <w:spacing w:before="22" w:line="220" w:lineRule="auto"/>
              <w:ind w:left="14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17A99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704" w:type="dxa"/>
            <w:tcBorders>
              <w:left w:val="single" w:color="000000" w:sz="12" w:space="0"/>
            </w:tcBorders>
            <w:vAlign w:val="top"/>
          </w:tcPr>
          <w:p w14:paraId="7BBBAAC0">
            <w:pPr>
              <w:spacing w:before="72" w:line="220" w:lineRule="auto"/>
              <w:ind w:left="133"/>
              <w:rPr>
                <w:rFonts w:ascii="宋体" w:hAnsi="宋体" w:eastAsia="宋体" w:cs="宋体"/>
                <w:sz w:val="21"/>
                <w:szCs w:val="21"/>
              </w:rPr>
            </w:pPr>
            <w:r>
              <w:rPr>
                <w:rFonts w:ascii="宋体" w:hAnsi="宋体" w:eastAsia="宋体" w:cs="宋体"/>
                <w:spacing w:val="-4"/>
                <w:sz w:val="21"/>
                <w:szCs w:val="21"/>
              </w:rPr>
              <w:t>外剑</w:t>
            </w:r>
          </w:p>
          <w:p w14:paraId="124B563A">
            <w:pPr>
              <w:spacing w:before="22" w:line="212" w:lineRule="auto"/>
              <w:ind w:left="131"/>
              <w:rPr>
                <w:rFonts w:ascii="宋体" w:hAnsi="宋体" w:eastAsia="宋体" w:cs="宋体"/>
                <w:sz w:val="21"/>
                <w:szCs w:val="21"/>
              </w:rPr>
            </w:pPr>
            <w:r>
              <w:rPr>
                <w:rFonts w:ascii="宋体" w:hAnsi="宋体" w:eastAsia="宋体" w:cs="宋体"/>
                <w:spacing w:val="-3"/>
                <w:sz w:val="21"/>
                <w:szCs w:val="21"/>
              </w:rPr>
              <w:t>水蚤</w:t>
            </w:r>
          </w:p>
        </w:tc>
        <w:tc>
          <w:tcPr>
            <w:tcW w:w="3112" w:type="dxa"/>
            <w:vAlign w:val="top"/>
          </w:tcPr>
          <w:p w14:paraId="49EBDF2E">
            <w:pPr>
              <w:spacing w:before="88" w:line="220" w:lineRule="auto"/>
              <w:ind w:left="920"/>
              <w:rPr>
                <w:rFonts w:ascii="宋体" w:hAnsi="宋体" w:eastAsia="宋体" w:cs="宋体"/>
                <w:sz w:val="21"/>
                <w:szCs w:val="21"/>
              </w:rPr>
            </w:pPr>
            <w:r>
              <w:rPr>
                <w:rFonts w:ascii="宋体" w:hAnsi="宋体" w:eastAsia="宋体" w:cs="宋体"/>
                <w:spacing w:val="-2"/>
                <w:sz w:val="21"/>
                <w:szCs w:val="21"/>
              </w:rPr>
              <w:t>胸饰外剑水蚤</w:t>
            </w:r>
          </w:p>
          <w:p w14:paraId="36F10288">
            <w:pPr>
              <w:pStyle w:val="6"/>
              <w:spacing w:before="40" w:line="190" w:lineRule="auto"/>
              <w:ind w:left="530"/>
            </w:pPr>
            <w:r>
              <w:rPr>
                <w:i/>
                <w:iCs/>
                <w:spacing w:val="1"/>
              </w:rPr>
              <w:t>Ectocyclops</w:t>
            </w:r>
            <w:r>
              <w:rPr>
                <w:i/>
                <w:iCs/>
                <w:spacing w:val="36"/>
                <w:w w:val="101"/>
              </w:rPr>
              <w:t xml:space="preserve"> </w:t>
            </w:r>
            <w:r>
              <w:rPr>
                <w:i/>
                <w:iCs/>
                <w:spacing w:val="1"/>
              </w:rPr>
              <w:t>phaleratus</w:t>
            </w:r>
          </w:p>
        </w:tc>
        <w:tc>
          <w:tcPr>
            <w:tcW w:w="705" w:type="dxa"/>
            <w:vAlign w:val="top"/>
          </w:tcPr>
          <w:p w14:paraId="442D7081">
            <w:pPr>
              <w:pStyle w:val="6"/>
              <w:spacing w:before="242" w:line="251" w:lineRule="exact"/>
              <w:ind w:left="291"/>
            </w:pPr>
            <w:r>
              <w:rPr>
                <w:position w:val="1"/>
              </w:rPr>
              <w:t>+</w:t>
            </w:r>
          </w:p>
        </w:tc>
        <w:tc>
          <w:tcPr>
            <w:tcW w:w="746" w:type="dxa"/>
            <w:vAlign w:val="top"/>
          </w:tcPr>
          <w:p w14:paraId="4851BE1A">
            <w:pPr>
              <w:rPr>
                <w:rFonts w:ascii="Arial"/>
                <w:sz w:val="21"/>
              </w:rPr>
            </w:pPr>
          </w:p>
        </w:tc>
        <w:tc>
          <w:tcPr>
            <w:tcW w:w="525" w:type="dxa"/>
            <w:vAlign w:val="top"/>
          </w:tcPr>
          <w:p w14:paraId="0B9749F5">
            <w:pPr>
              <w:pStyle w:val="6"/>
              <w:spacing w:before="242" w:line="251" w:lineRule="exact"/>
              <w:ind w:left="147"/>
            </w:pPr>
            <w:r>
              <w:rPr>
                <w:spacing w:val="-1"/>
                <w:position w:val="1"/>
              </w:rPr>
              <w:t>++</w:t>
            </w:r>
          </w:p>
        </w:tc>
        <w:tc>
          <w:tcPr>
            <w:tcW w:w="562" w:type="dxa"/>
            <w:vAlign w:val="top"/>
          </w:tcPr>
          <w:p w14:paraId="683E7755">
            <w:pPr>
              <w:pStyle w:val="6"/>
              <w:spacing w:before="242" w:line="251" w:lineRule="exact"/>
              <w:ind w:left="226"/>
            </w:pPr>
            <w:r>
              <w:rPr>
                <w:position w:val="1"/>
              </w:rPr>
              <w:t>+</w:t>
            </w:r>
          </w:p>
        </w:tc>
        <w:tc>
          <w:tcPr>
            <w:tcW w:w="1207" w:type="dxa"/>
            <w:vAlign w:val="top"/>
          </w:tcPr>
          <w:p w14:paraId="19F84EF4">
            <w:pPr>
              <w:pStyle w:val="6"/>
              <w:spacing w:before="242" w:line="251" w:lineRule="exact"/>
              <w:ind w:left="493"/>
            </w:pPr>
            <w:r>
              <w:rPr>
                <w:spacing w:val="-1"/>
                <w:position w:val="1"/>
              </w:rPr>
              <w:t>++</w:t>
            </w:r>
          </w:p>
        </w:tc>
        <w:tc>
          <w:tcPr>
            <w:tcW w:w="912" w:type="dxa"/>
            <w:tcBorders>
              <w:right w:val="single" w:color="000000" w:sz="12" w:space="0"/>
            </w:tcBorders>
            <w:vAlign w:val="top"/>
          </w:tcPr>
          <w:p w14:paraId="6470579B">
            <w:pPr>
              <w:rPr>
                <w:rFonts w:ascii="Arial"/>
                <w:sz w:val="21"/>
              </w:rPr>
            </w:pPr>
          </w:p>
        </w:tc>
      </w:tr>
      <w:tr w14:paraId="647F8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3816" w:type="dxa"/>
            <w:gridSpan w:val="2"/>
            <w:tcBorders>
              <w:left w:val="single" w:color="000000" w:sz="12" w:space="0"/>
              <w:bottom w:val="single" w:color="000000" w:sz="12" w:space="0"/>
            </w:tcBorders>
            <w:vAlign w:val="top"/>
          </w:tcPr>
          <w:p w14:paraId="080A962A">
            <w:pPr>
              <w:spacing w:before="81" w:line="221" w:lineRule="auto"/>
              <w:ind w:left="1695"/>
              <w:rPr>
                <w:rFonts w:ascii="宋体" w:hAnsi="宋体" w:eastAsia="宋体" w:cs="宋体"/>
                <w:sz w:val="21"/>
                <w:szCs w:val="21"/>
              </w:rPr>
            </w:pPr>
            <w:r>
              <w:rPr>
                <w:rFonts w:ascii="宋体" w:hAnsi="宋体" w:eastAsia="宋体" w:cs="宋体"/>
                <w:spacing w:val="-4"/>
                <w:sz w:val="21"/>
                <w:szCs w:val="21"/>
              </w:rPr>
              <w:t>总计</w:t>
            </w:r>
          </w:p>
        </w:tc>
        <w:tc>
          <w:tcPr>
            <w:tcW w:w="705" w:type="dxa"/>
            <w:tcBorders>
              <w:bottom w:val="single" w:color="000000" w:sz="12" w:space="0"/>
            </w:tcBorders>
            <w:vAlign w:val="top"/>
          </w:tcPr>
          <w:p w14:paraId="437FA90F">
            <w:pPr>
              <w:pStyle w:val="6"/>
              <w:spacing w:before="115" w:line="224" w:lineRule="auto"/>
              <w:ind w:left="254"/>
            </w:pPr>
            <w:r>
              <w:rPr>
                <w:spacing w:val="-4"/>
              </w:rPr>
              <w:t>85</w:t>
            </w:r>
          </w:p>
        </w:tc>
        <w:tc>
          <w:tcPr>
            <w:tcW w:w="746" w:type="dxa"/>
            <w:tcBorders>
              <w:bottom w:val="single" w:color="000000" w:sz="12" w:space="0"/>
            </w:tcBorders>
            <w:vAlign w:val="top"/>
          </w:tcPr>
          <w:p w14:paraId="117403B6">
            <w:pPr>
              <w:pStyle w:val="6"/>
              <w:spacing w:before="115" w:line="224" w:lineRule="auto"/>
              <w:ind w:left="278"/>
            </w:pPr>
            <w:r>
              <w:rPr>
                <w:spacing w:val="-4"/>
              </w:rPr>
              <w:t>86</w:t>
            </w:r>
          </w:p>
        </w:tc>
        <w:tc>
          <w:tcPr>
            <w:tcW w:w="525" w:type="dxa"/>
            <w:tcBorders>
              <w:bottom w:val="single" w:color="000000" w:sz="12" w:space="0"/>
            </w:tcBorders>
            <w:vAlign w:val="top"/>
          </w:tcPr>
          <w:p w14:paraId="067E227B">
            <w:pPr>
              <w:pStyle w:val="6"/>
              <w:spacing w:before="115" w:line="224" w:lineRule="auto"/>
              <w:ind w:left="169"/>
            </w:pPr>
            <w:r>
              <w:rPr>
                <w:spacing w:val="-4"/>
              </w:rPr>
              <w:t>80</w:t>
            </w:r>
          </w:p>
        </w:tc>
        <w:tc>
          <w:tcPr>
            <w:tcW w:w="562" w:type="dxa"/>
            <w:tcBorders>
              <w:bottom w:val="single" w:color="000000" w:sz="12" w:space="0"/>
            </w:tcBorders>
            <w:vAlign w:val="top"/>
          </w:tcPr>
          <w:p w14:paraId="1E76C272">
            <w:pPr>
              <w:pStyle w:val="6"/>
              <w:spacing w:before="115" w:line="224" w:lineRule="auto"/>
              <w:ind w:left="190"/>
            </w:pPr>
            <w:r>
              <w:rPr>
                <w:spacing w:val="-4"/>
              </w:rPr>
              <w:t>81</w:t>
            </w:r>
          </w:p>
        </w:tc>
        <w:tc>
          <w:tcPr>
            <w:tcW w:w="1207" w:type="dxa"/>
            <w:tcBorders>
              <w:bottom w:val="single" w:color="000000" w:sz="12" w:space="0"/>
            </w:tcBorders>
            <w:vAlign w:val="top"/>
          </w:tcPr>
          <w:p w14:paraId="3DF21EBF">
            <w:pPr>
              <w:pStyle w:val="6"/>
              <w:spacing w:before="115" w:line="224" w:lineRule="auto"/>
              <w:ind w:left="511"/>
            </w:pPr>
            <w:r>
              <w:rPr>
                <w:spacing w:val="-3"/>
              </w:rPr>
              <w:t>66</w:t>
            </w:r>
          </w:p>
        </w:tc>
        <w:tc>
          <w:tcPr>
            <w:tcW w:w="912" w:type="dxa"/>
            <w:tcBorders>
              <w:bottom w:val="single" w:color="000000" w:sz="12" w:space="0"/>
              <w:right w:val="single" w:color="000000" w:sz="12" w:space="0"/>
            </w:tcBorders>
            <w:vAlign w:val="top"/>
          </w:tcPr>
          <w:p w14:paraId="3A6DB610">
            <w:pPr>
              <w:pStyle w:val="6"/>
              <w:spacing w:before="115" w:line="224" w:lineRule="auto"/>
              <w:ind w:left="357"/>
            </w:pPr>
            <w:r>
              <w:rPr>
                <w:spacing w:val="-3"/>
              </w:rPr>
              <w:t>67</w:t>
            </w:r>
          </w:p>
        </w:tc>
      </w:tr>
    </w:tbl>
    <w:p w14:paraId="51E7D50D">
      <w:pPr>
        <w:pStyle w:val="2"/>
        <w:spacing w:before="147" w:line="217" w:lineRule="auto"/>
        <w:ind w:left="518"/>
        <w:rPr>
          <w:sz w:val="24"/>
          <w:szCs w:val="24"/>
        </w:rPr>
      </w:pPr>
      <w:r>
        <w:rPr>
          <w:spacing w:val="-3"/>
          <w:sz w:val="24"/>
          <w:szCs w:val="24"/>
        </w:rPr>
        <w:t>①密度</w:t>
      </w:r>
    </w:p>
    <w:p w14:paraId="2A8DCBDB">
      <w:pPr>
        <w:pStyle w:val="2"/>
        <w:spacing w:before="159" w:line="338" w:lineRule="auto"/>
        <w:ind w:left="39" w:right="45" w:firstLine="481"/>
        <w:rPr>
          <w:sz w:val="24"/>
          <w:szCs w:val="24"/>
        </w:rPr>
      </w:pPr>
      <w:r>
        <w:rPr>
          <w:spacing w:val="-1"/>
          <w:sz w:val="24"/>
          <w:szCs w:val="24"/>
        </w:rPr>
        <w:t>调查显示，调查水域浮游动物密度平均为</w:t>
      </w:r>
      <w:r>
        <w:rPr>
          <w:spacing w:val="-43"/>
          <w:sz w:val="24"/>
          <w:szCs w:val="24"/>
        </w:rPr>
        <w:t xml:space="preserve"> </w:t>
      </w:r>
      <w:r>
        <w:rPr>
          <w:rFonts w:ascii="Times New Roman" w:hAnsi="Times New Roman" w:eastAsia="Times New Roman" w:cs="Times New Roman"/>
          <w:spacing w:val="-1"/>
          <w:sz w:val="24"/>
          <w:szCs w:val="24"/>
        </w:rPr>
        <w:t>364.25ind./L</w:t>
      </w:r>
      <w:r>
        <w:rPr>
          <w:spacing w:val="-1"/>
          <w:sz w:val="24"/>
          <w:szCs w:val="24"/>
        </w:rPr>
        <w:t>。其中，原生动物密度</w:t>
      </w:r>
      <w:r>
        <w:rPr>
          <w:spacing w:val="-2"/>
          <w:sz w:val="24"/>
          <w:szCs w:val="24"/>
        </w:rPr>
        <w:t xml:space="preserve">为 </w:t>
      </w:r>
      <w:r>
        <w:rPr>
          <w:rFonts w:ascii="Times New Roman" w:hAnsi="Times New Roman" w:eastAsia="Times New Roman" w:cs="Times New Roman"/>
          <w:spacing w:val="-2"/>
          <w:sz w:val="24"/>
          <w:szCs w:val="24"/>
        </w:rPr>
        <w:t>198.33ind./L</w:t>
      </w:r>
      <w:r>
        <w:rPr>
          <w:spacing w:val="-2"/>
          <w:sz w:val="24"/>
          <w:szCs w:val="24"/>
        </w:rPr>
        <w:t>，占浮游动物的</w:t>
      </w:r>
      <w:r>
        <w:rPr>
          <w:spacing w:val="-27"/>
          <w:sz w:val="24"/>
          <w:szCs w:val="24"/>
        </w:rPr>
        <w:t xml:space="preserve"> </w:t>
      </w:r>
      <w:r>
        <w:rPr>
          <w:rFonts w:ascii="Times New Roman" w:hAnsi="Times New Roman" w:eastAsia="Times New Roman" w:cs="Times New Roman"/>
          <w:spacing w:val="-2"/>
          <w:sz w:val="24"/>
          <w:szCs w:val="24"/>
        </w:rPr>
        <w:t>54.45%</w:t>
      </w:r>
      <w:r>
        <w:rPr>
          <w:spacing w:val="-2"/>
          <w:sz w:val="24"/>
          <w:szCs w:val="24"/>
        </w:rPr>
        <w:t xml:space="preserve">；轮虫密度为 </w:t>
      </w:r>
      <w:r>
        <w:rPr>
          <w:rFonts w:ascii="Times New Roman" w:hAnsi="Times New Roman" w:eastAsia="Times New Roman" w:cs="Times New Roman"/>
          <w:spacing w:val="-2"/>
          <w:sz w:val="24"/>
          <w:szCs w:val="24"/>
        </w:rPr>
        <w:t>145.23i</w:t>
      </w:r>
      <w:r>
        <w:rPr>
          <w:rFonts w:ascii="Times New Roman" w:hAnsi="Times New Roman" w:eastAsia="Times New Roman" w:cs="Times New Roman"/>
          <w:spacing w:val="-3"/>
          <w:sz w:val="24"/>
          <w:szCs w:val="24"/>
        </w:rPr>
        <w:t>nd./L</w:t>
      </w:r>
      <w:r>
        <w:rPr>
          <w:spacing w:val="-3"/>
          <w:sz w:val="24"/>
          <w:szCs w:val="24"/>
        </w:rPr>
        <w:t>，占浮游动物的</w:t>
      </w:r>
      <w:r>
        <w:rPr>
          <w:rFonts w:ascii="Times New Roman" w:hAnsi="Times New Roman" w:eastAsia="Times New Roman" w:cs="Times New Roman"/>
          <w:spacing w:val="-6"/>
          <w:sz w:val="24"/>
          <w:szCs w:val="24"/>
        </w:rPr>
        <w:t>39.87%</w:t>
      </w:r>
      <w:r>
        <w:rPr>
          <w:spacing w:val="-6"/>
          <w:sz w:val="24"/>
          <w:szCs w:val="24"/>
        </w:rPr>
        <w:t>；枝角类密度为</w:t>
      </w:r>
      <w:r>
        <w:rPr>
          <w:spacing w:val="-57"/>
          <w:sz w:val="24"/>
          <w:szCs w:val="24"/>
        </w:rPr>
        <w:t xml:space="preserve"> </w:t>
      </w:r>
      <w:r>
        <w:rPr>
          <w:rFonts w:ascii="Times New Roman" w:hAnsi="Times New Roman" w:eastAsia="Times New Roman" w:cs="Times New Roman"/>
          <w:spacing w:val="-6"/>
          <w:sz w:val="24"/>
          <w:szCs w:val="24"/>
        </w:rPr>
        <w:t>13.45ind./L</w:t>
      </w:r>
      <w:r>
        <w:rPr>
          <w:spacing w:val="-6"/>
          <w:sz w:val="24"/>
          <w:szCs w:val="24"/>
        </w:rPr>
        <w:t>，占浮游动物的</w:t>
      </w:r>
      <w:r>
        <w:rPr>
          <w:rFonts w:ascii="Times New Roman" w:hAnsi="Times New Roman" w:eastAsia="Times New Roman" w:cs="Times New Roman"/>
          <w:spacing w:val="-6"/>
          <w:sz w:val="24"/>
          <w:szCs w:val="24"/>
        </w:rPr>
        <w:t>3.</w:t>
      </w:r>
      <w:r>
        <w:rPr>
          <w:rFonts w:ascii="Times New Roman" w:hAnsi="Times New Roman" w:eastAsia="Times New Roman" w:cs="Times New Roman"/>
          <w:spacing w:val="-7"/>
          <w:sz w:val="24"/>
          <w:szCs w:val="24"/>
        </w:rPr>
        <w:t>69%</w:t>
      </w:r>
      <w:r>
        <w:rPr>
          <w:spacing w:val="-7"/>
          <w:sz w:val="24"/>
          <w:szCs w:val="24"/>
        </w:rPr>
        <w:t>；桡足类密度为</w:t>
      </w:r>
      <w:r>
        <w:rPr>
          <w:rFonts w:ascii="Times New Roman" w:hAnsi="Times New Roman" w:eastAsia="Times New Roman" w:cs="Times New Roman"/>
          <w:spacing w:val="-7"/>
          <w:sz w:val="24"/>
          <w:szCs w:val="24"/>
        </w:rPr>
        <w:t>7.24ind./L</w:t>
      </w:r>
      <w:r>
        <w:rPr>
          <w:spacing w:val="-7"/>
          <w:sz w:val="24"/>
          <w:szCs w:val="24"/>
        </w:rPr>
        <w:t>，</w:t>
      </w:r>
      <w:r>
        <w:rPr>
          <w:spacing w:val="-4"/>
          <w:sz w:val="24"/>
          <w:szCs w:val="24"/>
        </w:rPr>
        <w:t>占浮游动物的</w:t>
      </w:r>
      <w:r>
        <w:rPr>
          <w:spacing w:val="-23"/>
          <w:sz w:val="24"/>
          <w:szCs w:val="24"/>
        </w:rPr>
        <w:t xml:space="preserve"> </w:t>
      </w:r>
      <w:r>
        <w:rPr>
          <w:rFonts w:ascii="Times New Roman" w:hAnsi="Times New Roman" w:eastAsia="Times New Roman" w:cs="Times New Roman"/>
          <w:spacing w:val="-4"/>
          <w:sz w:val="24"/>
          <w:szCs w:val="24"/>
        </w:rPr>
        <w:t>1.99%</w:t>
      </w:r>
      <w:r>
        <w:rPr>
          <w:spacing w:val="-4"/>
          <w:sz w:val="24"/>
          <w:szCs w:val="24"/>
        </w:rPr>
        <w:t>。</w:t>
      </w:r>
    </w:p>
    <w:p w14:paraId="3F4BE2E3">
      <w:pPr>
        <w:pStyle w:val="2"/>
        <w:spacing w:before="1" w:line="225"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6.1-20            </w:t>
      </w:r>
      <w:r>
        <w:rPr>
          <w:b/>
          <w:bCs/>
          <w:spacing w:val="-1"/>
          <w:sz w:val="24"/>
          <w:szCs w:val="24"/>
        </w:rPr>
        <w:t>环评期和施工期工程影响河段浮游动物密度（</w:t>
      </w:r>
      <w:r>
        <w:rPr>
          <w:rFonts w:ascii="Times New Roman" w:hAnsi="Times New Roman" w:eastAsia="Times New Roman" w:cs="Times New Roman"/>
          <w:b/>
          <w:bCs/>
          <w:spacing w:val="-1"/>
          <w:sz w:val="24"/>
          <w:szCs w:val="24"/>
        </w:rPr>
        <w:t>in</w:t>
      </w:r>
      <w:r>
        <w:rPr>
          <w:rFonts w:ascii="Times New Roman" w:hAnsi="Times New Roman" w:eastAsia="Times New Roman" w:cs="Times New Roman"/>
          <w:b/>
          <w:bCs/>
          <w:spacing w:val="-2"/>
          <w:sz w:val="24"/>
          <w:szCs w:val="24"/>
        </w:rPr>
        <w:t>d./L</w:t>
      </w:r>
      <w:r>
        <w:rPr>
          <w:b/>
          <w:bCs/>
          <w:spacing w:val="-2"/>
          <w:sz w:val="24"/>
          <w:szCs w:val="24"/>
        </w:rPr>
        <w:t>）</w:t>
      </w:r>
    </w:p>
    <w:tbl>
      <w:tblPr>
        <w:tblStyle w:val="5"/>
        <w:tblW w:w="8471" w:type="dxa"/>
        <w:tblInd w:w="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2"/>
        <w:gridCol w:w="1388"/>
        <w:gridCol w:w="1385"/>
        <w:gridCol w:w="1511"/>
        <w:gridCol w:w="1386"/>
        <w:gridCol w:w="1119"/>
      </w:tblGrid>
      <w:tr w14:paraId="0B266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82" w:type="dxa"/>
            <w:tcBorders>
              <w:top w:val="single" w:color="000000" w:sz="12" w:space="0"/>
              <w:left w:val="single" w:color="000000" w:sz="12" w:space="0"/>
            </w:tcBorders>
            <w:vAlign w:val="top"/>
          </w:tcPr>
          <w:p w14:paraId="4F079996">
            <w:pPr>
              <w:spacing w:before="59" w:line="221" w:lineRule="auto"/>
              <w:ind w:left="409"/>
              <w:rPr>
                <w:rFonts w:ascii="宋体" w:hAnsi="宋体" w:eastAsia="宋体" w:cs="宋体"/>
                <w:sz w:val="21"/>
                <w:szCs w:val="21"/>
              </w:rPr>
            </w:pPr>
            <w:r>
              <w:rPr>
                <w:rFonts w:ascii="宋体" w:hAnsi="宋体" w:eastAsia="宋体" w:cs="宋体"/>
                <w:spacing w:val="-3"/>
                <w:sz w:val="21"/>
                <w:szCs w:val="21"/>
              </w:rPr>
              <w:t>监测时间</w:t>
            </w:r>
          </w:p>
        </w:tc>
        <w:tc>
          <w:tcPr>
            <w:tcW w:w="1388" w:type="dxa"/>
            <w:tcBorders>
              <w:top w:val="single" w:color="000000" w:sz="12" w:space="0"/>
            </w:tcBorders>
            <w:vAlign w:val="top"/>
          </w:tcPr>
          <w:p w14:paraId="3E17120A">
            <w:pPr>
              <w:spacing w:before="59" w:line="220" w:lineRule="auto"/>
              <w:ind w:left="274"/>
              <w:rPr>
                <w:rFonts w:ascii="宋体" w:hAnsi="宋体" w:eastAsia="宋体" w:cs="宋体"/>
                <w:sz w:val="21"/>
                <w:szCs w:val="21"/>
              </w:rPr>
            </w:pPr>
            <w:r>
              <w:rPr>
                <w:rFonts w:ascii="宋体" w:hAnsi="宋体" w:eastAsia="宋体" w:cs="宋体"/>
                <w:spacing w:val="-3"/>
                <w:sz w:val="21"/>
                <w:szCs w:val="21"/>
              </w:rPr>
              <w:t>原生动物</w:t>
            </w:r>
          </w:p>
        </w:tc>
        <w:tc>
          <w:tcPr>
            <w:tcW w:w="1385" w:type="dxa"/>
            <w:tcBorders>
              <w:top w:val="single" w:color="000000" w:sz="12" w:space="0"/>
            </w:tcBorders>
            <w:vAlign w:val="top"/>
          </w:tcPr>
          <w:p w14:paraId="3F0F048C">
            <w:pPr>
              <w:spacing w:before="59" w:line="221" w:lineRule="auto"/>
              <w:ind w:left="482"/>
              <w:rPr>
                <w:rFonts w:ascii="宋体" w:hAnsi="宋体" w:eastAsia="宋体" w:cs="宋体"/>
                <w:sz w:val="21"/>
                <w:szCs w:val="21"/>
              </w:rPr>
            </w:pPr>
            <w:r>
              <w:rPr>
                <w:rFonts w:ascii="宋体" w:hAnsi="宋体" w:eastAsia="宋体" w:cs="宋体"/>
                <w:spacing w:val="-3"/>
                <w:sz w:val="21"/>
                <w:szCs w:val="21"/>
              </w:rPr>
              <w:t>轮虫</w:t>
            </w:r>
          </w:p>
        </w:tc>
        <w:tc>
          <w:tcPr>
            <w:tcW w:w="1511" w:type="dxa"/>
            <w:tcBorders>
              <w:top w:val="single" w:color="000000" w:sz="12" w:space="0"/>
            </w:tcBorders>
            <w:vAlign w:val="top"/>
          </w:tcPr>
          <w:p w14:paraId="3960E321">
            <w:pPr>
              <w:spacing w:before="59" w:line="219" w:lineRule="auto"/>
              <w:ind w:left="449"/>
              <w:rPr>
                <w:rFonts w:ascii="宋体" w:hAnsi="宋体" w:eastAsia="宋体" w:cs="宋体"/>
                <w:sz w:val="21"/>
                <w:szCs w:val="21"/>
              </w:rPr>
            </w:pPr>
            <w:r>
              <w:rPr>
                <w:rFonts w:ascii="宋体" w:hAnsi="宋体" w:eastAsia="宋体" w:cs="宋体"/>
                <w:spacing w:val="-3"/>
                <w:sz w:val="21"/>
                <w:szCs w:val="21"/>
              </w:rPr>
              <w:t>枝角类</w:t>
            </w:r>
          </w:p>
        </w:tc>
        <w:tc>
          <w:tcPr>
            <w:tcW w:w="1386" w:type="dxa"/>
            <w:tcBorders>
              <w:top w:val="single" w:color="000000" w:sz="12" w:space="0"/>
            </w:tcBorders>
            <w:vAlign w:val="top"/>
          </w:tcPr>
          <w:p w14:paraId="2764436D">
            <w:pPr>
              <w:spacing w:before="59" w:line="220" w:lineRule="auto"/>
              <w:ind w:left="390"/>
              <w:rPr>
                <w:rFonts w:ascii="宋体" w:hAnsi="宋体" w:eastAsia="宋体" w:cs="宋体"/>
                <w:sz w:val="21"/>
                <w:szCs w:val="21"/>
              </w:rPr>
            </w:pPr>
            <w:r>
              <w:rPr>
                <w:rFonts w:ascii="宋体" w:hAnsi="宋体" w:eastAsia="宋体" w:cs="宋体"/>
                <w:spacing w:val="-2"/>
                <w:sz w:val="21"/>
                <w:szCs w:val="21"/>
              </w:rPr>
              <w:t>桡足类</w:t>
            </w:r>
          </w:p>
        </w:tc>
        <w:tc>
          <w:tcPr>
            <w:tcW w:w="1119" w:type="dxa"/>
            <w:tcBorders>
              <w:top w:val="single" w:color="000000" w:sz="12" w:space="0"/>
              <w:right w:val="single" w:color="000000" w:sz="12" w:space="0"/>
            </w:tcBorders>
            <w:vAlign w:val="top"/>
          </w:tcPr>
          <w:p w14:paraId="1DE955EE">
            <w:pPr>
              <w:spacing w:before="59" w:line="220" w:lineRule="auto"/>
              <w:ind w:left="252"/>
              <w:rPr>
                <w:rFonts w:ascii="宋体" w:hAnsi="宋体" w:eastAsia="宋体" w:cs="宋体"/>
                <w:sz w:val="21"/>
                <w:szCs w:val="21"/>
              </w:rPr>
            </w:pPr>
            <w:r>
              <w:rPr>
                <w:rFonts w:ascii="宋体" w:hAnsi="宋体" w:eastAsia="宋体" w:cs="宋体"/>
                <w:spacing w:val="-2"/>
                <w:sz w:val="21"/>
                <w:szCs w:val="21"/>
              </w:rPr>
              <w:t>平均值</w:t>
            </w:r>
          </w:p>
        </w:tc>
      </w:tr>
      <w:tr w14:paraId="421FD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682" w:type="dxa"/>
            <w:tcBorders>
              <w:left w:val="single" w:color="000000" w:sz="12" w:space="0"/>
            </w:tcBorders>
            <w:vAlign w:val="top"/>
          </w:tcPr>
          <w:p w14:paraId="27163899">
            <w:pPr>
              <w:pStyle w:val="6"/>
              <w:spacing w:before="67" w:line="216" w:lineRule="auto"/>
              <w:ind w:left="273"/>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388" w:type="dxa"/>
            <w:vAlign w:val="top"/>
          </w:tcPr>
          <w:p w14:paraId="6A8E29D5">
            <w:pPr>
              <w:pStyle w:val="6"/>
              <w:spacing w:before="100" w:line="211" w:lineRule="auto"/>
              <w:ind w:left="396"/>
            </w:pPr>
            <w:r>
              <w:rPr>
                <w:spacing w:val="-1"/>
              </w:rPr>
              <w:t>210.35</w:t>
            </w:r>
          </w:p>
        </w:tc>
        <w:tc>
          <w:tcPr>
            <w:tcW w:w="1385" w:type="dxa"/>
            <w:vAlign w:val="top"/>
          </w:tcPr>
          <w:p w14:paraId="591ED008">
            <w:pPr>
              <w:pStyle w:val="6"/>
              <w:spacing w:before="100" w:line="211" w:lineRule="auto"/>
              <w:ind w:left="420"/>
            </w:pPr>
            <w:r>
              <w:rPr>
                <w:spacing w:val="-4"/>
              </w:rPr>
              <w:t>152.13</w:t>
            </w:r>
          </w:p>
        </w:tc>
        <w:tc>
          <w:tcPr>
            <w:tcW w:w="1511" w:type="dxa"/>
            <w:vAlign w:val="top"/>
          </w:tcPr>
          <w:p w14:paraId="0702556B">
            <w:pPr>
              <w:pStyle w:val="6"/>
              <w:spacing w:before="100" w:line="211" w:lineRule="auto"/>
              <w:ind w:left="541"/>
            </w:pPr>
            <w:r>
              <w:rPr>
                <w:spacing w:val="-5"/>
              </w:rPr>
              <w:t>14.71</w:t>
            </w:r>
          </w:p>
        </w:tc>
        <w:tc>
          <w:tcPr>
            <w:tcW w:w="1386" w:type="dxa"/>
            <w:vAlign w:val="top"/>
          </w:tcPr>
          <w:p w14:paraId="42CA695E">
            <w:pPr>
              <w:pStyle w:val="6"/>
              <w:spacing w:before="100" w:line="211" w:lineRule="auto"/>
              <w:ind w:left="526"/>
            </w:pPr>
            <w:r>
              <w:rPr>
                <w:spacing w:val="-4"/>
              </w:rPr>
              <w:t>8.07</w:t>
            </w:r>
          </w:p>
        </w:tc>
        <w:tc>
          <w:tcPr>
            <w:tcW w:w="1119" w:type="dxa"/>
            <w:tcBorders>
              <w:right w:val="single" w:color="000000" w:sz="12" w:space="0"/>
            </w:tcBorders>
            <w:vAlign w:val="top"/>
          </w:tcPr>
          <w:p w14:paraId="44B5CA19">
            <w:pPr>
              <w:pStyle w:val="6"/>
              <w:spacing w:before="100" w:line="211" w:lineRule="auto"/>
              <w:ind w:left="280"/>
            </w:pPr>
            <w:r>
              <w:rPr>
                <w:spacing w:val="-2"/>
              </w:rPr>
              <w:t>385.26</w:t>
            </w:r>
          </w:p>
        </w:tc>
      </w:tr>
      <w:tr w14:paraId="333A1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682" w:type="dxa"/>
            <w:tcBorders>
              <w:left w:val="single" w:color="000000" w:sz="12" w:space="0"/>
              <w:bottom w:val="single" w:color="000000" w:sz="12" w:space="0"/>
            </w:tcBorders>
            <w:vAlign w:val="top"/>
          </w:tcPr>
          <w:p w14:paraId="7DF4EB8B">
            <w:pPr>
              <w:pStyle w:val="6"/>
              <w:spacing w:before="76" w:line="228" w:lineRule="auto"/>
              <w:ind w:left="273"/>
              <w:rPr>
                <w:rFonts w:ascii="宋体" w:hAnsi="宋体" w:eastAsia="宋体" w:cs="宋体"/>
              </w:rPr>
            </w:pPr>
            <w:r>
              <w:rPr>
                <w:spacing w:val="-1"/>
              </w:rPr>
              <w:t xml:space="preserve">2020 </w:t>
            </w:r>
            <w:r>
              <w:rPr>
                <w:rFonts w:ascii="宋体" w:hAnsi="宋体" w:eastAsia="宋体" w:cs="宋体"/>
                <w:spacing w:val="-1"/>
              </w:rPr>
              <w:t>施工期</w:t>
            </w:r>
          </w:p>
        </w:tc>
        <w:tc>
          <w:tcPr>
            <w:tcW w:w="1388" w:type="dxa"/>
            <w:tcBorders>
              <w:bottom w:val="single" w:color="000000" w:sz="12" w:space="0"/>
            </w:tcBorders>
            <w:vAlign w:val="top"/>
          </w:tcPr>
          <w:p w14:paraId="687D053B">
            <w:pPr>
              <w:pStyle w:val="6"/>
              <w:spacing w:before="110" w:line="224" w:lineRule="auto"/>
              <w:ind w:left="416"/>
            </w:pPr>
            <w:r>
              <w:rPr>
                <w:spacing w:val="-4"/>
              </w:rPr>
              <w:t>198.33</w:t>
            </w:r>
          </w:p>
        </w:tc>
        <w:tc>
          <w:tcPr>
            <w:tcW w:w="1385" w:type="dxa"/>
            <w:tcBorders>
              <w:bottom w:val="single" w:color="000000" w:sz="12" w:space="0"/>
            </w:tcBorders>
            <w:vAlign w:val="top"/>
          </w:tcPr>
          <w:p w14:paraId="597CA02B">
            <w:pPr>
              <w:pStyle w:val="6"/>
              <w:spacing w:before="110" w:line="224" w:lineRule="auto"/>
              <w:ind w:left="420"/>
            </w:pPr>
            <w:r>
              <w:rPr>
                <w:spacing w:val="-4"/>
              </w:rPr>
              <w:t>145.23</w:t>
            </w:r>
          </w:p>
        </w:tc>
        <w:tc>
          <w:tcPr>
            <w:tcW w:w="1511" w:type="dxa"/>
            <w:tcBorders>
              <w:bottom w:val="single" w:color="000000" w:sz="12" w:space="0"/>
            </w:tcBorders>
            <w:vAlign w:val="top"/>
          </w:tcPr>
          <w:p w14:paraId="275118E5">
            <w:pPr>
              <w:pStyle w:val="6"/>
              <w:spacing w:before="110" w:line="224" w:lineRule="auto"/>
              <w:ind w:left="541"/>
            </w:pPr>
            <w:r>
              <w:rPr>
                <w:spacing w:val="-5"/>
              </w:rPr>
              <w:t>13.45</w:t>
            </w:r>
          </w:p>
        </w:tc>
        <w:tc>
          <w:tcPr>
            <w:tcW w:w="1386" w:type="dxa"/>
            <w:tcBorders>
              <w:bottom w:val="single" w:color="000000" w:sz="12" w:space="0"/>
            </w:tcBorders>
            <w:vAlign w:val="top"/>
          </w:tcPr>
          <w:p w14:paraId="230772CD">
            <w:pPr>
              <w:pStyle w:val="6"/>
              <w:spacing w:before="110" w:line="224" w:lineRule="auto"/>
              <w:ind w:left="521"/>
            </w:pPr>
            <w:r>
              <w:rPr>
                <w:spacing w:val="-2"/>
              </w:rPr>
              <w:t>7.24</w:t>
            </w:r>
          </w:p>
        </w:tc>
        <w:tc>
          <w:tcPr>
            <w:tcW w:w="1119" w:type="dxa"/>
            <w:tcBorders>
              <w:bottom w:val="single" w:color="000000" w:sz="12" w:space="0"/>
              <w:right w:val="single" w:color="000000" w:sz="12" w:space="0"/>
            </w:tcBorders>
            <w:vAlign w:val="top"/>
          </w:tcPr>
          <w:p w14:paraId="0382C2C2">
            <w:pPr>
              <w:pStyle w:val="6"/>
              <w:spacing w:before="110" w:line="224" w:lineRule="auto"/>
              <w:ind w:left="280"/>
            </w:pPr>
            <w:r>
              <w:rPr>
                <w:spacing w:val="-2"/>
              </w:rPr>
              <w:t>364.25</w:t>
            </w:r>
          </w:p>
        </w:tc>
      </w:tr>
    </w:tbl>
    <w:p w14:paraId="75A33D2B">
      <w:pPr>
        <w:spacing w:before="198"/>
      </w:pPr>
    </w:p>
    <w:tbl>
      <w:tblPr>
        <w:tblStyle w:val="5"/>
        <w:tblW w:w="7200" w:type="dxa"/>
        <w:tblInd w:w="681" w:type="dxa"/>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Layout w:type="fixed"/>
        <w:tblCellMar>
          <w:top w:w="0" w:type="dxa"/>
          <w:left w:w="0" w:type="dxa"/>
          <w:bottom w:w="0" w:type="dxa"/>
          <w:right w:w="0" w:type="dxa"/>
        </w:tblCellMar>
      </w:tblPr>
      <w:tblGrid>
        <w:gridCol w:w="7200"/>
      </w:tblGrid>
      <w:tr w14:paraId="5B73DD8E">
        <w:tblPrEx>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CellMar>
            <w:top w:w="0" w:type="dxa"/>
            <w:left w:w="0" w:type="dxa"/>
            <w:bottom w:w="0" w:type="dxa"/>
            <w:right w:w="0" w:type="dxa"/>
          </w:tblCellMar>
        </w:tblPrEx>
        <w:trPr>
          <w:trHeight w:val="4307" w:hRule="atLeast"/>
        </w:trPr>
        <w:tc>
          <w:tcPr>
            <w:tcW w:w="7200" w:type="dxa"/>
            <w:vAlign w:val="top"/>
          </w:tcPr>
          <w:p w14:paraId="373E14B3">
            <w:pPr>
              <w:pStyle w:val="6"/>
              <w:spacing w:before="188" w:line="241" w:lineRule="auto"/>
              <w:ind w:left="2401"/>
              <w:rPr>
                <w:sz w:val="27"/>
                <w:szCs w:val="27"/>
              </w:rPr>
            </w:pPr>
            <w:r>
              <w:rPr>
                <w:rFonts w:ascii="宋体" w:hAnsi="宋体" w:eastAsia="宋体" w:cs="宋体"/>
                <w:b/>
                <w:bCs/>
                <w:color w:val="595959"/>
                <w:spacing w:val="6"/>
                <w:sz w:val="27"/>
                <w:szCs w:val="27"/>
              </w:rPr>
              <w:t>浮游动物密度</w:t>
            </w:r>
            <w:r>
              <w:rPr>
                <w:b/>
                <w:bCs/>
                <w:color w:val="595959"/>
                <w:sz w:val="27"/>
                <w:szCs w:val="27"/>
              </w:rPr>
              <w:t>ind</w:t>
            </w:r>
            <w:r>
              <w:rPr>
                <w:b/>
                <w:bCs/>
                <w:color w:val="595959"/>
                <w:spacing w:val="6"/>
                <w:sz w:val="27"/>
                <w:szCs w:val="27"/>
              </w:rPr>
              <w:t>./L</w:t>
            </w:r>
          </w:p>
          <w:p w14:paraId="1DD20948">
            <w:pPr>
              <w:spacing w:before="135" w:line="3450" w:lineRule="exact"/>
              <w:ind w:firstLine="126"/>
            </w:pPr>
            <w:r>
              <w:rPr>
                <w:position w:val="-68"/>
              </w:rPr>
              <w:pict>
                <v:group id="_x0000_s1191" o:spid="_x0000_s1191" o:spt="203" style="height:172.5pt;width:342.3pt;" coordsize="6845,3450">
                  <o:lock v:ext="edit"/>
                  <v:shape id="_x0000_s1192" o:spid="_x0000_s1192" o:spt="202" type="#_x0000_t202" style="position:absolute;left:-20;top:-20;height:3490;width:6515;" filled="f" stroked="f" coordsize="21600,21600">
                    <v:path/>
                    <v:fill on="f" focussize="0,0"/>
                    <v:stroke on="f"/>
                    <v:imagedata o:title=""/>
                    <o:lock v:ext="edit" aspectratio="f"/>
                    <v:textbox inset="0mm,0mm,0mm,0mm">
                      <w:txbxContent>
                        <w:p w14:paraId="3D8ABC95">
                          <w:pPr>
                            <w:spacing w:before="20" w:line="226" w:lineRule="exact"/>
                            <w:ind w:left="20"/>
                            <w:rPr>
                              <w:rFonts w:ascii="Calibri" w:hAnsi="Calibri" w:eastAsia="Calibri" w:cs="Calibri"/>
                              <w:sz w:val="18"/>
                              <w:szCs w:val="18"/>
                            </w:rPr>
                          </w:pPr>
                          <w:r>
                            <w:rPr>
                              <w:rFonts w:ascii="Calibri" w:hAnsi="Calibri" w:eastAsia="Calibri" w:cs="Calibri"/>
                              <w:color w:val="595959"/>
                              <w:spacing w:val="-2"/>
                              <w:position w:val="1"/>
                              <w:sz w:val="18"/>
                              <w:szCs w:val="18"/>
                            </w:rPr>
                            <w:t>450</w:t>
                          </w:r>
                        </w:p>
                        <w:p w14:paraId="2960B1F3">
                          <w:pPr>
                            <w:spacing w:before="64" w:line="227" w:lineRule="exact"/>
                            <w:ind w:left="20"/>
                            <w:rPr>
                              <w:rFonts w:ascii="Calibri" w:hAnsi="Calibri" w:eastAsia="Calibri" w:cs="Calibri"/>
                              <w:sz w:val="18"/>
                              <w:szCs w:val="18"/>
                            </w:rPr>
                          </w:pPr>
                          <w:r>
                            <w:rPr>
                              <w:rFonts w:ascii="Calibri" w:hAnsi="Calibri" w:eastAsia="Calibri" w:cs="Calibri"/>
                              <w:color w:val="595959"/>
                              <w:spacing w:val="-2"/>
                              <w:position w:val="1"/>
                              <w:sz w:val="18"/>
                              <w:szCs w:val="18"/>
                            </w:rPr>
                            <w:t>400</w:t>
                          </w:r>
                        </w:p>
                        <w:p w14:paraId="55ACA8C0">
                          <w:pPr>
                            <w:spacing w:before="64" w:line="227" w:lineRule="exact"/>
                            <w:ind w:left="24"/>
                            <w:rPr>
                              <w:rFonts w:ascii="Calibri" w:hAnsi="Calibri" w:eastAsia="Calibri" w:cs="Calibri"/>
                              <w:sz w:val="18"/>
                              <w:szCs w:val="18"/>
                            </w:rPr>
                          </w:pPr>
                          <w:r>
                            <w:rPr>
                              <w:rFonts w:ascii="Calibri" w:hAnsi="Calibri" w:eastAsia="Calibri" w:cs="Calibri"/>
                              <w:color w:val="595959"/>
                              <w:spacing w:val="-4"/>
                              <w:position w:val="1"/>
                              <w:sz w:val="18"/>
                              <w:szCs w:val="18"/>
                            </w:rPr>
                            <w:t>350</w:t>
                          </w:r>
                        </w:p>
                        <w:p w14:paraId="4BFE6853">
                          <w:pPr>
                            <w:spacing w:before="64" w:line="226" w:lineRule="exact"/>
                            <w:ind w:left="24"/>
                            <w:rPr>
                              <w:rFonts w:ascii="Calibri" w:hAnsi="Calibri" w:eastAsia="Calibri" w:cs="Calibri"/>
                              <w:sz w:val="18"/>
                              <w:szCs w:val="18"/>
                            </w:rPr>
                          </w:pPr>
                          <w:r>
                            <w:rPr>
                              <w:rFonts w:ascii="Calibri" w:hAnsi="Calibri" w:eastAsia="Calibri" w:cs="Calibri"/>
                              <w:color w:val="595959"/>
                              <w:spacing w:val="-4"/>
                              <w:position w:val="1"/>
                              <w:sz w:val="18"/>
                              <w:szCs w:val="18"/>
                            </w:rPr>
                            <w:t>300</w:t>
                          </w:r>
                        </w:p>
                        <w:p w14:paraId="18567FCA">
                          <w:pPr>
                            <w:spacing w:before="64" w:line="227" w:lineRule="exact"/>
                            <w:ind w:left="25"/>
                            <w:rPr>
                              <w:rFonts w:ascii="Calibri" w:hAnsi="Calibri" w:eastAsia="Calibri" w:cs="Calibri"/>
                              <w:sz w:val="18"/>
                              <w:szCs w:val="18"/>
                            </w:rPr>
                          </w:pPr>
                          <w:r>
                            <w:rPr>
                              <w:rFonts w:ascii="Calibri" w:hAnsi="Calibri" w:eastAsia="Calibri" w:cs="Calibri"/>
                              <w:color w:val="595959"/>
                              <w:spacing w:val="-4"/>
                              <w:position w:val="1"/>
                              <w:sz w:val="18"/>
                              <w:szCs w:val="18"/>
                            </w:rPr>
                            <w:t>250</w:t>
                          </w:r>
                        </w:p>
                        <w:p w14:paraId="6E94DD1B">
                          <w:pPr>
                            <w:spacing w:before="64" w:line="227" w:lineRule="exact"/>
                            <w:ind w:left="25"/>
                            <w:rPr>
                              <w:rFonts w:ascii="Calibri" w:hAnsi="Calibri" w:eastAsia="Calibri" w:cs="Calibri"/>
                              <w:sz w:val="18"/>
                              <w:szCs w:val="18"/>
                            </w:rPr>
                          </w:pPr>
                          <w:r>
                            <w:rPr>
                              <w:rFonts w:ascii="Calibri" w:hAnsi="Calibri" w:eastAsia="Calibri" w:cs="Calibri"/>
                              <w:color w:val="595959"/>
                              <w:spacing w:val="-4"/>
                              <w:position w:val="1"/>
                              <w:sz w:val="18"/>
                              <w:szCs w:val="18"/>
                            </w:rPr>
                            <w:t>200</w:t>
                          </w:r>
                        </w:p>
                        <w:p w14:paraId="317FDD73">
                          <w:pPr>
                            <w:spacing w:before="64" w:line="227" w:lineRule="exact"/>
                            <w:ind w:left="31"/>
                            <w:rPr>
                              <w:rFonts w:ascii="Calibri" w:hAnsi="Calibri" w:eastAsia="Calibri" w:cs="Calibri"/>
                              <w:sz w:val="18"/>
                              <w:szCs w:val="18"/>
                            </w:rPr>
                          </w:pPr>
                          <w:r>
                            <w:rPr>
                              <w:rFonts w:ascii="Calibri" w:hAnsi="Calibri" w:eastAsia="Calibri" w:cs="Calibri"/>
                              <w:color w:val="595959"/>
                              <w:spacing w:val="-6"/>
                              <w:position w:val="1"/>
                              <w:sz w:val="18"/>
                              <w:szCs w:val="18"/>
                            </w:rPr>
                            <w:t>150</w:t>
                          </w:r>
                        </w:p>
                        <w:p w14:paraId="3102E4DD">
                          <w:pPr>
                            <w:spacing w:before="64" w:line="227" w:lineRule="exact"/>
                            <w:ind w:left="31"/>
                            <w:rPr>
                              <w:rFonts w:ascii="Calibri" w:hAnsi="Calibri" w:eastAsia="Calibri" w:cs="Calibri"/>
                              <w:sz w:val="18"/>
                              <w:szCs w:val="18"/>
                            </w:rPr>
                          </w:pPr>
                          <w:r>
                            <w:rPr>
                              <w:rFonts w:ascii="Calibri" w:hAnsi="Calibri" w:eastAsia="Calibri" w:cs="Calibri"/>
                              <w:color w:val="595959"/>
                              <w:spacing w:val="-6"/>
                              <w:position w:val="1"/>
                              <w:sz w:val="18"/>
                              <w:szCs w:val="18"/>
                            </w:rPr>
                            <w:t>100</w:t>
                          </w:r>
                        </w:p>
                        <w:p w14:paraId="043F2A8D">
                          <w:pPr>
                            <w:spacing w:before="65" w:line="226" w:lineRule="exact"/>
                            <w:ind w:left="115"/>
                            <w:rPr>
                              <w:rFonts w:ascii="Calibri" w:hAnsi="Calibri" w:eastAsia="Calibri" w:cs="Calibri"/>
                              <w:sz w:val="18"/>
                              <w:szCs w:val="18"/>
                            </w:rPr>
                          </w:pPr>
                          <w:r>
                            <w:rPr>
                              <w:rFonts w:ascii="Calibri" w:hAnsi="Calibri" w:eastAsia="Calibri" w:cs="Calibri"/>
                              <w:color w:val="595959"/>
                              <w:spacing w:val="-5"/>
                              <w:position w:val="1"/>
                              <w:sz w:val="18"/>
                              <w:szCs w:val="18"/>
                            </w:rPr>
                            <w:t>50</w:t>
                          </w:r>
                        </w:p>
                        <w:p w14:paraId="21589691">
                          <w:pPr>
                            <w:spacing w:before="65" w:line="224" w:lineRule="exact"/>
                            <w:ind w:left="204"/>
                            <w:rPr>
                              <w:rFonts w:ascii="Calibri" w:hAnsi="Calibri" w:eastAsia="Calibri" w:cs="Calibri"/>
                              <w:sz w:val="18"/>
                              <w:szCs w:val="18"/>
                            </w:rPr>
                          </w:pPr>
                          <w:r>
                            <w:rPr>
                              <w:rFonts w:ascii="Calibri" w:hAnsi="Calibri" w:eastAsia="Calibri" w:cs="Calibri"/>
                              <w:color w:val="595959"/>
                              <w:position w:val="1"/>
                              <w:sz w:val="18"/>
                              <w:szCs w:val="18"/>
                            </w:rPr>
                            <w:t>0</w:t>
                          </w:r>
                        </w:p>
                        <w:p w14:paraId="75584797">
                          <w:pPr>
                            <w:spacing w:before="1" w:line="218" w:lineRule="auto"/>
                            <w:ind w:right="20"/>
                            <w:jc w:val="right"/>
                            <w:rPr>
                              <w:rFonts w:ascii="宋体" w:hAnsi="宋体" w:eastAsia="宋体" w:cs="宋体"/>
                              <w:sz w:val="18"/>
                              <w:szCs w:val="18"/>
                            </w:rPr>
                          </w:pPr>
                          <w:r>
                            <w:rPr>
                              <w:rFonts w:ascii="宋体" w:hAnsi="宋体" w:eastAsia="宋体" w:cs="宋体"/>
                              <w:color w:val="595959"/>
                              <w:spacing w:val="-3"/>
                              <w:sz w:val="18"/>
                              <w:szCs w:val="18"/>
                            </w:rPr>
                            <w:t>原生动物</w:t>
                          </w:r>
                          <w:r>
                            <w:rPr>
                              <w:rFonts w:ascii="宋体" w:hAnsi="宋体" w:eastAsia="宋体" w:cs="宋体"/>
                              <w:color w:val="595959"/>
                              <w:spacing w:val="4"/>
                              <w:sz w:val="18"/>
                              <w:szCs w:val="18"/>
                            </w:rPr>
                            <w:t xml:space="preserve">        </w:t>
                          </w:r>
                          <w:r>
                            <w:rPr>
                              <w:rFonts w:ascii="宋体" w:hAnsi="宋体" w:eastAsia="宋体" w:cs="宋体"/>
                              <w:color w:val="595959"/>
                              <w:spacing w:val="-3"/>
                              <w:sz w:val="18"/>
                              <w:szCs w:val="18"/>
                            </w:rPr>
                            <w:t>轮虫</w:t>
                          </w:r>
                          <w:r>
                            <w:rPr>
                              <w:rFonts w:ascii="宋体" w:hAnsi="宋体" w:eastAsia="宋体" w:cs="宋体"/>
                              <w:color w:val="595959"/>
                              <w:spacing w:val="3"/>
                              <w:sz w:val="18"/>
                              <w:szCs w:val="18"/>
                            </w:rPr>
                            <w:t xml:space="preserve">         </w:t>
                          </w:r>
                          <w:r>
                            <w:rPr>
                              <w:rFonts w:ascii="宋体" w:hAnsi="宋体" w:eastAsia="宋体" w:cs="宋体"/>
                              <w:color w:val="595959"/>
                              <w:spacing w:val="-3"/>
                              <w:sz w:val="18"/>
                              <w:szCs w:val="18"/>
                            </w:rPr>
                            <w:t>枝角类</w:t>
                          </w:r>
                          <w:r>
                            <w:rPr>
                              <w:rFonts w:ascii="宋体" w:hAnsi="宋体" w:eastAsia="宋体" w:cs="宋体"/>
                              <w:color w:val="595959"/>
                              <w:spacing w:val="4"/>
                              <w:sz w:val="18"/>
                              <w:szCs w:val="18"/>
                            </w:rPr>
                            <w:t xml:space="preserve">        </w:t>
                          </w:r>
                          <w:r>
                            <w:rPr>
                              <w:rFonts w:ascii="宋体" w:hAnsi="宋体" w:eastAsia="宋体" w:cs="宋体"/>
                              <w:color w:val="595959"/>
                              <w:spacing w:val="-3"/>
                              <w:sz w:val="18"/>
                              <w:szCs w:val="18"/>
                            </w:rPr>
                            <w:t>桡足类</w:t>
                          </w:r>
                          <w:r>
                            <w:rPr>
                              <w:rFonts w:ascii="宋体" w:hAnsi="宋体" w:eastAsia="宋体" w:cs="宋体"/>
                              <w:color w:val="595959"/>
                              <w:spacing w:val="3"/>
                              <w:sz w:val="18"/>
                              <w:szCs w:val="18"/>
                            </w:rPr>
                            <w:t xml:space="preserve">        </w:t>
                          </w:r>
                          <w:r>
                            <w:rPr>
                              <w:rFonts w:ascii="宋体" w:hAnsi="宋体" w:eastAsia="宋体" w:cs="宋体"/>
                              <w:color w:val="595959"/>
                              <w:spacing w:val="-3"/>
                              <w:sz w:val="18"/>
                              <w:szCs w:val="18"/>
                            </w:rPr>
                            <w:t>平均值</w:t>
                          </w:r>
                        </w:p>
                        <w:p w14:paraId="0C4560B0">
                          <w:pPr>
                            <w:spacing w:before="193"/>
                            <w:ind w:left="2525"/>
                            <w:rPr>
                              <w:rFonts w:ascii="宋体" w:hAnsi="宋体" w:eastAsia="宋体" w:cs="宋体"/>
                              <w:sz w:val="18"/>
                              <w:szCs w:val="18"/>
                            </w:rPr>
                          </w:pPr>
                          <w:r>
                            <w:rPr>
                              <w:rFonts w:ascii="Calibri" w:hAnsi="Calibri" w:eastAsia="Calibri" w:cs="Calibri"/>
                              <w:color w:val="595959"/>
                              <w:spacing w:val="-2"/>
                              <w:sz w:val="18"/>
                              <w:szCs w:val="18"/>
                            </w:rPr>
                            <w:t>2016</w:t>
                          </w:r>
                          <w:r>
                            <w:rPr>
                              <w:rFonts w:ascii="宋体" w:hAnsi="宋体" w:eastAsia="宋体" w:cs="宋体"/>
                              <w:color w:val="595959"/>
                              <w:spacing w:val="-2"/>
                              <w:sz w:val="18"/>
                              <w:szCs w:val="18"/>
                            </w:rPr>
                            <w:t>环评期</w:t>
                          </w:r>
                          <w:r>
                            <w:rPr>
                              <w:rFonts w:ascii="宋体" w:hAnsi="宋体" w:eastAsia="宋体" w:cs="宋体"/>
                              <w:color w:val="595959"/>
                              <w:spacing w:val="30"/>
                              <w:sz w:val="18"/>
                              <w:szCs w:val="18"/>
                            </w:rPr>
                            <w:t xml:space="preserve">   </w:t>
                          </w:r>
                          <w:r>
                            <w:rPr>
                              <w:rFonts w:ascii="Calibri" w:hAnsi="Calibri" w:eastAsia="Calibri" w:cs="Calibri"/>
                              <w:color w:val="595959"/>
                              <w:spacing w:val="-2"/>
                              <w:sz w:val="18"/>
                              <w:szCs w:val="18"/>
                            </w:rPr>
                            <w:t>2020</w:t>
                          </w:r>
                          <w:r>
                            <w:rPr>
                              <w:rFonts w:ascii="宋体" w:hAnsi="宋体" w:eastAsia="宋体" w:cs="宋体"/>
                              <w:color w:val="595959"/>
                              <w:spacing w:val="-2"/>
                              <w:sz w:val="18"/>
                              <w:szCs w:val="18"/>
                            </w:rPr>
                            <w:t>施工期</w:t>
                          </w:r>
                        </w:p>
                      </w:txbxContent>
                    </v:textbox>
                  </v:shape>
                  <v:shape id="_x0000_s1193" o:spid="_x0000_s1193" o:spt="75" type="#_x0000_t75" style="position:absolute;left:436;top:74;height:3325;width:6410;" filled="f" stroked="f" coordsize="21600,21600">
                    <v:path/>
                    <v:fill on="f" focussize="0,0"/>
                    <v:stroke on="f"/>
                    <v:imagedata r:id="rId415" o:title=""/>
                    <o:lock v:ext="edit" aspectratio="t"/>
                  </v:shape>
                  <w10:wrap type="none"/>
                  <w10:anchorlock/>
                </v:group>
              </w:pict>
            </w:r>
          </w:p>
        </w:tc>
      </w:tr>
    </w:tbl>
    <w:p w14:paraId="157B03A5">
      <w:pPr>
        <w:spacing w:before="166" w:line="232" w:lineRule="auto"/>
        <w:ind w:left="1857"/>
        <w:rPr>
          <w:rFonts w:ascii="黑体" w:hAnsi="黑体" w:eastAsia="黑体" w:cs="黑体"/>
          <w:sz w:val="24"/>
          <w:szCs w:val="24"/>
        </w:rPr>
      </w:pPr>
      <w:r>
        <w:rPr>
          <w:rFonts w:ascii="黑体" w:hAnsi="黑体" w:eastAsia="黑体" w:cs="黑体"/>
          <w:b/>
          <w:bCs/>
          <w:spacing w:val="-2"/>
          <w:sz w:val="24"/>
          <w:szCs w:val="24"/>
        </w:rPr>
        <w:t>图</w:t>
      </w:r>
      <w:r>
        <w:rPr>
          <w:rFonts w:ascii="黑体" w:hAnsi="黑体" w:eastAsia="黑体" w:cs="黑体"/>
          <w:spacing w:val="-50"/>
          <w:sz w:val="24"/>
          <w:szCs w:val="24"/>
        </w:rPr>
        <w:t xml:space="preserve"> </w:t>
      </w:r>
      <w:r>
        <w:rPr>
          <w:rFonts w:ascii="Times New Roman" w:hAnsi="Times New Roman" w:eastAsia="Times New Roman" w:cs="Times New Roman"/>
          <w:b/>
          <w:bCs/>
          <w:spacing w:val="-2"/>
          <w:sz w:val="24"/>
          <w:szCs w:val="24"/>
        </w:rPr>
        <w:t xml:space="preserve">6.1-3        </w:t>
      </w:r>
      <w:r>
        <w:rPr>
          <w:rFonts w:ascii="黑体" w:hAnsi="黑体" w:eastAsia="黑体" w:cs="黑体"/>
          <w:b/>
          <w:bCs/>
          <w:spacing w:val="-2"/>
          <w:sz w:val="24"/>
          <w:szCs w:val="24"/>
        </w:rPr>
        <w:t>施工期和环评期浮游动物</w:t>
      </w:r>
      <w:r>
        <w:rPr>
          <w:rFonts w:ascii="黑体" w:hAnsi="黑体" w:eastAsia="黑体" w:cs="黑体"/>
          <w:b/>
          <w:bCs/>
          <w:spacing w:val="-3"/>
          <w:sz w:val="24"/>
          <w:szCs w:val="24"/>
        </w:rPr>
        <w:t>密度对比</w:t>
      </w:r>
    </w:p>
    <w:p w14:paraId="41605326">
      <w:pPr>
        <w:pStyle w:val="2"/>
        <w:spacing w:before="277" w:line="217" w:lineRule="auto"/>
        <w:ind w:left="517"/>
        <w:rPr>
          <w:sz w:val="24"/>
          <w:szCs w:val="24"/>
        </w:rPr>
      </w:pPr>
      <w:r>
        <w:rPr>
          <w:spacing w:val="-2"/>
          <w:sz w:val="24"/>
          <w:szCs w:val="24"/>
        </w:rPr>
        <w:t>②生物量</w:t>
      </w:r>
    </w:p>
    <w:p w14:paraId="135B0BD6">
      <w:pPr>
        <w:pStyle w:val="2"/>
        <w:spacing w:before="155" w:line="333" w:lineRule="auto"/>
        <w:ind w:left="39" w:right="42" w:firstLine="481"/>
        <w:rPr>
          <w:sz w:val="24"/>
          <w:szCs w:val="24"/>
        </w:rPr>
      </w:pPr>
      <w:r>
        <w:rPr>
          <w:spacing w:val="-6"/>
          <w:sz w:val="24"/>
          <w:szCs w:val="24"/>
        </w:rPr>
        <w:t>调查水域浮游动物生物量平为</w:t>
      </w:r>
      <w:r>
        <w:rPr>
          <w:spacing w:val="-51"/>
          <w:sz w:val="24"/>
          <w:szCs w:val="24"/>
        </w:rPr>
        <w:t xml:space="preserve"> </w:t>
      </w:r>
      <w:r>
        <w:rPr>
          <w:rFonts w:ascii="Times New Roman" w:hAnsi="Times New Roman" w:eastAsia="Times New Roman" w:cs="Times New Roman"/>
          <w:spacing w:val="-6"/>
          <w:sz w:val="24"/>
          <w:szCs w:val="24"/>
        </w:rPr>
        <w:t>0.36mg/L</w:t>
      </w:r>
      <w:r>
        <w:rPr>
          <w:spacing w:val="-6"/>
          <w:sz w:val="24"/>
          <w:szCs w:val="24"/>
        </w:rPr>
        <w:t>。其中，原生动物生物量为</w:t>
      </w:r>
      <w:r>
        <w:rPr>
          <w:spacing w:val="-51"/>
          <w:sz w:val="24"/>
          <w:szCs w:val="24"/>
        </w:rPr>
        <w:t xml:space="preserve"> </w:t>
      </w:r>
      <w:r>
        <w:rPr>
          <w:rFonts w:ascii="Times New Roman" w:hAnsi="Times New Roman" w:eastAsia="Times New Roman" w:cs="Times New Roman"/>
          <w:spacing w:val="-6"/>
          <w:sz w:val="24"/>
          <w:szCs w:val="24"/>
        </w:rPr>
        <w:t>0.0</w:t>
      </w:r>
      <w:r>
        <w:rPr>
          <w:rFonts w:ascii="Times New Roman" w:hAnsi="Times New Roman" w:eastAsia="Times New Roman" w:cs="Times New Roman"/>
          <w:spacing w:val="-7"/>
          <w:sz w:val="24"/>
          <w:szCs w:val="24"/>
        </w:rPr>
        <w:t>1mg/L</w:t>
      </w:r>
      <w:r>
        <w:rPr>
          <w:spacing w:val="-7"/>
          <w:sz w:val="24"/>
          <w:szCs w:val="24"/>
        </w:rPr>
        <w:t>，</w:t>
      </w:r>
      <w:r>
        <w:rPr>
          <w:spacing w:val="-3"/>
          <w:sz w:val="24"/>
          <w:szCs w:val="24"/>
        </w:rPr>
        <w:t>占浮游动物的</w:t>
      </w:r>
      <w:r>
        <w:rPr>
          <w:spacing w:val="-55"/>
          <w:sz w:val="24"/>
          <w:szCs w:val="24"/>
        </w:rPr>
        <w:t xml:space="preserve"> </w:t>
      </w:r>
      <w:r>
        <w:rPr>
          <w:rFonts w:ascii="Times New Roman" w:hAnsi="Times New Roman" w:eastAsia="Times New Roman" w:cs="Times New Roman"/>
          <w:spacing w:val="-3"/>
          <w:sz w:val="24"/>
          <w:szCs w:val="24"/>
        </w:rPr>
        <w:t>2.78%</w:t>
      </w:r>
      <w:r>
        <w:rPr>
          <w:spacing w:val="-3"/>
          <w:sz w:val="24"/>
          <w:szCs w:val="24"/>
        </w:rPr>
        <w:t>；轮虫生物量为</w:t>
      </w:r>
      <w:r>
        <w:rPr>
          <w:spacing w:val="-51"/>
          <w:sz w:val="24"/>
          <w:szCs w:val="24"/>
        </w:rPr>
        <w:t xml:space="preserve"> </w:t>
      </w:r>
      <w:r>
        <w:rPr>
          <w:rFonts w:ascii="Times New Roman" w:hAnsi="Times New Roman" w:eastAsia="Times New Roman" w:cs="Times New Roman"/>
          <w:spacing w:val="-3"/>
          <w:sz w:val="24"/>
          <w:szCs w:val="24"/>
        </w:rPr>
        <w:t>0.02mg/L</w:t>
      </w:r>
      <w:r>
        <w:rPr>
          <w:spacing w:val="-3"/>
          <w:sz w:val="24"/>
          <w:szCs w:val="24"/>
        </w:rPr>
        <w:t>，占浮游动物</w:t>
      </w:r>
      <w:r>
        <w:rPr>
          <w:spacing w:val="-4"/>
          <w:sz w:val="24"/>
          <w:szCs w:val="24"/>
        </w:rPr>
        <w:t>的</w:t>
      </w:r>
      <w:r>
        <w:rPr>
          <w:spacing w:val="-48"/>
          <w:sz w:val="24"/>
          <w:szCs w:val="24"/>
        </w:rPr>
        <w:t xml:space="preserve"> </w:t>
      </w:r>
      <w:r>
        <w:rPr>
          <w:rFonts w:ascii="Times New Roman" w:hAnsi="Times New Roman" w:eastAsia="Times New Roman" w:cs="Times New Roman"/>
          <w:spacing w:val="-4"/>
          <w:sz w:val="24"/>
          <w:szCs w:val="24"/>
        </w:rPr>
        <w:t>5.56%</w:t>
      </w:r>
      <w:r>
        <w:rPr>
          <w:spacing w:val="-4"/>
          <w:sz w:val="24"/>
          <w:szCs w:val="24"/>
        </w:rPr>
        <w:t>；枝角类生物</w:t>
      </w:r>
      <w:r>
        <w:rPr>
          <w:spacing w:val="-2"/>
          <w:sz w:val="24"/>
          <w:szCs w:val="24"/>
        </w:rPr>
        <w:t>量为</w:t>
      </w:r>
      <w:r>
        <w:rPr>
          <w:spacing w:val="-51"/>
          <w:sz w:val="24"/>
          <w:szCs w:val="24"/>
        </w:rPr>
        <w:t xml:space="preserve"> </w:t>
      </w:r>
      <w:r>
        <w:rPr>
          <w:rFonts w:ascii="Times New Roman" w:hAnsi="Times New Roman" w:eastAsia="Times New Roman" w:cs="Times New Roman"/>
          <w:spacing w:val="-2"/>
          <w:sz w:val="24"/>
          <w:szCs w:val="24"/>
        </w:rPr>
        <w:t>0.26mg/L</w:t>
      </w:r>
      <w:r>
        <w:rPr>
          <w:spacing w:val="-2"/>
          <w:sz w:val="24"/>
          <w:szCs w:val="24"/>
        </w:rPr>
        <w:t>，占浮游动物的</w:t>
      </w:r>
      <w:r>
        <w:rPr>
          <w:spacing w:val="-32"/>
          <w:sz w:val="24"/>
          <w:szCs w:val="24"/>
        </w:rPr>
        <w:t xml:space="preserve"> </w:t>
      </w:r>
      <w:r>
        <w:rPr>
          <w:rFonts w:ascii="Times New Roman" w:hAnsi="Times New Roman" w:eastAsia="Times New Roman" w:cs="Times New Roman"/>
          <w:spacing w:val="-2"/>
          <w:sz w:val="24"/>
          <w:szCs w:val="24"/>
        </w:rPr>
        <w:t>72.</w:t>
      </w:r>
      <w:r>
        <w:rPr>
          <w:rFonts w:ascii="Times New Roman" w:hAnsi="Times New Roman" w:eastAsia="Times New Roman" w:cs="Times New Roman"/>
          <w:spacing w:val="-3"/>
          <w:sz w:val="24"/>
          <w:szCs w:val="24"/>
        </w:rPr>
        <w:t>22%</w:t>
      </w:r>
      <w:r>
        <w:rPr>
          <w:spacing w:val="-3"/>
          <w:sz w:val="24"/>
          <w:szCs w:val="24"/>
        </w:rPr>
        <w:t>；桡足类生物量为</w:t>
      </w:r>
      <w:r>
        <w:rPr>
          <w:spacing w:val="-39"/>
          <w:sz w:val="24"/>
          <w:szCs w:val="24"/>
        </w:rPr>
        <w:t xml:space="preserve"> </w:t>
      </w:r>
      <w:r>
        <w:rPr>
          <w:rFonts w:ascii="Times New Roman" w:hAnsi="Times New Roman" w:eastAsia="Times New Roman" w:cs="Times New Roman"/>
          <w:spacing w:val="-3"/>
          <w:sz w:val="24"/>
          <w:szCs w:val="24"/>
        </w:rPr>
        <w:t>0.07mg/L</w:t>
      </w:r>
      <w:r>
        <w:rPr>
          <w:spacing w:val="-3"/>
          <w:sz w:val="24"/>
          <w:szCs w:val="24"/>
        </w:rPr>
        <w:t xml:space="preserve">，占 </w:t>
      </w:r>
      <w:r>
        <w:rPr>
          <w:rFonts w:ascii="Times New Roman" w:hAnsi="Times New Roman" w:eastAsia="Times New Roman" w:cs="Times New Roman"/>
          <w:spacing w:val="-3"/>
          <w:sz w:val="24"/>
          <w:szCs w:val="24"/>
        </w:rPr>
        <w:t>19.44%</w:t>
      </w:r>
      <w:r>
        <w:rPr>
          <w:spacing w:val="-3"/>
          <w:sz w:val="24"/>
          <w:szCs w:val="24"/>
        </w:rPr>
        <w:t>。</w:t>
      </w:r>
    </w:p>
    <w:p w14:paraId="43410639">
      <w:pPr>
        <w:spacing w:line="333" w:lineRule="auto"/>
        <w:rPr>
          <w:sz w:val="24"/>
          <w:szCs w:val="24"/>
        </w:rPr>
        <w:sectPr>
          <w:footerReference r:id="rId214" w:type="default"/>
          <w:pgSz w:w="11907" w:h="16839"/>
          <w:pgMar w:top="1376" w:right="1669" w:bottom="1061" w:left="1671" w:header="999" w:footer="861" w:gutter="0"/>
          <w:cols w:space="720" w:num="1"/>
        </w:sectPr>
      </w:pPr>
    </w:p>
    <w:p w14:paraId="0561684D">
      <w:pPr>
        <w:spacing w:line="455" w:lineRule="auto"/>
        <w:rPr>
          <w:rFonts w:ascii="Arial"/>
          <w:sz w:val="21"/>
        </w:rPr>
      </w:pPr>
    </w:p>
    <w:p w14:paraId="5C71BECF">
      <w:pPr>
        <w:pStyle w:val="2"/>
        <w:spacing w:before="78" w:line="212"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6.1-21          </w:t>
      </w:r>
      <w:r>
        <w:rPr>
          <w:b/>
          <w:bCs/>
          <w:spacing w:val="-1"/>
          <w:sz w:val="24"/>
          <w:szCs w:val="24"/>
        </w:rPr>
        <w:t>环评期和施工期工程影响河段浮</w:t>
      </w:r>
      <w:r>
        <w:rPr>
          <w:b/>
          <w:bCs/>
          <w:spacing w:val="-2"/>
          <w:sz w:val="24"/>
          <w:szCs w:val="24"/>
        </w:rPr>
        <w:t>游动物生物量（</w:t>
      </w:r>
      <w:r>
        <w:rPr>
          <w:rFonts w:ascii="Times New Roman" w:hAnsi="Times New Roman" w:eastAsia="Times New Roman" w:cs="Times New Roman"/>
          <w:b/>
          <w:bCs/>
          <w:spacing w:val="-2"/>
          <w:sz w:val="24"/>
          <w:szCs w:val="24"/>
        </w:rPr>
        <w:t>mg/L</w:t>
      </w:r>
      <w:r>
        <w:rPr>
          <w:b/>
          <w:bCs/>
          <w:spacing w:val="-2"/>
          <w:sz w:val="24"/>
          <w:szCs w:val="24"/>
        </w:rPr>
        <w:t>）</w:t>
      </w:r>
    </w:p>
    <w:p w14:paraId="2B7BB1BD">
      <w:pPr>
        <w:spacing w:line="17" w:lineRule="exact"/>
      </w:pPr>
    </w:p>
    <w:tbl>
      <w:tblPr>
        <w:tblStyle w:val="5"/>
        <w:tblW w:w="8469" w:type="dxa"/>
        <w:tblInd w:w="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0"/>
        <w:gridCol w:w="1496"/>
        <w:gridCol w:w="1373"/>
        <w:gridCol w:w="1496"/>
        <w:gridCol w:w="1373"/>
        <w:gridCol w:w="1221"/>
      </w:tblGrid>
      <w:tr w14:paraId="11A7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510" w:type="dxa"/>
            <w:tcBorders>
              <w:top w:val="single" w:color="000000" w:sz="12" w:space="0"/>
              <w:left w:val="single" w:color="000000" w:sz="12" w:space="0"/>
            </w:tcBorders>
            <w:vAlign w:val="top"/>
          </w:tcPr>
          <w:p w14:paraId="3EE36EA5">
            <w:pPr>
              <w:spacing w:before="65" w:line="220" w:lineRule="auto"/>
              <w:ind w:left="323"/>
              <w:rPr>
                <w:rFonts w:ascii="宋体" w:hAnsi="宋体" w:eastAsia="宋体" w:cs="宋体"/>
                <w:sz w:val="21"/>
                <w:szCs w:val="21"/>
              </w:rPr>
            </w:pPr>
            <w:r>
              <w:rPr>
                <w:rFonts w:ascii="宋体" w:hAnsi="宋体" w:eastAsia="宋体" w:cs="宋体"/>
                <w:spacing w:val="-2"/>
                <w:sz w:val="21"/>
                <w:szCs w:val="21"/>
              </w:rPr>
              <w:t>监测年份</w:t>
            </w:r>
          </w:p>
        </w:tc>
        <w:tc>
          <w:tcPr>
            <w:tcW w:w="1496" w:type="dxa"/>
            <w:tcBorders>
              <w:top w:val="single" w:color="000000" w:sz="12" w:space="0"/>
            </w:tcBorders>
            <w:vAlign w:val="top"/>
          </w:tcPr>
          <w:p w14:paraId="08DD91EA">
            <w:pPr>
              <w:spacing w:before="65" w:line="220" w:lineRule="auto"/>
              <w:ind w:left="328"/>
              <w:rPr>
                <w:rFonts w:ascii="宋体" w:hAnsi="宋体" w:eastAsia="宋体" w:cs="宋体"/>
                <w:sz w:val="21"/>
                <w:szCs w:val="21"/>
              </w:rPr>
            </w:pPr>
            <w:r>
              <w:rPr>
                <w:rFonts w:ascii="宋体" w:hAnsi="宋体" w:eastAsia="宋体" w:cs="宋体"/>
                <w:spacing w:val="-3"/>
                <w:sz w:val="21"/>
                <w:szCs w:val="21"/>
              </w:rPr>
              <w:t>原生动物</w:t>
            </w:r>
          </w:p>
        </w:tc>
        <w:tc>
          <w:tcPr>
            <w:tcW w:w="1373" w:type="dxa"/>
            <w:tcBorders>
              <w:top w:val="single" w:color="000000" w:sz="12" w:space="0"/>
            </w:tcBorders>
            <w:vAlign w:val="top"/>
          </w:tcPr>
          <w:p w14:paraId="6FB278D2">
            <w:pPr>
              <w:spacing w:before="65" w:line="221" w:lineRule="auto"/>
              <w:ind w:left="478"/>
              <w:rPr>
                <w:rFonts w:ascii="宋体" w:hAnsi="宋体" w:eastAsia="宋体" w:cs="宋体"/>
                <w:sz w:val="21"/>
                <w:szCs w:val="21"/>
              </w:rPr>
            </w:pPr>
            <w:r>
              <w:rPr>
                <w:rFonts w:ascii="宋体" w:hAnsi="宋体" w:eastAsia="宋体" w:cs="宋体"/>
                <w:spacing w:val="-3"/>
                <w:sz w:val="21"/>
                <w:szCs w:val="21"/>
              </w:rPr>
              <w:t>轮虫</w:t>
            </w:r>
          </w:p>
        </w:tc>
        <w:tc>
          <w:tcPr>
            <w:tcW w:w="1496" w:type="dxa"/>
            <w:tcBorders>
              <w:top w:val="single" w:color="000000" w:sz="12" w:space="0"/>
            </w:tcBorders>
            <w:vAlign w:val="top"/>
          </w:tcPr>
          <w:p w14:paraId="0B266F22">
            <w:pPr>
              <w:spacing w:before="65" w:line="219" w:lineRule="auto"/>
              <w:ind w:left="440"/>
              <w:rPr>
                <w:rFonts w:ascii="宋体" w:hAnsi="宋体" w:eastAsia="宋体" w:cs="宋体"/>
                <w:sz w:val="21"/>
                <w:szCs w:val="21"/>
              </w:rPr>
            </w:pPr>
            <w:r>
              <w:rPr>
                <w:rFonts w:ascii="宋体" w:hAnsi="宋体" w:eastAsia="宋体" w:cs="宋体"/>
                <w:spacing w:val="-3"/>
                <w:sz w:val="21"/>
                <w:szCs w:val="21"/>
              </w:rPr>
              <w:t>枝角类</w:t>
            </w:r>
          </w:p>
        </w:tc>
        <w:tc>
          <w:tcPr>
            <w:tcW w:w="1373" w:type="dxa"/>
            <w:tcBorders>
              <w:top w:val="single" w:color="000000" w:sz="12" w:space="0"/>
            </w:tcBorders>
            <w:vAlign w:val="top"/>
          </w:tcPr>
          <w:p w14:paraId="265100E8">
            <w:pPr>
              <w:spacing w:before="65" w:line="220" w:lineRule="auto"/>
              <w:ind w:left="382"/>
              <w:rPr>
                <w:rFonts w:ascii="宋体" w:hAnsi="宋体" w:eastAsia="宋体" w:cs="宋体"/>
                <w:sz w:val="21"/>
                <w:szCs w:val="21"/>
              </w:rPr>
            </w:pPr>
            <w:r>
              <w:rPr>
                <w:rFonts w:ascii="宋体" w:hAnsi="宋体" w:eastAsia="宋体" w:cs="宋体"/>
                <w:spacing w:val="-2"/>
                <w:sz w:val="21"/>
                <w:szCs w:val="21"/>
              </w:rPr>
              <w:t>桡足类</w:t>
            </w:r>
          </w:p>
        </w:tc>
        <w:tc>
          <w:tcPr>
            <w:tcW w:w="1221" w:type="dxa"/>
            <w:tcBorders>
              <w:top w:val="single" w:color="000000" w:sz="12" w:space="0"/>
              <w:right w:val="single" w:color="000000" w:sz="12" w:space="0"/>
            </w:tcBorders>
            <w:vAlign w:val="top"/>
          </w:tcPr>
          <w:p w14:paraId="40B74790">
            <w:pPr>
              <w:spacing w:before="65" w:line="220" w:lineRule="auto"/>
              <w:ind w:left="302"/>
              <w:rPr>
                <w:rFonts w:ascii="宋体" w:hAnsi="宋体" w:eastAsia="宋体" w:cs="宋体"/>
                <w:sz w:val="21"/>
                <w:szCs w:val="21"/>
              </w:rPr>
            </w:pPr>
            <w:r>
              <w:rPr>
                <w:rFonts w:ascii="宋体" w:hAnsi="宋体" w:eastAsia="宋体" w:cs="宋体"/>
                <w:spacing w:val="-2"/>
                <w:sz w:val="21"/>
                <w:szCs w:val="21"/>
              </w:rPr>
              <w:t>平均值</w:t>
            </w:r>
          </w:p>
        </w:tc>
      </w:tr>
      <w:tr w14:paraId="7632D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510" w:type="dxa"/>
            <w:tcBorders>
              <w:left w:val="single" w:color="000000" w:sz="12" w:space="0"/>
            </w:tcBorders>
            <w:vAlign w:val="top"/>
          </w:tcPr>
          <w:p w14:paraId="73FF8327">
            <w:pPr>
              <w:pStyle w:val="6"/>
              <w:spacing w:before="68" w:line="217" w:lineRule="auto"/>
              <w:ind w:left="188"/>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496" w:type="dxa"/>
            <w:vAlign w:val="top"/>
          </w:tcPr>
          <w:p w14:paraId="7B5EC158">
            <w:pPr>
              <w:pStyle w:val="6"/>
              <w:spacing w:before="101" w:line="212" w:lineRule="auto"/>
              <w:ind w:left="559"/>
            </w:pPr>
            <w:r>
              <w:rPr>
                <w:spacing w:val="-2"/>
              </w:rPr>
              <w:t>0.01</w:t>
            </w:r>
          </w:p>
        </w:tc>
        <w:tc>
          <w:tcPr>
            <w:tcW w:w="1373" w:type="dxa"/>
            <w:vAlign w:val="top"/>
          </w:tcPr>
          <w:p w14:paraId="1640502A">
            <w:pPr>
              <w:pStyle w:val="6"/>
              <w:spacing w:before="101" w:line="212" w:lineRule="auto"/>
              <w:ind w:left="503"/>
            </w:pPr>
            <w:r>
              <w:rPr>
                <w:spacing w:val="-2"/>
              </w:rPr>
              <w:t>0.03</w:t>
            </w:r>
          </w:p>
        </w:tc>
        <w:tc>
          <w:tcPr>
            <w:tcW w:w="1496" w:type="dxa"/>
            <w:vAlign w:val="top"/>
          </w:tcPr>
          <w:p w14:paraId="7D69F5F7">
            <w:pPr>
              <w:pStyle w:val="6"/>
              <w:spacing w:before="101" w:line="212" w:lineRule="auto"/>
              <w:ind w:left="569"/>
            </w:pPr>
            <w:r>
              <w:rPr>
                <w:spacing w:val="-2"/>
              </w:rPr>
              <w:t>0.29</w:t>
            </w:r>
          </w:p>
        </w:tc>
        <w:tc>
          <w:tcPr>
            <w:tcW w:w="1373" w:type="dxa"/>
            <w:vAlign w:val="top"/>
          </w:tcPr>
          <w:p w14:paraId="5ACB6232">
            <w:pPr>
              <w:pStyle w:val="6"/>
              <w:spacing w:before="101" w:line="212" w:lineRule="auto"/>
              <w:ind w:left="514"/>
            </w:pPr>
            <w:r>
              <w:rPr>
                <w:spacing w:val="-2"/>
              </w:rPr>
              <w:t>0.08</w:t>
            </w:r>
          </w:p>
        </w:tc>
        <w:tc>
          <w:tcPr>
            <w:tcW w:w="1221" w:type="dxa"/>
            <w:tcBorders>
              <w:right w:val="single" w:color="000000" w:sz="12" w:space="0"/>
            </w:tcBorders>
            <w:vAlign w:val="top"/>
          </w:tcPr>
          <w:p w14:paraId="498E2AA3">
            <w:pPr>
              <w:pStyle w:val="6"/>
              <w:spacing w:before="101" w:line="212" w:lineRule="auto"/>
              <w:ind w:left="433"/>
            </w:pPr>
            <w:r>
              <w:rPr>
                <w:spacing w:val="-2"/>
              </w:rPr>
              <w:t>0.41</w:t>
            </w:r>
          </w:p>
        </w:tc>
      </w:tr>
      <w:tr w14:paraId="2CB6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510" w:type="dxa"/>
            <w:tcBorders>
              <w:left w:val="single" w:color="000000" w:sz="12" w:space="0"/>
              <w:bottom w:val="single" w:color="000000" w:sz="12" w:space="0"/>
            </w:tcBorders>
            <w:vAlign w:val="top"/>
          </w:tcPr>
          <w:p w14:paraId="7A3FE7C5">
            <w:pPr>
              <w:pStyle w:val="6"/>
              <w:spacing w:before="76" w:line="228" w:lineRule="auto"/>
              <w:ind w:left="188"/>
              <w:rPr>
                <w:rFonts w:ascii="宋体" w:hAnsi="宋体" w:eastAsia="宋体" w:cs="宋体"/>
              </w:rPr>
            </w:pPr>
            <w:r>
              <w:rPr>
                <w:spacing w:val="-1"/>
              </w:rPr>
              <w:t xml:space="preserve">2020 </w:t>
            </w:r>
            <w:r>
              <w:rPr>
                <w:rFonts w:ascii="宋体" w:hAnsi="宋体" w:eastAsia="宋体" w:cs="宋体"/>
                <w:spacing w:val="-1"/>
              </w:rPr>
              <w:t>施工期</w:t>
            </w:r>
          </w:p>
        </w:tc>
        <w:tc>
          <w:tcPr>
            <w:tcW w:w="1496" w:type="dxa"/>
            <w:tcBorders>
              <w:bottom w:val="single" w:color="000000" w:sz="12" w:space="0"/>
            </w:tcBorders>
            <w:vAlign w:val="top"/>
          </w:tcPr>
          <w:p w14:paraId="30E6522F">
            <w:pPr>
              <w:pStyle w:val="6"/>
              <w:spacing w:before="109" w:line="225" w:lineRule="auto"/>
              <w:ind w:left="559"/>
            </w:pPr>
            <w:r>
              <w:rPr>
                <w:spacing w:val="-2"/>
              </w:rPr>
              <w:t>0.01</w:t>
            </w:r>
          </w:p>
        </w:tc>
        <w:tc>
          <w:tcPr>
            <w:tcW w:w="1373" w:type="dxa"/>
            <w:tcBorders>
              <w:bottom w:val="single" w:color="000000" w:sz="12" w:space="0"/>
            </w:tcBorders>
            <w:vAlign w:val="top"/>
          </w:tcPr>
          <w:p w14:paraId="645F57E0">
            <w:pPr>
              <w:pStyle w:val="6"/>
              <w:spacing w:before="109" w:line="225" w:lineRule="auto"/>
              <w:ind w:left="503"/>
            </w:pPr>
            <w:r>
              <w:rPr>
                <w:spacing w:val="-2"/>
              </w:rPr>
              <w:t>0.02</w:t>
            </w:r>
          </w:p>
        </w:tc>
        <w:tc>
          <w:tcPr>
            <w:tcW w:w="1496" w:type="dxa"/>
            <w:tcBorders>
              <w:bottom w:val="single" w:color="000000" w:sz="12" w:space="0"/>
            </w:tcBorders>
            <w:vAlign w:val="top"/>
          </w:tcPr>
          <w:p w14:paraId="3F82E5DB">
            <w:pPr>
              <w:pStyle w:val="6"/>
              <w:spacing w:before="109" w:line="225" w:lineRule="auto"/>
              <w:ind w:left="569"/>
            </w:pPr>
            <w:r>
              <w:rPr>
                <w:spacing w:val="-2"/>
              </w:rPr>
              <w:t>0.26</w:t>
            </w:r>
          </w:p>
        </w:tc>
        <w:tc>
          <w:tcPr>
            <w:tcW w:w="1373" w:type="dxa"/>
            <w:tcBorders>
              <w:bottom w:val="single" w:color="000000" w:sz="12" w:space="0"/>
            </w:tcBorders>
            <w:vAlign w:val="top"/>
          </w:tcPr>
          <w:p w14:paraId="306176CE">
            <w:pPr>
              <w:pStyle w:val="6"/>
              <w:spacing w:before="109" w:line="225" w:lineRule="auto"/>
              <w:ind w:left="514"/>
            </w:pPr>
            <w:r>
              <w:rPr>
                <w:spacing w:val="-2"/>
              </w:rPr>
              <w:t>0.07</w:t>
            </w:r>
          </w:p>
        </w:tc>
        <w:tc>
          <w:tcPr>
            <w:tcW w:w="1221" w:type="dxa"/>
            <w:tcBorders>
              <w:bottom w:val="single" w:color="000000" w:sz="12" w:space="0"/>
              <w:right w:val="single" w:color="000000" w:sz="12" w:space="0"/>
            </w:tcBorders>
            <w:vAlign w:val="top"/>
          </w:tcPr>
          <w:p w14:paraId="4F584B62">
            <w:pPr>
              <w:pStyle w:val="6"/>
              <w:spacing w:before="109" w:line="225" w:lineRule="auto"/>
              <w:ind w:left="433"/>
            </w:pPr>
            <w:r>
              <w:rPr>
                <w:spacing w:val="-2"/>
              </w:rPr>
              <w:t>0.36</w:t>
            </w:r>
          </w:p>
        </w:tc>
      </w:tr>
    </w:tbl>
    <w:p w14:paraId="12D44063">
      <w:pPr>
        <w:spacing w:before="197"/>
      </w:pPr>
    </w:p>
    <w:tbl>
      <w:tblPr>
        <w:tblStyle w:val="5"/>
        <w:tblW w:w="7200" w:type="dxa"/>
        <w:tblInd w:w="681" w:type="dxa"/>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Layout w:type="fixed"/>
        <w:tblCellMar>
          <w:top w:w="0" w:type="dxa"/>
          <w:left w:w="0" w:type="dxa"/>
          <w:bottom w:w="0" w:type="dxa"/>
          <w:right w:w="0" w:type="dxa"/>
        </w:tblCellMar>
      </w:tblPr>
      <w:tblGrid>
        <w:gridCol w:w="7200"/>
      </w:tblGrid>
      <w:tr w14:paraId="0E1EA477">
        <w:tblPrEx>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CellMar>
            <w:top w:w="0" w:type="dxa"/>
            <w:left w:w="0" w:type="dxa"/>
            <w:bottom w:w="0" w:type="dxa"/>
            <w:right w:w="0" w:type="dxa"/>
          </w:tblCellMar>
        </w:tblPrEx>
        <w:trPr>
          <w:trHeight w:val="4307" w:hRule="atLeast"/>
        </w:trPr>
        <w:tc>
          <w:tcPr>
            <w:tcW w:w="7200" w:type="dxa"/>
            <w:vAlign w:val="top"/>
          </w:tcPr>
          <w:p w14:paraId="664F099D">
            <w:pPr>
              <w:pStyle w:val="6"/>
              <w:spacing w:before="189" w:line="219" w:lineRule="auto"/>
              <w:ind w:left="2304"/>
              <w:rPr>
                <w:sz w:val="27"/>
                <w:szCs w:val="27"/>
              </w:rPr>
            </w:pPr>
            <w:r>
              <w:rPr>
                <w:rFonts w:ascii="宋体" w:hAnsi="宋体" w:eastAsia="宋体" w:cs="宋体"/>
                <w:b/>
                <w:bCs/>
                <w:color w:val="595959"/>
                <w:spacing w:val="7"/>
                <w:sz w:val="27"/>
                <w:szCs w:val="27"/>
              </w:rPr>
              <w:t>浮游动物生物量</w:t>
            </w:r>
            <w:r>
              <w:rPr>
                <w:b/>
                <w:bCs/>
                <w:color w:val="595959"/>
                <w:sz w:val="27"/>
                <w:szCs w:val="27"/>
              </w:rPr>
              <w:t>mg</w:t>
            </w:r>
            <w:r>
              <w:rPr>
                <w:b/>
                <w:bCs/>
                <w:color w:val="595959"/>
                <w:spacing w:val="7"/>
                <w:sz w:val="27"/>
                <w:szCs w:val="27"/>
              </w:rPr>
              <w:t>/L</w:t>
            </w:r>
          </w:p>
          <w:p w14:paraId="1B2B7A13">
            <w:pPr>
              <w:spacing w:before="167" w:line="3449" w:lineRule="exact"/>
              <w:ind w:firstLine="128"/>
            </w:pPr>
            <w:r>
              <w:rPr>
                <w:position w:val="-68"/>
              </w:rPr>
              <w:pict>
                <v:group id="_x0000_s1194" o:spid="_x0000_s1194" o:spt="203" style="height:172.5pt;width:342.2pt;" coordsize="6844,3450">
                  <o:lock v:ext="edit"/>
                  <v:shape id="_x0000_s1195" o:spid="_x0000_s1195" o:spt="202" type="#_x0000_t202" style="position:absolute;left:-20;top:-20;height:3490;width:6517;" filled="f" stroked="f" coordsize="21600,21600">
                    <v:path/>
                    <v:fill on="f" focussize="0,0"/>
                    <v:stroke on="f"/>
                    <v:imagedata o:title=""/>
                    <o:lock v:ext="edit" aspectratio="f"/>
                    <v:textbox inset="0mm,0mm,0mm,0mm">
                      <w:txbxContent>
                        <w:p w14:paraId="380B6E72">
                          <w:pPr>
                            <w:spacing w:before="20" w:line="318" w:lineRule="auto"/>
                            <w:ind w:left="20" w:right="6184"/>
                            <w:rPr>
                              <w:rFonts w:ascii="Calibri" w:hAnsi="Calibri" w:eastAsia="Calibri" w:cs="Calibri"/>
                              <w:sz w:val="18"/>
                              <w:szCs w:val="18"/>
                            </w:rPr>
                          </w:pPr>
                          <w:r>
                            <w:rPr>
                              <w:rFonts w:ascii="Calibri" w:hAnsi="Calibri" w:eastAsia="Calibri" w:cs="Calibri"/>
                              <w:color w:val="595959"/>
                              <w:spacing w:val="-2"/>
                              <w:sz w:val="18"/>
                              <w:szCs w:val="18"/>
                            </w:rPr>
                            <w:t>0.45</w:t>
                          </w:r>
                          <w:r>
                            <w:rPr>
                              <w:rFonts w:ascii="Calibri" w:hAnsi="Calibri" w:eastAsia="Calibri" w:cs="Calibri"/>
                              <w:color w:val="595959"/>
                              <w:sz w:val="18"/>
                              <w:szCs w:val="18"/>
                            </w:rPr>
                            <w:t xml:space="preserve"> </w:t>
                          </w:r>
                          <w:r>
                            <w:rPr>
                              <w:rFonts w:ascii="Calibri" w:hAnsi="Calibri" w:eastAsia="Calibri" w:cs="Calibri"/>
                              <w:color w:val="595959"/>
                              <w:spacing w:val="16"/>
                              <w:w w:val="116"/>
                              <w:sz w:val="18"/>
                              <w:szCs w:val="18"/>
                            </w:rPr>
                            <w:t>0.4</w:t>
                          </w:r>
                          <w:r>
                            <w:rPr>
                              <w:rFonts w:ascii="Calibri" w:hAnsi="Calibri" w:eastAsia="Calibri" w:cs="Calibri"/>
                              <w:color w:val="595959"/>
                              <w:sz w:val="18"/>
                              <w:szCs w:val="18"/>
                            </w:rPr>
                            <w:t xml:space="preserve"> </w:t>
                          </w:r>
                          <w:r>
                            <w:rPr>
                              <w:rFonts w:ascii="Calibri" w:hAnsi="Calibri" w:eastAsia="Calibri" w:cs="Calibri"/>
                              <w:color w:val="595959"/>
                              <w:spacing w:val="-2"/>
                              <w:sz w:val="18"/>
                              <w:szCs w:val="18"/>
                            </w:rPr>
                            <w:t>0.35</w:t>
                          </w:r>
                          <w:r>
                            <w:rPr>
                              <w:rFonts w:ascii="Calibri" w:hAnsi="Calibri" w:eastAsia="Calibri" w:cs="Calibri"/>
                              <w:color w:val="595959"/>
                              <w:sz w:val="18"/>
                              <w:szCs w:val="18"/>
                            </w:rPr>
                            <w:t xml:space="preserve"> </w:t>
                          </w:r>
                          <w:r>
                            <w:rPr>
                              <w:rFonts w:ascii="Calibri" w:hAnsi="Calibri" w:eastAsia="Calibri" w:cs="Calibri"/>
                              <w:color w:val="595959"/>
                              <w:spacing w:val="19"/>
                              <w:w w:val="112"/>
                              <w:sz w:val="18"/>
                              <w:szCs w:val="18"/>
                            </w:rPr>
                            <w:t>0.3</w:t>
                          </w:r>
                          <w:r>
                            <w:rPr>
                              <w:rFonts w:ascii="Calibri" w:hAnsi="Calibri" w:eastAsia="Calibri" w:cs="Calibri"/>
                              <w:color w:val="595959"/>
                              <w:sz w:val="18"/>
                              <w:szCs w:val="18"/>
                            </w:rPr>
                            <w:t xml:space="preserve"> </w:t>
                          </w:r>
                          <w:r>
                            <w:rPr>
                              <w:rFonts w:ascii="Calibri" w:hAnsi="Calibri" w:eastAsia="Calibri" w:cs="Calibri"/>
                              <w:color w:val="595959"/>
                              <w:spacing w:val="-2"/>
                              <w:sz w:val="18"/>
                              <w:szCs w:val="18"/>
                            </w:rPr>
                            <w:t>0.25</w:t>
                          </w:r>
                          <w:r>
                            <w:rPr>
                              <w:rFonts w:ascii="Calibri" w:hAnsi="Calibri" w:eastAsia="Calibri" w:cs="Calibri"/>
                              <w:color w:val="595959"/>
                              <w:sz w:val="18"/>
                              <w:szCs w:val="18"/>
                            </w:rPr>
                            <w:t xml:space="preserve"> </w:t>
                          </w:r>
                          <w:r>
                            <w:rPr>
                              <w:rFonts w:ascii="Calibri" w:hAnsi="Calibri" w:eastAsia="Calibri" w:cs="Calibri"/>
                              <w:color w:val="595959"/>
                              <w:spacing w:val="19"/>
                              <w:w w:val="112"/>
                              <w:sz w:val="18"/>
                              <w:szCs w:val="18"/>
                            </w:rPr>
                            <w:t>0.2</w:t>
                          </w:r>
                          <w:r>
                            <w:rPr>
                              <w:rFonts w:ascii="Calibri" w:hAnsi="Calibri" w:eastAsia="Calibri" w:cs="Calibri"/>
                              <w:color w:val="595959"/>
                              <w:sz w:val="18"/>
                              <w:szCs w:val="18"/>
                            </w:rPr>
                            <w:t xml:space="preserve"> </w:t>
                          </w:r>
                          <w:r>
                            <w:rPr>
                              <w:rFonts w:ascii="Calibri" w:hAnsi="Calibri" w:eastAsia="Calibri" w:cs="Calibri"/>
                              <w:color w:val="595959"/>
                              <w:spacing w:val="-2"/>
                              <w:sz w:val="18"/>
                              <w:szCs w:val="18"/>
                            </w:rPr>
                            <w:t>0.15</w:t>
                          </w:r>
                          <w:r>
                            <w:rPr>
                              <w:rFonts w:ascii="Calibri" w:hAnsi="Calibri" w:eastAsia="Calibri" w:cs="Calibri"/>
                              <w:color w:val="595959"/>
                              <w:sz w:val="18"/>
                              <w:szCs w:val="18"/>
                            </w:rPr>
                            <w:t xml:space="preserve"> </w:t>
                          </w:r>
                          <w:r>
                            <w:rPr>
                              <w:rFonts w:ascii="Calibri" w:hAnsi="Calibri" w:eastAsia="Calibri" w:cs="Calibri"/>
                              <w:color w:val="595959"/>
                              <w:spacing w:val="19"/>
                              <w:w w:val="112"/>
                              <w:sz w:val="18"/>
                              <w:szCs w:val="18"/>
                            </w:rPr>
                            <w:t>0.1</w:t>
                          </w:r>
                        </w:p>
                        <w:p w14:paraId="1DFB16E7">
                          <w:pPr>
                            <w:spacing w:line="226" w:lineRule="exact"/>
                            <w:ind w:left="20"/>
                            <w:rPr>
                              <w:rFonts w:ascii="Calibri" w:hAnsi="Calibri" w:eastAsia="Calibri" w:cs="Calibri"/>
                              <w:sz w:val="18"/>
                              <w:szCs w:val="18"/>
                            </w:rPr>
                          </w:pPr>
                          <w:r>
                            <w:rPr>
                              <w:rFonts w:ascii="Calibri" w:hAnsi="Calibri" w:eastAsia="Calibri" w:cs="Calibri"/>
                              <w:color w:val="595959"/>
                              <w:spacing w:val="-2"/>
                              <w:position w:val="1"/>
                              <w:sz w:val="18"/>
                              <w:szCs w:val="18"/>
                            </w:rPr>
                            <w:t>0.05</w:t>
                          </w:r>
                        </w:p>
                        <w:p w14:paraId="0E387CFF">
                          <w:pPr>
                            <w:spacing w:before="64" w:line="224" w:lineRule="exact"/>
                            <w:ind w:left="248"/>
                            <w:rPr>
                              <w:rFonts w:ascii="Calibri" w:hAnsi="Calibri" w:eastAsia="Calibri" w:cs="Calibri"/>
                              <w:sz w:val="18"/>
                              <w:szCs w:val="18"/>
                            </w:rPr>
                          </w:pPr>
                          <w:r>
                            <w:rPr>
                              <w:rFonts w:ascii="Calibri" w:hAnsi="Calibri" w:eastAsia="Calibri" w:cs="Calibri"/>
                              <w:color w:val="595959"/>
                              <w:position w:val="1"/>
                              <w:sz w:val="18"/>
                              <w:szCs w:val="18"/>
                            </w:rPr>
                            <w:t>0</w:t>
                          </w:r>
                        </w:p>
                        <w:p w14:paraId="1D60E618">
                          <w:pPr>
                            <w:spacing w:line="218" w:lineRule="auto"/>
                            <w:ind w:right="20"/>
                            <w:jc w:val="right"/>
                            <w:rPr>
                              <w:rFonts w:ascii="宋体" w:hAnsi="宋体" w:eastAsia="宋体" w:cs="宋体"/>
                              <w:sz w:val="18"/>
                              <w:szCs w:val="18"/>
                            </w:rPr>
                          </w:pPr>
                          <w:r>
                            <w:rPr>
                              <w:rFonts w:ascii="宋体" w:hAnsi="宋体" w:eastAsia="宋体" w:cs="宋体"/>
                              <w:color w:val="595959"/>
                              <w:spacing w:val="-1"/>
                              <w:sz w:val="18"/>
                              <w:szCs w:val="18"/>
                            </w:rPr>
                            <w:t>原生动物        轮虫</w:t>
                          </w:r>
                          <w:r>
                            <w:rPr>
                              <w:rFonts w:ascii="宋体" w:hAnsi="宋体" w:eastAsia="宋体" w:cs="宋体"/>
                              <w:color w:val="595959"/>
                              <w:spacing w:val="2"/>
                              <w:sz w:val="18"/>
                              <w:szCs w:val="18"/>
                            </w:rPr>
                            <w:t xml:space="preserve">         </w:t>
                          </w:r>
                          <w:r>
                            <w:rPr>
                              <w:rFonts w:ascii="宋体" w:hAnsi="宋体" w:eastAsia="宋体" w:cs="宋体"/>
                              <w:color w:val="595959"/>
                              <w:spacing w:val="-1"/>
                              <w:sz w:val="18"/>
                              <w:szCs w:val="18"/>
                            </w:rPr>
                            <w:t>枝角类</w:t>
                          </w:r>
                          <w:r>
                            <w:rPr>
                              <w:rFonts w:ascii="宋体" w:hAnsi="宋体" w:eastAsia="宋体" w:cs="宋体"/>
                              <w:color w:val="595959"/>
                              <w:spacing w:val="3"/>
                              <w:sz w:val="18"/>
                              <w:szCs w:val="18"/>
                            </w:rPr>
                            <w:t xml:space="preserve">        </w:t>
                          </w:r>
                          <w:r>
                            <w:rPr>
                              <w:rFonts w:ascii="宋体" w:hAnsi="宋体" w:eastAsia="宋体" w:cs="宋体"/>
                              <w:color w:val="595959"/>
                              <w:spacing w:val="-1"/>
                              <w:sz w:val="18"/>
                              <w:szCs w:val="18"/>
                            </w:rPr>
                            <w:t>桡足类</w:t>
                          </w:r>
                          <w:r>
                            <w:rPr>
                              <w:rFonts w:ascii="宋体" w:hAnsi="宋体" w:eastAsia="宋体" w:cs="宋体"/>
                              <w:color w:val="595959"/>
                              <w:spacing w:val="2"/>
                              <w:sz w:val="18"/>
                              <w:szCs w:val="18"/>
                            </w:rPr>
                            <w:t xml:space="preserve">        </w:t>
                          </w:r>
                          <w:r>
                            <w:rPr>
                              <w:rFonts w:ascii="宋体" w:hAnsi="宋体" w:eastAsia="宋体" w:cs="宋体"/>
                              <w:color w:val="595959"/>
                              <w:spacing w:val="-1"/>
                              <w:sz w:val="18"/>
                              <w:szCs w:val="18"/>
                            </w:rPr>
                            <w:t>平均值</w:t>
                          </w:r>
                        </w:p>
                        <w:p w14:paraId="4FAA6F5E">
                          <w:pPr>
                            <w:spacing w:before="192"/>
                            <w:ind w:left="2523"/>
                            <w:rPr>
                              <w:rFonts w:ascii="宋体" w:hAnsi="宋体" w:eastAsia="宋体" w:cs="宋体"/>
                              <w:sz w:val="18"/>
                              <w:szCs w:val="18"/>
                            </w:rPr>
                          </w:pPr>
                          <w:r>
                            <w:rPr>
                              <w:rFonts w:ascii="Calibri" w:hAnsi="Calibri" w:eastAsia="Calibri" w:cs="Calibri"/>
                              <w:color w:val="595959"/>
                              <w:spacing w:val="-2"/>
                              <w:sz w:val="18"/>
                              <w:szCs w:val="18"/>
                            </w:rPr>
                            <w:t>2016</w:t>
                          </w:r>
                          <w:r>
                            <w:rPr>
                              <w:rFonts w:ascii="宋体" w:hAnsi="宋体" w:eastAsia="宋体" w:cs="宋体"/>
                              <w:color w:val="595959"/>
                              <w:spacing w:val="-2"/>
                              <w:sz w:val="18"/>
                              <w:szCs w:val="18"/>
                            </w:rPr>
                            <w:t>环评期</w:t>
                          </w:r>
                          <w:r>
                            <w:rPr>
                              <w:rFonts w:ascii="宋体" w:hAnsi="宋体" w:eastAsia="宋体" w:cs="宋体"/>
                              <w:color w:val="595959"/>
                              <w:spacing w:val="30"/>
                              <w:sz w:val="18"/>
                              <w:szCs w:val="18"/>
                            </w:rPr>
                            <w:t xml:space="preserve">   </w:t>
                          </w:r>
                          <w:r>
                            <w:rPr>
                              <w:rFonts w:ascii="Calibri" w:hAnsi="Calibri" w:eastAsia="Calibri" w:cs="Calibri"/>
                              <w:color w:val="595959"/>
                              <w:spacing w:val="-2"/>
                              <w:sz w:val="18"/>
                              <w:szCs w:val="18"/>
                            </w:rPr>
                            <w:t>2020</w:t>
                          </w:r>
                          <w:r>
                            <w:rPr>
                              <w:rFonts w:ascii="宋体" w:hAnsi="宋体" w:eastAsia="宋体" w:cs="宋体"/>
                              <w:color w:val="595959"/>
                              <w:spacing w:val="-2"/>
                              <w:sz w:val="18"/>
                              <w:szCs w:val="18"/>
                            </w:rPr>
                            <w:t>施工期</w:t>
                          </w:r>
                        </w:p>
                      </w:txbxContent>
                    </v:textbox>
                  </v:shape>
                  <v:shape id="_x0000_s1196" o:spid="_x0000_s1196" o:spt="75" type="#_x0000_t75" style="position:absolute;left:479;top:75;height:3325;width:6365;" filled="f" stroked="f" coordsize="21600,21600">
                    <v:path/>
                    <v:fill on="f" focussize="0,0"/>
                    <v:stroke on="f"/>
                    <v:imagedata r:id="rId416" o:title=""/>
                    <o:lock v:ext="edit" aspectratio="t"/>
                  </v:shape>
                  <w10:wrap type="none"/>
                  <w10:anchorlock/>
                </v:group>
              </w:pict>
            </w:r>
          </w:p>
        </w:tc>
      </w:tr>
    </w:tbl>
    <w:p w14:paraId="37951B45">
      <w:pPr>
        <w:pStyle w:val="2"/>
        <w:spacing w:before="166" w:line="234" w:lineRule="auto"/>
        <w:ind w:left="1805"/>
        <w:rPr>
          <w:sz w:val="24"/>
          <w:szCs w:val="24"/>
        </w:rPr>
      </w:pPr>
      <w:r>
        <w:rPr>
          <w:b/>
          <w:bCs/>
          <w:spacing w:val="-3"/>
          <w:sz w:val="24"/>
          <w:szCs w:val="24"/>
        </w:rPr>
        <w:t>图</w:t>
      </w:r>
      <w:r>
        <w:rPr>
          <w:spacing w:val="-39"/>
          <w:sz w:val="24"/>
          <w:szCs w:val="24"/>
        </w:rPr>
        <w:t xml:space="preserve"> </w:t>
      </w:r>
      <w:r>
        <w:rPr>
          <w:rFonts w:ascii="Times New Roman" w:hAnsi="Times New Roman" w:eastAsia="Times New Roman" w:cs="Times New Roman"/>
          <w:b/>
          <w:bCs/>
          <w:spacing w:val="-3"/>
          <w:sz w:val="24"/>
          <w:szCs w:val="24"/>
        </w:rPr>
        <w:t xml:space="preserve">6.1-4      </w:t>
      </w:r>
      <w:r>
        <w:rPr>
          <w:b/>
          <w:bCs/>
          <w:spacing w:val="-3"/>
          <w:sz w:val="24"/>
          <w:szCs w:val="24"/>
        </w:rPr>
        <w:t>施工期和环评期浮游动物生物量变化</w:t>
      </w:r>
    </w:p>
    <w:p w14:paraId="474FA907">
      <w:pPr>
        <w:pStyle w:val="2"/>
        <w:spacing w:before="276" w:line="338" w:lineRule="auto"/>
        <w:ind w:left="40" w:firstLine="480"/>
        <w:jc w:val="both"/>
        <w:rPr>
          <w:sz w:val="24"/>
          <w:szCs w:val="24"/>
        </w:rPr>
      </w:pPr>
      <w:r>
        <w:rPr>
          <w:spacing w:val="-9"/>
          <w:sz w:val="24"/>
          <w:szCs w:val="24"/>
        </w:rPr>
        <w:t>两次调查采集到的原生动物，既有适应急流中生存的砂壳虫、匣壳</w:t>
      </w:r>
      <w:r>
        <w:rPr>
          <w:spacing w:val="-10"/>
          <w:sz w:val="24"/>
          <w:szCs w:val="24"/>
        </w:rPr>
        <w:t>虫、表壳虫，</w:t>
      </w:r>
      <w:r>
        <w:rPr>
          <w:spacing w:val="-7"/>
          <w:sz w:val="24"/>
          <w:szCs w:val="24"/>
        </w:rPr>
        <w:t>也有适应静水的膜袋虫、侠盗虫； 既有喜清洁水体的，也有耐污</w:t>
      </w:r>
      <w:r>
        <w:rPr>
          <w:spacing w:val="-8"/>
          <w:sz w:val="24"/>
          <w:szCs w:val="24"/>
        </w:rPr>
        <w:t>染的；既有营吞噬</w:t>
      </w:r>
      <w:r>
        <w:rPr>
          <w:spacing w:val="-7"/>
          <w:sz w:val="24"/>
          <w:szCs w:val="24"/>
        </w:rPr>
        <w:t xml:space="preserve">营养类型，也有营捕食类型，生态类型十分丰富。从空间分布看， </w:t>
      </w:r>
      <w:r>
        <w:rPr>
          <w:spacing w:val="-8"/>
          <w:sz w:val="24"/>
          <w:szCs w:val="24"/>
        </w:rPr>
        <w:t>纤毛虫多出现在</w:t>
      </w:r>
      <w:r>
        <w:rPr>
          <w:spacing w:val="-6"/>
          <w:sz w:val="24"/>
          <w:szCs w:val="24"/>
        </w:rPr>
        <w:t>支流中，而干流则以肉足虫为主。说明支流水生态系统的营养物质</w:t>
      </w:r>
      <w:r>
        <w:rPr>
          <w:spacing w:val="-7"/>
          <w:sz w:val="24"/>
          <w:szCs w:val="24"/>
        </w:rPr>
        <w:t>较干流丰富，</w:t>
      </w:r>
      <w:r>
        <w:rPr>
          <w:spacing w:val="-46"/>
          <w:sz w:val="24"/>
          <w:szCs w:val="24"/>
        </w:rPr>
        <w:t xml:space="preserve"> </w:t>
      </w:r>
      <w:r>
        <w:rPr>
          <w:spacing w:val="-7"/>
          <w:sz w:val="24"/>
          <w:szCs w:val="24"/>
        </w:rPr>
        <w:t>其</w:t>
      </w:r>
      <w:r>
        <w:rPr>
          <w:spacing w:val="-3"/>
          <w:sz w:val="24"/>
          <w:szCs w:val="24"/>
        </w:rPr>
        <w:t>水流也较缓，更适宜静水耐污性种类生存。</w:t>
      </w:r>
    </w:p>
    <w:p w14:paraId="405EAABB">
      <w:pPr>
        <w:pStyle w:val="2"/>
        <w:spacing w:before="1" w:line="338" w:lineRule="auto"/>
        <w:ind w:left="40" w:right="65" w:firstLine="478"/>
        <w:rPr>
          <w:sz w:val="24"/>
          <w:szCs w:val="24"/>
        </w:rPr>
      </w:pPr>
      <w:r>
        <w:rPr>
          <w:spacing w:val="-1"/>
          <w:sz w:val="24"/>
          <w:szCs w:val="24"/>
        </w:rPr>
        <w:t>施工期监测结果表明浮游动物物种数量同</w:t>
      </w:r>
      <w:r>
        <w:rPr>
          <w:spacing w:val="-49"/>
          <w:sz w:val="24"/>
          <w:szCs w:val="24"/>
        </w:rPr>
        <w:t xml:space="preserve"> </w:t>
      </w:r>
      <w:r>
        <w:rPr>
          <w:rFonts w:ascii="Times New Roman" w:hAnsi="Times New Roman" w:eastAsia="Times New Roman" w:cs="Times New Roman"/>
          <w:spacing w:val="-1"/>
          <w:sz w:val="24"/>
          <w:szCs w:val="24"/>
        </w:rPr>
        <w:t xml:space="preserve">2015 </w:t>
      </w:r>
      <w:r>
        <w:rPr>
          <w:spacing w:val="-1"/>
          <w:sz w:val="24"/>
          <w:szCs w:val="24"/>
        </w:rPr>
        <w:t>年环评期略有减少，生物量也</w:t>
      </w:r>
      <w:r>
        <w:rPr>
          <w:spacing w:val="-10"/>
          <w:sz w:val="24"/>
          <w:szCs w:val="24"/>
        </w:rPr>
        <w:t>不同程度的降低。原因主要是： 施工区生产废水、生活污水部分入河，</w:t>
      </w:r>
      <w:r>
        <w:rPr>
          <w:spacing w:val="-11"/>
          <w:sz w:val="24"/>
          <w:szCs w:val="24"/>
        </w:rPr>
        <w:t xml:space="preserve"> 道路建设及</w:t>
      </w:r>
      <w:r>
        <w:rPr>
          <w:spacing w:val="-4"/>
          <w:sz w:val="24"/>
          <w:szCs w:val="24"/>
        </w:rPr>
        <w:t>移民搬迁必将缩小植被覆盖面积，使工程施工区周边水土流失量增大，降低水</w:t>
      </w:r>
      <w:r>
        <w:rPr>
          <w:spacing w:val="-5"/>
          <w:sz w:val="24"/>
          <w:szCs w:val="24"/>
        </w:rPr>
        <w:t>质，</w:t>
      </w:r>
      <w:r>
        <w:rPr>
          <w:spacing w:val="-3"/>
          <w:sz w:val="24"/>
          <w:szCs w:val="24"/>
        </w:rPr>
        <w:t>从而影响浮游动物的生存和繁衍。</w:t>
      </w:r>
    </w:p>
    <w:p w14:paraId="7FF2F045">
      <w:pPr>
        <w:pStyle w:val="2"/>
        <w:spacing w:before="122" w:line="220" w:lineRule="auto"/>
        <w:ind w:left="35"/>
        <w:rPr>
          <w:sz w:val="24"/>
          <w:szCs w:val="24"/>
        </w:rPr>
      </w:pPr>
      <w:r>
        <w:rPr>
          <w:rFonts w:ascii="Arial" w:hAnsi="Arial" w:eastAsia="Arial" w:cs="Arial"/>
          <w:spacing w:val="5"/>
          <w:position w:val="1"/>
          <w:sz w:val="18"/>
          <w:szCs w:val="18"/>
        </w:rPr>
        <w:t>6.1.2.4</w:t>
      </w:r>
      <w:r>
        <w:rPr>
          <w:rFonts w:ascii="Arial" w:hAnsi="Arial" w:eastAsia="Arial" w:cs="Arial"/>
          <w:spacing w:val="43"/>
          <w:w w:val="101"/>
          <w:position w:val="1"/>
          <w:sz w:val="18"/>
          <w:szCs w:val="18"/>
        </w:rPr>
        <w:t xml:space="preserve"> </w:t>
      </w:r>
      <w:r>
        <w:rPr>
          <w:b/>
          <w:bCs/>
          <w:spacing w:val="5"/>
          <w:position w:val="-1"/>
          <w:sz w:val="24"/>
          <w:szCs w:val="24"/>
        </w:rPr>
        <w:t>底栖动物影响</w:t>
      </w:r>
    </w:p>
    <w:p w14:paraId="00B2A918">
      <w:pPr>
        <w:pStyle w:val="2"/>
        <w:spacing w:before="163" w:line="363" w:lineRule="auto"/>
        <w:ind w:left="39" w:right="64" w:firstLine="511"/>
        <w:jc w:val="both"/>
        <w:rPr>
          <w:sz w:val="24"/>
          <w:szCs w:val="24"/>
        </w:rPr>
      </w:pPr>
      <w:r>
        <w:rPr>
          <w:spacing w:val="2"/>
          <w:sz w:val="24"/>
          <w:szCs w:val="24"/>
        </w:rPr>
        <w:t>施工期监测区底栖动物以温带性种类为主，种类组成多样。监测区底栖</w:t>
      </w:r>
      <w:r>
        <w:rPr>
          <w:spacing w:val="1"/>
          <w:sz w:val="24"/>
          <w:szCs w:val="24"/>
        </w:rPr>
        <w:t>动物</w:t>
      </w:r>
      <w:r>
        <w:rPr>
          <w:spacing w:val="-2"/>
          <w:sz w:val="24"/>
          <w:szCs w:val="24"/>
        </w:rPr>
        <w:t>有</w:t>
      </w:r>
      <w:r>
        <w:rPr>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6"/>
          <w:w w:val="101"/>
          <w:sz w:val="24"/>
          <w:szCs w:val="24"/>
        </w:rPr>
        <w:t xml:space="preserve"> </w:t>
      </w:r>
      <w:r>
        <w:rPr>
          <w:spacing w:val="-2"/>
          <w:sz w:val="24"/>
          <w:szCs w:val="24"/>
        </w:rPr>
        <w:t>门</w:t>
      </w:r>
      <w:r>
        <w:rPr>
          <w:spacing w:val="-50"/>
          <w:sz w:val="24"/>
          <w:szCs w:val="24"/>
        </w:rPr>
        <w:t xml:space="preserve"> </w:t>
      </w:r>
      <w:r>
        <w:rPr>
          <w:rFonts w:ascii="Times New Roman" w:hAnsi="Times New Roman" w:eastAsia="Times New Roman" w:cs="Times New Roman"/>
          <w:spacing w:val="-2"/>
          <w:sz w:val="24"/>
          <w:szCs w:val="24"/>
        </w:rPr>
        <w:t xml:space="preserve">6 </w:t>
      </w:r>
      <w:r>
        <w:rPr>
          <w:spacing w:val="-2"/>
          <w:sz w:val="24"/>
          <w:szCs w:val="24"/>
        </w:rPr>
        <w:t>纲</w:t>
      </w:r>
      <w:r>
        <w:rPr>
          <w:spacing w:val="-50"/>
          <w:sz w:val="24"/>
          <w:szCs w:val="24"/>
        </w:rPr>
        <w:t xml:space="preserve"> </w:t>
      </w:r>
      <w:r>
        <w:rPr>
          <w:rFonts w:ascii="Times New Roman" w:hAnsi="Times New Roman" w:eastAsia="Times New Roman" w:cs="Times New Roman"/>
          <w:spacing w:val="-2"/>
          <w:sz w:val="24"/>
          <w:szCs w:val="24"/>
        </w:rPr>
        <w:t xml:space="preserve">38 </w:t>
      </w:r>
      <w:r>
        <w:rPr>
          <w:spacing w:val="-2"/>
          <w:sz w:val="24"/>
          <w:szCs w:val="24"/>
        </w:rPr>
        <w:t>种，其中，节肢动物门</w:t>
      </w:r>
      <w:r>
        <w:rPr>
          <w:rFonts w:ascii="Times New Roman" w:hAnsi="Times New Roman" w:eastAsia="Times New Roman" w:cs="Times New Roman"/>
          <w:spacing w:val="-2"/>
          <w:sz w:val="24"/>
          <w:szCs w:val="24"/>
        </w:rPr>
        <w:t xml:space="preserve">21 </w:t>
      </w:r>
      <w:r>
        <w:rPr>
          <w:spacing w:val="-2"/>
          <w:sz w:val="24"/>
          <w:szCs w:val="24"/>
        </w:rPr>
        <w:t>种，占总种数的</w:t>
      </w:r>
      <w:r>
        <w:rPr>
          <w:spacing w:val="-48"/>
          <w:sz w:val="24"/>
          <w:szCs w:val="24"/>
        </w:rPr>
        <w:t xml:space="preserve"> </w:t>
      </w:r>
      <w:r>
        <w:rPr>
          <w:rFonts w:ascii="Times New Roman" w:hAnsi="Times New Roman" w:eastAsia="Times New Roman" w:cs="Times New Roman"/>
          <w:spacing w:val="-2"/>
          <w:sz w:val="24"/>
          <w:szCs w:val="24"/>
        </w:rPr>
        <w:t>55.26%</w:t>
      </w:r>
      <w:r>
        <w:rPr>
          <w:spacing w:val="-2"/>
          <w:sz w:val="24"/>
          <w:szCs w:val="24"/>
        </w:rPr>
        <w:t>；</w:t>
      </w:r>
      <w:r>
        <w:rPr>
          <w:spacing w:val="-3"/>
          <w:sz w:val="24"/>
          <w:szCs w:val="24"/>
        </w:rPr>
        <w:t>软体动物门</w:t>
      </w:r>
      <w:r>
        <w:rPr>
          <w:spacing w:val="-32"/>
          <w:sz w:val="24"/>
          <w:szCs w:val="24"/>
        </w:rPr>
        <w:t xml:space="preserve"> </w:t>
      </w:r>
      <w:r>
        <w:rPr>
          <w:rFonts w:ascii="Times New Roman" w:hAnsi="Times New Roman" w:eastAsia="Times New Roman" w:cs="Times New Roman"/>
          <w:spacing w:val="-3"/>
          <w:sz w:val="24"/>
          <w:szCs w:val="24"/>
        </w:rPr>
        <w:t>11</w:t>
      </w:r>
      <w:r>
        <w:rPr>
          <w:spacing w:val="-7"/>
          <w:sz w:val="24"/>
          <w:szCs w:val="24"/>
        </w:rPr>
        <w:t>种，占总种数的</w:t>
      </w:r>
      <w:r>
        <w:rPr>
          <w:spacing w:val="-53"/>
          <w:sz w:val="24"/>
          <w:szCs w:val="24"/>
        </w:rPr>
        <w:t xml:space="preserve"> </w:t>
      </w:r>
      <w:r>
        <w:rPr>
          <w:rFonts w:ascii="Times New Roman" w:hAnsi="Times New Roman" w:eastAsia="Times New Roman" w:cs="Times New Roman"/>
          <w:spacing w:val="-7"/>
          <w:sz w:val="24"/>
          <w:szCs w:val="24"/>
        </w:rPr>
        <w:t>28.95%</w:t>
      </w:r>
      <w:r>
        <w:rPr>
          <w:spacing w:val="-7"/>
          <w:sz w:val="24"/>
          <w:szCs w:val="24"/>
        </w:rPr>
        <w:t>；环节动物门</w:t>
      </w:r>
      <w:r>
        <w:rPr>
          <w:spacing w:val="-49"/>
          <w:sz w:val="24"/>
          <w:szCs w:val="24"/>
        </w:rPr>
        <w:t xml:space="preserve"> </w:t>
      </w:r>
      <w:r>
        <w:rPr>
          <w:rFonts w:ascii="Times New Roman" w:hAnsi="Times New Roman" w:eastAsia="Times New Roman" w:cs="Times New Roman"/>
          <w:spacing w:val="-7"/>
          <w:sz w:val="24"/>
          <w:szCs w:val="24"/>
        </w:rPr>
        <w:t xml:space="preserve">6 </w:t>
      </w:r>
      <w:r>
        <w:rPr>
          <w:spacing w:val="-7"/>
          <w:sz w:val="24"/>
          <w:szCs w:val="24"/>
        </w:rPr>
        <w:t>种，占总种数的</w:t>
      </w:r>
      <w:r>
        <w:rPr>
          <w:spacing w:val="-32"/>
          <w:sz w:val="24"/>
          <w:szCs w:val="24"/>
        </w:rPr>
        <w:t xml:space="preserve"> </w:t>
      </w:r>
      <w:r>
        <w:rPr>
          <w:rFonts w:ascii="Times New Roman" w:hAnsi="Times New Roman" w:eastAsia="Times New Roman" w:cs="Times New Roman"/>
          <w:spacing w:val="-7"/>
          <w:sz w:val="24"/>
          <w:szCs w:val="24"/>
        </w:rPr>
        <w:t>15.79%</w:t>
      </w:r>
      <w:r>
        <w:rPr>
          <w:spacing w:val="-7"/>
          <w:sz w:val="24"/>
          <w:szCs w:val="24"/>
        </w:rPr>
        <w:t>，具体见表</w:t>
      </w:r>
      <w:r>
        <w:rPr>
          <w:spacing w:val="-49"/>
          <w:sz w:val="24"/>
          <w:szCs w:val="24"/>
        </w:rPr>
        <w:t xml:space="preserve"> </w:t>
      </w:r>
      <w:r>
        <w:rPr>
          <w:rFonts w:ascii="Times New Roman" w:hAnsi="Times New Roman" w:eastAsia="Times New Roman" w:cs="Times New Roman"/>
          <w:spacing w:val="-7"/>
          <w:sz w:val="24"/>
          <w:szCs w:val="24"/>
        </w:rPr>
        <w:t>6.1-22</w:t>
      </w:r>
      <w:r>
        <w:rPr>
          <w:spacing w:val="-7"/>
          <w:sz w:val="24"/>
          <w:szCs w:val="24"/>
        </w:rPr>
        <w:t>。</w:t>
      </w:r>
    </w:p>
    <w:p w14:paraId="7F51ECB4">
      <w:pPr>
        <w:spacing w:line="363" w:lineRule="auto"/>
        <w:rPr>
          <w:sz w:val="24"/>
          <w:szCs w:val="24"/>
        </w:rPr>
        <w:sectPr>
          <w:headerReference r:id="rId215" w:type="default"/>
          <w:footerReference r:id="rId216" w:type="default"/>
          <w:pgSz w:w="11907" w:h="16839"/>
          <w:pgMar w:top="1376" w:right="1633" w:bottom="1061" w:left="1671" w:header="999" w:footer="861" w:gutter="0"/>
          <w:cols w:space="720" w:num="1"/>
        </w:sectPr>
      </w:pPr>
    </w:p>
    <w:p w14:paraId="59A134C3">
      <w:pPr>
        <w:spacing w:line="454" w:lineRule="auto"/>
        <w:rPr>
          <w:rFonts w:ascii="Arial"/>
          <w:sz w:val="21"/>
        </w:rPr>
      </w:pPr>
    </w:p>
    <w:p w14:paraId="06C83C82">
      <w:pPr>
        <w:pStyle w:val="2"/>
        <w:spacing w:before="78" w:line="226" w:lineRule="auto"/>
        <w:ind w:left="279"/>
        <w:rPr>
          <w:sz w:val="24"/>
          <w:szCs w:val="24"/>
        </w:rPr>
      </w:pPr>
      <w:r>
        <w:rPr>
          <w:b/>
          <w:bCs/>
          <w:spacing w:val="-1"/>
          <w:sz w:val="24"/>
          <w:szCs w:val="24"/>
        </w:rPr>
        <w:t>表</w:t>
      </w:r>
      <w:r>
        <w:rPr>
          <w:spacing w:val="-39"/>
          <w:sz w:val="24"/>
          <w:szCs w:val="24"/>
        </w:rPr>
        <w:t xml:space="preserve"> </w:t>
      </w:r>
      <w:r>
        <w:rPr>
          <w:rFonts w:ascii="Times New Roman" w:hAnsi="Times New Roman" w:eastAsia="Times New Roman" w:cs="Times New Roman"/>
          <w:b/>
          <w:bCs/>
          <w:spacing w:val="-1"/>
          <w:sz w:val="24"/>
          <w:szCs w:val="24"/>
        </w:rPr>
        <w:t xml:space="preserve">6.1-22                            </w:t>
      </w:r>
      <w:r>
        <w:rPr>
          <w:b/>
          <w:bCs/>
          <w:spacing w:val="-1"/>
          <w:sz w:val="24"/>
          <w:szCs w:val="24"/>
        </w:rPr>
        <w:t>施工期工程评价河段底栖动物名录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2794"/>
        <w:gridCol w:w="711"/>
        <w:gridCol w:w="639"/>
        <w:gridCol w:w="637"/>
        <w:gridCol w:w="704"/>
        <w:gridCol w:w="1135"/>
        <w:gridCol w:w="1151"/>
      </w:tblGrid>
      <w:tr w14:paraId="5D552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702" w:type="dxa"/>
            <w:vMerge w:val="restart"/>
            <w:tcBorders>
              <w:top w:val="single" w:color="000000" w:sz="12" w:space="0"/>
              <w:left w:val="single" w:color="000000" w:sz="12" w:space="0"/>
              <w:bottom w:val="nil"/>
            </w:tcBorders>
            <w:vAlign w:val="top"/>
          </w:tcPr>
          <w:p w14:paraId="16A48C84">
            <w:pPr>
              <w:spacing w:line="433" w:lineRule="auto"/>
              <w:rPr>
                <w:rFonts w:ascii="Arial"/>
                <w:sz w:val="21"/>
              </w:rPr>
            </w:pPr>
          </w:p>
          <w:p w14:paraId="035645D6">
            <w:pPr>
              <w:spacing w:before="68" w:line="221" w:lineRule="auto"/>
              <w:ind w:left="124"/>
              <w:rPr>
                <w:rFonts w:ascii="宋体" w:hAnsi="宋体" w:eastAsia="宋体" w:cs="宋体"/>
                <w:sz w:val="21"/>
                <w:szCs w:val="21"/>
              </w:rPr>
            </w:pPr>
            <w:r>
              <w:rPr>
                <w:rFonts w:ascii="宋体" w:hAnsi="宋体" w:eastAsia="宋体" w:cs="宋体"/>
                <w:spacing w:val="-2"/>
                <w:sz w:val="21"/>
                <w:szCs w:val="21"/>
              </w:rPr>
              <w:t>序号</w:t>
            </w:r>
          </w:p>
        </w:tc>
        <w:tc>
          <w:tcPr>
            <w:tcW w:w="2794" w:type="dxa"/>
            <w:vMerge w:val="restart"/>
            <w:tcBorders>
              <w:top w:val="single" w:color="000000" w:sz="12" w:space="0"/>
              <w:bottom w:val="nil"/>
            </w:tcBorders>
            <w:vAlign w:val="top"/>
          </w:tcPr>
          <w:p w14:paraId="04D22BE4">
            <w:pPr>
              <w:spacing w:line="432" w:lineRule="auto"/>
              <w:rPr>
                <w:rFonts w:ascii="Arial"/>
                <w:sz w:val="21"/>
              </w:rPr>
            </w:pPr>
          </w:p>
          <w:p w14:paraId="3F471CAA">
            <w:pPr>
              <w:spacing w:before="68" w:line="220" w:lineRule="auto"/>
              <w:ind w:left="1182"/>
              <w:rPr>
                <w:rFonts w:ascii="宋体" w:hAnsi="宋体" w:eastAsia="宋体" w:cs="宋体"/>
                <w:sz w:val="21"/>
                <w:szCs w:val="21"/>
              </w:rPr>
            </w:pPr>
            <w:r>
              <w:rPr>
                <w:rFonts w:ascii="宋体" w:hAnsi="宋体" w:eastAsia="宋体" w:cs="宋体"/>
                <w:spacing w:val="-3"/>
                <w:sz w:val="21"/>
                <w:szCs w:val="21"/>
              </w:rPr>
              <w:t>种类</w:t>
            </w:r>
          </w:p>
        </w:tc>
        <w:tc>
          <w:tcPr>
            <w:tcW w:w="4977" w:type="dxa"/>
            <w:gridSpan w:val="6"/>
            <w:tcBorders>
              <w:top w:val="single" w:color="000000" w:sz="12" w:space="0"/>
              <w:right w:val="single" w:color="000000" w:sz="12" w:space="0"/>
            </w:tcBorders>
            <w:vAlign w:val="top"/>
          </w:tcPr>
          <w:p w14:paraId="6E4DBC74">
            <w:pPr>
              <w:spacing w:before="59" w:line="222" w:lineRule="auto"/>
              <w:ind w:left="2071"/>
              <w:rPr>
                <w:rFonts w:ascii="宋体" w:hAnsi="宋体" w:eastAsia="宋体" w:cs="宋体"/>
                <w:sz w:val="21"/>
                <w:szCs w:val="21"/>
              </w:rPr>
            </w:pPr>
            <w:r>
              <w:rPr>
                <w:rFonts w:ascii="宋体" w:hAnsi="宋体" w:eastAsia="宋体" w:cs="宋体"/>
                <w:spacing w:val="-2"/>
                <w:sz w:val="21"/>
                <w:szCs w:val="21"/>
              </w:rPr>
              <w:t>调查地区</w:t>
            </w:r>
          </w:p>
        </w:tc>
      </w:tr>
      <w:tr w14:paraId="546D8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702" w:type="dxa"/>
            <w:vMerge w:val="continue"/>
            <w:tcBorders>
              <w:top w:val="nil"/>
              <w:left w:val="single" w:color="000000" w:sz="12" w:space="0"/>
            </w:tcBorders>
            <w:vAlign w:val="top"/>
          </w:tcPr>
          <w:p w14:paraId="465359FD">
            <w:pPr>
              <w:rPr>
                <w:rFonts w:ascii="Arial"/>
                <w:sz w:val="21"/>
              </w:rPr>
            </w:pPr>
          </w:p>
        </w:tc>
        <w:tc>
          <w:tcPr>
            <w:tcW w:w="2794" w:type="dxa"/>
            <w:vMerge w:val="continue"/>
            <w:tcBorders>
              <w:top w:val="nil"/>
            </w:tcBorders>
            <w:vAlign w:val="top"/>
          </w:tcPr>
          <w:p w14:paraId="2BCF6890">
            <w:pPr>
              <w:rPr>
                <w:rFonts w:ascii="Arial"/>
                <w:sz w:val="21"/>
              </w:rPr>
            </w:pPr>
          </w:p>
        </w:tc>
        <w:tc>
          <w:tcPr>
            <w:tcW w:w="711" w:type="dxa"/>
            <w:vAlign w:val="top"/>
          </w:tcPr>
          <w:p w14:paraId="7EA3BF4C">
            <w:pPr>
              <w:spacing w:before="192" w:line="242" w:lineRule="auto"/>
              <w:ind w:left="146" w:right="38" w:hanging="99"/>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639" w:type="dxa"/>
            <w:vAlign w:val="top"/>
          </w:tcPr>
          <w:p w14:paraId="059CBB4F">
            <w:pPr>
              <w:spacing w:before="57" w:line="219" w:lineRule="auto"/>
              <w:ind w:left="114"/>
              <w:rPr>
                <w:rFonts w:ascii="宋体" w:hAnsi="宋体" w:eastAsia="宋体" w:cs="宋体"/>
                <w:sz w:val="21"/>
                <w:szCs w:val="21"/>
              </w:rPr>
            </w:pPr>
            <w:r>
              <w:rPr>
                <w:rFonts w:ascii="宋体" w:hAnsi="宋体" w:eastAsia="宋体" w:cs="宋体"/>
                <w:spacing w:val="-3"/>
                <w:sz w:val="21"/>
                <w:szCs w:val="21"/>
              </w:rPr>
              <w:t>车章</w:t>
            </w:r>
          </w:p>
          <w:p w14:paraId="661A8EAF">
            <w:pPr>
              <w:spacing w:before="24" w:line="235" w:lineRule="auto"/>
              <w:ind w:left="217" w:right="104"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37" w:type="dxa"/>
            <w:vAlign w:val="top"/>
          </w:tcPr>
          <w:p w14:paraId="41F71FC7">
            <w:pPr>
              <w:spacing w:before="57" w:line="222" w:lineRule="auto"/>
              <w:ind w:left="144"/>
              <w:rPr>
                <w:rFonts w:ascii="宋体" w:hAnsi="宋体" w:eastAsia="宋体" w:cs="宋体"/>
                <w:sz w:val="21"/>
                <w:szCs w:val="21"/>
              </w:rPr>
            </w:pPr>
            <w:r>
              <w:rPr>
                <w:rFonts w:ascii="宋体" w:hAnsi="宋体" w:eastAsia="宋体" w:cs="宋体"/>
                <w:spacing w:val="-10"/>
                <w:sz w:val="21"/>
                <w:szCs w:val="21"/>
              </w:rPr>
              <w:t>白塔</w:t>
            </w:r>
          </w:p>
          <w:p w14:paraId="4C4ECF36">
            <w:pPr>
              <w:spacing w:before="21" w:line="235" w:lineRule="auto"/>
              <w:ind w:left="219" w:right="100"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04" w:type="dxa"/>
            <w:vAlign w:val="top"/>
          </w:tcPr>
          <w:p w14:paraId="4944A8FB">
            <w:pPr>
              <w:spacing w:before="194" w:line="242" w:lineRule="auto"/>
              <w:ind w:left="149" w:right="26" w:hanging="73"/>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35" w:type="dxa"/>
            <w:vAlign w:val="top"/>
          </w:tcPr>
          <w:p w14:paraId="2DA16B20">
            <w:pPr>
              <w:spacing w:before="57" w:line="219" w:lineRule="auto"/>
              <w:ind w:left="60"/>
              <w:rPr>
                <w:rFonts w:ascii="宋体" w:hAnsi="宋体" w:eastAsia="宋体" w:cs="宋体"/>
                <w:sz w:val="21"/>
                <w:szCs w:val="21"/>
              </w:rPr>
            </w:pPr>
            <w:r>
              <w:rPr>
                <w:rFonts w:ascii="宋体" w:hAnsi="宋体" w:eastAsia="宋体" w:cs="宋体"/>
                <w:spacing w:val="-3"/>
                <w:sz w:val="21"/>
                <w:szCs w:val="21"/>
              </w:rPr>
              <w:t>马龙河干流</w:t>
            </w:r>
          </w:p>
          <w:p w14:paraId="78A1F8A7">
            <w:pPr>
              <w:pStyle w:val="6"/>
              <w:spacing w:before="23" w:line="234" w:lineRule="auto"/>
              <w:ind w:left="54"/>
            </w:pPr>
            <w:r>
              <w:rPr>
                <w:rFonts w:ascii="宋体" w:hAnsi="宋体" w:eastAsia="宋体" w:cs="宋体"/>
                <w:spacing w:val="-3"/>
              </w:rPr>
              <w:t>离坝址</w:t>
            </w:r>
            <w:r>
              <w:rPr>
                <w:rFonts w:ascii="宋体" w:hAnsi="宋体" w:eastAsia="宋体" w:cs="宋体"/>
                <w:spacing w:val="-44"/>
              </w:rPr>
              <w:t xml:space="preserve"> </w:t>
            </w:r>
            <w:r>
              <w:rPr>
                <w:spacing w:val="-3"/>
              </w:rPr>
              <w:t>2km</w:t>
            </w:r>
          </w:p>
          <w:p w14:paraId="0C21CE8C">
            <w:pPr>
              <w:spacing w:before="5" w:line="224" w:lineRule="auto"/>
              <w:ind w:left="478"/>
              <w:rPr>
                <w:rFonts w:ascii="宋体" w:hAnsi="宋体" w:eastAsia="宋体" w:cs="宋体"/>
                <w:sz w:val="21"/>
                <w:szCs w:val="21"/>
              </w:rPr>
            </w:pPr>
            <w:r>
              <w:rPr>
                <w:rFonts w:ascii="宋体" w:hAnsi="宋体" w:eastAsia="宋体" w:cs="宋体"/>
                <w:sz w:val="21"/>
                <w:szCs w:val="21"/>
              </w:rPr>
              <w:t>处</w:t>
            </w:r>
          </w:p>
        </w:tc>
        <w:tc>
          <w:tcPr>
            <w:tcW w:w="1151" w:type="dxa"/>
            <w:tcBorders>
              <w:right w:val="single" w:color="000000" w:sz="12" w:space="0"/>
            </w:tcBorders>
            <w:vAlign w:val="top"/>
          </w:tcPr>
          <w:p w14:paraId="5077ECED">
            <w:pPr>
              <w:spacing w:before="57" w:line="219" w:lineRule="auto"/>
              <w:ind w:left="65"/>
              <w:rPr>
                <w:rFonts w:ascii="宋体" w:hAnsi="宋体" w:eastAsia="宋体" w:cs="宋体"/>
                <w:sz w:val="21"/>
                <w:szCs w:val="21"/>
              </w:rPr>
            </w:pPr>
            <w:r>
              <w:rPr>
                <w:rFonts w:ascii="宋体" w:hAnsi="宋体" w:eastAsia="宋体" w:cs="宋体"/>
                <w:spacing w:val="-3"/>
                <w:sz w:val="21"/>
                <w:szCs w:val="21"/>
              </w:rPr>
              <w:t>马龙河干流</w:t>
            </w:r>
          </w:p>
          <w:p w14:paraId="5ADEC932">
            <w:pPr>
              <w:pStyle w:val="6"/>
              <w:spacing w:before="23" w:line="234" w:lineRule="auto"/>
              <w:ind w:left="59"/>
            </w:pPr>
            <w:r>
              <w:rPr>
                <w:rFonts w:ascii="宋体" w:hAnsi="宋体" w:eastAsia="宋体" w:cs="宋体"/>
                <w:spacing w:val="-3"/>
              </w:rPr>
              <w:t>离坝址</w:t>
            </w:r>
            <w:r>
              <w:rPr>
                <w:rFonts w:ascii="宋体" w:hAnsi="宋体" w:eastAsia="宋体" w:cs="宋体"/>
                <w:spacing w:val="-43"/>
              </w:rPr>
              <w:t xml:space="preserve"> </w:t>
            </w:r>
            <w:r>
              <w:rPr>
                <w:spacing w:val="-3"/>
              </w:rPr>
              <w:t>6km</w:t>
            </w:r>
          </w:p>
          <w:p w14:paraId="7860343F">
            <w:pPr>
              <w:spacing w:before="5" w:line="224" w:lineRule="auto"/>
              <w:ind w:left="483"/>
              <w:rPr>
                <w:rFonts w:ascii="宋体" w:hAnsi="宋体" w:eastAsia="宋体" w:cs="宋体"/>
                <w:sz w:val="21"/>
                <w:szCs w:val="21"/>
              </w:rPr>
            </w:pPr>
            <w:r>
              <w:rPr>
                <w:rFonts w:ascii="宋体" w:hAnsi="宋体" w:eastAsia="宋体" w:cs="宋体"/>
                <w:sz w:val="21"/>
                <w:szCs w:val="21"/>
              </w:rPr>
              <w:t>处</w:t>
            </w:r>
          </w:p>
        </w:tc>
      </w:tr>
      <w:tr w14:paraId="4276F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050B5A4E">
            <w:pPr>
              <w:spacing w:before="138" w:line="163" w:lineRule="exact"/>
              <w:ind w:left="233"/>
              <w:rPr>
                <w:rFonts w:ascii="宋体" w:hAnsi="宋体" w:eastAsia="宋体" w:cs="宋体"/>
                <w:sz w:val="21"/>
                <w:szCs w:val="21"/>
              </w:rPr>
            </w:pPr>
            <w:r>
              <w:rPr>
                <w:rFonts w:ascii="宋体" w:hAnsi="宋体" w:eastAsia="宋体" w:cs="宋体"/>
                <w:b/>
                <w:bCs/>
                <w:spacing w:val="-3"/>
                <w:position w:val="-4"/>
                <w:sz w:val="21"/>
                <w:szCs w:val="21"/>
              </w:rPr>
              <w:t>一</w:t>
            </w:r>
          </w:p>
        </w:tc>
        <w:tc>
          <w:tcPr>
            <w:tcW w:w="2794" w:type="dxa"/>
            <w:vAlign w:val="top"/>
          </w:tcPr>
          <w:p w14:paraId="45D38C55">
            <w:pPr>
              <w:pStyle w:val="6"/>
              <w:spacing w:before="60" w:line="220" w:lineRule="auto"/>
              <w:ind w:left="278"/>
            </w:pPr>
            <w:r>
              <w:rPr>
                <w:rFonts w:ascii="宋体" w:hAnsi="宋体" w:eastAsia="宋体" w:cs="宋体"/>
                <w:b/>
                <w:bCs/>
                <w:spacing w:val="-2"/>
              </w:rPr>
              <w:t>环节动物门</w:t>
            </w:r>
            <w:r>
              <w:rPr>
                <w:rFonts w:ascii="宋体" w:hAnsi="宋体" w:eastAsia="宋体" w:cs="宋体"/>
                <w:spacing w:val="-44"/>
              </w:rPr>
              <w:t xml:space="preserve"> </w:t>
            </w:r>
            <w:r>
              <w:rPr>
                <w:b/>
                <w:bCs/>
                <w:spacing w:val="-2"/>
              </w:rPr>
              <w:t>ANNELIDA</w:t>
            </w:r>
          </w:p>
        </w:tc>
        <w:tc>
          <w:tcPr>
            <w:tcW w:w="711" w:type="dxa"/>
            <w:vAlign w:val="top"/>
          </w:tcPr>
          <w:p w14:paraId="3F63FA97">
            <w:pPr>
              <w:rPr>
                <w:rFonts w:ascii="Arial"/>
                <w:sz w:val="21"/>
              </w:rPr>
            </w:pPr>
          </w:p>
        </w:tc>
        <w:tc>
          <w:tcPr>
            <w:tcW w:w="639" w:type="dxa"/>
            <w:vAlign w:val="top"/>
          </w:tcPr>
          <w:p w14:paraId="785F0414">
            <w:pPr>
              <w:rPr>
                <w:rFonts w:ascii="Arial"/>
                <w:sz w:val="21"/>
              </w:rPr>
            </w:pPr>
          </w:p>
        </w:tc>
        <w:tc>
          <w:tcPr>
            <w:tcW w:w="637" w:type="dxa"/>
            <w:vAlign w:val="top"/>
          </w:tcPr>
          <w:p w14:paraId="72355341">
            <w:pPr>
              <w:rPr>
                <w:rFonts w:ascii="Arial"/>
                <w:sz w:val="21"/>
              </w:rPr>
            </w:pPr>
          </w:p>
        </w:tc>
        <w:tc>
          <w:tcPr>
            <w:tcW w:w="704" w:type="dxa"/>
            <w:vAlign w:val="top"/>
          </w:tcPr>
          <w:p w14:paraId="18C39CCC">
            <w:pPr>
              <w:rPr>
                <w:rFonts w:ascii="Arial"/>
                <w:sz w:val="21"/>
              </w:rPr>
            </w:pPr>
          </w:p>
        </w:tc>
        <w:tc>
          <w:tcPr>
            <w:tcW w:w="1135" w:type="dxa"/>
            <w:vAlign w:val="top"/>
          </w:tcPr>
          <w:p w14:paraId="2E80B2D8">
            <w:pPr>
              <w:rPr>
                <w:rFonts w:ascii="Arial"/>
                <w:sz w:val="21"/>
              </w:rPr>
            </w:pPr>
          </w:p>
        </w:tc>
        <w:tc>
          <w:tcPr>
            <w:tcW w:w="1151" w:type="dxa"/>
            <w:tcBorders>
              <w:right w:val="single" w:color="000000" w:sz="12" w:space="0"/>
            </w:tcBorders>
            <w:vAlign w:val="top"/>
          </w:tcPr>
          <w:p w14:paraId="30C173D1">
            <w:pPr>
              <w:rPr>
                <w:rFonts w:ascii="Arial"/>
                <w:sz w:val="21"/>
              </w:rPr>
            </w:pPr>
          </w:p>
        </w:tc>
      </w:tr>
      <w:tr w14:paraId="79822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7BFC623F">
            <w:pPr>
              <w:spacing w:before="61" w:line="229" w:lineRule="auto"/>
              <w:ind w:left="25"/>
              <w:rPr>
                <w:rFonts w:ascii="宋体" w:hAnsi="宋体" w:eastAsia="宋体" w:cs="宋体"/>
                <w:sz w:val="21"/>
                <w:szCs w:val="21"/>
              </w:rPr>
            </w:pPr>
            <w:r>
              <w:rPr>
                <w:rFonts w:ascii="宋体" w:hAnsi="宋体" w:eastAsia="宋体" w:cs="宋体"/>
                <w:b/>
                <w:bCs/>
                <w:spacing w:val="-7"/>
                <w:sz w:val="21"/>
                <w:szCs w:val="21"/>
              </w:rPr>
              <w:t>（一）</w:t>
            </w:r>
          </w:p>
        </w:tc>
        <w:tc>
          <w:tcPr>
            <w:tcW w:w="2794" w:type="dxa"/>
            <w:vAlign w:val="top"/>
          </w:tcPr>
          <w:p w14:paraId="089C1166">
            <w:pPr>
              <w:pStyle w:val="6"/>
              <w:spacing w:before="61" w:line="220" w:lineRule="auto"/>
              <w:ind w:left="245"/>
            </w:pPr>
            <w:r>
              <w:rPr>
                <w:rFonts w:ascii="宋体" w:hAnsi="宋体" w:eastAsia="宋体" w:cs="宋体"/>
                <w:b/>
                <w:bCs/>
                <w:spacing w:val="-2"/>
              </w:rPr>
              <w:t>寡毛纲</w:t>
            </w:r>
            <w:r>
              <w:rPr>
                <w:rFonts w:ascii="宋体" w:hAnsi="宋体" w:eastAsia="宋体" w:cs="宋体"/>
                <w:spacing w:val="-40"/>
              </w:rPr>
              <w:t xml:space="preserve"> </w:t>
            </w:r>
            <w:r>
              <w:rPr>
                <w:b/>
                <w:bCs/>
                <w:spacing w:val="-2"/>
              </w:rPr>
              <w:t>OLIGOCHAETA</w:t>
            </w:r>
          </w:p>
        </w:tc>
        <w:tc>
          <w:tcPr>
            <w:tcW w:w="711" w:type="dxa"/>
            <w:vAlign w:val="top"/>
          </w:tcPr>
          <w:p w14:paraId="5AD3648F">
            <w:pPr>
              <w:rPr>
                <w:rFonts w:ascii="Arial"/>
                <w:sz w:val="21"/>
              </w:rPr>
            </w:pPr>
          </w:p>
        </w:tc>
        <w:tc>
          <w:tcPr>
            <w:tcW w:w="639" w:type="dxa"/>
            <w:vAlign w:val="top"/>
          </w:tcPr>
          <w:p w14:paraId="65F411ED">
            <w:pPr>
              <w:rPr>
                <w:rFonts w:ascii="Arial"/>
                <w:sz w:val="21"/>
              </w:rPr>
            </w:pPr>
          </w:p>
        </w:tc>
        <w:tc>
          <w:tcPr>
            <w:tcW w:w="637" w:type="dxa"/>
            <w:vAlign w:val="top"/>
          </w:tcPr>
          <w:p w14:paraId="7CFA38DE">
            <w:pPr>
              <w:rPr>
                <w:rFonts w:ascii="Arial"/>
                <w:sz w:val="21"/>
              </w:rPr>
            </w:pPr>
          </w:p>
        </w:tc>
        <w:tc>
          <w:tcPr>
            <w:tcW w:w="704" w:type="dxa"/>
            <w:vAlign w:val="top"/>
          </w:tcPr>
          <w:p w14:paraId="565CA0F3">
            <w:pPr>
              <w:rPr>
                <w:rFonts w:ascii="Arial"/>
                <w:sz w:val="21"/>
              </w:rPr>
            </w:pPr>
          </w:p>
        </w:tc>
        <w:tc>
          <w:tcPr>
            <w:tcW w:w="1135" w:type="dxa"/>
            <w:vAlign w:val="top"/>
          </w:tcPr>
          <w:p w14:paraId="59231CA3">
            <w:pPr>
              <w:rPr>
                <w:rFonts w:ascii="Arial"/>
                <w:sz w:val="21"/>
              </w:rPr>
            </w:pPr>
          </w:p>
        </w:tc>
        <w:tc>
          <w:tcPr>
            <w:tcW w:w="1151" w:type="dxa"/>
            <w:tcBorders>
              <w:right w:val="single" w:color="000000" w:sz="12" w:space="0"/>
            </w:tcBorders>
            <w:vAlign w:val="top"/>
          </w:tcPr>
          <w:p w14:paraId="7909CBBA">
            <w:pPr>
              <w:rPr>
                <w:rFonts w:ascii="Arial"/>
                <w:sz w:val="21"/>
              </w:rPr>
            </w:pPr>
          </w:p>
        </w:tc>
      </w:tr>
      <w:tr w14:paraId="274BF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2E0B1D90">
            <w:pPr>
              <w:pStyle w:val="6"/>
              <w:spacing w:before="217" w:line="235" w:lineRule="auto"/>
              <w:ind w:left="300"/>
            </w:pPr>
            <w:r>
              <w:t>1</w:t>
            </w:r>
          </w:p>
        </w:tc>
        <w:tc>
          <w:tcPr>
            <w:tcW w:w="2794" w:type="dxa"/>
            <w:vAlign w:val="top"/>
          </w:tcPr>
          <w:p w14:paraId="1009E8F5">
            <w:pPr>
              <w:spacing w:before="62" w:line="220" w:lineRule="auto"/>
              <w:ind w:left="869"/>
              <w:rPr>
                <w:rFonts w:ascii="宋体" w:hAnsi="宋体" w:eastAsia="宋体" w:cs="宋体"/>
                <w:sz w:val="21"/>
                <w:szCs w:val="21"/>
              </w:rPr>
            </w:pPr>
            <w:r>
              <w:rPr>
                <w:rFonts w:ascii="宋体" w:hAnsi="宋体" w:eastAsia="宋体" w:cs="宋体"/>
                <w:spacing w:val="-2"/>
                <w:sz w:val="21"/>
                <w:szCs w:val="21"/>
              </w:rPr>
              <w:t>皮氏管水蚓</w:t>
            </w:r>
          </w:p>
          <w:p w14:paraId="28B1A6BD">
            <w:pPr>
              <w:pStyle w:val="6"/>
              <w:spacing w:before="40" w:line="190" w:lineRule="auto"/>
              <w:ind w:left="613"/>
            </w:pPr>
            <w:r>
              <w:rPr>
                <w:i/>
                <w:iCs/>
                <w:spacing w:val="2"/>
              </w:rPr>
              <w:t>Aulodrilus</w:t>
            </w:r>
            <w:r>
              <w:rPr>
                <w:i/>
                <w:iCs/>
                <w:spacing w:val="-21"/>
              </w:rPr>
              <w:t xml:space="preserve"> </w:t>
            </w:r>
            <w:r>
              <w:rPr>
                <w:i/>
                <w:iCs/>
                <w:spacing w:val="2"/>
              </w:rPr>
              <w:t>pigueti</w:t>
            </w:r>
          </w:p>
        </w:tc>
        <w:tc>
          <w:tcPr>
            <w:tcW w:w="711" w:type="dxa"/>
            <w:vAlign w:val="top"/>
          </w:tcPr>
          <w:p w14:paraId="6C273028">
            <w:pPr>
              <w:pStyle w:val="6"/>
              <w:spacing w:before="217" w:line="251" w:lineRule="exact"/>
              <w:ind w:left="292"/>
            </w:pPr>
            <w:r>
              <w:rPr>
                <w:position w:val="1"/>
              </w:rPr>
              <w:t>+</w:t>
            </w:r>
          </w:p>
        </w:tc>
        <w:tc>
          <w:tcPr>
            <w:tcW w:w="639" w:type="dxa"/>
            <w:vAlign w:val="top"/>
          </w:tcPr>
          <w:p w14:paraId="13099BFF">
            <w:pPr>
              <w:pStyle w:val="6"/>
              <w:spacing w:before="217" w:line="251" w:lineRule="exact"/>
              <w:ind w:left="200"/>
            </w:pPr>
            <w:r>
              <w:rPr>
                <w:spacing w:val="-1"/>
                <w:position w:val="1"/>
              </w:rPr>
              <w:t>++</w:t>
            </w:r>
          </w:p>
        </w:tc>
        <w:tc>
          <w:tcPr>
            <w:tcW w:w="637" w:type="dxa"/>
            <w:vAlign w:val="top"/>
          </w:tcPr>
          <w:p w14:paraId="77C98DAC">
            <w:pPr>
              <w:pStyle w:val="6"/>
              <w:spacing w:before="217" w:line="251" w:lineRule="exact"/>
              <w:ind w:left="260"/>
            </w:pPr>
            <w:r>
              <w:rPr>
                <w:position w:val="1"/>
              </w:rPr>
              <w:t>+</w:t>
            </w:r>
          </w:p>
        </w:tc>
        <w:tc>
          <w:tcPr>
            <w:tcW w:w="704" w:type="dxa"/>
            <w:vAlign w:val="top"/>
          </w:tcPr>
          <w:p w14:paraId="027B3111">
            <w:pPr>
              <w:rPr>
                <w:rFonts w:ascii="Arial"/>
                <w:sz w:val="21"/>
              </w:rPr>
            </w:pPr>
          </w:p>
        </w:tc>
        <w:tc>
          <w:tcPr>
            <w:tcW w:w="1135" w:type="dxa"/>
            <w:vAlign w:val="top"/>
          </w:tcPr>
          <w:p w14:paraId="7DA8B39B">
            <w:pPr>
              <w:pStyle w:val="6"/>
              <w:spacing w:before="217" w:line="251" w:lineRule="exact"/>
              <w:ind w:left="515"/>
            </w:pPr>
            <w:r>
              <w:rPr>
                <w:position w:val="1"/>
              </w:rPr>
              <w:t>+</w:t>
            </w:r>
          </w:p>
        </w:tc>
        <w:tc>
          <w:tcPr>
            <w:tcW w:w="1151" w:type="dxa"/>
            <w:tcBorders>
              <w:right w:val="single" w:color="000000" w:sz="12" w:space="0"/>
            </w:tcBorders>
            <w:vAlign w:val="top"/>
          </w:tcPr>
          <w:p w14:paraId="33FF4A4B">
            <w:pPr>
              <w:pStyle w:val="6"/>
              <w:spacing w:before="217" w:line="251" w:lineRule="exact"/>
              <w:ind w:left="520"/>
            </w:pPr>
            <w:r>
              <w:rPr>
                <w:position w:val="1"/>
              </w:rPr>
              <w:t>+</w:t>
            </w:r>
          </w:p>
        </w:tc>
      </w:tr>
      <w:tr w14:paraId="066BB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0D260768">
            <w:pPr>
              <w:pStyle w:val="6"/>
              <w:spacing w:before="96" w:line="224" w:lineRule="auto"/>
              <w:ind w:left="280"/>
            </w:pPr>
            <w:r>
              <w:t>2</w:t>
            </w:r>
          </w:p>
        </w:tc>
        <w:tc>
          <w:tcPr>
            <w:tcW w:w="2794" w:type="dxa"/>
            <w:vAlign w:val="top"/>
          </w:tcPr>
          <w:p w14:paraId="3C549A03">
            <w:pPr>
              <w:pStyle w:val="6"/>
              <w:spacing w:before="63" w:line="212" w:lineRule="auto"/>
              <w:ind w:left="427"/>
            </w:pPr>
            <w:r>
              <w:rPr>
                <w:rFonts w:ascii="宋体" w:hAnsi="宋体" w:eastAsia="宋体" w:cs="宋体"/>
                <w:spacing w:val="-2"/>
              </w:rPr>
              <w:t>正颤蚓</w:t>
            </w:r>
            <w:r>
              <w:rPr>
                <w:rFonts w:ascii="宋体" w:hAnsi="宋体" w:eastAsia="宋体" w:cs="宋体"/>
                <w:spacing w:val="-30"/>
              </w:rPr>
              <w:t xml:space="preserve"> </w:t>
            </w:r>
            <w:r>
              <w:rPr>
                <w:i/>
                <w:iCs/>
                <w:spacing w:val="-2"/>
              </w:rPr>
              <w:t>Tubifex tubifex</w:t>
            </w:r>
          </w:p>
        </w:tc>
        <w:tc>
          <w:tcPr>
            <w:tcW w:w="711" w:type="dxa"/>
            <w:vAlign w:val="top"/>
          </w:tcPr>
          <w:p w14:paraId="3EEE7BE9">
            <w:pPr>
              <w:pStyle w:val="6"/>
              <w:spacing w:before="96" w:line="224" w:lineRule="auto"/>
              <w:ind w:left="233"/>
            </w:pPr>
            <w:r>
              <w:rPr>
                <w:spacing w:val="-1"/>
              </w:rPr>
              <w:t>++</w:t>
            </w:r>
          </w:p>
        </w:tc>
        <w:tc>
          <w:tcPr>
            <w:tcW w:w="639" w:type="dxa"/>
            <w:vAlign w:val="top"/>
          </w:tcPr>
          <w:p w14:paraId="7BDF013B">
            <w:pPr>
              <w:pStyle w:val="6"/>
              <w:spacing w:before="96" w:line="224" w:lineRule="auto"/>
              <w:ind w:left="259"/>
            </w:pPr>
            <w:r>
              <w:t>+</w:t>
            </w:r>
          </w:p>
        </w:tc>
        <w:tc>
          <w:tcPr>
            <w:tcW w:w="637" w:type="dxa"/>
            <w:vAlign w:val="top"/>
          </w:tcPr>
          <w:p w14:paraId="21DB4532">
            <w:pPr>
              <w:pStyle w:val="6"/>
              <w:spacing w:before="96" w:line="224" w:lineRule="auto"/>
              <w:ind w:left="260"/>
            </w:pPr>
            <w:r>
              <w:t>+</w:t>
            </w:r>
          </w:p>
        </w:tc>
        <w:tc>
          <w:tcPr>
            <w:tcW w:w="704" w:type="dxa"/>
            <w:vAlign w:val="top"/>
          </w:tcPr>
          <w:p w14:paraId="1A3B7DB1">
            <w:pPr>
              <w:pStyle w:val="6"/>
              <w:spacing w:before="96" w:line="224" w:lineRule="auto"/>
              <w:ind w:left="297"/>
            </w:pPr>
            <w:r>
              <w:t>+</w:t>
            </w:r>
          </w:p>
        </w:tc>
        <w:tc>
          <w:tcPr>
            <w:tcW w:w="1135" w:type="dxa"/>
            <w:vAlign w:val="top"/>
          </w:tcPr>
          <w:p w14:paraId="1C3DC852">
            <w:pPr>
              <w:rPr>
                <w:rFonts w:ascii="Arial"/>
                <w:sz w:val="21"/>
              </w:rPr>
            </w:pPr>
          </w:p>
        </w:tc>
        <w:tc>
          <w:tcPr>
            <w:tcW w:w="1151" w:type="dxa"/>
            <w:tcBorders>
              <w:right w:val="single" w:color="000000" w:sz="12" w:space="0"/>
            </w:tcBorders>
            <w:vAlign w:val="top"/>
          </w:tcPr>
          <w:p w14:paraId="1EB80BD2">
            <w:pPr>
              <w:pStyle w:val="6"/>
              <w:spacing w:before="96" w:line="224" w:lineRule="auto"/>
              <w:ind w:left="520"/>
            </w:pPr>
            <w:r>
              <w:t>+</w:t>
            </w:r>
          </w:p>
        </w:tc>
      </w:tr>
      <w:tr w14:paraId="3E0C6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3F3E00DE">
            <w:pPr>
              <w:pStyle w:val="6"/>
              <w:spacing w:before="219" w:line="232" w:lineRule="auto"/>
              <w:ind w:left="284"/>
            </w:pPr>
            <w:r>
              <w:t>3</w:t>
            </w:r>
          </w:p>
        </w:tc>
        <w:tc>
          <w:tcPr>
            <w:tcW w:w="2794" w:type="dxa"/>
            <w:vAlign w:val="top"/>
          </w:tcPr>
          <w:p w14:paraId="03DFE146">
            <w:pPr>
              <w:pStyle w:val="6"/>
              <w:spacing w:before="63" w:line="233" w:lineRule="auto"/>
              <w:ind w:left="1049" w:right="376" w:hanging="678"/>
            </w:pPr>
            <w:r>
              <w:rPr>
                <w:rFonts w:ascii="宋体" w:hAnsi="宋体" w:eastAsia="宋体" w:cs="宋体"/>
                <w:spacing w:val="-1"/>
              </w:rPr>
              <w:t>苏氏尾鳃蚓</w:t>
            </w:r>
            <w:r>
              <w:rPr>
                <w:rFonts w:ascii="宋体" w:hAnsi="宋体" w:eastAsia="宋体" w:cs="宋体"/>
                <w:spacing w:val="-51"/>
              </w:rPr>
              <w:t xml:space="preserve"> </w:t>
            </w:r>
            <w:r>
              <w:rPr>
                <w:i/>
                <w:iCs/>
                <w:spacing w:val="-1"/>
              </w:rPr>
              <w:t>Branchiurs</w:t>
            </w:r>
            <w:r>
              <w:rPr>
                <w:i/>
                <w:iCs/>
              </w:rPr>
              <w:t xml:space="preserve"> sowrbyi</w:t>
            </w:r>
          </w:p>
        </w:tc>
        <w:tc>
          <w:tcPr>
            <w:tcW w:w="711" w:type="dxa"/>
            <w:vAlign w:val="top"/>
          </w:tcPr>
          <w:p w14:paraId="52CC8441">
            <w:pPr>
              <w:pStyle w:val="6"/>
              <w:spacing w:before="219" w:line="250" w:lineRule="exact"/>
              <w:ind w:left="292"/>
            </w:pPr>
            <w:r>
              <w:rPr>
                <w:position w:val="1"/>
              </w:rPr>
              <w:t>+</w:t>
            </w:r>
          </w:p>
        </w:tc>
        <w:tc>
          <w:tcPr>
            <w:tcW w:w="639" w:type="dxa"/>
            <w:vAlign w:val="top"/>
          </w:tcPr>
          <w:p w14:paraId="3013FA44">
            <w:pPr>
              <w:pStyle w:val="6"/>
              <w:spacing w:before="219" w:line="250" w:lineRule="exact"/>
              <w:ind w:left="259"/>
            </w:pPr>
            <w:r>
              <w:rPr>
                <w:position w:val="1"/>
              </w:rPr>
              <w:t>+</w:t>
            </w:r>
          </w:p>
        </w:tc>
        <w:tc>
          <w:tcPr>
            <w:tcW w:w="637" w:type="dxa"/>
            <w:vAlign w:val="top"/>
          </w:tcPr>
          <w:p w14:paraId="73C67EF1">
            <w:pPr>
              <w:rPr>
                <w:rFonts w:ascii="Arial"/>
                <w:sz w:val="21"/>
              </w:rPr>
            </w:pPr>
          </w:p>
        </w:tc>
        <w:tc>
          <w:tcPr>
            <w:tcW w:w="704" w:type="dxa"/>
            <w:vAlign w:val="top"/>
          </w:tcPr>
          <w:p w14:paraId="508049FA">
            <w:pPr>
              <w:pStyle w:val="6"/>
              <w:spacing w:before="219" w:line="250" w:lineRule="exact"/>
              <w:ind w:left="297"/>
            </w:pPr>
            <w:r>
              <w:rPr>
                <w:position w:val="1"/>
              </w:rPr>
              <w:t>+</w:t>
            </w:r>
          </w:p>
        </w:tc>
        <w:tc>
          <w:tcPr>
            <w:tcW w:w="1135" w:type="dxa"/>
            <w:vAlign w:val="top"/>
          </w:tcPr>
          <w:p w14:paraId="00DF6558">
            <w:pPr>
              <w:pStyle w:val="6"/>
              <w:spacing w:before="219" w:line="250" w:lineRule="exact"/>
              <w:ind w:left="515"/>
            </w:pPr>
            <w:r>
              <w:rPr>
                <w:position w:val="1"/>
              </w:rPr>
              <w:t>+</w:t>
            </w:r>
          </w:p>
        </w:tc>
        <w:tc>
          <w:tcPr>
            <w:tcW w:w="1151" w:type="dxa"/>
            <w:tcBorders>
              <w:right w:val="single" w:color="000000" w:sz="12" w:space="0"/>
            </w:tcBorders>
            <w:vAlign w:val="top"/>
          </w:tcPr>
          <w:p w14:paraId="05CC3125">
            <w:pPr>
              <w:pStyle w:val="6"/>
              <w:spacing w:before="219" w:line="250" w:lineRule="exact"/>
              <w:ind w:left="520"/>
            </w:pPr>
            <w:r>
              <w:rPr>
                <w:position w:val="1"/>
              </w:rPr>
              <w:t>+</w:t>
            </w:r>
          </w:p>
        </w:tc>
      </w:tr>
      <w:tr w14:paraId="403ED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7BA8F939">
            <w:pPr>
              <w:pStyle w:val="6"/>
              <w:spacing w:before="220" w:line="235" w:lineRule="auto"/>
              <w:ind w:left="279"/>
            </w:pPr>
            <w:r>
              <w:t>4</w:t>
            </w:r>
          </w:p>
        </w:tc>
        <w:tc>
          <w:tcPr>
            <w:tcW w:w="2794" w:type="dxa"/>
            <w:vAlign w:val="top"/>
          </w:tcPr>
          <w:p w14:paraId="13BA88A7">
            <w:pPr>
              <w:pStyle w:val="6"/>
              <w:spacing w:before="67" w:line="212" w:lineRule="auto"/>
              <w:ind w:left="132"/>
            </w:pPr>
            <w:r>
              <w:rPr>
                <w:rFonts w:ascii="宋体" w:hAnsi="宋体" w:eastAsia="宋体" w:cs="宋体"/>
                <w:spacing w:val="-1"/>
              </w:rPr>
              <w:t>淡水单孔蚓</w:t>
            </w:r>
            <w:r>
              <w:rPr>
                <w:rFonts w:ascii="宋体" w:hAnsi="宋体" w:eastAsia="宋体" w:cs="宋体"/>
                <w:spacing w:val="-46"/>
              </w:rPr>
              <w:t xml:space="preserve"> </w:t>
            </w:r>
            <w:r>
              <w:rPr>
                <w:i/>
                <w:iCs/>
                <w:spacing w:val="-1"/>
              </w:rPr>
              <w:t>Monopylephorus</w:t>
            </w:r>
          </w:p>
          <w:p w14:paraId="1F1D79F5">
            <w:pPr>
              <w:pStyle w:val="6"/>
              <w:spacing w:before="48" w:line="205" w:lineRule="auto"/>
              <w:ind w:left="1070"/>
            </w:pPr>
            <w:r>
              <w:rPr>
                <w:i/>
                <w:iCs/>
                <w:spacing w:val="-2"/>
              </w:rPr>
              <w:t>limosus</w:t>
            </w:r>
          </w:p>
        </w:tc>
        <w:tc>
          <w:tcPr>
            <w:tcW w:w="711" w:type="dxa"/>
            <w:vAlign w:val="top"/>
          </w:tcPr>
          <w:p w14:paraId="01E79FA1">
            <w:pPr>
              <w:pStyle w:val="6"/>
              <w:spacing w:before="220" w:line="251" w:lineRule="exact"/>
              <w:ind w:left="292"/>
            </w:pPr>
            <w:r>
              <w:rPr>
                <w:position w:val="1"/>
              </w:rPr>
              <w:t>+</w:t>
            </w:r>
          </w:p>
        </w:tc>
        <w:tc>
          <w:tcPr>
            <w:tcW w:w="639" w:type="dxa"/>
            <w:vAlign w:val="top"/>
          </w:tcPr>
          <w:p w14:paraId="2F699936">
            <w:pPr>
              <w:pStyle w:val="6"/>
              <w:spacing w:before="220" w:line="251" w:lineRule="exact"/>
              <w:ind w:left="259"/>
            </w:pPr>
            <w:r>
              <w:rPr>
                <w:position w:val="1"/>
              </w:rPr>
              <w:t>+</w:t>
            </w:r>
          </w:p>
        </w:tc>
        <w:tc>
          <w:tcPr>
            <w:tcW w:w="637" w:type="dxa"/>
            <w:vAlign w:val="top"/>
          </w:tcPr>
          <w:p w14:paraId="6EEA0939">
            <w:pPr>
              <w:pStyle w:val="6"/>
              <w:spacing w:before="220" w:line="251" w:lineRule="exact"/>
              <w:ind w:left="202"/>
            </w:pPr>
            <w:r>
              <w:rPr>
                <w:spacing w:val="-1"/>
                <w:position w:val="1"/>
              </w:rPr>
              <w:t>++</w:t>
            </w:r>
          </w:p>
        </w:tc>
        <w:tc>
          <w:tcPr>
            <w:tcW w:w="704" w:type="dxa"/>
            <w:vAlign w:val="top"/>
          </w:tcPr>
          <w:p w14:paraId="73A81579">
            <w:pPr>
              <w:pStyle w:val="6"/>
              <w:spacing w:before="220" w:line="251" w:lineRule="exact"/>
              <w:ind w:left="297"/>
            </w:pPr>
            <w:r>
              <w:rPr>
                <w:position w:val="1"/>
              </w:rPr>
              <w:t>+</w:t>
            </w:r>
          </w:p>
        </w:tc>
        <w:tc>
          <w:tcPr>
            <w:tcW w:w="1135" w:type="dxa"/>
            <w:vAlign w:val="top"/>
          </w:tcPr>
          <w:p w14:paraId="063EE09D">
            <w:pPr>
              <w:pStyle w:val="6"/>
              <w:spacing w:before="220" w:line="251" w:lineRule="exact"/>
              <w:ind w:left="515"/>
            </w:pPr>
            <w:r>
              <w:rPr>
                <w:position w:val="1"/>
              </w:rPr>
              <w:t>+</w:t>
            </w:r>
          </w:p>
        </w:tc>
        <w:tc>
          <w:tcPr>
            <w:tcW w:w="1151" w:type="dxa"/>
            <w:tcBorders>
              <w:right w:val="single" w:color="000000" w:sz="12" w:space="0"/>
            </w:tcBorders>
            <w:vAlign w:val="top"/>
          </w:tcPr>
          <w:p w14:paraId="30603755">
            <w:pPr>
              <w:pStyle w:val="6"/>
              <w:spacing w:before="220" w:line="251" w:lineRule="exact"/>
              <w:ind w:left="520"/>
            </w:pPr>
            <w:r>
              <w:rPr>
                <w:position w:val="1"/>
              </w:rPr>
              <w:t>+</w:t>
            </w:r>
          </w:p>
        </w:tc>
      </w:tr>
      <w:tr w14:paraId="13341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1097EB20">
            <w:pPr>
              <w:spacing w:before="68" w:line="223" w:lineRule="auto"/>
              <w:ind w:left="25"/>
              <w:rPr>
                <w:rFonts w:ascii="宋体" w:hAnsi="宋体" w:eastAsia="宋体" w:cs="宋体"/>
                <w:sz w:val="21"/>
                <w:szCs w:val="21"/>
              </w:rPr>
            </w:pPr>
            <w:r>
              <w:rPr>
                <w:rFonts w:ascii="宋体" w:hAnsi="宋体" w:eastAsia="宋体" w:cs="宋体"/>
                <w:b/>
                <w:bCs/>
                <w:spacing w:val="-8"/>
                <w:sz w:val="21"/>
                <w:szCs w:val="21"/>
              </w:rPr>
              <w:t>（二）</w:t>
            </w:r>
          </w:p>
        </w:tc>
        <w:tc>
          <w:tcPr>
            <w:tcW w:w="2794" w:type="dxa"/>
            <w:vAlign w:val="top"/>
          </w:tcPr>
          <w:p w14:paraId="6E43DBBA">
            <w:pPr>
              <w:pStyle w:val="6"/>
              <w:spacing w:before="68" w:line="222" w:lineRule="auto"/>
              <w:ind w:left="541"/>
            </w:pPr>
            <w:r>
              <w:rPr>
                <w:rFonts w:ascii="宋体" w:hAnsi="宋体" w:eastAsia="宋体" w:cs="宋体"/>
                <w:b/>
                <w:bCs/>
                <w:spacing w:val="-2"/>
              </w:rPr>
              <w:t>蛭纲</w:t>
            </w:r>
            <w:r>
              <w:rPr>
                <w:rFonts w:ascii="宋体" w:hAnsi="宋体" w:eastAsia="宋体" w:cs="宋体"/>
                <w:spacing w:val="-43"/>
              </w:rPr>
              <w:t xml:space="preserve"> </w:t>
            </w:r>
            <w:r>
              <w:rPr>
                <w:b/>
                <w:bCs/>
                <w:spacing w:val="-2"/>
              </w:rPr>
              <w:t>HIRUDINEA</w:t>
            </w:r>
          </w:p>
        </w:tc>
        <w:tc>
          <w:tcPr>
            <w:tcW w:w="711" w:type="dxa"/>
            <w:vAlign w:val="top"/>
          </w:tcPr>
          <w:p w14:paraId="1207F072">
            <w:pPr>
              <w:rPr>
                <w:rFonts w:ascii="Arial"/>
                <w:sz w:val="21"/>
              </w:rPr>
            </w:pPr>
          </w:p>
        </w:tc>
        <w:tc>
          <w:tcPr>
            <w:tcW w:w="639" w:type="dxa"/>
            <w:vAlign w:val="top"/>
          </w:tcPr>
          <w:p w14:paraId="1AE2142F">
            <w:pPr>
              <w:rPr>
                <w:rFonts w:ascii="Arial"/>
                <w:sz w:val="21"/>
              </w:rPr>
            </w:pPr>
          </w:p>
        </w:tc>
        <w:tc>
          <w:tcPr>
            <w:tcW w:w="637" w:type="dxa"/>
            <w:vAlign w:val="top"/>
          </w:tcPr>
          <w:p w14:paraId="538D1B74">
            <w:pPr>
              <w:rPr>
                <w:rFonts w:ascii="Arial"/>
                <w:sz w:val="21"/>
              </w:rPr>
            </w:pPr>
          </w:p>
        </w:tc>
        <w:tc>
          <w:tcPr>
            <w:tcW w:w="704" w:type="dxa"/>
            <w:vAlign w:val="top"/>
          </w:tcPr>
          <w:p w14:paraId="522D17A7">
            <w:pPr>
              <w:rPr>
                <w:rFonts w:ascii="Arial"/>
                <w:sz w:val="21"/>
              </w:rPr>
            </w:pPr>
          </w:p>
        </w:tc>
        <w:tc>
          <w:tcPr>
            <w:tcW w:w="1135" w:type="dxa"/>
            <w:vAlign w:val="top"/>
          </w:tcPr>
          <w:p w14:paraId="52760CBF">
            <w:pPr>
              <w:rPr>
                <w:rFonts w:ascii="Arial"/>
                <w:sz w:val="21"/>
              </w:rPr>
            </w:pPr>
          </w:p>
        </w:tc>
        <w:tc>
          <w:tcPr>
            <w:tcW w:w="1151" w:type="dxa"/>
            <w:tcBorders>
              <w:right w:val="single" w:color="000000" w:sz="12" w:space="0"/>
            </w:tcBorders>
            <w:vAlign w:val="top"/>
          </w:tcPr>
          <w:p w14:paraId="61E22364">
            <w:pPr>
              <w:rPr>
                <w:rFonts w:ascii="Arial"/>
                <w:sz w:val="21"/>
              </w:rPr>
            </w:pPr>
          </w:p>
        </w:tc>
      </w:tr>
      <w:tr w14:paraId="74A0E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2" w:type="dxa"/>
            <w:tcBorders>
              <w:left w:val="single" w:color="000000" w:sz="12" w:space="0"/>
            </w:tcBorders>
            <w:vAlign w:val="top"/>
          </w:tcPr>
          <w:p w14:paraId="18227393">
            <w:pPr>
              <w:pStyle w:val="6"/>
              <w:spacing w:before="102" w:line="220" w:lineRule="auto"/>
              <w:ind w:left="286"/>
            </w:pPr>
            <w:r>
              <w:t>5</w:t>
            </w:r>
          </w:p>
        </w:tc>
        <w:tc>
          <w:tcPr>
            <w:tcW w:w="2794" w:type="dxa"/>
            <w:vAlign w:val="top"/>
          </w:tcPr>
          <w:p w14:paraId="07E8DC29">
            <w:pPr>
              <w:pStyle w:val="6"/>
              <w:spacing w:before="68" w:line="213" w:lineRule="auto"/>
              <w:ind w:left="335"/>
            </w:pPr>
            <w:r>
              <w:rPr>
                <w:rFonts w:ascii="宋体" w:hAnsi="宋体" w:eastAsia="宋体" w:cs="宋体"/>
                <w:spacing w:val="-1"/>
              </w:rPr>
              <w:t>泽蛭一种</w:t>
            </w:r>
            <w:r>
              <w:rPr>
                <w:rFonts w:ascii="宋体" w:hAnsi="宋体" w:eastAsia="宋体" w:cs="宋体"/>
                <w:spacing w:val="-46"/>
              </w:rPr>
              <w:t xml:space="preserve"> </w:t>
            </w:r>
            <w:r>
              <w:rPr>
                <w:i/>
                <w:iCs/>
                <w:spacing w:val="-1"/>
              </w:rPr>
              <w:t xml:space="preserve">Helobdella </w:t>
            </w:r>
            <w:r>
              <w:rPr>
                <w:spacing w:val="-1"/>
              </w:rPr>
              <w:t>sp.</w:t>
            </w:r>
          </w:p>
        </w:tc>
        <w:tc>
          <w:tcPr>
            <w:tcW w:w="711" w:type="dxa"/>
            <w:vAlign w:val="top"/>
          </w:tcPr>
          <w:p w14:paraId="6327F330">
            <w:pPr>
              <w:pStyle w:val="6"/>
              <w:spacing w:before="102" w:line="220" w:lineRule="auto"/>
              <w:ind w:left="233"/>
            </w:pPr>
            <w:r>
              <w:rPr>
                <w:spacing w:val="-1"/>
              </w:rPr>
              <w:t>++</w:t>
            </w:r>
          </w:p>
        </w:tc>
        <w:tc>
          <w:tcPr>
            <w:tcW w:w="639" w:type="dxa"/>
            <w:vAlign w:val="top"/>
          </w:tcPr>
          <w:p w14:paraId="324F93E3">
            <w:pPr>
              <w:pStyle w:val="6"/>
              <w:spacing w:before="102" w:line="220" w:lineRule="auto"/>
              <w:ind w:left="200"/>
            </w:pPr>
            <w:r>
              <w:rPr>
                <w:spacing w:val="-1"/>
              </w:rPr>
              <w:t>++</w:t>
            </w:r>
          </w:p>
        </w:tc>
        <w:tc>
          <w:tcPr>
            <w:tcW w:w="637" w:type="dxa"/>
            <w:vAlign w:val="top"/>
          </w:tcPr>
          <w:p w14:paraId="270764A2">
            <w:pPr>
              <w:pStyle w:val="6"/>
              <w:spacing w:before="102" w:line="220" w:lineRule="auto"/>
              <w:ind w:left="260"/>
            </w:pPr>
            <w:r>
              <w:t>+</w:t>
            </w:r>
          </w:p>
        </w:tc>
        <w:tc>
          <w:tcPr>
            <w:tcW w:w="704" w:type="dxa"/>
            <w:vAlign w:val="top"/>
          </w:tcPr>
          <w:p w14:paraId="09362803">
            <w:pPr>
              <w:pStyle w:val="6"/>
              <w:spacing w:before="102" w:line="220" w:lineRule="auto"/>
              <w:ind w:left="297"/>
            </w:pPr>
            <w:r>
              <w:t>+</w:t>
            </w:r>
          </w:p>
        </w:tc>
        <w:tc>
          <w:tcPr>
            <w:tcW w:w="1135" w:type="dxa"/>
            <w:vAlign w:val="top"/>
          </w:tcPr>
          <w:p w14:paraId="542F3D30">
            <w:pPr>
              <w:rPr>
                <w:rFonts w:ascii="Arial"/>
                <w:sz w:val="21"/>
              </w:rPr>
            </w:pPr>
          </w:p>
        </w:tc>
        <w:tc>
          <w:tcPr>
            <w:tcW w:w="1151" w:type="dxa"/>
            <w:tcBorders>
              <w:right w:val="single" w:color="000000" w:sz="12" w:space="0"/>
            </w:tcBorders>
            <w:vAlign w:val="top"/>
          </w:tcPr>
          <w:p w14:paraId="78D722E3">
            <w:pPr>
              <w:rPr>
                <w:rFonts w:ascii="Arial"/>
                <w:sz w:val="21"/>
              </w:rPr>
            </w:pPr>
          </w:p>
        </w:tc>
      </w:tr>
      <w:tr w14:paraId="11744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70315922">
            <w:pPr>
              <w:pStyle w:val="6"/>
              <w:spacing w:before="223" w:line="232" w:lineRule="auto"/>
              <w:ind w:left="285"/>
            </w:pPr>
            <w:r>
              <w:t>6</w:t>
            </w:r>
          </w:p>
        </w:tc>
        <w:tc>
          <w:tcPr>
            <w:tcW w:w="2794" w:type="dxa"/>
            <w:vAlign w:val="top"/>
          </w:tcPr>
          <w:p w14:paraId="4C5A9D12">
            <w:pPr>
              <w:pStyle w:val="6"/>
              <w:spacing w:before="67" w:line="231" w:lineRule="auto"/>
              <w:ind w:left="893" w:right="393" w:hanging="508"/>
            </w:pPr>
            <w:r>
              <w:rPr>
                <w:rFonts w:ascii="宋体" w:hAnsi="宋体" w:eastAsia="宋体" w:cs="宋体"/>
                <w:spacing w:val="-2"/>
              </w:rPr>
              <w:t>腹平扁蛭</w:t>
            </w:r>
            <w:r>
              <w:rPr>
                <w:rFonts w:ascii="宋体" w:hAnsi="宋体" w:eastAsia="宋体" w:cs="宋体"/>
                <w:spacing w:val="-30"/>
              </w:rPr>
              <w:t xml:space="preserve"> </w:t>
            </w:r>
            <w:r>
              <w:rPr>
                <w:i/>
                <w:iCs/>
                <w:spacing w:val="-2"/>
              </w:rPr>
              <w:t>Glossiphonia</w:t>
            </w:r>
            <w:r>
              <w:rPr>
                <w:i/>
                <w:iCs/>
              </w:rPr>
              <w:t xml:space="preserve"> </w:t>
            </w:r>
            <w:r>
              <w:rPr>
                <w:i/>
                <w:iCs/>
                <w:spacing w:val="-1"/>
              </w:rPr>
              <w:t>complanata</w:t>
            </w:r>
          </w:p>
        </w:tc>
        <w:tc>
          <w:tcPr>
            <w:tcW w:w="711" w:type="dxa"/>
            <w:vAlign w:val="top"/>
          </w:tcPr>
          <w:p w14:paraId="2ADC34AE">
            <w:pPr>
              <w:pStyle w:val="6"/>
              <w:spacing w:before="223" w:line="251" w:lineRule="exact"/>
              <w:ind w:left="292"/>
            </w:pPr>
            <w:r>
              <w:rPr>
                <w:position w:val="1"/>
              </w:rPr>
              <w:t>+</w:t>
            </w:r>
          </w:p>
        </w:tc>
        <w:tc>
          <w:tcPr>
            <w:tcW w:w="639" w:type="dxa"/>
            <w:vAlign w:val="top"/>
          </w:tcPr>
          <w:p w14:paraId="3BEDF158">
            <w:pPr>
              <w:rPr>
                <w:rFonts w:ascii="Arial"/>
                <w:sz w:val="21"/>
              </w:rPr>
            </w:pPr>
          </w:p>
        </w:tc>
        <w:tc>
          <w:tcPr>
            <w:tcW w:w="637" w:type="dxa"/>
            <w:vAlign w:val="top"/>
          </w:tcPr>
          <w:p w14:paraId="6FC813D0">
            <w:pPr>
              <w:pStyle w:val="6"/>
              <w:spacing w:before="223" w:line="251" w:lineRule="exact"/>
              <w:ind w:left="260"/>
            </w:pPr>
            <w:r>
              <w:rPr>
                <w:position w:val="1"/>
              </w:rPr>
              <w:t>+</w:t>
            </w:r>
          </w:p>
        </w:tc>
        <w:tc>
          <w:tcPr>
            <w:tcW w:w="704" w:type="dxa"/>
            <w:vAlign w:val="top"/>
          </w:tcPr>
          <w:p w14:paraId="08F65B7B">
            <w:pPr>
              <w:pStyle w:val="6"/>
              <w:spacing w:before="223" w:line="251" w:lineRule="exact"/>
              <w:ind w:left="238"/>
            </w:pPr>
            <w:r>
              <w:rPr>
                <w:spacing w:val="-1"/>
                <w:position w:val="1"/>
              </w:rPr>
              <w:t>++</w:t>
            </w:r>
          </w:p>
        </w:tc>
        <w:tc>
          <w:tcPr>
            <w:tcW w:w="1135" w:type="dxa"/>
            <w:vAlign w:val="top"/>
          </w:tcPr>
          <w:p w14:paraId="3275D9CA">
            <w:pPr>
              <w:pStyle w:val="6"/>
              <w:spacing w:before="223" w:line="251" w:lineRule="exact"/>
              <w:ind w:left="515"/>
            </w:pPr>
            <w:r>
              <w:rPr>
                <w:position w:val="1"/>
              </w:rPr>
              <w:t>+</w:t>
            </w:r>
          </w:p>
        </w:tc>
        <w:tc>
          <w:tcPr>
            <w:tcW w:w="1151" w:type="dxa"/>
            <w:tcBorders>
              <w:right w:val="single" w:color="000000" w:sz="12" w:space="0"/>
            </w:tcBorders>
            <w:vAlign w:val="top"/>
          </w:tcPr>
          <w:p w14:paraId="4E270E68">
            <w:pPr>
              <w:pStyle w:val="6"/>
              <w:spacing w:before="223" w:line="251" w:lineRule="exact"/>
              <w:ind w:left="520"/>
            </w:pPr>
            <w:r>
              <w:rPr>
                <w:position w:val="1"/>
              </w:rPr>
              <w:t>+</w:t>
            </w:r>
          </w:p>
        </w:tc>
      </w:tr>
      <w:tr w14:paraId="60F09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11AC40C1">
            <w:pPr>
              <w:spacing w:before="110" w:line="178" w:lineRule="auto"/>
              <w:ind w:left="233"/>
              <w:rPr>
                <w:rFonts w:ascii="宋体" w:hAnsi="宋体" w:eastAsia="宋体" w:cs="宋体"/>
                <w:sz w:val="21"/>
                <w:szCs w:val="21"/>
              </w:rPr>
            </w:pPr>
            <w:r>
              <w:rPr>
                <w:rFonts w:ascii="宋体" w:hAnsi="宋体" w:eastAsia="宋体" w:cs="宋体"/>
                <w:b/>
                <w:bCs/>
                <w:spacing w:val="-3"/>
                <w:sz w:val="21"/>
                <w:szCs w:val="21"/>
              </w:rPr>
              <w:t>二</w:t>
            </w:r>
          </w:p>
        </w:tc>
        <w:tc>
          <w:tcPr>
            <w:tcW w:w="2794" w:type="dxa"/>
            <w:vAlign w:val="top"/>
          </w:tcPr>
          <w:p w14:paraId="23D2E060">
            <w:pPr>
              <w:pStyle w:val="6"/>
              <w:spacing w:before="71" w:line="220" w:lineRule="auto"/>
              <w:ind w:left="234"/>
            </w:pPr>
            <w:r>
              <w:rPr>
                <w:rFonts w:ascii="宋体" w:hAnsi="宋体" w:eastAsia="宋体" w:cs="宋体"/>
                <w:b/>
                <w:bCs/>
                <w:spacing w:val="-2"/>
              </w:rPr>
              <w:t>软体动物门</w:t>
            </w:r>
            <w:r>
              <w:rPr>
                <w:rFonts w:ascii="宋体" w:hAnsi="宋体" w:eastAsia="宋体" w:cs="宋体"/>
                <w:spacing w:val="-46"/>
              </w:rPr>
              <w:t xml:space="preserve"> </w:t>
            </w:r>
            <w:r>
              <w:rPr>
                <w:b/>
                <w:bCs/>
                <w:spacing w:val="-2"/>
              </w:rPr>
              <w:t>MOLLUSCA</w:t>
            </w:r>
          </w:p>
        </w:tc>
        <w:tc>
          <w:tcPr>
            <w:tcW w:w="711" w:type="dxa"/>
            <w:vAlign w:val="top"/>
          </w:tcPr>
          <w:p w14:paraId="6268AC39">
            <w:pPr>
              <w:rPr>
                <w:rFonts w:ascii="Arial"/>
                <w:sz w:val="21"/>
              </w:rPr>
            </w:pPr>
          </w:p>
        </w:tc>
        <w:tc>
          <w:tcPr>
            <w:tcW w:w="639" w:type="dxa"/>
            <w:vAlign w:val="top"/>
          </w:tcPr>
          <w:p w14:paraId="2834ADED">
            <w:pPr>
              <w:rPr>
                <w:rFonts w:ascii="Arial"/>
                <w:sz w:val="21"/>
              </w:rPr>
            </w:pPr>
          </w:p>
        </w:tc>
        <w:tc>
          <w:tcPr>
            <w:tcW w:w="637" w:type="dxa"/>
            <w:vAlign w:val="top"/>
          </w:tcPr>
          <w:p w14:paraId="72AEDEE7">
            <w:pPr>
              <w:rPr>
                <w:rFonts w:ascii="Arial"/>
                <w:sz w:val="21"/>
              </w:rPr>
            </w:pPr>
          </w:p>
        </w:tc>
        <w:tc>
          <w:tcPr>
            <w:tcW w:w="704" w:type="dxa"/>
            <w:vAlign w:val="top"/>
          </w:tcPr>
          <w:p w14:paraId="355BC025">
            <w:pPr>
              <w:rPr>
                <w:rFonts w:ascii="Arial"/>
                <w:sz w:val="21"/>
              </w:rPr>
            </w:pPr>
          </w:p>
        </w:tc>
        <w:tc>
          <w:tcPr>
            <w:tcW w:w="1135" w:type="dxa"/>
            <w:vAlign w:val="top"/>
          </w:tcPr>
          <w:p w14:paraId="146336FB">
            <w:pPr>
              <w:rPr>
                <w:rFonts w:ascii="Arial"/>
                <w:sz w:val="21"/>
              </w:rPr>
            </w:pPr>
          </w:p>
        </w:tc>
        <w:tc>
          <w:tcPr>
            <w:tcW w:w="1151" w:type="dxa"/>
            <w:tcBorders>
              <w:right w:val="single" w:color="000000" w:sz="12" w:space="0"/>
            </w:tcBorders>
            <w:vAlign w:val="top"/>
          </w:tcPr>
          <w:p w14:paraId="2E06E955">
            <w:pPr>
              <w:rPr>
                <w:rFonts w:ascii="Arial"/>
                <w:sz w:val="21"/>
              </w:rPr>
            </w:pPr>
          </w:p>
        </w:tc>
      </w:tr>
      <w:tr w14:paraId="48316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0292B82E">
            <w:pPr>
              <w:spacing w:before="72" w:line="219" w:lineRule="auto"/>
              <w:ind w:left="25"/>
              <w:rPr>
                <w:rFonts w:ascii="宋体" w:hAnsi="宋体" w:eastAsia="宋体" w:cs="宋体"/>
                <w:sz w:val="21"/>
                <w:szCs w:val="21"/>
              </w:rPr>
            </w:pPr>
            <w:r>
              <w:rPr>
                <w:rFonts w:ascii="宋体" w:hAnsi="宋体" w:eastAsia="宋体" w:cs="宋体"/>
                <w:b/>
                <w:bCs/>
                <w:spacing w:val="-8"/>
                <w:sz w:val="21"/>
                <w:szCs w:val="21"/>
              </w:rPr>
              <w:t>（三）</w:t>
            </w:r>
          </w:p>
        </w:tc>
        <w:tc>
          <w:tcPr>
            <w:tcW w:w="2794" w:type="dxa"/>
            <w:vAlign w:val="top"/>
          </w:tcPr>
          <w:p w14:paraId="1F0F64AB">
            <w:pPr>
              <w:pStyle w:val="6"/>
              <w:spacing w:before="72" w:line="219" w:lineRule="auto"/>
              <w:ind w:left="308"/>
            </w:pPr>
            <w:r>
              <w:rPr>
                <w:rFonts w:ascii="宋体" w:hAnsi="宋体" w:eastAsia="宋体" w:cs="宋体"/>
                <w:b/>
                <w:bCs/>
                <w:spacing w:val="-2"/>
              </w:rPr>
              <w:t>腹足纲</w:t>
            </w:r>
            <w:r>
              <w:rPr>
                <w:rFonts w:ascii="宋体" w:hAnsi="宋体" w:eastAsia="宋体" w:cs="宋体"/>
                <w:spacing w:val="-40"/>
              </w:rPr>
              <w:t xml:space="preserve"> </w:t>
            </w:r>
            <w:r>
              <w:rPr>
                <w:b/>
                <w:bCs/>
                <w:spacing w:val="-2"/>
              </w:rPr>
              <w:t>GASTROPODA</w:t>
            </w:r>
          </w:p>
        </w:tc>
        <w:tc>
          <w:tcPr>
            <w:tcW w:w="711" w:type="dxa"/>
            <w:vAlign w:val="top"/>
          </w:tcPr>
          <w:p w14:paraId="3F2017BA">
            <w:pPr>
              <w:rPr>
                <w:rFonts w:ascii="Arial"/>
                <w:sz w:val="21"/>
              </w:rPr>
            </w:pPr>
          </w:p>
        </w:tc>
        <w:tc>
          <w:tcPr>
            <w:tcW w:w="639" w:type="dxa"/>
            <w:vAlign w:val="top"/>
          </w:tcPr>
          <w:p w14:paraId="4A69BC04">
            <w:pPr>
              <w:rPr>
                <w:rFonts w:ascii="Arial"/>
                <w:sz w:val="21"/>
              </w:rPr>
            </w:pPr>
          </w:p>
        </w:tc>
        <w:tc>
          <w:tcPr>
            <w:tcW w:w="637" w:type="dxa"/>
            <w:vAlign w:val="top"/>
          </w:tcPr>
          <w:p w14:paraId="2B8C8536">
            <w:pPr>
              <w:rPr>
                <w:rFonts w:ascii="Arial"/>
                <w:sz w:val="21"/>
              </w:rPr>
            </w:pPr>
          </w:p>
        </w:tc>
        <w:tc>
          <w:tcPr>
            <w:tcW w:w="704" w:type="dxa"/>
            <w:vAlign w:val="top"/>
          </w:tcPr>
          <w:p w14:paraId="3423FFA4">
            <w:pPr>
              <w:rPr>
                <w:rFonts w:ascii="Arial"/>
                <w:sz w:val="21"/>
              </w:rPr>
            </w:pPr>
          </w:p>
        </w:tc>
        <w:tc>
          <w:tcPr>
            <w:tcW w:w="1135" w:type="dxa"/>
            <w:vAlign w:val="top"/>
          </w:tcPr>
          <w:p w14:paraId="61B6CEDC">
            <w:pPr>
              <w:rPr>
                <w:rFonts w:ascii="Arial"/>
                <w:sz w:val="21"/>
              </w:rPr>
            </w:pPr>
          </w:p>
        </w:tc>
        <w:tc>
          <w:tcPr>
            <w:tcW w:w="1151" w:type="dxa"/>
            <w:tcBorders>
              <w:right w:val="single" w:color="000000" w:sz="12" w:space="0"/>
            </w:tcBorders>
            <w:vAlign w:val="top"/>
          </w:tcPr>
          <w:p w14:paraId="39062192">
            <w:pPr>
              <w:rPr>
                <w:rFonts w:ascii="Arial"/>
                <w:sz w:val="21"/>
              </w:rPr>
            </w:pPr>
          </w:p>
        </w:tc>
      </w:tr>
      <w:tr w14:paraId="74ED9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02" w:type="dxa"/>
            <w:tcBorders>
              <w:left w:val="single" w:color="000000" w:sz="12" w:space="0"/>
            </w:tcBorders>
            <w:vAlign w:val="top"/>
          </w:tcPr>
          <w:p w14:paraId="72AE3E29">
            <w:pPr>
              <w:pStyle w:val="6"/>
              <w:spacing w:before="227" w:line="232" w:lineRule="auto"/>
              <w:ind w:left="283"/>
            </w:pPr>
            <w:r>
              <w:t>7</w:t>
            </w:r>
          </w:p>
        </w:tc>
        <w:tc>
          <w:tcPr>
            <w:tcW w:w="2794" w:type="dxa"/>
            <w:vAlign w:val="top"/>
          </w:tcPr>
          <w:p w14:paraId="06509AA1">
            <w:pPr>
              <w:pStyle w:val="6"/>
              <w:spacing w:before="74" w:line="212" w:lineRule="auto"/>
              <w:ind w:left="125"/>
            </w:pPr>
            <w:r>
              <w:rPr>
                <w:rFonts w:ascii="宋体" w:hAnsi="宋体" w:eastAsia="宋体" w:cs="宋体"/>
                <w:spacing w:val="-2"/>
              </w:rPr>
              <w:t>中华圆田螺</w:t>
            </w:r>
            <w:r>
              <w:rPr>
                <w:rFonts w:ascii="宋体" w:hAnsi="宋体" w:eastAsia="宋体" w:cs="宋体"/>
                <w:spacing w:val="-38"/>
              </w:rPr>
              <w:t xml:space="preserve"> </w:t>
            </w:r>
            <w:r>
              <w:rPr>
                <w:i/>
                <w:iCs/>
                <w:spacing w:val="-2"/>
              </w:rPr>
              <w:t>Cipangopaludina</w:t>
            </w:r>
          </w:p>
          <w:p w14:paraId="7EE95DB2">
            <w:pPr>
              <w:pStyle w:val="6"/>
              <w:spacing w:before="48" w:line="190" w:lineRule="auto"/>
              <w:ind w:left="900"/>
            </w:pPr>
            <w:r>
              <w:rPr>
                <w:i/>
                <w:iCs/>
                <w:spacing w:val="-1"/>
              </w:rPr>
              <w:t>cathayensis</w:t>
            </w:r>
          </w:p>
        </w:tc>
        <w:tc>
          <w:tcPr>
            <w:tcW w:w="711" w:type="dxa"/>
            <w:vAlign w:val="top"/>
          </w:tcPr>
          <w:p w14:paraId="389484FF">
            <w:pPr>
              <w:pStyle w:val="6"/>
              <w:spacing w:before="227" w:line="251" w:lineRule="exact"/>
              <w:ind w:left="292"/>
            </w:pPr>
            <w:r>
              <w:rPr>
                <w:position w:val="1"/>
              </w:rPr>
              <w:t>+</w:t>
            </w:r>
          </w:p>
        </w:tc>
        <w:tc>
          <w:tcPr>
            <w:tcW w:w="639" w:type="dxa"/>
            <w:vAlign w:val="top"/>
          </w:tcPr>
          <w:p w14:paraId="7CD88817">
            <w:pPr>
              <w:pStyle w:val="6"/>
              <w:spacing w:before="227" w:line="251" w:lineRule="exact"/>
              <w:ind w:left="200"/>
            </w:pPr>
            <w:r>
              <w:rPr>
                <w:spacing w:val="-1"/>
                <w:position w:val="1"/>
              </w:rPr>
              <w:t>++</w:t>
            </w:r>
          </w:p>
        </w:tc>
        <w:tc>
          <w:tcPr>
            <w:tcW w:w="637" w:type="dxa"/>
            <w:vAlign w:val="top"/>
          </w:tcPr>
          <w:p w14:paraId="5026CA27">
            <w:pPr>
              <w:pStyle w:val="6"/>
              <w:spacing w:before="227" w:line="251" w:lineRule="exact"/>
              <w:ind w:left="260"/>
            </w:pPr>
            <w:r>
              <w:rPr>
                <w:position w:val="1"/>
              </w:rPr>
              <w:t>+</w:t>
            </w:r>
          </w:p>
        </w:tc>
        <w:tc>
          <w:tcPr>
            <w:tcW w:w="704" w:type="dxa"/>
            <w:vAlign w:val="top"/>
          </w:tcPr>
          <w:p w14:paraId="15486381">
            <w:pPr>
              <w:pStyle w:val="6"/>
              <w:spacing w:before="227" w:line="251" w:lineRule="exact"/>
              <w:ind w:left="297"/>
            </w:pPr>
            <w:r>
              <w:rPr>
                <w:position w:val="1"/>
              </w:rPr>
              <w:t>+</w:t>
            </w:r>
          </w:p>
        </w:tc>
        <w:tc>
          <w:tcPr>
            <w:tcW w:w="1135" w:type="dxa"/>
            <w:vAlign w:val="top"/>
          </w:tcPr>
          <w:p w14:paraId="18729B6D">
            <w:pPr>
              <w:pStyle w:val="6"/>
              <w:spacing w:before="227" w:line="251" w:lineRule="exact"/>
              <w:ind w:left="456"/>
            </w:pPr>
            <w:r>
              <w:rPr>
                <w:spacing w:val="-1"/>
                <w:position w:val="1"/>
              </w:rPr>
              <w:t>++</w:t>
            </w:r>
          </w:p>
        </w:tc>
        <w:tc>
          <w:tcPr>
            <w:tcW w:w="1151" w:type="dxa"/>
            <w:tcBorders>
              <w:right w:val="single" w:color="000000" w:sz="12" w:space="0"/>
            </w:tcBorders>
            <w:vAlign w:val="top"/>
          </w:tcPr>
          <w:p w14:paraId="5A632D83">
            <w:pPr>
              <w:rPr>
                <w:rFonts w:ascii="Arial"/>
                <w:sz w:val="21"/>
              </w:rPr>
            </w:pPr>
          </w:p>
        </w:tc>
      </w:tr>
      <w:tr w14:paraId="52F57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6C697680">
            <w:pPr>
              <w:pStyle w:val="6"/>
              <w:spacing w:before="228" w:line="232" w:lineRule="auto"/>
              <w:ind w:left="288"/>
            </w:pPr>
            <w:r>
              <w:t>8</w:t>
            </w:r>
          </w:p>
        </w:tc>
        <w:tc>
          <w:tcPr>
            <w:tcW w:w="2794" w:type="dxa"/>
            <w:vAlign w:val="top"/>
          </w:tcPr>
          <w:p w14:paraId="3CFD6667">
            <w:pPr>
              <w:pStyle w:val="6"/>
              <w:spacing w:before="73" w:line="212" w:lineRule="auto"/>
              <w:ind w:left="125"/>
            </w:pPr>
            <w:r>
              <w:rPr>
                <w:rFonts w:ascii="宋体" w:hAnsi="宋体" w:eastAsia="宋体" w:cs="宋体"/>
                <w:spacing w:val="-2"/>
              </w:rPr>
              <w:t>中国圆田螺</w:t>
            </w:r>
            <w:r>
              <w:rPr>
                <w:rFonts w:ascii="宋体" w:hAnsi="宋体" w:eastAsia="宋体" w:cs="宋体"/>
                <w:spacing w:val="-38"/>
              </w:rPr>
              <w:t xml:space="preserve"> </w:t>
            </w:r>
            <w:r>
              <w:rPr>
                <w:i/>
                <w:iCs/>
                <w:spacing w:val="-2"/>
              </w:rPr>
              <w:t>Cipangopaludina</w:t>
            </w:r>
          </w:p>
          <w:p w14:paraId="6E647D17">
            <w:pPr>
              <w:pStyle w:val="6"/>
              <w:spacing w:before="48" w:line="198" w:lineRule="auto"/>
              <w:ind w:left="998"/>
            </w:pPr>
            <w:r>
              <w:rPr>
                <w:i/>
                <w:iCs/>
                <w:spacing w:val="-1"/>
              </w:rPr>
              <w:t>chinensis</w:t>
            </w:r>
          </w:p>
        </w:tc>
        <w:tc>
          <w:tcPr>
            <w:tcW w:w="711" w:type="dxa"/>
            <w:vAlign w:val="top"/>
          </w:tcPr>
          <w:p w14:paraId="695CFBEB">
            <w:pPr>
              <w:pStyle w:val="6"/>
              <w:spacing w:before="228" w:line="251" w:lineRule="exact"/>
              <w:ind w:left="292"/>
            </w:pPr>
            <w:r>
              <w:rPr>
                <w:position w:val="1"/>
              </w:rPr>
              <w:t>+</w:t>
            </w:r>
          </w:p>
        </w:tc>
        <w:tc>
          <w:tcPr>
            <w:tcW w:w="639" w:type="dxa"/>
            <w:vAlign w:val="top"/>
          </w:tcPr>
          <w:p w14:paraId="6C3165D8">
            <w:pPr>
              <w:pStyle w:val="6"/>
              <w:spacing w:before="228" w:line="251" w:lineRule="exact"/>
              <w:ind w:left="259"/>
            </w:pPr>
            <w:r>
              <w:rPr>
                <w:position w:val="1"/>
              </w:rPr>
              <w:t>+</w:t>
            </w:r>
          </w:p>
        </w:tc>
        <w:tc>
          <w:tcPr>
            <w:tcW w:w="637" w:type="dxa"/>
            <w:vAlign w:val="top"/>
          </w:tcPr>
          <w:p w14:paraId="50B6064D">
            <w:pPr>
              <w:rPr>
                <w:rFonts w:ascii="Arial"/>
                <w:sz w:val="21"/>
              </w:rPr>
            </w:pPr>
          </w:p>
        </w:tc>
        <w:tc>
          <w:tcPr>
            <w:tcW w:w="704" w:type="dxa"/>
            <w:vAlign w:val="top"/>
          </w:tcPr>
          <w:p w14:paraId="160863F7">
            <w:pPr>
              <w:pStyle w:val="6"/>
              <w:spacing w:before="228" w:line="251" w:lineRule="exact"/>
              <w:ind w:left="238"/>
            </w:pPr>
            <w:r>
              <w:rPr>
                <w:spacing w:val="-1"/>
                <w:position w:val="1"/>
              </w:rPr>
              <w:t>++</w:t>
            </w:r>
          </w:p>
        </w:tc>
        <w:tc>
          <w:tcPr>
            <w:tcW w:w="1135" w:type="dxa"/>
            <w:vAlign w:val="top"/>
          </w:tcPr>
          <w:p w14:paraId="3C31CE6A">
            <w:pPr>
              <w:rPr>
                <w:rFonts w:ascii="Arial"/>
                <w:sz w:val="21"/>
              </w:rPr>
            </w:pPr>
          </w:p>
        </w:tc>
        <w:tc>
          <w:tcPr>
            <w:tcW w:w="1151" w:type="dxa"/>
            <w:tcBorders>
              <w:right w:val="single" w:color="000000" w:sz="12" w:space="0"/>
            </w:tcBorders>
            <w:vAlign w:val="top"/>
          </w:tcPr>
          <w:p w14:paraId="2FB446B7">
            <w:pPr>
              <w:pStyle w:val="6"/>
              <w:spacing w:before="228" w:line="251" w:lineRule="exact"/>
              <w:ind w:left="520"/>
            </w:pPr>
            <w:r>
              <w:rPr>
                <w:position w:val="1"/>
              </w:rPr>
              <w:t>+</w:t>
            </w:r>
          </w:p>
        </w:tc>
      </w:tr>
      <w:tr w14:paraId="63B70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6709EF22">
            <w:pPr>
              <w:pStyle w:val="6"/>
              <w:spacing w:before="109" w:line="211" w:lineRule="auto"/>
              <w:ind w:left="284"/>
            </w:pPr>
            <w:r>
              <w:t>9</w:t>
            </w:r>
          </w:p>
        </w:tc>
        <w:tc>
          <w:tcPr>
            <w:tcW w:w="2794" w:type="dxa"/>
            <w:vAlign w:val="top"/>
          </w:tcPr>
          <w:p w14:paraId="423DBDE5">
            <w:pPr>
              <w:pStyle w:val="6"/>
              <w:spacing w:before="76" w:line="212" w:lineRule="auto"/>
              <w:ind w:left="317"/>
            </w:pPr>
            <w:r>
              <w:rPr>
                <w:rFonts w:ascii="宋体" w:hAnsi="宋体" w:eastAsia="宋体" w:cs="宋体"/>
              </w:rPr>
              <w:t>福寿螺</w:t>
            </w:r>
            <w:r>
              <w:rPr>
                <w:rFonts w:ascii="宋体" w:hAnsi="宋体" w:eastAsia="宋体" w:cs="宋体"/>
                <w:spacing w:val="-61"/>
              </w:rPr>
              <w:t xml:space="preserve"> </w:t>
            </w:r>
            <w:r>
              <w:rPr>
                <w:i/>
                <w:iCs/>
              </w:rPr>
              <w:t>Ampullaria gigas</w:t>
            </w:r>
          </w:p>
        </w:tc>
        <w:tc>
          <w:tcPr>
            <w:tcW w:w="711" w:type="dxa"/>
            <w:vAlign w:val="top"/>
          </w:tcPr>
          <w:p w14:paraId="6F8D1BC7">
            <w:pPr>
              <w:rPr>
                <w:rFonts w:ascii="Arial"/>
                <w:sz w:val="21"/>
              </w:rPr>
            </w:pPr>
          </w:p>
        </w:tc>
        <w:tc>
          <w:tcPr>
            <w:tcW w:w="639" w:type="dxa"/>
            <w:vAlign w:val="top"/>
          </w:tcPr>
          <w:p w14:paraId="1EE3FD06">
            <w:pPr>
              <w:pStyle w:val="6"/>
              <w:spacing w:before="109" w:line="211" w:lineRule="auto"/>
              <w:ind w:left="200"/>
            </w:pPr>
            <w:r>
              <w:rPr>
                <w:spacing w:val="-1"/>
              </w:rPr>
              <w:t>++</w:t>
            </w:r>
          </w:p>
        </w:tc>
        <w:tc>
          <w:tcPr>
            <w:tcW w:w="637" w:type="dxa"/>
            <w:vAlign w:val="top"/>
          </w:tcPr>
          <w:p w14:paraId="07731CD4">
            <w:pPr>
              <w:rPr>
                <w:rFonts w:ascii="Arial"/>
                <w:sz w:val="21"/>
              </w:rPr>
            </w:pPr>
          </w:p>
        </w:tc>
        <w:tc>
          <w:tcPr>
            <w:tcW w:w="704" w:type="dxa"/>
            <w:vAlign w:val="top"/>
          </w:tcPr>
          <w:p w14:paraId="783F8AC5">
            <w:pPr>
              <w:pStyle w:val="6"/>
              <w:spacing w:before="109" w:line="211" w:lineRule="auto"/>
              <w:ind w:left="297"/>
            </w:pPr>
            <w:r>
              <w:t>+</w:t>
            </w:r>
          </w:p>
        </w:tc>
        <w:tc>
          <w:tcPr>
            <w:tcW w:w="1135" w:type="dxa"/>
            <w:vAlign w:val="top"/>
          </w:tcPr>
          <w:p w14:paraId="2116219A">
            <w:pPr>
              <w:pStyle w:val="6"/>
              <w:spacing w:before="109" w:line="211" w:lineRule="auto"/>
              <w:ind w:left="515"/>
            </w:pPr>
            <w:r>
              <w:t>+</w:t>
            </w:r>
          </w:p>
        </w:tc>
        <w:tc>
          <w:tcPr>
            <w:tcW w:w="1151" w:type="dxa"/>
            <w:tcBorders>
              <w:right w:val="single" w:color="000000" w:sz="12" w:space="0"/>
            </w:tcBorders>
            <w:vAlign w:val="top"/>
          </w:tcPr>
          <w:p w14:paraId="43573D77">
            <w:pPr>
              <w:rPr>
                <w:rFonts w:ascii="Arial"/>
                <w:sz w:val="21"/>
              </w:rPr>
            </w:pPr>
          </w:p>
        </w:tc>
      </w:tr>
      <w:tr w14:paraId="4E98D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7E33AB3A">
            <w:pPr>
              <w:pStyle w:val="6"/>
              <w:spacing w:before="110" w:line="210" w:lineRule="auto"/>
              <w:ind w:left="247"/>
            </w:pPr>
            <w:r>
              <w:rPr>
                <w:spacing w:val="-6"/>
              </w:rPr>
              <w:t>10</w:t>
            </w:r>
          </w:p>
        </w:tc>
        <w:tc>
          <w:tcPr>
            <w:tcW w:w="2794" w:type="dxa"/>
            <w:vAlign w:val="top"/>
          </w:tcPr>
          <w:p w14:paraId="45267768">
            <w:pPr>
              <w:pStyle w:val="6"/>
              <w:spacing w:before="77" w:line="215" w:lineRule="auto"/>
              <w:ind w:left="198"/>
            </w:pPr>
            <w:r>
              <w:rPr>
                <w:rFonts w:ascii="宋体" w:hAnsi="宋体" w:eastAsia="宋体" w:cs="宋体"/>
                <w:spacing w:val="-1"/>
              </w:rPr>
              <w:t>耳萝卜螺</w:t>
            </w:r>
            <w:r>
              <w:rPr>
                <w:rFonts w:ascii="宋体" w:hAnsi="宋体" w:eastAsia="宋体" w:cs="宋体"/>
                <w:spacing w:val="-43"/>
              </w:rPr>
              <w:t xml:space="preserve"> </w:t>
            </w:r>
            <w:r>
              <w:rPr>
                <w:i/>
                <w:iCs/>
                <w:spacing w:val="-1"/>
              </w:rPr>
              <w:t>Radix auricularia</w:t>
            </w:r>
          </w:p>
        </w:tc>
        <w:tc>
          <w:tcPr>
            <w:tcW w:w="711" w:type="dxa"/>
            <w:vAlign w:val="top"/>
          </w:tcPr>
          <w:p w14:paraId="5319D4B8">
            <w:pPr>
              <w:rPr>
                <w:rFonts w:ascii="Arial"/>
                <w:sz w:val="21"/>
              </w:rPr>
            </w:pPr>
          </w:p>
        </w:tc>
        <w:tc>
          <w:tcPr>
            <w:tcW w:w="639" w:type="dxa"/>
            <w:vAlign w:val="top"/>
          </w:tcPr>
          <w:p w14:paraId="25D2986C">
            <w:pPr>
              <w:pStyle w:val="6"/>
              <w:spacing w:before="110" w:line="210" w:lineRule="auto"/>
              <w:ind w:left="200"/>
            </w:pPr>
            <w:r>
              <w:rPr>
                <w:spacing w:val="-1"/>
              </w:rPr>
              <w:t>++</w:t>
            </w:r>
          </w:p>
        </w:tc>
        <w:tc>
          <w:tcPr>
            <w:tcW w:w="637" w:type="dxa"/>
            <w:vAlign w:val="top"/>
          </w:tcPr>
          <w:p w14:paraId="666F4EBF">
            <w:pPr>
              <w:pStyle w:val="6"/>
              <w:spacing w:before="110" w:line="210" w:lineRule="auto"/>
              <w:ind w:left="260"/>
            </w:pPr>
            <w:r>
              <w:t>+</w:t>
            </w:r>
          </w:p>
        </w:tc>
        <w:tc>
          <w:tcPr>
            <w:tcW w:w="704" w:type="dxa"/>
            <w:vAlign w:val="top"/>
          </w:tcPr>
          <w:p w14:paraId="15CFB1DA">
            <w:pPr>
              <w:pStyle w:val="6"/>
              <w:spacing w:before="110" w:line="210" w:lineRule="auto"/>
              <w:ind w:left="238"/>
            </w:pPr>
            <w:r>
              <w:rPr>
                <w:spacing w:val="-1"/>
              </w:rPr>
              <w:t>++</w:t>
            </w:r>
          </w:p>
        </w:tc>
        <w:tc>
          <w:tcPr>
            <w:tcW w:w="1135" w:type="dxa"/>
            <w:vAlign w:val="top"/>
          </w:tcPr>
          <w:p w14:paraId="1377CACB">
            <w:pPr>
              <w:rPr>
                <w:rFonts w:ascii="Arial"/>
                <w:sz w:val="21"/>
              </w:rPr>
            </w:pPr>
          </w:p>
        </w:tc>
        <w:tc>
          <w:tcPr>
            <w:tcW w:w="1151" w:type="dxa"/>
            <w:tcBorders>
              <w:right w:val="single" w:color="000000" w:sz="12" w:space="0"/>
            </w:tcBorders>
            <w:vAlign w:val="top"/>
          </w:tcPr>
          <w:p w14:paraId="53C7B5AC">
            <w:pPr>
              <w:rPr>
                <w:rFonts w:ascii="Arial"/>
                <w:sz w:val="21"/>
              </w:rPr>
            </w:pPr>
          </w:p>
        </w:tc>
      </w:tr>
      <w:tr w14:paraId="75B29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3B0CE5EF">
            <w:pPr>
              <w:pStyle w:val="6"/>
              <w:spacing w:before="231" w:line="235" w:lineRule="auto"/>
              <w:ind w:left="247"/>
            </w:pPr>
            <w:r>
              <w:rPr>
                <w:spacing w:val="-6"/>
              </w:rPr>
              <w:t>11</w:t>
            </w:r>
          </w:p>
        </w:tc>
        <w:tc>
          <w:tcPr>
            <w:tcW w:w="2794" w:type="dxa"/>
            <w:vAlign w:val="top"/>
          </w:tcPr>
          <w:p w14:paraId="3F7C372F">
            <w:pPr>
              <w:pStyle w:val="6"/>
              <w:spacing w:before="78" w:line="226" w:lineRule="auto"/>
              <w:ind w:left="946" w:right="452" w:hanging="502"/>
            </w:pPr>
            <w:r>
              <w:rPr>
                <w:rFonts w:ascii="宋体" w:hAnsi="宋体" w:eastAsia="宋体" w:cs="宋体"/>
                <w:spacing w:val="-1"/>
              </w:rPr>
              <w:t>梨形环棱螺</w:t>
            </w:r>
            <w:r>
              <w:rPr>
                <w:rFonts w:ascii="宋体" w:hAnsi="宋体" w:eastAsia="宋体" w:cs="宋体"/>
                <w:spacing w:val="-49"/>
              </w:rPr>
              <w:t xml:space="preserve"> </w:t>
            </w:r>
            <w:r>
              <w:rPr>
                <w:i/>
                <w:iCs/>
                <w:spacing w:val="-1"/>
              </w:rPr>
              <w:t>Bellamya</w:t>
            </w:r>
            <w:r>
              <w:rPr>
                <w:i/>
                <w:iCs/>
              </w:rPr>
              <w:t xml:space="preserve"> </w:t>
            </w:r>
            <w:r>
              <w:rPr>
                <w:i/>
                <w:iCs/>
                <w:spacing w:val="2"/>
              </w:rPr>
              <w:t>purificata</w:t>
            </w:r>
          </w:p>
        </w:tc>
        <w:tc>
          <w:tcPr>
            <w:tcW w:w="711" w:type="dxa"/>
            <w:vAlign w:val="top"/>
          </w:tcPr>
          <w:p w14:paraId="04EE07F1">
            <w:pPr>
              <w:pStyle w:val="6"/>
              <w:spacing w:before="232" w:line="250" w:lineRule="exact"/>
              <w:ind w:left="174"/>
            </w:pPr>
            <w:r>
              <w:rPr>
                <w:spacing w:val="-1"/>
                <w:position w:val="1"/>
              </w:rPr>
              <w:t>+++</w:t>
            </w:r>
          </w:p>
        </w:tc>
        <w:tc>
          <w:tcPr>
            <w:tcW w:w="639" w:type="dxa"/>
            <w:vAlign w:val="top"/>
          </w:tcPr>
          <w:p w14:paraId="5B220DE7">
            <w:pPr>
              <w:pStyle w:val="6"/>
              <w:spacing w:before="232" w:line="250" w:lineRule="exact"/>
              <w:ind w:left="200"/>
            </w:pPr>
            <w:r>
              <w:rPr>
                <w:spacing w:val="-1"/>
                <w:position w:val="1"/>
              </w:rPr>
              <w:t>++</w:t>
            </w:r>
          </w:p>
        </w:tc>
        <w:tc>
          <w:tcPr>
            <w:tcW w:w="637" w:type="dxa"/>
            <w:vAlign w:val="top"/>
          </w:tcPr>
          <w:p w14:paraId="4F6D5785">
            <w:pPr>
              <w:rPr>
                <w:rFonts w:ascii="Arial"/>
                <w:sz w:val="21"/>
              </w:rPr>
            </w:pPr>
          </w:p>
        </w:tc>
        <w:tc>
          <w:tcPr>
            <w:tcW w:w="704" w:type="dxa"/>
            <w:vAlign w:val="top"/>
          </w:tcPr>
          <w:p w14:paraId="5FB323DF">
            <w:pPr>
              <w:pStyle w:val="6"/>
              <w:spacing w:before="232" w:line="250" w:lineRule="exact"/>
              <w:ind w:left="238"/>
            </w:pPr>
            <w:r>
              <w:rPr>
                <w:spacing w:val="-1"/>
                <w:position w:val="1"/>
              </w:rPr>
              <w:t>++</w:t>
            </w:r>
          </w:p>
        </w:tc>
        <w:tc>
          <w:tcPr>
            <w:tcW w:w="1135" w:type="dxa"/>
            <w:vAlign w:val="top"/>
          </w:tcPr>
          <w:p w14:paraId="68E77969">
            <w:pPr>
              <w:rPr>
                <w:rFonts w:ascii="Arial"/>
                <w:sz w:val="21"/>
              </w:rPr>
            </w:pPr>
          </w:p>
        </w:tc>
        <w:tc>
          <w:tcPr>
            <w:tcW w:w="1151" w:type="dxa"/>
            <w:tcBorders>
              <w:right w:val="single" w:color="000000" w:sz="12" w:space="0"/>
            </w:tcBorders>
            <w:vAlign w:val="top"/>
          </w:tcPr>
          <w:p w14:paraId="1A88BE19">
            <w:pPr>
              <w:pStyle w:val="6"/>
              <w:spacing w:before="232" w:line="250" w:lineRule="exact"/>
              <w:ind w:left="520"/>
            </w:pPr>
            <w:r>
              <w:rPr>
                <w:position w:val="1"/>
              </w:rPr>
              <w:t>+</w:t>
            </w:r>
          </w:p>
        </w:tc>
      </w:tr>
      <w:tr w14:paraId="7A5FF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2" w:type="dxa"/>
            <w:tcBorders>
              <w:left w:val="single" w:color="000000" w:sz="12" w:space="0"/>
            </w:tcBorders>
            <w:vAlign w:val="top"/>
          </w:tcPr>
          <w:p w14:paraId="324EBB01">
            <w:pPr>
              <w:pStyle w:val="6"/>
              <w:spacing w:before="113" w:line="209" w:lineRule="auto"/>
              <w:ind w:left="247"/>
            </w:pPr>
            <w:r>
              <w:rPr>
                <w:spacing w:val="-6"/>
              </w:rPr>
              <w:t>12</w:t>
            </w:r>
          </w:p>
        </w:tc>
        <w:tc>
          <w:tcPr>
            <w:tcW w:w="2794" w:type="dxa"/>
            <w:vAlign w:val="top"/>
          </w:tcPr>
          <w:p w14:paraId="1EA6CB19">
            <w:pPr>
              <w:pStyle w:val="6"/>
              <w:spacing w:before="80" w:line="212" w:lineRule="auto"/>
              <w:ind w:left="35"/>
            </w:pPr>
            <w:r>
              <w:rPr>
                <w:rFonts w:ascii="宋体" w:hAnsi="宋体" w:eastAsia="宋体" w:cs="宋体"/>
                <w:spacing w:val="-1"/>
              </w:rPr>
              <w:t>角形环棱螺</w:t>
            </w:r>
            <w:r>
              <w:rPr>
                <w:rFonts w:ascii="宋体" w:hAnsi="宋体" w:eastAsia="宋体" w:cs="宋体"/>
                <w:spacing w:val="-41"/>
              </w:rPr>
              <w:t xml:space="preserve"> </w:t>
            </w:r>
            <w:r>
              <w:rPr>
                <w:i/>
                <w:iCs/>
                <w:spacing w:val="-1"/>
              </w:rPr>
              <w:t xml:space="preserve">Bellamya </w:t>
            </w:r>
            <w:r>
              <w:rPr>
                <w:spacing w:val="-1"/>
              </w:rPr>
              <w:t>angularis</w:t>
            </w:r>
          </w:p>
        </w:tc>
        <w:tc>
          <w:tcPr>
            <w:tcW w:w="711" w:type="dxa"/>
            <w:vAlign w:val="top"/>
          </w:tcPr>
          <w:p w14:paraId="03B2A5F9">
            <w:pPr>
              <w:pStyle w:val="6"/>
              <w:spacing w:before="113" w:line="209" w:lineRule="auto"/>
              <w:ind w:left="292"/>
            </w:pPr>
            <w:r>
              <w:t>+</w:t>
            </w:r>
          </w:p>
        </w:tc>
        <w:tc>
          <w:tcPr>
            <w:tcW w:w="639" w:type="dxa"/>
            <w:vAlign w:val="top"/>
          </w:tcPr>
          <w:p w14:paraId="2E62CEC2">
            <w:pPr>
              <w:pStyle w:val="6"/>
              <w:spacing w:before="113" w:line="209" w:lineRule="auto"/>
              <w:ind w:left="259"/>
            </w:pPr>
            <w:r>
              <w:t>+</w:t>
            </w:r>
          </w:p>
        </w:tc>
        <w:tc>
          <w:tcPr>
            <w:tcW w:w="637" w:type="dxa"/>
            <w:vAlign w:val="top"/>
          </w:tcPr>
          <w:p w14:paraId="7745FB55">
            <w:pPr>
              <w:pStyle w:val="6"/>
              <w:spacing w:before="113" w:line="209" w:lineRule="auto"/>
              <w:ind w:left="260"/>
            </w:pPr>
            <w:r>
              <w:t>+</w:t>
            </w:r>
          </w:p>
        </w:tc>
        <w:tc>
          <w:tcPr>
            <w:tcW w:w="704" w:type="dxa"/>
            <w:vAlign w:val="top"/>
          </w:tcPr>
          <w:p w14:paraId="1DF8E048">
            <w:pPr>
              <w:rPr>
                <w:rFonts w:ascii="Arial"/>
                <w:sz w:val="21"/>
              </w:rPr>
            </w:pPr>
          </w:p>
        </w:tc>
        <w:tc>
          <w:tcPr>
            <w:tcW w:w="1135" w:type="dxa"/>
            <w:vAlign w:val="top"/>
          </w:tcPr>
          <w:p w14:paraId="2A15EBE8">
            <w:pPr>
              <w:pStyle w:val="6"/>
              <w:spacing w:before="113" w:line="209" w:lineRule="auto"/>
              <w:ind w:left="515"/>
            </w:pPr>
            <w:r>
              <w:t>+</w:t>
            </w:r>
          </w:p>
        </w:tc>
        <w:tc>
          <w:tcPr>
            <w:tcW w:w="1151" w:type="dxa"/>
            <w:tcBorders>
              <w:right w:val="single" w:color="000000" w:sz="12" w:space="0"/>
            </w:tcBorders>
            <w:vAlign w:val="top"/>
          </w:tcPr>
          <w:p w14:paraId="765690BD">
            <w:pPr>
              <w:pStyle w:val="6"/>
              <w:spacing w:before="113" w:line="209" w:lineRule="auto"/>
              <w:ind w:left="520"/>
            </w:pPr>
            <w:r>
              <w:t>+</w:t>
            </w:r>
          </w:p>
        </w:tc>
      </w:tr>
      <w:tr w14:paraId="4195E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2" w:type="dxa"/>
            <w:tcBorders>
              <w:left w:val="single" w:color="000000" w:sz="12" w:space="0"/>
            </w:tcBorders>
            <w:vAlign w:val="top"/>
          </w:tcPr>
          <w:p w14:paraId="62004C30">
            <w:pPr>
              <w:pStyle w:val="6"/>
              <w:spacing w:before="112" w:line="209" w:lineRule="auto"/>
              <w:ind w:left="247"/>
            </w:pPr>
            <w:r>
              <w:rPr>
                <w:spacing w:val="-6"/>
              </w:rPr>
              <w:t>13</w:t>
            </w:r>
          </w:p>
        </w:tc>
        <w:tc>
          <w:tcPr>
            <w:tcW w:w="2794" w:type="dxa"/>
            <w:vAlign w:val="top"/>
          </w:tcPr>
          <w:p w14:paraId="073DB852">
            <w:pPr>
              <w:pStyle w:val="6"/>
              <w:spacing w:before="78" w:line="213" w:lineRule="auto"/>
              <w:ind w:left="101"/>
            </w:pPr>
            <w:r>
              <w:rPr>
                <w:rFonts w:ascii="宋体" w:hAnsi="宋体" w:eastAsia="宋体" w:cs="宋体"/>
              </w:rPr>
              <w:t>尖口圆扁螺</w:t>
            </w:r>
            <w:r>
              <w:rPr>
                <w:rFonts w:ascii="宋体" w:hAnsi="宋体" w:eastAsia="宋体" w:cs="宋体"/>
                <w:spacing w:val="-58"/>
              </w:rPr>
              <w:t xml:space="preserve"> </w:t>
            </w:r>
            <w:r>
              <w:rPr>
                <w:i/>
                <w:iCs/>
              </w:rPr>
              <w:t>Hippeutis cant</w:t>
            </w:r>
            <w:r>
              <w:rPr>
                <w:i/>
                <w:iCs/>
                <w:spacing w:val="-1"/>
              </w:rPr>
              <w:t>ori</w:t>
            </w:r>
          </w:p>
        </w:tc>
        <w:tc>
          <w:tcPr>
            <w:tcW w:w="711" w:type="dxa"/>
            <w:vAlign w:val="top"/>
          </w:tcPr>
          <w:p w14:paraId="3A63CFF6">
            <w:pPr>
              <w:pStyle w:val="6"/>
              <w:spacing w:before="112" w:line="209" w:lineRule="auto"/>
              <w:ind w:left="292"/>
            </w:pPr>
            <w:r>
              <w:t>+</w:t>
            </w:r>
          </w:p>
        </w:tc>
        <w:tc>
          <w:tcPr>
            <w:tcW w:w="639" w:type="dxa"/>
            <w:vAlign w:val="top"/>
          </w:tcPr>
          <w:p w14:paraId="699B4BE8">
            <w:pPr>
              <w:pStyle w:val="6"/>
              <w:spacing w:before="112" w:line="209" w:lineRule="auto"/>
              <w:ind w:left="259"/>
            </w:pPr>
            <w:r>
              <w:t>+</w:t>
            </w:r>
          </w:p>
        </w:tc>
        <w:tc>
          <w:tcPr>
            <w:tcW w:w="637" w:type="dxa"/>
            <w:vAlign w:val="top"/>
          </w:tcPr>
          <w:p w14:paraId="4169F8BD">
            <w:pPr>
              <w:pStyle w:val="6"/>
              <w:spacing w:before="112" w:line="209" w:lineRule="auto"/>
              <w:ind w:left="202"/>
            </w:pPr>
            <w:r>
              <w:rPr>
                <w:spacing w:val="-1"/>
              </w:rPr>
              <w:t>++</w:t>
            </w:r>
          </w:p>
        </w:tc>
        <w:tc>
          <w:tcPr>
            <w:tcW w:w="704" w:type="dxa"/>
            <w:vAlign w:val="top"/>
          </w:tcPr>
          <w:p w14:paraId="726B6742">
            <w:pPr>
              <w:pStyle w:val="6"/>
              <w:spacing w:before="112" w:line="209" w:lineRule="auto"/>
              <w:ind w:left="297"/>
            </w:pPr>
            <w:r>
              <w:t>+</w:t>
            </w:r>
          </w:p>
        </w:tc>
        <w:tc>
          <w:tcPr>
            <w:tcW w:w="1135" w:type="dxa"/>
            <w:vAlign w:val="top"/>
          </w:tcPr>
          <w:p w14:paraId="21315EA6">
            <w:pPr>
              <w:pStyle w:val="6"/>
              <w:spacing w:before="112" w:line="209" w:lineRule="auto"/>
              <w:ind w:left="515"/>
            </w:pPr>
            <w:r>
              <w:t>+</w:t>
            </w:r>
          </w:p>
        </w:tc>
        <w:tc>
          <w:tcPr>
            <w:tcW w:w="1151" w:type="dxa"/>
            <w:tcBorders>
              <w:right w:val="single" w:color="000000" w:sz="12" w:space="0"/>
            </w:tcBorders>
            <w:vAlign w:val="top"/>
          </w:tcPr>
          <w:p w14:paraId="1870F3EA">
            <w:pPr>
              <w:pStyle w:val="6"/>
              <w:spacing w:before="112" w:line="209" w:lineRule="auto"/>
              <w:ind w:left="520"/>
            </w:pPr>
            <w:r>
              <w:t>+</w:t>
            </w:r>
          </w:p>
        </w:tc>
      </w:tr>
      <w:tr w14:paraId="703E8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01C94A9F">
            <w:pPr>
              <w:pStyle w:val="6"/>
              <w:spacing w:before="233" w:line="235" w:lineRule="auto"/>
              <w:ind w:left="247"/>
            </w:pPr>
            <w:r>
              <w:rPr>
                <w:spacing w:val="-6"/>
              </w:rPr>
              <w:t>14</w:t>
            </w:r>
          </w:p>
        </w:tc>
        <w:tc>
          <w:tcPr>
            <w:tcW w:w="2794" w:type="dxa"/>
            <w:vAlign w:val="top"/>
          </w:tcPr>
          <w:p w14:paraId="48DF3FE4">
            <w:pPr>
              <w:pStyle w:val="6"/>
              <w:spacing w:before="78" w:line="226" w:lineRule="auto"/>
              <w:ind w:left="863" w:right="563" w:hanging="307"/>
            </w:pPr>
            <w:r>
              <w:rPr>
                <w:rFonts w:ascii="宋体" w:hAnsi="宋体" w:eastAsia="宋体" w:cs="宋体"/>
                <w:spacing w:val="-1"/>
              </w:rPr>
              <w:t>金苹果螺</w:t>
            </w:r>
            <w:r>
              <w:rPr>
                <w:rFonts w:ascii="宋体" w:hAnsi="宋体" w:eastAsia="宋体" w:cs="宋体"/>
                <w:spacing w:val="-53"/>
              </w:rPr>
              <w:t xml:space="preserve"> </w:t>
            </w:r>
            <w:r>
              <w:rPr>
                <w:i/>
                <w:iCs/>
                <w:spacing w:val="-1"/>
              </w:rPr>
              <w:t>Pomacea</w:t>
            </w:r>
            <w:r>
              <w:rPr>
                <w:i/>
                <w:iCs/>
              </w:rPr>
              <w:t xml:space="preserve"> </w:t>
            </w:r>
            <w:r>
              <w:rPr>
                <w:i/>
                <w:iCs/>
                <w:spacing w:val="-1"/>
              </w:rPr>
              <w:t>canaliculata</w:t>
            </w:r>
          </w:p>
        </w:tc>
        <w:tc>
          <w:tcPr>
            <w:tcW w:w="711" w:type="dxa"/>
            <w:vAlign w:val="top"/>
          </w:tcPr>
          <w:p w14:paraId="501DC850">
            <w:pPr>
              <w:pStyle w:val="6"/>
              <w:spacing w:before="234" w:line="250" w:lineRule="exact"/>
              <w:ind w:left="292"/>
            </w:pPr>
            <w:r>
              <w:rPr>
                <w:position w:val="1"/>
              </w:rPr>
              <w:t>+</w:t>
            </w:r>
          </w:p>
        </w:tc>
        <w:tc>
          <w:tcPr>
            <w:tcW w:w="639" w:type="dxa"/>
            <w:vAlign w:val="top"/>
          </w:tcPr>
          <w:p w14:paraId="4CEDCC0C">
            <w:pPr>
              <w:pStyle w:val="6"/>
              <w:spacing w:before="234" w:line="250" w:lineRule="exact"/>
              <w:ind w:left="200"/>
            </w:pPr>
            <w:r>
              <w:rPr>
                <w:spacing w:val="-1"/>
                <w:position w:val="1"/>
              </w:rPr>
              <w:t>++</w:t>
            </w:r>
          </w:p>
        </w:tc>
        <w:tc>
          <w:tcPr>
            <w:tcW w:w="637" w:type="dxa"/>
            <w:vAlign w:val="top"/>
          </w:tcPr>
          <w:p w14:paraId="076A897D">
            <w:pPr>
              <w:pStyle w:val="6"/>
              <w:spacing w:before="234" w:line="250" w:lineRule="exact"/>
              <w:ind w:left="260"/>
            </w:pPr>
            <w:r>
              <w:rPr>
                <w:position w:val="1"/>
              </w:rPr>
              <w:t>+</w:t>
            </w:r>
          </w:p>
        </w:tc>
        <w:tc>
          <w:tcPr>
            <w:tcW w:w="704" w:type="dxa"/>
            <w:vAlign w:val="top"/>
          </w:tcPr>
          <w:p w14:paraId="2DAE05EE">
            <w:pPr>
              <w:pStyle w:val="6"/>
              <w:spacing w:before="234" w:line="250" w:lineRule="exact"/>
              <w:ind w:left="297"/>
            </w:pPr>
            <w:r>
              <w:rPr>
                <w:position w:val="1"/>
              </w:rPr>
              <w:t>+</w:t>
            </w:r>
          </w:p>
        </w:tc>
        <w:tc>
          <w:tcPr>
            <w:tcW w:w="1135" w:type="dxa"/>
            <w:vAlign w:val="top"/>
          </w:tcPr>
          <w:p w14:paraId="322D1581">
            <w:pPr>
              <w:pStyle w:val="6"/>
              <w:spacing w:before="234" w:line="250" w:lineRule="exact"/>
              <w:ind w:left="515"/>
            </w:pPr>
            <w:r>
              <w:rPr>
                <w:position w:val="1"/>
              </w:rPr>
              <w:t>+</w:t>
            </w:r>
          </w:p>
        </w:tc>
        <w:tc>
          <w:tcPr>
            <w:tcW w:w="1151" w:type="dxa"/>
            <w:tcBorders>
              <w:right w:val="single" w:color="000000" w:sz="12" w:space="0"/>
            </w:tcBorders>
            <w:vAlign w:val="top"/>
          </w:tcPr>
          <w:p w14:paraId="12AE235B">
            <w:pPr>
              <w:rPr>
                <w:rFonts w:ascii="Arial"/>
                <w:sz w:val="21"/>
              </w:rPr>
            </w:pPr>
          </w:p>
        </w:tc>
      </w:tr>
      <w:tr w14:paraId="333E9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09560A23">
            <w:pPr>
              <w:spacing w:before="202" w:line="222" w:lineRule="auto"/>
              <w:ind w:left="25"/>
              <w:rPr>
                <w:rFonts w:ascii="宋体" w:hAnsi="宋体" w:eastAsia="宋体" w:cs="宋体"/>
                <w:sz w:val="21"/>
                <w:szCs w:val="21"/>
              </w:rPr>
            </w:pPr>
            <w:r>
              <w:rPr>
                <w:rFonts w:ascii="宋体" w:hAnsi="宋体" w:eastAsia="宋体" w:cs="宋体"/>
                <w:b/>
                <w:bCs/>
                <w:spacing w:val="-8"/>
                <w:sz w:val="21"/>
                <w:szCs w:val="21"/>
              </w:rPr>
              <w:t>（四）</w:t>
            </w:r>
          </w:p>
        </w:tc>
        <w:tc>
          <w:tcPr>
            <w:tcW w:w="2794" w:type="dxa"/>
            <w:vAlign w:val="top"/>
          </w:tcPr>
          <w:p w14:paraId="3DE22380">
            <w:pPr>
              <w:spacing w:before="82" w:line="220" w:lineRule="auto"/>
              <w:ind w:left="1075"/>
              <w:rPr>
                <w:rFonts w:ascii="宋体" w:hAnsi="宋体" w:eastAsia="宋体" w:cs="宋体"/>
                <w:sz w:val="21"/>
                <w:szCs w:val="21"/>
              </w:rPr>
            </w:pPr>
            <w:r>
              <w:rPr>
                <w:rFonts w:ascii="宋体" w:hAnsi="宋体" w:eastAsia="宋体" w:cs="宋体"/>
                <w:b/>
                <w:bCs/>
                <w:spacing w:val="-5"/>
                <w:sz w:val="21"/>
                <w:szCs w:val="21"/>
              </w:rPr>
              <w:t>瓣鳃纲</w:t>
            </w:r>
          </w:p>
          <w:p w14:paraId="734BD2B3">
            <w:pPr>
              <w:pStyle w:val="6"/>
              <w:spacing w:before="44" w:line="185" w:lineRule="auto"/>
              <w:ind w:left="319"/>
            </w:pPr>
            <w:r>
              <w:rPr>
                <w:b/>
                <w:bCs/>
                <w:spacing w:val="-1"/>
              </w:rPr>
              <w:t>LAMELLIBRANCHIA</w:t>
            </w:r>
          </w:p>
        </w:tc>
        <w:tc>
          <w:tcPr>
            <w:tcW w:w="711" w:type="dxa"/>
            <w:vAlign w:val="top"/>
          </w:tcPr>
          <w:p w14:paraId="5CDFB345">
            <w:pPr>
              <w:pStyle w:val="6"/>
              <w:spacing w:before="235" w:line="251" w:lineRule="exact"/>
              <w:ind w:left="292"/>
            </w:pPr>
            <w:r>
              <w:rPr>
                <w:position w:val="1"/>
              </w:rPr>
              <w:t>+</w:t>
            </w:r>
          </w:p>
        </w:tc>
        <w:tc>
          <w:tcPr>
            <w:tcW w:w="639" w:type="dxa"/>
            <w:vAlign w:val="top"/>
          </w:tcPr>
          <w:p w14:paraId="7611E78F">
            <w:pPr>
              <w:pStyle w:val="6"/>
              <w:spacing w:before="235" w:line="251" w:lineRule="exact"/>
              <w:ind w:left="259"/>
            </w:pPr>
            <w:r>
              <w:rPr>
                <w:position w:val="1"/>
              </w:rPr>
              <w:t>+</w:t>
            </w:r>
          </w:p>
        </w:tc>
        <w:tc>
          <w:tcPr>
            <w:tcW w:w="637" w:type="dxa"/>
            <w:vAlign w:val="top"/>
          </w:tcPr>
          <w:p w14:paraId="4D6E192C">
            <w:pPr>
              <w:rPr>
                <w:rFonts w:ascii="Arial"/>
                <w:sz w:val="21"/>
              </w:rPr>
            </w:pPr>
          </w:p>
        </w:tc>
        <w:tc>
          <w:tcPr>
            <w:tcW w:w="704" w:type="dxa"/>
            <w:vAlign w:val="top"/>
          </w:tcPr>
          <w:p w14:paraId="7157BE35">
            <w:pPr>
              <w:pStyle w:val="6"/>
              <w:spacing w:before="235" w:line="251" w:lineRule="exact"/>
              <w:ind w:left="297"/>
            </w:pPr>
            <w:r>
              <w:rPr>
                <w:position w:val="1"/>
              </w:rPr>
              <w:t>+</w:t>
            </w:r>
          </w:p>
        </w:tc>
        <w:tc>
          <w:tcPr>
            <w:tcW w:w="1135" w:type="dxa"/>
            <w:vAlign w:val="top"/>
          </w:tcPr>
          <w:p w14:paraId="136E07D9">
            <w:pPr>
              <w:pStyle w:val="6"/>
              <w:spacing w:before="235" w:line="251" w:lineRule="exact"/>
              <w:ind w:left="515"/>
            </w:pPr>
            <w:r>
              <w:rPr>
                <w:position w:val="1"/>
              </w:rPr>
              <w:t>+</w:t>
            </w:r>
          </w:p>
        </w:tc>
        <w:tc>
          <w:tcPr>
            <w:tcW w:w="1151" w:type="dxa"/>
            <w:tcBorders>
              <w:right w:val="single" w:color="000000" w:sz="12" w:space="0"/>
            </w:tcBorders>
            <w:vAlign w:val="top"/>
          </w:tcPr>
          <w:p w14:paraId="64F4ECC2">
            <w:pPr>
              <w:pStyle w:val="6"/>
              <w:spacing w:before="235" w:line="251" w:lineRule="exact"/>
              <w:ind w:left="520"/>
            </w:pPr>
            <w:r>
              <w:rPr>
                <w:position w:val="1"/>
              </w:rPr>
              <w:t>+</w:t>
            </w:r>
          </w:p>
        </w:tc>
      </w:tr>
      <w:tr w14:paraId="533AA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2" w:type="dxa"/>
            <w:tcBorders>
              <w:left w:val="single" w:color="000000" w:sz="12" w:space="0"/>
            </w:tcBorders>
            <w:vAlign w:val="top"/>
          </w:tcPr>
          <w:p w14:paraId="336DECEE">
            <w:pPr>
              <w:pStyle w:val="6"/>
              <w:spacing w:before="116" w:line="206" w:lineRule="auto"/>
              <w:ind w:left="247"/>
            </w:pPr>
            <w:r>
              <w:rPr>
                <w:spacing w:val="-6"/>
              </w:rPr>
              <w:t>15</w:t>
            </w:r>
          </w:p>
        </w:tc>
        <w:tc>
          <w:tcPr>
            <w:tcW w:w="2794" w:type="dxa"/>
            <w:vAlign w:val="top"/>
          </w:tcPr>
          <w:p w14:paraId="3DF50571">
            <w:pPr>
              <w:pStyle w:val="6"/>
              <w:spacing w:before="82" w:line="212" w:lineRule="auto"/>
              <w:ind w:left="237"/>
            </w:pPr>
            <w:r>
              <w:rPr>
                <w:rFonts w:ascii="宋体" w:hAnsi="宋体" w:eastAsia="宋体" w:cs="宋体"/>
                <w:spacing w:val="4"/>
              </w:rPr>
              <w:t>石蝇幼虫</w:t>
            </w:r>
            <w:r>
              <w:rPr>
                <w:rFonts w:ascii="宋体" w:hAnsi="宋体" w:eastAsia="宋体" w:cs="宋体"/>
                <w:spacing w:val="-55"/>
              </w:rPr>
              <w:t xml:space="preserve"> </w:t>
            </w:r>
            <w:r>
              <w:rPr>
                <w:i/>
                <w:iCs/>
              </w:rPr>
              <w:t>Plecoptera</w:t>
            </w:r>
            <w:r>
              <w:rPr>
                <w:i/>
                <w:iCs/>
                <w:spacing w:val="-24"/>
              </w:rPr>
              <w:t xml:space="preserve"> </w:t>
            </w:r>
            <w:r>
              <w:rPr>
                <w:i/>
                <w:iCs/>
              </w:rPr>
              <w:t>perla</w:t>
            </w:r>
          </w:p>
        </w:tc>
        <w:tc>
          <w:tcPr>
            <w:tcW w:w="711" w:type="dxa"/>
            <w:vAlign w:val="top"/>
          </w:tcPr>
          <w:p w14:paraId="1A176286">
            <w:pPr>
              <w:pStyle w:val="6"/>
              <w:spacing w:before="116" w:line="206" w:lineRule="auto"/>
              <w:ind w:left="233"/>
            </w:pPr>
            <w:r>
              <w:rPr>
                <w:spacing w:val="-1"/>
              </w:rPr>
              <w:t>++</w:t>
            </w:r>
          </w:p>
        </w:tc>
        <w:tc>
          <w:tcPr>
            <w:tcW w:w="639" w:type="dxa"/>
            <w:vAlign w:val="top"/>
          </w:tcPr>
          <w:p w14:paraId="1EFC86D8">
            <w:pPr>
              <w:rPr>
                <w:rFonts w:ascii="Arial"/>
                <w:sz w:val="21"/>
              </w:rPr>
            </w:pPr>
          </w:p>
        </w:tc>
        <w:tc>
          <w:tcPr>
            <w:tcW w:w="637" w:type="dxa"/>
            <w:vAlign w:val="top"/>
          </w:tcPr>
          <w:p w14:paraId="71B03E81">
            <w:pPr>
              <w:pStyle w:val="6"/>
              <w:spacing w:before="116" w:line="206" w:lineRule="auto"/>
              <w:ind w:left="202"/>
            </w:pPr>
            <w:r>
              <w:rPr>
                <w:spacing w:val="-1"/>
              </w:rPr>
              <w:t>++</w:t>
            </w:r>
          </w:p>
        </w:tc>
        <w:tc>
          <w:tcPr>
            <w:tcW w:w="704" w:type="dxa"/>
            <w:vAlign w:val="top"/>
          </w:tcPr>
          <w:p w14:paraId="616BB318">
            <w:pPr>
              <w:pStyle w:val="6"/>
              <w:spacing w:before="116" w:line="206" w:lineRule="auto"/>
              <w:ind w:left="238"/>
            </w:pPr>
            <w:r>
              <w:rPr>
                <w:spacing w:val="-1"/>
              </w:rPr>
              <w:t>++</w:t>
            </w:r>
          </w:p>
        </w:tc>
        <w:tc>
          <w:tcPr>
            <w:tcW w:w="1135" w:type="dxa"/>
            <w:vAlign w:val="top"/>
          </w:tcPr>
          <w:p w14:paraId="1D75C0E4">
            <w:pPr>
              <w:rPr>
                <w:rFonts w:ascii="Arial"/>
                <w:sz w:val="21"/>
              </w:rPr>
            </w:pPr>
          </w:p>
        </w:tc>
        <w:tc>
          <w:tcPr>
            <w:tcW w:w="1151" w:type="dxa"/>
            <w:tcBorders>
              <w:right w:val="single" w:color="000000" w:sz="12" w:space="0"/>
            </w:tcBorders>
            <w:vAlign w:val="top"/>
          </w:tcPr>
          <w:p w14:paraId="7257DB1B">
            <w:pPr>
              <w:pStyle w:val="6"/>
              <w:spacing w:before="116" w:line="206" w:lineRule="auto"/>
              <w:ind w:left="520"/>
            </w:pPr>
            <w:r>
              <w:t>+</w:t>
            </w:r>
          </w:p>
        </w:tc>
      </w:tr>
      <w:tr w14:paraId="5B3E9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04832D17">
            <w:pPr>
              <w:pStyle w:val="6"/>
              <w:spacing w:before="237" w:line="232" w:lineRule="auto"/>
              <w:ind w:left="239"/>
            </w:pPr>
            <w:r>
              <w:rPr>
                <w:spacing w:val="-5"/>
              </w:rPr>
              <w:t>16</w:t>
            </w:r>
          </w:p>
        </w:tc>
        <w:tc>
          <w:tcPr>
            <w:tcW w:w="2794" w:type="dxa"/>
            <w:vAlign w:val="top"/>
          </w:tcPr>
          <w:p w14:paraId="7E36EA7F">
            <w:pPr>
              <w:spacing w:before="82" w:line="219" w:lineRule="auto"/>
              <w:ind w:left="830"/>
              <w:rPr>
                <w:rFonts w:ascii="宋体" w:hAnsi="宋体" w:eastAsia="宋体" w:cs="宋体"/>
                <w:sz w:val="21"/>
                <w:szCs w:val="21"/>
              </w:rPr>
            </w:pPr>
            <w:r>
              <w:rPr>
                <w:rFonts w:ascii="宋体" w:hAnsi="宋体" w:eastAsia="宋体" w:cs="宋体"/>
                <w:spacing w:val="10"/>
                <w:sz w:val="21"/>
                <w:szCs w:val="21"/>
              </w:rPr>
              <w:t>背角无齿蚌</w:t>
            </w:r>
          </w:p>
          <w:p w14:paraId="524EB19F">
            <w:pPr>
              <w:pStyle w:val="6"/>
              <w:spacing w:before="41" w:line="189" w:lineRule="auto"/>
              <w:ind w:left="519"/>
            </w:pPr>
            <w:r>
              <w:rPr>
                <w:i/>
                <w:iCs/>
                <w:spacing w:val="4"/>
              </w:rPr>
              <w:t>Anodontawoodiana</w:t>
            </w:r>
          </w:p>
        </w:tc>
        <w:tc>
          <w:tcPr>
            <w:tcW w:w="711" w:type="dxa"/>
            <w:vAlign w:val="top"/>
          </w:tcPr>
          <w:p w14:paraId="3BB74204">
            <w:pPr>
              <w:pStyle w:val="6"/>
              <w:spacing w:before="237" w:line="251" w:lineRule="exact"/>
              <w:ind w:left="292"/>
            </w:pPr>
            <w:r>
              <w:rPr>
                <w:position w:val="1"/>
              </w:rPr>
              <w:t>+</w:t>
            </w:r>
          </w:p>
        </w:tc>
        <w:tc>
          <w:tcPr>
            <w:tcW w:w="639" w:type="dxa"/>
            <w:vAlign w:val="top"/>
          </w:tcPr>
          <w:p w14:paraId="1622285A">
            <w:pPr>
              <w:pStyle w:val="6"/>
              <w:spacing w:before="237" w:line="251" w:lineRule="exact"/>
              <w:ind w:left="200"/>
            </w:pPr>
            <w:r>
              <w:rPr>
                <w:spacing w:val="-1"/>
                <w:position w:val="1"/>
              </w:rPr>
              <w:t>++</w:t>
            </w:r>
          </w:p>
        </w:tc>
        <w:tc>
          <w:tcPr>
            <w:tcW w:w="637" w:type="dxa"/>
            <w:vAlign w:val="top"/>
          </w:tcPr>
          <w:p w14:paraId="6307D6B4">
            <w:pPr>
              <w:rPr>
                <w:rFonts w:ascii="Arial"/>
                <w:sz w:val="21"/>
              </w:rPr>
            </w:pPr>
          </w:p>
        </w:tc>
        <w:tc>
          <w:tcPr>
            <w:tcW w:w="704" w:type="dxa"/>
            <w:vAlign w:val="top"/>
          </w:tcPr>
          <w:p w14:paraId="0C2134FD">
            <w:pPr>
              <w:pStyle w:val="6"/>
              <w:spacing w:before="237" w:line="251" w:lineRule="exact"/>
              <w:ind w:left="297"/>
            </w:pPr>
            <w:r>
              <w:rPr>
                <w:position w:val="1"/>
              </w:rPr>
              <w:t>+</w:t>
            </w:r>
          </w:p>
        </w:tc>
        <w:tc>
          <w:tcPr>
            <w:tcW w:w="1135" w:type="dxa"/>
            <w:vAlign w:val="top"/>
          </w:tcPr>
          <w:p w14:paraId="1BC0B526">
            <w:pPr>
              <w:pStyle w:val="6"/>
              <w:spacing w:before="237" w:line="251" w:lineRule="exact"/>
              <w:ind w:left="515"/>
            </w:pPr>
            <w:r>
              <w:rPr>
                <w:position w:val="1"/>
              </w:rPr>
              <w:t>+</w:t>
            </w:r>
          </w:p>
        </w:tc>
        <w:tc>
          <w:tcPr>
            <w:tcW w:w="1151" w:type="dxa"/>
            <w:tcBorders>
              <w:right w:val="single" w:color="000000" w:sz="12" w:space="0"/>
            </w:tcBorders>
            <w:vAlign w:val="top"/>
          </w:tcPr>
          <w:p w14:paraId="549DADB4">
            <w:pPr>
              <w:rPr>
                <w:rFonts w:ascii="Arial"/>
                <w:sz w:val="21"/>
              </w:rPr>
            </w:pPr>
          </w:p>
        </w:tc>
      </w:tr>
      <w:tr w14:paraId="0BD1E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02" w:type="dxa"/>
            <w:tcBorders>
              <w:left w:val="single" w:color="000000" w:sz="12" w:space="0"/>
            </w:tcBorders>
            <w:vAlign w:val="top"/>
          </w:tcPr>
          <w:p w14:paraId="404CDBDE">
            <w:pPr>
              <w:pStyle w:val="6"/>
              <w:spacing w:before="118" w:line="203" w:lineRule="auto"/>
              <w:ind w:left="239"/>
            </w:pPr>
            <w:r>
              <w:rPr>
                <w:spacing w:val="-5"/>
              </w:rPr>
              <w:t>17</w:t>
            </w:r>
          </w:p>
        </w:tc>
        <w:tc>
          <w:tcPr>
            <w:tcW w:w="2794" w:type="dxa"/>
            <w:vAlign w:val="top"/>
          </w:tcPr>
          <w:p w14:paraId="553A715C">
            <w:pPr>
              <w:pStyle w:val="6"/>
              <w:spacing w:before="85" w:line="209" w:lineRule="auto"/>
              <w:ind w:left="335"/>
            </w:pPr>
            <w:r>
              <w:rPr>
                <w:rFonts w:ascii="宋体" w:hAnsi="宋体" w:eastAsia="宋体" w:cs="宋体"/>
                <w:spacing w:val="7"/>
              </w:rPr>
              <w:t>河蚬</w:t>
            </w:r>
            <w:r>
              <w:rPr>
                <w:rFonts w:ascii="宋体" w:hAnsi="宋体" w:eastAsia="宋体" w:cs="宋体"/>
                <w:spacing w:val="-38"/>
              </w:rPr>
              <w:t xml:space="preserve"> </w:t>
            </w:r>
            <w:r>
              <w:rPr>
                <w:i/>
                <w:iCs/>
              </w:rPr>
              <w:t>Corbicula</w:t>
            </w:r>
            <w:r>
              <w:rPr>
                <w:i/>
                <w:iCs/>
                <w:spacing w:val="-37"/>
              </w:rPr>
              <w:t xml:space="preserve"> </w:t>
            </w:r>
            <w:r>
              <w:rPr>
                <w:i/>
                <w:iCs/>
              </w:rPr>
              <w:t>fluminea</w:t>
            </w:r>
          </w:p>
        </w:tc>
        <w:tc>
          <w:tcPr>
            <w:tcW w:w="711" w:type="dxa"/>
            <w:vAlign w:val="top"/>
          </w:tcPr>
          <w:p w14:paraId="72E1516B">
            <w:pPr>
              <w:pStyle w:val="6"/>
              <w:spacing w:before="118" w:line="203" w:lineRule="auto"/>
              <w:ind w:left="114"/>
            </w:pPr>
            <w:r>
              <w:rPr>
                <w:spacing w:val="-1"/>
              </w:rPr>
              <w:t>++++</w:t>
            </w:r>
          </w:p>
        </w:tc>
        <w:tc>
          <w:tcPr>
            <w:tcW w:w="639" w:type="dxa"/>
            <w:vAlign w:val="top"/>
          </w:tcPr>
          <w:p w14:paraId="7D897FDA">
            <w:pPr>
              <w:pStyle w:val="6"/>
              <w:spacing w:before="118" w:line="203" w:lineRule="auto"/>
              <w:ind w:left="259"/>
            </w:pPr>
            <w:r>
              <w:t>+</w:t>
            </w:r>
          </w:p>
        </w:tc>
        <w:tc>
          <w:tcPr>
            <w:tcW w:w="637" w:type="dxa"/>
            <w:vAlign w:val="top"/>
          </w:tcPr>
          <w:p w14:paraId="0D23A43E">
            <w:pPr>
              <w:rPr>
                <w:rFonts w:ascii="Arial"/>
                <w:sz w:val="21"/>
              </w:rPr>
            </w:pPr>
          </w:p>
        </w:tc>
        <w:tc>
          <w:tcPr>
            <w:tcW w:w="704" w:type="dxa"/>
            <w:vAlign w:val="top"/>
          </w:tcPr>
          <w:p w14:paraId="31217AFC">
            <w:pPr>
              <w:pStyle w:val="6"/>
              <w:spacing w:before="118" w:line="203" w:lineRule="auto"/>
              <w:ind w:left="178"/>
            </w:pPr>
            <w:r>
              <w:rPr>
                <w:spacing w:val="-1"/>
              </w:rPr>
              <w:t>+++</w:t>
            </w:r>
          </w:p>
        </w:tc>
        <w:tc>
          <w:tcPr>
            <w:tcW w:w="1135" w:type="dxa"/>
            <w:vAlign w:val="top"/>
          </w:tcPr>
          <w:p w14:paraId="7A819E38">
            <w:pPr>
              <w:pStyle w:val="6"/>
              <w:spacing w:before="118" w:line="203" w:lineRule="auto"/>
              <w:ind w:left="515"/>
            </w:pPr>
            <w:r>
              <w:t>+</w:t>
            </w:r>
          </w:p>
        </w:tc>
        <w:tc>
          <w:tcPr>
            <w:tcW w:w="1151" w:type="dxa"/>
            <w:tcBorders>
              <w:right w:val="single" w:color="000000" w:sz="12" w:space="0"/>
            </w:tcBorders>
            <w:vAlign w:val="top"/>
          </w:tcPr>
          <w:p w14:paraId="2273C8D5">
            <w:pPr>
              <w:pStyle w:val="6"/>
              <w:spacing w:before="118" w:line="203" w:lineRule="auto"/>
              <w:ind w:left="520"/>
            </w:pPr>
            <w:r>
              <w:t>+</w:t>
            </w:r>
          </w:p>
        </w:tc>
      </w:tr>
      <w:tr w14:paraId="245DC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7E95A5B0">
            <w:pPr>
              <w:spacing w:before="205" w:line="237" w:lineRule="auto"/>
              <w:ind w:left="230"/>
              <w:rPr>
                <w:rFonts w:ascii="宋体" w:hAnsi="宋体" w:eastAsia="宋体" w:cs="宋体"/>
                <w:sz w:val="21"/>
                <w:szCs w:val="21"/>
              </w:rPr>
            </w:pPr>
            <w:r>
              <w:rPr>
                <w:rFonts w:ascii="宋体" w:hAnsi="宋体" w:eastAsia="宋体" w:cs="宋体"/>
                <w:b/>
                <w:bCs/>
                <w:spacing w:val="-3"/>
                <w:sz w:val="21"/>
                <w:szCs w:val="21"/>
              </w:rPr>
              <w:t>三</w:t>
            </w:r>
          </w:p>
        </w:tc>
        <w:tc>
          <w:tcPr>
            <w:tcW w:w="2794" w:type="dxa"/>
            <w:vAlign w:val="top"/>
          </w:tcPr>
          <w:p w14:paraId="354A84C3">
            <w:pPr>
              <w:spacing w:before="85" w:line="220" w:lineRule="auto"/>
              <w:ind w:left="865"/>
              <w:rPr>
                <w:rFonts w:ascii="宋体" w:hAnsi="宋体" w:eastAsia="宋体" w:cs="宋体"/>
                <w:sz w:val="21"/>
                <w:szCs w:val="21"/>
              </w:rPr>
            </w:pPr>
            <w:r>
              <w:rPr>
                <w:rFonts w:ascii="宋体" w:hAnsi="宋体" w:eastAsia="宋体" w:cs="宋体"/>
                <w:b/>
                <w:bCs/>
                <w:spacing w:val="-4"/>
                <w:sz w:val="21"/>
                <w:szCs w:val="21"/>
              </w:rPr>
              <w:t>节肢动物门</w:t>
            </w:r>
          </w:p>
          <w:p w14:paraId="02C83E1E">
            <w:pPr>
              <w:pStyle w:val="6"/>
              <w:spacing w:before="44" w:line="182" w:lineRule="auto"/>
              <w:ind w:left="276"/>
            </w:pPr>
            <w:r>
              <w:rPr>
                <w:b/>
                <w:bCs/>
                <w:spacing w:val="-1"/>
              </w:rPr>
              <w:t>ANTHROPODNSECTA</w:t>
            </w:r>
          </w:p>
        </w:tc>
        <w:tc>
          <w:tcPr>
            <w:tcW w:w="711" w:type="dxa"/>
            <w:vAlign w:val="top"/>
          </w:tcPr>
          <w:p w14:paraId="036D82D6">
            <w:pPr>
              <w:rPr>
                <w:rFonts w:ascii="Arial"/>
                <w:sz w:val="21"/>
              </w:rPr>
            </w:pPr>
          </w:p>
        </w:tc>
        <w:tc>
          <w:tcPr>
            <w:tcW w:w="639" w:type="dxa"/>
            <w:vAlign w:val="top"/>
          </w:tcPr>
          <w:p w14:paraId="16D08C60">
            <w:pPr>
              <w:rPr>
                <w:rFonts w:ascii="Arial"/>
                <w:sz w:val="21"/>
              </w:rPr>
            </w:pPr>
          </w:p>
        </w:tc>
        <w:tc>
          <w:tcPr>
            <w:tcW w:w="637" w:type="dxa"/>
            <w:vAlign w:val="top"/>
          </w:tcPr>
          <w:p w14:paraId="378F2DCD">
            <w:pPr>
              <w:rPr>
                <w:rFonts w:ascii="Arial"/>
                <w:sz w:val="21"/>
              </w:rPr>
            </w:pPr>
          </w:p>
        </w:tc>
        <w:tc>
          <w:tcPr>
            <w:tcW w:w="704" w:type="dxa"/>
            <w:vAlign w:val="top"/>
          </w:tcPr>
          <w:p w14:paraId="6390C60E">
            <w:pPr>
              <w:rPr>
                <w:rFonts w:ascii="Arial"/>
                <w:sz w:val="21"/>
              </w:rPr>
            </w:pPr>
          </w:p>
        </w:tc>
        <w:tc>
          <w:tcPr>
            <w:tcW w:w="1135" w:type="dxa"/>
            <w:vAlign w:val="top"/>
          </w:tcPr>
          <w:p w14:paraId="59D19370">
            <w:pPr>
              <w:rPr>
                <w:rFonts w:ascii="Arial"/>
                <w:sz w:val="21"/>
              </w:rPr>
            </w:pPr>
          </w:p>
        </w:tc>
        <w:tc>
          <w:tcPr>
            <w:tcW w:w="1151" w:type="dxa"/>
            <w:tcBorders>
              <w:right w:val="single" w:color="000000" w:sz="12" w:space="0"/>
            </w:tcBorders>
            <w:vAlign w:val="top"/>
          </w:tcPr>
          <w:p w14:paraId="721ACC05">
            <w:pPr>
              <w:rPr>
                <w:rFonts w:ascii="Arial"/>
                <w:sz w:val="21"/>
              </w:rPr>
            </w:pPr>
          </w:p>
        </w:tc>
      </w:tr>
      <w:tr w14:paraId="4BC75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02" w:type="dxa"/>
            <w:tcBorders>
              <w:left w:val="single" w:color="000000" w:sz="12" w:space="0"/>
            </w:tcBorders>
            <w:vAlign w:val="top"/>
          </w:tcPr>
          <w:p w14:paraId="2ED2021E">
            <w:pPr>
              <w:spacing w:before="114" w:line="230" w:lineRule="auto"/>
              <w:ind w:left="25"/>
              <w:rPr>
                <w:rFonts w:ascii="宋体" w:hAnsi="宋体" w:eastAsia="宋体" w:cs="宋体"/>
                <w:sz w:val="21"/>
                <w:szCs w:val="21"/>
              </w:rPr>
            </w:pPr>
            <w:r>
              <w:rPr>
                <w:rFonts w:ascii="宋体" w:hAnsi="宋体" w:eastAsia="宋体" w:cs="宋体"/>
                <w:b/>
                <w:bCs/>
                <w:spacing w:val="-8"/>
                <w:sz w:val="21"/>
                <w:szCs w:val="21"/>
              </w:rPr>
              <w:t>（五）</w:t>
            </w:r>
          </w:p>
        </w:tc>
        <w:tc>
          <w:tcPr>
            <w:tcW w:w="2794" w:type="dxa"/>
            <w:vAlign w:val="top"/>
          </w:tcPr>
          <w:p w14:paraId="4603021C">
            <w:pPr>
              <w:pStyle w:val="6"/>
              <w:spacing w:before="114" w:line="220" w:lineRule="auto"/>
              <w:ind w:left="347"/>
            </w:pPr>
            <w:r>
              <w:rPr>
                <w:rFonts w:ascii="宋体" w:hAnsi="宋体" w:eastAsia="宋体" w:cs="宋体"/>
                <w:b/>
                <w:bCs/>
                <w:spacing w:val="-4"/>
              </w:rPr>
              <w:t>甲壳纲</w:t>
            </w:r>
            <w:r>
              <w:rPr>
                <w:rFonts w:ascii="宋体" w:hAnsi="宋体" w:eastAsia="宋体" w:cs="宋体"/>
                <w:spacing w:val="-42"/>
              </w:rPr>
              <w:t xml:space="preserve"> </w:t>
            </w:r>
            <w:r>
              <w:rPr>
                <w:b/>
                <w:bCs/>
                <w:spacing w:val="-4"/>
              </w:rPr>
              <w:t>CRUSTACEAN</w:t>
            </w:r>
          </w:p>
        </w:tc>
        <w:tc>
          <w:tcPr>
            <w:tcW w:w="711" w:type="dxa"/>
            <w:vAlign w:val="top"/>
          </w:tcPr>
          <w:p w14:paraId="7B38771D">
            <w:pPr>
              <w:rPr>
                <w:rFonts w:ascii="Arial"/>
                <w:sz w:val="21"/>
              </w:rPr>
            </w:pPr>
          </w:p>
        </w:tc>
        <w:tc>
          <w:tcPr>
            <w:tcW w:w="639" w:type="dxa"/>
            <w:vAlign w:val="top"/>
          </w:tcPr>
          <w:p w14:paraId="1F6A0817">
            <w:pPr>
              <w:rPr>
                <w:rFonts w:ascii="Arial"/>
                <w:sz w:val="21"/>
              </w:rPr>
            </w:pPr>
          </w:p>
        </w:tc>
        <w:tc>
          <w:tcPr>
            <w:tcW w:w="637" w:type="dxa"/>
            <w:vAlign w:val="top"/>
          </w:tcPr>
          <w:p w14:paraId="6735DB65">
            <w:pPr>
              <w:rPr>
                <w:rFonts w:ascii="Arial"/>
                <w:sz w:val="21"/>
              </w:rPr>
            </w:pPr>
          </w:p>
        </w:tc>
        <w:tc>
          <w:tcPr>
            <w:tcW w:w="704" w:type="dxa"/>
            <w:vAlign w:val="top"/>
          </w:tcPr>
          <w:p w14:paraId="4B0A5396">
            <w:pPr>
              <w:rPr>
                <w:rFonts w:ascii="Arial"/>
                <w:sz w:val="21"/>
              </w:rPr>
            </w:pPr>
          </w:p>
        </w:tc>
        <w:tc>
          <w:tcPr>
            <w:tcW w:w="1135" w:type="dxa"/>
            <w:vAlign w:val="top"/>
          </w:tcPr>
          <w:p w14:paraId="0C3855BB">
            <w:pPr>
              <w:rPr>
                <w:rFonts w:ascii="Arial"/>
                <w:sz w:val="21"/>
              </w:rPr>
            </w:pPr>
          </w:p>
        </w:tc>
        <w:tc>
          <w:tcPr>
            <w:tcW w:w="1151" w:type="dxa"/>
            <w:tcBorders>
              <w:right w:val="single" w:color="000000" w:sz="12" w:space="0"/>
            </w:tcBorders>
            <w:vAlign w:val="top"/>
          </w:tcPr>
          <w:p w14:paraId="6050CD18">
            <w:pPr>
              <w:rPr>
                <w:rFonts w:ascii="Arial"/>
                <w:sz w:val="21"/>
              </w:rPr>
            </w:pPr>
          </w:p>
        </w:tc>
      </w:tr>
      <w:tr w14:paraId="7F08D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02" w:type="dxa"/>
            <w:tcBorders>
              <w:left w:val="single" w:color="000000" w:sz="12" w:space="0"/>
              <w:bottom w:val="single" w:color="000000" w:sz="12" w:space="0"/>
            </w:tcBorders>
            <w:vAlign w:val="top"/>
          </w:tcPr>
          <w:p w14:paraId="6F83CD8C">
            <w:pPr>
              <w:pStyle w:val="6"/>
              <w:spacing w:before="119" w:line="224" w:lineRule="auto"/>
              <w:ind w:left="247"/>
            </w:pPr>
            <w:r>
              <w:rPr>
                <w:spacing w:val="-6"/>
              </w:rPr>
              <w:t>18</w:t>
            </w:r>
          </w:p>
        </w:tc>
        <w:tc>
          <w:tcPr>
            <w:tcW w:w="2794" w:type="dxa"/>
            <w:tcBorders>
              <w:bottom w:val="single" w:color="000000" w:sz="12" w:space="0"/>
            </w:tcBorders>
            <w:vAlign w:val="top"/>
          </w:tcPr>
          <w:p w14:paraId="10911779">
            <w:pPr>
              <w:pStyle w:val="6"/>
              <w:spacing w:before="85" w:line="219" w:lineRule="auto"/>
              <w:ind w:left="166"/>
            </w:pPr>
            <w:r>
              <w:rPr>
                <w:rFonts w:ascii="宋体" w:hAnsi="宋体" w:eastAsia="宋体" w:cs="宋体"/>
                <w:spacing w:val="-2"/>
              </w:rPr>
              <w:t>中华小长臂虾</w:t>
            </w:r>
            <w:r>
              <w:rPr>
                <w:rFonts w:ascii="宋体" w:hAnsi="宋体" w:eastAsia="宋体" w:cs="宋体"/>
                <w:spacing w:val="-45"/>
              </w:rPr>
              <w:t xml:space="preserve"> </w:t>
            </w:r>
            <w:r>
              <w:rPr>
                <w:i/>
                <w:iCs/>
                <w:spacing w:val="-2"/>
              </w:rPr>
              <w:t>Palaemonetes</w:t>
            </w:r>
          </w:p>
        </w:tc>
        <w:tc>
          <w:tcPr>
            <w:tcW w:w="711" w:type="dxa"/>
            <w:tcBorders>
              <w:bottom w:val="single" w:color="000000" w:sz="12" w:space="0"/>
            </w:tcBorders>
            <w:vAlign w:val="top"/>
          </w:tcPr>
          <w:p w14:paraId="36E8EAB3">
            <w:pPr>
              <w:pStyle w:val="6"/>
              <w:spacing w:before="119" w:line="224" w:lineRule="auto"/>
              <w:ind w:left="292"/>
            </w:pPr>
            <w:r>
              <w:t>+</w:t>
            </w:r>
          </w:p>
        </w:tc>
        <w:tc>
          <w:tcPr>
            <w:tcW w:w="639" w:type="dxa"/>
            <w:tcBorders>
              <w:bottom w:val="single" w:color="000000" w:sz="12" w:space="0"/>
            </w:tcBorders>
            <w:vAlign w:val="top"/>
          </w:tcPr>
          <w:p w14:paraId="311D498D">
            <w:pPr>
              <w:pStyle w:val="6"/>
              <w:spacing w:before="119" w:line="224" w:lineRule="auto"/>
              <w:ind w:left="200"/>
            </w:pPr>
            <w:r>
              <w:rPr>
                <w:spacing w:val="-1"/>
              </w:rPr>
              <w:t>++</w:t>
            </w:r>
          </w:p>
        </w:tc>
        <w:tc>
          <w:tcPr>
            <w:tcW w:w="637" w:type="dxa"/>
            <w:tcBorders>
              <w:bottom w:val="single" w:color="000000" w:sz="12" w:space="0"/>
            </w:tcBorders>
            <w:vAlign w:val="top"/>
          </w:tcPr>
          <w:p w14:paraId="307A17C4">
            <w:pPr>
              <w:pStyle w:val="6"/>
              <w:spacing w:before="119" w:line="224" w:lineRule="auto"/>
              <w:ind w:left="260"/>
            </w:pPr>
            <w:r>
              <w:t>+</w:t>
            </w:r>
          </w:p>
        </w:tc>
        <w:tc>
          <w:tcPr>
            <w:tcW w:w="704" w:type="dxa"/>
            <w:tcBorders>
              <w:bottom w:val="single" w:color="000000" w:sz="12" w:space="0"/>
            </w:tcBorders>
            <w:vAlign w:val="top"/>
          </w:tcPr>
          <w:p w14:paraId="2D2A151F">
            <w:pPr>
              <w:pStyle w:val="6"/>
              <w:spacing w:before="119" w:line="224" w:lineRule="auto"/>
              <w:ind w:left="238"/>
            </w:pPr>
            <w:r>
              <w:rPr>
                <w:spacing w:val="-1"/>
              </w:rPr>
              <w:t>++</w:t>
            </w:r>
          </w:p>
        </w:tc>
        <w:tc>
          <w:tcPr>
            <w:tcW w:w="1135" w:type="dxa"/>
            <w:tcBorders>
              <w:bottom w:val="single" w:color="000000" w:sz="12" w:space="0"/>
            </w:tcBorders>
            <w:vAlign w:val="top"/>
          </w:tcPr>
          <w:p w14:paraId="32D777B1">
            <w:pPr>
              <w:rPr>
                <w:rFonts w:ascii="Arial"/>
                <w:sz w:val="21"/>
              </w:rPr>
            </w:pPr>
          </w:p>
        </w:tc>
        <w:tc>
          <w:tcPr>
            <w:tcW w:w="1151" w:type="dxa"/>
            <w:tcBorders>
              <w:bottom w:val="single" w:color="000000" w:sz="12" w:space="0"/>
              <w:right w:val="single" w:color="000000" w:sz="12" w:space="0"/>
            </w:tcBorders>
            <w:vAlign w:val="top"/>
          </w:tcPr>
          <w:p w14:paraId="2025F3BC">
            <w:pPr>
              <w:pStyle w:val="6"/>
              <w:spacing w:before="119" w:line="224" w:lineRule="auto"/>
              <w:ind w:left="520"/>
            </w:pPr>
            <w:r>
              <w:t>+</w:t>
            </w:r>
          </w:p>
        </w:tc>
      </w:tr>
    </w:tbl>
    <w:p w14:paraId="147B8CF5">
      <w:pPr>
        <w:rPr>
          <w:rFonts w:ascii="Arial"/>
          <w:sz w:val="21"/>
        </w:rPr>
      </w:pPr>
    </w:p>
    <w:p w14:paraId="07E5AB52">
      <w:pPr>
        <w:rPr>
          <w:rFonts w:ascii="Arial" w:hAnsi="Arial" w:eastAsia="Arial" w:cs="Arial"/>
          <w:sz w:val="21"/>
          <w:szCs w:val="21"/>
        </w:rPr>
        <w:sectPr>
          <w:headerReference r:id="rId217" w:type="default"/>
          <w:footerReference r:id="rId218" w:type="default"/>
          <w:pgSz w:w="11907" w:h="16839"/>
          <w:pgMar w:top="1376" w:right="1669" w:bottom="1061" w:left="1671" w:header="999" w:footer="861" w:gutter="0"/>
          <w:cols w:space="720" w:num="1"/>
        </w:sectPr>
      </w:pPr>
    </w:p>
    <w:p w14:paraId="676F1F6B">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2794"/>
        <w:gridCol w:w="711"/>
        <w:gridCol w:w="639"/>
        <w:gridCol w:w="637"/>
        <w:gridCol w:w="704"/>
        <w:gridCol w:w="1135"/>
        <w:gridCol w:w="1151"/>
      </w:tblGrid>
      <w:tr w14:paraId="37DEB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702" w:type="dxa"/>
            <w:vMerge w:val="restart"/>
            <w:tcBorders>
              <w:top w:val="single" w:color="000000" w:sz="12" w:space="0"/>
              <w:left w:val="single" w:color="000000" w:sz="12" w:space="0"/>
              <w:bottom w:val="nil"/>
            </w:tcBorders>
            <w:vAlign w:val="top"/>
          </w:tcPr>
          <w:p w14:paraId="20BC1F1E">
            <w:pPr>
              <w:spacing w:line="431" w:lineRule="auto"/>
              <w:rPr>
                <w:rFonts w:ascii="Arial"/>
                <w:sz w:val="21"/>
              </w:rPr>
            </w:pPr>
          </w:p>
          <w:p w14:paraId="776B2AE9">
            <w:pPr>
              <w:spacing w:before="68" w:line="221" w:lineRule="auto"/>
              <w:ind w:left="124"/>
              <w:rPr>
                <w:rFonts w:ascii="宋体" w:hAnsi="宋体" w:eastAsia="宋体" w:cs="宋体"/>
                <w:sz w:val="21"/>
                <w:szCs w:val="21"/>
              </w:rPr>
            </w:pPr>
            <w:r>
              <w:rPr>
                <w:rFonts w:ascii="宋体" w:hAnsi="宋体" w:eastAsia="宋体" w:cs="宋体"/>
                <w:spacing w:val="-2"/>
                <w:sz w:val="21"/>
                <w:szCs w:val="21"/>
              </w:rPr>
              <w:t>序号</w:t>
            </w:r>
          </w:p>
        </w:tc>
        <w:tc>
          <w:tcPr>
            <w:tcW w:w="2794" w:type="dxa"/>
            <w:vMerge w:val="restart"/>
            <w:tcBorders>
              <w:top w:val="single" w:color="000000" w:sz="12" w:space="0"/>
              <w:bottom w:val="nil"/>
            </w:tcBorders>
            <w:vAlign w:val="top"/>
          </w:tcPr>
          <w:p w14:paraId="6822AFF8">
            <w:pPr>
              <w:spacing w:line="430" w:lineRule="auto"/>
              <w:rPr>
                <w:rFonts w:ascii="Arial"/>
                <w:sz w:val="21"/>
              </w:rPr>
            </w:pPr>
          </w:p>
          <w:p w14:paraId="60854691">
            <w:pPr>
              <w:spacing w:before="69" w:line="220" w:lineRule="auto"/>
              <w:ind w:left="1182"/>
              <w:rPr>
                <w:rFonts w:ascii="宋体" w:hAnsi="宋体" w:eastAsia="宋体" w:cs="宋体"/>
                <w:sz w:val="21"/>
                <w:szCs w:val="21"/>
              </w:rPr>
            </w:pPr>
            <w:r>
              <w:rPr>
                <w:rFonts w:ascii="宋体" w:hAnsi="宋体" w:eastAsia="宋体" w:cs="宋体"/>
                <w:spacing w:val="-3"/>
                <w:sz w:val="21"/>
                <w:szCs w:val="21"/>
              </w:rPr>
              <w:t>种类</w:t>
            </w:r>
          </w:p>
        </w:tc>
        <w:tc>
          <w:tcPr>
            <w:tcW w:w="4977" w:type="dxa"/>
            <w:gridSpan w:val="6"/>
            <w:tcBorders>
              <w:top w:val="single" w:color="000000" w:sz="12" w:space="0"/>
              <w:right w:val="single" w:color="000000" w:sz="12" w:space="0"/>
            </w:tcBorders>
            <w:vAlign w:val="top"/>
          </w:tcPr>
          <w:p w14:paraId="44866DEA">
            <w:pPr>
              <w:spacing w:before="58" w:line="222" w:lineRule="auto"/>
              <w:ind w:left="2071"/>
              <w:rPr>
                <w:rFonts w:ascii="宋体" w:hAnsi="宋体" w:eastAsia="宋体" w:cs="宋体"/>
                <w:sz w:val="21"/>
                <w:szCs w:val="21"/>
              </w:rPr>
            </w:pPr>
            <w:r>
              <w:rPr>
                <w:rFonts w:ascii="宋体" w:hAnsi="宋体" w:eastAsia="宋体" w:cs="宋体"/>
                <w:spacing w:val="-2"/>
                <w:sz w:val="21"/>
                <w:szCs w:val="21"/>
              </w:rPr>
              <w:t>调查地区</w:t>
            </w:r>
          </w:p>
        </w:tc>
      </w:tr>
      <w:tr w14:paraId="1F073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702" w:type="dxa"/>
            <w:vMerge w:val="continue"/>
            <w:tcBorders>
              <w:top w:val="nil"/>
              <w:left w:val="single" w:color="000000" w:sz="12" w:space="0"/>
            </w:tcBorders>
            <w:vAlign w:val="top"/>
          </w:tcPr>
          <w:p w14:paraId="62CB938C">
            <w:pPr>
              <w:rPr>
                <w:rFonts w:ascii="Arial"/>
                <w:sz w:val="21"/>
              </w:rPr>
            </w:pPr>
          </w:p>
        </w:tc>
        <w:tc>
          <w:tcPr>
            <w:tcW w:w="2794" w:type="dxa"/>
            <w:vMerge w:val="continue"/>
            <w:tcBorders>
              <w:top w:val="nil"/>
            </w:tcBorders>
            <w:vAlign w:val="top"/>
          </w:tcPr>
          <w:p w14:paraId="7AA0C860">
            <w:pPr>
              <w:rPr>
                <w:rFonts w:ascii="Arial"/>
                <w:sz w:val="21"/>
              </w:rPr>
            </w:pPr>
          </w:p>
        </w:tc>
        <w:tc>
          <w:tcPr>
            <w:tcW w:w="711" w:type="dxa"/>
            <w:vAlign w:val="top"/>
          </w:tcPr>
          <w:p w14:paraId="0A19789A">
            <w:pPr>
              <w:spacing w:before="194" w:line="241" w:lineRule="auto"/>
              <w:ind w:left="146" w:right="38" w:hanging="99"/>
              <w:rPr>
                <w:rFonts w:ascii="宋体" w:hAnsi="宋体" w:eastAsia="宋体" w:cs="宋体"/>
                <w:sz w:val="21"/>
                <w:szCs w:val="21"/>
              </w:rPr>
            </w:pPr>
            <w:r>
              <w:rPr>
                <w:rFonts w:ascii="宋体" w:hAnsi="宋体" w:eastAsia="宋体" w:cs="宋体"/>
                <w:spacing w:val="-5"/>
                <w:sz w:val="21"/>
                <w:szCs w:val="21"/>
              </w:rPr>
              <w:t>马龙河</w:t>
            </w:r>
            <w:r>
              <w:rPr>
                <w:rFonts w:ascii="宋体" w:hAnsi="宋体" w:eastAsia="宋体" w:cs="宋体"/>
                <w:spacing w:val="-3"/>
                <w:sz w:val="21"/>
                <w:szCs w:val="21"/>
              </w:rPr>
              <w:t>库尾</w:t>
            </w:r>
          </w:p>
        </w:tc>
        <w:tc>
          <w:tcPr>
            <w:tcW w:w="639" w:type="dxa"/>
            <w:vAlign w:val="top"/>
          </w:tcPr>
          <w:p w14:paraId="1C725F22">
            <w:pPr>
              <w:spacing w:before="57" w:line="219" w:lineRule="auto"/>
              <w:ind w:left="114"/>
              <w:rPr>
                <w:rFonts w:ascii="宋体" w:hAnsi="宋体" w:eastAsia="宋体" w:cs="宋体"/>
                <w:sz w:val="21"/>
                <w:szCs w:val="21"/>
              </w:rPr>
            </w:pPr>
            <w:r>
              <w:rPr>
                <w:rFonts w:ascii="宋体" w:hAnsi="宋体" w:eastAsia="宋体" w:cs="宋体"/>
                <w:spacing w:val="-3"/>
                <w:sz w:val="21"/>
                <w:szCs w:val="21"/>
              </w:rPr>
              <w:t>车章</w:t>
            </w:r>
          </w:p>
          <w:p w14:paraId="3F090C8F">
            <w:pPr>
              <w:spacing w:before="24" w:line="235" w:lineRule="auto"/>
              <w:ind w:left="217" w:right="104"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37" w:type="dxa"/>
            <w:vAlign w:val="top"/>
          </w:tcPr>
          <w:p w14:paraId="2EE05B9E">
            <w:pPr>
              <w:spacing w:before="57" w:line="222" w:lineRule="auto"/>
              <w:ind w:left="144"/>
              <w:rPr>
                <w:rFonts w:ascii="宋体" w:hAnsi="宋体" w:eastAsia="宋体" w:cs="宋体"/>
                <w:sz w:val="21"/>
                <w:szCs w:val="21"/>
              </w:rPr>
            </w:pPr>
            <w:r>
              <w:rPr>
                <w:rFonts w:ascii="宋体" w:hAnsi="宋体" w:eastAsia="宋体" w:cs="宋体"/>
                <w:spacing w:val="-10"/>
                <w:sz w:val="21"/>
                <w:szCs w:val="21"/>
              </w:rPr>
              <w:t>白塔</w:t>
            </w:r>
          </w:p>
          <w:p w14:paraId="3EB8C4B6">
            <w:pPr>
              <w:spacing w:before="21" w:line="235" w:lineRule="auto"/>
              <w:ind w:left="219" w:right="100"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04" w:type="dxa"/>
            <w:vAlign w:val="top"/>
          </w:tcPr>
          <w:p w14:paraId="2801CD6D">
            <w:pPr>
              <w:spacing w:before="193" w:line="242" w:lineRule="auto"/>
              <w:ind w:left="149" w:right="26" w:hanging="73"/>
              <w:rPr>
                <w:rFonts w:ascii="宋体" w:hAnsi="宋体" w:eastAsia="宋体" w:cs="宋体"/>
                <w:sz w:val="21"/>
                <w:szCs w:val="21"/>
              </w:rPr>
            </w:pPr>
            <w:r>
              <w:rPr>
                <w:rFonts w:ascii="宋体" w:hAnsi="宋体" w:eastAsia="宋体" w:cs="宋体"/>
                <w:spacing w:val="-13"/>
                <w:sz w:val="21"/>
                <w:szCs w:val="21"/>
              </w:rPr>
              <w:t>白塔河</w:t>
            </w:r>
            <w:r>
              <w:rPr>
                <w:rFonts w:ascii="宋体" w:hAnsi="宋体" w:eastAsia="宋体" w:cs="宋体"/>
                <w:spacing w:val="-2"/>
                <w:sz w:val="21"/>
                <w:szCs w:val="21"/>
              </w:rPr>
              <w:t>坝前</w:t>
            </w:r>
          </w:p>
        </w:tc>
        <w:tc>
          <w:tcPr>
            <w:tcW w:w="1135" w:type="dxa"/>
            <w:vAlign w:val="top"/>
          </w:tcPr>
          <w:p w14:paraId="440C2E9D">
            <w:pPr>
              <w:spacing w:before="57" w:line="219" w:lineRule="auto"/>
              <w:ind w:left="60"/>
              <w:rPr>
                <w:rFonts w:ascii="宋体" w:hAnsi="宋体" w:eastAsia="宋体" w:cs="宋体"/>
                <w:sz w:val="21"/>
                <w:szCs w:val="21"/>
              </w:rPr>
            </w:pPr>
            <w:r>
              <w:rPr>
                <w:rFonts w:ascii="宋体" w:hAnsi="宋体" w:eastAsia="宋体" w:cs="宋体"/>
                <w:spacing w:val="-3"/>
                <w:sz w:val="21"/>
                <w:szCs w:val="21"/>
              </w:rPr>
              <w:t>马龙河干流</w:t>
            </w:r>
          </w:p>
          <w:p w14:paraId="6E66DCFA">
            <w:pPr>
              <w:pStyle w:val="6"/>
              <w:spacing w:before="24" w:line="234" w:lineRule="auto"/>
              <w:ind w:left="54"/>
            </w:pPr>
            <w:r>
              <w:rPr>
                <w:rFonts w:ascii="宋体" w:hAnsi="宋体" w:eastAsia="宋体" w:cs="宋体"/>
                <w:spacing w:val="-3"/>
              </w:rPr>
              <w:t>离坝址</w:t>
            </w:r>
            <w:r>
              <w:rPr>
                <w:rFonts w:ascii="宋体" w:hAnsi="宋体" w:eastAsia="宋体" w:cs="宋体"/>
                <w:spacing w:val="-44"/>
              </w:rPr>
              <w:t xml:space="preserve"> </w:t>
            </w:r>
            <w:r>
              <w:rPr>
                <w:spacing w:val="-3"/>
              </w:rPr>
              <w:t>2km</w:t>
            </w:r>
          </w:p>
          <w:p w14:paraId="1B4879FE">
            <w:pPr>
              <w:spacing w:before="5" w:line="224" w:lineRule="auto"/>
              <w:ind w:left="478"/>
              <w:rPr>
                <w:rFonts w:ascii="宋体" w:hAnsi="宋体" w:eastAsia="宋体" w:cs="宋体"/>
                <w:sz w:val="21"/>
                <w:szCs w:val="21"/>
              </w:rPr>
            </w:pPr>
            <w:r>
              <w:rPr>
                <w:rFonts w:ascii="宋体" w:hAnsi="宋体" w:eastAsia="宋体" w:cs="宋体"/>
                <w:sz w:val="21"/>
                <w:szCs w:val="21"/>
              </w:rPr>
              <w:t>处</w:t>
            </w:r>
          </w:p>
        </w:tc>
        <w:tc>
          <w:tcPr>
            <w:tcW w:w="1151" w:type="dxa"/>
            <w:tcBorders>
              <w:right w:val="single" w:color="000000" w:sz="12" w:space="0"/>
            </w:tcBorders>
            <w:vAlign w:val="top"/>
          </w:tcPr>
          <w:p w14:paraId="6F1F8578">
            <w:pPr>
              <w:spacing w:before="57" w:line="219" w:lineRule="auto"/>
              <w:ind w:left="65"/>
              <w:rPr>
                <w:rFonts w:ascii="宋体" w:hAnsi="宋体" w:eastAsia="宋体" w:cs="宋体"/>
                <w:sz w:val="21"/>
                <w:szCs w:val="21"/>
              </w:rPr>
            </w:pPr>
            <w:r>
              <w:rPr>
                <w:rFonts w:ascii="宋体" w:hAnsi="宋体" w:eastAsia="宋体" w:cs="宋体"/>
                <w:spacing w:val="-3"/>
                <w:sz w:val="21"/>
                <w:szCs w:val="21"/>
              </w:rPr>
              <w:t>马龙河干流</w:t>
            </w:r>
          </w:p>
          <w:p w14:paraId="12864D33">
            <w:pPr>
              <w:pStyle w:val="6"/>
              <w:spacing w:before="24" w:line="234" w:lineRule="auto"/>
              <w:ind w:left="59"/>
            </w:pPr>
            <w:r>
              <w:rPr>
                <w:rFonts w:ascii="宋体" w:hAnsi="宋体" w:eastAsia="宋体" w:cs="宋体"/>
                <w:spacing w:val="-3"/>
              </w:rPr>
              <w:t>离坝址</w:t>
            </w:r>
            <w:r>
              <w:rPr>
                <w:rFonts w:ascii="宋体" w:hAnsi="宋体" w:eastAsia="宋体" w:cs="宋体"/>
                <w:spacing w:val="-43"/>
              </w:rPr>
              <w:t xml:space="preserve"> </w:t>
            </w:r>
            <w:r>
              <w:rPr>
                <w:spacing w:val="-3"/>
              </w:rPr>
              <w:t>6km</w:t>
            </w:r>
          </w:p>
          <w:p w14:paraId="3BD2EC81">
            <w:pPr>
              <w:spacing w:before="5" w:line="224" w:lineRule="auto"/>
              <w:ind w:left="483"/>
              <w:rPr>
                <w:rFonts w:ascii="宋体" w:hAnsi="宋体" w:eastAsia="宋体" w:cs="宋体"/>
                <w:sz w:val="21"/>
                <w:szCs w:val="21"/>
              </w:rPr>
            </w:pPr>
            <w:r>
              <w:rPr>
                <w:rFonts w:ascii="宋体" w:hAnsi="宋体" w:eastAsia="宋体" w:cs="宋体"/>
                <w:sz w:val="21"/>
                <w:szCs w:val="21"/>
              </w:rPr>
              <w:t>处</w:t>
            </w:r>
          </w:p>
        </w:tc>
      </w:tr>
      <w:tr w14:paraId="0CF2A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702" w:type="dxa"/>
            <w:tcBorders>
              <w:left w:val="single" w:color="000000" w:sz="12" w:space="0"/>
            </w:tcBorders>
            <w:vAlign w:val="top"/>
          </w:tcPr>
          <w:p w14:paraId="1DB7E17E">
            <w:pPr>
              <w:rPr>
                <w:rFonts w:ascii="Arial"/>
                <w:sz w:val="21"/>
              </w:rPr>
            </w:pPr>
          </w:p>
        </w:tc>
        <w:tc>
          <w:tcPr>
            <w:tcW w:w="2794" w:type="dxa"/>
            <w:vAlign w:val="top"/>
          </w:tcPr>
          <w:p w14:paraId="634832DD">
            <w:pPr>
              <w:pStyle w:val="6"/>
              <w:spacing w:before="93" w:line="212" w:lineRule="auto"/>
              <w:ind w:left="1049"/>
            </w:pPr>
            <w:r>
              <w:rPr>
                <w:i/>
                <w:iCs/>
              </w:rPr>
              <w:t>sinensis</w:t>
            </w:r>
          </w:p>
        </w:tc>
        <w:tc>
          <w:tcPr>
            <w:tcW w:w="711" w:type="dxa"/>
            <w:vAlign w:val="top"/>
          </w:tcPr>
          <w:p w14:paraId="02EC20E7">
            <w:pPr>
              <w:rPr>
                <w:rFonts w:ascii="Arial"/>
                <w:sz w:val="21"/>
              </w:rPr>
            </w:pPr>
          </w:p>
        </w:tc>
        <w:tc>
          <w:tcPr>
            <w:tcW w:w="639" w:type="dxa"/>
            <w:vAlign w:val="top"/>
          </w:tcPr>
          <w:p w14:paraId="1B6DCF01">
            <w:pPr>
              <w:rPr>
                <w:rFonts w:ascii="Arial"/>
                <w:sz w:val="21"/>
              </w:rPr>
            </w:pPr>
          </w:p>
        </w:tc>
        <w:tc>
          <w:tcPr>
            <w:tcW w:w="637" w:type="dxa"/>
            <w:vAlign w:val="top"/>
          </w:tcPr>
          <w:p w14:paraId="2972C0A7">
            <w:pPr>
              <w:rPr>
                <w:rFonts w:ascii="Arial"/>
                <w:sz w:val="21"/>
              </w:rPr>
            </w:pPr>
          </w:p>
        </w:tc>
        <w:tc>
          <w:tcPr>
            <w:tcW w:w="704" w:type="dxa"/>
            <w:vAlign w:val="top"/>
          </w:tcPr>
          <w:p w14:paraId="0937B533">
            <w:pPr>
              <w:rPr>
                <w:rFonts w:ascii="Arial"/>
                <w:sz w:val="21"/>
              </w:rPr>
            </w:pPr>
          </w:p>
        </w:tc>
        <w:tc>
          <w:tcPr>
            <w:tcW w:w="1135" w:type="dxa"/>
            <w:vAlign w:val="top"/>
          </w:tcPr>
          <w:p w14:paraId="05208E15">
            <w:pPr>
              <w:rPr>
                <w:rFonts w:ascii="Arial"/>
                <w:sz w:val="21"/>
              </w:rPr>
            </w:pPr>
          </w:p>
        </w:tc>
        <w:tc>
          <w:tcPr>
            <w:tcW w:w="1151" w:type="dxa"/>
            <w:tcBorders>
              <w:right w:val="single" w:color="000000" w:sz="12" w:space="0"/>
            </w:tcBorders>
            <w:vAlign w:val="top"/>
          </w:tcPr>
          <w:p w14:paraId="5EDF6D69">
            <w:pPr>
              <w:rPr>
                <w:rFonts w:ascii="Arial"/>
                <w:sz w:val="21"/>
              </w:rPr>
            </w:pPr>
          </w:p>
        </w:tc>
      </w:tr>
      <w:tr w14:paraId="27D76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127B14E3">
            <w:pPr>
              <w:pStyle w:val="6"/>
              <w:spacing w:before="215" w:line="232" w:lineRule="auto"/>
              <w:ind w:left="247"/>
            </w:pPr>
            <w:r>
              <w:rPr>
                <w:spacing w:val="-6"/>
              </w:rPr>
              <w:t>19</w:t>
            </w:r>
          </w:p>
        </w:tc>
        <w:tc>
          <w:tcPr>
            <w:tcW w:w="2794" w:type="dxa"/>
            <w:vAlign w:val="top"/>
          </w:tcPr>
          <w:p w14:paraId="4A20EE57">
            <w:pPr>
              <w:pStyle w:val="6"/>
              <w:spacing w:before="60" w:line="235" w:lineRule="auto"/>
              <w:ind w:left="996" w:right="377" w:hanging="627"/>
            </w:pPr>
            <w:r>
              <w:rPr>
                <w:rFonts w:ascii="宋体" w:hAnsi="宋体" w:eastAsia="宋体" w:cs="宋体"/>
                <w:spacing w:val="-1"/>
              </w:rPr>
              <w:t>秀丽白虾</w:t>
            </w:r>
            <w:r>
              <w:rPr>
                <w:rFonts w:ascii="宋体" w:hAnsi="宋体" w:eastAsia="宋体" w:cs="宋体"/>
                <w:spacing w:val="-49"/>
              </w:rPr>
              <w:t xml:space="preserve"> </w:t>
            </w:r>
            <w:r>
              <w:rPr>
                <w:i/>
                <w:iCs/>
                <w:spacing w:val="-1"/>
              </w:rPr>
              <w:t>Exopalaemon</w:t>
            </w:r>
            <w:r>
              <w:rPr>
                <w:i/>
                <w:iCs/>
              </w:rPr>
              <w:t xml:space="preserve"> </w:t>
            </w:r>
            <w:r>
              <w:rPr>
                <w:i/>
                <w:iCs/>
                <w:spacing w:val="-1"/>
              </w:rPr>
              <w:t>modestus</w:t>
            </w:r>
          </w:p>
        </w:tc>
        <w:tc>
          <w:tcPr>
            <w:tcW w:w="711" w:type="dxa"/>
            <w:vAlign w:val="top"/>
          </w:tcPr>
          <w:p w14:paraId="0E9E4DB2">
            <w:pPr>
              <w:rPr>
                <w:rFonts w:ascii="Arial"/>
                <w:sz w:val="21"/>
              </w:rPr>
            </w:pPr>
          </w:p>
        </w:tc>
        <w:tc>
          <w:tcPr>
            <w:tcW w:w="639" w:type="dxa"/>
            <w:vAlign w:val="top"/>
          </w:tcPr>
          <w:p w14:paraId="79516A63">
            <w:pPr>
              <w:pStyle w:val="6"/>
              <w:spacing w:before="215" w:line="251" w:lineRule="exact"/>
              <w:ind w:left="259"/>
            </w:pPr>
            <w:r>
              <w:rPr>
                <w:position w:val="1"/>
              </w:rPr>
              <w:t>+</w:t>
            </w:r>
          </w:p>
        </w:tc>
        <w:tc>
          <w:tcPr>
            <w:tcW w:w="637" w:type="dxa"/>
            <w:vAlign w:val="top"/>
          </w:tcPr>
          <w:p w14:paraId="3FB17CA7">
            <w:pPr>
              <w:pStyle w:val="6"/>
              <w:spacing w:before="215" w:line="251" w:lineRule="exact"/>
              <w:ind w:left="202"/>
            </w:pPr>
            <w:r>
              <w:rPr>
                <w:spacing w:val="-1"/>
                <w:position w:val="1"/>
              </w:rPr>
              <w:t>++</w:t>
            </w:r>
          </w:p>
        </w:tc>
        <w:tc>
          <w:tcPr>
            <w:tcW w:w="704" w:type="dxa"/>
            <w:vAlign w:val="top"/>
          </w:tcPr>
          <w:p w14:paraId="6F1251FB">
            <w:pPr>
              <w:pStyle w:val="6"/>
              <w:spacing w:before="215" w:line="251" w:lineRule="exact"/>
              <w:ind w:left="297"/>
            </w:pPr>
            <w:r>
              <w:rPr>
                <w:position w:val="1"/>
              </w:rPr>
              <w:t>+</w:t>
            </w:r>
          </w:p>
        </w:tc>
        <w:tc>
          <w:tcPr>
            <w:tcW w:w="1135" w:type="dxa"/>
            <w:vAlign w:val="top"/>
          </w:tcPr>
          <w:p w14:paraId="456204B0">
            <w:pPr>
              <w:pStyle w:val="6"/>
              <w:spacing w:before="215" w:line="251" w:lineRule="exact"/>
              <w:ind w:left="515"/>
            </w:pPr>
            <w:r>
              <w:rPr>
                <w:position w:val="1"/>
              </w:rPr>
              <w:t>+</w:t>
            </w:r>
          </w:p>
        </w:tc>
        <w:tc>
          <w:tcPr>
            <w:tcW w:w="1151" w:type="dxa"/>
            <w:tcBorders>
              <w:right w:val="single" w:color="000000" w:sz="12" w:space="0"/>
            </w:tcBorders>
            <w:vAlign w:val="top"/>
          </w:tcPr>
          <w:p w14:paraId="47CC736A">
            <w:pPr>
              <w:rPr>
                <w:rFonts w:ascii="Arial"/>
                <w:sz w:val="21"/>
              </w:rPr>
            </w:pPr>
          </w:p>
        </w:tc>
      </w:tr>
      <w:tr w14:paraId="5EDBC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32F16E23">
            <w:pPr>
              <w:pStyle w:val="6"/>
              <w:spacing w:before="94" w:line="226" w:lineRule="auto"/>
              <w:ind w:left="227"/>
            </w:pPr>
            <w:r>
              <w:rPr>
                <w:spacing w:val="-1"/>
              </w:rPr>
              <w:t>20</w:t>
            </w:r>
          </w:p>
        </w:tc>
        <w:tc>
          <w:tcPr>
            <w:tcW w:w="2794" w:type="dxa"/>
            <w:vAlign w:val="top"/>
          </w:tcPr>
          <w:p w14:paraId="2F261FFE">
            <w:pPr>
              <w:pStyle w:val="6"/>
              <w:spacing w:before="61" w:line="229" w:lineRule="auto"/>
              <w:ind w:left="93"/>
            </w:pPr>
            <w:r>
              <w:rPr>
                <w:rFonts w:ascii="宋体" w:hAnsi="宋体" w:eastAsia="宋体" w:cs="宋体"/>
                <w:spacing w:val="-2"/>
              </w:rPr>
              <w:t>中华米虾</w:t>
            </w:r>
            <w:r>
              <w:rPr>
                <w:rFonts w:ascii="宋体" w:hAnsi="宋体" w:eastAsia="宋体" w:cs="宋体"/>
                <w:spacing w:val="-31"/>
              </w:rPr>
              <w:t xml:space="preserve"> </w:t>
            </w:r>
            <w:r>
              <w:rPr>
                <w:i/>
                <w:iCs/>
                <w:spacing w:val="-2"/>
              </w:rPr>
              <w:t>Caridina denticulate</w:t>
            </w:r>
          </w:p>
        </w:tc>
        <w:tc>
          <w:tcPr>
            <w:tcW w:w="711" w:type="dxa"/>
            <w:vAlign w:val="top"/>
          </w:tcPr>
          <w:p w14:paraId="5722A00A">
            <w:pPr>
              <w:pStyle w:val="6"/>
              <w:spacing w:before="94" w:line="226" w:lineRule="auto"/>
              <w:ind w:left="233"/>
            </w:pPr>
            <w:r>
              <w:rPr>
                <w:spacing w:val="-1"/>
              </w:rPr>
              <w:t>++</w:t>
            </w:r>
          </w:p>
        </w:tc>
        <w:tc>
          <w:tcPr>
            <w:tcW w:w="639" w:type="dxa"/>
            <w:vAlign w:val="top"/>
          </w:tcPr>
          <w:p w14:paraId="3D16F1D9">
            <w:pPr>
              <w:pStyle w:val="6"/>
              <w:spacing w:before="94" w:line="226" w:lineRule="auto"/>
              <w:ind w:left="200"/>
            </w:pPr>
            <w:r>
              <w:rPr>
                <w:spacing w:val="-1"/>
              </w:rPr>
              <w:t>++</w:t>
            </w:r>
          </w:p>
        </w:tc>
        <w:tc>
          <w:tcPr>
            <w:tcW w:w="637" w:type="dxa"/>
            <w:vAlign w:val="top"/>
          </w:tcPr>
          <w:p w14:paraId="44F574C8">
            <w:pPr>
              <w:pStyle w:val="6"/>
              <w:spacing w:before="94" w:line="226" w:lineRule="auto"/>
              <w:ind w:left="260"/>
            </w:pPr>
            <w:r>
              <w:t>+</w:t>
            </w:r>
          </w:p>
        </w:tc>
        <w:tc>
          <w:tcPr>
            <w:tcW w:w="704" w:type="dxa"/>
            <w:vAlign w:val="top"/>
          </w:tcPr>
          <w:p w14:paraId="47E97748">
            <w:pPr>
              <w:pStyle w:val="6"/>
              <w:spacing w:before="94" w:line="226" w:lineRule="auto"/>
              <w:ind w:left="238"/>
            </w:pPr>
            <w:r>
              <w:rPr>
                <w:spacing w:val="-1"/>
              </w:rPr>
              <w:t>++</w:t>
            </w:r>
          </w:p>
        </w:tc>
        <w:tc>
          <w:tcPr>
            <w:tcW w:w="1135" w:type="dxa"/>
            <w:vAlign w:val="top"/>
          </w:tcPr>
          <w:p w14:paraId="1B8E3AAC">
            <w:pPr>
              <w:pStyle w:val="6"/>
              <w:spacing w:before="94" w:line="226" w:lineRule="auto"/>
              <w:ind w:left="515"/>
            </w:pPr>
            <w:r>
              <w:t>+</w:t>
            </w:r>
          </w:p>
        </w:tc>
        <w:tc>
          <w:tcPr>
            <w:tcW w:w="1151" w:type="dxa"/>
            <w:tcBorders>
              <w:right w:val="single" w:color="000000" w:sz="12" w:space="0"/>
            </w:tcBorders>
            <w:vAlign w:val="top"/>
          </w:tcPr>
          <w:p w14:paraId="281F9005">
            <w:pPr>
              <w:rPr>
                <w:rFonts w:ascii="Arial"/>
                <w:sz w:val="21"/>
              </w:rPr>
            </w:pPr>
          </w:p>
        </w:tc>
      </w:tr>
      <w:tr w14:paraId="33C15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1787FD57">
            <w:pPr>
              <w:pStyle w:val="6"/>
              <w:spacing w:before="95" w:line="225" w:lineRule="auto"/>
              <w:ind w:left="227"/>
            </w:pPr>
            <w:r>
              <w:rPr>
                <w:spacing w:val="-1"/>
              </w:rPr>
              <w:t>21</w:t>
            </w:r>
          </w:p>
        </w:tc>
        <w:tc>
          <w:tcPr>
            <w:tcW w:w="2794" w:type="dxa"/>
            <w:vAlign w:val="top"/>
          </w:tcPr>
          <w:p w14:paraId="14E62932">
            <w:pPr>
              <w:pStyle w:val="6"/>
              <w:spacing w:before="62" w:line="228" w:lineRule="auto"/>
              <w:ind w:left="220"/>
            </w:pPr>
            <w:r>
              <w:rPr>
                <w:rFonts w:ascii="宋体" w:hAnsi="宋体" w:eastAsia="宋体" w:cs="宋体"/>
                <w:spacing w:val="-2"/>
              </w:rPr>
              <w:t>细足米虾</w:t>
            </w:r>
            <w:r>
              <w:rPr>
                <w:rFonts w:ascii="宋体" w:hAnsi="宋体" w:eastAsia="宋体" w:cs="宋体"/>
                <w:spacing w:val="-21"/>
              </w:rPr>
              <w:t xml:space="preserve"> </w:t>
            </w:r>
            <w:r>
              <w:rPr>
                <w:i/>
                <w:iCs/>
                <w:spacing w:val="-2"/>
              </w:rPr>
              <w:t>Caridina nilotica</w:t>
            </w:r>
          </w:p>
        </w:tc>
        <w:tc>
          <w:tcPr>
            <w:tcW w:w="711" w:type="dxa"/>
            <w:vAlign w:val="top"/>
          </w:tcPr>
          <w:p w14:paraId="1889F014">
            <w:pPr>
              <w:pStyle w:val="6"/>
              <w:spacing w:before="95" w:line="225" w:lineRule="auto"/>
              <w:ind w:left="292"/>
            </w:pPr>
            <w:r>
              <w:t>+</w:t>
            </w:r>
          </w:p>
        </w:tc>
        <w:tc>
          <w:tcPr>
            <w:tcW w:w="639" w:type="dxa"/>
            <w:vAlign w:val="top"/>
          </w:tcPr>
          <w:p w14:paraId="2E914833">
            <w:pPr>
              <w:pStyle w:val="6"/>
              <w:spacing w:before="95" w:line="225" w:lineRule="auto"/>
              <w:ind w:left="200"/>
            </w:pPr>
            <w:r>
              <w:rPr>
                <w:spacing w:val="-1"/>
              </w:rPr>
              <w:t>++</w:t>
            </w:r>
          </w:p>
        </w:tc>
        <w:tc>
          <w:tcPr>
            <w:tcW w:w="637" w:type="dxa"/>
            <w:vAlign w:val="top"/>
          </w:tcPr>
          <w:p w14:paraId="7C45AA5D">
            <w:pPr>
              <w:pStyle w:val="6"/>
              <w:spacing w:before="95" w:line="225" w:lineRule="auto"/>
              <w:ind w:left="260"/>
            </w:pPr>
            <w:r>
              <w:t>+</w:t>
            </w:r>
          </w:p>
        </w:tc>
        <w:tc>
          <w:tcPr>
            <w:tcW w:w="704" w:type="dxa"/>
            <w:vAlign w:val="top"/>
          </w:tcPr>
          <w:p w14:paraId="34879CE0">
            <w:pPr>
              <w:pStyle w:val="6"/>
              <w:spacing w:before="95" w:line="225" w:lineRule="auto"/>
              <w:ind w:left="178"/>
            </w:pPr>
            <w:r>
              <w:rPr>
                <w:spacing w:val="-1"/>
              </w:rPr>
              <w:t>+++</w:t>
            </w:r>
          </w:p>
        </w:tc>
        <w:tc>
          <w:tcPr>
            <w:tcW w:w="1135" w:type="dxa"/>
            <w:vAlign w:val="top"/>
          </w:tcPr>
          <w:p w14:paraId="770DDCC6">
            <w:pPr>
              <w:rPr>
                <w:rFonts w:ascii="Arial"/>
                <w:sz w:val="21"/>
              </w:rPr>
            </w:pPr>
          </w:p>
        </w:tc>
        <w:tc>
          <w:tcPr>
            <w:tcW w:w="1151" w:type="dxa"/>
            <w:tcBorders>
              <w:right w:val="single" w:color="000000" w:sz="12" w:space="0"/>
            </w:tcBorders>
            <w:vAlign w:val="top"/>
          </w:tcPr>
          <w:p w14:paraId="3B1ADA8D">
            <w:pPr>
              <w:pStyle w:val="6"/>
              <w:spacing w:before="95" w:line="225" w:lineRule="auto"/>
              <w:ind w:left="520"/>
            </w:pPr>
            <w:r>
              <w:t>+</w:t>
            </w:r>
          </w:p>
        </w:tc>
      </w:tr>
      <w:tr w14:paraId="3B043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726E1E0F">
            <w:pPr>
              <w:pStyle w:val="6"/>
              <w:spacing w:before="218" w:line="235" w:lineRule="auto"/>
              <w:ind w:left="227"/>
            </w:pPr>
            <w:r>
              <w:rPr>
                <w:spacing w:val="-1"/>
              </w:rPr>
              <w:t>22</w:t>
            </w:r>
          </w:p>
        </w:tc>
        <w:tc>
          <w:tcPr>
            <w:tcW w:w="2794" w:type="dxa"/>
            <w:vAlign w:val="top"/>
          </w:tcPr>
          <w:p w14:paraId="317155DD">
            <w:pPr>
              <w:pStyle w:val="6"/>
              <w:spacing w:before="65" w:line="232" w:lineRule="auto"/>
              <w:ind w:left="909" w:right="275" w:hanging="610"/>
            </w:pPr>
            <w:r>
              <w:rPr>
                <w:rFonts w:ascii="宋体" w:hAnsi="宋体" w:eastAsia="宋体" w:cs="宋体"/>
                <w:spacing w:val="-3"/>
              </w:rPr>
              <w:t>日本沼虾</w:t>
            </w:r>
            <w:r>
              <w:rPr>
                <w:rFonts w:ascii="宋体" w:hAnsi="宋体" w:eastAsia="宋体" w:cs="宋体"/>
                <w:spacing w:val="-51"/>
              </w:rPr>
              <w:t xml:space="preserve"> </w:t>
            </w:r>
            <w:r>
              <w:rPr>
                <w:i/>
                <w:iCs/>
                <w:spacing w:val="-3"/>
              </w:rPr>
              <w:t>Macrobrachium</w:t>
            </w:r>
            <w:r>
              <w:rPr>
                <w:i/>
                <w:iCs/>
              </w:rPr>
              <w:t xml:space="preserve"> </w:t>
            </w:r>
            <w:r>
              <w:rPr>
                <w:i/>
                <w:iCs/>
                <w:spacing w:val="-1"/>
              </w:rPr>
              <w:t>nipponense</w:t>
            </w:r>
          </w:p>
        </w:tc>
        <w:tc>
          <w:tcPr>
            <w:tcW w:w="711" w:type="dxa"/>
            <w:vAlign w:val="top"/>
          </w:tcPr>
          <w:p w14:paraId="6D9E90A5">
            <w:pPr>
              <w:pStyle w:val="6"/>
              <w:spacing w:before="218" w:line="251" w:lineRule="exact"/>
              <w:ind w:left="292"/>
            </w:pPr>
            <w:r>
              <w:rPr>
                <w:position w:val="1"/>
              </w:rPr>
              <w:t>+</w:t>
            </w:r>
          </w:p>
        </w:tc>
        <w:tc>
          <w:tcPr>
            <w:tcW w:w="639" w:type="dxa"/>
            <w:vAlign w:val="top"/>
          </w:tcPr>
          <w:p w14:paraId="50E0F602">
            <w:pPr>
              <w:pStyle w:val="6"/>
              <w:spacing w:before="218" w:line="251" w:lineRule="exact"/>
              <w:ind w:left="259"/>
            </w:pPr>
            <w:r>
              <w:rPr>
                <w:position w:val="1"/>
              </w:rPr>
              <w:t>+</w:t>
            </w:r>
          </w:p>
        </w:tc>
        <w:tc>
          <w:tcPr>
            <w:tcW w:w="637" w:type="dxa"/>
            <w:vAlign w:val="top"/>
          </w:tcPr>
          <w:p w14:paraId="7DB30783">
            <w:pPr>
              <w:rPr>
                <w:rFonts w:ascii="Arial"/>
                <w:sz w:val="21"/>
              </w:rPr>
            </w:pPr>
          </w:p>
        </w:tc>
        <w:tc>
          <w:tcPr>
            <w:tcW w:w="704" w:type="dxa"/>
            <w:vAlign w:val="top"/>
          </w:tcPr>
          <w:p w14:paraId="2AD5DA4A">
            <w:pPr>
              <w:pStyle w:val="6"/>
              <w:spacing w:before="218" w:line="251" w:lineRule="exact"/>
              <w:ind w:left="297"/>
            </w:pPr>
            <w:r>
              <w:rPr>
                <w:position w:val="1"/>
              </w:rPr>
              <w:t>+</w:t>
            </w:r>
          </w:p>
        </w:tc>
        <w:tc>
          <w:tcPr>
            <w:tcW w:w="1135" w:type="dxa"/>
            <w:vAlign w:val="top"/>
          </w:tcPr>
          <w:p w14:paraId="0CC12E34">
            <w:pPr>
              <w:rPr>
                <w:rFonts w:ascii="Arial"/>
                <w:sz w:val="21"/>
              </w:rPr>
            </w:pPr>
          </w:p>
        </w:tc>
        <w:tc>
          <w:tcPr>
            <w:tcW w:w="1151" w:type="dxa"/>
            <w:tcBorders>
              <w:right w:val="single" w:color="000000" w:sz="12" w:space="0"/>
            </w:tcBorders>
            <w:vAlign w:val="top"/>
          </w:tcPr>
          <w:p w14:paraId="768161CD">
            <w:pPr>
              <w:pStyle w:val="6"/>
              <w:spacing w:before="218" w:line="251" w:lineRule="exact"/>
              <w:ind w:left="520"/>
            </w:pPr>
            <w:r>
              <w:rPr>
                <w:position w:val="1"/>
              </w:rPr>
              <w:t>+</w:t>
            </w:r>
          </w:p>
        </w:tc>
      </w:tr>
      <w:tr w14:paraId="6022B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298AD44C">
            <w:pPr>
              <w:pStyle w:val="6"/>
              <w:spacing w:before="220" w:line="232" w:lineRule="auto"/>
              <w:ind w:left="227"/>
            </w:pPr>
            <w:r>
              <w:rPr>
                <w:spacing w:val="-1"/>
              </w:rPr>
              <w:t>23</w:t>
            </w:r>
          </w:p>
        </w:tc>
        <w:tc>
          <w:tcPr>
            <w:tcW w:w="2794" w:type="dxa"/>
            <w:vAlign w:val="top"/>
          </w:tcPr>
          <w:p w14:paraId="536DEA79">
            <w:pPr>
              <w:pStyle w:val="6"/>
              <w:spacing w:before="65" w:line="232" w:lineRule="auto"/>
              <w:ind w:left="908" w:right="323" w:hanging="593"/>
            </w:pPr>
            <w:r>
              <w:rPr>
                <w:rFonts w:ascii="宋体" w:hAnsi="宋体" w:eastAsia="宋体" w:cs="宋体"/>
                <w:spacing w:val="-1"/>
              </w:rPr>
              <w:t>锯齿新米虾</w:t>
            </w:r>
            <w:r>
              <w:rPr>
                <w:rFonts w:ascii="宋体" w:hAnsi="宋体" w:eastAsia="宋体" w:cs="宋体"/>
                <w:spacing w:val="-46"/>
              </w:rPr>
              <w:t xml:space="preserve"> </w:t>
            </w:r>
            <w:r>
              <w:rPr>
                <w:i/>
                <w:iCs/>
                <w:spacing w:val="-1"/>
              </w:rPr>
              <w:t>Neocaridina</w:t>
            </w:r>
            <w:r>
              <w:rPr>
                <w:i/>
                <w:iCs/>
              </w:rPr>
              <w:t xml:space="preserve"> </w:t>
            </w:r>
            <w:r>
              <w:rPr>
                <w:i/>
                <w:iCs/>
                <w:spacing w:val="-1"/>
              </w:rPr>
              <w:t>dentioulata</w:t>
            </w:r>
          </w:p>
        </w:tc>
        <w:tc>
          <w:tcPr>
            <w:tcW w:w="711" w:type="dxa"/>
            <w:vAlign w:val="top"/>
          </w:tcPr>
          <w:p w14:paraId="7DC482B7">
            <w:pPr>
              <w:pStyle w:val="6"/>
              <w:spacing w:before="219" w:line="251" w:lineRule="exact"/>
              <w:ind w:left="233"/>
            </w:pPr>
            <w:r>
              <w:rPr>
                <w:spacing w:val="-1"/>
                <w:position w:val="1"/>
              </w:rPr>
              <w:t>++</w:t>
            </w:r>
          </w:p>
        </w:tc>
        <w:tc>
          <w:tcPr>
            <w:tcW w:w="639" w:type="dxa"/>
            <w:vAlign w:val="top"/>
          </w:tcPr>
          <w:p w14:paraId="249A967F">
            <w:pPr>
              <w:pStyle w:val="6"/>
              <w:spacing w:before="219" w:line="251" w:lineRule="exact"/>
              <w:ind w:left="200"/>
            </w:pPr>
            <w:r>
              <w:rPr>
                <w:spacing w:val="-1"/>
                <w:position w:val="1"/>
              </w:rPr>
              <w:t>++</w:t>
            </w:r>
          </w:p>
        </w:tc>
        <w:tc>
          <w:tcPr>
            <w:tcW w:w="637" w:type="dxa"/>
            <w:vAlign w:val="top"/>
          </w:tcPr>
          <w:p w14:paraId="2E8D6517">
            <w:pPr>
              <w:pStyle w:val="6"/>
              <w:spacing w:before="219" w:line="251" w:lineRule="exact"/>
              <w:ind w:left="260"/>
            </w:pPr>
            <w:r>
              <w:rPr>
                <w:position w:val="1"/>
              </w:rPr>
              <w:t>+</w:t>
            </w:r>
          </w:p>
        </w:tc>
        <w:tc>
          <w:tcPr>
            <w:tcW w:w="704" w:type="dxa"/>
            <w:vAlign w:val="top"/>
          </w:tcPr>
          <w:p w14:paraId="07D117D9">
            <w:pPr>
              <w:pStyle w:val="6"/>
              <w:spacing w:before="219" w:line="251" w:lineRule="exact"/>
              <w:ind w:left="238"/>
            </w:pPr>
            <w:r>
              <w:rPr>
                <w:spacing w:val="-1"/>
                <w:position w:val="1"/>
              </w:rPr>
              <w:t>++</w:t>
            </w:r>
          </w:p>
        </w:tc>
        <w:tc>
          <w:tcPr>
            <w:tcW w:w="1135" w:type="dxa"/>
            <w:vAlign w:val="top"/>
          </w:tcPr>
          <w:p w14:paraId="0BF1FF15">
            <w:pPr>
              <w:pStyle w:val="6"/>
              <w:spacing w:before="219" w:line="251" w:lineRule="exact"/>
              <w:ind w:left="456"/>
            </w:pPr>
            <w:r>
              <w:rPr>
                <w:spacing w:val="-1"/>
                <w:position w:val="1"/>
              </w:rPr>
              <w:t>++</w:t>
            </w:r>
          </w:p>
        </w:tc>
        <w:tc>
          <w:tcPr>
            <w:tcW w:w="1151" w:type="dxa"/>
            <w:tcBorders>
              <w:right w:val="single" w:color="000000" w:sz="12" w:space="0"/>
            </w:tcBorders>
            <w:vAlign w:val="top"/>
          </w:tcPr>
          <w:p w14:paraId="343405D2">
            <w:pPr>
              <w:rPr>
                <w:rFonts w:ascii="Arial"/>
                <w:sz w:val="21"/>
              </w:rPr>
            </w:pPr>
          </w:p>
        </w:tc>
      </w:tr>
      <w:tr w14:paraId="68B66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02" w:type="dxa"/>
            <w:tcBorders>
              <w:left w:val="single" w:color="000000" w:sz="12" w:space="0"/>
            </w:tcBorders>
            <w:vAlign w:val="top"/>
          </w:tcPr>
          <w:p w14:paraId="2D1AACEF">
            <w:pPr>
              <w:pStyle w:val="6"/>
              <w:spacing w:before="129" w:line="235" w:lineRule="auto"/>
              <w:ind w:left="227"/>
            </w:pPr>
            <w:r>
              <w:rPr>
                <w:spacing w:val="-1"/>
              </w:rPr>
              <w:t>24</w:t>
            </w:r>
          </w:p>
        </w:tc>
        <w:tc>
          <w:tcPr>
            <w:tcW w:w="2794" w:type="dxa"/>
            <w:vAlign w:val="top"/>
          </w:tcPr>
          <w:p w14:paraId="7D58DB90">
            <w:pPr>
              <w:pStyle w:val="6"/>
              <w:spacing w:before="96" w:line="233" w:lineRule="auto"/>
              <w:ind w:left="236"/>
            </w:pPr>
            <w:r>
              <w:rPr>
                <w:rFonts w:ascii="宋体" w:hAnsi="宋体" w:eastAsia="宋体" w:cs="宋体"/>
                <w:spacing w:val="-1"/>
              </w:rPr>
              <w:t>溪蟹</w:t>
            </w:r>
            <w:r>
              <w:rPr>
                <w:rFonts w:ascii="宋体" w:hAnsi="宋体" w:eastAsia="宋体" w:cs="宋体"/>
                <w:spacing w:val="-39"/>
              </w:rPr>
              <w:t xml:space="preserve"> </w:t>
            </w:r>
            <w:r>
              <w:rPr>
                <w:i/>
                <w:iCs/>
                <w:spacing w:val="-1"/>
              </w:rPr>
              <w:t>Potamon denticulatus</w:t>
            </w:r>
          </w:p>
        </w:tc>
        <w:tc>
          <w:tcPr>
            <w:tcW w:w="711" w:type="dxa"/>
            <w:vAlign w:val="top"/>
          </w:tcPr>
          <w:p w14:paraId="38F8E093">
            <w:pPr>
              <w:pStyle w:val="6"/>
              <w:spacing w:before="129" w:line="251" w:lineRule="exact"/>
              <w:ind w:left="292"/>
            </w:pPr>
            <w:r>
              <w:rPr>
                <w:position w:val="1"/>
              </w:rPr>
              <w:t>+</w:t>
            </w:r>
          </w:p>
        </w:tc>
        <w:tc>
          <w:tcPr>
            <w:tcW w:w="639" w:type="dxa"/>
            <w:vAlign w:val="top"/>
          </w:tcPr>
          <w:p w14:paraId="420C2C78">
            <w:pPr>
              <w:pStyle w:val="6"/>
              <w:spacing w:before="129" w:line="251" w:lineRule="exact"/>
              <w:ind w:left="259"/>
            </w:pPr>
            <w:r>
              <w:rPr>
                <w:position w:val="1"/>
              </w:rPr>
              <w:t>+</w:t>
            </w:r>
          </w:p>
        </w:tc>
        <w:tc>
          <w:tcPr>
            <w:tcW w:w="637" w:type="dxa"/>
            <w:vAlign w:val="top"/>
          </w:tcPr>
          <w:p w14:paraId="7AC2A582">
            <w:pPr>
              <w:pStyle w:val="6"/>
              <w:spacing w:before="129" w:line="251" w:lineRule="exact"/>
              <w:ind w:left="202"/>
            </w:pPr>
            <w:r>
              <w:rPr>
                <w:spacing w:val="-1"/>
                <w:position w:val="1"/>
              </w:rPr>
              <w:t>++</w:t>
            </w:r>
          </w:p>
        </w:tc>
        <w:tc>
          <w:tcPr>
            <w:tcW w:w="704" w:type="dxa"/>
            <w:vAlign w:val="top"/>
          </w:tcPr>
          <w:p w14:paraId="61D863FF">
            <w:pPr>
              <w:pStyle w:val="6"/>
              <w:spacing w:before="129" w:line="251" w:lineRule="exact"/>
              <w:ind w:left="238"/>
            </w:pPr>
            <w:r>
              <w:rPr>
                <w:spacing w:val="-1"/>
                <w:position w:val="1"/>
              </w:rPr>
              <w:t>++</w:t>
            </w:r>
          </w:p>
        </w:tc>
        <w:tc>
          <w:tcPr>
            <w:tcW w:w="1135" w:type="dxa"/>
            <w:vAlign w:val="top"/>
          </w:tcPr>
          <w:p w14:paraId="1672EA1D">
            <w:pPr>
              <w:rPr>
                <w:rFonts w:ascii="Arial"/>
                <w:sz w:val="21"/>
              </w:rPr>
            </w:pPr>
          </w:p>
        </w:tc>
        <w:tc>
          <w:tcPr>
            <w:tcW w:w="1151" w:type="dxa"/>
            <w:tcBorders>
              <w:right w:val="single" w:color="000000" w:sz="12" w:space="0"/>
            </w:tcBorders>
            <w:vAlign w:val="top"/>
          </w:tcPr>
          <w:p w14:paraId="7D9BF07F">
            <w:pPr>
              <w:pStyle w:val="6"/>
              <w:spacing w:before="129" w:line="251" w:lineRule="exact"/>
              <w:ind w:left="461"/>
            </w:pPr>
            <w:r>
              <w:rPr>
                <w:spacing w:val="-1"/>
                <w:position w:val="1"/>
              </w:rPr>
              <w:t>++</w:t>
            </w:r>
          </w:p>
        </w:tc>
      </w:tr>
      <w:tr w14:paraId="04D91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02" w:type="dxa"/>
            <w:tcBorders>
              <w:left w:val="single" w:color="000000" w:sz="12" w:space="0"/>
            </w:tcBorders>
            <w:vAlign w:val="top"/>
          </w:tcPr>
          <w:p w14:paraId="08151A6C">
            <w:pPr>
              <w:spacing w:before="95" w:line="224" w:lineRule="auto"/>
              <w:ind w:left="25"/>
              <w:rPr>
                <w:rFonts w:ascii="宋体" w:hAnsi="宋体" w:eastAsia="宋体" w:cs="宋体"/>
                <w:sz w:val="21"/>
                <w:szCs w:val="21"/>
              </w:rPr>
            </w:pPr>
            <w:r>
              <w:rPr>
                <w:rFonts w:ascii="宋体" w:hAnsi="宋体" w:eastAsia="宋体" w:cs="宋体"/>
                <w:b/>
                <w:bCs/>
                <w:spacing w:val="-8"/>
                <w:sz w:val="21"/>
                <w:szCs w:val="21"/>
              </w:rPr>
              <w:t>（六）</w:t>
            </w:r>
          </w:p>
        </w:tc>
        <w:tc>
          <w:tcPr>
            <w:tcW w:w="2794" w:type="dxa"/>
            <w:vAlign w:val="top"/>
          </w:tcPr>
          <w:p w14:paraId="5FFF5397">
            <w:pPr>
              <w:pStyle w:val="6"/>
              <w:spacing w:before="95" w:line="222" w:lineRule="auto"/>
              <w:ind w:left="421"/>
            </w:pPr>
            <w:r>
              <w:rPr>
                <w:rFonts w:ascii="宋体" w:hAnsi="宋体" w:eastAsia="宋体" w:cs="宋体"/>
                <w:b/>
                <w:bCs/>
                <w:spacing w:val="-4"/>
              </w:rPr>
              <w:t>昆虫纲</w:t>
            </w:r>
            <w:r>
              <w:rPr>
                <w:rFonts w:ascii="宋体" w:hAnsi="宋体" w:eastAsia="宋体" w:cs="宋体"/>
                <w:spacing w:val="-43"/>
              </w:rPr>
              <w:t xml:space="preserve"> </w:t>
            </w:r>
            <w:r>
              <w:rPr>
                <w:b/>
                <w:bCs/>
                <w:spacing w:val="-4"/>
              </w:rPr>
              <w:t>CRUSTACEA</w:t>
            </w:r>
          </w:p>
        </w:tc>
        <w:tc>
          <w:tcPr>
            <w:tcW w:w="711" w:type="dxa"/>
            <w:vAlign w:val="top"/>
          </w:tcPr>
          <w:p w14:paraId="3A04D6F6">
            <w:pPr>
              <w:rPr>
                <w:rFonts w:ascii="Arial"/>
                <w:sz w:val="21"/>
              </w:rPr>
            </w:pPr>
          </w:p>
        </w:tc>
        <w:tc>
          <w:tcPr>
            <w:tcW w:w="639" w:type="dxa"/>
            <w:vAlign w:val="top"/>
          </w:tcPr>
          <w:p w14:paraId="7D439496">
            <w:pPr>
              <w:rPr>
                <w:rFonts w:ascii="Arial"/>
                <w:sz w:val="21"/>
              </w:rPr>
            </w:pPr>
          </w:p>
        </w:tc>
        <w:tc>
          <w:tcPr>
            <w:tcW w:w="637" w:type="dxa"/>
            <w:vAlign w:val="top"/>
          </w:tcPr>
          <w:p w14:paraId="46DA84DA">
            <w:pPr>
              <w:rPr>
                <w:rFonts w:ascii="Arial"/>
                <w:sz w:val="21"/>
              </w:rPr>
            </w:pPr>
          </w:p>
        </w:tc>
        <w:tc>
          <w:tcPr>
            <w:tcW w:w="704" w:type="dxa"/>
            <w:vAlign w:val="top"/>
          </w:tcPr>
          <w:p w14:paraId="02020829">
            <w:pPr>
              <w:rPr>
                <w:rFonts w:ascii="Arial"/>
                <w:sz w:val="21"/>
              </w:rPr>
            </w:pPr>
          </w:p>
        </w:tc>
        <w:tc>
          <w:tcPr>
            <w:tcW w:w="1135" w:type="dxa"/>
            <w:vAlign w:val="top"/>
          </w:tcPr>
          <w:p w14:paraId="0CF906B8">
            <w:pPr>
              <w:rPr>
                <w:rFonts w:ascii="Arial"/>
                <w:sz w:val="21"/>
              </w:rPr>
            </w:pPr>
          </w:p>
        </w:tc>
        <w:tc>
          <w:tcPr>
            <w:tcW w:w="1151" w:type="dxa"/>
            <w:tcBorders>
              <w:right w:val="single" w:color="000000" w:sz="12" w:space="0"/>
            </w:tcBorders>
            <w:vAlign w:val="top"/>
          </w:tcPr>
          <w:p w14:paraId="01293EDA">
            <w:pPr>
              <w:rPr>
                <w:rFonts w:ascii="Arial"/>
                <w:sz w:val="21"/>
              </w:rPr>
            </w:pPr>
          </w:p>
        </w:tc>
      </w:tr>
      <w:tr w14:paraId="59BDB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5CF7739F">
            <w:pPr>
              <w:pStyle w:val="6"/>
              <w:spacing w:before="102" w:line="218" w:lineRule="auto"/>
              <w:ind w:left="227"/>
            </w:pPr>
            <w:r>
              <w:rPr>
                <w:spacing w:val="-2"/>
              </w:rPr>
              <w:t>25</w:t>
            </w:r>
          </w:p>
        </w:tc>
        <w:tc>
          <w:tcPr>
            <w:tcW w:w="2794" w:type="dxa"/>
            <w:vAlign w:val="top"/>
          </w:tcPr>
          <w:p w14:paraId="10916FA8">
            <w:pPr>
              <w:pStyle w:val="6"/>
              <w:spacing w:before="68" w:line="213" w:lineRule="auto"/>
              <w:ind w:left="598"/>
            </w:pPr>
            <w:r>
              <w:rPr>
                <w:rFonts w:ascii="宋体" w:hAnsi="宋体" w:eastAsia="宋体" w:cs="宋体"/>
                <w:spacing w:val="-1"/>
              </w:rPr>
              <w:t>小蜉</w:t>
            </w:r>
            <w:r>
              <w:rPr>
                <w:rFonts w:ascii="宋体" w:hAnsi="宋体" w:eastAsia="宋体" w:cs="宋体"/>
                <w:spacing w:val="-52"/>
              </w:rPr>
              <w:t xml:space="preserve"> </w:t>
            </w:r>
            <w:r>
              <w:rPr>
                <w:i/>
                <w:iCs/>
                <w:spacing w:val="-1"/>
              </w:rPr>
              <w:t>Ephem erella</w:t>
            </w:r>
          </w:p>
        </w:tc>
        <w:tc>
          <w:tcPr>
            <w:tcW w:w="711" w:type="dxa"/>
            <w:vAlign w:val="top"/>
          </w:tcPr>
          <w:p w14:paraId="266662DF">
            <w:pPr>
              <w:rPr>
                <w:rFonts w:ascii="Arial"/>
                <w:sz w:val="21"/>
              </w:rPr>
            </w:pPr>
          </w:p>
        </w:tc>
        <w:tc>
          <w:tcPr>
            <w:tcW w:w="639" w:type="dxa"/>
            <w:vAlign w:val="top"/>
          </w:tcPr>
          <w:p w14:paraId="55EB83DB">
            <w:pPr>
              <w:pStyle w:val="6"/>
              <w:spacing w:before="102" w:line="218" w:lineRule="auto"/>
              <w:ind w:left="200"/>
            </w:pPr>
            <w:r>
              <w:rPr>
                <w:spacing w:val="-1"/>
              </w:rPr>
              <w:t>++</w:t>
            </w:r>
          </w:p>
        </w:tc>
        <w:tc>
          <w:tcPr>
            <w:tcW w:w="637" w:type="dxa"/>
            <w:vAlign w:val="top"/>
          </w:tcPr>
          <w:p w14:paraId="79C9A1B6">
            <w:pPr>
              <w:pStyle w:val="6"/>
              <w:spacing w:before="102" w:line="218" w:lineRule="auto"/>
              <w:ind w:left="260"/>
            </w:pPr>
            <w:r>
              <w:t>+</w:t>
            </w:r>
          </w:p>
        </w:tc>
        <w:tc>
          <w:tcPr>
            <w:tcW w:w="704" w:type="dxa"/>
            <w:vAlign w:val="top"/>
          </w:tcPr>
          <w:p w14:paraId="675A6AA1">
            <w:pPr>
              <w:pStyle w:val="6"/>
              <w:spacing w:before="102" w:line="218" w:lineRule="auto"/>
              <w:ind w:left="238"/>
            </w:pPr>
            <w:r>
              <w:rPr>
                <w:spacing w:val="-1"/>
              </w:rPr>
              <w:t>++</w:t>
            </w:r>
          </w:p>
        </w:tc>
        <w:tc>
          <w:tcPr>
            <w:tcW w:w="1135" w:type="dxa"/>
            <w:vAlign w:val="top"/>
          </w:tcPr>
          <w:p w14:paraId="65963766">
            <w:pPr>
              <w:rPr>
                <w:rFonts w:ascii="Arial"/>
                <w:sz w:val="21"/>
              </w:rPr>
            </w:pPr>
          </w:p>
        </w:tc>
        <w:tc>
          <w:tcPr>
            <w:tcW w:w="1151" w:type="dxa"/>
            <w:tcBorders>
              <w:right w:val="single" w:color="000000" w:sz="12" w:space="0"/>
            </w:tcBorders>
            <w:vAlign w:val="top"/>
          </w:tcPr>
          <w:p w14:paraId="255ED8BC">
            <w:pPr>
              <w:pStyle w:val="6"/>
              <w:spacing w:before="102" w:line="218" w:lineRule="auto"/>
              <w:ind w:left="520"/>
            </w:pPr>
            <w:r>
              <w:t>+</w:t>
            </w:r>
          </w:p>
        </w:tc>
      </w:tr>
      <w:tr w14:paraId="23B1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7C366948">
            <w:pPr>
              <w:pStyle w:val="6"/>
              <w:spacing w:before="103" w:line="217" w:lineRule="auto"/>
              <w:ind w:left="227"/>
            </w:pPr>
            <w:r>
              <w:rPr>
                <w:spacing w:val="-1"/>
              </w:rPr>
              <w:t>26</w:t>
            </w:r>
          </w:p>
        </w:tc>
        <w:tc>
          <w:tcPr>
            <w:tcW w:w="2794" w:type="dxa"/>
            <w:vAlign w:val="top"/>
          </w:tcPr>
          <w:p w14:paraId="7887AC5C">
            <w:pPr>
              <w:pStyle w:val="6"/>
              <w:spacing w:before="69" w:line="213" w:lineRule="auto"/>
              <w:ind w:left="718"/>
            </w:pPr>
            <w:r>
              <w:rPr>
                <w:rFonts w:ascii="宋体" w:hAnsi="宋体" w:eastAsia="宋体" w:cs="宋体"/>
                <w:spacing w:val="-4"/>
              </w:rPr>
              <w:t>细蜉</w:t>
            </w:r>
            <w:r>
              <w:rPr>
                <w:rFonts w:ascii="宋体" w:hAnsi="宋体" w:eastAsia="宋体" w:cs="宋体"/>
                <w:spacing w:val="-30"/>
              </w:rPr>
              <w:t xml:space="preserve"> </w:t>
            </w:r>
            <w:r>
              <w:rPr>
                <w:i/>
                <w:iCs/>
                <w:spacing w:val="-4"/>
              </w:rPr>
              <w:t>Caenis</w:t>
            </w:r>
            <w:r>
              <w:rPr>
                <w:i/>
                <w:iCs/>
                <w:spacing w:val="11"/>
              </w:rPr>
              <w:t xml:space="preserve"> </w:t>
            </w:r>
            <w:r>
              <w:rPr>
                <w:spacing w:val="-4"/>
              </w:rPr>
              <w:t>sp.</w:t>
            </w:r>
          </w:p>
        </w:tc>
        <w:tc>
          <w:tcPr>
            <w:tcW w:w="711" w:type="dxa"/>
            <w:vAlign w:val="top"/>
          </w:tcPr>
          <w:p w14:paraId="69DD04E9">
            <w:pPr>
              <w:pStyle w:val="6"/>
              <w:spacing w:before="103" w:line="217" w:lineRule="auto"/>
              <w:ind w:left="292"/>
            </w:pPr>
            <w:r>
              <w:t>+</w:t>
            </w:r>
          </w:p>
        </w:tc>
        <w:tc>
          <w:tcPr>
            <w:tcW w:w="639" w:type="dxa"/>
            <w:vAlign w:val="top"/>
          </w:tcPr>
          <w:p w14:paraId="72E60B45">
            <w:pPr>
              <w:pStyle w:val="6"/>
              <w:spacing w:before="103" w:line="217" w:lineRule="auto"/>
              <w:ind w:left="259"/>
            </w:pPr>
            <w:r>
              <w:t>+</w:t>
            </w:r>
          </w:p>
        </w:tc>
        <w:tc>
          <w:tcPr>
            <w:tcW w:w="637" w:type="dxa"/>
            <w:vAlign w:val="top"/>
          </w:tcPr>
          <w:p w14:paraId="3692FC66">
            <w:pPr>
              <w:pStyle w:val="6"/>
              <w:spacing w:before="103" w:line="217" w:lineRule="auto"/>
              <w:ind w:left="260"/>
            </w:pPr>
            <w:r>
              <w:t>+</w:t>
            </w:r>
          </w:p>
        </w:tc>
        <w:tc>
          <w:tcPr>
            <w:tcW w:w="704" w:type="dxa"/>
            <w:vAlign w:val="top"/>
          </w:tcPr>
          <w:p w14:paraId="6BF4211F">
            <w:pPr>
              <w:pStyle w:val="6"/>
              <w:spacing w:before="103" w:line="217" w:lineRule="auto"/>
              <w:ind w:left="297"/>
            </w:pPr>
            <w:r>
              <w:t>+</w:t>
            </w:r>
          </w:p>
        </w:tc>
        <w:tc>
          <w:tcPr>
            <w:tcW w:w="1135" w:type="dxa"/>
            <w:vAlign w:val="top"/>
          </w:tcPr>
          <w:p w14:paraId="6F48502F">
            <w:pPr>
              <w:rPr>
                <w:rFonts w:ascii="Arial"/>
                <w:sz w:val="21"/>
              </w:rPr>
            </w:pPr>
          </w:p>
        </w:tc>
        <w:tc>
          <w:tcPr>
            <w:tcW w:w="1151" w:type="dxa"/>
            <w:tcBorders>
              <w:right w:val="single" w:color="000000" w:sz="12" w:space="0"/>
            </w:tcBorders>
            <w:vAlign w:val="top"/>
          </w:tcPr>
          <w:p w14:paraId="0D9074A2">
            <w:pPr>
              <w:rPr>
                <w:rFonts w:ascii="Arial"/>
                <w:sz w:val="21"/>
              </w:rPr>
            </w:pPr>
          </w:p>
        </w:tc>
      </w:tr>
      <w:tr w14:paraId="66923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03063E17">
            <w:pPr>
              <w:pStyle w:val="6"/>
              <w:spacing w:before="104" w:line="216" w:lineRule="auto"/>
              <w:ind w:left="227"/>
            </w:pPr>
            <w:r>
              <w:rPr>
                <w:spacing w:val="-1"/>
              </w:rPr>
              <w:t>27</w:t>
            </w:r>
          </w:p>
        </w:tc>
        <w:tc>
          <w:tcPr>
            <w:tcW w:w="2794" w:type="dxa"/>
            <w:vAlign w:val="top"/>
          </w:tcPr>
          <w:p w14:paraId="0EEAFC1C">
            <w:pPr>
              <w:pStyle w:val="6"/>
              <w:spacing w:before="70" w:line="213" w:lineRule="auto"/>
              <w:ind w:left="345"/>
            </w:pPr>
            <w:r>
              <w:rPr>
                <w:rFonts w:ascii="宋体" w:hAnsi="宋体" w:eastAsia="宋体" w:cs="宋体"/>
                <w:spacing w:val="-2"/>
              </w:rPr>
              <w:t>二翼蜉</w:t>
            </w:r>
            <w:r>
              <w:rPr>
                <w:rFonts w:ascii="宋体" w:hAnsi="宋体" w:eastAsia="宋体" w:cs="宋体"/>
                <w:spacing w:val="-29"/>
              </w:rPr>
              <w:t xml:space="preserve"> </w:t>
            </w:r>
            <w:r>
              <w:rPr>
                <w:i/>
                <w:iCs/>
                <w:spacing w:val="-2"/>
              </w:rPr>
              <w:t>Cloeon dipterum</w:t>
            </w:r>
          </w:p>
        </w:tc>
        <w:tc>
          <w:tcPr>
            <w:tcW w:w="711" w:type="dxa"/>
            <w:vAlign w:val="top"/>
          </w:tcPr>
          <w:p w14:paraId="28823ED1">
            <w:pPr>
              <w:rPr>
                <w:rFonts w:ascii="Arial"/>
                <w:sz w:val="21"/>
              </w:rPr>
            </w:pPr>
          </w:p>
        </w:tc>
        <w:tc>
          <w:tcPr>
            <w:tcW w:w="639" w:type="dxa"/>
            <w:vAlign w:val="top"/>
          </w:tcPr>
          <w:p w14:paraId="2E888795">
            <w:pPr>
              <w:pStyle w:val="6"/>
              <w:spacing w:before="104" w:line="216" w:lineRule="auto"/>
              <w:ind w:left="259"/>
            </w:pPr>
            <w:r>
              <w:t>+</w:t>
            </w:r>
          </w:p>
        </w:tc>
        <w:tc>
          <w:tcPr>
            <w:tcW w:w="637" w:type="dxa"/>
            <w:vAlign w:val="top"/>
          </w:tcPr>
          <w:p w14:paraId="075F1D3A">
            <w:pPr>
              <w:pStyle w:val="6"/>
              <w:spacing w:before="104" w:line="216" w:lineRule="auto"/>
              <w:ind w:left="202"/>
            </w:pPr>
            <w:r>
              <w:rPr>
                <w:spacing w:val="-1"/>
              </w:rPr>
              <w:t>++</w:t>
            </w:r>
          </w:p>
        </w:tc>
        <w:tc>
          <w:tcPr>
            <w:tcW w:w="704" w:type="dxa"/>
            <w:vAlign w:val="top"/>
          </w:tcPr>
          <w:p w14:paraId="56009F82">
            <w:pPr>
              <w:pStyle w:val="6"/>
              <w:spacing w:before="104" w:line="216" w:lineRule="auto"/>
              <w:ind w:left="297"/>
            </w:pPr>
            <w:r>
              <w:t>+</w:t>
            </w:r>
          </w:p>
        </w:tc>
        <w:tc>
          <w:tcPr>
            <w:tcW w:w="1135" w:type="dxa"/>
            <w:vAlign w:val="top"/>
          </w:tcPr>
          <w:p w14:paraId="0254DBFC">
            <w:pPr>
              <w:pStyle w:val="6"/>
              <w:spacing w:before="104" w:line="216" w:lineRule="auto"/>
              <w:ind w:left="515"/>
            </w:pPr>
            <w:r>
              <w:t>+</w:t>
            </w:r>
          </w:p>
        </w:tc>
        <w:tc>
          <w:tcPr>
            <w:tcW w:w="1151" w:type="dxa"/>
            <w:tcBorders>
              <w:right w:val="single" w:color="000000" w:sz="12" w:space="0"/>
            </w:tcBorders>
            <w:vAlign w:val="top"/>
          </w:tcPr>
          <w:p w14:paraId="46AC04DB">
            <w:pPr>
              <w:rPr>
                <w:rFonts w:ascii="Arial"/>
                <w:sz w:val="21"/>
              </w:rPr>
            </w:pPr>
          </w:p>
        </w:tc>
      </w:tr>
      <w:tr w14:paraId="46455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6E2A2C56">
            <w:pPr>
              <w:pStyle w:val="6"/>
              <w:spacing w:before="227" w:line="232" w:lineRule="auto"/>
              <w:ind w:left="227"/>
            </w:pPr>
            <w:r>
              <w:rPr>
                <w:spacing w:val="-1"/>
              </w:rPr>
              <w:t>28</w:t>
            </w:r>
          </w:p>
        </w:tc>
        <w:tc>
          <w:tcPr>
            <w:tcW w:w="2794" w:type="dxa"/>
            <w:vAlign w:val="top"/>
          </w:tcPr>
          <w:p w14:paraId="1969EB21">
            <w:pPr>
              <w:pStyle w:val="6"/>
              <w:spacing w:before="73" w:line="229" w:lineRule="auto"/>
              <w:ind w:left="932" w:right="212" w:hanging="728"/>
            </w:pPr>
            <w:r>
              <w:rPr>
                <w:rFonts w:ascii="宋体" w:hAnsi="宋体" w:eastAsia="宋体" w:cs="宋体"/>
                <w:spacing w:val="-1"/>
              </w:rPr>
              <w:t>梯形多足摇蚊</w:t>
            </w:r>
            <w:r>
              <w:rPr>
                <w:rFonts w:ascii="宋体" w:hAnsi="宋体" w:eastAsia="宋体" w:cs="宋体"/>
                <w:spacing w:val="-44"/>
              </w:rPr>
              <w:t xml:space="preserve"> </w:t>
            </w:r>
            <w:r>
              <w:rPr>
                <w:i/>
                <w:iCs/>
                <w:spacing w:val="-1"/>
              </w:rPr>
              <w:t>Polypedilum</w:t>
            </w:r>
            <w:r>
              <w:rPr>
                <w:i/>
                <w:iCs/>
              </w:rPr>
              <w:t xml:space="preserve"> scalaenum</w:t>
            </w:r>
          </w:p>
        </w:tc>
        <w:tc>
          <w:tcPr>
            <w:tcW w:w="711" w:type="dxa"/>
            <w:vAlign w:val="top"/>
          </w:tcPr>
          <w:p w14:paraId="23B0A9AD">
            <w:pPr>
              <w:pStyle w:val="6"/>
              <w:spacing w:before="227" w:line="251" w:lineRule="exact"/>
              <w:ind w:left="233"/>
            </w:pPr>
            <w:r>
              <w:rPr>
                <w:spacing w:val="-1"/>
                <w:position w:val="1"/>
              </w:rPr>
              <w:t>++</w:t>
            </w:r>
          </w:p>
        </w:tc>
        <w:tc>
          <w:tcPr>
            <w:tcW w:w="639" w:type="dxa"/>
            <w:vAlign w:val="top"/>
          </w:tcPr>
          <w:p w14:paraId="3264F07B">
            <w:pPr>
              <w:pStyle w:val="6"/>
              <w:spacing w:before="227" w:line="251" w:lineRule="exact"/>
              <w:ind w:left="200"/>
            </w:pPr>
            <w:r>
              <w:rPr>
                <w:spacing w:val="-1"/>
                <w:position w:val="1"/>
              </w:rPr>
              <w:t>++</w:t>
            </w:r>
          </w:p>
        </w:tc>
        <w:tc>
          <w:tcPr>
            <w:tcW w:w="637" w:type="dxa"/>
            <w:vAlign w:val="top"/>
          </w:tcPr>
          <w:p w14:paraId="687E07CD">
            <w:pPr>
              <w:pStyle w:val="6"/>
              <w:spacing w:before="227" w:line="251" w:lineRule="exact"/>
              <w:ind w:left="202"/>
            </w:pPr>
            <w:r>
              <w:rPr>
                <w:spacing w:val="-1"/>
                <w:position w:val="1"/>
              </w:rPr>
              <w:t>++</w:t>
            </w:r>
          </w:p>
        </w:tc>
        <w:tc>
          <w:tcPr>
            <w:tcW w:w="704" w:type="dxa"/>
            <w:vAlign w:val="top"/>
          </w:tcPr>
          <w:p w14:paraId="3439EA56">
            <w:pPr>
              <w:pStyle w:val="6"/>
              <w:spacing w:before="227" w:line="251" w:lineRule="exact"/>
              <w:ind w:left="238"/>
            </w:pPr>
            <w:r>
              <w:rPr>
                <w:spacing w:val="-1"/>
                <w:position w:val="1"/>
              </w:rPr>
              <w:t>++</w:t>
            </w:r>
          </w:p>
        </w:tc>
        <w:tc>
          <w:tcPr>
            <w:tcW w:w="1135" w:type="dxa"/>
            <w:vAlign w:val="top"/>
          </w:tcPr>
          <w:p w14:paraId="3CA07E33">
            <w:pPr>
              <w:pStyle w:val="6"/>
              <w:spacing w:before="227" w:line="251" w:lineRule="exact"/>
              <w:ind w:left="515"/>
            </w:pPr>
            <w:r>
              <w:rPr>
                <w:position w:val="1"/>
              </w:rPr>
              <w:t>+</w:t>
            </w:r>
          </w:p>
        </w:tc>
        <w:tc>
          <w:tcPr>
            <w:tcW w:w="1151" w:type="dxa"/>
            <w:tcBorders>
              <w:right w:val="single" w:color="000000" w:sz="12" w:space="0"/>
            </w:tcBorders>
            <w:vAlign w:val="top"/>
          </w:tcPr>
          <w:p w14:paraId="30C06362">
            <w:pPr>
              <w:rPr>
                <w:rFonts w:ascii="Arial"/>
                <w:sz w:val="21"/>
              </w:rPr>
            </w:pPr>
          </w:p>
        </w:tc>
      </w:tr>
      <w:tr w14:paraId="0CC9A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02" w:type="dxa"/>
            <w:tcBorders>
              <w:left w:val="single" w:color="000000" w:sz="12" w:space="0"/>
            </w:tcBorders>
            <w:vAlign w:val="top"/>
          </w:tcPr>
          <w:p w14:paraId="620315CE">
            <w:pPr>
              <w:pStyle w:val="6"/>
              <w:spacing w:before="228" w:line="232" w:lineRule="auto"/>
              <w:ind w:left="227"/>
            </w:pPr>
            <w:r>
              <w:rPr>
                <w:spacing w:val="-1"/>
              </w:rPr>
              <w:t>29</w:t>
            </w:r>
          </w:p>
        </w:tc>
        <w:tc>
          <w:tcPr>
            <w:tcW w:w="2794" w:type="dxa"/>
            <w:vAlign w:val="top"/>
          </w:tcPr>
          <w:p w14:paraId="07FB32CF">
            <w:pPr>
              <w:pStyle w:val="6"/>
              <w:spacing w:before="74" w:line="212" w:lineRule="auto"/>
              <w:ind w:left="203"/>
            </w:pPr>
            <w:r>
              <w:rPr>
                <w:rFonts w:ascii="宋体" w:hAnsi="宋体" w:eastAsia="宋体" w:cs="宋体"/>
                <w:spacing w:val="-1"/>
              </w:rPr>
              <w:t>费塔无突摇蚊</w:t>
            </w:r>
            <w:r>
              <w:rPr>
                <w:rFonts w:ascii="宋体" w:hAnsi="宋体" w:eastAsia="宋体" w:cs="宋体"/>
                <w:spacing w:val="-57"/>
              </w:rPr>
              <w:t xml:space="preserve"> </w:t>
            </w:r>
            <w:r>
              <w:rPr>
                <w:i/>
                <w:iCs/>
                <w:spacing w:val="-1"/>
              </w:rPr>
              <w:t>Ablabesmyia</w:t>
            </w:r>
          </w:p>
          <w:p w14:paraId="4C3D523C">
            <w:pPr>
              <w:pStyle w:val="6"/>
              <w:spacing w:before="49" w:line="190" w:lineRule="auto"/>
              <w:ind w:left="1092"/>
            </w:pPr>
            <w:r>
              <w:rPr>
                <w:i/>
                <w:iCs/>
                <w:spacing w:val="4"/>
              </w:rPr>
              <w:t>phatta</w:t>
            </w:r>
          </w:p>
        </w:tc>
        <w:tc>
          <w:tcPr>
            <w:tcW w:w="711" w:type="dxa"/>
            <w:vAlign w:val="top"/>
          </w:tcPr>
          <w:p w14:paraId="747AE315">
            <w:pPr>
              <w:pStyle w:val="6"/>
              <w:spacing w:before="228" w:line="250" w:lineRule="exact"/>
              <w:ind w:left="174"/>
            </w:pPr>
            <w:r>
              <w:rPr>
                <w:spacing w:val="-1"/>
                <w:position w:val="1"/>
              </w:rPr>
              <w:t>+++</w:t>
            </w:r>
          </w:p>
        </w:tc>
        <w:tc>
          <w:tcPr>
            <w:tcW w:w="639" w:type="dxa"/>
            <w:vAlign w:val="top"/>
          </w:tcPr>
          <w:p w14:paraId="4D2C5FB7">
            <w:pPr>
              <w:pStyle w:val="6"/>
              <w:spacing w:before="228" w:line="250" w:lineRule="exact"/>
              <w:ind w:left="259"/>
            </w:pPr>
            <w:r>
              <w:rPr>
                <w:position w:val="1"/>
              </w:rPr>
              <w:t>+</w:t>
            </w:r>
          </w:p>
        </w:tc>
        <w:tc>
          <w:tcPr>
            <w:tcW w:w="637" w:type="dxa"/>
            <w:vAlign w:val="top"/>
          </w:tcPr>
          <w:p w14:paraId="21B9357C">
            <w:pPr>
              <w:rPr>
                <w:rFonts w:ascii="Arial"/>
                <w:sz w:val="21"/>
              </w:rPr>
            </w:pPr>
          </w:p>
        </w:tc>
        <w:tc>
          <w:tcPr>
            <w:tcW w:w="704" w:type="dxa"/>
            <w:vAlign w:val="top"/>
          </w:tcPr>
          <w:p w14:paraId="396E6D99">
            <w:pPr>
              <w:pStyle w:val="6"/>
              <w:spacing w:before="228" w:line="250" w:lineRule="exact"/>
              <w:ind w:left="297"/>
            </w:pPr>
            <w:r>
              <w:rPr>
                <w:position w:val="1"/>
              </w:rPr>
              <w:t>+</w:t>
            </w:r>
          </w:p>
        </w:tc>
        <w:tc>
          <w:tcPr>
            <w:tcW w:w="1135" w:type="dxa"/>
            <w:vAlign w:val="top"/>
          </w:tcPr>
          <w:p w14:paraId="0BFF3C8A">
            <w:pPr>
              <w:pStyle w:val="6"/>
              <w:spacing w:before="228" w:line="250" w:lineRule="exact"/>
              <w:ind w:left="515"/>
            </w:pPr>
            <w:r>
              <w:rPr>
                <w:position w:val="1"/>
              </w:rPr>
              <w:t>+</w:t>
            </w:r>
          </w:p>
        </w:tc>
        <w:tc>
          <w:tcPr>
            <w:tcW w:w="1151" w:type="dxa"/>
            <w:tcBorders>
              <w:right w:val="single" w:color="000000" w:sz="12" w:space="0"/>
            </w:tcBorders>
            <w:vAlign w:val="top"/>
          </w:tcPr>
          <w:p w14:paraId="6DBA92C0">
            <w:pPr>
              <w:pStyle w:val="6"/>
              <w:spacing w:before="228" w:line="250" w:lineRule="exact"/>
              <w:ind w:left="461"/>
            </w:pPr>
            <w:r>
              <w:rPr>
                <w:spacing w:val="-1"/>
                <w:position w:val="1"/>
              </w:rPr>
              <w:t>++</w:t>
            </w:r>
          </w:p>
        </w:tc>
      </w:tr>
      <w:tr w14:paraId="37B2D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7BC7CF48">
            <w:pPr>
              <w:pStyle w:val="6"/>
              <w:spacing w:before="229" w:line="232" w:lineRule="auto"/>
              <w:ind w:left="231"/>
            </w:pPr>
            <w:r>
              <w:rPr>
                <w:spacing w:val="-3"/>
              </w:rPr>
              <w:t>30</w:t>
            </w:r>
          </w:p>
        </w:tc>
        <w:tc>
          <w:tcPr>
            <w:tcW w:w="2794" w:type="dxa"/>
            <w:vAlign w:val="top"/>
          </w:tcPr>
          <w:p w14:paraId="73814304">
            <w:pPr>
              <w:spacing w:before="75" w:line="220" w:lineRule="auto"/>
              <w:ind w:left="659"/>
              <w:rPr>
                <w:rFonts w:ascii="宋体" w:hAnsi="宋体" w:eastAsia="宋体" w:cs="宋体"/>
                <w:sz w:val="21"/>
                <w:szCs w:val="21"/>
              </w:rPr>
            </w:pPr>
            <w:r>
              <w:rPr>
                <w:rFonts w:ascii="宋体" w:hAnsi="宋体" w:eastAsia="宋体" w:cs="宋体"/>
                <w:spacing w:val="-2"/>
                <w:sz w:val="21"/>
                <w:szCs w:val="21"/>
              </w:rPr>
              <w:t>半绿同直突摇蚊</w:t>
            </w:r>
          </w:p>
          <w:p w14:paraId="56C53394">
            <w:pPr>
              <w:pStyle w:val="6"/>
              <w:spacing w:before="40" w:line="190" w:lineRule="auto"/>
              <w:ind w:left="227"/>
            </w:pPr>
            <w:r>
              <w:rPr>
                <w:i/>
                <w:iCs/>
              </w:rPr>
              <w:t>Synorthocladius semivir</w:t>
            </w:r>
            <w:r>
              <w:rPr>
                <w:i/>
                <w:iCs/>
                <w:spacing w:val="-1"/>
              </w:rPr>
              <w:t>ens</w:t>
            </w:r>
          </w:p>
        </w:tc>
        <w:tc>
          <w:tcPr>
            <w:tcW w:w="711" w:type="dxa"/>
            <w:vAlign w:val="top"/>
          </w:tcPr>
          <w:p w14:paraId="3ACE8965">
            <w:pPr>
              <w:pStyle w:val="6"/>
              <w:spacing w:before="229" w:line="251" w:lineRule="exact"/>
              <w:ind w:left="292"/>
            </w:pPr>
            <w:r>
              <w:rPr>
                <w:position w:val="1"/>
              </w:rPr>
              <w:t>+</w:t>
            </w:r>
          </w:p>
        </w:tc>
        <w:tc>
          <w:tcPr>
            <w:tcW w:w="639" w:type="dxa"/>
            <w:vAlign w:val="top"/>
          </w:tcPr>
          <w:p w14:paraId="3C194914">
            <w:pPr>
              <w:pStyle w:val="6"/>
              <w:spacing w:before="229" w:line="251" w:lineRule="exact"/>
              <w:ind w:left="200"/>
            </w:pPr>
            <w:r>
              <w:rPr>
                <w:spacing w:val="-1"/>
                <w:position w:val="1"/>
              </w:rPr>
              <w:t>++</w:t>
            </w:r>
          </w:p>
        </w:tc>
        <w:tc>
          <w:tcPr>
            <w:tcW w:w="637" w:type="dxa"/>
            <w:vAlign w:val="top"/>
          </w:tcPr>
          <w:p w14:paraId="321AB09C">
            <w:pPr>
              <w:pStyle w:val="6"/>
              <w:spacing w:before="229" w:line="251" w:lineRule="exact"/>
              <w:ind w:left="260"/>
            </w:pPr>
            <w:r>
              <w:rPr>
                <w:position w:val="1"/>
              </w:rPr>
              <w:t>+</w:t>
            </w:r>
          </w:p>
        </w:tc>
        <w:tc>
          <w:tcPr>
            <w:tcW w:w="704" w:type="dxa"/>
            <w:vAlign w:val="top"/>
          </w:tcPr>
          <w:p w14:paraId="454917B6">
            <w:pPr>
              <w:pStyle w:val="6"/>
              <w:spacing w:before="229" w:line="251" w:lineRule="exact"/>
              <w:ind w:left="238"/>
            </w:pPr>
            <w:r>
              <w:rPr>
                <w:spacing w:val="-1"/>
                <w:position w:val="1"/>
              </w:rPr>
              <w:t>++</w:t>
            </w:r>
          </w:p>
        </w:tc>
        <w:tc>
          <w:tcPr>
            <w:tcW w:w="1135" w:type="dxa"/>
            <w:vAlign w:val="top"/>
          </w:tcPr>
          <w:p w14:paraId="2C6F8BF2">
            <w:pPr>
              <w:rPr>
                <w:rFonts w:ascii="Arial"/>
                <w:sz w:val="21"/>
              </w:rPr>
            </w:pPr>
          </w:p>
        </w:tc>
        <w:tc>
          <w:tcPr>
            <w:tcW w:w="1151" w:type="dxa"/>
            <w:tcBorders>
              <w:right w:val="single" w:color="000000" w:sz="12" w:space="0"/>
            </w:tcBorders>
            <w:vAlign w:val="top"/>
          </w:tcPr>
          <w:p w14:paraId="1C05A61D">
            <w:pPr>
              <w:pStyle w:val="6"/>
              <w:spacing w:before="229" w:line="251" w:lineRule="exact"/>
              <w:ind w:left="520"/>
            </w:pPr>
            <w:r>
              <w:rPr>
                <w:position w:val="1"/>
              </w:rPr>
              <w:t>+</w:t>
            </w:r>
          </w:p>
        </w:tc>
      </w:tr>
      <w:tr w14:paraId="6BC1F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4E19FA17">
            <w:pPr>
              <w:pStyle w:val="6"/>
              <w:spacing w:before="109" w:line="211" w:lineRule="auto"/>
              <w:ind w:left="231"/>
            </w:pPr>
            <w:r>
              <w:rPr>
                <w:spacing w:val="-3"/>
              </w:rPr>
              <w:t>31</w:t>
            </w:r>
          </w:p>
        </w:tc>
        <w:tc>
          <w:tcPr>
            <w:tcW w:w="2794" w:type="dxa"/>
            <w:vAlign w:val="top"/>
          </w:tcPr>
          <w:p w14:paraId="6C17402E">
            <w:pPr>
              <w:pStyle w:val="6"/>
              <w:spacing w:before="76" w:line="212" w:lineRule="auto"/>
              <w:ind w:left="667"/>
            </w:pPr>
            <w:r>
              <w:rPr>
                <w:rFonts w:ascii="宋体" w:hAnsi="宋体" w:eastAsia="宋体" w:cs="宋体"/>
                <w:spacing w:val="-1"/>
              </w:rPr>
              <w:t>扁蜉</w:t>
            </w:r>
            <w:r>
              <w:rPr>
                <w:rFonts w:ascii="宋体" w:hAnsi="宋体" w:eastAsia="宋体" w:cs="宋体"/>
                <w:spacing w:val="-51"/>
              </w:rPr>
              <w:t xml:space="preserve"> </w:t>
            </w:r>
            <w:r>
              <w:rPr>
                <w:i/>
                <w:iCs/>
                <w:spacing w:val="-1"/>
              </w:rPr>
              <w:t xml:space="preserve">Ecdyrus </w:t>
            </w:r>
            <w:r>
              <w:rPr>
                <w:spacing w:val="-1"/>
              </w:rPr>
              <w:t>sp.</w:t>
            </w:r>
          </w:p>
        </w:tc>
        <w:tc>
          <w:tcPr>
            <w:tcW w:w="711" w:type="dxa"/>
            <w:vAlign w:val="top"/>
          </w:tcPr>
          <w:p w14:paraId="35E38A53">
            <w:pPr>
              <w:pStyle w:val="6"/>
              <w:spacing w:before="109" w:line="211" w:lineRule="auto"/>
              <w:ind w:left="292"/>
            </w:pPr>
            <w:r>
              <w:t>+</w:t>
            </w:r>
          </w:p>
        </w:tc>
        <w:tc>
          <w:tcPr>
            <w:tcW w:w="639" w:type="dxa"/>
            <w:vAlign w:val="top"/>
          </w:tcPr>
          <w:p w14:paraId="58A25BCF">
            <w:pPr>
              <w:pStyle w:val="6"/>
              <w:spacing w:before="109" w:line="211" w:lineRule="auto"/>
              <w:ind w:left="200"/>
            </w:pPr>
            <w:r>
              <w:rPr>
                <w:spacing w:val="-1"/>
              </w:rPr>
              <w:t>++</w:t>
            </w:r>
          </w:p>
        </w:tc>
        <w:tc>
          <w:tcPr>
            <w:tcW w:w="637" w:type="dxa"/>
            <w:vAlign w:val="top"/>
          </w:tcPr>
          <w:p w14:paraId="26CC3C79">
            <w:pPr>
              <w:rPr>
                <w:rFonts w:ascii="Arial"/>
                <w:sz w:val="21"/>
              </w:rPr>
            </w:pPr>
          </w:p>
        </w:tc>
        <w:tc>
          <w:tcPr>
            <w:tcW w:w="704" w:type="dxa"/>
            <w:vAlign w:val="top"/>
          </w:tcPr>
          <w:p w14:paraId="3E23E8D7">
            <w:pPr>
              <w:pStyle w:val="6"/>
              <w:spacing w:before="109" w:line="211" w:lineRule="auto"/>
              <w:ind w:left="178"/>
            </w:pPr>
            <w:r>
              <w:rPr>
                <w:spacing w:val="-2"/>
              </w:rPr>
              <w:t>+++</w:t>
            </w:r>
          </w:p>
        </w:tc>
        <w:tc>
          <w:tcPr>
            <w:tcW w:w="1135" w:type="dxa"/>
            <w:vAlign w:val="top"/>
          </w:tcPr>
          <w:p w14:paraId="4176949C">
            <w:pPr>
              <w:pStyle w:val="6"/>
              <w:spacing w:before="109" w:line="211" w:lineRule="auto"/>
              <w:ind w:left="515"/>
            </w:pPr>
            <w:r>
              <w:t>+</w:t>
            </w:r>
          </w:p>
        </w:tc>
        <w:tc>
          <w:tcPr>
            <w:tcW w:w="1151" w:type="dxa"/>
            <w:tcBorders>
              <w:right w:val="single" w:color="000000" w:sz="12" w:space="0"/>
            </w:tcBorders>
            <w:vAlign w:val="top"/>
          </w:tcPr>
          <w:p w14:paraId="3AA89CF5">
            <w:pPr>
              <w:rPr>
                <w:rFonts w:ascii="Arial"/>
                <w:sz w:val="21"/>
              </w:rPr>
            </w:pPr>
          </w:p>
        </w:tc>
      </w:tr>
      <w:tr w14:paraId="5FC7A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3D9C435D">
            <w:pPr>
              <w:pStyle w:val="6"/>
              <w:spacing w:before="110" w:line="210" w:lineRule="auto"/>
              <w:ind w:left="231"/>
            </w:pPr>
            <w:r>
              <w:rPr>
                <w:spacing w:val="-3"/>
              </w:rPr>
              <w:t>32</w:t>
            </w:r>
          </w:p>
        </w:tc>
        <w:tc>
          <w:tcPr>
            <w:tcW w:w="2794" w:type="dxa"/>
            <w:vAlign w:val="top"/>
          </w:tcPr>
          <w:p w14:paraId="532C0BB2">
            <w:pPr>
              <w:pStyle w:val="6"/>
              <w:spacing w:before="76" w:line="213" w:lineRule="auto"/>
              <w:ind w:left="97"/>
            </w:pPr>
            <w:r>
              <w:rPr>
                <w:rFonts w:ascii="宋体" w:hAnsi="宋体" w:eastAsia="宋体" w:cs="宋体"/>
                <w:spacing w:val="-1"/>
              </w:rPr>
              <w:t>小划蝽</w:t>
            </w:r>
            <w:r>
              <w:rPr>
                <w:rFonts w:ascii="宋体" w:hAnsi="宋体" w:eastAsia="宋体" w:cs="宋体"/>
                <w:spacing w:val="-44"/>
              </w:rPr>
              <w:t xml:space="preserve"> </w:t>
            </w:r>
            <w:r>
              <w:rPr>
                <w:i/>
                <w:iCs/>
                <w:spacing w:val="-1"/>
              </w:rPr>
              <w:t>Micronecta quadriseta</w:t>
            </w:r>
          </w:p>
        </w:tc>
        <w:tc>
          <w:tcPr>
            <w:tcW w:w="711" w:type="dxa"/>
            <w:vAlign w:val="top"/>
          </w:tcPr>
          <w:p w14:paraId="519C9397">
            <w:pPr>
              <w:pStyle w:val="6"/>
              <w:spacing w:before="110" w:line="210" w:lineRule="auto"/>
              <w:ind w:left="292"/>
            </w:pPr>
            <w:r>
              <w:t>+</w:t>
            </w:r>
          </w:p>
        </w:tc>
        <w:tc>
          <w:tcPr>
            <w:tcW w:w="639" w:type="dxa"/>
            <w:vAlign w:val="top"/>
          </w:tcPr>
          <w:p w14:paraId="2E64B17E">
            <w:pPr>
              <w:pStyle w:val="6"/>
              <w:spacing w:before="110" w:line="210" w:lineRule="auto"/>
              <w:ind w:left="259"/>
            </w:pPr>
            <w:r>
              <w:t>+</w:t>
            </w:r>
          </w:p>
        </w:tc>
        <w:tc>
          <w:tcPr>
            <w:tcW w:w="637" w:type="dxa"/>
            <w:vAlign w:val="top"/>
          </w:tcPr>
          <w:p w14:paraId="3C0B643A">
            <w:pPr>
              <w:pStyle w:val="6"/>
              <w:spacing w:before="110" w:line="210" w:lineRule="auto"/>
              <w:ind w:left="260"/>
            </w:pPr>
            <w:r>
              <w:t>+</w:t>
            </w:r>
          </w:p>
        </w:tc>
        <w:tc>
          <w:tcPr>
            <w:tcW w:w="704" w:type="dxa"/>
            <w:vAlign w:val="top"/>
          </w:tcPr>
          <w:p w14:paraId="2A5E2472">
            <w:pPr>
              <w:pStyle w:val="6"/>
              <w:spacing w:before="110" w:line="210" w:lineRule="auto"/>
              <w:ind w:left="297"/>
            </w:pPr>
            <w:r>
              <w:t>+</w:t>
            </w:r>
          </w:p>
        </w:tc>
        <w:tc>
          <w:tcPr>
            <w:tcW w:w="1135" w:type="dxa"/>
            <w:vAlign w:val="top"/>
          </w:tcPr>
          <w:p w14:paraId="2649DC5A">
            <w:pPr>
              <w:pStyle w:val="6"/>
              <w:spacing w:before="110" w:line="210" w:lineRule="auto"/>
              <w:ind w:left="515"/>
            </w:pPr>
            <w:r>
              <w:t>+</w:t>
            </w:r>
          </w:p>
        </w:tc>
        <w:tc>
          <w:tcPr>
            <w:tcW w:w="1151" w:type="dxa"/>
            <w:tcBorders>
              <w:right w:val="single" w:color="000000" w:sz="12" w:space="0"/>
            </w:tcBorders>
            <w:vAlign w:val="top"/>
          </w:tcPr>
          <w:p w14:paraId="5F73D523">
            <w:pPr>
              <w:pStyle w:val="6"/>
              <w:spacing w:before="110" w:line="210" w:lineRule="auto"/>
              <w:ind w:left="520"/>
            </w:pPr>
            <w:r>
              <w:t>+</w:t>
            </w:r>
          </w:p>
        </w:tc>
      </w:tr>
      <w:tr w14:paraId="556F3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5273775F">
            <w:pPr>
              <w:pStyle w:val="6"/>
              <w:spacing w:before="112" w:line="208" w:lineRule="auto"/>
              <w:ind w:left="231"/>
            </w:pPr>
            <w:r>
              <w:rPr>
                <w:spacing w:val="-3"/>
              </w:rPr>
              <w:t>33</w:t>
            </w:r>
          </w:p>
        </w:tc>
        <w:tc>
          <w:tcPr>
            <w:tcW w:w="2794" w:type="dxa"/>
            <w:vAlign w:val="top"/>
          </w:tcPr>
          <w:p w14:paraId="7D488AA9">
            <w:pPr>
              <w:pStyle w:val="6"/>
              <w:spacing w:before="79" w:line="213" w:lineRule="auto"/>
              <w:ind w:left="329"/>
            </w:pPr>
            <w:r>
              <w:rPr>
                <w:rFonts w:ascii="宋体" w:hAnsi="宋体" w:eastAsia="宋体" w:cs="宋体"/>
                <w:spacing w:val="-1"/>
              </w:rPr>
              <w:t>小螳蝽</w:t>
            </w:r>
            <w:r>
              <w:rPr>
                <w:rFonts w:ascii="宋体" w:hAnsi="宋体" w:eastAsia="宋体" w:cs="宋体"/>
                <w:spacing w:val="-45"/>
              </w:rPr>
              <w:t xml:space="preserve"> </w:t>
            </w:r>
            <w:r>
              <w:rPr>
                <w:i/>
                <w:iCs/>
                <w:spacing w:val="-1"/>
              </w:rPr>
              <w:t>Ranatra unicolor</w:t>
            </w:r>
          </w:p>
        </w:tc>
        <w:tc>
          <w:tcPr>
            <w:tcW w:w="711" w:type="dxa"/>
            <w:vAlign w:val="top"/>
          </w:tcPr>
          <w:p w14:paraId="5DD12764">
            <w:pPr>
              <w:pStyle w:val="6"/>
              <w:spacing w:before="112" w:line="208" w:lineRule="auto"/>
              <w:ind w:left="233"/>
            </w:pPr>
            <w:r>
              <w:rPr>
                <w:spacing w:val="-1"/>
              </w:rPr>
              <w:t>++</w:t>
            </w:r>
          </w:p>
        </w:tc>
        <w:tc>
          <w:tcPr>
            <w:tcW w:w="639" w:type="dxa"/>
            <w:vAlign w:val="top"/>
          </w:tcPr>
          <w:p w14:paraId="570B8608">
            <w:pPr>
              <w:pStyle w:val="6"/>
              <w:spacing w:before="112" w:line="208" w:lineRule="auto"/>
              <w:ind w:left="259"/>
            </w:pPr>
            <w:r>
              <w:t>+</w:t>
            </w:r>
          </w:p>
        </w:tc>
        <w:tc>
          <w:tcPr>
            <w:tcW w:w="637" w:type="dxa"/>
            <w:vAlign w:val="top"/>
          </w:tcPr>
          <w:p w14:paraId="0061FE12">
            <w:pPr>
              <w:pStyle w:val="6"/>
              <w:spacing w:before="112" w:line="208" w:lineRule="auto"/>
              <w:ind w:left="260"/>
            </w:pPr>
            <w:r>
              <w:t>+</w:t>
            </w:r>
          </w:p>
        </w:tc>
        <w:tc>
          <w:tcPr>
            <w:tcW w:w="704" w:type="dxa"/>
            <w:vAlign w:val="top"/>
          </w:tcPr>
          <w:p w14:paraId="45B3CE53">
            <w:pPr>
              <w:pStyle w:val="6"/>
              <w:spacing w:before="112" w:line="208" w:lineRule="auto"/>
              <w:ind w:left="297"/>
            </w:pPr>
            <w:r>
              <w:t>+</w:t>
            </w:r>
          </w:p>
        </w:tc>
        <w:tc>
          <w:tcPr>
            <w:tcW w:w="1135" w:type="dxa"/>
            <w:vAlign w:val="top"/>
          </w:tcPr>
          <w:p w14:paraId="3FF3F03D">
            <w:pPr>
              <w:pStyle w:val="6"/>
              <w:spacing w:before="112" w:line="208" w:lineRule="auto"/>
              <w:ind w:left="515"/>
            </w:pPr>
            <w:r>
              <w:t>+</w:t>
            </w:r>
          </w:p>
        </w:tc>
        <w:tc>
          <w:tcPr>
            <w:tcW w:w="1151" w:type="dxa"/>
            <w:tcBorders>
              <w:right w:val="single" w:color="000000" w:sz="12" w:space="0"/>
            </w:tcBorders>
            <w:vAlign w:val="top"/>
          </w:tcPr>
          <w:p w14:paraId="2F8E2AF2">
            <w:pPr>
              <w:pStyle w:val="6"/>
              <w:spacing w:before="112" w:line="208" w:lineRule="auto"/>
              <w:ind w:left="520"/>
            </w:pPr>
            <w:r>
              <w:t>+</w:t>
            </w:r>
          </w:p>
        </w:tc>
      </w:tr>
      <w:tr w14:paraId="363F9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2BF2941E">
            <w:pPr>
              <w:pStyle w:val="6"/>
              <w:spacing w:before="114" w:line="206" w:lineRule="auto"/>
              <w:ind w:left="231"/>
            </w:pPr>
            <w:r>
              <w:rPr>
                <w:spacing w:val="-3"/>
              </w:rPr>
              <w:t>34</w:t>
            </w:r>
          </w:p>
        </w:tc>
        <w:tc>
          <w:tcPr>
            <w:tcW w:w="2794" w:type="dxa"/>
            <w:vAlign w:val="top"/>
          </w:tcPr>
          <w:p w14:paraId="7F6C7025">
            <w:pPr>
              <w:pStyle w:val="6"/>
              <w:spacing w:before="80" w:line="212" w:lineRule="auto"/>
              <w:ind w:left="336"/>
            </w:pPr>
            <w:r>
              <w:rPr>
                <w:rFonts w:ascii="宋体" w:hAnsi="宋体" w:eastAsia="宋体" w:cs="宋体"/>
                <w:spacing w:val="6"/>
              </w:rPr>
              <w:t>马大头</w:t>
            </w:r>
            <w:r>
              <w:rPr>
                <w:rFonts w:ascii="宋体" w:hAnsi="宋体" w:eastAsia="宋体" w:cs="宋体"/>
                <w:spacing w:val="-63"/>
              </w:rPr>
              <w:t xml:space="preserve"> </w:t>
            </w:r>
            <w:r>
              <w:rPr>
                <w:i/>
                <w:iCs/>
              </w:rPr>
              <w:t>Anax</w:t>
            </w:r>
            <w:r>
              <w:rPr>
                <w:i/>
                <w:iCs/>
                <w:spacing w:val="-24"/>
              </w:rPr>
              <w:t xml:space="preserve"> </w:t>
            </w:r>
            <w:r>
              <w:rPr>
                <w:i/>
                <w:iCs/>
              </w:rPr>
              <w:t>parthenope</w:t>
            </w:r>
          </w:p>
        </w:tc>
        <w:tc>
          <w:tcPr>
            <w:tcW w:w="711" w:type="dxa"/>
            <w:vAlign w:val="top"/>
          </w:tcPr>
          <w:p w14:paraId="205B02E5">
            <w:pPr>
              <w:pStyle w:val="6"/>
              <w:spacing w:before="114" w:line="206" w:lineRule="auto"/>
              <w:ind w:left="292"/>
            </w:pPr>
            <w:r>
              <w:t>+</w:t>
            </w:r>
          </w:p>
        </w:tc>
        <w:tc>
          <w:tcPr>
            <w:tcW w:w="639" w:type="dxa"/>
            <w:vAlign w:val="top"/>
          </w:tcPr>
          <w:p w14:paraId="37E1D968">
            <w:pPr>
              <w:pStyle w:val="6"/>
              <w:spacing w:before="114" w:line="206" w:lineRule="auto"/>
              <w:ind w:left="259"/>
            </w:pPr>
            <w:r>
              <w:t>+</w:t>
            </w:r>
          </w:p>
        </w:tc>
        <w:tc>
          <w:tcPr>
            <w:tcW w:w="637" w:type="dxa"/>
            <w:vAlign w:val="top"/>
          </w:tcPr>
          <w:p w14:paraId="4789FDE5">
            <w:pPr>
              <w:pStyle w:val="6"/>
              <w:spacing w:before="114" w:line="206" w:lineRule="auto"/>
              <w:ind w:left="202"/>
            </w:pPr>
            <w:r>
              <w:rPr>
                <w:spacing w:val="-1"/>
              </w:rPr>
              <w:t>++</w:t>
            </w:r>
          </w:p>
        </w:tc>
        <w:tc>
          <w:tcPr>
            <w:tcW w:w="704" w:type="dxa"/>
            <w:vAlign w:val="top"/>
          </w:tcPr>
          <w:p w14:paraId="150F3B3D">
            <w:pPr>
              <w:rPr>
                <w:rFonts w:ascii="Arial"/>
                <w:sz w:val="21"/>
              </w:rPr>
            </w:pPr>
          </w:p>
        </w:tc>
        <w:tc>
          <w:tcPr>
            <w:tcW w:w="1135" w:type="dxa"/>
            <w:vAlign w:val="top"/>
          </w:tcPr>
          <w:p w14:paraId="2A670F8B">
            <w:pPr>
              <w:pStyle w:val="6"/>
              <w:spacing w:before="114" w:line="206" w:lineRule="auto"/>
              <w:ind w:left="515"/>
            </w:pPr>
            <w:r>
              <w:t>+</w:t>
            </w:r>
          </w:p>
        </w:tc>
        <w:tc>
          <w:tcPr>
            <w:tcW w:w="1151" w:type="dxa"/>
            <w:tcBorders>
              <w:right w:val="single" w:color="000000" w:sz="12" w:space="0"/>
            </w:tcBorders>
            <w:vAlign w:val="top"/>
          </w:tcPr>
          <w:p w14:paraId="75221F10">
            <w:pPr>
              <w:pStyle w:val="6"/>
              <w:spacing w:before="114" w:line="206" w:lineRule="auto"/>
              <w:ind w:left="520"/>
            </w:pPr>
            <w:r>
              <w:t>+</w:t>
            </w:r>
          </w:p>
        </w:tc>
      </w:tr>
      <w:tr w14:paraId="18D82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1B37BCCC">
            <w:pPr>
              <w:pStyle w:val="6"/>
              <w:spacing w:before="115" w:line="205" w:lineRule="auto"/>
              <w:ind w:left="231"/>
            </w:pPr>
            <w:r>
              <w:rPr>
                <w:spacing w:val="-3"/>
              </w:rPr>
              <w:t>35</w:t>
            </w:r>
          </w:p>
        </w:tc>
        <w:tc>
          <w:tcPr>
            <w:tcW w:w="2794" w:type="dxa"/>
            <w:vAlign w:val="top"/>
          </w:tcPr>
          <w:p w14:paraId="4497ED87">
            <w:pPr>
              <w:pStyle w:val="6"/>
              <w:spacing w:before="81" w:line="211" w:lineRule="auto"/>
              <w:ind w:left="117"/>
            </w:pPr>
            <w:r>
              <w:rPr>
                <w:rFonts w:ascii="宋体" w:hAnsi="宋体" w:eastAsia="宋体" w:cs="宋体"/>
                <w:spacing w:val="5"/>
              </w:rPr>
              <w:t>螅科一种</w:t>
            </w:r>
            <w:r>
              <w:rPr>
                <w:rFonts w:ascii="宋体" w:hAnsi="宋体" w:eastAsia="宋体" w:cs="宋体"/>
                <w:spacing w:val="-35"/>
              </w:rPr>
              <w:t xml:space="preserve"> </w:t>
            </w:r>
            <w:r>
              <w:rPr>
                <w:i/>
                <w:iCs/>
              </w:rPr>
              <w:t>Coenagrionidaesp</w:t>
            </w:r>
            <w:r>
              <w:rPr>
                <w:i/>
                <w:iCs/>
                <w:spacing w:val="5"/>
              </w:rPr>
              <w:t>.</w:t>
            </w:r>
          </w:p>
        </w:tc>
        <w:tc>
          <w:tcPr>
            <w:tcW w:w="711" w:type="dxa"/>
            <w:vAlign w:val="top"/>
          </w:tcPr>
          <w:p w14:paraId="34285033">
            <w:pPr>
              <w:pStyle w:val="6"/>
              <w:spacing w:before="115" w:line="205" w:lineRule="auto"/>
              <w:ind w:left="292"/>
            </w:pPr>
            <w:r>
              <w:t>+</w:t>
            </w:r>
          </w:p>
        </w:tc>
        <w:tc>
          <w:tcPr>
            <w:tcW w:w="639" w:type="dxa"/>
            <w:vAlign w:val="top"/>
          </w:tcPr>
          <w:p w14:paraId="71D00D20">
            <w:pPr>
              <w:pStyle w:val="6"/>
              <w:spacing w:before="115" w:line="205" w:lineRule="auto"/>
              <w:ind w:left="200"/>
            </w:pPr>
            <w:r>
              <w:rPr>
                <w:spacing w:val="-1"/>
              </w:rPr>
              <w:t>++</w:t>
            </w:r>
          </w:p>
        </w:tc>
        <w:tc>
          <w:tcPr>
            <w:tcW w:w="637" w:type="dxa"/>
            <w:vAlign w:val="top"/>
          </w:tcPr>
          <w:p w14:paraId="35E3A774">
            <w:pPr>
              <w:pStyle w:val="6"/>
              <w:spacing w:before="115" w:line="205" w:lineRule="auto"/>
              <w:ind w:left="260"/>
            </w:pPr>
            <w:r>
              <w:t>+</w:t>
            </w:r>
          </w:p>
        </w:tc>
        <w:tc>
          <w:tcPr>
            <w:tcW w:w="704" w:type="dxa"/>
            <w:vAlign w:val="top"/>
          </w:tcPr>
          <w:p w14:paraId="547AB15C">
            <w:pPr>
              <w:rPr>
                <w:rFonts w:ascii="Arial"/>
                <w:sz w:val="21"/>
              </w:rPr>
            </w:pPr>
          </w:p>
        </w:tc>
        <w:tc>
          <w:tcPr>
            <w:tcW w:w="1135" w:type="dxa"/>
            <w:vAlign w:val="top"/>
          </w:tcPr>
          <w:p w14:paraId="60E317CB">
            <w:pPr>
              <w:rPr>
                <w:rFonts w:ascii="Arial"/>
                <w:sz w:val="21"/>
              </w:rPr>
            </w:pPr>
          </w:p>
        </w:tc>
        <w:tc>
          <w:tcPr>
            <w:tcW w:w="1151" w:type="dxa"/>
            <w:tcBorders>
              <w:right w:val="single" w:color="000000" w:sz="12" w:space="0"/>
            </w:tcBorders>
            <w:vAlign w:val="top"/>
          </w:tcPr>
          <w:p w14:paraId="00B6EC05">
            <w:pPr>
              <w:pStyle w:val="6"/>
              <w:spacing w:before="115" w:line="205" w:lineRule="auto"/>
              <w:ind w:left="520"/>
            </w:pPr>
            <w:r>
              <w:t>+</w:t>
            </w:r>
          </w:p>
        </w:tc>
      </w:tr>
      <w:tr w14:paraId="11AAB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02" w:type="dxa"/>
            <w:tcBorders>
              <w:left w:val="single" w:color="000000" w:sz="12" w:space="0"/>
            </w:tcBorders>
            <w:vAlign w:val="top"/>
          </w:tcPr>
          <w:p w14:paraId="762A0BB0">
            <w:pPr>
              <w:pStyle w:val="6"/>
              <w:spacing w:before="116" w:line="204" w:lineRule="auto"/>
              <w:ind w:left="231"/>
            </w:pPr>
            <w:r>
              <w:rPr>
                <w:spacing w:val="-3"/>
              </w:rPr>
              <w:t>36</w:t>
            </w:r>
          </w:p>
        </w:tc>
        <w:tc>
          <w:tcPr>
            <w:tcW w:w="2794" w:type="dxa"/>
            <w:vAlign w:val="top"/>
          </w:tcPr>
          <w:p w14:paraId="58BA2A50">
            <w:pPr>
              <w:pStyle w:val="6"/>
              <w:spacing w:before="83" w:line="210" w:lineRule="auto"/>
              <w:ind w:left="40"/>
            </w:pPr>
            <w:r>
              <w:rPr>
                <w:rFonts w:ascii="宋体" w:hAnsi="宋体" w:eastAsia="宋体" w:cs="宋体"/>
                <w:spacing w:val="5"/>
              </w:rPr>
              <w:t>河螅科一种</w:t>
            </w:r>
            <w:r>
              <w:rPr>
                <w:rFonts w:ascii="宋体" w:hAnsi="宋体" w:eastAsia="宋体" w:cs="宋体"/>
                <w:spacing w:val="-38"/>
              </w:rPr>
              <w:t xml:space="preserve"> </w:t>
            </w:r>
            <w:r>
              <w:rPr>
                <w:i/>
                <w:iCs/>
              </w:rPr>
              <w:t>Calopterygidaesp</w:t>
            </w:r>
            <w:r>
              <w:rPr>
                <w:i/>
                <w:iCs/>
                <w:spacing w:val="5"/>
              </w:rPr>
              <w:t>.</w:t>
            </w:r>
          </w:p>
        </w:tc>
        <w:tc>
          <w:tcPr>
            <w:tcW w:w="711" w:type="dxa"/>
            <w:vAlign w:val="top"/>
          </w:tcPr>
          <w:p w14:paraId="5F816521">
            <w:pPr>
              <w:pStyle w:val="6"/>
              <w:spacing w:before="116" w:line="204" w:lineRule="auto"/>
              <w:ind w:left="292"/>
            </w:pPr>
            <w:r>
              <w:t>+</w:t>
            </w:r>
          </w:p>
        </w:tc>
        <w:tc>
          <w:tcPr>
            <w:tcW w:w="639" w:type="dxa"/>
            <w:vAlign w:val="top"/>
          </w:tcPr>
          <w:p w14:paraId="28DD239D">
            <w:pPr>
              <w:rPr>
                <w:rFonts w:ascii="Arial"/>
                <w:sz w:val="21"/>
              </w:rPr>
            </w:pPr>
          </w:p>
        </w:tc>
        <w:tc>
          <w:tcPr>
            <w:tcW w:w="637" w:type="dxa"/>
            <w:vAlign w:val="top"/>
          </w:tcPr>
          <w:p w14:paraId="3B828FE0">
            <w:pPr>
              <w:pStyle w:val="6"/>
              <w:spacing w:before="116" w:line="204" w:lineRule="auto"/>
              <w:ind w:left="260"/>
            </w:pPr>
            <w:r>
              <w:t>+</w:t>
            </w:r>
          </w:p>
        </w:tc>
        <w:tc>
          <w:tcPr>
            <w:tcW w:w="704" w:type="dxa"/>
            <w:vAlign w:val="top"/>
          </w:tcPr>
          <w:p w14:paraId="0E44D375">
            <w:pPr>
              <w:pStyle w:val="6"/>
              <w:spacing w:before="116" w:line="204" w:lineRule="auto"/>
              <w:ind w:left="238"/>
            </w:pPr>
            <w:r>
              <w:rPr>
                <w:spacing w:val="-1"/>
              </w:rPr>
              <w:t>++</w:t>
            </w:r>
          </w:p>
        </w:tc>
        <w:tc>
          <w:tcPr>
            <w:tcW w:w="1135" w:type="dxa"/>
            <w:vAlign w:val="top"/>
          </w:tcPr>
          <w:p w14:paraId="7A0C1E4F">
            <w:pPr>
              <w:pStyle w:val="6"/>
              <w:spacing w:before="116" w:line="204" w:lineRule="auto"/>
              <w:ind w:left="515"/>
            </w:pPr>
            <w:r>
              <w:t>+</w:t>
            </w:r>
          </w:p>
        </w:tc>
        <w:tc>
          <w:tcPr>
            <w:tcW w:w="1151" w:type="dxa"/>
            <w:tcBorders>
              <w:right w:val="single" w:color="000000" w:sz="12" w:space="0"/>
            </w:tcBorders>
            <w:vAlign w:val="top"/>
          </w:tcPr>
          <w:p w14:paraId="44D2038F">
            <w:pPr>
              <w:pStyle w:val="6"/>
              <w:spacing w:before="116" w:line="204" w:lineRule="auto"/>
              <w:ind w:left="520"/>
            </w:pPr>
            <w:r>
              <w:t>+</w:t>
            </w:r>
          </w:p>
        </w:tc>
      </w:tr>
      <w:tr w14:paraId="61EEC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02" w:type="dxa"/>
            <w:tcBorders>
              <w:left w:val="single" w:color="000000" w:sz="12" w:space="0"/>
            </w:tcBorders>
            <w:vAlign w:val="top"/>
          </w:tcPr>
          <w:p w14:paraId="4FCE787D">
            <w:pPr>
              <w:pStyle w:val="6"/>
              <w:spacing w:before="239" w:line="232" w:lineRule="auto"/>
              <w:ind w:left="231"/>
            </w:pPr>
            <w:r>
              <w:rPr>
                <w:spacing w:val="-3"/>
              </w:rPr>
              <w:t>37</w:t>
            </w:r>
          </w:p>
        </w:tc>
        <w:tc>
          <w:tcPr>
            <w:tcW w:w="2794" w:type="dxa"/>
            <w:vAlign w:val="top"/>
          </w:tcPr>
          <w:p w14:paraId="3A46C729">
            <w:pPr>
              <w:pStyle w:val="6"/>
              <w:spacing w:before="83" w:line="224" w:lineRule="auto"/>
              <w:ind w:left="643" w:right="665" w:firstLine="124"/>
            </w:pPr>
            <w:r>
              <w:rPr>
                <w:rFonts w:ascii="宋体" w:hAnsi="宋体" w:eastAsia="宋体" w:cs="宋体"/>
                <w:spacing w:val="-3"/>
              </w:rPr>
              <w:t>小石蛾科一种</w:t>
            </w:r>
            <w:r>
              <w:rPr>
                <w:i/>
                <w:iCs/>
              </w:rPr>
              <w:t>Hydroptilidae</w:t>
            </w:r>
            <w:r>
              <w:rPr>
                <w:i/>
                <w:iCs/>
                <w:spacing w:val="2"/>
              </w:rPr>
              <w:t xml:space="preserve"> </w:t>
            </w:r>
            <w:r>
              <w:rPr>
                <w:i/>
                <w:iCs/>
              </w:rPr>
              <w:t>sp</w:t>
            </w:r>
            <w:r>
              <w:rPr>
                <w:i/>
                <w:iCs/>
                <w:spacing w:val="2"/>
              </w:rPr>
              <w:t>.</w:t>
            </w:r>
          </w:p>
        </w:tc>
        <w:tc>
          <w:tcPr>
            <w:tcW w:w="711" w:type="dxa"/>
            <w:vAlign w:val="top"/>
          </w:tcPr>
          <w:p w14:paraId="6DAAE303">
            <w:pPr>
              <w:pStyle w:val="6"/>
              <w:spacing w:before="239" w:line="251" w:lineRule="exact"/>
              <w:ind w:left="233"/>
            </w:pPr>
            <w:r>
              <w:rPr>
                <w:spacing w:val="-1"/>
                <w:position w:val="1"/>
              </w:rPr>
              <w:t>++</w:t>
            </w:r>
          </w:p>
        </w:tc>
        <w:tc>
          <w:tcPr>
            <w:tcW w:w="639" w:type="dxa"/>
            <w:vAlign w:val="top"/>
          </w:tcPr>
          <w:p w14:paraId="3559CDC9">
            <w:pPr>
              <w:pStyle w:val="6"/>
              <w:spacing w:before="239" w:line="251" w:lineRule="exact"/>
              <w:ind w:left="259"/>
            </w:pPr>
            <w:r>
              <w:rPr>
                <w:position w:val="1"/>
              </w:rPr>
              <w:t>+</w:t>
            </w:r>
          </w:p>
        </w:tc>
        <w:tc>
          <w:tcPr>
            <w:tcW w:w="637" w:type="dxa"/>
            <w:vAlign w:val="top"/>
          </w:tcPr>
          <w:p w14:paraId="2DB23406">
            <w:pPr>
              <w:pStyle w:val="6"/>
              <w:spacing w:before="239" w:line="251" w:lineRule="exact"/>
              <w:ind w:left="202"/>
            </w:pPr>
            <w:r>
              <w:rPr>
                <w:spacing w:val="-1"/>
                <w:position w:val="1"/>
              </w:rPr>
              <w:t>++</w:t>
            </w:r>
          </w:p>
        </w:tc>
        <w:tc>
          <w:tcPr>
            <w:tcW w:w="704" w:type="dxa"/>
            <w:vAlign w:val="top"/>
          </w:tcPr>
          <w:p w14:paraId="7EC22155">
            <w:pPr>
              <w:pStyle w:val="6"/>
              <w:spacing w:before="239" w:line="251" w:lineRule="exact"/>
              <w:ind w:left="297"/>
            </w:pPr>
            <w:r>
              <w:rPr>
                <w:position w:val="1"/>
              </w:rPr>
              <w:t>+</w:t>
            </w:r>
          </w:p>
        </w:tc>
        <w:tc>
          <w:tcPr>
            <w:tcW w:w="1135" w:type="dxa"/>
            <w:vAlign w:val="top"/>
          </w:tcPr>
          <w:p w14:paraId="4DEE0D7A">
            <w:pPr>
              <w:pStyle w:val="6"/>
              <w:spacing w:before="239" w:line="251" w:lineRule="exact"/>
              <w:ind w:left="515"/>
            </w:pPr>
            <w:r>
              <w:rPr>
                <w:position w:val="1"/>
              </w:rPr>
              <w:t>+</w:t>
            </w:r>
          </w:p>
        </w:tc>
        <w:tc>
          <w:tcPr>
            <w:tcW w:w="1151" w:type="dxa"/>
            <w:tcBorders>
              <w:right w:val="single" w:color="000000" w:sz="12" w:space="0"/>
            </w:tcBorders>
            <w:vAlign w:val="top"/>
          </w:tcPr>
          <w:p w14:paraId="71A974B2">
            <w:pPr>
              <w:rPr>
                <w:rFonts w:ascii="Arial"/>
                <w:sz w:val="21"/>
              </w:rPr>
            </w:pPr>
          </w:p>
        </w:tc>
      </w:tr>
      <w:tr w14:paraId="07D17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702" w:type="dxa"/>
            <w:tcBorders>
              <w:left w:val="single" w:color="000000" w:sz="12" w:space="0"/>
              <w:bottom w:val="single" w:color="000000" w:sz="12" w:space="0"/>
            </w:tcBorders>
            <w:vAlign w:val="top"/>
          </w:tcPr>
          <w:p w14:paraId="4CA019AF">
            <w:pPr>
              <w:pStyle w:val="6"/>
              <w:spacing w:before="240" w:line="232" w:lineRule="auto"/>
              <w:ind w:left="231"/>
            </w:pPr>
            <w:r>
              <w:rPr>
                <w:spacing w:val="-3"/>
              </w:rPr>
              <w:t>38</w:t>
            </w:r>
          </w:p>
        </w:tc>
        <w:tc>
          <w:tcPr>
            <w:tcW w:w="2794" w:type="dxa"/>
            <w:tcBorders>
              <w:bottom w:val="single" w:color="000000" w:sz="12" w:space="0"/>
            </w:tcBorders>
            <w:vAlign w:val="top"/>
          </w:tcPr>
          <w:p w14:paraId="165D3D6A">
            <w:pPr>
              <w:pStyle w:val="6"/>
              <w:spacing w:before="84" w:line="234" w:lineRule="auto"/>
              <w:ind w:left="596" w:right="618" w:firstLine="170"/>
            </w:pPr>
            <w:r>
              <w:rPr>
                <w:rFonts w:ascii="宋体" w:hAnsi="宋体" w:eastAsia="宋体" w:cs="宋体"/>
                <w:spacing w:val="-3"/>
              </w:rPr>
              <w:t>管石蛾科一种</w:t>
            </w:r>
            <w:r>
              <w:rPr>
                <w:rFonts w:ascii="宋体" w:hAnsi="宋体" w:eastAsia="宋体" w:cs="宋体"/>
                <w:spacing w:val="1"/>
              </w:rPr>
              <w:t xml:space="preserve"> </w:t>
            </w:r>
            <w:r>
              <w:rPr>
                <w:i/>
                <w:iCs/>
              </w:rPr>
              <w:t>Psychomyiidae</w:t>
            </w:r>
            <w:r>
              <w:rPr>
                <w:i/>
                <w:iCs/>
                <w:spacing w:val="3"/>
              </w:rPr>
              <w:t xml:space="preserve"> </w:t>
            </w:r>
            <w:r>
              <w:rPr>
                <w:i/>
                <w:iCs/>
              </w:rPr>
              <w:t>sp</w:t>
            </w:r>
            <w:r>
              <w:rPr>
                <w:i/>
                <w:iCs/>
                <w:spacing w:val="3"/>
              </w:rPr>
              <w:t>.</w:t>
            </w:r>
          </w:p>
        </w:tc>
        <w:tc>
          <w:tcPr>
            <w:tcW w:w="711" w:type="dxa"/>
            <w:tcBorders>
              <w:bottom w:val="single" w:color="000000" w:sz="12" w:space="0"/>
            </w:tcBorders>
            <w:vAlign w:val="top"/>
          </w:tcPr>
          <w:p w14:paraId="4BF2BA99">
            <w:pPr>
              <w:pStyle w:val="6"/>
              <w:spacing w:before="239" w:line="251" w:lineRule="exact"/>
              <w:ind w:left="292"/>
            </w:pPr>
            <w:r>
              <w:rPr>
                <w:position w:val="1"/>
              </w:rPr>
              <w:t>+</w:t>
            </w:r>
          </w:p>
        </w:tc>
        <w:tc>
          <w:tcPr>
            <w:tcW w:w="639" w:type="dxa"/>
            <w:tcBorders>
              <w:bottom w:val="single" w:color="000000" w:sz="12" w:space="0"/>
            </w:tcBorders>
            <w:vAlign w:val="top"/>
          </w:tcPr>
          <w:p w14:paraId="3B901193">
            <w:pPr>
              <w:pStyle w:val="6"/>
              <w:spacing w:before="239" w:line="251" w:lineRule="exact"/>
              <w:ind w:left="200"/>
            </w:pPr>
            <w:r>
              <w:rPr>
                <w:spacing w:val="-1"/>
                <w:position w:val="1"/>
              </w:rPr>
              <w:t>++</w:t>
            </w:r>
          </w:p>
        </w:tc>
        <w:tc>
          <w:tcPr>
            <w:tcW w:w="637" w:type="dxa"/>
            <w:tcBorders>
              <w:bottom w:val="single" w:color="000000" w:sz="12" w:space="0"/>
            </w:tcBorders>
            <w:vAlign w:val="top"/>
          </w:tcPr>
          <w:p w14:paraId="34FE81E5">
            <w:pPr>
              <w:pStyle w:val="6"/>
              <w:spacing w:before="239" w:line="251" w:lineRule="exact"/>
              <w:ind w:left="260"/>
            </w:pPr>
            <w:r>
              <w:rPr>
                <w:position w:val="1"/>
              </w:rPr>
              <w:t>+</w:t>
            </w:r>
          </w:p>
        </w:tc>
        <w:tc>
          <w:tcPr>
            <w:tcW w:w="704" w:type="dxa"/>
            <w:tcBorders>
              <w:bottom w:val="single" w:color="000000" w:sz="12" w:space="0"/>
            </w:tcBorders>
            <w:vAlign w:val="top"/>
          </w:tcPr>
          <w:p w14:paraId="2B25961A">
            <w:pPr>
              <w:rPr>
                <w:rFonts w:ascii="Arial"/>
                <w:sz w:val="21"/>
              </w:rPr>
            </w:pPr>
          </w:p>
        </w:tc>
        <w:tc>
          <w:tcPr>
            <w:tcW w:w="1135" w:type="dxa"/>
            <w:tcBorders>
              <w:bottom w:val="single" w:color="000000" w:sz="12" w:space="0"/>
            </w:tcBorders>
            <w:vAlign w:val="top"/>
          </w:tcPr>
          <w:p w14:paraId="1804DDA7">
            <w:pPr>
              <w:pStyle w:val="6"/>
              <w:spacing w:before="239" w:line="251" w:lineRule="exact"/>
              <w:ind w:left="515"/>
            </w:pPr>
            <w:r>
              <w:rPr>
                <w:position w:val="1"/>
              </w:rPr>
              <w:t>+</w:t>
            </w:r>
          </w:p>
        </w:tc>
        <w:tc>
          <w:tcPr>
            <w:tcW w:w="1151" w:type="dxa"/>
            <w:tcBorders>
              <w:bottom w:val="single" w:color="000000" w:sz="12" w:space="0"/>
              <w:right w:val="single" w:color="000000" w:sz="12" w:space="0"/>
            </w:tcBorders>
            <w:vAlign w:val="top"/>
          </w:tcPr>
          <w:p w14:paraId="4851FB8E">
            <w:pPr>
              <w:pStyle w:val="6"/>
              <w:spacing w:before="239" w:line="251" w:lineRule="exact"/>
              <w:ind w:left="520"/>
            </w:pPr>
            <w:r>
              <w:rPr>
                <w:position w:val="1"/>
              </w:rPr>
              <w:t>+</w:t>
            </w:r>
          </w:p>
        </w:tc>
      </w:tr>
    </w:tbl>
    <w:p w14:paraId="51CCBB97">
      <w:pPr>
        <w:pStyle w:val="2"/>
        <w:spacing w:before="148" w:line="337" w:lineRule="auto"/>
        <w:ind w:left="39" w:right="29" w:firstLine="479"/>
        <w:jc w:val="both"/>
        <w:rPr>
          <w:sz w:val="24"/>
          <w:szCs w:val="24"/>
        </w:rPr>
      </w:pPr>
      <w:r>
        <w:rPr>
          <w:spacing w:val="-1"/>
          <w:sz w:val="24"/>
          <w:szCs w:val="24"/>
        </w:rPr>
        <w:t>施工期调查河段底栖无脊椎动物以节肢动物门种类最多，共有</w:t>
      </w:r>
      <w:r>
        <w:rPr>
          <w:spacing w:val="-51"/>
          <w:sz w:val="24"/>
          <w:szCs w:val="24"/>
        </w:rPr>
        <w:t xml:space="preserve"> </w:t>
      </w:r>
      <w:r>
        <w:rPr>
          <w:rFonts w:ascii="Times New Roman" w:hAnsi="Times New Roman" w:eastAsia="Times New Roman" w:cs="Times New Roman"/>
          <w:spacing w:val="-1"/>
          <w:sz w:val="24"/>
          <w:szCs w:val="24"/>
        </w:rPr>
        <w:t xml:space="preserve">21 </w:t>
      </w:r>
      <w:r>
        <w:rPr>
          <w:spacing w:val="-1"/>
          <w:sz w:val="24"/>
          <w:szCs w:val="24"/>
        </w:rPr>
        <w:t>种，占总种数的</w:t>
      </w:r>
      <w:r>
        <w:rPr>
          <w:spacing w:val="-25"/>
          <w:sz w:val="24"/>
          <w:szCs w:val="24"/>
        </w:rPr>
        <w:t xml:space="preserve"> </w:t>
      </w:r>
      <w:r>
        <w:rPr>
          <w:rFonts w:ascii="Times New Roman" w:hAnsi="Times New Roman" w:eastAsia="Times New Roman" w:cs="Times New Roman"/>
          <w:spacing w:val="-1"/>
          <w:sz w:val="24"/>
          <w:szCs w:val="24"/>
        </w:rPr>
        <w:t>55.26%</w:t>
      </w:r>
      <w:r>
        <w:rPr>
          <w:spacing w:val="-1"/>
          <w:sz w:val="24"/>
          <w:szCs w:val="24"/>
        </w:rPr>
        <w:t>。其中昆虫纲中的常见种类包括：蜉蝣目的扁蜉、</w:t>
      </w:r>
      <w:r>
        <w:rPr>
          <w:spacing w:val="-2"/>
          <w:sz w:val="24"/>
          <w:szCs w:val="24"/>
        </w:rPr>
        <w:t>小蜉和细蜉，以扁</w:t>
      </w:r>
      <w:r>
        <w:rPr>
          <w:spacing w:val="-4"/>
          <w:sz w:val="24"/>
          <w:szCs w:val="24"/>
        </w:rPr>
        <w:t>蜉为优势种，数量较多，分布广；腹足纲主要种类为耳萝卜螺、梨形环棱螺</w:t>
      </w:r>
      <w:r>
        <w:rPr>
          <w:spacing w:val="-5"/>
          <w:sz w:val="24"/>
          <w:szCs w:val="24"/>
        </w:rPr>
        <w:t>、角形</w:t>
      </w:r>
      <w:r>
        <w:rPr>
          <w:spacing w:val="-4"/>
          <w:sz w:val="24"/>
          <w:szCs w:val="24"/>
        </w:rPr>
        <w:t>环棱螺等；甲壳纲主要以中华米虾、细足米虾、秀丽白虾为主。因此底栖无脊椎动物的类群主要以喜氧的种类为主，其中以水生昆虫的种类组成最为复杂，在急</w:t>
      </w:r>
      <w:r>
        <w:rPr>
          <w:spacing w:val="-5"/>
          <w:sz w:val="24"/>
          <w:szCs w:val="24"/>
        </w:rPr>
        <w:t>流险</w:t>
      </w:r>
    </w:p>
    <w:p w14:paraId="2D2C6CE4">
      <w:pPr>
        <w:spacing w:line="337" w:lineRule="auto"/>
        <w:rPr>
          <w:sz w:val="24"/>
          <w:szCs w:val="24"/>
        </w:rPr>
        <w:sectPr>
          <w:footerReference r:id="rId219" w:type="default"/>
          <w:pgSz w:w="11907" w:h="16839"/>
          <w:pgMar w:top="1376" w:right="1669" w:bottom="1061" w:left="1671" w:header="999" w:footer="861" w:gutter="0"/>
          <w:cols w:space="720" w:num="1"/>
        </w:sectPr>
      </w:pPr>
    </w:p>
    <w:p w14:paraId="773DED82">
      <w:pPr>
        <w:spacing w:line="454" w:lineRule="auto"/>
        <w:rPr>
          <w:rFonts w:ascii="Arial"/>
          <w:sz w:val="21"/>
        </w:rPr>
      </w:pPr>
    </w:p>
    <w:p w14:paraId="7EC74DDF">
      <w:pPr>
        <w:pStyle w:val="2"/>
        <w:spacing w:before="78" w:line="219" w:lineRule="auto"/>
        <w:ind w:left="39"/>
        <w:rPr>
          <w:sz w:val="24"/>
          <w:szCs w:val="24"/>
        </w:rPr>
      </w:pPr>
      <w:r>
        <w:rPr>
          <w:spacing w:val="-4"/>
          <w:sz w:val="24"/>
          <w:szCs w:val="24"/>
        </w:rPr>
        <w:t>滩和乱石下均有分布。</w:t>
      </w:r>
    </w:p>
    <w:p w14:paraId="6236A614">
      <w:pPr>
        <w:pStyle w:val="2"/>
        <w:spacing w:before="156" w:line="217" w:lineRule="auto"/>
        <w:ind w:left="518"/>
        <w:rPr>
          <w:sz w:val="24"/>
          <w:szCs w:val="24"/>
        </w:rPr>
      </w:pPr>
      <w:r>
        <w:rPr>
          <w:spacing w:val="-3"/>
          <w:sz w:val="24"/>
          <w:szCs w:val="24"/>
        </w:rPr>
        <w:t>①密度</w:t>
      </w:r>
    </w:p>
    <w:p w14:paraId="04ACD603">
      <w:pPr>
        <w:pStyle w:val="2"/>
        <w:spacing w:before="159" w:line="338" w:lineRule="auto"/>
        <w:ind w:left="39" w:right="48" w:firstLine="480"/>
        <w:rPr>
          <w:sz w:val="24"/>
          <w:szCs w:val="24"/>
        </w:rPr>
      </w:pPr>
      <w:r>
        <w:rPr>
          <w:sz w:val="24"/>
          <w:szCs w:val="24"/>
        </w:rPr>
        <w:t>监测区底栖动物平均密度</w:t>
      </w:r>
      <w:r>
        <w:rPr>
          <w:spacing w:val="-43"/>
          <w:sz w:val="24"/>
          <w:szCs w:val="24"/>
        </w:rPr>
        <w:t xml:space="preserve"> </w:t>
      </w:r>
      <w:r>
        <w:rPr>
          <w:rFonts w:ascii="Times New Roman" w:hAnsi="Times New Roman" w:eastAsia="Times New Roman" w:cs="Times New Roman"/>
          <w:sz w:val="24"/>
          <w:szCs w:val="24"/>
        </w:rPr>
        <w:t>218.45in</w:t>
      </w:r>
      <w:r>
        <w:rPr>
          <w:rFonts w:ascii="Times New Roman" w:hAnsi="Times New Roman" w:eastAsia="Times New Roman" w:cs="Times New Roman"/>
          <w:spacing w:val="-1"/>
          <w:sz w:val="24"/>
          <w:szCs w:val="24"/>
        </w:rPr>
        <w:t>d./m</w:t>
      </w:r>
      <w:r>
        <w:rPr>
          <w:rFonts w:ascii="Times New Roman" w:hAnsi="Times New Roman" w:eastAsia="Times New Roman" w:cs="Times New Roman"/>
          <w:spacing w:val="-1"/>
          <w:position w:val="8"/>
          <w:sz w:val="15"/>
          <w:szCs w:val="15"/>
        </w:rPr>
        <w:t>2</w:t>
      </w:r>
      <w:r>
        <w:rPr>
          <w:spacing w:val="-1"/>
          <w:sz w:val="24"/>
          <w:szCs w:val="24"/>
        </w:rPr>
        <w:t>，其中环节动物</w:t>
      </w:r>
      <w:r>
        <w:rPr>
          <w:spacing w:val="-44"/>
          <w:sz w:val="24"/>
          <w:szCs w:val="24"/>
        </w:rPr>
        <w:t xml:space="preserve"> </w:t>
      </w:r>
      <w:r>
        <w:rPr>
          <w:rFonts w:ascii="Times New Roman" w:hAnsi="Times New Roman" w:eastAsia="Times New Roman" w:cs="Times New Roman"/>
          <w:spacing w:val="-1"/>
          <w:sz w:val="24"/>
          <w:szCs w:val="24"/>
        </w:rPr>
        <w:t>47.82ind./m</w:t>
      </w:r>
      <w:r>
        <w:rPr>
          <w:rFonts w:ascii="Times New Roman" w:hAnsi="Times New Roman" w:eastAsia="Times New Roman" w:cs="Times New Roman"/>
          <w:spacing w:val="-1"/>
          <w:position w:val="8"/>
          <w:sz w:val="15"/>
          <w:szCs w:val="15"/>
        </w:rPr>
        <w:t>2</w:t>
      </w:r>
      <w:r>
        <w:rPr>
          <w:spacing w:val="-1"/>
          <w:sz w:val="24"/>
          <w:szCs w:val="24"/>
        </w:rPr>
        <w:t>、节肢动</w:t>
      </w:r>
      <w:r>
        <w:rPr>
          <w:spacing w:val="-6"/>
          <w:sz w:val="24"/>
          <w:szCs w:val="24"/>
        </w:rPr>
        <w:t>物</w:t>
      </w:r>
      <w:r>
        <w:rPr>
          <w:spacing w:val="-56"/>
          <w:sz w:val="24"/>
          <w:szCs w:val="24"/>
        </w:rPr>
        <w:t xml:space="preserve"> </w:t>
      </w:r>
      <w:r>
        <w:rPr>
          <w:rFonts w:ascii="Times New Roman" w:hAnsi="Times New Roman" w:eastAsia="Times New Roman" w:cs="Times New Roman"/>
          <w:spacing w:val="-6"/>
          <w:sz w:val="24"/>
          <w:szCs w:val="24"/>
        </w:rPr>
        <w:t>115.72ind./m</w:t>
      </w:r>
      <w:r>
        <w:rPr>
          <w:rFonts w:ascii="Times New Roman" w:hAnsi="Times New Roman" w:eastAsia="Times New Roman" w:cs="Times New Roman"/>
          <w:spacing w:val="-6"/>
          <w:position w:val="8"/>
          <w:sz w:val="15"/>
          <w:szCs w:val="15"/>
        </w:rPr>
        <w:t>2</w:t>
      </w:r>
      <w:r>
        <w:rPr>
          <w:spacing w:val="-6"/>
          <w:sz w:val="24"/>
          <w:szCs w:val="24"/>
        </w:rPr>
        <w:t>、软体动物</w:t>
      </w:r>
      <w:r>
        <w:rPr>
          <w:rFonts w:ascii="Times New Roman" w:hAnsi="Times New Roman" w:eastAsia="Times New Roman" w:cs="Times New Roman"/>
          <w:spacing w:val="-6"/>
          <w:sz w:val="24"/>
          <w:szCs w:val="24"/>
        </w:rPr>
        <w:t>54.91ind.</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7"/>
          <w:position w:val="8"/>
          <w:sz w:val="15"/>
          <w:szCs w:val="15"/>
        </w:rPr>
        <w:t>2</w:t>
      </w:r>
      <w:r>
        <w:rPr>
          <w:spacing w:val="-7"/>
          <w:sz w:val="24"/>
          <w:szCs w:val="24"/>
        </w:rPr>
        <w:t>，所占比重分别为</w:t>
      </w:r>
      <w:r>
        <w:rPr>
          <w:rFonts w:ascii="Times New Roman" w:hAnsi="Times New Roman" w:eastAsia="Times New Roman" w:cs="Times New Roman"/>
          <w:spacing w:val="-7"/>
          <w:sz w:val="24"/>
          <w:szCs w:val="24"/>
        </w:rPr>
        <w:t>21.89%</w:t>
      </w:r>
      <w:r>
        <w:rPr>
          <w:spacing w:val="-7"/>
          <w:sz w:val="24"/>
          <w:szCs w:val="24"/>
        </w:rPr>
        <w:t>、</w:t>
      </w:r>
      <w:r>
        <w:rPr>
          <w:rFonts w:ascii="Times New Roman" w:hAnsi="Times New Roman" w:eastAsia="Times New Roman" w:cs="Times New Roman"/>
          <w:spacing w:val="-7"/>
          <w:sz w:val="24"/>
          <w:szCs w:val="24"/>
        </w:rPr>
        <w:t>52.97%</w:t>
      </w:r>
      <w:r>
        <w:rPr>
          <w:spacing w:val="-26"/>
          <w:sz w:val="24"/>
          <w:szCs w:val="24"/>
        </w:rPr>
        <w:t>、</w:t>
      </w:r>
      <w:r>
        <w:rPr>
          <w:rFonts w:ascii="Times New Roman" w:hAnsi="Times New Roman" w:eastAsia="Times New Roman" w:cs="Times New Roman"/>
          <w:spacing w:val="-26"/>
          <w:sz w:val="24"/>
          <w:szCs w:val="24"/>
        </w:rPr>
        <w:t>25.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6"/>
          <w:sz w:val="24"/>
          <w:szCs w:val="24"/>
        </w:rPr>
        <w:t>14%</w:t>
      </w:r>
      <w:r>
        <w:rPr>
          <w:spacing w:val="-26"/>
          <w:sz w:val="24"/>
          <w:szCs w:val="24"/>
        </w:rPr>
        <w:t>；</w:t>
      </w:r>
    </w:p>
    <w:p w14:paraId="4676A07E">
      <w:pPr>
        <w:pStyle w:val="2"/>
        <w:spacing w:line="210" w:lineRule="auto"/>
        <w:ind w:left="279"/>
        <w:rPr>
          <w:sz w:val="24"/>
          <w:szCs w:val="24"/>
        </w:rPr>
      </w:pPr>
      <w:r>
        <w:rPr>
          <w:b/>
          <w:bCs/>
          <w:spacing w:val="-1"/>
          <w:sz w:val="24"/>
          <w:szCs w:val="24"/>
        </w:rPr>
        <w:t>表</w:t>
      </w:r>
      <w:r>
        <w:rPr>
          <w:spacing w:val="-48"/>
          <w:sz w:val="24"/>
          <w:szCs w:val="24"/>
        </w:rPr>
        <w:t xml:space="preserve"> </w:t>
      </w:r>
      <w:r>
        <w:rPr>
          <w:rFonts w:ascii="Times New Roman" w:hAnsi="Times New Roman" w:eastAsia="Times New Roman" w:cs="Times New Roman"/>
          <w:b/>
          <w:bCs/>
          <w:spacing w:val="-1"/>
          <w:sz w:val="24"/>
          <w:szCs w:val="24"/>
        </w:rPr>
        <w:t xml:space="preserve">6.1-23              </w:t>
      </w:r>
      <w:r>
        <w:rPr>
          <w:b/>
          <w:bCs/>
          <w:spacing w:val="-1"/>
          <w:sz w:val="24"/>
          <w:szCs w:val="24"/>
        </w:rPr>
        <w:t>环评期和施工期工程评价河段底栖动物密度（</w:t>
      </w:r>
      <w:r>
        <w:rPr>
          <w:rFonts w:ascii="Times New Roman" w:hAnsi="Times New Roman" w:eastAsia="Times New Roman" w:cs="Times New Roman"/>
          <w:b/>
          <w:bCs/>
          <w:spacing w:val="-1"/>
          <w:sz w:val="24"/>
          <w:szCs w:val="24"/>
        </w:rPr>
        <w:t>ind./m</w:t>
      </w:r>
      <w:r>
        <w:rPr>
          <w:rFonts w:ascii="Times New Roman" w:hAnsi="Times New Roman" w:eastAsia="Times New Roman" w:cs="Times New Roman"/>
          <w:b/>
          <w:bCs/>
          <w:spacing w:val="-1"/>
          <w:position w:val="2"/>
          <w:sz w:val="15"/>
          <w:szCs w:val="15"/>
        </w:rPr>
        <w:t>2</w:t>
      </w:r>
      <w:r>
        <w:rPr>
          <w:b/>
          <w:bCs/>
          <w:spacing w:val="-1"/>
          <w:position w:val="2"/>
          <w:sz w:val="24"/>
          <w:szCs w:val="24"/>
        </w:rPr>
        <w:t>）</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4"/>
        <w:gridCol w:w="1911"/>
        <w:gridCol w:w="1913"/>
        <w:gridCol w:w="1912"/>
        <w:gridCol w:w="1183"/>
      </w:tblGrid>
      <w:tr w14:paraId="54D5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554" w:type="dxa"/>
            <w:tcBorders>
              <w:top w:val="single" w:color="000000" w:sz="12" w:space="0"/>
              <w:left w:val="single" w:color="000000" w:sz="12" w:space="0"/>
            </w:tcBorders>
            <w:vAlign w:val="top"/>
          </w:tcPr>
          <w:p w14:paraId="4D1B0BBC">
            <w:pPr>
              <w:spacing w:before="58" w:line="221" w:lineRule="auto"/>
              <w:ind w:left="346"/>
              <w:rPr>
                <w:rFonts w:ascii="宋体" w:hAnsi="宋体" w:eastAsia="宋体" w:cs="宋体"/>
                <w:sz w:val="21"/>
                <w:szCs w:val="21"/>
              </w:rPr>
            </w:pPr>
            <w:r>
              <w:rPr>
                <w:rFonts w:ascii="宋体" w:hAnsi="宋体" w:eastAsia="宋体" w:cs="宋体"/>
                <w:spacing w:val="-3"/>
                <w:sz w:val="21"/>
                <w:szCs w:val="21"/>
              </w:rPr>
              <w:t>监测时间</w:t>
            </w:r>
          </w:p>
        </w:tc>
        <w:tc>
          <w:tcPr>
            <w:tcW w:w="1911" w:type="dxa"/>
            <w:tcBorders>
              <w:top w:val="single" w:color="000000" w:sz="12" w:space="0"/>
            </w:tcBorders>
            <w:vAlign w:val="top"/>
          </w:tcPr>
          <w:p w14:paraId="522BC1AE">
            <w:pPr>
              <w:spacing w:before="58" w:line="220" w:lineRule="auto"/>
              <w:ind w:left="531"/>
              <w:rPr>
                <w:rFonts w:ascii="宋体" w:hAnsi="宋体" w:eastAsia="宋体" w:cs="宋体"/>
                <w:sz w:val="21"/>
                <w:szCs w:val="21"/>
              </w:rPr>
            </w:pPr>
            <w:r>
              <w:rPr>
                <w:rFonts w:ascii="宋体" w:hAnsi="宋体" w:eastAsia="宋体" w:cs="宋体"/>
                <w:spacing w:val="-2"/>
                <w:sz w:val="21"/>
                <w:szCs w:val="21"/>
              </w:rPr>
              <w:t>环节动物</w:t>
            </w:r>
          </w:p>
        </w:tc>
        <w:tc>
          <w:tcPr>
            <w:tcW w:w="1913" w:type="dxa"/>
            <w:tcBorders>
              <w:top w:val="single" w:color="000000" w:sz="12" w:space="0"/>
            </w:tcBorders>
            <w:vAlign w:val="top"/>
          </w:tcPr>
          <w:p w14:paraId="08753144">
            <w:pPr>
              <w:spacing w:before="58" w:line="220" w:lineRule="auto"/>
              <w:ind w:left="539"/>
              <w:rPr>
                <w:rFonts w:ascii="宋体" w:hAnsi="宋体" w:eastAsia="宋体" w:cs="宋体"/>
                <w:sz w:val="21"/>
                <w:szCs w:val="21"/>
              </w:rPr>
            </w:pPr>
            <w:r>
              <w:rPr>
                <w:rFonts w:ascii="宋体" w:hAnsi="宋体" w:eastAsia="宋体" w:cs="宋体"/>
                <w:spacing w:val="-2"/>
                <w:sz w:val="21"/>
                <w:szCs w:val="21"/>
              </w:rPr>
              <w:t>节肢动物</w:t>
            </w:r>
          </w:p>
        </w:tc>
        <w:tc>
          <w:tcPr>
            <w:tcW w:w="1912" w:type="dxa"/>
            <w:tcBorders>
              <w:top w:val="single" w:color="000000" w:sz="12" w:space="0"/>
            </w:tcBorders>
            <w:vAlign w:val="top"/>
          </w:tcPr>
          <w:p w14:paraId="08489D75">
            <w:pPr>
              <w:spacing w:before="58" w:line="220" w:lineRule="auto"/>
              <w:ind w:left="548"/>
              <w:rPr>
                <w:rFonts w:ascii="宋体" w:hAnsi="宋体" w:eastAsia="宋体" w:cs="宋体"/>
                <w:sz w:val="21"/>
                <w:szCs w:val="21"/>
              </w:rPr>
            </w:pPr>
            <w:r>
              <w:rPr>
                <w:rFonts w:ascii="宋体" w:hAnsi="宋体" w:eastAsia="宋体" w:cs="宋体"/>
                <w:spacing w:val="-3"/>
                <w:sz w:val="21"/>
                <w:szCs w:val="21"/>
              </w:rPr>
              <w:t>软体动物</w:t>
            </w:r>
          </w:p>
        </w:tc>
        <w:tc>
          <w:tcPr>
            <w:tcW w:w="1183" w:type="dxa"/>
            <w:tcBorders>
              <w:top w:val="single" w:color="000000" w:sz="12" w:space="0"/>
              <w:right w:val="single" w:color="000000" w:sz="12" w:space="0"/>
            </w:tcBorders>
            <w:vAlign w:val="top"/>
          </w:tcPr>
          <w:p w14:paraId="4796E4CA">
            <w:pPr>
              <w:spacing w:before="57" w:line="220" w:lineRule="auto"/>
              <w:ind w:left="284"/>
              <w:rPr>
                <w:rFonts w:ascii="宋体" w:hAnsi="宋体" w:eastAsia="宋体" w:cs="宋体"/>
                <w:sz w:val="21"/>
                <w:szCs w:val="21"/>
              </w:rPr>
            </w:pPr>
            <w:r>
              <w:rPr>
                <w:rFonts w:ascii="宋体" w:hAnsi="宋体" w:eastAsia="宋体" w:cs="宋体"/>
                <w:spacing w:val="-2"/>
                <w:sz w:val="21"/>
                <w:szCs w:val="21"/>
              </w:rPr>
              <w:t>平均值</w:t>
            </w:r>
          </w:p>
        </w:tc>
      </w:tr>
      <w:tr w14:paraId="2B840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554" w:type="dxa"/>
            <w:tcBorders>
              <w:left w:val="single" w:color="000000" w:sz="12" w:space="0"/>
            </w:tcBorders>
            <w:vAlign w:val="top"/>
          </w:tcPr>
          <w:p w14:paraId="4486E531">
            <w:pPr>
              <w:pStyle w:val="6"/>
              <w:spacing w:before="66" w:line="217" w:lineRule="auto"/>
              <w:ind w:left="209"/>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911" w:type="dxa"/>
            <w:vAlign w:val="top"/>
          </w:tcPr>
          <w:p w14:paraId="453BFD83">
            <w:pPr>
              <w:pStyle w:val="6"/>
              <w:spacing w:before="99" w:line="212" w:lineRule="auto"/>
              <w:ind w:left="717"/>
            </w:pPr>
            <w:r>
              <w:rPr>
                <w:spacing w:val="-2"/>
              </w:rPr>
              <w:t>53.88</w:t>
            </w:r>
          </w:p>
        </w:tc>
        <w:tc>
          <w:tcPr>
            <w:tcW w:w="1913" w:type="dxa"/>
            <w:vAlign w:val="top"/>
          </w:tcPr>
          <w:p w14:paraId="32D7C105">
            <w:pPr>
              <w:pStyle w:val="6"/>
              <w:spacing w:before="99" w:line="212" w:lineRule="auto"/>
              <w:ind w:left="688"/>
            </w:pPr>
            <w:r>
              <w:rPr>
                <w:spacing w:val="-4"/>
              </w:rPr>
              <w:t>124.16</w:t>
            </w:r>
          </w:p>
        </w:tc>
        <w:tc>
          <w:tcPr>
            <w:tcW w:w="1912" w:type="dxa"/>
            <w:vAlign w:val="top"/>
          </w:tcPr>
          <w:p w14:paraId="0DC45C22">
            <w:pPr>
              <w:pStyle w:val="6"/>
              <w:spacing w:before="99" w:line="212" w:lineRule="auto"/>
              <w:ind w:left="731"/>
            </w:pPr>
            <w:r>
              <w:rPr>
                <w:spacing w:val="-2"/>
              </w:rPr>
              <w:t>57.02</w:t>
            </w:r>
          </w:p>
        </w:tc>
        <w:tc>
          <w:tcPr>
            <w:tcW w:w="1183" w:type="dxa"/>
            <w:tcBorders>
              <w:right w:val="single" w:color="000000" w:sz="12" w:space="0"/>
            </w:tcBorders>
            <w:vAlign w:val="top"/>
          </w:tcPr>
          <w:p w14:paraId="5311027B">
            <w:pPr>
              <w:pStyle w:val="6"/>
              <w:spacing w:before="99" w:line="212" w:lineRule="auto"/>
              <w:ind w:left="308"/>
            </w:pPr>
            <w:r>
              <w:rPr>
                <w:spacing w:val="-1"/>
              </w:rPr>
              <w:t>235.06</w:t>
            </w:r>
          </w:p>
        </w:tc>
      </w:tr>
      <w:tr w14:paraId="59BB7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554" w:type="dxa"/>
            <w:tcBorders>
              <w:left w:val="single" w:color="000000" w:sz="12" w:space="0"/>
              <w:bottom w:val="single" w:color="000000" w:sz="12" w:space="0"/>
            </w:tcBorders>
            <w:vAlign w:val="top"/>
          </w:tcPr>
          <w:p w14:paraId="4573EBF4">
            <w:pPr>
              <w:pStyle w:val="6"/>
              <w:spacing w:before="76" w:line="228" w:lineRule="auto"/>
              <w:ind w:left="209"/>
              <w:rPr>
                <w:rFonts w:ascii="宋体" w:hAnsi="宋体" w:eastAsia="宋体" w:cs="宋体"/>
              </w:rPr>
            </w:pPr>
            <w:r>
              <w:rPr>
                <w:spacing w:val="-1"/>
              </w:rPr>
              <w:t xml:space="preserve">2020 </w:t>
            </w:r>
            <w:r>
              <w:rPr>
                <w:rFonts w:ascii="宋体" w:hAnsi="宋体" w:eastAsia="宋体" w:cs="宋体"/>
                <w:spacing w:val="-1"/>
              </w:rPr>
              <w:t>施工期</w:t>
            </w:r>
          </w:p>
        </w:tc>
        <w:tc>
          <w:tcPr>
            <w:tcW w:w="1911" w:type="dxa"/>
            <w:tcBorders>
              <w:bottom w:val="single" w:color="000000" w:sz="12" w:space="0"/>
            </w:tcBorders>
            <w:vAlign w:val="top"/>
          </w:tcPr>
          <w:p w14:paraId="16F3CDE1">
            <w:pPr>
              <w:pStyle w:val="6"/>
              <w:spacing w:before="109" w:line="225" w:lineRule="auto"/>
              <w:ind w:left="710"/>
            </w:pPr>
            <w:r>
              <w:rPr>
                <w:spacing w:val="-1"/>
              </w:rPr>
              <w:t>47.82</w:t>
            </w:r>
          </w:p>
        </w:tc>
        <w:tc>
          <w:tcPr>
            <w:tcW w:w="1913" w:type="dxa"/>
            <w:tcBorders>
              <w:bottom w:val="single" w:color="000000" w:sz="12" w:space="0"/>
            </w:tcBorders>
            <w:vAlign w:val="top"/>
          </w:tcPr>
          <w:p w14:paraId="0B05FD0C">
            <w:pPr>
              <w:pStyle w:val="6"/>
              <w:spacing w:before="109" w:line="225" w:lineRule="auto"/>
              <w:ind w:left="688"/>
            </w:pPr>
            <w:r>
              <w:rPr>
                <w:spacing w:val="-4"/>
              </w:rPr>
              <w:t>115.72</w:t>
            </w:r>
          </w:p>
        </w:tc>
        <w:tc>
          <w:tcPr>
            <w:tcW w:w="1912" w:type="dxa"/>
            <w:tcBorders>
              <w:bottom w:val="single" w:color="000000" w:sz="12" w:space="0"/>
            </w:tcBorders>
            <w:vAlign w:val="top"/>
          </w:tcPr>
          <w:p w14:paraId="7DBB30E8">
            <w:pPr>
              <w:pStyle w:val="6"/>
              <w:spacing w:before="109" w:line="225" w:lineRule="auto"/>
              <w:ind w:left="731"/>
            </w:pPr>
            <w:r>
              <w:rPr>
                <w:spacing w:val="-2"/>
              </w:rPr>
              <w:t>54.91</w:t>
            </w:r>
          </w:p>
        </w:tc>
        <w:tc>
          <w:tcPr>
            <w:tcW w:w="1183" w:type="dxa"/>
            <w:tcBorders>
              <w:bottom w:val="single" w:color="000000" w:sz="12" w:space="0"/>
              <w:right w:val="single" w:color="000000" w:sz="12" w:space="0"/>
            </w:tcBorders>
            <w:vAlign w:val="top"/>
          </w:tcPr>
          <w:p w14:paraId="36EC5995">
            <w:pPr>
              <w:pStyle w:val="6"/>
              <w:spacing w:before="109" w:line="225" w:lineRule="auto"/>
              <w:ind w:left="308"/>
            </w:pPr>
            <w:r>
              <w:rPr>
                <w:spacing w:val="-1"/>
              </w:rPr>
              <w:t>218.45</w:t>
            </w:r>
          </w:p>
        </w:tc>
      </w:tr>
    </w:tbl>
    <w:p w14:paraId="492695E7">
      <w:pPr>
        <w:spacing w:before="198"/>
      </w:pPr>
    </w:p>
    <w:tbl>
      <w:tblPr>
        <w:tblStyle w:val="5"/>
        <w:tblW w:w="7200" w:type="dxa"/>
        <w:tblInd w:w="681" w:type="dxa"/>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Layout w:type="fixed"/>
        <w:tblCellMar>
          <w:top w:w="0" w:type="dxa"/>
          <w:left w:w="0" w:type="dxa"/>
          <w:bottom w:w="0" w:type="dxa"/>
          <w:right w:w="0" w:type="dxa"/>
        </w:tblCellMar>
      </w:tblPr>
      <w:tblGrid>
        <w:gridCol w:w="7200"/>
      </w:tblGrid>
      <w:tr w14:paraId="1FFF3A1A">
        <w:tblPrEx>
          <w:tblBorders>
            <w:top w:val="single" w:color="D9D9D9" w:sz="2" w:space="0"/>
            <w:left w:val="single" w:color="D9D9D9" w:sz="6" w:space="0"/>
            <w:bottom w:val="single" w:color="D9D9D9" w:sz="6" w:space="0"/>
            <w:right w:val="single" w:color="D9D9D9" w:sz="6" w:space="0"/>
            <w:insideH w:val="none" w:color="auto" w:sz="0" w:space="0"/>
            <w:insideV w:val="none" w:color="auto" w:sz="0" w:space="0"/>
          </w:tblBorders>
          <w:tblCellMar>
            <w:top w:w="0" w:type="dxa"/>
            <w:left w:w="0" w:type="dxa"/>
            <w:bottom w:w="0" w:type="dxa"/>
            <w:right w:w="0" w:type="dxa"/>
          </w:tblCellMar>
        </w:tblPrEx>
        <w:trPr>
          <w:trHeight w:val="4306" w:hRule="atLeast"/>
        </w:trPr>
        <w:tc>
          <w:tcPr>
            <w:tcW w:w="7200" w:type="dxa"/>
            <w:vAlign w:val="top"/>
          </w:tcPr>
          <w:p w14:paraId="723383A1">
            <w:pPr>
              <w:pStyle w:val="6"/>
              <w:spacing w:before="188" w:line="234" w:lineRule="auto"/>
              <w:ind w:left="2047"/>
              <w:rPr>
                <w:rFonts w:ascii="宋体" w:hAnsi="宋体" w:eastAsia="宋体" w:cs="宋体"/>
                <w:sz w:val="27"/>
                <w:szCs w:val="27"/>
              </w:rPr>
            </w:pPr>
            <w:r>
              <w:rPr>
                <w:rFonts w:ascii="宋体" w:hAnsi="宋体" w:eastAsia="宋体" w:cs="宋体"/>
                <w:b/>
                <w:bCs/>
                <w:color w:val="595959"/>
                <w:spacing w:val="6"/>
                <w:sz w:val="27"/>
                <w:szCs w:val="27"/>
              </w:rPr>
              <w:t>底栖动物密度（</w:t>
            </w:r>
            <w:r>
              <w:rPr>
                <w:b/>
                <w:bCs/>
                <w:color w:val="595959"/>
                <w:sz w:val="27"/>
                <w:szCs w:val="27"/>
              </w:rPr>
              <w:t>ind</w:t>
            </w:r>
            <w:r>
              <w:rPr>
                <w:b/>
                <w:bCs/>
                <w:color w:val="595959"/>
                <w:spacing w:val="6"/>
                <w:sz w:val="27"/>
                <w:szCs w:val="27"/>
              </w:rPr>
              <w:t>./m</w:t>
            </w:r>
            <w:r>
              <w:rPr>
                <w:b/>
                <w:bCs/>
                <w:color w:val="595959"/>
                <w:spacing w:val="6"/>
                <w:position w:val="1"/>
                <w:sz w:val="18"/>
                <w:szCs w:val="18"/>
              </w:rPr>
              <w:t>2</w:t>
            </w:r>
            <w:r>
              <w:rPr>
                <w:rFonts w:ascii="宋体" w:hAnsi="宋体" w:eastAsia="宋体" w:cs="宋体"/>
                <w:b/>
                <w:bCs/>
                <w:color w:val="595959"/>
                <w:spacing w:val="6"/>
                <w:position w:val="1"/>
                <w:sz w:val="27"/>
                <w:szCs w:val="27"/>
              </w:rPr>
              <w:t>）</w:t>
            </w:r>
          </w:p>
          <w:p w14:paraId="2A294D07">
            <w:pPr>
              <w:spacing w:before="217" w:line="3367" w:lineRule="exact"/>
              <w:ind w:firstLine="129"/>
            </w:pPr>
            <w:r>
              <w:rPr>
                <w:position w:val="-67"/>
              </w:rPr>
              <w:pict>
                <v:group id="_x0000_s1197" o:spid="_x0000_s1197" o:spt="203" style="height:168.4pt;width:342.25pt;" coordsize="6845,3367">
                  <o:lock v:ext="edit"/>
                  <v:shape id="_x0000_s1198" o:spid="_x0000_s1198" o:spt="202" type="#_x0000_t202" style="position:absolute;left:-20;top:209;height:3177;width:6885;" filled="f" stroked="f" coordsize="21600,21600">
                    <v:path/>
                    <v:fill on="f" focussize="0,0"/>
                    <v:stroke on="f"/>
                    <v:imagedata o:title=""/>
                    <o:lock v:ext="edit" aspectratio="f"/>
                    <v:textbox inset="0mm,0mm,0mm,0mm">
                      <w:txbxContent>
                        <w:p w14:paraId="151FE9AB">
                          <w:pPr>
                            <w:spacing w:before="19" w:line="220" w:lineRule="auto"/>
                            <w:ind w:left="199"/>
                            <w:rPr>
                              <w:rFonts w:ascii="宋体" w:hAnsi="宋体" w:eastAsia="宋体" w:cs="宋体"/>
                              <w:sz w:val="18"/>
                              <w:szCs w:val="18"/>
                            </w:rPr>
                          </w:pPr>
                          <w:r>
                            <w:rPr>
                              <w:rFonts w:ascii="宋体" w:hAnsi="宋体" w:eastAsia="宋体" w:cs="宋体"/>
                              <w:color w:val="595959"/>
                              <w:spacing w:val="-3"/>
                              <w:sz w:val="18"/>
                              <w:szCs w:val="18"/>
                            </w:rPr>
                            <w:t>平均值</w:t>
                          </w:r>
                        </w:p>
                        <w:p w14:paraId="2B8BF17B">
                          <w:pPr>
                            <w:spacing w:line="382" w:lineRule="auto"/>
                            <w:rPr>
                              <w:rFonts w:ascii="Arial"/>
                              <w:sz w:val="21"/>
                            </w:rPr>
                          </w:pPr>
                        </w:p>
                        <w:p w14:paraId="7EAAF773">
                          <w:pPr>
                            <w:spacing w:before="59" w:line="221" w:lineRule="auto"/>
                            <w:ind w:left="22"/>
                            <w:rPr>
                              <w:rFonts w:ascii="宋体" w:hAnsi="宋体" w:eastAsia="宋体" w:cs="宋体"/>
                              <w:sz w:val="18"/>
                              <w:szCs w:val="18"/>
                            </w:rPr>
                          </w:pPr>
                          <w:r>
                            <w:rPr>
                              <w:rFonts w:ascii="宋体" w:hAnsi="宋体" w:eastAsia="宋体" w:cs="宋体"/>
                              <w:color w:val="595959"/>
                              <w:spacing w:val="-3"/>
                              <w:sz w:val="18"/>
                              <w:szCs w:val="18"/>
                            </w:rPr>
                            <w:t>软体动物</w:t>
                          </w:r>
                        </w:p>
                        <w:p w14:paraId="074E9863">
                          <w:pPr>
                            <w:spacing w:line="383" w:lineRule="auto"/>
                            <w:rPr>
                              <w:rFonts w:ascii="Arial"/>
                              <w:sz w:val="21"/>
                            </w:rPr>
                          </w:pPr>
                        </w:p>
                        <w:p w14:paraId="19ECBAB6">
                          <w:pPr>
                            <w:spacing w:before="58" w:line="220" w:lineRule="auto"/>
                            <w:ind w:left="20"/>
                            <w:rPr>
                              <w:rFonts w:ascii="宋体" w:hAnsi="宋体" w:eastAsia="宋体" w:cs="宋体"/>
                              <w:sz w:val="18"/>
                              <w:szCs w:val="18"/>
                            </w:rPr>
                          </w:pPr>
                          <w:r>
                            <w:rPr>
                              <w:rFonts w:ascii="宋体" w:hAnsi="宋体" w:eastAsia="宋体" w:cs="宋体"/>
                              <w:color w:val="595959"/>
                              <w:spacing w:val="-2"/>
                              <w:sz w:val="18"/>
                              <w:szCs w:val="18"/>
                            </w:rPr>
                            <w:t>节肢动物</w:t>
                          </w:r>
                        </w:p>
                        <w:p w14:paraId="5B0D1241">
                          <w:pPr>
                            <w:spacing w:line="383" w:lineRule="auto"/>
                            <w:rPr>
                              <w:rFonts w:ascii="Arial"/>
                              <w:sz w:val="21"/>
                            </w:rPr>
                          </w:pPr>
                        </w:p>
                        <w:p w14:paraId="7AB51D61">
                          <w:pPr>
                            <w:spacing w:before="58" w:line="220" w:lineRule="auto"/>
                            <w:ind w:left="20"/>
                            <w:rPr>
                              <w:rFonts w:ascii="宋体" w:hAnsi="宋体" w:eastAsia="宋体" w:cs="宋体"/>
                              <w:sz w:val="18"/>
                              <w:szCs w:val="18"/>
                            </w:rPr>
                          </w:pPr>
                          <w:r>
                            <w:rPr>
                              <w:rFonts w:ascii="宋体" w:hAnsi="宋体" w:eastAsia="宋体" w:cs="宋体"/>
                              <w:color w:val="595959"/>
                              <w:spacing w:val="-2"/>
                              <w:sz w:val="18"/>
                              <w:szCs w:val="18"/>
                            </w:rPr>
                            <w:t>环节动物</w:t>
                          </w:r>
                        </w:p>
                        <w:p w14:paraId="02A1ACD9">
                          <w:pPr>
                            <w:spacing w:line="308" w:lineRule="auto"/>
                            <w:rPr>
                              <w:rFonts w:ascii="Arial"/>
                              <w:sz w:val="21"/>
                            </w:rPr>
                          </w:pPr>
                        </w:p>
                        <w:p w14:paraId="5795A84E">
                          <w:pPr>
                            <w:spacing w:before="56" w:line="227" w:lineRule="exact"/>
                            <w:ind w:right="19"/>
                            <w:jc w:val="right"/>
                            <w:rPr>
                              <w:rFonts w:ascii="Calibri" w:hAnsi="Calibri" w:eastAsia="Calibri" w:cs="Calibri"/>
                              <w:sz w:val="18"/>
                              <w:szCs w:val="18"/>
                            </w:rPr>
                          </w:pPr>
                          <w:r>
                            <w:rPr>
                              <w:rFonts w:ascii="Calibri" w:hAnsi="Calibri" w:eastAsia="Calibri" w:cs="Calibri"/>
                              <w:color w:val="595959"/>
                              <w:spacing w:val="-2"/>
                              <w:position w:val="1"/>
                              <w:sz w:val="18"/>
                              <w:szCs w:val="18"/>
                            </w:rPr>
                            <w:t>0</w:t>
                          </w:r>
                          <w:r>
                            <w:rPr>
                              <w:rFonts w:ascii="Calibri" w:hAnsi="Calibri" w:eastAsia="Calibri" w:cs="Calibri"/>
                              <w:color w:val="595959"/>
                              <w:position w:val="1"/>
                              <w:sz w:val="18"/>
                              <w:szCs w:val="18"/>
                            </w:rPr>
                            <w:t xml:space="preserve">                         </w:t>
                          </w:r>
                          <w:r>
                            <w:rPr>
                              <w:rFonts w:ascii="Calibri" w:hAnsi="Calibri" w:eastAsia="Calibri" w:cs="Calibri"/>
                              <w:color w:val="595959"/>
                              <w:spacing w:val="-2"/>
                              <w:position w:val="1"/>
                              <w:sz w:val="18"/>
                              <w:szCs w:val="18"/>
                            </w:rPr>
                            <w:t>50</w:t>
                          </w:r>
                          <w:r>
                            <w:rPr>
                              <w:rFonts w:ascii="Calibri" w:hAnsi="Calibri" w:eastAsia="Calibri" w:cs="Calibri"/>
                              <w:color w:val="595959"/>
                              <w:spacing w:val="1"/>
                              <w:position w:val="1"/>
                              <w:sz w:val="18"/>
                              <w:szCs w:val="18"/>
                            </w:rPr>
                            <w:t xml:space="preserve">                       </w:t>
                          </w:r>
                          <w:r>
                            <w:rPr>
                              <w:rFonts w:ascii="Calibri" w:hAnsi="Calibri" w:eastAsia="Calibri" w:cs="Calibri"/>
                              <w:color w:val="595959"/>
                              <w:spacing w:val="-2"/>
                              <w:position w:val="1"/>
                              <w:sz w:val="18"/>
                              <w:szCs w:val="18"/>
                            </w:rPr>
                            <w:t xml:space="preserve">100                       150                     </w:t>
                          </w:r>
                          <w:r>
                            <w:rPr>
                              <w:rFonts w:ascii="Calibri" w:hAnsi="Calibri" w:eastAsia="Calibri" w:cs="Calibri"/>
                              <w:color w:val="595959"/>
                              <w:spacing w:val="-3"/>
                              <w:position w:val="1"/>
                              <w:sz w:val="18"/>
                              <w:szCs w:val="18"/>
                            </w:rPr>
                            <w:t xml:space="preserve">  200</w:t>
                          </w:r>
                          <w:r>
                            <w:rPr>
                              <w:rFonts w:ascii="Calibri" w:hAnsi="Calibri" w:eastAsia="Calibri" w:cs="Calibri"/>
                              <w:color w:val="595959"/>
                              <w:spacing w:val="1"/>
                              <w:position w:val="1"/>
                              <w:sz w:val="18"/>
                              <w:szCs w:val="18"/>
                            </w:rPr>
                            <w:t xml:space="preserve">                   </w:t>
                          </w:r>
                          <w:r>
                            <w:rPr>
                              <w:rFonts w:ascii="Calibri" w:hAnsi="Calibri" w:eastAsia="Calibri" w:cs="Calibri"/>
                              <w:color w:val="595959"/>
                              <w:position w:val="1"/>
                              <w:sz w:val="18"/>
                              <w:szCs w:val="18"/>
                            </w:rPr>
                            <w:t xml:space="preserve">   </w:t>
                          </w:r>
                          <w:r>
                            <w:rPr>
                              <w:rFonts w:ascii="Calibri" w:hAnsi="Calibri" w:eastAsia="Calibri" w:cs="Calibri"/>
                              <w:color w:val="595959"/>
                              <w:spacing w:val="-3"/>
                              <w:position w:val="1"/>
                              <w:sz w:val="18"/>
                              <w:szCs w:val="18"/>
                            </w:rPr>
                            <w:t>250</w:t>
                          </w:r>
                        </w:p>
                        <w:p w14:paraId="77A1ACEC">
                          <w:pPr>
                            <w:spacing w:before="155"/>
                            <w:ind w:left="2523"/>
                            <w:rPr>
                              <w:rFonts w:ascii="宋体" w:hAnsi="宋体" w:eastAsia="宋体" w:cs="宋体"/>
                              <w:sz w:val="18"/>
                              <w:szCs w:val="18"/>
                            </w:rPr>
                          </w:pPr>
                          <w:r>
                            <w:rPr>
                              <w:rFonts w:ascii="Calibri" w:hAnsi="Calibri" w:eastAsia="Calibri" w:cs="Calibri"/>
                              <w:color w:val="595959"/>
                              <w:spacing w:val="-2"/>
                              <w:sz w:val="18"/>
                              <w:szCs w:val="18"/>
                            </w:rPr>
                            <w:t>2020</w:t>
                          </w:r>
                          <w:r>
                            <w:rPr>
                              <w:rFonts w:ascii="宋体" w:hAnsi="宋体" w:eastAsia="宋体" w:cs="宋体"/>
                              <w:color w:val="595959"/>
                              <w:spacing w:val="-2"/>
                              <w:sz w:val="18"/>
                              <w:szCs w:val="18"/>
                            </w:rPr>
                            <w:t>施工期</w:t>
                          </w:r>
                          <w:r>
                            <w:rPr>
                              <w:rFonts w:ascii="宋体" w:hAnsi="宋体" w:eastAsia="宋体" w:cs="宋体"/>
                              <w:color w:val="595959"/>
                              <w:spacing w:val="30"/>
                              <w:sz w:val="18"/>
                              <w:szCs w:val="18"/>
                            </w:rPr>
                            <w:t xml:space="preserve">   </w:t>
                          </w:r>
                          <w:r>
                            <w:rPr>
                              <w:rFonts w:ascii="Calibri" w:hAnsi="Calibri" w:eastAsia="Calibri" w:cs="Calibri"/>
                              <w:color w:val="595959"/>
                              <w:spacing w:val="-2"/>
                              <w:sz w:val="18"/>
                              <w:szCs w:val="18"/>
                            </w:rPr>
                            <w:t>2016</w:t>
                          </w:r>
                          <w:r>
                            <w:rPr>
                              <w:rFonts w:ascii="宋体" w:hAnsi="宋体" w:eastAsia="宋体" w:cs="宋体"/>
                              <w:color w:val="595959"/>
                              <w:spacing w:val="-2"/>
                              <w:sz w:val="18"/>
                              <w:szCs w:val="18"/>
                            </w:rPr>
                            <w:t>环评期</w:t>
                          </w:r>
                        </w:p>
                      </w:txbxContent>
                    </v:textbox>
                  </v:shape>
                  <v:shape id="_x0000_s1199" o:spid="_x0000_s1199" o:spt="75" type="#_x0000_t75" style="position:absolute;left:872;top:0;height:3317;width:5842;" filled="f" stroked="f" coordsize="21600,21600">
                    <v:path/>
                    <v:fill on="f" focussize="0,0"/>
                    <v:stroke on="f"/>
                    <v:imagedata r:id="rId417" o:title=""/>
                    <o:lock v:ext="edit" aspectratio="t"/>
                  </v:shape>
                  <w10:wrap type="none"/>
                  <w10:anchorlock/>
                </v:group>
              </w:pict>
            </w:r>
          </w:p>
        </w:tc>
      </w:tr>
    </w:tbl>
    <w:p w14:paraId="4D38451E">
      <w:pPr>
        <w:pStyle w:val="2"/>
        <w:spacing w:before="167" w:line="234" w:lineRule="auto"/>
        <w:ind w:left="1926"/>
        <w:rPr>
          <w:sz w:val="24"/>
          <w:szCs w:val="24"/>
        </w:rPr>
      </w:pPr>
      <w:r>
        <w:rPr>
          <w:b/>
          <w:bCs/>
          <w:spacing w:val="-3"/>
          <w:sz w:val="24"/>
          <w:szCs w:val="24"/>
        </w:rPr>
        <w:t>图</w:t>
      </w:r>
      <w:r>
        <w:rPr>
          <w:spacing w:val="-39"/>
          <w:sz w:val="24"/>
          <w:szCs w:val="24"/>
        </w:rPr>
        <w:t xml:space="preserve"> </w:t>
      </w:r>
      <w:r>
        <w:rPr>
          <w:rFonts w:ascii="Times New Roman" w:hAnsi="Times New Roman" w:eastAsia="Times New Roman" w:cs="Times New Roman"/>
          <w:b/>
          <w:bCs/>
          <w:spacing w:val="-3"/>
          <w:sz w:val="24"/>
          <w:szCs w:val="24"/>
        </w:rPr>
        <w:t xml:space="preserve">6.1-5      </w:t>
      </w:r>
      <w:r>
        <w:rPr>
          <w:b/>
          <w:bCs/>
          <w:spacing w:val="-3"/>
          <w:sz w:val="24"/>
          <w:szCs w:val="24"/>
        </w:rPr>
        <w:t>施工期和环评期底栖动物密度变化</w:t>
      </w:r>
    </w:p>
    <w:p w14:paraId="78A10738">
      <w:pPr>
        <w:pStyle w:val="2"/>
        <w:spacing w:before="273" w:line="217" w:lineRule="auto"/>
        <w:ind w:left="517"/>
        <w:rPr>
          <w:sz w:val="24"/>
          <w:szCs w:val="24"/>
        </w:rPr>
      </w:pPr>
      <w:r>
        <w:rPr>
          <w:spacing w:val="-2"/>
          <w:sz w:val="24"/>
          <w:szCs w:val="24"/>
        </w:rPr>
        <w:t>②生物量</w:t>
      </w:r>
    </w:p>
    <w:p w14:paraId="70A4642F">
      <w:pPr>
        <w:pStyle w:val="2"/>
        <w:spacing w:before="158" w:line="329" w:lineRule="auto"/>
        <w:ind w:left="39" w:right="48" w:firstLine="480"/>
        <w:rPr>
          <w:sz w:val="24"/>
          <w:szCs w:val="24"/>
        </w:rPr>
      </w:pPr>
      <w:r>
        <w:rPr>
          <w:spacing w:val="-1"/>
          <w:sz w:val="24"/>
          <w:szCs w:val="24"/>
        </w:rPr>
        <w:t xml:space="preserve">监测区底栖动物平均生物量 </w:t>
      </w:r>
      <w:r>
        <w:rPr>
          <w:rFonts w:ascii="Times New Roman" w:hAnsi="Times New Roman" w:eastAsia="Times New Roman" w:cs="Times New Roman"/>
          <w:spacing w:val="-1"/>
          <w:sz w:val="24"/>
          <w:szCs w:val="24"/>
        </w:rPr>
        <w:t>11.9191</w:t>
      </w:r>
      <w:r>
        <w:rPr>
          <w:rFonts w:ascii="Times New Roman" w:hAnsi="Times New Roman" w:eastAsia="Times New Roman" w:cs="Times New Roman"/>
          <w:spacing w:val="-2"/>
          <w:sz w:val="24"/>
          <w:szCs w:val="24"/>
        </w:rPr>
        <w:t>g/m</w:t>
      </w:r>
      <w:r>
        <w:rPr>
          <w:rFonts w:ascii="Times New Roman" w:hAnsi="Times New Roman" w:eastAsia="Times New Roman" w:cs="Times New Roman"/>
          <w:spacing w:val="-2"/>
          <w:position w:val="8"/>
          <w:sz w:val="15"/>
          <w:szCs w:val="15"/>
        </w:rPr>
        <w:t>2</w:t>
      </w:r>
      <w:r>
        <w:rPr>
          <w:spacing w:val="-2"/>
          <w:sz w:val="24"/>
          <w:szCs w:val="24"/>
        </w:rPr>
        <w:t>，其中环节动物</w:t>
      </w:r>
      <w:r>
        <w:rPr>
          <w:spacing w:val="-31"/>
          <w:sz w:val="24"/>
          <w:szCs w:val="24"/>
        </w:rPr>
        <w:t xml:space="preserve"> </w:t>
      </w:r>
      <w:r>
        <w:rPr>
          <w:rFonts w:ascii="Times New Roman" w:hAnsi="Times New Roman" w:eastAsia="Times New Roman" w:cs="Times New Roman"/>
          <w:spacing w:val="-2"/>
          <w:sz w:val="24"/>
          <w:szCs w:val="24"/>
        </w:rPr>
        <w:t>2.8934g/m</w:t>
      </w:r>
      <w:r>
        <w:rPr>
          <w:rFonts w:ascii="Times New Roman" w:hAnsi="Times New Roman" w:eastAsia="Times New Roman" w:cs="Times New Roman"/>
          <w:spacing w:val="-2"/>
          <w:position w:val="8"/>
          <w:sz w:val="15"/>
          <w:szCs w:val="15"/>
        </w:rPr>
        <w:t>2</w:t>
      </w:r>
      <w:r>
        <w:rPr>
          <w:spacing w:val="-2"/>
          <w:sz w:val="24"/>
          <w:szCs w:val="24"/>
        </w:rPr>
        <w:t>、节肢动</w:t>
      </w:r>
      <w:r>
        <w:rPr>
          <w:spacing w:val="-5"/>
          <w:sz w:val="24"/>
          <w:szCs w:val="24"/>
        </w:rPr>
        <w:t>物</w:t>
      </w:r>
      <w:r>
        <w:rPr>
          <w:spacing w:val="-33"/>
          <w:sz w:val="24"/>
          <w:szCs w:val="24"/>
        </w:rPr>
        <w:t xml:space="preserve"> </w:t>
      </w:r>
      <w:r>
        <w:rPr>
          <w:rFonts w:ascii="Times New Roman" w:hAnsi="Times New Roman" w:eastAsia="Times New Roman" w:cs="Times New Roman"/>
          <w:spacing w:val="-5"/>
          <w:sz w:val="24"/>
          <w:szCs w:val="24"/>
        </w:rPr>
        <w:t>6.3629g/m</w:t>
      </w:r>
      <w:r>
        <w:rPr>
          <w:rFonts w:ascii="Times New Roman" w:hAnsi="Times New Roman" w:eastAsia="Times New Roman" w:cs="Times New Roman"/>
          <w:spacing w:val="-5"/>
          <w:position w:val="8"/>
          <w:sz w:val="15"/>
          <w:szCs w:val="15"/>
        </w:rPr>
        <w:t>2</w:t>
      </w:r>
      <w:r>
        <w:rPr>
          <w:spacing w:val="-5"/>
          <w:sz w:val="24"/>
          <w:szCs w:val="24"/>
        </w:rPr>
        <w:t>、软体动物</w:t>
      </w:r>
      <w:r>
        <w:rPr>
          <w:spacing w:val="-54"/>
          <w:sz w:val="24"/>
          <w:szCs w:val="24"/>
        </w:rPr>
        <w:t xml:space="preserve"> </w:t>
      </w:r>
      <w:r>
        <w:rPr>
          <w:rFonts w:ascii="Times New Roman" w:hAnsi="Times New Roman" w:eastAsia="Times New Roman" w:cs="Times New Roman"/>
          <w:spacing w:val="-5"/>
          <w:sz w:val="24"/>
          <w:szCs w:val="24"/>
        </w:rPr>
        <w:t>2.6628g/m</w:t>
      </w:r>
      <w:r>
        <w:rPr>
          <w:rFonts w:ascii="Times New Roman" w:hAnsi="Times New Roman" w:eastAsia="Times New Roman" w:cs="Times New Roman"/>
          <w:spacing w:val="-5"/>
          <w:position w:val="8"/>
          <w:sz w:val="15"/>
          <w:szCs w:val="15"/>
        </w:rPr>
        <w:t>2</w:t>
      </w:r>
      <w:r>
        <w:rPr>
          <w:spacing w:val="-5"/>
          <w:sz w:val="24"/>
          <w:szCs w:val="24"/>
        </w:rPr>
        <w:t>，所占比重分别为</w:t>
      </w:r>
      <w:r>
        <w:rPr>
          <w:spacing w:val="-55"/>
          <w:sz w:val="24"/>
          <w:szCs w:val="24"/>
        </w:rPr>
        <w:t xml:space="preserve"> </w:t>
      </w:r>
      <w:r>
        <w:rPr>
          <w:rFonts w:ascii="Times New Roman" w:hAnsi="Times New Roman" w:eastAsia="Times New Roman" w:cs="Times New Roman"/>
          <w:spacing w:val="-5"/>
          <w:sz w:val="24"/>
          <w:szCs w:val="24"/>
        </w:rPr>
        <w:t>24.28%</w:t>
      </w:r>
      <w:r>
        <w:rPr>
          <w:spacing w:val="-5"/>
          <w:sz w:val="24"/>
          <w:szCs w:val="24"/>
        </w:rPr>
        <w:t>、</w:t>
      </w:r>
      <w:r>
        <w:rPr>
          <w:rFonts w:ascii="Times New Roman" w:hAnsi="Times New Roman" w:eastAsia="Times New Roman" w:cs="Times New Roman"/>
          <w:spacing w:val="-5"/>
          <w:sz w:val="24"/>
          <w:szCs w:val="24"/>
        </w:rPr>
        <w:t>53.38%</w:t>
      </w:r>
      <w:r>
        <w:rPr>
          <w:spacing w:val="-5"/>
          <w:sz w:val="24"/>
          <w:szCs w:val="24"/>
        </w:rPr>
        <w:t>、</w:t>
      </w:r>
      <w:r>
        <w:rPr>
          <w:rFonts w:ascii="Times New Roman" w:hAnsi="Times New Roman" w:eastAsia="Times New Roman" w:cs="Times New Roman"/>
          <w:spacing w:val="-5"/>
          <w:sz w:val="24"/>
          <w:szCs w:val="24"/>
        </w:rPr>
        <w:t>22.34%</w:t>
      </w:r>
      <w:r>
        <w:rPr>
          <w:spacing w:val="-5"/>
          <w:sz w:val="24"/>
          <w:szCs w:val="24"/>
        </w:rPr>
        <w:t>。</w:t>
      </w:r>
    </w:p>
    <w:p w14:paraId="7CED40DE">
      <w:pPr>
        <w:pStyle w:val="2"/>
        <w:spacing w:before="24" w:line="197" w:lineRule="auto"/>
        <w:ind w:left="279"/>
        <w:rPr>
          <w:sz w:val="24"/>
          <w:szCs w:val="24"/>
        </w:rPr>
      </w:pPr>
      <w:r>
        <w:rPr>
          <w:b/>
          <w:bCs/>
          <w:spacing w:val="-1"/>
          <w:sz w:val="24"/>
          <w:szCs w:val="24"/>
        </w:rPr>
        <w:t>表</w:t>
      </w:r>
      <w:r>
        <w:rPr>
          <w:spacing w:val="-50"/>
          <w:sz w:val="24"/>
          <w:szCs w:val="24"/>
        </w:rPr>
        <w:t xml:space="preserve"> </w:t>
      </w:r>
      <w:r>
        <w:rPr>
          <w:rFonts w:ascii="Times New Roman" w:hAnsi="Times New Roman" w:eastAsia="Times New Roman" w:cs="Times New Roman"/>
          <w:b/>
          <w:bCs/>
          <w:spacing w:val="-1"/>
          <w:sz w:val="24"/>
          <w:szCs w:val="24"/>
        </w:rPr>
        <w:t xml:space="preserve">6.1-24              </w:t>
      </w:r>
      <w:r>
        <w:rPr>
          <w:b/>
          <w:bCs/>
          <w:spacing w:val="-1"/>
          <w:sz w:val="24"/>
          <w:szCs w:val="24"/>
        </w:rPr>
        <w:t>环评期和施工期工程评价河段底栖动物生物量（</w:t>
      </w:r>
      <w:r>
        <w:rPr>
          <w:rFonts w:ascii="Times New Roman" w:hAnsi="Times New Roman" w:eastAsia="Times New Roman" w:cs="Times New Roman"/>
          <w:b/>
          <w:bCs/>
          <w:spacing w:val="-1"/>
          <w:sz w:val="24"/>
          <w:szCs w:val="24"/>
        </w:rPr>
        <w:t>g/m</w:t>
      </w:r>
      <w:r>
        <w:rPr>
          <w:rFonts w:ascii="Times New Roman" w:hAnsi="Times New Roman" w:eastAsia="Times New Roman" w:cs="Times New Roman"/>
          <w:b/>
          <w:bCs/>
          <w:spacing w:val="-1"/>
          <w:position w:val="2"/>
          <w:sz w:val="15"/>
          <w:szCs w:val="15"/>
        </w:rPr>
        <w:t>2</w:t>
      </w:r>
      <w:r>
        <w:rPr>
          <w:b/>
          <w:bCs/>
          <w:spacing w:val="-1"/>
          <w:position w:val="2"/>
          <w:sz w:val="24"/>
          <w:szCs w:val="24"/>
        </w:rPr>
        <w:t>）</w:t>
      </w:r>
    </w:p>
    <w:p w14:paraId="608983A1">
      <w:pPr>
        <w:spacing w:line="18" w:lineRule="exact"/>
      </w:pPr>
    </w:p>
    <w:tbl>
      <w:tblPr>
        <w:tblStyle w:val="5"/>
        <w:tblW w:w="8471" w:type="dxa"/>
        <w:tblInd w:w="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4"/>
        <w:gridCol w:w="1911"/>
        <w:gridCol w:w="1912"/>
        <w:gridCol w:w="1911"/>
        <w:gridCol w:w="1183"/>
      </w:tblGrid>
      <w:tr w14:paraId="0BEB3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554" w:type="dxa"/>
            <w:tcBorders>
              <w:top w:val="single" w:color="000000" w:sz="12" w:space="0"/>
              <w:left w:val="single" w:color="000000" w:sz="12" w:space="0"/>
            </w:tcBorders>
            <w:vAlign w:val="top"/>
          </w:tcPr>
          <w:p w14:paraId="56968369">
            <w:pPr>
              <w:spacing w:before="88" w:line="221" w:lineRule="auto"/>
              <w:ind w:left="346"/>
              <w:rPr>
                <w:rFonts w:ascii="宋体" w:hAnsi="宋体" w:eastAsia="宋体" w:cs="宋体"/>
                <w:sz w:val="21"/>
                <w:szCs w:val="21"/>
              </w:rPr>
            </w:pPr>
            <w:r>
              <w:rPr>
                <w:rFonts w:ascii="宋体" w:hAnsi="宋体" w:eastAsia="宋体" w:cs="宋体"/>
                <w:spacing w:val="-3"/>
                <w:sz w:val="21"/>
                <w:szCs w:val="21"/>
              </w:rPr>
              <w:t>监测时间</w:t>
            </w:r>
          </w:p>
        </w:tc>
        <w:tc>
          <w:tcPr>
            <w:tcW w:w="1911" w:type="dxa"/>
            <w:tcBorders>
              <w:top w:val="single" w:color="000000" w:sz="12" w:space="0"/>
            </w:tcBorders>
            <w:vAlign w:val="top"/>
          </w:tcPr>
          <w:p w14:paraId="365C9CA3">
            <w:pPr>
              <w:spacing w:before="88" w:line="220" w:lineRule="auto"/>
              <w:ind w:left="532"/>
              <w:rPr>
                <w:rFonts w:ascii="宋体" w:hAnsi="宋体" w:eastAsia="宋体" w:cs="宋体"/>
                <w:sz w:val="21"/>
                <w:szCs w:val="21"/>
              </w:rPr>
            </w:pPr>
            <w:r>
              <w:rPr>
                <w:rFonts w:ascii="宋体" w:hAnsi="宋体" w:eastAsia="宋体" w:cs="宋体"/>
                <w:spacing w:val="-2"/>
                <w:sz w:val="21"/>
                <w:szCs w:val="21"/>
              </w:rPr>
              <w:t>环节动物</w:t>
            </w:r>
          </w:p>
        </w:tc>
        <w:tc>
          <w:tcPr>
            <w:tcW w:w="1912" w:type="dxa"/>
            <w:tcBorders>
              <w:top w:val="single" w:color="000000" w:sz="12" w:space="0"/>
            </w:tcBorders>
            <w:vAlign w:val="top"/>
          </w:tcPr>
          <w:p w14:paraId="4445240D">
            <w:pPr>
              <w:spacing w:before="88" w:line="220" w:lineRule="auto"/>
              <w:ind w:left="539"/>
              <w:rPr>
                <w:rFonts w:ascii="宋体" w:hAnsi="宋体" w:eastAsia="宋体" w:cs="宋体"/>
                <w:sz w:val="21"/>
                <w:szCs w:val="21"/>
              </w:rPr>
            </w:pPr>
            <w:r>
              <w:rPr>
                <w:rFonts w:ascii="宋体" w:hAnsi="宋体" w:eastAsia="宋体" w:cs="宋体"/>
                <w:spacing w:val="-2"/>
                <w:sz w:val="21"/>
                <w:szCs w:val="21"/>
              </w:rPr>
              <w:t>节肢动物</w:t>
            </w:r>
          </w:p>
        </w:tc>
        <w:tc>
          <w:tcPr>
            <w:tcW w:w="1911" w:type="dxa"/>
            <w:tcBorders>
              <w:top w:val="single" w:color="000000" w:sz="12" w:space="0"/>
            </w:tcBorders>
            <w:vAlign w:val="top"/>
          </w:tcPr>
          <w:p w14:paraId="639607FC">
            <w:pPr>
              <w:spacing w:before="88" w:line="220" w:lineRule="auto"/>
              <w:ind w:left="548"/>
              <w:rPr>
                <w:rFonts w:ascii="宋体" w:hAnsi="宋体" w:eastAsia="宋体" w:cs="宋体"/>
                <w:sz w:val="21"/>
                <w:szCs w:val="21"/>
              </w:rPr>
            </w:pPr>
            <w:r>
              <w:rPr>
                <w:rFonts w:ascii="宋体" w:hAnsi="宋体" w:eastAsia="宋体" w:cs="宋体"/>
                <w:spacing w:val="-3"/>
                <w:sz w:val="21"/>
                <w:szCs w:val="21"/>
              </w:rPr>
              <w:t>软体动物</w:t>
            </w:r>
          </w:p>
        </w:tc>
        <w:tc>
          <w:tcPr>
            <w:tcW w:w="1183" w:type="dxa"/>
            <w:tcBorders>
              <w:top w:val="single" w:color="000000" w:sz="12" w:space="0"/>
              <w:right w:val="single" w:color="000000" w:sz="12" w:space="0"/>
            </w:tcBorders>
            <w:vAlign w:val="top"/>
          </w:tcPr>
          <w:p w14:paraId="72D7BF88">
            <w:pPr>
              <w:spacing w:before="87" w:line="220" w:lineRule="auto"/>
              <w:ind w:left="285"/>
              <w:rPr>
                <w:rFonts w:ascii="宋体" w:hAnsi="宋体" w:eastAsia="宋体" w:cs="宋体"/>
                <w:sz w:val="21"/>
                <w:szCs w:val="21"/>
              </w:rPr>
            </w:pPr>
            <w:r>
              <w:rPr>
                <w:rFonts w:ascii="宋体" w:hAnsi="宋体" w:eastAsia="宋体" w:cs="宋体"/>
                <w:spacing w:val="-2"/>
                <w:sz w:val="21"/>
                <w:szCs w:val="21"/>
              </w:rPr>
              <w:t>平均值</w:t>
            </w:r>
          </w:p>
        </w:tc>
      </w:tr>
      <w:tr w14:paraId="0D4E2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1554" w:type="dxa"/>
            <w:tcBorders>
              <w:left w:val="single" w:color="000000" w:sz="12" w:space="0"/>
            </w:tcBorders>
            <w:vAlign w:val="top"/>
          </w:tcPr>
          <w:p w14:paraId="2BA3F0F5">
            <w:pPr>
              <w:pStyle w:val="6"/>
              <w:spacing w:before="95" w:line="234" w:lineRule="auto"/>
              <w:ind w:left="209"/>
              <w:rPr>
                <w:rFonts w:ascii="宋体" w:hAnsi="宋体" w:eastAsia="宋体" w:cs="宋体"/>
              </w:rPr>
            </w:pPr>
            <w:r>
              <w:rPr>
                <w:spacing w:val="-2"/>
              </w:rPr>
              <w:t>2016</w:t>
            </w:r>
            <w:r>
              <w:rPr>
                <w:spacing w:val="12"/>
              </w:rPr>
              <w:t xml:space="preserve"> </w:t>
            </w:r>
            <w:r>
              <w:rPr>
                <w:rFonts w:ascii="宋体" w:hAnsi="宋体" w:eastAsia="宋体" w:cs="宋体"/>
                <w:spacing w:val="-2"/>
              </w:rPr>
              <w:t>环评期</w:t>
            </w:r>
          </w:p>
        </w:tc>
        <w:tc>
          <w:tcPr>
            <w:tcW w:w="1911" w:type="dxa"/>
            <w:vAlign w:val="top"/>
          </w:tcPr>
          <w:p w14:paraId="7571CCCA">
            <w:pPr>
              <w:pStyle w:val="6"/>
              <w:spacing w:before="128" w:line="232" w:lineRule="auto"/>
              <w:ind w:left="665"/>
            </w:pPr>
            <w:r>
              <w:rPr>
                <w:spacing w:val="-2"/>
              </w:rPr>
              <w:t>3.0856</w:t>
            </w:r>
          </w:p>
        </w:tc>
        <w:tc>
          <w:tcPr>
            <w:tcW w:w="1912" w:type="dxa"/>
            <w:vAlign w:val="top"/>
          </w:tcPr>
          <w:p w14:paraId="6DF65BBE">
            <w:pPr>
              <w:pStyle w:val="6"/>
              <w:spacing w:before="128" w:line="232" w:lineRule="auto"/>
              <w:ind w:left="672"/>
            </w:pPr>
            <w:r>
              <w:rPr>
                <w:spacing w:val="-2"/>
              </w:rPr>
              <w:t>6.5998</w:t>
            </w:r>
          </w:p>
        </w:tc>
        <w:tc>
          <w:tcPr>
            <w:tcW w:w="1911" w:type="dxa"/>
            <w:vAlign w:val="top"/>
          </w:tcPr>
          <w:p w14:paraId="610CEE55">
            <w:pPr>
              <w:pStyle w:val="6"/>
              <w:spacing w:before="128" w:line="232" w:lineRule="auto"/>
              <w:ind w:left="673"/>
            </w:pPr>
            <w:r>
              <w:rPr>
                <w:spacing w:val="-1"/>
              </w:rPr>
              <w:t>2.7625</w:t>
            </w:r>
          </w:p>
        </w:tc>
        <w:tc>
          <w:tcPr>
            <w:tcW w:w="1183" w:type="dxa"/>
            <w:tcBorders>
              <w:right w:val="single" w:color="000000" w:sz="12" w:space="0"/>
            </w:tcBorders>
            <w:vAlign w:val="top"/>
          </w:tcPr>
          <w:p w14:paraId="22E91496">
            <w:pPr>
              <w:pStyle w:val="6"/>
              <w:spacing w:before="128" w:line="232" w:lineRule="auto"/>
              <w:ind w:left="276"/>
            </w:pPr>
            <w:r>
              <w:rPr>
                <w:spacing w:val="-4"/>
              </w:rPr>
              <w:t>12.4479</w:t>
            </w:r>
          </w:p>
        </w:tc>
      </w:tr>
      <w:tr w14:paraId="5D6BD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554" w:type="dxa"/>
            <w:tcBorders>
              <w:left w:val="single" w:color="000000" w:sz="12" w:space="0"/>
              <w:bottom w:val="single" w:color="000000" w:sz="12" w:space="0"/>
            </w:tcBorders>
            <w:vAlign w:val="top"/>
          </w:tcPr>
          <w:p w14:paraId="033771A0">
            <w:pPr>
              <w:pStyle w:val="6"/>
              <w:spacing w:before="105" w:line="234" w:lineRule="auto"/>
              <w:ind w:left="209"/>
              <w:rPr>
                <w:rFonts w:ascii="宋体" w:hAnsi="宋体" w:eastAsia="宋体" w:cs="宋体"/>
              </w:rPr>
            </w:pPr>
            <w:r>
              <w:rPr>
                <w:spacing w:val="-1"/>
              </w:rPr>
              <w:t xml:space="preserve">2020 </w:t>
            </w:r>
            <w:r>
              <w:rPr>
                <w:rFonts w:ascii="宋体" w:hAnsi="宋体" w:eastAsia="宋体" w:cs="宋体"/>
                <w:spacing w:val="-1"/>
              </w:rPr>
              <w:t>施工期</w:t>
            </w:r>
          </w:p>
        </w:tc>
        <w:tc>
          <w:tcPr>
            <w:tcW w:w="1911" w:type="dxa"/>
            <w:tcBorders>
              <w:bottom w:val="single" w:color="000000" w:sz="12" w:space="0"/>
            </w:tcBorders>
            <w:vAlign w:val="top"/>
          </w:tcPr>
          <w:p w14:paraId="13E44C3C">
            <w:pPr>
              <w:pStyle w:val="6"/>
              <w:spacing w:before="138" w:line="232" w:lineRule="auto"/>
              <w:ind w:left="661"/>
            </w:pPr>
            <w:r>
              <w:rPr>
                <w:spacing w:val="-1"/>
              </w:rPr>
              <w:t>2.6934</w:t>
            </w:r>
          </w:p>
        </w:tc>
        <w:tc>
          <w:tcPr>
            <w:tcW w:w="1912" w:type="dxa"/>
            <w:tcBorders>
              <w:bottom w:val="single" w:color="000000" w:sz="12" w:space="0"/>
            </w:tcBorders>
            <w:vAlign w:val="top"/>
          </w:tcPr>
          <w:p w14:paraId="27856F18">
            <w:pPr>
              <w:pStyle w:val="6"/>
              <w:spacing w:before="138" w:line="232" w:lineRule="auto"/>
              <w:ind w:left="673"/>
            </w:pPr>
            <w:r>
              <w:rPr>
                <w:spacing w:val="-2"/>
              </w:rPr>
              <w:t>5.9629</w:t>
            </w:r>
          </w:p>
        </w:tc>
        <w:tc>
          <w:tcPr>
            <w:tcW w:w="1911" w:type="dxa"/>
            <w:tcBorders>
              <w:bottom w:val="single" w:color="000000" w:sz="12" w:space="0"/>
            </w:tcBorders>
            <w:vAlign w:val="top"/>
          </w:tcPr>
          <w:p w14:paraId="119E6613">
            <w:pPr>
              <w:pStyle w:val="6"/>
              <w:spacing w:before="138" w:line="232" w:lineRule="auto"/>
              <w:ind w:left="673"/>
            </w:pPr>
            <w:r>
              <w:rPr>
                <w:spacing w:val="-1"/>
              </w:rPr>
              <w:t>2.4628</w:t>
            </w:r>
          </w:p>
        </w:tc>
        <w:tc>
          <w:tcPr>
            <w:tcW w:w="1183" w:type="dxa"/>
            <w:tcBorders>
              <w:bottom w:val="single" w:color="000000" w:sz="12" w:space="0"/>
              <w:right w:val="single" w:color="000000" w:sz="12" w:space="0"/>
            </w:tcBorders>
            <w:vAlign w:val="top"/>
          </w:tcPr>
          <w:p w14:paraId="0A0D5DA0">
            <w:pPr>
              <w:pStyle w:val="6"/>
              <w:spacing w:before="138" w:line="232" w:lineRule="auto"/>
              <w:ind w:left="276"/>
            </w:pPr>
            <w:r>
              <w:rPr>
                <w:spacing w:val="-4"/>
              </w:rPr>
              <w:t>11.1191</w:t>
            </w:r>
          </w:p>
        </w:tc>
      </w:tr>
    </w:tbl>
    <w:p w14:paraId="1C8AC7D8">
      <w:pPr>
        <w:rPr>
          <w:rFonts w:ascii="Arial"/>
          <w:sz w:val="21"/>
        </w:rPr>
      </w:pPr>
    </w:p>
    <w:p w14:paraId="1C5342E6">
      <w:pPr>
        <w:rPr>
          <w:rFonts w:ascii="Arial" w:hAnsi="Arial" w:eastAsia="Arial" w:cs="Arial"/>
          <w:sz w:val="21"/>
          <w:szCs w:val="21"/>
        </w:rPr>
        <w:sectPr>
          <w:footerReference r:id="rId220" w:type="default"/>
          <w:pgSz w:w="11907" w:h="16839"/>
          <w:pgMar w:top="1376" w:right="1669" w:bottom="1061" w:left="1671" w:header="999" w:footer="861" w:gutter="0"/>
          <w:cols w:space="720" w:num="1"/>
        </w:sectPr>
      </w:pPr>
    </w:p>
    <w:p w14:paraId="56A2CBEF">
      <w:pPr>
        <w:spacing w:line="387" w:lineRule="auto"/>
        <w:rPr>
          <w:rFonts w:ascii="Arial"/>
          <w:sz w:val="21"/>
        </w:rPr>
      </w:pPr>
    </w:p>
    <w:p w14:paraId="774D863B">
      <w:pPr>
        <w:spacing w:line="4340" w:lineRule="exact"/>
        <w:ind w:firstLine="666"/>
      </w:pPr>
      <w:r>
        <w:rPr>
          <w:position w:val="-86"/>
        </w:rPr>
        <w:drawing>
          <wp:inline distT="0" distB="0" distL="0" distR="0">
            <wp:extent cx="4584700" cy="275526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418"/>
                    <a:stretch>
                      <a:fillRect/>
                    </a:stretch>
                  </pic:blipFill>
                  <pic:spPr>
                    <a:xfrm>
                      <a:off x="0" y="0"/>
                      <a:ext cx="4584700" cy="2755645"/>
                    </a:xfrm>
                    <a:prstGeom prst="rect">
                      <a:avLst/>
                    </a:prstGeom>
                  </pic:spPr>
                </pic:pic>
              </a:graphicData>
            </a:graphic>
          </wp:inline>
        </w:drawing>
      </w:r>
    </w:p>
    <w:p w14:paraId="231150F4">
      <w:pPr>
        <w:pStyle w:val="2"/>
        <w:spacing w:before="183" w:line="234" w:lineRule="auto"/>
        <w:ind w:left="1805"/>
        <w:rPr>
          <w:sz w:val="24"/>
          <w:szCs w:val="24"/>
        </w:rPr>
      </w:pPr>
      <w:r>
        <w:rPr>
          <w:b/>
          <w:bCs/>
          <w:spacing w:val="-3"/>
          <w:sz w:val="24"/>
          <w:szCs w:val="24"/>
        </w:rPr>
        <w:t>图</w:t>
      </w:r>
      <w:r>
        <w:rPr>
          <w:spacing w:val="-35"/>
          <w:sz w:val="24"/>
          <w:szCs w:val="24"/>
        </w:rPr>
        <w:t xml:space="preserve"> </w:t>
      </w:r>
      <w:r>
        <w:rPr>
          <w:rFonts w:ascii="Times New Roman" w:hAnsi="Times New Roman" w:eastAsia="Times New Roman" w:cs="Times New Roman"/>
          <w:b/>
          <w:bCs/>
          <w:spacing w:val="-3"/>
          <w:sz w:val="24"/>
          <w:szCs w:val="24"/>
        </w:rPr>
        <w:t xml:space="preserve">6.1-6      </w:t>
      </w:r>
      <w:r>
        <w:rPr>
          <w:b/>
          <w:bCs/>
          <w:spacing w:val="-3"/>
          <w:sz w:val="24"/>
          <w:szCs w:val="24"/>
        </w:rPr>
        <w:t>施工期和环评期底栖动物生物量变化</w:t>
      </w:r>
    </w:p>
    <w:p w14:paraId="1B712BEC">
      <w:pPr>
        <w:pStyle w:val="2"/>
        <w:spacing w:before="288" w:line="354" w:lineRule="auto"/>
        <w:ind w:left="39" w:right="84" w:firstLine="463"/>
        <w:jc w:val="both"/>
        <w:rPr>
          <w:sz w:val="24"/>
          <w:szCs w:val="24"/>
        </w:rPr>
      </w:pPr>
      <w:r>
        <w:rPr>
          <w:spacing w:val="-4"/>
          <w:sz w:val="24"/>
          <w:szCs w:val="24"/>
        </w:rPr>
        <w:t>施工期监测结果表明：底栖动物物种数量基本无变化，监测到</w:t>
      </w:r>
      <w:r>
        <w:rPr>
          <w:spacing w:val="-28"/>
          <w:sz w:val="24"/>
          <w:szCs w:val="24"/>
        </w:rPr>
        <w:t xml:space="preserve"> </w:t>
      </w:r>
      <w:r>
        <w:rPr>
          <w:rFonts w:ascii="Times New Roman" w:hAnsi="Times New Roman" w:eastAsia="Times New Roman" w:cs="Times New Roman"/>
          <w:spacing w:val="-4"/>
          <w:sz w:val="24"/>
          <w:szCs w:val="24"/>
        </w:rPr>
        <w:t>38</w:t>
      </w:r>
      <w:r>
        <w:rPr>
          <w:rFonts w:ascii="Times New Roman" w:hAnsi="Times New Roman" w:eastAsia="Times New Roman" w:cs="Times New Roman"/>
          <w:spacing w:val="17"/>
          <w:sz w:val="24"/>
          <w:szCs w:val="24"/>
        </w:rPr>
        <w:t xml:space="preserve"> </w:t>
      </w:r>
      <w:r>
        <w:rPr>
          <w:spacing w:val="-4"/>
          <w:sz w:val="24"/>
          <w:szCs w:val="24"/>
        </w:rPr>
        <w:t>种，比</w:t>
      </w:r>
      <w:r>
        <w:rPr>
          <w:spacing w:val="-33"/>
          <w:sz w:val="24"/>
          <w:szCs w:val="24"/>
        </w:rPr>
        <w:t xml:space="preserve"> </w:t>
      </w:r>
      <w:r>
        <w:rPr>
          <w:rFonts w:ascii="Times New Roman" w:hAnsi="Times New Roman" w:eastAsia="Times New Roman" w:cs="Times New Roman"/>
          <w:spacing w:val="-4"/>
          <w:sz w:val="24"/>
          <w:szCs w:val="24"/>
        </w:rPr>
        <w:t>2015</w:t>
      </w:r>
      <w:r>
        <w:rPr>
          <w:spacing w:val="-4"/>
          <w:sz w:val="24"/>
          <w:szCs w:val="24"/>
        </w:rPr>
        <w:t>年环评期少一种，生物量环评期有所减少，主要原因是：施工建设及移民搬</w:t>
      </w:r>
      <w:r>
        <w:rPr>
          <w:spacing w:val="-5"/>
          <w:sz w:val="24"/>
          <w:szCs w:val="24"/>
        </w:rPr>
        <w:t>迁使植</w:t>
      </w:r>
      <w:r>
        <w:rPr>
          <w:spacing w:val="-4"/>
          <w:sz w:val="24"/>
          <w:szCs w:val="24"/>
        </w:rPr>
        <w:t>被覆盖面积较小，库周水土流失量增大，降低水质，导致枯水季节评价河</w:t>
      </w:r>
      <w:r>
        <w:rPr>
          <w:spacing w:val="-5"/>
          <w:sz w:val="24"/>
          <w:szCs w:val="24"/>
        </w:rPr>
        <w:t>段水体浑</w:t>
      </w:r>
      <w:r>
        <w:rPr>
          <w:spacing w:val="-4"/>
          <w:sz w:val="24"/>
          <w:szCs w:val="24"/>
        </w:rPr>
        <w:t>浊度增大，部分近岸缓流坑凼可能呈现富营养化，而缓流水滩之砾石也将</w:t>
      </w:r>
      <w:r>
        <w:rPr>
          <w:spacing w:val="-5"/>
          <w:sz w:val="24"/>
          <w:szCs w:val="24"/>
        </w:rPr>
        <w:t>被灰色污</w:t>
      </w:r>
      <w:r>
        <w:rPr>
          <w:spacing w:val="-2"/>
          <w:sz w:val="24"/>
          <w:szCs w:val="24"/>
        </w:rPr>
        <w:t>泥覆盖，影响水生底栖无脊椎动物的生存和繁衍。</w:t>
      </w:r>
    </w:p>
    <w:p w14:paraId="22D018E8">
      <w:pPr>
        <w:pStyle w:val="2"/>
        <w:spacing w:before="103" w:line="220" w:lineRule="auto"/>
        <w:ind w:left="35"/>
        <w:rPr>
          <w:sz w:val="24"/>
          <w:szCs w:val="24"/>
        </w:rPr>
      </w:pPr>
      <w:r>
        <w:rPr>
          <w:rFonts w:ascii="Arial" w:hAnsi="Arial" w:eastAsia="Arial" w:cs="Arial"/>
          <w:spacing w:val="4"/>
          <w:position w:val="1"/>
          <w:sz w:val="18"/>
          <w:szCs w:val="18"/>
        </w:rPr>
        <w:t>6.1.2.5</w:t>
      </w:r>
      <w:r>
        <w:rPr>
          <w:rFonts w:ascii="Arial" w:hAnsi="Arial" w:eastAsia="Arial" w:cs="Arial"/>
          <w:spacing w:val="41"/>
          <w:w w:val="101"/>
          <w:position w:val="1"/>
          <w:sz w:val="18"/>
          <w:szCs w:val="18"/>
        </w:rPr>
        <w:t xml:space="preserve"> </w:t>
      </w:r>
      <w:r>
        <w:rPr>
          <w:b/>
          <w:bCs/>
          <w:spacing w:val="4"/>
          <w:position w:val="-1"/>
          <w:sz w:val="24"/>
          <w:szCs w:val="24"/>
        </w:rPr>
        <w:t>水生维管束植物影响</w:t>
      </w:r>
    </w:p>
    <w:p w14:paraId="72AC4453">
      <w:pPr>
        <w:pStyle w:val="2"/>
        <w:spacing w:before="289" w:line="348" w:lineRule="auto"/>
        <w:ind w:left="40" w:firstLine="480"/>
        <w:rPr>
          <w:sz w:val="24"/>
          <w:szCs w:val="24"/>
        </w:rPr>
      </w:pPr>
      <w:r>
        <w:rPr>
          <w:spacing w:val="-6"/>
          <w:sz w:val="24"/>
          <w:szCs w:val="24"/>
        </w:rPr>
        <w:t xml:space="preserve">调查范围涉及河段的水生维管植物有 </w:t>
      </w:r>
      <w:r>
        <w:rPr>
          <w:rFonts w:ascii="Times New Roman" w:hAnsi="Times New Roman" w:eastAsia="Times New Roman" w:cs="Times New Roman"/>
          <w:spacing w:val="-6"/>
          <w:sz w:val="24"/>
          <w:szCs w:val="24"/>
        </w:rPr>
        <w:t>11</w:t>
      </w:r>
      <w:r>
        <w:rPr>
          <w:rFonts w:ascii="Times New Roman" w:hAnsi="Times New Roman" w:eastAsia="Times New Roman" w:cs="Times New Roman"/>
          <w:spacing w:val="47"/>
          <w:sz w:val="24"/>
          <w:szCs w:val="24"/>
        </w:rPr>
        <w:t xml:space="preserve"> </w:t>
      </w:r>
      <w:r>
        <w:rPr>
          <w:spacing w:val="-6"/>
          <w:sz w:val="24"/>
          <w:szCs w:val="24"/>
        </w:rPr>
        <w:t xml:space="preserve">科 </w:t>
      </w:r>
      <w:r>
        <w:rPr>
          <w:rFonts w:ascii="Times New Roman" w:hAnsi="Times New Roman" w:eastAsia="Times New Roman" w:cs="Times New Roman"/>
          <w:spacing w:val="-6"/>
          <w:sz w:val="24"/>
          <w:szCs w:val="24"/>
        </w:rPr>
        <w:t>16</w:t>
      </w:r>
      <w:r>
        <w:rPr>
          <w:rFonts w:ascii="Times New Roman" w:hAnsi="Times New Roman" w:eastAsia="Times New Roman" w:cs="Times New Roman"/>
          <w:spacing w:val="30"/>
          <w:sz w:val="24"/>
          <w:szCs w:val="24"/>
        </w:rPr>
        <w:t xml:space="preserve"> </w:t>
      </w:r>
      <w:r>
        <w:rPr>
          <w:spacing w:val="-6"/>
          <w:sz w:val="24"/>
          <w:szCs w:val="24"/>
        </w:rPr>
        <w:t xml:space="preserve">属 </w:t>
      </w:r>
      <w:r>
        <w:rPr>
          <w:rFonts w:ascii="Times New Roman" w:hAnsi="Times New Roman" w:eastAsia="Times New Roman" w:cs="Times New Roman"/>
          <w:spacing w:val="-6"/>
          <w:sz w:val="24"/>
          <w:szCs w:val="24"/>
        </w:rPr>
        <w:t>18</w:t>
      </w:r>
      <w:r>
        <w:rPr>
          <w:rFonts w:ascii="Times New Roman" w:hAnsi="Times New Roman" w:eastAsia="Times New Roman" w:cs="Times New Roman"/>
          <w:spacing w:val="29"/>
          <w:sz w:val="24"/>
          <w:szCs w:val="24"/>
        </w:rPr>
        <w:t xml:space="preserve"> </w:t>
      </w:r>
      <w:r>
        <w:rPr>
          <w:spacing w:val="-6"/>
          <w:sz w:val="24"/>
          <w:szCs w:val="24"/>
        </w:rPr>
        <w:t>种，主要种类为禾本科、</w:t>
      </w:r>
      <w:r>
        <w:rPr>
          <w:spacing w:val="-1"/>
          <w:sz w:val="24"/>
          <w:szCs w:val="24"/>
        </w:rPr>
        <w:t>蓼科、菊科、莎草科等植物，见表</w:t>
      </w:r>
      <w:r>
        <w:rPr>
          <w:spacing w:val="-49"/>
          <w:sz w:val="24"/>
          <w:szCs w:val="24"/>
        </w:rPr>
        <w:t xml:space="preserve"> </w:t>
      </w:r>
      <w:r>
        <w:rPr>
          <w:rFonts w:ascii="Times New Roman" w:hAnsi="Times New Roman" w:eastAsia="Times New Roman" w:cs="Times New Roman"/>
          <w:spacing w:val="-1"/>
          <w:sz w:val="24"/>
          <w:szCs w:val="24"/>
        </w:rPr>
        <w:t>6.1-25</w:t>
      </w:r>
      <w:r>
        <w:rPr>
          <w:spacing w:val="-1"/>
          <w:sz w:val="24"/>
          <w:szCs w:val="24"/>
        </w:rPr>
        <w:t>。</w:t>
      </w:r>
    </w:p>
    <w:p w14:paraId="23A0D7A1">
      <w:pPr>
        <w:pStyle w:val="2"/>
        <w:spacing w:before="1" w:line="225" w:lineRule="auto"/>
        <w:ind w:left="279"/>
        <w:rPr>
          <w:sz w:val="24"/>
          <w:szCs w:val="24"/>
        </w:rPr>
      </w:pPr>
      <w:r>
        <w:rPr>
          <w:b/>
          <w:bCs/>
          <w:spacing w:val="-1"/>
          <w:sz w:val="24"/>
          <w:szCs w:val="24"/>
        </w:rPr>
        <w:t>表</w:t>
      </w:r>
      <w:r>
        <w:rPr>
          <w:spacing w:val="-41"/>
          <w:sz w:val="24"/>
          <w:szCs w:val="24"/>
        </w:rPr>
        <w:t xml:space="preserve"> </w:t>
      </w:r>
      <w:r>
        <w:rPr>
          <w:rFonts w:ascii="Times New Roman" w:hAnsi="Times New Roman" w:eastAsia="Times New Roman" w:cs="Times New Roman"/>
          <w:b/>
          <w:bCs/>
          <w:spacing w:val="-1"/>
          <w:sz w:val="24"/>
          <w:szCs w:val="24"/>
        </w:rPr>
        <w:t xml:space="preserve">6.1-25                            </w:t>
      </w:r>
      <w:r>
        <w:rPr>
          <w:b/>
          <w:bCs/>
          <w:spacing w:val="-1"/>
          <w:sz w:val="24"/>
          <w:szCs w:val="24"/>
        </w:rPr>
        <w:t>施工期监测区水生维管束植物名录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3086"/>
        <w:gridCol w:w="655"/>
        <w:gridCol w:w="656"/>
        <w:gridCol w:w="727"/>
        <w:gridCol w:w="655"/>
        <w:gridCol w:w="1105"/>
        <w:gridCol w:w="1123"/>
      </w:tblGrid>
      <w:tr w14:paraId="504F8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66" w:type="dxa"/>
            <w:vMerge w:val="restart"/>
            <w:tcBorders>
              <w:top w:val="single" w:color="000000" w:sz="12" w:space="0"/>
              <w:left w:val="single" w:color="000000" w:sz="12" w:space="0"/>
              <w:bottom w:val="nil"/>
            </w:tcBorders>
            <w:textDirection w:val="tbRlV"/>
            <w:vAlign w:val="top"/>
          </w:tcPr>
          <w:p w14:paraId="4DF6FD6B">
            <w:pPr>
              <w:spacing w:before="130" w:line="210" w:lineRule="auto"/>
              <w:ind w:left="366"/>
              <w:rPr>
                <w:rFonts w:ascii="宋体" w:hAnsi="宋体" w:eastAsia="宋体" w:cs="宋体"/>
                <w:sz w:val="21"/>
                <w:szCs w:val="21"/>
              </w:rPr>
            </w:pPr>
            <w:r>
              <w:rPr>
                <w:rFonts w:ascii="宋体" w:hAnsi="宋体" w:eastAsia="宋体" w:cs="宋体"/>
                <w:spacing w:val="31"/>
                <w:sz w:val="21"/>
                <w:szCs w:val="21"/>
              </w:rPr>
              <w:t>序号</w:t>
            </w:r>
          </w:p>
        </w:tc>
        <w:tc>
          <w:tcPr>
            <w:tcW w:w="3086" w:type="dxa"/>
            <w:vMerge w:val="restart"/>
            <w:tcBorders>
              <w:top w:val="single" w:color="000000" w:sz="12" w:space="0"/>
              <w:bottom w:val="nil"/>
            </w:tcBorders>
            <w:vAlign w:val="top"/>
          </w:tcPr>
          <w:p w14:paraId="523FA84B">
            <w:pPr>
              <w:spacing w:line="432" w:lineRule="auto"/>
              <w:rPr>
                <w:rFonts w:ascii="Arial"/>
                <w:sz w:val="21"/>
              </w:rPr>
            </w:pPr>
          </w:p>
          <w:p w14:paraId="5C8FF684">
            <w:pPr>
              <w:spacing w:before="68" w:line="220" w:lineRule="auto"/>
              <w:ind w:left="1326"/>
              <w:rPr>
                <w:rFonts w:ascii="宋体" w:hAnsi="宋体" w:eastAsia="宋体" w:cs="宋体"/>
                <w:sz w:val="21"/>
                <w:szCs w:val="21"/>
              </w:rPr>
            </w:pPr>
            <w:r>
              <w:rPr>
                <w:rFonts w:ascii="宋体" w:hAnsi="宋体" w:eastAsia="宋体" w:cs="宋体"/>
                <w:spacing w:val="-3"/>
                <w:sz w:val="21"/>
                <w:szCs w:val="21"/>
              </w:rPr>
              <w:t>种类</w:t>
            </w:r>
          </w:p>
        </w:tc>
        <w:tc>
          <w:tcPr>
            <w:tcW w:w="4921" w:type="dxa"/>
            <w:gridSpan w:val="6"/>
            <w:tcBorders>
              <w:top w:val="single" w:color="000000" w:sz="12" w:space="0"/>
              <w:right w:val="single" w:color="000000" w:sz="12" w:space="0"/>
            </w:tcBorders>
            <w:vAlign w:val="top"/>
          </w:tcPr>
          <w:p w14:paraId="4A0663B6">
            <w:pPr>
              <w:spacing w:before="59" w:line="221" w:lineRule="auto"/>
              <w:ind w:left="2250"/>
              <w:rPr>
                <w:rFonts w:ascii="宋体" w:hAnsi="宋体" w:eastAsia="宋体" w:cs="宋体"/>
                <w:sz w:val="21"/>
                <w:szCs w:val="21"/>
              </w:rPr>
            </w:pPr>
            <w:r>
              <w:rPr>
                <w:rFonts w:ascii="宋体" w:hAnsi="宋体" w:eastAsia="宋体" w:cs="宋体"/>
                <w:spacing w:val="-2"/>
                <w:sz w:val="21"/>
                <w:szCs w:val="21"/>
              </w:rPr>
              <w:t>河段</w:t>
            </w:r>
          </w:p>
        </w:tc>
      </w:tr>
      <w:tr w14:paraId="2F255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466" w:type="dxa"/>
            <w:vMerge w:val="continue"/>
            <w:tcBorders>
              <w:top w:val="nil"/>
              <w:left w:val="single" w:color="000000" w:sz="12" w:space="0"/>
            </w:tcBorders>
            <w:textDirection w:val="tbRlV"/>
            <w:vAlign w:val="top"/>
          </w:tcPr>
          <w:p w14:paraId="180629E0">
            <w:pPr>
              <w:rPr>
                <w:rFonts w:ascii="Arial"/>
                <w:sz w:val="21"/>
              </w:rPr>
            </w:pPr>
          </w:p>
        </w:tc>
        <w:tc>
          <w:tcPr>
            <w:tcW w:w="3086" w:type="dxa"/>
            <w:vMerge w:val="continue"/>
            <w:tcBorders>
              <w:top w:val="nil"/>
            </w:tcBorders>
            <w:vAlign w:val="top"/>
          </w:tcPr>
          <w:p w14:paraId="02FA6A10">
            <w:pPr>
              <w:rPr>
                <w:rFonts w:ascii="Arial"/>
                <w:sz w:val="21"/>
              </w:rPr>
            </w:pPr>
          </w:p>
        </w:tc>
        <w:tc>
          <w:tcPr>
            <w:tcW w:w="655" w:type="dxa"/>
            <w:vAlign w:val="top"/>
          </w:tcPr>
          <w:p w14:paraId="248914BA">
            <w:pPr>
              <w:spacing w:before="59" w:line="220" w:lineRule="auto"/>
              <w:ind w:left="124"/>
              <w:rPr>
                <w:rFonts w:ascii="宋体" w:hAnsi="宋体" w:eastAsia="宋体" w:cs="宋体"/>
                <w:sz w:val="21"/>
                <w:szCs w:val="21"/>
              </w:rPr>
            </w:pPr>
            <w:r>
              <w:rPr>
                <w:rFonts w:ascii="宋体" w:hAnsi="宋体" w:eastAsia="宋体" w:cs="宋体"/>
                <w:spacing w:val="-4"/>
                <w:sz w:val="21"/>
                <w:szCs w:val="21"/>
              </w:rPr>
              <w:t>马龙</w:t>
            </w:r>
          </w:p>
          <w:p w14:paraId="4DE23E7B">
            <w:pPr>
              <w:spacing w:before="23" w:line="232" w:lineRule="auto"/>
              <w:ind w:left="223" w:right="115"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56" w:type="dxa"/>
            <w:vAlign w:val="top"/>
          </w:tcPr>
          <w:p w14:paraId="3F178CF2">
            <w:pPr>
              <w:spacing w:before="59" w:line="219" w:lineRule="auto"/>
              <w:ind w:left="123"/>
              <w:rPr>
                <w:rFonts w:ascii="宋体" w:hAnsi="宋体" w:eastAsia="宋体" w:cs="宋体"/>
                <w:sz w:val="21"/>
                <w:szCs w:val="21"/>
              </w:rPr>
            </w:pPr>
            <w:r>
              <w:rPr>
                <w:rFonts w:ascii="宋体" w:hAnsi="宋体" w:eastAsia="宋体" w:cs="宋体"/>
                <w:spacing w:val="-3"/>
                <w:sz w:val="21"/>
                <w:szCs w:val="21"/>
              </w:rPr>
              <w:t>车章</w:t>
            </w:r>
          </w:p>
          <w:p w14:paraId="74907FC6">
            <w:pPr>
              <w:spacing w:before="24" w:line="232" w:lineRule="auto"/>
              <w:ind w:left="227" w:right="112"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27" w:type="dxa"/>
            <w:vAlign w:val="top"/>
          </w:tcPr>
          <w:p w14:paraId="18CF64EE">
            <w:pPr>
              <w:spacing w:before="59" w:line="222" w:lineRule="auto"/>
              <w:ind w:left="190"/>
              <w:rPr>
                <w:rFonts w:ascii="宋体" w:hAnsi="宋体" w:eastAsia="宋体" w:cs="宋体"/>
                <w:sz w:val="21"/>
                <w:szCs w:val="21"/>
              </w:rPr>
            </w:pPr>
            <w:r>
              <w:rPr>
                <w:rFonts w:ascii="宋体" w:hAnsi="宋体" w:eastAsia="宋体" w:cs="宋体"/>
                <w:spacing w:val="-10"/>
                <w:sz w:val="21"/>
                <w:szCs w:val="21"/>
              </w:rPr>
              <w:t>白塔</w:t>
            </w:r>
          </w:p>
          <w:p w14:paraId="004B6364">
            <w:pPr>
              <w:spacing w:before="21" w:line="232" w:lineRule="auto"/>
              <w:ind w:left="264" w:right="145"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55" w:type="dxa"/>
            <w:vAlign w:val="top"/>
          </w:tcPr>
          <w:p w14:paraId="1B9FED5C">
            <w:pPr>
              <w:spacing w:before="59" w:line="222" w:lineRule="auto"/>
              <w:ind w:left="156"/>
              <w:rPr>
                <w:rFonts w:ascii="宋体" w:hAnsi="宋体" w:eastAsia="宋体" w:cs="宋体"/>
                <w:sz w:val="21"/>
                <w:szCs w:val="21"/>
              </w:rPr>
            </w:pPr>
            <w:r>
              <w:rPr>
                <w:rFonts w:ascii="宋体" w:hAnsi="宋体" w:eastAsia="宋体" w:cs="宋体"/>
                <w:spacing w:val="-10"/>
                <w:sz w:val="21"/>
                <w:szCs w:val="21"/>
              </w:rPr>
              <w:t>白塔</w:t>
            </w:r>
          </w:p>
          <w:p w14:paraId="7B82FB6A">
            <w:pPr>
              <w:spacing w:before="21" w:line="232" w:lineRule="auto"/>
              <w:ind w:left="234" w:right="107"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105" w:type="dxa"/>
            <w:vAlign w:val="top"/>
          </w:tcPr>
          <w:p w14:paraId="5FF69933">
            <w:pPr>
              <w:spacing w:before="59" w:line="219" w:lineRule="auto"/>
              <w:ind w:left="152"/>
              <w:rPr>
                <w:rFonts w:ascii="宋体" w:hAnsi="宋体" w:eastAsia="宋体" w:cs="宋体"/>
                <w:sz w:val="21"/>
                <w:szCs w:val="21"/>
              </w:rPr>
            </w:pPr>
            <w:r>
              <w:rPr>
                <w:rFonts w:ascii="宋体" w:hAnsi="宋体" w:eastAsia="宋体" w:cs="宋体"/>
                <w:spacing w:val="-3"/>
                <w:sz w:val="21"/>
                <w:szCs w:val="21"/>
              </w:rPr>
              <w:t>马龙河干</w:t>
            </w:r>
          </w:p>
          <w:p w14:paraId="4816D0E4">
            <w:pPr>
              <w:spacing w:before="23" w:line="220" w:lineRule="auto"/>
              <w:ind w:left="146"/>
              <w:rPr>
                <w:rFonts w:ascii="宋体" w:hAnsi="宋体" w:eastAsia="宋体" w:cs="宋体"/>
                <w:sz w:val="21"/>
                <w:szCs w:val="21"/>
              </w:rPr>
            </w:pPr>
            <w:r>
              <w:rPr>
                <w:rFonts w:ascii="宋体" w:hAnsi="宋体" w:eastAsia="宋体" w:cs="宋体"/>
                <w:spacing w:val="-2"/>
                <w:sz w:val="21"/>
                <w:szCs w:val="21"/>
              </w:rPr>
              <w:t>流离坝址</w:t>
            </w:r>
          </w:p>
          <w:p w14:paraId="30A82BD4">
            <w:pPr>
              <w:pStyle w:val="6"/>
              <w:spacing w:before="22" w:line="225" w:lineRule="auto"/>
              <w:ind w:left="244"/>
              <w:rPr>
                <w:rFonts w:ascii="宋体" w:hAnsi="宋体" w:eastAsia="宋体" w:cs="宋体"/>
              </w:rPr>
            </w:pPr>
            <w:r>
              <w:rPr>
                <w:spacing w:val="-1"/>
              </w:rPr>
              <w:t>2km</w:t>
            </w:r>
            <w:r>
              <w:rPr>
                <w:spacing w:val="10"/>
              </w:rPr>
              <w:t xml:space="preserve"> </w:t>
            </w:r>
            <w:r>
              <w:rPr>
                <w:rFonts w:ascii="宋体" w:hAnsi="宋体" w:eastAsia="宋体" w:cs="宋体"/>
                <w:spacing w:val="-1"/>
              </w:rPr>
              <w:t>处</w:t>
            </w:r>
          </w:p>
        </w:tc>
        <w:tc>
          <w:tcPr>
            <w:tcW w:w="1123" w:type="dxa"/>
            <w:tcBorders>
              <w:right w:val="single" w:color="000000" w:sz="12" w:space="0"/>
            </w:tcBorders>
            <w:vAlign w:val="top"/>
          </w:tcPr>
          <w:p w14:paraId="53BD3915">
            <w:pPr>
              <w:spacing w:before="59" w:line="219" w:lineRule="auto"/>
              <w:ind w:left="157"/>
              <w:rPr>
                <w:rFonts w:ascii="宋体" w:hAnsi="宋体" w:eastAsia="宋体" w:cs="宋体"/>
                <w:sz w:val="21"/>
                <w:szCs w:val="21"/>
              </w:rPr>
            </w:pPr>
            <w:r>
              <w:rPr>
                <w:rFonts w:ascii="宋体" w:hAnsi="宋体" w:eastAsia="宋体" w:cs="宋体"/>
                <w:spacing w:val="-3"/>
                <w:sz w:val="21"/>
                <w:szCs w:val="21"/>
              </w:rPr>
              <w:t>马龙河干</w:t>
            </w:r>
          </w:p>
          <w:p w14:paraId="44C9E0F8">
            <w:pPr>
              <w:spacing w:before="23" w:line="220" w:lineRule="auto"/>
              <w:ind w:left="151"/>
              <w:rPr>
                <w:rFonts w:ascii="宋体" w:hAnsi="宋体" w:eastAsia="宋体" w:cs="宋体"/>
                <w:sz w:val="21"/>
                <w:szCs w:val="21"/>
              </w:rPr>
            </w:pPr>
            <w:r>
              <w:rPr>
                <w:rFonts w:ascii="宋体" w:hAnsi="宋体" w:eastAsia="宋体" w:cs="宋体"/>
                <w:spacing w:val="-2"/>
                <w:sz w:val="21"/>
                <w:szCs w:val="21"/>
              </w:rPr>
              <w:t>流离坝址</w:t>
            </w:r>
          </w:p>
          <w:p w14:paraId="7B02203C">
            <w:pPr>
              <w:pStyle w:val="6"/>
              <w:spacing w:before="22" w:line="225" w:lineRule="auto"/>
              <w:ind w:left="25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6F865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66" w:type="dxa"/>
            <w:tcBorders>
              <w:left w:val="single" w:color="000000" w:sz="12" w:space="0"/>
            </w:tcBorders>
            <w:vAlign w:val="top"/>
          </w:tcPr>
          <w:p w14:paraId="4F61F730">
            <w:pPr>
              <w:spacing w:before="145" w:line="163" w:lineRule="exact"/>
              <w:ind w:left="117"/>
              <w:rPr>
                <w:rFonts w:ascii="宋体" w:hAnsi="宋体" w:eastAsia="宋体" w:cs="宋体"/>
                <w:sz w:val="21"/>
                <w:szCs w:val="21"/>
              </w:rPr>
            </w:pPr>
            <w:r>
              <w:rPr>
                <w:rFonts w:ascii="宋体" w:hAnsi="宋体" w:eastAsia="宋体" w:cs="宋体"/>
                <w:b/>
                <w:bCs/>
                <w:spacing w:val="-3"/>
                <w:position w:val="-4"/>
                <w:sz w:val="21"/>
                <w:szCs w:val="21"/>
              </w:rPr>
              <w:t>一</w:t>
            </w:r>
          </w:p>
        </w:tc>
        <w:tc>
          <w:tcPr>
            <w:tcW w:w="3086" w:type="dxa"/>
            <w:vAlign w:val="top"/>
          </w:tcPr>
          <w:p w14:paraId="75640B32">
            <w:pPr>
              <w:pStyle w:val="6"/>
              <w:spacing w:before="67" w:line="212" w:lineRule="auto"/>
              <w:ind w:left="391"/>
            </w:pPr>
            <w:r>
              <w:rPr>
                <w:rFonts w:ascii="宋体" w:hAnsi="宋体" w:eastAsia="宋体" w:cs="宋体"/>
                <w:b/>
                <w:bCs/>
                <w:spacing w:val="-2"/>
              </w:rPr>
              <w:t>水鳖科</w:t>
            </w:r>
            <w:r>
              <w:rPr>
                <w:rFonts w:ascii="宋体" w:hAnsi="宋体" w:eastAsia="宋体" w:cs="宋体"/>
                <w:spacing w:val="-29"/>
              </w:rPr>
              <w:t xml:space="preserve"> </w:t>
            </w:r>
            <w:r>
              <w:rPr>
                <w:b/>
                <w:bCs/>
                <w:spacing w:val="-2"/>
              </w:rPr>
              <w:t>Hydrocharitaceae</w:t>
            </w:r>
          </w:p>
        </w:tc>
        <w:tc>
          <w:tcPr>
            <w:tcW w:w="655" w:type="dxa"/>
            <w:vAlign w:val="top"/>
          </w:tcPr>
          <w:p w14:paraId="1DFC951D">
            <w:pPr>
              <w:rPr>
                <w:rFonts w:ascii="Arial"/>
                <w:sz w:val="21"/>
              </w:rPr>
            </w:pPr>
          </w:p>
        </w:tc>
        <w:tc>
          <w:tcPr>
            <w:tcW w:w="656" w:type="dxa"/>
            <w:vAlign w:val="top"/>
          </w:tcPr>
          <w:p w14:paraId="37DF8333">
            <w:pPr>
              <w:rPr>
                <w:rFonts w:ascii="Arial"/>
                <w:sz w:val="21"/>
              </w:rPr>
            </w:pPr>
          </w:p>
        </w:tc>
        <w:tc>
          <w:tcPr>
            <w:tcW w:w="727" w:type="dxa"/>
            <w:vAlign w:val="top"/>
          </w:tcPr>
          <w:p w14:paraId="0F6F87B3">
            <w:pPr>
              <w:rPr>
                <w:rFonts w:ascii="Arial"/>
                <w:sz w:val="21"/>
              </w:rPr>
            </w:pPr>
          </w:p>
        </w:tc>
        <w:tc>
          <w:tcPr>
            <w:tcW w:w="655" w:type="dxa"/>
            <w:vAlign w:val="top"/>
          </w:tcPr>
          <w:p w14:paraId="1F201113">
            <w:pPr>
              <w:rPr>
                <w:rFonts w:ascii="Arial"/>
                <w:sz w:val="21"/>
              </w:rPr>
            </w:pPr>
          </w:p>
        </w:tc>
        <w:tc>
          <w:tcPr>
            <w:tcW w:w="1105" w:type="dxa"/>
            <w:vAlign w:val="top"/>
          </w:tcPr>
          <w:p w14:paraId="30C02B4D">
            <w:pPr>
              <w:rPr>
                <w:rFonts w:ascii="Arial"/>
                <w:sz w:val="21"/>
              </w:rPr>
            </w:pPr>
          </w:p>
        </w:tc>
        <w:tc>
          <w:tcPr>
            <w:tcW w:w="1123" w:type="dxa"/>
            <w:tcBorders>
              <w:right w:val="single" w:color="000000" w:sz="12" w:space="0"/>
            </w:tcBorders>
            <w:vAlign w:val="top"/>
          </w:tcPr>
          <w:p w14:paraId="04D5E74E">
            <w:pPr>
              <w:rPr>
                <w:rFonts w:ascii="Arial"/>
                <w:sz w:val="21"/>
              </w:rPr>
            </w:pPr>
          </w:p>
        </w:tc>
      </w:tr>
      <w:tr w14:paraId="569BB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466" w:type="dxa"/>
            <w:tcBorders>
              <w:left w:val="single" w:color="000000" w:sz="12" w:space="0"/>
            </w:tcBorders>
            <w:vAlign w:val="top"/>
          </w:tcPr>
          <w:p w14:paraId="12FF5151">
            <w:pPr>
              <w:pStyle w:val="6"/>
              <w:spacing w:before="102" w:line="216" w:lineRule="auto"/>
              <w:ind w:left="182"/>
            </w:pPr>
            <w:r>
              <w:t>1</w:t>
            </w:r>
          </w:p>
        </w:tc>
        <w:tc>
          <w:tcPr>
            <w:tcW w:w="3086" w:type="dxa"/>
            <w:vAlign w:val="top"/>
          </w:tcPr>
          <w:p w14:paraId="6ADDE8F6">
            <w:pPr>
              <w:pStyle w:val="6"/>
              <w:spacing w:before="68" w:line="221" w:lineRule="auto"/>
              <w:ind w:left="266"/>
            </w:pPr>
            <w:r>
              <w:rPr>
                <w:rFonts w:ascii="宋体" w:hAnsi="宋体" w:eastAsia="宋体" w:cs="宋体"/>
                <w:spacing w:val="-2"/>
              </w:rPr>
              <w:t>亚洲苦草</w:t>
            </w:r>
            <w:r>
              <w:rPr>
                <w:rFonts w:ascii="宋体" w:hAnsi="宋体" w:eastAsia="宋体" w:cs="宋体"/>
                <w:spacing w:val="-17"/>
              </w:rPr>
              <w:t xml:space="preserve"> </w:t>
            </w:r>
            <w:r>
              <w:rPr>
                <w:i/>
                <w:iCs/>
                <w:spacing w:val="-2"/>
              </w:rPr>
              <w:t>Vallisneria asiatica</w:t>
            </w:r>
          </w:p>
        </w:tc>
        <w:tc>
          <w:tcPr>
            <w:tcW w:w="655" w:type="dxa"/>
            <w:vAlign w:val="top"/>
          </w:tcPr>
          <w:p w14:paraId="31BDAB28">
            <w:pPr>
              <w:pStyle w:val="6"/>
              <w:spacing w:before="102" w:line="216" w:lineRule="auto"/>
              <w:ind w:left="264"/>
            </w:pPr>
            <w:r>
              <w:t>+</w:t>
            </w:r>
          </w:p>
        </w:tc>
        <w:tc>
          <w:tcPr>
            <w:tcW w:w="656" w:type="dxa"/>
            <w:vAlign w:val="top"/>
          </w:tcPr>
          <w:p w14:paraId="3BFD6490">
            <w:pPr>
              <w:pStyle w:val="6"/>
              <w:spacing w:before="102" w:line="216" w:lineRule="auto"/>
              <w:ind w:left="268"/>
            </w:pPr>
            <w:r>
              <w:t>+</w:t>
            </w:r>
          </w:p>
        </w:tc>
        <w:tc>
          <w:tcPr>
            <w:tcW w:w="727" w:type="dxa"/>
            <w:vAlign w:val="top"/>
          </w:tcPr>
          <w:p w14:paraId="08A4BE90">
            <w:pPr>
              <w:pStyle w:val="6"/>
              <w:spacing w:before="102" w:line="216" w:lineRule="auto"/>
              <w:ind w:left="306"/>
            </w:pPr>
            <w:r>
              <w:t>+</w:t>
            </w:r>
          </w:p>
        </w:tc>
        <w:tc>
          <w:tcPr>
            <w:tcW w:w="655" w:type="dxa"/>
            <w:vAlign w:val="top"/>
          </w:tcPr>
          <w:p w14:paraId="77873603">
            <w:pPr>
              <w:pStyle w:val="6"/>
              <w:spacing w:before="102" w:line="216" w:lineRule="auto"/>
              <w:ind w:left="272"/>
            </w:pPr>
            <w:r>
              <w:t>+</w:t>
            </w:r>
          </w:p>
        </w:tc>
        <w:tc>
          <w:tcPr>
            <w:tcW w:w="1105" w:type="dxa"/>
            <w:vAlign w:val="top"/>
          </w:tcPr>
          <w:p w14:paraId="3C4A5F2F">
            <w:pPr>
              <w:rPr>
                <w:rFonts w:ascii="Arial"/>
                <w:sz w:val="21"/>
              </w:rPr>
            </w:pPr>
          </w:p>
        </w:tc>
        <w:tc>
          <w:tcPr>
            <w:tcW w:w="1123" w:type="dxa"/>
            <w:tcBorders>
              <w:right w:val="single" w:color="000000" w:sz="12" w:space="0"/>
            </w:tcBorders>
            <w:vAlign w:val="top"/>
          </w:tcPr>
          <w:p w14:paraId="2BB297EE">
            <w:pPr>
              <w:rPr>
                <w:rFonts w:ascii="Arial"/>
                <w:sz w:val="21"/>
              </w:rPr>
            </w:pPr>
          </w:p>
        </w:tc>
      </w:tr>
      <w:tr w14:paraId="3C435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466" w:type="dxa"/>
            <w:tcBorders>
              <w:left w:val="single" w:color="000000" w:sz="12" w:space="0"/>
            </w:tcBorders>
            <w:vAlign w:val="top"/>
          </w:tcPr>
          <w:p w14:paraId="3EE387C5">
            <w:pPr>
              <w:spacing w:before="111" w:line="178" w:lineRule="auto"/>
              <w:ind w:left="117"/>
              <w:rPr>
                <w:rFonts w:ascii="宋体" w:hAnsi="宋体" w:eastAsia="宋体" w:cs="宋体"/>
                <w:sz w:val="21"/>
                <w:szCs w:val="21"/>
              </w:rPr>
            </w:pPr>
            <w:r>
              <w:rPr>
                <w:rFonts w:ascii="宋体" w:hAnsi="宋体" w:eastAsia="宋体" w:cs="宋体"/>
                <w:b/>
                <w:bCs/>
                <w:spacing w:val="-3"/>
                <w:sz w:val="21"/>
                <w:szCs w:val="21"/>
              </w:rPr>
              <w:t>二</w:t>
            </w:r>
          </w:p>
        </w:tc>
        <w:tc>
          <w:tcPr>
            <w:tcW w:w="3086" w:type="dxa"/>
            <w:vAlign w:val="top"/>
          </w:tcPr>
          <w:p w14:paraId="59A19D80">
            <w:pPr>
              <w:pStyle w:val="6"/>
              <w:spacing w:before="71" w:line="219" w:lineRule="auto"/>
              <w:ind w:left="693"/>
            </w:pPr>
            <w:r>
              <w:rPr>
                <w:rFonts w:ascii="宋体" w:hAnsi="宋体" w:eastAsia="宋体" w:cs="宋体"/>
                <w:b/>
                <w:bCs/>
                <w:spacing w:val="-2"/>
              </w:rPr>
              <w:t>禾本科</w:t>
            </w:r>
            <w:r>
              <w:rPr>
                <w:rFonts w:ascii="宋体" w:hAnsi="宋体" w:eastAsia="宋体" w:cs="宋体"/>
                <w:spacing w:val="-43"/>
              </w:rPr>
              <w:t xml:space="preserve"> </w:t>
            </w:r>
            <w:r>
              <w:rPr>
                <w:b/>
                <w:bCs/>
                <w:spacing w:val="-2"/>
              </w:rPr>
              <w:t>Gramineae</w:t>
            </w:r>
          </w:p>
        </w:tc>
        <w:tc>
          <w:tcPr>
            <w:tcW w:w="655" w:type="dxa"/>
            <w:vAlign w:val="top"/>
          </w:tcPr>
          <w:p w14:paraId="4C32B45A">
            <w:pPr>
              <w:rPr>
                <w:rFonts w:ascii="Arial"/>
                <w:sz w:val="21"/>
              </w:rPr>
            </w:pPr>
          </w:p>
        </w:tc>
        <w:tc>
          <w:tcPr>
            <w:tcW w:w="656" w:type="dxa"/>
            <w:vAlign w:val="top"/>
          </w:tcPr>
          <w:p w14:paraId="29F2C704">
            <w:pPr>
              <w:rPr>
                <w:rFonts w:ascii="Arial"/>
                <w:sz w:val="21"/>
              </w:rPr>
            </w:pPr>
          </w:p>
        </w:tc>
        <w:tc>
          <w:tcPr>
            <w:tcW w:w="727" w:type="dxa"/>
            <w:vAlign w:val="top"/>
          </w:tcPr>
          <w:p w14:paraId="2230BE9B">
            <w:pPr>
              <w:rPr>
                <w:rFonts w:ascii="Arial"/>
                <w:sz w:val="21"/>
              </w:rPr>
            </w:pPr>
          </w:p>
        </w:tc>
        <w:tc>
          <w:tcPr>
            <w:tcW w:w="655" w:type="dxa"/>
            <w:vAlign w:val="top"/>
          </w:tcPr>
          <w:p w14:paraId="7F8E776B">
            <w:pPr>
              <w:rPr>
                <w:rFonts w:ascii="Arial"/>
                <w:sz w:val="21"/>
              </w:rPr>
            </w:pPr>
          </w:p>
        </w:tc>
        <w:tc>
          <w:tcPr>
            <w:tcW w:w="1105" w:type="dxa"/>
            <w:vAlign w:val="top"/>
          </w:tcPr>
          <w:p w14:paraId="12606C75">
            <w:pPr>
              <w:rPr>
                <w:rFonts w:ascii="Arial"/>
                <w:sz w:val="21"/>
              </w:rPr>
            </w:pPr>
          </w:p>
        </w:tc>
        <w:tc>
          <w:tcPr>
            <w:tcW w:w="1123" w:type="dxa"/>
            <w:tcBorders>
              <w:right w:val="single" w:color="000000" w:sz="12" w:space="0"/>
            </w:tcBorders>
            <w:vAlign w:val="top"/>
          </w:tcPr>
          <w:p w14:paraId="3B0F0C38">
            <w:pPr>
              <w:rPr>
                <w:rFonts w:ascii="Arial"/>
                <w:sz w:val="21"/>
              </w:rPr>
            </w:pPr>
          </w:p>
        </w:tc>
      </w:tr>
      <w:tr w14:paraId="74416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466" w:type="dxa"/>
            <w:tcBorders>
              <w:left w:val="single" w:color="000000" w:sz="12" w:space="0"/>
            </w:tcBorders>
            <w:vAlign w:val="top"/>
          </w:tcPr>
          <w:p w14:paraId="48D7730C">
            <w:pPr>
              <w:pStyle w:val="6"/>
              <w:spacing w:before="229" w:line="235" w:lineRule="auto"/>
              <w:ind w:left="162"/>
            </w:pPr>
            <w:r>
              <w:t>2</w:t>
            </w:r>
          </w:p>
        </w:tc>
        <w:tc>
          <w:tcPr>
            <w:tcW w:w="3086" w:type="dxa"/>
            <w:vAlign w:val="top"/>
          </w:tcPr>
          <w:p w14:paraId="14EA5FED">
            <w:pPr>
              <w:spacing w:before="73" w:line="220" w:lineRule="auto"/>
              <w:ind w:left="1222"/>
              <w:rPr>
                <w:rFonts w:ascii="宋体" w:hAnsi="宋体" w:eastAsia="宋体" w:cs="宋体"/>
                <w:sz w:val="21"/>
                <w:szCs w:val="21"/>
              </w:rPr>
            </w:pPr>
            <w:r>
              <w:rPr>
                <w:rFonts w:ascii="宋体" w:hAnsi="宋体" w:eastAsia="宋体" w:cs="宋体"/>
                <w:spacing w:val="-3"/>
                <w:sz w:val="21"/>
                <w:szCs w:val="21"/>
              </w:rPr>
              <w:t>细柄草</w:t>
            </w:r>
          </w:p>
          <w:p w14:paraId="03EBB957">
            <w:pPr>
              <w:pStyle w:val="6"/>
              <w:spacing w:before="40" w:line="190" w:lineRule="auto"/>
              <w:ind w:left="413"/>
            </w:pPr>
            <w:r>
              <w:rPr>
                <w:i/>
                <w:iCs/>
              </w:rPr>
              <w:t>Capillipedium</w:t>
            </w:r>
            <w:r>
              <w:rPr>
                <w:i/>
                <w:iCs/>
                <w:spacing w:val="-14"/>
              </w:rPr>
              <w:t xml:space="preserve"> </w:t>
            </w:r>
            <w:r>
              <w:rPr>
                <w:i/>
                <w:iCs/>
              </w:rPr>
              <w:t>parviflorum</w:t>
            </w:r>
          </w:p>
        </w:tc>
        <w:tc>
          <w:tcPr>
            <w:tcW w:w="655" w:type="dxa"/>
            <w:vAlign w:val="top"/>
          </w:tcPr>
          <w:p w14:paraId="22398C7B">
            <w:pPr>
              <w:pStyle w:val="6"/>
              <w:spacing w:before="229" w:line="251" w:lineRule="exact"/>
              <w:ind w:left="264"/>
            </w:pPr>
            <w:r>
              <w:rPr>
                <w:position w:val="1"/>
              </w:rPr>
              <w:t>+</w:t>
            </w:r>
          </w:p>
        </w:tc>
        <w:tc>
          <w:tcPr>
            <w:tcW w:w="656" w:type="dxa"/>
            <w:vAlign w:val="top"/>
          </w:tcPr>
          <w:p w14:paraId="6D1F5242">
            <w:pPr>
              <w:pStyle w:val="6"/>
              <w:spacing w:before="229" w:line="251" w:lineRule="exact"/>
              <w:ind w:left="209"/>
            </w:pPr>
            <w:r>
              <w:rPr>
                <w:spacing w:val="-1"/>
                <w:position w:val="1"/>
              </w:rPr>
              <w:t>++</w:t>
            </w:r>
          </w:p>
        </w:tc>
        <w:tc>
          <w:tcPr>
            <w:tcW w:w="727" w:type="dxa"/>
            <w:vAlign w:val="top"/>
          </w:tcPr>
          <w:p w14:paraId="38E16AC4">
            <w:pPr>
              <w:rPr>
                <w:rFonts w:ascii="Arial"/>
                <w:sz w:val="21"/>
              </w:rPr>
            </w:pPr>
          </w:p>
        </w:tc>
        <w:tc>
          <w:tcPr>
            <w:tcW w:w="655" w:type="dxa"/>
            <w:vAlign w:val="top"/>
          </w:tcPr>
          <w:p w14:paraId="6A823C98">
            <w:pPr>
              <w:pStyle w:val="6"/>
              <w:spacing w:before="229" w:line="251" w:lineRule="exact"/>
              <w:ind w:left="214"/>
            </w:pPr>
            <w:r>
              <w:rPr>
                <w:spacing w:val="-1"/>
                <w:position w:val="1"/>
              </w:rPr>
              <w:t>++</w:t>
            </w:r>
          </w:p>
        </w:tc>
        <w:tc>
          <w:tcPr>
            <w:tcW w:w="1105" w:type="dxa"/>
            <w:vAlign w:val="top"/>
          </w:tcPr>
          <w:p w14:paraId="15B52087">
            <w:pPr>
              <w:rPr>
                <w:rFonts w:ascii="Arial"/>
                <w:sz w:val="21"/>
              </w:rPr>
            </w:pPr>
          </w:p>
        </w:tc>
        <w:tc>
          <w:tcPr>
            <w:tcW w:w="1123" w:type="dxa"/>
            <w:tcBorders>
              <w:right w:val="single" w:color="000000" w:sz="12" w:space="0"/>
            </w:tcBorders>
            <w:vAlign w:val="top"/>
          </w:tcPr>
          <w:p w14:paraId="1E9099A5">
            <w:pPr>
              <w:pStyle w:val="6"/>
              <w:spacing w:before="229" w:line="251" w:lineRule="exact"/>
              <w:ind w:left="447"/>
            </w:pPr>
            <w:r>
              <w:rPr>
                <w:spacing w:val="-1"/>
                <w:position w:val="1"/>
              </w:rPr>
              <w:t>++</w:t>
            </w:r>
          </w:p>
        </w:tc>
      </w:tr>
      <w:tr w14:paraId="7D091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66" w:type="dxa"/>
            <w:tcBorders>
              <w:left w:val="single" w:color="000000" w:sz="12" w:space="0"/>
            </w:tcBorders>
            <w:vAlign w:val="top"/>
          </w:tcPr>
          <w:p w14:paraId="226ABDDA">
            <w:pPr>
              <w:pStyle w:val="6"/>
              <w:spacing w:before="161" w:line="232" w:lineRule="auto"/>
              <w:ind w:left="167"/>
            </w:pPr>
            <w:r>
              <w:t>3</w:t>
            </w:r>
          </w:p>
        </w:tc>
        <w:tc>
          <w:tcPr>
            <w:tcW w:w="3086" w:type="dxa"/>
            <w:vAlign w:val="top"/>
          </w:tcPr>
          <w:p w14:paraId="31C49304">
            <w:pPr>
              <w:pStyle w:val="6"/>
              <w:spacing w:before="127" w:line="212" w:lineRule="auto"/>
              <w:ind w:left="423"/>
            </w:pPr>
            <w:r>
              <w:rPr>
                <w:rFonts w:ascii="宋体" w:hAnsi="宋体" w:eastAsia="宋体" w:cs="宋体"/>
                <w:spacing w:val="-1"/>
              </w:rPr>
              <w:t>芦苇</w:t>
            </w:r>
            <w:r>
              <w:rPr>
                <w:rFonts w:ascii="宋体" w:hAnsi="宋体" w:eastAsia="宋体" w:cs="宋体"/>
                <w:spacing w:val="-40"/>
              </w:rPr>
              <w:t xml:space="preserve"> </w:t>
            </w:r>
            <w:r>
              <w:rPr>
                <w:i/>
                <w:iCs/>
                <w:spacing w:val="-1"/>
              </w:rPr>
              <w:t>Phragmites australis</w:t>
            </w:r>
          </w:p>
        </w:tc>
        <w:tc>
          <w:tcPr>
            <w:tcW w:w="655" w:type="dxa"/>
            <w:vAlign w:val="top"/>
          </w:tcPr>
          <w:p w14:paraId="3042DF3E">
            <w:pPr>
              <w:rPr>
                <w:rFonts w:ascii="Arial"/>
                <w:sz w:val="21"/>
              </w:rPr>
            </w:pPr>
          </w:p>
        </w:tc>
        <w:tc>
          <w:tcPr>
            <w:tcW w:w="656" w:type="dxa"/>
            <w:vAlign w:val="top"/>
          </w:tcPr>
          <w:p w14:paraId="0ED77E00">
            <w:pPr>
              <w:pStyle w:val="6"/>
              <w:spacing w:before="161" w:line="250" w:lineRule="exact"/>
              <w:ind w:left="268"/>
            </w:pPr>
            <w:r>
              <w:rPr>
                <w:position w:val="1"/>
              </w:rPr>
              <w:t>+</w:t>
            </w:r>
          </w:p>
        </w:tc>
        <w:tc>
          <w:tcPr>
            <w:tcW w:w="727" w:type="dxa"/>
            <w:vAlign w:val="top"/>
          </w:tcPr>
          <w:p w14:paraId="3574C938">
            <w:pPr>
              <w:rPr>
                <w:rFonts w:ascii="Arial"/>
                <w:sz w:val="21"/>
              </w:rPr>
            </w:pPr>
          </w:p>
        </w:tc>
        <w:tc>
          <w:tcPr>
            <w:tcW w:w="655" w:type="dxa"/>
            <w:vAlign w:val="top"/>
          </w:tcPr>
          <w:p w14:paraId="2D06ED6F">
            <w:pPr>
              <w:pStyle w:val="6"/>
              <w:spacing w:before="161" w:line="250" w:lineRule="exact"/>
              <w:ind w:left="272"/>
            </w:pPr>
            <w:r>
              <w:rPr>
                <w:position w:val="1"/>
              </w:rPr>
              <w:t>+</w:t>
            </w:r>
          </w:p>
        </w:tc>
        <w:tc>
          <w:tcPr>
            <w:tcW w:w="1105" w:type="dxa"/>
            <w:vAlign w:val="top"/>
          </w:tcPr>
          <w:p w14:paraId="6B46AF7A">
            <w:pPr>
              <w:pStyle w:val="6"/>
              <w:spacing w:before="161" w:line="250" w:lineRule="exact"/>
              <w:ind w:left="442"/>
            </w:pPr>
            <w:r>
              <w:rPr>
                <w:spacing w:val="-1"/>
                <w:position w:val="1"/>
              </w:rPr>
              <w:t>++</w:t>
            </w:r>
          </w:p>
        </w:tc>
        <w:tc>
          <w:tcPr>
            <w:tcW w:w="1123" w:type="dxa"/>
            <w:tcBorders>
              <w:right w:val="single" w:color="000000" w:sz="12" w:space="0"/>
            </w:tcBorders>
            <w:vAlign w:val="top"/>
          </w:tcPr>
          <w:p w14:paraId="1C64B583">
            <w:pPr>
              <w:rPr>
                <w:rFonts w:ascii="Arial"/>
                <w:sz w:val="21"/>
              </w:rPr>
            </w:pPr>
          </w:p>
        </w:tc>
      </w:tr>
      <w:tr w14:paraId="46D2A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466" w:type="dxa"/>
            <w:tcBorders>
              <w:left w:val="single" w:color="000000" w:sz="12" w:space="0"/>
              <w:bottom w:val="single" w:color="000000" w:sz="12" w:space="0"/>
            </w:tcBorders>
            <w:vAlign w:val="top"/>
          </w:tcPr>
          <w:p w14:paraId="28DF9C8C">
            <w:pPr>
              <w:pStyle w:val="6"/>
              <w:spacing w:before="237" w:line="235" w:lineRule="auto"/>
              <w:ind w:left="161"/>
            </w:pPr>
            <w:r>
              <w:t>4</w:t>
            </w:r>
          </w:p>
        </w:tc>
        <w:tc>
          <w:tcPr>
            <w:tcW w:w="3086" w:type="dxa"/>
            <w:tcBorders>
              <w:bottom w:val="single" w:color="000000" w:sz="12" w:space="0"/>
            </w:tcBorders>
            <w:vAlign w:val="top"/>
          </w:tcPr>
          <w:p w14:paraId="3E2CCA34">
            <w:pPr>
              <w:spacing w:before="82" w:line="219" w:lineRule="auto"/>
              <w:ind w:left="1011"/>
              <w:rPr>
                <w:rFonts w:ascii="宋体" w:hAnsi="宋体" w:eastAsia="宋体" w:cs="宋体"/>
                <w:sz w:val="21"/>
                <w:szCs w:val="21"/>
              </w:rPr>
            </w:pPr>
            <w:r>
              <w:rPr>
                <w:rFonts w:ascii="宋体" w:hAnsi="宋体" w:eastAsia="宋体" w:cs="宋体"/>
                <w:spacing w:val="-2"/>
                <w:sz w:val="21"/>
                <w:szCs w:val="21"/>
              </w:rPr>
              <w:t>假苇拂子茅</w:t>
            </w:r>
          </w:p>
          <w:p w14:paraId="48D9815F">
            <w:pPr>
              <w:pStyle w:val="6"/>
              <w:spacing w:before="41" w:line="190" w:lineRule="auto"/>
              <w:ind w:left="128"/>
            </w:pPr>
            <w:r>
              <w:rPr>
                <w:i/>
                <w:iCs/>
              </w:rPr>
              <w:t>Calamagrostis</w:t>
            </w:r>
            <w:r>
              <w:rPr>
                <w:i/>
                <w:iCs/>
                <w:spacing w:val="-15"/>
              </w:rPr>
              <w:t xml:space="preserve"> </w:t>
            </w:r>
            <w:r>
              <w:rPr>
                <w:i/>
                <w:iCs/>
              </w:rPr>
              <w:t>pseudophragmites</w:t>
            </w:r>
          </w:p>
        </w:tc>
        <w:tc>
          <w:tcPr>
            <w:tcW w:w="655" w:type="dxa"/>
            <w:tcBorders>
              <w:bottom w:val="single" w:color="000000" w:sz="12" w:space="0"/>
            </w:tcBorders>
            <w:vAlign w:val="top"/>
          </w:tcPr>
          <w:p w14:paraId="33C6DC21">
            <w:pPr>
              <w:pStyle w:val="6"/>
              <w:spacing w:before="237" w:line="251" w:lineRule="exact"/>
              <w:ind w:left="206"/>
            </w:pPr>
            <w:r>
              <w:rPr>
                <w:spacing w:val="-1"/>
                <w:position w:val="1"/>
              </w:rPr>
              <w:t>++</w:t>
            </w:r>
          </w:p>
        </w:tc>
        <w:tc>
          <w:tcPr>
            <w:tcW w:w="656" w:type="dxa"/>
            <w:tcBorders>
              <w:bottom w:val="single" w:color="000000" w:sz="12" w:space="0"/>
            </w:tcBorders>
            <w:vAlign w:val="top"/>
          </w:tcPr>
          <w:p w14:paraId="06AB9B22">
            <w:pPr>
              <w:pStyle w:val="6"/>
              <w:spacing w:before="237" w:line="251" w:lineRule="exact"/>
              <w:ind w:left="268"/>
            </w:pPr>
            <w:r>
              <w:rPr>
                <w:position w:val="1"/>
              </w:rPr>
              <w:t>+</w:t>
            </w:r>
          </w:p>
        </w:tc>
        <w:tc>
          <w:tcPr>
            <w:tcW w:w="727" w:type="dxa"/>
            <w:tcBorders>
              <w:bottom w:val="single" w:color="000000" w:sz="12" w:space="0"/>
            </w:tcBorders>
            <w:vAlign w:val="top"/>
          </w:tcPr>
          <w:p w14:paraId="67B4DE11">
            <w:pPr>
              <w:pStyle w:val="6"/>
              <w:spacing w:before="237" w:line="251" w:lineRule="exact"/>
              <w:ind w:left="247"/>
            </w:pPr>
            <w:r>
              <w:rPr>
                <w:spacing w:val="-1"/>
                <w:position w:val="1"/>
              </w:rPr>
              <w:t>++</w:t>
            </w:r>
          </w:p>
        </w:tc>
        <w:tc>
          <w:tcPr>
            <w:tcW w:w="655" w:type="dxa"/>
            <w:tcBorders>
              <w:bottom w:val="single" w:color="000000" w:sz="12" w:space="0"/>
            </w:tcBorders>
            <w:vAlign w:val="top"/>
          </w:tcPr>
          <w:p w14:paraId="0F09AA35">
            <w:pPr>
              <w:pStyle w:val="6"/>
              <w:spacing w:before="237" w:line="251" w:lineRule="exact"/>
              <w:ind w:left="214"/>
            </w:pPr>
            <w:r>
              <w:rPr>
                <w:spacing w:val="-1"/>
                <w:position w:val="1"/>
              </w:rPr>
              <w:t>++</w:t>
            </w:r>
          </w:p>
        </w:tc>
        <w:tc>
          <w:tcPr>
            <w:tcW w:w="1105" w:type="dxa"/>
            <w:tcBorders>
              <w:bottom w:val="single" w:color="000000" w:sz="12" w:space="0"/>
            </w:tcBorders>
            <w:vAlign w:val="top"/>
          </w:tcPr>
          <w:p w14:paraId="0888145E">
            <w:pPr>
              <w:pStyle w:val="6"/>
              <w:spacing w:before="237" w:line="251" w:lineRule="exact"/>
              <w:ind w:left="501"/>
            </w:pPr>
            <w:r>
              <w:rPr>
                <w:position w:val="1"/>
              </w:rPr>
              <w:t>+</w:t>
            </w:r>
          </w:p>
        </w:tc>
        <w:tc>
          <w:tcPr>
            <w:tcW w:w="1123" w:type="dxa"/>
            <w:tcBorders>
              <w:bottom w:val="single" w:color="000000" w:sz="12" w:space="0"/>
              <w:right w:val="single" w:color="000000" w:sz="12" w:space="0"/>
            </w:tcBorders>
            <w:vAlign w:val="top"/>
          </w:tcPr>
          <w:p w14:paraId="39A5F306">
            <w:pPr>
              <w:pStyle w:val="6"/>
              <w:spacing w:before="237" w:line="251" w:lineRule="exact"/>
              <w:ind w:left="506"/>
            </w:pPr>
            <w:r>
              <w:rPr>
                <w:position w:val="1"/>
              </w:rPr>
              <w:t>+</w:t>
            </w:r>
          </w:p>
        </w:tc>
      </w:tr>
    </w:tbl>
    <w:p w14:paraId="06D2C40F">
      <w:pPr>
        <w:rPr>
          <w:rFonts w:ascii="Arial"/>
          <w:sz w:val="21"/>
        </w:rPr>
      </w:pPr>
    </w:p>
    <w:p w14:paraId="1EA317BB">
      <w:pPr>
        <w:rPr>
          <w:rFonts w:ascii="Arial" w:hAnsi="Arial" w:eastAsia="Arial" w:cs="Arial"/>
          <w:sz w:val="21"/>
          <w:szCs w:val="21"/>
        </w:rPr>
        <w:sectPr>
          <w:headerReference r:id="rId221" w:type="default"/>
          <w:footerReference r:id="rId222" w:type="default"/>
          <w:pgSz w:w="11907" w:h="16839"/>
          <w:pgMar w:top="1376" w:right="1614" w:bottom="1061" w:left="1671" w:header="999" w:footer="861" w:gutter="0"/>
          <w:cols w:space="720" w:num="1"/>
        </w:sectPr>
      </w:pPr>
    </w:p>
    <w:p w14:paraId="72ECA3AA">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3086"/>
        <w:gridCol w:w="655"/>
        <w:gridCol w:w="656"/>
        <w:gridCol w:w="727"/>
        <w:gridCol w:w="655"/>
        <w:gridCol w:w="1105"/>
        <w:gridCol w:w="1123"/>
      </w:tblGrid>
      <w:tr w14:paraId="75475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66" w:type="dxa"/>
            <w:vMerge w:val="restart"/>
            <w:tcBorders>
              <w:top w:val="single" w:color="000000" w:sz="12" w:space="0"/>
              <w:left w:val="single" w:color="000000" w:sz="12" w:space="0"/>
              <w:bottom w:val="nil"/>
            </w:tcBorders>
            <w:textDirection w:val="tbRlV"/>
            <w:vAlign w:val="top"/>
          </w:tcPr>
          <w:p w14:paraId="6344B3E5">
            <w:pPr>
              <w:spacing w:before="130" w:line="210" w:lineRule="auto"/>
              <w:ind w:left="365"/>
              <w:rPr>
                <w:rFonts w:ascii="宋体" w:hAnsi="宋体" w:eastAsia="宋体" w:cs="宋体"/>
                <w:sz w:val="21"/>
                <w:szCs w:val="21"/>
              </w:rPr>
            </w:pPr>
            <w:r>
              <w:rPr>
                <w:rFonts w:ascii="宋体" w:hAnsi="宋体" w:eastAsia="宋体" w:cs="宋体"/>
                <w:spacing w:val="31"/>
                <w:sz w:val="21"/>
                <w:szCs w:val="21"/>
              </w:rPr>
              <w:t>序号</w:t>
            </w:r>
          </w:p>
        </w:tc>
        <w:tc>
          <w:tcPr>
            <w:tcW w:w="3086" w:type="dxa"/>
            <w:vMerge w:val="restart"/>
            <w:tcBorders>
              <w:top w:val="single" w:color="000000" w:sz="12" w:space="0"/>
              <w:bottom w:val="nil"/>
            </w:tcBorders>
            <w:vAlign w:val="top"/>
          </w:tcPr>
          <w:p w14:paraId="1969122D">
            <w:pPr>
              <w:spacing w:line="430" w:lineRule="auto"/>
              <w:rPr>
                <w:rFonts w:ascii="Arial"/>
                <w:sz w:val="21"/>
              </w:rPr>
            </w:pPr>
          </w:p>
          <w:p w14:paraId="5419A3F1">
            <w:pPr>
              <w:spacing w:before="69" w:line="220" w:lineRule="auto"/>
              <w:ind w:left="1326"/>
              <w:rPr>
                <w:rFonts w:ascii="宋体" w:hAnsi="宋体" w:eastAsia="宋体" w:cs="宋体"/>
                <w:sz w:val="21"/>
                <w:szCs w:val="21"/>
              </w:rPr>
            </w:pPr>
            <w:r>
              <w:rPr>
                <w:rFonts w:ascii="宋体" w:hAnsi="宋体" w:eastAsia="宋体" w:cs="宋体"/>
                <w:spacing w:val="-3"/>
                <w:sz w:val="21"/>
                <w:szCs w:val="21"/>
              </w:rPr>
              <w:t>种类</w:t>
            </w:r>
          </w:p>
        </w:tc>
        <w:tc>
          <w:tcPr>
            <w:tcW w:w="4921" w:type="dxa"/>
            <w:gridSpan w:val="6"/>
            <w:tcBorders>
              <w:top w:val="single" w:color="000000" w:sz="12" w:space="0"/>
              <w:right w:val="single" w:color="000000" w:sz="12" w:space="0"/>
            </w:tcBorders>
            <w:vAlign w:val="top"/>
          </w:tcPr>
          <w:p w14:paraId="7EDB8D12">
            <w:pPr>
              <w:spacing w:before="58" w:line="221" w:lineRule="auto"/>
              <w:ind w:left="2250"/>
              <w:rPr>
                <w:rFonts w:ascii="宋体" w:hAnsi="宋体" w:eastAsia="宋体" w:cs="宋体"/>
                <w:sz w:val="21"/>
                <w:szCs w:val="21"/>
              </w:rPr>
            </w:pPr>
            <w:r>
              <w:rPr>
                <w:rFonts w:ascii="宋体" w:hAnsi="宋体" w:eastAsia="宋体" w:cs="宋体"/>
                <w:spacing w:val="-2"/>
                <w:sz w:val="21"/>
                <w:szCs w:val="21"/>
              </w:rPr>
              <w:t>河段</w:t>
            </w:r>
          </w:p>
        </w:tc>
      </w:tr>
      <w:tr w14:paraId="63D99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466" w:type="dxa"/>
            <w:vMerge w:val="continue"/>
            <w:tcBorders>
              <w:top w:val="nil"/>
              <w:left w:val="single" w:color="000000" w:sz="12" w:space="0"/>
            </w:tcBorders>
            <w:textDirection w:val="tbRlV"/>
            <w:vAlign w:val="top"/>
          </w:tcPr>
          <w:p w14:paraId="7709B213">
            <w:pPr>
              <w:rPr>
                <w:rFonts w:ascii="Arial"/>
                <w:sz w:val="21"/>
              </w:rPr>
            </w:pPr>
          </w:p>
        </w:tc>
        <w:tc>
          <w:tcPr>
            <w:tcW w:w="3086" w:type="dxa"/>
            <w:vMerge w:val="continue"/>
            <w:tcBorders>
              <w:top w:val="nil"/>
            </w:tcBorders>
            <w:vAlign w:val="top"/>
          </w:tcPr>
          <w:p w14:paraId="291B89C5">
            <w:pPr>
              <w:rPr>
                <w:rFonts w:ascii="Arial"/>
                <w:sz w:val="21"/>
              </w:rPr>
            </w:pPr>
          </w:p>
        </w:tc>
        <w:tc>
          <w:tcPr>
            <w:tcW w:w="655" w:type="dxa"/>
            <w:vAlign w:val="top"/>
          </w:tcPr>
          <w:p w14:paraId="5F613561">
            <w:pPr>
              <w:spacing w:before="57" w:line="220" w:lineRule="auto"/>
              <w:ind w:left="124"/>
              <w:rPr>
                <w:rFonts w:ascii="宋体" w:hAnsi="宋体" w:eastAsia="宋体" w:cs="宋体"/>
                <w:sz w:val="21"/>
                <w:szCs w:val="21"/>
              </w:rPr>
            </w:pPr>
            <w:r>
              <w:rPr>
                <w:rFonts w:ascii="宋体" w:hAnsi="宋体" w:eastAsia="宋体" w:cs="宋体"/>
                <w:spacing w:val="-4"/>
                <w:sz w:val="21"/>
                <w:szCs w:val="21"/>
              </w:rPr>
              <w:t>马龙</w:t>
            </w:r>
          </w:p>
          <w:p w14:paraId="16B2D72D">
            <w:pPr>
              <w:spacing w:before="24" w:line="235" w:lineRule="auto"/>
              <w:ind w:left="223" w:right="115"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56" w:type="dxa"/>
            <w:vAlign w:val="top"/>
          </w:tcPr>
          <w:p w14:paraId="7F5AD1B2">
            <w:pPr>
              <w:spacing w:before="57" w:line="219" w:lineRule="auto"/>
              <w:ind w:left="123"/>
              <w:rPr>
                <w:rFonts w:ascii="宋体" w:hAnsi="宋体" w:eastAsia="宋体" w:cs="宋体"/>
                <w:sz w:val="21"/>
                <w:szCs w:val="21"/>
              </w:rPr>
            </w:pPr>
            <w:r>
              <w:rPr>
                <w:rFonts w:ascii="宋体" w:hAnsi="宋体" w:eastAsia="宋体" w:cs="宋体"/>
                <w:spacing w:val="-3"/>
                <w:sz w:val="21"/>
                <w:szCs w:val="21"/>
              </w:rPr>
              <w:t>车章</w:t>
            </w:r>
          </w:p>
          <w:p w14:paraId="3EDE33A4">
            <w:pPr>
              <w:spacing w:before="24" w:line="235" w:lineRule="auto"/>
              <w:ind w:left="227" w:right="112"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727" w:type="dxa"/>
            <w:vAlign w:val="top"/>
          </w:tcPr>
          <w:p w14:paraId="2BC3F6D1">
            <w:pPr>
              <w:spacing w:before="57" w:line="222" w:lineRule="auto"/>
              <w:ind w:left="190"/>
              <w:rPr>
                <w:rFonts w:ascii="宋体" w:hAnsi="宋体" w:eastAsia="宋体" w:cs="宋体"/>
                <w:sz w:val="21"/>
                <w:szCs w:val="21"/>
              </w:rPr>
            </w:pPr>
            <w:r>
              <w:rPr>
                <w:rFonts w:ascii="宋体" w:hAnsi="宋体" w:eastAsia="宋体" w:cs="宋体"/>
                <w:spacing w:val="-10"/>
                <w:sz w:val="21"/>
                <w:szCs w:val="21"/>
              </w:rPr>
              <w:t>白塔</w:t>
            </w:r>
          </w:p>
          <w:p w14:paraId="295C2434">
            <w:pPr>
              <w:spacing w:before="21" w:line="235" w:lineRule="auto"/>
              <w:ind w:left="264" w:right="145" w:hanging="106"/>
              <w:rPr>
                <w:rFonts w:ascii="宋体" w:hAnsi="宋体" w:eastAsia="宋体" w:cs="宋体"/>
                <w:sz w:val="21"/>
                <w:szCs w:val="21"/>
              </w:rPr>
            </w:pPr>
            <w:r>
              <w:rPr>
                <w:rFonts w:ascii="宋体" w:hAnsi="宋体" w:eastAsia="宋体" w:cs="宋体"/>
                <w:spacing w:val="-4"/>
                <w:sz w:val="21"/>
                <w:szCs w:val="21"/>
              </w:rPr>
              <w:t>河库</w:t>
            </w:r>
            <w:r>
              <w:rPr>
                <w:rFonts w:ascii="宋体" w:hAnsi="宋体" w:eastAsia="宋体" w:cs="宋体"/>
                <w:sz w:val="21"/>
                <w:szCs w:val="21"/>
              </w:rPr>
              <w:t>尾</w:t>
            </w:r>
          </w:p>
        </w:tc>
        <w:tc>
          <w:tcPr>
            <w:tcW w:w="655" w:type="dxa"/>
            <w:vAlign w:val="top"/>
          </w:tcPr>
          <w:p w14:paraId="11289D6B">
            <w:pPr>
              <w:spacing w:before="57" w:line="222" w:lineRule="auto"/>
              <w:ind w:left="156"/>
              <w:rPr>
                <w:rFonts w:ascii="宋体" w:hAnsi="宋体" w:eastAsia="宋体" w:cs="宋体"/>
                <w:sz w:val="21"/>
                <w:szCs w:val="21"/>
              </w:rPr>
            </w:pPr>
            <w:r>
              <w:rPr>
                <w:rFonts w:ascii="宋体" w:hAnsi="宋体" w:eastAsia="宋体" w:cs="宋体"/>
                <w:spacing w:val="-10"/>
                <w:sz w:val="21"/>
                <w:szCs w:val="21"/>
              </w:rPr>
              <w:t>白塔</w:t>
            </w:r>
          </w:p>
          <w:p w14:paraId="52E1AB6E">
            <w:pPr>
              <w:spacing w:before="21" w:line="235" w:lineRule="auto"/>
              <w:ind w:left="234" w:right="107" w:hanging="109"/>
              <w:rPr>
                <w:rFonts w:ascii="宋体" w:hAnsi="宋体" w:eastAsia="宋体" w:cs="宋体"/>
                <w:sz w:val="21"/>
                <w:szCs w:val="21"/>
              </w:rPr>
            </w:pPr>
            <w:r>
              <w:rPr>
                <w:rFonts w:ascii="宋体" w:hAnsi="宋体" w:eastAsia="宋体" w:cs="宋体"/>
                <w:spacing w:val="-4"/>
                <w:sz w:val="21"/>
                <w:szCs w:val="21"/>
              </w:rPr>
              <w:t>河坝</w:t>
            </w:r>
            <w:r>
              <w:rPr>
                <w:rFonts w:ascii="宋体" w:hAnsi="宋体" w:eastAsia="宋体" w:cs="宋体"/>
                <w:sz w:val="21"/>
                <w:szCs w:val="21"/>
              </w:rPr>
              <w:t>前</w:t>
            </w:r>
          </w:p>
        </w:tc>
        <w:tc>
          <w:tcPr>
            <w:tcW w:w="1105" w:type="dxa"/>
            <w:vAlign w:val="top"/>
          </w:tcPr>
          <w:p w14:paraId="1FE52939">
            <w:pPr>
              <w:spacing w:before="57" w:line="219" w:lineRule="auto"/>
              <w:ind w:left="152"/>
              <w:rPr>
                <w:rFonts w:ascii="宋体" w:hAnsi="宋体" w:eastAsia="宋体" w:cs="宋体"/>
                <w:sz w:val="21"/>
                <w:szCs w:val="21"/>
              </w:rPr>
            </w:pPr>
            <w:r>
              <w:rPr>
                <w:rFonts w:ascii="宋体" w:hAnsi="宋体" w:eastAsia="宋体" w:cs="宋体"/>
                <w:spacing w:val="-3"/>
                <w:sz w:val="21"/>
                <w:szCs w:val="21"/>
              </w:rPr>
              <w:t>马龙河干</w:t>
            </w:r>
          </w:p>
          <w:p w14:paraId="3A805024">
            <w:pPr>
              <w:spacing w:before="24" w:line="220" w:lineRule="auto"/>
              <w:ind w:left="146"/>
              <w:rPr>
                <w:rFonts w:ascii="宋体" w:hAnsi="宋体" w:eastAsia="宋体" w:cs="宋体"/>
                <w:sz w:val="21"/>
                <w:szCs w:val="21"/>
              </w:rPr>
            </w:pPr>
            <w:r>
              <w:rPr>
                <w:rFonts w:ascii="宋体" w:hAnsi="宋体" w:eastAsia="宋体" w:cs="宋体"/>
                <w:spacing w:val="-2"/>
                <w:sz w:val="21"/>
                <w:szCs w:val="21"/>
              </w:rPr>
              <w:t>流离坝址</w:t>
            </w:r>
          </w:p>
          <w:p w14:paraId="431708DF">
            <w:pPr>
              <w:pStyle w:val="6"/>
              <w:spacing w:before="22" w:line="231" w:lineRule="auto"/>
              <w:ind w:left="244"/>
              <w:rPr>
                <w:rFonts w:ascii="宋体" w:hAnsi="宋体" w:eastAsia="宋体" w:cs="宋体"/>
              </w:rPr>
            </w:pPr>
            <w:r>
              <w:rPr>
                <w:spacing w:val="-1"/>
              </w:rPr>
              <w:t>2km</w:t>
            </w:r>
            <w:r>
              <w:rPr>
                <w:spacing w:val="10"/>
              </w:rPr>
              <w:t xml:space="preserve"> </w:t>
            </w:r>
            <w:r>
              <w:rPr>
                <w:rFonts w:ascii="宋体" w:hAnsi="宋体" w:eastAsia="宋体" w:cs="宋体"/>
                <w:spacing w:val="-1"/>
              </w:rPr>
              <w:t>处</w:t>
            </w:r>
          </w:p>
        </w:tc>
        <w:tc>
          <w:tcPr>
            <w:tcW w:w="1123" w:type="dxa"/>
            <w:tcBorders>
              <w:right w:val="single" w:color="000000" w:sz="12" w:space="0"/>
            </w:tcBorders>
            <w:vAlign w:val="top"/>
          </w:tcPr>
          <w:p w14:paraId="28456298">
            <w:pPr>
              <w:spacing w:before="57" w:line="219" w:lineRule="auto"/>
              <w:ind w:left="157"/>
              <w:rPr>
                <w:rFonts w:ascii="宋体" w:hAnsi="宋体" w:eastAsia="宋体" w:cs="宋体"/>
                <w:sz w:val="21"/>
                <w:szCs w:val="21"/>
              </w:rPr>
            </w:pPr>
            <w:r>
              <w:rPr>
                <w:rFonts w:ascii="宋体" w:hAnsi="宋体" w:eastAsia="宋体" w:cs="宋体"/>
                <w:spacing w:val="-3"/>
                <w:sz w:val="21"/>
                <w:szCs w:val="21"/>
              </w:rPr>
              <w:t>马龙河干</w:t>
            </w:r>
          </w:p>
          <w:p w14:paraId="3158FD4E">
            <w:pPr>
              <w:spacing w:before="24" w:line="220" w:lineRule="auto"/>
              <w:ind w:left="151"/>
              <w:rPr>
                <w:rFonts w:ascii="宋体" w:hAnsi="宋体" w:eastAsia="宋体" w:cs="宋体"/>
                <w:sz w:val="21"/>
                <w:szCs w:val="21"/>
              </w:rPr>
            </w:pPr>
            <w:r>
              <w:rPr>
                <w:rFonts w:ascii="宋体" w:hAnsi="宋体" w:eastAsia="宋体" w:cs="宋体"/>
                <w:spacing w:val="-2"/>
                <w:sz w:val="21"/>
                <w:szCs w:val="21"/>
              </w:rPr>
              <w:t>流离坝址</w:t>
            </w:r>
          </w:p>
          <w:p w14:paraId="34A7804F">
            <w:pPr>
              <w:pStyle w:val="6"/>
              <w:spacing w:before="22" w:line="231" w:lineRule="auto"/>
              <w:ind w:left="253"/>
              <w:rPr>
                <w:rFonts w:ascii="宋体" w:hAnsi="宋体" w:eastAsia="宋体" w:cs="宋体"/>
              </w:rPr>
            </w:pPr>
            <w:r>
              <w:rPr>
                <w:spacing w:val="-2"/>
              </w:rPr>
              <w:t>6km</w:t>
            </w:r>
            <w:r>
              <w:rPr>
                <w:spacing w:val="10"/>
              </w:rPr>
              <w:t xml:space="preserve"> </w:t>
            </w:r>
            <w:r>
              <w:rPr>
                <w:rFonts w:ascii="宋体" w:hAnsi="宋体" w:eastAsia="宋体" w:cs="宋体"/>
                <w:spacing w:val="-2"/>
              </w:rPr>
              <w:t>处</w:t>
            </w:r>
          </w:p>
        </w:tc>
      </w:tr>
      <w:tr w14:paraId="09CBF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4881B91D">
            <w:pPr>
              <w:spacing w:before="60" w:line="230" w:lineRule="auto"/>
              <w:ind w:left="113"/>
              <w:rPr>
                <w:rFonts w:ascii="宋体" w:hAnsi="宋体" w:eastAsia="宋体" w:cs="宋体"/>
                <w:sz w:val="21"/>
                <w:szCs w:val="21"/>
              </w:rPr>
            </w:pPr>
            <w:r>
              <w:rPr>
                <w:rFonts w:ascii="宋体" w:hAnsi="宋体" w:eastAsia="宋体" w:cs="宋体"/>
                <w:b/>
                <w:bCs/>
                <w:spacing w:val="-3"/>
                <w:sz w:val="21"/>
                <w:szCs w:val="21"/>
              </w:rPr>
              <w:t>三</w:t>
            </w:r>
          </w:p>
        </w:tc>
        <w:tc>
          <w:tcPr>
            <w:tcW w:w="3086" w:type="dxa"/>
            <w:vAlign w:val="top"/>
          </w:tcPr>
          <w:p w14:paraId="3BA04CCF">
            <w:pPr>
              <w:pStyle w:val="6"/>
              <w:spacing w:before="59" w:line="219" w:lineRule="auto"/>
              <w:ind w:left="385"/>
            </w:pPr>
            <w:r>
              <w:rPr>
                <w:rFonts w:ascii="宋体" w:hAnsi="宋体" w:eastAsia="宋体" w:cs="宋体"/>
                <w:b/>
                <w:bCs/>
                <w:spacing w:val="-2"/>
              </w:rPr>
              <w:t>鸭跖草科</w:t>
            </w:r>
            <w:r>
              <w:rPr>
                <w:rFonts w:ascii="宋体" w:hAnsi="宋体" w:eastAsia="宋体" w:cs="宋体"/>
                <w:spacing w:val="-41"/>
              </w:rPr>
              <w:t xml:space="preserve"> </w:t>
            </w:r>
            <w:r>
              <w:rPr>
                <w:b/>
                <w:bCs/>
                <w:spacing w:val="-2"/>
              </w:rPr>
              <w:t>Commelinaceae</w:t>
            </w:r>
          </w:p>
        </w:tc>
        <w:tc>
          <w:tcPr>
            <w:tcW w:w="655" w:type="dxa"/>
            <w:vAlign w:val="top"/>
          </w:tcPr>
          <w:p w14:paraId="78717258">
            <w:pPr>
              <w:rPr>
                <w:rFonts w:ascii="Arial"/>
                <w:sz w:val="21"/>
              </w:rPr>
            </w:pPr>
          </w:p>
        </w:tc>
        <w:tc>
          <w:tcPr>
            <w:tcW w:w="656" w:type="dxa"/>
            <w:vAlign w:val="top"/>
          </w:tcPr>
          <w:p w14:paraId="008F8125">
            <w:pPr>
              <w:rPr>
                <w:rFonts w:ascii="Arial"/>
                <w:sz w:val="21"/>
              </w:rPr>
            </w:pPr>
          </w:p>
        </w:tc>
        <w:tc>
          <w:tcPr>
            <w:tcW w:w="727" w:type="dxa"/>
            <w:vAlign w:val="top"/>
          </w:tcPr>
          <w:p w14:paraId="4D59C5B9">
            <w:pPr>
              <w:rPr>
                <w:rFonts w:ascii="Arial"/>
                <w:sz w:val="21"/>
              </w:rPr>
            </w:pPr>
          </w:p>
        </w:tc>
        <w:tc>
          <w:tcPr>
            <w:tcW w:w="655" w:type="dxa"/>
            <w:vAlign w:val="top"/>
          </w:tcPr>
          <w:p w14:paraId="03E8FF9E">
            <w:pPr>
              <w:rPr>
                <w:rFonts w:ascii="Arial"/>
                <w:sz w:val="21"/>
              </w:rPr>
            </w:pPr>
          </w:p>
        </w:tc>
        <w:tc>
          <w:tcPr>
            <w:tcW w:w="1105" w:type="dxa"/>
            <w:vAlign w:val="top"/>
          </w:tcPr>
          <w:p w14:paraId="4AF6701F">
            <w:pPr>
              <w:rPr>
                <w:rFonts w:ascii="Arial"/>
                <w:sz w:val="21"/>
              </w:rPr>
            </w:pPr>
          </w:p>
        </w:tc>
        <w:tc>
          <w:tcPr>
            <w:tcW w:w="1123" w:type="dxa"/>
            <w:tcBorders>
              <w:right w:val="single" w:color="000000" w:sz="12" w:space="0"/>
            </w:tcBorders>
            <w:vAlign w:val="top"/>
          </w:tcPr>
          <w:p w14:paraId="6F74CE96">
            <w:pPr>
              <w:rPr>
                <w:rFonts w:ascii="Arial"/>
                <w:sz w:val="21"/>
              </w:rPr>
            </w:pPr>
          </w:p>
        </w:tc>
      </w:tr>
      <w:tr w14:paraId="294D1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66" w:type="dxa"/>
            <w:tcBorders>
              <w:left w:val="single" w:color="000000" w:sz="12" w:space="0"/>
            </w:tcBorders>
            <w:vAlign w:val="top"/>
          </w:tcPr>
          <w:p w14:paraId="67A1FE3E">
            <w:pPr>
              <w:pStyle w:val="6"/>
              <w:spacing w:before="94" w:line="228" w:lineRule="auto"/>
              <w:ind w:left="168"/>
            </w:pPr>
            <w:r>
              <w:t>5</w:t>
            </w:r>
          </w:p>
        </w:tc>
        <w:tc>
          <w:tcPr>
            <w:tcW w:w="3086" w:type="dxa"/>
            <w:vAlign w:val="top"/>
          </w:tcPr>
          <w:p w14:paraId="5B9F4794">
            <w:pPr>
              <w:pStyle w:val="6"/>
              <w:spacing w:before="61" w:line="231" w:lineRule="auto"/>
              <w:ind w:left="266"/>
            </w:pPr>
            <w:r>
              <w:rPr>
                <w:rFonts w:ascii="宋体" w:hAnsi="宋体" w:eastAsia="宋体" w:cs="宋体"/>
                <w:spacing w:val="-2"/>
              </w:rPr>
              <w:t>鸭跖草</w:t>
            </w:r>
            <w:r>
              <w:rPr>
                <w:rFonts w:ascii="宋体" w:hAnsi="宋体" w:eastAsia="宋体" w:cs="宋体"/>
                <w:spacing w:val="-27"/>
              </w:rPr>
              <w:t xml:space="preserve"> </w:t>
            </w:r>
            <w:r>
              <w:rPr>
                <w:i/>
                <w:iCs/>
                <w:spacing w:val="-2"/>
              </w:rPr>
              <w:t>Commelina communis</w:t>
            </w:r>
          </w:p>
        </w:tc>
        <w:tc>
          <w:tcPr>
            <w:tcW w:w="655" w:type="dxa"/>
            <w:vAlign w:val="top"/>
          </w:tcPr>
          <w:p w14:paraId="4FDB1FD4">
            <w:pPr>
              <w:pStyle w:val="6"/>
              <w:spacing w:before="94" w:line="228" w:lineRule="auto"/>
              <w:ind w:left="264"/>
            </w:pPr>
            <w:r>
              <w:t>+</w:t>
            </w:r>
          </w:p>
        </w:tc>
        <w:tc>
          <w:tcPr>
            <w:tcW w:w="656" w:type="dxa"/>
            <w:vAlign w:val="top"/>
          </w:tcPr>
          <w:p w14:paraId="22F67121">
            <w:pPr>
              <w:pStyle w:val="6"/>
              <w:spacing w:before="94" w:line="228" w:lineRule="auto"/>
              <w:ind w:left="268"/>
            </w:pPr>
            <w:r>
              <w:t>+</w:t>
            </w:r>
          </w:p>
        </w:tc>
        <w:tc>
          <w:tcPr>
            <w:tcW w:w="727" w:type="dxa"/>
            <w:vAlign w:val="top"/>
          </w:tcPr>
          <w:p w14:paraId="31B79E51">
            <w:pPr>
              <w:pStyle w:val="6"/>
              <w:spacing w:before="94" w:line="228" w:lineRule="auto"/>
              <w:ind w:left="247"/>
            </w:pPr>
            <w:r>
              <w:rPr>
                <w:spacing w:val="-1"/>
              </w:rPr>
              <w:t>++</w:t>
            </w:r>
          </w:p>
        </w:tc>
        <w:tc>
          <w:tcPr>
            <w:tcW w:w="655" w:type="dxa"/>
            <w:vAlign w:val="top"/>
          </w:tcPr>
          <w:p w14:paraId="7CC35DFD">
            <w:pPr>
              <w:pStyle w:val="6"/>
              <w:spacing w:before="94" w:line="228" w:lineRule="auto"/>
              <w:ind w:left="214"/>
            </w:pPr>
            <w:r>
              <w:rPr>
                <w:spacing w:val="-1"/>
              </w:rPr>
              <w:t>++</w:t>
            </w:r>
          </w:p>
        </w:tc>
        <w:tc>
          <w:tcPr>
            <w:tcW w:w="1105" w:type="dxa"/>
            <w:vAlign w:val="top"/>
          </w:tcPr>
          <w:p w14:paraId="50C27ACE">
            <w:pPr>
              <w:rPr>
                <w:rFonts w:ascii="Arial"/>
                <w:sz w:val="21"/>
              </w:rPr>
            </w:pPr>
          </w:p>
        </w:tc>
        <w:tc>
          <w:tcPr>
            <w:tcW w:w="1123" w:type="dxa"/>
            <w:tcBorders>
              <w:right w:val="single" w:color="000000" w:sz="12" w:space="0"/>
            </w:tcBorders>
            <w:vAlign w:val="top"/>
          </w:tcPr>
          <w:p w14:paraId="15C35082">
            <w:pPr>
              <w:pStyle w:val="6"/>
              <w:spacing w:before="94" w:line="228" w:lineRule="auto"/>
              <w:ind w:left="447"/>
            </w:pPr>
            <w:r>
              <w:rPr>
                <w:spacing w:val="-1"/>
              </w:rPr>
              <w:t>++</w:t>
            </w:r>
          </w:p>
        </w:tc>
      </w:tr>
      <w:tr w14:paraId="6C18F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66" w:type="dxa"/>
            <w:tcBorders>
              <w:left w:val="single" w:color="000000" w:sz="12" w:space="0"/>
            </w:tcBorders>
            <w:vAlign w:val="top"/>
          </w:tcPr>
          <w:p w14:paraId="2BE90F0F">
            <w:pPr>
              <w:spacing w:before="110" w:line="222" w:lineRule="auto"/>
              <w:ind w:left="133"/>
              <w:rPr>
                <w:rFonts w:ascii="宋体" w:hAnsi="宋体" w:eastAsia="宋体" w:cs="宋体"/>
                <w:sz w:val="21"/>
                <w:szCs w:val="21"/>
              </w:rPr>
            </w:pPr>
            <w:r>
              <w:rPr>
                <w:rFonts w:ascii="宋体" w:hAnsi="宋体" w:eastAsia="宋体" w:cs="宋体"/>
                <w:b/>
                <w:bCs/>
                <w:spacing w:val="-3"/>
                <w:sz w:val="21"/>
                <w:szCs w:val="21"/>
              </w:rPr>
              <w:t>四</w:t>
            </w:r>
          </w:p>
        </w:tc>
        <w:tc>
          <w:tcPr>
            <w:tcW w:w="3086" w:type="dxa"/>
            <w:vAlign w:val="top"/>
          </w:tcPr>
          <w:p w14:paraId="6116CF0E">
            <w:pPr>
              <w:pStyle w:val="6"/>
              <w:spacing w:before="109" w:line="212" w:lineRule="auto"/>
              <w:ind w:left="671"/>
            </w:pPr>
            <w:r>
              <w:rPr>
                <w:rFonts w:ascii="宋体" w:hAnsi="宋体" w:eastAsia="宋体" w:cs="宋体"/>
                <w:b/>
                <w:bCs/>
                <w:spacing w:val="-2"/>
              </w:rPr>
              <w:t>莎草科</w:t>
            </w:r>
            <w:r>
              <w:rPr>
                <w:rFonts w:ascii="宋体" w:hAnsi="宋体" w:eastAsia="宋体" w:cs="宋体"/>
                <w:spacing w:val="-42"/>
              </w:rPr>
              <w:t xml:space="preserve"> </w:t>
            </w:r>
            <w:r>
              <w:rPr>
                <w:b/>
                <w:bCs/>
                <w:spacing w:val="-2"/>
              </w:rPr>
              <w:t>Cyperaceae</w:t>
            </w:r>
          </w:p>
        </w:tc>
        <w:tc>
          <w:tcPr>
            <w:tcW w:w="655" w:type="dxa"/>
            <w:vAlign w:val="top"/>
          </w:tcPr>
          <w:p w14:paraId="2A93381E">
            <w:pPr>
              <w:rPr>
                <w:rFonts w:ascii="Arial"/>
                <w:sz w:val="21"/>
              </w:rPr>
            </w:pPr>
          </w:p>
        </w:tc>
        <w:tc>
          <w:tcPr>
            <w:tcW w:w="656" w:type="dxa"/>
            <w:vAlign w:val="top"/>
          </w:tcPr>
          <w:p w14:paraId="25A467AB">
            <w:pPr>
              <w:rPr>
                <w:rFonts w:ascii="Arial"/>
                <w:sz w:val="21"/>
              </w:rPr>
            </w:pPr>
          </w:p>
        </w:tc>
        <w:tc>
          <w:tcPr>
            <w:tcW w:w="727" w:type="dxa"/>
            <w:vAlign w:val="top"/>
          </w:tcPr>
          <w:p w14:paraId="72633965">
            <w:pPr>
              <w:rPr>
                <w:rFonts w:ascii="Arial"/>
                <w:sz w:val="21"/>
              </w:rPr>
            </w:pPr>
          </w:p>
        </w:tc>
        <w:tc>
          <w:tcPr>
            <w:tcW w:w="655" w:type="dxa"/>
            <w:vAlign w:val="top"/>
          </w:tcPr>
          <w:p w14:paraId="5E67D7A4">
            <w:pPr>
              <w:rPr>
                <w:rFonts w:ascii="Arial"/>
                <w:sz w:val="21"/>
              </w:rPr>
            </w:pPr>
          </w:p>
        </w:tc>
        <w:tc>
          <w:tcPr>
            <w:tcW w:w="1105" w:type="dxa"/>
            <w:vAlign w:val="top"/>
          </w:tcPr>
          <w:p w14:paraId="4DBDE233">
            <w:pPr>
              <w:rPr>
                <w:rFonts w:ascii="Arial"/>
                <w:sz w:val="21"/>
              </w:rPr>
            </w:pPr>
          </w:p>
        </w:tc>
        <w:tc>
          <w:tcPr>
            <w:tcW w:w="1123" w:type="dxa"/>
            <w:tcBorders>
              <w:right w:val="single" w:color="000000" w:sz="12" w:space="0"/>
            </w:tcBorders>
            <w:vAlign w:val="top"/>
          </w:tcPr>
          <w:p w14:paraId="2EA97BA6">
            <w:pPr>
              <w:rPr>
                <w:rFonts w:ascii="Arial"/>
                <w:sz w:val="21"/>
              </w:rPr>
            </w:pPr>
          </w:p>
        </w:tc>
      </w:tr>
      <w:tr w14:paraId="566E9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66" w:type="dxa"/>
            <w:tcBorders>
              <w:left w:val="single" w:color="000000" w:sz="12" w:space="0"/>
            </w:tcBorders>
            <w:vAlign w:val="top"/>
          </w:tcPr>
          <w:p w14:paraId="7F212959">
            <w:pPr>
              <w:pStyle w:val="6"/>
              <w:spacing w:before="218" w:line="232" w:lineRule="auto"/>
              <w:ind w:left="167"/>
            </w:pPr>
            <w:r>
              <w:t>6</w:t>
            </w:r>
          </w:p>
        </w:tc>
        <w:tc>
          <w:tcPr>
            <w:tcW w:w="3086" w:type="dxa"/>
            <w:vAlign w:val="top"/>
          </w:tcPr>
          <w:p w14:paraId="654B7A8D">
            <w:pPr>
              <w:pStyle w:val="6"/>
              <w:spacing w:before="62" w:line="234" w:lineRule="auto"/>
              <w:ind w:left="861" w:right="752" w:hanging="120"/>
            </w:pPr>
            <w:r>
              <w:rPr>
                <w:rFonts w:ascii="宋体" w:hAnsi="宋体" w:eastAsia="宋体" w:cs="宋体"/>
                <w:spacing w:val="-1"/>
              </w:rPr>
              <w:t>华扁穗草</w:t>
            </w:r>
            <w:r>
              <w:rPr>
                <w:rFonts w:ascii="宋体" w:hAnsi="宋体" w:eastAsia="宋体" w:cs="宋体"/>
                <w:spacing w:val="-53"/>
              </w:rPr>
              <w:t xml:space="preserve"> </w:t>
            </w:r>
            <w:r>
              <w:rPr>
                <w:i/>
                <w:iCs/>
                <w:spacing w:val="-1"/>
              </w:rPr>
              <w:t>Blysmus</w:t>
            </w:r>
            <w:r>
              <w:rPr>
                <w:i/>
                <w:iCs/>
              </w:rPr>
              <w:t xml:space="preserve"> sinocompressus</w:t>
            </w:r>
          </w:p>
        </w:tc>
        <w:tc>
          <w:tcPr>
            <w:tcW w:w="655" w:type="dxa"/>
            <w:vAlign w:val="top"/>
          </w:tcPr>
          <w:p w14:paraId="702E364B">
            <w:pPr>
              <w:pStyle w:val="6"/>
              <w:spacing w:before="217" w:line="251" w:lineRule="exact"/>
              <w:ind w:left="264"/>
            </w:pPr>
            <w:r>
              <w:rPr>
                <w:position w:val="1"/>
              </w:rPr>
              <w:t>+</w:t>
            </w:r>
          </w:p>
        </w:tc>
        <w:tc>
          <w:tcPr>
            <w:tcW w:w="656" w:type="dxa"/>
            <w:vAlign w:val="top"/>
          </w:tcPr>
          <w:p w14:paraId="566F7DEB">
            <w:pPr>
              <w:pStyle w:val="6"/>
              <w:spacing w:before="217" w:line="251" w:lineRule="exact"/>
              <w:ind w:left="268"/>
            </w:pPr>
            <w:r>
              <w:rPr>
                <w:position w:val="1"/>
              </w:rPr>
              <w:t>+</w:t>
            </w:r>
          </w:p>
        </w:tc>
        <w:tc>
          <w:tcPr>
            <w:tcW w:w="727" w:type="dxa"/>
            <w:vAlign w:val="top"/>
          </w:tcPr>
          <w:p w14:paraId="19061B95">
            <w:pPr>
              <w:pStyle w:val="6"/>
              <w:spacing w:before="217" w:line="251" w:lineRule="exact"/>
              <w:ind w:left="247"/>
            </w:pPr>
            <w:r>
              <w:rPr>
                <w:spacing w:val="-1"/>
                <w:position w:val="1"/>
              </w:rPr>
              <w:t>++</w:t>
            </w:r>
          </w:p>
        </w:tc>
        <w:tc>
          <w:tcPr>
            <w:tcW w:w="655" w:type="dxa"/>
            <w:vAlign w:val="top"/>
          </w:tcPr>
          <w:p w14:paraId="4835F611">
            <w:pPr>
              <w:pStyle w:val="6"/>
              <w:spacing w:before="217" w:line="251" w:lineRule="exact"/>
              <w:ind w:left="214"/>
            </w:pPr>
            <w:r>
              <w:rPr>
                <w:spacing w:val="-1"/>
                <w:position w:val="1"/>
              </w:rPr>
              <w:t>++</w:t>
            </w:r>
          </w:p>
        </w:tc>
        <w:tc>
          <w:tcPr>
            <w:tcW w:w="1105" w:type="dxa"/>
            <w:vAlign w:val="top"/>
          </w:tcPr>
          <w:p w14:paraId="75728785">
            <w:pPr>
              <w:pStyle w:val="6"/>
              <w:spacing w:before="217" w:line="251" w:lineRule="exact"/>
              <w:ind w:left="442"/>
            </w:pPr>
            <w:r>
              <w:rPr>
                <w:spacing w:val="-1"/>
                <w:position w:val="1"/>
              </w:rPr>
              <w:t>++</w:t>
            </w:r>
          </w:p>
        </w:tc>
        <w:tc>
          <w:tcPr>
            <w:tcW w:w="1123" w:type="dxa"/>
            <w:tcBorders>
              <w:right w:val="single" w:color="000000" w:sz="12" w:space="0"/>
            </w:tcBorders>
            <w:vAlign w:val="top"/>
          </w:tcPr>
          <w:p w14:paraId="5758902D">
            <w:pPr>
              <w:rPr>
                <w:rFonts w:ascii="Arial"/>
                <w:sz w:val="21"/>
              </w:rPr>
            </w:pPr>
          </w:p>
        </w:tc>
      </w:tr>
      <w:tr w14:paraId="38E46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5CDE08EC">
            <w:pPr>
              <w:pStyle w:val="6"/>
              <w:spacing w:before="96" w:line="224" w:lineRule="auto"/>
              <w:ind w:left="166"/>
            </w:pPr>
            <w:r>
              <w:t>7</w:t>
            </w:r>
          </w:p>
        </w:tc>
        <w:tc>
          <w:tcPr>
            <w:tcW w:w="3086" w:type="dxa"/>
            <w:vAlign w:val="top"/>
          </w:tcPr>
          <w:p w14:paraId="287A1112">
            <w:pPr>
              <w:pStyle w:val="6"/>
              <w:spacing w:before="63" w:line="212" w:lineRule="auto"/>
              <w:ind w:left="419"/>
            </w:pPr>
            <w:r>
              <w:rPr>
                <w:rFonts w:ascii="宋体" w:hAnsi="宋体" w:eastAsia="宋体" w:cs="宋体"/>
                <w:spacing w:val="-2"/>
              </w:rPr>
              <w:t>畦畔莎草</w:t>
            </w:r>
            <w:r>
              <w:rPr>
                <w:rFonts w:ascii="宋体" w:hAnsi="宋体" w:eastAsia="宋体" w:cs="宋体"/>
                <w:spacing w:val="-34"/>
              </w:rPr>
              <w:t xml:space="preserve"> </w:t>
            </w:r>
            <w:r>
              <w:rPr>
                <w:i/>
                <w:iCs/>
                <w:spacing w:val="-2"/>
              </w:rPr>
              <w:t>Cyperus haspan</w:t>
            </w:r>
          </w:p>
        </w:tc>
        <w:tc>
          <w:tcPr>
            <w:tcW w:w="655" w:type="dxa"/>
            <w:vAlign w:val="top"/>
          </w:tcPr>
          <w:p w14:paraId="028900B4">
            <w:pPr>
              <w:pStyle w:val="6"/>
              <w:spacing w:before="96" w:line="224" w:lineRule="auto"/>
              <w:ind w:left="264"/>
            </w:pPr>
            <w:r>
              <w:t>+</w:t>
            </w:r>
          </w:p>
        </w:tc>
        <w:tc>
          <w:tcPr>
            <w:tcW w:w="656" w:type="dxa"/>
            <w:vAlign w:val="top"/>
          </w:tcPr>
          <w:p w14:paraId="5C62276D">
            <w:pPr>
              <w:pStyle w:val="6"/>
              <w:spacing w:before="96" w:line="224" w:lineRule="auto"/>
              <w:ind w:left="268"/>
            </w:pPr>
            <w:r>
              <w:t>+</w:t>
            </w:r>
          </w:p>
        </w:tc>
        <w:tc>
          <w:tcPr>
            <w:tcW w:w="727" w:type="dxa"/>
            <w:vAlign w:val="top"/>
          </w:tcPr>
          <w:p w14:paraId="630CF20D">
            <w:pPr>
              <w:pStyle w:val="6"/>
              <w:spacing w:before="96" w:line="224" w:lineRule="auto"/>
              <w:ind w:left="306"/>
            </w:pPr>
            <w:r>
              <w:t>+</w:t>
            </w:r>
          </w:p>
        </w:tc>
        <w:tc>
          <w:tcPr>
            <w:tcW w:w="655" w:type="dxa"/>
            <w:vAlign w:val="top"/>
          </w:tcPr>
          <w:p w14:paraId="55AAB4E9">
            <w:pPr>
              <w:pStyle w:val="6"/>
              <w:spacing w:before="96" w:line="224" w:lineRule="auto"/>
              <w:ind w:left="272"/>
            </w:pPr>
            <w:r>
              <w:t>+</w:t>
            </w:r>
          </w:p>
        </w:tc>
        <w:tc>
          <w:tcPr>
            <w:tcW w:w="1105" w:type="dxa"/>
            <w:vAlign w:val="top"/>
          </w:tcPr>
          <w:p w14:paraId="52C338E9">
            <w:pPr>
              <w:pStyle w:val="6"/>
              <w:spacing w:before="96" w:line="224" w:lineRule="auto"/>
              <w:ind w:left="501"/>
            </w:pPr>
            <w:r>
              <w:t>+</w:t>
            </w:r>
          </w:p>
        </w:tc>
        <w:tc>
          <w:tcPr>
            <w:tcW w:w="1123" w:type="dxa"/>
            <w:tcBorders>
              <w:right w:val="single" w:color="000000" w:sz="12" w:space="0"/>
            </w:tcBorders>
            <w:vAlign w:val="top"/>
          </w:tcPr>
          <w:p w14:paraId="7CD71C82">
            <w:pPr>
              <w:pStyle w:val="6"/>
              <w:spacing w:before="96" w:line="224" w:lineRule="auto"/>
              <w:ind w:left="447"/>
            </w:pPr>
            <w:r>
              <w:rPr>
                <w:spacing w:val="-1"/>
              </w:rPr>
              <w:t>++</w:t>
            </w:r>
          </w:p>
        </w:tc>
      </w:tr>
      <w:tr w14:paraId="00286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3D90029D">
            <w:pPr>
              <w:spacing w:before="64" w:line="226" w:lineRule="auto"/>
              <w:ind w:left="117"/>
              <w:rPr>
                <w:rFonts w:ascii="宋体" w:hAnsi="宋体" w:eastAsia="宋体" w:cs="宋体"/>
                <w:sz w:val="21"/>
                <w:szCs w:val="21"/>
              </w:rPr>
            </w:pPr>
            <w:r>
              <w:rPr>
                <w:rFonts w:ascii="宋体" w:hAnsi="宋体" w:eastAsia="宋体" w:cs="宋体"/>
                <w:b/>
                <w:bCs/>
                <w:spacing w:val="-3"/>
                <w:sz w:val="21"/>
                <w:szCs w:val="21"/>
              </w:rPr>
              <w:t>五</w:t>
            </w:r>
          </w:p>
        </w:tc>
        <w:tc>
          <w:tcPr>
            <w:tcW w:w="3086" w:type="dxa"/>
            <w:vAlign w:val="top"/>
          </w:tcPr>
          <w:p w14:paraId="14A8C130">
            <w:pPr>
              <w:pStyle w:val="6"/>
              <w:spacing w:before="64" w:line="212" w:lineRule="auto"/>
              <w:ind w:left="711"/>
            </w:pPr>
            <w:r>
              <w:rPr>
                <w:rFonts w:ascii="宋体" w:hAnsi="宋体" w:eastAsia="宋体" w:cs="宋体"/>
                <w:b/>
                <w:bCs/>
                <w:spacing w:val="-2"/>
              </w:rPr>
              <w:t>香蒲科</w:t>
            </w:r>
            <w:r>
              <w:rPr>
                <w:rFonts w:ascii="宋体" w:hAnsi="宋体" w:eastAsia="宋体" w:cs="宋体"/>
                <w:spacing w:val="-43"/>
              </w:rPr>
              <w:t xml:space="preserve"> </w:t>
            </w:r>
            <w:r>
              <w:rPr>
                <w:b/>
                <w:bCs/>
                <w:spacing w:val="-2"/>
              </w:rPr>
              <w:t>Typhaceae</w:t>
            </w:r>
          </w:p>
        </w:tc>
        <w:tc>
          <w:tcPr>
            <w:tcW w:w="655" w:type="dxa"/>
            <w:vAlign w:val="top"/>
          </w:tcPr>
          <w:p w14:paraId="44863108">
            <w:pPr>
              <w:rPr>
                <w:rFonts w:ascii="Arial"/>
                <w:sz w:val="21"/>
              </w:rPr>
            </w:pPr>
          </w:p>
        </w:tc>
        <w:tc>
          <w:tcPr>
            <w:tcW w:w="656" w:type="dxa"/>
            <w:vAlign w:val="top"/>
          </w:tcPr>
          <w:p w14:paraId="07CF0A04">
            <w:pPr>
              <w:rPr>
                <w:rFonts w:ascii="Arial"/>
                <w:sz w:val="21"/>
              </w:rPr>
            </w:pPr>
          </w:p>
        </w:tc>
        <w:tc>
          <w:tcPr>
            <w:tcW w:w="727" w:type="dxa"/>
            <w:vAlign w:val="top"/>
          </w:tcPr>
          <w:p w14:paraId="586DD056">
            <w:pPr>
              <w:rPr>
                <w:rFonts w:ascii="Arial"/>
                <w:sz w:val="21"/>
              </w:rPr>
            </w:pPr>
          </w:p>
        </w:tc>
        <w:tc>
          <w:tcPr>
            <w:tcW w:w="655" w:type="dxa"/>
            <w:vAlign w:val="top"/>
          </w:tcPr>
          <w:p w14:paraId="53633D01">
            <w:pPr>
              <w:rPr>
                <w:rFonts w:ascii="Arial"/>
                <w:sz w:val="21"/>
              </w:rPr>
            </w:pPr>
          </w:p>
        </w:tc>
        <w:tc>
          <w:tcPr>
            <w:tcW w:w="1105" w:type="dxa"/>
            <w:vAlign w:val="top"/>
          </w:tcPr>
          <w:p w14:paraId="0F0B107B">
            <w:pPr>
              <w:rPr>
                <w:rFonts w:ascii="Arial"/>
                <w:sz w:val="21"/>
              </w:rPr>
            </w:pPr>
          </w:p>
        </w:tc>
        <w:tc>
          <w:tcPr>
            <w:tcW w:w="1123" w:type="dxa"/>
            <w:tcBorders>
              <w:right w:val="single" w:color="000000" w:sz="12" w:space="0"/>
            </w:tcBorders>
            <w:vAlign w:val="top"/>
          </w:tcPr>
          <w:p w14:paraId="42E77DBF">
            <w:pPr>
              <w:rPr>
                <w:rFonts w:ascii="Arial"/>
                <w:sz w:val="21"/>
              </w:rPr>
            </w:pPr>
          </w:p>
        </w:tc>
      </w:tr>
      <w:tr w14:paraId="785A0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664EEAF1">
            <w:pPr>
              <w:pStyle w:val="6"/>
              <w:spacing w:before="99" w:line="221" w:lineRule="auto"/>
              <w:ind w:left="171"/>
            </w:pPr>
            <w:r>
              <w:t>8</w:t>
            </w:r>
          </w:p>
        </w:tc>
        <w:tc>
          <w:tcPr>
            <w:tcW w:w="3086" w:type="dxa"/>
            <w:vAlign w:val="top"/>
          </w:tcPr>
          <w:p w14:paraId="44B8C164">
            <w:pPr>
              <w:pStyle w:val="6"/>
              <w:spacing w:before="67" w:line="212" w:lineRule="auto"/>
              <w:ind w:left="512"/>
            </w:pPr>
            <w:r>
              <w:rPr>
                <w:rFonts w:ascii="宋体" w:hAnsi="宋体" w:eastAsia="宋体" w:cs="宋体"/>
                <w:spacing w:val="-2"/>
              </w:rPr>
              <w:t>水烛</w:t>
            </w:r>
            <w:r>
              <w:rPr>
                <w:rFonts w:ascii="宋体" w:hAnsi="宋体" w:eastAsia="宋体" w:cs="宋体"/>
                <w:spacing w:val="-21"/>
              </w:rPr>
              <w:t xml:space="preserve"> </w:t>
            </w:r>
            <w:r>
              <w:rPr>
                <w:i/>
                <w:iCs/>
                <w:spacing w:val="-2"/>
              </w:rPr>
              <w:t>Typha angust</w:t>
            </w:r>
            <w:r>
              <w:rPr>
                <w:position w:val="-3"/>
              </w:rPr>
              <w:drawing>
                <wp:inline distT="0" distB="0" distL="0" distR="0">
                  <wp:extent cx="71120" cy="1212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419"/>
                          <a:stretch>
                            <a:fillRect/>
                          </a:stretch>
                        </pic:blipFill>
                        <pic:spPr>
                          <a:xfrm>
                            <a:off x="0" y="0"/>
                            <a:ext cx="71190" cy="121348"/>
                          </a:xfrm>
                          <a:prstGeom prst="rect">
                            <a:avLst/>
                          </a:prstGeom>
                        </pic:spPr>
                      </pic:pic>
                    </a:graphicData>
                  </a:graphic>
                </wp:inline>
              </w:drawing>
            </w:r>
            <w:r>
              <w:rPr>
                <w:i/>
                <w:iCs/>
                <w:spacing w:val="-2"/>
              </w:rPr>
              <w:t>olia</w:t>
            </w:r>
          </w:p>
        </w:tc>
        <w:tc>
          <w:tcPr>
            <w:tcW w:w="655" w:type="dxa"/>
            <w:vAlign w:val="top"/>
          </w:tcPr>
          <w:p w14:paraId="2A79A083">
            <w:pPr>
              <w:pStyle w:val="6"/>
              <w:spacing w:before="99" w:line="221" w:lineRule="auto"/>
              <w:ind w:left="264"/>
            </w:pPr>
            <w:r>
              <w:t>+</w:t>
            </w:r>
          </w:p>
        </w:tc>
        <w:tc>
          <w:tcPr>
            <w:tcW w:w="656" w:type="dxa"/>
            <w:vAlign w:val="top"/>
          </w:tcPr>
          <w:p w14:paraId="43653AD5">
            <w:pPr>
              <w:pStyle w:val="6"/>
              <w:spacing w:before="99" w:line="221" w:lineRule="auto"/>
              <w:ind w:left="268"/>
            </w:pPr>
            <w:r>
              <w:t>+</w:t>
            </w:r>
          </w:p>
        </w:tc>
        <w:tc>
          <w:tcPr>
            <w:tcW w:w="727" w:type="dxa"/>
            <w:vAlign w:val="top"/>
          </w:tcPr>
          <w:p w14:paraId="69B63FAB">
            <w:pPr>
              <w:pStyle w:val="6"/>
              <w:spacing w:before="99" w:line="221" w:lineRule="auto"/>
              <w:ind w:left="306"/>
            </w:pPr>
            <w:r>
              <w:t>+</w:t>
            </w:r>
          </w:p>
        </w:tc>
        <w:tc>
          <w:tcPr>
            <w:tcW w:w="655" w:type="dxa"/>
            <w:vAlign w:val="top"/>
          </w:tcPr>
          <w:p w14:paraId="39F96C35">
            <w:pPr>
              <w:pStyle w:val="6"/>
              <w:spacing w:before="99" w:line="221" w:lineRule="auto"/>
              <w:ind w:left="272"/>
            </w:pPr>
            <w:r>
              <w:t>+</w:t>
            </w:r>
          </w:p>
        </w:tc>
        <w:tc>
          <w:tcPr>
            <w:tcW w:w="1105" w:type="dxa"/>
            <w:vAlign w:val="top"/>
          </w:tcPr>
          <w:p w14:paraId="4E576285">
            <w:pPr>
              <w:pStyle w:val="6"/>
              <w:spacing w:before="99" w:line="221" w:lineRule="auto"/>
              <w:ind w:left="501"/>
            </w:pPr>
            <w:r>
              <w:t>+</w:t>
            </w:r>
          </w:p>
        </w:tc>
        <w:tc>
          <w:tcPr>
            <w:tcW w:w="1123" w:type="dxa"/>
            <w:tcBorders>
              <w:right w:val="single" w:color="000000" w:sz="12" w:space="0"/>
            </w:tcBorders>
            <w:vAlign w:val="top"/>
          </w:tcPr>
          <w:p w14:paraId="1F44C06B">
            <w:pPr>
              <w:rPr>
                <w:rFonts w:ascii="Arial"/>
                <w:sz w:val="21"/>
              </w:rPr>
            </w:pPr>
          </w:p>
        </w:tc>
      </w:tr>
      <w:tr w14:paraId="6BE9E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1CD8779C">
            <w:pPr>
              <w:spacing w:before="68" w:line="223" w:lineRule="auto"/>
              <w:ind w:left="115"/>
              <w:rPr>
                <w:rFonts w:ascii="宋体" w:hAnsi="宋体" w:eastAsia="宋体" w:cs="宋体"/>
                <w:sz w:val="21"/>
                <w:szCs w:val="21"/>
              </w:rPr>
            </w:pPr>
            <w:r>
              <w:rPr>
                <w:rFonts w:ascii="宋体" w:hAnsi="宋体" w:eastAsia="宋体" w:cs="宋体"/>
                <w:b/>
                <w:bCs/>
                <w:spacing w:val="-3"/>
                <w:sz w:val="21"/>
                <w:szCs w:val="21"/>
              </w:rPr>
              <w:t>六</w:t>
            </w:r>
          </w:p>
        </w:tc>
        <w:tc>
          <w:tcPr>
            <w:tcW w:w="3086" w:type="dxa"/>
            <w:vAlign w:val="top"/>
          </w:tcPr>
          <w:p w14:paraId="26A284B1">
            <w:pPr>
              <w:pStyle w:val="6"/>
              <w:spacing w:before="68" w:line="212" w:lineRule="auto"/>
              <w:ind w:left="694"/>
            </w:pPr>
            <w:r>
              <w:rPr>
                <w:rFonts w:ascii="宋体" w:hAnsi="宋体" w:eastAsia="宋体" w:cs="宋体"/>
                <w:b/>
                <w:bCs/>
                <w:spacing w:val="-2"/>
              </w:rPr>
              <w:t>蓼科</w:t>
            </w:r>
            <w:r>
              <w:rPr>
                <w:rFonts w:ascii="宋体" w:hAnsi="宋体" w:eastAsia="宋体" w:cs="宋体"/>
                <w:spacing w:val="-37"/>
              </w:rPr>
              <w:t xml:space="preserve"> </w:t>
            </w:r>
            <w:r>
              <w:rPr>
                <w:b/>
                <w:bCs/>
                <w:spacing w:val="-2"/>
              </w:rPr>
              <w:t>Polygonaceae</w:t>
            </w:r>
          </w:p>
        </w:tc>
        <w:tc>
          <w:tcPr>
            <w:tcW w:w="655" w:type="dxa"/>
            <w:vAlign w:val="top"/>
          </w:tcPr>
          <w:p w14:paraId="63F5A38E">
            <w:pPr>
              <w:rPr>
                <w:rFonts w:ascii="Arial"/>
                <w:sz w:val="21"/>
              </w:rPr>
            </w:pPr>
          </w:p>
        </w:tc>
        <w:tc>
          <w:tcPr>
            <w:tcW w:w="656" w:type="dxa"/>
            <w:vAlign w:val="top"/>
          </w:tcPr>
          <w:p w14:paraId="05BF23E2">
            <w:pPr>
              <w:rPr>
                <w:rFonts w:ascii="Arial"/>
                <w:sz w:val="21"/>
              </w:rPr>
            </w:pPr>
          </w:p>
        </w:tc>
        <w:tc>
          <w:tcPr>
            <w:tcW w:w="727" w:type="dxa"/>
            <w:vAlign w:val="top"/>
          </w:tcPr>
          <w:p w14:paraId="07F45952">
            <w:pPr>
              <w:rPr>
                <w:rFonts w:ascii="Arial"/>
                <w:sz w:val="21"/>
              </w:rPr>
            </w:pPr>
          </w:p>
        </w:tc>
        <w:tc>
          <w:tcPr>
            <w:tcW w:w="655" w:type="dxa"/>
            <w:vAlign w:val="top"/>
          </w:tcPr>
          <w:p w14:paraId="08428296">
            <w:pPr>
              <w:rPr>
                <w:rFonts w:ascii="Arial"/>
                <w:sz w:val="21"/>
              </w:rPr>
            </w:pPr>
          </w:p>
        </w:tc>
        <w:tc>
          <w:tcPr>
            <w:tcW w:w="1105" w:type="dxa"/>
            <w:vAlign w:val="top"/>
          </w:tcPr>
          <w:p w14:paraId="3ACA04E2">
            <w:pPr>
              <w:rPr>
                <w:rFonts w:ascii="Arial"/>
                <w:sz w:val="21"/>
              </w:rPr>
            </w:pPr>
          </w:p>
        </w:tc>
        <w:tc>
          <w:tcPr>
            <w:tcW w:w="1123" w:type="dxa"/>
            <w:tcBorders>
              <w:right w:val="single" w:color="000000" w:sz="12" w:space="0"/>
            </w:tcBorders>
            <w:vAlign w:val="top"/>
          </w:tcPr>
          <w:p w14:paraId="14DAA8A2">
            <w:pPr>
              <w:rPr>
                <w:rFonts w:ascii="Arial"/>
                <w:sz w:val="21"/>
              </w:rPr>
            </w:pPr>
          </w:p>
        </w:tc>
      </w:tr>
      <w:tr w14:paraId="7CFD1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11BE628D">
            <w:pPr>
              <w:pStyle w:val="6"/>
              <w:spacing w:before="102" w:line="218" w:lineRule="auto"/>
              <w:ind w:left="166"/>
            </w:pPr>
            <w:r>
              <w:t>9</w:t>
            </w:r>
          </w:p>
        </w:tc>
        <w:tc>
          <w:tcPr>
            <w:tcW w:w="3086" w:type="dxa"/>
            <w:vAlign w:val="top"/>
          </w:tcPr>
          <w:p w14:paraId="19F21E37">
            <w:pPr>
              <w:pStyle w:val="6"/>
              <w:spacing w:before="69" w:line="212" w:lineRule="auto"/>
              <w:ind w:left="219"/>
            </w:pPr>
            <w:r>
              <w:rPr>
                <w:rFonts w:ascii="宋体" w:hAnsi="宋体" w:eastAsia="宋体" w:cs="宋体"/>
                <w:spacing w:val="-1"/>
              </w:rPr>
              <w:t>两栖蓼</w:t>
            </w:r>
            <w:r>
              <w:rPr>
                <w:rFonts w:ascii="宋体" w:hAnsi="宋体" w:eastAsia="宋体" w:cs="宋体"/>
                <w:spacing w:val="-41"/>
              </w:rPr>
              <w:t xml:space="preserve"> </w:t>
            </w:r>
            <w:r>
              <w:rPr>
                <w:i/>
                <w:iCs/>
                <w:spacing w:val="-1"/>
              </w:rPr>
              <w:t>Polygonum amphibium</w:t>
            </w:r>
          </w:p>
        </w:tc>
        <w:tc>
          <w:tcPr>
            <w:tcW w:w="655" w:type="dxa"/>
            <w:vAlign w:val="top"/>
          </w:tcPr>
          <w:p w14:paraId="47840071">
            <w:pPr>
              <w:pStyle w:val="6"/>
              <w:spacing w:before="102" w:line="218" w:lineRule="auto"/>
              <w:ind w:left="264"/>
            </w:pPr>
            <w:r>
              <w:t>+</w:t>
            </w:r>
          </w:p>
        </w:tc>
        <w:tc>
          <w:tcPr>
            <w:tcW w:w="656" w:type="dxa"/>
            <w:vAlign w:val="top"/>
          </w:tcPr>
          <w:p w14:paraId="6BDD75F4">
            <w:pPr>
              <w:pStyle w:val="6"/>
              <w:spacing w:before="102" w:line="218" w:lineRule="auto"/>
              <w:ind w:left="209"/>
            </w:pPr>
            <w:r>
              <w:rPr>
                <w:spacing w:val="-1"/>
              </w:rPr>
              <w:t>++</w:t>
            </w:r>
          </w:p>
        </w:tc>
        <w:tc>
          <w:tcPr>
            <w:tcW w:w="727" w:type="dxa"/>
            <w:vAlign w:val="top"/>
          </w:tcPr>
          <w:p w14:paraId="4B111C7D">
            <w:pPr>
              <w:pStyle w:val="6"/>
              <w:spacing w:before="102" w:line="218" w:lineRule="auto"/>
              <w:ind w:left="306"/>
            </w:pPr>
            <w:r>
              <w:t>+</w:t>
            </w:r>
          </w:p>
        </w:tc>
        <w:tc>
          <w:tcPr>
            <w:tcW w:w="655" w:type="dxa"/>
            <w:vAlign w:val="top"/>
          </w:tcPr>
          <w:p w14:paraId="22BC2D3E">
            <w:pPr>
              <w:pStyle w:val="6"/>
              <w:spacing w:before="102" w:line="218" w:lineRule="auto"/>
              <w:ind w:left="214"/>
            </w:pPr>
            <w:r>
              <w:rPr>
                <w:spacing w:val="-1"/>
              </w:rPr>
              <w:t>++</w:t>
            </w:r>
          </w:p>
        </w:tc>
        <w:tc>
          <w:tcPr>
            <w:tcW w:w="1105" w:type="dxa"/>
            <w:vAlign w:val="top"/>
          </w:tcPr>
          <w:p w14:paraId="3A058C56">
            <w:pPr>
              <w:pStyle w:val="6"/>
              <w:spacing w:before="102" w:line="218" w:lineRule="auto"/>
              <w:ind w:left="442"/>
            </w:pPr>
            <w:r>
              <w:rPr>
                <w:spacing w:val="-1"/>
              </w:rPr>
              <w:t>++</w:t>
            </w:r>
          </w:p>
        </w:tc>
        <w:tc>
          <w:tcPr>
            <w:tcW w:w="1123" w:type="dxa"/>
            <w:tcBorders>
              <w:right w:val="single" w:color="000000" w:sz="12" w:space="0"/>
            </w:tcBorders>
            <w:vAlign w:val="top"/>
          </w:tcPr>
          <w:p w14:paraId="2C9A4FC4">
            <w:pPr>
              <w:pStyle w:val="6"/>
              <w:spacing w:before="102" w:line="218" w:lineRule="auto"/>
              <w:ind w:left="447"/>
            </w:pPr>
            <w:r>
              <w:rPr>
                <w:spacing w:val="-1"/>
              </w:rPr>
              <w:t>++</w:t>
            </w:r>
          </w:p>
        </w:tc>
      </w:tr>
      <w:tr w14:paraId="754B4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2DBD4308">
            <w:pPr>
              <w:pStyle w:val="6"/>
              <w:spacing w:before="103" w:line="217" w:lineRule="auto"/>
              <w:ind w:left="130"/>
            </w:pPr>
            <w:r>
              <w:rPr>
                <w:spacing w:val="-6"/>
              </w:rPr>
              <w:t>10</w:t>
            </w:r>
          </w:p>
        </w:tc>
        <w:tc>
          <w:tcPr>
            <w:tcW w:w="3086" w:type="dxa"/>
            <w:vAlign w:val="top"/>
          </w:tcPr>
          <w:p w14:paraId="1E8947D3">
            <w:pPr>
              <w:pStyle w:val="6"/>
              <w:spacing w:before="70" w:line="212" w:lineRule="auto"/>
              <w:ind w:left="332"/>
            </w:pPr>
            <w:r>
              <w:rPr>
                <w:rFonts w:ascii="宋体" w:hAnsi="宋体" w:eastAsia="宋体" w:cs="宋体"/>
                <w:spacing w:val="-1"/>
              </w:rPr>
              <w:t>水蓼</w:t>
            </w:r>
            <w:r>
              <w:rPr>
                <w:rFonts w:ascii="宋体" w:hAnsi="宋体" w:eastAsia="宋体" w:cs="宋体"/>
                <w:spacing w:val="-40"/>
              </w:rPr>
              <w:t xml:space="preserve"> </w:t>
            </w:r>
            <w:r>
              <w:rPr>
                <w:i/>
                <w:iCs/>
                <w:spacing w:val="-1"/>
              </w:rPr>
              <w:t>Polygonum hydropiper</w:t>
            </w:r>
          </w:p>
        </w:tc>
        <w:tc>
          <w:tcPr>
            <w:tcW w:w="655" w:type="dxa"/>
            <w:vAlign w:val="top"/>
          </w:tcPr>
          <w:p w14:paraId="265D4DFA">
            <w:pPr>
              <w:rPr>
                <w:rFonts w:ascii="Arial"/>
                <w:sz w:val="21"/>
              </w:rPr>
            </w:pPr>
          </w:p>
        </w:tc>
        <w:tc>
          <w:tcPr>
            <w:tcW w:w="656" w:type="dxa"/>
            <w:vAlign w:val="top"/>
          </w:tcPr>
          <w:p w14:paraId="1B297216">
            <w:pPr>
              <w:pStyle w:val="6"/>
              <w:spacing w:before="103" w:line="217" w:lineRule="auto"/>
              <w:ind w:left="209"/>
            </w:pPr>
            <w:r>
              <w:rPr>
                <w:spacing w:val="-1"/>
              </w:rPr>
              <w:t>++</w:t>
            </w:r>
          </w:p>
        </w:tc>
        <w:tc>
          <w:tcPr>
            <w:tcW w:w="727" w:type="dxa"/>
            <w:vAlign w:val="top"/>
          </w:tcPr>
          <w:p w14:paraId="474D7002">
            <w:pPr>
              <w:pStyle w:val="6"/>
              <w:spacing w:before="103" w:line="217" w:lineRule="auto"/>
              <w:ind w:left="306"/>
            </w:pPr>
            <w:r>
              <w:t>+</w:t>
            </w:r>
          </w:p>
        </w:tc>
        <w:tc>
          <w:tcPr>
            <w:tcW w:w="655" w:type="dxa"/>
            <w:vAlign w:val="top"/>
          </w:tcPr>
          <w:p w14:paraId="575DF151">
            <w:pPr>
              <w:pStyle w:val="6"/>
              <w:spacing w:before="103" w:line="217" w:lineRule="auto"/>
              <w:ind w:left="214"/>
            </w:pPr>
            <w:r>
              <w:rPr>
                <w:spacing w:val="-1"/>
              </w:rPr>
              <w:t>++</w:t>
            </w:r>
          </w:p>
        </w:tc>
        <w:tc>
          <w:tcPr>
            <w:tcW w:w="1105" w:type="dxa"/>
            <w:vAlign w:val="top"/>
          </w:tcPr>
          <w:p w14:paraId="5536089C">
            <w:pPr>
              <w:pStyle w:val="6"/>
              <w:spacing w:before="103" w:line="217" w:lineRule="auto"/>
              <w:ind w:left="501"/>
            </w:pPr>
            <w:r>
              <w:t>+</w:t>
            </w:r>
          </w:p>
        </w:tc>
        <w:tc>
          <w:tcPr>
            <w:tcW w:w="1123" w:type="dxa"/>
            <w:tcBorders>
              <w:right w:val="single" w:color="000000" w:sz="12" w:space="0"/>
            </w:tcBorders>
            <w:vAlign w:val="top"/>
          </w:tcPr>
          <w:p w14:paraId="50634A1D">
            <w:pPr>
              <w:rPr>
                <w:rFonts w:ascii="Arial"/>
                <w:sz w:val="21"/>
              </w:rPr>
            </w:pPr>
          </w:p>
        </w:tc>
      </w:tr>
      <w:tr w14:paraId="7BB7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70FA159F">
            <w:pPr>
              <w:pStyle w:val="6"/>
              <w:spacing w:before="105" w:line="215" w:lineRule="auto"/>
              <w:ind w:left="130"/>
            </w:pPr>
            <w:r>
              <w:rPr>
                <w:spacing w:val="-6"/>
              </w:rPr>
              <w:t>11</w:t>
            </w:r>
          </w:p>
        </w:tc>
        <w:tc>
          <w:tcPr>
            <w:tcW w:w="3086" w:type="dxa"/>
            <w:vAlign w:val="top"/>
          </w:tcPr>
          <w:p w14:paraId="787EF698">
            <w:pPr>
              <w:pStyle w:val="6"/>
              <w:spacing w:before="71" w:line="212" w:lineRule="auto"/>
              <w:ind w:left="166"/>
            </w:pPr>
            <w:r>
              <w:rPr>
                <w:rFonts w:ascii="宋体" w:hAnsi="宋体" w:eastAsia="宋体" w:cs="宋体"/>
                <w:spacing w:val="-1"/>
              </w:rPr>
              <w:t>尼泊尔蓼</w:t>
            </w:r>
            <w:r>
              <w:rPr>
                <w:rFonts w:ascii="宋体" w:hAnsi="宋体" w:eastAsia="宋体" w:cs="宋体"/>
                <w:spacing w:val="-39"/>
              </w:rPr>
              <w:t xml:space="preserve"> </w:t>
            </w:r>
            <w:r>
              <w:rPr>
                <w:i/>
                <w:iCs/>
                <w:spacing w:val="-1"/>
              </w:rPr>
              <w:t>Polygonum nepalense</w:t>
            </w:r>
          </w:p>
        </w:tc>
        <w:tc>
          <w:tcPr>
            <w:tcW w:w="655" w:type="dxa"/>
            <w:vAlign w:val="top"/>
          </w:tcPr>
          <w:p w14:paraId="7B5E89A9">
            <w:pPr>
              <w:pStyle w:val="6"/>
              <w:spacing w:before="105" w:line="215" w:lineRule="auto"/>
              <w:ind w:left="264"/>
            </w:pPr>
            <w:r>
              <w:t>+</w:t>
            </w:r>
          </w:p>
        </w:tc>
        <w:tc>
          <w:tcPr>
            <w:tcW w:w="656" w:type="dxa"/>
            <w:vAlign w:val="top"/>
          </w:tcPr>
          <w:p w14:paraId="20A68F10">
            <w:pPr>
              <w:pStyle w:val="6"/>
              <w:spacing w:before="105" w:line="215" w:lineRule="auto"/>
              <w:ind w:left="209"/>
            </w:pPr>
            <w:r>
              <w:rPr>
                <w:spacing w:val="-1"/>
              </w:rPr>
              <w:t>++</w:t>
            </w:r>
          </w:p>
        </w:tc>
        <w:tc>
          <w:tcPr>
            <w:tcW w:w="727" w:type="dxa"/>
            <w:vAlign w:val="top"/>
          </w:tcPr>
          <w:p w14:paraId="7E1558BA">
            <w:pPr>
              <w:pStyle w:val="6"/>
              <w:spacing w:before="105" w:line="215" w:lineRule="auto"/>
              <w:ind w:left="247"/>
            </w:pPr>
            <w:r>
              <w:rPr>
                <w:spacing w:val="-1"/>
              </w:rPr>
              <w:t>++</w:t>
            </w:r>
          </w:p>
        </w:tc>
        <w:tc>
          <w:tcPr>
            <w:tcW w:w="655" w:type="dxa"/>
            <w:vAlign w:val="top"/>
          </w:tcPr>
          <w:p w14:paraId="5886C54D">
            <w:pPr>
              <w:pStyle w:val="6"/>
              <w:spacing w:before="105" w:line="215" w:lineRule="auto"/>
              <w:ind w:left="214"/>
            </w:pPr>
            <w:r>
              <w:rPr>
                <w:spacing w:val="-1"/>
              </w:rPr>
              <w:t>++</w:t>
            </w:r>
          </w:p>
        </w:tc>
        <w:tc>
          <w:tcPr>
            <w:tcW w:w="1105" w:type="dxa"/>
            <w:vAlign w:val="top"/>
          </w:tcPr>
          <w:p w14:paraId="35999B23">
            <w:pPr>
              <w:rPr>
                <w:rFonts w:ascii="Arial"/>
                <w:sz w:val="21"/>
              </w:rPr>
            </w:pPr>
          </w:p>
        </w:tc>
        <w:tc>
          <w:tcPr>
            <w:tcW w:w="1123" w:type="dxa"/>
            <w:tcBorders>
              <w:right w:val="single" w:color="000000" w:sz="12" w:space="0"/>
            </w:tcBorders>
            <w:vAlign w:val="top"/>
          </w:tcPr>
          <w:p w14:paraId="50BB7992">
            <w:pPr>
              <w:pStyle w:val="6"/>
              <w:spacing w:before="105" w:line="215" w:lineRule="auto"/>
              <w:ind w:left="447"/>
            </w:pPr>
            <w:r>
              <w:rPr>
                <w:spacing w:val="-1"/>
              </w:rPr>
              <w:t>++</w:t>
            </w:r>
          </w:p>
        </w:tc>
      </w:tr>
      <w:tr w14:paraId="471C7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4110AD20">
            <w:pPr>
              <w:spacing w:before="72" w:line="219" w:lineRule="auto"/>
              <w:ind w:left="112"/>
              <w:rPr>
                <w:rFonts w:ascii="宋体" w:hAnsi="宋体" w:eastAsia="宋体" w:cs="宋体"/>
                <w:sz w:val="21"/>
                <w:szCs w:val="21"/>
              </w:rPr>
            </w:pPr>
            <w:r>
              <w:rPr>
                <w:rFonts w:ascii="宋体" w:hAnsi="宋体" w:eastAsia="宋体" w:cs="宋体"/>
                <w:b/>
                <w:bCs/>
                <w:spacing w:val="-3"/>
                <w:sz w:val="21"/>
                <w:szCs w:val="21"/>
              </w:rPr>
              <w:t>七</w:t>
            </w:r>
          </w:p>
        </w:tc>
        <w:tc>
          <w:tcPr>
            <w:tcW w:w="3086" w:type="dxa"/>
            <w:vAlign w:val="top"/>
          </w:tcPr>
          <w:p w14:paraId="3BE084B1">
            <w:pPr>
              <w:pStyle w:val="6"/>
              <w:spacing w:before="72" w:line="213" w:lineRule="auto"/>
              <w:ind w:left="769"/>
            </w:pPr>
            <w:r>
              <w:rPr>
                <w:rFonts w:ascii="宋体" w:hAnsi="宋体" w:eastAsia="宋体" w:cs="宋体"/>
                <w:b/>
                <w:bCs/>
                <w:spacing w:val="-2"/>
              </w:rPr>
              <w:t>菊科</w:t>
            </w:r>
            <w:r>
              <w:rPr>
                <w:rFonts w:ascii="宋体" w:hAnsi="宋体" w:eastAsia="宋体" w:cs="宋体"/>
                <w:spacing w:val="-41"/>
              </w:rPr>
              <w:t xml:space="preserve"> </w:t>
            </w:r>
            <w:r>
              <w:rPr>
                <w:b/>
                <w:bCs/>
                <w:spacing w:val="-2"/>
              </w:rPr>
              <w:t>Compositae</w:t>
            </w:r>
          </w:p>
        </w:tc>
        <w:tc>
          <w:tcPr>
            <w:tcW w:w="655" w:type="dxa"/>
            <w:vAlign w:val="top"/>
          </w:tcPr>
          <w:p w14:paraId="42D3DA2E">
            <w:pPr>
              <w:rPr>
                <w:rFonts w:ascii="Arial"/>
                <w:sz w:val="21"/>
              </w:rPr>
            </w:pPr>
          </w:p>
        </w:tc>
        <w:tc>
          <w:tcPr>
            <w:tcW w:w="656" w:type="dxa"/>
            <w:vAlign w:val="top"/>
          </w:tcPr>
          <w:p w14:paraId="70C9A489">
            <w:pPr>
              <w:rPr>
                <w:rFonts w:ascii="Arial"/>
                <w:sz w:val="21"/>
              </w:rPr>
            </w:pPr>
          </w:p>
        </w:tc>
        <w:tc>
          <w:tcPr>
            <w:tcW w:w="727" w:type="dxa"/>
            <w:vAlign w:val="top"/>
          </w:tcPr>
          <w:p w14:paraId="2BB72E3C">
            <w:pPr>
              <w:rPr>
                <w:rFonts w:ascii="Arial"/>
                <w:sz w:val="21"/>
              </w:rPr>
            </w:pPr>
          </w:p>
        </w:tc>
        <w:tc>
          <w:tcPr>
            <w:tcW w:w="655" w:type="dxa"/>
            <w:vAlign w:val="top"/>
          </w:tcPr>
          <w:p w14:paraId="01E868F9">
            <w:pPr>
              <w:rPr>
                <w:rFonts w:ascii="Arial"/>
                <w:sz w:val="21"/>
              </w:rPr>
            </w:pPr>
          </w:p>
        </w:tc>
        <w:tc>
          <w:tcPr>
            <w:tcW w:w="1105" w:type="dxa"/>
            <w:vAlign w:val="top"/>
          </w:tcPr>
          <w:p w14:paraId="2463A5BE">
            <w:pPr>
              <w:rPr>
                <w:rFonts w:ascii="Arial"/>
                <w:sz w:val="21"/>
              </w:rPr>
            </w:pPr>
          </w:p>
        </w:tc>
        <w:tc>
          <w:tcPr>
            <w:tcW w:w="1123" w:type="dxa"/>
            <w:tcBorders>
              <w:right w:val="single" w:color="000000" w:sz="12" w:space="0"/>
            </w:tcBorders>
            <w:vAlign w:val="top"/>
          </w:tcPr>
          <w:p w14:paraId="3A5CD26B">
            <w:pPr>
              <w:rPr>
                <w:rFonts w:ascii="Arial"/>
                <w:sz w:val="21"/>
              </w:rPr>
            </w:pPr>
          </w:p>
        </w:tc>
      </w:tr>
      <w:tr w14:paraId="56ADE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66" w:type="dxa"/>
            <w:tcBorders>
              <w:left w:val="single" w:color="000000" w:sz="12" w:space="0"/>
            </w:tcBorders>
            <w:vAlign w:val="top"/>
          </w:tcPr>
          <w:p w14:paraId="4F8FEC89">
            <w:pPr>
              <w:pStyle w:val="6"/>
              <w:spacing w:before="228" w:line="235" w:lineRule="auto"/>
              <w:ind w:left="130"/>
            </w:pPr>
            <w:r>
              <w:rPr>
                <w:spacing w:val="-6"/>
              </w:rPr>
              <w:t>12</w:t>
            </w:r>
          </w:p>
        </w:tc>
        <w:tc>
          <w:tcPr>
            <w:tcW w:w="3086" w:type="dxa"/>
            <w:vAlign w:val="top"/>
          </w:tcPr>
          <w:p w14:paraId="481A9153">
            <w:pPr>
              <w:pStyle w:val="6"/>
              <w:spacing w:before="73" w:line="229" w:lineRule="auto"/>
              <w:ind w:left="1014" w:right="501" w:hanging="525"/>
            </w:pPr>
            <w:r>
              <w:rPr>
                <w:rFonts w:ascii="宋体" w:hAnsi="宋体" w:eastAsia="宋体" w:cs="宋体"/>
                <w:spacing w:val="-2"/>
              </w:rPr>
              <w:t>野茼蒿</w:t>
            </w:r>
            <w:r>
              <w:rPr>
                <w:rFonts w:ascii="宋体" w:hAnsi="宋体" w:eastAsia="宋体" w:cs="宋体"/>
                <w:spacing w:val="-29"/>
              </w:rPr>
              <w:t xml:space="preserve"> </w:t>
            </w:r>
            <w:r>
              <w:rPr>
                <w:i/>
                <w:iCs/>
                <w:spacing w:val="-2"/>
              </w:rPr>
              <w:t>Crassocephalum</w:t>
            </w:r>
            <w:r>
              <w:rPr>
                <w:i/>
                <w:iCs/>
              </w:rPr>
              <w:t xml:space="preserve"> </w:t>
            </w:r>
            <w:r>
              <w:rPr>
                <w:i/>
                <w:iCs/>
                <w:spacing w:val="-1"/>
              </w:rPr>
              <w:t>crepidioides</w:t>
            </w:r>
          </w:p>
        </w:tc>
        <w:tc>
          <w:tcPr>
            <w:tcW w:w="655" w:type="dxa"/>
            <w:vAlign w:val="top"/>
          </w:tcPr>
          <w:p w14:paraId="7ABFF78F">
            <w:pPr>
              <w:pStyle w:val="6"/>
              <w:spacing w:before="228" w:line="251" w:lineRule="exact"/>
              <w:ind w:left="264"/>
            </w:pPr>
            <w:r>
              <w:rPr>
                <w:position w:val="1"/>
              </w:rPr>
              <w:t>+</w:t>
            </w:r>
          </w:p>
        </w:tc>
        <w:tc>
          <w:tcPr>
            <w:tcW w:w="656" w:type="dxa"/>
            <w:vAlign w:val="top"/>
          </w:tcPr>
          <w:p w14:paraId="4BE1A733">
            <w:pPr>
              <w:pStyle w:val="6"/>
              <w:spacing w:before="228" w:line="251" w:lineRule="exact"/>
              <w:ind w:left="209"/>
            </w:pPr>
            <w:r>
              <w:rPr>
                <w:spacing w:val="-1"/>
                <w:position w:val="1"/>
              </w:rPr>
              <w:t>++</w:t>
            </w:r>
          </w:p>
        </w:tc>
        <w:tc>
          <w:tcPr>
            <w:tcW w:w="727" w:type="dxa"/>
            <w:vAlign w:val="top"/>
          </w:tcPr>
          <w:p w14:paraId="4CF11FE8">
            <w:pPr>
              <w:pStyle w:val="6"/>
              <w:spacing w:before="228" w:line="251" w:lineRule="exact"/>
              <w:ind w:left="306"/>
            </w:pPr>
            <w:r>
              <w:rPr>
                <w:position w:val="1"/>
              </w:rPr>
              <w:t>+</w:t>
            </w:r>
          </w:p>
        </w:tc>
        <w:tc>
          <w:tcPr>
            <w:tcW w:w="655" w:type="dxa"/>
            <w:vAlign w:val="top"/>
          </w:tcPr>
          <w:p w14:paraId="20491BF0">
            <w:pPr>
              <w:pStyle w:val="6"/>
              <w:spacing w:before="228" w:line="251" w:lineRule="exact"/>
              <w:ind w:left="214"/>
            </w:pPr>
            <w:r>
              <w:rPr>
                <w:spacing w:val="-1"/>
                <w:position w:val="1"/>
              </w:rPr>
              <w:t>++</w:t>
            </w:r>
          </w:p>
        </w:tc>
        <w:tc>
          <w:tcPr>
            <w:tcW w:w="1105" w:type="dxa"/>
            <w:vAlign w:val="top"/>
          </w:tcPr>
          <w:p w14:paraId="5D83D174">
            <w:pPr>
              <w:pStyle w:val="6"/>
              <w:spacing w:before="228" w:line="251" w:lineRule="exact"/>
              <w:ind w:left="501"/>
            </w:pPr>
            <w:r>
              <w:rPr>
                <w:position w:val="1"/>
              </w:rPr>
              <w:t>+</w:t>
            </w:r>
          </w:p>
        </w:tc>
        <w:tc>
          <w:tcPr>
            <w:tcW w:w="1123" w:type="dxa"/>
            <w:tcBorders>
              <w:right w:val="single" w:color="000000" w:sz="12" w:space="0"/>
            </w:tcBorders>
            <w:vAlign w:val="top"/>
          </w:tcPr>
          <w:p w14:paraId="7923D8C1">
            <w:pPr>
              <w:pStyle w:val="6"/>
              <w:spacing w:before="228" w:line="251" w:lineRule="exact"/>
              <w:ind w:left="506"/>
            </w:pPr>
            <w:r>
              <w:rPr>
                <w:position w:val="1"/>
              </w:rPr>
              <w:t>+</w:t>
            </w:r>
          </w:p>
        </w:tc>
      </w:tr>
      <w:tr w14:paraId="4E1B5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466" w:type="dxa"/>
            <w:tcBorders>
              <w:left w:val="single" w:color="000000" w:sz="12" w:space="0"/>
            </w:tcBorders>
            <w:vAlign w:val="top"/>
          </w:tcPr>
          <w:p w14:paraId="0B3DB56A">
            <w:pPr>
              <w:pStyle w:val="6"/>
              <w:spacing w:before="109" w:line="212" w:lineRule="auto"/>
              <w:ind w:left="130"/>
            </w:pPr>
            <w:r>
              <w:rPr>
                <w:spacing w:val="-6"/>
              </w:rPr>
              <w:t>13</w:t>
            </w:r>
          </w:p>
        </w:tc>
        <w:tc>
          <w:tcPr>
            <w:tcW w:w="3086" w:type="dxa"/>
            <w:vAlign w:val="top"/>
          </w:tcPr>
          <w:p w14:paraId="27035DD6">
            <w:pPr>
              <w:pStyle w:val="6"/>
              <w:spacing w:before="76" w:line="212" w:lineRule="auto"/>
              <w:ind w:left="310"/>
            </w:pPr>
            <w:r>
              <w:rPr>
                <w:rFonts w:ascii="宋体" w:hAnsi="宋体" w:eastAsia="宋体" w:cs="宋体"/>
                <w:spacing w:val="-1"/>
              </w:rPr>
              <w:t>牛膝菊</w:t>
            </w:r>
            <w:r>
              <w:rPr>
                <w:rFonts w:ascii="宋体" w:hAnsi="宋体" w:eastAsia="宋体" w:cs="宋体"/>
                <w:spacing w:val="-21"/>
              </w:rPr>
              <w:t xml:space="preserve"> </w:t>
            </w:r>
            <w:r>
              <w:rPr>
                <w:i/>
                <w:iCs/>
                <w:spacing w:val="-1"/>
              </w:rPr>
              <w:t>Galinsoga</w:t>
            </w:r>
            <w:r>
              <w:rPr>
                <w:i/>
                <w:iCs/>
                <w:spacing w:val="-23"/>
              </w:rPr>
              <w:t xml:space="preserve"> </w:t>
            </w:r>
            <w:r>
              <w:rPr>
                <w:i/>
                <w:iCs/>
                <w:spacing w:val="-1"/>
              </w:rPr>
              <w:t>parviflora</w:t>
            </w:r>
          </w:p>
        </w:tc>
        <w:tc>
          <w:tcPr>
            <w:tcW w:w="655" w:type="dxa"/>
            <w:vAlign w:val="top"/>
          </w:tcPr>
          <w:p w14:paraId="5AF14AAE">
            <w:pPr>
              <w:rPr>
                <w:rFonts w:ascii="Arial"/>
                <w:sz w:val="21"/>
              </w:rPr>
            </w:pPr>
          </w:p>
        </w:tc>
        <w:tc>
          <w:tcPr>
            <w:tcW w:w="656" w:type="dxa"/>
            <w:vAlign w:val="top"/>
          </w:tcPr>
          <w:p w14:paraId="23A8BC4A">
            <w:pPr>
              <w:rPr>
                <w:rFonts w:ascii="Arial"/>
                <w:sz w:val="21"/>
              </w:rPr>
            </w:pPr>
          </w:p>
        </w:tc>
        <w:tc>
          <w:tcPr>
            <w:tcW w:w="727" w:type="dxa"/>
            <w:vAlign w:val="top"/>
          </w:tcPr>
          <w:p w14:paraId="1747B117">
            <w:pPr>
              <w:pStyle w:val="6"/>
              <w:spacing w:before="109" w:line="212" w:lineRule="auto"/>
              <w:ind w:left="187"/>
            </w:pPr>
            <w:r>
              <w:rPr>
                <w:spacing w:val="-1"/>
              </w:rPr>
              <w:t>+++</w:t>
            </w:r>
          </w:p>
        </w:tc>
        <w:tc>
          <w:tcPr>
            <w:tcW w:w="655" w:type="dxa"/>
            <w:vAlign w:val="top"/>
          </w:tcPr>
          <w:p w14:paraId="75E510CD">
            <w:pPr>
              <w:pStyle w:val="6"/>
              <w:spacing w:before="109" w:line="212" w:lineRule="auto"/>
              <w:ind w:left="214"/>
            </w:pPr>
            <w:r>
              <w:rPr>
                <w:spacing w:val="-1"/>
              </w:rPr>
              <w:t>++</w:t>
            </w:r>
          </w:p>
        </w:tc>
        <w:tc>
          <w:tcPr>
            <w:tcW w:w="1105" w:type="dxa"/>
            <w:vAlign w:val="top"/>
          </w:tcPr>
          <w:p w14:paraId="39E16FF8">
            <w:pPr>
              <w:rPr>
                <w:rFonts w:ascii="Arial"/>
                <w:sz w:val="21"/>
              </w:rPr>
            </w:pPr>
          </w:p>
        </w:tc>
        <w:tc>
          <w:tcPr>
            <w:tcW w:w="1123" w:type="dxa"/>
            <w:tcBorders>
              <w:right w:val="single" w:color="000000" w:sz="12" w:space="0"/>
            </w:tcBorders>
            <w:vAlign w:val="top"/>
          </w:tcPr>
          <w:p w14:paraId="0638A264">
            <w:pPr>
              <w:pStyle w:val="6"/>
              <w:spacing w:before="109" w:line="212" w:lineRule="auto"/>
              <w:ind w:left="447"/>
            </w:pPr>
            <w:r>
              <w:rPr>
                <w:spacing w:val="-1"/>
              </w:rPr>
              <w:t>++</w:t>
            </w:r>
          </w:p>
        </w:tc>
      </w:tr>
      <w:tr w14:paraId="12E46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60F17DD2">
            <w:pPr>
              <w:pStyle w:val="6"/>
              <w:spacing w:before="109" w:line="211" w:lineRule="auto"/>
              <w:ind w:left="130"/>
            </w:pPr>
            <w:r>
              <w:rPr>
                <w:spacing w:val="-6"/>
              </w:rPr>
              <w:t>14</w:t>
            </w:r>
          </w:p>
        </w:tc>
        <w:tc>
          <w:tcPr>
            <w:tcW w:w="3086" w:type="dxa"/>
            <w:vAlign w:val="top"/>
          </w:tcPr>
          <w:p w14:paraId="2C5D44F7">
            <w:pPr>
              <w:pStyle w:val="6"/>
              <w:spacing w:before="76" w:line="212" w:lineRule="auto"/>
              <w:ind w:left="346"/>
            </w:pPr>
            <w:r>
              <w:rPr>
                <w:rFonts w:ascii="宋体" w:hAnsi="宋体" w:eastAsia="宋体" w:cs="宋体"/>
              </w:rPr>
              <w:t>三脉紫菀</w:t>
            </w:r>
            <w:r>
              <w:rPr>
                <w:rFonts w:ascii="宋体" w:hAnsi="宋体" w:eastAsia="宋体" w:cs="宋体"/>
                <w:spacing w:val="-62"/>
              </w:rPr>
              <w:t xml:space="preserve"> </w:t>
            </w:r>
            <w:r>
              <w:rPr>
                <w:i/>
                <w:iCs/>
              </w:rPr>
              <w:t>Aster ageratoides</w:t>
            </w:r>
          </w:p>
        </w:tc>
        <w:tc>
          <w:tcPr>
            <w:tcW w:w="655" w:type="dxa"/>
            <w:vAlign w:val="top"/>
          </w:tcPr>
          <w:p w14:paraId="21215777">
            <w:pPr>
              <w:pStyle w:val="6"/>
              <w:spacing w:before="109" w:line="211" w:lineRule="auto"/>
              <w:ind w:left="264"/>
            </w:pPr>
            <w:r>
              <w:t>+</w:t>
            </w:r>
          </w:p>
        </w:tc>
        <w:tc>
          <w:tcPr>
            <w:tcW w:w="656" w:type="dxa"/>
            <w:vAlign w:val="top"/>
          </w:tcPr>
          <w:p w14:paraId="0A8943AF">
            <w:pPr>
              <w:pStyle w:val="6"/>
              <w:spacing w:before="109" w:line="211" w:lineRule="auto"/>
              <w:ind w:left="268"/>
            </w:pPr>
            <w:r>
              <w:t>+</w:t>
            </w:r>
          </w:p>
        </w:tc>
        <w:tc>
          <w:tcPr>
            <w:tcW w:w="727" w:type="dxa"/>
            <w:vAlign w:val="top"/>
          </w:tcPr>
          <w:p w14:paraId="13A21BE9">
            <w:pPr>
              <w:pStyle w:val="6"/>
              <w:spacing w:before="109" w:line="211" w:lineRule="auto"/>
              <w:ind w:left="247"/>
            </w:pPr>
            <w:r>
              <w:rPr>
                <w:spacing w:val="-1"/>
              </w:rPr>
              <w:t>++</w:t>
            </w:r>
          </w:p>
        </w:tc>
        <w:tc>
          <w:tcPr>
            <w:tcW w:w="655" w:type="dxa"/>
            <w:vAlign w:val="top"/>
          </w:tcPr>
          <w:p w14:paraId="7F7D5E2A">
            <w:pPr>
              <w:pStyle w:val="6"/>
              <w:spacing w:before="109" w:line="211" w:lineRule="auto"/>
              <w:ind w:left="214"/>
            </w:pPr>
            <w:r>
              <w:rPr>
                <w:spacing w:val="-1"/>
              </w:rPr>
              <w:t>++</w:t>
            </w:r>
          </w:p>
        </w:tc>
        <w:tc>
          <w:tcPr>
            <w:tcW w:w="1105" w:type="dxa"/>
            <w:vAlign w:val="top"/>
          </w:tcPr>
          <w:p w14:paraId="530BA888">
            <w:pPr>
              <w:pStyle w:val="6"/>
              <w:spacing w:before="109" w:line="211" w:lineRule="auto"/>
              <w:ind w:left="442"/>
            </w:pPr>
            <w:r>
              <w:rPr>
                <w:spacing w:val="-1"/>
              </w:rPr>
              <w:t>++</w:t>
            </w:r>
          </w:p>
        </w:tc>
        <w:tc>
          <w:tcPr>
            <w:tcW w:w="1123" w:type="dxa"/>
            <w:tcBorders>
              <w:right w:val="single" w:color="000000" w:sz="12" w:space="0"/>
            </w:tcBorders>
            <w:vAlign w:val="top"/>
          </w:tcPr>
          <w:p w14:paraId="5B920850">
            <w:pPr>
              <w:rPr>
                <w:rFonts w:ascii="Arial"/>
                <w:sz w:val="21"/>
              </w:rPr>
            </w:pPr>
          </w:p>
        </w:tc>
      </w:tr>
      <w:tr w14:paraId="6CA9D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7D0894F1">
            <w:pPr>
              <w:spacing w:before="77" w:line="215" w:lineRule="auto"/>
              <w:ind w:left="117"/>
              <w:rPr>
                <w:rFonts w:ascii="宋体" w:hAnsi="宋体" w:eastAsia="宋体" w:cs="宋体"/>
                <w:sz w:val="21"/>
                <w:szCs w:val="21"/>
              </w:rPr>
            </w:pPr>
            <w:r>
              <w:rPr>
                <w:rFonts w:ascii="宋体" w:hAnsi="宋体" w:eastAsia="宋体" w:cs="宋体"/>
                <w:sz w:val="21"/>
                <w:szCs w:val="21"/>
              </w:rPr>
              <w:t>八</w:t>
            </w:r>
          </w:p>
        </w:tc>
        <w:tc>
          <w:tcPr>
            <w:tcW w:w="3086" w:type="dxa"/>
            <w:vAlign w:val="top"/>
          </w:tcPr>
          <w:p w14:paraId="00A6826C">
            <w:pPr>
              <w:pStyle w:val="6"/>
              <w:spacing w:before="77" w:line="212" w:lineRule="auto"/>
              <w:ind w:left="289"/>
            </w:pPr>
            <w:r>
              <w:rPr>
                <w:rFonts w:ascii="宋体" w:hAnsi="宋体" w:eastAsia="宋体" w:cs="宋体"/>
                <w:b/>
                <w:bCs/>
                <w:spacing w:val="-2"/>
              </w:rPr>
              <w:t>小二仙草科</w:t>
            </w:r>
            <w:r>
              <w:rPr>
                <w:rFonts w:ascii="宋体" w:hAnsi="宋体" w:eastAsia="宋体" w:cs="宋体"/>
                <w:spacing w:val="-37"/>
              </w:rPr>
              <w:t xml:space="preserve"> </w:t>
            </w:r>
            <w:r>
              <w:rPr>
                <w:b/>
                <w:bCs/>
                <w:spacing w:val="-2"/>
              </w:rPr>
              <w:t>Haloragidaceae</w:t>
            </w:r>
          </w:p>
        </w:tc>
        <w:tc>
          <w:tcPr>
            <w:tcW w:w="655" w:type="dxa"/>
            <w:vAlign w:val="top"/>
          </w:tcPr>
          <w:p w14:paraId="28DF64D0">
            <w:pPr>
              <w:rPr>
                <w:rFonts w:ascii="Arial"/>
                <w:sz w:val="21"/>
              </w:rPr>
            </w:pPr>
          </w:p>
        </w:tc>
        <w:tc>
          <w:tcPr>
            <w:tcW w:w="656" w:type="dxa"/>
            <w:vAlign w:val="top"/>
          </w:tcPr>
          <w:p w14:paraId="472FB093">
            <w:pPr>
              <w:rPr>
                <w:rFonts w:ascii="Arial"/>
                <w:sz w:val="21"/>
              </w:rPr>
            </w:pPr>
          </w:p>
        </w:tc>
        <w:tc>
          <w:tcPr>
            <w:tcW w:w="727" w:type="dxa"/>
            <w:vAlign w:val="top"/>
          </w:tcPr>
          <w:p w14:paraId="67F0048A">
            <w:pPr>
              <w:rPr>
                <w:rFonts w:ascii="Arial"/>
                <w:sz w:val="21"/>
              </w:rPr>
            </w:pPr>
          </w:p>
        </w:tc>
        <w:tc>
          <w:tcPr>
            <w:tcW w:w="655" w:type="dxa"/>
            <w:vAlign w:val="top"/>
          </w:tcPr>
          <w:p w14:paraId="685D695D">
            <w:pPr>
              <w:rPr>
                <w:rFonts w:ascii="Arial"/>
                <w:sz w:val="21"/>
              </w:rPr>
            </w:pPr>
          </w:p>
        </w:tc>
        <w:tc>
          <w:tcPr>
            <w:tcW w:w="1105" w:type="dxa"/>
            <w:vAlign w:val="top"/>
          </w:tcPr>
          <w:p w14:paraId="1445916C">
            <w:pPr>
              <w:rPr>
                <w:rFonts w:ascii="Arial"/>
                <w:sz w:val="21"/>
              </w:rPr>
            </w:pPr>
          </w:p>
        </w:tc>
        <w:tc>
          <w:tcPr>
            <w:tcW w:w="1123" w:type="dxa"/>
            <w:tcBorders>
              <w:right w:val="single" w:color="000000" w:sz="12" w:space="0"/>
            </w:tcBorders>
            <w:vAlign w:val="top"/>
          </w:tcPr>
          <w:p w14:paraId="30F1B635">
            <w:pPr>
              <w:rPr>
                <w:rFonts w:ascii="Arial"/>
                <w:sz w:val="21"/>
              </w:rPr>
            </w:pPr>
          </w:p>
        </w:tc>
      </w:tr>
      <w:tr w14:paraId="67F92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66" w:type="dxa"/>
            <w:tcBorders>
              <w:left w:val="single" w:color="000000" w:sz="12" w:space="0"/>
            </w:tcBorders>
            <w:vAlign w:val="top"/>
          </w:tcPr>
          <w:p w14:paraId="36CFB8D6">
            <w:pPr>
              <w:pStyle w:val="6"/>
              <w:spacing w:before="232" w:line="232" w:lineRule="auto"/>
              <w:ind w:left="130"/>
            </w:pPr>
            <w:r>
              <w:rPr>
                <w:spacing w:val="-6"/>
              </w:rPr>
              <w:t>15</w:t>
            </w:r>
          </w:p>
        </w:tc>
        <w:tc>
          <w:tcPr>
            <w:tcW w:w="3086" w:type="dxa"/>
            <w:vAlign w:val="top"/>
          </w:tcPr>
          <w:p w14:paraId="79986A4F">
            <w:pPr>
              <w:spacing w:before="78" w:line="220" w:lineRule="auto"/>
              <w:ind w:left="1222"/>
              <w:rPr>
                <w:rFonts w:ascii="宋体" w:hAnsi="宋体" w:eastAsia="宋体" w:cs="宋体"/>
                <w:sz w:val="21"/>
                <w:szCs w:val="21"/>
              </w:rPr>
            </w:pPr>
            <w:r>
              <w:rPr>
                <w:rFonts w:ascii="宋体" w:hAnsi="宋体" w:eastAsia="宋体" w:cs="宋体"/>
                <w:spacing w:val="-3"/>
                <w:sz w:val="21"/>
                <w:szCs w:val="21"/>
              </w:rPr>
              <w:t>狐尾藻</w:t>
            </w:r>
          </w:p>
          <w:p w14:paraId="28FD9447">
            <w:pPr>
              <w:pStyle w:val="6"/>
              <w:spacing w:before="39" w:line="190" w:lineRule="auto"/>
              <w:ind w:left="364"/>
            </w:pPr>
            <w:r>
              <w:rPr>
                <w:i/>
                <w:iCs/>
              </w:rPr>
              <w:t>Myriophyllum</w:t>
            </w:r>
            <w:r>
              <w:rPr>
                <w:i/>
                <w:iCs/>
                <w:spacing w:val="8"/>
              </w:rPr>
              <w:t xml:space="preserve"> </w:t>
            </w:r>
            <w:r>
              <w:rPr>
                <w:i/>
                <w:iCs/>
              </w:rPr>
              <w:t>verticillatum</w:t>
            </w:r>
          </w:p>
        </w:tc>
        <w:tc>
          <w:tcPr>
            <w:tcW w:w="655" w:type="dxa"/>
            <w:vAlign w:val="top"/>
          </w:tcPr>
          <w:p w14:paraId="668DB0B8">
            <w:pPr>
              <w:pStyle w:val="6"/>
              <w:spacing w:before="232" w:line="251" w:lineRule="exact"/>
              <w:ind w:left="264"/>
            </w:pPr>
            <w:r>
              <w:rPr>
                <w:position w:val="1"/>
              </w:rPr>
              <w:t>+</w:t>
            </w:r>
          </w:p>
        </w:tc>
        <w:tc>
          <w:tcPr>
            <w:tcW w:w="656" w:type="dxa"/>
            <w:vAlign w:val="top"/>
          </w:tcPr>
          <w:p w14:paraId="775A86CA">
            <w:pPr>
              <w:pStyle w:val="6"/>
              <w:spacing w:before="232" w:line="251" w:lineRule="exact"/>
              <w:ind w:left="268"/>
            </w:pPr>
            <w:r>
              <w:rPr>
                <w:position w:val="1"/>
              </w:rPr>
              <w:t>+</w:t>
            </w:r>
          </w:p>
        </w:tc>
        <w:tc>
          <w:tcPr>
            <w:tcW w:w="727" w:type="dxa"/>
            <w:vAlign w:val="top"/>
          </w:tcPr>
          <w:p w14:paraId="22CE2A1C">
            <w:pPr>
              <w:pStyle w:val="6"/>
              <w:spacing w:before="232" w:line="251" w:lineRule="exact"/>
              <w:ind w:left="306"/>
            </w:pPr>
            <w:r>
              <w:rPr>
                <w:position w:val="1"/>
              </w:rPr>
              <w:t>+</w:t>
            </w:r>
          </w:p>
        </w:tc>
        <w:tc>
          <w:tcPr>
            <w:tcW w:w="655" w:type="dxa"/>
            <w:vAlign w:val="top"/>
          </w:tcPr>
          <w:p w14:paraId="044D089A">
            <w:pPr>
              <w:pStyle w:val="6"/>
              <w:spacing w:before="232" w:line="251" w:lineRule="exact"/>
              <w:ind w:left="272"/>
            </w:pPr>
            <w:r>
              <w:rPr>
                <w:position w:val="1"/>
              </w:rPr>
              <w:t>+</w:t>
            </w:r>
          </w:p>
        </w:tc>
        <w:tc>
          <w:tcPr>
            <w:tcW w:w="1105" w:type="dxa"/>
            <w:vAlign w:val="top"/>
          </w:tcPr>
          <w:p w14:paraId="3296A5AA">
            <w:pPr>
              <w:pStyle w:val="6"/>
              <w:spacing w:before="232" w:line="251" w:lineRule="exact"/>
              <w:ind w:left="501"/>
            </w:pPr>
            <w:r>
              <w:rPr>
                <w:position w:val="1"/>
              </w:rPr>
              <w:t>+</w:t>
            </w:r>
          </w:p>
        </w:tc>
        <w:tc>
          <w:tcPr>
            <w:tcW w:w="1123" w:type="dxa"/>
            <w:tcBorders>
              <w:right w:val="single" w:color="000000" w:sz="12" w:space="0"/>
            </w:tcBorders>
            <w:vAlign w:val="top"/>
          </w:tcPr>
          <w:p w14:paraId="487F8AFD">
            <w:pPr>
              <w:pStyle w:val="6"/>
              <w:spacing w:before="232" w:line="251" w:lineRule="exact"/>
              <w:ind w:left="447"/>
            </w:pPr>
            <w:r>
              <w:rPr>
                <w:spacing w:val="-1"/>
                <w:position w:val="1"/>
              </w:rPr>
              <w:t>++</w:t>
            </w:r>
          </w:p>
        </w:tc>
      </w:tr>
      <w:tr w14:paraId="2C49B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0EFF0F2E">
            <w:pPr>
              <w:spacing w:before="78" w:line="214" w:lineRule="auto"/>
              <w:ind w:left="118"/>
              <w:rPr>
                <w:rFonts w:ascii="宋体" w:hAnsi="宋体" w:eastAsia="宋体" w:cs="宋体"/>
                <w:sz w:val="21"/>
                <w:szCs w:val="21"/>
              </w:rPr>
            </w:pPr>
            <w:r>
              <w:rPr>
                <w:rFonts w:ascii="宋体" w:hAnsi="宋体" w:eastAsia="宋体" w:cs="宋体"/>
                <w:sz w:val="21"/>
                <w:szCs w:val="21"/>
              </w:rPr>
              <w:t>九</w:t>
            </w:r>
          </w:p>
        </w:tc>
        <w:tc>
          <w:tcPr>
            <w:tcW w:w="3086" w:type="dxa"/>
            <w:vAlign w:val="top"/>
          </w:tcPr>
          <w:p w14:paraId="212D6150">
            <w:pPr>
              <w:pStyle w:val="6"/>
              <w:spacing w:before="79" w:line="212" w:lineRule="auto"/>
              <w:ind w:left="551"/>
            </w:pPr>
            <w:r>
              <w:rPr>
                <w:rFonts w:ascii="宋体" w:hAnsi="宋体" w:eastAsia="宋体" w:cs="宋体"/>
                <w:b/>
                <w:bCs/>
                <w:spacing w:val="-2"/>
              </w:rPr>
              <w:t>柳叶菜科</w:t>
            </w:r>
            <w:r>
              <w:rPr>
                <w:rFonts w:ascii="宋体" w:hAnsi="宋体" w:eastAsia="宋体" w:cs="宋体"/>
                <w:spacing w:val="-39"/>
              </w:rPr>
              <w:t xml:space="preserve"> </w:t>
            </w:r>
            <w:r>
              <w:rPr>
                <w:b/>
                <w:bCs/>
                <w:spacing w:val="-2"/>
              </w:rPr>
              <w:t>Onagraceae</w:t>
            </w:r>
          </w:p>
        </w:tc>
        <w:tc>
          <w:tcPr>
            <w:tcW w:w="655" w:type="dxa"/>
            <w:vAlign w:val="top"/>
          </w:tcPr>
          <w:p w14:paraId="2AC4F847">
            <w:pPr>
              <w:rPr>
                <w:rFonts w:ascii="Arial"/>
                <w:sz w:val="21"/>
              </w:rPr>
            </w:pPr>
          </w:p>
        </w:tc>
        <w:tc>
          <w:tcPr>
            <w:tcW w:w="656" w:type="dxa"/>
            <w:vAlign w:val="top"/>
          </w:tcPr>
          <w:p w14:paraId="41BDEB43">
            <w:pPr>
              <w:rPr>
                <w:rFonts w:ascii="Arial"/>
                <w:sz w:val="21"/>
              </w:rPr>
            </w:pPr>
          </w:p>
        </w:tc>
        <w:tc>
          <w:tcPr>
            <w:tcW w:w="727" w:type="dxa"/>
            <w:vAlign w:val="top"/>
          </w:tcPr>
          <w:p w14:paraId="785A150B">
            <w:pPr>
              <w:rPr>
                <w:rFonts w:ascii="Arial"/>
                <w:sz w:val="21"/>
              </w:rPr>
            </w:pPr>
          </w:p>
        </w:tc>
        <w:tc>
          <w:tcPr>
            <w:tcW w:w="655" w:type="dxa"/>
            <w:vAlign w:val="top"/>
          </w:tcPr>
          <w:p w14:paraId="63934656">
            <w:pPr>
              <w:rPr>
                <w:rFonts w:ascii="Arial"/>
                <w:sz w:val="21"/>
              </w:rPr>
            </w:pPr>
          </w:p>
        </w:tc>
        <w:tc>
          <w:tcPr>
            <w:tcW w:w="1105" w:type="dxa"/>
            <w:vAlign w:val="top"/>
          </w:tcPr>
          <w:p w14:paraId="4925F739">
            <w:pPr>
              <w:rPr>
                <w:rFonts w:ascii="Arial"/>
                <w:sz w:val="21"/>
              </w:rPr>
            </w:pPr>
          </w:p>
        </w:tc>
        <w:tc>
          <w:tcPr>
            <w:tcW w:w="1123" w:type="dxa"/>
            <w:tcBorders>
              <w:right w:val="single" w:color="000000" w:sz="12" w:space="0"/>
            </w:tcBorders>
            <w:vAlign w:val="top"/>
          </w:tcPr>
          <w:p w14:paraId="13A4A98E">
            <w:pPr>
              <w:rPr>
                <w:rFonts w:ascii="Arial"/>
                <w:sz w:val="21"/>
              </w:rPr>
            </w:pPr>
          </w:p>
        </w:tc>
      </w:tr>
      <w:tr w14:paraId="41DC2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741C253E">
            <w:pPr>
              <w:pStyle w:val="6"/>
              <w:spacing w:before="113" w:line="207" w:lineRule="auto"/>
              <w:ind w:left="130"/>
            </w:pPr>
            <w:r>
              <w:rPr>
                <w:spacing w:val="-6"/>
              </w:rPr>
              <w:t>16</w:t>
            </w:r>
          </w:p>
        </w:tc>
        <w:tc>
          <w:tcPr>
            <w:tcW w:w="3086" w:type="dxa"/>
            <w:vAlign w:val="top"/>
          </w:tcPr>
          <w:p w14:paraId="66E46E4D">
            <w:pPr>
              <w:pStyle w:val="6"/>
              <w:spacing w:before="79" w:line="213" w:lineRule="auto"/>
              <w:ind w:left="358"/>
            </w:pPr>
            <w:r>
              <w:rPr>
                <w:rFonts w:ascii="宋体" w:hAnsi="宋体" w:eastAsia="宋体" w:cs="宋体"/>
                <w:spacing w:val="-1"/>
              </w:rPr>
              <w:t>柳叶菜</w:t>
            </w:r>
            <w:r>
              <w:rPr>
                <w:rFonts w:ascii="宋体" w:hAnsi="宋体" w:eastAsia="宋体" w:cs="宋体"/>
                <w:spacing w:val="-40"/>
              </w:rPr>
              <w:t xml:space="preserve"> </w:t>
            </w:r>
            <w:r>
              <w:rPr>
                <w:i/>
                <w:iCs/>
                <w:spacing w:val="-1"/>
              </w:rPr>
              <w:t>Epilobium hirsutum</w:t>
            </w:r>
          </w:p>
        </w:tc>
        <w:tc>
          <w:tcPr>
            <w:tcW w:w="655" w:type="dxa"/>
            <w:vAlign w:val="top"/>
          </w:tcPr>
          <w:p w14:paraId="5CCA46FA">
            <w:pPr>
              <w:rPr>
                <w:rFonts w:ascii="Arial"/>
                <w:sz w:val="21"/>
              </w:rPr>
            </w:pPr>
          </w:p>
        </w:tc>
        <w:tc>
          <w:tcPr>
            <w:tcW w:w="656" w:type="dxa"/>
            <w:vAlign w:val="top"/>
          </w:tcPr>
          <w:p w14:paraId="13F63F22">
            <w:pPr>
              <w:pStyle w:val="6"/>
              <w:spacing w:before="113" w:line="207" w:lineRule="auto"/>
              <w:ind w:left="209"/>
            </w:pPr>
            <w:r>
              <w:rPr>
                <w:spacing w:val="-1"/>
              </w:rPr>
              <w:t>++</w:t>
            </w:r>
          </w:p>
        </w:tc>
        <w:tc>
          <w:tcPr>
            <w:tcW w:w="727" w:type="dxa"/>
            <w:vAlign w:val="top"/>
          </w:tcPr>
          <w:p w14:paraId="536D8211">
            <w:pPr>
              <w:pStyle w:val="6"/>
              <w:spacing w:before="113" w:line="207" w:lineRule="auto"/>
              <w:ind w:left="306"/>
            </w:pPr>
            <w:r>
              <w:t>+</w:t>
            </w:r>
          </w:p>
        </w:tc>
        <w:tc>
          <w:tcPr>
            <w:tcW w:w="655" w:type="dxa"/>
            <w:vAlign w:val="top"/>
          </w:tcPr>
          <w:p w14:paraId="7D34F607">
            <w:pPr>
              <w:pStyle w:val="6"/>
              <w:spacing w:before="113" w:line="207" w:lineRule="auto"/>
              <w:ind w:left="214"/>
            </w:pPr>
            <w:r>
              <w:rPr>
                <w:spacing w:val="-1"/>
              </w:rPr>
              <w:t>++</w:t>
            </w:r>
          </w:p>
        </w:tc>
        <w:tc>
          <w:tcPr>
            <w:tcW w:w="1105" w:type="dxa"/>
            <w:vAlign w:val="top"/>
          </w:tcPr>
          <w:p w14:paraId="45A89A4A">
            <w:pPr>
              <w:pStyle w:val="6"/>
              <w:spacing w:before="113" w:line="207" w:lineRule="auto"/>
              <w:ind w:left="501"/>
            </w:pPr>
            <w:r>
              <w:t>+</w:t>
            </w:r>
          </w:p>
        </w:tc>
        <w:tc>
          <w:tcPr>
            <w:tcW w:w="1123" w:type="dxa"/>
            <w:tcBorders>
              <w:right w:val="single" w:color="000000" w:sz="12" w:space="0"/>
            </w:tcBorders>
            <w:vAlign w:val="top"/>
          </w:tcPr>
          <w:p w14:paraId="7E2D9211">
            <w:pPr>
              <w:pStyle w:val="6"/>
              <w:spacing w:before="113" w:line="207" w:lineRule="auto"/>
              <w:ind w:left="447"/>
            </w:pPr>
            <w:r>
              <w:rPr>
                <w:spacing w:val="-1"/>
              </w:rPr>
              <w:t>++</w:t>
            </w:r>
          </w:p>
        </w:tc>
      </w:tr>
      <w:tr w14:paraId="7527E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42FB35B4">
            <w:pPr>
              <w:spacing w:before="83" w:line="210" w:lineRule="auto"/>
              <w:ind w:left="114"/>
              <w:rPr>
                <w:rFonts w:ascii="宋体" w:hAnsi="宋体" w:eastAsia="宋体" w:cs="宋体"/>
                <w:sz w:val="21"/>
                <w:szCs w:val="21"/>
              </w:rPr>
            </w:pPr>
            <w:r>
              <w:rPr>
                <w:rFonts w:ascii="宋体" w:hAnsi="宋体" w:eastAsia="宋体" w:cs="宋体"/>
                <w:sz w:val="21"/>
                <w:szCs w:val="21"/>
              </w:rPr>
              <w:t>十</w:t>
            </w:r>
          </w:p>
        </w:tc>
        <w:tc>
          <w:tcPr>
            <w:tcW w:w="3086" w:type="dxa"/>
            <w:vAlign w:val="top"/>
          </w:tcPr>
          <w:p w14:paraId="2450F6FC">
            <w:pPr>
              <w:pStyle w:val="6"/>
              <w:spacing w:before="83" w:line="210" w:lineRule="auto"/>
              <w:ind w:left="725"/>
            </w:pPr>
            <w:r>
              <w:rPr>
                <w:rFonts w:ascii="宋体" w:hAnsi="宋体" w:eastAsia="宋体" w:cs="宋体"/>
                <w:b/>
                <w:bCs/>
                <w:spacing w:val="-2"/>
              </w:rPr>
              <w:t>天南星科</w:t>
            </w:r>
            <w:r>
              <w:rPr>
                <w:rFonts w:ascii="宋体" w:hAnsi="宋体" w:eastAsia="宋体" w:cs="宋体"/>
                <w:spacing w:val="-49"/>
              </w:rPr>
              <w:t xml:space="preserve"> </w:t>
            </w:r>
            <w:r>
              <w:rPr>
                <w:b/>
                <w:bCs/>
                <w:spacing w:val="-2"/>
              </w:rPr>
              <w:t>Araceae</w:t>
            </w:r>
          </w:p>
        </w:tc>
        <w:tc>
          <w:tcPr>
            <w:tcW w:w="655" w:type="dxa"/>
            <w:vAlign w:val="top"/>
          </w:tcPr>
          <w:p w14:paraId="621CF409">
            <w:pPr>
              <w:rPr>
                <w:rFonts w:ascii="Arial"/>
                <w:sz w:val="21"/>
              </w:rPr>
            </w:pPr>
          </w:p>
        </w:tc>
        <w:tc>
          <w:tcPr>
            <w:tcW w:w="656" w:type="dxa"/>
            <w:vAlign w:val="top"/>
          </w:tcPr>
          <w:p w14:paraId="475D1498">
            <w:pPr>
              <w:rPr>
                <w:rFonts w:ascii="Arial"/>
                <w:sz w:val="21"/>
              </w:rPr>
            </w:pPr>
          </w:p>
        </w:tc>
        <w:tc>
          <w:tcPr>
            <w:tcW w:w="727" w:type="dxa"/>
            <w:vAlign w:val="top"/>
          </w:tcPr>
          <w:p w14:paraId="0D863C3F">
            <w:pPr>
              <w:rPr>
                <w:rFonts w:ascii="Arial"/>
                <w:sz w:val="21"/>
              </w:rPr>
            </w:pPr>
          </w:p>
        </w:tc>
        <w:tc>
          <w:tcPr>
            <w:tcW w:w="655" w:type="dxa"/>
            <w:vAlign w:val="top"/>
          </w:tcPr>
          <w:p w14:paraId="6CCF7BC6">
            <w:pPr>
              <w:rPr>
                <w:rFonts w:ascii="Arial"/>
                <w:sz w:val="21"/>
              </w:rPr>
            </w:pPr>
          </w:p>
        </w:tc>
        <w:tc>
          <w:tcPr>
            <w:tcW w:w="1105" w:type="dxa"/>
            <w:vAlign w:val="top"/>
          </w:tcPr>
          <w:p w14:paraId="49C19414">
            <w:pPr>
              <w:rPr>
                <w:rFonts w:ascii="Arial"/>
                <w:sz w:val="21"/>
              </w:rPr>
            </w:pPr>
          </w:p>
        </w:tc>
        <w:tc>
          <w:tcPr>
            <w:tcW w:w="1123" w:type="dxa"/>
            <w:tcBorders>
              <w:right w:val="single" w:color="000000" w:sz="12" w:space="0"/>
            </w:tcBorders>
            <w:vAlign w:val="top"/>
          </w:tcPr>
          <w:p w14:paraId="21A29CA8">
            <w:pPr>
              <w:rPr>
                <w:rFonts w:ascii="Arial"/>
                <w:sz w:val="21"/>
              </w:rPr>
            </w:pPr>
          </w:p>
        </w:tc>
      </w:tr>
      <w:tr w14:paraId="6B660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466" w:type="dxa"/>
            <w:tcBorders>
              <w:left w:val="single" w:color="000000" w:sz="12" w:space="0"/>
            </w:tcBorders>
            <w:vAlign w:val="top"/>
          </w:tcPr>
          <w:p w14:paraId="57C2019F">
            <w:pPr>
              <w:pStyle w:val="6"/>
              <w:spacing w:before="117" w:line="203" w:lineRule="auto"/>
              <w:ind w:left="130"/>
            </w:pPr>
            <w:r>
              <w:rPr>
                <w:spacing w:val="-6"/>
              </w:rPr>
              <w:t>17</w:t>
            </w:r>
          </w:p>
        </w:tc>
        <w:tc>
          <w:tcPr>
            <w:tcW w:w="3086" w:type="dxa"/>
            <w:vAlign w:val="top"/>
          </w:tcPr>
          <w:p w14:paraId="212C9138">
            <w:pPr>
              <w:pStyle w:val="6"/>
              <w:spacing w:before="84" w:line="209" w:lineRule="auto"/>
              <w:ind w:left="631"/>
            </w:pPr>
            <w:r>
              <w:rPr>
                <w:rFonts w:ascii="宋体" w:hAnsi="宋体" w:eastAsia="宋体" w:cs="宋体"/>
                <w:spacing w:val="-1"/>
              </w:rPr>
              <w:t>菖蒲</w:t>
            </w:r>
            <w:r>
              <w:rPr>
                <w:rFonts w:ascii="宋体" w:hAnsi="宋体" w:eastAsia="宋体" w:cs="宋体"/>
                <w:spacing w:val="-52"/>
              </w:rPr>
              <w:t xml:space="preserve"> </w:t>
            </w:r>
            <w:r>
              <w:rPr>
                <w:i/>
                <w:iCs/>
                <w:spacing w:val="-1"/>
              </w:rPr>
              <w:t>Acorus calamus</w:t>
            </w:r>
          </w:p>
        </w:tc>
        <w:tc>
          <w:tcPr>
            <w:tcW w:w="655" w:type="dxa"/>
            <w:vAlign w:val="top"/>
          </w:tcPr>
          <w:p w14:paraId="64F75FE8">
            <w:pPr>
              <w:pStyle w:val="6"/>
              <w:spacing w:before="117" w:line="203" w:lineRule="auto"/>
              <w:ind w:left="264"/>
            </w:pPr>
            <w:r>
              <w:t>+</w:t>
            </w:r>
          </w:p>
        </w:tc>
        <w:tc>
          <w:tcPr>
            <w:tcW w:w="656" w:type="dxa"/>
            <w:vAlign w:val="top"/>
          </w:tcPr>
          <w:p w14:paraId="3A26EB8B">
            <w:pPr>
              <w:pStyle w:val="6"/>
              <w:spacing w:before="117" w:line="203" w:lineRule="auto"/>
              <w:ind w:left="209"/>
            </w:pPr>
            <w:r>
              <w:rPr>
                <w:spacing w:val="-1"/>
              </w:rPr>
              <w:t>++</w:t>
            </w:r>
          </w:p>
        </w:tc>
        <w:tc>
          <w:tcPr>
            <w:tcW w:w="727" w:type="dxa"/>
            <w:vAlign w:val="top"/>
          </w:tcPr>
          <w:p w14:paraId="317AE480">
            <w:pPr>
              <w:pStyle w:val="6"/>
              <w:spacing w:before="117" w:line="203" w:lineRule="auto"/>
              <w:ind w:left="306"/>
            </w:pPr>
            <w:r>
              <w:t>+</w:t>
            </w:r>
          </w:p>
        </w:tc>
        <w:tc>
          <w:tcPr>
            <w:tcW w:w="655" w:type="dxa"/>
            <w:vAlign w:val="top"/>
          </w:tcPr>
          <w:p w14:paraId="11F6083F">
            <w:pPr>
              <w:pStyle w:val="6"/>
              <w:spacing w:before="117" w:line="203" w:lineRule="auto"/>
              <w:ind w:left="214"/>
            </w:pPr>
            <w:r>
              <w:rPr>
                <w:spacing w:val="-1"/>
              </w:rPr>
              <w:t>++</w:t>
            </w:r>
          </w:p>
        </w:tc>
        <w:tc>
          <w:tcPr>
            <w:tcW w:w="1105" w:type="dxa"/>
            <w:vAlign w:val="top"/>
          </w:tcPr>
          <w:p w14:paraId="02AC420C">
            <w:pPr>
              <w:rPr>
                <w:rFonts w:ascii="Arial"/>
                <w:sz w:val="21"/>
              </w:rPr>
            </w:pPr>
          </w:p>
        </w:tc>
        <w:tc>
          <w:tcPr>
            <w:tcW w:w="1123" w:type="dxa"/>
            <w:tcBorders>
              <w:right w:val="single" w:color="000000" w:sz="12" w:space="0"/>
            </w:tcBorders>
            <w:vAlign w:val="top"/>
          </w:tcPr>
          <w:p w14:paraId="6AEB43D2">
            <w:pPr>
              <w:pStyle w:val="6"/>
              <w:spacing w:before="117" w:line="203" w:lineRule="auto"/>
              <w:ind w:left="447"/>
            </w:pPr>
            <w:r>
              <w:rPr>
                <w:spacing w:val="-1"/>
              </w:rPr>
              <w:t>++</w:t>
            </w:r>
          </w:p>
        </w:tc>
      </w:tr>
      <w:tr w14:paraId="41908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466" w:type="dxa"/>
            <w:tcBorders>
              <w:left w:val="single" w:color="000000" w:sz="12" w:space="0"/>
            </w:tcBorders>
            <w:vAlign w:val="top"/>
          </w:tcPr>
          <w:p w14:paraId="07EC033A">
            <w:pPr>
              <w:spacing w:before="84" w:line="224" w:lineRule="auto"/>
              <w:ind w:left="116" w:right="130" w:hanging="2"/>
              <w:rPr>
                <w:rFonts w:ascii="宋体" w:hAnsi="宋体" w:eastAsia="宋体" w:cs="宋体"/>
                <w:sz w:val="21"/>
                <w:szCs w:val="21"/>
              </w:rPr>
            </w:pPr>
            <w:r>
              <w:rPr>
                <w:rFonts w:ascii="宋体" w:hAnsi="宋体" w:eastAsia="宋体" w:cs="宋体"/>
                <w:b/>
                <w:bCs/>
                <w:spacing w:val="-12"/>
                <w:sz w:val="21"/>
                <w:szCs w:val="21"/>
              </w:rPr>
              <w:t>十</w:t>
            </w:r>
            <w:r>
              <w:rPr>
                <w:rFonts w:ascii="宋体" w:hAnsi="宋体" w:eastAsia="宋体" w:cs="宋体"/>
                <w:b/>
                <w:bCs/>
                <w:spacing w:val="-14"/>
                <w:sz w:val="21"/>
                <w:szCs w:val="21"/>
              </w:rPr>
              <w:t>一</w:t>
            </w:r>
          </w:p>
        </w:tc>
        <w:tc>
          <w:tcPr>
            <w:tcW w:w="3086" w:type="dxa"/>
            <w:vAlign w:val="top"/>
          </w:tcPr>
          <w:p w14:paraId="00F1A30B">
            <w:pPr>
              <w:pStyle w:val="6"/>
              <w:spacing w:before="220" w:line="219" w:lineRule="auto"/>
              <w:ind w:left="689"/>
            </w:pPr>
            <w:r>
              <w:rPr>
                <w:rFonts w:ascii="宋体" w:hAnsi="宋体" w:eastAsia="宋体" w:cs="宋体"/>
                <w:b/>
                <w:bCs/>
                <w:spacing w:val="-2"/>
              </w:rPr>
              <w:t>浮萍科</w:t>
            </w:r>
            <w:r>
              <w:rPr>
                <w:rFonts w:ascii="宋体" w:hAnsi="宋体" w:eastAsia="宋体" w:cs="宋体"/>
                <w:spacing w:val="-44"/>
              </w:rPr>
              <w:t xml:space="preserve"> </w:t>
            </w:r>
            <w:r>
              <w:rPr>
                <w:b/>
                <w:bCs/>
                <w:spacing w:val="-2"/>
              </w:rPr>
              <w:t>Lemnaceae</w:t>
            </w:r>
          </w:p>
        </w:tc>
        <w:tc>
          <w:tcPr>
            <w:tcW w:w="655" w:type="dxa"/>
            <w:vAlign w:val="top"/>
          </w:tcPr>
          <w:p w14:paraId="1EC3AEED">
            <w:pPr>
              <w:rPr>
                <w:rFonts w:ascii="Arial"/>
                <w:sz w:val="21"/>
              </w:rPr>
            </w:pPr>
          </w:p>
        </w:tc>
        <w:tc>
          <w:tcPr>
            <w:tcW w:w="656" w:type="dxa"/>
            <w:vAlign w:val="top"/>
          </w:tcPr>
          <w:p w14:paraId="353094BC">
            <w:pPr>
              <w:rPr>
                <w:rFonts w:ascii="Arial"/>
                <w:sz w:val="21"/>
              </w:rPr>
            </w:pPr>
          </w:p>
        </w:tc>
        <w:tc>
          <w:tcPr>
            <w:tcW w:w="727" w:type="dxa"/>
            <w:vAlign w:val="top"/>
          </w:tcPr>
          <w:p w14:paraId="09CC3753">
            <w:pPr>
              <w:rPr>
                <w:rFonts w:ascii="Arial"/>
                <w:sz w:val="21"/>
              </w:rPr>
            </w:pPr>
          </w:p>
        </w:tc>
        <w:tc>
          <w:tcPr>
            <w:tcW w:w="655" w:type="dxa"/>
            <w:vAlign w:val="top"/>
          </w:tcPr>
          <w:p w14:paraId="1E16C925">
            <w:pPr>
              <w:rPr>
                <w:rFonts w:ascii="Arial"/>
                <w:sz w:val="21"/>
              </w:rPr>
            </w:pPr>
          </w:p>
        </w:tc>
        <w:tc>
          <w:tcPr>
            <w:tcW w:w="1105" w:type="dxa"/>
            <w:vAlign w:val="top"/>
          </w:tcPr>
          <w:p w14:paraId="78882868">
            <w:pPr>
              <w:rPr>
                <w:rFonts w:ascii="Arial"/>
                <w:sz w:val="21"/>
              </w:rPr>
            </w:pPr>
          </w:p>
        </w:tc>
        <w:tc>
          <w:tcPr>
            <w:tcW w:w="1123" w:type="dxa"/>
            <w:tcBorders>
              <w:right w:val="single" w:color="000000" w:sz="12" w:space="0"/>
            </w:tcBorders>
            <w:vAlign w:val="top"/>
          </w:tcPr>
          <w:p w14:paraId="589BEBDC">
            <w:pPr>
              <w:rPr>
                <w:rFonts w:ascii="Arial"/>
                <w:sz w:val="21"/>
              </w:rPr>
            </w:pPr>
          </w:p>
        </w:tc>
      </w:tr>
      <w:tr w14:paraId="5B07F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66" w:type="dxa"/>
            <w:tcBorders>
              <w:left w:val="single" w:color="000000" w:sz="12" w:space="0"/>
              <w:bottom w:val="single" w:color="000000" w:sz="12" w:space="0"/>
            </w:tcBorders>
            <w:vAlign w:val="top"/>
          </w:tcPr>
          <w:p w14:paraId="5AFF8D4A">
            <w:pPr>
              <w:pStyle w:val="6"/>
              <w:spacing w:before="120" w:line="223" w:lineRule="auto"/>
              <w:ind w:left="130"/>
            </w:pPr>
            <w:r>
              <w:rPr>
                <w:spacing w:val="-6"/>
              </w:rPr>
              <w:t>18</w:t>
            </w:r>
          </w:p>
        </w:tc>
        <w:tc>
          <w:tcPr>
            <w:tcW w:w="3086" w:type="dxa"/>
            <w:tcBorders>
              <w:bottom w:val="single" w:color="000000" w:sz="12" w:space="0"/>
            </w:tcBorders>
            <w:vAlign w:val="top"/>
          </w:tcPr>
          <w:p w14:paraId="239C8E31">
            <w:pPr>
              <w:pStyle w:val="6"/>
              <w:spacing w:before="86" w:line="227" w:lineRule="auto"/>
              <w:ind w:left="739"/>
            </w:pPr>
            <w:r>
              <w:rPr>
                <w:rFonts w:ascii="宋体" w:hAnsi="宋体" w:eastAsia="宋体" w:cs="宋体"/>
              </w:rPr>
              <w:t>浮萍</w:t>
            </w:r>
            <w:r>
              <w:rPr>
                <w:rFonts w:ascii="宋体" w:hAnsi="宋体" w:eastAsia="宋体" w:cs="宋体"/>
                <w:spacing w:val="-59"/>
              </w:rPr>
              <w:t xml:space="preserve"> </w:t>
            </w:r>
            <w:r>
              <w:rPr>
                <w:i/>
                <w:iCs/>
              </w:rPr>
              <w:t>Lemna minor</w:t>
            </w:r>
          </w:p>
        </w:tc>
        <w:tc>
          <w:tcPr>
            <w:tcW w:w="655" w:type="dxa"/>
            <w:tcBorders>
              <w:bottom w:val="single" w:color="000000" w:sz="12" w:space="0"/>
            </w:tcBorders>
            <w:vAlign w:val="top"/>
          </w:tcPr>
          <w:p w14:paraId="3E0EAB6F">
            <w:pPr>
              <w:pStyle w:val="6"/>
              <w:spacing w:before="120" w:line="223" w:lineRule="auto"/>
              <w:ind w:left="206"/>
            </w:pPr>
            <w:r>
              <w:rPr>
                <w:spacing w:val="-1"/>
              </w:rPr>
              <w:t>++</w:t>
            </w:r>
          </w:p>
        </w:tc>
        <w:tc>
          <w:tcPr>
            <w:tcW w:w="656" w:type="dxa"/>
            <w:tcBorders>
              <w:bottom w:val="single" w:color="000000" w:sz="12" w:space="0"/>
            </w:tcBorders>
            <w:vAlign w:val="top"/>
          </w:tcPr>
          <w:p w14:paraId="67E0875D">
            <w:pPr>
              <w:pStyle w:val="6"/>
              <w:spacing w:before="120" w:line="223" w:lineRule="auto"/>
              <w:ind w:left="209"/>
            </w:pPr>
            <w:r>
              <w:rPr>
                <w:spacing w:val="-1"/>
              </w:rPr>
              <w:t>++</w:t>
            </w:r>
          </w:p>
        </w:tc>
        <w:tc>
          <w:tcPr>
            <w:tcW w:w="727" w:type="dxa"/>
            <w:tcBorders>
              <w:bottom w:val="single" w:color="000000" w:sz="12" w:space="0"/>
            </w:tcBorders>
            <w:vAlign w:val="top"/>
          </w:tcPr>
          <w:p w14:paraId="2CEF8BAE">
            <w:pPr>
              <w:pStyle w:val="6"/>
              <w:spacing w:before="120" w:line="223" w:lineRule="auto"/>
              <w:ind w:left="306"/>
            </w:pPr>
            <w:r>
              <w:t>+</w:t>
            </w:r>
          </w:p>
        </w:tc>
        <w:tc>
          <w:tcPr>
            <w:tcW w:w="655" w:type="dxa"/>
            <w:tcBorders>
              <w:bottom w:val="single" w:color="000000" w:sz="12" w:space="0"/>
            </w:tcBorders>
            <w:vAlign w:val="top"/>
          </w:tcPr>
          <w:p w14:paraId="1912020A">
            <w:pPr>
              <w:pStyle w:val="6"/>
              <w:spacing w:before="120" w:line="223" w:lineRule="auto"/>
              <w:ind w:left="214"/>
            </w:pPr>
            <w:r>
              <w:rPr>
                <w:spacing w:val="-1"/>
              </w:rPr>
              <w:t>++</w:t>
            </w:r>
          </w:p>
        </w:tc>
        <w:tc>
          <w:tcPr>
            <w:tcW w:w="1105" w:type="dxa"/>
            <w:tcBorders>
              <w:bottom w:val="single" w:color="000000" w:sz="12" w:space="0"/>
            </w:tcBorders>
            <w:vAlign w:val="top"/>
          </w:tcPr>
          <w:p w14:paraId="06873F91">
            <w:pPr>
              <w:pStyle w:val="6"/>
              <w:spacing w:before="120" w:line="223" w:lineRule="auto"/>
              <w:ind w:left="501"/>
            </w:pPr>
            <w:r>
              <w:t>+</w:t>
            </w:r>
          </w:p>
        </w:tc>
        <w:tc>
          <w:tcPr>
            <w:tcW w:w="1123" w:type="dxa"/>
            <w:tcBorders>
              <w:bottom w:val="single" w:color="000000" w:sz="12" w:space="0"/>
              <w:right w:val="single" w:color="000000" w:sz="12" w:space="0"/>
            </w:tcBorders>
            <w:vAlign w:val="top"/>
          </w:tcPr>
          <w:p w14:paraId="78EE0140">
            <w:pPr>
              <w:pStyle w:val="6"/>
              <w:spacing w:before="120" w:line="223" w:lineRule="auto"/>
              <w:ind w:left="447"/>
            </w:pPr>
            <w:r>
              <w:rPr>
                <w:spacing w:val="-1"/>
              </w:rPr>
              <w:t>++</w:t>
            </w:r>
          </w:p>
        </w:tc>
      </w:tr>
    </w:tbl>
    <w:p w14:paraId="12AB6AE5">
      <w:pPr>
        <w:pStyle w:val="2"/>
        <w:spacing w:before="147" w:line="338" w:lineRule="auto"/>
        <w:ind w:left="39" w:right="30" w:firstLine="482"/>
        <w:rPr>
          <w:sz w:val="24"/>
          <w:szCs w:val="24"/>
        </w:rPr>
      </w:pPr>
      <w:r>
        <w:rPr>
          <w:spacing w:val="-2"/>
          <w:sz w:val="24"/>
          <w:szCs w:val="24"/>
        </w:rPr>
        <w:t>水生维管束植物平均生物量为湿重</w:t>
      </w:r>
      <w:r>
        <w:rPr>
          <w:spacing w:val="-49"/>
          <w:sz w:val="24"/>
          <w:szCs w:val="24"/>
        </w:rPr>
        <w:t xml:space="preserve"> </w:t>
      </w:r>
      <w:r>
        <w:rPr>
          <w:rFonts w:ascii="Times New Roman" w:hAnsi="Times New Roman" w:eastAsia="Times New Roman" w:cs="Times New Roman"/>
          <w:spacing w:val="-2"/>
          <w:sz w:val="24"/>
          <w:szCs w:val="24"/>
        </w:rPr>
        <w:t>627g/m</w:t>
      </w:r>
      <w:r>
        <w:rPr>
          <w:rFonts w:ascii="Times New Roman" w:hAnsi="Times New Roman" w:eastAsia="Times New Roman" w:cs="Times New Roman"/>
          <w:spacing w:val="-2"/>
          <w:position w:val="8"/>
          <w:sz w:val="15"/>
          <w:szCs w:val="15"/>
        </w:rPr>
        <w:t>2</w:t>
      </w:r>
      <w:r>
        <w:rPr>
          <w:spacing w:val="-2"/>
          <w:sz w:val="24"/>
          <w:szCs w:val="24"/>
        </w:rPr>
        <w:t>，优势种为水烛占</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3"/>
          <w:sz w:val="24"/>
          <w:szCs w:val="24"/>
        </w:rPr>
        <w:t>.27%</w:t>
      </w:r>
      <w:r>
        <w:rPr>
          <w:spacing w:val="-3"/>
          <w:sz w:val="24"/>
          <w:szCs w:val="24"/>
        </w:rPr>
        <w:t>，水蓼占</w:t>
      </w:r>
      <w:r>
        <w:rPr>
          <w:rFonts w:ascii="Times New Roman" w:hAnsi="Times New Roman" w:eastAsia="Times New Roman" w:cs="Times New Roman"/>
          <w:spacing w:val="-1"/>
          <w:sz w:val="24"/>
          <w:szCs w:val="24"/>
        </w:rPr>
        <w:t>34.81%</w:t>
      </w:r>
      <w:r>
        <w:rPr>
          <w:spacing w:val="-1"/>
          <w:sz w:val="24"/>
          <w:szCs w:val="24"/>
        </w:rPr>
        <w:t>，其次为芦苇、假苇拂子茅、野茼蒿和华扁穗草等。</w:t>
      </w:r>
    </w:p>
    <w:p w14:paraId="6F5A2DA3">
      <w:pPr>
        <w:pStyle w:val="2"/>
        <w:spacing w:line="331" w:lineRule="auto"/>
        <w:ind w:left="38" w:right="30" w:firstLine="480"/>
        <w:rPr>
          <w:sz w:val="24"/>
          <w:szCs w:val="24"/>
        </w:rPr>
      </w:pPr>
      <w:r>
        <w:rPr>
          <w:spacing w:val="-1"/>
          <w:sz w:val="24"/>
          <w:szCs w:val="24"/>
        </w:rPr>
        <w:t>施工期监测到水生维管植物的生物量较</w:t>
      </w:r>
      <w:r>
        <w:rPr>
          <w:spacing w:val="-49"/>
          <w:sz w:val="24"/>
          <w:szCs w:val="24"/>
        </w:rPr>
        <w:t xml:space="preserve"> </w:t>
      </w:r>
      <w:r>
        <w:rPr>
          <w:rFonts w:ascii="Times New Roman" w:hAnsi="Times New Roman" w:eastAsia="Times New Roman" w:cs="Times New Roman"/>
          <w:spacing w:val="-1"/>
          <w:sz w:val="24"/>
          <w:szCs w:val="24"/>
        </w:rPr>
        <w:t xml:space="preserve">2015 </w:t>
      </w:r>
      <w:r>
        <w:rPr>
          <w:spacing w:val="-1"/>
          <w:sz w:val="24"/>
          <w:szCs w:val="24"/>
        </w:rPr>
        <w:t>年环评期有所减少，主要原因是</w:t>
      </w:r>
      <w:r>
        <w:rPr>
          <w:spacing w:val="-2"/>
          <w:sz w:val="24"/>
          <w:szCs w:val="24"/>
        </w:rPr>
        <w:t>施工期间水体透明度下降，也导致水生维管植物的生物量下降。</w:t>
      </w:r>
    </w:p>
    <w:p w14:paraId="2D7C77DA">
      <w:pPr>
        <w:pStyle w:val="2"/>
        <w:spacing w:before="139" w:line="220" w:lineRule="auto"/>
        <w:ind w:left="35"/>
        <w:rPr>
          <w:sz w:val="24"/>
          <w:szCs w:val="24"/>
        </w:rPr>
      </w:pPr>
      <w:r>
        <w:rPr>
          <w:rFonts w:ascii="Arial" w:hAnsi="Arial" w:eastAsia="Arial" w:cs="Arial"/>
          <w:spacing w:val="-1"/>
          <w:sz w:val="21"/>
          <w:szCs w:val="21"/>
        </w:rPr>
        <w:t>6.1.2.6</w:t>
      </w:r>
      <w:r>
        <w:rPr>
          <w:rFonts w:ascii="Arial" w:hAnsi="Arial" w:eastAsia="Arial" w:cs="Arial"/>
          <w:spacing w:val="27"/>
          <w:w w:val="101"/>
          <w:sz w:val="21"/>
          <w:szCs w:val="21"/>
        </w:rPr>
        <w:t xml:space="preserve"> </w:t>
      </w:r>
      <w:r>
        <w:rPr>
          <w:b/>
          <w:bCs/>
          <w:spacing w:val="-1"/>
          <w:sz w:val="24"/>
          <w:szCs w:val="24"/>
        </w:rPr>
        <w:t>鱼类影响</w:t>
      </w:r>
    </w:p>
    <w:p w14:paraId="503C3447">
      <w:pPr>
        <w:pStyle w:val="2"/>
        <w:spacing w:before="273" w:line="219" w:lineRule="auto"/>
        <w:ind w:right="29"/>
        <w:jc w:val="right"/>
        <w:rPr>
          <w:sz w:val="24"/>
          <w:szCs w:val="24"/>
        </w:rPr>
      </w:pPr>
      <w:r>
        <w:rPr>
          <w:spacing w:val="-4"/>
          <w:sz w:val="24"/>
          <w:szCs w:val="24"/>
        </w:rPr>
        <w:t>施工期通过在马龙河库尾、车章河库尾、白塔河库尾、白塔</w:t>
      </w:r>
      <w:r>
        <w:rPr>
          <w:spacing w:val="-5"/>
          <w:sz w:val="24"/>
          <w:szCs w:val="24"/>
        </w:rPr>
        <w:t>河坝前、马龙河干</w:t>
      </w:r>
    </w:p>
    <w:p w14:paraId="5BA28BBA">
      <w:pPr>
        <w:spacing w:line="219" w:lineRule="auto"/>
        <w:rPr>
          <w:sz w:val="24"/>
          <w:szCs w:val="24"/>
        </w:rPr>
        <w:sectPr>
          <w:headerReference r:id="rId223" w:type="default"/>
          <w:footerReference r:id="rId224" w:type="default"/>
          <w:pgSz w:w="11907" w:h="16839"/>
          <w:pgMar w:top="1376" w:right="1669" w:bottom="1061" w:left="1671" w:header="999" w:footer="861" w:gutter="0"/>
          <w:cols w:space="720" w:num="1"/>
        </w:sectPr>
      </w:pPr>
    </w:p>
    <w:p w14:paraId="73A334BB">
      <w:pPr>
        <w:spacing w:line="453" w:lineRule="auto"/>
        <w:rPr>
          <w:rFonts w:ascii="Arial"/>
          <w:sz w:val="21"/>
        </w:rPr>
      </w:pPr>
    </w:p>
    <w:p w14:paraId="40D30F82">
      <w:pPr>
        <w:pStyle w:val="2"/>
        <w:spacing w:before="78" w:line="339" w:lineRule="auto"/>
        <w:ind w:left="38" w:right="83" w:firstLine="1"/>
        <w:jc w:val="both"/>
        <w:rPr>
          <w:sz w:val="24"/>
          <w:szCs w:val="24"/>
        </w:rPr>
      </w:pPr>
      <w:r>
        <w:rPr>
          <w:spacing w:val="-2"/>
          <w:sz w:val="24"/>
          <w:szCs w:val="24"/>
        </w:rPr>
        <w:t>流离坝址</w:t>
      </w:r>
      <w:r>
        <w:rPr>
          <w:spacing w:val="-40"/>
          <w:sz w:val="24"/>
          <w:szCs w:val="24"/>
        </w:rPr>
        <w:t xml:space="preserve"> </w:t>
      </w:r>
      <w:r>
        <w:rPr>
          <w:rFonts w:ascii="Times New Roman" w:hAnsi="Times New Roman" w:eastAsia="Times New Roman" w:cs="Times New Roman"/>
          <w:spacing w:val="-2"/>
          <w:sz w:val="24"/>
          <w:szCs w:val="24"/>
        </w:rPr>
        <w:t xml:space="preserve">2km </w:t>
      </w:r>
      <w:r>
        <w:rPr>
          <w:spacing w:val="-2"/>
          <w:sz w:val="24"/>
          <w:szCs w:val="24"/>
        </w:rPr>
        <w:t>处与马龙河干流离坝址</w:t>
      </w:r>
      <w:r>
        <w:rPr>
          <w:spacing w:val="-49"/>
          <w:sz w:val="24"/>
          <w:szCs w:val="24"/>
        </w:rPr>
        <w:t xml:space="preserve"> </w:t>
      </w:r>
      <w:r>
        <w:rPr>
          <w:rFonts w:ascii="Times New Roman" w:hAnsi="Times New Roman" w:eastAsia="Times New Roman" w:cs="Times New Roman"/>
          <w:spacing w:val="-2"/>
          <w:sz w:val="24"/>
          <w:szCs w:val="24"/>
        </w:rPr>
        <w:t xml:space="preserve">6km </w:t>
      </w:r>
      <w:r>
        <w:rPr>
          <w:spacing w:val="-2"/>
          <w:sz w:val="24"/>
          <w:szCs w:val="24"/>
        </w:rPr>
        <w:t>处河段等</w:t>
      </w:r>
      <w:r>
        <w:rPr>
          <w:spacing w:val="-50"/>
          <w:sz w:val="24"/>
          <w:szCs w:val="24"/>
        </w:rPr>
        <w:t xml:space="preserve"> </w:t>
      </w:r>
      <w:r>
        <w:rPr>
          <w:rFonts w:ascii="Times New Roman" w:hAnsi="Times New Roman" w:eastAsia="Times New Roman" w:cs="Times New Roman"/>
          <w:spacing w:val="-2"/>
          <w:sz w:val="24"/>
          <w:szCs w:val="24"/>
        </w:rPr>
        <w:t xml:space="preserve">6 </w:t>
      </w:r>
      <w:r>
        <w:rPr>
          <w:spacing w:val="-2"/>
          <w:sz w:val="24"/>
          <w:szCs w:val="24"/>
        </w:rPr>
        <w:t>个工作点进行采集监测，共</w:t>
      </w:r>
      <w:r>
        <w:rPr>
          <w:spacing w:val="-6"/>
          <w:sz w:val="24"/>
          <w:szCs w:val="24"/>
        </w:rPr>
        <w:t>采集到鱼类标本</w:t>
      </w:r>
      <w:r>
        <w:rPr>
          <w:spacing w:val="-57"/>
          <w:sz w:val="24"/>
          <w:szCs w:val="24"/>
        </w:rPr>
        <w:t xml:space="preserve"> </w:t>
      </w:r>
      <w:r>
        <w:rPr>
          <w:rFonts w:ascii="Times New Roman" w:hAnsi="Times New Roman" w:eastAsia="Times New Roman" w:cs="Times New Roman"/>
          <w:spacing w:val="-6"/>
          <w:sz w:val="24"/>
          <w:szCs w:val="24"/>
        </w:rPr>
        <w:t>48</w:t>
      </w:r>
      <w:r>
        <w:rPr>
          <w:rFonts w:ascii="Times New Roman" w:hAnsi="Times New Roman" w:eastAsia="Times New Roman" w:cs="Times New Roman"/>
          <w:spacing w:val="16"/>
          <w:sz w:val="24"/>
          <w:szCs w:val="24"/>
        </w:rPr>
        <w:t xml:space="preserve"> </w:t>
      </w:r>
      <w:r>
        <w:rPr>
          <w:spacing w:val="-6"/>
          <w:sz w:val="24"/>
          <w:szCs w:val="24"/>
        </w:rPr>
        <w:t>号（尾</w:t>
      </w:r>
      <w:r>
        <w:rPr>
          <w:spacing w:val="-32"/>
          <w:sz w:val="24"/>
          <w:szCs w:val="24"/>
        </w:rPr>
        <w:t>），</w:t>
      </w:r>
      <w:r>
        <w:rPr>
          <w:spacing w:val="-6"/>
          <w:sz w:val="24"/>
          <w:szCs w:val="24"/>
        </w:rPr>
        <w:t>根据采到鱼类标本，依据实物</w:t>
      </w:r>
      <w:r>
        <w:rPr>
          <w:spacing w:val="-7"/>
          <w:sz w:val="24"/>
          <w:szCs w:val="24"/>
        </w:rPr>
        <w:t>进行鉴定分类，并查阅</w:t>
      </w:r>
      <w:r>
        <w:rPr>
          <w:spacing w:val="-2"/>
          <w:sz w:val="24"/>
          <w:szCs w:val="24"/>
        </w:rPr>
        <w:t>相关资料得到本监测区涉及流域和池塘内有</w:t>
      </w:r>
      <w:r>
        <w:rPr>
          <w:spacing w:val="-37"/>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55"/>
          <w:w w:val="101"/>
          <w:sz w:val="24"/>
          <w:szCs w:val="24"/>
        </w:rPr>
        <w:t xml:space="preserve"> </w:t>
      </w:r>
      <w:r>
        <w:rPr>
          <w:spacing w:val="-2"/>
          <w:sz w:val="24"/>
          <w:szCs w:val="24"/>
        </w:rPr>
        <w:t>目</w:t>
      </w:r>
      <w:r>
        <w:rPr>
          <w:spacing w:val="-46"/>
          <w:sz w:val="24"/>
          <w:szCs w:val="24"/>
        </w:rPr>
        <w:t xml:space="preserve"> </w:t>
      </w:r>
      <w:r>
        <w:rPr>
          <w:rFonts w:ascii="Times New Roman" w:hAnsi="Times New Roman" w:eastAsia="Times New Roman" w:cs="Times New Roman"/>
          <w:spacing w:val="-2"/>
          <w:sz w:val="24"/>
          <w:szCs w:val="24"/>
        </w:rPr>
        <w:t xml:space="preserve">8 </w:t>
      </w:r>
      <w:r>
        <w:rPr>
          <w:spacing w:val="-2"/>
          <w:sz w:val="24"/>
          <w:szCs w:val="24"/>
        </w:rPr>
        <w:t>科</w:t>
      </w:r>
      <w:r>
        <w:rPr>
          <w:spacing w:val="-32"/>
          <w:sz w:val="24"/>
          <w:szCs w:val="24"/>
        </w:rPr>
        <w:t xml:space="preserve"> </w:t>
      </w:r>
      <w:r>
        <w:rPr>
          <w:rFonts w:ascii="Times New Roman" w:hAnsi="Times New Roman" w:eastAsia="Times New Roman" w:cs="Times New Roman"/>
          <w:spacing w:val="-2"/>
          <w:sz w:val="24"/>
          <w:szCs w:val="24"/>
        </w:rPr>
        <w:t xml:space="preserve">19 </w:t>
      </w:r>
      <w:r>
        <w:rPr>
          <w:spacing w:val="-2"/>
          <w:sz w:val="24"/>
          <w:szCs w:val="24"/>
        </w:rPr>
        <w:t>属</w:t>
      </w:r>
      <w:r>
        <w:rPr>
          <w:rFonts w:ascii="Times New Roman" w:hAnsi="Times New Roman" w:eastAsia="Times New Roman" w:cs="Times New Roman"/>
          <w:spacing w:val="-2"/>
          <w:sz w:val="24"/>
          <w:szCs w:val="24"/>
        </w:rPr>
        <w:t xml:space="preserve">23 </w:t>
      </w:r>
      <w:r>
        <w:rPr>
          <w:spacing w:val="-2"/>
          <w:sz w:val="24"/>
          <w:szCs w:val="24"/>
        </w:rPr>
        <w:t>种鱼类。</w:t>
      </w:r>
    </w:p>
    <w:p w14:paraId="38C229FF">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）鱼类种类</w:t>
      </w:r>
    </w:p>
    <w:p w14:paraId="3CB23615">
      <w:pPr>
        <w:pStyle w:val="2"/>
        <w:spacing w:before="136" w:line="331" w:lineRule="auto"/>
        <w:ind w:left="42" w:right="86" w:firstLine="478"/>
        <w:rPr>
          <w:sz w:val="24"/>
          <w:szCs w:val="24"/>
        </w:rPr>
      </w:pPr>
      <w:r>
        <w:rPr>
          <w:sz w:val="24"/>
          <w:szCs w:val="24"/>
        </w:rPr>
        <w:t>监测区河段分布有鱼类</w:t>
      </w:r>
      <w:r>
        <w:rPr>
          <w:spacing w:val="-55"/>
          <w:sz w:val="24"/>
          <w:szCs w:val="24"/>
        </w:rPr>
        <w:t xml:space="preserve"> </w:t>
      </w:r>
      <w:r>
        <w:rPr>
          <w:rFonts w:ascii="Times New Roman" w:hAnsi="Times New Roman" w:eastAsia="Times New Roman" w:cs="Times New Roman"/>
          <w:sz w:val="24"/>
          <w:szCs w:val="24"/>
        </w:rPr>
        <w:t xml:space="preserve">24 </w:t>
      </w:r>
      <w:r>
        <w:rPr>
          <w:sz w:val="24"/>
          <w:szCs w:val="24"/>
        </w:rPr>
        <w:t>种，隶属</w:t>
      </w:r>
      <w:r>
        <w:rPr>
          <w:spacing w:val="-32"/>
          <w:sz w:val="24"/>
          <w:szCs w:val="24"/>
        </w:rPr>
        <w:t xml:space="preserve"> </w:t>
      </w:r>
      <w:r>
        <w:rPr>
          <w:rFonts w:ascii="Times New Roman" w:hAnsi="Times New Roman" w:eastAsia="Times New Roman" w:cs="Times New Roman"/>
          <w:sz w:val="24"/>
          <w:szCs w:val="24"/>
        </w:rPr>
        <w:t xml:space="preserve">10 </w:t>
      </w:r>
      <w:r>
        <w:rPr>
          <w:sz w:val="24"/>
          <w:szCs w:val="24"/>
        </w:rPr>
        <w:t>科</w:t>
      </w:r>
      <w:r>
        <w:rPr>
          <w:rFonts w:ascii="Times New Roman" w:hAnsi="Times New Roman" w:eastAsia="Times New Roman" w:cs="Times New Roman"/>
          <w:sz w:val="24"/>
          <w:szCs w:val="24"/>
        </w:rPr>
        <w:t xml:space="preserve">23 </w:t>
      </w:r>
      <w:r>
        <w:rPr>
          <w:sz w:val="24"/>
          <w:szCs w:val="24"/>
        </w:rPr>
        <w:t>属，其中鲢、鳙、草鱼、食蚊鱼</w:t>
      </w:r>
      <w:r>
        <w:rPr>
          <w:spacing w:val="-3"/>
          <w:sz w:val="24"/>
          <w:szCs w:val="24"/>
        </w:rPr>
        <w:t>为引入养殖种类，而非原产土著种类，其余全部为原产土著鱼类（附表）。</w:t>
      </w:r>
    </w:p>
    <w:p w14:paraId="5549F66D">
      <w:pPr>
        <w:pStyle w:val="2"/>
        <w:spacing w:before="21" w:line="338" w:lineRule="auto"/>
        <w:ind w:left="39" w:right="85" w:firstLine="479"/>
        <w:jc w:val="both"/>
        <w:rPr>
          <w:sz w:val="24"/>
          <w:szCs w:val="24"/>
        </w:rPr>
      </w:pPr>
      <w:r>
        <w:rPr>
          <w:spacing w:val="-4"/>
          <w:sz w:val="24"/>
          <w:szCs w:val="24"/>
        </w:rPr>
        <w:t>在</w:t>
      </w:r>
      <w:r>
        <w:rPr>
          <w:spacing w:val="-23"/>
          <w:sz w:val="24"/>
          <w:szCs w:val="24"/>
        </w:rPr>
        <w:t xml:space="preserve"> </w:t>
      </w:r>
      <w:r>
        <w:rPr>
          <w:rFonts w:ascii="Times New Roman" w:hAnsi="Times New Roman" w:eastAsia="Times New Roman" w:cs="Times New Roman"/>
          <w:spacing w:val="-4"/>
          <w:sz w:val="24"/>
          <w:szCs w:val="24"/>
        </w:rPr>
        <w:t xml:space="preserve">10 </w:t>
      </w:r>
      <w:r>
        <w:rPr>
          <w:spacing w:val="-4"/>
          <w:sz w:val="24"/>
          <w:szCs w:val="24"/>
        </w:rPr>
        <w:t>个科中，以鲤科和条鳅科鱼类的种类最多，分别有</w:t>
      </w:r>
      <w:r>
        <w:rPr>
          <w:spacing w:val="-31"/>
          <w:sz w:val="24"/>
          <w:szCs w:val="24"/>
        </w:rPr>
        <w:t xml:space="preserve"> </w:t>
      </w:r>
      <w:r>
        <w:rPr>
          <w:rFonts w:ascii="Times New Roman" w:hAnsi="Times New Roman" w:eastAsia="Times New Roman" w:cs="Times New Roman"/>
          <w:spacing w:val="-4"/>
          <w:sz w:val="24"/>
          <w:szCs w:val="24"/>
        </w:rPr>
        <w:t xml:space="preserve">13 </w:t>
      </w:r>
      <w:r>
        <w:rPr>
          <w:spacing w:val="-4"/>
          <w:sz w:val="24"/>
          <w:szCs w:val="24"/>
        </w:rPr>
        <w:t>种、</w:t>
      </w:r>
      <w:r>
        <w:rPr>
          <w:rFonts w:ascii="Times New Roman" w:hAnsi="Times New Roman" w:eastAsia="Times New Roman" w:cs="Times New Roman"/>
          <w:spacing w:val="-4"/>
          <w:sz w:val="24"/>
          <w:szCs w:val="24"/>
        </w:rPr>
        <w:t xml:space="preserve">3 </w:t>
      </w:r>
      <w:r>
        <w:rPr>
          <w:spacing w:val="-4"/>
          <w:sz w:val="24"/>
          <w:szCs w:val="24"/>
        </w:rPr>
        <w:t>种，分别占</w:t>
      </w:r>
      <w:r>
        <w:rPr>
          <w:spacing w:val="-3"/>
          <w:sz w:val="24"/>
          <w:szCs w:val="24"/>
        </w:rPr>
        <w:t>全部鱼类种数的</w:t>
      </w:r>
      <w:r>
        <w:rPr>
          <w:spacing w:val="-47"/>
          <w:sz w:val="24"/>
          <w:szCs w:val="24"/>
        </w:rPr>
        <w:t xml:space="preserve"> </w:t>
      </w:r>
      <w:r>
        <w:rPr>
          <w:rFonts w:ascii="Times New Roman" w:hAnsi="Times New Roman" w:eastAsia="Times New Roman" w:cs="Times New Roman"/>
          <w:spacing w:val="-3"/>
          <w:sz w:val="24"/>
          <w:szCs w:val="24"/>
        </w:rPr>
        <w:t>54.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17%</w:t>
      </w:r>
      <w:r>
        <w:rPr>
          <w:rFonts w:ascii="Times New Roman" w:hAnsi="Times New Roman" w:eastAsia="Times New Roman" w:cs="Times New Roman"/>
          <w:spacing w:val="-33"/>
          <w:sz w:val="24"/>
          <w:szCs w:val="24"/>
        </w:rPr>
        <w:t xml:space="preserve"> </w:t>
      </w:r>
      <w:r>
        <w:rPr>
          <w:spacing w:val="-3"/>
          <w:sz w:val="24"/>
          <w:szCs w:val="24"/>
        </w:rPr>
        <w:t>、</w:t>
      </w:r>
      <w:r>
        <w:rPr>
          <w:rFonts w:ascii="Times New Roman" w:hAnsi="Times New Roman" w:eastAsia="Times New Roman" w:cs="Times New Roman"/>
          <w:spacing w:val="-3"/>
          <w:sz w:val="24"/>
          <w:szCs w:val="24"/>
        </w:rPr>
        <w:t>12.50%</w:t>
      </w:r>
      <w:r>
        <w:rPr>
          <w:spacing w:val="-3"/>
          <w:sz w:val="24"/>
          <w:szCs w:val="24"/>
        </w:rPr>
        <w:t xml:space="preserve">；其余各科都只有 </w:t>
      </w:r>
      <w:r>
        <w:rPr>
          <w:rFonts w:ascii="Times New Roman" w:hAnsi="Times New Roman" w:eastAsia="Times New Roman" w:cs="Times New Roman"/>
          <w:spacing w:val="-3"/>
          <w:sz w:val="24"/>
          <w:szCs w:val="24"/>
        </w:rPr>
        <w:t xml:space="preserve">1 </w:t>
      </w:r>
      <w:r>
        <w:rPr>
          <w:spacing w:val="-3"/>
          <w:sz w:val="24"/>
          <w:szCs w:val="24"/>
        </w:rPr>
        <w:t>种，分别占全</w:t>
      </w:r>
      <w:r>
        <w:rPr>
          <w:spacing w:val="-4"/>
          <w:sz w:val="24"/>
          <w:szCs w:val="24"/>
        </w:rPr>
        <w:t>部鱼类物种数</w:t>
      </w:r>
      <w:r>
        <w:rPr>
          <w:spacing w:val="-6"/>
          <w:sz w:val="24"/>
          <w:szCs w:val="24"/>
        </w:rPr>
        <w:t>的</w:t>
      </w:r>
      <w:r>
        <w:rPr>
          <w:spacing w:val="-57"/>
          <w:sz w:val="24"/>
          <w:szCs w:val="24"/>
        </w:rPr>
        <w:t xml:space="preserve"> </w:t>
      </w:r>
      <w:r>
        <w:rPr>
          <w:rFonts w:ascii="Times New Roman" w:hAnsi="Times New Roman" w:eastAsia="Times New Roman" w:cs="Times New Roman"/>
          <w:spacing w:val="-6"/>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17%</w:t>
      </w:r>
      <w:r>
        <w:rPr>
          <w:spacing w:val="-6"/>
          <w:sz w:val="24"/>
          <w:szCs w:val="24"/>
        </w:rPr>
        <w:t>。</w:t>
      </w:r>
    </w:p>
    <w:p w14:paraId="1476E724">
      <w:pPr>
        <w:pStyle w:val="2"/>
        <w:spacing w:before="1" w:line="225" w:lineRule="auto"/>
        <w:ind w:left="279"/>
        <w:rPr>
          <w:sz w:val="24"/>
          <w:szCs w:val="24"/>
        </w:rPr>
      </w:pPr>
      <w:r>
        <w:rPr>
          <w:b/>
          <w:bCs/>
          <w:spacing w:val="-1"/>
          <w:sz w:val="24"/>
          <w:szCs w:val="24"/>
        </w:rPr>
        <w:t>表</w:t>
      </w:r>
      <w:r>
        <w:rPr>
          <w:spacing w:val="-46"/>
          <w:sz w:val="24"/>
          <w:szCs w:val="24"/>
        </w:rPr>
        <w:t xml:space="preserve"> </w:t>
      </w:r>
      <w:r>
        <w:rPr>
          <w:rFonts w:ascii="Times New Roman" w:hAnsi="Times New Roman" w:eastAsia="Times New Roman" w:cs="Times New Roman"/>
          <w:b/>
          <w:bCs/>
          <w:spacing w:val="-1"/>
          <w:sz w:val="24"/>
          <w:szCs w:val="24"/>
        </w:rPr>
        <w:t xml:space="preserve">6.1-26                          </w:t>
      </w:r>
      <w:r>
        <w:rPr>
          <w:b/>
          <w:bCs/>
          <w:spacing w:val="-1"/>
          <w:sz w:val="24"/>
          <w:szCs w:val="24"/>
        </w:rPr>
        <w:t>施工期监测区域各工作点鱼类分科统计表</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9"/>
        <w:gridCol w:w="585"/>
        <w:gridCol w:w="1019"/>
        <w:gridCol w:w="659"/>
        <w:gridCol w:w="673"/>
        <w:gridCol w:w="672"/>
        <w:gridCol w:w="756"/>
        <w:gridCol w:w="627"/>
        <w:gridCol w:w="636"/>
        <w:gridCol w:w="672"/>
        <w:gridCol w:w="673"/>
        <w:gridCol w:w="632"/>
      </w:tblGrid>
      <w:tr w14:paraId="7F5A7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869" w:type="dxa"/>
            <w:tcBorders>
              <w:top w:val="single" w:color="000000" w:sz="12" w:space="0"/>
              <w:left w:val="single" w:color="000000" w:sz="12" w:space="0"/>
            </w:tcBorders>
            <w:vAlign w:val="top"/>
          </w:tcPr>
          <w:p w14:paraId="3F113C1B">
            <w:pPr>
              <w:spacing w:before="195" w:line="220" w:lineRule="auto"/>
              <w:ind w:left="214"/>
              <w:rPr>
                <w:rFonts w:ascii="宋体" w:hAnsi="宋体" w:eastAsia="宋体" w:cs="宋体"/>
                <w:sz w:val="21"/>
                <w:szCs w:val="21"/>
              </w:rPr>
            </w:pPr>
            <w:r>
              <w:rPr>
                <w:rFonts w:ascii="宋体" w:hAnsi="宋体" w:eastAsia="宋体" w:cs="宋体"/>
                <w:spacing w:val="-3"/>
                <w:sz w:val="21"/>
                <w:szCs w:val="21"/>
              </w:rPr>
              <w:t>项目</w:t>
            </w:r>
          </w:p>
        </w:tc>
        <w:tc>
          <w:tcPr>
            <w:tcW w:w="585" w:type="dxa"/>
            <w:tcBorders>
              <w:top w:val="single" w:color="000000" w:sz="12" w:space="0"/>
            </w:tcBorders>
            <w:vAlign w:val="top"/>
          </w:tcPr>
          <w:p w14:paraId="0FC0A3BA">
            <w:pPr>
              <w:spacing w:before="194" w:line="219" w:lineRule="auto"/>
              <w:ind w:left="75"/>
              <w:rPr>
                <w:rFonts w:ascii="宋体" w:hAnsi="宋体" w:eastAsia="宋体" w:cs="宋体"/>
                <w:sz w:val="21"/>
                <w:szCs w:val="21"/>
              </w:rPr>
            </w:pPr>
            <w:r>
              <w:rPr>
                <w:rFonts w:ascii="宋体" w:hAnsi="宋体" w:eastAsia="宋体" w:cs="宋体"/>
                <w:spacing w:val="-3"/>
                <w:sz w:val="21"/>
                <w:szCs w:val="21"/>
              </w:rPr>
              <w:t>鲤科</w:t>
            </w:r>
          </w:p>
        </w:tc>
        <w:tc>
          <w:tcPr>
            <w:tcW w:w="1019" w:type="dxa"/>
            <w:tcBorders>
              <w:top w:val="single" w:color="000000" w:sz="12" w:space="0"/>
            </w:tcBorders>
            <w:vAlign w:val="top"/>
          </w:tcPr>
          <w:p w14:paraId="1B1EEDC6">
            <w:pPr>
              <w:spacing w:before="194" w:line="219" w:lineRule="auto"/>
              <w:ind w:left="190"/>
              <w:rPr>
                <w:rFonts w:ascii="宋体" w:hAnsi="宋体" w:eastAsia="宋体" w:cs="宋体"/>
                <w:sz w:val="21"/>
                <w:szCs w:val="21"/>
              </w:rPr>
            </w:pPr>
            <w:r>
              <w:rPr>
                <w:rFonts w:ascii="宋体" w:hAnsi="宋体" w:eastAsia="宋体" w:cs="宋体"/>
                <w:spacing w:val="-3"/>
                <w:sz w:val="21"/>
                <w:szCs w:val="21"/>
              </w:rPr>
              <w:t>条鳅科</w:t>
            </w:r>
          </w:p>
        </w:tc>
        <w:tc>
          <w:tcPr>
            <w:tcW w:w="659" w:type="dxa"/>
            <w:tcBorders>
              <w:top w:val="single" w:color="000000" w:sz="12" w:space="0"/>
            </w:tcBorders>
            <w:vAlign w:val="top"/>
          </w:tcPr>
          <w:p w14:paraId="387E886A">
            <w:pPr>
              <w:spacing w:before="194" w:line="219" w:lineRule="auto"/>
              <w:ind w:left="115"/>
              <w:rPr>
                <w:rFonts w:ascii="宋体" w:hAnsi="宋体" w:eastAsia="宋体" w:cs="宋体"/>
                <w:sz w:val="21"/>
                <w:szCs w:val="21"/>
              </w:rPr>
            </w:pPr>
            <w:r>
              <w:rPr>
                <w:rFonts w:ascii="宋体" w:hAnsi="宋体" w:eastAsia="宋体" w:cs="宋体"/>
                <w:spacing w:val="-2"/>
                <w:sz w:val="21"/>
                <w:szCs w:val="21"/>
              </w:rPr>
              <w:t>鳅科</w:t>
            </w:r>
          </w:p>
        </w:tc>
        <w:tc>
          <w:tcPr>
            <w:tcW w:w="673" w:type="dxa"/>
            <w:tcBorders>
              <w:top w:val="single" w:color="000000" w:sz="12" w:space="0"/>
            </w:tcBorders>
            <w:vAlign w:val="top"/>
          </w:tcPr>
          <w:p w14:paraId="1881A0E9">
            <w:pPr>
              <w:spacing w:before="59" w:line="220" w:lineRule="auto"/>
              <w:ind w:left="126"/>
              <w:rPr>
                <w:rFonts w:ascii="宋体" w:hAnsi="宋体" w:eastAsia="宋体" w:cs="宋体"/>
                <w:sz w:val="21"/>
                <w:szCs w:val="21"/>
              </w:rPr>
            </w:pPr>
            <w:r>
              <w:rPr>
                <w:rFonts w:ascii="宋体" w:hAnsi="宋体" w:eastAsia="宋体" w:cs="宋体"/>
                <w:spacing w:val="-3"/>
                <w:sz w:val="21"/>
                <w:szCs w:val="21"/>
              </w:rPr>
              <w:t>怪颌</w:t>
            </w:r>
          </w:p>
          <w:p w14:paraId="7A85F816">
            <w:pPr>
              <w:spacing w:before="21" w:line="219" w:lineRule="auto"/>
              <w:ind w:left="126"/>
              <w:rPr>
                <w:rFonts w:ascii="宋体" w:hAnsi="宋体" w:eastAsia="宋体" w:cs="宋体"/>
                <w:sz w:val="21"/>
                <w:szCs w:val="21"/>
              </w:rPr>
            </w:pPr>
            <w:r>
              <w:rPr>
                <w:rFonts w:ascii="宋体" w:hAnsi="宋体" w:eastAsia="宋体" w:cs="宋体"/>
                <w:spacing w:val="-3"/>
                <w:sz w:val="21"/>
                <w:szCs w:val="21"/>
              </w:rPr>
              <w:t>鳉科</w:t>
            </w:r>
          </w:p>
        </w:tc>
        <w:tc>
          <w:tcPr>
            <w:tcW w:w="672" w:type="dxa"/>
            <w:tcBorders>
              <w:top w:val="single" w:color="000000" w:sz="12" w:space="0"/>
            </w:tcBorders>
            <w:vAlign w:val="top"/>
          </w:tcPr>
          <w:p w14:paraId="5AE1C5AA">
            <w:pPr>
              <w:spacing w:before="59" w:line="223" w:lineRule="auto"/>
              <w:ind w:left="130"/>
              <w:rPr>
                <w:rFonts w:ascii="宋体" w:hAnsi="宋体" w:eastAsia="宋体" w:cs="宋体"/>
                <w:sz w:val="21"/>
                <w:szCs w:val="21"/>
              </w:rPr>
            </w:pPr>
            <w:r>
              <w:rPr>
                <w:rFonts w:ascii="宋体" w:hAnsi="宋体" w:eastAsia="宋体" w:cs="宋体"/>
                <w:spacing w:val="-3"/>
                <w:sz w:val="21"/>
                <w:szCs w:val="21"/>
              </w:rPr>
              <w:t>合鳃</w:t>
            </w:r>
          </w:p>
          <w:p w14:paraId="63390C3D">
            <w:pPr>
              <w:spacing w:before="18" w:line="219" w:lineRule="auto"/>
              <w:ind w:left="132"/>
              <w:rPr>
                <w:rFonts w:ascii="宋体" w:hAnsi="宋体" w:eastAsia="宋体" w:cs="宋体"/>
                <w:sz w:val="21"/>
                <w:szCs w:val="21"/>
              </w:rPr>
            </w:pPr>
            <w:r>
              <w:rPr>
                <w:rFonts w:ascii="宋体" w:hAnsi="宋体" w:eastAsia="宋体" w:cs="宋体"/>
                <w:spacing w:val="-3"/>
                <w:sz w:val="21"/>
                <w:szCs w:val="21"/>
              </w:rPr>
              <w:t>鱼科</w:t>
            </w:r>
          </w:p>
        </w:tc>
        <w:tc>
          <w:tcPr>
            <w:tcW w:w="756" w:type="dxa"/>
            <w:tcBorders>
              <w:top w:val="single" w:color="000000" w:sz="12" w:space="0"/>
            </w:tcBorders>
            <w:vAlign w:val="top"/>
          </w:tcPr>
          <w:p w14:paraId="10C1FA60">
            <w:pPr>
              <w:spacing w:before="194" w:line="219" w:lineRule="auto"/>
              <w:ind w:left="67"/>
              <w:rPr>
                <w:rFonts w:ascii="宋体" w:hAnsi="宋体" w:eastAsia="宋体" w:cs="宋体"/>
                <w:sz w:val="21"/>
                <w:szCs w:val="21"/>
              </w:rPr>
            </w:pPr>
            <w:r>
              <w:rPr>
                <w:rFonts w:ascii="宋体" w:hAnsi="宋体" w:eastAsia="宋体" w:cs="宋体"/>
                <w:spacing w:val="-2"/>
                <w:sz w:val="21"/>
                <w:szCs w:val="21"/>
              </w:rPr>
              <w:t>胎鳉科</w:t>
            </w:r>
          </w:p>
        </w:tc>
        <w:tc>
          <w:tcPr>
            <w:tcW w:w="627" w:type="dxa"/>
            <w:tcBorders>
              <w:top w:val="single" w:color="000000" w:sz="12" w:space="0"/>
            </w:tcBorders>
            <w:vAlign w:val="top"/>
          </w:tcPr>
          <w:p w14:paraId="211DF66E">
            <w:pPr>
              <w:spacing w:before="194" w:line="219" w:lineRule="auto"/>
              <w:ind w:left="110"/>
              <w:rPr>
                <w:rFonts w:ascii="宋体" w:hAnsi="宋体" w:eastAsia="宋体" w:cs="宋体"/>
                <w:sz w:val="21"/>
                <w:szCs w:val="21"/>
              </w:rPr>
            </w:pPr>
            <w:r>
              <w:rPr>
                <w:rFonts w:ascii="宋体" w:hAnsi="宋体" w:eastAsia="宋体" w:cs="宋体"/>
                <w:spacing w:val="-3"/>
                <w:sz w:val="21"/>
                <w:szCs w:val="21"/>
              </w:rPr>
              <w:t>鲇科</w:t>
            </w:r>
          </w:p>
        </w:tc>
        <w:tc>
          <w:tcPr>
            <w:tcW w:w="636" w:type="dxa"/>
            <w:tcBorders>
              <w:top w:val="single" w:color="000000" w:sz="12" w:space="0"/>
            </w:tcBorders>
            <w:vAlign w:val="top"/>
          </w:tcPr>
          <w:p w14:paraId="227DDF6D">
            <w:pPr>
              <w:spacing w:before="194" w:line="219" w:lineRule="auto"/>
              <w:ind w:left="115"/>
              <w:rPr>
                <w:rFonts w:ascii="宋体" w:hAnsi="宋体" w:eastAsia="宋体" w:cs="宋体"/>
                <w:sz w:val="21"/>
                <w:szCs w:val="21"/>
              </w:rPr>
            </w:pPr>
            <w:r>
              <w:rPr>
                <w:rFonts w:ascii="宋体" w:hAnsi="宋体" w:eastAsia="宋体" w:cs="宋体"/>
                <w:spacing w:val="-2"/>
                <w:sz w:val="21"/>
                <w:szCs w:val="21"/>
              </w:rPr>
              <w:t>鲿科</w:t>
            </w:r>
          </w:p>
        </w:tc>
        <w:tc>
          <w:tcPr>
            <w:tcW w:w="672" w:type="dxa"/>
            <w:tcBorders>
              <w:top w:val="single" w:color="000000" w:sz="12" w:space="0"/>
            </w:tcBorders>
            <w:vAlign w:val="top"/>
          </w:tcPr>
          <w:p w14:paraId="42EDC16C">
            <w:pPr>
              <w:spacing w:before="58" w:line="233" w:lineRule="auto"/>
              <w:ind w:left="242" w:right="111" w:hanging="104"/>
              <w:rPr>
                <w:rFonts w:ascii="宋体" w:hAnsi="宋体" w:eastAsia="宋体" w:cs="宋体"/>
                <w:sz w:val="21"/>
                <w:szCs w:val="21"/>
              </w:rPr>
            </w:pPr>
            <w:r>
              <w:rPr>
                <w:rFonts w:ascii="宋体" w:hAnsi="宋体" w:eastAsia="宋体" w:cs="宋体"/>
                <w:spacing w:val="-5"/>
                <w:sz w:val="21"/>
                <w:szCs w:val="21"/>
              </w:rPr>
              <w:t>虾虎</w:t>
            </w:r>
            <w:r>
              <w:rPr>
                <w:rFonts w:ascii="宋体" w:hAnsi="宋体" w:eastAsia="宋体" w:cs="宋体"/>
                <w:sz w:val="21"/>
                <w:szCs w:val="21"/>
              </w:rPr>
              <w:t>科</w:t>
            </w:r>
          </w:p>
        </w:tc>
        <w:tc>
          <w:tcPr>
            <w:tcW w:w="673" w:type="dxa"/>
            <w:tcBorders>
              <w:top w:val="single" w:color="000000" w:sz="12" w:space="0"/>
            </w:tcBorders>
            <w:vAlign w:val="top"/>
          </w:tcPr>
          <w:p w14:paraId="4B3152CD">
            <w:pPr>
              <w:spacing w:before="58" w:line="233" w:lineRule="auto"/>
              <w:ind w:left="244" w:right="110" w:hanging="103"/>
              <w:rPr>
                <w:rFonts w:ascii="宋体" w:hAnsi="宋体" w:eastAsia="宋体" w:cs="宋体"/>
                <w:sz w:val="21"/>
                <w:szCs w:val="21"/>
              </w:rPr>
            </w:pPr>
            <w:r>
              <w:rPr>
                <w:rFonts w:ascii="宋体" w:hAnsi="宋体" w:eastAsia="宋体" w:cs="宋体"/>
                <w:spacing w:val="-5"/>
                <w:sz w:val="21"/>
                <w:szCs w:val="21"/>
              </w:rPr>
              <w:t>塘鳢</w:t>
            </w:r>
            <w:r>
              <w:rPr>
                <w:rFonts w:ascii="宋体" w:hAnsi="宋体" w:eastAsia="宋体" w:cs="宋体"/>
                <w:sz w:val="21"/>
                <w:szCs w:val="21"/>
              </w:rPr>
              <w:t>科</w:t>
            </w:r>
          </w:p>
        </w:tc>
        <w:tc>
          <w:tcPr>
            <w:tcW w:w="632" w:type="dxa"/>
            <w:tcBorders>
              <w:top w:val="single" w:color="000000" w:sz="12" w:space="0"/>
              <w:right w:val="single" w:color="000000" w:sz="12" w:space="0"/>
            </w:tcBorders>
            <w:vAlign w:val="top"/>
          </w:tcPr>
          <w:p w14:paraId="5E56F289">
            <w:pPr>
              <w:spacing w:before="195" w:line="221" w:lineRule="auto"/>
              <w:ind w:left="116"/>
              <w:rPr>
                <w:rFonts w:ascii="宋体" w:hAnsi="宋体" w:eastAsia="宋体" w:cs="宋体"/>
                <w:sz w:val="21"/>
                <w:szCs w:val="21"/>
              </w:rPr>
            </w:pPr>
            <w:r>
              <w:rPr>
                <w:rFonts w:ascii="宋体" w:hAnsi="宋体" w:eastAsia="宋体" w:cs="宋体"/>
                <w:spacing w:val="-3"/>
                <w:sz w:val="21"/>
                <w:szCs w:val="21"/>
              </w:rPr>
              <w:t>合计</w:t>
            </w:r>
          </w:p>
        </w:tc>
      </w:tr>
      <w:tr w14:paraId="6054F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69" w:type="dxa"/>
            <w:tcBorders>
              <w:left w:val="single" w:color="000000" w:sz="12" w:space="0"/>
            </w:tcBorders>
            <w:vAlign w:val="top"/>
          </w:tcPr>
          <w:p w14:paraId="22730030">
            <w:pPr>
              <w:spacing w:before="65" w:line="220" w:lineRule="auto"/>
              <w:ind w:left="212"/>
              <w:rPr>
                <w:rFonts w:ascii="宋体" w:hAnsi="宋体" w:eastAsia="宋体" w:cs="宋体"/>
                <w:sz w:val="21"/>
                <w:szCs w:val="21"/>
              </w:rPr>
            </w:pPr>
            <w:r>
              <w:rPr>
                <w:rFonts w:ascii="宋体" w:hAnsi="宋体" w:eastAsia="宋体" w:cs="宋体"/>
                <w:spacing w:val="-3"/>
                <w:sz w:val="21"/>
                <w:szCs w:val="21"/>
              </w:rPr>
              <w:t>属数</w:t>
            </w:r>
          </w:p>
        </w:tc>
        <w:tc>
          <w:tcPr>
            <w:tcW w:w="585" w:type="dxa"/>
            <w:vAlign w:val="top"/>
          </w:tcPr>
          <w:p w14:paraId="32BA141C">
            <w:pPr>
              <w:pStyle w:val="6"/>
              <w:spacing w:before="99" w:line="217" w:lineRule="auto"/>
              <w:ind w:left="195"/>
            </w:pPr>
            <w:r>
              <w:rPr>
                <w:spacing w:val="-6"/>
              </w:rPr>
              <w:t>13</w:t>
            </w:r>
          </w:p>
        </w:tc>
        <w:tc>
          <w:tcPr>
            <w:tcW w:w="1019" w:type="dxa"/>
            <w:vAlign w:val="top"/>
          </w:tcPr>
          <w:p w14:paraId="6AA7F0A8">
            <w:pPr>
              <w:pStyle w:val="6"/>
              <w:spacing w:before="99" w:line="217" w:lineRule="auto"/>
              <w:ind w:left="448"/>
            </w:pPr>
            <w:r>
              <w:t>2</w:t>
            </w:r>
          </w:p>
        </w:tc>
        <w:tc>
          <w:tcPr>
            <w:tcW w:w="659" w:type="dxa"/>
            <w:vAlign w:val="top"/>
          </w:tcPr>
          <w:p w14:paraId="44E859E3">
            <w:pPr>
              <w:pStyle w:val="6"/>
              <w:spacing w:before="99" w:line="217" w:lineRule="auto"/>
              <w:ind w:left="291"/>
            </w:pPr>
            <w:r>
              <w:t>1</w:t>
            </w:r>
          </w:p>
        </w:tc>
        <w:tc>
          <w:tcPr>
            <w:tcW w:w="673" w:type="dxa"/>
            <w:vAlign w:val="top"/>
          </w:tcPr>
          <w:p w14:paraId="1F1847F8">
            <w:pPr>
              <w:pStyle w:val="6"/>
              <w:spacing w:before="99" w:line="217" w:lineRule="auto"/>
              <w:ind w:left="300"/>
            </w:pPr>
            <w:r>
              <w:t>1</w:t>
            </w:r>
          </w:p>
        </w:tc>
        <w:tc>
          <w:tcPr>
            <w:tcW w:w="672" w:type="dxa"/>
            <w:vAlign w:val="top"/>
          </w:tcPr>
          <w:p w14:paraId="1CCFD716">
            <w:pPr>
              <w:pStyle w:val="6"/>
              <w:spacing w:before="99" w:line="217" w:lineRule="auto"/>
              <w:ind w:left="302"/>
            </w:pPr>
            <w:r>
              <w:t>1</w:t>
            </w:r>
          </w:p>
        </w:tc>
        <w:tc>
          <w:tcPr>
            <w:tcW w:w="756" w:type="dxa"/>
            <w:vAlign w:val="top"/>
          </w:tcPr>
          <w:p w14:paraId="31140C17">
            <w:pPr>
              <w:pStyle w:val="6"/>
              <w:spacing w:before="99" w:line="217" w:lineRule="auto"/>
              <w:ind w:left="347"/>
            </w:pPr>
            <w:r>
              <w:t>1</w:t>
            </w:r>
          </w:p>
        </w:tc>
        <w:tc>
          <w:tcPr>
            <w:tcW w:w="627" w:type="dxa"/>
            <w:vAlign w:val="top"/>
          </w:tcPr>
          <w:p w14:paraId="3B3F6D41">
            <w:pPr>
              <w:pStyle w:val="6"/>
              <w:spacing w:before="99" w:line="217" w:lineRule="auto"/>
              <w:ind w:left="284"/>
            </w:pPr>
            <w:r>
              <w:t>1</w:t>
            </w:r>
          </w:p>
        </w:tc>
        <w:tc>
          <w:tcPr>
            <w:tcW w:w="636" w:type="dxa"/>
            <w:vAlign w:val="top"/>
          </w:tcPr>
          <w:p w14:paraId="4F5E709B">
            <w:pPr>
              <w:pStyle w:val="6"/>
              <w:spacing w:before="99" w:line="217" w:lineRule="auto"/>
              <w:ind w:left="291"/>
            </w:pPr>
            <w:r>
              <w:t>1</w:t>
            </w:r>
          </w:p>
        </w:tc>
        <w:tc>
          <w:tcPr>
            <w:tcW w:w="672" w:type="dxa"/>
            <w:vAlign w:val="top"/>
          </w:tcPr>
          <w:p w14:paraId="778586F9">
            <w:pPr>
              <w:pStyle w:val="6"/>
              <w:spacing w:before="99" w:line="217" w:lineRule="auto"/>
              <w:ind w:left="312"/>
            </w:pPr>
            <w:r>
              <w:t>1</w:t>
            </w:r>
          </w:p>
        </w:tc>
        <w:tc>
          <w:tcPr>
            <w:tcW w:w="673" w:type="dxa"/>
            <w:vAlign w:val="top"/>
          </w:tcPr>
          <w:p w14:paraId="139A5632">
            <w:pPr>
              <w:pStyle w:val="6"/>
              <w:spacing w:before="99" w:line="217" w:lineRule="auto"/>
              <w:ind w:left="314"/>
            </w:pPr>
            <w:r>
              <w:t>1</w:t>
            </w:r>
          </w:p>
        </w:tc>
        <w:tc>
          <w:tcPr>
            <w:tcW w:w="632" w:type="dxa"/>
            <w:tcBorders>
              <w:right w:val="single" w:color="000000" w:sz="12" w:space="0"/>
            </w:tcBorders>
            <w:vAlign w:val="top"/>
          </w:tcPr>
          <w:p w14:paraId="5A5731F5">
            <w:pPr>
              <w:pStyle w:val="6"/>
              <w:spacing w:before="99" w:line="217" w:lineRule="auto"/>
              <w:ind w:left="217"/>
            </w:pPr>
            <w:r>
              <w:rPr>
                <w:spacing w:val="-1"/>
              </w:rPr>
              <w:t>23</w:t>
            </w:r>
          </w:p>
        </w:tc>
      </w:tr>
      <w:tr w14:paraId="5875C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69" w:type="dxa"/>
            <w:tcBorders>
              <w:left w:val="single" w:color="000000" w:sz="12" w:space="0"/>
            </w:tcBorders>
            <w:vAlign w:val="top"/>
          </w:tcPr>
          <w:p w14:paraId="3346A645">
            <w:pPr>
              <w:spacing w:before="120" w:line="220" w:lineRule="auto"/>
              <w:ind w:left="210"/>
              <w:rPr>
                <w:rFonts w:ascii="宋体" w:hAnsi="宋体" w:eastAsia="宋体" w:cs="宋体"/>
                <w:sz w:val="21"/>
                <w:szCs w:val="21"/>
              </w:rPr>
            </w:pPr>
            <w:r>
              <w:rPr>
                <w:rFonts w:ascii="宋体" w:hAnsi="宋体" w:eastAsia="宋体" w:cs="宋体"/>
                <w:spacing w:val="-3"/>
                <w:sz w:val="21"/>
                <w:szCs w:val="21"/>
              </w:rPr>
              <w:t>种数</w:t>
            </w:r>
          </w:p>
        </w:tc>
        <w:tc>
          <w:tcPr>
            <w:tcW w:w="585" w:type="dxa"/>
            <w:vAlign w:val="top"/>
          </w:tcPr>
          <w:p w14:paraId="24CE023E">
            <w:pPr>
              <w:pStyle w:val="6"/>
              <w:spacing w:before="154" w:line="232" w:lineRule="auto"/>
              <w:ind w:left="195"/>
            </w:pPr>
            <w:r>
              <w:rPr>
                <w:spacing w:val="-6"/>
              </w:rPr>
              <w:t>13</w:t>
            </w:r>
          </w:p>
        </w:tc>
        <w:tc>
          <w:tcPr>
            <w:tcW w:w="1019" w:type="dxa"/>
            <w:vAlign w:val="top"/>
          </w:tcPr>
          <w:p w14:paraId="41CB0112">
            <w:pPr>
              <w:pStyle w:val="6"/>
              <w:spacing w:before="154" w:line="232" w:lineRule="auto"/>
              <w:ind w:left="452"/>
            </w:pPr>
            <w:r>
              <w:t>3</w:t>
            </w:r>
          </w:p>
        </w:tc>
        <w:tc>
          <w:tcPr>
            <w:tcW w:w="659" w:type="dxa"/>
            <w:vAlign w:val="top"/>
          </w:tcPr>
          <w:p w14:paraId="6E9D07D6">
            <w:pPr>
              <w:pStyle w:val="6"/>
              <w:spacing w:before="154" w:line="235" w:lineRule="auto"/>
              <w:ind w:left="291"/>
            </w:pPr>
            <w:r>
              <w:t>1</w:t>
            </w:r>
          </w:p>
        </w:tc>
        <w:tc>
          <w:tcPr>
            <w:tcW w:w="673" w:type="dxa"/>
            <w:vAlign w:val="top"/>
          </w:tcPr>
          <w:p w14:paraId="23947005">
            <w:pPr>
              <w:pStyle w:val="6"/>
              <w:spacing w:before="154" w:line="235" w:lineRule="auto"/>
              <w:ind w:left="300"/>
            </w:pPr>
            <w:r>
              <w:t>1</w:t>
            </w:r>
          </w:p>
        </w:tc>
        <w:tc>
          <w:tcPr>
            <w:tcW w:w="672" w:type="dxa"/>
            <w:vAlign w:val="top"/>
          </w:tcPr>
          <w:p w14:paraId="5554F94D">
            <w:pPr>
              <w:pStyle w:val="6"/>
              <w:spacing w:before="154" w:line="235" w:lineRule="auto"/>
              <w:ind w:left="302"/>
            </w:pPr>
            <w:r>
              <w:t>1</w:t>
            </w:r>
          </w:p>
        </w:tc>
        <w:tc>
          <w:tcPr>
            <w:tcW w:w="756" w:type="dxa"/>
            <w:vAlign w:val="top"/>
          </w:tcPr>
          <w:p w14:paraId="7BC5BACF">
            <w:pPr>
              <w:pStyle w:val="6"/>
              <w:spacing w:before="154" w:line="235" w:lineRule="auto"/>
              <w:ind w:left="347"/>
            </w:pPr>
            <w:r>
              <w:t>1</w:t>
            </w:r>
          </w:p>
        </w:tc>
        <w:tc>
          <w:tcPr>
            <w:tcW w:w="627" w:type="dxa"/>
            <w:vAlign w:val="top"/>
          </w:tcPr>
          <w:p w14:paraId="409E2E32">
            <w:pPr>
              <w:pStyle w:val="6"/>
              <w:spacing w:before="154" w:line="235" w:lineRule="auto"/>
              <w:ind w:left="284"/>
            </w:pPr>
            <w:r>
              <w:t>1</w:t>
            </w:r>
          </w:p>
        </w:tc>
        <w:tc>
          <w:tcPr>
            <w:tcW w:w="636" w:type="dxa"/>
            <w:vAlign w:val="top"/>
          </w:tcPr>
          <w:p w14:paraId="6AFD09A8">
            <w:pPr>
              <w:pStyle w:val="6"/>
              <w:spacing w:before="154" w:line="235" w:lineRule="auto"/>
              <w:ind w:left="291"/>
            </w:pPr>
            <w:r>
              <w:t>1</w:t>
            </w:r>
          </w:p>
        </w:tc>
        <w:tc>
          <w:tcPr>
            <w:tcW w:w="672" w:type="dxa"/>
            <w:vAlign w:val="top"/>
          </w:tcPr>
          <w:p w14:paraId="5A9F8500">
            <w:pPr>
              <w:pStyle w:val="6"/>
              <w:spacing w:before="154" w:line="235" w:lineRule="auto"/>
              <w:ind w:left="312"/>
            </w:pPr>
            <w:r>
              <w:t>1</w:t>
            </w:r>
          </w:p>
        </w:tc>
        <w:tc>
          <w:tcPr>
            <w:tcW w:w="673" w:type="dxa"/>
            <w:vAlign w:val="top"/>
          </w:tcPr>
          <w:p w14:paraId="70B5BC48">
            <w:pPr>
              <w:pStyle w:val="6"/>
              <w:spacing w:before="154" w:line="235" w:lineRule="auto"/>
              <w:ind w:left="314"/>
            </w:pPr>
            <w:r>
              <w:t>1</w:t>
            </w:r>
          </w:p>
        </w:tc>
        <w:tc>
          <w:tcPr>
            <w:tcW w:w="632" w:type="dxa"/>
            <w:tcBorders>
              <w:right w:val="single" w:color="000000" w:sz="12" w:space="0"/>
            </w:tcBorders>
            <w:vAlign w:val="top"/>
          </w:tcPr>
          <w:p w14:paraId="6D006774">
            <w:pPr>
              <w:pStyle w:val="6"/>
              <w:spacing w:before="154" w:line="235" w:lineRule="auto"/>
              <w:ind w:left="217"/>
            </w:pPr>
            <w:r>
              <w:rPr>
                <w:spacing w:val="-1"/>
              </w:rPr>
              <w:t>24</w:t>
            </w:r>
          </w:p>
        </w:tc>
      </w:tr>
      <w:tr w14:paraId="531C9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69" w:type="dxa"/>
            <w:tcBorders>
              <w:left w:val="single" w:color="000000" w:sz="12" w:space="0"/>
              <w:bottom w:val="single" w:color="000000" w:sz="12" w:space="0"/>
            </w:tcBorders>
            <w:vAlign w:val="top"/>
          </w:tcPr>
          <w:p w14:paraId="742489AF">
            <w:pPr>
              <w:pStyle w:val="6"/>
              <w:spacing w:before="78" w:line="233" w:lineRule="auto"/>
              <w:ind w:left="230" w:right="120" w:hanging="89"/>
            </w:pPr>
            <w:r>
              <w:rPr>
                <w:rFonts w:ascii="宋体" w:hAnsi="宋体" w:eastAsia="宋体" w:cs="宋体"/>
                <w:spacing w:val="-15"/>
              </w:rPr>
              <w:t>占总种</w:t>
            </w:r>
            <w:r>
              <w:rPr>
                <w:rFonts w:ascii="宋体" w:hAnsi="宋体" w:eastAsia="宋体" w:cs="宋体"/>
                <w:spacing w:val="-5"/>
              </w:rPr>
              <w:t>数</w:t>
            </w:r>
            <w:r>
              <w:rPr>
                <w:spacing w:val="-5"/>
              </w:rPr>
              <w:t>%</w:t>
            </w:r>
          </w:p>
        </w:tc>
        <w:tc>
          <w:tcPr>
            <w:tcW w:w="585" w:type="dxa"/>
            <w:tcBorders>
              <w:bottom w:val="single" w:color="000000" w:sz="12" w:space="0"/>
            </w:tcBorders>
            <w:vAlign w:val="top"/>
          </w:tcPr>
          <w:p w14:paraId="5723F93D">
            <w:pPr>
              <w:pStyle w:val="6"/>
              <w:spacing w:before="248" w:line="232" w:lineRule="auto"/>
              <w:ind w:left="49"/>
            </w:pPr>
            <w:r>
              <w:rPr>
                <w:spacing w:val="-2"/>
              </w:rPr>
              <w:t>54.17</w:t>
            </w:r>
          </w:p>
        </w:tc>
        <w:tc>
          <w:tcPr>
            <w:tcW w:w="1019" w:type="dxa"/>
            <w:tcBorders>
              <w:bottom w:val="single" w:color="000000" w:sz="12" w:space="0"/>
            </w:tcBorders>
            <w:vAlign w:val="top"/>
          </w:tcPr>
          <w:p w14:paraId="3AE99474">
            <w:pPr>
              <w:pStyle w:val="6"/>
              <w:spacing w:before="248" w:line="232" w:lineRule="auto"/>
              <w:ind w:left="283"/>
            </w:pPr>
            <w:r>
              <w:rPr>
                <w:spacing w:val="-5"/>
              </w:rPr>
              <w:t>12.50</w:t>
            </w:r>
          </w:p>
        </w:tc>
        <w:tc>
          <w:tcPr>
            <w:tcW w:w="659" w:type="dxa"/>
            <w:tcBorders>
              <w:bottom w:val="single" w:color="000000" w:sz="12" w:space="0"/>
            </w:tcBorders>
            <w:vAlign w:val="top"/>
          </w:tcPr>
          <w:p w14:paraId="18A20537">
            <w:pPr>
              <w:pStyle w:val="6"/>
              <w:spacing w:before="248" w:line="232" w:lineRule="auto"/>
              <w:ind w:left="138"/>
            </w:pPr>
            <w:r>
              <w:rPr>
                <w:spacing w:val="-1"/>
              </w:rPr>
              <w:t>4.17</w:t>
            </w:r>
          </w:p>
        </w:tc>
        <w:tc>
          <w:tcPr>
            <w:tcW w:w="673" w:type="dxa"/>
            <w:tcBorders>
              <w:bottom w:val="single" w:color="000000" w:sz="12" w:space="0"/>
            </w:tcBorders>
            <w:vAlign w:val="top"/>
          </w:tcPr>
          <w:p w14:paraId="13792633">
            <w:pPr>
              <w:pStyle w:val="6"/>
              <w:spacing w:before="248" w:line="232" w:lineRule="auto"/>
              <w:ind w:left="148"/>
            </w:pPr>
            <w:r>
              <w:rPr>
                <w:spacing w:val="-1"/>
              </w:rPr>
              <w:t>4.17</w:t>
            </w:r>
          </w:p>
        </w:tc>
        <w:tc>
          <w:tcPr>
            <w:tcW w:w="672" w:type="dxa"/>
            <w:tcBorders>
              <w:bottom w:val="single" w:color="000000" w:sz="12" w:space="0"/>
            </w:tcBorders>
            <w:vAlign w:val="top"/>
          </w:tcPr>
          <w:p w14:paraId="7E71F64C">
            <w:pPr>
              <w:pStyle w:val="6"/>
              <w:spacing w:before="248" w:line="232" w:lineRule="auto"/>
              <w:ind w:left="150"/>
            </w:pPr>
            <w:r>
              <w:rPr>
                <w:spacing w:val="-1"/>
              </w:rPr>
              <w:t>4.17</w:t>
            </w:r>
          </w:p>
        </w:tc>
        <w:tc>
          <w:tcPr>
            <w:tcW w:w="756" w:type="dxa"/>
            <w:tcBorders>
              <w:bottom w:val="single" w:color="000000" w:sz="12" w:space="0"/>
            </w:tcBorders>
            <w:vAlign w:val="top"/>
          </w:tcPr>
          <w:p w14:paraId="0C8B003F">
            <w:pPr>
              <w:pStyle w:val="6"/>
              <w:spacing w:before="248" w:line="232" w:lineRule="auto"/>
              <w:ind w:left="193"/>
            </w:pPr>
            <w:r>
              <w:rPr>
                <w:spacing w:val="-1"/>
              </w:rPr>
              <w:t>4.17</w:t>
            </w:r>
          </w:p>
        </w:tc>
        <w:tc>
          <w:tcPr>
            <w:tcW w:w="627" w:type="dxa"/>
            <w:tcBorders>
              <w:bottom w:val="single" w:color="000000" w:sz="12" w:space="0"/>
            </w:tcBorders>
            <w:vAlign w:val="top"/>
          </w:tcPr>
          <w:p w14:paraId="6F99905D">
            <w:pPr>
              <w:pStyle w:val="6"/>
              <w:spacing w:before="248" w:line="232" w:lineRule="auto"/>
              <w:ind w:left="131"/>
            </w:pPr>
            <w:r>
              <w:rPr>
                <w:spacing w:val="-1"/>
              </w:rPr>
              <w:t>4.17</w:t>
            </w:r>
          </w:p>
        </w:tc>
        <w:tc>
          <w:tcPr>
            <w:tcW w:w="636" w:type="dxa"/>
            <w:tcBorders>
              <w:bottom w:val="single" w:color="000000" w:sz="12" w:space="0"/>
            </w:tcBorders>
            <w:vAlign w:val="top"/>
          </w:tcPr>
          <w:p w14:paraId="2839553C">
            <w:pPr>
              <w:pStyle w:val="6"/>
              <w:spacing w:before="248" w:line="232" w:lineRule="auto"/>
              <w:ind w:left="138"/>
            </w:pPr>
            <w:r>
              <w:rPr>
                <w:spacing w:val="-1"/>
              </w:rPr>
              <w:t>4.17</w:t>
            </w:r>
          </w:p>
        </w:tc>
        <w:tc>
          <w:tcPr>
            <w:tcW w:w="672" w:type="dxa"/>
            <w:tcBorders>
              <w:bottom w:val="single" w:color="000000" w:sz="12" w:space="0"/>
            </w:tcBorders>
            <w:vAlign w:val="top"/>
          </w:tcPr>
          <w:p w14:paraId="045E2FAE">
            <w:pPr>
              <w:pStyle w:val="6"/>
              <w:spacing w:before="248" w:line="232" w:lineRule="auto"/>
              <w:ind w:left="160"/>
            </w:pPr>
            <w:r>
              <w:rPr>
                <w:spacing w:val="-1"/>
              </w:rPr>
              <w:t>4.17</w:t>
            </w:r>
          </w:p>
        </w:tc>
        <w:tc>
          <w:tcPr>
            <w:tcW w:w="673" w:type="dxa"/>
            <w:tcBorders>
              <w:bottom w:val="single" w:color="000000" w:sz="12" w:space="0"/>
            </w:tcBorders>
            <w:vAlign w:val="top"/>
          </w:tcPr>
          <w:p w14:paraId="24E8CE91">
            <w:pPr>
              <w:pStyle w:val="6"/>
              <w:spacing w:before="248" w:line="232" w:lineRule="auto"/>
              <w:ind w:left="162"/>
            </w:pPr>
            <w:r>
              <w:rPr>
                <w:spacing w:val="-1"/>
              </w:rPr>
              <w:t>4.17</w:t>
            </w:r>
          </w:p>
        </w:tc>
        <w:tc>
          <w:tcPr>
            <w:tcW w:w="632" w:type="dxa"/>
            <w:tcBorders>
              <w:bottom w:val="single" w:color="000000" w:sz="12" w:space="0"/>
              <w:right w:val="single" w:color="000000" w:sz="12" w:space="0"/>
            </w:tcBorders>
            <w:vAlign w:val="top"/>
          </w:tcPr>
          <w:p w14:paraId="7AD78464">
            <w:pPr>
              <w:pStyle w:val="6"/>
              <w:spacing w:before="248" w:line="232" w:lineRule="auto"/>
              <w:ind w:left="185"/>
            </w:pPr>
            <w:r>
              <w:rPr>
                <w:spacing w:val="-6"/>
              </w:rPr>
              <w:t>100</w:t>
            </w:r>
          </w:p>
        </w:tc>
      </w:tr>
    </w:tbl>
    <w:p w14:paraId="28DE0053">
      <w:pPr>
        <w:pStyle w:val="2"/>
        <w:spacing w:before="147"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）珍稀濒危鱼类</w:t>
      </w:r>
    </w:p>
    <w:p w14:paraId="4BE78E87">
      <w:pPr>
        <w:pStyle w:val="2"/>
        <w:spacing w:before="136" w:line="333" w:lineRule="auto"/>
        <w:ind w:left="39" w:right="85" w:firstLine="479"/>
        <w:jc w:val="both"/>
        <w:rPr>
          <w:sz w:val="24"/>
          <w:szCs w:val="24"/>
        </w:rPr>
      </w:pPr>
      <w:r>
        <w:rPr>
          <w:spacing w:val="-1"/>
          <w:sz w:val="24"/>
          <w:szCs w:val="24"/>
        </w:rPr>
        <w:t>在监测区水域分布的</w:t>
      </w:r>
      <w:r>
        <w:rPr>
          <w:spacing w:val="-51"/>
          <w:sz w:val="24"/>
          <w:szCs w:val="24"/>
        </w:rPr>
        <w:t xml:space="preserve"> </w:t>
      </w:r>
      <w:r>
        <w:rPr>
          <w:rFonts w:ascii="Times New Roman" w:hAnsi="Times New Roman" w:eastAsia="Times New Roman" w:cs="Times New Roman"/>
          <w:spacing w:val="-1"/>
          <w:sz w:val="24"/>
          <w:szCs w:val="24"/>
        </w:rPr>
        <w:t xml:space="preserve">24 </w:t>
      </w:r>
      <w:r>
        <w:rPr>
          <w:spacing w:val="-1"/>
          <w:sz w:val="24"/>
          <w:szCs w:val="24"/>
        </w:rPr>
        <w:t>种鱼类中，滇池金线鲃为国家二级保护鱼类，同时也</w:t>
      </w:r>
      <w:r>
        <w:rPr>
          <w:spacing w:val="-7"/>
          <w:sz w:val="24"/>
          <w:szCs w:val="24"/>
        </w:rPr>
        <w:t>被列入《中国濒危动物红皮书》，该种是</w:t>
      </w:r>
      <w:r>
        <w:rPr>
          <w:spacing w:val="-54"/>
          <w:sz w:val="24"/>
          <w:szCs w:val="24"/>
        </w:rPr>
        <w:t xml:space="preserve"> </w:t>
      </w:r>
      <w:r>
        <w:rPr>
          <w:rFonts w:ascii="Times New Roman" w:hAnsi="Times New Roman" w:eastAsia="Times New Roman" w:cs="Times New Roman"/>
          <w:spacing w:val="-7"/>
          <w:sz w:val="24"/>
          <w:szCs w:val="24"/>
        </w:rPr>
        <w:t xml:space="preserve">2015 </w:t>
      </w:r>
      <w:r>
        <w:rPr>
          <w:spacing w:val="-7"/>
          <w:sz w:val="24"/>
          <w:szCs w:val="24"/>
        </w:rPr>
        <w:t>年环评期捕获到的，施工期监测未捕</w:t>
      </w:r>
      <w:r>
        <w:rPr>
          <w:spacing w:val="-3"/>
          <w:sz w:val="24"/>
          <w:szCs w:val="24"/>
        </w:rPr>
        <w:t>获到，是根据资料和生境判断的。</w:t>
      </w:r>
    </w:p>
    <w:p w14:paraId="16012097">
      <w:pPr>
        <w:pStyle w:val="2"/>
        <w:spacing w:before="22" w:line="212" w:lineRule="auto"/>
        <w:ind w:left="518"/>
        <w:rPr>
          <w:sz w:val="24"/>
          <w:szCs w:val="24"/>
        </w:rPr>
      </w:pPr>
      <w:r>
        <w:rPr>
          <w:sz w:val="24"/>
          <w:szCs w:val="24"/>
        </w:rPr>
        <w:t>①滇池金线鲃</w:t>
      </w:r>
      <w:r>
        <w:rPr>
          <w:spacing w:val="-58"/>
          <w:sz w:val="24"/>
          <w:szCs w:val="24"/>
        </w:rPr>
        <w:t xml:space="preserve"> </w:t>
      </w:r>
      <w:r>
        <w:rPr>
          <w:rFonts w:ascii="Times New Roman" w:hAnsi="Times New Roman" w:eastAsia="Times New Roman" w:cs="Times New Roman"/>
          <w:i/>
          <w:iCs/>
          <w:sz w:val="24"/>
          <w:szCs w:val="24"/>
        </w:rPr>
        <w:t>Sinocyclocheilus gr</w:t>
      </w:r>
      <w:r>
        <w:rPr>
          <w:rFonts w:ascii="Times New Roman" w:hAnsi="Times New Roman" w:eastAsia="Times New Roman" w:cs="Times New Roman"/>
          <w:i/>
          <w:iCs/>
          <w:spacing w:val="-1"/>
          <w:sz w:val="24"/>
          <w:szCs w:val="24"/>
        </w:rPr>
        <w:t>ahami</w:t>
      </w:r>
      <w:r>
        <w:rPr>
          <w:spacing w:val="-1"/>
          <w:sz w:val="24"/>
          <w:szCs w:val="24"/>
        </w:rPr>
        <w:t>（</w:t>
      </w:r>
      <w:r>
        <w:rPr>
          <w:rFonts w:ascii="Times New Roman" w:hAnsi="Times New Roman" w:eastAsia="Times New Roman" w:cs="Times New Roman"/>
          <w:spacing w:val="-1"/>
          <w:sz w:val="24"/>
          <w:szCs w:val="24"/>
        </w:rPr>
        <w:t>Regan</w:t>
      </w:r>
      <w:r>
        <w:rPr>
          <w:spacing w:val="-1"/>
          <w:sz w:val="24"/>
          <w:szCs w:val="24"/>
        </w:rPr>
        <w:t>）</w:t>
      </w:r>
    </w:p>
    <w:p w14:paraId="51C6D796">
      <w:pPr>
        <w:pStyle w:val="2"/>
        <w:spacing w:before="163" w:line="220" w:lineRule="auto"/>
        <w:ind w:left="520"/>
        <w:rPr>
          <w:sz w:val="24"/>
          <w:szCs w:val="24"/>
        </w:rPr>
      </w:pPr>
      <w:r>
        <w:rPr>
          <w:spacing w:val="-2"/>
          <w:sz w:val="24"/>
          <w:szCs w:val="24"/>
        </w:rPr>
        <w:t>保护等级：国家二级</w:t>
      </w:r>
    </w:p>
    <w:p w14:paraId="75274082">
      <w:pPr>
        <w:pStyle w:val="2"/>
        <w:spacing w:before="155" w:line="212" w:lineRule="auto"/>
        <w:ind w:left="522"/>
        <w:rPr>
          <w:rFonts w:ascii="Times New Roman" w:hAnsi="Times New Roman" w:eastAsia="Times New Roman" w:cs="Times New Roman"/>
          <w:sz w:val="24"/>
          <w:szCs w:val="24"/>
        </w:rPr>
      </w:pPr>
      <w:r>
        <w:rPr>
          <w:spacing w:val="-1"/>
          <w:sz w:val="24"/>
          <w:szCs w:val="24"/>
        </w:rPr>
        <w:t>分类地位：鲤形目</w:t>
      </w:r>
      <w:r>
        <w:rPr>
          <w:spacing w:val="-44"/>
          <w:sz w:val="24"/>
          <w:szCs w:val="24"/>
        </w:rPr>
        <w:t xml:space="preserve"> </w:t>
      </w:r>
      <w:r>
        <w:rPr>
          <w:rFonts w:ascii="Times New Roman" w:hAnsi="Times New Roman" w:eastAsia="Times New Roman" w:cs="Times New Roman"/>
          <w:spacing w:val="-1"/>
          <w:sz w:val="24"/>
          <w:szCs w:val="24"/>
        </w:rPr>
        <w:t>Cypriniformes</w:t>
      </w:r>
      <w:r>
        <w:rPr>
          <w:spacing w:val="-1"/>
          <w:sz w:val="24"/>
          <w:szCs w:val="24"/>
        </w:rPr>
        <w:t>；鲤科</w:t>
      </w:r>
      <w:r>
        <w:rPr>
          <w:spacing w:val="-43"/>
          <w:sz w:val="24"/>
          <w:szCs w:val="24"/>
        </w:rPr>
        <w:t xml:space="preserve"> </w:t>
      </w:r>
      <w:r>
        <w:rPr>
          <w:rFonts w:ascii="Times New Roman" w:hAnsi="Times New Roman" w:eastAsia="Times New Roman" w:cs="Times New Roman"/>
          <w:spacing w:val="-1"/>
          <w:sz w:val="24"/>
          <w:szCs w:val="24"/>
        </w:rPr>
        <w:t>Cyprinidae</w:t>
      </w:r>
      <w:r>
        <w:rPr>
          <w:spacing w:val="-1"/>
          <w:sz w:val="24"/>
          <w:szCs w:val="24"/>
        </w:rPr>
        <w:t xml:space="preserve">；鲃亚科 </w:t>
      </w:r>
      <w:r>
        <w:rPr>
          <w:rFonts w:ascii="Times New Roman" w:hAnsi="Times New Roman" w:eastAsia="Times New Roman" w:cs="Times New Roman"/>
          <w:spacing w:val="-1"/>
          <w:sz w:val="24"/>
          <w:szCs w:val="24"/>
        </w:rPr>
        <w:t>Barbinae</w:t>
      </w:r>
    </w:p>
    <w:p w14:paraId="33A16137">
      <w:pPr>
        <w:pStyle w:val="2"/>
        <w:spacing w:before="166" w:line="338" w:lineRule="auto"/>
        <w:ind w:left="41" w:right="83" w:firstLine="480"/>
        <w:rPr>
          <w:sz w:val="24"/>
          <w:szCs w:val="24"/>
        </w:rPr>
      </w:pPr>
      <w:r>
        <w:rPr>
          <w:spacing w:val="-1"/>
          <w:sz w:val="24"/>
          <w:szCs w:val="24"/>
        </w:rPr>
        <w:t>鉴别特征：侧线鳞</w:t>
      </w:r>
      <w:r>
        <w:rPr>
          <w:spacing w:val="-50"/>
          <w:sz w:val="24"/>
          <w:szCs w:val="24"/>
        </w:rPr>
        <w:t xml:space="preserve"> </w:t>
      </w:r>
      <w:r>
        <w:rPr>
          <w:rFonts w:ascii="Times New Roman" w:hAnsi="Times New Roman" w:eastAsia="Times New Roman" w:cs="Times New Roman"/>
          <w:spacing w:val="-1"/>
          <w:sz w:val="24"/>
          <w:szCs w:val="24"/>
        </w:rPr>
        <w:t>60-69</w:t>
      </w:r>
      <w:r>
        <w:rPr>
          <w:spacing w:val="-1"/>
          <w:sz w:val="24"/>
          <w:szCs w:val="24"/>
        </w:rPr>
        <w:t>；背鳍</w:t>
      </w:r>
      <w:r>
        <w:rPr>
          <w:rFonts w:ascii="Times New Roman" w:hAnsi="Times New Roman" w:eastAsia="Times New Roman" w:cs="Times New Roman"/>
          <w:spacing w:val="-1"/>
          <w:sz w:val="24"/>
          <w:szCs w:val="24"/>
        </w:rPr>
        <w:t>ⅳ-7</w:t>
      </w:r>
      <w:r>
        <w:rPr>
          <w:spacing w:val="-2"/>
          <w:sz w:val="24"/>
          <w:szCs w:val="24"/>
        </w:rPr>
        <w:t>；臀鳍</w:t>
      </w:r>
      <w:r>
        <w:rPr>
          <w:rFonts w:ascii="Times New Roman" w:hAnsi="Times New Roman" w:eastAsia="Times New Roman" w:cs="Times New Roman"/>
          <w:spacing w:val="-2"/>
          <w:sz w:val="24"/>
          <w:szCs w:val="24"/>
        </w:rPr>
        <w:t>ⅲ-5</w:t>
      </w:r>
      <w:r>
        <w:rPr>
          <w:spacing w:val="-2"/>
          <w:sz w:val="24"/>
          <w:szCs w:val="24"/>
        </w:rPr>
        <w:t>；胸鳍</w:t>
      </w:r>
      <w:r>
        <w:rPr>
          <w:rFonts w:ascii="Times New Roman" w:hAnsi="Times New Roman" w:eastAsia="Times New Roman" w:cs="Times New Roman"/>
          <w:spacing w:val="-2"/>
          <w:sz w:val="24"/>
          <w:szCs w:val="24"/>
        </w:rPr>
        <w:t>ⅰ-14-16</w:t>
      </w:r>
      <w:r>
        <w:rPr>
          <w:spacing w:val="-2"/>
          <w:sz w:val="24"/>
          <w:szCs w:val="24"/>
        </w:rPr>
        <w:t>；腹鳍</w:t>
      </w:r>
      <w:r>
        <w:rPr>
          <w:rFonts w:ascii="Times New Roman" w:hAnsi="Times New Roman" w:eastAsia="Times New Roman" w:cs="Times New Roman"/>
          <w:spacing w:val="-2"/>
          <w:sz w:val="24"/>
          <w:szCs w:val="24"/>
        </w:rPr>
        <w:t>ⅰ-8-9</w:t>
      </w:r>
      <w:r>
        <w:rPr>
          <w:spacing w:val="-2"/>
          <w:sz w:val="24"/>
          <w:szCs w:val="24"/>
        </w:rPr>
        <w:t>；下咽</w:t>
      </w:r>
      <w:r>
        <w:rPr>
          <w:spacing w:val="-3"/>
          <w:sz w:val="24"/>
          <w:szCs w:val="24"/>
        </w:rPr>
        <w:t>齿</w:t>
      </w:r>
      <w:r>
        <w:rPr>
          <w:spacing w:val="-36"/>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行，体鳞细小，呈覆瓦状排列，侧线鳞较大。</w:t>
      </w:r>
    </w:p>
    <w:p w14:paraId="448E59F3">
      <w:pPr>
        <w:pStyle w:val="2"/>
        <w:spacing w:before="6" w:line="340" w:lineRule="auto"/>
        <w:ind w:left="39" w:firstLine="481"/>
        <w:jc w:val="both"/>
        <w:rPr>
          <w:sz w:val="24"/>
          <w:szCs w:val="24"/>
        </w:rPr>
      </w:pPr>
      <w:r>
        <w:rPr>
          <w:spacing w:val="-4"/>
          <w:sz w:val="24"/>
          <w:szCs w:val="24"/>
        </w:rPr>
        <w:t>生境及生态习性：栖息于该流域的龙潭、泉水等水域</w:t>
      </w:r>
      <w:r>
        <w:rPr>
          <w:spacing w:val="-5"/>
          <w:sz w:val="24"/>
          <w:szCs w:val="24"/>
        </w:rPr>
        <w:t>。幼鱼以浮游动物、水生</w:t>
      </w:r>
      <w:r>
        <w:rPr>
          <w:spacing w:val="-8"/>
          <w:sz w:val="24"/>
          <w:szCs w:val="24"/>
        </w:rPr>
        <w:t>昆虫为主食，也食少量藻类和高等植物碎片；成鱼转食小虾和小鱼，也食</w:t>
      </w:r>
      <w:r>
        <w:rPr>
          <w:spacing w:val="-9"/>
          <w:sz w:val="24"/>
          <w:szCs w:val="24"/>
        </w:rPr>
        <w:t>浮游动物。</w:t>
      </w:r>
      <w:r>
        <w:rPr>
          <w:spacing w:val="-4"/>
          <w:sz w:val="24"/>
          <w:szCs w:val="24"/>
        </w:rPr>
        <w:t>滇池金线鲃的繁殖时间在</w:t>
      </w:r>
      <w:r>
        <w:rPr>
          <w:spacing w:val="-34"/>
          <w:sz w:val="24"/>
          <w:szCs w:val="24"/>
        </w:rPr>
        <w:t xml:space="preserve"> </w:t>
      </w:r>
      <w:r>
        <w:rPr>
          <w:rFonts w:ascii="Times New Roman" w:hAnsi="Times New Roman" w:eastAsia="Times New Roman" w:cs="Times New Roman"/>
          <w:spacing w:val="-4"/>
          <w:sz w:val="24"/>
          <w:szCs w:val="24"/>
        </w:rPr>
        <w:t>3-6</w:t>
      </w:r>
      <w:r>
        <w:rPr>
          <w:rFonts w:ascii="Times New Roman" w:hAnsi="Times New Roman" w:eastAsia="Times New Roman" w:cs="Times New Roman"/>
          <w:spacing w:val="16"/>
          <w:sz w:val="24"/>
          <w:szCs w:val="24"/>
        </w:rPr>
        <w:t xml:space="preserve"> </w:t>
      </w:r>
      <w:r>
        <w:rPr>
          <w:spacing w:val="-4"/>
          <w:sz w:val="24"/>
          <w:szCs w:val="24"/>
        </w:rPr>
        <w:t>月，随着夏季水温的上升，水流量的增大而逐渐开始</w:t>
      </w:r>
      <w:r>
        <w:rPr>
          <w:spacing w:val="-1"/>
          <w:sz w:val="24"/>
          <w:szCs w:val="24"/>
        </w:rPr>
        <w:t>繁殖，卵产于石砾之中。滇池金线鲃的平均</w:t>
      </w:r>
      <w:r>
        <w:rPr>
          <w:spacing w:val="-2"/>
          <w:sz w:val="24"/>
          <w:szCs w:val="24"/>
        </w:rPr>
        <w:t>产卵量为（</w:t>
      </w:r>
      <w:r>
        <w:rPr>
          <w:rFonts w:ascii="Times New Roman" w:hAnsi="Times New Roman" w:eastAsia="Times New Roman" w:cs="Times New Roman"/>
          <w:spacing w:val="-2"/>
          <w:sz w:val="24"/>
          <w:szCs w:val="24"/>
        </w:rPr>
        <w:t>2118.4±899.</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w:t>
      </w:r>
      <w:r>
        <w:rPr>
          <w:spacing w:val="-2"/>
          <w:sz w:val="24"/>
          <w:szCs w:val="24"/>
        </w:rPr>
        <w:t>）粒。产卵量</w:t>
      </w:r>
      <w:r>
        <w:rPr>
          <w:spacing w:val="-4"/>
          <w:sz w:val="24"/>
          <w:szCs w:val="24"/>
        </w:rPr>
        <w:t>有随着体长增加而增加的趋势。卵的大小与胚胎存活相关，在胚胎发育的前两天，</w:t>
      </w:r>
      <w:r>
        <w:rPr>
          <w:spacing w:val="-1"/>
          <w:sz w:val="24"/>
          <w:szCs w:val="24"/>
        </w:rPr>
        <w:t>不同批次胚胎的死亡呈现一种稳定的或低的死亡率，而后</w:t>
      </w:r>
      <w:r>
        <w:rPr>
          <w:spacing w:val="-48"/>
          <w:sz w:val="24"/>
          <w:szCs w:val="24"/>
        </w:rPr>
        <w:t xml:space="preserve"> </w:t>
      </w:r>
      <w:r>
        <w:rPr>
          <w:rFonts w:ascii="Times New Roman" w:hAnsi="Times New Roman" w:eastAsia="Times New Roman" w:cs="Times New Roman"/>
          <w:spacing w:val="-1"/>
          <w:sz w:val="24"/>
          <w:szCs w:val="24"/>
        </w:rPr>
        <w:t>5~7d</w:t>
      </w:r>
      <w:r>
        <w:rPr>
          <w:rFonts w:ascii="Times New Roman" w:hAnsi="Times New Roman" w:eastAsia="Times New Roman" w:cs="Times New Roman"/>
          <w:spacing w:val="-2"/>
          <w:sz w:val="24"/>
          <w:szCs w:val="24"/>
        </w:rPr>
        <w:t xml:space="preserve"> </w:t>
      </w:r>
      <w:r>
        <w:rPr>
          <w:spacing w:val="-2"/>
          <w:sz w:val="24"/>
          <w:szCs w:val="24"/>
        </w:rPr>
        <w:t>不同大小的卵呈现</w:t>
      </w:r>
    </w:p>
    <w:p w14:paraId="5E0B2C27">
      <w:pPr>
        <w:spacing w:line="340" w:lineRule="auto"/>
        <w:rPr>
          <w:sz w:val="24"/>
          <w:szCs w:val="24"/>
        </w:rPr>
        <w:sectPr>
          <w:headerReference r:id="rId225" w:type="default"/>
          <w:footerReference r:id="rId226" w:type="default"/>
          <w:pgSz w:w="11907" w:h="16839"/>
          <w:pgMar w:top="1376" w:right="1614" w:bottom="1061" w:left="1671" w:header="999" w:footer="861" w:gutter="0"/>
          <w:cols w:space="720" w:num="1"/>
        </w:sectPr>
      </w:pPr>
    </w:p>
    <w:p w14:paraId="228B1E5F">
      <w:pPr>
        <w:spacing w:line="453" w:lineRule="auto"/>
        <w:rPr>
          <w:rFonts w:ascii="Arial"/>
          <w:sz w:val="21"/>
        </w:rPr>
      </w:pPr>
    </w:p>
    <w:p w14:paraId="3B863AAA">
      <w:pPr>
        <w:pStyle w:val="2"/>
        <w:spacing w:before="78" w:line="338" w:lineRule="auto"/>
        <w:ind w:left="40" w:right="65" w:firstLine="2"/>
        <w:jc w:val="both"/>
        <w:rPr>
          <w:sz w:val="24"/>
          <w:szCs w:val="24"/>
        </w:rPr>
      </w:pPr>
      <w:r>
        <w:rPr>
          <w:spacing w:val="-1"/>
          <w:sz w:val="24"/>
          <w:szCs w:val="24"/>
        </w:rPr>
        <w:t>不同的死亡率，即小的卵具有更高的死亡率，而卵径＞</w:t>
      </w:r>
      <w:r>
        <w:rPr>
          <w:rFonts w:ascii="Times New Roman" w:hAnsi="Times New Roman" w:eastAsia="Times New Roman" w:cs="Times New Roman"/>
          <w:spacing w:val="-1"/>
          <w:sz w:val="24"/>
          <w:szCs w:val="24"/>
        </w:rPr>
        <w:t>2.0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mm</w:t>
      </w:r>
      <w:r>
        <w:rPr>
          <w:rFonts w:ascii="Times New Roman" w:hAnsi="Times New Roman" w:eastAsia="Times New Roman" w:cs="Times New Roman"/>
          <w:spacing w:val="29"/>
          <w:sz w:val="24"/>
          <w:szCs w:val="24"/>
        </w:rPr>
        <w:t xml:space="preserve"> </w:t>
      </w:r>
      <w:r>
        <w:rPr>
          <w:spacing w:val="-2"/>
          <w:sz w:val="24"/>
          <w:szCs w:val="24"/>
        </w:rPr>
        <w:t>的胚胎死亡率趋于</w:t>
      </w:r>
      <w:r>
        <w:rPr>
          <w:spacing w:val="-4"/>
          <w:sz w:val="24"/>
          <w:szCs w:val="24"/>
        </w:rPr>
        <w:t>稳定；大的卵有更高的生存潜力，能保证仔鱼开口前继续完善身体器官</w:t>
      </w:r>
      <w:r>
        <w:rPr>
          <w:spacing w:val="-5"/>
          <w:sz w:val="24"/>
          <w:szCs w:val="24"/>
        </w:rPr>
        <w:t>的形成或发生所需要的能量。</w:t>
      </w:r>
    </w:p>
    <w:p w14:paraId="0E64B685">
      <w:pPr>
        <w:pStyle w:val="2"/>
        <w:spacing w:before="3"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）特有鱼类</w:t>
      </w:r>
    </w:p>
    <w:p w14:paraId="1A8B3184">
      <w:pPr>
        <w:pStyle w:val="2"/>
        <w:spacing w:before="136" w:line="219" w:lineRule="auto"/>
        <w:ind w:left="520"/>
        <w:rPr>
          <w:sz w:val="24"/>
          <w:szCs w:val="24"/>
        </w:rPr>
      </w:pPr>
      <w:r>
        <w:rPr>
          <w:spacing w:val="-3"/>
          <w:sz w:val="24"/>
          <w:szCs w:val="24"/>
        </w:rPr>
        <w:t>监测区未发现仅在该流域内分布的鱼类。</w:t>
      </w:r>
    </w:p>
    <w:p w14:paraId="10CC9D40">
      <w:pPr>
        <w:pStyle w:val="2"/>
        <w:spacing w:before="156"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）主要经济鱼类</w:t>
      </w:r>
    </w:p>
    <w:p w14:paraId="4378D719">
      <w:pPr>
        <w:pStyle w:val="2"/>
        <w:spacing w:before="135" w:line="335" w:lineRule="auto"/>
        <w:ind w:left="35" w:right="64" w:firstLine="484"/>
        <w:jc w:val="both"/>
        <w:rPr>
          <w:sz w:val="24"/>
          <w:szCs w:val="24"/>
        </w:rPr>
      </w:pPr>
      <w:r>
        <w:rPr>
          <w:spacing w:val="-8"/>
          <w:sz w:val="24"/>
          <w:szCs w:val="24"/>
        </w:rPr>
        <w:t>监测区鱼类大致分为两个类型，一是个体较大、渔业价值高的种类， 如：鲫鱼</w:t>
      </w:r>
      <w:r>
        <w:rPr>
          <w:rFonts w:ascii="Times New Roman" w:hAnsi="Times New Roman" w:eastAsia="Times New Roman" w:cs="Times New Roman"/>
          <w:i/>
          <w:iCs/>
          <w:spacing w:val="-4"/>
          <w:sz w:val="24"/>
          <w:szCs w:val="24"/>
        </w:rPr>
        <w:t>Cyprinus auratus auratus</w:t>
      </w:r>
      <w:r>
        <w:rPr>
          <w:spacing w:val="-4"/>
          <w:sz w:val="24"/>
          <w:szCs w:val="24"/>
        </w:rPr>
        <w:t>、鲤鱼</w:t>
      </w:r>
      <w:r>
        <w:rPr>
          <w:spacing w:val="-30"/>
          <w:sz w:val="24"/>
          <w:szCs w:val="24"/>
        </w:rPr>
        <w:t xml:space="preserve"> </w:t>
      </w:r>
      <w:r>
        <w:rPr>
          <w:rFonts w:ascii="Times New Roman" w:hAnsi="Times New Roman" w:eastAsia="Times New Roman" w:cs="Times New Roman"/>
          <w:i/>
          <w:iCs/>
          <w:spacing w:val="-4"/>
          <w:sz w:val="24"/>
          <w:szCs w:val="24"/>
        </w:rPr>
        <w:t>Cyprinus carpio chilia</w:t>
      </w:r>
      <w:r>
        <w:rPr>
          <w:spacing w:val="-4"/>
          <w:sz w:val="24"/>
          <w:szCs w:val="24"/>
        </w:rPr>
        <w:t>、草鱼</w:t>
      </w:r>
      <w:r>
        <w:rPr>
          <w:spacing w:val="-41"/>
          <w:sz w:val="24"/>
          <w:szCs w:val="24"/>
        </w:rPr>
        <w:t xml:space="preserve"> </w:t>
      </w:r>
      <w:r>
        <w:rPr>
          <w:rFonts w:ascii="Times New Roman" w:hAnsi="Times New Roman" w:eastAsia="Times New Roman" w:cs="Times New Roman"/>
          <w:i/>
          <w:iCs/>
          <w:spacing w:val="-4"/>
          <w:sz w:val="24"/>
          <w:szCs w:val="24"/>
        </w:rPr>
        <w:t>Ctenopharyngodon idellus</w:t>
      </w:r>
      <w:r>
        <w:rPr>
          <w:spacing w:val="22"/>
          <w:sz w:val="24"/>
          <w:szCs w:val="24"/>
        </w:rPr>
        <w:t>等；二是个体虽小，但数量多，能占有市场的</w:t>
      </w:r>
      <w:r>
        <w:rPr>
          <w:spacing w:val="21"/>
          <w:sz w:val="24"/>
          <w:szCs w:val="24"/>
        </w:rPr>
        <w:t xml:space="preserve">一定份额，如泥鳅 </w:t>
      </w:r>
      <w:r>
        <w:rPr>
          <w:rFonts w:ascii="Times New Roman" w:hAnsi="Times New Roman" w:eastAsia="Times New Roman" w:cs="Times New Roman"/>
          <w:i/>
          <w:iCs/>
          <w:sz w:val="24"/>
          <w:szCs w:val="24"/>
        </w:rPr>
        <w:t>Misgurnus anguillicaudatus</w:t>
      </w:r>
      <w:r>
        <w:rPr>
          <w:spacing w:val="5"/>
          <w:sz w:val="24"/>
          <w:szCs w:val="24"/>
        </w:rPr>
        <w:t>、横纹南鳅</w:t>
      </w:r>
      <w:r>
        <w:rPr>
          <w:spacing w:val="-58"/>
          <w:sz w:val="24"/>
          <w:szCs w:val="24"/>
        </w:rPr>
        <w:t xml:space="preserve"> </w:t>
      </w:r>
      <w:r>
        <w:rPr>
          <w:rFonts w:ascii="Times New Roman" w:hAnsi="Times New Roman" w:eastAsia="Times New Roman" w:cs="Times New Roman"/>
          <w:i/>
          <w:iCs/>
          <w:sz w:val="24"/>
          <w:szCs w:val="24"/>
        </w:rPr>
        <w:t>Schisturafasciolata</w:t>
      </w:r>
      <w:r>
        <w:rPr>
          <w:rFonts w:ascii="Times New Roman" w:hAnsi="Times New Roman" w:eastAsia="Times New Roman" w:cs="Times New Roman"/>
          <w:i/>
          <w:iCs/>
          <w:spacing w:val="5"/>
          <w:sz w:val="24"/>
          <w:szCs w:val="24"/>
        </w:rPr>
        <w:t xml:space="preserve"> </w:t>
      </w:r>
      <w:r>
        <w:rPr>
          <w:spacing w:val="5"/>
          <w:sz w:val="24"/>
          <w:szCs w:val="24"/>
        </w:rPr>
        <w:t>等。</w:t>
      </w:r>
    </w:p>
    <w:p w14:paraId="5446DC05">
      <w:pPr>
        <w:pStyle w:val="2"/>
        <w:spacing w:before="22" w:line="338" w:lineRule="auto"/>
        <w:ind w:left="38" w:right="64" w:firstLine="483"/>
        <w:jc w:val="both"/>
        <w:rPr>
          <w:sz w:val="24"/>
          <w:szCs w:val="24"/>
        </w:rPr>
      </w:pPr>
      <w:r>
        <w:rPr>
          <w:spacing w:val="-1"/>
          <w:sz w:val="24"/>
          <w:szCs w:val="24"/>
        </w:rPr>
        <w:t>综上所述，监测区发现的</w:t>
      </w:r>
      <w:r>
        <w:rPr>
          <w:spacing w:val="-55"/>
          <w:sz w:val="24"/>
          <w:szCs w:val="24"/>
        </w:rPr>
        <w:t xml:space="preserve"> </w:t>
      </w:r>
      <w:r>
        <w:rPr>
          <w:rFonts w:ascii="Times New Roman" w:hAnsi="Times New Roman" w:eastAsia="Times New Roman" w:cs="Times New Roman"/>
          <w:spacing w:val="-1"/>
          <w:sz w:val="24"/>
          <w:szCs w:val="24"/>
        </w:rPr>
        <w:t xml:space="preserve">24 </w:t>
      </w:r>
      <w:r>
        <w:rPr>
          <w:spacing w:val="-1"/>
          <w:sz w:val="24"/>
          <w:szCs w:val="24"/>
        </w:rPr>
        <w:t>种鱼类只有滇池金线鲃为国家二级保护鱼类，也</w:t>
      </w:r>
      <w:r>
        <w:rPr>
          <w:spacing w:val="-4"/>
          <w:sz w:val="24"/>
          <w:szCs w:val="24"/>
        </w:rPr>
        <w:t>被列入《中国濒危动物红皮书》。项目建设对水文的影响主要体现在河段流量、流速的变化，对鱼类多样性的影响将以负面为主，可能导致该流域土著种种群数</w:t>
      </w:r>
      <w:r>
        <w:rPr>
          <w:spacing w:val="-5"/>
          <w:sz w:val="24"/>
          <w:szCs w:val="24"/>
        </w:rPr>
        <w:t>量减</w:t>
      </w:r>
      <w:r>
        <w:rPr>
          <w:spacing w:val="-3"/>
          <w:sz w:val="24"/>
          <w:szCs w:val="24"/>
        </w:rPr>
        <w:t>少，但不至于造成各物种的消失和灭绝。</w:t>
      </w:r>
    </w:p>
    <w:p w14:paraId="105FB00D">
      <w:pPr>
        <w:pStyle w:val="2"/>
        <w:spacing w:before="1"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5</w:t>
      </w:r>
      <w:r>
        <w:rPr>
          <w:b/>
          <w:bCs/>
          <w:spacing w:val="-3"/>
          <w:sz w:val="24"/>
          <w:szCs w:val="24"/>
        </w:rPr>
        <w:t>）鱼类的产卵场、索饵场和越冬场</w:t>
      </w:r>
    </w:p>
    <w:p w14:paraId="300808D9">
      <w:pPr>
        <w:pStyle w:val="2"/>
        <w:spacing w:before="136" w:line="331" w:lineRule="auto"/>
        <w:ind w:left="58" w:firstLine="464"/>
        <w:rPr>
          <w:sz w:val="24"/>
          <w:szCs w:val="24"/>
        </w:rPr>
      </w:pPr>
      <w:r>
        <w:rPr>
          <w:spacing w:val="-2"/>
          <w:sz w:val="24"/>
          <w:szCs w:val="24"/>
        </w:rPr>
        <w:t>从施工期调查结果看，评价河段未发现洄游性鱼类。调查有土著</w:t>
      </w:r>
      <w:r>
        <w:rPr>
          <w:spacing w:val="-3"/>
          <w:sz w:val="24"/>
          <w:szCs w:val="24"/>
        </w:rPr>
        <w:t xml:space="preserve">鱼类 </w:t>
      </w:r>
      <w:r>
        <w:rPr>
          <w:rFonts w:ascii="Times New Roman" w:hAnsi="Times New Roman" w:eastAsia="Times New Roman" w:cs="Times New Roman"/>
          <w:spacing w:val="-3"/>
          <w:sz w:val="24"/>
          <w:szCs w:val="24"/>
        </w:rPr>
        <w:t xml:space="preserve">20  </w:t>
      </w:r>
      <w:r>
        <w:rPr>
          <w:spacing w:val="-3"/>
          <w:sz w:val="24"/>
          <w:szCs w:val="24"/>
        </w:rPr>
        <w:t>种，</w:t>
      </w:r>
      <w:r>
        <w:rPr>
          <w:spacing w:val="-4"/>
          <w:sz w:val="24"/>
          <w:szCs w:val="24"/>
        </w:rPr>
        <w:t>因此重点调查了土著鱼类的“三场</w:t>
      </w:r>
      <w:r>
        <w:rPr>
          <w:spacing w:val="-81"/>
          <w:sz w:val="24"/>
          <w:szCs w:val="24"/>
        </w:rPr>
        <w:t xml:space="preserve"> </w:t>
      </w:r>
      <w:r>
        <w:rPr>
          <w:spacing w:val="-4"/>
          <w:sz w:val="24"/>
          <w:szCs w:val="24"/>
        </w:rPr>
        <w:t>”。</w:t>
      </w:r>
    </w:p>
    <w:p w14:paraId="207A1957">
      <w:pPr>
        <w:pStyle w:val="2"/>
        <w:spacing w:before="20" w:line="217" w:lineRule="auto"/>
        <w:ind w:left="518"/>
        <w:rPr>
          <w:sz w:val="24"/>
          <w:szCs w:val="24"/>
        </w:rPr>
      </w:pPr>
      <w:r>
        <w:rPr>
          <w:spacing w:val="-3"/>
          <w:sz w:val="24"/>
          <w:szCs w:val="24"/>
        </w:rPr>
        <w:t>①产卵场</w:t>
      </w:r>
    </w:p>
    <w:p w14:paraId="4CDCD712">
      <w:pPr>
        <w:pStyle w:val="2"/>
        <w:spacing w:before="155" w:line="339" w:lineRule="auto"/>
        <w:ind w:left="39" w:right="64" w:firstLine="487"/>
        <w:rPr>
          <w:sz w:val="24"/>
          <w:szCs w:val="24"/>
        </w:rPr>
      </w:pPr>
      <w:r>
        <w:rPr>
          <w:spacing w:val="-5"/>
          <w:sz w:val="24"/>
          <w:szCs w:val="24"/>
        </w:rPr>
        <w:t>马龙河土著鱼类中，没有典型的产漂流性卵的鱼类，均为定居性种类。这些鱼</w:t>
      </w:r>
      <w:r>
        <w:rPr>
          <w:spacing w:val="-7"/>
          <w:sz w:val="24"/>
          <w:szCs w:val="24"/>
        </w:rPr>
        <w:t>类产粘性卵和沉性卵，产粘性卵的鱼类有鲫、鲤、麦穗鱼和棒花鱼等，</w:t>
      </w:r>
      <w:r>
        <w:rPr>
          <w:spacing w:val="-8"/>
          <w:sz w:val="24"/>
          <w:szCs w:val="24"/>
        </w:rPr>
        <w:t xml:space="preserve"> 其产卵水域</w:t>
      </w:r>
      <w:r>
        <w:rPr>
          <w:spacing w:val="3"/>
          <w:sz w:val="24"/>
          <w:szCs w:val="24"/>
        </w:rPr>
        <w:t>多位于水草丰富的静水水域或有水流的浅滩河段；产</w:t>
      </w:r>
      <w:r>
        <w:rPr>
          <w:spacing w:val="2"/>
          <w:sz w:val="24"/>
          <w:szCs w:val="24"/>
        </w:rPr>
        <w:t>沉性卵鱼类其产卵水域多位</w:t>
      </w:r>
      <w:r>
        <w:rPr>
          <w:spacing w:val="-4"/>
          <w:sz w:val="24"/>
          <w:szCs w:val="24"/>
        </w:rPr>
        <w:t>于水质清新的浅滩石砾之间。</w:t>
      </w:r>
    </w:p>
    <w:p w14:paraId="407CD68F">
      <w:pPr>
        <w:pStyle w:val="2"/>
        <w:spacing w:before="2" w:line="338" w:lineRule="auto"/>
        <w:ind w:left="37" w:right="64" w:firstLine="480"/>
        <w:jc w:val="both"/>
        <w:rPr>
          <w:sz w:val="24"/>
          <w:szCs w:val="24"/>
        </w:rPr>
      </w:pPr>
      <w:r>
        <w:rPr>
          <w:spacing w:val="-4"/>
          <w:sz w:val="24"/>
          <w:szCs w:val="24"/>
        </w:rPr>
        <w:t>在调查水域均有鱼类完成整个生命史的条件，评价河</w:t>
      </w:r>
      <w:r>
        <w:rPr>
          <w:spacing w:val="-5"/>
          <w:sz w:val="24"/>
          <w:szCs w:val="24"/>
        </w:rPr>
        <w:t>段处于亚热带南缘，海拔</w:t>
      </w:r>
      <w:r>
        <w:rPr>
          <w:rFonts w:ascii="Times New Roman" w:hAnsi="Times New Roman" w:eastAsia="Times New Roman" w:cs="Times New Roman"/>
          <w:spacing w:val="1"/>
          <w:sz w:val="24"/>
          <w:szCs w:val="24"/>
        </w:rPr>
        <w:t>1500~2000m</w:t>
      </w:r>
      <w:r>
        <w:rPr>
          <w:spacing w:val="1"/>
          <w:sz w:val="24"/>
          <w:szCs w:val="24"/>
        </w:rPr>
        <w:t>，水体冬季基本不会</w:t>
      </w:r>
      <w:r>
        <w:rPr>
          <w:sz w:val="24"/>
          <w:szCs w:val="24"/>
        </w:rPr>
        <w:t>结冰。当水温下降，水位降低，水量减少，鱼类</w:t>
      </w:r>
      <w:r>
        <w:rPr>
          <w:spacing w:val="-4"/>
          <w:sz w:val="24"/>
          <w:szCs w:val="24"/>
        </w:rPr>
        <w:t>进入深水中越冬；随着春季水温回升，水位上涨，越冬鱼类进入卵石滩或沿岸</w:t>
      </w:r>
      <w:r>
        <w:rPr>
          <w:spacing w:val="-5"/>
          <w:sz w:val="24"/>
          <w:szCs w:val="24"/>
        </w:rPr>
        <w:t>带浅</w:t>
      </w:r>
      <w:r>
        <w:rPr>
          <w:spacing w:val="-4"/>
          <w:sz w:val="24"/>
          <w:szCs w:val="24"/>
        </w:rPr>
        <w:t>水区索饵肥育；繁殖季节来临，达到繁殖水温，遇到合适的水文条件，繁殖亲鱼就</w:t>
      </w:r>
      <w:r>
        <w:rPr>
          <w:spacing w:val="-6"/>
          <w:sz w:val="24"/>
          <w:szCs w:val="24"/>
        </w:rPr>
        <w:t>近在合适的砾石滩、洲滩草丛产卵繁殖，</w:t>
      </w:r>
      <w:r>
        <w:rPr>
          <w:spacing w:val="-46"/>
          <w:sz w:val="24"/>
          <w:szCs w:val="24"/>
        </w:rPr>
        <w:t xml:space="preserve"> </w:t>
      </w:r>
      <w:r>
        <w:rPr>
          <w:spacing w:val="-6"/>
          <w:sz w:val="24"/>
          <w:szCs w:val="24"/>
        </w:rPr>
        <w:t>孵化出幼鱼后，随水漂流至河流</w:t>
      </w:r>
      <w:r>
        <w:rPr>
          <w:spacing w:val="-7"/>
          <w:sz w:val="24"/>
          <w:szCs w:val="24"/>
        </w:rPr>
        <w:t>洄水区等</w:t>
      </w:r>
      <w:r>
        <w:rPr>
          <w:spacing w:val="-3"/>
          <w:sz w:val="24"/>
          <w:szCs w:val="24"/>
        </w:rPr>
        <w:t>缓流区索饵肥育，从而完成整个生命史。</w:t>
      </w:r>
    </w:p>
    <w:p w14:paraId="476F58D1">
      <w:pPr>
        <w:pStyle w:val="2"/>
        <w:spacing w:before="2" w:line="350" w:lineRule="auto"/>
        <w:ind w:left="39" w:right="66" w:firstLine="487"/>
        <w:rPr>
          <w:sz w:val="24"/>
          <w:szCs w:val="24"/>
        </w:rPr>
      </w:pPr>
      <w:r>
        <w:rPr>
          <w:spacing w:val="-5"/>
          <w:sz w:val="24"/>
          <w:szCs w:val="24"/>
        </w:rPr>
        <w:t>马龙河的土著鱼类多为小型鱼类，对繁殖环境要求不高，河段具有的浅滩、洲</w:t>
      </w:r>
      <w:r>
        <w:rPr>
          <w:spacing w:val="-1"/>
          <w:sz w:val="24"/>
          <w:szCs w:val="24"/>
        </w:rPr>
        <w:t>滩、草丛都可以成为繁殖产卵的场所。只要温度允许，在水深</w:t>
      </w:r>
      <w:r>
        <w:rPr>
          <w:spacing w:val="-34"/>
          <w:sz w:val="24"/>
          <w:szCs w:val="24"/>
        </w:rPr>
        <w:t xml:space="preserve"> </w:t>
      </w:r>
      <w:r>
        <w:rPr>
          <w:rFonts w:ascii="Times New Roman" w:hAnsi="Times New Roman" w:eastAsia="Times New Roman" w:cs="Times New Roman"/>
          <w:spacing w:val="-1"/>
          <w:sz w:val="24"/>
          <w:szCs w:val="24"/>
        </w:rPr>
        <w:t>20~50</w:t>
      </w:r>
      <w:r>
        <w:rPr>
          <w:rFonts w:ascii="Times New Roman" w:hAnsi="Times New Roman" w:eastAsia="Times New Roman" w:cs="Times New Roman"/>
          <w:spacing w:val="-2"/>
          <w:sz w:val="24"/>
          <w:szCs w:val="24"/>
        </w:rPr>
        <w:t>cm</w:t>
      </w:r>
      <w:r>
        <w:rPr>
          <w:rFonts w:ascii="Times New Roman" w:hAnsi="Times New Roman" w:eastAsia="Times New Roman" w:cs="Times New Roman"/>
          <w:spacing w:val="48"/>
          <w:sz w:val="24"/>
          <w:szCs w:val="24"/>
        </w:rPr>
        <w:t xml:space="preserve"> </w:t>
      </w:r>
      <w:r>
        <w:rPr>
          <w:spacing w:val="-2"/>
          <w:sz w:val="24"/>
          <w:szCs w:val="24"/>
        </w:rPr>
        <w:t>的浅小水</w:t>
      </w:r>
    </w:p>
    <w:p w14:paraId="2E99A7CE">
      <w:pPr>
        <w:spacing w:line="350" w:lineRule="auto"/>
        <w:rPr>
          <w:sz w:val="24"/>
          <w:szCs w:val="24"/>
        </w:rPr>
        <w:sectPr>
          <w:headerReference r:id="rId227" w:type="default"/>
          <w:footerReference r:id="rId228" w:type="default"/>
          <w:pgSz w:w="11907" w:h="16839"/>
          <w:pgMar w:top="1376" w:right="1633" w:bottom="1061" w:left="1671" w:header="999" w:footer="861" w:gutter="0"/>
          <w:cols w:space="720" w:num="1"/>
        </w:sectPr>
      </w:pPr>
    </w:p>
    <w:p w14:paraId="074AFA6D">
      <w:pPr>
        <w:spacing w:line="456" w:lineRule="auto"/>
        <w:rPr>
          <w:rFonts w:ascii="Arial"/>
          <w:sz w:val="21"/>
        </w:rPr>
      </w:pPr>
    </w:p>
    <w:p w14:paraId="33A98F73">
      <w:pPr>
        <w:pStyle w:val="2"/>
        <w:spacing w:before="78" w:line="314" w:lineRule="auto"/>
        <w:ind w:left="38" w:right="67"/>
        <w:jc w:val="both"/>
        <w:rPr>
          <w:sz w:val="24"/>
          <w:szCs w:val="24"/>
        </w:rPr>
      </w:pPr>
      <w:r>
        <w:rPr>
          <w:spacing w:val="-6"/>
          <w:sz w:val="24"/>
          <w:szCs w:val="24"/>
        </w:rPr>
        <w:t>体均可以完成产卵。马龙河平均流量较小，</w:t>
      </w:r>
      <w:r>
        <w:rPr>
          <w:spacing w:val="-46"/>
          <w:sz w:val="24"/>
          <w:szCs w:val="24"/>
        </w:rPr>
        <w:t xml:space="preserve"> </w:t>
      </w:r>
      <w:r>
        <w:rPr>
          <w:spacing w:val="-6"/>
          <w:sz w:val="24"/>
          <w:szCs w:val="24"/>
        </w:rPr>
        <w:t>流量受雨季影响变化较大</w:t>
      </w:r>
      <w:r>
        <w:rPr>
          <w:spacing w:val="-7"/>
          <w:sz w:val="24"/>
          <w:szCs w:val="24"/>
        </w:rPr>
        <w:t>，上述产卵场</w:t>
      </w:r>
      <w:r>
        <w:rPr>
          <w:spacing w:val="-10"/>
          <w:sz w:val="24"/>
          <w:szCs w:val="24"/>
        </w:rPr>
        <w:t>所的位置、大小也不是固定的， 常随马龙河水位变动而发生相应变化。因</w:t>
      </w:r>
      <w:r>
        <w:rPr>
          <w:spacing w:val="-11"/>
          <w:sz w:val="24"/>
          <w:szCs w:val="24"/>
        </w:rPr>
        <w:t>此， 马龙</w:t>
      </w:r>
      <w:r>
        <w:rPr>
          <w:spacing w:val="3"/>
          <w:sz w:val="24"/>
          <w:szCs w:val="24"/>
        </w:rPr>
        <w:t>河的鱼类产卵场规模都比较小且分散，相对</w:t>
      </w:r>
      <w:r>
        <w:rPr>
          <w:spacing w:val="2"/>
          <w:sz w:val="24"/>
          <w:szCs w:val="24"/>
        </w:rPr>
        <w:t>较大的产卵场多分布在支流汇入口等</w:t>
      </w:r>
      <w:r>
        <w:rPr>
          <w:spacing w:val="-3"/>
          <w:sz w:val="24"/>
          <w:szCs w:val="24"/>
        </w:rPr>
        <w:t>处，而且支流汇口也是鱼类分布较多的区域。</w:t>
      </w:r>
    </w:p>
    <w:p w14:paraId="58543196">
      <w:pPr>
        <w:spacing w:line="314" w:lineRule="auto"/>
        <w:rPr>
          <w:sz w:val="24"/>
          <w:szCs w:val="24"/>
        </w:rPr>
        <w:sectPr>
          <w:headerReference r:id="rId229" w:type="default"/>
          <w:footerReference r:id="rId230" w:type="default"/>
          <w:pgSz w:w="11907" w:h="16839"/>
          <w:pgMar w:top="1376" w:right="1632" w:bottom="1061" w:left="1671" w:header="999" w:footer="861" w:gutter="0"/>
          <w:cols w:equalWidth="0" w:num="1">
            <w:col w:w="8602"/>
          </w:cols>
        </w:sectPr>
      </w:pPr>
    </w:p>
    <w:p w14:paraId="49D48915">
      <w:pPr>
        <w:spacing w:line="2742" w:lineRule="exact"/>
        <w:ind w:firstLine="104"/>
      </w:pPr>
      <w:r>
        <w:rPr>
          <w:position w:val="-54"/>
        </w:rPr>
        <w:drawing>
          <wp:inline distT="0" distB="0" distL="0" distR="0">
            <wp:extent cx="2604135" cy="1741170"/>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420"/>
                    <a:stretch>
                      <a:fillRect/>
                    </a:stretch>
                  </pic:blipFill>
                  <pic:spPr>
                    <a:xfrm>
                      <a:off x="0" y="0"/>
                      <a:ext cx="2604135" cy="1741551"/>
                    </a:xfrm>
                    <a:prstGeom prst="rect">
                      <a:avLst/>
                    </a:prstGeom>
                  </pic:spPr>
                </pic:pic>
              </a:graphicData>
            </a:graphic>
          </wp:inline>
        </w:drawing>
      </w:r>
    </w:p>
    <w:p w14:paraId="1F6A083E">
      <w:pPr>
        <w:pStyle w:val="2"/>
        <w:spacing w:before="194" w:line="220" w:lineRule="auto"/>
        <w:ind w:left="1534"/>
        <w:rPr>
          <w:sz w:val="21"/>
          <w:szCs w:val="21"/>
        </w:rPr>
      </w:pPr>
      <w:r>
        <w:rPr>
          <w:b/>
          <w:bCs/>
          <w:spacing w:val="-4"/>
          <w:sz w:val="21"/>
          <w:szCs w:val="21"/>
        </w:rPr>
        <w:t>鱼类生境照片</w:t>
      </w:r>
    </w:p>
    <w:p w14:paraId="695DEBDD">
      <w:pPr>
        <w:spacing w:line="23" w:lineRule="auto"/>
        <w:rPr>
          <w:rFonts w:ascii="Arial"/>
          <w:sz w:val="2"/>
        </w:rPr>
      </w:pPr>
    </w:p>
    <w:p w14:paraId="344A107A">
      <w:pPr>
        <w:spacing w:line="14" w:lineRule="auto"/>
        <w:rPr>
          <w:rFonts w:ascii="Arial"/>
          <w:sz w:val="2"/>
        </w:rPr>
      </w:pPr>
      <w:r>
        <w:rPr>
          <w:rFonts w:ascii="Arial" w:hAnsi="Arial" w:eastAsia="Arial" w:cs="Arial"/>
          <w:sz w:val="2"/>
          <w:szCs w:val="2"/>
        </w:rPr>
        <w:br w:type="column"/>
      </w:r>
    </w:p>
    <w:p w14:paraId="093FD00E">
      <w:pPr>
        <w:spacing w:line="2741" w:lineRule="exact"/>
      </w:pPr>
      <w:r>
        <w:rPr>
          <w:position w:val="-54"/>
        </w:rPr>
        <w:drawing>
          <wp:inline distT="0" distB="0" distL="0" distR="0">
            <wp:extent cx="2604135" cy="174053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421"/>
                    <a:stretch>
                      <a:fillRect/>
                    </a:stretch>
                  </pic:blipFill>
                  <pic:spPr>
                    <a:xfrm>
                      <a:off x="0" y="0"/>
                      <a:ext cx="2604135" cy="1740675"/>
                    </a:xfrm>
                    <a:prstGeom prst="rect">
                      <a:avLst/>
                    </a:prstGeom>
                  </pic:spPr>
                </pic:pic>
              </a:graphicData>
            </a:graphic>
          </wp:inline>
        </w:drawing>
      </w:r>
    </w:p>
    <w:p w14:paraId="79EDCC1B">
      <w:pPr>
        <w:pStyle w:val="2"/>
        <w:spacing w:before="194" w:line="220" w:lineRule="auto"/>
        <w:ind w:left="1429"/>
        <w:rPr>
          <w:sz w:val="21"/>
          <w:szCs w:val="21"/>
        </w:rPr>
      </w:pPr>
      <w:r>
        <w:rPr>
          <w:b/>
          <w:bCs/>
          <w:spacing w:val="-4"/>
          <w:sz w:val="21"/>
          <w:szCs w:val="21"/>
        </w:rPr>
        <w:t>鱼类生境照片</w:t>
      </w:r>
    </w:p>
    <w:p w14:paraId="6912B33A">
      <w:pPr>
        <w:spacing w:line="220" w:lineRule="auto"/>
        <w:rPr>
          <w:sz w:val="21"/>
          <w:szCs w:val="21"/>
        </w:rPr>
        <w:sectPr>
          <w:type w:val="continuous"/>
          <w:pgSz w:w="11907" w:h="16839"/>
          <w:pgMar w:top="1376" w:right="1632" w:bottom="1061" w:left="1671" w:header="999" w:footer="861" w:gutter="0"/>
          <w:cols w:equalWidth="0" w:num="2">
            <w:col w:w="4256" w:space="100"/>
            <w:col w:w="4246"/>
          </w:cols>
        </w:sectPr>
      </w:pPr>
    </w:p>
    <w:p w14:paraId="7A87AF29">
      <w:pPr>
        <w:pStyle w:val="2"/>
        <w:spacing w:before="160" w:line="233" w:lineRule="auto"/>
        <w:ind w:left="2347"/>
        <w:rPr>
          <w:sz w:val="24"/>
          <w:szCs w:val="24"/>
        </w:rPr>
      </w:pPr>
      <w:r>
        <w:rPr>
          <w:b/>
          <w:bCs/>
          <w:spacing w:val="-3"/>
          <w:sz w:val="24"/>
          <w:szCs w:val="24"/>
        </w:rPr>
        <w:t>图</w:t>
      </w:r>
      <w:r>
        <w:rPr>
          <w:spacing w:val="-39"/>
          <w:sz w:val="24"/>
          <w:szCs w:val="24"/>
        </w:rPr>
        <w:t xml:space="preserve"> </w:t>
      </w:r>
      <w:r>
        <w:rPr>
          <w:rFonts w:ascii="Times New Roman" w:hAnsi="Times New Roman" w:eastAsia="Times New Roman" w:cs="Times New Roman"/>
          <w:b/>
          <w:bCs/>
          <w:spacing w:val="-3"/>
          <w:sz w:val="24"/>
          <w:szCs w:val="24"/>
        </w:rPr>
        <w:t xml:space="preserve">6.1-7        </w:t>
      </w:r>
      <w:r>
        <w:rPr>
          <w:b/>
          <w:bCs/>
          <w:spacing w:val="-3"/>
          <w:sz w:val="24"/>
          <w:szCs w:val="24"/>
        </w:rPr>
        <w:t>监测区鱼类生境现状照片</w:t>
      </w:r>
    </w:p>
    <w:p w14:paraId="09797132">
      <w:pPr>
        <w:pStyle w:val="2"/>
        <w:spacing w:before="275" w:line="217" w:lineRule="auto"/>
        <w:ind w:left="517"/>
        <w:rPr>
          <w:sz w:val="24"/>
          <w:szCs w:val="24"/>
        </w:rPr>
      </w:pPr>
      <w:r>
        <w:rPr>
          <w:spacing w:val="-2"/>
          <w:sz w:val="24"/>
          <w:szCs w:val="24"/>
        </w:rPr>
        <w:t>②索饵场</w:t>
      </w:r>
    </w:p>
    <w:p w14:paraId="1B156818">
      <w:pPr>
        <w:pStyle w:val="2"/>
        <w:spacing w:before="158" w:line="338" w:lineRule="auto"/>
        <w:ind w:left="40" w:firstLine="483"/>
        <w:rPr>
          <w:sz w:val="24"/>
          <w:szCs w:val="24"/>
        </w:rPr>
      </w:pPr>
      <w:r>
        <w:rPr>
          <w:spacing w:val="-2"/>
          <w:sz w:val="24"/>
          <w:szCs w:val="24"/>
        </w:rPr>
        <w:t>索饵场的环境基本特征是静水或微流水，水深</w:t>
      </w:r>
      <w:r>
        <w:rPr>
          <w:spacing w:val="-3"/>
          <w:sz w:val="24"/>
          <w:szCs w:val="24"/>
        </w:rPr>
        <w:t xml:space="preserve"> </w:t>
      </w:r>
      <w:r>
        <w:rPr>
          <w:rFonts w:ascii="Times New Roman" w:hAnsi="Times New Roman" w:eastAsia="Times New Roman" w:cs="Times New Roman"/>
          <w:spacing w:val="-3"/>
          <w:sz w:val="24"/>
          <w:szCs w:val="24"/>
        </w:rPr>
        <w:t>0</w:t>
      </w:r>
      <w:r>
        <w:rPr>
          <w:spacing w:val="-3"/>
          <w:sz w:val="24"/>
          <w:szCs w:val="24"/>
        </w:rPr>
        <w:t>～</w:t>
      </w:r>
      <w:r>
        <w:rPr>
          <w:rFonts w:ascii="Times New Roman" w:hAnsi="Times New Roman" w:eastAsia="Times New Roman" w:cs="Times New Roman"/>
          <w:spacing w:val="-3"/>
          <w:sz w:val="24"/>
          <w:szCs w:val="24"/>
        </w:rPr>
        <w:t>0.5m</w:t>
      </w:r>
      <w:r>
        <w:rPr>
          <w:spacing w:val="-3"/>
          <w:sz w:val="24"/>
          <w:szCs w:val="24"/>
        </w:rPr>
        <w:t>，其间有砾石、礁石，</w:t>
      </w:r>
      <w:r>
        <w:rPr>
          <w:spacing w:val="-7"/>
          <w:sz w:val="24"/>
          <w:szCs w:val="24"/>
        </w:rPr>
        <w:t>沙质岸边，这些地方形成较深的水坑、凼、凹岸浅水区、静水</w:t>
      </w:r>
      <w:r>
        <w:rPr>
          <w:spacing w:val="-8"/>
          <w:sz w:val="24"/>
          <w:szCs w:val="24"/>
        </w:rPr>
        <w:t>缓流区， 与干流深水</w:t>
      </w:r>
      <w:r>
        <w:rPr>
          <w:spacing w:val="-7"/>
          <w:sz w:val="24"/>
          <w:szCs w:val="24"/>
        </w:rPr>
        <w:t>处邻近，易于躲避敌害。同时， 这些地方小型鱼类饵料生物</w:t>
      </w:r>
      <w:r>
        <w:rPr>
          <w:spacing w:val="-8"/>
          <w:sz w:val="24"/>
          <w:szCs w:val="24"/>
        </w:rPr>
        <w:t>丰富，敌害生物少，有</w:t>
      </w:r>
      <w:r>
        <w:rPr>
          <w:spacing w:val="-1"/>
          <w:sz w:val="24"/>
          <w:szCs w:val="24"/>
        </w:rPr>
        <w:t>利于幼鱼生存。在整个评价河段及支流中，幼鱼常集</w:t>
      </w:r>
      <w:r>
        <w:rPr>
          <w:spacing w:val="-2"/>
          <w:sz w:val="24"/>
          <w:szCs w:val="24"/>
        </w:rPr>
        <w:t>群于岸边浅水区域索铒。</w:t>
      </w:r>
    </w:p>
    <w:p w14:paraId="04ABF75E">
      <w:pPr>
        <w:pStyle w:val="2"/>
        <w:spacing w:before="2" w:line="217" w:lineRule="auto"/>
        <w:ind w:left="517"/>
        <w:rPr>
          <w:sz w:val="24"/>
          <w:szCs w:val="24"/>
        </w:rPr>
      </w:pPr>
      <w:r>
        <w:rPr>
          <w:spacing w:val="-2"/>
          <w:sz w:val="24"/>
          <w:szCs w:val="24"/>
        </w:rPr>
        <w:t>③越冬场</w:t>
      </w:r>
    </w:p>
    <w:p w14:paraId="150B20DD">
      <w:pPr>
        <w:pStyle w:val="2"/>
        <w:spacing w:before="156" w:line="339" w:lineRule="auto"/>
        <w:ind w:left="39" w:right="66" w:firstLine="501"/>
        <w:rPr>
          <w:sz w:val="24"/>
          <w:szCs w:val="24"/>
        </w:rPr>
      </w:pPr>
      <w:r>
        <w:rPr>
          <w:spacing w:val="-5"/>
          <w:sz w:val="24"/>
          <w:szCs w:val="24"/>
        </w:rPr>
        <w:t>山地江河鱼类的越冬场，主要在江河的沱、槽、坑凼、回水或微流水或流水、</w:t>
      </w:r>
      <w:r>
        <w:rPr>
          <w:spacing w:val="-7"/>
          <w:sz w:val="24"/>
          <w:szCs w:val="24"/>
        </w:rPr>
        <w:t>水下岩洞、泉眼、地下河道及巨砾石、砾石间的洞缝隙， 并常随当年</w:t>
      </w:r>
      <w:r>
        <w:rPr>
          <w:spacing w:val="-8"/>
          <w:sz w:val="24"/>
          <w:szCs w:val="24"/>
        </w:rPr>
        <w:t>汛期的砾石堆</w:t>
      </w:r>
      <w:r>
        <w:rPr>
          <w:spacing w:val="-7"/>
          <w:sz w:val="24"/>
          <w:szCs w:val="24"/>
        </w:rPr>
        <w:t>积、河道改变、泥沙的淤积不同而有所改变。越冬场水体宽大而深，</w:t>
      </w:r>
      <w:r>
        <w:rPr>
          <w:spacing w:val="-13"/>
          <w:sz w:val="24"/>
          <w:szCs w:val="24"/>
        </w:rPr>
        <w:t xml:space="preserve"> </w:t>
      </w:r>
      <w:r>
        <w:rPr>
          <w:spacing w:val="-7"/>
          <w:sz w:val="24"/>
          <w:szCs w:val="24"/>
        </w:rPr>
        <w:t>底质多为乱石</w:t>
      </w:r>
      <w:r>
        <w:rPr>
          <w:spacing w:val="-2"/>
          <w:sz w:val="24"/>
          <w:szCs w:val="24"/>
        </w:rPr>
        <w:t>或礁石，凹凸不平。越冬场的两端或一侧大都有</w:t>
      </w:r>
      <w:r>
        <w:rPr>
          <w:spacing w:val="-28"/>
          <w:sz w:val="24"/>
          <w:szCs w:val="24"/>
        </w:rPr>
        <w:t xml:space="preserve"> </w:t>
      </w:r>
      <w:r>
        <w:rPr>
          <w:rFonts w:ascii="Times New Roman" w:hAnsi="Times New Roman" w:eastAsia="Times New Roman" w:cs="Times New Roman"/>
          <w:spacing w:val="-2"/>
          <w:sz w:val="24"/>
          <w:szCs w:val="24"/>
        </w:rPr>
        <w:t>1</w:t>
      </w:r>
      <w:r>
        <w:rPr>
          <w:spacing w:val="-2"/>
          <w:sz w:val="24"/>
          <w:szCs w:val="24"/>
        </w:rPr>
        <w:t>～</w:t>
      </w:r>
      <w:r>
        <w:rPr>
          <w:rFonts w:ascii="Times New Roman" w:hAnsi="Times New Roman" w:eastAsia="Times New Roman" w:cs="Times New Roman"/>
          <w:spacing w:val="-2"/>
          <w:sz w:val="24"/>
          <w:szCs w:val="24"/>
        </w:rPr>
        <w:t xml:space="preserve">3m </w:t>
      </w:r>
      <w:r>
        <w:rPr>
          <w:spacing w:val="-2"/>
          <w:sz w:val="24"/>
          <w:szCs w:val="24"/>
        </w:rPr>
        <w:t>深的流水浅滩和江岸。</w:t>
      </w:r>
    </w:p>
    <w:p w14:paraId="149257DD">
      <w:pPr>
        <w:pStyle w:val="2"/>
        <w:spacing w:before="1" w:line="231" w:lineRule="auto"/>
        <w:ind w:left="528"/>
        <w:rPr>
          <w:sz w:val="24"/>
          <w:szCs w:val="24"/>
        </w:rPr>
      </w:pPr>
      <w:r>
        <w:rPr>
          <w:b/>
          <w:bCs/>
          <w:spacing w:val="-6"/>
          <w:sz w:val="24"/>
          <w:szCs w:val="24"/>
        </w:rPr>
        <w:t>（</w:t>
      </w:r>
      <w:r>
        <w:rPr>
          <w:rFonts w:ascii="Times New Roman" w:hAnsi="Times New Roman" w:eastAsia="Times New Roman" w:cs="Times New Roman"/>
          <w:b/>
          <w:bCs/>
          <w:spacing w:val="-6"/>
          <w:sz w:val="24"/>
          <w:szCs w:val="24"/>
        </w:rPr>
        <w:t>6</w:t>
      </w:r>
      <w:r>
        <w:rPr>
          <w:b/>
          <w:bCs/>
          <w:spacing w:val="-6"/>
          <w:sz w:val="24"/>
          <w:szCs w:val="24"/>
        </w:rPr>
        <w:t>）评价</w:t>
      </w:r>
    </w:p>
    <w:p w14:paraId="404D8641">
      <w:pPr>
        <w:pStyle w:val="2"/>
        <w:spacing w:before="137" w:line="313" w:lineRule="auto"/>
        <w:ind w:left="39" w:right="66" w:firstLine="509"/>
        <w:jc w:val="both"/>
        <w:rPr>
          <w:sz w:val="24"/>
          <w:szCs w:val="24"/>
        </w:rPr>
      </w:pPr>
      <w:r>
        <w:rPr>
          <w:spacing w:val="-5"/>
          <w:sz w:val="24"/>
          <w:szCs w:val="24"/>
        </w:rPr>
        <w:t>由于过度捕捞等原因，大型鱼类已非常稀少，许多常见鱼类及</w:t>
      </w:r>
      <w:r>
        <w:rPr>
          <w:spacing w:val="-6"/>
          <w:sz w:val="24"/>
          <w:szCs w:val="24"/>
        </w:rPr>
        <w:t>土著鱼类种群数</w:t>
      </w:r>
      <w:r>
        <w:rPr>
          <w:spacing w:val="-4"/>
          <w:sz w:val="24"/>
          <w:szCs w:val="24"/>
        </w:rPr>
        <w:t>量显著下降。施工期调查记录次数最多的是食蚊鱼，其次是棒花鱼、黄䱂鱼等。在鱼类群落中，无论在物种和个体数量上都以中小型适应急流环境的鱼类为主</w:t>
      </w:r>
      <w:r>
        <w:rPr>
          <w:spacing w:val="-5"/>
          <w:sz w:val="24"/>
          <w:szCs w:val="24"/>
        </w:rPr>
        <w:t>。施工</w:t>
      </w:r>
      <w:r>
        <w:rPr>
          <w:spacing w:val="-1"/>
          <w:sz w:val="24"/>
          <w:szCs w:val="24"/>
        </w:rPr>
        <w:t>期监测结果显示，较</w:t>
      </w:r>
      <w:r>
        <w:rPr>
          <w:spacing w:val="-49"/>
          <w:sz w:val="24"/>
          <w:szCs w:val="24"/>
        </w:rPr>
        <w:t xml:space="preserve"> </w:t>
      </w:r>
      <w:r>
        <w:rPr>
          <w:rFonts w:ascii="Times New Roman" w:hAnsi="Times New Roman" w:eastAsia="Times New Roman" w:cs="Times New Roman"/>
          <w:spacing w:val="-1"/>
          <w:sz w:val="24"/>
          <w:szCs w:val="24"/>
        </w:rPr>
        <w:t xml:space="preserve">2015 </w:t>
      </w:r>
      <w:r>
        <w:rPr>
          <w:spacing w:val="-1"/>
          <w:sz w:val="24"/>
          <w:szCs w:val="24"/>
        </w:rPr>
        <w:t>年环评期鱼类物种数量无明显减少，本工程建设对鱼类</w:t>
      </w:r>
      <w:r>
        <w:rPr>
          <w:spacing w:val="-4"/>
          <w:sz w:val="24"/>
          <w:szCs w:val="24"/>
        </w:rPr>
        <w:t>资源影响较小。施工期监测未捕获到国家二级保护鱼类滇池金线䰾，后期水</w:t>
      </w:r>
      <w:r>
        <w:rPr>
          <w:spacing w:val="-5"/>
          <w:sz w:val="24"/>
          <w:szCs w:val="24"/>
        </w:rPr>
        <w:t>生生态调查应重点关注。</w:t>
      </w:r>
    </w:p>
    <w:p w14:paraId="7A946C8B">
      <w:pPr>
        <w:spacing w:line="313" w:lineRule="auto"/>
        <w:rPr>
          <w:sz w:val="24"/>
          <w:szCs w:val="24"/>
        </w:rPr>
        <w:sectPr>
          <w:type w:val="continuous"/>
          <w:pgSz w:w="11907" w:h="16839"/>
          <w:pgMar w:top="1376" w:right="1632" w:bottom="1061" w:left="1671" w:header="999" w:footer="861" w:gutter="0"/>
          <w:cols w:equalWidth="0" w:num="1">
            <w:col w:w="8602"/>
          </w:cols>
        </w:sectPr>
      </w:pPr>
    </w:p>
    <w:p w14:paraId="3E216764">
      <w:pPr>
        <w:spacing w:line="385" w:lineRule="auto"/>
        <w:rPr>
          <w:rFonts w:ascii="Arial"/>
          <w:sz w:val="21"/>
        </w:rPr>
      </w:pPr>
    </w:p>
    <w:p w14:paraId="224CF626">
      <w:pPr>
        <w:pStyle w:val="2"/>
        <w:spacing w:before="97" w:line="234" w:lineRule="auto"/>
        <w:ind w:left="41"/>
        <w:rPr>
          <w:sz w:val="30"/>
          <w:szCs w:val="30"/>
        </w:rPr>
      </w:pPr>
      <w:bookmarkStart w:id="30" w:name="bookmark28"/>
      <w:bookmarkEnd w:id="30"/>
      <w:r>
        <w:rPr>
          <w:rFonts w:ascii="Times New Roman" w:hAnsi="Times New Roman" w:eastAsia="Times New Roman" w:cs="Times New Roman"/>
          <w:b/>
          <w:bCs/>
          <w:spacing w:val="-4"/>
          <w:sz w:val="30"/>
          <w:szCs w:val="30"/>
        </w:rPr>
        <w:t>6.2</w:t>
      </w:r>
      <w:r>
        <w:rPr>
          <w:rFonts w:ascii="Times New Roman" w:hAnsi="Times New Roman" w:eastAsia="Times New Roman" w:cs="Times New Roman"/>
          <w:b/>
          <w:bCs/>
          <w:spacing w:val="20"/>
          <w:sz w:val="30"/>
          <w:szCs w:val="30"/>
        </w:rPr>
        <w:t xml:space="preserve"> </w:t>
      </w:r>
      <w:r>
        <w:rPr>
          <w:b/>
          <w:bCs/>
          <w:spacing w:val="-4"/>
          <w:sz w:val="30"/>
          <w:szCs w:val="30"/>
        </w:rPr>
        <w:t>环境影响监测</w:t>
      </w:r>
    </w:p>
    <w:p w14:paraId="79ACBF54">
      <w:pPr>
        <w:pStyle w:val="2"/>
        <w:spacing w:before="196" w:line="226" w:lineRule="auto"/>
        <w:ind w:left="36"/>
        <w:rPr>
          <w:sz w:val="27"/>
          <w:szCs w:val="27"/>
        </w:rPr>
      </w:pPr>
      <w:r>
        <w:rPr>
          <w:rFonts w:ascii="Arial" w:hAnsi="Arial" w:eastAsia="Arial" w:cs="Arial"/>
          <w:spacing w:val="7"/>
          <w:position w:val="1"/>
          <w:sz w:val="21"/>
          <w:szCs w:val="21"/>
        </w:rPr>
        <w:t xml:space="preserve">6.2.1     </w:t>
      </w:r>
      <w:r>
        <w:rPr>
          <w:b/>
          <w:bCs/>
          <w:spacing w:val="7"/>
          <w:position w:val="-1"/>
          <w:sz w:val="27"/>
          <w:szCs w:val="27"/>
        </w:rPr>
        <w:t>地表水环境影响</w:t>
      </w:r>
    </w:p>
    <w:p w14:paraId="3EBE0E31">
      <w:pPr>
        <w:pStyle w:val="2"/>
        <w:spacing w:before="263" w:line="220" w:lineRule="auto"/>
        <w:ind w:left="35"/>
        <w:rPr>
          <w:sz w:val="24"/>
          <w:szCs w:val="24"/>
        </w:rPr>
      </w:pPr>
      <w:r>
        <w:rPr>
          <w:rFonts w:ascii="Arial" w:hAnsi="Arial" w:eastAsia="Arial" w:cs="Arial"/>
          <w:spacing w:val="4"/>
          <w:position w:val="1"/>
          <w:sz w:val="18"/>
          <w:szCs w:val="18"/>
        </w:rPr>
        <w:t>6.2.1.1</w:t>
      </w:r>
      <w:r>
        <w:rPr>
          <w:rFonts w:ascii="Arial" w:hAnsi="Arial" w:eastAsia="Arial" w:cs="Arial"/>
          <w:spacing w:val="57"/>
          <w:w w:val="101"/>
          <w:position w:val="1"/>
          <w:sz w:val="18"/>
          <w:szCs w:val="18"/>
        </w:rPr>
        <w:t xml:space="preserve"> </w:t>
      </w:r>
      <w:r>
        <w:rPr>
          <w:b/>
          <w:bCs/>
          <w:spacing w:val="4"/>
          <w:position w:val="-1"/>
          <w:sz w:val="24"/>
          <w:szCs w:val="24"/>
        </w:rPr>
        <w:t>水文情势影响</w:t>
      </w:r>
    </w:p>
    <w:p w14:paraId="683B2FD0">
      <w:pPr>
        <w:pStyle w:val="2"/>
        <w:spacing w:before="271" w:line="339" w:lineRule="auto"/>
        <w:ind w:left="37" w:right="30" w:firstLine="480"/>
        <w:jc w:val="both"/>
        <w:rPr>
          <w:sz w:val="24"/>
          <w:szCs w:val="24"/>
        </w:rPr>
      </w:pPr>
      <w:r>
        <w:rPr>
          <w:spacing w:val="3"/>
          <w:sz w:val="24"/>
          <w:szCs w:val="24"/>
        </w:rPr>
        <w:t>施工期对水文情势的影响主要为施工围堰建设及导流改变工程区</w:t>
      </w:r>
      <w:r>
        <w:rPr>
          <w:spacing w:val="2"/>
          <w:sz w:val="24"/>
          <w:szCs w:val="24"/>
        </w:rPr>
        <w:t>局部河段原</w:t>
      </w:r>
      <w:r>
        <w:rPr>
          <w:spacing w:val="-3"/>
          <w:sz w:val="24"/>
          <w:szCs w:val="24"/>
        </w:rPr>
        <w:t>始河道走向。施工期截流采用单戗立堵法，截流戗堤顶高程为</w:t>
      </w:r>
      <w:r>
        <w:rPr>
          <w:spacing w:val="-31"/>
          <w:sz w:val="24"/>
          <w:szCs w:val="24"/>
        </w:rPr>
        <w:t xml:space="preserve"> </w:t>
      </w:r>
      <w:r>
        <w:rPr>
          <w:rFonts w:ascii="Times New Roman" w:hAnsi="Times New Roman" w:eastAsia="Times New Roman" w:cs="Times New Roman"/>
          <w:spacing w:val="-3"/>
          <w:sz w:val="24"/>
          <w:szCs w:val="24"/>
        </w:rPr>
        <w:t>1901.5m</w:t>
      </w:r>
      <w:r>
        <w:rPr>
          <w:spacing w:val="-3"/>
          <w:sz w:val="24"/>
          <w:szCs w:val="24"/>
        </w:rPr>
        <w:t>，龙</w:t>
      </w:r>
      <w:r>
        <w:rPr>
          <w:spacing w:val="-4"/>
          <w:sz w:val="24"/>
          <w:szCs w:val="24"/>
        </w:rPr>
        <w:t>口处河床高程为</w:t>
      </w:r>
      <w:r>
        <w:rPr>
          <w:spacing w:val="-32"/>
          <w:sz w:val="24"/>
          <w:szCs w:val="24"/>
        </w:rPr>
        <w:t xml:space="preserve"> </w:t>
      </w:r>
      <w:r>
        <w:rPr>
          <w:rFonts w:ascii="Times New Roman" w:hAnsi="Times New Roman" w:eastAsia="Times New Roman" w:cs="Times New Roman"/>
          <w:spacing w:val="-4"/>
          <w:sz w:val="24"/>
          <w:szCs w:val="24"/>
        </w:rPr>
        <w:t>1894.2m</w:t>
      </w:r>
      <w:r>
        <w:rPr>
          <w:spacing w:val="-4"/>
          <w:sz w:val="24"/>
          <w:szCs w:val="24"/>
        </w:rPr>
        <w:t>，河滩高程为</w:t>
      </w:r>
      <w:r>
        <w:rPr>
          <w:spacing w:val="-31"/>
          <w:sz w:val="24"/>
          <w:szCs w:val="24"/>
        </w:rPr>
        <w:t xml:space="preserve"> </w:t>
      </w:r>
      <w:r>
        <w:rPr>
          <w:rFonts w:ascii="Times New Roman" w:hAnsi="Times New Roman" w:eastAsia="Times New Roman" w:cs="Times New Roman"/>
          <w:spacing w:val="-4"/>
          <w:sz w:val="24"/>
          <w:szCs w:val="24"/>
        </w:rPr>
        <w:t>1899.0m</w:t>
      </w:r>
      <w:r>
        <w:rPr>
          <w:spacing w:val="-4"/>
          <w:sz w:val="24"/>
          <w:szCs w:val="24"/>
        </w:rPr>
        <w:t>，主河床宽约为</w:t>
      </w:r>
      <w:r>
        <w:rPr>
          <w:spacing w:val="-55"/>
          <w:sz w:val="24"/>
          <w:szCs w:val="24"/>
        </w:rPr>
        <w:t xml:space="preserve"> </w:t>
      </w:r>
      <w:r>
        <w:rPr>
          <w:rFonts w:ascii="Times New Roman" w:hAnsi="Times New Roman" w:eastAsia="Times New Roman" w:cs="Times New Roman"/>
          <w:spacing w:val="-4"/>
          <w:sz w:val="24"/>
          <w:szCs w:val="24"/>
        </w:rPr>
        <w:t>20m</w:t>
      </w:r>
      <w:r>
        <w:rPr>
          <w:spacing w:val="-4"/>
          <w:sz w:val="24"/>
          <w:szCs w:val="24"/>
        </w:rPr>
        <w:t>。</w:t>
      </w:r>
      <w:r>
        <w:rPr>
          <w:rFonts w:ascii="Times New Roman" w:hAnsi="Times New Roman" w:eastAsia="Times New Roman" w:cs="Times New Roman"/>
          <w:spacing w:val="-4"/>
          <w:sz w:val="24"/>
          <w:szCs w:val="24"/>
        </w:rPr>
        <w:t xml:space="preserve">2018 </w:t>
      </w:r>
      <w:r>
        <w:rPr>
          <w:spacing w:val="-5"/>
          <w:sz w:val="24"/>
          <w:szCs w:val="24"/>
        </w:rPr>
        <w:t>年</w:t>
      </w:r>
      <w:r>
        <w:rPr>
          <w:spacing w:val="-51"/>
          <w:sz w:val="24"/>
          <w:szCs w:val="24"/>
        </w:rPr>
        <w:t xml:space="preserve"> </w:t>
      </w:r>
      <w:r>
        <w:rPr>
          <w:rFonts w:ascii="Times New Roman" w:hAnsi="Times New Roman" w:eastAsia="Times New Roman" w:cs="Times New Roman"/>
          <w:spacing w:val="-5"/>
          <w:sz w:val="24"/>
          <w:szCs w:val="24"/>
        </w:rPr>
        <w:t>7</w:t>
      </w:r>
      <w:r>
        <w:rPr>
          <w:rFonts w:ascii="Times New Roman" w:hAnsi="Times New Roman" w:eastAsia="Times New Roman" w:cs="Times New Roman"/>
          <w:spacing w:val="15"/>
          <w:w w:val="101"/>
          <w:sz w:val="24"/>
          <w:szCs w:val="24"/>
        </w:rPr>
        <w:t xml:space="preserve"> </w:t>
      </w:r>
      <w:r>
        <w:rPr>
          <w:spacing w:val="-5"/>
          <w:sz w:val="24"/>
          <w:szCs w:val="24"/>
        </w:rPr>
        <w:t>月导流泄</w:t>
      </w:r>
      <w:r>
        <w:rPr>
          <w:spacing w:val="-2"/>
          <w:sz w:val="24"/>
          <w:szCs w:val="24"/>
        </w:rPr>
        <w:t>洪放空（兼导流）隧洞贯通，</w:t>
      </w:r>
      <w:r>
        <w:rPr>
          <w:rFonts w:ascii="Times New Roman" w:hAnsi="Times New Roman" w:eastAsia="Times New Roman" w:cs="Times New Roman"/>
          <w:spacing w:val="-2"/>
          <w:sz w:val="24"/>
          <w:szCs w:val="24"/>
        </w:rPr>
        <w:t>12</w:t>
      </w:r>
      <w:r>
        <w:rPr>
          <w:rFonts w:ascii="Times New Roman" w:hAnsi="Times New Roman" w:eastAsia="Times New Roman" w:cs="Times New Roman"/>
          <w:spacing w:val="26"/>
          <w:sz w:val="24"/>
          <w:szCs w:val="24"/>
        </w:rPr>
        <w:t xml:space="preserve"> </w:t>
      </w:r>
      <w:r>
        <w:rPr>
          <w:spacing w:val="-2"/>
          <w:sz w:val="24"/>
          <w:szCs w:val="24"/>
        </w:rPr>
        <w:t>月实现截流，泄洪洞正式投入使用。</w:t>
      </w:r>
    </w:p>
    <w:p w14:paraId="6C39C8F9">
      <w:pPr>
        <w:pStyle w:val="2"/>
        <w:spacing w:before="1" w:line="338" w:lineRule="auto"/>
        <w:ind w:left="41" w:right="32" w:firstLine="477"/>
        <w:rPr>
          <w:sz w:val="24"/>
          <w:szCs w:val="24"/>
        </w:rPr>
      </w:pPr>
      <w:r>
        <w:rPr>
          <w:spacing w:val="-4"/>
          <w:sz w:val="24"/>
          <w:szCs w:val="24"/>
        </w:rPr>
        <w:t>截流期间，龙口合龙前通过龙口从原河道泄流，龙口</w:t>
      </w:r>
      <w:r>
        <w:rPr>
          <w:spacing w:val="-5"/>
          <w:sz w:val="24"/>
          <w:szCs w:val="24"/>
        </w:rPr>
        <w:t>合龙过程中水位逐渐壅高至泄洪放空隧洞进口底板高程（</w:t>
      </w:r>
      <w:r>
        <w:rPr>
          <w:rFonts w:ascii="Times New Roman" w:hAnsi="Times New Roman" w:eastAsia="Times New Roman" w:cs="Times New Roman"/>
          <w:spacing w:val="-5"/>
          <w:sz w:val="24"/>
          <w:szCs w:val="24"/>
        </w:rPr>
        <w:t>1899.39m</w:t>
      </w:r>
      <w:r>
        <w:rPr>
          <w:spacing w:val="-5"/>
          <w:sz w:val="24"/>
          <w:szCs w:val="24"/>
        </w:rPr>
        <w:t>）开始分流，逐渐从泄洪放空隧洞下泄。</w:t>
      </w:r>
    </w:p>
    <w:p w14:paraId="21951260">
      <w:pPr>
        <w:pStyle w:val="2"/>
        <w:spacing w:before="2" w:line="338" w:lineRule="auto"/>
        <w:ind w:left="39" w:right="31" w:firstLine="482"/>
        <w:rPr>
          <w:sz w:val="24"/>
          <w:szCs w:val="24"/>
        </w:rPr>
      </w:pPr>
      <w:r>
        <w:rPr>
          <w:spacing w:val="-4"/>
          <w:sz w:val="24"/>
          <w:szCs w:val="24"/>
        </w:rPr>
        <w:t>工程自截流后，马龙河坝址上游来水均经导流</w:t>
      </w:r>
      <w:r>
        <w:rPr>
          <w:spacing w:val="-5"/>
          <w:sz w:val="24"/>
          <w:szCs w:val="24"/>
        </w:rPr>
        <w:t>泄洪放空隧洞泄流，并于坝址下</w:t>
      </w:r>
      <w:r>
        <w:rPr>
          <w:spacing w:val="-4"/>
          <w:sz w:val="24"/>
          <w:szCs w:val="24"/>
        </w:rPr>
        <w:t>游导流洞出口处汇入河道，由于工程施工期间围堰基本不具备壅水能力，</w:t>
      </w:r>
      <w:r>
        <w:rPr>
          <w:spacing w:val="-5"/>
          <w:sz w:val="24"/>
          <w:szCs w:val="24"/>
        </w:rPr>
        <w:t>导流洞按</w:t>
      </w:r>
      <w:r>
        <w:rPr>
          <w:spacing w:val="-4"/>
          <w:sz w:val="24"/>
          <w:szCs w:val="24"/>
        </w:rPr>
        <w:t>来流泄流，工程施工期仅上、下游围堰之间河段水流流程发生改变，因此施</w:t>
      </w:r>
      <w:r>
        <w:rPr>
          <w:spacing w:val="-5"/>
          <w:sz w:val="24"/>
          <w:szCs w:val="24"/>
        </w:rPr>
        <w:t>工期对</w:t>
      </w:r>
      <w:r>
        <w:rPr>
          <w:spacing w:val="-2"/>
          <w:sz w:val="24"/>
          <w:szCs w:val="24"/>
        </w:rPr>
        <w:t>马龙河下游河道水文情势基本无影响。</w:t>
      </w:r>
    </w:p>
    <w:p w14:paraId="00F2E8CB">
      <w:pPr>
        <w:pStyle w:val="2"/>
        <w:spacing w:before="1" w:line="233" w:lineRule="auto"/>
        <w:ind w:left="518"/>
        <w:rPr>
          <w:sz w:val="24"/>
          <w:szCs w:val="24"/>
        </w:rPr>
      </w:pPr>
      <w:r>
        <w:rPr>
          <w:spacing w:val="-1"/>
          <w:sz w:val="24"/>
          <w:szCs w:val="24"/>
        </w:rPr>
        <w:t>施工期截流后马龙河坝址上游、枢纽区及坝下水文情势见图</w:t>
      </w:r>
      <w:r>
        <w:rPr>
          <w:spacing w:val="-37"/>
          <w:sz w:val="24"/>
          <w:szCs w:val="24"/>
        </w:rPr>
        <w:t xml:space="preserve"> </w:t>
      </w:r>
      <w:r>
        <w:rPr>
          <w:rFonts w:ascii="Times New Roman" w:hAnsi="Times New Roman" w:eastAsia="Times New Roman" w:cs="Times New Roman"/>
          <w:spacing w:val="-1"/>
          <w:sz w:val="24"/>
          <w:szCs w:val="24"/>
        </w:rPr>
        <w:t>6.2-1</w:t>
      </w:r>
      <w:r>
        <w:rPr>
          <w:spacing w:val="-1"/>
          <w:sz w:val="24"/>
          <w:szCs w:val="24"/>
        </w:rPr>
        <w:t>。</w:t>
      </w:r>
    </w:p>
    <w:p w14:paraId="5F766D6F">
      <w:pPr>
        <w:spacing w:line="15" w:lineRule="exact"/>
      </w:pPr>
    </w:p>
    <w:p w14:paraId="49842B6D">
      <w:pPr>
        <w:spacing w:line="15" w:lineRule="exact"/>
        <w:sectPr>
          <w:headerReference r:id="rId231" w:type="default"/>
          <w:footerReference r:id="rId232" w:type="default"/>
          <w:pgSz w:w="11907" w:h="16839"/>
          <w:pgMar w:top="1376" w:right="1669" w:bottom="1061" w:left="1671" w:header="999" w:footer="861" w:gutter="0"/>
          <w:cols w:equalWidth="0" w:num="1">
            <w:col w:w="8566"/>
          </w:cols>
        </w:sectPr>
      </w:pPr>
    </w:p>
    <w:p w14:paraId="741DF63A">
      <w:pPr>
        <w:spacing w:line="2731" w:lineRule="exact"/>
        <w:ind w:firstLine="167"/>
      </w:pPr>
      <w:r>
        <w:rPr>
          <w:position w:val="-54"/>
        </w:rPr>
        <w:drawing>
          <wp:inline distT="0" distB="0" distL="0" distR="0">
            <wp:extent cx="2525395" cy="1734185"/>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422"/>
                    <a:stretch>
                      <a:fillRect/>
                    </a:stretch>
                  </pic:blipFill>
                  <pic:spPr>
                    <a:xfrm>
                      <a:off x="0" y="0"/>
                      <a:ext cx="2526029" cy="1734185"/>
                    </a:xfrm>
                    <a:prstGeom prst="rect">
                      <a:avLst/>
                    </a:prstGeom>
                  </pic:spPr>
                </pic:pic>
              </a:graphicData>
            </a:graphic>
          </wp:inline>
        </w:drawing>
      </w:r>
    </w:p>
    <w:p w14:paraId="283BD606">
      <w:pPr>
        <w:pStyle w:val="2"/>
        <w:spacing w:before="69" w:line="220" w:lineRule="auto"/>
        <w:ind w:left="960"/>
        <w:rPr>
          <w:sz w:val="24"/>
          <w:szCs w:val="24"/>
        </w:rPr>
      </w:pPr>
      <w:r>
        <w:rPr>
          <w:spacing w:val="-1"/>
          <w:sz w:val="24"/>
          <w:szCs w:val="24"/>
        </w:rPr>
        <w:t>施工期坝址上游马龙河</w:t>
      </w:r>
    </w:p>
    <w:p w14:paraId="0739B766">
      <w:pPr>
        <w:spacing w:line="33" w:lineRule="auto"/>
        <w:rPr>
          <w:rFonts w:ascii="Arial"/>
          <w:sz w:val="2"/>
        </w:rPr>
      </w:pPr>
    </w:p>
    <w:p w14:paraId="6913811E">
      <w:pPr>
        <w:spacing w:line="14" w:lineRule="auto"/>
        <w:rPr>
          <w:rFonts w:ascii="Arial"/>
          <w:sz w:val="2"/>
        </w:rPr>
      </w:pPr>
      <w:r>
        <w:rPr>
          <w:rFonts w:ascii="Arial" w:hAnsi="Arial" w:eastAsia="Arial" w:cs="Arial"/>
          <w:sz w:val="2"/>
          <w:szCs w:val="2"/>
        </w:rPr>
        <w:br w:type="column"/>
      </w:r>
    </w:p>
    <w:p w14:paraId="0A6B45B8">
      <w:pPr>
        <w:spacing w:line="2729" w:lineRule="exact"/>
      </w:pPr>
      <w:r>
        <w:rPr>
          <w:position w:val="-54"/>
        </w:rPr>
        <w:drawing>
          <wp:inline distT="0" distB="0" distL="0" distR="0">
            <wp:extent cx="2525395" cy="173291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423"/>
                    <a:stretch>
                      <a:fillRect/>
                    </a:stretch>
                  </pic:blipFill>
                  <pic:spPr>
                    <a:xfrm>
                      <a:off x="0" y="0"/>
                      <a:ext cx="2526029" cy="1733308"/>
                    </a:xfrm>
                    <a:prstGeom prst="rect">
                      <a:avLst/>
                    </a:prstGeom>
                  </pic:spPr>
                </pic:pic>
              </a:graphicData>
            </a:graphic>
          </wp:inline>
        </w:drawing>
      </w:r>
    </w:p>
    <w:p w14:paraId="342653E5">
      <w:pPr>
        <w:pStyle w:val="2"/>
        <w:spacing w:before="70" w:line="220" w:lineRule="auto"/>
        <w:ind w:left="1041"/>
        <w:rPr>
          <w:sz w:val="24"/>
          <w:szCs w:val="24"/>
        </w:rPr>
      </w:pPr>
      <w:r>
        <w:rPr>
          <w:spacing w:val="-2"/>
          <w:sz w:val="24"/>
          <w:szCs w:val="24"/>
        </w:rPr>
        <w:t>导流洞进水口河段</w:t>
      </w:r>
    </w:p>
    <w:p w14:paraId="2FB2D747">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3F7D3B3F">
      <w:pPr>
        <w:spacing w:line="128" w:lineRule="auto"/>
        <w:rPr>
          <w:rFonts w:ascii="Arial"/>
          <w:sz w:val="2"/>
        </w:rPr>
      </w:pPr>
    </w:p>
    <w:p w14:paraId="499ADF90">
      <w:pPr>
        <w:spacing w:line="128" w:lineRule="auto"/>
        <w:rPr>
          <w:rFonts w:ascii="Arial" w:hAnsi="Arial" w:eastAsia="Arial" w:cs="Arial"/>
          <w:sz w:val="2"/>
          <w:szCs w:val="2"/>
        </w:rPr>
        <w:sectPr>
          <w:type w:val="continuous"/>
          <w:pgSz w:w="11907" w:h="16839"/>
          <w:pgMar w:top="1376" w:right="1669" w:bottom="1061" w:left="1671" w:header="999" w:footer="861" w:gutter="0"/>
          <w:cols w:equalWidth="0" w:num="1">
            <w:col w:w="8566"/>
          </w:cols>
        </w:sectPr>
      </w:pPr>
    </w:p>
    <w:p w14:paraId="157A8D01">
      <w:pPr>
        <w:spacing w:line="2731" w:lineRule="exact"/>
        <w:ind w:firstLine="167"/>
      </w:pPr>
      <w:r>
        <w:rPr>
          <w:position w:val="-54"/>
        </w:rPr>
        <w:drawing>
          <wp:inline distT="0" distB="0" distL="0" distR="0">
            <wp:extent cx="2525395" cy="173418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424"/>
                    <a:stretch>
                      <a:fillRect/>
                    </a:stretch>
                  </pic:blipFill>
                  <pic:spPr>
                    <a:xfrm>
                      <a:off x="0" y="0"/>
                      <a:ext cx="2526029" cy="1734185"/>
                    </a:xfrm>
                    <a:prstGeom prst="rect">
                      <a:avLst/>
                    </a:prstGeom>
                  </pic:spPr>
                </pic:pic>
              </a:graphicData>
            </a:graphic>
          </wp:inline>
        </w:drawing>
      </w:r>
    </w:p>
    <w:p w14:paraId="4B690CF6">
      <w:pPr>
        <w:pStyle w:val="2"/>
        <w:spacing w:before="69" w:line="221" w:lineRule="auto"/>
        <w:ind w:left="1080"/>
        <w:rPr>
          <w:sz w:val="24"/>
          <w:szCs w:val="24"/>
        </w:rPr>
      </w:pPr>
      <w:r>
        <w:rPr>
          <w:spacing w:val="-1"/>
          <w:sz w:val="24"/>
          <w:szCs w:val="24"/>
        </w:rPr>
        <w:t>坝下导流洞出口河段</w:t>
      </w:r>
    </w:p>
    <w:p w14:paraId="77CCBBCE">
      <w:pPr>
        <w:spacing w:line="14" w:lineRule="auto"/>
        <w:rPr>
          <w:rFonts w:ascii="Arial"/>
          <w:sz w:val="2"/>
        </w:rPr>
      </w:pPr>
      <w:r>
        <w:rPr>
          <w:rFonts w:ascii="Arial" w:hAnsi="Arial" w:eastAsia="Arial" w:cs="Arial"/>
          <w:sz w:val="2"/>
          <w:szCs w:val="2"/>
        </w:rPr>
        <w:br w:type="column"/>
      </w:r>
    </w:p>
    <w:p w14:paraId="110F6143">
      <w:pPr>
        <w:spacing w:line="2729" w:lineRule="exact"/>
      </w:pPr>
      <w:r>
        <w:rPr>
          <w:position w:val="-54"/>
        </w:rPr>
        <w:drawing>
          <wp:inline distT="0" distB="0" distL="0" distR="0">
            <wp:extent cx="2525395" cy="1732915"/>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425"/>
                    <a:stretch>
                      <a:fillRect/>
                    </a:stretch>
                  </pic:blipFill>
                  <pic:spPr>
                    <a:xfrm>
                      <a:off x="0" y="0"/>
                      <a:ext cx="2526029" cy="1733308"/>
                    </a:xfrm>
                    <a:prstGeom prst="rect">
                      <a:avLst/>
                    </a:prstGeom>
                  </pic:spPr>
                </pic:pic>
              </a:graphicData>
            </a:graphic>
          </wp:inline>
        </w:drawing>
      </w:r>
    </w:p>
    <w:p w14:paraId="46231B52">
      <w:pPr>
        <w:pStyle w:val="2"/>
        <w:spacing w:before="70" w:line="220" w:lineRule="auto"/>
        <w:ind w:left="1153"/>
        <w:rPr>
          <w:sz w:val="24"/>
          <w:szCs w:val="24"/>
        </w:rPr>
      </w:pPr>
      <w:r>
        <w:rPr>
          <w:spacing w:val="-2"/>
          <w:sz w:val="24"/>
          <w:szCs w:val="24"/>
        </w:rPr>
        <w:t>坝址下游马龙河</w:t>
      </w:r>
    </w:p>
    <w:p w14:paraId="1C61C890">
      <w:pPr>
        <w:spacing w:line="220" w:lineRule="auto"/>
        <w:rPr>
          <w:sz w:val="24"/>
          <w:szCs w:val="24"/>
        </w:rPr>
        <w:sectPr>
          <w:type w:val="continuous"/>
          <w:pgSz w:w="11907" w:h="16839"/>
          <w:pgMar w:top="1376" w:right="1669" w:bottom="1061" w:left="1671" w:header="999" w:footer="861" w:gutter="0"/>
          <w:cols w:equalWidth="0" w:num="2">
            <w:col w:w="4315" w:space="100"/>
            <w:col w:w="4151"/>
          </w:cols>
        </w:sectPr>
      </w:pPr>
    </w:p>
    <w:p w14:paraId="7EE53A5B">
      <w:pPr>
        <w:pStyle w:val="2"/>
        <w:spacing w:before="135" w:line="198" w:lineRule="auto"/>
        <w:ind w:left="2046"/>
        <w:rPr>
          <w:sz w:val="24"/>
          <w:szCs w:val="24"/>
        </w:rPr>
      </w:pPr>
      <w:r>
        <w:rPr>
          <w:b/>
          <w:bCs/>
          <w:spacing w:val="-2"/>
          <w:sz w:val="24"/>
          <w:szCs w:val="24"/>
        </w:rPr>
        <w:t>图</w:t>
      </w:r>
      <w:r>
        <w:rPr>
          <w:spacing w:val="-50"/>
          <w:sz w:val="24"/>
          <w:szCs w:val="24"/>
        </w:rPr>
        <w:t xml:space="preserve"> </w:t>
      </w:r>
      <w:r>
        <w:rPr>
          <w:rFonts w:ascii="Times New Roman" w:hAnsi="Times New Roman" w:eastAsia="Times New Roman" w:cs="Times New Roman"/>
          <w:b/>
          <w:bCs/>
          <w:spacing w:val="-2"/>
          <w:sz w:val="24"/>
          <w:szCs w:val="24"/>
        </w:rPr>
        <w:t xml:space="preserve">6.2-1          </w:t>
      </w:r>
      <w:r>
        <w:rPr>
          <w:b/>
          <w:bCs/>
          <w:spacing w:val="-2"/>
          <w:sz w:val="24"/>
          <w:szCs w:val="24"/>
        </w:rPr>
        <w:t>施工期截流后马龙</w:t>
      </w:r>
      <w:r>
        <w:rPr>
          <w:b/>
          <w:bCs/>
          <w:spacing w:val="-3"/>
          <w:sz w:val="24"/>
          <w:szCs w:val="24"/>
        </w:rPr>
        <w:t>河水文情势</w:t>
      </w:r>
    </w:p>
    <w:p w14:paraId="131A0620">
      <w:pPr>
        <w:spacing w:line="198" w:lineRule="auto"/>
        <w:rPr>
          <w:sz w:val="24"/>
          <w:szCs w:val="24"/>
        </w:rPr>
        <w:sectPr>
          <w:type w:val="continuous"/>
          <w:pgSz w:w="11907" w:h="16839"/>
          <w:pgMar w:top="1376" w:right="1669" w:bottom="1061" w:left="1671" w:header="999" w:footer="861" w:gutter="0"/>
          <w:cols w:equalWidth="0" w:num="1">
            <w:col w:w="8566"/>
          </w:cols>
        </w:sectPr>
      </w:pPr>
    </w:p>
    <w:p w14:paraId="15846662">
      <w:pPr>
        <w:spacing w:line="455" w:lineRule="auto"/>
        <w:rPr>
          <w:rFonts w:ascii="Arial"/>
          <w:sz w:val="21"/>
        </w:rPr>
      </w:pPr>
    </w:p>
    <w:p w14:paraId="29D5DBC0">
      <w:pPr>
        <w:pStyle w:val="2"/>
        <w:spacing w:before="78" w:line="220" w:lineRule="auto"/>
        <w:ind w:left="35"/>
        <w:rPr>
          <w:sz w:val="24"/>
          <w:szCs w:val="24"/>
        </w:rPr>
      </w:pPr>
      <w:r>
        <w:rPr>
          <w:rFonts w:ascii="Arial" w:hAnsi="Arial" w:eastAsia="Arial" w:cs="Arial"/>
          <w:spacing w:val="4"/>
          <w:position w:val="1"/>
          <w:sz w:val="18"/>
          <w:szCs w:val="18"/>
        </w:rPr>
        <w:t>6.2.1.2</w:t>
      </w:r>
      <w:r>
        <w:rPr>
          <w:rFonts w:ascii="Arial" w:hAnsi="Arial" w:eastAsia="Arial" w:cs="Arial"/>
          <w:spacing w:val="41"/>
          <w:w w:val="101"/>
          <w:position w:val="1"/>
          <w:sz w:val="18"/>
          <w:szCs w:val="18"/>
        </w:rPr>
        <w:t xml:space="preserve"> </w:t>
      </w:r>
      <w:r>
        <w:rPr>
          <w:b/>
          <w:bCs/>
          <w:spacing w:val="4"/>
          <w:position w:val="-1"/>
          <w:sz w:val="24"/>
          <w:szCs w:val="24"/>
        </w:rPr>
        <w:t>工程建设前地表水质</w:t>
      </w:r>
    </w:p>
    <w:p w14:paraId="4A748AE4">
      <w:pPr>
        <w:pStyle w:val="2"/>
        <w:spacing w:before="273" w:line="233"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1</w:t>
      </w:r>
      <w:r>
        <w:rPr>
          <w:b/>
          <w:bCs/>
          <w:spacing w:val="-3"/>
          <w:sz w:val="24"/>
          <w:szCs w:val="24"/>
        </w:rPr>
        <w:t>）马龙河干、支流水质概况</w:t>
      </w:r>
    </w:p>
    <w:p w14:paraId="4A39EF8C">
      <w:pPr>
        <w:pStyle w:val="2"/>
        <w:spacing w:before="140" w:line="338" w:lineRule="auto"/>
        <w:ind w:left="40" w:right="84" w:firstLine="486"/>
        <w:jc w:val="both"/>
        <w:rPr>
          <w:sz w:val="24"/>
          <w:szCs w:val="24"/>
        </w:rPr>
      </w:pPr>
      <w:r>
        <w:rPr>
          <w:spacing w:val="-2"/>
          <w:sz w:val="24"/>
          <w:szCs w:val="24"/>
        </w:rPr>
        <w:t>马龙河干、支流水体执行《地表水环境质量标准》（</w:t>
      </w:r>
      <w:r>
        <w:rPr>
          <w:rFonts w:ascii="Times New Roman" w:hAnsi="Times New Roman" w:eastAsia="Times New Roman" w:cs="Times New Roman"/>
          <w:spacing w:val="-2"/>
          <w:sz w:val="24"/>
          <w:szCs w:val="24"/>
        </w:rPr>
        <w:t>GB3838-2</w:t>
      </w:r>
      <w:r>
        <w:rPr>
          <w:rFonts w:ascii="Times New Roman" w:hAnsi="Times New Roman" w:eastAsia="Times New Roman" w:cs="Times New Roman"/>
          <w:spacing w:val="-3"/>
          <w:sz w:val="24"/>
          <w:szCs w:val="24"/>
        </w:rPr>
        <w:t>002</w:t>
      </w:r>
      <w:r>
        <w:rPr>
          <w:spacing w:val="-3"/>
          <w:sz w:val="24"/>
          <w:szCs w:val="24"/>
        </w:rPr>
        <w:t>）中Ⅲ类标</w:t>
      </w:r>
      <w:r>
        <w:rPr>
          <w:spacing w:val="-2"/>
          <w:sz w:val="24"/>
          <w:szCs w:val="24"/>
        </w:rPr>
        <w:t>准。环评阶段收集了马龙县环境监测站</w:t>
      </w:r>
      <w:r>
        <w:rPr>
          <w:spacing w:val="-21"/>
          <w:sz w:val="24"/>
          <w:szCs w:val="24"/>
        </w:rPr>
        <w:t xml:space="preserve"> </w:t>
      </w:r>
      <w:r>
        <w:rPr>
          <w:rFonts w:ascii="Times New Roman" w:hAnsi="Times New Roman" w:eastAsia="Times New Roman" w:cs="Times New Roman"/>
          <w:spacing w:val="-2"/>
          <w:sz w:val="24"/>
          <w:szCs w:val="24"/>
        </w:rPr>
        <w:t>2011</w:t>
      </w:r>
      <w:r>
        <w:rPr>
          <w:rFonts w:ascii="Times New Roman" w:hAnsi="Times New Roman" w:eastAsia="Times New Roman" w:cs="Times New Roman"/>
          <w:spacing w:val="29"/>
          <w:w w:val="101"/>
          <w:sz w:val="24"/>
          <w:szCs w:val="24"/>
        </w:rPr>
        <w:t xml:space="preserve"> </w:t>
      </w:r>
      <w:r>
        <w:rPr>
          <w:spacing w:val="-2"/>
          <w:sz w:val="24"/>
          <w:szCs w:val="24"/>
        </w:rPr>
        <w:t>年</w:t>
      </w:r>
      <w:r>
        <w:rPr>
          <w:rFonts w:ascii="Times New Roman" w:hAnsi="Times New Roman" w:eastAsia="Times New Roman" w:cs="Times New Roman"/>
          <w:spacing w:val="-2"/>
          <w:sz w:val="24"/>
          <w:szCs w:val="24"/>
        </w:rPr>
        <w:t>-2015</w:t>
      </w:r>
      <w:r>
        <w:rPr>
          <w:rFonts w:ascii="Times New Roman" w:hAnsi="Times New Roman" w:eastAsia="Times New Roman" w:cs="Times New Roman"/>
          <w:spacing w:val="28"/>
          <w:sz w:val="24"/>
          <w:szCs w:val="24"/>
        </w:rPr>
        <w:t xml:space="preserve"> </w:t>
      </w:r>
      <w:r>
        <w:rPr>
          <w:spacing w:val="-2"/>
          <w:sz w:val="24"/>
          <w:szCs w:val="24"/>
        </w:rPr>
        <w:t>年马龙河干流</w:t>
      </w:r>
      <w:r>
        <w:rPr>
          <w:spacing w:val="-33"/>
          <w:sz w:val="24"/>
          <w:szCs w:val="24"/>
        </w:rPr>
        <w:t xml:space="preserve"> </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28"/>
          <w:sz w:val="24"/>
          <w:szCs w:val="24"/>
        </w:rPr>
        <w:t xml:space="preserve"> </w:t>
      </w:r>
      <w:r>
        <w:rPr>
          <w:spacing w:val="-2"/>
          <w:sz w:val="24"/>
          <w:szCs w:val="24"/>
        </w:rPr>
        <w:t>个常规监测断面水质资料，并于</w:t>
      </w:r>
      <w:r>
        <w:rPr>
          <w:spacing w:val="-42"/>
          <w:sz w:val="24"/>
          <w:szCs w:val="24"/>
        </w:rPr>
        <w:t xml:space="preserve"> </w:t>
      </w:r>
      <w:r>
        <w:rPr>
          <w:rFonts w:ascii="Times New Roman" w:hAnsi="Times New Roman" w:eastAsia="Times New Roman" w:cs="Times New Roman"/>
          <w:spacing w:val="-2"/>
          <w:sz w:val="24"/>
          <w:szCs w:val="24"/>
        </w:rPr>
        <w:t>2015</w:t>
      </w:r>
      <w:r>
        <w:rPr>
          <w:rFonts w:ascii="Times New Roman" w:hAnsi="Times New Roman" w:eastAsia="Times New Roman" w:cs="Times New Roman"/>
          <w:spacing w:val="24"/>
          <w:sz w:val="24"/>
          <w:szCs w:val="24"/>
        </w:rPr>
        <w:t xml:space="preserve"> </w:t>
      </w:r>
      <w:r>
        <w:rPr>
          <w:spacing w:val="-2"/>
          <w:sz w:val="24"/>
          <w:szCs w:val="24"/>
        </w:rPr>
        <w:t>年</w:t>
      </w:r>
      <w:r>
        <w:rPr>
          <w:spacing w:val="-35"/>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28"/>
          <w:w w:val="101"/>
          <w:sz w:val="24"/>
          <w:szCs w:val="24"/>
        </w:rPr>
        <w:t xml:space="preserve"> </w:t>
      </w:r>
      <w:r>
        <w:rPr>
          <w:spacing w:val="-2"/>
          <w:sz w:val="24"/>
          <w:szCs w:val="24"/>
        </w:rPr>
        <w:t>月和</w:t>
      </w:r>
      <w:r>
        <w:rPr>
          <w:spacing w:val="-42"/>
          <w:sz w:val="24"/>
          <w:szCs w:val="24"/>
        </w:rPr>
        <w:t xml:space="preserve"> </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16</w:t>
      </w:r>
      <w:r>
        <w:rPr>
          <w:rFonts w:ascii="Times New Roman" w:hAnsi="Times New Roman" w:eastAsia="Times New Roman" w:cs="Times New Roman"/>
          <w:spacing w:val="23"/>
          <w:w w:val="101"/>
          <w:sz w:val="24"/>
          <w:szCs w:val="24"/>
        </w:rPr>
        <w:t xml:space="preserve"> </w:t>
      </w:r>
      <w:r>
        <w:rPr>
          <w:spacing w:val="-3"/>
          <w:sz w:val="24"/>
          <w:szCs w:val="24"/>
        </w:rPr>
        <w:t>年</w:t>
      </w:r>
      <w:r>
        <w:rPr>
          <w:spacing w:val="-38"/>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28"/>
          <w:sz w:val="24"/>
          <w:szCs w:val="24"/>
        </w:rPr>
        <w:t xml:space="preserve"> </w:t>
      </w:r>
      <w:r>
        <w:rPr>
          <w:spacing w:val="-3"/>
          <w:sz w:val="24"/>
          <w:szCs w:val="24"/>
        </w:rPr>
        <w:t>月分别对马龙河干、支流断面进行</w:t>
      </w:r>
      <w:r>
        <w:rPr>
          <w:spacing w:val="-1"/>
          <w:sz w:val="24"/>
          <w:szCs w:val="24"/>
        </w:rPr>
        <w:t>了补充监测，</w:t>
      </w:r>
      <w:r>
        <w:rPr>
          <w:rFonts w:ascii="Times New Roman" w:hAnsi="Times New Roman" w:eastAsia="Times New Roman" w:cs="Times New Roman"/>
          <w:spacing w:val="-1"/>
          <w:sz w:val="24"/>
          <w:szCs w:val="24"/>
        </w:rPr>
        <w:t>2011</w:t>
      </w:r>
      <w:r>
        <w:rPr>
          <w:rFonts w:ascii="Times New Roman" w:hAnsi="Times New Roman" w:eastAsia="Times New Roman" w:cs="Times New Roman"/>
          <w:spacing w:val="15"/>
          <w:w w:val="101"/>
          <w:sz w:val="24"/>
          <w:szCs w:val="24"/>
        </w:rPr>
        <w:t xml:space="preserve"> </w:t>
      </w:r>
      <w:r>
        <w:rPr>
          <w:spacing w:val="-1"/>
          <w:sz w:val="24"/>
          <w:szCs w:val="24"/>
        </w:rPr>
        <w:t>年</w:t>
      </w:r>
      <w:r>
        <w:rPr>
          <w:rFonts w:ascii="Times New Roman" w:hAnsi="Times New Roman" w:eastAsia="Times New Roman" w:cs="Times New Roman"/>
          <w:spacing w:val="-1"/>
          <w:sz w:val="24"/>
          <w:szCs w:val="24"/>
        </w:rPr>
        <w:t>-2015</w:t>
      </w:r>
      <w:r>
        <w:rPr>
          <w:rFonts w:ascii="Times New Roman" w:hAnsi="Times New Roman" w:eastAsia="Times New Roman" w:cs="Times New Roman"/>
          <w:spacing w:val="15"/>
          <w:sz w:val="24"/>
          <w:szCs w:val="24"/>
        </w:rPr>
        <w:t xml:space="preserve"> </w:t>
      </w:r>
      <w:r>
        <w:rPr>
          <w:spacing w:val="-1"/>
          <w:sz w:val="24"/>
          <w:szCs w:val="24"/>
        </w:rPr>
        <w:t>年常规监测断面水质达标情况、马龙河流域</w:t>
      </w:r>
      <w:r>
        <w:rPr>
          <w:spacing w:val="-50"/>
          <w:sz w:val="24"/>
          <w:szCs w:val="24"/>
        </w:rPr>
        <w:t xml:space="preserve"> </w:t>
      </w:r>
      <w:r>
        <w:rPr>
          <w:rFonts w:ascii="Times New Roman" w:hAnsi="Times New Roman" w:eastAsia="Times New Roman" w:cs="Times New Roman"/>
          <w:spacing w:val="-1"/>
          <w:sz w:val="24"/>
          <w:szCs w:val="24"/>
        </w:rPr>
        <w:t>2015-2</w:t>
      </w:r>
      <w:r>
        <w:rPr>
          <w:rFonts w:ascii="Times New Roman" w:hAnsi="Times New Roman" w:eastAsia="Times New Roman" w:cs="Times New Roman"/>
          <w:spacing w:val="-2"/>
          <w:sz w:val="24"/>
          <w:szCs w:val="24"/>
        </w:rPr>
        <w:t>016</w:t>
      </w:r>
      <w:r>
        <w:rPr>
          <w:spacing w:val="-1"/>
          <w:sz w:val="24"/>
          <w:szCs w:val="24"/>
        </w:rPr>
        <w:t>年补充监测断面水质达标情况分别见表</w:t>
      </w:r>
      <w:r>
        <w:rPr>
          <w:spacing w:val="-50"/>
          <w:sz w:val="24"/>
          <w:szCs w:val="24"/>
        </w:rPr>
        <w:t xml:space="preserve"> </w:t>
      </w:r>
      <w:r>
        <w:rPr>
          <w:rFonts w:ascii="Times New Roman" w:hAnsi="Times New Roman" w:eastAsia="Times New Roman" w:cs="Times New Roman"/>
          <w:spacing w:val="-1"/>
          <w:sz w:val="24"/>
          <w:szCs w:val="24"/>
        </w:rPr>
        <w:t xml:space="preserve">6.2-1 </w:t>
      </w:r>
      <w:r>
        <w:rPr>
          <w:spacing w:val="-1"/>
          <w:sz w:val="24"/>
          <w:szCs w:val="24"/>
        </w:rPr>
        <w:t>和表</w:t>
      </w:r>
      <w:r>
        <w:rPr>
          <w:spacing w:val="-49"/>
          <w:sz w:val="24"/>
          <w:szCs w:val="24"/>
        </w:rPr>
        <w:t xml:space="preserve"> </w:t>
      </w:r>
      <w:r>
        <w:rPr>
          <w:rFonts w:ascii="Times New Roman" w:hAnsi="Times New Roman" w:eastAsia="Times New Roman" w:cs="Times New Roman"/>
          <w:spacing w:val="-1"/>
          <w:sz w:val="24"/>
          <w:szCs w:val="24"/>
        </w:rPr>
        <w:t>6.2-2</w:t>
      </w:r>
      <w:r>
        <w:rPr>
          <w:spacing w:val="-1"/>
          <w:sz w:val="24"/>
          <w:szCs w:val="24"/>
        </w:rPr>
        <w:t>。</w:t>
      </w:r>
    </w:p>
    <w:p w14:paraId="0D01237C">
      <w:pPr>
        <w:pStyle w:val="2"/>
        <w:spacing w:before="1" w:line="334" w:lineRule="auto"/>
        <w:ind w:left="38" w:right="84" w:firstLine="483"/>
        <w:jc w:val="both"/>
        <w:rPr>
          <w:sz w:val="24"/>
          <w:szCs w:val="24"/>
        </w:rPr>
      </w:pPr>
      <w:r>
        <w:rPr>
          <w:spacing w:val="-5"/>
          <w:sz w:val="24"/>
          <w:szCs w:val="24"/>
        </w:rPr>
        <w:t>从时间变化趋势来看：</w:t>
      </w:r>
      <w:r>
        <w:rPr>
          <w:rFonts w:ascii="Times New Roman" w:hAnsi="Times New Roman" w:eastAsia="Times New Roman" w:cs="Times New Roman"/>
          <w:spacing w:val="-5"/>
          <w:sz w:val="24"/>
          <w:szCs w:val="24"/>
        </w:rPr>
        <w:t>2011</w:t>
      </w:r>
      <w:r>
        <w:rPr>
          <w:spacing w:val="-5"/>
          <w:sz w:val="24"/>
          <w:szCs w:val="24"/>
        </w:rPr>
        <w:t>年～</w:t>
      </w:r>
      <w:r>
        <w:rPr>
          <w:rFonts w:ascii="Times New Roman" w:hAnsi="Times New Roman" w:eastAsia="Times New Roman" w:cs="Times New Roman"/>
          <w:spacing w:val="-5"/>
          <w:sz w:val="24"/>
          <w:szCs w:val="24"/>
        </w:rPr>
        <w:t xml:space="preserve">2016 </w:t>
      </w:r>
      <w:r>
        <w:rPr>
          <w:spacing w:val="-5"/>
          <w:sz w:val="24"/>
          <w:szCs w:val="24"/>
        </w:rPr>
        <w:t>年马龙河流域水质呈逐年好转趋势。</w:t>
      </w:r>
      <w:r>
        <w:rPr>
          <w:rFonts w:ascii="Times New Roman" w:hAnsi="Times New Roman" w:eastAsia="Times New Roman" w:cs="Times New Roman"/>
          <w:spacing w:val="-6"/>
          <w:sz w:val="24"/>
          <w:szCs w:val="24"/>
        </w:rPr>
        <w:t>2015</w:t>
      </w:r>
      <w:r>
        <w:rPr>
          <w:spacing w:val="-1"/>
          <w:sz w:val="24"/>
          <w:szCs w:val="24"/>
        </w:rPr>
        <w:t xml:space="preserve">年 </w:t>
      </w:r>
      <w:r>
        <w:rPr>
          <w:rFonts w:ascii="Times New Roman" w:hAnsi="Times New Roman" w:eastAsia="Times New Roman" w:cs="Times New Roman"/>
          <w:spacing w:val="-1"/>
          <w:sz w:val="24"/>
          <w:szCs w:val="24"/>
        </w:rPr>
        <w:t xml:space="preserve">5  </w:t>
      </w:r>
      <w:r>
        <w:rPr>
          <w:spacing w:val="-1"/>
          <w:sz w:val="24"/>
          <w:szCs w:val="24"/>
        </w:rPr>
        <w:t>月车马碧水库库尾至下游牛栏江汇口的各干支流断面水质均可满足水质目标Ⅲ类标准要求；</w:t>
      </w: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5"/>
          <w:sz w:val="24"/>
          <w:szCs w:val="24"/>
        </w:rPr>
        <w:t xml:space="preserve"> </w:t>
      </w:r>
      <w:r>
        <w:rPr>
          <w:spacing w:val="-1"/>
          <w:sz w:val="24"/>
          <w:szCs w:val="24"/>
        </w:rPr>
        <w:t>年</w:t>
      </w:r>
      <w:r>
        <w:rPr>
          <w:spacing w:val="-36"/>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9"/>
          <w:w w:val="101"/>
          <w:sz w:val="24"/>
          <w:szCs w:val="24"/>
        </w:rPr>
        <w:t xml:space="preserve"> </w:t>
      </w:r>
      <w:r>
        <w:rPr>
          <w:spacing w:val="-1"/>
          <w:sz w:val="24"/>
          <w:szCs w:val="24"/>
        </w:rPr>
        <w:t>月仅在库尾断面挥发酚略有超标，其</w:t>
      </w:r>
      <w:r>
        <w:rPr>
          <w:spacing w:val="-2"/>
          <w:sz w:val="24"/>
          <w:szCs w:val="24"/>
        </w:rPr>
        <w:t>余指标均可满足Ⅲ</w:t>
      </w:r>
      <w:r>
        <w:rPr>
          <w:spacing w:val="-4"/>
          <w:sz w:val="24"/>
          <w:szCs w:val="24"/>
        </w:rPr>
        <w:t>类水质标准要求。</w:t>
      </w:r>
    </w:p>
    <w:p w14:paraId="76F4FD29">
      <w:pPr>
        <w:pStyle w:val="2"/>
        <w:spacing w:before="29" w:line="338" w:lineRule="auto"/>
        <w:ind w:left="27" w:firstLine="495"/>
        <w:rPr>
          <w:sz w:val="24"/>
          <w:szCs w:val="24"/>
        </w:rPr>
      </w:pPr>
      <w:r>
        <w:rPr>
          <w:spacing w:val="-4"/>
          <w:sz w:val="24"/>
          <w:szCs w:val="24"/>
        </w:rPr>
        <w:t>从空间变化情况来看：马龙河县城以上河段（大龙井</w:t>
      </w:r>
      <w:r>
        <w:rPr>
          <w:spacing w:val="-5"/>
          <w:sz w:val="24"/>
          <w:szCs w:val="24"/>
        </w:rPr>
        <w:t>断面）水质较好，除部分</w:t>
      </w:r>
      <w:r>
        <w:rPr>
          <w:spacing w:val="-2"/>
          <w:sz w:val="24"/>
          <w:szCs w:val="24"/>
        </w:rPr>
        <w:t xml:space="preserve">水期 </w:t>
      </w:r>
      <w:r>
        <w:rPr>
          <w:rFonts w:ascii="Times New Roman" w:hAnsi="Times New Roman" w:eastAsia="Times New Roman" w:cs="Times New Roman"/>
          <w:spacing w:val="-2"/>
          <w:sz w:val="24"/>
          <w:szCs w:val="24"/>
        </w:rPr>
        <w:t>TP</w:t>
      </w:r>
      <w:r>
        <w:rPr>
          <w:rFonts w:ascii="Times New Roman" w:hAnsi="Times New Roman" w:eastAsia="Times New Roman" w:cs="Times New Roman"/>
          <w:spacing w:val="45"/>
          <w:w w:val="101"/>
          <w:sz w:val="24"/>
          <w:szCs w:val="24"/>
        </w:rPr>
        <w:t xml:space="preserve"> </w:t>
      </w:r>
      <w:r>
        <w:rPr>
          <w:spacing w:val="-2"/>
          <w:sz w:val="24"/>
          <w:szCs w:val="24"/>
        </w:rPr>
        <w:t>超标外，其余时段均满足Ⅲ类水质标准要求；经县城河段（利民桥断面、</w:t>
      </w:r>
      <w:r>
        <w:rPr>
          <w:spacing w:val="-4"/>
          <w:sz w:val="24"/>
          <w:szCs w:val="24"/>
        </w:rPr>
        <w:t>昆曲高速公路断面）水质较差，</w:t>
      </w:r>
      <w:r>
        <w:rPr>
          <w:rFonts w:ascii="Times New Roman" w:hAnsi="Times New Roman" w:eastAsia="Times New Roman" w:cs="Times New Roman"/>
          <w:spacing w:val="-4"/>
          <w:sz w:val="24"/>
          <w:szCs w:val="24"/>
        </w:rPr>
        <w:t xml:space="preserve">2011 </w:t>
      </w:r>
      <w:r>
        <w:rPr>
          <w:spacing w:val="-4"/>
          <w:sz w:val="24"/>
          <w:szCs w:val="24"/>
        </w:rPr>
        <w:t>年为劣Ⅴ类，</w:t>
      </w:r>
      <w:r>
        <w:rPr>
          <w:rFonts w:ascii="Times New Roman" w:hAnsi="Times New Roman" w:eastAsia="Times New Roman" w:cs="Times New Roman"/>
          <w:spacing w:val="-4"/>
          <w:sz w:val="24"/>
          <w:szCs w:val="24"/>
        </w:rPr>
        <w:t xml:space="preserve">2012 </w:t>
      </w:r>
      <w:r>
        <w:rPr>
          <w:spacing w:val="-4"/>
          <w:sz w:val="24"/>
          <w:szCs w:val="24"/>
        </w:rPr>
        <w:t>年为Ⅴ类，</w:t>
      </w:r>
      <w:r>
        <w:rPr>
          <w:rFonts w:ascii="Times New Roman" w:hAnsi="Times New Roman" w:eastAsia="Times New Roman" w:cs="Times New Roman"/>
          <w:spacing w:val="-4"/>
          <w:sz w:val="24"/>
          <w:szCs w:val="24"/>
        </w:rPr>
        <w:t xml:space="preserve">2013 </w:t>
      </w:r>
      <w:r>
        <w:rPr>
          <w:spacing w:val="-4"/>
          <w:sz w:val="24"/>
          <w:szCs w:val="24"/>
        </w:rPr>
        <w:t>年除</w:t>
      </w:r>
      <w:r>
        <w:rPr>
          <w:spacing w:val="-41"/>
          <w:sz w:val="24"/>
          <w:szCs w:val="24"/>
        </w:rPr>
        <w:t xml:space="preserve"> </w:t>
      </w:r>
      <w:r>
        <w:rPr>
          <w:rFonts w:ascii="Times New Roman" w:hAnsi="Times New Roman" w:eastAsia="Times New Roman" w:cs="Times New Roman"/>
          <w:spacing w:val="-4"/>
          <w:sz w:val="24"/>
          <w:szCs w:val="24"/>
        </w:rPr>
        <w:t>COD</w:t>
      </w:r>
      <w:r>
        <w:rPr>
          <w:spacing w:val="-9"/>
          <w:sz w:val="24"/>
          <w:szCs w:val="24"/>
        </w:rPr>
        <w:t>为Ⅴ类外，其余均为Ⅳ类，</w:t>
      </w:r>
      <w:r>
        <w:rPr>
          <w:rFonts w:ascii="Times New Roman" w:hAnsi="Times New Roman" w:eastAsia="Times New Roman" w:cs="Times New Roman"/>
          <w:spacing w:val="-9"/>
          <w:sz w:val="24"/>
          <w:szCs w:val="24"/>
        </w:rPr>
        <w:t xml:space="preserve">2014 </w:t>
      </w:r>
      <w:r>
        <w:rPr>
          <w:spacing w:val="-9"/>
          <w:sz w:val="24"/>
          <w:szCs w:val="24"/>
        </w:rPr>
        <w:t>年、</w:t>
      </w:r>
      <w:r>
        <w:rPr>
          <w:rFonts w:ascii="Times New Roman" w:hAnsi="Times New Roman" w:eastAsia="Times New Roman" w:cs="Times New Roman"/>
          <w:spacing w:val="-9"/>
          <w:sz w:val="24"/>
          <w:szCs w:val="24"/>
        </w:rPr>
        <w:t xml:space="preserve">2015 </w:t>
      </w:r>
      <w:r>
        <w:rPr>
          <w:spacing w:val="-9"/>
          <w:sz w:val="24"/>
          <w:szCs w:val="24"/>
        </w:rPr>
        <w:t>年均为Ⅳ类，主要超标因子为</w:t>
      </w:r>
      <w:r>
        <w:rPr>
          <w:spacing w:val="-46"/>
          <w:sz w:val="24"/>
          <w:szCs w:val="24"/>
        </w:rPr>
        <w:t xml:space="preserve"> </w:t>
      </w:r>
      <w:r>
        <w:rPr>
          <w:rFonts w:ascii="Times New Roman" w:hAnsi="Times New Roman" w:eastAsia="Times New Roman" w:cs="Times New Roman"/>
          <w:spacing w:val="-9"/>
          <w:sz w:val="24"/>
          <w:szCs w:val="24"/>
        </w:rPr>
        <w:t>TP</w:t>
      </w:r>
      <w:r>
        <w:rPr>
          <w:spacing w:val="-9"/>
          <w:sz w:val="24"/>
          <w:szCs w:val="24"/>
        </w:rPr>
        <w:t>、</w:t>
      </w:r>
      <w:r>
        <w:rPr>
          <w:rFonts w:ascii="Times New Roman" w:hAnsi="Times New Roman" w:eastAsia="Times New Roman" w:cs="Times New Roman"/>
          <w:spacing w:val="-9"/>
          <w:sz w:val="24"/>
          <w:szCs w:val="24"/>
        </w:rPr>
        <w:t>COD</w:t>
      </w:r>
      <w:r>
        <w:rPr>
          <w:rFonts w:ascii="Times New Roman" w:hAnsi="Times New Roman" w:eastAsia="Times New Roman" w:cs="Times New Roman"/>
          <w:spacing w:val="-33"/>
          <w:sz w:val="24"/>
          <w:szCs w:val="24"/>
        </w:rPr>
        <w:t xml:space="preserve"> </w:t>
      </w:r>
      <w:r>
        <w:rPr>
          <w:spacing w:val="-9"/>
          <w:sz w:val="24"/>
          <w:szCs w:val="24"/>
        </w:rPr>
        <w:t>、</w:t>
      </w:r>
      <w:r>
        <w:rPr>
          <w:sz w:val="24"/>
          <w:szCs w:val="24"/>
        </w:rPr>
        <w:t xml:space="preserve"> </w:t>
      </w:r>
      <w:r>
        <w:rPr>
          <w:rFonts w:ascii="Times New Roman" w:hAnsi="Times New Roman" w:eastAsia="Times New Roman" w:cs="Times New Roman"/>
          <w:spacing w:val="-2"/>
          <w:sz w:val="24"/>
          <w:szCs w:val="24"/>
        </w:rPr>
        <w:t>NH</w:t>
      </w:r>
      <w:r>
        <w:rPr>
          <w:rFonts w:ascii="Times New Roman" w:hAnsi="Times New Roman" w:eastAsia="Times New Roman" w:cs="Times New Roman"/>
          <w:spacing w:val="-2"/>
          <w:sz w:val="15"/>
          <w:szCs w:val="15"/>
        </w:rPr>
        <w:t>3</w:t>
      </w:r>
      <w:r>
        <w:rPr>
          <w:rFonts w:ascii="Times New Roman" w:hAnsi="Times New Roman" w:eastAsia="Times New Roman" w:cs="Times New Roman"/>
          <w:spacing w:val="-2"/>
          <w:sz w:val="24"/>
          <w:szCs w:val="24"/>
        </w:rPr>
        <w:t>-N</w:t>
      </w:r>
      <w:r>
        <w:rPr>
          <w:spacing w:val="-2"/>
          <w:sz w:val="24"/>
          <w:szCs w:val="24"/>
        </w:rPr>
        <w:t>、氟化物；经县城后，随着下游支流不断汇入</w:t>
      </w:r>
      <w:r>
        <w:rPr>
          <w:spacing w:val="-3"/>
          <w:sz w:val="24"/>
          <w:szCs w:val="24"/>
        </w:rPr>
        <w:t>，水质有所好转，但仍不能完</w:t>
      </w:r>
      <w:r>
        <w:rPr>
          <w:spacing w:val="-5"/>
          <w:sz w:val="24"/>
          <w:szCs w:val="24"/>
        </w:rPr>
        <w:t>全满足水环境功能要求，库区河段（土官寨、格里） 和坝址断面</w:t>
      </w:r>
      <w:r>
        <w:rPr>
          <w:spacing w:val="-43"/>
          <w:sz w:val="24"/>
          <w:szCs w:val="24"/>
        </w:rPr>
        <w:t xml:space="preserve"> </w:t>
      </w:r>
      <w:r>
        <w:rPr>
          <w:rFonts w:ascii="Times New Roman" w:hAnsi="Times New Roman" w:eastAsia="Times New Roman" w:cs="Times New Roman"/>
          <w:spacing w:val="-5"/>
          <w:sz w:val="24"/>
          <w:szCs w:val="24"/>
        </w:rPr>
        <w:t xml:space="preserve">2011 </w:t>
      </w:r>
      <w:r>
        <w:rPr>
          <w:spacing w:val="-5"/>
          <w:sz w:val="24"/>
          <w:szCs w:val="24"/>
        </w:rPr>
        <w:t>年～</w:t>
      </w:r>
      <w:r>
        <w:rPr>
          <w:rFonts w:ascii="Times New Roman" w:hAnsi="Times New Roman" w:eastAsia="Times New Roman" w:cs="Times New Roman"/>
          <w:spacing w:val="-5"/>
          <w:sz w:val="24"/>
          <w:szCs w:val="24"/>
        </w:rPr>
        <w:t xml:space="preserve">2014 </w:t>
      </w:r>
      <w:r>
        <w:rPr>
          <w:spacing w:val="-5"/>
          <w:sz w:val="24"/>
          <w:szCs w:val="24"/>
        </w:rPr>
        <w:t>年</w:t>
      </w:r>
      <w:r>
        <w:rPr>
          <w:spacing w:val="-2"/>
          <w:sz w:val="24"/>
          <w:szCs w:val="24"/>
        </w:rPr>
        <w:t>水质类别为Ⅳ类，主要超标因子为</w:t>
      </w:r>
      <w:r>
        <w:rPr>
          <w:spacing w:val="-53"/>
          <w:sz w:val="24"/>
          <w:szCs w:val="24"/>
        </w:rPr>
        <w:t xml:space="preserve"> </w:t>
      </w:r>
      <w:r>
        <w:rPr>
          <w:rFonts w:ascii="Times New Roman" w:hAnsi="Times New Roman" w:eastAsia="Times New Roman" w:cs="Times New Roman"/>
          <w:spacing w:val="-2"/>
          <w:sz w:val="24"/>
          <w:szCs w:val="24"/>
        </w:rPr>
        <w:t>TP</w:t>
      </w:r>
      <w:r>
        <w:rPr>
          <w:spacing w:val="-2"/>
          <w:sz w:val="24"/>
          <w:szCs w:val="24"/>
        </w:rPr>
        <w:t>、</w:t>
      </w:r>
      <w:r>
        <w:rPr>
          <w:rFonts w:ascii="Times New Roman" w:hAnsi="Times New Roman" w:eastAsia="Times New Roman" w:cs="Times New Roman"/>
          <w:spacing w:val="-2"/>
          <w:sz w:val="24"/>
          <w:szCs w:val="24"/>
        </w:rPr>
        <w:t>NH</w:t>
      </w:r>
      <w:r>
        <w:rPr>
          <w:rFonts w:ascii="Times New Roman" w:hAnsi="Times New Roman" w:eastAsia="Times New Roman" w:cs="Times New Roman"/>
          <w:spacing w:val="-2"/>
          <w:sz w:val="15"/>
          <w:szCs w:val="15"/>
        </w:rPr>
        <w:t>3</w:t>
      </w:r>
      <w:r>
        <w:rPr>
          <w:rFonts w:ascii="Times New Roman" w:hAnsi="Times New Roman" w:eastAsia="Times New Roman" w:cs="Times New Roman"/>
          <w:spacing w:val="-2"/>
          <w:sz w:val="24"/>
          <w:szCs w:val="24"/>
        </w:rPr>
        <w:t>-N</w:t>
      </w:r>
      <w:r>
        <w:rPr>
          <w:spacing w:val="-2"/>
          <w:sz w:val="24"/>
          <w:szCs w:val="24"/>
        </w:rPr>
        <w:t>、</w:t>
      </w:r>
      <w:r>
        <w:rPr>
          <w:rFonts w:ascii="Times New Roman" w:hAnsi="Times New Roman" w:eastAsia="Times New Roman" w:cs="Times New Roman"/>
          <w:spacing w:val="-2"/>
          <w:sz w:val="24"/>
          <w:szCs w:val="24"/>
        </w:rPr>
        <w:t>CO</w:t>
      </w:r>
      <w:r>
        <w:rPr>
          <w:rFonts w:ascii="Times New Roman" w:hAnsi="Times New Roman" w:eastAsia="Times New Roman" w:cs="Times New Roman"/>
          <w:spacing w:val="-3"/>
          <w:sz w:val="24"/>
          <w:szCs w:val="24"/>
        </w:rPr>
        <w:t>D</w:t>
      </w:r>
      <w:r>
        <w:rPr>
          <w:spacing w:val="-3"/>
          <w:sz w:val="24"/>
          <w:szCs w:val="24"/>
        </w:rPr>
        <w:t>、</w:t>
      </w:r>
      <w:r>
        <w:rPr>
          <w:rFonts w:ascii="Times New Roman" w:hAnsi="Times New Roman" w:eastAsia="Times New Roman" w:cs="Times New Roman"/>
          <w:spacing w:val="-3"/>
          <w:sz w:val="24"/>
          <w:szCs w:val="24"/>
        </w:rPr>
        <w:t xml:space="preserve">pH </w:t>
      </w:r>
      <w:r>
        <w:rPr>
          <w:spacing w:val="-3"/>
          <w:sz w:val="24"/>
          <w:szCs w:val="24"/>
        </w:rPr>
        <w:t>值，均不能满足Ⅲ类水</w:t>
      </w:r>
      <w:r>
        <w:rPr>
          <w:spacing w:val="-2"/>
          <w:sz w:val="24"/>
          <w:szCs w:val="24"/>
        </w:rPr>
        <w:t>质标准，</w:t>
      </w:r>
      <w:r>
        <w:rPr>
          <w:rFonts w:ascii="Times New Roman" w:hAnsi="Times New Roman" w:eastAsia="Times New Roman" w:cs="Times New Roman"/>
          <w:spacing w:val="-2"/>
          <w:sz w:val="24"/>
          <w:szCs w:val="24"/>
        </w:rPr>
        <w:t xml:space="preserve">2015 </w:t>
      </w:r>
      <w:r>
        <w:rPr>
          <w:spacing w:val="-2"/>
          <w:sz w:val="24"/>
          <w:szCs w:val="24"/>
        </w:rPr>
        <w:t>年</w:t>
      </w:r>
      <w:r>
        <w:rPr>
          <w:spacing w:val="-33"/>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15"/>
          <w:sz w:val="24"/>
          <w:szCs w:val="24"/>
        </w:rPr>
        <w:t xml:space="preserve"> </w:t>
      </w:r>
      <w:r>
        <w:rPr>
          <w:spacing w:val="-2"/>
          <w:sz w:val="24"/>
          <w:szCs w:val="24"/>
        </w:rPr>
        <w:t>月水质满足Ⅲ类标准要求，</w:t>
      </w:r>
      <w:r>
        <w:rPr>
          <w:rFonts w:ascii="Times New Roman" w:hAnsi="Times New Roman" w:eastAsia="Times New Roman" w:cs="Times New Roman"/>
          <w:spacing w:val="-2"/>
          <w:sz w:val="24"/>
          <w:szCs w:val="24"/>
        </w:rPr>
        <w:t xml:space="preserve">2016 </w:t>
      </w:r>
      <w:r>
        <w:rPr>
          <w:spacing w:val="-2"/>
          <w:sz w:val="24"/>
          <w:szCs w:val="24"/>
        </w:rPr>
        <w:t>年</w:t>
      </w:r>
      <w:r>
        <w:rPr>
          <w:spacing w:val="-50"/>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15"/>
          <w:sz w:val="24"/>
          <w:szCs w:val="24"/>
        </w:rPr>
        <w:t xml:space="preserve"> </w:t>
      </w:r>
      <w:r>
        <w:rPr>
          <w:spacing w:val="-2"/>
          <w:sz w:val="24"/>
          <w:szCs w:val="24"/>
        </w:rPr>
        <w:t>月除库尾土官寨断面挥发</w:t>
      </w:r>
      <w:r>
        <w:rPr>
          <w:spacing w:val="-4"/>
          <w:sz w:val="24"/>
          <w:szCs w:val="24"/>
        </w:rPr>
        <w:t>酚略有超标外，其余指标均满足Ⅲ类标准要求；坝址下游河段（马过河断面、入牛</w:t>
      </w:r>
      <w:r>
        <w:rPr>
          <w:spacing w:val="-6"/>
          <w:sz w:val="24"/>
          <w:szCs w:val="24"/>
        </w:rPr>
        <w:t>栏江前</w:t>
      </w:r>
      <w:r>
        <w:rPr>
          <w:spacing w:val="-32"/>
          <w:sz w:val="24"/>
          <w:szCs w:val="24"/>
        </w:rPr>
        <w:t xml:space="preserve"> </w:t>
      </w:r>
      <w:r>
        <w:rPr>
          <w:rFonts w:ascii="Times New Roman" w:hAnsi="Times New Roman" w:eastAsia="Times New Roman" w:cs="Times New Roman"/>
          <w:spacing w:val="-6"/>
          <w:sz w:val="24"/>
          <w:szCs w:val="24"/>
        </w:rPr>
        <w:t>1km</w:t>
      </w:r>
      <w:r>
        <w:rPr>
          <w:rFonts w:ascii="Times New Roman" w:hAnsi="Times New Roman" w:eastAsia="Times New Roman" w:cs="Times New Roman"/>
          <w:spacing w:val="18"/>
          <w:sz w:val="24"/>
          <w:szCs w:val="24"/>
        </w:rPr>
        <w:t xml:space="preserve"> </w:t>
      </w:r>
      <w:r>
        <w:rPr>
          <w:spacing w:val="-6"/>
          <w:sz w:val="24"/>
          <w:szCs w:val="24"/>
        </w:rPr>
        <w:t>断面）水质由差转好，</w:t>
      </w:r>
      <w:r>
        <w:rPr>
          <w:rFonts w:ascii="Times New Roman" w:hAnsi="Times New Roman" w:eastAsia="Times New Roman" w:cs="Times New Roman"/>
          <w:spacing w:val="-6"/>
          <w:sz w:val="24"/>
          <w:szCs w:val="24"/>
        </w:rPr>
        <w:t xml:space="preserve">2011 </w:t>
      </w:r>
      <w:r>
        <w:rPr>
          <w:spacing w:val="-7"/>
          <w:sz w:val="24"/>
          <w:szCs w:val="24"/>
        </w:rPr>
        <w:t>年为劣Ⅴ类，超标因子为</w:t>
      </w:r>
      <w:r>
        <w:rPr>
          <w:spacing w:val="-52"/>
          <w:sz w:val="24"/>
          <w:szCs w:val="24"/>
        </w:rPr>
        <w:t xml:space="preserve"> </w:t>
      </w:r>
      <w:r>
        <w:rPr>
          <w:rFonts w:ascii="Times New Roman" w:hAnsi="Times New Roman" w:eastAsia="Times New Roman" w:cs="Times New Roman"/>
          <w:spacing w:val="-7"/>
          <w:sz w:val="24"/>
          <w:szCs w:val="24"/>
        </w:rPr>
        <w:t>TP</w:t>
      </w:r>
      <w:r>
        <w:rPr>
          <w:spacing w:val="-7"/>
          <w:sz w:val="24"/>
          <w:szCs w:val="24"/>
        </w:rPr>
        <w:t>、</w:t>
      </w:r>
      <w:r>
        <w:rPr>
          <w:rFonts w:ascii="Times New Roman" w:hAnsi="Times New Roman" w:eastAsia="Times New Roman" w:cs="Times New Roman"/>
          <w:spacing w:val="-7"/>
          <w:sz w:val="24"/>
          <w:szCs w:val="24"/>
        </w:rPr>
        <w:t xml:space="preserve">pH </w:t>
      </w:r>
      <w:r>
        <w:rPr>
          <w:spacing w:val="-7"/>
          <w:sz w:val="24"/>
          <w:szCs w:val="24"/>
        </w:rPr>
        <w:t>值，</w:t>
      </w:r>
      <w:r>
        <w:rPr>
          <w:rFonts w:ascii="Times New Roman" w:hAnsi="Times New Roman" w:eastAsia="Times New Roman" w:cs="Times New Roman"/>
          <w:spacing w:val="-7"/>
          <w:sz w:val="24"/>
          <w:szCs w:val="24"/>
        </w:rPr>
        <w:t>2012</w:t>
      </w:r>
      <w:r>
        <w:rPr>
          <w:spacing w:val="-1"/>
          <w:sz w:val="24"/>
          <w:szCs w:val="24"/>
        </w:rPr>
        <w:t>年、</w:t>
      </w:r>
      <w:r>
        <w:rPr>
          <w:rFonts w:ascii="Times New Roman" w:hAnsi="Times New Roman" w:eastAsia="Times New Roman" w:cs="Times New Roman"/>
          <w:spacing w:val="-1"/>
          <w:sz w:val="24"/>
          <w:szCs w:val="24"/>
        </w:rPr>
        <w:t>2015</w:t>
      </w:r>
      <w:r>
        <w:rPr>
          <w:rFonts w:ascii="Times New Roman" w:hAnsi="Times New Roman" w:eastAsia="Times New Roman" w:cs="Times New Roman"/>
          <w:spacing w:val="24"/>
          <w:w w:val="101"/>
          <w:sz w:val="24"/>
          <w:szCs w:val="24"/>
        </w:rPr>
        <w:t xml:space="preserve"> </w:t>
      </w:r>
      <w:r>
        <w:rPr>
          <w:spacing w:val="-1"/>
          <w:sz w:val="24"/>
          <w:szCs w:val="24"/>
        </w:rPr>
        <w:t>年和</w:t>
      </w:r>
      <w:r>
        <w:rPr>
          <w:spacing w:val="-41"/>
          <w:sz w:val="24"/>
          <w:szCs w:val="24"/>
        </w:rPr>
        <w:t xml:space="preserve"> </w:t>
      </w: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5"/>
          <w:sz w:val="24"/>
          <w:szCs w:val="24"/>
        </w:rPr>
        <w:t xml:space="preserve"> </w:t>
      </w:r>
      <w:r>
        <w:rPr>
          <w:spacing w:val="-1"/>
          <w:sz w:val="24"/>
          <w:szCs w:val="24"/>
        </w:rPr>
        <w:t>年水质均满足Ⅲ类标</w:t>
      </w:r>
      <w:r>
        <w:rPr>
          <w:spacing w:val="-2"/>
          <w:sz w:val="24"/>
          <w:szCs w:val="24"/>
        </w:rPr>
        <w:t>准要求。随着下游支流汇入，水量增加，</w:t>
      </w:r>
      <w:r>
        <w:rPr>
          <w:spacing w:val="-1"/>
          <w:sz w:val="24"/>
          <w:szCs w:val="24"/>
        </w:rPr>
        <w:t>河流自净能力和纳污能力有所增强，水质较车马碧水</w:t>
      </w:r>
      <w:r>
        <w:rPr>
          <w:spacing w:val="-2"/>
          <w:sz w:val="24"/>
          <w:szCs w:val="24"/>
        </w:rPr>
        <w:t>库库区和坝址附近有所好转，</w:t>
      </w:r>
      <w:r>
        <w:rPr>
          <w:sz w:val="24"/>
          <w:szCs w:val="24"/>
        </w:rPr>
        <w:t xml:space="preserve"> </w:t>
      </w:r>
      <w:r>
        <w:rPr>
          <w:rFonts w:ascii="Times New Roman" w:hAnsi="Times New Roman" w:eastAsia="Times New Roman" w:cs="Times New Roman"/>
          <w:spacing w:val="-1"/>
          <w:sz w:val="24"/>
          <w:szCs w:val="24"/>
        </w:rPr>
        <w:t xml:space="preserve">2012 </w:t>
      </w:r>
      <w:r>
        <w:rPr>
          <w:spacing w:val="-1"/>
          <w:sz w:val="24"/>
          <w:szCs w:val="24"/>
        </w:rPr>
        <w:t>年、</w:t>
      </w:r>
      <w:r>
        <w:rPr>
          <w:rFonts w:ascii="Times New Roman" w:hAnsi="Times New Roman" w:eastAsia="Times New Roman" w:cs="Times New Roman"/>
          <w:spacing w:val="-1"/>
          <w:sz w:val="24"/>
          <w:szCs w:val="24"/>
        </w:rPr>
        <w:t xml:space="preserve">2015 </w:t>
      </w:r>
      <w:r>
        <w:rPr>
          <w:spacing w:val="-1"/>
          <w:sz w:val="24"/>
          <w:szCs w:val="24"/>
        </w:rPr>
        <w:t>年和</w:t>
      </w:r>
      <w:r>
        <w:rPr>
          <w:spacing w:val="-49"/>
          <w:sz w:val="24"/>
          <w:szCs w:val="24"/>
        </w:rPr>
        <w:t xml:space="preserve"> </w:t>
      </w:r>
      <w:r>
        <w:rPr>
          <w:rFonts w:ascii="Times New Roman" w:hAnsi="Times New Roman" w:eastAsia="Times New Roman" w:cs="Times New Roman"/>
          <w:spacing w:val="-1"/>
          <w:sz w:val="24"/>
          <w:szCs w:val="24"/>
        </w:rPr>
        <w:t xml:space="preserve">2016 </w:t>
      </w:r>
      <w:r>
        <w:rPr>
          <w:spacing w:val="-1"/>
          <w:sz w:val="24"/>
          <w:szCs w:val="24"/>
        </w:rPr>
        <w:t>年水质均可满足Ⅲ标准要求。</w:t>
      </w:r>
    </w:p>
    <w:p w14:paraId="1A1C0943">
      <w:pPr>
        <w:pStyle w:val="2"/>
        <w:spacing w:before="2" w:line="338" w:lineRule="auto"/>
        <w:ind w:left="35" w:right="84" w:firstLine="491"/>
        <w:rPr>
          <w:sz w:val="24"/>
          <w:szCs w:val="24"/>
        </w:rPr>
      </w:pPr>
      <w:r>
        <w:rPr>
          <w:spacing w:val="-2"/>
          <w:sz w:val="24"/>
          <w:szCs w:val="24"/>
        </w:rPr>
        <w:t>马龙河主要支流永发河、车章河、白塔河、红桥河各监测断面</w:t>
      </w:r>
      <w:r>
        <w:rPr>
          <w:spacing w:val="-48"/>
          <w:sz w:val="24"/>
          <w:szCs w:val="24"/>
        </w:rPr>
        <w:t xml:space="preserve"> </w:t>
      </w:r>
      <w:r>
        <w:rPr>
          <w:rFonts w:ascii="Times New Roman" w:hAnsi="Times New Roman" w:eastAsia="Times New Roman" w:cs="Times New Roman"/>
          <w:spacing w:val="-2"/>
          <w:sz w:val="24"/>
          <w:szCs w:val="24"/>
        </w:rPr>
        <w:t xml:space="preserve">2015 </w:t>
      </w:r>
      <w:r>
        <w:rPr>
          <w:spacing w:val="-2"/>
          <w:sz w:val="24"/>
          <w:szCs w:val="24"/>
        </w:rPr>
        <w:t>年</w:t>
      </w:r>
      <w:r>
        <w:rPr>
          <w:spacing w:val="-48"/>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15"/>
          <w:sz w:val="24"/>
          <w:szCs w:val="24"/>
        </w:rPr>
        <w:t xml:space="preserve"> </w:t>
      </w:r>
      <w:r>
        <w:rPr>
          <w:spacing w:val="-2"/>
          <w:sz w:val="24"/>
          <w:szCs w:val="24"/>
        </w:rPr>
        <w:t>月和</w:t>
      </w:r>
      <w:r>
        <w:rPr>
          <w:rFonts w:ascii="Times New Roman" w:hAnsi="Times New Roman" w:eastAsia="Times New Roman" w:cs="Times New Roman"/>
          <w:spacing w:val="-1"/>
          <w:sz w:val="24"/>
          <w:szCs w:val="24"/>
        </w:rPr>
        <w:t xml:space="preserve">2016 </w:t>
      </w:r>
      <w:r>
        <w:rPr>
          <w:spacing w:val="-1"/>
          <w:sz w:val="24"/>
          <w:szCs w:val="24"/>
        </w:rPr>
        <w:t>年</w:t>
      </w:r>
      <w:r>
        <w:rPr>
          <w:spacing w:val="-50"/>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15"/>
          <w:sz w:val="24"/>
          <w:szCs w:val="24"/>
        </w:rPr>
        <w:t xml:space="preserve"> </w:t>
      </w:r>
      <w:r>
        <w:rPr>
          <w:spacing w:val="-1"/>
          <w:sz w:val="24"/>
          <w:szCs w:val="24"/>
        </w:rPr>
        <w:t>月监测结果均可满足Ⅲ类水</w:t>
      </w:r>
      <w:r>
        <w:rPr>
          <w:spacing w:val="-2"/>
          <w:sz w:val="24"/>
          <w:szCs w:val="24"/>
        </w:rPr>
        <w:t>质标准要求。</w:t>
      </w:r>
    </w:p>
    <w:p w14:paraId="6F3D95C2">
      <w:pPr>
        <w:pStyle w:val="2"/>
        <w:spacing w:before="1" w:line="232" w:lineRule="auto"/>
        <w:ind w:left="528"/>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）牛栏江干流水质概况</w:t>
      </w:r>
    </w:p>
    <w:p w14:paraId="6D088377">
      <w:pPr>
        <w:pStyle w:val="2"/>
        <w:spacing w:before="139" w:line="339" w:lineRule="auto"/>
        <w:ind w:left="39" w:right="85" w:firstLine="485"/>
        <w:rPr>
          <w:sz w:val="24"/>
          <w:szCs w:val="24"/>
        </w:rPr>
      </w:pPr>
      <w:r>
        <w:rPr>
          <w:spacing w:val="-8"/>
          <w:sz w:val="24"/>
          <w:szCs w:val="24"/>
        </w:rPr>
        <w:t>牛栏江水质保护目标为《地表水环境质量标准》（</w:t>
      </w:r>
      <w:r>
        <w:rPr>
          <w:rFonts w:ascii="Times New Roman" w:hAnsi="Times New Roman" w:eastAsia="Times New Roman" w:cs="Times New Roman"/>
          <w:spacing w:val="-8"/>
          <w:sz w:val="24"/>
          <w:szCs w:val="24"/>
        </w:rPr>
        <w:t>GB3838-2002</w:t>
      </w:r>
      <w:r>
        <w:rPr>
          <w:spacing w:val="-8"/>
          <w:sz w:val="24"/>
          <w:szCs w:val="24"/>
        </w:rPr>
        <w:t>）</w:t>
      </w:r>
      <w:r>
        <w:rPr>
          <w:spacing w:val="-9"/>
          <w:sz w:val="24"/>
          <w:szCs w:val="24"/>
        </w:rPr>
        <w:t>中Ⅲ类标准。</w:t>
      </w:r>
      <w:r>
        <w:rPr>
          <w:spacing w:val="-2"/>
          <w:sz w:val="24"/>
          <w:szCs w:val="24"/>
        </w:rPr>
        <w:t>环评阶段于</w:t>
      </w:r>
      <w:r>
        <w:rPr>
          <w:spacing w:val="-42"/>
          <w:sz w:val="24"/>
          <w:szCs w:val="24"/>
        </w:rPr>
        <w:t xml:space="preserve"> </w:t>
      </w:r>
      <w:r>
        <w:rPr>
          <w:rFonts w:ascii="Times New Roman" w:hAnsi="Times New Roman" w:eastAsia="Times New Roman" w:cs="Times New Roman"/>
          <w:spacing w:val="-2"/>
          <w:sz w:val="24"/>
          <w:szCs w:val="24"/>
        </w:rPr>
        <w:t>2015</w:t>
      </w:r>
      <w:r>
        <w:rPr>
          <w:rFonts w:ascii="Times New Roman" w:hAnsi="Times New Roman" w:eastAsia="Times New Roman" w:cs="Times New Roman"/>
          <w:spacing w:val="24"/>
          <w:sz w:val="24"/>
          <w:szCs w:val="24"/>
        </w:rPr>
        <w:t xml:space="preserve"> </w:t>
      </w:r>
      <w:r>
        <w:rPr>
          <w:spacing w:val="-2"/>
          <w:sz w:val="24"/>
          <w:szCs w:val="24"/>
        </w:rPr>
        <w:t>年</w:t>
      </w:r>
      <w:r>
        <w:rPr>
          <w:spacing w:val="-37"/>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29"/>
          <w:sz w:val="24"/>
          <w:szCs w:val="24"/>
        </w:rPr>
        <w:t xml:space="preserve"> </w:t>
      </w:r>
      <w:r>
        <w:rPr>
          <w:spacing w:val="-2"/>
          <w:sz w:val="24"/>
          <w:szCs w:val="24"/>
        </w:rPr>
        <w:t>月和</w:t>
      </w:r>
      <w:r>
        <w:rPr>
          <w:spacing w:val="-42"/>
          <w:sz w:val="24"/>
          <w:szCs w:val="24"/>
        </w:rPr>
        <w:t xml:space="preserve"> </w:t>
      </w:r>
      <w:r>
        <w:rPr>
          <w:rFonts w:ascii="Times New Roman" w:hAnsi="Times New Roman" w:eastAsia="Times New Roman" w:cs="Times New Roman"/>
          <w:spacing w:val="-2"/>
          <w:sz w:val="24"/>
          <w:szCs w:val="24"/>
        </w:rPr>
        <w:t>2016</w:t>
      </w:r>
      <w:r>
        <w:rPr>
          <w:rFonts w:ascii="Times New Roman" w:hAnsi="Times New Roman" w:eastAsia="Times New Roman" w:cs="Times New Roman"/>
          <w:spacing w:val="24"/>
          <w:sz w:val="24"/>
          <w:szCs w:val="24"/>
        </w:rPr>
        <w:t xml:space="preserve"> </w:t>
      </w:r>
      <w:r>
        <w:rPr>
          <w:spacing w:val="-2"/>
          <w:sz w:val="24"/>
          <w:szCs w:val="24"/>
        </w:rPr>
        <w:t>年</w:t>
      </w:r>
      <w:r>
        <w:rPr>
          <w:spacing w:val="-37"/>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28"/>
          <w:w w:val="101"/>
          <w:sz w:val="24"/>
          <w:szCs w:val="24"/>
        </w:rPr>
        <w:t xml:space="preserve"> </w:t>
      </w:r>
      <w:r>
        <w:rPr>
          <w:spacing w:val="-2"/>
          <w:sz w:val="24"/>
          <w:szCs w:val="24"/>
        </w:rPr>
        <w:t>月</w:t>
      </w:r>
      <w:r>
        <w:rPr>
          <w:spacing w:val="-3"/>
          <w:sz w:val="24"/>
          <w:szCs w:val="24"/>
        </w:rPr>
        <w:t>分别对马龙河汇入牛栏江上、下游断面进</w:t>
      </w:r>
      <w:r>
        <w:rPr>
          <w:spacing w:val="-1"/>
          <w:sz w:val="24"/>
          <w:szCs w:val="24"/>
        </w:rPr>
        <w:t>行了补充监测。补充监测断面水质达标情况见表</w:t>
      </w:r>
      <w:r>
        <w:rPr>
          <w:spacing w:val="-43"/>
          <w:sz w:val="24"/>
          <w:szCs w:val="24"/>
        </w:rPr>
        <w:t xml:space="preserve"> </w:t>
      </w:r>
      <w:r>
        <w:rPr>
          <w:rFonts w:ascii="Times New Roman" w:hAnsi="Times New Roman" w:eastAsia="Times New Roman" w:cs="Times New Roman"/>
          <w:spacing w:val="-1"/>
          <w:sz w:val="24"/>
          <w:szCs w:val="24"/>
        </w:rPr>
        <w:t>6.2-2</w:t>
      </w:r>
      <w:r>
        <w:rPr>
          <w:spacing w:val="-1"/>
          <w:sz w:val="24"/>
          <w:szCs w:val="24"/>
        </w:rPr>
        <w:t>。</w:t>
      </w:r>
    </w:p>
    <w:p w14:paraId="32053989">
      <w:pPr>
        <w:spacing w:line="339" w:lineRule="auto"/>
        <w:rPr>
          <w:sz w:val="24"/>
          <w:szCs w:val="24"/>
        </w:rPr>
        <w:sectPr>
          <w:headerReference r:id="rId233" w:type="default"/>
          <w:footerReference r:id="rId234" w:type="default"/>
          <w:pgSz w:w="11907" w:h="16839"/>
          <w:pgMar w:top="1376" w:right="1614" w:bottom="1061" w:left="1671" w:header="999" w:footer="861" w:gutter="0"/>
          <w:cols w:space="720" w:num="1"/>
        </w:sectPr>
      </w:pPr>
    </w:p>
    <w:p w14:paraId="5D932BE5">
      <w:pPr>
        <w:spacing w:line="454" w:lineRule="auto"/>
        <w:rPr>
          <w:rFonts w:ascii="Arial"/>
          <w:sz w:val="21"/>
        </w:rPr>
      </w:pPr>
    </w:p>
    <w:p w14:paraId="26B9660A">
      <w:pPr>
        <w:pStyle w:val="2"/>
        <w:spacing w:before="78" w:line="339" w:lineRule="auto"/>
        <w:ind w:left="34" w:right="63" w:firstLine="491"/>
        <w:rPr>
          <w:sz w:val="24"/>
          <w:szCs w:val="24"/>
        </w:rPr>
      </w:pPr>
      <w:r>
        <w:rPr>
          <w:spacing w:val="-2"/>
          <w:sz w:val="24"/>
          <w:szCs w:val="24"/>
        </w:rPr>
        <w:t>牛栏江干流（马龙河汇口上游</w:t>
      </w:r>
      <w:r>
        <w:rPr>
          <w:spacing w:val="-28"/>
          <w:sz w:val="24"/>
          <w:szCs w:val="24"/>
        </w:rPr>
        <w:t xml:space="preserve"> </w:t>
      </w:r>
      <w:r>
        <w:rPr>
          <w:rFonts w:ascii="Times New Roman" w:hAnsi="Times New Roman" w:eastAsia="Times New Roman" w:cs="Times New Roman"/>
          <w:spacing w:val="-2"/>
          <w:sz w:val="24"/>
          <w:szCs w:val="24"/>
        </w:rPr>
        <w:t>1km</w:t>
      </w:r>
      <w:r>
        <w:rPr>
          <w:spacing w:val="-2"/>
          <w:sz w:val="24"/>
          <w:szCs w:val="24"/>
        </w:rPr>
        <w:t>）断面</w:t>
      </w:r>
      <w:r>
        <w:rPr>
          <w:spacing w:val="-55"/>
          <w:sz w:val="24"/>
          <w:szCs w:val="24"/>
        </w:rPr>
        <w:t xml:space="preserve"> </w:t>
      </w:r>
      <w:r>
        <w:rPr>
          <w:rFonts w:ascii="Times New Roman" w:hAnsi="Times New Roman" w:eastAsia="Times New Roman" w:cs="Times New Roman"/>
          <w:spacing w:val="-2"/>
          <w:sz w:val="24"/>
          <w:szCs w:val="24"/>
        </w:rPr>
        <w:t xml:space="preserve">2015 </w:t>
      </w:r>
      <w:r>
        <w:rPr>
          <w:spacing w:val="-2"/>
          <w:sz w:val="24"/>
          <w:szCs w:val="24"/>
        </w:rPr>
        <w:t>年水质类别为Ⅳ类，超标项为</w:t>
      </w:r>
      <w:r>
        <w:rPr>
          <w:rFonts w:ascii="Times New Roman" w:hAnsi="Times New Roman" w:eastAsia="Times New Roman" w:cs="Times New Roman"/>
          <w:spacing w:val="-1"/>
          <w:sz w:val="24"/>
          <w:szCs w:val="24"/>
        </w:rPr>
        <w:t>DO</w:t>
      </w:r>
      <w:r>
        <w:rPr>
          <w:spacing w:val="-1"/>
          <w:sz w:val="24"/>
          <w:szCs w:val="24"/>
        </w:rPr>
        <w:t>；</w:t>
      </w:r>
      <w:r>
        <w:rPr>
          <w:rFonts w:ascii="Times New Roman" w:hAnsi="Times New Roman" w:eastAsia="Times New Roman" w:cs="Times New Roman"/>
          <w:spacing w:val="-1"/>
          <w:sz w:val="24"/>
          <w:szCs w:val="24"/>
        </w:rPr>
        <w:t xml:space="preserve">2016 </w:t>
      </w:r>
      <w:r>
        <w:rPr>
          <w:spacing w:val="-1"/>
          <w:sz w:val="24"/>
          <w:szCs w:val="24"/>
        </w:rPr>
        <w:t>年水质指标均可满足Ⅲ类</w:t>
      </w:r>
      <w:r>
        <w:rPr>
          <w:spacing w:val="-2"/>
          <w:sz w:val="24"/>
          <w:szCs w:val="24"/>
        </w:rPr>
        <w:t>水质标准要求。</w:t>
      </w:r>
    </w:p>
    <w:p w14:paraId="1E020995">
      <w:pPr>
        <w:pStyle w:val="2"/>
        <w:spacing w:before="1" w:line="338" w:lineRule="auto"/>
        <w:ind w:left="37" w:right="63" w:firstLine="487"/>
        <w:rPr>
          <w:sz w:val="24"/>
          <w:szCs w:val="24"/>
        </w:rPr>
      </w:pPr>
      <w:r>
        <w:rPr>
          <w:spacing w:val="-2"/>
          <w:sz w:val="24"/>
          <w:szCs w:val="24"/>
        </w:rPr>
        <w:t>牛栏江干流（马龙河汇口下游</w:t>
      </w:r>
      <w:r>
        <w:rPr>
          <w:spacing w:val="-28"/>
          <w:sz w:val="24"/>
          <w:szCs w:val="24"/>
        </w:rPr>
        <w:t xml:space="preserve"> </w:t>
      </w:r>
      <w:r>
        <w:rPr>
          <w:rFonts w:ascii="Times New Roman" w:hAnsi="Times New Roman" w:eastAsia="Times New Roman" w:cs="Times New Roman"/>
          <w:spacing w:val="-2"/>
          <w:sz w:val="24"/>
          <w:szCs w:val="24"/>
        </w:rPr>
        <w:t>1km</w:t>
      </w:r>
      <w:r>
        <w:rPr>
          <w:spacing w:val="-2"/>
          <w:sz w:val="24"/>
          <w:szCs w:val="24"/>
        </w:rPr>
        <w:t>）断面</w:t>
      </w:r>
      <w:r>
        <w:rPr>
          <w:spacing w:val="-55"/>
          <w:sz w:val="24"/>
          <w:szCs w:val="24"/>
        </w:rPr>
        <w:t xml:space="preserve"> </w:t>
      </w:r>
      <w:r>
        <w:rPr>
          <w:rFonts w:ascii="Times New Roman" w:hAnsi="Times New Roman" w:eastAsia="Times New Roman" w:cs="Times New Roman"/>
          <w:spacing w:val="-2"/>
          <w:sz w:val="24"/>
          <w:szCs w:val="24"/>
        </w:rPr>
        <w:t xml:space="preserve">2015 </w:t>
      </w:r>
      <w:r>
        <w:rPr>
          <w:spacing w:val="-2"/>
          <w:sz w:val="24"/>
          <w:szCs w:val="24"/>
        </w:rPr>
        <w:t>年水质类别为Ⅳ类，超标项为</w:t>
      </w:r>
      <w:r>
        <w:rPr>
          <w:rFonts w:ascii="Times New Roman" w:hAnsi="Times New Roman" w:eastAsia="Times New Roman" w:cs="Times New Roman"/>
          <w:spacing w:val="-7"/>
          <w:sz w:val="24"/>
          <w:szCs w:val="24"/>
        </w:rPr>
        <w:t>TP</w:t>
      </w:r>
      <w:r>
        <w:rPr>
          <w:spacing w:val="-7"/>
          <w:sz w:val="24"/>
          <w:szCs w:val="24"/>
        </w:rPr>
        <w:t>、</w:t>
      </w:r>
      <w:r>
        <w:rPr>
          <w:rFonts w:ascii="Times New Roman" w:hAnsi="Times New Roman" w:eastAsia="Times New Roman" w:cs="Times New Roman"/>
          <w:spacing w:val="-7"/>
          <w:sz w:val="24"/>
          <w:szCs w:val="24"/>
        </w:rPr>
        <w:t>DO</w:t>
      </w:r>
      <w:r>
        <w:rPr>
          <w:spacing w:val="-7"/>
          <w:sz w:val="24"/>
          <w:szCs w:val="24"/>
        </w:rPr>
        <w:t>；</w:t>
      </w:r>
      <w:r>
        <w:rPr>
          <w:rFonts w:ascii="Times New Roman" w:hAnsi="Times New Roman" w:eastAsia="Times New Roman" w:cs="Times New Roman"/>
          <w:spacing w:val="-7"/>
          <w:sz w:val="24"/>
          <w:szCs w:val="24"/>
        </w:rPr>
        <w:t xml:space="preserve">2016 </w:t>
      </w:r>
      <w:r>
        <w:rPr>
          <w:spacing w:val="-7"/>
          <w:sz w:val="24"/>
          <w:szCs w:val="24"/>
        </w:rPr>
        <w:t>年除</w:t>
      </w:r>
      <w:r>
        <w:rPr>
          <w:spacing w:val="-53"/>
          <w:sz w:val="24"/>
          <w:szCs w:val="24"/>
        </w:rPr>
        <w:t xml:space="preserve"> </w:t>
      </w:r>
      <w:r>
        <w:rPr>
          <w:rFonts w:ascii="Times New Roman" w:hAnsi="Times New Roman" w:eastAsia="Times New Roman" w:cs="Times New Roman"/>
          <w:spacing w:val="-7"/>
          <w:sz w:val="24"/>
          <w:szCs w:val="24"/>
        </w:rPr>
        <w:t xml:space="preserve">TP </w:t>
      </w:r>
      <w:r>
        <w:rPr>
          <w:spacing w:val="-7"/>
          <w:sz w:val="24"/>
          <w:szCs w:val="24"/>
        </w:rPr>
        <w:t>超标（劣Ⅴ类）外，其余指标均可满足Ⅲ</w:t>
      </w:r>
      <w:r>
        <w:rPr>
          <w:spacing w:val="-8"/>
          <w:sz w:val="24"/>
          <w:szCs w:val="24"/>
        </w:rPr>
        <w:t>类水质标准要求。</w:t>
      </w:r>
    </w:p>
    <w:p w14:paraId="4617136B">
      <w:pPr>
        <w:pStyle w:val="2"/>
        <w:spacing w:before="118" w:line="220" w:lineRule="auto"/>
        <w:ind w:left="35"/>
        <w:rPr>
          <w:sz w:val="24"/>
          <w:szCs w:val="24"/>
        </w:rPr>
      </w:pPr>
      <w:r>
        <w:rPr>
          <w:rFonts w:ascii="Arial" w:hAnsi="Arial" w:eastAsia="Arial" w:cs="Arial"/>
          <w:spacing w:val="3"/>
          <w:position w:val="1"/>
          <w:sz w:val="18"/>
          <w:szCs w:val="18"/>
        </w:rPr>
        <w:t>6.2.1.3</w:t>
      </w:r>
      <w:r>
        <w:rPr>
          <w:rFonts w:ascii="Arial" w:hAnsi="Arial" w:eastAsia="Arial" w:cs="Arial"/>
          <w:spacing w:val="53"/>
          <w:w w:val="101"/>
          <w:position w:val="1"/>
          <w:sz w:val="18"/>
          <w:szCs w:val="18"/>
        </w:rPr>
        <w:t xml:space="preserve"> </w:t>
      </w:r>
      <w:r>
        <w:rPr>
          <w:b/>
          <w:bCs/>
          <w:spacing w:val="3"/>
          <w:position w:val="-1"/>
          <w:sz w:val="24"/>
          <w:szCs w:val="24"/>
        </w:rPr>
        <w:t>工程施工期地表水水质</w:t>
      </w:r>
    </w:p>
    <w:p w14:paraId="30D1B6D0">
      <w:pPr>
        <w:pStyle w:val="2"/>
        <w:spacing w:before="275" w:line="338" w:lineRule="auto"/>
        <w:ind w:left="37" w:right="65" w:firstLine="480"/>
        <w:rPr>
          <w:sz w:val="24"/>
          <w:szCs w:val="24"/>
        </w:rPr>
      </w:pPr>
      <w:r>
        <w:rPr>
          <w:spacing w:val="-1"/>
          <w:sz w:val="24"/>
          <w:szCs w:val="24"/>
        </w:rPr>
        <w:t>施工期间，受建设单位委托，云南环绿环境检测技术有限公司于</w:t>
      </w:r>
      <w:r>
        <w:rPr>
          <w:spacing w:val="-50"/>
          <w:sz w:val="24"/>
          <w:szCs w:val="24"/>
        </w:rPr>
        <w:t xml:space="preserve"> </w:t>
      </w:r>
      <w:r>
        <w:rPr>
          <w:rFonts w:ascii="Times New Roman" w:hAnsi="Times New Roman" w:eastAsia="Times New Roman" w:cs="Times New Roman"/>
          <w:spacing w:val="-1"/>
          <w:sz w:val="24"/>
          <w:szCs w:val="24"/>
        </w:rPr>
        <w:t xml:space="preserve">2019 </w:t>
      </w:r>
      <w:r>
        <w:rPr>
          <w:spacing w:val="-1"/>
          <w:sz w:val="24"/>
          <w:szCs w:val="24"/>
        </w:rPr>
        <w:t>年开始</w:t>
      </w:r>
      <w:r>
        <w:rPr>
          <w:spacing w:val="-3"/>
          <w:sz w:val="24"/>
          <w:szCs w:val="24"/>
        </w:rPr>
        <w:t>进行施工期地表水进行定期监测，每季度监测</w:t>
      </w:r>
      <w:r>
        <w:rPr>
          <w:spacing w:val="-25"/>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6"/>
          <w:sz w:val="24"/>
          <w:szCs w:val="24"/>
        </w:rPr>
        <w:t xml:space="preserve"> </w:t>
      </w:r>
      <w:r>
        <w:rPr>
          <w:spacing w:val="-3"/>
          <w:sz w:val="24"/>
          <w:szCs w:val="24"/>
        </w:rPr>
        <w:t>次。</w:t>
      </w:r>
    </w:p>
    <w:p w14:paraId="70CDCC07">
      <w:pPr>
        <w:pStyle w:val="2"/>
        <w:spacing w:before="1" w:line="338" w:lineRule="auto"/>
        <w:ind w:left="40" w:firstLine="478"/>
        <w:rPr>
          <w:sz w:val="24"/>
          <w:szCs w:val="24"/>
        </w:rPr>
      </w:pPr>
      <w:r>
        <w:rPr>
          <w:spacing w:val="-1"/>
          <w:sz w:val="24"/>
          <w:szCs w:val="24"/>
        </w:rPr>
        <w:t xml:space="preserve">施工期共设置 </w:t>
      </w:r>
      <w:r>
        <w:rPr>
          <w:rFonts w:ascii="Times New Roman" w:hAnsi="Times New Roman" w:eastAsia="Times New Roman" w:cs="Times New Roman"/>
          <w:spacing w:val="-1"/>
          <w:sz w:val="24"/>
          <w:szCs w:val="24"/>
        </w:rPr>
        <w:t xml:space="preserve">4  </w:t>
      </w:r>
      <w:r>
        <w:rPr>
          <w:spacing w:val="-1"/>
          <w:sz w:val="24"/>
          <w:szCs w:val="24"/>
        </w:rPr>
        <w:t>个地表水监测断面，即：①马龙河干流的车马碧水库输水隧</w:t>
      </w:r>
      <w:r>
        <w:rPr>
          <w:spacing w:val="-8"/>
          <w:sz w:val="24"/>
          <w:szCs w:val="24"/>
        </w:rPr>
        <w:t>洞进口上游</w:t>
      </w:r>
      <w:r>
        <w:rPr>
          <w:spacing w:val="-39"/>
          <w:sz w:val="24"/>
          <w:szCs w:val="24"/>
        </w:rPr>
        <w:t xml:space="preserve"> </w:t>
      </w:r>
      <w:r>
        <w:rPr>
          <w:rFonts w:ascii="Times New Roman" w:hAnsi="Times New Roman" w:eastAsia="Times New Roman" w:cs="Times New Roman"/>
          <w:spacing w:val="-8"/>
          <w:sz w:val="24"/>
          <w:szCs w:val="24"/>
        </w:rPr>
        <w:t>1km</w:t>
      </w:r>
      <w:r>
        <w:rPr>
          <w:spacing w:val="-8"/>
          <w:sz w:val="24"/>
          <w:szCs w:val="24"/>
        </w:rPr>
        <w:t>；②车马碧水库坝址下游</w:t>
      </w:r>
      <w:r>
        <w:rPr>
          <w:spacing w:val="-44"/>
          <w:sz w:val="24"/>
          <w:szCs w:val="24"/>
        </w:rPr>
        <w:t xml:space="preserve"> </w:t>
      </w:r>
      <w:r>
        <w:rPr>
          <w:rFonts w:ascii="Times New Roman" w:hAnsi="Times New Roman" w:eastAsia="Times New Roman" w:cs="Times New Roman"/>
          <w:spacing w:val="-8"/>
          <w:sz w:val="24"/>
          <w:szCs w:val="24"/>
        </w:rPr>
        <w:t>1km</w:t>
      </w:r>
      <w:r>
        <w:rPr>
          <w:spacing w:val="-8"/>
          <w:sz w:val="24"/>
          <w:szCs w:val="24"/>
        </w:rPr>
        <w:t>；③马龙河干流红桥河汇口下游</w:t>
      </w:r>
      <w:r>
        <w:rPr>
          <w:rFonts w:ascii="Times New Roman" w:hAnsi="Times New Roman" w:eastAsia="Times New Roman" w:cs="Times New Roman"/>
          <w:spacing w:val="-8"/>
          <w:sz w:val="24"/>
          <w:szCs w:val="24"/>
        </w:rPr>
        <w:t>50m</w:t>
      </w:r>
      <w:r>
        <w:rPr>
          <w:spacing w:val="-8"/>
          <w:sz w:val="24"/>
          <w:szCs w:val="24"/>
        </w:rPr>
        <w:t>；</w:t>
      </w:r>
    </w:p>
    <w:p w14:paraId="77E430E7">
      <w:pPr>
        <w:pStyle w:val="2"/>
        <w:spacing w:line="231" w:lineRule="auto"/>
        <w:ind w:left="37"/>
        <w:rPr>
          <w:sz w:val="24"/>
          <w:szCs w:val="24"/>
        </w:rPr>
      </w:pPr>
      <w:r>
        <w:rPr>
          <w:spacing w:val="-2"/>
          <w:sz w:val="24"/>
          <w:szCs w:val="24"/>
        </w:rPr>
        <w:t>④面店水库。施工期地表水水质监测点位图见图</w:t>
      </w:r>
      <w:r>
        <w:rPr>
          <w:spacing w:val="-14"/>
          <w:sz w:val="24"/>
          <w:szCs w:val="24"/>
        </w:rPr>
        <w:t xml:space="preserve"> </w:t>
      </w:r>
      <w:r>
        <w:rPr>
          <w:rFonts w:ascii="Times New Roman" w:hAnsi="Times New Roman" w:eastAsia="Times New Roman" w:cs="Times New Roman"/>
          <w:spacing w:val="-2"/>
          <w:sz w:val="24"/>
          <w:szCs w:val="24"/>
        </w:rPr>
        <w:t>6.2-2</w:t>
      </w:r>
      <w:r>
        <w:rPr>
          <w:spacing w:val="-2"/>
          <w:sz w:val="24"/>
          <w:szCs w:val="24"/>
        </w:rPr>
        <w:t>。</w:t>
      </w:r>
    </w:p>
    <w:p w14:paraId="6FBEF41F">
      <w:pPr>
        <w:pStyle w:val="2"/>
        <w:spacing w:before="140" w:line="233" w:lineRule="auto"/>
        <w:ind w:left="518"/>
        <w:rPr>
          <w:sz w:val="24"/>
          <w:szCs w:val="24"/>
        </w:rPr>
      </w:pPr>
      <w:r>
        <w:rPr>
          <w:spacing w:val="-1"/>
          <w:sz w:val="24"/>
          <w:szCs w:val="24"/>
        </w:rPr>
        <w:t>施工期</w:t>
      </w:r>
      <w:r>
        <w:rPr>
          <w:spacing w:val="-48"/>
          <w:sz w:val="24"/>
          <w:szCs w:val="24"/>
        </w:rPr>
        <w:t xml:space="preserve"> </w:t>
      </w: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 xml:space="preserve">~2021 </w:t>
      </w:r>
      <w:r>
        <w:rPr>
          <w:spacing w:val="-1"/>
          <w:sz w:val="24"/>
          <w:szCs w:val="24"/>
        </w:rPr>
        <w:t>年各监测断面水质监测结果见表</w:t>
      </w:r>
      <w:r>
        <w:rPr>
          <w:spacing w:val="-50"/>
          <w:sz w:val="24"/>
          <w:szCs w:val="24"/>
        </w:rPr>
        <w:t xml:space="preserve"> </w:t>
      </w:r>
      <w:r>
        <w:rPr>
          <w:rFonts w:ascii="Times New Roman" w:hAnsi="Times New Roman" w:eastAsia="Times New Roman" w:cs="Times New Roman"/>
          <w:spacing w:val="-1"/>
          <w:sz w:val="24"/>
          <w:szCs w:val="24"/>
        </w:rPr>
        <w:t>6.2-3~</w:t>
      </w:r>
      <w:r>
        <w:rPr>
          <w:spacing w:val="-1"/>
          <w:sz w:val="24"/>
          <w:szCs w:val="24"/>
        </w:rPr>
        <w:t>表</w:t>
      </w:r>
      <w:r>
        <w:rPr>
          <w:spacing w:val="-50"/>
          <w:sz w:val="24"/>
          <w:szCs w:val="24"/>
        </w:rPr>
        <w:t xml:space="preserve"> </w:t>
      </w:r>
      <w:r>
        <w:rPr>
          <w:rFonts w:ascii="Times New Roman" w:hAnsi="Times New Roman" w:eastAsia="Times New Roman" w:cs="Times New Roman"/>
          <w:spacing w:val="-1"/>
          <w:sz w:val="24"/>
          <w:szCs w:val="24"/>
        </w:rPr>
        <w:t>6.2-5</w:t>
      </w:r>
      <w:r>
        <w:rPr>
          <w:spacing w:val="-1"/>
          <w:sz w:val="24"/>
          <w:szCs w:val="24"/>
        </w:rPr>
        <w:t>。</w:t>
      </w:r>
    </w:p>
    <w:p w14:paraId="60E9FD2F">
      <w:pPr>
        <w:pStyle w:val="2"/>
        <w:spacing w:before="137" w:line="232" w:lineRule="auto"/>
        <w:ind w:left="518"/>
        <w:rPr>
          <w:sz w:val="24"/>
          <w:szCs w:val="24"/>
        </w:rPr>
      </w:pPr>
      <w:r>
        <w:rPr>
          <w:spacing w:val="-1"/>
          <w:sz w:val="24"/>
          <w:szCs w:val="24"/>
        </w:rPr>
        <w:t>施工期</w:t>
      </w:r>
      <w:r>
        <w:rPr>
          <w:spacing w:val="-48"/>
          <w:sz w:val="24"/>
          <w:szCs w:val="24"/>
        </w:rPr>
        <w:t xml:space="preserve"> </w:t>
      </w: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 xml:space="preserve">~2021 </w:t>
      </w:r>
      <w:r>
        <w:rPr>
          <w:spacing w:val="-1"/>
          <w:sz w:val="24"/>
          <w:szCs w:val="24"/>
        </w:rPr>
        <w:t>年各监测断面水质评价结果见表</w:t>
      </w:r>
      <w:r>
        <w:rPr>
          <w:spacing w:val="-50"/>
          <w:sz w:val="24"/>
          <w:szCs w:val="24"/>
        </w:rPr>
        <w:t xml:space="preserve"> </w:t>
      </w:r>
      <w:r>
        <w:rPr>
          <w:rFonts w:ascii="Times New Roman" w:hAnsi="Times New Roman" w:eastAsia="Times New Roman" w:cs="Times New Roman"/>
          <w:spacing w:val="-1"/>
          <w:sz w:val="24"/>
          <w:szCs w:val="24"/>
        </w:rPr>
        <w:t>6.2-6~</w:t>
      </w:r>
      <w:r>
        <w:rPr>
          <w:spacing w:val="-1"/>
          <w:sz w:val="24"/>
          <w:szCs w:val="24"/>
        </w:rPr>
        <w:t>表</w:t>
      </w:r>
      <w:r>
        <w:rPr>
          <w:spacing w:val="-50"/>
          <w:sz w:val="24"/>
          <w:szCs w:val="24"/>
        </w:rPr>
        <w:t xml:space="preserve"> </w:t>
      </w:r>
      <w:r>
        <w:rPr>
          <w:rFonts w:ascii="Times New Roman" w:hAnsi="Times New Roman" w:eastAsia="Times New Roman" w:cs="Times New Roman"/>
          <w:spacing w:val="-1"/>
          <w:sz w:val="24"/>
          <w:szCs w:val="24"/>
        </w:rPr>
        <w:t>6.2-8</w:t>
      </w:r>
      <w:r>
        <w:rPr>
          <w:spacing w:val="-1"/>
          <w:sz w:val="24"/>
          <w:szCs w:val="24"/>
        </w:rPr>
        <w:t>。</w:t>
      </w:r>
    </w:p>
    <w:p w14:paraId="3911DDF5">
      <w:pPr>
        <w:spacing w:line="232" w:lineRule="auto"/>
        <w:rPr>
          <w:sz w:val="24"/>
          <w:szCs w:val="24"/>
        </w:rPr>
        <w:sectPr>
          <w:headerReference r:id="rId235" w:type="default"/>
          <w:footerReference r:id="rId236" w:type="default"/>
          <w:pgSz w:w="11907" w:h="16839"/>
          <w:pgMar w:top="1376" w:right="1635" w:bottom="1061" w:left="1671" w:header="999" w:footer="861" w:gutter="0"/>
          <w:cols w:space="720" w:num="1"/>
        </w:sectPr>
      </w:pPr>
    </w:p>
    <w:p w14:paraId="7F45A3FF">
      <w:pPr>
        <w:spacing w:line="455" w:lineRule="auto"/>
        <w:rPr>
          <w:rFonts w:ascii="Arial"/>
          <w:sz w:val="21"/>
        </w:rPr>
      </w:pPr>
    </w:p>
    <w:p w14:paraId="5332DFA4">
      <w:pPr>
        <w:pStyle w:val="2"/>
        <w:spacing w:before="78" w:line="226" w:lineRule="auto"/>
        <w:ind w:left="279"/>
        <w:rPr>
          <w:sz w:val="24"/>
          <w:szCs w:val="24"/>
        </w:rPr>
      </w:pPr>
      <w:r>
        <w:rPr>
          <w:b/>
          <w:bCs/>
          <w:spacing w:val="-1"/>
          <w:sz w:val="24"/>
          <w:szCs w:val="24"/>
        </w:rPr>
        <w:t>表</w:t>
      </w:r>
      <w:r>
        <w:rPr>
          <w:spacing w:val="-40"/>
          <w:sz w:val="24"/>
          <w:szCs w:val="24"/>
        </w:rPr>
        <w:t xml:space="preserve"> </w:t>
      </w:r>
      <w:r>
        <w:rPr>
          <w:rFonts w:ascii="Times New Roman" w:hAnsi="Times New Roman" w:eastAsia="Times New Roman" w:cs="Times New Roman"/>
          <w:b/>
          <w:bCs/>
          <w:spacing w:val="-1"/>
          <w:sz w:val="24"/>
          <w:szCs w:val="24"/>
        </w:rPr>
        <w:t xml:space="preserve">6.2-1                                                      </w:t>
      </w:r>
      <w:r>
        <w:rPr>
          <w:b/>
          <w:bCs/>
          <w:spacing w:val="-1"/>
          <w:sz w:val="24"/>
          <w:szCs w:val="24"/>
        </w:rPr>
        <w:t>马龙河干流</w:t>
      </w:r>
      <w:r>
        <w:rPr>
          <w:spacing w:val="-53"/>
          <w:sz w:val="24"/>
          <w:szCs w:val="24"/>
        </w:rPr>
        <w:t xml:space="preserve"> </w:t>
      </w:r>
      <w:r>
        <w:rPr>
          <w:rFonts w:ascii="Times New Roman" w:hAnsi="Times New Roman" w:eastAsia="Times New Roman" w:cs="Times New Roman"/>
          <w:b/>
          <w:bCs/>
          <w:spacing w:val="-1"/>
          <w:sz w:val="24"/>
          <w:szCs w:val="24"/>
        </w:rPr>
        <w:t>2011</w:t>
      </w:r>
      <w:r>
        <w:rPr>
          <w:rFonts w:ascii="Times New Roman" w:hAnsi="Times New Roman" w:eastAsia="Times New Roman" w:cs="Times New Roman"/>
          <w:b/>
          <w:bCs/>
          <w:spacing w:val="10"/>
          <w:sz w:val="24"/>
          <w:szCs w:val="24"/>
        </w:rPr>
        <w:t xml:space="preserve"> </w:t>
      </w:r>
      <w:r>
        <w:rPr>
          <w:b/>
          <w:bCs/>
          <w:spacing w:val="-1"/>
          <w:sz w:val="24"/>
          <w:szCs w:val="24"/>
        </w:rPr>
        <w:t>年</w:t>
      </w:r>
      <w:r>
        <w:rPr>
          <w:rFonts w:ascii="Times New Roman" w:hAnsi="Times New Roman" w:eastAsia="Times New Roman" w:cs="Times New Roman"/>
          <w:b/>
          <w:bCs/>
          <w:spacing w:val="-1"/>
          <w:sz w:val="24"/>
          <w:szCs w:val="24"/>
        </w:rPr>
        <w:t>~2015</w:t>
      </w:r>
      <w:r>
        <w:rPr>
          <w:rFonts w:ascii="Times New Roman" w:hAnsi="Times New Roman" w:eastAsia="Times New Roman" w:cs="Times New Roman"/>
          <w:b/>
          <w:bCs/>
          <w:spacing w:val="11"/>
          <w:sz w:val="24"/>
          <w:szCs w:val="24"/>
        </w:rPr>
        <w:t xml:space="preserve"> </w:t>
      </w:r>
      <w:r>
        <w:rPr>
          <w:b/>
          <w:bCs/>
          <w:spacing w:val="-1"/>
          <w:sz w:val="24"/>
          <w:szCs w:val="24"/>
        </w:rPr>
        <w:t>年常规监测断面水质达标情况</w:t>
      </w: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707"/>
        <w:gridCol w:w="1273"/>
        <w:gridCol w:w="1865"/>
        <w:gridCol w:w="1830"/>
        <w:gridCol w:w="1717"/>
        <w:gridCol w:w="1718"/>
        <w:gridCol w:w="1781"/>
        <w:gridCol w:w="1665"/>
      </w:tblGrid>
      <w:tr w14:paraId="5BBD1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1557" w:type="dxa"/>
            <w:gridSpan w:val="2"/>
            <w:tcBorders>
              <w:top w:val="single" w:color="000000" w:sz="12" w:space="0"/>
              <w:left w:val="single" w:color="000000" w:sz="12" w:space="0"/>
            </w:tcBorders>
            <w:vAlign w:val="top"/>
          </w:tcPr>
          <w:p w14:paraId="06383F33">
            <w:pPr>
              <w:rPr>
                <w:rFonts w:ascii="Arial"/>
                <w:sz w:val="21"/>
              </w:rPr>
            </w:pPr>
          </w:p>
          <w:p w14:paraId="57C39002">
            <w:pPr>
              <w:spacing w:before="58" w:line="221" w:lineRule="auto"/>
              <w:ind w:left="403"/>
              <w:rPr>
                <w:rFonts w:ascii="宋体" w:hAnsi="宋体" w:eastAsia="宋体" w:cs="宋体"/>
                <w:sz w:val="18"/>
                <w:szCs w:val="18"/>
              </w:rPr>
            </w:pPr>
            <w:r>
              <w:rPr>
                <w:rFonts w:ascii="宋体" w:hAnsi="宋体" w:eastAsia="宋体" w:cs="宋体"/>
                <w:spacing w:val="-2"/>
                <w:sz w:val="18"/>
                <w:szCs w:val="18"/>
              </w:rPr>
              <w:t>监测时间</w:t>
            </w:r>
          </w:p>
        </w:tc>
        <w:tc>
          <w:tcPr>
            <w:tcW w:w="1273" w:type="dxa"/>
            <w:tcBorders>
              <w:top w:val="single" w:color="000000" w:sz="12" w:space="0"/>
            </w:tcBorders>
            <w:vAlign w:val="top"/>
          </w:tcPr>
          <w:p w14:paraId="3581276A">
            <w:pPr>
              <w:spacing w:before="65" w:line="220" w:lineRule="auto"/>
              <w:ind w:left="93"/>
              <w:rPr>
                <w:rFonts w:ascii="宋体" w:hAnsi="宋体" w:eastAsia="宋体" w:cs="宋体"/>
                <w:sz w:val="18"/>
                <w:szCs w:val="18"/>
              </w:rPr>
            </w:pPr>
            <w:r>
              <w:rPr>
                <w:rFonts w:ascii="宋体" w:hAnsi="宋体" w:eastAsia="宋体" w:cs="宋体"/>
                <w:spacing w:val="-2"/>
                <w:sz w:val="18"/>
                <w:szCs w:val="18"/>
              </w:rPr>
              <w:t>马龙河大龙井</w:t>
            </w:r>
          </w:p>
          <w:p w14:paraId="4EFCA8CA">
            <w:pPr>
              <w:spacing w:before="19" w:line="220" w:lineRule="auto"/>
              <w:ind w:left="94"/>
              <w:rPr>
                <w:rFonts w:ascii="宋体" w:hAnsi="宋体" w:eastAsia="宋体" w:cs="宋体"/>
                <w:sz w:val="18"/>
                <w:szCs w:val="18"/>
              </w:rPr>
            </w:pPr>
            <w:r>
              <w:rPr>
                <w:rFonts w:ascii="宋体" w:hAnsi="宋体" w:eastAsia="宋体" w:cs="宋体"/>
                <w:spacing w:val="-2"/>
                <w:sz w:val="18"/>
                <w:szCs w:val="18"/>
              </w:rPr>
              <w:t>断面（坝址以</w:t>
            </w:r>
          </w:p>
          <w:p w14:paraId="79F056D0">
            <w:pPr>
              <w:pStyle w:val="6"/>
              <w:spacing w:before="18" w:line="240" w:lineRule="exact"/>
              <w:ind w:left="222"/>
              <w:rPr>
                <w:rFonts w:ascii="宋体" w:hAnsi="宋体" w:eastAsia="宋体" w:cs="宋体"/>
                <w:sz w:val="18"/>
                <w:szCs w:val="18"/>
              </w:rPr>
            </w:pPr>
            <w:r>
              <w:rPr>
                <w:rFonts w:ascii="宋体" w:hAnsi="宋体" w:eastAsia="宋体" w:cs="宋体"/>
                <w:spacing w:val="-2"/>
                <w:sz w:val="18"/>
                <w:szCs w:val="18"/>
              </w:rPr>
              <w:t>上</w:t>
            </w:r>
            <w:r>
              <w:rPr>
                <w:rFonts w:ascii="宋体" w:hAnsi="宋体" w:eastAsia="宋体" w:cs="宋体"/>
                <w:spacing w:val="-43"/>
                <w:sz w:val="18"/>
                <w:szCs w:val="18"/>
              </w:rPr>
              <w:t xml:space="preserve"> </w:t>
            </w:r>
            <w:r>
              <w:rPr>
                <w:spacing w:val="-2"/>
                <w:sz w:val="18"/>
                <w:szCs w:val="18"/>
              </w:rPr>
              <w:t>43km</w:t>
            </w:r>
            <w:r>
              <w:rPr>
                <w:rFonts w:ascii="宋体" w:hAnsi="宋体" w:eastAsia="宋体" w:cs="宋体"/>
                <w:spacing w:val="-2"/>
                <w:sz w:val="18"/>
                <w:szCs w:val="18"/>
              </w:rPr>
              <w:t>）</w:t>
            </w:r>
          </w:p>
        </w:tc>
        <w:tc>
          <w:tcPr>
            <w:tcW w:w="1865" w:type="dxa"/>
            <w:tcBorders>
              <w:top w:val="single" w:color="000000" w:sz="12" w:space="0"/>
            </w:tcBorders>
            <w:vAlign w:val="top"/>
          </w:tcPr>
          <w:p w14:paraId="63B47851">
            <w:pPr>
              <w:spacing w:before="182" w:line="220" w:lineRule="auto"/>
              <w:ind w:left="32"/>
              <w:rPr>
                <w:rFonts w:ascii="宋体" w:hAnsi="宋体" w:eastAsia="宋体" w:cs="宋体"/>
                <w:sz w:val="18"/>
                <w:szCs w:val="18"/>
              </w:rPr>
            </w:pPr>
            <w:r>
              <w:rPr>
                <w:rFonts w:ascii="宋体" w:hAnsi="宋体" w:eastAsia="宋体" w:cs="宋体"/>
                <w:spacing w:val="-2"/>
                <w:sz w:val="18"/>
                <w:szCs w:val="18"/>
              </w:rPr>
              <w:t>马龙河利民桥断面（坝</w:t>
            </w:r>
          </w:p>
          <w:p w14:paraId="1CC33AEE">
            <w:pPr>
              <w:pStyle w:val="6"/>
              <w:spacing w:before="20" w:line="236" w:lineRule="auto"/>
              <w:ind w:left="340"/>
              <w:rPr>
                <w:rFonts w:ascii="宋体" w:hAnsi="宋体" w:eastAsia="宋体" w:cs="宋体"/>
                <w:sz w:val="18"/>
                <w:szCs w:val="18"/>
              </w:rPr>
            </w:pPr>
            <w:r>
              <w:rPr>
                <w:rFonts w:ascii="宋体" w:hAnsi="宋体" w:eastAsia="宋体" w:cs="宋体"/>
                <w:spacing w:val="-2"/>
                <w:sz w:val="18"/>
                <w:szCs w:val="18"/>
              </w:rPr>
              <w:t>址以上</w:t>
            </w:r>
            <w:r>
              <w:rPr>
                <w:rFonts w:ascii="宋体" w:hAnsi="宋体" w:eastAsia="宋体" w:cs="宋体"/>
                <w:spacing w:val="-39"/>
                <w:sz w:val="18"/>
                <w:szCs w:val="18"/>
              </w:rPr>
              <w:t xml:space="preserve"> </w:t>
            </w:r>
            <w:r>
              <w:rPr>
                <w:spacing w:val="-2"/>
                <w:sz w:val="18"/>
                <w:szCs w:val="18"/>
              </w:rPr>
              <w:t>38km</w:t>
            </w:r>
            <w:r>
              <w:rPr>
                <w:rFonts w:ascii="宋体" w:hAnsi="宋体" w:eastAsia="宋体" w:cs="宋体"/>
                <w:spacing w:val="-2"/>
                <w:sz w:val="18"/>
                <w:szCs w:val="18"/>
              </w:rPr>
              <w:t>）</w:t>
            </w:r>
          </w:p>
        </w:tc>
        <w:tc>
          <w:tcPr>
            <w:tcW w:w="1830" w:type="dxa"/>
            <w:tcBorders>
              <w:top w:val="single" w:color="000000" w:sz="12" w:space="0"/>
            </w:tcBorders>
            <w:vAlign w:val="top"/>
          </w:tcPr>
          <w:p w14:paraId="4DB200EA">
            <w:pPr>
              <w:pStyle w:val="6"/>
              <w:spacing w:before="183" w:line="248" w:lineRule="auto"/>
              <w:ind w:left="83" w:right="68" w:firstLine="26"/>
              <w:rPr>
                <w:rFonts w:ascii="宋体" w:hAnsi="宋体" w:eastAsia="宋体" w:cs="宋体"/>
                <w:sz w:val="18"/>
                <w:szCs w:val="18"/>
              </w:rPr>
            </w:pPr>
            <w:r>
              <w:rPr>
                <w:rFonts w:ascii="宋体" w:hAnsi="宋体" w:eastAsia="宋体" w:cs="宋体"/>
                <w:spacing w:val="-2"/>
                <w:sz w:val="18"/>
                <w:szCs w:val="18"/>
              </w:rPr>
              <w:t>马龙河昆曲高速交汇</w:t>
            </w:r>
            <w:r>
              <w:rPr>
                <w:rFonts w:ascii="宋体" w:hAnsi="宋体" w:eastAsia="宋体" w:cs="宋体"/>
                <w:spacing w:val="-5"/>
                <w:sz w:val="18"/>
                <w:szCs w:val="18"/>
              </w:rPr>
              <w:t>口（坝址以上</w:t>
            </w:r>
            <w:r>
              <w:rPr>
                <w:rFonts w:ascii="宋体" w:hAnsi="宋体" w:eastAsia="宋体" w:cs="宋体"/>
                <w:spacing w:val="-39"/>
                <w:sz w:val="18"/>
                <w:szCs w:val="18"/>
              </w:rPr>
              <w:t xml:space="preserve"> </w:t>
            </w:r>
            <w:r>
              <w:rPr>
                <w:spacing w:val="-5"/>
                <w:sz w:val="18"/>
                <w:szCs w:val="18"/>
              </w:rPr>
              <w:t>37km</w:t>
            </w:r>
            <w:r>
              <w:rPr>
                <w:rFonts w:ascii="宋体" w:hAnsi="宋体" w:eastAsia="宋体" w:cs="宋体"/>
                <w:spacing w:val="-5"/>
                <w:sz w:val="18"/>
                <w:szCs w:val="18"/>
              </w:rPr>
              <w:t>）</w:t>
            </w:r>
          </w:p>
        </w:tc>
        <w:tc>
          <w:tcPr>
            <w:tcW w:w="1717" w:type="dxa"/>
            <w:tcBorders>
              <w:top w:val="single" w:color="000000" w:sz="12" w:space="0"/>
            </w:tcBorders>
            <w:vAlign w:val="top"/>
          </w:tcPr>
          <w:p w14:paraId="397B1C93">
            <w:pPr>
              <w:pStyle w:val="6"/>
              <w:spacing w:before="183" w:line="248" w:lineRule="auto"/>
              <w:ind w:right="75" w:firstLine="160"/>
              <w:rPr>
                <w:rFonts w:ascii="宋体" w:hAnsi="宋体" w:eastAsia="宋体" w:cs="宋体"/>
                <w:sz w:val="18"/>
                <w:szCs w:val="18"/>
              </w:rPr>
            </w:pPr>
            <w:r>
              <w:rPr>
                <w:rFonts w:ascii="宋体" w:hAnsi="宋体" w:eastAsia="宋体" w:cs="宋体"/>
                <w:spacing w:val="-4"/>
                <w:sz w:val="18"/>
                <w:szCs w:val="18"/>
              </w:rPr>
              <w:t>马龙河土官寨断面</w:t>
            </w:r>
            <w:r>
              <w:rPr>
                <w:rFonts w:ascii="宋体" w:hAnsi="宋体" w:eastAsia="宋体" w:cs="宋体"/>
                <w:spacing w:val="-5"/>
                <w:sz w:val="18"/>
                <w:szCs w:val="18"/>
              </w:rPr>
              <w:t>（坝址以上</w:t>
            </w:r>
            <w:r>
              <w:rPr>
                <w:rFonts w:ascii="宋体" w:hAnsi="宋体" w:eastAsia="宋体" w:cs="宋体"/>
                <w:spacing w:val="-25"/>
                <w:sz w:val="18"/>
                <w:szCs w:val="18"/>
              </w:rPr>
              <w:t xml:space="preserve"> </w:t>
            </w:r>
            <w:r>
              <w:rPr>
                <w:spacing w:val="-5"/>
                <w:sz w:val="18"/>
                <w:szCs w:val="18"/>
              </w:rPr>
              <w:t>24.9km</w:t>
            </w:r>
            <w:r>
              <w:rPr>
                <w:rFonts w:ascii="宋体" w:hAnsi="宋体" w:eastAsia="宋体" w:cs="宋体"/>
                <w:spacing w:val="-5"/>
                <w:sz w:val="18"/>
                <w:szCs w:val="18"/>
              </w:rPr>
              <w:t>）</w:t>
            </w:r>
          </w:p>
        </w:tc>
        <w:tc>
          <w:tcPr>
            <w:tcW w:w="1718" w:type="dxa"/>
            <w:tcBorders>
              <w:top w:val="single" w:color="000000" w:sz="12" w:space="0"/>
            </w:tcBorders>
            <w:vAlign w:val="top"/>
          </w:tcPr>
          <w:p w14:paraId="1E1C7C97">
            <w:pPr>
              <w:pStyle w:val="6"/>
              <w:spacing w:before="183" w:line="248" w:lineRule="auto"/>
              <w:ind w:right="72" w:firstLine="249"/>
              <w:rPr>
                <w:rFonts w:ascii="宋体" w:hAnsi="宋体" w:eastAsia="宋体" w:cs="宋体"/>
                <w:sz w:val="18"/>
                <w:szCs w:val="18"/>
              </w:rPr>
            </w:pPr>
            <w:r>
              <w:rPr>
                <w:rFonts w:ascii="宋体" w:hAnsi="宋体" w:eastAsia="宋体" w:cs="宋体"/>
                <w:spacing w:val="-3"/>
                <w:sz w:val="18"/>
                <w:szCs w:val="18"/>
              </w:rPr>
              <w:t>马龙河格里断面</w:t>
            </w:r>
            <w:r>
              <w:rPr>
                <w:rFonts w:ascii="宋体" w:hAnsi="宋体" w:eastAsia="宋体" w:cs="宋体"/>
                <w:spacing w:val="-6"/>
                <w:sz w:val="18"/>
                <w:szCs w:val="18"/>
              </w:rPr>
              <w:t>（坝址以上</w:t>
            </w:r>
            <w:r>
              <w:rPr>
                <w:rFonts w:ascii="宋体" w:hAnsi="宋体" w:eastAsia="宋体" w:cs="宋体"/>
                <w:spacing w:val="-9"/>
                <w:sz w:val="18"/>
                <w:szCs w:val="18"/>
              </w:rPr>
              <w:t xml:space="preserve"> </w:t>
            </w:r>
            <w:r>
              <w:rPr>
                <w:spacing w:val="-6"/>
                <w:sz w:val="18"/>
                <w:szCs w:val="18"/>
              </w:rPr>
              <w:t>15.8km</w:t>
            </w:r>
            <w:r>
              <w:rPr>
                <w:rFonts w:ascii="宋体" w:hAnsi="宋体" w:eastAsia="宋体" w:cs="宋体"/>
                <w:spacing w:val="-6"/>
                <w:sz w:val="18"/>
                <w:szCs w:val="18"/>
              </w:rPr>
              <w:t>）</w:t>
            </w:r>
          </w:p>
        </w:tc>
        <w:tc>
          <w:tcPr>
            <w:tcW w:w="1781" w:type="dxa"/>
            <w:tcBorders>
              <w:top w:val="single" w:color="000000" w:sz="12" w:space="0"/>
            </w:tcBorders>
            <w:vAlign w:val="top"/>
          </w:tcPr>
          <w:p w14:paraId="4EBC0B68">
            <w:pPr>
              <w:spacing w:before="182" w:line="220" w:lineRule="auto"/>
              <w:ind w:left="186"/>
              <w:rPr>
                <w:rFonts w:ascii="宋体" w:hAnsi="宋体" w:eastAsia="宋体" w:cs="宋体"/>
                <w:sz w:val="18"/>
                <w:szCs w:val="18"/>
              </w:rPr>
            </w:pPr>
            <w:r>
              <w:rPr>
                <w:rFonts w:ascii="宋体" w:hAnsi="宋体" w:eastAsia="宋体" w:cs="宋体"/>
                <w:spacing w:val="-2"/>
                <w:sz w:val="18"/>
                <w:szCs w:val="18"/>
              </w:rPr>
              <w:t>马龙河车马碧断面</w:t>
            </w:r>
          </w:p>
          <w:p w14:paraId="1CAABAC3">
            <w:pPr>
              <w:spacing w:before="19" w:line="221" w:lineRule="auto"/>
              <w:ind w:left="410"/>
              <w:rPr>
                <w:rFonts w:ascii="宋体" w:hAnsi="宋体" w:eastAsia="宋体" w:cs="宋体"/>
                <w:sz w:val="18"/>
                <w:szCs w:val="18"/>
              </w:rPr>
            </w:pPr>
            <w:r>
              <w:rPr>
                <w:rFonts w:ascii="宋体" w:hAnsi="宋体" w:eastAsia="宋体" w:cs="宋体"/>
                <w:spacing w:val="-4"/>
                <w:sz w:val="18"/>
                <w:szCs w:val="18"/>
              </w:rPr>
              <w:t>（坝址处）</w:t>
            </w:r>
          </w:p>
        </w:tc>
        <w:tc>
          <w:tcPr>
            <w:tcW w:w="1665" w:type="dxa"/>
            <w:tcBorders>
              <w:top w:val="single" w:color="000000" w:sz="12" w:space="0"/>
              <w:right w:val="single" w:color="000000" w:sz="12" w:space="0"/>
            </w:tcBorders>
            <w:vAlign w:val="top"/>
          </w:tcPr>
          <w:p w14:paraId="33810D3E">
            <w:pPr>
              <w:pStyle w:val="6"/>
              <w:spacing w:before="182" w:line="248" w:lineRule="auto"/>
              <w:ind w:left="10" w:right="78" w:firstLine="115"/>
              <w:rPr>
                <w:rFonts w:ascii="宋体" w:hAnsi="宋体" w:eastAsia="宋体" w:cs="宋体"/>
                <w:sz w:val="18"/>
                <w:szCs w:val="18"/>
              </w:rPr>
            </w:pPr>
            <w:r>
              <w:rPr>
                <w:rFonts w:ascii="宋体" w:hAnsi="宋体" w:eastAsia="宋体" w:cs="宋体"/>
                <w:spacing w:val="-2"/>
                <w:sz w:val="18"/>
                <w:szCs w:val="18"/>
              </w:rPr>
              <w:t>马龙河马过河断面</w:t>
            </w:r>
            <w:r>
              <w:rPr>
                <w:rFonts w:ascii="宋体" w:hAnsi="宋体" w:eastAsia="宋体" w:cs="宋体"/>
                <w:spacing w:val="-5"/>
                <w:sz w:val="18"/>
                <w:szCs w:val="18"/>
              </w:rPr>
              <w:t>（坝址下游</w:t>
            </w:r>
            <w:r>
              <w:rPr>
                <w:rFonts w:ascii="宋体" w:hAnsi="宋体" w:eastAsia="宋体" w:cs="宋体"/>
                <w:spacing w:val="-16"/>
                <w:sz w:val="18"/>
                <w:szCs w:val="18"/>
              </w:rPr>
              <w:t xml:space="preserve"> </w:t>
            </w:r>
            <w:r>
              <w:rPr>
                <w:spacing w:val="-5"/>
                <w:sz w:val="18"/>
                <w:szCs w:val="18"/>
              </w:rPr>
              <w:t>8.5km</w:t>
            </w:r>
            <w:r>
              <w:rPr>
                <w:rFonts w:ascii="宋体" w:hAnsi="宋体" w:eastAsia="宋体" w:cs="宋体"/>
                <w:spacing w:val="-5"/>
                <w:sz w:val="18"/>
                <w:szCs w:val="18"/>
              </w:rPr>
              <w:t>）</w:t>
            </w:r>
          </w:p>
        </w:tc>
      </w:tr>
      <w:tr w14:paraId="605EF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50" w:type="dxa"/>
            <w:vMerge w:val="restart"/>
            <w:tcBorders>
              <w:left w:val="single" w:color="000000" w:sz="12" w:space="0"/>
              <w:bottom w:val="nil"/>
            </w:tcBorders>
            <w:vAlign w:val="top"/>
          </w:tcPr>
          <w:p w14:paraId="2CBEC8E3">
            <w:pPr>
              <w:spacing w:line="453" w:lineRule="auto"/>
              <w:rPr>
                <w:rFonts w:ascii="Arial"/>
                <w:sz w:val="21"/>
              </w:rPr>
            </w:pPr>
          </w:p>
          <w:p w14:paraId="7D38D045">
            <w:pPr>
              <w:pStyle w:val="6"/>
              <w:spacing w:before="58" w:line="233" w:lineRule="auto"/>
              <w:ind w:left="114"/>
              <w:rPr>
                <w:rFonts w:ascii="宋体" w:hAnsi="宋体" w:eastAsia="宋体" w:cs="宋体"/>
                <w:sz w:val="18"/>
                <w:szCs w:val="18"/>
              </w:rPr>
            </w:pPr>
            <w:r>
              <w:rPr>
                <w:spacing w:val="-1"/>
                <w:sz w:val="18"/>
                <w:szCs w:val="18"/>
              </w:rPr>
              <w:t>2011</w:t>
            </w:r>
            <w:r>
              <w:rPr>
                <w:spacing w:val="7"/>
                <w:sz w:val="18"/>
                <w:szCs w:val="18"/>
              </w:rPr>
              <w:t xml:space="preserve"> </w:t>
            </w:r>
            <w:r>
              <w:rPr>
                <w:rFonts w:ascii="宋体" w:hAnsi="宋体" w:eastAsia="宋体" w:cs="宋体"/>
                <w:spacing w:val="-1"/>
                <w:sz w:val="18"/>
                <w:szCs w:val="18"/>
              </w:rPr>
              <w:t>年</w:t>
            </w:r>
          </w:p>
        </w:tc>
        <w:tc>
          <w:tcPr>
            <w:tcW w:w="707" w:type="dxa"/>
            <w:vAlign w:val="top"/>
          </w:tcPr>
          <w:p w14:paraId="2987D2D5">
            <w:pPr>
              <w:pStyle w:val="6"/>
              <w:spacing w:before="183" w:line="233" w:lineRule="auto"/>
              <w:ind w:left="186"/>
              <w:rPr>
                <w:rFonts w:ascii="宋体" w:hAnsi="宋体" w:eastAsia="宋体" w:cs="宋体"/>
                <w:sz w:val="18"/>
                <w:szCs w:val="18"/>
              </w:rPr>
            </w:pPr>
            <w:r>
              <w:rPr>
                <w:spacing w:val="-5"/>
                <w:sz w:val="18"/>
                <w:szCs w:val="18"/>
              </w:rPr>
              <w:t>5</w:t>
            </w:r>
            <w:r>
              <w:rPr>
                <w:spacing w:val="11"/>
                <w:sz w:val="18"/>
                <w:szCs w:val="18"/>
              </w:rPr>
              <w:t xml:space="preserve"> </w:t>
            </w:r>
            <w:r>
              <w:rPr>
                <w:rFonts w:ascii="宋体" w:hAnsi="宋体" w:eastAsia="宋体" w:cs="宋体"/>
                <w:spacing w:val="-5"/>
                <w:sz w:val="18"/>
                <w:szCs w:val="18"/>
              </w:rPr>
              <w:t>月</w:t>
            </w:r>
          </w:p>
        </w:tc>
        <w:tc>
          <w:tcPr>
            <w:tcW w:w="1273" w:type="dxa"/>
            <w:vAlign w:val="top"/>
          </w:tcPr>
          <w:p w14:paraId="0C2A43D4">
            <w:pPr>
              <w:pStyle w:val="6"/>
              <w:spacing w:before="182" w:line="220" w:lineRule="auto"/>
              <w:ind w:left="170"/>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rFonts w:ascii="宋体" w:hAnsi="宋体" w:eastAsia="宋体" w:cs="宋体"/>
                <w:spacing w:val="-3"/>
                <w:sz w:val="18"/>
                <w:szCs w:val="18"/>
              </w:rPr>
              <w:t>）</w:t>
            </w:r>
          </w:p>
        </w:tc>
        <w:tc>
          <w:tcPr>
            <w:tcW w:w="1865" w:type="dxa"/>
            <w:vAlign w:val="top"/>
          </w:tcPr>
          <w:p w14:paraId="62B4ECD5">
            <w:pPr>
              <w:pStyle w:val="6"/>
              <w:spacing w:before="183"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830" w:type="dxa"/>
            <w:vAlign w:val="top"/>
          </w:tcPr>
          <w:p w14:paraId="0E66BD1A">
            <w:pPr>
              <w:pStyle w:val="6"/>
              <w:spacing w:before="67" w:line="242" w:lineRule="auto"/>
              <w:ind w:left="24" w:right="29" w:firstLine="5"/>
              <w:rPr>
                <w:rFonts w:ascii="宋体" w:hAnsi="宋体" w:eastAsia="宋体" w:cs="宋体"/>
                <w:sz w:val="18"/>
                <w:szCs w:val="18"/>
              </w:rPr>
            </w:pPr>
            <w:r>
              <w:rPr>
                <w:rFonts w:ascii="宋体" w:hAnsi="宋体" w:eastAsia="宋体" w:cs="宋体"/>
                <w:spacing w:val="-5"/>
                <w:sz w:val="18"/>
                <w:szCs w:val="18"/>
              </w:rPr>
              <w:t>劣Ⅴ类（</w:t>
            </w:r>
            <w:r>
              <w:rPr>
                <w:spacing w:val="-5"/>
                <w:sz w:val="18"/>
                <w:szCs w:val="18"/>
              </w:rPr>
              <w:t>TP</w:t>
            </w:r>
            <w:r>
              <w:rPr>
                <w:spacing w:val="-21"/>
                <w:sz w:val="18"/>
                <w:szCs w:val="18"/>
              </w:rPr>
              <w:t xml:space="preserve"> </w:t>
            </w:r>
            <w:r>
              <w:rPr>
                <w:rFonts w:ascii="宋体" w:hAnsi="宋体" w:eastAsia="宋体" w:cs="宋体"/>
                <w:spacing w:val="-5"/>
                <w:sz w:val="18"/>
                <w:szCs w:val="18"/>
              </w:rPr>
              <w:t>、</w:t>
            </w:r>
            <w:r>
              <w:rPr>
                <w:spacing w:val="-5"/>
                <w:sz w:val="18"/>
                <w:szCs w:val="18"/>
              </w:rPr>
              <w:t>NH</w:t>
            </w:r>
            <w:r>
              <w:rPr>
                <w:spacing w:val="-5"/>
                <w:sz w:val="12"/>
                <w:szCs w:val="12"/>
              </w:rPr>
              <w:t>3</w:t>
            </w:r>
            <w:r>
              <w:rPr>
                <w:spacing w:val="-5"/>
                <w:sz w:val="18"/>
                <w:szCs w:val="18"/>
              </w:rPr>
              <w:t>-N</w:t>
            </w:r>
            <w:r>
              <w:rPr>
                <w:rFonts w:ascii="宋体" w:hAnsi="宋体" w:eastAsia="宋体" w:cs="宋体"/>
                <w:spacing w:val="-5"/>
                <w:sz w:val="18"/>
                <w:szCs w:val="18"/>
              </w:rPr>
              <w:t>、</w:t>
            </w:r>
            <w:r>
              <w:rPr>
                <w:rFonts w:ascii="宋体" w:hAnsi="宋体" w:eastAsia="宋体" w:cs="宋体"/>
                <w:sz w:val="18"/>
                <w:szCs w:val="18"/>
              </w:rPr>
              <w:t xml:space="preserve"> </w:t>
            </w:r>
            <w:r>
              <w:rPr>
                <w:spacing w:val="-2"/>
                <w:sz w:val="18"/>
                <w:szCs w:val="18"/>
              </w:rPr>
              <w:t>COD</w:t>
            </w:r>
            <w:r>
              <w:rPr>
                <w:rFonts w:ascii="宋体" w:hAnsi="宋体" w:eastAsia="宋体" w:cs="宋体"/>
                <w:spacing w:val="-2"/>
                <w:sz w:val="18"/>
                <w:szCs w:val="18"/>
              </w:rPr>
              <w:t>）</w:t>
            </w:r>
          </w:p>
        </w:tc>
        <w:tc>
          <w:tcPr>
            <w:tcW w:w="1717" w:type="dxa"/>
            <w:vAlign w:val="top"/>
          </w:tcPr>
          <w:p w14:paraId="1CBC830F">
            <w:pPr>
              <w:spacing w:before="268" w:line="122"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3860CAC0">
            <w:pPr>
              <w:spacing w:before="268" w:line="122"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6BDB2C65">
            <w:pPr>
              <w:spacing w:before="182" w:line="220" w:lineRule="auto"/>
              <w:ind w:left="720"/>
              <w:rPr>
                <w:rFonts w:ascii="宋体" w:hAnsi="宋体" w:eastAsia="宋体" w:cs="宋体"/>
                <w:sz w:val="18"/>
                <w:szCs w:val="18"/>
              </w:rPr>
            </w:pPr>
            <w:r>
              <w:rPr>
                <w:rFonts w:ascii="宋体" w:hAnsi="宋体" w:eastAsia="宋体" w:cs="宋体"/>
                <w:spacing w:val="-4"/>
                <w:sz w:val="18"/>
                <w:szCs w:val="18"/>
              </w:rPr>
              <w:t>Ⅲ类</w:t>
            </w:r>
          </w:p>
        </w:tc>
        <w:tc>
          <w:tcPr>
            <w:tcW w:w="1665" w:type="dxa"/>
            <w:tcBorders>
              <w:right w:val="single" w:color="000000" w:sz="12" w:space="0"/>
            </w:tcBorders>
            <w:vAlign w:val="top"/>
          </w:tcPr>
          <w:p w14:paraId="7CCCD11B">
            <w:pPr>
              <w:pStyle w:val="6"/>
              <w:spacing w:before="182" w:line="220" w:lineRule="auto"/>
              <w:ind w:left="290"/>
              <w:rPr>
                <w:rFonts w:ascii="宋体" w:hAnsi="宋体" w:eastAsia="宋体" w:cs="宋体"/>
                <w:sz w:val="18"/>
                <w:szCs w:val="18"/>
              </w:rPr>
            </w:pPr>
            <w:r>
              <w:rPr>
                <w:rFonts w:ascii="宋体" w:hAnsi="宋体" w:eastAsia="宋体" w:cs="宋体"/>
                <w:spacing w:val="-2"/>
                <w:sz w:val="18"/>
                <w:szCs w:val="18"/>
              </w:rPr>
              <w:t>劣Ⅴ类（</w:t>
            </w:r>
            <w:r>
              <w:rPr>
                <w:spacing w:val="-2"/>
                <w:sz w:val="18"/>
                <w:szCs w:val="18"/>
              </w:rPr>
              <w:t>TP</w:t>
            </w:r>
            <w:r>
              <w:rPr>
                <w:rFonts w:ascii="宋体" w:hAnsi="宋体" w:eastAsia="宋体" w:cs="宋体"/>
                <w:spacing w:val="-2"/>
                <w:sz w:val="18"/>
                <w:szCs w:val="18"/>
              </w:rPr>
              <w:t>）</w:t>
            </w:r>
          </w:p>
        </w:tc>
      </w:tr>
      <w:tr w14:paraId="1920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continue"/>
            <w:tcBorders>
              <w:top w:val="nil"/>
              <w:left w:val="single" w:color="000000" w:sz="12" w:space="0"/>
              <w:bottom w:val="nil"/>
            </w:tcBorders>
            <w:vAlign w:val="top"/>
          </w:tcPr>
          <w:p w14:paraId="414E2702">
            <w:pPr>
              <w:rPr>
                <w:rFonts w:ascii="Arial"/>
                <w:sz w:val="21"/>
              </w:rPr>
            </w:pPr>
          </w:p>
        </w:tc>
        <w:tc>
          <w:tcPr>
            <w:tcW w:w="707" w:type="dxa"/>
            <w:vAlign w:val="top"/>
          </w:tcPr>
          <w:p w14:paraId="5AE539E8">
            <w:pPr>
              <w:pStyle w:val="6"/>
              <w:spacing w:before="69" w:line="233" w:lineRule="auto"/>
              <w:ind w:left="184"/>
              <w:rPr>
                <w:rFonts w:ascii="宋体" w:hAnsi="宋体" w:eastAsia="宋体" w:cs="宋体"/>
                <w:sz w:val="18"/>
                <w:szCs w:val="18"/>
              </w:rPr>
            </w:pPr>
            <w:r>
              <w:rPr>
                <w:spacing w:val="-4"/>
                <w:sz w:val="18"/>
                <w:szCs w:val="18"/>
              </w:rPr>
              <w:t>7</w:t>
            </w:r>
            <w:r>
              <w:rPr>
                <w:spacing w:val="11"/>
                <w:sz w:val="18"/>
                <w:szCs w:val="18"/>
              </w:rPr>
              <w:t xml:space="preserve"> </w:t>
            </w:r>
            <w:r>
              <w:rPr>
                <w:rFonts w:ascii="宋体" w:hAnsi="宋体" w:eastAsia="宋体" w:cs="宋体"/>
                <w:spacing w:val="-4"/>
                <w:sz w:val="18"/>
                <w:szCs w:val="18"/>
              </w:rPr>
              <w:t>月</w:t>
            </w:r>
          </w:p>
        </w:tc>
        <w:tc>
          <w:tcPr>
            <w:tcW w:w="1273" w:type="dxa"/>
            <w:vAlign w:val="top"/>
          </w:tcPr>
          <w:p w14:paraId="7B8FFCEB">
            <w:pPr>
              <w:spacing w:before="68" w:line="220" w:lineRule="auto"/>
              <w:ind w:left="446"/>
              <w:rPr>
                <w:rFonts w:ascii="宋体" w:hAnsi="宋体" w:eastAsia="宋体" w:cs="宋体"/>
                <w:sz w:val="18"/>
                <w:szCs w:val="18"/>
              </w:rPr>
            </w:pPr>
            <w:r>
              <w:rPr>
                <w:rFonts w:ascii="宋体" w:hAnsi="宋体" w:eastAsia="宋体" w:cs="宋体"/>
                <w:spacing w:val="-4"/>
                <w:sz w:val="18"/>
                <w:szCs w:val="18"/>
              </w:rPr>
              <w:t>Ⅲ类</w:t>
            </w:r>
          </w:p>
        </w:tc>
        <w:tc>
          <w:tcPr>
            <w:tcW w:w="1865" w:type="dxa"/>
            <w:vAlign w:val="top"/>
          </w:tcPr>
          <w:p w14:paraId="56292117">
            <w:pPr>
              <w:pStyle w:val="6"/>
              <w:spacing w:before="69" w:line="230" w:lineRule="auto"/>
              <w:ind w:left="227"/>
              <w:rPr>
                <w:rFonts w:ascii="宋体" w:hAnsi="宋体" w:eastAsia="宋体" w:cs="宋体"/>
                <w:sz w:val="18"/>
                <w:szCs w:val="18"/>
              </w:rPr>
            </w:pPr>
            <w:r>
              <w:rPr>
                <w:rFonts w:ascii="宋体" w:hAnsi="宋体" w:eastAsia="宋体" w:cs="宋体"/>
                <w:spacing w:val="-2"/>
                <w:sz w:val="18"/>
                <w:szCs w:val="18"/>
              </w:rPr>
              <w:t>劣Ⅴ类（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tc>
        <w:tc>
          <w:tcPr>
            <w:tcW w:w="1830" w:type="dxa"/>
            <w:vAlign w:val="top"/>
          </w:tcPr>
          <w:p w14:paraId="467DB488">
            <w:pPr>
              <w:pStyle w:val="6"/>
              <w:spacing w:before="69" w:line="230" w:lineRule="auto"/>
              <w:jc w:val="right"/>
              <w:rPr>
                <w:rFonts w:ascii="宋体" w:hAnsi="宋体" w:eastAsia="宋体" w:cs="宋体"/>
                <w:sz w:val="18"/>
                <w:szCs w:val="18"/>
              </w:rPr>
            </w:pPr>
            <w:r>
              <w:rPr>
                <w:rFonts w:ascii="宋体" w:hAnsi="宋体" w:eastAsia="宋体" w:cs="宋体"/>
                <w:spacing w:val="-14"/>
                <w:sz w:val="18"/>
                <w:szCs w:val="18"/>
              </w:rPr>
              <w:t>劣Ⅴ类（</w:t>
            </w:r>
            <w:r>
              <w:rPr>
                <w:spacing w:val="-14"/>
                <w:sz w:val="18"/>
                <w:szCs w:val="18"/>
              </w:rPr>
              <w:t>TP</w:t>
            </w:r>
            <w:r>
              <w:rPr>
                <w:rFonts w:ascii="宋体" w:hAnsi="宋体" w:eastAsia="宋体" w:cs="宋体"/>
                <w:spacing w:val="-14"/>
                <w:sz w:val="18"/>
                <w:szCs w:val="18"/>
              </w:rPr>
              <w:t>、</w:t>
            </w:r>
            <w:r>
              <w:rPr>
                <w:spacing w:val="-14"/>
                <w:sz w:val="18"/>
                <w:szCs w:val="18"/>
              </w:rPr>
              <w:t>NH</w:t>
            </w:r>
            <w:r>
              <w:rPr>
                <w:spacing w:val="-14"/>
                <w:sz w:val="12"/>
                <w:szCs w:val="12"/>
              </w:rPr>
              <w:t>3</w:t>
            </w:r>
            <w:r>
              <w:rPr>
                <w:spacing w:val="-14"/>
                <w:sz w:val="18"/>
                <w:szCs w:val="18"/>
              </w:rPr>
              <w:t>-N</w:t>
            </w:r>
            <w:r>
              <w:rPr>
                <w:rFonts w:ascii="宋体" w:hAnsi="宋体" w:eastAsia="宋体" w:cs="宋体"/>
                <w:spacing w:val="-14"/>
                <w:sz w:val="18"/>
                <w:szCs w:val="18"/>
              </w:rPr>
              <w:t>、）</w:t>
            </w:r>
          </w:p>
        </w:tc>
        <w:tc>
          <w:tcPr>
            <w:tcW w:w="1717" w:type="dxa"/>
            <w:vAlign w:val="top"/>
          </w:tcPr>
          <w:p w14:paraId="70ADF1A4">
            <w:pPr>
              <w:spacing w:before="155"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55C6B751">
            <w:pPr>
              <w:spacing w:before="155"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01BEAB46">
            <w:pPr>
              <w:spacing w:before="68" w:line="220" w:lineRule="auto"/>
              <w:ind w:left="751"/>
              <w:rPr>
                <w:rFonts w:ascii="宋体" w:hAnsi="宋体" w:eastAsia="宋体" w:cs="宋体"/>
                <w:sz w:val="18"/>
                <w:szCs w:val="18"/>
              </w:rPr>
            </w:pPr>
            <w:r>
              <w:rPr>
                <w:rFonts w:ascii="宋体" w:hAnsi="宋体" w:eastAsia="宋体" w:cs="宋体"/>
                <w:spacing w:val="-19"/>
                <w:sz w:val="18"/>
                <w:szCs w:val="18"/>
              </w:rPr>
              <w:t>Ⅱ类</w:t>
            </w:r>
          </w:p>
        </w:tc>
        <w:tc>
          <w:tcPr>
            <w:tcW w:w="1665" w:type="dxa"/>
            <w:tcBorders>
              <w:right w:val="single" w:color="000000" w:sz="12" w:space="0"/>
            </w:tcBorders>
            <w:vAlign w:val="top"/>
          </w:tcPr>
          <w:p w14:paraId="68BC58EA">
            <w:pPr>
              <w:spacing w:before="68"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4C4A0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50" w:type="dxa"/>
            <w:vMerge w:val="continue"/>
            <w:tcBorders>
              <w:top w:val="nil"/>
              <w:left w:val="single" w:color="000000" w:sz="12" w:space="0"/>
            </w:tcBorders>
            <w:vAlign w:val="top"/>
          </w:tcPr>
          <w:p w14:paraId="7A8A12AD">
            <w:pPr>
              <w:rPr>
                <w:rFonts w:ascii="Arial"/>
                <w:sz w:val="21"/>
              </w:rPr>
            </w:pPr>
          </w:p>
        </w:tc>
        <w:tc>
          <w:tcPr>
            <w:tcW w:w="707" w:type="dxa"/>
            <w:vAlign w:val="top"/>
          </w:tcPr>
          <w:p w14:paraId="37D03AC7">
            <w:pPr>
              <w:pStyle w:val="6"/>
              <w:spacing w:before="73" w:line="233" w:lineRule="auto"/>
              <w:ind w:left="154"/>
              <w:rPr>
                <w:rFonts w:ascii="宋体" w:hAnsi="宋体" w:eastAsia="宋体" w:cs="宋体"/>
                <w:sz w:val="18"/>
                <w:szCs w:val="18"/>
              </w:rPr>
            </w:pPr>
            <w:r>
              <w:rPr>
                <w:spacing w:val="-8"/>
                <w:sz w:val="18"/>
                <w:szCs w:val="18"/>
              </w:rPr>
              <w:t>11</w:t>
            </w:r>
            <w:r>
              <w:rPr>
                <w:spacing w:val="12"/>
                <w:w w:val="101"/>
                <w:sz w:val="18"/>
                <w:szCs w:val="18"/>
              </w:rPr>
              <w:t xml:space="preserve"> </w:t>
            </w:r>
            <w:r>
              <w:rPr>
                <w:rFonts w:ascii="宋体" w:hAnsi="宋体" w:eastAsia="宋体" w:cs="宋体"/>
                <w:spacing w:val="-8"/>
                <w:sz w:val="18"/>
                <w:szCs w:val="18"/>
              </w:rPr>
              <w:t>月</w:t>
            </w:r>
          </w:p>
        </w:tc>
        <w:tc>
          <w:tcPr>
            <w:tcW w:w="1273" w:type="dxa"/>
            <w:vAlign w:val="top"/>
          </w:tcPr>
          <w:p w14:paraId="2F1B83F7">
            <w:pPr>
              <w:spacing w:before="73" w:line="220" w:lineRule="auto"/>
              <w:ind w:left="478"/>
              <w:rPr>
                <w:rFonts w:ascii="宋体" w:hAnsi="宋体" w:eastAsia="宋体" w:cs="宋体"/>
                <w:sz w:val="18"/>
                <w:szCs w:val="18"/>
              </w:rPr>
            </w:pPr>
            <w:r>
              <w:rPr>
                <w:rFonts w:ascii="宋体" w:hAnsi="宋体" w:eastAsia="宋体" w:cs="宋体"/>
                <w:spacing w:val="-19"/>
                <w:sz w:val="18"/>
                <w:szCs w:val="18"/>
              </w:rPr>
              <w:t>Ⅱ类</w:t>
            </w:r>
          </w:p>
        </w:tc>
        <w:tc>
          <w:tcPr>
            <w:tcW w:w="1865" w:type="dxa"/>
            <w:vAlign w:val="top"/>
          </w:tcPr>
          <w:p w14:paraId="12B3D8B9">
            <w:pPr>
              <w:pStyle w:val="6"/>
              <w:spacing w:before="73" w:line="230" w:lineRule="auto"/>
              <w:ind w:left="227"/>
              <w:rPr>
                <w:rFonts w:ascii="宋体" w:hAnsi="宋体" w:eastAsia="宋体" w:cs="宋体"/>
                <w:sz w:val="18"/>
                <w:szCs w:val="18"/>
              </w:rPr>
            </w:pPr>
            <w:r>
              <w:rPr>
                <w:rFonts w:ascii="宋体" w:hAnsi="宋体" w:eastAsia="宋体" w:cs="宋体"/>
                <w:spacing w:val="-2"/>
                <w:sz w:val="18"/>
                <w:szCs w:val="18"/>
              </w:rPr>
              <w:t>劣Ⅴ类（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tc>
        <w:tc>
          <w:tcPr>
            <w:tcW w:w="1830" w:type="dxa"/>
            <w:vAlign w:val="top"/>
          </w:tcPr>
          <w:p w14:paraId="6BF3B19A">
            <w:pPr>
              <w:pStyle w:val="6"/>
              <w:spacing w:before="73" w:line="230" w:lineRule="auto"/>
              <w:jc w:val="right"/>
              <w:rPr>
                <w:rFonts w:ascii="宋体" w:hAnsi="宋体" w:eastAsia="宋体" w:cs="宋体"/>
                <w:sz w:val="18"/>
                <w:szCs w:val="18"/>
              </w:rPr>
            </w:pPr>
            <w:r>
              <w:rPr>
                <w:rFonts w:ascii="宋体" w:hAnsi="宋体" w:eastAsia="宋体" w:cs="宋体"/>
                <w:spacing w:val="-14"/>
                <w:sz w:val="18"/>
                <w:szCs w:val="18"/>
              </w:rPr>
              <w:t>劣Ⅴ类（</w:t>
            </w:r>
            <w:r>
              <w:rPr>
                <w:spacing w:val="-14"/>
                <w:sz w:val="18"/>
                <w:szCs w:val="18"/>
              </w:rPr>
              <w:t>TP</w:t>
            </w:r>
            <w:r>
              <w:rPr>
                <w:rFonts w:ascii="宋体" w:hAnsi="宋体" w:eastAsia="宋体" w:cs="宋体"/>
                <w:spacing w:val="-14"/>
                <w:sz w:val="18"/>
                <w:szCs w:val="18"/>
              </w:rPr>
              <w:t>、</w:t>
            </w:r>
            <w:r>
              <w:rPr>
                <w:spacing w:val="-14"/>
                <w:sz w:val="18"/>
                <w:szCs w:val="18"/>
              </w:rPr>
              <w:t>NH</w:t>
            </w:r>
            <w:r>
              <w:rPr>
                <w:spacing w:val="-14"/>
                <w:sz w:val="12"/>
                <w:szCs w:val="12"/>
              </w:rPr>
              <w:t>3</w:t>
            </w:r>
            <w:r>
              <w:rPr>
                <w:spacing w:val="-14"/>
                <w:sz w:val="18"/>
                <w:szCs w:val="18"/>
              </w:rPr>
              <w:t>-N</w:t>
            </w:r>
            <w:r>
              <w:rPr>
                <w:rFonts w:ascii="宋体" w:hAnsi="宋体" w:eastAsia="宋体" w:cs="宋体"/>
                <w:spacing w:val="-14"/>
                <w:sz w:val="18"/>
                <w:szCs w:val="18"/>
              </w:rPr>
              <w:t>、）</w:t>
            </w:r>
          </w:p>
        </w:tc>
        <w:tc>
          <w:tcPr>
            <w:tcW w:w="1717" w:type="dxa"/>
            <w:vAlign w:val="top"/>
          </w:tcPr>
          <w:p w14:paraId="41456ED6">
            <w:pPr>
              <w:spacing w:before="159"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2D03AED0">
            <w:pPr>
              <w:spacing w:before="159"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3F8714D9">
            <w:pPr>
              <w:pStyle w:val="6"/>
              <w:spacing w:before="73" w:line="213" w:lineRule="auto"/>
              <w:ind w:left="232"/>
              <w:rPr>
                <w:rFonts w:ascii="宋体" w:hAnsi="宋体" w:eastAsia="宋体" w:cs="宋体"/>
                <w:sz w:val="18"/>
                <w:szCs w:val="18"/>
              </w:rPr>
            </w:pPr>
            <w:r>
              <w:rPr>
                <w:rFonts w:ascii="宋体" w:hAnsi="宋体" w:eastAsia="宋体" w:cs="宋体"/>
                <w:spacing w:val="-2"/>
                <w:sz w:val="18"/>
                <w:szCs w:val="18"/>
              </w:rPr>
              <w:t>劣Ⅴ类（</w:t>
            </w:r>
            <w:r>
              <w:rPr>
                <w:spacing w:val="-2"/>
                <w:sz w:val="18"/>
                <w:szCs w:val="18"/>
              </w:rPr>
              <w:t xml:space="preserve">pH </w:t>
            </w:r>
            <w:r>
              <w:rPr>
                <w:rFonts w:ascii="宋体" w:hAnsi="宋体" w:eastAsia="宋体" w:cs="宋体"/>
                <w:spacing w:val="-2"/>
                <w:sz w:val="18"/>
                <w:szCs w:val="18"/>
              </w:rPr>
              <w:t>值）</w:t>
            </w:r>
          </w:p>
        </w:tc>
        <w:tc>
          <w:tcPr>
            <w:tcW w:w="1665" w:type="dxa"/>
            <w:tcBorders>
              <w:right w:val="single" w:color="000000" w:sz="12" w:space="0"/>
            </w:tcBorders>
            <w:vAlign w:val="top"/>
          </w:tcPr>
          <w:p w14:paraId="3B8C4A9D">
            <w:pPr>
              <w:pStyle w:val="6"/>
              <w:spacing w:before="73" w:line="213" w:lineRule="auto"/>
              <w:ind w:left="172"/>
              <w:rPr>
                <w:rFonts w:ascii="宋体" w:hAnsi="宋体" w:eastAsia="宋体" w:cs="宋体"/>
                <w:sz w:val="18"/>
                <w:szCs w:val="18"/>
              </w:rPr>
            </w:pPr>
            <w:r>
              <w:rPr>
                <w:rFonts w:ascii="宋体" w:hAnsi="宋体" w:eastAsia="宋体" w:cs="宋体"/>
                <w:spacing w:val="-2"/>
                <w:sz w:val="18"/>
                <w:szCs w:val="18"/>
              </w:rPr>
              <w:t>劣Ⅴ类（</w:t>
            </w:r>
            <w:r>
              <w:rPr>
                <w:spacing w:val="-2"/>
                <w:sz w:val="18"/>
                <w:szCs w:val="18"/>
              </w:rPr>
              <w:t xml:space="preserve">pH </w:t>
            </w:r>
            <w:r>
              <w:rPr>
                <w:rFonts w:ascii="宋体" w:hAnsi="宋体" w:eastAsia="宋体" w:cs="宋体"/>
                <w:spacing w:val="-2"/>
                <w:sz w:val="18"/>
                <w:szCs w:val="18"/>
              </w:rPr>
              <w:t>值）</w:t>
            </w:r>
          </w:p>
        </w:tc>
      </w:tr>
      <w:tr w14:paraId="6166A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restart"/>
            <w:tcBorders>
              <w:left w:val="single" w:color="000000" w:sz="12" w:space="0"/>
              <w:bottom w:val="nil"/>
            </w:tcBorders>
            <w:vAlign w:val="top"/>
          </w:tcPr>
          <w:p w14:paraId="2DB76AE7">
            <w:pPr>
              <w:spacing w:line="341" w:lineRule="auto"/>
              <w:rPr>
                <w:rFonts w:ascii="Arial"/>
                <w:sz w:val="21"/>
              </w:rPr>
            </w:pPr>
          </w:p>
          <w:p w14:paraId="4738D64E">
            <w:pPr>
              <w:pStyle w:val="6"/>
              <w:spacing w:before="59" w:line="233" w:lineRule="auto"/>
              <w:ind w:left="114"/>
              <w:rPr>
                <w:rFonts w:ascii="宋体" w:hAnsi="宋体" w:eastAsia="宋体" w:cs="宋体"/>
                <w:sz w:val="18"/>
                <w:szCs w:val="18"/>
              </w:rPr>
            </w:pPr>
            <w:r>
              <w:rPr>
                <w:spacing w:val="-1"/>
                <w:sz w:val="18"/>
                <w:szCs w:val="18"/>
              </w:rPr>
              <w:t>2012</w:t>
            </w:r>
            <w:r>
              <w:rPr>
                <w:spacing w:val="7"/>
                <w:sz w:val="18"/>
                <w:szCs w:val="18"/>
              </w:rPr>
              <w:t xml:space="preserve"> </w:t>
            </w:r>
            <w:r>
              <w:rPr>
                <w:rFonts w:ascii="宋体" w:hAnsi="宋体" w:eastAsia="宋体" w:cs="宋体"/>
                <w:spacing w:val="-1"/>
                <w:sz w:val="18"/>
                <w:szCs w:val="18"/>
              </w:rPr>
              <w:t>年</w:t>
            </w:r>
          </w:p>
        </w:tc>
        <w:tc>
          <w:tcPr>
            <w:tcW w:w="707" w:type="dxa"/>
            <w:vAlign w:val="top"/>
          </w:tcPr>
          <w:p w14:paraId="08FBFF82">
            <w:pPr>
              <w:pStyle w:val="6"/>
              <w:spacing w:before="72" w:line="233" w:lineRule="auto"/>
              <w:ind w:left="185"/>
              <w:rPr>
                <w:rFonts w:ascii="宋体" w:hAnsi="宋体" w:eastAsia="宋体" w:cs="宋体"/>
                <w:sz w:val="18"/>
                <w:szCs w:val="18"/>
              </w:rPr>
            </w:pPr>
            <w:r>
              <w:rPr>
                <w:spacing w:val="-4"/>
                <w:sz w:val="18"/>
                <w:szCs w:val="18"/>
              </w:rPr>
              <w:t>3</w:t>
            </w:r>
            <w:r>
              <w:rPr>
                <w:spacing w:val="10"/>
                <w:sz w:val="18"/>
                <w:szCs w:val="18"/>
              </w:rPr>
              <w:t xml:space="preserve"> </w:t>
            </w:r>
            <w:r>
              <w:rPr>
                <w:rFonts w:ascii="宋体" w:hAnsi="宋体" w:eastAsia="宋体" w:cs="宋体"/>
                <w:spacing w:val="-4"/>
                <w:sz w:val="18"/>
                <w:szCs w:val="18"/>
              </w:rPr>
              <w:t>月</w:t>
            </w:r>
          </w:p>
        </w:tc>
        <w:tc>
          <w:tcPr>
            <w:tcW w:w="1273" w:type="dxa"/>
            <w:vAlign w:val="top"/>
          </w:tcPr>
          <w:p w14:paraId="62BDC539">
            <w:pPr>
              <w:spacing w:before="72" w:line="220" w:lineRule="auto"/>
              <w:ind w:left="478"/>
              <w:rPr>
                <w:rFonts w:ascii="宋体" w:hAnsi="宋体" w:eastAsia="宋体" w:cs="宋体"/>
                <w:sz w:val="18"/>
                <w:szCs w:val="18"/>
              </w:rPr>
            </w:pPr>
            <w:r>
              <w:rPr>
                <w:rFonts w:ascii="宋体" w:hAnsi="宋体" w:eastAsia="宋体" w:cs="宋体"/>
                <w:spacing w:val="-19"/>
                <w:sz w:val="18"/>
                <w:szCs w:val="18"/>
              </w:rPr>
              <w:t>Ⅱ类</w:t>
            </w:r>
          </w:p>
        </w:tc>
        <w:tc>
          <w:tcPr>
            <w:tcW w:w="1865" w:type="dxa"/>
            <w:vAlign w:val="top"/>
          </w:tcPr>
          <w:p w14:paraId="76611C8C">
            <w:pPr>
              <w:pStyle w:val="6"/>
              <w:spacing w:before="72"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830" w:type="dxa"/>
            <w:vAlign w:val="top"/>
          </w:tcPr>
          <w:p w14:paraId="7AF12469">
            <w:pPr>
              <w:pStyle w:val="6"/>
              <w:spacing w:before="72" w:line="230" w:lineRule="auto"/>
              <w:ind w:left="45"/>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717" w:type="dxa"/>
            <w:vAlign w:val="top"/>
          </w:tcPr>
          <w:p w14:paraId="57F1A683">
            <w:pPr>
              <w:spacing w:before="158"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711766ED">
            <w:pPr>
              <w:spacing w:before="158"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075D346B">
            <w:pPr>
              <w:spacing w:before="72" w:line="220" w:lineRule="auto"/>
              <w:ind w:left="779"/>
              <w:rPr>
                <w:rFonts w:ascii="宋体" w:hAnsi="宋体" w:eastAsia="宋体" w:cs="宋体"/>
                <w:sz w:val="18"/>
                <w:szCs w:val="18"/>
              </w:rPr>
            </w:pPr>
            <w:r>
              <w:rPr>
                <w:rFonts w:ascii="宋体" w:hAnsi="宋体" w:eastAsia="宋体" w:cs="宋体"/>
                <w:spacing w:val="-17"/>
                <w:sz w:val="18"/>
                <w:szCs w:val="18"/>
              </w:rPr>
              <w:t>Ⅰ类</w:t>
            </w:r>
          </w:p>
        </w:tc>
        <w:tc>
          <w:tcPr>
            <w:tcW w:w="1665" w:type="dxa"/>
            <w:tcBorders>
              <w:right w:val="single" w:color="000000" w:sz="12" w:space="0"/>
            </w:tcBorders>
            <w:vAlign w:val="top"/>
          </w:tcPr>
          <w:p w14:paraId="4D5DCC2C">
            <w:pPr>
              <w:spacing w:before="72" w:line="220" w:lineRule="auto"/>
              <w:ind w:left="719"/>
              <w:rPr>
                <w:rFonts w:ascii="宋体" w:hAnsi="宋体" w:eastAsia="宋体" w:cs="宋体"/>
                <w:sz w:val="18"/>
                <w:szCs w:val="18"/>
              </w:rPr>
            </w:pPr>
            <w:r>
              <w:rPr>
                <w:rFonts w:ascii="宋体" w:hAnsi="宋体" w:eastAsia="宋体" w:cs="宋体"/>
                <w:spacing w:val="-17"/>
                <w:sz w:val="18"/>
                <w:szCs w:val="18"/>
              </w:rPr>
              <w:t>Ⅰ类</w:t>
            </w:r>
          </w:p>
        </w:tc>
      </w:tr>
      <w:tr w14:paraId="4F6D4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continue"/>
            <w:tcBorders>
              <w:top w:val="nil"/>
              <w:left w:val="single" w:color="000000" w:sz="12" w:space="0"/>
              <w:bottom w:val="nil"/>
            </w:tcBorders>
            <w:vAlign w:val="top"/>
          </w:tcPr>
          <w:p w14:paraId="6997C2ED">
            <w:pPr>
              <w:rPr>
                <w:rFonts w:ascii="Arial"/>
                <w:sz w:val="21"/>
              </w:rPr>
            </w:pPr>
          </w:p>
        </w:tc>
        <w:tc>
          <w:tcPr>
            <w:tcW w:w="707" w:type="dxa"/>
            <w:vAlign w:val="top"/>
          </w:tcPr>
          <w:p w14:paraId="582BDA61">
            <w:pPr>
              <w:pStyle w:val="6"/>
              <w:spacing w:before="75" w:line="233" w:lineRule="auto"/>
              <w:ind w:left="184"/>
              <w:rPr>
                <w:rFonts w:ascii="宋体" w:hAnsi="宋体" w:eastAsia="宋体" w:cs="宋体"/>
                <w:sz w:val="18"/>
                <w:szCs w:val="18"/>
              </w:rPr>
            </w:pPr>
            <w:r>
              <w:rPr>
                <w:spacing w:val="-4"/>
                <w:sz w:val="18"/>
                <w:szCs w:val="18"/>
              </w:rPr>
              <w:t>7</w:t>
            </w:r>
            <w:r>
              <w:rPr>
                <w:spacing w:val="11"/>
                <w:sz w:val="18"/>
                <w:szCs w:val="18"/>
              </w:rPr>
              <w:t xml:space="preserve"> </w:t>
            </w:r>
            <w:r>
              <w:rPr>
                <w:rFonts w:ascii="宋体" w:hAnsi="宋体" w:eastAsia="宋体" w:cs="宋体"/>
                <w:spacing w:val="-4"/>
                <w:sz w:val="18"/>
                <w:szCs w:val="18"/>
              </w:rPr>
              <w:t>月</w:t>
            </w:r>
          </w:p>
        </w:tc>
        <w:tc>
          <w:tcPr>
            <w:tcW w:w="1273" w:type="dxa"/>
            <w:vAlign w:val="top"/>
          </w:tcPr>
          <w:p w14:paraId="4645D48C">
            <w:pPr>
              <w:spacing w:before="74" w:line="220" w:lineRule="auto"/>
              <w:ind w:left="478"/>
              <w:rPr>
                <w:rFonts w:ascii="宋体" w:hAnsi="宋体" w:eastAsia="宋体" w:cs="宋体"/>
                <w:sz w:val="18"/>
                <w:szCs w:val="18"/>
              </w:rPr>
            </w:pPr>
            <w:r>
              <w:rPr>
                <w:rFonts w:ascii="宋体" w:hAnsi="宋体" w:eastAsia="宋体" w:cs="宋体"/>
                <w:spacing w:val="-19"/>
                <w:sz w:val="18"/>
                <w:szCs w:val="18"/>
              </w:rPr>
              <w:t>Ⅱ类</w:t>
            </w:r>
          </w:p>
        </w:tc>
        <w:tc>
          <w:tcPr>
            <w:tcW w:w="1865" w:type="dxa"/>
            <w:vAlign w:val="top"/>
          </w:tcPr>
          <w:p w14:paraId="77381F9F">
            <w:pPr>
              <w:pStyle w:val="6"/>
              <w:spacing w:before="74"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830" w:type="dxa"/>
            <w:vAlign w:val="top"/>
          </w:tcPr>
          <w:p w14:paraId="1415AC1F">
            <w:pPr>
              <w:pStyle w:val="6"/>
              <w:spacing w:before="74" w:line="230" w:lineRule="auto"/>
              <w:ind w:left="45"/>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717" w:type="dxa"/>
            <w:vAlign w:val="top"/>
          </w:tcPr>
          <w:p w14:paraId="25DA78B3">
            <w:pPr>
              <w:spacing w:before="160"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6AB0A267">
            <w:pPr>
              <w:spacing w:before="160"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0C91FB45">
            <w:pPr>
              <w:spacing w:before="74" w:line="220" w:lineRule="auto"/>
              <w:ind w:left="720"/>
              <w:rPr>
                <w:rFonts w:ascii="宋体" w:hAnsi="宋体" w:eastAsia="宋体" w:cs="宋体"/>
                <w:sz w:val="18"/>
                <w:szCs w:val="18"/>
              </w:rPr>
            </w:pPr>
            <w:r>
              <w:rPr>
                <w:rFonts w:ascii="宋体" w:hAnsi="宋体" w:eastAsia="宋体" w:cs="宋体"/>
                <w:spacing w:val="-4"/>
                <w:sz w:val="18"/>
                <w:szCs w:val="18"/>
              </w:rPr>
              <w:t>Ⅲ类</w:t>
            </w:r>
          </w:p>
        </w:tc>
        <w:tc>
          <w:tcPr>
            <w:tcW w:w="1665" w:type="dxa"/>
            <w:tcBorders>
              <w:right w:val="single" w:color="000000" w:sz="12" w:space="0"/>
            </w:tcBorders>
            <w:vAlign w:val="top"/>
          </w:tcPr>
          <w:p w14:paraId="419DB5FB">
            <w:pPr>
              <w:spacing w:before="74"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16263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continue"/>
            <w:tcBorders>
              <w:top w:val="nil"/>
              <w:left w:val="single" w:color="000000" w:sz="12" w:space="0"/>
            </w:tcBorders>
            <w:vAlign w:val="top"/>
          </w:tcPr>
          <w:p w14:paraId="35CC88F0">
            <w:pPr>
              <w:rPr>
                <w:rFonts w:ascii="Arial"/>
                <w:sz w:val="21"/>
              </w:rPr>
            </w:pPr>
          </w:p>
        </w:tc>
        <w:tc>
          <w:tcPr>
            <w:tcW w:w="707" w:type="dxa"/>
            <w:vAlign w:val="top"/>
          </w:tcPr>
          <w:p w14:paraId="565F7F62">
            <w:pPr>
              <w:pStyle w:val="6"/>
              <w:spacing w:before="76" w:line="233" w:lineRule="auto"/>
              <w:ind w:left="154"/>
              <w:rPr>
                <w:rFonts w:ascii="宋体" w:hAnsi="宋体" w:eastAsia="宋体" w:cs="宋体"/>
                <w:sz w:val="18"/>
                <w:szCs w:val="18"/>
              </w:rPr>
            </w:pPr>
            <w:r>
              <w:rPr>
                <w:spacing w:val="-8"/>
                <w:sz w:val="18"/>
                <w:szCs w:val="18"/>
              </w:rPr>
              <w:t>11</w:t>
            </w:r>
            <w:r>
              <w:rPr>
                <w:spacing w:val="12"/>
                <w:w w:val="101"/>
                <w:sz w:val="18"/>
                <w:szCs w:val="18"/>
              </w:rPr>
              <w:t xml:space="preserve"> </w:t>
            </w:r>
            <w:r>
              <w:rPr>
                <w:rFonts w:ascii="宋体" w:hAnsi="宋体" w:eastAsia="宋体" w:cs="宋体"/>
                <w:spacing w:val="-8"/>
                <w:sz w:val="18"/>
                <w:szCs w:val="18"/>
              </w:rPr>
              <w:t>月</w:t>
            </w:r>
          </w:p>
        </w:tc>
        <w:tc>
          <w:tcPr>
            <w:tcW w:w="1273" w:type="dxa"/>
            <w:vAlign w:val="top"/>
          </w:tcPr>
          <w:p w14:paraId="1683BF04">
            <w:pPr>
              <w:spacing w:before="76" w:line="220" w:lineRule="auto"/>
              <w:ind w:left="478"/>
              <w:rPr>
                <w:rFonts w:ascii="宋体" w:hAnsi="宋体" w:eastAsia="宋体" w:cs="宋体"/>
                <w:sz w:val="18"/>
                <w:szCs w:val="18"/>
              </w:rPr>
            </w:pPr>
            <w:r>
              <w:rPr>
                <w:rFonts w:ascii="宋体" w:hAnsi="宋体" w:eastAsia="宋体" w:cs="宋体"/>
                <w:spacing w:val="-19"/>
                <w:sz w:val="18"/>
                <w:szCs w:val="18"/>
              </w:rPr>
              <w:t>Ⅱ类</w:t>
            </w:r>
          </w:p>
        </w:tc>
        <w:tc>
          <w:tcPr>
            <w:tcW w:w="1865" w:type="dxa"/>
            <w:vAlign w:val="top"/>
          </w:tcPr>
          <w:p w14:paraId="2153554B">
            <w:pPr>
              <w:pStyle w:val="6"/>
              <w:spacing w:before="76"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830" w:type="dxa"/>
            <w:vAlign w:val="top"/>
          </w:tcPr>
          <w:p w14:paraId="2A0DE8E5">
            <w:pPr>
              <w:pStyle w:val="6"/>
              <w:spacing w:before="76" w:line="230" w:lineRule="auto"/>
              <w:jc w:val="right"/>
              <w:rPr>
                <w:rFonts w:ascii="宋体" w:hAnsi="宋体" w:eastAsia="宋体" w:cs="宋体"/>
                <w:sz w:val="18"/>
                <w:szCs w:val="18"/>
              </w:rPr>
            </w:pPr>
            <w:r>
              <w:rPr>
                <w:rFonts w:ascii="宋体" w:hAnsi="宋体" w:eastAsia="宋体" w:cs="宋体"/>
                <w:spacing w:val="-14"/>
                <w:sz w:val="18"/>
                <w:szCs w:val="18"/>
              </w:rPr>
              <w:t>Ⅴ类（</w:t>
            </w:r>
            <w:r>
              <w:rPr>
                <w:spacing w:val="-14"/>
                <w:sz w:val="18"/>
                <w:szCs w:val="18"/>
              </w:rPr>
              <w:t>NH</w:t>
            </w:r>
            <w:r>
              <w:rPr>
                <w:spacing w:val="-14"/>
                <w:sz w:val="12"/>
                <w:szCs w:val="12"/>
              </w:rPr>
              <w:t>3</w:t>
            </w:r>
            <w:r>
              <w:rPr>
                <w:spacing w:val="-14"/>
                <w:sz w:val="18"/>
                <w:szCs w:val="18"/>
              </w:rPr>
              <w:t>-N</w:t>
            </w:r>
            <w:r>
              <w:rPr>
                <w:rFonts w:ascii="宋体" w:hAnsi="宋体" w:eastAsia="宋体" w:cs="宋体"/>
                <w:spacing w:val="-14"/>
                <w:sz w:val="18"/>
                <w:szCs w:val="18"/>
              </w:rPr>
              <w:t>、氟化物）</w:t>
            </w:r>
          </w:p>
        </w:tc>
        <w:tc>
          <w:tcPr>
            <w:tcW w:w="1717" w:type="dxa"/>
            <w:vAlign w:val="top"/>
          </w:tcPr>
          <w:p w14:paraId="4597415E">
            <w:pPr>
              <w:spacing w:before="162"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3E174C71">
            <w:pPr>
              <w:spacing w:before="162"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5BD2D3EB">
            <w:pPr>
              <w:spacing w:before="76" w:line="220" w:lineRule="auto"/>
              <w:ind w:left="751"/>
              <w:rPr>
                <w:rFonts w:ascii="宋体" w:hAnsi="宋体" w:eastAsia="宋体" w:cs="宋体"/>
                <w:sz w:val="18"/>
                <w:szCs w:val="18"/>
              </w:rPr>
            </w:pPr>
            <w:r>
              <w:rPr>
                <w:rFonts w:ascii="宋体" w:hAnsi="宋体" w:eastAsia="宋体" w:cs="宋体"/>
                <w:spacing w:val="-19"/>
                <w:sz w:val="18"/>
                <w:szCs w:val="18"/>
              </w:rPr>
              <w:t>Ⅱ类</w:t>
            </w:r>
          </w:p>
        </w:tc>
        <w:tc>
          <w:tcPr>
            <w:tcW w:w="1665" w:type="dxa"/>
            <w:tcBorders>
              <w:right w:val="single" w:color="000000" w:sz="12" w:space="0"/>
            </w:tcBorders>
            <w:vAlign w:val="top"/>
          </w:tcPr>
          <w:p w14:paraId="5153FE53">
            <w:pPr>
              <w:spacing w:before="76"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62098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vMerge w:val="restart"/>
            <w:tcBorders>
              <w:left w:val="single" w:color="000000" w:sz="12" w:space="0"/>
              <w:bottom w:val="nil"/>
            </w:tcBorders>
            <w:vAlign w:val="top"/>
          </w:tcPr>
          <w:p w14:paraId="1991067B">
            <w:pPr>
              <w:spacing w:line="461" w:lineRule="auto"/>
              <w:rPr>
                <w:rFonts w:ascii="Arial"/>
                <w:sz w:val="21"/>
              </w:rPr>
            </w:pPr>
          </w:p>
          <w:p w14:paraId="556562EA">
            <w:pPr>
              <w:pStyle w:val="6"/>
              <w:spacing w:before="58" w:line="233" w:lineRule="auto"/>
              <w:ind w:left="114"/>
              <w:rPr>
                <w:rFonts w:ascii="宋体" w:hAnsi="宋体" w:eastAsia="宋体" w:cs="宋体"/>
                <w:sz w:val="18"/>
                <w:szCs w:val="18"/>
              </w:rPr>
            </w:pPr>
            <w:r>
              <w:rPr>
                <w:spacing w:val="-1"/>
                <w:sz w:val="18"/>
                <w:szCs w:val="18"/>
              </w:rPr>
              <w:t>2013</w:t>
            </w:r>
            <w:r>
              <w:rPr>
                <w:spacing w:val="7"/>
                <w:sz w:val="18"/>
                <w:szCs w:val="18"/>
              </w:rPr>
              <w:t xml:space="preserve"> </w:t>
            </w:r>
            <w:r>
              <w:rPr>
                <w:rFonts w:ascii="宋体" w:hAnsi="宋体" w:eastAsia="宋体" w:cs="宋体"/>
                <w:spacing w:val="-1"/>
                <w:sz w:val="18"/>
                <w:szCs w:val="18"/>
              </w:rPr>
              <w:t>年</w:t>
            </w:r>
          </w:p>
        </w:tc>
        <w:tc>
          <w:tcPr>
            <w:tcW w:w="707" w:type="dxa"/>
            <w:vAlign w:val="top"/>
          </w:tcPr>
          <w:p w14:paraId="1B77775D">
            <w:pPr>
              <w:pStyle w:val="6"/>
              <w:spacing w:before="77" w:line="233" w:lineRule="auto"/>
              <w:ind w:left="185"/>
              <w:rPr>
                <w:rFonts w:ascii="宋体" w:hAnsi="宋体" w:eastAsia="宋体" w:cs="宋体"/>
                <w:sz w:val="18"/>
                <w:szCs w:val="18"/>
              </w:rPr>
            </w:pPr>
            <w:r>
              <w:rPr>
                <w:spacing w:val="-4"/>
                <w:sz w:val="18"/>
                <w:szCs w:val="18"/>
              </w:rPr>
              <w:t>3</w:t>
            </w:r>
            <w:r>
              <w:rPr>
                <w:spacing w:val="10"/>
                <w:sz w:val="18"/>
                <w:szCs w:val="18"/>
              </w:rPr>
              <w:t xml:space="preserve"> </w:t>
            </w:r>
            <w:r>
              <w:rPr>
                <w:rFonts w:ascii="宋体" w:hAnsi="宋体" w:eastAsia="宋体" w:cs="宋体"/>
                <w:spacing w:val="-4"/>
                <w:sz w:val="18"/>
                <w:szCs w:val="18"/>
              </w:rPr>
              <w:t>月</w:t>
            </w:r>
          </w:p>
        </w:tc>
        <w:tc>
          <w:tcPr>
            <w:tcW w:w="1273" w:type="dxa"/>
            <w:vAlign w:val="top"/>
          </w:tcPr>
          <w:p w14:paraId="120B79AB">
            <w:pPr>
              <w:spacing w:before="162" w:line="122"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59A12251">
            <w:pPr>
              <w:pStyle w:val="6"/>
              <w:spacing w:before="77"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tc>
        <w:tc>
          <w:tcPr>
            <w:tcW w:w="1830" w:type="dxa"/>
            <w:vAlign w:val="top"/>
          </w:tcPr>
          <w:p w14:paraId="2B2788F0">
            <w:pPr>
              <w:pStyle w:val="6"/>
              <w:spacing w:before="77" w:line="230" w:lineRule="auto"/>
              <w:ind w:left="32"/>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17" w:type="dxa"/>
            <w:vAlign w:val="top"/>
          </w:tcPr>
          <w:p w14:paraId="588ADF63">
            <w:pPr>
              <w:spacing w:before="162" w:line="122"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363B3858">
            <w:pPr>
              <w:spacing w:before="162" w:line="122"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240A49A9">
            <w:pPr>
              <w:pStyle w:val="6"/>
              <w:spacing w:before="77" w:line="230" w:lineRule="auto"/>
              <w:jc w:val="right"/>
              <w:rPr>
                <w:rFonts w:ascii="宋体" w:hAnsi="宋体" w:eastAsia="宋体" w:cs="宋体"/>
                <w:sz w:val="18"/>
                <w:szCs w:val="18"/>
              </w:rPr>
            </w:pPr>
            <w:r>
              <w:rPr>
                <w:rFonts w:ascii="宋体" w:hAnsi="宋体" w:eastAsia="宋体" w:cs="宋体"/>
                <w:spacing w:val="-7"/>
                <w:sz w:val="18"/>
                <w:szCs w:val="18"/>
              </w:rPr>
              <w:t>Ⅳ类（</w:t>
            </w:r>
            <w:r>
              <w:rPr>
                <w:spacing w:val="-7"/>
                <w:sz w:val="18"/>
                <w:szCs w:val="18"/>
              </w:rPr>
              <w:t>TP</w:t>
            </w:r>
            <w:r>
              <w:rPr>
                <w:spacing w:val="-27"/>
                <w:sz w:val="18"/>
                <w:szCs w:val="18"/>
              </w:rPr>
              <w:t xml:space="preserve"> </w:t>
            </w:r>
            <w:r>
              <w:rPr>
                <w:rFonts w:ascii="宋体" w:hAnsi="宋体" w:eastAsia="宋体" w:cs="宋体"/>
                <w:spacing w:val="-7"/>
                <w:sz w:val="18"/>
                <w:szCs w:val="18"/>
              </w:rPr>
              <w:t>、</w:t>
            </w:r>
            <w:r>
              <w:rPr>
                <w:spacing w:val="-7"/>
                <w:sz w:val="18"/>
                <w:szCs w:val="18"/>
              </w:rPr>
              <w:t>NH</w:t>
            </w:r>
            <w:r>
              <w:rPr>
                <w:spacing w:val="-7"/>
                <w:sz w:val="12"/>
                <w:szCs w:val="12"/>
              </w:rPr>
              <w:t>3</w:t>
            </w:r>
            <w:r>
              <w:rPr>
                <w:spacing w:val="-7"/>
                <w:sz w:val="18"/>
                <w:szCs w:val="18"/>
              </w:rPr>
              <w:t>-N</w:t>
            </w:r>
            <w:r>
              <w:rPr>
                <w:rFonts w:ascii="宋体" w:hAnsi="宋体" w:eastAsia="宋体" w:cs="宋体"/>
                <w:spacing w:val="-7"/>
                <w:sz w:val="18"/>
                <w:szCs w:val="18"/>
              </w:rPr>
              <w:t>、）</w:t>
            </w:r>
          </w:p>
        </w:tc>
        <w:tc>
          <w:tcPr>
            <w:tcW w:w="1665" w:type="dxa"/>
            <w:tcBorders>
              <w:right w:val="single" w:color="000000" w:sz="12" w:space="0"/>
            </w:tcBorders>
            <w:vAlign w:val="top"/>
          </w:tcPr>
          <w:p w14:paraId="3B0000D7">
            <w:pPr>
              <w:spacing w:before="162" w:line="122" w:lineRule="exact"/>
              <w:ind w:left="749"/>
              <w:rPr>
                <w:rFonts w:ascii="宋体" w:hAnsi="宋体" w:eastAsia="宋体" w:cs="宋体"/>
                <w:sz w:val="18"/>
                <w:szCs w:val="18"/>
              </w:rPr>
            </w:pPr>
            <w:r>
              <w:rPr>
                <w:rFonts w:ascii="宋体" w:hAnsi="宋体" w:eastAsia="宋体" w:cs="宋体"/>
                <w:position w:val="-9"/>
                <w:sz w:val="18"/>
                <w:szCs w:val="18"/>
              </w:rPr>
              <w:t>--</w:t>
            </w:r>
          </w:p>
        </w:tc>
      </w:tr>
      <w:tr w14:paraId="5AE12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50" w:type="dxa"/>
            <w:vMerge w:val="continue"/>
            <w:tcBorders>
              <w:top w:val="nil"/>
              <w:left w:val="single" w:color="000000" w:sz="12" w:space="0"/>
              <w:bottom w:val="nil"/>
            </w:tcBorders>
            <w:vAlign w:val="top"/>
          </w:tcPr>
          <w:p w14:paraId="100572F9">
            <w:pPr>
              <w:rPr>
                <w:rFonts w:ascii="Arial"/>
                <w:sz w:val="21"/>
              </w:rPr>
            </w:pPr>
          </w:p>
        </w:tc>
        <w:tc>
          <w:tcPr>
            <w:tcW w:w="707" w:type="dxa"/>
            <w:vAlign w:val="top"/>
          </w:tcPr>
          <w:p w14:paraId="4788E39A">
            <w:pPr>
              <w:pStyle w:val="6"/>
              <w:spacing w:before="194" w:line="233" w:lineRule="auto"/>
              <w:ind w:left="184"/>
              <w:rPr>
                <w:rFonts w:ascii="宋体" w:hAnsi="宋体" w:eastAsia="宋体" w:cs="宋体"/>
                <w:sz w:val="18"/>
                <w:szCs w:val="18"/>
              </w:rPr>
            </w:pPr>
            <w:r>
              <w:rPr>
                <w:spacing w:val="-4"/>
                <w:sz w:val="18"/>
                <w:szCs w:val="18"/>
              </w:rPr>
              <w:t>7</w:t>
            </w:r>
            <w:r>
              <w:rPr>
                <w:spacing w:val="11"/>
                <w:sz w:val="18"/>
                <w:szCs w:val="18"/>
              </w:rPr>
              <w:t xml:space="preserve"> </w:t>
            </w:r>
            <w:r>
              <w:rPr>
                <w:rFonts w:ascii="宋体" w:hAnsi="宋体" w:eastAsia="宋体" w:cs="宋体"/>
                <w:spacing w:val="-4"/>
                <w:sz w:val="18"/>
                <w:szCs w:val="18"/>
              </w:rPr>
              <w:t>月</w:t>
            </w:r>
          </w:p>
        </w:tc>
        <w:tc>
          <w:tcPr>
            <w:tcW w:w="1273" w:type="dxa"/>
            <w:vAlign w:val="top"/>
          </w:tcPr>
          <w:p w14:paraId="40533C87">
            <w:pPr>
              <w:spacing w:before="280"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733A6C37">
            <w:pPr>
              <w:pStyle w:val="6"/>
              <w:spacing w:before="77" w:line="230" w:lineRule="auto"/>
              <w:ind w:left="136"/>
              <w:rPr>
                <w:rFonts w:ascii="宋体" w:hAnsi="宋体" w:eastAsia="宋体" w:cs="宋体"/>
                <w:sz w:val="18"/>
                <w:szCs w:val="18"/>
              </w:rPr>
            </w:pPr>
            <w:r>
              <w:rPr>
                <w:rFonts w:ascii="宋体" w:hAnsi="宋体" w:eastAsia="宋体" w:cs="宋体"/>
                <w:spacing w:val="-4"/>
                <w:sz w:val="18"/>
                <w:szCs w:val="18"/>
              </w:rPr>
              <w:t>Ⅴ类（</w:t>
            </w:r>
            <w:r>
              <w:rPr>
                <w:spacing w:val="-4"/>
                <w:sz w:val="18"/>
                <w:szCs w:val="18"/>
              </w:rPr>
              <w:t>TP</w:t>
            </w:r>
            <w:r>
              <w:rPr>
                <w:spacing w:val="-25"/>
                <w:sz w:val="18"/>
                <w:szCs w:val="18"/>
              </w:rPr>
              <w:t xml:space="preserve">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rFonts w:ascii="宋体" w:hAnsi="宋体" w:eastAsia="宋体" w:cs="宋体"/>
                <w:spacing w:val="-4"/>
                <w:sz w:val="18"/>
                <w:szCs w:val="18"/>
              </w:rPr>
              <w:t>、</w:t>
            </w:r>
          </w:p>
          <w:p w14:paraId="53FBE53D">
            <w:pPr>
              <w:pStyle w:val="6"/>
              <w:spacing w:before="9" w:line="232" w:lineRule="auto"/>
              <w:ind w:left="646"/>
              <w:rPr>
                <w:rFonts w:ascii="宋体" w:hAnsi="宋体" w:eastAsia="宋体" w:cs="宋体"/>
                <w:sz w:val="18"/>
                <w:szCs w:val="18"/>
              </w:rPr>
            </w:pPr>
            <w:r>
              <w:rPr>
                <w:spacing w:val="-2"/>
                <w:sz w:val="18"/>
                <w:szCs w:val="18"/>
              </w:rPr>
              <w:t>COD</w:t>
            </w:r>
            <w:r>
              <w:rPr>
                <w:rFonts w:ascii="宋体" w:hAnsi="宋体" w:eastAsia="宋体" w:cs="宋体"/>
                <w:spacing w:val="-2"/>
                <w:sz w:val="18"/>
                <w:szCs w:val="18"/>
              </w:rPr>
              <w:t>）</w:t>
            </w:r>
          </w:p>
        </w:tc>
        <w:tc>
          <w:tcPr>
            <w:tcW w:w="1830" w:type="dxa"/>
            <w:vAlign w:val="top"/>
          </w:tcPr>
          <w:p w14:paraId="0AD14C27">
            <w:pPr>
              <w:pStyle w:val="6"/>
              <w:spacing w:before="78" w:line="236" w:lineRule="auto"/>
              <w:ind w:left="24" w:right="50" w:firstLine="7"/>
              <w:rPr>
                <w:rFonts w:ascii="宋体" w:hAnsi="宋体" w:eastAsia="宋体" w:cs="宋体"/>
                <w:sz w:val="18"/>
                <w:szCs w:val="18"/>
              </w:rPr>
            </w:pPr>
            <w:r>
              <w:rPr>
                <w:rFonts w:ascii="宋体" w:hAnsi="宋体" w:eastAsia="宋体" w:cs="宋体"/>
                <w:spacing w:val="-4"/>
                <w:sz w:val="18"/>
                <w:szCs w:val="18"/>
              </w:rPr>
              <w:t>Ⅳ</w:t>
            </w:r>
            <w:r>
              <w:rPr>
                <w:rFonts w:ascii="宋体" w:hAnsi="宋体" w:eastAsia="宋体" w:cs="宋体"/>
                <w:spacing w:val="-51"/>
                <w:sz w:val="18"/>
                <w:szCs w:val="18"/>
              </w:rPr>
              <w:t xml:space="preserve"> </w:t>
            </w:r>
            <w:r>
              <w:rPr>
                <w:rFonts w:ascii="宋体" w:hAnsi="宋体" w:eastAsia="宋体" w:cs="宋体"/>
                <w:spacing w:val="-4"/>
                <w:sz w:val="18"/>
                <w:szCs w:val="18"/>
              </w:rPr>
              <w:t>类（</w:t>
            </w:r>
            <w:r>
              <w:rPr>
                <w:rFonts w:ascii="宋体" w:hAnsi="宋体" w:eastAsia="宋体" w:cs="宋体"/>
                <w:spacing w:val="-32"/>
                <w:sz w:val="18"/>
                <w:szCs w:val="18"/>
              </w:rPr>
              <w:t xml:space="preserve"> </w:t>
            </w:r>
            <w:r>
              <w:rPr>
                <w:spacing w:val="-4"/>
                <w:sz w:val="18"/>
                <w:szCs w:val="18"/>
              </w:rPr>
              <w:t xml:space="preserve">TP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spacing w:val="-19"/>
                <w:sz w:val="18"/>
                <w:szCs w:val="18"/>
              </w:rPr>
              <w:t xml:space="preserve"> </w:t>
            </w:r>
            <w:r>
              <w:rPr>
                <w:rFonts w:ascii="宋体" w:hAnsi="宋体" w:eastAsia="宋体" w:cs="宋体"/>
                <w:spacing w:val="-4"/>
                <w:sz w:val="18"/>
                <w:szCs w:val="18"/>
              </w:rPr>
              <w:t>、</w:t>
            </w:r>
            <w:r>
              <w:rPr>
                <w:rFonts w:ascii="宋体" w:hAnsi="宋体" w:eastAsia="宋体" w:cs="宋体"/>
                <w:sz w:val="18"/>
                <w:szCs w:val="18"/>
              </w:rPr>
              <w:t xml:space="preserve"> </w:t>
            </w:r>
            <w:r>
              <w:rPr>
                <w:spacing w:val="-2"/>
                <w:sz w:val="18"/>
                <w:szCs w:val="18"/>
              </w:rPr>
              <w:t>COD</w:t>
            </w:r>
            <w:r>
              <w:rPr>
                <w:rFonts w:ascii="宋体" w:hAnsi="宋体" w:eastAsia="宋体" w:cs="宋体"/>
                <w:spacing w:val="-2"/>
                <w:sz w:val="18"/>
                <w:szCs w:val="18"/>
              </w:rPr>
              <w:t>）</w:t>
            </w:r>
          </w:p>
        </w:tc>
        <w:tc>
          <w:tcPr>
            <w:tcW w:w="1717" w:type="dxa"/>
            <w:vAlign w:val="top"/>
          </w:tcPr>
          <w:p w14:paraId="73EB81AE">
            <w:pPr>
              <w:spacing w:before="280"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0C63E2D0">
            <w:pPr>
              <w:spacing w:before="280"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3A1D4439">
            <w:pPr>
              <w:pStyle w:val="6"/>
              <w:spacing w:before="77" w:line="230" w:lineRule="auto"/>
              <w:ind w:left="292"/>
              <w:rPr>
                <w:rFonts w:ascii="宋体" w:hAnsi="宋体" w:eastAsia="宋体" w:cs="宋体"/>
                <w:sz w:val="18"/>
                <w:szCs w:val="18"/>
              </w:rPr>
            </w:pPr>
            <w:r>
              <w:rPr>
                <w:rFonts w:ascii="宋体" w:hAnsi="宋体" w:eastAsia="宋体" w:cs="宋体"/>
                <w:spacing w:val="-2"/>
                <w:sz w:val="18"/>
                <w:szCs w:val="18"/>
              </w:rPr>
              <w:t>Ⅳ类（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p w14:paraId="78FC9C5F">
            <w:pPr>
              <w:pStyle w:val="6"/>
              <w:spacing w:before="9" w:line="232" w:lineRule="auto"/>
              <w:ind w:left="619"/>
              <w:rPr>
                <w:rFonts w:ascii="宋体" w:hAnsi="宋体" w:eastAsia="宋体" w:cs="宋体"/>
                <w:sz w:val="18"/>
                <w:szCs w:val="18"/>
              </w:rPr>
            </w:pPr>
            <w:r>
              <w:rPr>
                <w:spacing w:val="-2"/>
                <w:sz w:val="18"/>
                <w:szCs w:val="18"/>
              </w:rPr>
              <w:t>COD</w:t>
            </w:r>
            <w:r>
              <w:rPr>
                <w:rFonts w:ascii="宋体" w:hAnsi="宋体" w:eastAsia="宋体" w:cs="宋体"/>
                <w:spacing w:val="-2"/>
                <w:sz w:val="18"/>
                <w:szCs w:val="18"/>
              </w:rPr>
              <w:t>）</w:t>
            </w:r>
          </w:p>
        </w:tc>
        <w:tc>
          <w:tcPr>
            <w:tcW w:w="1665" w:type="dxa"/>
            <w:tcBorders>
              <w:right w:val="single" w:color="000000" w:sz="12" w:space="0"/>
            </w:tcBorders>
            <w:vAlign w:val="top"/>
          </w:tcPr>
          <w:p w14:paraId="054D5EEE">
            <w:pPr>
              <w:spacing w:before="280" w:line="121" w:lineRule="exact"/>
              <w:ind w:left="749"/>
              <w:rPr>
                <w:rFonts w:ascii="宋体" w:hAnsi="宋体" w:eastAsia="宋体" w:cs="宋体"/>
                <w:sz w:val="18"/>
                <w:szCs w:val="18"/>
              </w:rPr>
            </w:pPr>
            <w:r>
              <w:rPr>
                <w:rFonts w:ascii="宋体" w:hAnsi="宋体" w:eastAsia="宋体" w:cs="宋体"/>
                <w:position w:val="-9"/>
                <w:sz w:val="18"/>
                <w:szCs w:val="18"/>
              </w:rPr>
              <w:t>--</w:t>
            </w:r>
          </w:p>
        </w:tc>
      </w:tr>
      <w:tr w14:paraId="1921D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vMerge w:val="continue"/>
            <w:tcBorders>
              <w:top w:val="nil"/>
              <w:left w:val="single" w:color="000000" w:sz="12" w:space="0"/>
            </w:tcBorders>
            <w:vAlign w:val="top"/>
          </w:tcPr>
          <w:p w14:paraId="04ED4480">
            <w:pPr>
              <w:rPr>
                <w:rFonts w:ascii="Arial"/>
                <w:sz w:val="21"/>
              </w:rPr>
            </w:pPr>
          </w:p>
        </w:tc>
        <w:tc>
          <w:tcPr>
            <w:tcW w:w="707" w:type="dxa"/>
            <w:vAlign w:val="top"/>
          </w:tcPr>
          <w:p w14:paraId="1C82254A">
            <w:pPr>
              <w:pStyle w:val="6"/>
              <w:spacing w:before="80" w:line="233" w:lineRule="auto"/>
              <w:ind w:left="154"/>
              <w:rPr>
                <w:rFonts w:ascii="宋体" w:hAnsi="宋体" w:eastAsia="宋体" w:cs="宋体"/>
                <w:sz w:val="18"/>
                <w:szCs w:val="18"/>
              </w:rPr>
            </w:pPr>
            <w:r>
              <w:rPr>
                <w:spacing w:val="-8"/>
                <w:sz w:val="18"/>
                <w:szCs w:val="18"/>
              </w:rPr>
              <w:t>11</w:t>
            </w:r>
            <w:r>
              <w:rPr>
                <w:spacing w:val="12"/>
                <w:w w:val="101"/>
                <w:sz w:val="18"/>
                <w:szCs w:val="18"/>
              </w:rPr>
              <w:t xml:space="preserve"> </w:t>
            </w:r>
            <w:r>
              <w:rPr>
                <w:rFonts w:ascii="宋体" w:hAnsi="宋体" w:eastAsia="宋体" w:cs="宋体"/>
                <w:spacing w:val="-8"/>
                <w:sz w:val="18"/>
                <w:szCs w:val="18"/>
              </w:rPr>
              <w:t>月</w:t>
            </w:r>
          </w:p>
        </w:tc>
        <w:tc>
          <w:tcPr>
            <w:tcW w:w="1273" w:type="dxa"/>
            <w:vAlign w:val="top"/>
          </w:tcPr>
          <w:p w14:paraId="388E842D">
            <w:pPr>
              <w:spacing w:before="166"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14416BE2">
            <w:pPr>
              <w:pStyle w:val="6"/>
              <w:spacing w:before="80" w:line="220" w:lineRule="auto"/>
              <w:ind w:left="469"/>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rFonts w:ascii="宋体" w:hAnsi="宋体" w:eastAsia="宋体" w:cs="宋体"/>
                <w:spacing w:val="-3"/>
                <w:sz w:val="18"/>
                <w:szCs w:val="18"/>
              </w:rPr>
              <w:t>）</w:t>
            </w:r>
          </w:p>
        </w:tc>
        <w:tc>
          <w:tcPr>
            <w:tcW w:w="1830" w:type="dxa"/>
            <w:vAlign w:val="top"/>
          </w:tcPr>
          <w:p w14:paraId="1E84FFD8">
            <w:pPr>
              <w:pStyle w:val="6"/>
              <w:spacing w:before="80" w:line="220" w:lineRule="auto"/>
              <w:ind w:left="32"/>
              <w:rPr>
                <w:rFonts w:ascii="宋体" w:hAnsi="宋体" w:eastAsia="宋体" w:cs="宋体"/>
                <w:sz w:val="18"/>
                <w:szCs w:val="18"/>
              </w:rPr>
            </w:pPr>
            <w:r>
              <w:rPr>
                <w:rFonts w:ascii="宋体" w:hAnsi="宋体" w:eastAsia="宋体" w:cs="宋体"/>
                <w:spacing w:val="-4"/>
                <w:sz w:val="18"/>
                <w:szCs w:val="18"/>
              </w:rPr>
              <w:t>Ⅳ类（</w:t>
            </w:r>
            <w:r>
              <w:rPr>
                <w:spacing w:val="-4"/>
                <w:sz w:val="18"/>
                <w:szCs w:val="18"/>
              </w:rPr>
              <w:t>TP</w:t>
            </w:r>
            <w:r>
              <w:rPr>
                <w:spacing w:val="-21"/>
                <w:sz w:val="18"/>
                <w:szCs w:val="18"/>
              </w:rPr>
              <w:t xml:space="preserve"> </w:t>
            </w:r>
            <w:r>
              <w:rPr>
                <w:rFonts w:ascii="宋体" w:hAnsi="宋体" w:eastAsia="宋体" w:cs="宋体"/>
                <w:spacing w:val="-4"/>
                <w:sz w:val="18"/>
                <w:szCs w:val="18"/>
              </w:rPr>
              <w:t>、</w:t>
            </w:r>
            <w:r>
              <w:rPr>
                <w:spacing w:val="-4"/>
                <w:sz w:val="18"/>
                <w:szCs w:val="18"/>
              </w:rPr>
              <w:t>COD</w:t>
            </w:r>
            <w:r>
              <w:rPr>
                <w:rFonts w:ascii="宋体" w:hAnsi="宋体" w:eastAsia="宋体" w:cs="宋体"/>
                <w:spacing w:val="-4"/>
                <w:sz w:val="18"/>
                <w:szCs w:val="18"/>
              </w:rPr>
              <w:t>）</w:t>
            </w:r>
          </w:p>
        </w:tc>
        <w:tc>
          <w:tcPr>
            <w:tcW w:w="1717" w:type="dxa"/>
            <w:vAlign w:val="top"/>
          </w:tcPr>
          <w:p w14:paraId="6FA32568">
            <w:pPr>
              <w:spacing w:before="166"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131B0F79">
            <w:pPr>
              <w:spacing w:before="166"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0A7B8F96">
            <w:pPr>
              <w:pStyle w:val="6"/>
              <w:spacing w:before="80" w:line="220" w:lineRule="auto"/>
              <w:ind w:left="162"/>
              <w:rPr>
                <w:rFonts w:ascii="宋体" w:hAnsi="宋体" w:eastAsia="宋体" w:cs="宋体"/>
                <w:sz w:val="18"/>
                <w:szCs w:val="18"/>
              </w:rPr>
            </w:pPr>
            <w:r>
              <w:rPr>
                <w:rFonts w:ascii="宋体" w:hAnsi="宋体" w:eastAsia="宋体" w:cs="宋体"/>
                <w:spacing w:val="-4"/>
                <w:sz w:val="18"/>
                <w:szCs w:val="18"/>
              </w:rPr>
              <w:t>Ⅳ类（</w:t>
            </w:r>
            <w:r>
              <w:rPr>
                <w:spacing w:val="-4"/>
                <w:sz w:val="18"/>
                <w:szCs w:val="18"/>
              </w:rPr>
              <w:t>TP</w:t>
            </w:r>
            <w:r>
              <w:rPr>
                <w:spacing w:val="-21"/>
                <w:sz w:val="18"/>
                <w:szCs w:val="18"/>
              </w:rPr>
              <w:t xml:space="preserve"> </w:t>
            </w:r>
            <w:r>
              <w:rPr>
                <w:rFonts w:ascii="宋体" w:hAnsi="宋体" w:eastAsia="宋体" w:cs="宋体"/>
                <w:spacing w:val="-4"/>
                <w:sz w:val="18"/>
                <w:szCs w:val="18"/>
              </w:rPr>
              <w:t>、</w:t>
            </w:r>
            <w:r>
              <w:rPr>
                <w:spacing w:val="-4"/>
                <w:sz w:val="18"/>
                <w:szCs w:val="18"/>
              </w:rPr>
              <w:t>COD</w:t>
            </w:r>
            <w:r>
              <w:rPr>
                <w:rFonts w:ascii="宋体" w:hAnsi="宋体" w:eastAsia="宋体" w:cs="宋体"/>
                <w:spacing w:val="-4"/>
                <w:sz w:val="18"/>
                <w:szCs w:val="18"/>
              </w:rPr>
              <w:t>）</w:t>
            </w:r>
          </w:p>
        </w:tc>
        <w:tc>
          <w:tcPr>
            <w:tcW w:w="1665" w:type="dxa"/>
            <w:tcBorders>
              <w:right w:val="single" w:color="000000" w:sz="12" w:space="0"/>
            </w:tcBorders>
            <w:vAlign w:val="top"/>
          </w:tcPr>
          <w:p w14:paraId="6CBD9A36">
            <w:pPr>
              <w:spacing w:before="166" w:line="121" w:lineRule="exact"/>
              <w:ind w:left="749"/>
              <w:rPr>
                <w:rFonts w:ascii="宋体" w:hAnsi="宋体" w:eastAsia="宋体" w:cs="宋体"/>
                <w:sz w:val="18"/>
                <w:szCs w:val="18"/>
              </w:rPr>
            </w:pPr>
            <w:r>
              <w:rPr>
                <w:rFonts w:ascii="宋体" w:hAnsi="宋体" w:eastAsia="宋体" w:cs="宋体"/>
                <w:position w:val="-9"/>
                <w:sz w:val="18"/>
                <w:szCs w:val="18"/>
              </w:rPr>
              <w:t>--</w:t>
            </w:r>
          </w:p>
        </w:tc>
      </w:tr>
      <w:tr w14:paraId="5BBF3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50" w:type="dxa"/>
            <w:vMerge w:val="restart"/>
            <w:tcBorders>
              <w:left w:val="single" w:color="000000" w:sz="12" w:space="0"/>
              <w:bottom w:val="nil"/>
            </w:tcBorders>
            <w:vAlign w:val="top"/>
          </w:tcPr>
          <w:p w14:paraId="7F534C9C">
            <w:pPr>
              <w:spacing w:line="465" w:lineRule="auto"/>
              <w:rPr>
                <w:rFonts w:ascii="Arial"/>
                <w:sz w:val="21"/>
              </w:rPr>
            </w:pPr>
          </w:p>
          <w:p w14:paraId="0C9417B8">
            <w:pPr>
              <w:pStyle w:val="6"/>
              <w:spacing w:before="59" w:line="233" w:lineRule="auto"/>
              <w:ind w:left="114"/>
              <w:rPr>
                <w:rFonts w:ascii="宋体" w:hAnsi="宋体" w:eastAsia="宋体" w:cs="宋体"/>
                <w:sz w:val="18"/>
                <w:szCs w:val="18"/>
              </w:rPr>
            </w:pPr>
            <w:r>
              <w:rPr>
                <w:spacing w:val="-1"/>
                <w:sz w:val="18"/>
                <w:szCs w:val="18"/>
              </w:rPr>
              <w:t>2014</w:t>
            </w:r>
            <w:r>
              <w:rPr>
                <w:spacing w:val="7"/>
                <w:sz w:val="18"/>
                <w:szCs w:val="18"/>
              </w:rPr>
              <w:t xml:space="preserve"> </w:t>
            </w:r>
            <w:r>
              <w:rPr>
                <w:rFonts w:ascii="宋体" w:hAnsi="宋体" w:eastAsia="宋体" w:cs="宋体"/>
                <w:spacing w:val="-1"/>
                <w:sz w:val="18"/>
                <w:szCs w:val="18"/>
              </w:rPr>
              <w:t>年</w:t>
            </w:r>
          </w:p>
        </w:tc>
        <w:tc>
          <w:tcPr>
            <w:tcW w:w="707" w:type="dxa"/>
            <w:vAlign w:val="top"/>
          </w:tcPr>
          <w:p w14:paraId="40C1764E">
            <w:pPr>
              <w:pStyle w:val="6"/>
              <w:spacing w:before="198" w:line="233" w:lineRule="auto"/>
              <w:ind w:left="185"/>
              <w:rPr>
                <w:rFonts w:ascii="宋体" w:hAnsi="宋体" w:eastAsia="宋体" w:cs="宋体"/>
                <w:sz w:val="18"/>
                <w:szCs w:val="18"/>
              </w:rPr>
            </w:pPr>
            <w:r>
              <w:rPr>
                <w:spacing w:val="-4"/>
                <w:sz w:val="18"/>
                <w:szCs w:val="18"/>
              </w:rPr>
              <w:t>3</w:t>
            </w:r>
            <w:r>
              <w:rPr>
                <w:spacing w:val="10"/>
                <w:sz w:val="18"/>
                <w:szCs w:val="18"/>
              </w:rPr>
              <w:t xml:space="preserve"> </w:t>
            </w:r>
            <w:r>
              <w:rPr>
                <w:rFonts w:ascii="宋体" w:hAnsi="宋体" w:eastAsia="宋体" w:cs="宋体"/>
                <w:spacing w:val="-4"/>
                <w:sz w:val="18"/>
                <w:szCs w:val="18"/>
              </w:rPr>
              <w:t>月</w:t>
            </w:r>
          </w:p>
        </w:tc>
        <w:tc>
          <w:tcPr>
            <w:tcW w:w="1273" w:type="dxa"/>
            <w:vAlign w:val="top"/>
          </w:tcPr>
          <w:p w14:paraId="3DE64101">
            <w:pPr>
              <w:spacing w:before="283"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2039C24E">
            <w:pPr>
              <w:pStyle w:val="6"/>
              <w:spacing w:before="81" w:line="230" w:lineRule="auto"/>
              <w:ind w:left="123"/>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p w14:paraId="7392E228">
            <w:pPr>
              <w:pStyle w:val="6"/>
              <w:spacing w:before="10" w:line="229" w:lineRule="auto"/>
              <w:ind w:left="646"/>
              <w:rPr>
                <w:rFonts w:ascii="宋体" w:hAnsi="宋体" w:eastAsia="宋体" w:cs="宋体"/>
                <w:sz w:val="18"/>
                <w:szCs w:val="18"/>
              </w:rPr>
            </w:pPr>
            <w:r>
              <w:rPr>
                <w:spacing w:val="-2"/>
                <w:sz w:val="18"/>
                <w:szCs w:val="18"/>
              </w:rPr>
              <w:t>COD</w:t>
            </w:r>
            <w:r>
              <w:rPr>
                <w:rFonts w:ascii="宋体" w:hAnsi="宋体" w:eastAsia="宋体" w:cs="宋体"/>
                <w:spacing w:val="-2"/>
                <w:sz w:val="18"/>
                <w:szCs w:val="18"/>
              </w:rPr>
              <w:t>）</w:t>
            </w:r>
          </w:p>
        </w:tc>
        <w:tc>
          <w:tcPr>
            <w:tcW w:w="1830" w:type="dxa"/>
            <w:vAlign w:val="top"/>
          </w:tcPr>
          <w:p w14:paraId="142B7D20">
            <w:pPr>
              <w:pStyle w:val="6"/>
              <w:spacing w:before="80" w:line="235" w:lineRule="auto"/>
              <w:ind w:left="24" w:right="50" w:firstLine="7"/>
              <w:rPr>
                <w:rFonts w:ascii="宋体" w:hAnsi="宋体" w:eastAsia="宋体" w:cs="宋体"/>
                <w:sz w:val="18"/>
                <w:szCs w:val="18"/>
              </w:rPr>
            </w:pPr>
            <w:r>
              <w:rPr>
                <w:rFonts w:ascii="宋体" w:hAnsi="宋体" w:eastAsia="宋体" w:cs="宋体"/>
                <w:spacing w:val="-4"/>
                <w:sz w:val="18"/>
                <w:szCs w:val="18"/>
              </w:rPr>
              <w:t>Ⅳ</w:t>
            </w:r>
            <w:r>
              <w:rPr>
                <w:rFonts w:ascii="宋体" w:hAnsi="宋体" w:eastAsia="宋体" w:cs="宋体"/>
                <w:spacing w:val="-51"/>
                <w:sz w:val="18"/>
                <w:szCs w:val="18"/>
              </w:rPr>
              <w:t xml:space="preserve"> </w:t>
            </w:r>
            <w:r>
              <w:rPr>
                <w:rFonts w:ascii="宋体" w:hAnsi="宋体" w:eastAsia="宋体" w:cs="宋体"/>
                <w:spacing w:val="-4"/>
                <w:sz w:val="18"/>
                <w:szCs w:val="18"/>
              </w:rPr>
              <w:t>类（</w:t>
            </w:r>
            <w:r>
              <w:rPr>
                <w:rFonts w:ascii="宋体" w:hAnsi="宋体" w:eastAsia="宋体" w:cs="宋体"/>
                <w:spacing w:val="-32"/>
                <w:sz w:val="18"/>
                <w:szCs w:val="18"/>
              </w:rPr>
              <w:t xml:space="preserve"> </w:t>
            </w:r>
            <w:r>
              <w:rPr>
                <w:spacing w:val="-4"/>
                <w:sz w:val="18"/>
                <w:szCs w:val="18"/>
              </w:rPr>
              <w:t xml:space="preserve">TP </w:t>
            </w:r>
            <w:r>
              <w:rPr>
                <w:rFonts w:ascii="宋体" w:hAnsi="宋体" w:eastAsia="宋体" w:cs="宋体"/>
                <w:spacing w:val="-4"/>
                <w:sz w:val="18"/>
                <w:szCs w:val="18"/>
              </w:rPr>
              <w:t>、</w:t>
            </w:r>
            <w:r>
              <w:rPr>
                <w:spacing w:val="-4"/>
                <w:sz w:val="18"/>
                <w:szCs w:val="18"/>
              </w:rPr>
              <w:t>NH</w:t>
            </w:r>
            <w:r>
              <w:rPr>
                <w:spacing w:val="-4"/>
                <w:sz w:val="12"/>
                <w:szCs w:val="12"/>
              </w:rPr>
              <w:t>3</w:t>
            </w:r>
            <w:r>
              <w:rPr>
                <w:spacing w:val="-4"/>
                <w:sz w:val="18"/>
                <w:szCs w:val="18"/>
              </w:rPr>
              <w:t>-N</w:t>
            </w:r>
            <w:r>
              <w:rPr>
                <w:spacing w:val="-19"/>
                <w:sz w:val="18"/>
                <w:szCs w:val="18"/>
              </w:rPr>
              <w:t xml:space="preserve"> </w:t>
            </w:r>
            <w:r>
              <w:rPr>
                <w:rFonts w:ascii="宋体" w:hAnsi="宋体" w:eastAsia="宋体" w:cs="宋体"/>
                <w:spacing w:val="-4"/>
                <w:sz w:val="18"/>
                <w:szCs w:val="18"/>
              </w:rPr>
              <w:t>、</w:t>
            </w:r>
            <w:r>
              <w:rPr>
                <w:rFonts w:ascii="宋体" w:hAnsi="宋体" w:eastAsia="宋体" w:cs="宋体"/>
                <w:sz w:val="18"/>
                <w:szCs w:val="18"/>
              </w:rPr>
              <w:t xml:space="preserve"> </w:t>
            </w:r>
            <w:r>
              <w:rPr>
                <w:spacing w:val="-2"/>
                <w:sz w:val="18"/>
                <w:szCs w:val="18"/>
              </w:rPr>
              <w:t>COD</w:t>
            </w:r>
            <w:r>
              <w:rPr>
                <w:rFonts w:ascii="宋体" w:hAnsi="宋体" w:eastAsia="宋体" w:cs="宋体"/>
                <w:spacing w:val="-2"/>
                <w:sz w:val="18"/>
                <w:szCs w:val="18"/>
              </w:rPr>
              <w:t>）</w:t>
            </w:r>
          </w:p>
        </w:tc>
        <w:tc>
          <w:tcPr>
            <w:tcW w:w="1717" w:type="dxa"/>
            <w:vAlign w:val="top"/>
          </w:tcPr>
          <w:p w14:paraId="0367D973">
            <w:pPr>
              <w:spacing w:before="283" w:line="121" w:lineRule="exact"/>
              <w:ind w:left="770"/>
              <w:rPr>
                <w:rFonts w:ascii="宋体" w:hAnsi="宋体" w:eastAsia="宋体" w:cs="宋体"/>
                <w:sz w:val="18"/>
                <w:szCs w:val="18"/>
              </w:rPr>
            </w:pPr>
            <w:r>
              <w:rPr>
                <w:rFonts w:ascii="宋体" w:hAnsi="宋体" w:eastAsia="宋体" w:cs="宋体"/>
                <w:position w:val="-9"/>
                <w:sz w:val="18"/>
                <w:szCs w:val="18"/>
              </w:rPr>
              <w:t>--</w:t>
            </w:r>
          </w:p>
        </w:tc>
        <w:tc>
          <w:tcPr>
            <w:tcW w:w="1718" w:type="dxa"/>
            <w:vAlign w:val="top"/>
          </w:tcPr>
          <w:p w14:paraId="779469D8">
            <w:pPr>
              <w:spacing w:before="283"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5EEBB751">
            <w:pPr>
              <w:pStyle w:val="6"/>
              <w:spacing w:before="197" w:line="230" w:lineRule="auto"/>
              <w:ind w:left="292"/>
              <w:rPr>
                <w:rFonts w:ascii="宋体" w:hAnsi="宋体" w:eastAsia="宋体" w:cs="宋体"/>
                <w:sz w:val="18"/>
                <w:szCs w:val="18"/>
              </w:rPr>
            </w:pPr>
            <w:r>
              <w:rPr>
                <w:rFonts w:ascii="宋体" w:hAnsi="宋体" w:eastAsia="宋体" w:cs="宋体"/>
                <w:spacing w:val="-2"/>
                <w:sz w:val="18"/>
                <w:szCs w:val="18"/>
              </w:rPr>
              <w:t>Ⅳ类（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tc>
        <w:tc>
          <w:tcPr>
            <w:tcW w:w="1665" w:type="dxa"/>
            <w:tcBorders>
              <w:right w:val="single" w:color="000000" w:sz="12" w:space="0"/>
            </w:tcBorders>
            <w:vAlign w:val="top"/>
          </w:tcPr>
          <w:p w14:paraId="68FC3644">
            <w:pPr>
              <w:spacing w:before="283" w:line="121" w:lineRule="exact"/>
              <w:ind w:left="749"/>
              <w:rPr>
                <w:rFonts w:ascii="宋体" w:hAnsi="宋体" w:eastAsia="宋体" w:cs="宋体"/>
                <w:sz w:val="18"/>
                <w:szCs w:val="18"/>
              </w:rPr>
            </w:pPr>
            <w:r>
              <w:rPr>
                <w:rFonts w:ascii="宋体" w:hAnsi="宋体" w:eastAsia="宋体" w:cs="宋体"/>
                <w:position w:val="-9"/>
                <w:sz w:val="18"/>
                <w:szCs w:val="18"/>
              </w:rPr>
              <w:t>--</w:t>
            </w:r>
          </w:p>
        </w:tc>
      </w:tr>
      <w:tr w14:paraId="4E23C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continue"/>
            <w:tcBorders>
              <w:top w:val="nil"/>
              <w:left w:val="single" w:color="000000" w:sz="12" w:space="0"/>
              <w:bottom w:val="nil"/>
            </w:tcBorders>
            <w:vAlign w:val="top"/>
          </w:tcPr>
          <w:p w14:paraId="38C84559">
            <w:pPr>
              <w:rPr>
                <w:rFonts w:ascii="Arial"/>
                <w:sz w:val="21"/>
              </w:rPr>
            </w:pPr>
          </w:p>
        </w:tc>
        <w:tc>
          <w:tcPr>
            <w:tcW w:w="707" w:type="dxa"/>
            <w:vAlign w:val="top"/>
          </w:tcPr>
          <w:p w14:paraId="23A52F6C">
            <w:pPr>
              <w:pStyle w:val="6"/>
              <w:spacing w:before="83" w:line="229" w:lineRule="auto"/>
              <w:ind w:left="184"/>
              <w:rPr>
                <w:rFonts w:ascii="宋体" w:hAnsi="宋体" w:eastAsia="宋体" w:cs="宋体"/>
                <w:sz w:val="18"/>
                <w:szCs w:val="18"/>
              </w:rPr>
            </w:pPr>
            <w:r>
              <w:rPr>
                <w:spacing w:val="-4"/>
                <w:sz w:val="18"/>
                <w:szCs w:val="18"/>
              </w:rPr>
              <w:t>7</w:t>
            </w:r>
            <w:r>
              <w:rPr>
                <w:spacing w:val="11"/>
                <w:sz w:val="18"/>
                <w:szCs w:val="18"/>
              </w:rPr>
              <w:t xml:space="preserve"> </w:t>
            </w:r>
            <w:r>
              <w:rPr>
                <w:rFonts w:ascii="宋体" w:hAnsi="宋体" w:eastAsia="宋体" w:cs="宋体"/>
                <w:spacing w:val="-4"/>
                <w:sz w:val="18"/>
                <w:szCs w:val="18"/>
              </w:rPr>
              <w:t>月</w:t>
            </w:r>
          </w:p>
        </w:tc>
        <w:tc>
          <w:tcPr>
            <w:tcW w:w="1273" w:type="dxa"/>
            <w:vAlign w:val="top"/>
          </w:tcPr>
          <w:p w14:paraId="0AA91226">
            <w:pPr>
              <w:spacing w:before="169"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04ACC046">
            <w:pPr>
              <w:spacing w:before="169" w:line="121"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228C2B5B">
            <w:pPr>
              <w:pStyle w:val="6"/>
              <w:spacing w:before="83" w:line="229" w:lineRule="auto"/>
              <w:ind w:left="111"/>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17" w:type="dxa"/>
            <w:vAlign w:val="top"/>
          </w:tcPr>
          <w:p w14:paraId="0783E635">
            <w:pPr>
              <w:pStyle w:val="6"/>
              <w:spacing w:before="83" w:line="229" w:lineRule="auto"/>
              <w:ind w:left="253"/>
              <w:rPr>
                <w:rFonts w:ascii="宋体" w:hAnsi="宋体" w:eastAsia="宋体" w:cs="宋体"/>
                <w:sz w:val="18"/>
                <w:szCs w:val="18"/>
              </w:rPr>
            </w:pPr>
            <w:r>
              <w:rPr>
                <w:rFonts w:ascii="宋体" w:hAnsi="宋体" w:eastAsia="宋体" w:cs="宋体"/>
                <w:spacing w:val="-2"/>
                <w:sz w:val="18"/>
                <w:szCs w:val="18"/>
              </w:rPr>
              <w:t>Ⅳ类（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tc>
        <w:tc>
          <w:tcPr>
            <w:tcW w:w="1718" w:type="dxa"/>
            <w:vAlign w:val="top"/>
          </w:tcPr>
          <w:p w14:paraId="333E97B6">
            <w:pPr>
              <w:pStyle w:val="6"/>
              <w:spacing w:before="83" w:line="229" w:lineRule="auto"/>
              <w:ind w:left="62"/>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81" w:type="dxa"/>
            <w:vAlign w:val="top"/>
          </w:tcPr>
          <w:p w14:paraId="7A4D59C4">
            <w:pPr>
              <w:spacing w:before="169" w:line="121"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19AB3981">
            <w:pPr>
              <w:spacing w:before="169" w:line="121" w:lineRule="exact"/>
              <w:ind w:left="749"/>
              <w:rPr>
                <w:rFonts w:ascii="宋体" w:hAnsi="宋体" w:eastAsia="宋体" w:cs="宋体"/>
                <w:sz w:val="18"/>
                <w:szCs w:val="18"/>
              </w:rPr>
            </w:pPr>
            <w:r>
              <w:rPr>
                <w:rFonts w:ascii="宋体" w:hAnsi="宋体" w:eastAsia="宋体" w:cs="宋体"/>
                <w:position w:val="-9"/>
                <w:sz w:val="18"/>
                <w:szCs w:val="18"/>
              </w:rPr>
              <w:t>--</w:t>
            </w:r>
          </w:p>
        </w:tc>
      </w:tr>
      <w:tr w14:paraId="7C169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vMerge w:val="continue"/>
            <w:tcBorders>
              <w:top w:val="nil"/>
              <w:left w:val="single" w:color="000000" w:sz="12" w:space="0"/>
            </w:tcBorders>
            <w:vAlign w:val="top"/>
          </w:tcPr>
          <w:p w14:paraId="117719E5">
            <w:pPr>
              <w:rPr>
                <w:rFonts w:ascii="Arial"/>
                <w:sz w:val="21"/>
              </w:rPr>
            </w:pPr>
          </w:p>
        </w:tc>
        <w:tc>
          <w:tcPr>
            <w:tcW w:w="707" w:type="dxa"/>
            <w:vAlign w:val="top"/>
          </w:tcPr>
          <w:p w14:paraId="1145BC55">
            <w:pPr>
              <w:pStyle w:val="6"/>
              <w:spacing w:before="85" w:line="226" w:lineRule="auto"/>
              <w:ind w:left="154"/>
              <w:rPr>
                <w:rFonts w:ascii="宋体" w:hAnsi="宋体" w:eastAsia="宋体" w:cs="宋体"/>
                <w:sz w:val="18"/>
                <w:szCs w:val="18"/>
              </w:rPr>
            </w:pPr>
            <w:r>
              <w:rPr>
                <w:spacing w:val="-8"/>
                <w:sz w:val="18"/>
                <w:szCs w:val="18"/>
              </w:rPr>
              <w:t>11</w:t>
            </w:r>
            <w:r>
              <w:rPr>
                <w:spacing w:val="12"/>
                <w:w w:val="101"/>
                <w:sz w:val="18"/>
                <w:szCs w:val="18"/>
              </w:rPr>
              <w:t xml:space="preserve"> </w:t>
            </w:r>
            <w:r>
              <w:rPr>
                <w:rFonts w:ascii="宋体" w:hAnsi="宋体" w:eastAsia="宋体" w:cs="宋体"/>
                <w:spacing w:val="-8"/>
                <w:sz w:val="18"/>
                <w:szCs w:val="18"/>
              </w:rPr>
              <w:t>月</w:t>
            </w:r>
          </w:p>
        </w:tc>
        <w:tc>
          <w:tcPr>
            <w:tcW w:w="1273" w:type="dxa"/>
            <w:vAlign w:val="top"/>
          </w:tcPr>
          <w:p w14:paraId="6392B4D7">
            <w:pPr>
              <w:spacing w:before="171"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2838AFC3">
            <w:pPr>
              <w:spacing w:before="171" w:line="121"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1366D80A">
            <w:pPr>
              <w:pStyle w:val="6"/>
              <w:spacing w:before="85" w:line="226" w:lineRule="auto"/>
              <w:ind w:left="111"/>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17" w:type="dxa"/>
            <w:vAlign w:val="top"/>
          </w:tcPr>
          <w:p w14:paraId="4E633C32">
            <w:pPr>
              <w:pStyle w:val="6"/>
              <w:spacing w:before="85" w:line="226" w:lineRule="auto"/>
              <w:ind w:left="59"/>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18" w:type="dxa"/>
            <w:vAlign w:val="top"/>
          </w:tcPr>
          <w:p w14:paraId="7702182A">
            <w:pPr>
              <w:pStyle w:val="6"/>
              <w:spacing w:before="85" w:line="226" w:lineRule="auto"/>
              <w:ind w:left="257"/>
              <w:rPr>
                <w:rFonts w:ascii="宋体" w:hAnsi="宋体" w:eastAsia="宋体" w:cs="宋体"/>
                <w:sz w:val="18"/>
                <w:szCs w:val="18"/>
              </w:rPr>
            </w:pPr>
            <w:r>
              <w:rPr>
                <w:rFonts w:ascii="宋体" w:hAnsi="宋体" w:eastAsia="宋体" w:cs="宋体"/>
                <w:spacing w:val="-2"/>
                <w:sz w:val="18"/>
                <w:szCs w:val="18"/>
              </w:rPr>
              <w:t>Ⅳ类（</w:t>
            </w:r>
            <w:r>
              <w:rPr>
                <w:spacing w:val="-2"/>
                <w:sz w:val="18"/>
                <w:szCs w:val="18"/>
              </w:rPr>
              <w:t>NH</w:t>
            </w:r>
            <w:r>
              <w:rPr>
                <w:spacing w:val="-2"/>
                <w:sz w:val="12"/>
                <w:szCs w:val="12"/>
              </w:rPr>
              <w:t>3</w:t>
            </w:r>
            <w:r>
              <w:rPr>
                <w:spacing w:val="-2"/>
                <w:sz w:val="18"/>
                <w:szCs w:val="18"/>
              </w:rPr>
              <w:t>-N</w:t>
            </w:r>
            <w:r>
              <w:rPr>
                <w:rFonts w:ascii="宋体" w:hAnsi="宋体" w:eastAsia="宋体" w:cs="宋体"/>
                <w:spacing w:val="-2"/>
                <w:sz w:val="18"/>
                <w:szCs w:val="18"/>
              </w:rPr>
              <w:t>）</w:t>
            </w:r>
          </w:p>
        </w:tc>
        <w:tc>
          <w:tcPr>
            <w:tcW w:w="1781" w:type="dxa"/>
            <w:vAlign w:val="top"/>
          </w:tcPr>
          <w:p w14:paraId="48055F25">
            <w:pPr>
              <w:spacing w:before="171" w:line="121"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4FDCB233">
            <w:pPr>
              <w:spacing w:before="171" w:line="121" w:lineRule="exact"/>
              <w:ind w:left="749"/>
              <w:rPr>
                <w:rFonts w:ascii="宋体" w:hAnsi="宋体" w:eastAsia="宋体" w:cs="宋体"/>
                <w:sz w:val="18"/>
                <w:szCs w:val="18"/>
              </w:rPr>
            </w:pPr>
            <w:r>
              <w:rPr>
                <w:rFonts w:ascii="宋体" w:hAnsi="宋体" w:eastAsia="宋体" w:cs="宋体"/>
                <w:position w:val="-9"/>
                <w:sz w:val="18"/>
                <w:szCs w:val="18"/>
              </w:rPr>
              <w:t>--</w:t>
            </w:r>
          </w:p>
        </w:tc>
      </w:tr>
      <w:tr w14:paraId="02BD6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50" w:type="dxa"/>
            <w:vMerge w:val="restart"/>
            <w:tcBorders>
              <w:left w:val="single" w:color="000000" w:sz="12" w:space="0"/>
              <w:bottom w:val="nil"/>
            </w:tcBorders>
            <w:vAlign w:val="top"/>
          </w:tcPr>
          <w:p w14:paraId="28BCD7DB">
            <w:pPr>
              <w:spacing w:line="259" w:lineRule="auto"/>
              <w:rPr>
                <w:rFonts w:ascii="Arial"/>
                <w:sz w:val="21"/>
              </w:rPr>
            </w:pPr>
          </w:p>
          <w:p w14:paraId="0C22BD2F">
            <w:pPr>
              <w:spacing w:line="260" w:lineRule="auto"/>
              <w:rPr>
                <w:rFonts w:ascii="Arial"/>
                <w:sz w:val="21"/>
              </w:rPr>
            </w:pPr>
          </w:p>
          <w:p w14:paraId="5583576F">
            <w:pPr>
              <w:pStyle w:val="6"/>
              <w:spacing w:before="59" w:line="233" w:lineRule="auto"/>
              <w:ind w:left="114"/>
              <w:rPr>
                <w:rFonts w:ascii="宋体" w:hAnsi="宋体" w:eastAsia="宋体" w:cs="宋体"/>
                <w:sz w:val="18"/>
                <w:szCs w:val="18"/>
              </w:rPr>
            </w:pPr>
            <w:r>
              <w:rPr>
                <w:spacing w:val="-1"/>
                <w:sz w:val="18"/>
                <w:szCs w:val="18"/>
              </w:rPr>
              <w:t>2015</w:t>
            </w:r>
            <w:r>
              <w:rPr>
                <w:spacing w:val="7"/>
                <w:sz w:val="18"/>
                <w:szCs w:val="18"/>
              </w:rPr>
              <w:t xml:space="preserve"> </w:t>
            </w:r>
            <w:r>
              <w:rPr>
                <w:rFonts w:ascii="宋体" w:hAnsi="宋体" w:eastAsia="宋体" w:cs="宋体"/>
                <w:spacing w:val="-1"/>
                <w:sz w:val="18"/>
                <w:szCs w:val="18"/>
              </w:rPr>
              <w:t>年</w:t>
            </w:r>
          </w:p>
        </w:tc>
        <w:tc>
          <w:tcPr>
            <w:tcW w:w="707" w:type="dxa"/>
            <w:vAlign w:val="top"/>
          </w:tcPr>
          <w:p w14:paraId="62B06D6E">
            <w:pPr>
              <w:pStyle w:val="6"/>
              <w:spacing w:before="88" w:line="224" w:lineRule="auto"/>
              <w:ind w:left="199"/>
              <w:rPr>
                <w:rFonts w:ascii="宋体" w:hAnsi="宋体" w:eastAsia="宋体" w:cs="宋体"/>
                <w:sz w:val="18"/>
                <w:szCs w:val="18"/>
              </w:rPr>
            </w:pPr>
            <w:r>
              <w:rPr>
                <w:spacing w:val="-11"/>
                <w:sz w:val="18"/>
                <w:szCs w:val="18"/>
              </w:rPr>
              <w:t>1</w:t>
            </w:r>
            <w:r>
              <w:rPr>
                <w:spacing w:val="10"/>
                <w:sz w:val="18"/>
                <w:szCs w:val="18"/>
              </w:rPr>
              <w:t xml:space="preserve"> </w:t>
            </w:r>
            <w:r>
              <w:rPr>
                <w:rFonts w:ascii="宋体" w:hAnsi="宋体" w:eastAsia="宋体" w:cs="宋体"/>
                <w:spacing w:val="-11"/>
                <w:sz w:val="18"/>
                <w:szCs w:val="18"/>
              </w:rPr>
              <w:t>月</w:t>
            </w:r>
          </w:p>
        </w:tc>
        <w:tc>
          <w:tcPr>
            <w:tcW w:w="1273" w:type="dxa"/>
            <w:vAlign w:val="top"/>
          </w:tcPr>
          <w:p w14:paraId="4449A74E">
            <w:pPr>
              <w:spacing w:before="174"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1C5DDF88">
            <w:pPr>
              <w:spacing w:before="174" w:line="121"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51226200">
            <w:pPr>
              <w:pStyle w:val="6"/>
              <w:spacing w:before="88" w:line="224" w:lineRule="auto"/>
              <w:ind w:left="71"/>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C</w:t>
            </w:r>
            <w:r>
              <w:rPr>
                <w:spacing w:val="-3"/>
                <w:position w:val="-1"/>
                <w:sz w:val="12"/>
                <w:szCs w:val="12"/>
              </w:rPr>
              <w:t>r</w:t>
            </w:r>
            <w:r>
              <w:rPr>
                <w:spacing w:val="-3"/>
                <w:position w:val="5"/>
                <w:sz w:val="12"/>
                <w:szCs w:val="12"/>
              </w:rPr>
              <w:t>6+</w:t>
            </w:r>
            <w:r>
              <w:rPr>
                <w:spacing w:val="-4"/>
                <w:position w:val="5"/>
                <w:sz w:val="12"/>
                <w:szCs w:val="12"/>
              </w:rPr>
              <w:t xml:space="preserve"> </w:t>
            </w:r>
            <w:r>
              <w:rPr>
                <w:rFonts w:ascii="宋体" w:hAnsi="宋体" w:eastAsia="宋体" w:cs="宋体"/>
                <w:spacing w:val="-3"/>
                <w:sz w:val="18"/>
                <w:szCs w:val="18"/>
              </w:rPr>
              <w:t>、</w:t>
            </w:r>
            <w:r>
              <w:rPr>
                <w:spacing w:val="-3"/>
                <w:sz w:val="18"/>
                <w:szCs w:val="18"/>
              </w:rPr>
              <w:t>NH</w:t>
            </w:r>
            <w:r>
              <w:rPr>
                <w:spacing w:val="-3"/>
                <w:position w:val="-1"/>
                <w:sz w:val="12"/>
                <w:szCs w:val="12"/>
              </w:rPr>
              <w:t>3</w:t>
            </w:r>
            <w:r>
              <w:rPr>
                <w:spacing w:val="-3"/>
                <w:sz w:val="18"/>
                <w:szCs w:val="18"/>
              </w:rPr>
              <w:t>-N</w:t>
            </w:r>
            <w:r>
              <w:rPr>
                <w:rFonts w:ascii="宋体" w:hAnsi="宋体" w:eastAsia="宋体" w:cs="宋体"/>
                <w:spacing w:val="-3"/>
                <w:sz w:val="18"/>
                <w:szCs w:val="18"/>
              </w:rPr>
              <w:t>）</w:t>
            </w:r>
          </w:p>
        </w:tc>
        <w:tc>
          <w:tcPr>
            <w:tcW w:w="1717" w:type="dxa"/>
            <w:vAlign w:val="top"/>
          </w:tcPr>
          <w:p w14:paraId="43E7E390">
            <w:pPr>
              <w:spacing w:before="88" w:line="220" w:lineRule="auto"/>
              <w:ind w:left="681"/>
              <w:rPr>
                <w:rFonts w:ascii="宋体" w:hAnsi="宋体" w:eastAsia="宋体" w:cs="宋体"/>
                <w:sz w:val="18"/>
                <w:szCs w:val="18"/>
              </w:rPr>
            </w:pPr>
            <w:r>
              <w:rPr>
                <w:rFonts w:ascii="宋体" w:hAnsi="宋体" w:eastAsia="宋体" w:cs="宋体"/>
                <w:spacing w:val="-4"/>
                <w:sz w:val="18"/>
                <w:szCs w:val="18"/>
              </w:rPr>
              <w:t>Ⅲ类</w:t>
            </w:r>
          </w:p>
        </w:tc>
        <w:tc>
          <w:tcPr>
            <w:tcW w:w="1718" w:type="dxa"/>
            <w:vAlign w:val="top"/>
          </w:tcPr>
          <w:p w14:paraId="605AF27C">
            <w:pPr>
              <w:rPr>
                <w:rFonts w:ascii="Arial"/>
                <w:sz w:val="21"/>
              </w:rPr>
            </w:pPr>
          </w:p>
        </w:tc>
        <w:tc>
          <w:tcPr>
            <w:tcW w:w="1781" w:type="dxa"/>
            <w:vAlign w:val="top"/>
          </w:tcPr>
          <w:p w14:paraId="315E0A75">
            <w:pPr>
              <w:spacing w:before="174" w:line="121"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3DF49D8C">
            <w:pPr>
              <w:spacing w:before="88"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3BB88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vMerge w:val="continue"/>
            <w:tcBorders>
              <w:top w:val="nil"/>
              <w:left w:val="single" w:color="000000" w:sz="12" w:space="0"/>
              <w:bottom w:val="nil"/>
            </w:tcBorders>
            <w:vAlign w:val="top"/>
          </w:tcPr>
          <w:p w14:paraId="33E8EE86">
            <w:pPr>
              <w:rPr>
                <w:rFonts w:ascii="Arial"/>
                <w:sz w:val="21"/>
              </w:rPr>
            </w:pPr>
          </w:p>
        </w:tc>
        <w:tc>
          <w:tcPr>
            <w:tcW w:w="707" w:type="dxa"/>
            <w:vAlign w:val="top"/>
          </w:tcPr>
          <w:p w14:paraId="4575B774">
            <w:pPr>
              <w:pStyle w:val="6"/>
              <w:spacing w:before="89" w:line="224" w:lineRule="auto"/>
              <w:ind w:left="186"/>
              <w:rPr>
                <w:rFonts w:ascii="宋体" w:hAnsi="宋体" w:eastAsia="宋体" w:cs="宋体"/>
                <w:sz w:val="18"/>
                <w:szCs w:val="18"/>
              </w:rPr>
            </w:pPr>
            <w:r>
              <w:rPr>
                <w:spacing w:val="-5"/>
                <w:sz w:val="18"/>
                <w:szCs w:val="18"/>
              </w:rPr>
              <w:t>5</w:t>
            </w:r>
            <w:r>
              <w:rPr>
                <w:spacing w:val="11"/>
                <w:sz w:val="18"/>
                <w:szCs w:val="18"/>
              </w:rPr>
              <w:t xml:space="preserve"> </w:t>
            </w:r>
            <w:r>
              <w:rPr>
                <w:rFonts w:ascii="宋体" w:hAnsi="宋体" w:eastAsia="宋体" w:cs="宋体"/>
                <w:spacing w:val="-5"/>
                <w:sz w:val="18"/>
                <w:szCs w:val="18"/>
              </w:rPr>
              <w:t>月</w:t>
            </w:r>
          </w:p>
        </w:tc>
        <w:tc>
          <w:tcPr>
            <w:tcW w:w="1273" w:type="dxa"/>
            <w:vAlign w:val="top"/>
          </w:tcPr>
          <w:p w14:paraId="267663B2">
            <w:pPr>
              <w:spacing w:before="175"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2456A892">
            <w:pPr>
              <w:spacing w:before="175" w:line="121"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24120400">
            <w:pPr>
              <w:spacing w:before="89" w:line="220" w:lineRule="auto"/>
              <w:ind w:left="733"/>
              <w:rPr>
                <w:rFonts w:ascii="宋体" w:hAnsi="宋体" w:eastAsia="宋体" w:cs="宋体"/>
                <w:sz w:val="18"/>
                <w:szCs w:val="18"/>
              </w:rPr>
            </w:pPr>
            <w:r>
              <w:rPr>
                <w:rFonts w:ascii="宋体" w:hAnsi="宋体" w:eastAsia="宋体" w:cs="宋体"/>
                <w:spacing w:val="-4"/>
                <w:sz w:val="18"/>
                <w:szCs w:val="18"/>
              </w:rPr>
              <w:t>Ⅲ类</w:t>
            </w:r>
          </w:p>
        </w:tc>
        <w:tc>
          <w:tcPr>
            <w:tcW w:w="1717" w:type="dxa"/>
            <w:vAlign w:val="top"/>
          </w:tcPr>
          <w:p w14:paraId="6652252B">
            <w:pPr>
              <w:spacing w:before="89" w:line="220" w:lineRule="auto"/>
              <w:ind w:left="681"/>
              <w:rPr>
                <w:rFonts w:ascii="宋体" w:hAnsi="宋体" w:eastAsia="宋体" w:cs="宋体"/>
                <w:sz w:val="18"/>
                <w:szCs w:val="18"/>
              </w:rPr>
            </w:pPr>
            <w:r>
              <w:rPr>
                <w:rFonts w:ascii="宋体" w:hAnsi="宋体" w:eastAsia="宋体" w:cs="宋体"/>
                <w:spacing w:val="-4"/>
                <w:sz w:val="18"/>
                <w:szCs w:val="18"/>
              </w:rPr>
              <w:t>Ⅲ类</w:t>
            </w:r>
          </w:p>
        </w:tc>
        <w:tc>
          <w:tcPr>
            <w:tcW w:w="1718" w:type="dxa"/>
            <w:vAlign w:val="top"/>
          </w:tcPr>
          <w:p w14:paraId="4972623D">
            <w:pPr>
              <w:pStyle w:val="6"/>
              <w:spacing w:before="89" w:line="224" w:lineRule="auto"/>
              <w:ind w:left="62"/>
              <w:rPr>
                <w:rFonts w:ascii="宋体" w:hAnsi="宋体" w:eastAsia="宋体" w:cs="宋体"/>
                <w:sz w:val="18"/>
                <w:szCs w:val="18"/>
              </w:rPr>
            </w:pPr>
            <w:r>
              <w:rPr>
                <w:rFonts w:ascii="宋体" w:hAnsi="宋体" w:eastAsia="宋体" w:cs="宋体"/>
                <w:spacing w:val="-3"/>
                <w:sz w:val="18"/>
                <w:szCs w:val="18"/>
              </w:rPr>
              <w:t>Ⅳ类（</w:t>
            </w:r>
            <w:r>
              <w:rPr>
                <w:spacing w:val="-3"/>
                <w:sz w:val="18"/>
                <w:szCs w:val="18"/>
              </w:rPr>
              <w:t>TP</w:t>
            </w:r>
            <w:r>
              <w:rPr>
                <w:spacing w:val="-24"/>
                <w:sz w:val="18"/>
                <w:szCs w:val="18"/>
              </w:rPr>
              <w:t xml:space="preserve"> </w:t>
            </w:r>
            <w:r>
              <w:rPr>
                <w:rFonts w:ascii="宋体" w:hAnsi="宋体" w:eastAsia="宋体" w:cs="宋体"/>
                <w:spacing w:val="-3"/>
                <w:sz w:val="18"/>
                <w:szCs w:val="18"/>
              </w:rPr>
              <w:t>、</w:t>
            </w:r>
            <w:r>
              <w:rPr>
                <w:spacing w:val="-3"/>
                <w:sz w:val="18"/>
                <w:szCs w:val="18"/>
              </w:rPr>
              <w:t>NH</w:t>
            </w:r>
            <w:r>
              <w:rPr>
                <w:spacing w:val="-3"/>
                <w:sz w:val="12"/>
                <w:szCs w:val="12"/>
              </w:rPr>
              <w:t>3</w:t>
            </w:r>
            <w:r>
              <w:rPr>
                <w:spacing w:val="-3"/>
                <w:sz w:val="18"/>
                <w:szCs w:val="18"/>
              </w:rPr>
              <w:t>-N</w:t>
            </w:r>
            <w:r>
              <w:rPr>
                <w:rFonts w:ascii="宋体" w:hAnsi="宋体" w:eastAsia="宋体" w:cs="宋体"/>
                <w:spacing w:val="-3"/>
                <w:sz w:val="18"/>
                <w:szCs w:val="18"/>
              </w:rPr>
              <w:t>）</w:t>
            </w:r>
          </w:p>
        </w:tc>
        <w:tc>
          <w:tcPr>
            <w:tcW w:w="1781" w:type="dxa"/>
            <w:vAlign w:val="top"/>
          </w:tcPr>
          <w:p w14:paraId="0EA81FCF">
            <w:pPr>
              <w:spacing w:before="175" w:line="121"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62715DBB">
            <w:pPr>
              <w:spacing w:before="89"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46EE1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vMerge w:val="continue"/>
            <w:tcBorders>
              <w:top w:val="nil"/>
              <w:left w:val="single" w:color="000000" w:sz="12" w:space="0"/>
              <w:bottom w:val="nil"/>
            </w:tcBorders>
            <w:vAlign w:val="top"/>
          </w:tcPr>
          <w:p w14:paraId="27E1E9D1">
            <w:pPr>
              <w:rPr>
                <w:rFonts w:ascii="Arial"/>
                <w:sz w:val="21"/>
              </w:rPr>
            </w:pPr>
          </w:p>
        </w:tc>
        <w:tc>
          <w:tcPr>
            <w:tcW w:w="707" w:type="dxa"/>
            <w:vAlign w:val="top"/>
          </w:tcPr>
          <w:p w14:paraId="23D95B3C">
            <w:pPr>
              <w:pStyle w:val="6"/>
              <w:spacing w:before="90" w:line="221" w:lineRule="auto"/>
              <w:ind w:left="188"/>
              <w:rPr>
                <w:rFonts w:ascii="宋体" w:hAnsi="宋体" w:eastAsia="宋体" w:cs="宋体"/>
                <w:sz w:val="18"/>
                <w:szCs w:val="18"/>
              </w:rPr>
            </w:pPr>
            <w:r>
              <w:rPr>
                <w:spacing w:val="-6"/>
                <w:sz w:val="18"/>
                <w:szCs w:val="18"/>
              </w:rPr>
              <w:t>8</w:t>
            </w:r>
            <w:r>
              <w:rPr>
                <w:spacing w:val="10"/>
                <w:sz w:val="18"/>
                <w:szCs w:val="18"/>
              </w:rPr>
              <w:t xml:space="preserve"> </w:t>
            </w:r>
            <w:r>
              <w:rPr>
                <w:rFonts w:ascii="宋体" w:hAnsi="宋体" w:eastAsia="宋体" w:cs="宋体"/>
                <w:spacing w:val="-6"/>
                <w:sz w:val="18"/>
                <w:szCs w:val="18"/>
              </w:rPr>
              <w:t>月</w:t>
            </w:r>
          </w:p>
        </w:tc>
        <w:tc>
          <w:tcPr>
            <w:tcW w:w="1273" w:type="dxa"/>
            <w:vAlign w:val="top"/>
          </w:tcPr>
          <w:p w14:paraId="7572D989">
            <w:pPr>
              <w:spacing w:before="176" w:line="121"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363EED7E">
            <w:pPr>
              <w:spacing w:before="176" w:line="121"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437923B3">
            <w:pPr>
              <w:spacing w:before="89" w:line="220" w:lineRule="auto"/>
              <w:ind w:left="733"/>
              <w:rPr>
                <w:rFonts w:ascii="宋体" w:hAnsi="宋体" w:eastAsia="宋体" w:cs="宋体"/>
                <w:sz w:val="18"/>
                <w:szCs w:val="18"/>
              </w:rPr>
            </w:pPr>
            <w:r>
              <w:rPr>
                <w:rFonts w:ascii="宋体" w:hAnsi="宋体" w:eastAsia="宋体" w:cs="宋体"/>
                <w:spacing w:val="-4"/>
                <w:sz w:val="18"/>
                <w:szCs w:val="18"/>
              </w:rPr>
              <w:t>Ⅲ类</w:t>
            </w:r>
          </w:p>
        </w:tc>
        <w:tc>
          <w:tcPr>
            <w:tcW w:w="1717" w:type="dxa"/>
            <w:vAlign w:val="top"/>
          </w:tcPr>
          <w:p w14:paraId="66882B6E">
            <w:pPr>
              <w:spacing w:before="89" w:line="220" w:lineRule="auto"/>
              <w:ind w:left="681"/>
              <w:rPr>
                <w:rFonts w:ascii="宋体" w:hAnsi="宋体" w:eastAsia="宋体" w:cs="宋体"/>
                <w:sz w:val="18"/>
                <w:szCs w:val="18"/>
              </w:rPr>
            </w:pPr>
            <w:r>
              <w:rPr>
                <w:rFonts w:ascii="宋体" w:hAnsi="宋体" w:eastAsia="宋体" w:cs="宋体"/>
                <w:spacing w:val="-4"/>
                <w:sz w:val="18"/>
                <w:szCs w:val="18"/>
              </w:rPr>
              <w:t>Ⅲ类</w:t>
            </w:r>
          </w:p>
        </w:tc>
        <w:tc>
          <w:tcPr>
            <w:tcW w:w="1718" w:type="dxa"/>
            <w:vAlign w:val="top"/>
          </w:tcPr>
          <w:p w14:paraId="628A1EA7">
            <w:pPr>
              <w:spacing w:before="176" w:line="121"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2CC62A3C">
            <w:pPr>
              <w:spacing w:before="176" w:line="121"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778B66F5">
            <w:pPr>
              <w:spacing w:before="89"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6C62F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vMerge w:val="continue"/>
            <w:tcBorders>
              <w:top w:val="nil"/>
              <w:left w:val="single" w:color="000000" w:sz="12" w:space="0"/>
            </w:tcBorders>
            <w:vAlign w:val="top"/>
          </w:tcPr>
          <w:p w14:paraId="3C3DC501">
            <w:pPr>
              <w:rPr>
                <w:rFonts w:ascii="Arial"/>
                <w:sz w:val="21"/>
              </w:rPr>
            </w:pPr>
          </w:p>
        </w:tc>
        <w:tc>
          <w:tcPr>
            <w:tcW w:w="707" w:type="dxa"/>
            <w:vAlign w:val="top"/>
          </w:tcPr>
          <w:p w14:paraId="004E0BFA">
            <w:pPr>
              <w:pStyle w:val="6"/>
              <w:spacing w:before="93" w:line="220" w:lineRule="auto"/>
              <w:ind w:left="154"/>
              <w:rPr>
                <w:rFonts w:ascii="宋体" w:hAnsi="宋体" w:eastAsia="宋体" w:cs="宋体"/>
                <w:sz w:val="18"/>
                <w:szCs w:val="18"/>
              </w:rPr>
            </w:pPr>
            <w:r>
              <w:rPr>
                <w:spacing w:val="-8"/>
                <w:sz w:val="18"/>
                <w:szCs w:val="18"/>
              </w:rPr>
              <w:t>11</w:t>
            </w:r>
            <w:r>
              <w:rPr>
                <w:spacing w:val="12"/>
                <w:w w:val="101"/>
                <w:sz w:val="18"/>
                <w:szCs w:val="18"/>
              </w:rPr>
              <w:t xml:space="preserve"> </w:t>
            </w:r>
            <w:r>
              <w:rPr>
                <w:rFonts w:ascii="宋体" w:hAnsi="宋体" w:eastAsia="宋体" w:cs="宋体"/>
                <w:spacing w:val="-8"/>
                <w:sz w:val="18"/>
                <w:szCs w:val="18"/>
              </w:rPr>
              <w:t>月</w:t>
            </w:r>
          </w:p>
        </w:tc>
        <w:tc>
          <w:tcPr>
            <w:tcW w:w="1273" w:type="dxa"/>
            <w:vAlign w:val="top"/>
          </w:tcPr>
          <w:p w14:paraId="2417EB2D">
            <w:pPr>
              <w:spacing w:before="178" w:line="122" w:lineRule="exact"/>
              <w:ind w:left="536"/>
              <w:rPr>
                <w:rFonts w:ascii="宋体" w:hAnsi="宋体" w:eastAsia="宋体" w:cs="宋体"/>
                <w:sz w:val="18"/>
                <w:szCs w:val="18"/>
              </w:rPr>
            </w:pPr>
            <w:r>
              <w:rPr>
                <w:rFonts w:ascii="宋体" w:hAnsi="宋体" w:eastAsia="宋体" w:cs="宋体"/>
                <w:position w:val="-9"/>
                <w:sz w:val="18"/>
                <w:szCs w:val="18"/>
              </w:rPr>
              <w:t>--</w:t>
            </w:r>
          </w:p>
        </w:tc>
        <w:tc>
          <w:tcPr>
            <w:tcW w:w="1865" w:type="dxa"/>
            <w:vAlign w:val="top"/>
          </w:tcPr>
          <w:p w14:paraId="5DA34BF0">
            <w:pPr>
              <w:spacing w:before="178" w:line="122" w:lineRule="exact"/>
              <w:ind w:left="835"/>
              <w:rPr>
                <w:rFonts w:ascii="宋体" w:hAnsi="宋体" w:eastAsia="宋体" w:cs="宋体"/>
                <w:sz w:val="18"/>
                <w:szCs w:val="18"/>
              </w:rPr>
            </w:pPr>
            <w:r>
              <w:rPr>
                <w:rFonts w:ascii="宋体" w:hAnsi="宋体" w:eastAsia="宋体" w:cs="宋体"/>
                <w:position w:val="-9"/>
                <w:sz w:val="18"/>
                <w:szCs w:val="18"/>
              </w:rPr>
              <w:t>--</w:t>
            </w:r>
          </w:p>
        </w:tc>
        <w:tc>
          <w:tcPr>
            <w:tcW w:w="1830" w:type="dxa"/>
            <w:vAlign w:val="top"/>
          </w:tcPr>
          <w:p w14:paraId="6C8FF2D9">
            <w:pPr>
              <w:spacing w:before="92" w:line="220" w:lineRule="auto"/>
              <w:ind w:left="733"/>
              <w:rPr>
                <w:rFonts w:ascii="宋体" w:hAnsi="宋体" w:eastAsia="宋体" w:cs="宋体"/>
                <w:sz w:val="18"/>
                <w:szCs w:val="18"/>
              </w:rPr>
            </w:pPr>
            <w:r>
              <w:rPr>
                <w:rFonts w:ascii="宋体" w:hAnsi="宋体" w:eastAsia="宋体" w:cs="宋体"/>
                <w:spacing w:val="-4"/>
                <w:sz w:val="18"/>
                <w:szCs w:val="18"/>
              </w:rPr>
              <w:t>Ⅲ类</w:t>
            </w:r>
          </w:p>
        </w:tc>
        <w:tc>
          <w:tcPr>
            <w:tcW w:w="1717" w:type="dxa"/>
            <w:vAlign w:val="top"/>
          </w:tcPr>
          <w:p w14:paraId="03BC5302">
            <w:pPr>
              <w:spacing w:before="92" w:line="220" w:lineRule="auto"/>
              <w:ind w:left="681"/>
              <w:rPr>
                <w:rFonts w:ascii="宋体" w:hAnsi="宋体" w:eastAsia="宋体" w:cs="宋体"/>
                <w:sz w:val="18"/>
                <w:szCs w:val="18"/>
              </w:rPr>
            </w:pPr>
            <w:r>
              <w:rPr>
                <w:rFonts w:ascii="宋体" w:hAnsi="宋体" w:eastAsia="宋体" w:cs="宋体"/>
                <w:spacing w:val="-4"/>
                <w:sz w:val="18"/>
                <w:szCs w:val="18"/>
              </w:rPr>
              <w:t>Ⅲ类</w:t>
            </w:r>
          </w:p>
        </w:tc>
        <w:tc>
          <w:tcPr>
            <w:tcW w:w="1718" w:type="dxa"/>
            <w:vAlign w:val="top"/>
          </w:tcPr>
          <w:p w14:paraId="2F1BC2D6">
            <w:pPr>
              <w:spacing w:before="178" w:line="122" w:lineRule="exact"/>
              <w:ind w:left="774"/>
              <w:rPr>
                <w:rFonts w:ascii="宋体" w:hAnsi="宋体" w:eastAsia="宋体" w:cs="宋体"/>
                <w:sz w:val="18"/>
                <w:szCs w:val="18"/>
              </w:rPr>
            </w:pPr>
            <w:r>
              <w:rPr>
                <w:rFonts w:ascii="宋体" w:hAnsi="宋体" w:eastAsia="宋体" w:cs="宋体"/>
                <w:position w:val="-9"/>
                <w:sz w:val="18"/>
                <w:szCs w:val="18"/>
              </w:rPr>
              <w:t>--</w:t>
            </w:r>
          </w:p>
        </w:tc>
        <w:tc>
          <w:tcPr>
            <w:tcW w:w="1781" w:type="dxa"/>
            <w:vAlign w:val="top"/>
          </w:tcPr>
          <w:p w14:paraId="00F89645">
            <w:pPr>
              <w:spacing w:before="178" w:line="122" w:lineRule="exact"/>
              <w:ind w:left="809"/>
              <w:rPr>
                <w:rFonts w:ascii="宋体" w:hAnsi="宋体" w:eastAsia="宋体" w:cs="宋体"/>
                <w:sz w:val="18"/>
                <w:szCs w:val="18"/>
              </w:rPr>
            </w:pPr>
            <w:r>
              <w:rPr>
                <w:rFonts w:ascii="宋体" w:hAnsi="宋体" w:eastAsia="宋体" w:cs="宋体"/>
                <w:position w:val="-9"/>
                <w:sz w:val="18"/>
                <w:szCs w:val="18"/>
              </w:rPr>
              <w:t>--</w:t>
            </w:r>
          </w:p>
        </w:tc>
        <w:tc>
          <w:tcPr>
            <w:tcW w:w="1665" w:type="dxa"/>
            <w:tcBorders>
              <w:right w:val="single" w:color="000000" w:sz="12" w:space="0"/>
            </w:tcBorders>
            <w:vAlign w:val="top"/>
          </w:tcPr>
          <w:p w14:paraId="646AD94B">
            <w:pPr>
              <w:spacing w:before="92" w:line="220" w:lineRule="auto"/>
              <w:ind w:left="692"/>
              <w:rPr>
                <w:rFonts w:ascii="宋体" w:hAnsi="宋体" w:eastAsia="宋体" w:cs="宋体"/>
                <w:sz w:val="18"/>
                <w:szCs w:val="18"/>
              </w:rPr>
            </w:pPr>
            <w:r>
              <w:rPr>
                <w:rFonts w:ascii="宋体" w:hAnsi="宋体" w:eastAsia="宋体" w:cs="宋体"/>
                <w:spacing w:val="-19"/>
                <w:sz w:val="18"/>
                <w:szCs w:val="18"/>
              </w:rPr>
              <w:t>Ⅱ类</w:t>
            </w:r>
          </w:p>
        </w:tc>
      </w:tr>
      <w:tr w14:paraId="0E4AD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57" w:type="dxa"/>
            <w:gridSpan w:val="2"/>
            <w:tcBorders>
              <w:left w:val="single" w:color="000000" w:sz="12" w:space="0"/>
              <w:bottom w:val="single" w:color="000000" w:sz="12" w:space="0"/>
            </w:tcBorders>
            <w:shd w:val="clear" w:color="auto" w:fill="DBE5F1"/>
            <w:vAlign w:val="top"/>
          </w:tcPr>
          <w:p w14:paraId="7F8A3329">
            <w:pPr>
              <w:spacing w:before="93" w:line="220" w:lineRule="auto"/>
              <w:ind w:left="405"/>
              <w:rPr>
                <w:rFonts w:ascii="宋体" w:hAnsi="宋体" w:eastAsia="宋体" w:cs="宋体"/>
                <w:sz w:val="18"/>
                <w:szCs w:val="18"/>
              </w:rPr>
            </w:pPr>
            <w:r>
              <w:rPr>
                <w:rFonts w:ascii="宋体" w:hAnsi="宋体" w:eastAsia="宋体" w:cs="宋体"/>
                <w:spacing w:val="-2"/>
                <w:sz w:val="18"/>
                <w:szCs w:val="18"/>
              </w:rPr>
              <w:t>水质目标</w:t>
            </w:r>
          </w:p>
        </w:tc>
        <w:tc>
          <w:tcPr>
            <w:tcW w:w="1273" w:type="dxa"/>
            <w:tcBorders>
              <w:bottom w:val="single" w:color="000000" w:sz="12" w:space="0"/>
            </w:tcBorders>
            <w:shd w:val="clear" w:color="auto" w:fill="DBE5F1"/>
            <w:vAlign w:val="top"/>
          </w:tcPr>
          <w:p w14:paraId="0945B36F">
            <w:pPr>
              <w:spacing w:before="93" w:line="220" w:lineRule="auto"/>
              <w:ind w:left="446"/>
              <w:rPr>
                <w:rFonts w:ascii="宋体" w:hAnsi="宋体" w:eastAsia="宋体" w:cs="宋体"/>
                <w:sz w:val="18"/>
                <w:szCs w:val="18"/>
              </w:rPr>
            </w:pPr>
            <w:r>
              <w:rPr>
                <w:rFonts w:ascii="宋体" w:hAnsi="宋体" w:eastAsia="宋体" w:cs="宋体"/>
                <w:spacing w:val="-4"/>
                <w:sz w:val="18"/>
                <w:szCs w:val="18"/>
              </w:rPr>
              <w:t>Ⅲ类</w:t>
            </w:r>
          </w:p>
        </w:tc>
        <w:tc>
          <w:tcPr>
            <w:tcW w:w="1865" w:type="dxa"/>
            <w:tcBorders>
              <w:bottom w:val="single" w:color="000000" w:sz="12" w:space="0"/>
            </w:tcBorders>
            <w:shd w:val="clear" w:color="auto" w:fill="DBE5F1"/>
            <w:vAlign w:val="top"/>
          </w:tcPr>
          <w:p w14:paraId="64D01DB6">
            <w:pPr>
              <w:spacing w:before="93" w:line="220" w:lineRule="auto"/>
              <w:ind w:left="745"/>
              <w:rPr>
                <w:rFonts w:ascii="宋体" w:hAnsi="宋体" w:eastAsia="宋体" w:cs="宋体"/>
                <w:sz w:val="18"/>
                <w:szCs w:val="18"/>
              </w:rPr>
            </w:pPr>
            <w:r>
              <w:rPr>
                <w:rFonts w:ascii="宋体" w:hAnsi="宋体" w:eastAsia="宋体" w:cs="宋体"/>
                <w:spacing w:val="-4"/>
                <w:sz w:val="18"/>
                <w:szCs w:val="18"/>
              </w:rPr>
              <w:t>Ⅲ类</w:t>
            </w:r>
          </w:p>
        </w:tc>
        <w:tc>
          <w:tcPr>
            <w:tcW w:w="1830" w:type="dxa"/>
            <w:tcBorders>
              <w:bottom w:val="single" w:color="000000" w:sz="12" w:space="0"/>
            </w:tcBorders>
            <w:shd w:val="clear" w:color="auto" w:fill="DBE5F1"/>
            <w:vAlign w:val="top"/>
          </w:tcPr>
          <w:p w14:paraId="3351A163">
            <w:pPr>
              <w:spacing w:before="93" w:line="220" w:lineRule="auto"/>
              <w:ind w:left="733"/>
              <w:rPr>
                <w:rFonts w:ascii="宋体" w:hAnsi="宋体" w:eastAsia="宋体" w:cs="宋体"/>
                <w:sz w:val="18"/>
                <w:szCs w:val="18"/>
              </w:rPr>
            </w:pPr>
            <w:r>
              <w:rPr>
                <w:rFonts w:ascii="宋体" w:hAnsi="宋体" w:eastAsia="宋体" w:cs="宋体"/>
                <w:spacing w:val="-4"/>
                <w:sz w:val="18"/>
                <w:szCs w:val="18"/>
              </w:rPr>
              <w:t>Ⅲ类</w:t>
            </w:r>
          </w:p>
        </w:tc>
        <w:tc>
          <w:tcPr>
            <w:tcW w:w="1717" w:type="dxa"/>
            <w:tcBorders>
              <w:bottom w:val="single" w:color="000000" w:sz="12" w:space="0"/>
            </w:tcBorders>
            <w:shd w:val="clear" w:color="auto" w:fill="DBE5F1"/>
            <w:vAlign w:val="top"/>
          </w:tcPr>
          <w:p w14:paraId="4ABE0560">
            <w:pPr>
              <w:spacing w:before="93" w:line="220" w:lineRule="auto"/>
              <w:ind w:left="681"/>
              <w:rPr>
                <w:rFonts w:ascii="宋体" w:hAnsi="宋体" w:eastAsia="宋体" w:cs="宋体"/>
                <w:sz w:val="18"/>
                <w:szCs w:val="18"/>
              </w:rPr>
            </w:pPr>
            <w:r>
              <w:rPr>
                <w:rFonts w:ascii="宋体" w:hAnsi="宋体" w:eastAsia="宋体" w:cs="宋体"/>
                <w:spacing w:val="-4"/>
                <w:sz w:val="18"/>
                <w:szCs w:val="18"/>
              </w:rPr>
              <w:t>Ⅲ类</w:t>
            </w:r>
          </w:p>
        </w:tc>
        <w:tc>
          <w:tcPr>
            <w:tcW w:w="1718" w:type="dxa"/>
            <w:tcBorders>
              <w:bottom w:val="single" w:color="000000" w:sz="12" w:space="0"/>
            </w:tcBorders>
            <w:shd w:val="clear" w:color="auto" w:fill="DBE5F1"/>
            <w:vAlign w:val="top"/>
          </w:tcPr>
          <w:p w14:paraId="616A019B">
            <w:pPr>
              <w:spacing w:before="93" w:line="220" w:lineRule="auto"/>
              <w:ind w:left="685"/>
              <w:rPr>
                <w:rFonts w:ascii="宋体" w:hAnsi="宋体" w:eastAsia="宋体" w:cs="宋体"/>
                <w:sz w:val="18"/>
                <w:szCs w:val="18"/>
              </w:rPr>
            </w:pPr>
            <w:r>
              <w:rPr>
                <w:rFonts w:ascii="宋体" w:hAnsi="宋体" w:eastAsia="宋体" w:cs="宋体"/>
                <w:spacing w:val="-4"/>
                <w:sz w:val="18"/>
                <w:szCs w:val="18"/>
              </w:rPr>
              <w:t>Ⅲ类</w:t>
            </w:r>
          </w:p>
        </w:tc>
        <w:tc>
          <w:tcPr>
            <w:tcW w:w="1781" w:type="dxa"/>
            <w:tcBorders>
              <w:bottom w:val="single" w:color="000000" w:sz="12" w:space="0"/>
            </w:tcBorders>
            <w:shd w:val="clear" w:color="auto" w:fill="DBE5F1"/>
            <w:vAlign w:val="top"/>
          </w:tcPr>
          <w:p w14:paraId="326FACE4">
            <w:pPr>
              <w:spacing w:before="93" w:line="220" w:lineRule="auto"/>
              <w:ind w:left="720"/>
              <w:rPr>
                <w:rFonts w:ascii="宋体" w:hAnsi="宋体" w:eastAsia="宋体" w:cs="宋体"/>
                <w:sz w:val="18"/>
                <w:szCs w:val="18"/>
              </w:rPr>
            </w:pPr>
            <w:r>
              <w:rPr>
                <w:rFonts w:ascii="宋体" w:hAnsi="宋体" w:eastAsia="宋体" w:cs="宋体"/>
                <w:spacing w:val="-4"/>
                <w:sz w:val="18"/>
                <w:szCs w:val="18"/>
              </w:rPr>
              <w:t>Ⅲ类</w:t>
            </w:r>
          </w:p>
        </w:tc>
        <w:tc>
          <w:tcPr>
            <w:tcW w:w="1665" w:type="dxa"/>
            <w:tcBorders>
              <w:bottom w:val="single" w:color="000000" w:sz="12" w:space="0"/>
              <w:right w:val="single" w:color="000000" w:sz="12" w:space="0"/>
            </w:tcBorders>
            <w:shd w:val="clear" w:color="auto" w:fill="DBE5F1"/>
            <w:vAlign w:val="top"/>
          </w:tcPr>
          <w:p w14:paraId="2F9DC069">
            <w:pPr>
              <w:spacing w:before="93" w:line="220" w:lineRule="auto"/>
              <w:ind w:left="660"/>
              <w:rPr>
                <w:rFonts w:ascii="宋体" w:hAnsi="宋体" w:eastAsia="宋体" w:cs="宋体"/>
                <w:sz w:val="18"/>
                <w:szCs w:val="18"/>
              </w:rPr>
            </w:pPr>
            <w:r>
              <w:rPr>
                <w:rFonts w:ascii="宋体" w:hAnsi="宋体" w:eastAsia="宋体" w:cs="宋体"/>
                <w:spacing w:val="-4"/>
                <w:sz w:val="18"/>
                <w:szCs w:val="18"/>
              </w:rPr>
              <w:t>Ⅲ类</w:t>
            </w:r>
          </w:p>
        </w:tc>
      </w:tr>
    </w:tbl>
    <w:p w14:paraId="7821C757">
      <w:pPr>
        <w:pStyle w:val="2"/>
        <w:spacing w:before="171" w:line="220" w:lineRule="auto"/>
        <w:ind w:left="40"/>
        <w:rPr>
          <w:sz w:val="21"/>
          <w:szCs w:val="21"/>
        </w:rPr>
      </w:pPr>
      <w:r>
        <w:rPr>
          <w:spacing w:val="-5"/>
          <w:sz w:val="21"/>
          <w:szCs w:val="21"/>
        </w:rPr>
        <w:t>备注：“</w:t>
      </w:r>
      <w:r>
        <w:rPr>
          <w:rFonts w:ascii="Times New Roman" w:hAnsi="Times New Roman" w:eastAsia="Times New Roman" w:cs="Times New Roman"/>
          <w:spacing w:val="-5"/>
          <w:sz w:val="21"/>
          <w:szCs w:val="21"/>
        </w:rPr>
        <w:t>--</w:t>
      </w:r>
      <w:r>
        <w:rPr>
          <w:rFonts w:ascii="Times New Roman" w:hAnsi="Times New Roman" w:eastAsia="Times New Roman" w:cs="Times New Roman"/>
          <w:spacing w:val="-20"/>
          <w:sz w:val="21"/>
          <w:szCs w:val="21"/>
        </w:rPr>
        <w:t xml:space="preserve"> </w:t>
      </w:r>
      <w:r>
        <w:rPr>
          <w:spacing w:val="-5"/>
          <w:sz w:val="21"/>
          <w:szCs w:val="21"/>
        </w:rPr>
        <w:t>”表示未收集到监测资料，水质类别后括号内为该断面超标因子。</w:t>
      </w:r>
    </w:p>
    <w:p w14:paraId="7BCFA9B6">
      <w:pPr>
        <w:spacing w:line="220" w:lineRule="auto"/>
        <w:rPr>
          <w:sz w:val="21"/>
          <w:szCs w:val="21"/>
        </w:rPr>
        <w:sectPr>
          <w:headerReference r:id="rId237" w:type="default"/>
          <w:footerReference r:id="rId238" w:type="default"/>
          <w:pgSz w:w="16839" w:h="11907"/>
          <w:pgMar w:top="1376" w:right="1669" w:bottom="1061" w:left="1671" w:header="999" w:footer="861" w:gutter="0"/>
          <w:cols w:space="720" w:num="1"/>
        </w:sectPr>
      </w:pPr>
    </w:p>
    <w:p w14:paraId="01298C47">
      <w:pPr>
        <w:spacing w:line="455" w:lineRule="auto"/>
        <w:rPr>
          <w:rFonts w:ascii="Arial"/>
          <w:sz w:val="21"/>
        </w:rPr>
      </w:pPr>
    </w:p>
    <w:p w14:paraId="0CA57907">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6.2-2                </w:t>
      </w:r>
      <w:r>
        <w:rPr>
          <w:rFonts w:ascii="Times New Roman" w:hAnsi="Times New Roman" w:eastAsia="Times New Roman" w:cs="Times New Roman"/>
          <w:b/>
          <w:bCs/>
          <w:spacing w:val="-1"/>
          <w:sz w:val="24"/>
          <w:szCs w:val="24"/>
        </w:rPr>
        <w:t xml:space="preserve">                      </w:t>
      </w:r>
      <w:r>
        <w:rPr>
          <w:b/>
          <w:bCs/>
          <w:spacing w:val="-1"/>
          <w:sz w:val="24"/>
          <w:szCs w:val="24"/>
        </w:rPr>
        <w:t>马龙河干、支流及牛栏江</w:t>
      </w:r>
      <w:r>
        <w:rPr>
          <w:spacing w:val="-52"/>
          <w:sz w:val="24"/>
          <w:szCs w:val="24"/>
        </w:rPr>
        <w:t xml:space="preserve"> </w:t>
      </w:r>
      <w:r>
        <w:rPr>
          <w:rFonts w:ascii="Times New Roman" w:hAnsi="Times New Roman" w:eastAsia="Times New Roman" w:cs="Times New Roman"/>
          <w:b/>
          <w:bCs/>
          <w:spacing w:val="-1"/>
          <w:sz w:val="24"/>
          <w:szCs w:val="24"/>
        </w:rPr>
        <w:t xml:space="preserve">2015 </w:t>
      </w:r>
      <w:r>
        <w:rPr>
          <w:b/>
          <w:bCs/>
          <w:spacing w:val="-1"/>
          <w:sz w:val="24"/>
          <w:szCs w:val="24"/>
        </w:rPr>
        <w:t>年</w:t>
      </w:r>
      <w:r>
        <w:rPr>
          <w:rFonts w:ascii="Times New Roman" w:hAnsi="Times New Roman" w:eastAsia="Times New Roman" w:cs="Times New Roman"/>
          <w:b/>
          <w:bCs/>
          <w:spacing w:val="-1"/>
          <w:sz w:val="24"/>
          <w:szCs w:val="24"/>
        </w:rPr>
        <w:t xml:space="preserve">-2016 </w:t>
      </w:r>
      <w:r>
        <w:rPr>
          <w:b/>
          <w:bCs/>
          <w:spacing w:val="-1"/>
          <w:sz w:val="24"/>
          <w:szCs w:val="24"/>
        </w:rPr>
        <w:t>年补充监测断面水质达标情况</w:t>
      </w: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6"/>
        <w:gridCol w:w="1238"/>
        <w:gridCol w:w="1238"/>
        <w:gridCol w:w="1238"/>
        <w:gridCol w:w="1238"/>
        <w:gridCol w:w="1359"/>
        <w:gridCol w:w="1359"/>
        <w:gridCol w:w="1076"/>
        <w:gridCol w:w="1075"/>
        <w:gridCol w:w="1076"/>
        <w:gridCol w:w="1093"/>
      </w:tblGrid>
      <w:tr w14:paraId="69F68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6" w:type="dxa"/>
            <w:vMerge w:val="restart"/>
            <w:tcBorders>
              <w:top w:val="single" w:color="000000" w:sz="12" w:space="0"/>
              <w:left w:val="single" w:color="000000" w:sz="12" w:space="0"/>
              <w:bottom w:val="nil"/>
            </w:tcBorders>
            <w:vAlign w:val="top"/>
          </w:tcPr>
          <w:p w14:paraId="68339997">
            <w:pPr>
              <w:rPr>
                <w:rFonts w:ascii="Arial"/>
                <w:sz w:val="21"/>
              </w:rPr>
            </w:pPr>
          </w:p>
          <w:p w14:paraId="7F143490">
            <w:pPr>
              <w:spacing w:before="68" w:line="221" w:lineRule="auto"/>
              <w:ind w:left="275"/>
              <w:rPr>
                <w:rFonts w:ascii="宋体" w:hAnsi="宋体" w:eastAsia="宋体" w:cs="宋体"/>
                <w:sz w:val="21"/>
                <w:szCs w:val="21"/>
              </w:rPr>
            </w:pPr>
            <w:r>
              <w:rPr>
                <w:rFonts w:ascii="宋体" w:hAnsi="宋体" w:eastAsia="宋体" w:cs="宋体"/>
                <w:spacing w:val="-2"/>
                <w:sz w:val="21"/>
                <w:szCs w:val="21"/>
              </w:rPr>
              <w:t>监测时间</w:t>
            </w:r>
          </w:p>
        </w:tc>
        <w:tc>
          <w:tcPr>
            <w:tcW w:w="4952" w:type="dxa"/>
            <w:gridSpan w:val="4"/>
            <w:tcBorders>
              <w:top w:val="single" w:color="000000" w:sz="12" w:space="0"/>
            </w:tcBorders>
            <w:vAlign w:val="top"/>
          </w:tcPr>
          <w:p w14:paraId="5DC676B2">
            <w:pPr>
              <w:spacing w:before="30" w:line="207" w:lineRule="auto"/>
              <w:ind w:left="1953"/>
              <w:rPr>
                <w:rFonts w:ascii="宋体" w:hAnsi="宋体" w:eastAsia="宋体" w:cs="宋体"/>
                <w:sz w:val="21"/>
                <w:szCs w:val="21"/>
              </w:rPr>
            </w:pPr>
            <w:r>
              <w:rPr>
                <w:rFonts w:ascii="宋体" w:hAnsi="宋体" w:eastAsia="宋体" w:cs="宋体"/>
                <w:spacing w:val="-3"/>
                <w:sz w:val="21"/>
                <w:szCs w:val="21"/>
              </w:rPr>
              <w:t>马龙河干流</w:t>
            </w:r>
          </w:p>
        </w:tc>
        <w:tc>
          <w:tcPr>
            <w:tcW w:w="2718" w:type="dxa"/>
            <w:gridSpan w:val="2"/>
            <w:tcBorders>
              <w:top w:val="single" w:color="000000" w:sz="12" w:space="0"/>
            </w:tcBorders>
            <w:vAlign w:val="top"/>
          </w:tcPr>
          <w:p w14:paraId="7A5A9278">
            <w:pPr>
              <w:spacing w:before="30" w:line="207" w:lineRule="auto"/>
              <w:ind w:left="844"/>
              <w:rPr>
                <w:rFonts w:ascii="宋体" w:hAnsi="宋体" w:eastAsia="宋体" w:cs="宋体"/>
                <w:sz w:val="21"/>
                <w:szCs w:val="21"/>
              </w:rPr>
            </w:pPr>
            <w:r>
              <w:rPr>
                <w:rFonts w:ascii="宋体" w:hAnsi="宋体" w:eastAsia="宋体" w:cs="宋体"/>
                <w:spacing w:val="-3"/>
                <w:sz w:val="21"/>
                <w:szCs w:val="21"/>
              </w:rPr>
              <w:t>牛栏江干流</w:t>
            </w:r>
          </w:p>
        </w:tc>
        <w:tc>
          <w:tcPr>
            <w:tcW w:w="1076" w:type="dxa"/>
            <w:tcBorders>
              <w:top w:val="single" w:color="000000" w:sz="12" w:space="0"/>
            </w:tcBorders>
            <w:vAlign w:val="top"/>
          </w:tcPr>
          <w:p w14:paraId="14E06F05">
            <w:pPr>
              <w:spacing w:before="30" w:line="207" w:lineRule="auto"/>
              <w:ind w:left="233"/>
              <w:rPr>
                <w:rFonts w:ascii="宋体" w:hAnsi="宋体" w:eastAsia="宋体" w:cs="宋体"/>
                <w:sz w:val="21"/>
                <w:szCs w:val="21"/>
              </w:rPr>
            </w:pPr>
            <w:r>
              <w:rPr>
                <w:rFonts w:ascii="宋体" w:hAnsi="宋体" w:eastAsia="宋体" w:cs="宋体"/>
                <w:spacing w:val="-3"/>
                <w:sz w:val="21"/>
                <w:szCs w:val="21"/>
              </w:rPr>
              <w:t>永发河</w:t>
            </w:r>
          </w:p>
        </w:tc>
        <w:tc>
          <w:tcPr>
            <w:tcW w:w="1075" w:type="dxa"/>
            <w:tcBorders>
              <w:top w:val="single" w:color="000000" w:sz="12" w:space="0"/>
            </w:tcBorders>
            <w:vAlign w:val="top"/>
          </w:tcPr>
          <w:p w14:paraId="4A7AB8CD">
            <w:pPr>
              <w:spacing w:before="30" w:line="207" w:lineRule="auto"/>
              <w:ind w:left="236"/>
              <w:rPr>
                <w:rFonts w:ascii="宋体" w:hAnsi="宋体" w:eastAsia="宋体" w:cs="宋体"/>
                <w:sz w:val="21"/>
                <w:szCs w:val="21"/>
              </w:rPr>
            </w:pPr>
            <w:r>
              <w:rPr>
                <w:rFonts w:ascii="宋体" w:hAnsi="宋体" w:eastAsia="宋体" w:cs="宋体"/>
                <w:spacing w:val="-3"/>
                <w:sz w:val="21"/>
                <w:szCs w:val="21"/>
              </w:rPr>
              <w:t>车章河</w:t>
            </w:r>
          </w:p>
        </w:tc>
        <w:tc>
          <w:tcPr>
            <w:tcW w:w="1076" w:type="dxa"/>
            <w:tcBorders>
              <w:top w:val="single" w:color="000000" w:sz="12" w:space="0"/>
            </w:tcBorders>
            <w:vAlign w:val="top"/>
          </w:tcPr>
          <w:p w14:paraId="76F639FF">
            <w:pPr>
              <w:spacing w:before="30" w:line="207" w:lineRule="auto"/>
              <w:ind w:left="267"/>
              <w:rPr>
                <w:rFonts w:ascii="宋体" w:hAnsi="宋体" w:eastAsia="宋体" w:cs="宋体"/>
                <w:sz w:val="21"/>
                <w:szCs w:val="21"/>
              </w:rPr>
            </w:pPr>
            <w:r>
              <w:rPr>
                <w:rFonts w:ascii="宋体" w:hAnsi="宋体" w:eastAsia="宋体" w:cs="宋体"/>
                <w:spacing w:val="-9"/>
                <w:sz w:val="21"/>
                <w:szCs w:val="21"/>
              </w:rPr>
              <w:t>白塔河</w:t>
            </w:r>
          </w:p>
        </w:tc>
        <w:tc>
          <w:tcPr>
            <w:tcW w:w="1093" w:type="dxa"/>
            <w:tcBorders>
              <w:top w:val="single" w:color="000000" w:sz="12" w:space="0"/>
              <w:right w:val="single" w:color="000000" w:sz="12" w:space="0"/>
            </w:tcBorders>
            <w:vAlign w:val="top"/>
          </w:tcPr>
          <w:p w14:paraId="7D1B48D2">
            <w:pPr>
              <w:spacing w:before="30" w:line="207" w:lineRule="auto"/>
              <w:ind w:left="245"/>
              <w:rPr>
                <w:rFonts w:ascii="宋体" w:hAnsi="宋体" w:eastAsia="宋体" w:cs="宋体"/>
                <w:sz w:val="21"/>
                <w:szCs w:val="21"/>
              </w:rPr>
            </w:pPr>
            <w:r>
              <w:rPr>
                <w:rFonts w:ascii="宋体" w:hAnsi="宋体" w:eastAsia="宋体" w:cs="宋体"/>
                <w:spacing w:val="-3"/>
                <w:sz w:val="21"/>
                <w:szCs w:val="21"/>
              </w:rPr>
              <w:t>红桥河</w:t>
            </w:r>
          </w:p>
        </w:tc>
      </w:tr>
      <w:tr w14:paraId="00D57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416" w:type="dxa"/>
            <w:vMerge w:val="continue"/>
            <w:tcBorders>
              <w:top w:val="nil"/>
              <w:left w:val="single" w:color="000000" w:sz="12" w:space="0"/>
            </w:tcBorders>
            <w:vAlign w:val="top"/>
          </w:tcPr>
          <w:p w14:paraId="4B64FC71">
            <w:pPr>
              <w:rPr>
                <w:rFonts w:ascii="Arial"/>
                <w:sz w:val="21"/>
              </w:rPr>
            </w:pPr>
          </w:p>
        </w:tc>
        <w:tc>
          <w:tcPr>
            <w:tcW w:w="1238" w:type="dxa"/>
            <w:vAlign w:val="top"/>
          </w:tcPr>
          <w:p w14:paraId="66D7B61B">
            <w:pPr>
              <w:spacing w:before="32" w:line="221" w:lineRule="auto"/>
              <w:ind w:left="398" w:right="100" w:hanging="311"/>
              <w:rPr>
                <w:rFonts w:ascii="宋体" w:hAnsi="宋体" w:eastAsia="宋体" w:cs="宋体"/>
                <w:sz w:val="21"/>
                <w:szCs w:val="21"/>
              </w:rPr>
            </w:pPr>
            <w:r>
              <w:rPr>
                <w:rFonts w:ascii="宋体" w:hAnsi="宋体" w:eastAsia="宋体" w:cs="宋体"/>
                <w:spacing w:val="-2"/>
                <w:sz w:val="21"/>
                <w:szCs w:val="21"/>
              </w:rPr>
              <w:t>车马碧库尾河段</w:t>
            </w:r>
          </w:p>
        </w:tc>
        <w:tc>
          <w:tcPr>
            <w:tcW w:w="1238" w:type="dxa"/>
            <w:vAlign w:val="top"/>
          </w:tcPr>
          <w:p w14:paraId="40A3791A">
            <w:pPr>
              <w:spacing w:before="32" w:line="221" w:lineRule="auto"/>
              <w:ind w:left="401" w:right="97" w:hanging="311"/>
              <w:rPr>
                <w:rFonts w:ascii="宋体" w:hAnsi="宋体" w:eastAsia="宋体" w:cs="宋体"/>
                <w:sz w:val="21"/>
                <w:szCs w:val="21"/>
              </w:rPr>
            </w:pPr>
            <w:r>
              <w:rPr>
                <w:rFonts w:ascii="宋体" w:hAnsi="宋体" w:eastAsia="宋体" w:cs="宋体"/>
                <w:spacing w:val="-2"/>
                <w:sz w:val="21"/>
                <w:szCs w:val="21"/>
              </w:rPr>
              <w:t>车马碧水库坝址</w:t>
            </w:r>
          </w:p>
        </w:tc>
        <w:tc>
          <w:tcPr>
            <w:tcW w:w="1238" w:type="dxa"/>
            <w:vAlign w:val="top"/>
          </w:tcPr>
          <w:p w14:paraId="1FE9F8BB">
            <w:pPr>
              <w:pStyle w:val="6"/>
              <w:spacing w:before="32" w:line="221" w:lineRule="auto"/>
              <w:ind w:left="296" w:right="94" w:hanging="199"/>
            </w:pPr>
            <w:r>
              <w:rPr>
                <w:rFonts w:ascii="宋体" w:hAnsi="宋体" w:eastAsia="宋体" w:cs="宋体"/>
                <w:spacing w:val="-3"/>
              </w:rPr>
              <w:t>马过河镇下</w:t>
            </w:r>
            <w:r>
              <w:rPr>
                <w:rFonts w:ascii="宋体" w:hAnsi="宋体" w:eastAsia="宋体" w:cs="宋体"/>
                <w:spacing w:val="-6"/>
              </w:rPr>
              <w:t>游</w:t>
            </w:r>
            <w:r>
              <w:rPr>
                <w:rFonts w:ascii="宋体" w:hAnsi="宋体" w:eastAsia="宋体" w:cs="宋体"/>
                <w:spacing w:val="-26"/>
              </w:rPr>
              <w:t xml:space="preserve"> </w:t>
            </w:r>
            <w:r>
              <w:rPr>
                <w:spacing w:val="-6"/>
              </w:rPr>
              <w:t>1km</w:t>
            </w:r>
          </w:p>
        </w:tc>
        <w:tc>
          <w:tcPr>
            <w:tcW w:w="1238" w:type="dxa"/>
            <w:vAlign w:val="top"/>
          </w:tcPr>
          <w:p w14:paraId="2F7D82C6">
            <w:pPr>
              <w:pStyle w:val="6"/>
              <w:spacing w:before="48" w:line="227" w:lineRule="auto"/>
              <w:ind w:left="448" w:right="92" w:hanging="355"/>
            </w:pPr>
            <w:r>
              <w:rPr>
                <w:rFonts w:ascii="宋体" w:hAnsi="宋体" w:eastAsia="宋体" w:cs="宋体"/>
                <w:spacing w:val="-2"/>
              </w:rPr>
              <w:t>入牛栏江前</w:t>
            </w:r>
            <w:r>
              <w:rPr>
                <w:spacing w:val="-5"/>
              </w:rPr>
              <w:t>1km</w:t>
            </w:r>
          </w:p>
        </w:tc>
        <w:tc>
          <w:tcPr>
            <w:tcW w:w="1359" w:type="dxa"/>
            <w:vAlign w:val="top"/>
          </w:tcPr>
          <w:p w14:paraId="1B07E207">
            <w:pPr>
              <w:spacing w:before="32" w:line="220" w:lineRule="auto"/>
              <w:ind w:left="163"/>
              <w:rPr>
                <w:rFonts w:ascii="宋体" w:hAnsi="宋体" w:eastAsia="宋体" w:cs="宋体"/>
                <w:sz w:val="21"/>
                <w:szCs w:val="21"/>
              </w:rPr>
            </w:pPr>
            <w:r>
              <w:rPr>
                <w:rFonts w:ascii="宋体" w:hAnsi="宋体" w:eastAsia="宋体" w:cs="宋体"/>
                <w:spacing w:val="-3"/>
                <w:sz w:val="21"/>
                <w:szCs w:val="21"/>
              </w:rPr>
              <w:t>马龙河汇口</w:t>
            </w:r>
          </w:p>
          <w:p w14:paraId="37092CC1">
            <w:pPr>
              <w:pStyle w:val="6"/>
              <w:spacing w:before="22" w:line="202" w:lineRule="auto"/>
              <w:ind w:left="261"/>
            </w:pPr>
            <w:r>
              <w:rPr>
                <w:rFonts w:ascii="宋体" w:hAnsi="宋体" w:eastAsia="宋体" w:cs="宋体"/>
                <w:spacing w:val="-5"/>
              </w:rPr>
              <w:t>上游</w:t>
            </w:r>
            <w:r>
              <w:rPr>
                <w:rFonts w:ascii="宋体" w:hAnsi="宋体" w:eastAsia="宋体" w:cs="宋体"/>
                <w:spacing w:val="-27"/>
              </w:rPr>
              <w:t xml:space="preserve"> </w:t>
            </w:r>
            <w:r>
              <w:rPr>
                <w:spacing w:val="-5"/>
              </w:rPr>
              <w:t>1km</w:t>
            </w:r>
          </w:p>
        </w:tc>
        <w:tc>
          <w:tcPr>
            <w:tcW w:w="1359" w:type="dxa"/>
            <w:vAlign w:val="top"/>
          </w:tcPr>
          <w:p w14:paraId="4F8337C5">
            <w:pPr>
              <w:spacing w:before="32" w:line="220" w:lineRule="auto"/>
              <w:ind w:left="166"/>
              <w:rPr>
                <w:rFonts w:ascii="宋体" w:hAnsi="宋体" w:eastAsia="宋体" w:cs="宋体"/>
                <w:sz w:val="21"/>
                <w:szCs w:val="21"/>
              </w:rPr>
            </w:pPr>
            <w:r>
              <w:rPr>
                <w:rFonts w:ascii="宋体" w:hAnsi="宋体" w:eastAsia="宋体" w:cs="宋体"/>
                <w:spacing w:val="-3"/>
                <w:sz w:val="21"/>
                <w:szCs w:val="21"/>
              </w:rPr>
              <w:t>马龙河汇口</w:t>
            </w:r>
          </w:p>
          <w:p w14:paraId="042E21CC">
            <w:pPr>
              <w:pStyle w:val="6"/>
              <w:spacing w:before="22" w:line="202" w:lineRule="auto"/>
              <w:ind w:left="268"/>
            </w:pPr>
            <w:r>
              <w:rPr>
                <w:rFonts w:ascii="宋体" w:hAnsi="宋体" w:eastAsia="宋体" w:cs="宋体"/>
                <w:spacing w:val="-6"/>
              </w:rPr>
              <w:t>下游</w:t>
            </w:r>
            <w:r>
              <w:rPr>
                <w:rFonts w:ascii="宋体" w:hAnsi="宋体" w:eastAsia="宋体" w:cs="宋体"/>
                <w:spacing w:val="-27"/>
              </w:rPr>
              <w:t xml:space="preserve"> </w:t>
            </w:r>
            <w:r>
              <w:rPr>
                <w:spacing w:val="-6"/>
              </w:rPr>
              <w:t>1km</w:t>
            </w:r>
          </w:p>
        </w:tc>
        <w:tc>
          <w:tcPr>
            <w:tcW w:w="1076" w:type="dxa"/>
            <w:vAlign w:val="top"/>
          </w:tcPr>
          <w:p w14:paraId="787230E8">
            <w:pPr>
              <w:spacing w:before="32" w:line="220" w:lineRule="auto"/>
              <w:ind w:left="125"/>
              <w:rPr>
                <w:rFonts w:ascii="宋体" w:hAnsi="宋体" w:eastAsia="宋体" w:cs="宋体"/>
                <w:sz w:val="21"/>
                <w:szCs w:val="21"/>
              </w:rPr>
            </w:pPr>
            <w:r>
              <w:rPr>
                <w:rFonts w:ascii="宋体" w:hAnsi="宋体" w:eastAsia="宋体" w:cs="宋体"/>
                <w:spacing w:val="-2"/>
                <w:sz w:val="21"/>
                <w:szCs w:val="21"/>
              </w:rPr>
              <w:t>入马龙河</w:t>
            </w:r>
          </w:p>
          <w:p w14:paraId="06EDA34E">
            <w:pPr>
              <w:pStyle w:val="6"/>
              <w:spacing w:before="22" w:line="202" w:lineRule="auto"/>
              <w:ind w:left="231"/>
            </w:pPr>
            <w:r>
              <w:rPr>
                <w:rFonts w:ascii="宋体" w:hAnsi="宋体" w:eastAsia="宋体" w:cs="宋体"/>
                <w:spacing w:val="-7"/>
              </w:rPr>
              <w:t>前</w:t>
            </w:r>
            <w:r>
              <w:rPr>
                <w:rFonts w:ascii="宋体" w:hAnsi="宋体" w:eastAsia="宋体" w:cs="宋体"/>
                <w:spacing w:val="-26"/>
              </w:rPr>
              <w:t xml:space="preserve"> </w:t>
            </w:r>
            <w:r>
              <w:rPr>
                <w:spacing w:val="-7"/>
              </w:rPr>
              <w:t>1km</w:t>
            </w:r>
          </w:p>
        </w:tc>
        <w:tc>
          <w:tcPr>
            <w:tcW w:w="1075" w:type="dxa"/>
            <w:vAlign w:val="top"/>
          </w:tcPr>
          <w:p w14:paraId="41B84FCF">
            <w:pPr>
              <w:spacing w:before="32" w:line="220" w:lineRule="auto"/>
              <w:ind w:left="128"/>
              <w:rPr>
                <w:rFonts w:ascii="宋体" w:hAnsi="宋体" w:eastAsia="宋体" w:cs="宋体"/>
                <w:sz w:val="21"/>
                <w:szCs w:val="21"/>
              </w:rPr>
            </w:pPr>
            <w:r>
              <w:rPr>
                <w:rFonts w:ascii="宋体" w:hAnsi="宋体" w:eastAsia="宋体" w:cs="宋体"/>
                <w:spacing w:val="-2"/>
                <w:sz w:val="21"/>
                <w:szCs w:val="21"/>
              </w:rPr>
              <w:t>入马龙河</w:t>
            </w:r>
          </w:p>
          <w:p w14:paraId="4C543392">
            <w:pPr>
              <w:pStyle w:val="6"/>
              <w:spacing w:before="22" w:line="202" w:lineRule="auto"/>
              <w:ind w:left="234"/>
            </w:pPr>
            <w:r>
              <w:rPr>
                <w:rFonts w:ascii="宋体" w:hAnsi="宋体" w:eastAsia="宋体" w:cs="宋体"/>
                <w:spacing w:val="-7"/>
              </w:rPr>
              <w:t>前</w:t>
            </w:r>
            <w:r>
              <w:rPr>
                <w:rFonts w:ascii="宋体" w:hAnsi="宋体" w:eastAsia="宋体" w:cs="宋体"/>
                <w:spacing w:val="-26"/>
              </w:rPr>
              <w:t xml:space="preserve"> </w:t>
            </w:r>
            <w:r>
              <w:rPr>
                <w:spacing w:val="-7"/>
              </w:rPr>
              <w:t>1km</w:t>
            </w:r>
          </w:p>
        </w:tc>
        <w:tc>
          <w:tcPr>
            <w:tcW w:w="1076" w:type="dxa"/>
            <w:vAlign w:val="top"/>
          </w:tcPr>
          <w:p w14:paraId="44DD13AE">
            <w:pPr>
              <w:spacing w:before="32" w:line="220" w:lineRule="auto"/>
              <w:ind w:left="130"/>
              <w:rPr>
                <w:rFonts w:ascii="宋体" w:hAnsi="宋体" w:eastAsia="宋体" w:cs="宋体"/>
                <w:sz w:val="21"/>
                <w:szCs w:val="21"/>
              </w:rPr>
            </w:pPr>
            <w:r>
              <w:rPr>
                <w:rFonts w:ascii="宋体" w:hAnsi="宋体" w:eastAsia="宋体" w:cs="宋体"/>
                <w:spacing w:val="-2"/>
                <w:sz w:val="21"/>
                <w:szCs w:val="21"/>
              </w:rPr>
              <w:t>入马龙河</w:t>
            </w:r>
          </w:p>
          <w:p w14:paraId="03F64B4F">
            <w:pPr>
              <w:pStyle w:val="6"/>
              <w:spacing w:before="22" w:line="202" w:lineRule="auto"/>
              <w:ind w:left="236"/>
            </w:pPr>
            <w:r>
              <w:rPr>
                <w:rFonts w:ascii="宋体" w:hAnsi="宋体" w:eastAsia="宋体" w:cs="宋体"/>
                <w:spacing w:val="-7"/>
              </w:rPr>
              <w:t>前</w:t>
            </w:r>
            <w:r>
              <w:rPr>
                <w:rFonts w:ascii="宋体" w:hAnsi="宋体" w:eastAsia="宋体" w:cs="宋体"/>
                <w:spacing w:val="-26"/>
              </w:rPr>
              <w:t xml:space="preserve"> </w:t>
            </w:r>
            <w:r>
              <w:rPr>
                <w:spacing w:val="-7"/>
              </w:rPr>
              <w:t>1km</w:t>
            </w:r>
          </w:p>
        </w:tc>
        <w:tc>
          <w:tcPr>
            <w:tcW w:w="1093" w:type="dxa"/>
            <w:tcBorders>
              <w:right w:val="single" w:color="000000" w:sz="12" w:space="0"/>
            </w:tcBorders>
            <w:vAlign w:val="top"/>
          </w:tcPr>
          <w:p w14:paraId="451C4185">
            <w:pPr>
              <w:spacing w:before="32" w:line="220" w:lineRule="auto"/>
              <w:ind w:left="135"/>
              <w:rPr>
                <w:rFonts w:ascii="宋体" w:hAnsi="宋体" w:eastAsia="宋体" w:cs="宋体"/>
                <w:sz w:val="21"/>
                <w:szCs w:val="21"/>
              </w:rPr>
            </w:pPr>
            <w:r>
              <w:rPr>
                <w:rFonts w:ascii="宋体" w:hAnsi="宋体" w:eastAsia="宋体" w:cs="宋体"/>
                <w:spacing w:val="-2"/>
                <w:sz w:val="21"/>
                <w:szCs w:val="21"/>
              </w:rPr>
              <w:t>入马龙河</w:t>
            </w:r>
          </w:p>
          <w:p w14:paraId="3B17E2B6">
            <w:pPr>
              <w:pStyle w:val="6"/>
              <w:spacing w:before="22" w:line="202" w:lineRule="auto"/>
              <w:ind w:left="241"/>
            </w:pPr>
            <w:r>
              <w:rPr>
                <w:rFonts w:ascii="宋体" w:hAnsi="宋体" w:eastAsia="宋体" w:cs="宋体"/>
                <w:spacing w:val="-7"/>
              </w:rPr>
              <w:t>前</w:t>
            </w:r>
            <w:r>
              <w:rPr>
                <w:rFonts w:ascii="宋体" w:hAnsi="宋体" w:eastAsia="宋体" w:cs="宋体"/>
                <w:spacing w:val="-26"/>
              </w:rPr>
              <w:t xml:space="preserve"> </w:t>
            </w:r>
            <w:r>
              <w:rPr>
                <w:spacing w:val="-7"/>
              </w:rPr>
              <w:t>1km</w:t>
            </w:r>
          </w:p>
        </w:tc>
      </w:tr>
      <w:tr w14:paraId="2CE95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416" w:type="dxa"/>
            <w:tcBorders>
              <w:left w:val="single" w:color="000000" w:sz="12" w:space="0"/>
            </w:tcBorders>
            <w:vAlign w:val="top"/>
          </w:tcPr>
          <w:p w14:paraId="00B377C4">
            <w:pPr>
              <w:pStyle w:val="6"/>
              <w:spacing w:before="174" w:line="233" w:lineRule="auto"/>
              <w:ind w:left="138"/>
              <w:rPr>
                <w:rFonts w:ascii="宋体" w:hAnsi="宋体" w:eastAsia="宋体" w:cs="宋体"/>
              </w:rPr>
            </w:pPr>
            <w:r>
              <w:rPr>
                <w:spacing w:val="-4"/>
              </w:rPr>
              <w:t>2015</w:t>
            </w:r>
            <w:r>
              <w:rPr>
                <w:spacing w:val="12"/>
              </w:rPr>
              <w:t xml:space="preserve"> </w:t>
            </w:r>
            <w:r>
              <w:rPr>
                <w:rFonts w:ascii="宋体" w:hAnsi="宋体" w:eastAsia="宋体" w:cs="宋体"/>
                <w:spacing w:val="-4"/>
              </w:rPr>
              <w:t>年</w:t>
            </w:r>
            <w:r>
              <w:rPr>
                <w:rFonts w:ascii="宋体" w:hAnsi="宋体" w:eastAsia="宋体" w:cs="宋体"/>
                <w:spacing w:val="-42"/>
              </w:rPr>
              <w:t xml:space="preserve"> </w:t>
            </w:r>
            <w:r>
              <w:rPr>
                <w:spacing w:val="-4"/>
              </w:rPr>
              <w:t>5</w:t>
            </w:r>
            <w:r>
              <w:rPr>
                <w:spacing w:val="15"/>
              </w:rPr>
              <w:t xml:space="preserve"> </w:t>
            </w:r>
            <w:r>
              <w:rPr>
                <w:rFonts w:ascii="宋体" w:hAnsi="宋体" w:eastAsia="宋体" w:cs="宋体"/>
                <w:spacing w:val="-4"/>
              </w:rPr>
              <w:t>月</w:t>
            </w:r>
          </w:p>
        </w:tc>
        <w:tc>
          <w:tcPr>
            <w:tcW w:w="1238" w:type="dxa"/>
            <w:vAlign w:val="top"/>
          </w:tcPr>
          <w:p w14:paraId="1A850932">
            <w:pPr>
              <w:spacing w:before="173" w:line="220" w:lineRule="auto"/>
              <w:ind w:left="399"/>
              <w:rPr>
                <w:rFonts w:ascii="宋体" w:hAnsi="宋体" w:eastAsia="宋体" w:cs="宋体"/>
                <w:sz w:val="21"/>
                <w:szCs w:val="21"/>
              </w:rPr>
            </w:pPr>
            <w:r>
              <w:rPr>
                <w:rFonts w:ascii="宋体" w:hAnsi="宋体" w:eastAsia="宋体" w:cs="宋体"/>
                <w:spacing w:val="-4"/>
                <w:sz w:val="21"/>
                <w:szCs w:val="21"/>
              </w:rPr>
              <w:t>Ⅲ类</w:t>
            </w:r>
          </w:p>
        </w:tc>
        <w:tc>
          <w:tcPr>
            <w:tcW w:w="1238" w:type="dxa"/>
            <w:vAlign w:val="top"/>
          </w:tcPr>
          <w:p w14:paraId="4CC37DC0">
            <w:pPr>
              <w:spacing w:before="173" w:line="220" w:lineRule="auto"/>
              <w:ind w:left="402"/>
              <w:rPr>
                <w:rFonts w:ascii="宋体" w:hAnsi="宋体" w:eastAsia="宋体" w:cs="宋体"/>
                <w:sz w:val="21"/>
                <w:szCs w:val="21"/>
              </w:rPr>
            </w:pPr>
            <w:r>
              <w:rPr>
                <w:rFonts w:ascii="宋体" w:hAnsi="宋体" w:eastAsia="宋体" w:cs="宋体"/>
                <w:spacing w:val="-4"/>
                <w:sz w:val="21"/>
                <w:szCs w:val="21"/>
              </w:rPr>
              <w:t>Ⅲ类</w:t>
            </w:r>
          </w:p>
        </w:tc>
        <w:tc>
          <w:tcPr>
            <w:tcW w:w="1238" w:type="dxa"/>
            <w:vAlign w:val="top"/>
          </w:tcPr>
          <w:p w14:paraId="73103237">
            <w:pPr>
              <w:spacing w:before="173" w:line="220" w:lineRule="auto"/>
              <w:ind w:left="404"/>
              <w:rPr>
                <w:rFonts w:ascii="宋体" w:hAnsi="宋体" w:eastAsia="宋体" w:cs="宋体"/>
                <w:sz w:val="21"/>
                <w:szCs w:val="21"/>
              </w:rPr>
            </w:pPr>
            <w:r>
              <w:rPr>
                <w:rFonts w:ascii="宋体" w:hAnsi="宋体" w:eastAsia="宋体" w:cs="宋体"/>
                <w:spacing w:val="-4"/>
                <w:sz w:val="21"/>
                <w:szCs w:val="21"/>
              </w:rPr>
              <w:t>Ⅲ类</w:t>
            </w:r>
          </w:p>
        </w:tc>
        <w:tc>
          <w:tcPr>
            <w:tcW w:w="1238" w:type="dxa"/>
            <w:vAlign w:val="top"/>
          </w:tcPr>
          <w:p w14:paraId="6242FC86">
            <w:pPr>
              <w:spacing w:before="173" w:line="220" w:lineRule="auto"/>
              <w:ind w:left="407"/>
              <w:rPr>
                <w:rFonts w:ascii="宋体" w:hAnsi="宋体" w:eastAsia="宋体" w:cs="宋体"/>
                <w:sz w:val="21"/>
                <w:szCs w:val="21"/>
              </w:rPr>
            </w:pPr>
            <w:r>
              <w:rPr>
                <w:rFonts w:ascii="宋体" w:hAnsi="宋体" w:eastAsia="宋体" w:cs="宋体"/>
                <w:spacing w:val="-4"/>
                <w:sz w:val="21"/>
                <w:szCs w:val="21"/>
              </w:rPr>
              <w:t>Ⅲ类</w:t>
            </w:r>
          </w:p>
        </w:tc>
        <w:tc>
          <w:tcPr>
            <w:tcW w:w="1359" w:type="dxa"/>
            <w:vAlign w:val="top"/>
          </w:tcPr>
          <w:p w14:paraId="36EB8F63">
            <w:pPr>
              <w:pStyle w:val="6"/>
              <w:spacing w:before="173" w:line="220" w:lineRule="auto"/>
              <w:ind w:left="118"/>
              <w:rPr>
                <w:rFonts w:ascii="宋体" w:hAnsi="宋体" w:eastAsia="宋体" w:cs="宋体"/>
              </w:rPr>
            </w:pPr>
            <w:r>
              <w:rPr>
                <w:rFonts w:ascii="宋体" w:hAnsi="宋体" w:eastAsia="宋体" w:cs="宋体"/>
                <w:spacing w:val="-3"/>
              </w:rPr>
              <w:t>Ⅳ类（</w:t>
            </w:r>
            <w:r>
              <w:rPr>
                <w:spacing w:val="-3"/>
              </w:rPr>
              <w:t>DO</w:t>
            </w:r>
            <w:r>
              <w:rPr>
                <w:rFonts w:ascii="宋体" w:hAnsi="宋体" w:eastAsia="宋体" w:cs="宋体"/>
                <w:spacing w:val="-3"/>
              </w:rPr>
              <w:t>）</w:t>
            </w:r>
          </w:p>
        </w:tc>
        <w:tc>
          <w:tcPr>
            <w:tcW w:w="1359" w:type="dxa"/>
            <w:vAlign w:val="top"/>
          </w:tcPr>
          <w:p w14:paraId="57E670D1">
            <w:pPr>
              <w:pStyle w:val="6"/>
              <w:spacing w:before="36" w:line="220" w:lineRule="auto"/>
              <w:ind w:left="121"/>
              <w:rPr>
                <w:rFonts w:ascii="宋体" w:hAnsi="宋体" w:eastAsia="宋体" w:cs="宋体"/>
              </w:rPr>
            </w:pPr>
            <w:r>
              <w:rPr>
                <w:rFonts w:ascii="宋体" w:hAnsi="宋体" w:eastAsia="宋体" w:cs="宋体"/>
                <w:spacing w:val="-3"/>
              </w:rPr>
              <w:t>Ⅳ类（</w:t>
            </w:r>
            <w:r>
              <w:rPr>
                <w:spacing w:val="-3"/>
              </w:rPr>
              <w:t>DO</w:t>
            </w:r>
            <w:r>
              <w:rPr>
                <w:rFonts w:ascii="宋体" w:hAnsi="宋体" w:eastAsia="宋体" w:cs="宋体"/>
                <w:spacing w:val="-3"/>
              </w:rPr>
              <w:t>、</w:t>
            </w:r>
          </w:p>
          <w:p w14:paraId="36336922">
            <w:pPr>
              <w:pStyle w:val="6"/>
              <w:spacing w:before="23" w:line="197" w:lineRule="auto"/>
              <w:ind w:left="456"/>
              <w:rPr>
                <w:rFonts w:ascii="宋体" w:hAnsi="宋体" w:eastAsia="宋体" w:cs="宋体"/>
              </w:rPr>
            </w:pPr>
            <w:r>
              <w:rPr>
                <w:spacing w:val="-3"/>
              </w:rPr>
              <w:t>TP</w:t>
            </w:r>
            <w:r>
              <w:rPr>
                <w:rFonts w:ascii="宋体" w:hAnsi="宋体" w:eastAsia="宋体" w:cs="宋体"/>
                <w:spacing w:val="-3"/>
              </w:rPr>
              <w:t>）</w:t>
            </w:r>
          </w:p>
        </w:tc>
        <w:tc>
          <w:tcPr>
            <w:tcW w:w="1076" w:type="dxa"/>
            <w:vAlign w:val="top"/>
          </w:tcPr>
          <w:p w14:paraId="4E0007AA">
            <w:pPr>
              <w:spacing w:before="173" w:line="220" w:lineRule="auto"/>
              <w:ind w:left="335"/>
              <w:rPr>
                <w:rFonts w:ascii="宋体" w:hAnsi="宋体" w:eastAsia="宋体" w:cs="宋体"/>
                <w:sz w:val="21"/>
                <w:szCs w:val="21"/>
              </w:rPr>
            </w:pPr>
            <w:r>
              <w:rPr>
                <w:rFonts w:ascii="宋体" w:hAnsi="宋体" w:eastAsia="宋体" w:cs="宋体"/>
                <w:spacing w:val="-4"/>
                <w:sz w:val="21"/>
                <w:szCs w:val="21"/>
              </w:rPr>
              <w:t>Ⅲ类</w:t>
            </w:r>
          </w:p>
        </w:tc>
        <w:tc>
          <w:tcPr>
            <w:tcW w:w="1075" w:type="dxa"/>
            <w:vAlign w:val="top"/>
          </w:tcPr>
          <w:p w14:paraId="3875D23B">
            <w:pPr>
              <w:spacing w:before="173" w:line="220" w:lineRule="auto"/>
              <w:ind w:left="338"/>
              <w:rPr>
                <w:rFonts w:ascii="宋体" w:hAnsi="宋体" w:eastAsia="宋体" w:cs="宋体"/>
                <w:sz w:val="21"/>
                <w:szCs w:val="21"/>
              </w:rPr>
            </w:pPr>
            <w:r>
              <w:rPr>
                <w:rFonts w:ascii="宋体" w:hAnsi="宋体" w:eastAsia="宋体" w:cs="宋体"/>
                <w:spacing w:val="-4"/>
                <w:sz w:val="21"/>
                <w:szCs w:val="21"/>
              </w:rPr>
              <w:t>Ⅲ类</w:t>
            </w:r>
          </w:p>
        </w:tc>
        <w:tc>
          <w:tcPr>
            <w:tcW w:w="1076" w:type="dxa"/>
            <w:vAlign w:val="top"/>
          </w:tcPr>
          <w:p w14:paraId="62B7B1DA">
            <w:pPr>
              <w:spacing w:before="173" w:line="220" w:lineRule="auto"/>
              <w:ind w:left="340"/>
              <w:rPr>
                <w:rFonts w:ascii="宋体" w:hAnsi="宋体" w:eastAsia="宋体" w:cs="宋体"/>
                <w:sz w:val="21"/>
                <w:szCs w:val="21"/>
              </w:rPr>
            </w:pPr>
            <w:r>
              <w:rPr>
                <w:rFonts w:ascii="宋体" w:hAnsi="宋体" w:eastAsia="宋体" w:cs="宋体"/>
                <w:spacing w:val="-4"/>
                <w:sz w:val="21"/>
                <w:szCs w:val="21"/>
              </w:rPr>
              <w:t>Ⅲ类</w:t>
            </w:r>
          </w:p>
        </w:tc>
        <w:tc>
          <w:tcPr>
            <w:tcW w:w="1093" w:type="dxa"/>
            <w:tcBorders>
              <w:right w:val="single" w:color="000000" w:sz="12" w:space="0"/>
            </w:tcBorders>
            <w:vAlign w:val="top"/>
          </w:tcPr>
          <w:p w14:paraId="1EF08A59">
            <w:pPr>
              <w:spacing w:before="173" w:line="220" w:lineRule="auto"/>
              <w:ind w:left="345"/>
              <w:rPr>
                <w:rFonts w:ascii="宋体" w:hAnsi="宋体" w:eastAsia="宋体" w:cs="宋体"/>
                <w:sz w:val="21"/>
                <w:szCs w:val="21"/>
              </w:rPr>
            </w:pPr>
            <w:r>
              <w:rPr>
                <w:rFonts w:ascii="宋体" w:hAnsi="宋体" w:eastAsia="宋体" w:cs="宋体"/>
                <w:spacing w:val="-4"/>
                <w:sz w:val="21"/>
                <w:szCs w:val="21"/>
              </w:rPr>
              <w:t>Ⅲ类</w:t>
            </w:r>
          </w:p>
        </w:tc>
      </w:tr>
      <w:tr w14:paraId="43192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416" w:type="dxa"/>
            <w:tcBorders>
              <w:left w:val="single" w:color="000000" w:sz="12" w:space="0"/>
            </w:tcBorders>
            <w:vAlign w:val="top"/>
          </w:tcPr>
          <w:p w14:paraId="5D2AF3D2">
            <w:pPr>
              <w:pStyle w:val="6"/>
              <w:spacing w:before="179" w:line="233" w:lineRule="auto"/>
              <w:ind w:left="138"/>
              <w:rPr>
                <w:rFonts w:ascii="宋体" w:hAnsi="宋体" w:eastAsia="宋体" w:cs="宋体"/>
              </w:rPr>
            </w:pPr>
            <w:r>
              <w:rPr>
                <w:spacing w:val="-4"/>
              </w:rPr>
              <w:t>2016</w:t>
            </w:r>
            <w:r>
              <w:rPr>
                <w:spacing w:val="14"/>
              </w:rPr>
              <w:t xml:space="preserve"> </w:t>
            </w:r>
            <w:r>
              <w:rPr>
                <w:rFonts w:ascii="宋体" w:hAnsi="宋体" w:eastAsia="宋体" w:cs="宋体"/>
                <w:spacing w:val="-4"/>
              </w:rPr>
              <w:t>年</w:t>
            </w:r>
            <w:r>
              <w:rPr>
                <w:rFonts w:ascii="宋体" w:hAnsi="宋体" w:eastAsia="宋体" w:cs="宋体"/>
                <w:spacing w:val="-44"/>
              </w:rPr>
              <w:t xml:space="preserve"> </w:t>
            </w:r>
            <w:r>
              <w:rPr>
                <w:spacing w:val="-4"/>
              </w:rPr>
              <w:t>3</w:t>
            </w:r>
            <w:r>
              <w:rPr>
                <w:spacing w:val="15"/>
              </w:rPr>
              <w:t xml:space="preserve"> </w:t>
            </w:r>
            <w:r>
              <w:rPr>
                <w:rFonts w:ascii="宋体" w:hAnsi="宋体" w:eastAsia="宋体" w:cs="宋体"/>
                <w:spacing w:val="-4"/>
              </w:rPr>
              <w:t>月</w:t>
            </w:r>
          </w:p>
        </w:tc>
        <w:tc>
          <w:tcPr>
            <w:tcW w:w="1238" w:type="dxa"/>
            <w:vAlign w:val="top"/>
          </w:tcPr>
          <w:p w14:paraId="2EB7063E">
            <w:pPr>
              <w:spacing w:before="42" w:line="220" w:lineRule="auto"/>
              <w:ind w:left="93"/>
              <w:rPr>
                <w:rFonts w:ascii="宋体" w:hAnsi="宋体" w:eastAsia="宋体" w:cs="宋体"/>
                <w:sz w:val="21"/>
                <w:szCs w:val="21"/>
              </w:rPr>
            </w:pPr>
            <w:r>
              <w:rPr>
                <w:rFonts w:ascii="宋体" w:hAnsi="宋体" w:eastAsia="宋体" w:cs="宋体"/>
                <w:spacing w:val="-5"/>
                <w:sz w:val="21"/>
                <w:szCs w:val="21"/>
              </w:rPr>
              <w:t>Ⅳ类（挥发</w:t>
            </w:r>
          </w:p>
          <w:p w14:paraId="2F7F25F7">
            <w:pPr>
              <w:spacing w:before="22" w:line="193" w:lineRule="auto"/>
              <w:ind w:left="400"/>
              <w:rPr>
                <w:rFonts w:ascii="宋体" w:hAnsi="宋体" w:eastAsia="宋体" w:cs="宋体"/>
                <w:sz w:val="21"/>
                <w:szCs w:val="21"/>
              </w:rPr>
            </w:pPr>
            <w:r>
              <w:rPr>
                <w:rFonts w:ascii="宋体" w:hAnsi="宋体" w:eastAsia="宋体" w:cs="宋体"/>
                <w:spacing w:val="-6"/>
                <w:sz w:val="21"/>
                <w:szCs w:val="21"/>
              </w:rPr>
              <w:t>酚）</w:t>
            </w:r>
          </w:p>
        </w:tc>
        <w:tc>
          <w:tcPr>
            <w:tcW w:w="1238" w:type="dxa"/>
            <w:vAlign w:val="top"/>
          </w:tcPr>
          <w:p w14:paraId="036E2B73">
            <w:pPr>
              <w:spacing w:before="178" w:line="220" w:lineRule="auto"/>
              <w:ind w:left="402"/>
              <w:rPr>
                <w:rFonts w:ascii="宋体" w:hAnsi="宋体" w:eastAsia="宋体" w:cs="宋体"/>
                <w:sz w:val="21"/>
                <w:szCs w:val="21"/>
              </w:rPr>
            </w:pPr>
            <w:r>
              <w:rPr>
                <w:rFonts w:ascii="宋体" w:hAnsi="宋体" w:eastAsia="宋体" w:cs="宋体"/>
                <w:spacing w:val="-4"/>
                <w:sz w:val="21"/>
                <w:szCs w:val="21"/>
              </w:rPr>
              <w:t>Ⅲ类</w:t>
            </w:r>
          </w:p>
        </w:tc>
        <w:tc>
          <w:tcPr>
            <w:tcW w:w="1238" w:type="dxa"/>
            <w:vAlign w:val="top"/>
          </w:tcPr>
          <w:p w14:paraId="07FBDDF3">
            <w:pPr>
              <w:spacing w:before="178" w:line="220" w:lineRule="auto"/>
              <w:ind w:left="404"/>
              <w:rPr>
                <w:rFonts w:ascii="宋体" w:hAnsi="宋体" w:eastAsia="宋体" w:cs="宋体"/>
                <w:sz w:val="21"/>
                <w:szCs w:val="21"/>
              </w:rPr>
            </w:pPr>
            <w:r>
              <w:rPr>
                <w:rFonts w:ascii="宋体" w:hAnsi="宋体" w:eastAsia="宋体" w:cs="宋体"/>
                <w:spacing w:val="-4"/>
                <w:sz w:val="21"/>
                <w:szCs w:val="21"/>
              </w:rPr>
              <w:t>Ⅲ类</w:t>
            </w:r>
          </w:p>
        </w:tc>
        <w:tc>
          <w:tcPr>
            <w:tcW w:w="1238" w:type="dxa"/>
            <w:vAlign w:val="top"/>
          </w:tcPr>
          <w:p w14:paraId="5D2E52AA">
            <w:pPr>
              <w:spacing w:before="178" w:line="220" w:lineRule="auto"/>
              <w:ind w:left="407"/>
              <w:rPr>
                <w:rFonts w:ascii="宋体" w:hAnsi="宋体" w:eastAsia="宋体" w:cs="宋体"/>
                <w:sz w:val="21"/>
                <w:szCs w:val="21"/>
              </w:rPr>
            </w:pPr>
            <w:r>
              <w:rPr>
                <w:rFonts w:ascii="宋体" w:hAnsi="宋体" w:eastAsia="宋体" w:cs="宋体"/>
                <w:spacing w:val="-4"/>
                <w:sz w:val="21"/>
                <w:szCs w:val="21"/>
              </w:rPr>
              <w:t>Ⅲ类</w:t>
            </w:r>
          </w:p>
        </w:tc>
        <w:tc>
          <w:tcPr>
            <w:tcW w:w="1359" w:type="dxa"/>
            <w:vAlign w:val="top"/>
          </w:tcPr>
          <w:p w14:paraId="591B7A29">
            <w:pPr>
              <w:spacing w:before="178" w:line="220" w:lineRule="auto"/>
              <w:ind w:left="472"/>
              <w:rPr>
                <w:rFonts w:ascii="宋体" w:hAnsi="宋体" w:eastAsia="宋体" w:cs="宋体"/>
                <w:sz w:val="21"/>
                <w:szCs w:val="21"/>
              </w:rPr>
            </w:pPr>
            <w:r>
              <w:rPr>
                <w:rFonts w:ascii="宋体" w:hAnsi="宋体" w:eastAsia="宋体" w:cs="宋体"/>
                <w:spacing w:val="-4"/>
                <w:sz w:val="21"/>
                <w:szCs w:val="21"/>
              </w:rPr>
              <w:t>Ⅲ类</w:t>
            </w:r>
          </w:p>
        </w:tc>
        <w:tc>
          <w:tcPr>
            <w:tcW w:w="1359" w:type="dxa"/>
            <w:vAlign w:val="top"/>
          </w:tcPr>
          <w:p w14:paraId="11FCDD58">
            <w:pPr>
              <w:pStyle w:val="6"/>
              <w:spacing w:before="43" w:line="216" w:lineRule="auto"/>
              <w:ind w:left="359" w:right="352" w:firstLine="16"/>
              <w:rPr>
                <w:rFonts w:ascii="宋体" w:hAnsi="宋体" w:eastAsia="宋体" w:cs="宋体"/>
              </w:rPr>
            </w:pPr>
            <w:r>
              <w:rPr>
                <w:rFonts w:ascii="宋体" w:hAnsi="宋体" w:eastAsia="宋体" w:cs="宋体"/>
                <w:spacing w:val="-5"/>
              </w:rPr>
              <w:t>劣Ⅴ类</w:t>
            </w:r>
            <w:r>
              <w:rPr>
                <w:rFonts w:ascii="宋体" w:hAnsi="宋体" w:eastAsia="宋体" w:cs="宋体"/>
                <w:spacing w:val="-7"/>
              </w:rPr>
              <w:t>（</w:t>
            </w:r>
            <w:r>
              <w:rPr>
                <w:spacing w:val="-7"/>
              </w:rPr>
              <w:t>TP</w:t>
            </w:r>
            <w:r>
              <w:rPr>
                <w:rFonts w:ascii="宋体" w:hAnsi="宋体" w:eastAsia="宋体" w:cs="宋体"/>
                <w:spacing w:val="-7"/>
              </w:rPr>
              <w:t>）</w:t>
            </w:r>
          </w:p>
        </w:tc>
        <w:tc>
          <w:tcPr>
            <w:tcW w:w="1076" w:type="dxa"/>
            <w:vAlign w:val="top"/>
          </w:tcPr>
          <w:p w14:paraId="3E9AEDEA">
            <w:pPr>
              <w:spacing w:before="178" w:line="220" w:lineRule="auto"/>
              <w:ind w:left="335"/>
              <w:rPr>
                <w:rFonts w:ascii="宋体" w:hAnsi="宋体" w:eastAsia="宋体" w:cs="宋体"/>
                <w:sz w:val="21"/>
                <w:szCs w:val="21"/>
              </w:rPr>
            </w:pPr>
            <w:r>
              <w:rPr>
                <w:rFonts w:ascii="宋体" w:hAnsi="宋体" w:eastAsia="宋体" w:cs="宋体"/>
                <w:spacing w:val="-4"/>
                <w:sz w:val="21"/>
                <w:szCs w:val="21"/>
              </w:rPr>
              <w:t>Ⅲ类</w:t>
            </w:r>
          </w:p>
        </w:tc>
        <w:tc>
          <w:tcPr>
            <w:tcW w:w="1075" w:type="dxa"/>
            <w:vAlign w:val="top"/>
          </w:tcPr>
          <w:p w14:paraId="034004D9">
            <w:pPr>
              <w:spacing w:before="178" w:line="220" w:lineRule="auto"/>
              <w:ind w:left="338"/>
              <w:rPr>
                <w:rFonts w:ascii="宋体" w:hAnsi="宋体" w:eastAsia="宋体" w:cs="宋体"/>
                <w:sz w:val="21"/>
                <w:szCs w:val="21"/>
              </w:rPr>
            </w:pPr>
            <w:r>
              <w:rPr>
                <w:rFonts w:ascii="宋体" w:hAnsi="宋体" w:eastAsia="宋体" w:cs="宋体"/>
                <w:spacing w:val="-4"/>
                <w:sz w:val="21"/>
                <w:szCs w:val="21"/>
              </w:rPr>
              <w:t>Ⅲ类</w:t>
            </w:r>
          </w:p>
        </w:tc>
        <w:tc>
          <w:tcPr>
            <w:tcW w:w="1076" w:type="dxa"/>
            <w:vAlign w:val="top"/>
          </w:tcPr>
          <w:p w14:paraId="196145FA">
            <w:pPr>
              <w:spacing w:before="178" w:line="220" w:lineRule="auto"/>
              <w:ind w:left="340"/>
              <w:rPr>
                <w:rFonts w:ascii="宋体" w:hAnsi="宋体" w:eastAsia="宋体" w:cs="宋体"/>
                <w:sz w:val="21"/>
                <w:szCs w:val="21"/>
              </w:rPr>
            </w:pPr>
            <w:r>
              <w:rPr>
                <w:rFonts w:ascii="宋体" w:hAnsi="宋体" w:eastAsia="宋体" w:cs="宋体"/>
                <w:spacing w:val="-4"/>
                <w:sz w:val="21"/>
                <w:szCs w:val="21"/>
              </w:rPr>
              <w:t>Ⅲ类</w:t>
            </w:r>
          </w:p>
        </w:tc>
        <w:tc>
          <w:tcPr>
            <w:tcW w:w="1093" w:type="dxa"/>
            <w:tcBorders>
              <w:right w:val="single" w:color="000000" w:sz="12" w:space="0"/>
            </w:tcBorders>
            <w:vAlign w:val="top"/>
          </w:tcPr>
          <w:p w14:paraId="58EC9E42">
            <w:pPr>
              <w:spacing w:before="178" w:line="220" w:lineRule="auto"/>
              <w:ind w:left="345"/>
              <w:rPr>
                <w:rFonts w:ascii="宋体" w:hAnsi="宋体" w:eastAsia="宋体" w:cs="宋体"/>
                <w:sz w:val="21"/>
                <w:szCs w:val="21"/>
              </w:rPr>
            </w:pPr>
            <w:r>
              <w:rPr>
                <w:rFonts w:ascii="宋体" w:hAnsi="宋体" w:eastAsia="宋体" w:cs="宋体"/>
                <w:spacing w:val="-4"/>
                <w:sz w:val="21"/>
                <w:szCs w:val="21"/>
              </w:rPr>
              <w:t>Ⅲ类</w:t>
            </w:r>
          </w:p>
        </w:tc>
      </w:tr>
      <w:tr w14:paraId="68993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416" w:type="dxa"/>
            <w:tcBorders>
              <w:top w:val="single" w:color="DBE5F1" w:sz="2" w:space="0"/>
              <w:left w:val="single" w:color="000000" w:sz="12" w:space="0"/>
              <w:bottom w:val="single" w:color="000000" w:sz="12" w:space="0"/>
            </w:tcBorders>
            <w:shd w:val="clear" w:color="auto" w:fill="DBE5F1"/>
            <w:vAlign w:val="top"/>
          </w:tcPr>
          <w:p w14:paraId="4CAA358A">
            <w:pPr>
              <w:spacing w:before="48" w:line="203" w:lineRule="auto"/>
              <w:ind w:left="277"/>
              <w:rPr>
                <w:rFonts w:ascii="宋体" w:hAnsi="宋体" w:eastAsia="宋体" w:cs="宋体"/>
                <w:sz w:val="21"/>
                <w:szCs w:val="21"/>
              </w:rPr>
            </w:pPr>
            <w:r>
              <w:rPr>
                <w:rFonts w:ascii="宋体" w:hAnsi="宋体" w:eastAsia="宋体" w:cs="宋体"/>
                <w:spacing w:val="-3"/>
                <w:sz w:val="21"/>
                <w:szCs w:val="21"/>
              </w:rPr>
              <w:t>水质目标</w:t>
            </w:r>
          </w:p>
        </w:tc>
        <w:tc>
          <w:tcPr>
            <w:tcW w:w="1238" w:type="dxa"/>
            <w:tcBorders>
              <w:top w:val="single" w:color="DBE5F1" w:sz="2" w:space="0"/>
              <w:bottom w:val="single" w:color="000000" w:sz="12" w:space="0"/>
            </w:tcBorders>
            <w:shd w:val="clear" w:color="auto" w:fill="DBE5F1"/>
            <w:vAlign w:val="top"/>
          </w:tcPr>
          <w:p w14:paraId="666079CC">
            <w:pPr>
              <w:spacing w:before="48" w:line="203" w:lineRule="auto"/>
              <w:ind w:left="399"/>
              <w:rPr>
                <w:rFonts w:ascii="宋体" w:hAnsi="宋体" w:eastAsia="宋体" w:cs="宋体"/>
                <w:sz w:val="21"/>
                <w:szCs w:val="21"/>
              </w:rPr>
            </w:pPr>
            <w:r>
              <w:rPr>
                <w:rFonts w:ascii="宋体" w:hAnsi="宋体" w:eastAsia="宋体" w:cs="宋体"/>
                <w:spacing w:val="-4"/>
                <w:sz w:val="21"/>
                <w:szCs w:val="21"/>
              </w:rPr>
              <w:t>Ⅲ类</w:t>
            </w:r>
          </w:p>
        </w:tc>
        <w:tc>
          <w:tcPr>
            <w:tcW w:w="1238" w:type="dxa"/>
            <w:tcBorders>
              <w:top w:val="single" w:color="DBE5F1" w:sz="2" w:space="0"/>
              <w:bottom w:val="single" w:color="000000" w:sz="12" w:space="0"/>
            </w:tcBorders>
            <w:shd w:val="clear" w:color="auto" w:fill="DBE5F1"/>
            <w:vAlign w:val="top"/>
          </w:tcPr>
          <w:p w14:paraId="2F55654F">
            <w:pPr>
              <w:spacing w:before="48" w:line="203" w:lineRule="auto"/>
              <w:ind w:left="402"/>
              <w:rPr>
                <w:rFonts w:ascii="宋体" w:hAnsi="宋体" w:eastAsia="宋体" w:cs="宋体"/>
                <w:sz w:val="21"/>
                <w:szCs w:val="21"/>
              </w:rPr>
            </w:pPr>
            <w:r>
              <w:rPr>
                <w:rFonts w:ascii="宋体" w:hAnsi="宋体" w:eastAsia="宋体" w:cs="宋体"/>
                <w:spacing w:val="-4"/>
                <w:sz w:val="21"/>
                <w:szCs w:val="21"/>
              </w:rPr>
              <w:t>Ⅲ类</w:t>
            </w:r>
          </w:p>
        </w:tc>
        <w:tc>
          <w:tcPr>
            <w:tcW w:w="1238" w:type="dxa"/>
            <w:tcBorders>
              <w:top w:val="single" w:color="DBE5F1" w:sz="2" w:space="0"/>
              <w:bottom w:val="single" w:color="000000" w:sz="12" w:space="0"/>
            </w:tcBorders>
            <w:shd w:val="clear" w:color="auto" w:fill="DBE5F1"/>
            <w:vAlign w:val="top"/>
          </w:tcPr>
          <w:p w14:paraId="329DF9B0">
            <w:pPr>
              <w:spacing w:before="48" w:line="203" w:lineRule="auto"/>
              <w:ind w:left="404"/>
              <w:rPr>
                <w:rFonts w:ascii="宋体" w:hAnsi="宋体" w:eastAsia="宋体" w:cs="宋体"/>
                <w:sz w:val="21"/>
                <w:szCs w:val="21"/>
              </w:rPr>
            </w:pPr>
            <w:r>
              <w:rPr>
                <w:rFonts w:ascii="宋体" w:hAnsi="宋体" w:eastAsia="宋体" w:cs="宋体"/>
                <w:spacing w:val="-4"/>
                <w:sz w:val="21"/>
                <w:szCs w:val="21"/>
              </w:rPr>
              <w:t>Ⅲ类</w:t>
            </w:r>
          </w:p>
        </w:tc>
        <w:tc>
          <w:tcPr>
            <w:tcW w:w="1238" w:type="dxa"/>
            <w:tcBorders>
              <w:top w:val="single" w:color="DBE5F1" w:sz="2" w:space="0"/>
              <w:bottom w:val="single" w:color="000000" w:sz="12" w:space="0"/>
            </w:tcBorders>
            <w:shd w:val="clear" w:color="auto" w:fill="DBE5F1"/>
            <w:vAlign w:val="top"/>
          </w:tcPr>
          <w:p w14:paraId="4E6C31A4">
            <w:pPr>
              <w:spacing w:before="48" w:line="203" w:lineRule="auto"/>
              <w:ind w:left="407"/>
              <w:rPr>
                <w:rFonts w:ascii="宋体" w:hAnsi="宋体" w:eastAsia="宋体" w:cs="宋体"/>
                <w:sz w:val="21"/>
                <w:szCs w:val="21"/>
              </w:rPr>
            </w:pPr>
            <w:r>
              <w:rPr>
                <w:rFonts w:ascii="宋体" w:hAnsi="宋体" w:eastAsia="宋体" w:cs="宋体"/>
                <w:spacing w:val="-4"/>
                <w:sz w:val="21"/>
                <w:szCs w:val="21"/>
              </w:rPr>
              <w:t>Ⅲ类</w:t>
            </w:r>
          </w:p>
        </w:tc>
        <w:tc>
          <w:tcPr>
            <w:tcW w:w="1359" w:type="dxa"/>
            <w:tcBorders>
              <w:top w:val="single" w:color="DBE5F1" w:sz="2" w:space="0"/>
              <w:bottom w:val="single" w:color="000000" w:sz="12" w:space="0"/>
            </w:tcBorders>
            <w:shd w:val="clear" w:color="auto" w:fill="DBE5F1"/>
            <w:vAlign w:val="top"/>
          </w:tcPr>
          <w:p w14:paraId="4FE52186">
            <w:pPr>
              <w:spacing w:before="48" w:line="203" w:lineRule="auto"/>
              <w:ind w:left="472"/>
              <w:rPr>
                <w:rFonts w:ascii="宋体" w:hAnsi="宋体" w:eastAsia="宋体" w:cs="宋体"/>
                <w:sz w:val="21"/>
                <w:szCs w:val="21"/>
              </w:rPr>
            </w:pPr>
            <w:r>
              <w:rPr>
                <w:rFonts w:ascii="宋体" w:hAnsi="宋体" w:eastAsia="宋体" w:cs="宋体"/>
                <w:spacing w:val="-4"/>
                <w:sz w:val="21"/>
                <w:szCs w:val="21"/>
              </w:rPr>
              <w:t>Ⅲ类</w:t>
            </w:r>
          </w:p>
        </w:tc>
        <w:tc>
          <w:tcPr>
            <w:tcW w:w="1359" w:type="dxa"/>
            <w:tcBorders>
              <w:top w:val="single" w:color="DBE5F1" w:sz="2" w:space="0"/>
              <w:bottom w:val="single" w:color="000000" w:sz="12" w:space="0"/>
            </w:tcBorders>
            <w:shd w:val="clear" w:color="auto" w:fill="DBE5F1"/>
            <w:vAlign w:val="top"/>
          </w:tcPr>
          <w:p w14:paraId="7B488832">
            <w:pPr>
              <w:spacing w:before="48" w:line="203" w:lineRule="auto"/>
              <w:ind w:left="475"/>
              <w:rPr>
                <w:rFonts w:ascii="宋体" w:hAnsi="宋体" w:eastAsia="宋体" w:cs="宋体"/>
                <w:sz w:val="21"/>
                <w:szCs w:val="21"/>
              </w:rPr>
            </w:pPr>
            <w:r>
              <w:rPr>
                <w:rFonts w:ascii="宋体" w:hAnsi="宋体" w:eastAsia="宋体" w:cs="宋体"/>
                <w:spacing w:val="-4"/>
                <w:sz w:val="21"/>
                <w:szCs w:val="21"/>
              </w:rPr>
              <w:t>Ⅲ类</w:t>
            </w:r>
          </w:p>
        </w:tc>
        <w:tc>
          <w:tcPr>
            <w:tcW w:w="1076" w:type="dxa"/>
            <w:tcBorders>
              <w:top w:val="single" w:color="DBE5F1" w:sz="2" w:space="0"/>
              <w:bottom w:val="single" w:color="000000" w:sz="12" w:space="0"/>
            </w:tcBorders>
            <w:shd w:val="clear" w:color="auto" w:fill="DBE5F1"/>
            <w:vAlign w:val="top"/>
          </w:tcPr>
          <w:p w14:paraId="35AF0F12">
            <w:pPr>
              <w:spacing w:before="48" w:line="203" w:lineRule="auto"/>
              <w:ind w:left="335"/>
              <w:rPr>
                <w:rFonts w:ascii="宋体" w:hAnsi="宋体" w:eastAsia="宋体" w:cs="宋体"/>
                <w:sz w:val="21"/>
                <w:szCs w:val="21"/>
              </w:rPr>
            </w:pPr>
            <w:r>
              <w:rPr>
                <w:rFonts w:ascii="宋体" w:hAnsi="宋体" w:eastAsia="宋体" w:cs="宋体"/>
                <w:spacing w:val="-4"/>
                <w:sz w:val="21"/>
                <w:szCs w:val="21"/>
              </w:rPr>
              <w:t>Ⅲ类</w:t>
            </w:r>
          </w:p>
        </w:tc>
        <w:tc>
          <w:tcPr>
            <w:tcW w:w="1075" w:type="dxa"/>
            <w:tcBorders>
              <w:top w:val="single" w:color="DBE5F1" w:sz="2" w:space="0"/>
              <w:bottom w:val="single" w:color="000000" w:sz="12" w:space="0"/>
            </w:tcBorders>
            <w:shd w:val="clear" w:color="auto" w:fill="DBE5F1"/>
            <w:vAlign w:val="top"/>
          </w:tcPr>
          <w:p w14:paraId="2130CB41">
            <w:pPr>
              <w:spacing w:before="48" w:line="203" w:lineRule="auto"/>
              <w:ind w:left="338"/>
              <w:rPr>
                <w:rFonts w:ascii="宋体" w:hAnsi="宋体" w:eastAsia="宋体" w:cs="宋体"/>
                <w:sz w:val="21"/>
                <w:szCs w:val="21"/>
              </w:rPr>
            </w:pPr>
            <w:r>
              <w:rPr>
                <w:rFonts w:ascii="宋体" w:hAnsi="宋体" w:eastAsia="宋体" w:cs="宋体"/>
                <w:spacing w:val="-4"/>
                <w:sz w:val="21"/>
                <w:szCs w:val="21"/>
              </w:rPr>
              <w:t>Ⅲ类</w:t>
            </w:r>
          </w:p>
        </w:tc>
        <w:tc>
          <w:tcPr>
            <w:tcW w:w="1076" w:type="dxa"/>
            <w:tcBorders>
              <w:top w:val="single" w:color="DBE5F1" w:sz="2" w:space="0"/>
              <w:bottom w:val="single" w:color="000000" w:sz="12" w:space="0"/>
            </w:tcBorders>
            <w:shd w:val="clear" w:color="auto" w:fill="DBE5F1"/>
            <w:vAlign w:val="top"/>
          </w:tcPr>
          <w:p w14:paraId="763D968C">
            <w:pPr>
              <w:spacing w:before="48" w:line="203" w:lineRule="auto"/>
              <w:ind w:left="340"/>
              <w:rPr>
                <w:rFonts w:ascii="宋体" w:hAnsi="宋体" w:eastAsia="宋体" w:cs="宋体"/>
                <w:sz w:val="21"/>
                <w:szCs w:val="21"/>
              </w:rPr>
            </w:pPr>
            <w:r>
              <w:rPr>
                <w:rFonts w:ascii="宋体" w:hAnsi="宋体" w:eastAsia="宋体" w:cs="宋体"/>
                <w:spacing w:val="-4"/>
                <w:sz w:val="21"/>
                <w:szCs w:val="21"/>
              </w:rPr>
              <w:t>Ⅲ类</w:t>
            </w:r>
          </w:p>
        </w:tc>
        <w:tc>
          <w:tcPr>
            <w:tcW w:w="1093" w:type="dxa"/>
            <w:tcBorders>
              <w:top w:val="single" w:color="DBE5F1" w:sz="2" w:space="0"/>
              <w:bottom w:val="single" w:color="000000" w:sz="12" w:space="0"/>
              <w:right w:val="single" w:color="000000" w:sz="12" w:space="0"/>
            </w:tcBorders>
            <w:shd w:val="clear" w:color="auto" w:fill="DBE5F1"/>
            <w:vAlign w:val="top"/>
          </w:tcPr>
          <w:p w14:paraId="7FEF2B49">
            <w:pPr>
              <w:spacing w:before="48" w:line="203" w:lineRule="auto"/>
              <w:ind w:left="345"/>
              <w:rPr>
                <w:rFonts w:ascii="宋体" w:hAnsi="宋体" w:eastAsia="宋体" w:cs="宋体"/>
                <w:sz w:val="21"/>
                <w:szCs w:val="21"/>
              </w:rPr>
            </w:pPr>
            <w:r>
              <w:rPr>
                <w:rFonts w:ascii="宋体" w:hAnsi="宋体" w:eastAsia="宋体" w:cs="宋体"/>
                <w:spacing w:val="-4"/>
                <w:sz w:val="21"/>
                <w:szCs w:val="21"/>
              </w:rPr>
              <w:t>Ⅲ类</w:t>
            </w:r>
          </w:p>
        </w:tc>
      </w:tr>
    </w:tbl>
    <w:p w14:paraId="4A46C855">
      <w:pPr>
        <w:pStyle w:val="2"/>
        <w:spacing w:before="30" w:line="220" w:lineRule="auto"/>
        <w:ind w:left="40"/>
        <w:rPr>
          <w:sz w:val="21"/>
          <w:szCs w:val="21"/>
        </w:rPr>
      </w:pPr>
      <w:r>
        <w:rPr>
          <w:spacing w:val="-2"/>
          <w:sz w:val="21"/>
          <w:szCs w:val="21"/>
        </w:rPr>
        <w:t>备注：水质类别后的括号内为该断面超标因子。</w:t>
      </w:r>
    </w:p>
    <w:p w14:paraId="42E54956">
      <w:pPr>
        <w:spacing w:line="220" w:lineRule="auto"/>
        <w:rPr>
          <w:sz w:val="21"/>
          <w:szCs w:val="21"/>
        </w:rPr>
        <w:sectPr>
          <w:footerReference r:id="rId239" w:type="default"/>
          <w:pgSz w:w="16839" w:h="11907"/>
          <w:pgMar w:top="1376" w:right="1669" w:bottom="1061" w:left="1671" w:header="999" w:footer="861" w:gutter="0"/>
          <w:cols w:space="720" w:num="1"/>
        </w:sectPr>
      </w:pPr>
    </w:p>
    <w:p w14:paraId="1DB62587">
      <w:pPr>
        <w:spacing w:line="454" w:lineRule="auto"/>
        <w:rPr>
          <w:rFonts w:ascii="Arial"/>
          <w:sz w:val="21"/>
        </w:rPr>
      </w:pPr>
    </w:p>
    <w:p w14:paraId="6765176D">
      <w:pPr>
        <w:pStyle w:val="2"/>
        <w:spacing w:before="78" w:line="215"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6.2-3                                                                    2019 </w:t>
      </w:r>
      <w:r>
        <w:rPr>
          <w:b/>
          <w:bCs/>
          <w:sz w:val="24"/>
          <w:szCs w:val="24"/>
        </w:rPr>
        <w:t>年施工期地表水水质监测结果（</w:t>
      </w:r>
      <w:r>
        <w:rPr>
          <w:rFonts w:ascii="Times New Roman" w:hAnsi="Times New Roman" w:eastAsia="Times New Roman" w:cs="Times New Roman"/>
          <w:b/>
          <w:bCs/>
          <w:i/>
          <w:iCs/>
          <w:sz w:val="24"/>
          <w:szCs w:val="24"/>
        </w:rPr>
        <w:t>C</w:t>
      </w:r>
      <w:r>
        <w:rPr>
          <w:rFonts w:ascii="Times New Roman" w:hAnsi="Times New Roman" w:eastAsia="Times New Roman" w:cs="Times New Roman"/>
          <w:b/>
          <w:bCs/>
          <w:i/>
          <w:iCs/>
          <w:position w:val="-1"/>
          <w:sz w:val="15"/>
          <w:szCs w:val="15"/>
        </w:rPr>
        <w:t>i</w:t>
      </w:r>
      <w:r>
        <w:rPr>
          <w:b/>
          <w:bCs/>
          <w:i/>
          <w:iCs/>
          <w:position w:val="-1"/>
          <w:sz w:val="12"/>
          <w:szCs w:val="12"/>
        </w:rPr>
        <w:t>，</w:t>
      </w:r>
      <w:r>
        <w:rPr>
          <w:rFonts w:ascii="Times New Roman" w:hAnsi="Times New Roman" w:eastAsia="Times New Roman" w:cs="Times New Roman"/>
          <w:b/>
          <w:bCs/>
          <w:i/>
          <w:iCs/>
          <w:sz w:val="15"/>
          <w:szCs w:val="15"/>
        </w:rPr>
        <w:t>j</w:t>
      </w:r>
      <w:r>
        <w:rPr>
          <w:b/>
          <w:bCs/>
          <w:sz w:val="24"/>
          <w:szCs w:val="24"/>
        </w:rPr>
        <w:t>）</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7FE7A9AD">
      <w:pPr>
        <w:spacing w:line="14" w:lineRule="exact"/>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46761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273" w:type="dxa"/>
            <w:tcBorders>
              <w:top w:val="single" w:color="000000" w:sz="12" w:space="0"/>
              <w:left w:val="single" w:color="000000" w:sz="12" w:space="0"/>
            </w:tcBorders>
            <w:vAlign w:val="top"/>
          </w:tcPr>
          <w:p w14:paraId="5E6A2141">
            <w:pPr>
              <w:spacing w:line="250" w:lineRule="auto"/>
              <w:rPr>
                <w:rFonts w:ascii="Arial"/>
                <w:sz w:val="21"/>
              </w:rPr>
            </w:pPr>
          </w:p>
          <w:p w14:paraId="71D16ABE">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25400752">
            <w:pPr>
              <w:spacing w:line="250" w:lineRule="auto"/>
              <w:rPr>
                <w:rFonts w:ascii="Arial"/>
                <w:sz w:val="21"/>
              </w:rPr>
            </w:pPr>
          </w:p>
          <w:p w14:paraId="517A3784">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39C1D382">
            <w:pPr>
              <w:spacing w:before="184"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49AA1AC8">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6D121B6D">
            <w:pPr>
              <w:spacing w:before="30"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5F2D1C8B">
            <w:pPr>
              <w:spacing w:line="295" w:lineRule="auto"/>
              <w:rPr>
                <w:rFonts w:ascii="Arial"/>
                <w:sz w:val="21"/>
              </w:rPr>
            </w:pPr>
          </w:p>
          <w:p w14:paraId="65DEE048">
            <w:pPr>
              <w:pStyle w:val="6"/>
              <w:spacing w:before="60" w:line="186" w:lineRule="auto"/>
              <w:ind w:left="326"/>
            </w:pPr>
            <w:r>
              <w:rPr>
                <w:spacing w:val="-7"/>
              </w:rPr>
              <w:t>SS</w:t>
            </w:r>
          </w:p>
        </w:tc>
        <w:tc>
          <w:tcPr>
            <w:tcW w:w="880" w:type="dxa"/>
            <w:tcBorders>
              <w:top w:val="single" w:color="000000" w:sz="12" w:space="0"/>
            </w:tcBorders>
            <w:vAlign w:val="top"/>
          </w:tcPr>
          <w:p w14:paraId="12AF5690">
            <w:pPr>
              <w:spacing w:line="295" w:lineRule="auto"/>
              <w:rPr>
                <w:rFonts w:ascii="Arial"/>
                <w:sz w:val="21"/>
              </w:rPr>
            </w:pPr>
          </w:p>
          <w:p w14:paraId="6A8963A5">
            <w:pPr>
              <w:pStyle w:val="6"/>
              <w:spacing w:before="60" w:line="186" w:lineRule="auto"/>
              <w:ind w:left="283"/>
            </w:pPr>
            <w:r>
              <w:rPr>
                <w:spacing w:val="-2"/>
              </w:rPr>
              <w:t>DO</w:t>
            </w:r>
          </w:p>
        </w:tc>
        <w:tc>
          <w:tcPr>
            <w:tcW w:w="880" w:type="dxa"/>
            <w:tcBorders>
              <w:top w:val="single" w:color="000000" w:sz="12" w:space="0"/>
            </w:tcBorders>
            <w:vAlign w:val="top"/>
          </w:tcPr>
          <w:p w14:paraId="47BC9FA3">
            <w:pPr>
              <w:spacing w:line="294" w:lineRule="auto"/>
              <w:rPr>
                <w:rFonts w:ascii="Arial"/>
                <w:sz w:val="21"/>
              </w:rPr>
            </w:pPr>
          </w:p>
          <w:p w14:paraId="3A88A961">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3DBE7971">
            <w:pPr>
              <w:spacing w:line="295" w:lineRule="auto"/>
              <w:rPr>
                <w:rFonts w:ascii="Arial"/>
                <w:sz w:val="21"/>
              </w:rPr>
            </w:pPr>
          </w:p>
          <w:p w14:paraId="46A687AF">
            <w:pPr>
              <w:pStyle w:val="6"/>
              <w:spacing w:before="60" w:line="186" w:lineRule="auto"/>
              <w:ind w:left="222"/>
            </w:pPr>
            <w:r>
              <w:rPr>
                <w:spacing w:val="-3"/>
              </w:rPr>
              <w:t>COD</w:t>
            </w:r>
          </w:p>
        </w:tc>
        <w:tc>
          <w:tcPr>
            <w:tcW w:w="880" w:type="dxa"/>
            <w:tcBorders>
              <w:top w:val="single" w:color="000000" w:sz="12" w:space="0"/>
            </w:tcBorders>
            <w:vAlign w:val="top"/>
          </w:tcPr>
          <w:p w14:paraId="11A8D765">
            <w:pPr>
              <w:spacing w:line="295" w:lineRule="auto"/>
              <w:rPr>
                <w:rFonts w:ascii="Arial"/>
                <w:sz w:val="21"/>
              </w:rPr>
            </w:pPr>
          </w:p>
          <w:p w14:paraId="116AEE63">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08439539">
            <w:pPr>
              <w:spacing w:line="298" w:lineRule="auto"/>
              <w:rPr>
                <w:rFonts w:ascii="Arial"/>
                <w:sz w:val="21"/>
              </w:rPr>
            </w:pPr>
          </w:p>
          <w:p w14:paraId="4994DB66">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07319CCD">
            <w:pPr>
              <w:spacing w:line="298" w:lineRule="auto"/>
              <w:rPr>
                <w:rFonts w:ascii="Arial"/>
                <w:sz w:val="21"/>
              </w:rPr>
            </w:pPr>
          </w:p>
          <w:p w14:paraId="593752CD">
            <w:pPr>
              <w:pStyle w:val="6"/>
              <w:spacing w:before="60" w:line="183" w:lineRule="auto"/>
              <w:ind w:left="326"/>
            </w:pPr>
            <w:r>
              <w:rPr>
                <w:spacing w:val="-4"/>
              </w:rPr>
              <w:t>TP</w:t>
            </w:r>
          </w:p>
        </w:tc>
        <w:tc>
          <w:tcPr>
            <w:tcW w:w="880" w:type="dxa"/>
            <w:tcBorders>
              <w:top w:val="single" w:color="000000" w:sz="12" w:space="0"/>
            </w:tcBorders>
            <w:vAlign w:val="top"/>
          </w:tcPr>
          <w:p w14:paraId="4B51EEBB">
            <w:pPr>
              <w:spacing w:line="249" w:lineRule="auto"/>
              <w:rPr>
                <w:rFonts w:ascii="Arial"/>
                <w:sz w:val="21"/>
              </w:rPr>
            </w:pPr>
          </w:p>
          <w:p w14:paraId="32271865">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20547C03">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094EE11E">
            <w:pPr>
              <w:spacing w:before="22"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444989D9">
            <w:pPr>
              <w:pStyle w:val="6"/>
              <w:spacing w:before="47"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493A7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200C195C">
            <w:pPr>
              <w:spacing w:line="252" w:lineRule="auto"/>
              <w:rPr>
                <w:rFonts w:ascii="Arial"/>
                <w:sz w:val="21"/>
              </w:rPr>
            </w:pPr>
          </w:p>
          <w:p w14:paraId="479D1BB1">
            <w:pPr>
              <w:spacing w:line="253" w:lineRule="auto"/>
              <w:rPr>
                <w:rFonts w:ascii="Arial"/>
                <w:sz w:val="21"/>
              </w:rPr>
            </w:pPr>
          </w:p>
          <w:p w14:paraId="756E301F">
            <w:pPr>
              <w:spacing w:line="253" w:lineRule="auto"/>
              <w:rPr>
                <w:rFonts w:ascii="Arial"/>
                <w:sz w:val="21"/>
              </w:rPr>
            </w:pPr>
          </w:p>
          <w:p w14:paraId="5B6880DA">
            <w:pPr>
              <w:spacing w:line="253" w:lineRule="auto"/>
              <w:rPr>
                <w:rFonts w:ascii="Arial"/>
                <w:sz w:val="21"/>
              </w:rPr>
            </w:pPr>
          </w:p>
          <w:p w14:paraId="4725C308">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248F7B67">
            <w:pPr>
              <w:spacing w:before="22" w:line="220" w:lineRule="auto"/>
              <w:ind w:left="102"/>
              <w:rPr>
                <w:rFonts w:ascii="宋体" w:hAnsi="宋体" w:eastAsia="宋体" w:cs="宋体"/>
                <w:sz w:val="21"/>
                <w:szCs w:val="21"/>
              </w:rPr>
            </w:pPr>
            <w:r>
              <w:rPr>
                <w:rFonts w:ascii="宋体" w:hAnsi="宋体" w:eastAsia="宋体" w:cs="宋体"/>
                <w:spacing w:val="-4"/>
                <w:sz w:val="21"/>
                <w:szCs w:val="21"/>
              </w:rPr>
              <w:t>（车马碧水</w:t>
            </w:r>
          </w:p>
          <w:p w14:paraId="5426EBFA">
            <w:pPr>
              <w:spacing w:before="22" w:line="220" w:lineRule="auto"/>
              <w:ind w:left="97"/>
              <w:rPr>
                <w:rFonts w:ascii="宋体" w:hAnsi="宋体" w:eastAsia="宋体" w:cs="宋体"/>
                <w:sz w:val="21"/>
                <w:szCs w:val="21"/>
              </w:rPr>
            </w:pPr>
            <w:r>
              <w:rPr>
                <w:rFonts w:ascii="宋体" w:hAnsi="宋体" w:eastAsia="宋体" w:cs="宋体"/>
                <w:spacing w:val="-2"/>
                <w:sz w:val="21"/>
                <w:szCs w:val="21"/>
              </w:rPr>
              <w:t>库输水隧洞</w:t>
            </w:r>
          </w:p>
          <w:p w14:paraId="5CBE4C1A">
            <w:pPr>
              <w:spacing w:before="23" w:line="220" w:lineRule="auto"/>
              <w:ind w:left="200"/>
              <w:rPr>
                <w:rFonts w:ascii="宋体" w:hAnsi="宋体" w:eastAsia="宋体" w:cs="宋体"/>
                <w:sz w:val="21"/>
                <w:szCs w:val="21"/>
              </w:rPr>
            </w:pPr>
            <w:r>
              <w:rPr>
                <w:rFonts w:ascii="宋体" w:hAnsi="宋体" w:eastAsia="宋体" w:cs="宋体"/>
                <w:spacing w:val="-2"/>
                <w:sz w:val="21"/>
                <w:szCs w:val="21"/>
              </w:rPr>
              <w:t>进口上游</w:t>
            </w:r>
          </w:p>
          <w:p w14:paraId="296B7F08">
            <w:pPr>
              <w:pStyle w:val="6"/>
              <w:spacing w:before="21"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064E0425">
            <w:pPr>
              <w:pStyle w:val="6"/>
              <w:spacing w:before="84" w:line="223" w:lineRule="auto"/>
              <w:ind w:left="97"/>
            </w:pPr>
            <w:r>
              <w:t>1</w:t>
            </w:r>
          </w:p>
          <w:p w14:paraId="1938FF20">
            <w:pPr>
              <w:spacing w:line="219" w:lineRule="auto"/>
              <w:ind w:left="29"/>
              <w:rPr>
                <w:rFonts w:ascii="宋体" w:hAnsi="宋体" w:eastAsia="宋体" w:cs="宋体"/>
                <w:sz w:val="21"/>
                <w:szCs w:val="21"/>
              </w:rPr>
            </w:pPr>
            <w:r>
              <w:rPr>
                <w:rFonts w:ascii="宋体" w:hAnsi="宋体" w:eastAsia="宋体" w:cs="宋体"/>
                <w:sz w:val="21"/>
                <w:szCs w:val="21"/>
              </w:rPr>
              <w:t>季</w:t>
            </w:r>
          </w:p>
          <w:p w14:paraId="29F34A5D">
            <w:pPr>
              <w:spacing w:before="21"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71369E9">
            <w:pPr>
              <w:pStyle w:val="6"/>
              <w:spacing w:before="65" w:line="202" w:lineRule="auto"/>
              <w:ind w:left="199"/>
            </w:pPr>
            <w:r>
              <w:rPr>
                <w:spacing w:val="-1"/>
              </w:rPr>
              <w:t>2019/1/15</w:t>
            </w:r>
          </w:p>
        </w:tc>
        <w:tc>
          <w:tcPr>
            <w:tcW w:w="880" w:type="dxa"/>
            <w:vAlign w:val="top"/>
          </w:tcPr>
          <w:p w14:paraId="7340D1AB">
            <w:pPr>
              <w:pStyle w:val="6"/>
              <w:spacing w:before="65" w:line="202" w:lineRule="auto"/>
              <w:ind w:left="267"/>
            </w:pPr>
            <w:r>
              <w:rPr>
                <w:spacing w:val="-6"/>
              </w:rPr>
              <w:t>12.8</w:t>
            </w:r>
          </w:p>
        </w:tc>
        <w:tc>
          <w:tcPr>
            <w:tcW w:w="880" w:type="dxa"/>
            <w:vAlign w:val="top"/>
          </w:tcPr>
          <w:p w14:paraId="12102711">
            <w:pPr>
              <w:pStyle w:val="6"/>
              <w:spacing w:before="65" w:line="202" w:lineRule="auto"/>
              <w:ind w:left="254"/>
            </w:pPr>
            <w:r>
              <w:rPr>
                <w:spacing w:val="-3"/>
              </w:rPr>
              <w:t>6.29</w:t>
            </w:r>
          </w:p>
        </w:tc>
        <w:tc>
          <w:tcPr>
            <w:tcW w:w="880" w:type="dxa"/>
            <w:vAlign w:val="top"/>
          </w:tcPr>
          <w:p w14:paraId="4C6EF880">
            <w:pPr>
              <w:pStyle w:val="6"/>
              <w:spacing w:before="65" w:line="202" w:lineRule="auto"/>
              <w:ind w:left="349"/>
            </w:pPr>
            <w:r>
              <w:rPr>
                <w:spacing w:val="-12"/>
              </w:rPr>
              <w:t>11</w:t>
            </w:r>
          </w:p>
        </w:tc>
        <w:tc>
          <w:tcPr>
            <w:tcW w:w="880" w:type="dxa"/>
            <w:vAlign w:val="top"/>
          </w:tcPr>
          <w:p w14:paraId="7B10C7A8">
            <w:pPr>
              <w:pStyle w:val="6"/>
              <w:spacing w:before="65" w:line="202" w:lineRule="auto"/>
              <w:ind w:left="310"/>
            </w:pPr>
            <w:r>
              <w:rPr>
                <w:spacing w:val="-4"/>
              </w:rPr>
              <w:t>5.9</w:t>
            </w:r>
          </w:p>
        </w:tc>
        <w:tc>
          <w:tcPr>
            <w:tcW w:w="880" w:type="dxa"/>
            <w:vAlign w:val="top"/>
          </w:tcPr>
          <w:p w14:paraId="60AD1BE6">
            <w:pPr>
              <w:pStyle w:val="6"/>
              <w:spacing w:before="65" w:line="202" w:lineRule="auto"/>
              <w:ind w:left="327"/>
            </w:pPr>
            <w:r>
              <w:rPr>
                <w:spacing w:val="-8"/>
              </w:rPr>
              <w:t>1.4</w:t>
            </w:r>
          </w:p>
        </w:tc>
        <w:tc>
          <w:tcPr>
            <w:tcW w:w="880" w:type="dxa"/>
            <w:vAlign w:val="top"/>
          </w:tcPr>
          <w:p w14:paraId="055BA327">
            <w:pPr>
              <w:pStyle w:val="6"/>
              <w:spacing w:before="65" w:line="202" w:lineRule="auto"/>
              <w:ind w:left="391"/>
            </w:pPr>
            <w:r>
              <w:t>7</w:t>
            </w:r>
          </w:p>
        </w:tc>
        <w:tc>
          <w:tcPr>
            <w:tcW w:w="880" w:type="dxa"/>
            <w:vAlign w:val="top"/>
          </w:tcPr>
          <w:p w14:paraId="10069733">
            <w:pPr>
              <w:pStyle w:val="6"/>
              <w:spacing w:before="65" w:line="202" w:lineRule="auto"/>
              <w:ind w:left="314"/>
            </w:pPr>
            <w:r>
              <w:rPr>
                <w:spacing w:val="-3"/>
              </w:rPr>
              <w:t>0.8</w:t>
            </w:r>
          </w:p>
        </w:tc>
        <w:tc>
          <w:tcPr>
            <w:tcW w:w="880" w:type="dxa"/>
            <w:vAlign w:val="top"/>
          </w:tcPr>
          <w:p w14:paraId="2D300991">
            <w:pPr>
              <w:pStyle w:val="6"/>
              <w:spacing w:before="65" w:line="202" w:lineRule="auto"/>
              <w:ind w:left="212"/>
            </w:pPr>
            <w:r>
              <w:rPr>
                <w:spacing w:val="-2"/>
              </w:rPr>
              <w:t>0.107</w:t>
            </w:r>
          </w:p>
        </w:tc>
        <w:tc>
          <w:tcPr>
            <w:tcW w:w="880" w:type="dxa"/>
            <w:vAlign w:val="top"/>
          </w:tcPr>
          <w:p w14:paraId="2C90F672">
            <w:pPr>
              <w:pStyle w:val="6"/>
              <w:spacing w:before="65" w:line="202" w:lineRule="auto"/>
              <w:ind w:left="266"/>
            </w:pPr>
            <w:r>
              <w:rPr>
                <w:spacing w:val="-2"/>
              </w:rPr>
              <w:t>0.04</w:t>
            </w:r>
          </w:p>
        </w:tc>
        <w:tc>
          <w:tcPr>
            <w:tcW w:w="880" w:type="dxa"/>
            <w:vAlign w:val="top"/>
          </w:tcPr>
          <w:p w14:paraId="347BA142">
            <w:pPr>
              <w:pStyle w:val="6"/>
              <w:spacing w:before="65" w:line="202" w:lineRule="auto"/>
              <w:ind w:left="204"/>
            </w:pPr>
            <w:r>
              <w:rPr>
                <w:spacing w:val="-1"/>
              </w:rPr>
              <w:t>0.01L</w:t>
            </w:r>
          </w:p>
        </w:tc>
        <w:tc>
          <w:tcPr>
            <w:tcW w:w="881" w:type="dxa"/>
            <w:vAlign w:val="top"/>
          </w:tcPr>
          <w:p w14:paraId="4B87077B">
            <w:pPr>
              <w:pStyle w:val="6"/>
              <w:spacing w:before="65" w:line="202" w:lineRule="auto"/>
              <w:ind w:left="206"/>
            </w:pPr>
            <w:r>
              <w:rPr>
                <w:spacing w:val="-1"/>
              </w:rPr>
              <w:t>0.05L</w:t>
            </w:r>
          </w:p>
        </w:tc>
        <w:tc>
          <w:tcPr>
            <w:tcW w:w="894" w:type="dxa"/>
            <w:tcBorders>
              <w:right w:val="single" w:color="000000" w:sz="12" w:space="0"/>
            </w:tcBorders>
            <w:vAlign w:val="top"/>
          </w:tcPr>
          <w:p w14:paraId="5050C487">
            <w:pPr>
              <w:pStyle w:val="6"/>
              <w:spacing w:before="65" w:line="202" w:lineRule="auto"/>
              <w:ind w:left="295"/>
            </w:pPr>
            <w:r>
              <w:rPr>
                <w:spacing w:val="-2"/>
              </w:rPr>
              <w:t>230</w:t>
            </w:r>
          </w:p>
        </w:tc>
      </w:tr>
      <w:tr w14:paraId="19560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4EB3479">
            <w:pPr>
              <w:rPr>
                <w:rFonts w:ascii="Arial"/>
                <w:sz w:val="21"/>
              </w:rPr>
            </w:pPr>
          </w:p>
        </w:tc>
        <w:tc>
          <w:tcPr>
            <w:tcW w:w="285" w:type="dxa"/>
            <w:vMerge w:val="continue"/>
            <w:tcBorders>
              <w:top w:val="nil"/>
              <w:bottom w:val="nil"/>
            </w:tcBorders>
            <w:vAlign w:val="top"/>
          </w:tcPr>
          <w:p w14:paraId="4F645E15">
            <w:pPr>
              <w:rPr>
                <w:rFonts w:ascii="Arial"/>
                <w:sz w:val="21"/>
              </w:rPr>
            </w:pPr>
          </w:p>
        </w:tc>
        <w:tc>
          <w:tcPr>
            <w:tcW w:w="1273" w:type="dxa"/>
            <w:vAlign w:val="top"/>
          </w:tcPr>
          <w:p w14:paraId="06830A4C">
            <w:pPr>
              <w:pStyle w:val="6"/>
              <w:spacing w:before="67" w:line="200" w:lineRule="auto"/>
              <w:ind w:left="199"/>
            </w:pPr>
            <w:r>
              <w:rPr>
                <w:spacing w:val="-1"/>
              </w:rPr>
              <w:t>2019/1/16</w:t>
            </w:r>
          </w:p>
        </w:tc>
        <w:tc>
          <w:tcPr>
            <w:tcW w:w="880" w:type="dxa"/>
            <w:vAlign w:val="top"/>
          </w:tcPr>
          <w:p w14:paraId="11B5A049">
            <w:pPr>
              <w:pStyle w:val="6"/>
              <w:spacing w:before="67" w:line="200" w:lineRule="auto"/>
              <w:ind w:left="267"/>
            </w:pPr>
            <w:r>
              <w:rPr>
                <w:spacing w:val="-6"/>
              </w:rPr>
              <w:t>11.9</w:t>
            </w:r>
          </w:p>
        </w:tc>
        <w:tc>
          <w:tcPr>
            <w:tcW w:w="880" w:type="dxa"/>
            <w:vAlign w:val="top"/>
          </w:tcPr>
          <w:p w14:paraId="2946EE80">
            <w:pPr>
              <w:pStyle w:val="6"/>
              <w:spacing w:before="67" w:line="200" w:lineRule="auto"/>
              <w:ind w:left="254"/>
            </w:pPr>
            <w:r>
              <w:rPr>
                <w:spacing w:val="-3"/>
              </w:rPr>
              <w:t>6.33</w:t>
            </w:r>
          </w:p>
        </w:tc>
        <w:tc>
          <w:tcPr>
            <w:tcW w:w="880" w:type="dxa"/>
            <w:vAlign w:val="top"/>
          </w:tcPr>
          <w:p w14:paraId="1346D8DD">
            <w:pPr>
              <w:pStyle w:val="6"/>
              <w:spacing w:before="67" w:line="200" w:lineRule="auto"/>
              <w:ind w:left="349"/>
            </w:pPr>
            <w:r>
              <w:rPr>
                <w:spacing w:val="-12"/>
              </w:rPr>
              <w:t>13</w:t>
            </w:r>
          </w:p>
        </w:tc>
        <w:tc>
          <w:tcPr>
            <w:tcW w:w="880" w:type="dxa"/>
            <w:vAlign w:val="top"/>
          </w:tcPr>
          <w:p w14:paraId="3DA8928B">
            <w:pPr>
              <w:pStyle w:val="6"/>
              <w:spacing w:before="67" w:line="200" w:lineRule="auto"/>
              <w:ind w:left="310"/>
            </w:pPr>
            <w:r>
              <w:rPr>
                <w:spacing w:val="-4"/>
              </w:rPr>
              <w:t>5.8</w:t>
            </w:r>
          </w:p>
        </w:tc>
        <w:tc>
          <w:tcPr>
            <w:tcW w:w="880" w:type="dxa"/>
            <w:vAlign w:val="top"/>
          </w:tcPr>
          <w:p w14:paraId="5BE68BA4">
            <w:pPr>
              <w:pStyle w:val="6"/>
              <w:spacing w:before="67" w:line="200" w:lineRule="auto"/>
              <w:ind w:left="327"/>
            </w:pPr>
            <w:r>
              <w:rPr>
                <w:spacing w:val="-8"/>
              </w:rPr>
              <w:t>1.3</w:t>
            </w:r>
          </w:p>
        </w:tc>
        <w:tc>
          <w:tcPr>
            <w:tcW w:w="880" w:type="dxa"/>
            <w:vAlign w:val="top"/>
          </w:tcPr>
          <w:p w14:paraId="6B9D26AD">
            <w:pPr>
              <w:pStyle w:val="6"/>
              <w:spacing w:before="67" w:line="200" w:lineRule="auto"/>
              <w:ind w:left="397"/>
            </w:pPr>
            <w:r>
              <w:t>8</w:t>
            </w:r>
          </w:p>
        </w:tc>
        <w:tc>
          <w:tcPr>
            <w:tcW w:w="880" w:type="dxa"/>
            <w:vAlign w:val="top"/>
          </w:tcPr>
          <w:p w14:paraId="1066A0DD">
            <w:pPr>
              <w:pStyle w:val="6"/>
              <w:spacing w:before="67" w:line="200" w:lineRule="auto"/>
              <w:ind w:left="314"/>
            </w:pPr>
            <w:r>
              <w:rPr>
                <w:spacing w:val="-3"/>
              </w:rPr>
              <w:t>0.9</w:t>
            </w:r>
          </w:p>
        </w:tc>
        <w:tc>
          <w:tcPr>
            <w:tcW w:w="880" w:type="dxa"/>
            <w:vAlign w:val="top"/>
          </w:tcPr>
          <w:p w14:paraId="4F420448">
            <w:pPr>
              <w:pStyle w:val="6"/>
              <w:spacing w:before="67" w:line="200" w:lineRule="auto"/>
              <w:ind w:left="212"/>
            </w:pPr>
            <w:r>
              <w:rPr>
                <w:spacing w:val="-2"/>
              </w:rPr>
              <w:t>0.113</w:t>
            </w:r>
          </w:p>
        </w:tc>
        <w:tc>
          <w:tcPr>
            <w:tcW w:w="880" w:type="dxa"/>
            <w:vAlign w:val="top"/>
          </w:tcPr>
          <w:p w14:paraId="5CDFAD4D">
            <w:pPr>
              <w:pStyle w:val="6"/>
              <w:spacing w:before="67" w:line="200" w:lineRule="auto"/>
              <w:ind w:left="266"/>
            </w:pPr>
            <w:r>
              <w:rPr>
                <w:spacing w:val="-2"/>
              </w:rPr>
              <w:t>0.04</w:t>
            </w:r>
          </w:p>
        </w:tc>
        <w:tc>
          <w:tcPr>
            <w:tcW w:w="880" w:type="dxa"/>
            <w:vAlign w:val="top"/>
          </w:tcPr>
          <w:p w14:paraId="351FA8FD">
            <w:pPr>
              <w:pStyle w:val="6"/>
              <w:spacing w:before="67" w:line="200" w:lineRule="auto"/>
              <w:ind w:left="268"/>
            </w:pPr>
            <w:r>
              <w:rPr>
                <w:spacing w:val="-2"/>
              </w:rPr>
              <w:t>0.01</w:t>
            </w:r>
          </w:p>
        </w:tc>
        <w:tc>
          <w:tcPr>
            <w:tcW w:w="881" w:type="dxa"/>
            <w:vAlign w:val="top"/>
          </w:tcPr>
          <w:p w14:paraId="69B1CDDC">
            <w:pPr>
              <w:pStyle w:val="6"/>
              <w:spacing w:before="67" w:line="200" w:lineRule="auto"/>
              <w:ind w:left="206"/>
            </w:pPr>
            <w:r>
              <w:rPr>
                <w:spacing w:val="-1"/>
              </w:rPr>
              <w:t>0.05L</w:t>
            </w:r>
          </w:p>
        </w:tc>
        <w:tc>
          <w:tcPr>
            <w:tcW w:w="894" w:type="dxa"/>
            <w:tcBorders>
              <w:right w:val="single" w:color="000000" w:sz="12" w:space="0"/>
            </w:tcBorders>
            <w:vAlign w:val="top"/>
          </w:tcPr>
          <w:p w14:paraId="3B7A0091">
            <w:pPr>
              <w:pStyle w:val="6"/>
              <w:spacing w:before="67" w:line="200" w:lineRule="auto"/>
              <w:ind w:left="295"/>
            </w:pPr>
            <w:r>
              <w:rPr>
                <w:spacing w:val="-2"/>
              </w:rPr>
              <w:t>260</w:t>
            </w:r>
          </w:p>
        </w:tc>
      </w:tr>
      <w:tr w14:paraId="61562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4D4AF2D">
            <w:pPr>
              <w:rPr>
                <w:rFonts w:ascii="Arial"/>
                <w:sz w:val="21"/>
              </w:rPr>
            </w:pPr>
          </w:p>
        </w:tc>
        <w:tc>
          <w:tcPr>
            <w:tcW w:w="285" w:type="dxa"/>
            <w:vMerge w:val="continue"/>
            <w:tcBorders>
              <w:top w:val="nil"/>
            </w:tcBorders>
            <w:vAlign w:val="top"/>
          </w:tcPr>
          <w:p w14:paraId="14825C3E">
            <w:pPr>
              <w:rPr>
                <w:rFonts w:ascii="Arial"/>
                <w:sz w:val="21"/>
              </w:rPr>
            </w:pPr>
          </w:p>
        </w:tc>
        <w:tc>
          <w:tcPr>
            <w:tcW w:w="1273" w:type="dxa"/>
            <w:vAlign w:val="top"/>
          </w:tcPr>
          <w:p w14:paraId="0B95504F">
            <w:pPr>
              <w:pStyle w:val="6"/>
              <w:spacing w:before="68" w:line="199" w:lineRule="auto"/>
              <w:ind w:left="199"/>
            </w:pPr>
            <w:r>
              <w:rPr>
                <w:spacing w:val="-1"/>
              </w:rPr>
              <w:t>2019/1/17</w:t>
            </w:r>
          </w:p>
        </w:tc>
        <w:tc>
          <w:tcPr>
            <w:tcW w:w="880" w:type="dxa"/>
            <w:vAlign w:val="top"/>
          </w:tcPr>
          <w:p w14:paraId="4F2E33B7">
            <w:pPr>
              <w:pStyle w:val="6"/>
              <w:spacing w:before="68" w:line="199" w:lineRule="auto"/>
              <w:ind w:left="267"/>
            </w:pPr>
            <w:r>
              <w:rPr>
                <w:spacing w:val="-6"/>
              </w:rPr>
              <w:t>12.6</w:t>
            </w:r>
          </w:p>
        </w:tc>
        <w:tc>
          <w:tcPr>
            <w:tcW w:w="880" w:type="dxa"/>
            <w:vAlign w:val="top"/>
          </w:tcPr>
          <w:p w14:paraId="12B6F140">
            <w:pPr>
              <w:pStyle w:val="6"/>
              <w:spacing w:before="68" w:line="199" w:lineRule="auto"/>
              <w:ind w:left="254"/>
            </w:pPr>
            <w:r>
              <w:rPr>
                <w:spacing w:val="-3"/>
              </w:rPr>
              <w:t>6.25</w:t>
            </w:r>
          </w:p>
        </w:tc>
        <w:tc>
          <w:tcPr>
            <w:tcW w:w="880" w:type="dxa"/>
            <w:vAlign w:val="top"/>
          </w:tcPr>
          <w:p w14:paraId="2878B513">
            <w:pPr>
              <w:pStyle w:val="6"/>
              <w:spacing w:before="68" w:line="199" w:lineRule="auto"/>
              <w:ind w:left="349"/>
            </w:pPr>
            <w:r>
              <w:rPr>
                <w:spacing w:val="-12"/>
              </w:rPr>
              <w:t>12</w:t>
            </w:r>
          </w:p>
        </w:tc>
        <w:tc>
          <w:tcPr>
            <w:tcW w:w="880" w:type="dxa"/>
            <w:vAlign w:val="top"/>
          </w:tcPr>
          <w:p w14:paraId="60010A4B">
            <w:pPr>
              <w:pStyle w:val="6"/>
              <w:spacing w:before="68" w:line="199" w:lineRule="auto"/>
              <w:ind w:left="309"/>
            </w:pPr>
            <w:r>
              <w:rPr>
                <w:spacing w:val="-3"/>
              </w:rPr>
              <w:t>6.1</w:t>
            </w:r>
          </w:p>
        </w:tc>
        <w:tc>
          <w:tcPr>
            <w:tcW w:w="880" w:type="dxa"/>
            <w:vAlign w:val="top"/>
          </w:tcPr>
          <w:p w14:paraId="4004D89A">
            <w:pPr>
              <w:pStyle w:val="6"/>
              <w:spacing w:before="68" w:line="199" w:lineRule="auto"/>
              <w:ind w:left="327"/>
            </w:pPr>
            <w:r>
              <w:rPr>
                <w:spacing w:val="-8"/>
              </w:rPr>
              <w:t>1.2</w:t>
            </w:r>
          </w:p>
        </w:tc>
        <w:tc>
          <w:tcPr>
            <w:tcW w:w="880" w:type="dxa"/>
            <w:vAlign w:val="top"/>
          </w:tcPr>
          <w:p w14:paraId="5DAEEB9B">
            <w:pPr>
              <w:pStyle w:val="6"/>
              <w:spacing w:before="68" w:line="199" w:lineRule="auto"/>
              <w:ind w:left="397"/>
            </w:pPr>
            <w:r>
              <w:t>8</w:t>
            </w:r>
          </w:p>
        </w:tc>
        <w:tc>
          <w:tcPr>
            <w:tcW w:w="880" w:type="dxa"/>
            <w:vAlign w:val="top"/>
          </w:tcPr>
          <w:p w14:paraId="3D4C5FFE">
            <w:pPr>
              <w:pStyle w:val="6"/>
              <w:spacing w:before="68" w:line="199" w:lineRule="auto"/>
              <w:ind w:left="331"/>
            </w:pPr>
            <w:r>
              <w:rPr>
                <w:spacing w:val="-8"/>
              </w:rPr>
              <w:t>1.0</w:t>
            </w:r>
          </w:p>
        </w:tc>
        <w:tc>
          <w:tcPr>
            <w:tcW w:w="880" w:type="dxa"/>
            <w:vAlign w:val="top"/>
          </w:tcPr>
          <w:p w14:paraId="3D21C273">
            <w:pPr>
              <w:pStyle w:val="6"/>
              <w:spacing w:before="68" w:line="199" w:lineRule="auto"/>
              <w:ind w:left="212"/>
            </w:pPr>
            <w:r>
              <w:rPr>
                <w:spacing w:val="-2"/>
              </w:rPr>
              <w:t>0.102</w:t>
            </w:r>
          </w:p>
        </w:tc>
        <w:tc>
          <w:tcPr>
            <w:tcW w:w="880" w:type="dxa"/>
            <w:vAlign w:val="top"/>
          </w:tcPr>
          <w:p w14:paraId="00ECD7EB">
            <w:pPr>
              <w:pStyle w:val="6"/>
              <w:spacing w:before="68" w:line="199" w:lineRule="auto"/>
              <w:ind w:left="266"/>
            </w:pPr>
            <w:r>
              <w:rPr>
                <w:spacing w:val="-2"/>
              </w:rPr>
              <w:t>0.03</w:t>
            </w:r>
          </w:p>
        </w:tc>
        <w:tc>
          <w:tcPr>
            <w:tcW w:w="880" w:type="dxa"/>
            <w:vAlign w:val="top"/>
          </w:tcPr>
          <w:p w14:paraId="262E4D03">
            <w:pPr>
              <w:pStyle w:val="6"/>
              <w:spacing w:before="68" w:line="199" w:lineRule="auto"/>
              <w:ind w:left="268"/>
            </w:pPr>
            <w:r>
              <w:rPr>
                <w:spacing w:val="-2"/>
              </w:rPr>
              <w:t>0.01</w:t>
            </w:r>
          </w:p>
        </w:tc>
        <w:tc>
          <w:tcPr>
            <w:tcW w:w="881" w:type="dxa"/>
            <w:vAlign w:val="top"/>
          </w:tcPr>
          <w:p w14:paraId="321758F5">
            <w:pPr>
              <w:pStyle w:val="6"/>
              <w:spacing w:before="68" w:line="199" w:lineRule="auto"/>
              <w:ind w:left="206"/>
            </w:pPr>
            <w:r>
              <w:rPr>
                <w:spacing w:val="-1"/>
              </w:rPr>
              <w:t>0.05L</w:t>
            </w:r>
          </w:p>
        </w:tc>
        <w:tc>
          <w:tcPr>
            <w:tcW w:w="894" w:type="dxa"/>
            <w:tcBorders>
              <w:right w:val="single" w:color="000000" w:sz="12" w:space="0"/>
            </w:tcBorders>
            <w:vAlign w:val="top"/>
          </w:tcPr>
          <w:p w14:paraId="217020EC">
            <w:pPr>
              <w:pStyle w:val="6"/>
              <w:spacing w:before="68" w:line="199" w:lineRule="auto"/>
              <w:ind w:left="295"/>
            </w:pPr>
            <w:r>
              <w:rPr>
                <w:spacing w:val="-2"/>
              </w:rPr>
              <w:t>270</w:t>
            </w:r>
          </w:p>
        </w:tc>
      </w:tr>
      <w:tr w14:paraId="2DB99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F3ECA6F">
            <w:pPr>
              <w:rPr>
                <w:rFonts w:ascii="Arial"/>
                <w:sz w:val="21"/>
              </w:rPr>
            </w:pPr>
          </w:p>
        </w:tc>
        <w:tc>
          <w:tcPr>
            <w:tcW w:w="285" w:type="dxa"/>
            <w:vMerge w:val="restart"/>
            <w:tcBorders>
              <w:bottom w:val="nil"/>
            </w:tcBorders>
            <w:vAlign w:val="top"/>
          </w:tcPr>
          <w:p w14:paraId="078B0690">
            <w:pPr>
              <w:pStyle w:val="6"/>
              <w:spacing w:before="89" w:line="222" w:lineRule="auto"/>
              <w:ind w:left="77"/>
            </w:pPr>
            <w:r>
              <w:t>2</w:t>
            </w:r>
          </w:p>
          <w:p w14:paraId="375967B7">
            <w:pPr>
              <w:spacing w:line="219" w:lineRule="auto"/>
              <w:ind w:left="29"/>
              <w:rPr>
                <w:rFonts w:ascii="宋体" w:hAnsi="宋体" w:eastAsia="宋体" w:cs="宋体"/>
                <w:sz w:val="21"/>
                <w:szCs w:val="21"/>
              </w:rPr>
            </w:pPr>
            <w:r>
              <w:rPr>
                <w:rFonts w:ascii="宋体" w:hAnsi="宋体" w:eastAsia="宋体" w:cs="宋体"/>
                <w:sz w:val="21"/>
                <w:szCs w:val="21"/>
              </w:rPr>
              <w:t>季</w:t>
            </w:r>
          </w:p>
          <w:p w14:paraId="5780F344">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0AE43BAF">
            <w:pPr>
              <w:pStyle w:val="6"/>
              <w:spacing w:before="69" w:line="198" w:lineRule="auto"/>
              <w:ind w:left="199"/>
            </w:pPr>
            <w:r>
              <w:rPr>
                <w:spacing w:val="-1"/>
              </w:rPr>
              <w:t>2019/5/10</w:t>
            </w:r>
          </w:p>
        </w:tc>
        <w:tc>
          <w:tcPr>
            <w:tcW w:w="880" w:type="dxa"/>
            <w:vAlign w:val="top"/>
          </w:tcPr>
          <w:p w14:paraId="063B2D75">
            <w:pPr>
              <w:pStyle w:val="6"/>
              <w:spacing w:before="69" w:line="198" w:lineRule="auto"/>
              <w:ind w:left="267"/>
            </w:pPr>
            <w:r>
              <w:rPr>
                <w:spacing w:val="-6"/>
              </w:rPr>
              <w:t>16.1</w:t>
            </w:r>
          </w:p>
        </w:tc>
        <w:tc>
          <w:tcPr>
            <w:tcW w:w="880" w:type="dxa"/>
            <w:vAlign w:val="top"/>
          </w:tcPr>
          <w:p w14:paraId="19DE7235">
            <w:pPr>
              <w:pStyle w:val="6"/>
              <w:spacing w:before="69" w:line="198" w:lineRule="auto"/>
              <w:ind w:left="254"/>
            </w:pPr>
            <w:r>
              <w:rPr>
                <w:spacing w:val="-3"/>
              </w:rPr>
              <w:t>6.29</w:t>
            </w:r>
          </w:p>
        </w:tc>
        <w:tc>
          <w:tcPr>
            <w:tcW w:w="880" w:type="dxa"/>
            <w:vAlign w:val="top"/>
          </w:tcPr>
          <w:p w14:paraId="7EA63E16">
            <w:pPr>
              <w:pStyle w:val="6"/>
              <w:spacing w:before="69" w:line="198" w:lineRule="auto"/>
              <w:ind w:left="390"/>
            </w:pPr>
            <w:r>
              <w:t>8</w:t>
            </w:r>
          </w:p>
        </w:tc>
        <w:tc>
          <w:tcPr>
            <w:tcW w:w="880" w:type="dxa"/>
            <w:vAlign w:val="top"/>
          </w:tcPr>
          <w:p w14:paraId="49A1C84A">
            <w:pPr>
              <w:pStyle w:val="6"/>
              <w:spacing w:before="69" w:line="198" w:lineRule="auto"/>
              <w:ind w:left="310"/>
            </w:pPr>
            <w:r>
              <w:rPr>
                <w:spacing w:val="-4"/>
              </w:rPr>
              <w:t>5.1</w:t>
            </w:r>
          </w:p>
        </w:tc>
        <w:tc>
          <w:tcPr>
            <w:tcW w:w="880" w:type="dxa"/>
            <w:vAlign w:val="top"/>
          </w:tcPr>
          <w:p w14:paraId="10F4095C">
            <w:pPr>
              <w:pStyle w:val="6"/>
              <w:spacing w:before="69" w:line="198" w:lineRule="auto"/>
              <w:ind w:left="311"/>
            </w:pPr>
            <w:r>
              <w:rPr>
                <w:spacing w:val="-3"/>
              </w:rPr>
              <w:t>3.2</w:t>
            </w:r>
          </w:p>
        </w:tc>
        <w:tc>
          <w:tcPr>
            <w:tcW w:w="880" w:type="dxa"/>
            <w:vAlign w:val="top"/>
          </w:tcPr>
          <w:p w14:paraId="069CED3A">
            <w:pPr>
              <w:pStyle w:val="6"/>
              <w:spacing w:before="69" w:line="198" w:lineRule="auto"/>
              <w:ind w:left="355"/>
            </w:pPr>
            <w:r>
              <w:rPr>
                <w:spacing w:val="-12"/>
              </w:rPr>
              <w:t>10</w:t>
            </w:r>
          </w:p>
        </w:tc>
        <w:tc>
          <w:tcPr>
            <w:tcW w:w="880" w:type="dxa"/>
            <w:vAlign w:val="top"/>
          </w:tcPr>
          <w:p w14:paraId="25BC6A0F">
            <w:pPr>
              <w:pStyle w:val="6"/>
              <w:spacing w:before="69" w:line="198" w:lineRule="auto"/>
              <w:ind w:left="331"/>
            </w:pPr>
            <w:r>
              <w:rPr>
                <w:spacing w:val="-8"/>
              </w:rPr>
              <w:t>1.8</w:t>
            </w:r>
          </w:p>
        </w:tc>
        <w:tc>
          <w:tcPr>
            <w:tcW w:w="880" w:type="dxa"/>
            <w:vAlign w:val="top"/>
          </w:tcPr>
          <w:p w14:paraId="29D155FB">
            <w:pPr>
              <w:pStyle w:val="6"/>
              <w:spacing w:before="69" w:line="198" w:lineRule="auto"/>
              <w:ind w:left="212"/>
            </w:pPr>
            <w:r>
              <w:rPr>
                <w:spacing w:val="-2"/>
              </w:rPr>
              <w:t>0.088</w:t>
            </w:r>
          </w:p>
        </w:tc>
        <w:tc>
          <w:tcPr>
            <w:tcW w:w="880" w:type="dxa"/>
            <w:vAlign w:val="top"/>
          </w:tcPr>
          <w:p w14:paraId="1F601429">
            <w:pPr>
              <w:pStyle w:val="6"/>
              <w:spacing w:before="69" w:line="198" w:lineRule="auto"/>
              <w:ind w:left="266"/>
            </w:pPr>
            <w:r>
              <w:rPr>
                <w:spacing w:val="-2"/>
              </w:rPr>
              <w:t>0.03</w:t>
            </w:r>
          </w:p>
        </w:tc>
        <w:tc>
          <w:tcPr>
            <w:tcW w:w="880" w:type="dxa"/>
            <w:vAlign w:val="top"/>
          </w:tcPr>
          <w:p w14:paraId="6EA84506">
            <w:pPr>
              <w:pStyle w:val="6"/>
              <w:spacing w:before="69" w:line="198" w:lineRule="auto"/>
              <w:ind w:left="268"/>
            </w:pPr>
            <w:r>
              <w:rPr>
                <w:spacing w:val="-2"/>
              </w:rPr>
              <w:t>0.03</w:t>
            </w:r>
          </w:p>
        </w:tc>
        <w:tc>
          <w:tcPr>
            <w:tcW w:w="881" w:type="dxa"/>
            <w:vAlign w:val="top"/>
          </w:tcPr>
          <w:p w14:paraId="093F85DC">
            <w:pPr>
              <w:pStyle w:val="6"/>
              <w:spacing w:before="69" w:line="198" w:lineRule="auto"/>
              <w:ind w:left="270"/>
            </w:pPr>
            <w:r>
              <w:rPr>
                <w:spacing w:val="-2"/>
              </w:rPr>
              <w:t>0.08</w:t>
            </w:r>
          </w:p>
        </w:tc>
        <w:tc>
          <w:tcPr>
            <w:tcW w:w="894" w:type="dxa"/>
            <w:tcBorders>
              <w:right w:val="single" w:color="000000" w:sz="12" w:space="0"/>
            </w:tcBorders>
            <w:vAlign w:val="top"/>
          </w:tcPr>
          <w:p w14:paraId="6621DD87">
            <w:pPr>
              <w:pStyle w:val="6"/>
              <w:spacing w:before="69" w:line="198" w:lineRule="auto"/>
              <w:ind w:left="347"/>
            </w:pPr>
            <w:r>
              <w:rPr>
                <w:spacing w:val="-2"/>
              </w:rPr>
              <w:t>20</w:t>
            </w:r>
          </w:p>
        </w:tc>
      </w:tr>
      <w:tr w14:paraId="7092C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B8288DD">
            <w:pPr>
              <w:rPr>
                <w:rFonts w:ascii="Arial"/>
                <w:sz w:val="21"/>
              </w:rPr>
            </w:pPr>
          </w:p>
        </w:tc>
        <w:tc>
          <w:tcPr>
            <w:tcW w:w="285" w:type="dxa"/>
            <w:vMerge w:val="continue"/>
            <w:tcBorders>
              <w:top w:val="nil"/>
              <w:bottom w:val="nil"/>
            </w:tcBorders>
            <w:vAlign w:val="top"/>
          </w:tcPr>
          <w:p w14:paraId="6E244915">
            <w:pPr>
              <w:rPr>
                <w:rFonts w:ascii="Arial"/>
                <w:sz w:val="21"/>
              </w:rPr>
            </w:pPr>
          </w:p>
        </w:tc>
        <w:tc>
          <w:tcPr>
            <w:tcW w:w="1273" w:type="dxa"/>
            <w:vAlign w:val="top"/>
          </w:tcPr>
          <w:p w14:paraId="0AF7500A">
            <w:pPr>
              <w:pStyle w:val="6"/>
              <w:spacing w:before="71" w:line="196" w:lineRule="auto"/>
              <w:ind w:left="199"/>
            </w:pPr>
            <w:r>
              <w:rPr>
                <w:spacing w:val="-1"/>
              </w:rPr>
              <w:t>2019/5/11</w:t>
            </w:r>
          </w:p>
        </w:tc>
        <w:tc>
          <w:tcPr>
            <w:tcW w:w="880" w:type="dxa"/>
            <w:vAlign w:val="top"/>
          </w:tcPr>
          <w:p w14:paraId="6E4916ED">
            <w:pPr>
              <w:pStyle w:val="6"/>
              <w:spacing w:before="71" w:line="196" w:lineRule="auto"/>
              <w:ind w:left="267"/>
            </w:pPr>
            <w:r>
              <w:rPr>
                <w:spacing w:val="-6"/>
              </w:rPr>
              <w:t>16.3</w:t>
            </w:r>
          </w:p>
        </w:tc>
        <w:tc>
          <w:tcPr>
            <w:tcW w:w="880" w:type="dxa"/>
            <w:vAlign w:val="top"/>
          </w:tcPr>
          <w:p w14:paraId="0E7031E0">
            <w:pPr>
              <w:pStyle w:val="6"/>
              <w:spacing w:before="71" w:line="196" w:lineRule="auto"/>
              <w:ind w:left="254"/>
            </w:pPr>
            <w:r>
              <w:rPr>
                <w:spacing w:val="-3"/>
              </w:rPr>
              <w:t>6.32</w:t>
            </w:r>
          </w:p>
        </w:tc>
        <w:tc>
          <w:tcPr>
            <w:tcW w:w="880" w:type="dxa"/>
            <w:vAlign w:val="top"/>
          </w:tcPr>
          <w:p w14:paraId="1349B49B">
            <w:pPr>
              <w:pStyle w:val="6"/>
              <w:spacing w:before="71" w:line="196" w:lineRule="auto"/>
              <w:ind w:left="386"/>
            </w:pPr>
            <w:r>
              <w:t>9</w:t>
            </w:r>
          </w:p>
        </w:tc>
        <w:tc>
          <w:tcPr>
            <w:tcW w:w="880" w:type="dxa"/>
            <w:vAlign w:val="top"/>
          </w:tcPr>
          <w:p w14:paraId="2189596E">
            <w:pPr>
              <w:pStyle w:val="6"/>
              <w:spacing w:before="71" w:line="196" w:lineRule="auto"/>
              <w:ind w:left="310"/>
            </w:pPr>
            <w:r>
              <w:rPr>
                <w:spacing w:val="-4"/>
              </w:rPr>
              <w:t>5.3</w:t>
            </w:r>
          </w:p>
        </w:tc>
        <w:tc>
          <w:tcPr>
            <w:tcW w:w="880" w:type="dxa"/>
            <w:vAlign w:val="top"/>
          </w:tcPr>
          <w:p w14:paraId="5EE6047F">
            <w:pPr>
              <w:pStyle w:val="6"/>
              <w:spacing w:before="71" w:line="196" w:lineRule="auto"/>
              <w:ind w:left="311"/>
            </w:pPr>
            <w:r>
              <w:rPr>
                <w:spacing w:val="-3"/>
              </w:rPr>
              <w:t>3.4</w:t>
            </w:r>
          </w:p>
        </w:tc>
        <w:tc>
          <w:tcPr>
            <w:tcW w:w="880" w:type="dxa"/>
            <w:vAlign w:val="top"/>
          </w:tcPr>
          <w:p w14:paraId="0B470352">
            <w:pPr>
              <w:pStyle w:val="6"/>
              <w:spacing w:before="71" w:line="196" w:lineRule="auto"/>
              <w:ind w:left="392"/>
            </w:pPr>
            <w:r>
              <w:t>9</w:t>
            </w:r>
          </w:p>
        </w:tc>
        <w:tc>
          <w:tcPr>
            <w:tcW w:w="880" w:type="dxa"/>
            <w:vAlign w:val="top"/>
          </w:tcPr>
          <w:p w14:paraId="677C15AF">
            <w:pPr>
              <w:pStyle w:val="6"/>
              <w:spacing w:before="71" w:line="196" w:lineRule="auto"/>
              <w:ind w:left="331"/>
            </w:pPr>
            <w:r>
              <w:rPr>
                <w:spacing w:val="-8"/>
              </w:rPr>
              <w:t>1.7</w:t>
            </w:r>
          </w:p>
        </w:tc>
        <w:tc>
          <w:tcPr>
            <w:tcW w:w="880" w:type="dxa"/>
            <w:vAlign w:val="top"/>
          </w:tcPr>
          <w:p w14:paraId="35EDB415">
            <w:pPr>
              <w:pStyle w:val="6"/>
              <w:spacing w:before="71" w:line="196" w:lineRule="auto"/>
              <w:ind w:left="212"/>
            </w:pPr>
            <w:r>
              <w:rPr>
                <w:spacing w:val="-2"/>
              </w:rPr>
              <w:t>0.084</w:t>
            </w:r>
          </w:p>
        </w:tc>
        <w:tc>
          <w:tcPr>
            <w:tcW w:w="880" w:type="dxa"/>
            <w:vAlign w:val="top"/>
          </w:tcPr>
          <w:p w14:paraId="25A093E8">
            <w:pPr>
              <w:pStyle w:val="6"/>
              <w:spacing w:before="71" w:line="196" w:lineRule="auto"/>
              <w:ind w:left="266"/>
            </w:pPr>
            <w:r>
              <w:rPr>
                <w:spacing w:val="-2"/>
              </w:rPr>
              <w:t>0.02</w:t>
            </w:r>
          </w:p>
        </w:tc>
        <w:tc>
          <w:tcPr>
            <w:tcW w:w="880" w:type="dxa"/>
            <w:vAlign w:val="top"/>
          </w:tcPr>
          <w:p w14:paraId="7BDEC46D">
            <w:pPr>
              <w:pStyle w:val="6"/>
              <w:spacing w:before="71" w:line="196" w:lineRule="auto"/>
              <w:ind w:left="268"/>
            </w:pPr>
            <w:r>
              <w:rPr>
                <w:spacing w:val="-2"/>
              </w:rPr>
              <w:t>0.02</w:t>
            </w:r>
          </w:p>
        </w:tc>
        <w:tc>
          <w:tcPr>
            <w:tcW w:w="881" w:type="dxa"/>
            <w:vAlign w:val="top"/>
          </w:tcPr>
          <w:p w14:paraId="12CD997C">
            <w:pPr>
              <w:pStyle w:val="6"/>
              <w:spacing w:before="71" w:line="196" w:lineRule="auto"/>
              <w:ind w:left="270"/>
            </w:pPr>
            <w:r>
              <w:rPr>
                <w:spacing w:val="-2"/>
              </w:rPr>
              <w:t>0.09</w:t>
            </w:r>
          </w:p>
        </w:tc>
        <w:tc>
          <w:tcPr>
            <w:tcW w:w="894" w:type="dxa"/>
            <w:tcBorders>
              <w:right w:val="single" w:color="000000" w:sz="12" w:space="0"/>
            </w:tcBorders>
            <w:vAlign w:val="top"/>
          </w:tcPr>
          <w:p w14:paraId="7B5A32FD">
            <w:pPr>
              <w:pStyle w:val="6"/>
              <w:spacing w:before="71" w:line="196" w:lineRule="auto"/>
              <w:ind w:left="346"/>
            </w:pPr>
            <w:r>
              <w:rPr>
                <w:spacing w:val="-2"/>
              </w:rPr>
              <w:t>40</w:t>
            </w:r>
          </w:p>
        </w:tc>
      </w:tr>
      <w:tr w14:paraId="15193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799244F4">
            <w:pPr>
              <w:rPr>
                <w:rFonts w:ascii="Arial"/>
                <w:sz w:val="21"/>
              </w:rPr>
            </w:pPr>
          </w:p>
        </w:tc>
        <w:tc>
          <w:tcPr>
            <w:tcW w:w="285" w:type="dxa"/>
            <w:vMerge w:val="continue"/>
            <w:tcBorders>
              <w:top w:val="nil"/>
            </w:tcBorders>
            <w:vAlign w:val="top"/>
          </w:tcPr>
          <w:p w14:paraId="1A2ABCEB">
            <w:pPr>
              <w:rPr>
                <w:rFonts w:ascii="Arial"/>
                <w:sz w:val="21"/>
              </w:rPr>
            </w:pPr>
          </w:p>
        </w:tc>
        <w:tc>
          <w:tcPr>
            <w:tcW w:w="1273" w:type="dxa"/>
            <w:vAlign w:val="top"/>
          </w:tcPr>
          <w:p w14:paraId="3538F3DB">
            <w:pPr>
              <w:pStyle w:val="6"/>
              <w:spacing w:before="73" w:line="195" w:lineRule="auto"/>
              <w:ind w:left="199"/>
            </w:pPr>
            <w:r>
              <w:rPr>
                <w:spacing w:val="-1"/>
              </w:rPr>
              <w:t>2019/5/12</w:t>
            </w:r>
          </w:p>
        </w:tc>
        <w:tc>
          <w:tcPr>
            <w:tcW w:w="880" w:type="dxa"/>
            <w:vAlign w:val="top"/>
          </w:tcPr>
          <w:p w14:paraId="1ED1FF36">
            <w:pPr>
              <w:pStyle w:val="6"/>
              <w:spacing w:before="73" w:line="195" w:lineRule="auto"/>
              <w:ind w:left="267"/>
            </w:pPr>
            <w:r>
              <w:rPr>
                <w:spacing w:val="-6"/>
              </w:rPr>
              <w:t>15.9</w:t>
            </w:r>
          </w:p>
        </w:tc>
        <w:tc>
          <w:tcPr>
            <w:tcW w:w="880" w:type="dxa"/>
            <w:vAlign w:val="top"/>
          </w:tcPr>
          <w:p w14:paraId="6BF5B3B7">
            <w:pPr>
              <w:pStyle w:val="6"/>
              <w:spacing w:before="73" w:line="195" w:lineRule="auto"/>
              <w:ind w:left="254"/>
            </w:pPr>
            <w:r>
              <w:rPr>
                <w:spacing w:val="-3"/>
              </w:rPr>
              <w:t>6.31</w:t>
            </w:r>
          </w:p>
        </w:tc>
        <w:tc>
          <w:tcPr>
            <w:tcW w:w="880" w:type="dxa"/>
            <w:vAlign w:val="top"/>
          </w:tcPr>
          <w:p w14:paraId="70977E8C">
            <w:pPr>
              <w:pStyle w:val="6"/>
              <w:spacing w:before="73" w:line="195" w:lineRule="auto"/>
              <w:ind w:left="385"/>
            </w:pPr>
            <w:r>
              <w:t>7</w:t>
            </w:r>
          </w:p>
        </w:tc>
        <w:tc>
          <w:tcPr>
            <w:tcW w:w="880" w:type="dxa"/>
            <w:vAlign w:val="top"/>
          </w:tcPr>
          <w:p w14:paraId="6F32AAB3">
            <w:pPr>
              <w:pStyle w:val="6"/>
              <w:spacing w:before="73" w:line="195" w:lineRule="auto"/>
              <w:ind w:left="310"/>
            </w:pPr>
            <w:r>
              <w:rPr>
                <w:spacing w:val="-4"/>
              </w:rPr>
              <w:t>5.8</w:t>
            </w:r>
          </w:p>
        </w:tc>
        <w:tc>
          <w:tcPr>
            <w:tcW w:w="880" w:type="dxa"/>
            <w:vAlign w:val="top"/>
          </w:tcPr>
          <w:p w14:paraId="76EF7DA9">
            <w:pPr>
              <w:pStyle w:val="6"/>
              <w:spacing w:before="73" w:line="195" w:lineRule="auto"/>
              <w:ind w:left="311"/>
            </w:pPr>
            <w:r>
              <w:rPr>
                <w:spacing w:val="-3"/>
              </w:rPr>
              <w:t>3.0</w:t>
            </w:r>
          </w:p>
        </w:tc>
        <w:tc>
          <w:tcPr>
            <w:tcW w:w="880" w:type="dxa"/>
            <w:vAlign w:val="top"/>
          </w:tcPr>
          <w:p w14:paraId="430782EA">
            <w:pPr>
              <w:pStyle w:val="6"/>
              <w:spacing w:before="73" w:line="195" w:lineRule="auto"/>
              <w:ind w:left="355"/>
            </w:pPr>
            <w:r>
              <w:rPr>
                <w:spacing w:val="-12"/>
              </w:rPr>
              <w:t>11</w:t>
            </w:r>
          </w:p>
        </w:tc>
        <w:tc>
          <w:tcPr>
            <w:tcW w:w="880" w:type="dxa"/>
            <w:vAlign w:val="top"/>
          </w:tcPr>
          <w:p w14:paraId="3AEAAA23">
            <w:pPr>
              <w:pStyle w:val="6"/>
              <w:spacing w:before="73" w:line="195" w:lineRule="auto"/>
              <w:ind w:left="311"/>
            </w:pPr>
            <w:r>
              <w:rPr>
                <w:spacing w:val="-2"/>
              </w:rPr>
              <w:t>2.0</w:t>
            </w:r>
          </w:p>
        </w:tc>
        <w:tc>
          <w:tcPr>
            <w:tcW w:w="880" w:type="dxa"/>
            <w:vAlign w:val="top"/>
          </w:tcPr>
          <w:p w14:paraId="07126CDC">
            <w:pPr>
              <w:pStyle w:val="6"/>
              <w:spacing w:before="73" w:line="195" w:lineRule="auto"/>
              <w:ind w:left="212"/>
            </w:pPr>
            <w:r>
              <w:rPr>
                <w:spacing w:val="-2"/>
              </w:rPr>
              <w:t>0.080</w:t>
            </w:r>
          </w:p>
        </w:tc>
        <w:tc>
          <w:tcPr>
            <w:tcW w:w="880" w:type="dxa"/>
            <w:vAlign w:val="top"/>
          </w:tcPr>
          <w:p w14:paraId="15AA683E">
            <w:pPr>
              <w:pStyle w:val="6"/>
              <w:spacing w:before="73" w:line="195" w:lineRule="auto"/>
              <w:ind w:left="266"/>
            </w:pPr>
            <w:r>
              <w:rPr>
                <w:spacing w:val="-2"/>
              </w:rPr>
              <w:t>0.03</w:t>
            </w:r>
          </w:p>
        </w:tc>
        <w:tc>
          <w:tcPr>
            <w:tcW w:w="880" w:type="dxa"/>
            <w:vAlign w:val="top"/>
          </w:tcPr>
          <w:p w14:paraId="2C31173D">
            <w:pPr>
              <w:pStyle w:val="6"/>
              <w:spacing w:before="73" w:line="195" w:lineRule="auto"/>
              <w:ind w:left="268"/>
            </w:pPr>
            <w:r>
              <w:rPr>
                <w:spacing w:val="-2"/>
              </w:rPr>
              <w:t>0.02</w:t>
            </w:r>
          </w:p>
        </w:tc>
        <w:tc>
          <w:tcPr>
            <w:tcW w:w="881" w:type="dxa"/>
            <w:vAlign w:val="top"/>
          </w:tcPr>
          <w:p w14:paraId="27406379">
            <w:pPr>
              <w:pStyle w:val="6"/>
              <w:spacing w:before="73" w:line="195" w:lineRule="auto"/>
              <w:ind w:left="270"/>
            </w:pPr>
            <w:r>
              <w:rPr>
                <w:spacing w:val="-2"/>
              </w:rPr>
              <w:t>0.07</w:t>
            </w:r>
          </w:p>
        </w:tc>
        <w:tc>
          <w:tcPr>
            <w:tcW w:w="894" w:type="dxa"/>
            <w:tcBorders>
              <w:right w:val="single" w:color="000000" w:sz="12" w:space="0"/>
            </w:tcBorders>
            <w:vAlign w:val="top"/>
          </w:tcPr>
          <w:p w14:paraId="1C504916">
            <w:pPr>
              <w:pStyle w:val="6"/>
              <w:spacing w:before="73" w:line="195" w:lineRule="auto"/>
              <w:ind w:left="347"/>
            </w:pPr>
            <w:r>
              <w:rPr>
                <w:spacing w:val="-2"/>
              </w:rPr>
              <w:t>20</w:t>
            </w:r>
          </w:p>
        </w:tc>
      </w:tr>
      <w:tr w14:paraId="27304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80878FD">
            <w:pPr>
              <w:rPr>
                <w:rFonts w:ascii="Arial"/>
                <w:sz w:val="21"/>
              </w:rPr>
            </w:pPr>
          </w:p>
        </w:tc>
        <w:tc>
          <w:tcPr>
            <w:tcW w:w="285" w:type="dxa"/>
            <w:vMerge w:val="restart"/>
            <w:tcBorders>
              <w:bottom w:val="nil"/>
            </w:tcBorders>
            <w:vAlign w:val="top"/>
          </w:tcPr>
          <w:p w14:paraId="56469138">
            <w:pPr>
              <w:pStyle w:val="6"/>
              <w:spacing w:before="92" w:line="222" w:lineRule="auto"/>
              <w:ind w:left="81"/>
            </w:pPr>
            <w:r>
              <w:t>3</w:t>
            </w:r>
          </w:p>
          <w:p w14:paraId="5542A7E3">
            <w:pPr>
              <w:spacing w:line="219" w:lineRule="auto"/>
              <w:ind w:left="29"/>
              <w:rPr>
                <w:rFonts w:ascii="宋体" w:hAnsi="宋体" w:eastAsia="宋体" w:cs="宋体"/>
                <w:sz w:val="21"/>
                <w:szCs w:val="21"/>
              </w:rPr>
            </w:pPr>
            <w:r>
              <w:rPr>
                <w:rFonts w:ascii="宋体" w:hAnsi="宋体" w:eastAsia="宋体" w:cs="宋体"/>
                <w:sz w:val="21"/>
                <w:szCs w:val="21"/>
              </w:rPr>
              <w:t>季</w:t>
            </w:r>
          </w:p>
          <w:p w14:paraId="44AC819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395DFEDB">
            <w:pPr>
              <w:pStyle w:val="6"/>
              <w:spacing w:before="74" w:line="193" w:lineRule="auto"/>
              <w:ind w:left="199"/>
            </w:pPr>
            <w:r>
              <w:rPr>
                <w:spacing w:val="-1"/>
              </w:rPr>
              <w:t>2019/8/06</w:t>
            </w:r>
          </w:p>
        </w:tc>
        <w:tc>
          <w:tcPr>
            <w:tcW w:w="880" w:type="dxa"/>
            <w:vAlign w:val="top"/>
          </w:tcPr>
          <w:p w14:paraId="5EA1B00D">
            <w:pPr>
              <w:pStyle w:val="6"/>
              <w:spacing w:before="74" w:line="193" w:lineRule="auto"/>
              <w:ind w:left="267"/>
            </w:pPr>
            <w:r>
              <w:rPr>
                <w:spacing w:val="-6"/>
              </w:rPr>
              <w:t>17.1</w:t>
            </w:r>
          </w:p>
        </w:tc>
        <w:tc>
          <w:tcPr>
            <w:tcW w:w="880" w:type="dxa"/>
            <w:vAlign w:val="top"/>
          </w:tcPr>
          <w:p w14:paraId="0DB0733C">
            <w:pPr>
              <w:pStyle w:val="6"/>
              <w:spacing w:before="74" w:line="193" w:lineRule="auto"/>
              <w:ind w:left="254"/>
            </w:pPr>
            <w:r>
              <w:rPr>
                <w:spacing w:val="-3"/>
              </w:rPr>
              <w:t>6.43</w:t>
            </w:r>
          </w:p>
        </w:tc>
        <w:tc>
          <w:tcPr>
            <w:tcW w:w="880" w:type="dxa"/>
            <w:vAlign w:val="top"/>
          </w:tcPr>
          <w:p w14:paraId="6F52DBC2">
            <w:pPr>
              <w:pStyle w:val="6"/>
              <w:spacing w:before="74" w:line="193" w:lineRule="auto"/>
              <w:ind w:left="349"/>
            </w:pPr>
            <w:r>
              <w:rPr>
                <w:spacing w:val="-6"/>
              </w:rPr>
              <w:t>14</w:t>
            </w:r>
          </w:p>
        </w:tc>
        <w:tc>
          <w:tcPr>
            <w:tcW w:w="880" w:type="dxa"/>
            <w:vAlign w:val="top"/>
          </w:tcPr>
          <w:p w14:paraId="0FDB5E2E">
            <w:pPr>
              <w:pStyle w:val="6"/>
              <w:spacing w:before="74" w:line="193" w:lineRule="auto"/>
              <w:ind w:left="310"/>
            </w:pPr>
            <w:r>
              <w:rPr>
                <w:spacing w:val="-4"/>
              </w:rPr>
              <w:t>5.2</w:t>
            </w:r>
          </w:p>
        </w:tc>
        <w:tc>
          <w:tcPr>
            <w:tcW w:w="880" w:type="dxa"/>
            <w:vAlign w:val="top"/>
          </w:tcPr>
          <w:p w14:paraId="0AF1382C">
            <w:pPr>
              <w:pStyle w:val="6"/>
              <w:spacing w:before="74" w:line="193" w:lineRule="auto"/>
              <w:ind w:left="311"/>
            </w:pPr>
            <w:r>
              <w:rPr>
                <w:spacing w:val="-3"/>
              </w:rPr>
              <w:t>3.0</w:t>
            </w:r>
          </w:p>
        </w:tc>
        <w:tc>
          <w:tcPr>
            <w:tcW w:w="880" w:type="dxa"/>
            <w:vAlign w:val="top"/>
          </w:tcPr>
          <w:p w14:paraId="3B486929">
            <w:pPr>
              <w:pStyle w:val="6"/>
              <w:spacing w:before="74" w:line="193" w:lineRule="auto"/>
              <w:ind w:left="393"/>
            </w:pPr>
            <w:r>
              <w:t>6</w:t>
            </w:r>
          </w:p>
        </w:tc>
        <w:tc>
          <w:tcPr>
            <w:tcW w:w="880" w:type="dxa"/>
            <w:vAlign w:val="top"/>
          </w:tcPr>
          <w:p w14:paraId="5242948A">
            <w:pPr>
              <w:pStyle w:val="6"/>
              <w:spacing w:before="74" w:line="193" w:lineRule="auto"/>
              <w:ind w:left="331"/>
            </w:pPr>
            <w:r>
              <w:rPr>
                <w:spacing w:val="-8"/>
              </w:rPr>
              <w:t>1.2</w:t>
            </w:r>
          </w:p>
        </w:tc>
        <w:tc>
          <w:tcPr>
            <w:tcW w:w="880" w:type="dxa"/>
            <w:vAlign w:val="top"/>
          </w:tcPr>
          <w:p w14:paraId="40888F64">
            <w:pPr>
              <w:pStyle w:val="6"/>
              <w:spacing w:before="74" w:line="193" w:lineRule="auto"/>
              <w:ind w:left="212"/>
            </w:pPr>
            <w:r>
              <w:rPr>
                <w:spacing w:val="-2"/>
              </w:rPr>
              <w:t>0.116</w:t>
            </w:r>
          </w:p>
        </w:tc>
        <w:tc>
          <w:tcPr>
            <w:tcW w:w="880" w:type="dxa"/>
            <w:vAlign w:val="top"/>
          </w:tcPr>
          <w:p w14:paraId="7B41F3E6">
            <w:pPr>
              <w:pStyle w:val="6"/>
              <w:spacing w:before="74" w:line="193" w:lineRule="auto"/>
              <w:ind w:left="266"/>
            </w:pPr>
            <w:r>
              <w:rPr>
                <w:spacing w:val="-2"/>
              </w:rPr>
              <w:t>0.06</w:t>
            </w:r>
          </w:p>
        </w:tc>
        <w:tc>
          <w:tcPr>
            <w:tcW w:w="880" w:type="dxa"/>
            <w:vAlign w:val="top"/>
          </w:tcPr>
          <w:p w14:paraId="19914A31">
            <w:pPr>
              <w:pStyle w:val="6"/>
              <w:spacing w:before="74" w:line="193" w:lineRule="auto"/>
              <w:ind w:left="268"/>
            </w:pPr>
            <w:r>
              <w:rPr>
                <w:spacing w:val="-2"/>
              </w:rPr>
              <w:t>0.02</w:t>
            </w:r>
          </w:p>
        </w:tc>
        <w:tc>
          <w:tcPr>
            <w:tcW w:w="881" w:type="dxa"/>
            <w:vAlign w:val="top"/>
          </w:tcPr>
          <w:p w14:paraId="5866B75F">
            <w:pPr>
              <w:pStyle w:val="6"/>
              <w:spacing w:before="74" w:line="193" w:lineRule="auto"/>
              <w:ind w:left="206"/>
            </w:pPr>
            <w:r>
              <w:rPr>
                <w:spacing w:val="-2"/>
              </w:rPr>
              <w:t>0.05L</w:t>
            </w:r>
          </w:p>
        </w:tc>
        <w:tc>
          <w:tcPr>
            <w:tcW w:w="894" w:type="dxa"/>
            <w:tcBorders>
              <w:right w:val="single" w:color="000000" w:sz="12" w:space="0"/>
            </w:tcBorders>
            <w:vAlign w:val="top"/>
          </w:tcPr>
          <w:p w14:paraId="05719406">
            <w:pPr>
              <w:pStyle w:val="6"/>
              <w:spacing w:before="74" w:line="193" w:lineRule="auto"/>
              <w:ind w:left="300"/>
            </w:pPr>
            <w:r>
              <w:rPr>
                <w:spacing w:val="-3"/>
              </w:rPr>
              <w:t>640</w:t>
            </w:r>
          </w:p>
        </w:tc>
      </w:tr>
      <w:tr w14:paraId="6FD75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09513F48">
            <w:pPr>
              <w:rPr>
                <w:rFonts w:ascii="Arial"/>
                <w:sz w:val="21"/>
              </w:rPr>
            </w:pPr>
          </w:p>
        </w:tc>
        <w:tc>
          <w:tcPr>
            <w:tcW w:w="285" w:type="dxa"/>
            <w:vMerge w:val="continue"/>
            <w:tcBorders>
              <w:top w:val="nil"/>
              <w:bottom w:val="nil"/>
            </w:tcBorders>
            <w:vAlign w:val="top"/>
          </w:tcPr>
          <w:p w14:paraId="7B2AD7EB">
            <w:pPr>
              <w:rPr>
                <w:rFonts w:ascii="Arial"/>
                <w:sz w:val="21"/>
              </w:rPr>
            </w:pPr>
          </w:p>
        </w:tc>
        <w:tc>
          <w:tcPr>
            <w:tcW w:w="1273" w:type="dxa"/>
            <w:vAlign w:val="top"/>
          </w:tcPr>
          <w:p w14:paraId="5E6B91D7">
            <w:pPr>
              <w:pStyle w:val="6"/>
              <w:spacing w:before="76" w:line="192" w:lineRule="auto"/>
              <w:ind w:left="199"/>
            </w:pPr>
            <w:r>
              <w:rPr>
                <w:spacing w:val="-1"/>
              </w:rPr>
              <w:t>2019/8/07</w:t>
            </w:r>
          </w:p>
        </w:tc>
        <w:tc>
          <w:tcPr>
            <w:tcW w:w="880" w:type="dxa"/>
            <w:vAlign w:val="top"/>
          </w:tcPr>
          <w:p w14:paraId="4EAFD805">
            <w:pPr>
              <w:pStyle w:val="6"/>
              <w:spacing w:before="76" w:line="192" w:lineRule="auto"/>
              <w:ind w:left="267"/>
            </w:pPr>
            <w:r>
              <w:rPr>
                <w:spacing w:val="-6"/>
              </w:rPr>
              <w:t>16.8</w:t>
            </w:r>
          </w:p>
        </w:tc>
        <w:tc>
          <w:tcPr>
            <w:tcW w:w="880" w:type="dxa"/>
            <w:vAlign w:val="top"/>
          </w:tcPr>
          <w:p w14:paraId="30A2B935">
            <w:pPr>
              <w:pStyle w:val="6"/>
              <w:spacing w:before="76" w:line="192" w:lineRule="auto"/>
              <w:ind w:left="254"/>
            </w:pPr>
            <w:r>
              <w:rPr>
                <w:spacing w:val="-3"/>
              </w:rPr>
              <w:t>6.39</w:t>
            </w:r>
          </w:p>
        </w:tc>
        <w:tc>
          <w:tcPr>
            <w:tcW w:w="880" w:type="dxa"/>
            <w:vAlign w:val="top"/>
          </w:tcPr>
          <w:p w14:paraId="1A854C7C">
            <w:pPr>
              <w:pStyle w:val="6"/>
              <w:spacing w:before="76" w:line="192" w:lineRule="auto"/>
              <w:ind w:left="349"/>
            </w:pPr>
            <w:r>
              <w:rPr>
                <w:spacing w:val="-6"/>
              </w:rPr>
              <w:t>16</w:t>
            </w:r>
          </w:p>
        </w:tc>
        <w:tc>
          <w:tcPr>
            <w:tcW w:w="880" w:type="dxa"/>
            <w:vAlign w:val="top"/>
          </w:tcPr>
          <w:p w14:paraId="7646E558">
            <w:pPr>
              <w:pStyle w:val="6"/>
              <w:spacing w:before="76" w:line="192" w:lineRule="auto"/>
              <w:ind w:left="310"/>
            </w:pPr>
            <w:r>
              <w:rPr>
                <w:spacing w:val="-4"/>
              </w:rPr>
              <w:t>5.4</w:t>
            </w:r>
          </w:p>
        </w:tc>
        <w:tc>
          <w:tcPr>
            <w:tcW w:w="880" w:type="dxa"/>
            <w:vAlign w:val="top"/>
          </w:tcPr>
          <w:p w14:paraId="287E2B9F">
            <w:pPr>
              <w:pStyle w:val="6"/>
              <w:spacing w:before="76" w:line="192" w:lineRule="auto"/>
              <w:ind w:left="311"/>
            </w:pPr>
            <w:r>
              <w:rPr>
                <w:spacing w:val="-3"/>
              </w:rPr>
              <w:t>3.4</w:t>
            </w:r>
          </w:p>
        </w:tc>
        <w:tc>
          <w:tcPr>
            <w:tcW w:w="880" w:type="dxa"/>
            <w:vAlign w:val="top"/>
          </w:tcPr>
          <w:p w14:paraId="4B8F0CE9">
            <w:pPr>
              <w:pStyle w:val="6"/>
              <w:spacing w:before="76" w:line="192" w:lineRule="auto"/>
              <w:ind w:left="392"/>
            </w:pPr>
            <w:r>
              <w:t>9</w:t>
            </w:r>
          </w:p>
        </w:tc>
        <w:tc>
          <w:tcPr>
            <w:tcW w:w="880" w:type="dxa"/>
            <w:vAlign w:val="top"/>
          </w:tcPr>
          <w:p w14:paraId="3B230895">
            <w:pPr>
              <w:pStyle w:val="6"/>
              <w:spacing w:before="76" w:line="192" w:lineRule="auto"/>
              <w:ind w:left="331"/>
            </w:pPr>
            <w:r>
              <w:rPr>
                <w:spacing w:val="-8"/>
              </w:rPr>
              <w:t>1.8</w:t>
            </w:r>
          </w:p>
        </w:tc>
        <w:tc>
          <w:tcPr>
            <w:tcW w:w="880" w:type="dxa"/>
            <w:vAlign w:val="top"/>
          </w:tcPr>
          <w:p w14:paraId="59D25635">
            <w:pPr>
              <w:pStyle w:val="6"/>
              <w:spacing w:before="76" w:line="192" w:lineRule="auto"/>
              <w:ind w:left="212"/>
            </w:pPr>
            <w:r>
              <w:rPr>
                <w:spacing w:val="-2"/>
              </w:rPr>
              <w:t>0.135</w:t>
            </w:r>
          </w:p>
        </w:tc>
        <w:tc>
          <w:tcPr>
            <w:tcW w:w="880" w:type="dxa"/>
            <w:vAlign w:val="top"/>
          </w:tcPr>
          <w:p w14:paraId="4058A80B">
            <w:pPr>
              <w:pStyle w:val="6"/>
              <w:spacing w:before="76" w:line="192" w:lineRule="auto"/>
              <w:ind w:left="266"/>
            </w:pPr>
            <w:r>
              <w:rPr>
                <w:spacing w:val="-2"/>
              </w:rPr>
              <w:t>0.06</w:t>
            </w:r>
          </w:p>
        </w:tc>
        <w:tc>
          <w:tcPr>
            <w:tcW w:w="880" w:type="dxa"/>
            <w:vAlign w:val="top"/>
          </w:tcPr>
          <w:p w14:paraId="05ED15B7">
            <w:pPr>
              <w:pStyle w:val="6"/>
              <w:spacing w:before="76" w:line="192" w:lineRule="auto"/>
              <w:ind w:left="268"/>
            </w:pPr>
            <w:r>
              <w:rPr>
                <w:spacing w:val="-2"/>
              </w:rPr>
              <w:t>0.01</w:t>
            </w:r>
          </w:p>
        </w:tc>
        <w:tc>
          <w:tcPr>
            <w:tcW w:w="881" w:type="dxa"/>
            <w:vAlign w:val="top"/>
          </w:tcPr>
          <w:p w14:paraId="6361F467">
            <w:pPr>
              <w:pStyle w:val="6"/>
              <w:spacing w:before="76" w:line="192" w:lineRule="auto"/>
              <w:ind w:left="206"/>
            </w:pPr>
            <w:r>
              <w:rPr>
                <w:spacing w:val="-2"/>
              </w:rPr>
              <w:t>0.05L</w:t>
            </w:r>
          </w:p>
        </w:tc>
        <w:tc>
          <w:tcPr>
            <w:tcW w:w="894" w:type="dxa"/>
            <w:tcBorders>
              <w:right w:val="single" w:color="000000" w:sz="12" w:space="0"/>
            </w:tcBorders>
            <w:vAlign w:val="top"/>
          </w:tcPr>
          <w:p w14:paraId="55E30E9C">
            <w:pPr>
              <w:pStyle w:val="6"/>
              <w:spacing w:before="76" w:line="192" w:lineRule="auto"/>
              <w:ind w:left="300"/>
            </w:pPr>
            <w:r>
              <w:rPr>
                <w:spacing w:val="-3"/>
              </w:rPr>
              <w:t>630</w:t>
            </w:r>
          </w:p>
        </w:tc>
      </w:tr>
      <w:tr w14:paraId="36AA2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D2C12DB">
            <w:pPr>
              <w:rPr>
                <w:rFonts w:ascii="Arial"/>
                <w:sz w:val="21"/>
              </w:rPr>
            </w:pPr>
          </w:p>
        </w:tc>
        <w:tc>
          <w:tcPr>
            <w:tcW w:w="285" w:type="dxa"/>
            <w:vMerge w:val="continue"/>
            <w:tcBorders>
              <w:top w:val="nil"/>
            </w:tcBorders>
            <w:vAlign w:val="top"/>
          </w:tcPr>
          <w:p w14:paraId="1ADF2A1D">
            <w:pPr>
              <w:rPr>
                <w:rFonts w:ascii="Arial"/>
                <w:sz w:val="21"/>
              </w:rPr>
            </w:pPr>
          </w:p>
        </w:tc>
        <w:tc>
          <w:tcPr>
            <w:tcW w:w="1273" w:type="dxa"/>
            <w:vAlign w:val="top"/>
          </w:tcPr>
          <w:p w14:paraId="3E1EC60F">
            <w:pPr>
              <w:pStyle w:val="6"/>
              <w:spacing w:before="76" w:line="192" w:lineRule="auto"/>
              <w:ind w:left="199"/>
            </w:pPr>
            <w:r>
              <w:rPr>
                <w:spacing w:val="-1"/>
              </w:rPr>
              <w:t>2019/8/08</w:t>
            </w:r>
          </w:p>
        </w:tc>
        <w:tc>
          <w:tcPr>
            <w:tcW w:w="880" w:type="dxa"/>
            <w:vAlign w:val="top"/>
          </w:tcPr>
          <w:p w14:paraId="3A476AD2">
            <w:pPr>
              <w:pStyle w:val="6"/>
              <w:spacing w:before="76" w:line="192" w:lineRule="auto"/>
              <w:ind w:left="267"/>
            </w:pPr>
            <w:r>
              <w:rPr>
                <w:spacing w:val="-6"/>
              </w:rPr>
              <w:t>17.4</w:t>
            </w:r>
          </w:p>
        </w:tc>
        <w:tc>
          <w:tcPr>
            <w:tcW w:w="880" w:type="dxa"/>
            <w:vAlign w:val="top"/>
          </w:tcPr>
          <w:p w14:paraId="2DC19B24">
            <w:pPr>
              <w:pStyle w:val="6"/>
              <w:spacing w:before="76" w:line="192" w:lineRule="auto"/>
              <w:ind w:left="254"/>
            </w:pPr>
            <w:r>
              <w:rPr>
                <w:spacing w:val="-3"/>
              </w:rPr>
              <w:t>6.48</w:t>
            </w:r>
          </w:p>
        </w:tc>
        <w:tc>
          <w:tcPr>
            <w:tcW w:w="880" w:type="dxa"/>
            <w:vAlign w:val="top"/>
          </w:tcPr>
          <w:p w14:paraId="2EEB2049">
            <w:pPr>
              <w:pStyle w:val="6"/>
              <w:spacing w:before="76" w:line="192" w:lineRule="auto"/>
              <w:ind w:left="349"/>
            </w:pPr>
            <w:r>
              <w:rPr>
                <w:spacing w:val="-6"/>
              </w:rPr>
              <w:t>13</w:t>
            </w:r>
          </w:p>
        </w:tc>
        <w:tc>
          <w:tcPr>
            <w:tcW w:w="880" w:type="dxa"/>
            <w:vAlign w:val="top"/>
          </w:tcPr>
          <w:p w14:paraId="187160B6">
            <w:pPr>
              <w:pStyle w:val="6"/>
              <w:spacing w:before="76" w:line="192" w:lineRule="auto"/>
              <w:ind w:left="310"/>
            </w:pPr>
            <w:r>
              <w:rPr>
                <w:spacing w:val="-4"/>
              </w:rPr>
              <w:t>5.6</w:t>
            </w:r>
          </w:p>
        </w:tc>
        <w:tc>
          <w:tcPr>
            <w:tcW w:w="880" w:type="dxa"/>
            <w:vAlign w:val="top"/>
          </w:tcPr>
          <w:p w14:paraId="432B813A">
            <w:pPr>
              <w:pStyle w:val="6"/>
              <w:spacing w:before="76" w:line="192" w:lineRule="auto"/>
              <w:ind w:left="311"/>
            </w:pPr>
            <w:r>
              <w:rPr>
                <w:spacing w:val="-3"/>
              </w:rPr>
              <w:t>3.2</w:t>
            </w:r>
          </w:p>
        </w:tc>
        <w:tc>
          <w:tcPr>
            <w:tcW w:w="880" w:type="dxa"/>
            <w:vAlign w:val="top"/>
          </w:tcPr>
          <w:p w14:paraId="030F5414">
            <w:pPr>
              <w:pStyle w:val="6"/>
              <w:spacing w:before="76" w:line="192" w:lineRule="auto"/>
              <w:ind w:left="391"/>
            </w:pPr>
            <w:r>
              <w:t>7</w:t>
            </w:r>
          </w:p>
        </w:tc>
        <w:tc>
          <w:tcPr>
            <w:tcW w:w="880" w:type="dxa"/>
            <w:vAlign w:val="top"/>
          </w:tcPr>
          <w:p w14:paraId="30FE3398">
            <w:pPr>
              <w:pStyle w:val="6"/>
              <w:spacing w:before="76" w:line="192" w:lineRule="auto"/>
              <w:ind w:left="331"/>
            </w:pPr>
            <w:r>
              <w:rPr>
                <w:spacing w:val="-8"/>
              </w:rPr>
              <w:t>1.4</w:t>
            </w:r>
          </w:p>
        </w:tc>
        <w:tc>
          <w:tcPr>
            <w:tcW w:w="880" w:type="dxa"/>
            <w:vAlign w:val="top"/>
          </w:tcPr>
          <w:p w14:paraId="282D9015">
            <w:pPr>
              <w:pStyle w:val="6"/>
              <w:spacing w:before="76" w:line="192" w:lineRule="auto"/>
              <w:ind w:left="212"/>
            </w:pPr>
            <w:r>
              <w:rPr>
                <w:spacing w:val="-2"/>
              </w:rPr>
              <w:t>0.120</w:t>
            </w:r>
          </w:p>
        </w:tc>
        <w:tc>
          <w:tcPr>
            <w:tcW w:w="880" w:type="dxa"/>
            <w:vAlign w:val="top"/>
          </w:tcPr>
          <w:p w14:paraId="3504D7A6">
            <w:pPr>
              <w:pStyle w:val="6"/>
              <w:spacing w:before="76" w:line="192" w:lineRule="auto"/>
              <w:ind w:left="266"/>
            </w:pPr>
            <w:r>
              <w:rPr>
                <w:spacing w:val="-2"/>
              </w:rPr>
              <w:t>0.05</w:t>
            </w:r>
          </w:p>
        </w:tc>
        <w:tc>
          <w:tcPr>
            <w:tcW w:w="880" w:type="dxa"/>
            <w:vAlign w:val="top"/>
          </w:tcPr>
          <w:p w14:paraId="36538781">
            <w:pPr>
              <w:pStyle w:val="6"/>
              <w:spacing w:before="76" w:line="192" w:lineRule="auto"/>
              <w:ind w:left="268"/>
            </w:pPr>
            <w:r>
              <w:rPr>
                <w:spacing w:val="-2"/>
              </w:rPr>
              <w:t>0.02</w:t>
            </w:r>
          </w:p>
        </w:tc>
        <w:tc>
          <w:tcPr>
            <w:tcW w:w="881" w:type="dxa"/>
            <w:vAlign w:val="top"/>
          </w:tcPr>
          <w:p w14:paraId="47391724">
            <w:pPr>
              <w:pStyle w:val="6"/>
              <w:spacing w:before="76" w:line="192" w:lineRule="auto"/>
              <w:ind w:left="206"/>
            </w:pPr>
            <w:r>
              <w:rPr>
                <w:spacing w:val="-2"/>
              </w:rPr>
              <w:t>0.05L</w:t>
            </w:r>
          </w:p>
        </w:tc>
        <w:tc>
          <w:tcPr>
            <w:tcW w:w="894" w:type="dxa"/>
            <w:tcBorders>
              <w:right w:val="single" w:color="000000" w:sz="12" w:space="0"/>
            </w:tcBorders>
            <w:vAlign w:val="top"/>
          </w:tcPr>
          <w:p w14:paraId="215B7F51">
            <w:pPr>
              <w:pStyle w:val="6"/>
              <w:spacing w:before="76" w:line="192" w:lineRule="auto"/>
              <w:ind w:left="300"/>
            </w:pPr>
            <w:r>
              <w:rPr>
                <w:spacing w:val="-3"/>
              </w:rPr>
              <w:t>620</w:t>
            </w:r>
          </w:p>
        </w:tc>
      </w:tr>
      <w:tr w14:paraId="74890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6CCF753">
            <w:pPr>
              <w:rPr>
                <w:rFonts w:ascii="Arial"/>
                <w:sz w:val="21"/>
              </w:rPr>
            </w:pPr>
          </w:p>
        </w:tc>
        <w:tc>
          <w:tcPr>
            <w:tcW w:w="285" w:type="dxa"/>
            <w:vMerge w:val="restart"/>
            <w:tcBorders>
              <w:bottom w:val="nil"/>
            </w:tcBorders>
            <w:vAlign w:val="top"/>
          </w:tcPr>
          <w:p w14:paraId="6D9268EF">
            <w:pPr>
              <w:pStyle w:val="6"/>
              <w:spacing w:before="95" w:line="222" w:lineRule="auto"/>
              <w:ind w:left="76"/>
            </w:pPr>
            <w:r>
              <w:t>4</w:t>
            </w:r>
          </w:p>
          <w:p w14:paraId="7A940A95">
            <w:pPr>
              <w:spacing w:line="219" w:lineRule="auto"/>
              <w:ind w:left="29"/>
              <w:rPr>
                <w:rFonts w:ascii="宋体" w:hAnsi="宋体" w:eastAsia="宋体" w:cs="宋体"/>
                <w:sz w:val="21"/>
                <w:szCs w:val="21"/>
              </w:rPr>
            </w:pPr>
            <w:r>
              <w:rPr>
                <w:rFonts w:ascii="宋体" w:hAnsi="宋体" w:eastAsia="宋体" w:cs="宋体"/>
                <w:sz w:val="21"/>
                <w:szCs w:val="21"/>
              </w:rPr>
              <w:t>季</w:t>
            </w:r>
          </w:p>
          <w:p w14:paraId="59C034D7">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B61FD22">
            <w:pPr>
              <w:pStyle w:val="6"/>
              <w:spacing w:before="76" w:line="192" w:lineRule="auto"/>
              <w:ind w:left="199"/>
            </w:pPr>
            <w:r>
              <w:rPr>
                <w:spacing w:val="-1"/>
              </w:rPr>
              <w:t>2019/11/9</w:t>
            </w:r>
          </w:p>
        </w:tc>
        <w:tc>
          <w:tcPr>
            <w:tcW w:w="880" w:type="dxa"/>
            <w:vAlign w:val="top"/>
          </w:tcPr>
          <w:p w14:paraId="6B56F943">
            <w:pPr>
              <w:pStyle w:val="6"/>
              <w:spacing w:before="76" w:line="192" w:lineRule="auto"/>
              <w:ind w:left="267"/>
            </w:pPr>
            <w:r>
              <w:rPr>
                <w:spacing w:val="-6"/>
              </w:rPr>
              <w:t>12.1</w:t>
            </w:r>
          </w:p>
        </w:tc>
        <w:tc>
          <w:tcPr>
            <w:tcW w:w="880" w:type="dxa"/>
            <w:vAlign w:val="top"/>
          </w:tcPr>
          <w:p w14:paraId="006B5A03">
            <w:pPr>
              <w:pStyle w:val="6"/>
              <w:spacing w:before="76" w:line="192" w:lineRule="auto"/>
              <w:ind w:left="254"/>
            </w:pPr>
            <w:r>
              <w:rPr>
                <w:spacing w:val="-3"/>
              </w:rPr>
              <w:t>6.30</w:t>
            </w:r>
          </w:p>
        </w:tc>
        <w:tc>
          <w:tcPr>
            <w:tcW w:w="880" w:type="dxa"/>
            <w:vAlign w:val="top"/>
          </w:tcPr>
          <w:p w14:paraId="452C4C35">
            <w:pPr>
              <w:pStyle w:val="6"/>
              <w:spacing w:before="76" w:line="192" w:lineRule="auto"/>
              <w:ind w:left="349"/>
            </w:pPr>
            <w:r>
              <w:rPr>
                <w:spacing w:val="-6"/>
              </w:rPr>
              <w:t>15</w:t>
            </w:r>
          </w:p>
        </w:tc>
        <w:tc>
          <w:tcPr>
            <w:tcW w:w="880" w:type="dxa"/>
            <w:vAlign w:val="top"/>
          </w:tcPr>
          <w:p w14:paraId="37CE817D">
            <w:pPr>
              <w:pStyle w:val="6"/>
              <w:spacing w:before="76" w:line="192" w:lineRule="auto"/>
              <w:ind w:left="310"/>
            </w:pPr>
            <w:r>
              <w:rPr>
                <w:spacing w:val="-4"/>
              </w:rPr>
              <w:t>5.3</w:t>
            </w:r>
          </w:p>
        </w:tc>
        <w:tc>
          <w:tcPr>
            <w:tcW w:w="880" w:type="dxa"/>
            <w:vAlign w:val="top"/>
          </w:tcPr>
          <w:p w14:paraId="7A6817C7">
            <w:pPr>
              <w:pStyle w:val="6"/>
              <w:spacing w:before="76" w:line="192" w:lineRule="auto"/>
              <w:ind w:left="307"/>
            </w:pPr>
            <w:r>
              <w:rPr>
                <w:spacing w:val="-2"/>
              </w:rPr>
              <w:t>2.2</w:t>
            </w:r>
          </w:p>
        </w:tc>
        <w:tc>
          <w:tcPr>
            <w:tcW w:w="880" w:type="dxa"/>
            <w:vAlign w:val="top"/>
          </w:tcPr>
          <w:p w14:paraId="2925C865">
            <w:pPr>
              <w:pStyle w:val="6"/>
              <w:spacing w:before="76" w:line="192" w:lineRule="auto"/>
              <w:ind w:left="392"/>
            </w:pPr>
            <w:r>
              <w:t>9</w:t>
            </w:r>
          </w:p>
        </w:tc>
        <w:tc>
          <w:tcPr>
            <w:tcW w:w="880" w:type="dxa"/>
            <w:vAlign w:val="top"/>
          </w:tcPr>
          <w:p w14:paraId="300FB16E">
            <w:pPr>
              <w:pStyle w:val="6"/>
              <w:spacing w:before="76" w:line="192" w:lineRule="auto"/>
              <w:ind w:left="331"/>
            </w:pPr>
            <w:r>
              <w:rPr>
                <w:spacing w:val="-8"/>
              </w:rPr>
              <w:t>1.7</w:t>
            </w:r>
          </w:p>
        </w:tc>
        <w:tc>
          <w:tcPr>
            <w:tcW w:w="880" w:type="dxa"/>
            <w:vAlign w:val="top"/>
          </w:tcPr>
          <w:p w14:paraId="4F42703D">
            <w:pPr>
              <w:pStyle w:val="6"/>
              <w:spacing w:before="76" w:line="192" w:lineRule="auto"/>
              <w:ind w:left="212"/>
            </w:pPr>
            <w:r>
              <w:rPr>
                <w:spacing w:val="-2"/>
              </w:rPr>
              <w:t>0.251</w:t>
            </w:r>
          </w:p>
        </w:tc>
        <w:tc>
          <w:tcPr>
            <w:tcW w:w="880" w:type="dxa"/>
            <w:vAlign w:val="top"/>
          </w:tcPr>
          <w:p w14:paraId="6BF71EFA">
            <w:pPr>
              <w:pStyle w:val="6"/>
              <w:spacing w:before="76" w:line="192" w:lineRule="auto"/>
              <w:ind w:left="266"/>
            </w:pPr>
            <w:r>
              <w:rPr>
                <w:spacing w:val="-2"/>
              </w:rPr>
              <w:t>0.03</w:t>
            </w:r>
          </w:p>
        </w:tc>
        <w:tc>
          <w:tcPr>
            <w:tcW w:w="880" w:type="dxa"/>
            <w:vAlign w:val="top"/>
          </w:tcPr>
          <w:p w14:paraId="54EFD448">
            <w:pPr>
              <w:pStyle w:val="6"/>
              <w:spacing w:before="76" w:line="192" w:lineRule="auto"/>
              <w:ind w:left="268"/>
            </w:pPr>
            <w:r>
              <w:rPr>
                <w:spacing w:val="-2"/>
              </w:rPr>
              <w:t>0.02</w:t>
            </w:r>
          </w:p>
        </w:tc>
        <w:tc>
          <w:tcPr>
            <w:tcW w:w="881" w:type="dxa"/>
            <w:vAlign w:val="top"/>
          </w:tcPr>
          <w:p w14:paraId="1D9A2BE9">
            <w:pPr>
              <w:pStyle w:val="6"/>
              <w:spacing w:before="76" w:line="192" w:lineRule="auto"/>
              <w:ind w:left="206"/>
            </w:pPr>
            <w:r>
              <w:rPr>
                <w:spacing w:val="-2"/>
              </w:rPr>
              <w:t>0.05L</w:t>
            </w:r>
          </w:p>
        </w:tc>
        <w:tc>
          <w:tcPr>
            <w:tcW w:w="894" w:type="dxa"/>
            <w:tcBorders>
              <w:right w:val="single" w:color="000000" w:sz="12" w:space="0"/>
            </w:tcBorders>
            <w:vAlign w:val="top"/>
          </w:tcPr>
          <w:p w14:paraId="7CE7C1F5">
            <w:pPr>
              <w:pStyle w:val="6"/>
              <w:spacing w:before="76" w:line="192" w:lineRule="auto"/>
              <w:ind w:left="346"/>
            </w:pPr>
            <w:r>
              <w:rPr>
                <w:spacing w:val="-1"/>
              </w:rPr>
              <w:t>40</w:t>
            </w:r>
          </w:p>
        </w:tc>
      </w:tr>
      <w:tr w14:paraId="15F2A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EA3FBD8">
            <w:pPr>
              <w:rPr>
                <w:rFonts w:ascii="Arial"/>
                <w:sz w:val="21"/>
              </w:rPr>
            </w:pPr>
          </w:p>
        </w:tc>
        <w:tc>
          <w:tcPr>
            <w:tcW w:w="285" w:type="dxa"/>
            <w:vMerge w:val="continue"/>
            <w:tcBorders>
              <w:top w:val="nil"/>
              <w:bottom w:val="nil"/>
            </w:tcBorders>
            <w:vAlign w:val="top"/>
          </w:tcPr>
          <w:p w14:paraId="6CF2C7C7">
            <w:pPr>
              <w:rPr>
                <w:rFonts w:ascii="Arial"/>
                <w:sz w:val="21"/>
              </w:rPr>
            </w:pPr>
          </w:p>
        </w:tc>
        <w:tc>
          <w:tcPr>
            <w:tcW w:w="1273" w:type="dxa"/>
            <w:vAlign w:val="top"/>
          </w:tcPr>
          <w:p w14:paraId="1EF224F3">
            <w:pPr>
              <w:pStyle w:val="6"/>
              <w:spacing w:before="77" w:line="190" w:lineRule="auto"/>
              <w:ind w:left="147"/>
            </w:pPr>
            <w:r>
              <w:rPr>
                <w:spacing w:val="-1"/>
              </w:rPr>
              <w:t>2019/11/10</w:t>
            </w:r>
          </w:p>
        </w:tc>
        <w:tc>
          <w:tcPr>
            <w:tcW w:w="880" w:type="dxa"/>
            <w:vAlign w:val="top"/>
          </w:tcPr>
          <w:p w14:paraId="37C4154F">
            <w:pPr>
              <w:pStyle w:val="6"/>
              <w:spacing w:before="77" w:line="190" w:lineRule="auto"/>
              <w:ind w:left="267"/>
            </w:pPr>
            <w:r>
              <w:rPr>
                <w:spacing w:val="-6"/>
              </w:rPr>
              <w:t>13.2</w:t>
            </w:r>
          </w:p>
        </w:tc>
        <w:tc>
          <w:tcPr>
            <w:tcW w:w="880" w:type="dxa"/>
            <w:vAlign w:val="top"/>
          </w:tcPr>
          <w:p w14:paraId="72FC3C2B">
            <w:pPr>
              <w:pStyle w:val="6"/>
              <w:spacing w:before="77" w:line="190" w:lineRule="auto"/>
              <w:ind w:left="254"/>
            </w:pPr>
            <w:r>
              <w:rPr>
                <w:spacing w:val="-3"/>
              </w:rPr>
              <w:t>6.28</w:t>
            </w:r>
          </w:p>
        </w:tc>
        <w:tc>
          <w:tcPr>
            <w:tcW w:w="880" w:type="dxa"/>
            <w:vAlign w:val="top"/>
          </w:tcPr>
          <w:p w14:paraId="1AE82F9D">
            <w:pPr>
              <w:pStyle w:val="6"/>
              <w:spacing w:before="77" w:line="190" w:lineRule="auto"/>
              <w:ind w:left="349"/>
            </w:pPr>
            <w:r>
              <w:rPr>
                <w:spacing w:val="-6"/>
              </w:rPr>
              <w:t>13</w:t>
            </w:r>
          </w:p>
        </w:tc>
        <w:tc>
          <w:tcPr>
            <w:tcW w:w="880" w:type="dxa"/>
            <w:vAlign w:val="top"/>
          </w:tcPr>
          <w:p w14:paraId="5301BCA6">
            <w:pPr>
              <w:pStyle w:val="6"/>
              <w:spacing w:before="77" w:line="190" w:lineRule="auto"/>
              <w:ind w:left="310"/>
            </w:pPr>
            <w:r>
              <w:rPr>
                <w:spacing w:val="-4"/>
              </w:rPr>
              <w:t>5.1</w:t>
            </w:r>
          </w:p>
        </w:tc>
        <w:tc>
          <w:tcPr>
            <w:tcW w:w="880" w:type="dxa"/>
            <w:vAlign w:val="top"/>
          </w:tcPr>
          <w:p w14:paraId="555AE004">
            <w:pPr>
              <w:pStyle w:val="6"/>
              <w:spacing w:before="77" w:line="190" w:lineRule="auto"/>
              <w:ind w:left="307"/>
            </w:pPr>
            <w:r>
              <w:rPr>
                <w:spacing w:val="-2"/>
              </w:rPr>
              <w:t>2.0</w:t>
            </w:r>
          </w:p>
        </w:tc>
        <w:tc>
          <w:tcPr>
            <w:tcW w:w="880" w:type="dxa"/>
            <w:vAlign w:val="top"/>
          </w:tcPr>
          <w:p w14:paraId="17AAA84B">
            <w:pPr>
              <w:pStyle w:val="6"/>
              <w:spacing w:before="77" w:line="190" w:lineRule="auto"/>
              <w:ind w:left="397"/>
            </w:pPr>
            <w:r>
              <w:t>8</w:t>
            </w:r>
          </w:p>
        </w:tc>
        <w:tc>
          <w:tcPr>
            <w:tcW w:w="880" w:type="dxa"/>
            <w:vAlign w:val="top"/>
          </w:tcPr>
          <w:p w14:paraId="2519134F">
            <w:pPr>
              <w:pStyle w:val="6"/>
              <w:spacing w:before="77" w:line="190" w:lineRule="auto"/>
              <w:ind w:left="331"/>
            </w:pPr>
            <w:r>
              <w:rPr>
                <w:spacing w:val="-8"/>
              </w:rPr>
              <w:t>1.6</w:t>
            </w:r>
          </w:p>
        </w:tc>
        <w:tc>
          <w:tcPr>
            <w:tcW w:w="880" w:type="dxa"/>
            <w:vAlign w:val="top"/>
          </w:tcPr>
          <w:p w14:paraId="6BA6F12B">
            <w:pPr>
              <w:pStyle w:val="6"/>
              <w:spacing w:before="77" w:line="190" w:lineRule="auto"/>
              <w:ind w:left="212"/>
            </w:pPr>
            <w:r>
              <w:rPr>
                <w:spacing w:val="-2"/>
              </w:rPr>
              <w:t>0.260</w:t>
            </w:r>
          </w:p>
        </w:tc>
        <w:tc>
          <w:tcPr>
            <w:tcW w:w="880" w:type="dxa"/>
            <w:vAlign w:val="top"/>
          </w:tcPr>
          <w:p w14:paraId="6FFCE071">
            <w:pPr>
              <w:pStyle w:val="6"/>
              <w:spacing w:before="77" w:line="190" w:lineRule="auto"/>
              <w:ind w:left="266"/>
            </w:pPr>
            <w:r>
              <w:rPr>
                <w:spacing w:val="-2"/>
              </w:rPr>
              <w:t>0.02</w:t>
            </w:r>
          </w:p>
        </w:tc>
        <w:tc>
          <w:tcPr>
            <w:tcW w:w="880" w:type="dxa"/>
            <w:vAlign w:val="top"/>
          </w:tcPr>
          <w:p w14:paraId="30CE732F">
            <w:pPr>
              <w:pStyle w:val="6"/>
              <w:spacing w:before="77" w:line="190" w:lineRule="auto"/>
              <w:ind w:left="268"/>
            </w:pPr>
            <w:r>
              <w:rPr>
                <w:spacing w:val="-2"/>
              </w:rPr>
              <w:t>0.01</w:t>
            </w:r>
          </w:p>
        </w:tc>
        <w:tc>
          <w:tcPr>
            <w:tcW w:w="881" w:type="dxa"/>
            <w:vAlign w:val="top"/>
          </w:tcPr>
          <w:p w14:paraId="746E00AF">
            <w:pPr>
              <w:pStyle w:val="6"/>
              <w:spacing w:before="77" w:line="190" w:lineRule="auto"/>
              <w:ind w:left="206"/>
            </w:pPr>
            <w:r>
              <w:rPr>
                <w:spacing w:val="-2"/>
              </w:rPr>
              <w:t>0.05L</w:t>
            </w:r>
          </w:p>
        </w:tc>
        <w:tc>
          <w:tcPr>
            <w:tcW w:w="894" w:type="dxa"/>
            <w:tcBorders>
              <w:right w:val="single" w:color="000000" w:sz="12" w:space="0"/>
            </w:tcBorders>
            <w:vAlign w:val="top"/>
          </w:tcPr>
          <w:p w14:paraId="7C090B2F">
            <w:pPr>
              <w:pStyle w:val="6"/>
              <w:spacing w:before="77" w:line="190" w:lineRule="auto"/>
              <w:ind w:left="351"/>
            </w:pPr>
            <w:r>
              <w:rPr>
                <w:spacing w:val="-3"/>
              </w:rPr>
              <w:t>60</w:t>
            </w:r>
          </w:p>
        </w:tc>
      </w:tr>
      <w:tr w14:paraId="72E90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tcBorders>
            <w:vAlign w:val="top"/>
          </w:tcPr>
          <w:p w14:paraId="65B80EBE">
            <w:pPr>
              <w:rPr>
                <w:rFonts w:ascii="Arial"/>
                <w:sz w:val="21"/>
              </w:rPr>
            </w:pPr>
          </w:p>
        </w:tc>
        <w:tc>
          <w:tcPr>
            <w:tcW w:w="285" w:type="dxa"/>
            <w:vMerge w:val="continue"/>
            <w:tcBorders>
              <w:top w:val="nil"/>
            </w:tcBorders>
            <w:vAlign w:val="top"/>
          </w:tcPr>
          <w:p w14:paraId="03BE80D7">
            <w:pPr>
              <w:rPr>
                <w:rFonts w:ascii="Arial"/>
                <w:sz w:val="21"/>
              </w:rPr>
            </w:pPr>
          </w:p>
        </w:tc>
        <w:tc>
          <w:tcPr>
            <w:tcW w:w="1273" w:type="dxa"/>
            <w:vAlign w:val="top"/>
          </w:tcPr>
          <w:p w14:paraId="746BDAD9">
            <w:pPr>
              <w:pStyle w:val="6"/>
              <w:spacing w:before="78" w:line="190" w:lineRule="auto"/>
              <w:ind w:left="147"/>
            </w:pPr>
            <w:r>
              <w:rPr>
                <w:spacing w:val="-1"/>
              </w:rPr>
              <w:t>2019/11/11</w:t>
            </w:r>
          </w:p>
        </w:tc>
        <w:tc>
          <w:tcPr>
            <w:tcW w:w="880" w:type="dxa"/>
            <w:vAlign w:val="top"/>
          </w:tcPr>
          <w:p w14:paraId="717ACF46">
            <w:pPr>
              <w:pStyle w:val="6"/>
              <w:spacing w:before="78" w:line="190" w:lineRule="auto"/>
              <w:ind w:left="267"/>
            </w:pPr>
            <w:r>
              <w:rPr>
                <w:spacing w:val="-6"/>
              </w:rPr>
              <w:t>13.4</w:t>
            </w:r>
          </w:p>
        </w:tc>
        <w:tc>
          <w:tcPr>
            <w:tcW w:w="880" w:type="dxa"/>
            <w:vAlign w:val="top"/>
          </w:tcPr>
          <w:p w14:paraId="395E6048">
            <w:pPr>
              <w:pStyle w:val="6"/>
              <w:spacing w:before="78" w:line="190" w:lineRule="auto"/>
              <w:ind w:left="254"/>
            </w:pPr>
            <w:r>
              <w:rPr>
                <w:spacing w:val="-3"/>
              </w:rPr>
              <w:t>6.33</w:t>
            </w:r>
          </w:p>
        </w:tc>
        <w:tc>
          <w:tcPr>
            <w:tcW w:w="880" w:type="dxa"/>
            <w:vAlign w:val="top"/>
          </w:tcPr>
          <w:p w14:paraId="3943AA1D">
            <w:pPr>
              <w:pStyle w:val="6"/>
              <w:spacing w:before="78" w:line="190" w:lineRule="auto"/>
              <w:ind w:left="349"/>
            </w:pPr>
            <w:r>
              <w:rPr>
                <w:spacing w:val="-6"/>
              </w:rPr>
              <w:t>11</w:t>
            </w:r>
          </w:p>
        </w:tc>
        <w:tc>
          <w:tcPr>
            <w:tcW w:w="880" w:type="dxa"/>
            <w:vAlign w:val="top"/>
          </w:tcPr>
          <w:p w14:paraId="7E18FF75">
            <w:pPr>
              <w:pStyle w:val="6"/>
              <w:spacing w:before="78" w:line="190" w:lineRule="auto"/>
              <w:ind w:left="310"/>
            </w:pPr>
            <w:r>
              <w:rPr>
                <w:spacing w:val="-4"/>
              </w:rPr>
              <w:t>5.9</w:t>
            </w:r>
          </w:p>
        </w:tc>
        <w:tc>
          <w:tcPr>
            <w:tcW w:w="880" w:type="dxa"/>
            <w:vAlign w:val="top"/>
          </w:tcPr>
          <w:p w14:paraId="257067D5">
            <w:pPr>
              <w:pStyle w:val="6"/>
              <w:spacing w:before="78" w:line="190" w:lineRule="auto"/>
              <w:ind w:left="307"/>
            </w:pPr>
            <w:r>
              <w:rPr>
                <w:spacing w:val="-2"/>
              </w:rPr>
              <w:t>2.3</w:t>
            </w:r>
          </w:p>
        </w:tc>
        <w:tc>
          <w:tcPr>
            <w:tcW w:w="880" w:type="dxa"/>
            <w:vAlign w:val="top"/>
          </w:tcPr>
          <w:p w14:paraId="67D2D76E">
            <w:pPr>
              <w:pStyle w:val="6"/>
              <w:spacing w:before="78" w:line="190" w:lineRule="auto"/>
              <w:ind w:left="393"/>
            </w:pPr>
            <w:r>
              <w:t>6</w:t>
            </w:r>
          </w:p>
        </w:tc>
        <w:tc>
          <w:tcPr>
            <w:tcW w:w="880" w:type="dxa"/>
            <w:vAlign w:val="top"/>
          </w:tcPr>
          <w:p w14:paraId="774A2E9E">
            <w:pPr>
              <w:pStyle w:val="6"/>
              <w:spacing w:before="78" w:line="190" w:lineRule="auto"/>
              <w:ind w:left="331"/>
            </w:pPr>
            <w:r>
              <w:rPr>
                <w:spacing w:val="-8"/>
              </w:rPr>
              <w:t>1.4</w:t>
            </w:r>
          </w:p>
        </w:tc>
        <w:tc>
          <w:tcPr>
            <w:tcW w:w="880" w:type="dxa"/>
            <w:vAlign w:val="top"/>
          </w:tcPr>
          <w:p w14:paraId="1F8DC333">
            <w:pPr>
              <w:pStyle w:val="6"/>
              <w:spacing w:before="78" w:line="190" w:lineRule="auto"/>
              <w:ind w:left="212"/>
            </w:pPr>
            <w:r>
              <w:rPr>
                <w:spacing w:val="-2"/>
              </w:rPr>
              <w:t>0.257</w:t>
            </w:r>
          </w:p>
        </w:tc>
        <w:tc>
          <w:tcPr>
            <w:tcW w:w="880" w:type="dxa"/>
            <w:vAlign w:val="top"/>
          </w:tcPr>
          <w:p w14:paraId="703F9967">
            <w:pPr>
              <w:pStyle w:val="6"/>
              <w:spacing w:before="78" w:line="190" w:lineRule="auto"/>
              <w:ind w:left="266"/>
            </w:pPr>
            <w:r>
              <w:rPr>
                <w:spacing w:val="-2"/>
              </w:rPr>
              <w:t>0.03</w:t>
            </w:r>
          </w:p>
        </w:tc>
        <w:tc>
          <w:tcPr>
            <w:tcW w:w="880" w:type="dxa"/>
            <w:vAlign w:val="top"/>
          </w:tcPr>
          <w:p w14:paraId="2FA86BAB">
            <w:pPr>
              <w:pStyle w:val="6"/>
              <w:spacing w:before="78" w:line="190" w:lineRule="auto"/>
              <w:ind w:left="268"/>
            </w:pPr>
            <w:r>
              <w:rPr>
                <w:spacing w:val="-2"/>
              </w:rPr>
              <w:t>0.01</w:t>
            </w:r>
          </w:p>
        </w:tc>
        <w:tc>
          <w:tcPr>
            <w:tcW w:w="881" w:type="dxa"/>
            <w:vAlign w:val="top"/>
          </w:tcPr>
          <w:p w14:paraId="4F4A61F9">
            <w:pPr>
              <w:pStyle w:val="6"/>
              <w:spacing w:before="78" w:line="190" w:lineRule="auto"/>
              <w:ind w:left="206"/>
            </w:pPr>
            <w:r>
              <w:rPr>
                <w:spacing w:val="-2"/>
              </w:rPr>
              <w:t>0.05L</w:t>
            </w:r>
          </w:p>
        </w:tc>
        <w:tc>
          <w:tcPr>
            <w:tcW w:w="894" w:type="dxa"/>
            <w:tcBorders>
              <w:right w:val="single" w:color="000000" w:sz="12" w:space="0"/>
            </w:tcBorders>
            <w:vAlign w:val="top"/>
          </w:tcPr>
          <w:p w14:paraId="31FDA2BF">
            <w:pPr>
              <w:pStyle w:val="6"/>
              <w:spacing w:before="78" w:line="190" w:lineRule="auto"/>
              <w:ind w:left="352"/>
            </w:pPr>
            <w:r>
              <w:rPr>
                <w:spacing w:val="-3"/>
              </w:rPr>
              <w:t>50</w:t>
            </w:r>
          </w:p>
        </w:tc>
      </w:tr>
      <w:tr w14:paraId="365C0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23CD7B2A">
            <w:pPr>
              <w:spacing w:line="289" w:lineRule="auto"/>
              <w:rPr>
                <w:rFonts w:ascii="Arial"/>
                <w:sz w:val="21"/>
              </w:rPr>
            </w:pPr>
          </w:p>
          <w:p w14:paraId="2C21A192">
            <w:pPr>
              <w:spacing w:line="290" w:lineRule="auto"/>
              <w:rPr>
                <w:rFonts w:ascii="Arial"/>
                <w:sz w:val="21"/>
              </w:rPr>
            </w:pPr>
          </w:p>
          <w:p w14:paraId="3E3634F6">
            <w:pPr>
              <w:spacing w:line="290" w:lineRule="auto"/>
              <w:rPr>
                <w:rFonts w:ascii="Arial"/>
                <w:sz w:val="21"/>
              </w:rPr>
            </w:pPr>
          </w:p>
          <w:p w14:paraId="50871A63">
            <w:pPr>
              <w:spacing w:line="290" w:lineRule="auto"/>
              <w:rPr>
                <w:rFonts w:ascii="Arial"/>
                <w:sz w:val="21"/>
              </w:rPr>
            </w:pPr>
          </w:p>
          <w:p w14:paraId="61AD1639">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792BCBF9">
            <w:pPr>
              <w:spacing w:before="23" w:line="220" w:lineRule="auto"/>
              <w:ind w:left="102"/>
              <w:rPr>
                <w:rFonts w:ascii="宋体" w:hAnsi="宋体" w:eastAsia="宋体" w:cs="宋体"/>
                <w:sz w:val="21"/>
                <w:szCs w:val="21"/>
              </w:rPr>
            </w:pPr>
            <w:r>
              <w:rPr>
                <w:rFonts w:ascii="宋体" w:hAnsi="宋体" w:eastAsia="宋体" w:cs="宋体"/>
                <w:spacing w:val="-4"/>
                <w:sz w:val="21"/>
                <w:szCs w:val="21"/>
              </w:rPr>
              <w:t>（车马碧水</w:t>
            </w:r>
          </w:p>
          <w:p w14:paraId="711988A6">
            <w:pPr>
              <w:spacing w:before="22" w:line="220" w:lineRule="auto"/>
              <w:ind w:left="97"/>
              <w:rPr>
                <w:rFonts w:ascii="宋体" w:hAnsi="宋体" w:eastAsia="宋体" w:cs="宋体"/>
                <w:sz w:val="21"/>
                <w:szCs w:val="21"/>
              </w:rPr>
            </w:pPr>
            <w:r>
              <w:rPr>
                <w:rFonts w:ascii="宋体" w:hAnsi="宋体" w:eastAsia="宋体" w:cs="宋体"/>
                <w:spacing w:val="-2"/>
                <w:sz w:val="21"/>
                <w:szCs w:val="21"/>
              </w:rPr>
              <w:t>库坝址下游</w:t>
            </w:r>
          </w:p>
          <w:p w14:paraId="636F34C2">
            <w:pPr>
              <w:pStyle w:val="6"/>
              <w:spacing w:before="22"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20A32134">
            <w:pPr>
              <w:pStyle w:val="6"/>
              <w:spacing w:before="97" w:line="222" w:lineRule="auto"/>
              <w:ind w:left="97"/>
            </w:pPr>
            <w:r>
              <w:t>1</w:t>
            </w:r>
          </w:p>
          <w:p w14:paraId="46A1E009">
            <w:pPr>
              <w:spacing w:line="219" w:lineRule="auto"/>
              <w:ind w:left="29"/>
              <w:rPr>
                <w:rFonts w:ascii="宋体" w:hAnsi="宋体" w:eastAsia="宋体" w:cs="宋体"/>
                <w:sz w:val="21"/>
                <w:szCs w:val="21"/>
              </w:rPr>
            </w:pPr>
            <w:r>
              <w:rPr>
                <w:rFonts w:ascii="宋体" w:hAnsi="宋体" w:eastAsia="宋体" w:cs="宋体"/>
                <w:sz w:val="21"/>
                <w:szCs w:val="21"/>
              </w:rPr>
              <w:t>季</w:t>
            </w:r>
          </w:p>
          <w:p w14:paraId="48B80FE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6EDF56F">
            <w:pPr>
              <w:pStyle w:val="6"/>
              <w:spacing w:before="79" w:line="188" w:lineRule="auto"/>
              <w:ind w:left="199"/>
            </w:pPr>
            <w:r>
              <w:rPr>
                <w:spacing w:val="-1"/>
              </w:rPr>
              <w:t>2019/1/15</w:t>
            </w:r>
          </w:p>
        </w:tc>
        <w:tc>
          <w:tcPr>
            <w:tcW w:w="880" w:type="dxa"/>
            <w:vAlign w:val="top"/>
          </w:tcPr>
          <w:p w14:paraId="39BCADEE">
            <w:pPr>
              <w:pStyle w:val="6"/>
              <w:spacing w:before="79" w:line="188" w:lineRule="auto"/>
              <w:ind w:left="267"/>
            </w:pPr>
            <w:r>
              <w:rPr>
                <w:spacing w:val="-6"/>
              </w:rPr>
              <w:t>12.4</w:t>
            </w:r>
          </w:p>
        </w:tc>
        <w:tc>
          <w:tcPr>
            <w:tcW w:w="880" w:type="dxa"/>
            <w:vAlign w:val="top"/>
          </w:tcPr>
          <w:p w14:paraId="195B0916">
            <w:pPr>
              <w:pStyle w:val="6"/>
              <w:spacing w:before="79" w:line="188" w:lineRule="auto"/>
              <w:ind w:left="254"/>
            </w:pPr>
            <w:r>
              <w:rPr>
                <w:spacing w:val="-3"/>
              </w:rPr>
              <w:t>6.40</w:t>
            </w:r>
          </w:p>
        </w:tc>
        <w:tc>
          <w:tcPr>
            <w:tcW w:w="880" w:type="dxa"/>
            <w:vAlign w:val="top"/>
          </w:tcPr>
          <w:p w14:paraId="5AED5B55">
            <w:pPr>
              <w:pStyle w:val="6"/>
              <w:spacing w:before="79" w:line="188" w:lineRule="auto"/>
              <w:ind w:left="385"/>
            </w:pPr>
            <w:r>
              <w:t>7</w:t>
            </w:r>
          </w:p>
        </w:tc>
        <w:tc>
          <w:tcPr>
            <w:tcW w:w="880" w:type="dxa"/>
            <w:vAlign w:val="top"/>
          </w:tcPr>
          <w:p w14:paraId="443AF124">
            <w:pPr>
              <w:pStyle w:val="6"/>
              <w:spacing w:before="79" w:line="188" w:lineRule="auto"/>
              <w:ind w:left="309"/>
            </w:pPr>
            <w:r>
              <w:rPr>
                <w:spacing w:val="-3"/>
              </w:rPr>
              <w:t>6.4</w:t>
            </w:r>
          </w:p>
        </w:tc>
        <w:tc>
          <w:tcPr>
            <w:tcW w:w="880" w:type="dxa"/>
            <w:vAlign w:val="top"/>
          </w:tcPr>
          <w:p w14:paraId="5E7E2759">
            <w:pPr>
              <w:pStyle w:val="6"/>
              <w:spacing w:before="79" w:line="188" w:lineRule="auto"/>
              <w:ind w:left="327"/>
            </w:pPr>
            <w:r>
              <w:rPr>
                <w:spacing w:val="-8"/>
              </w:rPr>
              <w:t>1.6</w:t>
            </w:r>
          </w:p>
        </w:tc>
        <w:tc>
          <w:tcPr>
            <w:tcW w:w="880" w:type="dxa"/>
            <w:vAlign w:val="top"/>
          </w:tcPr>
          <w:p w14:paraId="421C4CA7">
            <w:pPr>
              <w:pStyle w:val="6"/>
              <w:spacing w:before="79" w:line="188" w:lineRule="auto"/>
              <w:ind w:left="397"/>
            </w:pPr>
            <w:r>
              <w:t>8</w:t>
            </w:r>
          </w:p>
        </w:tc>
        <w:tc>
          <w:tcPr>
            <w:tcW w:w="880" w:type="dxa"/>
            <w:vAlign w:val="top"/>
          </w:tcPr>
          <w:p w14:paraId="0A5FDF17">
            <w:pPr>
              <w:pStyle w:val="6"/>
              <w:spacing w:before="79" w:line="188" w:lineRule="auto"/>
              <w:ind w:left="314"/>
            </w:pPr>
            <w:r>
              <w:rPr>
                <w:spacing w:val="-3"/>
              </w:rPr>
              <w:t>0.9</w:t>
            </w:r>
          </w:p>
        </w:tc>
        <w:tc>
          <w:tcPr>
            <w:tcW w:w="880" w:type="dxa"/>
            <w:vAlign w:val="top"/>
          </w:tcPr>
          <w:p w14:paraId="635CE0AC">
            <w:pPr>
              <w:pStyle w:val="6"/>
              <w:spacing w:before="79" w:line="188" w:lineRule="auto"/>
              <w:ind w:left="212"/>
            </w:pPr>
            <w:r>
              <w:rPr>
                <w:spacing w:val="-2"/>
              </w:rPr>
              <w:t>0.124</w:t>
            </w:r>
          </w:p>
        </w:tc>
        <w:tc>
          <w:tcPr>
            <w:tcW w:w="880" w:type="dxa"/>
            <w:vAlign w:val="top"/>
          </w:tcPr>
          <w:p w14:paraId="05235776">
            <w:pPr>
              <w:pStyle w:val="6"/>
              <w:spacing w:before="79" w:line="188" w:lineRule="auto"/>
              <w:ind w:left="266"/>
            </w:pPr>
            <w:r>
              <w:rPr>
                <w:spacing w:val="-2"/>
              </w:rPr>
              <w:t>0.03</w:t>
            </w:r>
          </w:p>
        </w:tc>
        <w:tc>
          <w:tcPr>
            <w:tcW w:w="880" w:type="dxa"/>
            <w:vAlign w:val="top"/>
          </w:tcPr>
          <w:p w14:paraId="383BC6D7">
            <w:pPr>
              <w:pStyle w:val="6"/>
              <w:spacing w:before="79" w:line="188" w:lineRule="auto"/>
              <w:ind w:left="204"/>
            </w:pPr>
            <w:r>
              <w:rPr>
                <w:spacing w:val="-1"/>
              </w:rPr>
              <w:t>0.01L</w:t>
            </w:r>
          </w:p>
        </w:tc>
        <w:tc>
          <w:tcPr>
            <w:tcW w:w="881" w:type="dxa"/>
            <w:vAlign w:val="top"/>
          </w:tcPr>
          <w:p w14:paraId="0118408D">
            <w:pPr>
              <w:pStyle w:val="6"/>
              <w:spacing w:before="79" w:line="188" w:lineRule="auto"/>
              <w:ind w:left="270"/>
            </w:pPr>
            <w:r>
              <w:rPr>
                <w:spacing w:val="-2"/>
              </w:rPr>
              <w:t>0.12</w:t>
            </w:r>
          </w:p>
        </w:tc>
        <w:tc>
          <w:tcPr>
            <w:tcW w:w="894" w:type="dxa"/>
            <w:tcBorders>
              <w:right w:val="single" w:color="000000" w:sz="12" w:space="0"/>
            </w:tcBorders>
            <w:vAlign w:val="top"/>
          </w:tcPr>
          <w:p w14:paraId="08A7A958">
            <w:pPr>
              <w:pStyle w:val="6"/>
              <w:spacing w:before="79" w:line="188" w:lineRule="auto"/>
              <w:ind w:left="294"/>
            </w:pPr>
            <w:r>
              <w:rPr>
                <w:spacing w:val="-2"/>
              </w:rPr>
              <w:t>460</w:t>
            </w:r>
          </w:p>
        </w:tc>
      </w:tr>
      <w:tr w14:paraId="3420C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10179A4D">
            <w:pPr>
              <w:rPr>
                <w:rFonts w:ascii="Arial"/>
                <w:sz w:val="21"/>
              </w:rPr>
            </w:pPr>
          </w:p>
        </w:tc>
        <w:tc>
          <w:tcPr>
            <w:tcW w:w="285" w:type="dxa"/>
            <w:vMerge w:val="continue"/>
            <w:tcBorders>
              <w:top w:val="nil"/>
              <w:bottom w:val="nil"/>
            </w:tcBorders>
            <w:vAlign w:val="top"/>
          </w:tcPr>
          <w:p w14:paraId="0352798B">
            <w:pPr>
              <w:rPr>
                <w:rFonts w:ascii="Arial"/>
                <w:sz w:val="21"/>
              </w:rPr>
            </w:pPr>
          </w:p>
        </w:tc>
        <w:tc>
          <w:tcPr>
            <w:tcW w:w="1273" w:type="dxa"/>
            <w:vAlign w:val="top"/>
          </w:tcPr>
          <w:p w14:paraId="01FA2538">
            <w:pPr>
              <w:pStyle w:val="6"/>
              <w:spacing w:before="80" w:line="189" w:lineRule="auto"/>
              <w:ind w:left="199"/>
            </w:pPr>
            <w:r>
              <w:rPr>
                <w:spacing w:val="-1"/>
              </w:rPr>
              <w:t>2019/1/16</w:t>
            </w:r>
          </w:p>
        </w:tc>
        <w:tc>
          <w:tcPr>
            <w:tcW w:w="880" w:type="dxa"/>
            <w:vAlign w:val="top"/>
          </w:tcPr>
          <w:p w14:paraId="32B54AB3">
            <w:pPr>
              <w:pStyle w:val="6"/>
              <w:spacing w:before="80" w:line="189" w:lineRule="auto"/>
              <w:ind w:left="267"/>
            </w:pPr>
            <w:r>
              <w:rPr>
                <w:spacing w:val="-6"/>
              </w:rPr>
              <w:t>10.8</w:t>
            </w:r>
          </w:p>
        </w:tc>
        <w:tc>
          <w:tcPr>
            <w:tcW w:w="880" w:type="dxa"/>
            <w:vAlign w:val="top"/>
          </w:tcPr>
          <w:p w14:paraId="4364CA5A">
            <w:pPr>
              <w:pStyle w:val="6"/>
              <w:spacing w:before="80" w:line="189" w:lineRule="auto"/>
              <w:ind w:left="254"/>
            </w:pPr>
            <w:r>
              <w:rPr>
                <w:spacing w:val="-3"/>
              </w:rPr>
              <w:t>6.48</w:t>
            </w:r>
          </w:p>
        </w:tc>
        <w:tc>
          <w:tcPr>
            <w:tcW w:w="880" w:type="dxa"/>
            <w:vAlign w:val="top"/>
          </w:tcPr>
          <w:p w14:paraId="5A2F6DC6">
            <w:pPr>
              <w:pStyle w:val="6"/>
              <w:spacing w:before="80" w:line="189" w:lineRule="auto"/>
              <w:ind w:left="386"/>
            </w:pPr>
            <w:r>
              <w:t>9</w:t>
            </w:r>
          </w:p>
        </w:tc>
        <w:tc>
          <w:tcPr>
            <w:tcW w:w="880" w:type="dxa"/>
            <w:vAlign w:val="top"/>
          </w:tcPr>
          <w:p w14:paraId="073B847C">
            <w:pPr>
              <w:pStyle w:val="6"/>
              <w:spacing w:before="80" w:line="189" w:lineRule="auto"/>
              <w:ind w:left="310"/>
            </w:pPr>
            <w:r>
              <w:rPr>
                <w:spacing w:val="-4"/>
              </w:rPr>
              <w:t>5.8</w:t>
            </w:r>
          </w:p>
        </w:tc>
        <w:tc>
          <w:tcPr>
            <w:tcW w:w="880" w:type="dxa"/>
            <w:vAlign w:val="top"/>
          </w:tcPr>
          <w:p w14:paraId="3BC7CFB9">
            <w:pPr>
              <w:pStyle w:val="6"/>
              <w:spacing w:before="80" w:line="189" w:lineRule="auto"/>
              <w:ind w:left="327"/>
            </w:pPr>
            <w:r>
              <w:rPr>
                <w:spacing w:val="-8"/>
              </w:rPr>
              <w:t>1.7</w:t>
            </w:r>
          </w:p>
        </w:tc>
        <w:tc>
          <w:tcPr>
            <w:tcW w:w="880" w:type="dxa"/>
            <w:vAlign w:val="top"/>
          </w:tcPr>
          <w:p w14:paraId="2F36C292">
            <w:pPr>
              <w:pStyle w:val="6"/>
              <w:spacing w:before="80" w:line="189" w:lineRule="auto"/>
              <w:ind w:left="392"/>
            </w:pPr>
            <w:r>
              <w:t>9</w:t>
            </w:r>
          </w:p>
        </w:tc>
        <w:tc>
          <w:tcPr>
            <w:tcW w:w="880" w:type="dxa"/>
            <w:vAlign w:val="top"/>
          </w:tcPr>
          <w:p w14:paraId="69C2004F">
            <w:pPr>
              <w:pStyle w:val="6"/>
              <w:spacing w:before="80" w:line="189" w:lineRule="auto"/>
              <w:ind w:left="331"/>
            </w:pPr>
            <w:r>
              <w:rPr>
                <w:spacing w:val="-8"/>
              </w:rPr>
              <w:t>1.1</w:t>
            </w:r>
          </w:p>
        </w:tc>
        <w:tc>
          <w:tcPr>
            <w:tcW w:w="880" w:type="dxa"/>
            <w:vAlign w:val="top"/>
          </w:tcPr>
          <w:p w14:paraId="698498D7">
            <w:pPr>
              <w:pStyle w:val="6"/>
              <w:spacing w:before="80" w:line="189" w:lineRule="auto"/>
              <w:ind w:left="212"/>
            </w:pPr>
            <w:r>
              <w:rPr>
                <w:spacing w:val="-2"/>
              </w:rPr>
              <w:t>0.132</w:t>
            </w:r>
          </w:p>
        </w:tc>
        <w:tc>
          <w:tcPr>
            <w:tcW w:w="880" w:type="dxa"/>
            <w:vAlign w:val="top"/>
          </w:tcPr>
          <w:p w14:paraId="3B81344C">
            <w:pPr>
              <w:pStyle w:val="6"/>
              <w:spacing w:before="80" w:line="189" w:lineRule="auto"/>
              <w:ind w:left="266"/>
            </w:pPr>
            <w:r>
              <w:rPr>
                <w:spacing w:val="-2"/>
              </w:rPr>
              <w:t>0.02</w:t>
            </w:r>
          </w:p>
        </w:tc>
        <w:tc>
          <w:tcPr>
            <w:tcW w:w="880" w:type="dxa"/>
            <w:vAlign w:val="top"/>
          </w:tcPr>
          <w:p w14:paraId="34E0ECB0">
            <w:pPr>
              <w:pStyle w:val="6"/>
              <w:spacing w:before="80" w:line="189" w:lineRule="auto"/>
              <w:ind w:left="268"/>
            </w:pPr>
            <w:r>
              <w:rPr>
                <w:spacing w:val="-2"/>
              </w:rPr>
              <w:t>0.02</w:t>
            </w:r>
          </w:p>
        </w:tc>
        <w:tc>
          <w:tcPr>
            <w:tcW w:w="881" w:type="dxa"/>
            <w:vAlign w:val="top"/>
          </w:tcPr>
          <w:p w14:paraId="495339B9">
            <w:pPr>
              <w:pStyle w:val="6"/>
              <w:spacing w:before="80" w:line="189" w:lineRule="auto"/>
              <w:ind w:left="270"/>
            </w:pPr>
            <w:r>
              <w:rPr>
                <w:spacing w:val="-2"/>
              </w:rPr>
              <w:t>0.11</w:t>
            </w:r>
          </w:p>
        </w:tc>
        <w:tc>
          <w:tcPr>
            <w:tcW w:w="894" w:type="dxa"/>
            <w:tcBorders>
              <w:right w:val="single" w:color="000000" w:sz="12" w:space="0"/>
            </w:tcBorders>
            <w:vAlign w:val="top"/>
          </w:tcPr>
          <w:p w14:paraId="6C2D0A92">
            <w:pPr>
              <w:pStyle w:val="6"/>
              <w:spacing w:before="80" w:line="189" w:lineRule="auto"/>
              <w:ind w:left="294"/>
            </w:pPr>
            <w:r>
              <w:rPr>
                <w:spacing w:val="-2"/>
              </w:rPr>
              <w:t>430</w:t>
            </w:r>
          </w:p>
        </w:tc>
      </w:tr>
      <w:tr w14:paraId="1EE71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1A7BECD">
            <w:pPr>
              <w:rPr>
                <w:rFonts w:ascii="Arial"/>
                <w:sz w:val="21"/>
              </w:rPr>
            </w:pPr>
          </w:p>
        </w:tc>
        <w:tc>
          <w:tcPr>
            <w:tcW w:w="285" w:type="dxa"/>
            <w:vMerge w:val="continue"/>
            <w:tcBorders>
              <w:top w:val="nil"/>
            </w:tcBorders>
            <w:vAlign w:val="top"/>
          </w:tcPr>
          <w:p w14:paraId="0C6B3767">
            <w:pPr>
              <w:rPr>
                <w:rFonts w:ascii="Arial"/>
                <w:sz w:val="21"/>
              </w:rPr>
            </w:pPr>
          </w:p>
        </w:tc>
        <w:tc>
          <w:tcPr>
            <w:tcW w:w="1273" w:type="dxa"/>
            <w:vAlign w:val="top"/>
          </w:tcPr>
          <w:p w14:paraId="65B895CE">
            <w:pPr>
              <w:pStyle w:val="6"/>
              <w:spacing w:before="79" w:line="188" w:lineRule="auto"/>
              <w:ind w:left="199"/>
            </w:pPr>
            <w:r>
              <w:rPr>
                <w:spacing w:val="-1"/>
              </w:rPr>
              <w:t>2019/1/17</w:t>
            </w:r>
          </w:p>
        </w:tc>
        <w:tc>
          <w:tcPr>
            <w:tcW w:w="880" w:type="dxa"/>
            <w:vAlign w:val="top"/>
          </w:tcPr>
          <w:p w14:paraId="7EDB9283">
            <w:pPr>
              <w:pStyle w:val="6"/>
              <w:spacing w:before="79" w:line="188" w:lineRule="auto"/>
              <w:ind w:left="267"/>
            </w:pPr>
            <w:r>
              <w:rPr>
                <w:spacing w:val="-6"/>
              </w:rPr>
              <w:t>11.4</w:t>
            </w:r>
          </w:p>
        </w:tc>
        <w:tc>
          <w:tcPr>
            <w:tcW w:w="880" w:type="dxa"/>
            <w:vAlign w:val="top"/>
          </w:tcPr>
          <w:p w14:paraId="17BB3305">
            <w:pPr>
              <w:pStyle w:val="6"/>
              <w:spacing w:before="79" w:line="188" w:lineRule="auto"/>
              <w:ind w:left="254"/>
            </w:pPr>
            <w:r>
              <w:rPr>
                <w:spacing w:val="-3"/>
              </w:rPr>
              <w:t>6.33</w:t>
            </w:r>
          </w:p>
        </w:tc>
        <w:tc>
          <w:tcPr>
            <w:tcW w:w="880" w:type="dxa"/>
            <w:vAlign w:val="top"/>
          </w:tcPr>
          <w:p w14:paraId="27FCBDAA">
            <w:pPr>
              <w:pStyle w:val="6"/>
              <w:spacing w:before="79" w:line="188" w:lineRule="auto"/>
              <w:ind w:left="390"/>
            </w:pPr>
            <w:r>
              <w:t>8</w:t>
            </w:r>
          </w:p>
        </w:tc>
        <w:tc>
          <w:tcPr>
            <w:tcW w:w="880" w:type="dxa"/>
            <w:vAlign w:val="top"/>
          </w:tcPr>
          <w:p w14:paraId="29A19F23">
            <w:pPr>
              <w:pStyle w:val="6"/>
              <w:spacing w:before="79" w:line="188" w:lineRule="auto"/>
              <w:ind w:left="309"/>
            </w:pPr>
            <w:r>
              <w:rPr>
                <w:spacing w:val="-3"/>
              </w:rPr>
              <w:t>6.1</w:t>
            </w:r>
          </w:p>
        </w:tc>
        <w:tc>
          <w:tcPr>
            <w:tcW w:w="880" w:type="dxa"/>
            <w:vAlign w:val="top"/>
          </w:tcPr>
          <w:p w14:paraId="16EBD2FE">
            <w:pPr>
              <w:pStyle w:val="6"/>
              <w:spacing w:before="79" w:line="188" w:lineRule="auto"/>
              <w:ind w:left="327"/>
            </w:pPr>
            <w:r>
              <w:rPr>
                <w:spacing w:val="-8"/>
              </w:rPr>
              <w:t>1.8</w:t>
            </w:r>
          </w:p>
        </w:tc>
        <w:tc>
          <w:tcPr>
            <w:tcW w:w="880" w:type="dxa"/>
            <w:vAlign w:val="top"/>
          </w:tcPr>
          <w:p w14:paraId="3BF95DAD">
            <w:pPr>
              <w:pStyle w:val="6"/>
              <w:spacing w:before="79" w:line="188" w:lineRule="auto"/>
              <w:ind w:left="397"/>
            </w:pPr>
            <w:r>
              <w:t>8</w:t>
            </w:r>
          </w:p>
        </w:tc>
        <w:tc>
          <w:tcPr>
            <w:tcW w:w="880" w:type="dxa"/>
            <w:vAlign w:val="top"/>
          </w:tcPr>
          <w:p w14:paraId="31692FB6">
            <w:pPr>
              <w:pStyle w:val="6"/>
              <w:spacing w:before="79" w:line="188" w:lineRule="auto"/>
              <w:ind w:left="314"/>
            </w:pPr>
            <w:r>
              <w:rPr>
                <w:spacing w:val="-3"/>
              </w:rPr>
              <w:t>0.8</w:t>
            </w:r>
          </w:p>
        </w:tc>
        <w:tc>
          <w:tcPr>
            <w:tcW w:w="880" w:type="dxa"/>
            <w:vAlign w:val="top"/>
          </w:tcPr>
          <w:p w14:paraId="3DFA1B86">
            <w:pPr>
              <w:pStyle w:val="6"/>
              <w:spacing w:before="79" w:line="188" w:lineRule="auto"/>
              <w:ind w:left="212"/>
            </w:pPr>
            <w:r>
              <w:rPr>
                <w:spacing w:val="-2"/>
              </w:rPr>
              <w:t>0.116</w:t>
            </w:r>
          </w:p>
        </w:tc>
        <w:tc>
          <w:tcPr>
            <w:tcW w:w="880" w:type="dxa"/>
            <w:vAlign w:val="top"/>
          </w:tcPr>
          <w:p w14:paraId="00A01946">
            <w:pPr>
              <w:pStyle w:val="6"/>
              <w:spacing w:before="79" w:line="188" w:lineRule="auto"/>
              <w:ind w:left="266"/>
            </w:pPr>
            <w:r>
              <w:rPr>
                <w:spacing w:val="-2"/>
              </w:rPr>
              <w:t>0.02</w:t>
            </w:r>
          </w:p>
        </w:tc>
        <w:tc>
          <w:tcPr>
            <w:tcW w:w="880" w:type="dxa"/>
            <w:vAlign w:val="top"/>
          </w:tcPr>
          <w:p w14:paraId="7A84B3A7">
            <w:pPr>
              <w:pStyle w:val="6"/>
              <w:spacing w:before="79" w:line="188" w:lineRule="auto"/>
              <w:ind w:left="204"/>
            </w:pPr>
            <w:r>
              <w:rPr>
                <w:spacing w:val="-1"/>
              </w:rPr>
              <w:t>0.01L</w:t>
            </w:r>
          </w:p>
        </w:tc>
        <w:tc>
          <w:tcPr>
            <w:tcW w:w="881" w:type="dxa"/>
            <w:vAlign w:val="top"/>
          </w:tcPr>
          <w:p w14:paraId="569FEFC8">
            <w:pPr>
              <w:pStyle w:val="6"/>
              <w:spacing w:before="79" w:line="188" w:lineRule="auto"/>
              <w:ind w:left="270"/>
            </w:pPr>
            <w:r>
              <w:rPr>
                <w:spacing w:val="-2"/>
              </w:rPr>
              <w:t>0.12</w:t>
            </w:r>
          </w:p>
        </w:tc>
        <w:tc>
          <w:tcPr>
            <w:tcW w:w="894" w:type="dxa"/>
            <w:tcBorders>
              <w:right w:val="single" w:color="000000" w:sz="12" w:space="0"/>
            </w:tcBorders>
            <w:vAlign w:val="top"/>
          </w:tcPr>
          <w:p w14:paraId="55BBF27C">
            <w:pPr>
              <w:pStyle w:val="6"/>
              <w:spacing w:before="79" w:line="188" w:lineRule="auto"/>
              <w:ind w:left="299"/>
            </w:pPr>
            <w:r>
              <w:rPr>
                <w:spacing w:val="-3"/>
              </w:rPr>
              <w:t>340</w:t>
            </w:r>
          </w:p>
        </w:tc>
      </w:tr>
      <w:tr w14:paraId="2A49C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B795735">
            <w:pPr>
              <w:rPr>
                <w:rFonts w:ascii="Arial"/>
                <w:sz w:val="21"/>
              </w:rPr>
            </w:pPr>
          </w:p>
        </w:tc>
        <w:tc>
          <w:tcPr>
            <w:tcW w:w="285" w:type="dxa"/>
            <w:vMerge w:val="restart"/>
            <w:tcBorders>
              <w:bottom w:val="nil"/>
            </w:tcBorders>
            <w:vAlign w:val="top"/>
          </w:tcPr>
          <w:p w14:paraId="5DEE4F14">
            <w:pPr>
              <w:pStyle w:val="6"/>
              <w:spacing w:before="99" w:line="223" w:lineRule="auto"/>
              <w:ind w:left="77"/>
            </w:pPr>
            <w:r>
              <w:t>2</w:t>
            </w:r>
          </w:p>
          <w:p w14:paraId="098D74B6">
            <w:pPr>
              <w:spacing w:line="219" w:lineRule="auto"/>
              <w:ind w:left="29"/>
              <w:rPr>
                <w:rFonts w:ascii="宋体" w:hAnsi="宋体" w:eastAsia="宋体" w:cs="宋体"/>
                <w:sz w:val="21"/>
                <w:szCs w:val="21"/>
              </w:rPr>
            </w:pPr>
            <w:r>
              <w:rPr>
                <w:rFonts w:ascii="宋体" w:hAnsi="宋体" w:eastAsia="宋体" w:cs="宋体"/>
                <w:sz w:val="21"/>
                <w:szCs w:val="21"/>
              </w:rPr>
              <w:t>季</w:t>
            </w:r>
          </w:p>
          <w:p w14:paraId="75D5835B">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37C58B0D">
            <w:pPr>
              <w:pStyle w:val="6"/>
              <w:spacing w:before="81" w:line="186" w:lineRule="auto"/>
              <w:ind w:left="199"/>
            </w:pPr>
            <w:r>
              <w:rPr>
                <w:spacing w:val="-1"/>
              </w:rPr>
              <w:t>2019/5/10</w:t>
            </w:r>
          </w:p>
        </w:tc>
        <w:tc>
          <w:tcPr>
            <w:tcW w:w="880" w:type="dxa"/>
            <w:vAlign w:val="top"/>
          </w:tcPr>
          <w:p w14:paraId="374986BE">
            <w:pPr>
              <w:pStyle w:val="6"/>
              <w:spacing w:before="81" w:line="186" w:lineRule="auto"/>
              <w:ind w:left="267"/>
            </w:pPr>
            <w:r>
              <w:rPr>
                <w:spacing w:val="-6"/>
              </w:rPr>
              <w:t>15.8</w:t>
            </w:r>
          </w:p>
        </w:tc>
        <w:tc>
          <w:tcPr>
            <w:tcW w:w="880" w:type="dxa"/>
            <w:vAlign w:val="top"/>
          </w:tcPr>
          <w:p w14:paraId="71C130F0">
            <w:pPr>
              <w:pStyle w:val="6"/>
              <w:spacing w:before="81" w:line="186" w:lineRule="auto"/>
              <w:ind w:left="254"/>
            </w:pPr>
            <w:r>
              <w:rPr>
                <w:spacing w:val="-3"/>
              </w:rPr>
              <w:t>6.41</w:t>
            </w:r>
          </w:p>
        </w:tc>
        <w:tc>
          <w:tcPr>
            <w:tcW w:w="880" w:type="dxa"/>
            <w:vAlign w:val="top"/>
          </w:tcPr>
          <w:p w14:paraId="0F4EBE3A">
            <w:pPr>
              <w:pStyle w:val="6"/>
              <w:spacing w:before="81" w:line="186" w:lineRule="auto"/>
              <w:ind w:left="390"/>
            </w:pPr>
            <w:r>
              <w:t>8</w:t>
            </w:r>
          </w:p>
        </w:tc>
        <w:tc>
          <w:tcPr>
            <w:tcW w:w="880" w:type="dxa"/>
            <w:vAlign w:val="top"/>
          </w:tcPr>
          <w:p w14:paraId="7B5AD06B">
            <w:pPr>
              <w:pStyle w:val="6"/>
              <w:spacing w:before="81" w:line="186" w:lineRule="auto"/>
              <w:ind w:left="309"/>
            </w:pPr>
            <w:r>
              <w:rPr>
                <w:spacing w:val="-3"/>
              </w:rPr>
              <w:t>6.1</w:t>
            </w:r>
          </w:p>
        </w:tc>
        <w:tc>
          <w:tcPr>
            <w:tcW w:w="880" w:type="dxa"/>
            <w:vAlign w:val="top"/>
          </w:tcPr>
          <w:p w14:paraId="124709E4">
            <w:pPr>
              <w:pStyle w:val="6"/>
              <w:spacing w:before="81" w:line="186" w:lineRule="auto"/>
              <w:ind w:left="311"/>
            </w:pPr>
            <w:r>
              <w:rPr>
                <w:spacing w:val="-3"/>
              </w:rPr>
              <w:t>3.4</w:t>
            </w:r>
          </w:p>
        </w:tc>
        <w:tc>
          <w:tcPr>
            <w:tcW w:w="880" w:type="dxa"/>
            <w:vAlign w:val="top"/>
          </w:tcPr>
          <w:p w14:paraId="7A6AED86">
            <w:pPr>
              <w:pStyle w:val="6"/>
              <w:spacing w:before="81" w:line="186" w:lineRule="auto"/>
              <w:ind w:left="392"/>
            </w:pPr>
            <w:r>
              <w:t>9</w:t>
            </w:r>
          </w:p>
        </w:tc>
        <w:tc>
          <w:tcPr>
            <w:tcW w:w="880" w:type="dxa"/>
            <w:vAlign w:val="top"/>
          </w:tcPr>
          <w:p w14:paraId="4C567E4B">
            <w:pPr>
              <w:pStyle w:val="6"/>
              <w:spacing w:before="81" w:line="186" w:lineRule="auto"/>
              <w:ind w:left="331"/>
            </w:pPr>
            <w:r>
              <w:rPr>
                <w:spacing w:val="-8"/>
              </w:rPr>
              <w:t>1.8</w:t>
            </w:r>
          </w:p>
        </w:tc>
        <w:tc>
          <w:tcPr>
            <w:tcW w:w="880" w:type="dxa"/>
            <w:vAlign w:val="top"/>
          </w:tcPr>
          <w:p w14:paraId="7D0A6313">
            <w:pPr>
              <w:pStyle w:val="6"/>
              <w:spacing w:before="81" w:line="186" w:lineRule="auto"/>
              <w:ind w:left="212"/>
            </w:pPr>
            <w:r>
              <w:rPr>
                <w:spacing w:val="-2"/>
              </w:rPr>
              <w:t>0.094</w:t>
            </w:r>
          </w:p>
        </w:tc>
        <w:tc>
          <w:tcPr>
            <w:tcW w:w="880" w:type="dxa"/>
            <w:vAlign w:val="top"/>
          </w:tcPr>
          <w:p w14:paraId="66380CFA">
            <w:pPr>
              <w:pStyle w:val="6"/>
              <w:spacing w:before="81" w:line="186" w:lineRule="auto"/>
              <w:ind w:left="266"/>
            </w:pPr>
            <w:r>
              <w:rPr>
                <w:spacing w:val="-2"/>
              </w:rPr>
              <w:t>0.02</w:t>
            </w:r>
          </w:p>
        </w:tc>
        <w:tc>
          <w:tcPr>
            <w:tcW w:w="880" w:type="dxa"/>
            <w:vAlign w:val="top"/>
          </w:tcPr>
          <w:p w14:paraId="7D4514EF">
            <w:pPr>
              <w:pStyle w:val="6"/>
              <w:spacing w:before="81" w:line="186" w:lineRule="auto"/>
              <w:ind w:left="268"/>
            </w:pPr>
            <w:r>
              <w:rPr>
                <w:spacing w:val="-2"/>
              </w:rPr>
              <w:t>0.02</w:t>
            </w:r>
          </w:p>
        </w:tc>
        <w:tc>
          <w:tcPr>
            <w:tcW w:w="881" w:type="dxa"/>
            <w:vAlign w:val="top"/>
          </w:tcPr>
          <w:p w14:paraId="0377FBCA">
            <w:pPr>
              <w:pStyle w:val="6"/>
              <w:spacing w:before="81" w:line="186" w:lineRule="auto"/>
              <w:ind w:left="206"/>
            </w:pPr>
            <w:r>
              <w:rPr>
                <w:spacing w:val="-1"/>
              </w:rPr>
              <w:t>0.05L</w:t>
            </w:r>
          </w:p>
        </w:tc>
        <w:tc>
          <w:tcPr>
            <w:tcW w:w="894" w:type="dxa"/>
            <w:tcBorders>
              <w:right w:val="single" w:color="000000" w:sz="12" w:space="0"/>
            </w:tcBorders>
            <w:vAlign w:val="top"/>
          </w:tcPr>
          <w:p w14:paraId="73E9279D">
            <w:pPr>
              <w:pStyle w:val="6"/>
              <w:spacing w:before="81" w:line="186" w:lineRule="auto"/>
              <w:ind w:left="350"/>
            </w:pPr>
            <w:r>
              <w:rPr>
                <w:spacing w:val="-4"/>
              </w:rPr>
              <w:t>70</w:t>
            </w:r>
          </w:p>
        </w:tc>
      </w:tr>
      <w:tr w14:paraId="39BBB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7FCEA718">
            <w:pPr>
              <w:rPr>
                <w:rFonts w:ascii="Arial"/>
                <w:sz w:val="21"/>
              </w:rPr>
            </w:pPr>
          </w:p>
        </w:tc>
        <w:tc>
          <w:tcPr>
            <w:tcW w:w="285" w:type="dxa"/>
            <w:vMerge w:val="continue"/>
            <w:tcBorders>
              <w:top w:val="nil"/>
              <w:bottom w:val="nil"/>
            </w:tcBorders>
            <w:vAlign w:val="top"/>
          </w:tcPr>
          <w:p w14:paraId="02026EF0">
            <w:pPr>
              <w:rPr>
                <w:rFonts w:ascii="Arial"/>
                <w:sz w:val="21"/>
              </w:rPr>
            </w:pPr>
          </w:p>
        </w:tc>
        <w:tc>
          <w:tcPr>
            <w:tcW w:w="1273" w:type="dxa"/>
            <w:vAlign w:val="top"/>
          </w:tcPr>
          <w:p w14:paraId="375D1E59">
            <w:pPr>
              <w:pStyle w:val="6"/>
              <w:spacing w:before="82" w:line="186" w:lineRule="auto"/>
              <w:ind w:left="199"/>
            </w:pPr>
            <w:r>
              <w:rPr>
                <w:spacing w:val="-1"/>
              </w:rPr>
              <w:t>2019/5/11</w:t>
            </w:r>
          </w:p>
        </w:tc>
        <w:tc>
          <w:tcPr>
            <w:tcW w:w="880" w:type="dxa"/>
            <w:vAlign w:val="top"/>
          </w:tcPr>
          <w:p w14:paraId="3D4BE937">
            <w:pPr>
              <w:pStyle w:val="6"/>
              <w:spacing w:before="82" w:line="186" w:lineRule="auto"/>
              <w:ind w:left="267"/>
            </w:pPr>
            <w:r>
              <w:rPr>
                <w:spacing w:val="-6"/>
              </w:rPr>
              <w:t>16.3</w:t>
            </w:r>
          </w:p>
        </w:tc>
        <w:tc>
          <w:tcPr>
            <w:tcW w:w="880" w:type="dxa"/>
            <w:vAlign w:val="top"/>
          </w:tcPr>
          <w:p w14:paraId="3B4D142B">
            <w:pPr>
              <w:pStyle w:val="6"/>
              <w:spacing w:before="82" w:line="186" w:lineRule="auto"/>
              <w:ind w:left="254"/>
            </w:pPr>
            <w:r>
              <w:rPr>
                <w:spacing w:val="-3"/>
              </w:rPr>
              <w:t>6.48</w:t>
            </w:r>
          </w:p>
        </w:tc>
        <w:tc>
          <w:tcPr>
            <w:tcW w:w="880" w:type="dxa"/>
            <w:vAlign w:val="top"/>
          </w:tcPr>
          <w:p w14:paraId="784412FB">
            <w:pPr>
              <w:pStyle w:val="6"/>
              <w:spacing w:before="82" w:line="186" w:lineRule="auto"/>
              <w:ind w:left="349"/>
            </w:pPr>
            <w:r>
              <w:rPr>
                <w:spacing w:val="-12"/>
              </w:rPr>
              <w:t>11</w:t>
            </w:r>
          </w:p>
        </w:tc>
        <w:tc>
          <w:tcPr>
            <w:tcW w:w="880" w:type="dxa"/>
            <w:vAlign w:val="top"/>
          </w:tcPr>
          <w:p w14:paraId="78BFF19C">
            <w:pPr>
              <w:pStyle w:val="6"/>
              <w:spacing w:before="82" w:line="186" w:lineRule="auto"/>
              <w:ind w:left="309"/>
            </w:pPr>
            <w:r>
              <w:rPr>
                <w:spacing w:val="-3"/>
              </w:rPr>
              <w:t>6.3</w:t>
            </w:r>
          </w:p>
        </w:tc>
        <w:tc>
          <w:tcPr>
            <w:tcW w:w="880" w:type="dxa"/>
            <w:vAlign w:val="top"/>
          </w:tcPr>
          <w:p w14:paraId="6A3BFBCD">
            <w:pPr>
              <w:pStyle w:val="6"/>
              <w:spacing w:before="82" w:line="186" w:lineRule="auto"/>
              <w:ind w:left="311"/>
            </w:pPr>
            <w:r>
              <w:rPr>
                <w:spacing w:val="-3"/>
              </w:rPr>
              <w:t>3.7</w:t>
            </w:r>
          </w:p>
        </w:tc>
        <w:tc>
          <w:tcPr>
            <w:tcW w:w="880" w:type="dxa"/>
            <w:vAlign w:val="top"/>
          </w:tcPr>
          <w:p w14:paraId="54E6E63D">
            <w:pPr>
              <w:pStyle w:val="6"/>
              <w:spacing w:before="82" w:line="186" w:lineRule="auto"/>
              <w:ind w:left="355"/>
            </w:pPr>
            <w:r>
              <w:rPr>
                <w:spacing w:val="-12"/>
              </w:rPr>
              <w:t>10</w:t>
            </w:r>
          </w:p>
        </w:tc>
        <w:tc>
          <w:tcPr>
            <w:tcW w:w="880" w:type="dxa"/>
            <w:vAlign w:val="top"/>
          </w:tcPr>
          <w:p w14:paraId="46077A20">
            <w:pPr>
              <w:pStyle w:val="6"/>
              <w:spacing w:before="82" w:line="186" w:lineRule="auto"/>
              <w:ind w:left="331"/>
            </w:pPr>
            <w:r>
              <w:rPr>
                <w:spacing w:val="-8"/>
              </w:rPr>
              <w:t>1.9</w:t>
            </w:r>
          </w:p>
        </w:tc>
        <w:tc>
          <w:tcPr>
            <w:tcW w:w="880" w:type="dxa"/>
            <w:vAlign w:val="top"/>
          </w:tcPr>
          <w:p w14:paraId="3E0B8965">
            <w:pPr>
              <w:pStyle w:val="6"/>
              <w:spacing w:before="82" w:line="186" w:lineRule="auto"/>
              <w:ind w:left="212"/>
            </w:pPr>
            <w:r>
              <w:rPr>
                <w:spacing w:val="-2"/>
              </w:rPr>
              <w:t>0.086</w:t>
            </w:r>
          </w:p>
        </w:tc>
        <w:tc>
          <w:tcPr>
            <w:tcW w:w="880" w:type="dxa"/>
            <w:vAlign w:val="top"/>
          </w:tcPr>
          <w:p w14:paraId="65037FA4">
            <w:pPr>
              <w:pStyle w:val="6"/>
              <w:spacing w:before="82" w:line="186" w:lineRule="auto"/>
              <w:ind w:left="266"/>
            </w:pPr>
            <w:r>
              <w:rPr>
                <w:spacing w:val="-2"/>
              </w:rPr>
              <w:t>0.03</w:t>
            </w:r>
          </w:p>
        </w:tc>
        <w:tc>
          <w:tcPr>
            <w:tcW w:w="880" w:type="dxa"/>
            <w:vAlign w:val="top"/>
          </w:tcPr>
          <w:p w14:paraId="37A76111">
            <w:pPr>
              <w:pStyle w:val="6"/>
              <w:spacing w:before="82" w:line="186" w:lineRule="auto"/>
              <w:ind w:left="268"/>
            </w:pPr>
            <w:r>
              <w:rPr>
                <w:spacing w:val="-2"/>
              </w:rPr>
              <w:t>0.03</w:t>
            </w:r>
          </w:p>
        </w:tc>
        <w:tc>
          <w:tcPr>
            <w:tcW w:w="881" w:type="dxa"/>
            <w:vAlign w:val="top"/>
          </w:tcPr>
          <w:p w14:paraId="6377287C">
            <w:pPr>
              <w:pStyle w:val="6"/>
              <w:spacing w:before="82" w:line="186" w:lineRule="auto"/>
              <w:ind w:left="206"/>
            </w:pPr>
            <w:r>
              <w:rPr>
                <w:spacing w:val="-1"/>
              </w:rPr>
              <w:t>0.05L</w:t>
            </w:r>
          </w:p>
        </w:tc>
        <w:tc>
          <w:tcPr>
            <w:tcW w:w="894" w:type="dxa"/>
            <w:tcBorders>
              <w:right w:val="single" w:color="000000" w:sz="12" w:space="0"/>
            </w:tcBorders>
            <w:vAlign w:val="top"/>
          </w:tcPr>
          <w:p w14:paraId="3244802D">
            <w:pPr>
              <w:pStyle w:val="6"/>
              <w:spacing w:before="82" w:line="186" w:lineRule="auto"/>
              <w:ind w:left="351"/>
            </w:pPr>
            <w:r>
              <w:rPr>
                <w:spacing w:val="-5"/>
              </w:rPr>
              <w:t>60</w:t>
            </w:r>
          </w:p>
        </w:tc>
      </w:tr>
      <w:tr w14:paraId="2B317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87D89B0">
            <w:pPr>
              <w:rPr>
                <w:rFonts w:ascii="Arial"/>
                <w:sz w:val="21"/>
              </w:rPr>
            </w:pPr>
          </w:p>
        </w:tc>
        <w:tc>
          <w:tcPr>
            <w:tcW w:w="285" w:type="dxa"/>
            <w:vMerge w:val="continue"/>
            <w:tcBorders>
              <w:top w:val="nil"/>
            </w:tcBorders>
            <w:vAlign w:val="top"/>
          </w:tcPr>
          <w:p w14:paraId="36C2D0CF">
            <w:pPr>
              <w:rPr>
                <w:rFonts w:ascii="Arial"/>
                <w:sz w:val="21"/>
              </w:rPr>
            </w:pPr>
          </w:p>
        </w:tc>
        <w:tc>
          <w:tcPr>
            <w:tcW w:w="1273" w:type="dxa"/>
            <w:vAlign w:val="top"/>
          </w:tcPr>
          <w:p w14:paraId="25D91712">
            <w:pPr>
              <w:pStyle w:val="6"/>
              <w:spacing w:before="83" w:line="184" w:lineRule="auto"/>
              <w:ind w:left="199"/>
            </w:pPr>
            <w:r>
              <w:rPr>
                <w:spacing w:val="-1"/>
              </w:rPr>
              <w:t>2019/5/12</w:t>
            </w:r>
          </w:p>
        </w:tc>
        <w:tc>
          <w:tcPr>
            <w:tcW w:w="880" w:type="dxa"/>
            <w:vAlign w:val="top"/>
          </w:tcPr>
          <w:p w14:paraId="7100AFAD">
            <w:pPr>
              <w:pStyle w:val="6"/>
              <w:spacing w:before="83" w:line="184" w:lineRule="auto"/>
              <w:ind w:left="267"/>
            </w:pPr>
            <w:r>
              <w:rPr>
                <w:spacing w:val="-6"/>
              </w:rPr>
              <w:t>16.1</w:t>
            </w:r>
          </w:p>
        </w:tc>
        <w:tc>
          <w:tcPr>
            <w:tcW w:w="880" w:type="dxa"/>
            <w:vAlign w:val="top"/>
          </w:tcPr>
          <w:p w14:paraId="1523C34E">
            <w:pPr>
              <w:pStyle w:val="6"/>
              <w:spacing w:before="83" w:line="184" w:lineRule="auto"/>
              <w:ind w:left="254"/>
            </w:pPr>
            <w:r>
              <w:rPr>
                <w:spacing w:val="-3"/>
              </w:rPr>
              <w:t>6.44</w:t>
            </w:r>
          </w:p>
        </w:tc>
        <w:tc>
          <w:tcPr>
            <w:tcW w:w="880" w:type="dxa"/>
            <w:vAlign w:val="top"/>
          </w:tcPr>
          <w:p w14:paraId="7B5F3D97">
            <w:pPr>
              <w:pStyle w:val="6"/>
              <w:spacing w:before="83" w:line="184" w:lineRule="auto"/>
              <w:ind w:left="349"/>
            </w:pPr>
            <w:r>
              <w:rPr>
                <w:spacing w:val="-12"/>
              </w:rPr>
              <w:t>10</w:t>
            </w:r>
          </w:p>
        </w:tc>
        <w:tc>
          <w:tcPr>
            <w:tcW w:w="880" w:type="dxa"/>
            <w:vAlign w:val="top"/>
          </w:tcPr>
          <w:p w14:paraId="1B50A578">
            <w:pPr>
              <w:pStyle w:val="6"/>
              <w:spacing w:before="83" w:line="184" w:lineRule="auto"/>
              <w:ind w:left="310"/>
            </w:pPr>
            <w:r>
              <w:rPr>
                <w:spacing w:val="-4"/>
              </w:rPr>
              <w:t>5.9</w:t>
            </w:r>
          </w:p>
        </w:tc>
        <w:tc>
          <w:tcPr>
            <w:tcW w:w="880" w:type="dxa"/>
            <w:vAlign w:val="top"/>
          </w:tcPr>
          <w:p w14:paraId="027E9630">
            <w:pPr>
              <w:pStyle w:val="6"/>
              <w:spacing w:before="83" w:line="184" w:lineRule="auto"/>
              <w:ind w:left="311"/>
            </w:pPr>
            <w:r>
              <w:rPr>
                <w:spacing w:val="-3"/>
              </w:rPr>
              <w:t>3.5</w:t>
            </w:r>
          </w:p>
        </w:tc>
        <w:tc>
          <w:tcPr>
            <w:tcW w:w="880" w:type="dxa"/>
            <w:vAlign w:val="top"/>
          </w:tcPr>
          <w:p w14:paraId="72E72DE2">
            <w:pPr>
              <w:pStyle w:val="6"/>
              <w:spacing w:before="83" w:line="184" w:lineRule="auto"/>
              <w:ind w:left="397"/>
            </w:pPr>
            <w:r>
              <w:t>8</w:t>
            </w:r>
          </w:p>
        </w:tc>
        <w:tc>
          <w:tcPr>
            <w:tcW w:w="880" w:type="dxa"/>
            <w:vAlign w:val="top"/>
          </w:tcPr>
          <w:p w14:paraId="1A40C868">
            <w:pPr>
              <w:pStyle w:val="6"/>
              <w:spacing w:before="83" w:line="184" w:lineRule="auto"/>
              <w:ind w:left="331"/>
            </w:pPr>
            <w:r>
              <w:rPr>
                <w:spacing w:val="-8"/>
              </w:rPr>
              <w:t>1.6</w:t>
            </w:r>
          </w:p>
        </w:tc>
        <w:tc>
          <w:tcPr>
            <w:tcW w:w="880" w:type="dxa"/>
            <w:vAlign w:val="top"/>
          </w:tcPr>
          <w:p w14:paraId="2F7CEA35">
            <w:pPr>
              <w:pStyle w:val="6"/>
              <w:spacing w:before="83" w:line="184" w:lineRule="auto"/>
              <w:ind w:left="212"/>
            </w:pPr>
            <w:r>
              <w:rPr>
                <w:spacing w:val="-2"/>
              </w:rPr>
              <w:t>0.099</w:t>
            </w:r>
          </w:p>
        </w:tc>
        <w:tc>
          <w:tcPr>
            <w:tcW w:w="880" w:type="dxa"/>
            <w:vAlign w:val="top"/>
          </w:tcPr>
          <w:p w14:paraId="4DFC8918">
            <w:pPr>
              <w:pStyle w:val="6"/>
              <w:spacing w:before="83" w:line="184" w:lineRule="auto"/>
              <w:ind w:left="266"/>
            </w:pPr>
            <w:r>
              <w:rPr>
                <w:spacing w:val="-2"/>
              </w:rPr>
              <w:t>0.02</w:t>
            </w:r>
          </w:p>
        </w:tc>
        <w:tc>
          <w:tcPr>
            <w:tcW w:w="880" w:type="dxa"/>
            <w:vAlign w:val="top"/>
          </w:tcPr>
          <w:p w14:paraId="5531072B">
            <w:pPr>
              <w:pStyle w:val="6"/>
              <w:spacing w:before="83" w:line="184" w:lineRule="auto"/>
              <w:ind w:left="268"/>
            </w:pPr>
            <w:r>
              <w:rPr>
                <w:spacing w:val="-2"/>
              </w:rPr>
              <w:t>0.02</w:t>
            </w:r>
          </w:p>
        </w:tc>
        <w:tc>
          <w:tcPr>
            <w:tcW w:w="881" w:type="dxa"/>
            <w:vAlign w:val="top"/>
          </w:tcPr>
          <w:p w14:paraId="4944EFC1">
            <w:pPr>
              <w:pStyle w:val="6"/>
              <w:spacing w:before="83" w:line="184" w:lineRule="auto"/>
              <w:ind w:left="206"/>
            </w:pPr>
            <w:r>
              <w:rPr>
                <w:spacing w:val="-1"/>
              </w:rPr>
              <w:t>0.05L</w:t>
            </w:r>
          </w:p>
        </w:tc>
        <w:tc>
          <w:tcPr>
            <w:tcW w:w="894" w:type="dxa"/>
            <w:tcBorders>
              <w:right w:val="single" w:color="000000" w:sz="12" w:space="0"/>
            </w:tcBorders>
            <w:vAlign w:val="top"/>
          </w:tcPr>
          <w:p w14:paraId="3C69D4BD">
            <w:pPr>
              <w:pStyle w:val="6"/>
              <w:spacing w:before="83" w:line="184" w:lineRule="auto"/>
              <w:ind w:left="350"/>
            </w:pPr>
            <w:r>
              <w:rPr>
                <w:spacing w:val="-4"/>
              </w:rPr>
              <w:t>70</w:t>
            </w:r>
          </w:p>
        </w:tc>
      </w:tr>
      <w:tr w14:paraId="7EC6F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57AD788">
            <w:pPr>
              <w:rPr>
                <w:rFonts w:ascii="Arial"/>
                <w:sz w:val="21"/>
              </w:rPr>
            </w:pPr>
          </w:p>
        </w:tc>
        <w:tc>
          <w:tcPr>
            <w:tcW w:w="285" w:type="dxa"/>
            <w:vMerge w:val="restart"/>
            <w:tcBorders>
              <w:bottom w:val="nil"/>
            </w:tcBorders>
            <w:vAlign w:val="top"/>
          </w:tcPr>
          <w:p w14:paraId="3A141E9C">
            <w:pPr>
              <w:pStyle w:val="6"/>
              <w:spacing w:before="104" w:line="222" w:lineRule="auto"/>
              <w:ind w:left="81"/>
            </w:pPr>
            <w:r>
              <w:t>3</w:t>
            </w:r>
          </w:p>
          <w:p w14:paraId="7C75A647">
            <w:pPr>
              <w:spacing w:line="219" w:lineRule="auto"/>
              <w:ind w:left="29"/>
              <w:rPr>
                <w:rFonts w:ascii="宋体" w:hAnsi="宋体" w:eastAsia="宋体" w:cs="宋体"/>
                <w:sz w:val="21"/>
                <w:szCs w:val="21"/>
              </w:rPr>
            </w:pPr>
            <w:r>
              <w:rPr>
                <w:rFonts w:ascii="宋体" w:hAnsi="宋体" w:eastAsia="宋体" w:cs="宋体"/>
                <w:sz w:val="21"/>
                <w:szCs w:val="21"/>
              </w:rPr>
              <w:t>季</w:t>
            </w:r>
          </w:p>
          <w:p w14:paraId="753D2B79">
            <w:pPr>
              <w:spacing w:before="22"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90AA25D">
            <w:pPr>
              <w:pStyle w:val="6"/>
              <w:spacing w:before="84" w:line="183" w:lineRule="auto"/>
              <w:ind w:left="199"/>
            </w:pPr>
            <w:r>
              <w:rPr>
                <w:spacing w:val="-1"/>
              </w:rPr>
              <w:t>2019/8/06</w:t>
            </w:r>
          </w:p>
        </w:tc>
        <w:tc>
          <w:tcPr>
            <w:tcW w:w="880" w:type="dxa"/>
            <w:vAlign w:val="top"/>
          </w:tcPr>
          <w:p w14:paraId="393C43C5">
            <w:pPr>
              <w:pStyle w:val="6"/>
              <w:spacing w:before="84" w:line="183" w:lineRule="auto"/>
              <w:ind w:left="267"/>
            </w:pPr>
            <w:r>
              <w:rPr>
                <w:spacing w:val="-6"/>
              </w:rPr>
              <w:t>16.8</w:t>
            </w:r>
          </w:p>
        </w:tc>
        <w:tc>
          <w:tcPr>
            <w:tcW w:w="880" w:type="dxa"/>
            <w:vAlign w:val="top"/>
          </w:tcPr>
          <w:p w14:paraId="77EF68EA">
            <w:pPr>
              <w:pStyle w:val="6"/>
              <w:spacing w:before="84" w:line="183" w:lineRule="auto"/>
              <w:ind w:left="254"/>
            </w:pPr>
            <w:r>
              <w:rPr>
                <w:spacing w:val="-3"/>
              </w:rPr>
              <w:t>6.14</w:t>
            </w:r>
          </w:p>
        </w:tc>
        <w:tc>
          <w:tcPr>
            <w:tcW w:w="880" w:type="dxa"/>
            <w:vAlign w:val="top"/>
          </w:tcPr>
          <w:p w14:paraId="17950945">
            <w:pPr>
              <w:pStyle w:val="6"/>
              <w:spacing w:before="84" w:line="183" w:lineRule="auto"/>
              <w:ind w:left="349"/>
            </w:pPr>
            <w:r>
              <w:rPr>
                <w:spacing w:val="-6"/>
              </w:rPr>
              <w:t>17</w:t>
            </w:r>
          </w:p>
        </w:tc>
        <w:tc>
          <w:tcPr>
            <w:tcW w:w="880" w:type="dxa"/>
            <w:vAlign w:val="top"/>
          </w:tcPr>
          <w:p w14:paraId="0BB1B24A">
            <w:pPr>
              <w:pStyle w:val="6"/>
              <w:spacing w:before="84" w:line="183" w:lineRule="auto"/>
              <w:ind w:left="309"/>
            </w:pPr>
            <w:r>
              <w:rPr>
                <w:spacing w:val="-3"/>
              </w:rPr>
              <w:t>6.3</w:t>
            </w:r>
          </w:p>
        </w:tc>
        <w:tc>
          <w:tcPr>
            <w:tcW w:w="880" w:type="dxa"/>
            <w:vAlign w:val="top"/>
          </w:tcPr>
          <w:p w14:paraId="3E5A2C56">
            <w:pPr>
              <w:pStyle w:val="6"/>
              <w:spacing w:before="84" w:line="183" w:lineRule="auto"/>
              <w:ind w:left="311"/>
            </w:pPr>
            <w:r>
              <w:rPr>
                <w:spacing w:val="-3"/>
              </w:rPr>
              <w:t>3.4</w:t>
            </w:r>
          </w:p>
        </w:tc>
        <w:tc>
          <w:tcPr>
            <w:tcW w:w="880" w:type="dxa"/>
            <w:vAlign w:val="top"/>
          </w:tcPr>
          <w:p w14:paraId="7B76A556">
            <w:pPr>
              <w:pStyle w:val="6"/>
              <w:spacing w:before="84" w:line="183" w:lineRule="auto"/>
              <w:ind w:left="397"/>
            </w:pPr>
            <w:r>
              <w:t>8</w:t>
            </w:r>
          </w:p>
        </w:tc>
        <w:tc>
          <w:tcPr>
            <w:tcW w:w="880" w:type="dxa"/>
            <w:vAlign w:val="top"/>
          </w:tcPr>
          <w:p w14:paraId="1CCE7136">
            <w:pPr>
              <w:pStyle w:val="6"/>
              <w:spacing w:before="84" w:line="183" w:lineRule="auto"/>
              <w:ind w:left="331"/>
            </w:pPr>
            <w:r>
              <w:rPr>
                <w:spacing w:val="-8"/>
              </w:rPr>
              <w:t>1.6</w:t>
            </w:r>
          </w:p>
        </w:tc>
        <w:tc>
          <w:tcPr>
            <w:tcW w:w="880" w:type="dxa"/>
            <w:vAlign w:val="top"/>
          </w:tcPr>
          <w:p w14:paraId="19D9FC98">
            <w:pPr>
              <w:pStyle w:val="6"/>
              <w:spacing w:before="84" w:line="183" w:lineRule="auto"/>
              <w:ind w:left="212"/>
            </w:pPr>
            <w:r>
              <w:rPr>
                <w:spacing w:val="-2"/>
              </w:rPr>
              <w:t>0.163</w:t>
            </w:r>
          </w:p>
        </w:tc>
        <w:tc>
          <w:tcPr>
            <w:tcW w:w="880" w:type="dxa"/>
            <w:vAlign w:val="top"/>
          </w:tcPr>
          <w:p w14:paraId="5C01FD25">
            <w:pPr>
              <w:pStyle w:val="6"/>
              <w:spacing w:before="84" w:line="183" w:lineRule="auto"/>
              <w:ind w:left="266"/>
            </w:pPr>
            <w:r>
              <w:rPr>
                <w:spacing w:val="-2"/>
              </w:rPr>
              <w:t>0.06</w:t>
            </w:r>
          </w:p>
        </w:tc>
        <w:tc>
          <w:tcPr>
            <w:tcW w:w="880" w:type="dxa"/>
            <w:vAlign w:val="top"/>
          </w:tcPr>
          <w:p w14:paraId="5F50631E">
            <w:pPr>
              <w:pStyle w:val="6"/>
              <w:spacing w:before="84" w:line="183" w:lineRule="auto"/>
              <w:ind w:left="268"/>
            </w:pPr>
            <w:r>
              <w:rPr>
                <w:spacing w:val="-2"/>
              </w:rPr>
              <w:t>0.02</w:t>
            </w:r>
          </w:p>
        </w:tc>
        <w:tc>
          <w:tcPr>
            <w:tcW w:w="881" w:type="dxa"/>
            <w:vAlign w:val="top"/>
          </w:tcPr>
          <w:p w14:paraId="154863F5">
            <w:pPr>
              <w:pStyle w:val="6"/>
              <w:spacing w:before="84" w:line="183" w:lineRule="auto"/>
              <w:ind w:left="218"/>
            </w:pPr>
            <w:r>
              <w:rPr>
                <w:spacing w:val="-2"/>
              </w:rPr>
              <w:t>0.056</w:t>
            </w:r>
          </w:p>
        </w:tc>
        <w:tc>
          <w:tcPr>
            <w:tcW w:w="894" w:type="dxa"/>
            <w:tcBorders>
              <w:right w:val="single" w:color="000000" w:sz="12" w:space="0"/>
            </w:tcBorders>
            <w:vAlign w:val="top"/>
          </w:tcPr>
          <w:p w14:paraId="313DE081">
            <w:pPr>
              <w:pStyle w:val="6"/>
              <w:spacing w:before="84" w:line="183" w:lineRule="auto"/>
              <w:ind w:left="262"/>
            </w:pPr>
            <w:r>
              <w:rPr>
                <w:spacing w:val="-5"/>
              </w:rPr>
              <w:t>1200</w:t>
            </w:r>
          </w:p>
        </w:tc>
      </w:tr>
      <w:tr w14:paraId="277AA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5F0EF32">
            <w:pPr>
              <w:rPr>
                <w:rFonts w:ascii="Arial"/>
                <w:sz w:val="21"/>
              </w:rPr>
            </w:pPr>
          </w:p>
        </w:tc>
        <w:tc>
          <w:tcPr>
            <w:tcW w:w="285" w:type="dxa"/>
            <w:vMerge w:val="continue"/>
            <w:tcBorders>
              <w:top w:val="nil"/>
              <w:bottom w:val="nil"/>
            </w:tcBorders>
            <w:vAlign w:val="top"/>
          </w:tcPr>
          <w:p w14:paraId="45DE8714">
            <w:pPr>
              <w:rPr>
                <w:rFonts w:ascii="Arial"/>
                <w:sz w:val="21"/>
              </w:rPr>
            </w:pPr>
          </w:p>
        </w:tc>
        <w:tc>
          <w:tcPr>
            <w:tcW w:w="1273" w:type="dxa"/>
            <w:vAlign w:val="top"/>
          </w:tcPr>
          <w:p w14:paraId="5404F237">
            <w:pPr>
              <w:pStyle w:val="6"/>
              <w:spacing w:before="87" w:line="180" w:lineRule="auto"/>
              <w:ind w:left="199"/>
            </w:pPr>
            <w:r>
              <w:rPr>
                <w:spacing w:val="-1"/>
              </w:rPr>
              <w:t>2019/8/07</w:t>
            </w:r>
          </w:p>
        </w:tc>
        <w:tc>
          <w:tcPr>
            <w:tcW w:w="880" w:type="dxa"/>
            <w:vAlign w:val="top"/>
          </w:tcPr>
          <w:p w14:paraId="3DAC95F6">
            <w:pPr>
              <w:pStyle w:val="6"/>
              <w:spacing w:before="87" w:line="180" w:lineRule="auto"/>
              <w:ind w:left="267"/>
            </w:pPr>
            <w:r>
              <w:rPr>
                <w:spacing w:val="-6"/>
              </w:rPr>
              <w:t>17.2</w:t>
            </w:r>
          </w:p>
        </w:tc>
        <w:tc>
          <w:tcPr>
            <w:tcW w:w="880" w:type="dxa"/>
            <w:vAlign w:val="top"/>
          </w:tcPr>
          <w:p w14:paraId="032706A8">
            <w:pPr>
              <w:pStyle w:val="6"/>
              <w:spacing w:before="87" w:line="180" w:lineRule="auto"/>
              <w:ind w:left="254"/>
            </w:pPr>
            <w:r>
              <w:rPr>
                <w:spacing w:val="-3"/>
              </w:rPr>
              <w:t>6.10</w:t>
            </w:r>
          </w:p>
        </w:tc>
        <w:tc>
          <w:tcPr>
            <w:tcW w:w="880" w:type="dxa"/>
            <w:vAlign w:val="top"/>
          </w:tcPr>
          <w:p w14:paraId="5CDF9544">
            <w:pPr>
              <w:pStyle w:val="6"/>
              <w:spacing w:before="87" w:line="180" w:lineRule="auto"/>
              <w:ind w:left="349"/>
            </w:pPr>
            <w:r>
              <w:rPr>
                <w:spacing w:val="-6"/>
              </w:rPr>
              <w:t>19</w:t>
            </w:r>
          </w:p>
        </w:tc>
        <w:tc>
          <w:tcPr>
            <w:tcW w:w="880" w:type="dxa"/>
            <w:vAlign w:val="top"/>
          </w:tcPr>
          <w:p w14:paraId="5596396A">
            <w:pPr>
              <w:pStyle w:val="6"/>
              <w:spacing w:before="87" w:line="180" w:lineRule="auto"/>
              <w:ind w:left="310"/>
            </w:pPr>
            <w:r>
              <w:rPr>
                <w:spacing w:val="-4"/>
              </w:rPr>
              <w:t>5.8</w:t>
            </w:r>
          </w:p>
        </w:tc>
        <w:tc>
          <w:tcPr>
            <w:tcW w:w="880" w:type="dxa"/>
            <w:vAlign w:val="top"/>
          </w:tcPr>
          <w:p w14:paraId="6856536D">
            <w:pPr>
              <w:pStyle w:val="6"/>
              <w:spacing w:before="87" w:line="180" w:lineRule="auto"/>
              <w:ind w:left="311"/>
            </w:pPr>
            <w:r>
              <w:rPr>
                <w:spacing w:val="-3"/>
              </w:rPr>
              <w:t>3.5</w:t>
            </w:r>
          </w:p>
        </w:tc>
        <w:tc>
          <w:tcPr>
            <w:tcW w:w="880" w:type="dxa"/>
            <w:vAlign w:val="top"/>
          </w:tcPr>
          <w:p w14:paraId="21BFE3F7">
            <w:pPr>
              <w:pStyle w:val="6"/>
              <w:spacing w:before="87" w:line="180" w:lineRule="auto"/>
              <w:ind w:left="355"/>
            </w:pPr>
            <w:r>
              <w:rPr>
                <w:spacing w:val="-6"/>
              </w:rPr>
              <w:t>10</w:t>
            </w:r>
          </w:p>
        </w:tc>
        <w:tc>
          <w:tcPr>
            <w:tcW w:w="880" w:type="dxa"/>
            <w:vAlign w:val="top"/>
          </w:tcPr>
          <w:p w14:paraId="26E62B18">
            <w:pPr>
              <w:pStyle w:val="6"/>
              <w:spacing w:before="87" w:line="180" w:lineRule="auto"/>
              <w:ind w:left="311"/>
            </w:pPr>
            <w:r>
              <w:rPr>
                <w:spacing w:val="-2"/>
              </w:rPr>
              <w:t>2.0</w:t>
            </w:r>
          </w:p>
        </w:tc>
        <w:tc>
          <w:tcPr>
            <w:tcW w:w="880" w:type="dxa"/>
            <w:vAlign w:val="top"/>
          </w:tcPr>
          <w:p w14:paraId="0A2BD106">
            <w:pPr>
              <w:pStyle w:val="6"/>
              <w:spacing w:before="87" w:line="180" w:lineRule="auto"/>
              <w:ind w:left="212"/>
            </w:pPr>
            <w:r>
              <w:rPr>
                <w:spacing w:val="-2"/>
              </w:rPr>
              <w:t>0.173</w:t>
            </w:r>
          </w:p>
        </w:tc>
        <w:tc>
          <w:tcPr>
            <w:tcW w:w="880" w:type="dxa"/>
            <w:vAlign w:val="top"/>
          </w:tcPr>
          <w:p w14:paraId="287465F3">
            <w:pPr>
              <w:pStyle w:val="6"/>
              <w:spacing w:before="87" w:line="180" w:lineRule="auto"/>
              <w:ind w:left="266"/>
            </w:pPr>
            <w:r>
              <w:rPr>
                <w:spacing w:val="-2"/>
              </w:rPr>
              <w:t>0.05</w:t>
            </w:r>
          </w:p>
        </w:tc>
        <w:tc>
          <w:tcPr>
            <w:tcW w:w="880" w:type="dxa"/>
            <w:vAlign w:val="top"/>
          </w:tcPr>
          <w:p w14:paraId="6FE8306C">
            <w:pPr>
              <w:pStyle w:val="6"/>
              <w:spacing w:before="87" w:line="180" w:lineRule="auto"/>
              <w:ind w:left="268"/>
            </w:pPr>
            <w:r>
              <w:rPr>
                <w:spacing w:val="-2"/>
              </w:rPr>
              <w:t>0.02</w:t>
            </w:r>
          </w:p>
        </w:tc>
        <w:tc>
          <w:tcPr>
            <w:tcW w:w="881" w:type="dxa"/>
            <w:vAlign w:val="top"/>
          </w:tcPr>
          <w:p w14:paraId="63098CF8">
            <w:pPr>
              <w:pStyle w:val="6"/>
              <w:spacing w:before="87" w:line="180" w:lineRule="auto"/>
              <w:ind w:left="218"/>
            </w:pPr>
            <w:r>
              <w:rPr>
                <w:spacing w:val="-2"/>
              </w:rPr>
              <w:t>0.065</w:t>
            </w:r>
          </w:p>
        </w:tc>
        <w:tc>
          <w:tcPr>
            <w:tcW w:w="894" w:type="dxa"/>
            <w:tcBorders>
              <w:right w:val="single" w:color="000000" w:sz="12" w:space="0"/>
            </w:tcBorders>
            <w:vAlign w:val="top"/>
          </w:tcPr>
          <w:p w14:paraId="62F286B5">
            <w:pPr>
              <w:pStyle w:val="6"/>
              <w:spacing w:before="87" w:line="180" w:lineRule="auto"/>
              <w:ind w:left="262"/>
            </w:pPr>
            <w:r>
              <w:rPr>
                <w:spacing w:val="-5"/>
              </w:rPr>
              <w:t>1100</w:t>
            </w:r>
          </w:p>
        </w:tc>
      </w:tr>
      <w:tr w14:paraId="146B1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790F901">
            <w:pPr>
              <w:rPr>
                <w:rFonts w:ascii="Arial"/>
                <w:sz w:val="21"/>
              </w:rPr>
            </w:pPr>
          </w:p>
        </w:tc>
        <w:tc>
          <w:tcPr>
            <w:tcW w:w="285" w:type="dxa"/>
            <w:vMerge w:val="continue"/>
            <w:tcBorders>
              <w:top w:val="nil"/>
            </w:tcBorders>
            <w:vAlign w:val="top"/>
          </w:tcPr>
          <w:p w14:paraId="20A5B0CE">
            <w:pPr>
              <w:rPr>
                <w:rFonts w:ascii="Arial"/>
                <w:sz w:val="21"/>
              </w:rPr>
            </w:pPr>
          </w:p>
        </w:tc>
        <w:tc>
          <w:tcPr>
            <w:tcW w:w="1273" w:type="dxa"/>
            <w:vAlign w:val="top"/>
          </w:tcPr>
          <w:p w14:paraId="7756159A">
            <w:pPr>
              <w:pStyle w:val="6"/>
              <w:spacing w:before="88" w:line="179" w:lineRule="auto"/>
              <w:ind w:left="199"/>
            </w:pPr>
            <w:r>
              <w:rPr>
                <w:spacing w:val="-1"/>
              </w:rPr>
              <w:t>2019/8/08</w:t>
            </w:r>
          </w:p>
        </w:tc>
        <w:tc>
          <w:tcPr>
            <w:tcW w:w="880" w:type="dxa"/>
            <w:vAlign w:val="top"/>
          </w:tcPr>
          <w:p w14:paraId="4763B16D">
            <w:pPr>
              <w:pStyle w:val="6"/>
              <w:spacing w:before="88" w:line="179" w:lineRule="auto"/>
              <w:ind w:left="267"/>
            </w:pPr>
            <w:r>
              <w:rPr>
                <w:spacing w:val="-6"/>
              </w:rPr>
              <w:t>16.7</w:t>
            </w:r>
          </w:p>
        </w:tc>
        <w:tc>
          <w:tcPr>
            <w:tcW w:w="880" w:type="dxa"/>
            <w:vAlign w:val="top"/>
          </w:tcPr>
          <w:p w14:paraId="299AD76F">
            <w:pPr>
              <w:pStyle w:val="6"/>
              <w:spacing w:before="88" w:line="179" w:lineRule="auto"/>
              <w:ind w:left="254"/>
            </w:pPr>
            <w:r>
              <w:rPr>
                <w:spacing w:val="-3"/>
              </w:rPr>
              <w:t>6.16</w:t>
            </w:r>
          </w:p>
        </w:tc>
        <w:tc>
          <w:tcPr>
            <w:tcW w:w="880" w:type="dxa"/>
            <w:vAlign w:val="top"/>
          </w:tcPr>
          <w:p w14:paraId="0461CA83">
            <w:pPr>
              <w:pStyle w:val="6"/>
              <w:spacing w:before="88" w:line="179" w:lineRule="auto"/>
              <w:ind w:left="349"/>
            </w:pPr>
            <w:r>
              <w:rPr>
                <w:spacing w:val="-6"/>
              </w:rPr>
              <w:t>15</w:t>
            </w:r>
          </w:p>
        </w:tc>
        <w:tc>
          <w:tcPr>
            <w:tcW w:w="880" w:type="dxa"/>
            <w:vAlign w:val="top"/>
          </w:tcPr>
          <w:p w14:paraId="094783BF">
            <w:pPr>
              <w:pStyle w:val="6"/>
              <w:spacing w:before="88" w:line="179" w:lineRule="auto"/>
              <w:ind w:left="310"/>
            </w:pPr>
            <w:r>
              <w:rPr>
                <w:spacing w:val="-4"/>
              </w:rPr>
              <w:t>5.5</w:t>
            </w:r>
          </w:p>
        </w:tc>
        <w:tc>
          <w:tcPr>
            <w:tcW w:w="880" w:type="dxa"/>
            <w:vAlign w:val="top"/>
          </w:tcPr>
          <w:p w14:paraId="6BCA7366">
            <w:pPr>
              <w:pStyle w:val="6"/>
              <w:spacing w:before="88" w:line="179" w:lineRule="auto"/>
              <w:ind w:left="311"/>
            </w:pPr>
            <w:r>
              <w:rPr>
                <w:spacing w:val="-3"/>
              </w:rPr>
              <w:t>3.2</w:t>
            </w:r>
          </w:p>
        </w:tc>
        <w:tc>
          <w:tcPr>
            <w:tcW w:w="880" w:type="dxa"/>
            <w:vAlign w:val="top"/>
          </w:tcPr>
          <w:p w14:paraId="660598F2">
            <w:pPr>
              <w:pStyle w:val="6"/>
              <w:spacing w:before="88" w:line="179" w:lineRule="auto"/>
              <w:ind w:left="397"/>
            </w:pPr>
            <w:r>
              <w:t>8</w:t>
            </w:r>
          </w:p>
        </w:tc>
        <w:tc>
          <w:tcPr>
            <w:tcW w:w="880" w:type="dxa"/>
            <w:vAlign w:val="top"/>
          </w:tcPr>
          <w:p w14:paraId="407ED97B">
            <w:pPr>
              <w:pStyle w:val="6"/>
              <w:spacing w:before="88" w:line="179" w:lineRule="auto"/>
              <w:ind w:left="331"/>
            </w:pPr>
            <w:r>
              <w:rPr>
                <w:spacing w:val="-8"/>
              </w:rPr>
              <w:t>1.5</w:t>
            </w:r>
          </w:p>
        </w:tc>
        <w:tc>
          <w:tcPr>
            <w:tcW w:w="880" w:type="dxa"/>
            <w:vAlign w:val="top"/>
          </w:tcPr>
          <w:p w14:paraId="2624A030">
            <w:pPr>
              <w:pStyle w:val="6"/>
              <w:spacing w:before="88" w:line="179" w:lineRule="auto"/>
              <w:ind w:left="212"/>
            </w:pPr>
            <w:r>
              <w:rPr>
                <w:spacing w:val="-2"/>
              </w:rPr>
              <w:t>0.154</w:t>
            </w:r>
          </w:p>
        </w:tc>
        <w:tc>
          <w:tcPr>
            <w:tcW w:w="880" w:type="dxa"/>
            <w:vAlign w:val="top"/>
          </w:tcPr>
          <w:p w14:paraId="5B9360B2">
            <w:pPr>
              <w:pStyle w:val="6"/>
              <w:spacing w:before="88" w:line="179" w:lineRule="auto"/>
              <w:ind w:left="266"/>
            </w:pPr>
            <w:r>
              <w:rPr>
                <w:spacing w:val="-2"/>
              </w:rPr>
              <w:t>0.06</w:t>
            </w:r>
          </w:p>
        </w:tc>
        <w:tc>
          <w:tcPr>
            <w:tcW w:w="880" w:type="dxa"/>
            <w:vAlign w:val="top"/>
          </w:tcPr>
          <w:p w14:paraId="59446FF1">
            <w:pPr>
              <w:pStyle w:val="6"/>
              <w:spacing w:before="88" w:line="179" w:lineRule="auto"/>
              <w:ind w:left="268"/>
            </w:pPr>
            <w:r>
              <w:rPr>
                <w:spacing w:val="-2"/>
              </w:rPr>
              <w:t>0.03</w:t>
            </w:r>
          </w:p>
        </w:tc>
        <w:tc>
          <w:tcPr>
            <w:tcW w:w="881" w:type="dxa"/>
            <w:vAlign w:val="top"/>
          </w:tcPr>
          <w:p w14:paraId="6E91AFA7">
            <w:pPr>
              <w:pStyle w:val="6"/>
              <w:spacing w:before="88" w:line="179" w:lineRule="auto"/>
              <w:ind w:left="218"/>
            </w:pPr>
            <w:r>
              <w:rPr>
                <w:spacing w:val="-2"/>
              </w:rPr>
              <w:t>0.050</w:t>
            </w:r>
          </w:p>
        </w:tc>
        <w:tc>
          <w:tcPr>
            <w:tcW w:w="894" w:type="dxa"/>
            <w:tcBorders>
              <w:right w:val="single" w:color="000000" w:sz="12" w:space="0"/>
            </w:tcBorders>
            <w:vAlign w:val="top"/>
          </w:tcPr>
          <w:p w14:paraId="5B7E56D9">
            <w:pPr>
              <w:pStyle w:val="6"/>
              <w:spacing w:before="88" w:line="179" w:lineRule="auto"/>
              <w:ind w:left="262"/>
            </w:pPr>
            <w:r>
              <w:rPr>
                <w:spacing w:val="-5"/>
              </w:rPr>
              <w:t>1300</w:t>
            </w:r>
          </w:p>
        </w:tc>
      </w:tr>
      <w:tr w14:paraId="622CD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744A3BE">
            <w:pPr>
              <w:rPr>
                <w:rFonts w:ascii="Arial"/>
                <w:sz w:val="21"/>
              </w:rPr>
            </w:pPr>
          </w:p>
        </w:tc>
        <w:tc>
          <w:tcPr>
            <w:tcW w:w="285" w:type="dxa"/>
            <w:vMerge w:val="restart"/>
            <w:tcBorders>
              <w:bottom w:val="nil"/>
            </w:tcBorders>
            <w:vAlign w:val="top"/>
          </w:tcPr>
          <w:p w14:paraId="0768AD76">
            <w:pPr>
              <w:pStyle w:val="6"/>
              <w:spacing w:before="108" w:line="222" w:lineRule="auto"/>
              <w:ind w:left="76"/>
            </w:pPr>
            <w:r>
              <w:t>4</w:t>
            </w:r>
          </w:p>
          <w:p w14:paraId="7465B6D5">
            <w:pPr>
              <w:spacing w:line="219" w:lineRule="auto"/>
              <w:ind w:left="29"/>
              <w:rPr>
                <w:rFonts w:ascii="宋体" w:hAnsi="宋体" w:eastAsia="宋体" w:cs="宋体"/>
                <w:sz w:val="21"/>
                <w:szCs w:val="21"/>
              </w:rPr>
            </w:pPr>
            <w:r>
              <w:rPr>
                <w:rFonts w:ascii="宋体" w:hAnsi="宋体" w:eastAsia="宋体" w:cs="宋体"/>
                <w:sz w:val="21"/>
                <w:szCs w:val="21"/>
              </w:rPr>
              <w:t>季</w:t>
            </w:r>
          </w:p>
          <w:p w14:paraId="47C89E23">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84EEE0A">
            <w:pPr>
              <w:pStyle w:val="6"/>
              <w:spacing w:before="90" w:line="177" w:lineRule="auto"/>
              <w:ind w:left="199"/>
            </w:pPr>
            <w:r>
              <w:rPr>
                <w:spacing w:val="-1"/>
              </w:rPr>
              <w:t>2019/11/9</w:t>
            </w:r>
          </w:p>
        </w:tc>
        <w:tc>
          <w:tcPr>
            <w:tcW w:w="880" w:type="dxa"/>
            <w:vAlign w:val="top"/>
          </w:tcPr>
          <w:p w14:paraId="5E0F26C2">
            <w:pPr>
              <w:pStyle w:val="6"/>
              <w:spacing w:before="90" w:line="177" w:lineRule="auto"/>
              <w:ind w:left="267"/>
            </w:pPr>
            <w:r>
              <w:rPr>
                <w:spacing w:val="-6"/>
              </w:rPr>
              <w:t>13.9</w:t>
            </w:r>
          </w:p>
        </w:tc>
        <w:tc>
          <w:tcPr>
            <w:tcW w:w="880" w:type="dxa"/>
            <w:vAlign w:val="top"/>
          </w:tcPr>
          <w:p w14:paraId="5472E745">
            <w:pPr>
              <w:pStyle w:val="6"/>
              <w:spacing w:before="90" w:line="177" w:lineRule="auto"/>
              <w:ind w:left="254"/>
            </w:pPr>
            <w:r>
              <w:rPr>
                <w:spacing w:val="-3"/>
              </w:rPr>
              <w:t>6.44</w:t>
            </w:r>
          </w:p>
        </w:tc>
        <w:tc>
          <w:tcPr>
            <w:tcW w:w="880" w:type="dxa"/>
            <w:vAlign w:val="top"/>
          </w:tcPr>
          <w:p w14:paraId="0EDBA012">
            <w:pPr>
              <w:pStyle w:val="6"/>
              <w:spacing w:before="90" w:line="177" w:lineRule="auto"/>
              <w:ind w:left="385"/>
            </w:pPr>
            <w:r>
              <w:t>7</w:t>
            </w:r>
          </w:p>
        </w:tc>
        <w:tc>
          <w:tcPr>
            <w:tcW w:w="880" w:type="dxa"/>
            <w:vAlign w:val="top"/>
          </w:tcPr>
          <w:p w14:paraId="1B3C3595">
            <w:pPr>
              <w:pStyle w:val="6"/>
              <w:spacing w:before="90" w:line="177" w:lineRule="auto"/>
              <w:ind w:left="310"/>
            </w:pPr>
            <w:r>
              <w:rPr>
                <w:spacing w:val="-4"/>
              </w:rPr>
              <w:t>5.6</w:t>
            </w:r>
          </w:p>
        </w:tc>
        <w:tc>
          <w:tcPr>
            <w:tcW w:w="880" w:type="dxa"/>
            <w:vAlign w:val="top"/>
          </w:tcPr>
          <w:p w14:paraId="688BF929">
            <w:pPr>
              <w:pStyle w:val="6"/>
              <w:spacing w:before="90" w:line="177" w:lineRule="auto"/>
              <w:ind w:left="307"/>
            </w:pPr>
            <w:r>
              <w:rPr>
                <w:spacing w:val="-2"/>
              </w:rPr>
              <w:t>2.1</w:t>
            </w:r>
          </w:p>
        </w:tc>
        <w:tc>
          <w:tcPr>
            <w:tcW w:w="880" w:type="dxa"/>
            <w:vAlign w:val="top"/>
          </w:tcPr>
          <w:p w14:paraId="3925995B">
            <w:pPr>
              <w:pStyle w:val="6"/>
              <w:spacing w:before="90" w:line="177" w:lineRule="auto"/>
              <w:ind w:left="391"/>
            </w:pPr>
            <w:r>
              <w:t>7</w:t>
            </w:r>
          </w:p>
        </w:tc>
        <w:tc>
          <w:tcPr>
            <w:tcW w:w="880" w:type="dxa"/>
            <w:vAlign w:val="top"/>
          </w:tcPr>
          <w:p w14:paraId="7F15454F">
            <w:pPr>
              <w:pStyle w:val="6"/>
              <w:spacing w:before="90" w:line="177" w:lineRule="auto"/>
              <w:ind w:left="331"/>
            </w:pPr>
            <w:r>
              <w:rPr>
                <w:spacing w:val="-8"/>
              </w:rPr>
              <w:t>1.5</w:t>
            </w:r>
          </w:p>
        </w:tc>
        <w:tc>
          <w:tcPr>
            <w:tcW w:w="880" w:type="dxa"/>
            <w:vAlign w:val="top"/>
          </w:tcPr>
          <w:p w14:paraId="73FF95C5">
            <w:pPr>
              <w:pStyle w:val="6"/>
              <w:spacing w:before="90" w:line="177" w:lineRule="auto"/>
              <w:ind w:left="212"/>
            </w:pPr>
            <w:r>
              <w:rPr>
                <w:spacing w:val="-2"/>
              </w:rPr>
              <w:t>0.142</w:t>
            </w:r>
          </w:p>
        </w:tc>
        <w:tc>
          <w:tcPr>
            <w:tcW w:w="880" w:type="dxa"/>
            <w:vAlign w:val="top"/>
          </w:tcPr>
          <w:p w14:paraId="3D6AE0D9">
            <w:pPr>
              <w:pStyle w:val="6"/>
              <w:spacing w:before="90" w:line="177" w:lineRule="auto"/>
              <w:ind w:left="266"/>
            </w:pPr>
            <w:r>
              <w:rPr>
                <w:spacing w:val="-2"/>
              </w:rPr>
              <w:t>0.02</w:t>
            </w:r>
          </w:p>
        </w:tc>
        <w:tc>
          <w:tcPr>
            <w:tcW w:w="880" w:type="dxa"/>
            <w:vAlign w:val="top"/>
          </w:tcPr>
          <w:p w14:paraId="73AE71D5">
            <w:pPr>
              <w:pStyle w:val="6"/>
              <w:spacing w:before="90" w:line="177" w:lineRule="auto"/>
              <w:ind w:left="268"/>
            </w:pPr>
            <w:r>
              <w:rPr>
                <w:spacing w:val="-2"/>
              </w:rPr>
              <w:t>0.01</w:t>
            </w:r>
          </w:p>
        </w:tc>
        <w:tc>
          <w:tcPr>
            <w:tcW w:w="881" w:type="dxa"/>
            <w:vAlign w:val="top"/>
          </w:tcPr>
          <w:p w14:paraId="46290492">
            <w:pPr>
              <w:pStyle w:val="6"/>
              <w:spacing w:before="90" w:line="177" w:lineRule="auto"/>
              <w:ind w:left="206"/>
            </w:pPr>
            <w:r>
              <w:rPr>
                <w:spacing w:val="-2"/>
              </w:rPr>
              <w:t>0.05L</w:t>
            </w:r>
          </w:p>
        </w:tc>
        <w:tc>
          <w:tcPr>
            <w:tcW w:w="894" w:type="dxa"/>
            <w:tcBorders>
              <w:right w:val="single" w:color="000000" w:sz="12" w:space="0"/>
            </w:tcBorders>
            <w:vAlign w:val="top"/>
          </w:tcPr>
          <w:p w14:paraId="6617320C">
            <w:pPr>
              <w:pStyle w:val="6"/>
              <w:spacing w:before="90" w:line="177" w:lineRule="auto"/>
              <w:ind w:left="352"/>
            </w:pPr>
            <w:r>
              <w:rPr>
                <w:spacing w:val="-3"/>
              </w:rPr>
              <w:t>50</w:t>
            </w:r>
          </w:p>
        </w:tc>
      </w:tr>
      <w:tr w14:paraId="2E38D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0735CDB">
            <w:pPr>
              <w:rPr>
                <w:rFonts w:ascii="Arial"/>
                <w:sz w:val="21"/>
              </w:rPr>
            </w:pPr>
          </w:p>
        </w:tc>
        <w:tc>
          <w:tcPr>
            <w:tcW w:w="285" w:type="dxa"/>
            <w:vMerge w:val="continue"/>
            <w:tcBorders>
              <w:top w:val="nil"/>
              <w:bottom w:val="nil"/>
            </w:tcBorders>
            <w:vAlign w:val="top"/>
          </w:tcPr>
          <w:p w14:paraId="6F762DAE">
            <w:pPr>
              <w:rPr>
                <w:rFonts w:ascii="Arial"/>
                <w:sz w:val="21"/>
              </w:rPr>
            </w:pPr>
          </w:p>
        </w:tc>
        <w:tc>
          <w:tcPr>
            <w:tcW w:w="1273" w:type="dxa"/>
            <w:vAlign w:val="top"/>
          </w:tcPr>
          <w:p w14:paraId="3A567EE1">
            <w:pPr>
              <w:pStyle w:val="6"/>
              <w:spacing w:before="91" w:line="176" w:lineRule="auto"/>
              <w:ind w:left="147"/>
            </w:pPr>
            <w:r>
              <w:rPr>
                <w:spacing w:val="-1"/>
              </w:rPr>
              <w:t>2019/11/10</w:t>
            </w:r>
          </w:p>
        </w:tc>
        <w:tc>
          <w:tcPr>
            <w:tcW w:w="880" w:type="dxa"/>
            <w:vAlign w:val="top"/>
          </w:tcPr>
          <w:p w14:paraId="0D2E5F01">
            <w:pPr>
              <w:pStyle w:val="6"/>
              <w:spacing w:before="91" w:line="176" w:lineRule="auto"/>
              <w:ind w:left="267"/>
            </w:pPr>
            <w:r>
              <w:rPr>
                <w:spacing w:val="-6"/>
              </w:rPr>
              <w:t>14.3</w:t>
            </w:r>
          </w:p>
        </w:tc>
        <w:tc>
          <w:tcPr>
            <w:tcW w:w="880" w:type="dxa"/>
            <w:vAlign w:val="top"/>
          </w:tcPr>
          <w:p w14:paraId="797BC734">
            <w:pPr>
              <w:pStyle w:val="6"/>
              <w:spacing w:before="91" w:line="176" w:lineRule="auto"/>
              <w:ind w:left="254"/>
            </w:pPr>
            <w:r>
              <w:rPr>
                <w:spacing w:val="-3"/>
              </w:rPr>
              <w:t>6.50</w:t>
            </w:r>
          </w:p>
        </w:tc>
        <w:tc>
          <w:tcPr>
            <w:tcW w:w="880" w:type="dxa"/>
            <w:vAlign w:val="top"/>
          </w:tcPr>
          <w:p w14:paraId="0B1827DB">
            <w:pPr>
              <w:pStyle w:val="6"/>
              <w:spacing w:before="91" w:line="176" w:lineRule="auto"/>
              <w:ind w:left="387"/>
            </w:pPr>
            <w:r>
              <w:t>5</w:t>
            </w:r>
          </w:p>
        </w:tc>
        <w:tc>
          <w:tcPr>
            <w:tcW w:w="880" w:type="dxa"/>
            <w:vAlign w:val="top"/>
          </w:tcPr>
          <w:p w14:paraId="00852493">
            <w:pPr>
              <w:pStyle w:val="6"/>
              <w:spacing w:before="91" w:line="176" w:lineRule="auto"/>
              <w:ind w:left="310"/>
            </w:pPr>
            <w:r>
              <w:rPr>
                <w:spacing w:val="-4"/>
              </w:rPr>
              <w:t>5.9</w:t>
            </w:r>
          </w:p>
        </w:tc>
        <w:tc>
          <w:tcPr>
            <w:tcW w:w="880" w:type="dxa"/>
            <w:vAlign w:val="top"/>
          </w:tcPr>
          <w:p w14:paraId="575E2C42">
            <w:pPr>
              <w:pStyle w:val="6"/>
              <w:spacing w:before="91" w:line="176" w:lineRule="auto"/>
              <w:ind w:left="307"/>
            </w:pPr>
            <w:r>
              <w:rPr>
                <w:spacing w:val="-2"/>
              </w:rPr>
              <w:t>2.3</w:t>
            </w:r>
          </w:p>
        </w:tc>
        <w:tc>
          <w:tcPr>
            <w:tcW w:w="880" w:type="dxa"/>
            <w:vAlign w:val="top"/>
          </w:tcPr>
          <w:p w14:paraId="624A1BA6">
            <w:pPr>
              <w:pStyle w:val="6"/>
              <w:spacing w:before="91" w:line="176" w:lineRule="auto"/>
              <w:ind w:left="393"/>
            </w:pPr>
            <w:r>
              <w:t>6</w:t>
            </w:r>
          </w:p>
        </w:tc>
        <w:tc>
          <w:tcPr>
            <w:tcW w:w="880" w:type="dxa"/>
            <w:vAlign w:val="top"/>
          </w:tcPr>
          <w:p w14:paraId="383D4A97">
            <w:pPr>
              <w:pStyle w:val="6"/>
              <w:spacing w:before="91" w:line="176" w:lineRule="auto"/>
              <w:ind w:left="331"/>
            </w:pPr>
            <w:r>
              <w:rPr>
                <w:spacing w:val="-8"/>
              </w:rPr>
              <w:t>1.4</w:t>
            </w:r>
          </w:p>
        </w:tc>
        <w:tc>
          <w:tcPr>
            <w:tcW w:w="880" w:type="dxa"/>
            <w:vAlign w:val="top"/>
          </w:tcPr>
          <w:p w14:paraId="6FE14D5A">
            <w:pPr>
              <w:pStyle w:val="6"/>
              <w:spacing w:before="91" w:line="176" w:lineRule="auto"/>
              <w:ind w:left="212"/>
            </w:pPr>
            <w:r>
              <w:rPr>
                <w:spacing w:val="-2"/>
              </w:rPr>
              <w:t>0.138</w:t>
            </w:r>
          </w:p>
        </w:tc>
        <w:tc>
          <w:tcPr>
            <w:tcW w:w="880" w:type="dxa"/>
            <w:vAlign w:val="top"/>
          </w:tcPr>
          <w:p w14:paraId="624CAD27">
            <w:pPr>
              <w:pStyle w:val="6"/>
              <w:spacing w:before="91" w:line="176" w:lineRule="auto"/>
              <w:ind w:left="266"/>
            </w:pPr>
            <w:r>
              <w:rPr>
                <w:spacing w:val="-2"/>
              </w:rPr>
              <w:t>0.02</w:t>
            </w:r>
          </w:p>
        </w:tc>
        <w:tc>
          <w:tcPr>
            <w:tcW w:w="880" w:type="dxa"/>
            <w:vAlign w:val="top"/>
          </w:tcPr>
          <w:p w14:paraId="3358AE16">
            <w:pPr>
              <w:pStyle w:val="6"/>
              <w:spacing w:before="91" w:line="176" w:lineRule="auto"/>
              <w:ind w:left="268"/>
            </w:pPr>
            <w:r>
              <w:rPr>
                <w:spacing w:val="-2"/>
              </w:rPr>
              <w:t>0.02</w:t>
            </w:r>
          </w:p>
        </w:tc>
        <w:tc>
          <w:tcPr>
            <w:tcW w:w="881" w:type="dxa"/>
            <w:vAlign w:val="top"/>
          </w:tcPr>
          <w:p w14:paraId="1E6D7342">
            <w:pPr>
              <w:pStyle w:val="6"/>
              <w:spacing w:before="91" w:line="176" w:lineRule="auto"/>
              <w:ind w:left="206"/>
            </w:pPr>
            <w:r>
              <w:rPr>
                <w:spacing w:val="-2"/>
              </w:rPr>
              <w:t>0.05L</w:t>
            </w:r>
          </w:p>
        </w:tc>
        <w:tc>
          <w:tcPr>
            <w:tcW w:w="894" w:type="dxa"/>
            <w:tcBorders>
              <w:right w:val="single" w:color="000000" w:sz="12" w:space="0"/>
            </w:tcBorders>
            <w:vAlign w:val="top"/>
          </w:tcPr>
          <w:p w14:paraId="02F79780">
            <w:pPr>
              <w:pStyle w:val="6"/>
              <w:spacing w:before="91" w:line="176" w:lineRule="auto"/>
              <w:ind w:left="351"/>
            </w:pPr>
            <w:r>
              <w:rPr>
                <w:spacing w:val="-3"/>
              </w:rPr>
              <w:t>60</w:t>
            </w:r>
          </w:p>
        </w:tc>
      </w:tr>
      <w:tr w14:paraId="29990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273" w:type="dxa"/>
            <w:vMerge w:val="continue"/>
            <w:tcBorders>
              <w:top w:val="nil"/>
              <w:left w:val="single" w:color="000000" w:sz="12" w:space="0"/>
              <w:bottom w:val="single" w:color="000000" w:sz="12" w:space="0"/>
            </w:tcBorders>
            <w:vAlign w:val="top"/>
          </w:tcPr>
          <w:p w14:paraId="15DC7445">
            <w:pPr>
              <w:rPr>
                <w:rFonts w:ascii="Arial"/>
                <w:sz w:val="21"/>
              </w:rPr>
            </w:pPr>
          </w:p>
        </w:tc>
        <w:tc>
          <w:tcPr>
            <w:tcW w:w="285" w:type="dxa"/>
            <w:vMerge w:val="continue"/>
            <w:tcBorders>
              <w:top w:val="nil"/>
              <w:bottom w:val="single" w:color="000000" w:sz="12" w:space="0"/>
            </w:tcBorders>
            <w:vAlign w:val="top"/>
          </w:tcPr>
          <w:p w14:paraId="0B5B9B2E">
            <w:pPr>
              <w:rPr>
                <w:rFonts w:ascii="Arial"/>
                <w:sz w:val="21"/>
              </w:rPr>
            </w:pPr>
          </w:p>
        </w:tc>
        <w:tc>
          <w:tcPr>
            <w:tcW w:w="1273" w:type="dxa"/>
            <w:tcBorders>
              <w:bottom w:val="single" w:color="000000" w:sz="12" w:space="0"/>
            </w:tcBorders>
            <w:vAlign w:val="top"/>
          </w:tcPr>
          <w:p w14:paraId="7BDEDF38">
            <w:pPr>
              <w:pStyle w:val="6"/>
              <w:spacing w:before="93" w:line="197" w:lineRule="auto"/>
              <w:ind w:left="147"/>
            </w:pPr>
            <w:r>
              <w:rPr>
                <w:spacing w:val="-1"/>
              </w:rPr>
              <w:t>2019/11/11</w:t>
            </w:r>
          </w:p>
        </w:tc>
        <w:tc>
          <w:tcPr>
            <w:tcW w:w="880" w:type="dxa"/>
            <w:tcBorders>
              <w:bottom w:val="single" w:color="000000" w:sz="12" w:space="0"/>
            </w:tcBorders>
            <w:vAlign w:val="top"/>
          </w:tcPr>
          <w:p w14:paraId="4FBE3AA4">
            <w:pPr>
              <w:pStyle w:val="6"/>
              <w:spacing w:before="93" w:line="197" w:lineRule="auto"/>
              <w:ind w:left="267"/>
            </w:pPr>
            <w:r>
              <w:rPr>
                <w:spacing w:val="-6"/>
              </w:rPr>
              <w:t>14.1</w:t>
            </w:r>
          </w:p>
        </w:tc>
        <w:tc>
          <w:tcPr>
            <w:tcW w:w="880" w:type="dxa"/>
            <w:tcBorders>
              <w:bottom w:val="single" w:color="000000" w:sz="12" w:space="0"/>
            </w:tcBorders>
            <w:vAlign w:val="top"/>
          </w:tcPr>
          <w:p w14:paraId="173D0117">
            <w:pPr>
              <w:pStyle w:val="6"/>
              <w:spacing w:before="93" w:line="197" w:lineRule="auto"/>
              <w:ind w:left="254"/>
            </w:pPr>
            <w:r>
              <w:rPr>
                <w:spacing w:val="-3"/>
              </w:rPr>
              <w:t>6.46</w:t>
            </w:r>
          </w:p>
        </w:tc>
        <w:tc>
          <w:tcPr>
            <w:tcW w:w="880" w:type="dxa"/>
            <w:tcBorders>
              <w:bottom w:val="single" w:color="000000" w:sz="12" w:space="0"/>
            </w:tcBorders>
            <w:vAlign w:val="top"/>
          </w:tcPr>
          <w:p w14:paraId="0CAB331E">
            <w:pPr>
              <w:pStyle w:val="6"/>
              <w:spacing w:before="93" w:line="197" w:lineRule="auto"/>
              <w:ind w:left="386"/>
            </w:pPr>
            <w:r>
              <w:t>6</w:t>
            </w:r>
          </w:p>
        </w:tc>
        <w:tc>
          <w:tcPr>
            <w:tcW w:w="880" w:type="dxa"/>
            <w:tcBorders>
              <w:bottom w:val="single" w:color="000000" w:sz="12" w:space="0"/>
            </w:tcBorders>
            <w:vAlign w:val="top"/>
          </w:tcPr>
          <w:p w14:paraId="74630DA1">
            <w:pPr>
              <w:pStyle w:val="6"/>
              <w:spacing w:before="93" w:line="197" w:lineRule="auto"/>
              <w:ind w:left="309"/>
            </w:pPr>
            <w:r>
              <w:rPr>
                <w:spacing w:val="-3"/>
              </w:rPr>
              <w:t>6.1</w:t>
            </w:r>
          </w:p>
        </w:tc>
        <w:tc>
          <w:tcPr>
            <w:tcW w:w="880" w:type="dxa"/>
            <w:tcBorders>
              <w:bottom w:val="single" w:color="000000" w:sz="12" w:space="0"/>
            </w:tcBorders>
            <w:vAlign w:val="top"/>
          </w:tcPr>
          <w:p w14:paraId="4E62B961">
            <w:pPr>
              <w:pStyle w:val="6"/>
              <w:spacing w:before="93" w:line="197" w:lineRule="auto"/>
              <w:ind w:left="307"/>
            </w:pPr>
            <w:r>
              <w:rPr>
                <w:spacing w:val="-2"/>
              </w:rPr>
              <w:t>2.4</w:t>
            </w:r>
          </w:p>
        </w:tc>
        <w:tc>
          <w:tcPr>
            <w:tcW w:w="880" w:type="dxa"/>
            <w:tcBorders>
              <w:bottom w:val="single" w:color="000000" w:sz="12" w:space="0"/>
            </w:tcBorders>
            <w:vAlign w:val="top"/>
          </w:tcPr>
          <w:p w14:paraId="3BAF72D0">
            <w:pPr>
              <w:pStyle w:val="6"/>
              <w:spacing w:before="93" w:line="197" w:lineRule="auto"/>
              <w:ind w:left="392"/>
            </w:pPr>
            <w:r>
              <w:t>9</w:t>
            </w:r>
          </w:p>
        </w:tc>
        <w:tc>
          <w:tcPr>
            <w:tcW w:w="880" w:type="dxa"/>
            <w:tcBorders>
              <w:bottom w:val="single" w:color="000000" w:sz="12" w:space="0"/>
            </w:tcBorders>
            <w:vAlign w:val="top"/>
          </w:tcPr>
          <w:p w14:paraId="7CCAFFBD">
            <w:pPr>
              <w:pStyle w:val="6"/>
              <w:spacing w:before="93" w:line="197" w:lineRule="auto"/>
              <w:ind w:left="331"/>
            </w:pPr>
            <w:r>
              <w:rPr>
                <w:spacing w:val="-8"/>
              </w:rPr>
              <w:t>1.8</w:t>
            </w:r>
          </w:p>
        </w:tc>
        <w:tc>
          <w:tcPr>
            <w:tcW w:w="880" w:type="dxa"/>
            <w:tcBorders>
              <w:bottom w:val="single" w:color="000000" w:sz="12" w:space="0"/>
            </w:tcBorders>
            <w:vAlign w:val="top"/>
          </w:tcPr>
          <w:p w14:paraId="5C5FFED8">
            <w:pPr>
              <w:pStyle w:val="6"/>
              <w:spacing w:before="93" w:line="197" w:lineRule="auto"/>
              <w:ind w:left="212"/>
            </w:pPr>
            <w:r>
              <w:rPr>
                <w:spacing w:val="-2"/>
              </w:rPr>
              <w:t>0.149</w:t>
            </w:r>
          </w:p>
        </w:tc>
        <w:tc>
          <w:tcPr>
            <w:tcW w:w="880" w:type="dxa"/>
            <w:tcBorders>
              <w:bottom w:val="single" w:color="000000" w:sz="12" w:space="0"/>
            </w:tcBorders>
            <w:vAlign w:val="top"/>
          </w:tcPr>
          <w:p w14:paraId="51955A8E">
            <w:pPr>
              <w:pStyle w:val="6"/>
              <w:spacing w:before="93" w:line="197" w:lineRule="auto"/>
              <w:ind w:left="266"/>
            </w:pPr>
            <w:r>
              <w:rPr>
                <w:spacing w:val="-2"/>
              </w:rPr>
              <w:t>0.01</w:t>
            </w:r>
          </w:p>
        </w:tc>
        <w:tc>
          <w:tcPr>
            <w:tcW w:w="880" w:type="dxa"/>
            <w:tcBorders>
              <w:bottom w:val="single" w:color="000000" w:sz="12" w:space="0"/>
            </w:tcBorders>
            <w:vAlign w:val="top"/>
          </w:tcPr>
          <w:p w14:paraId="0D78F328">
            <w:pPr>
              <w:pStyle w:val="6"/>
              <w:spacing w:before="93" w:line="197" w:lineRule="auto"/>
              <w:ind w:left="268"/>
            </w:pPr>
            <w:r>
              <w:rPr>
                <w:spacing w:val="-2"/>
              </w:rPr>
              <w:t>0.01</w:t>
            </w:r>
          </w:p>
        </w:tc>
        <w:tc>
          <w:tcPr>
            <w:tcW w:w="881" w:type="dxa"/>
            <w:tcBorders>
              <w:bottom w:val="single" w:color="000000" w:sz="12" w:space="0"/>
            </w:tcBorders>
            <w:vAlign w:val="top"/>
          </w:tcPr>
          <w:p w14:paraId="2138E057">
            <w:pPr>
              <w:pStyle w:val="6"/>
              <w:spacing w:before="93" w:line="197" w:lineRule="auto"/>
              <w:ind w:left="206"/>
            </w:pPr>
            <w:r>
              <w:rPr>
                <w:spacing w:val="-2"/>
              </w:rPr>
              <w:t>0.05L</w:t>
            </w:r>
          </w:p>
        </w:tc>
        <w:tc>
          <w:tcPr>
            <w:tcW w:w="894" w:type="dxa"/>
            <w:tcBorders>
              <w:bottom w:val="single" w:color="000000" w:sz="12" w:space="0"/>
              <w:right w:val="single" w:color="000000" w:sz="12" w:space="0"/>
            </w:tcBorders>
            <w:vAlign w:val="top"/>
          </w:tcPr>
          <w:p w14:paraId="0D9FFFCA">
            <w:pPr>
              <w:pStyle w:val="6"/>
              <w:spacing w:before="93" w:line="197" w:lineRule="auto"/>
              <w:ind w:left="351"/>
            </w:pPr>
            <w:r>
              <w:rPr>
                <w:spacing w:val="-3"/>
              </w:rPr>
              <w:t>60</w:t>
            </w:r>
          </w:p>
        </w:tc>
      </w:tr>
    </w:tbl>
    <w:p w14:paraId="00CE5D04">
      <w:pPr>
        <w:rPr>
          <w:rFonts w:ascii="Arial"/>
          <w:sz w:val="21"/>
        </w:rPr>
      </w:pPr>
    </w:p>
    <w:p w14:paraId="1DEFE052">
      <w:pPr>
        <w:rPr>
          <w:rFonts w:ascii="Arial" w:hAnsi="Arial" w:eastAsia="Arial" w:cs="Arial"/>
          <w:sz w:val="21"/>
          <w:szCs w:val="21"/>
        </w:rPr>
        <w:sectPr>
          <w:footerReference r:id="rId240" w:type="default"/>
          <w:pgSz w:w="16839" w:h="11907"/>
          <w:pgMar w:top="1376" w:right="1669" w:bottom="1061" w:left="1671" w:header="999" w:footer="859" w:gutter="0"/>
          <w:cols w:space="720" w:num="1"/>
        </w:sectPr>
      </w:pPr>
    </w:p>
    <w:p w14:paraId="5E662710">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6B5FD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273" w:type="dxa"/>
            <w:tcBorders>
              <w:top w:val="single" w:color="000000" w:sz="12" w:space="0"/>
              <w:left w:val="single" w:color="000000" w:sz="12" w:space="0"/>
            </w:tcBorders>
            <w:vAlign w:val="top"/>
          </w:tcPr>
          <w:p w14:paraId="05ED5242">
            <w:pPr>
              <w:spacing w:line="250" w:lineRule="auto"/>
              <w:rPr>
                <w:rFonts w:ascii="Arial"/>
                <w:sz w:val="21"/>
              </w:rPr>
            </w:pPr>
          </w:p>
          <w:p w14:paraId="3B509719">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691DDDF4">
            <w:pPr>
              <w:spacing w:line="250" w:lineRule="auto"/>
              <w:rPr>
                <w:rFonts w:ascii="Arial"/>
                <w:sz w:val="21"/>
              </w:rPr>
            </w:pPr>
          </w:p>
          <w:p w14:paraId="6C4598D2">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16C7DEDF">
            <w:pPr>
              <w:spacing w:before="183"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6A98D5FC">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701C86CF">
            <w:pPr>
              <w:spacing w:before="29"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2F601253">
            <w:pPr>
              <w:spacing w:line="295" w:lineRule="auto"/>
              <w:rPr>
                <w:rFonts w:ascii="Arial"/>
                <w:sz w:val="21"/>
              </w:rPr>
            </w:pPr>
          </w:p>
          <w:p w14:paraId="35F9C429">
            <w:pPr>
              <w:pStyle w:val="6"/>
              <w:spacing w:before="60" w:line="186" w:lineRule="auto"/>
              <w:ind w:left="326"/>
            </w:pPr>
            <w:r>
              <w:rPr>
                <w:spacing w:val="-7"/>
              </w:rPr>
              <w:t>SS</w:t>
            </w:r>
          </w:p>
        </w:tc>
        <w:tc>
          <w:tcPr>
            <w:tcW w:w="880" w:type="dxa"/>
            <w:tcBorders>
              <w:top w:val="single" w:color="000000" w:sz="12" w:space="0"/>
            </w:tcBorders>
            <w:vAlign w:val="top"/>
          </w:tcPr>
          <w:p w14:paraId="64FA8E3F">
            <w:pPr>
              <w:spacing w:line="295" w:lineRule="auto"/>
              <w:rPr>
                <w:rFonts w:ascii="Arial"/>
                <w:sz w:val="21"/>
              </w:rPr>
            </w:pPr>
          </w:p>
          <w:p w14:paraId="545719BA">
            <w:pPr>
              <w:pStyle w:val="6"/>
              <w:spacing w:before="60" w:line="186" w:lineRule="auto"/>
              <w:ind w:left="283"/>
            </w:pPr>
            <w:r>
              <w:rPr>
                <w:spacing w:val="-2"/>
              </w:rPr>
              <w:t>DO</w:t>
            </w:r>
          </w:p>
        </w:tc>
        <w:tc>
          <w:tcPr>
            <w:tcW w:w="880" w:type="dxa"/>
            <w:tcBorders>
              <w:top w:val="single" w:color="000000" w:sz="12" w:space="0"/>
            </w:tcBorders>
            <w:vAlign w:val="top"/>
          </w:tcPr>
          <w:p w14:paraId="7ED31570">
            <w:pPr>
              <w:spacing w:line="294" w:lineRule="auto"/>
              <w:rPr>
                <w:rFonts w:ascii="Arial"/>
                <w:sz w:val="21"/>
              </w:rPr>
            </w:pPr>
          </w:p>
          <w:p w14:paraId="252CD458">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506A3EC0">
            <w:pPr>
              <w:spacing w:line="295" w:lineRule="auto"/>
              <w:rPr>
                <w:rFonts w:ascii="Arial"/>
                <w:sz w:val="21"/>
              </w:rPr>
            </w:pPr>
          </w:p>
          <w:p w14:paraId="69EAB295">
            <w:pPr>
              <w:pStyle w:val="6"/>
              <w:spacing w:before="60" w:line="186" w:lineRule="auto"/>
              <w:ind w:left="222"/>
            </w:pPr>
            <w:r>
              <w:rPr>
                <w:spacing w:val="-3"/>
              </w:rPr>
              <w:t>COD</w:t>
            </w:r>
          </w:p>
        </w:tc>
        <w:tc>
          <w:tcPr>
            <w:tcW w:w="880" w:type="dxa"/>
            <w:tcBorders>
              <w:top w:val="single" w:color="000000" w:sz="12" w:space="0"/>
            </w:tcBorders>
            <w:vAlign w:val="top"/>
          </w:tcPr>
          <w:p w14:paraId="5AB77F27">
            <w:pPr>
              <w:spacing w:line="295" w:lineRule="auto"/>
              <w:rPr>
                <w:rFonts w:ascii="Arial"/>
                <w:sz w:val="21"/>
              </w:rPr>
            </w:pPr>
          </w:p>
          <w:p w14:paraId="036647AF">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583D4663">
            <w:pPr>
              <w:spacing w:line="298" w:lineRule="auto"/>
              <w:rPr>
                <w:rFonts w:ascii="Arial"/>
                <w:sz w:val="21"/>
              </w:rPr>
            </w:pPr>
          </w:p>
          <w:p w14:paraId="3F0D1149">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6D47B782">
            <w:pPr>
              <w:spacing w:line="298" w:lineRule="auto"/>
              <w:rPr>
                <w:rFonts w:ascii="Arial"/>
                <w:sz w:val="21"/>
              </w:rPr>
            </w:pPr>
          </w:p>
          <w:p w14:paraId="51677066">
            <w:pPr>
              <w:pStyle w:val="6"/>
              <w:spacing w:before="60" w:line="183" w:lineRule="auto"/>
              <w:ind w:left="326"/>
            </w:pPr>
            <w:r>
              <w:rPr>
                <w:spacing w:val="-4"/>
              </w:rPr>
              <w:t>TP</w:t>
            </w:r>
          </w:p>
        </w:tc>
        <w:tc>
          <w:tcPr>
            <w:tcW w:w="880" w:type="dxa"/>
            <w:tcBorders>
              <w:top w:val="single" w:color="000000" w:sz="12" w:space="0"/>
            </w:tcBorders>
            <w:vAlign w:val="top"/>
          </w:tcPr>
          <w:p w14:paraId="397451FF">
            <w:pPr>
              <w:spacing w:line="249" w:lineRule="auto"/>
              <w:rPr>
                <w:rFonts w:ascii="Arial"/>
                <w:sz w:val="21"/>
              </w:rPr>
            </w:pPr>
          </w:p>
          <w:p w14:paraId="650FB851">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10523C23">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73622D4D">
            <w:pPr>
              <w:spacing w:before="21"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6B8A68CD">
            <w:pPr>
              <w:pStyle w:val="6"/>
              <w:spacing w:before="46"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097DD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6D9D8C55">
            <w:pPr>
              <w:spacing w:line="286" w:lineRule="auto"/>
              <w:rPr>
                <w:rFonts w:ascii="Arial"/>
                <w:sz w:val="21"/>
              </w:rPr>
            </w:pPr>
          </w:p>
          <w:p w14:paraId="5C73CD73">
            <w:pPr>
              <w:spacing w:line="287" w:lineRule="auto"/>
              <w:rPr>
                <w:rFonts w:ascii="Arial"/>
                <w:sz w:val="21"/>
              </w:rPr>
            </w:pPr>
          </w:p>
          <w:p w14:paraId="3172AB7C">
            <w:pPr>
              <w:spacing w:line="287" w:lineRule="auto"/>
              <w:rPr>
                <w:rFonts w:ascii="Arial"/>
                <w:sz w:val="21"/>
              </w:rPr>
            </w:pPr>
          </w:p>
          <w:p w14:paraId="1508CCB8">
            <w:pPr>
              <w:spacing w:line="287" w:lineRule="auto"/>
              <w:rPr>
                <w:rFonts w:ascii="Arial"/>
                <w:sz w:val="21"/>
              </w:rPr>
            </w:pPr>
          </w:p>
          <w:p w14:paraId="0D90262A">
            <w:pPr>
              <w:spacing w:before="68" w:line="239" w:lineRule="auto"/>
              <w:ind w:left="102" w:right="114"/>
              <w:rPr>
                <w:rFonts w:ascii="宋体" w:hAnsi="宋体" w:eastAsia="宋体" w:cs="宋体"/>
                <w:sz w:val="21"/>
                <w:szCs w:val="21"/>
              </w:rPr>
            </w:pPr>
            <w:r>
              <w:rPr>
                <w:rFonts w:ascii="宋体" w:hAnsi="宋体" w:eastAsia="宋体" w:cs="宋体"/>
                <w:spacing w:val="-3"/>
                <w:sz w:val="21"/>
                <w:szCs w:val="21"/>
              </w:rPr>
              <w:t>马龙河干流</w:t>
            </w:r>
            <w:r>
              <w:rPr>
                <w:rFonts w:ascii="宋体" w:hAnsi="宋体" w:eastAsia="宋体" w:cs="宋体"/>
                <w:spacing w:val="-4"/>
                <w:sz w:val="21"/>
                <w:szCs w:val="21"/>
              </w:rPr>
              <w:t>（红桥河汇</w:t>
            </w:r>
          </w:p>
          <w:p w14:paraId="435772F9">
            <w:pPr>
              <w:pStyle w:val="6"/>
              <w:spacing w:before="1" w:line="253" w:lineRule="auto"/>
              <w:ind w:left="332" w:right="324" w:firstLine="6"/>
              <w:rPr>
                <w:rFonts w:ascii="宋体" w:hAnsi="宋体" w:eastAsia="宋体" w:cs="宋体"/>
              </w:rPr>
            </w:pPr>
            <w:r>
              <w:rPr>
                <w:rFonts w:ascii="宋体" w:hAnsi="宋体" w:eastAsia="宋体" w:cs="宋体"/>
                <w:spacing w:val="-14"/>
              </w:rPr>
              <w:t>口下游</w:t>
            </w:r>
            <w:r>
              <w:rPr>
                <w:spacing w:val="-3"/>
              </w:rPr>
              <w:t>50m</w:t>
            </w:r>
            <w:r>
              <w:rPr>
                <w:rFonts w:ascii="宋体" w:hAnsi="宋体" w:eastAsia="宋体" w:cs="宋体"/>
                <w:spacing w:val="-3"/>
              </w:rPr>
              <w:t>）</w:t>
            </w:r>
          </w:p>
        </w:tc>
        <w:tc>
          <w:tcPr>
            <w:tcW w:w="285" w:type="dxa"/>
            <w:vMerge w:val="restart"/>
            <w:tcBorders>
              <w:bottom w:val="nil"/>
            </w:tcBorders>
            <w:vAlign w:val="top"/>
          </w:tcPr>
          <w:p w14:paraId="44EDE267">
            <w:pPr>
              <w:pStyle w:val="6"/>
              <w:spacing w:before="84" w:line="222" w:lineRule="auto"/>
              <w:ind w:left="97"/>
            </w:pPr>
            <w:r>
              <w:t>1</w:t>
            </w:r>
          </w:p>
          <w:p w14:paraId="75B93125">
            <w:pPr>
              <w:spacing w:line="219" w:lineRule="auto"/>
              <w:ind w:left="29"/>
              <w:rPr>
                <w:rFonts w:ascii="宋体" w:hAnsi="宋体" w:eastAsia="宋体" w:cs="宋体"/>
                <w:sz w:val="21"/>
                <w:szCs w:val="21"/>
              </w:rPr>
            </w:pPr>
            <w:r>
              <w:rPr>
                <w:rFonts w:ascii="宋体" w:hAnsi="宋体" w:eastAsia="宋体" w:cs="宋体"/>
                <w:sz w:val="21"/>
                <w:szCs w:val="21"/>
              </w:rPr>
              <w:t>季</w:t>
            </w:r>
          </w:p>
          <w:p w14:paraId="62803456">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BFFED3D">
            <w:pPr>
              <w:pStyle w:val="6"/>
              <w:spacing w:before="66" w:line="201" w:lineRule="auto"/>
              <w:ind w:left="199"/>
            </w:pPr>
            <w:r>
              <w:rPr>
                <w:spacing w:val="-1"/>
              </w:rPr>
              <w:t>2019/1/15</w:t>
            </w:r>
          </w:p>
        </w:tc>
        <w:tc>
          <w:tcPr>
            <w:tcW w:w="880" w:type="dxa"/>
            <w:vAlign w:val="top"/>
          </w:tcPr>
          <w:p w14:paraId="4E16FA1D">
            <w:pPr>
              <w:pStyle w:val="6"/>
              <w:spacing w:before="66" w:line="201" w:lineRule="auto"/>
              <w:ind w:left="267"/>
            </w:pPr>
            <w:r>
              <w:rPr>
                <w:spacing w:val="-6"/>
              </w:rPr>
              <w:t>13.1</w:t>
            </w:r>
          </w:p>
        </w:tc>
        <w:tc>
          <w:tcPr>
            <w:tcW w:w="880" w:type="dxa"/>
            <w:vAlign w:val="top"/>
          </w:tcPr>
          <w:p w14:paraId="70ACFA97">
            <w:pPr>
              <w:pStyle w:val="6"/>
              <w:spacing w:before="66" w:line="201" w:lineRule="auto"/>
              <w:ind w:left="254"/>
            </w:pPr>
            <w:r>
              <w:rPr>
                <w:spacing w:val="-3"/>
              </w:rPr>
              <w:t>6.45</w:t>
            </w:r>
          </w:p>
        </w:tc>
        <w:tc>
          <w:tcPr>
            <w:tcW w:w="880" w:type="dxa"/>
            <w:vAlign w:val="top"/>
          </w:tcPr>
          <w:p w14:paraId="50974179">
            <w:pPr>
              <w:pStyle w:val="6"/>
              <w:spacing w:before="66" w:line="201" w:lineRule="auto"/>
              <w:ind w:left="349"/>
            </w:pPr>
            <w:r>
              <w:rPr>
                <w:spacing w:val="-12"/>
              </w:rPr>
              <w:t>10</w:t>
            </w:r>
          </w:p>
        </w:tc>
        <w:tc>
          <w:tcPr>
            <w:tcW w:w="880" w:type="dxa"/>
            <w:vAlign w:val="top"/>
          </w:tcPr>
          <w:p w14:paraId="3877149E">
            <w:pPr>
              <w:pStyle w:val="6"/>
              <w:spacing w:before="66" w:line="201" w:lineRule="auto"/>
              <w:ind w:left="309"/>
            </w:pPr>
            <w:r>
              <w:rPr>
                <w:spacing w:val="-3"/>
              </w:rPr>
              <w:t>6.7</w:t>
            </w:r>
          </w:p>
        </w:tc>
        <w:tc>
          <w:tcPr>
            <w:tcW w:w="880" w:type="dxa"/>
            <w:vAlign w:val="top"/>
          </w:tcPr>
          <w:p w14:paraId="743D9C08">
            <w:pPr>
              <w:pStyle w:val="6"/>
              <w:spacing w:before="66" w:line="201" w:lineRule="auto"/>
              <w:ind w:left="327"/>
            </w:pPr>
            <w:r>
              <w:rPr>
                <w:spacing w:val="-8"/>
              </w:rPr>
              <w:t>1.3</w:t>
            </w:r>
          </w:p>
        </w:tc>
        <w:tc>
          <w:tcPr>
            <w:tcW w:w="880" w:type="dxa"/>
            <w:vAlign w:val="top"/>
          </w:tcPr>
          <w:p w14:paraId="433F3BE4">
            <w:pPr>
              <w:pStyle w:val="6"/>
              <w:spacing w:before="66" w:line="201" w:lineRule="auto"/>
              <w:ind w:left="391"/>
            </w:pPr>
            <w:r>
              <w:t>7</w:t>
            </w:r>
          </w:p>
        </w:tc>
        <w:tc>
          <w:tcPr>
            <w:tcW w:w="880" w:type="dxa"/>
            <w:vAlign w:val="top"/>
          </w:tcPr>
          <w:p w14:paraId="5C99ABE2">
            <w:pPr>
              <w:pStyle w:val="6"/>
              <w:spacing w:before="66" w:line="201" w:lineRule="auto"/>
              <w:ind w:left="314"/>
            </w:pPr>
            <w:r>
              <w:rPr>
                <w:spacing w:val="-3"/>
              </w:rPr>
              <w:t>0.7</w:t>
            </w:r>
          </w:p>
        </w:tc>
        <w:tc>
          <w:tcPr>
            <w:tcW w:w="880" w:type="dxa"/>
            <w:vAlign w:val="top"/>
          </w:tcPr>
          <w:p w14:paraId="48FAD070">
            <w:pPr>
              <w:pStyle w:val="6"/>
              <w:spacing w:before="66" w:line="201" w:lineRule="auto"/>
              <w:ind w:left="212"/>
            </w:pPr>
            <w:r>
              <w:rPr>
                <w:spacing w:val="-2"/>
              </w:rPr>
              <w:t>0.199</w:t>
            </w:r>
          </w:p>
        </w:tc>
        <w:tc>
          <w:tcPr>
            <w:tcW w:w="880" w:type="dxa"/>
            <w:vAlign w:val="top"/>
          </w:tcPr>
          <w:p w14:paraId="3F05E6FA">
            <w:pPr>
              <w:pStyle w:val="6"/>
              <w:spacing w:before="66" w:line="201" w:lineRule="auto"/>
              <w:ind w:left="266"/>
            </w:pPr>
            <w:r>
              <w:rPr>
                <w:spacing w:val="-2"/>
              </w:rPr>
              <w:t>0.02</w:t>
            </w:r>
          </w:p>
        </w:tc>
        <w:tc>
          <w:tcPr>
            <w:tcW w:w="880" w:type="dxa"/>
            <w:vAlign w:val="top"/>
          </w:tcPr>
          <w:p w14:paraId="490D8F7F">
            <w:pPr>
              <w:pStyle w:val="6"/>
              <w:spacing w:before="66" w:line="201" w:lineRule="auto"/>
              <w:ind w:left="268"/>
            </w:pPr>
            <w:r>
              <w:rPr>
                <w:spacing w:val="-2"/>
              </w:rPr>
              <w:t>0.02</w:t>
            </w:r>
          </w:p>
        </w:tc>
        <w:tc>
          <w:tcPr>
            <w:tcW w:w="881" w:type="dxa"/>
            <w:vAlign w:val="top"/>
          </w:tcPr>
          <w:p w14:paraId="573F715F">
            <w:pPr>
              <w:pStyle w:val="6"/>
              <w:spacing w:before="66" w:line="201" w:lineRule="auto"/>
              <w:ind w:left="206"/>
            </w:pPr>
            <w:r>
              <w:rPr>
                <w:spacing w:val="-1"/>
              </w:rPr>
              <w:t>0.05L</w:t>
            </w:r>
          </w:p>
        </w:tc>
        <w:tc>
          <w:tcPr>
            <w:tcW w:w="894" w:type="dxa"/>
            <w:tcBorders>
              <w:right w:val="single" w:color="000000" w:sz="12" w:space="0"/>
            </w:tcBorders>
            <w:vAlign w:val="top"/>
          </w:tcPr>
          <w:p w14:paraId="2AA88CEE">
            <w:pPr>
              <w:pStyle w:val="6"/>
              <w:spacing w:before="66" w:line="201" w:lineRule="auto"/>
              <w:ind w:left="294"/>
            </w:pPr>
            <w:r>
              <w:rPr>
                <w:spacing w:val="-2"/>
              </w:rPr>
              <w:t>490</w:t>
            </w:r>
          </w:p>
        </w:tc>
      </w:tr>
      <w:tr w14:paraId="76C4D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27E9C48">
            <w:pPr>
              <w:rPr>
                <w:rFonts w:ascii="Arial"/>
                <w:sz w:val="21"/>
              </w:rPr>
            </w:pPr>
          </w:p>
        </w:tc>
        <w:tc>
          <w:tcPr>
            <w:tcW w:w="285" w:type="dxa"/>
            <w:vMerge w:val="continue"/>
            <w:tcBorders>
              <w:top w:val="nil"/>
              <w:bottom w:val="nil"/>
            </w:tcBorders>
            <w:vAlign w:val="top"/>
          </w:tcPr>
          <w:p w14:paraId="4468BB47">
            <w:pPr>
              <w:rPr>
                <w:rFonts w:ascii="Arial"/>
                <w:sz w:val="21"/>
              </w:rPr>
            </w:pPr>
          </w:p>
        </w:tc>
        <w:tc>
          <w:tcPr>
            <w:tcW w:w="1273" w:type="dxa"/>
            <w:vAlign w:val="top"/>
          </w:tcPr>
          <w:p w14:paraId="35601C72">
            <w:pPr>
              <w:pStyle w:val="6"/>
              <w:spacing w:before="68" w:line="199" w:lineRule="auto"/>
              <w:ind w:left="199"/>
            </w:pPr>
            <w:r>
              <w:rPr>
                <w:spacing w:val="-1"/>
              </w:rPr>
              <w:t>2019/1/16</w:t>
            </w:r>
          </w:p>
        </w:tc>
        <w:tc>
          <w:tcPr>
            <w:tcW w:w="880" w:type="dxa"/>
            <w:vAlign w:val="top"/>
          </w:tcPr>
          <w:p w14:paraId="3AECC284">
            <w:pPr>
              <w:pStyle w:val="6"/>
              <w:spacing w:before="68" w:line="199" w:lineRule="auto"/>
              <w:ind w:left="267"/>
            </w:pPr>
            <w:r>
              <w:rPr>
                <w:spacing w:val="-6"/>
              </w:rPr>
              <w:t>12.7</w:t>
            </w:r>
          </w:p>
        </w:tc>
        <w:tc>
          <w:tcPr>
            <w:tcW w:w="880" w:type="dxa"/>
            <w:vAlign w:val="top"/>
          </w:tcPr>
          <w:p w14:paraId="5EFF1A89">
            <w:pPr>
              <w:pStyle w:val="6"/>
              <w:spacing w:before="68" w:line="199" w:lineRule="auto"/>
              <w:ind w:left="254"/>
            </w:pPr>
            <w:r>
              <w:rPr>
                <w:spacing w:val="-3"/>
              </w:rPr>
              <w:t>6.39</w:t>
            </w:r>
          </w:p>
        </w:tc>
        <w:tc>
          <w:tcPr>
            <w:tcW w:w="880" w:type="dxa"/>
            <w:vAlign w:val="top"/>
          </w:tcPr>
          <w:p w14:paraId="58C867DD">
            <w:pPr>
              <w:pStyle w:val="6"/>
              <w:spacing w:before="68" w:line="199" w:lineRule="auto"/>
              <w:ind w:left="349"/>
            </w:pPr>
            <w:r>
              <w:rPr>
                <w:spacing w:val="-12"/>
              </w:rPr>
              <w:t>12</w:t>
            </w:r>
          </w:p>
        </w:tc>
        <w:tc>
          <w:tcPr>
            <w:tcW w:w="880" w:type="dxa"/>
            <w:vAlign w:val="top"/>
          </w:tcPr>
          <w:p w14:paraId="44B24840">
            <w:pPr>
              <w:pStyle w:val="6"/>
              <w:spacing w:before="68" w:line="199" w:lineRule="auto"/>
              <w:ind w:left="309"/>
            </w:pPr>
            <w:r>
              <w:rPr>
                <w:spacing w:val="-3"/>
              </w:rPr>
              <w:t>6.4</w:t>
            </w:r>
          </w:p>
        </w:tc>
        <w:tc>
          <w:tcPr>
            <w:tcW w:w="880" w:type="dxa"/>
            <w:vAlign w:val="top"/>
          </w:tcPr>
          <w:p w14:paraId="18E3B29D">
            <w:pPr>
              <w:pStyle w:val="6"/>
              <w:spacing w:before="68" w:line="199" w:lineRule="auto"/>
              <w:ind w:left="327"/>
            </w:pPr>
            <w:r>
              <w:rPr>
                <w:spacing w:val="-8"/>
              </w:rPr>
              <w:t>1.2</w:t>
            </w:r>
          </w:p>
        </w:tc>
        <w:tc>
          <w:tcPr>
            <w:tcW w:w="880" w:type="dxa"/>
            <w:vAlign w:val="top"/>
          </w:tcPr>
          <w:p w14:paraId="5DF1396A">
            <w:pPr>
              <w:pStyle w:val="6"/>
              <w:spacing w:before="68" w:line="199" w:lineRule="auto"/>
              <w:ind w:left="393"/>
            </w:pPr>
            <w:r>
              <w:t>6</w:t>
            </w:r>
          </w:p>
        </w:tc>
        <w:tc>
          <w:tcPr>
            <w:tcW w:w="880" w:type="dxa"/>
            <w:vAlign w:val="top"/>
          </w:tcPr>
          <w:p w14:paraId="058116AB">
            <w:pPr>
              <w:pStyle w:val="6"/>
              <w:spacing w:before="68" w:line="199" w:lineRule="auto"/>
              <w:ind w:left="314"/>
            </w:pPr>
            <w:r>
              <w:rPr>
                <w:spacing w:val="-3"/>
              </w:rPr>
              <w:t>0.6</w:t>
            </w:r>
          </w:p>
        </w:tc>
        <w:tc>
          <w:tcPr>
            <w:tcW w:w="880" w:type="dxa"/>
            <w:vAlign w:val="top"/>
          </w:tcPr>
          <w:p w14:paraId="6E4D05B0">
            <w:pPr>
              <w:pStyle w:val="6"/>
              <w:spacing w:before="68" w:line="199" w:lineRule="auto"/>
              <w:ind w:left="212"/>
            </w:pPr>
            <w:r>
              <w:rPr>
                <w:spacing w:val="-2"/>
              </w:rPr>
              <w:t>0.207</w:t>
            </w:r>
          </w:p>
        </w:tc>
        <w:tc>
          <w:tcPr>
            <w:tcW w:w="880" w:type="dxa"/>
            <w:vAlign w:val="top"/>
          </w:tcPr>
          <w:p w14:paraId="1738B1C8">
            <w:pPr>
              <w:pStyle w:val="6"/>
              <w:spacing w:before="68" w:line="199" w:lineRule="auto"/>
              <w:ind w:left="266"/>
            </w:pPr>
            <w:r>
              <w:rPr>
                <w:spacing w:val="-2"/>
              </w:rPr>
              <w:t>0.01</w:t>
            </w:r>
          </w:p>
        </w:tc>
        <w:tc>
          <w:tcPr>
            <w:tcW w:w="880" w:type="dxa"/>
            <w:vAlign w:val="top"/>
          </w:tcPr>
          <w:p w14:paraId="5CF635B1">
            <w:pPr>
              <w:pStyle w:val="6"/>
              <w:spacing w:before="68" w:line="199" w:lineRule="auto"/>
              <w:ind w:left="204"/>
            </w:pPr>
            <w:r>
              <w:rPr>
                <w:spacing w:val="-1"/>
              </w:rPr>
              <w:t>0.01L</w:t>
            </w:r>
          </w:p>
        </w:tc>
        <w:tc>
          <w:tcPr>
            <w:tcW w:w="881" w:type="dxa"/>
            <w:vAlign w:val="top"/>
          </w:tcPr>
          <w:p w14:paraId="3A7810F8">
            <w:pPr>
              <w:pStyle w:val="6"/>
              <w:spacing w:before="68" w:line="199" w:lineRule="auto"/>
              <w:ind w:left="206"/>
            </w:pPr>
            <w:r>
              <w:rPr>
                <w:spacing w:val="-1"/>
              </w:rPr>
              <w:t>0.05L</w:t>
            </w:r>
          </w:p>
        </w:tc>
        <w:tc>
          <w:tcPr>
            <w:tcW w:w="894" w:type="dxa"/>
            <w:tcBorders>
              <w:right w:val="single" w:color="000000" w:sz="12" w:space="0"/>
            </w:tcBorders>
            <w:vAlign w:val="top"/>
          </w:tcPr>
          <w:p w14:paraId="3F5DF68D">
            <w:pPr>
              <w:pStyle w:val="6"/>
              <w:spacing w:before="68" w:line="199" w:lineRule="auto"/>
              <w:ind w:left="300"/>
            </w:pPr>
            <w:r>
              <w:rPr>
                <w:spacing w:val="-4"/>
              </w:rPr>
              <w:t>630</w:t>
            </w:r>
          </w:p>
        </w:tc>
      </w:tr>
      <w:tr w14:paraId="2B9D9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6ABC246">
            <w:pPr>
              <w:rPr>
                <w:rFonts w:ascii="Arial"/>
                <w:sz w:val="21"/>
              </w:rPr>
            </w:pPr>
          </w:p>
        </w:tc>
        <w:tc>
          <w:tcPr>
            <w:tcW w:w="285" w:type="dxa"/>
            <w:vMerge w:val="continue"/>
            <w:tcBorders>
              <w:top w:val="nil"/>
            </w:tcBorders>
            <w:vAlign w:val="top"/>
          </w:tcPr>
          <w:p w14:paraId="57225A3A">
            <w:pPr>
              <w:rPr>
                <w:rFonts w:ascii="Arial"/>
                <w:sz w:val="21"/>
              </w:rPr>
            </w:pPr>
          </w:p>
        </w:tc>
        <w:tc>
          <w:tcPr>
            <w:tcW w:w="1273" w:type="dxa"/>
            <w:vAlign w:val="top"/>
          </w:tcPr>
          <w:p w14:paraId="3905B3C1">
            <w:pPr>
              <w:pStyle w:val="6"/>
              <w:spacing w:before="69" w:line="198" w:lineRule="auto"/>
              <w:ind w:left="199"/>
            </w:pPr>
            <w:r>
              <w:rPr>
                <w:spacing w:val="-1"/>
              </w:rPr>
              <w:t>2019/1/17</w:t>
            </w:r>
          </w:p>
        </w:tc>
        <w:tc>
          <w:tcPr>
            <w:tcW w:w="880" w:type="dxa"/>
            <w:vAlign w:val="top"/>
          </w:tcPr>
          <w:p w14:paraId="15A41D4C">
            <w:pPr>
              <w:pStyle w:val="6"/>
              <w:spacing w:before="69" w:line="198" w:lineRule="auto"/>
              <w:ind w:left="267"/>
            </w:pPr>
            <w:r>
              <w:rPr>
                <w:spacing w:val="-6"/>
              </w:rPr>
              <w:t>11.5</w:t>
            </w:r>
          </w:p>
        </w:tc>
        <w:tc>
          <w:tcPr>
            <w:tcW w:w="880" w:type="dxa"/>
            <w:vAlign w:val="top"/>
          </w:tcPr>
          <w:p w14:paraId="2112A984">
            <w:pPr>
              <w:pStyle w:val="6"/>
              <w:spacing w:before="69" w:line="198" w:lineRule="auto"/>
              <w:ind w:left="254"/>
            </w:pPr>
            <w:r>
              <w:rPr>
                <w:spacing w:val="-3"/>
              </w:rPr>
              <w:t>6.48</w:t>
            </w:r>
          </w:p>
        </w:tc>
        <w:tc>
          <w:tcPr>
            <w:tcW w:w="880" w:type="dxa"/>
            <w:vAlign w:val="top"/>
          </w:tcPr>
          <w:p w14:paraId="4DC1AB1B">
            <w:pPr>
              <w:pStyle w:val="6"/>
              <w:spacing w:before="69" w:line="198" w:lineRule="auto"/>
              <w:ind w:left="349"/>
            </w:pPr>
            <w:r>
              <w:rPr>
                <w:spacing w:val="-12"/>
              </w:rPr>
              <w:t>11</w:t>
            </w:r>
          </w:p>
        </w:tc>
        <w:tc>
          <w:tcPr>
            <w:tcW w:w="880" w:type="dxa"/>
            <w:vAlign w:val="top"/>
          </w:tcPr>
          <w:p w14:paraId="78A273B3">
            <w:pPr>
              <w:pStyle w:val="6"/>
              <w:spacing w:before="69" w:line="198" w:lineRule="auto"/>
              <w:ind w:left="309"/>
            </w:pPr>
            <w:r>
              <w:rPr>
                <w:spacing w:val="-3"/>
              </w:rPr>
              <w:t>6.3</w:t>
            </w:r>
          </w:p>
        </w:tc>
        <w:tc>
          <w:tcPr>
            <w:tcW w:w="880" w:type="dxa"/>
            <w:vAlign w:val="top"/>
          </w:tcPr>
          <w:p w14:paraId="4380E0DE">
            <w:pPr>
              <w:pStyle w:val="6"/>
              <w:spacing w:before="69" w:line="198" w:lineRule="auto"/>
              <w:ind w:left="327"/>
            </w:pPr>
            <w:r>
              <w:rPr>
                <w:spacing w:val="-8"/>
              </w:rPr>
              <w:t>1.4</w:t>
            </w:r>
          </w:p>
        </w:tc>
        <w:tc>
          <w:tcPr>
            <w:tcW w:w="880" w:type="dxa"/>
            <w:vAlign w:val="top"/>
          </w:tcPr>
          <w:p w14:paraId="69E25124">
            <w:pPr>
              <w:pStyle w:val="6"/>
              <w:spacing w:before="69" w:line="198" w:lineRule="auto"/>
              <w:ind w:left="391"/>
            </w:pPr>
            <w:r>
              <w:t>7</w:t>
            </w:r>
          </w:p>
        </w:tc>
        <w:tc>
          <w:tcPr>
            <w:tcW w:w="880" w:type="dxa"/>
            <w:vAlign w:val="top"/>
          </w:tcPr>
          <w:p w14:paraId="045D97A0">
            <w:pPr>
              <w:pStyle w:val="6"/>
              <w:spacing w:before="69" w:line="198" w:lineRule="auto"/>
              <w:ind w:left="314"/>
            </w:pPr>
            <w:r>
              <w:rPr>
                <w:spacing w:val="-3"/>
              </w:rPr>
              <w:t>0.8</w:t>
            </w:r>
          </w:p>
        </w:tc>
        <w:tc>
          <w:tcPr>
            <w:tcW w:w="880" w:type="dxa"/>
            <w:vAlign w:val="top"/>
          </w:tcPr>
          <w:p w14:paraId="4470CCDA">
            <w:pPr>
              <w:pStyle w:val="6"/>
              <w:spacing w:before="69" w:line="198" w:lineRule="auto"/>
              <w:ind w:left="212"/>
            </w:pPr>
            <w:r>
              <w:rPr>
                <w:spacing w:val="-2"/>
              </w:rPr>
              <w:t>0.188</w:t>
            </w:r>
          </w:p>
        </w:tc>
        <w:tc>
          <w:tcPr>
            <w:tcW w:w="880" w:type="dxa"/>
            <w:vAlign w:val="top"/>
          </w:tcPr>
          <w:p w14:paraId="0C18793C">
            <w:pPr>
              <w:pStyle w:val="6"/>
              <w:spacing w:before="69" w:line="198" w:lineRule="auto"/>
              <w:ind w:left="266"/>
            </w:pPr>
            <w:r>
              <w:rPr>
                <w:spacing w:val="-2"/>
              </w:rPr>
              <w:t>0.02</w:t>
            </w:r>
          </w:p>
        </w:tc>
        <w:tc>
          <w:tcPr>
            <w:tcW w:w="880" w:type="dxa"/>
            <w:vAlign w:val="top"/>
          </w:tcPr>
          <w:p w14:paraId="1EF1E4EE">
            <w:pPr>
              <w:pStyle w:val="6"/>
              <w:spacing w:before="69" w:line="198" w:lineRule="auto"/>
              <w:ind w:left="268"/>
            </w:pPr>
            <w:r>
              <w:rPr>
                <w:spacing w:val="-2"/>
              </w:rPr>
              <w:t>0.01</w:t>
            </w:r>
          </w:p>
        </w:tc>
        <w:tc>
          <w:tcPr>
            <w:tcW w:w="881" w:type="dxa"/>
            <w:vAlign w:val="top"/>
          </w:tcPr>
          <w:p w14:paraId="3F6745DC">
            <w:pPr>
              <w:pStyle w:val="6"/>
              <w:spacing w:before="69" w:line="198" w:lineRule="auto"/>
              <w:ind w:left="206"/>
            </w:pPr>
            <w:r>
              <w:rPr>
                <w:spacing w:val="-1"/>
              </w:rPr>
              <w:t>0.05L</w:t>
            </w:r>
          </w:p>
        </w:tc>
        <w:tc>
          <w:tcPr>
            <w:tcW w:w="894" w:type="dxa"/>
            <w:tcBorders>
              <w:right w:val="single" w:color="000000" w:sz="12" w:space="0"/>
            </w:tcBorders>
            <w:vAlign w:val="top"/>
          </w:tcPr>
          <w:p w14:paraId="40757D85">
            <w:pPr>
              <w:pStyle w:val="6"/>
              <w:spacing w:before="69" w:line="198" w:lineRule="auto"/>
              <w:ind w:left="298"/>
            </w:pPr>
            <w:r>
              <w:rPr>
                <w:spacing w:val="-3"/>
              </w:rPr>
              <w:t>700</w:t>
            </w:r>
          </w:p>
        </w:tc>
      </w:tr>
      <w:tr w14:paraId="2D6F9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6D45A4B">
            <w:pPr>
              <w:rPr>
                <w:rFonts w:ascii="Arial"/>
                <w:sz w:val="21"/>
              </w:rPr>
            </w:pPr>
          </w:p>
        </w:tc>
        <w:tc>
          <w:tcPr>
            <w:tcW w:w="285" w:type="dxa"/>
            <w:vMerge w:val="restart"/>
            <w:tcBorders>
              <w:bottom w:val="nil"/>
            </w:tcBorders>
            <w:vAlign w:val="top"/>
          </w:tcPr>
          <w:p w14:paraId="10B79AB7">
            <w:pPr>
              <w:pStyle w:val="6"/>
              <w:spacing w:before="89" w:line="222" w:lineRule="auto"/>
              <w:ind w:left="77"/>
            </w:pPr>
            <w:r>
              <w:t>2</w:t>
            </w:r>
          </w:p>
          <w:p w14:paraId="1B62CE74">
            <w:pPr>
              <w:spacing w:line="219" w:lineRule="auto"/>
              <w:ind w:left="29"/>
              <w:rPr>
                <w:rFonts w:ascii="宋体" w:hAnsi="宋体" w:eastAsia="宋体" w:cs="宋体"/>
                <w:sz w:val="21"/>
                <w:szCs w:val="21"/>
              </w:rPr>
            </w:pPr>
            <w:r>
              <w:rPr>
                <w:rFonts w:ascii="宋体" w:hAnsi="宋体" w:eastAsia="宋体" w:cs="宋体"/>
                <w:sz w:val="21"/>
                <w:szCs w:val="21"/>
              </w:rPr>
              <w:t>季</w:t>
            </w:r>
          </w:p>
          <w:p w14:paraId="6C66000A">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063C3F7">
            <w:pPr>
              <w:pStyle w:val="6"/>
              <w:spacing w:before="70" w:line="197" w:lineRule="auto"/>
              <w:ind w:left="199"/>
            </w:pPr>
            <w:r>
              <w:rPr>
                <w:spacing w:val="-1"/>
              </w:rPr>
              <w:t>2019/5/10</w:t>
            </w:r>
          </w:p>
        </w:tc>
        <w:tc>
          <w:tcPr>
            <w:tcW w:w="880" w:type="dxa"/>
            <w:vAlign w:val="top"/>
          </w:tcPr>
          <w:p w14:paraId="31684C17">
            <w:pPr>
              <w:pStyle w:val="6"/>
              <w:spacing w:before="70" w:line="197" w:lineRule="auto"/>
              <w:ind w:left="267"/>
            </w:pPr>
            <w:r>
              <w:rPr>
                <w:spacing w:val="-6"/>
              </w:rPr>
              <w:t>15.9</w:t>
            </w:r>
          </w:p>
        </w:tc>
        <w:tc>
          <w:tcPr>
            <w:tcW w:w="880" w:type="dxa"/>
            <w:vAlign w:val="top"/>
          </w:tcPr>
          <w:p w14:paraId="4CEDCB87">
            <w:pPr>
              <w:pStyle w:val="6"/>
              <w:spacing w:before="70" w:line="197" w:lineRule="auto"/>
              <w:ind w:left="254"/>
            </w:pPr>
            <w:r>
              <w:rPr>
                <w:spacing w:val="-3"/>
              </w:rPr>
              <w:t>6.46</w:t>
            </w:r>
          </w:p>
        </w:tc>
        <w:tc>
          <w:tcPr>
            <w:tcW w:w="880" w:type="dxa"/>
            <w:vAlign w:val="top"/>
          </w:tcPr>
          <w:p w14:paraId="67D87007">
            <w:pPr>
              <w:pStyle w:val="6"/>
              <w:spacing w:before="70" w:line="197" w:lineRule="auto"/>
              <w:ind w:left="381"/>
            </w:pPr>
            <w:r>
              <w:t>4</w:t>
            </w:r>
          </w:p>
        </w:tc>
        <w:tc>
          <w:tcPr>
            <w:tcW w:w="880" w:type="dxa"/>
            <w:vAlign w:val="top"/>
          </w:tcPr>
          <w:p w14:paraId="1ECB82C8">
            <w:pPr>
              <w:pStyle w:val="6"/>
              <w:spacing w:before="70" w:line="197" w:lineRule="auto"/>
              <w:ind w:left="309"/>
            </w:pPr>
            <w:r>
              <w:rPr>
                <w:spacing w:val="-3"/>
              </w:rPr>
              <w:t>6.4</w:t>
            </w:r>
          </w:p>
        </w:tc>
        <w:tc>
          <w:tcPr>
            <w:tcW w:w="880" w:type="dxa"/>
            <w:vAlign w:val="top"/>
          </w:tcPr>
          <w:p w14:paraId="56735415">
            <w:pPr>
              <w:pStyle w:val="6"/>
              <w:spacing w:before="70" w:line="197" w:lineRule="auto"/>
              <w:ind w:left="311"/>
            </w:pPr>
            <w:r>
              <w:rPr>
                <w:spacing w:val="-3"/>
              </w:rPr>
              <w:t>3.4</w:t>
            </w:r>
          </w:p>
        </w:tc>
        <w:tc>
          <w:tcPr>
            <w:tcW w:w="880" w:type="dxa"/>
            <w:vAlign w:val="top"/>
          </w:tcPr>
          <w:p w14:paraId="44AE7719">
            <w:pPr>
              <w:pStyle w:val="6"/>
              <w:spacing w:before="70" w:line="197" w:lineRule="auto"/>
              <w:ind w:left="355"/>
            </w:pPr>
            <w:r>
              <w:rPr>
                <w:spacing w:val="-12"/>
              </w:rPr>
              <w:t>15</w:t>
            </w:r>
          </w:p>
        </w:tc>
        <w:tc>
          <w:tcPr>
            <w:tcW w:w="880" w:type="dxa"/>
            <w:vAlign w:val="top"/>
          </w:tcPr>
          <w:p w14:paraId="409D6D45">
            <w:pPr>
              <w:pStyle w:val="6"/>
              <w:spacing w:before="70" w:line="197" w:lineRule="auto"/>
              <w:ind w:left="311"/>
            </w:pPr>
            <w:r>
              <w:rPr>
                <w:spacing w:val="-2"/>
              </w:rPr>
              <w:t>2.5</w:t>
            </w:r>
          </w:p>
        </w:tc>
        <w:tc>
          <w:tcPr>
            <w:tcW w:w="880" w:type="dxa"/>
            <w:vAlign w:val="top"/>
          </w:tcPr>
          <w:p w14:paraId="2DBDF552">
            <w:pPr>
              <w:pStyle w:val="6"/>
              <w:spacing w:before="70" w:line="197" w:lineRule="auto"/>
              <w:ind w:left="212"/>
            </w:pPr>
            <w:r>
              <w:rPr>
                <w:spacing w:val="-2"/>
              </w:rPr>
              <w:t>0.105</w:t>
            </w:r>
          </w:p>
        </w:tc>
        <w:tc>
          <w:tcPr>
            <w:tcW w:w="880" w:type="dxa"/>
            <w:vAlign w:val="top"/>
          </w:tcPr>
          <w:p w14:paraId="610EDD76">
            <w:pPr>
              <w:pStyle w:val="6"/>
              <w:spacing w:before="70" w:line="197" w:lineRule="auto"/>
              <w:ind w:left="266"/>
            </w:pPr>
            <w:r>
              <w:rPr>
                <w:spacing w:val="-2"/>
              </w:rPr>
              <w:t>0.02</w:t>
            </w:r>
          </w:p>
        </w:tc>
        <w:tc>
          <w:tcPr>
            <w:tcW w:w="880" w:type="dxa"/>
            <w:vAlign w:val="top"/>
          </w:tcPr>
          <w:p w14:paraId="1B884CA7">
            <w:pPr>
              <w:pStyle w:val="6"/>
              <w:spacing w:before="70" w:line="197" w:lineRule="auto"/>
              <w:ind w:left="268"/>
            </w:pPr>
            <w:r>
              <w:rPr>
                <w:spacing w:val="-2"/>
              </w:rPr>
              <w:t>0.02</w:t>
            </w:r>
          </w:p>
        </w:tc>
        <w:tc>
          <w:tcPr>
            <w:tcW w:w="881" w:type="dxa"/>
            <w:vAlign w:val="top"/>
          </w:tcPr>
          <w:p w14:paraId="05E0AC70">
            <w:pPr>
              <w:pStyle w:val="6"/>
              <w:spacing w:before="70" w:line="197" w:lineRule="auto"/>
              <w:ind w:left="206"/>
            </w:pPr>
            <w:r>
              <w:rPr>
                <w:spacing w:val="-1"/>
              </w:rPr>
              <w:t>0.05L</w:t>
            </w:r>
          </w:p>
        </w:tc>
        <w:tc>
          <w:tcPr>
            <w:tcW w:w="894" w:type="dxa"/>
            <w:tcBorders>
              <w:right w:val="single" w:color="000000" w:sz="12" w:space="0"/>
            </w:tcBorders>
            <w:vAlign w:val="top"/>
          </w:tcPr>
          <w:p w14:paraId="1DDF3F69">
            <w:pPr>
              <w:pStyle w:val="6"/>
              <w:spacing w:before="70" w:line="197" w:lineRule="auto"/>
              <w:ind w:left="262"/>
            </w:pPr>
            <w:r>
              <w:rPr>
                <w:spacing w:val="-6"/>
              </w:rPr>
              <w:t>1100</w:t>
            </w:r>
          </w:p>
        </w:tc>
      </w:tr>
      <w:tr w14:paraId="27C33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E770769">
            <w:pPr>
              <w:rPr>
                <w:rFonts w:ascii="Arial"/>
                <w:sz w:val="21"/>
              </w:rPr>
            </w:pPr>
          </w:p>
        </w:tc>
        <w:tc>
          <w:tcPr>
            <w:tcW w:w="285" w:type="dxa"/>
            <w:vMerge w:val="continue"/>
            <w:tcBorders>
              <w:top w:val="nil"/>
              <w:bottom w:val="nil"/>
            </w:tcBorders>
            <w:vAlign w:val="top"/>
          </w:tcPr>
          <w:p w14:paraId="45082AFE">
            <w:pPr>
              <w:rPr>
                <w:rFonts w:ascii="Arial"/>
                <w:sz w:val="21"/>
              </w:rPr>
            </w:pPr>
          </w:p>
        </w:tc>
        <w:tc>
          <w:tcPr>
            <w:tcW w:w="1273" w:type="dxa"/>
            <w:vAlign w:val="top"/>
          </w:tcPr>
          <w:p w14:paraId="51AACC23">
            <w:pPr>
              <w:pStyle w:val="6"/>
              <w:spacing w:before="72" w:line="195" w:lineRule="auto"/>
              <w:ind w:left="199"/>
            </w:pPr>
            <w:r>
              <w:rPr>
                <w:spacing w:val="-1"/>
              </w:rPr>
              <w:t>2019/5/11</w:t>
            </w:r>
          </w:p>
        </w:tc>
        <w:tc>
          <w:tcPr>
            <w:tcW w:w="880" w:type="dxa"/>
            <w:vAlign w:val="top"/>
          </w:tcPr>
          <w:p w14:paraId="574F3975">
            <w:pPr>
              <w:pStyle w:val="6"/>
              <w:spacing w:before="72" w:line="195" w:lineRule="auto"/>
              <w:ind w:left="267"/>
            </w:pPr>
            <w:r>
              <w:rPr>
                <w:spacing w:val="-6"/>
              </w:rPr>
              <w:t>16.4</w:t>
            </w:r>
          </w:p>
        </w:tc>
        <w:tc>
          <w:tcPr>
            <w:tcW w:w="880" w:type="dxa"/>
            <w:vAlign w:val="top"/>
          </w:tcPr>
          <w:p w14:paraId="0113A7B2">
            <w:pPr>
              <w:pStyle w:val="6"/>
              <w:spacing w:before="72" w:line="195" w:lineRule="auto"/>
              <w:ind w:left="254"/>
            </w:pPr>
            <w:r>
              <w:rPr>
                <w:spacing w:val="-3"/>
              </w:rPr>
              <w:t>6.41</w:t>
            </w:r>
          </w:p>
        </w:tc>
        <w:tc>
          <w:tcPr>
            <w:tcW w:w="880" w:type="dxa"/>
            <w:vAlign w:val="top"/>
          </w:tcPr>
          <w:p w14:paraId="173A20F9">
            <w:pPr>
              <w:pStyle w:val="6"/>
              <w:spacing w:before="72" w:line="195" w:lineRule="auto"/>
              <w:ind w:left="387"/>
            </w:pPr>
            <w:r>
              <w:t>5</w:t>
            </w:r>
          </w:p>
        </w:tc>
        <w:tc>
          <w:tcPr>
            <w:tcW w:w="880" w:type="dxa"/>
            <w:vAlign w:val="top"/>
          </w:tcPr>
          <w:p w14:paraId="59957ADB">
            <w:pPr>
              <w:pStyle w:val="6"/>
              <w:spacing w:before="72" w:line="195" w:lineRule="auto"/>
              <w:ind w:left="309"/>
            </w:pPr>
            <w:r>
              <w:rPr>
                <w:spacing w:val="-3"/>
              </w:rPr>
              <w:t>6.6</w:t>
            </w:r>
          </w:p>
        </w:tc>
        <w:tc>
          <w:tcPr>
            <w:tcW w:w="880" w:type="dxa"/>
            <w:vAlign w:val="top"/>
          </w:tcPr>
          <w:p w14:paraId="3E480A1C">
            <w:pPr>
              <w:pStyle w:val="6"/>
              <w:spacing w:before="72" w:line="195" w:lineRule="auto"/>
              <w:ind w:left="311"/>
            </w:pPr>
            <w:r>
              <w:rPr>
                <w:spacing w:val="-3"/>
              </w:rPr>
              <w:t>3.8</w:t>
            </w:r>
          </w:p>
        </w:tc>
        <w:tc>
          <w:tcPr>
            <w:tcW w:w="880" w:type="dxa"/>
            <w:vAlign w:val="top"/>
          </w:tcPr>
          <w:p w14:paraId="6B0BCB25">
            <w:pPr>
              <w:pStyle w:val="6"/>
              <w:spacing w:before="72" w:line="195" w:lineRule="auto"/>
              <w:ind w:left="355"/>
            </w:pPr>
            <w:r>
              <w:rPr>
                <w:spacing w:val="-12"/>
              </w:rPr>
              <w:t>13</w:t>
            </w:r>
          </w:p>
        </w:tc>
        <w:tc>
          <w:tcPr>
            <w:tcW w:w="880" w:type="dxa"/>
            <w:vAlign w:val="top"/>
          </w:tcPr>
          <w:p w14:paraId="45E94181">
            <w:pPr>
              <w:pStyle w:val="6"/>
              <w:spacing w:before="72" w:line="195" w:lineRule="auto"/>
              <w:ind w:left="311"/>
            </w:pPr>
            <w:r>
              <w:rPr>
                <w:spacing w:val="-2"/>
              </w:rPr>
              <w:t>2.3</w:t>
            </w:r>
          </w:p>
        </w:tc>
        <w:tc>
          <w:tcPr>
            <w:tcW w:w="880" w:type="dxa"/>
            <w:vAlign w:val="top"/>
          </w:tcPr>
          <w:p w14:paraId="403DA567">
            <w:pPr>
              <w:pStyle w:val="6"/>
              <w:spacing w:before="72" w:line="195" w:lineRule="auto"/>
              <w:ind w:left="212"/>
            </w:pPr>
            <w:r>
              <w:rPr>
                <w:spacing w:val="-2"/>
              </w:rPr>
              <w:t>0.110</w:t>
            </w:r>
          </w:p>
        </w:tc>
        <w:tc>
          <w:tcPr>
            <w:tcW w:w="880" w:type="dxa"/>
            <w:vAlign w:val="top"/>
          </w:tcPr>
          <w:p w14:paraId="34F3EAA2">
            <w:pPr>
              <w:pStyle w:val="6"/>
              <w:spacing w:before="72" w:line="195" w:lineRule="auto"/>
              <w:ind w:left="266"/>
            </w:pPr>
            <w:r>
              <w:rPr>
                <w:spacing w:val="-2"/>
              </w:rPr>
              <w:t>0.03</w:t>
            </w:r>
          </w:p>
        </w:tc>
        <w:tc>
          <w:tcPr>
            <w:tcW w:w="880" w:type="dxa"/>
            <w:vAlign w:val="top"/>
          </w:tcPr>
          <w:p w14:paraId="7DAD1D46">
            <w:pPr>
              <w:pStyle w:val="6"/>
              <w:spacing w:before="72" w:line="195" w:lineRule="auto"/>
              <w:ind w:left="268"/>
            </w:pPr>
            <w:r>
              <w:rPr>
                <w:spacing w:val="-2"/>
              </w:rPr>
              <w:t>0.02</w:t>
            </w:r>
          </w:p>
        </w:tc>
        <w:tc>
          <w:tcPr>
            <w:tcW w:w="881" w:type="dxa"/>
            <w:vAlign w:val="top"/>
          </w:tcPr>
          <w:p w14:paraId="694BF13D">
            <w:pPr>
              <w:pStyle w:val="6"/>
              <w:spacing w:before="72" w:line="195" w:lineRule="auto"/>
              <w:ind w:left="206"/>
            </w:pPr>
            <w:r>
              <w:rPr>
                <w:spacing w:val="-2"/>
              </w:rPr>
              <w:t>0.05L</w:t>
            </w:r>
          </w:p>
        </w:tc>
        <w:tc>
          <w:tcPr>
            <w:tcW w:w="894" w:type="dxa"/>
            <w:tcBorders>
              <w:right w:val="single" w:color="000000" w:sz="12" w:space="0"/>
            </w:tcBorders>
            <w:vAlign w:val="top"/>
          </w:tcPr>
          <w:p w14:paraId="4E015C03">
            <w:pPr>
              <w:pStyle w:val="6"/>
              <w:spacing w:before="72" w:line="195" w:lineRule="auto"/>
              <w:ind w:left="262"/>
            </w:pPr>
            <w:r>
              <w:rPr>
                <w:spacing w:val="-6"/>
              </w:rPr>
              <w:t>1300</w:t>
            </w:r>
          </w:p>
        </w:tc>
      </w:tr>
      <w:tr w14:paraId="110E8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B99CDE4">
            <w:pPr>
              <w:rPr>
                <w:rFonts w:ascii="Arial"/>
                <w:sz w:val="21"/>
              </w:rPr>
            </w:pPr>
          </w:p>
        </w:tc>
        <w:tc>
          <w:tcPr>
            <w:tcW w:w="285" w:type="dxa"/>
            <w:vMerge w:val="continue"/>
            <w:tcBorders>
              <w:top w:val="nil"/>
            </w:tcBorders>
            <w:vAlign w:val="top"/>
          </w:tcPr>
          <w:p w14:paraId="6380A9C1">
            <w:pPr>
              <w:rPr>
                <w:rFonts w:ascii="Arial"/>
                <w:sz w:val="21"/>
              </w:rPr>
            </w:pPr>
          </w:p>
        </w:tc>
        <w:tc>
          <w:tcPr>
            <w:tcW w:w="1273" w:type="dxa"/>
            <w:vAlign w:val="top"/>
          </w:tcPr>
          <w:p w14:paraId="5F660C3D">
            <w:pPr>
              <w:pStyle w:val="6"/>
              <w:spacing w:before="73" w:line="194" w:lineRule="auto"/>
              <w:ind w:left="199"/>
            </w:pPr>
            <w:r>
              <w:rPr>
                <w:spacing w:val="-1"/>
              </w:rPr>
              <w:t>2019/5/12</w:t>
            </w:r>
          </w:p>
        </w:tc>
        <w:tc>
          <w:tcPr>
            <w:tcW w:w="880" w:type="dxa"/>
            <w:vAlign w:val="top"/>
          </w:tcPr>
          <w:p w14:paraId="18FAF24C">
            <w:pPr>
              <w:pStyle w:val="6"/>
              <w:spacing w:before="73" w:line="194" w:lineRule="auto"/>
              <w:ind w:left="267"/>
            </w:pPr>
            <w:r>
              <w:rPr>
                <w:spacing w:val="-6"/>
              </w:rPr>
              <w:t>16.6</w:t>
            </w:r>
          </w:p>
        </w:tc>
        <w:tc>
          <w:tcPr>
            <w:tcW w:w="880" w:type="dxa"/>
            <w:vAlign w:val="top"/>
          </w:tcPr>
          <w:p w14:paraId="0DC72037">
            <w:pPr>
              <w:pStyle w:val="6"/>
              <w:spacing w:before="73" w:line="194" w:lineRule="auto"/>
              <w:ind w:left="254"/>
            </w:pPr>
            <w:r>
              <w:rPr>
                <w:spacing w:val="-3"/>
              </w:rPr>
              <w:t>6.47</w:t>
            </w:r>
          </w:p>
        </w:tc>
        <w:tc>
          <w:tcPr>
            <w:tcW w:w="880" w:type="dxa"/>
            <w:vAlign w:val="top"/>
          </w:tcPr>
          <w:p w14:paraId="7AD9BA41">
            <w:pPr>
              <w:pStyle w:val="6"/>
              <w:spacing w:before="73" w:line="194" w:lineRule="auto"/>
              <w:ind w:left="381"/>
            </w:pPr>
            <w:r>
              <w:t>4</w:t>
            </w:r>
          </w:p>
        </w:tc>
        <w:tc>
          <w:tcPr>
            <w:tcW w:w="880" w:type="dxa"/>
            <w:vAlign w:val="top"/>
          </w:tcPr>
          <w:p w14:paraId="74EBF9CD">
            <w:pPr>
              <w:pStyle w:val="6"/>
              <w:spacing w:before="73" w:line="194" w:lineRule="auto"/>
              <w:ind w:left="309"/>
            </w:pPr>
            <w:r>
              <w:rPr>
                <w:spacing w:val="-3"/>
              </w:rPr>
              <w:t>6.7</w:t>
            </w:r>
          </w:p>
        </w:tc>
        <w:tc>
          <w:tcPr>
            <w:tcW w:w="880" w:type="dxa"/>
            <w:vAlign w:val="top"/>
          </w:tcPr>
          <w:p w14:paraId="36554D2B">
            <w:pPr>
              <w:pStyle w:val="6"/>
              <w:spacing w:before="73" w:line="194" w:lineRule="auto"/>
              <w:ind w:left="311"/>
            </w:pPr>
            <w:r>
              <w:rPr>
                <w:spacing w:val="-3"/>
              </w:rPr>
              <w:t>3.6</w:t>
            </w:r>
          </w:p>
        </w:tc>
        <w:tc>
          <w:tcPr>
            <w:tcW w:w="880" w:type="dxa"/>
            <w:vAlign w:val="top"/>
          </w:tcPr>
          <w:p w14:paraId="76126BA5">
            <w:pPr>
              <w:pStyle w:val="6"/>
              <w:spacing w:before="73" w:line="194" w:lineRule="auto"/>
              <w:ind w:left="355"/>
            </w:pPr>
            <w:r>
              <w:rPr>
                <w:spacing w:val="-12"/>
              </w:rPr>
              <w:t>14</w:t>
            </w:r>
          </w:p>
        </w:tc>
        <w:tc>
          <w:tcPr>
            <w:tcW w:w="880" w:type="dxa"/>
            <w:vAlign w:val="top"/>
          </w:tcPr>
          <w:p w14:paraId="772C82A1">
            <w:pPr>
              <w:pStyle w:val="6"/>
              <w:spacing w:before="73" w:line="194" w:lineRule="auto"/>
              <w:ind w:left="311"/>
            </w:pPr>
            <w:r>
              <w:rPr>
                <w:spacing w:val="-2"/>
              </w:rPr>
              <w:t>2.2</w:t>
            </w:r>
          </w:p>
        </w:tc>
        <w:tc>
          <w:tcPr>
            <w:tcW w:w="880" w:type="dxa"/>
            <w:vAlign w:val="top"/>
          </w:tcPr>
          <w:p w14:paraId="7F89EB9B">
            <w:pPr>
              <w:pStyle w:val="6"/>
              <w:spacing w:before="73" w:line="194" w:lineRule="auto"/>
              <w:ind w:left="212"/>
            </w:pPr>
            <w:r>
              <w:rPr>
                <w:spacing w:val="-2"/>
              </w:rPr>
              <w:t>0.109</w:t>
            </w:r>
          </w:p>
        </w:tc>
        <w:tc>
          <w:tcPr>
            <w:tcW w:w="880" w:type="dxa"/>
            <w:vAlign w:val="top"/>
          </w:tcPr>
          <w:p w14:paraId="100931E9">
            <w:pPr>
              <w:pStyle w:val="6"/>
              <w:spacing w:before="73" w:line="194" w:lineRule="auto"/>
              <w:ind w:left="266"/>
            </w:pPr>
            <w:r>
              <w:rPr>
                <w:spacing w:val="-2"/>
              </w:rPr>
              <w:t>0.02</w:t>
            </w:r>
          </w:p>
        </w:tc>
        <w:tc>
          <w:tcPr>
            <w:tcW w:w="880" w:type="dxa"/>
            <w:vAlign w:val="top"/>
          </w:tcPr>
          <w:p w14:paraId="03C5C094">
            <w:pPr>
              <w:pStyle w:val="6"/>
              <w:spacing w:before="73" w:line="194" w:lineRule="auto"/>
              <w:ind w:left="268"/>
            </w:pPr>
            <w:r>
              <w:rPr>
                <w:spacing w:val="-2"/>
              </w:rPr>
              <w:t>0.01</w:t>
            </w:r>
          </w:p>
        </w:tc>
        <w:tc>
          <w:tcPr>
            <w:tcW w:w="881" w:type="dxa"/>
            <w:vAlign w:val="top"/>
          </w:tcPr>
          <w:p w14:paraId="6956736C">
            <w:pPr>
              <w:pStyle w:val="6"/>
              <w:spacing w:before="73" w:line="194" w:lineRule="auto"/>
              <w:ind w:left="206"/>
            </w:pPr>
            <w:r>
              <w:rPr>
                <w:spacing w:val="-1"/>
              </w:rPr>
              <w:t>0.05L</w:t>
            </w:r>
          </w:p>
        </w:tc>
        <w:tc>
          <w:tcPr>
            <w:tcW w:w="894" w:type="dxa"/>
            <w:tcBorders>
              <w:right w:val="single" w:color="000000" w:sz="12" w:space="0"/>
            </w:tcBorders>
            <w:vAlign w:val="top"/>
          </w:tcPr>
          <w:p w14:paraId="7416F676">
            <w:pPr>
              <w:pStyle w:val="6"/>
              <w:spacing w:before="73" w:line="194" w:lineRule="auto"/>
              <w:ind w:left="262"/>
            </w:pPr>
            <w:r>
              <w:rPr>
                <w:spacing w:val="-6"/>
              </w:rPr>
              <w:t>1400</w:t>
            </w:r>
          </w:p>
        </w:tc>
      </w:tr>
      <w:tr w14:paraId="2E92D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2A9A3B5">
            <w:pPr>
              <w:rPr>
                <w:rFonts w:ascii="Arial"/>
                <w:sz w:val="21"/>
              </w:rPr>
            </w:pPr>
          </w:p>
        </w:tc>
        <w:tc>
          <w:tcPr>
            <w:tcW w:w="285" w:type="dxa"/>
            <w:vMerge w:val="restart"/>
            <w:tcBorders>
              <w:bottom w:val="nil"/>
            </w:tcBorders>
            <w:vAlign w:val="top"/>
          </w:tcPr>
          <w:p w14:paraId="4CA0F64A">
            <w:pPr>
              <w:pStyle w:val="6"/>
              <w:spacing w:before="93" w:line="222" w:lineRule="auto"/>
              <w:ind w:left="81"/>
            </w:pPr>
            <w:r>
              <w:t>3</w:t>
            </w:r>
          </w:p>
          <w:p w14:paraId="2019DCCF">
            <w:pPr>
              <w:spacing w:line="219" w:lineRule="auto"/>
              <w:ind w:left="29"/>
              <w:rPr>
                <w:rFonts w:ascii="宋体" w:hAnsi="宋体" w:eastAsia="宋体" w:cs="宋体"/>
                <w:sz w:val="21"/>
                <w:szCs w:val="21"/>
              </w:rPr>
            </w:pPr>
            <w:r>
              <w:rPr>
                <w:rFonts w:ascii="宋体" w:hAnsi="宋体" w:eastAsia="宋体" w:cs="宋体"/>
                <w:sz w:val="21"/>
                <w:szCs w:val="21"/>
              </w:rPr>
              <w:t>季</w:t>
            </w:r>
          </w:p>
          <w:p w14:paraId="27D267C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07F5778E">
            <w:pPr>
              <w:pStyle w:val="6"/>
              <w:spacing w:before="75" w:line="192" w:lineRule="auto"/>
              <w:ind w:left="199"/>
            </w:pPr>
            <w:r>
              <w:rPr>
                <w:spacing w:val="-1"/>
              </w:rPr>
              <w:t>2019/8/06</w:t>
            </w:r>
          </w:p>
        </w:tc>
        <w:tc>
          <w:tcPr>
            <w:tcW w:w="880" w:type="dxa"/>
            <w:vAlign w:val="top"/>
          </w:tcPr>
          <w:p w14:paraId="376D3EF9">
            <w:pPr>
              <w:pStyle w:val="6"/>
              <w:spacing w:before="75" w:line="192" w:lineRule="auto"/>
              <w:ind w:left="267"/>
            </w:pPr>
            <w:r>
              <w:rPr>
                <w:spacing w:val="-6"/>
              </w:rPr>
              <w:t>15.8</w:t>
            </w:r>
          </w:p>
        </w:tc>
        <w:tc>
          <w:tcPr>
            <w:tcW w:w="880" w:type="dxa"/>
            <w:vAlign w:val="top"/>
          </w:tcPr>
          <w:p w14:paraId="31B421F1">
            <w:pPr>
              <w:pStyle w:val="6"/>
              <w:spacing w:before="75" w:line="192" w:lineRule="auto"/>
              <w:ind w:left="254"/>
            </w:pPr>
            <w:r>
              <w:rPr>
                <w:spacing w:val="-3"/>
              </w:rPr>
              <w:t>6.31</w:t>
            </w:r>
          </w:p>
        </w:tc>
        <w:tc>
          <w:tcPr>
            <w:tcW w:w="880" w:type="dxa"/>
            <w:vAlign w:val="top"/>
          </w:tcPr>
          <w:p w14:paraId="2326D16E">
            <w:pPr>
              <w:pStyle w:val="6"/>
              <w:spacing w:before="75" w:line="192" w:lineRule="auto"/>
              <w:ind w:left="390"/>
            </w:pPr>
            <w:r>
              <w:t>8</w:t>
            </w:r>
          </w:p>
        </w:tc>
        <w:tc>
          <w:tcPr>
            <w:tcW w:w="880" w:type="dxa"/>
            <w:vAlign w:val="top"/>
          </w:tcPr>
          <w:p w14:paraId="5C962D4B">
            <w:pPr>
              <w:pStyle w:val="6"/>
              <w:spacing w:before="75" w:line="192" w:lineRule="auto"/>
              <w:ind w:left="309"/>
            </w:pPr>
            <w:r>
              <w:rPr>
                <w:spacing w:val="-3"/>
              </w:rPr>
              <w:t>6.3</w:t>
            </w:r>
          </w:p>
        </w:tc>
        <w:tc>
          <w:tcPr>
            <w:tcW w:w="880" w:type="dxa"/>
            <w:vAlign w:val="top"/>
          </w:tcPr>
          <w:p w14:paraId="3DE6EB2F">
            <w:pPr>
              <w:pStyle w:val="6"/>
              <w:spacing w:before="75" w:line="192" w:lineRule="auto"/>
              <w:ind w:left="307"/>
            </w:pPr>
            <w:r>
              <w:rPr>
                <w:spacing w:val="-2"/>
              </w:rPr>
              <w:t>2.9</w:t>
            </w:r>
          </w:p>
        </w:tc>
        <w:tc>
          <w:tcPr>
            <w:tcW w:w="880" w:type="dxa"/>
            <w:vAlign w:val="top"/>
          </w:tcPr>
          <w:p w14:paraId="235FD4E0">
            <w:pPr>
              <w:pStyle w:val="6"/>
              <w:spacing w:before="75" w:line="192" w:lineRule="auto"/>
              <w:ind w:left="393"/>
            </w:pPr>
            <w:r>
              <w:t>6</w:t>
            </w:r>
          </w:p>
        </w:tc>
        <w:tc>
          <w:tcPr>
            <w:tcW w:w="880" w:type="dxa"/>
            <w:vAlign w:val="top"/>
          </w:tcPr>
          <w:p w14:paraId="7D76FC1D">
            <w:pPr>
              <w:pStyle w:val="6"/>
              <w:spacing w:before="75" w:line="192" w:lineRule="auto"/>
              <w:ind w:left="331"/>
            </w:pPr>
            <w:r>
              <w:rPr>
                <w:spacing w:val="-8"/>
              </w:rPr>
              <w:t>1.2</w:t>
            </w:r>
          </w:p>
        </w:tc>
        <w:tc>
          <w:tcPr>
            <w:tcW w:w="880" w:type="dxa"/>
            <w:vAlign w:val="top"/>
          </w:tcPr>
          <w:p w14:paraId="0BFD3C9D">
            <w:pPr>
              <w:pStyle w:val="6"/>
              <w:spacing w:before="75" w:line="192" w:lineRule="auto"/>
              <w:ind w:left="212"/>
            </w:pPr>
            <w:r>
              <w:rPr>
                <w:spacing w:val="-2"/>
              </w:rPr>
              <w:t>0.025</w:t>
            </w:r>
          </w:p>
        </w:tc>
        <w:tc>
          <w:tcPr>
            <w:tcW w:w="880" w:type="dxa"/>
            <w:vAlign w:val="top"/>
          </w:tcPr>
          <w:p w14:paraId="5822DA63">
            <w:pPr>
              <w:pStyle w:val="6"/>
              <w:spacing w:before="75" w:line="192" w:lineRule="auto"/>
              <w:ind w:left="266"/>
            </w:pPr>
            <w:r>
              <w:rPr>
                <w:spacing w:val="-2"/>
              </w:rPr>
              <w:t>0.07</w:t>
            </w:r>
          </w:p>
        </w:tc>
        <w:tc>
          <w:tcPr>
            <w:tcW w:w="880" w:type="dxa"/>
            <w:vAlign w:val="top"/>
          </w:tcPr>
          <w:p w14:paraId="353EEFFB">
            <w:pPr>
              <w:pStyle w:val="6"/>
              <w:spacing w:before="75" w:line="192" w:lineRule="auto"/>
              <w:ind w:left="268"/>
            </w:pPr>
            <w:r>
              <w:rPr>
                <w:spacing w:val="-2"/>
              </w:rPr>
              <w:t>0.02</w:t>
            </w:r>
          </w:p>
        </w:tc>
        <w:tc>
          <w:tcPr>
            <w:tcW w:w="881" w:type="dxa"/>
            <w:vAlign w:val="top"/>
          </w:tcPr>
          <w:p w14:paraId="362B5694">
            <w:pPr>
              <w:pStyle w:val="6"/>
              <w:spacing w:before="75" w:line="192" w:lineRule="auto"/>
              <w:ind w:left="218"/>
            </w:pPr>
            <w:r>
              <w:rPr>
                <w:spacing w:val="-2"/>
              </w:rPr>
              <w:t>0.067</w:t>
            </w:r>
          </w:p>
        </w:tc>
        <w:tc>
          <w:tcPr>
            <w:tcW w:w="894" w:type="dxa"/>
            <w:tcBorders>
              <w:right w:val="single" w:color="000000" w:sz="12" w:space="0"/>
            </w:tcBorders>
            <w:vAlign w:val="top"/>
          </w:tcPr>
          <w:p w14:paraId="623A0F35">
            <w:pPr>
              <w:pStyle w:val="6"/>
              <w:spacing w:before="75" w:line="192" w:lineRule="auto"/>
              <w:ind w:left="298"/>
            </w:pPr>
            <w:r>
              <w:rPr>
                <w:spacing w:val="-2"/>
              </w:rPr>
              <w:t>700</w:t>
            </w:r>
          </w:p>
        </w:tc>
      </w:tr>
      <w:tr w14:paraId="38130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6682CE4B">
            <w:pPr>
              <w:rPr>
                <w:rFonts w:ascii="Arial"/>
                <w:sz w:val="21"/>
              </w:rPr>
            </w:pPr>
          </w:p>
        </w:tc>
        <w:tc>
          <w:tcPr>
            <w:tcW w:w="285" w:type="dxa"/>
            <w:vMerge w:val="continue"/>
            <w:tcBorders>
              <w:top w:val="nil"/>
              <w:bottom w:val="nil"/>
            </w:tcBorders>
            <w:vAlign w:val="top"/>
          </w:tcPr>
          <w:p w14:paraId="705ABFC2">
            <w:pPr>
              <w:rPr>
                <w:rFonts w:ascii="Arial"/>
                <w:sz w:val="21"/>
              </w:rPr>
            </w:pPr>
          </w:p>
        </w:tc>
        <w:tc>
          <w:tcPr>
            <w:tcW w:w="1273" w:type="dxa"/>
            <w:vAlign w:val="top"/>
          </w:tcPr>
          <w:p w14:paraId="5C789B7F">
            <w:pPr>
              <w:pStyle w:val="6"/>
              <w:spacing w:before="76" w:line="192" w:lineRule="auto"/>
              <w:ind w:left="199"/>
            </w:pPr>
            <w:r>
              <w:rPr>
                <w:spacing w:val="-1"/>
              </w:rPr>
              <w:t>2019/8/07</w:t>
            </w:r>
          </w:p>
        </w:tc>
        <w:tc>
          <w:tcPr>
            <w:tcW w:w="880" w:type="dxa"/>
            <w:vAlign w:val="top"/>
          </w:tcPr>
          <w:p w14:paraId="379FC204">
            <w:pPr>
              <w:pStyle w:val="6"/>
              <w:spacing w:before="76" w:line="192" w:lineRule="auto"/>
              <w:ind w:left="267"/>
            </w:pPr>
            <w:r>
              <w:rPr>
                <w:spacing w:val="-6"/>
              </w:rPr>
              <w:t>16.2</w:t>
            </w:r>
          </w:p>
        </w:tc>
        <w:tc>
          <w:tcPr>
            <w:tcW w:w="880" w:type="dxa"/>
            <w:vAlign w:val="top"/>
          </w:tcPr>
          <w:p w14:paraId="3397816C">
            <w:pPr>
              <w:pStyle w:val="6"/>
              <w:spacing w:before="76" w:line="192" w:lineRule="auto"/>
              <w:ind w:left="254"/>
            </w:pPr>
            <w:r>
              <w:rPr>
                <w:spacing w:val="-3"/>
              </w:rPr>
              <w:t>6.27</w:t>
            </w:r>
          </w:p>
        </w:tc>
        <w:tc>
          <w:tcPr>
            <w:tcW w:w="880" w:type="dxa"/>
            <w:vAlign w:val="top"/>
          </w:tcPr>
          <w:p w14:paraId="146D53B9">
            <w:pPr>
              <w:pStyle w:val="6"/>
              <w:spacing w:before="76" w:line="192" w:lineRule="auto"/>
              <w:ind w:left="349"/>
            </w:pPr>
            <w:r>
              <w:rPr>
                <w:spacing w:val="-6"/>
              </w:rPr>
              <w:t>10</w:t>
            </w:r>
          </w:p>
        </w:tc>
        <w:tc>
          <w:tcPr>
            <w:tcW w:w="880" w:type="dxa"/>
            <w:vAlign w:val="top"/>
          </w:tcPr>
          <w:p w14:paraId="6D2A34A4">
            <w:pPr>
              <w:pStyle w:val="6"/>
              <w:spacing w:before="76" w:line="192" w:lineRule="auto"/>
              <w:ind w:left="309"/>
            </w:pPr>
            <w:r>
              <w:rPr>
                <w:spacing w:val="-3"/>
              </w:rPr>
              <w:t>6.2</w:t>
            </w:r>
          </w:p>
        </w:tc>
        <w:tc>
          <w:tcPr>
            <w:tcW w:w="880" w:type="dxa"/>
            <w:vAlign w:val="top"/>
          </w:tcPr>
          <w:p w14:paraId="7AE844C6">
            <w:pPr>
              <w:pStyle w:val="6"/>
              <w:spacing w:before="76" w:line="192" w:lineRule="auto"/>
              <w:ind w:left="311"/>
            </w:pPr>
            <w:r>
              <w:rPr>
                <w:spacing w:val="-3"/>
              </w:rPr>
              <w:t>3.1</w:t>
            </w:r>
          </w:p>
        </w:tc>
        <w:tc>
          <w:tcPr>
            <w:tcW w:w="880" w:type="dxa"/>
            <w:vAlign w:val="top"/>
          </w:tcPr>
          <w:p w14:paraId="3D119BA2">
            <w:pPr>
              <w:pStyle w:val="6"/>
              <w:spacing w:before="76" w:line="192" w:lineRule="auto"/>
              <w:ind w:left="397"/>
            </w:pPr>
            <w:r>
              <w:t>8</w:t>
            </w:r>
          </w:p>
        </w:tc>
        <w:tc>
          <w:tcPr>
            <w:tcW w:w="880" w:type="dxa"/>
            <w:vAlign w:val="top"/>
          </w:tcPr>
          <w:p w14:paraId="74E79FA5">
            <w:pPr>
              <w:pStyle w:val="6"/>
              <w:spacing w:before="76" w:line="192" w:lineRule="auto"/>
              <w:ind w:left="331"/>
            </w:pPr>
            <w:r>
              <w:rPr>
                <w:spacing w:val="-8"/>
              </w:rPr>
              <w:t>1.6</w:t>
            </w:r>
          </w:p>
        </w:tc>
        <w:tc>
          <w:tcPr>
            <w:tcW w:w="880" w:type="dxa"/>
            <w:vAlign w:val="top"/>
          </w:tcPr>
          <w:p w14:paraId="6394AA2C">
            <w:pPr>
              <w:pStyle w:val="6"/>
              <w:spacing w:before="76" w:line="192" w:lineRule="auto"/>
              <w:ind w:left="212"/>
            </w:pPr>
            <w:r>
              <w:rPr>
                <w:spacing w:val="-2"/>
              </w:rPr>
              <w:t>0.025</w:t>
            </w:r>
          </w:p>
        </w:tc>
        <w:tc>
          <w:tcPr>
            <w:tcW w:w="880" w:type="dxa"/>
            <w:vAlign w:val="top"/>
          </w:tcPr>
          <w:p w14:paraId="724A80F0">
            <w:pPr>
              <w:pStyle w:val="6"/>
              <w:spacing w:before="76" w:line="192" w:lineRule="auto"/>
              <w:ind w:left="266"/>
            </w:pPr>
            <w:r>
              <w:rPr>
                <w:spacing w:val="-2"/>
              </w:rPr>
              <w:t>0.06</w:t>
            </w:r>
          </w:p>
        </w:tc>
        <w:tc>
          <w:tcPr>
            <w:tcW w:w="880" w:type="dxa"/>
            <w:vAlign w:val="top"/>
          </w:tcPr>
          <w:p w14:paraId="1D6F1AA1">
            <w:pPr>
              <w:pStyle w:val="6"/>
              <w:spacing w:before="76" w:line="192" w:lineRule="auto"/>
              <w:ind w:left="268"/>
            </w:pPr>
            <w:r>
              <w:rPr>
                <w:spacing w:val="-2"/>
              </w:rPr>
              <w:t>0.03</w:t>
            </w:r>
          </w:p>
        </w:tc>
        <w:tc>
          <w:tcPr>
            <w:tcW w:w="881" w:type="dxa"/>
            <w:vAlign w:val="top"/>
          </w:tcPr>
          <w:p w14:paraId="6500B63A">
            <w:pPr>
              <w:pStyle w:val="6"/>
              <w:spacing w:before="76" w:line="192" w:lineRule="auto"/>
              <w:ind w:left="218"/>
            </w:pPr>
            <w:r>
              <w:rPr>
                <w:spacing w:val="-2"/>
              </w:rPr>
              <w:t>0.073</w:t>
            </w:r>
          </w:p>
        </w:tc>
        <w:tc>
          <w:tcPr>
            <w:tcW w:w="894" w:type="dxa"/>
            <w:tcBorders>
              <w:right w:val="single" w:color="000000" w:sz="12" w:space="0"/>
            </w:tcBorders>
            <w:vAlign w:val="top"/>
          </w:tcPr>
          <w:p w14:paraId="49E6E6F3">
            <w:pPr>
              <w:pStyle w:val="6"/>
              <w:spacing w:before="76" w:line="192" w:lineRule="auto"/>
              <w:ind w:left="300"/>
            </w:pPr>
            <w:r>
              <w:rPr>
                <w:spacing w:val="-3"/>
              </w:rPr>
              <w:t>690</w:t>
            </w:r>
          </w:p>
        </w:tc>
      </w:tr>
      <w:tr w14:paraId="3D2E3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7ABA983">
            <w:pPr>
              <w:rPr>
                <w:rFonts w:ascii="Arial"/>
                <w:sz w:val="21"/>
              </w:rPr>
            </w:pPr>
          </w:p>
        </w:tc>
        <w:tc>
          <w:tcPr>
            <w:tcW w:w="285" w:type="dxa"/>
            <w:vMerge w:val="continue"/>
            <w:tcBorders>
              <w:top w:val="nil"/>
            </w:tcBorders>
            <w:vAlign w:val="top"/>
          </w:tcPr>
          <w:p w14:paraId="4A140680">
            <w:pPr>
              <w:rPr>
                <w:rFonts w:ascii="Arial"/>
                <w:sz w:val="21"/>
              </w:rPr>
            </w:pPr>
          </w:p>
        </w:tc>
        <w:tc>
          <w:tcPr>
            <w:tcW w:w="1273" w:type="dxa"/>
            <w:vAlign w:val="top"/>
          </w:tcPr>
          <w:p w14:paraId="733FB515">
            <w:pPr>
              <w:pStyle w:val="6"/>
              <w:spacing w:before="77" w:line="191" w:lineRule="auto"/>
              <w:ind w:left="199"/>
            </w:pPr>
            <w:r>
              <w:rPr>
                <w:spacing w:val="-1"/>
              </w:rPr>
              <w:t>2019/8/08</w:t>
            </w:r>
          </w:p>
        </w:tc>
        <w:tc>
          <w:tcPr>
            <w:tcW w:w="880" w:type="dxa"/>
            <w:vAlign w:val="top"/>
          </w:tcPr>
          <w:p w14:paraId="73652858">
            <w:pPr>
              <w:pStyle w:val="6"/>
              <w:spacing w:before="77" w:line="191" w:lineRule="auto"/>
              <w:ind w:left="267"/>
            </w:pPr>
            <w:r>
              <w:rPr>
                <w:spacing w:val="-6"/>
              </w:rPr>
              <w:t>16.4</w:t>
            </w:r>
          </w:p>
        </w:tc>
        <w:tc>
          <w:tcPr>
            <w:tcW w:w="880" w:type="dxa"/>
            <w:vAlign w:val="top"/>
          </w:tcPr>
          <w:p w14:paraId="14BA6FAC">
            <w:pPr>
              <w:pStyle w:val="6"/>
              <w:spacing w:before="77" w:line="191" w:lineRule="auto"/>
              <w:ind w:left="254"/>
            </w:pPr>
            <w:r>
              <w:rPr>
                <w:spacing w:val="-3"/>
              </w:rPr>
              <w:t>6.36</w:t>
            </w:r>
          </w:p>
        </w:tc>
        <w:tc>
          <w:tcPr>
            <w:tcW w:w="880" w:type="dxa"/>
            <w:vAlign w:val="top"/>
          </w:tcPr>
          <w:p w14:paraId="788B1F86">
            <w:pPr>
              <w:pStyle w:val="6"/>
              <w:spacing w:before="77" w:line="191" w:lineRule="auto"/>
              <w:ind w:left="385"/>
            </w:pPr>
            <w:r>
              <w:t>7</w:t>
            </w:r>
          </w:p>
        </w:tc>
        <w:tc>
          <w:tcPr>
            <w:tcW w:w="880" w:type="dxa"/>
            <w:vAlign w:val="top"/>
          </w:tcPr>
          <w:p w14:paraId="4CEDF3B6">
            <w:pPr>
              <w:pStyle w:val="6"/>
              <w:spacing w:before="77" w:line="191" w:lineRule="auto"/>
              <w:ind w:left="309"/>
            </w:pPr>
            <w:r>
              <w:rPr>
                <w:spacing w:val="-3"/>
              </w:rPr>
              <w:t>6.7</w:t>
            </w:r>
          </w:p>
        </w:tc>
        <w:tc>
          <w:tcPr>
            <w:tcW w:w="880" w:type="dxa"/>
            <w:vAlign w:val="top"/>
          </w:tcPr>
          <w:p w14:paraId="52AFBDC5">
            <w:pPr>
              <w:pStyle w:val="6"/>
              <w:spacing w:before="77" w:line="191" w:lineRule="auto"/>
              <w:ind w:left="307"/>
            </w:pPr>
            <w:r>
              <w:rPr>
                <w:spacing w:val="-2"/>
              </w:rPr>
              <w:t>2.7</w:t>
            </w:r>
          </w:p>
        </w:tc>
        <w:tc>
          <w:tcPr>
            <w:tcW w:w="880" w:type="dxa"/>
            <w:vAlign w:val="top"/>
          </w:tcPr>
          <w:p w14:paraId="12BE7C29">
            <w:pPr>
              <w:pStyle w:val="6"/>
              <w:spacing w:before="77" w:line="191" w:lineRule="auto"/>
              <w:ind w:left="394"/>
            </w:pPr>
            <w:r>
              <w:t>5</w:t>
            </w:r>
          </w:p>
        </w:tc>
        <w:tc>
          <w:tcPr>
            <w:tcW w:w="880" w:type="dxa"/>
            <w:vAlign w:val="top"/>
          </w:tcPr>
          <w:p w14:paraId="04AE709A">
            <w:pPr>
              <w:pStyle w:val="6"/>
              <w:spacing w:before="77" w:line="191" w:lineRule="auto"/>
              <w:ind w:left="331"/>
            </w:pPr>
            <w:r>
              <w:rPr>
                <w:spacing w:val="-8"/>
              </w:rPr>
              <w:t>1.0</w:t>
            </w:r>
          </w:p>
        </w:tc>
        <w:tc>
          <w:tcPr>
            <w:tcW w:w="880" w:type="dxa"/>
            <w:vAlign w:val="top"/>
          </w:tcPr>
          <w:p w14:paraId="7A0F12DB">
            <w:pPr>
              <w:pStyle w:val="6"/>
              <w:spacing w:before="77" w:line="191" w:lineRule="auto"/>
              <w:ind w:left="212"/>
            </w:pPr>
            <w:r>
              <w:rPr>
                <w:spacing w:val="-2"/>
              </w:rPr>
              <w:t>0.025</w:t>
            </w:r>
          </w:p>
        </w:tc>
        <w:tc>
          <w:tcPr>
            <w:tcW w:w="880" w:type="dxa"/>
            <w:vAlign w:val="top"/>
          </w:tcPr>
          <w:p w14:paraId="42BF4D4E">
            <w:pPr>
              <w:pStyle w:val="6"/>
              <w:spacing w:before="77" w:line="191" w:lineRule="auto"/>
              <w:ind w:left="266"/>
            </w:pPr>
            <w:r>
              <w:rPr>
                <w:spacing w:val="-2"/>
              </w:rPr>
              <w:t>0.05</w:t>
            </w:r>
          </w:p>
        </w:tc>
        <w:tc>
          <w:tcPr>
            <w:tcW w:w="880" w:type="dxa"/>
            <w:vAlign w:val="top"/>
          </w:tcPr>
          <w:p w14:paraId="25137970">
            <w:pPr>
              <w:pStyle w:val="6"/>
              <w:spacing w:before="77" w:line="191" w:lineRule="auto"/>
              <w:ind w:left="268"/>
            </w:pPr>
            <w:r>
              <w:rPr>
                <w:spacing w:val="-2"/>
              </w:rPr>
              <w:t>0.02</w:t>
            </w:r>
          </w:p>
        </w:tc>
        <w:tc>
          <w:tcPr>
            <w:tcW w:w="881" w:type="dxa"/>
            <w:vAlign w:val="top"/>
          </w:tcPr>
          <w:p w14:paraId="22F1F35C">
            <w:pPr>
              <w:pStyle w:val="6"/>
              <w:spacing w:before="77" w:line="191" w:lineRule="auto"/>
              <w:ind w:left="218"/>
            </w:pPr>
            <w:r>
              <w:rPr>
                <w:spacing w:val="-2"/>
              </w:rPr>
              <w:t>0.058</w:t>
            </w:r>
          </w:p>
        </w:tc>
        <w:tc>
          <w:tcPr>
            <w:tcW w:w="894" w:type="dxa"/>
            <w:tcBorders>
              <w:right w:val="single" w:color="000000" w:sz="12" w:space="0"/>
            </w:tcBorders>
            <w:vAlign w:val="top"/>
          </w:tcPr>
          <w:p w14:paraId="7C69D502">
            <w:pPr>
              <w:pStyle w:val="6"/>
              <w:spacing w:before="77" w:line="191" w:lineRule="auto"/>
              <w:ind w:left="298"/>
            </w:pPr>
            <w:r>
              <w:rPr>
                <w:spacing w:val="-2"/>
              </w:rPr>
              <w:t>720</w:t>
            </w:r>
          </w:p>
        </w:tc>
      </w:tr>
      <w:tr w14:paraId="11B23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11BA1FE4">
            <w:pPr>
              <w:rPr>
                <w:rFonts w:ascii="Arial"/>
                <w:sz w:val="21"/>
              </w:rPr>
            </w:pPr>
          </w:p>
        </w:tc>
        <w:tc>
          <w:tcPr>
            <w:tcW w:w="285" w:type="dxa"/>
            <w:vMerge w:val="restart"/>
            <w:tcBorders>
              <w:bottom w:val="nil"/>
            </w:tcBorders>
            <w:vAlign w:val="top"/>
          </w:tcPr>
          <w:p w14:paraId="633999C1">
            <w:pPr>
              <w:pStyle w:val="6"/>
              <w:spacing w:before="95" w:line="222" w:lineRule="auto"/>
              <w:ind w:left="76"/>
            </w:pPr>
            <w:r>
              <w:t>4</w:t>
            </w:r>
          </w:p>
          <w:p w14:paraId="00AD7905">
            <w:pPr>
              <w:spacing w:line="219" w:lineRule="auto"/>
              <w:ind w:left="29"/>
              <w:rPr>
                <w:rFonts w:ascii="宋体" w:hAnsi="宋体" w:eastAsia="宋体" w:cs="宋体"/>
                <w:sz w:val="21"/>
                <w:szCs w:val="21"/>
              </w:rPr>
            </w:pPr>
            <w:r>
              <w:rPr>
                <w:rFonts w:ascii="宋体" w:hAnsi="宋体" w:eastAsia="宋体" w:cs="宋体"/>
                <w:sz w:val="21"/>
                <w:szCs w:val="21"/>
              </w:rPr>
              <w:t>季</w:t>
            </w:r>
          </w:p>
          <w:p w14:paraId="02C1F68A">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E112163">
            <w:pPr>
              <w:pStyle w:val="6"/>
              <w:spacing w:before="77" w:line="192" w:lineRule="auto"/>
              <w:ind w:left="199"/>
            </w:pPr>
            <w:r>
              <w:rPr>
                <w:spacing w:val="-1"/>
              </w:rPr>
              <w:t>2019/11/9</w:t>
            </w:r>
          </w:p>
        </w:tc>
        <w:tc>
          <w:tcPr>
            <w:tcW w:w="880" w:type="dxa"/>
            <w:vAlign w:val="top"/>
          </w:tcPr>
          <w:p w14:paraId="40286D43">
            <w:pPr>
              <w:pStyle w:val="6"/>
              <w:spacing w:before="77" w:line="192" w:lineRule="auto"/>
              <w:ind w:left="267"/>
            </w:pPr>
            <w:r>
              <w:rPr>
                <w:spacing w:val="-6"/>
              </w:rPr>
              <w:t>13.0</w:t>
            </w:r>
          </w:p>
        </w:tc>
        <w:tc>
          <w:tcPr>
            <w:tcW w:w="880" w:type="dxa"/>
            <w:vAlign w:val="top"/>
          </w:tcPr>
          <w:p w14:paraId="697F968C">
            <w:pPr>
              <w:pStyle w:val="6"/>
              <w:spacing w:before="77" w:line="192" w:lineRule="auto"/>
              <w:ind w:left="254"/>
            </w:pPr>
            <w:r>
              <w:rPr>
                <w:spacing w:val="-3"/>
              </w:rPr>
              <w:t>6.40</w:t>
            </w:r>
          </w:p>
        </w:tc>
        <w:tc>
          <w:tcPr>
            <w:tcW w:w="880" w:type="dxa"/>
            <w:vAlign w:val="top"/>
          </w:tcPr>
          <w:p w14:paraId="166A6D2A">
            <w:pPr>
              <w:pStyle w:val="6"/>
              <w:spacing w:before="77" w:line="192" w:lineRule="auto"/>
              <w:ind w:left="387"/>
            </w:pPr>
            <w:r>
              <w:t>5</w:t>
            </w:r>
          </w:p>
        </w:tc>
        <w:tc>
          <w:tcPr>
            <w:tcW w:w="880" w:type="dxa"/>
            <w:vAlign w:val="top"/>
          </w:tcPr>
          <w:p w14:paraId="5E35FF71">
            <w:pPr>
              <w:pStyle w:val="6"/>
              <w:spacing w:before="77" w:line="192" w:lineRule="auto"/>
              <w:ind w:left="309"/>
            </w:pPr>
            <w:r>
              <w:rPr>
                <w:spacing w:val="-3"/>
              </w:rPr>
              <w:t>6.4</w:t>
            </w:r>
          </w:p>
        </w:tc>
        <w:tc>
          <w:tcPr>
            <w:tcW w:w="880" w:type="dxa"/>
            <w:vAlign w:val="top"/>
          </w:tcPr>
          <w:p w14:paraId="2CB82343">
            <w:pPr>
              <w:pStyle w:val="6"/>
              <w:spacing w:before="77" w:line="192" w:lineRule="auto"/>
              <w:ind w:left="307"/>
            </w:pPr>
            <w:r>
              <w:rPr>
                <w:spacing w:val="-2"/>
              </w:rPr>
              <w:t>2.0</w:t>
            </w:r>
          </w:p>
        </w:tc>
        <w:tc>
          <w:tcPr>
            <w:tcW w:w="880" w:type="dxa"/>
            <w:vAlign w:val="top"/>
          </w:tcPr>
          <w:p w14:paraId="433C9F82">
            <w:pPr>
              <w:pStyle w:val="6"/>
              <w:spacing w:before="77" w:line="192" w:lineRule="auto"/>
              <w:ind w:left="393"/>
            </w:pPr>
            <w:r>
              <w:t>6</w:t>
            </w:r>
          </w:p>
        </w:tc>
        <w:tc>
          <w:tcPr>
            <w:tcW w:w="880" w:type="dxa"/>
            <w:vAlign w:val="top"/>
          </w:tcPr>
          <w:p w14:paraId="18E129A7">
            <w:pPr>
              <w:pStyle w:val="6"/>
              <w:spacing w:before="77" w:line="192" w:lineRule="auto"/>
              <w:ind w:left="331"/>
            </w:pPr>
            <w:r>
              <w:rPr>
                <w:spacing w:val="-8"/>
              </w:rPr>
              <w:t>1.2</w:t>
            </w:r>
          </w:p>
        </w:tc>
        <w:tc>
          <w:tcPr>
            <w:tcW w:w="880" w:type="dxa"/>
            <w:vAlign w:val="top"/>
          </w:tcPr>
          <w:p w14:paraId="1B7205FC">
            <w:pPr>
              <w:pStyle w:val="6"/>
              <w:spacing w:before="77" w:line="192" w:lineRule="auto"/>
              <w:ind w:left="212"/>
            </w:pPr>
            <w:r>
              <w:rPr>
                <w:spacing w:val="-2"/>
              </w:rPr>
              <w:t>0.091</w:t>
            </w:r>
          </w:p>
        </w:tc>
        <w:tc>
          <w:tcPr>
            <w:tcW w:w="880" w:type="dxa"/>
            <w:vAlign w:val="top"/>
          </w:tcPr>
          <w:p w14:paraId="4A8A235B">
            <w:pPr>
              <w:pStyle w:val="6"/>
              <w:spacing w:before="77" w:line="192" w:lineRule="auto"/>
              <w:ind w:left="266"/>
            </w:pPr>
            <w:r>
              <w:rPr>
                <w:spacing w:val="-2"/>
              </w:rPr>
              <w:t>0.02</w:t>
            </w:r>
          </w:p>
        </w:tc>
        <w:tc>
          <w:tcPr>
            <w:tcW w:w="880" w:type="dxa"/>
            <w:vAlign w:val="top"/>
          </w:tcPr>
          <w:p w14:paraId="2500C7A0">
            <w:pPr>
              <w:pStyle w:val="6"/>
              <w:spacing w:before="77" w:line="192" w:lineRule="auto"/>
              <w:ind w:left="268"/>
            </w:pPr>
            <w:r>
              <w:rPr>
                <w:spacing w:val="-2"/>
              </w:rPr>
              <w:t>0.01</w:t>
            </w:r>
          </w:p>
        </w:tc>
        <w:tc>
          <w:tcPr>
            <w:tcW w:w="881" w:type="dxa"/>
            <w:vAlign w:val="top"/>
          </w:tcPr>
          <w:p w14:paraId="312A2FDE">
            <w:pPr>
              <w:pStyle w:val="6"/>
              <w:spacing w:before="77" w:line="192" w:lineRule="auto"/>
              <w:ind w:left="218"/>
            </w:pPr>
            <w:r>
              <w:rPr>
                <w:spacing w:val="-2"/>
              </w:rPr>
              <w:t>0.121</w:t>
            </w:r>
          </w:p>
        </w:tc>
        <w:tc>
          <w:tcPr>
            <w:tcW w:w="894" w:type="dxa"/>
            <w:tcBorders>
              <w:right w:val="single" w:color="000000" w:sz="12" w:space="0"/>
            </w:tcBorders>
            <w:vAlign w:val="top"/>
          </w:tcPr>
          <w:p w14:paraId="241A2CA0">
            <w:pPr>
              <w:pStyle w:val="6"/>
              <w:spacing w:before="77" w:line="192" w:lineRule="auto"/>
              <w:ind w:left="294"/>
            </w:pPr>
            <w:r>
              <w:rPr>
                <w:spacing w:val="-1"/>
              </w:rPr>
              <w:t>460</w:t>
            </w:r>
          </w:p>
        </w:tc>
      </w:tr>
      <w:tr w14:paraId="12CC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2AF26A7F">
            <w:pPr>
              <w:rPr>
                <w:rFonts w:ascii="Arial"/>
                <w:sz w:val="21"/>
              </w:rPr>
            </w:pPr>
          </w:p>
        </w:tc>
        <w:tc>
          <w:tcPr>
            <w:tcW w:w="285" w:type="dxa"/>
            <w:vMerge w:val="continue"/>
            <w:tcBorders>
              <w:top w:val="nil"/>
              <w:bottom w:val="nil"/>
            </w:tcBorders>
            <w:vAlign w:val="top"/>
          </w:tcPr>
          <w:p w14:paraId="7E1A9C51">
            <w:pPr>
              <w:rPr>
                <w:rFonts w:ascii="Arial"/>
                <w:sz w:val="21"/>
              </w:rPr>
            </w:pPr>
          </w:p>
        </w:tc>
        <w:tc>
          <w:tcPr>
            <w:tcW w:w="1273" w:type="dxa"/>
            <w:vAlign w:val="top"/>
          </w:tcPr>
          <w:p w14:paraId="5FD30479">
            <w:pPr>
              <w:pStyle w:val="6"/>
              <w:spacing w:before="77" w:line="191" w:lineRule="auto"/>
              <w:ind w:left="147"/>
            </w:pPr>
            <w:r>
              <w:rPr>
                <w:spacing w:val="-1"/>
              </w:rPr>
              <w:t>2019/11/10</w:t>
            </w:r>
          </w:p>
        </w:tc>
        <w:tc>
          <w:tcPr>
            <w:tcW w:w="880" w:type="dxa"/>
            <w:vAlign w:val="top"/>
          </w:tcPr>
          <w:p w14:paraId="562FA288">
            <w:pPr>
              <w:pStyle w:val="6"/>
              <w:spacing w:before="77" w:line="191" w:lineRule="auto"/>
              <w:ind w:left="267"/>
            </w:pPr>
            <w:r>
              <w:rPr>
                <w:spacing w:val="-6"/>
              </w:rPr>
              <w:t>13.5</w:t>
            </w:r>
          </w:p>
        </w:tc>
        <w:tc>
          <w:tcPr>
            <w:tcW w:w="880" w:type="dxa"/>
            <w:vAlign w:val="top"/>
          </w:tcPr>
          <w:p w14:paraId="42FB62A1">
            <w:pPr>
              <w:pStyle w:val="6"/>
              <w:spacing w:before="77" w:line="191" w:lineRule="auto"/>
              <w:ind w:left="254"/>
            </w:pPr>
            <w:r>
              <w:rPr>
                <w:spacing w:val="-3"/>
              </w:rPr>
              <w:t>6.37</w:t>
            </w:r>
          </w:p>
        </w:tc>
        <w:tc>
          <w:tcPr>
            <w:tcW w:w="880" w:type="dxa"/>
            <w:vAlign w:val="top"/>
          </w:tcPr>
          <w:p w14:paraId="04A3C381">
            <w:pPr>
              <w:pStyle w:val="6"/>
              <w:spacing w:before="77" w:line="191" w:lineRule="auto"/>
              <w:ind w:left="381"/>
            </w:pPr>
            <w:r>
              <w:t>4</w:t>
            </w:r>
          </w:p>
        </w:tc>
        <w:tc>
          <w:tcPr>
            <w:tcW w:w="880" w:type="dxa"/>
            <w:vAlign w:val="top"/>
          </w:tcPr>
          <w:p w14:paraId="6BF6C1B7">
            <w:pPr>
              <w:pStyle w:val="6"/>
              <w:spacing w:before="77" w:line="191" w:lineRule="auto"/>
              <w:ind w:left="310"/>
            </w:pPr>
            <w:r>
              <w:rPr>
                <w:spacing w:val="-4"/>
              </w:rPr>
              <w:t>5.8</w:t>
            </w:r>
          </w:p>
        </w:tc>
        <w:tc>
          <w:tcPr>
            <w:tcW w:w="880" w:type="dxa"/>
            <w:vAlign w:val="top"/>
          </w:tcPr>
          <w:p w14:paraId="6FE18289">
            <w:pPr>
              <w:pStyle w:val="6"/>
              <w:spacing w:before="77" w:line="191" w:lineRule="auto"/>
              <w:ind w:left="327"/>
            </w:pPr>
            <w:r>
              <w:rPr>
                <w:spacing w:val="-8"/>
              </w:rPr>
              <w:t>1.8</w:t>
            </w:r>
          </w:p>
        </w:tc>
        <w:tc>
          <w:tcPr>
            <w:tcW w:w="880" w:type="dxa"/>
            <w:vAlign w:val="top"/>
          </w:tcPr>
          <w:p w14:paraId="695DADF1">
            <w:pPr>
              <w:pStyle w:val="6"/>
              <w:spacing w:before="77" w:line="191" w:lineRule="auto"/>
              <w:ind w:left="391"/>
            </w:pPr>
            <w:r>
              <w:t>7</w:t>
            </w:r>
          </w:p>
        </w:tc>
        <w:tc>
          <w:tcPr>
            <w:tcW w:w="880" w:type="dxa"/>
            <w:vAlign w:val="top"/>
          </w:tcPr>
          <w:p w14:paraId="16FB30C9">
            <w:pPr>
              <w:pStyle w:val="6"/>
              <w:spacing w:before="77" w:line="191" w:lineRule="auto"/>
              <w:ind w:left="331"/>
            </w:pPr>
            <w:r>
              <w:rPr>
                <w:spacing w:val="-8"/>
              </w:rPr>
              <w:t>1.4</w:t>
            </w:r>
          </w:p>
        </w:tc>
        <w:tc>
          <w:tcPr>
            <w:tcW w:w="880" w:type="dxa"/>
            <w:vAlign w:val="top"/>
          </w:tcPr>
          <w:p w14:paraId="5790FBA0">
            <w:pPr>
              <w:pStyle w:val="6"/>
              <w:spacing w:before="77" w:line="191" w:lineRule="auto"/>
              <w:ind w:left="212"/>
            </w:pPr>
            <w:r>
              <w:rPr>
                <w:spacing w:val="-2"/>
              </w:rPr>
              <w:t>0.103</w:t>
            </w:r>
          </w:p>
        </w:tc>
        <w:tc>
          <w:tcPr>
            <w:tcW w:w="880" w:type="dxa"/>
            <w:vAlign w:val="top"/>
          </w:tcPr>
          <w:p w14:paraId="3C16AAE5">
            <w:pPr>
              <w:pStyle w:val="6"/>
              <w:spacing w:before="77" w:line="191" w:lineRule="auto"/>
              <w:ind w:left="266"/>
            </w:pPr>
            <w:r>
              <w:rPr>
                <w:spacing w:val="-2"/>
              </w:rPr>
              <w:t>0.02</w:t>
            </w:r>
          </w:p>
        </w:tc>
        <w:tc>
          <w:tcPr>
            <w:tcW w:w="880" w:type="dxa"/>
            <w:vAlign w:val="top"/>
          </w:tcPr>
          <w:p w14:paraId="0F5742F1">
            <w:pPr>
              <w:pStyle w:val="6"/>
              <w:spacing w:before="77" w:line="191" w:lineRule="auto"/>
              <w:ind w:left="268"/>
            </w:pPr>
            <w:r>
              <w:rPr>
                <w:spacing w:val="-2"/>
              </w:rPr>
              <w:t>0.01</w:t>
            </w:r>
          </w:p>
        </w:tc>
        <w:tc>
          <w:tcPr>
            <w:tcW w:w="881" w:type="dxa"/>
            <w:vAlign w:val="top"/>
          </w:tcPr>
          <w:p w14:paraId="4E25CE0E">
            <w:pPr>
              <w:pStyle w:val="6"/>
              <w:spacing w:before="77" w:line="191" w:lineRule="auto"/>
              <w:ind w:left="218"/>
            </w:pPr>
            <w:r>
              <w:rPr>
                <w:spacing w:val="-2"/>
              </w:rPr>
              <w:t>0.119</w:t>
            </w:r>
          </w:p>
        </w:tc>
        <w:tc>
          <w:tcPr>
            <w:tcW w:w="894" w:type="dxa"/>
            <w:tcBorders>
              <w:right w:val="single" w:color="000000" w:sz="12" w:space="0"/>
            </w:tcBorders>
            <w:vAlign w:val="top"/>
          </w:tcPr>
          <w:p w14:paraId="65C675DA">
            <w:pPr>
              <w:pStyle w:val="6"/>
              <w:spacing w:before="77" w:line="191" w:lineRule="auto"/>
              <w:ind w:left="294"/>
            </w:pPr>
            <w:r>
              <w:rPr>
                <w:spacing w:val="-1"/>
              </w:rPr>
              <w:t>430</w:t>
            </w:r>
          </w:p>
        </w:tc>
      </w:tr>
      <w:tr w14:paraId="0DC8E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tcBorders>
            <w:vAlign w:val="top"/>
          </w:tcPr>
          <w:p w14:paraId="3A37CC82">
            <w:pPr>
              <w:rPr>
                <w:rFonts w:ascii="Arial"/>
                <w:sz w:val="21"/>
              </w:rPr>
            </w:pPr>
          </w:p>
        </w:tc>
        <w:tc>
          <w:tcPr>
            <w:tcW w:w="285" w:type="dxa"/>
            <w:vMerge w:val="continue"/>
            <w:tcBorders>
              <w:top w:val="nil"/>
            </w:tcBorders>
            <w:vAlign w:val="top"/>
          </w:tcPr>
          <w:p w14:paraId="67C68227">
            <w:pPr>
              <w:rPr>
                <w:rFonts w:ascii="Arial"/>
                <w:sz w:val="21"/>
              </w:rPr>
            </w:pPr>
          </w:p>
        </w:tc>
        <w:tc>
          <w:tcPr>
            <w:tcW w:w="1273" w:type="dxa"/>
            <w:vAlign w:val="top"/>
          </w:tcPr>
          <w:p w14:paraId="07409E45">
            <w:pPr>
              <w:pStyle w:val="6"/>
              <w:spacing w:before="77" w:line="190" w:lineRule="auto"/>
              <w:ind w:left="147"/>
            </w:pPr>
            <w:r>
              <w:rPr>
                <w:spacing w:val="-1"/>
              </w:rPr>
              <w:t>2019/11/11</w:t>
            </w:r>
          </w:p>
        </w:tc>
        <w:tc>
          <w:tcPr>
            <w:tcW w:w="880" w:type="dxa"/>
            <w:vAlign w:val="top"/>
          </w:tcPr>
          <w:p w14:paraId="13AAD6E5">
            <w:pPr>
              <w:pStyle w:val="6"/>
              <w:spacing w:before="77" w:line="190" w:lineRule="auto"/>
              <w:ind w:left="267"/>
            </w:pPr>
            <w:r>
              <w:rPr>
                <w:spacing w:val="-6"/>
              </w:rPr>
              <w:t>12.9</w:t>
            </w:r>
          </w:p>
        </w:tc>
        <w:tc>
          <w:tcPr>
            <w:tcW w:w="880" w:type="dxa"/>
            <w:vAlign w:val="top"/>
          </w:tcPr>
          <w:p w14:paraId="519C150B">
            <w:pPr>
              <w:pStyle w:val="6"/>
              <w:spacing w:before="77" w:line="190" w:lineRule="auto"/>
              <w:ind w:left="254"/>
            </w:pPr>
            <w:r>
              <w:rPr>
                <w:spacing w:val="-3"/>
              </w:rPr>
              <w:t>6.44</w:t>
            </w:r>
          </w:p>
        </w:tc>
        <w:tc>
          <w:tcPr>
            <w:tcW w:w="880" w:type="dxa"/>
            <w:vAlign w:val="top"/>
          </w:tcPr>
          <w:p w14:paraId="7C68F1A2">
            <w:pPr>
              <w:pStyle w:val="6"/>
              <w:spacing w:before="77" w:line="190" w:lineRule="auto"/>
              <w:ind w:left="387"/>
            </w:pPr>
            <w:r>
              <w:t>5</w:t>
            </w:r>
          </w:p>
        </w:tc>
        <w:tc>
          <w:tcPr>
            <w:tcW w:w="880" w:type="dxa"/>
            <w:vAlign w:val="top"/>
          </w:tcPr>
          <w:p w14:paraId="18910EBB">
            <w:pPr>
              <w:pStyle w:val="6"/>
              <w:spacing w:before="77" w:line="190" w:lineRule="auto"/>
              <w:ind w:left="309"/>
            </w:pPr>
            <w:r>
              <w:rPr>
                <w:spacing w:val="-3"/>
              </w:rPr>
              <w:t>6.5</w:t>
            </w:r>
          </w:p>
        </w:tc>
        <w:tc>
          <w:tcPr>
            <w:tcW w:w="880" w:type="dxa"/>
            <w:vAlign w:val="top"/>
          </w:tcPr>
          <w:p w14:paraId="292E3D97">
            <w:pPr>
              <w:pStyle w:val="6"/>
              <w:spacing w:before="77" w:line="190" w:lineRule="auto"/>
              <w:ind w:left="307"/>
            </w:pPr>
            <w:r>
              <w:rPr>
                <w:spacing w:val="-2"/>
              </w:rPr>
              <w:t>2.1</w:t>
            </w:r>
          </w:p>
        </w:tc>
        <w:tc>
          <w:tcPr>
            <w:tcW w:w="880" w:type="dxa"/>
            <w:vAlign w:val="top"/>
          </w:tcPr>
          <w:p w14:paraId="536C5D6C">
            <w:pPr>
              <w:pStyle w:val="6"/>
              <w:spacing w:before="77" w:line="190" w:lineRule="auto"/>
              <w:ind w:left="394"/>
            </w:pPr>
            <w:r>
              <w:t>5</w:t>
            </w:r>
          </w:p>
        </w:tc>
        <w:tc>
          <w:tcPr>
            <w:tcW w:w="880" w:type="dxa"/>
            <w:vAlign w:val="top"/>
          </w:tcPr>
          <w:p w14:paraId="37B6D532">
            <w:pPr>
              <w:pStyle w:val="6"/>
              <w:spacing w:before="77" w:line="190" w:lineRule="auto"/>
              <w:ind w:left="331"/>
            </w:pPr>
            <w:r>
              <w:rPr>
                <w:spacing w:val="-8"/>
              </w:rPr>
              <w:t>1.0</w:t>
            </w:r>
          </w:p>
        </w:tc>
        <w:tc>
          <w:tcPr>
            <w:tcW w:w="880" w:type="dxa"/>
            <w:vAlign w:val="top"/>
          </w:tcPr>
          <w:p w14:paraId="21BBC82C">
            <w:pPr>
              <w:pStyle w:val="6"/>
              <w:spacing w:before="77" w:line="190" w:lineRule="auto"/>
              <w:ind w:left="212"/>
            </w:pPr>
            <w:r>
              <w:rPr>
                <w:spacing w:val="-2"/>
              </w:rPr>
              <w:t>0.096</w:t>
            </w:r>
          </w:p>
        </w:tc>
        <w:tc>
          <w:tcPr>
            <w:tcW w:w="880" w:type="dxa"/>
            <w:vAlign w:val="top"/>
          </w:tcPr>
          <w:p w14:paraId="03CF2664">
            <w:pPr>
              <w:pStyle w:val="6"/>
              <w:spacing w:before="77" w:line="190" w:lineRule="auto"/>
              <w:ind w:left="266"/>
            </w:pPr>
            <w:r>
              <w:rPr>
                <w:spacing w:val="-2"/>
              </w:rPr>
              <w:t>0.01</w:t>
            </w:r>
          </w:p>
        </w:tc>
        <w:tc>
          <w:tcPr>
            <w:tcW w:w="880" w:type="dxa"/>
            <w:vAlign w:val="top"/>
          </w:tcPr>
          <w:p w14:paraId="2A57EB0C">
            <w:pPr>
              <w:pStyle w:val="6"/>
              <w:spacing w:before="77" w:line="190" w:lineRule="auto"/>
              <w:ind w:left="268"/>
            </w:pPr>
            <w:r>
              <w:rPr>
                <w:spacing w:val="-2"/>
              </w:rPr>
              <w:t>0.02</w:t>
            </w:r>
          </w:p>
        </w:tc>
        <w:tc>
          <w:tcPr>
            <w:tcW w:w="881" w:type="dxa"/>
            <w:vAlign w:val="top"/>
          </w:tcPr>
          <w:p w14:paraId="7B4A7CDD">
            <w:pPr>
              <w:pStyle w:val="6"/>
              <w:spacing w:before="77" w:line="190" w:lineRule="auto"/>
              <w:ind w:left="218"/>
            </w:pPr>
            <w:r>
              <w:rPr>
                <w:spacing w:val="-2"/>
              </w:rPr>
              <w:t>0.127</w:t>
            </w:r>
          </w:p>
        </w:tc>
        <w:tc>
          <w:tcPr>
            <w:tcW w:w="894" w:type="dxa"/>
            <w:tcBorders>
              <w:right w:val="single" w:color="000000" w:sz="12" w:space="0"/>
            </w:tcBorders>
            <w:vAlign w:val="top"/>
          </w:tcPr>
          <w:p w14:paraId="0CA8D2D6">
            <w:pPr>
              <w:pStyle w:val="6"/>
              <w:spacing w:before="77" w:line="190" w:lineRule="auto"/>
              <w:ind w:left="294"/>
            </w:pPr>
            <w:r>
              <w:rPr>
                <w:spacing w:val="-1"/>
              </w:rPr>
              <w:t>440</w:t>
            </w:r>
          </w:p>
        </w:tc>
      </w:tr>
      <w:tr w14:paraId="276D9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restart"/>
            <w:tcBorders>
              <w:left w:val="single" w:color="000000" w:sz="12" w:space="0"/>
              <w:bottom w:val="nil"/>
            </w:tcBorders>
            <w:vAlign w:val="top"/>
          </w:tcPr>
          <w:p w14:paraId="6F23D131">
            <w:pPr>
              <w:spacing w:line="260" w:lineRule="auto"/>
              <w:rPr>
                <w:rFonts w:ascii="Arial"/>
                <w:sz w:val="21"/>
              </w:rPr>
            </w:pPr>
          </w:p>
          <w:p w14:paraId="7F608BAA">
            <w:pPr>
              <w:spacing w:line="261" w:lineRule="auto"/>
              <w:rPr>
                <w:rFonts w:ascii="Arial"/>
                <w:sz w:val="21"/>
              </w:rPr>
            </w:pPr>
          </w:p>
          <w:p w14:paraId="670CF477">
            <w:pPr>
              <w:spacing w:line="261" w:lineRule="auto"/>
              <w:rPr>
                <w:rFonts w:ascii="Arial"/>
                <w:sz w:val="21"/>
              </w:rPr>
            </w:pPr>
          </w:p>
          <w:p w14:paraId="7862D0F7">
            <w:pPr>
              <w:spacing w:line="261" w:lineRule="auto"/>
              <w:rPr>
                <w:rFonts w:ascii="Arial"/>
                <w:sz w:val="21"/>
              </w:rPr>
            </w:pPr>
          </w:p>
          <w:p w14:paraId="5B846E51">
            <w:pPr>
              <w:spacing w:line="261" w:lineRule="auto"/>
              <w:rPr>
                <w:rFonts w:ascii="Arial"/>
                <w:sz w:val="21"/>
              </w:rPr>
            </w:pPr>
          </w:p>
          <w:p w14:paraId="2A91B809">
            <w:pPr>
              <w:spacing w:line="261" w:lineRule="auto"/>
              <w:rPr>
                <w:rFonts w:ascii="Arial"/>
                <w:sz w:val="21"/>
              </w:rPr>
            </w:pPr>
          </w:p>
          <w:p w14:paraId="45CE6AB2">
            <w:pPr>
              <w:spacing w:before="68" w:line="220" w:lineRule="auto"/>
              <w:ind w:left="203"/>
              <w:rPr>
                <w:rFonts w:ascii="宋体" w:hAnsi="宋体" w:eastAsia="宋体" w:cs="宋体"/>
                <w:sz w:val="21"/>
                <w:szCs w:val="21"/>
              </w:rPr>
            </w:pPr>
            <w:r>
              <w:rPr>
                <w:rFonts w:ascii="宋体" w:hAnsi="宋体" w:eastAsia="宋体" w:cs="宋体"/>
                <w:spacing w:val="-2"/>
                <w:sz w:val="21"/>
                <w:szCs w:val="21"/>
              </w:rPr>
              <w:t>面店水库</w:t>
            </w:r>
          </w:p>
        </w:tc>
        <w:tc>
          <w:tcPr>
            <w:tcW w:w="285" w:type="dxa"/>
            <w:vMerge w:val="restart"/>
            <w:tcBorders>
              <w:bottom w:val="nil"/>
            </w:tcBorders>
            <w:vAlign w:val="top"/>
          </w:tcPr>
          <w:p w14:paraId="78A0A6D5">
            <w:pPr>
              <w:pStyle w:val="6"/>
              <w:spacing w:before="97" w:line="223" w:lineRule="auto"/>
              <w:ind w:left="97"/>
            </w:pPr>
            <w:r>
              <w:t>1</w:t>
            </w:r>
          </w:p>
          <w:p w14:paraId="4B4680D3">
            <w:pPr>
              <w:spacing w:line="219" w:lineRule="auto"/>
              <w:ind w:left="29"/>
              <w:rPr>
                <w:rFonts w:ascii="宋体" w:hAnsi="宋体" w:eastAsia="宋体" w:cs="宋体"/>
                <w:sz w:val="21"/>
                <w:szCs w:val="21"/>
              </w:rPr>
            </w:pPr>
            <w:r>
              <w:rPr>
                <w:rFonts w:ascii="宋体" w:hAnsi="宋体" w:eastAsia="宋体" w:cs="宋体"/>
                <w:sz w:val="21"/>
                <w:szCs w:val="21"/>
              </w:rPr>
              <w:t>季</w:t>
            </w:r>
          </w:p>
          <w:p w14:paraId="5895511D">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06DE9CE">
            <w:pPr>
              <w:pStyle w:val="6"/>
              <w:spacing w:before="78" w:line="190" w:lineRule="auto"/>
              <w:ind w:left="199"/>
            </w:pPr>
            <w:r>
              <w:rPr>
                <w:spacing w:val="-1"/>
              </w:rPr>
              <w:t>2019/1/15</w:t>
            </w:r>
          </w:p>
        </w:tc>
        <w:tc>
          <w:tcPr>
            <w:tcW w:w="880" w:type="dxa"/>
            <w:vAlign w:val="top"/>
          </w:tcPr>
          <w:p w14:paraId="2BDAA1DA">
            <w:pPr>
              <w:pStyle w:val="6"/>
              <w:spacing w:before="78" w:line="190" w:lineRule="auto"/>
              <w:ind w:left="267"/>
            </w:pPr>
            <w:r>
              <w:rPr>
                <w:spacing w:val="-6"/>
              </w:rPr>
              <w:t>15.2</w:t>
            </w:r>
          </w:p>
        </w:tc>
        <w:tc>
          <w:tcPr>
            <w:tcW w:w="880" w:type="dxa"/>
            <w:vAlign w:val="top"/>
          </w:tcPr>
          <w:p w14:paraId="077AFFA7">
            <w:pPr>
              <w:pStyle w:val="6"/>
              <w:spacing w:before="78" w:line="190" w:lineRule="auto"/>
              <w:ind w:left="254"/>
            </w:pPr>
            <w:r>
              <w:rPr>
                <w:spacing w:val="-3"/>
              </w:rPr>
              <w:t>6.40</w:t>
            </w:r>
          </w:p>
        </w:tc>
        <w:tc>
          <w:tcPr>
            <w:tcW w:w="880" w:type="dxa"/>
            <w:vAlign w:val="top"/>
          </w:tcPr>
          <w:p w14:paraId="6715167B">
            <w:pPr>
              <w:pStyle w:val="6"/>
              <w:spacing w:before="78" w:line="190" w:lineRule="auto"/>
              <w:ind w:left="390"/>
            </w:pPr>
            <w:r>
              <w:t>8</w:t>
            </w:r>
          </w:p>
        </w:tc>
        <w:tc>
          <w:tcPr>
            <w:tcW w:w="880" w:type="dxa"/>
            <w:vAlign w:val="top"/>
          </w:tcPr>
          <w:p w14:paraId="0B8FDBC7">
            <w:pPr>
              <w:pStyle w:val="6"/>
              <w:spacing w:before="78" w:line="190" w:lineRule="auto"/>
              <w:ind w:left="310"/>
            </w:pPr>
            <w:r>
              <w:rPr>
                <w:spacing w:val="-4"/>
              </w:rPr>
              <w:t>5.4</w:t>
            </w:r>
          </w:p>
        </w:tc>
        <w:tc>
          <w:tcPr>
            <w:tcW w:w="880" w:type="dxa"/>
            <w:vAlign w:val="top"/>
          </w:tcPr>
          <w:p w14:paraId="4F76C685">
            <w:pPr>
              <w:pStyle w:val="6"/>
              <w:spacing w:before="78" w:line="190" w:lineRule="auto"/>
              <w:ind w:left="307"/>
            </w:pPr>
            <w:r>
              <w:rPr>
                <w:spacing w:val="-2"/>
              </w:rPr>
              <w:t>2.8</w:t>
            </w:r>
          </w:p>
        </w:tc>
        <w:tc>
          <w:tcPr>
            <w:tcW w:w="880" w:type="dxa"/>
            <w:vAlign w:val="top"/>
          </w:tcPr>
          <w:p w14:paraId="32B959A0">
            <w:pPr>
              <w:pStyle w:val="6"/>
              <w:spacing w:before="78" w:line="190" w:lineRule="auto"/>
              <w:ind w:left="355"/>
            </w:pPr>
            <w:r>
              <w:rPr>
                <w:spacing w:val="-12"/>
              </w:rPr>
              <w:t>10</w:t>
            </w:r>
          </w:p>
        </w:tc>
        <w:tc>
          <w:tcPr>
            <w:tcW w:w="880" w:type="dxa"/>
            <w:vAlign w:val="top"/>
          </w:tcPr>
          <w:p w14:paraId="1C380580">
            <w:pPr>
              <w:pStyle w:val="6"/>
              <w:spacing w:before="78" w:line="190" w:lineRule="auto"/>
              <w:ind w:left="331"/>
            </w:pPr>
            <w:r>
              <w:rPr>
                <w:spacing w:val="-8"/>
              </w:rPr>
              <w:t>1.6</w:t>
            </w:r>
          </w:p>
        </w:tc>
        <w:tc>
          <w:tcPr>
            <w:tcW w:w="880" w:type="dxa"/>
            <w:vAlign w:val="top"/>
          </w:tcPr>
          <w:p w14:paraId="3560D87D">
            <w:pPr>
              <w:pStyle w:val="6"/>
              <w:spacing w:before="78" w:line="190" w:lineRule="auto"/>
              <w:ind w:left="212"/>
            </w:pPr>
            <w:r>
              <w:rPr>
                <w:spacing w:val="-2"/>
              </w:rPr>
              <w:t>0.194</w:t>
            </w:r>
          </w:p>
        </w:tc>
        <w:tc>
          <w:tcPr>
            <w:tcW w:w="880" w:type="dxa"/>
            <w:vAlign w:val="top"/>
          </w:tcPr>
          <w:p w14:paraId="03F729CF">
            <w:pPr>
              <w:pStyle w:val="6"/>
              <w:spacing w:before="78" w:line="190" w:lineRule="auto"/>
              <w:ind w:left="266"/>
            </w:pPr>
            <w:r>
              <w:rPr>
                <w:spacing w:val="-2"/>
              </w:rPr>
              <w:t>0.02</w:t>
            </w:r>
          </w:p>
        </w:tc>
        <w:tc>
          <w:tcPr>
            <w:tcW w:w="880" w:type="dxa"/>
            <w:vAlign w:val="top"/>
          </w:tcPr>
          <w:p w14:paraId="30A0B3C1">
            <w:pPr>
              <w:pStyle w:val="6"/>
              <w:spacing w:before="78" w:line="190" w:lineRule="auto"/>
              <w:ind w:left="204"/>
            </w:pPr>
            <w:r>
              <w:rPr>
                <w:spacing w:val="-1"/>
              </w:rPr>
              <w:t>0.01L</w:t>
            </w:r>
          </w:p>
        </w:tc>
        <w:tc>
          <w:tcPr>
            <w:tcW w:w="881" w:type="dxa"/>
            <w:vAlign w:val="top"/>
          </w:tcPr>
          <w:p w14:paraId="2B22FB82">
            <w:pPr>
              <w:pStyle w:val="6"/>
              <w:spacing w:before="78" w:line="190" w:lineRule="auto"/>
              <w:ind w:left="206"/>
            </w:pPr>
            <w:r>
              <w:rPr>
                <w:spacing w:val="-1"/>
              </w:rPr>
              <w:t>0.05L</w:t>
            </w:r>
          </w:p>
        </w:tc>
        <w:tc>
          <w:tcPr>
            <w:tcW w:w="894" w:type="dxa"/>
            <w:tcBorders>
              <w:right w:val="single" w:color="000000" w:sz="12" w:space="0"/>
            </w:tcBorders>
            <w:vAlign w:val="top"/>
          </w:tcPr>
          <w:p w14:paraId="1EB9DA9A">
            <w:pPr>
              <w:pStyle w:val="6"/>
              <w:spacing w:before="78" w:line="190" w:lineRule="auto"/>
              <w:ind w:left="299"/>
            </w:pPr>
            <w:r>
              <w:rPr>
                <w:spacing w:val="-3"/>
              </w:rPr>
              <w:t>330</w:t>
            </w:r>
          </w:p>
        </w:tc>
      </w:tr>
      <w:tr w14:paraId="3E7E2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08F059D0">
            <w:pPr>
              <w:rPr>
                <w:rFonts w:ascii="Arial"/>
                <w:sz w:val="21"/>
              </w:rPr>
            </w:pPr>
          </w:p>
        </w:tc>
        <w:tc>
          <w:tcPr>
            <w:tcW w:w="285" w:type="dxa"/>
            <w:vMerge w:val="continue"/>
            <w:tcBorders>
              <w:top w:val="nil"/>
              <w:bottom w:val="nil"/>
            </w:tcBorders>
            <w:vAlign w:val="top"/>
          </w:tcPr>
          <w:p w14:paraId="601D4281">
            <w:pPr>
              <w:rPr>
                <w:rFonts w:ascii="Arial"/>
                <w:sz w:val="21"/>
              </w:rPr>
            </w:pPr>
          </w:p>
        </w:tc>
        <w:tc>
          <w:tcPr>
            <w:tcW w:w="1273" w:type="dxa"/>
            <w:vAlign w:val="top"/>
          </w:tcPr>
          <w:p w14:paraId="070784D4">
            <w:pPr>
              <w:pStyle w:val="6"/>
              <w:spacing w:before="79" w:line="189" w:lineRule="auto"/>
              <w:ind w:left="199"/>
            </w:pPr>
            <w:r>
              <w:rPr>
                <w:spacing w:val="-1"/>
              </w:rPr>
              <w:t>2019/1/16</w:t>
            </w:r>
          </w:p>
        </w:tc>
        <w:tc>
          <w:tcPr>
            <w:tcW w:w="880" w:type="dxa"/>
            <w:vAlign w:val="top"/>
          </w:tcPr>
          <w:p w14:paraId="40C47F81">
            <w:pPr>
              <w:pStyle w:val="6"/>
              <w:spacing w:before="79" w:line="189" w:lineRule="auto"/>
              <w:ind w:left="267"/>
            </w:pPr>
            <w:r>
              <w:rPr>
                <w:spacing w:val="-6"/>
              </w:rPr>
              <w:t>14.8</w:t>
            </w:r>
          </w:p>
        </w:tc>
        <w:tc>
          <w:tcPr>
            <w:tcW w:w="880" w:type="dxa"/>
            <w:vAlign w:val="top"/>
          </w:tcPr>
          <w:p w14:paraId="62BE3B10">
            <w:pPr>
              <w:pStyle w:val="6"/>
              <w:spacing w:before="79" w:line="189" w:lineRule="auto"/>
              <w:ind w:left="254"/>
            </w:pPr>
            <w:r>
              <w:rPr>
                <w:spacing w:val="-3"/>
              </w:rPr>
              <w:t>6.45</w:t>
            </w:r>
          </w:p>
        </w:tc>
        <w:tc>
          <w:tcPr>
            <w:tcW w:w="880" w:type="dxa"/>
            <w:vAlign w:val="top"/>
          </w:tcPr>
          <w:p w14:paraId="295859C8">
            <w:pPr>
              <w:pStyle w:val="6"/>
              <w:spacing w:before="79" w:line="189" w:lineRule="auto"/>
              <w:ind w:left="385"/>
            </w:pPr>
            <w:r>
              <w:t>7</w:t>
            </w:r>
          </w:p>
        </w:tc>
        <w:tc>
          <w:tcPr>
            <w:tcW w:w="880" w:type="dxa"/>
            <w:vAlign w:val="top"/>
          </w:tcPr>
          <w:p w14:paraId="172D7B16">
            <w:pPr>
              <w:pStyle w:val="6"/>
              <w:spacing w:before="79" w:line="189" w:lineRule="auto"/>
              <w:ind w:left="310"/>
            </w:pPr>
            <w:r>
              <w:rPr>
                <w:spacing w:val="-4"/>
              </w:rPr>
              <w:t>5.7</w:t>
            </w:r>
          </w:p>
        </w:tc>
        <w:tc>
          <w:tcPr>
            <w:tcW w:w="880" w:type="dxa"/>
            <w:vAlign w:val="top"/>
          </w:tcPr>
          <w:p w14:paraId="04DD8759">
            <w:pPr>
              <w:pStyle w:val="6"/>
              <w:spacing w:before="79" w:line="189" w:lineRule="auto"/>
              <w:ind w:left="307"/>
            </w:pPr>
            <w:r>
              <w:rPr>
                <w:spacing w:val="-2"/>
              </w:rPr>
              <w:t>2.9</w:t>
            </w:r>
          </w:p>
        </w:tc>
        <w:tc>
          <w:tcPr>
            <w:tcW w:w="880" w:type="dxa"/>
            <w:vAlign w:val="top"/>
          </w:tcPr>
          <w:p w14:paraId="09FD40A4">
            <w:pPr>
              <w:pStyle w:val="6"/>
              <w:spacing w:before="79" w:line="189" w:lineRule="auto"/>
              <w:ind w:left="392"/>
            </w:pPr>
            <w:r>
              <w:t>9</w:t>
            </w:r>
          </w:p>
        </w:tc>
        <w:tc>
          <w:tcPr>
            <w:tcW w:w="880" w:type="dxa"/>
            <w:vAlign w:val="top"/>
          </w:tcPr>
          <w:p w14:paraId="4274CEF5">
            <w:pPr>
              <w:pStyle w:val="6"/>
              <w:spacing w:before="79" w:line="189" w:lineRule="auto"/>
              <w:ind w:left="331"/>
            </w:pPr>
            <w:r>
              <w:rPr>
                <w:spacing w:val="-8"/>
              </w:rPr>
              <w:t>1.3</w:t>
            </w:r>
          </w:p>
        </w:tc>
        <w:tc>
          <w:tcPr>
            <w:tcW w:w="880" w:type="dxa"/>
            <w:vAlign w:val="top"/>
          </w:tcPr>
          <w:p w14:paraId="3134E839">
            <w:pPr>
              <w:pStyle w:val="6"/>
              <w:spacing w:before="79" w:line="189" w:lineRule="auto"/>
              <w:ind w:left="212"/>
            </w:pPr>
            <w:r>
              <w:rPr>
                <w:spacing w:val="-2"/>
              </w:rPr>
              <w:t>0.186</w:t>
            </w:r>
          </w:p>
        </w:tc>
        <w:tc>
          <w:tcPr>
            <w:tcW w:w="880" w:type="dxa"/>
            <w:vAlign w:val="top"/>
          </w:tcPr>
          <w:p w14:paraId="65C2EB2E">
            <w:pPr>
              <w:pStyle w:val="6"/>
              <w:spacing w:before="79" w:line="189" w:lineRule="auto"/>
              <w:ind w:left="266"/>
            </w:pPr>
            <w:r>
              <w:rPr>
                <w:spacing w:val="-2"/>
              </w:rPr>
              <w:t>0.02</w:t>
            </w:r>
          </w:p>
        </w:tc>
        <w:tc>
          <w:tcPr>
            <w:tcW w:w="880" w:type="dxa"/>
            <w:vAlign w:val="top"/>
          </w:tcPr>
          <w:p w14:paraId="43212384">
            <w:pPr>
              <w:pStyle w:val="6"/>
              <w:spacing w:before="79" w:line="189" w:lineRule="auto"/>
              <w:ind w:left="204"/>
            </w:pPr>
            <w:r>
              <w:rPr>
                <w:spacing w:val="-1"/>
              </w:rPr>
              <w:t>0.01L</w:t>
            </w:r>
          </w:p>
        </w:tc>
        <w:tc>
          <w:tcPr>
            <w:tcW w:w="881" w:type="dxa"/>
            <w:vAlign w:val="top"/>
          </w:tcPr>
          <w:p w14:paraId="3EB5695C">
            <w:pPr>
              <w:pStyle w:val="6"/>
              <w:spacing w:before="79" w:line="189" w:lineRule="auto"/>
              <w:ind w:left="206"/>
            </w:pPr>
            <w:r>
              <w:rPr>
                <w:spacing w:val="-1"/>
              </w:rPr>
              <w:t>0.05L</w:t>
            </w:r>
          </w:p>
        </w:tc>
        <w:tc>
          <w:tcPr>
            <w:tcW w:w="894" w:type="dxa"/>
            <w:tcBorders>
              <w:right w:val="single" w:color="000000" w:sz="12" w:space="0"/>
            </w:tcBorders>
            <w:vAlign w:val="top"/>
          </w:tcPr>
          <w:p w14:paraId="60694575">
            <w:pPr>
              <w:pStyle w:val="6"/>
              <w:spacing w:before="79" w:line="189" w:lineRule="auto"/>
              <w:ind w:left="299"/>
            </w:pPr>
            <w:r>
              <w:rPr>
                <w:spacing w:val="-3"/>
              </w:rPr>
              <w:t>340</w:t>
            </w:r>
          </w:p>
        </w:tc>
      </w:tr>
      <w:tr w14:paraId="694CB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EA24F6D">
            <w:pPr>
              <w:rPr>
                <w:rFonts w:ascii="Arial"/>
                <w:sz w:val="21"/>
              </w:rPr>
            </w:pPr>
          </w:p>
        </w:tc>
        <w:tc>
          <w:tcPr>
            <w:tcW w:w="285" w:type="dxa"/>
            <w:vMerge w:val="continue"/>
            <w:tcBorders>
              <w:top w:val="nil"/>
            </w:tcBorders>
            <w:vAlign w:val="top"/>
          </w:tcPr>
          <w:p w14:paraId="60E6D333">
            <w:pPr>
              <w:rPr>
                <w:rFonts w:ascii="Arial"/>
                <w:sz w:val="21"/>
              </w:rPr>
            </w:pPr>
          </w:p>
        </w:tc>
        <w:tc>
          <w:tcPr>
            <w:tcW w:w="1273" w:type="dxa"/>
            <w:vAlign w:val="top"/>
          </w:tcPr>
          <w:p w14:paraId="5D8569A7">
            <w:pPr>
              <w:pStyle w:val="6"/>
              <w:spacing w:before="80" w:line="187" w:lineRule="auto"/>
              <w:ind w:left="199"/>
            </w:pPr>
            <w:r>
              <w:rPr>
                <w:spacing w:val="-1"/>
              </w:rPr>
              <w:t>2019/1/17</w:t>
            </w:r>
          </w:p>
        </w:tc>
        <w:tc>
          <w:tcPr>
            <w:tcW w:w="880" w:type="dxa"/>
            <w:vAlign w:val="top"/>
          </w:tcPr>
          <w:p w14:paraId="412D1F8E">
            <w:pPr>
              <w:pStyle w:val="6"/>
              <w:spacing w:before="80" w:line="187" w:lineRule="auto"/>
              <w:ind w:left="267"/>
            </w:pPr>
            <w:r>
              <w:rPr>
                <w:spacing w:val="-6"/>
              </w:rPr>
              <w:t>15.6</w:t>
            </w:r>
          </w:p>
        </w:tc>
        <w:tc>
          <w:tcPr>
            <w:tcW w:w="880" w:type="dxa"/>
            <w:vAlign w:val="top"/>
          </w:tcPr>
          <w:p w14:paraId="4E9B3A28">
            <w:pPr>
              <w:pStyle w:val="6"/>
              <w:spacing w:before="80" w:line="187" w:lineRule="auto"/>
              <w:ind w:left="254"/>
            </w:pPr>
            <w:r>
              <w:rPr>
                <w:spacing w:val="-3"/>
              </w:rPr>
              <w:t>6.34</w:t>
            </w:r>
          </w:p>
        </w:tc>
        <w:tc>
          <w:tcPr>
            <w:tcW w:w="880" w:type="dxa"/>
            <w:vAlign w:val="top"/>
          </w:tcPr>
          <w:p w14:paraId="2FF4F650">
            <w:pPr>
              <w:pStyle w:val="6"/>
              <w:spacing w:before="80" w:line="187" w:lineRule="auto"/>
              <w:ind w:left="386"/>
            </w:pPr>
            <w:r>
              <w:t>9</w:t>
            </w:r>
          </w:p>
        </w:tc>
        <w:tc>
          <w:tcPr>
            <w:tcW w:w="880" w:type="dxa"/>
            <w:vAlign w:val="top"/>
          </w:tcPr>
          <w:p w14:paraId="414DDC35">
            <w:pPr>
              <w:pStyle w:val="6"/>
              <w:spacing w:before="80" w:line="187" w:lineRule="auto"/>
              <w:ind w:left="310"/>
            </w:pPr>
            <w:r>
              <w:rPr>
                <w:spacing w:val="-4"/>
              </w:rPr>
              <w:t>5.9</w:t>
            </w:r>
          </w:p>
        </w:tc>
        <w:tc>
          <w:tcPr>
            <w:tcW w:w="880" w:type="dxa"/>
            <w:vAlign w:val="top"/>
          </w:tcPr>
          <w:p w14:paraId="39BF1CD4">
            <w:pPr>
              <w:pStyle w:val="6"/>
              <w:spacing w:before="80" w:line="187" w:lineRule="auto"/>
              <w:ind w:left="307"/>
            </w:pPr>
            <w:r>
              <w:rPr>
                <w:spacing w:val="-2"/>
              </w:rPr>
              <w:t>2.5</w:t>
            </w:r>
          </w:p>
        </w:tc>
        <w:tc>
          <w:tcPr>
            <w:tcW w:w="880" w:type="dxa"/>
            <w:vAlign w:val="top"/>
          </w:tcPr>
          <w:p w14:paraId="61A96C66">
            <w:pPr>
              <w:pStyle w:val="6"/>
              <w:spacing w:before="80" w:line="187" w:lineRule="auto"/>
              <w:ind w:left="355"/>
            </w:pPr>
            <w:r>
              <w:rPr>
                <w:spacing w:val="-12"/>
              </w:rPr>
              <w:t>11</w:t>
            </w:r>
          </w:p>
        </w:tc>
        <w:tc>
          <w:tcPr>
            <w:tcW w:w="880" w:type="dxa"/>
            <w:vAlign w:val="top"/>
          </w:tcPr>
          <w:p w14:paraId="4A0471BB">
            <w:pPr>
              <w:pStyle w:val="6"/>
              <w:spacing w:before="80" w:line="187" w:lineRule="auto"/>
              <w:ind w:left="331"/>
            </w:pPr>
            <w:r>
              <w:rPr>
                <w:spacing w:val="-8"/>
              </w:rPr>
              <w:t>1.7</w:t>
            </w:r>
          </w:p>
        </w:tc>
        <w:tc>
          <w:tcPr>
            <w:tcW w:w="880" w:type="dxa"/>
            <w:vAlign w:val="top"/>
          </w:tcPr>
          <w:p w14:paraId="1935C04F">
            <w:pPr>
              <w:pStyle w:val="6"/>
              <w:spacing w:before="80" w:line="187" w:lineRule="auto"/>
              <w:ind w:left="212"/>
            </w:pPr>
            <w:r>
              <w:rPr>
                <w:spacing w:val="-2"/>
              </w:rPr>
              <w:t>0.203</w:t>
            </w:r>
          </w:p>
        </w:tc>
        <w:tc>
          <w:tcPr>
            <w:tcW w:w="880" w:type="dxa"/>
            <w:vAlign w:val="top"/>
          </w:tcPr>
          <w:p w14:paraId="6A619120">
            <w:pPr>
              <w:pStyle w:val="6"/>
              <w:spacing w:before="80" w:line="187" w:lineRule="auto"/>
              <w:ind w:left="266"/>
            </w:pPr>
            <w:r>
              <w:rPr>
                <w:spacing w:val="-2"/>
              </w:rPr>
              <w:t>0.01</w:t>
            </w:r>
          </w:p>
        </w:tc>
        <w:tc>
          <w:tcPr>
            <w:tcW w:w="880" w:type="dxa"/>
            <w:vAlign w:val="top"/>
          </w:tcPr>
          <w:p w14:paraId="29636EE1">
            <w:pPr>
              <w:pStyle w:val="6"/>
              <w:spacing w:before="80" w:line="187" w:lineRule="auto"/>
              <w:ind w:left="204"/>
            </w:pPr>
            <w:r>
              <w:rPr>
                <w:spacing w:val="-1"/>
              </w:rPr>
              <w:t>0.01L</w:t>
            </w:r>
          </w:p>
        </w:tc>
        <w:tc>
          <w:tcPr>
            <w:tcW w:w="881" w:type="dxa"/>
            <w:vAlign w:val="top"/>
          </w:tcPr>
          <w:p w14:paraId="3E34096C">
            <w:pPr>
              <w:pStyle w:val="6"/>
              <w:spacing w:before="80" w:line="187" w:lineRule="auto"/>
              <w:ind w:left="206"/>
            </w:pPr>
            <w:r>
              <w:rPr>
                <w:spacing w:val="-1"/>
              </w:rPr>
              <w:t>0.05L</w:t>
            </w:r>
          </w:p>
        </w:tc>
        <w:tc>
          <w:tcPr>
            <w:tcW w:w="894" w:type="dxa"/>
            <w:tcBorders>
              <w:right w:val="single" w:color="000000" w:sz="12" w:space="0"/>
            </w:tcBorders>
            <w:vAlign w:val="top"/>
          </w:tcPr>
          <w:p w14:paraId="04F85641">
            <w:pPr>
              <w:pStyle w:val="6"/>
              <w:spacing w:before="80" w:line="187" w:lineRule="auto"/>
              <w:ind w:left="294"/>
            </w:pPr>
            <w:r>
              <w:rPr>
                <w:spacing w:val="-2"/>
              </w:rPr>
              <w:t>430</w:t>
            </w:r>
          </w:p>
        </w:tc>
      </w:tr>
      <w:tr w14:paraId="5A044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C82D829">
            <w:pPr>
              <w:rPr>
                <w:rFonts w:ascii="Arial"/>
                <w:sz w:val="21"/>
              </w:rPr>
            </w:pPr>
          </w:p>
        </w:tc>
        <w:tc>
          <w:tcPr>
            <w:tcW w:w="285" w:type="dxa"/>
            <w:vMerge w:val="restart"/>
            <w:tcBorders>
              <w:bottom w:val="nil"/>
            </w:tcBorders>
            <w:vAlign w:val="top"/>
          </w:tcPr>
          <w:p w14:paraId="68990298">
            <w:pPr>
              <w:pStyle w:val="6"/>
              <w:spacing w:before="100" w:line="222" w:lineRule="auto"/>
              <w:ind w:left="77"/>
            </w:pPr>
            <w:r>
              <w:t>2</w:t>
            </w:r>
          </w:p>
          <w:p w14:paraId="4DEEF7D4">
            <w:pPr>
              <w:spacing w:line="219" w:lineRule="auto"/>
              <w:ind w:left="29"/>
              <w:rPr>
                <w:rFonts w:ascii="宋体" w:hAnsi="宋体" w:eastAsia="宋体" w:cs="宋体"/>
                <w:sz w:val="21"/>
                <w:szCs w:val="21"/>
              </w:rPr>
            </w:pPr>
            <w:r>
              <w:rPr>
                <w:rFonts w:ascii="宋体" w:hAnsi="宋体" w:eastAsia="宋体" w:cs="宋体"/>
                <w:sz w:val="21"/>
                <w:szCs w:val="21"/>
              </w:rPr>
              <w:t>季</w:t>
            </w:r>
          </w:p>
          <w:p w14:paraId="1C8A979C">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7614DF0">
            <w:pPr>
              <w:pStyle w:val="6"/>
              <w:spacing w:before="82" w:line="185" w:lineRule="auto"/>
              <w:ind w:left="199"/>
            </w:pPr>
            <w:r>
              <w:rPr>
                <w:spacing w:val="-1"/>
              </w:rPr>
              <w:t>2019/5/10</w:t>
            </w:r>
          </w:p>
        </w:tc>
        <w:tc>
          <w:tcPr>
            <w:tcW w:w="880" w:type="dxa"/>
            <w:vAlign w:val="top"/>
          </w:tcPr>
          <w:p w14:paraId="2365DFA0">
            <w:pPr>
              <w:pStyle w:val="6"/>
              <w:spacing w:before="82" w:line="185" w:lineRule="auto"/>
              <w:ind w:left="267"/>
            </w:pPr>
            <w:r>
              <w:rPr>
                <w:spacing w:val="-6"/>
              </w:rPr>
              <w:t>15.7</w:t>
            </w:r>
          </w:p>
        </w:tc>
        <w:tc>
          <w:tcPr>
            <w:tcW w:w="880" w:type="dxa"/>
            <w:vAlign w:val="top"/>
          </w:tcPr>
          <w:p w14:paraId="58546397">
            <w:pPr>
              <w:pStyle w:val="6"/>
              <w:spacing w:before="82" w:line="185" w:lineRule="auto"/>
              <w:ind w:left="254"/>
            </w:pPr>
            <w:r>
              <w:rPr>
                <w:spacing w:val="-3"/>
              </w:rPr>
              <w:t>6.40</w:t>
            </w:r>
          </w:p>
        </w:tc>
        <w:tc>
          <w:tcPr>
            <w:tcW w:w="880" w:type="dxa"/>
            <w:vAlign w:val="top"/>
          </w:tcPr>
          <w:p w14:paraId="689832A0">
            <w:pPr>
              <w:pStyle w:val="6"/>
              <w:spacing w:before="82" w:line="185" w:lineRule="auto"/>
              <w:ind w:left="386"/>
            </w:pPr>
            <w:r>
              <w:t>9</w:t>
            </w:r>
          </w:p>
        </w:tc>
        <w:tc>
          <w:tcPr>
            <w:tcW w:w="880" w:type="dxa"/>
            <w:vAlign w:val="top"/>
          </w:tcPr>
          <w:p w14:paraId="7694D35D">
            <w:pPr>
              <w:pStyle w:val="6"/>
              <w:spacing w:before="82" w:line="185" w:lineRule="auto"/>
              <w:ind w:left="310"/>
            </w:pPr>
            <w:r>
              <w:rPr>
                <w:spacing w:val="-4"/>
              </w:rPr>
              <w:t>5.5</w:t>
            </w:r>
          </w:p>
        </w:tc>
        <w:tc>
          <w:tcPr>
            <w:tcW w:w="880" w:type="dxa"/>
            <w:vAlign w:val="top"/>
          </w:tcPr>
          <w:p w14:paraId="3A2AF898">
            <w:pPr>
              <w:pStyle w:val="6"/>
              <w:spacing w:before="82" w:line="185" w:lineRule="auto"/>
              <w:ind w:left="307"/>
            </w:pPr>
            <w:r>
              <w:rPr>
                <w:spacing w:val="-2"/>
              </w:rPr>
              <w:t>2.1</w:t>
            </w:r>
          </w:p>
        </w:tc>
        <w:tc>
          <w:tcPr>
            <w:tcW w:w="880" w:type="dxa"/>
            <w:vAlign w:val="top"/>
          </w:tcPr>
          <w:p w14:paraId="567B3F00">
            <w:pPr>
              <w:pStyle w:val="6"/>
              <w:spacing w:before="82" w:line="185" w:lineRule="auto"/>
              <w:ind w:left="355"/>
            </w:pPr>
            <w:r>
              <w:rPr>
                <w:spacing w:val="-12"/>
              </w:rPr>
              <w:t>11</w:t>
            </w:r>
          </w:p>
        </w:tc>
        <w:tc>
          <w:tcPr>
            <w:tcW w:w="880" w:type="dxa"/>
            <w:vAlign w:val="top"/>
          </w:tcPr>
          <w:p w14:paraId="486E04B6">
            <w:pPr>
              <w:pStyle w:val="6"/>
              <w:spacing w:before="82" w:line="185" w:lineRule="auto"/>
              <w:ind w:left="311"/>
            </w:pPr>
            <w:r>
              <w:rPr>
                <w:spacing w:val="-2"/>
              </w:rPr>
              <w:t>2.1</w:t>
            </w:r>
          </w:p>
        </w:tc>
        <w:tc>
          <w:tcPr>
            <w:tcW w:w="880" w:type="dxa"/>
            <w:vAlign w:val="top"/>
          </w:tcPr>
          <w:p w14:paraId="3933A424">
            <w:pPr>
              <w:pStyle w:val="6"/>
              <w:spacing w:before="82" w:line="185" w:lineRule="auto"/>
              <w:ind w:left="212"/>
            </w:pPr>
            <w:r>
              <w:rPr>
                <w:spacing w:val="-2"/>
              </w:rPr>
              <w:t>0.063</w:t>
            </w:r>
          </w:p>
        </w:tc>
        <w:tc>
          <w:tcPr>
            <w:tcW w:w="880" w:type="dxa"/>
            <w:vAlign w:val="top"/>
          </w:tcPr>
          <w:p w14:paraId="01788EBC">
            <w:pPr>
              <w:pStyle w:val="6"/>
              <w:spacing w:before="82" w:line="185" w:lineRule="auto"/>
              <w:ind w:left="266"/>
            </w:pPr>
            <w:r>
              <w:rPr>
                <w:spacing w:val="-2"/>
              </w:rPr>
              <w:t>0.03</w:t>
            </w:r>
          </w:p>
        </w:tc>
        <w:tc>
          <w:tcPr>
            <w:tcW w:w="880" w:type="dxa"/>
            <w:vAlign w:val="top"/>
          </w:tcPr>
          <w:p w14:paraId="0188F230">
            <w:pPr>
              <w:pStyle w:val="6"/>
              <w:spacing w:before="82" w:line="185" w:lineRule="auto"/>
              <w:ind w:left="268"/>
            </w:pPr>
            <w:r>
              <w:rPr>
                <w:spacing w:val="-2"/>
              </w:rPr>
              <w:t>0.01</w:t>
            </w:r>
          </w:p>
        </w:tc>
        <w:tc>
          <w:tcPr>
            <w:tcW w:w="881" w:type="dxa"/>
            <w:vAlign w:val="top"/>
          </w:tcPr>
          <w:p w14:paraId="1883A7AB">
            <w:pPr>
              <w:pStyle w:val="6"/>
              <w:spacing w:before="82" w:line="185" w:lineRule="auto"/>
              <w:ind w:left="270"/>
            </w:pPr>
            <w:r>
              <w:rPr>
                <w:spacing w:val="-2"/>
              </w:rPr>
              <w:t>0.07</w:t>
            </w:r>
          </w:p>
        </w:tc>
        <w:tc>
          <w:tcPr>
            <w:tcW w:w="894" w:type="dxa"/>
            <w:tcBorders>
              <w:right w:val="single" w:color="000000" w:sz="12" w:space="0"/>
            </w:tcBorders>
            <w:vAlign w:val="top"/>
          </w:tcPr>
          <w:p w14:paraId="23681A9D">
            <w:pPr>
              <w:pStyle w:val="6"/>
              <w:spacing w:before="82" w:line="185" w:lineRule="auto"/>
              <w:ind w:left="315"/>
            </w:pPr>
            <w:r>
              <w:rPr>
                <w:spacing w:val="-9"/>
              </w:rPr>
              <w:t>110</w:t>
            </w:r>
          </w:p>
        </w:tc>
      </w:tr>
      <w:tr w14:paraId="30789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8A3AAD6">
            <w:pPr>
              <w:rPr>
                <w:rFonts w:ascii="Arial"/>
                <w:sz w:val="21"/>
              </w:rPr>
            </w:pPr>
          </w:p>
        </w:tc>
        <w:tc>
          <w:tcPr>
            <w:tcW w:w="285" w:type="dxa"/>
            <w:vMerge w:val="continue"/>
            <w:tcBorders>
              <w:top w:val="nil"/>
              <w:bottom w:val="nil"/>
            </w:tcBorders>
            <w:vAlign w:val="top"/>
          </w:tcPr>
          <w:p w14:paraId="1FEA701D">
            <w:pPr>
              <w:rPr>
                <w:rFonts w:ascii="Arial"/>
                <w:sz w:val="21"/>
              </w:rPr>
            </w:pPr>
          </w:p>
        </w:tc>
        <w:tc>
          <w:tcPr>
            <w:tcW w:w="1273" w:type="dxa"/>
            <w:vAlign w:val="top"/>
          </w:tcPr>
          <w:p w14:paraId="175372E8">
            <w:pPr>
              <w:pStyle w:val="6"/>
              <w:spacing w:before="83" w:line="184" w:lineRule="auto"/>
              <w:ind w:left="199"/>
            </w:pPr>
            <w:r>
              <w:rPr>
                <w:spacing w:val="-1"/>
              </w:rPr>
              <w:t>2019/5/11</w:t>
            </w:r>
          </w:p>
        </w:tc>
        <w:tc>
          <w:tcPr>
            <w:tcW w:w="880" w:type="dxa"/>
            <w:vAlign w:val="top"/>
          </w:tcPr>
          <w:p w14:paraId="7CCE56C0">
            <w:pPr>
              <w:pStyle w:val="6"/>
              <w:spacing w:before="83" w:line="184" w:lineRule="auto"/>
              <w:ind w:left="267"/>
            </w:pPr>
            <w:r>
              <w:rPr>
                <w:spacing w:val="-6"/>
              </w:rPr>
              <w:t>16.3</w:t>
            </w:r>
          </w:p>
        </w:tc>
        <w:tc>
          <w:tcPr>
            <w:tcW w:w="880" w:type="dxa"/>
            <w:vAlign w:val="top"/>
          </w:tcPr>
          <w:p w14:paraId="2511C0F6">
            <w:pPr>
              <w:pStyle w:val="6"/>
              <w:spacing w:before="83" w:line="184" w:lineRule="auto"/>
              <w:ind w:left="254"/>
            </w:pPr>
            <w:r>
              <w:rPr>
                <w:spacing w:val="-3"/>
              </w:rPr>
              <w:t>6.41</w:t>
            </w:r>
          </w:p>
        </w:tc>
        <w:tc>
          <w:tcPr>
            <w:tcW w:w="880" w:type="dxa"/>
            <w:vAlign w:val="top"/>
          </w:tcPr>
          <w:p w14:paraId="43863A03">
            <w:pPr>
              <w:pStyle w:val="6"/>
              <w:spacing w:before="83" w:line="184" w:lineRule="auto"/>
              <w:ind w:left="390"/>
            </w:pPr>
            <w:r>
              <w:t>8</w:t>
            </w:r>
          </w:p>
        </w:tc>
        <w:tc>
          <w:tcPr>
            <w:tcW w:w="880" w:type="dxa"/>
            <w:vAlign w:val="top"/>
          </w:tcPr>
          <w:p w14:paraId="32A7D590">
            <w:pPr>
              <w:pStyle w:val="6"/>
              <w:spacing w:before="83" w:line="184" w:lineRule="auto"/>
              <w:ind w:left="310"/>
            </w:pPr>
            <w:r>
              <w:rPr>
                <w:spacing w:val="-4"/>
              </w:rPr>
              <w:t>5.6</w:t>
            </w:r>
          </w:p>
        </w:tc>
        <w:tc>
          <w:tcPr>
            <w:tcW w:w="880" w:type="dxa"/>
            <w:vAlign w:val="top"/>
          </w:tcPr>
          <w:p w14:paraId="75498D9A">
            <w:pPr>
              <w:pStyle w:val="6"/>
              <w:spacing w:before="83" w:line="184" w:lineRule="auto"/>
              <w:ind w:left="307"/>
            </w:pPr>
            <w:r>
              <w:rPr>
                <w:spacing w:val="-2"/>
              </w:rPr>
              <w:t>2.9</w:t>
            </w:r>
          </w:p>
        </w:tc>
        <w:tc>
          <w:tcPr>
            <w:tcW w:w="880" w:type="dxa"/>
            <w:vAlign w:val="top"/>
          </w:tcPr>
          <w:p w14:paraId="20911A4C">
            <w:pPr>
              <w:pStyle w:val="6"/>
              <w:spacing w:before="83" w:line="184" w:lineRule="auto"/>
              <w:ind w:left="355"/>
            </w:pPr>
            <w:r>
              <w:rPr>
                <w:spacing w:val="-12"/>
              </w:rPr>
              <w:t>13</w:t>
            </w:r>
          </w:p>
        </w:tc>
        <w:tc>
          <w:tcPr>
            <w:tcW w:w="880" w:type="dxa"/>
            <w:vAlign w:val="top"/>
          </w:tcPr>
          <w:p w14:paraId="419BA10C">
            <w:pPr>
              <w:pStyle w:val="6"/>
              <w:spacing w:before="83" w:line="184" w:lineRule="auto"/>
              <w:ind w:left="311"/>
            </w:pPr>
            <w:r>
              <w:rPr>
                <w:spacing w:val="-2"/>
              </w:rPr>
              <w:t>2.3</w:t>
            </w:r>
          </w:p>
        </w:tc>
        <w:tc>
          <w:tcPr>
            <w:tcW w:w="880" w:type="dxa"/>
            <w:vAlign w:val="top"/>
          </w:tcPr>
          <w:p w14:paraId="7DB2C46B">
            <w:pPr>
              <w:pStyle w:val="6"/>
              <w:spacing w:before="83" w:line="184" w:lineRule="auto"/>
              <w:ind w:left="212"/>
            </w:pPr>
            <w:r>
              <w:rPr>
                <w:spacing w:val="-2"/>
              </w:rPr>
              <w:t>0.069</w:t>
            </w:r>
          </w:p>
        </w:tc>
        <w:tc>
          <w:tcPr>
            <w:tcW w:w="880" w:type="dxa"/>
            <w:vAlign w:val="top"/>
          </w:tcPr>
          <w:p w14:paraId="201C3A5A">
            <w:pPr>
              <w:pStyle w:val="6"/>
              <w:spacing w:before="83" w:line="184" w:lineRule="auto"/>
              <w:ind w:left="266"/>
            </w:pPr>
            <w:r>
              <w:rPr>
                <w:spacing w:val="-2"/>
              </w:rPr>
              <w:t>0.02</w:t>
            </w:r>
          </w:p>
        </w:tc>
        <w:tc>
          <w:tcPr>
            <w:tcW w:w="880" w:type="dxa"/>
            <w:vAlign w:val="top"/>
          </w:tcPr>
          <w:p w14:paraId="62B0EFC0">
            <w:pPr>
              <w:pStyle w:val="6"/>
              <w:spacing w:before="83" w:line="184" w:lineRule="auto"/>
              <w:ind w:left="268"/>
            </w:pPr>
            <w:r>
              <w:rPr>
                <w:spacing w:val="-2"/>
              </w:rPr>
              <w:t>0.02</w:t>
            </w:r>
          </w:p>
        </w:tc>
        <w:tc>
          <w:tcPr>
            <w:tcW w:w="881" w:type="dxa"/>
            <w:vAlign w:val="top"/>
          </w:tcPr>
          <w:p w14:paraId="31D609AE">
            <w:pPr>
              <w:pStyle w:val="6"/>
              <w:spacing w:before="83" w:line="184" w:lineRule="auto"/>
              <w:ind w:left="270"/>
            </w:pPr>
            <w:r>
              <w:rPr>
                <w:spacing w:val="-2"/>
              </w:rPr>
              <w:t>0.06</w:t>
            </w:r>
          </w:p>
        </w:tc>
        <w:tc>
          <w:tcPr>
            <w:tcW w:w="894" w:type="dxa"/>
            <w:tcBorders>
              <w:right w:val="single" w:color="000000" w:sz="12" w:space="0"/>
            </w:tcBorders>
            <w:vAlign w:val="top"/>
          </w:tcPr>
          <w:p w14:paraId="36C2E3F6">
            <w:pPr>
              <w:pStyle w:val="6"/>
              <w:spacing w:before="83" w:line="184" w:lineRule="auto"/>
              <w:ind w:left="315"/>
            </w:pPr>
            <w:r>
              <w:rPr>
                <w:spacing w:val="-9"/>
              </w:rPr>
              <w:t>140</w:t>
            </w:r>
          </w:p>
        </w:tc>
      </w:tr>
      <w:tr w14:paraId="0551F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A0B37C1">
            <w:pPr>
              <w:rPr>
                <w:rFonts w:ascii="Arial"/>
                <w:sz w:val="21"/>
              </w:rPr>
            </w:pPr>
          </w:p>
        </w:tc>
        <w:tc>
          <w:tcPr>
            <w:tcW w:w="285" w:type="dxa"/>
            <w:vMerge w:val="continue"/>
            <w:tcBorders>
              <w:top w:val="nil"/>
            </w:tcBorders>
            <w:vAlign w:val="top"/>
          </w:tcPr>
          <w:p w14:paraId="390E2BB0">
            <w:pPr>
              <w:rPr>
                <w:rFonts w:ascii="Arial"/>
                <w:sz w:val="21"/>
              </w:rPr>
            </w:pPr>
          </w:p>
        </w:tc>
        <w:tc>
          <w:tcPr>
            <w:tcW w:w="1273" w:type="dxa"/>
            <w:vAlign w:val="top"/>
          </w:tcPr>
          <w:p w14:paraId="557B85D5">
            <w:pPr>
              <w:pStyle w:val="6"/>
              <w:spacing w:before="85" w:line="182" w:lineRule="auto"/>
              <w:ind w:left="199"/>
            </w:pPr>
            <w:r>
              <w:rPr>
                <w:spacing w:val="-1"/>
              </w:rPr>
              <w:t>2019/5/12</w:t>
            </w:r>
          </w:p>
        </w:tc>
        <w:tc>
          <w:tcPr>
            <w:tcW w:w="880" w:type="dxa"/>
            <w:vAlign w:val="top"/>
          </w:tcPr>
          <w:p w14:paraId="7E297F1F">
            <w:pPr>
              <w:pStyle w:val="6"/>
              <w:spacing w:before="85" w:line="182" w:lineRule="auto"/>
              <w:ind w:left="267"/>
            </w:pPr>
            <w:r>
              <w:rPr>
                <w:spacing w:val="-6"/>
              </w:rPr>
              <w:t>15.9</w:t>
            </w:r>
          </w:p>
        </w:tc>
        <w:tc>
          <w:tcPr>
            <w:tcW w:w="880" w:type="dxa"/>
            <w:vAlign w:val="top"/>
          </w:tcPr>
          <w:p w14:paraId="42D6CFB5">
            <w:pPr>
              <w:pStyle w:val="6"/>
              <w:spacing w:before="85" w:line="182" w:lineRule="auto"/>
              <w:ind w:left="254"/>
            </w:pPr>
            <w:r>
              <w:rPr>
                <w:spacing w:val="-3"/>
              </w:rPr>
              <w:t>6.44</w:t>
            </w:r>
          </w:p>
        </w:tc>
        <w:tc>
          <w:tcPr>
            <w:tcW w:w="880" w:type="dxa"/>
            <w:vAlign w:val="top"/>
          </w:tcPr>
          <w:p w14:paraId="5CED32B5">
            <w:pPr>
              <w:pStyle w:val="6"/>
              <w:spacing w:before="85" w:line="182" w:lineRule="auto"/>
              <w:ind w:left="385"/>
            </w:pPr>
            <w:r>
              <w:t>7</w:t>
            </w:r>
          </w:p>
        </w:tc>
        <w:tc>
          <w:tcPr>
            <w:tcW w:w="880" w:type="dxa"/>
            <w:vAlign w:val="top"/>
          </w:tcPr>
          <w:p w14:paraId="0FF19FE0">
            <w:pPr>
              <w:pStyle w:val="6"/>
              <w:spacing w:before="85" w:line="182" w:lineRule="auto"/>
              <w:ind w:left="310"/>
            </w:pPr>
            <w:r>
              <w:rPr>
                <w:spacing w:val="-4"/>
              </w:rPr>
              <w:t>5.3</w:t>
            </w:r>
          </w:p>
        </w:tc>
        <w:tc>
          <w:tcPr>
            <w:tcW w:w="880" w:type="dxa"/>
            <w:vAlign w:val="top"/>
          </w:tcPr>
          <w:p w14:paraId="71B6F9AF">
            <w:pPr>
              <w:pStyle w:val="6"/>
              <w:spacing w:before="85" w:line="182" w:lineRule="auto"/>
              <w:ind w:left="311"/>
            </w:pPr>
            <w:r>
              <w:rPr>
                <w:spacing w:val="-3"/>
              </w:rPr>
              <w:t>3.3</w:t>
            </w:r>
          </w:p>
        </w:tc>
        <w:tc>
          <w:tcPr>
            <w:tcW w:w="880" w:type="dxa"/>
            <w:vAlign w:val="top"/>
          </w:tcPr>
          <w:p w14:paraId="62394F3C">
            <w:pPr>
              <w:pStyle w:val="6"/>
              <w:spacing w:before="85" w:line="182" w:lineRule="auto"/>
              <w:ind w:left="355"/>
            </w:pPr>
            <w:r>
              <w:rPr>
                <w:spacing w:val="-12"/>
              </w:rPr>
              <w:t>10</w:t>
            </w:r>
          </w:p>
        </w:tc>
        <w:tc>
          <w:tcPr>
            <w:tcW w:w="880" w:type="dxa"/>
            <w:vAlign w:val="top"/>
          </w:tcPr>
          <w:p w14:paraId="05B638ED">
            <w:pPr>
              <w:pStyle w:val="6"/>
              <w:spacing w:before="85" w:line="182" w:lineRule="auto"/>
              <w:ind w:left="311"/>
            </w:pPr>
            <w:r>
              <w:rPr>
                <w:spacing w:val="-2"/>
              </w:rPr>
              <w:t>2.0</w:t>
            </w:r>
          </w:p>
        </w:tc>
        <w:tc>
          <w:tcPr>
            <w:tcW w:w="880" w:type="dxa"/>
            <w:vAlign w:val="top"/>
          </w:tcPr>
          <w:p w14:paraId="6BA4D3C5">
            <w:pPr>
              <w:pStyle w:val="6"/>
              <w:spacing w:before="85" w:line="182" w:lineRule="auto"/>
              <w:ind w:left="212"/>
            </w:pPr>
            <w:r>
              <w:rPr>
                <w:spacing w:val="-2"/>
              </w:rPr>
              <w:t>0.056</w:t>
            </w:r>
          </w:p>
        </w:tc>
        <w:tc>
          <w:tcPr>
            <w:tcW w:w="880" w:type="dxa"/>
            <w:vAlign w:val="top"/>
          </w:tcPr>
          <w:p w14:paraId="1AAA3080">
            <w:pPr>
              <w:pStyle w:val="6"/>
              <w:spacing w:before="85" w:line="182" w:lineRule="auto"/>
              <w:ind w:left="266"/>
            </w:pPr>
            <w:r>
              <w:rPr>
                <w:spacing w:val="-2"/>
              </w:rPr>
              <w:t>0.03</w:t>
            </w:r>
          </w:p>
        </w:tc>
        <w:tc>
          <w:tcPr>
            <w:tcW w:w="880" w:type="dxa"/>
            <w:vAlign w:val="top"/>
          </w:tcPr>
          <w:p w14:paraId="45BFBDF4">
            <w:pPr>
              <w:pStyle w:val="6"/>
              <w:spacing w:before="85" w:line="182" w:lineRule="auto"/>
              <w:ind w:left="242"/>
            </w:pPr>
            <w:r>
              <w:rPr>
                <w:spacing w:val="-2"/>
              </w:rPr>
              <w:t>0..01</w:t>
            </w:r>
          </w:p>
        </w:tc>
        <w:tc>
          <w:tcPr>
            <w:tcW w:w="881" w:type="dxa"/>
            <w:vAlign w:val="top"/>
          </w:tcPr>
          <w:p w14:paraId="2546D630">
            <w:pPr>
              <w:pStyle w:val="6"/>
              <w:spacing w:before="85" w:line="182" w:lineRule="auto"/>
              <w:ind w:left="270"/>
            </w:pPr>
            <w:r>
              <w:rPr>
                <w:spacing w:val="-2"/>
              </w:rPr>
              <w:t>0.07</w:t>
            </w:r>
          </w:p>
        </w:tc>
        <w:tc>
          <w:tcPr>
            <w:tcW w:w="894" w:type="dxa"/>
            <w:tcBorders>
              <w:right w:val="single" w:color="000000" w:sz="12" w:space="0"/>
            </w:tcBorders>
            <w:vAlign w:val="top"/>
          </w:tcPr>
          <w:p w14:paraId="349242BD">
            <w:pPr>
              <w:pStyle w:val="6"/>
              <w:spacing w:before="85" w:line="182" w:lineRule="auto"/>
              <w:ind w:left="315"/>
            </w:pPr>
            <w:r>
              <w:rPr>
                <w:spacing w:val="-9"/>
              </w:rPr>
              <w:t>110</w:t>
            </w:r>
          </w:p>
        </w:tc>
      </w:tr>
      <w:tr w14:paraId="4E4E3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2414601F">
            <w:pPr>
              <w:rPr>
                <w:rFonts w:ascii="Arial"/>
                <w:sz w:val="21"/>
              </w:rPr>
            </w:pPr>
          </w:p>
        </w:tc>
        <w:tc>
          <w:tcPr>
            <w:tcW w:w="285" w:type="dxa"/>
            <w:vMerge w:val="restart"/>
            <w:tcBorders>
              <w:bottom w:val="nil"/>
            </w:tcBorders>
            <w:vAlign w:val="top"/>
          </w:tcPr>
          <w:p w14:paraId="37F3EC2D">
            <w:pPr>
              <w:pStyle w:val="6"/>
              <w:spacing w:before="105" w:line="222" w:lineRule="auto"/>
              <w:ind w:left="81"/>
            </w:pPr>
            <w:r>
              <w:t>3</w:t>
            </w:r>
          </w:p>
          <w:p w14:paraId="36379006">
            <w:pPr>
              <w:spacing w:line="219" w:lineRule="auto"/>
              <w:ind w:left="29"/>
              <w:rPr>
                <w:rFonts w:ascii="宋体" w:hAnsi="宋体" w:eastAsia="宋体" w:cs="宋体"/>
                <w:sz w:val="21"/>
                <w:szCs w:val="21"/>
              </w:rPr>
            </w:pPr>
            <w:r>
              <w:rPr>
                <w:rFonts w:ascii="宋体" w:hAnsi="宋体" w:eastAsia="宋体" w:cs="宋体"/>
                <w:sz w:val="21"/>
                <w:szCs w:val="21"/>
              </w:rPr>
              <w:t>季</w:t>
            </w:r>
          </w:p>
          <w:p w14:paraId="3DD54BF0">
            <w:pPr>
              <w:spacing w:before="23"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42BF674">
            <w:pPr>
              <w:pStyle w:val="6"/>
              <w:spacing w:before="86" w:line="182" w:lineRule="auto"/>
              <w:ind w:left="199"/>
            </w:pPr>
            <w:r>
              <w:rPr>
                <w:spacing w:val="-1"/>
              </w:rPr>
              <w:t>2019/8/06</w:t>
            </w:r>
          </w:p>
        </w:tc>
        <w:tc>
          <w:tcPr>
            <w:tcW w:w="880" w:type="dxa"/>
            <w:vAlign w:val="top"/>
          </w:tcPr>
          <w:p w14:paraId="0FE971ED">
            <w:pPr>
              <w:pStyle w:val="6"/>
              <w:spacing w:before="86" w:line="182" w:lineRule="auto"/>
              <w:ind w:left="267"/>
            </w:pPr>
            <w:r>
              <w:rPr>
                <w:spacing w:val="-6"/>
              </w:rPr>
              <w:t>15.9</w:t>
            </w:r>
          </w:p>
        </w:tc>
        <w:tc>
          <w:tcPr>
            <w:tcW w:w="880" w:type="dxa"/>
            <w:vAlign w:val="top"/>
          </w:tcPr>
          <w:p w14:paraId="57D9A0FD">
            <w:pPr>
              <w:pStyle w:val="6"/>
              <w:spacing w:before="86" w:line="182" w:lineRule="auto"/>
              <w:ind w:left="254"/>
            </w:pPr>
            <w:r>
              <w:rPr>
                <w:spacing w:val="-3"/>
              </w:rPr>
              <w:t>6.41</w:t>
            </w:r>
          </w:p>
        </w:tc>
        <w:tc>
          <w:tcPr>
            <w:tcW w:w="880" w:type="dxa"/>
            <w:vAlign w:val="top"/>
          </w:tcPr>
          <w:p w14:paraId="37D0EC7B">
            <w:pPr>
              <w:pStyle w:val="6"/>
              <w:spacing w:before="86" w:line="182" w:lineRule="auto"/>
              <w:ind w:left="390"/>
            </w:pPr>
            <w:r>
              <w:t>8</w:t>
            </w:r>
          </w:p>
        </w:tc>
        <w:tc>
          <w:tcPr>
            <w:tcW w:w="880" w:type="dxa"/>
            <w:vAlign w:val="top"/>
          </w:tcPr>
          <w:p w14:paraId="3BEC913E">
            <w:pPr>
              <w:pStyle w:val="6"/>
              <w:spacing w:before="86" w:line="182" w:lineRule="auto"/>
              <w:ind w:left="310"/>
            </w:pPr>
            <w:r>
              <w:rPr>
                <w:spacing w:val="-4"/>
              </w:rPr>
              <w:t>5.7</w:t>
            </w:r>
          </w:p>
        </w:tc>
        <w:tc>
          <w:tcPr>
            <w:tcW w:w="880" w:type="dxa"/>
            <w:vAlign w:val="top"/>
          </w:tcPr>
          <w:p w14:paraId="4AF9CFC5">
            <w:pPr>
              <w:pStyle w:val="6"/>
              <w:spacing w:before="86" w:line="182" w:lineRule="auto"/>
              <w:ind w:left="311"/>
            </w:pPr>
            <w:r>
              <w:rPr>
                <w:spacing w:val="-3"/>
              </w:rPr>
              <w:t>3.2</w:t>
            </w:r>
          </w:p>
        </w:tc>
        <w:tc>
          <w:tcPr>
            <w:tcW w:w="880" w:type="dxa"/>
            <w:vAlign w:val="top"/>
          </w:tcPr>
          <w:p w14:paraId="1A753F9B">
            <w:pPr>
              <w:pStyle w:val="6"/>
              <w:spacing w:before="86" w:line="182" w:lineRule="auto"/>
              <w:ind w:left="397"/>
            </w:pPr>
            <w:r>
              <w:t>8</w:t>
            </w:r>
          </w:p>
        </w:tc>
        <w:tc>
          <w:tcPr>
            <w:tcW w:w="880" w:type="dxa"/>
            <w:vAlign w:val="top"/>
          </w:tcPr>
          <w:p w14:paraId="296AA5A3">
            <w:pPr>
              <w:pStyle w:val="6"/>
              <w:spacing w:before="86" w:line="182" w:lineRule="auto"/>
              <w:ind w:left="331"/>
            </w:pPr>
            <w:r>
              <w:rPr>
                <w:spacing w:val="-8"/>
              </w:rPr>
              <w:t>1.6</w:t>
            </w:r>
          </w:p>
        </w:tc>
        <w:tc>
          <w:tcPr>
            <w:tcW w:w="880" w:type="dxa"/>
            <w:vAlign w:val="top"/>
          </w:tcPr>
          <w:p w14:paraId="43596696">
            <w:pPr>
              <w:pStyle w:val="6"/>
              <w:spacing w:before="86" w:line="182" w:lineRule="auto"/>
              <w:ind w:left="212"/>
            </w:pPr>
            <w:r>
              <w:rPr>
                <w:spacing w:val="-2"/>
              </w:rPr>
              <w:t>0.315</w:t>
            </w:r>
          </w:p>
        </w:tc>
        <w:tc>
          <w:tcPr>
            <w:tcW w:w="880" w:type="dxa"/>
            <w:vAlign w:val="top"/>
          </w:tcPr>
          <w:p w14:paraId="1BF6D040">
            <w:pPr>
              <w:pStyle w:val="6"/>
              <w:spacing w:before="86" w:line="182" w:lineRule="auto"/>
              <w:ind w:left="266"/>
            </w:pPr>
            <w:r>
              <w:rPr>
                <w:spacing w:val="-2"/>
              </w:rPr>
              <w:t>0.04</w:t>
            </w:r>
          </w:p>
        </w:tc>
        <w:tc>
          <w:tcPr>
            <w:tcW w:w="880" w:type="dxa"/>
            <w:vAlign w:val="top"/>
          </w:tcPr>
          <w:p w14:paraId="4079BA77">
            <w:pPr>
              <w:pStyle w:val="6"/>
              <w:spacing w:before="86" w:line="182" w:lineRule="auto"/>
              <w:ind w:left="268"/>
            </w:pPr>
            <w:r>
              <w:rPr>
                <w:spacing w:val="-2"/>
              </w:rPr>
              <w:t>0.03</w:t>
            </w:r>
          </w:p>
        </w:tc>
        <w:tc>
          <w:tcPr>
            <w:tcW w:w="881" w:type="dxa"/>
            <w:vAlign w:val="top"/>
          </w:tcPr>
          <w:p w14:paraId="1D088B56">
            <w:pPr>
              <w:pStyle w:val="6"/>
              <w:spacing w:before="86" w:line="182" w:lineRule="auto"/>
              <w:ind w:left="218"/>
            </w:pPr>
            <w:r>
              <w:rPr>
                <w:spacing w:val="-2"/>
              </w:rPr>
              <w:t>0.103</w:t>
            </w:r>
          </w:p>
        </w:tc>
        <w:tc>
          <w:tcPr>
            <w:tcW w:w="894" w:type="dxa"/>
            <w:tcBorders>
              <w:right w:val="single" w:color="000000" w:sz="12" w:space="0"/>
            </w:tcBorders>
            <w:vAlign w:val="top"/>
          </w:tcPr>
          <w:p w14:paraId="3187398C">
            <w:pPr>
              <w:pStyle w:val="6"/>
              <w:spacing w:before="86" w:line="182" w:lineRule="auto"/>
              <w:ind w:left="301"/>
            </w:pPr>
            <w:r>
              <w:rPr>
                <w:spacing w:val="-3"/>
              </w:rPr>
              <w:t>560</w:t>
            </w:r>
          </w:p>
        </w:tc>
      </w:tr>
      <w:tr w14:paraId="2B845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88EF907">
            <w:pPr>
              <w:rPr>
                <w:rFonts w:ascii="Arial"/>
                <w:sz w:val="21"/>
              </w:rPr>
            </w:pPr>
          </w:p>
        </w:tc>
        <w:tc>
          <w:tcPr>
            <w:tcW w:w="285" w:type="dxa"/>
            <w:vMerge w:val="continue"/>
            <w:tcBorders>
              <w:top w:val="nil"/>
              <w:bottom w:val="nil"/>
            </w:tcBorders>
            <w:vAlign w:val="top"/>
          </w:tcPr>
          <w:p w14:paraId="7C7D0261">
            <w:pPr>
              <w:rPr>
                <w:rFonts w:ascii="Arial"/>
                <w:sz w:val="21"/>
              </w:rPr>
            </w:pPr>
          </w:p>
        </w:tc>
        <w:tc>
          <w:tcPr>
            <w:tcW w:w="1273" w:type="dxa"/>
            <w:vAlign w:val="top"/>
          </w:tcPr>
          <w:p w14:paraId="37FB0C2F">
            <w:pPr>
              <w:pStyle w:val="6"/>
              <w:spacing w:before="87" w:line="180" w:lineRule="auto"/>
              <w:ind w:left="199"/>
            </w:pPr>
            <w:r>
              <w:rPr>
                <w:spacing w:val="-1"/>
              </w:rPr>
              <w:t>2019/8/07</w:t>
            </w:r>
          </w:p>
        </w:tc>
        <w:tc>
          <w:tcPr>
            <w:tcW w:w="880" w:type="dxa"/>
            <w:vAlign w:val="top"/>
          </w:tcPr>
          <w:p w14:paraId="0A286B2D">
            <w:pPr>
              <w:pStyle w:val="6"/>
              <w:spacing w:before="87" w:line="180" w:lineRule="auto"/>
              <w:ind w:left="267"/>
            </w:pPr>
            <w:r>
              <w:rPr>
                <w:spacing w:val="-6"/>
              </w:rPr>
              <w:t>16.4</w:t>
            </w:r>
          </w:p>
        </w:tc>
        <w:tc>
          <w:tcPr>
            <w:tcW w:w="880" w:type="dxa"/>
            <w:vAlign w:val="top"/>
          </w:tcPr>
          <w:p w14:paraId="0B1D2D09">
            <w:pPr>
              <w:pStyle w:val="6"/>
              <w:spacing w:before="87" w:line="180" w:lineRule="auto"/>
              <w:ind w:left="254"/>
            </w:pPr>
            <w:r>
              <w:rPr>
                <w:spacing w:val="-3"/>
              </w:rPr>
              <w:t>6.48</w:t>
            </w:r>
          </w:p>
        </w:tc>
        <w:tc>
          <w:tcPr>
            <w:tcW w:w="880" w:type="dxa"/>
            <w:vAlign w:val="top"/>
          </w:tcPr>
          <w:p w14:paraId="07E57DF1">
            <w:pPr>
              <w:pStyle w:val="6"/>
              <w:spacing w:before="87" w:line="180" w:lineRule="auto"/>
              <w:ind w:left="386"/>
            </w:pPr>
            <w:r>
              <w:t>6</w:t>
            </w:r>
          </w:p>
        </w:tc>
        <w:tc>
          <w:tcPr>
            <w:tcW w:w="880" w:type="dxa"/>
            <w:vAlign w:val="top"/>
          </w:tcPr>
          <w:p w14:paraId="47619CA4">
            <w:pPr>
              <w:pStyle w:val="6"/>
              <w:spacing w:before="87" w:line="180" w:lineRule="auto"/>
              <w:ind w:left="310"/>
            </w:pPr>
            <w:r>
              <w:rPr>
                <w:spacing w:val="-4"/>
              </w:rPr>
              <w:t>5.3</w:t>
            </w:r>
          </w:p>
        </w:tc>
        <w:tc>
          <w:tcPr>
            <w:tcW w:w="880" w:type="dxa"/>
            <w:vAlign w:val="top"/>
          </w:tcPr>
          <w:p w14:paraId="5340A72E">
            <w:pPr>
              <w:pStyle w:val="6"/>
              <w:spacing w:before="87" w:line="180" w:lineRule="auto"/>
              <w:ind w:left="311"/>
            </w:pPr>
            <w:r>
              <w:rPr>
                <w:spacing w:val="-3"/>
              </w:rPr>
              <w:t>3.4</w:t>
            </w:r>
          </w:p>
        </w:tc>
        <w:tc>
          <w:tcPr>
            <w:tcW w:w="880" w:type="dxa"/>
            <w:vAlign w:val="top"/>
          </w:tcPr>
          <w:p w14:paraId="342CE42E">
            <w:pPr>
              <w:pStyle w:val="6"/>
              <w:spacing w:before="87" w:line="180" w:lineRule="auto"/>
              <w:ind w:left="355"/>
            </w:pPr>
            <w:r>
              <w:rPr>
                <w:spacing w:val="-6"/>
              </w:rPr>
              <w:t>11</w:t>
            </w:r>
          </w:p>
        </w:tc>
        <w:tc>
          <w:tcPr>
            <w:tcW w:w="880" w:type="dxa"/>
            <w:vAlign w:val="top"/>
          </w:tcPr>
          <w:p w14:paraId="4910476B">
            <w:pPr>
              <w:pStyle w:val="6"/>
              <w:spacing w:before="87" w:line="180" w:lineRule="auto"/>
              <w:ind w:left="311"/>
            </w:pPr>
            <w:r>
              <w:rPr>
                <w:spacing w:val="-2"/>
              </w:rPr>
              <w:t>2.2</w:t>
            </w:r>
          </w:p>
        </w:tc>
        <w:tc>
          <w:tcPr>
            <w:tcW w:w="880" w:type="dxa"/>
            <w:vAlign w:val="top"/>
          </w:tcPr>
          <w:p w14:paraId="2619D82B">
            <w:pPr>
              <w:pStyle w:val="6"/>
              <w:spacing w:before="87" w:line="180" w:lineRule="auto"/>
              <w:ind w:left="212"/>
            </w:pPr>
            <w:r>
              <w:rPr>
                <w:spacing w:val="-2"/>
              </w:rPr>
              <w:t>0.306</w:t>
            </w:r>
          </w:p>
        </w:tc>
        <w:tc>
          <w:tcPr>
            <w:tcW w:w="880" w:type="dxa"/>
            <w:vAlign w:val="top"/>
          </w:tcPr>
          <w:p w14:paraId="293EE7C4">
            <w:pPr>
              <w:pStyle w:val="6"/>
              <w:spacing w:before="87" w:line="180" w:lineRule="auto"/>
              <w:ind w:left="266"/>
            </w:pPr>
            <w:r>
              <w:rPr>
                <w:spacing w:val="-2"/>
              </w:rPr>
              <w:t>0.03</w:t>
            </w:r>
          </w:p>
        </w:tc>
        <w:tc>
          <w:tcPr>
            <w:tcW w:w="880" w:type="dxa"/>
            <w:vAlign w:val="top"/>
          </w:tcPr>
          <w:p w14:paraId="3F835E62">
            <w:pPr>
              <w:pStyle w:val="6"/>
              <w:spacing w:before="87" w:line="180" w:lineRule="auto"/>
              <w:ind w:left="268"/>
            </w:pPr>
            <w:r>
              <w:rPr>
                <w:spacing w:val="-2"/>
              </w:rPr>
              <w:t>0.04</w:t>
            </w:r>
          </w:p>
        </w:tc>
        <w:tc>
          <w:tcPr>
            <w:tcW w:w="881" w:type="dxa"/>
            <w:vAlign w:val="top"/>
          </w:tcPr>
          <w:p w14:paraId="61BF1D31">
            <w:pPr>
              <w:pStyle w:val="6"/>
              <w:spacing w:before="87" w:line="180" w:lineRule="auto"/>
              <w:ind w:left="218"/>
            </w:pPr>
            <w:r>
              <w:rPr>
                <w:spacing w:val="-2"/>
              </w:rPr>
              <w:t>0.097</w:t>
            </w:r>
          </w:p>
        </w:tc>
        <w:tc>
          <w:tcPr>
            <w:tcW w:w="894" w:type="dxa"/>
            <w:tcBorders>
              <w:right w:val="single" w:color="000000" w:sz="12" w:space="0"/>
            </w:tcBorders>
            <w:vAlign w:val="top"/>
          </w:tcPr>
          <w:p w14:paraId="79D8C5D4">
            <w:pPr>
              <w:pStyle w:val="6"/>
              <w:spacing w:before="87" w:line="180" w:lineRule="auto"/>
              <w:ind w:left="301"/>
            </w:pPr>
            <w:r>
              <w:rPr>
                <w:spacing w:val="-3"/>
              </w:rPr>
              <w:t>520</w:t>
            </w:r>
          </w:p>
        </w:tc>
      </w:tr>
      <w:tr w14:paraId="4A33E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E1421CE">
            <w:pPr>
              <w:rPr>
                <w:rFonts w:ascii="Arial"/>
                <w:sz w:val="21"/>
              </w:rPr>
            </w:pPr>
          </w:p>
        </w:tc>
        <w:tc>
          <w:tcPr>
            <w:tcW w:w="285" w:type="dxa"/>
            <w:vMerge w:val="continue"/>
            <w:tcBorders>
              <w:top w:val="nil"/>
            </w:tcBorders>
            <w:vAlign w:val="top"/>
          </w:tcPr>
          <w:p w14:paraId="40F51739">
            <w:pPr>
              <w:rPr>
                <w:rFonts w:ascii="Arial"/>
                <w:sz w:val="21"/>
              </w:rPr>
            </w:pPr>
          </w:p>
        </w:tc>
        <w:tc>
          <w:tcPr>
            <w:tcW w:w="1273" w:type="dxa"/>
            <w:vAlign w:val="top"/>
          </w:tcPr>
          <w:p w14:paraId="1A050F26">
            <w:pPr>
              <w:pStyle w:val="6"/>
              <w:spacing w:before="88" w:line="179" w:lineRule="auto"/>
              <w:ind w:left="199"/>
            </w:pPr>
            <w:r>
              <w:rPr>
                <w:spacing w:val="-1"/>
              </w:rPr>
              <w:t>2019/8/08</w:t>
            </w:r>
          </w:p>
        </w:tc>
        <w:tc>
          <w:tcPr>
            <w:tcW w:w="880" w:type="dxa"/>
            <w:vAlign w:val="top"/>
          </w:tcPr>
          <w:p w14:paraId="0F4E7FF8">
            <w:pPr>
              <w:pStyle w:val="6"/>
              <w:spacing w:before="88" w:line="179" w:lineRule="auto"/>
              <w:ind w:left="267"/>
            </w:pPr>
            <w:r>
              <w:rPr>
                <w:spacing w:val="-6"/>
              </w:rPr>
              <w:t>15.6</w:t>
            </w:r>
          </w:p>
        </w:tc>
        <w:tc>
          <w:tcPr>
            <w:tcW w:w="880" w:type="dxa"/>
            <w:vAlign w:val="top"/>
          </w:tcPr>
          <w:p w14:paraId="5777E1ED">
            <w:pPr>
              <w:pStyle w:val="6"/>
              <w:spacing w:before="88" w:line="179" w:lineRule="auto"/>
              <w:ind w:left="254"/>
            </w:pPr>
            <w:r>
              <w:rPr>
                <w:spacing w:val="-3"/>
              </w:rPr>
              <w:t>6.35</w:t>
            </w:r>
          </w:p>
        </w:tc>
        <w:tc>
          <w:tcPr>
            <w:tcW w:w="880" w:type="dxa"/>
            <w:vAlign w:val="top"/>
          </w:tcPr>
          <w:p w14:paraId="4D39DD58">
            <w:pPr>
              <w:pStyle w:val="6"/>
              <w:spacing w:before="88" w:line="179" w:lineRule="auto"/>
              <w:ind w:left="386"/>
            </w:pPr>
            <w:r>
              <w:t>9</w:t>
            </w:r>
          </w:p>
        </w:tc>
        <w:tc>
          <w:tcPr>
            <w:tcW w:w="880" w:type="dxa"/>
            <w:vAlign w:val="top"/>
          </w:tcPr>
          <w:p w14:paraId="7ACA1D7D">
            <w:pPr>
              <w:pStyle w:val="6"/>
              <w:spacing w:before="88" w:line="179" w:lineRule="auto"/>
              <w:ind w:left="310"/>
            </w:pPr>
            <w:r>
              <w:rPr>
                <w:spacing w:val="-4"/>
              </w:rPr>
              <w:t>5.8</w:t>
            </w:r>
          </w:p>
        </w:tc>
        <w:tc>
          <w:tcPr>
            <w:tcW w:w="880" w:type="dxa"/>
            <w:vAlign w:val="top"/>
          </w:tcPr>
          <w:p w14:paraId="3E3082D7">
            <w:pPr>
              <w:pStyle w:val="6"/>
              <w:spacing w:before="88" w:line="179" w:lineRule="auto"/>
              <w:ind w:left="311"/>
            </w:pPr>
            <w:r>
              <w:rPr>
                <w:spacing w:val="-3"/>
              </w:rPr>
              <w:t>3.0</w:t>
            </w:r>
          </w:p>
        </w:tc>
        <w:tc>
          <w:tcPr>
            <w:tcW w:w="880" w:type="dxa"/>
            <w:vAlign w:val="top"/>
          </w:tcPr>
          <w:p w14:paraId="10B2EFAD">
            <w:pPr>
              <w:pStyle w:val="6"/>
              <w:spacing w:before="88" w:line="179" w:lineRule="auto"/>
              <w:ind w:left="392"/>
            </w:pPr>
            <w:r>
              <w:t>9</w:t>
            </w:r>
          </w:p>
        </w:tc>
        <w:tc>
          <w:tcPr>
            <w:tcW w:w="880" w:type="dxa"/>
            <w:vAlign w:val="top"/>
          </w:tcPr>
          <w:p w14:paraId="42509637">
            <w:pPr>
              <w:pStyle w:val="6"/>
              <w:spacing w:before="88" w:line="179" w:lineRule="auto"/>
              <w:ind w:left="331"/>
            </w:pPr>
            <w:r>
              <w:rPr>
                <w:spacing w:val="-8"/>
              </w:rPr>
              <w:t>1.8</w:t>
            </w:r>
          </w:p>
        </w:tc>
        <w:tc>
          <w:tcPr>
            <w:tcW w:w="880" w:type="dxa"/>
            <w:vAlign w:val="top"/>
          </w:tcPr>
          <w:p w14:paraId="438AA3E1">
            <w:pPr>
              <w:pStyle w:val="6"/>
              <w:spacing w:before="88" w:line="179" w:lineRule="auto"/>
              <w:ind w:left="212"/>
            </w:pPr>
            <w:r>
              <w:rPr>
                <w:spacing w:val="-2"/>
              </w:rPr>
              <w:t>0.324</w:t>
            </w:r>
          </w:p>
        </w:tc>
        <w:tc>
          <w:tcPr>
            <w:tcW w:w="880" w:type="dxa"/>
            <w:vAlign w:val="top"/>
          </w:tcPr>
          <w:p w14:paraId="3C1DD293">
            <w:pPr>
              <w:pStyle w:val="6"/>
              <w:spacing w:before="88" w:line="179" w:lineRule="auto"/>
              <w:ind w:left="266"/>
            </w:pPr>
            <w:r>
              <w:rPr>
                <w:spacing w:val="-2"/>
              </w:rPr>
              <w:t>0.04</w:t>
            </w:r>
          </w:p>
        </w:tc>
        <w:tc>
          <w:tcPr>
            <w:tcW w:w="880" w:type="dxa"/>
            <w:vAlign w:val="top"/>
          </w:tcPr>
          <w:p w14:paraId="4B17D3C7">
            <w:pPr>
              <w:pStyle w:val="6"/>
              <w:spacing w:before="88" w:line="179" w:lineRule="auto"/>
              <w:ind w:left="268"/>
            </w:pPr>
            <w:r>
              <w:rPr>
                <w:spacing w:val="-2"/>
              </w:rPr>
              <w:t>0.03</w:t>
            </w:r>
          </w:p>
        </w:tc>
        <w:tc>
          <w:tcPr>
            <w:tcW w:w="881" w:type="dxa"/>
            <w:vAlign w:val="top"/>
          </w:tcPr>
          <w:p w14:paraId="556864CE">
            <w:pPr>
              <w:pStyle w:val="6"/>
              <w:spacing w:before="88" w:line="179" w:lineRule="auto"/>
              <w:ind w:left="218"/>
            </w:pPr>
            <w:r>
              <w:rPr>
                <w:spacing w:val="-2"/>
              </w:rPr>
              <w:t>0.111</w:t>
            </w:r>
          </w:p>
        </w:tc>
        <w:tc>
          <w:tcPr>
            <w:tcW w:w="894" w:type="dxa"/>
            <w:tcBorders>
              <w:right w:val="single" w:color="000000" w:sz="12" w:space="0"/>
            </w:tcBorders>
            <w:vAlign w:val="top"/>
          </w:tcPr>
          <w:p w14:paraId="5B0032D5">
            <w:pPr>
              <w:pStyle w:val="6"/>
              <w:spacing w:before="88" w:line="179" w:lineRule="auto"/>
              <w:ind w:left="301"/>
            </w:pPr>
            <w:r>
              <w:rPr>
                <w:spacing w:val="-3"/>
              </w:rPr>
              <w:t>540</w:t>
            </w:r>
          </w:p>
        </w:tc>
      </w:tr>
      <w:tr w14:paraId="65BA0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53C7058">
            <w:pPr>
              <w:rPr>
                <w:rFonts w:ascii="Arial"/>
                <w:sz w:val="21"/>
              </w:rPr>
            </w:pPr>
          </w:p>
        </w:tc>
        <w:tc>
          <w:tcPr>
            <w:tcW w:w="285" w:type="dxa"/>
            <w:vMerge w:val="restart"/>
            <w:tcBorders>
              <w:bottom w:val="nil"/>
            </w:tcBorders>
            <w:vAlign w:val="top"/>
          </w:tcPr>
          <w:p w14:paraId="06A14E27">
            <w:pPr>
              <w:pStyle w:val="6"/>
              <w:spacing w:before="108" w:line="222" w:lineRule="auto"/>
              <w:ind w:left="76"/>
            </w:pPr>
            <w:r>
              <w:t>4</w:t>
            </w:r>
          </w:p>
          <w:p w14:paraId="31F84C5A">
            <w:pPr>
              <w:spacing w:line="219" w:lineRule="auto"/>
              <w:ind w:left="29"/>
              <w:rPr>
                <w:rFonts w:ascii="宋体" w:hAnsi="宋体" w:eastAsia="宋体" w:cs="宋体"/>
                <w:sz w:val="21"/>
                <w:szCs w:val="21"/>
              </w:rPr>
            </w:pPr>
            <w:r>
              <w:rPr>
                <w:rFonts w:ascii="宋体" w:hAnsi="宋体" w:eastAsia="宋体" w:cs="宋体"/>
                <w:sz w:val="21"/>
                <w:szCs w:val="21"/>
              </w:rPr>
              <w:t>季</w:t>
            </w:r>
          </w:p>
          <w:p w14:paraId="5D2BFC5B">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109B52D">
            <w:pPr>
              <w:pStyle w:val="6"/>
              <w:spacing w:before="90" w:line="177" w:lineRule="auto"/>
              <w:ind w:left="199"/>
            </w:pPr>
            <w:r>
              <w:rPr>
                <w:spacing w:val="-1"/>
              </w:rPr>
              <w:t>2019/11/9</w:t>
            </w:r>
          </w:p>
        </w:tc>
        <w:tc>
          <w:tcPr>
            <w:tcW w:w="880" w:type="dxa"/>
            <w:vAlign w:val="top"/>
          </w:tcPr>
          <w:p w14:paraId="42A52ABF">
            <w:pPr>
              <w:pStyle w:val="6"/>
              <w:spacing w:before="90" w:line="177" w:lineRule="auto"/>
              <w:ind w:left="267"/>
            </w:pPr>
            <w:r>
              <w:rPr>
                <w:spacing w:val="-6"/>
              </w:rPr>
              <w:t>15.7</w:t>
            </w:r>
          </w:p>
        </w:tc>
        <w:tc>
          <w:tcPr>
            <w:tcW w:w="880" w:type="dxa"/>
            <w:vAlign w:val="top"/>
          </w:tcPr>
          <w:p w14:paraId="65484ABC">
            <w:pPr>
              <w:pStyle w:val="6"/>
              <w:spacing w:before="90" w:line="177" w:lineRule="auto"/>
              <w:ind w:left="254"/>
            </w:pPr>
            <w:r>
              <w:rPr>
                <w:spacing w:val="-3"/>
              </w:rPr>
              <w:t>6.46</w:t>
            </w:r>
          </w:p>
        </w:tc>
        <w:tc>
          <w:tcPr>
            <w:tcW w:w="880" w:type="dxa"/>
            <w:vAlign w:val="top"/>
          </w:tcPr>
          <w:p w14:paraId="18C4E3F2">
            <w:pPr>
              <w:pStyle w:val="6"/>
              <w:spacing w:before="90" w:line="177" w:lineRule="auto"/>
              <w:ind w:left="386"/>
            </w:pPr>
            <w:r>
              <w:t>9</w:t>
            </w:r>
          </w:p>
        </w:tc>
        <w:tc>
          <w:tcPr>
            <w:tcW w:w="880" w:type="dxa"/>
            <w:vAlign w:val="top"/>
          </w:tcPr>
          <w:p w14:paraId="49C876FA">
            <w:pPr>
              <w:pStyle w:val="6"/>
              <w:spacing w:before="90" w:line="177" w:lineRule="auto"/>
              <w:ind w:left="310"/>
            </w:pPr>
            <w:r>
              <w:rPr>
                <w:spacing w:val="-4"/>
              </w:rPr>
              <w:t>5.8</w:t>
            </w:r>
          </w:p>
        </w:tc>
        <w:tc>
          <w:tcPr>
            <w:tcW w:w="880" w:type="dxa"/>
            <w:vAlign w:val="top"/>
          </w:tcPr>
          <w:p w14:paraId="022E6E68">
            <w:pPr>
              <w:pStyle w:val="6"/>
              <w:spacing w:before="90" w:line="177" w:lineRule="auto"/>
              <w:ind w:left="311"/>
            </w:pPr>
            <w:r>
              <w:rPr>
                <w:spacing w:val="-3"/>
              </w:rPr>
              <w:t>3.0</w:t>
            </w:r>
          </w:p>
        </w:tc>
        <w:tc>
          <w:tcPr>
            <w:tcW w:w="880" w:type="dxa"/>
            <w:vAlign w:val="top"/>
          </w:tcPr>
          <w:p w14:paraId="3D6F29DD">
            <w:pPr>
              <w:pStyle w:val="6"/>
              <w:spacing w:before="90" w:line="177" w:lineRule="auto"/>
              <w:ind w:left="355"/>
            </w:pPr>
            <w:r>
              <w:rPr>
                <w:spacing w:val="-6"/>
              </w:rPr>
              <w:t>11</w:t>
            </w:r>
          </w:p>
        </w:tc>
        <w:tc>
          <w:tcPr>
            <w:tcW w:w="880" w:type="dxa"/>
            <w:vAlign w:val="top"/>
          </w:tcPr>
          <w:p w14:paraId="14B49E6C">
            <w:pPr>
              <w:pStyle w:val="6"/>
              <w:spacing w:before="90" w:line="177" w:lineRule="auto"/>
              <w:ind w:left="311"/>
            </w:pPr>
            <w:r>
              <w:rPr>
                <w:spacing w:val="-2"/>
              </w:rPr>
              <w:t>2.2</w:t>
            </w:r>
          </w:p>
        </w:tc>
        <w:tc>
          <w:tcPr>
            <w:tcW w:w="880" w:type="dxa"/>
            <w:vAlign w:val="top"/>
          </w:tcPr>
          <w:p w14:paraId="3A479E2B">
            <w:pPr>
              <w:pStyle w:val="6"/>
              <w:spacing w:before="90" w:line="177" w:lineRule="auto"/>
              <w:ind w:left="212"/>
            </w:pPr>
            <w:r>
              <w:rPr>
                <w:spacing w:val="-2"/>
              </w:rPr>
              <w:t>0.291</w:t>
            </w:r>
          </w:p>
        </w:tc>
        <w:tc>
          <w:tcPr>
            <w:tcW w:w="880" w:type="dxa"/>
            <w:vAlign w:val="top"/>
          </w:tcPr>
          <w:p w14:paraId="60A01D01">
            <w:pPr>
              <w:pStyle w:val="6"/>
              <w:spacing w:before="90" w:line="177" w:lineRule="auto"/>
              <w:ind w:left="266"/>
            </w:pPr>
            <w:r>
              <w:rPr>
                <w:spacing w:val="-2"/>
              </w:rPr>
              <w:t>0.02</w:t>
            </w:r>
          </w:p>
        </w:tc>
        <w:tc>
          <w:tcPr>
            <w:tcW w:w="880" w:type="dxa"/>
            <w:vAlign w:val="top"/>
          </w:tcPr>
          <w:p w14:paraId="5A72382F">
            <w:pPr>
              <w:pStyle w:val="6"/>
              <w:spacing w:before="90" w:line="177" w:lineRule="auto"/>
              <w:ind w:left="268"/>
            </w:pPr>
            <w:r>
              <w:rPr>
                <w:spacing w:val="-2"/>
              </w:rPr>
              <w:t>0.02</w:t>
            </w:r>
          </w:p>
        </w:tc>
        <w:tc>
          <w:tcPr>
            <w:tcW w:w="881" w:type="dxa"/>
            <w:vAlign w:val="top"/>
          </w:tcPr>
          <w:p w14:paraId="00B2B913">
            <w:pPr>
              <w:pStyle w:val="6"/>
              <w:spacing w:before="90" w:line="177" w:lineRule="auto"/>
              <w:ind w:left="206"/>
            </w:pPr>
            <w:r>
              <w:rPr>
                <w:spacing w:val="-2"/>
              </w:rPr>
              <w:t>0.05L</w:t>
            </w:r>
          </w:p>
        </w:tc>
        <w:tc>
          <w:tcPr>
            <w:tcW w:w="894" w:type="dxa"/>
            <w:tcBorders>
              <w:right w:val="single" w:color="000000" w:sz="12" w:space="0"/>
            </w:tcBorders>
            <w:vAlign w:val="top"/>
          </w:tcPr>
          <w:p w14:paraId="49DC595D">
            <w:pPr>
              <w:pStyle w:val="6"/>
              <w:spacing w:before="90" w:line="177" w:lineRule="auto"/>
              <w:ind w:left="347"/>
            </w:pPr>
            <w:r>
              <w:rPr>
                <w:spacing w:val="-1"/>
              </w:rPr>
              <w:t>20</w:t>
            </w:r>
          </w:p>
        </w:tc>
      </w:tr>
      <w:tr w14:paraId="4B73D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BF9E5D1">
            <w:pPr>
              <w:rPr>
                <w:rFonts w:ascii="Arial"/>
                <w:sz w:val="21"/>
              </w:rPr>
            </w:pPr>
          </w:p>
        </w:tc>
        <w:tc>
          <w:tcPr>
            <w:tcW w:w="285" w:type="dxa"/>
            <w:vMerge w:val="continue"/>
            <w:tcBorders>
              <w:top w:val="nil"/>
              <w:bottom w:val="nil"/>
            </w:tcBorders>
            <w:vAlign w:val="top"/>
          </w:tcPr>
          <w:p w14:paraId="6A83FE42">
            <w:pPr>
              <w:rPr>
                <w:rFonts w:ascii="Arial"/>
                <w:sz w:val="21"/>
              </w:rPr>
            </w:pPr>
          </w:p>
        </w:tc>
        <w:tc>
          <w:tcPr>
            <w:tcW w:w="1273" w:type="dxa"/>
            <w:vAlign w:val="top"/>
          </w:tcPr>
          <w:p w14:paraId="4F1A1A10">
            <w:pPr>
              <w:pStyle w:val="6"/>
              <w:spacing w:before="91" w:line="176" w:lineRule="auto"/>
              <w:ind w:left="147"/>
            </w:pPr>
            <w:r>
              <w:rPr>
                <w:spacing w:val="-1"/>
              </w:rPr>
              <w:t>2019/11/10</w:t>
            </w:r>
          </w:p>
        </w:tc>
        <w:tc>
          <w:tcPr>
            <w:tcW w:w="880" w:type="dxa"/>
            <w:vAlign w:val="top"/>
          </w:tcPr>
          <w:p w14:paraId="2898D1FF">
            <w:pPr>
              <w:pStyle w:val="6"/>
              <w:spacing w:before="91" w:line="176" w:lineRule="auto"/>
              <w:ind w:left="267"/>
            </w:pPr>
            <w:r>
              <w:rPr>
                <w:spacing w:val="-6"/>
              </w:rPr>
              <w:t>16.2</w:t>
            </w:r>
          </w:p>
        </w:tc>
        <w:tc>
          <w:tcPr>
            <w:tcW w:w="880" w:type="dxa"/>
            <w:vAlign w:val="top"/>
          </w:tcPr>
          <w:p w14:paraId="27EBC4CB">
            <w:pPr>
              <w:pStyle w:val="6"/>
              <w:spacing w:before="91" w:line="176" w:lineRule="auto"/>
              <w:ind w:left="254"/>
            </w:pPr>
            <w:r>
              <w:rPr>
                <w:spacing w:val="-3"/>
              </w:rPr>
              <w:t>6.49</w:t>
            </w:r>
          </w:p>
        </w:tc>
        <w:tc>
          <w:tcPr>
            <w:tcW w:w="880" w:type="dxa"/>
            <w:vAlign w:val="top"/>
          </w:tcPr>
          <w:p w14:paraId="0F0ECAB0">
            <w:pPr>
              <w:pStyle w:val="6"/>
              <w:spacing w:before="91" w:line="176" w:lineRule="auto"/>
              <w:ind w:left="390"/>
            </w:pPr>
            <w:r>
              <w:t>8</w:t>
            </w:r>
          </w:p>
        </w:tc>
        <w:tc>
          <w:tcPr>
            <w:tcW w:w="880" w:type="dxa"/>
            <w:vAlign w:val="top"/>
          </w:tcPr>
          <w:p w14:paraId="1CE5C423">
            <w:pPr>
              <w:pStyle w:val="6"/>
              <w:spacing w:before="91" w:line="176" w:lineRule="auto"/>
              <w:ind w:left="310"/>
            </w:pPr>
            <w:r>
              <w:rPr>
                <w:spacing w:val="-4"/>
              </w:rPr>
              <w:t>5.3</w:t>
            </w:r>
          </w:p>
        </w:tc>
        <w:tc>
          <w:tcPr>
            <w:tcW w:w="880" w:type="dxa"/>
            <w:vAlign w:val="top"/>
          </w:tcPr>
          <w:p w14:paraId="08B0B65B">
            <w:pPr>
              <w:pStyle w:val="6"/>
              <w:spacing w:before="91" w:line="176" w:lineRule="auto"/>
              <w:ind w:left="307"/>
            </w:pPr>
            <w:r>
              <w:rPr>
                <w:spacing w:val="-2"/>
              </w:rPr>
              <w:t>2.8</w:t>
            </w:r>
          </w:p>
        </w:tc>
        <w:tc>
          <w:tcPr>
            <w:tcW w:w="880" w:type="dxa"/>
            <w:vAlign w:val="top"/>
          </w:tcPr>
          <w:p w14:paraId="7FD43FF3">
            <w:pPr>
              <w:pStyle w:val="6"/>
              <w:spacing w:before="91" w:line="176" w:lineRule="auto"/>
              <w:ind w:left="355"/>
            </w:pPr>
            <w:r>
              <w:rPr>
                <w:spacing w:val="-6"/>
              </w:rPr>
              <w:t>10</w:t>
            </w:r>
          </w:p>
        </w:tc>
        <w:tc>
          <w:tcPr>
            <w:tcW w:w="880" w:type="dxa"/>
            <w:vAlign w:val="top"/>
          </w:tcPr>
          <w:p w14:paraId="670C856C">
            <w:pPr>
              <w:pStyle w:val="6"/>
              <w:spacing w:before="91" w:line="176" w:lineRule="auto"/>
              <w:ind w:left="331"/>
            </w:pPr>
            <w:r>
              <w:rPr>
                <w:spacing w:val="-8"/>
              </w:rPr>
              <w:t>1.9</w:t>
            </w:r>
          </w:p>
        </w:tc>
        <w:tc>
          <w:tcPr>
            <w:tcW w:w="880" w:type="dxa"/>
            <w:vAlign w:val="top"/>
          </w:tcPr>
          <w:p w14:paraId="52A65590">
            <w:pPr>
              <w:pStyle w:val="6"/>
              <w:spacing w:before="91" w:line="176" w:lineRule="auto"/>
              <w:ind w:left="212"/>
            </w:pPr>
            <w:r>
              <w:rPr>
                <w:spacing w:val="-2"/>
              </w:rPr>
              <w:t>0.284</w:t>
            </w:r>
          </w:p>
        </w:tc>
        <w:tc>
          <w:tcPr>
            <w:tcW w:w="880" w:type="dxa"/>
            <w:vAlign w:val="top"/>
          </w:tcPr>
          <w:p w14:paraId="31B8E722">
            <w:pPr>
              <w:pStyle w:val="6"/>
              <w:spacing w:before="91" w:line="176" w:lineRule="auto"/>
              <w:ind w:left="266"/>
            </w:pPr>
            <w:r>
              <w:rPr>
                <w:spacing w:val="-2"/>
              </w:rPr>
              <w:t>0.01</w:t>
            </w:r>
          </w:p>
        </w:tc>
        <w:tc>
          <w:tcPr>
            <w:tcW w:w="880" w:type="dxa"/>
            <w:vAlign w:val="top"/>
          </w:tcPr>
          <w:p w14:paraId="76858A9F">
            <w:pPr>
              <w:pStyle w:val="6"/>
              <w:spacing w:before="91" w:line="176" w:lineRule="auto"/>
              <w:ind w:left="268"/>
            </w:pPr>
            <w:r>
              <w:rPr>
                <w:spacing w:val="-2"/>
              </w:rPr>
              <w:t>0.03</w:t>
            </w:r>
          </w:p>
        </w:tc>
        <w:tc>
          <w:tcPr>
            <w:tcW w:w="881" w:type="dxa"/>
            <w:vAlign w:val="top"/>
          </w:tcPr>
          <w:p w14:paraId="56D288E4">
            <w:pPr>
              <w:pStyle w:val="6"/>
              <w:spacing w:before="91" w:line="176" w:lineRule="auto"/>
              <w:ind w:left="206"/>
            </w:pPr>
            <w:r>
              <w:rPr>
                <w:spacing w:val="-2"/>
              </w:rPr>
              <w:t>0.05L</w:t>
            </w:r>
          </w:p>
        </w:tc>
        <w:tc>
          <w:tcPr>
            <w:tcW w:w="894" w:type="dxa"/>
            <w:tcBorders>
              <w:right w:val="single" w:color="000000" w:sz="12" w:space="0"/>
            </w:tcBorders>
            <w:vAlign w:val="top"/>
          </w:tcPr>
          <w:p w14:paraId="0C4EC7A5">
            <w:pPr>
              <w:pStyle w:val="6"/>
              <w:spacing w:before="91" w:line="176" w:lineRule="auto"/>
              <w:ind w:left="347"/>
            </w:pPr>
            <w:r>
              <w:rPr>
                <w:spacing w:val="-1"/>
              </w:rPr>
              <w:t>20</w:t>
            </w:r>
          </w:p>
        </w:tc>
      </w:tr>
      <w:tr w14:paraId="1AF8E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273" w:type="dxa"/>
            <w:vMerge w:val="continue"/>
            <w:tcBorders>
              <w:top w:val="nil"/>
              <w:left w:val="single" w:color="000000" w:sz="12" w:space="0"/>
              <w:bottom w:val="single" w:color="000000" w:sz="12" w:space="0"/>
            </w:tcBorders>
            <w:vAlign w:val="top"/>
          </w:tcPr>
          <w:p w14:paraId="1C1752C0">
            <w:pPr>
              <w:rPr>
                <w:rFonts w:ascii="Arial"/>
                <w:sz w:val="21"/>
              </w:rPr>
            </w:pPr>
          </w:p>
        </w:tc>
        <w:tc>
          <w:tcPr>
            <w:tcW w:w="285" w:type="dxa"/>
            <w:vMerge w:val="continue"/>
            <w:tcBorders>
              <w:top w:val="nil"/>
              <w:bottom w:val="single" w:color="000000" w:sz="12" w:space="0"/>
            </w:tcBorders>
            <w:vAlign w:val="top"/>
          </w:tcPr>
          <w:p w14:paraId="36A1BAA8">
            <w:pPr>
              <w:rPr>
                <w:rFonts w:ascii="Arial"/>
                <w:sz w:val="21"/>
              </w:rPr>
            </w:pPr>
          </w:p>
        </w:tc>
        <w:tc>
          <w:tcPr>
            <w:tcW w:w="1273" w:type="dxa"/>
            <w:tcBorders>
              <w:bottom w:val="single" w:color="000000" w:sz="12" w:space="0"/>
            </w:tcBorders>
            <w:vAlign w:val="top"/>
          </w:tcPr>
          <w:p w14:paraId="482BE410">
            <w:pPr>
              <w:pStyle w:val="6"/>
              <w:spacing w:before="92" w:line="199" w:lineRule="auto"/>
              <w:ind w:left="147"/>
            </w:pPr>
            <w:r>
              <w:rPr>
                <w:spacing w:val="-1"/>
              </w:rPr>
              <w:t>2019/11/11</w:t>
            </w:r>
          </w:p>
        </w:tc>
        <w:tc>
          <w:tcPr>
            <w:tcW w:w="880" w:type="dxa"/>
            <w:tcBorders>
              <w:bottom w:val="single" w:color="000000" w:sz="12" w:space="0"/>
            </w:tcBorders>
            <w:vAlign w:val="top"/>
          </w:tcPr>
          <w:p w14:paraId="5FCCB240">
            <w:pPr>
              <w:pStyle w:val="6"/>
              <w:spacing w:before="92" w:line="199" w:lineRule="auto"/>
              <w:ind w:left="267"/>
            </w:pPr>
            <w:r>
              <w:rPr>
                <w:spacing w:val="-6"/>
              </w:rPr>
              <w:t>15.9</w:t>
            </w:r>
          </w:p>
        </w:tc>
        <w:tc>
          <w:tcPr>
            <w:tcW w:w="880" w:type="dxa"/>
            <w:tcBorders>
              <w:bottom w:val="single" w:color="000000" w:sz="12" w:space="0"/>
            </w:tcBorders>
            <w:vAlign w:val="top"/>
          </w:tcPr>
          <w:p w14:paraId="5283AAA7">
            <w:pPr>
              <w:pStyle w:val="6"/>
              <w:spacing w:before="92" w:line="199" w:lineRule="auto"/>
              <w:ind w:left="254"/>
            </w:pPr>
            <w:r>
              <w:rPr>
                <w:spacing w:val="-3"/>
              </w:rPr>
              <w:t>6.51</w:t>
            </w:r>
          </w:p>
        </w:tc>
        <w:tc>
          <w:tcPr>
            <w:tcW w:w="880" w:type="dxa"/>
            <w:tcBorders>
              <w:bottom w:val="single" w:color="000000" w:sz="12" w:space="0"/>
            </w:tcBorders>
            <w:vAlign w:val="top"/>
          </w:tcPr>
          <w:p w14:paraId="211A6BA1">
            <w:pPr>
              <w:pStyle w:val="6"/>
              <w:spacing w:before="92" w:line="199" w:lineRule="auto"/>
              <w:ind w:left="385"/>
            </w:pPr>
            <w:r>
              <w:t>7</w:t>
            </w:r>
          </w:p>
        </w:tc>
        <w:tc>
          <w:tcPr>
            <w:tcW w:w="880" w:type="dxa"/>
            <w:tcBorders>
              <w:bottom w:val="single" w:color="000000" w:sz="12" w:space="0"/>
            </w:tcBorders>
            <w:vAlign w:val="top"/>
          </w:tcPr>
          <w:p w14:paraId="1B1CF516">
            <w:pPr>
              <w:pStyle w:val="6"/>
              <w:spacing w:before="92" w:line="199" w:lineRule="auto"/>
              <w:ind w:left="310"/>
            </w:pPr>
            <w:r>
              <w:rPr>
                <w:spacing w:val="-4"/>
              </w:rPr>
              <w:t>5.6</w:t>
            </w:r>
          </w:p>
        </w:tc>
        <w:tc>
          <w:tcPr>
            <w:tcW w:w="880" w:type="dxa"/>
            <w:tcBorders>
              <w:bottom w:val="single" w:color="000000" w:sz="12" w:space="0"/>
            </w:tcBorders>
            <w:vAlign w:val="top"/>
          </w:tcPr>
          <w:p w14:paraId="0CE8890A">
            <w:pPr>
              <w:pStyle w:val="6"/>
              <w:spacing w:before="92" w:line="199" w:lineRule="auto"/>
              <w:ind w:left="311"/>
            </w:pPr>
            <w:r>
              <w:rPr>
                <w:spacing w:val="-3"/>
              </w:rPr>
              <w:t>3.2</w:t>
            </w:r>
          </w:p>
        </w:tc>
        <w:tc>
          <w:tcPr>
            <w:tcW w:w="880" w:type="dxa"/>
            <w:tcBorders>
              <w:bottom w:val="single" w:color="000000" w:sz="12" w:space="0"/>
            </w:tcBorders>
            <w:vAlign w:val="top"/>
          </w:tcPr>
          <w:p w14:paraId="0A988951">
            <w:pPr>
              <w:pStyle w:val="6"/>
              <w:spacing w:before="92" w:line="199" w:lineRule="auto"/>
              <w:ind w:left="355"/>
            </w:pPr>
            <w:r>
              <w:rPr>
                <w:spacing w:val="-6"/>
              </w:rPr>
              <w:t>13</w:t>
            </w:r>
          </w:p>
        </w:tc>
        <w:tc>
          <w:tcPr>
            <w:tcW w:w="880" w:type="dxa"/>
            <w:tcBorders>
              <w:bottom w:val="single" w:color="000000" w:sz="12" w:space="0"/>
            </w:tcBorders>
            <w:vAlign w:val="top"/>
          </w:tcPr>
          <w:p w14:paraId="49565AB6">
            <w:pPr>
              <w:pStyle w:val="6"/>
              <w:spacing w:before="92" w:line="199" w:lineRule="auto"/>
              <w:ind w:left="311"/>
            </w:pPr>
            <w:r>
              <w:rPr>
                <w:spacing w:val="-2"/>
              </w:rPr>
              <w:t>2.4</w:t>
            </w:r>
          </w:p>
        </w:tc>
        <w:tc>
          <w:tcPr>
            <w:tcW w:w="880" w:type="dxa"/>
            <w:tcBorders>
              <w:bottom w:val="single" w:color="000000" w:sz="12" w:space="0"/>
            </w:tcBorders>
            <w:vAlign w:val="top"/>
          </w:tcPr>
          <w:p w14:paraId="291D8AD4">
            <w:pPr>
              <w:pStyle w:val="6"/>
              <w:spacing w:before="92" w:line="199" w:lineRule="auto"/>
              <w:ind w:left="212"/>
            </w:pPr>
            <w:r>
              <w:rPr>
                <w:spacing w:val="-2"/>
              </w:rPr>
              <w:t>0.299</w:t>
            </w:r>
          </w:p>
        </w:tc>
        <w:tc>
          <w:tcPr>
            <w:tcW w:w="880" w:type="dxa"/>
            <w:tcBorders>
              <w:bottom w:val="single" w:color="000000" w:sz="12" w:space="0"/>
            </w:tcBorders>
            <w:vAlign w:val="top"/>
          </w:tcPr>
          <w:p w14:paraId="275D44C2">
            <w:pPr>
              <w:pStyle w:val="6"/>
              <w:spacing w:before="92" w:line="199" w:lineRule="auto"/>
              <w:ind w:left="266"/>
            </w:pPr>
            <w:r>
              <w:rPr>
                <w:spacing w:val="-2"/>
              </w:rPr>
              <w:t>0.02</w:t>
            </w:r>
          </w:p>
        </w:tc>
        <w:tc>
          <w:tcPr>
            <w:tcW w:w="880" w:type="dxa"/>
            <w:tcBorders>
              <w:bottom w:val="single" w:color="000000" w:sz="12" w:space="0"/>
            </w:tcBorders>
            <w:vAlign w:val="top"/>
          </w:tcPr>
          <w:p w14:paraId="7445F945">
            <w:pPr>
              <w:pStyle w:val="6"/>
              <w:spacing w:before="92" w:line="199" w:lineRule="auto"/>
              <w:ind w:left="268"/>
            </w:pPr>
            <w:r>
              <w:rPr>
                <w:spacing w:val="-2"/>
              </w:rPr>
              <w:t>0.02</w:t>
            </w:r>
          </w:p>
        </w:tc>
        <w:tc>
          <w:tcPr>
            <w:tcW w:w="881" w:type="dxa"/>
            <w:tcBorders>
              <w:bottom w:val="single" w:color="000000" w:sz="12" w:space="0"/>
            </w:tcBorders>
            <w:vAlign w:val="top"/>
          </w:tcPr>
          <w:p w14:paraId="4A8B85DD">
            <w:pPr>
              <w:pStyle w:val="6"/>
              <w:spacing w:before="92" w:line="199" w:lineRule="auto"/>
              <w:ind w:left="206"/>
            </w:pPr>
            <w:r>
              <w:rPr>
                <w:spacing w:val="-2"/>
              </w:rPr>
              <w:t>0.05L</w:t>
            </w:r>
          </w:p>
        </w:tc>
        <w:tc>
          <w:tcPr>
            <w:tcW w:w="894" w:type="dxa"/>
            <w:tcBorders>
              <w:bottom w:val="single" w:color="000000" w:sz="12" w:space="0"/>
              <w:right w:val="single" w:color="000000" w:sz="12" w:space="0"/>
            </w:tcBorders>
            <w:vAlign w:val="top"/>
          </w:tcPr>
          <w:p w14:paraId="286FA122">
            <w:pPr>
              <w:pStyle w:val="6"/>
              <w:spacing w:before="92" w:line="199" w:lineRule="auto"/>
              <w:ind w:left="346"/>
            </w:pPr>
            <w:r>
              <w:rPr>
                <w:spacing w:val="-1"/>
              </w:rPr>
              <w:t>40</w:t>
            </w:r>
          </w:p>
        </w:tc>
      </w:tr>
    </w:tbl>
    <w:p w14:paraId="59D5812A">
      <w:pPr>
        <w:pStyle w:val="2"/>
        <w:spacing w:before="30" w:line="233" w:lineRule="auto"/>
        <w:ind w:left="40"/>
        <w:rPr>
          <w:sz w:val="21"/>
          <w:szCs w:val="21"/>
        </w:rPr>
      </w:pPr>
      <w:r>
        <w:rPr>
          <w:spacing w:val="-2"/>
          <w:sz w:val="21"/>
          <w:szCs w:val="21"/>
        </w:rPr>
        <w:t>备注：</w:t>
      </w:r>
      <w:r>
        <w:rPr>
          <w:rFonts w:ascii="Times New Roman" w:hAnsi="Times New Roman" w:eastAsia="Times New Roman" w:cs="Times New Roman"/>
          <w:spacing w:val="-2"/>
          <w:sz w:val="21"/>
          <w:szCs w:val="21"/>
        </w:rPr>
        <w:t>1</w:t>
      </w:r>
      <w:r>
        <w:rPr>
          <w:rFonts w:ascii="Times New Roman" w:hAnsi="Times New Roman" w:eastAsia="Times New Roman" w:cs="Times New Roman"/>
          <w:spacing w:val="-29"/>
          <w:sz w:val="21"/>
          <w:szCs w:val="21"/>
        </w:rPr>
        <w:t xml:space="preserve"> </w:t>
      </w:r>
      <w:r>
        <w:rPr>
          <w:spacing w:val="-2"/>
          <w:sz w:val="21"/>
          <w:szCs w:val="21"/>
        </w:rPr>
        <w:t>、马龙河执行《地表水环境质量标准》（</w:t>
      </w:r>
      <w:r>
        <w:rPr>
          <w:rFonts w:ascii="Times New Roman" w:hAnsi="Times New Roman" w:eastAsia="Times New Roman" w:cs="Times New Roman"/>
          <w:spacing w:val="-2"/>
          <w:sz w:val="21"/>
          <w:szCs w:val="21"/>
        </w:rPr>
        <w:t>GB3838-2002</w:t>
      </w:r>
      <w:r>
        <w:rPr>
          <w:spacing w:val="-2"/>
          <w:sz w:val="21"/>
          <w:szCs w:val="21"/>
        </w:rPr>
        <w:t>）中</w:t>
      </w:r>
      <w:r>
        <w:rPr>
          <w:rFonts w:ascii="Times New Roman" w:hAnsi="Times New Roman" w:eastAsia="Times New Roman" w:cs="Times New Roman"/>
          <w:spacing w:val="-2"/>
          <w:sz w:val="21"/>
          <w:szCs w:val="21"/>
        </w:rPr>
        <w:t>Ⅲ</w:t>
      </w:r>
      <w:r>
        <w:rPr>
          <w:spacing w:val="-2"/>
          <w:sz w:val="21"/>
          <w:szCs w:val="21"/>
        </w:rPr>
        <w:t>类标准，面店</w:t>
      </w:r>
      <w:r>
        <w:rPr>
          <w:spacing w:val="-3"/>
          <w:sz w:val="21"/>
          <w:szCs w:val="21"/>
        </w:rPr>
        <w:t>水库执行</w:t>
      </w:r>
      <w:r>
        <w:rPr>
          <w:rFonts w:ascii="Times New Roman" w:hAnsi="Times New Roman" w:eastAsia="Times New Roman" w:cs="Times New Roman"/>
          <w:spacing w:val="-3"/>
          <w:sz w:val="21"/>
          <w:szCs w:val="21"/>
        </w:rPr>
        <w:t>Ⅱ</w:t>
      </w:r>
      <w:r>
        <w:rPr>
          <w:spacing w:val="-3"/>
          <w:sz w:val="21"/>
          <w:szCs w:val="21"/>
        </w:rPr>
        <w:t>类标准；</w:t>
      </w:r>
      <w:r>
        <w:rPr>
          <w:rFonts w:ascii="Times New Roman" w:hAnsi="Times New Roman" w:eastAsia="Times New Roman" w:cs="Times New Roman"/>
          <w:spacing w:val="-3"/>
          <w:sz w:val="21"/>
          <w:szCs w:val="21"/>
        </w:rPr>
        <w:t>2</w:t>
      </w:r>
      <w:r>
        <w:rPr>
          <w:rFonts w:ascii="Times New Roman" w:hAnsi="Times New Roman" w:eastAsia="Times New Roman" w:cs="Times New Roman"/>
          <w:spacing w:val="-29"/>
          <w:sz w:val="21"/>
          <w:szCs w:val="21"/>
        </w:rPr>
        <w:t xml:space="preserve"> </w:t>
      </w:r>
      <w:r>
        <w:rPr>
          <w:spacing w:val="-3"/>
          <w:sz w:val="21"/>
          <w:szCs w:val="21"/>
        </w:rPr>
        <w:t>、</w:t>
      </w:r>
      <w:r>
        <w:rPr>
          <w:rFonts w:ascii="Times New Roman" w:hAnsi="Times New Roman" w:eastAsia="Times New Roman" w:cs="Times New Roman"/>
          <w:spacing w:val="-3"/>
          <w:sz w:val="21"/>
          <w:szCs w:val="21"/>
        </w:rPr>
        <w:t>“L”</w:t>
      </w:r>
      <w:r>
        <w:rPr>
          <w:spacing w:val="-3"/>
          <w:sz w:val="21"/>
          <w:szCs w:val="21"/>
        </w:rPr>
        <w:t>表示监测值低于方法检出限。</w:t>
      </w:r>
    </w:p>
    <w:p w14:paraId="5B67085E">
      <w:pPr>
        <w:spacing w:line="233" w:lineRule="auto"/>
        <w:rPr>
          <w:sz w:val="21"/>
          <w:szCs w:val="21"/>
        </w:rPr>
        <w:sectPr>
          <w:footerReference r:id="rId241" w:type="default"/>
          <w:pgSz w:w="16839" w:h="11907"/>
          <w:pgMar w:top="1376" w:right="1669" w:bottom="1061" w:left="1671" w:header="999" w:footer="859" w:gutter="0"/>
          <w:cols w:space="720" w:num="1"/>
        </w:sectPr>
      </w:pPr>
    </w:p>
    <w:p w14:paraId="5FBDD642">
      <w:pPr>
        <w:spacing w:line="454" w:lineRule="auto"/>
        <w:rPr>
          <w:rFonts w:ascii="Arial"/>
          <w:sz w:val="21"/>
        </w:rPr>
      </w:pPr>
    </w:p>
    <w:p w14:paraId="4D68DD72">
      <w:pPr>
        <w:pStyle w:val="2"/>
        <w:spacing w:before="78" w:line="215"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6.2-4                                                          2020 </w:t>
      </w:r>
      <w:r>
        <w:rPr>
          <w:b/>
          <w:bCs/>
          <w:sz w:val="24"/>
          <w:szCs w:val="24"/>
        </w:rPr>
        <w:t>年施工期地表水水质监测结果（</w:t>
      </w:r>
      <w:r>
        <w:rPr>
          <w:rFonts w:ascii="Times New Roman" w:hAnsi="Times New Roman" w:eastAsia="Times New Roman" w:cs="Times New Roman"/>
          <w:b/>
          <w:bCs/>
          <w:i/>
          <w:iCs/>
          <w:sz w:val="24"/>
          <w:szCs w:val="24"/>
        </w:rPr>
        <w:t>C</w:t>
      </w:r>
      <w:r>
        <w:rPr>
          <w:rFonts w:ascii="Times New Roman" w:hAnsi="Times New Roman" w:eastAsia="Times New Roman" w:cs="Times New Roman"/>
          <w:b/>
          <w:bCs/>
          <w:i/>
          <w:iCs/>
          <w:position w:val="-1"/>
          <w:sz w:val="15"/>
          <w:szCs w:val="15"/>
        </w:rPr>
        <w:t>i</w:t>
      </w:r>
      <w:r>
        <w:rPr>
          <w:b/>
          <w:bCs/>
          <w:i/>
          <w:iCs/>
          <w:position w:val="-1"/>
          <w:sz w:val="12"/>
          <w:szCs w:val="12"/>
        </w:rPr>
        <w:t>，</w:t>
      </w:r>
      <w:r>
        <w:rPr>
          <w:rFonts w:ascii="Times New Roman" w:hAnsi="Times New Roman" w:eastAsia="Times New Roman" w:cs="Times New Roman"/>
          <w:b/>
          <w:bCs/>
          <w:i/>
          <w:iCs/>
          <w:sz w:val="15"/>
          <w:szCs w:val="15"/>
        </w:rPr>
        <w:t>j</w:t>
      </w:r>
      <w:r>
        <w:rPr>
          <w:b/>
          <w:bCs/>
          <w:sz w:val="24"/>
          <w:szCs w:val="24"/>
        </w:rPr>
        <w:t>）</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6033C4CF">
      <w:pPr>
        <w:spacing w:line="14" w:lineRule="exact"/>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0000F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273" w:type="dxa"/>
            <w:tcBorders>
              <w:top w:val="single" w:color="000000" w:sz="12" w:space="0"/>
              <w:left w:val="single" w:color="000000" w:sz="12" w:space="0"/>
            </w:tcBorders>
            <w:vAlign w:val="top"/>
          </w:tcPr>
          <w:p w14:paraId="1CD5704C">
            <w:pPr>
              <w:spacing w:line="250" w:lineRule="auto"/>
              <w:rPr>
                <w:rFonts w:ascii="Arial"/>
                <w:sz w:val="21"/>
              </w:rPr>
            </w:pPr>
          </w:p>
          <w:p w14:paraId="4D1C1435">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40C33373">
            <w:pPr>
              <w:spacing w:line="250" w:lineRule="auto"/>
              <w:rPr>
                <w:rFonts w:ascii="Arial"/>
                <w:sz w:val="21"/>
              </w:rPr>
            </w:pPr>
          </w:p>
          <w:p w14:paraId="49BCA129">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073A555A">
            <w:pPr>
              <w:spacing w:before="184"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23E67F09">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304FBDF0">
            <w:pPr>
              <w:spacing w:before="30"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259FC322">
            <w:pPr>
              <w:spacing w:line="295" w:lineRule="auto"/>
              <w:rPr>
                <w:rFonts w:ascii="Arial"/>
                <w:sz w:val="21"/>
              </w:rPr>
            </w:pPr>
          </w:p>
          <w:p w14:paraId="3844C184">
            <w:pPr>
              <w:pStyle w:val="6"/>
              <w:spacing w:before="60" w:line="186" w:lineRule="auto"/>
              <w:ind w:left="326"/>
            </w:pPr>
            <w:r>
              <w:rPr>
                <w:spacing w:val="-7"/>
              </w:rPr>
              <w:t>SS</w:t>
            </w:r>
          </w:p>
        </w:tc>
        <w:tc>
          <w:tcPr>
            <w:tcW w:w="880" w:type="dxa"/>
            <w:tcBorders>
              <w:top w:val="single" w:color="000000" w:sz="12" w:space="0"/>
            </w:tcBorders>
            <w:vAlign w:val="top"/>
          </w:tcPr>
          <w:p w14:paraId="7A2220EE">
            <w:pPr>
              <w:spacing w:line="295" w:lineRule="auto"/>
              <w:rPr>
                <w:rFonts w:ascii="Arial"/>
                <w:sz w:val="21"/>
              </w:rPr>
            </w:pPr>
          </w:p>
          <w:p w14:paraId="123F2A3A">
            <w:pPr>
              <w:pStyle w:val="6"/>
              <w:spacing w:before="60" w:line="186" w:lineRule="auto"/>
              <w:ind w:left="283"/>
            </w:pPr>
            <w:r>
              <w:rPr>
                <w:spacing w:val="-2"/>
              </w:rPr>
              <w:t>DO</w:t>
            </w:r>
          </w:p>
        </w:tc>
        <w:tc>
          <w:tcPr>
            <w:tcW w:w="880" w:type="dxa"/>
            <w:tcBorders>
              <w:top w:val="single" w:color="000000" w:sz="12" w:space="0"/>
            </w:tcBorders>
            <w:vAlign w:val="top"/>
          </w:tcPr>
          <w:p w14:paraId="1E9883D8">
            <w:pPr>
              <w:spacing w:line="294" w:lineRule="auto"/>
              <w:rPr>
                <w:rFonts w:ascii="Arial"/>
                <w:sz w:val="21"/>
              </w:rPr>
            </w:pPr>
          </w:p>
          <w:p w14:paraId="78486AB4">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63AD715F">
            <w:pPr>
              <w:spacing w:line="295" w:lineRule="auto"/>
              <w:rPr>
                <w:rFonts w:ascii="Arial"/>
                <w:sz w:val="21"/>
              </w:rPr>
            </w:pPr>
          </w:p>
          <w:p w14:paraId="462FC7A5">
            <w:pPr>
              <w:pStyle w:val="6"/>
              <w:spacing w:before="60" w:line="186" w:lineRule="auto"/>
              <w:ind w:left="222"/>
            </w:pPr>
            <w:r>
              <w:rPr>
                <w:spacing w:val="-3"/>
              </w:rPr>
              <w:t>COD</w:t>
            </w:r>
          </w:p>
        </w:tc>
        <w:tc>
          <w:tcPr>
            <w:tcW w:w="880" w:type="dxa"/>
            <w:tcBorders>
              <w:top w:val="single" w:color="000000" w:sz="12" w:space="0"/>
            </w:tcBorders>
            <w:vAlign w:val="top"/>
          </w:tcPr>
          <w:p w14:paraId="1DB35CB2">
            <w:pPr>
              <w:spacing w:line="295" w:lineRule="auto"/>
              <w:rPr>
                <w:rFonts w:ascii="Arial"/>
                <w:sz w:val="21"/>
              </w:rPr>
            </w:pPr>
          </w:p>
          <w:p w14:paraId="18C76180">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2AAF59A1">
            <w:pPr>
              <w:spacing w:line="298" w:lineRule="auto"/>
              <w:rPr>
                <w:rFonts w:ascii="Arial"/>
                <w:sz w:val="21"/>
              </w:rPr>
            </w:pPr>
          </w:p>
          <w:p w14:paraId="0AD4EDD5">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4FF0E3BA">
            <w:pPr>
              <w:spacing w:line="298" w:lineRule="auto"/>
              <w:rPr>
                <w:rFonts w:ascii="Arial"/>
                <w:sz w:val="21"/>
              </w:rPr>
            </w:pPr>
          </w:p>
          <w:p w14:paraId="5BAAEAC8">
            <w:pPr>
              <w:pStyle w:val="6"/>
              <w:spacing w:before="60" w:line="183" w:lineRule="auto"/>
              <w:ind w:left="326"/>
            </w:pPr>
            <w:r>
              <w:rPr>
                <w:spacing w:val="-4"/>
              </w:rPr>
              <w:t>TP</w:t>
            </w:r>
          </w:p>
        </w:tc>
        <w:tc>
          <w:tcPr>
            <w:tcW w:w="880" w:type="dxa"/>
            <w:tcBorders>
              <w:top w:val="single" w:color="000000" w:sz="12" w:space="0"/>
            </w:tcBorders>
            <w:vAlign w:val="top"/>
          </w:tcPr>
          <w:p w14:paraId="46166FEB">
            <w:pPr>
              <w:spacing w:line="249" w:lineRule="auto"/>
              <w:rPr>
                <w:rFonts w:ascii="Arial"/>
                <w:sz w:val="21"/>
              </w:rPr>
            </w:pPr>
          </w:p>
          <w:p w14:paraId="755AB611">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3FC71CBF">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569E6F93">
            <w:pPr>
              <w:spacing w:before="22"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60360ABD">
            <w:pPr>
              <w:pStyle w:val="6"/>
              <w:spacing w:before="47"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48B94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3D447CA1">
            <w:pPr>
              <w:spacing w:line="252" w:lineRule="auto"/>
              <w:rPr>
                <w:rFonts w:ascii="Arial"/>
                <w:sz w:val="21"/>
              </w:rPr>
            </w:pPr>
          </w:p>
          <w:p w14:paraId="52A042BE">
            <w:pPr>
              <w:spacing w:line="253" w:lineRule="auto"/>
              <w:rPr>
                <w:rFonts w:ascii="Arial"/>
                <w:sz w:val="21"/>
              </w:rPr>
            </w:pPr>
          </w:p>
          <w:p w14:paraId="1C2D1A5A">
            <w:pPr>
              <w:spacing w:line="253" w:lineRule="auto"/>
              <w:rPr>
                <w:rFonts w:ascii="Arial"/>
                <w:sz w:val="21"/>
              </w:rPr>
            </w:pPr>
          </w:p>
          <w:p w14:paraId="2E314D54">
            <w:pPr>
              <w:spacing w:line="253" w:lineRule="auto"/>
              <w:rPr>
                <w:rFonts w:ascii="Arial"/>
                <w:sz w:val="21"/>
              </w:rPr>
            </w:pPr>
          </w:p>
          <w:p w14:paraId="3ED148E4">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5AF5711A">
            <w:pPr>
              <w:spacing w:before="22" w:line="220" w:lineRule="auto"/>
              <w:ind w:left="102"/>
              <w:rPr>
                <w:rFonts w:ascii="宋体" w:hAnsi="宋体" w:eastAsia="宋体" w:cs="宋体"/>
                <w:sz w:val="21"/>
                <w:szCs w:val="21"/>
              </w:rPr>
            </w:pPr>
            <w:r>
              <w:rPr>
                <w:rFonts w:ascii="宋体" w:hAnsi="宋体" w:eastAsia="宋体" w:cs="宋体"/>
                <w:spacing w:val="-4"/>
                <w:sz w:val="21"/>
                <w:szCs w:val="21"/>
              </w:rPr>
              <w:t>（车马碧水</w:t>
            </w:r>
          </w:p>
          <w:p w14:paraId="23910648">
            <w:pPr>
              <w:spacing w:before="22" w:line="220" w:lineRule="auto"/>
              <w:ind w:left="97"/>
              <w:rPr>
                <w:rFonts w:ascii="宋体" w:hAnsi="宋体" w:eastAsia="宋体" w:cs="宋体"/>
                <w:sz w:val="21"/>
                <w:szCs w:val="21"/>
              </w:rPr>
            </w:pPr>
            <w:r>
              <w:rPr>
                <w:rFonts w:ascii="宋体" w:hAnsi="宋体" w:eastAsia="宋体" w:cs="宋体"/>
                <w:spacing w:val="-2"/>
                <w:sz w:val="21"/>
                <w:szCs w:val="21"/>
              </w:rPr>
              <w:t>库输水隧洞</w:t>
            </w:r>
          </w:p>
          <w:p w14:paraId="37942ADD">
            <w:pPr>
              <w:spacing w:before="23" w:line="220" w:lineRule="auto"/>
              <w:ind w:left="200"/>
              <w:rPr>
                <w:rFonts w:ascii="宋体" w:hAnsi="宋体" w:eastAsia="宋体" w:cs="宋体"/>
                <w:sz w:val="21"/>
                <w:szCs w:val="21"/>
              </w:rPr>
            </w:pPr>
            <w:r>
              <w:rPr>
                <w:rFonts w:ascii="宋体" w:hAnsi="宋体" w:eastAsia="宋体" w:cs="宋体"/>
                <w:spacing w:val="-2"/>
                <w:sz w:val="21"/>
                <w:szCs w:val="21"/>
              </w:rPr>
              <w:t>进口上游</w:t>
            </w:r>
          </w:p>
          <w:p w14:paraId="67713162">
            <w:pPr>
              <w:pStyle w:val="6"/>
              <w:spacing w:before="21"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064FE43F">
            <w:pPr>
              <w:pStyle w:val="6"/>
              <w:spacing w:before="84" w:line="223" w:lineRule="auto"/>
              <w:ind w:left="97"/>
            </w:pPr>
            <w:r>
              <w:t>1</w:t>
            </w:r>
          </w:p>
          <w:p w14:paraId="3663771D">
            <w:pPr>
              <w:spacing w:line="219" w:lineRule="auto"/>
              <w:ind w:left="29"/>
              <w:rPr>
                <w:rFonts w:ascii="宋体" w:hAnsi="宋体" w:eastAsia="宋体" w:cs="宋体"/>
                <w:sz w:val="21"/>
                <w:szCs w:val="21"/>
              </w:rPr>
            </w:pPr>
            <w:r>
              <w:rPr>
                <w:rFonts w:ascii="宋体" w:hAnsi="宋体" w:eastAsia="宋体" w:cs="宋体"/>
                <w:sz w:val="21"/>
                <w:szCs w:val="21"/>
              </w:rPr>
              <w:t>季</w:t>
            </w:r>
          </w:p>
          <w:p w14:paraId="1F7A8867">
            <w:pPr>
              <w:spacing w:before="21"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051375E">
            <w:pPr>
              <w:pStyle w:val="6"/>
              <w:spacing w:before="65" w:line="202" w:lineRule="auto"/>
              <w:ind w:left="199"/>
            </w:pPr>
            <w:r>
              <w:rPr>
                <w:spacing w:val="-1"/>
              </w:rPr>
              <w:t>2020/3/10</w:t>
            </w:r>
          </w:p>
        </w:tc>
        <w:tc>
          <w:tcPr>
            <w:tcW w:w="880" w:type="dxa"/>
            <w:vAlign w:val="top"/>
          </w:tcPr>
          <w:p w14:paraId="7EC406E9">
            <w:pPr>
              <w:pStyle w:val="6"/>
              <w:spacing w:before="65" w:line="202" w:lineRule="auto"/>
              <w:ind w:left="267"/>
            </w:pPr>
            <w:r>
              <w:rPr>
                <w:spacing w:val="-6"/>
              </w:rPr>
              <w:t>15.6</w:t>
            </w:r>
          </w:p>
        </w:tc>
        <w:tc>
          <w:tcPr>
            <w:tcW w:w="880" w:type="dxa"/>
            <w:vAlign w:val="top"/>
          </w:tcPr>
          <w:p w14:paraId="10DD3666">
            <w:pPr>
              <w:pStyle w:val="6"/>
              <w:spacing w:before="65" w:line="202" w:lineRule="auto"/>
              <w:ind w:left="254"/>
            </w:pPr>
            <w:r>
              <w:rPr>
                <w:spacing w:val="-3"/>
              </w:rPr>
              <w:t>6.69</w:t>
            </w:r>
          </w:p>
        </w:tc>
        <w:tc>
          <w:tcPr>
            <w:tcW w:w="880" w:type="dxa"/>
            <w:vAlign w:val="top"/>
          </w:tcPr>
          <w:p w14:paraId="3DBE444C">
            <w:pPr>
              <w:pStyle w:val="6"/>
              <w:spacing w:before="65" w:line="202" w:lineRule="auto"/>
              <w:ind w:left="386"/>
            </w:pPr>
            <w:r>
              <w:t>6</w:t>
            </w:r>
          </w:p>
        </w:tc>
        <w:tc>
          <w:tcPr>
            <w:tcW w:w="880" w:type="dxa"/>
            <w:vAlign w:val="top"/>
          </w:tcPr>
          <w:p w14:paraId="6D0A863A">
            <w:pPr>
              <w:pStyle w:val="6"/>
              <w:spacing w:before="65" w:line="202" w:lineRule="auto"/>
              <w:ind w:left="310"/>
            </w:pPr>
            <w:r>
              <w:rPr>
                <w:spacing w:val="-4"/>
              </w:rPr>
              <w:t>5.4</w:t>
            </w:r>
          </w:p>
        </w:tc>
        <w:tc>
          <w:tcPr>
            <w:tcW w:w="880" w:type="dxa"/>
            <w:vAlign w:val="top"/>
          </w:tcPr>
          <w:p w14:paraId="33945450">
            <w:pPr>
              <w:pStyle w:val="6"/>
              <w:spacing w:before="65" w:line="202" w:lineRule="auto"/>
              <w:ind w:left="307"/>
            </w:pPr>
            <w:r>
              <w:rPr>
                <w:spacing w:val="-2"/>
              </w:rPr>
              <w:t>2.6</w:t>
            </w:r>
          </w:p>
        </w:tc>
        <w:tc>
          <w:tcPr>
            <w:tcW w:w="880" w:type="dxa"/>
            <w:vAlign w:val="top"/>
          </w:tcPr>
          <w:p w14:paraId="3488CFB6">
            <w:pPr>
              <w:pStyle w:val="6"/>
              <w:spacing w:before="65" w:line="202" w:lineRule="auto"/>
              <w:ind w:left="393"/>
            </w:pPr>
            <w:r>
              <w:t>6</w:t>
            </w:r>
          </w:p>
        </w:tc>
        <w:tc>
          <w:tcPr>
            <w:tcW w:w="880" w:type="dxa"/>
            <w:vAlign w:val="top"/>
          </w:tcPr>
          <w:p w14:paraId="739DC4A5">
            <w:pPr>
              <w:pStyle w:val="6"/>
              <w:spacing w:before="65" w:line="202" w:lineRule="auto"/>
              <w:ind w:left="331"/>
            </w:pPr>
            <w:r>
              <w:rPr>
                <w:spacing w:val="-8"/>
              </w:rPr>
              <w:t>1.3</w:t>
            </w:r>
          </w:p>
        </w:tc>
        <w:tc>
          <w:tcPr>
            <w:tcW w:w="880" w:type="dxa"/>
            <w:vAlign w:val="top"/>
          </w:tcPr>
          <w:p w14:paraId="76EE79DF">
            <w:pPr>
              <w:pStyle w:val="6"/>
              <w:spacing w:before="65" w:line="202" w:lineRule="auto"/>
              <w:ind w:left="212"/>
            </w:pPr>
            <w:r>
              <w:rPr>
                <w:spacing w:val="-2"/>
              </w:rPr>
              <w:t>0.056</w:t>
            </w:r>
          </w:p>
        </w:tc>
        <w:tc>
          <w:tcPr>
            <w:tcW w:w="880" w:type="dxa"/>
            <w:vAlign w:val="top"/>
          </w:tcPr>
          <w:p w14:paraId="287D20AF">
            <w:pPr>
              <w:pStyle w:val="6"/>
              <w:spacing w:before="65" w:line="202" w:lineRule="auto"/>
              <w:ind w:left="266"/>
            </w:pPr>
            <w:r>
              <w:rPr>
                <w:spacing w:val="-2"/>
              </w:rPr>
              <w:t>0.05</w:t>
            </w:r>
          </w:p>
        </w:tc>
        <w:tc>
          <w:tcPr>
            <w:tcW w:w="880" w:type="dxa"/>
            <w:vAlign w:val="top"/>
          </w:tcPr>
          <w:p w14:paraId="5D2647A7">
            <w:pPr>
              <w:pStyle w:val="6"/>
              <w:spacing w:before="65" w:line="202" w:lineRule="auto"/>
              <w:ind w:left="268"/>
            </w:pPr>
            <w:r>
              <w:rPr>
                <w:spacing w:val="-2"/>
              </w:rPr>
              <w:t>0.02</w:t>
            </w:r>
          </w:p>
        </w:tc>
        <w:tc>
          <w:tcPr>
            <w:tcW w:w="881" w:type="dxa"/>
            <w:vAlign w:val="top"/>
          </w:tcPr>
          <w:p w14:paraId="72CF8AC0">
            <w:pPr>
              <w:pStyle w:val="6"/>
              <w:spacing w:before="65" w:line="202" w:lineRule="auto"/>
              <w:ind w:left="206"/>
            </w:pPr>
            <w:r>
              <w:rPr>
                <w:spacing w:val="-2"/>
              </w:rPr>
              <w:t>0.05L</w:t>
            </w:r>
          </w:p>
        </w:tc>
        <w:tc>
          <w:tcPr>
            <w:tcW w:w="894" w:type="dxa"/>
            <w:tcBorders>
              <w:right w:val="single" w:color="000000" w:sz="12" w:space="0"/>
            </w:tcBorders>
            <w:vAlign w:val="top"/>
          </w:tcPr>
          <w:p w14:paraId="69908E25">
            <w:pPr>
              <w:pStyle w:val="6"/>
              <w:spacing w:before="65" w:line="202" w:lineRule="auto"/>
              <w:ind w:left="315"/>
            </w:pPr>
            <w:r>
              <w:rPr>
                <w:spacing w:val="-6"/>
              </w:rPr>
              <w:t>150</w:t>
            </w:r>
          </w:p>
        </w:tc>
      </w:tr>
      <w:tr w14:paraId="73FDD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2DF3A7C">
            <w:pPr>
              <w:rPr>
                <w:rFonts w:ascii="Arial"/>
                <w:sz w:val="21"/>
              </w:rPr>
            </w:pPr>
          </w:p>
        </w:tc>
        <w:tc>
          <w:tcPr>
            <w:tcW w:w="285" w:type="dxa"/>
            <w:vMerge w:val="continue"/>
            <w:tcBorders>
              <w:top w:val="nil"/>
              <w:bottom w:val="nil"/>
            </w:tcBorders>
            <w:vAlign w:val="top"/>
          </w:tcPr>
          <w:p w14:paraId="42D1CF8B">
            <w:pPr>
              <w:rPr>
                <w:rFonts w:ascii="Arial"/>
                <w:sz w:val="21"/>
              </w:rPr>
            </w:pPr>
          </w:p>
        </w:tc>
        <w:tc>
          <w:tcPr>
            <w:tcW w:w="1273" w:type="dxa"/>
            <w:vAlign w:val="top"/>
          </w:tcPr>
          <w:p w14:paraId="4FF5556B">
            <w:pPr>
              <w:pStyle w:val="6"/>
              <w:spacing w:before="67" w:line="200" w:lineRule="auto"/>
              <w:ind w:left="199"/>
            </w:pPr>
            <w:r>
              <w:rPr>
                <w:spacing w:val="-1"/>
              </w:rPr>
              <w:t>2020/3/11</w:t>
            </w:r>
          </w:p>
        </w:tc>
        <w:tc>
          <w:tcPr>
            <w:tcW w:w="880" w:type="dxa"/>
            <w:vAlign w:val="top"/>
          </w:tcPr>
          <w:p w14:paraId="15F884D2">
            <w:pPr>
              <w:pStyle w:val="6"/>
              <w:spacing w:before="67" w:line="200" w:lineRule="auto"/>
              <w:ind w:left="267"/>
            </w:pPr>
            <w:r>
              <w:rPr>
                <w:spacing w:val="-6"/>
              </w:rPr>
              <w:t>15.9</w:t>
            </w:r>
          </w:p>
        </w:tc>
        <w:tc>
          <w:tcPr>
            <w:tcW w:w="880" w:type="dxa"/>
            <w:vAlign w:val="top"/>
          </w:tcPr>
          <w:p w14:paraId="765BA810">
            <w:pPr>
              <w:pStyle w:val="6"/>
              <w:spacing w:before="67" w:line="200" w:lineRule="auto"/>
              <w:ind w:left="254"/>
            </w:pPr>
            <w:r>
              <w:rPr>
                <w:spacing w:val="-3"/>
              </w:rPr>
              <w:t>6.71</w:t>
            </w:r>
          </w:p>
        </w:tc>
        <w:tc>
          <w:tcPr>
            <w:tcW w:w="880" w:type="dxa"/>
            <w:vAlign w:val="top"/>
          </w:tcPr>
          <w:p w14:paraId="76207B51">
            <w:pPr>
              <w:pStyle w:val="6"/>
              <w:spacing w:before="67" w:line="200" w:lineRule="auto"/>
              <w:ind w:left="387"/>
            </w:pPr>
            <w:r>
              <w:t>5</w:t>
            </w:r>
          </w:p>
        </w:tc>
        <w:tc>
          <w:tcPr>
            <w:tcW w:w="880" w:type="dxa"/>
            <w:vAlign w:val="top"/>
          </w:tcPr>
          <w:p w14:paraId="10C0DDC7">
            <w:pPr>
              <w:pStyle w:val="6"/>
              <w:spacing w:before="67" w:line="200" w:lineRule="auto"/>
              <w:ind w:left="310"/>
            </w:pPr>
            <w:r>
              <w:rPr>
                <w:spacing w:val="-4"/>
              </w:rPr>
              <w:t>5.1</w:t>
            </w:r>
          </w:p>
        </w:tc>
        <w:tc>
          <w:tcPr>
            <w:tcW w:w="880" w:type="dxa"/>
            <w:vAlign w:val="top"/>
          </w:tcPr>
          <w:p w14:paraId="49D6EF06">
            <w:pPr>
              <w:pStyle w:val="6"/>
              <w:spacing w:before="67" w:line="200" w:lineRule="auto"/>
              <w:ind w:left="307"/>
            </w:pPr>
            <w:r>
              <w:rPr>
                <w:spacing w:val="-2"/>
              </w:rPr>
              <w:t>2.8</w:t>
            </w:r>
          </w:p>
        </w:tc>
        <w:tc>
          <w:tcPr>
            <w:tcW w:w="880" w:type="dxa"/>
            <w:vAlign w:val="top"/>
          </w:tcPr>
          <w:p w14:paraId="605F479D">
            <w:pPr>
              <w:pStyle w:val="6"/>
              <w:spacing w:before="67" w:line="200" w:lineRule="auto"/>
              <w:ind w:left="397"/>
            </w:pPr>
            <w:r>
              <w:t>8</w:t>
            </w:r>
          </w:p>
        </w:tc>
        <w:tc>
          <w:tcPr>
            <w:tcW w:w="880" w:type="dxa"/>
            <w:vAlign w:val="top"/>
          </w:tcPr>
          <w:p w14:paraId="1523B2BA">
            <w:pPr>
              <w:pStyle w:val="6"/>
              <w:spacing w:before="67" w:line="200" w:lineRule="auto"/>
              <w:ind w:left="331"/>
            </w:pPr>
            <w:r>
              <w:rPr>
                <w:spacing w:val="-8"/>
              </w:rPr>
              <w:t>1.6</w:t>
            </w:r>
          </w:p>
        </w:tc>
        <w:tc>
          <w:tcPr>
            <w:tcW w:w="880" w:type="dxa"/>
            <w:vAlign w:val="top"/>
          </w:tcPr>
          <w:p w14:paraId="3B89790A">
            <w:pPr>
              <w:pStyle w:val="6"/>
              <w:spacing w:before="67" w:line="200" w:lineRule="auto"/>
              <w:ind w:left="212"/>
            </w:pPr>
            <w:r>
              <w:rPr>
                <w:spacing w:val="-2"/>
              </w:rPr>
              <w:t>0.047</w:t>
            </w:r>
          </w:p>
        </w:tc>
        <w:tc>
          <w:tcPr>
            <w:tcW w:w="880" w:type="dxa"/>
            <w:vAlign w:val="top"/>
          </w:tcPr>
          <w:p w14:paraId="3CD57C03">
            <w:pPr>
              <w:pStyle w:val="6"/>
              <w:spacing w:before="67" w:line="200" w:lineRule="auto"/>
              <w:ind w:left="266"/>
            </w:pPr>
            <w:r>
              <w:rPr>
                <w:spacing w:val="-2"/>
              </w:rPr>
              <w:t>0.06</w:t>
            </w:r>
          </w:p>
        </w:tc>
        <w:tc>
          <w:tcPr>
            <w:tcW w:w="880" w:type="dxa"/>
            <w:vAlign w:val="top"/>
          </w:tcPr>
          <w:p w14:paraId="77844DAB">
            <w:pPr>
              <w:pStyle w:val="6"/>
              <w:spacing w:before="67" w:line="200" w:lineRule="auto"/>
              <w:ind w:left="268"/>
            </w:pPr>
            <w:r>
              <w:rPr>
                <w:spacing w:val="-2"/>
              </w:rPr>
              <w:t>0.03</w:t>
            </w:r>
          </w:p>
        </w:tc>
        <w:tc>
          <w:tcPr>
            <w:tcW w:w="881" w:type="dxa"/>
            <w:vAlign w:val="top"/>
          </w:tcPr>
          <w:p w14:paraId="3CF0FDC9">
            <w:pPr>
              <w:pStyle w:val="6"/>
              <w:spacing w:before="67" w:line="200" w:lineRule="auto"/>
              <w:ind w:left="206"/>
            </w:pPr>
            <w:r>
              <w:rPr>
                <w:spacing w:val="-2"/>
              </w:rPr>
              <w:t>0.05L</w:t>
            </w:r>
          </w:p>
        </w:tc>
        <w:tc>
          <w:tcPr>
            <w:tcW w:w="894" w:type="dxa"/>
            <w:tcBorders>
              <w:right w:val="single" w:color="000000" w:sz="12" w:space="0"/>
            </w:tcBorders>
            <w:vAlign w:val="top"/>
          </w:tcPr>
          <w:p w14:paraId="2783B3C5">
            <w:pPr>
              <w:pStyle w:val="6"/>
              <w:spacing w:before="67" w:line="200" w:lineRule="auto"/>
              <w:ind w:left="315"/>
            </w:pPr>
            <w:r>
              <w:rPr>
                <w:spacing w:val="-6"/>
              </w:rPr>
              <w:t>170</w:t>
            </w:r>
          </w:p>
        </w:tc>
      </w:tr>
      <w:tr w14:paraId="08B52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972A176">
            <w:pPr>
              <w:rPr>
                <w:rFonts w:ascii="Arial"/>
                <w:sz w:val="21"/>
              </w:rPr>
            </w:pPr>
          </w:p>
        </w:tc>
        <w:tc>
          <w:tcPr>
            <w:tcW w:w="285" w:type="dxa"/>
            <w:vMerge w:val="continue"/>
            <w:tcBorders>
              <w:top w:val="nil"/>
            </w:tcBorders>
            <w:vAlign w:val="top"/>
          </w:tcPr>
          <w:p w14:paraId="5D1F7450">
            <w:pPr>
              <w:rPr>
                <w:rFonts w:ascii="Arial"/>
                <w:sz w:val="21"/>
              </w:rPr>
            </w:pPr>
          </w:p>
        </w:tc>
        <w:tc>
          <w:tcPr>
            <w:tcW w:w="1273" w:type="dxa"/>
            <w:vAlign w:val="top"/>
          </w:tcPr>
          <w:p w14:paraId="09582ED4">
            <w:pPr>
              <w:pStyle w:val="6"/>
              <w:spacing w:before="68" w:line="199" w:lineRule="auto"/>
              <w:ind w:left="199"/>
            </w:pPr>
            <w:r>
              <w:rPr>
                <w:spacing w:val="-1"/>
              </w:rPr>
              <w:t>2020/3/12</w:t>
            </w:r>
          </w:p>
        </w:tc>
        <w:tc>
          <w:tcPr>
            <w:tcW w:w="880" w:type="dxa"/>
            <w:vAlign w:val="top"/>
          </w:tcPr>
          <w:p w14:paraId="1AE1CE26">
            <w:pPr>
              <w:pStyle w:val="6"/>
              <w:spacing w:before="68" w:line="199" w:lineRule="auto"/>
              <w:ind w:left="267"/>
            </w:pPr>
            <w:r>
              <w:rPr>
                <w:spacing w:val="-6"/>
              </w:rPr>
              <w:t>16.1</w:t>
            </w:r>
          </w:p>
        </w:tc>
        <w:tc>
          <w:tcPr>
            <w:tcW w:w="880" w:type="dxa"/>
            <w:vAlign w:val="top"/>
          </w:tcPr>
          <w:p w14:paraId="123D4F5E">
            <w:pPr>
              <w:pStyle w:val="6"/>
              <w:spacing w:before="68" w:line="199" w:lineRule="auto"/>
              <w:ind w:left="254"/>
            </w:pPr>
            <w:r>
              <w:rPr>
                <w:spacing w:val="-3"/>
              </w:rPr>
              <w:t>6.77</w:t>
            </w:r>
          </w:p>
        </w:tc>
        <w:tc>
          <w:tcPr>
            <w:tcW w:w="880" w:type="dxa"/>
            <w:vAlign w:val="top"/>
          </w:tcPr>
          <w:p w14:paraId="4276435D">
            <w:pPr>
              <w:pStyle w:val="6"/>
              <w:spacing w:before="68" w:line="199" w:lineRule="auto"/>
              <w:ind w:left="381"/>
            </w:pPr>
            <w:r>
              <w:t>4</w:t>
            </w:r>
          </w:p>
        </w:tc>
        <w:tc>
          <w:tcPr>
            <w:tcW w:w="880" w:type="dxa"/>
            <w:vAlign w:val="top"/>
          </w:tcPr>
          <w:p w14:paraId="1CDA8496">
            <w:pPr>
              <w:pStyle w:val="6"/>
              <w:spacing w:before="68" w:line="199" w:lineRule="auto"/>
              <w:ind w:left="310"/>
            </w:pPr>
            <w:r>
              <w:rPr>
                <w:spacing w:val="-4"/>
              </w:rPr>
              <w:t>5.6</w:t>
            </w:r>
          </w:p>
        </w:tc>
        <w:tc>
          <w:tcPr>
            <w:tcW w:w="880" w:type="dxa"/>
            <w:vAlign w:val="top"/>
          </w:tcPr>
          <w:p w14:paraId="2243F3AE">
            <w:pPr>
              <w:pStyle w:val="6"/>
              <w:spacing w:before="68" w:line="199" w:lineRule="auto"/>
              <w:ind w:left="307"/>
            </w:pPr>
            <w:r>
              <w:rPr>
                <w:spacing w:val="-2"/>
              </w:rPr>
              <w:t>2.5</w:t>
            </w:r>
          </w:p>
        </w:tc>
        <w:tc>
          <w:tcPr>
            <w:tcW w:w="880" w:type="dxa"/>
            <w:vAlign w:val="top"/>
          </w:tcPr>
          <w:p w14:paraId="7D7AB0BD">
            <w:pPr>
              <w:pStyle w:val="6"/>
              <w:spacing w:before="68" w:line="199" w:lineRule="auto"/>
              <w:ind w:left="393"/>
            </w:pPr>
            <w:r>
              <w:t>6</w:t>
            </w:r>
          </w:p>
        </w:tc>
        <w:tc>
          <w:tcPr>
            <w:tcW w:w="880" w:type="dxa"/>
            <w:vAlign w:val="top"/>
          </w:tcPr>
          <w:p w14:paraId="28F13AE5">
            <w:pPr>
              <w:pStyle w:val="6"/>
              <w:spacing w:before="68" w:line="199" w:lineRule="auto"/>
              <w:ind w:left="331"/>
            </w:pPr>
            <w:r>
              <w:rPr>
                <w:spacing w:val="-8"/>
              </w:rPr>
              <w:t>1.2</w:t>
            </w:r>
          </w:p>
        </w:tc>
        <w:tc>
          <w:tcPr>
            <w:tcW w:w="880" w:type="dxa"/>
            <w:vAlign w:val="top"/>
          </w:tcPr>
          <w:p w14:paraId="33611FCD">
            <w:pPr>
              <w:pStyle w:val="6"/>
              <w:spacing w:before="68" w:line="199" w:lineRule="auto"/>
              <w:ind w:left="212"/>
            </w:pPr>
            <w:r>
              <w:rPr>
                <w:spacing w:val="-2"/>
              </w:rPr>
              <w:t>0.063</w:t>
            </w:r>
          </w:p>
        </w:tc>
        <w:tc>
          <w:tcPr>
            <w:tcW w:w="880" w:type="dxa"/>
            <w:vAlign w:val="top"/>
          </w:tcPr>
          <w:p w14:paraId="5F9621FB">
            <w:pPr>
              <w:pStyle w:val="6"/>
              <w:spacing w:before="68" w:line="199" w:lineRule="auto"/>
              <w:ind w:left="266"/>
            </w:pPr>
            <w:r>
              <w:rPr>
                <w:spacing w:val="-2"/>
              </w:rPr>
              <w:t>0.05</w:t>
            </w:r>
          </w:p>
        </w:tc>
        <w:tc>
          <w:tcPr>
            <w:tcW w:w="880" w:type="dxa"/>
            <w:vAlign w:val="top"/>
          </w:tcPr>
          <w:p w14:paraId="2BF88DCB">
            <w:pPr>
              <w:pStyle w:val="6"/>
              <w:spacing w:before="68" w:line="199" w:lineRule="auto"/>
              <w:ind w:left="268"/>
            </w:pPr>
            <w:r>
              <w:rPr>
                <w:spacing w:val="-2"/>
              </w:rPr>
              <w:t>0.02</w:t>
            </w:r>
          </w:p>
        </w:tc>
        <w:tc>
          <w:tcPr>
            <w:tcW w:w="881" w:type="dxa"/>
            <w:vAlign w:val="top"/>
          </w:tcPr>
          <w:p w14:paraId="41F2CF83">
            <w:pPr>
              <w:pStyle w:val="6"/>
              <w:spacing w:before="68" w:line="199" w:lineRule="auto"/>
              <w:ind w:left="206"/>
            </w:pPr>
            <w:r>
              <w:rPr>
                <w:spacing w:val="-2"/>
              </w:rPr>
              <w:t>0.05L</w:t>
            </w:r>
          </w:p>
        </w:tc>
        <w:tc>
          <w:tcPr>
            <w:tcW w:w="894" w:type="dxa"/>
            <w:tcBorders>
              <w:right w:val="single" w:color="000000" w:sz="12" w:space="0"/>
            </w:tcBorders>
            <w:vAlign w:val="top"/>
          </w:tcPr>
          <w:p w14:paraId="500FFF4E">
            <w:pPr>
              <w:pStyle w:val="6"/>
              <w:spacing w:before="68" w:line="199" w:lineRule="auto"/>
              <w:ind w:left="315"/>
            </w:pPr>
            <w:r>
              <w:rPr>
                <w:spacing w:val="-6"/>
              </w:rPr>
              <w:t>160</w:t>
            </w:r>
          </w:p>
        </w:tc>
      </w:tr>
      <w:tr w14:paraId="0B112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31A2A30">
            <w:pPr>
              <w:rPr>
                <w:rFonts w:ascii="Arial"/>
                <w:sz w:val="21"/>
              </w:rPr>
            </w:pPr>
          </w:p>
        </w:tc>
        <w:tc>
          <w:tcPr>
            <w:tcW w:w="285" w:type="dxa"/>
            <w:vMerge w:val="restart"/>
            <w:tcBorders>
              <w:bottom w:val="nil"/>
            </w:tcBorders>
            <w:vAlign w:val="top"/>
          </w:tcPr>
          <w:p w14:paraId="188AF5A0">
            <w:pPr>
              <w:pStyle w:val="6"/>
              <w:spacing w:before="89" w:line="222" w:lineRule="auto"/>
              <w:ind w:left="77"/>
            </w:pPr>
            <w:r>
              <w:t>2</w:t>
            </w:r>
          </w:p>
          <w:p w14:paraId="05EBFA97">
            <w:pPr>
              <w:spacing w:line="219" w:lineRule="auto"/>
              <w:ind w:left="29"/>
              <w:rPr>
                <w:rFonts w:ascii="宋体" w:hAnsi="宋体" w:eastAsia="宋体" w:cs="宋体"/>
                <w:sz w:val="21"/>
                <w:szCs w:val="21"/>
              </w:rPr>
            </w:pPr>
            <w:r>
              <w:rPr>
                <w:rFonts w:ascii="宋体" w:hAnsi="宋体" w:eastAsia="宋体" w:cs="宋体"/>
                <w:sz w:val="21"/>
                <w:szCs w:val="21"/>
              </w:rPr>
              <w:t>季</w:t>
            </w:r>
          </w:p>
          <w:p w14:paraId="3BCEB10C">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E547D8E">
            <w:pPr>
              <w:pStyle w:val="6"/>
              <w:spacing w:before="69" w:line="198" w:lineRule="auto"/>
              <w:ind w:left="199"/>
            </w:pPr>
            <w:r>
              <w:rPr>
                <w:spacing w:val="-1"/>
              </w:rPr>
              <w:t>2020/5/20</w:t>
            </w:r>
          </w:p>
        </w:tc>
        <w:tc>
          <w:tcPr>
            <w:tcW w:w="880" w:type="dxa"/>
            <w:vAlign w:val="top"/>
          </w:tcPr>
          <w:p w14:paraId="5B74B1FB">
            <w:pPr>
              <w:pStyle w:val="6"/>
              <w:spacing w:before="69" w:line="198" w:lineRule="auto"/>
              <w:ind w:left="267"/>
            </w:pPr>
            <w:r>
              <w:rPr>
                <w:spacing w:val="-6"/>
              </w:rPr>
              <w:t>16.7</w:t>
            </w:r>
          </w:p>
        </w:tc>
        <w:tc>
          <w:tcPr>
            <w:tcW w:w="880" w:type="dxa"/>
            <w:vAlign w:val="top"/>
          </w:tcPr>
          <w:p w14:paraId="4CAD14B6">
            <w:pPr>
              <w:pStyle w:val="6"/>
              <w:spacing w:before="69" w:line="198" w:lineRule="auto"/>
              <w:ind w:left="252"/>
            </w:pPr>
            <w:r>
              <w:rPr>
                <w:spacing w:val="-2"/>
              </w:rPr>
              <w:t>7.29</w:t>
            </w:r>
          </w:p>
        </w:tc>
        <w:tc>
          <w:tcPr>
            <w:tcW w:w="880" w:type="dxa"/>
            <w:vAlign w:val="top"/>
          </w:tcPr>
          <w:p w14:paraId="2CC832A6">
            <w:pPr>
              <w:pStyle w:val="6"/>
              <w:spacing w:before="69" w:line="198" w:lineRule="auto"/>
              <w:ind w:left="386"/>
            </w:pPr>
            <w:r>
              <w:t>9</w:t>
            </w:r>
          </w:p>
        </w:tc>
        <w:tc>
          <w:tcPr>
            <w:tcW w:w="880" w:type="dxa"/>
            <w:vAlign w:val="top"/>
          </w:tcPr>
          <w:p w14:paraId="3216B6CF">
            <w:pPr>
              <w:pStyle w:val="6"/>
              <w:spacing w:before="69" w:line="198" w:lineRule="auto"/>
              <w:ind w:left="310"/>
            </w:pPr>
            <w:r>
              <w:rPr>
                <w:spacing w:val="-4"/>
              </w:rPr>
              <w:t>5.1</w:t>
            </w:r>
          </w:p>
        </w:tc>
        <w:tc>
          <w:tcPr>
            <w:tcW w:w="880" w:type="dxa"/>
            <w:vAlign w:val="top"/>
          </w:tcPr>
          <w:p w14:paraId="035E035A">
            <w:pPr>
              <w:pStyle w:val="6"/>
              <w:spacing w:before="69" w:line="198" w:lineRule="auto"/>
              <w:ind w:left="306"/>
            </w:pPr>
            <w:r>
              <w:rPr>
                <w:spacing w:val="-1"/>
              </w:rPr>
              <w:t>4.1</w:t>
            </w:r>
          </w:p>
        </w:tc>
        <w:tc>
          <w:tcPr>
            <w:tcW w:w="880" w:type="dxa"/>
            <w:vAlign w:val="top"/>
          </w:tcPr>
          <w:p w14:paraId="327A6E05">
            <w:pPr>
              <w:pStyle w:val="6"/>
              <w:spacing w:before="69" w:line="198" w:lineRule="auto"/>
              <w:ind w:left="391"/>
            </w:pPr>
            <w:r>
              <w:t>7</w:t>
            </w:r>
          </w:p>
        </w:tc>
        <w:tc>
          <w:tcPr>
            <w:tcW w:w="880" w:type="dxa"/>
            <w:vAlign w:val="top"/>
          </w:tcPr>
          <w:p w14:paraId="4A39162D">
            <w:pPr>
              <w:pStyle w:val="6"/>
              <w:spacing w:before="69" w:line="198" w:lineRule="auto"/>
              <w:ind w:left="331"/>
            </w:pPr>
            <w:r>
              <w:rPr>
                <w:spacing w:val="-8"/>
              </w:rPr>
              <w:t>1.4</w:t>
            </w:r>
          </w:p>
        </w:tc>
        <w:tc>
          <w:tcPr>
            <w:tcW w:w="880" w:type="dxa"/>
            <w:vAlign w:val="top"/>
          </w:tcPr>
          <w:p w14:paraId="2BA7B86D">
            <w:pPr>
              <w:pStyle w:val="6"/>
              <w:spacing w:before="69" w:line="198" w:lineRule="auto"/>
              <w:ind w:left="212"/>
            </w:pPr>
            <w:r>
              <w:rPr>
                <w:spacing w:val="-2"/>
              </w:rPr>
              <w:t>0.128</w:t>
            </w:r>
          </w:p>
        </w:tc>
        <w:tc>
          <w:tcPr>
            <w:tcW w:w="880" w:type="dxa"/>
            <w:vAlign w:val="top"/>
          </w:tcPr>
          <w:p w14:paraId="1A6AD7DB">
            <w:pPr>
              <w:pStyle w:val="6"/>
              <w:spacing w:before="69" w:line="198" w:lineRule="auto"/>
              <w:ind w:left="266"/>
            </w:pPr>
            <w:r>
              <w:rPr>
                <w:spacing w:val="-2"/>
              </w:rPr>
              <w:t>0.05</w:t>
            </w:r>
          </w:p>
        </w:tc>
        <w:tc>
          <w:tcPr>
            <w:tcW w:w="880" w:type="dxa"/>
            <w:vAlign w:val="top"/>
          </w:tcPr>
          <w:p w14:paraId="6CF4E211">
            <w:pPr>
              <w:pStyle w:val="6"/>
              <w:spacing w:before="69" w:line="198" w:lineRule="auto"/>
              <w:ind w:left="268"/>
            </w:pPr>
            <w:r>
              <w:rPr>
                <w:spacing w:val="-2"/>
              </w:rPr>
              <w:t>0.02</w:t>
            </w:r>
          </w:p>
        </w:tc>
        <w:tc>
          <w:tcPr>
            <w:tcW w:w="881" w:type="dxa"/>
            <w:vAlign w:val="top"/>
          </w:tcPr>
          <w:p w14:paraId="316CAD4B">
            <w:pPr>
              <w:pStyle w:val="6"/>
              <w:spacing w:before="69" w:line="198" w:lineRule="auto"/>
              <w:ind w:left="206"/>
            </w:pPr>
            <w:r>
              <w:rPr>
                <w:spacing w:val="-2"/>
              </w:rPr>
              <w:t>0.05L</w:t>
            </w:r>
          </w:p>
        </w:tc>
        <w:tc>
          <w:tcPr>
            <w:tcW w:w="894" w:type="dxa"/>
            <w:tcBorders>
              <w:right w:val="single" w:color="000000" w:sz="12" w:space="0"/>
            </w:tcBorders>
            <w:vAlign w:val="top"/>
          </w:tcPr>
          <w:p w14:paraId="39746F9F">
            <w:pPr>
              <w:pStyle w:val="6"/>
              <w:spacing w:before="69" w:line="198" w:lineRule="auto"/>
              <w:ind w:left="298"/>
            </w:pPr>
            <w:r>
              <w:rPr>
                <w:spacing w:val="-2"/>
              </w:rPr>
              <w:t>790</w:t>
            </w:r>
          </w:p>
        </w:tc>
      </w:tr>
      <w:tr w14:paraId="3520C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D43BF64">
            <w:pPr>
              <w:rPr>
                <w:rFonts w:ascii="Arial"/>
                <w:sz w:val="21"/>
              </w:rPr>
            </w:pPr>
          </w:p>
        </w:tc>
        <w:tc>
          <w:tcPr>
            <w:tcW w:w="285" w:type="dxa"/>
            <w:vMerge w:val="continue"/>
            <w:tcBorders>
              <w:top w:val="nil"/>
              <w:bottom w:val="nil"/>
            </w:tcBorders>
            <w:vAlign w:val="top"/>
          </w:tcPr>
          <w:p w14:paraId="1E0D8DF7">
            <w:pPr>
              <w:rPr>
                <w:rFonts w:ascii="Arial"/>
                <w:sz w:val="21"/>
              </w:rPr>
            </w:pPr>
          </w:p>
        </w:tc>
        <w:tc>
          <w:tcPr>
            <w:tcW w:w="1273" w:type="dxa"/>
            <w:vAlign w:val="top"/>
          </w:tcPr>
          <w:p w14:paraId="786DF9B4">
            <w:pPr>
              <w:pStyle w:val="6"/>
              <w:spacing w:before="71" w:line="196" w:lineRule="auto"/>
              <w:ind w:left="199"/>
            </w:pPr>
            <w:r>
              <w:rPr>
                <w:spacing w:val="-1"/>
              </w:rPr>
              <w:t>2020/5/21</w:t>
            </w:r>
          </w:p>
        </w:tc>
        <w:tc>
          <w:tcPr>
            <w:tcW w:w="880" w:type="dxa"/>
            <w:vAlign w:val="top"/>
          </w:tcPr>
          <w:p w14:paraId="4FE563A1">
            <w:pPr>
              <w:pStyle w:val="6"/>
              <w:spacing w:before="71" w:line="196" w:lineRule="auto"/>
              <w:ind w:left="267"/>
            </w:pPr>
            <w:r>
              <w:rPr>
                <w:spacing w:val="-6"/>
              </w:rPr>
              <w:t>16.3</w:t>
            </w:r>
          </w:p>
        </w:tc>
        <w:tc>
          <w:tcPr>
            <w:tcW w:w="880" w:type="dxa"/>
            <w:vAlign w:val="top"/>
          </w:tcPr>
          <w:p w14:paraId="7CF8C6AA">
            <w:pPr>
              <w:pStyle w:val="6"/>
              <w:spacing w:before="71" w:line="196" w:lineRule="auto"/>
              <w:ind w:left="252"/>
            </w:pPr>
            <w:r>
              <w:rPr>
                <w:spacing w:val="-2"/>
              </w:rPr>
              <w:t>7.24</w:t>
            </w:r>
          </w:p>
        </w:tc>
        <w:tc>
          <w:tcPr>
            <w:tcW w:w="880" w:type="dxa"/>
            <w:vAlign w:val="top"/>
          </w:tcPr>
          <w:p w14:paraId="7F0ADD97">
            <w:pPr>
              <w:pStyle w:val="6"/>
              <w:spacing w:before="71" w:line="196" w:lineRule="auto"/>
              <w:ind w:left="349"/>
            </w:pPr>
            <w:r>
              <w:rPr>
                <w:spacing w:val="-6"/>
              </w:rPr>
              <w:t>11</w:t>
            </w:r>
          </w:p>
        </w:tc>
        <w:tc>
          <w:tcPr>
            <w:tcW w:w="880" w:type="dxa"/>
            <w:vAlign w:val="top"/>
          </w:tcPr>
          <w:p w14:paraId="3660E679">
            <w:pPr>
              <w:pStyle w:val="6"/>
              <w:spacing w:before="71" w:line="196" w:lineRule="auto"/>
              <w:ind w:left="310"/>
            </w:pPr>
            <w:r>
              <w:rPr>
                <w:spacing w:val="-4"/>
              </w:rPr>
              <w:t>5.3</w:t>
            </w:r>
          </w:p>
        </w:tc>
        <w:tc>
          <w:tcPr>
            <w:tcW w:w="880" w:type="dxa"/>
            <w:vAlign w:val="top"/>
          </w:tcPr>
          <w:p w14:paraId="125E0080">
            <w:pPr>
              <w:pStyle w:val="6"/>
              <w:spacing w:before="71" w:line="196" w:lineRule="auto"/>
              <w:ind w:left="306"/>
            </w:pPr>
            <w:r>
              <w:rPr>
                <w:spacing w:val="-1"/>
              </w:rPr>
              <w:t>4.3</w:t>
            </w:r>
          </w:p>
        </w:tc>
        <w:tc>
          <w:tcPr>
            <w:tcW w:w="880" w:type="dxa"/>
            <w:vAlign w:val="top"/>
          </w:tcPr>
          <w:p w14:paraId="42F59C2C">
            <w:pPr>
              <w:pStyle w:val="6"/>
              <w:spacing w:before="71" w:line="196" w:lineRule="auto"/>
              <w:ind w:left="397"/>
            </w:pPr>
            <w:r>
              <w:t>8</w:t>
            </w:r>
          </w:p>
        </w:tc>
        <w:tc>
          <w:tcPr>
            <w:tcW w:w="880" w:type="dxa"/>
            <w:vAlign w:val="top"/>
          </w:tcPr>
          <w:p w14:paraId="12BBFAA9">
            <w:pPr>
              <w:pStyle w:val="6"/>
              <w:spacing w:before="71" w:line="196" w:lineRule="auto"/>
              <w:ind w:left="331"/>
            </w:pPr>
            <w:r>
              <w:rPr>
                <w:spacing w:val="-8"/>
              </w:rPr>
              <w:t>1.8</w:t>
            </w:r>
          </w:p>
        </w:tc>
        <w:tc>
          <w:tcPr>
            <w:tcW w:w="880" w:type="dxa"/>
            <w:vAlign w:val="top"/>
          </w:tcPr>
          <w:p w14:paraId="52B8E9AF">
            <w:pPr>
              <w:pStyle w:val="6"/>
              <w:spacing w:before="71" w:line="196" w:lineRule="auto"/>
              <w:ind w:left="212"/>
            </w:pPr>
            <w:r>
              <w:rPr>
                <w:spacing w:val="-2"/>
              </w:rPr>
              <w:t>0.133</w:t>
            </w:r>
          </w:p>
        </w:tc>
        <w:tc>
          <w:tcPr>
            <w:tcW w:w="880" w:type="dxa"/>
            <w:vAlign w:val="top"/>
          </w:tcPr>
          <w:p w14:paraId="7AA39074">
            <w:pPr>
              <w:pStyle w:val="6"/>
              <w:spacing w:before="71" w:line="196" w:lineRule="auto"/>
              <w:ind w:left="266"/>
            </w:pPr>
            <w:r>
              <w:rPr>
                <w:spacing w:val="-2"/>
              </w:rPr>
              <w:t>0.05</w:t>
            </w:r>
          </w:p>
        </w:tc>
        <w:tc>
          <w:tcPr>
            <w:tcW w:w="880" w:type="dxa"/>
            <w:vAlign w:val="top"/>
          </w:tcPr>
          <w:p w14:paraId="510D6239">
            <w:pPr>
              <w:pStyle w:val="6"/>
              <w:spacing w:before="71" w:line="196" w:lineRule="auto"/>
              <w:ind w:left="268"/>
            </w:pPr>
            <w:r>
              <w:rPr>
                <w:spacing w:val="-2"/>
              </w:rPr>
              <w:t>0.01</w:t>
            </w:r>
          </w:p>
        </w:tc>
        <w:tc>
          <w:tcPr>
            <w:tcW w:w="881" w:type="dxa"/>
            <w:vAlign w:val="top"/>
          </w:tcPr>
          <w:p w14:paraId="4AB62EB7">
            <w:pPr>
              <w:pStyle w:val="6"/>
              <w:spacing w:before="71" w:line="196" w:lineRule="auto"/>
              <w:ind w:left="206"/>
            </w:pPr>
            <w:r>
              <w:rPr>
                <w:spacing w:val="-2"/>
              </w:rPr>
              <w:t>0.05L</w:t>
            </w:r>
          </w:p>
        </w:tc>
        <w:tc>
          <w:tcPr>
            <w:tcW w:w="894" w:type="dxa"/>
            <w:tcBorders>
              <w:right w:val="single" w:color="000000" w:sz="12" w:space="0"/>
            </w:tcBorders>
            <w:vAlign w:val="top"/>
          </w:tcPr>
          <w:p w14:paraId="45EF746C">
            <w:pPr>
              <w:pStyle w:val="6"/>
              <w:spacing w:before="71" w:line="196" w:lineRule="auto"/>
              <w:ind w:left="298"/>
            </w:pPr>
            <w:r>
              <w:rPr>
                <w:spacing w:val="-2"/>
              </w:rPr>
              <w:t>760</w:t>
            </w:r>
          </w:p>
        </w:tc>
      </w:tr>
      <w:tr w14:paraId="0920C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5331F36F">
            <w:pPr>
              <w:rPr>
                <w:rFonts w:ascii="Arial"/>
                <w:sz w:val="21"/>
              </w:rPr>
            </w:pPr>
          </w:p>
        </w:tc>
        <w:tc>
          <w:tcPr>
            <w:tcW w:w="285" w:type="dxa"/>
            <w:vMerge w:val="continue"/>
            <w:tcBorders>
              <w:top w:val="nil"/>
            </w:tcBorders>
            <w:vAlign w:val="top"/>
          </w:tcPr>
          <w:p w14:paraId="5F80565B">
            <w:pPr>
              <w:rPr>
                <w:rFonts w:ascii="Arial"/>
                <w:sz w:val="21"/>
              </w:rPr>
            </w:pPr>
          </w:p>
        </w:tc>
        <w:tc>
          <w:tcPr>
            <w:tcW w:w="1273" w:type="dxa"/>
            <w:vAlign w:val="top"/>
          </w:tcPr>
          <w:p w14:paraId="6FD611CF">
            <w:pPr>
              <w:pStyle w:val="6"/>
              <w:spacing w:before="73" w:line="195" w:lineRule="auto"/>
              <w:ind w:left="199"/>
            </w:pPr>
            <w:r>
              <w:rPr>
                <w:spacing w:val="-1"/>
              </w:rPr>
              <w:t>2020/5/22</w:t>
            </w:r>
          </w:p>
        </w:tc>
        <w:tc>
          <w:tcPr>
            <w:tcW w:w="880" w:type="dxa"/>
            <w:vAlign w:val="top"/>
          </w:tcPr>
          <w:p w14:paraId="5659D11E">
            <w:pPr>
              <w:pStyle w:val="6"/>
              <w:spacing w:before="73" w:line="195" w:lineRule="auto"/>
              <w:ind w:left="267"/>
            </w:pPr>
            <w:r>
              <w:rPr>
                <w:spacing w:val="-6"/>
              </w:rPr>
              <w:t>17.1</w:t>
            </w:r>
          </w:p>
        </w:tc>
        <w:tc>
          <w:tcPr>
            <w:tcW w:w="880" w:type="dxa"/>
            <w:vAlign w:val="top"/>
          </w:tcPr>
          <w:p w14:paraId="0036D2B9">
            <w:pPr>
              <w:pStyle w:val="6"/>
              <w:spacing w:before="73" w:line="195" w:lineRule="auto"/>
              <w:ind w:left="252"/>
            </w:pPr>
            <w:r>
              <w:rPr>
                <w:spacing w:val="-2"/>
              </w:rPr>
              <w:t>7.23</w:t>
            </w:r>
          </w:p>
        </w:tc>
        <w:tc>
          <w:tcPr>
            <w:tcW w:w="880" w:type="dxa"/>
            <w:vAlign w:val="top"/>
          </w:tcPr>
          <w:p w14:paraId="4D6DED67">
            <w:pPr>
              <w:pStyle w:val="6"/>
              <w:spacing w:before="73" w:line="195" w:lineRule="auto"/>
              <w:ind w:left="390"/>
            </w:pPr>
            <w:r>
              <w:t>8</w:t>
            </w:r>
          </w:p>
        </w:tc>
        <w:tc>
          <w:tcPr>
            <w:tcW w:w="880" w:type="dxa"/>
            <w:vAlign w:val="top"/>
          </w:tcPr>
          <w:p w14:paraId="1FD77EB3">
            <w:pPr>
              <w:pStyle w:val="6"/>
              <w:spacing w:before="73" w:line="195" w:lineRule="auto"/>
              <w:ind w:left="310"/>
            </w:pPr>
            <w:r>
              <w:rPr>
                <w:spacing w:val="-4"/>
              </w:rPr>
              <w:t>5.7</w:t>
            </w:r>
          </w:p>
        </w:tc>
        <w:tc>
          <w:tcPr>
            <w:tcW w:w="880" w:type="dxa"/>
            <w:vAlign w:val="top"/>
          </w:tcPr>
          <w:p w14:paraId="2A62C5AC">
            <w:pPr>
              <w:pStyle w:val="6"/>
              <w:spacing w:before="73" w:line="195" w:lineRule="auto"/>
              <w:ind w:left="306"/>
            </w:pPr>
            <w:r>
              <w:rPr>
                <w:spacing w:val="-1"/>
              </w:rPr>
              <w:t>4.0</w:t>
            </w:r>
          </w:p>
        </w:tc>
        <w:tc>
          <w:tcPr>
            <w:tcW w:w="880" w:type="dxa"/>
            <w:vAlign w:val="top"/>
          </w:tcPr>
          <w:p w14:paraId="3A77CF13">
            <w:pPr>
              <w:pStyle w:val="6"/>
              <w:spacing w:before="73" w:line="195" w:lineRule="auto"/>
              <w:ind w:left="397"/>
            </w:pPr>
            <w:r>
              <w:t>8</w:t>
            </w:r>
          </w:p>
        </w:tc>
        <w:tc>
          <w:tcPr>
            <w:tcW w:w="880" w:type="dxa"/>
            <w:vAlign w:val="top"/>
          </w:tcPr>
          <w:p w14:paraId="42EBA7FC">
            <w:pPr>
              <w:pStyle w:val="6"/>
              <w:spacing w:before="73" w:line="195" w:lineRule="auto"/>
              <w:ind w:left="331"/>
            </w:pPr>
            <w:r>
              <w:rPr>
                <w:spacing w:val="-8"/>
              </w:rPr>
              <w:t>1.7</w:t>
            </w:r>
          </w:p>
        </w:tc>
        <w:tc>
          <w:tcPr>
            <w:tcW w:w="880" w:type="dxa"/>
            <w:vAlign w:val="top"/>
          </w:tcPr>
          <w:p w14:paraId="1BDD4910">
            <w:pPr>
              <w:pStyle w:val="6"/>
              <w:spacing w:before="73" w:line="195" w:lineRule="auto"/>
              <w:ind w:left="212"/>
            </w:pPr>
            <w:r>
              <w:rPr>
                <w:spacing w:val="-2"/>
              </w:rPr>
              <w:t>0.124</w:t>
            </w:r>
          </w:p>
        </w:tc>
        <w:tc>
          <w:tcPr>
            <w:tcW w:w="880" w:type="dxa"/>
            <w:vAlign w:val="top"/>
          </w:tcPr>
          <w:p w14:paraId="19D1A0E9">
            <w:pPr>
              <w:pStyle w:val="6"/>
              <w:spacing w:before="73" w:line="195" w:lineRule="auto"/>
              <w:ind w:left="266"/>
            </w:pPr>
            <w:r>
              <w:rPr>
                <w:spacing w:val="-2"/>
              </w:rPr>
              <w:t>0.04</w:t>
            </w:r>
          </w:p>
        </w:tc>
        <w:tc>
          <w:tcPr>
            <w:tcW w:w="880" w:type="dxa"/>
            <w:vAlign w:val="top"/>
          </w:tcPr>
          <w:p w14:paraId="085B1109">
            <w:pPr>
              <w:pStyle w:val="6"/>
              <w:spacing w:before="73" w:line="195" w:lineRule="auto"/>
              <w:ind w:left="268"/>
            </w:pPr>
            <w:r>
              <w:rPr>
                <w:spacing w:val="-2"/>
              </w:rPr>
              <w:t>0.02</w:t>
            </w:r>
          </w:p>
        </w:tc>
        <w:tc>
          <w:tcPr>
            <w:tcW w:w="881" w:type="dxa"/>
            <w:vAlign w:val="top"/>
          </w:tcPr>
          <w:p w14:paraId="32794E12">
            <w:pPr>
              <w:pStyle w:val="6"/>
              <w:spacing w:before="73" w:line="195" w:lineRule="auto"/>
              <w:ind w:left="206"/>
            </w:pPr>
            <w:r>
              <w:rPr>
                <w:spacing w:val="-2"/>
              </w:rPr>
              <w:t>0.05L</w:t>
            </w:r>
          </w:p>
        </w:tc>
        <w:tc>
          <w:tcPr>
            <w:tcW w:w="894" w:type="dxa"/>
            <w:tcBorders>
              <w:right w:val="single" w:color="000000" w:sz="12" w:space="0"/>
            </w:tcBorders>
            <w:vAlign w:val="top"/>
          </w:tcPr>
          <w:p w14:paraId="750E559E">
            <w:pPr>
              <w:pStyle w:val="6"/>
              <w:spacing w:before="73" w:line="195" w:lineRule="auto"/>
              <w:ind w:left="304"/>
            </w:pPr>
            <w:r>
              <w:rPr>
                <w:spacing w:val="-3"/>
              </w:rPr>
              <w:t>810</w:t>
            </w:r>
          </w:p>
        </w:tc>
      </w:tr>
      <w:tr w14:paraId="4F542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DED291E">
            <w:pPr>
              <w:rPr>
                <w:rFonts w:ascii="Arial"/>
                <w:sz w:val="21"/>
              </w:rPr>
            </w:pPr>
          </w:p>
        </w:tc>
        <w:tc>
          <w:tcPr>
            <w:tcW w:w="285" w:type="dxa"/>
            <w:vMerge w:val="restart"/>
            <w:tcBorders>
              <w:bottom w:val="nil"/>
            </w:tcBorders>
            <w:vAlign w:val="top"/>
          </w:tcPr>
          <w:p w14:paraId="44B3F573">
            <w:pPr>
              <w:pStyle w:val="6"/>
              <w:spacing w:before="92" w:line="222" w:lineRule="auto"/>
              <w:ind w:left="81"/>
            </w:pPr>
            <w:r>
              <w:t>3</w:t>
            </w:r>
          </w:p>
          <w:p w14:paraId="2852B5D0">
            <w:pPr>
              <w:spacing w:line="219" w:lineRule="auto"/>
              <w:ind w:left="29"/>
              <w:rPr>
                <w:rFonts w:ascii="宋体" w:hAnsi="宋体" w:eastAsia="宋体" w:cs="宋体"/>
                <w:sz w:val="21"/>
                <w:szCs w:val="21"/>
              </w:rPr>
            </w:pPr>
            <w:r>
              <w:rPr>
                <w:rFonts w:ascii="宋体" w:hAnsi="宋体" w:eastAsia="宋体" w:cs="宋体"/>
                <w:sz w:val="21"/>
                <w:szCs w:val="21"/>
              </w:rPr>
              <w:t>季</w:t>
            </w:r>
          </w:p>
          <w:p w14:paraId="5D1E835B">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210FFBA">
            <w:pPr>
              <w:pStyle w:val="6"/>
              <w:spacing w:before="74" w:line="193" w:lineRule="auto"/>
              <w:ind w:left="199"/>
            </w:pPr>
            <w:r>
              <w:rPr>
                <w:spacing w:val="-1"/>
              </w:rPr>
              <w:t>2020/8/20</w:t>
            </w:r>
          </w:p>
        </w:tc>
        <w:tc>
          <w:tcPr>
            <w:tcW w:w="880" w:type="dxa"/>
            <w:vAlign w:val="top"/>
          </w:tcPr>
          <w:p w14:paraId="304E6124">
            <w:pPr>
              <w:pStyle w:val="6"/>
              <w:spacing w:before="74" w:line="193" w:lineRule="auto"/>
              <w:ind w:left="267"/>
            </w:pPr>
            <w:r>
              <w:rPr>
                <w:spacing w:val="-6"/>
              </w:rPr>
              <w:t>16.4</w:t>
            </w:r>
          </w:p>
        </w:tc>
        <w:tc>
          <w:tcPr>
            <w:tcW w:w="880" w:type="dxa"/>
            <w:vAlign w:val="top"/>
          </w:tcPr>
          <w:p w14:paraId="41C7D0F6">
            <w:pPr>
              <w:pStyle w:val="6"/>
              <w:spacing w:before="74" w:line="193" w:lineRule="auto"/>
              <w:ind w:left="257"/>
            </w:pPr>
            <w:r>
              <w:rPr>
                <w:spacing w:val="-4"/>
              </w:rPr>
              <w:t>8.94</w:t>
            </w:r>
          </w:p>
        </w:tc>
        <w:tc>
          <w:tcPr>
            <w:tcW w:w="880" w:type="dxa"/>
            <w:vAlign w:val="top"/>
          </w:tcPr>
          <w:p w14:paraId="03B7C05D">
            <w:pPr>
              <w:pStyle w:val="6"/>
              <w:spacing w:before="78" w:line="186" w:lineRule="auto"/>
              <w:ind w:left="317"/>
            </w:pPr>
            <w:r>
              <w:rPr>
                <w:spacing w:val="-1"/>
              </w:rPr>
              <w:t>4L</w:t>
            </w:r>
          </w:p>
        </w:tc>
        <w:tc>
          <w:tcPr>
            <w:tcW w:w="880" w:type="dxa"/>
            <w:vAlign w:val="top"/>
          </w:tcPr>
          <w:p w14:paraId="045D322F">
            <w:pPr>
              <w:pStyle w:val="6"/>
              <w:spacing w:before="74" w:line="193" w:lineRule="auto"/>
              <w:ind w:left="303"/>
            </w:pPr>
            <w:r>
              <w:rPr>
                <w:spacing w:val="-1"/>
              </w:rPr>
              <w:t>4.3</w:t>
            </w:r>
          </w:p>
        </w:tc>
        <w:tc>
          <w:tcPr>
            <w:tcW w:w="880" w:type="dxa"/>
            <w:vAlign w:val="top"/>
          </w:tcPr>
          <w:p w14:paraId="1E7C3943">
            <w:pPr>
              <w:pStyle w:val="6"/>
              <w:spacing w:before="74" w:line="193" w:lineRule="auto"/>
              <w:ind w:left="311"/>
            </w:pPr>
            <w:r>
              <w:rPr>
                <w:spacing w:val="-3"/>
              </w:rPr>
              <w:t>3.0</w:t>
            </w:r>
          </w:p>
        </w:tc>
        <w:tc>
          <w:tcPr>
            <w:tcW w:w="880" w:type="dxa"/>
            <w:vAlign w:val="top"/>
          </w:tcPr>
          <w:p w14:paraId="57E718E1">
            <w:pPr>
              <w:pStyle w:val="6"/>
              <w:spacing w:before="74" w:line="193" w:lineRule="auto"/>
              <w:ind w:left="391"/>
            </w:pPr>
            <w:r>
              <w:t>7</w:t>
            </w:r>
          </w:p>
        </w:tc>
        <w:tc>
          <w:tcPr>
            <w:tcW w:w="880" w:type="dxa"/>
            <w:vAlign w:val="top"/>
          </w:tcPr>
          <w:p w14:paraId="0149C2AF">
            <w:pPr>
              <w:pStyle w:val="6"/>
              <w:spacing w:before="74" w:line="193" w:lineRule="auto"/>
              <w:ind w:left="331"/>
            </w:pPr>
            <w:r>
              <w:rPr>
                <w:spacing w:val="-8"/>
              </w:rPr>
              <w:t>1.4</w:t>
            </w:r>
          </w:p>
        </w:tc>
        <w:tc>
          <w:tcPr>
            <w:tcW w:w="880" w:type="dxa"/>
            <w:vAlign w:val="top"/>
          </w:tcPr>
          <w:p w14:paraId="246772E3">
            <w:pPr>
              <w:pStyle w:val="6"/>
              <w:spacing w:before="74" w:line="193" w:lineRule="auto"/>
              <w:ind w:left="212"/>
            </w:pPr>
            <w:r>
              <w:rPr>
                <w:spacing w:val="-2"/>
              </w:rPr>
              <w:t>0.180</w:t>
            </w:r>
          </w:p>
        </w:tc>
        <w:tc>
          <w:tcPr>
            <w:tcW w:w="880" w:type="dxa"/>
            <w:vAlign w:val="top"/>
          </w:tcPr>
          <w:p w14:paraId="6586D7F5">
            <w:pPr>
              <w:pStyle w:val="6"/>
              <w:spacing w:before="74" w:line="193" w:lineRule="auto"/>
              <w:ind w:left="266"/>
            </w:pPr>
            <w:r>
              <w:rPr>
                <w:spacing w:val="-2"/>
              </w:rPr>
              <w:t>0.02</w:t>
            </w:r>
          </w:p>
        </w:tc>
        <w:tc>
          <w:tcPr>
            <w:tcW w:w="880" w:type="dxa"/>
            <w:vAlign w:val="top"/>
          </w:tcPr>
          <w:p w14:paraId="1608CC46">
            <w:pPr>
              <w:pStyle w:val="6"/>
              <w:spacing w:before="74" w:line="193" w:lineRule="auto"/>
              <w:ind w:left="268"/>
            </w:pPr>
            <w:r>
              <w:rPr>
                <w:spacing w:val="-2"/>
              </w:rPr>
              <w:t>0.01</w:t>
            </w:r>
          </w:p>
        </w:tc>
        <w:tc>
          <w:tcPr>
            <w:tcW w:w="881" w:type="dxa"/>
            <w:vAlign w:val="top"/>
          </w:tcPr>
          <w:p w14:paraId="615B20B4">
            <w:pPr>
              <w:pStyle w:val="6"/>
              <w:spacing w:before="74" w:line="193" w:lineRule="auto"/>
              <w:ind w:left="206"/>
            </w:pPr>
            <w:r>
              <w:rPr>
                <w:spacing w:val="-2"/>
              </w:rPr>
              <w:t>0.05L</w:t>
            </w:r>
          </w:p>
        </w:tc>
        <w:tc>
          <w:tcPr>
            <w:tcW w:w="894" w:type="dxa"/>
            <w:tcBorders>
              <w:right w:val="single" w:color="000000" w:sz="12" w:space="0"/>
            </w:tcBorders>
            <w:vAlign w:val="top"/>
          </w:tcPr>
          <w:p w14:paraId="0FDFAFD8">
            <w:pPr>
              <w:pStyle w:val="6"/>
              <w:spacing w:before="74" w:line="193" w:lineRule="auto"/>
              <w:ind w:left="346"/>
            </w:pPr>
            <w:r>
              <w:rPr>
                <w:spacing w:val="-1"/>
              </w:rPr>
              <w:t>40</w:t>
            </w:r>
          </w:p>
        </w:tc>
      </w:tr>
      <w:tr w14:paraId="3B9D5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6436ADF7">
            <w:pPr>
              <w:rPr>
                <w:rFonts w:ascii="Arial"/>
                <w:sz w:val="21"/>
              </w:rPr>
            </w:pPr>
          </w:p>
        </w:tc>
        <w:tc>
          <w:tcPr>
            <w:tcW w:w="285" w:type="dxa"/>
            <w:vMerge w:val="continue"/>
            <w:tcBorders>
              <w:top w:val="nil"/>
              <w:bottom w:val="nil"/>
            </w:tcBorders>
            <w:vAlign w:val="top"/>
          </w:tcPr>
          <w:p w14:paraId="75E53EF3">
            <w:pPr>
              <w:rPr>
                <w:rFonts w:ascii="Arial"/>
                <w:sz w:val="21"/>
              </w:rPr>
            </w:pPr>
          </w:p>
        </w:tc>
        <w:tc>
          <w:tcPr>
            <w:tcW w:w="1273" w:type="dxa"/>
            <w:vAlign w:val="top"/>
          </w:tcPr>
          <w:p w14:paraId="01688CA3">
            <w:pPr>
              <w:pStyle w:val="6"/>
              <w:spacing w:before="76" w:line="192" w:lineRule="auto"/>
              <w:ind w:left="199"/>
            </w:pPr>
            <w:r>
              <w:rPr>
                <w:spacing w:val="-1"/>
              </w:rPr>
              <w:t>2020/8/21</w:t>
            </w:r>
          </w:p>
        </w:tc>
        <w:tc>
          <w:tcPr>
            <w:tcW w:w="880" w:type="dxa"/>
            <w:vAlign w:val="top"/>
          </w:tcPr>
          <w:p w14:paraId="7D343519">
            <w:pPr>
              <w:pStyle w:val="6"/>
              <w:spacing w:before="76" w:line="192" w:lineRule="auto"/>
              <w:ind w:left="267"/>
            </w:pPr>
            <w:r>
              <w:rPr>
                <w:spacing w:val="-6"/>
              </w:rPr>
              <w:t>16.1</w:t>
            </w:r>
          </w:p>
        </w:tc>
        <w:tc>
          <w:tcPr>
            <w:tcW w:w="880" w:type="dxa"/>
            <w:vAlign w:val="top"/>
          </w:tcPr>
          <w:p w14:paraId="0B8CFC17">
            <w:pPr>
              <w:pStyle w:val="6"/>
              <w:spacing w:before="76" w:line="192" w:lineRule="auto"/>
              <w:ind w:left="257"/>
            </w:pPr>
            <w:r>
              <w:rPr>
                <w:spacing w:val="-4"/>
              </w:rPr>
              <w:t>8.89</w:t>
            </w:r>
          </w:p>
        </w:tc>
        <w:tc>
          <w:tcPr>
            <w:tcW w:w="880" w:type="dxa"/>
            <w:vAlign w:val="top"/>
          </w:tcPr>
          <w:p w14:paraId="1ED28586">
            <w:pPr>
              <w:pStyle w:val="6"/>
              <w:spacing w:before="80" w:line="186" w:lineRule="auto"/>
              <w:ind w:left="317"/>
            </w:pPr>
            <w:r>
              <w:rPr>
                <w:spacing w:val="-1"/>
              </w:rPr>
              <w:t>4L</w:t>
            </w:r>
          </w:p>
        </w:tc>
        <w:tc>
          <w:tcPr>
            <w:tcW w:w="880" w:type="dxa"/>
            <w:vAlign w:val="top"/>
          </w:tcPr>
          <w:p w14:paraId="265B9C91">
            <w:pPr>
              <w:pStyle w:val="6"/>
              <w:spacing w:before="76" w:line="192" w:lineRule="auto"/>
              <w:ind w:left="303"/>
            </w:pPr>
            <w:r>
              <w:rPr>
                <w:spacing w:val="-1"/>
              </w:rPr>
              <w:t>4.6</w:t>
            </w:r>
          </w:p>
        </w:tc>
        <w:tc>
          <w:tcPr>
            <w:tcW w:w="880" w:type="dxa"/>
            <w:vAlign w:val="top"/>
          </w:tcPr>
          <w:p w14:paraId="3DDAD683">
            <w:pPr>
              <w:pStyle w:val="6"/>
              <w:spacing w:before="76" w:line="192" w:lineRule="auto"/>
              <w:ind w:left="311"/>
            </w:pPr>
            <w:r>
              <w:rPr>
                <w:spacing w:val="-3"/>
              </w:rPr>
              <w:t>3.2</w:t>
            </w:r>
          </w:p>
        </w:tc>
        <w:tc>
          <w:tcPr>
            <w:tcW w:w="880" w:type="dxa"/>
            <w:vAlign w:val="top"/>
          </w:tcPr>
          <w:p w14:paraId="7C7DCC20">
            <w:pPr>
              <w:pStyle w:val="6"/>
              <w:spacing w:before="76" w:line="192" w:lineRule="auto"/>
              <w:ind w:left="393"/>
            </w:pPr>
            <w:r>
              <w:t>6</w:t>
            </w:r>
          </w:p>
        </w:tc>
        <w:tc>
          <w:tcPr>
            <w:tcW w:w="880" w:type="dxa"/>
            <w:vAlign w:val="top"/>
          </w:tcPr>
          <w:p w14:paraId="0773C20B">
            <w:pPr>
              <w:pStyle w:val="6"/>
              <w:spacing w:before="76" w:line="192" w:lineRule="auto"/>
              <w:ind w:left="331"/>
            </w:pPr>
            <w:r>
              <w:rPr>
                <w:spacing w:val="-8"/>
              </w:rPr>
              <w:t>1.2</w:t>
            </w:r>
          </w:p>
        </w:tc>
        <w:tc>
          <w:tcPr>
            <w:tcW w:w="880" w:type="dxa"/>
            <w:vAlign w:val="top"/>
          </w:tcPr>
          <w:p w14:paraId="0C4CF335">
            <w:pPr>
              <w:pStyle w:val="6"/>
              <w:spacing w:before="76" w:line="192" w:lineRule="auto"/>
              <w:ind w:left="212"/>
            </w:pPr>
            <w:r>
              <w:rPr>
                <w:spacing w:val="-2"/>
              </w:rPr>
              <w:t>0.186</w:t>
            </w:r>
          </w:p>
        </w:tc>
        <w:tc>
          <w:tcPr>
            <w:tcW w:w="880" w:type="dxa"/>
            <w:vAlign w:val="top"/>
          </w:tcPr>
          <w:p w14:paraId="07A0C6F5">
            <w:pPr>
              <w:pStyle w:val="6"/>
              <w:spacing w:before="76" w:line="192" w:lineRule="auto"/>
              <w:ind w:left="266"/>
            </w:pPr>
            <w:r>
              <w:rPr>
                <w:spacing w:val="-2"/>
              </w:rPr>
              <w:t>0.01</w:t>
            </w:r>
          </w:p>
        </w:tc>
        <w:tc>
          <w:tcPr>
            <w:tcW w:w="880" w:type="dxa"/>
            <w:vAlign w:val="top"/>
          </w:tcPr>
          <w:p w14:paraId="6ABDDF5C">
            <w:pPr>
              <w:pStyle w:val="6"/>
              <w:spacing w:before="76" w:line="192" w:lineRule="auto"/>
              <w:ind w:left="268"/>
            </w:pPr>
            <w:r>
              <w:rPr>
                <w:spacing w:val="-2"/>
              </w:rPr>
              <w:t>0.02</w:t>
            </w:r>
          </w:p>
        </w:tc>
        <w:tc>
          <w:tcPr>
            <w:tcW w:w="881" w:type="dxa"/>
            <w:vAlign w:val="top"/>
          </w:tcPr>
          <w:p w14:paraId="6C07DBFD">
            <w:pPr>
              <w:pStyle w:val="6"/>
              <w:spacing w:before="76" w:line="192" w:lineRule="auto"/>
              <w:ind w:left="206"/>
            </w:pPr>
            <w:r>
              <w:rPr>
                <w:spacing w:val="-2"/>
              </w:rPr>
              <w:t>0.05L</w:t>
            </w:r>
          </w:p>
        </w:tc>
        <w:tc>
          <w:tcPr>
            <w:tcW w:w="894" w:type="dxa"/>
            <w:tcBorders>
              <w:right w:val="single" w:color="000000" w:sz="12" w:space="0"/>
            </w:tcBorders>
            <w:vAlign w:val="top"/>
          </w:tcPr>
          <w:p w14:paraId="0EBA0605">
            <w:pPr>
              <w:pStyle w:val="6"/>
              <w:spacing w:before="76" w:line="192" w:lineRule="auto"/>
              <w:ind w:left="351"/>
            </w:pPr>
            <w:r>
              <w:rPr>
                <w:spacing w:val="-3"/>
              </w:rPr>
              <w:t>60</w:t>
            </w:r>
          </w:p>
        </w:tc>
      </w:tr>
      <w:tr w14:paraId="02B68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6EC60CD4">
            <w:pPr>
              <w:rPr>
                <w:rFonts w:ascii="Arial"/>
                <w:sz w:val="21"/>
              </w:rPr>
            </w:pPr>
          </w:p>
        </w:tc>
        <w:tc>
          <w:tcPr>
            <w:tcW w:w="285" w:type="dxa"/>
            <w:vMerge w:val="continue"/>
            <w:tcBorders>
              <w:top w:val="nil"/>
            </w:tcBorders>
            <w:vAlign w:val="top"/>
          </w:tcPr>
          <w:p w14:paraId="14232EAF">
            <w:pPr>
              <w:rPr>
                <w:rFonts w:ascii="Arial"/>
                <w:sz w:val="21"/>
              </w:rPr>
            </w:pPr>
          </w:p>
        </w:tc>
        <w:tc>
          <w:tcPr>
            <w:tcW w:w="1273" w:type="dxa"/>
            <w:vAlign w:val="top"/>
          </w:tcPr>
          <w:p w14:paraId="5461B6B6">
            <w:pPr>
              <w:pStyle w:val="6"/>
              <w:spacing w:before="76" w:line="192" w:lineRule="auto"/>
              <w:ind w:left="199"/>
            </w:pPr>
            <w:r>
              <w:rPr>
                <w:spacing w:val="-1"/>
              </w:rPr>
              <w:t>2020/8/22</w:t>
            </w:r>
          </w:p>
        </w:tc>
        <w:tc>
          <w:tcPr>
            <w:tcW w:w="880" w:type="dxa"/>
            <w:vAlign w:val="top"/>
          </w:tcPr>
          <w:p w14:paraId="13C3E68B">
            <w:pPr>
              <w:pStyle w:val="6"/>
              <w:spacing w:before="76" w:line="192" w:lineRule="auto"/>
              <w:ind w:left="267"/>
            </w:pPr>
            <w:r>
              <w:rPr>
                <w:spacing w:val="-6"/>
              </w:rPr>
              <w:t>15.9</w:t>
            </w:r>
          </w:p>
        </w:tc>
        <w:tc>
          <w:tcPr>
            <w:tcW w:w="880" w:type="dxa"/>
            <w:vAlign w:val="top"/>
          </w:tcPr>
          <w:p w14:paraId="457ADB51">
            <w:pPr>
              <w:pStyle w:val="6"/>
              <w:spacing w:before="76" w:line="192" w:lineRule="auto"/>
              <w:ind w:left="257"/>
            </w:pPr>
            <w:r>
              <w:rPr>
                <w:spacing w:val="-4"/>
              </w:rPr>
              <w:t>8.83</w:t>
            </w:r>
          </w:p>
        </w:tc>
        <w:tc>
          <w:tcPr>
            <w:tcW w:w="880" w:type="dxa"/>
            <w:vAlign w:val="top"/>
          </w:tcPr>
          <w:p w14:paraId="007061CA">
            <w:pPr>
              <w:pStyle w:val="6"/>
              <w:spacing w:before="80" w:line="186" w:lineRule="auto"/>
              <w:ind w:left="317"/>
            </w:pPr>
            <w:r>
              <w:rPr>
                <w:spacing w:val="-1"/>
              </w:rPr>
              <w:t>4L</w:t>
            </w:r>
          </w:p>
        </w:tc>
        <w:tc>
          <w:tcPr>
            <w:tcW w:w="880" w:type="dxa"/>
            <w:vAlign w:val="top"/>
          </w:tcPr>
          <w:p w14:paraId="5DED30E4">
            <w:pPr>
              <w:pStyle w:val="6"/>
              <w:spacing w:before="76" w:line="192" w:lineRule="auto"/>
              <w:ind w:left="303"/>
            </w:pPr>
            <w:r>
              <w:rPr>
                <w:spacing w:val="-1"/>
              </w:rPr>
              <w:t>4.8</w:t>
            </w:r>
          </w:p>
        </w:tc>
        <w:tc>
          <w:tcPr>
            <w:tcW w:w="880" w:type="dxa"/>
            <w:vAlign w:val="top"/>
          </w:tcPr>
          <w:p w14:paraId="3E0A218B">
            <w:pPr>
              <w:pStyle w:val="6"/>
              <w:spacing w:before="76" w:line="192" w:lineRule="auto"/>
              <w:ind w:left="307"/>
            </w:pPr>
            <w:r>
              <w:rPr>
                <w:spacing w:val="-2"/>
              </w:rPr>
              <w:t>2.7</w:t>
            </w:r>
          </w:p>
        </w:tc>
        <w:tc>
          <w:tcPr>
            <w:tcW w:w="880" w:type="dxa"/>
            <w:vAlign w:val="top"/>
          </w:tcPr>
          <w:p w14:paraId="09E81EB8">
            <w:pPr>
              <w:pStyle w:val="6"/>
              <w:spacing w:before="76" w:line="192" w:lineRule="auto"/>
              <w:ind w:left="391"/>
            </w:pPr>
            <w:r>
              <w:t>7</w:t>
            </w:r>
          </w:p>
        </w:tc>
        <w:tc>
          <w:tcPr>
            <w:tcW w:w="880" w:type="dxa"/>
            <w:vAlign w:val="top"/>
          </w:tcPr>
          <w:p w14:paraId="5A0D7295">
            <w:pPr>
              <w:pStyle w:val="6"/>
              <w:spacing w:before="76" w:line="192" w:lineRule="auto"/>
              <w:ind w:left="331"/>
            </w:pPr>
            <w:r>
              <w:rPr>
                <w:spacing w:val="-8"/>
              </w:rPr>
              <w:t>1,4</w:t>
            </w:r>
          </w:p>
        </w:tc>
        <w:tc>
          <w:tcPr>
            <w:tcW w:w="880" w:type="dxa"/>
            <w:vAlign w:val="top"/>
          </w:tcPr>
          <w:p w14:paraId="621E1DD6">
            <w:pPr>
              <w:pStyle w:val="6"/>
              <w:spacing w:before="76" w:line="192" w:lineRule="auto"/>
              <w:ind w:left="212"/>
            </w:pPr>
            <w:r>
              <w:rPr>
                <w:spacing w:val="-2"/>
              </w:rPr>
              <w:t>0.174</w:t>
            </w:r>
          </w:p>
        </w:tc>
        <w:tc>
          <w:tcPr>
            <w:tcW w:w="880" w:type="dxa"/>
            <w:vAlign w:val="top"/>
          </w:tcPr>
          <w:p w14:paraId="3B6F300A">
            <w:pPr>
              <w:pStyle w:val="6"/>
              <w:spacing w:before="76" w:line="192" w:lineRule="auto"/>
              <w:ind w:left="266"/>
            </w:pPr>
            <w:r>
              <w:rPr>
                <w:spacing w:val="-2"/>
              </w:rPr>
              <w:t>0.02</w:t>
            </w:r>
          </w:p>
        </w:tc>
        <w:tc>
          <w:tcPr>
            <w:tcW w:w="880" w:type="dxa"/>
            <w:vAlign w:val="top"/>
          </w:tcPr>
          <w:p w14:paraId="292F8497">
            <w:pPr>
              <w:pStyle w:val="6"/>
              <w:spacing w:before="76" w:line="192" w:lineRule="auto"/>
              <w:ind w:left="268"/>
            </w:pPr>
            <w:r>
              <w:rPr>
                <w:spacing w:val="-2"/>
              </w:rPr>
              <w:t>0.01</w:t>
            </w:r>
          </w:p>
        </w:tc>
        <w:tc>
          <w:tcPr>
            <w:tcW w:w="881" w:type="dxa"/>
            <w:vAlign w:val="top"/>
          </w:tcPr>
          <w:p w14:paraId="3E5E1117">
            <w:pPr>
              <w:pStyle w:val="6"/>
              <w:spacing w:before="76" w:line="192" w:lineRule="auto"/>
              <w:ind w:left="206"/>
            </w:pPr>
            <w:r>
              <w:rPr>
                <w:spacing w:val="-2"/>
              </w:rPr>
              <w:t>0.05L</w:t>
            </w:r>
          </w:p>
        </w:tc>
        <w:tc>
          <w:tcPr>
            <w:tcW w:w="894" w:type="dxa"/>
            <w:tcBorders>
              <w:right w:val="single" w:color="000000" w:sz="12" w:space="0"/>
            </w:tcBorders>
            <w:vAlign w:val="top"/>
          </w:tcPr>
          <w:p w14:paraId="4C3321E5">
            <w:pPr>
              <w:pStyle w:val="6"/>
              <w:spacing w:before="76" w:line="192" w:lineRule="auto"/>
              <w:ind w:left="352"/>
            </w:pPr>
            <w:r>
              <w:rPr>
                <w:spacing w:val="-3"/>
              </w:rPr>
              <w:t>50</w:t>
            </w:r>
          </w:p>
        </w:tc>
      </w:tr>
      <w:tr w14:paraId="20957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01A40DA8">
            <w:pPr>
              <w:rPr>
                <w:rFonts w:ascii="Arial"/>
                <w:sz w:val="21"/>
              </w:rPr>
            </w:pPr>
          </w:p>
        </w:tc>
        <w:tc>
          <w:tcPr>
            <w:tcW w:w="285" w:type="dxa"/>
            <w:vMerge w:val="restart"/>
            <w:tcBorders>
              <w:bottom w:val="nil"/>
            </w:tcBorders>
            <w:vAlign w:val="top"/>
          </w:tcPr>
          <w:p w14:paraId="52CC089F">
            <w:pPr>
              <w:pStyle w:val="6"/>
              <w:spacing w:before="95" w:line="222" w:lineRule="auto"/>
              <w:ind w:left="76"/>
            </w:pPr>
            <w:r>
              <w:t>4</w:t>
            </w:r>
          </w:p>
          <w:p w14:paraId="442E4A1A">
            <w:pPr>
              <w:spacing w:line="219" w:lineRule="auto"/>
              <w:ind w:left="29"/>
              <w:rPr>
                <w:rFonts w:ascii="宋体" w:hAnsi="宋体" w:eastAsia="宋体" w:cs="宋体"/>
                <w:sz w:val="21"/>
                <w:szCs w:val="21"/>
              </w:rPr>
            </w:pPr>
            <w:r>
              <w:rPr>
                <w:rFonts w:ascii="宋体" w:hAnsi="宋体" w:eastAsia="宋体" w:cs="宋体"/>
                <w:sz w:val="21"/>
                <w:szCs w:val="21"/>
              </w:rPr>
              <w:t>季</w:t>
            </w:r>
          </w:p>
          <w:p w14:paraId="39837DFB">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4261C8D">
            <w:pPr>
              <w:pStyle w:val="6"/>
              <w:spacing w:before="76" w:line="192" w:lineRule="auto"/>
              <w:ind w:left="147"/>
            </w:pPr>
            <w:r>
              <w:rPr>
                <w:spacing w:val="-1"/>
              </w:rPr>
              <w:t>2020/11/15</w:t>
            </w:r>
          </w:p>
        </w:tc>
        <w:tc>
          <w:tcPr>
            <w:tcW w:w="880" w:type="dxa"/>
            <w:vAlign w:val="top"/>
          </w:tcPr>
          <w:p w14:paraId="3F250DCB">
            <w:pPr>
              <w:pStyle w:val="6"/>
              <w:spacing w:before="76" w:line="192" w:lineRule="auto"/>
              <w:ind w:left="267"/>
            </w:pPr>
            <w:r>
              <w:rPr>
                <w:spacing w:val="-6"/>
              </w:rPr>
              <w:t>14.1</w:t>
            </w:r>
          </w:p>
        </w:tc>
        <w:tc>
          <w:tcPr>
            <w:tcW w:w="880" w:type="dxa"/>
            <w:vAlign w:val="top"/>
          </w:tcPr>
          <w:p w14:paraId="49BE5FC4">
            <w:pPr>
              <w:pStyle w:val="6"/>
              <w:spacing w:before="76" w:line="192" w:lineRule="auto"/>
              <w:ind w:left="257"/>
            </w:pPr>
            <w:r>
              <w:rPr>
                <w:spacing w:val="-4"/>
              </w:rPr>
              <w:t>8.69</w:t>
            </w:r>
          </w:p>
        </w:tc>
        <w:tc>
          <w:tcPr>
            <w:tcW w:w="880" w:type="dxa"/>
            <w:vAlign w:val="top"/>
          </w:tcPr>
          <w:p w14:paraId="78FD3FDC">
            <w:pPr>
              <w:pStyle w:val="6"/>
              <w:spacing w:before="76" w:line="192" w:lineRule="auto"/>
              <w:ind w:left="390"/>
            </w:pPr>
            <w:r>
              <w:t>8</w:t>
            </w:r>
          </w:p>
        </w:tc>
        <w:tc>
          <w:tcPr>
            <w:tcW w:w="880" w:type="dxa"/>
            <w:vAlign w:val="top"/>
          </w:tcPr>
          <w:p w14:paraId="40504461">
            <w:pPr>
              <w:pStyle w:val="6"/>
              <w:spacing w:before="76" w:line="192" w:lineRule="auto"/>
              <w:ind w:left="303"/>
            </w:pPr>
            <w:r>
              <w:rPr>
                <w:spacing w:val="-1"/>
              </w:rPr>
              <w:t>4.8</w:t>
            </w:r>
          </w:p>
        </w:tc>
        <w:tc>
          <w:tcPr>
            <w:tcW w:w="880" w:type="dxa"/>
            <w:vAlign w:val="top"/>
          </w:tcPr>
          <w:p w14:paraId="5D7CB415">
            <w:pPr>
              <w:pStyle w:val="6"/>
              <w:spacing w:before="76" w:line="192" w:lineRule="auto"/>
              <w:ind w:left="307"/>
            </w:pPr>
            <w:r>
              <w:rPr>
                <w:spacing w:val="-2"/>
              </w:rPr>
              <w:t>2.2</w:t>
            </w:r>
          </w:p>
        </w:tc>
        <w:tc>
          <w:tcPr>
            <w:tcW w:w="880" w:type="dxa"/>
            <w:vAlign w:val="top"/>
          </w:tcPr>
          <w:p w14:paraId="23BDCD76">
            <w:pPr>
              <w:pStyle w:val="6"/>
              <w:spacing w:before="76" w:line="192" w:lineRule="auto"/>
              <w:ind w:left="391"/>
            </w:pPr>
            <w:r>
              <w:t>7</w:t>
            </w:r>
          </w:p>
        </w:tc>
        <w:tc>
          <w:tcPr>
            <w:tcW w:w="880" w:type="dxa"/>
            <w:vAlign w:val="top"/>
          </w:tcPr>
          <w:p w14:paraId="5409123D">
            <w:pPr>
              <w:pStyle w:val="6"/>
              <w:spacing w:before="76" w:line="192" w:lineRule="auto"/>
              <w:ind w:left="331"/>
            </w:pPr>
            <w:r>
              <w:rPr>
                <w:spacing w:val="-8"/>
              </w:rPr>
              <w:t>1.4</w:t>
            </w:r>
          </w:p>
        </w:tc>
        <w:tc>
          <w:tcPr>
            <w:tcW w:w="880" w:type="dxa"/>
            <w:vAlign w:val="top"/>
          </w:tcPr>
          <w:p w14:paraId="0F9BBA9B">
            <w:pPr>
              <w:pStyle w:val="6"/>
              <w:spacing w:before="76" w:line="192" w:lineRule="auto"/>
              <w:ind w:left="212"/>
            </w:pPr>
            <w:r>
              <w:rPr>
                <w:spacing w:val="-2"/>
              </w:rPr>
              <w:t>0.123</w:t>
            </w:r>
          </w:p>
        </w:tc>
        <w:tc>
          <w:tcPr>
            <w:tcW w:w="880" w:type="dxa"/>
            <w:vAlign w:val="top"/>
          </w:tcPr>
          <w:p w14:paraId="314494F2">
            <w:pPr>
              <w:pStyle w:val="6"/>
              <w:spacing w:before="76" w:line="192" w:lineRule="auto"/>
              <w:ind w:left="266"/>
            </w:pPr>
            <w:r>
              <w:rPr>
                <w:spacing w:val="-2"/>
              </w:rPr>
              <w:t>0.03</w:t>
            </w:r>
          </w:p>
        </w:tc>
        <w:tc>
          <w:tcPr>
            <w:tcW w:w="880" w:type="dxa"/>
            <w:vAlign w:val="top"/>
          </w:tcPr>
          <w:p w14:paraId="4218B146">
            <w:pPr>
              <w:pStyle w:val="6"/>
              <w:spacing w:before="76" w:line="192" w:lineRule="auto"/>
              <w:ind w:left="268"/>
            </w:pPr>
            <w:r>
              <w:rPr>
                <w:spacing w:val="-2"/>
              </w:rPr>
              <w:t>0.02</w:t>
            </w:r>
          </w:p>
        </w:tc>
        <w:tc>
          <w:tcPr>
            <w:tcW w:w="881" w:type="dxa"/>
            <w:vAlign w:val="top"/>
          </w:tcPr>
          <w:p w14:paraId="69C29B0C">
            <w:pPr>
              <w:pStyle w:val="6"/>
              <w:spacing w:before="76" w:line="192" w:lineRule="auto"/>
              <w:ind w:left="206"/>
            </w:pPr>
            <w:r>
              <w:rPr>
                <w:spacing w:val="-2"/>
              </w:rPr>
              <w:t>0.05L</w:t>
            </w:r>
          </w:p>
        </w:tc>
        <w:tc>
          <w:tcPr>
            <w:tcW w:w="894" w:type="dxa"/>
            <w:tcBorders>
              <w:right w:val="single" w:color="000000" w:sz="12" w:space="0"/>
            </w:tcBorders>
            <w:vAlign w:val="top"/>
          </w:tcPr>
          <w:p w14:paraId="21FC2A36">
            <w:pPr>
              <w:pStyle w:val="6"/>
              <w:spacing w:before="76" w:line="192" w:lineRule="auto"/>
              <w:ind w:left="295"/>
            </w:pPr>
            <w:r>
              <w:rPr>
                <w:spacing w:val="-1"/>
              </w:rPr>
              <w:t>220</w:t>
            </w:r>
          </w:p>
        </w:tc>
      </w:tr>
      <w:tr w14:paraId="1F493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CA4CAD2">
            <w:pPr>
              <w:rPr>
                <w:rFonts w:ascii="Arial"/>
                <w:sz w:val="21"/>
              </w:rPr>
            </w:pPr>
          </w:p>
        </w:tc>
        <w:tc>
          <w:tcPr>
            <w:tcW w:w="285" w:type="dxa"/>
            <w:vMerge w:val="continue"/>
            <w:tcBorders>
              <w:top w:val="nil"/>
              <w:bottom w:val="nil"/>
            </w:tcBorders>
            <w:vAlign w:val="top"/>
          </w:tcPr>
          <w:p w14:paraId="5E30F857">
            <w:pPr>
              <w:rPr>
                <w:rFonts w:ascii="Arial"/>
                <w:sz w:val="21"/>
              </w:rPr>
            </w:pPr>
          </w:p>
        </w:tc>
        <w:tc>
          <w:tcPr>
            <w:tcW w:w="1273" w:type="dxa"/>
            <w:vAlign w:val="top"/>
          </w:tcPr>
          <w:p w14:paraId="48D127CC">
            <w:pPr>
              <w:pStyle w:val="6"/>
              <w:spacing w:before="77" w:line="190" w:lineRule="auto"/>
              <w:ind w:left="147"/>
            </w:pPr>
            <w:r>
              <w:rPr>
                <w:spacing w:val="-1"/>
              </w:rPr>
              <w:t>2020/11/16</w:t>
            </w:r>
          </w:p>
        </w:tc>
        <w:tc>
          <w:tcPr>
            <w:tcW w:w="880" w:type="dxa"/>
            <w:vAlign w:val="top"/>
          </w:tcPr>
          <w:p w14:paraId="0ED965AC">
            <w:pPr>
              <w:pStyle w:val="6"/>
              <w:spacing w:before="77" w:line="190" w:lineRule="auto"/>
              <w:ind w:left="267"/>
            </w:pPr>
            <w:r>
              <w:rPr>
                <w:spacing w:val="-6"/>
              </w:rPr>
              <w:t>14.7</w:t>
            </w:r>
          </w:p>
        </w:tc>
        <w:tc>
          <w:tcPr>
            <w:tcW w:w="880" w:type="dxa"/>
            <w:vAlign w:val="top"/>
          </w:tcPr>
          <w:p w14:paraId="56BA332F">
            <w:pPr>
              <w:pStyle w:val="6"/>
              <w:spacing w:before="77" w:line="190" w:lineRule="auto"/>
              <w:ind w:left="257"/>
            </w:pPr>
            <w:r>
              <w:rPr>
                <w:spacing w:val="-4"/>
              </w:rPr>
              <w:t>8.64</w:t>
            </w:r>
          </w:p>
        </w:tc>
        <w:tc>
          <w:tcPr>
            <w:tcW w:w="880" w:type="dxa"/>
            <w:vAlign w:val="top"/>
          </w:tcPr>
          <w:p w14:paraId="3DC49357">
            <w:pPr>
              <w:pStyle w:val="6"/>
              <w:spacing w:before="77" w:line="190" w:lineRule="auto"/>
              <w:ind w:left="386"/>
            </w:pPr>
            <w:r>
              <w:t>6</w:t>
            </w:r>
          </w:p>
        </w:tc>
        <w:tc>
          <w:tcPr>
            <w:tcW w:w="880" w:type="dxa"/>
            <w:vAlign w:val="top"/>
          </w:tcPr>
          <w:p w14:paraId="43EA4C83">
            <w:pPr>
              <w:pStyle w:val="6"/>
              <w:spacing w:before="77" w:line="190" w:lineRule="auto"/>
              <w:ind w:left="310"/>
            </w:pPr>
            <w:r>
              <w:rPr>
                <w:spacing w:val="-4"/>
              </w:rPr>
              <w:t>5.0</w:t>
            </w:r>
          </w:p>
        </w:tc>
        <w:tc>
          <w:tcPr>
            <w:tcW w:w="880" w:type="dxa"/>
            <w:vAlign w:val="top"/>
          </w:tcPr>
          <w:p w14:paraId="6D7B8C55">
            <w:pPr>
              <w:pStyle w:val="6"/>
              <w:spacing w:before="77" w:line="190" w:lineRule="auto"/>
              <w:ind w:left="307"/>
            </w:pPr>
            <w:r>
              <w:rPr>
                <w:spacing w:val="-2"/>
              </w:rPr>
              <w:t>2.0</w:t>
            </w:r>
          </w:p>
        </w:tc>
        <w:tc>
          <w:tcPr>
            <w:tcW w:w="880" w:type="dxa"/>
            <w:vAlign w:val="top"/>
          </w:tcPr>
          <w:p w14:paraId="78B0C40B">
            <w:pPr>
              <w:pStyle w:val="6"/>
              <w:spacing w:before="77" w:line="190" w:lineRule="auto"/>
              <w:ind w:left="397"/>
            </w:pPr>
            <w:r>
              <w:t>8</w:t>
            </w:r>
          </w:p>
        </w:tc>
        <w:tc>
          <w:tcPr>
            <w:tcW w:w="880" w:type="dxa"/>
            <w:vAlign w:val="top"/>
          </w:tcPr>
          <w:p w14:paraId="4537BB52">
            <w:pPr>
              <w:pStyle w:val="6"/>
              <w:spacing w:before="77" w:line="190" w:lineRule="auto"/>
              <w:ind w:left="331"/>
            </w:pPr>
            <w:r>
              <w:rPr>
                <w:spacing w:val="-8"/>
              </w:rPr>
              <w:t>1.6</w:t>
            </w:r>
          </w:p>
        </w:tc>
        <w:tc>
          <w:tcPr>
            <w:tcW w:w="880" w:type="dxa"/>
            <w:vAlign w:val="top"/>
          </w:tcPr>
          <w:p w14:paraId="725FB78D">
            <w:pPr>
              <w:pStyle w:val="6"/>
              <w:spacing w:before="77" w:line="190" w:lineRule="auto"/>
              <w:ind w:left="212"/>
            </w:pPr>
            <w:r>
              <w:rPr>
                <w:spacing w:val="-2"/>
              </w:rPr>
              <w:t>0.119</w:t>
            </w:r>
          </w:p>
        </w:tc>
        <w:tc>
          <w:tcPr>
            <w:tcW w:w="880" w:type="dxa"/>
            <w:vAlign w:val="top"/>
          </w:tcPr>
          <w:p w14:paraId="7B460CB3">
            <w:pPr>
              <w:pStyle w:val="6"/>
              <w:spacing w:before="77" w:line="190" w:lineRule="auto"/>
              <w:ind w:left="266"/>
            </w:pPr>
            <w:r>
              <w:rPr>
                <w:spacing w:val="-2"/>
              </w:rPr>
              <w:t>0.03</w:t>
            </w:r>
          </w:p>
        </w:tc>
        <w:tc>
          <w:tcPr>
            <w:tcW w:w="880" w:type="dxa"/>
            <w:vAlign w:val="top"/>
          </w:tcPr>
          <w:p w14:paraId="6AC24B03">
            <w:pPr>
              <w:pStyle w:val="6"/>
              <w:spacing w:before="77" w:line="190" w:lineRule="auto"/>
              <w:ind w:left="268"/>
            </w:pPr>
            <w:r>
              <w:rPr>
                <w:spacing w:val="-2"/>
              </w:rPr>
              <w:t>0.01</w:t>
            </w:r>
          </w:p>
        </w:tc>
        <w:tc>
          <w:tcPr>
            <w:tcW w:w="881" w:type="dxa"/>
            <w:vAlign w:val="top"/>
          </w:tcPr>
          <w:p w14:paraId="15C4AB1A">
            <w:pPr>
              <w:pStyle w:val="6"/>
              <w:spacing w:before="77" w:line="190" w:lineRule="auto"/>
              <w:ind w:left="206"/>
            </w:pPr>
            <w:r>
              <w:rPr>
                <w:spacing w:val="-2"/>
              </w:rPr>
              <w:t>0.05L</w:t>
            </w:r>
          </w:p>
        </w:tc>
        <w:tc>
          <w:tcPr>
            <w:tcW w:w="894" w:type="dxa"/>
            <w:tcBorders>
              <w:right w:val="single" w:color="000000" w:sz="12" w:space="0"/>
            </w:tcBorders>
            <w:vAlign w:val="top"/>
          </w:tcPr>
          <w:p w14:paraId="27391292">
            <w:pPr>
              <w:pStyle w:val="6"/>
              <w:spacing w:before="77" w:line="190" w:lineRule="auto"/>
              <w:ind w:left="295"/>
            </w:pPr>
            <w:r>
              <w:rPr>
                <w:spacing w:val="-1"/>
              </w:rPr>
              <w:t>210</w:t>
            </w:r>
          </w:p>
        </w:tc>
      </w:tr>
      <w:tr w14:paraId="3885D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tcBorders>
            <w:vAlign w:val="top"/>
          </w:tcPr>
          <w:p w14:paraId="00B05406">
            <w:pPr>
              <w:rPr>
                <w:rFonts w:ascii="Arial"/>
                <w:sz w:val="21"/>
              </w:rPr>
            </w:pPr>
          </w:p>
        </w:tc>
        <w:tc>
          <w:tcPr>
            <w:tcW w:w="285" w:type="dxa"/>
            <w:vMerge w:val="continue"/>
            <w:tcBorders>
              <w:top w:val="nil"/>
            </w:tcBorders>
            <w:vAlign w:val="top"/>
          </w:tcPr>
          <w:p w14:paraId="52BEC7E0">
            <w:pPr>
              <w:rPr>
                <w:rFonts w:ascii="Arial"/>
                <w:sz w:val="21"/>
              </w:rPr>
            </w:pPr>
          </w:p>
        </w:tc>
        <w:tc>
          <w:tcPr>
            <w:tcW w:w="1273" w:type="dxa"/>
            <w:vAlign w:val="top"/>
          </w:tcPr>
          <w:p w14:paraId="5E198101">
            <w:pPr>
              <w:pStyle w:val="6"/>
              <w:spacing w:before="78" w:line="190" w:lineRule="auto"/>
              <w:ind w:left="147"/>
            </w:pPr>
            <w:r>
              <w:rPr>
                <w:spacing w:val="-1"/>
              </w:rPr>
              <w:t>2020/11/17</w:t>
            </w:r>
          </w:p>
        </w:tc>
        <w:tc>
          <w:tcPr>
            <w:tcW w:w="880" w:type="dxa"/>
            <w:vAlign w:val="top"/>
          </w:tcPr>
          <w:p w14:paraId="49030013">
            <w:pPr>
              <w:pStyle w:val="6"/>
              <w:spacing w:before="78" w:line="190" w:lineRule="auto"/>
              <w:ind w:left="267"/>
            </w:pPr>
            <w:r>
              <w:rPr>
                <w:spacing w:val="-6"/>
              </w:rPr>
              <w:t>15.2</w:t>
            </w:r>
          </w:p>
        </w:tc>
        <w:tc>
          <w:tcPr>
            <w:tcW w:w="880" w:type="dxa"/>
            <w:vAlign w:val="top"/>
          </w:tcPr>
          <w:p w14:paraId="7D960B34">
            <w:pPr>
              <w:pStyle w:val="6"/>
              <w:spacing w:before="78" w:line="190" w:lineRule="auto"/>
              <w:ind w:left="257"/>
            </w:pPr>
            <w:r>
              <w:rPr>
                <w:spacing w:val="-4"/>
              </w:rPr>
              <w:t>8.60</w:t>
            </w:r>
          </w:p>
        </w:tc>
        <w:tc>
          <w:tcPr>
            <w:tcW w:w="880" w:type="dxa"/>
            <w:vAlign w:val="top"/>
          </w:tcPr>
          <w:p w14:paraId="11DC7516">
            <w:pPr>
              <w:pStyle w:val="6"/>
              <w:spacing w:before="78" w:line="190" w:lineRule="auto"/>
              <w:ind w:left="385"/>
            </w:pPr>
            <w:r>
              <w:t>7</w:t>
            </w:r>
          </w:p>
        </w:tc>
        <w:tc>
          <w:tcPr>
            <w:tcW w:w="880" w:type="dxa"/>
            <w:vAlign w:val="top"/>
          </w:tcPr>
          <w:p w14:paraId="46D2DFBD">
            <w:pPr>
              <w:pStyle w:val="6"/>
              <w:spacing w:before="78" w:line="190" w:lineRule="auto"/>
              <w:ind w:left="303"/>
            </w:pPr>
            <w:r>
              <w:rPr>
                <w:spacing w:val="-1"/>
              </w:rPr>
              <w:t>4.4</w:t>
            </w:r>
          </w:p>
        </w:tc>
        <w:tc>
          <w:tcPr>
            <w:tcW w:w="880" w:type="dxa"/>
            <w:vAlign w:val="top"/>
          </w:tcPr>
          <w:p w14:paraId="57F0AFEC">
            <w:pPr>
              <w:pStyle w:val="6"/>
              <w:spacing w:before="78" w:line="190" w:lineRule="auto"/>
              <w:ind w:left="307"/>
            </w:pPr>
            <w:r>
              <w:rPr>
                <w:spacing w:val="-2"/>
              </w:rPr>
              <w:t>2.4</w:t>
            </w:r>
          </w:p>
        </w:tc>
        <w:tc>
          <w:tcPr>
            <w:tcW w:w="880" w:type="dxa"/>
            <w:vAlign w:val="top"/>
          </w:tcPr>
          <w:p w14:paraId="51649071">
            <w:pPr>
              <w:pStyle w:val="6"/>
              <w:spacing w:before="78" w:line="190" w:lineRule="auto"/>
              <w:ind w:left="393"/>
            </w:pPr>
            <w:r>
              <w:t>6</w:t>
            </w:r>
          </w:p>
        </w:tc>
        <w:tc>
          <w:tcPr>
            <w:tcW w:w="880" w:type="dxa"/>
            <w:vAlign w:val="top"/>
          </w:tcPr>
          <w:p w14:paraId="6159095D">
            <w:pPr>
              <w:pStyle w:val="6"/>
              <w:spacing w:before="78" w:line="190" w:lineRule="auto"/>
              <w:ind w:left="331"/>
            </w:pPr>
            <w:r>
              <w:rPr>
                <w:spacing w:val="-8"/>
              </w:rPr>
              <w:t>1.2</w:t>
            </w:r>
          </w:p>
        </w:tc>
        <w:tc>
          <w:tcPr>
            <w:tcW w:w="880" w:type="dxa"/>
            <w:vAlign w:val="top"/>
          </w:tcPr>
          <w:p w14:paraId="393D2C2D">
            <w:pPr>
              <w:pStyle w:val="6"/>
              <w:spacing w:before="78" w:line="190" w:lineRule="auto"/>
              <w:ind w:left="212"/>
            </w:pPr>
            <w:r>
              <w:rPr>
                <w:spacing w:val="-2"/>
              </w:rPr>
              <w:t>0.126</w:t>
            </w:r>
          </w:p>
        </w:tc>
        <w:tc>
          <w:tcPr>
            <w:tcW w:w="880" w:type="dxa"/>
            <w:vAlign w:val="top"/>
          </w:tcPr>
          <w:p w14:paraId="0424D4A3">
            <w:pPr>
              <w:pStyle w:val="6"/>
              <w:spacing w:before="78" w:line="190" w:lineRule="auto"/>
              <w:ind w:left="266"/>
            </w:pPr>
            <w:r>
              <w:rPr>
                <w:spacing w:val="-2"/>
              </w:rPr>
              <w:t>0.04</w:t>
            </w:r>
          </w:p>
        </w:tc>
        <w:tc>
          <w:tcPr>
            <w:tcW w:w="880" w:type="dxa"/>
            <w:vAlign w:val="top"/>
          </w:tcPr>
          <w:p w14:paraId="125B4899">
            <w:pPr>
              <w:pStyle w:val="6"/>
              <w:spacing w:before="78" w:line="190" w:lineRule="auto"/>
              <w:ind w:left="268"/>
            </w:pPr>
            <w:r>
              <w:rPr>
                <w:spacing w:val="-2"/>
              </w:rPr>
              <w:t>0.01</w:t>
            </w:r>
          </w:p>
        </w:tc>
        <w:tc>
          <w:tcPr>
            <w:tcW w:w="881" w:type="dxa"/>
            <w:vAlign w:val="top"/>
          </w:tcPr>
          <w:p w14:paraId="372307E4">
            <w:pPr>
              <w:pStyle w:val="6"/>
              <w:spacing w:before="78" w:line="190" w:lineRule="auto"/>
              <w:ind w:left="206"/>
            </w:pPr>
            <w:r>
              <w:rPr>
                <w:spacing w:val="-2"/>
              </w:rPr>
              <w:t>0.05L</w:t>
            </w:r>
          </w:p>
        </w:tc>
        <w:tc>
          <w:tcPr>
            <w:tcW w:w="894" w:type="dxa"/>
            <w:tcBorders>
              <w:right w:val="single" w:color="000000" w:sz="12" w:space="0"/>
            </w:tcBorders>
            <w:vAlign w:val="top"/>
          </w:tcPr>
          <w:p w14:paraId="2D85A7A4">
            <w:pPr>
              <w:pStyle w:val="6"/>
              <w:spacing w:before="78" w:line="190" w:lineRule="auto"/>
              <w:ind w:left="295"/>
            </w:pPr>
            <w:r>
              <w:rPr>
                <w:spacing w:val="-1"/>
              </w:rPr>
              <w:t>230</w:t>
            </w:r>
          </w:p>
        </w:tc>
      </w:tr>
      <w:tr w14:paraId="1364A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6E4CB7EB">
            <w:pPr>
              <w:spacing w:line="289" w:lineRule="auto"/>
              <w:rPr>
                <w:rFonts w:ascii="Arial"/>
                <w:sz w:val="21"/>
              </w:rPr>
            </w:pPr>
          </w:p>
          <w:p w14:paraId="2E4F2D35">
            <w:pPr>
              <w:spacing w:line="290" w:lineRule="auto"/>
              <w:rPr>
                <w:rFonts w:ascii="Arial"/>
                <w:sz w:val="21"/>
              </w:rPr>
            </w:pPr>
          </w:p>
          <w:p w14:paraId="1C49ECC4">
            <w:pPr>
              <w:spacing w:line="290" w:lineRule="auto"/>
              <w:rPr>
                <w:rFonts w:ascii="Arial"/>
                <w:sz w:val="21"/>
              </w:rPr>
            </w:pPr>
          </w:p>
          <w:p w14:paraId="6954DAE2">
            <w:pPr>
              <w:spacing w:line="290" w:lineRule="auto"/>
              <w:rPr>
                <w:rFonts w:ascii="Arial"/>
                <w:sz w:val="21"/>
              </w:rPr>
            </w:pPr>
          </w:p>
          <w:p w14:paraId="053FBEF7">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5D1A7EF6">
            <w:pPr>
              <w:spacing w:before="23" w:line="220" w:lineRule="auto"/>
              <w:ind w:left="102"/>
              <w:rPr>
                <w:rFonts w:ascii="宋体" w:hAnsi="宋体" w:eastAsia="宋体" w:cs="宋体"/>
                <w:sz w:val="21"/>
                <w:szCs w:val="21"/>
              </w:rPr>
            </w:pPr>
            <w:r>
              <w:rPr>
                <w:rFonts w:ascii="宋体" w:hAnsi="宋体" w:eastAsia="宋体" w:cs="宋体"/>
                <w:spacing w:val="-4"/>
                <w:sz w:val="21"/>
                <w:szCs w:val="21"/>
              </w:rPr>
              <w:t>（车马碧水</w:t>
            </w:r>
          </w:p>
          <w:p w14:paraId="52681FA8">
            <w:pPr>
              <w:spacing w:before="22" w:line="220" w:lineRule="auto"/>
              <w:ind w:left="97"/>
              <w:rPr>
                <w:rFonts w:ascii="宋体" w:hAnsi="宋体" w:eastAsia="宋体" w:cs="宋体"/>
                <w:sz w:val="21"/>
                <w:szCs w:val="21"/>
              </w:rPr>
            </w:pPr>
            <w:r>
              <w:rPr>
                <w:rFonts w:ascii="宋体" w:hAnsi="宋体" w:eastAsia="宋体" w:cs="宋体"/>
                <w:spacing w:val="-2"/>
                <w:sz w:val="21"/>
                <w:szCs w:val="21"/>
              </w:rPr>
              <w:t>库坝址下游</w:t>
            </w:r>
          </w:p>
          <w:p w14:paraId="567F5FA2">
            <w:pPr>
              <w:pStyle w:val="6"/>
              <w:spacing w:before="22"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65B9AFDA">
            <w:pPr>
              <w:pStyle w:val="6"/>
              <w:spacing w:before="97" w:line="222" w:lineRule="auto"/>
              <w:ind w:left="97"/>
            </w:pPr>
            <w:r>
              <w:t>1</w:t>
            </w:r>
          </w:p>
          <w:p w14:paraId="043681A6">
            <w:pPr>
              <w:spacing w:line="219" w:lineRule="auto"/>
              <w:ind w:left="29"/>
              <w:rPr>
                <w:rFonts w:ascii="宋体" w:hAnsi="宋体" w:eastAsia="宋体" w:cs="宋体"/>
                <w:sz w:val="21"/>
                <w:szCs w:val="21"/>
              </w:rPr>
            </w:pPr>
            <w:r>
              <w:rPr>
                <w:rFonts w:ascii="宋体" w:hAnsi="宋体" w:eastAsia="宋体" w:cs="宋体"/>
                <w:sz w:val="21"/>
                <w:szCs w:val="21"/>
              </w:rPr>
              <w:t>季</w:t>
            </w:r>
          </w:p>
          <w:p w14:paraId="31087498">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CBCEF65">
            <w:pPr>
              <w:pStyle w:val="6"/>
              <w:spacing w:before="79" w:line="188" w:lineRule="auto"/>
              <w:ind w:left="199"/>
            </w:pPr>
            <w:r>
              <w:rPr>
                <w:spacing w:val="-1"/>
              </w:rPr>
              <w:t>2020/3/10</w:t>
            </w:r>
          </w:p>
        </w:tc>
        <w:tc>
          <w:tcPr>
            <w:tcW w:w="880" w:type="dxa"/>
            <w:vAlign w:val="top"/>
          </w:tcPr>
          <w:p w14:paraId="7711D119">
            <w:pPr>
              <w:pStyle w:val="6"/>
              <w:spacing w:before="79" w:line="188" w:lineRule="auto"/>
              <w:ind w:left="267"/>
            </w:pPr>
            <w:r>
              <w:rPr>
                <w:spacing w:val="-6"/>
              </w:rPr>
              <w:t>15.8</w:t>
            </w:r>
          </w:p>
        </w:tc>
        <w:tc>
          <w:tcPr>
            <w:tcW w:w="880" w:type="dxa"/>
            <w:vAlign w:val="top"/>
          </w:tcPr>
          <w:p w14:paraId="72DAA181">
            <w:pPr>
              <w:pStyle w:val="6"/>
              <w:spacing w:before="79" w:line="188" w:lineRule="auto"/>
              <w:ind w:left="254"/>
            </w:pPr>
            <w:r>
              <w:rPr>
                <w:spacing w:val="-3"/>
              </w:rPr>
              <w:t>6.63</w:t>
            </w:r>
          </w:p>
        </w:tc>
        <w:tc>
          <w:tcPr>
            <w:tcW w:w="880" w:type="dxa"/>
            <w:vAlign w:val="top"/>
          </w:tcPr>
          <w:p w14:paraId="0C5CFA65">
            <w:pPr>
              <w:pStyle w:val="6"/>
              <w:spacing w:before="79" w:line="188" w:lineRule="auto"/>
              <w:ind w:left="381"/>
            </w:pPr>
            <w:r>
              <w:t>4</w:t>
            </w:r>
          </w:p>
        </w:tc>
        <w:tc>
          <w:tcPr>
            <w:tcW w:w="880" w:type="dxa"/>
            <w:vAlign w:val="top"/>
          </w:tcPr>
          <w:p w14:paraId="75D7BDFC">
            <w:pPr>
              <w:pStyle w:val="6"/>
              <w:spacing w:before="79" w:line="188" w:lineRule="auto"/>
              <w:ind w:left="310"/>
            </w:pPr>
            <w:r>
              <w:rPr>
                <w:spacing w:val="-4"/>
              </w:rPr>
              <w:t>5.1</w:t>
            </w:r>
          </w:p>
        </w:tc>
        <w:tc>
          <w:tcPr>
            <w:tcW w:w="880" w:type="dxa"/>
            <w:vAlign w:val="top"/>
          </w:tcPr>
          <w:p w14:paraId="095E7FFE">
            <w:pPr>
              <w:pStyle w:val="6"/>
              <w:spacing w:before="79" w:line="188" w:lineRule="auto"/>
              <w:ind w:left="307"/>
            </w:pPr>
            <w:r>
              <w:rPr>
                <w:spacing w:val="-2"/>
              </w:rPr>
              <w:t>2.3</w:t>
            </w:r>
          </w:p>
        </w:tc>
        <w:tc>
          <w:tcPr>
            <w:tcW w:w="880" w:type="dxa"/>
            <w:vAlign w:val="top"/>
          </w:tcPr>
          <w:p w14:paraId="3F5B3524">
            <w:pPr>
              <w:pStyle w:val="6"/>
              <w:spacing w:before="79" w:line="188" w:lineRule="auto"/>
              <w:ind w:left="393"/>
            </w:pPr>
            <w:r>
              <w:t>6</w:t>
            </w:r>
          </w:p>
        </w:tc>
        <w:tc>
          <w:tcPr>
            <w:tcW w:w="880" w:type="dxa"/>
            <w:vAlign w:val="top"/>
          </w:tcPr>
          <w:p w14:paraId="28007857">
            <w:pPr>
              <w:pStyle w:val="6"/>
              <w:spacing w:before="79" w:line="188" w:lineRule="auto"/>
              <w:ind w:left="331"/>
            </w:pPr>
            <w:r>
              <w:rPr>
                <w:spacing w:val="-8"/>
              </w:rPr>
              <w:t>1.3</w:t>
            </w:r>
          </w:p>
        </w:tc>
        <w:tc>
          <w:tcPr>
            <w:tcW w:w="880" w:type="dxa"/>
            <w:vAlign w:val="top"/>
          </w:tcPr>
          <w:p w14:paraId="28B87CC1">
            <w:pPr>
              <w:pStyle w:val="6"/>
              <w:spacing w:before="79" w:line="188" w:lineRule="auto"/>
              <w:ind w:left="212"/>
            </w:pPr>
            <w:r>
              <w:rPr>
                <w:spacing w:val="-2"/>
              </w:rPr>
              <w:t>0.036</w:t>
            </w:r>
          </w:p>
        </w:tc>
        <w:tc>
          <w:tcPr>
            <w:tcW w:w="880" w:type="dxa"/>
            <w:vAlign w:val="top"/>
          </w:tcPr>
          <w:p w14:paraId="75A8CD8D">
            <w:pPr>
              <w:pStyle w:val="6"/>
              <w:spacing w:before="79" w:line="188" w:lineRule="auto"/>
              <w:ind w:left="266"/>
            </w:pPr>
            <w:r>
              <w:rPr>
                <w:spacing w:val="-2"/>
              </w:rPr>
              <w:t>0.04</w:t>
            </w:r>
          </w:p>
        </w:tc>
        <w:tc>
          <w:tcPr>
            <w:tcW w:w="880" w:type="dxa"/>
            <w:vAlign w:val="top"/>
          </w:tcPr>
          <w:p w14:paraId="7CBEEF21">
            <w:pPr>
              <w:pStyle w:val="6"/>
              <w:spacing w:before="79" w:line="188" w:lineRule="auto"/>
              <w:ind w:left="268"/>
            </w:pPr>
            <w:r>
              <w:rPr>
                <w:spacing w:val="-2"/>
              </w:rPr>
              <w:t>0.03</w:t>
            </w:r>
          </w:p>
        </w:tc>
        <w:tc>
          <w:tcPr>
            <w:tcW w:w="881" w:type="dxa"/>
            <w:vAlign w:val="top"/>
          </w:tcPr>
          <w:p w14:paraId="13DC8918">
            <w:pPr>
              <w:pStyle w:val="6"/>
              <w:spacing w:before="79" w:line="188" w:lineRule="auto"/>
              <w:ind w:left="206"/>
            </w:pPr>
            <w:r>
              <w:rPr>
                <w:spacing w:val="-2"/>
              </w:rPr>
              <w:t>0.05L</w:t>
            </w:r>
          </w:p>
        </w:tc>
        <w:tc>
          <w:tcPr>
            <w:tcW w:w="894" w:type="dxa"/>
            <w:tcBorders>
              <w:right w:val="single" w:color="000000" w:sz="12" w:space="0"/>
            </w:tcBorders>
            <w:vAlign w:val="top"/>
          </w:tcPr>
          <w:p w14:paraId="34A27FF8">
            <w:pPr>
              <w:pStyle w:val="6"/>
              <w:spacing w:before="79" w:line="188" w:lineRule="auto"/>
              <w:ind w:left="315"/>
            </w:pPr>
            <w:r>
              <w:rPr>
                <w:spacing w:val="-6"/>
              </w:rPr>
              <w:t>170</w:t>
            </w:r>
          </w:p>
        </w:tc>
      </w:tr>
      <w:tr w14:paraId="7E7F4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54FDF712">
            <w:pPr>
              <w:rPr>
                <w:rFonts w:ascii="Arial"/>
                <w:sz w:val="21"/>
              </w:rPr>
            </w:pPr>
          </w:p>
        </w:tc>
        <w:tc>
          <w:tcPr>
            <w:tcW w:w="285" w:type="dxa"/>
            <w:vMerge w:val="continue"/>
            <w:tcBorders>
              <w:top w:val="nil"/>
              <w:bottom w:val="nil"/>
            </w:tcBorders>
            <w:vAlign w:val="top"/>
          </w:tcPr>
          <w:p w14:paraId="5425D2B1">
            <w:pPr>
              <w:rPr>
                <w:rFonts w:ascii="Arial"/>
                <w:sz w:val="21"/>
              </w:rPr>
            </w:pPr>
          </w:p>
        </w:tc>
        <w:tc>
          <w:tcPr>
            <w:tcW w:w="1273" w:type="dxa"/>
            <w:vAlign w:val="top"/>
          </w:tcPr>
          <w:p w14:paraId="0838A75C">
            <w:pPr>
              <w:pStyle w:val="6"/>
              <w:spacing w:before="80" w:line="189" w:lineRule="auto"/>
              <w:ind w:left="199"/>
            </w:pPr>
            <w:r>
              <w:rPr>
                <w:spacing w:val="-1"/>
              </w:rPr>
              <w:t>2020/3/11</w:t>
            </w:r>
          </w:p>
        </w:tc>
        <w:tc>
          <w:tcPr>
            <w:tcW w:w="880" w:type="dxa"/>
            <w:vAlign w:val="top"/>
          </w:tcPr>
          <w:p w14:paraId="3DF0AE1C">
            <w:pPr>
              <w:pStyle w:val="6"/>
              <w:spacing w:before="80" w:line="189" w:lineRule="auto"/>
              <w:ind w:left="267"/>
            </w:pPr>
            <w:r>
              <w:rPr>
                <w:spacing w:val="-6"/>
              </w:rPr>
              <w:t>16.4</w:t>
            </w:r>
          </w:p>
        </w:tc>
        <w:tc>
          <w:tcPr>
            <w:tcW w:w="880" w:type="dxa"/>
            <w:vAlign w:val="top"/>
          </w:tcPr>
          <w:p w14:paraId="558A8797">
            <w:pPr>
              <w:pStyle w:val="6"/>
              <w:spacing w:before="80" w:line="189" w:lineRule="auto"/>
              <w:ind w:left="254"/>
            </w:pPr>
            <w:r>
              <w:rPr>
                <w:spacing w:val="-3"/>
              </w:rPr>
              <w:t>6.65</w:t>
            </w:r>
          </w:p>
        </w:tc>
        <w:tc>
          <w:tcPr>
            <w:tcW w:w="880" w:type="dxa"/>
            <w:vAlign w:val="top"/>
          </w:tcPr>
          <w:p w14:paraId="50D8AC47">
            <w:pPr>
              <w:pStyle w:val="6"/>
              <w:spacing w:before="80" w:line="189" w:lineRule="auto"/>
              <w:ind w:left="387"/>
            </w:pPr>
            <w:r>
              <w:t>5</w:t>
            </w:r>
          </w:p>
        </w:tc>
        <w:tc>
          <w:tcPr>
            <w:tcW w:w="880" w:type="dxa"/>
            <w:vAlign w:val="top"/>
          </w:tcPr>
          <w:p w14:paraId="0FCA77D9">
            <w:pPr>
              <w:pStyle w:val="6"/>
              <w:spacing w:before="80" w:line="189" w:lineRule="auto"/>
              <w:ind w:left="310"/>
            </w:pPr>
            <w:r>
              <w:rPr>
                <w:spacing w:val="-4"/>
              </w:rPr>
              <w:t>5.3</w:t>
            </w:r>
          </w:p>
        </w:tc>
        <w:tc>
          <w:tcPr>
            <w:tcW w:w="880" w:type="dxa"/>
            <w:vAlign w:val="top"/>
          </w:tcPr>
          <w:p w14:paraId="49510A1F">
            <w:pPr>
              <w:pStyle w:val="6"/>
              <w:spacing w:before="80" w:line="189" w:lineRule="auto"/>
              <w:ind w:left="307"/>
            </w:pPr>
            <w:r>
              <w:rPr>
                <w:spacing w:val="-2"/>
              </w:rPr>
              <w:t>2.0</w:t>
            </w:r>
          </w:p>
        </w:tc>
        <w:tc>
          <w:tcPr>
            <w:tcW w:w="880" w:type="dxa"/>
            <w:vAlign w:val="top"/>
          </w:tcPr>
          <w:p w14:paraId="1C9BE876">
            <w:pPr>
              <w:pStyle w:val="6"/>
              <w:spacing w:before="80" w:line="189" w:lineRule="auto"/>
              <w:ind w:left="394"/>
            </w:pPr>
            <w:r>
              <w:t>5</w:t>
            </w:r>
          </w:p>
        </w:tc>
        <w:tc>
          <w:tcPr>
            <w:tcW w:w="880" w:type="dxa"/>
            <w:vAlign w:val="top"/>
          </w:tcPr>
          <w:p w14:paraId="7B516617">
            <w:pPr>
              <w:pStyle w:val="6"/>
              <w:spacing w:before="80" w:line="189" w:lineRule="auto"/>
              <w:ind w:left="331"/>
            </w:pPr>
            <w:r>
              <w:rPr>
                <w:spacing w:val="-8"/>
              </w:rPr>
              <w:t>1.0</w:t>
            </w:r>
          </w:p>
        </w:tc>
        <w:tc>
          <w:tcPr>
            <w:tcW w:w="880" w:type="dxa"/>
            <w:vAlign w:val="top"/>
          </w:tcPr>
          <w:p w14:paraId="6D07F146">
            <w:pPr>
              <w:pStyle w:val="6"/>
              <w:spacing w:before="80" w:line="189" w:lineRule="auto"/>
              <w:ind w:left="212"/>
            </w:pPr>
            <w:r>
              <w:rPr>
                <w:spacing w:val="-2"/>
              </w:rPr>
              <w:t>0.030</w:t>
            </w:r>
          </w:p>
        </w:tc>
        <w:tc>
          <w:tcPr>
            <w:tcW w:w="880" w:type="dxa"/>
            <w:vAlign w:val="top"/>
          </w:tcPr>
          <w:p w14:paraId="7B848397">
            <w:pPr>
              <w:pStyle w:val="6"/>
              <w:spacing w:before="80" w:line="189" w:lineRule="auto"/>
              <w:ind w:left="266"/>
            </w:pPr>
            <w:r>
              <w:rPr>
                <w:spacing w:val="-2"/>
              </w:rPr>
              <w:t>0.04</w:t>
            </w:r>
          </w:p>
        </w:tc>
        <w:tc>
          <w:tcPr>
            <w:tcW w:w="880" w:type="dxa"/>
            <w:vAlign w:val="top"/>
          </w:tcPr>
          <w:p w14:paraId="74D7579D">
            <w:pPr>
              <w:pStyle w:val="6"/>
              <w:spacing w:before="80" w:line="189" w:lineRule="auto"/>
              <w:ind w:left="268"/>
            </w:pPr>
            <w:r>
              <w:rPr>
                <w:spacing w:val="-2"/>
              </w:rPr>
              <w:t>0.03</w:t>
            </w:r>
          </w:p>
        </w:tc>
        <w:tc>
          <w:tcPr>
            <w:tcW w:w="881" w:type="dxa"/>
            <w:vAlign w:val="top"/>
          </w:tcPr>
          <w:p w14:paraId="08C795EF">
            <w:pPr>
              <w:pStyle w:val="6"/>
              <w:spacing w:before="80" w:line="189" w:lineRule="auto"/>
              <w:ind w:left="206"/>
            </w:pPr>
            <w:r>
              <w:rPr>
                <w:spacing w:val="-2"/>
              </w:rPr>
              <w:t>0.05L</w:t>
            </w:r>
          </w:p>
        </w:tc>
        <w:tc>
          <w:tcPr>
            <w:tcW w:w="894" w:type="dxa"/>
            <w:tcBorders>
              <w:right w:val="single" w:color="000000" w:sz="12" w:space="0"/>
            </w:tcBorders>
            <w:vAlign w:val="top"/>
          </w:tcPr>
          <w:p w14:paraId="4A118A68">
            <w:pPr>
              <w:pStyle w:val="6"/>
              <w:spacing w:before="80" w:line="189" w:lineRule="auto"/>
              <w:ind w:left="315"/>
            </w:pPr>
            <w:r>
              <w:rPr>
                <w:spacing w:val="-6"/>
              </w:rPr>
              <w:t>160</w:t>
            </w:r>
          </w:p>
        </w:tc>
      </w:tr>
      <w:tr w14:paraId="4D43A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7382BF8">
            <w:pPr>
              <w:rPr>
                <w:rFonts w:ascii="Arial"/>
                <w:sz w:val="21"/>
              </w:rPr>
            </w:pPr>
          </w:p>
        </w:tc>
        <w:tc>
          <w:tcPr>
            <w:tcW w:w="285" w:type="dxa"/>
            <w:vMerge w:val="continue"/>
            <w:tcBorders>
              <w:top w:val="nil"/>
            </w:tcBorders>
            <w:vAlign w:val="top"/>
          </w:tcPr>
          <w:p w14:paraId="60856E23">
            <w:pPr>
              <w:rPr>
                <w:rFonts w:ascii="Arial"/>
                <w:sz w:val="21"/>
              </w:rPr>
            </w:pPr>
          </w:p>
        </w:tc>
        <w:tc>
          <w:tcPr>
            <w:tcW w:w="1273" w:type="dxa"/>
            <w:vAlign w:val="top"/>
          </w:tcPr>
          <w:p w14:paraId="105EE63E">
            <w:pPr>
              <w:pStyle w:val="6"/>
              <w:spacing w:before="79" w:line="188" w:lineRule="auto"/>
              <w:ind w:left="199"/>
            </w:pPr>
            <w:r>
              <w:rPr>
                <w:spacing w:val="-1"/>
              </w:rPr>
              <w:t>2020/3/12</w:t>
            </w:r>
          </w:p>
        </w:tc>
        <w:tc>
          <w:tcPr>
            <w:tcW w:w="880" w:type="dxa"/>
            <w:vAlign w:val="top"/>
          </w:tcPr>
          <w:p w14:paraId="5445699E">
            <w:pPr>
              <w:pStyle w:val="6"/>
              <w:spacing w:before="79" w:line="188" w:lineRule="auto"/>
              <w:ind w:left="267"/>
            </w:pPr>
            <w:r>
              <w:rPr>
                <w:spacing w:val="-6"/>
              </w:rPr>
              <w:t>16.7</w:t>
            </w:r>
          </w:p>
        </w:tc>
        <w:tc>
          <w:tcPr>
            <w:tcW w:w="880" w:type="dxa"/>
            <w:vAlign w:val="top"/>
          </w:tcPr>
          <w:p w14:paraId="16B80EB4">
            <w:pPr>
              <w:pStyle w:val="6"/>
              <w:spacing w:before="79" w:line="188" w:lineRule="auto"/>
              <w:ind w:left="254"/>
            </w:pPr>
            <w:r>
              <w:rPr>
                <w:spacing w:val="-3"/>
              </w:rPr>
              <w:t>6.59</w:t>
            </w:r>
          </w:p>
        </w:tc>
        <w:tc>
          <w:tcPr>
            <w:tcW w:w="880" w:type="dxa"/>
            <w:vAlign w:val="top"/>
          </w:tcPr>
          <w:p w14:paraId="6E2AC32C">
            <w:pPr>
              <w:pStyle w:val="6"/>
              <w:spacing w:before="79" w:line="188" w:lineRule="auto"/>
              <w:ind w:left="381"/>
            </w:pPr>
            <w:r>
              <w:t>4</w:t>
            </w:r>
          </w:p>
        </w:tc>
        <w:tc>
          <w:tcPr>
            <w:tcW w:w="880" w:type="dxa"/>
            <w:vAlign w:val="top"/>
          </w:tcPr>
          <w:p w14:paraId="321DC43E">
            <w:pPr>
              <w:pStyle w:val="6"/>
              <w:spacing w:before="79" w:line="188" w:lineRule="auto"/>
              <w:ind w:left="310"/>
            </w:pPr>
            <w:r>
              <w:rPr>
                <w:spacing w:val="-4"/>
              </w:rPr>
              <w:t>5.8</w:t>
            </w:r>
          </w:p>
        </w:tc>
        <w:tc>
          <w:tcPr>
            <w:tcW w:w="880" w:type="dxa"/>
            <w:vAlign w:val="top"/>
          </w:tcPr>
          <w:p w14:paraId="4A1A73AB">
            <w:pPr>
              <w:pStyle w:val="6"/>
              <w:spacing w:before="79" w:line="188" w:lineRule="auto"/>
              <w:ind w:left="307"/>
            </w:pPr>
            <w:r>
              <w:rPr>
                <w:spacing w:val="-2"/>
              </w:rPr>
              <w:t>2.2</w:t>
            </w:r>
          </w:p>
        </w:tc>
        <w:tc>
          <w:tcPr>
            <w:tcW w:w="880" w:type="dxa"/>
            <w:vAlign w:val="top"/>
          </w:tcPr>
          <w:p w14:paraId="5DA2F469">
            <w:pPr>
              <w:pStyle w:val="6"/>
              <w:spacing w:before="79" w:line="188" w:lineRule="auto"/>
              <w:ind w:left="393"/>
            </w:pPr>
            <w:r>
              <w:t>6</w:t>
            </w:r>
          </w:p>
        </w:tc>
        <w:tc>
          <w:tcPr>
            <w:tcW w:w="880" w:type="dxa"/>
            <w:vAlign w:val="top"/>
          </w:tcPr>
          <w:p w14:paraId="047C2418">
            <w:pPr>
              <w:pStyle w:val="6"/>
              <w:spacing w:before="79" w:line="188" w:lineRule="auto"/>
              <w:ind w:left="331"/>
            </w:pPr>
            <w:r>
              <w:rPr>
                <w:spacing w:val="-8"/>
              </w:rPr>
              <w:t>1.1</w:t>
            </w:r>
          </w:p>
        </w:tc>
        <w:tc>
          <w:tcPr>
            <w:tcW w:w="880" w:type="dxa"/>
            <w:vAlign w:val="top"/>
          </w:tcPr>
          <w:p w14:paraId="3CBA15A2">
            <w:pPr>
              <w:pStyle w:val="6"/>
              <w:spacing w:before="79" w:line="188" w:lineRule="auto"/>
              <w:ind w:left="212"/>
            </w:pPr>
            <w:r>
              <w:rPr>
                <w:spacing w:val="-2"/>
              </w:rPr>
              <w:t>0.042</w:t>
            </w:r>
          </w:p>
        </w:tc>
        <w:tc>
          <w:tcPr>
            <w:tcW w:w="880" w:type="dxa"/>
            <w:vAlign w:val="top"/>
          </w:tcPr>
          <w:p w14:paraId="3AEB44EB">
            <w:pPr>
              <w:pStyle w:val="6"/>
              <w:spacing w:before="79" w:line="188" w:lineRule="auto"/>
              <w:ind w:left="266"/>
            </w:pPr>
            <w:r>
              <w:rPr>
                <w:spacing w:val="-2"/>
              </w:rPr>
              <w:t>0.05</w:t>
            </w:r>
          </w:p>
        </w:tc>
        <w:tc>
          <w:tcPr>
            <w:tcW w:w="880" w:type="dxa"/>
            <w:vAlign w:val="top"/>
          </w:tcPr>
          <w:p w14:paraId="6E988003">
            <w:pPr>
              <w:pStyle w:val="6"/>
              <w:spacing w:before="79" w:line="188" w:lineRule="auto"/>
              <w:ind w:left="268"/>
            </w:pPr>
            <w:r>
              <w:rPr>
                <w:spacing w:val="-2"/>
              </w:rPr>
              <w:t>0.02</w:t>
            </w:r>
          </w:p>
        </w:tc>
        <w:tc>
          <w:tcPr>
            <w:tcW w:w="881" w:type="dxa"/>
            <w:vAlign w:val="top"/>
          </w:tcPr>
          <w:p w14:paraId="00E30A45">
            <w:pPr>
              <w:pStyle w:val="6"/>
              <w:spacing w:before="79" w:line="188" w:lineRule="auto"/>
              <w:ind w:left="206"/>
            </w:pPr>
            <w:r>
              <w:rPr>
                <w:spacing w:val="-2"/>
              </w:rPr>
              <w:t>0.05L</w:t>
            </w:r>
          </w:p>
        </w:tc>
        <w:tc>
          <w:tcPr>
            <w:tcW w:w="894" w:type="dxa"/>
            <w:tcBorders>
              <w:right w:val="single" w:color="000000" w:sz="12" w:space="0"/>
            </w:tcBorders>
            <w:vAlign w:val="top"/>
          </w:tcPr>
          <w:p w14:paraId="02CEBC80">
            <w:pPr>
              <w:pStyle w:val="6"/>
              <w:spacing w:before="79" w:line="188" w:lineRule="auto"/>
              <w:ind w:left="315"/>
            </w:pPr>
            <w:r>
              <w:rPr>
                <w:spacing w:val="-6"/>
              </w:rPr>
              <w:t>190</w:t>
            </w:r>
          </w:p>
        </w:tc>
      </w:tr>
      <w:tr w14:paraId="7105E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A1232CF">
            <w:pPr>
              <w:rPr>
                <w:rFonts w:ascii="Arial"/>
                <w:sz w:val="21"/>
              </w:rPr>
            </w:pPr>
          </w:p>
        </w:tc>
        <w:tc>
          <w:tcPr>
            <w:tcW w:w="285" w:type="dxa"/>
            <w:vMerge w:val="restart"/>
            <w:tcBorders>
              <w:bottom w:val="nil"/>
            </w:tcBorders>
            <w:vAlign w:val="top"/>
          </w:tcPr>
          <w:p w14:paraId="2C2774E9">
            <w:pPr>
              <w:pStyle w:val="6"/>
              <w:spacing w:before="99" w:line="223" w:lineRule="auto"/>
              <w:ind w:left="77"/>
            </w:pPr>
            <w:r>
              <w:t>2</w:t>
            </w:r>
          </w:p>
          <w:p w14:paraId="1F9FC760">
            <w:pPr>
              <w:spacing w:line="219" w:lineRule="auto"/>
              <w:ind w:left="29"/>
              <w:rPr>
                <w:rFonts w:ascii="宋体" w:hAnsi="宋体" w:eastAsia="宋体" w:cs="宋体"/>
                <w:sz w:val="21"/>
                <w:szCs w:val="21"/>
              </w:rPr>
            </w:pPr>
            <w:r>
              <w:rPr>
                <w:rFonts w:ascii="宋体" w:hAnsi="宋体" w:eastAsia="宋体" w:cs="宋体"/>
                <w:sz w:val="21"/>
                <w:szCs w:val="21"/>
              </w:rPr>
              <w:t>季</w:t>
            </w:r>
          </w:p>
          <w:p w14:paraId="53F44C3F">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4A9B71F">
            <w:pPr>
              <w:pStyle w:val="6"/>
              <w:spacing w:before="81" w:line="186" w:lineRule="auto"/>
              <w:ind w:left="199"/>
            </w:pPr>
            <w:r>
              <w:rPr>
                <w:spacing w:val="-1"/>
              </w:rPr>
              <w:t>2020/5/20</w:t>
            </w:r>
          </w:p>
        </w:tc>
        <w:tc>
          <w:tcPr>
            <w:tcW w:w="880" w:type="dxa"/>
            <w:vAlign w:val="top"/>
          </w:tcPr>
          <w:p w14:paraId="64E6A1F9">
            <w:pPr>
              <w:pStyle w:val="6"/>
              <w:spacing w:before="81" w:line="186" w:lineRule="auto"/>
              <w:ind w:left="267"/>
            </w:pPr>
            <w:r>
              <w:rPr>
                <w:spacing w:val="-6"/>
              </w:rPr>
              <w:t>17.5</w:t>
            </w:r>
          </w:p>
        </w:tc>
        <w:tc>
          <w:tcPr>
            <w:tcW w:w="880" w:type="dxa"/>
            <w:vAlign w:val="top"/>
          </w:tcPr>
          <w:p w14:paraId="66F9B3DF">
            <w:pPr>
              <w:pStyle w:val="6"/>
              <w:spacing w:before="81" w:line="186" w:lineRule="auto"/>
              <w:ind w:left="252"/>
            </w:pPr>
            <w:r>
              <w:rPr>
                <w:spacing w:val="-2"/>
              </w:rPr>
              <w:t>7.40</w:t>
            </w:r>
          </w:p>
        </w:tc>
        <w:tc>
          <w:tcPr>
            <w:tcW w:w="880" w:type="dxa"/>
            <w:vAlign w:val="top"/>
          </w:tcPr>
          <w:p w14:paraId="1CAF7BCD">
            <w:pPr>
              <w:pStyle w:val="6"/>
              <w:spacing w:before="81" w:line="186" w:lineRule="auto"/>
              <w:ind w:left="381"/>
            </w:pPr>
            <w:r>
              <w:t>4</w:t>
            </w:r>
          </w:p>
        </w:tc>
        <w:tc>
          <w:tcPr>
            <w:tcW w:w="880" w:type="dxa"/>
            <w:vAlign w:val="top"/>
          </w:tcPr>
          <w:p w14:paraId="471FCA0D">
            <w:pPr>
              <w:pStyle w:val="6"/>
              <w:spacing w:before="81" w:line="186" w:lineRule="auto"/>
              <w:ind w:left="310"/>
            </w:pPr>
            <w:r>
              <w:rPr>
                <w:spacing w:val="-4"/>
              </w:rPr>
              <w:t>5.5</w:t>
            </w:r>
          </w:p>
        </w:tc>
        <w:tc>
          <w:tcPr>
            <w:tcW w:w="880" w:type="dxa"/>
            <w:vAlign w:val="top"/>
          </w:tcPr>
          <w:p w14:paraId="73A1610C">
            <w:pPr>
              <w:pStyle w:val="6"/>
              <w:spacing w:before="81" w:line="186" w:lineRule="auto"/>
              <w:ind w:left="307"/>
            </w:pPr>
            <w:r>
              <w:rPr>
                <w:spacing w:val="-2"/>
              </w:rPr>
              <w:t>2.2</w:t>
            </w:r>
          </w:p>
        </w:tc>
        <w:tc>
          <w:tcPr>
            <w:tcW w:w="880" w:type="dxa"/>
            <w:vAlign w:val="top"/>
          </w:tcPr>
          <w:p w14:paraId="703653EF">
            <w:pPr>
              <w:pStyle w:val="6"/>
              <w:spacing w:before="84" w:line="183" w:lineRule="auto"/>
              <w:ind w:left="323"/>
            </w:pPr>
            <w:r>
              <w:rPr>
                <w:spacing w:val="-1"/>
              </w:rPr>
              <w:t>4L</w:t>
            </w:r>
          </w:p>
        </w:tc>
        <w:tc>
          <w:tcPr>
            <w:tcW w:w="880" w:type="dxa"/>
            <w:vAlign w:val="top"/>
          </w:tcPr>
          <w:p w14:paraId="31953DC6">
            <w:pPr>
              <w:pStyle w:val="6"/>
              <w:spacing w:before="81" w:line="186" w:lineRule="auto"/>
              <w:ind w:left="250"/>
            </w:pPr>
            <w:r>
              <w:rPr>
                <w:spacing w:val="-2"/>
              </w:rPr>
              <w:t>0.5L</w:t>
            </w:r>
          </w:p>
        </w:tc>
        <w:tc>
          <w:tcPr>
            <w:tcW w:w="880" w:type="dxa"/>
            <w:vAlign w:val="top"/>
          </w:tcPr>
          <w:p w14:paraId="66169F76">
            <w:pPr>
              <w:pStyle w:val="6"/>
              <w:spacing w:before="81" w:line="186" w:lineRule="auto"/>
              <w:ind w:left="212"/>
            </w:pPr>
            <w:r>
              <w:rPr>
                <w:spacing w:val="-2"/>
              </w:rPr>
              <w:t>0.129</w:t>
            </w:r>
          </w:p>
        </w:tc>
        <w:tc>
          <w:tcPr>
            <w:tcW w:w="880" w:type="dxa"/>
            <w:vAlign w:val="top"/>
          </w:tcPr>
          <w:p w14:paraId="089EFDD6">
            <w:pPr>
              <w:pStyle w:val="6"/>
              <w:spacing w:before="81" w:line="186" w:lineRule="auto"/>
              <w:ind w:left="266"/>
            </w:pPr>
            <w:r>
              <w:rPr>
                <w:spacing w:val="-2"/>
              </w:rPr>
              <w:t>0.04</w:t>
            </w:r>
          </w:p>
        </w:tc>
        <w:tc>
          <w:tcPr>
            <w:tcW w:w="880" w:type="dxa"/>
            <w:vAlign w:val="top"/>
          </w:tcPr>
          <w:p w14:paraId="127492A7">
            <w:pPr>
              <w:pStyle w:val="6"/>
              <w:spacing w:before="81" w:line="186" w:lineRule="auto"/>
              <w:ind w:left="268"/>
            </w:pPr>
            <w:r>
              <w:rPr>
                <w:spacing w:val="-2"/>
              </w:rPr>
              <w:t>0.01</w:t>
            </w:r>
          </w:p>
        </w:tc>
        <w:tc>
          <w:tcPr>
            <w:tcW w:w="881" w:type="dxa"/>
            <w:vAlign w:val="top"/>
          </w:tcPr>
          <w:p w14:paraId="35A10723">
            <w:pPr>
              <w:pStyle w:val="6"/>
              <w:spacing w:before="81" w:line="186" w:lineRule="auto"/>
              <w:ind w:left="206"/>
            </w:pPr>
            <w:r>
              <w:rPr>
                <w:spacing w:val="-2"/>
              </w:rPr>
              <w:t>0.05L</w:t>
            </w:r>
          </w:p>
        </w:tc>
        <w:tc>
          <w:tcPr>
            <w:tcW w:w="894" w:type="dxa"/>
            <w:tcBorders>
              <w:right w:val="single" w:color="000000" w:sz="12" w:space="0"/>
            </w:tcBorders>
            <w:vAlign w:val="top"/>
          </w:tcPr>
          <w:p w14:paraId="4C059F7E">
            <w:pPr>
              <w:pStyle w:val="6"/>
              <w:spacing w:before="81" w:line="186" w:lineRule="auto"/>
              <w:ind w:left="262"/>
            </w:pPr>
            <w:r>
              <w:rPr>
                <w:spacing w:val="-5"/>
              </w:rPr>
              <w:t>1700</w:t>
            </w:r>
          </w:p>
        </w:tc>
      </w:tr>
      <w:tr w14:paraId="21099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9A17E6C">
            <w:pPr>
              <w:rPr>
                <w:rFonts w:ascii="Arial"/>
                <w:sz w:val="21"/>
              </w:rPr>
            </w:pPr>
          </w:p>
        </w:tc>
        <w:tc>
          <w:tcPr>
            <w:tcW w:w="285" w:type="dxa"/>
            <w:vMerge w:val="continue"/>
            <w:tcBorders>
              <w:top w:val="nil"/>
              <w:bottom w:val="nil"/>
            </w:tcBorders>
            <w:vAlign w:val="top"/>
          </w:tcPr>
          <w:p w14:paraId="11486D1C">
            <w:pPr>
              <w:rPr>
                <w:rFonts w:ascii="Arial"/>
                <w:sz w:val="21"/>
              </w:rPr>
            </w:pPr>
          </w:p>
        </w:tc>
        <w:tc>
          <w:tcPr>
            <w:tcW w:w="1273" w:type="dxa"/>
            <w:vAlign w:val="top"/>
          </w:tcPr>
          <w:p w14:paraId="6DBFB1D1">
            <w:pPr>
              <w:pStyle w:val="6"/>
              <w:spacing w:before="82" w:line="186" w:lineRule="auto"/>
              <w:ind w:left="199"/>
            </w:pPr>
            <w:r>
              <w:rPr>
                <w:spacing w:val="-1"/>
              </w:rPr>
              <w:t>2020/5/21</w:t>
            </w:r>
          </w:p>
        </w:tc>
        <w:tc>
          <w:tcPr>
            <w:tcW w:w="880" w:type="dxa"/>
            <w:vAlign w:val="top"/>
          </w:tcPr>
          <w:p w14:paraId="5FA0B623">
            <w:pPr>
              <w:pStyle w:val="6"/>
              <w:spacing w:before="82" w:line="186" w:lineRule="auto"/>
              <w:ind w:left="267"/>
            </w:pPr>
            <w:r>
              <w:rPr>
                <w:spacing w:val="-6"/>
              </w:rPr>
              <w:t>17.8</w:t>
            </w:r>
          </w:p>
        </w:tc>
        <w:tc>
          <w:tcPr>
            <w:tcW w:w="880" w:type="dxa"/>
            <w:vAlign w:val="top"/>
          </w:tcPr>
          <w:p w14:paraId="3576AB68">
            <w:pPr>
              <w:pStyle w:val="6"/>
              <w:spacing w:before="82" w:line="186" w:lineRule="auto"/>
              <w:ind w:left="252"/>
            </w:pPr>
            <w:r>
              <w:rPr>
                <w:spacing w:val="-2"/>
              </w:rPr>
              <w:t>7.44</w:t>
            </w:r>
          </w:p>
        </w:tc>
        <w:tc>
          <w:tcPr>
            <w:tcW w:w="880" w:type="dxa"/>
            <w:vAlign w:val="top"/>
          </w:tcPr>
          <w:p w14:paraId="11C35F66">
            <w:pPr>
              <w:pStyle w:val="6"/>
              <w:spacing w:before="82" w:line="186" w:lineRule="auto"/>
              <w:ind w:left="387"/>
            </w:pPr>
            <w:r>
              <w:t>5</w:t>
            </w:r>
          </w:p>
        </w:tc>
        <w:tc>
          <w:tcPr>
            <w:tcW w:w="880" w:type="dxa"/>
            <w:vAlign w:val="top"/>
          </w:tcPr>
          <w:p w14:paraId="72A8110F">
            <w:pPr>
              <w:pStyle w:val="6"/>
              <w:spacing w:before="82" w:line="186" w:lineRule="auto"/>
              <w:ind w:left="310"/>
            </w:pPr>
            <w:r>
              <w:rPr>
                <w:spacing w:val="-4"/>
              </w:rPr>
              <w:t>5.9</w:t>
            </w:r>
          </w:p>
        </w:tc>
        <w:tc>
          <w:tcPr>
            <w:tcW w:w="880" w:type="dxa"/>
            <w:vAlign w:val="top"/>
          </w:tcPr>
          <w:p w14:paraId="7DB46470">
            <w:pPr>
              <w:pStyle w:val="6"/>
              <w:spacing w:before="82" w:line="186" w:lineRule="auto"/>
              <w:ind w:left="327"/>
            </w:pPr>
            <w:r>
              <w:rPr>
                <w:spacing w:val="-8"/>
              </w:rPr>
              <w:t>1.9</w:t>
            </w:r>
          </w:p>
        </w:tc>
        <w:tc>
          <w:tcPr>
            <w:tcW w:w="880" w:type="dxa"/>
            <w:vAlign w:val="top"/>
          </w:tcPr>
          <w:p w14:paraId="4B99998D">
            <w:pPr>
              <w:pStyle w:val="6"/>
              <w:spacing w:before="86" w:line="182" w:lineRule="auto"/>
              <w:ind w:left="323"/>
            </w:pPr>
            <w:r>
              <w:rPr>
                <w:spacing w:val="-1"/>
              </w:rPr>
              <w:t>4L</w:t>
            </w:r>
          </w:p>
        </w:tc>
        <w:tc>
          <w:tcPr>
            <w:tcW w:w="880" w:type="dxa"/>
            <w:vAlign w:val="top"/>
          </w:tcPr>
          <w:p w14:paraId="68FB8F86">
            <w:pPr>
              <w:pStyle w:val="6"/>
              <w:spacing w:before="82" w:line="186" w:lineRule="auto"/>
              <w:ind w:left="250"/>
            </w:pPr>
            <w:r>
              <w:rPr>
                <w:spacing w:val="-2"/>
              </w:rPr>
              <w:t>0.5L</w:t>
            </w:r>
          </w:p>
        </w:tc>
        <w:tc>
          <w:tcPr>
            <w:tcW w:w="880" w:type="dxa"/>
            <w:vAlign w:val="top"/>
          </w:tcPr>
          <w:p w14:paraId="4F410878">
            <w:pPr>
              <w:pStyle w:val="6"/>
              <w:spacing w:before="82" w:line="186" w:lineRule="auto"/>
              <w:ind w:left="212"/>
            </w:pPr>
            <w:r>
              <w:rPr>
                <w:spacing w:val="-2"/>
              </w:rPr>
              <w:t>0.138</w:t>
            </w:r>
          </w:p>
        </w:tc>
        <w:tc>
          <w:tcPr>
            <w:tcW w:w="880" w:type="dxa"/>
            <w:vAlign w:val="top"/>
          </w:tcPr>
          <w:p w14:paraId="39735F16">
            <w:pPr>
              <w:pStyle w:val="6"/>
              <w:spacing w:before="82" w:line="186" w:lineRule="auto"/>
              <w:ind w:left="266"/>
            </w:pPr>
            <w:r>
              <w:rPr>
                <w:spacing w:val="-2"/>
              </w:rPr>
              <w:t>0.04</w:t>
            </w:r>
          </w:p>
        </w:tc>
        <w:tc>
          <w:tcPr>
            <w:tcW w:w="880" w:type="dxa"/>
            <w:vAlign w:val="top"/>
          </w:tcPr>
          <w:p w14:paraId="372DAB62">
            <w:pPr>
              <w:pStyle w:val="6"/>
              <w:spacing w:before="82" w:line="186" w:lineRule="auto"/>
              <w:ind w:left="268"/>
            </w:pPr>
            <w:r>
              <w:rPr>
                <w:spacing w:val="-2"/>
              </w:rPr>
              <w:t>0.01</w:t>
            </w:r>
          </w:p>
        </w:tc>
        <w:tc>
          <w:tcPr>
            <w:tcW w:w="881" w:type="dxa"/>
            <w:vAlign w:val="top"/>
          </w:tcPr>
          <w:p w14:paraId="480C1488">
            <w:pPr>
              <w:pStyle w:val="6"/>
              <w:spacing w:before="82" w:line="186" w:lineRule="auto"/>
              <w:ind w:left="206"/>
            </w:pPr>
            <w:r>
              <w:rPr>
                <w:spacing w:val="-2"/>
              </w:rPr>
              <w:t>0.05L</w:t>
            </w:r>
          </w:p>
        </w:tc>
        <w:tc>
          <w:tcPr>
            <w:tcW w:w="894" w:type="dxa"/>
            <w:tcBorders>
              <w:right w:val="single" w:color="000000" w:sz="12" w:space="0"/>
            </w:tcBorders>
            <w:vAlign w:val="top"/>
          </w:tcPr>
          <w:p w14:paraId="50185C27">
            <w:pPr>
              <w:pStyle w:val="6"/>
              <w:spacing w:before="82" w:line="186" w:lineRule="auto"/>
              <w:ind w:left="262"/>
            </w:pPr>
            <w:r>
              <w:rPr>
                <w:spacing w:val="-5"/>
              </w:rPr>
              <w:t>1800</w:t>
            </w:r>
          </w:p>
        </w:tc>
      </w:tr>
      <w:tr w14:paraId="47BB5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F9B8C56">
            <w:pPr>
              <w:rPr>
                <w:rFonts w:ascii="Arial"/>
                <w:sz w:val="21"/>
              </w:rPr>
            </w:pPr>
          </w:p>
        </w:tc>
        <w:tc>
          <w:tcPr>
            <w:tcW w:w="285" w:type="dxa"/>
            <w:vMerge w:val="continue"/>
            <w:tcBorders>
              <w:top w:val="nil"/>
            </w:tcBorders>
            <w:vAlign w:val="top"/>
          </w:tcPr>
          <w:p w14:paraId="31616BE8">
            <w:pPr>
              <w:rPr>
                <w:rFonts w:ascii="Arial"/>
                <w:sz w:val="21"/>
              </w:rPr>
            </w:pPr>
          </w:p>
        </w:tc>
        <w:tc>
          <w:tcPr>
            <w:tcW w:w="1273" w:type="dxa"/>
            <w:vAlign w:val="top"/>
          </w:tcPr>
          <w:p w14:paraId="7BAC3E6C">
            <w:pPr>
              <w:pStyle w:val="6"/>
              <w:spacing w:before="83" w:line="184" w:lineRule="auto"/>
              <w:ind w:left="199"/>
            </w:pPr>
            <w:r>
              <w:rPr>
                <w:spacing w:val="-1"/>
              </w:rPr>
              <w:t>2020/5/22</w:t>
            </w:r>
          </w:p>
        </w:tc>
        <w:tc>
          <w:tcPr>
            <w:tcW w:w="880" w:type="dxa"/>
            <w:vAlign w:val="top"/>
          </w:tcPr>
          <w:p w14:paraId="204D1D9D">
            <w:pPr>
              <w:pStyle w:val="6"/>
              <w:spacing w:before="83" w:line="184" w:lineRule="auto"/>
              <w:ind w:left="267"/>
            </w:pPr>
            <w:r>
              <w:rPr>
                <w:spacing w:val="-6"/>
              </w:rPr>
              <w:t>18.1</w:t>
            </w:r>
          </w:p>
        </w:tc>
        <w:tc>
          <w:tcPr>
            <w:tcW w:w="880" w:type="dxa"/>
            <w:vAlign w:val="top"/>
          </w:tcPr>
          <w:p w14:paraId="28FE1C0C">
            <w:pPr>
              <w:pStyle w:val="6"/>
              <w:spacing w:before="83" w:line="184" w:lineRule="auto"/>
              <w:ind w:left="252"/>
            </w:pPr>
            <w:r>
              <w:rPr>
                <w:spacing w:val="-2"/>
              </w:rPr>
              <w:t>7.46</w:t>
            </w:r>
          </w:p>
        </w:tc>
        <w:tc>
          <w:tcPr>
            <w:tcW w:w="880" w:type="dxa"/>
            <w:vAlign w:val="top"/>
          </w:tcPr>
          <w:p w14:paraId="04B5C092">
            <w:pPr>
              <w:pStyle w:val="6"/>
              <w:spacing w:before="83" w:line="184" w:lineRule="auto"/>
              <w:ind w:left="381"/>
            </w:pPr>
            <w:r>
              <w:t>4</w:t>
            </w:r>
          </w:p>
        </w:tc>
        <w:tc>
          <w:tcPr>
            <w:tcW w:w="880" w:type="dxa"/>
            <w:vAlign w:val="top"/>
          </w:tcPr>
          <w:p w14:paraId="2C225CDB">
            <w:pPr>
              <w:pStyle w:val="6"/>
              <w:spacing w:before="83" w:line="184" w:lineRule="auto"/>
              <w:ind w:left="309"/>
            </w:pPr>
            <w:r>
              <w:rPr>
                <w:spacing w:val="-3"/>
              </w:rPr>
              <w:t>6.1</w:t>
            </w:r>
          </w:p>
        </w:tc>
        <w:tc>
          <w:tcPr>
            <w:tcW w:w="880" w:type="dxa"/>
            <w:vAlign w:val="top"/>
          </w:tcPr>
          <w:p w14:paraId="5DC97FA2">
            <w:pPr>
              <w:pStyle w:val="6"/>
              <w:spacing w:before="83" w:line="184" w:lineRule="auto"/>
              <w:ind w:left="307"/>
            </w:pPr>
            <w:r>
              <w:rPr>
                <w:spacing w:val="-2"/>
              </w:rPr>
              <w:t>2.0</w:t>
            </w:r>
          </w:p>
        </w:tc>
        <w:tc>
          <w:tcPr>
            <w:tcW w:w="880" w:type="dxa"/>
            <w:vAlign w:val="top"/>
          </w:tcPr>
          <w:p w14:paraId="0D743DA0">
            <w:pPr>
              <w:pStyle w:val="6"/>
              <w:spacing w:before="87" w:line="180" w:lineRule="auto"/>
              <w:ind w:left="323"/>
            </w:pPr>
            <w:r>
              <w:rPr>
                <w:spacing w:val="-1"/>
              </w:rPr>
              <w:t>4L</w:t>
            </w:r>
          </w:p>
        </w:tc>
        <w:tc>
          <w:tcPr>
            <w:tcW w:w="880" w:type="dxa"/>
            <w:vAlign w:val="top"/>
          </w:tcPr>
          <w:p w14:paraId="0AEBAC4E">
            <w:pPr>
              <w:pStyle w:val="6"/>
              <w:spacing w:before="83" w:line="184" w:lineRule="auto"/>
              <w:ind w:left="250"/>
            </w:pPr>
            <w:r>
              <w:rPr>
                <w:spacing w:val="-2"/>
              </w:rPr>
              <w:t>0.5L</w:t>
            </w:r>
          </w:p>
        </w:tc>
        <w:tc>
          <w:tcPr>
            <w:tcW w:w="880" w:type="dxa"/>
            <w:vAlign w:val="top"/>
          </w:tcPr>
          <w:p w14:paraId="0F770693">
            <w:pPr>
              <w:pStyle w:val="6"/>
              <w:spacing w:before="83" w:line="184" w:lineRule="auto"/>
              <w:ind w:left="212"/>
            </w:pPr>
            <w:r>
              <w:rPr>
                <w:spacing w:val="-2"/>
              </w:rPr>
              <w:t>0.126</w:t>
            </w:r>
          </w:p>
        </w:tc>
        <w:tc>
          <w:tcPr>
            <w:tcW w:w="880" w:type="dxa"/>
            <w:vAlign w:val="top"/>
          </w:tcPr>
          <w:p w14:paraId="7023E277">
            <w:pPr>
              <w:pStyle w:val="6"/>
              <w:spacing w:before="83" w:line="184" w:lineRule="auto"/>
              <w:ind w:left="266"/>
            </w:pPr>
            <w:r>
              <w:rPr>
                <w:spacing w:val="-2"/>
              </w:rPr>
              <w:t>0.03</w:t>
            </w:r>
          </w:p>
        </w:tc>
        <w:tc>
          <w:tcPr>
            <w:tcW w:w="880" w:type="dxa"/>
            <w:vAlign w:val="top"/>
          </w:tcPr>
          <w:p w14:paraId="22C66446">
            <w:pPr>
              <w:pStyle w:val="6"/>
              <w:spacing w:before="83" w:line="184" w:lineRule="auto"/>
              <w:ind w:left="268"/>
            </w:pPr>
            <w:r>
              <w:rPr>
                <w:spacing w:val="-2"/>
              </w:rPr>
              <w:t>0.01</w:t>
            </w:r>
          </w:p>
        </w:tc>
        <w:tc>
          <w:tcPr>
            <w:tcW w:w="881" w:type="dxa"/>
            <w:vAlign w:val="top"/>
          </w:tcPr>
          <w:p w14:paraId="25851A60">
            <w:pPr>
              <w:pStyle w:val="6"/>
              <w:spacing w:before="83" w:line="184" w:lineRule="auto"/>
              <w:ind w:left="206"/>
            </w:pPr>
            <w:r>
              <w:rPr>
                <w:spacing w:val="-2"/>
              </w:rPr>
              <w:t>0.05L</w:t>
            </w:r>
          </w:p>
        </w:tc>
        <w:tc>
          <w:tcPr>
            <w:tcW w:w="894" w:type="dxa"/>
            <w:tcBorders>
              <w:right w:val="single" w:color="000000" w:sz="12" w:space="0"/>
            </w:tcBorders>
            <w:vAlign w:val="top"/>
          </w:tcPr>
          <w:p w14:paraId="798B3761">
            <w:pPr>
              <w:pStyle w:val="6"/>
              <w:spacing w:before="83" w:line="184" w:lineRule="auto"/>
              <w:ind w:left="262"/>
            </w:pPr>
            <w:r>
              <w:rPr>
                <w:spacing w:val="-5"/>
              </w:rPr>
              <w:t>1500</w:t>
            </w:r>
          </w:p>
        </w:tc>
      </w:tr>
      <w:tr w14:paraId="5EAD2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F66430F">
            <w:pPr>
              <w:rPr>
                <w:rFonts w:ascii="Arial"/>
                <w:sz w:val="21"/>
              </w:rPr>
            </w:pPr>
          </w:p>
        </w:tc>
        <w:tc>
          <w:tcPr>
            <w:tcW w:w="285" w:type="dxa"/>
            <w:vMerge w:val="restart"/>
            <w:tcBorders>
              <w:bottom w:val="nil"/>
            </w:tcBorders>
            <w:vAlign w:val="top"/>
          </w:tcPr>
          <w:p w14:paraId="4F8816B3">
            <w:pPr>
              <w:pStyle w:val="6"/>
              <w:spacing w:before="104" w:line="222" w:lineRule="auto"/>
              <w:ind w:left="81"/>
            </w:pPr>
            <w:r>
              <w:t>3</w:t>
            </w:r>
          </w:p>
          <w:p w14:paraId="3754FE3E">
            <w:pPr>
              <w:spacing w:line="219" w:lineRule="auto"/>
              <w:ind w:left="29"/>
              <w:rPr>
                <w:rFonts w:ascii="宋体" w:hAnsi="宋体" w:eastAsia="宋体" w:cs="宋体"/>
                <w:sz w:val="21"/>
                <w:szCs w:val="21"/>
              </w:rPr>
            </w:pPr>
            <w:r>
              <w:rPr>
                <w:rFonts w:ascii="宋体" w:hAnsi="宋体" w:eastAsia="宋体" w:cs="宋体"/>
                <w:sz w:val="21"/>
                <w:szCs w:val="21"/>
              </w:rPr>
              <w:t>季</w:t>
            </w:r>
          </w:p>
          <w:p w14:paraId="24D23B8C">
            <w:pPr>
              <w:spacing w:before="22"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76BBB8D">
            <w:pPr>
              <w:pStyle w:val="6"/>
              <w:spacing w:before="84" w:line="183" w:lineRule="auto"/>
              <w:ind w:left="199"/>
            </w:pPr>
            <w:r>
              <w:rPr>
                <w:spacing w:val="-1"/>
              </w:rPr>
              <w:t>2020/8/20</w:t>
            </w:r>
          </w:p>
        </w:tc>
        <w:tc>
          <w:tcPr>
            <w:tcW w:w="880" w:type="dxa"/>
            <w:vAlign w:val="top"/>
          </w:tcPr>
          <w:p w14:paraId="74B817EA">
            <w:pPr>
              <w:pStyle w:val="6"/>
              <w:spacing w:before="84" w:line="183" w:lineRule="auto"/>
              <w:ind w:left="267"/>
            </w:pPr>
            <w:r>
              <w:rPr>
                <w:spacing w:val="-6"/>
              </w:rPr>
              <w:t>17.3</w:t>
            </w:r>
          </w:p>
        </w:tc>
        <w:tc>
          <w:tcPr>
            <w:tcW w:w="880" w:type="dxa"/>
            <w:vAlign w:val="top"/>
          </w:tcPr>
          <w:p w14:paraId="36B13F4D">
            <w:pPr>
              <w:pStyle w:val="6"/>
              <w:spacing w:before="84" w:line="183" w:lineRule="auto"/>
              <w:ind w:left="257"/>
            </w:pPr>
            <w:r>
              <w:rPr>
                <w:spacing w:val="-4"/>
              </w:rPr>
              <w:t>8.23</w:t>
            </w:r>
          </w:p>
        </w:tc>
        <w:tc>
          <w:tcPr>
            <w:tcW w:w="880" w:type="dxa"/>
            <w:vAlign w:val="top"/>
          </w:tcPr>
          <w:p w14:paraId="0A1ACCD9">
            <w:pPr>
              <w:pStyle w:val="6"/>
              <w:spacing w:before="84" w:line="183" w:lineRule="auto"/>
              <w:ind w:left="387"/>
            </w:pPr>
            <w:r>
              <w:t>5</w:t>
            </w:r>
          </w:p>
        </w:tc>
        <w:tc>
          <w:tcPr>
            <w:tcW w:w="880" w:type="dxa"/>
            <w:vAlign w:val="top"/>
          </w:tcPr>
          <w:p w14:paraId="07DE9E64">
            <w:pPr>
              <w:pStyle w:val="6"/>
              <w:spacing w:before="84" w:line="183" w:lineRule="auto"/>
              <w:ind w:left="309"/>
            </w:pPr>
            <w:r>
              <w:rPr>
                <w:spacing w:val="-3"/>
              </w:rPr>
              <w:t>3.3</w:t>
            </w:r>
          </w:p>
        </w:tc>
        <w:tc>
          <w:tcPr>
            <w:tcW w:w="880" w:type="dxa"/>
            <w:vAlign w:val="top"/>
          </w:tcPr>
          <w:p w14:paraId="2A0F8630">
            <w:pPr>
              <w:pStyle w:val="6"/>
              <w:spacing w:before="84" w:line="183" w:lineRule="auto"/>
              <w:ind w:left="311"/>
            </w:pPr>
            <w:r>
              <w:rPr>
                <w:spacing w:val="-3"/>
              </w:rPr>
              <w:t>3.7</w:t>
            </w:r>
          </w:p>
        </w:tc>
        <w:tc>
          <w:tcPr>
            <w:tcW w:w="880" w:type="dxa"/>
            <w:vAlign w:val="top"/>
          </w:tcPr>
          <w:p w14:paraId="77F6A703">
            <w:pPr>
              <w:pStyle w:val="6"/>
              <w:spacing w:before="84" w:line="183" w:lineRule="auto"/>
              <w:ind w:left="392"/>
            </w:pPr>
            <w:r>
              <w:t>9</w:t>
            </w:r>
          </w:p>
        </w:tc>
        <w:tc>
          <w:tcPr>
            <w:tcW w:w="880" w:type="dxa"/>
            <w:vAlign w:val="top"/>
          </w:tcPr>
          <w:p w14:paraId="176C00C5">
            <w:pPr>
              <w:pStyle w:val="6"/>
              <w:spacing w:before="84" w:line="183" w:lineRule="auto"/>
              <w:ind w:left="331"/>
            </w:pPr>
            <w:r>
              <w:rPr>
                <w:spacing w:val="-8"/>
              </w:rPr>
              <w:t>1.8</w:t>
            </w:r>
          </w:p>
        </w:tc>
        <w:tc>
          <w:tcPr>
            <w:tcW w:w="880" w:type="dxa"/>
            <w:vAlign w:val="top"/>
          </w:tcPr>
          <w:p w14:paraId="3B254031">
            <w:pPr>
              <w:pStyle w:val="6"/>
              <w:spacing w:before="84" w:line="183" w:lineRule="auto"/>
              <w:ind w:left="212"/>
            </w:pPr>
            <w:r>
              <w:rPr>
                <w:spacing w:val="-2"/>
              </w:rPr>
              <w:t>0.199</w:t>
            </w:r>
          </w:p>
        </w:tc>
        <w:tc>
          <w:tcPr>
            <w:tcW w:w="880" w:type="dxa"/>
            <w:vAlign w:val="top"/>
          </w:tcPr>
          <w:p w14:paraId="08186D2D">
            <w:pPr>
              <w:pStyle w:val="6"/>
              <w:spacing w:before="84" w:line="183" w:lineRule="auto"/>
              <w:ind w:left="266"/>
            </w:pPr>
            <w:r>
              <w:rPr>
                <w:spacing w:val="-2"/>
              </w:rPr>
              <w:t>0.03</w:t>
            </w:r>
          </w:p>
        </w:tc>
        <w:tc>
          <w:tcPr>
            <w:tcW w:w="880" w:type="dxa"/>
            <w:vAlign w:val="top"/>
          </w:tcPr>
          <w:p w14:paraId="46A9F864">
            <w:pPr>
              <w:pStyle w:val="6"/>
              <w:spacing w:before="84" w:line="183" w:lineRule="auto"/>
              <w:ind w:left="268"/>
            </w:pPr>
            <w:r>
              <w:rPr>
                <w:spacing w:val="-2"/>
              </w:rPr>
              <w:t>0.02</w:t>
            </w:r>
          </w:p>
        </w:tc>
        <w:tc>
          <w:tcPr>
            <w:tcW w:w="881" w:type="dxa"/>
            <w:vAlign w:val="top"/>
          </w:tcPr>
          <w:p w14:paraId="7A383371">
            <w:pPr>
              <w:pStyle w:val="6"/>
              <w:spacing w:before="84" w:line="183" w:lineRule="auto"/>
              <w:ind w:left="206"/>
            </w:pPr>
            <w:r>
              <w:rPr>
                <w:spacing w:val="-2"/>
              </w:rPr>
              <w:t>0.05L</w:t>
            </w:r>
          </w:p>
        </w:tc>
        <w:tc>
          <w:tcPr>
            <w:tcW w:w="894" w:type="dxa"/>
            <w:tcBorders>
              <w:right w:val="single" w:color="000000" w:sz="12" w:space="0"/>
            </w:tcBorders>
            <w:vAlign w:val="top"/>
          </w:tcPr>
          <w:p w14:paraId="0450D184">
            <w:pPr>
              <w:pStyle w:val="6"/>
              <w:spacing w:before="84" w:line="183" w:lineRule="auto"/>
              <w:ind w:left="351"/>
            </w:pPr>
            <w:r>
              <w:rPr>
                <w:spacing w:val="-2"/>
              </w:rPr>
              <w:t>90</w:t>
            </w:r>
          </w:p>
        </w:tc>
      </w:tr>
      <w:tr w14:paraId="0919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63D83D3">
            <w:pPr>
              <w:rPr>
                <w:rFonts w:ascii="Arial"/>
                <w:sz w:val="21"/>
              </w:rPr>
            </w:pPr>
          </w:p>
        </w:tc>
        <w:tc>
          <w:tcPr>
            <w:tcW w:w="285" w:type="dxa"/>
            <w:vMerge w:val="continue"/>
            <w:tcBorders>
              <w:top w:val="nil"/>
              <w:bottom w:val="nil"/>
            </w:tcBorders>
            <w:vAlign w:val="top"/>
          </w:tcPr>
          <w:p w14:paraId="537F211B">
            <w:pPr>
              <w:rPr>
                <w:rFonts w:ascii="Arial"/>
                <w:sz w:val="21"/>
              </w:rPr>
            </w:pPr>
          </w:p>
        </w:tc>
        <w:tc>
          <w:tcPr>
            <w:tcW w:w="1273" w:type="dxa"/>
            <w:vAlign w:val="top"/>
          </w:tcPr>
          <w:p w14:paraId="2FE08AA6">
            <w:pPr>
              <w:pStyle w:val="6"/>
              <w:spacing w:before="87" w:line="180" w:lineRule="auto"/>
              <w:ind w:left="199"/>
            </w:pPr>
            <w:r>
              <w:rPr>
                <w:spacing w:val="-1"/>
              </w:rPr>
              <w:t>2020/8/21</w:t>
            </w:r>
          </w:p>
        </w:tc>
        <w:tc>
          <w:tcPr>
            <w:tcW w:w="880" w:type="dxa"/>
            <w:vAlign w:val="top"/>
          </w:tcPr>
          <w:p w14:paraId="034192CB">
            <w:pPr>
              <w:pStyle w:val="6"/>
              <w:spacing w:before="87" w:line="180" w:lineRule="auto"/>
              <w:ind w:left="267"/>
            </w:pPr>
            <w:r>
              <w:rPr>
                <w:spacing w:val="-6"/>
              </w:rPr>
              <w:t>17.1</w:t>
            </w:r>
          </w:p>
        </w:tc>
        <w:tc>
          <w:tcPr>
            <w:tcW w:w="880" w:type="dxa"/>
            <w:vAlign w:val="top"/>
          </w:tcPr>
          <w:p w14:paraId="4DFAC5C9">
            <w:pPr>
              <w:pStyle w:val="6"/>
              <w:spacing w:before="87" w:line="180" w:lineRule="auto"/>
              <w:ind w:left="257"/>
            </w:pPr>
            <w:r>
              <w:rPr>
                <w:spacing w:val="-4"/>
              </w:rPr>
              <w:t>8.18</w:t>
            </w:r>
          </w:p>
        </w:tc>
        <w:tc>
          <w:tcPr>
            <w:tcW w:w="880" w:type="dxa"/>
            <w:vAlign w:val="top"/>
          </w:tcPr>
          <w:p w14:paraId="380EDF83">
            <w:pPr>
              <w:pStyle w:val="6"/>
              <w:spacing w:before="87" w:line="180" w:lineRule="auto"/>
              <w:ind w:left="381"/>
            </w:pPr>
            <w:r>
              <w:t>4</w:t>
            </w:r>
          </w:p>
        </w:tc>
        <w:tc>
          <w:tcPr>
            <w:tcW w:w="880" w:type="dxa"/>
            <w:vAlign w:val="top"/>
          </w:tcPr>
          <w:p w14:paraId="59853510">
            <w:pPr>
              <w:pStyle w:val="6"/>
              <w:spacing w:before="87" w:line="180" w:lineRule="auto"/>
              <w:ind w:left="309"/>
            </w:pPr>
            <w:r>
              <w:rPr>
                <w:spacing w:val="-3"/>
              </w:rPr>
              <w:t>3.6</w:t>
            </w:r>
          </w:p>
        </w:tc>
        <w:tc>
          <w:tcPr>
            <w:tcW w:w="880" w:type="dxa"/>
            <w:vAlign w:val="top"/>
          </w:tcPr>
          <w:p w14:paraId="4275BC22">
            <w:pPr>
              <w:pStyle w:val="6"/>
              <w:spacing w:before="87" w:line="180" w:lineRule="auto"/>
              <w:ind w:left="311"/>
            </w:pPr>
            <w:r>
              <w:rPr>
                <w:spacing w:val="-3"/>
              </w:rPr>
              <w:t>3.4</w:t>
            </w:r>
          </w:p>
        </w:tc>
        <w:tc>
          <w:tcPr>
            <w:tcW w:w="880" w:type="dxa"/>
            <w:vAlign w:val="top"/>
          </w:tcPr>
          <w:p w14:paraId="45FCA144">
            <w:pPr>
              <w:pStyle w:val="6"/>
              <w:spacing w:before="87" w:line="180" w:lineRule="auto"/>
              <w:ind w:left="397"/>
            </w:pPr>
            <w:r>
              <w:t>8</w:t>
            </w:r>
          </w:p>
        </w:tc>
        <w:tc>
          <w:tcPr>
            <w:tcW w:w="880" w:type="dxa"/>
            <w:vAlign w:val="top"/>
          </w:tcPr>
          <w:p w14:paraId="4FECBEA9">
            <w:pPr>
              <w:pStyle w:val="6"/>
              <w:spacing w:before="87" w:line="180" w:lineRule="auto"/>
              <w:ind w:left="331"/>
            </w:pPr>
            <w:r>
              <w:rPr>
                <w:spacing w:val="-8"/>
              </w:rPr>
              <w:t>1.6</w:t>
            </w:r>
          </w:p>
        </w:tc>
        <w:tc>
          <w:tcPr>
            <w:tcW w:w="880" w:type="dxa"/>
            <w:vAlign w:val="top"/>
          </w:tcPr>
          <w:p w14:paraId="1D323B11">
            <w:pPr>
              <w:pStyle w:val="6"/>
              <w:spacing w:before="87" w:line="180" w:lineRule="auto"/>
              <w:ind w:left="212"/>
            </w:pPr>
            <w:r>
              <w:rPr>
                <w:spacing w:val="-2"/>
              </w:rPr>
              <w:t>0.204</w:t>
            </w:r>
          </w:p>
        </w:tc>
        <w:tc>
          <w:tcPr>
            <w:tcW w:w="880" w:type="dxa"/>
            <w:vAlign w:val="top"/>
          </w:tcPr>
          <w:p w14:paraId="66D682A7">
            <w:pPr>
              <w:pStyle w:val="6"/>
              <w:spacing w:before="87" w:line="180" w:lineRule="auto"/>
              <w:ind w:left="266"/>
            </w:pPr>
            <w:r>
              <w:rPr>
                <w:spacing w:val="-2"/>
              </w:rPr>
              <w:t>0.04</w:t>
            </w:r>
          </w:p>
        </w:tc>
        <w:tc>
          <w:tcPr>
            <w:tcW w:w="880" w:type="dxa"/>
            <w:vAlign w:val="top"/>
          </w:tcPr>
          <w:p w14:paraId="79752BC4">
            <w:pPr>
              <w:pStyle w:val="6"/>
              <w:spacing w:before="87" w:line="180" w:lineRule="auto"/>
              <w:ind w:left="268"/>
            </w:pPr>
            <w:r>
              <w:rPr>
                <w:spacing w:val="-2"/>
              </w:rPr>
              <w:t>0.03</w:t>
            </w:r>
          </w:p>
        </w:tc>
        <w:tc>
          <w:tcPr>
            <w:tcW w:w="881" w:type="dxa"/>
            <w:vAlign w:val="top"/>
          </w:tcPr>
          <w:p w14:paraId="7F45EDB1">
            <w:pPr>
              <w:pStyle w:val="6"/>
              <w:spacing w:before="87" w:line="180" w:lineRule="auto"/>
              <w:ind w:left="206"/>
            </w:pPr>
            <w:r>
              <w:rPr>
                <w:spacing w:val="-2"/>
              </w:rPr>
              <w:t>0.05L</w:t>
            </w:r>
          </w:p>
        </w:tc>
        <w:tc>
          <w:tcPr>
            <w:tcW w:w="894" w:type="dxa"/>
            <w:tcBorders>
              <w:right w:val="single" w:color="000000" w:sz="12" w:space="0"/>
            </w:tcBorders>
            <w:vAlign w:val="top"/>
          </w:tcPr>
          <w:p w14:paraId="293259A6">
            <w:pPr>
              <w:pStyle w:val="6"/>
              <w:spacing w:before="87" w:line="180" w:lineRule="auto"/>
              <w:ind w:left="350"/>
            </w:pPr>
            <w:r>
              <w:rPr>
                <w:spacing w:val="-2"/>
              </w:rPr>
              <w:t>70</w:t>
            </w:r>
          </w:p>
        </w:tc>
      </w:tr>
      <w:tr w14:paraId="347C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DF63C13">
            <w:pPr>
              <w:rPr>
                <w:rFonts w:ascii="Arial"/>
                <w:sz w:val="21"/>
              </w:rPr>
            </w:pPr>
          </w:p>
        </w:tc>
        <w:tc>
          <w:tcPr>
            <w:tcW w:w="285" w:type="dxa"/>
            <w:vMerge w:val="continue"/>
            <w:tcBorders>
              <w:top w:val="nil"/>
            </w:tcBorders>
            <w:vAlign w:val="top"/>
          </w:tcPr>
          <w:p w14:paraId="5A83A94C">
            <w:pPr>
              <w:rPr>
                <w:rFonts w:ascii="Arial"/>
                <w:sz w:val="21"/>
              </w:rPr>
            </w:pPr>
          </w:p>
        </w:tc>
        <w:tc>
          <w:tcPr>
            <w:tcW w:w="1273" w:type="dxa"/>
            <w:vAlign w:val="top"/>
          </w:tcPr>
          <w:p w14:paraId="25C9444E">
            <w:pPr>
              <w:pStyle w:val="6"/>
              <w:spacing w:before="88" w:line="179" w:lineRule="auto"/>
              <w:ind w:left="199"/>
            </w:pPr>
            <w:r>
              <w:rPr>
                <w:spacing w:val="-1"/>
              </w:rPr>
              <w:t>2020/8/22</w:t>
            </w:r>
          </w:p>
        </w:tc>
        <w:tc>
          <w:tcPr>
            <w:tcW w:w="880" w:type="dxa"/>
            <w:vAlign w:val="top"/>
          </w:tcPr>
          <w:p w14:paraId="4110C850">
            <w:pPr>
              <w:pStyle w:val="6"/>
              <w:spacing w:before="88" w:line="179" w:lineRule="auto"/>
              <w:ind w:left="267"/>
            </w:pPr>
            <w:r>
              <w:rPr>
                <w:spacing w:val="-6"/>
              </w:rPr>
              <w:t>17.5</w:t>
            </w:r>
          </w:p>
        </w:tc>
        <w:tc>
          <w:tcPr>
            <w:tcW w:w="880" w:type="dxa"/>
            <w:vAlign w:val="top"/>
          </w:tcPr>
          <w:p w14:paraId="2F9B40F2">
            <w:pPr>
              <w:pStyle w:val="6"/>
              <w:spacing w:before="88" w:line="179" w:lineRule="auto"/>
              <w:ind w:left="257"/>
            </w:pPr>
            <w:r>
              <w:rPr>
                <w:spacing w:val="-4"/>
              </w:rPr>
              <w:t>8.28</w:t>
            </w:r>
          </w:p>
        </w:tc>
        <w:tc>
          <w:tcPr>
            <w:tcW w:w="880" w:type="dxa"/>
            <w:vAlign w:val="top"/>
          </w:tcPr>
          <w:p w14:paraId="0E92027B">
            <w:pPr>
              <w:pStyle w:val="6"/>
              <w:spacing w:before="88" w:line="179" w:lineRule="auto"/>
              <w:ind w:left="387"/>
            </w:pPr>
            <w:r>
              <w:t>5</w:t>
            </w:r>
          </w:p>
        </w:tc>
        <w:tc>
          <w:tcPr>
            <w:tcW w:w="880" w:type="dxa"/>
            <w:vAlign w:val="top"/>
          </w:tcPr>
          <w:p w14:paraId="2BF68EDC">
            <w:pPr>
              <w:pStyle w:val="6"/>
              <w:spacing w:before="88" w:line="179" w:lineRule="auto"/>
              <w:ind w:left="309"/>
            </w:pPr>
            <w:r>
              <w:rPr>
                <w:spacing w:val="-3"/>
              </w:rPr>
              <w:t>3.9</w:t>
            </w:r>
          </w:p>
        </w:tc>
        <w:tc>
          <w:tcPr>
            <w:tcW w:w="880" w:type="dxa"/>
            <w:vAlign w:val="top"/>
          </w:tcPr>
          <w:p w14:paraId="1CDE3AD9">
            <w:pPr>
              <w:pStyle w:val="6"/>
              <w:spacing w:before="88" w:line="179" w:lineRule="auto"/>
              <w:ind w:left="311"/>
            </w:pPr>
            <w:r>
              <w:rPr>
                <w:spacing w:val="-3"/>
              </w:rPr>
              <w:t>3.5</w:t>
            </w:r>
          </w:p>
        </w:tc>
        <w:tc>
          <w:tcPr>
            <w:tcW w:w="880" w:type="dxa"/>
            <w:vAlign w:val="top"/>
          </w:tcPr>
          <w:p w14:paraId="414254B5">
            <w:pPr>
              <w:pStyle w:val="6"/>
              <w:spacing w:before="88" w:line="179" w:lineRule="auto"/>
              <w:ind w:left="392"/>
            </w:pPr>
            <w:r>
              <w:t>9</w:t>
            </w:r>
          </w:p>
        </w:tc>
        <w:tc>
          <w:tcPr>
            <w:tcW w:w="880" w:type="dxa"/>
            <w:vAlign w:val="top"/>
          </w:tcPr>
          <w:p w14:paraId="38B59310">
            <w:pPr>
              <w:pStyle w:val="6"/>
              <w:spacing w:before="88" w:line="179" w:lineRule="auto"/>
              <w:ind w:left="331"/>
            </w:pPr>
            <w:r>
              <w:rPr>
                <w:spacing w:val="-8"/>
              </w:rPr>
              <w:t>1.8</w:t>
            </w:r>
          </w:p>
        </w:tc>
        <w:tc>
          <w:tcPr>
            <w:tcW w:w="880" w:type="dxa"/>
            <w:vAlign w:val="top"/>
          </w:tcPr>
          <w:p w14:paraId="7636A0E9">
            <w:pPr>
              <w:pStyle w:val="6"/>
              <w:spacing w:before="88" w:line="179" w:lineRule="auto"/>
              <w:ind w:left="212"/>
            </w:pPr>
            <w:r>
              <w:rPr>
                <w:spacing w:val="-2"/>
              </w:rPr>
              <w:t>0.192</w:t>
            </w:r>
          </w:p>
        </w:tc>
        <w:tc>
          <w:tcPr>
            <w:tcW w:w="880" w:type="dxa"/>
            <w:vAlign w:val="top"/>
          </w:tcPr>
          <w:p w14:paraId="1BAF4B21">
            <w:pPr>
              <w:pStyle w:val="6"/>
              <w:spacing w:before="88" w:line="179" w:lineRule="auto"/>
              <w:ind w:left="266"/>
            </w:pPr>
            <w:r>
              <w:rPr>
                <w:spacing w:val="-2"/>
              </w:rPr>
              <w:t>0.03</w:t>
            </w:r>
          </w:p>
        </w:tc>
        <w:tc>
          <w:tcPr>
            <w:tcW w:w="880" w:type="dxa"/>
            <w:vAlign w:val="top"/>
          </w:tcPr>
          <w:p w14:paraId="2A2C3C79">
            <w:pPr>
              <w:pStyle w:val="6"/>
              <w:spacing w:before="88" w:line="179" w:lineRule="auto"/>
              <w:ind w:left="268"/>
            </w:pPr>
            <w:r>
              <w:rPr>
                <w:spacing w:val="-2"/>
              </w:rPr>
              <w:t>0.02</w:t>
            </w:r>
          </w:p>
        </w:tc>
        <w:tc>
          <w:tcPr>
            <w:tcW w:w="881" w:type="dxa"/>
            <w:vAlign w:val="top"/>
          </w:tcPr>
          <w:p w14:paraId="1140D940">
            <w:pPr>
              <w:pStyle w:val="6"/>
              <w:spacing w:before="88" w:line="179" w:lineRule="auto"/>
              <w:ind w:left="206"/>
            </w:pPr>
            <w:r>
              <w:rPr>
                <w:spacing w:val="-2"/>
              </w:rPr>
              <w:t>0.05L</w:t>
            </w:r>
          </w:p>
        </w:tc>
        <w:tc>
          <w:tcPr>
            <w:tcW w:w="894" w:type="dxa"/>
            <w:tcBorders>
              <w:right w:val="single" w:color="000000" w:sz="12" w:space="0"/>
            </w:tcBorders>
            <w:vAlign w:val="top"/>
          </w:tcPr>
          <w:p w14:paraId="43ACC87D">
            <w:pPr>
              <w:pStyle w:val="6"/>
              <w:spacing w:before="88" w:line="179" w:lineRule="auto"/>
              <w:ind w:left="355"/>
            </w:pPr>
            <w:r>
              <w:rPr>
                <w:spacing w:val="-4"/>
              </w:rPr>
              <w:t>80</w:t>
            </w:r>
          </w:p>
        </w:tc>
      </w:tr>
      <w:tr w14:paraId="4408D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45A3004">
            <w:pPr>
              <w:rPr>
                <w:rFonts w:ascii="Arial"/>
                <w:sz w:val="21"/>
              </w:rPr>
            </w:pPr>
          </w:p>
        </w:tc>
        <w:tc>
          <w:tcPr>
            <w:tcW w:w="285" w:type="dxa"/>
            <w:vMerge w:val="restart"/>
            <w:tcBorders>
              <w:bottom w:val="nil"/>
            </w:tcBorders>
            <w:vAlign w:val="top"/>
          </w:tcPr>
          <w:p w14:paraId="16411D4B">
            <w:pPr>
              <w:pStyle w:val="6"/>
              <w:spacing w:before="108" w:line="222" w:lineRule="auto"/>
              <w:ind w:left="76"/>
            </w:pPr>
            <w:r>
              <w:t>4</w:t>
            </w:r>
          </w:p>
          <w:p w14:paraId="75BA7A4E">
            <w:pPr>
              <w:spacing w:line="219" w:lineRule="auto"/>
              <w:ind w:left="29"/>
              <w:rPr>
                <w:rFonts w:ascii="宋体" w:hAnsi="宋体" w:eastAsia="宋体" w:cs="宋体"/>
                <w:sz w:val="21"/>
                <w:szCs w:val="21"/>
              </w:rPr>
            </w:pPr>
            <w:r>
              <w:rPr>
                <w:rFonts w:ascii="宋体" w:hAnsi="宋体" w:eastAsia="宋体" w:cs="宋体"/>
                <w:sz w:val="21"/>
                <w:szCs w:val="21"/>
              </w:rPr>
              <w:t>季</w:t>
            </w:r>
          </w:p>
          <w:p w14:paraId="433398D1">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C3B4584">
            <w:pPr>
              <w:pStyle w:val="6"/>
              <w:spacing w:before="90" w:line="177" w:lineRule="auto"/>
              <w:ind w:left="147"/>
            </w:pPr>
            <w:r>
              <w:rPr>
                <w:spacing w:val="-1"/>
              </w:rPr>
              <w:t>2020/11/15</w:t>
            </w:r>
          </w:p>
        </w:tc>
        <w:tc>
          <w:tcPr>
            <w:tcW w:w="880" w:type="dxa"/>
            <w:vAlign w:val="top"/>
          </w:tcPr>
          <w:p w14:paraId="49B3BC59">
            <w:pPr>
              <w:pStyle w:val="6"/>
              <w:spacing w:before="90" w:line="177" w:lineRule="auto"/>
              <w:ind w:left="267"/>
            </w:pPr>
            <w:r>
              <w:rPr>
                <w:spacing w:val="-6"/>
              </w:rPr>
              <w:t>15.8</w:t>
            </w:r>
          </w:p>
        </w:tc>
        <w:tc>
          <w:tcPr>
            <w:tcW w:w="880" w:type="dxa"/>
            <w:vAlign w:val="top"/>
          </w:tcPr>
          <w:p w14:paraId="481DEEE6">
            <w:pPr>
              <w:pStyle w:val="6"/>
              <w:spacing w:before="90" w:line="177" w:lineRule="auto"/>
              <w:ind w:left="257"/>
            </w:pPr>
            <w:r>
              <w:rPr>
                <w:spacing w:val="-4"/>
              </w:rPr>
              <w:t>8.31</w:t>
            </w:r>
          </w:p>
        </w:tc>
        <w:tc>
          <w:tcPr>
            <w:tcW w:w="880" w:type="dxa"/>
            <w:vAlign w:val="top"/>
          </w:tcPr>
          <w:p w14:paraId="452EC689">
            <w:pPr>
              <w:pStyle w:val="6"/>
              <w:spacing w:before="90" w:line="177" w:lineRule="auto"/>
              <w:ind w:left="387"/>
            </w:pPr>
            <w:r>
              <w:t>5</w:t>
            </w:r>
          </w:p>
        </w:tc>
        <w:tc>
          <w:tcPr>
            <w:tcW w:w="880" w:type="dxa"/>
            <w:vAlign w:val="top"/>
          </w:tcPr>
          <w:p w14:paraId="3A46F038">
            <w:pPr>
              <w:pStyle w:val="6"/>
              <w:spacing w:before="90" w:line="177" w:lineRule="auto"/>
              <w:ind w:left="309"/>
            </w:pPr>
            <w:r>
              <w:rPr>
                <w:spacing w:val="-3"/>
              </w:rPr>
              <w:t>3.9</w:t>
            </w:r>
          </w:p>
        </w:tc>
        <w:tc>
          <w:tcPr>
            <w:tcW w:w="880" w:type="dxa"/>
            <w:vAlign w:val="top"/>
          </w:tcPr>
          <w:p w14:paraId="5C194ADD">
            <w:pPr>
              <w:pStyle w:val="6"/>
              <w:spacing w:before="90" w:line="177" w:lineRule="auto"/>
              <w:ind w:left="307"/>
            </w:pPr>
            <w:r>
              <w:rPr>
                <w:spacing w:val="-2"/>
              </w:rPr>
              <w:t>2.3</w:t>
            </w:r>
          </w:p>
        </w:tc>
        <w:tc>
          <w:tcPr>
            <w:tcW w:w="880" w:type="dxa"/>
            <w:vAlign w:val="top"/>
          </w:tcPr>
          <w:p w14:paraId="76395BE4">
            <w:pPr>
              <w:pStyle w:val="6"/>
              <w:spacing w:before="90" w:line="177" w:lineRule="auto"/>
              <w:ind w:left="391"/>
            </w:pPr>
            <w:r>
              <w:t>7</w:t>
            </w:r>
          </w:p>
        </w:tc>
        <w:tc>
          <w:tcPr>
            <w:tcW w:w="880" w:type="dxa"/>
            <w:vAlign w:val="top"/>
          </w:tcPr>
          <w:p w14:paraId="4C5DA7A0">
            <w:pPr>
              <w:pStyle w:val="6"/>
              <w:spacing w:before="90" w:line="177" w:lineRule="auto"/>
              <w:ind w:left="331"/>
            </w:pPr>
            <w:r>
              <w:rPr>
                <w:spacing w:val="-8"/>
              </w:rPr>
              <w:t>1.4</w:t>
            </w:r>
          </w:p>
        </w:tc>
        <w:tc>
          <w:tcPr>
            <w:tcW w:w="880" w:type="dxa"/>
            <w:vAlign w:val="top"/>
          </w:tcPr>
          <w:p w14:paraId="603FF40A">
            <w:pPr>
              <w:pStyle w:val="6"/>
              <w:spacing w:before="90" w:line="177" w:lineRule="auto"/>
              <w:ind w:left="212"/>
            </w:pPr>
            <w:r>
              <w:rPr>
                <w:spacing w:val="-2"/>
              </w:rPr>
              <w:t>0.108</w:t>
            </w:r>
          </w:p>
        </w:tc>
        <w:tc>
          <w:tcPr>
            <w:tcW w:w="880" w:type="dxa"/>
            <w:vAlign w:val="top"/>
          </w:tcPr>
          <w:p w14:paraId="4EE1DA1D">
            <w:pPr>
              <w:pStyle w:val="6"/>
              <w:spacing w:before="90" w:line="177" w:lineRule="auto"/>
              <w:ind w:left="266"/>
            </w:pPr>
            <w:r>
              <w:rPr>
                <w:spacing w:val="-2"/>
              </w:rPr>
              <w:t>0.03</w:t>
            </w:r>
          </w:p>
        </w:tc>
        <w:tc>
          <w:tcPr>
            <w:tcW w:w="880" w:type="dxa"/>
            <w:vAlign w:val="top"/>
          </w:tcPr>
          <w:p w14:paraId="472E5F99">
            <w:pPr>
              <w:pStyle w:val="6"/>
              <w:spacing w:before="90" w:line="177" w:lineRule="auto"/>
              <w:ind w:left="268"/>
            </w:pPr>
            <w:r>
              <w:rPr>
                <w:spacing w:val="-2"/>
              </w:rPr>
              <w:t>0.02</w:t>
            </w:r>
          </w:p>
        </w:tc>
        <w:tc>
          <w:tcPr>
            <w:tcW w:w="881" w:type="dxa"/>
            <w:vAlign w:val="top"/>
          </w:tcPr>
          <w:p w14:paraId="29B16BFC">
            <w:pPr>
              <w:pStyle w:val="6"/>
              <w:spacing w:before="90" w:line="177" w:lineRule="auto"/>
              <w:ind w:left="206"/>
            </w:pPr>
            <w:r>
              <w:rPr>
                <w:spacing w:val="-2"/>
              </w:rPr>
              <w:t>0.05L</w:t>
            </w:r>
          </w:p>
        </w:tc>
        <w:tc>
          <w:tcPr>
            <w:tcW w:w="894" w:type="dxa"/>
            <w:tcBorders>
              <w:right w:val="single" w:color="000000" w:sz="12" w:space="0"/>
            </w:tcBorders>
            <w:vAlign w:val="top"/>
          </w:tcPr>
          <w:p w14:paraId="1D7E164B">
            <w:pPr>
              <w:pStyle w:val="6"/>
              <w:spacing w:before="90" w:line="177" w:lineRule="auto"/>
              <w:ind w:left="242"/>
            </w:pPr>
            <w:r>
              <w:rPr>
                <w:spacing w:val="-1"/>
              </w:rPr>
              <w:t>2400</w:t>
            </w:r>
          </w:p>
        </w:tc>
      </w:tr>
      <w:tr w14:paraId="6B024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A0AB44B">
            <w:pPr>
              <w:rPr>
                <w:rFonts w:ascii="Arial"/>
                <w:sz w:val="21"/>
              </w:rPr>
            </w:pPr>
          </w:p>
        </w:tc>
        <w:tc>
          <w:tcPr>
            <w:tcW w:w="285" w:type="dxa"/>
            <w:vMerge w:val="continue"/>
            <w:tcBorders>
              <w:top w:val="nil"/>
              <w:bottom w:val="nil"/>
            </w:tcBorders>
            <w:vAlign w:val="top"/>
          </w:tcPr>
          <w:p w14:paraId="2E73E1A5">
            <w:pPr>
              <w:rPr>
                <w:rFonts w:ascii="Arial"/>
                <w:sz w:val="21"/>
              </w:rPr>
            </w:pPr>
          </w:p>
        </w:tc>
        <w:tc>
          <w:tcPr>
            <w:tcW w:w="1273" w:type="dxa"/>
            <w:vAlign w:val="top"/>
          </w:tcPr>
          <w:p w14:paraId="7EE50096">
            <w:pPr>
              <w:pStyle w:val="6"/>
              <w:spacing w:before="91" w:line="176" w:lineRule="auto"/>
              <w:ind w:left="147"/>
            </w:pPr>
            <w:r>
              <w:rPr>
                <w:spacing w:val="-1"/>
              </w:rPr>
              <w:t>2020/11/16</w:t>
            </w:r>
          </w:p>
        </w:tc>
        <w:tc>
          <w:tcPr>
            <w:tcW w:w="880" w:type="dxa"/>
            <w:vAlign w:val="top"/>
          </w:tcPr>
          <w:p w14:paraId="6BCBB470">
            <w:pPr>
              <w:pStyle w:val="6"/>
              <w:spacing w:before="91" w:line="176" w:lineRule="auto"/>
              <w:ind w:left="267"/>
            </w:pPr>
            <w:r>
              <w:rPr>
                <w:spacing w:val="-6"/>
              </w:rPr>
              <w:t>16.1</w:t>
            </w:r>
          </w:p>
        </w:tc>
        <w:tc>
          <w:tcPr>
            <w:tcW w:w="880" w:type="dxa"/>
            <w:vAlign w:val="top"/>
          </w:tcPr>
          <w:p w14:paraId="4AF91916">
            <w:pPr>
              <w:pStyle w:val="6"/>
              <w:spacing w:before="91" w:line="176" w:lineRule="auto"/>
              <w:ind w:left="257"/>
            </w:pPr>
            <w:r>
              <w:rPr>
                <w:spacing w:val="-4"/>
              </w:rPr>
              <w:t>8.32</w:t>
            </w:r>
          </w:p>
        </w:tc>
        <w:tc>
          <w:tcPr>
            <w:tcW w:w="880" w:type="dxa"/>
            <w:vAlign w:val="top"/>
          </w:tcPr>
          <w:p w14:paraId="3ADF1E4D">
            <w:pPr>
              <w:pStyle w:val="6"/>
              <w:spacing w:before="91" w:line="176" w:lineRule="auto"/>
              <w:ind w:left="385"/>
            </w:pPr>
            <w:r>
              <w:t>7</w:t>
            </w:r>
          </w:p>
        </w:tc>
        <w:tc>
          <w:tcPr>
            <w:tcW w:w="880" w:type="dxa"/>
            <w:vAlign w:val="top"/>
          </w:tcPr>
          <w:p w14:paraId="1FA5BCD9">
            <w:pPr>
              <w:pStyle w:val="6"/>
              <w:spacing w:before="91" w:line="176" w:lineRule="auto"/>
              <w:ind w:left="303"/>
            </w:pPr>
            <w:r>
              <w:rPr>
                <w:spacing w:val="-1"/>
              </w:rPr>
              <w:t>4.3</w:t>
            </w:r>
          </w:p>
        </w:tc>
        <w:tc>
          <w:tcPr>
            <w:tcW w:w="880" w:type="dxa"/>
            <w:vAlign w:val="top"/>
          </w:tcPr>
          <w:p w14:paraId="03DB479F">
            <w:pPr>
              <w:pStyle w:val="6"/>
              <w:spacing w:before="91" w:line="176" w:lineRule="auto"/>
              <w:ind w:left="307"/>
            </w:pPr>
            <w:r>
              <w:rPr>
                <w:spacing w:val="-2"/>
              </w:rPr>
              <w:t>2.1</w:t>
            </w:r>
          </w:p>
        </w:tc>
        <w:tc>
          <w:tcPr>
            <w:tcW w:w="880" w:type="dxa"/>
            <w:vAlign w:val="top"/>
          </w:tcPr>
          <w:p w14:paraId="5DCDF09F">
            <w:pPr>
              <w:pStyle w:val="6"/>
              <w:spacing w:before="91" w:line="176" w:lineRule="auto"/>
              <w:ind w:left="393"/>
            </w:pPr>
            <w:r>
              <w:t>6</w:t>
            </w:r>
          </w:p>
        </w:tc>
        <w:tc>
          <w:tcPr>
            <w:tcW w:w="880" w:type="dxa"/>
            <w:vAlign w:val="top"/>
          </w:tcPr>
          <w:p w14:paraId="7A06AA17">
            <w:pPr>
              <w:pStyle w:val="6"/>
              <w:spacing w:before="91" w:line="176" w:lineRule="auto"/>
              <w:ind w:left="331"/>
            </w:pPr>
            <w:r>
              <w:rPr>
                <w:spacing w:val="-8"/>
              </w:rPr>
              <w:t>1.2</w:t>
            </w:r>
          </w:p>
        </w:tc>
        <w:tc>
          <w:tcPr>
            <w:tcW w:w="880" w:type="dxa"/>
            <w:vAlign w:val="top"/>
          </w:tcPr>
          <w:p w14:paraId="00CA0FE1">
            <w:pPr>
              <w:pStyle w:val="6"/>
              <w:spacing w:before="91" w:line="176" w:lineRule="auto"/>
              <w:ind w:left="212"/>
            </w:pPr>
            <w:r>
              <w:rPr>
                <w:spacing w:val="-2"/>
              </w:rPr>
              <w:t>0.114</w:t>
            </w:r>
          </w:p>
        </w:tc>
        <w:tc>
          <w:tcPr>
            <w:tcW w:w="880" w:type="dxa"/>
            <w:vAlign w:val="top"/>
          </w:tcPr>
          <w:p w14:paraId="5E9E4022">
            <w:pPr>
              <w:pStyle w:val="6"/>
              <w:spacing w:before="91" w:line="176" w:lineRule="auto"/>
              <w:ind w:left="266"/>
            </w:pPr>
            <w:r>
              <w:rPr>
                <w:spacing w:val="-2"/>
              </w:rPr>
              <w:t>0.02</w:t>
            </w:r>
          </w:p>
        </w:tc>
        <w:tc>
          <w:tcPr>
            <w:tcW w:w="880" w:type="dxa"/>
            <w:vAlign w:val="top"/>
          </w:tcPr>
          <w:p w14:paraId="403EE101">
            <w:pPr>
              <w:pStyle w:val="6"/>
              <w:spacing w:before="91" w:line="176" w:lineRule="auto"/>
              <w:ind w:left="268"/>
            </w:pPr>
            <w:r>
              <w:rPr>
                <w:spacing w:val="-2"/>
              </w:rPr>
              <w:t>0.02</w:t>
            </w:r>
          </w:p>
        </w:tc>
        <w:tc>
          <w:tcPr>
            <w:tcW w:w="881" w:type="dxa"/>
            <w:vAlign w:val="top"/>
          </w:tcPr>
          <w:p w14:paraId="51DDEB01">
            <w:pPr>
              <w:pStyle w:val="6"/>
              <w:spacing w:before="91" w:line="176" w:lineRule="auto"/>
              <w:ind w:left="206"/>
            </w:pPr>
            <w:r>
              <w:rPr>
                <w:spacing w:val="-2"/>
              </w:rPr>
              <w:t>0.05L</w:t>
            </w:r>
          </w:p>
        </w:tc>
        <w:tc>
          <w:tcPr>
            <w:tcW w:w="894" w:type="dxa"/>
            <w:tcBorders>
              <w:right w:val="single" w:color="000000" w:sz="12" w:space="0"/>
            </w:tcBorders>
            <w:vAlign w:val="top"/>
          </w:tcPr>
          <w:p w14:paraId="0493282D">
            <w:pPr>
              <w:pStyle w:val="6"/>
              <w:spacing w:before="91" w:line="176" w:lineRule="auto"/>
              <w:ind w:left="242"/>
            </w:pPr>
            <w:r>
              <w:rPr>
                <w:spacing w:val="-1"/>
              </w:rPr>
              <w:t>2100</w:t>
            </w:r>
          </w:p>
        </w:tc>
      </w:tr>
      <w:tr w14:paraId="5D908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273" w:type="dxa"/>
            <w:vMerge w:val="continue"/>
            <w:tcBorders>
              <w:top w:val="nil"/>
              <w:left w:val="single" w:color="000000" w:sz="12" w:space="0"/>
              <w:bottom w:val="single" w:color="000000" w:sz="12" w:space="0"/>
            </w:tcBorders>
            <w:vAlign w:val="top"/>
          </w:tcPr>
          <w:p w14:paraId="6E9A37F0">
            <w:pPr>
              <w:rPr>
                <w:rFonts w:ascii="Arial"/>
                <w:sz w:val="21"/>
              </w:rPr>
            </w:pPr>
          </w:p>
        </w:tc>
        <w:tc>
          <w:tcPr>
            <w:tcW w:w="285" w:type="dxa"/>
            <w:vMerge w:val="continue"/>
            <w:tcBorders>
              <w:top w:val="nil"/>
              <w:bottom w:val="single" w:color="000000" w:sz="12" w:space="0"/>
            </w:tcBorders>
            <w:vAlign w:val="top"/>
          </w:tcPr>
          <w:p w14:paraId="040AA2FB">
            <w:pPr>
              <w:rPr>
                <w:rFonts w:ascii="Arial"/>
                <w:sz w:val="21"/>
              </w:rPr>
            </w:pPr>
          </w:p>
        </w:tc>
        <w:tc>
          <w:tcPr>
            <w:tcW w:w="1273" w:type="dxa"/>
            <w:tcBorders>
              <w:bottom w:val="single" w:color="000000" w:sz="12" w:space="0"/>
            </w:tcBorders>
            <w:vAlign w:val="top"/>
          </w:tcPr>
          <w:p w14:paraId="69886D90">
            <w:pPr>
              <w:pStyle w:val="6"/>
              <w:spacing w:before="93" w:line="197" w:lineRule="auto"/>
              <w:ind w:left="147"/>
            </w:pPr>
            <w:r>
              <w:rPr>
                <w:spacing w:val="-1"/>
              </w:rPr>
              <w:t>2020/11/17</w:t>
            </w:r>
          </w:p>
        </w:tc>
        <w:tc>
          <w:tcPr>
            <w:tcW w:w="880" w:type="dxa"/>
            <w:tcBorders>
              <w:bottom w:val="single" w:color="000000" w:sz="12" w:space="0"/>
            </w:tcBorders>
            <w:vAlign w:val="top"/>
          </w:tcPr>
          <w:p w14:paraId="0E1D5225">
            <w:pPr>
              <w:pStyle w:val="6"/>
              <w:spacing w:before="93" w:line="197" w:lineRule="auto"/>
              <w:ind w:left="267"/>
            </w:pPr>
            <w:r>
              <w:rPr>
                <w:spacing w:val="-6"/>
              </w:rPr>
              <w:t>15.5</w:t>
            </w:r>
          </w:p>
        </w:tc>
        <w:tc>
          <w:tcPr>
            <w:tcW w:w="880" w:type="dxa"/>
            <w:tcBorders>
              <w:bottom w:val="single" w:color="000000" w:sz="12" w:space="0"/>
            </w:tcBorders>
            <w:vAlign w:val="top"/>
          </w:tcPr>
          <w:p w14:paraId="3398C7E3">
            <w:pPr>
              <w:pStyle w:val="6"/>
              <w:spacing w:before="93" w:line="197" w:lineRule="auto"/>
              <w:ind w:left="257"/>
            </w:pPr>
            <w:r>
              <w:rPr>
                <w:spacing w:val="-4"/>
              </w:rPr>
              <w:t>8.39</w:t>
            </w:r>
          </w:p>
        </w:tc>
        <w:tc>
          <w:tcPr>
            <w:tcW w:w="880" w:type="dxa"/>
            <w:tcBorders>
              <w:bottom w:val="single" w:color="000000" w:sz="12" w:space="0"/>
            </w:tcBorders>
            <w:vAlign w:val="top"/>
          </w:tcPr>
          <w:p w14:paraId="45B7A66C">
            <w:pPr>
              <w:pStyle w:val="6"/>
              <w:spacing w:before="93" w:line="197" w:lineRule="auto"/>
              <w:ind w:left="386"/>
            </w:pPr>
            <w:r>
              <w:t>6</w:t>
            </w:r>
          </w:p>
        </w:tc>
        <w:tc>
          <w:tcPr>
            <w:tcW w:w="880" w:type="dxa"/>
            <w:tcBorders>
              <w:bottom w:val="single" w:color="000000" w:sz="12" w:space="0"/>
            </w:tcBorders>
            <w:vAlign w:val="top"/>
          </w:tcPr>
          <w:p w14:paraId="49C5246D">
            <w:pPr>
              <w:pStyle w:val="6"/>
              <w:spacing w:before="93" w:line="197" w:lineRule="auto"/>
              <w:ind w:left="303"/>
            </w:pPr>
            <w:r>
              <w:rPr>
                <w:spacing w:val="-1"/>
              </w:rPr>
              <w:t>4.8</w:t>
            </w:r>
          </w:p>
        </w:tc>
        <w:tc>
          <w:tcPr>
            <w:tcW w:w="880" w:type="dxa"/>
            <w:tcBorders>
              <w:bottom w:val="single" w:color="000000" w:sz="12" w:space="0"/>
            </w:tcBorders>
            <w:vAlign w:val="top"/>
          </w:tcPr>
          <w:p w14:paraId="3237D7B1">
            <w:pPr>
              <w:pStyle w:val="6"/>
              <w:spacing w:before="93" w:line="197" w:lineRule="auto"/>
              <w:ind w:left="307"/>
            </w:pPr>
            <w:r>
              <w:rPr>
                <w:spacing w:val="-2"/>
              </w:rPr>
              <w:t>2.4</w:t>
            </w:r>
          </w:p>
        </w:tc>
        <w:tc>
          <w:tcPr>
            <w:tcW w:w="880" w:type="dxa"/>
            <w:tcBorders>
              <w:bottom w:val="single" w:color="000000" w:sz="12" w:space="0"/>
            </w:tcBorders>
            <w:vAlign w:val="top"/>
          </w:tcPr>
          <w:p w14:paraId="33496AF8">
            <w:pPr>
              <w:pStyle w:val="6"/>
              <w:spacing w:before="93" w:line="197" w:lineRule="auto"/>
              <w:ind w:left="392"/>
            </w:pPr>
            <w:r>
              <w:t>9</w:t>
            </w:r>
          </w:p>
        </w:tc>
        <w:tc>
          <w:tcPr>
            <w:tcW w:w="880" w:type="dxa"/>
            <w:tcBorders>
              <w:bottom w:val="single" w:color="000000" w:sz="12" w:space="0"/>
            </w:tcBorders>
            <w:vAlign w:val="top"/>
          </w:tcPr>
          <w:p w14:paraId="2DBE5E31">
            <w:pPr>
              <w:pStyle w:val="6"/>
              <w:spacing w:before="93" w:line="197" w:lineRule="auto"/>
              <w:ind w:left="331"/>
            </w:pPr>
            <w:r>
              <w:rPr>
                <w:spacing w:val="-8"/>
              </w:rPr>
              <w:t>1.8</w:t>
            </w:r>
          </w:p>
        </w:tc>
        <w:tc>
          <w:tcPr>
            <w:tcW w:w="880" w:type="dxa"/>
            <w:tcBorders>
              <w:bottom w:val="single" w:color="000000" w:sz="12" w:space="0"/>
            </w:tcBorders>
            <w:vAlign w:val="top"/>
          </w:tcPr>
          <w:p w14:paraId="6C83F8E9">
            <w:pPr>
              <w:pStyle w:val="6"/>
              <w:spacing w:before="93" w:line="197" w:lineRule="auto"/>
              <w:ind w:left="212"/>
            </w:pPr>
            <w:r>
              <w:rPr>
                <w:spacing w:val="-2"/>
              </w:rPr>
              <w:t>0.119</w:t>
            </w:r>
          </w:p>
        </w:tc>
        <w:tc>
          <w:tcPr>
            <w:tcW w:w="880" w:type="dxa"/>
            <w:tcBorders>
              <w:bottom w:val="single" w:color="000000" w:sz="12" w:space="0"/>
            </w:tcBorders>
            <w:vAlign w:val="top"/>
          </w:tcPr>
          <w:p w14:paraId="47E2D738">
            <w:pPr>
              <w:pStyle w:val="6"/>
              <w:spacing w:before="93" w:line="197" w:lineRule="auto"/>
              <w:ind w:left="266"/>
            </w:pPr>
            <w:r>
              <w:rPr>
                <w:spacing w:val="-2"/>
              </w:rPr>
              <w:t>0.03</w:t>
            </w:r>
          </w:p>
        </w:tc>
        <w:tc>
          <w:tcPr>
            <w:tcW w:w="880" w:type="dxa"/>
            <w:tcBorders>
              <w:bottom w:val="single" w:color="000000" w:sz="12" w:space="0"/>
            </w:tcBorders>
            <w:vAlign w:val="top"/>
          </w:tcPr>
          <w:p w14:paraId="0A4B98BD">
            <w:pPr>
              <w:pStyle w:val="6"/>
              <w:spacing w:before="93" w:line="197" w:lineRule="auto"/>
              <w:ind w:left="268"/>
            </w:pPr>
            <w:r>
              <w:rPr>
                <w:spacing w:val="-2"/>
              </w:rPr>
              <w:t>0.01</w:t>
            </w:r>
          </w:p>
        </w:tc>
        <w:tc>
          <w:tcPr>
            <w:tcW w:w="881" w:type="dxa"/>
            <w:tcBorders>
              <w:bottom w:val="single" w:color="000000" w:sz="12" w:space="0"/>
            </w:tcBorders>
            <w:vAlign w:val="top"/>
          </w:tcPr>
          <w:p w14:paraId="1313DD7A">
            <w:pPr>
              <w:pStyle w:val="6"/>
              <w:spacing w:before="93" w:line="197" w:lineRule="auto"/>
              <w:ind w:left="206"/>
            </w:pPr>
            <w:r>
              <w:rPr>
                <w:spacing w:val="-2"/>
              </w:rPr>
              <w:t>0.05L</w:t>
            </w:r>
          </w:p>
        </w:tc>
        <w:tc>
          <w:tcPr>
            <w:tcW w:w="894" w:type="dxa"/>
            <w:tcBorders>
              <w:bottom w:val="single" w:color="000000" w:sz="12" w:space="0"/>
              <w:right w:val="single" w:color="000000" w:sz="12" w:space="0"/>
            </w:tcBorders>
            <w:vAlign w:val="top"/>
          </w:tcPr>
          <w:p w14:paraId="5CFC3127">
            <w:pPr>
              <w:pStyle w:val="6"/>
              <w:spacing w:before="93" w:line="197" w:lineRule="auto"/>
              <w:ind w:left="242"/>
            </w:pPr>
            <w:r>
              <w:rPr>
                <w:spacing w:val="-1"/>
              </w:rPr>
              <w:t>2200</w:t>
            </w:r>
          </w:p>
        </w:tc>
      </w:tr>
    </w:tbl>
    <w:p w14:paraId="664DA8D6">
      <w:pPr>
        <w:rPr>
          <w:rFonts w:ascii="Arial"/>
          <w:sz w:val="21"/>
        </w:rPr>
      </w:pPr>
    </w:p>
    <w:p w14:paraId="7C9BEC5C">
      <w:pPr>
        <w:rPr>
          <w:rFonts w:ascii="Arial" w:hAnsi="Arial" w:eastAsia="Arial" w:cs="Arial"/>
          <w:sz w:val="21"/>
          <w:szCs w:val="21"/>
        </w:rPr>
        <w:sectPr>
          <w:footerReference r:id="rId242" w:type="default"/>
          <w:pgSz w:w="16839" w:h="11907"/>
          <w:pgMar w:top="1376" w:right="1669" w:bottom="1061" w:left="1671" w:header="999" w:footer="861" w:gutter="0"/>
          <w:cols w:space="720" w:num="1"/>
        </w:sectPr>
      </w:pPr>
    </w:p>
    <w:p w14:paraId="3C743A16">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1ADEB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273" w:type="dxa"/>
            <w:tcBorders>
              <w:top w:val="single" w:color="000000" w:sz="12" w:space="0"/>
              <w:left w:val="single" w:color="000000" w:sz="12" w:space="0"/>
            </w:tcBorders>
            <w:vAlign w:val="top"/>
          </w:tcPr>
          <w:p w14:paraId="1B403596">
            <w:pPr>
              <w:spacing w:line="250" w:lineRule="auto"/>
              <w:rPr>
                <w:rFonts w:ascii="Arial"/>
                <w:sz w:val="21"/>
              </w:rPr>
            </w:pPr>
          </w:p>
          <w:p w14:paraId="4EE6D7E6">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768DD655">
            <w:pPr>
              <w:spacing w:line="250" w:lineRule="auto"/>
              <w:rPr>
                <w:rFonts w:ascii="Arial"/>
                <w:sz w:val="21"/>
              </w:rPr>
            </w:pPr>
          </w:p>
          <w:p w14:paraId="7F9ECEAA">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4A762D8A">
            <w:pPr>
              <w:spacing w:before="183"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0177889C">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7C98C452">
            <w:pPr>
              <w:spacing w:before="29"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63214632">
            <w:pPr>
              <w:spacing w:line="295" w:lineRule="auto"/>
              <w:rPr>
                <w:rFonts w:ascii="Arial"/>
                <w:sz w:val="21"/>
              </w:rPr>
            </w:pPr>
          </w:p>
          <w:p w14:paraId="1C7BBD12">
            <w:pPr>
              <w:pStyle w:val="6"/>
              <w:spacing w:before="60" w:line="186" w:lineRule="auto"/>
              <w:ind w:left="326"/>
            </w:pPr>
            <w:r>
              <w:rPr>
                <w:spacing w:val="-7"/>
              </w:rPr>
              <w:t>SS</w:t>
            </w:r>
          </w:p>
        </w:tc>
        <w:tc>
          <w:tcPr>
            <w:tcW w:w="880" w:type="dxa"/>
            <w:tcBorders>
              <w:top w:val="single" w:color="000000" w:sz="12" w:space="0"/>
            </w:tcBorders>
            <w:vAlign w:val="top"/>
          </w:tcPr>
          <w:p w14:paraId="271B76F7">
            <w:pPr>
              <w:spacing w:line="295" w:lineRule="auto"/>
              <w:rPr>
                <w:rFonts w:ascii="Arial"/>
                <w:sz w:val="21"/>
              </w:rPr>
            </w:pPr>
          </w:p>
          <w:p w14:paraId="6315CC2F">
            <w:pPr>
              <w:pStyle w:val="6"/>
              <w:spacing w:before="60" w:line="186" w:lineRule="auto"/>
              <w:ind w:left="283"/>
            </w:pPr>
            <w:r>
              <w:rPr>
                <w:spacing w:val="-2"/>
              </w:rPr>
              <w:t>DO</w:t>
            </w:r>
          </w:p>
        </w:tc>
        <w:tc>
          <w:tcPr>
            <w:tcW w:w="880" w:type="dxa"/>
            <w:tcBorders>
              <w:top w:val="single" w:color="000000" w:sz="12" w:space="0"/>
            </w:tcBorders>
            <w:vAlign w:val="top"/>
          </w:tcPr>
          <w:p w14:paraId="466DC2BF">
            <w:pPr>
              <w:spacing w:line="294" w:lineRule="auto"/>
              <w:rPr>
                <w:rFonts w:ascii="Arial"/>
                <w:sz w:val="21"/>
              </w:rPr>
            </w:pPr>
          </w:p>
          <w:p w14:paraId="24FC34F9">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16A658E7">
            <w:pPr>
              <w:spacing w:line="295" w:lineRule="auto"/>
              <w:rPr>
                <w:rFonts w:ascii="Arial"/>
                <w:sz w:val="21"/>
              </w:rPr>
            </w:pPr>
          </w:p>
          <w:p w14:paraId="3DD97090">
            <w:pPr>
              <w:pStyle w:val="6"/>
              <w:spacing w:before="60" w:line="186" w:lineRule="auto"/>
              <w:ind w:left="222"/>
            </w:pPr>
            <w:r>
              <w:rPr>
                <w:spacing w:val="-3"/>
              </w:rPr>
              <w:t>COD</w:t>
            </w:r>
          </w:p>
        </w:tc>
        <w:tc>
          <w:tcPr>
            <w:tcW w:w="880" w:type="dxa"/>
            <w:tcBorders>
              <w:top w:val="single" w:color="000000" w:sz="12" w:space="0"/>
            </w:tcBorders>
            <w:vAlign w:val="top"/>
          </w:tcPr>
          <w:p w14:paraId="72533E30">
            <w:pPr>
              <w:spacing w:line="295" w:lineRule="auto"/>
              <w:rPr>
                <w:rFonts w:ascii="Arial"/>
                <w:sz w:val="21"/>
              </w:rPr>
            </w:pPr>
          </w:p>
          <w:p w14:paraId="513D8467">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082B89BA">
            <w:pPr>
              <w:spacing w:line="298" w:lineRule="auto"/>
              <w:rPr>
                <w:rFonts w:ascii="Arial"/>
                <w:sz w:val="21"/>
              </w:rPr>
            </w:pPr>
          </w:p>
          <w:p w14:paraId="6DB00DE2">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0437E3EA">
            <w:pPr>
              <w:spacing w:line="298" w:lineRule="auto"/>
              <w:rPr>
                <w:rFonts w:ascii="Arial"/>
                <w:sz w:val="21"/>
              </w:rPr>
            </w:pPr>
          </w:p>
          <w:p w14:paraId="74409455">
            <w:pPr>
              <w:pStyle w:val="6"/>
              <w:spacing w:before="60" w:line="183" w:lineRule="auto"/>
              <w:ind w:left="326"/>
            </w:pPr>
            <w:r>
              <w:rPr>
                <w:spacing w:val="-4"/>
              </w:rPr>
              <w:t>TP</w:t>
            </w:r>
          </w:p>
        </w:tc>
        <w:tc>
          <w:tcPr>
            <w:tcW w:w="880" w:type="dxa"/>
            <w:tcBorders>
              <w:top w:val="single" w:color="000000" w:sz="12" w:space="0"/>
            </w:tcBorders>
            <w:vAlign w:val="top"/>
          </w:tcPr>
          <w:p w14:paraId="1534461E">
            <w:pPr>
              <w:spacing w:line="249" w:lineRule="auto"/>
              <w:rPr>
                <w:rFonts w:ascii="Arial"/>
                <w:sz w:val="21"/>
              </w:rPr>
            </w:pPr>
          </w:p>
          <w:p w14:paraId="5559E43D">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7906569D">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241E3FD6">
            <w:pPr>
              <w:spacing w:before="21"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2A294700">
            <w:pPr>
              <w:pStyle w:val="6"/>
              <w:spacing w:before="46"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36E8A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71A2E335">
            <w:pPr>
              <w:spacing w:line="286" w:lineRule="auto"/>
              <w:rPr>
                <w:rFonts w:ascii="Arial"/>
                <w:sz w:val="21"/>
              </w:rPr>
            </w:pPr>
          </w:p>
          <w:p w14:paraId="4BB163F2">
            <w:pPr>
              <w:spacing w:line="287" w:lineRule="auto"/>
              <w:rPr>
                <w:rFonts w:ascii="Arial"/>
                <w:sz w:val="21"/>
              </w:rPr>
            </w:pPr>
          </w:p>
          <w:p w14:paraId="670D3F51">
            <w:pPr>
              <w:spacing w:line="287" w:lineRule="auto"/>
              <w:rPr>
                <w:rFonts w:ascii="Arial"/>
                <w:sz w:val="21"/>
              </w:rPr>
            </w:pPr>
          </w:p>
          <w:p w14:paraId="426B1938">
            <w:pPr>
              <w:spacing w:line="287" w:lineRule="auto"/>
              <w:rPr>
                <w:rFonts w:ascii="Arial"/>
                <w:sz w:val="21"/>
              </w:rPr>
            </w:pPr>
          </w:p>
          <w:p w14:paraId="11C7017E">
            <w:pPr>
              <w:spacing w:before="68" w:line="239" w:lineRule="auto"/>
              <w:ind w:left="102" w:right="114"/>
              <w:rPr>
                <w:rFonts w:ascii="宋体" w:hAnsi="宋体" w:eastAsia="宋体" w:cs="宋体"/>
                <w:sz w:val="21"/>
                <w:szCs w:val="21"/>
              </w:rPr>
            </w:pPr>
            <w:r>
              <w:rPr>
                <w:rFonts w:ascii="宋体" w:hAnsi="宋体" w:eastAsia="宋体" w:cs="宋体"/>
                <w:spacing w:val="-3"/>
                <w:sz w:val="21"/>
                <w:szCs w:val="21"/>
              </w:rPr>
              <w:t>马龙河干流</w:t>
            </w:r>
            <w:r>
              <w:rPr>
                <w:rFonts w:ascii="宋体" w:hAnsi="宋体" w:eastAsia="宋体" w:cs="宋体"/>
                <w:spacing w:val="-4"/>
                <w:sz w:val="21"/>
                <w:szCs w:val="21"/>
              </w:rPr>
              <w:t>（红桥河汇</w:t>
            </w:r>
          </w:p>
          <w:p w14:paraId="0F1E016E">
            <w:pPr>
              <w:pStyle w:val="6"/>
              <w:spacing w:before="1" w:line="253" w:lineRule="auto"/>
              <w:ind w:left="332" w:right="324" w:firstLine="6"/>
              <w:rPr>
                <w:rFonts w:ascii="宋体" w:hAnsi="宋体" w:eastAsia="宋体" w:cs="宋体"/>
              </w:rPr>
            </w:pPr>
            <w:r>
              <w:rPr>
                <w:rFonts w:ascii="宋体" w:hAnsi="宋体" w:eastAsia="宋体" w:cs="宋体"/>
                <w:spacing w:val="-14"/>
              </w:rPr>
              <w:t>口下游</w:t>
            </w:r>
            <w:r>
              <w:rPr>
                <w:spacing w:val="-3"/>
              </w:rPr>
              <w:t>50m</w:t>
            </w:r>
            <w:r>
              <w:rPr>
                <w:rFonts w:ascii="宋体" w:hAnsi="宋体" w:eastAsia="宋体" w:cs="宋体"/>
                <w:spacing w:val="-3"/>
              </w:rPr>
              <w:t>）</w:t>
            </w:r>
          </w:p>
        </w:tc>
        <w:tc>
          <w:tcPr>
            <w:tcW w:w="285" w:type="dxa"/>
            <w:vMerge w:val="restart"/>
            <w:tcBorders>
              <w:bottom w:val="nil"/>
            </w:tcBorders>
            <w:vAlign w:val="top"/>
          </w:tcPr>
          <w:p w14:paraId="4731A74A">
            <w:pPr>
              <w:pStyle w:val="6"/>
              <w:spacing w:before="84" w:line="222" w:lineRule="auto"/>
              <w:ind w:left="97"/>
            </w:pPr>
            <w:r>
              <w:t>1</w:t>
            </w:r>
          </w:p>
          <w:p w14:paraId="519A1A9C">
            <w:pPr>
              <w:spacing w:line="219" w:lineRule="auto"/>
              <w:ind w:left="29"/>
              <w:rPr>
                <w:rFonts w:ascii="宋体" w:hAnsi="宋体" w:eastAsia="宋体" w:cs="宋体"/>
                <w:sz w:val="21"/>
                <w:szCs w:val="21"/>
              </w:rPr>
            </w:pPr>
            <w:r>
              <w:rPr>
                <w:rFonts w:ascii="宋体" w:hAnsi="宋体" w:eastAsia="宋体" w:cs="宋体"/>
                <w:sz w:val="21"/>
                <w:szCs w:val="21"/>
              </w:rPr>
              <w:t>季</w:t>
            </w:r>
          </w:p>
          <w:p w14:paraId="35DC0B9A">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362F7D5">
            <w:pPr>
              <w:pStyle w:val="6"/>
              <w:spacing w:before="66" w:line="201" w:lineRule="auto"/>
              <w:ind w:left="199"/>
            </w:pPr>
            <w:r>
              <w:rPr>
                <w:spacing w:val="-1"/>
              </w:rPr>
              <w:t>2020/3/10</w:t>
            </w:r>
          </w:p>
        </w:tc>
        <w:tc>
          <w:tcPr>
            <w:tcW w:w="880" w:type="dxa"/>
            <w:vAlign w:val="top"/>
          </w:tcPr>
          <w:p w14:paraId="4861985D">
            <w:pPr>
              <w:pStyle w:val="6"/>
              <w:spacing w:before="66" w:line="201" w:lineRule="auto"/>
              <w:ind w:left="267"/>
            </w:pPr>
            <w:r>
              <w:rPr>
                <w:spacing w:val="-6"/>
              </w:rPr>
              <w:t>16.2</w:t>
            </w:r>
          </w:p>
        </w:tc>
        <w:tc>
          <w:tcPr>
            <w:tcW w:w="880" w:type="dxa"/>
            <w:vAlign w:val="top"/>
          </w:tcPr>
          <w:p w14:paraId="1FED6DEF">
            <w:pPr>
              <w:pStyle w:val="6"/>
              <w:spacing w:before="66" w:line="201" w:lineRule="auto"/>
              <w:ind w:left="254"/>
            </w:pPr>
            <w:r>
              <w:rPr>
                <w:spacing w:val="-3"/>
              </w:rPr>
              <w:t>6.69</w:t>
            </w:r>
          </w:p>
        </w:tc>
        <w:tc>
          <w:tcPr>
            <w:tcW w:w="880" w:type="dxa"/>
            <w:vAlign w:val="top"/>
          </w:tcPr>
          <w:p w14:paraId="4CEE80CD">
            <w:pPr>
              <w:pStyle w:val="6"/>
              <w:spacing w:before="66" w:line="201" w:lineRule="auto"/>
              <w:ind w:left="387"/>
            </w:pPr>
            <w:r>
              <w:t>5</w:t>
            </w:r>
          </w:p>
        </w:tc>
        <w:tc>
          <w:tcPr>
            <w:tcW w:w="880" w:type="dxa"/>
            <w:vAlign w:val="top"/>
          </w:tcPr>
          <w:p w14:paraId="070520FD">
            <w:pPr>
              <w:pStyle w:val="6"/>
              <w:spacing w:before="66" w:line="201" w:lineRule="auto"/>
              <w:ind w:left="309"/>
            </w:pPr>
            <w:r>
              <w:rPr>
                <w:spacing w:val="-3"/>
              </w:rPr>
              <w:t>6.1</w:t>
            </w:r>
          </w:p>
        </w:tc>
        <w:tc>
          <w:tcPr>
            <w:tcW w:w="880" w:type="dxa"/>
            <w:vAlign w:val="top"/>
          </w:tcPr>
          <w:p w14:paraId="188C0215">
            <w:pPr>
              <w:pStyle w:val="6"/>
              <w:spacing w:before="66" w:line="201" w:lineRule="auto"/>
              <w:ind w:left="307"/>
            </w:pPr>
            <w:r>
              <w:rPr>
                <w:spacing w:val="-2"/>
              </w:rPr>
              <w:t>2.3</w:t>
            </w:r>
          </w:p>
        </w:tc>
        <w:tc>
          <w:tcPr>
            <w:tcW w:w="880" w:type="dxa"/>
            <w:vAlign w:val="top"/>
          </w:tcPr>
          <w:p w14:paraId="04BB4D12">
            <w:pPr>
              <w:pStyle w:val="6"/>
              <w:spacing w:before="66" w:line="201" w:lineRule="auto"/>
              <w:ind w:left="355"/>
            </w:pPr>
            <w:r>
              <w:rPr>
                <w:spacing w:val="-6"/>
              </w:rPr>
              <w:t>10</w:t>
            </w:r>
          </w:p>
        </w:tc>
        <w:tc>
          <w:tcPr>
            <w:tcW w:w="880" w:type="dxa"/>
            <w:vAlign w:val="top"/>
          </w:tcPr>
          <w:p w14:paraId="1E40D68E">
            <w:pPr>
              <w:pStyle w:val="6"/>
              <w:spacing w:before="66" w:line="201" w:lineRule="auto"/>
              <w:ind w:left="311"/>
            </w:pPr>
            <w:r>
              <w:rPr>
                <w:spacing w:val="-2"/>
              </w:rPr>
              <w:t>2.0</w:t>
            </w:r>
          </w:p>
        </w:tc>
        <w:tc>
          <w:tcPr>
            <w:tcW w:w="880" w:type="dxa"/>
            <w:vAlign w:val="top"/>
          </w:tcPr>
          <w:p w14:paraId="0024C268">
            <w:pPr>
              <w:pStyle w:val="6"/>
              <w:spacing w:before="66" w:line="201" w:lineRule="auto"/>
              <w:ind w:left="147"/>
            </w:pPr>
            <w:r>
              <w:rPr>
                <w:spacing w:val="-2"/>
              </w:rPr>
              <w:t>0.025L</w:t>
            </w:r>
          </w:p>
        </w:tc>
        <w:tc>
          <w:tcPr>
            <w:tcW w:w="880" w:type="dxa"/>
            <w:vAlign w:val="top"/>
          </w:tcPr>
          <w:p w14:paraId="1A1946B8">
            <w:pPr>
              <w:pStyle w:val="6"/>
              <w:spacing w:before="66" w:line="201" w:lineRule="auto"/>
              <w:ind w:left="266"/>
            </w:pPr>
            <w:r>
              <w:rPr>
                <w:spacing w:val="-2"/>
              </w:rPr>
              <w:t>0.04</w:t>
            </w:r>
          </w:p>
        </w:tc>
        <w:tc>
          <w:tcPr>
            <w:tcW w:w="880" w:type="dxa"/>
            <w:vAlign w:val="top"/>
          </w:tcPr>
          <w:p w14:paraId="01C0C1D2">
            <w:pPr>
              <w:pStyle w:val="6"/>
              <w:spacing w:before="66" w:line="201" w:lineRule="auto"/>
              <w:ind w:left="268"/>
            </w:pPr>
            <w:r>
              <w:rPr>
                <w:spacing w:val="-2"/>
              </w:rPr>
              <w:t>0.04</w:t>
            </w:r>
          </w:p>
        </w:tc>
        <w:tc>
          <w:tcPr>
            <w:tcW w:w="881" w:type="dxa"/>
            <w:vAlign w:val="top"/>
          </w:tcPr>
          <w:p w14:paraId="1A2AED97">
            <w:pPr>
              <w:pStyle w:val="6"/>
              <w:spacing w:before="66" w:line="201" w:lineRule="auto"/>
              <w:ind w:left="206"/>
            </w:pPr>
            <w:r>
              <w:rPr>
                <w:spacing w:val="-2"/>
              </w:rPr>
              <w:t>0.05L</w:t>
            </w:r>
          </w:p>
        </w:tc>
        <w:tc>
          <w:tcPr>
            <w:tcW w:w="894" w:type="dxa"/>
            <w:tcBorders>
              <w:right w:val="single" w:color="000000" w:sz="12" w:space="0"/>
            </w:tcBorders>
            <w:vAlign w:val="top"/>
          </w:tcPr>
          <w:p w14:paraId="191386B0">
            <w:pPr>
              <w:pStyle w:val="6"/>
              <w:spacing w:before="66" w:line="201" w:lineRule="auto"/>
              <w:ind w:left="346"/>
            </w:pPr>
            <w:r>
              <w:rPr>
                <w:spacing w:val="-1"/>
              </w:rPr>
              <w:t>40</w:t>
            </w:r>
          </w:p>
        </w:tc>
      </w:tr>
      <w:tr w14:paraId="25AF2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5E28AF4">
            <w:pPr>
              <w:rPr>
                <w:rFonts w:ascii="Arial"/>
                <w:sz w:val="21"/>
              </w:rPr>
            </w:pPr>
          </w:p>
        </w:tc>
        <w:tc>
          <w:tcPr>
            <w:tcW w:w="285" w:type="dxa"/>
            <w:vMerge w:val="continue"/>
            <w:tcBorders>
              <w:top w:val="nil"/>
              <w:bottom w:val="nil"/>
            </w:tcBorders>
            <w:vAlign w:val="top"/>
          </w:tcPr>
          <w:p w14:paraId="2DC85A2A">
            <w:pPr>
              <w:rPr>
                <w:rFonts w:ascii="Arial"/>
                <w:sz w:val="21"/>
              </w:rPr>
            </w:pPr>
          </w:p>
        </w:tc>
        <w:tc>
          <w:tcPr>
            <w:tcW w:w="1273" w:type="dxa"/>
            <w:vAlign w:val="top"/>
          </w:tcPr>
          <w:p w14:paraId="706B77BA">
            <w:pPr>
              <w:pStyle w:val="6"/>
              <w:spacing w:before="68" w:line="199" w:lineRule="auto"/>
              <w:ind w:left="199"/>
            </w:pPr>
            <w:r>
              <w:rPr>
                <w:spacing w:val="-1"/>
              </w:rPr>
              <w:t>2020/3/11</w:t>
            </w:r>
          </w:p>
        </w:tc>
        <w:tc>
          <w:tcPr>
            <w:tcW w:w="880" w:type="dxa"/>
            <w:vAlign w:val="top"/>
          </w:tcPr>
          <w:p w14:paraId="3972226A">
            <w:pPr>
              <w:pStyle w:val="6"/>
              <w:spacing w:before="68" w:line="199" w:lineRule="auto"/>
              <w:ind w:left="267"/>
            </w:pPr>
            <w:r>
              <w:rPr>
                <w:spacing w:val="-6"/>
              </w:rPr>
              <w:t>15.9</w:t>
            </w:r>
          </w:p>
        </w:tc>
        <w:tc>
          <w:tcPr>
            <w:tcW w:w="880" w:type="dxa"/>
            <w:vAlign w:val="top"/>
          </w:tcPr>
          <w:p w14:paraId="2B37BDC4">
            <w:pPr>
              <w:pStyle w:val="6"/>
              <w:spacing w:before="68" w:line="199" w:lineRule="auto"/>
              <w:ind w:left="254"/>
            </w:pPr>
            <w:r>
              <w:rPr>
                <w:spacing w:val="-3"/>
              </w:rPr>
              <w:t>6.73</w:t>
            </w:r>
          </w:p>
        </w:tc>
        <w:tc>
          <w:tcPr>
            <w:tcW w:w="880" w:type="dxa"/>
            <w:vAlign w:val="top"/>
          </w:tcPr>
          <w:p w14:paraId="68F562E1">
            <w:pPr>
              <w:pStyle w:val="6"/>
              <w:spacing w:before="68" w:line="199" w:lineRule="auto"/>
              <w:ind w:left="381"/>
            </w:pPr>
            <w:r>
              <w:t>4</w:t>
            </w:r>
          </w:p>
        </w:tc>
        <w:tc>
          <w:tcPr>
            <w:tcW w:w="880" w:type="dxa"/>
            <w:vAlign w:val="top"/>
          </w:tcPr>
          <w:p w14:paraId="3E30E599">
            <w:pPr>
              <w:pStyle w:val="6"/>
              <w:spacing w:before="68" w:line="199" w:lineRule="auto"/>
              <w:ind w:left="310"/>
            </w:pPr>
            <w:r>
              <w:rPr>
                <w:spacing w:val="-4"/>
              </w:rPr>
              <w:t>5.9</w:t>
            </w:r>
          </w:p>
        </w:tc>
        <w:tc>
          <w:tcPr>
            <w:tcW w:w="880" w:type="dxa"/>
            <w:vAlign w:val="top"/>
          </w:tcPr>
          <w:p w14:paraId="0F9E1D28">
            <w:pPr>
              <w:pStyle w:val="6"/>
              <w:spacing w:before="68" w:line="199" w:lineRule="auto"/>
              <w:ind w:left="307"/>
            </w:pPr>
            <w:r>
              <w:rPr>
                <w:spacing w:val="-2"/>
              </w:rPr>
              <w:t>2.6</w:t>
            </w:r>
          </w:p>
        </w:tc>
        <w:tc>
          <w:tcPr>
            <w:tcW w:w="880" w:type="dxa"/>
            <w:vAlign w:val="top"/>
          </w:tcPr>
          <w:p w14:paraId="6240ADAE">
            <w:pPr>
              <w:pStyle w:val="6"/>
              <w:spacing w:before="68" w:line="199" w:lineRule="auto"/>
              <w:ind w:left="355"/>
            </w:pPr>
            <w:r>
              <w:rPr>
                <w:spacing w:val="-6"/>
              </w:rPr>
              <w:t>13</w:t>
            </w:r>
          </w:p>
        </w:tc>
        <w:tc>
          <w:tcPr>
            <w:tcW w:w="880" w:type="dxa"/>
            <w:vAlign w:val="top"/>
          </w:tcPr>
          <w:p w14:paraId="030BC916">
            <w:pPr>
              <w:pStyle w:val="6"/>
              <w:spacing w:before="68" w:line="199" w:lineRule="auto"/>
              <w:ind w:left="311"/>
            </w:pPr>
            <w:r>
              <w:rPr>
                <w:spacing w:val="-2"/>
              </w:rPr>
              <w:t>2.4</w:t>
            </w:r>
          </w:p>
        </w:tc>
        <w:tc>
          <w:tcPr>
            <w:tcW w:w="880" w:type="dxa"/>
            <w:vAlign w:val="top"/>
          </w:tcPr>
          <w:p w14:paraId="22E3FED9">
            <w:pPr>
              <w:pStyle w:val="6"/>
              <w:spacing w:before="68" w:line="199" w:lineRule="auto"/>
              <w:ind w:left="147"/>
            </w:pPr>
            <w:r>
              <w:rPr>
                <w:spacing w:val="-2"/>
              </w:rPr>
              <w:t>0.025L</w:t>
            </w:r>
          </w:p>
        </w:tc>
        <w:tc>
          <w:tcPr>
            <w:tcW w:w="880" w:type="dxa"/>
            <w:vAlign w:val="top"/>
          </w:tcPr>
          <w:p w14:paraId="1CD2FE6D">
            <w:pPr>
              <w:pStyle w:val="6"/>
              <w:spacing w:before="68" w:line="199" w:lineRule="auto"/>
              <w:ind w:left="266"/>
            </w:pPr>
            <w:r>
              <w:rPr>
                <w:spacing w:val="-2"/>
              </w:rPr>
              <w:t>0.03</w:t>
            </w:r>
          </w:p>
        </w:tc>
        <w:tc>
          <w:tcPr>
            <w:tcW w:w="880" w:type="dxa"/>
            <w:vAlign w:val="top"/>
          </w:tcPr>
          <w:p w14:paraId="7717B35F">
            <w:pPr>
              <w:pStyle w:val="6"/>
              <w:spacing w:before="68" w:line="199" w:lineRule="auto"/>
              <w:ind w:left="268"/>
            </w:pPr>
            <w:r>
              <w:rPr>
                <w:spacing w:val="-2"/>
              </w:rPr>
              <w:t>0.03</w:t>
            </w:r>
          </w:p>
        </w:tc>
        <w:tc>
          <w:tcPr>
            <w:tcW w:w="881" w:type="dxa"/>
            <w:vAlign w:val="top"/>
          </w:tcPr>
          <w:p w14:paraId="151D1D5A">
            <w:pPr>
              <w:pStyle w:val="6"/>
              <w:spacing w:before="68" w:line="199" w:lineRule="auto"/>
              <w:ind w:left="206"/>
            </w:pPr>
            <w:r>
              <w:rPr>
                <w:spacing w:val="-2"/>
              </w:rPr>
              <w:t>0.05L</w:t>
            </w:r>
          </w:p>
        </w:tc>
        <w:tc>
          <w:tcPr>
            <w:tcW w:w="894" w:type="dxa"/>
            <w:tcBorders>
              <w:right w:val="single" w:color="000000" w:sz="12" w:space="0"/>
            </w:tcBorders>
            <w:vAlign w:val="top"/>
          </w:tcPr>
          <w:p w14:paraId="4C3E2E48">
            <w:pPr>
              <w:pStyle w:val="6"/>
              <w:spacing w:before="68" w:line="199" w:lineRule="auto"/>
              <w:ind w:left="347"/>
            </w:pPr>
            <w:r>
              <w:rPr>
                <w:spacing w:val="-1"/>
              </w:rPr>
              <w:t>20</w:t>
            </w:r>
          </w:p>
        </w:tc>
      </w:tr>
      <w:tr w14:paraId="264A8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60287B1">
            <w:pPr>
              <w:rPr>
                <w:rFonts w:ascii="Arial"/>
                <w:sz w:val="21"/>
              </w:rPr>
            </w:pPr>
          </w:p>
        </w:tc>
        <w:tc>
          <w:tcPr>
            <w:tcW w:w="285" w:type="dxa"/>
            <w:vMerge w:val="continue"/>
            <w:tcBorders>
              <w:top w:val="nil"/>
            </w:tcBorders>
            <w:vAlign w:val="top"/>
          </w:tcPr>
          <w:p w14:paraId="50A10D1F">
            <w:pPr>
              <w:rPr>
                <w:rFonts w:ascii="Arial"/>
                <w:sz w:val="21"/>
              </w:rPr>
            </w:pPr>
          </w:p>
        </w:tc>
        <w:tc>
          <w:tcPr>
            <w:tcW w:w="1273" w:type="dxa"/>
            <w:vAlign w:val="top"/>
          </w:tcPr>
          <w:p w14:paraId="6761EDFC">
            <w:pPr>
              <w:pStyle w:val="6"/>
              <w:spacing w:before="69" w:line="198" w:lineRule="auto"/>
              <w:ind w:left="199"/>
            </w:pPr>
            <w:r>
              <w:rPr>
                <w:spacing w:val="-1"/>
              </w:rPr>
              <w:t>2020/3/12</w:t>
            </w:r>
          </w:p>
        </w:tc>
        <w:tc>
          <w:tcPr>
            <w:tcW w:w="880" w:type="dxa"/>
            <w:vAlign w:val="top"/>
          </w:tcPr>
          <w:p w14:paraId="758557F1">
            <w:pPr>
              <w:pStyle w:val="6"/>
              <w:spacing w:before="69" w:line="198" w:lineRule="auto"/>
              <w:ind w:left="267"/>
            </w:pPr>
            <w:r>
              <w:rPr>
                <w:spacing w:val="-6"/>
              </w:rPr>
              <w:t>15.4</w:t>
            </w:r>
          </w:p>
        </w:tc>
        <w:tc>
          <w:tcPr>
            <w:tcW w:w="880" w:type="dxa"/>
            <w:vAlign w:val="top"/>
          </w:tcPr>
          <w:p w14:paraId="3E050F45">
            <w:pPr>
              <w:pStyle w:val="6"/>
              <w:spacing w:before="69" w:line="198" w:lineRule="auto"/>
              <w:ind w:left="254"/>
            </w:pPr>
            <w:r>
              <w:rPr>
                <w:spacing w:val="-3"/>
              </w:rPr>
              <w:t>6.77</w:t>
            </w:r>
          </w:p>
        </w:tc>
        <w:tc>
          <w:tcPr>
            <w:tcW w:w="880" w:type="dxa"/>
            <w:vAlign w:val="top"/>
          </w:tcPr>
          <w:p w14:paraId="4E166E13">
            <w:pPr>
              <w:pStyle w:val="6"/>
              <w:spacing w:before="69" w:line="198" w:lineRule="auto"/>
              <w:ind w:left="387"/>
            </w:pPr>
            <w:r>
              <w:t>5</w:t>
            </w:r>
          </w:p>
        </w:tc>
        <w:tc>
          <w:tcPr>
            <w:tcW w:w="880" w:type="dxa"/>
            <w:vAlign w:val="top"/>
          </w:tcPr>
          <w:p w14:paraId="38B1DB6C">
            <w:pPr>
              <w:pStyle w:val="6"/>
              <w:spacing w:before="69" w:line="198" w:lineRule="auto"/>
              <w:ind w:left="309"/>
            </w:pPr>
            <w:r>
              <w:rPr>
                <w:spacing w:val="-3"/>
              </w:rPr>
              <w:t>6.3</w:t>
            </w:r>
          </w:p>
        </w:tc>
        <w:tc>
          <w:tcPr>
            <w:tcW w:w="880" w:type="dxa"/>
            <w:vAlign w:val="top"/>
          </w:tcPr>
          <w:p w14:paraId="00B5DD9E">
            <w:pPr>
              <w:pStyle w:val="6"/>
              <w:spacing w:before="69" w:line="198" w:lineRule="auto"/>
              <w:ind w:left="307"/>
            </w:pPr>
            <w:r>
              <w:rPr>
                <w:spacing w:val="-2"/>
              </w:rPr>
              <w:t>2.5</w:t>
            </w:r>
          </w:p>
        </w:tc>
        <w:tc>
          <w:tcPr>
            <w:tcW w:w="880" w:type="dxa"/>
            <w:vAlign w:val="top"/>
          </w:tcPr>
          <w:p w14:paraId="4A129DE7">
            <w:pPr>
              <w:pStyle w:val="6"/>
              <w:spacing w:before="69" w:line="198" w:lineRule="auto"/>
              <w:ind w:left="355"/>
            </w:pPr>
            <w:r>
              <w:rPr>
                <w:spacing w:val="-6"/>
              </w:rPr>
              <w:t>11</w:t>
            </w:r>
          </w:p>
        </w:tc>
        <w:tc>
          <w:tcPr>
            <w:tcW w:w="880" w:type="dxa"/>
            <w:vAlign w:val="top"/>
          </w:tcPr>
          <w:p w14:paraId="7CFAC4F5">
            <w:pPr>
              <w:pStyle w:val="6"/>
              <w:spacing w:before="69" w:line="198" w:lineRule="auto"/>
              <w:ind w:left="311"/>
            </w:pPr>
            <w:r>
              <w:rPr>
                <w:spacing w:val="-2"/>
              </w:rPr>
              <w:t>2.2</w:t>
            </w:r>
          </w:p>
        </w:tc>
        <w:tc>
          <w:tcPr>
            <w:tcW w:w="880" w:type="dxa"/>
            <w:vAlign w:val="top"/>
          </w:tcPr>
          <w:p w14:paraId="18E0C46B">
            <w:pPr>
              <w:pStyle w:val="6"/>
              <w:spacing w:before="69" w:line="198" w:lineRule="auto"/>
              <w:ind w:left="147"/>
            </w:pPr>
            <w:r>
              <w:rPr>
                <w:spacing w:val="-2"/>
              </w:rPr>
              <w:t>0.025L</w:t>
            </w:r>
          </w:p>
        </w:tc>
        <w:tc>
          <w:tcPr>
            <w:tcW w:w="880" w:type="dxa"/>
            <w:vAlign w:val="top"/>
          </w:tcPr>
          <w:p w14:paraId="265B58B5">
            <w:pPr>
              <w:pStyle w:val="6"/>
              <w:spacing w:before="69" w:line="198" w:lineRule="auto"/>
              <w:ind w:left="266"/>
            </w:pPr>
            <w:r>
              <w:rPr>
                <w:spacing w:val="-2"/>
              </w:rPr>
              <w:t>0.04</w:t>
            </w:r>
          </w:p>
        </w:tc>
        <w:tc>
          <w:tcPr>
            <w:tcW w:w="880" w:type="dxa"/>
            <w:vAlign w:val="top"/>
          </w:tcPr>
          <w:p w14:paraId="35D736EC">
            <w:pPr>
              <w:pStyle w:val="6"/>
              <w:spacing w:before="69" w:line="198" w:lineRule="auto"/>
              <w:ind w:left="268"/>
            </w:pPr>
            <w:r>
              <w:rPr>
                <w:spacing w:val="-2"/>
              </w:rPr>
              <w:t>0.03</w:t>
            </w:r>
          </w:p>
        </w:tc>
        <w:tc>
          <w:tcPr>
            <w:tcW w:w="881" w:type="dxa"/>
            <w:vAlign w:val="top"/>
          </w:tcPr>
          <w:p w14:paraId="6271DE5F">
            <w:pPr>
              <w:pStyle w:val="6"/>
              <w:spacing w:before="69" w:line="198" w:lineRule="auto"/>
              <w:ind w:left="206"/>
            </w:pPr>
            <w:r>
              <w:rPr>
                <w:spacing w:val="-2"/>
              </w:rPr>
              <w:t>0.05L</w:t>
            </w:r>
          </w:p>
        </w:tc>
        <w:tc>
          <w:tcPr>
            <w:tcW w:w="894" w:type="dxa"/>
            <w:tcBorders>
              <w:right w:val="single" w:color="000000" w:sz="12" w:space="0"/>
            </w:tcBorders>
            <w:vAlign w:val="top"/>
          </w:tcPr>
          <w:p w14:paraId="152B5F49">
            <w:pPr>
              <w:pStyle w:val="6"/>
              <w:spacing w:before="69" w:line="198" w:lineRule="auto"/>
              <w:ind w:left="347"/>
            </w:pPr>
            <w:r>
              <w:rPr>
                <w:spacing w:val="-1"/>
              </w:rPr>
              <w:t>20</w:t>
            </w:r>
          </w:p>
        </w:tc>
      </w:tr>
      <w:tr w14:paraId="444A4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64F2937">
            <w:pPr>
              <w:rPr>
                <w:rFonts w:ascii="Arial"/>
                <w:sz w:val="21"/>
              </w:rPr>
            </w:pPr>
          </w:p>
        </w:tc>
        <w:tc>
          <w:tcPr>
            <w:tcW w:w="285" w:type="dxa"/>
            <w:vMerge w:val="restart"/>
            <w:tcBorders>
              <w:bottom w:val="nil"/>
            </w:tcBorders>
            <w:vAlign w:val="top"/>
          </w:tcPr>
          <w:p w14:paraId="22587AAE">
            <w:pPr>
              <w:pStyle w:val="6"/>
              <w:spacing w:before="89" w:line="222" w:lineRule="auto"/>
              <w:ind w:left="77"/>
            </w:pPr>
            <w:r>
              <w:t>2</w:t>
            </w:r>
          </w:p>
          <w:p w14:paraId="784D5125">
            <w:pPr>
              <w:spacing w:line="219" w:lineRule="auto"/>
              <w:ind w:left="29"/>
              <w:rPr>
                <w:rFonts w:ascii="宋体" w:hAnsi="宋体" w:eastAsia="宋体" w:cs="宋体"/>
                <w:sz w:val="21"/>
                <w:szCs w:val="21"/>
              </w:rPr>
            </w:pPr>
            <w:r>
              <w:rPr>
                <w:rFonts w:ascii="宋体" w:hAnsi="宋体" w:eastAsia="宋体" w:cs="宋体"/>
                <w:sz w:val="21"/>
                <w:szCs w:val="21"/>
              </w:rPr>
              <w:t>季</w:t>
            </w:r>
          </w:p>
          <w:p w14:paraId="2B3C1136">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3F26B74B">
            <w:pPr>
              <w:pStyle w:val="6"/>
              <w:spacing w:before="70" w:line="197" w:lineRule="auto"/>
              <w:ind w:left="199"/>
            </w:pPr>
            <w:r>
              <w:rPr>
                <w:spacing w:val="-1"/>
              </w:rPr>
              <w:t>2020/5/20</w:t>
            </w:r>
          </w:p>
        </w:tc>
        <w:tc>
          <w:tcPr>
            <w:tcW w:w="880" w:type="dxa"/>
            <w:vAlign w:val="top"/>
          </w:tcPr>
          <w:p w14:paraId="7554E6E1">
            <w:pPr>
              <w:pStyle w:val="6"/>
              <w:spacing w:before="70" w:line="197" w:lineRule="auto"/>
              <w:ind w:left="267"/>
            </w:pPr>
            <w:r>
              <w:rPr>
                <w:spacing w:val="-6"/>
              </w:rPr>
              <w:t>16.9</w:t>
            </w:r>
          </w:p>
        </w:tc>
        <w:tc>
          <w:tcPr>
            <w:tcW w:w="880" w:type="dxa"/>
            <w:vAlign w:val="top"/>
          </w:tcPr>
          <w:p w14:paraId="04022C69">
            <w:pPr>
              <w:pStyle w:val="6"/>
              <w:spacing w:before="70" w:line="197" w:lineRule="auto"/>
              <w:ind w:left="252"/>
            </w:pPr>
            <w:r>
              <w:rPr>
                <w:spacing w:val="-2"/>
              </w:rPr>
              <w:t>7.33</w:t>
            </w:r>
          </w:p>
        </w:tc>
        <w:tc>
          <w:tcPr>
            <w:tcW w:w="880" w:type="dxa"/>
            <w:vAlign w:val="top"/>
          </w:tcPr>
          <w:p w14:paraId="0DE35D20">
            <w:pPr>
              <w:pStyle w:val="6"/>
              <w:spacing w:before="75" w:line="186" w:lineRule="auto"/>
              <w:ind w:left="317"/>
            </w:pPr>
            <w:r>
              <w:rPr>
                <w:spacing w:val="-1"/>
              </w:rPr>
              <w:t>4L</w:t>
            </w:r>
          </w:p>
        </w:tc>
        <w:tc>
          <w:tcPr>
            <w:tcW w:w="880" w:type="dxa"/>
            <w:vAlign w:val="top"/>
          </w:tcPr>
          <w:p w14:paraId="146D2172">
            <w:pPr>
              <w:pStyle w:val="6"/>
              <w:spacing w:before="70" w:line="197" w:lineRule="auto"/>
              <w:ind w:left="309"/>
            </w:pPr>
            <w:r>
              <w:rPr>
                <w:spacing w:val="-3"/>
              </w:rPr>
              <w:t>6.3</w:t>
            </w:r>
          </w:p>
        </w:tc>
        <w:tc>
          <w:tcPr>
            <w:tcW w:w="880" w:type="dxa"/>
            <w:vAlign w:val="top"/>
          </w:tcPr>
          <w:p w14:paraId="4554C0BE">
            <w:pPr>
              <w:pStyle w:val="6"/>
              <w:spacing w:before="70" w:line="197" w:lineRule="auto"/>
              <w:ind w:left="311"/>
            </w:pPr>
            <w:r>
              <w:rPr>
                <w:spacing w:val="-3"/>
              </w:rPr>
              <w:t>3.8</w:t>
            </w:r>
          </w:p>
        </w:tc>
        <w:tc>
          <w:tcPr>
            <w:tcW w:w="880" w:type="dxa"/>
            <w:vAlign w:val="top"/>
          </w:tcPr>
          <w:p w14:paraId="6D346094">
            <w:pPr>
              <w:pStyle w:val="6"/>
              <w:spacing w:before="70" w:line="197" w:lineRule="auto"/>
              <w:ind w:left="393"/>
            </w:pPr>
            <w:r>
              <w:t>6</w:t>
            </w:r>
          </w:p>
        </w:tc>
        <w:tc>
          <w:tcPr>
            <w:tcW w:w="880" w:type="dxa"/>
            <w:vAlign w:val="top"/>
          </w:tcPr>
          <w:p w14:paraId="264623C3">
            <w:pPr>
              <w:pStyle w:val="6"/>
              <w:spacing w:before="70" w:line="197" w:lineRule="auto"/>
              <w:ind w:left="331"/>
            </w:pPr>
            <w:r>
              <w:rPr>
                <w:spacing w:val="-8"/>
              </w:rPr>
              <w:t>1.3</w:t>
            </w:r>
          </w:p>
        </w:tc>
        <w:tc>
          <w:tcPr>
            <w:tcW w:w="880" w:type="dxa"/>
            <w:vAlign w:val="top"/>
          </w:tcPr>
          <w:p w14:paraId="74A7F176">
            <w:pPr>
              <w:pStyle w:val="6"/>
              <w:spacing w:before="70" w:line="197" w:lineRule="auto"/>
              <w:ind w:left="212"/>
            </w:pPr>
            <w:r>
              <w:rPr>
                <w:spacing w:val="-2"/>
              </w:rPr>
              <w:t>0.226</w:t>
            </w:r>
          </w:p>
        </w:tc>
        <w:tc>
          <w:tcPr>
            <w:tcW w:w="880" w:type="dxa"/>
            <w:vAlign w:val="top"/>
          </w:tcPr>
          <w:p w14:paraId="0374E9ED">
            <w:pPr>
              <w:pStyle w:val="6"/>
              <w:spacing w:before="70" w:line="197" w:lineRule="auto"/>
              <w:ind w:left="266"/>
            </w:pPr>
            <w:r>
              <w:rPr>
                <w:spacing w:val="-2"/>
              </w:rPr>
              <w:t>0.04</w:t>
            </w:r>
          </w:p>
        </w:tc>
        <w:tc>
          <w:tcPr>
            <w:tcW w:w="880" w:type="dxa"/>
            <w:vAlign w:val="top"/>
          </w:tcPr>
          <w:p w14:paraId="4B5DEB8C">
            <w:pPr>
              <w:pStyle w:val="6"/>
              <w:spacing w:before="70" w:line="197" w:lineRule="auto"/>
              <w:ind w:left="268"/>
            </w:pPr>
            <w:r>
              <w:rPr>
                <w:spacing w:val="-2"/>
              </w:rPr>
              <w:t>0.01</w:t>
            </w:r>
          </w:p>
        </w:tc>
        <w:tc>
          <w:tcPr>
            <w:tcW w:w="881" w:type="dxa"/>
            <w:vAlign w:val="top"/>
          </w:tcPr>
          <w:p w14:paraId="74EBF7C8">
            <w:pPr>
              <w:pStyle w:val="6"/>
              <w:spacing w:before="70" w:line="197" w:lineRule="auto"/>
              <w:ind w:left="206"/>
            </w:pPr>
            <w:r>
              <w:rPr>
                <w:spacing w:val="-2"/>
              </w:rPr>
              <w:t>0.05L</w:t>
            </w:r>
          </w:p>
        </w:tc>
        <w:tc>
          <w:tcPr>
            <w:tcW w:w="894" w:type="dxa"/>
            <w:tcBorders>
              <w:right w:val="single" w:color="000000" w:sz="12" w:space="0"/>
            </w:tcBorders>
            <w:vAlign w:val="top"/>
          </w:tcPr>
          <w:p w14:paraId="10C19686">
            <w:pPr>
              <w:pStyle w:val="6"/>
              <w:spacing w:before="70" w:line="197" w:lineRule="auto"/>
              <w:ind w:left="294"/>
            </w:pPr>
            <w:r>
              <w:rPr>
                <w:spacing w:val="-1"/>
              </w:rPr>
              <w:t>490</w:t>
            </w:r>
          </w:p>
        </w:tc>
      </w:tr>
      <w:tr w14:paraId="75F7E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CB0E017">
            <w:pPr>
              <w:rPr>
                <w:rFonts w:ascii="Arial"/>
                <w:sz w:val="21"/>
              </w:rPr>
            </w:pPr>
          </w:p>
        </w:tc>
        <w:tc>
          <w:tcPr>
            <w:tcW w:w="285" w:type="dxa"/>
            <w:vMerge w:val="continue"/>
            <w:tcBorders>
              <w:top w:val="nil"/>
              <w:bottom w:val="nil"/>
            </w:tcBorders>
            <w:vAlign w:val="top"/>
          </w:tcPr>
          <w:p w14:paraId="72858DA5">
            <w:pPr>
              <w:rPr>
                <w:rFonts w:ascii="Arial"/>
                <w:sz w:val="21"/>
              </w:rPr>
            </w:pPr>
          </w:p>
        </w:tc>
        <w:tc>
          <w:tcPr>
            <w:tcW w:w="1273" w:type="dxa"/>
            <w:vAlign w:val="top"/>
          </w:tcPr>
          <w:p w14:paraId="78B7A7AA">
            <w:pPr>
              <w:pStyle w:val="6"/>
              <w:spacing w:before="72" w:line="195" w:lineRule="auto"/>
              <w:ind w:left="199"/>
            </w:pPr>
            <w:r>
              <w:rPr>
                <w:spacing w:val="-1"/>
              </w:rPr>
              <w:t>2020/5/21</w:t>
            </w:r>
          </w:p>
        </w:tc>
        <w:tc>
          <w:tcPr>
            <w:tcW w:w="880" w:type="dxa"/>
            <w:vAlign w:val="top"/>
          </w:tcPr>
          <w:p w14:paraId="2F49E909">
            <w:pPr>
              <w:pStyle w:val="6"/>
              <w:spacing w:before="72" w:line="195" w:lineRule="auto"/>
              <w:ind w:left="267"/>
            </w:pPr>
            <w:r>
              <w:rPr>
                <w:spacing w:val="-6"/>
              </w:rPr>
              <w:t>17.4</w:t>
            </w:r>
          </w:p>
        </w:tc>
        <w:tc>
          <w:tcPr>
            <w:tcW w:w="880" w:type="dxa"/>
            <w:vAlign w:val="top"/>
          </w:tcPr>
          <w:p w14:paraId="19FA4223">
            <w:pPr>
              <w:pStyle w:val="6"/>
              <w:spacing w:before="72" w:line="195" w:lineRule="auto"/>
              <w:ind w:left="252"/>
            </w:pPr>
            <w:r>
              <w:rPr>
                <w:spacing w:val="-2"/>
              </w:rPr>
              <w:t>7.29</w:t>
            </w:r>
          </w:p>
        </w:tc>
        <w:tc>
          <w:tcPr>
            <w:tcW w:w="880" w:type="dxa"/>
            <w:vAlign w:val="top"/>
          </w:tcPr>
          <w:p w14:paraId="2EBADA22">
            <w:pPr>
              <w:pStyle w:val="6"/>
              <w:spacing w:before="76" w:line="186" w:lineRule="auto"/>
              <w:ind w:left="317"/>
            </w:pPr>
            <w:r>
              <w:rPr>
                <w:spacing w:val="-1"/>
              </w:rPr>
              <w:t>4L</w:t>
            </w:r>
          </w:p>
        </w:tc>
        <w:tc>
          <w:tcPr>
            <w:tcW w:w="880" w:type="dxa"/>
            <w:vAlign w:val="top"/>
          </w:tcPr>
          <w:p w14:paraId="28C04D24">
            <w:pPr>
              <w:pStyle w:val="6"/>
              <w:spacing w:before="72" w:line="195" w:lineRule="auto"/>
              <w:ind w:left="310"/>
            </w:pPr>
            <w:r>
              <w:rPr>
                <w:spacing w:val="-4"/>
              </w:rPr>
              <w:t>5.8</w:t>
            </w:r>
          </w:p>
        </w:tc>
        <w:tc>
          <w:tcPr>
            <w:tcW w:w="880" w:type="dxa"/>
            <w:vAlign w:val="top"/>
          </w:tcPr>
          <w:p w14:paraId="04A28B43">
            <w:pPr>
              <w:pStyle w:val="6"/>
              <w:spacing w:before="72" w:line="195" w:lineRule="auto"/>
              <w:ind w:left="311"/>
            </w:pPr>
            <w:r>
              <w:rPr>
                <w:spacing w:val="-3"/>
              </w:rPr>
              <w:t>3.5</w:t>
            </w:r>
          </w:p>
        </w:tc>
        <w:tc>
          <w:tcPr>
            <w:tcW w:w="880" w:type="dxa"/>
            <w:vAlign w:val="top"/>
          </w:tcPr>
          <w:p w14:paraId="186871C5">
            <w:pPr>
              <w:pStyle w:val="6"/>
              <w:spacing w:before="72" w:line="195" w:lineRule="auto"/>
              <w:ind w:left="393"/>
            </w:pPr>
            <w:r>
              <w:t>6</w:t>
            </w:r>
          </w:p>
        </w:tc>
        <w:tc>
          <w:tcPr>
            <w:tcW w:w="880" w:type="dxa"/>
            <w:vAlign w:val="top"/>
          </w:tcPr>
          <w:p w14:paraId="307D312A">
            <w:pPr>
              <w:pStyle w:val="6"/>
              <w:spacing w:before="72" w:line="195" w:lineRule="auto"/>
              <w:ind w:left="331"/>
            </w:pPr>
            <w:r>
              <w:rPr>
                <w:spacing w:val="-8"/>
              </w:rPr>
              <w:t>1.4</w:t>
            </w:r>
          </w:p>
        </w:tc>
        <w:tc>
          <w:tcPr>
            <w:tcW w:w="880" w:type="dxa"/>
            <w:vAlign w:val="top"/>
          </w:tcPr>
          <w:p w14:paraId="7BE60434">
            <w:pPr>
              <w:pStyle w:val="6"/>
              <w:spacing w:before="72" w:line="195" w:lineRule="auto"/>
              <w:ind w:left="212"/>
            </w:pPr>
            <w:r>
              <w:rPr>
                <w:spacing w:val="-2"/>
              </w:rPr>
              <w:t>0.234</w:t>
            </w:r>
          </w:p>
        </w:tc>
        <w:tc>
          <w:tcPr>
            <w:tcW w:w="880" w:type="dxa"/>
            <w:vAlign w:val="top"/>
          </w:tcPr>
          <w:p w14:paraId="45950A7A">
            <w:pPr>
              <w:pStyle w:val="6"/>
              <w:spacing w:before="72" w:line="195" w:lineRule="auto"/>
              <w:ind w:left="266"/>
            </w:pPr>
            <w:r>
              <w:rPr>
                <w:spacing w:val="-2"/>
              </w:rPr>
              <w:t>0.03</w:t>
            </w:r>
          </w:p>
        </w:tc>
        <w:tc>
          <w:tcPr>
            <w:tcW w:w="880" w:type="dxa"/>
            <w:vAlign w:val="top"/>
          </w:tcPr>
          <w:p w14:paraId="25FE4C6C">
            <w:pPr>
              <w:pStyle w:val="6"/>
              <w:spacing w:before="72" w:line="195" w:lineRule="auto"/>
              <w:ind w:left="268"/>
            </w:pPr>
            <w:r>
              <w:rPr>
                <w:spacing w:val="-2"/>
              </w:rPr>
              <w:t>0.01</w:t>
            </w:r>
          </w:p>
        </w:tc>
        <w:tc>
          <w:tcPr>
            <w:tcW w:w="881" w:type="dxa"/>
            <w:vAlign w:val="top"/>
          </w:tcPr>
          <w:p w14:paraId="02E70731">
            <w:pPr>
              <w:pStyle w:val="6"/>
              <w:spacing w:before="72" w:line="195" w:lineRule="auto"/>
              <w:ind w:left="206"/>
            </w:pPr>
            <w:r>
              <w:rPr>
                <w:spacing w:val="-2"/>
              </w:rPr>
              <w:t>0.05L</w:t>
            </w:r>
          </w:p>
        </w:tc>
        <w:tc>
          <w:tcPr>
            <w:tcW w:w="894" w:type="dxa"/>
            <w:tcBorders>
              <w:right w:val="single" w:color="000000" w:sz="12" w:space="0"/>
            </w:tcBorders>
            <w:vAlign w:val="top"/>
          </w:tcPr>
          <w:p w14:paraId="49B0CA6A">
            <w:pPr>
              <w:pStyle w:val="6"/>
              <w:spacing w:before="72" w:line="195" w:lineRule="auto"/>
              <w:ind w:left="294"/>
            </w:pPr>
            <w:r>
              <w:rPr>
                <w:spacing w:val="-1"/>
              </w:rPr>
              <w:t>450</w:t>
            </w:r>
          </w:p>
        </w:tc>
      </w:tr>
      <w:tr w14:paraId="50A35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0E617FA">
            <w:pPr>
              <w:rPr>
                <w:rFonts w:ascii="Arial"/>
                <w:sz w:val="21"/>
              </w:rPr>
            </w:pPr>
          </w:p>
        </w:tc>
        <w:tc>
          <w:tcPr>
            <w:tcW w:w="285" w:type="dxa"/>
            <w:vMerge w:val="continue"/>
            <w:tcBorders>
              <w:top w:val="nil"/>
            </w:tcBorders>
            <w:vAlign w:val="top"/>
          </w:tcPr>
          <w:p w14:paraId="2EDD8DF4">
            <w:pPr>
              <w:rPr>
                <w:rFonts w:ascii="Arial"/>
                <w:sz w:val="21"/>
              </w:rPr>
            </w:pPr>
          </w:p>
        </w:tc>
        <w:tc>
          <w:tcPr>
            <w:tcW w:w="1273" w:type="dxa"/>
            <w:vAlign w:val="top"/>
          </w:tcPr>
          <w:p w14:paraId="6A844A13">
            <w:pPr>
              <w:pStyle w:val="6"/>
              <w:spacing w:before="73" w:line="194" w:lineRule="auto"/>
              <w:ind w:left="199"/>
            </w:pPr>
            <w:r>
              <w:rPr>
                <w:spacing w:val="-1"/>
              </w:rPr>
              <w:t>2020/5/22</w:t>
            </w:r>
          </w:p>
        </w:tc>
        <w:tc>
          <w:tcPr>
            <w:tcW w:w="880" w:type="dxa"/>
            <w:vAlign w:val="top"/>
          </w:tcPr>
          <w:p w14:paraId="13EE818B">
            <w:pPr>
              <w:pStyle w:val="6"/>
              <w:spacing w:before="73" w:line="194" w:lineRule="auto"/>
              <w:ind w:left="267"/>
            </w:pPr>
            <w:r>
              <w:rPr>
                <w:spacing w:val="-6"/>
              </w:rPr>
              <w:t>18.3</w:t>
            </w:r>
          </w:p>
        </w:tc>
        <w:tc>
          <w:tcPr>
            <w:tcW w:w="880" w:type="dxa"/>
            <w:vAlign w:val="top"/>
          </w:tcPr>
          <w:p w14:paraId="6BF52E4F">
            <w:pPr>
              <w:pStyle w:val="6"/>
              <w:spacing w:before="73" w:line="194" w:lineRule="auto"/>
              <w:ind w:left="252"/>
            </w:pPr>
            <w:r>
              <w:rPr>
                <w:spacing w:val="-2"/>
              </w:rPr>
              <w:t>7.25</w:t>
            </w:r>
          </w:p>
        </w:tc>
        <w:tc>
          <w:tcPr>
            <w:tcW w:w="880" w:type="dxa"/>
            <w:vAlign w:val="top"/>
          </w:tcPr>
          <w:p w14:paraId="22AE80CF">
            <w:pPr>
              <w:pStyle w:val="6"/>
              <w:spacing w:before="77" w:line="186" w:lineRule="auto"/>
              <w:ind w:left="317"/>
            </w:pPr>
            <w:r>
              <w:rPr>
                <w:spacing w:val="-1"/>
              </w:rPr>
              <w:t>4L</w:t>
            </w:r>
          </w:p>
        </w:tc>
        <w:tc>
          <w:tcPr>
            <w:tcW w:w="880" w:type="dxa"/>
            <w:vAlign w:val="top"/>
          </w:tcPr>
          <w:p w14:paraId="42CCCA4D">
            <w:pPr>
              <w:pStyle w:val="6"/>
              <w:spacing w:before="73" w:line="194" w:lineRule="auto"/>
              <w:ind w:left="309"/>
            </w:pPr>
            <w:r>
              <w:rPr>
                <w:spacing w:val="-3"/>
              </w:rPr>
              <w:t>6.4</w:t>
            </w:r>
          </w:p>
        </w:tc>
        <w:tc>
          <w:tcPr>
            <w:tcW w:w="880" w:type="dxa"/>
            <w:vAlign w:val="top"/>
          </w:tcPr>
          <w:p w14:paraId="73576ABA">
            <w:pPr>
              <w:pStyle w:val="6"/>
              <w:spacing w:before="73" w:line="194" w:lineRule="auto"/>
              <w:ind w:left="311"/>
            </w:pPr>
            <w:r>
              <w:rPr>
                <w:spacing w:val="-3"/>
              </w:rPr>
              <w:t>3.7</w:t>
            </w:r>
          </w:p>
        </w:tc>
        <w:tc>
          <w:tcPr>
            <w:tcW w:w="880" w:type="dxa"/>
            <w:vAlign w:val="top"/>
          </w:tcPr>
          <w:p w14:paraId="278F2B7B">
            <w:pPr>
              <w:pStyle w:val="6"/>
              <w:spacing w:before="73" w:line="194" w:lineRule="auto"/>
              <w:ind w:left="391"/>
            </w:pPr>
            <w:r>
              <w:t>7</w:t>
            </w:r>
          </w:p>
        </w:tc>
        <w:tc>
          <w:tcPr>
            <w:tcW w:w="880" w:type="dxa"/>
            <w:vAlign w:val="top"/>
          </w:tcPr>
          <w:p w14:paraId="17B15F51">
            <w:pPr>
              <w:pStyle w:val="6"/>
              <w:spacing w:before="73" w:line="194" w:lineRule="auto"/>
              <w:ind w:left="331"/>
            </w:pPr>
            <w:r>
              <w:rPr>
                <w:spacing w:val="-8"/>
              </w:rPr>
              <w:t>1.6</w:t>
            </w:r>
          </w:p>
        </w:tc>
        <w:tc>
          <w:tcPr>
            <w:tcW w:w="880" w:type="dxa"/>
            <w:vAlign w:val="top"/>
          </w:tcPr>
          <w:p w14:paraId="58A48C83">
            <w:pPr>
              <w:pStyle w:val="6"/>
              <w:spacing w:before="73" w:line="194" w:lineRule="auto"/>
              <w:ind w:left="212"/>
            </w:pPr>
            <w:r>
              <w:rPr>
                <w:spacing w:val="-2"/>
              </w:rPr>
              <w:t>0.221</w:t>
            </w:r>
          </w:p>
        </w:tc>
        <w:tc>
          <w:tcPr>
            <w:tcW w:w="880" w:type="dxa"/>
            <w:vAlign w:val="top"/>
          </w:tcPr>
          <w:p w14:paraId="5996637D">
            <w:pPr>
              <w:pStyle w:val="6"/>
              <w:spacing w:before="73" w:line="194" w:lineRule="auto"/>
              <w:ind w:left="266"/>
            </w:pPr>
            <w:r>
              <w:rPr>
                <w:spacing w:val="-2"/>
              </w:rPr>
              <w:t>0.03</w:t>
            </w:r>
          </w:p>
        </w:tc>
        <w:tc>
          <w:tcPr>
            <w:tcW w:w="880" w:type="dxa"/>
            <w:vAlign w:val="top"/>
          </w:tcPr>
          <w:p w14:paraId="174D973F">
            <w:pPr>
              <w:pStyle w:val="6"/>
              <w:spacing w:before="73" w:line="194" w:lineRule="auto"/>
              <w:ind w:left="268"/>
            </w:pPr>
            <w:r>
              <w:rPr>
                <w:spacing w:val="-2"/>
              </w:rPr>
              <w:t>0.01</w:t>
            </w:r>
          </w:p>
        </w:tc>
        <w:tc>
          <w:tcPr>
            <w:tcW w:w="881" w:type="dxa"/>
            <w:vAlign w:val="top"/>
          </w:tcPr>
          <w:p w14:paraId="1159FFD4">
            <w:pPr>
              <w:pStyle w:val="6"/>
              <w:spacing w:before="73" w:line="194" w:lineRule="auto"/>
              <w:ind w:left="206"/>
            </w:pPr>
            <w:r>
              <w:rPr>
                <w:spacing w:val="-2"/>
              </w:rPr>
              <w:t>0.05L</w:t>
            </w:r>
          </w:p>
        </w:tc>
        <w:tc>
          <w:tcPr>
            <w:tcW w:w="894" w:type="dxa"/>
            <w:tcBorders>
              <w:right w:val="single" w:color="000000" w:sz="12" w:space="0"/>
            </w:tcBorders>
            <w:vAlign w:val="top"/>
          </w:tcPr>
          <w:p w14:paraId="2D9CA4AC">
            <w:pPr>
              <w:pStyle w:val="6"/>
              <w:spacing w:before="73" w:line="194" w:lineRule="auto"/>
              <w:ind w:left="294"/>
            </w:pPr>
            <w:r>
              <w:rPr>
                <w:spacing w:val="-1"/>
              </w:rPr>
              <w:t>480</w:t>
            </w:r>
          </w:p>
        </w:tc>
      </w:tr>
      <w:tr w14:paraId="43341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DD9906C">
            <w:pPr>
              <w:rPr>
                <w:rFonts w:ascii="Arial"/>
                <w:sz w:val="21"/>
              </w:rPr>
            </w:pPr>
          </w:p>
        </w:tc>
        <w:tc>
          <w:tcPr>
            <w:tcW w:w="285" w:type="dxa"/>
            <w:vMerge w:val="restart"/>
            <w:tcBorders>
              <w:bottom w:val="nil"/>
            </w:tcBorders>
            <w:vAlign w:val="top"/>
          </w:tcPr>
          <w:p w14:paraId="0F3A47BE">
            <w:pPr>
              <w:pStyle w:val="6"/>
              <w:spacing w:before="93" w:line="222" w:lineRule="auto"/>
              <w:ind w:left="81"/>
            </w:pPr>
            <w:r>
              <w:t>3</w:t>
            </w:r>
          </w:p>
          <w:p w14:paraId="03144443">
            <w:pPr>
              <w:spacing w:line="219" w:lineRule="auto"/>
              <w:ind w:left="29"/>
              <w:rPr>
                <w:rFonts w:ascii="宋体" w:hAnsi="宋体" w:eastAsia="宋体" w:cs="宋体"/>
                <w:sz w:val="21"/>
                <w:szCs w:val="21"/>
              </w:rPr>
            </w:pPr>
            <w:r>
              <w:rPr>
                <w:rFonts w:ascii="宋体" w:hAnsi="宋体" w:eastAsia="宋体" w:cs="宋体"/>
                <w:sz w:val="21"/>
                <w:szCs w:val="21"/>
              </w:rPr>
              <w:t>季</w:t>
            </w:r>
          </w:p>
          <w:p w14:paraId="01018BDC">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7D89E79">
            <w:pPr>
              <w:pStyle w:val="6"/>
              <w:spacing w:before="75" w:line="192" w:lineRule="auto"/>
              <w:ind w:left="199"/>
            </w:pPr>
            <w:r>
              <w:rPr>
                <w:spacing w:val="-1"/>
              </w:rPr>
              <w:t>2020/8/20</w:t>
            </w:r>
          </w:p>
        </w:tc>
        <w:tc>
          <w:tcPr>
            <w:tcW w:w="880" w:type="dxa"/>
            <w:vAlign w:val="top"/>
          </w:tcPr>
          <w:p w14:paraId="6FF60E8B">
            <w:pPr>
              <w:pStyle w:val="6"/>
              <w:spacing w:before="75" w:line="192" w:lineRule="auto"/>
              <w:ind w:left="267"/>
            </w:pPr>
            <w:r>
              <w:rPr>
                <w:spacing w:val="-6"/>
              </w:rPr>
              <w:t>17.8</w:t>
            </w:r>
          </w:p>
        </w:tc>
        <w:tc>
          <w:tcPr>
            <w:tcW w:w="880" w:type="dxa"/>
            <w:vAlign w:val="top"/>
          </w:tcPr>
          <w:p w14:paraId="0297FD60">
            <w:pPr>
              <w:pStyle w:val="6"/>
              <w:spacing w:before="75" w:line="192" w:lineRule="auto"/>
              <w:ind w:left="252"/>
            </w:pPr>
            <w:r>
              <w:rPr>
                <w:spacing w:val="-2"/>
              </w:rPr>
              <w:t>7.62</w:t>
            </w:r>
          </w:p>
        </w:tc>
        <w:tc>
          <w:tcPr>
            <w:tcW w:w="880" w:type="dxa"/>
            <w:vAlign w:val="top"/>
          </w:tcPr>
          <w:p w14:paraId="7B44DBAC">
            <w:pPr>
              <w:pStyle w:val="6"/>
              <w:spacing w:before="75" w:line="192" w:lineRule="auto"/>
              <w:ind w:left="349"/>
            </w:pPr>
            <w:r>
              <w:rPr>
                <w:spacing w:val="-6"/>
              </w:rPr>
              <w:t>16</w:t>
            </w:r>
          </w:p>
        </w:tc>
        <w:tc>
          <w:tcPr>
            <w:tcW w:w="880" w:type="dxa"/>
            <w:vAlign w:val="top"/>
          </w:tcPr>
          <w:p w14:paraId="39A43DBB">
            <w:pPr>
              <w:pStyle w:val="6"/>
              <w:spacing w:before="75" w:line="192" w:lineRule="auto"/>
              <w:ind w:left="305"/>
            </w:pPr>
            <w:r>
              <w:rPr>
                <w:spacing w:val="-2"/>
              </w:rPr>
              <w:t>2.7</w:t>
            </w:r>
          </w:p>
        </w:tc>
        <w:tc>
          <w:tcPr>
            <w:tcW w:w="880" w:type="dxa"/>
            <w:vAlign w:val="top"/>
          </w:tcPr>
          <w:p w14:paraId="29231639">
            <w:pPr>
              <w:pStyle w:val="6"/>
              <w:spacing w:before="75" w:line="192" w:lineRule="auto"/>
              <w:ind w:left="311"/>
            </w:pPr>
            <w:r>
              <w:rPr>
                <w:spacing w:val="-3"/>
              </w:rPr>
              <w:t>3.7</w:t>
            </w:r>
          </w:p>
        </w:tc>
        <w:tc>
          <w:tcPr>
            <w:tcW w:w="880" w:type="dxa"/>
            <w:vAlign w:val="top"/>
          </w:tcPr>
          <w:p w14:paraId="6777CADA">
            <w:pPr>
              <w:pStyle w:val="6"/>
              <w:spacing w:before="75" w:line="192" w:lineRule="auto"/>
              <w:ind w:left="393"/>
            </w:pPr>
            <w:r>
              <w:t>6</w:t>
            </w:r>
          </w:p>
        </w:tc>
        <w:tc>
          <w:tcPr>
            <w:tcW w:w="880" w:type="dxa"/>
            <w:vAlign w:val="top"/>
          </w:tcPr>
          <w:p w14:paraId="5199344A">
            <w:pPr>
              <w:pStyle w:val="6"/>
              <w:spacing w:before="75" w:line="192" w:lineRule="auto"/>
              <w:ind w:left="331"/>
            </w:pPr>
            <w:r>
              <w:rPr>
                <w:spacing w:val="-8"/>
              </w:rPr>
              <w:t>1.2</w:t>
            </w:r>
          </w:p>
        </w:tc>
        <w:tc>
          <w:tcPr>
            <w:tcW w:w="880" w:type="dxa"/>
            <w:vAlign w:val="top"/>
          </w:tcPr>
          <w:p w14:paraId="140B6DC7">
            <w:pPr>
              <w:pStyle w:val="6"/>
              <w:spacing w:before="75" w:line="192" w:lineRule="auto"/>
              <w:ind w:left="212"/>
            </w:pPr>
            <w:r>
              <w:rPr>
                <w:spacing w:val="-2"/>
              </w:rPr>
              <w:t>0.199</w:t>
            </w:r>
          </w:p>
        </w:tc>
        <w:tc>
          <w:tcPr>
            <w:tcW w:w="880" w:type="dxa"/>
            <w:vAlign w:val="top"/>
          </w:tcPr>
          <w:p w14:paraId="2648B938">
            <w:pPr>
              <w:pStyle w:val="6"/>
              <w:spacing w:before="75" w:line="192" w:lineRule="auto"/>
              <w:ind w:left="266"/>
            </w:pPr>
            <w:r>
              <w:rPr>
                <w:spacing w:val="-2"/>
              </w:rPr>
              <w:t>0.04</w:t>
            </w:r>
          </w:p>
        </w:tc>
        <w:tc>
          <w:tcPr>
            <w:tcW w:w="880" w:type="dxa"/>
            <w:vAlign w:val="top"/>
          </w:tcPr>
          <w:p w14:paraId="66EFB948">
            <w:pPr>
              <w:pStyle w:val="6"/>
              <w:spacing w:before="75" w:line="192" w:lineRule="auto"/>
              <w:ind w:left="268"/>
            </w:pPr>
            <w:r>
              <w:rPr>
                <w:spacing w:val="-2"/>
              </w:rPr>
              <w:t>0.01</w:t>
            </w:r>
          </w:p>
        </w:tc>
        <w:tc>
          <w:tcPr>
            <w:tcW w:w="881" w:type="dxa"/>
            <w:vAlign w:val="top"/>
          </w:tcPr>
          <w:p w14:paraId="765512CA">
            <w:pPr>
              <w:pStyle w:val="6"/>
              <w:spacing w:before="75" w:line="192" w:lineRule="auto"/>
              <w:ind w:left="206"/>
            </w:pPr>
            <w:r>
              <w:rPr>
                <w:spacing w:val="-2"/>
              </w:rPr>
              <w:t>0.05L</w:t>
            </w:r>
          </w:p>
        </w:tc>
        <w:tc>
          <w:tcPr>
            <w:tcW w:w="894" w:type="dxa"/>
            <w:tcBorders>
              <w:right w:val="single" w:color="000000" w:sz="12" w:space="0"/>
            </w:tcBorders>
            <w:vAlign w:val="top"/>
          </w:tcPr>
          <w:p w14:paraId="212C74C6">
            <w:pPr>
              <w:pStyle w:val="6"/>
              <w:spacing w:before="75" w:line="192" w:lineRule="auto"/>
              <w:ind w:left="298"/>
            </w:pPr>
            <w:r>
              <w:rPr>
                <w:spacing w:val="-2"/>
              </w:rPr>
              <w:t>700</w:t>
            </w:r>
          </w:p>
        </w:tc>
      </w:tr>
      <w:tr w14:paraId="3E15B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4AAA62DD">
            <w:pPr>
              <w:rPr>
                <w:rFonts w:ascii="Arial"/>
                <w:sz w:val="21"/>
              </w:rPr>
            </w:pPr>
          </w:p>
        </w:tc>
        <w:tc>
          <w:tcPr>
            <w:tcW w:w="285" w:type="dxa"/>
            <w:vMerge w:val="continue"/>
            <w:tcBorders>
              <w:top w:val="nil"/>
              <w:bottom w:val="nil"/>
            </w:tcBorders>
            <w:vAlign w:val="top"/>
          </w:tcPr>
          <w:p w14:paraId="42D6836E">
            <w:pPr>
              <w:rPr>
                <w:rFonts w:ascii="Arial"/>
                <w:sz w:val="21"/>
              </w:rPr>
            </w:pPr>
          </w:p>
        </w:tc>
        <w:tc>
          <w:tcPr>
            <w:tcW w:w="1273" w:type="dxa"/>
            <w:vAlign w:val="top"/>
          </w:tcPr>
          <w:p w14:paraId="226CEB8B">
            <w:pPr>
              <w:pStyle w:val="6"/>
              <w:spacing w:before="76" w:line="192" w:lineRule="auto"/>
              <w:ind w:left="199"/>
            </w:pPr>
            <w:r>
              <w:rPr>
                <w:spacing w:val="-1"/>
              </w:rPr>
              <w:t>2020/8/21</w:t>
            </w:r>
          </w:p>
        </w:tc>
        <w:tc>
          <w:tcPr>
            <w:tcW w:w="880" w:type="dxa"/>
            <w:vAlign w:val="top"/>
          </w:tcPr>
          <w:p w14:paraId="5C44F664">
            <w:pPr>
              <w:pStyle w:val="6"/>
              <w:spacing w:before="76" w:line="192" w:lineRule="auto"/>
              <w:ind w:left="267"/>
            </w:pPr>
            <w:r>
              <w:rPr>
                <w:spacing w:val="-6"/>
              </w:rPr>
              <w:t>17.4</w:t>
            </w:r>
          </w:p>
        </w:tc>
        <w:tc>
          <w:tcPr>
            <w:tcW w:w="880" w:type="dxa"/>
            <w:vAlign w:val="top"/>
          </w:tcPr>
          <w:p w14:paraId="025BC7F1">
            <w:pPr>
              <w:pStyle w:val="6"/>
              <w:spacing w:before="76" w:line="192" w:lineRule="auto"/>
              <w:ind w:left="252"/>
            </w:pPr>
            <w:r>
              <w:rPr>
                <w:spacing w:val="-2"/>
              </w:rPr>
              <w:t>7.66</w:t>
            </w:r>
          </w:p>
        </w:tc>
        <w:tc>
          <w:tcPr>
            <w:tcW w:w="880" w:type="dxa"/>
            <w:vAlign w:val="top"/>
          </w:tcPr>
          <w:p w14:paraId="60E591B1">
            <w:pPr>
              <w:pStyle w:val="6"/>
              <w:spacing w:before="76" w:line="192" w:lineRule="auto"/>
              <w:ind w:left="349"/>
            </w:pPr>
            <w:r>
              <w:rPr>
                <w:spacing w:val="-6"/>
              </w:rPr>
              <w:t>13</w:t>
            </w:r>
          </w:p>
        </w:tc>
        <w:tc>
          <w:tcPr>
            <w:tcW w:w="880" w:type="dxa"/>
            <w:vAlign w:val="top"/>
          </w:tcPr>
          <w:p w14:paraId="7C2C811B">
            <w:pPr>
              <w:pStyle w:val="6"/>
              <w:spacing w:before="76" w:line="192" w:lineRule="auto"/>
              <w:ind w:left="305"/>
            </w:pPr>
            <w:r>
              <w:rPr>
                <w:spacing w:val="-2"/>
              </w:rPr>
              <w:t>2.9</w:t>
            </w:r>
          </w:p>
        </w:tc>
        <w:tc>
          <w:tcPr>
            <w:tcW w:w="880" w:type="dxa"/>
            <w:vAlign w:val="top"/>
          </w:tcPr>
          <w:p w14:paraId="0CB7A7E8">
            <w:pPr>
              <w:pStyle w:val="6"/>
              <w:spacing w:before="76" w:line="192" w:lineRule="auto"/>
              <w:ind w:left="311"/>
            </w:pPr>
            <w:r>
              <w:rPr>
                <w:spacing w:val="-3"/>
              </w:rPr>
              <w:t>3.5</w:t>
            </w:r>
          </w:p>
        </w:tc>
        <w:tc>
          <w:tcPr>
            <w:tcW w:w="880" w:type="dxa"/>
            <w:vAlign w:val="top"/>
          </w:tcPr>
          <w:p w14:paraId="300EFAFE">
            <w:pPr>
              <w:pStyle w:val="6"/>
              <w:spacing w:before="76" w:line="192" w:lineRule="auto"/>
              <w:ind w:left="397"/>
            </w:pPr>
            <w:r>
              <w:t>8</w:t>
            </w:r>
          </w:p>
        </w:tc>
        <w:tc>
          <w:tcPr>
            <w:tcW w:w="880" w:type="dxa"/>
            <w:vAlign w:val="top"/>
          </w:tcPr>
          <w:p w14:paraId="588EFE3E">
            <w:pPr>
              <w:pStyle w:val="6"/>
              <w:spacing w:before="76" w:line="192" w:lineRule="auto"/>
              <w:ind w:left="331"/>
            </w:pPr>
            <w:r>
              <w:rPr>
                <w:spacing w:val="-8"/>
              </w:rPr>
              <w:t>1.6</w:t>
            </w:r>
          </w:p>
        </w:tc>
        <w:tc>
          <w:tcPr>
            <w:tcW w:w="880" w:type="dxa"/>
            <w:vAlign w:val="top"/>
          </w:tcPr>
          <w:p w14:paraId="01141486">
            <w:pPr>
              <w:pStyle w:val="6"/>
              <w:spacing w:before="76" w:line="192" w:lineRule="auto"/>
              <w:ind w:left="212"/>
            </w:pPr>
            <w:r>
              <w:rPr>
                <w:spacing w:val="-2"/>
              </w:rPr>
              <w:t>0.207</w:t>
            </w:r>
          </w:p>
        </w:tc>
        <w:tc>
          <w:tcPr>
            <w:tcW w:w="880" w:type="dxa"/>
            <w:vAlign w:val="top"/>
          </w:tcPr>
          <w:p w14:paraId="7ACC64F3">
            <w:pPr>
              <w:pStyle w:val="6"/>
              <w:spacing w:before="76" w:line="192" w:lineRule="auto"/>
              <w:ind w:left="266"/>
            </w:pPr>
            <w:r>
              <w:rPr>
                <w:spacing w:val="-2"/>
              </w:rPr>
              <w:t>0.05</w:t>
            </w:r>
          </w:p>
        </w:tc>
        <w:tc>
          <w:tcPr>
            <w:tcW w:w="880" w:type="dxa"/>
            <w:vAlign w:val="top"/>
          </w:tcPr>
          <w:p w14:paraId="141AF96A">
            <w:pPr>
              <w:pStyle w:val="6"/>
              <w:spacing w:before="76" w:line="192" w:lineRule="auto"/>
              <w:ind w:left="268"/>
            </w:pPr>
            <w:r>
              <w:rPr>
                <w:spacing w:val="-2"/>
              </w:rPr>
              <w:t>0.03</w:t>
            </w:r>
          </w:p>
        </w:tc>
        <w:tc>
          <w:tcPr>
            <w:tcW w:w="881" w:type="dxa"/>
            <w:vAlign w:val="top"/>
          </w:tcPr>
          <w:p w14:paraId="30658EE1">
            <w:pPr>
              <w:pStyle w:val="6"/>
              <w:spacing w:before="76" w:line="192" w:lineRule="auto"/>
              <w:ind w:left="206"/>
            </w:pPr>
            <w:r>
              <w:rPr>
                <w:spacing w:val="-2"/>
              </w:rPr>
              <w:t>0.05L</w:t>
            </w:r>
          </w:p>
        </w:tc>
        <w:tc>
          <w:tcPr>
            <w:tcW w:w="894" w:type="dxa"/>
            <w:tcBorders>
              <w:right w:val="single" w:color="000000" w:sz="12" w:space="0"/>
            </w:tcBorders>
            <w:vAlign w:val="top"/>
          </w:tcPr>
          <w:p w14:paraId="4AF24ED4">
            <w:pPr>
              <w:pStyle w:val="6"/>
              <w:spacing w:before="76" w:line="192" w:lineRule="auto"/>
              <w:ind w:left="298"/>
            </w:pPr>
            <w:r>
              <w:rPr>
                <w:spacing w:val="-2"/>
              </w:rPr>
              <w:t>720</w:t>
            </w:r>
          </w:p>
        </w:tc>
      </w:tr>
      <w:tr w14:paraId="4B658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11FA17BC">
            <w:pPr>
              <w:rPr>
                <w:rFonts w:ascii="Arial"/>
                <w:sz w:val="21"/>
              </w:rPr>
            </w:pPr>
          </w:p>
        </w:tc>
        <w:tc>
          <w:tcPr>
            <w:tcW w:w="285" w:type="dxa"/>
            <w:vMerge w:val="continue"/>
            <w:tcBorders>
              <w:top w:val="nil"/>
            </w:tcBorders>
            <w:vAlign w:val="top"/>
          </w:tcPr>
          <w:p w14:paraId="682759E7">
            <w:pPr>
              <w:rPr>
                <w:rFonts w:ascii="Arial"/>
                <w:sz w:val="21"/>
              </w:rPr>
            </w:pPr>
          </w:p>
        </w:tc>
        <w:tc>
          <w:tcPr>
            <w:tcW w:w="1273" w:type="dxa"/>
            <w:vAlign w:val="top"/>
          </w:tcPr>
          <w:p w14:paraId="676712F3">
            <w:pPr>
              <w:pStyle w:val="6"/>
              <w:spacing w:before="77" w:line="191" w:lineRule="auto"/>
              <w:ind w:left="199"/>
            </w:pPr>
            <w:r>
              <w:rPr>
                <w:spacing w:val="-1"/>
              </w:rPr>
              <w:t>2020/8/22</w:t>
            </w:r>
          </w:p>
        </w:tc>
        <w:tc>
          <w:tcPr>
            <w:tcW w:w="880" w:type="dxa"/>
            <w:vAlign w:val="top"/>
          </w:tcPr>
          <w:p w14:paraId="693F3467">
            <w:pPr>
              <w:pStyle w:val="6"/>
              <w:spacing w:before="77" w:line="191" w:lineRule="auto"/>
              <w:ind w:left="267"/>
            </w:pPr>
            <w:r>
              <w:rPr>
                <w:spacing w:val="-6"/>
              </w:rPr>
              <w:t>17.1</w:t>
            </w:r>
          </w:p>
        </w:tc>
        <w:tc>
          <w:tcPr>
            <w:tcW w:w="880" w:type="dxa"/>
            <w:vAlign w:val="top"/>
          </w:tcPr>
          <w:p w14:paraId="5453F49E">
            <w:pPr>
              <w:pStyle w:val="6"/>
              <w:spacing w:before="77" w:line="191" w:lineRule="auto"/>
              <w:ind w:left="252"/>
            </w:pPr>
            <w:r>
              <w:rPr>
                <w:spacing w:val="-2"/>
              </w:rPr>
              <w:t>7.61</w:t>
            </w:r>
          </w:p>
        </w:tc>
        <w:tc>
          <w:tcPr>
            <w:tcW w:w="880" w:type="dxa"/>
            <w:vAlign w:val="top"/>
          </w:tcPr>
          <w:p w14:paraId="3E92B2B6">
            <w:pPr>
              <w:pStyle w:val="6"/>
              <w:spacing w:before="77" w:line="191" w:lineRule="auto"/>
              <w:ind w:left="349"/>
            </w:pPr>
            <w:r>
              <w:rPr>
                <w:spacing w:val="-6"/>
              </w:rPr>
              <w:t>15</w:t>
            </w:r>
          </w:p>
        </w:tc>
        <w:tc>
          <w:tcPr>
            <w:tcW w:w="880" w:type="dxa"/>
            <w:vAlign w:val="top"/>
          </w:tcPr>
          <w:p w14:paraId="14B3F845">
            <w:pPr>
              <w:pStyle w:val="6"/>
              <w:spacing w:before="77" w:line="191" w:lineRule="auto"/>
              <w:ind w:left="309"/>
            </w:pPr>
            <w:r>
              <w:rPr>
                <w:spacing w:val="-3"/>
              </w:rPr>
              <w:t>3.3</w:t>
            </w:r>
          </w:p>
        </w:tc>
        <w:tc>
          <w:tcPr>
            <w:tcW w:w="880" w:type="dxa"/>
            <w:vAlign w:val="top"/>
          </w:tcPr>
          <w:p w14:paraId="2810542D">
            <w:pPr>
              <w:pStyle w:val="6"/>
              <w:spacing w:before="77" w:line="191" w:lineRule="auto"/>
              <w:ind w:left="311"/>
            </w:pPr>
            <w:r>
              <w:rPr>
                <w:spacing w:val="-3"/>
              </w:rPr>
              <w:t>3.3</w:t>
            </w:r>
          </w:p>
        </w:tc>
        <w:tc>
          <w:tcPr>
            <w:tcW w:w="880" w:type="dxa"/>
            <w:vAlign w:val="top"/>
          </w:tcPr>
          <w:p w14:paraId="574D199E">
            <w:pPr>
              <w:pStyle w:val="6"/>
              <w:spacing w:before="77" w:line="191" w:lineRule="auto"/>
              <w:ind w:left="394"/>
            </w:pPr>
            <w:r>
              <w:t>5</w:t>
            </w:r>
          </w:p>
        </w:tc>
        <w:tc>
          <w:tcPr>
            <w:tcW w:w="880" w:type="dxa"/>
            <w:vAlign w:val="top"/>
          </w:tcPr>
          <w:p w14:paraId="0B4A219E">
            <w:pPr>
              <w:pStyle w:val="6"/>
              <w:spacing w:before="77" w:line="191" w:lineRule="auto"/>
              <w:ind w:left="331"/>
            </w:pPr>
            <w:r>
              <w:rPr>
                <w:spacing w:val="-8"/>
              </w:rPr>
              <w:t>1.0</w:t>
            </w:r>
          </w:p>
        </w:tc>
        <w:tc>
          <w:tcPr>
            <w:tcW w:w="880" w:type="dxa"/>
            <w:vAlign w:val="top"/>
          </w:tcPr>
          <w:p w14:paraId="3F942B7D">
            <w:pPr>
              <w:pStyle w:val="6"/>
              <w:spacing w:before="77" w:line="191" w:lineRule="auto"/>
              <w:ind w:left="212"/>
            </w:pPr>
            <w:r>
              <w:rPr>
                <w:spacing w:val="-2"/>
              </w:rPr>
              <w:t>0.201</w:t>
            </w:r>
          </w:p>
        </w:tc>
        <w:tc>
          <w:tcPr>
            <w:tcW w:w="880" w:type="dxa"/>
            <w:vAlign w:val="top"/>
          </w:tcPr>
          <w:p w14:paraId="617DDA3A">
            <w:pPr>
              <w:pStyle w:val="6"/>
              <w:spacing w:before="77" w:line="191" w:lineRule="auto"/>
              <w:ind w:left="266"/>
            </w:pPr>
            <w:r>
              <w:rPr>
                <w:spacing w:val="-2"/>
              </w:rPr>
              <w:t>0.04</w:t>
            </w:r>
          </w:p>
        </w:tc>
        <w:tc>
          <w:tcPr>
            <w:tcW w:w="880" w:type="dxa"/>
            <w:vAlign w:val="top"/>
          </w:tcPr>
          <w:p w14:paraId="00700AE3">
            <w:pPr>
              <w:pStyle w:val="6"/>
              <w:spacing w:before="77" w:line="191" w:lineRule="auto"/>
              <w:ind w:left="268"/>
            </w:pPr>
            <w:r>
              <w:rPr>
                <w:spacing w:val="-2"/>
              </w:rPr>
              <w:t>0.02</w:t>
            </w:r>
          </w:p>
        </w:tc>
        <w:tc>
          <w:tcPr>
            <w:tcW w:w="881" w:type="dxa"/>
            <w:vAlign w:val="top"/>
          </w:tcPr>
          <w:p w14:paraId="1416409A">
            <w:pPr>
              <w:pStyle w:val="6"/>
              <w:spacing w:before="77" w:line="191" w:lineRule="auto"/>
              <w:ind w:left="206"/>
            </w:pPr>
            <w:r>
              <w:rPr>
                <w:spacing w:val="-2"/>
              </w:rPr>
              <w:t>0.05L</w:t>
            </w:r>
          </w:p>
        </w:tc>
        <w:tc>
          <w:tcPr>
            <w:tcW w:w="894" w:type="dxa"/>
            <w:tcBorders>
              <w:right w:val="single" w:color="000000" w:sz="12" w:space="0"/>
            </w:tcBorders>
            <w:vAlign w:val="top"/>
          </w:tcPr>
          <w:p w14:paraId="58FBCA95">
            <w:pPr>
              <w:pStyle w:val="6"/>
              <w:spacing w:before="77" w:line="191" w:lineRule="auto"/>
              <w:ind w:left="300"/>
            </w:pPr>
            <w:r>
              <w:rPr>
                <w:spacing w:val="-3"/>
              </w:rPr>
              <w:t>690</w:t>
            </w:r>
          </w:p>
        </w:tc>
      </w:tr>
      <w:tr w14:paraId="037CE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4EC2AA19">
            <w:pPr>
              <w:rPr>
                <w:rFonts w:ascii="Arial"/>
                <w:sz w:val="21"/>
              </w:rPr>
            </w:pPr>
          </w:p>
        </w:tc>
        <w:tc>
          <w:tcPr>
            <w:tcW w:w="285" w:type="dxa"/>
            <w:vMerge w:val="restart"/>
            <w:tcBorders>
              <w:bottom w:val="nil"/>
            </w:tcBorders>
            <w:vAlign w:val="top"/>
          </w:tcPr>
          <w:p w14:paraId="33B0EDF7">
            <w:pPr>
              <w:pStyle w:val="6"/>
              <w:spacing w:before="95" w:line="222" w:lineRule="auto"/>
              <w:ind w:left="76"/>
            </w:pPr>
            <w:r>
              <w:t>4</w:t>
            </w:r>
          </w:p>
          <w:p w14:paraId="0EC88158">
            <w:pPr>
              <w:spacing w:line="219" w:lineRule="auto"/>
              <w:ind w:left="29"/>
              <w:rPr>
                <w:rFonts w:ascii="宋体" w:hAnsi="宋体" w:eastAsia="宋体" w:cs="宋体"/>
                <w:sz w:val="21"/>
                <w:szCs w:val="21"/>
              </w:rPr>
            </w:pPr>
            <w:r>
              <w:rPr>
                <w:rFonts w:ascii="宋体" w:hAnsi="宋体" w:eastAsia="宋体" w:cs="宋体"/>
                <w:sz w:val="21"/>
                <w:szCs w:val="21"/>
              </w:rPr>
              <w:t>季</w:t>
            </w:r>
          </w:p>
          <w:p w14:paraId="78DB27AC">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2144E2B">
            <w:pPr>
              <w:pStyle w:val="6"/>
              <w:spacing w:before="77" w:line="192" w:lineRule="auto"/>
              <w:ind w:left="147"/>
            </w:pPr>
            <w:r>
              <w:rPr>
                <w:spacing w:val="-1"/>
              </w:rPr>
              <w:t>2020/11/15</w:t>
            </w:r>
          </w:p>
        </w:tc>
        <w:tc>
          <w:tcPr>
            <w:tcW w:w="880" w:type="dxa"/>
            <w:vAlign w:val="top"/>
          </w:tcPr>
          <w:p w14:paraId="7C246C33">
            <w:pPr>
              <w:pStyle w:val="6"/>
              <w:spacing w:before="77" w:line="192" w:lineRule="auto"/>
              <w:ind w:left="267"/>
            </w:pPr>
            <w:r>
              <w:rPr>
                <w:spacing w:val="-6"/>
              </w:rPr>
              <w:t>16.4</w:t>
            </w:r>
          </w:p>
        </w:tc>
        <w:tc>
          <w:tcPr>
            <w:tcW w:w="880" w:type="dxa"/>
            <w:vAlign w:val="top"/>
          </w:tcPr>
          <w:p w14:paraId="712739E2">
            <w:pPr>
              <w:pStyle w:val="6"/>
              <w:spacing w:before="77" w:line="192" w:lineRule="auto"/>
              <w:ind w:left="252"/>
            </w:pPr>
            <w:r>
              <w:rPr>
                <w:spacing w:val="-2"/>
              </w:rPr>
              <w:t>7.55</w:t>
            </w:r>
          </w:p>
        </w:tc>
        <w:tc>
          <w:tcPr>
            <w:tcW w:w="880" w:type="dxa"/>
            <w:vAlign w:val="top"/>
          </w:tcPr>
          <w:p w14:paraId="13273391">
            <w:pPr>
              <w:pStyle w:val="6"/>
              <w:spacing w:before="81" w:line="186" w:lineRule="auto"/>
              <w:ind w:left="317"/>
            </w:pPr>
            <w:r>
              <w:rPr>
                <w:spacing w:val="-1"/>
              </w:rPr>
              <w:t>4L</w:t>
            </w:r>
          </w:p>
        </w:tc>
        <w:tc>
          <w:tcPr>
            <w:tcW w:w="880" w:type="dxa"/>
            <w:vAlign w:val="top"/>
          </w:tcPr>
          <w:p w14:paraId="7D0D8A36">
            <w:pPr>
              <w:pStyle w:val="6"/>
              <w:spacing w:before="77" w:line="192" w:lineRule="auto"/>
              <w:ind w:left="309"/>
            </w:pPr>
            <w:r>
              <w:rPr>
                <w:spacing w:val="-3"/>
              </w:rPr>
              <w:t>3.1</w:t>
            </w:r>
          </w:p>
        </w:tc>
        <w:tc>
          <w:tcPr>
            <w:tcW w:w="880" w:type="dxa"/>
            <w:vAlign w:val="top"/>
          </w:tcPr>
          <w:p w14:paraId="2C6A5CE6">
            <w:pPr>
              <w:pStyle w:val="6"/>
              <w:spacing w:before="77" w:line="192" w:lineRule="auto"/>
              <w:ind w:left="307"/>
            </w:pPr>
            <w:r>
              <w:rPr>
                <w:spacing w:val="-2"/>
              </w:rPr>
              <w:t>2.0</w:t>
            </w:r>
          </w:p>
        </w:tc>
        <w:tc>
          <w:tcPr>
            <w:tcW w:w="880" w:type="dxa"/>
            <w:vAlign w:val="top"/>
          </w:tcPr>
          <w:p w14:paraId="465FA117">
            <w:pPr>
              <w:pStyle w:val="6"/>
              <w:spacing w:before="77" w:line="192" w:lineRule="auto"/>
              <w:ind w:left="394"/>
            </w:pPr>
            <w:r>
              <w:t>5</w:t>
            </w:r>
          </w:p>
        </w:tc>
        <w:tc>
          <w:tcPr>
            <w:tcW w:w="880" w:type="dxa"/>
            <w:vAlign w:val="top"/>
          </w:tcPr>
          <w:p w14:paraId="018DDF37">
            <w:pPr>
              <w:pStyle w:val="6"/>
              <w:spacing w:before="77" w:line="192" w:lineRule="auto"/>
              <w:ind w:left="331"/>
            </w:pPr>
            <w:r>
              <w:rPr>
                <w:spacing w:val="-8"/>
              </w:rPr>
              <w:t>1.1</w:t>
            </w:r>
          </w:p>
        </w:tc>
        <w:tc>
          <w:tcPr>
            <w:tcW w:w="880" w:type="dxa"/>
            <w:vAlign w:val="top"/>
          </w:tcPr>
          <w:p w14:paraId="01808A1D">
            <w:pPr>
              <w:pStyle w:val="6"/>
              <w:spacing w:before="77" w:line="192" w:lineRule="auto"/>
              <w:ind w:left="212"/>
            </w:pPr>
            <w:r>
              <w:rPr>
                <w:spacing w:val="-2"/>
              </w:rPr>
              <w:t>0.069</w:t>
            </w:r>
          </w:p>
        </w:tc>
        <w:tc>
          <w:tcPr>
            <w:tcW w:w="880" w:type="dxa"/>
            <w:vAlign w:val="top"/>
          </w:tcPr>
          <w:p w14:paraId="6306B06D">
            <w:pPr>
              <w:pStyle w:val="6"/>
              <w:spacing w:before="77" w:line="192" w:lineRule="auto"/>
              <w:ind w:left="266"/>
            </w:pPr>
            <w:r>
              <w:rPr>
                <w:spacing w:val="-2"/>
              </w:rPr>
              <w:t>0.02</w:t>
            </w:r>
          </w:p>
        </w:tc>
        <w:tc>
          <w:tcPr>
            <w:tcW w:w="880" w:type="dxa"/>
            <w:vAlign w:val="top"/>
          </w:tcPr>
          <w:p w14:paraId="2D210504">
            <w:pPr>
              <w:pStyle w:val="6"/>
              <w:spacing w:before="77" w:line="192" w:lineRule="auto"/>
              <w:ind w:left="204"/>
            </w:pPr>
            <w:r>
              <w:rPr>
                <w:spacing w:val="-2"/>
              </w:rPr>
              <w:t>0.01L</w:t>
            </w:r>
          </w:p>
        </w:tc>
        <w:tc>
          <w:tcPr>
            <w:tcW w:w="881" w:type="dxa"/>
            <w:vAlign w:val="top"/>
          </w:tcPr>
          <w:p w14:paraId="4D34686F">
            <w:pPr>
              <w:pStyle w:val="6"/>
              <w:spacing w:before="77" w:line="192" w:lineRule="auto"/>
              <w:ind w:left="206"/>
            </w:pPr>
            <w:r>
              <w:rPr>
                <w:spacing w:val="-2"/>
              </w:rPr>
              <w:t>0.05L</w:t>
            </w:r>
          </w:p>
        </w:tc>
        <w:tc>
          <w:tcPr>
            <w:tcW w:w="894" w:type="dxa"/>
            <w:tcBorders>
              <w:right w:val="single" w:color="000000" w:sz="12" w:space="0"/>
            </w:tcBorders>
            <w:vAlign w:val="top"/>
          </w:tcPr>
          <w:p w14:paraId="19E86F9D">
            <w:pPr>
              <w:pStyle w:val="6"/>
              <w:spacing w:before="77" w:line="192" w:lineRule="auto"/>
              <w:ind w:left="299"/>
            </w:pPr>
            <w:r>
              <w:rPr>
                <w:spacing w:val="-2"/>
              </w:rPr>
              <w:t>330</w:t>
            </w:r>
          </w:p>
        </w:tc>
      </w:tr>
      <w:tr w14:paraId="4FB3E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280966F2">
            <w:pPr>
              <w:rPr>
                <w:rFonts w:ascii="Arial"/>
                <w:sz w:val="21"/>
              </w:rPr>
            </w:pPr>
          </w:p>
        </w:tc>
        <w:tc>
          <w:tcPr>
            <w:tcW w:w="285" w:type="dxa"/>
            <w:vMerge w:val="continue"/>
            <w:tcBorders>
              <w:top w:val="nil"/>
              <w:bottom w:val="nil"/>
            </w:tcBorders>
            <w:vAlign w:val="top"/>
          </w:tcPr>
          <w:p w14:paraId="6A61ACBB">
            <w:pPr>
              <w:rPr>
                <w:rFonts w:ascii="Arial"/>
                <w:sz w:val="21"/>
              </w:rPr>
            </w:pPr>
          </w:p>
        </w:tc>
        <w:tc>
          <w:tcPr>
            <w:tcW w:w="1273" w:type="dxa"/>
            <w:vAlign w:val="top"/>
          </w:tcPr>
          <w:p w14:paraId="123E1CD1">
            <w:pPr>
              <w:pStyle w:val="6"/>
              <w:spacing w:before="77" w:line="191" w:lineRule="auto"/>
              <w:ind w:left="147"/>
            </w:pPr>
            <w:r>
              <w:rPr>
                <w:spacing w:val="-1"/>
              </w:rPr>
              <w:t>2020/11/16</w:t>
            </w:r>
          </w:p>
        </w:tc>
        <w:tc>
          <w:tcPr>
            <w:tcW w:w="880" w:type="dxa"/>
            <w:vAlign w:val="top"/>
          </w:tcPr>
          <w:p w14:paraId="786A1F1D">
            <w:pPr>
              <w:pStyle w:val="6"/>
              <w:spacing w:before="77" w:line="191" w:lineRule="auto"/>
              <w:ind w:left="267"/>
            </w:pPr>
            <w:r>
              <w:rPr>
                <w:spacing w:val="-6"/>
              </w:rPr>
              <w:t>15.8</w:t>
            </w:r>
          </w:p>
        </w:tc>
        <w:tc>
          <w:tcPr>
            <w:tcW w:w="880" w:type="dxa"/>
            <w:vAlign w:val="top"/>
          </w:tcPr>
          <w:p w14:paraId="1DAAE753">
            <w:pPr>
              <w:pStyle w:val="6"/>
              <w:spacing w:before="77" w:line="191" w:lineRule="auto"/>
              <w:ind w:left="252"/>
            </w:pPr>
            <w:r>
              <w:rPr>
                <w:spacing w:val="-2"/>
              </w:rPr>
              <w:t>7.52</w:t>
            </w:r>
          </w:p>
        </w:tc>
        <w:tc>
          <w:tcPr>
            <w:tcW w:w="880" w:type="dxa"/>
            <w:vAlign w:val="top"/>
          </w:tcPr>
          <w:p w14:paraId="0A77EA2A">
            <w:pPr>
              <w:pStyle w:val="6"/>
              <w:spacing w:before="81" w:line="186" w:lineRule="auto"/>
              <w:ind w:left="317"/>
            </w:pPr>
            <w:r>
              <w:rPr>
                <w:spacing w:val="-1"/>
              </w:rPr>
              <w:t>4L</w:t>
            </w:r>
          </w:p>
        </w:tc>
        <w:tc>
          <w:tcPr>
            <w:tcW w:w="880" w:type="dxa"/>
            <w:vAlign w:val="top"/>
          </w:tcPr>
          <w:p w14:paraId="399107F6">
            <w:pPr>
              <w:pStyle w:val="6"/>
              <w:spacing w:before="77" w:line="191" w:lineRule="auto"/>
              <w:ind w:left="305"/>
            </w:pPr>
            <w:r>
              <w:rPr>
                <w:spacing w:val="-2"/>
              </w:rPr>
              <w:t>2.8</w:t>
            </w:r>
          </w:p>
        </w:tc>
        <w:tc>
          <w:tcPr>
            <w:tcW w:w="880" w:type="dxa"/>
            <w:vAlign w:val="top"/>
          </w:tcPr>
          <w:p w14:paraId="6F42BD7E">
            <w:pPr>
              <w:pStyle w:val="6"/>
              <w:spacing w:before="77" w:line="191" w:lineRule="auto"/>
              <w:ind w:left="327"/>
            </w:pPr>
            <w:r>
              <w:rPr>
                <w:spacing w:val="-8"/>
              </w:rPr>
              <w:t>1.8</w:t>
            </w:r>
          </w:p>
        </w:tc>
        <w:tc>
          <w:tcPr>
            <w:tcW w:w="880" w:type="dxa"/>
            <w:vAlign w:val="top"/>
          </w:tcPr>
          <w:p w14:paraId="559D26F3">
            <w:pPr>
              <w:pStyle w:val="6"/>
              <w:spacing w:before="77" w:line="191" w:lineRule="auto"/>
              <w:ind w:left="393"/>
            </w:pPr>
            <w:r>
              <w:t>6</w:t>
            </w:r>
          </w:p>
        </w:tc>
        <w:tc>
          <w:tcPr>
            <w:tcW w:w="880" w:type="dxa"/>
            <w:vAlign w:val="top"/>
          </w:tcPr>
          <w:p w14:paraId="12F9E83D">
            <w:pPr>
              <w:pStyle w:val="6"/>
              <w:spacing w:before="77" w:line="191" w:lineRule="auto"/>
              <w:ind w:left="331"/>
            </w:pPr>
            <w:r>
              <w:rPr>
                <w:spacing w:val="-8"/>
              </w:rPr>
              <w:t>1.2</w:t>
            </w:r>
          </w:p>
        </w:tc>
        <w:tc>
          <w:tcPr>
            <w:tcW w:w="880" w:type="dxa"/>
            <w:vAlign w:val="top"/>
          </w:tcPr>
          <w:p w14:paraId="66ECBEB1">
            <w:pPr>
              <w:pStyle w:val="6"/>
              <w:spacing w:before="77" w:line="191" w:lineRule="auto"/>
              <w:ind w:left="212"/>
            </w:pPr>
            <w:r>
              <w:rPr>
                <w:spacing w:val="-2"/>
              </w:rPr>
              <w:t>0.064</w:t>
            </w:r>
          </w:p>
        </w:tc>
        <w:tc>
          <w:tcPr>
            <w:tcW w:w="880" w:type="dxa"/>
            <w:vAlign w:val="top"/>
          </w:tcPr>
          <w:p w14:paraId="7852F7DE">
            <w:pPr>
              <w:pStyle w:val="6"/>
              <w:spacing w:before="77" w:line="191" w:lineRule="auto"/>
              <w:ind w:left="266"/>
            </w:pPr>
            <w:r>
              <w:rPr>
                <w:spacing w:val="-2"/>
              </w:rPr>
              <w:t>0.02</w:t>
            </w:r>
          </w:p>
        </w:tc>
        <w:tc>
          <w:tcPr>
            <w:tcW w:w="880" w:type="dxa"/>
            <w:vAlign w:val="top"/>
          </w:tcPr>
          <w:p w14:paraId="67A12AFA">
            <w:pPr>
              <w:pStyle w:val="6"/>
              <w:spacing w:before="77" w:line="191" w:lineRule="auto"/>
              <w:ind w:left="204"/>
            </w:pPr>
            <w:r>
              <w:rPr>
                <w:spacing w:val="-2"/>
              </w:rPr>
              <w:t>0.01L</w:t>
            </w:r>
          </w:p>
        </w:tc>
        <w:tc>
          <w:tcPr>
            <w:tcW w:w="881" w:type="dxa"/>
            <w:vAlign w:val="top"/>
          </w:tcPr>
          <w:p w14:paraId="4034E50A">
            <w:pPr>
              <w:pStyle w:val="6"/>
              <w:spacing w:before="77" w:line="191" w:lineRule="auto"/>
              <w:ind w:left="206"/>
            </w:pPr>
            <w:r>
              <w:rPr>
                <w:spacing w:val="-2"/>
              </w:rPr>
              <w:t>0.05L</w:t>
            </w:r>
          </w:p>
        </w:tc>
        <w:tc>
          <w:tcPr>
            <w:tcW w:w="894" w:type="dxa"/>
            <w:tcBorders>
              <w:right w:val="single" w:color="000000" w:sz="12" w:space="0"/>
            </w:tcBorders>
            <w:vAlign w:val="top"/>
          </w:tcPr>
          <w:p w14:paraId="08AA1D94">
            <w:pPr>
              <w:pStyle w:val="6"/>
              <w:spacing w:before="77" w:line="191" w:lineRule="auto"/>
              <w:ind w:left="299"/>
            </w:pPr>
            <w:r>
              <w:rPr>
                <w:spacing w:val="-2"/>
              </w:rPr>
              <w:t>310</w:t>
            </w:r>
          </w:p>
        </w:tc>
      </w:tr>
      <w:tr w14:paraId="3F47D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tcBorders>
            <w:vAlign w:val="top"/>
          </w:tcPr>
          <w:p w14:paraId="2CEB8656">
            <w:pPr>
              <w:rPr>
                <w:rFonts w:ascii="Arial"/>
                <w:sz w:val="21"/>
              </w:rPr>
            </w:pPr>
          </w:p>
        </w:tc>
        <w:tc>
          <w:tcPr>
            <w:tcW w:w="285" w:type="dxa"/>
            <w:vMerge w:val="continue"/>
            <w:tcBorders>
              <w:top w:val="nil"/>
            </w:tcBorders>
            <w:vAlign w:val="top"/>
          </w:tcPr>
          <w:p w14:paraId="734EE91E">
            <w:pPr>
              <w:rPr>
                <w:rFonts w:ascii="Arial"/>
                <w:sz w:val="21"/>
              </w:rPr>
            </w:pPr>
          </w:p>
        </w:tc>
        <w:tc>
          <w:tcPr>
            <w:tcW w:w="1273" w:type="dxa"/>
            <w:vAlign w:val="top"/>
          </w:tcPr>
          <w:p w14:paraId="5D44FD7F">
            <w:pPr>
              <w:pStyle w:val="6"/>
              <w:spacing w:before="77" w:line="190" w:lineRule="auto"/>
              <w:ind w:left="147"/>
            </w:pPr>
            <w:r>
              <w:rPr>
                <w:spacing w:val="-1"/>
              </w:rPr>
              <w:t>2020/11/17</w:t>
            </w:r>
          </w:p>
        </w:tc>
        <w:tc>
          <w:tcPr>
            <w:tcW w:w="880" w:type="dxa"/>
            <w:vAlign w:val="top"/>
          </w:tcPr>
          <w:p w14:paraId="3F51BF53">
            <w:pPr>
              <w:pStyle w:val="6"/>
              <w:spacing w:before="77" w:line="190" w:lineRule="auto"/>
              <w:ind w:left="267"/>
            </w:pPr>
            <w:r>
              <w:rPr>
                <w:spacing w:val="-6"/>
              </w:rPr>
              <w:t>16.0</w:t>
            </w:r>
          </w:p>
        </w:tc>
        <w:tc>
          <w:tcPr>
            <w:tcW w:w="880" w:type="dxa"/>
            <w:vAlign w:val="top"/>
          </w:tcPr>
          <w:p w14:paraId="03597809">
            <w:pPr>
              <w:pStyle w:val="6"/>
              <w:spacing w:before="77" w:line="190" w:lineRule="auto"/>
              <w:ind w:left="252"/>
            </w:pPr>
            <w:r>
              <w:rPr>
                <w:spacing w:val="-2"/>
              </w:rPr>
              <w:t>7.46</w:t>
            </w:r>
          </w:p>
        </w:tc>
        <w:tc>
          <w:tcPr>
            <w:tcW w:w="880" w:type="dxa"/>
            <w:vAlign w:val="top"/>
          </w:tcPr>
          <w:p w14:paraId="0DE7BD75">
            <w:pPr>
              <w:pStyle w:val="6"/>
              <w:spacing w:before="81" w:line="186" w:lineRule="auto"/>
              <w:ind w:left="317"/>
            </w:pPr>
            <w:r>
              <w:rPr>
                <w:spacing w:val="-1"/>
              </w:rPr>
              <w:t>4L</w:t>
            </w:r>
          </w:p>
        </w:tc>
        <w:tc>
          <w:tcPr>
            <w:tcW w:w="880" w:type="dxa"/>
            <w:vAlign w:val="top"/>
          </w:tcPr>
          <w:p w14:paraId="60A038F9">
            <w:pPr>
              <w:pStyle w:val="6"/>
              <w:spacing w:before="77" w:line="190" w:lineRule="auto"/>
              <w:ind w:left="309"/>
            </w:pPr>
            <w:r>
              <w:rPr>
                <w:spacing w:val="-3"/>
              </w:rPr>
              <w:t>3.4</w:t>
            </w:r>
          </w:p>
        </w:tc>
        <w:tc>
          <w:tcPr>
            <w:tcW w:w="880" w:type="dxa"/>
            <w:vAlign w:val="top"/>
          </w:tcPr>
          <w:p w14:paraId="38FCEE49">
            <w:pPr>
              <w:pStyle w:val="6"/>
              <w:spacing w:before="77" w:line="190" w:lineRule="auto"/>
              <w:ind w:left="307"/>
            </w:pPr>
            <w:r>
              <w:rPr>
                <w:spacing w:val="-2"/>
              </w:rPr>
              <w:t>2.1</w:t>
            </w:r>
          </w:p>
        </w:tc>
        <w:tc>
          <w:tcPr>
            <w:tcW w:w="880" w:type="dxa"/>
            <w:vAlign w:val="top"/>
          </w:tcPr>
          <w:p w14:paraId="72F545ED">
            <w:pPr>
              <w:pStyle w:val="6"/>
              <w:spacing w:before="77" w:line="190" w:lineRule="auto"/>
              <w:ind w:left="387"/>
            </w:pPr>
            <w:r>
              <w:t>4</w:t>
            </w:r>
          </w:p>
        </w:tc>
        <w:tc>
          <w:tcPr>
            <w:tcW w:w="880" w:type="dxa"/>
            <w:vAlign w:val="top"/>
          </w:tcPr>
          <w:p w14:paraId="20E8B818">
            <w:pPr>
              <w:pStyle w:val="6"/>
              <w:spacing w:before="77" w:line="190" w:lineRule="auto"/>
              <w:ind w:left="314"/>
            </w:pPr>
            <w:r>
              <w:rPr>
                <w:spacing w:val="-3"/>
              </w:rPr>
              <w:t>0.8</w:t>
            </w:r>
          </w:p>
        </w:tc>
        <w:tc>
          <w:tcPr>
            <w:tcW w:w="880" w:type="dxa"/>
            <w:vAlign w:val="top"/>
          </w:tcPr>
          <w:p w14:paraId="1C2D261A">
            <w:pPr>
              <w:pStyle w:val="6"/>
              <w:spacing w:before="77" w:line="190" w:lineRule="auto"/>
              <w:ind w:left="212"/>
            </w:pPr>
            <w:r>
              <w:rPr>
                <w:spacing w:val="-2"/>
              </w:rPr>
              <w:t>0.071</w:t>
            </w:r>
          </w:p>
        </w:tc>
        <w:tc>
          <w:tcPr>
            <w:tcW w:w="880" w:type="dxa"/>
            <w:vAlign w:val="top"/>
          </w:tcPr>
          <w:p w14:paraId="041F14E3">
            <w:pPr>
              <w:pStyle w:val="6"/>
              <w:spacing w:before="77" w:line="190" w:lineRule="auto"/>
              <w:ind w:left="266"/>
            </w:pPr>
            <w:r>
              <w:rPr>
                <w:spacing w:val="-2"/>
              </w:rPr>
              <w:t>0.03</w:t>
            </w:r>
          </w:p>
        </w:tc>
        <w:tc>
          <w:tcPr>
            <w:tcW w:w="880" w:type="dxa"/>
            <w:vAlign w:val="top"/>
          </w:tcPr>
          <w:p w14:paraId="4FE63FB7">
            <w:pPr>
              <w:pStyle w:val="6"/>
              <w:spacing w:before="77" w:line="190" w:lineRule="auto"/>
              <w:ind w:left="204"/>
            </w:pPr>
            <w:r>
              <w:rPr>
                <w:spacing w:val="-2"/>
              </w:rPr>
              <w:t>0.01L</w:t>
            </w:r>
          </w:p>
        </w:tc>
        <w:tc>
          <w:tcPr>
            <w:tcW w:w="881" w:type="dxa"/>
            <w:vAlign w:val="top"/>
          </w:tcPr>
          <w:p w14:paraId="0092155B">
            <w:pPr>
              <w:pStyle w:val="6"/>
              <w:spacing w:before="77" w:line="190" w:lineRule="auto"/>
              <w:ind w:left="206"/>
            </w:pPr>
            <w:r>
              <w:rPr>
                <w:spacing w:val="-2"/>
              </w:rPr>
              <w:t>0.05L</w:t>
            </w:r>
          </w:p>
        </w:tc>
        <w:tc>
          <w:tcPr>
            <w:tcW w:w="894" w:type="dxa"/>
            <w:tcBorders>
              <w:right w:val="single" w:color="000000" w:sz="12" w:space="0"/>
            </w:tcBorders>
            <w:vAlign w:val="top"/>
          </w:tcPr>
          <w:p w14:paraId="31F87856">
            <w:pPr>
              <w:pStyle w:val="6"/>
              <w:spacing w:before="77" w:line="190" w:lineRule="auto"/>
              <w:ind w:left="299"/>
            </w:pPr>
            <w:r>
              <w:rPr>
                <w:spacing w:val="-2"/>
              </w:rPr>
              <w:t>320</w:t>
            </w:r>
          </w:p>
        </w:tc>
      </w:tr>
      <w:tr w14:paraId="7C9E1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restart"/>
            <w:tcBorders>
              <w:left w:val="single" w:color="000000" w:sz="12" w:space="0"/>
              <w:bottom w:val="nil"/>
            </w:tcBorders>
            <w:vAlign w:val="top"/>
          </w:tcPr>
          <w:p w14:paraId="6745F1E3">
            <w:pPr>
              <w:spacing w:line="260" w:lineRule="auto"/>
              <w:rPr>
                <w:rFonts w:ascii="Arial"/>
                <w:sz w:val="21"/>
              </w:rPr>
            </w:pPr>
          </w:p>
          <w:p w14:paraId="4659C72D">
            <w:pPr>
              <w:spacing w:line="261" w:lineRule="auto"/>
              <w:rPr>
                <w:rFonts w:ascii="Arial"/>
                <w:sz w:val="21"/>
              </w:rPr>
            </w:pPr>
          </w:p>
          <w:p w14:paraId="601ED019">
            <w:pPr>
              <w:spacing w:line="261" w:lineRule="auto"/>
              <w:rPr>
                <w:rFonts w:ascii="Arial"/>
                <w:sz w:val="21"/>
              </w:rPr>
            </w:pPr>
          </w:p>
          <w:p w14:paraId="5BD853DC">
            <w:pPr>
              <w:spacing w:line="261" w:lineRule="auto"/>
              <w:rPr>
                <w:rFonts w:ascii="Arial"/>
                <w:sz w:val="21"/>
              </w:rPr>
            </w:pPr>
          </w:p>
          <w:p w14:paraId="34D0BDAC">
            <w:pPr>
              <w:spacing w:line="261" w:lineRule="auto"/>
              <w:rPr>
                <w:rFonts w:ascii="Arial"/>
                <w:sz w:val="21"/>
              </w:rPr>
            </w:pPr>
          </w:p>
          <w:p w14:paraId="195544A9">
            <w:pPr>
              <w:spacing w:line="261" w:lineRule="auto"/>
              <w:rPr>
                <w:rFonts w:ascii="Arial"/>
                <w:sz w:val="21"/>
              </w:rPr>
            </w:pPr>
          </w:p>
          <w:p w14:paraId="3B3F8F56">
            <w:pPr>
              <w:spacing w:before="68" w:line="220" w:lineRule="auto"/>
              <w:ind w:left="203"/>
              <w:rPr>
                <w:rFonts w:ascii="宋体" w:hAnsi="宋体" w:eastAsia="宋体" w:cs="宋体"/>
                <w:sz w:val="21"/>
                <w:szCs w:val="21"/>
              </w:rPr>
            </w:pPr>
            <w:r>
              <w:rPr>
                <w:rFonts w:ascii="宋体" w:hAnsi="宋体" w:eastAsia="宋体" w:cs="宋体"/>
                <w:spacing w:val="-2"/>
                <w:sz w:val="21"/>
                <w:szCs w:val="21"/>
              </w:rPr>
              <w:t>面店水库</w:t>
            </w:r>
          </w:p>
        </w:tc>
        <w:tc>
          <w:tcPr>
            <w:tcW w:w="285" w:type="dxa"/>
            <w:vMerge w:val="restart"/>
            <w:tcBorders>
              <w:bottom w:val="nil"/>
            </w:tcBorders>
            <w:vAlign w:val="top"/>
          </w:tcPr>
          <w:p w14:paraId="6FDD77BB">
            <w:pPr>
              <w:pStyle w:val="6"/>
              <w:spacing w:before="97" w:line="223" w:lineRule="auto"/>
              <w:ind w:left="97"/>
            </w:pPr>
            <w:r>
              <w:t>1</w:t>
            </w:r>
          </w:p>
          <w:p w14:paraId="2301A491">
            <w:pPr>
              <w:spacing w:line="219" w:lineRule="auto"/>
              <w:ind w:left="29"/>
              <w:rPr>
                <w:rFonts w:ascii="宋体" w:hAnsi="宋体" w:eastAsia="宋体" w:cs="宋体"/>
                <w:sz w:val="21"/>
                <w:szCs w:val="21"/>
              </w:rPr>
            </w:pPr>
            <w:r>
              <w:rPr>
                <w:rFonts w:ascii="宋体" w:hAnsi="宋体" w:eastAsia="宋体" w:cs="宋体"/>
                <w:sz w:val="21"/>
                <w:szCs w:val="21"/>
              </w:rPr>
              <w:t>季</w:t>
            </w:r>
          </w:p>
          <w:p w14:paraId="7A2B5B40">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E790F86">
            <w:pPr>
              <w:pStyle w:val="6"/>
              <w:spacing w:before="78" w:line="190" w:lineRule="auto"/>
              <w:ind w:left="199"/>
            </w:pPr>
            <w:r>
              <w:rPr>
                <w:spacing w:val="-1"/>
              </w:rPr>
              <w:t>2020/3/10</w:t>
            </w:r>
          </w:p>
        </w:tc>
        <w:tc>
          <w:tcPr>
            <w:tcW w:w="880" w:type="dxa"/>
            <w:vAlign w:val="top"/>
          </w:tcPr>
          <w:p w14:paraId="66AF7B21">
            <w:pPr>
              <w:pStyle w:val="6"/>
              <w:spacing w:before="78" w:line="190" w:lineRule="auto"/>
              <w:ind w:left="267"/>
            </w:pPr>
            <w:r>
              <w:rPr>
                <w:spacing w:val="-6"/>
              </w:rPr>
              <w:t>16.6</w:t>
            </w:r>
          </w:p>
        </w:tc>
        <w:tc>
          <w:tcPr>
            <w:tcW w:w="880" w:type="dxa"/>
            <w:vAlign w:val="top"/>
          </w:tcPr>
          <w:p w14:paraId="538C0AA1">
            <w:pPr>
              <w:pStyle w:val="6"/>
              <w:spacing w:before="78" w:line="190" w:lineRule="auto"/>
              <w:ind w:left="254"/>
            </w:pPr>
            <w:r>
              <w:rPr>
                <w:spacing w:val="-3"/>
              </w:rPr>
              <w:t>6.84</w:t>
            </w:r>
          </w:p>
        </w:tc>
        <w:tc>
          <w:tcPr>
            <w:tcW w:w="880" w:type="dxa"/>
            <w:vAlign w:val="top"/>
          </w:tcPr>
          <w:p w14:paraId="363D4B0A">
            <w:pPr>
              <w:pStyle w:val="6"/>
              <w:spacing w:before="78" w:line="190" w:lineRule="auto"/>
              <w:ind w:left="381"/>
            </w:pPr>
            <w:r>
              <w:t>4</w:t>
            </w:r>
          </w:p>
        </w:tc>
        <w:tc>
          <w:tcPr>
            <w:tcW w:w="880" w:type="dxa"/>
            <w:vAlign w:val="top"/>
          </w:tcPr>
          <w:p w14:paraId="5D1497FE">
            <w:pPr>
              <w:pStyle w:val="6"/>
              <w:spacing w:before="78" w:line="190" w:lineRule="auto"/>
              <w:ind w:left="309"/>
            </w:pPr>
            <w:r>
              <w:rPr>
                <w:spacing w:val="-3"/>
              </w:rPr>
              <w:t>6.4</w:t>
            </w:r>
          </w:p>
        </w:tc>
        <w:tc>
          <w:tcPr>
            <w:tcW w:w="880" w:type="dxa"/>
            <w:vAlign w:val="top"/>
          </w:tcPr>
          <w:p w14:paraId="2174F92B">
            <w:pPr>
              <w:pStyle w:val="6"/>
              <w:spacing w:before="78" w:line="190" w:lineRule="auto"/>
              <w:ind w:left="307"/>
            </w:pPr>
            <w:r>
              <w:rPr>
                <w:spacing w:val="-2"/>
              </w:rPr>
              <w:t>2.8</w:t>
            </w:r>
          </w:p>
        </w:tc>
        <w:tc>
          <w:tcPr>
            <w:tcW w:w="880" w:type="dxa"/>
            <w:vAlign w:val="top"/>
          </w:tcPr>
          <w:p w14:paraId="5BDD8C31">
            <w:pPr>
              <w:pStyle w:val="6"/>
              <w:spacing w:before="78" w:line="190" w:lineRule="auto"/>
              <w:ind w:left="355"/>
            </w:pPr>
            <w:r>
              <w:rPr>
                <w:spacing w:val="-6"/>
              </w:rPr>
              <w:t>11</w:t>
            </w:r>
          </w:p>
        </w:tc>
        <w:tc>
          <w:tcPr>
            <w:tcW w:w="880" w:type="dxa"/>
            <w:vAlign w:val="top"/>
          </w:tcPr>
          <w:p w14:paraId="3C9383C9">
            <w:pPr>
              <w:pStyle w:val="6"/>
              <w:spacing w:before="78" w:line="190" w:lineRule="auto"/>
              <w:ind w:left="311"/>
            </w:pPr>
            <w:r>
              <w:rPr>
                <w:spacing w:val="-2"/>
              </w:rPr>
              <w:t>2.2</w:t>
            </w:r>
          </w:p>
        </w:tc>
        <w:tc>
          <w:tcPr>
            <w:tcW w:w="880" w:type="dxa"/>
            <w:vAlign w:val="top"/>
          </w:tcPr>
          <w:p w14:paraId="746E010E">
            <w:pPr>
              <w:pStyle w:val="6"/>
              <w:spacing w:before="78" w:line="190" w:lineRule="auto"/>
              <w:ind w:left="212"/>
            </w:pPr>
            <w:r>
              <w:rPr>
                <w:spacing w:val="-2"/>
              </w:rPr>
              <w:t>0.094</w:t>
            </w:r>
          </w:p>
        </w:tc>
        <w:tc>
          <w:tcPr>
            <w:tcW w:w="880" w:type="dxa"/>
            <w:vAlign w:val="top"/>
          </w:tcPr>
          <w:p w14:paraId="026AD62B">
            <w:pPr>
              <w:pStyle w:val="6"/>
              <w:spacing w:before="78" w:line="190" w:lineRule="auto"/>
              <w:ind w:left="266"/>
            </w:pPr>
            <w:r>
              <w:rPr>
                <w:spacing w:val="-2"/>
              </w:rPr>
              <w:t>0.03</w:t>
            </w:r>
          </w:p>
        </w:tc>
        <w:tc>
          <w:tcPr>
            <w:tcW w:w="880" w:type="dxa"/>
            <w:vAlign w:val="top"/>
          </w:tcPr>
          <w:p w14:paraId="4087BFB0">
            <w:pPr>
              <w:pStyle w:val="6"/>
              <w:spacing w:before="78" w:line="190" w:lineRule="auto"/>
              <w:ind w:left="268"/>
            </w:pPr>
            <w:r>
              <w:rPr>
                <w:spacing w:val="-2"/>
              </w:rPr>
              <w:t>0.04</w:t>
            </w:r>
          </w:p>
        </w:tc>
        <w:tc>
          <w:tcPr>
            <w:tcW w:w="881" w:type="dxa"/>
            <w:vAlign w:val="top"/>
          </w:tcPr>
          <w:p w14:paraId="53FCA51B">
            <w:pPr>
              <w:pStyle w:val="6"/>
              <w:spacing w:before="78" w:line="190" w:lineRule="auto"/>
              <w:ind w:left="206"/>
            </w:pPr>
            <w:r>
              <w:rPr>
                <w:spacing w:val="-2"/>
              </w:rPr>
              <w:t>0.05L</w:t>
            </w:r>
          </w:p>
        </w:tc>
        <w:tc>
          <w:tcPr>
            <w:tcW w:w="894" w:type="dxa"/>
            <w:tcBorders>
              <w:right w:val="single" w:color="000000" w:sz="12" w:space="0"/>
            </w:tcBorders>
            <w:vAlign w:val="top"/>
          </w:tcPr>
          <w:p w14:paraId="678E5865">
            <w:pPr>
              <w:pStyle w:val="6"/>
              <w:spacing w:before="78" w:line="190" w:lineRule="auto"/>
              <w:ind w:left="242"/>
            </w:pPr>
            <w:r>
              <w:rPr>
                <w:spacing w:val="-1"/>
              </w:rPr>
              <w:t>2400</w:t>
            </w:r>
          </w:p>
        </w:tc>
      </w:tr>
      <w:tr w14:paraId="0942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EE36E7B">
            <w:pPr>
              <w:rPr>
                <w:rFonts w:ascii="Arial"/>
                <w:sz w:val="21"/>
              </w:rPr>
            </w:pPr>
          </w:p>
        </w:tc>
        <w:tc>
          <w:tcPr>
            <w:tcW w:w="285" w:type="dxa"/>
            <w:vMerge w:val="continue"/>
            <w:tcBorders>
              <w:top w:val="nil"/>
              <w:bottom w:val="nil"/>
            </w:tcBorders>
            <w:vAlign w:val="top"/>
          </w:tcPr>
          <w:p w14:paraId="75776E38">
            <w:pPr>
              <w:rPr>
                <w:rFonts w:ascii="Arial"/>
                <w:sz w:val="21"/>
              </w:rPr>
            </w:pPr>
          </w:p>
        </w:tc>
        <w:tc>
          <w:tcPr>
            <w:tcW w:w="1273" w:type="dxa"/>
            <w:vAlign w:val="top"/>
          </w:tcPr>
          <w:p w14:paraId="01AC8789">
            <w:pPr>
              <w:pStyle w:val="6"/>
              <w:spacing w:before="79" w:line="189" w:lineRule="auto"/>
              <w:ind w:left="199"/>
            </w:pPr>
            <w:r>
              <w:rPr>
                <w:spacing w:val="-1"/>
              </w:rPr>
              <w:t>2020/3/11</w:t>
            </w:r>
          </w:p>
        </w:tc>
        <w:tc>
          <w:tcPr>
            <w:tcW w:w="880" w:type="dxa"/>
            <w:vAlign w:val="top"/>
          </w:tcPr>
          <w:p w14:paraId="23CD593B">
            <w:pPr>
              <w:pStyle w:val="6"/>
              <w:spacing w:before="79" w:line="189" w:lineRule="auto"/>
              <w:ind w:left="267"/>
            </w:pPr>
            <w:r>
              <w:rPr>
                <w:spacing w:val="-6"/>
              </w:rPr>
              <w:t>16.9</w:t>
            </w:r>
          </w:p>
        </w:tc>
        <w:tc>
          <w:tcPr>
            <w:tcW w:w="880" w:type="dxa"/>
            <w:vAlign w:val="top"/>
          </w:tcPr>
          <w:p w14:paraId="242C087F">
            <w:pPr>
              <w:pStyle w:val="6"/>
              <w:spacing w:before="79" w:line="189" w:lineRule="auto"/>
              <w:ind w:left="254"/>
            </w:pPr>
            <w:r>
              <w:rPr>
                <w:spacing w:val="-3"/>
              </w:rPr>
              <w:t>6.77</w:t>
            </w:r>
          </w:p>
        </w:tc>
        <w:tc>
          <w:tcPr>
            <w:tcW w:w="880" w:type="dxa"/>
            <w:vAlign w:val="top"/>
          </w:tcPr>
          <w:p w14:paraId="535A937D">
            <w:pPr>
              <w:pStyle w:val="6"/>
              <w:spacing w:before="79" w:line="189" w:lineRule="auto"/>
              <w:ind w:left="381"/>
            </w:pPr>
            <w:r>
              <w:t>4</w:t>
            </w:r>
          </w:p>
        </w:tc>
        <w:tc>
          <w:tcPr>
            <w:tcW w:w="880" w:type="dxa"/>
            <w:vAlign w:val="top"/>
          </w:tcPr>
          <w:p w14:paraId="34A221CA">
            <w:pPr>
              <w:pStyle w:val="6"/>
              <w:spacing w:before="79" w:line="189" w:lineRule="auto"/>
              <w:ind w:left="310"/>
            </w:pPr>
            <w:r>
              <w:rPr>
                <w:spacing w:val="-4"/>
              </w:rPr>
              <w:t>5.6</w:t>
            </w:r>
          </w:p>
        </w:tc>
        <w:tc>
          <w:tcPr>
            <w:tcW w:w="880" w:type="dxa"/>
            <w:vAlign w:val="top"/>
          </w:tcPr>
          <w:p w14:paraId="06F13B8E">
            <w:pPr>
              <w:pStyle w:val="6"/>
              <w:spacing w:before="79" w:line="189" w:lineRule="auto"/>
              <w:ind w:left="307"/>
            </w:pPr>
            <w:r>
              <w:rPr>
                <w:spacing w:val="-2"/>
              </w:rPr>
              <w:t>2.6</w:t>
            </w:r>
          </w:p>
        </w:tc>
        <w:tc>
          <w:tcPr>
            <w:tcW w:w="880" w:type="dxa"/>
            <w:vAlign w:val="top"/>
          </w:tcPr>
          <w:p w14:paraId="669451DE">
            <w:pPr>
              <w:pStyle w:val="6"/>
              <w:spacing w:before="79" w:line="189" w:lineRule="auto"/>
              <w:ind w:left="355"/>
            </w:pPr>
            <w:r>
              <w:rPr>
                <w:spacing w:val="-6"/>
              </w:rPr>
              <w:t>10</w:t>
            </w:r>
          </w:p>
        </w:tc>
        <w:tc>
          <w:tcPr>
            <w:tcW w:w="880" w:type="dxa"/>
            <w:vAlign w:val="top"/>
          </w:tcPr>
          <w:p w14:paraId="6139113C">
            <w:pPr>
              <w:pStyle w:val="6"/>
              <w:spacing w:before="79" w:line="189" w:lineRule="auto"/>
              <w:ind w:left="311"/>
            </w:pPr>
            <w:r>
              <w:rPr>
                <w:spacing w:val="-2"/>
              </w:rPr>
              <w:t>2.0</w:t>
            </w:r>
          </w:p>
        </w:tc>
        <w:tc>
          <w:tcPr>
            <w:tcW w:w="880" w:type="dxa"/>
            <w:vAlign w:val="top"/>
          </w:tcPr>
          <w:p w14:paraId="4A603915">
            <w:pPr>
              <w:pStyle w:val="6"/>
              <w:spacing w:before="79" w:line="189" w:lineRule="auto"/>
              <w:ind w:left="212"/>
            </w:pPr>
            <w:r>
              <w:rPr>
                <w:spacing w:val="-2"/>
              </w:rPr>
              <w:t>0.087</w:t>
            </w:r>
          </w:p>
        </w:tc>
        <w:tc>
          <w:tcPr>
            <w:tcW w:w="880" w:type="dxa"/>
            <w:vAlign w:val="top"/>
          </w:tcPr>
          <w:p w14:paraId="397535A5">
            <w:pPr>
              <w:pStyle w:val="6"/>
              <w:spacing w:before="79" w:line="189" w:lineRule="auto"/>
              <w:ind w:left="266"/>
            </w:pPr>
            <w:r>
              <w:rPr>
                <w:spacing w:val="-2"/>
              </w:rPr>
              <w:t>0.04</w:t>
            </w:r>
          </w:p>
        </w:tc>
        <w:tc>
          <w:tcPr>
            <w:tcW w:w="880" w:type="dxa"/>
            <w:vAlign w:val="top"/>
          </w:tcPr>
          <w:p w14:paraId="03D92931">
            <w:pPr>
              <w:pStyle w:val="6"/>
              <w:spacing w:before="79" w:line="189" w:lineRule="auto"/>
              <w:ind w:left="268"/>
            </w:pPr>
            <w:r>
              <w:rPr>
                <w:spacing w:val="-2"/>
              </w:rPr>
              <w:t>0.03</w:t>
            </w:r>
          </w:p>
        </w:tc>
        <w:tc>
          <w:tcPr>
            <w:tcW w:w="881" w:type="dxa"/>
            <w:vAlign w:val="top"/>
          </w:tcPr>
          <w:p w14:paraId="3ED4F1F8">
            <w:pPr>
              <w:pStyle w:val="6"/>
              <w:spacing w:before="79" w:line="189" w:lineRule="auto"/>
              <w:ind w:left="206"/>
            </w:pPr>
            <w:r>
              <w:rPr>
                <w:spacing w:val="-2"/>
              </w:rPr>
              <w:t>0.05L</w:t>
            </w:r>
          </w:p>
        </w:tc>
        <w:tc>
          <w:tcPr>
            <w:tcW w:w="894" w:type="dxa"/>
            <w:tcBorders>
              <w:right w:val="single" w:color="000000" w:sz="12" w:space="0"/>
            </w:tcBorders>
            <w:vAlign w:val="top"/>
          </w:tcPr>
          <w:p w14:paraId="3334156F">
            <w:pPr>
              <w:pStyle w:val="6"/>
              <w:spacing w:before="79" w:line="189" w:lineRule="auto"/>
              <w:ind w:left="242"/>
            </w:pPr>
            <w:r>
              <w:rPr>
                <w:spacing w:val="-1"/>
              </w:rPr>
              <w:t>2200</w:t>
            </w:r>
          </w:p>
        </w:tc>
      </w:tr>
      <w:tr w14:paraId="3FB7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EC5BA26">
            <w:pPr>
              <w:rPr>
                <w:rFonts w:ascii="Arial"/>
                <w:sz w:val="21"/>
              </w:rPr>
            </w:pPr>
          </w:p>
        </w:tc>
        <w:tc>
          <w:tcPr>
            <w:tcW w:w="285" w:type="dxa"/>
            <w:vMerge w:val="continue"/>
            <w:tcBorders>
              <w:top w:val="nil"/>
            </w:tcBorders>
            <w:vAlign w:val="top"/>
          </w:tcPr>
          <w:p w14:paraId="0ACD26C1">
            <w:pPr>
              <w:rPr>
                <w:rFonts w:ascii="Arial"/>
                <w:sz w:val="21"/>
              </w:rPr>
            </w:pPr>
          </w:p>
        </w:tc>
        <w:tc>
          <w:tcPr>
            <w:tcW w:w="1273" w:type="dxa"/>
            <w:vAlign w:val="top"/>
          </w:tcPr>
          <w:p w14:paraId="2A20BF31">
            <w:pPr>
              <w:pStyle w:val="6"/>
              <w:spacing w:before="80" w:line="187" w:lineRule="auto"/>
              <w:ind w:left="199"/>
            </w:pPr>
            <w:r>
              <w:rPr>
                <w:spacing w:val="-1"/>
              </w:rPr>
              <w:t>2020/3/12</w:t>
            </w:r>
          </w:p>
        </w:tc>
        <w:tc>
          <w:tcPr>
            <w:tcW w:w="880" w:type="dxa"/>
            <w:vAlign w:val="top"/>
          </w:tcPr>
          <w:p w14:paraId="5CA79D5F">
            <w:pPr>
              <w:pStyle w:val="6"/>
              <w:spacing w:before="80" w:line="187" w:lineRule="auto"/>
              <w:ind w:left="267"/>
            </w:pPr>
            <w:r>
              <w:rPr>
                <w:spacing w:val="-6"/>
              </w:rPr>
              <w:t>16.3</w:t>
            </w:r>
          </w:p>
        </w:tc>
        <w:tc>
          <w:tcPr>
            <w:tcW w:w="880" w:type="dxa"/>
            <w:vAlign w:val="top"/>
          </w:tcPr>
          <w:p w14:paraId="10624F2D">
            <w:pPr>
              <w:pStyle w:val="6"/>
              <w:spacing w:before="80" w:line="187" w:lineRule="auto"/>
              <w:ind w:left="254"/>
            </w:pPr>
            <w:r>
              <w:rPr>
                <w:spacing w:val="-3"/>
              </w:rPr>
              <w:t>6.85</w:t>
            </w:r>
          </w:p>
        </w:tc>
        <w:tc>
          <w:tcPr>
            <w:tcW w:w="880" w:type="dxa"/>
            <w:vAlign w:val="top"/>
          </w:tcPr>
          <w:p w14:paraId="43582516">
            <w:pPr>
              <w:pStyle w:val="6"/>
              <w:spacing w:before="80" w:line="187" w:lineRule="auto"/>
              <w:ind w:left="387"/>
            </w:pPr>
            <w:r>
              <w:t>5</w:t>
            </w:r>
          </w:p>
        </w:tc>
        <w:tc>
          <w:tcPr>
            <w:tcW w:w="880" w:type="dxa"/>
            <w:vAlign w:val="top"/>
          </w:tcPr>
          <w:p w14:paraId="57AA9CCD">
            <w:pPr>
              <w:pStyle w:val="6"/>
              <w:spacing w:before="80" w:line="187" w:lineRule="auto"/>
              <w:ind w:left="310"/>
            </w:pPr>
            <w:r>
              <w:rPr>
                <w:spacing w:val="-4"/>
              </w:rPr>
              <w:t>5.9</w:t>
            </w:r>
          </w:p>
        </w:tc>
        <w:tc>
          <w:tcPr>
            <w:tcW w:w="880" w:type="dxa"/>
            <w:vAlign w:val="top"/>
          </w:tcPr>
          <w:p w14:paraId="55E23EC7">
            <w:pPr>
              <w:pStyle w:val="6"/>
              <w:spacing w:before="80" w:line="187" w:lineRule="auto"/>
              <w:ind w:left="311"/>
            </w:pPr>
            <w:r>
              <w:rPr>
                <w:spacing w:val="-3"/>
              </w:rPr>
              <w:t>3.0</w:t>
            </w:r>
          </w:p>
        </w:tc>
        <w:tc>
          <w:tcPr>
            <w:tcW w:w="880" w:type="dxa"/>
            <w:vAlign w:val="top"/>
          </w:tcPr>
          <w:p w14:paraId="439D306E">
            <w:pPr>
              <w:pStyle w:val="6"/>
              <w:spacing w:before="80" w:line="187" w:lineRule="auto"/>
              <w:ind w:left="355"/>
            </w:pPr>
            <w:r>
              <w:rPr>
                <w:spacing w:val="-6"/>
              </w:rPr>
              <w:t>12</w:t>
            </w:r>
          </w:p>
        </w:tc>
        <w:tc>
          <w:tcPr>
            <w:tcW w:w="880" w:type="dxa"/>
            <w:vAlign w:val="top"/>
          </w:tcPr>
          <w:p w14:paraId="4119418F">
            <w:pPr>
              <w:pStyle w:val="6"/>
              <w:spacing w:before="80" w:line="187" w:lineRule="auto"/>
              <w:ind w:left="311"/>
            </w:pPr>
            <w:r>
              <w:rPr>
                <w:spacing w:val="-2"/>
              </w:rPr>
              <w:t>2.3</w:t>
            </w:r>
          </w:p>
        </w:tc>
        <w:tc>
          <w:tcPr>
            <w:tcW w:w="880" w:type="dxa"/>
            <w:vAlign w:val="top"/>
          </w:tcPr>
          <w:p w14:paraId="025ADB97">
            <w:pPr>
              <w:pStyle w:val="6"/>
              <w:spacing w:before="80" w:line="187" w:lineRule="auto"/>
              <w:ind w:left="212"/>
            </w:pPr>
            <w:r>
              <w:rPr>
                <w:spacing w:val="-2"/>
              </w:rPr>
              <w:t>0.099</w:t>
            </w:r>
          </w:p>
        </w:tc>
        <w:tc>
          <w:tcPr>
            <w:tcW w:w="880" w:type="dxa"/>
            <w:vAlign w:val="top"/>
          </w:tcPr>
          <w:p w14:paraId="58D18384">
            <w:pPr>
              <w:pStyle w:val="6"/>
              <w:spacing w:before="80" w:line="187" w:lineRule="auto"/>
              <w:ind w:left="266"/>
            </w:pPr>
            <w:r>
              <w:rPr>
                <w:spacing w:val="-2"/>
              </w:rPr>
              <w:t>0.03</w:t>
            </w:r>
          </w:p>
        </w:tc>
        <w:tc>
          <w:tcPr>
            <w:tcW w:w="880" w:type="dxa"/>
            <w:vAlign w:val="top"/>
          </w:tcPr>
          <w:p w14:paraId="6D473957">
            <w:pPr>
              <w:pStyle w:val="6"/>
              <w:spacing w:before="80" w:line="187" w:lineRule="auto"/>
              <w:ind w:left="268"/>
            </w:pPr>
            <w:r>
              <w:rPr>
                <w:spacing w:val="-2"/>
              </w:rPr>
              <w:t>0.04</w:t>
            </w:r>
          </w:p>
        </w:tc>
        <w:tc>
          <w:tcPr>
            <w:tcW w:w="881" w:type="dxa"/>
            <w:vAlign w:val="top"/>
          </w:tcPr>
          <w:p w14:paraId="362A642F">
            <w:pPr>
              <w:pStyle w:val="6"/>
              <w:spacing w:before="80" w:line="187" w:lineRule="auto"/>
              <w:ind w:left="206"/>
            </w:pPr>
            <w:r>
              <w:rPr>
                <w:spacing w:val="-2"/>
              </w:rPr>
              <w:t>0.05L</w:t>
            </w:r>
          </w:p>
        </w:tc>
        <w:tc>
          <w:tcPr>
            <w:tcW w:w="894" w:type="dxa"/>
            <w:tcBorders>
              <w:right w:val="single" w:color="000000" w:sz="12" w:space="0"/>
            </w:tcBorders>
            <w:vAlign w:val="top"/>
          </w:tcPr>
          <w:p w14:paraId="1F258E57">
            <w:pPr>
              <w:pStyle w:val="6"/>
              <w:spacing w:before="80" w:line="187" w:lineRule="auto"/>
              <w:ind w:left="242"/>
            </w:pPr>
            <w:r>
              <w:rPr>
                <w:spacing w:val="-1"/>
              </w:rPr>
              <w:t>2500</w:t>
            </w:r>
          </w:p>
        </w:tc>
      </w:tr>
      <w:tr w14:paraId="11E9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7593262">
            <w:pPr>
              <w:rPr>
                <w:rFonts w:ascii="Arial"/>
                <w:sz w:val="21"/>
              </w:rPr>
            </w:pPr>
          </w:p>
        </w:tc>
        <w:tc>
          <w:tcPr>
            <w:tcW w:w="285" w:type="dxa"/>
            <w:vMerge w:val="restart"/>
            <w:tcBorders>
              <w:bottom w:val="nil"/>
            </w:tcBorders>
            <w:vAlign w:val="top"/>
          </w:tcPr>
          <w:p w14:paraId="06A84F9A">
            <w:pPr>
              <w:pStyle w:val="6"/>
              <w:spacing w:before="100" w:line="222" w:lineRule="auto"/>
              <w:ind w:left="77"/>
            </w:pPr>
            <w:r>
              <w:t>2</w:t>
            </w:r>
          </w:p>
          <w:p w14:paraId="39B78540">
            <w:pPr>
              <w:spacing w:line="219" w:lineRule="auto"/>
              <w:ind w:left="29"/>
              <w:rPr>
                <w:rFonts w:ascii="宋体" w:hAnsi="宋体" w:eastAsia="宋体" w:cs="宋体"/>
                <w:sz w:val="21"/>
                <w:szCs w:val="21"/>
              </w:rPr>
            </w:pPr>
            <w:r>
              <w:rPr>
                <w:rFonts w:ascii="宋体" w:hAnsi="宋体" w:eastAsia="宋体" w:cs="宋体"/>
                <w:sz w:val="21"/>
                <w:szCs w:val="21"/>
              </w:rPr>
              <w:t>季</w:t>
            </w:r>
          </w:p>
          <w:p w14:paraId="022FF81D">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04DC05F9">
            <w:pPr>
              <w:pStyle w:val="6"/>
              <w:spacing w:before="82" w:line="185" w:lineRule="auto"/>
              <w:ind w:left="199"/>
            </w:pPr>
            <w:r>
              <w:rPr>
                <w:spacing w:val="-1"/>
              </w:rPr>
              <w:t>2020/5/20</w:t>
            </w:r>
          </w:p>
        </w:tc>
        <w:tc>
          <w:tcPr>
            <w:tcW w:w="880" w:type="dxa"/>
            <w:vAlign w:val="top"/>
          </w:tcPr>
          <w:p w14:paraId="467DB4F0">
            <w:pPr>
              <w:pStyle w:val="6"/>
              <w:spacing w:before="82" w:line="185" w:lineRule="auto"/>
              <w:ind w:left="267"/>
            </w:pPr>
            <w:r>
              <w:rPr>
                <w:spacing w:val="-6"/>
              </w:rPr>
              <w:t>17.7</w:t>
            </w:r>
          </w:p>
        </w:tc>
        <w:tc>
          <w:tcPr>
            <w:tcW w:w="880" w:type="dxa"/>
            <w:vAlign w:val="top"/>
          </w:tcPr>
          <w:p w14:paraId="230F324B">
            <w:pPr>
              <w:pStyle w:val="6"/>
              <w:spacing w:before="82" w:line="185" w:lineRule="auto"/>
              <w:ind w:left="252"/>
            </w:pPr>
            <w:r>
              <w:rPr>
                <w:spacing w:val="-2"/>
              </w:rPr>
              <w:t>7.16</w:t>
            </w:r>
          </w:p>
        </w:tc>
        <w:tc>
          <w:tcPr>
            <w:tcW w:w="880" w:type="dxa"/>
            <w:vAlign w:val="top"/>
          </w:tcPr>
          <w:p w14:paraId="31DBC250">
            <w:pPr>
              <w:pStyle w:val="6"/>
              <w:spacing w:before="82" w:line="185" w:lineRule="auto"/>
              <w:ind w:left="349"/>
            </w:pPr>
            <w:r>
              <w:rPr>
                <w:spacing w:val="-6"/>
              </w:rPr>
              <w:t>18</w:t>
            </w:r>
          </w:p>
        </w:tc>
        <w:tc>
          <w:tcPr>
            <w:tcW w:w="880" w:type="dxa"/>
            <w:vAlign w:val="top"/>
          </w:tcPr>
          <w:p w14:paraId="398DC3FD">
            <w:pPr>
              <w:pStyle w:val="6"/>
              <w:spacing w:before="82" w:line="185" w:lineRule="auto"/>
              <w:ind w:left="309"/>
            </w:pPr>
            <w:r>
              <w:rPr>
                <w:spacing w:val="-3"/>
              </w:rPr>
              <w:t>6.2</w:t>
            </w:r>
          </w:p>
        </w:tc>
        <w:tc>
          <w:tcPr>
            <w:tcW w:w="880" w:type="dxa"/>
            <w:vAlign w:val="top"/>
          </w:tcPr>
          <w:p w14:paraId="39C4B97B">
            <w:pPr>
              <w:pStyle w:val="6"/>
              <w:spacing w:before="82" w:line="185" w:lineRule="auto"/>
              <w:ind w:left="307"/>
            </w:pPr>
            <w:r>
              <w:rPr>
                <w:spacing w:val="-2"/>
              </w:rPr>
              <w:t>2.9</w:t>
            </w:r>
          </w:p>
        </w:tc>
        <w:tc>
          <w:tcPr>
            <w:tcW w:w="880" w:type="dxa"/>
            <w:vAlign w:val="top"/>
          </w:tcPr>
          <w:p w14:paraId="71D39955">
            <w:pPr>
              <w:pStyle w:val="6"/>
              <w:spacing w:before="85" w:line="182" w:lineRule="auto"/>
              <w:ind w:left="323"/>
            </w:pPr>
            <w:r>
              <w:rPr>
                <w:spacing w:val="-1"/>
              </w:rPr>
              <w:t>4L</w:t>
            </w:r>
          </w:p>
        </w:tc>
        <w:tc>
          <w:tcPr>
            <w:tcW w:w="880" w:type="dxa"/>
            <w:vAlign w:val="top"/>
          </w:tcPr>
          <w:p w14:paraId="15018BD5">
            <w:pPr>
              <w:pStyle w:val="6"/>
              <w:spacing w:before="82" w:line="185" w:lineRule="auto"/>
              <w:ind w:left="250"/>
            </w:pPr>
            <w:r>
              <w:rPr>
                <w:spacing w:val="-2"/>
              </w:rPr>
              <w:t>0.5L</w:t>
            </w:r>
          </w:p>
        </w:tc>
        <w:tc>
          <w:tcPr>
            <w:tcW w:w="880" w:type="dxa"/>
            <w:vAlign w:val="top"/>
          </w:tcPr>
          <w:p w14:paraId="46829C07">
            <w:pPr>
              <w:pStyle w:val="6"/>
              <w:spacing w:before="82" w:line="185" w:lineRule="auto"/>
              <w:ind w:left="212"/>
            </w:pPr>
            <w:r>
              <w:rPr>
                <w:spacing w:val="-2"/>
              </w:rPr>
              <w:t>0.128</w:t>
            </w:r>
          </w:p>
        </w:tc>
        <w:tc>
          <w:tcPr>
            <w:tcW w:w="880" w:type="dxa"/>
            <w:vAlign w:val="top"/>
          </w:tcPr>
          <w:p w14:paraId="1DABDEDA">
            <w:pPr>
              <w:pStyle w:val="6"/>
              <w:spacing w:before="82" w:line="185" w:lineRule="auto"/>
              <w:ind w:left="266"/>
            </w:pPr>
            <w:r>
              <w:rPr>
                <w:spacing w:val="-2"/>
              </w:rPr>
              <w:t>0.02</w:t>
            </w:r>
          </w:p>
        </w:tc>
        <w:tc>
          <w:tcPr>
            <w:tcW w:w="880" w:type="dxa"/>
            <w:vAlign w:val="top"/>
          </w:tcPr>
          <w:p w14:paraId="6C52BB1F">
            <w:pPr>
              <w:pStyle w:val="6"/>
              <w:spacing w:before="82" w:line="185" w:lineRule="auto"/>
              <w:ind w:left="268"/>
            </w:pPr>
            <w:r>
              <w:rPr>
                <w:spacing w:val="-2"/>
              </w:rPr>
              <w:t>0.02</w:t>
            </w:r>
          </w:p>
        </w:tc>
        <w:tc>
          <w:tcPr>
            <w:tcW w:w="881" w:type="dxa"/>
            <w:vAlign w:val="top"/>
          </w:tcPr>
          <w:p w14:paraId="224B0597">
            <w:pPr>
              <w:pStyle w:val="6"/>
              <w:spacing w:before="82" w:line="185" w:lineRule="auto"/>
              <w:ind w:left="206"/>
            </w:pPr>
            <w:r>
              <w:rPr>
                <w:spacing w:val="-2"/>
              </w:rPr>
              <w:t>0.05L</w:t>
            </w:r>
          </w:p>
        </w:tc>
        <w:tc>
          <w:tcPr>
            <w:tcW w:w="894" w:type="dxa"/>
            <w:tcBorders>
              <w:right w:val="single" w:color="000000" w:sz="12" w:space="0"/>
            </w:tcBorders>
            <w:vAlign w:val="top"/>
          </w:tcPr>
          <w:p w14:paraId="501FA154">
            <w:pPr>
              <w:pStyle w:val="6"/>
              <w:spacing w:before="82" w:line="185" w:lineRule="auto"/>
              <w:ind w:left="301"/>
            </w:pPr>
            <w:r>
              <w:rPr>
                <w:spacing w:val="-3"/>
              </w:rPr>
              <w:t>500</w:t>
            </w:r>
          </w:p>
        </w:tc>
      </w:tr>
      <w:tr w14:paraId="0A4B4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68CA417">
            <w:pPr>
              <w:rPr>
                <w:rFonts w:ascii="Arial"/>
                <w:sz w:val="21"/>
              </w:rPr>
            </w:pPr>
          </w:p>
        </w:tc>
        <w:tc>
          <w:tcPr>
            <w:tcW w:w="285" w:type="dxa"/>
            <w:vMerge w:val="continue"/>
            <w:tcBorders>
              <w:top w:val="nil"/>
              <w:bottom w:val="nil"/>
            </w:tcBorders>
            <w:vAlign w:val="top"/>
          </w:tcPr>
          <w:p w14:paraId="54C778EE">
            <w:pPr>
              <w:rPr>
                <w:rFonts w:ascii="Arial"/>
                <w:sz w:val="21"/>
              </w:rPr>
            </w:pPr>
          </w:p>
        </w:tc>
        <w:tc>
          <w:tcPr>
            <w:tcW w:w="1273" w:type="dxa"/>
            <w:vAlign w:val="top"/>
          </w:tcPr>
          <w:p w14:paraId="57640336">
            <w:pPr>
              <w:pStyle w:val="6"/>
              <w:spacing w:before="83" w:line="184" w:lineRule="auto"/>
              <w:ind w:left="199"/>
            </w:pPr>
            <w:r>
              <w:rPr>
                <w:spacing w:val="-1"/>
              </w:rPr>
              <w:t>2020/5/21</w:t>
            </w:r>
          </w:p>
        </w:tc>
        <w:tc>
          <w:tcPr>
            <w:tcW w:w="880" w:type="dxa"/>
            <w:vAlign w:val="top"/>
          </w:tcPr>
          <w:p w14:paraId="1874A21F">
            <w:pPr>
              <w:pStyle w:val="6"/>
              <w:spacing w:before="83" w:line="184" w:lineRule="auto"/>
              <w:ind w:left="267"/>
            </w:pPr>
            <w:r>
              <w:rPr>
                <w:spacing w:val="-6"/>
              </w:rPr>
              <w:t>16.8</w:t>
            </w:r>
          </w:p>
        </w:tc>
        <w:tc>
          <w:tcPr>
            <w:tcW w:w="880" w:type="dxa"/>
            <w:vAlign w:val="top"/>
          </w:tcPr>
          <w:p w14:paraId="169FE4F5">
            <w:pPr>
              <w:pStyle w:val="6"/>
              <w:spacing w:before="83" w:line="184" w:lineRule="auto"/>
              <w:ind w:left="252"/>
            </w:pPr>
            <w:r>
              <w:rPr>
                <w:spacing w:val="-2"/>
              </w:rPr>
              <w:t>7.12</w:t>
            </w:r>
          </w:p>
        </w:tc>
        <w:tc>
          <w:tcPr>
            <w:tcW w:w="880" w:type="dxa"/>
            <w:vAlign w:val="top"/>
          </w:tcPr>
          <w:p w14:paraId="5B9F68B5">
            <w:pPr>
              <w:pStyle w:val="6"/>
              <w:spacing w:before="83" w:line="184" w:lineRule="auto"/>
              <w:ind w:left="349"/>
            </w:pPr>
            <w:r>
              <w:rPr>
                <w:spacing w:val="-6"/>
              </w:rPr>
              <w:t>14</w:t>
            </w:r>
          </w:p>
        </w:tc>
        <w:tc>
          <w:tcPr>
            <w:tcW w:w="880" w:type="dxa"/>
            <w:vAlign w:val="top"/>
          </w:tcPr>
          <w:p w14:paraId="03F891D5">
            <w:pPr>
              <w:pStyle w:val="6"/>
              <w:spacing w:before="83" w:line="184" w:lineRule="auto"/>
              <w:ind w:left="310"/>
            </w:pPr>
            <w:r>
              <w:rPr>
                <w:spacing w:val="-4"/>
              </w:rPr>
              <w:t>5.9</w:t>
            </w:r>
          </w:p>
        </w:tc>
        <w:tc>
          <w:tcPr>
            <w:tcW w:w="880" w:type="dxa"/>
            <w:vAlign w:val="top"/>
          </w:tcPr>
          <w:p w14:paraId="2E620932">
            <w:pPr>
              <w:pStyle w:val="6"/>
              <w:spacing w:before="83" w:line="184" w:lineRule="auto"/>
              <w:ind w:left="311"/>
            </w:pPr>
            <w:r>
              <w:rPr>
                <w:spacing w:val="-3"/>
              </w:rPr>
              <w:t>3.0</w:t>
            </w:r>
          </w:p>
        </w:tc>
        <w:tc>
          <w:tcPr>
            <w:tcW w:w="880" w:type="dxa"/>
            <w:vAlign w:val="top"/>
          </w:tcPr>
          <w:p w14:paraId="194A143A">
            <w:pPr>
              <w:pStyle w:val="6"/>
              <w:spacing w:before="87" w:line="180" w:lineRule="auto"/>
              <w:ind w:left="323"/>
            </w:pPr>
            <w:r>
              <w:rPr>
                <w:spacing w:val="-1"/>
              </w:rPr>
              <w:t>4L</w:t>
            </w:r>
          </w:p>
        </w:tc>
        <w:tc>
          <w:tcPr>
            <w:tcW w:w="880" w:type="dxa"/>
            <w:vAlign w:val="top"/>
          </w:tcPr>
          <w:p w14:paraId="60B1D9C2">
            <w:pPr>
              <w:pStyle w:val="6"/>
              <w:spacing w:before="83" w:line="184" w:lineRule="auto"/>
              <w:ind w:left="250"/>
            </w:pPr>
            <w:r>
              <w:rPr>
                <w:spacing w:val="-2"/>
              </w:rPr>
              <w:t>0.5L</w:t>
            </w:r>
          </w:p>
        </w:tc>
        <w:tc>
          <w:tcPr>
            <w:tcW w:w="880" w:type="dxa"/>
            <w:vAlign w:val="top"/>
          </w:tcPr>
          <w:p w14:paraId="76AB9BB7">
            <w:pPr>
              <w:pStyle w:val="6"/>
              <w:spacing w:before="83" w:line="184" w:lineRule="auto"/>
              <w:ind w:left="212"/>
            </w:pPr>
            <w:r>
              <w:rPr>
                <w:spacing w:val="-2"/>
              </w:rPr>
              <w:t>0.133</w:t>
            </w:r>
          </w:p>
        </w:tc>
        <w:tc>
          <w:tcPr>
            <w:tcW w:w="880" w:type="dxa"/>
            <w:vAlign w:val="top"/>
          </w:tcPr>
          <w:p w14:paraId="271F074F">
            <w:pPr>
              <w:pStyle w:val="6"/>
              <w:spacing w:before="83" w:line="184" w:lineRule="auto"/>
              <w:ind w:left="266"/>
            </w:pPr>
            <w:r>
              <w:rPr>
                <w:spacing w:val="-2"/>
              </w:rPr>
              <w:t>0.03</w:t>
            </w:r>
          </w:p>
        </w:tc>
        <w:tc>
          <w:tcPr>
            <w:tcW w:w="880" w:type="dxa"/>
            <w:vAlign w:val="top"/>
          </w:tcPr>
          <w:p w14:paraId="663813C0">
            <w:pPr>
              <w:pStyle w:val="6"/>
              <w:spacing w:before="83" w:line="184" w:lineRule="auto"/>
              <w:ind w:left="268"/>
            </w:pPr>
            <w:r>
              <w:rPr>
                <w:spacing w:val="-2"/>
              </w:rPr>
              <w:t>0.02</w:t>
            </w:r>
          </w:p>
        </w:tc>
        <w:tc>
          <w:tcPr>
            <w:tcW w:w="881" w:type="dxa"/>
            <w:vAlign w:val="top"/>
          </w:tcPr>
          <w:p w14:paraId="4F94AB34">
            <w:pPr>
              <w:pStyle w:val="6"/>
              <w:spacing w:before="83" w:line="184" w:lineRule="auto"/>
              <w:ind w:left="206"/>
            </w:pPr>
            <w:r>
              <w:rPr>
                <w:spacing w:val="-2"/>
              </w:rPr>
              <w:t>0.05L</w:t>
            </w:r>
          </w:p>
        </w:tc>
        <w:tc>
          <w:tcPr>
            <w:tcW w:w="894" w:type="dxa"/>
            <w:tcBorders>
              <w:right w:val="single" w:color="000000" w:sz="12" w:space="0"/>
            </w:tcBorders>
            <w:vAlign w:val="top"/>
          </w:tcPr>
          <w:p w14:paraId="61AC2D57">
            <w:pPr>
              <w:pStyle w:val="6"/>
              <w:spacing w:before="83" w:line="184" w:lineRule="auto"/>
              <w:ind w:left="294"/>
            </w:pPr>
            <w:r>
              <w:rPr>
                <w:spacing w:val="-1"/>
              </w:rPr>
              <w:t>490</w:t>
            </w:r>
          </w:p>
        </w:tc>
      </w:tr>
      <w:tr w14:paraId="536FF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9D9B24C">
            <w:pPr>
              <w:rPr>
                <w:rFonts w:ascii="Arial"/>
                <w:sz w:val="21"/>
              </w:rPr>
            </w:pPr>
          </w:p>
        </w:tc>
        <w:tc>
          <w:tcPr>
            <w:tcW w:w="285" w:type="dxa"/>
            <w:vMerge w:val="continue"/>
            <w:tcBorders>
              <w:top w:val="nil"/>
            </w:tcBorders>
            <w:vAlign w:val="top"/>
          </w:tcPr>
          <w:p w14:paraId="0287332B">
            <w:pPr>
              <w:rPr>
                <w:rFonts w:ascii="Arial"/>
                <w:sz w:val="21"/>
              </w:rPr>
            </w:pPr>
          </w:p>
        </w:tc>
        <w:tc>
          <w:tcPr>
            <w:tcW w:w="1273" w:type="dxa"/>
            <w:vAlign w:val="top"/>
          </w:tcPr>
          <w:p w14:paraId="4B40301F">
            <w:pPr>
              <w:pStyle w:val="6"/>
              <w:spacing w:before="85" w:line="182" w:lineRule="auto"/>
              <w:ind w:left="199"/>
            </w:pPr>
            <w:r>
              <w:rPr>
                <w:spacing w:val="-1"/>
              </w:rPr>
              <w:t>2020/5/22</w:t>
            </w:r>
          </w:p>
        </w:tc>
        <w:tc>
          <w:tcPr>
            <w:tcW w:w="880" w:type="dxa"/>
            <w:vAlign w:val="top"/>
          </w:tcPr>
          <w:p w14:paraId="58188E43">
            <w:pPr>
              <w:pStyle w:val="6"/>
              <w:spacing w:before="85" w:line="182" w:lineRule="auto"/>
              <w:ind w:left="267"/>
            </w:pPr>
            <w:r>
              <w:rPr>
                <w:spacing w:val="-7"/>
              </w:rPr>
              <w:t>17.3</w:t>
            </w:r>
          </w:p>
        </w:tc>
        <w:tc>
          <w:tcPr>
            <w:tcW w:w="880" w:type="dxa"/>
            <w:vAlign w:val="top"/>
          </w:tcPr>
          <w:p w14:paraId="54164C9F">
            <w:pPr>
              <w:pStyle w:val="6"/>
              <w:spacing w:before="85" w:line="182" w:lineRule="auto"/>
              <w:ind w:left="252"/>
            </w:pPr>
            <w:r>
              <w:rPr>
                <w:spacing w:val="-2"/>
              </w:rPr>
              <w:t>7.09</w:t>
            </w:r>
          </w:p>
        </w:tc>
        <w:tc>
          <w:tcPr>
            <w:tcW w:w="880" w:type="dxa"/>
            <w:vAlign w:val="top"/>
          </w:tcPr>
          <w:p w14:paraId="7AB8C9C8">
            <w:pPr>
              <w:pStyle w:val="6"/>
              <w:spacing w:before="85" w:line="182" w:lineRule="auto"/>
              <w:ind w:left="349"/>
            </w:pPr>
            <w:r>
              <w:rPr>
                <w:spacing w:val="-6"/>
              </w:rPr>
              <w:t>16</w:t>
            </w:r>
          </w:p>
        </w:tc>
        <w:tc>
          <w:tcPr>
            <w:tcW w:w="880" w:type="dxa"/>
            <w:vAlign w:val="top"/>
          </w:tcPr>
          <w:p w14:paraId="616E35F4">
            <w:pPr>
              <w:pStyle w:val="6"/>
              <w:spacing w:before="85" w:line="182" w:lineRule="auto"/>
              <w:ind w:left="309"/>
            </w:pPr>
            <w:r>
              <w:rPr>
                <w:spacing w:val="-3"/>
              </w:rPr>
              <w:t>6.3</w:t>
            </w:r>
          </w:p>
        </w:tc>
        <w:tc>
          <w:tcPr>
            <w:tcW w:w="880" w:type="dxa"/>
            <w:vAlign w:val="top"/>
          </w:tcPr>
          <w:p w14:paraId="7B66E56C">
            <w:pPr>
              <w:pStyle w:val="6"/>
              <w:spacing w:before="85" w:line="182" w:lineRule="auto"/>
              <w:ind w:left="307"/>
            </w:pPr>
            <w:r>
              <w:rPr>
                <w:spacing w:val="-2"/>
              </w:rPr>
              <w:t>2.7</w:t>
            </w:r>
          </w:p>
        </w:tc>
        <w:tc>
          <w:tcPr>
            <w:tcW w:w="880" w:type="dxa"/>
            <w:vAlign w:val="top"/>
          </w:tcPr>
          <w:p w14:paraId="4A4BD59B">
            <w:pPr>
              <w:pStyle w:val="6"/>
              <w:spacing w:before="88" w:line="179" w:lineRule="auto"/>
              <w:ind w:left="323"/>
            </w:pPr>
            <w:r>
              <w:rPr>
                <w:spacing w:val="-1"/>
              </w:rPr>
              <w:t>4L</w:t>
            </w:r>
          </w:p>
        </w:tc>
        <w:tc>
          <w:tcPr>
            <w:tcW w:w="880" w:type="dxa"/>
            <w:vAlign w:val="top"/>
          </w:tcPr>
          <w:p w14:paraId="0C004F8A">
            <w:pPr>
              <w:pStyle w:val="6"/>
              <w:spacing w:before="85" w:line="182" w:lineRule="auto"/>
              <w:ind w:left="250"/>
            </w:pPr>
            <w:r>
              <w:rPr>
                <w:spacing w:val="-2"/>
              </w:rPr>
              <w:t>0.5L</w:t>
            </w:r>
          </w:p>
        </w:tc>
        <w:tc>
          <w:tcPr>
            <w:tcW w:w="880" w:type="dxa"/>
            <w:vAlign w:val="top"/>
          </w:tcPr>
          <w:p w14:paraId="0F2B3BFB">
            <w:pPr>
              <w:pStyle w:val="6"/>
              <w:spacing w:before="85" w:line="182" w:lineRule="auto"/>
              <w:ind w:left="212"/>
            </w:pPr>
            <w:r>
              <w:rPr>
                <w:spacing w:val="-2"/>
              </w:rPr>
              <w:t>0.125</w:t>
            </w:r>
          </w:p>
        </w:tc>
        <w:tc>
          <w:tcPr>
            <w:tcW w:w="880" w:type="dxa"/>
            <w:vAlign w:val="top"/>
          </w:tcPr>
          <w:p w14:paraId="44016E78">
            <w:pPr>
              <w:pStyle w:val="6"/>
              <w:spacing w:before="85" w:line="182" w:lineRule="auto"/>
              <w:ind w:left="266"/>
            </w:pPr>
            <w:r>
              <w:rPr>
                <w:spacing w:val="-2"/>
              </w:rPr>
              <w:t>0.02</w:t>
            </w:r>
          </w:p>
        </w:tc>
        <w:tc>
          <w:tcPr>
            <w:tcW w:w="880" w:type="dxa"/>
            <w:vAlign w:val="top"/>
          </w:tcPr>
          <w:p w14:paraId="048515F5">
            <w:pPr>
              <w:pStyle w:val="6"/>
              <w:spacing w:before="85" w:line="182" w:lineRule="auto"/>
              <w:ind w:left="268"/>
            </w:pPr>
            <w:r>
              <w:rPr>
                <w:spacing w:val="-2"/>
              </w:rPr>
              <w:t>0.01</w:t>
            </w:r>
          </w:p>
        </w:tc>
        <w:tc>
          <w:tcPr>
            <w:tcW w:w="881" w:type="dxa"/>
            <w:vAlign w:val="top"/>
          </w:tcPr>
          <w:p w14:paraId="438E3241">
            <w:pPr>
              <w:pStyle w:val="6"/>
              <w:spacing w:before="85" w:line="182" w:lineRule="auto"/>
              <w:ind w:left="206"/>
            </w:pPr>
            <w:r>
              <w:rPr>
                <w:spacing w:val="-2"/>
              </w:rPr>
              <w:t>0.05L</w:t>
            </w:r>
          </w:p>
        </w:tc>
        <w:tc>
          <w:tcPr>
            <w:tcW w:w="894" w:type="dxa"/>
            <w:tcBorders>
              <w:right w:val="single" w:color="000000" w:sz="12" w:space="0"/>
            </w:tcBorders>
            <w:vAlign w:val="top"/>
          </w:tcPr>
          <w:p w14:paraId="76E99646">
            <w:pPr>
              <w:pStyle w:val="6"/>
              <w:spacing w:before="85" w:line="182" w:lineRule="auto"/>
              <w:ind w:left="294"/>
            </w:pPr>
            <w:r>
              <w:rPr>
                <w:spacing w:val="-1"/>
              </w:rPr>
              <w:t>470</w:t>
            </w:r>
          </w:p>
        </w:tc>
      </w:tr>
      <w:tr w14:paraId="59519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3409EB4">
            <w:pPr>
              <w:rPr>
                <w:rFonts w:ascii="Arial"/>
                <w:sz w:val="21"/>
              </w:rPr>
            </w:pPr>
          </w:p>
        </w:tc>
        <w:tc>
          <w:tcPr>
            <w:tcW w:w="285" w:type="dxa"/>
            <w:vMerge w:val="restart"/>
            <w:tcBorders>
              <w:bottom w:val="nil"/>
            </w:tcBorders>
            <w:vAlign w:val="top"/>
          </w:tcPr>
          <w:p w14:paraId="0ED87E68">
            <w:pPr>
              <w:pStyle w:val="6"/>
              <w:spacing w:before="105" w:line="222" w:lineRule="auto"/>
              <w:ind w:left="81"/>
            </w:pPr>
            <w:r>
              <w:t>3</w:t>
            </w:r>
          </w:p>
          <w:p w14:paraId="7CC33058">
            <w:pPr>
              <w:spacing w:line="219" w:lineRule="auto"/>
              <w:ind w:left="29"/>
              <w:rPr>
                <w:rFonts w:ascii="宋体" w:hAnsi="宋体" w:eastAsia="宋体" w:cs="宋体"/>
                <w:sz w:val="21"/>
                <w:szCs w:val="21"/>
              </w:rPr>
            </w:pPr>
            <w:r>
              <w:rPr>
                <w:rFonts w:ascii="宋体" w:hAnsi="宋体" w:eastAsia="宋体" w:cs="宋体"/>
                <w:sz w:val="21"/>
                <w:szCs w:val="21"/>
              </w:rPr>
              <w:t>季</w:t>
            </w:r>
          </w:p>
          <w:p w14:paraId="6A109D0C">
            <w:pPr>
              <w:spacing w:before="23"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5D1A2AB">
            <w:pPr>
              <w:pStyle w:val="6"/>
              <w:spacing w:before="86" w:line="182" w:lineRule="auto"/>
              <w:ind w:left="199"/>
            </w:pPr>
            <w:r>
              <w:rPr>
                <w:spacing w:val="-1"/>
              </w:rPr>
              <w:t>2020/8/20</w:t>
            </w:r>
          </w:p>
        </w:tc>
        <w:tc>
          <w:tcPr>
            <w:tcW w:w="880" w:type="dxa"/>
            <w:vAlign w:val="top"/>
          </w:tcPr>
          <w:p w14:paraId="59ADC0A0">
            <w:pPr>
              <w:pStyle w:val="6"/>
              <w:spacing w:before="86" w:line="182" w:lineRule="auto"/>
              <w:ind w:left="267"/>
            </w:pPr>
            <w:r>
              <w:rPr>
                <w:spacing w:val="-6"/>
              </w:rPr>
              <w:t>17.8</w:t>
            </w:r>
          </w:p>
        </w:tc>
        <w:tc>
          <w:tcPr>
            <w:tcW w:w="880" w:type="dxa"/>
            <w:vAlign w:val="top"/>
          </w:tcPr>
          <w:p w14:paraId="201992DC">
            <w:pPr>
              <w:pStyle w:val="6"/>
              <w:spacing w:before="86" w:line="182" w:lineRule="auto"/>
              <w:ind w:left="252"/>
            </w:pPr>
            <w:r>
              <w:rPr>
                <w:spacing w:val="-2"/>
              </w:rPr>
              <w:t>7.63</w:t>
            </w:r>
          </w:p>
        </w:tc>
        <w:tc>
          <w:tcPr>
            <w:tcW w:w="880" w:type="dxa"/>
            <w:vAlign w:val="top"/>
          </w:tcPr>
          <w:p w14:paraId="64806F59">
            <w:pPr>
              <w:pStyle w:val="6"/>
              <w:spacing w:before="86" w:line="182" w:lineRule="auto"/>
              <w:ind w:left="386"/>
            </w:pPr>
            <w:r>
              <w:t>9</w:t>
            </w:r>
          </w:p>
        </w:tc>
        <w:tc>
          <w:tcPr>
            <w:tcW w:w="880" w:type="dxa"/>
            <w:vAlign w:val="top"/>
          </w:tcPr>
          <w:p w14:paraId="717CD07C">
            <w:pPr>
              <w:pStyle w:val="6"/>
              <w:spacing w:before="86" w:line="182" w:lineRule="auto"/>
              <w:ind w:left="309"/>
            </w:pPr>
            <w:r>
              <w:rPr>
                <w:spacing w:val="-3"/>
              </w:rPr>
              <w:t>3.8</w:t>
            </w:r>
          </w:p>
        </w:tc>
        <w:tc>
          <w:tcPr>
            <w:tcW w:w="880" w:type="dxa"/>
            <w:vAlign w:val="top"/>
          </w:tcPr>
          <w:p w14:paraId="15551621">
            <w:pPr>
              <w:pStyle w:val="6"/>
              <w:spacing w:before="86" w:line="182" w:lineRule="auto"/>
              <w:ind w:left="311"/>
            </w:pPr>
            <w:r>
              <w:rPr>
                <w:spacing w:val="-3"/>
              </w:rPr>
              <w:t>3.5</w:t>
            </w:r>
          </w:p>
        </w:tc>
        <w:tc>
          <w:tcPr>
            <w:tcW w:w="880" w:type="dxa"/>
            <w:vAlign w:val="top"/>
          </w:tcPr>
          <w:p w14:paraId="56F2AD93">
            <w:pPr>
              <w:pStyle w:val="6"/>
              <w:spacing w:before="86" w:line="182" w:lineRule="auto"/>
              <w:ind w:left="355"/>
            </w:pPr>
            <w:r>
              <w:rPr>
                <w:spacing w:val="-6"/>
              </w:rPr>
              <w:t>12</w:t>
            </w:r>
          </w:p>
        </w:tc>
        <w:tc>
          <w:tcPr>
            <w:tcW w:w="880" w:type="dxa"/>
            <w:vAlign w:val="top"/>
          </w:tcPr>
          <w:p w14:paraId="74A54491">
            <w:pPr>
              <w:pStyle w:val="6"/>
              <w:spacing w:before="86" w:line="182" w:lineRule="auto"/>
              <w:ind w:left="331"/>
            </w:pPr>
            <w:r>
              <w:rPr>
                <w:spacing w:val="-8"/>
              </w:rPr>
              <w:t>1.4</w:t>
            </w:r>
          </w:p>
        </w:tc>
        <w:tc>
          <w:tcPr>
            <w:tcW w:w="880" w:type="dxa"/>
            <w:vAlign w:val="top"/>
          </w:tcPr>
          <w:p w14:paraId="137070E0">
            <w:pPr>
              <w:pStyle w:val="6"/>
              <w:spacing w:before="86" w:line="182" w:lineRule="auto"/>
              <w:ind w:left="212"/>
            </w:pPr>
            <w:r>
              <w:rPr>
                <w:spacing w:val="-2"/>
              </w:rPr>
              <w:t>0.210</w:t>
            </w:r>
          </w:p>
        </w:tc>
        <w:tc>
          <w:tcPr>
            <w:tcW w:w="880" w:type="dxa"/>
            <w:vAlign w:val="top"/>
          </w:tcPr>
          <w:p w14:paraId="551CD422">
            <w:pPr>
              <w:pStyle w:val="6"/>
              <w:spacing w:before="86" w:line="182" w:lineRule="auto"/>
              <w:ind w:left="266"/>
            </w:pPr>
            <w:r>
              <w:rPr>
                <w:spacing w:val="-2"/>
              </w:rPr>
              <w:t>0.04</w:t>
            </w:r>
          </w:p>
        </w:tc>
        <w:tc>
          <w:tcPr>
            <w:tcW w:w="880" w:type="dxa"/>
            <w:vAlign w:val="top"/>
          </w:tcPr>
          <w:p w14:paraId="684DE045">
            <w:pPr>
              <w:pStyle w:val="6"/>
              <w:spacing w:before="86" w:line="182" w:lineRule="auto"/>
              <w:ind w:left="268"/>
            </w:pPr>
            <w:r>
              <w:rPr>
                <w:spacing w:val="-2"/>
              </w:rPr>
              <w:t>0.02</w:t>
            </w:r>
          </w:p>
        </w:tc>
        <w:tc>
          <w:tcPr>
            <w:tcW w:w="881" w:type="dxa"/>
            <w:vAlign w:val="top"/>
          </w:tcPr>
          <w:p w14:paraId="788BDF8F">
            <w:pPr>
              <w:pStyle w:val="6"/>
              <w:spacing w:before="86" w:line="182" w:lineRule="auto"/>
              <w:ind w:left="206"/>
            </w:pPr>
            <w:r>
              <w:rPr>
                <w:spacing w:val="-2"/>
              </w:rPr>
              <w:t>0.05L</w:t>
            </w:r>
          </w:p>
        </w:tc>
        <w:tc>
          <w:tcPr>
            <w:tcW w:w="894" w:type="dxa"/>
            <w:tcBorders>
              <w:right w:val="single" w:color="000000" w:sz="12" w:space="0"/>
            </w:tcBorders>
            <w:vAlign w:val="top"/>
          </w:tcPr>
          <w:p w14:paraId="4357DBCA">
            <w:pPr>
              <w:pStyle w:val="6"/>
              <w:spacing w:before="86" w:line="182" w:lineRule="auto"/>
              <w:ind w:left="246"/>
            </w:pPr>
            <w:r>
              <w:rPr>
                <w:spacing w:val="-2"/>
              </w:rPr>
              <w:t>9200</w:t>
            </w:r>
          </w:p>
        </w:tc>
      </w:tr>
      <w:tr w14:paraId="74272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0271EF8">
            <w:pPr>
              <w:rPr>
                <w:rFonts w:ascii="Arial"/>
                <w:sz w:val="21"/>
              </w:rPr>
            </w:pPr>
          </w:p>
        </w:tc>
        <w:tc>
          <w:tcPr>
            <w:tcW w:w="285" w:type="dxa"/>
            <w:vMerge w:val="continue"/>
            <w:tcBorders>
              <w:top w:val="nil"/>
              <w:bottom w:val="nil"/>
            </w:tcBorders>
            <w:vAlign w:val="top"/>
          </w:tcPr>
          <w:p w14:paraId="7B563731">
            <w:pPr>
              <w:rPr>
                <w:rFonts w:ascii="Arial"/>
                <w:sz w:val="21"/>
              </w:rPr>
            </w:pPr>
          </w:p>
        </w:tc>
        <w:tc>
          <w:tcPr>
            <w:tcW w:w="1273" w:type="dxa"/>
            <w:vAlign w:val="top"/>
          </w:tcPr>
          <w:p w14:paraId="6ACEEE32">
            <w:pPr>
              <w:pStyle w:val="6"/>
              <w:spacing w:before="87" w:line="180" w:lineRule="auto"/>
              <w:ind w:left="199"/>
            </w:pPr>
            <w:r>
              <w:rPr>
                <w:spacing w:val="-1"/>
              </w:rPr>
              <w:t>2020/8/21</w:t>
            </w:r>
          </w:p>
        </w:tc>
        <w:tc>
          <w:tcPr>
            <w:tcW w:w="880" w:type="dxa"/>
            <w:vAlign w:val="top"/>
          </w:tcPr>
          <w:p w14:paraId="1529EBB5">
            <w:pPr>
              <w:pStyle w:val="6"/>
              <w:spacing w:before="87" w:line="180" w:lineRule="auto"/>
              <w:ind w:left="267"/>
            </w:pPr>
            <w:r>
              <w:rPr>
                <w:spacing w:val="-6"/>
              </w:rPr>
              <w:t>18.0</w:t>
            </w:r>
          </w:p>
        </w:tc>
        <w:tc>
          <w:tcPr>
            <w:tcW w:w="880" w:type="dxa"/>
            <w:vAlign w:val="top"/>
          </w:tcPr>
          <w:p w14:paraId="3D6C1252">
            <w:pPr>
              <w:pStyle w:val="6"/>
              <w:spacing w:before="87" w:line="180" w:lineRule="auto"/>
              <w:ind w:left="252"/>
            </w:pPr>
            <w:r>
              <w:rPr>
                <w:spacing w:val="-2"/>
              </w:rPr>
              <w:t>7.57</w:t>
            </w:r>
          </w:p>
        </w:tc>
        <w:tc>
          <w:tcPr>
            <w:tcW w:w="880" w:type="dxa"/>
            <w:vAlign w:val="top"/>
          </w:tcPr>
          <w:p w14:paraId="5B975045">
            <w:pPr>
              <w:pStyle w:val="6"/>
              <w:spacing w:before="87" w:line="180" w:lineRule="auto"/>
              <w:ind w:left="390"/>
            </w:pPr>
            <w:r>
              <w:t>8</w:t>
            </w:r>
          </w:p>
        </w:tc>
        <w:tc>
          <w:tcPr>
            <w:tcW w:w="880" w:type="dxa"/>
            <w:vAlign w:val="top"/>
          </w:tcPr>
          <w:p w14:paraId="5992D50C">
            <w:pPr>
              <w:pStyle w:val="6"/>
              <w:spacing w:before="87" w:line="180" w:lineRule="auto"/>
              <w:ind w:left="303"/>
            </w:pPr>
            <w:r>
              <w:rPr>
                <w:spacing w:val="-1"/>
              </w:rPr>
              <w:t>4.0</w:t>
            </w:r>
          </w:p>
        </w:tc>
        <w:tc>
          <w:tcPr>
            <w:tcW w:w="880" w:type="dxa"/>
            <w:vAlign w:val="top"/>
          </w:tcPr>
          <w:p w14:paraId="02680D98">
            <w:pPr>
              <w:pStyle w:val="6"/>
              <w:spacing w:before="87" w:line="180" w:lineRule="auto"/>
              <w:ind w:left="311"/>
            </w:pPr>
            <w:r>
              <w:rPr>
                <w:spacing w:val="-3"/>
              </w:rPr>
              <w:t>3.8</w:t>
            </w:r>
          </w:p>
        </w:tc>
        <w:tc>
          <w:tcPr>
            <w:tcW w:w="880" w:type="dxa"/>
            <w:vAlign w:val="top"/>
          </w:tcPr>
          <w:p w14:paraId="7143C3BD">
            <w:pPr>
              <w:pStyle w:val="6"/>
              <w:spacing w:before="87" w:line="180" w:lineRule="auto"/>
              <w:ind w:left="392"/>
            </w:pPr>
            <w:r>
              <w:t>9</w:t>
            </w:r>
          </w:p>
        </w:tc>
        <w:tc>
          <w:tcPr>
            <w:tcW w:w="880" w:type="dxa"/>
            <w:vAlign w:val="top"/>
          </w:tcPr>
          <w:p w14:paraId="52C20F73">
            <w:pPr>
              <w:pStyle w:val="6"/>
              <w:spacing w:before="87" w:line="180" w:lineRule="auto"/>
              <w:ind w:left="331"/>
            </w:pPr>
            <w:r>
              <w:rPr>
                <w:spacing w:val="-8"/>
              </w:rPr>
              <w:t>1.8</w:t>
            </w:r>
          </w:p>
        </w:tc>
        <w:tc>
          <w:tcPr>
            <w:tcW w:w="880" w:type="dxa"/>
            <w:vAlign w:val="top"/>
          </w:tcPr>
          <w:p w14:paraId="208F4F19">
            <w:pPr>
              <w:pStyle w:val="6"/>
              <w:spacing w:before="87" w:line="180" w:lineRule="auto"/>
              <w:ind w:left="212"/>
            </w:pPr>
            <w:r>
              <w:rPr>
                <w:spacing w:val="-2"/>
              </w:rPr>
              <w:t>0.219</w:t>
            </w:r>
          </w:p>
        </w:tc>
        <w:tc>
          <w:tcPr>
            <w:tcW w:w="880" w:type="dxa"/>
            <w:vAlign w:val="top"/>
          </w:tcPr>
          <w:p w14:paraId="389D4F7F">
            <w:pPr>
              <w:pStyle w:val="6"/>
              <w:spacing w:before="87" w:line="180" w:lineRule="auto"/>
              <w:ind w:left="266"/>
            </w:pPr>
            <w:r>
              <w:rPr>
                <w:spacing w:val="-2"/>
              </w:rPr>
              <w:t>0.03</w:t>
            </w:r>
          </w:p>
        </w:tc>
        <w:tc>
          <w:tcPr>
            <w:tcW w:w="880" w:type="dxa"/>
            <w:vAlign w:val="top"/>
          </w:tcPr>
          <w:p w14:paraId="1B516630">
            <w:pPr>
              <w:pStyle w:val="6"/>
              <w:spacing w:before="87" w:line="180" w:lineRule="auto"/>
              <w:ind w:left="268"/>
            </w:pPr>
            <w:r>
              <w:rPr>
                <w:spacing w:val="-2"/>
              </w:rPr>
              <w:t>0.03</w:t>
            </w:r>
          </w:p>
        </w:tc>
        <w:tc>
          <w:tcPr>
            <w:tcW w:w="881" w:type="dxa"/>
            <w:vAlign w:val="top"/>
          </w:tcPr>
          <w:p w14:paraId="6D06E955">
            <w:pPr>
              <w:pStyle w:val="6"/>
              <w:spacing w:before="87" w:line="180" w:lineRule="auto"/>
              <w:ind w:left="206"/>
            </w:pPr>
            <w:r>
              <w:rPr>
                <w:spacing w:val="-2"/>
              </w:rPr>
              <w:t>0.05L</w:t>
            </w:r>
          </w:p>
        </w:tc>
        <w:tc>
          <w:tcPr>
            <w:tcW w:w="894" w:type="dxa"/>
            <w:tcBorders>
              <w:right w:val="single" w:color="000000" w:sz="12" w:space="0"/>
            </w:tcBorders>
            <w:vAlign w:val="top"/>
          </w:tcPr>
          <w:p w14:paraId="10CC5A22">
            <w:pPr>
              <w:pStyle w:val="6"/>
              <w:spacing w:before="87" w:line="180" w:lineRule="auto"/>
              <w:ind w:left="251"/>
            </w:pPr>
            <w:r>
              <w:rPr>
                <w:spacing w:val="-3"/>
              </w:rPr>
              <w:t>8400</w:t>
            </w:r>
          </w:p>
        </w:tc>
      </w:tr>
      <w:tr w14:paraId="17FC1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A2EE5AF">
            <w:pPr>
              <w:rPr>
                <w:rFonts w:ascii="Arial"/>
                <w:sz w:val="21"/>
              </w:rPr>
            </w:pPr>
          </w:p>
        </w:tc>
        <w:tc>
          <w:tcPr>
            <w:tcW w:w="285" w:type="dxa"/>
            <w:vMerge w:val="continue"/>
            <w:tcBorders>
              <w:top w:val="nil"/>
            </w:tcBorders>
            <w:vAlign w:val="top"/>
          </w:tcPr>
          <w:p w14:paraId="1A2AF712">
            <w:pPr>
              <w:rPr>
                <w:rFonts w:ascii="Arial"/>
                <w:sz w:val="21"/>
              </w:rPr>
            </w:pPr>
          </w:p>
        </w:tc>
        <w:tc>
          <w:tcPr>
            <w:tcW w:w="1273" w:type="dxa"/>
            <w:vAlign w:val="top"/>
          </w:tcPr>
          <w:p w14:paraId="331E547B">
            <w:pPr>
              <w:pStyle w:val="6"/>
              <w:spacing w:before="88" w:line="179" w:lineRule="auto"/>
              <w:ind w:left="199"/>
            </w:pPr>
            <w:r>
              <w:rPr>
                <w:spacing w:val="-1"/>
              </w:rPr>
              <w:t>2020/8/22</w:t>
            </w:r>
          </w:p>
        </w:tc>
        <w:tc>
          <w:tcPr>
            <w:tcW w:w="880" w:type="dxa"/>
            <w:vAlign w:val="top"/>
          </w:tcPr>
          <w:p w14:paraId="23F03682">
            <w:pPr>
              <w:pStyle w:val="6"/>
              <w:spacing w:before="88" w:line="179" w:lineRule="auto"/>
              <w:ind w:left="267"/>
            </w:pPr>
            <w:r>
              <w:rPr>
                <w:spacing w:val="-6"/>
              </w:rPr>
              <w:t>17.7</w:t>
            </w:r>
          </w:p>
        </w:tc>
        <w:tc>
          <w:tcPr>
            <w:tcW w:w="880" w:type="dxa"/>
            <w:vAlign w:val="top"/>
          </w:tcPr>
          <w:p w14:paraId="53773731">
            <w:pPr>
              <w:pStyle w:val="6"/>
              <w:spacing w:before="88" w:line="179" w:lineRule="auto"/>
              <w:ind w:left="252"/>
            </w:pPr>
            <w:r>
              <w:rPr>
                <w:spacing w:val="-2"/>
              </w:rPr>
              <w:t>7.65</w:t>
            </w:r>
          </w:p>
        </w:tc>
        <w:tc>
          <w:tcPr>
            <w:tcW w:w="880" w:type="dxa"/>
            <w:vAlign w:val="top"/>
          </w:tcPr>
          <w:p w14:paraId="57107C9B">
            <w:pPr>
              <w:pStyle w:val="6"/>
              <w:spacing w:before="88" w:line="179" w:lineRule="auto"/>
              <w:ind w:left="349"/>
            </w:pPr>
            <w:r>
              <w:rPr>
                <w:spacing w:val="-6"/>
              </w:rPr>
              <w:t>11</w:t>
            </w:r>
          </w:p>
        </w:tc>
        <w:tc>
          <w:tcPr>
            <w:tcW w:w="880" w:type="dxa"/>
            <w:vAlign w:val="top"/>
          </w:tcPr>
          <w:p w14:paraId="3535BE03">
            <w:pPr>
              <w:pStyle w:val="6"/>
              <w:spacing w:before="88" w:line="179" w:lineRule="auto"/>
              <w:ind w:left="309"/>
            </w:pPr>
            <w:r>
              <w:rPr>
                <w:spacing w:val="-3"/>
              </w:rPr>
              <w:t>3.6</w:t>
            </w:r>
          </w:p>
        </w:tc>
        <w:tc>
          <w:tcPr>
            <w:tcW w:w="880" w:type="dxa"/>
            <w:vAlign w:val="top"/>
          </w:tcPr>
          <w:p w14:paraId="373E63FF">
            <w:pPr>
              <w:pStyle w:val="6"/>
              <w:spacing w:before="88" w:line="179" w:lineRule="auto"/>
              <w:ind w:left="311"/>
            </w:pPr>
            <w:r>
              <w:rPr>
                <w:spacing w:val="-3"/>
              </w:rPr>
              <w:t>3.2</w:t>
            </w:r>
          </w:p>
        </w:tc>
        <w:tc>
          <w:tcPr>
            <w:tcW w:w="880" w:type="dxa"/>
            <w:vAlign w:val="top"/>
          </w:tcPr>
          <w:p w14:paraId="51EDE6EF">
            <w:pPr>
              <w:pStyle w:val="6"/>
              <w:spacing w:before="88" w:line="179" w:lineRule="auto"/>
              <w:ind w:left="355"/>
            </w:pPr>
            <w:r>
              <w:rPr>
                <w:spacing w:val="-6"/>
              </w:rPr>
              <w:t>10</w:t>
            </w:r>
          </w:p>
        </w:tc>
        <w:tc>
          <w:tcPr>
            <w:tcW w:w="880" w:type="dxa"/>
            <w:vAlign w:val="top"/>
          </w:tcPr>
          <w:p w14:paraId="128DDEB2">
            <w:pPr>
              <w:pStyle w:val="6"/>
              <w:spacing w:before="88" w:line="179" w:lineRule="auto"/>
              <w:ind w:left="311"/>
            </w:pPr>
            <w:r>
              <w:rPr>
                <w:spacing w:val="-2"/>
              </w:rPr>
              <w:t>2.0</w:t>
            </w:r>
          </w:p>
        </w:tc>
        <w:tc>
          <w:tcPr>
            <w:tcW w:w="880" w:type="dxa"/>
            <w:vAlign w:val="top"/>
          </w:tcPr>
          <w:p w14:paraId="7894C685">
            <w:pPr>
              <w:pStyle w:val="6"/>
              <w:spacing w:before="88" w:line="179" w:lineRule="auto"/>
              <w:ind w:left="212"/>
            </w:pPr>
            <w:r>
              <w:rPr>
                <w:spacing w:val="-2"/>
              </w:rPr>
              <w:t>0.206</w:t>
            </w:r>
          </w:p>
        </w:tc>
        <w:tc>
          <w:tcPr>
            <w:tcW w:w="880" w:type="dxa"/>
            <w:vAlign w:val="top"/>
          </w:tcPr>
          <w:p w14:paraId="096A2A60">
            <w:pPr>
              <w:pStyle w:val="6"/>
              <w:spacing w:before="88" w:line="179" w:lineRule="auto"/>
              <w:ind w:left="266"/>
            </w:pPr>
            <w:r>
              <w:rPr>
                <w:spacing w:val="-2"/>
              </w:rPr>
              <w:t>0.04</w:t>
            </w:r>
          </w:p>
        </w:tc>
        <w:tc>
          <w:tcPr>
            <w:tcW w:w="880" w:type="dxa"/>
            <w:vAlign w:val="top"/>
          </w:tcPr>
          <w:p w14:paraId="55DF5A2B">
            <w:pPr>
              <w:pStyle w:val="6"/>
              <w:spacing w:before="88" w:line="179" w:lineRule="auto"/>
              <w:ind w:left="268"/>
            </w:pPr>
            <w:r>
              <w:rPr>
                <w:spacing w:val="-2"/>
              </w:rPr>
              <w:t>0.03</w:t>
            </w:r>
          </w:p>
        </w:tc>
        <w:tc>
          <w:tcPr>
            <w:tcW w:w="881" w:type="dxa"/>
            <w:vAlign w:val="top"/>
          </w:tcPr>
          <w:p w14:paraId="60744EFD">
            <w:pPr>
              <w:pStyle w:val="6"/>
              <w:spacing w:before="88" w:line="179" w:lineRule="auto"/>
              <w:ind w:left="206"/>
            </w:pPr>
            <w:r>
              <w:rPr>
                <w:spacing w:val="-2"/>
              </w:rPr>
              <w:t>0.05L</w:t>
            </w:r>
          </w:p>
        </w:tc>
        <w:tc>
          <w:tcPr>
            <w:tcW w:w="894" w:type="dxa"/>
            <w:tcBorders>
              <w:right w:val="single" w:color="000000" w:sz="12" w:space="0"/>
            </w:tcBorders>
            <w:vAlign w:val="top"/>
          </w:tcPr>
          <w:p w14:paraId="6D7EC8BF">
            <w:pPr>
              <w:pStyle w:val="6"/>
              <w:spacing w:before="88" w:line="179" w:lineRule="auto"/>
              <w:ind w:left="246"/>
            </w:pPr>
            <w:r>
              <w:rPr>
                <w:spacing w:val="-2"/>
              </w:rPr>
              <w:t>9400</w:t>
            </w:r>
          </w:p>
        </w:tc>
      </w:tr>
      <w:tr w14:paraId="5372F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C86B219">
            <w:pPr>
              <w:rPr>
                <w:rFonts w:ascii="Arial"/>
                <w:sz w:val="21"/>
              </w:rPr>
            </w:pPr>
          </w:p>
        </w:tc>
        <w:tc>
          <w:tcPr>
            <w:tcW w:w="285" w:type="dxa"/>
            <w:vMerge w:val="restart"/>
            <w:tcBorders>
              <w:bottom w:val="nil"/>
            </w:tcBorders>
            <w:vAlign w:val="top"/>
          </w:tcPr>
          <w:p w14:paraId="6EDEC6E2">
            <w:pPr>
              <w:pStyle w:val="6"/>
              <w:spacing w:before="108" w:line="222" w:lineRule="auto"/>
              <w:ind w:left="76"/>
            </w:pPr>
            <w:r>
              <w:t>4</w:t>
            </w:r>
          </w:p>
          <w:p w14:paraId="25AFDD58">
            <w:pPr>
              <w:spacing w:line="219" w:lineRule="auto"/>
              <w:ind w:left="29"/>
              <w:rPr>
                <w:rFonts w:ascii="宋体" w:hAnsi="宋体" w:eastAsia="宋体" w:cs="宋体"/>
                <w:sz w:val="21"/>
                <w:szCs w:val="21"/>
              </w:rPr>
            </w:pPr>
            <w:r>
              <w:rPr>
                <w:rFonts w:ascii="宋体" w:hAnsi="宋体" w:eastAsia="宋体" w:cs="宋体"/>
                <w:sz w:val="21"/>
                <w:szCs w:val="21"/>
              </w:rPr>
              <w:t>季</w:t>
            </w:r>
          </w:p>
          <w:p w14:paraId="587E61F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A952632">
            <w:pPr>
              <w:pStyle w:val="6"/>
              <w:spacing w:before="90" w:line="177" w:lineRule="auto"/>
              <w:ind w:left="147"/>
            </w:pPr>
            <w:r>
              <w:rPr>
                <w:spacing w:val="-1"/>
              </w:rPr>
              <w:t>2020/11/15</w:t>
            </w:r>
          </w:p>
        </w:tc>
        <w:tc>
          <w:tcPr>
            <w:tcW w:w="880" w:type="dxa"/>
            <w:vAlign w:val="top"/>
          </w:tcPr>
          <w:p w14:paraId="0FB07C6D">
            <w:pPr>
              <w:pStyle w:val="6"/>
              <w:spacing w:before="90" w:line="177" w:lineRule="auto"/>
              <w:ind w:left="267"/>
            </w:pPr>
            <w:r>
              <w:rPr>
                <w:spacing w:val="-6"/>
              </w:rPr>
              <w:t>17.1</w:t>
            </w:r>
          </w:p>
        </w:tc>
        <w:tc>
          <w:tcPr>
            <w:tcW w:w="880" w:type="dxa"/>
            <w:vAlign w:val="top"/>
          </w:tcPr>
          <w:p w14:paraId="63FF8484">
            <w:pPr>
              <w:pStyle w:val="6"/>
              <w:spacing w:before="90" w:line="177" w:lineRule="auto"/>
              <w:ind w:left="252"/>
            </w:pPr>
            <w:r>
              <w:rPr>
                <w:spacing w:val="-2"/>
              </w:rPr>
              <w:t>7.49</w:t>
            </w:r>
          </w:p>
        </w:tc>
        <w:tc>
          <w:tcPr>
            <w:tcW w:w="880" w:type="dxa"/>
            <w:vAlign w:val="top"/>
          </w:tcPr>
          <w:p w14:paraId="01913FA1">
            <w:pPr>
              <w:pStyle w:val="6"/>
              <w:spacing w:before="90" w:line="177" w:lineRule="auto"/>
              <w:ind w:left="386"/>
            </w:pPr>
            <w:r>
              <w:t>6</w:t>
            </w:r>
          </w:p>
        </w:tc>
        <w:tc>
          <w:tcPr>
            <w:tcW w:w="880" w:type="dxa"/>
            <w:vAlign w:val="top"/>
          </w:tcPr>
          <w:p w14:paraId="1AE2C131">
            <w:pPr>
              <w:pStyle w:val="6"/>
              <w:spacing w:before="90" w:line="177" w:lineRule="auto"/>
              <w:ind w:left="303"/>
            </w:pPr>
            <w:r>
              <w:rPr>
                <w:spacing w:val="-1"/>
              </w:rPr>
              <w:t>4.2</w:t>
            </w:r>
          </w:p>
        </w:tc>
        <w:tc>
          <w:tcPr>
            <w:tcW w:w="880" w:type="dxa"/>
            <w:vAlign w:val="top"/>
          </w:tcPr>
          <w:p w14:paraId="7A0F3021">
            <w:pPr>
              <w:pStyle w:val="6"/>
              <w:spacing w:before="90" w:line="177" w:lineRule="auto"/>
              <w:ind w:left="307"/>
            </w:pPr>
            <w:r>
              <w:rPr>
                <w:spacing w:val="-2"/>
              </w:rPr>
              <w:t>2.6</w:t>
            </w:r>
          </w:p>
        </w:tc>
        <w:tc>
          <w:tcPr>
            <w:tcW w:w="880" w:type="dxa"/>
            <w:vAlign w:val="top"/>
          </w:tcPr>
          <w:p w14:paraId="02D930D2">
            <w:pPr>
              <w:pStyle w:val="6"/>
              <w:spacing w:before="90" w:line="177" w:lineRule="auto"/>
              <w:ind w:left="355"/>
            </w:pPr>
            <w:r>
              <w:rPr>
                <w:spacing w:val="-6"/>
              </w:rPr>
              <w:t>13</w:t>
            </w:r>
          </w:p>
        </w:tc>
        <w:tc>
          <w:tcPr>
            <w:tcW w:w="880" w:type="dxa"/>
            <w:vAlign w:val="top"/>
          </w:tcPr>
          <w:p w14:paraId="2A5E38B7">
            <w:pPr>
              <w:pStyle w:val="6"/>
              <w:spacing w:before="90" w:line="177" w:lineRule="auto"/>
              <w:ind w:left="311"/>
            </w:pPr>
            <w:r>
              <w:rPr>
                <w:spacing w:val="-2"/>
              </w:rPr>
              <w:t>2.5</w:t>
            </w:r>
          </w:p>
        </w:tc>
        <w:tc>
          <w:tcPr>
            <w:tcW w:w="880" w:type="dxa"/>
            <w:vAlign w:val="top"/>
          </w:tcPr>
          <w:p w14:paraId="3E6E22D8">
            <w:pPr>
              <w:pStyle w:val="6"/>
              <w:spacing w:before="90" w:line="177" w:lineRule="auto"/>
              <w:ind w:left="212"/>
            </w:pPr>
            <w:r>
              <w:rPr>
                <w:spacing w:val="-2"/>
              </w:rPr>
              <w:t>0.275</w:t>
            </w:r>
          </w:p>
        </w:tc>
        <w:tc>
          <w:tcPr>
            <w:tcW w:w="880" w:type="dxa"/>
            <w:vAlign w:val="top"/>
          </w:tcPr>
          <w:p w14:paraId="0713415B">
            <w:pPr>
              <w:pStyle w:val="6"/>
              <w:spacing w:before="90" w:line="177" w:lineRule="auto"/>
              <w:ind w:left="266"/>
            </w:pPr>
            <w:r>
              <w:rPr>
                <w:spacing w:val="-2"/>
              </w:rPr>
              <w:t>0.03</w:t>
            </w:r>
          </w:p>
        </w:tc>
        <w:tc>
          <w:tcPr>
            <w:tcW w:w="880" w:type="dxa"/>
            <w:vAlign w:val="top"/>
          </w:tcPr>
          <w:p w14:paraId="657C1E0D">
            <w:pPr>
              <w:pStyle w:val="6"/>
              <w:spacing w:before="90" w:line="177" w:lineRule="auto"/>
              <w:ind w:left="268"/>
            </w:pPr>
            <w:r>
              <w:rPr>
                <w:spacing w:val="-2"/>
              </w:rPr>
              <w:t>0.02</w:t>
            </w:r>
          </w:p>
        </w:tc>
        <w:tc>
          <w:tcPr>
            <w:tcW w:w="881" w:type="dxa"/>
            <w:vAlign w:val="top"/>
          </w:tcPr>
          <w:p w14:paraId="6DD7DBDB">
            <w:pPr>
              <w:pStyle w:val="6"/>
              <w:spacing w:before="90" w:line="177" w:lineRule="auto"/>
              <w:ind w:left="206"/>
            </w:pPr>
            <w:r>
              <w:rPr>
                <w:spacing w:val="-2"/>
              </w:rPr>
              <w:t>0.05L</w:t>
            </w:r>
          </w:p>
        </w:tc>
        <w:tc>
          <w:tcPr>
            <w:tcW w:w="894" w:type="dxa"/>
            <w:tcBorders>
              <w:right w:val="single" w:color="000000" w:sz="12" w:space="0"/>
            </w:tcBorders>
            <w:vAlign w:val="top"/>
          </w:tcPr>
          <w:p w14:paraId="7FE9D1C7">
            <w:pPr>
              <w:pStyle w:val="6"/>
              <w:spacing w:before="90" w:line="177" w:lineRule="auto"/>
              <w:ind w:left="262"/>
            </w:pPr>
            <w:r>
              <w:rPr>
                <w:spacing w:val="-5"/>
              </w:rPr>
              <w:t>1300</w:t>
            </w:r>
          </w:p>
        </w:tc>
      </w:tr>
      <w:tr w14:paraId="1BE75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F61B7ED">
            <w:pPr>
              <w:rPr>
                <w:rFonts w:ascii="Arial"/>
                <w:sz w:val="21"/>
              </w:rPr>
            </w:pPr>
          </w:p>
        </w:tc>
        <w:tc>
          <w:tcPr>
            <w:tcW w:w="285" w:type="dxa"/>
            <w:vMerge w:val="continue"/>
            <w:tcBorders>
              <w:top w:val="nil"/>
              <w:bottom w:val="nil"/>
            </w:tcBorders>
            <w:vAlign w:val="top"/>
          </w:tcPr>
          <w:p w14:paraId="476DD564">
            <w:pPr>
              <w:rPr>
                <w:rFonts w:ascii="Arial"/>
                <w:sz w:val="21"/>
              </w:rPr>
            </w:pPr>
          </w:p>
        </w:tc>
        <w:tc>
          <w:tcPr>
            <w:tcW w:w="1273" w:type="dxa"/>
            <w:vAlign w:val="top"/>
          </w:tcPr>
          <w:p w14:paraId="1C06929B">
            <w:pPr>
              <w:pStyle w:val="6"/>
              <w:spacing w:before="91" w:line="176" w:lineRule="auto"/>
              <w:ind w:left="147"/>
            </w:pPr>
            <w:r>
              <w:rPr>
                <w:spacing w:val="-1"/>
              </w:rPr>
              <w:t>2020/11/16</w:t>
            </w:r>
          </w:p>
        </w:tc>
        <w:tc>
          <w:tcPr>
            <w:tcW w:w="880" w:type="dxa"/>
            <w:vAlign w:val="top"/>
          </w:tcPr>
          <w:p w14:paraId="3CCCD227">
            <w:pPr>
              <w:pStyle w:val="6"/>
              <w:spacing w:before="91" w:line="176" w:lineRule="auto"/>
              <w:ind w:left="267"/>
            </w:pPr>
            <w:r>
              <w:rPr>
                <w:spacing w:val="-6"/>
              </w:rPr>
              <w:t>16.6</w:t>
            </w:r>
          </w:p>
        </w:tc>
        <w:tc>
          <w:tcPr>
            <w:tcW w:w="880" w:type="dxa"/>
            <w:vAlign w:val="top"/>
          </w:tcPr>
          <w:p w14:paraId="6B7455FF">
            <w:pPr>
              <w:pStyle w:val="6"/>
              <w:spacing w:before="91" w:line="176" w:lineRule="auto"/>
              <w:ind w:left="252"/>
            </w:pPr>
            <w:r>
              <w:rPr>
                <w:spacing w:val="-2"/>
              </w:rPr>
              <w:t>7.39</w:t>
            </w:r>
          </w:p>
        </w:tc>
        <w:tc>
          <w:tcPr>
            <w:tcW w:w="880" w:type="dxa"/>
            <w:vAlign w:val="top"/>
          </w:tcPr>
          <w:p w14:paraId="406B89E2">
            <w:pPr>
              <w:pStyle w:val="6"/>
              <w:spacing w:before="91" w:line="176" w:lineRule="auto"/>
              <w:ind w:left="390"/>
            </w:pPr>
            <w:r>
              <w:t>8</w:t>
            </w:r>
          </w:p>
        </w:tc>
        <w:tc>
          <w:tcPr>
            <w:tcW w:w="880" w:type="dxa"/>
            <w:vAlign w:val="top"/>
          </w:tcPr>
          <w:p w14:paraId="447BDC86">
            <w:pPr>
              <w:pStyle w:val="6"/>
              <w:spacing w:before="91" w:line="176" w:lineRule="auto"/>
              <w:ind w:left="309"/>
            </w:pPr>
            <w:r>
              <w:rPr>
                <w:spacing w:val="-3"/>
              </w:rPr>
              <w:t>3.9</w:t>
            </w:r>
          </w:p>
        </w:tc>
        <w:tc>
          <w:tcPr>
            <w:tcW w:w="880" w:type="dxa"/>
            <w:vAlign w:val="top"/>
          </w:tcPr>
          <w:p w14:paraId="7AF7F106">
            <w:pPr>
              <w:pStyle w:val="6"/>
              <w:spacing w:before="91" w:line="176" w:lineRule="auto"/>
              <w:ind w:left="307"/>
            </w:pPr>
            <w:r>
              <w:rPr>
                <w:spacing w:val="-2"/>
              </w:rPr>
              <w:t>2.8</w:t>
            </w:r>
          </w:p>
        </w:tc>
        <w:tc>
          <w:tcPr>
            <w:tcW w:w="880" w:type="dxa"/>
            <w:vAlign w:val="top"/>
          </w:tcPr>
          <w:p w14:paraId="5913CC85">
            <w:pPr>
              <w:pStyle w:val="6"/>
              <w:spacing w:before="91" w:line="176" w:lineRule="auto"/>
              <w:ind w:left="355"/>
            </w:pPr>
            <w:r>
              <w:rPr>
                <w:spacing w:val="-6"/>
              </w:rPr>
              <w:t>11</w:t>
            </w:r>
          </w:p>
        </w:tc>
        <w:tc>
          <w:tcPr>
            <w:tcW w:w="880" w:type="dxa"/>
            <w:vAlign w:val="top"/>
          </w:tcPr>
          <w:p w14:paraId="3C0375EE">
            <w:pPr>
              <w:pStyle w:val="6"/>
              <w:spacing w:before="91" w:line="176" w:lineRule="auto"/>
              <w:ind w:left="311"/>
            </w:pPr>
            <w:r>
              <w:rPr>
                <w:spacing w:val="-2"/>
              </w:rPr>
              <w:t>2.2</w:t>
            </w:r>
          </w:p>
        </w:tc>
        <w:tc>
          <w:tcPr>
            <w:tcW w:w="880" w:type="dxa"/>
            <w:vAlign w:val="top"/>
          </w:tcPr>
          <w:p w14:paraId="0F9DAA51">
            <w:pPr>
              <w:pStyle w:val="6"/>
              <w:spacing w:before="91" w:line="176" w:lineRule="auto"/>
              <w:ind w:left="212"/>
            </w:pPr>
            <w:r>
              <w:rPr>
                <w:spacing w:val="-2"/>
              </w:rPr>
              <w:t>0.259</w:t>
            </w:r>
          </w:p>
        </w:tc>
        <w:tc>
          <w:tcPr>
            <w:tcW w:w="880" w:type="dxa"/>
            <w:vAlign w:val="top"/>
          </w:tcPr>
          <w:p w14:paraId="39025085">
            <w:pPr>
              <w:pStyle w:val="6"/>
              <w:spacing w:before="91" w:line="176" w:lineRule="auto"/>
              <w:ind w:left="266"/>
            </w:pPr>
            <w:r>
              <w:rPr>
                <w:spacing w:val="-2"/>
              </w:rPr>
              <w:t>0.03</w:t>
            </w:r>
          </w:p>
        </w:tc>
        <w:tc>
          <w:tcPr>
            <w:tcW w:w="880" w:type="dxa"/>
            <w:vAlign w:val="top"/>
          </w:tcPr>
          <w:p w14:paraId="127052A7">
            <w:pPr>
              <w:pStyle w:val="6"/>
              <w:spacing w:before="91" w:line="176" w:lineRule="auto"/>
              <w:ind w:left="268"/>
            </w:pPr>
            <w:r>
              <w:rPr>
                <w:spacing w:val="-2"/>
              </w:rPr>
              <w:t>0.03</w:t>
            </w:r>
          </w:p>
        </w:tc>
        <w:tc>
          <w:tcPr>
            <w:tcW w:w="881" w:type="dxa"/>
            <w:vAlign w:val="top"/>
          </w:tcPr>
          <w:p w14:paraId="55D83999">
            <w:pPr>
              <w:pStyle w:val="6"/>
              <w:spacing w:before="91" w:line="176" w:lineRule="auto"/>
              <w:ind w:left="206"/>
            </w:pPr>
            <w:r>
              <w:rPr>
                <w:spacing w:val="-2"/>
              </w:rPr>
              <w:t>0.05L</w:t>
            </w:r>
          </w:p>
        </w:tc>
        <w:tc>
          <w:tcPr>
            <w:tcW w:w="894" w:type="dxa"/>
            <w:tcBorders>
              <w:right w:val="single" w:color="000000" w:sz="12" w:space="0"/>
            </w:tcBorders>
            <w:vAlign w:val="top"/>
          </w:tcPr>
          <w:p w14:paraId="3D48417B">
            <w:pPr>
              <w:pStyle w:val="6"/>
              <w:spacing w:before="91" w:line="176" w:lineRule="auto"/>
              <w:ind w:left="262"/>
            </w:pPr>
            <w:r>
              <w:rPr>
                <w:spacing w:val="-5"/>
              </w:rPr>
              <w:t>1100</w:t>
            </w:r>
          </w:p>
        </w:tc>
      </w:tr>
      <w:tr w14:paraId="6B8E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273" w:type="dxa"/>
            <w:vMerge w:val="continue"/>
            <w:tcBorders>
              <w:top w:val="nil"/>
              <w:left w:val="single" w:color="000000" w:sz="12" w:space="0"/>
              <w:bottom w:val="single" w:color="000000" w:sz="12" w:space="0"/>
            </w:tcBorders>
            <w:vAlign w:val="top"/>
          </w:tcPr>
          <w:p w14:paraId="11240BFB">
            <w:pPr>
              <w:rPr>
                <w:rFonts w:ascii="Arial"/>
                <w:sz w:val="21"/>
              </w:rPr>
            </w:pPr>
          </w:p>
        </w:tc>
        <w:tc>
          <w:tcPr>
            <w:tcW w:w="285" w:type="dxa"/>
            <w:vMerge w:val="continue"/>
            <w:tcBorders>
              <w:top w:val="nil"/>
              <w:bottom w:val="single" w:color="000000" w:sz="12" w:space="0"/>
            </w:tcBorders>
            <w:vAlign w:val="top"/>
          </w:tcPr>
          <w:p w14:paraId="12732B08">
            <w:pPr>
              <w:rPr>
                <w:rFonts w:ascii="Arial"/>
                <w:sz w:val="21"/>
              </w:rPr>
            </w:pPr>
          </w:p>
        </w:tc>
        <w:tc>
          <w:tcPr>
            <w:tcW w:w="1273" w:type="dxa"/>
            <w:tcBorders>
              <w:bottom w:val="single" w:color="000000" w:sz="12" w:space="0"/>
            </w:tcBorders>
            <w:vAlign w:val="top"/>
          </w:tcPr>
          <w:p w14:paraId="4BE65152">
            <w:pPr>
              <w:pStyle w:val="6"/>
              <w:spacing w:before="92" w:line="199" w:lineRule="auto"/>
              <w:ind w:left="147"/>
            </w:pPr>
            <w:r>
              <w:rPr>
                <w:spacing w:val="-1"/>
              </w:rPr>
              <w:t>2020/11/17</w:t>
            </w:r>
          </w:p>
        </w:tc>
        <w:tc>
          <w:tcPr>
            <w:tcW w:w="880" w:type="dxa"/>
            <w:tcBorders>
              <w:bottom w:val="single" w:color="000000" w:sz="12" w:space="0"/>
            </w:tcBorders>
            <w:vAlign w:val="top"/>
          </w:tcPr>
          <w:p w14:paraId="263D9B44">
            <w:pPr>
              <w:pStyle w:val="6"/>
              <w:spacing w:before="92" w:line="199" w:lineRule="auto"/>
              <w:ind w:left="267"/>
            </w:pPr>
            <w:r>
              <w:rPr>
                <w:spacing w:val="-6"/>
              </w:rPr>
              <w:t>16.9</w:t>
            </w:r>
          </w:p>
        </w:tc>
        <w:tc>
          <w:tcPr>
            <w:tcW w:w="880" w:type="dxa"/>
            <w:tcBorders>
              <w:bottom w:val="single" w:color="000000" w:sz="12" w:space="0"/>
            </w:tcBorders>
            <w:vAlign w:val="top"/>
          </w:tcPr>
          <w:p w14:paraId="088975FC">
            <w:pPr>
              <w:pStyle w:val="6"/>
              <w:spacing w:before="92" w:line="199" w:lineRule="auto"/>
              <w:ind w:left="252"/>
            </w:pPr>
            <w:r>
              <w:rPr>
                <w:spacing w:val="-2"/>
              </w:rPr>
              <w:t>7.34</w:t>
            </w:r>
          </w:p>
        </w:tc>
        <w:tc>
          <w:tcPr>
            <w:tcW w:w="880" w:type="dxa"/>
            <w:tcBorders>
              <w:bottom w:val="single" w:color="000000" w:sz="12" w:space="0"/>
            </w:tcBorders>
            <w:vAlign w:val="top"/>
          </w:tcPr>
          <w:p w14:paraId="2740ACB4">
            <w:pPr>
              <w:pStyle w:val="6"/>
              <w:spacing w:before="92" w:line="199" w:lineRule="auto"/>
              <w:ind w:left="385"/>
            </w:pPr>
            <w:r>
              <w:t>7</w:t>
            </w:r>
          </w:p>
        </w:tc>
        <w:tc>
          <w:tcPr>
            <w:tcW w:w="880" w:type="dxa"/>
            <w:tcBorders>
              <w:bottom w:val="single" w:color="000000" w:sz="12" w:space="0"/>
            </w:tcBorders>
            <w:vAlign w:val="top"/>
          </w:tcPr>
          <w:p w14:paraId="3A33A175">
            <w:pPr>
              <w:pStyle w:val="6"/>
              <w:spacing w:before="92" w:line="199" w:lineRule="auto"/>
              <w:ind w:left="303"/>
            </w:pPr>
            <w:r>
              <w:rPr>
                <w:spacing w:val="-1"/>
              </w:rPr>
              <w:t>4.7</w:t>
            </w:r>
          </w:p>
        </w:tc>
        <w:tc>
          <w:tcPr>
            <w:tcW w:w="880" w:type="dxa"/>
            <w:tcBorders>
              <w:bottom w:val="single" w:color="000000" w:sz="12" w:space="0"/>
            </w:tcBorders>
            <w:vAlign w:val="top"/>
          </w:tcPr>
          <w:p w14:paraId="2C0385DD">
            <w:pPr>
              <w:pStyle w:val="6"/>
              <w:spacing w:before="92" w:line="199" w:lineRule="auto"/>
              <w:ind w:left="311"/>
            </w:pPr>
            <w:r>
              <w:rPr>
                <w:spacing w:val="-3"/>
              </w:rPr>
              <w:t>3.0</w:t>
            </w:r>
          </w:p>
        </w:tc>
        <w:tc>
          <w:tcPr>
            <w:tcW w:w="880" w:type="dxa"/>
            <w:tcBorders>
              <w:bottom w:val="single" w:color="000000" w:sz="12" w:space="0"/>
            </w:tcBorders>
            <w:vAlign w:val="top"/>
          </w:tcPr>
          <w:p w14:paraId="0BDA0B4B">
            <w:pPr>
              <w:pStyle w:val="6"/>
              <w:spacing w:before="92" w:line="199" w:lineRule="auto"/>
              <w:ind w:left="355"/>
            </w:pPr>
            <w:r>
              <w:rPr>
                <w:spacing w:val="-6"/>
              </w:rPr>
              <w:t>10</w:t>
            </w:r>
          </w:p>
        </w:tc>
        <w:tc>
          <w:tcPr>
            <w:tcW w:w="880" w:type="dxa"/>
            <w:tcBorders>
              <w:bottom w:val="single" w:color="000000" w:sz="12" w:space="0"/>
            </w:tcBorders>
            <w:vAlign w:val="top"/>
          </w:tcPr>
          <w:p w14:paraId="6D5F9D33">
            <w:pPr>
              <w:pStyle w:val="6"/>
              <w:spacing w:before="92" w:line="199" w:lineRule="auto"/>
              <w:ind w:left="311"/>
            </w:pPr>
            <w:r>
              <w:rPr>
                <w:spacing w:val="-2"/>
              </w:rPr>
              <w:t>2.1</w:t>
            </w:r>
          </w:p>
        </w:tc>
        <w:tc>
          <w:tcPr>
            <w:tcW w:w="880" w:type="dxa"/>
            <w:tcBorders>
              <w:bottom w:val="single" w:color="000000" w:sz="12" w:space="0"/>
            </w:tcBorders>
            <w:vAlign w:val="top"/>
          </w:tcPr>
          <w:p w14:paraId="73564DF3">
            <w:pPr>
              <w:pStyle w:val="6"/>
              <w:spacing w:before="92" w:line="199" w:lineRule="auto"/>
              <w:ind w:left="212"/>
            </w:pPr>
            <w:r>
              <w:rPr>
                <w:spacing w:val="-2"/>
              </w:rPr>
              <w:t>0.264</w:t>
            </w:r>
          </w:p>
        </w:tc>
        <w:tc>
          <w:tcPr>
            <w:tcW w:w="880" w:type="dxa"/>
            <w:tcBorders>
              <w:bottom w:val="single" w:color="000000" w:sz="12" w:space="0"/>
            </w:tcBorders>
            <w:vAlign w:val="top"/>
          </w:tcPr>
          <w:p w14:paraId="7E9475A8">
            <w:pPr>
              <w:pStyle w:val="6"/>
              <w:spacing w:before="92" w:line="199" w:lineRule="auto"/>
              <w:ind w:left="266"/>
            </w:pPr>
            <w:r>
              <w:rPr>
                <w:spacing w:val="-2"/>
              </w:rPr>
              <w:t>0.04</w:t>
            </w:r>
          </w:p>
        </w:tc>
        <w:tc>
          <w:tcPr>
            <w:tcW w:w="880" w:type="dxa"/>
            <w:tcBorders>
              <w:bottom w:val="single" w:color="000000" w:sz="12" w:space="0"/>
            </w:tcBorders>
            <w:vAlign w:val="top"/>
          </w:tcPr>
          <w:p w14:paraId="5772D6E0">
            <w:pPr>
              <w:pStyle w:val="6"/>
              <w:spacing w:before="92" w:line="199" w:lineRule="auto"/>
              <w:ind w:left="268"/>
            </w:pPr>
            <w:r>
              <w:rPr>
                <w:spacing w:val="-2"/>
              </w:rPr>
              <w:t>0.02</w:t>
            </w:r>
          </w:p>
        </w:tc>
        <w:tc>
          <w:tcPr>
            <w:tcW w:w="881" w:type="dxa"/>
            <w:tcBorders>
              <w:bottom w:val="single" w:color="000000" w:sz="12" w:space="0"/>
            </w:tcBorders>
            <w:vAlign w:val="top"/>
          </w:tcPr>
          <w:p w14:paraId="2FA1F1B6">
            <w:pPr>
              <w:pStyle w:val="6"/>
              <w:spacing w:before="92" w:line="199" w:lineRule="auto"/>
              <w:ind w:left="206"/>
            </w:pPr>
            <w:r>
              <w:rPr>
                <w:spacing w:val="-2"/>
              </w:rPr>
              <w:t>0.05L</w:t>
            </w:r>
          </w:p>
        </w:tc>
        <w:tc>
          <w:tcPr>
            <w:tcW w:w="894" w:type="dxa"/>
            <w:tcBorders>
              <w:bottom w:val="single" w:color="000000" w:sz="12" w:space="0"/>
              <w:right w:val="single" w:color="000000" w:sz="12" w:space="0"/>
            </w:tcBorders>
            <w:vAlign w:val="top"/>
          </w:tcPr>
          <w:p w14:paraId="3CE152E7">
            <w:pPr>
              <w:pStyle w:val="6"/>
              <w:spacing w:before="92" w:line="199" w:lineRule="auto"/>
              <w:ind w:left="262"/>
            </w:pPr>
            <w:r>
              <w:rPr>
                <w:spacing w:val="-5"/>
              </w:rPr>
              <w:t>1200</w:t>
            </w:r>
          </w:p>
        </w:tc>
      </w:tr>
    </w:tbl>
    <w:p w14:paraId="6B744167">
      <w:pPr>
        <w:pStyle w:val="2"/>
        <w:spacing w:before="30" w:line="233" w:lineRule="auto"/>
        <w:ind w:left="40"/>
        <w:rPr>
          <w:sz w:val="21"/>
          <w:szCs w:val="21"/>
        </w:rPr>
      </w:pPr>
      <w:r>
        <w:rPr>
          <w:spacing w:val="-2"/>
          <w:sz w:val="21"/>
          <w:szCs w:val="21"/>
        </w:rPr>
        <w:t>备注：</w:t>
      </w:r>
      <w:r>
        <w:rPr>
          <w:rFonts w:ascii="Times New Roman" w:hAnsi="Times New Roman" w:eastAsia="Times New Roman" w:cs="Times New Roman"/>
          <w:spacing w:val="-2"/>
          <w:sz w:val="21"/>
          <w:szCs w:val="21"/>
        </w:rPr>
        <w:t>1</w:t>
      </w:r>
      <w:r>
        <w:rPr>
          <w:rFonts w:ascii="Times New Roman" w:hAnsi="Times New Roman" w:eastAsia="Times New Roman" w:cs="Times New Roman"/>
          <w:spacing w:val="-29"/>
          <w:sz w:val="21"/>
          <w:szCs w:val="21"/>
        </w:rPr>
        <w:t xml:space="preserve"> </w:t>
      </w:r>
      <w:r>
        <w:rPr>
          <w:spacing w:val="-2"/>
          <w:sz w:val="21"/>
          <w:szCs w:val="21"/>
        </w:rPr>
        <w:t>、马龙河执行《地表水环境质量标准》（</w:t>
      </w:r>
      <w:r>
        <w:rPr>
          <w:rFonts w:ascii="Times New Roman" w:hAnsi="Times New Roman" w:eastAsia="Times New Roman" w:cs="Times New Roman"/>
          <w:spacing w:val="-2"/>
          <w:sz w:val="21"/>
          <w:szCs w:val="21"/>
        </w:rPr>
        <w:t>GB3838-2002</w:t>
      </w:r>
      <w:r>
        <w:rPr>
          <w:spacing w:val="-2"/>
          <w:sz w:val="21"/>
          <w:szCs w:val="21"/>
        </w:rPr>
        <w:t>）中</w:t>
      </w:r>
      <w:r>
        <w:rPr>
          <w:rFonts w:ascii="Times New Roman" w:hAnsi="Times New Roman" w:eastAsia="Times New Roman" w:cs="Times New Roman"/>
          <w:spacing w:val="-2"/>
          <w:sz w:val="21"/>
          <w:szCs w:val="21"/>
        </w:rPr>
        <w:t>Ⅲ</w:t>
      </w:r>
      <w:r>
        <w:rPr>
          <w:spacing w:val="-2"/>
          <w:sz w:val="21"/>
          <w:szCs w:val="21"/>
        </w:rPr>
        <w:t>类标准，面店</w:t>
      </w:r>
      <w:r>
        <w:rPr>
          <w:spacing w:val="-3"/>
          <w:sz w:val="21"/>
          <w:szCs w:val="21"/>
        </w:rPr>
        <w:t>水库执行</w:t>
      </w:r>
      <w:r>
        <w:rPr>
          <w:rFonts w:ascii="Times New Roman" w:hAnsi="Times New Roman" w:eastAsia="Times New Roman" w:cs="Times New Roman"/>
          <w:spacing w:val="-3"/>
          <w:sz w:val="21"/>
          <w:szCs w:val="21"/>
        </w:rPr>
        <w:t>Ⅱ</w:t>
      </w:r>
      <w:r>
        <w:rPr>
          <w:spacing w:val="-3"/>
          <w:sz w:val="21"/>
          <w:szCs w:val="21"/>
        </w:rPr>
        <w:t>类标准；</w:t>
      </w:r>
      <w:r>
        <w:rPr>
          <w:rFonts w:ascii="Times New Roman" w:hAnsi="Times New Roman" w:eastAsia="Times New Roman" w:cs="Times New Roman"/>
          <w:spacing w:val="-3"/>
          <w:sz w:val="21"/>
          <w:szCs w:val="21"/>
        </w:rPr>
        <w:t>2</w:t>
      </w:r>
      <w:r>
        <w:rPr>
          <w:rFonts w:ascii="Times New Roman" w:hAnsi="Times New Roman" w:eastAsia="Times New Roman" w:cs="Times New Roman"/>
          <w:spacing w:val="-29"/>
          <w:sz w:val="21"/>
          <w:szCs w:val="21"/>
        </w:rPr>
        <w:t xml:space="preserve"> </w:t>
      </w:r>
      <w:r>
        <w:rPr>
          <w:spacing w:val="-3"/>
          <w:sz w:val="21"/>
          <w:szCs w:val="21"/>
        </w:rPr>
        <w:t>、</w:t>
      </w:r>
      <w:r>
        <w:rPr>
          <w:rFonts w:ascii="Times New Roman" w:hAnsi="Times New Roman" w:eastAsia="Times New Roman" w:cs="Times New Roman"/>
          <w:spacing w:val="-3"/>
          <w:sz w:val="21"/>
          <w:szCs w:val="21"/>
        </w:rPr>
        <w:t>“L”</w:t>
      </w:r>
      <w:r>
        <w:rPr>
          <w:spacing w:val="-3"/>
          <w:sz w:val="21"/>
          <w:szCs w:val="21"/>
        </w:rPr>
        <w:t>表示监测值低于方法检出限。</w:t>
      </w:r>
    </w:p>
    <w:p w14:paraId="20D106E1">
      <w:pPr>
        <w:spacing w:line="233" w:lineRule="auto"/>
        <w:rPr>
          <w:sz w:val="21"/>
          <w:szCs w:val="21"/>
        </w:rPr>
        <w:sectPr>
          <w:footerReference r:id="rId243" w:type="default"/>
          <w:pgSz w:w="16839" w:h="11907"/>
          <w:pgMar w:top="1376" w:right="1669" w:bottom="1061" w:left="1671" w:header="999" w:footer="859" w:gutter="0"/>
          <w:cols w:space="720" w:num="1"/>
        </w:sectPr>
      </w:pPr>
    </w:p>
    <w:p w14:paraId="754BE8D4">
      <w:pPr>
        <w:spacing w:line="454" w:lineRule="auto"/>
        <w:rPr>
          <w:rFonts w:ascii="Arial"/>
          <w:sz w:val="21"/>
        </w:rPr>
      </w:pPr>
    </w:p>
    <w:p w14:paraId="437E4159">
      <w:pPr>
        <w:pStyle w:val="2"/>
        <w:spacing w:before="78" w:line="215"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6.2-5                                                          2021 </w:t>
      </w:r>
      <w:r>
        <w:rPr>
          <w:b/>
          <w:bCs/>
          <w:sz w:val="24"/>
          <w:szCs w:val="24"/>
        </w:rPr>
        <w:t>年施工期地表水水质监测结果（</w:t>
      </w:r>
      <w:r>
        <w:rPr>
          <w:rFonts w:ascii="Times New Roman" w:hAnsi="Times New Roman" w:eastAsia="Times New Roman" w:cs="Times New Roman"/>
          <w:b/>
          <w:bCs/>
          <w:i/>
          <w:iCs/>
          <w:sz w:val="24"/>
          <w:szCs w:val="24"/>
        </w:rPr>
        <w:t>C</w:t>
      </w:r>
      <w:r>
        <w:rPr>
          <w:rFonts w:ascii="Times New Roman" w:hAnsi="Times New Roman" w:eastAsia="Times New Roman" w:cs="Times New Roman"/>
          <w:b/>
          <w:bCs/>
          <w:i/>
          <w:iCs/>
          <w:position w:val="-1"/>
          <w:sz w:val="15"/>
          <w:szCs w:val="15"/>
        </w:rPr>
        <w:t>i</w:t>
      </w:r>
      <w:r>
        <w:rPr>
          <w:b/>
          <w:bCs/>
          <w:i/>
          <w:iCs/>
          <w:position w:val="-1"/>
          <w:sz w:val="12"/>
          <w:szCs w:val="12"/>
        </w:rPr>
        <w:t>，</w:t>
      </w:r>
      <w:r>
        <w:rPr>
          <w:rFonts w:ascii="Times New Roman" w:hAnsi="Times New Roman" w:eastAsia="Times New Roman" w:cs="Times New Roman"/>
          <w:b/>
          <w:bCs/>
          <w:i/>
          <w:iCs/>
          <w:sz w:val="15"/>
          <w:szCs w:val="15"/>
        </w:rPr>
        <w:t>j</w:t>
      </w:r>
      <w:r>
        <w:rPr>
          <w:b/>
          <w:bCs/>
          <w:sz w:val="24"/>
          <w:szCs w:val="24"/>
        </w:rPr>
        <w:t>）</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4997E897">
      <w:pPr>
        <w:spacing w:line="14" w:lineRule="exact"/>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30BEC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273" w:type="dxa"/>
            <w:tcBorders>
              <w:top w:val="single" w:color="000000" w:sz="12" w:space="0"/>
              <w:left w:val="single" w:color="000000" w:sz="12" w:space="0"/>
            </w:tcBorders>
            <w:vAlign w:val="top"/>
          </w:tcPr>
          <w:p w14:paraId="6347C6AD">
            <w:pPr>
              <w:spacing w:line="250" w:lineRule="auto"/>
              <w:rPr>
                <w:rFonts w:ascii="Arial"/>
                <w:sz w:val="21"/>
              </w:rPr>
            </w:pPr>
          </w:p>
          <w:p w14:paraId="6FFD11D1">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3EDA465B">
            <w:pPr>
              <w:spacing w:line="250" w:lineRule="auto"/>
              <w:rPr>
                <w:rFonts w:ascii="Arial"/>
                <w:sz w:val="21"/>
              </w:rPr>
            </w:pPr>
          </w:p>
          <w:p w14:paraId="317052FB">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2CCD988C">
            <w:pPr>
              <w:spacing w:before="184"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252C5724">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48983CDC">
            <w:pPr>
              <w:spacing w:before="30"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3011309B">
            <w:pPr>
              <w:spacing w:line="295" w:lineRule="auto"/>
              <w:rPr>
                <w:rFonts w:ascii="Arial"/>
                <w:sz w:val="21"/>
              </w:rPr>
            </w:pPr>
          </w:p>
          <w:p w14:paraId="3BA5D726">
            <w:pPr>
              <w:pStyle w:val="6"/>
              <w:spacing w:before="60" w:line="186" w:lineRule="auto"/>
              <w:ind w:left="326"/>
            </w:pPr>
            <w:r>
              <w:rPr>
                <w:spacing w:val="-7"/>
              </w:rPr>
              <w:t>SS</w:t>
            </w:r>
          </w:p>
        </w:tc>
        <w:tc>
          <w:tcPr>
            <w:tcW w:w="880" w:type="dxa"/>
            <w:tcBorders>
              <w:top w:val="single" w:color="000000" w:sz="12" w:space="0"/>
            </w:tcBorders>
            <w:vAlign w:val="top"/>
          </w:tcPr>
          <w:p w14:paraId="51ED0227">
            <w:pPr>
              <w:spacing w:line="295" w:lineRule="auto"/>
              <w:rPr>
                <w:rFonts w:ascii="Arial"/>
                <w:sz w:val="21"/>
              </w:rPr>
            </w:pPr>
          </w:p>
          <w:p w14:paraId="18EA6FBD">
            <w:pPr>
              <w:pStyle w:val="6"/>
              <w:spacing w:before="60" w:line="186" w:lineRule="auto"/>
              <w:ind w:left="283"/>
            </w:pPr>
            <w:r>
              <w:rPr>
                <w:spacing w:val="-2"/>
              </w:rPr>
              <w:t>DO</w:t>
            </w:r>
          </w:p>
        </w:tc>
        <w:tc>
          <w:tcPr>
            <w:tcW w:w="880" w:type="dxa"/>
            <w:tcBorders>
              <w:top w:val="single" w:color="000000" w:sz="12" w:space="0"/>
            </w:tcBorders>
            <w:vAlign w:val="top"/>
          </w:tcPr>
          <w:p w14:paraId="4FAA7246">
            <w:pPr>
              <w:spacing w:line="294" w:lineRule="auto"/>
              <w:rPr>
                <w:rFonts w:ascii="Arial"/>
                <w:sz w:val="21"/>
              </w:rPr>
            </w:pPr>
          </w:p>
          <w:p w14:paraId="09E6DA52">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74DC9E4F">
            <w:pPr>
              <w:spacing w:line="295" w:lineRule="auto"/>
              <w:rPr>
                <w:rFonts w:ascii="Arial"/>
                <w:sz w:val="21"/>
              </w:rPr>
            </w:pPr>
          </w:p>
          <w:p w14:paraId="17A3FD3C">
            <w:pPr>
              <w:pStyle w:val="6"/>
              <w:spacing w:before="60" w:line="186" w:lineRule="auto"/>
              <w:ind w:left="222"/>
            </w:pPr>
            <w:r>
              <w:rPr>
                <w:spacing w:val="-3"/>
              </w:rPr>
              <w:t>COD</w:t>
            </w:r>
          </w:p>
        </w:tc>
        <w:tc>
          <w:tcPr>
            <w:tcW w:w="880" w:type="dxa"/>
            <w:tcBorders>
              <w:top w:val="single" w:color="000000" w:sz="12" w:space="0"/>
            </w:tcBorders>
            <w:vAlign w:val="top"/>
          </w:tcPr>
          <w:p w14:paraId="252E1A2F">
            <w:pPr>
              <w:spacing w:line="295" w:lineRule="auto"/>
              <w:rPr>
                <w:rFonts w:ascii="Arial"/>
                <w:sz w:val="21"/>
              </w:rPr>
            </w:pPr>
          </w:p>
          <w:p w14:paraId="5C14DCAD">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16C9F607">
            <w:pPr>
              <w:spacing w:line="298" w:lineRule="auto"/>
              <w:rPr>
                <w:rFonts w:ascii="Arial"/>
                <w:sz w:val="21"/>
              </w:rPr>
            </w:pPr>
          </w:p>
          <w:p w14:paraId="61C968A7">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0DC72212">
            <w:pPr>
              <w:spacing w:line="298" w:lineRule="auto"/>
              <w:rPr>
                <w:rFonts w:ascii="Arial"/>
                <w:sz w:val="21"/>
              </w:rPr>
            </w:pPr>
          </w:p>
          <w:p w14:paraId="5302A5CC">
            <w:pPr>
              <w:pStyle w:val="6"/>
              <w:spacing w:before="60" w:line="183" w:lineRule="auto"/>
              <w:ind w:left="326"/>
            </w:pPr>
            <w:r>
              <w:rPr>
                <w:spacing w:val="-4"/>
              </w:rPr>
              <w:t>TP</w:t>
            </w:r>
          </w:p>
        </w:tc>
        <w:tc>
          <w:tcPr>
            <w:tcW w:w="880" w:type="dxa"/>
            <w:tcBorders>
              <w:top w:val="single" w:color="000000" w:sz="12" w:space="0"/>
            </w:tcBorders>
            <w:vAlign w:val="top"/>
          </w:tcPr>
          <w:p w14:paraId="0BF7DB5E">
            <w:pPr>
              <w:spacing w:line="249" w:lineRule="auto"/>
              <w:rPr>
                <w:rFonts w:ascii="Arial"/>
                <w:sz w:val="21"/>
              </w:rPr>
            </w:pPr>
          </w:p>
          <w:p w14:paraId="16DA9FDB">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0C6CFEC0">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1DAD20F9">
            <w:pPr>
              <w:spacing w:before="22"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199EAF3A">
            <w:pPr>
              <w:pStyle w:val="6"/>
              <w:spacing w:before="47"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45136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33D319C4">
            <w:pPr>
              <w:spacing w:line="252" w:lineRule="auto"/>
              <w:rPr>
                <w:rFonts w:ascii="Arial"/>
                <w:sz w:val="21"/>
              </w:rPr>
            </w:pPr>
          </w:p>
          <w:p w14:paraId="4AB01FFC">
            <w:pPr>
              <w:spacing w:line="253" w:lineRule="auto"/>
              <w:rPr>
                <w:rFonts w:ascii="Arial"/>
                <w:sz w:val="21"/>
              </w:rPr>
            </w:pPr>
          </w:p>
          <w:p w14:paraId="7984B704">
            <w:pPr>
              <w:spacing w:line="253" w:lineRule="auto"/>
              <w:rPr>
                <w:rFonts w:ascii="Arial"/>
                <w:sz w:val="21"/>
              </w:rPr>
            </w:pPr>
          </w:p>
          <w:p w14:paraId="517D09F0">
            <w:pPr>
              <w:spacing w:line="253" w:lineRule="auto"/>
              <w:rPr>
                <w:rFonts w:ascii="Arial"/>
                <w:sz w:val="21"/>
              </w:rPr>
            </w:pPr>
          </w:p>
          <w:p w14:paraId="2E3F5BB6">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7BCDBBE2">
            <w:pPr>
              <w:spacing w:before="22" w:line="220" w:lineRule="auto"/>
              <w:ind w:left="102"/>
              <w:rPr>
                <w:rFonts w:ascii="宋体" w:hAnsi="宋体" w:eastAsia="宋体" w:cs="宋体"/>
                <w:sz w:val="21"/>
                <w:szCs w:val="21"/>
              </w:rPr>
            </w:pPr>
            <w:r>
              <w:rPr>
                <w:rFonts w:ascii="宋体" w:hAnsi="宋体" w:eastAsia="宋体" w:cs="宋体"/>
                <w:spacing w:val="-4"/>
                <w:sz w:val="21"/>
                <w:szCs w:val="21"/>
              </w:rPr>
              <w:t>（车马碧水</w:t>
            </w:r>
          </w:p>
          <w:p w14:paraId="551D58F0">
            <w:pPr>
              <w:spacing w:before="22" w:line="220" w:lineRule="auto"/>
              <w:ind w:left="97"/>
              <w:rPr>
                <w:rFonts w:ascii="宋体" w:hAnsi="宋体" w:eastAsia="宋体" w:cs="宋体"/>
                <w:sz w:val="21"/>
                <w:szCs w:val="21"/>
              </w:rPr>
            </w:pPr>
            <w:r>
              <w:rPr>
                <w:rFonts w:ascii="宋体" w:hAnsi="宋体" w:eastAsia="宋体" w:cs="宋体"/>
                <w:spacing w:val="-2"/>
                <w:sz w:val="21"/>
                <w:szCs w:val="21"/>
              </w:rPr>
              <w:t>库输水隧洞</w:t>
            </w:r>
          </w:p>
          <w:p w14:paraId="2D7A6F70">
            <w:pPr>
              <w:spacing w:before="23" w:line="220" w:lineRule="auto"/>
              <w:ind w:left="200"/>
              <w:rPr>
                <w:rFonts w:ascii="宋体" w:hAnsi="宋体" w:eastAsia="宋体" w:cs="宋体"/>
                <w:sz w:val="21"/>
                <w:szCs w:val="21"/>
              </w:rPr>
            </w:pPr>
            <w:r>
              <w:rPr>
                <w:rFonts w:ascii="宋体" w:hAnsi="宋体" w:eastAsia="宋体" w:cs="宋体"/>
                <w:spacing w:val="-2"/>
                <w:sz w:val="21"/>
                <w:szCs w:val="21"/>
              </w:rPr>
              <w:t>进口上游</w:t>
            </w:r>
          </w:p>
          <w:p w14:paraId="362E57C3">
            <w:pPr>
              <w:pStyle w:val="6"/>
              <w:spacing w:before="21"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279256DB">
            <w:pPr>
              <w:pStyle w:val="6"/>
              <w:spacing w:before="84" w:line="223" w:lineRule="auto"/>
              <w:ind w:left="97"/>
            </w:pPr>
            <w:r>
              <w:t>1</w:t>
            </w:r>
          </w:p>
          <w:p w14:paraId="2A0CC035">
            <w:pPr>
              <w:spacing w:line="219" w:lineRule="auto"/>
              <w:ind w:left="29"/>
              <w:rPr>
                <w:rFonts w:ascii="宋体" w:hAnsi="宋体" w:eastAsia="宋体" w:cs="宋体"/>
                <w:sz w:val="21"/>
                <w:szCs w:val="21"/>
              </w:rPr>
            </w:pPr>
            <w:r>
              <w:rPr>
                <w:rFonts w:ascii="宋体" w:hAnsi="宋体" w:eastAsia="宋体" w:cs="宋体"/>
                <w:sz w:val="21"/>
                <w:szCs w:val="21"/>
              </w:rPr>
              <w:t>季</w:t>
            </w:r>
          </w:p>
          <w:p w14:paraId="37140637">
            <w:pPr>
              <w:spacing w:before="21"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B7D1956">
            <w:pPr>
              <w:pStyle w:val="6"/>
              <w:spacing w:before="65" w:line="202" w:lineRule="auto"/>
              <w:ind w:left="199"/>
            </w:pPr>
            <w:r>
              <w:rPr>
                <w:spacing w:val="-1"/>
              </w:rPr>
              <w:t>2021/3/18</w:t>
            </w:r>
          </w:p>
        </w:tc>
        <w:tc>
          <w:tcPr>
            <w:tcW w:w="880" w:type="dxa"/>
            <w:vAlign w:val="top"/>
          </w:tcPr>
          <w:p w14:paraId="33E1BE09">
            <w:pPr>
              <w:pStyle w:val="6"/>
              <w:spacing w:before="65" w:line="202" w:lineRule="auto"/>
              <w:ind w:left="267"/>
            </w:pPr>
            <w:r>
              <w:rPr>
                <w:spacing w:val="-6"/>
              </w:rPr>
              <w:t>14.8</w:t>
            </w:r>
          </w:p>
        </w:tc>
        <w:tc>
          <w:tcPr>
            <w:tcW w:w="880" w:type="dxa"/>
            <w:vAlign w:val="top"/>
          </w:tcPr>
          <w:p w14:paraId="4AE1C1DC">
            <w:pPr>
              <w:pStyle w:val="6"/>
              <w:spacing w:before="65" w:line="202" w:lineRule="auto"/>
              <w:ind w:left="257"/>
            </w:pPr>
            <w:r>
              <w:rPr>
                <w:spacing w:val="-4"/>
              </w:rPr>
              <w:t>8.26</w:t>
            </w:r>
          </w:p>
        </w:tc>
        <w:tc>
          <w:tcPr>
            <w:tcW w:w="880" w:type="dxa"/>
            <w:vAlign w:val="top"/>
          </w:tcPr>
          <w:p w14:paraId="77B9765A">
            <w:pPr>
              <w:pStyle w:val="6"/>
              <w:spacing w:before="69" w:line="186" w:lineRule="auto"/>
              <w:ind w:left="317"/>
            </w:pPr>
            <w:r>
              <w:rPr>
                <w:spacing w:val="-1"/>
              </w:rPr>
              <w:t>4L</w:t>
            </w:r>
          </w:p>
        </w:tc>
        <w:tc>
          <w:tcPr>
            <w:tcW w:w="880" w:type="dxa"/>
            <w:vAlign w:val="top"/>
          </w:tcPr>
          <w:p w14:paraId="06A234BE">
            <w:pPr>
              <w:pStyle w:val="6"/>
              <w:spacing w:before="65" w:line="202" w:lineRule="auto"/>
              <w:ind w:left="309"/>
            </w:pPr>
            <w:r>
              <w:rPr>
                <w:spacing w:val="-3"/>
              </w:rPr>
              <w:t>3.1</w:t>
            </w:r>
          </w:p>
        </w:tc>
        <w:tc>
          <w:tcPr>
            <w:tcW w:w="880" w:type="dxa"/>
            <w:vAlign w:val="top"/>
          </w:tcPr>
          <w:p w14:paraId="60C020E8">
            <w:pPr>
              <w:pStyle w:val="6"/>
              <w:spacing w:before="65" w:line="202" w:lineRule="auto"/>
              <w:ind w:left="307"/>
            </w:pPr>
            <w:r>
              <w:rPr>
                <w:spacing w:val="-2"/>
              </w:rPr>
              <w:t>2.4</w:t>
            </w:r>
          </w:p>
        </w:tc>
        <w:tc>
          <w:tcPr>
            <w:tcW w:w="880" w:type="dxa"/>
            <w:vAlign w:val="top"/>
          </w:tcPr>
          <w:p w14:paraId="6623F467">
            <w:pPr>
              <w:pStyle w:val="6"/>
              <w:spacing w:before="65" w:line="202" w:lineRule="auto"/>
              <w:ind w:left="387"/>
            </w:pPr>
            <w:r>
              <w:t>4</w:t>
            </w:r>
          </w:p>
        </w:tc>
        <w:tc>
          <w:tcPr>
            <w:tcW w:w="880" w:type="dxa"/>
            <w:vAlign w:val="top"/>
          </w:tcPr>
          <w:p w14:paraId="42C4F761">
            <w:pPr>
              <w:pStyle w:val="6"/>
              <w:spacing w:before="65" w:line="202" w:lineRule="auto"/>
              <w:ind w:left="314"/>
            </w:pPr>
            <w:r>
              <w:rPr>
                <w:spacing w:val="-3"/>
              </w:rPr>
              <w:t>0.8</w:t>
            </w:r>
          </w:p>
        </w:tc>
        <w:tc>
          <w:tcPr>
            <w:tcW w:w="880" w:type="dxa"/>
            <w:vAlign w:val="top"/>
          </w:tcPr>
          <w:p w14:paraId="53DB6F14">
            <w:pPr>
              <w:pStyle w:val="6"/>
              <w:spacing w:before="65" w:line="202" w:lineRule="auto"/>
              <w:ind w:left="212"/>
            </w:pPr>
            <w:r>
              <w:rPr>
                <w:spacing w:val="-2"/>
              </w:rPr>
              <w:t>0.141</w:t>
            </w:r>
          </w:p>
        </w:tc>
        <w:tc>
          <w:tcPr>
            <w:tcW w:w="880" w:type="dxa"/>
            <w:vAlign w:val="top"/>
          </w:tcPr>
          <w:p w14:paraId="5D003390">
            <w:pPr>
              <w:pStyle w:val="6"/>
              <w:spacing w:before="65" w:line="202" w:lineRule="auto"/>
              <w:ind w:left="266"/>
            </w:pPr>
            <w:r>
              <w:rPr>
                <w:spacing w:val="-2"/>
              </w:rPr>
              <w:t>0.03</w:t>
            </w:r>
          </w:p>
        </w:tc>
        <w:tc>
          <w:tcPr>
            <w:tcW w:w="880" w:type="dxa"/>
            <w:vAlign w:val="top"/>
          </w:tcPr>
          <w:p w14:paraId="5461719F">
            <w:pPr>
              <w:pStyle w:val="6"/>
              <w:spacing w:before="65" w:line="202" w:lineRule="auto"/>
              <w:ind w:left="204"/>
            </w:pPr>
            <w:r>
              <w:rPr>
                <w:spacing w:val="-2"/>
              </w:rPr>
              <w:t>0.01L</w:t>
            </w:r>
          </w:p>
        </w:tc>
        <w:tc>
          <w:tcPr>
            <w:tcW w:w="881" w:type="dxa"/>
            <w:vAlign w:val="top"/>
          </w:tcPr>
          <w:p w14:paraId="3C140566">
            <w:pPr>
              <w:pStyle w:val="6"/>
              <w:spacing w:before="65" w:line="202" w:lineRule="auto"/>
              <w:ind w:left="206"/>
            </w:pPr>
            <w:r>
              <w:rPr>
                <w:spacing w:val="-2"/>
              </w:rPr>
              <w:t>0.05L</w:t>
            </w:r>
          </w:p>
        </w:tc>
        <w:tc>
          <w:tcPr>
            <w:tcW w:w="894" w:type="dxa"/>
            <w:tcBorders>
              <w:right w:val="single" w:color="000000" w:sz="12" w:space="0"/>
            </w:tcBorders>
            <w:vAlign w:val="top"/>
          </w:tcPr>
          <w:p w14:paraId="426E2812">
            <w:pPr>
              <w:pStyle w:val="6"/>
              <w:spacing w:before="65" w:line="202" w:lineRule="auto"/>
              <w:ind w:left="350"/>
            </w:pPr>
            <w:r>
              <w:rPr>
                <w:spacing w:val="-2"/>
              </w:rPr>
              <w:t>70</w:t>
            </w:r>
          </w:p>
        </w:tc>
      </w:tr>
      <w:tr w14:paraId="1F39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2A2A4DC9">
            <w:pPr>
              <w:rPr>
                <w:rFonts w:ascii="Arial"/>
                <w:sz w:val="21"/>
              </w:rPr>
            </w:pPr>
          </w:p>
        </w:tc>
        <w:tc>
          <w:tcPr>
            <w:tcW w:w="285" w:type="dxa"/>
            <w:vMerge w:val="continue"/>
            <w:tcBorders>
              <w:top w:val="nil"/>
              <w:bottom w:val="nil"/>
            </w:tcBorders>
            <w:vAlign w:val="top"/>
          </w:tcPr>
          <w:p w14:paraId="02E3FC05">
            <w:pPr>
              <w:rPr>
                <w:rFonts w:ascii="Arial"/>
                <w:sz w:val="21"/>
              </w:rPr>
            </w:pPr>
          </w:p>
        </w:tc>
        <w:tc>
          <w:tcPr>
            <w:tcW w:w="1273" w:type="dxa"/>
            <w:vAlign w:val="top"/>
          </w:tcPr>
          <w:p w14:paraId="0BD2D6A0">
            <w:pPr>
              <w:pStyle w:val="6"/>
              <w:spacing w:before="67" w:line="200" w:lineRule="auto"/>
              <w:ind w:left="199"/>
            </w:pPr>
            <w:r>
              <w:rPr>
                <w:spacing w:val="-1"/>
              </w:rPr>
              <w:t>2021/3/19</w:t>
            </w:r>
          </w:p>
        </w:tc>
        <w:tc>
          <w:tcPr>
            <w:tcW w:w="880" w:type="dxa"/>
            <w:vAlign w:val="top"/>
          </w:tcPr>
          <w:p w14:paraId="00122DF2">
            <w:pPr>
              <w:pStyle w:val="6"/>
              <w:spacing w:before="67" w:line="200" w:lineRule="auto"/>
              <w:ind w:left="267"/>
            </w:pPr>
            <w:r>
              <w:rPr>
                <w:spacing w:val="-6"/>
              </w:rPr>
              <w:t>14.6</w:t>
            </w:r>
          </w:p>
        </w:tc>
        <w:tc>
          <w:tcPr>
            <w:tcW w:w="880" w:type="dxa"/>
            <w:vAlign w:val="top"/>
          </w:tcPr>
          <w:p w14:paraId="163E1571">
            <w:pPr>
              <w:pStyle w:val="6"/>
              <w:spacing w:before="67" w:line="200" w:lineRule="auto"/>
              <w:ind w:left="257"/>
            </w:pPr>
            <w:r>
              <w:rPr>
                <w:spacing w:val="-4"/>
              </w:rPr>
              <w:t>8.20</w:t>
            </w:r>
          </w:p>
        </w:tc>
        <w:tc>
          <w:tcPr>
            <w:tcW w:w="880" w:type="dxa"/>
            <w:vAlign w:val="top"/>
          </w:tcPr>
          <w:p w14:paraId="550E21F4">
            <w:pPr>
              <w:pStyle w:val="6"/>
              <w:spacing w:before="71" w:line="186" w:lineRule="auto"/>
              <w:ind w:left="317"/>
            </w:pPr>
            <w:r>
              <w:rPr>
                <w:spacing w:val="-1"/>
              </w:rPr>
              <w:t>4L</w:t>
            </w:r>
          </w:p>
        </w:tc>
        <w:tc>
          <w:tcPr>
            <w:tcW w:w="880" w:type="dxa"/>
            <w:vAlign w:val="top"/>
          </w:tcPr>
          <w:p w14:paraId="78D3DF3D">
            <w:pPr>
              <w:pStyle w:val="6"/>
              <w:spacing w:before="67" w:line="200" w:lineRule="auto"/>
              <w:ind w:left="309"/>
            </w:pPr>
            <w:r>
              <w:rPr>
                <w:spacing w:val="-3"/>
              </w:rPr>
              <w:t>3.3</w:t>
            </w:r>
          </w:p>
        </w:tc>
        <w:tc>
          <w:tcPr>
            <w:tcW w:w="880" w:type="dxa"/>
            <w:vAlign w:val="top"/>
          </w:tcPr>
          <w:p w14:paraId="77A25111">
            <w:pPr>
              <w:pStyle w:val="6"/>
              <w:spacing w:before="67" w:line="200" w:lineRule="auto"/>
              <w:ind w:left="307"/>
            </w:pPr>
            <w:r>
              <w:rPr>
                <w:spacing w:val="-2"/>
              </w:rPr>
              <w:t>2.1</w:t>
            </w:r>
          </w:p>
        </w:tc>
        <w:tc>
          <w:tcPr>
            <w:tcW w:w="880" w:type="dxa"/>
            <w:vAlign w:val="top"/>
          </w:tcPr>
          <w:p w14:paraId="49A1BE4E">
            <w:pPr>
              <w:pStyle w:val="6"/>
              <w:spacing w:before="67" w:line="200" w:lineRule="auto"/>
              <w:ind w:left="393"/>
            </w:pPr>
            <w:r>
              <w:t>6</w:t>
            </w:r>
          </w:p>
        </w:tc>
        <w:tc>
          <w:tcPr>
            <w:tcW w:w="880" w:type="dxa"/>
            <w:vAlign w:val="top"/>
          </w:tcPr>
          <w:p w14:paraId="304D044A">
            <w:pPr>
              <w:pStyle w:val="6"/>
              <w:spacing w:before="67" w:line="200" w:lineRule="auto"/>
              <w:ind w:left="331"/>
            </w:pPr>
            <w:r>
              <w:rPr>
                <w:spacing w:val="-8"/>
              </w:rPr>
              <w:t>1.2</w:t>
            </w:r>
          </w:p>
        </w:tc>
        <w:tc>
          <w:tcPr>
            <w:tcW w:w="880" w:type="dxa"/>
            <w:vAlign w:val="top"/>
          </w:tcPr>
          <w:p w14:paraId="3C2B2362">
            <w:pPr>
              <w:pStyle w:val="6"/>
              <w:spacing w:before="67" w:line="200" w:lineRule="auto"/>
              <w:ind w:left="212"/>
            </w:pPr>
            <w:r>
              <w:rPr>
                <w:spacing w:val="-2"/>
              </w:rPr>
              <w:t>0.137</w:t>
            </w:r>
          </w:p>
        </w:tc>
        <w:tc>
          <w:tcPr>
            <w:tcW w:w="880" w:type="dxa"/>
            <w:vAlign w:val="top"/>
          </w:tcPr>
          <w:p w14:paraId="7E19A177">
            <w:pPr>
              <w:pStyle w:val="6"/>
              <w:spacing w:before="67" w:line="200" w:lineRule="auto"/>
              <w:ind w:left="266"/>
            </w:pPr>
            <w:r>
              <w:rPr>
                <w:spacing w:val="-2"/>
              </w:rPr>
              <w:t>0.04</w:t>
            </w:r>
          </w:p>
        </w:tc>
        <w:tc>
          <w:tcPr>
            <w:tcW w:w="880" w:type="dxa"/>
            <w:vAlign w:val="top"/>
          </w:tcPr>
          <w:p w14:paraId="231B7CD1">
            <w:pPr>
              <w:pStyle w:val="6"/>
              <w:spacing w:before="67" w:line="200" w:lineRule="auto"/>
              <w:ind w:left="204"/>
            </w:pPr>
            <w:r>
              <w:rPr>
                <w:spacing w:val="-2"/>
              </w:rPr>
              <w:t>0.01L</w:t>
            </w:r>
          </w:p>
        </w:tc>
        <w:tc>
          <w:tcPr>
            <w:tcW w:w="881" w:type="dxa"/>
            <w:vAlign w:val="top"/>
          </w:tcPr>
          <w:p w14:paraId="57C7BCCC">
            <w:pPr>
              <w:pStyle w:val="6"/>
              <w:spacing w:before="67" w:line="200" w:lineRule="auto"/>
              <w:ind w:left="206"/>
            </w:pPr>
            <w:r>
              <w:rPr>
                <w:spacing w:val="-2"/>
              </w:rPr>
              <w:t>0.05L</w:t>
            </w:r>
          </w:p>
        </w:tc>
        <w:tc>
          <w:tcPr>
            <w:tcW w:w="894" w:type="dxa"/>
            <w:tcBorders>
              <w:right w:val="single" w:color="000000" w:sz="12" w:space="0"/>
            </w:tcBorders>
            <w:vAlign w:val="top"/>
          </w:tcPr>
          <w:p w14:paraId="60415095">
            <w:pPr>
              <w:pStyle w:val="6"/>
              <w:spacing w:before="67" w:line="200" w:lineRule="auto"/>
              <w:ind w:left="351"/>
            </w:pPr>
            <w:r>
              <w:rPr>
                <w:spacing w:val="-3"/>
              </w:rPr>
              <w:t>60</w:t>
            </w:r>
          </w:p>
        </w:tc>
      </w:tr>
      <w:tr w14:paraId="4C3F5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C2A7A3F">
            <w:pPr>
              <w:rPr>
                <w:rFonts w:ascii="Arial"/>
                <w:sz w:val="21"/>
              </w:rPr>
            </w:pPr>
          </w:p>
        </w:tc>
        <w:tc>
          <w:tcPr>
            <w:tcW w:w="285" w:type="dxa"/>
            <w:vMerge w:val="continue"/>
            <w:tcBorders>
              <w:top w:val="nil"/>
            </w:tcBorders>
            <w:vAlign w:val="top"/>
          </w:tcPr>
          <w:p w14:paraId="45AEF042">
            <w:pPr>
              <w:rPr>
                <w:rFonts w:ascii="Arial"/>
                <w:sz w:val="21"/>
              </w:rPr>
            </w:pPr>
          </w:p>
        </w:tc>
        <w:tc>
          <w:tcPr>
            <w:tcW w:w="1273" w:type="dxa"/>
            <w:vAlign w:val="top"/>
          </w:tcPr>
          <w:p w14:paraId="51C16F8F">
            <w:pPr>
              <w:pStyle w:val="6"/>
              <w:spacing w:before="68" w:line="199" w:lineRule="auto"/>
              <w:ind w:left="199"/>
            </w:pPr>
            <w:r>
              <w:rPr>
                <w:spacing w:val="-1"/>
              </w:rPr>
              <w:t>2021/3/20</w:t>
            </w:r>
          </w:p>
        </w:tc>
        <w:tc>
          <w:tcPr>
            <w:tcW w:w="880" w:type="dxa"/>
            <w:vAlign w:val="top"/>
          </w:tcPr>
          <w:p w14:paraId="5DD697D6">
            <w:pPr>
              <w:pStyle w:val="6"/>
              <w:spacing w:before="68" w:line="199" w:lineRule="auto"/>
              <w:ind w:left="267"/>
            </w:pPr>
            <w:r>
              <w:rPr>
                <w:spacing w:val="-6"/>
              </w:rPr>
              <w:t>15.1</w:t>
            </w:r>
          </w:p>
        </w:tc>
        <w:tc>
          <w:tcPr>
            <w:tcW w:w="880" w:type="dxa"/>
            <w:vAlign w:val="top"/>
          </w:tcPr>
          <w:p w14:paraId="4A31378E">
            <w:pPr>
              <w:pStyle w:val="6"/>
              <w:spacing w:before="68" w:line="199" w:lineRule="auto"/>
              <w:ind w:left="257"/>
            </w:pPr>
            <w:r>
              <w:rPr>
                <w:spacing w:val="-4"/>
              </w:rPr>
              <w:t>8.17</w:t>
            </w:r>
          </w:p>
        </w:tc>
        <w:tc>
          <w:tcPr>
            <w:tcW w:w="880" w:type="dxa"/>
            <w:vAlign w:val="top"/>
          </w:tcPr>
          <w:p w14:paraId="48FBFD86">
            <w:pPr>
              <w:pStyle w:val="6"/>
              <w:spacing w:before="72" w:line="186" w:lineRule="auto"/>
              <w:ind w:left="317"/>
            </w:pPr>
            <w:r>
              <w:rPr>
                <w:spacing w:val="-1"/>
              </w:rPr>
              <w:t>4L</w:t>
            </w:r>
          </w:p>
        </w:tc>
        <w:tc>
          <w:tcPr>
            <w:tcW w:w="880" w:type="dxa"/>
            <w:vAlign w:val="top"/>
          </w:tcPr>
          <w:p w14:paraId="1673F830">
            <w:pPr>
              <w:pStyle w:val="6"/>
              <w:spacing w:before="68" w:line="199" w:lineRule="auto"/>
              <w:ind w:left="305"/>
            </w:pPr>
            <w:r>
              <w:rPr>
                <w:spacing w:val="-2"/>
              </w:rPr>
              <w:t>2.9</w:t>
            </w:r>
          </w:p>
        </w:tc>
        <w:tc>
          <w:tcPr>
            <w:tcW w:w="880" w:type="dxa"/>
            <w:vAlign w:val="top"/>
          </w:tcPr>
          <w:p w14:paraId="6446ECD4">
            <w:pPr>
              <w:pStyle w:val="6"/>
              <w:spacing w:before="68" w:line="199" w:lineRule="auto"/>
              <w:ind w:left="307"/>
            </w:pPr>
            <w:r>
              <w:rPr>
                <w:spacing w:val="-2"/>
              </w:rPr>
              <w:t>2.3</w:t>
            </w:r>
          </w:p>
        </w:tc>
        <w:tc>
          <w:tcPr>
            <w:tcW w:w="880" w:type="dxa"/>
            <w:vAlign w:val="top"/>
          </w:tcPr>
          <w:p w14:paraId="360133BA">
            <w:pPr>
              <w:pStyle w:val="6"/>
              <w:spacing w:before="68" w:line="199" w:lineRule="auto"/>
              <w:ind w:left="394"/>
            </w:pPr>
            <w:r>
              <w:t>5</w:t>
            </w:r>
          </w:p>
        </w:tc>
        <w:tc>
          <w:tcPr>
            <w:tcW w:w="880" w:type="dxa"/>
            <w:vAlign w:val="top"/>
          </w:tcPr>
          <w:p w14:paraId="3B5AD093">
            <w:pPr>
              <w:pStyle w:val="6"/>
              <w:spacing w:before="68" w:line="199" w:lineRule="auto"/>
              <w:ind w:left="331"/>
            </w:pPr>
            <w:r>
              <w:rPr>
                <w:spacing w:val="-8"/>
              </w:rPr>
              <w:t>1.1</w:t>
            </w:r>
          </w:p>
        </w:tc>
        <w:tc>
          <w:tcPr>
            <w:tcW w:w="880" w:type="dxa"/>
            <w:vAlign w:val="top"/>
          </w:tcPr>
          <w:p w14:paraId="6868E300">
            <w:pPr>
              <w:pStyle w:val="6"/>
              <w:spacing w:before="68" w:line="199" w:lineRule="auto"/>
              <w:ind w:left="212"/>
            </w:pPr>
            <w:r>
              <w:rPr>
                <w:spacing w:val="-2"/>
              </w:rPr>
              <w:t>0.145</w:t>
            </w:r>
          </w:p>
        </w:tc>
        <w:tc>
          <w:tcPr>
            <w:tcW w:w="880" w:type="dxa"/>
            <w:vAlign w:val="top"/>
          </w:tcPr>
          <w:p w14:paraId="16245AB7">
            <w:pPr>
              <w:pStyle w:val="6"/>
              <w:spacing w:before="68" w:line="199" w:lineRule="auto"/>
              <w:ind w:left="266"/>
            </w:pPr>
            <w:r>
              <w:rPr>
                <w:spacing w:val="-2"/>
              </w:rPr>
              <w:t>0.03</w:t>
            </w:r>
          </w:p>
        </w:tc>
        <w:tc>
          <w:tcPr>
            <w:tcW w:w="880" w:type="dxa"/>
            <w:vAlign w:val="top"/>
          </w:tcPr>
          <w:p w14:paraId="79122A56">
            <w:pPr>
              <w:pStyle w:val="6"/>
              <w:spacing w:before="68" w:line="199" w:lineRule="auto"/>
              <w:ind w:left="204"/>
            </w:pPr>
            <w:r>
              <w:rPr>
                <w:spacing w:val="-2"/>
              </w:rPr>
              <w:t>0.01L</w:t>
            </w:r>
          </w:p>
        </w:tc>
        <w:tc>
          <w:tcPr>
            <w:tcW w:w="881" w:type="dxa"/>
            <w:vAlign w:val="top"/>
          </w:tcPr>
          <w:p w14:paraId="259708AD">
            <w:pPr>
              <w:pStyle w:val="6"/>
              <w:spacing w:before="68" w:line="199" w:lineRule="auto"/>
              <w:ind w:left="206"/>
            </w:pPr>
            <w:r>
              <w:rPr>
                <w:spacing w:val="-2"/>
              </w:rPr>
              <w:t>0.05L</w:t>
            </w:r>
          </w:p>
        </w:tc>
        <w:tc>
          <w:tcPr>
            <w:tcW w:w="894" w:type="dxa"/>
            <w:tcBorders>
              <w:right w:val="single" w:color="000000" w:sz="12" w:space="0"/>
            </w:tcBorders>
            <w:vAlign w:val="top"/>
          </w:tcPr>
          <w:p w14:paraId="145B5DC8">
            <w:pPr>
              <w:pStyle w:val="6"/>
              <w:spacing w:before="68" w:line="199" w:lineRule="auto"/>
              <w:ind w:left="355"/>
            </w:pPr>
            <w:r>
              <w:rPr>
                <w:spacing w:val="-4"/>
              </w:rPr>
              <w:t>80</w:t>
            </w:r>
          </w:p>
        </w:tc>
      </w:tr>
      <w:tr w14:paraId="3C64B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00969FB">
            <w:pPr>
              <w:rPr>
                <w:rFonts w:ascii="Arial"/>
                <w:sz w:val="21"/>
              </w:rPr>
            </w:pPr>
          </w:p>
        </w:tc>
        <w:tc>
          <w:tcPr>
            <w:tcW w:w="285" w:type="dxa"/>
            <w:vMerge w:val="restart"/>
            <w:tcBorders>
              <w:bottom w:val="nil"/>
            </w:tcBorders>
            <w:vAlign w:val="top"/>
          </w:tcPr>
          <w:p w14:paraId="455C3527">
            <w:pPr>
              <w:pStyle w:val="6"/>
              <w:spacing w:before="89" w:line="222" w:lineRule="auto"/>
              <w:ind w:left="77"/>
            </w:pPr>
            <w:r>
              <w:t>2</w:t>
            </w:r>
          </w:p>
          <w:p w14:paraId="4E3B3566">
            <w:pPr>
              <w:spacing w:line="219" w:lineRule="auto"/>
              <w:ind w:left="29"/>
              <w:rPr>
                <w:rFonts w:ascii="宋体" w:hAnsi="宋体" w:eastAsia="宋体" w:cs="宋体"/>
                <w:sz w:val="21"/>
                <w:szCs w:val="21"/>
              </w:rPr>
            </w:pPr>
            <w:r>
              <w:rPr>
                <w:rFonts w:ascii="宋体" w:hAnsi="宋体" w:eastAsia="宋体" w:cs="宋体"/>
                <w:sz w:val="21"/>
                <w:szCs w:val="21"/>
              </w:rPr>
              <w:t>季</w:t>
            </w:r>
          </w:p>
          <w:p w14:paraId="27B9065E">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9FD3FF2">
            <w:pPr>
              <w:pStyle w:val="6"/>
              <w:spacing w:before="69" w:line="198" w:lineRule="auto"/>
              <w:ind w:left="252"/>
            </w:pPr>
            <w:r>
              <w:rPr>
                <w:spacing w:val="-1"/>
              </w:rPr>
              <w:t>2021/6/3</w:t>
            </w:r>
          </w:p>
        </w:tc>
        <w:tc>
          <w:tcPr>
            <w:tcW w:w="880" w:type="dxa"/>
            <w:vAlign w:val="top"/>
          </w:tcPr>
          <w:p w14:paraId="06A274C5">
            <w:pPr>
              <w:pStyle w:val="6"/>
              <w:spacing w:before="69" w:line="198" w:lineRule="auto"/>
              <w:ind w:left="267"/>
            </w:pPr>
            <w:r>
              <w:rPr>
                <w:spacing w:val="-6"/>
              </w:rPr>
              <w:t>15.0</w:t>
            </w:r>
          </w:p>
        </w:tc>
        <w:tc>
          <w:tcPr>
            <w:tcW w:w="880" w:type="dxa"/>
            <w:vAlign w:val="top"/>
          </w:tcPr>
          <w:p w14:paraId="060C4870">
            <w:pPr>
              <w:pStyle w:val="6"/>
              <w:spacing w:before="69" w:line="198" w:lineRule="auto"/>
              <w:ind w:left="309"/>
            </w:pPr>
            <w:r>
              <w:rPr>
                <w:spacing w:val="-5"/>
              </w:rPr>
              <w:t>8.2</w:t>
            </w:r>
          </w:p>
        </w:tc>
        <w:tc>
          <w:tcPr>
            <w:tcW w:w="880" w:type="dxa"/>
            <w:vAlign w:val="top"/>
          </w:tcPr>
          <w:p w14:paraId="7E16E529">
            <w:pPr>
              <w:pStyle w:val="6"/>
              <w:spacing w:before="74" w:line="186" w:lineRule="auto"/>
              <w:ind w:left="317"/>
            </w:pPr>
            <w:r>
              <w:rPr>
                <w:spacing w:val="-1"/>
              </w:rPr>
              <w:t>4L</w:t>
            </w:r>
          </w:p>
        </w:tc>
        <w:tc>
          <w:tcPr>
            <w:tcW w:w="880" w:type="dxa"/>
            <w:vAlign w:val="top"/>
          </w:tcPr>
          <w:p w14:paraId="720B56F5">
            <w:pPr>
              <w:pStyle w:val="6"/>
              <w:spacing w:before="69" w:line="198" w:lineRule="auto"/>
              <w:ind w:left="310"/>
            </w:pPr>
            <w:r>
              <w:rPr>
                <w:spacing w:val="-4"/>
              </w:rPr>
              <w:t>5.9</w:t>
            </w:r>
          </w:p>
        </w:tc>
        <w:tc>
          <w:tcPr>
            <w:tcW w:w="880" w:type="dxa"/>
            <w:vAlign w:val="top"/>
          </w:tcPr>
          <w:p w14:paraId="235BA3BD">
            <w:pPr>
              <w:pStyle w:val="6"/>
              <w:spacing w:before="69" w:line="198" w:lineRule="auto"/>
              <w:ind w:left="311"/>
            </w:pPr>
            <w:r>
              <w:rPr>
                <w:spacing w:val="-3"/>
              </w:rPr>
              <w:t>3.8</w:t>
            </w:r>
          </w:p>
        </w:tc>
        <w:tc>
          <w:tcPr>
            <w:tcW w:w="880" w:type="dxa"/>
            <w:vAlign w:val="top"/>
          </w:tcPr>
          <w:p w14:paraId="5E6ACD41">
            <w:pPr>
              <w:pStyle w:val="6"/>
              <w:spacing w:before="69" w:line="198" w:lineRule="auto"/>
              <w:ind w:left="392"/>
            </w:pPr>
            <w:r>
              <w:t>9</w:t>
            </w:r>
          </w:p>
        </w:tc>
        <w:tc>
          <w:tcPr>
            <w:tcW w:w="880" w:type="dxa"/>
            <w:vAlign w:val="top"/>
          </w:tcPr>
          <w:p w14:paraId="6055E846">
            <w:pPr>
              <w:pStyle w:val="6"/>
              <w:spacing w:before="69" w:line="198" w:lineRule="auto"/>
              <w:ind w:left="331"/>
            </w:pPr>
            <w:r>
              <w:rPr>
                <w:spacing w:val="-8"/>
              </w:rPr>
              <w:t>1.6</w:t>
            </w:r>
          </w:p>
        </w:tc>
        <w:tc>
          <w:tcPr>
            <w:tcW w:w="880" w:type="dxa"/>
            <w:vAlign w:val="top"/>
          </w:tcPr>
          <w:p w14:paraId="5920026E">
            <w:pPr>
              <w:pStyle w:val="6"/>
              <w:spacing w:before="69" w:line="198" w:lineRule="auto"/>
              <w:ind w:left="212"/>
            </w:pPr>
            <w:r>
              <w:rPr>
                <w:spacing w:val="-2"/>
              </w:rPr>
              <w:t>0.230</w:t>
            </w:r>
          </w:p>
        </w:tc>
        <w:tc>
          <w:tcPr>
            <w:tcW w:w="880" w:type="dxa"/>
            <w:vAlign w:val="top"/>
          </w:tcPr>
          <w:p w14:paraId="25DF9D89">
            <w:pPr>
              <w:pStyle w:val="6"/>
              <w:spacing w:before="69" w:line="198" w:lineRule="auto"/>
              <w:ind w:left="266"/>
            </w:pPr>
            <w:r>
              <w:rPr>
                <w:spacing w:val="-2"/>
              </w:rPr>
              <w:t>0.03</w:t>
            </w:r>
          </w:p>
        </w:tc>
        <w:tc>
          <w:tcPr>
            <w:tcW w:w="880" w:type="dxa"/>
            <w:vAlign w:val="top"/>
          </w:tcPr>
          <w:p w14:paraId="3B3D3A50">
            <w:pPr>
              <w:pStyle w:val="6"/>
              <w:spacing w:before="69" w:line="198" w:lineRule="auto"/>
              <w:ind w:left="268"/>
            </w:pPr>
            <w:r>
              <w:rPr>
                <w:spacing w:val="-2"/>
              </w:rPr>
              <w:t>0.01</w:t>
            </w:r>
          </w:p>
        </w:tc>
        <w:tc>
          <w:tcPr>
            <w:tcW w:w="881" w:type="dxa"/>
            <w:vAlign w:val="top"/>
          </w:tcPr>
          <w:p w14:paraId="5BD8291C">
            <w:pPr>
              <w:pStyle w:val="6"/>
              <w:spacing w:before="69" w:line="198" w:lineRule="auto"/>
              <w:ind w:left="206"/>
            </w:pPr>
            <w:r>
              <w:rPr>
                <w:spacing w:val="-2"/>
              </w:rPr>
              <w:t>0.05L</w:t>
            </w:r>
          </w:p>
        </w:tc>
        <w:tc>
          <w:tcPr>
            <w:tcW w:w="894" w:type="dxa"/>
            <w:tcBorders>
              <w:right w:val="single" w:color="000000" w:sz="12" w:space="0"/>
            </w:tcBorders>
            <w:vAlign w:val="top"/>
          </w:tcPr>
          <w:p w14:paraId="2388379D">
            <w:pPr>
              <w:pStyle w:val="6"/>
              <w:spacing w:before="69" w:line="198" w:lineRule="auto"/>
              <w:ind w:left="295"/>
            </w:pPr>
            <w:r>
              <w:rPr>
                <w:spacing w:val="-1"/>
              </w:rPr>
              <w:t>220</w:t>
            </w:r>
          </w:p>
        </w:tc>
      </w:tr>
      <w:tr w14:paraId="635B0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6505400">
            <w:pPr>
              <w:rPr>
                <w:rFonts w:ascii="Arial"/>
                <w:sz w:val="21"/>
              </w:rPr>
            </w:pPr>
          </w:p>
        </w:tc>
        <w:tc>
          <w:tcPr>
            <w:tcW w:w="285" w:type="dxa"/>
            <w:vMerge w:val="continue"/>
            <w:tcBorders>
              <w:top w:val="nil"/>
              <w:bottom w:val="nil"/>
            </w:tcBorders>
            <w:vAlign w:val="top"/>
          </w:tcPr>
          <w:p w14:paraId="456E26EA">
            <w:pPr>
              <w:rPr>
                <w:rFonts w:ascii="Arial"/>
                <w:sz w:val="21"/>
              </w:rPr>
            </w:pPr>
          </w:p>
        </w:tc>
        <w:tc>
          <w:tcPr>
            <w:tcW w:w="1273" w:type="dxa"/>
            <w:vAlign w:val="top"/>
          </w:tcPr>
          <w:p w14:paraId="14F8ED50">
            <w:pPr>
              <w:pStyle w:val="6"/>
              <w:spacing w:before="71" w:line="196" w:lineRule="auto"/>
              <w:ind w:left="252"/>
            </w:pPr>
            <w:r>
              <w:rPr>
                <w:spacing w:val="-1"/>
              </w:rPr>
              <w:t>2021/6/4</w:t>
            </w:r>
          </w:p>
        </w:tc>
        <w:tc>
          <w:tcPr>
            <w:tcW w:w="880" w:type="dxa"/>
            <w:vAlign w:val="top"/>
          </w:tcPr>
          <w:p w14:paraId="3119CA7D">
            <w:pPr>
              <w:pStyle w:val="6"/>
              <w:spacing w:before="71" w:line="196" w:lineRule="auto"/>
              <w:ind w:left="267"/>
            </w:pPr>
            <w:r>
              <w:rPr>
                <w:spacing w:val="-6"/>
              </w:rPr>
              <w:t>14.8</w:t>
            </w:r>
          </w:p>
        </w:tc>
        <w:tc>
          <w:tcPr>
            <w:tcW w:w="880" w:type="dxa"/>
            <w:vAlign w:val="top"/>
          </w:tcPr>
          <w:p w14:paraId="32D30700">
            <w:pPr>
              <w:pStyle w:val="6"/>
              <w:spacing w:before="71" w:line="196" w:lineRule="auto"/>
              <w:ind w:left="309"/>
            </w:pPr>
            <w:r>
              <w:rPr>
                <w:spacing w:val="-5"/>
              </w:rPr>
              <w:t>8.3</w:t>
            </w:r>
          </w:p>
        </w:tc>
        <w:tc>
          <w:tcPr>
            <w:tcW w:w="880" w:type="dxa"/>
            <w:vAlign w:val="top"/>
          </w:tcPr>
          <w:p w14:paraId="3FBDB72C">
            <w:pPr>
              <w:pStyle w:val="6"/>
              <w:spacing w:before="75" w:line="186" w:lineRule="auto"/>
              <w:ind w:left="317"/>
            </w:pPr>
            <w:r>
              <w:rPr>
                <w:spacing w:val="-1"/>
              </w:rPr>
              <w:t>4L</w:t>
            </w:r>
          </w:p>
        </w:tc>
        <w:tc>
          <w:tcPr>
            <w:tcW w:w="880" w:type="dxa"/>
            <w:vAlign w:val="top"/>
          </w:tcPr>
          <w:p w14:paraId="5593190B">
            <w:pPr>
              <w:pStyle w:val="6"/>
              <w:spacing w:before="71" w:line="196" w:lineRule="auto"/>
              <w:ind w:left="310"/>
            </w:pPr>
            <w:r>
              <w:rPr>
                <w:spacing w:val="-4"/>
              </w:rPr>
              <w:t>5.6</w:t>
            </w:r>
          </w:p>
        </w:tc>
        <w:tc>
          <w:tcPr>
            <w:tcW w:w="880" w:type="dxa"/>
            <w:vAlign w:val="top"/>
          </w:tcPr>
          <w:p w14:paraId="1476588D">
            <w:pPr>
              <w:pStyle w:val="6"/>
              <w:spacing w:before="71" w:line="196" w:lineRule="auto"/>
              <w:ind w:left="311"/>
            </w:pPr>
            <w:r>
              <w:rPr>
                <w:spacing w:val="-3"/>
              </w:rPr>
              <w:t>3.6</w:t>
            </w:r>
          </w:p>
        </w:tc>
        <w:tc>
          <w:tcPr>
            <w:tcW w:w="880" w:type="dxa"/>
            <w:vAlign w:val="top"/>
          </w:tcPr>
          <w:p w14:paraId="7B2D4C2F">
            <w:pPr>
              <w:pStyle w:val="6"/>
              <w:spacing w:before="71" w:line="196" w:lineRule="auto"/>
              <w:ind w:left="393"/>
            </w:pPr>
            <w:r>
              <w:t>6</w:t>
            </w:r>
          </w:p>
        </w:tc>
        <w:tc>
          <w:tcPr>
            <w:tcW w:w="880" w:type="dxa"/>
            <w:vAlign w:val="top"/>
          </w:tcPr>
          <w:p w14:paraId="799BC2FE">
            <w:pPr>
              <w:pStyle w:val="6"/>
              <w:spacing w:before="71" w:line="196" w:lineRule="auto"/>
              <w:ind w:left="331"/>
            </w:pPr>
            <w:r>
              <w:rPr>
                <w:spacing w:val="-8"/>
              </w:rPr>
              <w:t>1.9</w:t>
            </w:r>
          </w:p>
        </w:tc>
        <w:tc>
          <w:tcPr>
            <w:tcW w:w="880" w:type="dxa"/>
            <w:vAlign w:val="top"/>
          </w:tcPr>
          <w:p w14:paraId="6564E57A">
            <w:pPr>
              <w:pStyle w:val="6"/>
              <w:spacing w:before="71" w:line="196" w:lineRule="auto"/>
              <w:ind w:left="212"/>
            </w:pPr>
            <w:r>
              <w:rPr>
                <w:spacing w:val="-2"/>
              </w:rPr>
              <w:t>0.222</w:t>
            </w:r>
          </w:p>
        </w:tc>
        <w:tc>
          <w:tcPr>
            <w:tcW w:w="880" w:type="dxa"/>
            <w:vAlign w:val="top"/>
          </w:tcPr>
          <w:p w14:paraId="308254B2">
            <w:pPr>
              <w:pStyle w:val="6"/>
              <w:spacing w:before="71" w:line="196" w:lineRule="auto"/>
              <w:ind w:left="266"/>
            </w:pPr>
            <w:r>
              <w:rPr>
                <w:spacing w:val="-2"/>
              </w:rPr>
              <w:t>0.02</w:t>
            </w:r>
          </w:p>
        </w:tc>
        <w:tc>
          <w:tcPr>
            <w:tcW w:w="880" w:type="dxa"/>
            <w:vAlign w:val="top"/>
          </w:tcPr>
          <w:p w14:paraId="097A1AB6">
            <w:pPr>
              <w:pStyle w:val="6"/>
              <w:spacing w:before="71" w:line="196" w:lineRule="auto"/>
              <w:ind w:left="268"/>
            </w:pPr>
            <w:r>
              <w:rPr>
                <w:spacing w:val="-2"/>
              </w:rPr>
              <w:t>0.02</w:t>
            </w:r>
          </w:p>
        </w:tc>
        <w:tc>
          <w:tcPr>
            <w:tcW w:w="881" w:type="dxa"/>
            <w:vAlign w:val="top"/>
          </w:tcPr>
          <w:p w14:paraId="19E7D8F1">
            <w:pPr>
              <w:pStyle w:val="6"/>
              <w:spacing w:before="71" w:line="196" w:lineRule="auto"/>
              <w:ind w:left="206"/>
            </w:pPr>
            <w:r>
              <w:rPr>
                <w:spacing w:val="-2"/>
              </w:rPr>
              <w:t>0.05L</w:t>
            </w:r>
          </w:p>
        </w:tc>
        <w:tc>
          <w:tcPr>
            <w:tcW w:w="894" w:type="dxa"/>
            <w:tcBorders>
              <w:right w:val="single" w:color="000000" w:sz="12" w:space="0"/>
            </w:tcBorders>
            <w:vAlign w:val="top"/>
          </w:tcPr>
          <w:p w14:paraId="5D015852">
            <w:pPr>
              <w:pStyle w:val="6"/>
              <w:spacing w:before="71" w:line="196" w:lineRule="auto"/>
              <w:ind w:left="295"/>
            </w:pPr>
            <w:r>
              <w:rPr>
                <w:spacing w:val="-1"/>
              </w:rPr>
              <w:t>210</w:t>
            </w:r>
          </w:p>
        </w:tc>
      </w:tr>
      <w:tr w14:paraId="44359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11AE5C62">
            <w:pPr>
              <w:rPr>
                <w:rFonts w:ascii="Arial"/>
                <w:sz w:val="21"/>
              </w:rPr>
            </w:pPr>
          </w:p>
        </w:tc>
        <w:tc>
          <w:tcPr>
            <w:tcW w:w="285" w:type="dxa"/>
            <w:vMerge w:val="continue"/>
            <w:tcBorders>
              <w:top w:val="nil"/>
            </w:tcBorders>
            <w:vAlign w:val="top"/>
          </w:tcPr>
          <w:p w14:paraId="3F8585A5">
            <w:pPr>
              <w:rPr>
                <w:rFonts w:ascii="Arial"/>
                <w:sz w:val="21"/>
              </w:rPr>
            </w:pPr>
          </w:p>
        </w:tc>
        <w:tc>
          <w:tcPr>
            <w:tcW w:w="1273" w:type="dxa"/>
            <w:vAlign w:val="top"/>
          </w:tcPr>
          <w:p w14:paraId="7740172D">
            <w:pPr>
              <w:pStyle w:val="6"/>
              <w:spacing w:before="73" w:line="195" w:lineRule="auto"/>
              <w:ind w:left="252"/>
            </w:pPr>
            <w:r>
              <w:rPr>
                <w:spacing w:val="-1"/>
              </w:rPr>
              <w:t>2021/6/5</w:t>
            </w:r>
          </w:p>
        </w:tc>
        <w:tc>
          <w:tcPr>
            <w:tcW w:w="880" w:type="dxa"/>
            <w:vAlign w:val="top"/>
          </w:tcPr>
          <w:p w14:paraId="33077007">
            <w:pPr>
              <w:pStyle w:val="6"/>
              <w:spacing w:before="73" w:line="195" w:lineRule="auto"/>
              <w:ind w:left="267"/>
            </w:pPr>
            <w:r>
              <w:rPr>
                <w:spacing w:val="-6"/>
              </w:rPr>
              <w:t>15.3</w:t>
            </w:r>
          </w:p>
        </w:tc>
        <w:tc>
          <w:tcPr>
            <w:tcW w:w="880" w:type="dxa"/>
            <w:vAlign w:val="top"/>
          </w:tcPr>
          <w:p w14:paraId="474919DA">
            <w:pPr>
              <w:pStyle w:val="6"/>
              <w:spacing w:before="73" w:line="195" w:lineRule="auto"/>
              <w:ind w:left="309"/>
            </w:pPr>
            <w:r>
              <w:rPr>
                <w:spacing w:val="-5"/>
              </w:rPr>
              <w:t>8.2</w:t>
            </w:r>
          </w:p>
        </w:tc>
        <w:tc>
          <w:tcPr>
            <w:tcW w:w="880" w:type="dxa"/>
            <w:vAlign w:val="top"/>
          </w:tcPr>
          <w:p w14:paraId="200BEC0F">
            <w:pPr>
              <w:pStyle w:val="6"/>
              <w:spacing w:before="78" w:line="186" w:lineRule="auto"/>
              <w:ind w:left="317"/>
            </w:pPr>
            <w:r>
              <w:rPr>
                <w:spacing w:val="-1"/>
              </w:rPr>
              <w:t>4L</w:t>
            </w:r>
          </w:p>
        </w:tc>
        <w:tc>
          <w:tcPr>
            <w:tcW w:w="880" w:type="dxa"/>
            <w:vAlign w:val="top"/>
          </w:tcPr>
          <w:p w14:paraId="2C8E0725">
            <w:pPr>
              <w:pStyle w:val="6"/>
              <w:spacing w:before="73" w:line="195" w:lineRule="auto"/>
              <w:ind w:left="310"/>
            </w:pPr>
            <w:r>
              <w:rPr>
                <w:spacing w:val="-4"/>
              </w:rPr>
              <w:t>5.8</w:t>
            </w:r>
          </w:p>
        </w:tc>
        <w:tc>
          <w:tcPr>
            <w:tcW w:w="880" w:type="dxa"/>
            <w:vAlign w:val="top"/>
          </w:tcPr>
          <w:p w14:paraId="0BFA3E84">
            <w:pPr>
              <w:pStyle w:val="6"/>
              <w:spacing w:before="73" w:line="195" w:lineRule="auto"/>
              <w:ind w:left="311"/>
            </w:pPr>
            <w:r>
              <w:rPr>
                <w:spacing w:val="-3"/>
              </w:rPr>
              <w:t>3.9</w:t>
            </w:r>
          </w:p>
        </w:tc>
        <w:tc>
          <w:tcPr>
            <w:tcW w:w="880" w:type="dxa"/>
            <w:vAlign w:val="top"/>
          </w:tcPr>
          <w:p w14:paraId="4539B2A6">
            <w:pPr>
              <w:pStyle w:val="6"/>
              <w:spacing w:before="73" w:line="195" w:lineRule="auto"/>
              <w:ind w:left="397"/>
            </w:pPr>
            <w:r>
              <w:t>8</w:t>
            </w:r>
          </w:p>
        </w:tc>
        <w:tc>
          <w:tcPr>
            <w:tcW w:w="880" w:type="dxa"/>
            <w:vAlign w:val="top"/>
          </w:tcPr>
          <w:p w14:paraId="03DD34D5">
            <w:pPr>
              <w:pStyle w:val="6"/>
              <w:spacing w:before="73" w:line="195" w:lineRule="auto"/>
              <w:ind w:left="331"/>
            </w:pPr>
            <w:r>
              <w:rPr>
                <w:spacing w:val="-8"/>
              </w:rPr>
              <w:t>1.8</w:t>
            </w:r>
          </w:p>
        </w:tc>
        <w:tc>
          <w:tcPr>
            <w:tcW w:w="880" w:type="dxa"/>
            <w:vAlign w:val="top"/>
          </w:tcPr>
          <w:p w14:paraId="517DC46F">
            <w:pPr>
              <w:pStyle w:val="6"/>
              <w:spacing w:before="73" w:line="195" w:lineRule="auto"/>
              <w:ind w:left="212"/>
            </w:pPr>
            <w:r>
              <w:rPr>
                <w:spacing w:val="-2"/>
              </w:rPr>
              <w:t>0.236</w:t>
            </w:r>
          </w:p>
        </w:tc>
        <w:tc>
          <w:tcPr>
            <w:tcW w:w="880" w:type="dxa"/>
            <w:vAlign w:val="top"/>
          </w:tcPr>
          <w:p w14:paraId="2EFBBE40">
            <w:pPr>
              <w:pStyle w:val="6"/>
              <w:spacing w:before="73" w:line="195" w:lineRule="auto"/>
              <w:ind w:left="266"/>
            </w:pPr>
            <w:r>
              <w:rPr>
                <w:spacing w:val="-2"/>
              </w:rPr>
              <w:t>0.03</w:t>
            </w:r>
          </w:p>
        </w:tc>
        <w:tc>
          <w:tcPr>
            <w:tcW w:w="880" w:type="dxa"/>
            <w:vAlign w:val="top"/>
          </w:tcPr>
          <w:p w14:paraId="78066CD4">
            <w:pPr>
              <w:pStyle w:val="6"/>
              <w:spacing w:before="73" w:line="195" w:lineRule="auto"/>
              <w:ind w:left="268"/>
            </w:pPr>
            <w:r>
              <w:rPr>
                <w:spacing w:val="-2"/>
              </w:rPr>
              <w:t>0.01</w:t>
            </w:r>
          </w:p>
        </w:tc>
        <w:tc>
          <w:tcPr>
            <w:tcW w:w="881" w:type="dxa"/>
            <w:vAlign w:val="top"/>
          </w:tcPr>
          <w:p w14:paraId="580615B7">
            <w:pPr>
              <w:pStyle w:val="6"/>
              <w:spacing w:before="73" w:line="195" w:lineRule="auto"/>
              <w:ind w:left="206"/>
            </w:pPr>
            <w:r>
              <w:rPr>
                <w:spacing w:val="-2"/>
              </w:rPr>
              <w:t>0.05L</w:t>
            </w:r>
          </w:p>
        </w:tc>
        <w:tc>
          <w:tcPr>
            <w:tcW w:w="894" w:type="dxa"/>
            <w:tcBorders>
              <w:right w:val="single" w:color="000000" w:sz="12" w:space="0"/>
            </w:tcBorders>
            <w:vAlign w:val="top"/>
          </w:tcPr>
          <w:p w14:paraId="509C35EF">
            <w:pPr>
              <w:pStyle w:val="6"/>
              <w:spacing w:before="73" w:line="195" w:lineRule="auto"/>
              <w:ind w:left="295"/>
            </w:pPr>
            <w:r>
              <w:rPr>
                <w:spacing w:val="-2"/>
              </w:rPr>
              <w:t>230</w:t>
            </w:r>
          </w:p>
        </w:tc>
      </w:tr>
      <w:tr w14:paraId="4DD92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884B367">
            <w:pPr>
              <w:rPr>
                <w:rFonts w:ascii="Arial"/>
                <w:sz w:val="21"/>
              </w:rPr>
            </w:pPr>
          </w:p>
        </w:tc>
        <w:tc>
          <w:tcPr>
            <w:tcW w:w="285" w:type="dxa"/>
            <w:vMerge w:val="restart"/>
            <w:tcBorders>
              <w:bottom w:val="nil"/>
            </w:tcBorders>
            <w:vAlign w:val="top"/>
          </w:tcPr>
          <w:p w14:paraId="51E62E65">
            <w:pPr>
              <w:pStyle w:val="6"/>
              <w:spacing w:before="92" w:line="222" w:lineRule="auto"/>
              <w:ind w:left="81"/>
            </w:pPr>
            <w:r>
              <w:t>3</w:t>
            </w:r>
          </w:p>
          <w:p w14:paraId="7C290C0D">
            <w:pPr>
              <w:spacing w:line="219" w:lineRule="auto"/>
              <w:ind w:left="29"/>
              <w:rPr>
                <w:rFonts w:ascii="宋体" w:hAnsi="宋体" w:eastAsia="宋体" w:cs="宋体"/>
                <w:sz w:val="21"/>
                <w:szCs w:val="21"/>
              </w:rPr>
            </w:pPr>
            <w:r>
              <w:rPr>
                <w:rFonts w:ascii="宋体" w:hAnsi="宋体" w:eastAsia="宋体" w:cs="宋体"/>
                <w:sz w:val="21"/>
                <w:szCs w:val="21"/>
              </w:rPr>
              <w:t>季</w:t>
            </w:r>
          </w:p>
          <w:p w14:paraId="672D784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3B7397D">
            <w:pPr>
              <w:pStyle w:val="6"/>
              <w:spacing w:before="74" w:line="193" w:lineRule="auto"/>
              <w:ind w:left="199"/>
            </w:pPr>
            <w:r>
              <w:rPr>
                <w:spacing w:val="-1"/>
              </w:rPr>
              <w:t>2021/7/19</w:t>
            </w:r>
          </w:p>
        </w:tc>
        <w:tc>
          <w:tcPr>
            <w:tcW w:w="880" w:type="dxa"/>
            <w:vAlign w:val="top"/>
          </w:tcPr>
          <w:p w14:paraId="5E14B411">
            <w:pPr>
              <w:pStyle w:val="6"/>
              <w:spacing w:before="74" w:line="193" w:lineRule="auto"/>
              <w:ind w:left="267"/>
            </w:pPr>
            <w:r>
              <w:rPr>
                <w:spacing w:val="-6"/>
              </w:rPr>
              <w:t>17.8</w:t>
            </w:r>
          </w:p>
        </w:tc>
        <w:tc>
          <w:tcPr>
            <w:tcW w:w="880" w:type="dxa"/>
            <w:vAlign w:val="top"/>
          </w:tcPr>
          <w:p w14:paraId="3F5AF3A2">
            <w:pPr>
              <w:pStyle w:val="6"/>
              <w:spacing w:before="74" w:line="193" w:lineRule="auto"/>
              <w:ind w:left="304"/>
            </w:pPr>
            <w:r>
              <w:rPr>
                <w:spacing w:val="-3"/>
              </w:rPr>
              <w:t>7.9</w:t>
            </w:r>
          </w:p>
        </w:tc>
        <w:tc>
          <w:tcPr>
            <w:tcW w:w="880" w:type="dxa"/>
            <w:vAlign w:val="top"/>
          </w:tcPr>
          <w:p w14:paraId="090F02E0">
            <w:pPr>
              <w:pStyle w:val="6"/>
              <w:spacing w:before="74" w:line="193" w:lineRule="auto"/>
              <w:ind w:left="349"/>
            </w:pPr>
            <w:r>
              <w:rPr>
                <w:spacing w:val="-6"/>
              </w:rPr>
              <w:t>12</w:t>
            </w:r>
          </w:p>
        </w:tc>
        <w:tc>
          <w:tcPr>
            <w:tcW w:w="880" w:type="dxa"/>
            <w:vAlign w:val="top"/>
          </w:tcPr>
          <w:p w14:paraId="34FA6E2B">
            <w:pPr>
              <w:pStyle w:val="6"/>
              <w:spacing w:before="74" w:line="193" w:lineRule="auto"/>
              <w:ind w:left="310"/>
            </w:pPr>
            <w:r>
              <w:rPr>
                <w:spacing w:val="-4"/>
              </w:rPr>
              <w:t>5.6</w:t>
            </w:r>
          </w:p>
        </w:tc>
        <w:tc>
          <w:tcPr>
            <w:tcW w:w="880" w:type="dxa"/>
            <w:vAlign w:val="top"/>
          </w:tcPr>
          <w:p w14:paraId="57774B4E">
            <w:pPr>
              <w:pStyle w:val="6"/>
              <w:spacing w:before="74" w:line="193" w:lineRule="auto"/>
              <w:ind w:left="306"/>
            </w:pPr>
            <w:r>
              <w:rPr>
                <w:spacing w:val="-1"/>
              </w:rPr>
              <w:t>4.4</w:t>
            </w:r>
          </w:p>
        </w:tc>
        <w:tc>
          <w:tcPr>
            <w:tcW w:w="880" w:type="dxa"/>
            <w:vAlign w:val="top"/>
          </w:tcPr>
          <w:p w14:paraId="72E92730">
            <w:pPr>
              <w:pStyle w:val="6"/>
              <w:spacing w:before="74" w:line="193" w:lineRule="auto"/>
              <w:ind w:left="397"/>
            </w:pPr>
            <w:r>
              <w:t>8</w:t>
            </w:r>
          </w:p>
        </w:tc>
        <w:tc>
          <w:tcPr>
            <w:tcW w:w="880" w:type="dxa"/>
            <w:vAlign w:val="top"/>
          </w:tcPr>
          <w:p w14:paraId="5EC5EF0B">
            <w:pPr>
              <w:pStyle w:val="6"/>
              <w:spacing w:before="74" w:line="193" w:lineRule="auto"/>
              <w:ind w:left="331"/>
            </w:pPr>
            <w:r>
              <w:rPr>
                <w:spacing w:val="-8"/>
              </w:rPr>
              <w:t>1.6</w:t>
            </w:r>
          </w:p>
        </w:tc>
        <w:tc>
          <w:tcPr>
            <w:tcW w:w="880" w:type="dxa"/>
            <w:vAlign w:val="top"/>
          </w:tcPr>
          <w:p w14:paraId="254AD831">
            <w:pPr>
              <w:pStyle w:val="6"/>
              <w:spacing w:before="74" w:line="193" w:lineRule="auto"/>
              <w:ind w:left="212"/>
            </w:pPr>
            <w:r>
              <w:rPr>
                <w:spacing w:val="-2"/>
              </w:rPr>
              <w:t>0.359</w:t>
            </w:r>
          </w:p>
        </w:tc>
        <w:tc>
          <w:tcPr>
            <w:tcW w:w="880" w:type="dxa"/>
            <w:vAlign w:val="top"/>
          </w:tcPr>
          <w:p w14:paraId="5AE27005">
            <w:pPr>
              <w:pStyle w:val="6"/>
              <w:spacing w:before="74" w:line="193" w:lineRule="auto"/>
              <w:ind w:left="266"/>
            </w:pPr>
            <w:r>
              <w:rPr>
                <w:spacing w:val="-2"/>
              </w:rPr>
              <w:t>0.08</w:t>
            </w:r>
          </w:p>
        </w:tc>
        <w:tc>
          <w:tcPr>
            <w:tcW w:w="880" w:type="dxa"/>
            <w:vAlign w:val="top"/>
          </w:tcPr>
          <w:p w14:paraId="245D2042">
            <w:pPr>
              <w:pStyle w:val="6"/>
              <w:spacing w:before="74" w:line="193" w:lineRule="auto"/>
              <w:ind w:left="268"/>
            </w:pPr>
            <w:r>
              <w:rPr>
                <w:spacing w:val="-2"/>
              </w:rPr>
              <w:t>0.02</w:t>
            </w:r>
          </w:p>
        </w:tc>
        <w:tc>
          <w:tcPr>
            <w:tcW w:w="881" w:type="dxa"/>
            <w:vAlign w:val="top"/>
          </w:tcPr>
          <w:p w14:paraId="1DADC839">
            <w:pPr>
              <w:pStyle w:val="6"/>
              <w:spacing w:before="74" w:line="193" w:lineRule="auto"/>
              <w:ind w:left="218"/>
            </w:pPr>
            <w:r>
              <w:rPr>
                <w:spacing w:val="-2"/>
              </w:rPr>
              <w:t>0.114</w:t>
            </w:r>
          </w:p>
        </w:tc>
        <w:tc>
          <w:tcPr>
            <w:tcW w:w="894" w:type="dxa"/>
            <w:tcBorders>
              <w:right w:val="single" w:color="000000" w:sz="12" w:space="0"/>
            </w:tcBorders>
            <w:vAlign w:val="top"/>
          </w:tcPr>
          <w:p w14:paraId="53E9E218">
            <w:pPr>
              <w:pStyle w:val="6"/>
              <w:spacing w:before="74" w:line="193" w:lineRule="auto"/>
              <w:ind w:left="295"/>
            </w:pPr>
            <w:r>
              <w:rPr>
                <w:spacing w:val="-1"/>
              </w:rPr>
              <w:t>230</w:t>
            </w:r>
          </w:p>
        </w:tc>
      </w:tr>
      <w:tr w14:paraId="1EE6C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748D95DA">
            <w:pPr>
              <w:rPr>
                <w:rFonts w:ascii="Arial"/>
                <w:sz w:val="21"/>
              </w:rPr>
            </w:pPr>
          </w:p>
        </w:tc>
        <w:tc>
          <w:tcPr>
            <w:tcW w:w="285" w:type="dxa"/>
            <w:vMerge w:val="continue"/>
            <w:tcBorders>
              <w:top w:val="nil"/>
              <w:bottom w:val="nil"/>
            </w:tcBorders>
            <w:vAlign w:val="top"/>
          </w:tcPr>
          <w:p w14:paraId="49E82C3C">
            <w:pPr>
              <w:rPr>
                <w:rFonts w:ascii="Arial"/>
                <w:sz w:val="21"/>
              </w:rPr>
            </w:pPr>
          </w:p>
        </w:tc>
        <w:tc>
          <w:tcPr>
            <w:tcW w:w="1273" w:type="dxa"/>
            <w:vAlign w:val="top"/>
          </w:tcPr>
          <w:p w14:paraId="14B1DD0B">
            <w:pPr>
              <w:pStyle w:val="6"/>
              <w:spacing w:before="76" w:line="192" w:lineRule="auto"/>
              <w:ind w:left="199"/>
            </w:pPr>
            <w:r>
              <w:rPr>
                <w:spacing w:val="-1"/>
              </w:rPr>
              <w:t>2021/7/20</w:t>
            </w:r>
          </w:p>
        </w:tc>
        <w:tc>
          <w:tcPr>
            <w:tcW w:w="880" w:type="dxa"/>
            <w:vAlign w:val="top"/>
          </w:tcPr>
          <w:p w14:paraId="76A7C0E9">
            <w:pPr>
              <w:pStyle w:val="6"/>
              <w:spacing w:before="76" w:line="192" w:lineRule="auto"/>
              <w:ind w:left="267"/>
            </w:pPr>
            <w:r>
              <w:rPr>
                <w:spacing w:val="-6"/>
              </w:rPr>
              <w:t>18.1</w:t>
            </w:r>
          </w:p>
        </w:tc>
        <w:tc>
          <w:tcPr>
            <w:tcW w:w="880" w:type="dxa"/>
            <w:vAlign w:val="top"/>
          </w:tcPr>
          <w:p w14:paraId="6F22B925">
            <w:pPr>
              <w:pStyle w:val="6"/>
              <w:spacing w:before="76" w:line="192" w:lineRule="auto"/>
              <w:ind w:left="309"/>
            </w:pPr>
            <w:r>
              <w:rPr>
                <w:spacing w:val="-5"/>
              </w:rPr>
              <w:t>8.0</w:t>
            </w:r>
          </w:p>
        </w:tc>
        <w:tc>
          <w:tcPr>
            <w:tcW w:w="880" w:type="dxa"/>
            <w:vAlign w:val="top"/>
          </w:tcPr>
          <w:p w14:paraId="7F022491">
            <w:pPr>
              <w:pStyle w:val="6"/>
              <w:spacing w:before="76" w:line="192" w:lineRule="auto"/>
              <w:ind w:left="386"/>
            </w:pPr>
            <w:r>
              <w:t>9</w:t>
            </w:r>
          </w:p>
        </w:tc>
        <w:tc>
          <w:tcPr>
            <w:tcW w:w="880" w:type="dxa"/>
            <w:vAlign w:val="top"/>
          </w:tcPr>
          <w:p w14:paraId="12DF1149">
            <w:pPr>
              <w:pStyle w:val="6"/>
              <w:spacing w:before="76" w:line="192" w:lineRule="auto"/>
              <w:ind w:left="310"/>
            </w:pPr>
            <w:r>
              <w:rPr>
                <w:spacing w:val="-4"/>
              </w:rPr>
              <w:t>5.8</w:t>
            </w:r>
          </w:p>
        </w:tc>
        <w:tc>
          <w:tcPr>
            <w:tcW w:w="880" w:type="dxa"/>
            <w:vAlign w:val="top"/>
          </w:tcPr>
          <w:p w14:paraId="7EFD408F">
            <w:pPr>
              <w:pStyle w:val="6"/>
              <w:spacing w:before="76" w:line="192" w:lineRule="auto"/>
              <w:ind w:left="306"/>
            </w:pPr>
            <w:r>
              <w:rPr>
                <w:spacing w:val="-1"/>
              </w:rPr>
              <w:t>4.3</w:t>
            </w:r>
          </w:p>
        </w:tc>
        <w:tc>
          <w:tcPr>
            <w:tcW w:w="880" w:type="dxa"/>
            <w:vAlign w:val="top"/>
          </w:tcPr>
          <w:p w14:paraId="3598D187">
            <w:pPr>
              <w:pStyle w:val="6"/>
              <w:spacing w:before="76" w:line="192" w:lineRule="auto"/>
              <w:ind w:left="391"/>
            </w:pPr>
            <w:r>
              <w:t>7</w:t>
            </w:r>
          </w:p>
        </w:tc>
        <w:tc>
          <w:tcPr>
            <w:tcW w:w="880" w:type="dxa"/>
            <w:vAlign w:val="top"/>
          </w:tcPr>
          <w:p w14:paraId="23AB8B2F">
            <w:pPr>
              <w:pStyle w:val="6"/>
              <w:spacing w:before="76" w:line="192" w:lineRule="auto"/>
              <w:ind w:left="331"/>
            </w:pPr>
            <w:r>
              <w:rPr>
                <w:spacing w:val="-8"/>
              </w:rPr>
              <w:t>1.4</w:t>
            </w:r>
          </w:p>
        </w:tc>
        <w:tc>
          <w:tcPr>
            <w:tcW w:w="880" w:type="dxa"/>
            <w:vAlign w:val="top"/>
          </w:tcPr>
          <w:p w14:paraId="26BBB614">
            <w:pPr>
              <w:pStyle w:val="6"/>
              <w:spacing w:before="76" w:line="192" w:lineRule="auto"/>
              <w:ind w:left="212"/>
            </w:pPr>
            <w:r>
              <w:rPr>
                <w:spacing w:val="-2"/>
              </w:rPr>
              <w:t>0.351</w:t>
            </w:r>
          </w:p>
        </w:tc>
        <w:tc>
          <w:tcPr>
            <w:tcW w:w="880" w:type="dxa"/>
            <w:vAlign w:val="top"/>
          </w:tcPr>
          <w:p w14:paraId="1F41A5E2">
            <w:pPr>
              <w:pStyle w:val="6"/>
              <w:spacing w:before="76" w:line="192" w:lineRule="auto"/>
              <w:ind w:left="266"/>
            </w:pPr>
            <w:r>
              <w:rPr>
                <w:spacing w:val="-2"/>
              </w:rPr>
              <w:t>0.09</w:t>
            </w:r>
          </w:p>
        </w:tc>
        <w:tc>
          <w:tcPr>
            <w:tcW w:w="880" w:type="dxa"/>
            <w:vAlign w:val="top"/>
          </w:tcPr>
          <w:p w14:paraId="44A8DD67">
            <w:pPr>
              <w:pStyle w:val="6"/>
              <w:spacing w:before="76" w:line="192" w:lineRule="auto"/>
              <w:ind w:left="268"/>
            </w:pPr>
            <w:r>
              <w:rPr>
                <w:spacing w:val="-2"/>
              </w:rPr>
              <w:t>0.02</w:t>
            </w:r>
          </w:p>
        </w:tc>
        <w:tc>
          <w:tcPr>
            <w:tcW w:w="881" w:type="dxa"/>
            <w:vAlign w:val="top"/>
          </w:tcPr>
          <w:p w14:paraId="4274324C">
            <w:pPr>
              <w:pStyle w:val="6"/>
              <w:spacing w:before="76" w:line="192" w:lineRule="auto"/>
              <w:ind w:left="218"/>
            </w:pPr>
            <w:r>
              <w:rPr>
                <w:spacing w:val="-2"/>
              </w:rPr>
              <w:t>0.121</w:t>
            </w:r>
          </w:p>
        </w:tc>
        <w:tc>
          <w:tcPr>
            <w:tcW w:w="894" w:type="dxa"/>
            <w:tcBorders>
              <w:right w:val="single" w:color="000000" w:sz="12" w:space="0"/>
            </w:tcBorders>
            <w:vAlign w:val="top"/>
          </w:tcPr>
          <w:p w14:paraId="1DE4139D">
            <w:pPr>
              <w:pStyle w:val="6"/>
              <w:spacing w:before="76" w:line="192" w:lineRule="auto"/>
              <w:ind w:left="295"/>
            </w:pPr>
            <w:r>
              <w:rPr>
                <w:spacing w:val="-1"/>
              </w:rPr>
              <w:t>210</w:t>
            </w:r>
          </w:p>
        </w:tc>
      </w:tr>
      <w:tr w14:paraId="20E12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3C8B2268">
            <w:pPr>
              <w:rPr>
                <w:rFonts w:ascii="Arial"/>
                <w:sz w:val="21"/>
              </w:rPr>
            </w:pPr>
          </w:p>
        </w:tc>
        <w:tc>
          <w:tcPr>
            <w:tcW w:w="285" w:type="dxa"/>
            <w:vMerge w:val="continue"/>
            <w:tcBorders>
              <w:top w:val="nil"/>
            </w:tcBorders>
            <w:vAlign w:val="top"/>
          </w:tcPr>
          <w:p w14:paraId="09472292">
            <w:pPr>
              <w:rPr>
                <w:rFonts w:ascii="Arial"/>
                <w:sz w:val="21"/>
              </w:rPr>
            </w:pPr>
          </w:p>
        </w:tc>
        <w:tc>
          <w:tcPr>
            <w:tcW w:w="1273" w:type="dxa"/>
            <w:vAlign w:val="top"/>
          </w:tcPr>
          <w:p w14:paraId="52068BB4">
            <w:pPr>
              <w:pStyle w:val="6"/>
              <w:spacing w:before="76" w:line="192" w:lineRule="auto"/>
              <w:ind w:left="199"/>
            </w:pPr>
            <w:r>
              <w:rPr>
                <w:spacing w:val="-1"/>
              </w:rPr>
              <w:t>2021/7/21</w:t>
            </w:r>
          </w:p>
        </w:tc>
        <w:tc>
          <w:tcPr>
            <w:tcW w:w="880" w:type="dxa"/>
            <w:vAlign w:val="top"/>
          </w:tcPr>
          <w:p w14:paraId="088F22A2">
            <w:pPr>
              <w:pStyle w:val="6"/>
              <w:spacing w:before="76" w:line="192" w:lineRule="auto"/>
              <w:ind w:left="267"/>
            </w:pPr>
            <w:r>
              <w:rPr>
                <w:spacing w:val="-6"/>
              </w:rPr>
              <w:t>17.6</w:t>
            </w:r>
          </w:p>
        </w:tc>
        <w:tc>
          <w:tcPr>
            <w:tcW w:w="880" w:type="dxa"/>
            <w:vAlign w:val="top"/>
          </w:tcPr>
          <w:p w14:paraId="15B64185">
            <w:pPr>
              <w:pStyle w:val="6"/>
              <w:spacing w:before="76" w:line="192" w:lineRule="auto"/>
              <w:ind w:left="309"/>
            </w:pPr>
            <w:r>
              <w:rPr>
                <w:spacing w:val="-4"/>
              </w:rPr>
              <w:t>8.0</w:t>
            </w:r>
          </w:p>
        </w:tc>
        <w:tc>
          <w:tcPr>
            <w:tcW w:w="880" w:type="dxa"/>
            <w:vAlign w:val="top"/>
          </w:tcPr>
          <w:p w14:paraId="1AA2B2C2">
            <w:pPr>
              <w:pStyle w:val="6"/>
              <w:spacing w:before="76" w:line="192" w:lineRule="auto"/>
              <w:ind w:left="349"/>
            </w:pPr>
            <w:r>
              <w:rPr>
                <w:spacing w:val="-6"/>
              </w:rPr>
              <w:t>11</w:t>
            </w:r>
          </w:p>
        </w:tc>
        <w:tc>
          <w:tcPr>
            <w:tcW w:w="880" w:type="dxa"/>
            <w:vAlign w:val="top"/>
          </w:tcPr>
          <w:p w14:paraId="0D13BE89">
            <w:pPr>
              <w:pStyle w:val="6"/>
              <w:spacing w:before="76" w:line="192" w:lineRule="auto"/>
              <w:ind w:left="310"/>
            </w:pPr>
            <w:r>
              <w:rPr>
                <w:spacing w:val="-4"/>
              </w:rPr>
              <w:t>5.4</w:t>
            </w:r>
          </w:p>
        </w:tc>
        <w:tc>
          <w:tcPr>
            <w:tcW w:w="880" w:type="dxa"/>
            <w:vAlign w:val="top"/>
          </w:tcPr>
          <w:p w14:paraId="41B92B70">
            <w:pPr>
              <w:pStyle w:val="6"/>
              <w:spacing w:before="76" w:line="192" w:lineRule="auto"/>
              <w:ind w:left="306"/>
            </w:pPr>
            <w:r>
              <w:rPr>
                <w:spacing w:val="-1"/>
              </w:rPr>
              <w:t>4.5</w:t>
            </w:r>
          </w:p>
        </w:tc>
        <w:tc>
          <w:tcPr>
            <w:tcW w:w="880" w:type="dxa"/>
            <w:vAlign w:val="top"/>
          </w:tcPr>
          <w:p w14:paraId="3A694F85">
            <w:pPr>
              <w:pStyle w:val="6"/>
              <w:spacing w:before="76" w:line="192" w:lineRule="auto"/>
              <w:ind w:left="392"/>
            </w:pPr>
            <w:r>
              <w:t>9</w:t>
            </w:r>
          </w:p>
        </w:tc>
        <w:tc>
          <w:tcPr>
            <w:tcW w:w="880" w:type="dxa"/>
            <w:vAlign w:val="top"/>
          </w:tcPr>
          <w:p w14:paraId="41639C2A">
            <w:pPr>
              <w:pStyle w:val="6"/>
              <w:spacing w:before="76" w:line="192" w:lineRule="auto"/>
              <w:ind w:left="331"/>
            </w:pPr>
            <w:r>
              <w:rPr>
                <w:spacing w:val="-8"/>
              </w:rPr>
              <w:t>1.8</w:t>
            </w:r>
          </w:p>
        </w:tc>
        <w:tc>
          <w:tcPr>
            <w:tcW w:w="880" w:type="dxa"/>
            <w:vAlign w:val="top"/>
          </w:tcPr>
          <w:p w14:paraId="39160EB7">
            <w:pPr>
              <w:pStyle w:val="6"/>
              <w:spacing w:before="76" w:line="192" w:lineRule="auto"/>
              <w:ind w:left="212"/>
            </w:pPr>
            <w:r>
              <w:rPr>
                <w:spacing w:val="-2"/>
              </w:rPr>
              <w:t>0.366</w:t>
            </w:r>
          </w:p>
        </w:tc>
        <w:tc>
          <w:tcPr>
            <w:tcW w:w="880" w:type="dxa"/>
            <w:vAlign w:val="top"/>
          </w:tcPr>
          <w:p w14:paraId="028441BF">
            <w:pPr>
              <w:pStyle w:val="6"/>
              <w:spacing w:before="76" w:line="192" w:lineRule="auto"/>
              <w:ind w:left="266"/>
            </w:pPr>
            <w:r>
              <w:rPr>
                <w:spacing w:val="-2"/>
              </w:rPr>
              <w:t>0.08</w:t>
            </w:r>
          </w:p>
        </w:tc>
        <w:tc>
          <w:tcPr>
            <w:tcW w:w="880" w:type="dxa"/>
            <w:vAlign w:val="top"/>
          </w:tcPr>
          <w:p w14:paraId="5997908D">
            <w:pPr>
              <w:pStyle w:val="6"/>
              <w:spacing w:before="76" w:line="192" w:lineRule="auto"/>
              <w:ind w:left="268"/>
            </w:pPr>
            <w:r>
              <w:rPr>
                <w:spacing w:val="-2"/>
              </w:rPr>
              <w:t>0.01</w:t>
            </w:r>
          </w:p>
        </w:tc>
        <w:tc>
          <w:tcPr>
            <w:tcW w:w="881" w:type="dxa"/>
            <w:vAlign w:val="top"/>
          </w:tcPr>
          <w:p w14:paraId="17A8D412">
            <w:pPr>
              <w:pStyle w:val="6"/>
              <w:spacing w:before="76" w:line="192" w:lineRule="auto"/>
              <w:ind w:left="218"/>
            </w:pPr>
            <w:r>
              <w:rPr>
                <w:spacing w:val="-2"/>
              </w:rPr>
              <w:t>0.116</w:t>
            </w:r>
          </w:p>
        </w:tc>
        <w:tc>
          <w:tcPr>
            <w:tcW w:w="894" w:type="dxa"/>
            <w:tcBorders>
              <w:right w:val="single" w:color="000000" w:sz="12" w:space="0"/>
            </w:tcBorders>
            <w:vAlign w:val="top"/>
          </w:tcPr>
          <w:p w14:paraId="2402923A">
            <w:pPr>
              <w:pStyle w:val="6"/>
              <w:spacing w:before="76" w:line="192" w:lineRule="auto"/>
              <w:ind w:left="295"/>
            </w:pPr>
            <w:r>
              <w:rPr>
                <w:spacing w:val="-1"/>
              </w:rPr>
              <w:t>220</w:t>
            </w:r>
          </w:p>
        </w:tc>
      </w:tr>
      <w:tr w14:paraId="37AC8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5E56AE20">
            <w:pPr>
              <w:rPr>
                <w:rFonts w:ascii="Arial"/>
                <w:sz w:val="21"/>
              </w:rPr>
            </w:pPr>
          </w:p>
        </w:tc>
        <w:tc>
          <w:tcPr>
            <w:tcW w:w="285" w:type="dxa"/>
            <w:vMerge w:val="restart"/>
            <w:tcBorders>
              <w:bottom w:val="nil"/>
            </w:tcBorders>
            <w:vAlign w:val="top"/>
          </w:tcPr>
          <w:p w14:paraId="0793BD51">
            <w:pPr>
              <w:pStyle w:val="6"/>
              <w:spacing w:before="95" w:line="222" w:lineRule="auto"/>
              <w:ind w:left="76"/>
            </w:pPr>
            <w:r>
              <w:t>4</w:t>
            </w:r>
          </w:p>
          <w:p w14:paraId="5C51F191">
            <w:pPr>
              <w:spacing w:line="219" w:lineRule="auto"/>
              <w:ind w:left="29"/>
              <w:rPr>
                <w:rFonts w:ascii="宋体" w:hAnsi="宋体" w:eastAsia="宋体" w:cs="宋体"/>
                <w:sz w:val="21"/>
                <w:szCs w:val="21"/>
              </w:rPr>
            </w:pPr>
            <w:r>
              <w:rPr>
                <w:rFonts w:ascii="宋体" w:hAnsi="宋体" w:eastAsia="宋体" w:cs="宋体"/>
                <w:sz w:val="21"/>
                <w:szCs w:val="21"/>
              </w:rPr>
              <w:t>季</w:t>
            </w:r>
          </w:p>
          <w:p w14:paraId="7EC984E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5617D18">
            <w:pPr>
              <w:pStyle w:val="6"/>
              <w:spacing w:before="76" w:line="192" w:lineRule="auto"/>
              <w:ind w:left="147"/>
            </w:pPr>
            <w:r>
              <w:rPr>
                <w:spacing w:val="-1"/>
              </w:rPr>
              <w:t>2021/11/28</w:t>
            </w:r>
          </w:p>
        </w:tc>
        <w:tc>
          <w:tcPr>
            <w:tcW w:w="880" w:type="dxa"/>
            <w:vAlign w:val="top"/>
          </w:tcPr>
          <w:p w14:paraId="79E73DDD">
            <w:pPr>
              <w:pStyle w:val="6"/>
              <w:spacing w:before="76" w:line="192" w:lineRule="auto"/>
              <w:ind w:left="267"/>
            </w:pPr>
            <w:r>
              <w:rPr>
                <w:spacing w:val="-6"/>
              </w:rPr>
              <w:t>16.7</w:t>
            </w:r>
          </w:p>
        </w:tc>
        <w:tc>
          <w:tcPr>
            <w:tcW w:w="880" w:type="dxa"/>
            <w:vAlign w:val="top"/>
          </w:tcPr>
          <w:p w14:paraId="0B817669">
            <w:pPr>
              <w:pStyle w:val="6"/>
              <w:spacing w:before="76" w:line="192" w:lineRule="auto"/>
              <w:ind w:left="304"/>
            </w:pPr>
            <w:r>
              <w:rPr>
                <w:spacing w:val="-3"/>
              </w:rPr>
              <w:t>7.8</w:t>
            </w:r>
          </w:p>
        </w:tc>
        <w:tc>
          <w:tcPr>
            <w:tcW w:w="880" w:type="dxa"/>
            <w:vAlign w:val="top"/>
          </w:tcPr>
          <w:p w14:paraId="29A644A1">
            <w:pPr>
              <w:pStyle w:val="6"/>
              <w:spacing w:before="76" w:line="192" w:lineRule="auto"/>
              <w:ind w:left="349"/>
            </w:pPr>
            <w:r>
              <w:rPr>
                <w:spacing w:val="-6"/>
              </w:rPr>
              <w:t>10</w:t>
            </w:r>
          </w:p>
        </w:tc>
        <w:tc>
          <w:tcPr>
            <w:tcW w:w="880" w:type="dxa"/>
            <w:vAlign w:val="top"/>
          </w:tcPr>
          <w:p w14:paraId="528A72F0">
            <w:pPr>
              <w:pStyle w:val="6"/>
              <w:spacing w:before="76" w:line="192" w:lineRule="auto"/>
              <w:ind w:left="308"/>
            </w:pPr>
            <w:r>
              <w:rPr>
                <w:spacing w:val="-3"/>
              </w:rPr>
              <w:t>7.1</w:t>
            </w:r>
          </w:p>
        </w:tc>
        <w:tc>
          <w:tcPr>
            <w:tcW w:w="880" w:type="dxa"/>
            <w:vAlign w:val="top"/>
          </w:tcPr>
          <w:p w14:paraId="385FBA7B">
            <w:pPr>
              <w:pStyle w:val="6"/>
              <w:spacing w:before="76" w:line="192" w:lineRule="auto"/>
              <w:ind w:left="307"/>
            </w:pPr>
            <w:r>
              <w:rPr>
                <w:spacing w:val="-2"/>
              </w:rPr>
              <w:t>2.3</w:t>
            </w:r>
          </w:p>
        </w:tc>
        <w:tc>
          <w:tcPr>
            <w:tcW w:w="880" w:type="dxa"/>
            <w:vAlign w:val="top"/>
          </w:tcPr>
          <w:p w14:paraId="133405CE">
            <w:pPr>
              <w:pStyle w:val="6"/>
              <w:spacing w:before="76" w:line="192" w:lineRule="auto"/>
              <w:ind w:left="393"/>
            </w:pPr>
            <w:r>
              <w:t>6</w:t>
            </w:r>
          </w:p>
        </w:tc>
        <w:tc>
          <w:tcPr>
            <w:tcW w:w="880" w:type="dxa"/>
            <w:vAlign w:val="top"/>
          </w:tcPr>
          <w:p w14:paraId="5C838FCD">
            <w:pPr>
              <w:pStyle w:val="6"/>
              <w:spacing w:before="76" w:line="192" w:lineRule="auto"/>
              <w:ind w:left="331"/>
            </w:pPr>
            <w:r>
              <w:rPr>
                <w:spacing w:val="-8"/>
              </w:rPr>
              <w:t>1.2</w:t>
            </w:r>
          </w:p>
        </w:tc>
        <w:tc>
          <w:tcPr>
            <w:tcW w:w="880" w:type="dxa"/>
            <w:vAlign w:val="top"/>
          </w:tcPr>
          <w:p w14:paraId="5C621BDA">
            <w:pPr>
              <w:pStyle w:val="6"/>
              <w:spacing w:before="76" w:line="192" w:lineRule="auto"/>
              <w:ind w:left="264"/>
            </w:pPr>
            <w:r>
              <w:rPr>
                <w:spacing w:val="-2"/>
              </w:rPr>
              <w:t>0.48</w:t>
            </w:r>
          </w:p>
        </w:tc>
        <w:tc>
          <w:tcPr>
            <w:tcW w:w="880" w:type="dxa"/>
            <w:vAlign w:val="top"/>
          </w:tcPr>
          <w:p w14:paraId="06D2ADB7">
            <w:pPr>
              <w:pStyle w:val="6"/>
              <w:spacing w:before="76" w:line="192" w:lineRule="auto"/>
              <w:ind w:left="266"/>
            </w:pPr>
            <w:r>
              <w:rPr>
                <w:spacing w:val="-2"/>
              </w:rPr>
              <w:t>0.02</w:t>
            </w:r>
          </w:p>
        </w:tc>
        <w:tc>
          <w:tcPr>
            <w:tcW w:w="880" w:type="dxa"/>
            <w:vAlign w:val="top"/>
          </w:tcPr>
          <w:p w14:paraId="38CB1516">
            <w:pPr>
              <w:pStyle w:val="6"/>
              <w:spacing w:before="76" w:line="192" w:lineRule="auto"/>
              <w:ind w:left="268"/>
            </w:pPr>
            <w:r>
              <w:rPr>
                <w:spacing w:val="-2"/>
              </w:rPr>
              <w:t>0.01</w:t>
            </w:r>
          </w:p>
        </w:tc>
        <w:tc>
          <w:tcPr>
            <w:tcW w:w="881" w:type="dxa"/>
            <w:vAlign w:val="top"/>
          </w:tcPr>
          <w:p w14:paraId="7D043447">
            <w:pPr>
              <w:pStyle w:val="6"/>
              <w:spacing w:before="76" w:line="192" w:lineRule="auto"/>
              <w:ind w:left="206"/>
            </w:pPr>
            <w:r>
              <w:rPr>
                <w:spacing w:val="-2"/>
              </w:rPr>
              <w:t>0.05L</w:t>
            </w:r>
          </w:p>
        </w:tc>
        <w:tc>
          <w:tcPr>
            <w:tcW w:w="894" w:type="dxa"/>
            <w:tcBorders>
              <w:right w:val="single" w:color="000000" w:sz="12" w:space="0"/>
            </w:tcBorders>
            <w:vAlign w:val="top"/>
          </w:tcPr>
          <w:p w14:paraId="7640AAE9">
            <w:pPr>
              <w:pStyle w:val="6"/>
              <w:spacing w:before="76" w:line="192" w:lineRule="auto"/>
              <w:ind w:left="248"/>
            </w:pPr>
            <w:r>
              <w:rPr>
                <w:spacing w:val="-2"/>
              </w:rPr>
              <w:t>5400</w:t>
            </w:r>
          </w:p>
        </w:tc>
      </w:tr>
      <w:tr w14:paraId="2D448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BF445D3">
            <w:pPr>
              <w:rPr>
                <w:rFonts w:ascii="Arial"/>
                <w:sz w:val="21"/>
              </w:rPr>
            </w:pPr>
          </w:p>
        </w:tc>
        <w:tc>
          <w:tcPr>
            <w:tcW w:w="285" w:type="dxa"/>
            <w:vMerge w:val="continue"/>
            <w:tcBorders>
              <w:top w:val="nil"/>
              <w:bottom w:val="nil"/>
            </w:tcBorders>
            <w:vAlign w:val="top"/>
          </w:tcPr>
          <w:p w14:paraId="65DC179E">
            <w:pPr>
              <w:rPr>
                <w:rFonts w:ascii="Arial"/>
                <w:sz w:val="21"/>
              </w:rPr>
            </w:pPr>
          </w:p>
        </w:tc>
        <w:tc>
          <w:tcPr>
            <w:tcW w:w="1273" w:type="dxa"/>
            <w:vAlign w:val="top"/>
          </w:tcPr>
          <w:p w14:paraId="0E28D6E2">
            <w:pPr>
              <w:pStyle w:val="6"/>
              <w:spacing w:before="77" w:line="190" w:lineRule="auto"/>
              <w:ind w:left="147"/>
            </w:pPr>
            <w:r>
              <w:rPr>
                <w:spacing w:val="-1"/>
              </w:rPr>
              <w:t>2021/11/29</w:t>
            </w:r>
          </w:p>
        </w:tc>
        <w:tc>
          <w:tcPr>
            <w:tcW w:w="880" w:type="dxa"/>
            <w:vAlign w:val="top"/>
          </w:tcPr>
          <w:p w14:paraId="16F9D08B">
            <w:pPr>
              <w:pStyle w:val="6"/>
              <w:spacing w:before="77" w:line="190" w:lineRule="auto"/>
              <w:ind w:left="267"/>
            </w:pPr>
            <w:r>
              <w:rPr>
                <w:spacing w:val="-6"/>
              </w:rPr>
              <w:t>17.1</w:t>
            </w:r>
          </w:p>
        </w:tc>
        <w:tc>
          <w:tcPr>
            <w:tcW w:w="880" w:type="dxa"/>
            <w:vAlign w:val="top"/>
          </w:tcPr>
          <w:p w14:paraId="3C72F805">
            <w:pPr>
              <w:pStyle w:val="6"/>
              <w:spacing w:before="77" w:line="190" w:lineRule="auto"/>
              <w:ind w:left="304"/>
            </w:pPr>
            <w:r>
              <w:rPr>
                <w:spacing w:val="-3"/>
              </w:rPr>
              <w:t>7.9</w:t>
            </w:r>
          </w:p>
        </w:tc>
        <w:tc>
          <w:tcPr>
            <w:tcW w:w="880" w:type="dxa"/>
            <w:vAlign w:val="top"/>
          </w:tcPr>
          <w:p w14:paraId="65465E08">
            <w:pPr>
              <w:pStyle w:val="6"/>
              <w:spacing w:before="77" w:line="190" w:lineRule="auto"/>
              <w:ind w:left="390"/>
            </w:pPr>
            <w:r>
              <w:t>8</w:t>
            </w:r>
          </w:p>
        </w:tc>
        <w:tc>
          <w:tcPr>
            <w:tcW w:w="880" w:type="dxa"/>
            <w:vAlign w:val="top"/>
          </w:tcPr>
          <w:p w14:paraId="51FC21FF">
            <w:pPr>
              <w:pStyle w:val="6"/>
              <w:spacing w:before="77" w:line="190" w:lineRule="auto"/>
              <w:ind w:left="309"/>
            </w:pPr>
            <w:r>
              <w:rPr>
                <w:spacing w:val="-3"/>
              </w:rPr>
              <w:t>6.9</w:t>
            </w:r>
          </w:p>
        </w:tc>
        <w:tc>
          <w:tcPr>
            <w:tcW w:w="880" w:type="dxa"/>
            <w:vAlign w:val="top"/>
          </w:tcPr>
          <w:p w14:paraId="0540CC12">
            <w:pPr>
              <w:pStyle w:val="6"/>
              <w:spacing w:before="77" w:line="190" w:lineRule="auto"/>
              <w:ind w:left="307"/>
            </w:pPr>
            <w:r>
              <w:rPr>
                <w:spacing w:val="-2"/>
              </w:rPr>
              <w:t>2.5</w:t>
            </w:r>
          </w:p>
        </w:tc>
        <w:tc>
          <w:tcPr>
            <w:tcW w:w="880" w:type="dxa"/>
            <w:vAlign w:val="top"/>
          </w:tcPr>
          <w:p w14:paraId="42EF1F7E">
            <w:pPr>
              <w:pStyle w:val="6"/>
              <w:spacing w:before="77" w:line="190" w:lineRule="auto"/>
              <w:ind w:left="391"/>
            </w:pPr>
            <w:r>
              <w:t>7</w:t>
            </w:r>
          </w:p>
        </w:tc>
        <w:tc>
          <w:tcPr>
            <w:tcW w:w="880" w:type="dxa"/>
            <w:vAlign w:val="top"/>
          </w:tcPr>
          <w:p w14:paraId="33F6A2BB">
            <w:pPr>
              <w:pStyle w:val="6"/>
              <w:spacing w:before="77" w:line="190" w:lineRule="auto"/>
              <w:ind w:left="331"/>
            </w:pPr>
            <w:r>
              <w:rPr>
                <w:spacing w:val="-8"/>
              </w:rPr>
              <w:t>1.3</w:t>
            </w:r>
          </w:p>
        </w:tc>
        <w:tc>
          <w:tcPr>
            <w:tcW w:w="880" w:type="dxa"/>
            <w:vAlign w:val="top"/>
          </w:tcPr>
          <w:p w14:paraId="26D7D927">
            <w:pPr>
              <w:pStyle w:val="6"/>
              <w:spacing w:before="77" w:line="190" w:lineRule="auto"/>
              <w:ind w:left="212"/>
            </w:pPr>
            <w:r>
              <w:rPr>
                <w:spacing w:val="-2"/>
              </w:rPr>
              <w:t>0.488</w:t>
            </w:r>
          </w:p>
        </w:tc>
        <w:tc>
          <w:tcPr>
            <w:tcW w:w="880" w:type="dxa"/>
            <w:vAlign w:val="top"/>
          </w:tcPr>
          <w:p w14:paraId="53B60D42">
            <w:pPr>
              <w:pStyle w:val="6"/>
              <w:spacing w:before="77" w:line="190" w:lineRule="auto"/>
              <w:ind w:left="266"/>
            </w:pPr>
            <w:r>
              <w:rPr>
                <w:spacing w:val="-2"/>
              </w:rPr>
              <w:t>0.03</w:t>
            </w:r>
          </w:p>
        </w:tc>
        <w:tc>
          <w:tcPr>
            <w:tcW w:w="880" w:type="dxa"/>
            <w:vAlign w:val="top"/>
          </w:tcPr>
          <w:p w14:paraId="1472CCF8">
            <w:pPr>
              <w:pStyle w:val="6"/>
              <w:spacing w:before="77" w:line="190" w:lineRule="auto"/>
              <w:ind w:left="268"/>
            </w:pPr>
            <w:r>
              <w:rPr>
                <w:spacing w:val="-2"/>
              </w:rPr>
              <w:t>0.01</w:t>
            </w:r>
          </w:p>
        </w:tc>
        <w:tc>
          <w:tcPr>
            <w:tcW w:w="881" w:type="dxa"/>
            <w:vAlign w:val="top"/>
          </w:tcPr>
          <w:p w14:paraId="50604AA4">
            <w:pPr>
              <w:pStyle w:val="6"/>
              <w:spacing w:before="77" w:line="190" w:lineRule="auto"/>
              <w:ind w:left="206"/>
            </w:pPr>
            <w:r>
              <w:rPr>
                <w:spacing w:val="-2"/>
              </w:rPr>
              <w:t>0.05L</w:t>
            </w:r>
          </w:p>
        </w:tc>
        <w:tc>
          <w:tcPr>
            <w:tcW w:w="894" w:type="dxa"/>
            <w:tcBorders>
              <w:right w:val="single" w:color="000000" w:sz="12" w:space="0"/>
            </w:tcBorders>
            <w:vAlign w:val="top"/>
          </w:tcPr>
          <w:p w14:paraId="5904BBF7">
            <w:pPr>
              <w:pStyle w:val="6"/>
              <w:spacing w:before="77" w:line="190" w:lineRule="auto"/>
              <w:ind w:left="248"/>
            </w:pPr>
            <w:r>
              <w:rPr>
                <w:spacing w:val="-2"/>
              </w:rPr>
              <w:t>5600</w:t>
            </w:r>
          </w:p>
        </w:tc>
      </w:tr>
      <w:tr w14:paraId="229A0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tcBorders>
            <w:vAlign w:val="top"/>
          </w:tcPr>
          <w:p w14:paraId="1F26DBFF">
            <w:pPr>
              <w:rPr>
                <w:rFonts w:ascii="Arial"/>
                <w:sz w:val="21"/>
              </w:rPr>
            </w:pPr>
          </w:p>
        </w:tc>
        <w:tc>
          <w:tcPr>
            <w:tcW w:w="285" w:type="dxa"/>
            <w:vMerge w:val="continue"/>
            <w:tcBorders>
              <w:top w:val="nil"/>
            </w:tcBorders>
            <w:vAlign w:val="top"/>
          </w:tcPr>
          <w:p w14:paraId="0544AAE7">
            <w:pPr>
              <w:rPr>
                <w:rFonts w:ascii="Arial"/>
                <w:sz w:val="21"/>
              </w:rPr>
            </w:pPr>
          </w:p>
        </w:tc>
        <w:tc>
          <w:tcPr>
            <w:tcW w:w="1273" w:type="dxa"/>
            <w:vAlign w:val="top"/>
          </w:tcPr>
          <w:p w14:paraId="76B52FE3">
            <w:pPr>
              <w:pStyle w:val="6"/>
              <w:spacing w:before="78" w:line="190" w:lineRule="auto"/>
              <w:ind w:left="147"/>
            </w:pPr>
            <w:r>
              <w:rPr>
                <w:spacing w:val="-1"/>
              </w:rPr>
              <w:t>2021/11/30</w:t>
            </w:r>
          </w:p>
        </w:tc>
        <w:tc>
          <w:tcPr>
            <w:tcW w:w="880" w:type="dxa"/>
            <w:vAlign w:val="top"/>
          </w:tcPr>
          <w:p w14:paraId="2E355310">
            <w:pPr>
              <w:pStyle w:val="6"/>
              <w:spacing w:before="78" w:line="190" w:lineRule="auto"/>
              <w:ind w:left="267"/>
            </w:pPr>
            <w:r>
              <w:rPr>
                <w:spacing w:val="-6"/>
              </w:rPr>
              <w:t>16.9</w:t>
            </w:r>
          </w:p>
        </w:tc>
        <w:tc>
          <w:tcPr>
            <w:tcW w:w="880" w:type="dxa"/>
            <w:vAlign w:val="top"/>
          </w:tcPr>
          <w:p w14:paraId="46E414F3">
            <w:pPr>
              <w:pStyle w:val="6"/>
              <w:spacing w:before="78" w:line="190" w:lineRule="auto"/>
              <w:ind w:left="304"/>
            </w:pPr>
            <w:r>
              <w:rPr>
                <w:spacing w:val="-3"/>
              </w:rPr>
              <w:t>7.8</w:t>
            </w:r>
          </w:p>
        </w:tc>
        <w:tc>
          <w:tcPr>
            <w:tcW w:w="880" w:type="dxa"/>
            <w:vAlign w:val="top"/>
          </w:tcPr>
          <w:p w14:paraId="377E46B1">
            <w:pPr>
              <w:pStyle w:val="6"/>
              <w:spacing w:before="78" w:line="190" w:lineRule="auto"/>
              <w:ind w:left="385"/>
            </w:pPr>
            <w:r>
              <w:t>7</w:t>
            </w:r>
          </w:p>
        </w:tc>
        <w:tc>
          <w:tcPr>
            <w:tcW w:w="880" w:type="dxa"/>
            <w:vAlign w:val="top"/>
          </w:tcPr>
          <w:p w14:paraId="13821775">
            <w:pPr>
              <w:pStyle w:val="6"/>
              <w:spacing w:before="78" w:line="190" w:lineRule="auto"/>
              <w:ind w:left="308"/>
            </w:pPr>
            <w:r>
              <w:rPr>
                <w:spacing w:val="-3"/>
              </w:rPr>
              <w:t>7.4</w:t>
            </w:r>
          </w:p>
        </w:tc>
        <w:tc>
          <w:tcPr>
            <w:tcW w:w="880" w:type="dxa"/>
            <w:vAlign w:val="top"/>
          </w:tcPr>
          <w:p w14:paraId="7B9EBDFD">
            <w:pPr>
              <w:pStyle w:val="6"/>
              <w:spacing w:before="78" w:line="190" w:lineRule="auto"/>
              <w:ind w:left="307"/>
            </w:pPr>
            <w:r>
              <w:rPr>
                <w:spacing w:val="-2"/>
              </w:rPr>
              <w:t>2.1</w:t>
            </w:r>
          </w:p>
        </w:tc>
        <w:tc>
          <w:tcPr>
            <w:tcW w:w="880" w:type="dxa"/>
            <w:vAlign w:val="top"/>
          </w:tcPr>
          <w:p w14:paraId="7839E083">
            <w:pPr>
              <w:pStyle w:val="6"/>
              <w:spacing w:before="78" w:line="190" w:lineRule="auto"/>
              <w:ind w:left="397"/>
            </w:pPr>
            <w:r>
              <w:t>8</w:t>
            </w:r>
          </w:p>
        </w:tc>
        <w:tc>
          <w:tcPr>
            <w:tcW w:w="880" w:type="dxa"/>
            <w:vAlign w:val="top"/>
          </w:tcPr>
          <w:p w14:paraId="1B9D77ED">
            <w:pPr>
              <w:pStyle w:val="6"/>
              <w:spacing w:before="78" w:line="190" w:lineRule="auto"/>
              <w:ind w:left="331"/>
            </w:pPr>
            <w:r>
              <w:rPr>
                <w:spacing w:val="-8"/>
              </w:rPr>
              <w:t>1.4</w:t>
            </w:r>
          </w:p>
        </w:tc>
        <w:tc>
          <w:tcPr>
            <w:tcW w:w="880" w:type="dxa"/>
            <w:vAlign w:val="top"/>
          </w:tcPr>
          <w:p w14:paraId="1591BCE1">
            <w:pPr>
              <w:pStyle w:val="6"/>
              <w:spacing w:before="78" w:line="190" w:lineRule="auto"/>
              <w:ind w:left="212"/>
            </w:pPr>
            <w:r>
              <w:rPr>
                <w:spacing w:val="-2"/>
              </w:rPr>
              <w:t>0.492</w:t>
            </w:r>
          </w:p>
        </w:tc>
        <w:tc>
          <w:tcPr>
            <w:tcW w:w="880" w:type="dxa"/>
            <w:vAlign w:val="top"/>
          </w:tcPr>
          <w:p w14:paraId="4647A940">
            <w:pPr>
              <w:pStyle w:val="6"/>
              <w:spacing w:before="78" w:line="190" w:lineRule="auto"/>
              <w:ind w:left="266"/>
            </w:pPr>
            <w:r>
              <w:rPr>
                <w:spacing w:val="-2"/>
              </w:rPr>
              <w:t>0.02</w:t>
            </w:r>
          </w:p>
        </w:tc>
        <w:tc>
          <w:tcPr>
            <w:tcW w:w="880" w:type="dxa"/>
            <w:vAlign w:val="top"/>
          </w:tcPr>
          <w:p w14:paraId="0560F559">
            <w:pPr>
              <w:pStyle w:val="6"/>
              <w:spacing w:before="78" w:line="190" w:lineRule="auto"/>
              <w:ind w:left="268"/>
            </w:pPr>
            <w:r>
              <w:rPr>
                <w:spacing w:val="-2"/>
              </w:rPr>
              <w:t>0.02</w:t>
            </w:r>
          </w:p>
        </w:tc>
        <w:tc>
          <w:tcPr>
            <w:tcW w:w="881" w:type="dxa"/>
            <w:vAlign w:val="top"/>
          </w:tcPr>
          <w:p w14:paraId="61A614EF">
            <w:pPr>
              <w:pStyle w:val="6"/>
              <w:spacing w:before="78" w:line="190" w:lineRule="auto"/>
              <w:ind w:left="206"/>
            </w:pPr>
            <w:r>
              <w:rPr>
                <w:spacing w:val="-2"/>
              </w:rPr>
              <w:t>0.05L</w:t>
            </w:r>
          </w:p>
        </w:tc>
        <w:tc>
          <w:tcPr>
            <w:tcW w:w="894" w:type="dxa"/>
            <w:tcBorders>
              <w:right w:val="single" w:color="000000" w:sz="12" w:space="0"/>
            </w:tcBorders>
            <w:vAlign w:val="top"/>
          </w:tcPr>
          <w:p w14:paraId="1EE9D5D6">
            <w:pPr>
              <w:pStyle w:val="6"/>
              <w:spacing w:before="78" w:line="190" w:lineRule="auto"/>
              <w:ind w:left="248"/>
            </w:pPr>
            <w:r>
              <w:rPr>
                <w:spacing w:val="-2"/>
              </w:rPr>
              <w:t>5800</w:t>
            </w:r>
          </w:p>
        </w:tc>
      </w:tr>
      <w:tr w14:paraId="1F514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622D08A0">
            <w:pPr>
              <w:spacing w:line="289" w:lineRule="auto"/>
              <w:rPr>
                <w:rFonts w:ascii="Arial"/>
                <w:sz w:val="21"/>
              </w:rPr>
            </w:pPr>
          </w:p>
          <w:p w14:paraId="5C5D8514">
            <w:pPr>
              <w:spacing w:line="290" w:lineRule="auto"/>
              <w:rPr>
                <w:rFonts w:ascii="Arial"/>
                <w:sz w:val="21"/>
              </w:rPr>
            </w:pPr>
          </w:p>
          <w:p w14:paraId="148FC2BB">
            <w:pPr>
              <w:spacing w:line="290" w:lineRule="auto"/>
              <w:rPr>
                <w:rFonts w:ascii="Arial"/>
                <w:sz w:val="21"/>
              </w:rPr>
            </w:pPr>
          </w:p>
          <w:p w14:paraId="26F254B5">
            <w:pPr>
              <w:spacing w:line="290" w:lineRule="auto"/>
              <w:rPr>
                <w:rFonts w:ascii="Arial"/>
                <w:sz w:val="21"/>
              </w:rPr>
            </w:pPr>
          </w:p>
          <w:p w14:paraId="447A4A33">
            <w:pPr>
              <w:spacing w:before="68" w:line="219" w:lineRule="auto"/>
              <w:ind w:left="103"/>
              <w:rPr>
                <w:rFonts w:ascii="宋体" w:hAnsi="宋体" w:eastAsia="宋体" w:cs="宋体"/>
                <w:sz w:val="21"/>
                <w:szCs w:val="21"/>
              </w:rPr>
            </w:pPr>
            <w:r>
              <w:rPr>
                <w:rFonts w:ascii="宋体" w:hAnsi="宋体" w:eastAsia="宋体" w:cs="宋体"/>
                <w:spacing w:val="-3"/>
                <w:sz w:val="21"/>
                <w:szCs w:val="21"/>
              </w:rPr>
              <w:t>马龙河干流</w:t>
            </w:r>
          </w:p>
          <w:p w14:paraId="0C86D7E5">
            <w:pPr>
              <w:spacing w:before="23" w:line="220" w:lineRule="auto"/>
              <w:ind w:left="102"/>
              <w:rPr>
                <w:rFonts w:ascii="宋体" w:hAnsi="宋体" w:eastAsia="宋体" w:cs="宋体"/>
                <w:sz w:val="21"/>
                <w:szCs w:val="21"/>
              </w:rPr>
            </w:pPr>
            <w:r>
              <w:rPr>
                <w:rFonts w:ascii="宋体" w:hAnsi="宋体" w:eastAsia="宋体" w:cs="宋体"/>
                <w:spacing w:val="-3"/>
                <w:sz w:val="21"/>
                <w:szCs w:val="21"/>
              </w:rPr>
              <w:t>（车马碧水</w:t>
            </w:r>
          </w:p>
          <w:p w14:paraId="610C8FB9">
            <w:pPr>
              <w:spacing w:before="22" w:line="220" w:lineRule="auto"/>
              <w:ind w:left="97"/>
              <w:rPr>
                <w:rFonts w:ascii="宋体" w:hAnsi="宋体" w:eastAsia="宋体" w:cs="宋体"/>
                <w:sz w:val="21"/>
                <w:szCs w:val="21"/>
              </w:rPr>
            </w:pPr>
            <w:r>
              <w:rPr>
                <w:rFonts w:ascii="宋体" w:hAnsi="宋体" w:eastAsia="宋体" w:cs="宋体"/>
                <w:spacing w:val="-2"/>
                <w:sz w:val="21"/>
                <w:szCs w:val="21"/>
              </w:rPr>
              <w:t>库坝址下游</w:t>
            </w:r>
          </w:p>
          <w:p w14:paraId="6112ED07">
            <w:pPr>
              <w:pStyle w:val="6"/>
              <w:spacing w:before="22" w:line="280" w:lineRule="exact"/>
              <w:ind w:left="347"/>
              <w:rPr>
                <w:rFonts w:ascii="宋体" w:hAnsi="宋体" w:eastAsia="宋体" w:cs="宋体"/>
              </w:rPr>
            </w:pPr>
            <w:r>
              <w:rPr>
                <w:spacing w:val="-6"/>
                <w:position w:val="1"/>
              </w:rPr>
              <w:t>1km</w:t>
            </w:r>
            <w:r>
              <w:rPr>
                <w:rFonts w:ascii="宋体" w:hAnsi="宋体" w:eastAsia="宋体" w:cs="宋体"/>
                <w:spacing w:val="-6"/>
                <w:position w:val="1"/>
              </w:rPr>
              <w:t>）</w:t>
            </w:r>
          </w:p>
        </w:tc>
        <w:tc>
          <w:tcPr>
            <w:tcW w:w="285" w:type="dxa"/>
            <w:vMerge w:val="restart"/>
            <w:tcBorders>
              <w:bottom w:val="nil"/>
            </w:tcBorders>
            <w:vAlign w:val="top"/>
          </w:tcPr>
          <w:p w14:paraId="00D08E99">
            <w:pPr>
              <w:pStyle w:val="6"/>
              <w:spacing w:before="97" w:line="222" w:lineRule="auto"/>
              <w:ind w:left="97"/>
            </w:pPr>
            <w:r>
              <w:t>1</w:t>
            </w:r>
          </w:p>
          <w:p w14:paraId="250030ED">
            <w:pPr>
              <w:spacing w:line="219" w:lineRule="auto"/>
              <w:ind w:left="29"/>
              <w:rPr>
                <w:rFonts w:ascii="宋体" w:hAnsi="宋体" w:eastAsia="宋体" w:cs="宋体"/>
                <w:sz w:val="21"/>
                <w:szCs w:val="21"/>
              </w:rPr>
            </w:pPr>
            <w:r>
              <w:rPr>
                <w:rFonts w:ascii="宋体" w:hAnsi="宋体" w:eastAsia="宋体" w:cs="宋体"/>
                <w:sz w:val="21"/>
                <w:szCs w:val="21"/>
              </w:rPr>
              <w:t>季</w:t>
            </w:r>
          </w:p>
          <w:p w14:paraId="2BE458AD">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8366305">
            <w:pPr>
              <w:pStyle w:val="6"/>
              <w:spacing w:before="79" w:line="188" w:lineRule="auto"/>
              <w:ind w:left="199"/>
            </w:pPr>
            <w:r>
              <w:rPr>
                <w:spacing w:val="-1"/>
              </w:rPr>
              <w:t>2021/3/18</w:t>
            </w:r>
          </w:p>
        </w:tc>
        <w:tc>
          <w:tcPr>
            <w:tcW w:w="880" w:type="dxa"/>
            <w:vAlign w:val="top"/>
          </w:tcPr>
          <w:p w14:paraId="596E52D3">
            <w:pPr>
              <w:pStyle w:val="6"/>
              <w:spacing w:before="79" w:line="188" w:lineRule="auto"/>
              <w:ind w:left="267"/>
            </w:pPr>
            <w:r>
              <w:rPr>
                <w:spacing w:val="-6"/>
              </w:rPr>
              <w:t>14.4</w:t>
            </w:r>
          </w:p>
        </w:tc>
        <w:tc>
          <w:tcPr>
            <w:tcW w:w="880" w:type="dxa"/>
            <w:vAlign w:val="top"/>
          </w:tcPr>
          <w:p w14:paraId="490C2B87">
            <w:pPr>
              <w:pStyle w:val="6"/>
              <w:spacing w:before="79" w:line="188" w:lineRule="auto"/>
              <w:ind w:left="257"/>
            </w:pPr>
            <w:r>
              <w:rPr>
                <w:spacing w:val="-4"/>
              </w:rPr>
              <w:t>8.12</w:t>
            </w:r>
          </w:p>
        </w:tc>
        <w:tc>
          <w:tcPr>
            <w:tcW w:w="880" w:type="dxa"/>
            <w:vAlign w:val="top"/>
          </w:tcPr>
          <w:p w14:paraId="479DE6EB">
            <w:pPr>
              <w:pStyle w:val="6"/>
              <w:spacing w:before="82" w:line="185" w:lineRule="auto"/>
              <w:ind w:left="317"/>
            </w:pPr>
            <w:r>
              <w:rPr>
                <w:spacing w:val="-1"/>
              </w:rPr>
              <w:t>4L</w:t>
            </w:r>
          </w:p>
        </w:tc>
        <w:tc>
          <w:tcPr>
            <w:tcW w:w="880" w:type="dxa"/>
            <w:vAlign w:val="top"/>
          </w:tcPr>
          <w:p w14:paraId="23F07671">
            <w:pPr>
              <w:pStyle w:val="6"/>
              <w:spacing w:before="79" w:line="188" w:lineRule="auto"/>
              <w:ind w:left="309"/>
            </w:pPr>
            <w:r>
              <w:rPr>
                <w:spacing w:val="-3"/>
              </w:rPr>
              <w:t>3.4</w:t>
            </w:r>
          </w:p>
        </w:tc>
        <w:tc>
          <w:tcPr>
            <w:tcW w:w="880" w:type="dxa"/>
            <w:vAlign w:val="top"/>
          </w:tcPr>
          <w:p w14:paraId="1192930D">
            <w:pPr>
              <w:pStyle w:val="6"/>
              <w:spacing w:before="79" w:line="188" w:lineRule="auto"/>
              <w:ind w:left="307"/>
            </w:pPr>
            <w:r>
              <w:rPr>
                <w:spacing w:val="-2"/>
              </w:rPr>
              <w:t>2.6</w:t>
            </w:r>
          </w:p>
        </w:tc>
        <w:tc>
          <w:tcPr>
            <w:tcW w:w="880" w:type="dxa"/>
            <w:vAlign w:val="top"/>
          </w:tcPr>
          <w:p w14:paraId="7AA18D3E">
            <w:pPr>
              <w:pStyle w:val="6"/>
              <w:spacing w:before="79" w:line="188" w:lineRule="auto"/>
              <w:ind w:left="394"/>
            </w:pPr>
            <w:r>
              <w:t>5</w:t>
            </w:r>
          </w:p>
        </w:tc>
        <w:tc>
          <w:tcPr>
            <w:tcW w:w="880" w:type="dxa"/>
            <w:vAlign w:val="top"/>
          </w:tcPr>
          <w:p w14:paraId="414827FE">
            <w:pPr>
              <w:pStyle w:val="6"/>
              <w:spacing w:before="79" w:line="188" w:lineRule="auto"/>
              <w:ind w:left="331"/>
            </w:pPr>
            <w:r>
              <w:rPr>
                <w:spacing w:val="-8"/>
              </w:rPr>
              <w:t>1.1</w:t>
            </w:r>
          </w:p>
        </w:tc>
        <w:tc>
          <w:tcPr>
            <w:tcW w:w="880" w:type="dxa"/>
            <w:vAlign w:val="top"/>
          </w:tcPr>
          <w:p w14:paraId="7A164074">
            <w:pPr>
              <w:pStyle w:val="6"/>
              <w:spacing w:before="79" w:line="188" w:lineRule="auto"/>
              <w:ind w:left="212"/>
            </w:pPr>
            <w:r>
              <w:rPr>
                <w:spacing w:val="-2"/>
              </w:rPr>
              <w:t>0.111</w:t>
            </w:r>
          </w:p>
        </w:tc>
        <w:tc>
          <w:tcPr>
            <w:tcW w:w="880" w:type="dxa"/>
            <w:vAlign w:val="top"/>
          </w:tcPr>
          <w:p w14:paraId="52663930">
            <w:pPr>
              <w:pStyle w:val="6"/>
              <w:spacing w:before="79" w:line="188" w:lineRule="auto"/>
              <w:ind w:left="266"/>
            </w:pPr>
            <w:r>
              <w:rPr>
                <w:spacing w:val="-2"/>
              </w:rPr>
              <w:t>0.01</w:t>
            </w:r>
          </w:p>
        </w:tc>
        <w:tc>
          <w:tcPr>
            <w:tcW w:w="880" w:type="dxa"/>
            <w:vAlign w:val="top"/>
          </w:tcPr>
          <w:p w14:paraId="3CAD7288">
            <w:pPr>
              <w:pStyle w:val="6"/>
              <w:spacing w:before="79" w:line="188" w:lineRule="auto"/>
              <w:ind w:left="204"/>
            </w:pPr>
            <w:r>
              <w:rPr>
                <w:spacing w:val="-2"/>
              </w:rPr>
              <w:t>0.01L</w:t>
            </w:r>
          </w:p>
        </w:tc>
        <w:tc>
          <w:tcPr>
            <w:tcW w:w="881" w:type="dxa"/>
            <w:vAlign w:val="top"/>
          </w:tcPr>
          <w:p w14:paraId="5E49B9D6">
            <w:pPr>
              <w:pStyle w:val="6"/>
              <w:spacing w:before="79" w:line="188" w:lineRule="auto"/>
              <w:ind w:left="218"/>
            </w:pPr>
            <w:r>
              <w:rPr>
                <w:spacing w:val="-2"/>
              </w:rPr>
              <w:t>0.061</w:t>
            </w:r>
          </w:p>
        </w:tc>
        <w:tc>
          <w:tcPr>
            <w:tcW w:w="894" w:type="dxa"/>
            <w:tcBorders>
              <w:right w:val="single" w:color="000000" w:sz="12" w:space="0"/>
            </w:tcBorders>
            <w:vAlign w:val="top"/>
          </w:tcPr>
          <w:p w14:paraId="67A389A1">
            <w:pPr>
              <w:pStyle w:val="6"/>
              <w:spacing w:before="79" w:line="188" w:lineRule="auto"/>
              <w:ind w:left="347"/>
            </w:pPr>
            <w:r>
              <w:rPr>
                <w:spacing w:val="-1"/>
              </w:rPr>
              <w:t>20</w:t>
            </w:r>
          </w:p>
        </w:tc>
      </w:tr>
      <w:tr w14:paraId="6C4A7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44BE8837">
            <w:pPr>
              <w:rPr>
                <w:rFonts w:ascii="Arial"/>
                <w:sz w:val="21"/>
              </w:rPr>
            </w:pPr>
          </w:p>
        </w:tc>
        <w:tc>
          <w:tcPr>
            <w:tcW w:w="285" w:type="dxa"/>
            <w:vMerge w:val="continue"/>
            <w:tcBorders>
              <w:top w:val="nil"/>
              <w:bottom w:val="nil"/>
            </w:tcBorders>
            <w:vAlign w:val="top"/>
          </w:tcPr>
          <w:p w14:paraId="3AE578E8">
            <w:pPr>
              <w:rPr>
                <w:rFonts w:ascii="Arial"/>
                <w:sz w:val="21"/>
              </w:rPr>
            </w:pPr>
          </w:p>
        </w:tc>
        <w:tc>
          <w:tcPr>
            <w:tcW w:w="1273" w:type="dxa"/>
            <w:vAlign w:val="top"/>
          </w:tcPr>
          <w:p w14:paraId="24ED9FB9">
            <w:pPr>
              <w:pStyle w:val="6"/>
              <w:spacing w:before="80" w:line="189" w:lineRule="auto"/>
              <w:ind w:left="199"/>
            </w:pPr>
            <w:r>
              <w:rPr>
                <w:spacing w:val="-1"/>
              </w:rPr>
              <w:t>2021/3/19</w:t>
            </w:r>
          </w:p>
        </w:tc>
        <w:tc>
          <w:tcPr>
            <w:tcW w:w="880" w:type="dxa"/>
            <w:vAlign w:val="top"/>
          </w:tcPr>
          <w:p w14:paraId="5E6F9C7C">
            <w:pPr>
              <w:pStyle w:val="6"/>
              <w:spacing w:before="80" w:line="189" w:lineRule="auto"/>
              <w:ind w:left="267"/>
            </w:pPr>
            <w:r>
              <w:rPr>
                <w:spacing w:val="-6"/>
              </w:rPr>
              <w:t>14.7</w:t>
            </w:r>
          </w:p>
        </w:tc>
        <w:tc>
          <w:tcPr>
            <w:tcW w:w="880" w:type="dxa"/>
            <w:vAlign w:val="top"/>
          </w:tcPr>
          <w:p w14:paraId="4A7D414E">
            <w:pPr>
              <w:pStyle w:val="6"/>
              <w:spacing w:before="80" w:line="189" w:lineRule="auto"/>
              <w:ind w:left="257"/>
            </w:pPr>
            <w:r>
              <w:rPr>
                <w:spacing w:val="-4"/>
              </w:rPr>
              <w:t>8.09</w:t>
            </w:r>
          </w:p>
        </w:tc>
        <w:tc>
          <w:tcPr>
            <w:tcW w:w="880" w:type="dxa"/>
            <w:vAlign w:val="top"/>
          </w:tcPr>
          <w:p w14:paraId="261B3FAC">
            <w:pPr>
              <w:pStyle w:val="6"/>
              <w:spacing w:before="84" w:line="185" w:lineRule="auto"/>
              <w:ind w:left="317"/>
            </w:pPr>
            <w:r>
              <w:rPr>
                <w:spacing w:val="-1"/>
              </w:rPr>
              <w:t>4L</w:t>
            </w:r>
          </w:p>
        </w:tc>
        <w:tc>
          <w:tcPr>
            <w:tcW w:w="880" w:type="dxa"/>
            <w:vAlign w:val="top"/>
          </w:tcPr>
          <w:p w14:paraId="68920013">
            <w:pPr>
              <w:pStyle w:val="6"/>
              <w:spacing w:before="80" w:line="189" w:lineRule="auto"/>
              <w:ind w:left="309"/>
            </w:pPr>
            <w:r>
              <w:rPr>
                <w:spacing w:val="-3"/>
              </w:rPr>
              <w:t>3.6</w:t>
            </w:r>
          </w:p>
        </w:tc>
        <w:tc>
          <w:tcPr>
            <w:tcW w:w="880" w:type="dxa"/>
            <w:vAlign w:val="top"/>
          </w:tcPr>
          <w:p w14:paraId="1FEA9D5B">
            <w:pPr>
              <w:pStyle w:val="6"/>
              <w:spacing w:before="80" w:line="189" w:lineRule="auto"/>
              <w:ind w:left="307"/>
            </w:pPr>
            <w:r>
              <w:rPr>
                <w:spacing w:val="-2"/>
              </w:rPr>
              <w:t>2.4</w:t>
            </w:r>
          </w:p>
        </w:tc>
        <w:tc>
          <w:tcPr>
            <w:tcW w:w="880" w:type="dxa"/>
            <w:vAlign w:val="top"/>
          </w:tcPr>
          <w:p w14:paraId="4174FDC6">
            <w:pPr>
              <w:pStyle w:val="6"/>
              <w:spacing w:before="80" w:line="189" w:lineRule="auto"/>
              <w:ind w:left="393"/>
            </w:pPr>
            <w:r>
              <w:t>6</w:t>
            </w:r>
          </w:p>
        </w:tc>
        <w:tc>
          <w:tcPr>
            <w:tcW w:w="880" w:type="dxa"/>
            <w:vAlign w:val="top"/>
          </w:tcPr>
          <w:p w14:paraId="5537E4DC">
            <w:pPr>
              <w:pStyle w:val="6"/>
              <w:spacing w:before="80" w:line="189" w:lineRule="auto"/>
              <w:ind w:left="331"/>
            </w:pPr>
            <w:r>
              <w:rPr>
                <w:spacing w:val="-8"/>
              </w:rPr>
              <w:t>1.2</w:t>
            </w:r>
          </w:p>
        </w:tc>
        <w:tc>
          <w:tcPr>
            <w:tcW w:w="880" w:type="dxa"/>
            <w:vAlign w:val="top"/>
          </w:tcPr>
          <w:p w14:paraId="0EF0C4DF">
            <w:pPr>
              <w:pStyle w:val="6"/>
              <w:spacing w:before="80" w:line="189" w:lineRule="auto"/>
              <w:ind w:left="212"/>
            </w:pPr>
            <w:r>
              <w:rPr>
                <w:spacing w:val="-2"/>
              </w:rPr>
              <w:t>0.105</w:t>
            </w:r>
          </w:p>
        </w:tc>
        <w:tc>
          <w:tcPr>
            <w:tcW w:w="880" w:type="dxa"/>
            <w:vAlign w:val="top"/>
          </w:tcPr>
          <w:p w14:paraId="54058E80">
            <w:pPr>
              <w:pStyle w:val="6"/>
              <w:spacing w:before="80" w:line="189" w:lineRule="auto"/>
              <w:ind w:left="266"/>
            </w:pPr>
            <w:r>
              <w:rPr>
                <w:spacing w:val="-2"/>
              </w:rPr>
              <w:t>0.01</w:t>
            </w:r>
          </w:p>
        </w:tc>
        <w:tc>
          <w:tcPr>
            <w:tcW w:w="880" w:type="dxa"/>
            <w:vAlign w:val="top"/>
          </w:tcPr>
          <w:p w14:paraId="7BCDBD82">
            <w:pPr>
              <w:pStyle w:val="6"/>
              <w:spacing w:before="80" w:line="189" w:lineRule="auto"/>
              <w:ind w:left="204"/>
            </w:pPr>
            <w:r>
              <w:rPr>
                <w:spacing w:val="-2"/>
              </w:rPr>
              <w:t>0.01L</w:t>
            </w:r>
          </w:p>
        </w:tc>
        <w:tc>
          <w:tcPr>
            <w:tcW w:w="881" w:type="dxa"/>
            <w:vAlign w:val="top"/>
          </w:tcPr>
          <w:p w14:paraId="53D347B0">
            <w:pPr>
              <w:pStyle w:val="6"/>
              <w:spacing w:before="80" w:line="189" w:lineRule="auto"/>
              <w:ind w:left="218"/>
            </w:pPr>
            <w:r>
              <w:rPr>
                <w:spacing w:val="-2"/>
              </w:rPr>
              <w:t>0.065</w:t>
            </w:r>
          </w:p>
        </w:tc>
        <w:tc>
          <w:tcPr>
            <w:tcW w:w="894" w:type="dxa"/>
            <w:tcBorders>
              <w:right w:val="single" w:color="000000" w:sz="12" w:space="0"/>
            </w:tcBorders>
            <w:vAlign w:val="top"/>
          </w:tcPr>
          <w:p w14:paraId="49053433">
            <w:pPr>
              <w:pStyle w:val="6"/>
              <w:spacing w:before="80" w:line="189" w:lineRule="auto"/>
              <w:ind w:left="346"/>
            </w:pPr>
            <w:r>
              <w:rPr>
                <w:spacing w:val="-1"/>
              </w:rPr>
              <w:t>40</w:t>
            </w:r>
          </w:p>
        </w:tc>
      </w:tr>
      <w:tr w14:paraId="27C9C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9CE3789">
            <w:pPr>
              <w:rPr>
                <w:rFonts w:ascii="Arial"/>
                <w:sz w:val="21"/>
              </w:rPr>
            </w:pPr>
          </w:p>
        </w:tc>
        <w:tc>
          <w:tcPr>
            <w:tcW w:w="285" w:type="dxa"/>
            <w:vMerge w:val="continue"/>
            <w:tcBorders>
              <w:top w:val="nil"/>
            </w:tcBorders>
            <w:vAlign w:val="top"/>
          </w:tcPr>
          <w:p w14:paraId="0F13CE66">
            <w:pPr>
              <w:rPr>
                <w:rFonts w:ascii="Arial"/>
                <w:sz w:val="21"/>
              </w:rPr>
            </w:pPr>
          </w:p>
        </w:tc>
        <w:tc>
          <w:tcPr>
            <w:tcW w:w="1273" w:type="dxa"/>
            <w:vAlign w:val="top"/>
          </w:tcPr>
          <w:p w14:paraId="4F689DB0">
            <w:pPr>
              <w:pStyle w:val="6"/>
              <w:spacing w:before="79" w:line="188" w:lineRule="auto"/>
              <w:ind w:left="199"/>
            </w:pPr>
            <w:r>
              <w:rPr>
                <w:spacing w:val="-1"/>
              </w:rPr>
              <w:t>2021/3/20</w:t>
            </w:r>
          </w:p>
        </w:tc>
        <w:tc>
          <w:tcPr>
            <w:tcW w:w="880" w:type="dxa"/>
            <w:vAlign w:val="top"/>
          </w:tcPr>
          <w:p w14:paraId="38EB7FE8">
            <w:pPr>
              <w:pStyle w:val="6"/>
              <w:spacing w:before="79" w:line="188" w:lineRule="auto"/>
              <w:ind w:left="267"/>
            </w:pPr>
            <w:r>
              <w:rPr>
                <w:spacing w:val="-6"/>
              </w:rPr>
              <w:t>14.9</w:t>
            </w:r>
          </w:p>
        </w:tc>
        <w:tc>
          <w:tcPr>
            <w:tcW w:w="880" w:type="dxa"/>
            <w:vAlign w:val="top"/>
          </w:tcPr>
          <w:p w14:paraId="6EB39D9E">
            <w:pPr>
              <w:pStyle w:val="6"/>
              <w:spacing w:before="79" w:line="188" w:lineRule="auto"/>
              <w:ind w:left="257"/>
            </w:pPr>
            <w:r>
              <w:rPr>
                <w:spacing w:val="-4"/>
              </w:rPr>
              <w:t>8.05</w:t>
            </w:r>
          </w:p>
        </w:tc>
        <w:tc>
          <w:tcPr>
            <w:tcW w:w="880" w:type="dxa"/>
            <w:vAlign w:val="top"/>
          </w:tcPr>
          <w:p w14:paraId="7D986B06">
            <w:pPr>
              <w:pStyle w:val="6"/>
              <w:spacing w:before="83" w:line="184" w:lineRule="auto"/>
              <w:ind w:left="317"/>
            </w:pPr>
            <w:r>
              <w:rPr>
                <w:spacing w:val="-1"/>
              </w:rPr>
              <w:t>4L</w:t>
            </w:r>
          </w:p>
        </w:tc>
        <w:tc>
          <w:tcPr>
            <w:tcW w:w="880" w:type="dxa"/>
            <w:vAlign w:val="top"/>
          </w:tcPr>
          <w:p w14:paraId="0CBB97DD">
            <w:pPr>
              <w:pStyle w:val="6"/>
              <w:spacing w:before="79" w:line="188" w:lineRule="auto"/>
              <w:ind w:left="309"/>
            </w:pPr>
            <w:r>
              <w:rPr>
                <w:spacing w:val="-3"/>
              </w:rPr>
              <w:t>3.2</w:t>
            </w:r>
          </w:p>
        </w:tc>
        <w:tc>
          <w:tcPr>
            <w:tcW w:w="880" w:type="dxa"/>
            <w:vAlign w:val="top"/>
          </w:tcPr>
          <w:p w14:paraId="05578134">
            <w:pPr>
              <w:pStyle w:val="6"/>
              <w:spacing w:before="79" w:line="188" w:lineRule="auto"/>
              <w:ind w:left="307"/>
            </w:pPr>
            <w:r>
              <w:rPr>
                <w:spacing w:val="-2"/>
              </w:rPr>
              <w:t>2.2</w:t>
            </w:r>
          </w:p>
        </w:tc>
        <w:tc>
          <w:tcPr>
            <w:tcW w:w="880" w:type="dxa"/>
            <w:vAlign w:val="top"/>
          </w:tcPr>
          <w:p w14:paraId="5EDED2BD">
            <w:pPr>
              <w:pStyle w:val="6"/>
              <w:spacing w:before="79" w:line="188" w:lineRule="auto"/>
              <w:ind w:left="387"/>
            </w:pPr>
            <w:r>
              <w:t>4</w:t>
            </w:r>
          </w:p>
        </w:tc>
        <w:tc>
          <w:tcPr>
            <w:tcW w:w="880" w:type="dxa"/>
            <w:vAlign w:val="top"/>
          </w:tcPr>
          <w:p w14:paraId="02BB56F8">
            <w:pPr>
              <w:pStyle w:val="6"/>
              <w:spacing w:before="79" w:line="188" w:lineRule="auto"/>
              <w:ind w:left="314"/>
            </w:pPr>
            <w:r>
              <w:rPr>
                <w:spacing w:val="-3"/>
              </w:rPr>
              <w:t>0.8</w:t>
            </w:r>
          </w:p>
        </w:tc>
        <w:tc>
          <w:tcPr>
            <w:tcW w:w="880" w:type="dxa"/>
            <w:vAlign w:val="top"/>
          </w:tcPr>
          <w:p w14:paraId="051A0D84">
            <w:pPr>
              <w:pStyle w:val="6"/>
              <w:spacing w:before="79" w:line="188" w:lineRule="auto"/>
              <w:ind w:left="212"/>
            </w:pPr>
            <w:r>
              <w:rPr>
                <w:spacing w:val="-2"/>
              </w:rPr>
              <w:t>0.114</w:t>
            </w:r>
          </w:p>
        </w:tc>
        <w:tc>
          <w:tcPr>
            <w:tcW w:w="880" w:type="dxa"/>
            <w:vAlign w:val="top"/>
          </w:tcPr>
          <w:p w14:paraId="167C6D83">
            <w:pPr>
              <w:pStyle w:val="6"/>
              <w:spacing w:before="79" w:line="188" w:lineRule="auto"/>
              <w:ind w:left="266"/>
            </w:pPr>
            <w:r>
              <w:rPr>
                <w:spacing w:val="-2"/>
              </w:rPr>
              <w:t>0.01</w:t>
            </w:r>
          </w:p>
        </w:tc>
        <w:tc>
          <w:tcPr>
            <w:tcW w:w="880" w:type="dxa"/>
            <w:vAlign w:val="top"/>
          </w:tcPr>
          <w:p w14:paraId="6F32FDD2">
            <w:pPr>
              <w:pStyle w:val="6"/>
              <w:spacing w:before="79" w:line="188" w:lineRule="auto"/>
              <w:ind w:left="204"/>
            </w:pPr>
            <w:r>
              <w:rPr>
                <w:spacing w:val="-2"/>
              </w:rPr>
              <w:t>0.01L</w:t>
            </w:r>
          </w:p>
        </w:tc>
        <w:tc>
          <w:tcPr>
            <w:tcW w:w="881" w:type="dxa"/>
            <w:vAlign w:val="top"/>
          </w:tcPr>
          <w:p w14:paraId="25E49BF2">
            <w:pPr>
              <w:pStyle w:val="6"/>
              <w:spacing w:before="79" w:line="188" w:lineRule="auto"/>
              <w:ind w:left="218"/>
            </w:pPr>
            <w:r>
              <w:rPr>
                <w:spacing w:val="-2"/>
              </w:rPr>
              <w:t>0.057</w:t>
            </w:r>
          </w:p>
        </w:tc>
        <w:tc>
          <w:tcPr>
            <w:tcW w:w="894" w:type="dxa"/>
            <w:tcBorders>
              <w:right w:val="single" w:color="000000" w:sz="12" w:space="0"/>
            </w:tcBorders>
            <w:vAlign w:val="top"/>
          </w:tcPr>
          <w:p w14:paraId="71A2ACA0">
            <w:pPr>
              <w:pStyle w:val="6"/>
              <w:spacing w:before="79" w:line="188" w:lineRule="auto"/>
              <w:ind w:left="347"/>
            </w:pPr>
            <w:r>
              <w:rPr>
                <w:spacing w:val="-1"/>
              </w:rPr>
              <w:t>20</w:t>
            </w:r>
          </w:p>
        </w:tc>
      </w:tr>
      <w:tr w14:paraId="318E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F95912C">
            <w:pPr>
              <w:rPr>
                <w:rFonts w:ascii="Arial"/>
                <w:sz w:val="21"/>
              </w:rPr>
            </w:pPr>
          </w:p>
        </w:tc>
        <w:tc>
          <w:tcPr>
            <w:tcW w:w="285" w:type="dxa"/>
            <w:vMerge w:val="restart"/>
            <w:tcBorders>
              <w:bottom w:val="nil"/>
            </w:tcBorders>
            <w:vAlign w:val="top"/>
          </w:tcPr>
          <w:p w14:paraId="781604C6">
            <w:pPr>
              <w:pStyle w:val="6"/>
              <w:spacing w:before="99" w:line="223" w:lineRule="auto"/>
              <w:ind w:left="77"/>
            </w:pPr>
            <w:r>
              <w:t>2</w:t>
            </w:r>
          </w:p>
          <w:p w14:paraId="44BBEF94">
            <w:pPr>
              <w:spacing w:line="219" w:lineRule="auto"/>
              <w:ind w:left="29"/>
              <w:rPr>
                <w:rFonts w:ascii="宋体" w:hAnsi="宋体" w:eastAsia="宋体" w:cs="宋体"/>
                <w:sz w:val="21"/>
                <w:szCs w:val="21"/>
              </w:rPr>
            </w:pPr>
            <w:r>
              <w:rPr>
                <w:rFonts w:ascii="宋体" w:hAnsi="宋体" w:eastAsia="宋体" w:cs="宋体"/>
                <w:sz w:val="21"/>
                <w:szCs w:val="21"/>
              </w:rPr>
              <w:t>季</w:t>
            </w:r>
          </w:p>
          <w:p w14:paraId="2842398C">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A3043B9">
            <w:pPr>
              <w:pStyle w:val="6"/>
              <w:spacing w:before="81" w:line="186" w:lineRule="auto"/>
              <w:ind w:left="252"/>
            </w:pPr>
            <w:r>
              <w:rPr>
                <w:spacing w:val="-1"/>
              </w:rPr>
              <w:t>2021/6/3</w:t>
            </w:r>
          </w:p>
        </w:tc>
        <w:tc>
          <w:tcPr>
            <w:tcW w:w="880" w:type="dxa"/>
            <w:vAlign w:val="top"/>
          </w:tcPr>
          <w:p w14:paraId="2E30B2B1">
            <w:pPr>
              <w:pStyle w:val="6"/>
              <w:spacing w:before="81" w:line="186" w:lineRule="auto"/>
              <w:ind w:left="267"/>
            </w:pPr>
            <w:r>
              <w:rPr>
                <w:spacing w:val="-6"/>
              </w:rPr>
              <w:t>14.7</w:t>
            </w:r>
          </w:p>
        </w:tc>
        <w:tc>
          <w:tcPr>
            <w:tcW w:w="880" w:type="dxa"/>
            <w:vAlign w:val="top"/>
          </w:tcPr>
          <w:p w14:paraId="5EF22446">
            <w:pPr>
              <w:pStyle w:val="6"/>
              <w:spacing w:before="81" w:line="186" w:lineRule="auto"/>
              <w:ind w:left="309"/>
            </w:pPr>
            <w:r>
              <w:rPr>
                <w:spacing w:val="-5"/>
              </w:rPr>
              <w:t>8.2</w:t>
            </w:r>
          </w:p>
        </w:tc>
        <w:tc>
          <w:tcPr>
            <w:tcW w:w="880" w:type="dxa"/>
            <w:vAlign w:val="top"/>
          </w:tcPr>
          <w:p w14:paraId="22675086">
            <w:pPr>
              <w:pStyle w:val="6"/>
              <w:spacing w:before="84" w:line="183" w:lineRule="auto"/>
              <w:ind w:left="317"/>
            </w:pPr>
            <w:r>
              <w:rPr>
                <w:spacing w:val="-1"/>
              </w:rPr>
              <w:t>4L</w:t>
            </w:r>
          </w:p>
        </w:tc>
        <w:tc>
          <w:tcPr>
            <w:tcW w:w="880" w:type="dxa"/>
            <w:vAlign w:val="top"/>
          </w:tcPr>
          <w:p w14:paraId="79F45C9E">
            <w:pPr>
              <w:pStyle w:val="6"/>
              <w:spacing w:before="81" w:line="186" w:lineRule="auto"/>
              <w:ind w:left="310"/>
            </w:pPr>
            <w:r>
              <w:rPr>
                <w:spacing w:val="-4"/>
              </w:rPr>
              <w:t>5.1</w:t>
            </w:r>
          </w:p>
        </w:tc>
        <w:tc>
          <w:tcPr>
            <w:tcW w:w="880" w:type="dxa"/>
            <w:vAlign w:val="top"/>
          </w:tcPr>
          <w:p w14:paraId="6DA561AB">
            <w:pPr>
              <w:pStyle w:val="6"/>
              <w:spacing w:before="81" w:line="186" w:lineRule="auto"/>
              <w:ind w:left="311"/>
            </w:pPr>
            <w:r>
              <w:rPr>
                <w:spacing w:val="-3"/>
              </w:rPr>
              <w:t>3.5</w:t>
            </w:r>
          </w:p>
        </w:tc>
        <w:tc>
          <w:tcPr>
            <w:tcW w:w="880" w:type="dxa"/>
            <w:vAlign w:val="top"/>
          </w:tcPr>
          <w:p w14:paraId="1E257BDC">
            <w:pPr>
              <w:pStyle w:val="6"/>
              <w:spacing w:before="81" w:line="186" w:lineRule="auto"/>
              <w:ind w:left="393"/>
            </w:pPr>
            <w:r>
              <w:t>6</w:t>
            </w:r>
          </w:p>
        </w:tc>
        <w:tc>
          <w:tcPr>
            <w:tcW w:w="880" w:type="dxa"/>
            <w:vAlign w:val="top"/>
          </w:tcPr>
          <w:p w14:paraId="01BAC92F">
            <w:pPr>
              <w:pStyle w:val="6"/>
              <w:spacing w:before="81" w:line="186" w:lineRule="auto"/>
              <w:ind w:left="331"/>
            </w:pPr>
            <w:r>
              <w:rPr>
                <w:spacing w:val="-8"/>
              </w:rPr>
              <w:t>1.3</w:t>
            </w:r>
          </w:p>
        </w:tc>
        <w:tc>
          <w:tcPr>
            <w:tcW w:w="880" w:type="dxa"/>
            <w:vAlign w:val="top"/>
          </w:tcPr>
          <w:p w14:paraId="2A4B2D3A">
            <w:pPr>
              <w:pStyle w:val="6"/>
              <w:spacing w:before="81" w:line="186" w:lineRule="auto"/>
              <w:ind w:left="212"/>
            </w:pPr>
            <w:r>
              <w:rPr>
                <w:spacing w:val="-2"/>
              </w:rPr>
              <w:t>0.259</w:t>
            </w:r>
          </w:p>
        </w:tc>
        <w:tc>
          <w:tcPr>
            <w:tcW w:w="880" w:type="dxa"/>
            <w:vAlign w:val="top"/>
          </w:tcPr>
          <w:p w14:paraId="67712F51">
            <w:pPr>
              <w:pStyle w:val="6"/>
              <w:spacing w:before="81" w:line="186" w:lineRule="auto"/>
              <w:ind w:left="266"/>
            </w:pPr>
            <w:r>
              <w:rPr>
                <w:spacing w:val="-2"/>
              </w:rPr>
              <w:t>0.03</w:t>
            </w:r>
          </w:p>
        </w:tc>
        <w:tc>
          <w:tcPr>
            <w:tcW w:w="880" w:type="dxa"/>
            <w:vAlign w:val="top"/>
          </w:tcPr>
          <w:p w14:paraId="3020AAFC">
            <w:pPr>
              <w:pStyle w:val="6"/>
              <w:spacing w:before="81" w:line="186" w:lineRule="auto"/>
              <w:ind w:left="268"/>
            </w:pPr>
            <w:r>
              <w:rPr>
                <w:spacing w:val="-2"/>
              </w:rPr>
              <w:t>0.02</w:t>
            </w:r>
          </w:p>
        </w:tc>
        <w:tc>
          <w:tcPr>
            <w:tcW w:w="881" w:type="dxa"/>
            <w:vAlign w:val="top"/>
          </w:tcPr>
          <w:p w14:paraId="721CB61E">
            <w:pPr>
              <w:pStyle w:val="6"/>
              <w:spacing w:before="81" w:line="186" w:lineRule="auto"/>
              <w:ind w:left="218"/>
            </w:pPr>
            <w:r>
              <w:rPr>
                <w:spacing w:val="-2"/>
              </w:rPr>
              <w:t>0.080</w:t>
            </w:r>
          </w:p>
        </w:tc>
        <w:tc>
          <w:tcPr>
            <w:tcW w:w="894" w:type="dxa"/>
            <w:tcBorders>
              <w:right w:val="single" w:color="000000" w:sz="12" w:space="0"/>
            </w:tcBorders>
            <w:vAlign w:val="top"/>
          </w:tcPr>
          <w:p w14:paraId="24B72B16">
            <w:pPr>
              <w:pStyle w:val="6"/>
              <w:spacing w:before="81" w:line="186" w:lineRule="auto"/>
              <w:ind w:left="352"/>
            </w:pPr>
            <w:r>
              <w:rPr>
                <w:spacing w:val="-3"/>
              </w:rPr>
              <w:t>50</w:t>
            </w:r>
          </w:p>
        </w:tc>
      </w:tr>
      <w:tr w14:paraId="3AF45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19D6B38C">
            <w:pPr>
              <w:rPr>
                <w:rFonts w:ascii="Arial"/>
                <w:sz w:val="21"/>
              </w:rPr>
            </w:pPr>
          </w:p>
        </w:tc>
        <w:tc>
          <w:tcPr>
            <w:tcW w:w="285" w:type="dxa"/>
            <w:vMerge w:val="continue"/>
            <w:tcBorders>
              <w:top w:val="nil"/>
              <w:bottom w:val="nil"/>
            </w:tcBorders>
            <w:vAlign w:val="top"/>
          </w:tcPr>
          <w:p w14:paraId="5E83350F">
            <w:pPr>
              <w:rPr>
                <w:rFonts w:ascii="Arial"/>
                <w:sz w:val="21"/>
              </w:rPr>
            </w:pPr>
          </w:p>
        </w:tc>
        <w:tc>
          <w:tcPr>
            <w:tcW w:w="1273" w:type="dxa"/>
            <w:vAlign w:val="top"/>
          </w:tcPr>
          <w:p w14:paraId="58928AA6">
            <w:pPr>
              <w:pStyle w:val="6"/>
              <w:spacing w:before="82" w:line="186" w:lineRule="auto"/>
              <w:ind w:left="252"/>
            </w:pPr>
            <w:r>
              <w:rPr>
                <w:spacing w:val="-1"/>
              </w:rPr>
              <w:t>2021/6/4</w:t>
            </w:r>
          </w:p>
        </w:tc>
        <w:tc>
          <w:tcPr>
            <w:tcW w:w="880" w:type="dxa"/>
            <w:vAlign w:val="top"/>
          </w:tcPr>
          <w:p w14:paraId="6AEE36C9">
            <w:pPr>
              <w:pStyle w:val="6"/>
              <w:spacing w:before="82" w:line="186" w:lineRule="auto"/>
              <w:ind w:left="267"/>
            </w:pPr>
            <w:r>
              <w:rPr>
                <w:spacing w:val="-6"/>
              </w:rPr>
              <w:t>14.9</w:t>
            </w:r>
          </w:p>
        </w:tc>
        <w:tc>
          <w:tcPr>
            <w:tcW w:w="880" w:type="dxa"/>
            <w:vAlign w:val="top"/>
          </w:tcPr>
          <w:p w14:paraId="7A789AA4">
            <w:pPr>
              <w:pStyle w:val="6"/>
              <w:spacing w:before="82" w:line="186" w:lineRule="auto"/>
              <w:ind w:left="309"/>
            </w:pPr>
            <w:r>
              <w:rPr>
                <w:spacing w:val="-5"/>
              </w:rPr>
              <w:t>8.2</w:t>
            </w:r>
          </w:p>
        </w:tc>
        <w:tc>
          <w:tcPr>
            <w:tcW w:w="880" w:type="dxa"/>
            <w:vAlign w:val="top"/>
          </w:tcPr>
          <w:p w14:paraId="79A62C8A">
            <w:pPr>
              <w:pStyle w:val="6"/>
              <w:spacing w:before="86" w:line="182" w:lineRule="auto"/>
              <w:ind w:left="317"/>
            </w:pPr>
            <w:r>
              <w:rPr>
                <w:spacing w:val="-1"/>
              </w:rPr>
              <w:t>4L</w:t>
            </w:r>
          </w:p>
        </w:tc>
        <w:tc>
          <w:tcPr>
            <w:tcW w:w="880" w:type="dxa"/>
            <w:vAlign w:val="top"/>
          </w:tcPr>
          <w:p w14:paraId="3C9500F0">
            <w:pPr>
              <w:pStyle w:val="6"/>
              <w:spacing w:before="82" w:line="186" w:lineRule="auto"/>
              <w:ind w:left="310"/>
            </w:pPr>
            <w:r>
              <w:rPr>
                <w:spacing w:val="-4"/>
              </w:rPr>
              <w:t>5.3</w:t>
            </w:r>
          </w:p>
        </w:tc>
        <w:tc>
          <w:tcPr>
            <w:tcW w:w="880" w:type="dxa"/>
            <w:vAlign w:val="top"/>
          </w:tcPr>
          <w:p w14:paraId="44BFCAAB">
            <w:pPr>
              <w:pStyle w:val="6"/>
              <w:spacing w:before="82" w:line="186" w:lineRule="auto"/>
              <w:ind w:left="311"/>
            </w:pPr>
            <w:r>
              <w:rPr>
                <w:spacing w:val="-3"/>
              </w:rPr>
              <w:t>3.4</w:t>
            </w:r>
          </w:p>
        </w:tc>
        <w:tc>
          <w:tcPr>
            <w:tcW w:w="880" w:type="dxa"/>
            <w:vAlign w:val="top"/>
          </w:tcPr>
          <w:p w14:paraId="678CAAA4">
            <w:pPr>
              <w:pStyle w:val="6"/>
              <w:spacing w:before="82" w:line="186" w:lineRule="auto"/>
              <w:ind w:left="394"/>
            </w:pPr>
            <w:r>
              <w:t>5</w:t>
            </w:r>
          </w:p>
        </w:tc>
        <w:tc>
          <w:tcPr>
            <w:tcW w:w="880" w:type="dxa"/>
            <w:vAlign w:val="top"/>
          </w:tcPr>
          <w:p w14:paraId="4064602B">
            <w:pPr>
              <w:pStyle w:val="6"/>
              <w:spacing w:before="82" w:line="186" w:lineRule="auto"/>
              <w:ind w:left="314"/>
            </w:pPr>
            <w:r>
              <w:rPr>
                <w:spacing w:val="-3"/>
              </w:rPr>
              <w:t>0.9</w:t>
            </w:r>
          </w:p>
        </w:tc>
        <w:tc>
          <w:tcPr>
            <w:tcW w:w="880" w:type="dxa"/>
            <w:vAlign w:val="top"/>
          </w:tcPr>
          <w:p w14:paraId="2BB0B23D">
            <w:pPr>
              <w:pStyle w:val="6"/>
              <w:spacing w:before="82" w:line="186" w:lineRule="auto"/>
              <w:ind w:left="212"/>
            </w:pPr>
            <w:r>
              <w:rPr>
                <w:spacing w:val="-2"/>
              </w:rPr>
              <w:t>0.253</w:t>
            </w:r>
          </w:p>
        </w:tc>
        <w:tc>
          <w:tcPr>
            <w:tcW w:w="880" w:type="dxa"/>
            <w:vAlign w:val="top"/>
          </w:tcPr>
          <w:p w14:paraId="5E57C18E">
            <w:pPr>
              <w:pStyle w:val="6"/>
              <w:spacing w:before="82" w:line="186" w:lineRule="auto"/>
              <w:ind w:left="266"/>
            </w:pPr>
            <w:r>
              <w:rPr>
                <w:spacing w:val="-2"/>
              </w:rPr>
              <w:t>0.03</w:t>
            </w:r>
          </w:p>
        </w:tc>
        <w:tc>
          <w:tcPr>
            <w:tcW w:w="880" w:type="dxa"/>
            <w:vAlign w:val="top"/>
          </w:tcPr>
          <w:p w14:paraId="6F173DD4">
            <w:pPr>
              <w:pStyle w:val="6"/>
              <w:spacing w:before="82" w:line="186" w:lineRule="auto"/>
              <w:ind w:left="268"/>
            </w:pPr>
            <w:r>
              <w:rPr>
                <w:spacing w:val="-2"/>
              </w:rPr>
              <w:t>0.02</w:t>
            </w:r>
          </w:p>
        </w:tc>
        <w:tc>
          <w:tcPr>
            <w:tcW w:w="881" w:type="dxa"/>
            <w:vAlign w:val="top"/>
          </w:tcPr>
          <w:p w14:paraId="656B64B0">
            <w:pPr>
              <w:pStyle w:val="6"/>
              <w:spacing w:before="82" w:line="186" w:lineRule="auto"/>
              <w:ind w:left="218"/>
            </w:pPr>
            <w:r>
              <w:rPr>
                <w:spacing w:val="-2"/>
              </w:rPr>
              <w:t>0.075</w:t>
            </w:r>
          </w:p>
        </w:tc>
        <w:tc>
          <w:tcPr>
            <w:tcW w:w="894" w:type="dxa"/>
            <w:tcBorders>
              <w:right w:val="single" w:color="000000" w:sz="12" w:space="0"/>
            </w:tcBorders>
            <w:vAlign w:val="top"/>
          </w:tcPr>
          <w:p w14:paraId="2A47E39D">
            <w:pPr>
              <w:pStyle w:val="6"/>
              <w:spacing w:before="82" w:line="186" w:lineRule="auto"/>
              <w:ind w:left="346"/>
            </w:pPr>
            <w:r>
              <w:rPr>
                <w:spacing w:val="-1"/>
              </w:rPr>
              <w:t>40</w:t>
            </w:r>
          </w:p>
        </w:tc>
      </w:tr>
      <w:tr w14:paraId="2AC0A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65BE7F24">
            <w:pPr>
              <w:rPr>
                <w:rFonts w:ascii="Arial"/>
                <w:sz w:val="21"/>
              </w:rPr>
            </w:pPr>
          </w:p>
        </w:tc>
        <w:tc>
          <w:tcPr>
            <w:tcW w:w="285" w:type="dxa"/>
            <w:vMerge w:val="continue"/>
            <w:tcBorders>
              <w:top w:val="nil"/>
            </w:tcBorders>
            <w:vAlign w:val="top"/>
          </w:tcPr>
          <w:p w14:paraId="1F427736">
            <w:pPr>
              <w:rPr>
                <w:rFonts w:ascii="Arial"/>
                <w:sz w:val="21"/>
              </w:rPr>
            </w:pPr>
          </w:p>
        </w:tc>
        <w:tc>
          <w:tcPr>
            <w:tcW w:w="1273" w:type="dxa"/>
            <w:vAlign w:val="top"/>
          </w:tcPr>
          <w:p w14:paraId="753EBB26">
            <w:pPr>
              <w:pStyle w:val="6"/>
              <w:spacing w:before="83" w:line="184" w:lineRule="auto"/>
              <w:ind w:left="252"/>
            </w:pPr>
            <w:r>
              <w:rPr>
                <w:spacing w:val="-1"/>
              </w:rPr>
              <w:t>2021/6/5</w:t>
            </w:r>
          </w:p>
        </w:tc>
        <w:tc>
          <w:tcPr>
            <w:tcW w:w="880" w:type="dxa"/>
            <w:vAlign w:val="top"/>
          </w:tcPr>
          <w:p w14:paraId="44B05110">
            <w:pPr>
              <w:pStyle w:val="6"/>
              <w:spacing w:before="83" w:line="184" w:lineRule="auto"/>
              <w:ind w:left="267"/>
            </w:pPr>
            <w:r>
              <w:rPr>
                <w:spacing w:val="-6"/>
              </w:rPr>
              <w:t>14.5</w:t>
            </w:r>
          </w:p>
        </w:tc>
        <w:tc>
          <w:tcPr>
            <w:tcW w:w="880" w:type="dxa"/>
            <w:vAlign w:val="top"/>
          </w:tcPr>
          <w:p w14:paraId="0709DFBD">
            <w:pPr>
              <w:pStyle w:val="6"/>
              <w:spacing w:before="83" w:line="184" w:lineRule="auto"/>
              <w:ind w:left="309"/>
            </w:pPr>
            <w:r>
              <w:rPr>
                <w:spacing w:val="-5"/>
              </w:rPr>
              <w:t>8.1</w:t>
            </w:r>
          </w:p>
        </w:tc>
        <w:tc>
          <w:tcPr>
            <w:tcW w:w="880" w:type="dxa"/>
            <w:vAlign w:val="top"/>
          </w:tcPr>
          <w:p w14:paraId="16801EC0">
            <w:pPr>
              <w:pStyle w:val="6"/>
              <w:spacing w:before="87" w:line="180" w:lineRule="auto"/>
              <w:ind w:left="317"/>
            </w:pPr>
            <w:r>
              <w:rPr>
                <w:spacing w:val="-1"/>
              </w:rPr>
              <w:t>4L</w:t>
            </w:r>
          </w:p>
        </w:tc>
        <w:tc>
          <w:tcPr>
            <w:tcW w:w="880" w:type="dxa"/>
            <w:vAlign w:val="top"/>
          </w:tcPr>
          <w:p w14:paraId="23EE7D46">
            <w:pPr>
              <w:pStyle w:val="6"/>
              <w:spacing w:before="83" w:line="184" w:lineRule="auto"/>
              <w:ind w:left="310"/>
            </w:pPr>
            <w:r>
              <w:rPr>
                <w:spacing w:val="-4"/>
              </w:rPr>
              <w:t>5.8</w:t>
            </w:r>
          </w:p>
        </w:tc>
        <w:tc>
          <w:tcPr>
            <w:tcW w:w="880" w:type="dxa"/>
            <w:vAlign w:val="top"/>
          </w:tcPr>
          <w:p w14:paraId="0B47C290">
            <w:pPr>
              <w:pStyle w:val="6"/>
              <w:spacing w:before="83" w:line="184" w:lineRule="auto"/>
              <w:ind w:left="311"/>
            </w:pPr>
            <w:r>
              <w:rPr>
                <w:spacing w:val="-3"/>
              </w:rPr>
              <w:t>3.7</w:t>
            </w:r>
          </w:p>
        </w:tc>
        <w:tc>
          <w:tcPr>
            <w:tcW w:w="880" w:type="dxa"/>
            <w:vAlign w:val="top"/>
          </w:tcPr>
          <w:p w14:paraId="62804FF8">
            <w:pPr>
              <w:pStyle w:val="6"/>
              <w:spacing w:before="83" w:line="184" w:lineRule="auto"/>
              <w:ind w:left="391"/>
            </w:pPr>
            <w:r>
              <w:t>7</w:t>
            </w:r>
          </w:p>
        </w:tc>
        <w:tc>
          <w:tcPr>
            <w:tcW w:w="880" w:type="dxa"/>
            <w:vAlign w:val="top"/>
          </w:tcPr>
          <w:p w14:paraId="6F915E7E">
            <w:pPr>
              <w:pStyle w:val="6"/>
              <w:spacing w:before="83" w:line="184" w:lineRule="auto"/>
              <w:ind w:left="331"/>
            </w:pPr>
            <w:r>
              <w:rPr>
                <w:spacing w:val="-8"/>
              </w:rPr>
              <w:t>1.5</w:t>
            </w:r>
          </w:p>
        </w:tc>
        <w:tc>
          <w:tcPr>
            <w:tcW w:w="880" w:type="dxa"/>
            <w:vAlign w:val="top"/>
          </w:tcPr>
          <w:p w14:paraId="2F9AA88E">
            <w:pPr>
              <w:pStyle w:val="6"/>
              <w:spacing w:before="83" w:line="184" w:lineRule="auto"/>
              <w:ind w:left="212"/>
            </w:pPr>
            <w:r>
              <w:rPr>
                <w:spacing w:val="-2"/>
              </w:rPr>
              <w:t>0.264</w:t>
            </w:r>
          </w:p>
        </w:tc>
        <w:tc>
          <w:tcPr>
            <w:tcW w:w="880" w:type="dxa"/>
            <w:vAlign w:val="top"/>
          </w:tcPr>
          <w:p w14:paraId="1B5A0780">
            <w:pPr>
              <w:pStyle w:val="6"/>
              <w:spacing w:before="83" w:line="184" w:lineRule="auto"/>
              <w:ind w:left="266"/>
            </w:pPr>
            <w:r>
              <w:rPr>
                <w:spacing w:val="-2"/>
              </w:rPr>
              <w:t>0.04</w:t>
            </w:r>
          </w:p>
        </w:tc>
        <w:tc>
          <w:tcPr>
            <w:tcW w:w="880" w:type="dxa"/>
            <w:vAlign w:val="top"/>
          </w:tcPr>
          <w:p w14:paraId="7D8D3D7C">
            <w:pPr>
              <w:pStyle w:val="6"/>
              <w:spacing w:before="83" w:line="184" w:lineRule="auto"/>
              <w:ind w:left="268"/>
            </w:pPr>
            <w:r>
              <w:rPr>
                <w:spacing w:val="-2"/>
              </w:rPr>
              <w:t>0.01</w:t>
            </w:r>
          </w:p>
        </w:tc>
        <w:tc>
          <w:tcPr>
            <w:tcW w:w="881" w:type="dxa"/>
            <w:vAlign w:val="top"/>
          </w:tcPr>
          <w:p w14:paraId="1EBAE0B4">
            <w:pPr>
              <w:pStyle w:val="6"/>
              <w:spacing w:before="83" w:line="184" w:lineRule="auto"/>
              <w:ind w:left="218"/>
            </w:pPr>
            <w:r>
              <w:rPr>
                <w:spacing w:val="-2"/>
              </w:rPr>
              <w:t>0.084</w:t>
            </w:r>
          </w:p>
        </w:tc>
        <w:tc>
          <w:tcPr>
            <w:tcW w:w="894" w:type="dxa"/>
            <w:tcBorders>
              <w:right w:val="single" w:color="000000" w:sz="12" w:space="0"/>
            </w:tcBorders>
            <w:vAlign w:val="top"/>
          </w:tcPr>
          <w:p w14:paraId="366CEFA1">
            <w:pPr>
              <w:pStyle w:val="6"/>
              <w:spacing w:before="83" w:line="184" w:lineRule="auto"/>
              <w:ind w:left="351"/>
            </w:pPr>
            <w:r>
              <w:rPr>
                <w:spacing w:val="-3"/>
              </w:rPr>
              <w:t>60</w:t>
            </w:r>
          </w:p>
        </w:tc>
      </w:tr>
      <w:tr w14:paraId="1265A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4943EEB">
            <w:pPr>
              <w:rPr>
                <w:rFonts w:ascii="Arial"/>
                <w:sz w:val="21"/>
              </w:rPr>
            </w:pPr>
          </w:p>
        </w:tc>
        <w:tc>
          <w:tcPr>
            <w:tcW w:w="285" w:type="dxa"/>
            <w:vMerge w:val="restart"/>
            <w:tcBorders>
              <w:bottom w:val="nil"/>
            </w:tcBorders>
            <w:vAlign w:val="top"/>
          </w:tcPr>
          <w:p w14:paraId="45FDF654">
            <w:pPr>
              <w:pStyle w:val="6"/>
              <w:spacing w:before="104" w:line="222" w:lineRule="auto"/>
              <w:ind w:left="81"/>
            </w:pPr>
            <w:r>
              <w:t>3</w:t>
            </w:r>
          </w:p>
          <w:p w14:paraId="7096F09B">
            <w:pPr>
              <w:spacing w:line="219" w:lineRule="auto"/>
              <w:ind w:left="29"/>
              <w:rPr>
                <w:rFonts w:ascii="宋体" w:hAnsi="宋体" w:eastAsia="宋体" w:cs="宋体"/>
                <w:sz w:val="21"/>
                <w:szCs w:val="21"/>
              </w:rPr>
            </w:pPr>
            <w:r>
              <w:rPr>
                <w:rFonts w:ascii="宋体" w:hAnsi="宋体" w:eastAsia="宋体" w:cs="宋体"/>
                <w:sz w:val="21"/>
                <w:szCs w:val="21"/>
              </w:rPr>
              <w:t>季</w:t>
            </w:r>
          </w:p>
          <w:p w14:paraId="4E5AD2F4">
            <w:pPr>
              <w:spacing w:before="22"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019F4DDF">
            <w:pPr>
              <w:pStyle w:val="6"/>
              <w:spacing w:before="84" w:line="183" w:lineRule="auto"/>
              <w:ind w:left="199"/>
            </w:pPr>
            <w:r>
              <w:rPr>
                <w:spacing w:val="-1"/>
              </w:rPr>
              <w:t>2021/7/19</w:t>
            </w:r>
          </w:p>
        </w:tc>
        <w:tc>
          <w:tcPr>
            <w:tcW w:w="880" w:type="dxa"/>
            <w:vAlign w:val="top"/>
          </w:tcPr>
          <w:p w14:paraId="374AAFB9">
            <w:pPr>
              <w:pStyle w:val="6"/>
              <w:spacing w:before="84" w:line="183" w:lineRule="auto"/>
              <w:ind w:left="267"/>
            </w:pPr>
            <w:r>
              <w:rPr>
                <w:spacing w:val="-6"/>
              </w:rPr>
              <w:t>18.4</w:t>
            </w:r>
          </w:p>
        </w:tc>
        <w:tc>
          <w:tcPr>
            <w:tcW w:w="880" w:type="dxa"/>
            <w:vAlign w:val="top"/>
          </w:tcPr>
          <w:p w14:paraId="6B7DD0B6">
            <w:pPr>
              <w:pStyle w:val="6"/>
              <w:spacing w:before="84" w:line="183" w:lineRule="auto"/>
              <w:ind w:left="309"/>
            </w:pPr>
            <w:r>
              <w:rPr>
                <w:spacing w:val="-5"/>
              </w:rPr>
              <w:t>8.1</w:t>
            </w:r>
          </w:p>
        </w:tc>
        <w:tc>
          <w:tcPr>
            <w:tcW w:w="880" w:type="dxa"/>
            <w:vAlign w:val="top"/>
          </w:tcPr>
          <w:p w14:paraId="45929D25">
            <w:pPr>
              <w:pStyle w:val="6"/>
              <w:spacing w:before="84" w:line="183" w:lineRule="auto"/>
              <w:ind w:left="333"/>
            </w:pPr>
            <w:r>
              <w:rPr>
                <w:spacing w:val="-3"/>
              </w:rPr>
              <w:t>33</w:t>
            </w:r>
          </w:p>
        </w:tc>
        <w:tc>
          <w:tcPr>
            <w:tcW w:w="880" w:type="dxa"/>
            <w:vAlign w:val="top"/>
          </w:tcPr>
          <w:p w14:paraId="4F581FC2">
            <w:pPr>
              <w:pStyle w:val="6"/>
              <w:spacing w:before="84" w:line="183" w:lineRule="auto"/>
              <w:ind w:left="309"/>
            </w:pPr>
            <w:r>
              <w:rPr>
                <w:spacing w:val="-3"/>
              </w:rPr>
              <w:t>6.1</w:t>
            </w:r>
          </w:p>
        </w:tc>
        <w:tc>
          <w:tcPr>
            <w:tcW w:w="880" w:type="dxa"/>
            <w:vAlign w:val="top"/>
          </w:tcPr>
          <w:p w14:paraId="6ABCBB26">
            <w:pPr>
              <w:pStyle w:val="6"/>
              <w:spacing w:before="84" w:line="183" w:lineRule="auto"/>
              <w:ind w:left="306"/>
            </w:pPr>
            <w:r>
              <w:rPr>
                <w:spacing w:val="-1"/>
              </w:rPr>
              <w:t>4.5</w:t>
            </w:r>
          </w:p>
        </w:tc>
        <w:tc>
          <w:tcPr>
            <w:tcW w:w="880" w:type="dxa"/>
            <w:vAlign w:val="top"/>
          </w:tcPr>
          <w:p w14:paraId="024725B6">
            <w:pPr>
              <w:pStyle w:val="6"/>
              <w:spacing w:before="84" w:line="183" w:lineRule="auto"/>
              <w:ind w:left="391"/>
            </w:pPr>
            <w:r>
              <w:t>7</w:t>
            </w:r>
          </w:p>
        </w:tc>
        <w:tc>
          <w:tcPr>
            <w:tcW w:w="880" w:type="dxa"/>
            <w:vAlign w:val="top"/>
          </w:tcPr>
          <w:p w14:paraId="4B54D53D">
            <w:pPr>
              <w:pStyle w:val="6"/>
              <w:spacing w:before="84" w:line="183" w:lineRule="auto"/>
              <w:ind w:left="331"/>
            </w:pPr>
            <w:r>
              <w:rPr>
                <w:spacing w:val="-8"/>
              </w:rPr>
              <w:t>1.4</w:t>
            </w:r>
          </w:p>
        </w:tc>
        <w:tc>
          <w:tcPr>
            <w:tcW w:w="880" w:type="dxa"/>
            <w:vAlign w:val="top"/>
          </w:tcPr>
          <w:p w14:paraId="6556E081">
            <w:pPr>
              <w:pStyle w:val="6"/>
              <w:spacing w:before="84" w:line="183" w:lineRule="auto"/>
              <w:ind w:left="212"/>
            </w:pPr>
            <w:r>
              <w:rPr>
                <w:spacing w:val="-2"/>
              </w:rPr>
              <w:t>0.276</w:t>
            </w:r>
          </w:p>
        </w:tc>
        <w:tc>
          <w:tcPr>
            <w:tcW w:w="880" w:type="dxa"/>
            <w:vAlign w:val="top"/>
          </w:tcPr>
          <w:p w14:paraId="2F7CEEE0">
            <w:pPr>
              <w:pStyle w:val="6"/>
              <w:spacing w:before="84" w:line="183" w:lineRule="auto"/>
              <w:ind w:left="266"/>
            </w:pPr>
            <w:r>
              <w:rPr>
                <w:spacing w:val="-2"/>
              </w:rPr>
              <w:t>0.05</w:t>
            </w:r>
          </w:p>
        </w:tc>
        <w:tc>
          <w:tcPr>
            <w:tcW w:w="880" w:type="dxa"/>
            <w:vAlign w:val="top"/>
          </w:tcPr>
          <w:p w14:paraId="14BA2DD4">
            <w:pPr>
              <w:pStyle w:val="6"/>
              <w:spacing w:before="84" w:line="183" w:lineRule="auto"/>
              <w:ind w:left="268"/>
            </w:pPr>
            <w:r>
              <w:rPr>
                <w:spacing w:val="-2"/>
              </w:rPr>
              <w:t>0.03</w:t>
            </w:r>
          </w:p>
        </w:tc>
        <w:tc>
          <w:tcPr>
            <w:tcW w:w="881" w:type="dxa"/>
            <w:vAlign w:val="top"/>
          </w:tcPr>
          <w:p w14:paraId="1DD8E6FB">
            <w:pPr>
              <w:pStyle w:val="6"/>
              <w:spacing w:before="84" w:line="183" w:lineRule="auto"/>
              <w:ind w:left="218"/>
            </w:pPr>
            <w:r>
              <w:rPr>
                <w:spacing w:val="-2"/>
              </w:rPr>
              <w:t>0.168</w:t>
            </w:r>
          </w:p>
        </w:tc>
        <w:tc>
          <w:tcPr>
            <w:tcW w:w="894" w:type="dxa"/>
            <w:tcBorders>
              <w:right w:val="single" w:color="000000" w:sz="12" w:space="0"/>
            </w:tcBorders>
            <w:vAlign w:val="top"/>
          </w:tcPr>
          <w:p w14:paraId="3D1FC1EB">
            <w:pPr>
              <w:pStyle w:val="6"/>
              <w:spacing w:before="84" w:line="183" w:lineRule="auto"/>
              <w:ind w:left="298"/>
            </w:pPr>
            <w:r>
              <w:rPr>
                <w:spacing w:val="-2"/>
              </w:rPr>
              <w:t>700</w:t>
            </w:r>
          </w:p>
        </w:tc>
      </w:tr>
      <w:tr w14:paraId="6DA2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9D4530E">
            <w:pPr>
              <w:rPr>
                <w:rFonts w:ascii="Arial"/>
                <w:sz w:val="21"/>
              </w:rPr>
            </w:pPr>
          </w:p>
        </w:tc>
        <w:tc>
          <w:tcPr>
            <w:tcW w:w="285" w:type="dxa"/>
            <w:vMerge w:val="continue"/>
            <w:tcBorders>
              <w:top w:val="nil"/>
              <w:bottom w:val="nil"/>
            </w:tcBorders>
            <w:vAlign w:val="top"/>
          </w:tcPr>
          <w:p w14:paraId="2486ADC2">
            <w:pPr>
              <w:rPr>
                <w:rFonts w:ascii="Arial"/>
                <w:sz w:val="21"/>
              </w:rPr>
            </w:pPr>
          </w:p>
        </w:tc>
        <w:tc>
          <w:tcPr>
            <w:tcW w:w="1273" w:type="dxa"/>
            <w:vAlign w:val="top"/>
          </w:tcPr>
          <w:p w14:paraId="10FF4E00">
            <w:pPr>
              <w:pStyle w:val="6"/>
              <w:spacing w:before="87" w:line="180" w:lineRule="auto"/>
              <w:ind w:left="199"/>
            </w:pPr>
            <w:r>
              <w:rPr>
                <w:spacing w:val="-1"/>
              </w:rPr>
              <w:t>2021/7/20</w:t>
            </w:r>
          </w:p>
        </w:tc>
        <w:tc>
          <w:tcPr>
            <w:tcW w:w="880" w:type="dxa"/>
            <w:vAlign w:val="top"/>
          </w:tcPr>
          <w:p w14:paraId="43B408BA">
            <w:pPr>
              <w:pStyle w:val="6"/>
              <w:spacing w:before="87" w:line="180" w:lineRule="auto"/>
              <w:ind w:left="267"/>
            </w:pPr>
            <w:r>
              <w:rPr>
                <w:spacing w:val="-6"/>
              </w:rPr>
              <w:t>18.6</w:t>
            </w:r>
          </w:p>
        </w:tc>
        <w:tc>
          <w:tcPr>
            <w:tcW w:w="880" w:type="dxa"/>
            <w:vAlign w:val="top"/>
          </w:tcPr>
          <w:p w14:paraId="587B4085">
            <w:pPr>
              <w:pStyle w:val="6"/>
              <w:spacing w:before="87" w:line="180" w:lineRule="auto"/>
              <w:ind w:left="309"/>
            </w:pPr>
            <w:r>
              <w:rPr>
                <w:spacing w:val="-5"/>
              </w:rPr>
              <w:t>8.2</w:t>
            </w:r>
          </w:p>
        </w:tc>
        <w:tc>
          <w:tcPr>
            <w:tcW w:w="880" w:type="dxa"/>
            <w:vAlign w:val="top"/>
          </w:tcPr>
          <w:p w14:paraId="2C4E0861">
            <w:pPr>
              <w:pStyle w:val="6"/>
              <w:spacing w:before="87" w:line="180" w:lineRule="auto"/>
              <w:ind w:left="329"/>
            </w:pPr>
            <w:r>
              <w:rPr>
                <w:spacing w:val="-1"/>
              </w:rPr>
              <w:t>26</w:t>
            </w:r>
          </w:p>
        </w:tc>
        <w:tc>
          <w:tcPr>
            <w:tcW w:w="880" w:type="dxa"/>
            <w:vAlign w:val="top"/>
          </w:tcPr>
          <w:p w14:paraId="523B7124">
            <w:pPr>
              <w:pStyle w:val="6"/>
              <w:spacing w:before="87" w:line="180" w:lineRule="auto"/>
              <w:ind w:left="310"/>
            </w:pPr>
            <w:r>
              <w:rPr>
                <w:spacing w:val="-4"/>
              </w:rPr>
              <w:t>5.9</w:t>
            </w:r>
          </w:p>
        </w:tc>
        <w:tc>
          <w:tcPr>
            <w:tcW w:w="880" w:type="dxa"/>
            <w:vAlign w:val="top"/>
          </w:tcPr>
          <w:p w14:paraId="22E1C3DD">
            <w:pPr>
              <w:pStyle w:val="6"/>
              <w:spacing w:before="87" w:line="180" w:lineRule="auto"/>
              <w:ind w:left="306"/>
            </w:pPr>
            <w:r>
              <w:rPr>
                <w:spacing w:val="-1"/>
              </w:rPr>
              <w:t>4.4</w:t>
            </w:r>
          </w:p>
        </w:tc>
        <w:tc>
          <w:tcPr>
            <w:tcW w:w="880" w:type="dxa"/>
            <w:vAlign w:val="top"/>
          </w:tcPr>
          <w:p w14:paraId="0A7046CE">
            <w:pPr>
              <w:pStyle w:val="6"/>
              <w:spacing w:before="87" w:line="180" w:lineRule="auto"/>
              <w:ind w:left="393"/>
            </w:pPr>
            <w:r>
              <w:t>6</w:t>
            </w:r>
          </w:p>
        </w:tc>
        <w:tc>
          <w:tcPr>
            <w:tcW w:w="880" w:type="dxa"/>
            <w:vAlign w:val="top"/>
          </w:tcPr>
          <w:p w14:paraId="4C5C4500">
            <w:pPr>
              <w:pStyle w:val="6"/>
              <w:spacing w:before="87" w:line="180" w:lineRule="auto"/>
              <w:ind w:left="331"/>
            </w:pPr>
            <w:r>
              <w:rPr>
                <w:spacing w:val="-8"/>
              </w:rPr>
              <w:t>1.2</w:t>
            </w:r>
          </w:p>
        </w:tc>
        <w:tc>
          <w:tcPr>
            <w:tcW w:w="880" w:type="dxa"/>
            <w:vAlign w:val="top"/>
          </w:tcPr>
          <w:p w14:paraId="68698E2A">
            <w:pPr>
              <w:pStyle w:val="6"/>
              <w:spacing w:before="87" w:line="180" w:lineRule="auto"/>
              <w:ind w:left="212"/>
            </w:pPr>
            <w:r>
              <w:rPr>
                <w:spacing w:val="-2"/>
              </w:rPr>
              <w:t>0.272</w:t>
            </w:r>
          </w:p>
        </w:tc>
        <w:tc>
          <w:tcPr>
            <w:tcW w:w="880" w:type="dxa"/>
            <w:vAlign w:val="top"/>
          </w:tcPr>
          <w:p w14:paraId="3ECDEB3E">
            <w:pPr>
              <w:pStyle w:val="6"/>
              <w:spacing w:before="87" w:line="180" w:lineRule="auto"/>
              <w:ind w:left="266"/>
            </w:pPr>
            <w:r>
              <w:rPr>
                <w:spacing w:val="-2"/>
              </w:rPr>
              <w:t>0.04</w:t>
            </w:r>
          </w:p>
        </w:tc>
        <w:tc>
          <w:tcPr>
            <w:tcW w:w="880" w:type="dxa"/>
            <w:vAlign w:val="top"/>
          </w:tcPr>
          <w:p w14:paraId="5F2B7D9F">
            <w:pPr>
              <w:pStyle w:val="6"/>
              <w:spacing w:before="87" w:line="180" w:lineRule="auto"/>
              <w:ind w:left="268"/>
            </w:pPr>
            <w:r>
              <w:rPr>
                <w:spacing w:val="-2"/>
              </w:rPr>
              <w:t>0.04</w:t>
            </w:r>
          </w:p>
        </w:tc>
        <w:tc>
          <w:tcPr>
            <w:tcW w:w="881" w:type="dxa"/>
            <w:vAlign w:val="top"/>
          </w:tcPr>
          <w:p w14:paraId="2A7901A8">
            <w:pPr>
              <w:pStyle w:val="6"/>
              <w:spacing w:before="87" w:line="180" w:lineRule="auto"/>
              <w:ind w:left="218"/>
            </w:pPr>
            <w:r>
              <w:rPr>
                <w:spacing w:val="-2"/>
              </w:rPr>
              <w:t>0.172</w:t>
            </w:r>
          </w:p>
        </w:tc>
        <w:tc>
          <w:tcPr>
            <w:tcW w:w="894" w:type="dxa"/>
            <w:tcBorders>
              <w:right w:val="single" w:color="000000" w:sz="12" w:space="0"/>
            </w:tcBorders>
            <w:vAlign w:val="top"/>
          </w:tcPr>
          <w:p w14:paraId="51E9E5D8">
            <w:pPr>
              <w:pStyle w:val="6"/>
              <w:spacing w:before="87" w:line="180" w:lineRule="auto"/>
              <w:ind w:left="298"/>
            </w:pPr>
            <w:r>
              <w:rPr>
                <w:spacing w:val="-2"/>
              </w:rPr>
              <w:t>720</w:t>
            </w:r>
          </w:p>
        </w:tc>
      </w:tr>
      <w:tr w14:paraId="23881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53222124">
            <w:pPr>
              <w:rPr>
                <w:rFonts w:ascii="Arial"/>
                <w:sz w:val="21"/>
              </w:rPr>
            </w:pPr>
          </w:p>
        </w:tc>
        <w:tc>
          <w:tcPr>
            <w:tcW w:w="285" w:type="dxa"/>
            <w:vMerge w:val="continue"/>
            <w:tcBorders>
              <w:top w:val="nil"/>
            </w:tcBorders>
            <w:vAlign w:val="top"/>
          </w:tcPr>
          <w:p w14:paraId="1AED2AD7">
            <w:pPr>
              <w:rPr>
                <w:rFonts w:ascii="Arial"/>
                <w:sz w:val="21"/>
              </w:rPr>
            </w:pPr>
          </w:p>
        </w:tc>
        <w:tc>
          <w:tcPr>
            <w:tcW w:w="1273" w:type="dxa"/>
            <w:vAlign w:val="top"/>
          </w:tcPr>
          <w:p w14:paraId="0A75829D">
            <w:pPr>
              <w:pStyle w:val="6"/>
              <w:spacing w:before="88" w:line="179" w:lineRule="auto"/>
              <w:ind w:left="199"/>
            </w:pPr>
            <w:r>
              <w:rPr>
                <w:spacing w:val="-1"/>
              </w:rPr>
              <w:t>2021/7/21</w:t>
            </w:r>
          </w:p>
        </w:tc>
        <w:tc>
          <w:tcPr>
            <w:tcW w:w="880" w:type="dxa"/>
            <w:vAlign w:val="top"/>
          </w:tcPr>
          <w:p w14:paraId="42D2CAF2">
            <w:pPr>
              <w:pStyle w:val="6"/>
              <w:spacing w:before="88" w:line="179" w:lineRule="auto"/>
              <w:ind w:left="267"/>
            </w:pPr>
            <w:r>
              <w:rPr>
                <w:spacing w:val="-6"/>
              </w:rPr>
              <w:t>18.1</w:t>
            </w:r>
          </w:p>
        </w:tc>
        <w:tc>
          <w:tcPr>
            <w:tcW w:w="880" w:type="dxa"/>
            <w:vAlign w:val="top"/>
          </w:tcPr>
          <w:p w14:paraId="2F318B2F">
            <w:pPr>
              <w:pStyle w:val="6"/>
              <w:spacing w:before="88" w:line="179" w:lineRule="auto"/>
              <w:ind w:left="309"/>
            </w:pPr>
            <w:r>
              <w:rPr>
                <w:spacing w:val="-5"/>
              </w:rPr>
              <w:t>8.2</w:t>
            </w:r>
          </w:p>
        </w:tc>
        <w:tc>
          <w:tcPr>
            <w:tcW w:w="880" w:type="dxa"/>
            <w:vAlign w:val="top"/>
          </w:tcPr>
          <w:p w14:paraId="3032F56B">
            <w:pPr>
              <w:pStyle w:val="6"/>
              <w:spacing w:before="88" w:line="179" w:lineRule="auto"/>
              <w:ind w:left="333"/>
            </w:pPr>
            <w:r>
              <w:rPr>
                <w:spacing w:val="-3"/>
              </w:rPr>
              <w:t>30</w:t>
            </w:r>
          </w:p>
        </w:tc>
        <w:tc>
          <w:tcPr>
            <w:tcW w:w="880" w:type="dxa"/>
            <w:vAlign w:val="top"/>
          </w:tcPr>
          <w:p w14:paraId="0B870A80">
            <w:pPr>
              <w:pStyle w:val="6"/>
              <w:spacing w:before="88" w:line="179" w:lineRule="auto"/>
              <w:ind w:left="309"/>
            </w:pPr>
            <w:r>
              <w:rPr>
                <w:spacing w:val="-3"/>
              </w:rPr>
              <w:t>6.4</w:t>
            </w:r>
          </w:p>
        </w:tc>
        <w:tc>
          <w:tcPr>
            <w:tcW w:w="880" w:type="dxa"/>
            <w:vAlign w:val="top"/>
          </w:tcPr>
          <w:p w14:paraId="1BF55C9C">
            <w:pPr>
              <w:pStyle w:val="6"/>
              <w:spacing w:before="88" w:line="179" w:lineRule="auto"/>
              <w:ind w:left="306"/>
            </w:pPr>
            <w:r>
              <w:rPr>
                <w:spacing w:val="-1"/>
              </w:rPr>
              <w:t>4.6</w:t>
            </w:r>
          </w:p>
        </w:tc>
        <w:tc>
          <w:tcPr>
            <w:tcW w:w="880" w:type="dxa"/>
            <w:vAlign w:val="top"/>
          </w:tcPr>
          <w:p w14:paraId="3E2A3287">
            <w:pPr>
              <w:pStyle w:val="6"/>
              <w:spacing w:before="88" w:line="179" w:lineRule="auto"/>
              <w:ind w:left="397"/>
            </w:pPr>
            <w:r>
              <w:t>8</w:t>
            </w:r>
          </w:p>
        </w:tc>
        <w:tc>
          <w:tcPr>
            <w:tcW w:w="880" w:type="dxa"/>
            <w:vAlign w:val="top"/>
          </w:tcPr>
          <w:p w14:paraId="47187223">
            <w:pPr>
              <w:pStyle w:val="6"/>
              <w:spacing w:before="88" w:line="179" w:lineRule="auto"/>
              <w:ind w:left="331"/>
            </w:pPr>
            <w:r>
              <w:rPr>
                <w:spacing w:val="-8"/>
              </w:rPr>
              <w:t>1.6</w:t>
            </w:r>
          </w:p>
        </w:tc>
        <w:tc>
          <w:tcPr>
            <w:tcW w:w="880" w:type="dxa"/>
            <w:vAlign w:val="top"/>
          </w:tcPr>
          <w:p w14:paraId="2E46741A">
            <w:pPr>
              <w:pStyle w:val="6"/>
              <w:spacing w:before="88" w:line="179" w:lineRule="auto"/>
              <w:ind w:left="212"/>
            </w:pPr>
            <w:r>
              <w:rPr>
                <w:spacing w:val="-2"/>
              </w:rPr>
              <w:t>0.285</w:t>
            </w:r>
          </w:p>
        </w:tc>
        <w:tc>
          <w:tcPr>
            <w:tcW w:w="880" w:type="dxa"/>
            <w:vAlign w:val="top"/>
          </w:tcPr>
          <w:p w14:paraId="663E4357">
            <w:pPr>
              <w:pStyle w:val="6"/>
              <w:spacing w:before="88" w:line="179" w:lineRule="auto"/>
              <w:ind w:left="266"/>
            </w:pPr>
            <w:r>
              <w:rPr>
                <w:spacing w:val="-2"/>
              </w:rPr>
              <w:t>0.04</w:t>
            </w:r>
          </w:p>
        </w:tc>
        <w:tc>
          <w:tcPr>
            <w:tcW w:w="880" w:type="dxa"/>
            <w:vAlign w:val="top"/>
          </w:tcPr>
          <w:p w14:paraId="47A9E8C3">
            <w:pPr>
              <w:pStyle w:val="6"/>
              <w:spacing w:before="88" w:line="179" w:lineRule="auto"/>
              <w:ind w:left="268"/>
            </w:pPr>
            <w:r>
              <w:rPr>
                <w:spacing w:val="-2"/>
              </w:rPr>
              <w:t>0.03</w:t>
            </w:r>
          </w:p>
        </w:tc>
        <w:tc>
          <w:tcPr>
            <w:tcW w:w="881" w:type="dxa"/>
            <w:vAlign w:val="top"/>
          </w:tcPr>
          <w:p w14:paraId="6910A9AC">
            <w:pPr>
              <w:pStyle w:val="6"/>
              <w:spacing w:before="88" w:line="179" w:lineRule="auto"/>
              <w:ind w:left="218"/>
            </w:pPr>
            <w:r>
              <w:rPr>
                <w:spacing w:val="-2"/>
              </w:rPr>
              <w:t>0.176</w:t>
            </w:r>
          </w:p>
        </w:tc>
        <w:tc>
          <w:tcPr>
            <w:tcW w:w="894" w:type="dxa"/>
            <w:tcBorders>
              <w:right w:val="single" w:color="000000" w:sz="12" w:space="0"/>
            </w:tcBorders>
            <w:vAlign w:val="top"/>
          </w:tcPr>
          <w:p w14:paraId="562E6D36">
            <w:pPr>
              <w:pStyle w:val="6"/>
              <w:spacing w:before="88" w:line="179" w:lineRule="auto"/>
              <w:ind w:left="298"/>
            </w:pPr>
            <w:r>
              <w:rPr>
                <w:spacing w:val="-2"/>
              </w:rPr>
              <w:t>700</w:t>
            </w:r>
          </w:p>
        </w:tc>
      </w:tr>
      <w:tr w14:paraId="2A1B7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587C9C4">
            <w:pPr>
              <w:rPr>
                <w:rFonts w:ascii="Arial"/>
                <w:sz w:val="21"/>
              </w:rPr>
            </w:pPr>
          </w:p>
        </w:tc>
        <w:tc>
          <w:tcPr>
            <w:tcW w:w="285" w:type="dxa"/>
            <w:vMerge w:val="restart"/>
            <w:tcBorders>
              <w:bottom w:val="nil"/>
            </w:tcBorders>
            <w:vAlign w:val="top"/>
          </w:tcPr>
          <w:p w14:paraId="3CC57DB3">
            <w:pPr>
              <w:pStyle w:val="6"/>
              <w:spacing w:before="108" w:line="222" w:lineRule="auto"/>
              <w:ind w:left="76"/>
            </w:pPr>
            <w:r>
              <w:t>4</w:t>
            </w:r>
          </w:p>
          <w:p w14:paraId="2FBA8EF7">
            <w:pPr>
              <w:spacing w:line="219" w:lineRule="auto"/>
              <w:ind w:left="29"/>
              <w:rPr>
                <w:rFonts w:ascii="宋体" w:hAnsi="宋体" w:eastAsia="宋体" w:cs="宋体"/>
                <w:sz w:val="21"/>
                <w:szCs w:val="21"/>
              </w:rPr>
            </w:pPr>
            <w:r>
              <w:rPr>
                <w:rFonts w:ascii="宋体" w:hAnsi="宋体" w:eastAsia="宋体" w:cs="宋体"/>
                <w:sz w:val="21"/>
                <w:szCs w:val="21"/>
              </w:rPr>
              <w:t>季</w:t>
            </w:r>
          </w:p>
          <w:p w14:paraId="2340F548">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002D00EC">
            <w:pPr>
              <w:pStyle w:val="6"/>
              <w:spacing w:before="90" w:line="177" w:lineRule="auto"/>
              <w:ind w:left="147"/>
            </w:pPr>
            <w:r>
              <w:rPr>
                <w:spacing w:val="-1"/>
              </w:rPr>
              <w:t>2021/11/28</w:t>
            </w:r>
          </w:p>
        </w:tc>
        <w:tc>
          <w:tcPr>
            <w:tcW w:w="880" w:type="dxa"/>
            <w:vAlign w:val="top"/>
          </w:tcPr>
          <w:p w14:paraId="36C07B79">
            <w:pPr>
              <w:pStyle w:val="6"/>
              <w:spacing w:before="90" w:line="177" w:lineRule="auto"/>
              <w:ind w:left="267"/>
            </w:pPr>
            <w:r>
              <w:rPr>
                <w:spacing w:val="-6"/>
              </w:rPr>
              <w:t>17.3</w:t>
            </w:r>
          </w:p>
        </w:tc>
        <w:tc>
          <w:tcPr>
            <w:tcW w:w="880" w:type="dxa"/>
            <w:vAlign w:val="top"/>
          </w:tcPr>
          <w:p w14:paraId="5C7E6740">
            <w:pPr>
              <w:pStyle w:val="6"/>
              <w:spacing w:before="90" w:line="177" w:lineRule="auto"/>
              <w:ind w:left="304"/>
            </w:pPr>
            <w:r>
              <w:rPr>
                <w:spacing w:val="-3"/>
              </w:rPr>
              <w:t>7.9</w:t>
            </w:r>
          </w:p>
        </w:tc>
        <w:tc>
          <w:tcPr>
            <w:tcW w:w="880" w:type="dxa"/>
            <w:vAlign w:val="top"/>
          </w:tcPr>
          <w:p w14:paraId="38ED432F">
            <w:pPr>
              <w:pStyle w:val="6"/>
              <w:spacing w:before="93" w:line="174" w:lineRule="auto"/>
              <w:ind w:left="317"/>
            </w:pPr>
            <w:r>
              <w:rPr>
                <w:spacing w:val="-1"/>
              </w:rPr>
              <w:t>4L</w:t>
            </w:r>
          </w:p>
        </w:tc>
        <w:tc>
          <w:tcPr>
            <w:tcW w:w="880" w:type="dxa"/>
            <w:vAlign w:val="top"/>
          </w:tcPr>
          <w:p w14:paraId="3CEC0487">
            <w:pPr>
              <w:pStyle w:val="6"/>
              <w:spacing w:before="90" w:line="177" w:lineRule="auto"/>
              <w:ind w:left="309"/>
            </w:pPr>
            <w:r>
              <w:rPr>
                <w:spacing w:val="-3"/>
              </w:rPr>
              <w:t>6.4</w:t>
            </w:r>
          </w:p>
        </w:tc>
        <w:tc>
          <w:tcPr>
            <w:tcW w:w="880" w:type="dxa"/>
            <w:vAlign w:val="top"/>
          </w:tcPr>
          <w:p w14:paraId="20660C03">
            <w:pPr>
              <w:pStyle w:val="6"/>
              <w:spacing w:before="90" w:line="177" w:lineRule="auto"/>
              <w:ind w:left="327"/>
            </w:pPr>
            <w:r>
              <w:rPr>
                <w:spacing w:val="-8"/>
              </w:rPr>
              <w:t>1.9</w:t>
            </w:r>
          </w:p>
        </w:tc>
        <w:tc>
          <w:tcPr>
            <w:tcW w:w="880" w:type="dxa"/>
            <w:vAlign w:val="top"/>
          </w:tcPr>
          <w:p w14:paraId="2ED98301">
            <w:pPr>
              <w:pStyle w:val="6"/>
              <w:spacing w:before="90" w:line="177" w:lineRule="auto"/>
              <w:ind w:left="355"/>
            </w:pPr>
            <w:r>
              <w:rPr>
                <w:spacing w:val="-6"/>
              </w:rPr>
              <w:t>12</w:t>
            </w:r>
          </w:p>
        </w:tc>
        <w:tc>
          <w:tcPr>
            <w:tcW w:w="880" w:type="dxa"/>
            <w:vAlign w:val="top"/>
          </w:tcPr>
          <w:p w14:paraId="7220D15C">
            <w:pPr>
              <w:pStyle w:val="6"/>
              <w:spacing w:before="90" w:line="177" w:lineRule="auto"/>
              <w:ind w:left="311"/>
            </w:pPr>
            <w:r>
              <w:rPr>
                <w:spacing w:val="-2"/>
              </w:rPr>
              <w:t>2.4</w:t>
            </w:r>
          </w:p>
        </w:tc>
        <w:tc>
          <w:tcPr>
            <w:tcW w:w="880" w:type="dxa"/>
            <w:vAlign w:val="top"/>
          </w:tcPr>
          <w:p w14:paraId="3A117B89">
            <w:pPr>
              <w:pStyle w:val="6"/>
              <w:spacing w:before="90" w:line="177" w:lineRule="auto"/>
              <w:ind w:left="212"/>
            </w:pPr>
            <w:r>
              <w:rPr>
                <w:spacing w:val="-2"/>
              </w:rPr>
              <w:t>0.112</w:t>
            </w:r>
          </w:p>
        </w:tc>
        <w:tc>
          <w:tcPr>
            <w:tcW w:w="880" w:type="dxa"/>
            <w:vAlign w:val="top"/>
          </w:tcPr>
          <w:p w14:paraId="38F9F8D6">
            <w:pPr>
              <w:pStyle w:val="6"/>
              <w:spacing w:before="90" w:line="177" w:lineRule="auto"/>
              <w:ind w:left="266"/>
            </w:pPr>
            <w:r>
              <w:rPr>
                <w:spacing w:val="-2"/>
              </w:rPr>
              <w:t>0.01</w:t>
            </w:r>
          </w:p>
        </w:tc>
        <w:tc>
          <w:tcPr>
            <w:tcW w:w="880" w:type="dxa"/>
            <w:vAlign w:val="top"/>
          </w:tcPr>
          <w:p w14:paraId="2559E83A">
            <w:pPr>
              <w:pStyle w:val="6"/>
              <w:spacing w:before="90" w:line="177" w:lineRule="auto"/>
              <w:ind w:left="268"/>
            </w:pPr>
            <w:r>
              <w:rPr>
                <w:spacing w:val="-2"/>
              </w:rPr>
              <w:t>0.03</w:t>
            </w:r>
          </w:p>
        </w:tc>
        <w:tc>
          <w:tcPr>
            <w:tcW w:w="881" w:type="dxa"/>
            <w:vAlign w:val="top"/>
          </w:tcPr>
          <w:p w14:paraId="475E5692">
            <w:pPr>
              <w:pStyle w:val="6"/>
              <w:spacing w:before="90" w:line="177" w:lineRule="auto"/>
              <w:ind w:left="206"/>
            </w:pPr>
            <w:r>
              <w:rPr>
                <w:spacing w:val="-2"/>
              </w:rPr>
              <w:t>0.05L</w:t>
            </w:r>
          </w:p>
        </w:tc>
        <w:tc>
          <w:tcPr>
            <w:tcW w:w="894" w:type="dxa"/>
            <w:tcBorders>
              <w:right w:val="single" w:color="000000" w:sz="12" w:space="0"/>
            </w:tcBorders>
            <w:vAlign w:val="top"/>
          </w:tcPr>
          <w:p w14:paraId="4755C009">
            <w:pPr>
              <w:pStyle w:val="6"/>
              <w:spacing w:before="90" w:line="177" w:lineRule="auto"/>
              <w:ind w:left="247"/>
            </w:pPr>
            <w:r>
              <w:rPr>
                <w:spacing w:val="-2"/>
              </w:rPr>
              <w:t>3500</w:t>
            </w:r>
          </w:p>
        </w:tc>
      </w:tr>
      <w:tr w14:paraId="47E04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579F45C">
            <w:pPr>
              <w:rPr>
                <w:rFonts w:ascii="Arial"/>
                <w:sz w:val="21"/>
              </w:rPr>
            </w:pPr>
          </w:p>
        </w:tc>
        <w:tc>
          <w:tcPr>
            <w:tcW w:w="285" w:type="dxa"/>
            <w:vMerge w:val="continue"/>
            <w:tcBorders>
              <w:top w:val="nil"/>
              <w:bottom w:val="nil"/>
            </w:tcBorders>
            <w:vAlign w:val="top"/>
          </w:tcPr>
          <w:p w14:paraId="298376B8">
            <w:pPr>
              <w:rPr>
                <w:rFonts w:ascii="Arial"/>
                <w:sz w:val="21"/>
              </w:rPr>
            </w:pPr>
          </w:p>
        </w:tc>
        <w:tc>
          <w:tcPr>
            <w:tcW w:w="1273" w:type="dxa"/>
            <w:vAlign w:val="top"/>
          </w:tcPr>
          <w:p w14:paraId="768068F2">
            <w:pPr>
              <w:pStyle w:val="6"/>
              <w:spacing w:before="91" w:line="176" w:lineRule="auto"/>
              <w:ind w:left="147"/>
            </w:pPr>
            <w:r>
              <w:rPr>
                <w:spacing w:val="-1"/>
              </w:rPr>
              <w:t>2021/11/29</w:t>
            </w:r>
          </w:p>
        </w:tc>
        <w:tc>
          <w:tcPr>
            <w:tcW w:w="880" w:type="dxa"/>
            <w:vAlign w:val="top"/>
          </w:tcPr>
          <w:p w14:paraId="46262FF2">
            <w:pPr>
              <w:pStyle w:val="6"/>
              <w:spacing w:before="91" w:line="176" w:lineRule="auto"/>
              <w:ind w:left="267"/>
            </w:pPr>
            <w:r>
              <w:rPr>
                <w:spacing w:val="-7"/>
              </w:rPr>
              <w:t>17.0</w:t>
            </w:r>
          </w:p>
        </w:tc>
        <w:tc>
          <w:tcPr>
            <w:tcW w:w="880" w:type="dxa"/>
            <w:vAlign w:val="top"/>
          </w:tcPr>
          <w:p w14:paraId="3D046A96">
            <w:pPr>
              <w:pStyle w:val="6"/>
              <w:spacing w:before="91" w:line="176" w:lineRule="auto"/>
              <w:ind w:left="309"/>
            </w:pPr>
            <w:r>
              <w:rPr>
                <w:spacing w:val="-4"/>
              </w:rPr>
              <w:t>8.0</w:t>
            </w:r>
          </w:p>
        </w:tc>
        <w:tc>
          <w:tcPr>
            <w:tcW w:w="880" w:type="dxa"/>
            <w:vAlign w:val="top"/>
          </w:tcPr>
          <w:p w14:paraId="218B33C0">
            <w:pPr>
              <w:pStyle w:val="6"/>
              <w:spacing w:before="95" w:line="172" w:lineRule="auto"/>
              <w:ind w:left="317"/>
            </w:pPr>
            <w:r>
              <w:rPr>
                <w:spacing w:val="-1"/>
              </w:rPr>
              <w:t>4L</w:t>
            </w:r>
          </w:p>
        </w:tc>
        <w:tc>
          <w:tcPr>
            <w:tcW w:w="880" w:type="dxa"/>
            <w:vAlign w:val="top"/>
          </w:tcPr>
          <w:p w14:paraId="1D7FC6D0">
            <w:pPr>
              <w:pStyle w:val="6"/>
              <w:spacing w:before="91" w:line="176" w:lineRule="auto"/>
              <w:ind w:left="309"/>
            </w:pPr>
            <w:r>
              <w:rPr>
                <w:spacing w:val="-3"/>
              </w:rPr>
              <w:t>6.7</w:t>
            </w:r>
          </w:p>
        </w:tc>
        <w:tc>
          <w:tcPr>
            <w:tcW w:w="880" w:type="dxa"/>
            <w:vAlign w:val="top"/>
          </w:tcPr>
          <w:p w14:paraId="4722590C">
            <w:pPr>
              <w:pStyle w:val="6"/>
              <w:spacing w:before="91" w:line="176" w:lineRule="auto"/>
              <w:ind w:left="327"/>
            </w:pPr>
            <w:r>
              <w:rPr>
                <w:spacing w:val="-8"/>
              </w:rPr>
              <w:t>1.8</w:t>
            </w:r>
          </w:p>
        </w:tc>
        <w:tc>
          <w:tcPr>
            <w:tcW w:w="880" w:type="dxa"/>
            <w:vAlign w:val="top"/>
          </w:tcPr>
          <w:p w14:paraId="2B356B32">
            <w:pPr>
              <w:pStyle w:val="6"/>
              <w:spacing w:before="91" w:line="176" w:lineRule="auto"/>
              <w:ind w:left="355"/>
            </w:pPr>
            <w:r>
              <w:rPr>
                <w:spacing w:val="-6"/>
              </w:rPr>
              <w:t>14</w:t>
            </w:r>
          </w:p>
        </w:tc>
        <w:tc>
          <w:tcPr>
            <w:tcW w:w="880" w:type="dxa"/>
            <w:vAlign w:val="top"/>
          </w:tcPr>
          <w:p w14:paraId="6663BD9F">
            <w:pPr>
              <w:pStyle w:val="6"/>
              <w:spacing w:before="91" w:line="176" w:lineRule="auto"/>
              <w:ind w:left="311"/>
            </w:pPr>
            <w:r>
              <w:rPr>
                <w:spacing w:val="-2"/>
              </w:rPr>
              <w:t>2.6</w:t>
            </w:r>
          </w:p>
        </w:tc>
        <w:tc>
          <w:tcPr>
            <w:tcW w:w="880" w:type="dxa"/>
            <w:vAlign w:val="top"/>
          </w:tcPr>
          <w:p w14:paraId="64C4BF70">
            <w:pPr>
              <w:pStyle w:val="6"/>
              <w:spacing w:before="91" w:line="176" w:lineRule="auto"/>
              <w:ind w:left="212"/>
            </w:pPr>
            <w:r>
              <w:rPr>
                <w:spacing w:val="-2"/>
              </w:rPr>
              <w:t>0.116</w:t>
            </w:r>
          </w:p>
        </w:tc>
        <w:tc>
          <w:tcPr>
            <w:tcW w:w="880" w:type="dxa"/>
            <w:vAlign w:val="top"/>
          </w:tcPr>
          <w:p w14:paraId="714C1B4B">
            <w:pPr>
              <w:pStyle w:val="6"/>
              <w:spacing w:before="91" w:line="176" w:lineRule="auto"/>
              <w:ind w:left="266"/>
            </w:pPr>
            <w:r>
              <w:rPr>
                <w:spacing w:val="-2"/>
              </w:rPr>
              <w:t>0.02</w:t>
            </w:r>
          </w:p>
        </w:tc>
        <w:tc>
          <w:tcPr>
            <w:tcW w:w="880" w:type="dxa"/>
            <w:vAlign w:val="top"/>
          </w:tcPr>
          <w:p w14:paraId="3553C53F">
            <w:pPr>
              <w:pStyle w:val="6"/>
              <w:spacing w:before="91" w:line="176" w:lineRule="auto"/>
              <w:ind w:left="268"/>
            </w:pPr>
            <w:r>
              <w:rPr>
                <w:spacing w:val="-2"/>
              </w:rPr>
              <w:t>0.03</w:t>
            </w:r>
          </w:p>
        </w:tc>
        <w:tc>
          <w:tcPr>
            <w:tcW w:w="881" w:type="dxa"/>
            <w:vAlign w:val="top"/>
          </w:tcPr>
          <w:p w14:paraId="269327CF">
            <w:pPr>
              <w:pStyle w:val="6"/>
              <w:spacing w:before="91" w:line="176" w:lineRule="auto"/>
              <w:ind w:left="206"/>
            </w:pPr>
            <w:r>
              <w:rPr>
                <w:spacing w:val="-2"/>
              </w:rPr>
              <w:t>0.05L</w:t>
            </w:r>
          </w:p>
        </w:tc>
        <w:tc>
          <w:tcPr>
            <w:tcW w:w="894" w:type="dxa"/>
            <w:tcBorders>
              <w:right w:val="single" w:color="000000" w:sz="12" w:space="0"/>
            </w:tcBorders>
            <w:vAlign w:val="top"/>
          </w:tcPr>
          <w:p w14:paraId="559AB86C">
            <w:pPr>
              <w:pStyle w:val="6"/>
              <w:spacing w:before="91" w:line="176" w:lineRule="auto"/>
              <w:ind w:left="247"/>
            </w:pPr>
            <w:r>
              <w:rPr>
                <w:spacing w:val="-2"/>
              </w:rPr>
              <w:t>3200</w:t>
            </w:r>
          </w:p>
        </w:tc>
      </w:tr>
      <w:tr w14:paraId="3F210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273" w:type="dxa"/>
            <w:vMerge w:val="continue"/>
            <w:tcBorders>
              <w:top w:val="nil"/>
              <w:left w:val="single" w:color="000000" w:sz="12" w:space="0"/>
              <w:bottom w:val="single" w:color="000000" w:sz="12" w:space="0"/>
            </w:tcBorders>
            <w:vAlign w:val="top"/>
          </w:tcPr>
          <w:p w14:paraId="59E0A922">
            <w:pPr>
              <w:rPr>
                <w:rFonts w:ascii="Arial"/>
                <w:sz w:val="21"/>
              </w:rPr>
            </w:pPr>
          </w:p>
        </w:tc>
        <w:tc>
          <w:tcPr>
            <w:tcW w:w="285" w:type="dxa"/>
            <w:vMerge w:val="continue"/>
            <w:tcBorders>
              <w:top w:val="nil"/>
              <w:bottom w:val="single" w:color="000000" w:sz="12" w:space="0"/>
            </w:tcBorders>
            <w:vAlign w:val="top"/>
          </w:tcPr>
          <w:p w14:paraId="174415E6">
            <w:pPr>
              <w:rPr>
                <w:rFonts w:ascii="Arial"/>
                <w:sz w:val="21"/>
              </w:rPr>
            </w:pPr>
          </w:p>
        </w:tc>
        <w:tc>
          <w:tcPr>
            <w:tcW w:w="1273" w:type="dxa"/>
            <w:tcBorders>
              <w:bottom w:val="single" w:color="000000" w:sz="12" w:space="0"/>
            </w:tcBorders>
            <w:vAlign w:val="top"/>
          </w:tcPr>
          <w:p w14:paraId="4B92A7A1">
            <w:pPr>
              <w:pStyle w:val="6"/>
              <w:spacing w:before="93" w:line="197" w:lineRule="auto"/>
              <w:ind w:left="147"/>
            </w:pPr>
            <w:r>
              <w:rPr>
                <w:spacing w:val="-1"/>
              </w:rPr>
              <w:t>2021/11/30</w:t>
            </w:r>
          </w:p>
        </w:tc>
        <w:tc>
          <w:tcPr>
            <w:tcW w:w="880" w:type="dxa"/>
            <w:tcBorders>
              <w:bottom w:val="single" w:color="000000" w:sz="12" w:space="0"/>
            </w:tcBorders>
            <w:vAlign w:val="top"/>
          </w:tcPr>
          <w:p w14:paraId="555D6FF5">
            <w:pPr>
              <w:pStyle w:val="6"/>
              <w:spacing w:before="93" w:line="197" w:lineRule="auto"/>
              <w:ind w:left="267"/>
            </w:pPr>
            <w:r>
              <w:rPr>
                <w:spacing w:val="-6"/>
              </w:rPr>
              <w:t>17.6</w:t>
            </w:r>
          </w:p>
        </w:tc>
        <w:tc>
          <w:tcPr>
            <w:tcW w:w="880" w:type="dxa"/>
            <w:tcBorders>
              <w:bottom w:val="single" w:color="000000" w:sz="12" w:space="0"/>
            </w:tcBorders>
            <w:vAlign w:val="top"/>
          </w:tcPr>
          <w:p w14:paraId="1342E9F2">
            <w:pPr>
              <w:pStyle w:val="6"/>
              <w:spacing w:before="93" w:line="197" w:lineRule="auto"/>
              <w:ind w:left="304"/>
            </w:pPr>
            <w:r>
              <w:rPr>
                <w:spacing w:val="-3"/>
              </w:rPr>
              <w:t>7.9</w:t>
            </w:r>
          </w:p>
        </w:tc>
        <w:tc>
          <w:tcPr>
            <w:tcW w:w="880" w:type="dxa"/>
            <w:tcBorders>
              <w:bottom w:val="single" w:color="000000" w:sz="12" w:space="0"/>
            </w:tcBorders>
            <w:vAlign w:val="top"/>
          </w:tcPr>
          <w:p w14:paraId="2A4AC621">
            <w:pPr>
              <w:pStyle w:val="6"/>
              <w:spacing w:before="97" w:line="186" w:lineRule="auto"/>
              <w:ind w:left="317"/>
            </w:pPr>
            <w:r>
              <w:rPr>
                <w:spacing w:val="-1"/>
              </w:rPr>
              <w:t>4L</w:t>
            </w:r>
          </w:p>
        </w:tc>
        <w:tc>
          <w:tcPr>
            <w:tcW w:w="880" w:type="dxa"/>
            <w:tcBorders>
              <w:bottom w:val="single" w:color="000000" w:sz="12" w:space="0"/>
            </w:tcBorders>
            <w:vAlign w:val="top"/>
          </w:tcPr>
          <w:p w14:paraId="171ECBBB">
            <w:pPr>
              <w:pStyle w:val="6"/>
              <w:spacing w:before="93" w:line="197" w:lineRule="auto"/>
              <w:ind w:left="309"/>
            </w:pPr>
            <w:r>
              <w:rPr>
                <w:spacing w:val="-3"/>
              </w:rPr>
              <w:t>6.9</w:t>
            </w:r>
          </w:p>
        </w:tc>
        <w:tc>
          <w:tcPr>
            <w:tcW w:w="880" w:type="dxa"/>
            <w:tcBorders>
              <w:bottom w:val="single" w:color="000000" w:sz="12" w:space="0"/>
            </w:tcBorders>
            <w:vAlign w:val="top"/>
          </w:tcPr>
          <w:p w14:paraId="5000EEA4">
            <w:pPr>
              <w:pStyle w:val="6"/>
              <w:spacing w:before="93" w:line="197" w:lineRule="auto"/>
              <w:ind w:left="327"/>
            </w:pPr>
            <w:r>
              <w:rPr>
                <w:spacing w:val="-8"/>
              </w:rPr>
              <w:t>1.9</w:t>
            </w:r>
          </w:p>
        </w:tc>
        <w:tc>
          <w:tcPr>
            <w:tcW w:w="880" w:type="dxa"/>
            <w:tcBorders>
              <w:bottom w:val="single" w:color="000000" w:sz="12" w:space="0"/>
            </w:tcBorders>
            <w:vAlign w:val="top"/>
          </w:tcPr>
          <w:p w14:paraId="4BD47C13">
            <w:pPr>
              <w:pStyle w:val="6"/>
              <w:spacing w:before="93" w:line="197" w:lineRule="auto"/>
              <w:ind w:left="355"/>
            </w:pPr>
            <w:r>
              <w:rPr>
                <w:spacing w:val="-6"/>
              </w:rPr>
              <w:t>11</w:t>
            </w:r>
          </w:p>
        </w:tc>
        <w:tc>
          <w:tcPr>
            <w:tcW w:w="880" w:type="dxa"/>
            <w:tcBorders>
              <w:bottom w:val="single" w:color="000000" w:sz="12" w:space="0"/>
            </w:tcBorders>
            <w:vAlign w:val="top"/>
          </w:tcPr>
          <w:p w14:paraId="031AC293">
            <w:pPr>
              <w:pStyle w:val="6"/>
              <w:spacing w:before="93" w:line="197" w:lineRule="auto"/>
              <w:ind w:left="311"/>
            </w:pPr>
            <w:r>
              <w:rPr>
                <w:spacing w:val="-2"/>
              </w:rPr>
              <w:t>2.2</w:t>
            </w:r>
          </w:p>
        </w:tc>
        <w:tc>
          <w:tcPr>
            <w:tcW w:w="880" w:type="dxa"/>
            <w:tcBorders>
              <w:bottom w:val="single" w:color="000000" w:sz="12" w:space="0"/>
            </w:tcBorders>
            <w:vAlign w:val="top"/>
          </w:tcPr>
          <w:p w14:paraId="3CDA607D">
            <w:pPr>
              <w:pStyle w:val="6"/>
              <w:spacing w:before="93" w:line="197" w:lineRule="auto"/>
              <w:ind w:left="212"/>
            </w:pPr>
            <w:r>
              <w:rPr>
                <w:spacing w:val="-2"/>
              </w:rPr>
              <w:t>0.121</w:t>
            </w:r>
          </w:p>
        </w:tc>
        <w:tc>
          <w:tcPr>
            <w:tcW w:w="880" w:type="dxa"/>
            <w:tcBorders>
              <w:bottom w:val="single" w:color="000000" w:sz="12" w:space="0"/>
            </w:tcBorders>
            <w:vAlign w:val="top"/>
          </w:tcPr>
          <w:p w14:paraId="7EC3BD50">
            <w:pPr>
              <w:pStyle w:val="6"/>
              <w:spacing w:before="93" w:line="197" w:lineRule="auto"/>
              <w:ind w:left="266"/>
            </w:pPr>
            <w:r>
              <w:rPr>
                <w:spacing w:val="-2"/>
              </w:rPr>
              <w:t>0.01</w:t>
            </w:r>
          </w:p>
        </w:tc>
        <w:tc>
          <w:tcPr>
            <w:tcW w:w="880" w:type="dxa"/>
            <w:tcBorders>
              <w:bottom w:val="single" w:color="000000" w:sz="12" w:space="0"/>
            </w:tcBorders>
            <w:vAlign w:val="top"/>
          </w:tcPr>
          <w:p w14:paraId="339414B6">
            <w:pPr>
              <w:pStyle w:val="6"/>
              <w:spacing w:before="93" w:line="197" w:lineRule="auto"/>
              <w:ind w:left="268"/>
            </w:pPr>
            <w:r>
              <w:rPr>
                <w:spacing w:val="-2"/>
              </w:rPr>
              <w:t>0.03</w:t>
            </w:r>
          </w:p>
        </w:tc>
        <w:tc>
          <w:tcPr>
            <w:tcW w:w="881" w:type="dxa"/>
            <w:tcBorders>
              <w:bottom w:val="single" w:color="000000" w:sz="12" w:space="0"/>
            </w:tcBorders>
            <w:vAlign w:val="top"/>
          </w:tcPr>
          <w:p w14:paraId="27D291E5">
            <w:pPr>
              <w:pStyle w:val="6"/>
              <w:spacing w:before="93" w:line="197" w:lineRule="auto"/>
              <w:ind w:left="206"/>
            </w:pPr>
            <w:r>
              <w:rPr>
                <w:spacing w:val="-2"/>
              </w:rPr>
              <w:t>0.05L</w:t>
            </w:r>
          </w:p>
        </w:tc>
        <w:tc>
          <w:tcPr>
            <w:tcW w:w="894" w:type="dxa"/>
            <w:tcBorders>
              <w:bottom w:val="single" w:color="000000" w:sz="12" w:space="0"/>
              <w:right w:val="single" w:color="000000" w:sz="12" w:space="0"/>
            </w:tcBorders>
            <w:vAlign w:val="top"/>
          </w:tcPr>
          <w:p w14:paraId="7077FE7E">
            <w:pPr>
              <w:pStyle w:val="6"/>
              <w:spacing w:before="93" w:line="197" w:lineRule="auto"/>
              <w:ind w:left="247"/>
            </w:pPr>
            <w:r>
              <w:rPr>
                <w:spacing w:val="-2"/>
              </w:rPr>
              <w:t>3400</w:t>
            </w:r>
          </w:p>
        </w:tc>
      </w:tr>
    </w:tbl>
    <w:p w14:paraId="1F727342">
      <w:pPr>
        <w:rPr>
          <w:rFonts w:ascii="Arial"/>
          <w:sz w:val="21"/>
        </w:rPr>
      </w:pPr>
    </w:p>
    <w:p w14:paraId="237BCB97">
      <w:pPr>
        <w:rPr>
          <w:rFonts w:ascii="Arial" w:hAnsi="Arial" w:eastAsia="Arial" w:cs="Arial"/>
          <w:sz w:val="21"/>
          <w:szCs w:val="21"/>
        </w:rPr>
        <w:sectPr>
          <w:footerReference r:id="rId244" w:type="default"/>
          <w:pgSz w:w="16839" w:h="11907"/>
          <w:pgMar w:top="1376" w:right="1669" w:bottom="1061" w:left="1671" w:header="999" w:footer="861" w:gutter="0"/>
          <w:cols w:space="720" w:num="1"/>
        </w:sectPr>
      </w:pPr>
    </w:p>
    <w:p w14:paraId="2230A747">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285"/>
        <w:gridCol w:w="1273"/>
        <w:gridCol w:w="880"/>
        <w:gridCol w:w="880"/>
        <w:gridCol w:w="880"/>
        <w:gridCol w:w="880"/>
        <w:gridCol w:w="880"/>
        <w:gridCol w:w="880"/>
        <w:gridCol w:w="880"/>
        <w:gridCol w:w="880"/>
        <w:gridCol w:w="880"/>
        <w:gridCol w:w="880"/>
        <w:gridCol w:w="881"/>
        <w:gridCol w:w="894"/>
      </w:tblGrid>
      <w:tr w14:paraId="6F650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273" w:type="dxa"/>
            <w:tcBorders>
              <w:top w:val="single" w:color="000000" w:sz="12" w:space="0"/>
              <w:left w:val="single" w:color="000000" w:sz="12" w:space="0"/>
            </w:tcBorders>
            <w:vAlign w:val="top"/>
          </w:tcPr>
          <w:p w14:paraId="72757020">
            <w:pPr>
              <w:spacing w:line="250" w:lineRule="auto"/>
              <w:rPr>
                <w:rFonts w:ascii="Arial"/>
                <w:sz w:val="21"/>
              </w:rPr>
            </w:pPr>
          </w:p>
          <w:p w14:paraId="5D6E9294">
            <w:pPr>
              <w:spacing w:before="68" w:line="221" w:lineRule="auto"/>
              <w:ind w:left="203"/>
              <w:rPr>
                <w:rFonts w:ascii="宋体" w:hAnsi="宋体" w:eastAsia="宋体" w:cs="宋体"/>
                <w:sz w:val="21"/>
                <w:szCs w:val="21"/>
              </w:rPr>
            </w:pPr>
            <w:r>
              <w:rPr>
                <w:rFonts w:ascii="宋体" w:hAnsi="宋体" w:eastAsia="宋体" w:cs="宋体"/>
                <w:spacing w:val="-2"/>
                <w:sz w:val="21"/>
                <w:szCs w:val="21"/>
              </w:rPr>
              <w:t>监测点位</w:t>
            </w:r>
          </w:p>
        </w:tc>
        <w:tc>
          <w:tcPr>
            <w:tcW w:w="1558" w:type="dxa"/>
            <w:gridSpan w:val="2"/>
            <w:tcBorders>
              <w:top w:val="single" w:color="000000" w:sz="12" w:space="0"/>
            </w:tcBorders>
            <w:vAlign w:val="top"/>
          </w:tcPr>
          <w:p w14:paraId="29F87F3E">
            <w:pPr>
              <w:spacing w:line="250" w:lineRule="auto"/>
              <w:rPr>
                <w:rFonts w:ascii="Arial"/>
                <w:sz w:val="21"/>
              </w:rPr>
            </w:pPr>
          </w:p>
          <w:p w14:paraId="36D5E79F">
            <w:pPr>
              <w:spacing w:before="68" w:line="221" w:lineRule="auto"/>
              <w:ind w:left="352"/>
              <w:rPr>
                <w:rFonts w:ascii="宋体" w:hAnsi="宋体" w:eastAsia="宋体" w:cs="宋体"/>
                <w:sz w:val="21"/>
                <w:szCs w:val="21"/>
              </w:rPr>
            </w:pPr>
            <w:r>
              <w:rPr>
                <w:rFonts w:ascii="宋体" w:hAnsi="宋体" w:eastAsia="宋体" w:cs="宋体"/>
                <w:spacing w:val="-2"/>
                <w:sz w:val="21"/>
                <w:szCs w:val="21"/>
              </w:rPr>
              <w:t>监测时间</w:t>
            </w:r>
          </w:p>
        </w:tc>
        <w:tc>
          <w:tcPr>
            <w:tcW w:w="880" w:type="dxa"/>
            <w:tcBorders>
              <w:top w:val="single" w:color="000000" w:sz="12" w:space="0"/>
            </w:tcBorders>
            <w:vAlign w:val="top"/>
          </w:tcPr>
          <w:p w14:paraId="400F0871">
            <w:pPr>
              <w:spacing w:before="183" w:line="243" w:lineRule="auto"/>
              <w:ind w:left="229" w:right="233" w:hanging="2"/>
              <w:rPr>
                <w:rFonts w:ascii="宋体" w:hAnsi="宋体" w:eastAsia="宋体" w:cs="宋体"/>
                <w:sz w:val="21"/>
                <w:szCs w:val="21"/>
              </w:rPr>
            </w:pPr>
            <w:r>
              <w:rPr>
                <w:rFonts w:ascii="宋体" w:hAnsi="宋体" w:eastAsia="宋体" w:cs="宋体"/>
                <w:spacing w:val="-6"/>
                <w:sz w:val="21"/>
                <w:szCs w:val="21"/>
              </w:rPr>
              <w:t>水温</w:t>
            </w:r>
            <w:r>
              <w:rPr>
                <w:rFonts w:ascii="宋体" w:hAnsi="宋体" w:eastAsia="宋体" w:cs="宋体"/>
                <w:spacing w:val="-7"/>
                <w:sz w:val="21"/>
                <w:szCs w:val="21"/>
              </w:rPr>
              <w:t>(℃)</w:t>
            </w:r>
          </w:p>
        </w:tc>
        <w:tc>
          <w:tcPr>
            <w:tcW w:w="880" w:type="dxa"/>
            <w:tcBorders>
              <w:top w:val="single" w:color="000000" w:sz="12" w:space="0"/>
            </w:tcBorders>
            <w:vAlign w:val="top"/>
          </w:tcPr>
          <w:p w14:paraId="574AC94A">
            <w:pPr>
              <w:pStyle w:val="6"/>
              <w:spacing w:before="47" w:line="213" w:lineRule="auto"/>
              <w:ind w:left="167"/>
              <w:rPr>
                <w:rFonts w:ascii="宋体" w:hAnsi="宋体" w:eastAsia="宋体" w:cs="宋体"/>
              </w:rPr>
            </w:pPr>
            <w:r>
              <w:t>pH</w:t>
            </w:r>
            <w:r>
              <w:rPr>
                <w:spacing w:val="8"/>
              </w:rPr>
              <w:t xml:space="preserve"> </w:t>
            </w:r>
            <w:r>
              <w:rPr>
                <w:rFonts w:ascii="宋体" w:hAnsi="宋体" w:eastAsia="宋体" w:cs="宋体"/>
              </w:rPr>
              <w:t>值</w:t>
            </w:r>
          </w:p>
          <w:p w14:paraId="5424E530">
            <w:pPr>
              <w:spacing w:before="29" w:line="231" w:lineRule="auto"/>
              <w:ind w:left="229" w:right="135" w:hanging="103"/>
              <w:rPr>
                <w:rFonts w:ascii="宋体" w:hAnsi="宋体" w:eastAsia="宋体" w:cs="宋体"/>
                <w:sz w:val="21"/>
                <w:szCs w:val="21"/>
              </w:rPr>
            </w:pPr>
            <w:r>
              <w:rPr>
                <w:rFonts w:ascii="宋体" w:hAnsi="宋体" w:eastAsia="宋体" w:cs="宋体"/>
                <w:spacing w:val="-8"/>
                <w:sz w:val="21"/>
                <w:szCs w:val="21"/>
              </w:rPr>
              <w:t>（无量</w:t>
            </w:r>
            <w:r>
              <w:rPr>
                <w:rFonts w:ascii="宋体" w:hAnsi="宋体" w:eastAsia="宋体" w:cs="宋体"/>
                <w:spacing w:val="-7"/>
                <w:sz w:val="21"/>
                <w:szCs w:val="21"/>
              </w:rPr>
              <w:t>纲）</w:t>
            </w:r>
          </w:p>
        </w:tc>
        <w:tc>
          <w:tcPr>
            <w:tcW w:w="880" w:type="dxa"/>
            <w:tcBorders>
              <w:top w:val="single" w:color="000000" w:sz="12" w:space="0"/>
            </w:tcBorders>
            <w:vAlign w:val="top"/>
          </w:tcPr>
          <w:p w14:paraId="25F6BB66">
            <w:pPr>
              <w:spacing w:line="295" w:lineRule="auto"/>
              <w:rPr>
                <w:rFonts w:ascii="Arial"/>
                <w:sz w:val="21"/>
              </w:rPr>
            </w:pPr>
          </w:p>
          <w:p w14:paraId="2C394F16">
            <w:pPr>
              <w:pStyle w:val="6"/>
              <w:spacing w:before="60" w:line="186" w:lineRule="auto"/>
              <w:ind w:left="326"/>
            </w:pPr>
            <w:r>
              <w:rPr>
                <w:spacing w:val="-7"/>
              </w:rPr>
              <w:t>SS</w:t>
            </w:r>
          </w:p>
        </w:tc>
        <w:tc>
          <w:tcPr>
            <w:tcW w:w="880" w:type="dxa"/>
            <w:tcBorders>
              <w:top w:val="single" w:color="000000" w:sz="12" w:space="0"/>
            </w:tcBorders>
            <w:vAlign w:val="top"/>
          </w:tcPr>
          <w:p w14:paraId="220D4A3F">
            <w:pPr>
              <w:spacing w:line="295" w:lineRule="auto"/>
              <w:rPr>
                <w:rFonts w:ascii="Arial"/>
                <w:sz w:val="21"/>
              </w:rPr>
            </w:pPr>
          </w:p>
          <w:p w14:paraId="0D166DDE">
            <w:pPr>
              <w:pStyle w:val="6"/>
              <w:spacing w:before="60" w:line="186" w:lineRule="auto"/>
              <w:ind w:left="283"/>
            </w:pPr>
            <w:r>
              <w:rPr>
                <w:spacing w:val="-2"/>
              </w:rPr>
              <w:t>DO</w:t>
            </w:r>
          </w:p>
        </w:tc>
        <w:tc>
          <w:tcPr>
            <w:tcW w:w="880" w:type="dxa"/>
            <w:tcBorders>
              <w:top w:val="single" w:color="000000" w:sz="12" w:space="0"/>
            </w:tcBorders>
            <w:vAlign w:val="top"/>
          </w:tcPr>
          <w:p w14:paraId="6B0BB950">
            <w:pPr>
              <w:spacing w:line="294" w:lineRule="auto"/>
              <w:rPr>
                <w:rFonts w:ascii="Arial"/>
                <w:sz w:val="21"/>
              </w:rPr>
            </w:pPr>
          </w:p>
          <w:p w14:paraId="3FC98F14">
            <w:pPr>
              <w:pStyle w:val="6"/>
              <w:spacing w:before="61" w:line="227" w:lineRule="auto"/>
              <w:ind w:left="122"/>
              <w:rPr>
                <w:sz w:val="14"/>
                <w:szCs w:val="14"/>
              </w:rPr>
            </w:pPr>
            <w:r>
              <w:rPr>
                <w:spacing w:val="-2"/>
              </w:rPr>
              <w:t>COD</w:t>
            </w:r>
            <w:r>
              <w:rPr>
                <w:spacing w:val="-2"/>
                <w:position w:val="-1"/>
                <w:sz w:val="14"/>
                <w:szCs w:val="14"/>
              </w:rPr>
              <w:t>Mn</w:t>
            </w:r>
          </w:p>
        </w:tc>
        <w:tc>
          <w:tcPr>
            <w:tcW w:w="880" w:type="dxa"/>
            <w:tcBorders>
              <w:top w:val="single" w:color="000000" w:sz="12" w:space="0"/>
            </w:tcBorders>
            <w:vAlign w:val="top"/>
          </w:tcPr>
          <w:p w14:paraId="5DDC214F">
            <w:pPr>
              <w:spacing w:line="295" w:lineRule="auto"/>
              <w:rPr>
                <w:rFonts w:ascii="Arial"/>
                <w:sz w:val="21"/>
              </w:rPr>
            </w:pPr>
          </w:p>
          <w:p w14:paraId="7A121148">
            <w:pPr>
              <w:pStyle w:val="6"/>
              <w:spacing w:before="60" w:line="186" w:lineRule="auto"/>
              <w:ind w:left="222"/>
            </w:pPr>
            <w:r>
              <w:rPr>
                <w:spacing w:val="-3"/>
              </w:rPr>
              <w:t>COD</w:t>
            </w:r>
          </w:p>
        </w:tc>
        <w:tc>
          <w:tcPr>
            <w:tcW w:w="880" w:type="dxa"/>
            <w:tcBorders>
              <w:top w:val="single" w:color="000000" w:sz="12" w:space="0"/>
            </w:tcBorders>
            <w:vAlign w:val="top"/>
          </w:tcPr>
          <w:p w14:paraId="0D33D498">
            <w:pPr>
              <w:spacing w:line="295" w:lineRule="auto"/>
              <w:rPr>
                <w:rFonts w:ascii="Arial"/>
                <w:sz w:val="21"/>
              </w:rPr>
            </w:pPr>
          </w:p>
          <w:p w14:paraId="05AE81B4">
            <w:pPr>
              <w:pStyle w:val="6"/>
              <w:spacing w:before="60" w:line="225" w:lineRule="auto"/>
              <w:ind w:left="185"/>
              <w:rPr>
                <w:sz w:val="14"/>
                <w:szCs w:val="14"/>
              </w:rPr>
            </w:pPr>
            <w:r>
              <w:rPr>
                <w:spacing w:val="-1"/>
              </w:rPr>
              <w:t>BOD</w:t>
            </w:r>
            <w:r>
              <w:rPr>
                <w:spacing w:val="-1"/>
                <w:position w:val="-1"/>
                <w:sz w:val="14"/>
                <w:szCs w:val="14"/>
              </w:rPr>
              <w:t>5</w:t>
            </w:r>
          </w:p>
        </w:tc>
        <w:tc>
          <w:tcPr>
            <w:tcW w:w="880" w:type="dxa"/>
            <w:tcBorders>
              <w:top w:val="single" w:color="000000" w:sz="12" w:space="0"/>
            </w:tcBorders>
            <w:vAlign w:val="top"/>
          </w:tcPr>
          <w:p w14:paraId="6F9B3F2D">
            <w:pPr>
              <w:spacing w:line="298" w:lineRule="auto"/>
              <w:rPr>
                <w:rFonts w:ascii="Arial"/>
                <w:sz w:val="21"/>
              </w:rPr>
            </w:pPr>
          </w:p>
          <w:p w14:paraId="7B159ACE">
            <w:pPr>
              <w:pStyle w:val="6"/>
              <w:spacing w:before="60" w:line="222" w:lineRule="auto"/>
              <w:ind w:left="140"/>
            </w:pPr>
            <w:r>
              <w:t>NH</w:t>
            </w:r>
            <w:r>
              <w:rPr>
                <w:position w:val="-1"/>
                <w:sz w:val="14"/>
                <w:szCs w:val="14"/>
              </w:rPr>
              <w:t>3</w:t>
            </w:r>
            <w:r>
              <w:t>-N</w:t>
            </w:r>
          </w:p>
        </w:tc>
        <w:tc>
          <w:tcPr>
            <w:tcW w:w="880" w:type="dxa"/>
            <w:tcBorders>
              <w:top w:val="single" w:color="000000" w:sz="12" w:space="0"/>
            </w:tcBorders>
            <w:vAlign w:val="top"/>
          </w:tcPr>
          <w:p w14:paraId="6800A454">
            <w:pPr>
              <w:spacing w:line="298" w:lineRule="auto"/>
              <w:rPr>
                <w:rFonts w:ascii="Arial"/>
                <w:sz w:val="21"/>
              </w:rPr>
            </w:pPr>
          </w:p>
          <w:p w14:paraId="2D8DDB68">
            <w:pPr>
              <w:pStyle w:val="6"/>
              <w:spacing w:before="60" w:line="183" w:lineRule="auto"/>
              <w:ind w:left="326"/>
            </w:pPr>
            <w:r>
              <w:rPr>
                <w:spacing w:val="-4"/>
              </w:rPr>
              <w:t>TP</w:t>
            </w:r>
          </w:p>
        </w:tc>
        <w:tc>
          <w:tcPr>
            <w:tcW w:w="880" w:type="dxa"/>
            <w:tcBorders>
              <w:top w:val="single" w:color="000000" w:sz="12" w:space="0"/>
            </w:tcBorders>
            <w:vAlign w:val="top"/>
          </w:tcPr>
          <w:p w14:paraId="142D902A">
            <w:pPr>
              <w:spacing w:line="249" w:lineRule="auto"/>
              <w:rPr>
                <w:rFonts w:ascii="Arial"/>
                <w:sz w:val="21"/>
              </w:rPr>
            </w:pPr>
          </w:p>
          <w:p w14:paraId="4B643A7F">
            <w:pPr>
              <w:spacing w:before="68" w:line="220" w:lineRule="auto"/>
              <w:ind w:left="138"/>
              <w:rPr>
                <w:rFonts w:ascii="宋体" w:hAnsi="宋体" w:eastAsia="宋体" w:cs="宋体"/>
                <w:sz w:val="21"/>
                <w:szCs w:val="21"/>
              </w:rPr>
            </w:pPr>
            <w:r>
              <w:rPr>
                <w:rFonts w:ascii="宋体" w:hAnsi="宋体" w:eastAsia="宋体" w:cs="宋体"/>
                <w:spacing w:val="-3"/>
                <w:sz w:val="21"/>
                <w:szCs w:val="21"/>
              </w:rPr>
              <w:t>石油类</w:t>
            </w:r>
          </w:p>
        </w:tc>
        <w:tc>
          <w:tcPr>
            <w:tcW w:w="881" w:type="dxa"/>
            <w:tcBorders>
              <w:top w:val="single" w:color="000000" w:sz="12" w:space="0"/>
            </w:tcBorders>
            <w:vAlign w:val="top"/>
          </w:tcPr>
          <w:p w14:paraId="39C1E84B">
            <w:pPr>
              <w:spacing w:before="47" w:line="220" w:lineRule="auto"/>
              <w:ind w:left="155"/>
              <w:rPr>
                <w:rFonts w:ascii="宋体" w:hAnsi="宋体" w:eastAsia="宋体" w:cs="宋体"/>
                <w:sz w:val="21"/>
                <w:szCs w:val="21"/>
              </w:rPr>
            </w:pPr>
            <w:r>
              <w:rPr>
                <w:rFonts w:ascii="宋体" w:hAnsi="宋体" w:eastAsia="宋体" w:cs="宋体"/>
                <w:spacing w:val="-6"/>
                <w:sz w:val="21"/>
                <w:szCs w:val="21"/>
              </w:rPr>
              <w:t>阴离子</w:t>
            </w:r>
          </w:p>
          <w:p w14:paraId="15650984">
            <w:pPr>
              <w:spacing w:before="21" w:line="231" w:lineRule="auto"/>
              <w:ind w:left="246" w:right="109" w:hanging="108"/>
              <w:rPr>
                <w:rFonts w:ascii="宋体" w:hAnsi="宋体" w:eastAsia="宋体" w:cs="宋体"/>
                <w:sz w:val="21"/>
                <w:szCs w:val="21"/>
              </w:rPr>
            </w:pPr>
            <w:r>
              <w:rPr>
                <w:rFonts w:ascii="宋体" w:hAnsi="宋体" w:eastAsia="宋体" w:cs="宋体"/>
                <w:spacing w:val="-3"/>
                <w:sz w:val="21"/>
                <w:szCs w:val="21"/>
              </w:rPr>
              <w:t>表面活性剂</w:t>
            </w:r>
          </w:p>
        </w:tc>
        <w:tc>
          <w:tcPr>
            <w:tcW w:w="894" w:type="dxa"/>
            <w:tcBorders>
              <w:top w:val="single" w:color="000000" w:sz="12" w:space="0"/>
              <w:right w:val="single" w:color="000000" w:sz="12" w:space="0"/>
            </w:tcBorders>
            <w:vAlign w:val="top"/>
          </w:tcPr>
          <w:p w14:paraId="60A7C129">
            <w:pPr>
              <w:pStyle w:val="6"/>
              <w:spacing w:before="46" w:line="234" w:lineRule="auto"/>
              <w:ind w:left="54" w:right="30" w:firstLine="88"/>
              <w:jc w:val="both"/>
              <w:rPr>
                <w:rFonts w:ascii="宋体" w:hAnsi="宋体" w:eastAsia="宋体" w:cs="宋体"/>
              </w:rPr>
            </w:pPr>
            <w:r>
              <w:rPr>
                <w:rFonts w:ascii="宋体" w:hAnsi="宋体" w:eastAsia="宋体" w:cs="宋体"/>
                <w:spacing w:val="-4"/>
              </w:rPr>
              <w:t>粪大肠</w:t>
            </w:r>
            <w:r>
              <w:rPr>
                <w:rFonts w:ascii="宋体" w:hAnsi="宋体" w:eastAsia="宋体" w:cs="宋体"/>
                <w:spacing w:val="39"/>
                <w:w w:val="125"/>
              </w:rPr>
              <w:t>菌群</w:t>
            </w:r>
            <w:r>
              <w:rPr>
                <w:rFonts w:ascii="宋体" w:hAnsi="宋体" w:eastAsia="宋体" w:cs="宋体"/>
                <w:spacing w:val="-6"/>
              </w:rPr>
              <w:t>（个</w:t>
            </w:r>
            <w:r>
              <w:rPr>
                <w:spacing w:val="-6"/>
              </w:rPr>
              <w:t>/L</w:t>
            </w:r>
            <w:r>
              <w:rPr>
                <w:rFonts w:ascii="宋体" w:hAnsi="宋体" w:eastAsia="宋体" w:cs="宋体"/>
                <w:spacing w:val="-6"/>
              </w:rPr>
              <w:t>）</w:t>
            </w:r>
          </w:p>
        </w:tc>
      </w:tr>
      <w:tr w14:paraId="6E73A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restart"/>
            <w:tcBorders>
              <w:left w:val="single" w:color="000000" w:sz="12" w:space="0"/>
              <w:bottom w:val="nil"/>
            </w:tcBorders>
            <w:vAlign w:val="top"/>
          </w:tcPr>
          <w:p w14:paraId="4B378B75">
            <w:pPr>
              <w:spacing w:line="286" w:lineRule="auto"/>
              <w:rPr>
                <w:rFonts w:ascii="Arial"/>
                <w:sz w:val="21"/>
              </w:rPr>
            </w:pPr>
          </w:p>
          <w:p w14:paraId="420318CF">
            <w:pPr>
              <w:spacing w:line="287" w:lineRule="auto"/>
              <w:rPr>
                <w:rFonts w:ascii="Arial"/>
                <w:sz w:val="21"/>
              </w:rPr>
            </w:pPr>
          </w:p>
          <w:p w14:paraId="1C98E9C0">
            <w:pPr>
              <w:spacing w:line="287" w:lineRule="auto"/>
              <w:rPr>
                <w:rFonts w:ascii="Arial"/>
                <w:sz w:val="21"/>
              </w:rPr>
            </w:pPr>
          </w:p>
          <w:p w14:paraId="327D1C50">
            <w:pPr>
              <w:spacing w:line="287" w:lineRule="auto"/>
              <w:rPr>
                <w:rFonts w:ascii="Arial"/>
                <w:sz w:val="21"/>
              </w:rPr>
            </w:pPr>
          </w:p>
          <w:p w14:paraId="2FA4168C">
            <w:pPr>
              <w:spacing w:before="68" w:line="239" w:lineRule="auto"/>
              <w:ind w:left="102" w:right="114"/>
              <w:rPr>
                <w:rFonts w:ascii="宋体" w:hAnsi="宋体" w:eastAsia="宋体" w:cs="宋体"/>
                <w:sz w:val="21"/>
                <w:szCs w:val="21"/>
              </w:rPr>
            </w:pPr>
            <w:r>
              <w:rPr>
                <w:rFonts w:ascii="宋体" w:hAnsi="宋体" w:eastAsia="宋体" w:cs="宋体"/>
                <w:spacing w:val="-3"/>
                <w:sz w:val="21"/>
                <w:szCs w:val="21"/>
              </w:rPr>
              <w:t>马龙河干流</w:t>
            </w:r>
            <w:r>
              <w:rPr>
                <w:rFonts w:ascii="宋体" w:hAnsi="宋体" w:eastAsia="宋体" w:cs="宋体"/>
                <w:spacing w:val="-4"/>
                <w:sz w:val="21"/>
                <w:szCs w:val="21"/>
              </w:rPr>
              <w:t>（红桥河汇</w:t>
            </w:r>
          </w:p>
          <w:p w14:paraId="501B284E">
            <w:pPr>
              <w:pStyle w:val="6"/>
              <w:spacing w:before="1" w:line="253" w:lineRule="auto"/>
              <w:ind w:left="332" w:right="324" w:firstLine="6"/>
              <w:rPr>
                <w:rFonts w:ascii="宋体" w:hAnsi="宋体" w:eastAsia="宋体" w:cs="宋体"/>
              </w:rPr>
            </w:pPr>
            <w:r>
              <w:rPr>
                <w:rFonts w:ascii="宋体" w:hAnsi="宋体" w:eastAsia="宋体" w:cs="宋体"/>
                <w:spacing w:val="-14"/>
              </w:rPr>
              <w:t>口下游</w:t>
            </w:r>
            <w:r>
              <w:rPr>
                <w:spacing w:val="-3"/>
              </w:rPr>
              <w:t>50m</w:t>
            </w:r>
            <w:r>
              <w:rPr>
                <w:rFonts w:ascii="宋体" w:hAnsi="宋体" w:eastAsia="宋体" w:cs="宋体"/>
                <w:spacing w:val="-3"/>
              </w:rPr>
              <w:t>）</w:t>
            </w:r>
          </w:p>
        </w:tc>
        <w:tc>
          <w:tcPr>
            <w:tcW w:w="285" w:type="dxa"/>
            <w:vMerge w:val="restart"/>
            <w:tcBorders>
              <w:bottom w:val="nil"/>
            </w:tcBorders>
            <w:vAlign w:val="top"/>
          </w:tcPr>
          <w:p w14:paraId="3F8D05EC">
            <w:pPr>
              <w:pStyle w:val="6"/>
              <w:spacing w:before="84" w:line="222" w:lineRule="auto"/>
              <w:ind w:left="97"/>
            </w:pPr>
            <w:r>
              <w:t>1</w:t>
            </w:r>
          </w:p>
          <w:p w14:paraId="622AC2E9">
            <w:pPr>
              <w:spacing w:line="219" w:lineRule="auto"/>
              <w:ind w:left="29"/>
              <w:rPr>
                <w:rFonts w:ascii="宋体" w:hAnsi="宋体" w:eastAsia="宋体" w:cs="宋体"/>
                <w:sz w:val="21"/>
                <w:szCs w:val="21"/>
              </w:rPr>
            </w:pPr>
            <w:r>
              <w:rPr>
                <w:rFonts w:ascii="宋体" w:hAnsi="宋体" w:eastAsia="宋体" w:cs="宋体"/>
                <w:sz w:val="21"/>
                <w:szCs w:val="21"/>
              </w:rPr>
              <w:t>季</w:t>
            </w:r>
          </w:p>
          <w:p w14:paraId="34B76EDA">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16C17CBB">
            <w:pPr>
              <w:pStyle w:val="6"/>
              <w:spacing w:before="66" w:line="201" w:lineRule="auto"/>
              <w:ind w:left="199"/>
            </w:pPr>
            <w:r>
              <w:rPr>
                <w:spacing w:val="-1"/>
              </w:rPr>
              <w:t>2021/3/18</w:t>
            </w:r>
          </w:p>
        </w:tc>
        <w:tc>
          <w:tcPr>
            <w:tcW w:w="880" w:type="dxa"/>
            <w:vAlign w:val="top"/>
          </w:tcPr>
          <w:p w14:paraId="4F939708">
            <w:pPr>
              <w:pStyle w:val="6"/>
              <w:spacing w:before="66" w:line="201" w:lineRule="auto"/>
              <w:ind w:left="267"/>
            </w:pPr>
            <w:r>
              <w:rPr>
                <w:spacing w:val="-6"/>
              </w:rPr>
              <w:t>15.2</w:t>
            </w:r>
          </w:p>
        </w:tc>
        <w:tc>
          <w:tcPr>
            <w:tcW w:w="880" w:type="dxa"/>
            <w:vAlign w:val="top"/>
          </w:tcPr>
          <w:p w14:paraId="0C3715C8">
            <w:pPr>
              <w:pStyle w:val="6"/>
              <w:spacing w:before="66" w:line="201" w:lineRule="auto"/>
              <w:ind w:left="252"/>
            </w:pPr>
            <w:r>
              <w:rPr>
                <w:spacing w:val="-2"/>
              </w:rPr>
              <w:t>7.82</w:t>
            </w:r>
          </w:p>
        </w:tc>
        <w:tc>
          <w:tcPr>
            <w:tcW w:w="880" w:type="dxa"/>
            <w:vAlign w:val="top"/>
          </w:tcPr>
          <w:p w14:paraId="5A5B93D3">
            <w:pPr>
              <w:pStyle w:val="6"/>
              <w:spacing w:before="70" w:line="186" w:lineRule="auto"/>
              <w:ind w:left="317"/>
            </w:pPr>
            <w:r>
              <w:rPr>
                <w:spacing w:val="-1"/>
              </w:rPr>
              <w:t>4L</w:t>
            </w:r>
          </w:p>
        </w:tc>
        <w:tc>
          <w:tcPr>
            <w:tcW w:w="880" w:type="dxa"/>
            <w:vAlign w:val="top"/>
          </w:tcPr>
          <w:p w14:paraId="6678CC88">
            <w:pPr>
              <w:pStyle w:val="6"/>
              <w:spacing w:before="66" w:line="201" w:lineRule="auto"/>
              <w:ind w:left="309"/>
            </w:pPr>
            <w:r>
              <w:rPr>
                <w:spacing w:val="-3"/>
              </w:rPr>
              <w:t>3.8</w:t>
            </w:r>
          </w:p>
        </w:tc>
        <w:tc>
          <w:tcPr>
            <w:tcW w:w="880" w:type="dxa"/>
            <w:vAlign w:val="top"/>
          </w:tcPr>
          <w:p w14:paraId="7F08B16A">
            <w:pPr>
              <w:pStyle w:val="6"/>
              <w:spacing w:before="66" w:line="201" w:lineRule="auto"/>
              <w:ind w:left="307"/>
            </w:pPr>
            <w:r>
              <w:rPr>
                <w:spacing w:val="-2"/>
              </w:rPr>
              <w:t>2.4</w:t>
            </w:r>
          </w:p>
        </w:tc>
        <w:tc>
          <w:tcPr>
            <w:tcW w:w="880" w:type="dxa"/>
            <w:vAlign w:val="top"/>
          </w:tcPr>
          <w:p w14:paraId="65FD567A">
            <w:pPr>
              <w:pStyle w:val="6"/>
              <w:spacing w:before="70" w:line="186" w:lineRule="auto"/>
              <w:ind w:left="323"/>
            </w:pPr>
            <w:r>
              <w:rPr>
                <w:spacing w:val="-1"/>
              </w:rPr>
              <w:t>4L</w:t>
            </w:r>
          </w:p>
        </w:tc>
        <w:tc>
          <w:tcPr>
            <w:tcW w:w="880" w:type="dxa"/>
            <w:vAlign w:val="top"/>
          </w:tcPr>
          <w:p w14:paraId="4A97D79A">
            <w:pPr>
              <w:pStyle w:val="6"/>
              <w:spacing w:before="66" w:line="201" w:lineRule="auto"/>
              <w:ind w:left="250"/>
            </w:pPr>
            <w:r>
              <w:rPr>
                <w:spacing w:val="-2"/>
              </w:rPr>
              <w:t>0.5L</w:t>
            </w:r>
          </w:p>
        </w:tc>
        <w:tc>
          <w:tcPr>
            <w:tcW w:w="880" w:type="dxa"/>
            <w:vAlign w:val="top"/>
          </w:tcPr>
          <w:p w14:paraId="4558033D">
            <w:pPr>
              <w:pStyle w:val="6"/>
              <w:spacing w:before="66" w:line="201" w:lineRule="auto"/>
              <w:ind w:left="212"/>
            </w:pPr>
            <w:r>
              <w:rPr>
                <w:spacing w:val="-2"/>
              </w:rPr>
              <w:t>0.092</w:t>
            </w:r>
          </w:p>
        </w:tc>
        <w:tc>
          <w:tcPr>
            <w:tcW w:w="880" w:type="dxa"/>
            <w:vAlign w:val="top"/>
          </w:tcPr>
          <w:p w14:paraId="7467EDD5">
            <w:pPr>
              <w:pStyle w:val="6"/>
              <w:spacing w:before="66" w:line="201" w:lineRule="auto"/>
              <w:ind w:left="266"/>
            </w:pPr>
            <w:r>
              <w:rPr>
                <w:spacing w:val="-2"/>
              </w:rPr>
              <w:t>0.02</w:t>
            </w:r>
          </w:p>
        </w:tc>
        <w:tc>
          <w:tcPr>
            <w:tcW w:w="880" w:type="dxa"/>
            <w:vAlign w:val="top"/>
          </w:tcPr>
          <w:p w14:paraId="2D27A5D0">
            <w:pPr>
              <w:pStyle w:val="6"/>
              <w:spacing w:before="66" w:line="201" w:lineRule="auto"/>
              <w:ind w:left="204"/>
            </w:pPr>
            <w:r>
              <w:rPr>
                <w:spacing w:val="-2"/>
              </w:rPr>
              <w:t>0.01L</w:t>
            </w:r>
          </w:p>
        </w:tc>
        <w:tc>
          <w:tcPr>
            <w:tcW w:w="881" w:type="dxa"/>
            <w:vAlign w:val="top"/>
          </w:tcPr>
          <w:p w14:paraId="29047B85">
            <w:pPr>
              <w:pStyle w:val="6"/>
              <w:spacing w:before="66" w:line="201" w:lineRule="auto"/>
              <w:ind w:left="206"/>
            </w:pPr>
            <w:r>
              <w:rPr>
                <w:spacing w:val="-2"/>
              </w:rPr>
              <w:t>0.05L</w:t>
            </w:r>
          </w:p>
        </w:tc>
        <w:tc>
          <w:tcPr>
            <w:tcW w:w="894" w:type="dxa"/>
            <w:tcBorders>
              <w:right w:val="single" w:color="000000" w:sz="12" w:space="0"/>
            </w:tcBorders>
            <w:vAlign w:val="top"/>
          </w:tcPr>
          <w:p w14:paraId="5661428F">
            <w:pPr>
              <w:pStyle w:val="6"/>
              <w:spacing w:before="66" w:line="201" w:lineRule="auto"/>
              <w:ind w:left="355"/>
            </w:pPr>
            <w:r>
              <w:rPr>
                <w:spacing w:val="-4"/>
              </w:rPr>
              <w:t>80</w:t>
            </w:r>
          </w:p>
        </w:tc>
      </w:tr>
      <w:tr w14:paraId="39398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39A33A6">
            <w:pPr>
              <w:rPr>
                <w:rFonts w:ascii="Arial"/>
                <w:sz w:val="21"/>
              </w:rPr>
            </w:pPr>
          </w:p>
        </w:tc>
        <w:tc>
          <w:tcPr>
            <w:tcW w:w="285" w:type="dxa"/>
            <w:vMerge w:val="continue"/>
            <w:tcBorders>
              <w:top w:val="nil"/>
              <w:bottom w:val="nil"/>
            </w:tcBorders>
            <w:vAlign w:val="top"/>
          </w:tcPr>
          <w:p w14:paraId="4D469BFC">
            <w:pPr>
              <w:rPr>
                <w:rFonts w:ascii="Arial"/>
                <w:sz w:val="21"/>
              </w:rPr>
            </w:pPr>
          </w:p>
        </w:tc>
        <w:tc>
          <w:tcPr>
            <w:tcW w:w="1273" w:type="dxa"/>
            <w:vAlign w:val="top"/>
          </w:tcPr>
          <w:p w14:paraId="17DAA65A">
            <w:pPr>
              <w:pStyle w:val="6"/>
              <w:spacing w:before="68" w:line="199" w:lineRule="auto"/>
              <w:ind w:left="199"/>
            </w:pPr>
            <w:r>
              <w:rPr>
                <w:spacing w:val="-1"/>
              </w:rPr>
              <w:t>2021/3/19</w:t>
            </w:r>
          </w:p>
        </w:tc>
        <w:tc>
          <w:tcPr>
            <w:tcW w:w="880" w:type="dxa"/>
            <w:vAlign w:val="top"/>
          </w:tcPr>
          <w:p w14:paraId="148CA68B">
            <w:pPr>
              <w:pStyle w:val="6"/>
              <w:spacing w:before="68" w:line="199" w:lineRule="auto"/>
              <w:ind w:left="267"/>
            </w:pPr>
            <w:r>
              <w:rPr>
                <w:spacing w:val="-6"/>
              </w:rPr>
              <w:t>14.7</w:t>
            </w:r>
          </w:p>
        </w:tc>
        <w:tc>
          <w:tcPr>
            <w:tcW w:w="880" w:type="dxa"/>
            <w:vAlign w:val="top"/>
          </w:tcPr>
          <w:p w14:paraId="3AA61BB5">
            <w:pPr>
              <w:pStyle w:val="6"/>
              <w:spacing w:before="68" w:line="199" w:lineRule="auto"/>
              <w:ind w:left="252"/>
            </w:pPr>
            <w:r>
              <w:rPr>
                <w:spacing w:val="-2"/>
              </w:rPr>
              <w:t>7.86</w:t>
            </w:r>
          </w:p>
        </w:tc>
        <w:tc>
          <w:tcPr>
            <w:tcW w:w="880" w:type="dxa"/>
            <w:vAlign w:val="top"/>
          </w:tcPr>
          <w:p w14:paraId="64760FA1">
            <w:pPr>
              <w:pStyle w:val="6"/>
              <w:spacing w:before="72" w:line="186" w:lineRule="auto"/>
              <w:ind w:left="317"/>
            </w:pPr>
            <w:r>
              <w:rPr>
                <w:spacing w:val="-1"/>
              </w:rPr>
              <w:t>4L</w:t>
            </w:r>
          </w:p>
        </w:tc>
        <w:tc>
          <w:tcPr>
            <w:tcW w:w="880" w:type="dxa"/>
            <w:vAlign w:val="top"/>
          </w:tcPr>
          <w:p w14:paraId="0F6CE251">
            <w:pPr>
              <w:pStyle w:val="6"/>
              <w:spacing w:before="68" w:line="199" w:lineRule="auto"/>
              <w:ind w:left="303"/>
            </w:pPr>
            <w:r>
              <w:rPr>
                <w:spacing w:val="-1"/>
              </w:rPr>
              <w:t>4.1</w:t>
            </w:r>
          </w:p>
        </w:tc>
        <w:tc>
          <w:tcPr>
            <w:tcW w:w="880" w:type="dxa"/>
            <w:vAlign w:val="top"/>
          </w:tcPr>
          <w:p w14:paraId="11E6122F">
            <w:pPr>
              <w:pStyle w:val="6"/>
              <w:spacing w:before="68" w:line="199" w:lineRule="auto"/>
              <w:ind w:left="307"/>
            </w:pPr>
            <w:r>
              <w:rPr>
                <w:spacing w:val="-2"/>
              </w:rPr>
              <w:t>2.0</w:t>
            </w:r>
          </w:p>
        </w:tc>
        <w:tc>
          <w:tcPr>
            <w:tcW w:w="880" w:type="dxa"/>
            <w:vAlign w:val="top"/>
          </w:tcPr>
          <w:p w14:paraId="4A7525E3">
            <w:pPr>
              <w:pStyle w:val="6"/>
              <w:spacing w:before="72" w:line="186" w:lineRule="auto"/>
              <w:ind w:left="323"/>
            </w:pPr>
            <w:r>
              <w:rPr>
                <w:spacing w:val="-1"/>
              </w:rPr>
              <w:t>4L</w:t>
            </w:r>
          </w:p>
        </w:tc>
        <w:tc>
          <w:tcPr>
            <w:tcW w:w="880" w:type="dxa"/>
            <w:vAlign w:val="top"/>
          </w:tcPr>
          <w:p w14:paraId="195D5B64">
            <w:pPr>
              <w:pStyle w:val="6"/>
              <w:spacing w:before="68" w:line="199" w:lineRule="auto"/>
              <w:ind w:left="250"/>
            </w:pPr>
            <w:r>
              <w:rPr>
                <w:spacing w:val="-2"/>
              </w:rPr>
              <w:t>0.5L</w:t>
            </w:r>
          </w:p>
        </w:tc>
        <w:tc>
          <w:tcPr>
            <w:tcW w:w="880" w:type="dxa"/>
            <w:vAlign w:val="top"/>
          </w:tcPr>
          <w:p w14:paraId="057D7F39">
            <w:pPr>
              <w:pStyle w:val="6"/>
              <w:spacing w:before="68" w:line="199" w:lineRule="auto"/>
              <w:ind w:left="212"/>
            </w:pPr>
            <w:r>
              <w:rPr>
                <w:spacing w:val="-2"/>
              </w:rPr>
              <w:t>0.089</w:t>
            </w:r>
          </w:p>
        </w:tc>
        <w:tc>
          <w:tcPr>
            <w:tcW w:w="880" w:type="dxa"/>
            <w:vAlign w:val="top"/>
          </w:tcPr>
          <w:p w14:paraId="61A42B32">
            <w:pPr>
              <w:pStyle w:val="6"/>
              <w:spacing w:before="68" w:line="199" w:lineRule="auto"/>
              <w:ind w:left="266"/>
            </w:pPr>
            <w:r>
              <w:rPr>
                <w:spacing w:val="-2"/>
              </w:rPr>
              <w:t>0.02</w:t>
            </w:r>
          </w:p>
        </w:tc>
        <w:tc>
          <w:tcPr>
            <w:tcW w:w="880" w:type="dxa"/>
            <w:vAlign w:val="top"/>
          </w:tcPr>
          <w:p w14:paraId="43C953C5">
            <w:pPr>
              <w:pStyle w:val="6"/>
              <w:spacing w:before="68" w:line="199" w:lineRule="auto"/>
              <w:ind w:left="204"/>
            </w:pPr>
            <w:r>
              <w:rPr>
                <w:spacing w:val="-2"/>
              </w:rPr>
              <w:t>0.01L</w:t>
            </w:r>
          </w:p>
        </w:tc>
        <w:tc>
          <w:tcPr>
            <w:tcW w:w="881" w:type="dxa"/>
            <w:vAlign w:val="top"/>
          </w:tcPr>
          <w:p w14:paraId="0E022EA4">
            <w:pPr>
              <w:pStyle w:val="6"/>
              <w:spacing w:before="68" w:line="199" w:lineRule="auto"/>
              <w:ind w:left="206"/>
            </w:pPr>
            <w:r>
              <w:rPr>
                <w:spacing w:val="-2"/>
              </w:rPr>
              <w:t>0.05L</w:t>
            </w:r>
          </w:p>
        </w:tc>
        <w:tc>
          <w:tcPr>
            <w:tcW w:w="894" w:type="dxa"/>
            <w:tcBorders>
              <w:right w:val="single" w:color="000000" w:sz="12" w:space="0"/>
            </w:tcBorders>
            <w:vAlign w:val="top"/>
          </w:tcPr>
          <w:p w14:paraId="772FFFDE">
            <w:pPr>
              <w:pStyle w:val="6"/>
              <w:spacing w:before="68" w:line="199" w:lineRule="auto"/>
              <w:ind w:left="351"/>
            </w:pPr>
            <w:r>
              <w:rPr>
                <w:spacing w:val="-2"/>
              </w:rPr>
              <w:t>90</w:t>
            </w:r>
          </w:p>
        </w:tc>
      </w:tr>
      <w:tr w14:paraId="08859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44FFCFB">
            <w:pPr>
              <w:rPr>
                <w:rFonts w:ascii="Arial"/>
                <w:sz w:val="21"/>
              </w:rPr>
            </w:pPr>
          </w:p>
        </w:tc>
        <w:tc>
          <w:tcPr>
            <w:tcW w:w="285" w:type="dxa"/>
            <w:vMerge w:val="continue"/>
            <w:tcBorders>
              <w:top w:val="nil"/>
            </w:tcBorders>
            <w:vAlign w:val="top"/>
          </w:tcPr>
          <w:p w14:paraId="13F20130">
            <w:pPr>
              <w:rPr>
                <w:rFonts w:ascii="Arial"/>
                <w:sz w:val="21"/>
              </w:rPr>
            </w:pPr>
          </w:p>
        </w:tc>
        <w:tc>
          <w:tcPr>
            <w:tcW w:w="1273" w:type="dxa"/>
            <w:vAlign w:val="top"/>
          </w:tcPr>
          <w:p w14:paraId="16E487A6">
            <w:pPr>
              <w:pStyle w:val="6"/>
              <w:spacing w:before="69" w:line="198" w:lineRule="auto"/>
              <w:ind w:left="199"/>
            </w:pPr>
            <w:r>
              <w:rPr>
                <w:spacing w:val="-1"/>
              </w:rPr>
              <w:t>2021/3/20</w:t>
            </w:r>
          </w:p>
        </w:tc>
        <w:tc>
          <w:tcPr>
            <w:tcW w:w="880" w:type="dxa"/>
            <w:vAlign w:val="top"/>
          </w:tcPr>
          <w:p w14:paraId="469C9F4C">
            <w:pPr>
              <w:pStyle w:val="6"/>
              <w:spacing w:before="69" w:line="198" w:lineRule="auto"/>
              <w:ind w:left="267"/>
            </w:pPr>
            <w:r>
              <w:rPr>
                <w:spacing w:val="-6"/>
              </w:rPr>
              <w:t>15.1</w:t>
            </w:r>
          </w:p>
        </w:tc>
        <w:tc>
          <w:tcPr>
            <w:tcW w:w="880" w:type="dxa"/>
            <w:vAlign w:val="top"/>
          </w:tcPr>
          <w:p w14:paraId="12AF371A">
            <w:pPr>
              <w:pStyle w:val="6"/>
              <w:spacing w:before="69" w:line="198" w:lineRule="auto"/>
              <w:ind w:left="252"/>
            </w:pPr>
            <w:r>
              <w:rPr>
                <w:spacing w:val="-2"/>
              </w:rPr>
              <w:t>7.76</w:t>
            </w:r>
          </w:p>
        </w:tc>
        <w:tc>
          <w:tcPr>
            <w:tcW w:w="880" w:type="dxa"/>
            <w:vAlign w:val="top"/>
          </w:tcPr>
          <w:p w14:paraId="17E5E678">
            <w:pPr>
              <w:pStyle w:val="6"/>
              <w:spacing w:before="73" w:line="186" w:lineRule="auto"/>
              <w:ind w:left="317"/>
            </w:pPr>
            <w:r>
              <w:rPr>
                <w:spacing w:val="-1"/>
              </w:rPr>
              <w:t>4L</w:t>
            </w:r>
          </w:p>
        </w:tc>
        <w:tc>
          <w:tcPr>
            <w:tcW w:w="880" w:type="dxa"/>
            <w:vAlign w:val="top"/>
          </w:tcPr>
          <w:p w14:paraId="1F2C1239">
            <w:pPr>
              <w:pStyle w:val="6"/>
              <w:spacing w:before="69" w:line="198" w:lineRule="auto"/>
              <w:ind w:left="309"/>
            </w:pPr>
            <w:r>
              <w:rPr>
                <w:spacing w:val="-3"/>
              </w:rPr>
              <w:t>3.7</w:t>
            </w:r>
          </w:p>
        </w:tc>
        <w:tc>
          <w:tcPr>
            <w:tcW w:w="880" w:type="dxa"/>
            <w:vAlign w:val="top"/>
          </w:tcPr>
          <w:p w14:paraId="67026769">
            <w:pPr>
              <w:pStyle w:val="6"/>
              <w:spacing w:before="69" w:line="198" w:lineRule="auto"/>
              <w:ind w:left="307"/>
            </w:pPr>
            <w:r>
              <w:rPr>
                <w:spacing w:val="-2"/>
              </w:rPr>
              <w:t>2.5</w:t>
            </w:r>
          </w:p>
        </w:tc>
        <w:tc>
          <w:tcPr>
            <w:tcW w:w="880" w:type="dxa"/>
            <w:vAlign w:val="top"/>
          </w:tcPr>
          <w:p w14:paraId="67207763">
            <w:pPr>
              <w:pStyle w:val="6"/>
              <w:spacing w:before="73" w:line="186" w:lineRule="auto"/>
              <w:ind w:left="323"/>
            </w:pPr>
            <w:r>
              <w:rPr>
                <w:spacing w:val="-1"/>
              </w:rPr>
              <w:t>4L</w:t>
            </w:r>
          </w:p>
        </w:tc>
        <w:tc>
          <w:tcPr>
            <w:tcW w:w="880" w:type="dxa"/>
            <w:vAlign w:val="top"/>
          </w:tcPr>
          <w:p w14:paraId="7F52FAF7">
            <w:pPr>
              <w:pStyle w:val="6"/>
              <w:spacing w:before="69" w:line="198" w:lineRule="auto"/>
              <w:ind w:left="250"/>
            </w:pPr>
            <w:r>
              <w:rPr>
                <w:spacing w:val="-2"/>
              </w:rPr>
              <w:t>0.5L</w:t>
            </w:r>
          </w:p>
        </w:tc>
        <w:tc>
          <w:tcPr>
            <w:tcW w:w="880" w:type="dxa"/>
            <w:vAlign w:val="top"/>
          </w:tcPr>
          <w:p w14:paraId="3211A69A">
            <w:pPr>
              <w:pStyle w:val="6"/>
              <w:spacing w:before="69" w:line="198" w:lineRule="auto"/>
              <w:ind w:left="212"/>
            </w:pPr>
            <w:r>
              <w:rPr>
                <w:spacing w:val="-2"/>
              </w:rPr>
              <w:t>0.095</w:t>
            </w:r>
          </w:p>
        </w:tc>
        <w:tc>
          <w:tcPr>
            <w:tcW w:w="880" w:type="dxa"/>
            <w:vAlign w:val="top"/>
          </w:tcPr>
          <w:p w14:paraId="51734E32">
            <w:pPr>
              <w:pStyle w:val="6"/>
              <w:spacing w:before="69" w:line="198" w:lineRule="auto"/>
              <w:ind w:left="266"/>
            </w:pPr>
            <w:r>
              <w:rPr>
                <w:spacing w:val="-2"/>
              </w:rPr>
              <w:t>0.03</w:t>
            </w:r>
          </w:p>
        </w:tc>
        <w:tc>
          <w:tcPr>
            <w:tcW w:w="880" w:type="dxa"/>
            <w:vAlign w:val="top"/>
          </w:tcPr>
          <w:p w14:paraId="6AEB3470">
            <w:pPr>
              <w:pStyle w:val="6"/>
              <w:spacing w:before="69" w:line="198" w:lineRule="auto"/>
              <w:ind w:left="204"/>
            </w:pPr>
            <w:r>
              <w:rPr>
                <w:spacing w:val="-2"/>
              </w:rPr>
              <w:t>0.01L</w:t>
            </w:r>
          </w:p>
        </w:tc>
        <w:tc>
          <w:tcPr>
            <w:tcW w:w="881" w:type="dxa"/>
            <w:vAlign w:val="top"/>
          </w:tcPr>
          <w:p w14:paraId="23F3FE19">
            <w:pPr>
              <w:pStyle w:val="6"/>
              <w:spacing w:before="69" w:line="198" w:lineRule="auto"/>
              <w:ind w:left="206"/>
            </w:pPr>
            <w:r>
              <w:rPr>
                <w:spacing w:val="-2"/>
              </w:rPr>
              <w:t>0.05L</w:t>
            </w:r>
          </w:p>
        </w:tc>
        <w:tc>
          <w:tcPr>
            <w:tcW w:w="894" w:type="dxa"/>
            <w:tcBorders>
              <w:right w:val="single" w:color="000000" w:sz="12" w:space="0"/>
            </w:tcBorders>
            <w:vAlign w:val="top"/>
          </w:tcPr>
          <w:p w14:paraId="1344AB03">
            <w:pPr>
              <w:pStyle w:val="6"/>
              <w:spacing w:before="69" w:line="198" w:lineRule="auto"/>
              <w:ind w:left="350"/>
            </w:pPr>
            <w:r>
              <w:rPr>
                <w:spacing w:val="-2"/>
              </w:rPr>
              <w:t>70</w:t>
            </w:r>
          </w:p>
        </w:tc>
      </w:tr>
      <w:tr w14:paraId="7601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9CB846C">
            <w:pPr>
              <w:rPr>
                <w:rFonts w:ascii="Arial"/>
                <w:sz w:val="21"/>
              </w:rPr>
            </w:pPr>
          </w:p>
        </w:tc>
        <w:tc>
          <w:tcPr>
            <w:tcW w:w="285" w:type="dxa"/>
            <w:vMerge w:val="restart"/>
            <w:tcBorders>
              <w:bottom w:val="nil"/>
            </w:tcBorders>
            <w:vAlign w:val="top"/>
          </w:tcPr>
          <w:p w14:paraId="7C16B39A">
            <w:pPr>
              <w:pStyle w:val="6"/>
              <w:spacing w:before="89" w:line="222" w:lineRule="auto"/>
              <w:ind w:left="77"/>
            </w:pPr>
            <w:r>
              <w:t>2</w:t>
            </w:r>
          </w:p>
          <w:p w14:paraId="793751EC">
            <w:pPr>
              <w:spacing w:line="219" w:lineRule="auto"/>
              <w:ind w:left="29"/>
              <w:rPr>
                <w:rFonts w:ascii="宋体" w:hAnsi="宋体" w:eastAsia="宋体" w:cs="宋体"/>
                <w:sz w:val="21"/>
                <w:szCs w:val="21"/>
              </w:rPr>
            </w:pPr>
            <w:r>
              <w:rPr>
                <w:rFonts w:ascii="宋体" w:hAnsi="宋体" w:eastAsia="宋体" w:cs="宋体"/>
                <w:sz w:val="21"/>
                <w:szCs w:val="21"/>
              </w:rPr>
              <w:t>季</w:t>
            </w:r>
          </w:p>
          <w:p w14:paraId="09AB443F">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40D8EF32">
            <w:pPr>
              <w:pStyle w:val="6"/>
              <w:spacing w:before="70" w:line="197" w:lineRule="auto"/>
              <w:ind w:left="252"/>
            </w:pPr>
            <w:r>
              <w:rPr>
                <w:spacing w:val="-1"/>
              </w:rPr>
              <w:t>2021/6/3</w:t>
            </w:r>
          </w:p>
        </w:tc>
        <w:tc>
          <w:tcPr>
            <w:tcW w:w="880" w:type="dxa"/>
            <w:vAlign w:val="top"/>
          </w:tcPr>
          <w:p w14:paraId="6901A2DF">
            <w:pPr>
              <w:pStyle w:val="6"/>
              <w:spacing w:before="70" w:line="197" w:lineRule="auto"/>
              <w:ind w:left="267"/>
            </w:pPr>
            <w:r>
              <w:rPr>
                <w:spacing w:val="-6"/>
              </w:rPr>
              <w:t>15.4</w:t>
            </w:r>
          </w:p>
        </w:tc>
        <w:tc>
          <w:tcPr>
            <w:tcW w:w="880" w:type="dxa"/>
            <w:vAlign w:val="top"/>
          </w:tcPr>
          <w:p w14:paraId="0991E4E1">
            <w:pPr>
              <w:pStyle w:val="6"/>
              <w:spacing w:before="70" w:line="197" w:lineRule="auto"/>
              <w:ind w:left="304"/>
            </w:pPr>
            <w:r>
              <w:rPr>
                <w:spacing w:val="-3"/>
              </w:rPr>
              <w:t>7.9</w:t>
            </w:r>
          </w:p>
        </w:tc>
        <w:tc>
          <w:tcPr>
            <w:tcW w:w="880" w:type="dxa"/>
            <w:vAlign w:val="top"/>
          </w:tcPr>
          <w:p w14:paraId="07EB964A">
            <w:pPr>
              <w:pStyle w:val="6"/>
              <w:spacing w:before="75" w:line="186" w:lineRule="auto"/>
              <w:ind w:left="317"/>
            </w:pPr>
            <w:r>
              <w:rPr>
                <w:spacing w:val="-1"/>
              </w:rPr>
              <w:t>4L</w:t>
            </w:r>
          </w:p>
        </w:tc>
        <w:tc>
          <w:tcPr>
            <w:tcW w:w="880" w:type="dxa"/>
            <w:vAlign w:val="top"/>
          </w:tcPr>
          <w:p w14:paraId="109D9EE0">
            <w:pPr>
              <w:pStyle w:val="6"/>
              <w:spacing w:before="70" w:line="197" w:lineRule="auto"/>
              <w:ind w:left="310"/>
            </w:pPr>
            <w:r>
              <w:rPr>
                <w:spacing w:val="-4"/>
              </w:rPr>
              <w:t>5.2</w:t>
            </w:r>
          </w:p>
        </w:tc>
        <w:tc>
          <w:tcPr>
            <w:tcW w:w="880" w:type="dxa"/>
            <w:vAlign w:val="top"/>
          </w:tcPr>
          <w:p w14:paraId="28DAE8E8">
            <w:pPr>
              <w:pStyle w:val="6"/>
              <w:spacing w:before="70" w:line="197" w:lineRule="auto"/>
              <w:ind w:left="311"/>
            </w:pPr>
            <w:r>
              <w:rPr>
                <w:spacing w:val="-3"/>
              </w:rPr>
              <w:t>3.5</w:t>
            </w:r>
          </w:p>
        </w:tc>
        <w:tc>
          <w:tcPr>
            <w:tcW w:w="880" w:type="dxa"/>
            <w:vAlign w:val="top"/>
          </w:tcPr>
          <w:p w14:paraId="511F3484">
            <w:pPr>
              <w:pStyle w:val="6"/>
              <w:spacing w:before="70" w:line="197" w:lineRule="auto"/>
              <w:ind w:left="355"/>
            </w:pPr>
            <w:r>
              <w:rPr>
                <w:spacing w:val="-6"/>
              </w:rPr>
              <w:t>10</w:t>
            </w:r>
          </w:p>
        </w:tc>
        <w:tc>
          <w:tcPr>
            <w:tcW w:w="880" w:type="dxa"/>
            <w:vAlign w:val="top"/>
          </w:tcPr>
          <w:p w14:paraId="1C7063A6">
            <w:pPr>
              <w:pStyle w:val="6"/>
              <w:spacing w:before="70" w:line="197" w:lineRule="auto"/>
              <w:ind w:left="331"/>
            </w:pPr>
            <w:r>
              <w:rPr>
                <w:spacing w:val="-8"/>
              </w:rPr>
              <w:t>1.9</w:t>
            </w:r>
          </w:p>
        </w:tc>
        <w:tc>
          <w:tcPr>
            <w:tcW w:w="880" w:type="dxa"/>
            <w:vAlign w:val="top"/>
          </w:tcPr>
          <w:p w14:paraId="706CA2AA">
            <w:pPr>
              <w:pStyle w:val="6"/>
              <w:spacing w:before="70" w:line="197" w:lineRule="auto"/>
              <w:ind w:left="212"/>
            </w:pPr>
            <w:r>
              <w:rPr>
                <w:spacing w:val="-2"/>
              </w:rPr>
              <w:t>0.329</w:t>
            </w:r>
          </w:p>
        </w:tc>
        <w:tc>
          <w:tcPr>
            <w:tcW w:w="880" w:type="dxa"/>
            <w:vAlign w:val="top"/>
          </w:tcPr>
          <w:p w14:paraId="5BD1EB11">
            <w:pPr>
              <w:pStyle w:val="6"/>
              <w:spacing w:before="70" w:line="197" w:lineRule="auto"/>
              <w:ind w:left="266"/>
            </w:pPr>
            <w:r>
              <w:rPr>
                <w:spacing w:val="-2"/>
              </w:rPr>
              <w:t>0.04</w:t>
            </w:r>
          </w:p>
        </w:tc>
        <w:tc>
          <w:tcPr>
            <w:tcW w:w="880" w:type="dxa"/>
            <w:vAlign w:val="top"/>
          </w:tcPr>
          <w:p w14:paraId="1879768D">
            <w:pPr>
              <w:pStyle w:val="6"/>
              <w:spacing w:before="70" w:line="197" w:lineRule="auto"/>
              <w:ind w:left="268"/>
            </w:pPr>
            <w:r>
              <w:rPr>
                <w:spacing w:val="-2"/>
              </w:rPr>
              <w:t>0.01</w:t>
            </w:r>
          </w:p>
        </w:tc>
        <w:tc>
          <w:tcPr>
            <w:tcW w:w="881" w:type="dxa"/>
            <w:vAlign w:val="top"/>
          </w:tcPr>
          <w:p w14:paraId="1802E390">
            <w:pPr>
              <w:pStyle w:val="6"/>
              <w:spacing w:before="70" w:line="197" w:lineRule="auto"/>
              <w:ind w:left="206"/>
            </w:pPr>
            <w:r>
              <w:rPr>
                <w:spacing w:val="-2"/>
              </w:rPr>
              <w:t>0.05L</w:t>
            </w:r>
          </w:p>
        </w:tc>
        <w:tc>
          <w:tcPr>
            <w:tcW w:w="894" w:type="dxa"/>
            <w:tcBorders>
              <w:right w:val="single" w:color="000000" w:sz="12" w:space="0"/>
            </w:tcBorders>
            <w:vAlign w:val="top"/>
          </w:tcPr>
          <w:p w14:paraId="7E39A51A">
            <w:pPr>
              <w:pStyle w:val="6"/>
              <w:spacing w:before="70" w:line="197" w:lineRule="auto"/>
              <w:ind w:left="299"/>
            </w:pPr>
            <w:r>
              <w:rPr>
                <w:spacing w:val="-2"/>
              </w:rPr>
              <w:t>320</w:t>
            </w:r>
          </w:p>
        </w:tc>
      </w:tr>
      <w:tr w14:paraId="58BF7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4F89ED0">
            <w:pPr>
              <w:rPr>
                <w:rFonts w:ascii="Arial"/>
                <w:sz w:val="21"/>
              </w:rPr>
            </w:pPr>
          </w:p>
        </w:tc>
        <w:tc>
          <w:tcPr>
            <w:tcW w:w="285" w:type="dxa"/>
            <w:vMerge w:val="continue"/>
            <w:tcBorders>
              <w:top w:val="nil"/>
              <w:bottom w:val="nil"/>
            </w:tcBorders>
            <w:vAlign w:val="top"/>
          </w:tcPr>
          <w:p w14:paraId="1ECE7612">
            <w:pPr>
              <w:rPr>
                <w:rFonts w:ascii="Arial"/>
                <w:sz w:val="21"/>
              </w:rPr>
            </w:pPr>
          </w:p>
        </w:tc>
        <w:tc>
          <w:tcPr>
            <w:tcW w:w="1273" w:type="dxa"/>
            <w:vAlign w:val="top"/>
          </w:tcPr>
          <w:p w14:paraId="1733541E">
            <w:pPr>
              <w:pStyle w:val="6"/>
              <w:spacing w:before="72" w:line="195" w:lineRule="auto"/>
              <w:ind w:left="252"/>
            </w:pPr>
            <w:r>
              <w:rPr>
                <w:spacing w:val="-1"/>
              </w:rPr>
              <w:t>2021/6/4</w:t>
            </w:r>
          </w:p>
        </w:tc>
        <w:tc>
          <w:tcPr>
            <w:tcW w:w="880" w:type="dxa"/>
            <w:vAlign w:val="top"/>
          </w:tcPr>
          <w:p w14:paraId="6FBA05D0">
            <w:pPr>
              <w:pStyle w:val="6"/>
              <w:spacing w:before="72" w:line="195" w:lineRule="auto"/>
              <w:ind w:left="267"/>
            </w:pPr>
            <w:r>
              <w:rPr>
                <w:spacing w:val="-6"/>
              </w:rPr>
              <w:t>15.6</w:t>
            </w:r>
          </w:p>
        </w:tc>
        <w:tc>
          <w:tcPr>
            <w:tcW w:w="880" w:type="dxa"/>
            <w:vAlign w:val="top"/>
          </w:tcPr>
          <w:p w14:paraId="28EDE572">
            <w:pPr>
              <w:pStyle w:val="6"/>
              <w:spacing w:before="72" w:line="195" w:lineRule="auto"/>
              <w:ind w:left="309"/>
            </w:pPr>
            <w:r>
              <w:rPr>
                <w:spacing w:val="-5"/>
              </w:rPr>
              <w:t>8.0</w:t>
            </w:r>
          </w:p>
        </w:tc>
        <w:tc>
          <w:tcPr>
            <w:tcW w:w="880" w:type="dxa"/>
            <w:vAlign w:val="top"/>
          </w:tcPr>
          <w:p w14:paraId="6AD39405">
            <w:pPr>
              <w:pStyle w:val="6"/>
              <w:spacing w:before="76" w:line="186" w:lineRule="auto"/>
              <w:ind w:left="317"/>
            </w:pPr>
            <w:r>
              <w:rPr>
                <w:spacing w:val="-1"/>
              </w:rPr>
              <w:t>4L</w:t>
            </w:r>
          </w:p>
        </w:tc>
        <w:tc>
          <w:tcPr>
            <w:tcW w:w="880" w:type="dxa"/>
            <w:vAlign w:val="top"/>
          </w:tcPr>
          <w:p w14:paraId="205D30CB">
            <w:pPr>
              <w:pStyle w:val="6"/>
              <w:spacing w:before="72" w:line="195" w:lineRule="auto"/>
              <w:ind w:left="310"/>
            </w:pPr>
            <w:r>
              <w:rPr>
                <w:spacing w:val="-4"/>
              </w:rPr>
              <w:t>5.7</w:t>
            </w:r>
          </w:p>
        </w:tc>
        <w:tc>
          <w:tcPr>
            <w:tcW w:w="880" w:type="dxa"/>
            <w:vAlign w:val="top"/>
          </w:tcPr>
          <w:p w14:paraId="110450B7">
            <w:pPr>
              <w:pStyle w:val="6"/>
              <w:spacing w:before="72" w:line="195" w:lineRule="auto"/>
              <w:ind w:left="311"/>
            </w:pPr>
            <w:r>
              <w:rPr>
                <w:spacing w:val="-3"/>
              </w:rPr>
              <w:t>3.6</w:t>
            </w:r>
          </w:p>
        </w:tc>
        <w:tc>
          <w:tcPr>
            <w:tcW w:w="880" w:type="dxa"/>
            <w:vAlign w:val="top"/>
          </w:tcPr>
          <w:p w14:paraId="3738793A">
            <w:pPr>
              <w:pStyle w:val="6"/>
              <w:spacing w:before="72" w:line="195" w:lineRule="auto"/>
              <w:ind w:left="392"/>
            </w:pPr>
            <w:r>
              <w:t>9</w:t>
            </w:r>
          </w:p>
        </w:tc>
        <w:tc>
          <w:tcPr>
            <w:tcW w:w="880" w:type="dxa"/>
            <w:vAlign w:val="top"/>
          </w:tcPr>
          <w:p w14:paraId="75EFCA87">
            <w:pPr>
              <w:pStyle w:val="6"/>
              <w:spacing w:before="72" w:line="195" w:lineRule="auto"/>
              <w:ind w:left="331"/>
            </w:pPr>
            <w:r>
              <w:rPr>
                <w:spacing w:val="-8"/>
              </w:rPr>
              <w:t>1.7</w:t>
            </w:r>
          </w:p>
        </w:tc>
        <w:tc>
          <w:tcPr>
            <w:tcW w:w="880" w:type="dxa"/>
            <w:vAlign w:val="top"/>
          </w:tcPr>
          <w:p w14:paraId="0A471E1F">
            <w:pPr>
              <w:pStyle w:val="6"/>
              <w:spacing w:before="72" w:line="195" w:lineRule="auto"/>
              <w:ind w:left="212"/>
            </w:pPr>
            <w:r>
              <w:rPr>
                <w:spacing w:val="-2"/>
              </w:rPr>
              <w:t>0.321</w:t>
            </w:r>
          </w:p>
        </w:tc>
        <w:tc>
          <w:tcPr>
            <w:tcW w:w="880" w:type="dxa"/>
            <w:vAlign w:val="top"/>
          </w:tcPr>
          <w:p w14:paraId="639A0C2D">
            <w:pPr>
              <w:pStyle w:val="6"/>
              <w:spacing w:before="72" w:line="195" w:lineRule="auto"/>
              <w:ind w:left="266"/>
            </w:pPr>
            <w:r>
              <w:rPr>
                <w:spacing w:val="-2"/>
              </w:rPr>
              <w:t>0.05</w:t>
            </w:r>
          </w:p>
        </w:tc>
        <w:tc>
          <w:tcPr>
            <w:tcW w:w="880" w:type="dxa"/>
            <w:vAlign w:val="top"/>
          </w:tcPr>
          <w:p w14:paraId="5A80E34B">
            <w:pPr>
              <w:pStyle w:val="6"/>
              <w:spacing w:before="72" w:line="195" w:lineRule="auto"/>
              <w:ind w:left="268"/>
            </w:pPr>
            <w:r>
              <w:rPr>
                <w:spacing w:val="-2"/>
              </w:rPr>
              <w:t>0.02</w:t>
            </w:r>
          </w:p>
        </w:tc>
        <w:tc>
          <w:tcPr>
            <w:tcW w:w="881" w:type="dxa"/>
            <w:vAlign w:val="top"/>
          </w:tcPr>
          <w:p w14:paraId="1A5B7641">
            <w:pPr>
              <w:pStyle w:val="6"/>
              <w:spacing w:before="72" w:line="195" w:lineRule="auto"/>
              <w:ind w:left="206"/>
            </w:pPr>
            <w:r>
              <w:rPr>
                <w:spacing w:val="-2"/>
              </w:rPr>
              <w:t>0.05L</w:t>
            </w:r>
          </w:p>
        </w:tc>
        <w:tc>
          <w:tcPr>
            <w:tcW w:w="894" w:type="dxa"/>
            <w:tcBorders>
              <w:right w:val="single" w:color="000000" w:sz="12" w:space="0"/>
            </w:tcBorders>
            <w:vAlign w:val="top"/>
          </w:tcPr>
          <w:p w14:paraId="62AEFC2B">
            <w:pPr>
              <w:pStyle w:val="6"/>
              <w:spacing w:before="72" w:line="195" w:lineRule="auto"/>
              <w:ind w:left="299"/>
            </w:pPr>
            <w:r>
              <w:rPr>
                <w:spacing w:val="-2"/>
              </w:rPr>
              <w:t>330</w:t>
            </w:r>
          </w:p>
        </w:tc>
      </w:tr>
      <w:tr w14:paraId="1386A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5442F6E">
            <w:pPr>
              <w:rPr>
                <w:rFonts w:ascii="Arial"/>
                <w:sz w:val="21"/>
              </w:rPr>
            </w:pPr>
          </w:p>
        </w:tc>
        <w:tc>
          <w:tcPr>
            <w:tcW w:w="285" w:type="dxa"/>
            <w:vMerge w:val="continue"/>
            <w:tcBorders>
              <w:top w:val="nil"/>
            </w:tcBorders>
            <w:vAlign w:val="top"/>
          </w:tcPr>
          <w:p w14:paraId="404E6591">
            <w:pPr>
              <w:rPr>
                <w:rFonts w:ascii="Arial"/>
                <w:sz w:val="21"/>
              </w:rPr>
            </w:pPr>
          </w:p>
        </w:tc>
        <w:tc>
          <w:tcPr>
            <w:tcW w:w="1273" w:type="dxa"/>
            <w:vAlign w:val="top"/>
          </w:tcPr>
          <w:p w14:paraId="73367919">
            <w:pPr>
              <w:pStyle w:val="6"/>
              <w:spacing w:before="73" w:line="194" w:lineRule="auto"/>
              <w:ind w:left="252"/>
            </w:pPr>
            <w:r>
              <w:rPr>
                <w:spacing w:val="-1"/>
              </w:rPr>
              <w:t>2021/6/5</w:t>
            </w:r>
          </w:p>
        </w:tc>
        <w:tc>
          <w:tcPr>
            <w:tcW w:w="880" w:type="dxa"/>
            <w:vAlign w:val="top"/>
          </w:tcPr>
          <w:p w14:paraId="438793F7">
            <w:pPr>
              <w:pStyle w:val="6"/>
              <w:spacing w:before="73" w:line="194" w:lineRule="auto"/>
              <w:ind w:left="267"/>
            </w:pPr>
            <w:r>
              <w:rPr>
                <w:spacing w:val="-6"/>
              </w:rPr>
              <w:t>15.8</w:t>
            </w:r>
          </w:p>
        </w:tc>
        <w:tc>
          <w:tcPr>
            <w:tcW w:w="880" w:type="dxa"/>
            <w:vAlign w:val="top"/>
          </w:tcPr>
          <w:p w14:paraId="6CD6B238">
            <w:pPr>
              <w:pStyle w:val="6"/>
              <w:spacing w:before="73" w:line="194" w:lineRule="auto"/>
              <w:ind w:left="304"/>
            </w:pPr>
            <w:r>
              <w:rPr>
                <w:spacing w:val="-3"/>
              </w:rPr>
              <w:t>7.8</w:t>
            </w:r>
          </w:p>
        </w:tc>
        <w:tc>
          <w:tcPr>
            <w:tcW w:w="880" w:type="dxa"/>
            <w:vAlign w:val="top"/>
          </w:tcPr>
          <w:p w14:paraId="765CEC57">
            <w:pPr>
              <w:pStyle w:val="6"/>
              <w:spacing w:before="77" w:line="186" w:lineRule="auto"/>
              <w:ind w:left="317"/>
            </w:pPr>
            <w:r>
              <w:rPr>
                <w:spacing w:val="-1"/>
              </w:rPr>
              <w:t>4L</w:t>
            </w:r>
          </w:p>
        </w:tc>
        <w:tc>
          <w:tcPr>
            <w:tcW w:w="880" w:type="dxa"/>
            <w:vAlign w:val="top"/>
          </w:tcPr>
          <w:p w14:paraId="7B52CCC8">
            <w:pPr>
              <w:pStyle w:val="6"/>
              <w:spacing w:before="73" w:line="194" w:lineRule="auto"/>
              <w:ind w:left="310"/>
            </w:pPr>
            <w:r>
              <w:rPr>
                <w:spacing w:val="-4"/>
              </w:rPr>
              <w:t>5.4</w:t>
            </w:r>
          </w:p>
        </w:tc>
        <w:tc>
          <w:tcPr>
            <w:tcW w:w="880" w:type="dxa"/>
            <w:vAlign w:val="top"/>
          </w:tcPr>
          <w:p w14:paraId="53C2B5A2">
            <w:pPr>
              <w:pStyle w:val="6"/>
              <w:spacing w:before="73" w:line="194" w:lineRule="auto"/>
              <w:ind w:left="311"/>
            </w:pPr>
            <w:r>
              <w:rPr>
                <w:spacing w:val="-3"/>
              </w:rPr>
              <w:t>3.4</w:t>
            </w:r>
          </w:p>
        </w:tc>
        <w:tc>
          <w:tcPr>
            <w:tcW w:w="880" w:type="dxa"/>
            <w:vAlign w:val="top"/>
          </w:tcPr>
          <w:p w14:paraId="28E98EE4">
            <w:pPr>
              <w:pStyle w:val="6"/>
              <w:spacing w:before="73" w:line="194" w:lineRule="auto"/>
              <w:ind w:left="355"/>
            </w:pPr>
            <w:r>
              <w:rPr>
                <w:spacing w:val="-6"/>
              </w:rPr>
              <w:t>11</w:t>
            </w:r>
          </w:p>
        </w:tc>
        <w:tc>
          <w:tcPr>
            <w:tcW w:w="880" w:type="dxa"/>
            <w:vAlign w:val="top"/>
          </w:tcPr>
          <w:p w14:paraId="39317F3B">
            <w:pPr>
              <w:pStyle w:val="6"/>
              <w:spacing w:before="73" w:line="194" w:lineRule="auto"/>
              <w:ind w:left="311"/>
            </w:pPr>
            <w:r>
              <w:rPr>
                <w:spacing w:val="-2"/>
              </w:rPr>
              <w:t>2.0</w:t>
            </w:r>
          </w:p>
        </w:tc>
        <w:tc>
          <w:tcPr>
            <w:tcW w:w="880" w:type="dxa"/>
            <w:vAlign w:val="top"/>
          </w:tcPr>
          <w:p w14:paraId="319169B2">
            <w:pPr>
              <w:pStyle w:val="6"/>
              <w:spacing w:before="73" w:line="194" w:lineRule="auto"/>
              <w:ind w:left="212"/>
            </w:pPr>
            <w:r>
              <w:rPr>
                <w:spacing w:val="-2"/>
              </w:rPr>
              <w:t>0.335</w:t>
            </w:r>
          </w:p>
        </w:tc>
        <w:tc>
          <w:tcPr>
            <w:tcW w:w="880" w:type="dxa"/>
            <w:vAlign w:val="top"/>
          </w:tcPr>
          <w:p w14:paraId="7502C10F">
            <w:pPr>
              <w:pStyle w:val="6"/>
              <w:spacing w:before="73" w:line="194" w:lineRule="auto"/>
              <w:ind w:left="266"/>
            </w:pPr>
            <w:r>
              <w:rPr>
                <w:spacing w:val="-2"/>
              </w:rPr>
              <w:t>0.04</w:t>
            </w:r>
          </w:p>
        </w:tc>
        <w:tc>
          <w:tcPr>
            <w:tcW w:w="880" w:type="dxa"/>
            <w:vAlign w:val="top"/>
          </w:tcPr>
          <w:p w14:paraId="682697FB">
            <w:pPr>
              <w:pStyle w:val="6"/>
              <w:spacing w:before="73" w:line="194" w:lineRule="auto"/>
              <w:ind w:left="268"/>
            </w:pPr>
            <w:r>
              <w:rPr>
                <w:spacing w:val="-2"/>
              </w:rPr>
              <w:t>0.02</w:t>
            </w:r>
          </w:p>
        </w:tc>
        <w:tc>
          <w:tcPr>
            <w:tcW w:w="881" w:type="dxa"/>
            <w:vAlign w:val="top"/>
          </w:tcPr>
          <w:p w14:paraId="41718A71">
            <w:pPr>
              <w:pStyle w:val="6"/>
              <w:spacing w:before="73" w:line="194" w:lineRule="auto"/>
              <w:ind w:left="206"/>
            </w:pPr>
            <w:r>
              <w:rPr>
                <w:spacing w:val="-2"/>
              </w:rPr>
              <w:t>0.05L</w:t>
            </w:r>
          </w:p>
        </w:tc>
        <w:tc>
          <w:tcPr>
            <w:tcW w:w="894" w:type="dxa"/>
            <w:tcBorders>
              <w:right w:val="single" w:color="000000" w:sz="12" w:space="0"/>
            </w:tcBorders>
            <w:vAlign w:val="top"/>
          </w:tcPr>
          <w:p w14:paraId="713A766E">
            <w:pPr>
              <w:pStyle w:val="6"/>
              <w:spacing w:before="73" w:line="194" w:lineRule="auto"/>
              <w:ind w:left="299"/>
            </w:pPr>
            <w:r>
              <w:rPr>
                <w:spacing w:val="-2"/>
              </w:rPr>
              <w:t>310</w:t>
            </w:r>
          </w:p>
        </w:tc>
      </w:tr>
      <w:tr w14:paraId="65E84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8FB21F7">
            <w:pPr>
              <w:rPr>
                <w:rFonts w:ascii="Arial"/>
                <w:sz w:val="21"/>
              </w:rPr>
            </w:pPr>
          </w:p>
        </w:tc>
        <w:tc>
          <w:tcPr>
            <w:tcW w:w="285" w:type="dxa"/>
            <w:vMerge w:val="restart"/>
            <w:tcBorders>
              <w:bottom w:val="nil"/>
            </w:tcBorders>
            <w:vAlign w:val="top"/>
          </w:tcPr>
          <w:p w14:paraId="1C568021">
            <w:pPr>
              <w:pStyle w:val="6"/>
              <w:spacing w:before="93" w:line="222" w:lineRule="auto"/>
              <w:ind w:left="81"/>
            </w:pPr>
            <w:r>
              <w:t>3</w:t>
            </w:r>
          </w:p>
          <w:p w14:paraId="1C4DAE93">
            <w:pPr>
              <w:spacing w:line="219" w:lineRule="auto"/>
              <w:ind w:left="29"/>
              <w:rPr>
                <w:rFonts w:ascii="宋体" w:hAnsi="宋体" w:eastAsia="宋体" w:cs="宋体"/>
                <w:sz w:val="21"/>
                <w:szCs w:val="21"/>
              </w:rPr>
            </w:pPr>
            <w:r>
              <w:rPr>
                <w:rFonts w:ascii="宋体" w:hAnsi="宋体" w:eastAsia="宋体" w:cs="宋体"/>
                <w:sz w:val="21"/>
                <w:szCs w:val="21"/>
              </w:rPr>
              <w:t>季</w:t>
            </w:r>
          </w:p>
          <w:p w14:paraId="5160685B">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273F554">
            <w:pPr>
              <w:pStyle w:val="6"/>
              <w:spacing w:before="75" w:line="192" w:lineRule="auto"/>
              <w:ind w:left="199"/>
            </w:pPr>
            <w:r>
              <w:rPr>
                <w:spacing w:val="-1"/>
              </w:rPr>
              <w:t>2021/7/19</w:t>
            </w:r>
          </w:p>
        </w:tc>
        <w:tc>
          <w:tcPr>
            <w:tcW w:w="880" w:type="dxa"/>
            <w:vAlign w:val="top"/>
          </w:tcPr>
          <w:p w14:paraId="0D8D8674">
            <w:pPr>
              <w:pStyle w:val="6"/>
              <w:spacing w:before="75" w:line="192" w:lineRule="auto"/>
              <w:ind w:left="267"/>
            </w:pPr>
            <w:r>
              <w:rPr>
                <w:spacing w:val="-6"/>
              </w:rPr>
              <w:t>19.2</w:t>
            </w:r>
          </w:p>
        </w:tc>
        <w:tc>
          <w:tcPr>
            <w:tcW w:w="880" w:type="dxa"/>
            <w:vAlign w:val="top"/>
          </w:tcPr>
          <w:p w14:paraId="19C7CA72">
            <w:pPr>
              <w:pStyle w:val="6"/>
              <w:spacing w:before="75" w:line="192" w:lineRule="auto"/>
              <w:ind w:left="304"/>
            </w:pPr>
            <w:r>
              <w:rPr>
                <w:spacing w:val="-3"/>
              </w:rPr>
              <w:t>7.9</w:t>
            </w:r>
          </w:p>
        </w:tc>
        <w:tc>
          <w:tcPr>
            <w:tcW w:w="880" w:type="dxa"/>
            <w:vAlign w:val="top"/>
          </w:tcPr>
          <w:p w14:paraId="67D5074B">
            <w:pPr>
              <w:pStyle w:val="6"/>
              <w:spacing w:before="75" w:line="192" w:lineRule="auto"/>
              <w:ind w:left="333"/>
            </w:pPr>
            <w:r>
              <w:rPr>
                <w:spacing w:val="-3"/>
              </w:rPr>
              <w:t>32</w:t>
            </w:r>
          </w:p>
        </w:tc>
        <w:tc>
          <w:tcPr>
            <w:tcW w:w="880" w:type="dxa"/>
            <w:vAlign w:val="top"/>
          </w:tcPr>
          <w:p w14:paraId="745479F4">
            <w:pPr>
              <w:pStyle w:val="6"/>
              <w:spacing w:before="75" w:line="192" w:lineRule="auto"/>
              <w:ind w:left="309"/>
            </w:pPr>
            <w:r>
              <w:rPr>
                <w:spacing w:val="-3"/>
              </w:rPr>
              <w:t>6.7</w:t>
            </w:r>
          </w:p>
        </w:tc>
        <w:tc>
          <w:tcPr>
            <w:tcW w:w="880" w:type="dxa"/>
            <w:vAlign w:val="top"/>
          </w:tcPr>
          <w:p w14:paraId="3C491E6F">
            <w:pPr>
              <w:pStyle w:val="6"/>
              <w:spacing w:before="75" w:line="192" w:lineRule="auto"/>
              <w:ind w:left="306"/>
            </w:pPr>
            <w:r>
              <w:rPr>
                <w:spacing w:val="-1"/>
              </w:rPr>
              <w:t>4.2</w:t>
            </w:r>
          </w:p>
        </w:tc>
        <w:tc>
          <w:tcPr>
            <w:tcW w:w="880" w:type="dxa"/>
            <w:vAlign w:val="top"/>
          </w:tcPr>
          <w:p w14:paraId="50D63BAF">
            <w:pPr>
              <w:pStyle w:val="6"/>
              <w:spacing w:before="75" w:line="192" w:lineRule="auto"/>
              <w:ind w:left="391"/>
            </w:pPr>
            <w:r>
              <w:t>7</w:t>
            </w:r>
          </w:p>
        </w:tc>
        <w:tc>
          <w:tcPr>
            <w:tcW w:w="880" w:type="dxa"/>
            <w:vAlign w:val="top"/>
          </w:tcPr>
          <w:p w14:paraId="70BBF238">
            <w:pPr>
              <w:pStyle w:val="6"/>
              <w:spacing w:before="75" w:line="192" w:lineRule="auto"/>
              <w:ind w:left="331"/>
            </w:pPr>
            <w:r>
              <w:rPr>
                <w:spacing w:val="-8"/>
              </w:rPr>
              <w:t>1.4</w:t>
            </w:r>
          </w:p>
        </w:tc>
        <w:tc>
          <w:tcPr>
            <w:tcW w:w="880" w:type="dxa"/>
            <w:vAlign w:val="top"/>
          </w:tcPr>
          <w:p w14:paraId="3AF37790">
            <w:pPr>
              <w:pStyle w:val="6"/>
              <w:spacing w:before="75" w:line="192" w:lineRule="auto"/>
              <w:ind w:left="212"/>
            </w:pPr>
            <w:r>
              <w:rPr>
                <w:spacing w:val="-2"/>
              </w:rPr>
              <w:t>0.224</w:t>
            </w:r>
          </w:p>
        </w:tc>
        <w:tc>
          <w:tcPr>
            <w:tcW w:w="880" w:type="dxa"/>
            <w:vAlign w:val="top"/>
          </w:tcPr>
          <w:p w14:paraId="3843D9F7">
            <w:pPr>
              <w:pStyle w:val="6"/>
              <w:spacing w:before="75" w:line="192" w:lineRule="auto"/>
              <w:ind w:left="266"/>
            </w:pPr>
            <w:r>
              <w:rPr>
                <w:spacing w:val="-2"/>
              </w:rPr>
              <w:t>0.06</w:t>
            </w:r>
          </w:p>
        </w:tc>
        <w:tc>
          <w:tcPr>
            <w:tcW w:w="880" w:type="dxa"/>
            <w:vAlign w:val="top"/>
          </w:tcPr>
          <w:p w14:paraId="31DA316B">
            <w:pPr>
              <w:pStyle w:val="6"/>
              <w:spacing w:before="75" w:line="192" w:lineRule="auto"/>
              <w:ind w:left="268"/>
            </w:pPr>
            <w:r>
              <w:rPr>
                <w:spacing w:val="-2"/>
              </w:rPr>
              <w:t>0.02</w:t>
            </w:r>
          </w:p>
        </w:tc>
        <w:tc>
          <w:tcPr>
            <w:tcW w:w="881" w:type="dxa"/>
            <w:vAlign w:val="top"/>
          </w:tcPr>
          <w:p w14:paraId="2FD00395">
            <w:pPr>
              <w:pStyle w:val="6"/>
              <w:spacing w:before="75" w:line="192" w:lineRule="auto"/>
              <w:ind w:left="218"/>
            </w:pPr>
            <w:r>
              <w:rPr>
                <w:spacing w:val="-2"/>
              </w:rPr>
              <w:t>0.068</w:t>
            </w:r>
          </w:p>
        </w:tc>
        <w:tc>
          <w:tcPr>
            <w:tcW w:w="894" w:type="dxa"/>
            <w:tcBorders>
              <w:right w:val="single" w:color="000000" w:sz="12" w:space="0"/>
            </w:tcBorders>
            <w:vAlign w:val="top"/>
          </w:tcPr>
          <w:p w14:paraId="4315A8BE">
            <w:pPr>
              <w:pStyle w:val="6"/>
              <w:spacing w:before="75" w:line="192" w:lineRule="auto"/>
              <w:ind w:left="262"/>
            </w:pPr>
            <w:r>
              <w:rPr>
                <w:spacing w:val="-5"/>
              </w:rPr>
              <w:t>1400</w:t>
            </w:r>
          </w:p>
        </w:tc>
      </w:tr>
      <w:tr w14:paraId="78A36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10840E60">
            <w:pPr>
              <w:rPr>
                <w:rFonts w:ascii="Arial"/>
                <w:sz w:val="21"/>
              </w:rPr>
            </w:pPr>
          </w:p>
        </w:tc>
        <w:tc>
          <w:tcPr>
            <w:tcW w:w="285" w:type="dxa"/>
            <w:vMerge w:val="continue"/>
            <w:tcBorders>
              <w:top w:val="nil"/>
              <w:bottom w:val="nil"/>
            </w:tcBorders>
            <w:vAlign w:val="top"/>
          </w:tcPr>
          <w:p w14:paraId="387BA521">
            <w:pPr>
              <w:rPr>
                <w:rFonts w:ascii="Arial"/>
                <w:sz w:val="21"/>
              </w:rPr>
            </w:pPr>
          </w:p>
        </w:tc>
        <w:tc>
          <w:tcPr>
            <w:tcW w:w="1273" w:type="dxa"/>
            <w:vAlign w:val="top"/>
          </w:tcPr>
          <w:p w14:paraId="0A5767D6">
            <w:pPr>
              <w:pStyle w:val="6"/>
              <w:spacing w:before="76" w:line="192" w:lineRule="auto"/>
              <w:ind w:left="199"/>
            </w:pPr>
            <w:r>
              <w:rPr>
                <w:spacing w:val="-1"/>
              </w:rPr>
              <w:t>2021/7/20</w:t>
            </w:r>
          </w:p>
        </w:tc>
        <w:tc>
          <w:tcPr>
            <w:tcW w:w="880" w:type="dxa"/>
            <w:vAlign w:val="top"/>
          </w:tcPr>
          <w:p w14:paraId="4C08B049">
            <w:pPr>
              <w:pStyle w:val="6"/>
              <w:spacing w:before="76" w:line="192" w:lineRule="auto"/>
              <w:ind w:left="267"/>
            </w:pPr>
            <w:r>
              <w:rPr>
                <w:spacing w:val="-6"/>
              </w:rPr>
              <w:t>18.7</w:t>
            </w:r>
          </w:p>
        </w:tc>
        <w:tc>
          <w:tcPr>
            <w:tcW w:w="880" w:type="dxa"/>
            <w:vAlign w:val="top"/>
          </w:tcPr>
          <w:p w14:paraId="5301AC20">
            <w:pPr>
              <w:pStyle w:val="6"/>
              <w:spacing w:before="76" w:line="192" w:lineRule="auto"/>
              <w:ind w:left="309"/>
            </w:pPr>
            <w:r>
              <w:rPr>
                <w:spacing w:val="-5"/>
              </w:rPr>
              <w:t>8.0</w:t>
            </w:r>
          </w:p>
        </w:tc>
        <w:tc>
          <w:tcPr>
            <w:tcW w:w="880" w:type="dxa"/>
            <w:vAlign w:val="top"/>
          </w:tcPr>
          <w:p w14:paraId="39A06A41">
            <w:pPr>
              <w:pStyle w:val="6"/>
              <w:spacing w:before="76" w:line="192" w:lineRule="auto"/>
              <w:ind w:left="329"/>
            </w:pPr>
            <w:r>
              <w:rPr>
                <w:spacing w:val="-1"/>
              </w:rPr>
              <w:t>27</w:t>
            </w:r>
          </w:p>
        </w:tc>
        <w:tc>
          <w:tcPr>
            <w:tcW w:w="880" w:type="dxa"/>
            <w:vAlign w:val="top"/>
          </w:tcPr>
          <w:p w14:paraId="1BC857BD">
            <w:pPr>
              <w:pStyle w:val="6"/>
              <w:spacing w:before="76" w:line="192" w:lineRule="auto"/>
              <w:ind w:left="309"/>
            </w:pPr>
            <w:r>
              <w:rPr>
                <w:spacing w:val="-3"/>
              </w:rPr>
              <w:t>6.9</w:t>
            </w:r>
          </w:p>
        </w:tc>
        <w:tc>
          <w:tcPr>
            <w:tcW w:w="880" w:type="dxa"/>
            <w:vAlign w:val="top"/>
          </w:tcPr>
          <w:p w14:paraId="26A926C0">
            <w:pPr>
              <w:pStyle w:val="6"/>
              <w:spacing w:before="76" w:line="192" w:lineRule="auto"/>
              <w:ind w:left="306"/>
            </w:pPr>
            <w:r>
              <w:rPr>
                <w:spacing w:val="-1"/>
              </w:rPr>
              <w:t>4.3</w:t>
            </w:r>
          </w:p>
        </w:tc>
        <w:tc>
          <w:tcPr>
            <w:tcW w:w="880" w:type="dxa"/>
            <w:vAlign w:val="top"/>
          </w:tcPr>
          <w:p w14:paraId="16F46100">
            <w:pPr>
              <w:pStyle w:val="6"/>
              <w:spacing w:before="76" w:line="192" w:lineRule="auto"/>
              <w:ind w:left="393"/>
            </w:pPr>
            <w:r>
              <w:t>6</w:t>
            </w:r>
          </w:p>
        </w:tc>
        <w:tc>
          <w:tcPr>
            <w:tcW w:w="880" w:type="dxa"/>
            <w:vAlign w:val="top"/>
          </w:tcPr>
          <w:p w14:paraId="09CE1F45">
            <w:pPr>
              <w:pStyle w:val="6"/>
              <w:spacing w:before="76" w:line="192" w:lineRule="auto"/>
              <w:ind w:left="331"/>
            </w:pPr>
            <w:r>
              <w:rPr>
                <w:spacing w:val="-8"/>
              </w:rPr>
              <w:t>1.2</w:t>
            </w:r>
          </w:p>
        </w:tc>
        <w:tc>
          <w:tcPr>
            <w:tcW w:w="880" w:type="dxa"/>
            <w:vAlign w:val="top"/>
          </w:tcPr>
          <w:p w14:paraId="528CF7D8">
            <w:pPr>
              <w:pStyle w:val="6"/>
              <w:spacing w:before="76" w:line="192" w:lineRule="auto"/>
              <w:ind w:left="212"/>
            </w:pPr>
            <w:r>
              <w:rPr>
                <w:spacing w:val="-2"/>
              </w:rPr>
              <w:t>0.219</w:t>
            </w:r>
          </w:p>
        </w:tc>
        <w:tc>
          <w:tcPr>
            <w:tcW w:w="880" w:type="dxa"/>
            <w:vAlign w:val="top"/>
          </w:tcPr>
          <w:p w14:paraId="4A75E466">
            <w:pPr>
              <w:pStyle w:val="6"/>
              <w:spacing w:before="76" w:line="192" w:lineRule="auto"/>
              <w:ind w:left="266"/>
            </w:pPr>
            <w:r>
              <w:rPr>
                <w:spacing w:val="-2"/>
              </w:rPr>
              <w:t>0.07</w:t>
            </w:r>
          </w:p>
        </w:tc>
        <w:tc>
          <w:tcPr>
            <w:tcW w:w="880" w:type="dxa"/>
            <w:vAlign w:val="top"/>
          </w:tcPr>
          <w:p w14:paraId="49D778D0">
            <w:pPr>
              <w:pStyle w:val="6"/>
              <w:spacing w:before="76" w:line="192" w:lineRule="auto"/>
              <w:ind w:left="268"/>
            </w:pPr>
            <w:r>
              <w:rPr>
                <w:spacing w:val="-2"/>
              </w:rPr>
              <w:t>0.02</w:t>
            </w:r>
          </w:p>
        </w:tc>
        <w:tc>
          <w:tcPr>
            <w:tcW w:w="881" w:type="dxa"/>
            <w:vAlign w:val="top"/>
          </w:tcPr>
          <w:p w14:paraId="75D07E53">
            <w:pPr>
              <w:pStyle w:val="6"/>
              <w:spacing w:before="76" w:line="192" w:lineRule="auto"/>
              <w:ind w:left="218"/>
            </w:pPr>
            <w:r>
              <w:rPr>
                <w:spacing w:val="-2"/>
              </w:rPr>
              <w:t>0.072</w:t>
            </w:r>
          </w:p>
        </w:tc>
        <w:tc>
          <w:tcPr>
            <w:tcW w:w="894" w:type="dxa"/>
            <w:tcBorders>
              <w:right w:val="single" w:color="000000" w:sz="12" w:space="0"/>
            </w:tcBorders>
            <w:vAlign w:val="top"/>
          </w:tcPr>
          <w:p w14:paraId="3D176440">
            <w:pPr>
              <w:pStyle w:val="6"/>
              <w:spacing w:before="76" w:line="192" w:lineRule="auto"/>
              <w:ind w:left="262"/>
            </w:pPr>
            <w:r>
              <w:rPr>
                <w:spacing w:val="-5"/>
              </w:rPr>
              <w:t>1200</w:t>
            </w:r>
          </w:p>
        </w:tc>
      </w:tr>
      <w:tr w14:paraId="26043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236048E1">
            <w:pPr>
              <w:rPr>
                <w:rFonts w:ascii="Arial"/>
                <w:sz w:val="21"/>
              </w:rPr>
            </w:pPr>
          </w:p>
        </w:tc>
        <w:tc>
          <w:tcPr>
            <w:tcW w:w="285" w:type="dxa"/>
            <w:vMerge w:val="continue"/>
            <w:tcBorders>
              <w:top w:val="nil"/>
            </w:tcBorders>
            <w:vAlign w:val="top"/>
          </w:tcPr>
          <w:p w14:paraId="29F0B914">
            <w:pPr>
              <w:rPr>
                <w:rFonts w:ascii="Arial"/>
                <w:sz w:val="21"/>
              </w:rPr>
            </w:pPr>
          </w:p>
        </w:tc>
        <w:tc>
          <w:tcPr>
            <w:tcW w:w="1273" w:type="dxa"/>
            <w:vAlign w:val="top"/>
          </w:tcPr>
          <w:p w14:paraId="1A6EF1A4">
            <w:pPr>
              <w:pStyle w:val="6"/>
              <w:spacing w:before="77" w:line="191" w:lineRule="auto"/>
              <w:ind w:left="199"/>
            </w:pPr>
            <w:r>
              <w:rPr>
                <w:spacing w:val="-1"/>
              </w:rPr>
              <w:t>2021/7/21</w:t>
            </w:r>
          </w:p>
        </w:tc>
        <w:tc>
          <w:tcPr>
            <w:tcW w:w="880" w:type="dxa"/>
            <w:vAlign w:val="top"/>
          </w:tcPr>
          <w:p w14:paraId="08C9C22B">
            <w:pPr>
              <w:pStyle w:val="6"/>
              <w:spacing w:before="77" w:line="191" w:lineRule="auto"/>
              <w:ind w:left="267"/>
            </w:pPr>
            <w:r>
              <w:rPr>
                <w:spacing w:val="-6"/>
              </w:rPr>
              <w:t>19.0</w:t>
            </w:r>
          </w:p>
        </w:tc>
        <w:tc>
          <w:tcPr>
            <w:tcW w:w="880" w:type="dxa"/>
            <w:vAlign w:val="top"/>
          </w:tcPr>
          <w:p w14:paraId="328FB875">
            <w:pPr>
              <w:pStyle w:val="6"/>
              <w:spacing w:before="77" w:line="191" w:lineRule="auto"/>
              <w:ind w:left="309"/>
            </w:pPr>
            <w:r>
              <w:rPr>
                <w:spacing w:val="-5"/>
              </w:rPr>
              <w:t>8.0</w:t>
            </w:r>
          </w:p>
        </w:tc>
        <w:tc>
          <w:tcPr>
            <w:tcW w:w="880" w:type="dxa"/>
            <w:vAlign w:val="top"/>
          </w:tcPr>
          <w:p w14:paraId="35967DD0">
            <w:pPr>
              <w:pStyle w:val="6"/>
              <w:spacing w:before="77" w:line="191" w:lineRule="auto"/>
              <w:ind w:left="329"/>
            </w:pPr>
            <w:r>
              <w:rPr>
                <w:spacing w:val="-1"/>
              </w:rPr>
              <w:t>29</w:t>
            </w:r>
          </w:p>
        </w:tc>
        <w:tc>
          <w:tcPr>
            <w:tcW w:w="880" w:type="dxa"/>
            <w:vAlign w:val="top"/>
          </w:tcPr>
          <w:p w14:paraId="44F619BB">
            <w:pPr>
              <w:pStyle w:val="6"/>
              <w:spacing w:before="77" w:line="191" w:lineRule="auto"/>
              <w:ind w:left="308"/>
            </w:pPr>
            <w:r>
              <w:rPr>
                <w:spacing w:val="-3"/>
              </w:rPr>
              <w:t>7.1</w:t>
            </w:r>
          </w:p>
        </w:tc>
        <w:tc>
          <w:tcPr>
            <w:tcW w:w="880" w:type="dxa"/>
            <w:vAlign w:val="top"/>
          </w:tcPr>
          <w:p w14:paraId="0D903282">
            <w:pPr>
              <w:pStyle w:val="6"/>
              <w:spacing w:before="77" w:line="191" w:lineRule="auto"/>
              <w:ind w:left="306"/>
            </w:pPr>
            <w:r>
              <w:rPr>
                <w:spacing w:val="-1"/>
              </w:rPr>
              <w:t>4.5</w:t>
            </w:r>
          </w:p>
        </w:tc>
        <w:tc>
          <w:tcPr>
            <w:tcW w:w="880" w:type="dxa"/>
            <w:vAlign w:val="top"/>
          </w:tcPr>
          <w:p w14:paraId="2B327255">
            <w:pPr>
              <w:pStyle w:val="6"/>
              <w:spacing w:before="77" w:line="191" w:lineRule="auto"/>
              <w:ind w:left="397"/>
            </w:pPr>
            <w:r>
              <w:t>8</w:t>
            </w:r>
          </w:p>
        </w:tc>
        <w:tc>
          <w:tcPr>
            <w:tcW w:w="880" w:type="dxa"/>
            <w:vAlign w:val="top"/>
          </w:tcPr>
          <w:p w14:paraId="4D94A215">
            <w:pPr>
              <w:pStyle w:val="6"/>
              <w:spacing w:before="77" w:line="191" w:lineRule="auto"/>
              <w:ind w:left="331"/>
            </w:pPr>
            <w:r>
              <w:rPr>
                <w:spacing w:val="-8"/>
              </w:rPr>
              <w:t>1.6</w:t>
            </w:r>
          </w:p>
        </w:tc>
        <w:tc>
          <w:tcPr>
            <w:tcW w:w="880" w:type="dxa"/>
            <w:vAlign w:val="top"/>
          </w:tcPr>
          <w:p w14:paraId="27F88346">
            <w:pPr>
              <w:pStyle w:val="6"/>
              <w:spacing w:before="77" w:line="191" w:lineRule="auto"/>
              <w:ind w:left="212"/>
            </w:pPr>
            <w:r>
              <w:rPr>
                <w:spacing w:val="-2"/>
              </w:rPr>
              <w:t>0.233</w:t>
            </w:r>
          </w:p>
        </w:tc>
        <w:tc>
          <w:tcPr>
            <w:tcW w:w="880" w:type="dxa"/>
            <w:vAlign w:val="top"/>
          </w:tcPr>
          <w:p w14:paraId="7145E392">
            <w:pPr>
              <w:pStyle w:val="6"/>
              <w:spacing w:before="77" w:line="191" w:lineRule="auto"/>
              <w:ind w:left="266"/>
            </w:pPr>
            <w:r>
              <w:rPr>
                <w:spacing w:val="-2"/>
              </w:rPr>
              <w:t>0.06</w:t>
            </w:r>
          </w:p>
        </w:tc>
        <w:tc>
          <w:tcPr>
            <w:tcW w:w="880" w:type="dxa"/>
            <w:vAlign w:val="top"/>
          </w:tcPr>
          <w:p w14:paraId="5A4E7D3B">
            <w:pPr>
              <w:pStyle w:val="6"/>
              <w:spacing w:before="77" w:line="191" w:lineRule="auto"/>
              <w:ind w:left="268"/>
            </w:pPr>
            <w:r>
              <w:rPr>
                <w:spacing w:val="-2"/>
              </w:rPr>
              <w:t>0.03</w:t>
            </w:r>
          </w:p>
        </w:tc>
        <w:tc>
          <w:tcPr>
            <w:tcW w:w="881" w:type="dxa"/>
            <w:vAlign w:val="top"/>
          </w:tcPr>
          <w:p w14:paraId="6E0ADAC4">
            <w:pPr>
              <w:pStyle w:val="6"/>
              <w:spacing w:before="77" w:line="191" w:lineRule="auto"/>
              <w:ind w:left="218"/>
            </w:pPr>
            <w:r>
              <w:rPr>
                <w:spacing w:val="-2"/>
              </w:rPr>
              <w:t>0.064</w:t>
            </w:r>
          </w:p>
        </w:tc>
        <w:tc>
          <w:tcPr>
            <w:tcW w:w="894" w:type="dxa"/>
            <w:tcBorders>
              <w:right w:val="single" w:color="000000" w:sz="12" w:space="0"/>
            </w:tcBorders>
            <w:vAlign w:val="top"/>
          </w:tcPr>
          <w:p w14:paraId="0554D7A8">
            <w:pPr>
              <w:pStyle w:val="6"/>
              <w:spacing w:before="77" w:line="191" w:lineRule="auto"/>
              <w:ind w:left="262"/>
            </w:pPr>
            <w:r>
              <w:rPr>
                <w:spacing w:val="-5"/>
              </w:rPr>
              <w:t>1300</w:t>
            </w:r>
          </w:p>
        </w:tc>
      </w:tr>
      <w:tr w14:paraId="53A1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273" w:type="dxa"/>
            <w:vMerge w:val="continue"/>
            <w:tcBorders>
              <w:top w:val="nil"/>
              <w:left w:val="single" w:color="000000" w:sz="12" w:space="0"/>
              <w:bottom w:val="nil"/>
            </w:tcBorders>
            <w:vAlign w:val="top"/>
          </w:tcPr>
          <w:p w14:paraId="57EA8148">
            <w:pPr>
              <w:rPr>
                <w:rFonts w:ascii="Arial"/>
                <w:sz w:val="21"/>
              </w:rPr>
            </w:pPr>
          </w:p>
        </w:tc>
        <w:tc>
          <w:tcPr>
            <w:tcW w:w="285" w:type="dxa"/>
            <w:vMerge w:val="restart"/>
            <w:tcBorders>
              <w:bottom w:val="nil"/>
            </w:tcBorders>
            <w:vAlign w:val="top"/>
          </w:tcPr>
          <w:p w14:paraId="458FC512">
            <w:pPr>
              <w:pStyle w:val="6"/>
              <w:spacing w:before="95" w:line="222" w:lineRule="auto"/>
              <w:ind w:left="76"/>
            </w:pPr>
            <w:r>
              <w:t>4</w:t>
            </w:r>
          </w:p>
          <w:p w14:paraId="5DB9DA49">
            <w:pPr>
              <w:spacing w:line="219" w:lineRule="auto"/>
              <w:ind w:left="29"/>
              <w:rPr>
                <w:rFonts w:ascii="宋体" w:hAnsi="宋体" w:eastAsia="宋体" w:cs="宋体"/>
                <w:sz w:val="21"/>
                <w:szCs w:val="21"/>
              </w:rPr>
            </w:pPr>
            <w:r>
              <w:rPr>
                <w:rFonts w:ascii="宋体" w:hAnsi="宋体" w:eastAsia="宋体" w:cs="宋体"/>
                <w:sz w:val="21"/>
                <w:szCs w:val="21"/>
              </w:rPr>
              <w:t>季</w:t>
            </w:r>
          </w:p>
          <w:p w14:paraId="15DC63DA">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7A603EFD">
            <w:pPr>
              <w:pStyle w:val="6"/>
              <w:spacing w:before="77" w:line="192" w:lineRule="auto"/>
              <w:ind w:left="147"/>
            </w:pPr>
            <w:r>
              <w:rPr>
                <w:spacing w:val="-1"/>
              </w:rPr>
              <w:t>2021/11/28</w:t>
            </w:r>
          </w:p>
        </w:tc>
        <w:tc>
          <w:tcPr>
            <w:tcW w:w="880" w:type="dxa"/>
            <w:vAlign w:val="top"/>
          </w:tcPr>
          <w:p w14:paraId="60FA150B">
            <w:pPr>
              <w:pStyle w:val="6"/>
              <w:spacing w:before="77" w:line="192" w:lineRule="auto"/>
              <w:ind w:left="267"/>
            </w:pPr>
            <w:r>
              <w:rPr>
                <w:spacing w:val="-6"/>
              </w:rPr>
              <w:t>18.1</w:t>
            </w:r>
          </w:p>
        </w:tc>
        <w:tc>
          <w:tcPr>
            <w:tcW w:w="880" w:type="dxa"/>
            <w:vAlign w:val="top"/>
          </w:tcPr>
          <w:p w14:paraId="7A34B579">
            <w:pPr>
              <w:pStyle w:val="6"/>
              <w:spacing w:before="77" w:line="192" w:lineRule="auto"/>
              <w:ind w:left="388"/>
            </w:pPr>
            <w:r>
              <w:t>8</w:t>
            </w:r>
          </w:p>
        </w:tc>
        <w:tc>
          <w:tcPr>
            <w:tcW w:w="880" w:type="dxa"/>
            <w:vAlign w:val="top"/>
          </w:tcPr>
          <w:p w14:paraId="7688227E">
            <w:pPr>
              <w:pStyle w:val="6"/>
              <w:spacing w:before="77" w:line="192" w:lineRule="auto"/>
              <w:ind w:left="385"/>
            </w:pPr>
            <w:r>
              <w:t>7</w:t>
            </w:r>
          </w:p>
        </w:tc>
        <w:tc>
          <w:tcPr>
            <w:tcW w:w="880" w:type="dxa"/>
            <w:vAlign w:val="top"/>
          </w:tcPr>
          <w:p w14:paraId="707C696B">
            <w:pPr>
              <w:pStyle w:val="6"/>
              <w:spacing w:before="77" w:line="192" w:lineRule="auto"/>
              <w:ind w:left="308"/>
            </w:pPr>
            <w:r>
              <w:rPr>
                <w:spacing w:val="-3"/>
              </w:rPr>
              <w:t>7.6</w:t>
            </w:r>
          </w:p>
        </w:tc>
        <w:tc>
          <w:tcPr>
            <w:tcW w:w="880" w:type="dxa"/>
            <w:vAlign w:val="top"/>
          </w:tcPr>
          <w:p w14:paraId="19D07616">
            <w:pPr>
              <w:pStyle w:val="6"/>
              <w:spacing w:before="77" w:line="192" w:lineRule="auto"/>
              <w:ind w:left="307"/>
            </w:pPr>
            <w:r>
              <w:rPr>
                <w:spacing w:val="-2"/>
              </w:rPr>
              <w:t>2.1</w:t>
            </w:r>
          </w:p>
        </w:tc>
        <w:tc>
          <w:tcPr>
            <w:tcW w:w="880" w:type="dxa"/>
            <w:vAlign w:val="top"/>
          </w:tcPr>
          <w:p w14:paraId="4C4F2D57">
            <w:pPr>
              <w:pStyle w:val="6"/>
              <w:spacing w:before="77" w:line="192" w:lineRule="auto"/>
              <w:ind w:left="394"/>
            </w:pPr>
            <w:r>
              <w:t>5</w:t>
            </w:r>
          </w:p>
        </w:tc>
        <w:tc>
          <w:tcPr>
            <w:tcW w:w="880" w:type="dxa"/>
            <w:vAlign w:val="top"/>
          </w:tcPr>
          <w:p w14:paraId="72332A10">
            <w:pPr>
              <w:pStyle w:val="6"/>
              <w:spacing w:before="77" w:line="192" w:lineRule="auto"/>
              <w:ind w:left="410"/>
            </w:pPr>
            <w:r>
              <w:t>1</w:t>
            </w:r>
          </w:p>
        </w:tc>
        <w:tc>
          <w:tcPr>
            <w:tcW w:w="880" w:type="dxa"/>
            <w:vAlign w:val="top"/>
          </w:tcPr>
          <w:p w14:paraId="2B39F908">
            <w:pPr>
              <w:pStyle w:val="6"/>
              <w:spacing w:before="77" w:line="192" w:lineRule="auto"/>
              <w:ind w:left="212"/>
            </w:pPr>
            <w:r>
              <w:rPr>
                <w:spacing w:val="-2"/>
              </w:rPr>
              <w:t>0.084</w:t>
            </w:r>
          </w:p>
        </w:tc>
        <w:tc>
          <w:tcPr>
            <w:tcW w:w="880" w:type="dxa"/>
            <w:vAlign w:val="top"/>
          </w:tcPr>
          <w:p w14:paraId="3F697D07">
            <w:pPr>
              <w:pStyle w:val="6"/>
              <w:spacing w:before="77" w:line="192" w:lineRule="auto"/>
              <w:ind w:left="266"/>
            </w:pPr>
            <w:r>
              <w:rPr>
                <w:spacing w:val="-2"/>
              </w:rPr>
              <w:t>0.02</w:t>
            </w:r>
          </w:p>
        </w:tc>
        <w:tc>
          <w:tcPr>
            <w:tcW w:w="880" w:type="dxa"/>
            <w:vAlign w:val="top"/>
          </w:tcPr>
          <w:p w14:paraId="28514862">
            <w:pPr>
              <w:pStyle w:val="6"/>
              <w:spacing w:before="77" w:line="192" w:lineRule="auto"/>
              <w:ind w:left="268"/>
            </w:pPr>
            <w:r>
              <w:rPr>
                <w:spacing w:val="-2"/>
              </w:rPr>
              <w:t>0.01</w:t>
            </w:r>
          </w:p>
        </w:tc>
        <w:tc>
          <w:tcPr>
            <w:tcW w:w="881" w:type="dxa"/>
            <w:vAlign w:val="top"/>
          </w:tcPr>
          <w:p w14:paraId="15829EE4">
            <w:pPr>
              <w:pStyle w:val="6"/>
              <w:spacing w:before="77" w:line="192" w:lineRule="auto"/>
              <w:ind w:left="206"/>
            </w:pPr>
            <w:r>
              <w:rPr>
                <w:spacing w:val="-2"/>
              </w:rPr>
              <w:t>0.05L</w:t>
            </w:r>
          </w:p>
        </w:tc>
        <w:tc>
          <w:tcPr>
            <w:tcW w:w="894" w:type="dxa"/>
            <w:tcBorders>
              <w:right w:val="single" w:color="000000" w:sz="12" w:space="0"/>
            </w:tcBorders>
            <w:vAlign w:val="top"/>
          </w:tcPr>
          <w:p w14:paraId="73FD6127">
            <w:pPr>
              <w:pStyle w:val="6"/>
              <w:spacing w:before="77" w:line="192" w:lineRule="auto"/>
              <w:ind w:left="262"/>
            </w:pPr>
            <w:r>
              <w:rPr>
                <w:spacing w:val="-5"/>
              </w:rPr>
              <w:t>1600</w:t>
            </w:r>
          </w:p>
        </w:tc>
      </w:tr>
      <w:tr w14:paraId="4A78A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5E76D7AF">
            <w:pPr>
              <w:rPr>
                <w:rFonts w:ascii="Arial"/>
                <w:sz w:val="21"/>
              </w:rPr>
            </w:pPr>
          </w:p>
        </w:tc>
        <w:tc>
          <w:tcPr>
            <w:tcW w:w="285" w:type="dxa"/>
            <w:vMerge w:val="continue"/>
            <w:tcBorders>
              <w:top w:val="nil"/>
              <w:bottom w:val="nil"/>
            </w:tcBorders>
            <w:vAlign w:val="top"/>
          </w:tcPr>
          <w:p w14:paraId="78D256AB">
            <w:pPr>
              <w:rPr>
                <w:rFonts w:ascii="Arial"/>
                <w:sz w:val="21"/>
              </w:rPr>
            </w:pPr>
          </w:p>
        </w:tc>
        <w:tc>
          <w:tcPr>
            <w:tcW w:w="1273" w:type="dxa"/>
            <w:vAlign w:val="top"/>
          </w:tcPr>
          <w:p w14:paraId="11EE65F3">
            <w:pPr>
              <w:pStyle w:val="6"/>
              <w:spacing w:before="77" w:line="191" w:lineRule="auto"/>
              <w:ind w:left="147"/>
            </w:pPr>
            <w:r>
              <w:rPr>
                <w:spacing w:val="-1"/>
              </w:rPr>
              <w:t>2021/11/29</w:t>
            </w:r>
          </w:p>
        </w:tc>
        <w:tc>
          <w:tcPr>
            <w:tcW w:w="880" w:type="dxa"/>
            <w:vAlign w:val="top"/>
          </w:tcPr>
          <w:p w14:paraId="069DCF67">
            <w:pPr>
              <w:pStyle w:val="6"/>
              <w:spacing w:before="77" w:line="191" w:lineRule="auto"/>
              <w:ind w:left="267"/>
            </w:pPr>
            <w:r>
              <w:rPr>
                <w:spacing w:val="-6"/>
              </w:rPr>
              <w:t>17.8</w:t>
            </w:r>
          </w:p>
        </w:tc>
        <w:tc>
          <w:tcPr>
            <w:tcW w:w="880" w:type="dxa"/>
            <w:vAlign w:val="top"/>
          </w:tcPr>
          <w:p w14:paraId="2A209786">
            <w:pPr>
              <w:pStyle w:val="6"/>
              <w:spacing w:before="77" w:line="191" w:lineRule="auto"/>
              <w:ind w:left="309"/>
            </w:pPr>
            <w:r>
              <w:rPr>
                <w:spacing w:val="-5"/>
              </w:rPr>
              <w:t>8.1</w:t>
            </w:r>
          </w:p>
        </w:tc>
        <w:tc>
          <w:tcPr>
            <w:tcW w:w="880" w:type="dxa"/>
            <w:vAlign w:val="top"/>
          </w:tcPr>
          <w:p w14:paraId="221B74A4">
            <w:pPr>
              <w:pStyle w:val="6"/>
              <w:spacing w:before="77" w:line="191" w:lineRule="auto"/>
              <w:ind w:left="386"/>
            </w:pPr>
            <w:r>
              <w:t>6</w:t>
            </w:r>
          </w:p>
        </w:tc>
        <w:tc>
          <w:tcPr>
            <w:tcW w:w="880" w:type="dxa"/>
            <w:vAlign w:val="top"/>
          </w:tcPr>
          <w:p w14:paraId="445D19DA">
            <w:pPr>
              <w:pStyle w:val="6"/>
              <w:spacing w:before="77" w:line="191" w:lineRule="auto"/>
              <w:ind w:left="308"/>
            </w:pPr>
            <w:r>
              <w:rPr>
                <w:spacing w:val="-3"/>
              </w:rPr>
              <w:t>7.8</w:t>
            </w:r>
          </w:p>
        </w:tc>
        <w:tc>
          <w:tcPr>
            <w:tcW w:w="880" w:type="dxa"/>
            <w:vAlign w:val="top"/>
          </w:tcPr>
          <w:p w14:paraId="589540BE">
            <w:pPr>
              <w:pStyle w:val="6"/>
              <w:spacing w:before="77" w:line="191" w:lineRule="auto"/>
              <w:ind w:left="307"/>
            </w:pPr>
            <w:r>
              <w:rPr>
                <w:spacing w:val="-2"/>
              </w:rPr>
              <w:t>2.2</w:t>
            </w:r>
          </w:p>
        </w:tc>
        <w:tc>
          <w:tcPr>
            <w:tcW w:w="880" w:type="dxa"/>
            <w:vAlign w:val="top"/>
          </w:tcPr>
          <w:p w14:paraId="46FB99EA">
            <w:pPr>
              <w:pStyle w:val="6"/>
              <w:spacing w:before="77" w:line="191" w:lineRule="auto"/>
              <w:ind w:left="387"/>
            </w:pPr>
            <w:r>
              <w:t>4</w:t>
            </w:r>
          </w:p>
        </w:tc>
        <w:tc>
          <w:tcPr>
            <w:tcW w:w="880" w:type="dxa"/>
            <w:vAlign w:val="top"/>
          </w:tcPr>
          <w:p w14:paraId="20EC4952">
            <w:pPr>
              <w:pStyle w:val="6"/>
              <w:spacing w:before="77" w:line="191" w:lineRule="auto"/>
              <w:ind w:left="314"/>
            </w:pPr>
            <w:r>
              <w:rPr>
                <w:spacing w:val="-3"/>
              </w:rPr>
              <w:t>0.9</w:t>
            </w:r>
          </w:p>
        </w:tc>
        <w:tc>
          <w:tcPr>
            <w:tcW w:w="880" w:type="dxa"/>
            <w:vAlign w:val="top"/>
          </w:tcPr>
          <w:p w14:paraId="0E2EE4DB">
            <w:pPr>
              <w:pStyle w:val="6"/>
              <w:spacing w:before="77" w:line="191" w:lineRule="auto"/>
              <w:ind w:left="212"/>
            </w:pPr>
            <w:r>
              <w:rPr>
                <w:spacing w:val="-2"/>
              </w:rPr>
              <w:t>0.086</w:t>
            </w:r>
          </w:p>
        </w:tc>
        <w:tc>
          <w:tcPr>
            <w:tcW w:w="880" w:type="dxa"/>
            <w:vAlign w:val="top"/>
          </w:tcPr>
          <w:p w14:paraId="48726FED">
            <w:pPr>
              <w:pStyle w:val="6"/>
              <w:spacing w:before="77" w:line="191" w:lineRule="auto"/>
              <w:ind w:left="266"/>
            </w:pPr>
            <w:r>
              <w:rPr>
                <w:spacing w:val="-2"/>
              </w:rPr>
              <w:t>0.04</w:t>
            </w:r>
          </w:p>
        </w:tc>
        <w:tc>
          <w:tcPr>
            <w:tcW w:w="880" w:type="dxa"/>
            <w:vAlign w:val="top"/>
          </w:tcPr>
          <w:p w14:paraId="713ED417">
            <w:pPr>
              <w:pStyle w:val="6"/>
              <w:spacing w:before="77" w:line="191" w:lineRule="auto"/>
              <w:ind w:left="268"/>
            </w:pPr>
            <w:r>
              <w:rPr>
                <w:spacing w:val="-2"/>
              </w:rPr>
              <w:t>0.01</w:t>
            </w:r>
          </w:p>
        </w:tc>
        <w:tc>
          <w:tcPr>
            <w:tcW w:w="881" w:type="dxa"/>
            <w:vAlign w:val="top"/>
          </w:tcPr>
          <w:p w14:paraId="085C0785">
            <w:pPr>
              <w:pStyle w:val="6"/>
              <w:spacing w:before="77" w:line="191" w:lineRule="auto"/>
              <w:ind w:left="206"/>
            </w:pPr>
            <w:r>
              <w:rPr>
                <w:spacing w:val="-2"/>
              </w:rPr>
              <w:t>0.05L</w:t>
            </w:r>
          </w:p>
        </w:tc>
        <w:tc>
          <w:tcPr>
            <w:tcW w:w="894" w:type="dxa"/>
            <w:tcBorders>
              <w:right w:val="single" w:color="000000" w:sz="12" w:space="0"/>
            </w:tcBorders>
            <w:vAlign w:val="top"/>
          </w:tcPr>
          <w:p w14:paraId="2B75134F">
            <w:pPr>
              <w:pStyle w:val="6"/>
              <w:spacing w:before="77" w:line="191" w:lineRule="auto"/>
              <w:ind w:left="262"/>
            </w:pPr>
            <w:r>
              <w:rPr>
                <w:spacing w:val="-5"/>
              </w:rPr>
              <w:t>1500</w:t>
            </w:r>
          </w:p>
        </w:tc>
      </w:tr>
      <w:tr w14:paraId="7A8E2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tcBorders>
            <w:vAlign w:val="top"/>
          </w:tcPr>
          <w:p w14:paraId="47300528">
            <w:pPr>
              <w:rPr>
                <w:rFonts w:ascii="Arial"/>
                <w:sz w:val="21"/>
              </w:rPr>
            </w:pPr>
          </w:p>
        </w:tc>
        <w:tc>
          <w:tcPr>
            <w:tcW w:w="285" w:type="dxa"/>
            <w:vMerge w:val="continue"/>
            <w:tcBorders>
              <w:top w:val="nil"/>
            </w:tcBorders>
            <w:vAlign w:val="top"/>
          </w:tcPr>
          <w:p w14:paraId="4C344287">
            <w:pPr>
              <w:rPr>
                <w:rFonts w:ascii="Arial"/>
                <w:sz w:val="21"/>
              </w:rPr>
            </w:pPr>
          </w:p>
        </w:tc>
        <w:tc>
          <w:tcPr>
            <w:tcW w:w="1273" w:type="dxa"/>
            <w:vAlign w:val="top"/>
          </w:tcPr>
          <w:p w14:paraId="46328184">
            <w:pPr>
              <w:pStyle w:val="6"/>
              <w:spacing w:before="77" w:line="190" w:lineRule="auto"/>
              <w:ind w:left="147"/>
            </w:pPr>
            <w:r>
              <w:rPr>
                <w:spacing w:val="-1"/>
              </w:rPr>
              <w:t>2021/11/30</w:t>
            </w:r>
          </w:p>
        </w:tc>
        <w:tc>
          <w:tcPr>
            <w:tcW w:w="880" w:type="dxa"/>
            <w:vAlign w:val="top"/>
          </w:tcPr>
          <w:p w14:paraId="0D8A3BE3">
            <w:pPr>
              <w:pStyle w:val="6"/>
              <w:spacing w:before="77" w:line="190" w:lineRule="auto"/>
              <w:ind w:left="267"/>
            </w:pPr>
            <w:r>
              <w:rPr>
                <w:spacing w:val="-6"/>
              </w:rPr>
              <w:t>18.4</w:t>
            </w:r>
          </w:p>
        </w:tc>
        <w:tc>
          <w:tcPr>
            <w:tcW w:w="880" w:type="dxa"/>
            <w:vAlign w:val="top"/>
          </w:tcPr>
          <w:p w14:paraId="10ABB87B">
            <w:pPr>
              <w:pStyle w:val="6"/>
              <w:spacing w:before="77" w:line="190" w:lineRule="auto"/>
              <w:ind w:left="388"/>
            </w:pPr>
            <w:r>
              <w:t>8</w:t>
            </w:r>
          </w:p>
        </w:tc>
        <w:tc>
          <w:tcPr>
            <w:tcW w:w="880" w:type="dxa"/>
            <w:vAlign w:val="top"/>
          </w:tcPr>
          <w:p w14:paraId="4DA18D7F">
            <w:pPr>
              <w:pStyle w:val="6"/>
              <w:spacing w:before="77" w:line="190" w:lineRule="auto"/>
              <w:ind w:left="387"/>
            </w:pPr>
            <w:r>
              <w:t>5</w:t>
            </w:r>
          </w:p>
        </w:tc>
        <w:tc>
          <w:tcPr>
            <w:tcW w:w="880" w:type="dxa"/>
            <w:vAlign w:val="top"/>
          </w:tcPr>
          <w:p w14:paraId="17334EA2">
            <w:pPr>
              <w:pStyle w:val="6"/>
              <w:spacing w:before="77" w:line="190" w:lineRule="auto"/>
              <w:ind w:left="313"/>
            </w:pPr>
            <w:r>
              <w:rPr>
                <w:spacing w:val="-5"/>
              </w:rPr>
              <w:t>8.1</w:t>
            </w:r>
          </w:p>
        </w:tc>
        <w:tc>
          <w:tcPr>
            <w:tcW w:w="880" w:type="dxa"/>
            <w:vAlign w:val="top"/>
          </w:tcPr>
          <w:p w14:paraId="5CDE34BB">
            <w:pPr>
              <w:pStyle w:val="6"/>
              <w:spacing w:before="77" w:line="190" w:lineRule="auto"/>
              <w:ind w:left="307"/>
            </w:pPr>
            <w:r>
              <w:rPr>
                <w:spacing w:val="-2"/>
              </w:rPr>
              <w:t>2.3</w:t>
            </w:r>
          </w:p>
        </w:tc>
        <w:tc>
          <w:tcPr>
            <w:tcW w:w="880" w:type="dxa"/>
            <w:vAlign w:val="top"/>
          </w:tcPr>
          <w:p w14:paraId="50380231">
            <w:pPr>
              <w:pStyle w:val="6"/>
              <w:spacing w:before="77" w:line="190" w:lineRule="auto"/>
              <w:ind w:left="394"/>
            </w:pPr>
            <w:r>
              <w:t>5</w:t>
            </w:r>
          </w:p>
        </w:tc>
        <w:tc>
          <w:tcPr>
            <w:tcW w:w="880" w:type="dxa"/>
            <w:vAlign w:val="top"/>
          </w:tcPr>
          <w:p w14:paraId="1B7B850A">
            <w:pPr>
              <w:pStyle w:val="6"/>
              <w:spacing w:before="77" w:line="190" w:lineRule="auto"/>
              <w:ind w:left="331"/>
            </w:pPr>
            <w:r>
              <w:rPr>
                <w:spacing w:val="-8"/>
              </w:rPr>
              <w:t>1.1</w:t>
            </w:r>
          </w:p>
        </w:tc>
        <w:tc>
          <w:tcPr>
            <w:tcW w:w="880" w:type="dxa"/>
            <w:vAlign w:val="top"/>
          </w:tcPr>
          <w:p w14:paraId="3C08C142">
            <w:pPr>
              <w:pStyle w:val="6"/>
              <w:spacing w:before="77" w:line="190" w:lineRule="auto"/>
              <w:ind w:left="212"/>
            </w:pPr>
            <w:r>
              <w:rPr>
                <w:spacing w:val="-2"/>
              </w:rPr>
              <w:t>0.081</w:t>
            </w:r>
          </w:p>
        </w:tc>
        <w:tc>
          <w:tcPr>
            <w:tcW w:w="880" w:type="dxa"/>
            <w:vAlign w:val="top"/>
          </w:tcPr>
          <w:p w14:paraId="69EAA592">
            <w:pPr>
              <w:pStyle w:val="6"/>
              <w:spacing w:before="77" w:line="190" w:lineRule="auto"/>
              <w:ind w:left="266"/>
            </w:pPr>
            <w:r>
              <w:rPr>
                <w:spacing w:val="-2"/>
              </w:rPr>
              <w:t>0.02</w:t>
            </w:r>
          </w:p>
        </w:tc>
        <w:tc>
          <w:tcPr>
            <w:tcW w:w="880" w:type="dxa"/>
            <w:vAlign w:val="top"/>
          </w:tcPr>
          <w:p w14:paraId="5F75499C">
            <w:pPr>
              <w:pStyle w:val="6"/>
              <w:spacing w:before="77" w:line="190" w:lineRule="auto"/>
              <w:ind w:left="268"/>
            </w:pPr>
            <w:r>
              <w:rPr>
                <w:spacing w:val="-2"/>
              </w:rPr>
              <w:t>0.01</w:t>
            </w:r>
          </w:p>
        </w:tc>
        <w:tc>
          <w:tcPr>
            <w:tcW w:w="881" w:type="dxa"/>
            <w:vAlign w:val="top"/>
          </w:tcPr>
          <w:p w14:paraId="717B8B84">
            <w:pPr>
              <w:pStyle w:val="6"/>
              <w:spacing w:before="77" w:line="190" w:lineRule="auto"/>
              <w:ind w:left="206"/>
            </w:pPr>
            <w:r>
              <w:rPr>
                <w:spacing w:val="-2"/>
              </w:rPr>
              <w:t>0.05L</w:t>
            </w:r>
          </w:p>
        </w:tc>
        <w:tc>
          <w:tcPr>
            <w:tcW w:w="894" w:type="dxa"/>
            <w:tcBorders>
              <w:right w:val="single" w:color="000000" w:sz="12" w:space="0"/>
            </w:tcBorders>
            <w:vAlign w:val="top"/>
          </w:tcPr>
          <w:p w14:paraId="03117E66">
            <w:pPr>
              <w:pStyle w:val="6"/>
              <w:spacing w:before="77" w:line="190" w:lineRule="auto"/>
              <w:ind w:left="262"/>
            </w:pPr>
            <w:r>
              <w:rPr>
                <w:spacing w:val="-5"/>
              </w:rPr>
              <w:t>1400</w:t>
            </w:r>
          </w:p>
        </w:tc>
      </w:tr>
      <w:tr w14:paraId="01FC7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restart"/>
            <w:tcBorders>
              <w:left w:val="single" w:color="000000" w:sz="12" w:space="0"/>
              <w:bottom w:val="nil"/>
            </w:tcBorders>
            <w:vAlign w:val="top"/>
          </w:tcPr>
          <w:p w14:paraId="39BED17D">
            <w:pPr>
              <w:spacing w:line="260" w:lineRule="auto"/>
              <w:rPr>
                <w:rFonts w:ascii="Arial"/>
                <w:sz w:val="21"/>
              </w:rPr>
            </w:pPr>
          </w:p>
          <w:p w14:paraId="6F64B3FF">
            <w:pPr>
              <w:spacing w:line="261" w:lineRule="auto"/>
              <w:rPr>
                <w:rFonts w:ascii="Arial"/>
                <w:sz w:val="21"/>
              </w:rPr>
            </w:pPr>
          </w:p>
          <w:p w14:paraId="6A3A7697">
            <w:pPr>
              <w:spacing w:line="261" w:lineRule="auto"/>
              <w:rPr>
                <w:rFonts w:ascii="Arial"/>
                <w:sz w:val="21"/>
              </w:rPr>
            </w:pPr>
          </w:p>
          <w:p w14:paraId="70767231">
            <w:pPr>
              <w:spacing w:line="261" w:lineRule="auto"/>
              <w:rPr>
                <w:rFonts w:ascii="Arial"/>
                <w:sz w:val="21"/>
              </w:rPr>
            </w:pPr>
          </w:p>
          <w:p w14:paraId="60C92CCC">
            <w:pPr>
              <w:spacing w:line="261" w:lineRule="auto"/>
              <w:rPr>
                <w:rFonts w:ascii="Arial"/>
                <w:sz w:val="21"/>
              </w:rPr>
            </w:pPr>
          </w:p>
          <w:p w14:paraId="7913055A">
            <w:pPr>
              <w:spacing w:line="261" w:lineRule="auto"/>
              <w:rPr>
                <w:rFonts w:ascii="Arial"/>
                <w:sz w:val="21"/>
              </w:rPr>
            </w:pPr>
          </w:p>
          <w:p w14:paraId="2E209B04">
            <w:pPr>
              <w:spacing w:before="68" w:line="220" w:lineRule="auto"/>
              <w:ind w:left="203"/>
              <w:rPr>
                <w:rFonts w:ascii="宋体" w:hAnsi="宋体" w:eastAsia="宋体" w:cs="宋体"/>
                <w:sz w:val="21"/>
                <w:szCs w:val="21"/>
              </w:rPr>
            </w:pPr>
            <w:r>
              <w:rPr>
                <w:rFonts w:ascii="宋体" w:hAnsi="宋体" w:eastAsia="宋体" w:cs="宋体"/>
                <w:spacing w:val="-2"/>
                <w:sz w:val="21"/>
                <w:szCs w:val="21"/>
              </w:rPr>
              <w:t>面店水库</w:t>
            </w:r>
          </w:p>
        </w:tc>
        <w:tc>
          <w:tcPr>
            <w:tcW w:w="285" w:type="dxa"/>
            <w:vMerge w:val="restart"/>
            <w:tcBorders>
              <w:bottom w:val="nil"/>
            </w:tcBorders>
            <w:vAlign w:val="top"/>
          </w:tcPr>
          <w:p w14:paraId="30D7A099">
            <w:pPr>
              <w:pStyle w:val="6"/>
              <w:spacing w:before="97" w:line="223" w:lineRule="auto"/>
              <w:ind w:left="97"/>
            </w:pPr>
            <w:r>
              <w:t>1</w:t>
            </w:r>
          </w:p>
          <w:p w14:paraId="79B65D1F">
            <w:pPr>
              <w:spacing w:line="219" w:lineRule="auto"/>
              <w:ind w:left="29"/>
              <w:rPr>
                <w:rFonts w:ascii="宋体" w:hAnsi="宋体" w:eastAsia="宋体" w:cs="宋体"/>
                <w:sz w:val="21"/>
                <w:szCs w:val="21"/>
              </w:rPr>
            </w:pPr>
            <w:r>
              <w:rPr>
                <w:rFonts w:ascii="宋体" w:hAnsi="宋体" w:eastAsia="宋体" w:cs="宋体"/>
                <w:sz w:val="21"/>
                <w:szCs w:val="21"/>
              </w:rPr>
              <w:t>季</w:t>
            </w:r>
          </w:p>
          <w:p w14:paraId="2A934C13">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2F8E74AC">
            <w:pPr>
              <w:pStyle w:val="6"/>
              <w:spacing w:before="78" w:line="190" w:lineRule="auto"/>
              <w:ind w:left="199"/>
            </w:pPr>
            <w:r>
              <w:rPr>
                <w:spacing w:val="-1"/>
              </w:rPr>
              <w:t>2021/3/18</w:t>
            </w:r>
          </w:p>
        </w:tc>
        <w:tc>
          <w:tcPr>
            <w:tcW w:w="880" w:type="dxa"/>
            <w:vAlign w:val="top"/>
          </w:tcPr>
          <w:p w14:paraId="313FF44B">
            <w:pPr>
              <w:pStyle w:val="6"/>
              <w:spacing w:before="78" w:line="190" w:lineRule="auto"/>
              <w:ind w:left="267"/>
            </w:pPr>
            <w:r>
              <w:rPr>
                <w:spacing w:val="-6"/>
              </w:rPr>
              <w:t>13.1</w:t>
            </w:r>
          </w:p>
        </w:tc>
        <w:tc>
          <w:tcPr>
            <w:tcW w:w="880" w:type="dxa"/>
            <w:vAlign w:val="top"/>
          </w:tcPr>
          <w:p w14:paraId="49CC67CB">
            <w:pPr>
              <w:pStyle w:val="6"/>
              <w:spacing w:before="78" w:line="190" w:lineRule="auto"/>
              <w:ind w:left="257"/>
            </w:pPr>
            <w:r>
              <w:rPr>
                <w:spacing w:val="-4"/>
              </w:rPr>
              <w:t>8.02</w:t>
            </w:r>
          </w:p>
        </w:tc>
        <w:tc>
          <w:tcPr>
            <w:tcW w:w="880" w:type="dxa"/>
            <w:vAlign w:val="top"/>
          </w:tcPr>
          <w:p w14:paraId="6C134C3E">
            <w:pPr>
              <w:pStyle w:val="6"/>
              <w:spacing w:before="78" w:line="190" w:lineRule="auto"/>
              <w:ind w:left="329"/>
            </w:pPr>
            <w:r>
              <w:rPr>
                <w:spacing w:val="-1"/>
              </w:rPr>
              <w:t>20</w:t>
            </w:r>
          </w:p>
        </w:tc>
        <w:tc>
          <w:tcPr>
            <w:tcW w:w="880" w:type="dxa"/>
            <w:vAlign w:val="top"/>
          </w:tcPr>
          <w:p w14:paraId="0995B610">
            <w:pPr>
              <w:pStyle w:val="6"/>
              <w:spacing w:before="78" w:line="190" w:lineRule="auto"/>
              <w:ind w:left="305"/>
            </w:pPr>
            <w:r>
              <w:rPr>
                <w:spacing w:val="-2"/>
              </w:rPr>
              <w:t>2.8</w:t>
            </w:r>
          </w:p>
        </w:tc>
        <w:tc>
          <w:tcPr>
            <w:tcW w:w="880" w:type="dxa"/>
            <w:vAlign w:val="top"/>
          </w:tcPr>
          <w:p w14:paraId="15B3A4B1">
            <w:pPr>
              <w:pStyle w:val="6"/>
              <w:spacing w:before="78" w:line="190" w:lineRule="auto"/>
              <w:ind w:left="313"/>
            </w:pPr>
            <w:r>
              <w:rPr>
                <w:spacing w:val="-4"/>
              </w:rPr>
              <w:t>5.3</w:t>
            </w:r>
          </w:p>
        </w:tc>
        <w:tc>
          <w:tcPr>
            <w:tcW w:w="880" w:type="dxa"/>
            <w:vAlign w:val="top"/>
          </w:tcPr>
          <w:p w14:paraId="5B1E62DB">
            <w:pPr>
              <w:pStyle w:val="6"/>
              <w:spacing w:before="78" w:line="190" w:lineRule="auto"/>
              <w:ind w:left="355"/>
            </w:pPr>
            <w:r>
              <w:rPr>
                <w:spacing w:val="-6"/>
              </w:rPr>
              <w:t>15</w:t>
            </w:r>
          </w:p>
        </w:tc>
        <w:tc>
          <w:tcPr>
            <w:tcW w:w="880" w:type="dxa"/>
            <w:vAlign w:val="top"/>
          </w:tcPr>
          <w:p w14:paraId="5841DE89">
            <w:pPr>
              <w:pStyle w:val="6"/>
              <w:spacing w:before="78" w:line="190" w:lineRule="auto"/>
              <w:ind w:left="311"/>
            </w:pPr>
            <w:r>
              <w:rPr>
                <w:spacing w:val="-2"/>
              </w:rPr>
              <w:t>2.9</w:t>
            </w:r>
          </w:p>
        </w:tc>
        <w:tc>
          <w:tcPr>
            <w:tcW w:w="880" w:type="dxa"/>
            <w:vAlign w:val="top"/>
          </w:tcPr>
          <w:p w14:paraId="4E5FA898">
            <w:pPr>
              <w:pStyle w:val="6"/>
              <w:spacing w:before="78" w:line="190" w:lineRule="auto"/>
              <w:ind w:left="212"/>
            </w:pPr>
            <w:r>
              <w:rPr>
                <w:spacing w:val="-2"/>
              </w:rPr>
              <w:t>0.250</w:t>
            </w:r>
          </w:p>
        </w:tc>
        <w:tc>
          <w:tcPr>
            <w:tcW w:w="880" w:type="dxa"/>
            <w:vAlign w:val="top"/>
          </w:tcPr>
          <w:p w14:paraId="5A10A324">
            <w:pPr>
              <w:pStyle w:val="6"/>
              <w:spacing w:before="78" w:line="190" w:lineRule="auto"/>
              <w:ind w:left="266"/>
            </w:pPr>
            <w:r>
              <w:rPr>
                <w:spacing w:val="-2"/>
              </w:rPr>
              <w:t>0.03</w:t>
            </w:r>
          </w:p>
        </w:tc>
        <w:tc>
          <w:tcPr>
            <w:tcW w:w="880" w:type="dxa"/>
            <w:vAlign w:val="top"/>
          </w:tcPr>
          <w:p w14:paraId="3F322D11">
            <w:pPr>
              <w:pStyle w:val="6"/>
              <w:spacing w:before="78" w:line="190" w:lineRule="auto"/>
              <w:ind w:left="268"/>
            </w:pPr>
            <w:r>
              <w:rPr>
                <w:spacing w:val="-2"/>
              </w:rPr>
              <w:t>0.04</w:t>
            </w:r>
          </w:p>
        </w:tc>
        <w:tc>
          <w:tcPr>
            <w:tcW w:w="881" w:type="dxa"/>
            <w:vAlign w:val="top"/>
          </w:tcPr>
          <w:p w14:paraId="56B3FAFB">
            <w:pPr>
              <w:pStyle w:val="6"/>
              <w:spacing w:before="78" w:line="190" w:lineRule="auto"/>
              <w:ind w:left="206"/>
            </w:pPr>
            <w:r>
              <w:rPr>
                <w:spacing w:val="-2"/>
              </w:rPr>
              <w:t>0.05L</w:t>
            </w:r>
          </w:p>
        </w:tc>
        <w:tc>
          <w:tcPr>
            <w:tcW w:w="894" w:type="dxa"/>
            <w:tcBorders>
              <w:right w:val="single" w:color="000000" w:sz="12" w:space="0"/>
            </w:tcBorders>
            <w:vAlign w:val="top"/>
          </w:tcPr>
          <w:p w14:paraId="0645A698">
            <w:pPr>
              <w:pStyle w:val="6"/>
              <w:spacing w:before="78" w:line="190" w:lineRule="auto"/>
              <w:ind w:left="295"/>
            </w:pPr>
            <w:r>
              <w:rPr>
                <w:spacing w:val="-1"/>
              </w:rPr>
              <w:t>220</w:t>
            </w:r>
          </w:p>
        </w:tc>
      </w:tr>
      <w:tr w14:paraId="43E8C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2B092311">
            <w:pPr>
              <w:rPr>
                <w:rFonts w:ascii="Arial"/>
                <w:sz w:val="21"/>
              </w:rPr>
            </w:pPr>
          </w:p>
        </w:tc>
        <w:tc>
          <w:tcPr>
            <w:tcW w:w="285" w:type="dxa"/>
            <w:vMerge w:val="continue"/>
            <w:tcBorders>
              <w:top w:val="nil"/>
              <w:bottom w:val="nil"/>
            </w:tcBorders>
            <w:vAlign w:val="top"/>
          </w:tcPr>
          <w:p w14:paraId="14899BCD">
            <w:pPr>
              <w:rPr>
                <w:rFonts w:ascii="Arial"/>
                <w:sz w:val="21"/>
              </w:rPr>
            </w:pPr>
          </w:p>
        </w:tc>
        <w:tc>
          <w:tcPr>
            <w:tcW w:w="1273" w:type="dxa"/>
            <w:vAlign w:val="top"/>
          </w:tcPr>
          <w:p w14:paraId="79673C7A">
            <w:pPr>
              <w:pStyle w:val="6"/>
              <w:spacing w:before="79" w:line="189" w:lineRule="auto"/>
              <w:ind w:left="199"/>
            </w:pPr>
            <w:r>
              <w:rPr>
                <w:spacing w:val="-1"/>
              </w:rPr>
              <w:t>2021/3/19</w:t>
            </w:r>
          </w:p>
        </w:tc>
        <w:tc>
          <w:tcPr>
            <w:tcW w:w="880" w:type="dxa"/>
            <w:vAlign w:val="top"/>
          </w:tcPr>
          <w:p w14:paraId="5B4EA6DF">
            <w:pPr>
              <w:pStyle w:val="6"/>
              <w:spacing w:before="79" w:line="189" w:lineRule="auto"/>
              <w:ind w:left="267"/>
            </w:pPr>
            <w:r>
              <w:rPr>
                <w:spacing w:val="-6"/>
              </w:rPr>
              <w:t>12.9</w:t>
            </w:r>
          </w:p>
        </w:tc>
        <w:tc>
          <w:tcPr>
            <w:tcW w:w="880" w:type="dxa"/>
            <w:vAlign w:val="top"/>
          </w:tcPr>
          <w:p w14:paraId="7C1C1C84">
            <w:pPr>
              <w:pStyle w:val="6"/>
              <w:spacing w:before="79" w:line="189" w:lineRule="auto"/>
              <w:ind w:left="252"/>
            </w:pPr>
            <w:r>
              <w:rPr>
                <w:spacing w:val="-2"/>
              </w:rPr>
              <w:t>7.97</w:t>
            </w:r>
          </w:p>
        </w:tc>
        <w:tc>
          <w:tcPr>
            <w:tcW w:w="880" w:type="dxa"/>
            <w:vAlign w:val="top"/>
          </w:tcPr>
          <w:p w14:paraId="730010E7">
            <w:pPr>
              <w:pStyle w:val="6"/>
              <w:spacing w:before="79" w:line="189" w:lineRule="auto"/>
              <w:ind w:left="349"/>
            </w:pPr>
            <w:r>
              <w:rPr>
                <w:spacing w:val="-6"/>
              </w:rPr>
              <w:t>15</w:t>
            </w:r>
          </w:p>
        </w:tc>
        <w:tc>
          <w:tcPr>
            <w:tcW w:w="880" w:type="dxa"/>
            <w:vAlign w:val="top"/>
          </w:tcPr>
          <w:p w14:paraId="73AFEC73">
            <w:pPr>
              <w:pStyle w:val="6"/>
              <w:spacing w:before="79" w:line="189" w:lineRule="auto"/>
              <w:ind w:left="305"/>
            </w:pPr>
            <w:r>
              <w:rPr>
                <w:spacing w:val="-2"/>
              </w:rPr>
              <w:t>2.6</w:t>
            </w:r>
          </w:p>
        </w:tc>
        <w:tc>
          <w:tcPr>
            <w:tcW w:w="880" w:type="dxa"/>
            <w:vAlign w:val="top"/>
          </w:tcPr>
          <w:p w14:paraId="0B93EABD">
            <w:pPr>
              <w:pStyle w:val="6"/>
              <w:spacing w:before="79" w:line="189" w:lineRule="auto"/>
              <w:ind w:left="313"/>
            </w:pPr>
            <w:r>
              <w:rPr>
                <w:spacing w:val="-4"/>
              </w:rPr>
              <w:t>5.1</w:t>
            </w:r>
          </w:p>
        </w:tc>
        <w:tc>
          <w:tcPr>
            <w:tcW w:w="880" w:type="dxa"/>
            <w:vAlign w:val="top"/>
          </w:tcPr>
          <w:p w14:paraId="007214B3">
            <w:pPr>
              <w:pStyle w:val="6"/>
              <w:spacing w:before="79" w:line="189" w:lineRule="auto"/>
              <w:ind w:left="355"/>
            </w:pPr>
            <w:r>
              <w:rPr>
                <w:spacing w:val="-6"/>
              </w:rPr>
              <w:t>12</w:t>
            </w:r>
          </w:p>
        </w:tc>
        <w:tc>
          <w:tcPr>
            <w:tcW w:w="880" w:type="dxa"/>
            <w:vAlign w:val="top"/>
          </w:tcPr>
          <w:p w14:paraId="56EE6B4F">
            <w:pPr>
              <w:pStyle w:val="6"/>
              <w:spacing w:before="79" w:line="189" w:lineRule="auto"/>
              <w:ind w:left="311"/>
            </w:pPr>
            <w:r>
              <w:rPr>
                <w:spacing w:val="-2"/>
              </w:rPr>
              <w:t>2.4</w:t>
            </w:r>
          </w:p>
        </w:tc>
        <w:tc>
          <w:tcPr>
            <w:tcW w:w="880" w:type="dxa"/>
            <w:vAlign w:val="top"/>
          </w:tcPr>
          <w:p w14:paraId="7175CAFB">
            <w:pPr>
              <w:pStyle w:val="6"/>
              <w:spacing w:before="79" w:line="189" w:lineRule="auto"/>
              <w:ind w:left="212"/>
            </w:pPr>
            <w:r>
              <w:rPr>
                <w:spacing w:val="-2"/>
              </w:rPr>
              <w:t>0.241</w:t>
            </w:r>
          </w:p>
        </w:tc>
        <w:tc>
          <w:tcPr>
            <w:tcW w:w="880" w:type="dxa"/>
            <w:vAlign w:val="top"/>
          </w:tcPr>
          <w:p w14:paraId="0C085356">
            <w:pPr>
              <w:pStyle w:val="6"/>
              <w:spacing w:before="79" w:line="189" w:lineRule="auto"/>
              <w:ind w:left="266"/>
            </w:pPr>
            <w:r>
              <w:rPr>
                <w:spacing w:val="-2"/>
              </w:rPr>
              <w:t>0.04</w:t>
            </w:r>
          </w:p>
        </w:tc>
        <w:tc>
          <w:tcPr>
            <w:tcW w:w="880" w:type="dxa"/>
            <w:vAlign w:val="top"/>
          </w:tcPr>
          <w:p w14:paraId="4ED3A75F">
            <w:pPr>
              <w:pStyle w:val="6"/>
              <w:spacing w:before="79" w:line="189" w:lineRule="auto"/>
              <w:ind w:left="268"/>
            </w:pPr>
            <w:r>
              <w:rPr>
                <w:spacing w:val="-2"/>
              </w:rPr>
              <w:t>0.03</w:t>
            </w:r>
          </w:p>
        </w:tc>
        <w:tc>
          <w:tcPr>
            <w:tcW w:w="881" w:type="dxa"/>
            <w:vAlign w:val="top"/>
          </w:tcPr>
          <w:p w14:paraId="78D3F3C1">
            <w:pPr>
              <w:pStyle w:val="6"/>
              <w:spacing w:before="79" w:line="189" w:lineRule="auto"/>
              <w:ind w:left="206"/>
            </w:pPr>
            <w:r>
              <w:rPr>
                <w:spacing w:val="-2"/>
              </w:rPr>
              <w:t>0.05L</w:t>
            </w:r>
          </w:p>
        </w:tc>
        <w:tc>
          <w:tcPr>
            <w:tcW w:w="894" w:type="dxa"/>
            <w:tcBorders>
              <w:right w:val="single" w:color="000000" w:sz="12" w:space="0"/>
            </w:tcBorders>
            <w:vAlign w:val="top"/>
          </w:tcPr>
          <w:p w14:paraId="3BC96A4E">
            <w:pPr>
              <w:pStyle w:val="6"/>
              <w:spacing w:before="79" w:line="189" w:lineRule="auto"/>
              <w:ind w:left="295"/>
            </w:pPr>
            <w:r>
              <w:rPr>
                <w:spacing w:val="-1"/>
              </w:rPr>
              <w:t>210</w:t>
            </w:r>
          </w:p>
        </w:tc>
      </w:tr>
      <w:tr w14:paraId="72C49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A72D1F6">
            <w:pPr>
              <w:rPr>
                <w:rFonts w:ascii="Arial"/>
                <w:sz w:val="21"/>
              </w:rPr>
            </w:pPr>
          </w:p>
        </w:tc>
        <w:tc>
          <w:tcPr>
            <w:tcW w:w="285" w:type="dxa"/>
            <w:vMerge w:val="continue"/>
            <w:tcBorders>
              <w:top w:val="nil"/>
            </w:tcBorders>
            <w:vAlign w:val="top"/>
          </w:tcPr>
          <w:p w14:paraId="651975A2">
            <w:pPr>
              <w:rPr>
                <w:rFonts w:ascii="Arial"/>
                <w:sz w:val="21"/>
              </w:rPr>
            </w:pPr>
          </w:p>
        </w:tc>
        <w:tc>
          <w:tcPr>
            <w:tcW w:w="1273" w:type="dxa"/>
            <w:vAlign w:val="top"/>
          </w:tcPr>
          <w:p w14:paraId="42DA082C">
            <w:pPr>
              <w:pStyle w:val="6"/>
              <w:spacing w:before="80" w:line="187" w:lineRule="auto"/>
              <w:ind w:left="199"/>
            </w:pPr>
            <w:r>
              <w:rPr>
                <w:spacing w:val="-1"/>
              </w:rPr>
              <w:t>2021/3/20</w:t>
            </w:r>
          </w:p>
        </w:tc>
        <w:tc>
          <w:tcPr>
            <w:tcW w:w="880" w:type="dxa"/>
            <w:vAlign w:val="top"/>
          </w:tcPr>
          <w:p w14:paraId="506F03A8">
            <w:pPr>
              <w:pStyle w:val="6"/>
              <w:spacing w:before="80" w:line="187" w:lineRule="auto"/>
              <w:ind w:left="267"/>
            </w:pPr>
            <w:r>
              <w:rPr>
                <w:spacing w:val="-6"/>
              </w:rPr>
              <w:t>12.7</w:t>
            </w:r>
          </w:p>
        </w:tc>
        <w:tc>
          <w:tcPr>
            <w:tcW w:w="880" w:type="dxa"/>
            <w:vAlign w:val="top"/>
          </w:tcPr>
          <w:p w14:paraId="15576C4D">
            <w:pPr>
              <w:pStyle w:val="6"/>
              <w:spacing w:before="80" w:line="187" w:lineRule="auto"/>
              <w:ind w:left="257"/>
            </w:pPr>
            <w:r>
              <w:rPr>
                <w:spacing w:val="-4"/>
              </w:rPr>
              <w:t>8.05</w:t>
            </w:r>
          </w:p>
        </w:tc>
        <w:tc>
          <w:tcPr>
            <w:tcW w:w="880" w:type="dxa"/>
            <w:vAlign w:val="top"/>
          </w:tcPr>
          <w:p w14:paraId="00B97564">
            <w:pPr>
              <w:pStyle w:val="6"/>
              <w:spacing w:before="80" w:line="187" w:lineRule="auto"/>
              <w:ind w:left="349"/>
            </w:pPr>
            <w:r>
              <w:rPr>
                <w:spacing w:val="-6"/>
              </w:rPr>
              <w:t>17</w:t>
            </w:r>
          </w:p>
        </w:tc>
        <w:tc>
          <w:tcPr>
            <w:tcW w:w="880" w:type="dxa"/>
            <w:vAlign w:val="top"/>
          </w:tcPr>
          <w:p w14:paraId="3DD85135">
            <w:pPr>
              <w:pStyle w:val="6"/>
              <w:spacing w:before="80" w:line="187" w:lineRule="auto"/>
              <w:ind w:left="309"/>
            </w:pPr>
            <w:r>
              <w:rPr>
                <w:spacing w:val="-3"/>
              </w:rPr>
              <w:t>3.0</w:t>
            </w:r>
          </w:p>
        </w:tc>
        <w:tc>
          <w:tcPr>
            <w:tcW w:w="880" w:type="dxa"/>
            <w:vAlign w:val="top"/>
          </w:tcPr>
          <w:p w14:paraId="1157648B">
            <w:pPr>
              <w:pStyle w:val="6"/>
              <w:spacing w:before="80" w:line="187" w:lineRule="auto"/>
              <w:ind w:left="313"/>
            </w:pPr>
            <w:r>
              <w:rPr>
                <w:spacing w:val="-4"/>
              </w:rPr>
              <w:t>5.4</w:t>
            </w:r>
          </w:p>
        </w:tc>
        <w:tc>
          <w:tcPr>
            <w:tcW w:w="880" w:type="dxa"/>
            <w:vAlign w:val="top"/>
          </w:tcPr>
          <w:p w14:paraId="36AFFC0C">
            <w:pPr>
              <w:pStyle w:val="6"/>
              <w:spacing w:before="80" w:line="187" w:lineRule="auto"/>
              <w:ind w:left="355"/>
            </w:pPr>
            <w:r>
              <w:rPr>
                <w:spacing w:val="-6"/>
              </w:rPr>
              <w:t>16</w:t>
            </w:r>
          </w:p>
        </w:tc>
        <w:tc>
          <w:tcPr>
            <w:tcW w:w="880" w:type="dxa"/>
            <w:vAlign w:val="top"/>
          </w:tcPr>
          <w:p w14:paraId="4CF9A30A">
            <w:pPr>
              <w:pStyle w:val="6"/>
              <w:spacing w:before="80" w:line="187" w:lineRule="auto"/>
              <w:ind w:left="315"/>
            </w:pPr>
            <w:r>
              <w:rPr>
                <w:spacing w:val="-3"/>
              </w:rPr>
              <w:t>3.1</w:t>
            </w:r>
          </w:p>
        </w:tc>
        <w:tc>
          <w:tcPr>
            <w:tcW w:w="880" w:type="dxa"/>
            <w:vAlign w:val="top"/>
          </w:tcPr>
          <w:p w14:paraId="4C0027D9">
            <w:pPr>
              <w:pStyle w:val="6"/>
              <w:spacing w:before="80" w:line="187" w:lineRule="auto"/>
              <w:ind w:left="212"/>
            </w:pPr>
            <w:r>
              <w:rPr>
                <w:spacing w:val="-2"/>
              </w:rPr>
              <w:t>0.256</w:t>
            </w:r>
          </w:p>
        </w:tc>
        <w:tc>
          <w:tcPr>
            <w:tcW w:w="880" w:type="dxa"/>
            <w:vAlign w:val="top"/>
          </w:tcPr>
          <w:p w14:paraId="3B7908D5">
            <w:pPr>
              <w:pStyle w:val="6"/>
              <w:spacing w:before="80" w:line="187" w:lineRule="auto"/>
              <w:ind w:left="266"/>
            </w:pPr>
            <w:r>
              <w:rPr>
                <w:spacing w:val="-2"/>
              </w:rPr>
              <w:t>0.04</w:t>
            </w:r>
          </w:p>
        </w:tc>
        <w:tc>
          <w:tcPr>
            <w:tcW w:w="880" w:type="dxa"/>
            <w:vAlign w:val="top"/>
          </w:tcPr>
          <w:p w14:paraId="278C7310">
            <w:pPr>
              <w:pStyle w:val="6"/>
              <w:spacing w:before="80" w:line="187" w:lineRule="auto"/>
              <w:ind w:left="268"/>
            </w:pPr>
            <w:r>
              <w:rPr>
                <w:spacing w:val="-2"/>
              </w:rPr>
              <w:t>0.04</w:t>
            </w:r>
          </w:p>
        </w:tc>
        <w:tc>
          <w:tcPr>
            <w:tcW w:w="881" w:type="dxa"/>
            <w:vAlign w:val="top"/>
          </w:tcPr>
          <w:p w14:paraId="5E1D2681">
            <w:pPr>
              <w:pStyle w:val="6"/>
              <w:spacing w:before="80" w:line="187" w:lineRule="auto"/>
              <w:ind w:left="206"/>
            </w:pPr>
            <w:r>
              <w:rPr>
                <w:spacing w:val="-2"/>
              </w:rPr>
              <w:t>0.05L</w:t>
            </w:r>
          </w:p>
        </w:tc>
        <w:tc>
          <w:tcPr>
            <w:tcW w:w="894" w:type="dxa"/>
            <w:tcBorders>
              <w:right w:val="single" w:color="000000" w:sz="12" w:space="0"/>
            </w:tcBorders>
            <w:vAlign w:val="top"/>
          </w:tcPr>
          <w:p w14:paraId="504AF2ED">
            <w:pPr>
              <w:pStyle w:val="6"/>
              <w:spacing w:before="80" w:line="187" w:lineRule="auto"/>
              <w:ind w:left="295"/>
            </w:pPr>
            <w:r>
              <w:rPr>
                <w:spacing w:val="-1"/>
              </w:rPr>
              <w:t>230</w:t>
            </w:r>
          </w:p>
        </w:tc>
      </w:tr>
      <w:tr w14:paraId="31361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B85621B">
            <w:pPr>
              <w:rPr>
                <w:rFonts w:ascii="Arial"/>
                <w:sz w:val="21"/>
              </w:rPr>
            </w:pPr>
          </w:p>
        </w:tc>
        <w:tc>
          <w:tcPr>
            <w:tcW w:w="285" w:type="dxa"/>
            <w:vMerge w:val="restart"/>
            <w:tcBorders>
              <w:bottom w:val="nil"/>
            </w:tcBorders>
            <w:vAlign w:val="top"/>
          </w:tcPr>
          <w:p w14:paraId="33594C7A">
            <w:pPr>
              <w:pStyle w:val="6"/>
              <w:spacing w:before="100" w:line="222" w:lineRule="auto"/>
              <w:ind w:left="77"/>
            </w:pPr>
            <w:r>
              <w:t>2</w:t>
            </w:r>
          </w:p>
          <w:p w14:paraId="5CC7596F">
            <w:pPr>
              <w:spacing w:line="219" w:lineRule="auto"/>
              <w:ind w:left="29"/>
              <w:rPr>
                <w:rFonts w:ascii="宋体" w:hAnsi="宋体" w:eastAsia="宋体" w:cs="宋体"/>
                <w:sz w:val="21"/>
                <w:szCs w:val="21"/>
              </w:rPr>
            </w:pPr>
            <w:r>
              <w:rPr>
                <w:rFonts w:ascii="宋体" w:hAnsi="宋体" w:eastAsia="宋体" w:cs="宋体"/>
                <w:sz w:val="21"/>
                <w:szCs w:val="21"/>
              </w:rPr>
              <w:t>季</w:t>
            </w:r>
          </w:p>
          <w:p w14:paraId="1D277B8E">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34280CF8">
            <w:pPr>
              <w:pStyle w:val="6"/>
              <w:spacing w:before="82" w:line="185" w:lineRule="auto"/>
              <w:ind w:left="252"/>
            </w:pPr>
            <w:r>
              <w:rPr>
                <w:spacing w:val="-1"/>
              </w:rPr>
              <w:t>2021/6/3</w:t>
            </w:r>
          </w:p>
        </w:tc>
        <w:tc>
          <w:tcPr>
            <w:tcW w:w="880" w:type="dxa"/>
            <w:vAlign w:val="top"/>
          </w:tcPr>
          <w:p w14:paraId="31E02256">
            <w:pPr>
              <w:pStyle w:val="6"/>
              <w:spacing w:before="82" w:line="185" w:lineRule="auto"/>
              <w:ind w:left="267"/>
            </w:pPr>
            <w:r>
              <w:rPr>
                <w:spacing w:val="-6"/>
              </w:rPr>
              <w:t>16.1</w:t>
            </w:r>
          </w:p>
        </w:tc>
        <w:tc>
          <w:tcPr>
            <w:tcW w:w="880" w:type="dxa"/>
            <w:vAlign w:val="top"/>
          </w:tcPr>
          <w:p w14:paraId="146291B5">
            <w:pPr>
              <w:pStyle w:val="6"/>
              <w:spacing w:before="82" w:line="185" w:lineRule="auto"/>
              <w:ind w:left="309"/>
            </w:pPr>
            <w:r>
              <w:rPr>
                <w:spacing w:val="-5"/>
              </w:rPr>
              <w:t>8.0</w:t>
            </w:r>
          </w:p>
        </w:tc>
        <w:tc>
          <w:tcPr>
            <w:tcW w:w="880" w:type="dxa"/>
            <w:vAlign w:val="top"/>
          </w:tcPr>
          <w:p w14:paraId="13B0E276">
            <w:pPr>
              <w:pStyle w:val="6"/>
              <w:spacing w:before="82" w:line="185" w:lineRule="auto"/>
              <w:ind w:left="329"/>
            </w:pPr>
            <w:r>
              <w:rPr>
                <w:spacing w:val="-1"/>
              </w:rPr>
              <w:t>22</w:t>
            </w:r>
          </w:p>
        </w:tc>
        <w:tc>
          <w:tcPr>
            <w:tcW w:w="880" w:type="dxa"/>
            <w:vAlign w:val="top"/>
          </w:tcPr>
          <w:p w14:paraId="05CFBFEC">
            <w:pPr>
              <w:pStyle w:val="6"/>
              <w:spacing w:before="82" w:line="185" w:lineRule="auto"/>
              <w:ind w:left="310"/>
            </w:pPr>
            <w:r>
              <w:rPr>
                <w:spacing w:val="-4"/>
              </w:rPr>
              <w:t>5.7</w:t>
            </w:r>
          </w:p>
        </w:tc>
        <w:tc>
          <w:tcPr>
            <w:tcW w:w="880" w:type="dxa"/>
            <w:vAlign w:val="top"/>
          </w:tcPr>
          <w:p w14:paraId="13BC343D">
            <w:pPr>
              <w:pStyle w:val="6"/>
              <w:spacing w:before="82" w:line="185" w:lineRule="auto"/>
              <w:ind w:left="311"/>
            </w:pPr>
            <w:r>
              <w:rPr>
                <w:spacing w:val="-3"/>
              </w:rPr>
              <w:t>3.9</w:t>
            </w:r>
          </w:p>
        </w:tc>
        <w:tc>
          <w:tcPr>
            <w:tcW w:w="880" w:type="dxa"/>
            <w:vAlign w:val="top"/>
          </w:tcPr>
          <w:p w14:paraId="2FEA8CAE">
            <w:pPr>
              <w:pStyle w:val="6"/>
              <w:spacing w:before="82" w:line="185" w:lineRule="auto"/>
              <w:ind w:left="355"/>
            </w:pPr>
            <w:r>
              <w:rPr>
                <w:spacing w:val="-6"/>
              </w:rPr>
              <w:t>19</w:t>
            </w:r>
          </w:p>
        </w:tc>
        <w:tc>
          <w:tcPr>
            <w:tcW w:w="880" w:type="dxa"/>
            <w:vAlign w:val="top"/>
          </w:tcPr>
          <w:p w14:paraId="20ECE35C">
            <w:pPr>
              <w:pStyle w:val="6"/>
              <w:spacing w:before="82" w:line="185" w:lineRule="auto"/>
              <w:ind w:left="310"/>
            </w:pPr>
            <w:r>
              <w:rPr>
                <w:spacing w:val="-1"/>
              </w:rPr>
              <w:t>4.0</w:t>
            </w:r>
          </w:p>
        </w:tc>
        <w:tc>
          <w:tcPr>
            <w:tcW w:w="880" w:type="dxa"/>
            <w:vAlign w:val="top"/>
          </w:tcPr>
          <w:p w14:paraId="56380FA3">
            <w:pPr>
              <w:pStyle w:val="6"/>
              <w:spacing w:before="82" w:line="185" w:lineRule="auto"/>
              <w:ind w:left="212"/>
            </w:pPr>
            <w:r>
              <w:rPr>
                <w:spacing w:val="-2"/>
              </w:rPr>
              <w:t>0.906</w:t>
            </w:r>
          </w:p>
        </w:tc>
        <w:tc>
          <w:tcPr>
            <w:tcW w:w="880" w:type="dxa"/>
            <w:vAlign w:val="top"/>
          </w:tcPr>
          <w:p w14:paraId="1D3D6AFC">
            <w:pPr>
              <w:pStyle w:val="6"/>
              <w:spacing w:before="82" w:line="185" w:lineRule="auto"/>
              <w:ind w:left="266"/>
            </w:pPr>
            <w:r>
              <w:rPr>
                <w:spacing w:val="-2"/>
              </w:rPr>
              <w:t>0.04</w:t>
            </w:r>
          </w:p>
        </w:tc>
        <w:tc>
          <w:tcPr>
            <w:tcW w:w="880" w:type="dxa"/>
            <w:vAlign w:val="top"/>
          </w:tcPr>
          <w:p w14:paraId="01D5EB61">
            <w:pPr>
              <w:pStyle w:val="6"/>
              <w:spacing w:before="82" w:line="185" w:lineRule="auto"/>
              <w:ind w:left="268"/>
            </w:pPr>
            <w:r>
              <w:rPr>
                <w:spacing w:val="-2"/>
              </w:rPr>
              <w:t>0.02</w:t>
            </w:r>
          </w:p>
        </w:tc>
        <w:tc>
          <w:tcPr>
            <w:tcW w:w="881" w:type="dxa"/>
            <w:vAlign w:val="top"/>
          </w:tcPr>
          <w:p w14:paraId="20F46AC9">
            <w:pPr>
              <w:pStyle w:val="6"/>
              <w:spacing w:before="82" w:line="185" w:lineRule="auto"/>
              <w:ind w:left="206"/>
            </w:pPr>
            <w:r>
              <w:rPr>
                <w:spacing w:val="-2"/>
              </w:rPr>
              <w:t>0.05L</w:t>
            </w:r>
          </w:p>
        </w:tc>
        <w:tc>
          <w:tcPr>
            <w:tcW w:w="894" w:type="dxa"/>
            <w:tcBorders>
              <w:right w:val="single" w:color="000000" w:sz="12" w:space="0"/>
            </w:tcBorders>
            <w:vAlign w:val="top"/>
          </w:tcPr>
          <w:p w14:paraId="6CBBC87F">
            <w:pPr>
              <w:pStyle w:val="6"/>
              <w:spacing w:before="82" w:line="185" w:lineRule="auto"/>
              <w:ind w:left="295"/>
            </w:pPr>
            <w:r>
              <w:rPr>
                <w:spacing w:val="-1"/>
              </w:rPr>
              <w:t>210</w:t>
            </w:r>
          </w:p>
        </w:tc>
      </w:tr>
      <w:tr w14:paraId="448EA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0833FE4D">
            <w:pPr>
              <w:rPr>
                <w:rFonts w:ascii="Arial"/>
                <w:sz w:val="21"/>
              </w:rPr>
            </w:pPr>
          </w:p>
        </w:tc>
        <w:tc>
          <w:tcPr>
            <w:tcW w:w="285" w:type="dxa"/>
            <w:vMerge w:val="continue"/>
            <w:tcBorders>
              <w:top w:val="nil"/>
              <w:bottom w:val="nil"/>
            </w:tcBorders>
            <w:vAlign w:val="top"/>
          </w:tcPr>
          <w:p w14:paraId="517FADCD">
            <w:pPr>
              <w:rPr>
                <w:rFonts w:ascii="Arial"/>
                <w:sz w:val="21"/>
              </w:rPr>
            </w:pPr>
          </w:p>
        </w:tc>
        <w:tc>
          <w:tcPr>
            <w:tcW w:w="1273" w:type="dxa"/>
            <w:vAlign w:val="top"/>
          </w:tcPr>
          <w:p w14:paraId="35FC5E83">
            <w:pPr>
              <w:pStyle w:val="6"/>
              <w:spacing w:before="83" w:line="184" w:lineRule="auto"/>
              <w:ind w:left="252"/>
            </w:pPr>
            <w:r>
              <w:rPr>
                <w:spacing w:val="-1"/>
              </w:rPr>
              <w:t>2021/6/4</w:t>
            </w:r>
          </w:p>
        </w:tc>
        <w:tc>
          <w:tcPr>
            <w:tcW w:w="880" w:type="dxa"/>
            <w:vAlign w:val="top"/>
          </w:tcPr>
          <w:p w14:paraId="02274B00">
            <w:pPr>
              <w:pStyle w:val="6"/>
              <w:spacing w:before="83" w:line="184" w:lineRule="auto"/>
              <w:ind w:left="267"/>
            </w:pPr>
            <w:r>
              <w:rPr>
                <w:spacing w:val="-6"/>
              </w:rPr>
              <w:t>15.8</w:t>
            </w:r>
          </w:p>
        </w:tc>
        <w:tc>
          <w:tcPr>
            <w:tcW w:w="880" w:type="dxa"/>
            <w:vAlign w:val="top"/>
          </w:tcPr>
          <w:p w14:paraId="600B12F9">
            <w:pPr>
              <w:pStyle w:val="6"/>
              <w:spacing w:before="83" w:line="184" w:lineRule="auto"/>
              <w:ind w:left="309"/>
            </w:pPr>
            <w:r>
              <w:rPr>
                <w:spacing w:val="-5"/>
              </w:rPr>
              <w:t>8.0</w:t>
            </w:r>
          </w:p>
        </w:tc>
        <w:tc>
          <w:tcPr>
            <w:tcW w:w="880" w:type="dxa"/>
            <w:vAlign w:val="top"/>
          </w:tcPr>
          <w:p w14:paraId="4E7992FE">
            <w:pPr>
              <w:pStyle w:val="6"/>
              <w:spacing w:before="83" w:line="184" w:lineRule="auto"/>
              <w:ind w:left="349"/>
            </w:pPr>
            <w:r>
              <w:rPr>
                <w:spacing w:val="-6"/>
              </w:rPr>
              <w:t>18</w:t>
            </w:r>
          </w:p>
        </w:tc>
        <w:tc>
          <w:tcPr>
            <w:tcW w:w="880" w:type="dxa"/>
            <w:vAlign w:val="top"/>
          </w:tcPr>
          <w:p w14:paraId="6159BE6E">
            <w:pPr>
              <w:pStyle w:val="6"/>
              <w:spacing w:before="83" w:line="184" w:lineRule="auto"/>
              <w:ind w:left="310"/>
            </w:pPr>
            <w:r>
              <w:rPr>
                <w:spacing w:val="-4"/>
              </w:rPr>
              <w:t>5.5</w:t>
            </w:r>
          </w:p>
        </w:tc>
        <w:tc>
          <w:tcPr>
            <w:tcW w:w="880" w:type="dxa"/>
            <w:vAlign w:val="top"/>
          </w:tcPr>
          <w:p w14:paraId="2CBF0505">
            <w:pPr>
              <w:pStyle w:val="6"/>
              <w:spacing w:before="83" w:line="184" w:lineRule="auto"/>
              <w:ind w:left="311"/>
            </w:pPr>
            <w:r>
              <w:rPr>
                <w:spacing w:val="-3"/>
              </w:rPr>
              <w:t>3.6</w:t>
            </w:r>
          </w:p>
        </w:tc>
        <w:tc>
          <w:tcPr>
            <w:tcW w:w="880" w:type="dxa"/>
            <w:vAlign w:val="top"/>
          </w:tcPr>
          <w:p w14:paraId="240EF333">
            <w:pPr>
              <w:pStyle w:val="6"/>
              <w:spacing w:before="83" w:line="184" w:lineRule="auto"/>
              <w:ind w:left="355"/>
            </w:pPr>
            <w:r>
              <w:rPr>
                <w:spacing w:val="-6"/>
              </w:rPr>
              <w:t>17</w:t>
            </w:r>
          </w:p>
        </w:tc>
        <w:tc>
          <w:tcPr>
            <w:tcW w:w="880" w:type="dxa"/>
            <w:vAlign w:val="top"/>
          </w:tcPr>
          <w:p w14:paraId="5E328196">
            <w:pPr>
              <w:pStyle w:val="6"/>
              <w:spacing w:before="83" w:line="184" w:lineRule="auto"/>
              <w:ind w:left="315"/>
            </w:pPr>
            <w:r>
              <w:rPr>
                <w:spacing w:val="-3"/>
              </w:rPr>
              <w:t>3.5</w:t>
            </w:r>
          </w:p>
        </w:tc>
        <w:tc>
          <w:tcPr>
            <w:tcW w:w="880" w:type="dxa"/>
            <w:vAlign w:val="top"/>
          </w:tcPr>
          <w:p w14:paraId="6F467B90">
            <w:pPr>
              <w:pStyle w:val="6"/>
              <w:spacing w:before="83" w:line="184" w:lineRule="auto"/>
              <w:ind w:left="212"/>
            </w:pPr>
            <w:r>
              <w:rPr>
                <w:spacing w:val="-2"/>
              </w:rPr>
              <w:t>0.897</w:t>
            </w:r>
          </w:p>
        </w:tc>
        <w:tc>
          <w:tcPr>
            <w:tcW w:w="880" w:type="dxa"/>
            <w:vAlign w:val="top"/>
          </w:tcPr>
          <w:p w14:paraId="6EA07D58">
            <w:pPr>
              <w:pStyle w:val="6"/>
              <w:spacing w:before="83" w:line="184" w:lineRule="auto"/>
              <w:ind w:left="266"/>
            </w:pPr>
            <w:r>
              <w:rPr>
                <w:spacing w:val="-2"/>
              </w:rPr>
              <w:t>0.03</w:t>
            </w:r>
          </w:p>
        </w:tc>
        <w:tc>
          <w:tcPr>
            <w:tcW w:w="880" w:type="dxa"/>
            <w:vAlign w:val="top"/>
          </w:tcPr>
          <w:p w14:paraId="3AC2F5EE">
            <w:pPr>
              <w:pStyle w:val="6"/>
              <w:spacing w:before="83" w:line="184" w:lineRule="auto"/>
              <w:ind w:left="268"/>
            </w:pPr>
            <w:r>
              <w:rPr>
                <w:spacing w:val="-2"/>
              </w:rPr>
              <w:t>0.03</w:t>
            </w:r>
          </w:p>
        </w:tc>
        <w:tc>
          <w:tcPr>
            <w:tcW w:w="881" w:type="dxa"/>
            <w:vAlign w:val="top"/>
          </w:tcPr>
          <w:p w14:paraId="162D7F23">
            <w:pPr>
              <w:pStyle w:val="6"/>
              <w:spacing w:before="83" w:line="184" w:lineRule="auto"/>
              <w:ind w:left="206"/>
            </w:pPr>
            <w:r>
              <w:rPr>
                <w:spacing w:val="-2"/>
              </w:rPr>
              <w:t>0.05L</w:t>
            </w:r>
          </w:p>
        </w:tc>
        <w:tc>
          <w:tcPr>
            <w:tcW w:w="894" w:type="dxa"/>
            <w:tcBorders>
              <w:right w:val="single" w:color="000000" w:sz="12" w:space="0"/>
            </w:tcBorders>
            <w:vAlign w:val="top"/>
          </w:tcPr>
          <w:p w14:paraId="772E6E17">
            <w:pPr>
              <w:pStyle w:val="6"/>
              <w:spacing w:before="83" w:line="184" w:lineRule="auto"/>
              <w:ind w:left="295"/>
            </w:pPr>
            <w:r>
              <w:rPr>
                <w:spacing w:val="-1"/>
              </w:rPr>
              <w:t>200</w:t>
            </w:r>
          </w:p>
        </w:tc>
      </w:tr>
      <w:tr w14:paraId="38AE8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35EB4A31">
            <w:pPr>
              <w:rPr>
                <w:rFonts w:ascii="Arial"/>
                <w:sz w:val="21"/>
              </w:rPr>
            </w:pPr>
          </w:p>
        </w:tc>
        <w:tc>
          <w:tcPr>
            <w:tcW w:w="285" w:type="dxa"/>
            <w:vMerge w:val="continue"/>
            <w:tcBorders>
              <w:top w:val="nil"/>
            </w:tcBorders>
            <w:vAlign w:val="top"/>
          </w:tcPr>
          <w:p w14:paraId="09937C51">
            <w:pPr>
              <w:rPr>
                <w:rFonts w:ascii="Arial"/>
                <w:sz w:val="21"/>
              </w:rPr>
            </w:pPr>
          </w:p>
        </w:tc>
        <w:tc>
          <w:tcPr>
            <w:tcW w:w="1273" w:type="dxa"/>
            <w:vAlign w:val="top"/>
          </w:tcPr>
          <w:p w14:paraId="111A7542">
            <w:pPr>
              <w:pStyle w:val="6"/>
              <w:spacing w:before="85" w:line="182" w:lineRule="auto"/>
              <w:ind w:left="252"/>
            </w:pPr>
            <w:r>
              <w:rPr>
                <w:spacing w:val="-1"/>
              </w:rPr>
              <w:t>2021/6/5</w:t>
            </w:r>
          </w:p>
        </w:tc>
        <w:tc>
          <w:tcPr>
            <w:tcW w:w="880" w:type="dxa"/>
            <w:vAlign w:val="top"/>
          </w:tcPr>
          <w:p w14:paraId="2588BEFB">
            <w:pPr>
              <w:pStyle w:val="6"/>
              <w:spacing w:before="85" w:line="182" w:lineRule="auto"/>
              <w:ind w:left="267"/>
            </w:pPr>
            <w:r>
              <w:rPr>
                <w:spacing w:val="-6"/>
              </w:rPr>
              <w:t>16.3</w:t>
            </w:r>
          </w:p>
        </w:tc>
        <w:tc>
          <w:tcPr>
            <w:tcW w:w="880" w:type="dxa"/>
            <w:vAlign w:val="top"/>
          </w:tcPr>
          <w:p w14:paraId="5ED111CF">
            <w:pPr>
              <w:pStyle w:val="6"/>
              <w:spacing w:before="85" w:line="182" w:lineRule="auto"/>
              <w:ind w:left="309"/>
            </w:pPr>
            <w:r>
              <w:rPr>
                <w:spacing w:val="-5"/>
              </w:rPr>
              <w:t>8.0</w:t>
            </w:r>
          </w:p>
        </w:tc>
        <w:tc>
          <w:tcPr>
            <w:tcW w:w="880" w:type="dxa"/>
            <w:vAlign w:val="top"/>
          </w:tcPr>
          <w:p w14:paraId="36122CD2">
            <w:pPr>
              <w:pStyle w:val="6"/>
              <w:spacing w:before="85" w:line="182" w:lineRule="auto"/>
              <w:ind w:left="329"/>
            </w:pPr>
            <w:r>
              <w:rPr>
                <w:spacing w:val="-1"/>
              </w:rPr>
              <w:t>21</w:t>
            </w:r>
          </w:p>
        </w:tc>
        <w:tc>
          <w:tcPr>
            <w:tcW w:w="880" w:type="dxa"/>
            <w:vAlign w:val="top"/>
          </w:tcPr>
          <w:p w14:paraId="74B83E71">
            <w:pPr>
              <w:pStyle w:val="6"/>
              <w:spacing w:before="85" w:line="182" w:lineRule="auto"/>
              <w:ind w:left="310"/>
            </w:pPr>
            <w:r>
              <w:rPr>
                <w:spacing w:val="-4"/>
              </w:rPr>
              <w:t>5.2</w:t>
            </w:r>
          </w:p>
        </w:tc>
        <w:tc>
          <w:tcPr>
            <w:tcW w:w="880" w:type="dxa"/>
            <w:vAlign w:val="top"/>
          </w:tcPr>
          <w:p w14:paraId="3D1036FC">
            <w:pPr>
              <w:pStyle w:val="6"/>
              <w:spacing w:before="85" w:line="182" w:lineRule="auto"/>
              <w:ind w:left="311"/>
            </w:pPr>
            <w:r>
              <w:rPr>
                <w:spacing w:val="-3"/>
              </w:rPr>
              <w:t>3.8</w:t>
            </w:r>
          </w:p>
        </w:tc>
        <w:tc>
          <w:tcPr>
            <w:tcW w:w="880" w:type="dxa"/>
            <w:vAlign w:val="top"/>
          </w:tcPr>
          <w:p w14:paraId="105EF394">
            <w:pPr>
              <w:pStyle w:val="6"/>
              <w:spacing w:before="85" w:line="182" w:lineRule="auto"/>
              <w:ind w:left="355"/>
            </w:pPr>
            <w:r>
              <w:rPr>
                <w:spacing w:val="-6"/>
              </w:rPr>
              <w:t>18</w:t>
            </w:r>
          </w:p>
        </w:tc>
        <w:tc>
          <w:tcPr>
            <w:tcW w:w="880" w:type="dxa"/>
            <w:vAlign w:val="top"/>
          </w:tcPr>
          <w:p w14:paraId="0A80B8D2">
            <w:pPr>
              <w:pStyle w:val="6"/>
              <w:spacing w:before="85" w:line="182" w:lineRule="auto"/>
              <w:ind w:left="315"/>
            </w:pPr>
            <w:r>
              <w:rPr>
                <w:spacing w:val="-3"/>
              </w:rPr>
              <w:t>3.8</w:t>
            </w:r>
          </w:p>
        </w:tc>
        <w:tc>
          <w:tcPr>
            <w:tcW w:w="880" w:type="dxa"/>
            <w:vAlign w:val="top"/>
          </w:tcPr>
          <w:p w14:paraId="5479F9A6">
            <w:pPr>
              <w:pStyle w:val="6"/>
              <w:spacing w:before="85" w:line="182" w:lineRule="auto"/>
              <w:ind w:left="212"/>
            </w:pPr>
            <w:r>
              <w:rPr>
                <w:spacing w:val="-2"/>
              </w:rPr>
              <w:t>0.914</w:t>
            </w:r>
          </w:p>
        </w:tc>
        <w:tc>
          <w:tcPr>
            <w:tcW w:w="880" w:type="dxa"/>
            <w:vAlign w:val="top"/>
          </w:tcPr>
          <w:p w14:paraId="3A575CC5">
            <w:pPr>
              <w:pStyle w:val="6"/>
              <w:spacing w:before="85" w:line="182" w:lineRule="auto"/>
              <w:ind w:left="266"/>
            </w:pPr>
            <w:r>
              <w:rPr>
                <w:spacing w:val="-2"/>
              </w:rPr>
              <w:t>0.04</w:t>
            </w:r>
          </w:p>
        </w:tc>
        <w:tc>
          <w:tcPr>
            <w:tcW w:w="880" w:type="dxa"/>
            <w:vAlign w:val="top"/>
          </w:tcPr>
          <w:p w14:paraId="160556C3">
            <w:pPr>
              <w:pStyle w:val="6"/>
              <w:spacing w:before="85" w:line="182" w:lineRule="auto"/>
              <w:ind w:left="268"/>
            </w:pPr>
            <w:r>
              <w:rPr>
                <w:spacing w:val="-2"/>
              </w:rPr>
              <w:t>0.03</w:t>
            </w:r>
          </w:p>
        </w:tc>
        <w:tc>
          <w:tcPr>
            <w:tcW w:w="881" w:type="dxa"/>
            <w:vAlign w:val="top"/>
          </w:tcPr>
          <w:p w14:paraId="47EDE5DF">
            <w:pPr>
              <w:pStyle w:val="6"/>
              <w:spacing w:before="85" w:line="182" w:lineRule="auto"/>
              <w:ind w:left="206"/>
            </w:pPr>
            <w:r>
              <w:rPr>
                <w:spacing w:val="-2"/>
              </w:rPr>
              <w:t>0.05L</w:t>
            </w:r>
          </w:p>
        </w:tc>
        <w:tc>
          <w:tcPr>
            <w:tcW w:w="894" w:type="dxa"/>
            <w:tcBorders>
              <w:right w:val="single" w:color="000000" w:sz="12" w:space="0"/>
            </w:tcBorders>
            <w:vAlign w:val="top"/>
          </w:tcPr>
          <w:p w14:paraId="5A2D9984">
            <w:pPr>
              <w:pStyle w:val="6"/>
              <w:spacing w:before="85" w:line="182" w:lineRule="auto"/>
              <w:ind w:left="295"/>
            </w:pPr>
            <w:r>
              <w:rPr>
                <w:spacing w:val="-1"/>
              </w:rPr>
              <w:t>220</w:t>
            </w:r>
          </w:p>
        </w:tc>
      </w:tr>
      <w:tr w14:paraId="39A74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73" w:type="dxa"/>
            <w:vMerge w:val="continue"/>
            <w:tcBorders>
              <w:top w:val="nil"/>
              <w:left w:val="single" w:color="000000" w:sz="12" w:space="0"/>
              <w:bottom w:val="nil"/>
            </w:tcBorders>
            <w:vAlign w:val="top"/>
          </w:tcPr>
          <w:p w14:paraId="1D3F7B76">
            <w:pPr>
              <w:rPr>
                <w:rFonts w:ascii="Arial"/>
                <w:sz w:val="21"/>
              </w:rPr>
            </w:pPr>
          </w:p>
        </w:tc>
        <w:tc>
          <w:tcPr>
            <w:tcW w:w="285" w:type="dxa"/>
            <w:vMerge w:val="restart"/>
            <w:tcBorders>
              <w:bottom w:val="nil"/>
            </w:tcBorders>
            <w:vAlign w:val="top"/>
          </w:tcPr>
          <w:p w14:paraId="0902BA55">
            <w:pPr>
              <w:pStyle w:val="6"/>
              <w:spacing w:before="105" w:line="222" w:lineRule="auto"/>
              <w:ind w:left="81"/>
            </w:pPr>
            <w:r>
              <w:t>3</w:t>
            </w:r>
          </w:p>
          <w:p w14:paraId="783D9064">
            <w:pPr>
              <w:spacing w:line="219" w:lineRule="auto"/>
              <w:ind w:left="29"/>
              <w:rPr>
                <w:rFonts w:ascii="宋体" w:hAnsi="宋体" w:eastAsia="宋体" w:cs="宋体"/>
                <w:sz w:val="21"/>
                <w:szCs w:val="21"/>
              </w:rPr>
            </w:pPr>
            <w:r>
              <w:rPr>
                <w:rFonts w:ascii="宋体" w:hAnsi="宋体" w:eastAsia="宋体" w:cs="宋体"/>
                <w:sz w:val="21"/>
                <w:szCs w:val="21"/>
              </w:rPr>
              <w:t>季</w:t>
            </w:r>
          </w:p>
          <w:p w14:paraId="01BA026B">
            <w:pPr>
              <w:spacing w:before="23" w:line="217"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53FA16BA">
            <w:pPr>
              <w:pStyle w:val="6"/>
              <w:spacing w:before="86" w:line="182" w:lineRule="auto"/>
              <w:ind w:left="199"/>
            </w:pPr>
            <w:r>
              <w:rPr>
                <w:spacing w:val="-1"/>
              </w:rPr>
              <w:t>2021/7/19</w:t>
            </w:r>
          </w:p>
        </w:tc>
        <w:tc>
          <w:tcPr>
            <w:tcW w:w="880" w:type="dxa"/>
            <w:vAlign w:val="top"/>
          </w:tcPr>
          <w:p w14:paraId="50F1F6AA">
            <w:pPr>
              <w:pStyle w:val="6"/>
              <w:spacing w:before="86" w:line="182" w:lineRule="auto"/>
              <w:ind w:left="267"/>
            </w:pPr>
            <w:r>
              <w:rPr>
                <w:spacing w:val="-6"/>
              </w:rPr>
              <w:t>18.5</w:t>
            </w:r>
          </w:p>
        </w:tc>
        <w:tc>
          <w:tcPr>
            <w:tcW w:w="880" w:type="dxa"/>
            <w:vAlign w:val="top"/>
          </w:tcPr>
          <w:p w14:paraId="1867C146">
            <w:pPr>
              <w:pStyle w:val="6"/>
              <w:spacing w:before="86" w:line="182" w:lineRule="auto"/>
              <w:ind w:left="304"/>
            </w:pPr>
            <w:r>
              <w:rPr>
                <w:spacing w:val="-3"/>
              </w:rPr>
              <w:t>7.8</w:t>
            </w:r>
          </w:p>
        </w:tc>
        <w:tc>
          <w:tcPr>
            <w:tcW w:w="880" w:type="dxa"/>
            <w:vAlign w:val="top"/>
          </w:tcPr>
          <w:p w14:paraId="5A264FB6">
            <w:pPr>
              <w:pStyle w:val="6"/>
              <w:spacing w:before="86" w:line="182" w:lineRule="auto"/>
              <w:ind w:left="386"/>
            </w:pPr>
            <w:r>
              <w:t>9</w:t>
            </w:r>
          </w:p>
        </w:tc>
        <w:tc>
          <w:tcPr>
            <w:tcW w:w="880" w:type="dxa"/>
            <w:vAlign w:val="top"/>
          </w:tcPr>
          <w:p w14:paraId="25C4F389">
            <w:pPr>
              <w:pStyle w:val="6"/>
              <w:spacing w:before="86" w:line="182" w:lineRule="auto"/>
              <w:ind w:left="310"/>
            </w:pPr>
            <w:r>
              <w:rPr>
                <w:spacing w:val="-4"/>
              </w:rPr>
              <w:t>5.6</w:t>
            </w:r>
          </w:p>
        </w:tc>
        <w:tc>
          <w:tcPr>
            <w:tcW w:w="880" w:type="dxa"/>
            <w:vAlign w:val="top"/>
          </w:tcPr>
          <w:p w14:paraId="0FB0AEA2">
            <w:pPr>
              <w:pStyle w:val="6"/>
              <w:spacing w:before="86" w:line="182" w:lineRule="auto"/>
              <w:ind w:left="313"/>
            </w:pPr>
            <w:r>
              <w:rPr>
                <w:spacing w:val="-4"/>
              </w:rPr>
              <w:t>5.4</w:t>
            </w:r>
          </w:p>
        </w:tc>
        <w:tc>
          <w:tcPr>
            <w:tcW w:w="880" w:type="dxa"/>
            <w:vAlign w:val="top"/>
          </w:tcPr>
          <w:p w14:paraId="535CEF54">
            <w:pPr>
              <w:pStyle w:val="6"/>
              <w:spacing w:before="86" w:line="182" w:lineRule="auto"/>
              <w:ind w:left="355"/>
            </w:pPr>
            <w:r>
              <w:rPr>
                <w:spacing w:val="-6"/>
              </w:rPr>
              <w:t>16</w:t>
            </w:r>
          </w:p>
        </w:tc>
        <w:tc>
          <w:tcPr>
            <w:tcW w:w="880" w:type="dxa"/>
            <w:vAlign w:val="top"/>
          </w:tcPr>
          <w:p w14:paraId="4520BAE1">
            <w:pPr>
              <w:pStyle w:val="6"/>
              <w:spacing w:before="86" w:line="182" w:lineRule="auto"/>
              <w:ind w:left="315"/>
            </w:pPr>
            <w:r>
              <w:rPr>
                <w:spacing w:val="-3"/>
              </w:rPr>
              <w:t>3.0</w:t>
            </w:r>
          </w:p>
        </w:tc>
        <w:tc>
          <w:tcPr>
            <w:tcW w:w="880" w:type="dxa"/>
            <w:vAlign w:val="top"/>
          </w:tcPr>
          <w:p w14:paraId="667D7220">
            <w:pPr>
              <w:pStyle w:val="6"/>
              <w:spacing w:before="86" w:line="182" w:lineRule="auto"/>
              <w:ind w:left="212"/>
            </w:pPr>
            <w:r>
              <w:rPr>
                <w:spacing w:val="-2"/>
              </w:rPr>
              <w:t>0.357</w:t>
            </w:r>
          </w:p>
        </w:tc>
        <w:tc>
          <w:tcPr>
            <w:tcW w:w="880" w:type="dxa"/>
            <w:vAlign w:val="top"/>
          </w:tcPr>
          <w:p w14:paraId="445DD36F">
            <w:pPr>
              <w:pStyle w:val="6"/>
              <w:spacing w:before="86" w:line="182" w:lineRule="auto"/>
              <w:ind w:left="266"/>
            </w:pPr>
            <w:r>
              <w:rPr>
                <w:spacing w:val="-2"/>
              </w:rPr>
              <w:t>0.03</w:t>
            </w:r>
          </w:p>
        </w:tc>
        <w:tc>
          <w:tcPr>
            <w:tcW w:w="880" w:type="dxa"/>
            <w:vAlign w:val="top"/>
          </w:tcPr>
          <w:p w14:paraId="4204335F">
            <w:pPr>
              <w:pStyle w:val="6"/>
              <w:spacing w:before="86" w:line="182" w:lineRule="auto"/>
              <w:ind w:left="268"/>
            </w:pPr>
            <w:r>
              <w:rPr>
                <w:spacing w:val="-2"/>
              </w:rPr>
              <w:t>0.04</w:t>
            </w:r>
          </w:p>
        </w:tc>
        <w:tc>
          <w:tcPr>
            <w:tcW w:w="881" w:type="dxa"/>
            <w:vAlign w:val="top"/>
          </w:tcPr>
          <w:p w14:paraId="12A70D3C">
            <w:pPr>
              <w:pStyle w:val="6"/>
              <w:spacing w:before="86" w:line="182" w:lineRule="auto"/>
              <w:ind w:left="218"/>
            </w:pPr>
            <w:r>
              <w:rPr>
                <w:spacing w:val="-2"/>
              </w:rPr>
              <w:t>0.176</w:t>
            </w:r>
          </w:p>
        </w:tc>
        <w:tc>
          <w:tcPr>
            <w:tcW w:w="894" w:type="dxa"/>
            <w:tcBorders>
              <w:right w:val="single" w:color="000000" w:sz="12" w:space="0"/>
            </w:tcBorders>
            <w:vAlign w:val="top"/>
          </w:tcPr>
          <w:p w14:paraId="64EBD140">
            <w:pPr>
              <w:pStyle w:val="6"/>
              <w:spacing w:before="86" w:line="182" w:lineRule="auto"/>
              <w:ind w:left="315"/>
            </w:pPr>
            <w:r>
              <w:rPr>
                <w:spacing w:val="-6"/>
              </w:rPr>
              <w:t>140</w:t>
            </w:r>
          </w:p>
        </w:tc>
      </w:tr>
      <w:tr w14:paraId="7A233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2E59245">
            <w:pPr>
              <w:rPr>
                <w:rFonts w:ascii="Arial"/>
                <w:sz w:val="21"/>
              </w:rPr>
            </w:pPr>
          </w:p>
        </w:tc>
        <w:tc>
          <w:tcPr>
            <w:tcW w:w="285" w:type="dxa"/>
            <w:vMerge w:val="continue"/>
            <w:tcBorders>
              <w:top w:val="nil"/>
              <w:bottom w:val="nil"/>
            </w:tcBorders>
            <w:vAlign w:val="top"/>
          </w:tcPr>
          <w:p w14:paraId="257260EB">
            <w:pPr>
              <w:rPr>
                <w:rFonts w:ascii="Arial"/>
                <w:sz w:val="21"/>
              </w:rPr>
            </w:pPr>
          </w:p>
        </w:tc>
        <w:tc>
          <w:tcPr>
            <w:tcW w:w="1273" w:type="dxa"/>
            <w:vAlign w:val="top"/>
          </w:tcPr>
          <w:p w14:paraId="67DB81AB">
            <w:pPr>
              <w:pStyle w:val="6"/>
              <w:spacing w:before="87" w:line="180" w:lineRule="auto"/>
              <w:ind w:left="199"/>
            </w:pPr>
            <w:r>
              <w:rPr>
                <w:spacing w:val="-1"/>
              </w:rPr>
              <w:t>2021/7/20</w:t>
            </w:r>
          </w:p>
        </w:tc>
        <w:tc>
          <w:tcPr>
            <w:tcW w:w="880" w:type="dxa"/>
            <w:vAlign w:val="top"/>
          </w:tcPr>
          <w:p w14:paraId="01F397F0">
            <w:pPr>
              <w:pStyle w:val="6"/>
              <w:spacing w:before="87" w:line="180" w:lineRule="auto"/>
              <w:ind w:left="267"/>
            </w:pPr>
            <w:r>
              <w:rPr>
                <w:spacing w:val="-6"/>
              </w:rPr>
              <w:t>18.3</w:t>
            </w:r>
          </w:p>
        </w:tc>
        <w:tc>
          <w:tcPr>
            <w:tcW w:w="880" w:type="dxa"/>
            <w:vAlign w:val="top"/>
          </w:tcPr>
          <w:p w14:paraId="4C59C9C9">
            <w:pPr>
              <w:pStyle w:val="6"/>
              <w:spacing w:before="87" w:line="180" w:lineRule="auto"/>
              <w:ind w:left="304"/>
            </w:pPr>
            <w:r>
              <w:rPr>
                <w:spacing w:val="-3"/>
              </w:rPr>
              <w:t>7.9</w:t>
            </w:r>
          </w:p>
        </w:tc>
        <w:tc>
          <w:tcPr>
            <w:tcW w:w="880" w:type="dxa"/>
            <w:vAlign w:val="top"/>
          </w:tcPr>
          <w:p w14:paraId="727DE1C2">
            <w:pPr>
              <w:pStyle w:val="6"/>
              <w:spacing w:before="87" w:line="180" w:lineRule="auto"/>
              <w:ind w:left="349"/>
            </w:pPr>
            <w:r>
              <w:rPr>
                <w:spacing w:val="-6"/>
              </w:rPr>
              <w:t>12</w:t>
            </w:r>
          </w:p>
        </w:tc>
        <w:tc>
          <w:tcPr>
            <w:tcW w:w="880" w:type="dxa"/>
            <w:vAlign w:val="top"/>
          </w:tcPr>
          <w:p w14:paraId="4C8346BB">
            <w:pPr>
              <w:pStyle w:val="6"/>
              <w:spacing w:before="87" w:line="180" w:lineRule="auto"/>
              <w:ind w:left="310"/>
            </w:pPr>
            <w:r>
              <w:rPr>
                <w:spacing w:val="-4"/>
              </w:rPr>
              <w:t>5.3</w:t>
            </w:r>
          </w:p>
        </w:tc>
        <w:tc>
          <w:tcPr>
            <w:tcW w:w="880" w:type="dxa"/>
            <w:vAlign w:val="top"/>
          </w:tcPr>
          <w:p w14:paraId="40F4C748">
            <w:pPr>
              <w:pStyle w:val="6"/>
              <w:spacing w:before="87" w:line="180" w:lineRule="auto"/>
              <w:ind w:left="313"/>
            </w:pPr>
            <w:r>
              <w:rPr>
                <w:spacing w:val="-4"/>
              </w:rPr>
              <w:t>5.8</w:t>
            </w:r>
          </w:p>
        </w:tc>
        <w:tc>
          <w:tcPr>
            <w:tcW w:w="880" w:type="dxa"/>
            <w:vAlign w:val="top"/>
          </w:tcPr>
          <w:p w14:paraId="69378510">
            <w:pPr>
              <w:pStyle w:val="6"/>
              <w:spacing w:before="87" w:line="180" w:lineRule="auto"/>
              <w:ind w:left="355"/>
            </w:pPr>
            <w:r>
              <w:rPr>
                <w:spacing w:val="-6"/>
              </w:rPr>
              <w:t>19</w:t>
            </w:r>
          </w:p>
        </w:tc>
        <w:tc>
          <w:tcPr>
            <w:tcW w:w="880" w:type="dxa"/>
            <w:vAlign w:val="top"/>
          </w:tcPr>
          <w:p w14:paraId="52A05915">
            <w:pPr>
              <w:pStyle w:val="6"/>
              <w:spacing w:before="87" w:line="180" w:lineRule="auto"/>
              <w:ind w:left="315"/>
            </w:pPr>
            <w:r>
              <w:rPr>
                <w:spacing w:val="-3"/>
              </w:rPr>
              <w:t>3.6</w:t>
            </w:r>
          </w:p>
        </w:tc>
        <w:tc>
          <w:tcPr>
            <w:tcW w:w="880" w:type="dxa"/>
            <w:vAlign w:val="top"/>
          </w:tcPr>
          <w:p w14:paraId="313F0722">
            <w:pPr>
              <w:pStyle w:val="6"/>
              <w:spacing w:before="87" w:line="180" w:lineRule="auto"/>
              <w:ind w:left="212"/>
            </w:pPr>
            <w:r>
              <w:rPr>
                <w:spacing w:val="-2"/>
              </w:rPr>
              <w:t>0.351</w:t>
            </w:r>
          </w:p>
        </w:tc>
        <w:tc>
          <w:tcPr>
            <w:tcW w:w="880" w:type="dxa"/>
            <w:vAlign w:val="top"/>
          </w:tcPr>
          <w:p w14:paraId="36002C47">
            <w:pPr>
              <w:pStyle w:val="6"/>
              <w:spacing w:before="87" w:line="180" w:lineRule="auto"/>
              <w:ind w:left="266"/>
            </w:pPr>
            <w:r>
              <w:rPr>
                <w:spacing w:val="-2"/>
              </w:rPr>
              <w:t>0.04</w:t>
            </w:r>
          </w:p>
        </w:tc>
        <w:tc>
          <w:tcPr>
            <w:tcW w:w="880" w:type="dxa"/>
            <w:vAlign w:val="top"/>
          </w:tcPr>
          <w:p w14:paraId="70556AD2">
            <w:pPr>
              <w:pStyle w:val="6"/>
              <w:spacing w:before="87" w:line="180" w:lineRule="auto"/>
              <w:ind w:left="268"/>
            </w:pPr>
            <w:r>
              <w:rPr>
                <w:spacing w:val="-2"/>
              </w:rPr>
              <w:t>0.04</w:t>
            </w:r>
          </w:p>
        </w:tc>
        <w:tc>
          <w:tcPr>
            <w:tcW w:w="881" w:type="dxa"/>
            <w:vAlign w:val="top"/>
          </w:tcPr>
          <w:p w14:paraId="37B99050">
            <w:pPr>
              <w:pStyle w:val="6"/>
              <w:spacing w:before="87" w:line="180" w:lineRule="auto"/>
              <w:ind w:left="218"/>
            </w:pPr>
            <w:r>
              <w:rPr>
                <w:spacing w:val="-2"/>
              </w:rPr>
              <w:t>0.172</w:t>
            </w:r>
          </w:p>
        </w:tc>
        <w:tc>
          <w:tcPr>
            <w:tcW w:w="894" w:type="dxa"/>
            <w:tcBorders>
              <w:right w:val="single" w:color="000000" w:sz="12" w:space="0"/>
            </w:tcBorders>
            <w:vAlign w:val="top"/>
          </w:tcPr>
          <w:p w14:paraId="7282ECFF">
            <w:pPr>
              <w:pStyle w:val="6"/>
              <w:spacing w:before="87" w:line="180" w:lineRule="auto"/>
              <w:ind w:left="315"/>
            </w:pPr>
            <w:r>
              <w:rPr>
                <w:spacing w:val="-6"/>
              </w:rPr>
              <w:t>120</w:t>
            </w:r>
          </w:p>
        </w:tc>
      </w:tr>
      <w:tr w14:paraId="7EC5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18B68529">
            <w:pPr>
              <w:rPr>
                <w:rFonts w:ascii="Arial"/>
                <w:sz w:val="21"/>
              </w:rPr>
            </w:pPr>
          </w:p>
        </w:tc>
        <w:tc>
          <w:tcPr>
            <w:tcW w:w="285" w:type="dxa"/>
            <w:vMerge w:val="continue"/>
            <w:tcBorders>
              <w:top w:val="nil"/>
            </w:tcBorders>
            <w:vAlign w:val="top"/>
          </w:tcPr>
          <w:p w14:paraId="7FF645CC">
            <w:pPr>
              <w:rPr>
                <w:rFonts w:ascii="Arial"/>
                <w:sz w:val="21"/>
              </w:rPr>
            </w:pPr>
          </w:p>
        </w:tc>
        <w:tc>
          <w:tcPr>
            <w:tcW w:w="1273" w:type="dxa"/>
            <w:vAlign w:val="top"/>
          </w:tcPr>
          <w:p w14:paraId="231FEDFF">
            <w:pPr>
              <w:pStyle w:val="6"/>
              <w:spacing w:before="88" w:line="179" w:lineRule="auto"/>
              <w:ind w:left="199"/>
            </w:pPr>
            <w:r>
              <w:rPr>
                <w:spacing w:val="-1"/>
              </w:rPr>
              <w:t>2021/7/21</w:t>
            </w:r>
          </w:p>
        </w:tc>
        <w:tc>
          <w:tcPr>
            <w:tcW w:w="880" w:type="dxa"/>
            <w:vAlign w:val="top"/>
          </w:tcPr>
          <w:p w14:paraId="77E5B510">
            <w:pPr>
              <w:pStyle w:val="6"/>
              <w:spacing w:before="88" w:line="179" w:lineRule="auto"/>
              <w:ind w:left="267"/>
            </w:pPr>
            <w:r>
              <w:rPr>
                <w:spacing w:val="-6"/>
              </w:rPr>
              <w:t>17.9</w:t>
            </w:r>
          </w:p>
        </w:tc>
        <w:tc>
          <w:tcPr>
            <w:tcW w:w="880" w:type="dxa"/>
            <w:vAlign w:val="top"/>
          </w:tcPr>
          <w:p w14:paraId="257A9EA7">
            <w:pPr>
              <w:pStyle w:val="6"/>
              <w:spacing w:before="88" w:line="179" w:lineRule="auto"/>
              <w:ind w:left="304"/>
            </w:pPr>
            <w:r>
              <w:rPr>
                <w:spacing w:val="-3"/>
              </w:rPr>
              <w:t>7.9</w:t>
            </w:r>
          </w:p>
        </w:tc>
        <w:tc>
          <w:tcPr>
            <w:tcW w:w="880" w:type="dxa"/>
            <w:vAlign w:val="top"/>
          </w:tcPr>
          <w:p w14:paraId="187092F9">
            <w:pPr>
              <w:pStyle w:val="6"/>
              <w:spacing w:before="88" w:line="179" w:lineRule="auto"/>
              <w:ind w:left="349"/>
            </w:pPr>
            <w:r>
              <w:rPr>
                <w:spacing w:val="-6"/>
              </w:rPr>
              <w:t>10</w:t>
            </w:r>
          </w:p>
        </w:tc>
        <w:tc>
          <w:tcPr>
            <w:tcW w:w="880" w:type="dxa"/>
            <w:vAlign w:val="top"/>
          </w:tcPr>
          <w:p w14:paraId="0FD48000">
            <w:pPr>
              <w:pStyle w:val="6"/>
              <w:spacing w:before="88" w:line="179" w:lineRule="auto"/>
              <w:ind w:left="310"/>
            </w:pPr>
            <w:r>
              <w:rPr>
                <w:spacing w:val="-4"/>
              </w:rPr>
              <w:t>5.8</w:t>
            </w:r>
          </w:p>
        </w:tc>
        <w:tc>
          <w:tcPr>
            <w:tcW w:w="880" w:type="dxa"/>
            <w:vAlign w:val="top"/>
          </w:tcPr>
          <w:p w14:paraId="0C3B7D7A">
            <w:pPr>
              <w:pStyle w:val="6"/>
              <w:spacing w:before="88" w:line="179" w:lineRule="auto"/>
              <w:ind w:left="313"/>
            </w:pPr>
            <w:r>
              <w:rPr>
                <w:spacing w:val="-4"/>
              </w:rPr>
              <w:t>5.2</w:t>
            </w:r>
          </w:p>
        </w:tc>
        <w:tc>
          <w:tcPr>
            <w:tcW w:w="880" w:type="dxa"/>
            <w:vAlign w:val="top"/>
          </w:tcPr>
          <w:p w14:paraId="11A27BB4">
            <w:pPr>
              <w:pStyle w:val="6"/>
              <w:spacing w:before="88" w:line="179" w:lineRule="auto"/>
              <w:ind w:left="355"/>
            </w:pPr>
            <w:r>
              <w:rPr>
                <w:spacing w:val="-6"/>
              </w:rPr>
              <w:t>17</w:t>
            </w:r>
          </w:p>
        </w:tc>
        <w:tc>
          <w:tcPr>
            <w:tcW w:w="880" w:type="dxa"/>
            <w:vAlign w:val="top"/>
          </w:tcPr>
          <w:p w14:paraId="36E2A650">
            <w:pPr>
              <w:pStyle w:val="6"/>
              <w:spacing w:before="88" w:line="179" w:lineRule="auto"/>
              <w:ind w:left="315"/>
            </w:pPr>
            <w:r>
              <w:rPr>
                <w:spacing w:val="-3"/>
              </w:rPr>
              <w:t>3.2</w:t>
            </w:r>
          </w:p>
        </w:tc>
        <w:tc>
          <w:tcPr>
            <w:tcW w:w="880" w:type="dxa"/>
            <w:vAlign w:val="top"/>
          </w:tcPr>
          <w:p w14:paraId="672C795D">
            <w:pPr>
              <w:pStyle w:val="6"/>
              <w:spacing w:before="88" w:line="179" w:lineRule="auto"/>
              <w:ind w:left="212"/>
            </w:pPr>
            <w:r>
              <w:rPr>
                <w:spacing w:val="-2"/>
              </w:rPr>
              <w:t>0.364</w:t>
            </w:r>
          </w:p>
        </w:tc>
        <w:tc>
          <w:tcPr>
            <w:tcW w:w="880" w:type="dxa"/>
            <w:vAlign w:val="top"/>
          </w:tcPr>
          <w:p w14:paraId="3223DEC9">
            <w:pPr>
              <w:pStyle w:val="6"/>
              <w:spacing w:before="88" w:line="179" w:lineRule="auto"/>
              <w:ind w:left="266"/>
            </w:pPr>
            <w:r>
              <w:rPr>
                <w:spacing w:val="-2"/>
              </w:rPr>
              <w:t>0.04</w:t>
            </w:r>
          </w:p>
        </w:tc>
        <w:tc>
          <w:tcPr>
            <w:tcW w:w="880" w:type="dxa"/>
            <w:vAlign w:val="top"/>
          </w:tcPr>
          <w:p w14:paraId="111ED3CF">
            <w:pPr>
              <w:pStyle w:val="6"/>
              <w:spacing w:before="88" w:line="179" w:lineRule="auto"/>
              <w:ind w:left="268"/>
            </w:pPr>
            <w:r>
              <w:rPr>
                <w:spacing w:val="-2"/>
              </w:rPr>
              <w:t>0.03</w:t>
            </w:r>
          </w:p>
        </w:tc>
        <w:tc>
          <w:tcPr>
            <w:tcW w:w="881" w:type="dxa"/>
            <w:vAlign w:val="top"/>
          </w:tcPr>
          <w:p w14:paraId="2646A3CF">
            <w:pPr>
              <w:pStyle w:val="6"/>
              <w:spacing w:before="88" w:line="179" w:lineRule="auto"/>
              <w:ind w:left="218"/>
            </w:pPr>
            <w:r>
              <w:rPr>
                <w:spacing w:val="-2"/>
              </w:rPr>
              <w:t>0.168</w:t>
            </w:r>
          </w:p>
        </w:tc>
        <w:tc>
          <w:tcPr>
            <w:tcW w:w="894" w:type="dxa"/>
            <w:tcBorders>
              <w:right w:val="single" w:color="000000" w:sz="12" w:space="0"/>
            </w:tcBorders>
            <w:vAlign w:val="top"/>
          </w:tcPr>
          <w:p w14:paraId="1D8C7E20">
            <w:pPr>
              <w:pStyle w:val="6"/>
              <w:spacing w:before="88" w:line="179" w:lineRule="auto"/>
              <w:ind w:left="315"/>
            </w:pPr>
            <w:r>
              <w:rPr>
                <w:spacing w:val="-6"/>
              </w:rPr>
              <w:t>110</w:t>
            </w:r>
          </w:p>
        </w:tc>
      </w:tr>
      <w:tr w14:paraId="30158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47560468">
            <w:pPr>
              <w:rPr>
                <w:rFonts w:ascii="Arial"/>
                <w:sz w:val="21"/>
              </w:rPr>
            </w:pPr>
          </w:p>
        </w:tc>
        <w:tc>
          <w:tcPr>
            <w:tcW w:w="285" w:type="dxa"/>
            <w:vMerge w:val="restart"/>
            <w:tcBorders>
              <w:bottom w:val="nil"/>
            </w:tcBorders>
            <w:vAlign w:val="top"/>
          </w:tcPr>
          <w:p w14:paraId="7C097EB0">
            <w:pPr>
              <w:pStyle w:val="6"/>
              <w:spacing w:before="108" w:line="222" w:lineRule="auto"/>
              <w:ind w:left="76"/>
            </w:pPr>
            <w:r>
              <w:t>4</w:t>
            </w:r>
          </w:p>
          <w:p w14:paraId="0C0271AC">
            <w:pPr>
              <w:spacing w:line="219" w:lineRule="auto"/>
              <w:ind w:left="29"/>
              <w:rPr>
                <w:rFonts w:ascii="宋体" w:hAnsi="宋体" w:eastAsia="宋体" w:cs="宋体"/>
                <w:sz w:val="21"/>
                <w:szCs w:val="21"/>
              </w:rPr>
            </w:pPr>
            <w:r>
              <w:rPr>
                <w:rFonts w:ascii="宋体" w:hAnsi="宋体" w:eastAsia="宋体" w:cs="宋体"/>
                <w:sz w:val="21"/>
                <w:szCs w:val="21"/>
              </w:rPr>
              <w:t>季</w:t>
            </w:r>
          </w:p>
          <w:p w14:paraId="4AE78FE2">
            <w:pPr>
              <w:spacing w:before="22" w:line="220" w:lineRule="auto"/>
              <w:ind w:left="27"/>
              <w:rPr>
                <w:rFonts w:ascii="宋体" w:hAnsi="宋体" w:eastAsia="宋体" w:cs="宋体"/>
                <w:sz w:val="21"/>
                <w:szCs w:val="21"/>
              </w:rPr>
            </w:pPr>
            <w:r>
              <w:rPr>
                <w:rFonts w:ascii="宋体" w:hAnsi="宋体" w:eastAsia="宋体" w:cs="宋体"/>
                <w:sz w:val="21"/>
                <w:szCs w:val="21"/>
              </w:rPr>
              <w:t>度</w:t>
            </w:r>
          </w:p>
        </w:tc>
        <w:tc>
          <w:tcPr>
            <w:tcW w:w="1273" w:type="dxa"/>
            <w:vAlign w:val="top"/>
          </w:tcPr>
          <w:p w14:paraId="6AE195C6">
            <w:pPr>
              <w:pStyle w:val="6"/>
              <w:spacing w:before="90" w:line="177" w:lineRule="auto"/>
              <w:ind w:left="147"/>
            </w:pPr>
            <w:r>
              <w:rPr>
                <w:spacing w:val="-1"/>
              </w:rPr>
              <w:t>2021/11/28</w:t>
            </w:r>
          </w:p>
        </w:tc>
        <w:tc>
          <w:tcPr>
            <w:tcW w:w="880" w:type="dxa"/>
            <w:vAlign w:val="top"/>
          </w:tcPr>
          <w:p w14:paraId="50CE15FC">
            <w:pPr>
              <w:pStyle w:val="6"/>
              <w:spacing w:before="90" w:line="177" w:lineRule="auto"/>
              <w:ind w:left="267"/>
            </w:pPr>
            <w:r>
              <w:rPr>
                <w:spacing w:val="-6"/>
              </w:rPr>
              <w:t>16.3</w:t>
            </w:r>
          </w:p>
        </w:tc>
        <w:tc>
          <w:tcPr>
            <w:tcW w:w="880" w:type="dxa"/>
            <w:vAlign w:val="top"/>
          </w:tcPr>
          <w:p w14:paraId="68577CAE">
            <w:pPr>
              <w:pStyle w:val="6"/>
              <w:spacing w:before="90" w:line="177" w:lineRule="auto"/>
              <w:ind w:left="304"/>
            </w:pPr>
            <w:r>
              <w:rPr>
                <w:spacing w:val="-3"/>
              </w:rPr>
              <w:t>7.7</w:t>
            </w:r>
          </w:p>
        </w:tc>
        <w:tc>
          <w:tcPr>
            <w:tcW w:w="880" w:type="dxa"/>
            <w:vAlign w:val="top"/>
          </w:tcPr>
          <w:p w14:paraId="7369E8BD">
            <w:pPr>
              <w:pStyle w:val="6"/>
              <w:spacing w:before="93" w:line="174" w:lineRule="auto"/>
              <w:ind w:left="317"/>
            </w:pPr>
            <w:r>
              <w:rPr>
                <w:spacing w:val="-1"/>
              </w:rPr>
              <w:t>4L</w:t>
            </w:r>
          </w:p>
        </w:tc>
        <w:tc>
          <w:tcPr>
            <w:tcW w:w="880" w:type="dxa"/>
            <w:vAlign w:val="top"/>
          </w:tcPr>
          <w:p w14:paraId="2E1CFCCE">
            <w:pPr>
              <w:pStyle w:val="6"/>
              <w:spacing w:before="90" w:line="177" w:lineRule="auto"/>
              <w:ind w:left="313"/>
            </w:pPr>
            <w:r>
              <w:rPr>
                <w:spacing w:val="-5"/>
              </w:rPr>
              <w:t>8.1</w:t>
            </w:r>
          </w:p>
        </w:tc>
        <w:tc>
          <w:tcPr>
            <w:tcW w:w="880" w:type="dxa"/>
            <w:vAlign w:val="top"/>
          </w:tcPr>
          <w:p w14:paraId="4CC6736E">
            <w:pPr>
              <w:pStyle w:val="6"/>
              <w:spacing w:before="90" w:line="177" w:lineRule="auto"/>
              <w:ind w:left="306"/>
            </w:pPr>
            <w:r>
              <w:rPr>
                <w:spacing w:val="-1"/>
              </w:rPr>
              <w:t>4.4</w:t>
            </w:r>
          </w:p>
        </w:tc>
        <w:tc>
          <w:tcPr>
            <w:tcW w:w="880" w:type="dxa"/>
            <w:vAlign w:val="top"/>
          </w:tcPr>
          <w:p w14:paraId="1E756F26">
            <w:pPr>
              <w:pStyle w:val="6"/>
              <w:spacing w:before="90" w:line="177" w:lineRule="auto"/>
              <w:ind w:left="355"/>
            </w:pPr>
            <w:r>
              <w:rPr>
                <w:spacing w:val="-6"/>
              </w:rPr>
              <w:t>16</w:t>
            </w:r>
          </w:p>
        </w:tc>
        <w:tc>
          <w:tcPr>
            <w:tcW w:w="880" w:type="dxa"/>
            <w:vAlign w:val="top"/>
          </w:tcPr>
          <w:p w14:paraId="026A8A2C">
            <w:pPr>
              <w:pStyle w:val="6"/>
              <w:spacing w:before="90" w:line="177" w:lineRule="auto"/>
              <w:ind w:left="315"/>
            </w:pPr>
            <w:r>
              <w:rPr>
                <w:spacing w:val="-3"/>
              </w:rPr>
              <w:t>3.2</w:t>
            </w:r>
          </w:p>
        </w:tc>
        <w:tc>
          <w:tcPr>
            <w:tcW w:w="880" w:type="dxa"/>
            <w:vAlign w:val="top"/>
          </w:tcPr>
          <w:p w14:paraId="411DA387">
            <w:pPr>
              <w:pStyle w:val="6"/>
              <w:spacing w:before="90" w:line="177" w:lineRule="auto"/>
              <w:ind w:left="212"/>
            </w:pPr>
            <w:r>
              <w:rPr>
                <w:spacing w:val="-2"/>
              </w:rPr>
              <w:t>0.335</w:t>
            </w:r>
          </w:p>
        </w:tc>
        <w:tc>
          <w:tcPr>
            <w:tcW w:w="880" w:type="dxa"/>
            <w:vAlign w:val="top"/>
          </w:tcPr>
          <w:p w14:paraId="6429EC90">
            <w:pPr>
              <w:pStyle w:val="6"/>
              <w:spacing w:before="90" w:line="177" w:lineRule="auto"/>
              <w:ind w:left="266"/>
            </w:pPr>
            <w:r>
              <w:rPr>
                <w:spacing w:val="-2"/>
              </w:rPr>
              <w:t>0.04</w:t>
            </w:r>
          </w:p>
        </w:tc>
        <w:tc>
          <w:tcPr>
            <w:tcW w:w="880" w:type="dxa"/>
            <w:vAlign w:val="top"/>
          </w:tcPr>
          <w:p w14:paraId="2FE009DD">
            <w:pPr>
              <w:pStyle w:val="6"/>
              <w:spacing w:before="90" w:line="177" w:lineRule="auto"/>
              <w:ind w:left="268"/>
            </w:pPr>
            <w:r>
              <w:rPr>
                <w:spacing w:val="-2"/>
              </w:rPr>
              <w:t>0.04</w:t>
            </w:r>
          </w:p>
        </w:tc>
        <w:tc>
          <w:tcPr>
            <w:tcW w:w="881" w:type="dxa"/>
            <w:vAlign w:val="top"/>
          </w:tcPr>
          <w:p w14:paraId="343D9F67">
            <w:pPr>
              <w:pStyle w:val="6"/>
              <w:spacing w:before="90" w:line="177" w:lineRule="auto"/>
              <w:ind w:left="206"/>
            </w:pPr>
            <w:r>
              <w:rPr>
                <w:spacing w:val="-2"/>
              </w:rPr>
              <w:t>0.05L</w:t>
            </w:r>
          </w:p>
        </w:tc>
        <w:tc>
          <w:tcPr>
            <w:tcW w:w="894" w:type="dxa"/>
            <w:tcBorders>
              <w:right w:val="single" w:color="000000" w:sz="12" w:space="0"/>
            </w:tcBorders>
            <w:vAlign w:val="top"/>
          </w:tcPr>
          <w:p w14:paraId="14B72E92">
            <w:pPr>
              <w:pStyle w:val="6"/>
              <w:spacing w:before="90" w:line="177" w:lineRule="auto"/>
              <w:ind w:left="351"/>
            </w:pPr>
            <w:r>
              <w:rPr>
                <w:spacing w:val="-2"/>
              </w:rPr>
              <w:t>90</w:t>
            </w:r>
          </w:p>
        </w:tc>
      </w:tr>
      <w:tr w14:paraId="73C58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273" w:type="dxa"/>
            <w:vMerge w:val="continue"/>
            <w:tcBorders>
              <w:top w:val="nil"/>
              <w:left w:val="single" w:color="000000" w:sz="12" w:space="0"/>
              <w:bottom w:val="nil"/>
            </w:tcBorders>
            <w:vAlign w:val="top"/>
          </w:tcPr>
          <w:p w14:paraId="789BA7F3">
            <w:pPr>
              <w:rPr>
                <w:rFonts w:ascii="Arial"/>
                <w:sz w:val="21"/>
              </w:rPr>
            </w:pPr>
          </w:p>
        </w:tc>
        <w:tc>
          <w:tcPr>
            <w:tcW w:w="285" w:type="dxa"/>
            <w:vMerge w:val="continue"/>
            <w:tcBorders>
              <w:top w:val="nil"/>
              <w:bottom w:val="nil"/>
            </w:tcBorders>
            <w:vAlign w:val="top"/>
          </w:tcPr>
          <w:p w14:paraId="182F0D3B">
            <w:pPr>
              <w:rPr>
                <w:rFonts w:ascii="Arial"/>
                <w:sz w:val="21"/>
              </w:rPr>
            </w:pPr>
          </w:p>
        </w:tc>
        <w:tc>
          <w:tcPr>
            <w:tcW w:w="1273" w:type="dxa"/>
            <w:vAlign w:val="top"/>
          </w:tcPr>
          <w:p w14:paraId="48EE00AF">
            <w:pPr>
              <w:pStyle w:val="6"/>
              <w:spacing w:before="91" w:line="176" w:lineRule="auto"/>
              <w:ind w:left="147"/>
            </w:pPr>
            <w:r>
              <w:rPr>
                <w:spacing w:val="-1"/>
              </w:rPr>
              <w:t>2021/11/29</w:t>
            </w:r>
          </w:p>
        </w:tc>
        <w:tc>
          <w:tcPr>
            <w:tcW w:w="880" w:type="dxa"/>
            <w:vAlign w:val="top"/>
          </w:tcPr>
          <w:p w14:paraId="6900E769">
            <w:pPr>
              <w:pStyle w:val="6"/>
              <w:spacing w:before="91" w:line="176" w:lineRule="auto"/>
              <w:ind w:left="267"/>
            </w:pPr>
            <w:r>
              <w:rPr>
                <w:spacing w:val="-6"/>
              </w:rPr>
              <w:t>15.9</w:t>
            </w:r>
          </w:p>
        </w:tc>
        <w:tc>
          <w:tcPr>
            <w:tcW w:w="880" w:type="dxa"/>
            <w:vAlign w:val="top"/>
          </w:tcPr>
          <w:p w14:paraId="3F3432FB">
            <w:pPr>
              <w:pStyle w:val="6"/>
              <w:spacing w:before="91" w:line="176" w:lineRule="auto"/>
              <w:ind w:left="304"/>
            </w:pPr>
            <w:r>
              <w:rPr>
                <w:spacing w:val="-3"/>
              </w:rPr>
              <w:t>7.8</w:t>
            </w:r>
          </w:p>
        </w:tc>
        <w:tc>
          <w:tcPr>
            <w:tcW w:w="880" w:type="dxa"/>
            <w:vAlign w:val="top"/>
          </w:tcPr>
          <w:p w14:paraId="5DE4AA0F">
            <w:pPr>
              <w:pStyle w:val="6"/>
              <w:spacing w:before="95" w:line="172" w:lineRule="auto"/>
              <w:ind w:left="317"/>
            </w:pPr>
            <w:r>
              <w:rPr>
                <w:spacing w:val="-1"/>
              </w:rPr>
              <w:t>4L</w:t>
            </w:r>
          </w:p>
        </w:tc>
        <w:tc>
          <w:tcPr>
            <w:tcW w:w="880" w:type="dxa"/>
            <w:vAlign w:val="top"/>
          </w:tcPr>
          <w:p w14:paraId="3BE1102D">
            <w:pPr>
              <w:pStyle w:val="6"/>
              <w:spacing w:before="91" w:line="176" w:lineRule="auto"/>
              <w:ind w:left="308"/>
            </w:pPr>
            <w:r>
              <w:rPr>
                <w:spacing w:val="-3"/>
              </w:rPr>
              <w:t>7.9</w:t>
            </w:r>
          </w:p>
        </w:tc>
        <w:tc>
          <w:tcPr>
            <w:tcW w:w="880" w:type="dxa"/>
            <w:vAlign w:val="top"/>
          </w:tcPr>
          <w:p w14:paraId="5CCDE761">
            <w:pPr>
              <w:pStyle w:val="6"/>
              <w:spacing w:before="91" w:line="176" w:lineRule="auto"/>
              <w:ind w:left="306"/>
            </w:pPr>
            <w:r>
              <w:rPr>
                <w:spacing w:val="-1"/>
              </w:rPr>
              <w:t>4.3</w:t>
            </w:r>
          </w:p>
        </w:tc>
        <w:tc>
          <w:tcPr>
            <w:tcW w:w="880" w:type="dxa"/>
            <w:vAlign w:val="top"/>
          </w:tcPr>
          <w:p w14:paraId="6792D330">
            <w:pPr>
              <w:pStyle w:val="6"/>
              <w:spacing w:before="91" w:line="176" w:lineRule="auto"/>
              <w:ind w:left="355"/>
            </w:pPr>
            <w:r>
              <w:rPr>
                <w:spacing w:val="-6"/>
              </w:rPr>
              <w:t>17</w:t>
            </w:r>
          </w:p>
        </w:tc>
        <w:tc>
          <w:tcPr>
            <w:tcW w:w="880" w:type="dxa"/>
            <w:vAlign w:val="top"/>
          </w:tcPr>
          <w:p w14:paraId="222787D4">
            <w:pPr>
              <w:pStyle w:val="6"/>
              <w:spacing w:before="91" w:line="176" w:lineRule="auto"/>
              <w:ind w:left="315"/>
            </w:pPr>
            <w:r>
              <w:rPr>
                <w:spacing w:val="-3"/>
              </w:rPr>
              <w:t>3.4</w:t>
            </w:r>
          </w:p>
        </w:tc>
        <w:tc>
          <w:tcPr>
            <w:tcW w:w="880" w:type="dxa"/>
            <w:vAlign w:val="top"/>
          </w:tcPr>
          <w:p w14:paraId="104F07FA">
            <w:pPr>
              <w:pStyle w:val="6"/>
              <w:spacing w:before="91" w:line="176" w:lineRule="auto"/>
              <w:ind w:left="212"/>
            </w:pPr>
            <w:r>
              <w:rPr>
                <w:spacing w:val="-2"/>
              </w:rPr>
              <w:t>0.325</w:t>
            </w:r>
          </w:p>
        </w:tc>
        <w:tc>
          <w:tcPr>
            <w:tcW w:w="880" w:type="dxa"/>
            <w:vAlign w:val="top"/>
          </w:tcPr>
          <w:p w14:paraId="3EA5F82F">
            <w:pPr>
              <w:pStyle w:val="6"/>
              <w:spacing w:before="91" w:line="176" w:lineRule="auto"/>
              <w:ind w:left="266"/>
            </w:pPr>
            <w:r>
              <w:rPr>
                <w:spacing w:val="-2"/>
              </w:rPr>
              <w:t>0.04</w:t>
            </w:r>
          </w:p>
        </w:tc>
        <w:tc>
          <w:tcPr>
            <w:tcW w:w="880" w:type="dxa"/>
            <w:vAlign w:val="top"/>
          </w:tcPr>
          <w:p w14:paraId="589BA711">
            <w:pPr>
              <w:pStyle w:val="6"/>
              <w:spacing w:before="91" w:line="176" w:lineRule="auto"/>
              <w:ind w:left="268"/>
            </w:pPr>
            <w:r>
              <w:rPr>
                <w:spacing w:val="-2"/>
              </w:rPr>
              <w:t>0.04</w:t>
            </w:r>
          </w:p>
        </w:tc>
        <w:tc>
          <w:tcPr>
            <w:tcW w:w="881" w:type="dxa"/>
            <w:vAlign w:val="top"/>
          </w:tcPr>
          <w:p w14:paraId="5055E1FB">
            <w:pPr>
              <w:pStyle w:val="6"/>
              <w:spacing w:before="91" w:line="176" w:lineRule="auto"/>
              <w:ind w:left="206"/>
            </w:pPr>
            <w:r>
              <w:rPr>
                <w:spacing w:val="-2"/>
              </w:rPr>
              <w:t>0.05L</w:t>
            </w:r>
          </w:p>
        </w:tc>
        <w:tc>
          <w:tcPr>
            <w:tcW w:w="894" w:type="dxa"/>
            <w:tcBorders>
              <w:right w:val="single" w:color="000000" w:sz="12" w:space="0"/>
            </w:tcBorders>
            <w:vAlign w:val="top"/>
          </w:tcPr>
          <w:p w14:paraId="32D262F9">
            <w:pPr>
              <w:pStyle w:val="6"/>
              <w:spacing w:before="91" w:line="176" w:lineRule="auto"/>
              <w:ind w:left="355"/>
            </w:pPr>
            <w:r>
              <w:rPr>
                <w:spacing w:val="-4"/>
              </w:rPr>
              <w:t>80</w:t>
            </w:r>
          </w:p>
        </w:tc>
      </w:tr>
      <w:tr w14:paraId="13E84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273" w:type="dxa"/>
            <w:vMerge w:val="continue"/>
            <w:tcBorders>
              <w:top w:val="nil"/>
              <w:left w:val="single" w:color="000000" w:sz="12" w:space="0"/>
              <w:bottom w:val="single" w:color="000000" w:sz="12" w:space="0"/>
            </w:tcBorders>
            <w:vAlign w:val="top"/>
          </w:tcPr>
          <w:p w14:paraId="03106455">
            <w:pPr>
              <w:rPr>
                <w:rFonts w:ascii="Arial"/>
                <w:sz w:val="21"/>
              </w:rPr>
            </w:pPr>
          </w:p>
        </w:tc>
        <w:tc>
          <w:tcPr>
            <w:tcW w:w="285" w:type="dxa"/>
            <w:vMerge w:val="continue"/>
            <w:tcBorders>
              <w:top w:val="nil"/>
              <w:bottom w:val="single" w:color="000000" w:sz="12" w:space="0"/>
            </w:tcBorders>
            <w:vAlign w:val="top"/>
          </w:tcPr>
          <w:p w14:paraId="161B41EA">
            <w:pPr>
              <w:rPr>
                <w:rFonts w:ascii="Arial"/>
                <w:sz w:val="21"/>
              </w:rPr>
            </w:pPr>
          </w:p>
        </w:tc>
        <w:tc>
          <w:tcPr>
            <w:tcW w:w="1273" w:type="dxa"/>
            <w:tcBorders>
              <w:bottom w:val="single" w:color="000000" w:sz="12" w:space="0"/>
            </w:tcBorders>
            <w:vAlign w:val="top"/>
          </w:tcPr>
          <w:p w14:paraId="363B2CB0">
            <w:pPr>
              <w:pStyle w:val="6"/>
              <w:spacing w:before="92" w:line="199" w:lineRule="auto"/>
              <w:ind w:left="147"/>
            </w:pPr>
            <w:r>
              <w:rPr>
                <w:spacing w:val="-1"/>
              </w:rPr>
              <w:t>2021/11/30</w:t>
            </w:r>
          </w:p>
        </w:tc>
        <w:tc>
          <w:tcPr>
            <w:tcW w:w="880" w:type="dxa"/>
            <w:tcBorders>
              <w:bottom w:val="single" w:color="000000" w:sz="12" w:space="0"/>
            </w:tcBorders>
            <w:vAlign w:val="top"/>
          </w:tcPr>
          <w:p w14:paraId="0926EE0F">
            <w:pPr>
              <w:pStyle w:val="6"/>
              <w:spacing w:before="92" w:line="199" w:lineRule="auto"/>
              <w:ind w:left="267"/>
            </w:pPr>
            <w:r>
              <w:rPr>
                <w:spacing w:val="-6"/>
              </w:rPr>
              <w:t>16.5</w:t>
            </w:r>
          </w:p>
        </w:tc>
        <w:tc>
          <w:tcPr>
            <w:tcW w:w="880" w:type="dxa"/>
            <w:tcBorders>
              <w:bottom w:val="single" w:color="000000" w:sz="12" w:space="0"/>
            </w:tcBorders>
            <w:vAlign w:val="top"/>
          </w:tcPr>
          <w:p w14:paraId="458B7E54">
            <w:pPr>
              <w:pStyle w:val="6"/>
              <w:spacing w:before="92" w:line="199" w:lineRule="auto"/>
              <w:ind w:left="304"/>
            </w:pPr>
            <w:r>
              <w:rPr>
                <w:spacing w:val="-3"/>
              </w:rPr>
              <w:t>7.7</w:t>
            </w:r>
          </w:p>
        </w:tc>
        <w:tc>
          <w:tcPr>
            <w:tcW w:w="880" w:type="dxa"/>
            <w:tcBorders>
              <w:bottom w:val="single" w:color="000000" w:sz="12" w:space="0"/>
            </w:tcBorders>
            <w:vAlign w:val="top"/>
          </w:tcPr>
          <w:p w14:paraId="4F86E5EF">
            <w:pPr>
              <w:pStyle w:val="6"/>
              <w:spacing w:before="97" w:line="186" w:lineRule="auto"/>
              <w:ind w:left="317"/>
            </w:pPr>
            <w:r>
              <w:rPr>
                <w:spacing w:val="-1"/>
              </w:rPr>
              <w:t>4L</w:t>
            </w:r>
          </w:p>
        </w:tc>
        <w:tc>
          <w:tcPr>
            <w:tcW w:w="880" w:type="dxa"/>
            <w:tcBorders>
              <w:bottom w:val="single" w:color="000000" w:sz="12" w:space="0"/>
            </w:tcBorders>
            <w:vAlign w:val="top"/>
          </w:tcPr>
          <w:p w14:paraId="0BA5FFF6">
            <w:pPr>
              <w:pStyle w:val="6"/>
              <w:spacing w:before="92" w:line="199" w:lineRule="auto"/>
              <w:ind w:left="308"/>
            </w:pPr>
            <w:r>
              <w:rPr>
                <w:spacing w:val="-3"/>
              </w:rPr>
              <w:t>7.8</w:t>
            </w:r>
          </w:p>
        </w:tc>
        <w:tc>
          <w:tcPr>
            <w:tcW w:w="880" w:type="dxa"/>
            <w:tcBorders>
              <w:bottom w:val="single" w:color="000000" w:sz="12" w:space="0"/>
            </w:tcBorders>
            <w:vAlign w:val="top"/>
          </w:tcPr>
          <w:p w14:paraId="40F38895">
            <w:pPr>
              <w:pStyle w:val="6"/>
              <w:spacing w:before="92" w:line="199" w:lineRule="auto"/>
              <w:ind w:left="306"/>
            </w:pPr>
            <w:r>
              <w:rPr>
                <w:spacing w:val="-1"/>
              </w:rPr>
              <w:t>4.2</w:t>
            </w:r>
          </w:p>
        </w:tc>
        <w:tc>
          <w:tcPr>
            <w:tcW w:w="880" w:type="dxa"/>
            <w:tcBorders>
              <w:bottom w:val="single" w:color="000000" w:sz="12" w:space="0"/>
            </w:tcBorders>
            <w:vAlign w:val="top"/>
          </w:tcPr>
          <w:p w14:paraId="6A0F28C7">
            <w:pPr>
              <w:pStyle w:val="6"/>
              <w:spacing w:before="92" w:line="199" w:lineRule="auto"/>
              <w:ind w:left="355"/>
            </w:pPr>
            <w:r>
              <w:rPr>
                <w:spacing w:val="-6"/>
              </w:rPr>
              <w:t>18</w:t>
            </w:r>
          </w:p>
        </w:tc>
        <w:tc>
          <w:tcPr>
            <w:tcW w:w="880" w:type="dxa"/>
            <w:tcBorders>
              <w:bottom w:val="single" w:color="000000" w:sz="12" w:space="0"/>
            </w:tcBorders>
            <w:vAlign w:val="top"/>
          </w:tcPr>
          <w:p w14:paraId="71ADFF0E">
            <w:pPr>
              <w:pStyle w:val="6"/>
              <w:spacing w:before="92" w:line="199" w:lineRule="auto"/>
              <w:ind w:left="315"/>
            </w:pPr>
            <w:r>
              <w:rPr>
                <w:spacing w:val="-3"/>
              </w:rPr>
              <w:t>3.6</w:t>
            </w:r>
          </w:p>
        </w:tc>
        <w:tc>
          <w:tcPr>
            <w:tcW w:w="880" w:type="dxa"/>
            <w:tcBorders>
              <w:bottom w:val="single" w:color="000000" w:sz="12" w:space="0"/>
            </w:tcBorders>
            <w:vAlign w:val="top"/>
          </w:tcPr>
          <w:p w14:paraId="279428A2">
            <w:pPr>
              <w:pStyle w:val="6"/>
              <w:spacing w:before="92" w:line="199" w:lineRule="auto"/>
              <w:ind w:left="212"/>
            </w:pPr>
            <w:r>
              <w:rPr>
                <w:spacing w:val="-2"/>
              </w:rPr>
              <w:t>0.328</w:t>
            </w:r>
          </w:p>
        </w:tc>
        <w:tc>
          <w:tcPr>
            <w:tcW w:w="880" w:type="dxa"/>
            <w:tcBorders>
              <w:bottom w:val="single" w:color="000000" w:sz="12" w:space="0"/>
            </w:tcBorders>
            <w:vAlign w:val="top"/>
          </w:tcPr>
          <w:p w14:paraId="400BE688">
            <w:pPr>
              <w:pStyle w:val="6"/>
              <w:spacing w:before="92" w:line="199" w:lineRule="auto"/>
              <w:ind w:left="266"/>
            </w:pPr>
            <w:r>
              <w:rPr>
                <w:spacing w:val="-2"/>
              </w:rPr>
              <w:t>0.03</w:t>
            </w:r>
          </w:p>
        </w:tc>
        <w:tc>
          <w:tcPr>
            <w:tcW w:w="880" w:type="dxa"/>
            <w:tcBorders>
              <w:bottom w:val="single" w:color="000000" w:sz="12" w:space="0"/>
            </w:tcBorders>
            <w:vAlign w:val="top"/>
          </w:tcPr>
          <w:p w14:paraId="6A274E7E">
            <w:pPr>
              <w:pStyle w:val="6"/>
              <w:spacing w:before="92" w:line="199" w:lineRule="auto"/>
              <w:ind w:left="268"/>
            </w:pPr>
            <w:r>
              <w:rPr>
                <w:spacing w:val="-2"/>
              </w:rPr>
              <w:t>0.04</w:t>
            </w:r>
          </w:p>
        </w:tc>
        <w:tc>
          <w:tcPr>
            <w:tcW w:w="881" w:type="dxa"/>
            <w:tcBorders>
              <w:bottom w:val="single" w:color="000000" w:sz="12" w:space="0"/>
            </w:tcBorders>
            <w:vAlign w:val="top"/>
          </w:tcPr>
          <w:p w14:paraId="30A14E1E">
            <w:pPr>
              <w:pStyle w:val="6"/>
              <w:spacing w:before="92" w:line="199" w:lineRule="auto"/>
              <w:ind w:left="206"/>
            </w:pPr>
            <w:r>
              <w:rPr>
                <w:spacing w:val="-2"/>
              </w:rPr>
              <w:t>0.05L</w:t>
            </w:r>
          </w:p>
        </w:tc>
        <w:tc>
          <w:tcPr>
            <w:tcW w:w="894" w:type="dxa"/>
            <w:tcBorders>
              <w:bottom w:val="single" w:color="000000" w:sz="12" w:space="0"/>
              <w:right w:val="single" w:color="000000" w:sz="12" w:space="0"/>
            </w:tcBorders>
            <w:vAlign w:val="top"/>
          </w:tcPr>
          <w:p w14:paraId="34429AD5">
            <w:pPr>
              <w:pStyle w:val="6"/>
              <w:spacing w:before="92" w:line="199" w:lineRule="auto"/>
              <w:ind w:left="350"/>
            </w:pPr>
            <w:r>
              <w:rPr>
                <w:spacing w:val="-2"/>
              </w:rPr>
              <w:t>70</w:t>
            </w:r>
          </w:p>
        </w:tc>
      </w:tr>
    </w:tbl>
    <w:p w14:paraId="2F928C81">
      <w:pPr>
        <w:pStyle w:val="2"/>
        <w:spacing w:before="30" w:line="233" w:lineRule="auto"/>
        <w:ind w:left="40"/>
        <w:rPr>
          <w:sz w:val="21"/>
          <w:szCs w:val="21"/>
        </w:rPr>
      </w:pPr>
      <w:r>
        <w:rPr>
          <w:spacing w:val="-2"/>
          <w:sz w:val="21"/>
          <w:szCs w:val="21"/>
        </w:rPr>
        <w:t>备注：</w:t>
      </w:r>
      <w:r>
        <w:rPr>
          <w:rFonts w:ascii="Times New Roman" w:hAnsi="Times New Roman" w:eastAsia="Times New Roman" w:cs="Times New Roman"/>
          <w:spacing w:val="-2"/>
          <w:sz w:val="21"/>
          <w:szCs w:val="21"/>
        </w:rPr>
        <w:t>1</w:t>
      </w:r>
      <w:r>
        <w:rPr>
          <w:rFonts w:ascii="Times New Roman" w:hAnsi="Times New Roman" w:eastAsia="Times New Roman" w:cs="Times New Roman"/>
          <w:spacing w:val="-29"/>
          <w:sz w:val="21"/>
          <w:szCs w:val="21"/>
        </w:rPr>
        <w:t xml:space="preserve"> </w:t>
      </w:r>
      <w:r>
        <w:rPr>
          <w:spacing w:val="-2"/>
          <w:sz w:val="21"/>
          <w:szCs w:val="21"/>
        </w:rPr>
        <w:t>、马龙河执行《地表水环境质量标准》（</w:t>
      </w:r>
      <w:r>
        <w:rPr>
          <w:rFonts w:ascii="Times New Roman" w:hAnsi="Times New Roman" w:eastAsia="Times New Roman" w:cs="Times New Roman"/>
          <w:spacing w:val="-2"/>
          <w:sz w:val="21"/>
          <w:szCs w:val="21"/>
        </w:rPr>
        <w:t>GB3838-2002</w:t>
      </w:r>
      <w:r>
        <w:rPr>
          <w:spacing w:val="-2"/>
          <w:sz w:val="21"/>
          <w:szCs w:val="21"/>
        </w:rPr>
        <w:t>）中</w:t>
      </w:r>
      <w:r>
        <w:rPr>
          <w:rFonts w:ascii="Times New Roman" w:hAnsi="Times New Roman" w:eastAsia="Times New Roman" w:cs="Times New Roman"/>
          <w:spacing w:val="-2"/>
          <w:sz w:val="21"/>
          <w:szCs w:val="21"/>
        </w:rPr>
        <w:t>Ⅲ</w:t>
      </w:r>
      <w:r>
        <w:rPr>
          <w:spacing w:val="-2"/>
          <w:sz w:val="21"/>
          <w:szCs w:val="21"/>
        </w:rPr>
        <w:t>类标准，面店</w:t>
      </w:r>
      <w:r>
        <w:rPr>
          <w:spacing w:val="-3"/>
          <w:sz w:val="21"/>
          <w:szCs w:val="21"/>
        </w:rPr>
        <w:t>水库执行</w:t>
      </w:r>
      <w:r>
        <w:rPr>
          <w:rFonts w:ascii="Times New Roman" w:hAnsi="Times New Roman" w:eastAsia="Times New Roman" w:cs="Times New Roman"/>
          <w:spacing w:val="-3"/>
          <w:sz w:val="21"/>
          <w:szCs w:val="21"/>
        </w:rPr>
        <w:t>Ⅱ</w:t>
      </w:r>
      <w:r>
        <w:rPr>
          <w:spacing w:val="-3"/>
          <w:sz w:val="21"/>
          <w:szCs w:val="21"/>
        </w:rPr>
        <w:t>类标准；</w:t>
      </w:r>
      <w:r>
        <w:rPr>
          <w:rFonts w:ascii="Times New Roman" w:hAnsi="Times New Roman" w:eastAsia="Times New Roman" w:cs="Times New Roman"/>
          <w:spacing w:val="-3"/>
          <w:sz w:val="21"/>
          <w:szCs w:val="21"/>
        </w:rPr>
        <w:t>2</w:t>
      </w:r>
      <w:r>
        <w:rPr>
          <w:rFonts w:ascii="Times New Roman" w:hAnsi="Times New Roman" w:eastAsia="Times New Roman" w:cs="Times New Roman"/>
          <w:spacing w:val="-29"/>
          <w:sz w:val="21"/>
          <w:szCs w:val="21"/>
        </w:rPr>
        <w:t xml:space="preserve"> </w:t>
      </w:r>
      <w:r>
        <w:rPr>
          <w:spacing w:val="-3"/>
          <w:sz w:val="21"/>
          <w:szCs w:val="21"/>
        </w:rPr>
        <w:t>、</w:t>
      </w:r>
      <w:r>
        <w:rPr>
          <w:rFonts w:ascii="Times New Roman" w:hAnsi="Times New Roman" w:eastAsia="Times New Roman" w:cs="Times New Roman"/>
          <w:spacing w:val="-3"/>
          <w:sz w:val="21"/>
          <w:szCs w:val="21"/>
        </w:rPr>
        <w:t>“L”</w:t>
      </w:r>
      <w:r>
        <w:rPr>
          <w:spacing w:val="-3"/>
          <w:sz w:val="21"/>
          <w:szCs w:val="21"/>
        </w:rPr>
        <w:t>表示监测值低于方法检出限。</w:t>
      </w:r>
    </w:p>
    <w:p w14:paraId="33D68FF7">
      <w:pPr>
        <w:spacing w:line="233" w:lineRule="auto"/>
        <w:rPr>
          <w:sz w:val="21"/>
          <w:szCs w:val="21"/>
        </w:rPr>
        <w:sectPr>
          <w:footerReference r:id="rId245" w:type="default"/>
          <w:pgSz w:w="16839" w:h="11907"/>
          <w:pgMar w:top="1376" w:right="1669" w:bottom="1061" w:left="1671" w:header="999" w:footer="861" w:gutter="0"/>
          <w:cols w:space="720" w:num="1"/>
        </w:sectPr>
      </w:pPr>
    </w:p>
    <w:p w14:paraId="46B8686D">
      <w:pPr>
        <w:spacing w:line="455" w:lineRule="auto"/>
        <w:rPr>
          <w:rFonts w:ascii="Arial"/>
          <w:sz w:val="21"/>
        </w:rPr>
      </w:pPr>
    </w:p>
    <w:p w14:paraId="7EB3699B">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6.2-6                                                                    20</w:t>
      </w:r>
      <w:r>
        <w:rPr>
          <w:rFonts w:ascii="Times New Roman" w:hAnsi="Times New Roman" w:eastAsia="Times New Roman" w:cs="Times New Roman"/>
          <w:b/>
          <w:bCs/>
          <w:spacing w:val="-1"/>
          <w:sz w:val="24"/>
          <w:szCs w:val="24"/>
        </w:rPr>
        <w:t xml:space="preserve">19 </w:t>
      </w:r>
      <w:r>
        <w:rPr>
          <w:b/>
          <w:bCs/>
          <w:spacing w:val="-1"/>
          <w:sz w:val="24"/>
          <w:szCs w:val="24"/>
        </w:rPr>
        <w:t>年施工期地表水水质监测结果评价表（</w:t>
      </w:r>
      <w:r>
        <w:rPr>
          <w:rFonts w:ascii="Times New Roman" w:hAnsi="Times New Roman" w:eastAsia="Times New Roman" w:cs="Times New Roman"/>
          <w:b/>
          <w:bCs/>
          <w:i/>
          <w:iCs/>
          <w:spacing w:val="-1"/>
          <w:sz w:val="24"/>
          <w:szCs w:val="24"/>
        </w:rPr>
        <w:t>S</w:t>
      </w:r>
      <w:r>
        <w:rPr>
          <w:rFonts w:ascii="Times New Roman" w:hAnsi="Times New Roman" w:eastAsia="Times New Roman" w:cs="Times New Roman"/>
          <w:b/>
          <w:bCs/>
          <w:i/>
          <w:iCs/>
          <w:spacing w:val="-1"/>
          <w:position w:val="-1"/>
          <w:sz w:val="15"/>
          <w:szCs w:val="15"/>
        </w:rPr>
        <w:t>i</w:t>
      </w:r>
      <w:r>
        <w:rPr>
          <w:b/>
          <w:bCs/>
          <w:i/>
          <w:iCs/>
          <w:spacing w:val="-1"/>
          <w:position w:val="-1"/>
          <w:sz w:val="12"/>
          <w:szCs w:val="12"/>
        </w:rPr>
        <w:t>，</w:t>
      </w:r>
      <w:r>
        <w:rPr>
          <w:rFonts w:ascii="Times New Roman" w:hAnsi="Times New Roman" w:eastAsia="Times New Roman" w:cs="Times New Roman"/>
          <w:b/>
          <w:bCs/>
          <w:i/>
          <w:iCs/>
          <w:spacing w:val="-1"/>
          <w:sz w:val="15"/>
          <w:szCs w:val="15"/>
        </w:rPr>
        <w:t>j</w:t>
      </w:r>
      <w:r>
        <w:rPr>
          <w:b/>
          <w:bCs/>
          <w:spacing w:val="-1"/>
          <w:sz w:val="24"/>
          <w:szCs w:val="24"/>
        </w:rPr>
        <w:t>）</w:t>
      </w: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316"/>
        <w:gridCol w:w="711"/>
        <w:gridCol w:w="706"/>
        <w:gridCol w:w="848"/>
        <w:gridCol w:w="706"/>
        <w:gridCol w:w="849"/>
        <w:gridCol w:w="848"/>
        <w:gridCol w:w="848"/>
        <w:gridCol w:w="851"/>
        <w:gridCol w:w="1979"/>
        <w:gridCol w:w="1950"/>
      </w:tblGrid>
      <w:tr w14:paraId="22690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465" w:type="dxa"/>
            <w:tcBorders>
              <w:top w:val="single" w:color="000000" w:sz="12" w:space="0"/>
              <w:left w:val="single" w:color="000000" w:sz="12" w:space="0"/>
            </w:tcBorders>
            <w:vAlign w:val="top"/>
          </w:tcPr>
          <w:p w14:paraId="74771EED">
            <w:pPr>
              <w:spacing w:before="59"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645" w:type="dxa"/>
            <w:gridSpan w:val="2"/>
            <w:tcBorders>
              <w:top w:val="single" w:color="000000" w:sz="12" w:space="0"/>
            </w:tcBorders>
            <w:vAlign w:val="top"/>
          </w:tcPr>
          <w:p w14:paraId="65B7AE33">
            <w:pPr>
              <w:spacing w:before="59" w:line="221" w:lineRule="auto"/>
              <w:ind w:left="394"/>
              <w:rPr>
                <w:rFonts w:ascii="宋体" w:hAnsi="宋体" w:eastAsia="宋体" w:cs="宋体"/>
                <w:sz w:val="21"/>
                <w:szCs w:val="21"/>
              </w:rPr>
            </w:pPr>
            <w:r>
              <w:rPr>
                <w:rFonts w:ascii="宋体" w:hAnsi="宋体" w:eastAsia="宋体" w:cs="宋体"/>
                <w:spacing w:val="-2"/>
                <w:sz w:val="21"/>
                <w:szCs w:val="21"/>
              </w:rPr>
              <w:t>监测时间</w:t>
            </w:r>
          </w:p>
        </w:tc>
        <w:tc>
          <w:tcPr>
            <w:tcW w:w="711" w:type="dxa"/>
            <w:tcBorders>
              <w:top w:val="single" w:color="000000" w:sz="12" w:space="0"/>
            </w:tcBorders>
            <w:vAlign w:val="top"/>
          </w:tcPr>
          <w:p w14:paraId="611D89CB">
            <w:pPr>
              <w:pStyle w:val="6"/>
              <w:spacing w:before="59" w:line="213" w:lineRule="auto"/>
              <w:ind w:left="82"/>
              <w:rPr>
                <w:rFonts w:ascii="宋体" w:hAnsi="宋体" w:eastAsia="宋体" w:cs="宋体"/>
              </w:rPr>
            </w:pPr>
            <w:r>
              <w:t>pH</w:t>
            </w:r>
            <w:r>
              <w:rPr>
                <w:spacing w:val="8"/>
              </w:rPr>
              <w:t xml:space="preserve"> </w:t>
            </w:r>
            <w:r>
              <w:rPr>
                <w:rFonts w:ascii="宋体" w:hAnsi="宋体" w:eastAsia="宋体" w:cs="宋体"/>
              </w:rPr>
              <w:t>值</w:t>
            </w:r>
          </w:p>
        </w:tc>
        <w:tc>
          <w:tcPr>
            <w:tcW w:w="706" w:type="dxa"/>
            <w:tcBorders>
              <w:top w:val="single" w:color="000000" w:sz="12" w:space="0"/>
            </w:tcBorders>
            <w:vAlign w:val="top"/>
          </w:tcPr>
          <w:p w14:paraId="5180FBF2">
            <w:pPr>
              <w:pStyle w:val="6"/>
              <w:spacing w:before="96" w:line="186" w:lineRule="auto"/>
              <w:ind w:left="193"/>
            </w:pPr>
            <w:r>
              <w:rPr>
                <w:spacing w:val="-2"/>
              </w:rPr>
              <w:t>DO</w:t>
            </w:r>
          </w:p>
        </w:tc>
        <w:tc>
          <w:tcPr>
            <w:tcW w:w="848" w:type="dxa"/>
            <w:tcBorders>
              <w:top w:val="single" w:color="000000" w:sz="12" w:space="0"/>
            </w:tcBorders>
            <w:vAlign w:val="top"/>
          </w:tcPr>
          <w:p w14:paraId="7B6D9173">
            <w:pPr>
              <w:pStyle w:val="6"/>
              <w:spacing w:before="96" w:line="226" w:lineRule="auto"/>
              <w:ind w:left="103"/>
              <w:rPr>
                <w:sz w:val="14"/>
                <w:szCs w:val="14"/>
              </w:rPr>
            </w:pPr>
            <w:r>
              <w:rPr>
                <w:spacing w:val="-2"/>
              </w:rPr>
              <w:t>COD</w:t>
            </w:r>
            <w:r>
              <w:rPr>
                <w:spacing w:val="-2"/>
                <w:position w:val="-1"/>
                <w:sz w:val="14"/>
                <w:szCs w:val="14"/>
              </w:rPr>
              <w:t>Mn</w:t>
            </w:r>
          </w:p>
        </w:tc>
        <w:tc>
          <w:tcPr>
            <w:tcW w:w="706" w:type="dxa"/>
            <w:tcBorders>
              <w:top w:val="single" w:color="000000" w:sz="12" w:space="0"/>
            </w:tcBorders>
            <w:vAlign w:val="top"/>
          </w:tcPr>
          <w:p w14:paraId="6E11320E">
            <w:pPr>
              <w:pStyle w:val="6"/>
              <w:spacing w:before="96" w:line="186" w:lineRule="auto"/>
              <w:ind w:left="131"/>
            </w:pPr>
            <w:r>
              <w:rPr>
                <w:spacing w:val="-3"/>
              </w:rPr>
              <w:t>COD</w:t>
            </w:r>
          </w:p>
        </w:tc>
        <w:tc>
          <w:tcPr>
            <w:tcW w:w="849" w:type="dxa"/>
            <w:tcBorders>
              <w:top w:val="single" w:color="000000" w:sz="12" w:space="0"/>
            </w:tcBorders>
            <w:vAlign w:val="top"/>
          </w:tcPr>
          <w:p w14:paraId="106B514D">
            <w:pPr>
              <w:pStyle w:val="6"/>
              <w:spacing w:before="96" w:line="225" w:lineRule="auto"/>
              <w:ind w:left="165"/>
              <w:rPr>
                <w:sz w:val="14"/>
                <w:szCs w:val="14"/>
              </w:rPr>
            </w:pPr>
            <w:r>
              <w:rPr>
                <w:spacing w:val="-1"/>
              </w:rPr>
              <w:t>BOD</w:t>
            </w:r>
            <w:r>
              <w:rPr>
                <w:spacing w:val="-1"/>
                <w:position w:val="-1"/>
                <w:sz w:val="14"/>
                <w:szCs w:val="14"/>
              </w:rPr>
              <w:t>5</w:t>
            </w:r>
          </w:p>
        </w:tc>
        <w:tc>
          <w:tcPr>
            <w:tcW w:w="848" w:type="dxa"/>
            <w:tcBorders>
              <w:top w:val="single" w:color="000000" w:sz="12" w:space="0"/>
            </w:tcBorders>
            <w:vAlign w:val="top"/>
          </w:tcPr>
          <w:p w14:paraId="78A9C89A">
            <w:pPr>
              <w:pStyle w:val="6"/>
              <w:spacing w:before="99" w:line="222" w:lineRule="auto"/>
              <w:ind w:left="119"/>
            </w:pPr>
            <w:r>
              <w:t>NH</w:t>
            </w:r>
            <w:r>
              <w:rPr>
                <w:position w:val="-1"/>
                <w:sz w:val="14"/>
                <w:szCs w:val="14"/>
              </w:rPr>
              <w:t>3</w:t>
            </w:r>
            <w:r>
              <w:t>-N</w:t>
            </w:r>
          </w:p>
        </w:tc>
        <w:tc>
          <w:tcPr>
            <w:tcW w:w="848" w:type="dxa"/>
            <w:tcBorders>
              <w:top w:val="single" w:color="000000" w:sz="12" w:space="0"/>
            </w:tcBorders>
            <w:vAlign w:val="top"/>
          </w:tcPr>
          <w:p w14:paraId="4C1E18F7">
            <w:pPr>
              <w:pStyle w:val="6"/>
              <w:spacing w:before="100" w:line="183" w:lineRule="auto"/>
              <w:ind w:left="306"/>
            </w:pPr>
            <w:r>
              <w:rPr>
                <w:spacing w:val="-4"/>
              </w:rPr>
              <w:t>TP</w:t>
            </w:r>
          </w:p>
        </w:tc>
        <w:tc>
          <w:tcPr>
            <w:tcW w:w="851" w:type="dxa"/>
            <w:tcBorders>
              <w:top w:val="single" w:color="000000" w:sz="12" w:space="0"/>
            </w:tcBorders>
            <w:vAlign w:val="top"/>
          </w:tcPr>
          <w:p w14:paraId="5E3279EF">
            <w:pPr>
              <w:spacing w:before="59" w:line="220" w:lineRule="auto"/>
              <w:ind w:left="119"/>
              <w:rPr>
                <w:rFonts w:ascii="宋体" w:hAnsi="宋体" w:eastAsia="宋体" w:cs="宋体"/>
                <w:sz w:val="21"/>
                <w:szCs w:val="21"/>
              </w:rPr>
            </w:pPr>
            <w:r>
              <w:rPr>
                <w:rFonts w:ascii="宋体" w:hAnsi="宋体" w:eastAsia="宋体" w:cs="宋体"/>
                <w:spacing w:val="-3"/>
                <w:sz w:val="21"/>
                <w:szCs w:val="21"/>
              </w:rPr>
              <w:t>石油类</w:t>
            </w:r>
          </w:p>
        </w:tc>
        <w:tc>
          <w:tcPr>
            <w:tcW w:w="1979" w:type="dxa"/>
            <w:tcBorders>
              <w:top w:val="single" w:color="000000" w:sz="12" w:space="0"/>
            </w:tcBorders>
            <w:vAlign w:val="top"/>
          </w:tcPr>
          <w:p w14:paraId="62EE4F1D">
            <w:pPr>
              <w:spacing w:before="59" w:line="219" w:lineRule="auto"/>
              <w:ind w:left="177"/>
              <w:rPr>
                <w:rFonts w:ascii="宋体" w:hAnsi="宋体" w:eastAsia="宋体" w:cs="宋体"/>
                <w:sz w:val="21"/>
                <w:szCs w:val="21"/>
              </w:rPr>
            </w:pPr>
            <w:r>
              <w:rPr>
                <w:rFonts w:ascii="宋体" w:hAnsi="宋体" w:eastAsia="宋体" w:cs="宋体"/>
                <w:spacing w:val="-3"/>
                <w:sz w:val="21"/>
                <w:szCs w:val="21"/>
              </w:rPr>
              <w:t>阴离子表面活性剂</w:t>
            </w:r>
          </w:p>
        </w:tc>
        <w:tc>
          <w:tcPr>
            <w:tcW w:w="1950" w:type="dxa"/>
            <w:tcBorders>
              <w:top w:val="single" w:color="000000" w:sz="12" w:space="0"/>
              <w:right w:val="single" w:color="000000" w:sz="12" w:space="0"/>
            </w:tcBorders>
            <w:vAlign w:val="top"/>
          </w:tcPr>
          <w:p w14:paraId="479D308E">
            <w:pPr>
              <w:spacing w:before="59" w:line="220" w:lineRule="auto"/>
              <w:ind w:left="460"/>
              <w:rPr>
                <w:rFonts w:ascii="宋体" w:hAnsi="宋体" w:eastAsia="宋体" w:cs="宋体"/>
                <w:sz w:val="21"/>
                <w:szCs w:val="21"/>
              </w:rPr>
            </w:pPr>
            <w:r>
              <w:rPr>
                <w:rFonts w:ascii="宋体" w:hAnsi="宋体" w:eastAsia="宋体" w:cs="宋体"/>
                <w:spacing w:val="-2"/>
                <w:sz w:val="21"/>
                <w:szCs w:val="21"/>
              </w:rPr>
              <w:t>粪大肠菌群</w:t>
            </w:r>
          </w:p>
        </w:tc>
      </w:tr>
      <w:tr w14:paraId="4A138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restart"/>
            <w:tcBorders>
              <w:left w:val="single" w:color="000000" w:sz="12" w:space="0"/>
              <w:bottom w:val="nil"/>
            </w:tcBorders>
            <w:vAlign w:val="top"/>
          </w:tcPr>
          <w:p w14:paraId="29094F23">
            <w:pPr>
              <w:spacing w:line="255" w:lineRule="auto"/>
              <w:rPr>
                <w:rFonts w:ascii="Arial"/>
                <w:sz w:val="21"/>
              </w:rPr>
            </w:pPr>
          </w:p>
          <w:p w14:paraId="71C39651">
            <w:pPr>
              <w:spacing w:line="255" w:lineRule="auto"/>
              <w:rPr>
                <w:rFonts w:ascii="Arial"/>
                <w:sz w:val="21"/>
              </w:rPr>
            </w:pPr>
          </w:p>
          <w:p w14:paraId="318A2709">
            <w:pPr>
              <w:spacing w:line="255" w:lineRule="auto"/>
              <w:rPr>
                <w:rFonts w:ascii="Arial"/>
                <w:sz w:val="21"/>
              </w:rPr>
            </w:pPr>
          </w:p>
          <w:p w14:paraId="6235CBEE">
            <w:pPr>
              <w:spacing w:line="255" w:lineRule="auto"/>
              <w:rPr>
                <w:rFonts w:ascii="Arial"/>
                <w:sz w:val="21"/>
              </w:rPr>
            </w:pPr>
          </w:p>
          <w:p w14:paraId="5875B547">
            <w:pPr>
              <w:spacing w:line="255" w:lineRule="auto"/>
              <w:rPr>
                <w:rFonts w:ascii="Arial"/>
                <w:sz w:val="21"/>
              </w:rPr>
            </w:pPr>
          </w:p>
          <w:p w14:paraId="777FDBB3">
            <w:pPr>
              <w:pStyle w:val="6"/>
              <w:spacing w:before="68" w:line="244" w:lineRule="auto"/>
              <w:ind w:left="86" w:right="105" w:firstLine="112"/>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4"/>
              </w:rPr>
              <w:t>（车马碧水库</w:t>
            </w:r>
            <w:r>
              <w:rPr>
                <w:rFonts w:ascii="宋体" w:hAnsi="宋体" w:eastAsia="宋体" w:cs="宋体"/>
                <w:spacing w:val="-2"/>
              </w:rPr>
              <w:t>输水隧洞进口</w:t>
            </w:r>
            <w:r>
              <w:rPr>
                <w:rFonts w:ascii="宋体" w:hAnsi="宋体" w:eastAsia="宋体" w:cs="宋体"/>
                <w:spacing w:val="17"/>
              </w:rPr>
              <w:t>上游</w:t>
            </w:r>
            <w:r>
              <w:rPr>
                <w:rFonts w:ascii="宋体" w:hAnsi="宋体" w:eastAsia="宋体" w:cs="宋体"/>
                <w:spacing w:val="-26"/>
              </w:rPr>
              <w:t xml:space="preserve"> </w:t>
            </w:r>
            <w:r>
              <w:rPr>
                <w:spacing w:val="17"/>
              </w:rPr>
              <w:t>1</w:t>
            </w:r>
            <w:r>
              <w:t>km</w:t>
            </w:r>
            <w:r>
              <w:rPr>
                <w:rFonts w:ascii="宋体" w:hAnsi="宋体" w:eastAsia="宋体" w:cs="宋体"/>
                <w:spacing w:val="17"/>
              </w:rPr>
              <w:t>）</w:t>
            </w:r>
          </w:p>
        </w:tc>
        <w:tc>
          <w:tcPr>
            <w:tcW w:w="329" w:type="dxa"/>
            <w:vMerge w:val="restart"/>
            <w:tcBorders>
              <w:bottom w:val="nil"/>
            </w:tcBorders>
            <w:vAlign w:val="top"/>
          </w:tcPr>
          <w:p w14:paraId="178F697E">
            <w:pPr>
              <w:pStyle w:val="6"/>
              <w:spacing w:before="116" w:line="222" w:lineRule="auto"/>
              <w:ind w:left="117"/>
            </w:pPr>
            <w:r>
              <w:t>1</w:t>
            </w:r>
          </w:p>
          <w:p w14:paraId="7E568516">
            <w:pPr>
              <w:spacing w:line="219" w:lineRule="auto"/>
              <w:ind w:left="49"/>
              <w:rPr>
                <w:rFonts w:ascii="宋体" w:hAnsi="宋体" w:eastAsia="宋体" w:cs="宋体"/>
                <w:sz w:val="21"/>
                <w:szCs w:val="21"/>
              </w:rPr>
            </w:pPr>
            <w:r>
              <w:rPr>
                <w:rFonts w:ascii="宋体" w:hAnsi="宋体" w:eastAsia="宋体" w:cs="宋体"/>
                <w:sz w:val="21"/>
                <w:szCs w:val="21"/>
              </w:rPr>
              <w:t>季</w:t>
            </w:r>
          </w:p>
          <w:p w14:paraId="53E7131F">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67617808">
            <w:pPr>
              <w:pStyle w:val="6"/>
              <w:spacing w:before="76" w:line="212" w:lineRule="auto"/>
              <w:ind w:left="220"/>
            </w:pPr>
            <w:r>
              <w:rPr>
                <w:spacing w:val="-1"/>
              </w:rPr>
              <w:t>2019/1/15</w:t>
            </w:r>
          </w:p>
        </w:tc>
        <w:tc>
          <w:tcPr>
            <w:tcW w:w="711" w:type="dxa"/>
            <w:vAlign w:val="top"/>
          </w:tcPr>
          <w:p w14:paraId="311895C3">
            <w:pPr>
              <w:pStyle w:val="6"/>
              <w:spacing w:before="76" w:line="212" w:lineRule="auto"/>
              <w:ind w:left="167"/>
            </w:pPr>
            <w:r>
              <w:rPr>
                <w:spacing w:val="-2"/>
              </w:rPr>
              <w:t>0.71</w:t>
            </w:r>
          </w:p>
        </w:tc>
        <w:tc>
          <w:tcPr>
            <w:tcW w:w="706" w:type="dxa"/>
            <w:vAlign w:val="top"/>
          </w:tcPr>
          <w:p w14:paraId="6432DAD7">
            <w:pPr>
              <w:pStyle w:val="6"/>
              <w:spacing w:before="76" w:line="212" w:lineRule="auto"/>
              <w:ind w:left="165"/>
            </w:pPr>
            <w:r>
              <w:rPr>
                <w:spacing w:val="-2"/>
              </w:rPr>
              <w:t>0.84</w:t>
            </w:r>
          </w:p>
        </w:tc>
        <w:tc>
          <w:tcPr>
            <w:tcW w:w="848" w:type="dxa"/>
            <w:vAlign w:val="top"/>
          </w:tcPr>
          <w:p w14:paraId="1941A8D1">
            <w:pPr>
              <w:pStyle w:val="6"/>
              <w:spacing w:before="76" w:line="212" w:lineRule="auto"/>
              <w:ind w:left="239"/>
            </w:pPr>
            <w:r>
              <w:rPr>
                <w:spacing w:val="-2"/>
              </w:rPr>
              <w:t>0.23</w:t>
            </w:r>
          </w:p>
        </w:tc>
        <w:tc>
          <w:tcPr>
            <w:tcW w:w="706" w:type="dxa"/>
            <w:vAlign w:val="top"/>
          </w:tcPr>
          <w:p w14:paraId="2D2ADBCE">
            <w:pPr>
              <w:pStyle w:val="6"/>
              <w:spacing w:before="76" w:line="212" w:lineRule="auto"/>
              <w:ind w:left="168"/>
            </w:pPr>
            <w:r>
              <w:rPr>
                <w:spacing w:val="-2"/>
              </w:rPr>
              <w:t>0.35</w:t>
            </w:r>
          </w:p>
        </w:tc>
        <w:tc>
          <w:tcPr>
            <w:tcW w:w="849" w:type="dxa"/>
            <w:vAlign w:val="top"/>
          </w:tcPr>
          <w:p w14:paraId="72FDF52B">
            <w:pPr>
              <w:pStyle w:val="6"/>
              <w:spacing w:before="76" w:line="212" w:lineRule="auto"/>
              <w:ind w:left="242"/>
            </w:pPr>
            <w:r>
              <w:rPr>
                <w:spacing w:val="-2"/>
              </w:rPr>
              <w:t>0.20</w:t>
            </w:r>
          </w:p>
        </w:tc>
        <w:tc>
          <w:tcPr>
            <w:tcW w:w="848" w:type="dxa"/>
            <w:vAlign w:val="top"/>
          </w:tcPr>
          <w:p w14:paraId="2F631AA9">
            <w:pPr>
              <w:pStyle w:val="6"/>
              <w:spacing w:before="76" w:line="212" w:lineRule="auto"/>
              <w:ind w:left="243"/>
            </w:pPr>
            <w:r>
              <w:rPr>
                <w:spacing w:val="-2"/>
              </w:rPr>
              <w:t>0.11</w:t>
            </w:r>
          </w:p>
        </w:tc>
        <w:tc>
          <w:tcPr>
            <w:tcW w:w="848" w:type="dxa"/>
            <w:vAlign w:val="top"/>
          </w:tcPr>
          <w:p w14:paraId="40A769DA">
            <w:pPr>
              <w:pStyle w:val="6"/>
              <w:spacing w:before="76" w:line="212" w:lineRule="auto"/>
              <w:ind w:left="246"/>
            </w:pPr>
            <w:r>
              <w:rPr>
                <w:spacing w:val="-2"/>
              </w:rPr>
              <w:t>0.20</w:t>
            </w:r>
          </w:p>
        </w:tc>
        <w:tc>
          <w:tcPr>
            <w:tcW w:w="851" w:type="dxa"/>
            <w:vAlign w:val="top"/>
          </w:tcPr>
          <w:p w14:paraId="31905E6A">
            <w:pPr>
              <w:pStyle w:val="6"/>
              <w:spacing w:before="167" w:line="100" w:lineRule="exact"/>
              <w:ind w:left="363"/>
            </w:pPr>
            <w:r>
              <w:rPr>
                <w:spacing w:val="-3"/>
                <w:position w:val="-6"/>
              </w:rPr>
              <w:t>--</w:t>
            </w:r>
          </w:p>
        </w:tc>
        <w:tc>
          <w:tcPr>
            <w:tcW w:w="1979" w:type="dxa"/>
            <w:vAlign w:val="top"/>
          </w:tcPr>
          <w:p w14:paraId="7D38469E">
            <w:pPr>
              <w:pStyle w:val="6"/>
              <w:spacing w:before="167" w:line="100" w:lineRule="exact"/>
              <w:ind w:left="932"/>
            </w:pPr>
            <w:r>
              <w:rPr>
                <w:spacing w:val="-3"/>
                <w:position w:val="-6"/>
              </w:rPr>
              <w:t>--</w:t>
            </w:r>
          </w:p>
        </w:tc>
        <w:tc>
          <w:tcPr>
            <w:tcW w:w="1950" w:type="dxa"/>
            <w:tcBorders>
              <w:right w:val="single" w:color="000000" w:sz="12" w:space="0"/>
            </w:tcBorders>
            <w:vAlign w:val="top"/>
          </w:tcPr>
          <w:p w14:paraId="7D5DA46E">
            <w:pPr>
              <w:pStyle w:val="6"/>
              <w:spacing w:before="76" w:line="212" w:lineRule="auto"/>
              <w:ind w:left="799"/>
            </w:pPr>
            <w:r>
              <w:rPr>
                <w:spacing w:val="-2"/>
              </w:rPr>
              <w:t>0.02</w:t>
            </w:r>
          </w:p>
        </w:tc>
      </w:tr>
      <w:tr w14:paraId="3EFE7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E7CC82F">
            <w:pPr>
              <w:rPr>
                <w:rFonts w:ascii="Arial"/>
                <w:sz w:val="21"/>
              </w:rPr>
            </w:pPr>
          </w:p>
        </w:tc>
        <w:tc>
          <w:tcPr>
            <w:tcW w:w="329" w:type="dxa"/>
            <w:vMerge w:val="continue"/>
            <w:tcBorders>
              <w:top w:val="nil"/>
              <w:bottom w:val="nil"/>
            </w:tcBorders>
            <w:vAlign w:val="top"/>
          </w:tcPr>
          <w:p w14:paraId="37BB35B9">
            <w:pPr>
              <w:rPr>
                <w:rFonts w:ascii="Arial"/>
                <w:sz w:val="21"/>
              </w:rPr>
            </w:pPr>
          </w:p>
        </w:tc>
        <w:tc>
          <w:tcPr>
            <w:tcW w:w="1316" w:type="dxa"/>
            <w:vAlign w:val="top"/>
          </w:tcPr>
          <w:p w14:paraId="4AFA294D">
            <w:pPr>
              <w:pStyle w:val="6"/>
              <w:spacing w:before="78" w:line="212" w:lineRule="auto"/>
              <w:ind w:left="220"/>
            </w:pPr>
            <w:r>
              <w:rPr>
                <w:spacing w:val="-1"/>
              </w:rPr>
              <w:t>2019/1/16</w:t>
            </w:r>
          </w:p>
        </w:tc>
        <w:tc>
          <w:tcPr>
            <w:tcW w:w="711" w:type="dxa"/>
            <w:vAlign w:val="top"/>
          </w:tcPr>
          <w:p w14:paraId="4E322DA5">
            <w:pPr>
              <w:pStyle w:val="6"/>
              <w:spacing w:before="78" w:line="212" w:lineRule="auto"/>
              <w:ind w:left="167"/>
            </w:pPr>
            <w:r>
              <w:rPr>
                <w:spacing w:val="-2"/>
              </w:rPr>
              <w:t>0.67</w:t>
            </w:r>
          </w:p>
        </w:tc>
        <w:tc>
          <w:tcPr>
            <w:tcW w:w="706" w:type="dxa"/>
            <w:vAlign w:val="top"/>
          </w:tcPr>
          <w:p w14:paraId="09A8D694">
            <w:pPr>
              <w:pStyle w:val="6"/>
              <w:spacing w:before="78" w:line="212" w:lineRule="auto"/>
              <w:ind w:left="165"/>
            </w:pPr>
            <w:r>
              <w:rPr>
                <w:spacing w:val="-2"/>
              </w:rPr>
              <w:t>0.86</w:t>
            </w:r>
          </w:p>
        </w:tc>
        <w:tc>
          <w:tcPr>
            <w:tcW w:w="848" w:type="dxa"/>
            <w:vAlign w:val="top"/>
          </w:tcPr>
          <w:p w14:paraId="52098F4D">
            <w:pPr>
              <w:pStyle w:val="6"/>
              <w:spacing w:before="78" w:line="212" w:lineRule="auto"/>
              <w:ind w:left="239"/>
            </w:pPr>
            <w:r>
              <w:rPr>
                <w:spacing w:val="-2"/>
              </w:rPr>
              <w:t>0.22</w:t>
            </w:r>
          </w:p>
        </w:tc>
        <w:tc>
          <w:tcPr>
            <w:tcW w:w="706" w:type="dxa"/>
            <w:vAlign w:val="top"/>
          </w:tcPr>
          <w:p w14:paraId="261E8BEA">
            <w:pPr>
              <w:pStyle w:val="6"/>
              <w:spacing w:before="78" w:line="212" w:lineRule="auto"/>
              <w:ind w:left="168"/>
            </w:pPr>
            <w:r>
              <w:rPr>
                <w:spacing w:val="-2"/>
              </w:rPr>
              <w:t>0.40</w:t>
            </w:r>
          </w:p>
        </w:tc>
        <w:tc>
          <w:tcPr>
            <w:tcW w:w="849" w:type="dxa"/>
            <w:vAlign w:val="top"/>
          </w:tcPr>
          <w:p w14:paraId="75843E86">
            <w:pPr>
              <w:pStyle w:val="6"/>
              <w:spacing w:before="78" w:line="212" w:lineRule="auto"/>
              <w:ind w:left="242"/>
            </w:pPr>
            <w:r>
              <w:rPr>
                <w:spacing w:val="-2"/>
              </w:rPr>
              <w:t>0.23</w:t>
            </w:r>
          </w:p>
        </w:tc>
        <w:tc>
          <w:tcPr>
            <w:tcW w:w="848" w:type="dxa"/>
            <w:vAlign w:val="top"/>
          </w:tcPr>
          <w:p w14:paraId="01BBE6E9">
            <w:pPr>
              <w:pStyle w:val="6"/>
              <w:spacing w:before="78" w:line="212" w:lineRule="auto"/>
              <w:ind w:left="243"/>
            </w:pPr>
            <w:r>
              <w:rPr>
                <w:spacing w:val="-2"/>
              </w:rPr>
              <w:t>0.11</w:t>
            </w:r>
          </w:p>
        </w:tc>
        <w:tc>
          <w:tcPr>
            <w:tcW w:w="848" w:type="dxa"/>
            <w:vAlign w:val="top"/>
          </w:tcPr>
          <w:p w14:paraId="0B2D38B3">
            <w:pPr>
              <w:pStyle w:val="6"/>
              <w:spacing w:before="78" w:line="212" w:lineRule="auto"/>
              <w:ind w:left="246"/>
            </w:pPr>
            <w:r>
              <w:rPr>
                <w:spacing w:val="-2"/>
              </w:rPr>
              <w:t>0.20</w:t>
            </w:r>
          </w:p>
        </w:tc>
        <w:tc>
          <w:tcPr>
            <w:tcW w:w="851" w:type="dxa"/>
            <w:vAlign w:val="top"/>
          </w:tcPr>
          <w:p w14:paraId="5C8A58B2">
            <w:pPr>
              <w:pStyle w:val="6"/>
              <w:spacing w:before="78" w:line="212" w:lineRule="auto"/>
              <w:ind w:left="249"/>
            </w:pPr>
            <w:r>
              <w:rPr>
                <w:spacing w:val="-2"/>
              </w:rPr>
              <w:t>0.20</w:t>
            </w:r>
          </w:p>
        </w:tc>
        <w:tc>
          <w:tcPr>
            <w:tcW w:w="1979" w:type="dxa"/>
            <w:vAlign w:val="top"/>
          </w:tcPr>
          <w:p w14:paraId="7B3BC241">
            <w:pPr>
              <w:pStyle w:val="6"/>
              <w:spacing w:before="169" w:line="100" w:lineRule="exact"/>
              <w:ind w:left="932"/>
            </w:pPr>
            <w:r>
              <w:rPr>
                <w:spacing w:val="-3"/>
                <w:position w:val="-6"/>
              </w:rPr>
              <w:t>--</w:t>
            </w:r>
          </w:p>
        </w:tc>
        <w:tc>
          <w:tcPr>
            <w:tcW w:w="1950" w:type="dxa"/>
            <w:tcBorders>
              <w:right w:val="single" w:color="000000" w:sz="12" w:space="0"/>
            </w:tcBorders>
            <w:vAlign w:val="top"/>
          </w:tcPr>
          <w:p w14:paraId="560BEE5C">
            <w:pPr>
              <w:pStyle w:val="6"/>
              <w:spacing w:before="78" w:line="212" w:lineRule="auto"/>
              <w:ind w:left="799"/>
            </w:pPr>
            <w:r>
              <w:rPr>
                <w:spacing w:val="-2"/>
              </w:rPr>
              <w:t>0.03</w:t>
            </w:r>
          </w:p>
        </w:tc>
      </w:tr>
      <w:tr w14:paraId="47747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A2447E8">
            <w:pPr>
              <w:rPr>
                <w:rFonts w:ascii="Arial"/>
                <w:sz w:val="21"/>
              </w:rPr>
            </w:pPr>
          </w:p>
        </w:tc>
        <w:tc>
          <w:tcPr>
            <w:tcW w:w="329" w:type="dxa"/>
            <w:vMerge w:val="continue"/>
            <w:tcBorders>
              <w:top w:val="nil"/>
            </w:tcBorders>
            <w:vAlign w:val="top"/>
          </w:tcPr>
          <w:p w14:paraId="237931C5">
            <w:pPr>
              <w:rPr>
                <w:rFonts w:ascii="Arial"/>
                <w:sz w:val="21"/>
              </w:rPr>
            </w:pPr>
          </w:p>
        </w:tc>
        <w:tc>
          <w:tcPr>
            <w:tcW w:w="1316" w:type="dxa"/>
            <w:vAlign w:val="top"/>
          </w:tcPr>
          <w:p w14:paraId="0474EF04">
            <w:pPr>
              <w:pStyle w:val="6"/>
              <w:spacing w:before="79" w:line="210" w:lineRule="auto"/>
              <w:ind w:left="220"/>
            </w:pPr>
            <w:r>
              <w:rPr>
                <w:spacing w:val="-1"/>
              </w:rPr>
              <w:t>2019/1/17</w:t>
            </w:r>
          </w:p>
        </w:tc>
        <w:tc>
          <w:tcPr>
            <w:tcW w:w="711" w:type="dxa"/>
            <w:vAlign w:val="top"/>
          </w:tcPr>
          <w:p w14:paraId="7E936CDF">
            <w:pPr>
              <w:pStyle w:val="6"/>
              <w:spacing w:before="79" w:line="210" w:lineRule="auto"/>
              <w:ind w:left="167"/>
            </w:pPr>
            <w:r>
              <w:rPr>
                <w:spacing w:val="-2"/>
              </w:rPr>
              <w:t>0.75</w:t>
            </w:r>
          </w:p>
        </w:tc>
        <w:tc>
          <w:tcPr>
            <w:tcW w:w="706" w:type="dxa"/>
            <w:vAlign w:val="top"/>
          </w:tcPr>
          <w:p w14:paraId="6CCF1671">
            <w:pPr>
              <w:pStyle w:val="6"/>
              <w:spacing w:before="79" w:line="210" w:lineRule="auto"/>
              <w:ind w:left="165"/>
            </w:pPr>
            <w:r>
              <w:rPr>
                <w:spacing w:val="-2"/>
              </w:rPr>
              <w:t>0.80</w:t>
            </w:r>
          </w:p>
        </w:tc>
        <w:tc>
          <w:tcPr>
            <w:tcW w:w="848" w:type="dxa"/>
            <w:vAlign w:val="top"/>
          </w:tcPr>
          <w:p w14:paraId="5A123523">
            <w:pPr>
              <w:pStyle w:val="6"/>
              <w:spacing w:before="79" w:line="210" w:lineRule="auto"/>
              <w:ind w:left="239"/>
            </w:pPr>
            <w:r>
              <w:rPr>
                <w:spacing w:val="-2"/>
              </w:rPr>
              <w:t>0.20</w:t>
            </w:r>
          </w:p>
        </w:tc>
        <w:tc>
          <w:tcPr>
            <w:tcW w:w="706" w:type="dxa"/>
            <w:vAlign w:val="top"/>
          </w:tcPr>
          <w:p w14:paraId="023AEA5E">
            <w:pPr>
              <w:pStyle w:val="6"/>
              <w:spacing w:before="79" w:line="210" w:lineRule="auto"/>
              <w:ind w:left="168"/>
            </w:pPr>
            <w:r>
              <w:rPr>
                <w:spacing w:val="-2"/>
              </w:rPr>
              <w:t>0.40</w:t>
            </w:r>
          </w:p>
        </w:tc>
        <w:tc>
          <w:tcPr>
            <w:tcW w:w="849" w:type="dxa"/>
            <w:vAlign w:val="top"/>
          </w:tcPr>
          <w:p w14:paraId="093D34D8">
            <w:pPr>
              <w:pStyle w:val="6"/>
              <w:spacing w:before="79" w:line="210" w:lineRule="auto"/>
              <w:ind w:left="242"/>
            </w:pPr>
            <w:r>
              <w:rPr>
                <w:spacing w:val="-2"/>
              </w:rPr>
              <w:t>0.25</w:t>
            </w:r>
          </w:p>
        </w:tc>
        <w:tc>
          <w:tcPr>
            <w:tcW w:w="848" w:type="dxa"/>
            <w:vAlign w:val="top"/>
          </w:tcPr>
          <w:p w14:paraId="581370A7">
            <w:pPr>
              <w:pStyle w:val="6"/>
              <w:spacing w:before="79" w:line="210" w:lineRule="auto"/>
              <w:ind w:left="243"/>
            </w:pPr>
            <w:r>
              <w:rPr>
                <w:spacing w:val="-2"/>
              </w:rPr>
              <w:t>0.10</w:t>
            </w:r>
          </w:p>
        </w:tc>
        <w:tc>
          <w:tcPr>
            <w:tcW w:w="848" w:type="dxa"/>
            <w:vAlign w:val="top"/>
          </w:tcPr>
          <w:p w14:paraId="56123685">
            <w:pPr>
              <w:pStyle w:val="6"/>
              <w:spacing w:before="79" w:line="210" w:lineRule="auto"/>
              <w:ind w:left="246"/>
            </w:pPr>
            <w:r>
              <w:rPr>
                <w:spacing w:val="-2"/>
              </w:rPr>
              <w:t>0.15</w:t>
            </w:r>
          </w:p>
        </w:tc>
        <w:tc>
          <w:tcPr>
            <w:tcW w:w="851" w:type="dxa"/>
            <w:vAlign w:val="top"/>
          </w:tcPr>
          <w:p w14:paraId="6D4C531B">
            <w:pPr>
              <w:pStyle w:val="6"/>
              <w:spacing w:before="79" w:line="210" w:lineRule="auto"/>
              <w:ind w:left="249"/>
            </w:pPr>
            <w:r>
              <w:rPr>
                <w:spacing w:val="-2"/>
              </w:rPr>
              <w:t>0.20</w:t>
            </w:r>
          </w:p>
        </w:tc>
        <w:tc>
          <w:tcPr>
            <w:tcW w:w="1979" w:type="dxa"/>
            <w:vAlign w:val="top"/>
          </w:tcPr>
          <w:p w14:paraId="56DE8459">
            <w:pPr>
              <w:pStyle w:val="6"/>
              <w:spacing w:before="170" w:line="100" w:lineRule="exact"/>
              <w:ind w:left="932"/>
            </w:pPr>
            <w:r>
              <w:rPr>
                <w:spacing w:val="-3"/>
                <w:position w:val="-6"/>
              </w:rPr>
              <w:t>--</w:t>
            </w:r>
          </w:p>
        </w:tc>
        <w:tc>
          <w:tcPr>
            <w:tcW w:w="1950" w:type="dxa"/>
            <w:tcBorders>
              <w:right w:val="single" w:color="000000" w:sz="12" w:space="0"/>
            </w:tcBorders>
            <w:vAlign w:val="top"/>
          </w:tcPr>
          <w:p w14:paraId="5252988A">
            <w:pPr>
              <w:pStyle w:val="6"/>
              <w:spacing w:before="79" w:line="210" w:lineRule="auto"/>
              <w:ind w:left="799"/>
            </w:pPr>
            <w:r>
              <w:rPr>
                <w:spacing w:val="-2"/>
              </w:rPr>
              <w:t>0.03</w:t>
            </w:r>
          </w:p>
        </w:tc>
      </w:tr>
      <w:tr w14:paraId="1C660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35D612C3">
            <w:pPr>
              <w:rPr>
                <w:rFonts w:ascii="Arial"/>
                <w:sz w:val="21"/>
              </w:rPr>
            </w:pPr>
          </w:p>
        </w:tc>
        <w:tc>
          <w:tcPr>
            <w:tcW w:w="329" w:type="dxa"/>
            <w:vMerge w:val="restart"/>
            <w:tcBorders>
              <w:bottom w:val="nil"/>
            </w:tcBorders>
            <w:vAlign w:val="top"/>
          </w:tcPr>
          <w:p w14:paraId="1F93896F">
            <w:pPr>
              <w:pStyle w:val="6"/>
              <w:spacing w:before="120" w:line="223" w:lineRule="auto"/>
              <w:ind w:left="97"/>
            </w:pPr>
            <w:r>
              <w:t>2</w:t>
            </w:r>
          </w:p>
          <w:p w14:paraId="558E94FB">
            <w:pPr>
              <w:spacing w:line="219" w:lineRule="auto"/>
              <w:ind w:left="49"/>
              <w:rPr>
                <w:rFonts w:ascii="宋体" w:hAnsi="宋体" w:eastAsia="宋体" w:cs="宋体"/>
                <w:sz w:val="21"/>
                <w:szCs w:val="21"/>
              </w:rPr>
            </w:pPr>
            <w:r>
              <w:rPr>
                <w:rFonts w:ascii="宋体" w:hAnsi="宋体" w:eastAsia="宋体" w:cs="宋体"/>
                <w:sz w:val="21"/>
                <w:szCs w:val="21"/>
              </w:rPr>
              <w:t>季</w:t>
            </w:r>
          </w:p>
          <w:p w14:paraId="57708E6D">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76F9A702">
            <w:pPr>
              <w:pStyle w:val="6"/>
              <w:spacing w:before="80" w:line="210" w:lineRule="auto"/>
              <w:ind w:left="220"/>
            </w:pPr>
            <w:r>
              <w:rPr>
                <w:spacing w:val="-1"/>
              </w:rPr>
              <w:t>2019/5/10</w:t>
            </w:r>
          </w:p>
        </w:tc>
        <w:tc>
          <w:tcPr>
            <w:tcW w:w="711" w:type="dxa"/>
            <w:vAlign w:val="top"/>
          </w:tcPr>
          <w:p w14:paraId="6EBE36E2">
            <w:pPr>
              <w:pStyle w:val="6"/>
              <w:spacing w:before="80" w:line="210" w:lineRule="auto"/>
              <w:ind w:left="167"/>
            </w:pPr>
            <w:r>
              <w:rPr>
                <w:spacing w:val="-2"/>
              </w:rPr>
              <w:t>0.71</w:t>
            </w:r>
          </w:p>
        </w:tc>
        <w:tc>
          <w:tcPr>
            <w:tcW w:w="706" w:type="dxa"/>
            <w:vAlign w:val="top"/>
          </w:tcPr>
          <w:p w14:paraId="25BF65C4">
            <w:pPr>
              <w:pStyle w:val="6"/>
              <w:spacing w:before="80" w:line="210" w:lineRule="auto"/>
              <w:ind w:left="165"/>
            </w:pPr>
            <w:r>
              <w:rPr>
                <w:spacing w:val="-2"/>
              </w:rPr>
              <w:t>0.98</w:t>
            </w:r>
          </w:p>
        </w:tc>
        <w:tc>
          <w:tcPr>
            <w:tcW w:w="848" w:type="dxa"/>
            <w:vAlign w:val="top"/>
          </w:tcPr>
          <w:p w14:paraId="737C3E24">
            <w:pPr>
              <w:pStyle w:val="6"/>
              <w:spacing w:before="80" w:line="210" w:lineRule="auto"/>
              <w:ind w:left="239"/>
            </w:pPr>
            <w:r>
              <w:rPr>
                <w:spacing w:val="-2"/>
              </w:rPr>
              <w:t>0.53</w:t>
            </w:r>
          </w:p>
        </w:tc>
        <w:tc>
          <w:tcPr>
            <w:tcW w:w="706" w:type="dxa"/>
            <w:vAlign w:val="top"/>
          </w:tcPr>
          <w:p w14:paraId="4F85FE0E">
            <w:pPr>
              <w:pStyle w:val="6"/>
              <w:spacing w:before="80" w:line="210" w:lineRule="auto"/>
              <w:ind w:left="168"/>
            </w:pPr>
            <w:r>
              <w:rPr>
                <w:spacing w:val="-2"/>
              </w:rPr>
              <w:t>0.50</w:t>
            </w:r>
          </w:p>
        </w:tc>
        <w:tc>
          <w:tcPr>
            <w:tcW w:w="849" w:type="dxa"/>
            <w:vAlign w:val="top"/>
          </w:tcPr>
          <w:p w14:paraId="52C610FF">
            <w:pPr>
              <w:pStyle w:val="6"/>
              <w:spacing w:before="80" w:line="210" w:lineRule="auto"/>
              <w:ind w:left="242"/>
            </w:pPr>
            <w:r>
              <w:rPr>
                <w:spacing w:val="-2"/>
              </w:rPr>
              <w:t>0.45</w:t>
            </w:r>
          </w:p>
        </w:tc>
        <w:tc>
          <w:tcPr>
            <w:tcW w:w="848" w:type="dxa"/>
            <w:vAlign w:val="top"/>
          </w:tcPr>
          <w:p w14:paraId="09772F27">
            <w:pPr>
              <w:pStyle w:val="6"/>
              <w:spacing w:before="80" w:line="210" w:lineRule="auto"/>
              <w:ind w:left="243"/>
            </w:pPr>
            <w:r>
              <w:rPr>
                <w:spacing w:val="-2"/>
              </w:rPr>
              <w:t>0.09</w:t>
            </w:r>
          </w:p>
        </w:tc>
        <w:tc>
          <w:tcPr>
            <w:tcW w:w="848" w:type="dxa"/>
            <w:vAlign w:val="top"/>
          </w:tcPr>
          <w:p w14:paraId="4C1F6727">
            <w:pPr>
              <w:pStyle w:val="6"/>
              <w:spacing w:before="80" w:line="210" w:lineRule="auto"/>
              <w:ind w:left="246"/>
            </w:pPr>
            <w:r>
              <w:rPr>
                <w:spacing w:val="-2"/>
              </w:rPr>
              <w:t>0.15</w:t>
            </w:r>
          </w:p>
        </w:tc>
        <w:tc>
          <w:tcPr>
            <w:tcW w:w="851" w:type="dxa"/>
            <w:vAlign w:val="top"/>
          </w:tcPr>
          <w:p w14:paraId="5EE0D212">
            <w:pPr>
              <w:pStyle w:val="6"/>
              <w:spacing w:before="80" w:line="210" w:lineRule="auto"/>
              <w:ind w:left="249"/>
            </w:pPr>
            <w:r>
              <w:rPr>
                <w:spacing w:val="-2"/>
              </w:rPr>
              <w:t>0.60</w:t>
            </w:r>
          </w:p>
        </w:tc>
        <w:tc>
          <w:tcPr>
            <w:tcW w:w="1979" w:type="dxa"/>
            <w:vAlign w:val="top"/>
          </w:tcPr>
          <w:p w14:paraId="326E7C13">
            <w:pPr>
              <w:pStyle w:val="6"/>
              <w:spacing w:before="80" w:line="210" w:lineRule="auto"/>
              <w:ind w:left="816"/>
            </w:pPr>
            <w:r>
              <w:rPr>
                <w:spacing w:val="-2"/>
              </w:rPr>
              <w:t>0.40</w:t>
            </w:r>
          </w:p>
        </w:tc>
        <w:tc>
          <w:tcPr>
            <w:tcW w:w="1950" w:type="dxa"/>
            <w:tcBorders>
              <w:right w:val="single" w:color="000000" w:sz="12" w:space="0"/>
            </w:tcBorders>
            <w:vAlign w:val="top"/>
          </w:tcPr>
          <w:p w14:paraId="74B06DCB">
            <w:pPr>
              <w:pStyle w:val="6"/>
              <w:spacing w:before="80" w:line="210" w:lineRule="auto"/>
              <w:ind w:left="799"/>
            </w:pPr>
            <w:r>
              <w:rPr>
                <w:spacing w:val="-2"/>
              </w:rPr>
              <w:t>0.00</w:t>
            </w:r>
          </w:p>
        </w:tc>
      </w:tr>
      <w:tr w14:paraId="5D934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AAD5802">
            <w:pPr>
              <w:rPr>
                <w:rFonts w:ascii="Arial"/>
                <w:sz w:val="21"/>
              </w:rPr>
            </w:pPr>
          </w:p>
        </w:tc>
        <w:tc>
          <w:tcPr>
            <w:tcW w:w="329" w:type="dxa"/>
            <w:vMerge w:val="continue"/>
            <w:tcBorders>
              <w:top w:val="nil"/>
              <w:bottom w:val="nil"/>
            </w:tcBorders>
            <w:vAlign w:val="top"/>
          </w:tcPr>
          <w:p w14:paraId="275945E6">
            <w:pPr>
              <w:rPr>
                <w:rFonts w:ascii="Arial"/>
                <w:sz w:val="21"/>
              </w:rPr>
            </w:pPr>
          </w:p>
        </w:tc>
        <w:tc>
          <w:tcPr>
            <w:tcW w:w="1316" w:type="dxa"/>
            <w:vAlign w:val="top"/>
          </w:tcPr>
          <w:p w14:paraId="2E87B7BF">
            <w:pPr>
              <w:pStyle w:val="6"/>
              <w:spacing w:before="80" w:line="209" w:lineRule="auto"/>
              <w:ind w:left="220"/>
            </w:pPr>
            <w:r>
              <w:rPr>
                <w:spacing w:val="-1"/>
              </w:rPr>
              <w:t>2019/5/11</w:t>
            </w:r>
          </w:p>
        </w:tc>
        <w:tc>
          <w:tcPr>
            <w:tcW w:w="711" w:type="dxa"/>
            <w:vAlign w:val="top"/>
          </w:tcPr>
          <w:p w14:paraId="54E1A60E">
            <w:pPr>
              <w:pStyle w:val="6"/>
              <w:spacing w:before="80" w:line="209" w:lineRule="auto"/>
              <w:ind w:left="167"/>
            </w:pPr>
            <w:r>
              <w:rPr>
                <w:spacing w:val="-2"/>
              </w:rPr>
              <w:t>0.68</w:t>
            </w:r>
          </w:p>
        </w:tc>
        <w:tc>
          <w:tcPr>
            <w:tcW w:w="706" w:type="dxa"/>
            <w:vAlign w:val="top"/>
          </w:tcPr>
          <w:p w14:paraId="089989A9">
            <w:pPr>
              <w:pStyle w:val="6"/>
              <w:spacing w:before="80" w:line="209" w:lineRule="auto"/>
              <w:ind w:left="165"/>
            </w:pPr>
            <w:r>
              <w:rPr>
                <w:spacing w:val="-2"/>
              </w:rPr>
              <w:t>0.94</w:t>
            </w:r>
          </w:p>
        </w:tc>
        <w:tc>
          <w:tcPr>
            <w:tcW w:w="848" w:type="dxa"/>
            <w:vAlign w:val="top"/>
          </w:tcPr>
          <w:p w14:paraId="1EE6E737">
            <w:pPr>
              <w:pStyle w:val="6"/>
              <w:spacing w:before="80" w:line="209" w:lineRule="auto"/>
              <w:ind w:left="239"/>
            </w:pPr>
            <w:r>
              <w:rPr>
                <w:spacing w:val="-2"/>
              </w:rPr>
              <w:t>0.57</w:t>
            </w:r>
          </w:p>
        </w:tc>
        <w:tc>
          <w:tcPr>
            <w:tcW w:w="706" w:type="dxa"/>
            <w:vAlign w:val="top"/>
          </w:tcPr>
          <w:p w14:paraId="66795A29">
            <w:pPr>
              <w:pStyle w:val="6"/>
              <w:spacing w:before="80" w:line="209" w:lineRule="auto"/>
              <w:ind w:left="168"/>
            </w:pPr>
            <w:r>
              <w:rPr>
                <w:spacing w:val="-2"/>
              </w:rPr>
              <w:t>0.45</w:t>
            </w:r>
          </w:p>
        </w:tc>
        <w:tc>
          <w:tcPr>
            <w:tcW w:w="849" w:type="dxa"/>
            <w:vAlign w:val="top"/>
          </w:tcPr>
          <w:p w14:paraId="7E317E9C">
            <w:pPr>
              <w:pStyle w:val="6"/>
              <w:spacing w:before="80" w:line="209" w:lineRule="auto"/>
              <w:ind w:left="242"/>
            </w:pPr>
            <w:r>
              <w:rPr>
                <w:spacing w:val="-2"/>
              </w:rPr>
              <w:t>0.43</w:t>
            </w:r>
          </w:p>
        </w:tc>
        <w:tc>
          <w:tcPr>
            <w:tcW w:w="848" w:type="dxa"/>
            <w:vAlign w:val="top"/>
          </w:tcPr>
          <w:p w14:paraId="02004F3A">
            <w:pPr>
              <w:pStyle w:val="6"/>
              <w:spacing w:before="80" w:line="209" w:lineRule="auto"/>
              <w:ind w:left="243"/>
            </w:pPr>
            <w:r>
              <w:rPr>
                <w:spacing w:val="-2"/>
              </w:rPr>
              <w:t>0.08</w:t>
            </w:r>
          </w:p>
        </w:tc>
        <w:tc>
          <w:tcPr>
            <w:tcW w:w="848" w:type="dxa"/>
            <w:vAlign w:val="top"/>
          </w:tcPr>
          <w:p w14:paraId="3B5833E1">
            <w:pPr>
              <w:pStyle w:val="6"/>
              <w:spacing w:before="80" w:line="209" w:lineRule="auto"/>
              <w:ind w:left="246"/>
            </w:pPr>
            <w:r>
              <w:rPr>
                <w:spacing w:val="-2"/>
              </w:rPr>
              <w:t>0.10</w:t>
            </w:r>
          </w:p>
        </w:tc>
        <w:tc>
          <w:tcPr>
            <w:tcW w:w="851" w:type="dxa"/>
            <w:vAlign w:val="top"/>
          </w:tcPr>
          <w:p w14:paraId="72BC98FD">
            <w:pPr>
              <w:pStyle w:val="6"/>
              <w:spacing w:before="80" w:line="209" w:lineRule="auto"/>
              <w:ind w:left="249"/>
            </w:pPr>
            <w:r>
              <w:rPr>
                <w:spacing w:val="-2"/>
              </w:rPr>
              <w:t>0.40</w:t>
            </w:r>
          </w:p>
        </w:tc>
        <w:tc>
          <w:tcPr>
            <w:tcW w:w="1979" w:type="dxa"/>
            <w:vAlign w:val="top"/>
          </w:tcPr>
          <w:p w14:paraId="047109E2">
            <w:pPr>
              <w:pStyle w:val="6"/>
              <w:spacing w:before="80" w:line="209" w:lineRule="auto"/>
              <w:ind w:left="816"/>
            </w:pPr>
            <w:r>
              <w:rPr>
                <w:spacing w:val="-2"/>
              </w:rPr>
              <w:t>0.45</w:t>
            </w:r>
          </w:p>
        </w:tc>
        <w:tc>
          <w:tcPr>
            <w:tcW w:w="1950" w:type="dxa"/>
            <w:tcBorders>
              <w:right w:val="single" w:color="000000" w:sz="12" w:space="0"/>
            </w:tcBorders>
            <w:vAlign w:val="top"/>
          </w:tcPr>
          <w:p w14:paraId="151D2D72">
            <w:pPr>
              <w:pStyle w:val="6"/>
              <w:spacing w:before="80" w:line="209" w:lineRule="auto"/>
              <w:ind w:left="799"/>
            </w:pPr>
            <w:r>
              <w:rPr>
                <w:spacing w:val="-2"/>
              </w:rPr>
              <w:t>0.00</w:t>
            </w:r>
          </w:p>
        </w:tc>
      </w:tr>
      <w:tr w14:paraId="5940B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3870A9F">
            <w:pPr>
              <w:rPr>
                <w:rFonts w:ascii="Arial"/>
                <w:sz w:val="21"/>
              </w:rPr>
            </w:pPr>
          </w:p>
        </w:tc>
        <w:tc>
          <w:tcPr>
            <w:tcW w:w="329" w:type="dxa"/>
            <w:vMerge w:val="continue"/>
            <w:tcBorders>
              <w:top w:val="nil"/>
            </w:tcBorders>
            <w:vAlign w:val="top"/>
          </w:tcPr>
          <w:p w14:paraId="70A6E886">
            <w:pPr>
              <w:rPr>
                <w:rFonts w:ascii="Arial"/>
                <w:sz w:val="21"/>
              </w:rPr>
            </w:pPr>
          </w:p>
        </w:tc>
        <w:tc>
          <w:tcPr>
            <w:tcW w:w="1316" w:type="dxa"/>
            <w:vAlign w:val="top"/>
          </w:tcPr>
          <w:p w14:paraId="137289E1">
            <w:pPr>
              <w:pStyle w:val="6"/>
              <w:spacing w:before="83" w:line="206" w:lineRule="auto"/>
              <w:ind w:left="220"/>
            </w:pPr>
            <w:r>
              <w:rPr>
                <w:spacing w:val="-1"/>
              </w:rPr>
              <w:t>2019/5/12</w:t>
            </w:r>
          </w:p>
        </w:tc>
        <w:tc>
          <w:tcPr>
            <w:tcW w:w="711" w:type="dxa"/>
            <w:vAlign w:val="top"/>
          </w:tcPr>
          <w:p w14:paraId="6C8C28D8">
            <w:pPr>
              <w:pStyle w:val="6"/>
              <w:spacing w:before="83" w:line="206" w:lineRule="auto"/>
              <w:ind w:left="167"/>
            </w:pPr>
            <w:r>
              <w:rPr>
                <w:spacing w:val="-2"/>
              </w:rPr>
              <w:t>0.69</w:t>
            </w:r>
          </w:p>
        </w:tc>
        <w:tc>
          <w:tcPr>
            <w:tcW w:w="706" w:type="dxa"/>
            <w:vAlign w:val="top"/>
          </w:tcPr>
          <w:p w14:paraId="7266BA29">
            <w:pPr>
              <w:pStyle w:val="6"/>
              <w:spacing w:before="83" w:line="206" w:lineRule="auto"/>
              <w:ind w:left="165"/>
            </w:pPr>
            <w:r>
              <w:rPr>
                <w:spacing w:val="-2"/>
              </w:rPr>
              <w:t>0.84</w:t>
            </w:r>
          </w:p>
        </w:tc>
        <w:tc>
          <w:tcPr>
            <w:tcW w:w="848" w:type="dxa"/>
            <w:vAlign w:val="top"/>
          </w:tcPr>
          <w:p w14:paraId="65FAB28D">
            <w:pPr>
              <w:pStyle w:val="6"/>
              <w:spacing w:before="83" w:line="206" w:lineRule="auto"/>
              <w:ind w:left="239"/>
            </w:pPr>
            <w:r>
              <w:rPr>
                <w:spacing w:val="-2"/>
              </w:rPr>
              <w:t>0.50</w:t>
            </w:r>
          </w:p>
        </w:tc>
        <w:tc>
          <w:tcPr>
            <w:tcW w:w="706" w:type="dxa"/>
            <w:vAlign w:val="top"/>
          </w:tcPr>
          <w:p w14:paraId="387509C0">
            <w:pPr>
              <w:pStyle w:val="6"/>
              <w:spacing w:before="83" w:line="206" w:lineRule="auto"/>
              <w:ind w:left="168"/>
            </w:pPr>
            <w:r>
              <w:rPr>
                <w:spacing w:val="-2"/>
              </w:rPr>
              <w:t>0.55</w:t>
            </w:r>
          </w:p>
        </w:tc>
        <w:tc>
          <w:tcPr>
            <w:tcW w:w="849" w:type="dxa"/>
            <w:vAlign w:val="top"/>
          </w:tcPr>
          <w:p w14:paraId="1B07EC0C">
            <w:pPr>
              <w:pStyle w:val="6"/>
              <w:spacing w:before="83" w:line="206" w:lineRule="auto"/>
              <w:ind w:left="242"/>
            </w:pPr>
            <w:r>
              <w:rPr>
                <w:spacing w:val="-2"/>
              </w:rPr>
              <w:t>0.50</w:t>
            </w:r>
          </w:p>
        </w:tc>
        <w:tc>
          <w:tcPr>
            <w:tcW w:w="848" w:type="dxa"/>
            <w:vAlign w:val="top"/>
          </w:tcPr>
          <w:p w14:paraId="6BE5FF7E">
            <w:pPr>
              <w:pStyle w:val="6"/>
              <w:spacing w:before="83" w:line="206" w:lineRule="auto"/>
              <w:ind w:left="243"/>
            </w:pPr>
            <w:r>
              <w:rPr>
                <w:spacing w:val="-2"/>
              </w:rPr>
              <w:t>0.08</w:t>
            </w:r>
          </w:p>
        </w:tc>
        <w:tc>
          <w:tcPr>
            <w:tcW w:w="848" w:type="dxa"/>
            <w:vAlign w:val="top"/>
          </w:tcPr>
          <w:p w14:paraId="53E3C1C8">
            <w:pPr>
              <w:pStyle w:val="6"/>
              <w:spacing w:before="83" w:line="206" w:lineRule="auto"/>
              <w:ind w:left="246"/>
            </w:pPr>
            <w:r>
              <w:rPr>
                <w:spacing w:val="-2"/>
              </w:rPr>
              <w:t>0.15</w:t>
            </w:r>
          </w:p>
        </w:tc>
        <w:tc>
          <w:tcPr>
            <w:tcW w:w="851" w:type="dxa"/>
            <w:vAlign w:val="top"/>
          </w:tcPr>
          <w:p w14:paraId="59EE4DCF">
            <w:pPr>
              <w:pStyle w:val="6"/>
              <w:spacing w:before="83" w:line="206" w:lineRule="auto"/>
              <w:ind w:left="249"/>
            </w:pPr>
            <w:r>
              <w:rPr>
                <w:spacing w:val="-2"/>
              </w:rPr>
              <w:t>0.40</w:t>
            </w:r>
          </w:p>
        </w:tc>
        <w:tc>
          <w:tcPr>
            <w:tcW w:w="1979" w:type="dxa"/>
            <w:vAlign w:val="top"/>
          </w:tcPr>
          <w:p w14:paraId="3591EA33">
            <w:pPr>
              <w:pStyle w:val="6"/>
              <w:spacing w:before="83" w:line="206" w:lineRule="auto"/>
              <w:ind w:left="816"/>
            </w:pPr>
            <w:r>
              <w:rPr>
                <w:spacing w:val="-2"/>
              </w:rPr>
              <w:t>0.35</w:t>
            </w:r>
          </w:p>
        </w:tc>
        <w:tc>
          <w:tcPr>
            <w:tcW w:w="1950" w:type="dxa"/>
            <w:tcBorders>
              <w:right w:val="single" w:color="000000" w:sz="12" w:space="0"/>
            </w:tcBorders>
            <w:vAlign w:val="top"/>
          </w:tcPr>
          <w:p w14:paraId="18887DCC">
            <w:pPr>
              <w:pStyle w:val="6"/>
              <w:spacing w:before="83" w:line="206" w:lineRule="auto"/>
              <w:ind w:left="799"/>
            </w:pPr>
            <w:r>
              <w:rPr>
                <w:spacing w:val="-2"/>
              </w:rPr>
              <w:t>0.00</w:t>
            </w:r>
          </w:p>
        </w:tc>
      </w:tr>
      <w:tr w14:paraId="2988B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708BA31">
            <w:pPr>
              <w:rPr>
                <w:rFonts w:ascii="Arial"/>
                <w:sz w:val="21"/>
              </w:rPr>
            </w:pPr>
          </w:p>
        </w:tc>
        <w:tc>
          <w:tcPr>
            <w:tcW w:w="329" w:type="dxa"/>
            <w:vMerge w:val="restart"/>
            <w:tcBorders>
              <w:bottom w:val="nil"/>
            </w:tcBorders>
            <w:vAlign w:val="top"/>
          </w:tcPr>
          <w:p w14:paraId="2D8EEA59">
            <w:pPr>
              <w:pStyle w:val="6"/>
              <w:spacing w:before="125" w:line="222" w:lineRule="auto"/>
              <w:ind w:left="102"/>
            </w:pPr>
            <w:r>
              <w:t>3</w:t>
            </w:r>
          </w:p>
          <w:p w14:paraId="664CEEC0">
            <w:pPr>
              <w:spacing w:line="219" w:lineRule="auto"/>
              <w:ind w:left="49"/>
              <w:rPr>
                <w:rFonts w:ascii="宋体" w:hAnsi="宋体" w:eastAsia="宋体" w:cs="宋体"/>
                <w:sz w:val="21"/>
                <w:szCs w:val="21"/>
              </w:rPr>
            </w:pPr>
            <w:r>
              <w:rPr>
                <w:rFonts w:ascii="宋体" w:hAnsi="宋体" w:eastAsia="宋体" w:cs="宋体"/>
                <w:sz w:val="21"/>
                <w:szCs w:val="21"/>
              </w:rPr>
              <w:t>季</w:t>
            </w:r>
          </w:p>
          <w:p w14:paraId="0F9F826F">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523AEFF6">
            <w:pPr>
              <w:pStyle w:val="6"/>
              <w:spacing w:before="84" w:line="206" w:lineRule="auto"/>
              <w:ind w:left="220"/>
            </w:pPr>
            <w:r>
              <w:rPr>
                <w:spacing w:val="-1"/>
              </w:rPr>
              <w:t>2019/8/06</w:t>
            </w:r>
          </w:p>
        </w:tc>
        <w:tc>
          <w:tcPr>
            <w:tcW w:w="711" w:type="dxa"/>
            <w:vAlign w:val="top"/>
          </w:tcPr>
          <w:p w14:paraId="6B534AA8">
            <w:pPr>
              <w:pStyle w:val="6"/>
              <w:spacing w:before="84" w:line="206" w:lineRule="auto"/>
              <w:ind w:left="167"/>
            </w:pPr>
            <w:r>
              <w:rPr>
                <w:spacing w:val="-2"/>
              </w:rPr>
              <w:t>0.57</w:t>
            </w:r>
          </w:p>
        </w:tc>
        <w:tc>
          <w:tcPr>
            <w:tcW w:w="706" w:type="dxa"/>
            <w:vAlign w:val="top"/>
          </w:tcPr>
          <w:p w14:paraId="1C66F166">
            <w:pPr>
              <w:pStyle w:val="6"/>
              <w:spacing w:before="84" w:line="206" w:lineRule="auto"/>
              <w:ind w:left="165"/>
            </w:pPr>
            <w:r>
              <w:rPr>
                <w:spacing w:val="-2"/>
              </w:rPr>
              <w:t>0.96</w:t>
            </w:r>
          </w:p>
        </w:tc>
        <w:tc>
          <w:tcPr>
            <w:tcW w:w="848" w:type="dxa"/>
            <w:vAlign w:val="top"/>
          </w:tcPr>
          <w:p w14:paraId="489A0B76">
            <w:pPr>
              <w:pStyle w:val="6"/>
              <w:spacing w:before="84" w:line="206" w:lineRule="auto"/>
              <w:ind w:left="239"/>
            </w:pPr>
            <w:r>
              <w:rPr>
                <w:spacing w:val="-2"/>
              </w:rPr>
              <w:t>0.50</w:t>
            </w:r>
          </w:p>
        </w:tc>
        <w:tc>
          <w:tcPr>
            <w:tcW w:w="706" w:type="dxa"/>
            <w:vAlign w:val="top"/>
          </w:tcPr>
          <w:p w14:paraId="2CD9B07F">
            <w:pPr>
              <w:pStyle w:val="6"/>
              <w:spacing w:before="84" w:line="206" w:lineRule="auto"/>
              <w:ind w:left="168"/>
            </w:pPr>
            <w:r>
              <w:rPr>
                <w:spacing w:val="-2"/>
              </w:rPr>
              <w:t>0.30</w:t>
            </w:r>
          </w:p>
        </w:tc>
        <w:tc>
          <w:tcPr>
            <w:tcW w:w="849" w:type="dxa"/>
            <w:vAlign w:val="top"/>
          </w:tcPr>
          <w:p w14:paraId="419C4AD5">
            <w:pPr>
              <w:pStyle w:val="6"/>
              <w:spacing w:before="84" w:line="206" w:lineRule="auto"/>
              <w:ind w:left="242"/>
            </w:pPr>
            <w:r>
              <w:rPr>
                <w:spacing w:val="-2"/>
              </w:rPr>
              <w:t>0.30</w:t>
            </w:r>
          </w:p>
        </w:tc>
        <w:tc>
          <w:tcPr>
            <w:tcW w:w="848" w:type="dxa"/>
            <w:vAlign w:val="top"/>
          </w:tcPr>
          <w:p w14:paraId="62A6CC93">
            <w:pPr>
              <w:pStyle w:val="6"/>
              <w:spacing w:before="84" w:line="206" w:lineRule="auto"/>
              <w:ind w:left="243"/>
            </w:pPr>
            <w:r>
              <w:rPr>
                <w:spacing w:val="-2"/>
              </w:rPr>
              <w:t>0.12</w:t>
            </w:r>
          </w:p>
        </w:tc>
        <w:tc>
          <w:tcPr>
            <w:tcW w:w="848" w:type="dxa"/>
            <w:vAlign w:val="top"/>
          </w:tcPr>
          <w:p w14:paraId="71E13C0C">
            <w:pPr>
              <w:pStyle w:val="6"/>
              <w:spacing w:before="84" w:line="206" w:lineRule="auto"/>
              <w:ind w:left="246"/>
            </w:pPr>
            <w:r>
              <w:rPr>
                <w:spacing w:val="-2"/>
              </w:rPr>
              <w:t>0.30</w:t>
            </w:r>
          </w:p>
        </w:tc>
        <w:tc>
          <w:tcPr>
            <w:tcW w:w="851" w:type="dxa"/>
            <w:vAlign w:val="top"/>
          </w:tcPr>
          <w:p w14:paraId="34A1D655">
            <w:pPr>
              <w:pStyle w:val="6"/>
              <w:spacing w:before="84" w:line="206" w:lineRule="auto"/>
              <w:ind w:left="249"/>
            </w:pPr>
            <w:r>
              <w:rPr>
                <w:spacing w:val="-2"/>
              </w:rPr>
              <w:t>0.40</w:t>
            </w:r>
          </w:p>
        </w:tc>
        <w:tc>
          <w:tcPr>
            <w:tcW w:w="1979" w:type="dxa"/>
            <w:vAlign w:val="top"/>
          </w:tcPr>
          <w:p w14:paraId="57F831E2">
            <w:pPr>
              <w:pStyle w:val="6"/>
              <w:spacing w:before="174" w:line="101" w:lineRule="exact"/>
              <w:ind w:left="932"/>
            </w:pPr>
            <w:r>
              <w:rPr>
                <w:spacing w:val="-3"/>
                <w:position w:val="-6"/>
              </w:rPr>
              <w:t>--</w:t>
            </w:r>
          </w:p>
        </w:tc>
        <w:tc>
          <w:tcPr>
            <w:tcW w:w="1950" w:type="dxa"/>
            <w:tcBorders>
              <w:right w:val="single" w:color="000000" w:sz="12" w:space="0"/>
            </w:tcBorders>
            <w:vAlign w:val="top"/>
          </w:tcPr>
          <w:p w14:paraId="4E7524B7">
            <w:pPr>
              <w:pStyle w:val="6"/>
              <w:spacing w:before="84" w:line="206" w:lineRule="auto"/>
              <w:ind w:left="799"/>
            </w:pPr>
            <w:r>
              <w:rPr>
                <w:spacing w:val="-2"/>
              </w:rPr>
              <w:t>0.06</w:t>
            </w:r>
          </w:p>
        </w:tc>
      </w:tr>
      <w:tr w14:paraId="44659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E3952E7">
            <w:pPr>
              <w:rPr>
                <w:rFonts w:ascii="Arial"/>
                <w:sz w:val="21"/>
              </w:rPr>
            </w:pPr>
          </w:p>
        </w:tc>
        <w:tc>
          <w:tcPr>
            <w:tcW w:w="329" w:type="dxa"/>
            <w:vMerge w:val="continue"/>
            <w:tcBorders>
              <w:top w:val="nil"/>
              <w:bottom w:val="nil"/>
            </w:tcBorders>
            <w:vAlign w:val="top"/>
          </w:tcPr>
          <w:p w14:paraId="1BD842B0">
            <w:pPr>
              <w:rPr>
                <w:rFonts w:ascii="Arial"/>
                <w:sz w:val="21"/>
              </w:rPr>
            </w:pPr>
          </w:p>
        </w:tc>
        <w:tc>
          <w:tcPr>
            <w:tcW w:w="1316" w:type="dxa"/>
            <w:vAlign w:val="top"/>
          </w:tcPr>
          <w:p w14:paraId="279C5C5B">
            <w:pPr>
              <w:pStyle w:val="6"/>
              <w:spacing w:before="85" w:line="204" w:lineRule="auto"/>
              <w:ind w:left="220"/>
            </w:pPr>
            <w:r>
              <w:rPr>
                <w:spacing w:val="-1"/>
              </w:rPr>
              <w:t>2019/8/07</w:t>
            </w:r>
          </w:p>
        </w:tc>
        <w:tc>
          <w:tcPr>
            <w:tcW w:w="711" w:type="dxa"/>
            <w:vAlign w:val="top"/>
          </w:tcPr>
          <w:p w14:paraId="55CAB504">
            <w:pPr>
              <w:pStyle w:val="6"/>
              <w:spacing w:before="85" w:line="204" w:lineRule="auto"/>
              <w:ind w:left="167"/>
            </w:pPr>
            <w:r>
              <w:rPr>
                <w:spacing w:val="-2"/>
              </w:rPr>
              <w:t>0.61</w:t>
            </w:r>
          </w:p>
        </w:tc>
        <w:tc>
          <w:tcPr>
            <w:tcW w:w="706" w:type="dxa"/>
            <w:vAlign w:val="top"/>
          </w:tcPr>
          <w:p w14:paraId="37C62F3B">
            <w:pPr>
              <w:pStyle w:val="6"/>
              <w:spacing w:before="85" w:line="204" w:lineRule="auto"/>
              <w:ind w:left="165"/>
            </w:pPr>
            <w:r>
              <w:rPr>
                <w:spacing w:val="-2"/>
              </w:rPr>
              <w:t>0.91</w:t>
            </w:r>
          </w:p>
        </w:tc>
        <w:tc>
          <w:tcPr>
            <w:tcW w:w="848" w:type="dxa"/>
            <w:vAlign w:val="top"/>
          </w:tcPr>
          <w:p w14:paraId="1D5D9BE0">
            <w:pPr>
              <w:pStyle w:val="6"/>
              <w:spacing w:before="85" w:line="204" w:lineRule="auto"/>
              <w:ind w:left="239"/>
            </w:pPr>
            <w:r>
              <w:rPr>
                <w:spacing w:val="-2"/>
              </w:rPr>
              <w:t>0.57</w:t>
            </w:r>
          </w:p>
        </w:tc>
        <w:tc>
          <w:tcPr>
            <w:tcW w:w="706" w:type="dxa"/>
            <w:vAlign w:val="top"/>
          </w:tcPr>
          <w:p w14:paraId="44077B4E">
            <w:pPr>
              <w:pStyle w:val="6"/>
              <w:spacing w:before="85" w:line="204" w:lineRule="auto"/>
              <w:ind w:left="168"/>
            </w:pPr>
            <w:r>
              <w:rPr>
                <w:spacing w:val="-2"/>
              </w:rPr>
              <w:t>0.45</w:t>
            </w:r>
          </w:p>
        </w:tc>
        <w:tc>
          <w:tcPr>
            <w:tcW w:w="849" w:type="dxa"/>
            <w:vAlign w:val="top"/>
          </w:tcPr>
          <w:p w14:paraId="49499797">
            <w:pPr>
              <w:pStyle w:val="6"/>
              <w:spacing w:before="85" w:line="204" w:lineRule="auto"/>
              <w:ind w:left="242"/>
            </w:pPr>
            <w:r>
              <w:rPr>
                <w:spacing w:val="-2"/>
              </w:rPr>
              <w:t>0.45</w:t>
            </w:r>
          </w:p>
        </w:tc>
        <w:tc>
          <w:tcPr>
            <w:tcW w:w="848" w:type="dxa"/>
            <w:vAlign w:val="top"/>
          </w:tcPr>
          <w:p w14:paraId="1250597E">
            <w:pPr>
              <w:pStyle w:val="6"/>
              <w:spacing w:before="85" w:line="204" w:lineRule="auto"/>
              <w:ind w:left="243"/>
            </w:pPr>
            <w:r>
              <w:rPr>
                <w:spacing w:val="-2"/>
              </w:rPr>
              <w:t>0.14</w:t>
            </w:r>
          </w:p>
        </w:tc>
        <w:tc>
          <w:tcPr>
            <w:tcW w:w="848" w:type="dxa"/>
            <w:vAlign w:val="top"/>
          </w:tcPr>
          <w:p w14:paraId="3DC66CFB">
            <w:pPr>
              <w:pStyle w:val="6"/>
              <w:spacing w:before="85" w:line="204" w:lineRule="auto"/>
              <w:ind w:left="246"/>
            </w:pPr>
            <w:r>
              <w:rPr>
                <w:spacing w:val="-2"/>
              </w:rPr>
              <w:t>0.30</w:t>
            </w:r>
          </w:p>
        </w:tc>
        <w:tc>
          <w:tcPr>
            <w:tcW w:w="851" w:type="dxa"/>
            <w:vAlign w:val="top"/>
          </w:tcPr>
          <w:p w14:paraId="0ED2F38F">
            <w:pPr>
              <w:pStyle w:val="6"/>
              <w:spacing w:before="85" w:line="204" w:lineRule="auto"/>
              <w:ind w:left="249"/>
            </w:pPr>
            <w:r>
              <w:rPr>
                <w:spacing w:val="-2"/>
              </w:rPr>
              <w:t>0.20</w:t>
            </w:r>
          </w:p>
        </w:tc>
        <w:tc>
          <w:tcPr>
            <w:tcW w:w="1979" w:type="dxa"/>
            <w:vAlign w:val="top"/>
          </w:tcPr>
          <w:p w14:paraId="2B228AD5">
            <w:pPr>
              <w:pStyle w:val="6"/>
              <w:spacing w:before="176" w:line="100" w:lineRule="exact"/>
              <w:ind w:left="932"/>
            </w:pPr>
            <w:r>
              <w:rPr>
                <w:spacing w:val="-3"/>
                <w:position w:val="-6"/>
              </w:rPr>
              <w:t>--</w:t>
            </w:r>
          </w:p>
        </w:tc>
        <w:tc>
          <w:tcPr>
            <w:tcW w:w="1950" w:type="dxa"/>
            <w:tcBorders>
              <w:right w:val="single" w:color="000000" w:sz="12" w:space="0"/>
            </w:tcBorders>
            <w:vAlign w:val="top"/>
          </w:tcPr>
          <w:p w14:paraId="70785633">
            <w:pPr>
              <w:pStyle w:val="6"/>
              <w:spacing w:before="85" w:line="204" w:lineRule="auto"/>
              <w:ind w:left="799"/>
            </w:pPr>
            <w:r>
              <w:rPr>
                <w:spacing w:val="-2"/>
              </w:rPr>
              <w:t>0.06</w:t>
            </w:r>
          </w:p>
        </w:tc>
      </w:tr>
      <w:tr w14:paraId="2674B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D5B0719">
            <w:pPr>
              <w:rPr>
                <w:rFonts w:ascii="Arial"/>
                <w:sz w:val="21"/>
              </w:rPr>
            </w:pPr>
          </w:p>
        </w:tc>
        <w:tc>
          <w:tcPr>
            <w:tcW w:w="329" w:type="dxa"/>
            <w:vMerge w:val="continue"/>
            <w:tcBorders>
              <w:top w:val="nil"/>
            </w:tcBorders>
            <w:vAlign w:val="top"/>
          </w:tcPr>
          <w:p w14:paraId="5E1C8980">
            <w:pPr>
              <w:rPr>
                <w:rFonts w:ascii="Arial"/>
                <w:sz w:val="21"/>
              </w:rPr>
            </w:pPr>
          </w:p>
        </w:tc>
        <w:tc>
          <w:tcPr>
            <w:tcW w:w="1316" w:type="dxa"/>
            <w:vAlign w:val="top"/>
          </w:tcPr>
          <w:p w14:paraId="5ED0FE4D">
            <w:pPr>
              <w:pStyle w:val="6"/>
              <w:spacing w:before="86" w:line="204" w:lineRule="auto"/>
              <w:ind w:left="220"/>
            </w:pPr>
            <w:r>
              <w:rPr>
                <w:spacing w:val="-1"/>
              </w:rPr>
              <w:t>2019/8/08</w:t>
            </w:r>
          </w:p>
        </w:tc>
        <w:tc>
          <w:tcPr>
            <w:tcW w:w="711" w:type="dxa"/>
            <w:vAlign w:val="top"/>
          </w:tcPr>
          <w:p w14:paraId="50CF30B1">
            <w:pPr>
              <w:pStyle w:val="6"/>
              <w:spacing w:before="86" w:line="204" w:lineRule="auto"/>
              <w:ind w:left="167"/>
            </w:pPr>
            <w:r>
              <w:rPr>
                <w:spacing w:val="-2"/>
              </w:rPr>
              <w:t>0.52</w:t>
            </w:r>
          </w:p>
        </w:tc>
        <w:tc>
          <w:tcPr>
            <w:tcW w:w="706" w:type="dxa"/>
            <w:vAlign w:val="top"/>
          </w:tcPr>
          <w:p w14:paraId="3AAF8D4B">
            <w:pPr>
              <w:pStyle w:val="6"/>
              <w:spacing w:before="86" w:line="204" w:lineRule="auto"/>
              <w:ind w:left="165"/>
            </w:pPr>
            <w:r>
              <w:rPr>
                <w:spacing w:val="-2"/>
              </w:rPr>
              <w:t>0.87</w:t>
            </w:r>
          </w:p>
        </w:tc>
        <w:tc>
          <w:tcPr>
            <w:tcW w:w="848" w:type="dxa"/>
            <w:vAlign w:val="top"/>
          </w:tcPr>
          <w:p w14:paraId="4A2CEB8A">
            <w:pPr>
              <w:pStyle w:val="6"/>
              <w:spacing w:before="86" w:line="204" w:lineRule="auto"/>
              <w:ind w:left="239"/>
            </w:pPr>
            <w:r>
              <w:rPr>
                <w:spacing w:val="-2"/>
              </w:rPr>
              <w:t>0.53</w:t>
            </w:r>
          </w:p>
        </w:tc>
        <w:tc>
          <w:tcPr>
            <w:tcW w:w="706" w:type="dxa"/>
            <w:vAlign w:val="top"/>
          </w:tcPr>
          <w:p w14:paraId="6AA7EE60">
            <w:pPr>
              <w:pStyle w:val="6"/>
              <w:spacing w:before="86" w:line="204" w:lineRule="auto"/>
              <w:ind w:left="168"/>
            </w:pPr>
            <w:r>
              <w:rPr>
                <w:spacing w:val="-2"/>
              </w:rPr>
              <w:t>0.35</w:t>
            </w:r>
          </w:p>
        </w:tc>
        <w:tc>
          <w:tcPr>
            <w:tcW w:w="849" w:type="dxa"/>
            <w:vAlign w:val="top"/>
          </w:tcPr>
          <w:p w14:paraId="2B687DEF">
            <w:pPr>
              <w:pStyle w:val="6"/>
              <w:spacing w:before="86" w:line="204" w:lineRule="auto"/>
              <w:ind w:left="242"/>
            </w:pPr>
            <w:r>
              <w:rPr>
                <w:spacing w:val="-2"/>
              </w:rPr>
              <w:t>0.35</w:t>
            </w:r>
          </w:p>
        </w:tc>
        <w:tc>
          <w:tcPr>
            <w:tcW w:w="848" w:type="dxa"/>
            <w:vAlign w:val="top"/>
          </w:tcPr>
          <w:p w14:paraId="53BF53C0">
            <w:pPr>
              <w:pStyle w:val="6"/>
              <w:spacing w:before="86" w:line="204" w:lineRule="auto"/>
              <w:ind w:left="243"/>
            </w:pPr>
            <w:r>
              <w:rPr>
                <w:spacing w:val="-2"/>
              </w:rPr>
              <w:t>0.12</w:t>
            </w:r>
          </w:p>
        </w:tc>
        <w:tc>
          <w:tcPr>
            <w:tcW w:w="848" w:type="dxa"/>
            <w:vAlign w:val="top"/>
          </w:tcPr>
          <w:p w14:paraId="055B549D">
            <w:pPr>
              <w:pStyle w:val="6"/>
              <w:spacing w:before="86" w:line="204" w:lineRule="auto"/>
              <w:ind w:left="246"/>
            </w:pPr>
            <w:r>
              <w:rPr>
                <w:spacing w:val="-2"/>
              </w:rPr>
              <w:t>0.25</w:t>
            </w:r>
          </w:p>
        </w:tc>
        <w:tc>
          <w:tcPr>
            <w:tcW w:w="851" w:type="dxa"/>
            <w:vAlign w:val="top"/>
          </w:tcPr>
          <w:p w14:paraId="299322ED">
            <w:pPr>
              <w:pStyle w:val="6"/>
              <w:spacing w:before="86" w:line="204" w:lineRule="auto"/>
              <w:ind w:left="249"/>
            </w:pPr>
            <w:r>
              <w:rPr>
                <w:spacing w:val="-2"/>
              </w:rPr>
              <w:t>0.40</w:t>
            </w:r>
          </w:p>
        </w:tc>
        <w:tc>
          <w:tcPr>
            <w:tcW w:w="1979" w:type="dxa"/>
            <w:vAlign w:val="top"/>
          </w:tcPr>
          <w:p w14:paraId="592F4109">
            <w:pPr>
              <w:pStyle w:val="6"/>
              <w:spacing w:before="177" w:line="100" w:lineRule="exact"/>
              <w:ind w:left="932"/>
            </w:pPr>
            <w:r>
              <w:rPr>
                <w:spacing w:val="-3"/>
                <w:position w:val="-6"/>
              </w:rPr>
              <w:t>--</w:t>
            </w:r>
          </w:p>
        </w:tc>
        <w:tc>
          <w:tcPr>
            <w:tcW w:w="1950" w:type="dxa"/>
            <w:tcBorders>
              <w:right w:val="single" w:color="000000" w:sz="12" w:space="0"/>
            </w:tcBorders>
            <w:vAlign w:val="top"/>
          </w:tcPr>
          <w:p w14:paraId="15664BEB">
            <w:pPr>
              <w:pStyle w:val="6"/>
              <w:spacing w:before="86" w:line="204" w:lineRule="auto"/>
              <w:ind w:left="799"/>
            </w:pPr>
            <w:r>
              <w:rPr>
                <w:spacing w:val="-2"/>
              </w:rPr>
              <w:t>0.06</w:t>
            </w:r>
          </w:p>
        </w:tc>
      </w:tr>
      <w:tr w14:paraId="75AF7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C08EF58">
            <w:pPr>
              <w:rPr>
                <w:rFonts w:ascii="Arial"/>
                <w:sz w:val="21"/>
              </w:rPr>
            </w:pPr>
          </w:p>
        </w:tc>
        <w:tc>
          <w:tcPr>
            <w:tcW w:w="329" w:type="dxa"/>
            <w:vMerge w:val="restart"/>
            <w:tcBorders>
              <w:bottom w:val="nil"/>
            </w:tcBorders>
            <w:vAlign w:val="top"/>
          </w:tcPr>
          <w:p w14:paraId="2CB84C85">
            <w:pPr>
              <w:pStyle w:val="6"/>
              <w:spacing w:before="127" w:line="222" w:lineRule="auto"/>
              <w:ind w:left="96"/>
            </w:pPr>
            <w:r>
              <w:t>4</w:t>
            </w:r>
          </w:p>
          <w:p w14:paraId="0C85A29D">
            <w:pPr>
              <w:spacing w:line="219" w:lineRule="auto"/>
              <w:ind w:left="49"/>
              <w:rPr>
                <w:rFonts w:ascii="宋体" w:hAnsi="宋体" w:eastAsia="宋体" w:cs="宋体"/>
                <w:sz w:val="21"/>
                <w:szCs w:val="21"/>
              </w:rPr>
            </w:pPr>
            <w:r>
              <w:rPr>
                <w:rFonts w:ascii="宋体" w:hAnsi="宋体" w:eastAsia="宋体" w:cs="宋体"/>
                <w:sz w:val="21"/>
                <w:szCs w:val="21"/>
              </w:rPr>
              <w:t>季</w:t>
            </w:r>
          </w:p>
          <w:p w14:paraId="7C5DF060">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759B04D5">
            <w:pPr>
              <w:pStyle w:val="6"/>
              <w:spacing w:before="86" w:line="203" w:lineRule="auto"/>
              <w:ind w:left="220"/>
            </w:pPr>
            <w:r>
              <w:rPr>
                <w:spacing w:val="-1"/>
              </w:rPr>
              <w:t>2019/11/9</w:t>
            </w:r>
          </w:p>
        </w:tc>
        <w:tc>
          <w:tcPr>
            <w:tcW w:w="711" w:type="dxa"/>
            <w:vAlign w:val="top"/>
          </w:tcPr>
          <w:p w14:paraId="40554E1F">
            <w:pPr>
              <w:pStyle w:val="6"/>
              <w:spacing w:before="86" w:line="203" w:lineRule="auto"/>
              <w:ind w:left="167"/>
            </w:pPr>
            <w:r>
              <w:rPr>
                <w:spacing w:val="-2"/>
              </w:rPr>
              <w:t>0.70</w:t>
            </w:r>
          </w:p>
        </w:tc>
        <w:tc>
          <w:tcPr>
            <w:tcW w:w="706" w:type="dxa"/>
            <w:vAlign w:val="top"/>
          </w:tcPr>
          <w:p w14:paraId="7DF399CB">
            <w:pPr>
              <w:pStyle w:val="6"/>
              <w:spacing w:before="86" w:line="203" w:lineRule="auto"/>
              <w:ind w:left="165"/>
            </w:pPr>
            <w:r>
              <w:rPr>
                <w:spacing w:val="-2"/>
              </w:rPr>
              <w:t>0.95</w:t>
            </w:r>
          </w:p>
        </w:tc>
        <w:tc>
          <w:tcPr>
            <w:tcW w:w="848" w:type="dxa"/>
            <w:vAlign w:val="top"/>
          </w:tcPr>
          <w:p w14:paraId="26DED433">
            <w:pPr>
              <w:pStyle w:val="6"/>
              <w:spacing w:before="86" w:line="203" w:lineRule="auto"/>
              <w:ind w:left="239"/>
            </w:pPr>
            <w:r>
              <w:rPr>
                <w:spacing w:val="-2"/>
              </w:rPr>
              <w:t>0.37</w:t>
            </w:r>
          </w:p>
        </w:tc>
        <w:tc>
          <w:tcPr>
            <w:tcW w:w="706" w:type="dxa"/>
            <w:vAlign w:val="top"/>
          </w:tcPr>
          <w:p w14:paraId="120BA101">
            <w:pPr>
              <w:pStyle w:val="6"/>
              <w:spacing w:before="86" w:line="203" w:lineRule="auto"/>
              <w:ind w:left="168"/>
            </w:pPr>
            <w:r>
              <w:rPr>
                <w:spacing w:val="-2"/>
              </w:rPr>
              <w:t>0.45</w:t>
            </w:r>
          </w:p>
        </w:tc>
        <w:tc>
          <w:tcPr>
            <w:tcW w:w="849" w:type="dxa"/>
            <w:vAlign w:val="top"/>
          </w:tcPr>
          <w:p w14:paraId="1DDDAA9B">
            <w:pPr>
              <w:pStyle w:val="6"/>
              <w:spacing w:before="86" w:line="203" w:lineRule="auto"/>
              <w:ind w:left="242"/>
            </w:pPr>
            <w:r>
              <w:rPr>
                <w:spacing w:val="-2"/>
              </w:rPr>
              <w:t>0.43</w:t>
            </w:r>
          </w:p>
        </w:tc>
        <w:tc>
          <w:tcPr>
            <w:tcW w:w="848" w:type="dxa"/>
            <w:vAlign w:val="top"/>
          </w:tcPr>
          <w:p w14:paraId="1B3C3412">
            <w:pPr>
              <w:pStyle w:val="6"/>
              <w:spacing w:before="86" w:line="203" w:lineRule="auto"/>
              <w:ind w:left="243"/>
            </w:pPr>
            <w:r>
              <w:rPr>
                <w:spacing w:val="-2"/>
              </w:rPr>
              <w:t>0.25</w:t>
            </w:r>
          </w:p>
        </w:tc>
        <w:tc>
          <w:tcPr>
            <w:tcW w:w="848" w:type="dxa"/>
            <w:vAlign w:val="top"/>
          </w:tcPr>
          <w:p w14:paraId="1287C9F7">
            <w:pPr>
              <w:pStyle w:val="6"/>
              <w:spacing w:before="86" w:line="203" w:lineRule="auto"/>
              <w:ind w:left="246"/>
            </w:pPr>
            <w:r>
              <w:rPr>
                <w:spacing w:val="-2"/>
              </w:rPr>
              <w:t>0.15</w:t>
            </w:r>
          </w:p>
        </w:tc>
        <w:tc>
          <w:tcPr>
            <w:tcW w:w="851" w:type="dxa"/>
            <w:vAlign w:val="top"/>
          </w:tcPr>
          <w:p w14:paraId="2F161DF8">
            <w:pPr>
              <w:pStyle w:val="6"/>
              <w:spacing w:before="86" w:line="203" w:lineRule="auto"/>
              <w:ind w:left="249"/>
            </w:pPr>
            <w:r>
              <w:rPr>
                <w:spacing w:val="-2"/>
              </w:rPr>
              <w:t>0.40</w:t>
            </w:r>
          </w:p>
        </w:tc>
        <w:tc>
          <w:tcPr>
            <w:tcW w:w="1979" w:type="dxa"/>
            <w:vAlign w:val="top"/>
          </w:tcPr>
          <w:p w14:paraId="5D0CDAB5">
            <w:pPr>
              <w:pStyle w:val="6"/>
              <w:spacing w:before="177" w:line="100" w:lineRule="exact"/>
              <w:ind w:left="932"/>
            </w:pPr>
            <w:r>
              <w:rPr>
                <w:spacing w:val="-3"/>
                <w:position w:val="-6"/>
              </w:rPr>
              <w:t>--</w:t>
            </w:r>
          </w:p>
        </w:tc>
        <w:tc>
          <w:tcPr>
            <w:tcW w:w="1950" w:type="dxa"/>
            <w:tcBorders>
              <w:right w:val="single" w:color="000000" w:sz="12" w:space="0"/>
            </w:tcBorders>
            <w:vAlign w:val="top"/>
          </w:tcPr>
          <w:p w14:paraId="081ACF1C">
            <w:pPr>
              <w:pStyle w:val="6"/>
              <w:spacing w:before="86" w:line="203" w:lineRule="auto"/>
              <w:ind w:left="799"/>
            </w:pPr>
            <w:r>
              <w:rPr>
                <w:spacing w:val="-2"/>
              </w:rPr>
              <w:t>0.00</w:t>
            </w:r>
          </w:p>
        </w:tc>
      </w:tr>
      <w:tr w14:paraId="53BB5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749C59D">
            <w:pPr>
              <w:rPr>
                <w:rFonts w:ascii="Arial"/>
                <w:sz w:val="21"/>
              </w:rPr>
            </w:pPr>
          </w:p>
        </w:tc>
        <w:tc>
          <w:tcPr>
            <w:tcW w:w="329" w:type="dxa"/>
            <w:vMerge w:val="continue"/>
            <w:tcBorders>
              <w:top w:val="nil"/>
              <w:bottom w:val="nil"/>
            </w:tcBorders>
            <w:vAlign w:val="top"/>
          </w:tcPr>
          <w:p w14:paraId="5AA91B15">
            <w:pPr>
              <w:rPr>
                <w:rFonts w:ascii="Arial"/>
                <w:sz w:val="21"/>
              </w:rPr>
            </w:pPr>
          </w:p>
        </w:tc>
        <w:tc>
          <w:tcPr>
            <w:tcW w:w="1316" w:type="dxa"/>
            <w:vAlign w:val="top"/>
          </w:tcPr>
          <w:p w14:paraId="4A236ED7">
            <w:pPr>
              <w:pStyle w:val="6"/>
              <w:spacing w:before="88" w:line="201" w:lineRule="auto"/>
              <w:ind w:left="167"/>
            </w:pPr>
            <w:r>
              <w:rPr>
                <w:spacing w:val="-1"/>
              </w:rPr>
              <w:t>2019/11/10</w:t>
            </w:r>
          </w:p>
        </w:tc>
        <w:tc>
          <w:tcPr>
            <w:tcW w:w="711" w:type="dxa"/>
            <w:vAlign w:val="top"/>
          </w:tcPr>
          <w:p w14:paraId="00F59221">
            <w:pPr>
              <w:pStyle w:val="6"/>
              <w:spacing w:before="88" w:line="201" w:lineRule="auto"/>
              <w:ind w:left="167"/>
            </w:pPr>
            <w:r>
              <w:rPr>
                <w:spacing w:val="-2"/>
              </w:rPr>
              <w:t>0.72</w:t>
            </w:r>
          </w:p>
        </w:tc>
        <w:tc>
          <w:tcPr>
            <w:tcW w:w="706" w:type="dxa"/>
            <w:vAlign w:val="top"/>
          </w:tcPr>
          <w:p w14:paraId="51D17AB8">
            <w:pPr>
              <w:pStyle w:val="6"/>
              <w:spacing w:before="88" w:line="201" w:lineRule="auto"/>
              <w:ind w:left="165"/>
            </w:pPr>
            <w:r>
              <w:rPr>
                <w:spacing w:val="-2"/>
              </w:rPr>
              <w:t>0.98</w:t>
            </w:r>
          </w:p>
        </w:tc>
        <w:tc>
          <w:tcPr>
            <w:tcW w:w="848" w:type="dxa"/>
            <w:vAlign w:val="top"/>
          </w:tcPr>
          <w:p w14:paraId="05E3958F">
            <w:pPr>
              <w:pStyle w:val="6"/>
              <w:spacing w:before="88" w:line="201" w:lineRule="auto"/>
              <w:ind w:left="239"/>
            </w:pPr>
            <w:r>
              <w:rPr>
                <w:spacing w:val="-2"/>
              </w:rPr>
              <w:t>0.33</w:t>
            </w:r>
          </w:p>
        </w:tc>
        <w:tc>
          <w:tcPr>
            <w:tcW w:w="706" w:type="dxa"/>
            <w:vAlign w:val="top"/>
          </w:tcPr>
          <w:p w14:paraId="7E6A96D2">
            <w:pPr>
              <w:pStyle w:val="6"/>
              <w:spacing w:before="88" w:line="201" w:lineRule="auto"/>
              <w:ind w:left="168"/>
            </w:pPr>
            <w:r>
              <w:rPr>
                <w:spacing w:val="-2"/>
              </w:rPr>
              <w:t>0.40</w:t>
            </w:r>
          </w:p>
        </w:tc>
        <w:tc>
          <w:tcPr>
            <w:tcW w:w="849" w:type="dxa"/>
            <w:vAlign w:val="top"/>
          </w:tcPr>
          <w:p w14:paraId="7D7C286E">
            <w:pPr>
              <w:pStyle w:val="6"/>
              <w:spacing w:before="88" w:line="201" w:lineRule="auto"/>
              <w:ind w:left="242"/>
            </w:pPr>
            <w:r>
              <w:rPr>
                <w:spacing w:val="-2"/>
              </w:rPr>
              <w:t>0.40</w:t>
            </w:r>
          </w:p>
        </w:tc>
        <w:tc>
          <w:tcPr>
            <w:tcW w:w="848" w:type="dxa"/>
            <w:vAlign w:val="top"/>
          </w:tcPr>
          <w:p w14:paraId="3725F4E7">
            <w:pPr>
              <w:pStyle w:val="6"/>
              <w:spacing w:before="88" w:line="201" w:lineRule="auto"/>
              <w:ind w:left="243"/>
            </w:pPr>
            <w:r>
              <w:rPr>
                <w:spacing w:val="-2"/>
              </w:rPr>
              <w:t>0.26</w:t>
            </w:r>
          </w:p>
        </w:tc>
        <w:tc>
          <w:tcPr>
            <w:tcW w:w="848" w:type="dxa"/>
            <w:vAlign w:val="top"/>
          </w:tcPr>
          <w:p w14:paraId="657EBB1E">
            <w:pPr>
              <w:pStyle w:val="6"/>
              <w:spacing w:before="88" w:line="201" w:lineRule="auto"/>
              <w:ind w:left="246"/>
            </w:pPr>
            <w:r>
              <w:rPr>
                <w:spacing w:val="-2"/>
              </w:rPr>
              <w:t>0.10</w:t>
            </w:r>
          </w:p>
        </w:tc>
        <w:tc>
          <w:tcPr>
            <w:tcW w:w="851" w:type="dxa"/>
            <w:vAlign w:val="top"/>
          </w:tcPr>
          <w:p w14:paraId="01B45CB5">
            <w:pPr>
              <w:pStyle w:val="6"/>
              <w:spacing w:before="88" w:line="201" w:lineRule="auto"/>
              <w:ind w:left="249"/>
            </w:pPr>
            <w:r>
              <w:rPr>
                <w:spacing w:val="-2"/>
              </w:rPr>
              <w:t>0.20</w:t>
            </w:r>
          </w:p>
        </w:tc>
        <w:tc>
          <w:tcPr>
            <w:tcW w:w="1979" w:type="dxa"/>
            <w:vAlign w:val="top"/>
          </w:tcPr>
          <w:p w14:paraId="06D4D43D">
            <w:pPr>
              <w:pStyle w:val="6"/>
              <w:spacing w:before="179" w:line="100" w:lineRule="exact"/>
              <w:ind w:left="932"/>
            </w:pPr>
            <w:r>
              <w:rPr>
                <w:spacing w:val="-3"/>
                <w:position w:val="-6"/>
              </w:rPr>
              <w:t>--</w:t>
            </w:r>
          </w:p>
        </w:tc>
        <w:tc>
          <w:tcPr>
            <w:tcW w:w="1950" w:type="dxa"/>
            <w:tcBorders>
              <w:right w:val="single" w:color="000000" w:sz="12" w:space="0"/>
            </w:tcBorders>
            <w:vAlign w:val="top"/>
          </w:tcPr>
          <w:p w14:paraId="57585D3B">
            <w:pPr>
              <w:pStyle w:val="6"/>
              <w:spacing w:before="88" w:line="201" w:lineRule="auto"/>
              <w:ind w:left="799"/>
            </w:pPr>
            <w:r>
              <w:rPr>
                <w:spacing w:val="-2"/>
              </w:rPr>
              <w:t>0.01</w:t>
            </w:r>
          </w:p>
        </w:tc>
      </w:tr>
      <w:tr w14:paraId="3959B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tcBorders>
            <w:vAlign w:val="top"/>
          </w:tcPr>
          <w:p w14:paraId="24D49CFA">
            <w:pPr>
              <w:rPr>
                <w:rFonts w:ascii="Arial"/>
                <w:sz w:val="21"/>
              </w:rPr>
            </w:pPr>
          </w:p>
        </w:tc>
        <w:tc>
          <w:tcPr>
            <w:tcW w:w="329" w:type="dxa"/>
            <w:vMerge w:val="continue"/>
            <w:tcBorders>
              <w:top w:val="nil"/>
            </w:tcBorders>
            <w:vAlign w:val="top"/>
          </w:tcPr>
          <w:p w14:paraId="4DD9AE9A">
            <w:pPr>
              <w:rPr>
                <w:rFonts w:ascii="Arial"/>
                <w:sz w:val="21"/>
              </w:rPr>
            </w:pPr>
          </w:p>
        </w:tc>
        <w:tc>
          <w:tcPr>
            <w:tcW w:w="1316" w:type="dxa"/>
            <w:vAlign w:val="top"/>
          </w:tcPr>
          <w:p w14:paraId="42B7592F">
            <w:pPr>
              <w:pStyle w:val="6"/>
              <w:spacing w:before="89" w:line="201" w:lineRule="auto"/>
              <w:ind w:left="167"/>
            </w:pPr>
            <w:r>
              <w:rPr>
                <w:spacing w:val="-1"/>
              </w:rPr>
              <w:t>2019/11/11</w:t>
            </w:r>
          </w:p>
        </w:tc>
        <w:tc>
          <w:tcPr>
            <w:tcW w:w="711" w:type="dxa"/>
            <w:vAlign w:val="top"/>
          </w:tcPr>
          <w:p w14:paraId="7DDA86F3">
            <w:pPr>
              <w:pStyle w:val="6"/>
              <w:spacing w:before="89" w:line="201" w:lineRule="auto"/>
              <w:ind w:left="167"/>
            </w:pPr>
            <w:r>
              <w:rPr>
                <w:spacing w:val="-2"/>
              </w:rPr>
              <w:t>0.67</w:t>
            </w:r>
          </w:p>
        </w:tc>
        <w:tc>
          <w:tcPr>
            <w:tcW w:w="706" w:type="dxa"/>
            <w:vAlign w:val="top"/>
          </w:tcPr>
          <w:p w14:paraId="65CC98C1">
            <w:pPr>
              <w:pStyle w:val="6"/>
              <w:spacing w:before="89" w:line="201" w:lineRule="auto"/>
              <w:ind w:left="165"/>
            </w:pPr>
            <w:r>
              <w:rPr>
                <w:spacing w:val="-2"/>
              </w:rPr>
              <w:t>0.83</w:t>
            </w:r>
          </w:p>
        </w:tc>
        <w:tc>
          <w:tcPr>
            <w:tcW w:w="848" w:type="dxa"/>
            <w:vAlign w:val="top"/>
          </w:tcPr>
          <w:p w14:paraId="168C08BE">
            <w:pPr>
              <w:pStyle w:val="6"/>
              <w:spacing w:before="89" w:line="201" w:lineRule="auto"/>
              <w:ind w:left="239"/>
            </w:pPr>
            <w:r>
              <w:rPr>
                <w:spacing w:val="-2"/>
              </w:rPr>
              <w:t>0.38</w:t>
            </w:r>
          </w:p>
        </w:tc>
        <w:tc>
          <w:tcPr>
            <w:tcW w:w="706" w:type="dxa"/>
            <w:vAlign w:val="top"/>
          </w:tcPr>
          <w:p w14:paraId="54155DA7">
            <w:pPr>
              <w:pStyle w:val="6"/>
              <w:spacing w:before="89" w:line="201" w:lineRule="auto"/>
              <w:ind w:left="168"/>
            </w:pPr>
            <w:r>
              <w:rPr>
                <w:spacing w:val="-2"/>
              </w:rPr>
              <w:t>0.30</w:t>
            </w:r>
          </w:p>
        </w:tc>
        <w:tc>
          <w:tcPr>
            <w:tcW w:w="849" w:type="dxa"/>
            <w:vAlign w:val="top"/>
          </w:tcPr>
          <w:p w14:paraId="207D7D3C">
            <w:pPr>
              <w:pStyle w:val="6"/>
              <w:spacing w:before="89" w:line="201" w:lineRule="auto"/>
              <w:ind w:left="242"/>
            </w:pPr>
            <w:r>
              <w:rPr>
                <w:spacing w:val="-2"/>
              </w:rPr>
              <w:t>0.35</w:t>
            </w:r>
          </w:p>
        </w:tc>
        <w:tc>
          <w:tcPr>
            <w:tcW w:w="848" w:type="dxa"/>
            <w:vAlign w:val="top"/>
          </w:tcPr>
          <w:p w14:paraId="5A2CB668">
            <w:pPr>
              <w:pStyle w:val="6"/>
              <w:spacing w:before="89" w:line="201" w:lineRule="auto"/>
              <w:ind w:left="243"/>
            </w:pPr>
            <w:r>
              <w:rPr>
                <w:spacing w:val="-2"/>
              </w:rPr>
              <w:t>0.26</w:t>
            </w:r>
          </w:p>
        </w:tc>
        <w:tc>
          <w:tcPr>
            <w:tcW w:w="848" w:type="dxa"/>
            <w:vAlign w:val="top"/>
          </w:tcPr>
          <w:p w14:paraId="4D28A595">
            <w:pPr>
              <w:pStyle w:val="6"/>
              <w:spacing w:before="89" w:line="201" w:lineRule="auto"/>
              <w:ind w:left="246"/>
            </w:pPr>
            <w:r>
              <w:rPr>
                <w:spacing w:val="-2"/>
              </w:rPr>
              <w:t>0.15</w:t>
            </w:r>
          </w:p>
        </w:tc>
        <w:tc>
          <w:tcPr>
            <w:tcW w:w="851" w:type="dxa"/>
            <w:vAlign w:val="top"/>
          </w:tcPr>
          <w:p w14:paraId="7FEE36AF">
            <w:pPr>
              <w:pStyle w:val="6"/>
              <w:spacing w:before="89" w:line="201" w:lineRule="auto"/>
              <w:ind w:left="249"/>
            </w:pPr>
            <w:r>
              <w:rPr>
                <w:spacing w:val="-2"/>
              </w:rPr>
              <w:t>0.20</w:t>
            </w:r>
          </w:p>
        </w:tc>
        <w:tc>
          <w:tcPr>
            <w:tcW w:w="1979" w:type="dxa"/>
            <w:vAlign w:val="top"/>
          </w:tcPr>
          <w:p w14:paraId="1811ED5D">
            <w:pPr>
              <w:pStyle w:val="6"/>
              <w:spacing w:before="180" w:line="100" w:lineRule="exact"/>
              <w:ind w:left="932"/>
            </w:pPr>
            <w:r>
              <w:rPr>
                <w:spacing w:val="-3"/>
                <w:position w:val="-6"/>
              </w:rPr>
              <w:t>--</w:t>
            </w:r>
          </w:p>
        </w:tc>
        <w:tc>
          <w:tcPr>
            <w:tcW w:w="1950" w:type="dxa"/>
            <w:tcBorders>
              <w:right w:val="single" w:color="000000" w:sz="12" w:space="0"/>
            </w:tcBorders>
            <w:vAlign w:val="top"/>
          </w:tcPr>
          <w:p w14:paraId="61500587">
            <w:pPr>
              <w:pStyle w:val="6"/>
              <w:spacing w:before="89" w:line="201" w:lineRule="auto"/>
              <w:ind w:left="799"/>
            </w:pPr>
            <w:r>
              <w:rPr>
                <w:spacing w:val="-2"/>
              </w:rPr>
              <w:t>0.01</w:t>
            </w:r>
          </w:p>
        </w:tc>
      </w:tr>
      <w:tr w14:paraId="4CB43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087CB09C">
            <w:pPr>
              <w:spacing w:line="258" w:lineRule="auto"/>
              <w:rPr>
                <w:rFonts w:ascii="Arial"/>
                <w:sz w:val="21"/>
              </w:rPr>
            </w:pPr>
          </w:p>
          <w:p w14:paraId="1A6B1D80">
            <w:pPr>
              <w:spacing w:line="258" w:lineRule="auto"/>
              <w:rPr>
                <w:rFonts w:ascii="Arial"/>
                <w:sz w:val="21"/>
              </w:rPr>
            </w:pPr>
          </w:p>
          <w:p w14:paraId="33EE2CC2">
            <w:pPr>
              <w:spacing w:line="258" w:lineRule="auto"/>
              <w:rPr>
                <w:rFonts w:ascii="Arial"/>
                <w:sz w:val="21"/>
              </w:rPr>
            </w:pPr>
          </w:p>
          <w:p w14:paraId="6DA2A218">
            <w:pPr>
              <w:spacing w:line="258" w:lineRule="auto"/>
              <w:rPr>
                <w:rFonts w:ascii="Arial"/>
                <w:sz w:val="21"/>
              </w:rPr>
            </w:pPr>
          </w:p>
          <w:p w14:paraId="56C054BE">
            <w:pPr>
              <w:spacing w:line="258" w:lineRule="auto"/>
              <w:rPr>
                <w:rFonts w:ascii="Arial"/>
                <w:sz w:val="21"/>
              </w:rPr>
            </w:pPr>
          </w:p>
          <w:p w14:paraId="243BB801">
            <w:pPr>
              <w:spacing w:before="68" w:line="219" w:lineRule="auto"/>
              <w:ind w:left="199"/>
              <w:rPr>
                <w:rFonts w:ascii="宋体" w:hAnsi="宋体" w:eastAsia="宋体" w:cs="宋体"/>
                <w:sz w:val="21"/>
                <w:szCs w:val="21"/>
              </w:rPr>
            </w:pPr>
            <w:r>
              <w:rPr>
                <w:rFonts w:ascii="宋体" w:hAnsi="宋体" w:eastAsia="宋体" w:cs="宋体"/>
                <w:spacing w:val="-3"/>
                <w:sz w:val="21"/>
                <w:szCs w:val="21"/>
              </w:rPr>
              <w:t>马龙河干流</w:t>
            </w:r>
          </w:p>
          <w:p w14:paraId="76AF2DDF">
            <w:pPr>
              <w:spacing w:before="23" w:line="220" w:lineRule="auto"/>
              <w:ind w:left="93"/>
              <w:rPr>
                <w:rFonts w:ascii="宋体" w:hAnsi="宋体" w:eastAsia="宋体" w:cs="宋体"/>
                <w:sz w:val="21"/>
                <w:szCs w:val="21"/>
              </w:rPr>
            </w:pPr>
            <w:r>
              <w:rPr>
                <w:rFonts w:ascii="宋体" w:hAnsi="宋体" w:eastAsia="宋体" w:cs="宋体"/>
                <w:spacing w:val="-4"/>
                <w:sz w:val="21"/>
                <w:szCs w:val="21"/>
              </w:rPr>
              <w:t>（车马碧水库</w:t>
            </w:r>
          </w:p>
          <w:p w14:paraId="51C3CCC6">
            <w:pPr>
              <w:spacing w:before="22" w:line="220" w:lineRule="auto"/>
              <w:ind w:left="296"/>
              <w:rPr>
                <w:rFonts w:ascii="宋体" w:hAnsi="宋体" w:eastAsia="宋体" w:cs="宋体"/>
                <w:sz w:val="21"/>
                <w:szCs w:val="21"/>
              </w:rPr>
            </w:pPr>
            <w:r>
              <w:rPr>
                <w:rFonts w:ascii="宋体" w:hAnsi="宋体" w:eastAsia="宋体" w:cs="宋体"/>
                <w:spacing w:val="-2"/>
                <w:sz w:val="21"/>
                <w:szCs w:val="21"/>
              </w:rPr>
              <w:t>坝址下游</w:t>
            </w:r>
          </w:p>
          <w:p w14:paraId="3683E0D6">
            <w:pPr>
              <w:pStyle w:val="6"/>
              <w:spacing w:before="21" w:line="280" w:lineRule="exact"/>
              <w:ind w:left="442"/>
              <w:rPr>
                <w:rFonts w:ascii="宋体" w:hAnsi="宋体" w:eastAsia="宋体" w:cs="宋体"/>
              </w:rPr>
            </w:pPr>
            <w:r>
              <w:rPr>
                <w:spacing w:val="-6"/>
                <w:position w:val="1"/>
              </w:rPr>
              <w:t>1km</w:t>
            </w:r>
            <w:r>
              <w:rPr>
                <w:rFonts w:ascii="宋体" w:hAnsi="宋体" w:eastAsia="宋体" w:cs="宋体"/>
                <w:spacing w:val="-6"/>
                <w:position w:val="1"/>
              </w:rPr>
              <w:t>）</w:t>
            </w:r>
          </w:p>
        </w:tc>
        <w:tc>
          <w:tcPr>
            <w:tcW w:w="329" w:type="dxa"/>
            <w:vMerge w:val="restart"/>
            <w:tcBorders>
              <w:bottom w:val="nil"/>
            </w:tcBorders>
            <w:vAlign w:val="top"/>
          </w:tcPr>
          <w:p w14:paraId="61CA58E5">
            <w:pPr>
              <w:pStyle w:val="6"/>
              <w:spacing w:before="130" w:line="222" w:lineRule="auto"/>
              <w:ind w:left="117"/>
            </w:pPr>
            <w:r>
              <w:t>1</w:t>
            </w:r>
          </w:p>
          <w:p w14:paraId="2E6A9075">
            <w:pPr>
              <w:spacing w:line="219" w:lineRule="auto"/>
              <w:ind w:left="49"/>
              <w:rPr>
                <w:rFonts w:ascii="宋体" w:hAnsi="宋体" w:eastAsia="宋体" w:cs="宋体"/>
                <w:sz w:val="21"/>
                <w:szCs w:val="21"/>
              </w:rPr>
            </w:pPr>
            <w:r>
              <w:rPr>
                <w:rFonts w:ascii="宋体" w:hAnsi="宋体" w:eastAsia="宋体" w:cs="宋体"/>
                <w:sz w:val="21"/>
                <w:szCs w:val="21"/>
              </w:rPr>
              <w:t>季</w:t>
            </w:r>
          </w:p>
          <w:p w14:paraId="68733418">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0412BCD9">
            <w:pPr>
              <w:pStyle w:val="6"/>
              <w:spacing w:before="90" w:line="199" w:lineRule="auto"/>
              <w:ind w:left="220"/>
            </w:pPr>
            <w:r>
              <w:rPr>
                <w:spacing w:val="-1"/>
              </w:rPr>
              <w:t>2019/1/15</w:t>
            </w:r>
          </w:p>
        </w:tc>
        <w:tc>
          <w:tcPr>
            <w:tcW w:w="711" w:type="dxa"/>
            <w:vAlign w:val="top"/>
          </w:tcPr>
          <w:p w14:paraId="31A45333">
            <w:pPr>
              <w:pStyle w:val="6"/>
              <w:spacing w:before="90" w:line="199" w:lineRule="auto"/>
              <w:ind w:left="167"/>
            </w:pPr>
            <w:r>
              <w:rPr>
                <w:spacing w:val="-2"/>
              </w:rPr>
              <w:t>0.60</w:t>
            </w:r>
          </w:p>
        </w:tc>
        <w:tc>
          <w:tcPr>
            <w:tcW w:w="706" w:type="dxa"/>
            <w:vAlign w:val="top"/>
          </w:tcPr>
          <w:p w14:paraId="49F7D380">
            <w:pPr>
              <w:pStyle w:val="6"/>
              <w:spacing w:before="90" w:line="199" w:lineRule="auto"/>
              <w:ind w:left="165"/>
            </w:pPr>
            <w:r>
              <w:rPr>
                <w:spacing w:val="-2"/>
              </w:rPr>
              <w:t>0.75</w:t>
            </w:r>
          </w:p>
        </w:tc>
        <w:tc>
          <w:tcPr>
            <w:tcW w:w="848" w:type="dxa"/>
            <w:vAlign w:val="top"/>
          </w:tcPr>
          <w:p w14:paraId="7672308E">
            <w:pPr>
              <w:pStyle w:val="6"/>
              <w:spacing w:before="90" w:line="199" w:lineRule="auto"/>
              <w:ind w:left="239"/>
            </w:pPr>
            <w:r>
              <w:rPr>
                <w:spacing w:val="-2"/>
              </w:rPr>
              <w:t>0.27</w:t>
            </w:r>
          </w:p>
        </w:tc>
        <w:tc>
          <w:tcPr>
            <w:tcW w:w="706" w:type="dxa"/>
            <w:vAlign w:val="top"/>
          </w:tcPr>
          <w:p w14:paraId="3D3E5D97">
            <w:pPr>
              <w:pStyle w:val="6"/>
              <w:spacing w:before="90" w:line="199" w:lineRule="auto"/>
              <w:ind w:left="168"/>
            </w:pPr>
            <w:r>
              <w:rPr>
                <w:spacing w:val="-2"/>
              </w:rPr>
              <w:t>0.40</w:t>
            </w:r>
          </w:p>
        </w:tc>
        <w:tc>
          <w:tcPr>
            <w:tcW w:w="849" w:type="dxa"/>
            <w:vAlign w:val="top"/>
          </w:tcPr>
          <w:p w14:paraId="734B4D76">
            <w:pPr>
              <w:pStyle w:val="6"/>
              <w:spacing w:before="90" w:line="199" w:lineRule="auto"/>
              <w:ind w:left="242"/>
            </w:pPr>
            <w:r>
              <w:rPr>
                <w:spacing w:val="-2"/>
              </w:rPr>
              <w:t>0.23</w:t>
            </w:r>
          </w:p>
        </w:tc>
        <w:tc>
          <w:tcPr>
            <w:tcW w:w="848" w:type="dxa"/>
            <w:vAlign w:val="top"/>
          </w:tcPr>
          <w:p w14:paraId="19656431">
            <w:pPr>
              <w:pStyle w:val="6"/>
              <w:spacing w:before="90" w:line="199" w:lineRule="auto"/>
              <w:ind w:left="243"/>
            </w:pPr>
            <w:r>
              <w:rPr>
                <w:spacing w:val="-2"/>
              </w:rPr>
              <w:t>0.12</w:t>
            </w:r>
          </w:p>
        </w:tc>
        <w:tc>
          <w:tcPr>
            <w:tcW w:w="848" w:type="dxa"/>
            <w:vAlign w:val="top"/>
          </w:tcPr>
          <w:p w14:paraId="44D3A264">
            <w:pPr>
              <w:pStyle w:val="6"/>
              <w:spacing w:before="90" w:line="199" w:lineRule="auto"/>
              <w:ind w:left="246"/>
            </w:pPr>
            <w:r>
              <w:rPr>
                <w:spacing w:val="-2"/>
              </w:rPr>
              <w:t>0.15</w:t>
            </w:r>
          </w:p>
        </w:tc>
        <w:tc>
          <w:tcPr>
            <w:tcW w:w="851" w:type="dxa"/>
            <w:vAlign w:val="top"/>
          </w:tcPr>
          <w:p w14:paraId="48D54485">
            <w:pPr>
              <w:pStyle w:val="6"/>
              <w:spacing w:before="181" w:line="101" w:lineRule="exact"/>
              <w:ind w:left="363"/>
            </w:pPr>
            <w:r>
              <w:rPr>
                <w:spacing w:val="-3"/>
                <w:position w:val="-6"/>
              </w:rPr>
              <w:t>--</w:t>
            </w:r>
          </w:p>
        </w:tc>
        <w:tc>
          <w:tcPr>
            <w:tcW w:w="1979" w:type="dxa"/>
            <w:vAlign w:val="top"/>
          </w:tcPr>
          <w:p w14:paraId="69C62ED5">
            <w:pPr>
              <w:pStyle w:val="6"/>
              <w:spacing w:before="90" w:line="199" w:lineRule="auto"/>
              <w:ind w:left="816"/>
            </w:pPr>
            <w:r>
              <w:rPr>
                <w:spacing w:val="-2"/>
              </w:rPr>
              <w:t>0.60</w:t>
            </w:r>
          </w:p>
        </w:tc>
        <w:tc>
          <w:tcPr>
            <w:tcW w:w="1950" w:type="dxa"/>
            <w:tcBorders>
              <w:right w:val="single" w:color="000000" w:sz="12" w:space="0"/>
            </w:tcBorders>
            <w:vAlign w:val="top"/>
          </w:tcPr>
          <w:p w14:paraId="12F357ED">
            <w:pPr>
              <w:pStyle w:val="6"/>
              <w:spacing w:before="90" w:line="199" w:lineRule="auto"/>
              <w:ind w:left="799"/>
            </w:pPr>
            <w:r>
              <w:rPr>
                <w:spacing w:val="-2"/>
              </w:rPr>
              <w:t>0.05</w:t>
            </w:r>
          </w:p>
        </w:tc>
      </w:tr>
      <w:tr w14:paraId="3D926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B0CB11C">
            <w:pPr>
              <w:rPr>
                <w:rFonts w:ascii="Arial"/>
                <w:sz w:val="21"/>
              </w:rPr>
            </w:pPr>
          </w:p>
        </w:tc>
        <w:tc>
          <w:tcPr>
            <w:tcW w:w="329" w:type="dxa"/>
            <w:vMerge w:val="continue"/>
            <w:tcBorders>
              <w:top w:val="nil"/>
              <w:bottom w:val="nil"/>
            </w:tcBorders>
            <w:vAlign w:val="top"/>
          </w:tcPr>
          <w:p w14:paraId="2B8B0B58">
            <w:pPr>
              <w:rPr>
                <w:rFonts w:ascii="Arial"/>
                <w:sz w:val="21"/>
              </w:rPr>
            </w:pPr>
          </w:p>
        </w:tc>
        <w:tc>
          <w:tcPr>
            <w:tcW w:w="1316" w:type="dxa"/>
            <w:vAlign w:val="top"/>
          </w:tcPr>
          <w:p w14:paraId="753A5FFC">
            <w:pPr>
              <w:pStyle w:val="6"/>
              <w:spacing w:before="91" w:line="198" w:lineRule="auto"/>
              <w:ind w:left="220"/>
            </w:pPr>
            <w:r>
              <w:rPr>
                <w:spacing w:val="-1"/>
              </w:rPr>
              <w:t>2019/1/16</w:t>
            </w:r>
          </w:p>
        </w:tc>
        <w:tc>
          <w:tcPr>
            <w:tcW w:w="711" w:type="dxa"/>
            <w:vAlign w:val="top"/>
          </w:tcPr>
          <w:p w14:paraId="79D9F233">
            <w:pPr>
              <w:pStyle w:val="6"/>
              <w:spacing w:before="91" w:line="198" w:lineRule="auto"/>
              <w:ind w:left="167"/>
            </w:pPr>
            <w:r>
              <w:rPr>
                <w:spacing w:val="-2"/>
              </w:rPr>
              <w:t>0.52</w:t>
            </w:r>
          </w:p>
        </w:tc>
        <w:tc>
          <w:tcPr>
            <w:tcW w:w="706" w:type="dxa"/>
            <w:vAlign w:val="top"/>
          </w:tcPr>
          <w:p w14:paraId="3382C80B">
            <w:pPr>
              <w:pStyle w:val="6"/>
              <w:spacing w:before="91" w:line="198" w:lineRule="auto"/>
              <w:ind w:left="165"/>
            </w:pPr>
            <w:r>
              <w:rPr>
                <w:spacing w:val="-2"/>
              </w:rPr>
              <w:t>0.87</w:t>
            </w:r>
          </w:p>
        </w:tc>
        <w:tc>
          <w:tcPr>
            <w:tcW w:w="848" w:type="dxa"/>
            <w:vAlign w:val="top"/>
          </w:tcPr>
          <w:p w14:paraId="114E2922">
            <w:pPr>
              <w:pStyle w:val="6"/>
              <w:spacing w:before="91" w:line="198" w:lineRule="auto"/>
              <w:ind w:left="239"/>
            </w:pPr>
            <w:r>
              <w:rPr>
                <w:spacing w:val="-2"/>
              </w:rPr>
              <w:t>0.28</w:t>
            </w:r>
          </w:p>
        </w:tc>
        <w:tc>
          <w:tcPr>
            <w:tcW w:w="706" w:type="dxa"/>
            <w:vAlign w:val="top"/>
          </w:tcPr>
          <w:p w14:paraId="38B1E314">
            <w:pPr>
              <w:pStyle w:val="6"/>
              <w:spacing w:before="91" w:line="198" w:lineRule="auto"/>
              <w:ind w:left="168"/>
            </w:pPr>
            <w:r>
              <w:rPr>
                <w:spacing w:val="-2"/>
              </w:rPr>
              <w:t>0.45</w:t>
            </w:r>
          </w:p>
        </w:tc>
        <w:tc>
          <w:tcPr>
            <w:tcW w:w="849" w:type="dxa"/>
            <w:vAlign w:val="top"/>
          </w:tcPr>
          <w:p w14:paraId="15D718DC">
            <w:pPr>
              <w:pStyle w:val="6"/>
              <w:spacing w:before="91" w:line="198" w:lineRule="auto"/>
              <w:ind w:left="242"/>
            </w:pPr>
            <w:r>
              <w:rPr>
                <w:spacing w:val="-2"/>
              </w:rPr>
              <w:t>0.28</w:t>
            </w:r>
          </w:p>
        </w:tc>
        <w:tc>
          <w:tcPr>
            <w:tcW w:w="848" w:type="dxa"/>
            <w:vAlign w:val="top"/>
          </w:tcPr>
          <w:p w14:paraId="4EC8F088">
            <w:pPr>
              <w:pStyle w:val="6"/>
              <w:spacing w:before="91" w:line="198" w:lineRule="auto"/>
              <w:ind w:left="243"/>
            </w:pPr>
            <w:r>
              <w:rPr>
                <w:spacing w:val="-2"/>
              </w:rPr>
              <w:t>0.13</w:t>
            </w:r>
          </w:p>
        </w:tc>
        <w:tc>
          <w:tcPr>
            <w:tcW w:w="848" w:type="dxa"/>
            <w:vAlign w:val="top"/>
          </w:tcPr>
          <w:p w14:paraId="5844120A">
            <w:pPr>
              <w:pStyle w:val="6"/>
              <w:spacing w:before="91" w:line="198" w:lineRule="auto"/>
              <w:ind w:left="246"/>
            </w:pPr>
            <w:r>
              <w:rPr>
                <w:spacing w:val="-2"/>
              </w:rPr>
              <w:t>0.10</w:t>
            </w:r>
          </w:p>
        </w:tc>
        <w:tc>
          <w:tcPr>
            <w:tcW w:w="851" w:type="dxa"/>
            <w:vAlign w:val="top"/>
          </w:tcPr>
          <w:p w14:paraId="36480A17">
            <w:pPr>
              <w:pStyle w:val="6"/>
              <w:spacing w:before="91" w:line="198" w:lineRule="auto"/>
              <w:ind w:left="249"/>
            </w:pPr>
            <w:r>
              <w:rPr>
                <w:spacing w:val="-2"/>
              </w:rPr>
              <w:t>0.40</w:t>
            </w:r>
          </w:p>
        </w:tc>
        <w:tc>
          <w:tcPr>
            <w:tcW w:w="1979" w:type="dxa"/>
            <w:vAlign w:val="top"/>
          </w:tcPr>
          <w:p w14:paraId="4B83C04C">
            <w:pPr>
              <w:pStyle w:val="6"/>
              <w:spacing w:before="91" w:line="198" w:lineRule="auto"/>
              <w:ind w:left="816"/>
            </w:pPr>
            <w:r>
              <w:rPr>
                <w:spacing w:val="-2"/>
              </w:rPr>
              <w:t>0.55</w:t>
            </w:r>
          </w:p>
        </w:tc>
        <w:tc>
          <w:tcPr>
            <w:tcW w:w="1950" w:type="dxa"/>
            <w:tcBorders>
              <w:right w:val="single" w:color="000000" w:sz="12" w:space="0"/>
            </w:tcBorders>
            <w:vAlign w:val="top"/>
          </w:tcPr>
          <w:p w14:paraId="73E25AFF">
            <w:pPr>
              <w:pStyle w:val="6"/>
              <w:spacing w:before="91" w:line="198" w:lineRule="auto"/>
              <w:ind w:left="799"/>
            </w:pPr>
            <w:r>
              <w:rPr>
                <w:spacing w:val="-2"/>
              </w:rPr>
              <w:t>0.04</w:t>
            </w:r>
          </w:p>
        </w:tc>
      </w:tr>
      <w:tr w14:paraId="3316E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1656E5EA">
            <w:pPr>
              <w:rPr>
                <w:rFonts w:ascii="Arial"/>
                <w:sz w:val="21"/>
              </w:rPr>
            </w:pPr>
          </w:p>
        </w:tc>
        <w:tc>
          <w:tcPr>
            <w:tcW w:w="329" w:type="dxa"/>
            <w:vMerge w:val="continue"/>
            <w:tcBorders>
              <w:top w:val="nil"/>
            </w:tcBorders>
            <w:vAlign w:val="top"/>
          </w:tcPr>
          <w:p w14:paraId="360D9B02">
            <w:pPr>
              <w:rPr>
                <w:rFonts w:ascii="Arial"/>
                <w:sz w:val="21"/>
              </w:rPr>
            </w:pPr>
          </w:p>
        </w:tc>
        <w:tc>
          <w:tcPr>
            <w:tcW w:w="1316" w:type="dxa"/>
            <w:vAlign w:val="top"/>
          </w:tcPr>
          <w:p w14:paraId="3501C45B">
            <w:pPr>
              <w:pStyle w:val="6"/>
              <w:spacing w:before="92" w:line="198" w:lineRule="auto"/>
              <w:ind w:left="220"/>
            </w:pPr>
            <w:r>
              <w:rPr>
                <w:spacing w:val="-1"/>
              </w:rPr>
              <w:t>2019/1/17</w:t>
            </w:r>
          </w:p>
        </w:tc>
        <w:tc>
          <w:tcPr>
            <w:tcW w:w="711" w:type="dxa"/>
            <w:vAlign w:val="top"/>
          </w:tcPr>
          <w:p w14:paraId="0349BE15">
            <w:pPr>
              <w:pStyle w:val="6"/>
              <w:spacing w:before="92" w:line="198" w:lineRule="auto"/>
              <w:ind w:left="167"/>
            </w:pPr>
            <w:r>
              <w:rPr>
                <w:spacing w:val="-2"/>
              </w:rPr>
              <w:t>0.67</w:t>
            </w:r>
          </w:p>
        </w:tc>
        <w:tc>
          <w:tcPr>
            <w:tcW w:w="706" w:type="dxa"/>
            <w:vAlign w:val="top"/>
          </w:tcPr>
          <w:p w14:paraId="7BD57D61">
            <w:pPr>
              <w:pStyle w:val="6"/>
              <w:spacing w:before="92" w:line="198" w:lineRule="auto"/>
              <w:ind w:left="165"/>
            </w:pPr>
            <w:r>
              <w:rPr>
                <w:spacing w:val="-2"/>
              </w:rPr>
              <w:t>0.81</w:t>
            </w:r>
          </w:p>
        </w:tc>
        <w:tc>
          <w:tcPr>
            <w:tcW w:w="848" w:type="dxa"/>
            <w:vAlign w:val="top"/>
          </w:tcPr>
          <w:p w14:paraId="79610B41">
            <w:pPr>
              <w:pStyle w:val="6"/>
              <w:spacing w:before="92" w:line="198" w:lineRule="auto"/>
              <w:ind w:left="239"/>
            </w:pPr>
            <w:r>
              <w:rPr>
                <w:spacing w:val="-2"/>
              </w:rPr>
              <w:t>0.30</w:t>
            </w:r>
          </w:p>
        </w:tc>
        <w:tc>
          <w:tcPr>
            <w:tcW w:w="706" w:type="dxa"/>
            <w:vAlign w:val="top"/>
          </w:tcPr>
          <w:p w14:paraId="6B622644">
            <w:pPr>
              <w:pStyle w:val="6"/>
              <w:spacing w:before="92" w:line="198" w:lineRule="auto"/>
              <w:ind w:left="168"/>
            </w:pPr>
            <w:r>
              <w:rPr>
                <w:spacing w:val="-2"/>
              </w:rPr>
              <w:t>0.40</w:t>
            </w:r>
          </w:p>
        </w:tc>
        <w:tc>
          <w:tcPr>
            <w:tcW w:w="849" w:type="dxa"/>
            <w:vAlign w:val="top"/>
          </w:tcPr>
          <w:p w14:paraId="480289B5">
            <w:pPr>
              <w:pStyle w:val="6"/>
              <w:spacing w:before="92" w:line="198" w:lineRule="auto"/>
              <w:ind w:left="242"/>
            </w:pPr>
            <w:r>
              <w:rPr>
                <w:spacing w:val="-2"/>
              </w:rPr>
              <w:t>0.20</w:t>
            </w:r>
          </w:p>
        </w:tc>
        <w:tc>
          <w:tcPr>
            <w:tcW w:w="848" w:type="dxa"/>
            <w:vAlign w:val="top"/>
          </w:tcPr>
          <w:p w14:paraId="6D74CFD7">
            <w:pPr>
              <w:pStyle w:val="6"/>
              <w:spacing w:before="92" w:line="198" w:lineRule="auto"/>
              <w:ind w:left="243"/>
            </w:pPr>
            <w:r>
              <w:rPr>
                <w:spacing w:val="-2"/>
              </w:rPr>
              <w:t>0.12</w:t>
            </w:r>
          </w:p>
        </w:tc>
        <w:tc>
          <w:tcPr>
            <w:tcW w:w="848" w:type="dxa"/>
            <w:vAlign w:val="top"/>
          </w:tcPr>
          <w:p w14:paraId="0934063B">
            <w:pPr>
              <w:pStyle w:val="6"/>
              <w:spacing w:before="92" w:line="198" w:lineRule="auto"/>
              <w:ind w:left="246"/>
            </w:pPr>
            <w:r>
              <w:rPr>
                <w:spacing w:val="-2"/>
              </w:rPr>
              <w:t>0.10</w:t>
            </w:r>
          </w:p>
        </w:tc>
        <w:tc>
          <w:tcPr>
            <w:tcW w:w="851" w:type="dxa"/>
            <w:vAlign w:val="top"/>
          </w:tcPr>
          <w:p w14:paraId="3EEB3EFA">
            <w:pPr>
              <w:pStyle w:val="6"/>
              <w:spacing w:before="183" w:line="101" w:lineRule="exact"/>
              <w:ind w:left="363"/>
            </w:pPr>
            <w:r>
              <w:rPr>
                <w:spacing w:val="-3"/>
                <w:position w:val="-6"/>
              </w:rPr>
              <w:t>--</w:t>
            </w:r>
          </w:p>
        </w:tc>
        <w:tc>
          <w:tcPr>
            <w:tcW w:w="1979" w:type="dxa"/>
            <w:vAlign w:val="top"/>
          </w:tcPr>
          <w:p w14:paraId="678DB224">
            <w:pPr>
              <w:pStyle w:val="6"/>
              <w:spacing w:before="92" w:line="198" w:lineRule="auto"/>
              <w:ind w:left="816"/>
            </w:pPr>
            <w:r>
              <w:rPr>
                <w:spacing w:val="-2"/>
              </w:rPr>
              <w:t>0.60</w:t>
            </w:r>
          </w:p>
        </w:tc>
        <w:tc>
          <w:tcPr>
            <w:tcW w:w="1950" w:type="dxa"/>
            <w:tcBorders>
              <w:right w:val="single" w:color="000000" w:sz="12" w:space="0"/>
            </w:tcBorders>
            <w:vAlign w:val="top"/>
          </w:tcPr>
          <w:p w14:paraId="0B293C9B">
            <w:pPr>
              <w:pStyle w:val="6"/>
              <w:spacing w:before="92" w:line="198" w:lineRule="auto"/>
              <w:ind w:left="799"/>
            </w:pPr>
            <w:r>
              <w:rPr>
                <w:spacing w:val="-2"/>
              </w:rPr>
              <w:t>0.03</w:t>
            </w:r>
          </w:p>
        </w:tc>
      </w:tr>
      <w:tr w14:paraId="36BB4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7C59B3F5">
            <w:pPr>
              <w:rPr>
                <w:rFonts w:ascii="Arial"/>
                <w:sz w:val="21"/>
              </w:rPr>
            </w:pPr>
          </w:p>
        </w:tc>
        <w:tc>
          <w:tcPr>
            <w:tcW w:w="329" w:type="dxa"/>
            <w:vMerge w:val="restart"/>
            <w:tcBorders>
              <w:bottom w:val="nil"/>
            </w:tcBorders>
            <w:vAlign w:val="top"/>
          </w:tcPr>
          <w:p w14:paraId="6675697C">
            <w:pPr>
              <w:pStyle w:val="6"/>
              <w:spacing w:before="133" w:line="222" w:lineRule="auto"/>
              <w:ind w:left="97"/>
            </w:pPr>
            <w:r>
              <w:t>2</w:t>
            </w:r>
          </w:p>
          <w:p w14:paraId="6F437AE4">
            <w:pPr>
              <w:spacing w:line="219" w:lineRule="auto"/>
              <w:ind w:left="49"/>
              <w:rPr>
                <w:rFonts w:ascii="宋体" w:hAnsi="宋体" w:eastAsia="宋体" w:cs="宋体"/>
                <w:sz w:val="21"/>
                <w:szCs w:val="21"/>
              </w:rPr>
            </w:pPr>
            <w:r>
              <w:rPr>
                <w:rFonts w:ascii="宋体" w:hAnsi="宋体" w:eastAsia="宋体" w:cs="宋体"/>
                <w:sz w:val="21"/>
                <w:szCs w:val="21"/>
              </w:rPr>
              <w:t>季</w:t>
            </w:r>
          </w:p>
          <w:p w14:paraId="09615A70">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2C0D8F49">
            <w:pPr>
              <w:pStyle w:val="6"/>
              <w:spacing w:before="94" w:line="195" w:lineRule="auto"/>
              <w:ind w:left="220"/>
            </w:pPr>
            <w:r>
              <w:rPr>
                <w:spacing w:val="-1"/>
              </w:rPr>
              <w:t>2019/5/10</w:t>
            </w:r>
          </w:p>
        </w:tc>
        <w:tc>
          <w:tcPr>
            <w:tcW w:w="711" w:type="dxa"/>
            <w:vAlign w:val="top"/>
          </w:tcPr>
          <w:p w14:paraId="36193D3D">
            <w:pPr>
              <w:pStyle w:val="6"/>
              <w:spacing w:before="94" w:line="195" w:lineRule="auto"/>
              <w:ind w:left="167"/>
            </w:pPr>
            <w:r>
              <w:rPr>
                <w:spacing w:val="-2"/>
              </w:rPr>
              <w:t>0.59</w:t>
            </w:r>
          </w:p>
        </w:tc>
        <w:tc>
          <w:tcPr>
            <w:tcW w:w="706" w:type="dxa"/>
            <w:vAlign w:val="top"/>
          </w:tcPr>
          <w:p w14:paraId="0718B84A">
            <w:pPr>
              <w:pStyle w:val="6"/>
              <w:spacing w:before="94" w:line="195" w:lineRule="auto"/>
              <w:ind w:left="165"/>
            </w:pPr>
            <w:r>
              <w:rPr>
                <w:spacing w:val="-2"/>
              </w:rPr>
              <w:t>0.77</w:t>
            </w:r>
          </w:p>
        </w:tc>
        <w:tc>
          <w:tcPr>
            <w:tcW w:w="848" w:type="dxa"/>
            <w:vAlign w:val="top"/>
          </w:tcPr>
          <w:p w14:paraId="50E7D7F4">
            <w:pPr>
              <w:pStyle w:val="6"/>
              <w:spacing w:before="94" w:line="195" w:lineRule="auto"/>
              <w:ind w:left="239"/>
            </w:pPr>
            <w:r>
              <w:rPr>
                <w:spacing w:val="-2"/>
              </w:rPr>
              <w:t>0.57</w:t>
            </w:r>
          </w:p>
        </w:tc>
        <w:tc>
          <w:tcPr>
            <w:tcW w:w="706" w:type="dxa"/>
            <w:vAlign w:val="top"/>
          </w:tcPr>
          <w:p w14:paraId="767D5873">
            <w:pPr>
              <w:pStyle w:val="6"/>
              <w:spacing w:before="94" w:line="195" w:lineRule="auto"/>
              <w:ind w:left="168"/>
            </w:pPr>
            <w:r>
              <w:rPr>
                <w:spacing w:val="-2"/>
              </w:rPr>
              <w:t>0.45</w:t>
            </w:r>
          </w:p>
        </w:tc>
        <w:tc>
          <w:tcPr>
            <w:tcW w:w="849" w:type="dxa"/>
            <w:vAlign w:val="top"/>
          </w:tcPr>
          <w:p w14:paraId="51809480">
            <w:pPr>
              <w:pStyle w:val="6"/>
              <w:spacing w:before="94" w:line="195" w:lineRule="auto"/>
              <w:ind w:left="242"/>
            </w:pPr>
            <w:r>
              <w:rPr>
                <w:spacing w:val="-2"/>
              </w:rPr>
              <w:t>0.45</w:t>
            </w:r>
          </w:p>
        </w:tc>
        <w:tc>
          <w:tcPr>
            <w:tcW w:w="848" w:type="dxa"/>
            <w:vAlign w:val="top"/>
          </w:tcPr>
          <w:p w14:paraId="6B1F165D">
            <w:pPr>
              <w:pStyle w:val="6"/>
              <w:spacing w:before="94" w:line="195" w:lineRule="auto"/>
              <w:ind w:left="243"/>
            </w:pPr>
            <w:r>
              <w:rPr>
                <w:spacing w:val="-2"/>
              </w:rPr>
              <w:t>0.09</w:t>
            </w:r>
          </w:p>
        </w:tc>
        <w:tc>
          <w:tcPr>
            <w:tcW w:w="848" w:type="dxa"/>
            <w:vAlign w:val="top"/>
          </w:tcPr>
          <w:p w14:paraId="4D968F56">
            <w:pPr>
              <w:pStyle w:val="6"/>
              <w:spacing w:before="94" w:line="195" w:lineRule="auto"/>
              <w:ind w:left="246"/>
            </w:pPr>
            <w:r>
              <w:rPr>
                <w:spacing w:val="-2"/>
              </w:rPr>
              <w:t>0.10</w:t>
            </w:r>
          </w:p>
        </w:tc>
        <w:tc>
          <w:tcPr>
            <w:tcW w:w="851" w:type="dxa"/>
            <w:vAlign w:val="top"/>
          </w:tcPr>
          <w:p w14:paraId="3CAD577C">
            <w:pPr>
              <w:pStyle w:val="6"/>
              <w:spacing w:before="94" w:line="195" w:lineRule="auto"/>
              <w:ind w:left="249"/>
            </w:pPr>
            <w:r>
              <w:rPr>
                <w:spacing w:val="-2"/>
              </w:rPr>
              <w:t>0.40</w:t>
            </w:r>
          </w:p>
        </w:tc>
        <w:tc>
          <w:tcPr>
            <w:tcW w:w="1979" w:type="dxa"/>
            <w:vAlign w:val="top"/>
          </w:tcPr>
          <w:p w14:paraId="1C9711EE">
            <w:pPr>
              <w:pStyle w:val="6"/>
              <w:spacing w:before="185" w:line="100" w:lineRule="exact"/>
              <w:ind w:left="932"/>
            </w:pPr>
            <w:r>
              <w:rPr>
                <w:spacing w:val="-3"/>
                <w:position w:val="-6"/>
              </w:rPr>
              <w:t>--</w:t>
            </w:r>
          </w:p>
        </w:tc>
        <w:tc>
          <w:tcPr>
            <w:tcW w:w="1950" w:type="dxa"/>
            <w:tcBorders>
              <w:right w:val="single" w:color="000000" w:sz="12" w:space="0"/>
            </w:tcBorders>
            <w:vAlign w:val="top"/>
          </w:tcPr>
          <w:p w14:paraId="6F18BD33">
            <w:pPr>
              <w:pStyle w:val="6"/>
              <w:spacing w:before="94" w:line="195" w:lineRule="auto"/>
              <w:ind w:left="799"/>
            </w:pPr>
            <w:r>
              <w:rPr>
                <w:spacing w:val="-2"/>
              </w:rPr>
              <w:t>0.01</w:t>
            </w:r>
          </w:p>
        </w:tc>
      </w:tr>
      <w:tr w14:paraId="70DEC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B75714A">
            <w:pPr>
              <w:rPr>
                <w:rFonts w:ascii="Arial"/>
                <w:sz w:val="21"/>
              </w:rPr>
            </w:pPr>
          </w:p>
        </w:tc>
        <w:tc>
          <w:tcPr>
            <w:tcW w:w="329" w:type="dxa"/>
            <w:vMerge w:val="continue"/>
            <w:tcBorders>
              <w:top w:val="nil"/>
              <w:bottom w:val="nil"/>
            </w:tcBorders>
            <w:vAlign w:val="top"/>
          </w:tcPr>
          <w:p w14:paraId="730FFB91">
            <w:pPr>
              <w:rPr>
                <w:rFonts w:ascii="Arial"/>
                <w:sz w:val="21"/>
              </w:rPr>
            </w:pPr>
          </w:p>
        </w:tc>
        <w:tc>
          <w:tcPr>
            <w:tcW w:w="1316" w:type="dxa"/>
            <w:vAlign w:val="top"/>
          </w:tcPr>
          <w:p w14:paraId="296A0580">
            <w:pPr>
              <w:pStyle w:val="6"/>
              <w:spacing w:before="95" w:line="195" w:lineRule="auto"/>
              <w:ind w:left="220"/>
            </w:pPr>
            <w:r>
              <w:rPr>
                <w:spacing w:val="-1"/>
              </w:rPr>
              <w:t>2019/5/11</w:t>
            </w:r>
          </w:p>
        </w:tc>
        <w:tc>
          <w:tcPr>
            <w:tcW w:w="711" w:type="dxa"/>
            <w:vAlign w:val="top"/>
          </w:tcPr>
          <w:p w14:paraId="5DFF0C28">
            <w:pPr>
              <w:pStyle w:val="6"/>
              <w:spacing w:before="95" w:line="195" w:lineRule="auto"/>
              <w:ind w:left="167"/>
            </w:pPr>
            <w:r>
              <w:rPr>
                <w:spacing w:val="-2"/>
              </w:rPr>
              <w:t>0.52</w:t>
            </w:r>
          </w:p>
        </w:tc>
        <w:tc>
          <w:tcPr>
            <w:tcW w:w="706" w:type="dxa"/>
            <w:vAlign w:val="top"/>
          </w:tcPr>
          <w:p w14:paraId="208A6EC1">
            <w:pPr>
              <w:pStyle w:val="6"/>
              <w:spacing w:before="95" w:line="195" w:lineRule="auto"/>
              <w:ind w:left="165"/>
            </w:pPr>
            <w:r>
              <w:rPr>
                <w:spacing w:val="-2"/>
              </w:rPr>
              <w:t>0.73</w:t>
            </w:r>
          </w:p>
        </w:tc>
        <w:tc>
          <w:tcPr>
            <w:tcW w:w="848" w:type="dxa"/>
            <w:vAlign w:val="top"/>
          </w:tcPr>
          <w:p w14:paraId="4DD816E8">
            <w:pPr>
              <w:pStyle w:val="6"/>
              <w:spacing w:before="95" w:line="195" w:lineRule="auto"/>
              <w:ind w:left="239"/>
            </w:pPr>
            <w:r>
              <w:rPr>
                <w:spacing w:val="-2"/>
              </w:rPr>
              <w:t>0.62</w:t>
            </w:r>
          </w:p>
        </w:tc>
        <w:tc>
          <w:tcPr>
            <w:tcW w:w="706" w:type="dxa"/>
            <w:vAlign w:val="top"/>
          </w:tcPr>
          <w:p w14:paraId="55C445AD">
            <w:pPr>
              <w:pStyle w:val="6"/>
              <w:spacing w:before="95" w:line="195" w:lineRule="auto"/>
              <w:ind w:left="168"/>
            </w:pPr>
            <w:r>
              <w:rPr>
                <w:spacing w:val="-2"/>
              </w:rPr>
              <w:t>0.50</w:t>
            </w:r>
          </w:p>
        </w:tc>
        <w:tc>
          <w:tcPr>
            <w:tcW w:w="849" w:type="dxa"/>
            <w:vAlign w:val="top"/>
          </w:tcPr>
          <w:p w14:paraId="0178F46F">
            <w:pPr>
              <w:pStyle w:val="6"/>
              <w:spacing w:before="95" w:line="195" w:lineRule="auto"/>
              <w:ind w:left="242"/>
            </w:pPr>
            <w:r>
              <w:rPr>
                <w:spacing w:val="-2"/>
              </w:rPr>
              <w:t>0.48</w:t>
            </w:r>
          </w:p>
        </w:tc>
        <w:tc>
          <w:tcPr>
            <w:tcW w:w="848" w:type="dxa"/>
            <w:vAlign w:val="top"/>
          </w:tcPr>
          <w:p w14:paraId="742B6231">
            <w:pPr>
              <w:pStyle w:val="6"/>
              <w:spacing w:before="95" w:line="195" w:lineRule="auto"/>
              <w:ind w:left="243"/>
            </w:pPr>
            <w:r>
              <w:rPr>
                <w:spacing w:val="-2"/>
              </w:rPr>
              <w:t>0.09</w:t>
            </w:r>
          </w:p>
        </w:tc>
        <w:tc>
          <w:tcPr>
            <w:tcW w:w="848" w:type="dxa"/>
            <w:vAlign w:val="top"/>
          </w:tcPr>
          <w:p w14:paraId="7471BEE5">
            <w:pPr>
              <w:pStyle w:val="6"/>
              <w:spacing w:before="95" w:line="195" w:lineRule="auto"/>
              <w:ind w:left="246"/>
            </w:pPr>
            <w:r>
              <w:rPr>
                <w:spacing w:val="-2"/>
              </w:rPr>
              <w:t>0.15</w:t>
            </w:r>
          </w:p>
        </w:tc>
        <w:tc>
          <w:tcPr>
            <w:tcW w:w="851" w:type="dxa"/>
            <w:vAlign w:val="top"/>
          </w:tcPr>
          <w:p w14:paraId="7818FD5B">
            <w:pPr>
              <w:pStyle w:val="6"/>
              <w:spacing w:before="95" w:line="195" w:lineRule="auto"/>
              <w:ind w:left="249"/>
            </w:pPr>
            <w:r>
              <w:rPr>
                <w:spacing w:val="-2"/>
              </w:rPr>
              <w:t>0.60</w:t>
            </w:r>
          </w:p>
        </w:tc>
        <w:tc>
          <w:tcPr>
            <w:tcW w:w="1979" w:type="dxa"/>
            <w:vAlign w:val="top"/>
          </w:tcPr>
          <w:p w14:paraId="750DD7CB">
            <w:pPr>
              <w:pStyle w:val="6"/>
              <w:spacing w:before="186" w:line="100" w:lineRule="exact"/>
              <w:ind w:left="932"/>
            </w:pPr>
            <w:r>
              <w:rPr>
                <w:spacing w:val="-3"/>
                <w:position w:val="-6"/>
              </w:rPr>
              <w:t>--</w:t>
            </w:r>
          </w:p>
        </w:tc>
        <w:tc>
          <w:tcPr>
            <w:tcW w:w="1950" w:type="dxa"/>
            <w:tcBorders>
              <w:right w:val="single" w:color="000000" w:sz="12" w:space="0"/>
            </w:tcBorders>
            <w:vAlign w:val="top"/>
          </w:tcPr>
          <w:p w14:paraId="1A651535">
            <w:pPr>
              <w:pStyle w:val="6"/>
              <w:spacing w:before="95" w:line="195" w:lineRule="auto"/>
              <w:ind w:left="799"/>
            </w:pPr>
            <w:r>
              <w:rPr>
                <w:spacing w:val="-2"/>
              </w:rPr>
              <w:t>0.01</w:t>
            </w:r>
          </w:p>
        </w:tc>
      </w:tr>
      <w:tr w14:paraId="05FCF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6E11EB1">
            <w:pPr>
              <w:rPr>
                <w:rFonts w:ascii="Arial"/>
                <w:sz w:val="21"/>
              </w:rPr>
            </w:pPr>
          </w:p>
        </w:tc>
        <w:tc>
          <w:tcPr>
            <w:tcW w:w="329" w:type="dxa"/>
            <w:vMerge w:val="continue"/>
            <w:tcBorders>
              <w:top w:val="nil"/>
            </w:tcBorders>
            <w:vAlign w:val="top"/>
          </w:tcPr>
          <w:p w14:paraId="17240863">
            <w:pPr>
              <w:rPr>
                <w:rFonts w:ascii="Arial"/>
                <w:sz w:val="21"/>
              </w:rPr>
            </w:pPr>
          </w:p>
        </w:tc>
        <w:tc>
          <w:tcPr>
            <w:tcW w:w="1316" w:type="dxa"/>
            <w:vAlign w:val="top"/>
          </w:tcPr>
          <w:p w14:paraId="6127686B">
            <w:pPr>
              <w:pStyle w:val="6"/>
              <w:spacing w:before="96" w:line="193" w:lineRule="auto"/>
              <w:ind w:left="220"/>
            </w:pPr>
            <w:r>
              <w:rPr>
                <w:spacing w:val="-1"/>
              </w:rPr>
              <w:t>2019/5/12</w:t>
            </w:r>
          </w:p>
        </w:tc>
        <w:tc>
          <w:tcPr>
            <w:tcW w:w="711" w:type="dxa"/>
            <w:vAlign w:val="top"/>
          </w:tcPr>
          <w:p w14:paraId="40BEE5D3">
            <w:pPr>
              <w:pStyle w:val="6"/>
              <w:spacing w:before="96" w:line="193" w:lineRule="auto"/>
              <w:ind w:left="167"/>
            </w:pPr>
            <w:r>
              <w:rPr>
                <w:spacing w:val="-2"/>
              </w:rPr>
              <w:t>0.56</w:t>
            </w:r>
          </w:p>
        </w:tc>
        <w:tc>
          <w:tcPr>
            <w:tcW w:w="706" w:type="dxa"/>
            <w:vAlign w:val="top"/>
          </w:tcPr>
          <w:p w14:paraId="42D7DE6C">
            <w:pPr>
              <w:pStyle w:val="6"/>
              <w:spacing w:before="96" w:line="193" w:lineRule="auto"/>
              <w:ind w:left="165"/>
            </w:pPr>
            <w:r>
              <w:rPr>
                <w:spacing w:val="-2"/>
              </w:rPr>
              <w:t>0.81</w:t>
            </w:r>
          </w:p>
        </w:tc>
        <w:tc>
          <w:tcPr>
            <w:tcW w:w="848" w:type="dxa"/>
            <w:vAlign w:val="top"/>
          </w:tcPr>
          <w:p w14:paraId="3D713D8B">
            <w:pPr>
              <w:pStyle w:val="6"/>
              <w:spacing w:before="96" w:line="193" w:lineRule="auto"/>
              <w:ind w:left="239"/>
            </w:pPr>
            <w:r>
              <w:rPr>
                <w:spacing w:val="-2"/>
              </w:rPr>
              <w:t>0.58</w:t>
            </w:r>
          </w:p>
        </w:tc>
        <w:tc>
          <w:tcPr>
            <w:tcW w:w="706" w:type="dxa"/>
            <w:vAlign w:val="top"/>
          </w:tcPr>
          <w:p w14:paraId="416E2399">
            <w:pPr>
              <w:pStyle w:val="6"/>
              <w:spacing w:before="96" w:line="193" w:lineRule="auto"/>
              <w:ind w:left="168"/>
            </w:pPr>
            <w:r>
              <w:rPr>
                <w:spacing w:val="-2"/>
              </w:rPr>
              <w:t>0.40</w:t>
            </w:r>
          </w:p>
        </w:tc>
        <w:tc>
          <w:tcPr>
            <w:tcW w:w="849" w:type="dxa"/>
            <w:vAlign w:val="top"/>
          </w:tcPr>
          <w:p w14:paraId="26448A28">
            <w:pPr>
              <w:pStyle w:val="6"/>
              <w:spacing w:before="96" w:line="193" w:lineRule="auto"/>
              <w:ind w:left="242"/>
            </w:pPr>
            <w:r>
              <w:rPr>
                <w:spacing w:val="-2"/>
              </w:rPr>
              <w:t>0.40</w:t>
            </w:r>
          </w:p>
        </w:tc>
        <w:tc>
          <w:tcPr>
            <w:tcW w:w="848" w:type="dxa"/>
            <w:vAlign w:val="top"/>
          </w:tcPr>
          <w:p w14:paraId="2A6B077F">
            <w:pPr>
              <w:pStyle w:val="6"/>
              <w:spacing w:before="96" w:line="193" w:lineRule="auto"/>
              <w:ind w:left="243"/>
            </w:pPr>
            <w:r>
              <w:rPr>
                <w:spacing w:val="-2"/>
              </w:rPr>
              <w:t>0.10</w:t>
            </w:r>
          </w:p>
        </w:tc>
        <w:tc>
          <w:tcPr>
            <w:tcW w:w="848" w:type="dxa"/>
            <w:vAlign w:val="top"/>
          </w:tcPr>
          <w:p w14:paraId="418D9E24">
            <w:pPr>
              <w:pStyle w:val="6"/>
              <w:spacing w:before="96" w:line="193" w:lineRule="auto"/>
              <w:ind w:left="246"/>
            </w:pPr>
            <w:r>
              <w:rPr>
                <w:spacing w:val="-2"/>
              </w:rPr>
              <w:t>0.10</w:t>
            </w:r>
          </w:p>
        </w:tc>
        <w:tc>
          <w:tcPr>
            <w:tcW w:w="851" w:type="dxa"/>
            <w:vAlign w:val="top"/>
          </w:tcPr>
          <w:p w14:paraId="5469F4DB">
            <w:pPr>
              <w:pStyle w:val="6"/>
              <w:spacing w:before="96" w:line="193" w:lineRule="auto"/>
              <w:ind w:left="249"/>
            </w:pPr>
            <w:r>
              <w:rPr>
                <w:spacing w:val="-2"/>
              </w:rPr>
              <w:t>0.40</w:t>
            </w:r>
          </w:p>
        </w:tc>
        <w:tc>
          <w:tcPr>
            <w:tcW w:w="1979" w:type="dxa"/>
            <w:vAlign w:val="top"/>
          </w:tcPr>
          <w:p w14:paraId="75B72FC8">
            <w:pPr>
              <w:pStyle w:val="6"/>
              <w:spacing w:before="187" w:line="100" w:lineRule="exact"/>
              <w:ind w:left="932"/>
            </w:pPr>
            <w:r>
              <w:rPr>
                <w:spacing w:val="-3"/>
                <w:position w:val="-6"/>
              </w:rPr>
              <w:t>--</w:t>
            </w:r>
          </w:p>
        </w:tc>
        <w:tc>
          <w:tcPr>
            <w:tcW w:w="1950" w:type="dxa"/>
            <w:tcBorders>
              <w:right w:val="single" w:color="000000" w:sz="12" w:space="0"/>
            </w:tcBorders>
            <w:vAlign w:val="top"/>
          </w:tcPr>
          <w:p w14:paraId="15BE4C75">
            <w:pPr>
              <w:pStyle w:val="6"/>
              <w:spacing w:before="96" w:line="193" w:lineRule="auto"/>
              <w:ind w:left="799"/>
            </w:pPr>
            <w:r>
              <w:rPr>
                <w:spacing w:val="-2"/>
              </w:rPr>
              <w:t>0.01</w:t>
            </w:r>
          </w:p>
        </w:tc>
      </w:tr>
      <w:tr w14:paraId="4844B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5153D13">
            <w:pPr>
              <w:rPr>
                <w:rFonts w:ascii="Arial"/>
                <w:sz w:val="21"/>
              </w:rPr>
            </w:pPr>
          </w:p>
        </w:tc>
        <w:tc>
          <w:tcPr>
            <w:tcW w:w="329" w:type="dxa"/>
            <w:vMerge w:val="restart"/>
            <w:tcBorders>
              <w:bottom w:val="nil"/>
            </w:tcBorders>
            <w:vAlign w:val="top"/>
          </w:tcPr>
          <w:p w14:paraId="0B87EF3E">
            <w:pPr>
              <w:pStyle w:val="6"/>
              <w:spacing w:before="137" w:line="223" w:lineRule="auto"/>
              <w:ind w:left="102"/>
            </w:pPr>
            <w:r>
              <w:t>3</w:t>
            </w:r>
          </w:p>
          <w:p w14:paraId="7B556723">
            <w:pPr>
              <w:spacing w:line="219" w:lineRule="auto"/>
              <w:ind w:left="49"/>
              <w:rPr>
                <w:rFonts w:ascii="宋体" w:hAnsi="宋体" w:eastAsia="宋体" w:cs="宋体"/>
                <w:sz w:val="21"/>
                <w:szCs w:val="21"/>
              </w:rPr>
            </w:pPr>
            <w:r>
              <w:rPr>
                <w:rFonts w:ascii="宋体" w:hAnsi="宋体" w:eastAsia="宋体" w:cs="宋体"/>
                <w:sz w:val="21"/>
                <w:szCs w:val="21"/>
              </w:rPr>
              <w:t>季</w:t>
            </w:r>
          </w:p>
          <w:p w14:paraId="0FB9B607">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37C67C48">
            <w:pPr>
              <w:pStyle w:val="6"/>
              <w:spacing w:before="97" w:line="192" w:lineRule="auto"/>
              <w:ind w:left="220"/>
            </w:pPr>
            <w:r>
              <w:rPr>
                <w:spacing w:val="-1"/>
              </w:rPr>
              <w:t>2019/8/06</w:t>
            </w:r>
          </w:p>
        </w:tc>
        <w:tc>
          <w:tcPr>
            <w:tcW w:w="711" w:type="dxa"/>
            <w:vAlign w:val="top"/>
          </w:tcPr>
          <w:p w14:paraId="3D52488B">
            <w:pPr>
              <w:pStyle w:val="6"/>
              <w:spacing w:before="97" w:line="192" w:lineRule="auto"/>
              <w:ind w:left="167"/>
            </w:pPr>
            <w:r>
              <w:rPr>
                <w:spacing w:val="-2"/>
              </w:rPr>
              <w:t>0.86</w:t>
            </w:r>
          </w:p>
        </w:tc>
        <w:tc>
          <w:tcPr>
            <w:tcW w:w="706" w:type="dxa"/>
            <w:vAlign w:val="top"/>
          </w:tcPr>
          <w:p w14:paraId="282E2B17">
            <w:pPr>
              <w:pStyle w:val="6"/>
              <w:spacing w:before="97" w:line="192" w:lineRule="auto"/>
              <w:ind w:left="165"/>
            </w:pPr>
            <w:r>
              <w:rPr>
                <w:spacing w:val="-2"/>
              </w:rPr>
              <w:t>0.72</w:t>
            </w:r>
          </w:p>
        </w:tc>
        <w:tc>
          <w:tcPr>
            <w:tcW w:w="848" w:type="dxa"/>
            <w:vAlign w:val="top"/>
          </w:tcPr>
          <w:p w14:paraId="311B9FD9">
            <w:pPr>
              <w:pStyle w:val="6"/>
              <w:spacing w:before="97" w:line="192" w:lineRule="auto"/>
              <w:ind w:left="239"/>
            </w:pPr>
            <w:r>
              <w:rPr>
                <w:spacing w:val="-2"/>
              </w:rPr>
              <w:t>0.57</w:t>
            </w:r>
          </w:p>
        </w:tc>
        <w:tc>
          <w:tcPr>
            <w:tcW w:w="706" w:type="dxa"/>
            <w:vAlign w:val="top"/>
          </w:tcPr>
          <w:p w14:paraId="689A9880">
            <w:pPr>
              <w:pStyle w:val="6"/>
              <w:spacing w:before="97" w:line="192" w:lineRule="auto"/>
              <w:ind w:left="168"/>
            </w:pPr>
            <w:r>
              <w:rPr>
                <w:spacing w:val="-2"/>
              </w:rPr>
              <w:t>0.40</w:t>
            </w:r>
          </w:p>
        </w:tc>
        <w:tc>
          <w:tcPr>
            <w:tcW w:w="849" w:type="dxa"/>
            <w:vAlign w:val="top"/>
          </w:tcPr>
          <w:p w14:paraId="0BA167A8">
            <w:pPr>
              <w:pStyle w:val="6"/>
              <w:spacing w:before="97" w:line="192" w:lineRule="auto"/>
              <w:ind w:left="242"/>
            </w:pPr>
            <w:r>
              <w:rPr>
                <w:spacing w:val="-2"/>
              </w:rPr>
              <w:t>0.40</w:t>
            </w:r>
          </w:p>
        </w:tc>
        <w:tc>
          <w:tcPr>
            <w:tcW w:w="848" w:type="dxa"/>
            <w:vAlign w:val="top"/>
          </w:tcPr>
          <w:p w14:paraId="5CDA239E">
            <w:pPr>
              <w:pStyle w:val="6"/>
              <w:spacing w:before="97" w:line="192" w:lineRule="auto"/>
              <w:ind w:left="243"/>
            </w:pPr>
            <w:r>
              <w:rPr>
                <w:spacing w:val="-2"/>
              </w:rPr>
              <w:t>0.16</w:t>
            </w:r>
          </w:p>
        </w:tc>
        <w:tc>
          <w:tcPr>
            <w:tcW w:w="848" w:type="dxa"/>
            <w:vAlign w:val="top"/>
          </w:tcPr>
          <w:p w14:paraId="44B04EAE">
            <w:pPr>
              <w:pStyle w:val="6"/>
              <w:spacing w:before="97" w:line="192" w:lineRule="auto"/>
              <w:ind w:left="246"/>
            </w:pPr>
            <w:r>
              <w:rPr>
                <w:spacing w:val="-2"/>
              </w:rPr>
              <w:t>0.30</w:t>
            </w:r>
          </w:p>
        </w:tc>
        <w:tc>
          <w:tcPr>
            <w:tcW w:w="851" w:type="dxa"/>
            <w:vAlign w:val="top"/>
          </w:tcPr>
          <w:p w14:paraId="5A49DE46">
            <w:pPr>
              <w:pStyle w:val="6"/>
              <w:spacing w:before="97" w:line="192" w:lineRule="auto"/>
              <w:ind w:left="249"/>
            </w:pPr>
            <w:r>
              <w:rPr>
                <w:spacing w:val="-2"/>
              </w:rPr>
              <w:t>0.40</w:t>
            </w:r>
          </w:p>
        </w:tc>
        <w:tc>
          <w:tcPr>
            <w:tcW w:w="1979" w:type="dxa"/>
            <w:vAlign w:val="top"/>
          </w:tcPr>
          <w:p w14:paraId="43FBFE62">
            <w:pPr>
              <w:pStyle w:val="6"/>
              <w:spacing w:before="97" w:line="192" w:lineRule="auto"/>
              <w:ind w:left="816"/>
            </w:pPr>
            <w:r>
              <w:rPr>
                <w:spacing w:val="-2"/>
              </w:rPr>
              <w:t>0.28</w:t>
            </w:r>
          </w:p>
        </w:tc>
        <w:tc>
          <w:tcPr>
            <w:tcW w:w="1950" w:type="dxa"/>
            <w:tcBorders>
              <w:right w:val="single" w:color="000000" w:sz="12" w:space="0"/>
            </w:tcBorders>
            <w:vAlign w:val="top"/>
          </w:tcPr>
          <w:p w14:paraId="462EB949">
            <w:pPr>
              <w:pStyle w:val="6"/>
              <w:spacing w:before="97" w:line="192" w:lineRule="auto"/>
              <w:ind w:left="799"/>
            </w:pPr>
            <w:r>
              <w:rPr>
                <w:spacing w:val="-2"/>
              </w:rPr>
              <w:t>0.12</w:t>
            </w:r>
          </w:p>
        </w:tc>
      </w:tr>
      <w:tr w14:paraId="403CE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1B2416AD">
            <w:pPr>
              <w:rPr>
                <w:rFonts w:ascii="Arial"/>
                <w:sz w:val="21"/>
              </w:rPr>
            </w:pPr>
          </w:p>
        </w:tc>
        <w:tc>
          <w:tcPr>
            <w:tcW w:w="329" w:type="dxa"/>
            <w:vMerge w:val="continue"/>
            <w:tcBorders>
              <w:top w:val="nil"/>
              <w:bottom w:val="nil"/>
            </w:tcBorders>
            <w:vAlign w:val="top"/>
          </w:tcPr>
          <w:p w14:paraId="3F868791">
            <w:pPr>
              <w:rPr>
                <w:rFonts w:ascii="Arial"/>
                <w:sz w:val="21"/>
              </w:rPr>
            </w:pPr>
          </w:p>
        </w:tc>
        <w:tc>
          <w:tcPr>
            <w:tcW w:w="1316" w:type="dxa"/>
            <w:vAlign w:val="top"/>
          </w:tcPr>
          <w:p w14:paraId="33865306">
            <w:pPr>
              <w:pStyle w:val="6"/>
              <w:spacing w:before="98" w:line="192" w:lineRule="auto"/>
              <w:ind w:left="220"/>
            </w:pPr>
            <w:r>
              <w:rPr>
                <w:spacing w:val="-1"/>
              </w:rPr>
              <w:t>2019/8/07</w:t>
            </w:r>
          </w:p>
        </w:tc>
        <w:tc>
          <w:tcPr>
            <w:tcW w:w="711" w:type="dxa"/>
            <w:vAlign w:val="top"/>
          </w:tcPr>
          <w:p w14:paraId="0054D798">
            <w:pPr>
              <w:pStyle w:val="6"/>
              <w:spacing w:before="98" w:line="192" w:lineRule="auto"/>
              <w:ind w:left="167"/>
            </w:pPr>
            <w:r>
              <w:rPr>
                <w:spacing w:val="-2"/>
              </w:rPr>
              <w:t>0.90</w:t>
            </w:r>
          </w:p>
        </w:tc>
        <w:tc>
          <w:tcPr>
            <w:tcW w:w="706" w:type="dxa"/>
            <w:vAlign w:val="top"/>
          </w:tcPr>
          <w:p w14:paraId="0AF78EB3">
            <w:pPr>
              <w:pStyle w:val="6"/>
              <w:spacing w:before="98" w:line="192" w:lineRule="auto"/>
              <w:ind w:left="165"/>
            </w:pPr>
            <w:r>
              <w:rPr>
                <w:spacing w:val="-2"/>
              </w:rPr>
              <w:t>0.83</w:t>
            </w:r>
          </w:p>
        </w:tc>
        <w:tc>
          <w:tcPr>
            <w:tcW w:w="848" w:type="dxa"/>
            <w:vAlign w:val="top"/>
          </w:tcPr>
          <w:p w14:paraId="7031215E">
            <w:pPr>
              <w:pStyle w:val="6"/>
              <w:spacing w:before="98" w:line="192" w:lineRule="auto"/>
              <w:ind w:left="239"/>
            </w:pPr>
            <w:r>
              <w:rPr>
                <w:spacing w:val="-2"/>
              </w:rPr>
              <w:t>0.58</w:t>
            </w:r>
          </w:p>
        </w:tc>
        <w:tc>
          <w:tcPr>
            <w:tcW w:w="706" w:type="dxa"/>
            <w:vAlign w:val="top"/>
          </w:tcPr>
          <w:p w14:paraId="290901B6">
            <w:pPr>
              <w:pStyle w:val="6"/>
              <w:spacing w:before="98" w:line="192" w:lineRule="auto"/>
              <w:ind w:left="168"/>
            </w:pPr>
            <w:r>
              <w:rPr>
                <w:spacing w:val="-2"/>
              </w:rPr>
              <w:t>0.50</w:t>
            </w:r>
          </w:p>
        </w:tc>
        <w:tc>
          <w:tcPr>
            <w:tcW w:w="849" w:type="dxa"/>
            <w:vAlign w:val="top"/>
          </w:tcPr>
          <w:p w14:paraId="3B755C9A">
            <w:pPr>
              <w:pStyle w:val="6"/>
              <w:spacing w:before="98" w:line="192" w:lineRule="auto"/>
              <w:ind w:left="242"/>
            </w:pPr>
            <w:r>
              <w:rPr>
                <w:spacing w:val="-2"/>
              </w:rPr>
              <w:t>0.50</w:t>
            </w:r>
          </w:p>
        </w:tc>
        <w:tc>
          <w:tcPr>
            <w:tcW w:w="848" w:type="dxa"/>
            <w:vAlign w:val="top"/>
          </w:tcPr>
          <w:p w14:paraId="0B41CC54">
            <w:pPr>
              <w:pStyle w:val="6"/>
              <w:spacing w:before="98" w:line="192" w:lineRule="auto"/>
              <w:ind w:left="243"/>
            </w:pPr>
            <w:r>
              <w:rPr>
                <w:spacing w:val="-2"/>
              </w:rPr>
              <w:t>0.17</w:t>
            </w:r>
          </w:p>
        </w:tc>
        <w:tc>
          <w:tcPr>
            <w:tcW w:w="848" w:type="dxa"/>
            <w:vAlign w:val="top"/>
          </w:tcPr>
          <w:p w14:paraId="09B86878">
            <w:pPr>
              <w:pStyle w:val="6"/>
              <w:spacing w:before="98" w:line="192" w:lineRule="auto"/>
              <w:ind w:left="246"/>
            </w:pPr>
            <w:r>
              <w:rPr>
                <w:spacing w:val="-2"/>
              </w:rPr>
              <w:t>0.25</w:t>
            </w:r>
          </w:p>
        </w:tc>
        <w:tc>
          <w:tcPr>
            <w:tcW w:w="851" w:type="dxa"/>
            <w:vAlign w:val="top"/>
          </w:tcPr>
          <w:p w14:paraId="505AE81C">
            <w:pPr>
              <w:pStyle w:val="6"/>
              <w:spacing w:before="98" w:line="192" w:lineRule="auto"/>
              <w:ind w:left="249"/>
            </w:pPr>
            <w:r>
              <w:rPr>
                <w:spacing w:val="-2"/>
              </w:rPr>
              <w:t>0.40</w:t>
            </w:r>
          </w:p>
        </w:tc>
        <w:tc>
          <w:tcPr>
            <w:tcW w:w="1979" w:type="dxa"/>
            <w:vAlign w:val="top"/>
          </w:tcPr>
          <w:p w14:paraId="7B26C84D">
            <w:pPr>
              <w:pStyle w:val="6"/>
              <w:spacing w:before="98" w:line="192" w:lineRule="auto"/>
              <w:ind w:left="816"/>
            </w:pPr>
            <w:r>
              <w:rPr>
                <w:spacing w:val="-2"/>
              </w:rPr>
              <w:t>0.33</w:t>
            </w:r>
          </w:p>
        </w:tc>
        <w:tc>
          <w:tcPr>
            <w:tcW w:w="1950" w:type="dxa"/>
            <w:tcBorders>
              <w:right w:val="single" w:color="000000" w:sz="12" w:space="0"/>
            </w:tcBorders>
            <w:vAlign w:val="top"/>
          </w:tcPr>
          <w:p w14:paraId="6AC9BA72">
            <w:pPr>
              <w:pStyle w:val="6"/>
              <w:spacing w:before="98" w:line="192" w:lineRule="auto"/>
              <w:ind w:left="799"/>
            </w:pPr>
            <w:r>
              <w:rPr>
                <w:spacing w:val="-2"/>
              </w:rPr>
              <w:t>0.11</w:t>
            </w:r>
          </w:p>
        </w:tc>
      </w:tr>
      <w:tr w14:paraId="5C92D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2853252">
            <w:pPr>
              <w:rPr>
                <w:rFonts w:ascii="Arial"/>
                <w:sz w:val="21"/>
              </w:rPr>
            </w:pPr>
          </w:p>
        </w:tc>
        <w:tc>
          <w:tcPr>
            <w:tcW w:w="329" w:type="dxa"/>
            <w:vMerge w:val="continue"/>
            <w:tcBorders>
              <w:top w:val="nil"/>
            </w:tcBorders>
            <w:vAlign w:val="top"/>
          </w:tcPr>
          <w:p w14:paraId="7074C7C2">
            <w:pPr>
              <w:rPr>
                <w:rFonts w:ascii="Arial"/>
                <w:sz w:val="21"/>
              </w:rPr>
            </w:pPr>
          </w:p>
        </w:tc>
        <w:tc>
          <w:tcPr>
            <w:tcW w:w="1316" w:type="dxa"/>
            <w:vAlign w:val="top"/>
          </w:tcPr>
          <w:p w14:paraId="6DCF7B8D">
            <w:pPr>
              <w:pStyle w:val="6"/>
              <w:spacing w:before="99" w:line="190" w:lineRule="auto"/>
              <w:ind w:left="220"/>
            </w:pPr>
            <w:r>
              <w:rPr>
                <w:spacing w:val="-1"/>
              </w:rPr>
              <w:t>2019/8/08</w:t>
            </w:r>
          </w:p>
        </w:tc>
        <w:tc>
          <w:tcPr>
            <w:tcW w:w="711" w:type="dxa"/>
            <w:vAlign w:val="top"/>
          </w:tcPr>
          <w:p w14:paraId="69FCD69B">
            <w:pPr>
              <w:pStyle w:val="6"/>
              <w:spacing w:before="99" w:line="190" w:lineRule="auto"/>
              <w:ind w:left="167"/>
            </w:pPr>
            <w:r>
              <w:rPr>
                <w:spacing w:val="-2"/>
              </w:rPr>
              <w:t>0.84</w:t>
            </w:r>
          </w:p>
        </w:tc>
        <w:tc>
          <w:tcPr>
            <w:tcW w:w="706" w:type="dxa"/>
            <w:vAlign w:val="top"/>
          </w:tcPr>
          <w:p w14:paraId="55519D34">
            <w:pPr>
              <w:pStyle w:val="6"/>
              <w:spacing w:before="99" w:line="190" w:lineRule="auto"/>
              <w:ind w:left="165"/>
            </w:pPr>
            <w:r>
              <w:rPr>
                <w:spacing w:val="-2"/>
              </w:rPr>
              <w:t>0.89</w:t>
            </w:r>
          </w:p>
        </w:tc>
        <w:tc>
          <w:tcPr>
            <w:tcW w:w="848" w:type="dxa"/>
            <w:vAlign w:val="top"/>
          </w:tcPr>
          <w:p w14:paraId="5EDB8C92">
            <w:pPr>
              <w:pStyle w:val="6"/>
              <w:spacing w:before="99" w:line="190" w:lineRule="auto"/>
              <w:ind w:left="239"/>
            </w:pPr>
            <w:r>
              <w:rPr>
                <w:spacing w:val="-2"/>
              </w:rPr>
              <w:t>0.53</w:t>
            </w:r>
          </w:p>
        </w:tc>
        <w:tc>
          <w:tcPr>
            <w:tcW w:w="706" w:type="dxa"/>
            <w:vAlign w:val="top"/>
          </w:tcPr>
          <w:p w14:paraId="5C16D1C7">
            <w:pPr>
              <w:pStyle w:val="6"/>
              <w:spacing w:before="99" w:line="190" w:lineRule="auto"/>
              <w:ind w:left="168"/>
            </w:pPr>
            <w:r>
              <w:rPr>
                <w:spacing w:val="-2"/>
              </w:rPr>
              <w:t>0.40</w:t>
            </w:r>
          </w:p>
        </w:tc>
        <w:tc>
          <w:tcPr>
            <w:tcW w:w="849" w:type="dxa"/>
            <w:vAlign w:val="top"/>
          </w:tcPr>
          <w:p w14:paraId="56F30087">
            <w:pPr>
              <w:pStyle w:val="6"/>
              <w:spacing w:before="99" w:line="190" w:lineRule="auto"/>
              <w:ind w:left="242"/>
            </w:pPr>
            <w:r>
              <w:rPr>
                <w:spacing w:val="-2"/>
              </w:rPr>
              <w:t>0.38</w:t>
            </w:r>
          </w:p>
        </w:tc>
        <w:tc>
          <w:tcPr>
            <w:tcW w:w="848" w:type="dxa"/>
            <w:vAlign w:val="top"/>
          </w:tcPr>
          <w:p w14:paraId="7C337836">
            <w:pPr>
              <w:pStyle w:val="6"/>
              <w:spacing w:before="99" w:line="190" w:lineRule="auto"/>
              <w:ind w:left="243"/>
            </w:pPr>
            <w:r>
              <w:rPr>
                <w:spacing w:val="-2"/>
              </w:rPr>
              <w:t>0.15</w:t>
            </w:r>
          </w:p>
        </w:tc>
        <w:tc>
          <w:tcPr>
            <w:tcW w:w="848" w:type="dxa"/>
            <w:vAlign w:val="top"/>
          </w:tcPr>
          <w:p w14:paraId="151FC018">
            <w:pPr>
              <w:pStyle w:val="6"/>
              <w:spacing w:before="99" w:line="190" w:lineRule="auto"/>
              <w:ind w:left="246"/>
            </w:pPr>
            <w:r>
              <w:rPr>
                <w:spacing w:val="-2"/>
              </w:rPr>
              <w:t>0.30</w:t>
            </w:r>
          </w:p>
        </w:tc>
        <w:tc>
          <w:tcPr>
            <w:tcW w:w="851" w:type="dxa"/>
            <w:vAlign w:val="top"/>
          </w:tcPr>
          <w:p w14:paraId="7783599E">
            <w:pPr>
              <w:pStyle w:val="6"/>
              <w:spacing w:before="99" w:line="190" w:lineRule="auto"/>
              <w:ind w:left="249"/>
            </w:pPr>
            <w:r>
              <w:rPr>
                <w:spacing w:val="-2"/>
              </w:rPr>
              <w:t>0.60</w:t>
            </w:r>
          </w:p>
        </w:tc>
        <w:tc>
          <w:tcPr>
            <w:tcW w:w="1979" w:type="dxa"/>
            <w:vAlign w:val="top"/>
          </w:tcPr>
          <w:p w14:paraId="6B4011B6">
            <w:pPr>
              <w:pStyle w:val="6"/>
              <w:spacing w:before="99" w:line="190" w:lineRule="auto"/>
              <w:ind w:left="816"/>
            </w:pPr>
            <w:r>
              <w:rPr>
                <w:spacing w:val="-2"/>
              </w:rPr>
              <w:t>0.25</w:t>
            </w:r>
          </w:p>
        </w:tc>
        <w:tc>
          <w:tcPr>
            <w:tcW w:w="1950" w:type="dxa"/>
            <w:tcBorders>
              <w:right w:val="single" w:color="000000" w:sz="12" w:space="0"/>
            </w:tcBorders>
            <w:vAlign w:val="top"/>
          </w:tcPr>
          <w:p w14:paraId="208322DD">
            <w:pPr>
              <w:pStyle w:val="6"/>
              <w:spacing w:before="99" w:line="190" w:lineRule="auto"/>
              <w:ind w:left="799"/>
            </w:pPr>
            <w:r>
              <w:rPr>
                <w:spacing w:val="-2"/>
              </w:rPr>
              <w:t>0.13</w:t>
            </w:r>
          </w:p>
        </w:tc>
      </w:tr>
      <w:tr w14:paraId="63EF1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6054988">
            <w:pPr>
              <w:rPr>
                <w:rFonts w:ascii="Arial"/>
                <w:sz w:val="21"/>
              </w:rPr>
            </w:pPr>
          </w:p>
        </w:tc>
        <w:tc>
          <w:tcPr>
            <w:tcW w:w="329" w:type="dxa"/>
            <w:vMerge w:val="restart"/>
            <w:tcBorders>
              <w:bottom w:val="nil"/>
            </w:tcBorders>
            <w:vAlign w:val="top"/>
          </w:tcPr>
          <w:p w14:paraId="5FBF3E6D">
            <w:pPr>
              <w:pStyle w:val="6"/>
              <w:spacing w:before="141" w:line="222" w:lineRule="auto"/>
              <w:ind w:left="96"/>
            </w:pPr>
            <w:r>
              <w:t>4</w:t>
            </w:r>
          </w:p>
          <w:p w14:paraId="40D9338C">
            <w:pPr>
              <w:spacing w:line="219" w:lineRule="auto"/>
              <w:ind w:left="49"/>
              <w:rPr>
                <w:rFonts w:ascii="宋体" w:hAnsi="宋体" w:eastAsia="宋体" w:cs="宋体"/>
                <w:sz w:val="21"/>
                <w:szCs w:val="21"/>
              </w:rPr>
            </w:pPr>
            <w:r>
              <w:rPr>
                <w:rFonts w:ascii="宋体" w:hAnsi="宋体" w:eastAsia="宋体" w:cs="宋体"/>
                <w:sz w:val="21"/>
                <w:szCs w:val="21"/>
              </w:rPr>
              <w:t>季</w:t>
            </w:r>
          </w:p>
          <w:p w14:paraId="3E94E1C7">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36824FAD">
            <w:pPr>
              <w:pStyle w:val="6"/>
              <w:spacing w:before="100" w:line="190" w:lineRule="auto"/>
              <w:ind w:left="220"/>
            </w:pPr>
            <w:r>
              <w:rPr>
                <w:spacing w:val="-1"/>
              </w:rPr>
              <w:t>2019/11/9</w:t>
            </w:r>
          </w:p>
        </w:tc>
        <w:tc>
          <w:tcPr>
            <w:tcW w:w="711" w:type="dxa"/>
            <w:vAlign w:val="top"/>
          </w:tcPr>
          <w:p w14:paraId="08684F73">
            <w:pPr>
              <w:pStyle w:val="6"/>
              <w:spacing w:before="100" w:line="190" w:lineRule="auto"/>
              <w:ind w:left="167"/>
            </w:pPr>
            <w:r>
              <w:rPr>
                <w:spacing w:val="-2"/>
              </w:rPr>
              <w:t>0.56</w:t>
            </w:r>
          </w:p>
        </w:tc>
        <w:tc>
          <w:tcPr>
            <w:tcW w:w="706" w:type="dxa"/>
            <w:vAlign w:val="top"/>
          </w:tcPr>
          <w:p w14:paraId="0475F5ED">
            <w:pPr>
              <w:pStyle w:val="6"/>
              <w:spacing w:before="100" w:line="190" w:lineRule="auto"/>
              <w:ind w:left="165"/>
            </w:pPr>
            <w:r>
              <w:rPr>
                <w:spacing w:val="-2"/>
              </w:rPr>
              <w:t>0.89</w:t>
            </w:r>
          </w:p>
        </w:tc>
        <w:tc>
          <w:tcPr>
            <w:tcW w:w="848" w:type="dxa"/>
            <w:vAlign w:val="top"/>
          </w:tcPr>
          <w:p w14:paraId="39CFE241">
            <w:pPr>
              <w:pStyle w:val="6"/>
              <w:spacing w:before="100" w:line="190" w:lineRule="auto"/>
              <w:ind w:left="239"/>
            </w:pPr>
            <w:r>
              <w:rPr>
                <w:spacing w:val="-2"/>
              </w:rPr>
              <w:t>0.35</w:t>
            </w:r>
          </w:p>
        </w:tc>
        <w:tc>
          <w:tcPr>
            <w:tcW w:w="706" w:type="dxa"/>
            <w:vAlign w:val="top"/>
          </w:tcPr>
          <w:p w14:paraId="4CB70E1B">
            <w:pPr>
              <w:pStyle w:val="6"/>
              <w:spacing w:before="100" w:line="190" w:lineRule="auto"/>
              <w:ind w:left="168"/>
            </w:pPr>
            <w:r>
              <w:rPr>
                <w:spacing w:val="-2"/>
              </w:rPr>
              <w:t>0.35</w:t>
            </w:r>
          </w:p>
        </w:tc>
        <w:tc>
          <w:tcPr>
            <w:tcW w:w="849" w:type="dxa"/>
            <w:vAlign w:val="top"/>
          </w:tcPr>
          <w:p w14:paraId="7811FCB9">
            <w:pPr>
              <w:pStyle w:val="6"/>
              <w:spacing w:before="100" w:line="190" w:lineRule="auto"/>
              <w:ind w:left="242"/>
            </w:pPr>
            <w:r>
              <w:rPr>
                <w:spacing w:val="-2"/>
              </w:rPr>
              <w:t>0.38</w:t>
            </w:r>
          </w:p>
        </w:tc>
        <w:tc>
          <w:tcPr>
            <w:tcW w:w="848" w:type="dxa"/>
            <w:vAlign w:val="top"/>
          </w:tcPr>
          <w:p w14:paraId="4754580A">
            <w:pPr>
              <w:pStyle w:val="6"/>
              <w:spacing w:before="100" w:line="190" w:lineRule="auto"/>
              <w:ind w:left="243"/>
            </w:pPr>
            <w:r>
              <w:rPr>
                <w:spacing w:val="-2"/>
              </w:rPr>
              <w:t>0.14</w:t>
            </w:r>
          </w:p>
        </w:tc>
        <w:tc>
          <w:tcPr>
            <w:tcW w:w="848" w:type="dxa"/>
            <w:vAlign w:val="top"/>
          </w:tcPr>
          <w:p w14:paraId="31BAC92B">
            <w:pPr>
              <w:pStyle w:val="6"/>
              <w:spacing w:before="100" w:line="190" w:lineRule="auto"/>
              <w:ind w:left="246"/>
            </w:pPr>
            <w:r>
              <w:rPr>
                <w:spacing w:val="-2"/>
              </w:rPr>
              <w:t>0.10</w:t>
            </w:r>
          </w:p>
        </w:tc>
        <w:tc>
          <w:tcPr>
            <w:tcW w:w="851" w:type="dxa"/>
            <w:vAlign w:val="top"/>
          </w:tcPr>
          <w:p w14:paraId="4EDC453F">
            <w:pPr>
              <w:pStyle w:val="6"/>
              <w:spacing w:before="100" w:line="190" w:lineRule="auto"/>
              <w:ind w:left="249"/>
            </w:pPr>
            <w:r>
              <w:rPr>
                <w:spacing w:val="-2"/>
              </w:rPr>
              <w:t>0.20</w:t>
            </w:r>
          </w:p>
        </w:tc>
        <w:tc>
          <w:tcPr>
            <w:tcW w:w="1979" w:type="dxa"/>
            <w:vAlign w:val="top"/>
          </w:tcPr>
          <w:p w14:paraId="29499CE2">
            <w:pPr>
              <w:pStyle w:val="6"/>
              <w:spacing w:before="191" w:line="100" w:lineRule="exact"/>
              <w:ind w:left="932"/>
            </w:pPr>
            <w:r>
              <w:rPr>
                <w:spacing w:val="-3"/>
                <w:position w:val="-6"/>
              </w:rPr>
              <w:t>--</w:t>
            </w:r>
          </w:p>
        </w:tc>
        <w:tc>
          <w:tcPr>
            <w:tcW w:w="1950" w:type="dxa"/>
            <w:tcBorders>
              <w:right w:val="single" w:color="000000" w:sz="12" w:space="0"/>
            </w:tcBorders>
            <w:vAlign w:val="top"/>
          </w:tcPr>
          <w:p w14:paraId="1DD1A056">
            <w:pPr>
              <w:pStyle w:val="6"/>
              <w:spacing w:before="100" w:line="190" w:lineRule="auto"/>
              <w:ind w:left="799"/>
            </w:pPr>
            <w:r>
              <w:rPr>
                <w:spacing w:val="-2"/>
              </w:rPr>
              <w:t>0.01</w:t>
            </w:r>
          </w:p>
        </w:tc>
      </w:tr>
      <w:tr w14:paraId="1633B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3A5D5EF">
            <w:pPr>
              <w:rPr>
                <w:rFonts w:ascii="Arial"/>
                <w:sz w:val="21"/>
              </w:rPr>
            </w:pPr>
          </w:p>
        </w:tc>
        <w:tc>
          <w:tcPr>
            <w:tcW w:w="329" w:type="dxa"/>
            <w:vMerge w:val="continue"/>
            <w:tcBorders>
              <w:top w:val="nil"/>
              <w:bottom w:val="nil"/>
            </w:tcBorders>
            <w:vAlign w:val="top"/>
          </w:tcPr>
          <w:p w14:paraId="6CB0043E">
            <w:pPr>
              <w:rPr>
                <w:rFonts w:ascii="Arial"/>
                <w:sz w:val="21"/>
              </w:rPr>
            </w:pPr>
          </w:p>
        </w:tc>
        <w:tc>
          <w:tcPr>
            <w:tcW w:w="1316" w:type="dxa"/>
            <w:vAlign w:val="top"/>
          </w:tcPr>
          <w:p w14:paraId="76382917">
            <w:pPr>
              <w:pStyle w:val="6"/>
              <w:spacing w:before="102" w:line="187" w:lineRule="auto"/>
              <w:ind w:left="167"/>
            </w:pPr>
            <w:r>
              <w:rPr>
                <w:spacing w:val="-1"/>
              </w:rPr>
              <w:t>2019/11/10</w:t>
            </w:r>
          </w:p>
        </w:tc>
        <w:tc>
          <w:tcPr>
            <w:tcW w:w="711" w:type="dxa"/>
            <w:vAlign w:val="top"/>
          </w:tcPr>
          <w:p w14:paraId="3F0CFAE3">
            <w:pPr>
              <w:pStyle w:val="6"/>
              <w:spacing w:before="102" w:line="187" w:lineRule="auto"/>
              <w:ind w:left="167"/>
            </w:pPr>
            <w:r>
              <w:rPr>
                <w:spacing w:val="-2"/>
              </w:rPr>
              <w:t>0.50</w:t>
            </w:r>
          </w:p>
        </w:tc>
        <w:tc>
          <w:tcPr>
            <w:tcW w:w="706" w:type="dxa"/>
            <w:vAlign w:val="top"/>
          </w:tcPr>
          <w:p w14:paraId="788E7647">
            <w:pPr>
              <w:pStyle w:val="6"/>
              <w:spacing w:before="102" w:line="187" w:lineRule="auto"/>
              <w:ind w:left="165"/>
            </w:pPr>
            <w:r>
              <w:rPr>
                <w:spacing w:val="-2"/>
              </w:rPr>
              <w:t>0.83</w:t>
            </w:r>
          </w:p>
        </w:tc>
        <w:tc>
          <w:tcPr>
            <w:tcW w:w="848" w:type="dxa"/>
            <w:vAlign w:val="top"/>
          </w:tcPr>
          <w:p w14:paraId="0AC95C1B">
            <w:pPr>
              <w:pStyle w:val="6"/>
              <w:spacing w:before="102" w:line="187" w:lineRule="auto"/>
              <w:ind w:left="239"/>
            </w:pPr>
            <w:r>
              <w:rPr>
                <w:spacing w:val="-2"/>
              </w:rPr>
              <w:t>0.38</w:t>
            </w:r>
          </w:p>
        </w:tc>
        <w:tc>
          <w:tcPr>
            <w:tcW w:w="706" w:type="dxa"/>
            <w:vAlign w:val="top"/>
          </w:tcPr>
          <w:p w14:paraId="7F95FA5F">
            <w:pPr>
              <w:pStyle w:val="6"/>
              <w:spacing w:before="102" w:line="187" w:lineRule="auto"/>
              <w:ind w:left="168"/>
            </w:pPr>
            <w:r>
              <w:rPr>
                <w:spacing w:val="-2"/>
              </w:rPr>
              <w:t>0.30</w:t>
            </w:r>
          </w:p>
        </w:tc>
        <w:tc>
          <w:tcPr>
            <w:tcW w:w="849" w:type="dxa"/>
            <w:vAlign w:val="top"/>
          </w:tcPr>
          <w:p w14:paraId="30F201EF">
            <w:pPr>
              <w:pStyle w:val="6"/>
              <w:spacing w:before="102" w:line="187" w:lineRule="auto"/>
              <w:ind w:left="242"/>
            </w:pPr>
            <w:r>
              <w:rPr>
                <w:spacing w:val="-2"/>
              </w:rPr>
              <w:t>0.35</w:t>
            </w:r>
          </w:p>
        </w:tc>
        <w:tc>
          <w:tcPr>
            <w:tcW w:w="848" w:type="dxa"/>
            <w:vAlign w:val="top"/>
          </w:tcPr>
          <w:p w14:paraId="1F1D4321">
            <w:pPr>
              <w:pStyle w:val="6"/>
              <w:spacing w:before="102" w:line="187" w:lineRule="auto"/>
              <w:ind w:left="243"/>
            </w:pPr>
            <w:r>
              <w:rPr>
                <w:spacing w:val="-2"/>
              </w:rPr>
              <w:t>0.14</w:t>
            </w:r>
          </w:p>
        </w:tc>
        <w:tc>
          <w:tcPr>
            <w:tcW w:w="848" w:type="dxa"/>
            <w:vAlign w:val="top"/>
          </w:tcPr>
          <w:p w14:paraId="4CA9FC48">
            <w:pPr>
              <w:pStyle w:val="6"/>
              <w:spacing w:before="102" w:line="187" w:lineRule="auto"/>
              <w:ind w:left="246"/>
            </w:pPr>
            <w:r>
              <w:rPr>
                <w:spacing w:val="-2"/>
              </w:rPr>
              <w:t>0.10</w:t>
            </w:r>
          </w:p>
        </w:tc>
        <w:tc>
          <w:tcPr>
            <w:tcW w:w="851" w:type="dxa"/>
            <w:vAlign w:val="top"/>
          </w:tcPr>
          <w:p w14:paraId="697FF3C4">
            <w:pPr>
              <w:pStyle w:val="6"/>
              <w:spacing w:before="102" w:line="187" w:lineRule="auto"/>
              <w:ind w:left="249"/>
            </w:pPr>
            <w:r>
              <w:rPr>
                <w:spacing w:val="-2"/>
              </w:rPr>
              <w:t>0.40</w:t>
            </w:r>
          </w:p>
        </w:tc>
        <w:tc>
          <w:tcPr>
            <w:tcW w:w="1979" w:type="dxa"/>
            <w:vAlign w:val="top"/>
          </w:tcPr>
          <w:p w14:paraId="0134E2CE">
            <w:pPr>
              <w:pStyle w:val="6"/>
              <w:spacing w:before="193" w:line="98" w:lineRule="exact"/>
              <w:ind w:left="932"/>
            </w:pPr>
            <w:r>
              <w:rPr>
                <w:spacing w:val="-3"/>
                <w:position w:val="-6"/>
              </w:rPr>
              <w:t>--</w:t>
            </w:r>
          </w:p>
        </w:tc>
        <w:tc>
          <w:tcPr>
            <w:tcW w:w="1950" w:type="dxa"/>
            <w:tcBorders>
              <w:right w:val="single" w:color="000000" w:sz="12" w:space="0"/>
            </w:tcBorders>
            <w:vAlign w:val="top"/>
          </w:tcPr>
          <w:p w14:paraId="704DAA0C">
            <w:pPr>
              <w:pStyle w:val="6"/>
              <w:spacing w:before="102" w:line="187" w:lineRule="auto"/>
              <w:ind w:left="799"/>
            </w:pPr>
            <w:r>
              <w:rPr>
                <w:spacing w:val="-2"/>
              </w:rPr>
              <w:t>0.01</w:t>
            </w:r>
          </w:p>
        </w:tc>
      </w:tr>
      <w:tr w14:paraId="6BEAA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465" w:type="dxa"/>
            <w:vMerge w:val="continue"/>
            <w:tcBorders>
              <w:top w:val="nil"/>
              <w:left w:val="single" w:color="000000" w:sz="12" w:space="0"/>
              <w:bottom w:val="single" w:color="000000" w:sz="12" w:space="0"/>
            </w:tcBorders>
            <w:vAlign w:val="top"/>
          </w:tcPr>
          <w:p w14:paraId="6854FBF3">
            <w:pPr>
              <w:rPr>
                <w:rFonts w:ascii="Arial"/>
                <w:sz w:val="21"/>
              </w:rPr>
            </w:pPr>
          </w:p>
        </w:tc>
        <w:tc>
          <w:tcPr>
            <w:tcW w:w="329" w:type="dxa"/>
            <w:vMerge w:val="continue"/>
            <w:tcBorders>
              <w:top w:val="nil"/>
              <w:bottom w:val="single" w:color="000000" w:sz="12" w:space="0"/>
            </w:tcBorders>
            <w:vAlign w:val="top"/>
          </w:tcPr>
          <w:p w14:paraId="5E8ED063">
            <w:pPr>
              <w:rPr>
                <w:rFonts w:ascii="Arial"/>
                <w:sz w:val="21"/>
              </w:rPr>
            </w:pPr>
          </w:p>
        </w:tc>
        <w:tc>
          <w:tcPr>
            <w:tcW w:w="1316" w:type="dxa"/>
            <w:tcBorders>
              <w:bottom w:val="single" w:color="000000" w:sz="12" w:space="0"/>
            </w:tcBorders>
            <w:vAlign w:val="top"/>
          </w:tcPr>
          <w:p w14:paraId="1EDD1DEB">
            <w:pPr>
              <w:pStyle w:val="6"/>
              <w:spacing w:before="103" w:line="208" w:lineRule="auto"/>
              <w:ind w:left="167"/>
            </w:pPr>
            <w:r>
              <w:rPr>
                <w:spacing w:val="-1"/>
              </w:rPr>
              <w:t>2019/11/11</w:t>
            </w:r>
          </w:p>
        </w:tc>
        <w:tc>
          <w:tcPr>
            <w:tcW w:w="711" w:type="dxa"/>
            <w:tcBorders>
              <w:bottom w:val="single" w:color="000000" w:sz="12" w:space="0"/>
            </w:tcBorders>
            <w:vAlign w:val="top"/>
          </w:tcPr>
          <w:p w14:paraId="2D8943D3">
            <w:pPr>
              <w:pStyle w:val="6"/>
              <w:spacing w:before="103" w:line="208" w:lineRule="auto"/>
              <w:ind w:left="167"/>
            </w:pPr>
            <w:r>
              <w:rPr>
                <w:spacing w:val="-2"/>
              </w:rPr>
              <w:t>0.54</w:t>
            </w:r>
          </w:p>
        </w:tc>
        <w:tc>
          <w:tcPr>
            <w:tcW w:w="706" w:type="dxa"/>
            <w:tcBorders>
              <w:bottom w:val="single" w:color="000000" w:sz="12" w:space="0"/>
            </w:tcBorders>
            <w:vAlign w:val="top"/>
          </w:tcPr>
          <w:p w14:paraId="4B1C3F1B">
            <w:pPr>
              <w:pStyle w:val="6"/>
              <w:spacing w:before="103" w:line="208" w:lineRule="auto"/>
              <w:ind w:left="165"/>
            </w:pPr>
            <w:r>
              <w:rPr>
                <w:spacing w:val="-2"/>
              </w:rPr>
              <w:t>0.79</w:t>
            </w:r>
          </w:p>
        </w:tc>
        <w:tc>
          <w:tcPr>
            <w:tcW w:w="848" w:type="dxa"/>
            <w:tcBorders>
              <w:bottom w:val="single" w:color="000000" w:sz="12" w:space="0"/>
            </w:tcBorders>
            <w:vAlign w:val="top"/>
          </w:tcPr>
          <w:p w14:paraId="0A27B14E">
            <w:pPr>
              <w:pStyle w:val="6"/>
              <w:spacing w:before="103" w:line="208" w:lineRule="auto"/>
              <w:ind w:left="239"/>
            </w:pPr>
            <w:r>
              <w:rPr>
                <w:spacing w:val="-2"/>
              </w:rPr>
              <w:t>0.40</w:t>
            </w:r>
          </w:p>
        </w:tc>
        <w:tc>
          <w:tcPr>
            <w:tcW w:w="706" w:type="dxa"/>
            <w:tcBorders>
              <w:bottom w:val="single" w:color="000000" w:sz="12" w:space="0"/>
            </w:tcBorders>
            <w:vAlign w:val="top"/>
          </w:tcPr>
          <w:p w14:paraId="7E2A3811">
            <w:pPr>
              <w:pStyle w:val="6"/>
              <w:spacing w:before="103" w:line="208" w:lineRule="auto"/>
              <w:ind w:left="168"/>
            </w:pPr>
            <w:r>
              <w:rPr>
                <w:spacing w:val="-2"/>
              </w:rPr>
              <w:t>0.45</w:t>
            </w:r>
          </w:p>
        </w:tc>
        <w:tc>
          <w:tcPr>
            <w:tcW w:w="849" w:type="dxa"/>
            <w:tcBorders>
              <w:bottom w:val="single" w:color="000000" w:sz="12" w:space="0"/>
            </w:tcBorders>
            <w:vAlign w:val="top"/>
          </w:tcPr>
          <w:p w14:paraId="48A58785">
            <w:pPr>
              <w:pStyle w:val="6"/>
              <w:spacing w:before="103" w:line="208" w:lineRule="auto"/>
              <w:ind w:left="242"/>
            </w:pPr>
            <w:r>
              <w:rPr>
                <w:spacing w:val="-2"/>
              </w:rPr>
              <w:t>0.45</w:t>
            </w:r>
          </w:p>
        </w:tc>
        <w:tc>
          <w:tcPr>
            <w:tcW w:w="848" w:type="dxa"/>
            <w:tcBorders>
              <w:bottom w:val="single" w:color="000000" w:sz="12" w:space="0"/>
            </w:tcBorders>
            <w:vAlign w:val="top"/>
          </w:tcPr>
          <w:p w14:paraId="4953AE76">
            <w:pPr>
              <w:pStyle w:val="6"/>
              <w:spacing w:before="103" w:line="208" w:lineRule="auto"/>
              <w:ind w:left="243"/>
            </w:pPr>
            <w:r>
              <w:rPr>
                <w:spacing w:val="-2"/>
              </w:rPr>
              <w:t>0.15</w:t>
            </w:r>
          </w:p>
        </w:tc>
        <w:tc>
          <w:tcPr>
            <w:tcW w:w="848" w:type="dxa"/>
            <w:tcBorders>
              <w:bottom w:val="single" w:color="000000" w:sz="12" w:space="0"/>
            </w:tcBorders>
            <w:vAlign w:val="top"/>
          </w:tcPr>
          <w:p w14:paraId="392EFA33">
            <w:pPr>
              <w:pStyle w:val="6"/>
              <w:spacing w:before="103" w:line="208" w:lineRule="auto"/>
              <w:ind w:left="246"/>
            </w:pPr>
            <w:r>
              <w:rPr>
                <w:spacing w:val="-2"/>
              </w:rPr>
              <w:t>0.05</w:t>
            </w:r>
          </w:p>
        </w:tc>
        <w:tc>
          <w:tcPr>
            <w:tcW w:w="851" w:type="dxa"/>
            <w:tcBorders>
              <w:bottom w:val="single" w:color="000000" w:sz="12" w:space="0"/>
            </w:tcBorders>
            <w:vAlign w:val="top"/>
          </w:tcPr>
          <w:p w14:paraId="10D115DB">
            <w:pPr>
              <w:pStyle w:val="6"/>
              <w:spacing w:before="103" w:line="208" w:lineRule="auto"/>
              <w:ind w:left="249"/>
            </w:pPr>
            <w:r>
              <w:rPr>
                <w:spacing w:val="-2"/>
              </w:rPr>
              <w:t>0.20</w:t>
            </w:r>
          </w:p>
        </w:tc>
        <w:tc>
          <w:tcPr>
            <w:tcW w:w="1979" w:type="dxa"/>
            <w:tcBorders>
              <w:bottom w:val="single" w:color="000000" w:sz="12" w:space="0"/>
            </w:tcBorders>
            <w:vAlign w:val="top"/>
          </w:tcPr>
          <w:p w14:paraId="08FDB964">
            <w:pPr>
              <w:pStyle w:val="6"/>
              <w:spacing w:before="194" w:line="100" w:lineRule="exact"/>
              <w:ind w:left="932"/>
            </w:pPr>
            <w:r>
              <w:rPr>
                <w:spacing w:val="-3"/>
                <w:position w:val="-6"/>
              </w:rPr>
              <w:t>--</w:t>
            </w:r>
          </w:p>
        </w:tc>
        <w:tc>
          <w:tcPr>
            <w:tcW w:w="1950" w:type="dxa"/>
            <w:tcBorders>
              <w:bottom w:val="single" w:color="000000" w:sz="12" w:space="0"/>
              <w:right w:val="single" w:color="000000" w:sz="12" w:space="0"/>
            </w:tcBorders>
            <w:vAlign w:val="top"/>
          </w:tcPr>
          <w:p w14:paraId="4F03A5B7">
            <w:pPr>
              <w:pStyle w:val="6"/>
              <w:spacing w:before="103" w:line="208" w:lineRule="auto"/>
              <w:ind w:left="799"/>
            </w:pPr>
            <w:r>
              <w:rPr>
                <w:spacing w:val="-2"/>
              </w:rPr>
              <w:t>0.01</w:t>
            </w:r>
          </w:p>
        </w:tc>
      </w:tr>
    </w:tbl>
    <w:p w14:paraId="4810D0D6">
      <w:pPr>
        <w:rPr>
          <w:rFonts w:ascii="Arial"/>
          <w:sz w:val="21"/>
        </w:rPr>
      </w:pPr>
    </w:p>
    <w:p w14:paraId="7437DD74">
      <w:pPr>
        <w:rPr>
          <w:rFonts w:ascii="Arial" w:hAnsi="Arial" w:eastAsia="Arial" w:cs="Arial"/>
          <w:sz w:val="21"/>
          <w:szCs w:val="21"/>
        </w:rPr>
        <w:sectPr>
          <w:footerReference r:id="rId246" w:type="default"/>
          <w:pgSz w:w="16839" w:h="11907"/>
          <w:pgMar w:top="1376" w:right="1669" w:bottom="1061" w:left="1671" w:header="999" w:footer="861" w:gutter="0"/>
          <w:cols w:space="720" w:num="1"/>
        </w:sectPr>
      </w:pPr>
    </w:p>
    <w:p w14:paraId="7167C616">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316"/>
        <w:gridCol w:w="711"/>
        <w:gridCol w:w="706"/>
        <w:gridCol w:w="848"/>
        <w:gridCol w:w="706"/>
        <w:gridCol w:w="849"/>
        <w:gridCol w:w="848"/>
        <w:gridCol w:w="848"/>
        <w:gridCol w:w="851"/>
        <w:gridCol w:w="1979"/>
        <w:gridCol w:w="1950"/>
      </w:tblGrid>
      <w:tr w14:paraId="71373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465" w:type="dxa"/>
            <w:tcBorders>
              <w:top w:val="single" w:color="000000" w:sz="12" w:space="0"/>
              <w:left w:val="single" w:color="000000" w:sz="12" w:space="0"/>
            </w:tcBorders>
            <w:vAlign w:val="top"/>
          </w:tcPr>
          <w:p w14:paraId="02314DDC">
            <w:pPr>
              <w:spacing w:before="58"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645" w:type="dxa"/>
            <w:gridSpan w:val="2"/>
            <w:tcBorders>
              <w:top w:val="single" w:color="000000" w:sz="12" w:space="0"/>
            </w:tcBorders>
            <w:vAlign w:val="top"/>
          </w:tcPr>
          <w:p w14:paraId="70DEFA55">
            <w:pPr>
              <w:spacing w:before="58" w:line="221" w:lineRule="auto"/>
              <w:ind w:left="394"/>
              <w:rPr>
                <w:rFonts w:ascii="宋体" w:hAnsi="宋体" w:eastAsia="宋体" w:cs="宋体"/>
                <w:sz w:val="21"/>
                <w:szCs w:val="21"/>
              </w:rPr>
            </w:pPr>
            <w:r>
              <w:rPr>
                <w:rFonts w:ascii="宋体" w:hAnsi="宋体" w:eastAsia="宋体" w:cs="宋体"/>
                <w:spacing w:val="-2"/>
                <w:sz w:val="21"/>
                <w:szCs w:val="21"/>
              </w:rPr>
              <w:t>监测时间</w:t>
            </w:r>
          </w:p>
        </w:tc>
        <w:tc>
          <w:tcPr>
            <w:tcW w:w="711" w:type="dxa"/>
            <w:tcBorders>
              <w:top w:val="single" w:color="000000" w:sz="12" w:space="0"/>
            </w:tcBorders>
            <w:vAlign w:val="top"/>
          </w:tcPr>
          <w:p w14:paraId="780E82FC">
            <w:pPr>
              <w:pStyle w:val="6"/>
              <w:spacing w:before="57" w:line="213" w:lineRule="auto"/>
              <w:ind w:left="82"/>
              <w:rPr>
                <w:rFonts w:ascii="宋体" w:hAnsi="宋体" w:eastAsia="宋体" w:cs="宋体"/>
              </w:rPr>
            </w:pPr>
            <w:r>
              <w:t>pH</w:t>
            </w:r>
            <w:r>
              <w:rPr>
                <w:spacing w:val="8"/>
              </w:rPr>
              <w:t xml:space="preserve"> </w:t>
            </w:r>
            <w:r>
              <w:rPr>
                <w:rFonts w:ascii="宋体" w:hAnsi="宋体" w:eastAsia="宋体" w:cs="宋体"/>
              </w:rPr>
              <w:t>值</w:t>
            </w:r>
          </w:p>
        </w:tc>
        <w:tc>
          <w:tcPr>
            <w:tcW w:w="706" w:type="dxa"/>
            <w:tcBorders>
              <w:top w:val="single" w:color="000000" w:sz="12" w:space="0"/>
            </w:tcBorders>
            <w:vAlign w:val="top"/>
          </w:tcPr>
          <w:p w14:paraId="724013B7">
            <w:pPr>
              <w:pStyle w:val="6"/>
              <w:spacing w:before="95" w:line="186" w:lineRule="auto"/>
              <w:ind w:left="193"/>
            </w:pPr>
            <w:r>
              <w:rPr>
                <w:spacing w:val="-2"/>
              </w:rPr>
              <w:t>DO</w:t>
            </w:r>
          </w:p>
        </w:tc>
        <w:tc>
          <w:tcPr>
            <w:tcW w:w="848" w:type="dxa"/>
            <w:tcBorders>
              <w:top w:val="single" w:color="000000" w:sz="12" w:space="0"/>
            </w:tcBorders>
            <w:vAlign w:val="top"/>
          </w:tcPr>
          <w:p w14:paraId="61C2B298">
            <w:pPr>
              <w:pStyle w:val="6"/>
              <w:spacing w:before="95" w:line="226" w:lineRule="auto"/>
              <w:ind w:left="103"/>
              <w:rPr>
                <w:sz w:val="14"/>
                <w:szCs w:val="14"/>
              </w:rPr>
            </w:pPr>
            <w:r>
              <w:rPr>
                <w:spacing w:val="-2"/>
              </w:rPr>
              <w:t>COD</w:t>
            </w:r>
            <w:r>
              <w:rPr>
                <w:spacing w:val="-2"/>
                <w:position w:val="-1"/>
                <w:sz w:val="14"/>
                <w:szCs w:val="14"/>
              </w:rPr>
              <w:t>Mn</w:t>
            </w:r>
          </w:p>
        </w:tc>
        <w:tc>
          <w:tcPr>
            <w:tcW w:w="706" w:type="dxa"/>
            <w:tcBorders>
              <w:top w:val="single" w:color="000000" w:sz="12" w:space="0"/>
            </w:tcBorders>
            <w:vAlign w:val="top"/>
          </w:tcPr>
          <w:p w14:paraId="0EA44568">
            <w:pPr>
              <w:pStyle w:val="6"/>
              <w:spacing w:before="95" w:line="186" w:lineRule="auto"/>
              <w:ind w:left="131"/>
            </w:pPr>
            <w:r>
              <w:rPr>
                <w:spacing w:val="-3"/>
              </w:rPr>
              <w:t>COD</w:t>
            </w:r>
          </w:p>
        </w:tc>
        <w:tc>
          <w:tcPr>
            <w:tcW w:w="849" w:type="dxa"/>
            <w:tcBorders>
              <w:top w:val="single" w:color="000000" w:sz="12" w:space="0"/>
            </w:tcBorders>
            <w:vAlign w:val="top"/>
          </w:tcPr>
          <w:p w14:paraId="4C304706">
            <w:pPr>
              <w:pStyle w:val="6"/>
              <w:spacing w:before="95" w:line="225" w:lineRule="auto"/>
              <w:ind w:left="165"/>
              <w:rPr>
                <w:sz w:val="14"/>
                <w:szCs w:val="14"/>
              </w:rPr>
            </w:pPr>
            <w:r>
              <w:rPr>
                <w:spacing w:val="-1"/>
              </w:rPr>
              <w:t>BOD</w:t>
            </w:r>
            <w:r>
              <w:rPr>
                <w:spacing w:val="-1"/>
                <w:position w:val="-1"/>
                <w:sz w:val="14"/>
                <w:szCs w:val="14"/>
              </w:rPr>
              <w:t>5</w:t>
            </w:r>
          </w:p>
        </w:tc>
        <w:tc>
          <w:tcPr>
            <w:tcW w:w="848" w:type="dxa"/>
            <w:tcBorders>
              <w:top w:val="single" w:color="000000" w:sz="12" w:space="0"/>
            </w:tcBorders>
            <w:vAlign w:val="top"/>
          </w:tcPr>
          <w:p w14:paraId="0CDE369D">
            <w:pPr>
              <w:pStyle w:val="6"/>
              <w:spacing w:before="98" w:line="222" w:lineRule="auto"/>
              <w:ind w:left="119"/>
            </w:pPr>
            <w:r>
              <w:t>NH</w:t>
            </w:r>
            <w:r>
              <w:rPr>
                <w:position w:val="-1"/>
                <w:sz w:val="14"/>
                <w:szCs w:val="14"/>
              </w:rPr>
              <w:t>3</w:t>
            </w:r>
            <w:r>
              <w:t>-N</w:t>
            </w:r>
          </w:p>
        </w:tc>
        <w:tc>
          <w:tcPr>
            <w:tcW w:w="848" w:type="dxa"/>
            <w:tcBorders>
              <w:top w:val="single" w:color="000000" w:sz="12" w:space="0"/>
            </w:tcBorders>
            <w:vAlign w:val="top"/>
          </w:tcPr>
          <w:p w14:paraId="6989B562">
            <w:pPr>
              <w:pStyle w:val="6"/>
              <w:spacing w:before="98" w:line="183" w:lineRule="auto"/>
              <w:ind w:left="306"/>
            </w:pPr>
            <w:r>
              <w:rPr>
                <w:spacing w:val="-4"/>
              </w:rPr>
              <w:t>TP</w:t>
            </w:r>
          </w:p>
        </w:tc>
        <w:tc>
          <w:tcPr>
            <w:tcW w:w="851" w:type="dxa"/>
            <w:tcBorders>
              <w:top w:val="single" w:color="000000" w:sz="12" w:space="0"/>
            </w:tcBorders>
            <w:vAlign w:val="top"/>
          </w:tcPr>
          <w:p w14:paraId="7598708F">
            <w:pPr>
              <w:spacing w:before="57" w:line="220" w:lineRule="auto"/>
              <w:ind w:left="119"/>
              <w:rPr>
                <w:rFonts w:ascii="宋体" w:hAnsi="宋体" w:eastAsia="宋体" w:cs="宋体"/>
                <w:sz w:val="21"/>
                <w:szCs w:val="21"/>
              </w:rPr>
            </w:pPr>
            <w:r>
              <w:rPr>
                <w:rFonts w:ascii="宋体" w:hAnsi="宋体" w:eastAsia="宋体" w:cs="宋体"/>
                <w:spacing w:val="-3"/>
                <w:sz w:val="21"/>
                <w:szCs w:val="21"/>
              </w:rPr>
              <w:t>石油类</w:t>
            </w:r>
          </w:p>
        </w:tc>
        <w:tc>
          <w:tcPr>
            <w:tcW w:w="1979" w:type="dxa"/>
            <w:tcBorders>
              <w:top w:val="single" w:color="000000" w:sz="12" w:space="0"/>
            </w:tcBorders>
            <w:vAlign w:val="top"/>
          </w:tcPr>
          <w:p w14:paraId="44533519">
            <w:pPr>
              <w:spacing w:before="58" w:line="219" w:lineRule="auto"/>
              <w:ind w:left="177"/>
              <w:rPr>
                <w:rFonts w:ascii="宋体" w:hAnsi="宋体" w:eastAsia="宋体" w:cs="宋体"/>
                <w:sz w:val="21"/>
                <w:szCs w:val="21"/>
              </w:rPr>
            </w:pPr>
            <w:r>
              <w:rPr>
                <w:rFonts w:ascii="宋体" w:hAnsi="宋体" w:eastAsia="宋体" w:cs="宋体"/>
                <w:spacing w:val="-3"/>
                <w:sz w:val="21"/>
                <w:szCs w:val="21"/>
              </w:rPr>
              <w:t>阴离子表面活性剂</w:t>
            </w:r>
          </w:p>
        </w:tc>
        <w:tc>
          <w:tcPr>
            <w:tcW w:w="1950" w:type="dxa"/>
            <w:tcBorders>
              <w:top w:val="single" w:color="000000" w:sz="12" w:space="0"/>
              <w:right w:val="single" w:color="000000" w:sz="12" w:space="0"/>
            </w:tcBorders>
            <w:vAlign w:val="top"/>
          </w:tcPr>
          <w:p w14:paraId="36FC2648">
            <w:pPr>
              <w:spacing w:before="57" w:line="220" w:lineRule="auto"/>
              <w:ind w:left="460"/>
              <w:rPr>
                <w:rFonts w:ascii="宋体" w:hAnsi="宋体" w:eastAsia="宋体" w:cs="宋体"/>
                <w:sz w:val="21"/>
                <w:szCs w:val="21"/>
              </w:rPr>
            </w:pPr>
            <w:r>
              <w:rPr>
                <w:rFonts w:ascii="宋体" w:hAnsi="宋体" w:eastAsia="宋体" w:cs="宋体"/>
                <w:spacing w:val="-2"/>
                <w:sz w:val="21"/>
                <w:szCs w:val="21"/>
              </w:rPr>
              <w:t>粪大肠菌群</w:t>
            </w:r>
          </w:p>
        </w:tc>
      </w:tr>
      <w:tr w14:paraId="077A0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restart"/>
            <w:tcBorders>
              <w:left w:val="single" w:color="000000" w:sz="12" w:space="0"/>
              <w:bottom w:val="nil"/>
            </w:tcBorders>
            <w:vAlign w:val="top"/>
          </w:tcPr>
          <w:p w14:paraId="65FD5F8A">
            <w:pPr>
              <w:spacing w:line="282" w:lineRule="auto"/>
              <w:rPr>
                <w:rFonts w:ascii="Arial"/>
                <w:sz w:val="21"/>
              </w:rPr>
            </w:pPr>
          </w:p>
          <w:p w14:paraId="6D25E7A6">
            <w:pPr>
              <w:spacing w:line="282" w:lineRule="auto"/>
              <w:rPr>
                <w:rFonts w:ascii="Arial"/>
                <w:sz w:val="21"/>
              </w:rPr>
            </w:pPr>
          </w:p>
          <w:p w14:paraId="4C5E37DB">
            <w:pPr>
              <w:spacing w:line="282" w:lineRule="auto"/>
              <w:rPr>
                <w:rFonts w:ascii="Arial"/>
                <w:sz w:val="21"/>
              </w:rPr>
            </w:pPr>
          </w:p>
          <w:p w14:paraId="22FE8623">
            <w:pPr>
              <w:spacing w:line="283" w:lineRule="auto"/>
              <w:rPr>
                <w:rFonts w:ascii="Arial"/>
                <w:sz w:val="21"/>
              </w:rPr>
            </w:pPr>
          </w:p>
          <w:p w14:paraId="15FD4FC8">
            <w:pPr>
              <w:spacing w:line="283" w:lineRule="auto"/>
              <w:rPr>
                <w:rFonts w:ascii="Arial"/>
                <w:sz w:val="21"/>
              </w:rPr>
            </w:pPr>
          </w:p>
          <w:p w14:paraId="37B84BC3">
            <w:pPr>
              <w:pStyle w:val="6"/>
              <w:spacing w:before="68" w:line="245" w:lineRule="auto"/>
              <w:ind w:left="93" w:right="136" w:firstLine="106"/>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8"/>
              </w:rPr>
              <w:t>（红桥河汇口</w:t>
            </w:r>
            <w:r>
              <w:rPr>
                <w:rFonts w:ascii="宋体" w:hAnsi="宋体" w:eastAsia="宋体" w:cs="宋体"/>
                <w:spacing w:val="13"/>
              </w:rPr>
              <w:t>下游</w:t>
            </w:r>
            <w:r>
              <w:rPr>
                <w:rFonts w:ascii="宋体" w:hAnsi="宋体" w:eastAsia="宋体" w:cs="宋体"/>
                <w:spacing w:val="-42"/>
              </w:rPr>
              <w:t xml:space="preserve"> </w:t>
            </w:r>
            <w:r>
              <w:rPr>
                <w:spacing w:val="13"/>
              </w:rPr>
              <w:t>50m</w:t>
            </w:r>
            <w:r>
              <w:rPr>
                <w:rFonts w:ascii="宋体" w:hAnsi="宋体" w:eastAsia="宋体" w:cs="宋体"/>
                <w:spacing w:val="13"/>
              </w:rPr>
              <w:t>）</w:t>
            </w:r>
          </w:p>
        </w:tc>
        <w:tc>
          <w:tcPr>
            <w:tcW w:w="329" w:type="dxa"/>
            <w:vMerge w:val="restart"/>
            <w:tcBorders>
              <w:bottom w:val="nil"/>
            </w:tcBorders>
            <w:vAlign w:val="top"/>
          </w:tcPr>
          <w:p w14:paraId="73FB023D">
            <w:pPr>
              <w:pStyle w:val="6"/>
              <w:spacing w:before="117" w:line="222" w:lineRule="auto"/>
              <w:ind w:left="117"/>
            </w:pPr>
            <w:r>
              <w:t>1</w:t>
            </w:r>
          </w:p>
          <w:p w14:paraId="78C87F6C">
            <w:pPr>
              <w:spacing w:line="219" w:lineRule="auto"/>
              <w:ind w:left="49"/>
              <w:rPr>
                <w:rFonts w:ascii="宋体" w:hAnsi="宋体" w:eastAsia="宋体" w:cs="宋体"/>
                <w:sz w:val="21"/>
                <w:szCs w:val="21"/>
              </w:rPr>
            </w:pPr>
            <w:r>
              <w:rPr>
                <w:rFonts w:ascii="宋体" w:hAnsi="宋体" w:eastAsia="宋体" w:cs="宋体"/>
                <w:sz w:val="21"/>
                <w:szCs w:val="21"/>
              </w:rPr>
              <w:t>季</w:t>
            </w:r>
          </w:p>
          <w:p w14:paraId="52588307">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6C612C96">
            <w:pPr>
              <w:pStyle w:val="6"/>
              <w:spacing w:before="76" w:line="214" w:lineRule="auto"/>
              <w:ind w:left="220"/>
            </w:pPr>
            <w:r>
              <w:rPr>
                <w:spacing w:val="-1"/>
              </w:rPr>
              <w:t>2019/1/15</w:t>
            </w:r>
          </w:p>
        </w:tc>
        <w:tc>
          <w:tcPr>
            <w:tcW w:w="711" w:type="dxa"/>
            <w:vAlign w:val="top"/>
          </w:tcPr>
          <w:p w14:paraId="295BD27A">
            <w:pPr>
              <w:pStyle w:val="6"/>
              <w:spacing w:before="76" w:line="214" w:lineRule="auto"/>
              <w:ind w:left="167"/>
            </w:pPr>
            <w:r>
              <w:rPr>
                <w:spacing w:val="-2"/>
              </w:rPr>
              <w:t>0.55</w:t>
            </w:r>
          </w:p>
        </w:tc>
        <w:tc>
          <w:tcPr>
            <w:tcW w:w="706" w:type="dxa"/>
            <w:vAlign w:val="top"/>
          </w:tcPr>
          <w:p w14:paraId="3FCAB58D">
            <w:pPr>
              <w:pStyle w:val="6"/>
              <w:spacing w:before="76" w:line="214" w:lineRule="auto"/>
              <w:ind w:left="165"/>
            </w:pPr>
            <w:r>
              <w:rPr>
                <w:spacing w:val="-2"/>
              </w:rPr>
              <w:t>0.69</w:t>
            </w:r>
          </w:p>
        </w:tc>
        <w:tc>
          <w:tcPr>
            <w:tcW w:w="848" w:type="dxa"/>
            <w:vAlign w:val="top"/>
          </w:tcPr>
          <w:p w14:paraId="51DC200A">
            <w:pPr>
              <w:pStyle w:val="6"/>
              <w:spacing w:before="76" w:line="214" w:lineRule="auto"/>
              <w:ind w:left="239"/>
            </w:pPr>
            <w:r>
              <w:rPr>
                <w:spacing w:val="-2"/>
              </w:rPr>
              <w:t>0.22</w:t>
            </w:r>
          </w:p>
        </w:tc>
        <w:tc>
          <w:tcPr>
            <w:tcW w:w="706" w:type="dxa"/>
            <w:vAlign w:val="top"/>
          </w:tcPr>
          <w:p w14:paraId="2321734A">
            <w:pPr>
              <w:pStyle w:val="6"/>
              <w:spacing w:before="76" w:line="214" w:lineRule="auto"/>
              <w:ind w:left="168"/>
            </w:pPr>
            <w:r>
              <w:rPr>
                <w:spacing w:val="-2"/>
              </w:rPr>
              <w:t>0.35</w:t>
            </w:r>
          </w:p>
        </w:tc>
        <w:tc>
          <w:tcPr>
            <w:tcW w:w="849" w:type="dxa"/>
            <w:vAlign w:val="top"/>
          </w:tcPr>
          <w:p w14:paraId="270B0FE5">
            <w:pPr>
              <w:pStyle w:val="6"/>
              <w:spacing w:before="76" w:line="214" w:lineRule="auto"/>
              <w:ind w:left="242"/>
            </w:pPr>
            <w:r>
              <w:rPr>
                <w:spacing w:val="-2"/>
              </w:rPr>
              <w:t>0.18</w:t>
            </w:r>
          </w:p>
        </w:tc>
        <w:tc>
          <w:tcPr>
            <w:tcW w:w="848" w:type="dxa"/>
            <w:vAlign w:val="top"/>
          </w:tcPr>
          <w:p w14:paraId="5569C757">
            <w:pPr>
              <w:pStyle w:val="6"/>
              <w:spacing w:before="76" w:line="214" w:lineRule="auto"/>
              <w:ind w:left="243"/>
            </w:pPr>
            <w:r>
              <w:rPr>
                <w:spacing w:val="-2"/>
              </w:rPr>
              <w:t>0.20</w:t>
            </w:r>
          </w:p>
        </w:tc>
        <w:tc>
          <w:tcPr>
            <w:tcW w:w="848" w:type="dxa"/>
            <w:vAlign w:val="top"/>
          </w:tcPr>
          <w:p w14:paraId="7690289B">
            <w:pPr>
              <w:pStyle w:val="6"/>
              <w:spacing w:before="76" w:line="214" w:lineRule="auto"/>
              <w:ind w:left="246"/>
            </w:pPr>
            <w:r>
              <w:rPr>
                <w:spacing w:val="-2"/>
              </w:rPr>
              <w:t>0.10</w:t>
            </w:r>
          </w:p>
        </w:tc>
        <w:tc>
          <w:tcPr>
            <w:tcW w:w="851" w:type="dxa"/>
            <w:vAlign w:val="top"/>
          </w:tcPr>
          <w:p w14:paraId="499DF805">
            <w:pPr>
              <w:pStyle w:val="6"/>
              <w:spacing w:before="76" w:line="214" w:lineRule="auto"/>
              <w:ind w:left="249"/>
            </w:pPr>
            <w:r>
              <w:rPr>
                <w:spacing w:val="-2"/>
              </w:rPr>
              <w:t>0.40</w:t>
            </w:r>
          </w:p>
        </w:tc>
        <w:tc>
          <w:tcPr>
            <w:tcW w:w="1979" w:type="dxa"/>
            <w:vAlign w:val="top"/>
          </w:tcPr>
          <w:p w14:paraId="72BE99C5">
            <w:pPr>
              <w:pStyle w:val="6"/>
              <w:spacing w:before="167" w:line="100" w:lineRule="exact"/>
              <w:ind w:left="932"/>
            </w:pPr>
            <w:r>
              <w:rPr>
                <w:spacing w:val="-3"/>
                <w:position w:val="-6"/>
              </w:rPr>
              <w:t>--</w:t>
            </w:r>
          </w:p>
        </w:tc>
        <w:tc>
          <w:tcPr>
            <w:tcW w:w="1950" w:type="dxa"/>
            <w:tcBorders>
              <w:right w:val="single" w:color="000000" w:sz="12" w:space="0"/>
            </w:tcBorders>
            <w:vAlign w:val="top"/>
          </w:tcPr>
          <w:p w14:paraId="60F77160">
            <w:pPr>
              <w:pStyle w:val="6"/>
              <w:spacing w:before="76" w:line="214" w:lineRule="auto"/>
              <w:ind w:left="799"/>
            </w:pPr>
            <w:r>
              <w:rPr>
                <w:spacing w:val="-2"/>
              </w:rPr>
              <w:t>0.05</w:t>
            </w:r>
          </w:p>
        </w:tc>
      </w:tr>
      <w:tr w14:paraId="7024A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2C2E333">
            <w:pPr>
              <w:rPr>
                <w:rFonts w:ascii="Arial"/>
                <w:sz w:val="21"/>
              </w:rPr>
            </w:pPr>
          </w:p>
        </w:tc>
        <w:tc>
          <w:tcPr>
            <w:tcW w:w="329" w:type="dxa"/>
            <w:vMerge w:val="continue"/>
            <w:tcBorders>
              <w:top w:val="nil"/>
              <w:bottom w:val="nil"/>
            </w:tcBorders>
            <w:vAlign w:val="top"/>
          </w:tcPr>
          <w:p w14:paraId="212B4351">
            <w:pPr>
              <w:rPr>
                <w:rFonts w:ascii="Arial"/>
                <w:sz w:val="21"/>
              </w:rPr>
            </w:pPr>
          </w:p>
        </w:tc>
        <w:tc>
          <w:tcPr>
            <w:tcW w:w="1316" w:type="dxa"/>
            <w:vAlign w:val="top"/>
          </w:tcPr>
          <w:p w14:paraId="5177F0BB">
            <w:pPr>
              <w:pStyle w:val="6"/>
              <w:spacing w:before="77" w:line="212" w:lineRule="auto"/>
              <w:ind w:left="220"/>
            </w:pPr>
            <w:r>
              <w:rPr>
                <w:spacing w:val="-1"/>
              </w:rPr>
              <w:t>2019/1/16</w:t>
            </w:r>
          </w:p>
        </w:tc>
        <w:tc>
          <w:tcPr>
            <w:tcW w:w="711" w:type="dxa"/>
            <w:vAlign w:val="top"/>
          </w:tcPr>
          <w:p w14:paraId="3AC7FA1C">
            <w:pPr>
              <w:pStyle w:val="6"/>
              <w:spacing w:before="77" w:line="212" w:lineRule="auto"/>
              <w:ind w:left="167"/>
            </w:pPr>
            <w:r>
              <w:rPr>
                <w:spacing w:val="-2"/>
              </w:rPr>
              <w:t>0.61</w:t>
            </w:r>
          </w:p>
        </w:tc>
        <w:tc>
          <w:tcPr>
            <w:tcW w:w="706" w:type="dxa"/>
            <w:vAlign w:val="top"/>
          </w:tcPr>
          <w:p w14:paraId="3D88FF35">
            <w:pPr>
              <w:pStyle w:val="6"/>
              <w:spacing w:before="77" w:line="212" w:lineRule="auto"/>
              <w:ind w:left="165"/>
            </w:pPr>
            <w:r>
              <w:rPr>
                <w:spacing w:val="-2"/>
              </w:rPr>
              <w:t>0.75</w:t>
            </w:r>
          </w:p>
        </w:tc>
        <w:tc>
          <w:tcPr>
            <w:tcW w:w="848" w:type="dxa"/>
            <w:vAlign w:val="top"/>
          </w:tcPr>
          <w:p w14:paraId="2646D3F7">
            <w:pPr>
              <w:pStyle w:val="6"/>
              <w:spacing w:before="77" w:line="212" w:lineRule="auto"/>
              <w:ind w:left="239"/>
            </w:pPr>
            <w:r>
              <w:rPr>
                <w:spacing w:val="-2"/>
              </w:rPr>
              <w:t>0.20</w:t>
            </w:r>
          </w:p>
        </w:tc>
        <w:tc>
          <w:tcPr>
            <w:tcW w:w="706" w:type="dxa"/>
            <w:vAlign w:val="top"/>
          </w:tcPr>
          <w:p w14:paraId="099E907E">
            <w:pPr>
              <w:pStyle w:val="6"/>
              <w:spacing w:before="77" w:line="212" w:lineRule="auto"/>
              <w:ind w:left="168"/>
            </w:pPr>
            <w:r>
              <w:rPr>
                <w:spacing w:val="-2"/>
              </w:rPr>
              <w:t>0.30</w:t>
            </w:r>
          </w:p>
        </w:tc>
        <w:tc>
          <w:tcPr>
            <w:tcW w:w="849" w:type="dxa"/>
            <w:vAlign w:val="top"/>
          </w:tcPr>
          <w:p w14:paraId="281A1DA6">
            <w:pPr>
              <w:pStyle w:val="6"/>
              <w:spacing w:before="77" w:line="212" w:lineRule="auto"/>
              <w:ind w:left="242"/>
            </w:pPr>
            <w:r>
              <w:rPr>
                <w:spacing w:val="-2"/>
              </w:rPr>
              <w:t>0.15</w:t>
            </w:r>
          </w:p>
        </w:tc>
        <w:tc>
          <w:tcPr>
            <w:tcW w:w="848" w:type="dxa"/>
            <w:vAlign w:val="top"/>
          </w:tcPr>
          <w:p w14:paraId="71D6FB88">
            <w:pPr>
              <w:pStyle w:val="6"/>
              <w:spacing w:before="77" w:line="212" w:lineRule="auto"/>
              <w:ind w:left="243"/>
            </w:pPr>
            <w:r>
              <w:rPr>
                <w:spacing w:val="-2"/>
              </w:rPr>
              <w:t>0.21</w:t>
            </w:r>
          </w:p>
        </w:tc>
        <w:tc>
          <w:tcPr>
            <w:tcW w:w="848" w:type="dxa"/>
            <w:vAlign w:val="top"/>
          </w:tcPr>
          <w:p w14:paraId="3C0EB357">
            <w:pPr>
              <w:pStyle w:val="6"/>
              <w:spacing w:before="77" w:line="212" w:lineRule="auto"/>
              <w:ind w:left="246"/>
            </w:pPr>
            <w:r>
              <w:rPr>
                <w:spacing w:val="-2"/>
              </w:rPr>
              <w:t>0.05</w:t>
            </w:r>
          </w:p>
        </w:tc>
        <w:tc>
          <w:tcPr>
            <w:tcW w:w="851" w:type="dxa"/>
            <w:vAlign w:val="top"/>
          </w:tcPr>
          <w:p w14:paraId="140C2BC1">
            <w:pPr>
              <w:pStyle w:val="6"/>
              <w:spacing w:before="168" w:line="100" w:lineRule="exact"/>
              <w:ind w:left="363"/>
            </w:pPr>
            <w:r>
              <w:rPr>
                <w:spacing w:val="-3"/>
                <w:position w:val="-6"/>
              </w:rPr>
              <w:t>--</w:t>
            </w:r>
          </w:p>
        </w:tc>
        <w:tc>
          <w:tcPr>
            <w:tcW w:w="1979" w:type="dxa"/>
            <w:vAlign w:val="top"/>
          </w:tcPr>
          <w:p w14:paraId="1FFEE68E">
            <w:pPr>
              <w:pStyle w:val="6"/>
              <w:spacing w:before="168" w:line="100" w:lineRule="exact"/>
              <w:ind w:left="932"/>
            </w:pPr>
            <w:r>
              <w:rPr>
                <w:spacing w:val="-3"/>
                <w:position w:val="-6"/>
              </w:rPr>
              <w:t>--</w:t>
            </w:r>
          </w:p>
        </w:tc>
        <w:tc>
          <w:tcPr>
            <w:tcW w:w="1950" w:type="dxa"/>
            <w:tcBorders>
              <w:right w:val="single" w:color="000000" w:sz="12" w:space="0"/>
            </w:tcBorders>
            <w:vAlign w:val="top"/>
          </w:tcPr>
          <w:p w14:paraId="2F703C92">
            <w:pPr>
              <w:pStyle w:val="6"/>
              <w:spacing w:before="77" w:line="212" w:lineRule="auto"/>
              <w:ind w:left="799"/>
            </w:pPr>
            <w:r>
              <w:rPr>
                <w:spacing w:val="-2"/>
              </w:rPr>
              <w:t>0.06</w:t>
            </w:r>
          </w:p>
        </w:tc>
      </w:tr>
      <w:tr w14:paraId="44EC2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continue"/>
            <w:tcBorders>
              <w:top w:val="nil"/>
              <w:left w:val="single" w:color="000000" w:sz="12" w:space="0"/>
              <w:bottom w:val="nil"/>
            </w:tcBorders>
            <w:vAlign w:val="top"/>
          </w:tcPr>
          <w:p w14:paraId="1D050ABC">
            <w:pPr>
              <w:rPr>
                <w:rFonts w:ascii="Arial"/>
                <w:sz w:val="21"/>
              </w:rPr>
            </w:pPr>
          </w:p>
        </w:tc>
        <w:tc>
          <w:tcPr>
            <w:tcW w:w="329" w:type="dxa"/>
            <w:vMerge w:val="continue"/>
            <w:tcBorders>
              <w:top w:val="nil"/>
            </w:tcBorders>
            <w:vAlign w:val="top"/>
          </w:tcPr>
          <w:p w14:paraId="1E7EC91D">
            <w:pPr>
              <w:rPr>
                <w:rFonts w:ascii="Arial"/>
                <w:sz w:val="21"/>
              </w:rPr>
            </w:pPr>
          </w:p>
        </w:tc>
        <w:tc>
          <w:tcPr>
            <w:tcW w:w="1316" w:type="dxa"/>
            <w:vAlign w:val="top"/>
          </w:tcPr>
          <w:p w14:paraId="383AACE6">
            <w:pPr>
              <w:pStyle w:val="6"/>
              <w:spacing w:before="78" w:line="210" w:lineRule="auto"/>
              <w:ind w:left="220"/>
            </w:pPr>
            <w:r>
              <w:rPr>
                <w:spacing w:val="-1"/>
              </w:rPr>
              <w:t>2019/1/17</w:t>
            </w:r>
          </w:p>
        </w:tc>
        <w:tc>
          <w:tcPr>
            <w:tcW w:w="711" w:type="dxa"/>
            <w:vAlign w:val="top"/>
          </w:tcPr>
          <w:p w14:paraId="6272FF35">
            <w:pPr>
              <w:pStyle w:val="6"/>
              <w:spacing w:before="78" w:line="210" w:lineRule="auto"/>
              <w:ind w:left="167"/>
            </w:pPr>
            <w:r>
              <w:rPr>
                <w:spacing w:val="-2"/>
              </w:rPr>
              <w:t>0.52</w:t>
            </w:r>
          </w:p>
        </w:tc>
        <w:tc>
          <w:tcPr>
            <w:tcW w:w="706" w:type="dxa"/>
            <w:vAlign w:val="top"/>
          </w:tcPr>
          <w:p w14:paraId="38FF8DF3">
            <w:pPr>
              <w:pStyle w:val="6"/>
              <w:spacing w:before="78" w:line="210" w:lineRule="auto"/>
              <w:ind w:left="165"/>
            </w:pPr>
            <w:r>
              <w:rPr>
                <w:spacing w:val="-2"/>
              </w:rPr>
              <w:t>0.78</w:t>
            </w:r>
          </w:p>
        </w:tc>
        <w:tc>
          <w:tcPr>
            <w:tcW w:w="848" w:type="dxa"/>
            <w:vAlign w:val="top"/>
          </w:tcPr>
          <w:p w14:paraId="545EB91F">
            <w:pPr>
              <w:pStyle w:val="6"/>
              <w:spacing w:before="78" w:line="210" w:lineRule="auto"/>
              <w:ind w:left="239"/>
            </w:pPr>
            <w:r>
              <w:rPr>
                <w:spacing w:val="-2"/>
              </w:rPr>
              <w:t>0.23</w:t>
            </w:r>
          </w:p>
        </w:tc>
        <w:tc>
          <w:tcPr>
            <w:tcW w:w="706" w:type="dxa"/>
            <w:vAlign w:val="top"/>
          </w:tcPr>
          <w:p w14:paraId="4BD3FC57">
            <w:pPr>
              <w:pStyle w:val="6"/>
              <w:spacing w:before="78" w:line="210" w:lineRule="auto"/>
              <w:ind w:left="168"/>
            </w:pPr>
            <w:r>
              <w:rPr>
                <w:spacing w:val="-2"/>
              </w:rPr>
              <w:t>0.35</w:t>
            </w:r>
          </w:p>
        </w:tc>
        <w:tc>
          <w:tcPr>
            <w:tcW w:w="849" w:type="dxa"/>
            <w:vAlign w:val="top"/>
          </w:tcPr>
          <w:p w14:paraId="36EE83CF">
            <w:pPr>
              <w:pStyle w:val="6"/>
              <w:spacing w:before="78" w:line="210" w:lineRule="auto"/>
              <w:ind w:left="242"/>
            </w:pPr>
            <w:r>
              <w:rPr>
                <w:spacing w:val="-2"/>
              </w:rPr>
              <w:t>0.20</w:t>
            </w:r>
          </w:p>
        </w:tc>
        <w:tc>
          <w:tcPr>
            <w:tcW w:w="848" w:type="dxa"/>
            <w:vAlign w:val="top"/>
          </w:tcPr>
          <w:p w14:paraId="1B47F255">
            <w:pPr>
              <w:pStyle w:val="6"/>
              <w:spacing w:before="78" w:line="210" w:lineRule="auto"/>
              <w:ind w:left="243"/>
            </w:pPr>
            <w:r>
              <w:rPr>
                <w:spacing w:val="-2"/>
              </w:rPr>
              <w:t>0.19</w:t>
            </w:r>
          </w:p>
        </w:tc>
        <w:tc>
          <w:tcPr>
            <w:tcW w:w="848" w:type="dxa"/>
            <w:vAlign w:val="top"/>
          </w:tcPr>
          <w:p w14:paraId="4321AA8D">
            <w:pPr>
              <w:pStyle w:val="6"/>
              <w:spacing w:before="78" w:line="210" w:lineRule="auto"/>
              <w:ind w:left="246"/>
            </w:pPr>
            <w:r>
              <w:rPr>
                <w:spacing w:val="-2"/>
              </w:rPr>
              <w:t>0.10</w:t>
            </w:r>
          </w:p>
        </w:tc>
        <w:tc>
          <w:tcPr>
            <w:tcW w:w="851" w:type="dxa"/>
            <w:vAlign w:val="top"/>
          </w:tcPr>
          <w:p w14:paraId="7A2C83DB">
            <w:pPr>
              <w:pStyle w:val="6"/>
              <w:spacing w:before="78" w:line="210" w:lineRule="auto"/>
              <w:ind w:left="249"/>
            </w:pPr>
            <w:r>
              <w:rPr>
                <w:spacing w:val="-2"/>
              </w:rPr>
              <w:t>0.20</w:t>
            </w:r>
          </w:p>
        </w:tc>
        <w:tc>
          <w:tcPr>
            <w:tcW w:w="1979" w:type="dxa"/>
            <w:vAlign w:val="top"/>
          </w:tcPr>
          <w:p w14:paraId="68441723">
            <w:pPr>
              <w:pStyle w:val="6"/>
              <w:spacing w:before="169" w:line="100" w:lineRule="exact"/>
              <w:ind w:left="932"/>
            </w:pPr>
            <w:r>
              <w:rPr>
                <w:spacing w:val="-3"/>
                <w:position w:val="-6"/>
              </w:rPr>
              <w:t>--</w:t>
            </w:r>
          </w:p>
        </w:tc>
        <w:tc>
          <w:tcPr>
            <w:tcW w:w="1950" w:type="dxa"/>
            <w:tcBorders>
              <w:right w:val="single" w:color="000000" w:sz="12" w:space="0"/>
            </w:tcBorders>
            <w:vAlign w:val="top"/>
          </w:tcPr>
          <w:p w14:paraId="4894AA8D">
            <w:pPr>
              <w:pStyle w:val="6"/>
              <w:spacing w:before="78" w:line="210" w:lineRule="auto"/>
              <w:ind w:left="799"/>
            </w:pPr>
            <w:r>
              <w:rPr>
                <w:spacing w:val="-2"/>
              </w:rPr>
              <w:t>0.07</w:t>
            </w:r>
          </w:p>
        </w:tc>
      </w:tr>
      <w:tr w14:paraId="4F98E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D7D9F6E">
            <w:pPr>
              <w:rPr>
                <w:rFonts w:ascii="Arial"/>
                <w:sz w:val="21"/>
              </w:rPr>
            </w:pPr>
          </w:p>
        </w:tc>
        <w:tc>
          <w:tcPr>
            <w:tcW w:w="329" w:type="dxa"/>
            <w:vMerge w:val="restart"/>
            <w:tcBorders>
              <w:bottom w:val="nil"/>
            </w:tcBorders>
            <w:vAlign w:val="top"/>
          </w:tcPr>
          <w:p w14:paraId="5E38E928">
            <w:pPr>
              <w:pStyle w:val="6"/>
              <w:spacing w:before="121" w:line="222" w:lineRule="auto"/>
              <w:ind w:left="97"/>
            </w:pPr>
            <w:r>
              <w:t>2</w:t>
            </w:r>
          </w:p>
          <w:p w14:paraId="66F6B827">
            <w:pPr>
              <w:spacing w:line="219" w:lineRule="auto"/>
              <w:ind w:left="49"/>
              <w:rPr>
                <w:rFonts w:ascii="宋体" w:hAnsi="宋体" w:eastAsia="宋体" w:cs="宋体"/>
                <w:sz w:val="21"/>
                <w:szCs w:val="21"/>
              </w:rPr>
            </w:pPr>
            <w:r>
              <w:rPr>
                <w:rFonts w:ascii="宋体" w:hAnsi="宋体" w:eastAsia="宋体" w:cs="宋体"/>
                <w:sz w:val="21"/>
                <w:szCs w:val="21"/>
              </w:rPr>
              <w:t>季</w:t>
            </w:r>
          </w:p>
          <w:p w14:paraId="412AD554">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0F03B199">
            <w:pPr>
              <w:pStyle w:val="6"/>
              <w:spacing w:before="80" w:line="210" w:lineRule="auto"/>
              <w:ind w:left="220"/>
            </w:pPr>
            <w:r>
              <w:rPr>
                <w:spacing w:val="-1"/>
              </w:rPr>
              <w:t>2019/5/10</w:t>
            </w:r>
          </w:p>
        </w:tc>
        <w:tc>
          <w:tcPr>
            <w:tcW w:w="711" w:type="dxa"/>
            <w:vAlign w:val="top"/>
          </w:tcPr>
          <w:p w14:paraId="14D9105E">
            <w:pPr>
              <w:pStyle w:val="6"/>
              <w:spacing w:before="80" w:line="210" w:lineRule="auto"/>
              <w:ind w:left="167"/>
            </w:pPr>
            <w:r>
              <w:rPr>
                <w:spacing w:val="-2"/>
              </w:rPr>
              <w:t>0.54</w:t>
            </w:r>
          </w:p>
        </w:tc>
        <w:tc>
          <w:tcPr>
            <w:tcW w:w="706" w:type="dxa"/>
            <w:vAlign w:val="top"/>
          </w:tcPr>
          <w:p w14:paraId="0A94CC8C">
            <w:pPr>
              <w:pStyle w:val="6"/>
              <w:spacing w:before="80" w:line="210" w:lineRule="auto"/>
              <w:ind w:left="165"/>
            </w:pPr>
            <w:r>
              <w:rPr>
                <w:spacing w:val="-2"/>
              </w:rPr>
              <w:t>0.71</w:t>
            </w:r>
          </w:p>
        </w:tc>
        <w:tc>
          <w:tcPr>
            <w:tcW w:w="848" w:type="dxa"/>
            <w:vAlign w:val="top"/>
          </w:tcPr>
          <w:p w14:paraId="5A46D797">
            <w:pPr>
              <w:pStyle w:val="6"/>
              <w:spacing w:before="80" w:line="210" w:lineRule="auto"/>
              <w:ind w:left="239"/>
            </w:pPr>
            <w:r>
              <w:rPr>
                <w:spacing w:val="-2"/>
              </w:rPr>
              <w:t>0.57</w:t>
            </w:r>
          </w:p>
        </w:tc>
        <w:tc>
          <w:tcPr>
            <w:tcW w:w="706" w:type="dxa"/>
            <w:vAlign w:val="top"/>
          </w:tcPr>
          <w:p w14:paraId="7D9C1603">
            <w:pPr>
              <w:pStyle w:val="6"/>
              <w:spacing w:before="80" w:line="210" w:lineRule="auto"/>
              <w:ind w:left="168"/>
            </w:pPr>
            <w:r>
              <w:rPr>
                <w:spacing w:val="-2"/>
              </w:rPr>
              <w:t>0.75</w:t>
            </w:r>
          </w:p>
        </w:tc>
        <w:tc>
          <w:tcPr>
            <w:tcW w:w="849" w:type="dxa"/>
            <w:vAlign w:val="top"/>
          </w:tcPr>
          <w:p w14:paraId="52954F0D">
            <w:pPr>
              <w:pStyle w:val="6"/>
              <w:spacing w:before="80" w:line="210" w:lineRule="auto"/>
              <w:ind w:left="242"/>
            </w:pPr>
            <w:r>
              <w:rPr>
                <w:spacing w:val="-2"/>
              </w:rPr>
              <w:t>0.63</w:t>
            </w:r>
          </w:p>
        </w:tc>
        <w:tc>
          <w:tcPr>
            <w:tcW w:w="848" w:type="dxa"/>
            <w:vAlign w:val="top"/>
          </w:tcPr>
          <w:p w14:paraId="2EDBE786">
            <w:pPr>
              <w:pStyle w:val="6"/>
              <w:spacing w:before="80" w:line="210" w:lineRule="auto"/>
              <w:ind w:left="243"/>
            </w:pPr>
            <w:r>
              <w:rPr>
                <w:spacing w:val="-2"/>
              </w:rPr>
              <w:t>0.11</w:t>
            </w:r>
          </w:p>
        </w:tc>
        <w:tc>
          <w:tcPr>
            <w:tcW w:w="848" w:type="dxa"/>
            <w:vAlign w:val="top"/>
          </w:tcPr>
          <w:p w14:paraId="567E7CE0">
            <w:pPr>
              <w:pStyle w:val="6"/>
              <w:spacing w:before="80" w:line="210" w:lineRule="auto"/>
              <w:ind w:left="246"/>
            </w:pPr>
            <w:r>
              <w:rPr>
                <w:spacing w:val="-2"/>
              </w:rPr>
              <w:t>0.10</w:t>
            </w:r>
          </w:p>
        </w:tc>
        <w:tc>
          <w:tcPr>
            <w:tcW w:w="851" w:type="dxa"/>
            <w:vAlign w:val="top"/>
          </w:tcPr>
          <w:p w14:paraId="41072700">
            <w:pPr>
              <w:pStyle w:val="6"/>
              <w:spacing w:before="80" w:line="210" w:lineRule="auto"/>
              <w:ind w:left="249"/>
            </w:pPr>
            <w:r>
              <w:rPr>
                <w:spacing w:val="-2"/>
              </w:rPr>
              <w:t>0.40</w:t>
            </w:r>
          </w:p>
        </w:tc>
        <w:tc>
          <w:tcPr>
            <w:tcW w:w="1979" w:type="dxa"/>
            <w:vAlign w:val="top"/>
          </w:tcPr>
          <w:p w14:paraId="4E0FE434">
            <w:pPr>
              <w:pStyle w:val="6"/>
              <w:spacing w:before="171" w:line="100" w:lineRule="exact"/>
              <w:ind w:left="932"/>
            </w:pPr>
            <w:r>
              <w:rPr>
                <w:spacing w:val="-3"/>
                <w:position w:val="-6"/>
              </w:rPr>
              <w:t>--</w:t>
            </w:r>
          </w:p>
        </w:tc>
        <w:tc>
          <w:tcPr>
            <w:tcW w:w="1950" w:type="dxa"/>
            <w:tcBorders>
              <w:right w:val="single" w:color="000000" w:sz="12" w:space="0"/>
            </w:tcBorders>
            <w:vAlign w:val="top"/>
          </w:tcPr>
          <w:p w14:paraId="5911EF32">
            <w:pPr>
              <w:pStyle w:val="6"/>
              <w:spacing w:before="80" w:line="210" w:lineRule="auto"/>
              <w:ind w:left="799"/>
            </w:pPr>
            <w:r>
              <w:rPr>
                <w:spacing w:val="-2"/>
              </w:rPr>
              <w:t>0.11</w:t>
            </w:r>
          </w:p>
        </w:tc>
      </w:tr>
      <w:tr w14:paraId="38299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FF9A2ED">
            <w:pPr>
              <w:rPr>
                <w:rFonts w:ascii="Arial"/>
                <w:sz w:val="21"/>
              </w:rPr>
            </w:pPr>
          </w:p>
        </w:tc>
        <w:tc>
          <w:tcPr>
            <w:tcW w:w="329" w:type="dxa"/>
            <w:vMerge w:val="continue"/>
            <w:tcBorders>
              <w:top w:val="nil"/>
              <w:bottom w:val="nil"/>
            </w:tcBorders>
            <w:vAlign w:val="top"/>
          </w:tcPr>
          <w:p w14:paraId="150E99B5">
            <w:pPr>
              <w:rPr>
                <w:rFonts w:ascii="Arial"/>
                <w:sz w:val="21"/>
              </w:rPr>
            </w:pPr>
          </w:p>
        </w:tc>
        <w:tc>
          <w:tcPr>
            <w:tcW w:w="1316" w:type="dxa"/>
            <w:vAlign w:val="top"/>
          </w:tcPr>
          <w:p w14:paraId="29AB6CF6">
            <w:pPr>
              <w:pStyle w:val="6"/>
              <w:spacing w:before="81" w:line="208" w:lineRule="auto"/>
              <w:ind w:left="220"/>
            </w:pPr>
            <w:r>
              <w:rPr>
                <w:spacing w:val="-1"/>
              </w:rPr>
              <w:t>2019/5/11</w:t>
            </w:r>
          </w:p>
        </w:tc>
        <w:tc>
          <w:tcPr>
            <w:tcW w:w="711" w:type="dxa"/>
            <w:vAlign w:val="top"/>
          </w:tcPr>
          <w:p w14:paraId="40CB7791">
            <w:pPr>
              <w:pStyle w:val="6"/>
              <w:spacing w:before="81" w:line="208" w:lineRule="auto"/>
              <w:ind w:left="167"/>
            </w:pPr>
            <w:r>
              <w:rPr>
                <w:spacing w:val="-2"/>
              </w:rPr>
              <w:t>0.59</w:t>
            </w:r>
          </w:p>
        </w:tc>
        <w:tc>
          <w:tcPr>
            <w:tcW w:w="706" w:type="dxa"/>
            <w:vAlign w:val="top"/>
          </w:tcPr>
          <w:p w14:paraId="3892F998">
            <w:pPr>
              <w:pStyle w:val="6"/>
              <w:spacing w:before="81" w:line="208" w:lineRule="auto"/>
              <w:ind w:left="165"/>
            </w:pPr>
            <w:r>
              <w:rPr>
                <w:spacing w:val="-2"/>
              </w:rPr>
              <w:t>0.66</w:t>
            </w:r>
          </w:p>
        </w:tc>
        <w:tc>
          <w:tcPr>
            <w:tcW w:w="848" w:type="dxa"/>
            <w:vAlign w:val="top"/>
          </w:tcPr>
          <w:p w14:paraId="40C1ADF4">
            <w:pPr>
              <w:pStyle w:val="6"/>
              <w:spacing w:before="81" w:line="208" w:lineRule="auto"/>
              <w:ind w:left="239"/>
            </w:pPr>
            <w:r>
              <w:rPr>
                <w:spacing w:val="-2"/>
              </w:rPr>
              <w:t>0.63</w:t>
            </w:r>
          </w:p>
        </w:tc>
        <w:tc>
          <w:tcPr>
            <w:tcW w:w="706" w:type="dxa"/>
            <w:vAlign w:val="top"/>
          </w:tcPr>
          <w:p w14:paraId="72F2A2E4">
            <w:pPr>
              <w:pStyle w:val="6"/>
              <w:spacing w:before="81" w:line="208" w:lineRule="auto"/>
              <w:ind w:left="168"/>
            </w:pPr>
            <w:r>
              <w:rPr>
                <w:spacing w:val="-2"/>
              </w:rPr>
              <w:t>0.65</w:t>
            </w:r>
          </w:p>
        </w:tc>
        <w:tc>
          <w:tcPr>
            <w:tcW w:w="849" w:type="dxa"/>
            <w:vAlign w:val="top"/>
          </w:tcPr>
          <w:p w14:paraId="37F0A380">
            <w:pPr>
              <w:pStyle w:val="6"/>
              <w:spacing w:before="81" w:line="208" w:lineRule="auto"/>
              <w:ind w:left="242"/>
            </w:pPr>
            <w:r>
              <w:rPr>
                <w:spacing w:val="-2"/>
              </w:rPr>
              <w:t>0.58</w:t>
            </w:r>
          </w:p>
        </w:tc>
        <w:tc>
          <w:tcPr>
            <w:tcW w:w="848" w:type="dxa"/>
            <w:vAlign w:val="top"/>
          </w:tcPr>
          <w:p w14:paraId="3FD3AD56">
            <w:pPr>
              <w:pStyle w:val="6"/>
              <w:spacing w:before="81" w:line="208" w:lineRule="auto"/>
              <w:ind w:left="243"/>
            </w:pPr>
            <w:r>
              <w:rPr>
                <w:spacing w:val="-2"/>
              </w:rPr>
              <w:t>0.11</w:t>
            </w:r>
          </w:p>
        </w:tc>
        <w:tc>
          <w:tcPr>
            <w:tcW w:w="848" w:type="dxa"/>
            <w:vAlign w:val="top"/>
          </w:tcPr>
          <w:p w14:paraId="637A23CC">
            <w:pPr>
              <w:pStyle w:val="6"/>
              <w:spacing w:before="81" w:line="208" w:lineRule="auto"/>
              <w:ind w:left="246"/>
            </w:pPr>
            <w:r>
              <w:rPr>
                <w:spacing w:val="-2"/>
              </w:rPr>
              <w:t>0.15</w:t>
            </w:r>
          </w:p>
        </w:tc>
        <w:tc>
          <w:tcPr>
            <w:tcW w:w="851" w:type="dxa"/>
            <w:vAlign w:val="top"/>
          </w:tcPr>
          <w:p w14:paraId="206EFBC6">
            <w:pPr>
              <w:pStyle w:val="6"/>
              <w:spacing w:before="81" w:line="208" w:lineRule="auto"/>
              <w:ind w:left="249"/>
            </w:pPr>
            <w:r>
              <w:rPr>
                <w:spacing w:val="-2"/>
              </w:rPr>
              <w:t>0.40</w:t>
            </w:r>
          </w:p>
        </w:tc>
        <w:tc>
          <w:tcPr>
            <w:tcW w:w="1979" w:type="dxa"/>
            <w:vAlign w:val="top"/>
          </w:tcPr>
          <w:p w14:paraId="0882D7DC">
            <w:pPr>
              <w:pStyle w:val="6"/>
              <w:spacing w:before="172" w:line="100" w:lineRule="exact"/>
              <w:ind w:left="932"/>
            </w:pPr>
            <w:r>
              <w:rPr>
                <w:spacing w:val="-3"/>
                <w:position w:val="-6"/>
              </w:rPr>
              <w:t>--</w:t>
            </w:r>
          </w:p>
        </w:tc>
        <w:tc>
          <w:tcPr>
            <w:tcW w:w="1950" w:type="dxa"/>
            <w:tcBorders>
              <w:right w:val="single" w:color="000000" w:sz="12" w:space="0"/>
            </w:tcBorders>
            <w:vAlign w:val="top"/>
          </w:tcPr>
          <w:p w14:paraId="3570C647">
            <w:pPr>
              <w:pStyle w:val="6"/>
              <w:spacing w:before="81" w:line="208" w:lineRule="auto"/>
              <w:ind w:left="799"/>
            </w:pPr>
            <w:r>
              <w:rPr>
                <w:spacing w:val="-2"/>
              </w:rPr>
              <w:t>0.13</w:t>
            </w:r>
          </w:p>
        </w:tc>
      </w:tr>
      <w:tr w14:paraId="35D31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40D4742">
            <w:pPr>
              <w:rPr>
                <w:rFonts w:ascii="Arial"/>
                <w:sz w:val="21"/>
              </w:rPr>
            </w:pPr>
          </w:p>
        </w:tc>
        <w:tc>
          <w:tcPr>
            <w:tcW w:w="329" w:type="dxa"/>
            <w:vMerge w:val="continue"/>
            <w:tcBorders>
              <w:top w:val="nil"/>
            </w:tcBorders>
            <w:vAlign w:val="top"/>
          </w:tcPr>
          <w:p w14:paraId="257E0F3E">
            <w:pPr>
              <w:rPr>
                <w:rFonts w:ascii="Arial"/>
                <w:sz w:val="21"/>
              </w:rPr>
            </w:pPr>
          </w:p>
        </w:tc>
        <w:tc>
          <w:tcPr>
            <w:tcW w:w="1316" w:type="dxa"/>
            <w:vAlign w:val="top"/>
          </w:tcPr>
          <w:p w14:paraId="7B678841">
            <w:pPr>
              <w:pStyle w:val="6"/>
              <w:spacing w:before="82" w:line="208" w:lineRule="auto"/>
              <w:ind w:left="220"/>
            </w:pPr>
            <w:r>
              <w:rPr>
                <w:spacing w:val="-1"/>
              </w:rPr>
              <w:t>2019/5/12</w:t>
            </w:r>
          </w:p>
        </w:tc>
        <w:tc>
          <w:tcPr>
            <w:tcW w:w="711" w:type="dxa"/>
            <w:vAlign w:val="top"/>
          </w:tcPr>
          <w:p w14:paraId="5A2C587F">
            <w:pPr>
              <w:pStyle w:val="6"/>
              <w:spacing w:before="82" w:line="208" w:lineRule="auto"/>
              <w:ind w:left="167"/>
            </w:pPr>
            <w:r>
              <w:rPr>
                <w:spacing w:val="-2"/>
              </w:rPr>
              <w:t>0.53</w:t>
            </w:r>
          </w:p>
        </w:tc>
        <w:tc>
          <w:tcPr>
            <w:tcW w:w="706" w:type="dxa"/>
            <w:vAlign w:val="top"/>
          </w:tcPr>
          <w:p w14:paraId="6C904C9F">
            <w:pPr>
              <w:pStyle w:val="6"/>
              <w:spacing w:before="82" w:line="208" w:lineRule="auto"/>
              <w:ind w:left="165"/>
            </w:pPr>
            <w:r>
              <w:rPr>
                <w:spacing w:val="-2"/>
              </w:rPr>
              <w:t>0.64</w:t>
            </w:r>
          </w:p>
        </w:tc>
        <w:tc>
          <w:tcPr>
            <w:tcW w:w="848" w:type="dxa"/>
            <w:vAlign w:val="top"/>
          </w:tcPr>
          <w:p w14:paraId="290DE335">
            <w:pPr>
              <w:pStyle w:val="6"/>
              <w:spacing w:before="82" w:line="208" w:lineRule="auto"/>
              <w:ind w:left="239"/>
            </w:pPr>
            <w:r>
              <w:rPr>
                <w:spacing w:val="-2"/>
              </w:rPr>
              <w:t>0.60</w:t>
            </w:r>
          </w:p>
        </w:tc>
        <w:tc>
          <w:tcPr>
            <w:tcW w:w="706" w:type="dxa"/>
            <w:vAlign w:val="top"/>
          </w:tcPr>
          <w:p w14:paraId="4065E25C">
            <w:pPr>
              <w:pStyle w:val="6"/>
              <w:spacing w:before="82" w:line="208" w:lineRule="auto"/>
              <w:ind w:left="168"/>
            </w:pPr>
            <w:r>
              <w:rPr>
                <w:spacing w:val="-2"/>
              </w:rPr>
              <w:t>0.70</w:t>
            </w:r>
          </w:p>
        </w:tc>
        <w:tc>
          <w:tcPr>
            <w:tcW w:w="849" w:type="dxa"/>
            <w:vAlign w:val="top"/>
          </w:tcPr>
          <w:p w14:paraId="0C052434">
            <w:pPr>
              <w:pStyle w:val="6"/>
              <w:spacing w:before="82" w:line="208" w:lineRule="auto"/>
              <w:ind w:left="242"/>
            </w:pPr>
            <w:r>
              <w:rPr>
                <w:spacing w:val="-2"/>
              </w:rPr>
              <w:t>0.55</w:t>
            </w:r>
          </w:p>
        </w:tc>
        <w:tc>
          <w:tcPr>
            <w:tcW w:w="848" w:type="dxa"/>
            <w:vAlign w:val="top"/>
          </w:tcPr>
          <w:p w14:paraId="220AF7E6">
            <w:pPr>
              <w:pStyle w:val="6"/>
              <w:spacing w:before="82" w:line="208" w:lineRule="auto"/>
              <w:ind w:left="243"/>
            </w:pPr>
            <w:r>
              <w:rPr>
                <w:spacing w:val="-2"/>
              </w:rPr>
              <w:t>0.11</w:t>
            </w:r>
          </w:p>
        </w:tc>
        <w:tc>
          <w:tcPr>
            <w:tcW w:w="848" w:type="dxa"/>
            <w:vAlign w:val="top"/>
          </w:tcPr>
          <w:p w14:paraId="1445EAA1">
            <w:pPr>
              <w:pStyle w:val="6"/>
              <w:spacing w:before="82" w:line="208" w:lineRule="auto"/>
              <w:ind w:left="246"/>
            </w:pPr>
            <w:r>
              <w:rPr>
                <w:spacing w:val="-2"/>
              </w:rPr>
              <w:t>0.10</w:t>
            </w:r>
          </w:p>
        </w:tc>
        <w:tc>
          <w:tcPr>
            <w:tcW w:w="851" w:type="dxa"/>
            <w:vAlign w:val="top"/>
          </w:tcPr>
          <w:p w14:paraId="25DC7C99">
            <w:pPr>
              <w:pStyle w:val="6"/>
              <w:spacing w:before="82" w:line="208" w:lineRule="auto"/>
              <w:ind w:left="249"/>
            </w:pPr>
            <w:r>
              <w:rPr>
                <w:spacing w:val="-2"/>
              </w:rPr>
              <w:t>0.20</w:t>
            </w:r>
          </w:p>
        </w:tc>
        <w:tc>
          <w:tcPr>
            <w:tcW w:w="1979" w:type="dxa"/>
            <w:vAlign w:val="top"/>
          </w:tcPr>
          <w:p w14:paraId="3607C776">
            <w:pPr>
              <w:pStyle w:val="6"/>
              <w:spacing w:before="173" w:line="100" w:lineRule="exact"/>
              <w:ind w:left="932"/>
            </w:pPr>
            <w:r>
              <w:rPr>
                <w:spacing w:val="-3"/>
                <w:position w:val="-6"/>
              </w:rPr>
              <w:t>--</w:t>
            </w:r>
          </w:p>
        </w:tc>
        <w:tc>
          <w:tcPr>
            <w:tcW w:w="1950" w:type="dxa"/>
            <w:tcBorders>
              <w:right w:val="single" w:color="000000" w:sz="12" w:space="0"/>
            </w:tcBorders>
            <w:vAlign w:val="top"/>
          </w:tcPr>
          <w:p w14:paraId="3D81A9CF">
            <w:pPr>
              <w:pStyle w:val="6"/>
              <w:spacing w:before="82" w:line="208" w:lineRule="auto"/>
              <w:ind w:left="799"/>
            </w:pPr>
            <w:r>
              <w:rPr>
                <w:spacing w:val="-2"/>
              </w:rPr>
              <w:t>0.14</w:t>
            </w:r>
          </w:p>
        </w:tc>
      </w:tr>
      <w:tr w14:paraId="25343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8B9777F">
            <w:pPr>
              <w:rPr>
                <w:rFonts w:ascii="Arial"/>
                <w:sz w:val="21"/>
              </w:rPr>
            </w:pPr>
          </w:p>
        </w:tc>
        <w:tc>
          <w:tcPr>
            <w:tcW w:w="329" w:type="dxa"/>
            <w:vMerge w:val="restart"/>
            <w:tcBorders>
              <w:bottom w:val="nil"/>
            </w:tcBorders>
            <w:vAlign w:val="top"/>
          </w:tcPr>
          <w:p w14:paraId="29C44346">
            <w:pPr>
              <w:pStyle w:val="6"/>
              <w:spacing w:before="123" w:line="222" w:lineRule="auto"/>
              <w:ind w:left="102"/>
            </w:pPr>
            <w:r>
              <w:t>3</w:t>
            </w:r>
          </w:p>
          <w:p w14:paraId="02DCC5D7">
            <w:pPr>
              <w:spacing w:line="219" w:lineRule="auto"/>
              <w:ind w:left="49"/>
              <w:rPr>
                <w:rFonts w:ascii="宋体" w:hAnsi="宋体" w:eastAsia="宋体" w:cs="宋体"/>
                <w:sz w:val="21"/>
                <w:szCs w:val="21"/>
              </w:rPr>
            </w:pPr>
            <w:r>
              <w:rPr>
                <w:rFonts w:ascii="宋体" w:hAnsi="宋体" w:eastAsia="宋体" w:cs="宋体"/>
                <w:sz w:val="21"/>
                <w:szCs w:val="21"/>
              </w:rPr>
              <w:t>季</w:t>
            </w:r>
          </w:p>
          <w:p w14:paraId="7E982B42">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2180AAE2">
            <w:pPr>
              <w:pStyle w:val="6"/>
              <w:spacing w:before="82" w:line="207" w:lineRule="auto"/>
              <w:ind w:left="220"/>
            </w:pPr>
            <w:r>
              <w:rPr>
                <w:spacing w:val="-1"/>
              </w:rPr>
              <w:t>2019/8/06</w:t>
            </w:r>
          </w:p>
        </w:tc>
        <w:tc>
          <w:tcPr>
            <w:tcW w:w="711" w:type="dxa"/>
            <w:vAlign w:val="top"/>
          </w:tcPr>
          <w:p w14:paraId="7004000A">
            <w:pPr>
              <w:pStyle w:val="6"/>
              <w:spacing w:before="82" w:line="207" w:lineRule="auto"/>
              <w:ind w:left="167"/>
            </w:pPr>
            <w:r>
              <w:rPr>
                <w:spacing w:val="-2"/>
              </w:rPr>
              <w:t>0.69</w:t>
            </w:r>
          </w:p>
        </w:tc>
        <w:tc>
          <w:tcPr>
            <w:tcW w:w="706" w:type="dxa"/>
            <w:vAlign w:val="top"/>
          </w:tcPr>
          <w:p w14:paraId="5075360B">
            <w:pPr>
              <w:pStyle w:val="6"/>
              <w:spacing w:before="82" w:line="207" w:lineRule="auto"/>
              <w:ind w:left="165"/>
            </w:pPr>
            <w:r>
              <w:rPr>
                <w:spacing w:val="-2"/>
              </w:rPr>
              <w:t>0.73</w:t>
            </w:r>
          </w:p>
        </w:tc>
        <w:tc>
          <w:tcPr>
            <w:tcW w:w="848" w:type="dxa"/>
            <w:vAlign w:val="top"/>
          </w:tcPr>
          <w:p w14:paraId="65F0E27C">
            <w:pPr>
              <w:pStyle w:val="6"/>
              <w:spacing w:before="82" w:line="207" w:lineRule="auto"/>
              <w:ind w:left="239"/>
            </w:pPr>
            <w:r>
              <w:rPr>
                <w:spacing w:val="-2"/>
              </w:rPr>
              <w:t>0.48</w:t>
            </w:r>
          </w:p>
        </w:tc>
        <w:tc>
          <w:tcPr>
            <w:tcW w:w="706" w:type="dxa"/>
            <w:vAlign w:val="top"/>
          </w:tcPr>
          <w:p w14:paraId="1AA7A7D8">
            <w:pPr>
              <w:pStyle w:val="6"/>
              <w:spacing w:before="82" w:line="207" w:lineRule="auto"/>
              <w:ind w:left="168"/>
            </w:pPr>
            <w:r>
              <w:rPr>
                <w:spacing w:val="-2"/>
              </w:rPr>
              <w:t>0.30</w:t>
            </w:r>
          </w:p>
        </w:tc>
        <w:tc>
          <w:tcPr>
            <w:tcW w:w="849" w:type="dxa"/>
            <w:vAlign w:val="top"/>
          </w:tcPr>
          <w:p w14:paraId="0C8D4879">
            <w:pPr>
              <w:pStyle w:val="6"/>
              <w:spacing w:before="82" w:line="207" w:lineRule="auto"/>
              <w:ind w:left="242"/>
            </w:pPr>
            <w:r>
              <w:rPr>
                <w:spacing w:val="-2"/>
              </w:rPr>
              <w:t>0.30</w:t>
            </w:r>
          </w:p>
        </w:tc>
        <w:tc>
          <w:tcPr>
            <w:tcW w:w="848" w:type="dxa"/>
            <w:vAlign w:val="top"/>
          </w:tcPr>
          <w:p w14:paraId="71F78BF5">
            <w:pPr>
              <w:pStyle w:val="6"/>
              <w:spacing w:before="82" w:line="207" w:lineRule="auto"/>
              <w:ind w:left="243"/>
            </w:pPr>
            <w:r>
              <w:rPr>
                <w:spacing w:val="-2"/>
              </w:rPr>
              <w:t>0.03</w:t>
            </w:r>
          </w:p>
        </w:tc>
        <w:tc>
          <w:tcPr>
            <w:tcW w:w="848" w:type="dxa"/>
            <w:vAlign w:val="top"/>
          </w:tcPr>
          <w:p w14:paraId="65C5E68D">
            <w:pPr>
              <w:pStyle w:val="6"/>
              <w:spacing w:before="82" w:line="207" w:lineRule="auto"/>
              <w:ind w:left="246"/>
            </w:pPr>
            <w:r>
              <w:rPr>
                <w:spacing w:val="-2"/>
              </w:rPr>
              <w:t>0.35</w:t>
            </w:r>
          </w:p>
        </w:tc>
        <w:tc>
          <w:tcPr>
            <w:tcW w:w="851" w:type="dxa"/>
            <w:vAlign w:val="top"/>
          </w:tcPr>
          <w:p w14:paraId="34439A9F">
            <w:pPr>
              <w:pStyle w:val="6"/>
              <w:spacing w:before="82" w:line="207" w:lineRule="auto"/>
              <w:ind w:left="249"/>
            </w:pPr>
            <w:r>
              <w:rPr>
                <w:spacing w:val="-2"/>
              </w:rPr>
              <w:t>0.40</w:t>
            </w:r>
          </w:p>
        </w:tc>
        <w:tc>
          <w:tcPr>
            <w:tcW w:w="1979" w:type="dxa"/>
            <w:vAlign w:val="top"/>
          </w:tcPr>
          <w:p w14:paraId="6CF50756">
            <w:pPr>
              <w:pStyle w:val="6"/>
              <w:spacing w:before="82" w:line="207" w:lineRule="auto"/>
              <w:ind w:left="816"/>
            </w:pPr>
            <w:r>
              <w:rPr>
                <w:spacing w:val="-2"/>
              </w:rPr>
              <w:t>0.34</w:t>
            </w:r>
          </w:p>
        </w:tc>
        <w:tc>
          <w:tcPr>
            <w:tcW w:w="1950" w:type="dxa"/>
            <w:tcBorders>
              <w:right w:val="single" w:color="000000" w:sz="12" w:space="0"/>
            </w:tcBorders>
            <w:vAlign w:val="top"/>
          </w:tcPr>
          <w:p w14:paraId="2A4BF054">
            <w:pPr>
              <w:pStyle w:val="6"/>
              <w:spacing w:before="82" w:line="207" w:lineRule="auto"/>
              <w:ind w:left="799"/>
            </w:pPr>
            <w:r>
              <w:rPr>
                <w:spacing w:val="-2"/>
              </w:rPr>
              <w:t>0.07</w:t>
            </w:r>
          </w:p>
        </w:tc>
      </w:tr>
      <w:tr w14:paraId="2BB6E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62CBDA2">
            <w:pPr>
              <w:rPr>
                <w:rFonts w:ascii="Arial"/>
                <w:sz w:val="21"/>
              </w:rPr>
            </w:pPr>
          </w:p>
        </w:tc>
        <w:tc>
          <w:tcPr>
            <w:tcW w:w="329" w:type="dxa"/>
            <w:vMerge w:val="continue"/>
            <w:tcBorders>
              <w:top w:val="nil"/>
              <w:bottom w:val="nil"/>
            </w:tcBorders>
            <w:vAlign w:val="top"/>
          </w:tcPr>
          <w:p w14:paraId="1A9AD88A">
            <w:pPr>
              <w:rPr>
                <w:rFonts w:ascii="Arial"/>
                <w:sz w:val="21"/>
              </w:rPr>
            </w:pPr>
          </w:p>
        </w:tc>
        <w:tc>
          <w:tcPr>
            <w:tcW w:w="1316" w:type="dxa"/>
            <w:vAlign w:val="top"/>
          </w:tcPr>
          <w:p w14:paraId="191805E4">
            <w:pPr>
              <w:pStyle w:val="6"/>
              <w:spacing w:before="85" w:line="204" w:lineRule="auto"/>
              <w:ind w:left="220"/>
            </w:pPr>
            <w:r>
              <w:rPr>
                <w:spacing w:val="-1"/>
              </w:rPr>
              <w:t>2019/8/07</w:t>
            </w:r>
          </w:p>
        </w:tc>
        <w:tc>
          <w:tcPr>
            <w:tcW w:w="711" w:type="dxa"/>
            <w:vAlign w:val="top"/>
          </w:tcPr>
          <w:p w14:paraId="61EF56CF">
            <w:pPr>
              <w:pStyle w:val="6"/>
              <w:spacing w:before="85" w:line="204" w:lineRule="auto"/>
              <w:ind w:left="167"/>
            </w:pPr>
            <w:r>
              <w:rPr>
                <w:spacing w:val="-2"/>
              </w:rPr>
              <w:t>0.73</w:t>
            </w:r>
          </w:p>
        </w:tc>
        <w:tc>
          <w:tcPr>
            <w:tcW w:w="706" w:type="dxa"/>
            <w:vAlign w:val="top"/>
          </w:tcPr>
          <w:p w14:paraId="4B6D367B">
            <w:pPr>
              <w:pStyle w:val="6"/>
              <w:spacing w:before="85" w:line="204" w:lineRule="auto"/>
              <w:ind w:left="165"/>
            </w:pPr>
            <w:r>
              <w:rPr>
                <w:spacing w:val="-2"/>
              </w:rPr>
              <w:t>0.75</w:t>
            </w:r>
          </w:p>
        </w:tc>
        <w:tc>
          <w:tcPr>
            <w:tcW w:w="848" w:type="dxa"/>
            <w:vAlign w:val="top"/>
          </w:tcPr>
          <w:p w14:paraId="447404DF">
            <w:pPr>
              <w:pStyle w:val="6"/>
              <w:spacing w:before="85" w:line="204" w:lineRule="auto"/>
              <w:ind w:left="239"/>
            </w:pPr>
            <w:r>
              <w:rPr>
                <w:spacing w:val="-2"/>
              </w:rPr>
              <w:t>0.52</w:t>
            </w:r>
          </w:p>
        </w:tc>
        <w:tc>
          <w:tcPr>
            <w:tcW w:w="706" w:type="dxa"/>
            <w:vAlign w:val="top"/>
          </w:tcPr>
          <w:p w14:paraId="13FDBC9F">
            <w:pPr>
              <w:pStyle w:val="6"/>
              <w:spacing w:before="85" w:line="204" w:lineRule="auto"/>
              <w:ind w:left="168"/>
            </w:pPr>
            <w:r>
              <w:rPr>
                <w:spacing w:val="-2"/>
              </w:rPr>
              <w:t>0.40</w:t>
            </w:r>
          </w:p>
        </w:tc>
        <w:tc>
          <w:tcPr>
            <w:tcW w:w="849" w:type="dxa"/>
            <w:vAlign w:val="top"/>
          </w:tcPr>
          <w:p w14:paraId="0D261F4C">
            <w:pPr>
              <w:pStyle w:val="6"/>
              <w:spacing w:before="85" w:line="204" w:lineRule="auto"/>
              <w:ind w:left="242"/>
            </w:pPr>
            <w:r>
              <w:rPr>
                <w:spacing w:val="-2"/>
              </w:rPr>
              <w:t>0.40</w:t>
            </w:r>
          </w:p>
        </w:tc>
        <w:tc>
          <w:tcPr>
            <w:tcW w:w="848" w:type="dxa"/>
            <w:vAlign w:val="top"/>
          </w:tcPr>
          <w:p w14:paraId="2B23B04F">
            <w:pPr>
              <w:pStyle w:val="6"/>
              <w:spacing w:before="85" w:line="204" w:lineRule="auto"/>
              <w:ind w:left="243"/>
            </w:pPr>
            <w:r>
              <w:rPr>
                <w:spacing w:val="-2"/>
              </w:rPr>
              <w:t>0.03</w:t>
            </w:r>
          </w:p>
        </w:tc>
        <w:tc>
          <w:tcPr>
            <w:tcW w:w="848" w:type="dxa"/>
            <w:vAlign w:val="top"/>
          </w:tcPr>
          <w:p w14:paraId="23E489C0">
            <w:pPr>
              <w:pStyle w:val="6"/>
              <w:spacing w:before="85" w:line="204" w:lineRule="auto"/>
              <w:ind w:left="246"/>
            </w:pPr>
            <w:r>
              <w:rPr>
                <w:spacing w:val="-2"/>
              </w:rPr>
              <w:t>0.30</w:t>
            </w:r>
          </w:p>
        </w:tc>
        <w:tc>
          <w:tcPr>
            <w:tcW w:w="851" w:type="dxa"/>
            <w:vAlign w:val="top"/>
          </w:tcPr>
          <w:p w14:paraId="2367598C">
            <w:pPr>
              <w:pStyle w:val="6"/>
              <w:spacing w:before="85" w:line="204" w:lineRule="auto"/>
              <w:ind w:left="249"/>
            </w:pPr>
            <w:r>
              <w:rPr>
                <w:spacing w:val="-2"/>
              </w:rPr>
              <w:t>0.60</w:t>
            </w:r>
          </w:p>
        </w:tc>
        <w:tc>
          <w:tcPr>
            <w:tcW w:w="1979" w:type="dxa"/>
            <w:vAlign w:val="top"/>
          </w:tcPr>
          <w:p w14:paraId="3AC3F472">
            <w:pPr>
              <w:pStyle w:val="6"/>
              <w:spacing w:before="85" w:line="204" w:lineRule="auto"/>
              <w:ind w:left="816"/>
            </w:pPr>
            <w:r>
              <w:rPr>
                <w:spacing w:val="-2"/>
              </w:rPr>
              <w:t>0.37</w:t>
            </w:r>
          </w:p>
        </w:tc>
        <w:tc>
          <w:tcPr>
            <w:tcW w:w="1950" w:type="dxa"/>
            <w:tcBorders>
              <w:right w:val="single" w:color="000000" w:sz="12" w:space="0"/>
            </w:tcBorders>
            <w:vAlign w:val="top"/>
          </w:tcPr>
          <w:p w14:paraId="38ABC9C6">
            <w:pPr>
              <w:pStyle w:val="6"/>
              <w:spacing w:before="85" w:line="204" w:lineRule="auto"/>
              <w:ind w:left="799"/>
            </w:pPr>
            <w:r>
              <w:rPr>
                <w:spacing w:val="-2"/>
              </w:rPr>
              <w:t>0.07</w:t>
            </w:r>
          </w:p>
        </w:tc>
      </w:tr>
      <w:tr w14:paraId="34F8E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B06F68E">
            <w:pPr>
              <w:rPr>
                <w:rFonts w:ascii="Arial"/>
                <w:sz w:val="21"/>
              </w:rPr>
            </w:pPr>
          </w:p>
        </w:tc>
        <w:tc>
          <w:tcPr>
            <w:tcW w:w="329" w:type="dxa"/>
            <w:vMerge w:val="continue"/>
            <w:tcBorders>
              <w:top w:val="nil"/>
            </w:tcBorders>
            <w:vAlign w:val="top"/>
          </w:tcPr>
          <w:p w14:paraId="1EEA9EC2">
            <w:pPr>
              <w:rPr>
                <w:rFonts w:ascii="Arial"/>
                <w:sz w:val="21"/>
              </w:rPr>
            </w:pPr>
          </w:p>
        </w:tc>
        <w:tc>
          <w:tcPr>
            <w:tcW w:w="1316" w:type="dxa"/>
            <w:vAlign w:val="top"/>
          </w:tcPr>
          <w:p w14:paraId="3A7B58F8">
            <w:pPr>
              <w:pStyle w:val="6"/>
              <w:spacing w:before="86" w:line="204" w:lineRule="auto"/>
              <w:ind w:left="220"/>
            </w:pPr>
            <w:r>
              <w:rPr>
                <w:spacing w:val="-1"/>
              </w:rPr>
              <w:t>2019/8/08</w:t>
            </w:r>
          </w:p>
        </w:tc>
        <w:tc>
          <w:tcPr>
            <w:tcW w:w="711" w:type="dxa"/>
            <w:vAlign w:val="top"/>
          </w:tcPr>
          <w:p w14:paraId="65D2AAF1">
            <w:pPr>
              <w:pStyle w:val="6"/>
              <w:spacing w:before="86" w:line="204" w:lineRule="auto"/>
              <w:ind w:left="167"/>
            </w:pPr>
            <w:r>
              <w:rPr>
                <w:spacing w:val="-2"/>
              </w:rPr>
              <w:t>0.64</w:t>
            </w:r>
          </w:p>
        </w:tc>
        <w:tc>
          <w:tcPr>
            <w:tcW w:w="706" w:type="dxa"/>
            <w:vAlign w:val="top"/>
          </w:tcPr>
          <w:p w14:paraId="746E263A">
            <w:pPr>
              <w:pStyle w:val="6"/>
              <w:spacing w:before="86" w:line="204" w:lineRule="auto"/>
              <w:ind w:left="165"/>
            </w:pPr>
            <w:r>
              <w:rPr>
                <w:spacing w:val="-2"/>
              </w:rPr>
              <w:t>0.64</w:t>
            </w:r>
          </w:p>
        </w:tc>
        <w:tc>
          <w:tcPr>
            <w:tcW w:w="848" w:type="dxa"/>
            <w:vAlign w:val="top"/>
          </w:tcPr>
          <w:p w14:paraId="7DE05B49">
            <w:pPr>
              <w:pStyle w:val="6"/>
              <w:spacing w:before="86" w:line="204" w:lineRule="auto"/>
              <w:ind w:left="239"/>
            </w:pPr>
            <w:r>
              <w:rPr>
                <w:spacing w:val="-2"/>
              </w:rPr>
              <w:t>0.45</w:t>
            </w:r>
          </w:p>
        </w:tc>
        <w:tc>
          <w:tcPr>
            <w:tcW w:w="706" w:type="dxa"/>
            <w:vAlign w:val="top"/>
          </w:tcPr>
          <w:p w14:paraId="6F5AF2F2">
            <w:pPr>
              <w:pStyle w:val="6"/>
              <w:spacing w:before="86" w:line="204" w:lineRule="auto"/>
              <w:ind w:left="168"/>
            </w:pPr>
            <w:r>
              <w:rPr>
                <w:spacing w:val="-2"/>
              </w:rPr>
              <w:t>0.25</w:t>
            </w:r>
          </w:p>
        </w:tc>
        <w:tc>
          <w:tcPr>
            <w:tcW w:w="849" w:type="dxa"/>
            <w:vAlign w:val="top"/>
          </w:tcPr>
          <w:p w14:paraId="72C0276C">
            <w:pPr>
              <w:pStyle w:val="6"/>
              <w:spacing w:before="86" w:line="204" w:lineRule="auto"/>
              <w:ind w:left="242"/>
            </w:pPr>
            <w:r>
              <w:rPr>
                <w:spacing w:val="-2"/>
              </w:rPr>
              <w:t>0.25</w:t>
            </w:r>
          </w:p>
        </w:tc>
        <w:tc>
          <w:tcPr>
            <w:tcW w:w="848" w:type="dxa"/>
            <w:vAlign w:val="top"/>
          </w:tcPr>
          <w:p w14:paraId="52A1F109">
            <w:pPr>
              <w:pStyle w:val="6"/>
              <w:spacing w:before="86" w:line="204" w:lineRule="auto"/>
              <w:ind w:left="243"/>
            </w:pPr>
            <w:r>
              <w:rPr>
                <w:spacing w:val="-2"/>
              </w:rPr>
              <w:t>0.03</w:t>
            </w:r>
          </w:p>
        </w:tc>
        <w:tc>
          <w:tcPr>
            <w:tcW w:w="848" w:type="dxa"/>
            <w:vAlign w:val="top"/>
          </w:tcPr>
          <w:p w14:paraId="7F9BCB3B">
            <w:pPr>
              <w:pStyle w:val="6"/>
              <w:spacing w:before="86" w:line="204" w:lineRule="auto"/>
              <w:ind w:left="246"/>
            </w:pPr>
            <w:r>
              <w:rPr>
                <w:spacing w:val="-2"/>
              </w:rPr>
              <w:t>0.25</w:t>
            </w:r>
          </w:p>
        </w:tc>
        <w:tc>
          <w:tcPr>
            <w:tcW w:w="851" w:type="dxa"/>
            <w:vAlign w:val="top"/>
          </w:tcPr>
          <w:p w14:paraId="2C12A846">
            <w:pPr>
              <w:pStyle w:val="6"/>
              <w:spacing w:before="86" w:line="204" w:lineRule="auto"/>
              <w:ind w:left="249"/>
            </w:pPr>
            <w:r>
              <w:rPr>
                <w:spacing w:val="-2"/>
              </w:rPr>
              <w:t>0.40</w:t>
            </w:r>
          </w:p>
        </w:tc>
        <w:tc>
          <w:tcPr>
            <w:tcW w:w="1979" w:type="dxa"/>
            <w:vAlign w:val="top"/>
          </w:tcPr>
          <w:p w14:paraId="5649D80F">
            <w:pPr>
              <w:pStyle w:val="6"/>
              <w:spacing w:before="86" w:line="204" w:lineRule="auto"/>
              <w:ind w:left="816"/>
            </w:pPr>
            <w:r>
              <w:rPr>
                <w:spacing w:val="-2"/>
              </w:rPr>
              <w:t>0.29</w:t>
            </w:r>
          </w:p>
        </w:tc>
        <w:tc>
          <w:tcPr>
            <w:tcW w:w="1950" w:type="dxa"/>
            <w:tcBorders>
              <w:right w:val="single" w:color="000000" w:sz="12" w:space="0"/>
            </w:tcBorders>
            <w:vAlign w:val="top"/>
          </w:tcPr>
          <w:p w14:paraId="18EAF641">
            <w:pPr>
              <w:pStyle w:val="6"/>
              <w:spacing w:before="86" w:line="204" w:lineRule="auto"/>
              <w:ind w:left="799"/>
            </w:pPr>
            <w:r>
              <w:rPr>
                <w:spacing w:val="-2"/>
              </w:rPr>
              <w:t>0.07</w:t>
            </w:r>
          </w:p>
        </w:tc>
      </w:tr>
      <w:tr w14:paraId="30826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27E21F2">
            <w:pPr>
              <w:rPr>
                <w:rFonts w:ascii="Arial"/>
                <w:sz w:val="21"/>
              </w:rPr>
            </w:pPr>
          </w:p>
        </w:tc>
        <w:tc>
          <w:tcPr>
            <w:tcW w:w="329" w:type="dxa"/>
            <w:vMerge w:val="restart"/>
            <w:tcBorders>
              <w:bottom w:val="nil"/>
            </w:tcBorders>
            <w:vAlign w:val="top"/>
          </w:tcPr>
          <w:p w14:paraId="7C761A52">
            <w:pPr>
              <w:pStyle w:val="6"/>
              <w:spacing w:before="127" w:line="222" w:lineRule="auto"/>
              <w:ind w:left="96"/>
            </w:pPr>
            <w:r>
              <w:t>4</w:t>
            </w:r>
          </w:p>
          <w:p w14:paraId="3DEBB3BF">
            <w:pPr>
              <w:spacing w:line="219" w:lineRule="auto"/>
              <w:ind w:left="49"/>
              <w:rPr>
                <w:rFonts w:ascii="宋体" w:hAnsi="宋体" w:eastAsia="宋体" w:cs="宋体"/>
                <w:sz w:val="21"/>
                <w:szCs w:val="21"/>
              </w:rPr>
            </w:pPr>
            <w:r>
              <w:rPr>
                <w:rFonts w:ascii="宋体" w:hAnsi="宋体" w:eastAsia="宋体" w:cs="宋体"/>
                <w:sz w:val="21"/>
                <w:szCs w:val="21"/>
              </w:rPr>
              <w:t>季</w:t>
            </w:r>
          </w:p>
          <w:p w14:paraId="5CE8A9AB">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2657E57E">
            <w:pPr>
              <w:pStyle w:val="6"/>
              <w:spacing w:before="87" w:line="202" w:lineRule="auto"/>
              <w:ind w:left="220"/>
            </w:pPr>
            <w:r>
              <w:rPr>
                <w:spacing w:val="-1"/>
              </w:rPr>
              <w:t>2019/11/9</w:t>
            </w:r>
          </w:p>
        </w:tc>
        <w:tc>
          <w:tcPr>
            <w:tcW w:w="711" w:type="dxa"/>
            <w:vAlign w:val="top"/>
          </w:tcPr>
          <w:p w14:paraId="6370643E">
            <w:pPr>
              <w:pStyle w:val="6"/>
              <w:spacing w:before="87" w:line="202" w:lineRule="auto"/>
              <w:ind w:left="167"/>
            </w:pPr>
            <w:r>
              <w:rPr>
                <w:spacing w:val="-2"/>
              </w:rPr>
              <w:t>0.60</w:t>
            </w:r>
          </w:p>
        </w:tc>
        <w:tc>
          <w:tcPr>
            <w:tcW w:w="706" w:type="dxa"/>
            <w:vAlign w:val="top"/>
          </w:tcPr>
          <w:p w14:paraId="5106D666">
            <w:pPr>
              <w:pStyle w:val="6"/>
              <w:spacing w:before="87" w:line="202" w:lineRule="auto"/>
              <w:ind w:left="165"/>
            </w:pPr>
            <w:r>
              <w:rPr>
                <w:spacing w:val="-2"/>
              </w:rPr>
              <w:t>0.75</w:t>
            </w:r>
          </w:p>
        </w:tc>
        <w:tc>
          <w:tcPr>
            <w:tcW w:w="848" w:type="dxa"/>
            <w:vAlign w:val="top"/>
          </w:tcPr>
          <w:p w14:paraId="051709A1">
            <w:pPr>
              <w:pStyle w:val="6"/>
              <w:spacing w:before="87" w:line="202" w:lineRule="auto"/>
              <w:ind w:left="239"/>
            </w:pPr>
            <w:r>
              <w:rPr>
                <w:spacing w:val="-2"/>
              </w:rPr>
              <w:t>0.33</w:t>
            </w:r>
          </w:p>
        </w:tc>
        <w:tc>
          <w:tcPr>
            <w:tcW w:w="706" w:type="dxa"/>
            <w:vAlign w:val="top"/>
          </w:tcPr>
          <w:p w14:paraId="0A120E5C">
            <w:pPr>
              <w:pStyle w:val="6"/>
              <w:spacing w:before="87" w:line="202" w:lineRule="auto"/>
              <w:ind w:left="168"/>
            </w:pPr>
            <w:r>
              <w:rPr>
                <w:spacing w:val="-2"/>
              </w:rPr>
              <w:t>0.30</w:t>
            </w:r>
          </w:p>
        </w:tc>
        <w:tc>
          <w:tcPr>
            <w:tcW w:w="849" w:type="dxa"/>
            <w:vAlign w:val="top"/>
          </w:tcPr>
          <w:p w14:paraId="7B696427">
            <w:pPr>
              <w:pStyle w:val="6"/>
              <w:spacing w:before="87" w:line="202" w:lineRule="auto"/>
              <w:ind w:left="242"/>
            </w:pPr>
            <w:r>
              <w:rPr>
                <w:spacing w:val="-2"/>
              </w:rPr>
              <w:t>0.30</w:t>
            </w:r>
          </w:p>
        </w:tc>
        <w:tc>
          <w:tcPr>
            <w:tcW w:w="848" w:type="dxa"/>
            <w:vAlign w:val="top"/>
          </w:tcPr>
          <w:p w14:paraId="58BC1C1D">
            <w:pPr>
              <w:pStyle w:val="6"/>
              <w:spacing w:before="87" w:line="202" w:lineRule="auto"/>
              <w:ind w:left="243"/>
            </w:pPr>
            <w:r>
              <w:rPr>
                <w:spacing w:val="-2"/>
              </w:rPr>
              <w:t>0.09</w:t>
            </w:r>
          </w:p>
        </w:tc>
        <w:tc>
          <w:tcPr>
            <w:tcW w:w="848" w:type="dxa"/>
            <w:vAlign w:val="top"/>
          </w:tcPr>
          <w:p w14:paraId="635E16C4">
            <w:pPr>
              <w:pStyle w:val="6"/>
              <w:spacing w:before="87" w:line="202" w:lineRule="auto"/>
              <w:ind w:left="246"/>
            </w:pPr>
            <w:r>
              <w:rPr>
                <w:spacing w:val="-2"/>
              </w:rPr>
              <w:t>0.10</w:t>
            </w:r>
          </w:p>
        </w:tc>
        <w:tc>
          <w:tcPr>
            <w:tcW w:w="851" w:type="dxa"/>
            <w:vAlign w:val="top"/>
          </w:tcPr>
          <w:p w14:paraId="240A6EBE">
            <w:pPr>
              <w:pStyle w:val="6"/>
              <w:spacing w:before="87" w:line="202" w:lineRule="auto"/>
              <w:ind w:left="249"/>
            </w:pPr>
            <w:r>
              <w:rPr>
                <w:spacing w:val="-2"/>
              </w:rPr>
              <w:t>0.20</w:t>
            </w:r>
          </w:p>
        </w:tc>
        <w:tc>
          <w:tcPr>
            <w:tcW w:w="1979" w:type="dxa"/>
            <w:vAlign w:val="top"/>
          </w:tcPr>
          <w:p w14:paraId="0A0D1F1A">
            <w:pPr>
              <w:pStyle w:val="6"/>
              <w:spacing w:before="87" w:line="202" w:lineRule="auto"/>
              <w:ind w:left="816"/>
            </w:pPr>
            <w:r>
              <w:rPr>
                <w:spacing w:val="-2"/>
              </w:rPr>
              <w:t>0.61</w:t>
            </w:r>
          </w:p>
        </w:tc>
        <w:tc>
          <w:tcPr>
            <w:tcW w:w="1950" w:type="dxa"/>
            <w:tcBorders>
              <w:right w:val="single" w:color="000000" w:sz="12" w:space="0"/>
            </w:tcBorders>
            <w:vAlign w:val="top"/>
          </w:tcPr>
          <w:p w14:paraId="3E1431B1">
            <w:pPr>
              <w:pStyle w:val="6"/>
              <w:spacing w:before="87" w:line="202" w:lineRule="auto"/>
              <w:ind w:left="799"/>
            </w:pPr>
            <w:r>
              <w:rPr>
                <w:spacing w:val="-2"/>
              </w:rPr>
              <w:t>0.05</w:t>
            </w:r>
          </w:p>
        </w:tc>
      </w:tr>
      <w:tr w14:paraId="59FFB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968DD4B">
            <w:pPr>
              <w:rPr>
                <w:rFonts w:ascii="Arial"/>
                <w:sz w:val="21"/>
              </w:rPr>
            </w:pPr>
          </w:p>
        </w:tc>
        <w:tc>
          <w:tcPr>
            <w:tcW w:w="329" w:type="dxa"/>
            <w:vMerge w:val="continue"/>
            <w:tcBorders>
              <w:top w:val="nil"/>
              <w:bottom w:val="nil"/>
            </w:tcBorders>
            <w:vAlign w:val="top"/>
          </w:tcPr>
          <w:p w14:paraId="3F724A30">
            <w:pPr>
              <w:rPr>
                <w:rFonts w:ascii="Arial"/>
                <w:sz w:val="21"/>
              </w:rPr>
            </w:pPr>
          </w:p>
        </w:tc>
        <w:tc>
          <w:tcPr>
            <w:tcW w:w="1316" w:type="dxa"/>
            <w:vAlign w:val="top"/>
          </w:tcPr>
          <w:p w14:paraId="5CD02858">
            <w:pPr>
              <w:pStyle w:val="6"/>
              <w:spacing w:before="88" w:line="202" w:lineRule="auto"/>
              <w:ind w:left="167"/>
            </w:pPr>
            <w:r>
              <w:rPr>
                <w:spacing w:val="-1"/>
              </w:rPr>
              <w:t>2019/11/10</w:t>
            </w:r>
          </w:p>
        </w:tc>
        <w:tc>
          <w:tcPr>
            <w:tcW w:w="711" w:type="dxa"/>
            <w:vAlign w:val="top"/>
          </w:tcPr>
          <w:p w14:paraId="1FC1B7C9">
            <w:pPr>
              <w:pStyle w:val="6"/>
              <w:spacing w:before="88" w:line="202" w:lineRule="auto"/>
              <w:ind w:left="167"/>
            </w:pPr>
            <w:r>
              <w:rPr>
                <w:spacing w:val="-2"/>
              </w:rPr>
              <w:t>0.63</w:t>
            </w:r>
          </w:p>
        </w:tc>
        <w:tc>
          <w:tcPr>
            <w:tcW w:w="706" w:type="dxa"/>
            <w:vAlign w:val="top"/>
          </w:tcPr>
          <w:p w14:paraId="60FD11FA">
            <w:pPr>
              <w:pStyle w:val="6"/>
              <w:spacing w:before="88" w:line="202" w:lineRule="auto"/>
              <w:ind w:left="165"/>
            </w:pPr>
            <w:r>
              <w:rPr>
                <w:spacing w:val="-2"/>
              </w:rPr>
              <w:t>0.85</w:t>
            </w:r>
          </w:p>
        </w:tc>
        <w:tc>
          <w:tcPr>
            <w:tcW w:w="848" w:type="dxa"/>
            <w:vAlign w:val="top"/>
          </w:tcPr>
          <w:p w14:paraId="27771F90">
            <w:pPr>
              <w:pStyle w:val="6"/>
              <w:spacing w:before="88" w:line="202" w:lineRule="auto"/>
              <w:ind w:left="239"/>
            </w:pPr>
            <w:r>
              <w:rPr>
                <w:spacing w:val="-2"/>
              </w:rPr>
              <w:t>0.30</w:t>
            </w:r>
          </w:p>
        </w:tc>
        <w:tc>
          <w:tcPr>
            <w:tcW w:w="706" w:type="dxa"/>
            <w:vAlign w:val="top"/>
          </w:tcPr>
          <w:p w14:paraId="479279D0">
            <w:pPr>
              <w:pStyle w:val="6"/>
              <w:spacing w:before="88" w:line="202" w:lineRule="auto"/>
              <w:ind w:left="168"/>
            </w:pPr>
            <w:r>
              <w:rPr>
                <w:spacing w:val="-2"/>
              </w:rPr>
              <w:t>0.35</w:t>
            </w:r>
          </w:p>
        </w:tc>
        <w:tc>
          <w:tcPr>
            <w:tcW w:w="849" w:type="dxa"/>
            <w:vAlign w:val="top"/>
          </w:tcPr>
          <w:p w14:paraId="5100F08D">
            <w:pPr>
              <w:pStyle w:val="6"/>
              <w:spacing w:before="88" w:line="202" w:lineRule="auto"/>
              <w:ind w:left="242"/>
            </w:pPr>
            <w:r>
              <w:rPr>
                <w:spacing w:val="-2"/>
              </w:rPr>
              <w:t>0.35</w:t>
            </w:r>
          </w:p>
        </w:tc>
        <w:tc>
          <w:tcPr>
            <w:tcW w:w="848" w:type="dxa"/>
            <w:vAlign w:val="top"/>
          </w:tcPr>
          <w:p w14:paraId="045B3326">
            <w:pPr>
              <w:pStyle w:val="6"/>
              <w:spacing w:before="88" w:line="202" w:lineRule="auto"/>
              <w:ind w:left="243"/>
            </w:pPr>
            <w:r>
              <w:rPr>
                <w:spacing w:val="-2"/>
              </w:rPr>
              <w:t>0.10</w:t>
            </w:r>
          </w:p>
        </w:tc>
        <w:tc>
          <w:tcPr>
            <w:tcW w:w="848" w:type="dxa"/>
            <w:vAlign w:val="top"/>
          </w:tcPr>
          <w:p w14:paraId="099B9754">
            <w:pPr>
              <w:pStyle w:val="6"/>
              <w:spacing w:before="88" w:line="202" w:lineRule="auto"/>
              <w:ind w:left="246"/>
            </w:pPr>
            <w:r>
              <w:rPr>
                <w:spacing w:val="-2"/>
              </w:rPr>
              <w:t>0.10</w:t>
            </w:r>
          </w:p>
        </w:tc>
        <w:tc>
          <w:tcPr>
            <w:tcW w:w="851" w:type="dxa"/>
            <w:vAlign w:val="top"/>
          </w:tcPr>
          <w:p w14:paraId="09839C8C">
            <w:pPr>
              <w:pStyle w:val="6"/>
              <w:spacing w:before="88" w:line="202" w:lineRule="auto"/>
              <w:ind w:left="249"/>
            </w:pPr>
            <w:r>
              <w:rPr>
                <w:spacing w:val="-2"/>
              </w:rPr>
              <w:t>0.20</w:t>
            </w:r>
          </w:p>
        </w:tc>
        <w:tc>
          <w:tcPr>
            <w:tcW w:w="1979" w:type="dxa"/>
            <w:vAlign w:val="top"/>
          </w:tcPr>
          <w:p w14:paraId="1E881F46">
            <w:pPr>
              <w:pStyle w:val="6"/>
              <w:spacing w:before="88" w:line="202" w:lineRule="auto"/>
              <w:ind w:left="816"/>
            </w:pPr>
            <w:r>
              <w:rPr>
                <w:spacing w:val="-2"/>
              </w:rPr>
              <w:t>0.60</w:t>
            </w:r>
          </w:p>
        </w:tc>
        <w:tc>
          <w:tcPr>
            <w:tcW w:w="1950" w:type="dxa"/>
            <w:tcBorders>
              <w:right w:val="single" w:color="000000" w:sz="12" w:space="0"/>
            </w:tcBorders>
            <w:vAlign w:val="top"/>
          </w:tcPr>
          <w:p w14:paraId="79952400">
            <w:pPr>
              <w:pStyle w:val="6"/>
              <w:spacing w:before="88" w:line="202" w:lineRule="auto"/>
              <w:ind w:left="799"/>
            </w:pPr>
            <w:r>
              <w:rPr>
                <w:spacing w:val="-2"/>
              </w:rPr>
              <w:t>0.04</w:t>
            </w:r>
          </w:p>
        </w:tc>
      </w:tr>
      <w:tr w14:paraId="56A62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tcBorders>
            <w:vAlign w:val="top"/>
          </w:tcPr>
          <w:p w14:paraId="334D103B">
            <w:pPr>
              <w:rPr>
                <w:rFonts w:ascii="Arial"/>
                <w:sz w:val="21"/>
              </w:rPr>
            </w:pPr>
          </w:p>
        </w:tc>
        <w:tc>
          <w:tcPr>
            <w:tcW w:w="329" w:type="dxa"/>
            <w:vMerge w:val="continue"/>
            <w:tcBorders>
              <w:top w:val="nil"/>
            </w:tcBorders>
            <w:vAlign w:val="top"/>
          </w:tcPr>
          <w:p w14:paraId="2EDDE843">
            <w:pPr>
              <w:rPr>
                <w:rFonts w:ascii="Arial"/>
                <w:sz w:val="21"/>
              </w:rPr>
            </w:pPr>
          </w:p>
        </w:tc>
        <w:tc>
          <w:tcPr>
            <w:tcW w:w="1316" w:type="dxa"/>
            <w:vAlign w:val="top"/>
          </w:tcPr>
          <w:p w14:paraId="3A35006C">
            <w:pPr>
              <w:pStyle w:val="6"/>
              <w:spacing w:before="88" w:line="201" w:lineRule="auto"/>
              <w:ind w:left="167"/>
            </w:pPr>
            <w:r>
              <w:rPr>
                <w:spacing w:val="-1"/>
              </w:rPr>
              <w:t>2019/11/11</w:t>
            </w:r>
          </w:p>
        </w:tc>
        <w:tc>
          <w:tcPr>
            <w:tcW w:w="711" w:type="dxa"/>
            <w:vAlign w:val="top"/>
          </w:tcPr>
          <w:p w14:paraId="1B474AEF">
            <w:pPr>
              <w:pStyle w:val="6"/>
              <w:spacing w:before="88" w:line="201" w:lineRule="auto"/>
              <w:ind w:left="167"/>
            </w:pPr>
            <w:r>
              <w:rPr>
                <w:spacing w:val="-2"/>
              </w:rPr>
              <w:t>0.56</w:t>
            </w:r>
          </w:p>
        </w:tc>
        <w:tc>
          <w:tcPr>
            <w:tcW w:w="706" w:type="dxa"/>
            <w:vAlign w:val="top"/>
          </w:tcPr>
          <w:p w14:paraId="698295B6">
            <w:pPr>
              <w:pStyle w:val="6"/>
              <w:spacing w:before="88" w:line="201" w:lineRule="auto"/>
              <w:ind w:left="165"/>
            </w:pPr>
            <w:r>
              <w:rPr>
                <w:spacing w:val="-2"/>
              </w:rPr>
              <w:t>0.73</w:t>
            </w:r>
          </w:p>
        </w:tc>
        <w:tc>
          <w:tcPr>
            <w:tcW w:w="848" w:type="dxa"/>
            <w:vAlign w:val="top"/>
          </w:tcPr>
          <w:p w14:paraId="26D409C2">
            <w:pPr>
              <w:pStyle w:val="6"/>
              <w:spacing w:before="88" w:line="201" w:lineRule="auto"/>
              <w:ind w:left="239"/>
            </w:pPr>
            <w:r>
              <w:rPr>
                <w:spacing w:val="-2"/>
              </w:rPr>
              <w:t>0.35</w:t>
            </w:r>
          </w:p>
        </w:tc>
        <w:tc>
          <w:tcPr>
            <w:tcW w:w="706" w:type="dxa"/>
            <w:vAlign w:val="top"/>
          </w:tcPr>
          <w:p w14:paraId="5980EB7D">
            <w:pPr>
              <w:pStyle w:val="6"/>
              <w:spacing w:before="88" w:line="201" w:lineRule="auto"/>
              <w:ind w:left="168"/>
            </w:pPr>
            <w:r>
              <w:rPr>
                <w:spacing w:val="-2"/>
              </w:rPr>
              <w:t>0.25</w:t>
            </w:r>
          </w:p>
        </w:tc>
        <w:tc>
          <w:tcPr>
            <w:tcW w:w="849" w:type="dxa"/>
            <w:vAlign w:val="top"/>
          </w:tcPr>
          <w:p w14:paraId="595F2680">
            <w:pPr>
              <w:pStyle w:val="6"/>
              <w:spacing w:before="88" w:line="201" w:lineRule="auto"/>
              <w:ind w:left="242"/>
            </w:pPr>
            <w:r>
              <w:rPr>
                <w:spacing w:val="-2"/>
              </w:rPr>
              <w:t>0.25</w:t>
            </w:r>
          </w:p>
        </w:tc>
        <w:tc>
          <w:tcPr>
            <w:tcW w:w="848" w:type="dxa"/>
            <w:vAlign w:val="top"/>
          </w:tcPr>
          <w:p w14:paraId="1D084A20">
            <w:pPr>
              <w:pStyle w:val="6"/>
              <w:spacing w:before="88" w:line="201" w:lineRule="auto"/>
              <w:ind w:left="243"/>
            </w:pPr>
            <w:r>
              <w:rPr>
                <w:spacing w:val="-2"/>
              </w:rPr>
              <w:t>0.10</w:t>
            </w:r>
          </w:p>
        </w:tc>
        <w:tc>
          <w:tcPr>
            <w:tcW w:w="848" w:type="dxa"/>
            <w:vAlign w:val="top"/>
          </w:tcPr>
          <w:p w14:paraId="65AE272E">
            <w:pPr>
              <w:pStyle w:val="6"/>
              <w:spacing w:before="88" w:line="201" w:lineRule="auto"/>
              <w:ind w:left="246"/>
            </w:pPr>
            <w:r>
              <w:rPr>
                <w:spacing w:val="-2"/>
              </w:rPr>
              <w:t>0.05</w:t>
            </w:r>
          </w:p>
        </w:tc>
        <w:tc>
          <w:tcPr>
            <w:tcW w:w="851" w:type="dxa"/>
            <w:vAlign w:val="top"/>
          </w:tcPr>
          <w:p w14:paraId="06055AAD">
            <w:pPr>
              <w:pStyle w:val="6"/>
              <w:spacing w:before="88" w:line="201" w:lineRule="auto"/>
              <w:ind w:left="249"/>
            </w:pPr>
            <w:r>
              <w:rPr>
                <w:spacing w:val="-2"/>
              </w:rPr>
              <w:t>0.40</w:t>
            </w:r>
          </w:p>
        </w:tc>
        <w:tc>
          <w:tcPr>
            <w:tcW w:w="1979" w:type="dxa"/>
            <w:vAlign w:val="top"/>
          </w:tcPr>
          <w:p w14:paraId="22EF7293">
            <w:pPr>
              <w:pStyle w:val="6"/>
              <w:spacing w:before="88" w:line="201" w:lineRule="auto"/>
              <w:ind w:left="816"/>
            </w:pPr>
            <w:r>
              <w:rPr>
                <w:spacing w:val="-2"/>
              </w:rPr>
              <w:t>0.64</w:t>
            </w:r>
          </w:p>
        </w:tc>
        <w:tc>
          <w:tcPr>
            <w:tcW w:w="1950" w:type="dxa"/>
            <w:tcBorders>
              <w:right w:val="single" w:color="000000" w:sz="12" w:space="0"/>
            </w:tcBorders>
            <w:vAlign w:val="top"/>
          </w:tcPr>
          <w:p w14:paraId="40B9DAF8">
            <w:pPr>
              <w:pStyle w:val="6"/>
              <w:spacing w:before="88" w:line="201" w:lineRule="auto"/>
              <w:ind w:left="799"/>
            </w:pPr>
            <w:r>
              <w:rPr>
                <w:spacing w:val="-2"/>
              </w:rPr>
              <w:t>0.04</w:t>
            </w:r>
          </w:p>
        </w:tc>
      </w:tr>
      <w:tr w14:paraId="3FFE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23C8AF0E">
            <w:pPr>
              <w:spacing w:line="242" w:lineRule="auto"/>
              <w:rPr>
                <w:rFonts w:ascii="Arial"/>
                <w:sz w:val="21"/>
              </w:rPr>
            </w:pPr>
          </w:p>
          <w:p w14:paraId="14152D0D">
            <w:pPr>
              <w:spacing w:line="242" w:lineRule="auto"/>
              <w:rPr>
                <w:rFonts w:ascii="Arial"/>
                <w:sz w:val="21"/>
              </w:rPr>
            </w:pPr>
          </w:p>
          <w:p w14:paraId="00BD8D9F">
            <w:pPr>
              <w:spacing w:line="242" w:lineRule="auto"/>
              <w:rPr>
                <w:rFonts w:ascii="Arial"/>
                <w:sz w:val="21"/>
              </w:rPr>
            </w:pPr>
          </w:p>
          <w:p w14:paraId="24B3CD89">
            <w:pPr>
              <w:spacing w:line="242" w:lineRule="auto"/>
              <w:rPr>
                <w:rFonts w:ascii="Arial"/>
                <w:sz w:val="21"/>
              </w:rPr>
            </w:pPr>
          </w:p>
          <w:p w14:paraId="528EF598">
            <w:pPr>
              <w:spacing w:line="242" w:lineRule="auto"/>
              <w:rPr>
                <w:rFonts w:ascii="Arial"/>
                <w:sz w:val="21"/>
              </w:rPr>
            </w:pPr>
          </w:p>
          <w:p w14:paraId="0EE7E13F">
            <w:pPr>
              <w:spacing w:line="243" w:lineRule="auto"/>
              <w:rPr>
                <w:rFonts w:ascii="Arial"/>
                <w:sz w:val="21"/>
              </w:rPr>
            </w:pPr>
          </w:p>
          <w:p w14:paraId="3086E2E3">
            <w:pPr>
              <w:spacing w:line="243" w:lineRule="auto"/>
              <w:rPr>
                <w:rFonts w:ascii="Arial"/>
                <w:sz w:val="21"/>
              </w:rPr>
            </w:pPr>
          </w:p>
          <w:p w14:paraId="791779F2">
            <w:pPr>
              <w:spacing w:before="68" w:line="220" w:lineRule="auto"/>
              <w:ind w:left="298"/>
              <w:rPr>
                <w:rFonts w:ascii="宋体" w:hAnsi="宋体" w:eastAsia="宋体" w:cs="宋体"/>
                <w:sz w:val="21"/>
                <w:szCs w:val="21"/>
              </w:rPr>
            </w:pPr>
            <w:r>
              <w:rPr>
                <w:rFonts w:ascii="宋体" w:hAnsi="宋体" w:eastAsia="宋体" w:cs="宋体"/>
                <w:spacing w:val="-2"/>
                <w:sz w:val="21"/>
                <w:szCs w:val="21"/>
              </w:rPr>
              <w:t>面店水库</w:t>
            </w:r>
          </w:p>
        </w:tc>
        <w:tc>
          <w:tcPr>
            <w:tcW w:w="329" w:type="dxa"/>
            <w:vMerge w:val="restart"/>
            <w:tcBorders>
              <w:bottom w:val="nil"/>
            </w:tcBorders>
            <w:vAlign w:val="top"/>
          </w:tcPr>
          <w:p w14:paraId="43336FFD">
            <w:pPr>
              <w:pStyle w:val="6"/>
              <w:spacing w:before="130" w:line="223" w:lineRule="auto"/>
              <w:ind w:left="117"/>
            </w:pPr>
            <w:r>
              <w:t>1</w:t>
            </w:r>
          </w:p>
          <w:p w14:paraId="43075A2D">
            <w:pPr>
              <w:spacing w:line="219" w:lineRule="auto"/>
              <w:ind w:left="49"/>
              <w:rPr>
                <w:rFonts w:ascii="宋体" w:hAnsi="宋体" w:eastAsia="宋体" w:cs="宋体"/>
                <w:sz w:val="21"/>
                <w:szCs w:val="21"/>
              </w:rPr>
            </w:pPr>
            <w:r>
              <w:rPr>
                <w:rFonts w:ascii="宋体" w:hAnsi="宋体" w:eastAsia="宋体" w:cs="宋体"/>
                <w:sz w:val="21"/>
                <w:szCs w:val="21"/>
              </w:rPr>
              <w:t>季</w:t>
            </w:r>
          </w:p>
          <w:p w14:paraId="5DA567CE">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173E7E43">
            <w:pPr>
              <w:pStyle w:val="6"/>
              <w:spacing w:before="90" w:line="199" w:lineRule="auto"/>
              <w:ind w:left="220"/>
            </w:pPr>
            <w:r>
              <w:rPr>
                <w:spacing w:val="-1"/>
              </w:rPr>
              <w:t>2019/1/15</w:t>
            </w:r>
          </w:p>
        </w:tc>
        <w:tc>
          <w:tcPr>
            <w:tcW w:w="711" w:type="dxa"/>
            <w:vAlign w:val="top"/>
          </w:tcPr>
          <w:p w14:paraId="2CA63AC9">
            <w:pPr>
              <w:pStyle w:val="6"/>
              <w:spacing w:before="90" w:line="199" w:lineRule="auto"/>
              <w:ind w:left="167"/>
            </w:pPr>
            <w:r>
              <w:rPr>
                <w:spacing w:val="-2"/>
              </w:rPr>
              <w:t>0.60</w:t>
            </w:r>
          </w:p>
        </w:tc>
        <w:tc>
          <w:tcPr>
            <w:tcW w:w="706" w:type="dxa"/>
            <w:vAlign w:val="top"/>
          </w:tcPr>
          <w:p w14:paraId="011C3403">
            <w:pPr>
              <w:pStyle w:val="6"/>
              <w:spacing w:before="95" w:line="194" w:lineRule="auto"/>
              <w:ind w:left="171"/>
            </w:pPr>
            <w:r>
              <w:rPr>
                <w:b/>
                <w:bCs/>
                <w:spacing w:val="-4"/>
              </w:rPr>
              <w:t>1.90</w:t>
            </w:r>
          </w:p>
        </w:tc>
        <w:tc>
          <w:tcPr>
            <w:tcW w:w="848" w:type="dxa"/>
            <w:vAlign w:val="top"/>
          </w:tcPr>
          <w:p w14:paraId="2606FE8A">
            <w:pPr>
              <w:pStyle w:val="6"/>
              <w:spacing w:before="90" w:line="199" w:lineRule="auto"/>
              <w:ind w:left="239"/>
            </w:pPr>
            <w:r>
              <w:rPr>
                <w:spacing w:val="-2"/>
              </w:rPr>
              <w:t>0.70</w:t>
            </w:r>
          </w:p>
        </w:tc>
        <w:tc>
          <w:tcPr>
            <w:tcW w:w="706" w:type="dxa"/>
            <w:vAlign w:val="top"/>
          </w:tcPr>
          <w:p w14:paraId="7B86620A">
            <w:pPr>
              <w:pStyle w:val="6"/>
              <w:spacing w:before="90" w:line="199" w:lineRule="auto"/>
              <w:ind w:left="168"/>
            </w:pPr>
            <w:r>
              <w:rPr>
                <w:spacing w:val="-2"/>
              </w:rPr>
              <w:t>0.67</w:t>
            </w:r>
          </w:p>
        </w:tc>
        <w:tc>
          <w:tcPr>
            <w:tcW w:w="849" w:type="dxa"/>
            <w:vAlign w:val="top"/>
          </w:tcPr>
          <w:p w14:paraId="0711C0F9">
            <w:pPr>
              <w:pStyle w:val="6"/>
              <w:spacing w:before="90" w:line="199" w:lineRule="auto"/>
              <w:ind w:left="242"/>
            </w:pPr>
            <w:r>
              <w:rPr>
                <w:spacing w:val="-2"/>
              </w:rPr>
              <w:t>0.53</w:t>
            </w:r>
          </w:p>
        </w:tc>
        <w:tc>
          <w:tcPr>
            <w:tcW w:w="848" w:type="dxa"/>
            <w:vAlign w:val="top"/>
          </w:tcPr>
          <w:p w14:paraId="41263935">
            <w:pPr>
              <w:pStyle w:val="6"/>
              <w:spacing w:before="90" w:line="199" w:lineRule="auto"/>
              <w:ind w:left="243"/>
            </w:pPr>
            <w:r>
              <w:rPr>
                <w:spacing w:val="-2"/>
              </w:rPr>
              <w:t>0.39</w:t>
            </w:r>
          </w:p>
        </w:tc>
        <w:tc>
          <w:tcPr>
            <w:tcW w:w="848" w:type="dxa"/>
            <w:vAlign w:val="top"/>
          </w:tcPr>
          <w:p w14:paraId="658C04A6">
            <w:pPr>
              <w:pStyle w:val="6"/>
              <w:spacing w:before="90" w:line="199" w:lineRule="auto"/>
              <w:ind w:left="246"/>
            </w:pPr>
            <w:r>
              <w:rPr>
                <w:spacing w:val="-2"/>
              </w:rPr>
              <w:t>0.08</w:t>
            </w:r>
          </w:p>
        </w:tc>
        <w:tc>
          <w:tcPr>
            <w:tcW w:w="851" w:type="dxa"/>
            <w:vAlign w:val="top"/>
          </w:tcPr>
          <w:p w14:paraId="6CF34FA8">
            <w:pPr>
              <w:pStyle w:val="6"/>
              <w:spacing w:before="181" w:line="100" w:lineRule="exact"/>
              <w:ind w:left="363"/>
            </w:pPr>
            <w:r>
              <w:rPr>
                <w:spacing w:val="-3"/>
                <w:position w:val="-6"/>
              </w:rPr>
              <w:t>--</w:t>
            </w:r>
          </w:p>
        </w:tc>
        <w:tc>
          <w:tcPr>
            <w:tcW w:w="1979" w:type="dxa"/>
            <w:vAlign w:val="top"/>
          </w:tcPr>
          <w:p w14:paraId="1A50330A">
            <w:pPr>
              <w:pStyle w:val="6"/>
              <w:spacing w:before="181" w:line="100" w:lineRule="exact"/>
              <w:ind w:left="932"/>
            </w:pPr>
            <w:r>
              <w:rPr>
                <w:spacing w:val="-3"/>
                <w:position w:val="-6"/>
              </w:rPr>
              <w:t>--</w:t>
            </w:r>
          </w:p>
        </w:tc>
        <w:tc>
          <w:tcPr>
            <w:tcW w:w="1950" w:type="dxa"/>
            <w:tcBorders>
              <w:right w:val="single" w:color="000000" w:sz="12" w:space="0"/>
            </w:tcBorders>
            <w:vAlign w:val="top"/>
          </w:tcPr>
          <w:p w14:paraId="53ED8CFE">
            <w:pPr>
              <w:pStyle w:val="6"/>
              <w:spacing w:before="90" w:line="199" w:lineRule="auto"/>
              <w:ind w:left="799"/>
            </w:pPr>
            <w:r>
              <w:rPr>
                <w:spacing w:val="-2"/>
              </w:rPr>
              <w:t>0.17</w:t>
            </w:r>
          </w:p>
        </w:tc>
      </w:tr>
      <w:tr w14:paraId="002AB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402E760">
            <w:pPr>
              <w:rPr>
                <w:rFonts w:ascii="Arial"/>
                <w:sz w:val="21"/>
              </w:rPr>
            </w:pPr>
          </w:p>
        </w:tc>
        <w:tc>
          <w:tcPr>
            <w:tcW w:w="329" w:type="dxa"/>
            <w:vMerge w:val="continue"/>
            <w:tcBorders>
              <w:top w:val="nil"/>
              <w:bottom w:val="nil"/>
            </w:tcBorders>
            <w:vAlign w:val="top"/>
          </w:tcPr>
          <w:p w14:paraId="33A2D0B5">
            <w:pPr>
              <w:rPr>
                <w:rFonts w:ascii="Arial"/>
                <w:sz w:val="21"/>
              </w:rPr>
            </w:pPr>
          </w:p>
        </w:tc>
        <w:tc>
          <w:tcPr>
            <w:tcW w:w="1316" w:type="dxa"/>
            <w:vAlign w:val="top"/>
          </w:tcPr>
          <w:p w14:paraId="3299771A">
            <w:pPr>
              <w:pStyle w:val="6"/>
              <w:spacing w:before="91" w:line="199" w:lineRule="auto"/>
              <w:ind w:left="220"/>
            </w:pPr>
            <w:r>
              <w:rPr>
                <w:spacing w:val="-1"/>
              </w:rPr>
              <w:t>2019/1/16</w:t>
            </w:r>
          </w:p>
        </w:tc>
        <w:tc>
          <w:tcPr>
            <w:tcW w:w="711" w:type="dxa"/>
            <w:vAlign w:val="top"/>
          </w:tcPr>
          <w:p w14:paraId="1F95065C">
            <w:pPr>
              <w:pStyle w:val="6"/>
              <w:spacing w:before="91" w:line="199" w:lineRule="auto"/>
              <w:ind w:left="167"/>
            </w:pPr>
            <w:r>
              <w:rPr>
                <w:spacing w:val="-2"/>
              </w:rPr>
              <w:t>0.55</w:t>
            </w:r>
          </w:p>
        </w:tc>
        <w:tc>
          <w:tcPr>
            <w:tcW w:w="706" w:type="dxa"/>
            <w:vAlign w:val="top"/>
          </w:tcPr>
          <w:p w14:paraId="54ACE016">
            <w:pPr>
              <w:pStyle w:val="6"/>
              <w:spacing w:before="96" w:line="194" w:lineRule="auto"/>
              <w:ind w:left="171"/>
            </w:pPr>
            <w:r>
              <w:rPr>
                <w:b/>
                <w:bCs/>
                <w:spacing w:val="-4"/>
              </w:rPr>
              <w:t>1.45</w:t>
            </w:r>
          </w:p>
        </w:tc>
        <w:tc>
          <w:tcPr>
            <w:tcW w:w="848" w:type="dxa"/>
            <w:vAlign w:val="top"/>
          </w:tcPr>
          <w:p w14:paraId="6C7F90B3">
            <w:pPr>
              <w:pStyle w:val="6"/>
              <w:spacing w:before="91" w:line="199" w:lineRule="auto"/>
              <w:ind w:left="239"/>
            </w:pPr>
            <w:r>
              <w:rPr>
                <w:spacing w:val="-2"/>
              </w:rPr>
              <w:t>0.73</w:t>
            </w:r>
          </w:p>
        </w:tc>
        <w:tc>
          <w:tcPr>
            <w:tcW w:w="706" w:type="dxa"/>
            <w:vAlign w:val="top"/>
          </w:tcPr>
          <w:p w14:paraId="14762854">
            <w:pPr>
              <w:pStyle w:val="6"/>
              <w:spacing w:before="91" w:line="199" w:lineRule="auto"/>
              <w:ind w:left="168"/>
            </w:pPr>
            <w:r>
              <w:rPr>
                <w:spacing w:val="-2"/>
              </w:rPr>
              <w:t>0.60</w:t>
            </w:r>
          </w:p>
        </w:tc>
        <w:tc>
          <w:tcPr>
            <w:tcW w:w="849" w:type="dxa"/>
            <w:vAlign w:val="top"/>
          </w:tcPr>
          <w:p w14:paraId="08BF1411">
            <w:pPr>
              <w:pStyle w:val="6"/>
              <w:spacing w:before="91" w:line="199" w:lineRule="auto"/>
              <w:ind w:left="242"/>
            </w:pPr>
            <w:r>
              <w:rPr>
                <w:spacing w:val="-2"/>
              </w:rPr>
              <w:t>0.43</w:t>
            </w:r>
          </w:p>
        </w:tc>
        <w:tc>
          <w:tcPr>
            <w:tcW w:w="848" w:type="dxa"/>
            <w:vAlign w:val="top"/>
          </w:tcPr>
          <w:p w14:paraId="73C82597">
            <w:pPr>
              <w:pStyle w:val="6"/>
              <w:spacing w:before="91" w:line="199" w:lineRule="auto"/>
              <w:ind w:left="243"/>
            </w:pPr>
            <w:r>
              <w:rPr>
                <w:spacing w:val="-2"/>
              </w:rPr>
              <w:t>0.37</w:t>
            </w:r>
          </w:p>
        </w:tc>
        <w:tc>
          <w:tcPr>
            <w:tcW w:w="848" w:type="dxa"/>
            <w:vAlign w:val="top"/>
          </w:tcPr>
          <w:p w14:paraId="308CDDA1">
            <w:pPr>
              <w:pStyle w:val="6"/>
              <w:spacing w:before="91" w:line="199" w:lineRule="auto"/>
              <w:ind w:left="246"/>
            </w:pPr>
            <w:r>
              <w:rPr>
                <w:spacing w:val="-2"/>
              </w:rPr>
              <w:t>0.08</w:t>
            </w:r>
          </w:p>
        </w:tc>
        <w:tc>
          <w:tcPr>
            <w:tcW w:w="851" w:type="dxa"/>
            <w:vAlign w:val="top"/>
          </w:tcPr>
          <w:p w14:paraId="285059C0">
            <w:pPr>
              <w:pStyle w:val="6"/>
              <w:spacing w:before="182" w:line="100" w:lineRule="exact"/>
              <w:ind w:left="363"/>
            </w:pPr>
            <w:r>
              <w:rPr>
                <w:spacing w:val="-3"/>
                <w:position w:val="-6"/>
              </w:rPr>
              <w:t>--</w:t>
            </w:r>
          </w:p>
        </w:tc>
        <w:tc>
          <w:tcPr>
            <w:tcW w:w="1979" w:type="dxa"/>
            <w:vAlign w:val="top"/>
          </w:tcPr>
          <w:p w14:paraId="7EF9E694">
            <w:pPr>
              <w:pStyle w:val="6"/>
              <w:spacing w:before="182" w:line="100" w:lineRule="exact"/>
              <w:ind w:left="932"/>
            </w:pPr>
            <w:r>
              <w:rPr>
                <w:spacing w:val="-3"/>
                <w:position w:val="-6"/>
              </w:rPr>
              <w:t>--</w:t>
            </w:r>
          </w:p>
        </w:tc>
        <w:tc>
          <w:tcPr>
            <w:tcW w:w="1950" w:type="dxa"/>
            <w:tcBorders>
              <w:right w:val="single" w:color="000000" w:sz="12" w:space="0"/>
            </w:tcBorders>
            <w:vAlign w:val="top"/>
          </w:tcPr>
          <w:p w14:paraId="4D2180E7">
            <w:pPr>
              <w:pStyle w:val="6"/>
              <w:spacing w:before="91" w:line="199" w:lineRule="auto"/>
              <w:ind w:left="799"/>
            </w:pPr>
            <w:r>
              <w:rPr>
                <w:spacing w:val="-2"/>
              </w:rPr>
              <w:t>0.17</w:t>
            </w:r>
          </w:p>
        </w:tc>
      </w:tr>
      <w:tr w14:paraId="3190C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144EA0E">
            <w:pPr>
              <w:rPr>
                <w:rFonts w:ascii="Arial"/>
                <w:sz w:val="21"/>
              </w:rPr>
            </w:pPr>
          </w:p>
        </w:tc>
        <w:tc>
          <w:tcPr>
            <w:tcW w:w="329" w:type="dxa"/>
            <w:vMerge w:val="continue"/>
            <w:tcBorders>
              <w:top w:val="nil"/>
            </w:tcBorders>
            <w:vAlign w:val="top"/>
          </w:tcPr>
          <w:p w14:paraId="303A9A36">
            <w:pPr>
              <w:rPr>
                <w:rFonts w:ascii="Arial"/>
                <w:sz w:val="21"/>
              </w:rPr>
            </w:pPr>
          </w:p>
        </w:tc>
        <w:tc>
          <w:tcPr>
            <w:tcW w:w="1316" w:type="dxa"/>
            <w:vAlign w:val="top"/>
          </w:tcPr>
          <w:p w14:paraId="1AC83ABC">
            <w:pPr>
              <w:pStyle w:val="6"/>
              <w:spacing w:before="92" w:line="197" w:lineRule="auto"/>
              <w:ind w:left="220"/>
            </w:pPr>
            <w:r>
              <w:rPr>
                <w:spacing w:val="-1"/>
              </w:rPr>
              <w:t>2019/1/17</w:t>
            </w:r>
          </w:p>
        </w:tc>
        <w:tc>
          <w:tcPr>
            <w:tcW w:w="711" w:type="dxa"/>
            <w:vAlign w:val="top"/>
          </w:tcPr>
          <w:p w14:paraId="6BBF3E05">
            <w:pPr>
              <w:pStyle w:val="6"/>
              <w:spacing w:before="92" w:line="197" w:lineRule="auto"/>
              <w:ind w:left="167"/>
            </w:pPr>
            <w:r>
              <w:rPr>
                <w:spacing w:val="-2"/>
              </w:rPr>
              <w:t>0.66</w:t>
            </w:r>
          </w:p>
        </w:tc>
        <w:tc>
          <w:tcPr>
            <w:tcW w:w="706" w:type="dxa"/>
            <w:vAlign w:val="top"/>
          </w:tcPr>
          <w:p w14:paraId="0A9F1F5F">
            <w:pPr>
              <w:pStyle w:val="6"/>
              <w:spacing w:before="97" w:line="192" w:lineRule="auto"/>
              <w:ind w:left="171"/>
            </w:pPr>
            <w:r>
              <w:rPr>
                <w:b/>
                <w:bCs/>
                <w:spacing w:val="-4"/>
              </w:rPr>
              <w:t>1.15</w:t>
            </w:r>
          </w:p>
        </w:tc>
        <w:tc>
          <w:tcPr>
            <w:tcW w:w="848" w:type="dxa"/>
            <w:vAlign w:val="top"/>
          </w:tcPr>
          <w:p w14:paraId="222A5EDB">
            <w:pPr>
              <w:pStyle w:val="6"/>
              <w:spacing w:before="92" w:line="197" w:lineRule="auto"/>
              <w:ind w:left="239"/>
            </w:pPr>
            <w:r>
              <w:rPr>
                <w:spacing w:val="-2"/>
              </w:rPr>
              <w:t>0.63</w:t>
            </w:r>
          </w:p>
        </w:tc>
        <w:tc>
          <w:tcPr>
            <w:tcW w:w="706" w:type="dxa"/>
            <w:vAlign w:val="top"/>
          </w:tcPr>
          <w:p w14:paraId="772E9256">
            <w:pPr>
              <w:pStyle w:val="6"/>
              <w:spacing w:before="92" w:line="197" w:lineRule="auto"/>
              <w:ind w:left="168"/>
            </w:pPr>
            <w:r>
              <w:rPr>
                <w:spacing w:val="-2"/>
              </w:rPr>
              <w:t>0.73</w:t>
            </w:r>
          </w:p>
        </w:tc>
        <w:tc>
          <w:tcPr>
            <w:tcW w:w="849" w:type="dxa"/>
            <w:vAlign w:val="top"/>
          </w:tcPr>
          <w:p w14:paraId="030CFF48">
            <w:pPr>
              <w:pStyle w:val="6"/>
              <w:spacing w:before="92" w:line="197" w:lineRule="auto"/>
              <w:ind w:left="242"/>
            </w:pPr>
            <w:r>
              <w:rPr>
                <w:spacing w:val="-2"/>
              </w:rPr>
              <w:t>0.57</w:t>
            </w:r>
          </w:p>
        </w:tc>
        <w:tc>
          <w:tcPr>
            <w:tcW w:w="848" w:type="dxa"/>
            <w:vAlign w:val="top"/>
          </w:tcPr>
          <w:p w14:paraId="2C809363">
            <w:pPr>
              <w:pStyle w:val="6"/>
              <w:spacing w:before="92" w:line="197" w:lineRule="auto"/>
              <w:ind w:left="243"/>
            </w:pPr>
            <w:r>
              <w:rPr>
                <w:spacing w:val="-2"/>
              </w:rPr>
              <w:t>0.41</w:t>
            </w:r>
          </w:p>
        </w:tc>
        <w:tc>
          <w:tcPr>
            <w:tcW w:w="848" w:type="dxa"/>
            <w:vAlign w:val="top"/>
          </w:tcPr>
          <w:p w14:paraId="7042BCAF">
            <w:pPr>
              <w:pStyle w:val="6"/>
              <w:spacing w:before="92" w:line="197" w:lineRule="auto"/>
              <w:ind w:left="246"/>
            </w:pPr>
            <w:r>
              <w:rPr>
                <w:spacing w:val="-2"/>
              </w:rPr>
              <w:t>0.04</w:t>
            </w:r>
          </w:p>
        </w:tc>
        <w:tc>
          <w:tcPr>
            <w:tcW w:w="851" w:type="dxa"/>
            <w:vAlign w:val="top"/>
          </w:tcPr>
          <w:p w14:paraId="16C88B02">
            <w:pPr>
              <w:pStyle w:val="6"/>
              <w:spacing w:before="183" w:line="101" w:lineRule="exact"/>
              <w:ind w:left="363"/>
            </w:pPr>
            <w:r>
              <w:rPr>
                <w:spacing w:val="-3"/>
                <w:position w:val="-6"/>
              </w:rPr>
              <w:t>--</w:t>
            </w:r>
          </w:p>
        </w:tc>
        <w:tc>
          <w:tcPr>
            <w:tcW w:w="1979" w:type="dxa"/>
            <w:vAlign w:val="top"/>
          </w:tcPr>
          <w:p w14:paraId="6266789C">
            <w:pPr>
              <w:pStyle w:val="6"/>
              <w:spacing w:before="183" w:line="101" w:lineRule="exact"/>
              <w:ind w:left="932"/>
            </w:pPr>
            <w:r>
              <w:rPr>
                <w:spacing w:val="-3"/>
                <w:position w:val="-6"/>
              </w:rPr>
              <w:t>--</w:t>
            </w:r>
          </w:p>
        </w:tc>
        <w:tc>
          <w:tcPr>
            <w:tcW w:w="1950" w:type="dxa"/>
            <w:tcBorders>
              <w:right w:val="single" w:color="000000" w:sz="12" w:space="0"/>
            </w:tcBorders>
            <w:vAlign w:val="top"/>
          </w:tcPr>
          <w:p w14:paraId="573F3AE1">
            <w:pPr>
              <w:pStyle w:val="6"/>
              <w:spacing w:before="92" w:line="197" w:lineRule="auto"/>
              <w:ind w:left="799"/>
            </w:pPr>
            <w:r>
              <w:rPr>
                <w:spacing w:val="-2"/>
              </w:rPr>
              <w:t>0.22</w:t>
            </w:r>
          </w:p>
        </w:tc>
      </w:tr>
      <w:tr w14:paraId="2DFCE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5F8F2985">
            <w:pPr>
              <w:rPr>
                <w:rFonts w:ascii="Arial"/>
                <w:sz w:val="21"/>
              </w:rPr>
            </w:pPr>
          </w:p>
        </w:tc>
        <w:tc>
          <w:tcPr>
            <w:tcW w:w="329" w:type="dxa"/>
            <w:vMerge w:val="restart"/>
            <w:tcBorders>
              <w:bottom w:val="nil"/>
            </w:tcBorders>
            <w:vAlign w:val="top"/>
          </w:tcPr>
          <w:p w14:paraId="475E9D82">
            <w:pPr>
              <w:pStyle w:val="6"/>
              <w:spacing w:before="134" w:line="222" w:lineRule="auto"/>
              <w:ind w:left="97"/>
            </w:pPr>
            <w:r>
              <w:t>2</w:t>
            </w:r>
          </w:p>
          <w:p w14:paraId="5EDAA8C6">
            <w:pPr>
              <w:spacing w:line="219" w:lineRule="auto"/>
              <w:ind w:left="49"/>
              <w:rPr>
                <w:rFonts w:ascii="宋体" w:hAnsi="宋体" w:eastAsia="宋体" w:cs="宋体"/>
                <w:sz w:val="21"/>
                <w:szCs w:val="21"/>
              </w:rPr>
            </w:pPr>
            <w:r>
              <w:rPr>
                <w:rFonts w:ascii="宋体" w:hAnsi="宋体" w:eastAsia="宋体" w:cs="宋体"/>
                <w:sz w:val="21"/>
                <w:szCs w:val="21"/>
              </w:rPr>
              <w:t>季</w:t>
            </w:r>
          </w:p>
          <w:p w14:paraId="1C6E46D7">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691F3D71">
            <w:pPr>
              <w:pStyle w:val="6"/>
              <w:spacing w:before="93" w:line="197" w:lineRule="auto"/>
              <w:ind w:left="220"/>
            </w:pPr>
            <w:r>
              <w:rPr>
                <w:spacing w:val="-1"/>
              </w:rPr>
              <w:t>2019/5/10</w:t>
            </w:r>
          </w:p>
        </w:tc>
        <w:tc>
          <w:tcPr>
            <w:tcW w:w="711" w:type="dxa"/>
            <w:vAlign w:val="top"/>
          </w:tcPr>
          <w:p w14:paraId="3E73BF35">
            <w:pPr>
              <w:pStyle w:val="6"/>
              <w:spacing w:before="93" w:line="197" w:lineRule="auto"/>
              <w:ind w:left="167"/>
            </w:pPr>
            <w:r>
              <w:rPr>
                <w:spacing w:val="-2"/>
              </w:rPr>
              <w:t>0.60</w:t>
            </w:r>
          </w:p>
        </w:tc>
        <w:tc>
          <w:tcPr>
            <w:tcW w:w="706" w:type="dxa"/>
            <w:vAlign w:val="top"/>
          </w:tcPr>
          <w:p w14:paraId="6305C2E6">
            <w:pPr>
              <w:pStyle w:val="6"/>
              <w:spacing w:before="98" w:line="192" w:lineRule="auto"/>
              <w:ind w:left="171"/>
            </w:pPr>
            <w:r>
              <w:rPr>
                <w:b/>
                <w:bCs/>
                <w:spacing w:val="-4"/>
              </w:rPr>
              <w:t>1.75</w:t>
            </w:r>
          </w:p>
        </w:tc>
        <w:tc>
          <w:tcPr>
            <w:tcW w:w="848" w:type="dxa"/>
            <w:vAlign w:val="top"/>
          </w:tcPr>
          <w:p w14:paraId="540FA955">
            <w:pPr>
              <w:pStyle w:val="6"/>
              <w:spacing w:before="93" w:line="197" w:lineRule="auto"/>
              <w:ind w:left="239"/>
            </w:pPr>
            <w:r>
              <w:rPr>
                <w:spacing w:val="-2"/>
              </w:rPr>
              <w:t>0.53</w:t>
            </w:r>
          </w:p>
        </w:tc>
        <w:tc>
          <w:tcPr>
            <w:tcW w:w="706" w:type="dxa"/>
            <w:vAlign w:val="top"/>
          </w:tcPr>
          <w:p w14:paraId="1F204D6E">
            <w:pPr>
              <w:pStyle w:val="6"/>
              <w:spacing w:before="93" w:line="197" w:lineRule="auto"/>
              <w:ind w:left="168"/>
            </w:pPr>
            <w:r>
              <w:rPr>
                <w:spacing w:val="-2"/>
              </w:rPr>
              <w:t>0.73</w:t>
            </w:r>
          </w:p>
        </w:tc>
        <w:tc>
          <w:tcPr>
            <w:tcW w:w="849" w:type="dxa"/>
            <w:vAlign w:val="top"/>
          </w:tcPr>
          <w:p w14:paraId="560DE77D">
            <w:pPr>
              <w:pStyle w:val="6"/>
              <w:spacing w:before="93" w:line="197" w:lineRule="auto"/>
              <w:ind w:left="242"/>
            </w:pPr>
            <w:r>
              <w:rPr>
                <w:spacing w:val="-2"/>
              </w:rPr>
              <w:t>0.70</w:t>
            </w:r>
          </w:p>
        </w:tc>
        <w:tc>
          <w:tcPr>
            <w:tcW w:w="848" w:type="dxa"/>
            <w:vAlign w:val="top"/>
          </w:tcPr>
          <w:p w14:paraId="42940B45">
            <w:pPr>
              <w:pStyle w:val="6"/>
              <w:spacing w:before="93" w:line="197" w:lineRule="auto"/>
              <w:ind w:left="243"/>
            </w:pPr>
            <w:r>
              <w:rPr>
                <w:spacing w:val="-2"/>
              </w:rPr>
              <w:t>0.13</w:t>
            </w:r>
          </w:p>
        </w:tc>
        <w:tc>
          <w:tcPr>
            <w:tcW w:w="848" w:type="dxa"/>
            <w:vAlign w:val="top"/>
          </w:tcPr>
          <w:p w14:paraId="7EC6D661">
            <w:pPr>
              <w:pStyle w:val="6"/>
              <w:spacing w:before="93" w:line="197" w:lineRule="auto"/>
              <w:ind w:left="246"/>
            </w:pPr>
            <w:r>
              <w:rPr>
                <w:spacing w:val="-2"/>
              </w:rPr>
              <w:t>0.12</w:t>
            </w:r>
          </w:p>
        </w:tc>
        <w:tc>
          <w:tcPr>
            <w:tcW w:w="851" w:type="dxa"/>
            <w:vAlign w:val="top"/>
          </w:tcPr>
          <w:p w14:paraId="159DE97A">
            <w:pPr>
              <w:pStyle w:val="6"/>
              <w:spacing w:before="93" w:line="197" w:lineRule="auto"/>
              <w:ind w:left="249"/>
            </w:pPr>
            <w:r>
              <w:rPr>
                <w:spacing w:val="-2"/>
              </w:rPr>
              <w:t>0.20</w:t>
            </w:r>
          </w:p>
        </w:tc>
        <w:tc>
          <w:tcPr>
            <w:tcW w:w="1979" w:type="dxa"/>
            <w:vAlign w:val="top"/>
          </w:tcPr>
          <w:p w14:paraId="69606242">
            <w:pPr>
              <w:pStyle w:val="6"/>
              <w:spacing w:before="93" w:line="197" w:lineRule="auto"/>
              <w:ind w:left="816"/>
            </w:pPr>
            <w:r>
              <w:rPr>
                <w:spacing w:val="-2"/>
              </w:rPr>
              <w:t>0.35</w:t>
            </w:r>
          </w:p>
        </w:tc>
        <w:tc>
          <w:tcPr>
            <w:tcW w:w="1950" w:type="dxa"/>
            <w:tcBorders>
              <w:right w:val="single" w:color="000000" w:sz="12" w:space="0"/>
            </w:tcBorders>
            <w:vAlign w:val="top"/>
          </w:tcPr>
          <w:p w14:paraId="16036576">
            <w:pPr>
              <w:pStyle w:val="6"/>
              <w:spacing w:before="93" w:line="197" w:lineRule="auto"/>
              <w:ind w:left="799"/>
            </w:pPr>
            <w:r>
              <w:rPr>
                <w:spacing w:val="-2"/>
              </w:rPr>
              <w:t>0.06</w:t>
            </w:r>
          </w:p>
        </w:tc>
      </w:tr>
      <w:tr w14:paraId="26687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FF709D8">
            <w:pPr>
              <w:rPr>
                <w:rFonts w:ascii="Arial"/>
                <w:sz w:val="21"/>
              </w:rPr>
            </w:pPr>
          </w:p>
        </w:tc>
        <w:tc>
          <w:tcPr>
            <w:tcW w:w="329" w:type="dxa"/>
            <w:vMerge w:val="continue"/>
            <w:tcBorders>
              <w:top w:val="nil"/>
              <w:bottom w:val="nil"/>
            </w:tcBorders>
            <w:vAlign w:val="top"/>
          </w:tcPr>
          <w:p w14:paraId="10C815BD">
            <w:pPr>
              <w:rPr>
                <w:rFonts w:ascii="Arial"/>
                <w:sz w:val="21"/>
              </w:rPr>
            </w:pPr>
          </w:p>
        </w:tc>
        <w:tc>
          <w:tcPr>
            <w:tcW w:w="1316" w:type="dxa"/>
            <w:vAlign w:val="top"/>
          </w:tcPr>
          <w:p w14:paraId="02B1D37B">
            <w:pPr>
              <w:pStyle w:val="6"/>
              <w:spacing w:before="93" w:line="196" w:lineRule="auto"/>
              <w:ind w:left="220"/>
            </w:pPr>
            <w:r>
              <w:rPr>
                <w:spacing w:val="-1"/>
              </w:rPr>
              <w:t>2019/5/11</w:t>
            </w:r>
          </w:p>
        </w:tc>
        <w:tc>
          <w:tcPr>
            <w:tcW w:w="711" w:type="dxa"/>
            <w:vAlign w:val="top"/>
          </w:tcPr>
          <w:p w14:paraId="0617BE0A">
            <w:pPr>
              <w:pStyle w:val="6"/>
              <w:spacing w:before="93" w:line="196" w:lineRule="auto"/>
              <w:ind w:left="167"/>
            </w:pPr>
            <w:r>
              <w:rPr>
                <w:spacing w:val="-2"/>
              </w:rPr>
              <w:t>0.59</w:t>
            </w:r>
          </w:p>
        </w:tc>
        <w:tc>
          <w:tcPr>
            <w:tcW w:w="706" w:type="dxa"/>
            <w:vAlign w:val="top"/>
          </w:tcPr>
          <w:p w14:paraId="2DF2E59F">
            <w:pPr>
              <w:pStyle w:val="6"/>
              <w:spacing w:before="98" w:line="191" w:lineRule="auto"/>
              <w:ind w:left="171"/>
            </w:pPr>
            <w:r>
              <w:rPr>
                <w:b/>
                <w:bCs/>
                <w:spacing w:val="-4"/>
              </w:rPr>
              <w:t>1.60</w:t>
            </w:r>
          </w:p>
        </w:tc>
        <w:tc>
          <w:tcPr>
            <w:tcW w:w="848" w:type="dxa"/>
            <w:vAlign w:val="top"/>
          </w:tcPr>
          <w:p w14:paraId="08D12942">
            <w:pPr>
              <w:pStyle w:val="6"/>
              <w:spacing w:before="93" w:line="196" w:lineRule="auto"/>
              <w:ind w:left="239"/>
            </w:pPr>
            <w:r>
              <w:rPr>
                <w:spacing w:val="-2"/>
              </w:rPr>
              <w:t>0.73</w:t>
            </w:r>
          </w:p>
        </w:tc>
        <w:tc>
          <w:tcPr>
            <w:tcW w:w="706" w:type="dxa"/>
            <w:vAlign w:val="top"/>
          </w:tcPr>
          <w:p w14:paraId="07AD8F15">
            <w:pPr>
              <w:pStyle w:val="6"/>
              <w:spacing w:before="93" w:line="196" w:lineRule="auto"/>
              <w:ind w:left="168"/>
            </w:pPr>
            <w:r>
              <w:rPr>
                <w:spacing w:val="-2"/>
              </w:rPr>
              <w:t>0.87</w:t>
            </w:r>
          </w:p>
        </w:tc>
        <w:tc>
          <w:tcPr>
            <w:tcW w:w="849" w:type="dxa"/>
            <w:vAlign w:val="top"/>
          </w:tcPr>
          <w:p w14:paraId="6A05BEC4">
            <w:pPr>
              <w:pStyle w:val="6"/>
              <w:spacing w:before="93" w:line="196" w:lineRule="auto"/>
              <w:ind w:left="242"/>
            </w:pPr>
            <w:r>
              <w:rPr>
                <w:spacing w:val="-2"/>
              </w:rPr>
              <w:t>0.77</w:t>
            </w:r>
          </w:p>
        </w:tc>
        <w:tc>
          <w:tcPr>
            <w:tcW w:w="848" w:type="dxa"/>
            <w:vAlign w:val="top"/>
          </w:tcPr>
          <w:p w14:paraId="5C21E3CB">
            <w:pPr>
              <w:pStyle w:val="6"/>
              <w:spacing w:before="93" w:line="196" w:lineRule="auto"/>
              <w:ind w:left="243"/>
            </w:pPr>
            <w:r>
              <w:rPr>
                <w:spacing w:val="-2"/>
              </w:rPr>
              <w:t>0.14</w:t>
            </w:r>
          </w:p>
        </w:tc>
        <w:tc>
          <w:tcPr>
            <w:tcW w:w="848" w:type="dxa"/>
            <w:vAlign w:val="top"/>
          </w:tcPr>
          <w:p w14:paraId="60014FB7">
            <w:pPr>
              <w:pStyle w:val="6"/>
              <w:spacing w:before="93" w:line="196" w:lineRule="auto"/>
              <w:ind w:left="246"/>
            </w:pPr>
            <w:r>
              <w:rPr>
                <w:spacing w:val="-2"/>
              </w:rPr>
              <w:t>0.08</w:t>
            </w:r>
          </w:p>
        </w:tc>
        <w:tc>
          <w:tcPr>
            <w:tcW w:w="851" w:type="dxa"/>
            <w:vAlign w:val="top"/>
          </w:tcPr>
          <w:p w14:paraId="4ED24BDA">
            <w:pPr>
              <w:pStyle w:val="6"/>
              <w:spacing w:before="93" w:line="196" w:lineRule="auto"/>
              <w:ind w:left="249"/>
            </w:pPr>
            <w:r>
              <w:rPr>
                <w:spacing w:val="-2"/>
              </w:rPr>
              <w:t>0.40</w:t>
            </w:r>
          </w:p>
        </w:tc>
        <w:tc>
          <w:tcPr>
            <w:tcW w:w="1979" w:type="dxa"/>
            <w:vAlign w:val="top"/>
          </w:tcPr>
          <w:p w14:paraId="0A87F987">
            <w:pPr>
              <w:pStyle w:val="6"/>
              <w:spacing w:before="93" w:line="196" w:lineRule="auto"/>
              <w:ind w:left="816"/>
            </w:pPr>
            <w:r>
              <w:rPr>
                <w:spacing w:val="-2"/>
              </w:rPr>
              <w:t>0.30</w:t>
            </w:r>
          </w:p>
        </w:tc>
        <w:tc>
          <w:tcPr>
            <w:tcW w:w="1950" w:type="dxa"/>
            <w:tcBorders>
              <w:right w:val="single" w:color="000000" w:sz="12" w:space="0"/>
            </w:tcBorders>
            <w:vAlign w:val="top"/>
          </w:tcPr>
          <w:p w14:paraId="429C50DB">
            <w:pPr>
              <w:pStyle w:val="6"/>
              <w:spacing w:before="93" w:line="196" w:lineRule="auto"/>
              <w:ind w:left="799"/>
            </w:pPr>
            <w:r>
              <w:rPr>
                <w:spacing w:val="-2"/>
              </w:rPr>
              <w:t>0.07</w:t>
            </w:r>
          </w:p>
        </w:tc>
      </w:tr>
      <w:tr w14:paraId="05677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0CC10FE">
            <w:pPr>
              <w:rPr>
                <w:rFonts w:ascii="Arial"/>
                <w:sz w:val="21"/>
              </w:rPr>
            </w:pPr>
          </w:p>
        </w:tc>
        <w:tc>
          <w:tcPr>
            <w:tcW w:w="329" w:type="dxa"/>
            <w:vMerge w:val="continue"/>
            <w:tcBorders>
              <w:top w:val="nil"/>
            </w:tcBorders>
            <w:vAlign w:val="top"/>
          </w:tcPr>
          <w:p w14:paraId="6E577E73">
            <w:pPr>
              <w:rPr>
                <w:rFonts w:ascii="Arial"/>
                <w:sz w:val="21"/>
              </w:rPr>
            </w:pPr>
          </w:p>
        </w:tc>
        <w:tc>
          <w:tcPr>
            <w:tcW w:w="1316" w:type="dxa"/>
            <w:vAlign w:val="top"/>
          </w:tcPr>
          <w:p w14:paraId="1B89FA02">
            <w:pPr>
              <w:pStyle w:val="6"/>
              <w:spacing w:before="96" w:line="193" w:lineRule="auto"/>
              <w:ind w:left="220"/>
            </w:pPr>
            <w:r>
              <w:rPr>
                <w:spacing w:val="-1"/>
              </w:rPr>
              <w:t>2019/5/12</w:t>
            </w:r>
          </w:p>
        </w:tc>
        <w:tc>
          <w:tcPr>
            <w:tcW w:w="711" w:type="dxa"/>
            <w:vAlign w:val="top"/>
          </w:tcPr>
          <w:p w14:paraId="7C9C2F50">
            <w:pPr>
              <w:pStyle w:val="6"/>
              <w:spacing w:before="96" w:line="193" w:lineRule="auto"/>
              <w:ind w:left="167"/>
            </w:pPr>
            <w:r>
              <w:rPr>
                <w:spacing w:val="-2"/>
              </w:rPr>
              <w:t>0.56</w:t>
            </w:r>
          </w:p>
        </w:tc>
        <w:tc>
          <w:tcPr>
            <w:tcW w:w="706" w:type="dxa"/>
            <w:vAlign w:val="top"/>
          </w:tcPr>
          <w:p w14:paraId="5436D3C5">
            <w:pPr>
              <w:pStyle w:val="6"/>
              <w:spacing w:before="100" w:line="189" w:lineRule="auto"/>
              <w:ind w:left="162"/>
            </w:pPr>
            <w:r>
              <w:rPr>
                <w:b/>
                <w:bCs/>
                <w:spacing w:val="-2"/>
              </w:rPr>
              <w:t>2.05</w:t>
            </w:r>
          </w:p>
        </w:tc>
        <w:tc>
          <w:tcPr>
            <w:tcW w:w="848" w:type="dxa"/>
            <w:vAlign w:val="top"/>
          </w:tcPr>
          <w:p w14:paraId="36654536">
            <w:pPr>
              <w:pStyle w:val="6"/>
              <w:spacing w:before="96" w:line="193" w:lineRule="auto"/>
              <w:ind w:left="239"/>
            </w:pPr>
            <w:r>
              <w:rPr>
                <w:spacing w:val="-2"/>
              </w:rPr>
              <w:t>0.83</w:t>
            </w:r>
          </w:p>
        </w:tc>
        <w:tc>
          <w:tcPr>
            <w:tcW w:w="706" w:type="dxa"/>
            <w:vAlign w:val="top"/>
          </w:tcPr>
          <w:p w14:paraId="57F66155">
            <w:pPr>
              <w:pStyle w:val="6"/>
              <w:spacing w:before="96" w:line="193" w:lineRule="auto"/>
              <w:ind w:left="168"/>
            </w:pPr>
            <w:r>
              <w:rPr>
                <w:spacing w:val="-2"/>
              </w:rPr>
              <w:t>0.67</w:t>
            </w:r>
          </w:p>
        </w:tc>
        <w:tc>
          <w:tcPr>
            <w:tcW w:w="849" w:type="dxa"/>
            <w:vAlign w:val="top"/>
          </w:tcPr>
          <w:p w14:paraId="30B59C9D">
            <w:pPr>
              <w:pStyle w:val="6"/>
              <w:spacing w:before="96" w:line="193" w:lineRule="auto"/>
              <w:ind w:left="242"/>
            </w:pPr>
            <w:r>
              <w:rPr>
                <w:spacing w:val="-2"/>
              </w:rPr>
              <w:t>0.67</w:t>
            </w:r>
          </w:p>
        </w:tc>
        <w:tc>
          <w:tcPr>
            <w:tcW w:w="848" w:type="dxa"/>
            <w:vAlign w:val="top"/>
          </w:tcPr>
          <w:p w14:paraId="47E0EA12">
            <w:pPr>
              <w:pStyle w:val="6"/>
              <w:spacing w:before="96" w:line="193" w:lineRule="auto"/>
              <w:ind w:left="243"/>
            </w:pPr>
            <w:r>
              <w:rPr>
                <w:spacing w:val="-2"/>
              </w:rPr>
              <w:t>0.11</w:t>
            </w:r>
          </w:p>
        </w:tc>
        <w:tc>
          <w:tcPr>
            <w:tcW w:w="848" w:type="dxa"/>
            <w:vAlign w:val="top"/>
          </w:tcPr>
          <w:p w14:paraId="71EF0D06">
            <w:pPr>
              <w:pStyle w:val="6"/>
              <w:spacing w:before="96" w:line="193" w:lineRule="auto"/>
              <w:ind w:left="246"/>
            </w:pPr>
            <w:r>
              <w:rPr>
                <w:spacing w:val="-2"/>
              </w:rPr>
              <w:t>0.12</w:t>
            </w:r>
          </w:p>
        </w:tc>
        <w:tc>
          <w:tcPr>
            <w:tcW w:w="851" w:type="dxa"/>
            <w:vAlign w:val="top"/>
          </w:tcPr>
          <w:p w14:paraId="1B676A5D">
            <w:pPr>
              <w:pStyle w:val="6"/>
              <w:spacing w:before="187" w:line="100" w:lineRule="exact"/>
              <w:ind w:left="363"/>
            </w:pPr>
            <w:r>
              <w:rPr>
                <w:spacing w:val="-3"/>
                <w:position w:val="-6"/>
              </w:rPr>
              <w:t>--</w:t>
            </w:r>
          </w:p>
        </w:tc>
        <w:tc>
          <w:tcPr>
            <w:tcW w:w="1979" w:type="dxa"/>
            <w:vAlign w:val="top"/>
          </w:tcPr>
          <w:p w14:paraId="61E5216C">
            <w:pPr>
              <w:pStyle w:val="6"/>
              <w:spacing w:before="96" w:line="193" w:lineRule="auto"/>
              <w:ind w:left="816"/>
            </w:pPr>
            <w:r>
              <w:rPr>
                <w:spacing w:val="-2"/>
              </w:rPr>
              <w:t>0.35</w:t>
            </w:r>
          </w:p>
        </w:tc>
        <w:tc>
          <w:tcPr>
            <w:tcW w:w="1950" w:type="dxa"/>
            <w:tcBorders>
              <w:right w:val="single" w:color="000000" w:sz="12" w:space="0"/>
            </w:tcBorders>
            <w:vAlign w:val="top"/>
          </w:tcPr>
          <w:p w14:paraId="3DF48E5D">
            <w:pPr>
              <w:pStyle w:val="6"/>
              <w:spacing w:before="96" w:line="193" w:lineRule="auto"/>
              <w:ind w:left="799"/>
            </w:pPr>
            <w:r>
              <w:rPr>
                <w:spacing w:val="-2"/>
              </w:rPr>
              <w:t>0.06</w:t>
            </w:r>
          </w:p>
        </w:tc>
      </w:tr>
      <w:tr w14:paraId="5E2CB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8628670">
            <w:pPr>
              <w:rPr>
                <w:rFonts w:ascii="Arial"/>
                <w:sz w:val="21"/>
              </w:rPr>
            </w:pPr>
          </w:p>
        </w:tc>
        <w:tc>
          <w:tcPr>
            <w:tcW w:w="329" w:type="dxa"/>
            <w:vMerge w:val="restart"/>
            <w:tcBorders>
              <w:bottom w:val="nil"/>
            </w:tcBorders>
            <w:vAlign w:val="top"/>
          </w:tcPr>
          <w:p w14:paraId="30444B70">
            <w:pPr>
              <w:pStyle w:val="6"/>
              <w:spacing w:before="138" w:line="222" w:lineRule="auto"/>
              <w:ind w:left="102"/>
            </w:pPr>
            <w:r>
              <w:t>3</w:t>
            </w:r>
          </w:p>
          <w:p w14:paraId="5FBBB589">
            <w:pPr>
              <w:spacing w:line="219" w:lineRule="auto"/>
              <w:ind w:left="49"/>
              <w:rPr>
                <w:rFonts w:ascii="宋体" w:hAnsi="宋体" w:eastAsia="宋体" w:cs="宋体"/>
                <w:sz w:val="21"/>
                <w:szCs w:val="21"/>
              </w:rPr>
            </w:pPr>
            <w:r>
              <w:rPr>
                <w:rFonts w:ascii="宋体" w:hAnsi="宋体" w:eastAsia="宋体" w:cs="宋体"/>
                <w:sz w:val="21"/>
                <w:szCs w:val="21"/>
              </w:rPr>
              <w:t>季</w:t>
            </w:r>
          </w:p>
          <w:p w14:paraId="4CD701F6">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70AD354D">
            <w:pPr>
              <w:pStyle w:val="6"/>
              <w:spacing w:before="97" w:line="193" w:lineRule="auto"/>
              <w:ind w:left="220"/>
            </w:pPr>
            <w:r>
              <w:rPr>
                <w:spacing w:val="-1"/>
              </w:rPr>
              <w:t>2019/8/06</w:t>
            </w:r>
          </w:p>
        </w:tc>
        <w:tc>
          <w:tcPr>
            <w:tcW w:w="711" w:type="dxa"/>
            <w:vAlign w:val="top"/>
          </w:tcPr>
          <w:p w14:paraId="5A1A04FB">
            <w:pPr>
              <w:pStyle w:val="6"/>
              <w:spacing w:before="97" w:line="193" w:lineRule="auto"/>
              <w:ind w:left="167"/>
            </w:pPr>
            <w:r>
              <w:rPr>
                <w:spacing w:val="-2"/>
              </w:rPr>
              <w:t>0.59</w:t>
            </w:r>
          </w:p>
        </w:tc>
        <w:tc>
          <w:tcPr>
            <w:tcW w:w="706" w:type="dxa"/>
            <w:vAlign w:val="top"/>
          </w:tcPr>
          <w:p w14:paraId="1DE06C11">
            <w:pPr>
              <w:pStyle w:val="6"/>
              <w:spacing w:before="101" w:line="189" w:lineRule="auto"/>
              <w:ind w:left="171"/>
            </w:pPr>
            <w:r>
              <w:rPr>
                <w:b/>
                <w:bCs/>
                <w:spacing w:val="-4"/>
              </w:rPr>
              <w:t>1.45</w:t>
            </w:r>
          </w:p>
        </w:tc>
        <w:tc>
          <w:tcPr>
            <w:tcW w:w="848" w:type="dxa"/>
            <w:vAlign w:val="top"/>
          </w:tcPr>
          <w:p w14:paraId="63B2C982">
            <w:pPr>
              <w:pStyle w:val="6"/>
              <w:spacing w:before="97" w:line="193" w:lineRule="auto"/>
              <w:ind w:left="239"/>
            </w:pPr>
            <w:r>
              <w:rPr>
                <w:spacing w:val="-2"/>
              </w:rPr>
              <w:t>0.80</w:t>
            </w:r>
          </w:p>
        </w:tc>
        <w:tc>
          <w:tcPr>
            <w:tcW w:w="706" w:type="dxa"/>
            <w:vAlign w:val="top"/>
          </w:tcPr>
          <w:p w14:paraId="2CE85674">
            <w:pPr>
              <w:pStyle w:val="6"/>
              <w:spacing w:before="97" w:line="193" w:lineRule="auto"/>
              <w:ind w:left="168"/>
            </w:pPr>
            <w:r>
              <w:rPr>
                <w:spacing w:val="-2"/>
              </w:rPr>
              <w:t>0.53</w:t>
            </w:r>
          </w:p>
        </w:tc>
        <w:tc>
          <w:tcPr>
            <w:tcW w:w="849" w:type="dxa"/>
            <w:vAlign w:val="top"/>
          </w:tcPr>
          <w:p w14:paraId="57B5B54A">
            <w:pPr>
              <w:pStyle w:val="6"/>
              <w:spacing w:before="97" w:line="193" w:lineRule="auto"/>
              <w:ind w:left="242"/>
            </w:pPr>
            <w:r>
              <w:rPr>
                <w:spacing w:val="-2"/>
              </w:rPr>
              <w:t>0.53</w:t>
            </w:r>
          </w:p>
        </w:tc>
        <w:tc>
          <w:tcPr>
            <w:tcW w:w="848" w:type="dxa"/>
            <w:vAlign w:val="top"/>
          </w:tcPr>
          <w:p w14:paraId="2DEE9721">
            <w:pPr>
              <w:pStyle w:val="6"/>
              <w:spacing w:before="97" w:line="193" w:lineRule="auto"/>
              <w:ind w:left="243"/>
            </w:pPr>
            <w:r>
              <w:rPr>
                <w:spacing w:val="-2"/>
              </w:rPr>
              <w:t>0.63</w:t>
            </w:r>
          </w:p>
        </w:tc>
        <w:tc>
          <w:tcPr>
            <w:tcW w:w="848" w:type="dxa"/>
            <w:vAlign w:val="top"/>
          </w:tcPr>
          <w:p w14:paraId="5A24455D">
            <w:pPr>
              <w:pStyle w:val="6"/>
              <w:spacing w:before="97" w:line="193" w:lineRule="auto"/>
              <w:ind w:left="246"/>
            </w:pPr>
            <w:r>
              <w:rPr>
                <w:spacing w:val="-2"/>
              </w:rPr>
              <w:t>0.16</w:t>
            </w:r>
          </w:p>
        </w:tc>
        <w:tc>
          <w:tcPr>
            <w:tcW w:w="851" w:type="dxa"/>
            <w:vAlign w:val="top"/>
          </w:tcPr>
          <w:p w14:paraId="6503A589">
            <w:pPr>
              <w:pStyle w:val="6"/>
              <w:spacing w:before="97" w:line="193" w:lineRule="auto"/>
              <w:ind w:left="249"/>
            </w:pPr>
            <w:r>
              <w:rPr>
                <w:spacing w:val="-2"/>
              </w:rPr>
              <w:t>0.60</w:t>
            </w:r>
          </w:p>
        </w:tc>
        <w:tc>
          <w:tcPr>
            <w:tcW w:w="1979" w:type="dxa"/>
            <w:vAlign w:val="top"/>
          </w:tcPr>
          <w:p w14:paraId="495C7413">
            <w:pPr>
              <w:pStyle w:val="6"/>
              <w:spacing w:before="97" w:line="193" w:lineRule="auto"/>
              <w:ind w:left="816"/>
            </w:pPr>
            <w:r>
              <w:rPr>
                <w:spacing w:val="-2"/>
              </w:rPr>
              <w:t>0.52</w:t>
            </w:r>
          </w:p>
        </w:tc>
        <w:tc>
          <w:tcPr>
            <w:tcW w:w="1950" w:type="dxa"/>
            <w:tcBorders>
              <w:right w:val="single" w:color="000000" w:sz="12" w:space="0"/>
            </w:tcBorders>
            <w:vAlign w:val="top"/>
          </w:tcPr>
          <w:p w14:paraId="02BEC490">
            <w:pPr>
              <w:pStyle w:val="6"/>
              <w:spacing w:before="97" w:line="193" w:lineRule="auto"/>
              <w:ind w:left="799"/>
            </w:pPr>
            <w:r>
              <w:rPr>
                <w:spacing w:val="-2"/>
              </w:rPr>
              <w:t>0.28</w:t>
            </w:r>
          </w:p>
        </w:tc>
      </w:tr>
      <w:tr w14:paraId="752B0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9AE824A">
            <w:pPr>
              <w:rPr>
                <w:rFonts w:ascii="Arial"/>
                <w:sz w:val="21"/>
              </w:rPr>
            </w:pPr>
          </w:p>
        </w:tc>
        <w:tc>
          <w:tcPr>
            <w:tcW w:w="329" w:type="dxa"/>
            <w:vMerge w:val="continue"/>
            <w:tcBorders>
              <w:top w:val="nil"/>
              <w:bottom w:val="nil"/>
            </w:tcBorders>
            <w:vAlign w:val="top"/>
          </w:tcPr>
          <w:p w14:paraId="5232F6F6">
            <w:pPr>
              <w:rPr>
                <w:rFonts w:ascii="Arial"/>
                <w:sz w:val="21"/>
              </w:rPr>
            </w:pPr>
          </w:p>
        </w:tc>
        <w:tc>
          <w:tcPr>
            <w:tcW w:w="1316" w:type="dxa"/>
            <w:vAlign w:val="top"/>
          </w:tcPr>
          <w:p w14:paraId="32FE8088">
            <w:pPr>
              <w:pStyle w:val="6"/>
              <w:spacing w:before="98" w:line="191" w:lineRule="auto"/>
              <w:ind w:left="220"/>
            </w:pPr>
            <w:r>
              <w:rPr>
                <w:spacing w:val="-1"/>
              </w:rPr>
              <w:t>2019/8/07</w:t>
            </w:r>
          </w:p>
        </w:tc>
        <w:tc>
          <w:tcPr>
            <w:tcW w:w="711" w:type="dxa"/>
            <w:vAlign w:val="top"/>
          </w:tcPr>
          <w:p w14:paraId="553F2DDA">
            <w:pPr>
              <w:pStyle w:val="6"/>
              <w:spacing w:before="98" w:line="191" w:lineRule="auto"/>
              <w:ind w:left="167"/>
            </w:pPr>
            <w:r>
              <w:rPr>
                <w:spacing w:val="-2"/>
              </w:rPr>
              <w:t>0.52</w:t>
            </w:r>
          </w:p>
        </w:tc>
        <w:tc>
          <w:tcPr>
            <w:tcW w:w="706" w:type="dxa"/>
            <w:vAlign w:val="top"/>
          </w:tcPr>
          <w:p w14:paraId="74B26082">
            <w:pPr>
              <w:pStyle w:val="6"/>
              <w:spacing w:before="103" w:line="186" w:lineRule="auto"/>
              <w:ind w:left="162"/>
            </w:pPr>
            <w:r>
              <w:rPr>
                <w:b/>
                <w:bCs/>
                <w:spacing w:val="-2"/>
              </w:rPr>
              <w:t>2.05</w:t>
            </w:r>
          </w:p>
        </w:tc>
        <w:tc>
          <w:tcPr>
            <w:tcW w:w="848" w:type="dxa"/>
            <w:vAlign w:val="top"/>
          </w:tcPr>
          <w:p w14:paraId="3C4C8D63">
            <w:pPr>
              <w:pStyle w:val="6"/>
              <w:spacing w:before="98" w:line="191" w:lineRule="auto"/>
              <w:ind w:left="239"/>
            </w:pPr>
            <w:r>
              <w:rPr>
                <w:spacing w:val="-2"/>
              </w:rPr>
              <w:t>0.85</w:t>
            </w:r>
          </w:p>
        </w:tc>
        <w:tc>
          <w:tcPr>
            <w:tcW w:w="706" w:type="dxa"/>
            <w:vAlign w:val="top"/>
          </w:tcPr>
          <w:p w14:paraId="37066A99">
            <w:pPr>
              <w:pStyle w:val="6"/>
              <w:spacing w:before="98" w:line="191" w:lineRule="auto"/>
              <w:ind w:left="168"/>
            </w:pPr>
            <w:r>
              <w:rPr>
                <w:spacing w:val="-2"/>
              </w:rPr>
              <w:t>0.73</w:t>
            </w:r>
          </w:p>
        </w:tc>
        <w:tc>
          <w:tcPr>
            <w:tcW w:w="849" w:type="dxa"/>
            <w:vAlign w:val="top"/>
          </w:tcPr>
          <w:p w14:paraId="75C0540C">
            <w:pPr>
              <w:pStyle w:val="6"/>
              <w:spacing w:before="98" w:line="191" w:lineRule="auto"/>
              <w:ind w:left="242"/>
            </w:pPr>
            <w:r>
              <w:rPr>
                <w:spacing w:val="-2"/>
              </w:rPr>
              <w:t>0.73</w:t>
            </w:r>
          </w:p>
        </w:tc>
        <w:tc>
          <w:tcPr>
            <w:tcW w:w="848" w:type="dxa"/>
            <w:vAlign w:val="top"/>
          </w:tcPr>
          <w:p w14:paraId="0B59320D">
            <w:pPr>
              <w:pStyle w:val="6"/>
              <w:spacing w:before="98" w:line="191" w:lineRule="auto"/>
              <w:ind w:left="243"/>
            </w:pPr>
            <w:r>
              <w:rPr>
                <w:spacing w:val="-2"/>
              </w:rPr>
              <w:t>0.61</w:t>
            </w:r>
          </w:p>
        </w:tc>
        <w:tc>
          <w:tcPr>
            <w:tcW w:w="848" w:type="dxa"/>
            <w:vAlign w:val="top"/>
          </w:tcPr>
          <w:p w14:paraId="1EB6B31E">
            <w:pPr>
              <w:pStyle w:val="6"/>
              <w:spacing w:before="98" w:line="191" w:lineRule="auto"/>
              <w:ind w:left="246"/>
            </w:pPr>
            <w:r>
              <w:rPr>
                <w:spacing w:val="-2"/>
              </w:rPr>
              <w:t>0.12</w:t>
            </w:r>
          </w:p>
        </w:tc>
        <w:tc>
          <w:tcPr>
            <w:tcW w:w="851" w:type="dxa"/>
            <w:vAlign w:val="top"/>
          </w:tcPr>
          <w:p w14:paraId="29146DF6">
            <w:pPr>
              <w:pStyle w:val="6"/>
              <w:spacing w:before="98" w:line="191" w:lineRule="auto"/>
              <w:ind w:left="249"/>
            </w:pPr>
            <w:r>
              <w:rPr>
                <w:spacing w:val="-2"/>
              </w:rPr>
              <w:t>0.80</w:t>
            </w:r>
          </w:p>
        </w:tc>
        <w:tc>
          <w:tcPr>
            <w:tcW w:w="1979" w:type="dxa"/>
            <w:vAlign w:val="top"/>
          </w:tcPr>
          <w:p w14:paraId="63748180">
            <w:pPr>
              <w:pStyle w:val="6"/>
              <w:spacing w:before="98" w:line="191" w:lineRule="auto"/>
              <w:ind w:left="816"/>
            </w:pPr>
            <w:r>
              <w:rPr>
                <w:spacing w:val="-2"/>
              </w:rPr>
              <w:t>0.49</w:t>
            </w:r>
          </w:p>
        </w:tc>
        <w:tc>
          <w:tcPr>
            <w:tcW w:w="1950" w:type="dxa"/>
            <w:tcBorders>
              <w:right w:val="single" w:color="000000" w:sz="12" w:space="0"/>
            </w:tcBorders>
            <w:vAlign w:val="top"/>
          </w:tcPr>
          <w:p w14:paraId="04858C06">
            <w:pPr>
              <w:pStyle w:val="6"/>
              <w:spacing w:before="98" w:line="191" w:lineRule="auto"/>
              <w:ind w:left="799"/>
            </w:pPr>
            <w:r>
              <w:rPr>
                <w:spacing w:val="-2"/>
              </w:rPr>
              <w:t>0.26</w:t>
            </w:r>
          </w:p>
        </w:tc>
      </w:tr>
      <w:tr w14:paraId="144C9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B154D8E">
            <w:pPr>
              <w:rPr>
                <w:rFonts w:ascii="Arial"/>
                <w:sz w:val="21"/>
              </w:rPr>
            </w:pPr>
          </w:p>
        </w:tc>
        <w:tc>
          <w:tcPr>
            <w:tcW w:w="329" w:type="dxa"/>
            <w:vMerge w:val="continue"/>
            <w:tcBorders>
              <w:top w:val="nil"/>
            </w:tcBorders>
            <w:vAlign w:val="top"/>
          </w:tcPr>
          <w:p w14:paraId="76EFF4DF">
            <w:pPr>
              <w:rPr>
                <w:rFonts w:ascii="Arial"/>
                <w:sz w:val="21"/>
              </w:rPr>
            </w:pPr>
          </w:p>
        </w:tc>
        <w:tc>
          <w:tcPr>
            <w:tcW w:w="1316" w:type="dxa"/>
            <w:vAlign w:val="top"/>
          </w:tcPr>
          <w:p w14:paraId="27BC8AB0">
            <w:pPr>
              <w:pStyle w:val="6"/>
              <w:spacing w:before="99" w:line="191" w:lineRule="auto"/>
              <w:ind w:left="220"/>
            </w:pPr>
            <w:r>
              <w:rPr>
                <w:spacing w:val="-1"/>
              </w:rPr>
              <w:t>2019/8/08</w:t>
            </w:r>
          </w:p>
        </w:tc>
        <w:tc>
          <w:tcPr>
            <w:tcW w:w="711" w:type="dxa"/>
            <w:vAlign w:val="top"/>
          </w:tcPr>
          <w:p w14:paraId="5211F8F7">
            <w:pPr>
              <w:pStyle w:val="6"/>
              <w:spacing w:before="99" w:line="191" w:lineRule="auto"/>
              <w:ind w:left="167"/>
            </w:pPr>
            <w:r>
              <w:rPr>
                <w:spacing w:val="-2"/>
              </w:rPr>
              <w:t>0.65</w:t>
            </w:r>
          </w:p>
        </w:tc>
        <w:tc>
          <w:tcPr>
            <w:tcW w:w="706" w:type="dxa"/>
            <w:vAlign w:val="top"/>
          </w:tcPr>
          <w:p w14:paraId="7D15C0AF">
            <w:pPr>
              <w:pStyle w:val="6"/>
              <w:spacing w:before="104" w:line="186" w:lineRule="auto"/>
              <w:ind w:left="171"/>
            </w:pPr>
            <w:r>
              <w:rPr>
                <w:b/>
                <w:bCs/>
                <w:spacing w:val="-4"/>
              </w:rPr>
              <w:t>1.30</w:t>
            </w:r>
          </w:p>
        </w:tc>
        <w:tc>
          <w:tcPr>
            <w:tcW w:w="848" w:type="dxa"/>
            <w:vAlign w:val="top"/>
          </w:tcPr>
          <w:p w14:paraId="31DFBED7">
            <w:pPr>
              <w:pStyle w:val="6"/>
              <w:spacing w:before="99" w:line="191" w:lineRule="auto"/>
              <w:ind w:left="239"/>
            </w:pPr>
            <w:r>
              <w:rPr>
                <w:spacing w:val="-2"/>
              </w:rPr>
              <w:t>0.75</w:t>
            </w:r>
          </w:p>
        </w:tc>
        <w:tc>
          <w:tcPr>
            <w:tcW w:w="706" w:type="dxa"/>
            <w:vAlign w:val="top"/>
          </w:tcPr>
          <w:p w14:paraId="2EB22478">
            <w:pPr>
              <w:pStyle w:val="6"/>
              <w:spacing w:before="99" w:line="191" w:lineRule="auto"/>
              <w:ind w:left="168"/>
            </w:pPr>
            <w:r>
              <w:rPr>
                <w:spacing w:val="-2"/>
              </w:rPr>
              <w:t>0.60</w:t>
            </w:r>
          </w:p>
        </w:tc>
        <w:tc>
          <w:tcPr>
            <w:tcW w:w="849" w:type="dxa"/>
            <w:vAlign w:val="top"/>
          </w:tcPr>
          <w:p w14:paraId="4B2E6FFE">
            <w:pPr>
              <w:pStyle w:val="6"/>
              <w:spacing w:before="99" w:line="191" w:lineRule="auto"/>
              <w:ind w:left="242"/>
            </w:pPr>
            <w:r>
              <w:rPr>
                <w:spacing w:val="-2"/>
              </w:rPr>
              <w:t>0.60</w:t>
            </w:r>
          </w:p>
        </w:tc>
        <w:tc>
          <w:tcPr>
            <w:tcW w:w="848" w:type="dxa"/>
            <w:vAlign w:val="top"/>
          </w:tcPr>
          <w:p w14:paraId="0F956195">
            <w:pPr>
              <w:pStyle w:val="6"/>
              <w:spacing w:before="99" w:line="191" w:lineRule="auto"/>
              <w:ind w:left="243"/>
            </w:pPr>
            <w:r>
              <w:rPr>
                <w:spacing w:val="-2"/>
              </w:rPr>
              <w:t>0.65</w:t>
            </w:r>
          </w:p>
        </w:tc>
        <w:tc>
          <w:tcPr>
            <w:tcW w:w="848" w:type="dxa"/>
            <w:vAlign w:val="top"/>
          </w:tcPr>
          <w:p w14:paraId="1D4848F6">
            <w:pPr>
              <w:pStyle w:val="6"/>
              <w:spacing w:before="99" w:line="191" w:lineRule="auto"/>
              <w:ind w:left="246"/>
            </w:pPr>
            <w:r>
              <w:rPr>
                <w:spacing w:val="-2"/>
              </w:rPr>
              <w:t>0.16</w:t>
            </w:r>
          </w:p>
        </w:tc>
        <w:tc>
          <w:tcPr>
            <w:tcW w:w="851" w:type="dxa"/>
            <w:vAlign w:val="top"/>
          </w:tcPr>
          <w:p w14:paraId="7CE77F57">
            <w:pPr>
              <w:pStyle w:val="6"/>
              <w:spacing w:before="99" w:line="191" w:lineRule="auto"/>
              <w:ind w:left="249"/>
            </w:pPr>
            <w:r>
              <w:rPr>
                <w:spacing w:val="-2"/>
              </w:rPr>
              <w:t>0.60</w:t>
            </w:r>
          </w:p>
        </w:tc>
        <w:tc>
          <w:tcPr>
            <w:tcW w:w="1979" w:type="dxa"/>
            <w:vAlign w:val="top"/>
          </w:tcPr>
          <w:p w14:paraId="4E2C10F0">
            <w:pPr>
              <w:pStyle w:val="6"/>
              <w:spacing w:before="99" w:line="191" w:lineRule="auto"/>
              <w:ind w:left="816"/>
            </w:pPr>
            <w:r>
              <w:rPr>
                <w:spacing w:val="-2"/>
              </w:rPr>
              <w:t>0.56</w:t>
            </w:r>
          </w:p>
        </w:tc>
        <w:tc>
          <w:tcPr>
            <w:tcW w:w="1950" w:type="dxa"/>
            <w:tcBorders>
              <w:right w:val="single" w:color="000000" w:sz="12" w:space="0"/>
            </w:tcBorders>
            <w:vAlign w:val="top"/>
          </w:tcPr>
          <w:p w14:paraId="39B94A3A">
            <w:pPr>
              <w:pStyle w:val="6"/>
              <w:spacing w:before="99" w:line="191" w:lineRule="auto"/>
              <w:ind w:left="799"/>
            </w:pPr>
            <w:r>
              <w:rPr>
                <w:spacing w:val="-2"/>
              </w:rPr>
              <w:t>0.27</w:t>
            </w:r>
          </w:p>
        </w:tc>
      </w:tr>
      <w:tr w14:paraId="28C48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E53D888">
            <w:pPr>
              <w:rPr>
                <w:rFonts w:ascii="Arial"/>
                <w:sz w:val="21"/>
              </w:rPr>
            </w:pPr>
          </w:p>
        </w:tc>
        <w:tc>
          <w:tcPr>
            <w:tcW w:w="329" w:type="dxa"/>
            <w:vMerge w:val="restart"/>
            <w:tcBorders>
              <w:bottom w:val="nil"/>
            </w:tcBorders>
            <w:vAlign w:val="top"/>
          </w:tcPr>
          <w:p w14:paraId="2CF73B48">
            <w:pPr>
              <w:pStyle w:val="6"/>
              <w:spacing w:before="140" w:line="222" w:lineRule="auto"/>
              <w:ind w:left="96"/>
            </w:pPr>
            <w:r>
              <w:t>4</w:t>
            </w:r>
          </w:p>
          <w:p w14:paraId="2AB631CE">
            <w:pPr>
              <w:spacing w:line="219" w:lineRule="auto"/>
              <w:ind w:left="49"/>
              <w:rPr>
                <w:rFonts w:ascii="宋体" w:hAnsi="宋体" w:eastAsia="宋体" w:cs="宋体"/>
                <w:sz w:val="21"/>
                <w:szCs w:val="21"/>
              </w:rPr>
            </w:pPr>
            <w:r>
              <w:rPr>
                <w:rFonts w:ascii="宋体" w:hAnsi="宋体" w:eastAsia="宋体" w:cs="宋体"/>
                <w:sz w:val="21"/>
                <w:szCs w:val="21"/>
              </w:rPr>
              <w:t>季</w:t>
            </w:r>
          </w:p>
          <w:p w14:paraId="0AB94AB6">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316" w:type="dxa"/>
            <w:vAlign w:val="top"/>
          </w:tcPr>
          <w:p w14:paraId="5FC6A981">
            <w:pPr>
              <w:pStyle w:val="6"/>
              <w:spacing w:before="99" w:line="190" w:lineRule="auto"/>
              <w:ind w:left="220"/>
            </w:pPr>
            <w:r>
              <w:rPr>
                <w:spacing w:val="-1"/>
              </w:rPr>
              <w:t>2019/11/9</w:t>
            </w:r>
          </w:p>
        </w:tc>
        <w:tc>
          <w:tcPr>
            <w:tcW w:w="711" w:type="dxa"/>
            <w:vAlign w:val="top"/>
          </w:tcPr>
          <w:p w14:paraId="3EC17D90">
            <w:pPr>
              <w:pStyle w:val="6"/>
              <w:spacing w:before="99" w:line="190" w:lineRule="auto"/>
              <w:ind w:left="167"/>
            </w:pPr>
            <w:r>
              <w:rPr>
                <w:spacing w:val="-2"/>
              </w:rPr>
              <w:t>0.54</w:t>
            </w:r>
          </w:p>
        </w:tc>
        <w:tc>
          <w:tcPr>
            <w:tcW w:w="706" w:type="dxa"/>
            <w:vAlign w:val="top"/>
          </w:tcPr>
          <w:p w14:paraId="6479F715">
            <w:pPr>
              <w:pStyle w:val="6"/>
              <w:spacing w:before="104" w:line="185" w:lineRule="auto"/>
              <w:ind w:left="171"/>
            </w:pPr>
            <w:r>
              <w:rPr>
                <w:b/>
                <w:bCs/>
                <w:spacing w:val="-4"/>
              </w:rPr>
              <w:t>1.30</w:t>
            </w:r>
          </w:p>
        </w:tc>
        <w:tc>
          <w:tcPr>
            <w:tcW w:w="848" w:type="dxa"/>
            <w:vAlign w:val="top"/>
          </w:tcPr>
          <w:p w14:paraId="56623C9A">
            <w:pPr>
              <w:pStyle w:val="6"/>
              <w:spacing w:before="99" w:line="190" w:lineRule="auto"/>
              <w:ind w:left="239"/>
            </w:pPr>
            <w:r>
              <w:rPr>
                <w:spacing w:val="-2"/>
              </w:rPr>
              <w:t>0.75</w:t>
            </w:r>
          </w:p>
        </w:tc>
        <w:tc>
          <w:tcPr>
            <w:tcW w:w="706" w:type="dxa"/>
            <w:vAlign w:val="top"/>
          </w:tcPr>
          <w:p w14:paraId="3D7D455A">
            <w:pPr>
              <w:pStyle w:val="6"/>
              <w:spacing w:before="99" w:line="190" w:lineRule="auto"/>
              <w:ind w:left="168"/>
            </w:pPr>
            <w:r>
              <w:rPr>
                <w:spacing w:val="-2"/>
              </w:rPr>
              <w:t>0.73</w:t>
            </w:r>
          </w:p>
        </w:tc>
        <w:tc>
          <w:tcPr>
            <w:tcW w:w="849" w:type="dxa"/>
            <w:vAlign w:val="top"/>
          </w:tcPr>
          <w:p w14:paraId="19B2805E">
            <w:pPr>
              <w:pStyle w:val="6"/>
              <w:spacing w:before="99" w:line="190" w:lineRule="auto"/>
              <w:ind w:left="242"/>
            </w:pPr>
            <w:r>
              <w:rPr>
                <w:spacing w:val="-2"/>
              </w:rPr>
              <w:t>0.73</w:t>
            </w:r>
          </w:p>
        </w:tc>
        <w:tc>
          <w:tcPr>
            <w:tcW w:w="848" w:type="dxa"/>
            <w:vAlign w:val="top"/>
          </w:tcPr>
          <w:p w14:paraId="575B9628">
            <w:pPr>
              <w:pStyle w:val="6"/>
              <w:spacing w:before="99" w:line="190" w:lineRule="auto"/>
              <w:ind w:left="243"/>
            </w:pPr>
            <w:r>
              <w:rPr>
                <w:spacing w:val="-2"/>
              </w:rPr>
              <w:t>0.58</w:t>
            </w:r>
          </w:p>
        </w:tc>
        <w:tc>
          <w:tcPr>
            <w:tcW w:w="848" w:type="dxa"/>
            <w:vAlign w:val="top"/>
          </w:tcPr>
          <w:p w14:paraId="64B1F37E">
            <w:pPr>
              <w:pStyle w:val="6"/>
              <w:spacing w:before="99" w:line="190" w:lineRule="auto"/>
              <w:ind w:left="246"/>
            </w:pPr>
            <w:r>
              <w:rPr>
                <w:spacing w:val="-2"/>
              </w:rPr>
              <w:t>0.08</w:t>
            </w:r>
          </w:p>
        </w:tc>
        <w:tc>
          <w:tcPr>
            <w:tcW w:w="851" w:type="dxa"/>
            <w:vAlign w:val="top"/>
          </w:tcPr>
          <w:p w14:paraId="2878182E">
            <w:pPr>
              <w:pStyle w:val="6"/>
              <w:spacing w:before="99" w:line="190" w:lineRule="auto"/>
              <w:ind w:left="249"/>
            </w:pPr>
            <w:r>
              <w:rPr>
                <w:spacing w:val="-2"/>
              </w:rPr>
              <w:t>0.40</w:t>
            </w:r>
          </w:p>
        </w:tc>
        <w:tc>
          <w:tcPr>
            <w:tcW w:w="1979" w:type="dxa"/>
            <w:vAlign w:val="top"/>
          </w:tcPr>
          <w:p w14:paraId="2A898AF8">
            <w:pPr>
              <w:pStyle w:val="6"/>
              <w:spacing w:before="190" w:line="100" w:lineRule="exact"/>
              <w:ind w:left="932"/>
            </w:pPr>
            <w:r>
              <w:rPr>
                <w:spacing w:val="-3"/>
                <w:position w:val="-6"/>
              </w:rPr>
              <w:t>--</w:t>
            </w:r>
          </w:p>
        </w:tc>
        <w:tc>
          <w:tcPr>
            <w:tcW w:w="1950" w:type="dxa"/>
            <w:tcBorders>
              <w:right w:val="single" w:color="000000" w:sz="12" w:space="0"/>
            </w:tcBorders>
            <w:vAlign w:val="top"/>
          </w:tcPr>
          <w:p w14:paraId="507FF159">
            <w:pPr>
              <w:pStyle w:val="6"/>
              <w:spacing w:before="99" w:line="190" w:lineRule="auto"/>
              <w:ind w:left="799"/>
            </w:pPr>
            <w:r>
              <w:rPr>
                <w:spacing w:val="-2"/>
              </w:rPr>
              <w:t>0.01</w:t>
            </w:r>
          </w:p>
        </w:tc>
      </w:tr>
      <w:tr w14:paraId="3E528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A8AD764">
            <w:pPr>
              <w:rPr>
                <w:rFonts w:ascii="Arial"/>
                <w:sz w:val="21"/>
              </w:rPr>
            </w:pPr>
          </w:p>
        </w:tc>
        <w:tc>
          <w:tcPr>
            <w:tcW w:w="329" w:type="dxa"/>
            <w:vMerge w:val="continue"/>
            <w:tcBorders>
              <w:top w:val="nil"/>
              <w:bottom w:val="nil"/>
            </w:tcBorders>
            <w:vAlign w:val="top"/>
          </w:tcPr>
          <w:p w14:paraId="34200813">
            <w:pPr>
              <w:rPr>
                <w:rFonts w:ascii="Arial"/>
                <w:sz w:val="21"/>
              </w:rPr>
            </w:pPr>
          </w:p>
        </w:tc>
        <w:tc>
          <w:tcPr>
            <w:tcW w:w="1316" w:type="dxa"/>
            <w:vAlign w:val="top"/>
          </w:tcPr>
          <w:p w14:paraId="7D57E664">
            <w:pPr>
              <w:pStyle w:val="6"/>
              <w:spacing w:before="101" w:line="188" w:lineRule="auto"/>
              <w:ind w:left="167"/>
            </w:pPr>
            <w:r>
              <w:rPr>
                <w:spacing w:val="-1"/>
              </w:rPr>
              <w:t>2019/11/10</w:t>
            </w:r>
          </w:p>
        </w:tc>
        <w:tc>
          <w:tcPr>
            <w:tcW w:w="711" w:type="dxa"/>
            <w:vAlign w:val="top"/>
          </w:tcPr>
          <w:p w14:paraId="3AB38AA2">
            <w:pPr>
              <w:pStyle w:val="6"/>
              <w:spacing w:before="101" w:line="188" w:lineRule="auto"/>
              <w:ind w:left="167"/>
            </w:pPr>
            <w:r>
              <w:rPr>
                <w:spacing w:val="-2"/>
              </w:rPr>
              <w:t>0.51</w:t>
            </w:r>
          </w:p>
        </w:tc>
        <w:tc>
          <w:tcPr>
            <w:tcW w:w="706" w:type="dxa"/>
            <w:vAlign w:val="top"/>
          </w:tcPr>
          <w:p w14:paraId="5020A84F">
            <w:pPr>
              <w:pStyle w:val="6"/>
              <w:spacing w:before="106" w:line="183" w:lineRule="auto"/>
              <w:ind w:left="162"/>
            </w:pPr>
            <w:r>
              <w:rPr>
                <w:b/>
                <w:bCs/>
                <w:spacing w:val="-2"/>
              </w:rPr>
              <w:t>2.05</w:t>
            </w:r>
          </w:p>
        </w:tc>
        <w:tc>
          <w:tcPr>
            <w:tcW w:w="848" w:type="dxa"/>
            <w:vAlign w:val="top"/>
          </w:tcPr>
          <w:p w14:paraId="453F99DA">
            <w:pPr>
              <w:pStyle w:val="6"/>
              <w:spacing w:before="101" w:line="188" w:lineRule="auto"/>
              <w:ind w:left="239"/>
            </w:pPr>
            <w:r>
              <w:rPr>
                <w:spacing w:val="-2"/>
              </w:rPr>
              <w:t>0.70</w:t>
            </w:r>
          </w:p>
        </w:tc>
        <w:tc>
          <w:tcPr>
            <w:tcW w:w="706" w:type="dxa"/>
            <w:vAlign w:val="top"/>
          </w:tcPr>
          <w:p w14:paraId="5189C039">
            <w:pPr>
              <w:pStyle w:val="6"/>
              <w:spacing w:before="101" w:line="188" w:lineRule="auto"/>
              <w:ind w:left="168"/>
            </w:pPr>
            <w:r>
              <w:rPr>
                <w:spacing w:val="-2"/>
              </w:rPr>
              <w:t>0.67</w:t>
            </w:r>
          </w:p>
        </w:tc>
        <w:tc>
          <w:tcPr>
            <w:tcW w:w="849" w:type="dxa"/>
            <w:vAlign w:val="top"/>
          </w:tcPr>
          <w:p w14:paraId="56769EB0">
            <w:pPr>
              <w:pStyle w:val="6"/>
              <w:spacing w:before="101" w:line="188" w:lineRule="auto"/>
              <w:ind w:left="242"/>
            </w:pPr>
            <w:r>
              <w:rPr>
                <w:spacing w:val="-2"/>
              </w:rPr>
              <w:t>0.63</w:t>
            </w:r>
          </w:p>
        </w:tc>
        <w:tc>
          <w:tcPr>
            <w:tcW w:w="848" w:type="dxa"/>
            <w:vAlign w:val="top"/>
          </w:tcPr>
          <w:p w14:paraId="1DB10659">
            <w:pPr>
              <w:pStyle w:val="6"/>
              <w:spacing w:before="101" w:line="188" w:lineRule="auto"/>
              <w:ind w:left="243"/>
            </w:pPr>
            <w:r>
              <w:rPr>
                <w:spacing w:val="-2"/>
              </w:rPr>
              <w:t>0.57</w:t>
            </w:r>
          </w:p>
        </w:tc>
        <w:tc>
          <w:tcPr>
            <w:tcW w:w="848" w:type="dxa"/>
            <w:vAlign w:val="top"/>
          </w:tcPr>
          <w:p w14:paraId="0D060C37">
            <w:pPr>
              <w:pStyle w:val="6"/>
              <w:spacing w:before="101" w:line="188" w:lineRule="auto"/>
              <w:ind w:left="246"/>
            </w:pPr>
            <w:r>
              <w:rPr>
                <w:spacing w:val="-2"/>
              </w:rPr>
              <w:t>0.04</w:t>
            </w:r>
          </w:p>
        </w:tc>
        <w:tc>
          <w:tcPr>
            <w:tcW w:w="851" w:type="dxa"/>
            <w:vAlign w:val="top"/>
          </w:tcPr>
          <w:p w14:paraId="6BC4C79E">
            <w:pPr>
              <w:pStyle w:val="6"/>
              <w:spacing w:before="101" w:line="188" w:lineRule="auto"/>
              <w:ind w:left="249"/>
            </w:pPr>
            <w:r>
              <w:rPr>
                <w:spacing w:val="-2"/>
              </w:rPr>
              <w:t>0.60</w:t>
            </w:r>
          </w:p>
        </w:tc>
        <w:tc>
          <w:tcPr>
            <w:tcW w:w="1979" w:type="dxa"/>
            <w:vAlign w:val="top"/>
          </w:tcPr>
          <w:p w14:paraId="05C10B9C">
            <w:pPr>
              <w:pStyle w:val="6"/>
              <w:spacing w:before="192" w:line="99" w:lineRule="exact"/>
              <w:ind w:left="932"/>
            </w:pPr>
            <w:r>
              <w:rPr>
                <w:spacing w:val="-3"/>
                <w:position w:val="-6"/>
              </w:rPr>
              <w:t>--</w:t>
            </w:r>
          </w:p>
        </w:tc>
        <w:tc>
          <w:tcPr>
            <w:tcW w:w="1950" w:type="dxa"/>
            <w:tcBorders>
              <w:right w:val="single" w:color="000000" w:sz="12" w:space="0"/>
            </w:tcBorders>
            <w:vAlign w:val="top"/>
          </w:tcPr>
          <w:p w14:paraId="12791C07">
            <w:pPr>
              <w:pStyle w:val="6"/>
              <w:spacing w:before="101" w:line="188" w:lineRule="auto"/>
              <w:ind w:left="799"/>
            </w:pPr>
            <w:r>
              <w:rPr>
                <w:spacing w:val="-2"/>
              </w:rPr>
              <w:t>0.01</w:t>
            </w:r>
          </w:p>
        </w:tc>
      </w:tr>
      <w:tr w14:paraId="7E15E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465" w:type="dxa"/>
            <w:vMerge w:val="continue"/>
            <w:tcBorders>
              <w:top w:val="nil"/>
              <w:left w:val="single" w:color="000000" w:sz="12" w:space="0"/>
              <w:bottom w:val="single" w:color="000000" w:sz="12" w:space="0"/>
            </w:tcBorders>
            <w:vAlign w:val="top"/>
          </w:tcPr>
          <w:p w14:paraId="6C25F5BC">
            <w:pPr>
              <w:rPr>
                <w:rFonts w:ascii="Arial"/>
                <w:sz w:val="21"/>
              </w:rPr>
            </w:pPr>
          </w:p>
        </w:tc>
        <w:tc>
          <w:tcPr>
            <w:tcW w:w="329" w:type="dxa"/>
            <w:vMerge w:val="continue"/>
            <w:tcBorders>
              <w:top w:val="nil"/>
              <w:bottom w:val="single" w:color="000000" w:sz="12" w:space="0"/>
            </w:tcBorders>
            <w:vAlign w:val="top"/>
          </w:tcPr>
          <w:p w14:paraId="69CC48F3">
            <w:pPr>
              <w:rPr>
                <w:rFonts w:ascii="Arial"/>
                <w:sz w:val="21"/>
              </w:rPr>
            </w:pPr>
          </w:p>
        </w:tc>
        <w:tc>
          <w:tcPr>
            <w:tcW w:w="1316" w:type="dxa"/>
            <w:tcBorders>
              <w:bottom w:val="single" w:color="000000" w:sz="12" w:space="0"/>
            </w:tcBorders>
            <w:vAlign w:val="top"/>
          </w:tcPr>
          <w:p w14:paraId="3FCEFA18">
            <w:pPr>
              <w:pStyle w:val="6"/>
              <w:spacing w:before="103" w:line="209" w:lineRule="auto"/>
              <w:ind w:left="167"/>
            </w:pPr>
            <w:r>
              <w:rPr>
                <w:spacing w:val="-1"/>
              </w:rPr>
              <w:t>2019/11/11</w:t>
            </w:r>
          </w:p>
        </w:tc>
        <w:tc>
          <w:tcPr>
            <w:tcW w:w="711" w:type="dxa"/>
            <w:tcBorders>
              <w:bottom w:val="single" w:color="000000" w:sz="12" w:space="0"/>
            </w:tcBorders>
            <w:vAlign w:val="top"/>
          </w:tcPr>
          <w:p w14:paraId="6313F589">
            <w:pPr>
              <w:pStyle w:val="6"/>
              <w:spacing w:before="103" w:line="209" w:lineRule="auto"/>
              <w:ind w:left="167"/>
            </w:pPr>
            <w:r>
              <w:rPr>
                <w:spacing w:val="-2"/>
              </w:rPr>
              <w:t>0.49</w:t>
            </w:r>
          </w:p>
        </w:tc>
        <w:tc>
          <w:tcPr>
            <w:tcW w:w="706" w:type="dxa"/>
            <w:tcBorders>
              <w:bottom w:val="single" w:color="000000" w:sz="12" w:space="0"/>
            </w:tcBorders>
            <w:vAlign w:val="top"/>
          </w:tcPr>
          <w:p w14:paraId="74E96D81">
            <w:pPr>
              <w:pStyle w:val="6"/>
              <w:spacing w:before="107" w:line="205" w:lineRule="auto"/>
              <w:ind w:left="171"/>
            </w:pPr>
            <w:r>
              <w:rPr>
                <w:b/>
                <w:bCs/>
                <w:spacing w:val="-4"/>
              </w:rPr>
              <w:t>1.60</w:t>
            </w:r>
          </w:p>
        </w:tc>
        <w:tc>
          <w:tcPr>
            <w:tcW w:w="848" w:type="dxa"/>
            <w:tcBorders>
              <w:bottom w:val="single" w:color="000000" w:sz="12" w:space="0"/>
            </w:tcBorders>
            <w:vAlign w:val="top"/>
          </w:tcPr>
          <w:p w14:paraId="3848A77C">
            <w:pPr>
              <w:pStyle w:val="6"/>
              <w:spacing w:before="103" w:line="209" w:lineRule="auto"/>
              <w:ind w:left="239"/>
            </w:pPr>
            <w:r>
              <w:rPr>
                <w:spacing w:val="-2"/>
              </w:rPr>
              <w:t>0.80</w:t>
            </w:r>
          </w:p>
        </w:tc>
        <w:tc>
          <w:tcPr>
            <w:tcW w:w="706" w:type="dxa"/>
            <w:tcBorders>
              <w:bottom w:val="single" w:color="000000" w:sz="12" w:space="0"/>
            </w:tcBorders>
            <w:vAlign w:val="top"/>
          </w:tcPr>
          <w:p w14:paraId="28693E03">
            <w:pPr>
              <w:pStyle w:val="6"/>
              <w:spacing w:before="103" w:line="209" w:lineRule="auto"/>
              <w:ind w:left="168"/>
            </w:pPr>
            <w:r>
              <w:rPr>
                <w:spacing w:val="-2"/>
              </w:rPr>
              <w:t>0.87</w:t>
            </w:r>
          </w:p>
        </w:tc>
        <w:tc>
          <w:tcPr>
            <w:tcW w:w="849" w:type="dxa"/>
            <w:tcBorders>
              <w:bottom w:val="single" w:color="000000" w:sz="12" w:space="0"/>
            </w:tcBorders>
            <w:vAlign w:val="top"/>
          </w:tcPr>
          <w:p w14:paraId="4781D2E9">
            <w:pPr>
              <w:pStyle w:val="6"/>
              <w:spacing w:before="103" w:line="209" w:lineRule="auto"/>
              <w:ind w:left="242"/>
            </w:pPr>
            <w:r>
              <w:rPr>
                <w:spacing w:val="-2"/>
              </w:rPr>
              <w:t>0.80</w:t>
            </w:r>
          </w:p>
        </w:tc>
        <w:tc>
          <w:tcPr>
            <w:tcW w:w="848" w:type="dxa"/>
            <w:tcBorders>
              <w:bottom w:val="single" w:color="000000" w:sz="12" w:space="0"/>
            </w:tcBorders>
            <w:vAlign w:val="top"/>
          </w:tcPr>
          <w:p w14:paraId="7140B992">
            <w:pPr>
              <w:pStyle w:val="6"/>
              <w:spacing w:before="103" w:line="209" w:lineRule="auto"/>
              <w:ind w:left="243"/>
            </w:pPr>
            <w:r>
              <w:rPr>
                <w:spacing w:val="-2"/>
              </w:rPr>
              <w:t>0.60</w:t>
            </w:r>
          </w:p>
        </w:tc>
        <w:tc>
          <w:tcPr>
            <w:tcW w:w="848" w:type="dxa"/>
            <w:tcBorders>
              <w:bottom w:val="single" w:color="000000" w:sz="12" w:space="0"/>
            </w:tcBorders>
            <w:vAlign w:val="top"/>
          </w:tcPr>
          <w:p w14:paraId="1785C498">
            <w:pPr>
              <w:pStyle w:val="6"/>
              <w:spacing w:before="103" w:line="209" w:lineRule="auto"/>
              <w:ind w:left="246"/>
            </w:pPr>
            <w:r>
              <w:rPr>
                <w:spacing w:val="-2"/>
              </w:rPr>
              <w:t>0.08</w:t>
            </w:r>
          </w:p>
        </w:tc>
        <w:tc>
          <w:tcPr>
            <w:tcW w:w="851" w:type="dxa"/>
            <w:tcBorders>
              <w:bottom w:val="single" w:color="000000" w:sz="12" w:space="0"/>
            </w:tcBorders>
            <w:vAlign w:val="top"/>
          </w:tcPr>
          <w:p w14:paraId="761E2113">
            <w:pPr>
              <w:pStyle w:val="6"/>
              <w:spacing w:before="103" w:line="209" w:lineRule="auto"/>
              <w:ind w:left="249"/>
            </w:pPr>
            <w:r>
              <w:rPr>
                <w:spacing w:val="-2"/>
              </w:rPr>
              <w:t>0.40</w:t>
            </w:r>
          </w:p>
        </w:tc>
        <w:tc>
          <w:tcPr>
            <w:tcW w:w="1979" w:type="dxa"/>
            <w:tcBorders>
              <w:bottom w:val="single" w:color="000000" w:sz="12" w:space="0"/>
            </w:tcBorders>
            <w:vAlign w:val="top"/>
          </w:tcPr>
          <w:p w14:paraId="2DCCCFAA">
            <w:pPr>
              <w:pStyle w:val="6"/>
              <w:spacing w:before="193" w:line="101" w:lineRule="exact"/>
              <w:ind w:left="932"/>
            </w:pPr>
            <w:r>
              <w:rPr>
                <w:spacing w:val="-3"/>
                <w:position w:val="-6"/>
              </w:rPr>
              <w:t>--</w:t>
            </w:r>
          </w:p>
        </w:tc>
        <w:tc>
          <w:tcPr>
            <w:tcW w:w="1950" w:type="dxa"/>
            <w:tcBorders>
              <w:bottom w:val="single" w:color="000000" w:sz="12" w:space="0"/>
              <w:right w:val="single" w:color="000000" w:sz="12" w:space="0"/>
            </w:tcBorders>
            <w:vAlign w:val="top"/>
          </w:tcPr>
          <w:p w14:paraId="641DE0C2">
            <w:pPr>
              <w:pStyle w:val="6"/>
              <w:spacing w:before="103" w:line="209" w:lineRule="auto"/>
              <w:ind w:left="799"/>
            </w:pPr>
            <w:r>
              <w:rPr>
                <w:spacing w:val="-2"/>
              </w:rPr>
              <w:t>0.02</w:t>
            </w:r>
          </w:p>
        </w:tc>
      </w:tr>
    </w:tbl>
    <w:p w14:paraId="34D872A4">
      <w:pPr>
        <w:pStyle w:val="2"/>
        <w:spacing w:before="31" w:line="237" w:lineRule="auto"/>
        <w:ind w:left="55" w:right="261" w:hanging="15"/>
        <w:rPr>
          <w:sz w:val="21"/>
          <w:szCs w:val="21"/>
        </w:rPr>
      </w:pPr>
      <w:r>
        <w:rPr>
          <w:spacing w:val="-3"/>
          <w:sz w:val="21"/>
          <w:szCs w:val="21"/>
        </w:rPr>
        <w:t>备注：</w:t>
      </w:r>
      <w:r>
        <w:rPr>
          <w:rFonts w:ascii="Times New Roman" w:hAnsi="Times New Roman" w:eastAsia="Times New Roman" w:cs="Times New Roman"/>
          <w:spacing w:val="-3"/>
          <w:sz w:val="21"/>
          <w:szCs w:val="21"/>
        </w:rPr>
        <w:t>1</w:t>
      </w:r>
      <w:r>
        <w:rPr>
          <w:spacing w:val="-3"/>
          <w:sz w:val="21"/>
          <w:szCs w:val="21"/>
        </w:rPr>
        <w:t>、马龙河执行《地表水环境质量标准》（</w:t>
      </w:r>
      <w:r>
        <w:rPr>
          <w:rFonts w:ascii="Times New Roman" w:hAnsi="Times New Roman" w:eastAsia="Times New Roman" w:cs="Times New Roman"/>
          <w:spacing w:val="-3"/>
          <w:sz w:val="21"/>
          <w:szCs w:val="21"/>
        </w:rPr>
        <w:t>GB3838-2002</w:t>
      </w:r>
      <w:r>
        <w:rPr>
          <w:spacing w:val="-3"/>
          <w:sz w:val="21"/>
          <w:szCs w:val="21"/>
        </w:rPr>
        <w:t>）中Ⅲ类标准，面店水库执行Ⅱ类标准；</w:t>
      </w:r>
      <w:r>
        <w:rPr>
          <w:rFonts w:ascii="Times New Roman" w:hAnsi="Times New Roman" w:eastAsia="Times New Roman" w:cs="Times New Roman"/>
          <w:spacing w:val="-3"/>
          <w:sz w:val="21"/>
          <w:szCs w:val="21"/>
        </w:rPr>
        <w:t>2</w:t>
      </w:r>
      <w:r>
        <w:rPr>
          <w:spacing w:val="-3"/>
          <w:sz w:val="21"/>
          <w:szCs w:val="21"/>
        </w:rPr>
        <w:t>、加粗字体表示超标；</w:t>
      </w:r>
      <w:r>
        <w:rPr>
          <w:rFonts w:ascii="Times New Roman" w:hAnsi="Times New Roman" w:eastAsia="Times New Roman" w:cs="Times New Roman"/>
          <w:spacing w:val="-3"/>
          <w:sz w:val="21"/>
          <w:szCs w:val="21"/>
        </w:rPr>
        <w:t>3</w:t>
      </w:r>
      <w:r>
        <w:rPr>
          <w:spacing w:val="-3"/>
          <w:sz w:val="21"/>
          <w:szCs w:val="21"/>
        </w:rPr>
        <w:t>、“</w:t>
      </w:r>
      <w:r>
        <w:rPr>
          <w:rFonts w:ascii="Times New Roman" w:hAnsi="Times New Roman" w:eastAsia="Times New Roman" w:cs="Times New Roman"/>
          <w:spacing w:val="-4"/>
          <w:sz w:val="21"/>
          <w:szCs w:val="21"/>
        </w:rPr>
        <w:t>--</w:t>
      </w:r>
      <w:r>
        <w:rPr>
          <w:spacing w:val="-4"/>
          <w:sz w:val="21"/>
          <w:szCs w:val="21"/>
        </w:rPr>
        <w:t>”表示未检</w:t>
      </w:r>
      <w:r>
        <w:rPr>
          <w:spacing w:val="-15"/>
          <w:sz w:val="21"/>
          <w:szCs w:val="21"/>
        </w:rPr>
        <w:t>出。</w:t>
      </w:r>
    </w:p>
    <w:p w14:paraId="3C83EEA0">
      <w:pPr>
        <w:spacing w:line="237" w:lineRule="auto"/>
        <w:rPr>
          <w:sz w:val="21"/>
          <w:szCs w:val="21"/>
        </w:rPr>
        <w:sectPr>
          <w:footerReference r:id="rId247" w:type="default"/>
          <w:pgSz w:w="16839" w:h="11907"/>
          <w:pgMar w:top="1376" w:right="1669" w:bottom="1061" w:left="1671" w:header="999" w:footer="861" w:gutter="0"/>
          <w:cols w:space="720" w:num="1"/>
        </w:sectPr>
      </w:pPr>
    </w:p>
    <w:p w14:paraId="3649E0DF">
      <w:pPr>
        <w:spacing w:line="455" w:lineRule="auto"/>
        <w:rPr>
          <w:rFonts w:ascii="Arial"/>
          <w:sz w:val="21"/>
        </w:rPr>
      </w:pPr>
    </w:p>
    <w:p w14:paraId="34952383">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6.2-7                                                          </w:t>
      </w:r>
      <w:r>
        <w:rPr>
          <w:rFonts w:ascii="Times New Roman" w:hAnsi="Times New Roman" w:eastAsia="Times New Roman" w:cs="Times New Roman"/>
          <w:b/>
          <w:bCs/>
          <w:spacing w:val="-1"/>
          <w:sz w:val="24"/>
          <w:szCs w:val="24"/>
        </w:rPr>
        <w:t xml:space="preserve">2020 </w:t>
      </w:r>
      <w:r>
        <w:rPr>
          <w:b/>
          <w:bCs/>
          <w:spacing w:val="-1"/>
          <w:sz w:val="24"/>
          <w:szCs w:val="24"/>
        </w:rPr>
        <w:t>年施工期地表水水质监测结果评价表（</w:t>
      </w:r>
      <w:r>
        <w:rPr>
          <w:rFonts w:ascii="Times New Roman" w:hAnsi="Times New Roman" w:eastAsia="Times New Roman" w:cs="Times New Roman"/>
          <w:b/>
          <w:bCs/>
          <w:i/>
          <w:iCs/>
          <w:spacing w:val="-1"/>
          <w:sz w:val="24"/>
          <w:szCs w:val="24"/>
        </w:rPr>
        <w:t>S</w:t>
      </w:r>
      <w:r>
        <w:rPr>
          <w:rFonts w:ascii="Times New Roman" w:hAnsi="Times New Roman" w:eastAsia="Times New Roman" w:cs="Times New Roman"/>
          <w:b/>
          <w:bCs/>
          <w:i/>
          <w:iCs/>
          <w:spacing w:val="-1"/>
          <w:position w:val="-1"/>
          <w:sz w:val="15"/>
          <w:szCs w:val="15"/>
        </w:rPr>
        <w:t>i</w:t>
      </w:r>
      <w:r>
        <w:rPr>
          <w:b/>
          <w:bCs/>
          <w:i/>
          <w:iCs/>
          <w:spacing w:val="-1"/>
          <w:position w:val="-1"/>
          <w:sz w:val="12"/>
          <w:szCs w:val="12"/>
        </w:rPr>
        <w:t>，</w:t>
      </w:r>
      <w:r>
        <w:rPr>
          <w:rFonts w:ascii="Times New Roman" w:hAnsi="Times New Roman" w:eastAsia="Times New Roman" w:cs="Times New Roman"/>
          <w:b/>
          <w:bCs/>
          <w:i/>
          <w:iCs/>
          <w:spacing w:val="-1"/>
          <w:sz w:val="15"/>
          <w:szCs w:val="15"/>
        </w:rPr>
        <w:t>j</w:t>
      </w:r>
      <w:r>
        <w:rPr>
          <w:b/>
          <w:bCs/>
          <w:spacing w:val="-1"/>
          <w:sz w:val="24"/>
          <w:szCs w:val="24"/>
        </w:rPr>
        <w:t>）</w:t>
      </w: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179"/>
        <w:gridCol w:w="706"/>
        <w:gridCol w:w="707"/>
        <w:gridCol w:w="989"/>
        <w:gridCol w:w="706"/>
        <w:gridCol w:w="991"/>
        <w:gridCol w:w="990"/>
        <w:gridCol w:w="848"/>
        <w:gridCol w:w="706"/>
        <w:gridCol w:w="1840"/>
        <w:gridCol w:w="1950"/>
      </w:tblGrid>
      <w:tr w14:paraId="40F22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465" w:type="dxa"/>
            <w:tcBorders>
              <w:top w:val="single" w:color="000000" w:sz="12" w:space="0"/>
              <w:left w:val="single" w:color="000000" w:sz="12" w:space="0"/>
            </w:tcBorders>
            <w:vAlign w:val="top"/>
          </w:tcPr>
          <w:p w14:paraId="11CA6232">
            <w:pPr>
              <w:spacing w:before="59"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508" w:type="dxa"/>
            <w:gridSpan w:val="2"/>
            <w:tcBorders>
              <w:top w:val="single" w:color="000000" w:sz="12" w:space="0"/>
            </w:tcBorders>
            <w:vAlign w:val="top"/>
          </w:tcPr>
          <w:p w14:paraId="293ECB91">
            <w:pPr>
              <w:spacing w:before="59" w:line="221" w:lineRule="auto"/>
              <w:ind w:left="325"/>
              <w:rPr>
                <w:rFonts w:ascii="宋体" w:hAnsi="宋体" w:eastAsia="宋体" w:cs="宋体"/>
                <w:sz w:val="21"/>
                <w:szCs w:val="21"/>
              </w:rPr>
            </w:pPr>
            <w:r>
              <w:rPr>
                <w:rFonts w:ascii="宋体" w:hAnsi="宋体" w:eastAsia="宋体" w:cs="宋体"/>
                <w:spacing w:val="-2"/>
                <w:sz w:val="21"/>
                <w:szCs w:val="21"/>
              </w:rPr>
              <w:t>监测时间</w:t>
            </w:r>
          </w:p>
        </w:tc>
        <w:tc>
          <w:tcPr>
            <w:tcW w:w="706" w:type="dxa"/>
            <w:tcBorders>
              <w:top w:val="single" w:color="000000" w:sz="12" w:space="0"/>
            </w:tcBorders>
            <w:vAlign w:val="top"/>
          </w:tcPr>
          <w:p w14:paraId="38D84C91">
            <w:pPr>
              <w:pStyle w:val="6"/>
              <w:spacing w:before="59" w:line="213" w:lineRule="auto"/>
              <w:ind w:left="78"/>
              <w:rPr>
                <w:rFonts w:ascii="宋体" w:hAnsi="宋体" w:eastAsia="宋体" w:cs="宋体"/>
              </w:rPr>
            </w:pPr>
            <w:r>
              <w:t>pH</w:t>
            </w:r>
            <w:r>
              <w:rPr>
                <w:spacing w:val="8"/>
              </w:rPr>
              <w:t xml:space="preserve"> </w:t>
            </w:r>
            <w:r>
              <w:rPr>
                <w:rFonts w:ascii="宋体" w:hAnsi="宋体" w:eastAsia="宋体" w:cs="宋体"/>
              </w:rPr>
              <w:t>值</w:t>
            </w:r>
          </w:p>
        </w:tc>
        <w:tc>
          <w:tcPr>
            <w:tcW w:w="707" w:type="dxa"/>
            <w:tcBorders>
              <w:top w:val="single" w:color="000000" w:sz="12" w:space="0"/>
            </w:tcBorders>
            <w:vAlign w:val="top"/>
          </w:tcPr>
          <w:p w14:paraId="4EE1A8ED">
            <w:pPr>
              <w:pStyle w:val="6"/>
              <w:spacing w:before="96" w:line="186" w:lineRule="auto"/>
              <w:ind w:left="192"/>
            </w:pPr>
            <w:r>
              <w:rPr>
                <w:spacing w:val="-2"/>
              </w:rPr>
              <w:t>DO</w:t>
            </w:r>
          </w:p>
        </w:tc>
        <w:tc>
          <w:tcPr>
            <w:tcW w:w="989" w:type="dxa"/>
            <w:tcBorders>
              <w:top w:val="single" w:color="000000" w:sz="12" w:space="0"/>
            </w:tcBorders>
            <w:vAlign w:val="top"/>
          </w:tcPr>
          <w:p w14:paraId="677E341B">
            <w:pPr>
              <w:pStyle w:val="6"/>
              <w:spacing w:before="96" w:line="226" w:lineRule="auto"/>
              <w:ind w:left="172"/>
              <w:rPr>
                <w:sz w:val="14"/>
                <w:szCs w:val="14"/>
              </w:rPr>
            </w:pPr>
            <w:r>
              <w:rPr>
                <w:spacing w:val="-2"/>
              </w:rPr>
              <w:t>COD</w:t>
            </w:r>
            <w:r>
              <w:rPr>
                <w:spacing w:val="-2"/>
                <w:position w:val="-1"/>
                <w:sz w:val="14"/>
                <w:szCs w:val="14"/>
              </w:rPr>
              <w:t>Mn</w:t>
            </w:r>
          </w:p>
        </w:tc>
        <w:tc>
          <w:tcPr>
            <w:tcW w:w="706" w:type="dxa"/>
            <w:tcBorders>
              <w:top w:val="single" w:color="000000" w:sz="12" w:space="0"/>
            </w:tcBorders>
            <w:vAlign w:val="top"/>
          </w:tcPr>
          <w:p w14:paraId="3BEA6F2B">
            <w:pPr>
              <w:pStyle w:val="6"/>
              <w:spacing w:before="96" w:line="186" w:lineRule="auto"/>
              <w:ind w:left="131"/>
            </w:pPr>
            <w:r>
              <w:rPr>
                <w:spacing w:val="-3"/>
              </w:rPr>
              <w:t>COD</w:t>
            </w:r>
          </w:p>
        </w:tc>
        <w:tc>
          <w:tcPr>
            <w:tcW w:w="991" w:type="dxa"/>
            <w:tcBorders>
              <w:top w:val="single" w:color="000000" w:sz="12" w:space="0"/>
            </w:tcBorders>
            <w:vAlign w:val="top"/>
          </w:tcPr>
          <w:p w14:paraId="7EDF6808">
            <w:pPr>
              <w:pStyle w:val="6"/>
              <w:spacing w:before="96" w:line="225" w:lineRule="auto"/>
              <w:ind w:left="236"/>
              <w:rPr>
                <w:sz w:val="14"/>
                <w:szCs w:val="14"/>
              </w:rPr>
            </w:pPr>
            <w:r>
              <w:rPr>
                <w:spacing w:val="-1"/>
              </w:rPr>
              <w:t>BOD</w:t>
            </w:r>
            <w:r>
              <w:rPr>
                <w:spacing w:val="-1"/>
                <w:position w:val="-1"/>
                <w:sz w:val="14"/>
                <w:szCs w:val="14"/>
              </w:rPr>
              <w:t>5</w:t>
            </w:r>
          </w:p>
        </w:tc>
        <w:tc>
          <w:tcPr>
            <w:tcW w:w="990" w:type="dxa"/>
            <w:tcBorders>
              <w:top w:val="single" w:color="000000" w:sz="12" w:space="0"/>
            </w:tcBorders>
            <w:vAlign w:val="top"/>
          </w:tcPr>
          <w:p w14:paraId="39EEDAF3">
            <w:pPr>
              <w:pStyle w:val="6"/>
              <w:spacing w:before="99" w:line="222" w:lineRule="auto"/>
              <w:ind w:left="191"/>
            </w:pPr>
            <w:r>
              <w:t>NH</w:t>
            </w:r>
            <w:r>
              <w:rPr>
                <w:position w:val="-1"/>
                <w:sz w:val="14"/>
                <w:szCs w:val="14"/>
              </w:rPr>
              <w:t>3</w:t>
            </w:r>
            <w:r>
              <w:t>-N</w:t>
            </w:r>
          </w:p>
        </w:tc>
        <w:tc>
          <w:tcPr>
            <w:tcW w:w="848" w:type="dxa"/>
            <w:tcBorders>
              <w:top w:val="single" w:color="000000" w:sz="12" w:space="0"/>
            </w:tcBorders>
            <w:vAlign w:val="top"/>
          </w:tcPr>
          <w:p w14:paraId="50B0A2BD">
            <w:pPr>
              <w:pStyle w:val="6"/>
              <w:spacing w:before="100" w:line="183" w:lineRule="auto"/>
              <w:ind w:left="305"/>
            </w:pPr>
            <w:r>
              <w:rPr>
                <w:spacing w:val="-4"/>
              </w:rPr>
              <w:t>TP</w:t>
            </w:r>
          </w:p>
        </w:tc>
        <w:tc>
          <w:tcPr>
            <w:tcW w:w="706" w:type="dxa"/>
            <w:tcBorders>
              <w:top w:val="single" w:color="000000" w:sz="12" w:space="0"/>
            </w:tcBorders>
            <w:vAlign w:val="top"/>
          </w:tcPr>
          <w:p w14:paraId="71F88B59">
            <w:pPr>
              <w:spacing w:before="59" w:line="220" w:lineRule="auto"/>
              <w:ind w:left="47"/>
              <w:rPr>
                <w:rFonts w:ascii="宋体" w:hAnsi="宋体" w:eastAsia="宋体" w:cs="宋体"/>
                <w:sz w:val="21"/>
                <w:szCs w:val="21"/>
              </w:rPr>
            </w:pPr>
            <w:r>
              <w:rPr>
                <w:rFonts w:ascii="宋体" w:hAnsi="宋体" w:eastAsia="宋体" w:cs="宋体"/>
                <w:spacing w:val="-3"/>
                <w:sz w:val="21"/>
                <w:szCs w:val="21"/>
              </w:rPr>
              <w:t>石油类</w:t>
            </w:r>
          </w:p>
        </w:tc>
        <w:tc>
          <w:tcPr>
            <w:tcW w:w="1840" w:type="dxa"/>
            <w:tcBorders>
              <w:top w:val="single" w:color="000000" w:sz="12" w:space="0"/>
            </w:tcBorders>
            <w:vAlign w:val="top"/>
          </w:tcPr>
          <w:p w14:paraId="750DE0B7">
            <w:pPr>
              <w:spacing w:before="59" w:line="219" w:lineRule="auto"/>
              <w:ind w:left="108"/>
              <w:rPr>
                <w:rFonts w:ascii="宋体" w:hAnsi="宋体" w:eastAsia="宋体" w:cs="宋体"/>
                <w:sz w:val="21"/>
                <w:szCs w:val="21"/>
              </w:rPr>
            </w:pPr>
            <w:r>
              <w:rPr>
                <w:rFonts w:ascii="宋体" w:hAnsi="宋体" w:eastAsia="宋体" w:cs="宋体"/>
                <w:spacing w:val="-3"/>
                <w:sz w:val="21"/>
                <w:szCs w:val="21"/>
              </w:rPr>
              <w:t>阴离子表面活性剂</w:t>
            </w:r>
          </w:p>
        </w:tc>
        <w:tc>
          <w:tcPr>
            <w:tcW w:w="1950" w:type="dxa"/>
            <w:tcBorders>
              <w:top w:val="single" w:color="000000" w:sz="12" w:space="0"/>
              <w:right w:val="single" w:color="000000" w:sz="12" w:space="0"/>
            </w:tcBorders>
            <w:vAlign w:val="top"/>
          </w:tcPr>
          <w:p w14:paraId="63D946C5">
            <w:pPr>
              <w:spacing w:before="59" w:line="220" w:lineRule="auto"/>
              <w:ind w:left="460"/>
              <w:rPr>
                <w:rFonts w:ascii="宋体" w:hAnsi="宋体" w:eastAsia="宋体" w:cs="宋体"/>
                <w:sz w:val="21"/>
                <w:szCs w:val="21"/>
              </w:rPr>
            </w:pPr>
            <w:r>
              <w:rPr>
                <w:rFonts w:ascii="宋体" w:hAnsi="宋体" w:eastAsia="宋体" w:cs="宋体"/>
                <w:spacing w:val="-2"/>
                <w:sz w:val="21"/>
                <w:szCs w:val="21"/>
              </w:rPr>
              <w:t>粪大肠菌群</w:t>
            </w:r>
          </w:p>
        </w:tc>
      </w:tr>
      <w:tr w14:paraId="36B64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restart"/>
            <w:tcBorders>
              <w:left w:val="single" w:color="000000" w:sz="12" w:space="0"/>
              <w:bottom w:val="nil"/>
            </w:tcBorders>
            <w:vAlign w:val="top"/>
          </w:tcPr>
          <w:p w14:paraId="6C4E2AE6">
            <w:pPr>
              <w:spacing w:line="255" w:lineRule="auto"/>
              <w:rPr>
                <w:rFonts w:ascii="Arial"/>
                <w:sz w:val="21"/>
              </w:rPr>
            </w:pPr>
          </w:p>
          <w:p w14:paraId="721C68C2">
            <w:pPr>
              <w:spacing w:line="255" w:lineRule="auto"/>
              <w:rPr>
                <w:rFonts w:ascii="Arial"/>
                <w:sz w:val="21"/>
              </w:rPr>
            </w:pPr>
          </w:p>
          <w:p w14:paraId="5AAB3DC0">
            <w:pPr>
              <w:spacing w:line="255" w:lineRule="auto"/>
              <w:rPr>
                <w:rFonts w:ascii="Arial"/>
                <w:sz w:val="21"/>
              </w:rPr>
            </w:pPr>
          </w:p>
          <w:p w14:paraId="19B1A060">
            <w:pPr>
              <w:spacing w:line="255" w:lineRule="auto"/>
              <w:rPr>
                <w:rFonts w:ascii="Arial"/>
                <w:sz w:val="21"/>
              </w:rPr>
            </w:pPr>
          </w:p>
          <w:p w14:paraId="44A1D750">
            <w:pPr>
              <w:spacing w:line="255" w:lineRule="auto"/>
              <w:rPr>
                <w:rFonts w:ascii="Arial"/>
                <w:sz w:val="21"/>
              </w:rPr>
            </w:pPr>
          </w:p>
          <w:p w14:paraId="4FCEC054">
            <w:pPr>
              <w:pStyle w:val="6"/>
              <w:spacing w:before="68" w:line="244" w:lineRule="auto"/>
              <w:ind w:left="86" w:right="105" w:firstLine="112"/>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4"/>
              </w:rPr>
              <w:t>（车马碧水库</w:t>
            </w:r>
            <w:r>
              <w:rPr>
                <w:rFonts w:ascii="宋体" w:hAnsi="宋体" w:eastAsia="宋体" w:cs="宋体"/>
                <w:spacing w:val="-2"/>
              </w:rPr>
              <w:t>输水隧洞进口</w:t>
            </w:r>
            <w:r>
              <w:rPr>
                <w:rFonts w:ascii="宋体" w:hAnsi="宋体" w:eastAsia="宋体" w:cs="宋体"/>
                <w:spacing w:val="17"/>
              </w:rPr>
              <w:t>上游</w:t>
            </w:r>
            <w:r>
              <w:rPr>
                <w:rFonts w:ascii="宋体" w:hAnsi="宋体" w:eastAsia="宋体" w:cs="宋体"/>
                <w:spacing w:val="-26"/>
              </w:rPr>
              <w:t xml:space="preserve"> </w:t>
            </w:r>
            <w:r>
              <w:rPr>
                <w:spacing w:val="17"/>
              </w:rPr>
              <w:t>1</w:t>
            </w:r>
            <w:r>
              <w:t>km</w:t>
            </w:r>
            <w:r>
              <w:rPr>
                <w:rFonts w:ascii="宋体" w:hAnsi="宋体" w:eastAsia="宋体" w:cs="宋体"/>
                <w:spacing w:val="17"/>
              </w:rPr>
              <w:t>）</w:t>
            </w:r>
          </w:p>
        </w:tc>
        <w:tc>
          <w:tcPr>
            <w:tcW w:w="329" w:type="dxa"/>
            <w:vMerge w:val="restart"/>
            <w:tcBorders>
              <w:bottom w:val="nil"/>
            </w:tcBorders>
            <w:vAlign w:val="top"/>
          </w:tcPr>
          <w:p w14:paraId="1D3FF024">
            <w:pPr>
              <w:pStyle w:val="6"/>
              <w:spacing w:before="116" w:line="222" w:lineRule="auto"/>
              <w:ind w:left="117"/>
            </w:pPr>
            <w:r>
              <w:t>1</w:t>
            </w:r>
          </w:p>
          <w:p w14:paraId="27C2847B">
            <w:pPr>
              <w:spacing w:line="219" w:lineRule="auto"/>
              <w:ind w:left="49"/>
              <w:rPr>
                <w:rFonts w:ascii="宋体" w:hAnsi="宋体" w:eastAsia="宋体" w:cs="宋体"/>
                <w:sz w:val="21"/>
                <w:szCs w:val="21"/>
              </w:rPr>
            </w:pPr>
            <w:r>
              <w:rPr>
                <w:rFonts w:ascii="宋体" w:hAnsi="宋体" w:eastAsia="宋体" w:cs="宋体"/>
                <w:sz w:val="21"/>
                <w:szCs w:val="21"/>
              </w:rPr>
              <w:t>季</w:t>
            </w:r>
          </w:p>
          <w:p w14:paraId="01370B17">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58C1D13D">
            <w:pPr>
              <w:pStyle w:val="6"/>
              <w:spacing w:before="76" w:line="212" w:lineRule="auto"/>
              <w:ind w:left="151"/>
            </w:pPr>
            <w:r>
              <w:rPr>
                <w:spacing w:val="-1"/>
              </w:rPr>
              <w:t>2020/3/10</w:t>
            </w:r>
          </w:p>
        </w:tc>
        <w:tc>
          <w:tcPr>
            <w:tcW w:w="706" w:type="dxa"/>
            <w:vAlign w:val="top"/>
          </w:tcPr>
          <w:p w14:paraId="6D940F4C">
            <w:pPr>
              <w:pStyle w:val="6"/>
              <w:spacing w:before="76" w:line="212" w:lineRule="auto"/>
              <w:ind w:left="162"/>
            </w:pPr>
            <w:r>
              <w:rPr>
                <w:spacing w:val="-2"/>
              </w:rPr>
              <w:t>0.31</w:t>
            </w:r>
          </w:p>
        </w:tc>
        <w:tc>
          <w:tcPr>
            <w:tcW w:w="707" w:type="dxa"/>
            <w:vAlign w:val="top"/>
          </w:tcPr>
          <w:p w14:paraId="764E30C8">
            <w:pPr>
              <w:pStyle w:val="6"/>
              <w:spacing w:before="76" w:line="212" w:lineRule="auto"/>
              <w:ind w:left="164"/>
            </w:pPr>
            <w:r>
              <w:rPr>
                <w:spacing w:val="-2"/>
              </w:rPr>
              <w:t>0.92</w:t>
            </w:r>
          </w:p>
        </w:tc>
        <w:tc>
          <w:tcPr>
            <w:tcW w:w="989" w:type="dxa"/>
            <w:vAlign w:val="top"/>
          </w:tcPr>
          <w:p w14:paraId="0DDDB56D">
            <w:pPr>
              <w:pStyle w:val="6"/>
              <w:spacing w:before="76" w:line="212" w:lineRule="auto"/>
              <w:ind w:left="308"/>
            </w:pPr>
            <w:r>
              <w:rPr>
                <w:spacing w:val="-2"/>
              </w:rPr>
              <w:t>0.43</w:t>
            </w:r>
          </w:p>
        </w:tc>
        <w:tc>
          <w:tcPr>
            <w:tcW w:w="706" w:type="dxa"/>
            <w:vAlign w:val="top"/>
          </w:tcPr>
          <w:p w14:paraId="0C665993">
            <w:pPr>
              <w:pStyle w:val="6"/>
              <w:spacing w:before="76" w:line="212" w:lineRule="auto"/>
              <w:ind w:left="168"/>
            </w:pPr>
            <w:r>
              <w:rPr>
                <w:spacing w:val="-2"/>
              </w:rPr>
              <w:t>0.30</w:t>
            </w:r>
          </w:p>
        </w:tc>
        <w:tc>
          <w:tcPr>
            <w:tcW w:w="991" w:type="dxa"/>
            <w:vAlign w:val="top"/>
          </w:tcPr>
          <w:p w14:paraId="24BA63BF">
            <w:pPr>
              <w:pStyle w:val="6"/>
              <w:spacing w:before="76" w:line="212" w:lineRule="auto"/>
              <w:ind w:left="313"/>
            </w:pPr>
            <w:r>
              <w:rPr>
                <w:spacing w:val="-2"/>
              </w:rPr>
              <w:t>0.33</w:t>
            </w:r>
          </w:p>
        </w:tc>
        <w:tc>
          <w:tcPr>
            <w:tcW w:w="990" w:type="dxa"/>
            <w:vAlign w:val="top"/>
          </w:tcPr>
          <w:p w14:paraId="48079BFA">
            <w:pPr>
              <w:pStyle w:val="6"/>
              <w:spacing w:before="76" w:line="212" w:lineRule="auto"/>
              <w:ind w:left="315"/>
            </w:pPr>
            <w:r>
              <w:rPr>
                <w:spacing w:val="-2"/>
              </w:rPr>
              <w:t>0.06</w:t>
            </w:r>
          </w:p>
        </w:tc>
        <w:tc>
          <w:tcPr>
            <w:tcW w:w="848" w:type="dxa"/>
            <w:vAlign w:val="top"/>
          </w:tcPr>
          <w:p w14:paraId="5EC5CA85">
            <w:pPr>
              <w:pStyle w:val="6"/>
              <w:spacing w:before="76" w:line="212" w:lineRule="auto"/>
              <w:ind w:left="245"/>
            </w:pPr>
            <w:r>
              <w:rPr>
                <w:spacing w:val="-2"/>
              </w:rPr>
              <w:t>0.25</w:t>
            </w:r>
          </w:p>
        </w:tc>
        <w:tc>
          <w:tcPr>
            <w:tcW w:w="706" w:type="dxa"/>
            <w:vAlign w:val="top"/>
          </w:tcPr>
          <w:p w14:paraId="64D8ABA2">
            <w:pPr>
              <w:pStyle w:val="6"/>
              <w:spacing w:before="76" w:line="212" w:lineRule="auto"/>
              <w:ind w:left="176"/>
            </w:pPr>
            <w:r>
              <w:rPr>
                <w:spacing w:val="-2"/>
              </w:rPr>
              <w:t>0.40</w:t>
            </w:r>
          </w:p>
        </w:tc>
        <w:tc>
          <w:tcPr>
            <w:tcW w:w="1840" w:type="dxa"/>
            <w:vAlign w:val="top"/>
          </w:tcPr>
          <w:p w14:paraId="5BA81FF9">
            <w:pPr>
              <w:pStyle w:val="6"/>
              <w:spacing w:before="167" w:line="100" w:lineRule="exact"/>
              <w:ind w:left="862"/>
            </w:pPr>
            <w:r>
              <w:rPr>
                <w:spacing w:val="-3"/>
                <w:position w:val="-6"/>
              </w:rPr>
              <w:t>--</w:t>
            </w:r>
          </w:p>
        </w:tc>
        <w:tc>
          <w:tcPr>
            <w:tcW w:w="1950" w:type="dxa"/>
            <w:tcBorders>
              <w:right w:val="single" w:color="000000" w:sz="12" w:space="0"/>
            </w:tcBorders>
            <w:vAlign w:val="top"/>
          </w:tcPr>
          <w:p w14:paraId="7FC190B5">
            <w:pPr>
              <w:pStyle w:val="6"/>
              <w:spacing w:before="76" w:line="212" w:lineRule="auto"/>
              <w:ind w:left="799"/>
            </w:pPr>
            <w:r>
              <w:rPr>
                <w:spacing w:val="-2"/>
              </w:rPr>
              <w:t>0.02</w:t>
            </w:r>
          </w:p>
        </w:tc>
      </w:tr>
      <w:tr w14:paraId="13787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AF82802">
            <w:pPr>
              <w:rPr>
                <w:rFonts w:ascii="Arial"/>
                <w:sz w:val="21"/>
              </w:rPr>
            </w:pPr>
          </w:p>
        </w:tc>
        <w:tc>
          <w:tcPr>
            <w:tcW w:w="329" w:type="dxa"/>
            <w:vMerge w:val="continue"/>
            <w:tcBorders>
              <w:top w:val="nil"/>
              <w:bottom w:val="nil"/>
            </w:tcBorders>
            <w:vAlign w:val="top"/>
          </w:tcPr>
          <w:p w14:paraId="302A932E">
            <w:pPr>
              <w:rPr>
                <w:rFonts w:ascii="Arial"/>
                <w:sz w:val="21"/>
              </w:rPr>
            </w:pPr>
          </w:p>
        </w:tc>
        <w:tc>
          <w:tcPr>
            <w:tcW w:w="1179" w:type="dxa"/>
            <w:vAlign w:val="top"/>
          </w:tcPr>
          <w:p w14:paraId="4B8898A4">
            <w:pPr>
              <w:pStyle w:val="6"/>
              <w:spacing w:before="78" w:line="212" w:lineRule="auto"/>
              <w:ind w:left="151"/>
            </w:pPr>
            <w:r>
              <w:rPr>
                <w:spacing w:val="-1"/>
              </w:rPr>
              <w:t>2020/3/11</w:t>
            </w:r>
          </w:p>
        </w:tc>
        <w:tc>
          <w:tcPr>
            <w:tcW w:w="706" w:type="dxa"/>
            <w:vAlign w:val="top"/>
          </w:tcPr>
          <w:p w14:paraId="556E94EF">
            <w:pPr>
              <w:pStyle w:val="6"/>
              <w:spacing w:before="78" w:line="212" w:lineRule="auto"/>
              <w:ind w:left="162"/>
            </w:pPr>
            <w:r>
              <w:rPr>
                <w:spacing w:val="-2"/>
              </w:rPr>
              <w:t>0.29</w:t>
            </w:r>
          </w:p>
        </w:tc>
        <w:tc>
          <w:tcPr>
            <w:tcW w:w="707" w:type="dxa"/>
            <w:vAlign w:val="top"/>
          </w:tcPr>
          <w:p w14:paraId="46C04B47">
            <w:pPr>
              <w:pStyle w:val="6"/>
              <w:spacing w:before="78" w:line="212" w:lineRule="auto"/>
              <w:ind w:left="164"/>
            </w:pPr>
            <w:r>
              <w:rPr>
                <w:spacing w:val="-2"/>
              </w:rPr>
              <w:t>0.98</w:t>
            </w:r>
          </w:p>
        </w:tc>
        <w:tc>
          <w:tcPr>
            <w:tcW w:w="989" w:type="dxa"/>
            <w:vAlign w:val="top"/>
          </w:tcPr>
          <w:p w14:paraId="32E96F0E">
            <w:pPr>
              <w:pStyle w:val="6"/>
              <w:spacing w:before="78" w:line="212" w:lineRule="auto"/>
              <w:ind w:left="308"/>
            </w:pPr>
            <w:r>
              <w:rPr>
                <w:spacing w:val="-2"/>
              </w:rPr>
              <w:t>0.47</w:t>
            </w:r>
          </w:p>
        </w:tc>
        <w:tc>
          <w:tcPr>
            <w:tcW w:w="706" w:type="dxa"/>
            <w:vAlign w:val="top"/>
          </w:tcPr>
          <w:p w14:paraId="446CA21D">
            <w:pPr>
              <w:pStyle w:val="6"/>
              <w:spacing w:before="78" w:line="212" w:lineRule="auto"/>
              <w:ind w:left="168"/>
            </w:pPr>
            <w:r>
              <w:rPr>
                <w:spacing w:val="-2"/>
              </w:rPr>
              <w:t>0.40</w:t>
            </w:r>
          </w:p>
        </w:tc>
        <w:tc>
          <w:tcPr>
            <w:tcW w:w="991" w:type="dxa"/>
            <w:vAlign w:val="top"/>
          </w:tcPr>
          <w:p w14:paraId="6006EA38">
            <w:pPr>
              <w:pStyle w:val="6"/>
              <w:spacing w:before="78" w:line="212" w:lineRule="auto"/>
              <w:ind w:left="313"/>
            </w:pPr>
            <w:r>
              <w:rPr>
                <w:spacing w:val="-2"/>
              </w:rPr>
              <w:t>0.40</w:t>
            </w:r>
          </w:p>
        </w:tc>
        <w:tc>
          <w:tcPr>
            <w:tcW w:w="990" w:type="dxa"/>
            <w:vAlign w:val="top"/>
          </w:tcPr>
          <w:p w14:paraId="689BCB7D">
            <w:pPr>
              <w:pStyle w:val="6"/>
              <w:spacing w:before="78" w:line="212" w:lineRule="auto"/>
              <w:ind w:left="315"/>
            </w:pPr>
            <w:r>
              <w:rPr>
                <w:spacing w:val="-2"/>
              </w:rPr>
              <w:t>0.05</w:t>
            </w:r>
          </w:p>
        </w:tc>
        <w:tc>
          <w:tcPr>
            <w:tcW w:w="848" w:type="dxa"/>
            <w:vAlign w:val="top"/>
          </w:tcPr>
          <w:p w14:paraId="04D39B2E">
            <w:pPr>
              <w:pStyle w:val="6"/>
              <w:spacing w:before="78" w:line="212" w:lineRule="auto"/>
              <w:ind w:left="245"/>
            </w:pPr>
            <w:r>
              <w:rPr>
                <w:spacing w:val="-2"/>
              </w:rPr>
              <w:t>0.30</w:t>
            </w:r>
          </w:p>
        </w:tc>
        <w:tc>
          <w:tcPr>
            <w:tcW w:w="706" w:type="dxa"/>
            <w:vAlign w:val="top"/>
          </w:tcPr>
          <w:p w14:paraId="4B98470C">
            <w:pPr>
              <w:pStyle w:val="6"/>
              <w:spacing w:before="78" w:line="212" w:lineRule="auto"/>
              <w:ind w:left="176"/>
            </w:pPr>
            <w:r>
              <w:rPr>
                <w:spacing w:val="-2"/>
              </w:rPr>
              <w:t>0.60</w:t>
            </w:r>
          </w:p>
        </w:tc>
        <w:tc>
          <w:tcPr>
            <w:tcW w:w="1840" w:type="dxa"/>
            <w:vAlign w:val="top"/>
          </w:tcPr>
          <w:p w14:paraId="61A10ECA">
            <w:pPr>
              <w:pStyle w:val="6"/>
              <w:spacing w:before="169" w:line="100" w:lineRule="exact"/>
              <w:ind w:left="862"/>
            </w:pPr>
            <w:r>
              <w:rPr>
                <w:spacing w:val="-3"/>
                <w:position w:val="-6"/>
              </w:rPr>
              <w:t>--</w:t>
            </w:r>
          </w:p>
        </w:tc>
        <w:tc>
          <w:tcPr>
            <w:tcW w:w="1950" w:type="dxa"/>
            <w:tcBorders>
              <w:right w:val="single" w:color="000000" w:sz="12" w:space="0"/>
            </w:tcBorders>
            <w:vAlign w:val="top"/>
          </w:tcPr>
          <w:p w14:paraId="0AC980C6">
            <w:pPr>
              <w:pStyle w:val="6"/>
              <w:spacing w:before="78" w:line="212" w:lineRule="auto"/>
              <w:ind w:left="799"/>
            </w:pPr>
            <w:r>
              <w:rPr>
                <w:spacing w:val="-2"/>
              </w:rPr>
              <w:t>0.02</w:t>
            </w:r>
          </w:p>
        </w:tc>
      </w:tr>
      <w:tr w14:paraId="52E8E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BFF0C9B">
            <w:pPr>
              <w:rPr>
                <w:rFonts w:ascii="Arial"/>
                <w:sz w:val="21"/>
              </w:rPr>
            </w:pPr>
          </w:p>
        </w:tc>
        <w:tc>
          <w:tcPr>
            <w:tcW w:w="329" w:type="dxa"/>
            <w:vMerge w:val="continue"/>
            <w:tcBorders>
              <w:top w:val="nil"/>
            </w:tcBorders>
            <w:vAlign w:val="top"/>
          </w:tcPr>
          <w:p w14:paraId="79E9E7CE">
            <w:pPr>
              <w:rPr>
                <w:rFonts w:ascii="Arial"/>
                <w:sz w:val="21"/>
              </w:rPr>
            </w:pPr>
          </w:p>
        </w:tc>
        <w:tc>
          <w:tcPr>
            <w:tcW w:w="1179" w:type="dxa"/>
            <w:vAlign w:val="top"/>
          </w:tcPr>
          <w:p w14:paraId="138CFFCD">
            <w:pPr>
              <w:pStyle w:val="6"/>
              <w:spacing w:before="79" w:line="210" w:lineRule="auto"/>
              <w:ind w:left="151"/>
            </w:pPr>
            <w:r>
              <w:rPr>
                <w:spacing w:val="-1"/>
              </w:rPr>
              <w:t>2020/3/12</w:t>
            </w:r>
          </w:p>
        </w:tc>
        <w:tc>
          <w:tcPr>
            <w:tcW w:w="706" w:type="dxa"/>
            <w:vAlign w:val="top"/>
          </w:tcPr>
          <w:p w14:paraId="09EB55FD">
            <w:pPr>
              <w:pStyle w:val="6"/>
              <w:spacing w:before="79" w:line="210" w:lineRule="auto"/>
              <w:ind w:left="162"/>
            </w:pPr>
            <w:r>
              <w:rPr>
                <w:spacing w:val="-2"/>
              </w:rPr>
              <w:t>0.23</w:t>
            </w:r>
          </w:p>
        </w:tc>
        <w:tc>
          <w:tcPr>
            <w:tcW w:w="707" w:type="dxa"/>
            <w:vAlign w:val="top"/>
          </w:tcPr>
          <w:p w14:paraId="5B14F1C6">
            <w:pPr>
              <w:pStyle w:val="6"/>
              <w:spacing w:before="79" w:line="210" w:lineRule="auto"/>
              <w:ind w:left="164"/>
            </w:pPr>
            <w:r>
              <w:rPr>
                <w:spacing w:val="-2"/>
              </w:rPr>
              <w:t>0.88</w:t>
            </w:r>
          </w:p>
        </w:tc>
        <w:tc>
          <w:tcPr>
            <w:tcW w:w="989" w:type="dxa"/>
            <w:vAlign w:val="top"/>
          </w:tcPr>
          <w:p w14:paraId="08E8AEC0">
            <w:pPr>
              <w:pStyle w:val="6"/>
              <w:spacing w:before="79" w:line="210" w:lineRule="auto"/>
              <w:ind w:left="308"/>
            </w:pPr>
            <w:r>
              <w:rPr>
                <w:spacing w:val="-2"/>
              </w:rPr>
              <w:t>0.42</w:t>
            </w:r>
          </w:p>
        </w:tc>
        <w:tc>
          <w:tcPr>
            <w:tcW w:w="706" w:type="dxa"/>
            <w:vAlign w:val="top"/>
          </w:tcPr>
          <w:p w14:paraId="10128B7E">
            <w:pPr>
              <w:pStyle w:val="6"/>
              <w:spacing w:before="79" w:line="210" w:lineRule="auto"/>
              <w:ind w:left="168"/>
            </w:pPr>
            <w:r>
              <w:rPr>
                <w:spacing w:val="-2"/>
              </w:rPr>
              <w:t>0.30</w:t>
            </w:r>
          </w:p>
        </w:tc>
        <w:tc>
          <w:tcPr>
            <w:tcW w:w="991" w:type="dxa"/>
            <w:vAlign w:val="top"/>
          </w:tcPr>
          <w:p w14:paraId="7A4A4E0B">
            <w:pPr>
              <w:pStyle w:val="6"/>
              <w:spacing w:before="79" w:line="210" w:lineRule="auto"/>
              <w:ind w:left="313"/>
            </w:pPr>
            <w:r>
              <w:rPr>
                <w:spacing w:val="-2"/>
              </w:rPr>
              <w:t>0.30</w:t>
            </w:r>
          </w:p>
        </w:tc>
        <w:tc>
          <w:tcPr>
            <w:tcW w:w="990" w:type="dxa"/>
            <w:vAlign w:val="top"/>
          </w:tcPr>
          <w:p w14:paraId="1CD2D12B">
            <w:pPr>
              <w:pStyle w:val="6"/>
              <w:spacing w:before="79" w:line="210" w:lineRule="auto"/>
              <w:ind w:left="315"/>
            </w:pPr>
            <w:r>
              <w:rPr>
                <w:spacing w:val="-2"/>
              </w:rPr>
              <w:t>0.06</w:t>
            </w:r>
          </w:p>
        </w:tc>
        <w:tc>
          <w:tcPr>
            <w:tcW w:w="848" w:type="dxa"/>
            <w:vAlign w:val="top"/>
          </w:tcPr>
          <w:p w14:paraId="0456DCB6">
            <w:pPr>
              <w:pStyle w:val="6"/>
              <w:spacing w:before="79" w:line="210" w:lineRule="auto"/>
              <w:ind w:left="245"/>
            </w:pPr>
            <w:r>
              <w:rPr>
                <w:spacing w:val="-2"/>
              </w:rPr>
              <w:t>0.25</w:t>
            </w:r>
          </w:p>
        </w:tc>
        <w:tc>
          <w:tcPr>
            <w:tcW w:w="706" w:type="dxa"/>
            <w:vAlign w:val="top"/>
          </w:tcPr>
          <w:p w14:paraId="70856875">
            <w:pPr>
              <w:pStyle w:val="6"/>
              <w:spacing w:before="79" w:line="210" w:lineRule="auto"/>
              <w:ind w:left="176"/>
            </w:pPr>
            <w:r>
              <w:rPr>
                <w:spacing w:val="-2"/>
              </w:rPr>
              <w:t>0.40</w:t>
            </w:r>
          </w:p>
        </w:tc>
        <w:tc>
          <w:tcPr>
            <w:tcW w:w="1840" w:type="dxa"/>
            <w:vAlign w:val="top"/>
          </w:tcPr>
          <w:p w14:paraId="1109C895">
            <w:pPr>
              <w:pStyle w:val="6"/>
              <w:spacing w:before="170" w:line="100" w:lineRule="exact"/>
              <w:ind w:left="862"/>
            </w:pPr>
            <w:r>
              <w:rPr>
                <w:spacing w:val="-3"/>
                <w:position w:val="-6"/>
              </w:rPr>
              <w:t>--</w:t>
            </w:r>
          </w:p>
        </w:tc>
        <w:tc>
          <w:tcPr>
            <w:tcW w:w="1950" w:type="dxa"/>
            <w:tcBorders>
              <w:right w:val="single" w:color="000000" w:sz="12" w:space="0"/>
            </w:tcBorders>
            <w:vAlign w:val="top"/>
          </w:tcPr>
          <w:p w14:paraId="78D562FA">
            <w:pPr>
              <w:pStyle w:val="6"/>
              <w:spacing w:before="79" w:line="210" w:lineRule="auto"/>
              <w:ind w:left="799"/>
            </w:pPr>
            <w:r>
              <w:rPr>
                <w:spacing w:val="-2"/>
              </w:rPr>
              <w:t>0.02</w:t>
            </w:r>
          </w:p>
        </w:tc>
      </w:tr>
      <w:tr w14:paraId="24E59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FAF1CD0">
            <w:pPr>
              <w:rPr>
                <w:rFonts w:ascii="Arial"/>
                <w:sz w:val="21"/>
              </w:rPr>
            </w:pPr>
          </w:p>
        </w:tc>
        <w:tc>
          <w:tcPr>
            <w:tcW w:w="329" w:type="dxa"/>
            <w:vMerge w:val="restart"/>
            <w:tcBorders>
              <w:bottom w:val="nil"/>
            </w:tcBorders>
            <w:vAlign w:val="top"/>
          </w:tcPr>
          <w:p w14:paraId="5DA03316">
            <w:pPr>
              <w:pStyle w:val="6"/>
              <w:spacing w:before="120" w:line="223" w:lineRule="auto"/>
              <w:ind w:left="97"/>
            </w:pPr>
            <w:r>
              <w:t>2</w:t>
            </w:r>
          </w:p>
          <w:p w14:paraId="5BB9DFCC">
            <w:pPr>
              <w:spacing w:line="219" w:lineRule="auto"/>
              <w:ind w:left="49"/>
              <w:rPr>
                <w:rFonts w:ascii="宋体" w:hAnsi="宋体" w:eastAsia="宋体" w:cs="宋体"/>
                <w:sz w:val="21"/>
                <w:szCs w:val="21"/>
              </w:rPr>
            </w:pPr>
            <w:r>
              <w:rPr>
                <w:rFonts w:ascii="宋体" w:hAnsi="宋体" w:eastAsia="宋体" w:cs="宋体"/>
                <w:sz w:val="21"/>
                <w:szCs w:val="21"/>
              </w:rPr>
              <w:t>季</w:t>
            </w:r>
          </w:p>
          <w:p w14:paraId="42F86B90">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068E8323">
            <w:pPr>
              <w:pStyle w:val="6"/>
              <w:spacing w:before="80" w:line="210" w:lineRule="auto"/>
              <w:ind w:left="151"/>
            </w:pPr>
            <w:r>
              <w:rPr>
                <w:spacing w:val="-1"/>
              </w:rPr>
              <w:t>2020/5/20</w:t>
            </w:r>
          </w:p>
        </w:tc>
        <w:tc>
          <w:tcPr>
            <w:tcW w:w="706" w:type="dxa"/>
            <w:vAlign w:val="top"/>
          </w:tcPr>
          <w:p w14:paraId="2B2F7640">
            <w:pPr>
              <w:pStyle w:val="6"/>
              <w:spacing w:before="80" w:line="210" w:lineRule="auto"/>
              <w:ind w:left="162"/>
            </w:pPr>
            <w:r>
              <w:rPr>
                <w:spacing w:val="-2"/>
              </w:rPr>
              <w:t>0.15</w:t>
            </w:r>
          </w:p>
        </w:tc>
        <w:tc>
          <w:tcPr>
            <w:tcW w:w="707" w:type="dxa"/>
            <w:vAlign w:val="top"/>
          </w:tcPr>
          <w:p w14:paraId="3F84B68F">
            <w:pPr>
              <w:pStyle w:val="6"/>
              <w:spacing w:before="80" w:line="210" w:lineRule="auto"/>
              <w:ind w:left="164"/>
            </w:pPr>
            <w:r>
              <w:rPr>
                <w:spacing w:val="-2"/>
              </w:rPr>
              <w:t>0.98</w:t>
            </w:r>
          </w:p>
        </w:tc>
        <w:tc>
          <w:tcPr>
            <w:tcW w:w="989" w:type="dxa"/>
            <w:vAlign w:val="top"/>
          </w:tcPr>
          <w:p w14:paraId="313E7DD2">
            <w:pPr>
              <w:pStyle w:val="6"/>
              <w:spacing w:before="80" w:line="210" w:lineRule="auto"/>
              <w:ind w:left="308"/>
            </w:pPr>
            <w:r>
              <w:rPr>
                <w:spacing w:val="-2"/>
              </w:rPr>
              <w:t>0.68</w:t>
            </w:r>
          </w:p>
        </w:tc>
        <w:tc>
          <w:tcPr>
            <w:tcW w:w="706" w:type="dxa"/>
            <w:vAlign w:val="top"/>
          </w:tcPr>
          <w:p w14:paraId="3EFA1B48">
            <w:pPr>
              <w:pStyle w:val="6"/>
              <w:spacing w:before="80" w:line="210" w:lineRule="auto"/>
              <w:ind w:left="168"/>
            </w:pPr>
            <w:r>
              <w:rPr>
                <w:spacing w:val="-2"/>
              </w:rPr>
              <w:t>0.35</w:t>
            </w:r>
          </w:p>
        </w:tc>
        <w:tc>
          <w:tcPr>
            <w:tcW w:w="991" w:type="dxa"/>
            <w:vAlign w:val="top"/>
          </w:tcPr>
          <w:p w14:paraId="07AD35B8">
            <w:pPr>
              <w:pStyle w:val="6"/>
              <w:spacing w:before="80" w:line="210" w:lineRule="auto"/>
              <w:ind w:left="313"/>
            </w:pPr>
            <w:r>
              <w:rPr>
                <w:spacing w:val="-2"/>
              </w:rPr>
              <w:t>0.35</w:t>
            </w:r>
          </w:p>
        </w:tc>
        <w:tc>
          <w:tcPr>
            <w:tcW w:w="990" w:type="dxa"/>
            <w:vAlign w:val="top"/>
          </w:tcPr>
          <w:p w14:paraId="316316C0">
            <w:pPr>
              <w:pStyle w:val="6"/>
              <w:spacing w:before="80" w:line="210" w:lineRule="auto"/>
              <w:ind w:left="315"/>
            </w:pPr>
            <w:r>
              <w:rPr>
                <w:spacing w:val="-2"/>
              </w:rPr>
              <w:t>0.13</w:t>
            </w:r>
          </w:p>
        </w:tc>
        <w:tc>
          <w:tcPr>
            <w:tcW w:w="848" w:type="dxa"/>
            <w:vAlign w:val="top"/>
          </w:tcPr>
          <w:p w14:paraId="119A2C87">
            <w:pPr>
              <w:pStyle w:val="6"/>
              <w:spacing w:before="80" w:line="210" w:lineRule="auto"/>
              <w:ind w:left="245"/>
            </w:pPr>
            <w:r>
              <w:rPr>
                <w:spacing w:val="-2"/>
              </w:rPr>
              <w:t>0.25</w:t>
            </w:r>
          </w:p>
        </w:tc>
        <w:tc>
          <w:tcPr>
            <w:tcW w:w="706" w:type="dxa"/>
            <w:vAlign w:val="top"/>
          </w:tcPr>
          <w:p w14:paraId="342D80FE">
            <w:pPr>
              <w:pStyle w:val="6"/>
              <w:spacing w:before="80" w:line="210" w:lineRule="auto"/>
              <w:ind w:left="176"/>
            </w:pPr>
            <w:r>
              <w:rPr>
                <w:spacing w:val="-2"/>
              </w:rPr>
              <w:t>0.40</w:t>
            </w:r>
          </w:p>
        </w:tc>
        <w:tc>
          <w:tcPr>
            <w:tcW w:w="1840" w:type="dxa"/>
            <w:vAlign w:val="top"/>
          </w:tcPr>
          <w:p w14:paraId="75C52B34">
            <w:pPr>
              <w:pStyle w:val="6"/>
              <w:spacing w:before="171" w:line="100" w:lineRule="exact"/>
              <w:ind w:left="862"/>
            </w:pPr>
            <w:r>
              <w:rPr>
                <w:spacing w:val="-3"/>
                <w:position w:val="-6"/>
              </w:rPr>
              <w:t>--</w:t>
            </w:r>
          </w:p>
        </w:tc>
        <w:tc>
          <w:tcPr>
            <w:tcW w:w="1950" w:type="dxa"/>
            <w:tcBorders>
              <w:right w:val="single" w:color="000000" w:sz="12" w:space="0"/>
            </w:tcBorders>
            <w:vAlign w:val="top"/>
          </w:tcPr>
          <w:p w14:paraId="466A89D7">
            <w:pPr>
              <w:pStyle w:val="6"/>
              <w:spacing w:before="80" w:line="210" w:lineRule="auto"/>
              <w:ind w:left="799"/>
            </w:pPr>
            <w:r>
              <w:rPr>
                <w:spacing w:val="-2"/>
              </w:rPr>
              <w:t>0.08</w:t>
            </w:r>
          </w:p>
        </w:tc>
      </w:tr>
      <w:tr w14:paraId="720C6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198A932">
            <w:pPr>
              <w:rPr>
                <w:rFonts w:ascii="Arial"/>
                <w:sz w:val="21"/>
              </w:rPr>
            </w:pPr>
          </w:p>
        </w:tc>
        <w:tc>
          <w:tcPr>
            <w:tcW w:w="329" w:type="dxa"/>
            <w:vMerge w:val="continue"/>
            <w:tcBorders>
              <w:top w:val="nil"/>
              <w:bottom w:val="nil"/>
            </w:tcBorders>
            <w:vAlign w:val="top"/>
          </w:tcPr>
          <w:p w14:paraId="5CD2A699">
            <w:pPr>
              <w:rPr>
                <w:rFonts w:ascii="Arial"/>
                <w:sz w:val="21"/>
              </w:rPr>
            </w:pPr>
          </w:p>
        </w:tc>
        <w:tc>
          <w:tcPr>
            <w:tcW w:w="1179" w:type="dxa"/>
            <w:vAlign w:val="top"/>
          </w:tcPr>
          <w:p w14:paraId="7E2C0B44">
            <w:pPr>
              <w:pStyle w:val="6"/>
              <w:spacing w:before="80" w:line="209" w:lineRule="auto"/>
              <w:ind w:left="151"/>
            </w:pPr>
            <w:r>
              <w:rPr>
                <w:spacing w:val="-1"/>
              </w:rPr>
              <w:t>2020/5/21</w:t>
            </w:r>
          </w:p>
        </w:tc>
        <w:tc>
          <w:tcPr>
            <w:tcW w:w="706" w:type="dxa"/>
            <w:vAlign w:val="top"/>
          </w:tcPr>
          <w:p w14:paraId="1A609EF0">
            <w:pPr>
              <w:pStyle w:val="6"/>
              <w:spacing w:before="80" w:line="209" w:lineRule="auto"/>
              <w:ind w:left="162"/>
            </w:pPr>
            <w:r>
              <w:rPr>
                <w:spacing w:val="-2"/>
              </w:rPr>
              <w:t>0.12</w:t>
            </w:r>
          </w:p>
        </w:tc>
        <w:tc>
          <w:tcPr>
            <w:tcW w:w="707" w:type="dxa"/>
            <w:vAlign w:val="top"/>
          </w:tcPr>
          <w:p w14:paraId="4F175F5C">
            <w:pPr>
              <w:pStyle w:val="6"/>
              <w:spacing w:before="80" w:line="209" w:lineRule="auto"/>
              <w:ind w:left="164"/>
            </w:pPr>
            <w:r>
              <w:rPr>
                <w:spacing w:val="-2"/>
              </w:rPr>
              <w:t>0.94</w:t>
            </w:r>
          </w:p>
        </w:tc>
        <w:tc>
          <w:tcPr>
            <w:tcW w:w="989" w:type="dxa"/>
            <w:vAlign w:val="top"/>
          </w:tcPr>
          <w:p w14:paraId="748A4C4D">
            <w:pPr>
              <w:pStyle w:val="6"/>
              <w:spacing w:before="80" w:line="209" w:lineRule="auto"/>
              <w:ind w:left="308"/>
            </w:pPr>
            <w:r>
              <w:rPr>
                <w:spacing w:val="-2"/>
              </w:rPr>
              <w:t>0.72</w:t>
            </w:r>
          </w:p>
        </w:tc>
        <w:tc>
          <w:tcPr>
            <w:tcW w:w="706" w:type="dxa"/>
            <w:vAlign w:val="top"/>
          </w:tcPr>
          <w:p w14:paraId="6147B712">
            <w:pPr>
              <w:pStyle w:val="6"/>
              <w:spacing w:before="80" w:line="209" w:lineRule="auto"/>
              <w:ind w:left="168"/>
            </w:pPr>
            <w:r>
              <w:rPr>
                <w:spacing w:val="-2"/>
              </w:rPr>
              <w:t>0.40</w:t>
            </w:r>
          </w:p>
        </w:tc>
        <w:tc>
          <w:tcPr>
            <w:tcW w:w="991" w:type="dxa"/>
            <w:vAlign w:val="top"/>
          </w:tcPr>
          <w:p w14:paraId="36C07049">
            <w:pPr>
              <w:pStyle w:val="6"/>
              <w:spacing w:before="80" w:line="209" w:lineRule="auto"/>
              <w:ind w:left="313"/>
            </w:pPr>
            <w:r>
              <w:rPr>
                <w:spacing w:val="-2"/>
              </w:rPr>
              <w:t>0.45</w:t>
            </w:r>
          </w:p>
        </w:tc>
        <w:tc>
          <w:tcPr>
            <w:tcW w:w="990" w:type="dxa"/>
            <w:vAlign w:val="top"/>
          </w:tcPr>
          <w:p w14:paraId="5F762616">
            <w:pPr>
              <w:pStyle w:val="6"/>
              <w:spacing w:before="80" w:line="209" w:lineRule="auto"/>
              <w:ind w:left="315"/>
            </w:pPr>
            <w:r>
              <w:rPr>
                <w:spacing w:val="-2"/>
              </w:rPr>
              <w:t>0.13</w:t>
            </w:r>
          </w:p>
        </w:tc>
        <w:tc>
          <w:tcPr>
            <w:tcW w:w="848" w:type="dxa"/>
            <w:vAlign w:val="top"/>
          </w:tcPr>
          <w:p w14:paraId="0185481B">
            <w:pPr>
              <w:pStyle w:val="6"/>
              <w:spacing w:before="80" w:line="209" w:lineRule="auto"/>
              <w:ind w:left="245"/>
            </w:pPr>
            <w:r>
              <w:rPr>
                <w:spacing w:val="-2"/>
              </w:rPr>
              <w:t>0.25</w:t>
            </w:r>
          </w:p>
        </w:tc>
        <w:tc>
          <w:tcPr>
            <w:tcW w:w="706" w:type="dxa"/>
            <w:vAlign w:val="top"/>
          </w:tcPr>
          <w:p w14:paraId="20144D4D">
            <w:pPr>
              <w:pStyle w:val="6"/>
              <w:spacing w:before="80" w:line="209" w:lineRule="auto"/>
              <w:ind w:left="176"/>
            </w:pPr>
            <w:r>
              <w:rPr>
                <w:spacing w:val="-2"/>
              </w:rPr>
              <w:t>0.20</w:t>
            </w:r>
          </w:p>
        </w:tc>
        <w:tc>
          <w:tcPr>
            <w:tcW w:w="1840" w:type="dxa"/>
            <w:vAlign w:val="top"/>
          </w:tcPr>
          <w:p w14:paraId="19B1C395">
            <w:pPr>
              <w:pStyle w:val="6"/>
              <w:spacing w:before="171" w:line="100" w:lineRule="exact"/>
              <w:ind w:left="862"/>
            </w:pPr>
            <w:r>
              <w:rPr>
                <w:spacing w:val="-3"/>
                <w:position w:val="-6"/>
              </w:rPr>
              <w:t>--</w:t>
            </w:r>
          </w:p>
        </w:tc>
        <w:tc>
          <w:tcPr>
            <w:tcW w:w="1950" w:type="dxa"/>
            <w:tcBorders>
              <w:right w:val="single" w:color="000000" w:sz="12" w:space="0"/>
            </w:tcBorders>
            <w:vAlign w:val="top"/>
          </w:tcPr>
          <w:p w14:paraId="49F97337">
            <w:pPr>
              <w:pStyle w:val="6"/>
              <w:spacing w:before="80" w:line="209" w:lineRule="auto"/>
              <w:ind w:left="799"/>
            </w:pPr>
            <w:r>
              <w:rPr>
                <w:spacing w:val="-2"/>
              </w:rPr>
              <w:t>0.08</w:t>
            </w:r>
          </w:p>
        </w:tc>
      </w:tr>
      <w:tr w14:paraId="4CCBA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DD42784">
            <w:pPr>
              <w:rPr>
                <w:rFonts w:ascii="Arial"/>
                <w:sz w:val="21"/>
              </w:rPr>
            </w:pPr>
          </w:p>
        </w:tc>
        <w:tc>
          <w:tcPr>
            <w:tcW w:w="329" w:type="dxa"/>
            <w:vMerge w:val="continue"/>
            <w:tcBorders>
              <w:top w:val="nil"/>
            </w:tcBorders>
            <w:vAlign w:val="top"/>
          </w:tcPr>
          <w:p w14:paraId="2EACE08A">
            <w:pPr>
              <w:rPr>
                <w:rFonts w:ascii="Arial"/>
                <w:sz w:val="21"/>
              </w:rPr>
            </w:pPr>
          </w:p>
        </w:tc>
        <w:tc>
          <w:tcPr>
            <w:tcW w:w="1179" w:type="dxa"/>
            <w:vAlign w:val="top"/>
          </w:tcPr>
          <w:p w14:paraId="6C530E4C">
            <w:pPr>
              <w:pStyle w:val="6"/>
              <w:spacing w:before="83" w:line="206" w:lineRule="auto"/>
              <w:ind w:left="151"/>
            </w:pPr>
            <w:r>
              <w:rPr>
                <w:spacing w:val="-1"/>
              </w:rPr>
              <w:t>2020/5/22</w:t>
            </w:r>
          </w:p>
        </w:tc>
        <w:tc>
          <w:tcPr>
            <w:tcW w:w="706" w:type="dxa"/>
            <w:vAlign w:val="top"/>
          </w:tcPr>
          <w:p w14:paraId="2527F9E4">
            <w:pPr>
              <w:pStyle w:val="6"/>
              <w:spacing w:before="83" w:line="206" w:lineRule="auto"/>
              <w:ind w:left="162"/>
            </w:pPr>
            <w:r>
              <w:rPr>
                <w:spacing w:val="-2"/>
              </w:rPr>
              <w:t>0.12</w:t>
            </w:r>
          </w:p>
        </w:tc>
        <w:tc>
          <w:tcPr>
            <w:tcW w:w="707" w:type="dxa"/>
            <w:vAlign w:val="top"/>
          </w:tcPr>
          <w:p w14:paraId="7B9978EB">
            <w:pPr>
              <w:pStyle w:val="6"/>
              <w:spacing w:before="83" w:line="206" w:lineRule="auto"/>
              <w:ind w:left="164"/>
            </w:pPr>
            <w:r>
              <w:rPr>
                <w:spacing w:val="-2"/>
              </w:rPr>
              <w:t>0.85</w:t>
            </w:r>
          </w:p>
        </w:tc>
        <w:tc>
          <w:tcPr>
            <w:tcW w:w="989" w:type="dxa"/>
            <w:vAlign w:val="top"/>
          </w:tcPr>
          <w:p w14:paraId="59A012F7">
            <w:pPr>
              <w:pStyle w:val="6"/>
              <w:spacing w:before="83" w:line="206" w:lineRule="auto"/>
              <w:ind w:left="308"/>
            </w:pPr>
            <w:r>
              <w:rPr>
                <w:spacing w:val="-2"/>
              </w:rPr>
              <w:t>0.67</w:t>
            </w:r>
          </w:p>
        </w:tc>
        <w:tc>
          <w:tcPr>
            <w:tcW w:w="706" w:type="dxa"/>
            <w:vAlign w:val="top"/>
          </w:tcPr>
          <w:p w14:paraId="4365BDB9">
            <w:pPr>
              <w:pStyle w:val="6"/>
              <w:spacing w:before="83" w:line="206" w:lineRule="auto"/>
              <w:ind w:left="168"/>
            </w:pPr>
            <w:r>
              <w:rPr>
                <w:spacing w:val="-2"/>
              </w:rPr>
              <w:t>0.40</w:t>
            </w:r>
          </w:p>
        </w:tc>
        <w:tc>
          <w:tcPr>
            <w:tcW w:w="991" w:type="dxa"/>
            <w:vAlign w:val="top"/>
          </w:tcPr>
          <w:p w14:paraId="62F89C80">
            <w:pPr>
              <w:pStyle w:val="6"/>
              <w:spacing w:before="83" w:line="206" w:lineRule="auto"/>
              <w:ind w:left="313"/>
            </w:pPr>
            <w:r>
              <w:rPr>
                <w:spacing w:val="-2"/>
              </w:rPr>
              <w:t>0.43</w:t>
            </w:r>
          </w:p>
        </w:tc>
        <w:tc>
          <w:tcPr>
            <w:tcW w:w="990" w:type="dxa"/>
            <w:vAlign w:val="top"/>
          </w:tcPr>
          <w:p w14:paraId="1D919F64">
            <w:pPr>
              <w:pStyle w:val="6"/>
              <w:spacing w:before="83" w:line="206" w:lineRule="auto"/>
              <w:ind w:left="315"/>
            </w:pPr>
            <w:r>
              <w:rPr>
                <w:spacing w:val="-2"/>
              </w:rPr>
              <w:t>0.12</w:t>
            </w:r>
          </w:p>
        </w:tc>
        <w:tc>
          <w:tcPr>
            <w:tcW w:w="848" w:type="dxa"/>
            <w:vAlign w:val="top"/>
          </w:tcPr>
          <w:p w14:paraId="69AD0365">
            <w:pPr>
              <w:pStyle w:val="6"/>
              <w:spacing w:before="83" w:line="206" w:lineRule="auto"/>
              <w:ind w:left="245"/>
            </w:pPr>
            <w:r>
              <w:rPr>
                <w:spacing w:val="-2"/>
              </w:rPr>
              <w:t>0.20</w:t>
            </w:r>
          </w:p>
        </w:tc>
        <w:tc>
          <w:tcPr>
            <w:tcW w:w="706" w:type="dxa"/>
            <w:vAlign w:val="top"/>
          </w:tcPr>
          <w:p w14:paraId="4FDA2BEF">
            <w:pPr>
              <w:pStyle w:val="6"/>
              <w:spacing w:before="83" w:line="206" w:lineRule="auto"/>
              <w:ind w:left="176"/>
            </w:pPr>
            <w:r>
              <w:rPr>
                <w:spacing w:val="-2"/>
              </w:rPr>
              <w:t>0.40</w:t>
            </w:r>
          </w:p>
        </w:tc>
        <w:tc>
          <w:tcPr>
            <w:tcW w:w="1840" w:type="dxa"/>
            <w:vAlign w:val="top"/>
          </w:tcPr>
          <w:p w14:paraId="67F63AB6">
            <w:pPr>
              <w:pStyle w:val="6"/>
              <w:spacing w:before="173" w:line="101" w:lineRule="exact"/>
              <w:ind w:left="862"/>
            </w:pPr>
            <w:r>
              <w:rPr>
                <w:spacing w:val="-3"/>
                <w:position w:val="-6"/>
              </w:rPr>
              <w:t>--</w:t>
            </w:r>
          </w:p>
        </w:tc>
        <w:tc>
          <w:tcPr>
            <w:tcW w:w="1950" w:type="dxa"/>
            <w:tcBorders>
              <w:right w:val="single" w:color="000000" w:sz="12" w:space="0"/>
            </w:tcBorders>
            <w:vAlign w:val="top"/>
          </w:tcPr>
          <w:p w14:paraId="28493FC4">
            <w:pPr>
              <w:pStyle w:val="6"/>
              <w:spacing w:before="83" w:line="206" w:lineRule="auto"/>
              <w:ind w:left="799"/>
            </w:pPr>
            <w:r>
              <w:rPr>
                <w:spacing w:val="-2"/>
              </w:rPr>
              <w:t>0.08</w:t>
            </w:r>
          </w:p>
        </w:tc>
      </w:tr>
      <w:tr w14:paraId="1E5BA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6FFD000">
            <w:pPr>
              <w:rPr>
                <w:rFonts w:ascii="Arial"/>
                <w:sz w:val="21"/>
              </w:rPr>
            </w:pPr>
          </w:p>
        </w:tc>
        <w:tc>
          <w:tcPr>
            <w:tcW w:w="329" w:type="dxa"/>
            <w:vMerge w:val="restart"/>
            <w:tcBorders>
              <w:bottom w:val="nil"/>
            </w:tcBorders>
            <w:vAlign w:val="top"/>
          </w:tcPr>
          <w:p w14:paraId="37AB8D78">
            <w:pPr>
              <w:pStyle w:val="6"/>
              <w:spacing w:before="125" w:line="222" w:lineRule="auto"/>
              <w:ind w:left="102"/>
            </w:pPr>
            <w:r>
              <w:t>3</w:t>
            </w:r>
          </w:p>
          <w:p w14:paraId="666C2776">
            <w:pPr>
              <w:spacing w:line="219" w:lineRule="auto"/>
              <w:ind w:left="49"/>
              <w:rPr>
                <w:rFonts w:ascii="宋体" w:hAnsi="宋体" w:eastAsia="宋体" w:cs="宋体"/>
                <w:sz w:val="21"/>
                <w:szCs w:val="21"/>
              </w:rPr>
            </w:pPr>
            <w:r>
              <w:rPr>
                <w:rFonts w:ascii="宋体" w:hAnsi="宋体" w:eastAsia="宋体" w:cs="宋体"/>
                <w:sz w:val="21"/>
                <w:szCs w:val="21"/>
              </w:rPr>
              <w:t>季</w:t>
            </w:r>
          </w:p>
          <w:p w14:paraId="15CA6C3B">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69EB2315">
            <w:pPr>
              <w:pStyle w:val="6"/>
              <w:spacing w:before="84" w:line="206" w:lineRule="auto"/>
              <w:ind w:left="151"/>
            </w:pPr>
            <w:r>
              <w:rPr>
                <w:spacing w:val="-1"/>
              </w:rPr>
              <w:t>2020/8/20</w:t>
            </w:r>
          </w:p>
        </w:tc>
        <w:tc>
          <w:tcPr>
            <w:tcW w:w="706" w:type="dxa"/>
            <w:vAlign w:val="top"/>
          </w:tcPr>
          <w:p w14:paraId="7B5F3721">
            <w:pPr>
              <w:pStyle w:val="6"/>
              <w:spacing w:before="84" w:line="206" w:lineRule="auto"/>
              <w:ind w:left="162"/>
            </w:pPr>
            <w:r>
              <w:rPr>
                <w:spacing w:val="-2"/>
              </w:rPr>
              <w:t>0.97</w:t>
            </w:r>
          </w:p>
        </w:tc>
        <w:tc>
          <w:tcPr>
            <w:tcW w:w="707" w:type="dxa"/>
            <w:vAlign w:val="top"/>
          </w:tcPr>
          <w:p w14:paraId="4B220FEA">
            <w:pPr>
              <w:pStyle w:val="6"/>
              <w:spacing w:before="88" w:line="202" w:lineRule="auto"/>
              <w:ind w:left="162"/>
            </w:pPr>
            <w:r>
              <w:rPr>
                <w:b/>
                <w:bCs/>
                <w:spacing w:val="-2"/>
              </w:rPr>
              <w:t>2.26</w:t>
            </w:r>
          </w:p>
        </w:tc>
        <w:tc>
          <w:tcPr>
            <w:tcW w:w="989" w:type="dxa"/>
            <w:vAlign w:val="top"/>
          </w:tcPr>
          <w:p w14:paraId="6F94672C">
            <w:pPr>
              <w:pStyle w:val="6"/>
              <w:spacing w:before="84" w:line="206" w:lineRule="auto"/>
              <w:ind w:left="308"/>
            </w:pPr>
            <w:r>
              <w:rPr>
                <w:spacing w:val="-2"/>
              </w:rPr>
              <w:t>0.50</w:t>
            </w:r>
          </w:p>
        </w:tc>
        <w:tc>
          <w:tcPr>
            <w:tcW w:w="706" w:type="dxa"/>
            <w:vAlign w:val="top"/>
          </w:tcPr>
          <w:p w14:paraId="694CC678">
            <w:pPr>
              <w:pStyle w:val="6"/>
              <w:spacing w:before="84" w:line="206" w:lineRule="auto"/>
              <w:ind w:left="168"/>
            </w:pPr>
            <w:r>
              <w:rPr>
                <w:spacing w:val="-2"/>
              </w:rPr>
              <w:t>0.35</w:t>
            </w:r>
          </w:p>
        </w:tc>
        <w:tc>
          <w:tcPr>
            <w:tcW w:w="991" w:type="dxa"/>
            <w:vAlign w:val="top"/>
          </w:tcPr>
          <w:p w14:paraId="6867967C">
            <w:pPr>
              <w:pStyle w:val="6"/>
              <w:spacing w:before="84" w:line="206" w:lineRule="auto"/>
              <w:ind w:left="313"/>
            </w:pPr>
            <w:r>
              <w:rPr>
                <w:spacing w:val="-2"/>
              </w:rPr>
              <w:t>0.35</w:t>
            </w:r>
          </w:p>
        </w:tc>
        <w:tc>
          <w:tcPr>
            <w:tcW w:w="990" w:type="dxa"/>
            <w:vAlign w:val="top"/>
          </w:tcPr>
          <w:p w14:paraId="3B54ED3F">
            <w:pPr>
              <w:pStyle w:val="6"/>
              <w:spacing w:before="84" w:line="206" w:lineRule="auto"/>
              <w:ind w:left="315"/>
            </w:pPr>
            <w:r>
              <w:rPr>
                <w:spacing w:val="-2"/>
              </w:rPr>
              <w:t>0.18</w:t>
            </w:r>
          </w:p>
        </w:tc>
        <w:tc>
          <w:tcPr>
            <w:tcW w:w="848" w:type="dxa"/>
            <w:vAlign w:val="top"/>
          </w:tcPr>
          <w:p w14:paraId="6E251230">
            <w:pPr>
              <w:pStyle w:val="6"/>
              <w:spacing w:before="84" w:line="206" w:lineRule="auto"/>
              <w:ind w:left="245"/>
            </w:pPr>
            <w:r>
              <w:rPr>
                <w:spacing w:val="-2"/>
              </w:rPr>
              <w:t>0.10</w:t>
            </w:r>
          </w:p>
        </w:tc>
        <w:tc>
          <w:tcPr>
            <w:tcW w:w="706" w:type="dxa"/>
            <w:vAlign w:val="top"/>
          </w:tcPr>
          <w:p w14:paraId="7D90BD06">
            <w:pPr>
              <w:pStyle w:val="6"/>
              <w:spacing w:before="84" w:line="206" w:lineRule="auto"/>
              <w:ind w:left="176"/>
            </w:pPr>
            <w:r>
              <w:rPr>
                <w:spacing w:val="-2"/>
              </w:rPr>
              <w:t>0.20</w:t>
            </w:r>
          </w:p>
        </w:tc>
        <w:tc>
          <w:tcPr>
            <w:tcW w:w="1840" w:type="dxa"/>
            <w:vAlign w:val="top"/>
          </w:tcPr>
          <w:p w14:paraId="51A30471">
            <w:pPr>
              <w:pStyle w:val="6"/>
              <w:spacing w:before="174" w:line="101" w:lineRule="exact"/>
              <w:ind w:left="862"/>
            </w:pPr>
            <w:r>
              <w:rPr>
                <w:spacing w:val="-3"/>
                <w:position w:val="-6"/>
              </w:rPr>
              <w:t>--</w:t>
            </w:r>
          </w:p>
        </w:tc>
        <w:tc>
          <w:tcPr>
            <w:tcW w:w="1950" w:type="dxa"/>
            <w:tcBorders>
              <w:right w:val="single" w:color="000000" w:sz="12" w:space="0"/>
            </w:tcBorders>
            <w:vAlign w:val="top"/>
          </w:tcPr>
          <w:p w14:paraId="3D3C7F11">
            <w:pPr>
              <w:pStyle w:val="6"/>
              <w:spacing w:before="84" w:line="206" w:lineRule="auto"/>
              <w:ind w:left="799"/>
            </w:pPr>
            <w:r>
              <w:rPr>
                <w:spacing w:val="-2"/>
              </w:rPr>
              <w:t>0.00</w:t>
            </w:r>
          </w:p>
        </w:tc>
      </w:tr>
      <w:tr w14:paraId="15EBF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57F0022">
            <w:pPr>
              <w:rPr>
                <w:rFonts w:ascii="Arial"/>
                <w:sz w:val="21"/>
              </w:rPr>
            </w:pPr>
          </w:p>
        </w:tc>
        <w:tc>
          <w:tcPr>
            <w:tcW w:w="329" w:type="dxa"/>
            <w:vMerge w:val="continue"/>
            <w:tcBorders>
              <w:top w:val="nil"/>
              <w:bottom w:val="nil"/>
            </w:tcBorders>
            <w:vAlign w:val="top"/>
          </w:tcPr>
          <w:p w14:paraId="62E53902">
            <w:pPr>
              <w:rPr>
                <w:rFonts w:ascii="Arial"/>
                <w:sz w:val="21"/>
              </w:rPr>
            </w:pPr>
          </w:p>
        </w:tc>
        <w:tc>
          <w:tcPr>
            <w:tcW w:w="1179" w:type="dxa"/>
            <w:vAlign w:val="top"/>
          </w:tcPr>
          <w:p w14:paraId="433616A0">
            <w:pPr>
              <w:pStyle w:val="6"/>
              <w:spacing w:before="85" w:line="204" w:lineRule="auto"/>
              <w:ind w:left="151"/>
            </w:pPr>
            <w:r>
              <w:rPr>
                <w:spacing w:val="-1"/>
              </w:rPr>
              <w:t>2020/8/21</w:t>
            </w:r>
          </w:p>
        </w:tc>
        <w:tc>
          <w:tcPr>
            <w:tcW w:w="706" w:type="dxa"/>
            <w:vAlign w:val="top"/>
          </w:tcPr>
          <w:p w14:paraId="2C76B503">
            <w:pPr>
              <w:pStyle w:val="6"/>
              <w:spacing w:before="85" w:line="204" w:lineRule="auto"/>
              <w:ind w:left="162"/>
            </w:pPr>
            <w:r>
              <w:rPr>
                <w:spacing w:val="-2"/>
              </w:rPr>
              <w:t>0.95</w:t>
            </w:r>
          </w:p>
        </w:tc>
        <w:tc>
          <w:tcPr>
            <w:tcW w:w="707" w:type="dxa"/>
            <w:vAlign w:val="top"/>
          </w:tcPr>
          <w:p w14:paraId="530842FA">
            <w:pPr>
              <w:pStyle w:val="6"/>
              <w:spacing w:before="90" w:line="199" w:lineRule="auto"/>
              <w:ind w:left="170"/>
            </w:pPr>
            <w:r>
              <w:rPr>
                <w:b/>
                <w:bCs/>
                <w:spacing w:val="-4"/>
              </w:rPr>
              <w:t>1.72</w:t>
            </w:r>
          </w:p>
        </w:tc>
        <w:tc>
          <w:tcPr>
            <w:tcW w:w="989" w:type="dxa"/>
            <w:vAlign w:val="top"/>
          </w:tcPr>
          <w:p w14:paraId="2C71F7E7">
            <w:pPr>
              <w:pStyle w:val="6"/>
              <w:spacing w:before="85" w:line="204" w:lineRule="auto"/>
              <w:ind w:left="308"/>
            </w:pPr>
            <w:r>
              <w:rPr>
                <w:spacing w:val="-2"/>
              </w:rPr>
              <w:t>0.53</w:t>
            </w:r>
          </w:p>
        </w:tc>
        <w:tc>
          <w:tcPr>
            <w:tcW w:w="706" w:type="dxa"/>
            <w:vAlign w:val="top"/>
          </w:tcPr>
          <w:p w14:paraId="35F2837E">
            <w:pPr>
              <w:pStyle w:val="6"/>
              <w:spacing w:before="85" w:line="204" w:lineRule="auto"/>
              <w:ind w:left="168"/>
            </w:pPr>
            <w:r>
              <w:rPr>
                <w:spacing w:val="-2"/>
              </w:rPr>
              <w:t>0.30</w:t>
            </w:r>
          </w:p>
        </w:tc>
        <w:tc>
          <w:tcPr>
            <w:tcW w:w="991" w:type="dxa"/>
            <w:vAlign w:val="top"/>
          </w:tcPr>
          <w:p w14:paraId="169DD0C4">
            <w:pPr>
              <w:pStyle w:val="6"/>
              <w:spacing w:before="85" w:line="204" w:lineRule="auto"/>
              <w:ind w:left="313"/>
            </w:pPr>
            <w:r>
              <w:rPr>
                <w:spacing w:val="-2"/>
              </w:rPr>
              <w:t>0.30</w:t>
            </w:r>
          </w:p>
        </w:tc>
        <w:tc>
          <w:tcPr>
            <w:tcW w:w="990" w:type="dxa"/>
            <w:vAlign w:val="top"/>
          </w:tcPr>
          <w:p w14:paraId="2E07B175">
            <w:pPr>
              <w:pStyle w:val="6"/>
              <w:spacing w:before="85" w:line="204" w:lineRule="auto"/>
              <w:ind w:left="315"/>
            </w:pPr>
            <w:r>
              <w:rPr>
                <w:spacing w:val="-2"/>
              </w:rPr>
              <w:t>0.19</w:t>
            </w:r>
          </w:p>
        </w:tc>
        <w:tc>
          <w:tcPr>
            <w:tcW w:w="848" w:type="dxa"/>
            <w:vAlign w:val="top"/>
          </w:tcPr>
          <w:p w14:paraId="42006322">
            <w:pPr>
              <w:pStyle w:val="6"/>
              <w:spacing w:before="85" w:line="204" w:lineRule="auto"/>
              <w:ind w:left="245"/>
            </w:pPr>
            <w:r>
              <w:rPr>
                <w:spacing w:val="-2"/>
              </w:rPr>
              <w:t>0.05</w:t>
            </w:r>
          </w:p>
        </w:tc>
        <w:tc>
          <w:tcPr>
            <w:tcW w:w="706" w:type="dxa"/>
            <w:vAlign w:val="top"/>
          </w:tcPr>
          <w:p w14:paraId="3F996179">
            <w:pPr>
              <w:pStyle w:val="6"/>
              <w:spacing w:before="85" w:line="204" w:lineRule="auto"/>
              <w:ind w:left="176"/>
            </w:pPr>
            <w:r>
              <w:rPr>
                <w:spacing w:val="-2"/>
              </w:rPr>
              <w:t>0.40</w:t>
            </w:r>
          </w:p>
        </w:tc>
        <w:tc>
          <w:tcPr>
            <w:tcW w:w="1840" w:type="dxa"/>
            <w:vAlign w:val="top"/>
          </w:tcPr>
          <w:p w14:paraId="0BB8A9BB">
            <w:pPr>
              <w:pStyle w:val="6"/>
              <w:spacing w:before="176" w:line="100" w:lineRule="exact"/>
              <w:ind w:left="862"/>
            </w:pPr>
            <w:r>
              <w:rPr>
                <w:spacing w:val="-3"/>
                <w:position w:val="-6"/>
              </w:rPr>
              <w:t>--</w:t>
            </w:r>
          </w:p>
        </w:tc>
        <w:tc>
          <w:tcPr>
            <w:tcW w:w="1950" w:type="dxa"/>
            <w:tcBorders>
              <w:right w:val="single" w:color="000000" w:sz="12" w:space="0"/>
            </w:tcBorders>
            <w:vAlign w:val="top"/>
          </w:tcPr>
          <w:p w14:paraId="65E47350">
            <w:pPr>
              <w:pStyle w:val="6"/>
              <w:spacing w:before="85" w:line="204" w:lineRule="auto"/>
              <w:ind w:left="799"/>
            </w:pPr>
            <w:r>
              <w:rPr>
                <w:spacing w:val="-2"/>
              </w:rPr>
              <w:t>0.01</w:t>
            </w:r>
          </w:p>
        </w:tc>
      </w:tr>
      <w:tr w14:paraId="4DF57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5C6D2854">
            <w:pPr>
              <w:rPr>
                <w:rFonts w:ascii="Arial"/>
                <w:sz w:val="21"/>
              </w:rPr>
            </w:pPr>
          </w:p>
        </w:tc>
        <w:tc>
          <w:tcPr>
            <w:tcW w:w="329" w:type="dxa"/>
            <w:vMerge w:val="continue"/>
            <w:tcBorders>
              <w:top w:val="nil"/>
            </w:tcBorders>
            <w:vAlign w:val="top"/>
          </w:tcPr>
          <w:p w14:paraId="4C7C4E69">
            <w:pPr>
              <w:rPr>
                <w:rFonts w:ascii="Arial"/>
                <w:sz w:val="21"/>
              </w:rPr>
            </w:pPr>
          </w:p>
        </w:tc>
        <w:tc>
          <w:tcPr>
            <w:tcW w:w="1179" w:type="dxa"/>
            <w:vAlign w:val="top"/>
          </w:tcPr>
          <w:p w14:paraId="0598EA47">
            <w:pPr>
              <w:pStyle w:val="6"/>
              <w:spacing w:before="86" w:line="204" w:lineRule="auto"/>
              <w:ind w:left="151"/>
            </w:pPr>
            <w:r>
              <w:rPr>
                <w:spacing w:val="-1"/>
              </w:rPr>
              <w:t>2020/8/22</w:t>
            </w:r>
          </w:p>
        </w:tc>
        <w:tc>
          <w:tcPr>
            <w:tcW w:w="706" w:type="dxa"/>
            <w:vAlign w:val="top"/>
          </w:tcPr>
          <w:p w14:paraId="17009CC4">
            <w:pPr>
              <w:pStyle w:val="6"/>
              <w:spacing w:before="86" w:line="204" w:lineRule="auto"/>
              <w:ind w:left="162"/>
            </w:pPr>
            <w:r>
              <w:rPr>
                <w:spacing w:val="-2"/>
              </w:rPr>
              <w:t>0.92</w:t>
            </w:r>
          </w:p>
        </w:tc>
        <w:tc>
          <w:tcPr>
            <w:tcW w:w="707" w:type="dxa"/>
            <w:vAlign w:val="top"/>
          </w:tcPr>
          <w:p w14:paraId="6540BCA6">
            <w:pPr>
              <w:pStyle w:val="6"/>
              <w:spacing w:before="91" w:line="199" w:lineRule="auto"/>
              <w:ind w:left="170"/>
            </w:pPr>
            <w:r>
              <w:rPr>
                <w:b/>
                <w:bCs/>
                <w:spacing w:val="-4"/>
              </w:rPr>
              <w:t>1.36</w:t>
            </w:r>
          </w:p>
        </w:tc>
        <w:tc>
          <w:tcPr>
            <w:tcW w:w="989" w:type="dxa"/>
            <w:vAlign w:val="top"/>
          </w:tcPr>
          <w:p w14:paraId="0484F8E5">
            <w:pPr>
              <w:pStyle w:val="6"/>
              <w:spacing w:before="86" w:line="204" w:lineRule="auto"/>
              <w:ind w:left="308"/>
            </w:pPr>
            <w:r>
              <w:rPr>
                <w:spacing w:val="-2"/>
              </w:rPr>
              <w:t>0.45</w:t>
            </w:r>
          </w:p>
        </w:tc>
        <w:tc>
          <w:tcPr>
            <w:tcW w:w="706" w:type="dxa"/>
            <w:vAlign w:val="top"/>
          </w:tcPr>
          <w:p w14:paraId="7BE06281">
            <w:pPr>
              <w:pStyle w:val="6"/>
              <w:spacing w:before="86" w:line="204" w:lineRule="auto"/>
              <w:ind w:left="168"/>
            </w:pPr>
            <w:r>
              <w:rPr>
                <w:spacing w:val="-2"/>
              </w:rPr>
              <w:t>0.35</w:t>
            </w:r>
          </w:p>
        </w:tc>
        <w:tc>
          <w:tcPr>
            <w:tcW w:w="991" w:type="dxa"/>
            <w:vAlign w:val="top"/>
          </w:tcPr>
          <w:p w14:paraId="1003E5FE">
            <w:pPr>
              <w:pStyle w:val="6"/>
              <w:spacing w:before="177" w:line="100" w:lineRule="exact"/>
              <w:ind w:left="427"/>
            </w:pPr>
            <w:r>
              <w:rPr>
                <w:spacing w:val="-3"/>
                <w:position w:val="-6"/>
              </w:rPr>
              <w:t>--</w:t>
            </w:r>
          </w:p>
        </w:tc>
        <w:tc>
          <w:tcPr>
            <w:tcW w:w="990" w:type="dxa"/>
            <w:vAlign w:val="top"/>
          </w:tcPr>
          <w:p w14:paraId="2520E40A">
            <w:pPr>
              <w:pStyle w:val="6"/>
              <w:spacing w:before="86" w:line="204" w:lineRule="auto"/>
              <w:ind w:left="315"/>
            </w:pPr>
            <w:r>
              <w:rPr>
                <w:spacing w:val="-2"/>
              </w:rPr>
              <w:t>0.17</w:t>
            </w:r>
          </w:p>
        </w:tc>
        <w:tc>
          <w:tcPr>
            <w:tcW w:w="848" w:type="dxa"/>
            <w:vAlign w:val="top"/>
          </w:tcPr>
          <w:p w14:paraId="153BB264">
            <w:pPr>
              <w:pStyle w:val="6"/>
              <w:spacing w:before="86" w:line="204" w:lineRule="auto"/>
              <w:ind w:left="245"/>
            </w:pPr>
            <w:r>
              <w:rPr>
                <w:spacing w:val="-2"/>
              </w:rPr>
              <w:t>0.10</w:t>
            </w:r>
          </w:p>
        </w:tc>
        <w:tc>
          <w:tcPr>
            <w:tcW w:w="706" w:type="dxa"/>
            <w:vAlign w:val="top"/>
          </w:tcPr>
          <w:p w14:paraId="15D75A45">
            <w:pPr>
              <w:pStyle w:val="6"/>
              <w:spacing w:before="86" w:line="204" w:lineRule="auto"/>
              <w:ind w:left="176"/>
            </w:pPr>
            <w:r>
              <w:rPr>
                <w:spacing w:val="-2"/>
              </w:rPr>
              <w:t>0.20</w:t>
            </w:r>
          </w:p>
        </w:tc>
        <w:tc>
          <w:tcPr>
            <w:tcW w:w="1840" w:type="dxa"/>
            <w:vAlign w:val="top"/>
          </w:tcPr>
          <w:p w14:paraId="5D37ADFA">
            <w:pPr>
              <w:pStyle w:val="6"/>
              <w:spacing w:before="177" w:line="100" w:lineRule="exact"/>
              <w:ind w:left="862"/>
            </w:pPr>
            <w:r>
              <w:rPr>
                <w:spacing w:val="-3"/>
                <w:position w:val="-6"/>
              </w:rPr>
              <w:t>--</w:t>
            </w:r>
          </w:p>
        </w:tc>
        <w:tc>
          <w:tcPr>
            <w:tcW w:w="1950" w:type="dxa"/>
            <w:tcBorders>
              <w:right w:val="single" w:color="000000" w:sz="12" w:space="0"/>
            </w:tcBorders>
            <w:vAlign w:val="top"/>
          </w:tcPr>
          <w:p w14:paraId="565F53A3">
            <w:pPr>
              <w:pStyle w:val="6"/>
              <w:spacing w:before="86" w:line="204" w:lineRule="auto"/>
              <w:ind w:left="799"/>
            </w:pPr>
            <w:r>
              <w:rPr>
                <w:spacing w:val="-2"/>
              </w:rPr>
              <w:t>0.01</w:t>
            </w:r>
          </w:p>
        </w:tc>
      </w:tr>
      <w:tr w14:paraId="737BB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18D0EAF">
            <w:pPr>
              <w:rPr>
                <w:rFonts w:ascii="Arial"/>
                <w:sz w:val="21"/>
              </w:rPr>
            </w:pPr>
          </w:p>
        </w:tc>
        <w:tc>
          <w:tcPr>
            <w:tcW w:w="329" w:type="dxa"/>
            <w:vMerge w:val="restart"/>
            <w:tcBorders>
              <w:bottom w:val="nil"/>
            </w:tcBorders>
            <w:vAlign w:val="top"/>
          </w:tcPr>
          <w:p w14:paraId="3C383A68">
            <w:pPr>
              <w:pStyle w:val="6"/>
              <w:spacing w:before="127" w:line="222" w:lineRule="auto"/>
              <w:ind w:left="96"/>
            </w:pPr>
            <w:r>
              <w:t>4</w:t>
            </w:r>
          </w:p>
          <w:p w14:paraId="50624CB2">
            <w:pPr>
              <w:spacing w:line="219" w:lineRule="auto"/>
              <w:ind w:left="49"/>
              <w:rPr>
                <w:rFonts w:ascii="宋体" w:hAnsi="宋体" w:eastAsia="宋体" w:cs="宋体"/>
                <w:sz w:val="21"/>
                <w:szCs w:val="21"/>
              </w:rPr>
            </w:pPr>
            <w:r>
              <w:rPr>
                <w:rFonts w:ascii="宋体" w:hAnsi="宋体" w:eastAsia="宋体" w:cs="宋体"/>
                <w:sz w:val="21"/>
                <w:szCs w:val="21"/>
              </w:rPr>
              <w:t>季</w:t>
            </w:r>
          </w:p>
          <w:p w14:paraId="20CB1433">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050F4695">
            <w:pPr>
              <w:pStyle w:val="6"/>
              <w:spacing w:before="86" w:line="203" w:lineRule="auto"/>
              <w:ind w:left="98"/>
            </w:pPr>
            <w:r>
              <w:rPr>
                <w:spacing w:val="-1"/>
              </w:rPr>
              <w:t>2020/11/15</w:t>
            </w:r>
          </w:p>
        </w:tc>
        <w:tc>
          <w:tcPr>
            <w:tcW w:w="706" w:type="dxa"/>
            <w:vAlign w:val="top"/>
          </w:tcPr>
          <w:p w14:paraId="694DED93">
            <w:pPr>
              <w:pStyle w:val="6"/>
              <w:spacing w:before="86" w:line="203" w:lineRule="auto"/>
              <w:ind w:left="162"/>
            </w:pPr>
            <w:r>
              <w:rPr>
                <w:spacing w:val="-2"/>
              </w:rPr>
              <w:t>0.85</w:t>
            </w:r>
          </w:p>
        </w:tc>
        <w:tc>
          <w:tcPr>
            <w:tcW w:w="707" w:type="dxa"/>
            <w:vAlign w:val="top"/>
          </w:tcPr>
          <w:p w14:paraId="595E1231">
            <w:pPr>
              <w:pStyle w:val="6"/>
              <w:spacing w:before="91" w:line="198" w:lineRule="auto"/>
              <w:ind w:left="170"/>
            </w:pPr>
            <w:r>
              <w:rPr>
                <w:b/>
                <w:bCs/>
                <w:spacing w:val="-4"/>
              </w:rPr>
              <w:t>1.36</w:t>
            </w:r>
          </w:p>
        </w:tc>
        <w:tc>
          <w:tcPr>
            <w:tcW w:w="989" w:type="dxa"/>
            <w:vAlign w:val="top"/>
          </w:tcPr>
          <w:p w14:paraId="76959825">
            <w:pPr>
              <w:pStyle w:val="6"/>
              <w:spacing w:before="86" w:line="203" w:lineRule="auto"/>
              <w:ind w:left="308"/>
            </w:pPr>
            <w:r>
              <w:rPr>
                <w:spacing w:val="-2"/>
              </w:rPr>
              <w:t>0.37</w:t>
            </w:r>
          </w:p>
        </w:tc>
        <w:tc>
          <w:tcPr>
            <w:tcW w:w="706" w:type="dxa"/>
            <w:vAlign w:val="top"/>
          </w:tcPr>
          <w:p w14:paraId="66B1EECC">
            <w:pPr>
              <w:pStyle w:val="6"/>
              <w:spacing w:before="86" w:line="203" w:lineRule="auto"/>
              <w:ind w:left="168"/>
            </w:pPr>
            <w:r>
              <w:rPr>
                <w:spacing w:val="-2"/>
              </w:rPr>
              <w:t>0.35</w:t>
            </w:r>
          </w:p>
        </w:tc>
        <w:tc>
          <w:tcPr>
            <w:tcW w:w="991" w:type="dxa"/>
            <w:vAlign w:val="top"/>
          </w:tcPr>
          <w:p w14:paraId="2C32176C">
            <w:pPr>
              <w:pStyle w:val="6"/>
              <w:spacing w:before="86" w:line="203" w:lineRule="auto"/>
              <w:ind w:left="313"/>
            </w:pPr>
            <w:r>
              <w:rPr>
                <w:spacing w:val="-2"/>
              </w:rPr>
              <w:t>0.35</w:t>
            </w:r>
          </w:p>
        </w:tc>
        <w:tc>
          <w:tcPr>
            <w:tcW w:w="990" w:type="dxa"/>
            <w:vAlign w:val="top"/>
          </w:tcPr>
          <w:p w14:paraId="156159E0">
            <w:pPr>
              <w:pStyle w:val="6"/>
              <w:spacing w:before="86" w:line="203" w:lineRule="auto"/>
              <w:ind w:left="315"/>
            </w:pPr>
            <w:r>
              <w:rPr>
                <w:spacing w:val="-2"/>
              </w:rPr>
              <w:t>0.12</w:t>
            </w:r>
          </w:p>
        </w:tc>
        <w:tc>
          <w:tcPr>
            <w:tcW w:w="848" w:type="dxa"/>
            <w:vAlign w:val="top"/>
          </w:tcPr>
          <w:p w14:paraId="0DD2872A">
            <w:pPr>
              <w:pStyle w:val="6"/>
              <w:spacing w:before="86" w:line="203" w:lineRule="auto"/>
              <w:ind w:left="245"/>
            </w:pPr>
            <w:r>
              <w:rPr>
                <w:spacing w:val="-2"/>
              </w:rPr>
              <w:t>0.15</w:t>
            </w:r>
          </w:p>
        </w:tc>
        <w:tc>
          <w:tcPr>
            <w:tcW w:w="706" w:type="dxa"/>
            <w:vAlign w:val="top"/>
          </w:tcPr>
          <w:p w14:paraId="5A1511F4">
            <w:pPr>
              <w:pStyle w:val="6"/>
              <w:spacing w:before="86" w:line="203" w:lineRule="auto"/>
              <w:ind w:left="176"/>
            </w:pPr>
            <w:r>
              <w:rPr>
                <w:spacing w:val="-2"/>
              </w:rPr>
              <w:t>0.40</w:t>
            </w:r>
          </w:p>
        </w:tc>
        <w:tc>
          <w:tcPr>
            <w:tcW w:w="1840" w:type="dxa"/>
            <w:vAlign w:val="top"/>
          </w:tcPr>
          <w:p w14:paraId="15653E3E">
            <w:pPr>
              <w:pStyle w:val="6"/>
              <w:spacing w:before="177" w:line="100" w:lineRule="exact"/>
              <w:ind w:left="862"/>
            </w:pPr>
            <w:r>
              <w:rPr>
                <w:spacing w:val="-3"/>
                <w:position w:val="-6"/>
              </w:rPr>
              <w:t>--</w:t>
            </w:r>
          </w:p>
        </w:tc>
        <w:tc>
          <w:tcPr>
            <w:tcW w:w="1950" w:type="dxa"/>
            <w:tcBorders>
              <w:right w:val="single" w:color="000000" w:sz="12" w:space="0"/>
            </w:tcBorders>
            <w:vAlign w:val="top"/>
          </w:tcPr>
          <w:p w14:paraId="576EC0AB">
            <w:pPr>
              <w:pStyle w:val="6"/>
              <w:spacing w:before="86" w:line="203" w:lineRule="auto"/>
              <w:ind w:left="799"/>
            </w:pPr>
            <w:r>
              <w:rPr>
                <w:spacing w:val="-2"/>
              </w:rPr>
              <w:t>0.02</w:t>
            </w:r>
          </w:p>
        </w:tc>
      </w:tr>
      <w:tr w14:paraId="71B5A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67C9BB0">
            <w:pPr>
              <w:rPr>
                <w:rFonts w:ascii="Arial"/>
                <w:sz w:val="21"/>
              </w:rPr>
            </w:pPr>
          </w:p>
        </w:tc>
        <w:tc>
          <w:tcPr>
            <w:tcW w:w="329" w:type="dxa"/>
            <w:vMerge w:val="continue"/>
            <w:tcBorders>
              <w:top w:val="nil"/>
              <w:bottom w:val="nil"/>
            </w:tcBorders>
            <w:vAlign w:val="top"/>
          </w:tcPr>
          <w:p w14:paraId="30FFA647">
            <w:pPr>
              <w:rPr>
                <w:rFonts w:ascii="Arial"/>
                <w:sz w:val="21"/>
              </w:rPr>
            </w:pPr>
          </w:p>
        </w:tc>
        <w:tc>
          <w:tcPr>
            <w:tcW w:w="1179" w:type="dxa"/>
            <w:vAlign w:val="top"/>
          </w:tcPr>
          <w:p w14:paraId="2F1AD8FC">
            <w:pPr>
              <w:pStyle w:val="6"/>
              <w:spacing w:before="88" w:line="201" w:lineRule="auto"/>
              <w:ind w:left="98"/>
            </w:pPr>
            <w:r>
              <w:rPr>
                <w:spacing w:val="-1"/>
              </w:rPr>
              <w:t>2020/11/16</w:t>
            </w:r>
          </w:p>
        </w:tc>
        <w:tc>
          <w:tcPr>
            <w:tcW w:w="706" w:type="dxa"/>
            <w:vAlign w:val="top"/>
          </w:tcPr>
          <w:p w14:paraId="7998DA71">
            <w:pPr>
              <w:pStyle w:val="6"/>
              <w:spacing w:before="88" w:line="201" w:lineRule="auto"/>
              <w:ind w:left="162"/>
            </w:pPr>
            <w:r>
              <w:rPr>
                <w:spacing w:val="-2"/>
              </w:rPr>
              <w:t>0.82</w:t>
            </w:r>
          </w:p>
        </w:tc>
        <w:tc>
          <w:tcPr>
            <w:tcW w:w="707" w:type="dxa"/>
            <w:vAlign w:val="top"/>
          </w:tcPr>
          <w:p w14:paraId="2ACF4F5D">
            <w:pPr>
              <w:pStyle w:val="6"/>
              <w:spacing w:before="93" w:line="196" w:lineRule="auto"/>
              <w:ind w:left="170"/>
            </w:pPr>
            <w:r>
              <w:rPr>
                <w:b/>
                <w:bCs/>
                <w:spacing w:val="-4"/>
              </w:rPr>
              <w:t>1.00</w:t>
            </w:r>
          </w:p>
        </w:tc>
        <w:tc>
          <w:tcPr>
            <w:tcW w:w="989" w:type="dxa"/>
            <w:vAlign w:val="top"/>
          </w:tcPr>
          <w:p w14:paraId="6BFCD8CD">
            <w:pPr>
              <w:pStyle w:val="6"/>
              <w:spacing w:before="88" w:line="201" w:lineRule="auto"/>
              <w:ind w:left="308"/>
            </w:pPr>
            <w:r>
              <w:rPr>
                <w:spacing w:val="-2"/>
              </w:rPr>
              <w:t>0.33</w:t>
            </w:r>
          </w:p>
        </w:tc>
        <w:tc>
          <w:tcPr>
            <w:tcW w:w="706" w:type="dxa"/>
            <w:vAlign w:val="top"/>
          </w:tcPr>
          <w:p w14:paraId="0AA6789E">
            <w:pPr>
              <w:pStyle w:val="6"/>
              <w:spacing w:before="88" w:line="201" w:lineRule="auto"/>
              <w:ind w:left="168"/>
            </w:pPr>
            <w:r>
              <w:rPr>
                <w:spacing w:val="-2"/>
              </w:rPr>
              <w:t>0.40</w:t>
            </w:r>
          </w:p>
        </w:tc>
        <w:tc>
          <w:tcPr>
            <w:tcW w:w="991" w:type="dxa"/>
            <w:vAlign w:val="top"/>
          </w:tcPr>
          <w:p w14:paraId="7B88CAA1">
            <w:pPr>
              <w:pStyle w:val="6"/>
              <w:spacing w:before="88" w:line="201" w:lineRule="auto"/>
              <w:ind w:left="313"/>
            </w:pPr>
            <w:r>
              <w:rPr>
                <w:spacing w:val="-2"/>
              </w:rPr>
              <w:t>0.40</w:t>
            </w:r>
          </w:p>
        </w:tc>
        <w:tc>
          <w:tcPr>
            <w:tcW w:w="990" w:type="dxa"/>
            <w:vAlign w:val="top"/>
          </w:tcPr>
          <w:p w14:paraId="22FC6CB0">
            <w:pPr>
              <w:pStyle w:val="6"/>
              <w:spacing w:before="88" w:line="201" w:lineRule="auto"/>
              <w:ind w:left="315"/>
            </w:pPr>
            <w:r>
              <w:rPr>
                <w:spacing w:val="-2"/>
              </w:rPr>
              <w:t>0.12</w:t>
            </w:r>
          </w:p>
        </w:tc>
        <w:tc>
          <w:tcPr>
            <w:tcW w:w="848" w:type="dxa"/>
            <w:vAlign w:val="top"/>
          </w:tcPr>
          <w:p w14:paraId="53BA9B45">
            <w:pPr>
              <w:pStyle w:val="6"/>
              <w:spacing w:before="88" w:line="201" w:lineRule="auto"/>
              <w:ind w:left="245"/>
            </w:pPr>
            <w:r>
              <w:rPr>
                <w:spacing w:val="-2"/>
              </w:rPr>
              <w:t>0.15</w:t>
            </w:r>
          </w:p>
        </w:tc>
        <w:tc>
          <w:tcPr>
            <w:tcW w:w="706" w:type="dxa"/>
            <w:vAlign w:val="top"/>
          </w:tcPr>
          <w:p w14:paraId="3CC8A379">
            <w:pPr>
              <w:pStyle w:val="6"/>
              <w:spacing w:before="88" w:line="201" w:lineRule="auto"/>
              <w:ind w:left="176"/>
            </w:pPr>
            <w:r>
              <w:rPr>
                <w:spacing w:val="-2"/>
              </w:rPr>
              <w:t>0.20</w:t>
            </w:r>
          </w:p>
        </w:tc>
        <w:tc>
          <w:tcPr>
            <w:tcW w:w="1840" w:type="dxa"/>
            <w:vAlign w:val="top"/>
          </w:tcPr>
          <w:p w14:paraId="347B8310">
            <w:pPr>
              <w:pStyle w:val="6"/>
              <w:spacing w:before="179" w:line="100" w:lineRule="exact"/>
              <w:ind w:left="862"/>
            </w:pPr>
            <w:r>
              <w:rPr>
                <w:spacing w:val="-3"/>
                <w:position w:val="-6"/>
              </w:rPr>
              <w:t>--</w:t>
            </w:r>
          </w:p>
        </w:tc>
        <w:tc>
          <w:tcPr>
            <w:tcW w:w="1950" w:type="dxa"/>
            <w:tcBorders>
              <w:right w:val="single" w:color="000000" w:sz="12" w:space="0"/>
            </w:tcBorders>
            <w:vAlign w:val="top"/>
          </w:tcPr>
          <w:p w14:paraId="2F5ADD0C">
            <w:pPr>
              <w:pStyle w:val="6"/>
              <w:spacing w:before="88" w:line="201" w:lineRule="auto"/>
              <w:ind w:left="799"/>
            </w:pPr>
            <w:r>
              <w:rPr>
                <w:spacing w:val="-2"/>
              </w:rPr>
              <w:t>0.02</w:t>
            </w:r>
          </w:p>
        </w:tc>
      </w:tr>
      <w:tr w14:paraId="3F89D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tcBorders>
            <w:vAlign w:val="top"/>
          </w:tcPr>
          <w:p w14:paraId="06C79A85">
            <w:pPr>
              <w:rPr>
                <w:rFonts w:ascii="Arial"/>
                <w:sz w:val="21"/>
              </w:rPr>
            </w:pPr>
          </w:p>
        </w:tc>
        <w:tc>
          <w:tcPr>
            <w:tcW w:w="329" w:type="dxa"/>
            <w:vMerge w:val="continue"/>
            <w:tcBorders>
              <w:top w:val="nil"/>
            </w:tcBorders>
            <w:vAlign w:val="top"/>
          </w:tcPr>
          <w:p w14:paraId="3D3740CC">
            <w:pPr>
              <w:rPr>
                <w:rFonts w:ascii="Arial"/>
                <w:sz w:val="21"/>
              </w:rPr>
            </w:pPr>
          </w:p>
        </w:tc>
        <w:tc>
          <w:tcPr>
            <w:tcW w:w="1179" w:type="dxa"/>
            <w:vAlign w:val="top"/>
          </w:tcPr>
          <w:p w14:paraId="59183E26">
            <w:pPr>
              <w:pStyle w:val="6"/>
              <w:spacing w:before="89" w:line="201" w:lineRule="auto"/>
              <w:ind w:left="98"/>
            </w:pPr>
            <w:r>
              <w:rPr>
                <w:spacing w:val="-1"/>
              </w:rPr>
              <w:t>2020/11/17</w:t>
            </w:r>
          </w:p>
        </w:tc>
        <w:tc>
          <w:tcPr>
            <w:tcW w:w="706" w:type="dxa"/>
            <w:vAlign w:val="top"/>
          </w:tcPr>
          <w:p w14:paraId="4677C22A">
            <w:pPr>
              <w:pStyle w:val="6"/>
              <w:spacing w:before="89" w:line="201" w:lineRule="auto"/>
              <w:ind w:left="162"/>
            </w:pPr>
            <w:r>
              <w:rPr>
                <w:spacing w:val="-2"/>
              </w:rPr>
              <w:t>0.80</w:t>
            </w:r>
          </w:p>
        </w:tc>
        <w:tc>
          <w:tcPr>
            <w:tcW w:w="707" w:type="dxa"/>
            <w:vAlign w:val="top"/>
          </w:tcPr>
          <w:p w14:paraId="66775C5C">
            <w:pPr>
              <w:pStyle w:val="6"/>
              <w:spacing w:before="94" w:line="196" w:lineRule="auto"/>
              <w:ind w:left="162"/>
            </w:pPr>
            <w:r>
              <w:rPr>
                <w:b/>
                <w:bCs/>
                <w:spacing w:val="-2"/>
              </w:rPr>
              <w:t>2.08</w:t>
            </w:r>
          </w:p>
        </w:tc>
        <w:tc>
          <w:tcPr>
            <w:tcW w:w="989" w:type="dxa"/>
            <w:vAlign w:val="top"/>
          </w:tcPr>
          <w:p w14:paraId="724D3982">
            <w:pPr>
              <w:pStyle w:val="6"/>
              <w:spacing w:before="89" w:line="201" w:lineRule="auto"/>
              <w:ind w:left="308"/>
            </w:pPr>
            <w:r>
              <w:rPr>
                <w:spacing w:val="-2"/>
              </w:rPr>
              <w:t>0.40</w:t>
            </w:r>
          </w:p>
        </w:tc>
        <w:tc>
          <w:tcPr>
            <w:tcW w:w="706" w:type="dxa"/>
            <w:vAlign w:val="top"/>
          </w:tcPr>
          <w:p w14:paraId="41ABEA7F">
            <w:pPr>
              <w:pStyle w:val="6"/>
              <w:spacing w:before="89" w:line="201" w:lineRule="auto"/>
              <w:ind w:left="168"/>
            </w:pPr>
            <w:r>
              <w:rPr>
                <w:spacing w:val="-2"/>
              </w:rPr>
              <w:t>0.30</w:t>
            </w:r>
          </w:p>
        </w:tc>
        <w:tc>
          <w:tcPr>
            <w:tcW w:w="991" w:type="dxa"/>
            <w:vAlign w:val="top"/>
          </w:tcPr>
          <w:p w14:paraId="1DE2F63B">
            <w:pPr>
              <w:pStyle w:val="6"/>
              <w:spacing w:before="89" w:line="201" w:lineRule="auto"/>
              <w:ind w:left="313"/>
            </w:pPr>
            <w:r>
              <w:rPr>
                <w:spacing w:val="-2"/>
              </w:rPr>
              <w:t>0.30</w:t>
            </w:r>
          </w:p>
        </w:tc>
        <w:tc>
          <w:tcPr>
            <w:tcW w:w="990" w:type="dxa"/>
            <w:vAlign w:val="top"/>
          </w:tcPr>
          <w:p w14:paraId="761E1BCE">
            <w:pPr>
              <w:pStyle w:val="6"/>
              <w:spacing w:before="89" w:line="201" w:lineRule="auto"/>
              <w:ind w:left="315"/>
            </w:pPr>
            <w:r>
              <w:rPr>
                <w:spacing w:val="-2"/>
              </w:rPr>
              <w:t>0.13</w:t>
            </w:r>
          </w:p>
        </w:tc>
        <w:tc>
          <w:tcPr>
            <w:tcW w:w="848" w:type="dxa"/>
            <w:vAlign w:val="top"/>
          </w:tcPr>
          <w:p w14:paraId="4900D7CA">
            <w:pPr>
              <w:pStyle w:val="6"/>
              <w:spacing w:before="89" w:line="201" w:lineRule="auto"/>
              <w:ind w:left="245"/>
            </w:pPr>
            <w:r>
              <w:rPr>
                <w:spacing w:val="-2"/>
              </w:rPr>
              <w:t>0.20</w:t>
            </w:r>
          </w:p>
        </w:tc>
        <w:tc>
          <w:tcPr>
            <w:tcW w:w="706" w:type="dxa"/>
            <w:vAlign w:val="top"/>
          </w:tcPr>
          <w:p w14:paraId="6CD6FC46">
            <w:pPr>
              <w:pStyle w:val="6"/>
              <w:spacing w:before="89" w:line="201" w:lineRule="auto"/>
              <w:ind w:left="176"/>
            </w:pPr>
            <w:r>
              <w:rPr>
                <w:spacing w:val="-2"/>
              </w:rPr>
              <w:t>0.20</w:t>
            </w:r>
          </w:p>
        </w:tc>
        <w:tc>
          <w:tcPr>
            <w:tcW w:w="1840" w:type="dxa"/>
            <w:vAlign w:val="top"/>
          </w:tcPr>
          <w:p w14:paraId="6C0C1F81">
            <w:pPr>
              <w:pStyle w:val="6"/>
              <w:spacing w:before="180" w:line="100" w:lineRule="exact"/>
              <w:ind w:left="862"/>
            </w:pPr>
            <w:r>
              <w:rPr>
                <w:spacing w:val="-3"/>
                <w:position w:val="-6"/>
              </w:rPr>
              <w:t>--</w:t>
            </w:r>
          </w:p>
        </w:tc>
        <w:tc>
          <w:tcPr>
            <w:tcW w:w="1950" w:type="dxa"/>
            <w:tcBorders>
              <w:right w:val="single" w:color="000000" w:sz="12" w:space="0"/>
            </w:tcBorders>
            <w:vAlign w:val="top"/>
          </w:tcPr>
          <w:p w14:paraId="468A86BB">
            <w:pPr>
              <w:pStyle w:val="6"/>
              <w:spacing w:before="89" w:line="201" w:lineRule="auto"/>
              <w:ind w:left="799"/>
            </w:pPr>
            <w:r>
              <w:rPr>
                <w:spacing w:val="-2"/>
              </w:rPr>
              <w:t>0.02</w:t>
            </w:r>
          </w:p>
        </w:tc>
      </w:tr>
      <w:tr w14:paraId="6CC18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733E9DCA">
            <w:pPr>
              <w:spacing w:line="258" w:lineRule="auto"/>
              <w:rPr>
                <w:rFonts w:ascii="Arial"/>
                <w:sz w:val="21"/>
              </w:rPr>
            </w:pPr>
          </w:p>
          <w:p w14:paraId="7070AA72">
            <w:pPr>
              <w:spacing w:line="258" w:lineRule="auto"/>
              <w:rPr>
                <w:rFonts w:ascii="Arial"/>
                <w:sz w:val="21"/>
              </w:rPr>
            </w:pPr>
          </w:p>
          <w:p w14:paraId="234A7238">
            <w:pPr>
              <w:spacing w:line="258" w:lineRule="auto"/>
              <w:rPr>
                <w:rFonts w:ascii="Arial"/>
                <w:sz w:val="21"/>
              </w:rPr>
            </w:pPr>
          </w:p>
          <w:p w14:paraId="30FC9EDF">
            <w:pPr>
              <w:spacing w:line="258" w:lineRule="auto"/>
              <w:rPr>
                <w:rFonts w:ascii="Arial"/>
                <w:sz w:val="21"/>
              </w:rPr>
            </w:pPr>
          </w:p>
          <w:p w14:paraId="0F2BEA2F">
            <w:pPr>
              <w:spacing w:line="258" w:lineRule="auto"/>
              <w:rPr>
                <w:rFonts w:ascii="Arial"/>
                <w:sz w:val="21"/>
              </w:rPr>
            </w:pPr>
          </w:p>
          <w:p w14:paraId="68C1F601">
            <w:pPr>
              <w:spacing w:before="68" w:line="219" w:lineRule="auto"/>
              <w:ind w:left="199"/>
              <w:rPr>
                <w:rFonts w:ascii="宋体" w:hAnsi="宋体" w:eastAsia="宋体" w:cs="宋体"/>
                <w:sz w:val="21"/>
                <w:szCs w:val="21"/>
              </w:rPr>
            </w:pPr>
            <w:r>
              <w:rPr>
                <w:rFonts w:ascii="宋体" w:hAnsi="宋体" w:eastAsia="宋体" w:cs="宋体"/>
                <w:spacing w:val="-3"/>
                <w:sz w:val="21"/>
                <w:szCs w:val="21"/>
              </w:rPr>
              <w:t>马龙河干流</w:t>
            </w:r>
          </w:p>
          <w:p w14:paraId="69E22788">
            <w:pPr>
              <w:spacing w:before="23" w:line="220" w:lineRule="auto"/>
              <w:ind w:left="93"/>
              <w:rPr>
                <w:rFonts w:ascii="宋体" w:hAnsi="宋体" w:eastAsia="宋体" w:cs="宋体"/>
                <w:sz w:val="21"/>
                <w:szCs w:val="21"/>
              </w:rPr>
            </w:pPr>
            <w:r>
              <w:rPr>
                <w:rFonts w:ascii="宋体" w:hAnsi="宋体" w:eastAsia="宋体" w:cs="宋体"/>
                <w:spacing w:val="-4"/>
                <w:sz w:val="21"/>
                <w:szCs w:val="21"/>
              </w:rPr>
              <w:t>（车马碧水库</w:t>
            </w:r>
          </w:p>
          <w:p w14:paraId="668BFAA1">
            <w:pPr>
              <w:spacing w:before="22" w:line="220" w:lineRule="auto"/>
              <w:ind w:left="296"/>
              <w:rPr>
                <w:rFonts w:ascii="宋体" w:hAnsi="宋体" w:eastAsia="宋体" w:cs="宋体"/>
                <w:sz w:val="21"/>
                <w:szCs w:val="21"/>
              </w:rPr>
            </w:pPr>
            <w:r>
              <w:rPr>
                <w:rFonts w:ascii="宋体" w:hAnsi="宋体" w:eastAsia="宋体" w:cs="宋体"/>
                <w:spacing w:val="-2"/>
                <w:sz w:val="21"/>
                <w:szCs w:val="21"/>
              </w:rPr>
              <w:t>坝址下游</w:t>
            </w:r>
          </w:p>
          <w:p w14:paraId="54899BCF">
            <w:pPr>
              <w:pStyle w:val="6"/>
              <w:spacing w:before="21" w:line="280" w:lineRule="exact"/>
              <w:ind w:left="442"/>
              <w:rPr>
                <w:rFonts w:ascii="宋体" w:hAnsi="宋体" w:eastAsia="宋体" w:cs="宋体"/>
              </w:rPr>
            </w:pPr>
            <w:r>
              <w:rPr>
                <w:spacing w:val="-6"/>
                <w:position w:val="1"/>
              </w:rPr>
              <w:t>1km</w:t>
            </w:r>
            <w:r>
              <w:rPr>
                <w:rFonts w:ascii="宋体" w:hAnsi="宋体" w:eastAsia="宋体" w:cs="宋体"/>
                <w:spacing w:val="-6"/>
                <w:position w:val="1"/>
              </w:rPr>
              <w:t>）</w:t>
            </w:r>
          </w:p>
        </w:tc>
        <w:tc>
          <w:tcPr>
            <w:tcW w:w="329" w:type="dxa"/>
            <w:vMerge w:val="restart"/>
            <w:tcBorders>
              <w:bottom w:val="nil"/>
            </w:tcBorders>
            <w:vAlign w:val="top"/>
          </w:tcPr>
          <w:p w14:paraId="6F95ACD5">
            <w:pPr>
              <w:pStyle w:val="6"/>
              <w:spacing w:before="130" w:line="222" w:lineRule="auto"/>
              <w:ind w:left="117"/>
            </w:pPr>
            <w:r>
              <w:t>1</w:t>
            </w:r>
          </w:p>
          <w:p w14:paraId="0EBD11D3">
            <w:pPr>
              <w:spacing w:line="219" w:lineRule="auto"/>
              <w:ind w:left="49"/>
              <w:rPr>
                <w:rFonts w:ascii="宋体" w:hAnsi="宋体" w:eastAsia="宋体" w:cs="宋体"/>
                <w:sz w:val="21"/>
                <w:szCs w:val="21"/>
              </w:rPr>
            </w:pPr>
            <w:r>
              <w:rPr>
                <w:rFonts w:ascii="宋体" w:hAnsi="宋体" w:eastAsia="宋体" w:cs="宋体"/>
                <w:sz w:val="21"/>
                <w:szCs w:val="21"/>
              </w:rPr>
              <w:t>季</w:t>
            </w:r>
          </w:p>
          <w:p w14:paraId="22CA9F63">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6579D2C9">
            <w:pPr>
              <w:pStyle w:val="6"/>
              <w:spacing w:before="90" w:line="199" w:lineRule="auto"/>
              <w:ind w:left="151"/>
            </w:pPr>
            <w:r>
              <w:rPr>
                <w:spacing w:val="-1"/>
              </w:rPr>
              <w:t>2020/3/10</w:t>
            </w:r>
          </w:p>
        </w:tc>
        <w:tc>
          <w:tcPr>
            <w:tcW w:w="706" w:type="dxa"/>
            <w:vAlign w:val="top"/>
          </w:tcPr>
          <w:p w14:paraId="2973C4E8">
            <w:pPr>
              <w:pStyle w:val="6"/>
              <w:spacing w:before="90" w:line="199" w:lineRule="auto"/>
              <w:ind w:left="162"/>
            </w:pPr>
            <w:r>
              <w:rPr>
                <w:spacing w:val="-2"/>
              </w:rPr>
              <w:t>0.37</w:t>
            </w:r>
          </w:p>
        </w:tc>
        <w:tc>
          <w:tcPr>
            <w:tcW w:w="707" w:type="dxa"/>
            <w:vAlign w:val="top"/>
          </w:tcPr>
          <w:p w14:paraId="1EF72300">
            <w:pPr>
              <w:pStyle w:val="6"/>
              <w:spacing w:before="90" w:line="199" w:lineRule="auto"/>
              <w:ind w:left="164"/>
            </w:pPr>
            <w:r>
              <w:rPr>
                <w:spacing w:val="-2"/>
              </w:rPr>
              <w:t>0.98</w:t>
            </w:r>
          </w:p>
        </w:tc>
        <w:tc>
          <w:tcPr>
            <w:tcW w:w="989" w:type="dxa"/>
            <w:vAlign w:val="top"/>
          </w:tcPr>
          <w:p w14:paraId="3616A480">
            <w:pPr>
              <w:pStyle w:val="6"/>
              <w:spacing w:before="90" w:line="199" w:lineRule="auto"/>
              <w:ind w:left="308"/>
            </w:pPr>
            <w:r>
              <w:rPr>
                <w:spacing w:val="-2"/>
              </w:rPr>
              <w:t>0.38</w:t>
            </w:r>
          </w:p>
        </w:tc>
        <w:tc>
          <w:tcPr>
            <w:tcW w:w="706" w:type="dxa"/>
            <w:vAlign w:val="top"/>
          </w:tcPr>
          <w:p w14:paraId="1FE457B3">
            <w:pPr>
              <w:pStyle w:val="6"/>
              <w:spacing w:before="90" w:line="199" w:lineRule="auto"/>
              <w:ind w:left="168"/>
            </w:pPr>
            <w:r>
              <w:rPr>
                <w:spacing w:val="-2"/>
              </w:rPr>
              <w:t>0.30</w:t>
            </w:r>
          </w:p>
        </w:tc>
        <w:tc>
          <w:tcPr>
            <w:tcW w:w="991" w:type="dxa"/>
            <w:vAlign w:val="top"/>
          </w:tcPr>
          <w:p w14:paraId="6307A1B2">
            <w:pPr>
              <w:pStyle w:val="6"/>
              <w:spacing w:before="90" w:line="199" w:lineRule="auto"/>
              <w:ind w:left="313"/>
            </w:pPr>
            <w:r>
              <w:rPr>
                <w:spacing w:val="-2"/>
              </w:rPr>
              <w:t>0.33</w:t>
            </w:r>
          </w:p>
        </w:tc>
        <w:tc>
          <w:tcPr>
            <w:tcW w:w="990" w:type="dxa"/>
            <w:vAlign w:val="top"/>
          </w:tcPr>
          <w:p w14:paraId="1E5EEA22">
            <w:pPr>
              <w:pStyle w:val="6"/>
              <w:spacing w:before="90" w:line="199" w:lineRule="auto"/>
              <w:ind w:left="315"/>
            </w:pPr>
            <w:r>
              <w:rPr>
                <w:spacing w:val="-2"/>
              </w:rPr>
              <w:t>0.04</w:t>
            </w:r>
          </w:p>
        </w:tc>
        <w:tc>
          <w:tcPr>
            <w:tcW w:w="848" w:type="dxa"/>
            <w:vAlign w:val="top"/>
          </w:tcPr>
          <w:p w14:paraId="2497C104">
            <w:pPr>
              <w:pStyle w:val="6"/>
              <w:spacing w:before="90" w:line="199" w:lineRule="auto"/>
              <w:ind w:left="245"/>
            </w:pPr>
            <w:r>
              <w:rPr>
                <w:spacing w:val="-2"/>
              </w:rPr>
              <w:t>0.20</w:t>
            </w:r>
          </w:p>
        </w:tc>
        <w:tc>
          <w:tcPr>
            <w:tcW w:w="706" w:type="dxa"/>
            <w:vAlign w:val="top"/>
          </w:tcPr>
          <w:p w14:paraId="20EA092B">
            <w:pPr>
              <w:pStyle w:val="6"/>
              <w:spacing w:before="90" w:line="199" w:lineRule="auto"/>
              <w:ind w:left="176"/>
            </w:pPr>
            <w:r>
              <w:rPr>
                <w:spacing w:val="-2"/>
              </w:rPr>
              <w:t>0.60</w:t>
            </w:r>
          </w:p>
        </w:tc>
        <w:tc>
          <w:tcPr>
            <w:tcW w:w="1840" w:type="dxa"/>
            <w:vAlign w:val="top"/>
          </w:tcPr>
          <w:p w14:paraId="3B9831A2">
            <w:pPr>
              <w:pStyle w:val="6"/>
              <w:spacing w:before="181" w:line="101" w:lineRule="exact"/>
              <w:ind w:left="862"/>
            </w:pPr>
            <w:r>
              <w:rPr>
                <w:spacing w:val="-3"/>
                <w:position w:val="-6"/>
              </w:rPr>
              <w:t>--</w:t>
            </w:r>
          </w:p>
        </w:tc>
        <w:tc>
          <w:tcPr>
            <w:tcW w:w="1950" w:type="dxa"/>
            <w:tcBorders>
              <w:right w:val="single" w:color="000000" w:sz="12" w:space="0"/>
            </w:tcBorders>
            <w:vAlign w:val="top"/>
          </w:tcPr>
          <w:p w14:paraId="7D485E7F">
            <w:pPr>
              <w:pStyle w:val="6"/>
              <w:spacing w:before="90" w:line="199" w:lineRule="auto"/>
              <w:ind w:left="799"/>
            </w:pPr>
            <w:r>
              <w:rPr>
                <w:spacing w:val="-2"/>
              </w:rPr>
              <w:t>0.02</w:t>
            </w:r>
          </w:p>
        </w:tc>
      </w:tr>
      <w:tr w14:paraId="6BE9E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DAFF1B4">
            <w:pPr>
              <w:rPr>
                <w:rFonts w:ascii="Arial"/>
                <w:sz w:val="21"/>
              </w:rPr>
            </w:pPr>
          </w:p>
        </w:tc>
        <w:tc>
          <w:tcPr>
            <w:tcW w:w="329" w:type="dxa"/>
            <w:vMerge w:val="continue"/>
            <w:tcBorders>
              <w:top w:val="nil"/>
              <w:bottom w:val="nil"/>
            </w:tcBorders>
            <w:vAlign w:val="top"/>
          </w:tcPr>
          <w:p w14:paraId="4A8CA02F">
            <w:pPr>
              <w:rPr>
                <w:rFonts w:ascii="Arial"/>
                <w:sz w:val="21"/>
              </w:rPr>
            </w:pPr>
          </w:p>
        </w:tc>
        <w:tc>
          <w:tcPr>
            <w:tcW w:w="1179" w:type="dxa"/>
            <w:vAlign w:val="top"/>
          </w:tcPr>
          <w:p w14:paraId="34BEDC3E">
            <w:pPr>
              <w:pStyle w:val="6"/>
              <w:spacing w:before="91" w:line="198" w:lineRule="auto"/>
              <w:ind w:left="151"/>
            </w:pPr>
            <w:r>
              <w:rPr>
                <w:spacing w:val="-1"/>
              </w:rPr>
              <w:t>2020/3/11</w:t>
            </w:r>
          </w:p>
        </w:tc>
        <w:tc>
          <w:tcPr>
            <w:tcW w:w="706" w:type="dxa"/>
            <w:vAlign w:val="top"/>
          </w:tcPr>
          <w:p w14:paraId="463E6127">
            <w:pPr>
              <w:pStyle w:val="6"/>
              <w:spacing w:before="91" w:line="198" w:lineRule="auto"/>
              <w:ind w:left="162"/>
            </w:pPr>
            <w:r>
              <w:rPr>
                <w:spacing w:val="-2"/>
              </w:rPr>
              <w:t>0.35</w:t>
            </w:r>
          </w:p>
        </w:tc>
        <w:tc>
          <w:tcPr>
            <w:tcW w:w="707" w:type="dxa"/>
            <w:vAlign w:val="top"/>
          </w:tcPr>
          <w:p w14:paraId="7C5DC29A">
            <w:pPr>
              <w:pStyle w:val="6"/>
              <w:spacing w:before="91" w:line="198" w:lineRule="auto"/>
              <w:ind w:left="164"/>
            </w:pPr>
            <w:r>
              <w:rPr>
                <w:spacing w:val="-2"/>
              </w:rPr>
              <w:t>0.94</w:t>
            </w:r>
          </w:p>
        </w:tc>
        <w:tc>
          <w:tcPr>
            <w:tcW w:w="989" w:type="dxa"/>
            <w:vAlign w:val="top"/>
          </w:tcPr>
          <w:p w14:paraId="5DD94074">
            <w:pPr>
              <w:pStyle w:val="6"/>
              <w:spacing w:before="91" w:line="198" w:lineRule="auto"/>
              <w:ind w:left="308"/>
            </w:pPr>
            <w:r>
              <w:rPr>
                <w:spacing w:val="-2"/>
              </w:rPr>
              <w:t>0.33</w:t>
            </w:r>
          </w:p>
        </w:tc>
        <w:tc>
          <w:tcPr>
            <w:tcW w:w="706" w:type="dxa"/>
            <w:vAlign w:val="top"/>
          </w:tcPr>
          <w:p w14:paraId="54B878EC">
            <w:pPr>
              <w:pStyle w:val="6"/>
              <w:spacing w:before="91" w:line="198" w:lineRule="auto"/>
              <w:ind w:left="168"/>
            </w:pPr>
            <w:r>
              <w:rPr>
                <w:spacing w:val="-2"/>
              </w:rPr>
              <w:t>0.25</w:t>
            </w:r>
          </w:p>
        </w:tc>
        <w:tc>
          <w:tcPr>
            <w:tcW w:w="991" w:type="dxa"/>
            <w:vAlign w:val="top"/>
          </w:tcPr>
          <w:p w14:paraId="149D677B">
            <w:pPr>
              <w:pStyle w:val="6"/>
              <w:spacing w:before="91" w:line="198" w:lineRule="auto"/>
              <w:ind w:left="313"/>
            </w:pPr>
            <w:r>
              <w:rPr>
                <w:spacing w:val="-2"/>
              </w:rPr>
              <w:t>0.25</w:t>
            </w:r>
          </w:p>
        </w:tc>
        <w:tc>
          <w:tcPr>
            <w:tcW w:w="990" w:type="dxa"/>
            <w:vAlign w:val="top"/>
          </w:tcPr>
          <w:p w14:paraId="6682E4FD">
            <w:pPr>
              <w:pStyle w:val="6"/>
              <w:spacing w:before="91" w:line="198" w:lineRule="auto"/>
              <w:ind w:left="315"/>
            </w:pPr>
            <w:r>
              <w:rPr>
                <w:spacing w:val="-2"/>
              </w:rPr>
              <w:t>0.03</w:t>
            </w:r>
          </w:p>
        </w:tc>
        <w:tc>
          <w:tcPr>
            <w:tcW w:w="848" w:type="dxa"/>
            <w:vAlign w:val="top"/>
          </w:tcPr>
          <w:p w14:paraId="5DC0AA5A">
            <w:pPr>
              <w:pStyle w:val="6"/>
              <w:spacing w:before="91" w:line="198" w:lineRule="auto"/>
              <w:ind w:left="245"/>
            </w:pPr>
            <w:r>
              <w:rPr>
                <w:spacing w:val="-2"/>
              </w:rPr>
              <w:t>0.20</w:t>
            </w:r>
          </w:p>
        </w:tc>
        <w:tc>
          <w:tcPr>
            <w:tcW w:w="706" w:type="dxa"/>
            <w:vAlign w:val="top"/>
          </w:tcPr>
          <w:p w14:paraId="4551B082">
            <w:pPr>
              <w:pStyle w:val="6"/>
              <w:spacing w:before="91" w:line="198" w:lineRule="auto"/>
              <w:ind w:left="176"/>
            </w:pPr>
            <w:r>
              <w:rPr>
                <w:spacing w:val="-2"/>
              </w:rPr>
              <w:t>0.60</w:t>
            </w:r>
          </w:p>
        </w:tc>
        <w:tc>
          <w:tcPr>
            <w:tcW w:w="1840" w:type="dxa"/>
            <w:vAlign w:val="top"/>
          </w:tcPr>
          <w:p w14:paraId="5C3A8447">
            <w:pPr>
              <w:pStyle w:val="6"/>
              <w:spacing w:before="182" w:line="101" w:lineRule="exact"/>
              <w:ind w:left="862"/>
            </w:pPr>
            <w:r>
              <w:rPr>
                <w:spacing w:val="-3"/>
                <w:position w:val="-6"/>
              </w:rPr>
              <w:t>--</w:t>
            </w:r>
          </w:p>
        </w:tc>
        <w:tc>
          <w:tcPr>
            <w:tcW w:w="1950" w:type="dxa"/>
            <w:tcBorders>
              <w:right w:val="single" w:color="000000" w:sz="12" w:space="0"/>
            </w:tcBorders>
            <w:vAlign w:val="top"/>
          </w:tcPr>
          <w:p w14:paraId="6F243163">
            <w:pPr>
              <w:pStyle w:val="6"/>
              <w:spacing w:before="91" w:line="198" w:lineRule="auto"/>
              <w:ind w:left="799"/>
            </w:pPr>
            <w:r>
              <w:rPr>
                <w:spacing w:val="-2"/>
              </w:rPr>
              <w:t>0.02</w:t>
            </w:r>
          </w:p>
        </w:tc>
      </w:tr>
      <w:tr w14:paraId="7BBD0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EF0B3B9">
            <w:pPr>
              <w:rPr>
                <w:rFonts w:ascii="Arial"/>
                <w:sz w:val="21"/>
              </w:rPr>
            </w:pPr>
          </w:p>
        </w:tc>
        <w:tc>
          <w:tcPr>
            <w:tcW w:w="329" w:type="dxa"/>
            <w:vMerge w:val="continue"/>
            <w:tcBorders>
              <w:top w:val="nil"/>
            </w:tcBorders>
            <w:vAlign w:val="top"/>
          </w:tcPr>
          <w:p w14:paraId="229E2E43">
            <w:pPr>
              <w:rPr>
                <w:rFonts w:ascii="Arial"/>
                <w:sz w:val="21"/>
              </w:rPr>
            </w:pPr>
          </w:p>
        </w:tc>
        <w:tc>
          <w:tcPr>
            <w:tcW w:w="1179" w:type="dxa"/>
            <w:vAlign w:val="top"/>
          </w:tcPr>
          <w:p w14:paraId="482BA7DB">
            <w:pPr>
              <w:pStyle w:val="6"/>
              <w:spacing w:before="92" w:line="198" w:lineRule="auto"/>
              <w:ind w:left="151"/>
            </w:pPr>
            <w:r>
              <w:rPr>
                <w:spacing w:val="-1"/>
              </w:rPr>
              <w:t>2020/3/12</w:t>
            </w:r>
          </w:p>
        </w:tc>
        <w:tc>
          <w:tcPr>
            <w:tcW w:w="706" w:type="dxa"/>
            <w:vAlign w:val="top"/>
          </w:tcPr>
          <w:p w14:paraId="068610D2">
            <w:pPr>
              <w:pStyle w:val="6"/>
              <w:spacing w:before="92" w:line="198" w:lineRule="auto"/>
              <w:ind w:left="162"/>
            </w:pPr>
            <w:r>
              <w:rPr>
                <w:spacing w:val="-2"/>
              </w:rPr>
              <w:t>0.41</w:t>
            </w:r>
          </w:p>
        </w:tc>
        <w:tc>
          <w:tcPr>
            <w:tcW w:w="707" w:type="dxa"/>
            <w:vAlign w:val="top"/>
          </w:tcPr>
          <w:p w14:paraId="6DF3F193">
            <w:pPr>
              <w:pStyle w:val="6"/>
              <w:spacing w:before="92" w:line="198" w:lineRule="auto"/>
              <w:ind w:left="164"/>
            </w:pPr>
            <w:r>
              <w:rPr>
                <w:spacing w:val="-2"/>
              </w:rPr>
              <w:t>0.83</w:t>
            </w:r>
          </w:p>
        </w:tc>
        <w:tc>
          <w:tcPr>
            <w:tcW w:w="989" w:type="dxa"/>
            <w:vAlign w:val="top"/>
          </w:tcPr>
          <w:p w14:paraId="31BBEEE8">
            <w:pPr>
              <w:pStyle w:val="6"/>
              <w:spacing w:before="92" w:line="198" w:lineRule="auto"/>
              <w:ind w:left="308"/>
            </w:pPr>
            <w:r>
              <w:rPr>
                <w:spacing w:val="-2"/>
              </w:rPr>
              <w:t>0.37</w:t>
            </w:r>
          </w:p>
        </w:tc>
        <w:tc>
          <w:tcPr>
            <w:tcW w:w="706" w:type="dxa"/>
            <w:vAlign w:val="top"/>
          </w:tcPr>
          <w:p w14:paraId="56910C08">
            <w:pPr>
              <w:pStyle w:val="6"/>
              <w:spacing w:before="92" w:line="198" w:lineRule="auto"/>
              <w:ind w:left="168"/>
            </w:pPr>
            <w:r>
              <w:rPr>
                <w:spacing w:val="-2"/>
              </w:rPr>
              <w:t>0.30</w:t>
            </w:r>
          </w:p>
        </w:tc>
        <w:tc>
          <w:tcPr>
            <w:tcW w:w="991" w:type="dxa"/>
            <w:vAlign w:val="top"/>
          </w:tcPr>
          <w:p w14:paraId="1C9FF7C3">
            <w:pPr>
              <w:pStyle w:val="6"/>
              <w:spacing w:before="92" w:line="198" w:lineRule="auto"/>
              <w:ind w:left="313"/>
            </w:pPr>
            <w:r>
              <w:rPr>
                <w:spacing w:val="-2"/>
              </w:rPr>
              <w:t>0.28</w:t>
            </w:r>
          </w:p>
        </w:tc>
        <w:tc>
          <w:tcPr>
            <w:tcW w:w="990" w:type="dxa"/>
            <w:vAlign w:val="top"/>
          </w:tcPr>
          <w:p w14:paraId="60D0ACAE">
            <w:pPr>
              <w:pStyle w:val="6"/>
              <w:spacing w:before="92" w:line="198" w:lineRule="auto"/>
              <w:ind w:left="315"/>
            </w:pPr>
            <w:r>
              <w:rPr>
                <w:spacing w:val="-2"/>
              </w:rPr>
              <w:t>0.04</w:t>
            </w:r>
          </w:p>
        </w:tc>
        <w:tc>
          <w:tcPr>
            <w:tcW w:w="848" w:type="dxa"/>
            <w:vAlign w:val="top"/>
          </w:tcPr>
          <w:p w14:paraId="7D249AE5">
            <w:pPr>
              <w:pStyle w:val="6"/>
              <w:spacing w:before="92" w:line="198" w:lineRule="auto"/>
              <w:ind w:left="245"/>
            </w:pPr>
            <w:r>
              <w:rPr>
                <w:spacing w:val="-2"/>
              </w:rPr>
              <w:t>0.25</w:t>
            </w:r>
          </w:p>
        </w:tc>
        <w:tc>
          <w:tcPr>
            <w:tcW w:w="706" w:type="dxa"/>
            <w:vAlign w:val="top"/>
          </w:tcPr>
          <w:p w14:paraId="0AE5CF5B">
            <w:pPr>
              <w:pStyle w:val="6"/>
              <w:spacing w:before="92" w:line="198" w:lineRule="auto"/>
              <w:ind w:left="176"/>
            </w:pPr>
            <w:r>
              <w:rPr>
                <w:spacing w:val="-2"/>
              </w:rPr>
              <w:t>0.40</w:t>
            </w:r>
          </w:p>
        </w:tc>
        <w:tc>
          <w:tcPr>
            <w:tcW w:w="1840" w:type="dxa"/>
            <w:vAlign w:val="top"/>
          </w:tcPr>
          <w:p w14:paraId="15296914">
            <w:pPr>
              <w:pStyle w:val="6"/>
              <w:spacing w:before="183" w:line="101" w:lineRule="exact"/>
              <w:ind w:left="862"/>
            </w:pPr>
            <w:r>
              <w:rPr>
                <w:spacing w:val="-3"/>
                <w:position w:val="-6"/>
              </w:rPr>
              <w:t>--</w:t>
            </w:r>
          </w:p>
        </w:tc>
        <w:tc>
          <w:tcPr>
            <w:tcW w:w="1950" w:type="dxa"/>
            <w:tcBorders>
              <w:right w:val="single" w:color="000000" w:sz="12" w:space="0"/>
            </w:tcBorders>
            <w:vAlign w:val="top"/>
          </w:tcPr>
          <w:p w14:paraId="3D41231A">
            <w:pPr>
              <w:pStyle w:val="6"/>
              <w:spacing w:before="92" w:line="198" w:lineRule="auto"/>
              <w:ind w:left="799"/>
            </w:pPr>
            <w:r>
              <w:rPr>
                <w:spacing w:val="-2"/>
              </w:rPr>
              <w:t>0.02</w:t>
            </w:r>
          </w:p>
        </w:tc>
      </w:tr>
      <w:tr w14:paraId="0D44E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98E747E">
            <w:pPr>
              <w:rPr>
                <w:rFonts w:ascii="Arial"/>
                <w:sz w:val="21"/>
              </w:rPr>
            </w:pPr>
          </w:p>
        </w:tc>
        <w:tc>
          <w:tcPr>
            <w:tcW w:w="329" w:type="dxa"/>
            <w:vMerge w:val="restart"/>
            <w:tcBorders>
              <w:bottom w:val="nil"/>
            </w:tcBorders>
            <w:vAlign w:val="top"/>
          </w:tcPr>
          <w:p w14:paraId="47DD36B7">
            <w:pPr>
              <w:pStyle w:val="6"/>
              <w:spacing w:before="133" w:line="222" w:lineRule="auto"/>
              <w:ind w:left="97"/>
            </w:pPr>
            <w:r>
              <w:t>2</w:t>
            </w:r>
          </w:p>
          <w:p w14:paraId="1EAB84F9">
            <w:pPr>
              <w:spacing w:line="219" w:lineRule="auto"/>
              <w:ind w:left="49"/>
              <w:rPr>
                <w:rFonts w:ascii="宋体" w:hAnsi="宋体" w:eastAsia="宋体" w:cs="宋体"/>
                <w:sz w:val="21"/>
                <w:szCs w:val="21"/>
              </w:rPr>
            </w:pPr>
            <w:r>
              <w:rPr>
                <w:rFonts w:ascii="宋体" w:hAnsi="宋体" w:eastAsia="宋体" w:cs="宋体"/>
                <w:sz w:val="21"/>
                <w:szCs w:val="21"/>
              </w:rPr>
              <w:t>季</w:t>
            </w:r>
          </w:p>
          <w:p w14:paraId="674B8042">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3D80DBF0">
            <w:pPr>
              <w:pStyle w:val="6"/>
              <w:spacing w:before="94" w:line="195" w:lineRule="auto"/>
              <w:ind w:left="151"/>
            </w:pPr>
            <w:r>
              <w:rPr>
                <w:spacing w:val="-1"/>
              </w:rPr>
              <w:t>2020/5/20</w:t>
            </w:r>
          </w:p>
        </w:tc>
        <w:tc>
          <w:tcPr>
            <w:tcW w:w="706" w:type="dxa"/>
            <w:vAlign w:val="top"/>
          </w:tcPr>
          <w:p w14:paraId="02761C1B">
            <w:pPr>
              <w:pStyle w:val="6"/>
              <w:spacing w:before="94" w:line="195" w:lineRule="auto"/>
              <w:ind w:left="162"/>
            </w:pPr>
            <w:r>
              <w:rPr>
                <w:spacing w:val="-2"/>
              </w:rPr>
              <w:t>0.20</w:t>
            </w:r>
          </w:p>
        </w:tc>
        <w:tc>
          <w:tcPr>
            <w:tcW w:w="707" w:type="dxa"/>
            <w:vAlign w:val="top"/>
          </w:tcPr>
          <w:p w14:paraId="354AB931">
            <w:pPr>
              <w:pStyle w:val="6"/>
              <w:spacing w:before="94" w:line="195" w:lineRule="auto"/>
              <w:ind w:left="164"/>
            </w:pPr>
            <w:r>
              <w:rPr>
                <w:spacing w:val="-2"/>
              </w:rPr>
              <w:t>0.89</w:t>
            </w:r>
          </w:p>
        </w:tc>
        <w:tc>
          <w:tcPr>
            <w:tcW w:w="989" w:type="dxa"/>
            <w:vAlign w:val="top"/>
          </w:tcPr>
          <w:p w14:paraId="38832467">
            <w:pPr>
              <w:pStyle w:val="6"/>
              <w:spacing w:before="94" w:line="195" w:lineRule="auto"/>
              <w:ind w:left="308"/>
            </w:pPr>
            <w:r>
              <w:rPr>
                <w:spacing w:val="-2"/>
              </w:rPr>
              <w:t>0.37</w:t>
            </w:r>
          </w:p>
        </w:tc>
        <w:tc>
          <w:tcPr>
            <w:tcW w:w="706" w:type="dxa"/>
            <w:vAlign w:val="top"/>
          </w:tcPr>
          <w:p w14:paraId="74319514">
            <w:pPr>
              <w:pStyle w:val="6"/>
              <w:spacing w:before="185" w:line="100" w:lineRule="exact"/>
              <w:ind w:left="284"/>
            </w:pPr>
            <w:r>
              <w:rPr>
                <w:spacing w:val="-3"/>
                <w:position w:val="-6"/>
              </w:rPr>
              <w:t>--</w:t>
            </w:r>
          </w:p>
        </w:tc>
        <w:tc>
          <w:tcPr>
            <w:tcW w:w="991" w:type="dxa"/>
            <w:vAlign w:val="top"/>
          </w:tcPr>
          <w:p w14:paraId="05CF71E4">
            <w:pPr>
              <w:pStyle w:val="6"/>
              <w:spacing w:before="185" w:line="100" w:lineRule="exact"/>
              <w:ind w:left="427"/>
            </w:pPr>
            <w:r>
              <w:rPr>
                <w:spacing w:val="-3"/>
                <w:position w:val="-6"/>
              </w:rPr>
              <w:t>--</w:t>
            </w:r>
          </w:p>
        </w:tc>
        <w:tc>
          <w:tcPr>
            <w:tcW w:w="990" w:type="dxa"/>
            <w:vAlign w:val="top"/>
          </w:tcPr>
          <w:p w14:paraId="678F9D5C">
            <w:pPr>
              <w:pStyle w:val="6"/>
              <w:spacing w:before="94" w:line="195" w:lineRule="auto"/>
              <w:ind w:left="315"/>
            </w:pPr>
            <w:r>
              <w:rPr>
                <w:spacing w:val="-2"/>
              </w:rPr>
              <w:t>0.13</w:t>
            </w:r>
          </w:p>
        </w:tc>
        <w:tc>
          <w:tcPr>
            <w:tcW w:w="848" w:type="dxa"/>
            <w:vAlign w:val="top"/>
          </w:tcPr>
          <w:p w14:paraId="233D1C26">
            <w:pPr>
              <w:pStyle w:val="6"/>
              <w:spacing w:before="94" w:line="195" w:lineRule="auto"/>
              <w:ind w:left="245"/>
            </w:pPr>
            <w:r>
              <w:rPr>
                <w:spacing w:val="-2"/>
              </w:rPr>
              <w:t>0.20</w:t>
            </w:r>
          </w:p>
        </w:tc>
        <w:tc>
          <w:tcPr>
            <w:tcW w:w="706" w:type="dxa"/>
            <w:vAlign w:val="top"/>
          </w:tcPr>
          <w:p w14:paraId="446EE36F">
            <w:pPr>
              <w:pStyle w:val="6"/>
              <w:spacing w:before="94" w:line="195" w:lineRule="auto"/>
              <w:ind w:left="176"/>
            </w:pPr>
            <w:r>
              <w:rPr>
                <w:spacing w:val="-2"/>
              </w:rPr>
              <w:t>0.20</w:t>
            </w:r>
          </w:p>
        </w:tc>
        <w:tc>
          <w:tcPr>
            <w:tcW w:w="1840" w:type="dxa"/>
            <w:vAlign w:val="top"/>
          </w:tcPr>
          <w:p w14:paraId="4D130CCA">
            <w:pPr>
              <w:pStyle w:val="6"/>
              <w:spacing w:before="185" w:line="100" w:lineRule="exact"/>
              <w:ind w:left="862"/>
            </w:pPr>
            <w:r>
              <w:rPr>
                <w:spacing w:val="-3"/>
                <w:position w:val="-6"/>
              </w:rPr>
              <w:t>--</w:t>
            </w:r>
          </w:p>
        </w:tc>
        <w:tc>
          <w:tcPr>
            <w:tcW w:w="1950" w:type="dxa"/>
            <w:tcBorders>
              <w:right w:val="single" w:color="000000" w:sz="12" w:space="0"/>
            </w:tcBorders>
            <w:vAlign w:val="top"/>
          </w:tcPr>
          <w:p w14:paraId="4C782F2C">
            <w:pPr>
              <w:pStyle w:val="6"/>
              <w:spacing w:before="94" w:line="195" w:lineRule="auto"/>
              <w:ind w:left="799"/>
            </w:pPr>
            <w:r>
              <w:rPr>
                <w:spacing w:val="-2"/>
              </w:rPr>
              <w:t>0.17</w:t>
            </w:r>
          </w:p>
        </w:tc>
      </w:tr>
      <w:tr w14:paraId="3D722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01B0D38">
            <w:pPr>
              <w:rPr>
                <w:rFonts w:ascii="Arial"/>
                <w:sz w:val="21"/>
              </w:rPr>
            </w:pPr>
          </w:p>
        </w:tc>
        <w:tc>
          <w:tcPr>
            <w:tcW w:w="329" w:type="dxa"/>
            <w:vMerge w:val="continue"/>
            <w:tcBorders>
              <w:top w:val="nil"/>
              <w:bottom w:val="nil"/>
            </w:tcBorders>
            <w:vAlign w:val="top"/>
          </w:tcPr>
          <w:p w14:paraId="2F552296">
            <w:pPr>
              <w:rPr>
                <w:rFonts w:ascii="Arial"/>
                <w:sz w:val="21"/>
              </w:rPr>
            </w:pPr>
          </w:p>
        </w:tc>
        <w:tc>
          <w:tcPr>
            <w:tcW w:w="1179" w:type="dxa"/>
            <w:vAlign w:val="top"/>
          </w:tcPr>
          <w:p w14:paraId="40206E7B">
            <w:pPr>
              <w:pStyle w:val="6"/>
              <w:spacing w:before="95" w:line="195" w:lineRule="auto"/>
              <w:ind w:left="151"/>
            </w:pPr>
            <w:r>
              <w:rPr>
                <w:spacing w:val="-1"/>
              </w:rPr>
              <w:t>2020/5/21</w:t>
            </w:r>
          </w:p>
        </w:tc>
        <w:tc>
          <w:tcPr>
            <w:tcW w:w="706" w:type="dxa"/>
            <w:vAlign w:val="top"/>
          </w:tcPr>
          <w:p w14:paraId="2F5C2E1C">
            <w:pPr>
              <w:pStyle w:val="6"/>
              <w:spacing w:before="95" w:line="195" w:lineRule="auto"/>
              <w:ind w:left="162"/>
            </w:pPr>
            <w:r>
              <w:rPr>
                <w:spacing w:val="-2"/>
              </w:rPr>
              <w:t>0.22</w:t>
            </w:r>
          </w:p>
        </w:tc>
        <w:tc>
          <w:tcPr>
            <w:tcW w:w="707" w:type="dxa"/>
            <w:vAlign w:val="top"/>
          </w:tcPr>
          <w:p w14:paraId="6C9E6B4F">
            <w:pPr>
              <w:pStyle w:val="6"/>
              <w:spacing w:before="95" w:line="195" w:lineRule="auto"/>
              <w:ind w:left="164"/>
            </w:pPr>
            <w:r>
              <w:rPr>
                <w:spacing w:val="-2"/>
              </w:rPr>
              <w:t>0.80</w:t>
            </w:r>
          </w:p>
        </w:tc>
        <w:tc>
          <w:tcPr>
            <w:tcW w:w="989" w:type="dxa"/>
            <w:vAlign w:val="top"/>
          </w:tcPr>
          <w:p w14:paraId="7BEEF21F">
            <w:pPr>
              <w:pStyle w:val="6"/>
              <w:spacing w:before="95" w:line="195" w:lineRule="auto"/>
              <w:ind w:left="308"/>
            </w:pPr>
            <w:r>
              <w:rPr>
                <w:spacing w:val="-2"/>
              </w:rPr>
              <w:t>0.32</w:t>
            </w:r>
          </w:p>
        </w:tc>
        <w:tc>
          <w:tcPr>
            <w:tcW w:w="706" w:type="dxa"/>
            <w:vAlign w:val="top"/>
          </w:tcPr>
          <w:p w14:paraId="5ECDA682">
            <w:pPr>
              <w:pStyle w:val="6"/>
              <w:spacing w:before="186" w:line="100" w:lineRule="exact"/>
              <w:ind w:left="284"/>
            </w:pPr>
            <w:r>
              <w:rPr>
                <w:spacing w:val="-3"/>
                <w:position w:val="-6"/>
              </w:rPr>
              <w:t>--</w:t>
            </w:r>
          </w:p>
        </w:tc>
        <w:tc>
          <w:tcPr>
            <w:tcW w:w="991" w:type="dxa"/>
            <w:vAlign w:val="top"/>
          </w:tcPr>
          <w:p w14:paraId="0C43D869">
            <w:pPr>
              <w:pStyle w:val="6"/>
              <w:spacing w:before="186" w:line="100" w:lineRule="exact"/>
              <w:ind w:left="427"/>
            </w:pPr>
            <w:r>
              <w:rPr>
                <w:spacing w:val="-3"/>
                <w:position w:val="-6"/>
              </w:rPr>
              <w:t>--</w:t>
            </w:r>
          </w:p>
        </w:tc>
        <w:tc>
          <w:tcPr>
            <w:tcW w:w="990" w:type="dxa"/>
            <w:vAlign w:val="top"/>
          </w:tcPr>
          <w:p w14:paraId="27D9EF34">
            <w:pPr>
              <w:pStyle w:val="6"/>
              <w:spacing w:before="95" w:line="195" w:lineRule="auto"/>
              <w:ind w:left="315"/>
            </w:pPr>
            <w:r>
              <w:rPr>
                <w:spacing w:val="-2"/>
              </w:rPr>
              <w:t>0.14</w:t>
            </w:r>
          </w:p>
        </w:tc>
        <w:tc>
          <w:tcPr>
            <w:tcW w:w="848" w:type="dxa"/>
            <w:vAlign w:val="top"/>
          </w:tcPr>
          <w:p w14:paraId="35FA7B61">
            <w:pPr>
              <w:pStyle w:val="6"/>
              <w:spacing w:before="95" w:line="195" w:lineRule="auto"/>
              <w:ind w:left="245"/>
            </w:pPr>
            <w:r>
              <w:rPr>
                <w:spacing w:val="-2"/>
              </w:rPr>
              <w:t>0.20</w:t>
            </w:r>
          </w:p>
        </w:tc>
        <w:tc>
          <w:tcPr>
            <w:tcW w:w="706" w:type="dxa"/>
            <w:vAlign w:val="top"/>
          </w:tcPr>
          <w:p w14:paraId="6558CBFD">
            <w:pPr>
              <w:pStyle w:val="6"/>
              <w:spacing w:before="95" w:line="195" w:lineRule="auto"/>
              <w:ind w:left="176"/>
            </w:pPr>
            <w:r>
              <w:rPr>
                <w:spacing w:val="-2"/>
              </w:rPr>
              <w:t>0.20</w:t>
            </w:r>
          </w:p>
        </w:tc>
        <w:tc>
          <w:tcPr>
            <w:tcW w:w="1840" w:type="dxa"/>
            <w:vAlign w:val="top"/>
          </w:tcPr>
          <w:p w14:paraId="4A34719B">
            <w:pPr>
              <w:pStyle w:val="6"/>
              <w:spacing w:before="186" w:line="100" w:lineRule="exact"/>
              <w:ind w:left="862"/>
            </w:pPr>
            <w:r>
              <w:rPr>
                <w:spacing w:val="-3"/>
                <w:position w:val="-6"/>
              </w:rPr>
              <w:t>--</w:t>
            </w:r>
          </w:p>
        </w:tc>
        <w:tc>
          <w:tcPr>
            <w:tcW w:w="1950" w:type="dxa"/>
            <w:tcBorders>
              <w:right w:val="single" w:color="000000" w:sz="12" w:space="0"/>
            </w:tcBorders>
            <w:vAlign w:val="top"/>
          </w:tcPr>
          <w:p w14:paraId="0BF4D5C2">
            <w:pPr>
              <w:pStyle w:val="6"/>
              <w:spacing w:before="95" w:line="195" w:lineRule="auto"/>
              <w:ind w:left="799"/>
            </w:pPr>
            <w:r>
              <w:rPr>
                <w:spacing w:val="-2"/>
              </w:rPr>
              <w:t>0.18</w:t>
            </w:r>
          </w:p>
        </w:tc>
      </w:tr>
      <w:tr w14:paraId="33392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1915DCD">
            <w:pPr>
              <w:rPr>
                <w:rFonts w:ascii="Arial"/>
                <w:sz w:val="21"/>
              </w:rPr>
            </w:pPr>
          </w:p>
        </w:tc>
        <w:tc>
          <w:tcPr>
            <w:tcW w:w="329" w:type="dxa"/>
            <w:vMerge w:val="continue"/>
            <w:tcBorders>
              <w:top w:val="nil"/>
            </w:tcBorders>
            <w:vAlign w:val="top"/>
          </w:tcPr>
          <w:p w14:paraId="25F2912B">
            <w:pPr>
              <w:rPr>
                <w:rFonts w:ascii="Arial"/>
                <w:sz w:val="21"/>
              </w:rPr>
            </w:pPr>
          </w:p>
        </w:tc>
        <w:tc>
          <w:tcPr>
            <w:tcW w:w="1179" w:type="dxa"/>
            <w:vAlign w:val="top"/>
          </w:tcPr>
          <w:p w14:paraId="05105246">
            <w:pPr>
              <w:pStyle w:val="6"/>
              <w:spacing w:before="96" w:line="193" w:lineRule="auto"/>
              <w:ind w:left="151"/>
            </w:pPr>
            <w:r>
              <w:rPr>
                <w:spacing w:val="-1"/>
              </w:rPr>
              <w:t>2020/5/22</w:t>
            </w:r>
          </w:p>
        </w:tc>
        <w:tc>
          <w:tcPr>
            <w:tcW w:w="706" w:type="dxa"/>
            <w:vAlign w:val="top"/>
          </w:tcPr>
          <w:p w14:paraId="546D24F4">
            <w:pPr>
              <w:pStyle w:val="6"/>
              <w:spacing w:before="96" w:line="193" w:lineRule="auto"/>
              <w:ind w:left="162"/>
            </w:pPr>
            <w:r>
              <w:rPr>
                <w:spacing w:val="-2"/>
              </w:rPr>
              <w:t>0.23</w:t>
            </w:r>
          </w:p>
        </w:tc>
        <w:tc>
          <w:tcPr>
            <w:tcW w:w="707" w:type="dxa"/>
            <w:vAlign w:val="top"/>
          </w:tcPr>
          <w:p w14:paraId="3379E6C5">
            <w:pPr>
              <w:pStyle w:val="6"/>
              <w:spacing w:before="96" w:line="193" w:lineRule="auto"/>
              <w:ind w:left="164"/>
            </w:pPr>
            <w:r>
              <w:rPr>
                <w:spacing w:val="-2"/>
              </w:rPr>
              <w:t>0.75</w:t>
            </w:r>
          </w:p>
        </w:tc>
        <w:tc>
          <w:tcPr>
            <w:tcW w:w="989" w:type="dxa"/>
            <w:vAlign w:val="top"/>
          </w:tcPr>
          <w:p w14:paraId="239CF47E">
            <w:pPr>
              <w:pStyle w:val="6"/>
              <w:spacing w:before="96" w:line="193" w:lineRule="auto"/>
              <w:ind w:left="308"/>
            </w:pPr>
            <w:r>
              <w:rPr>
                <w:spacing w:val="-2"/>
              </w:rPr>
              <w:t>0.33</w:t>
            </w:r>
          </w:p>
        </w:tc>
        <w:tc>
          <w:tcPr>
            <w:tcW w:w="706" w:type="dxa"/>
            <w:vAlign w:val="top"/>
          </w:tcPr>
          <w:p w14:paraId="17E5307B">
            <w:pPr>
              <w:pStyle w:val="6"/>
              <w:spacing w:before="187" w:line="100" w:lineRule="exact"/>
              <w:ind w:left="284"/>
            </w:pPr>
            <w:r>
              <w:rPr>
                <w:spacing w:val="-3"/>
                <w:position w:val="-6"/>
              </w:rPr>
              <w:t>--</w:t>
            </w:r>
          </w:p>
        </w:tc>
        <w:tc>
          <w:tcPr>
            <w:tcW w:w="991" w:type="dxa"/>
            <w:vAlign w:val="top"/>
          </w:tcPr>
          <w:p w14:paraId="27CD6D42">
            <w:pPr>
              <w:pStyle w:val="6"/>
              <w:spacing w:before="187" w:line="100" w:lineRule="exact"/>
              <w:ind w:left="427"/>
            </w:pPr>
            <w:r>
              <w:rPr>
                <w:spacing w:val="-3"/>
                <w:position w:val="-6"/>
              </w:rPr>
              <w:t>--</w:t>
            </w:r>
          </w:p>
        </w:tc>
        <w:tc>
          <w:tcPr>
            <w:tcW w:w="990" w:type="dxa"/>
            <w:vAlign w:val="top"/>
          </w:tcPr>
          <w:p w14:paraId="7D07C561">
            <w:pPr>
              <w:pStyle w:val="6"/>
              <w:spacing w:before="96" w:line="193" w:lineRule="auto"/>
              <w:ind w:left="315"/>
            </w:pPr>
            <w:r>
              <w:rPr>
                <w:spacing w:val="-2"/>
              </w:rPr>
              <w:t>0.13</w:t>
            </w:r>
          </w:p>
        </w:tc>
        <w:tc>
          <w:tcPr>
            <w:tcW w:w="848" w:type="dxa"/>
            <w:vAlign w:val="top"/>
          </w:tcPr>
          <w:p w14:paraId="1C368D4A">
            <w:pPr>
              <w:pStyle w:val="6"/>
              <w:spacing w:before="96" w:line="193" w:lineRule="auto"/>
              <w:ind w:left="245"/>
            </w:pPr>
            <w:r>
              <w:rPr>
                <w:spacing w:val="-2"/>
              </w:rPr>
              <w:t>0.15</w:t>
            </w:r>
          </w:p>
        </w:tc>
        <w:tc>
          <w:tcPr>
            <w:tcW w:w="706" w:type="dxa"/>
            <w:vAlign w:val="top"/>
          </w:tcPr>
          <w:p w14:paraId="7DB80EE9">
            <w:pPr>
              <w:pStyle w:val="6"/>
              <w:spacing w:before="96" w:line="193" w:lineRule="auto"/>
              <w:ind w:left="176"/>
            </w:pPr>
            <w:r>
              <w:rPr>
                <w:spacing w:val="-2"/>
              </w:rPr>
              <w:t>0.20</w:t>
            </w:r>
          </w:p>
        </w:tc>
        <w:tc>
          <w:tcPr>
            <w:tcW w:w="1840" w:type="dxa"/>
            <w:vAlign w:val="top"/>
          </w:tcPr>
          <w:p w14:paraId="2BD4A79E">
            <w:pPr>
              <w:pStyle w:val="6"/>
              <w:spacing w:before="187" w:line="100" w:lineRule="exact"/>
              <w:ind w:left="862"/>
            </w:pPr>
            <w:r>
              <w:rPr>
                <w:spacing w:val="-3"/>
                <w:position w:val="-6"/>
              </w:rPr>
              <w:t>--</w:t>
            </w:r>
          </w:p>
        </w:tc>
        <w:tc>
          <w:tcPr>
            <w:tcW w:w="1950" w:type="dxa"/>
            <w:tcBorders>
              <w:right w:val="single" w:color="000000" w:sz="12" w:space="0"/>
            </w:tcBorders>
            <w:vAlign w:val="top"/>
          </w:tcPr>
          <w:p w14:paraId="4D4BB8FC">
            <w:pPr>
              <w:pStyle w:val="6"/>
              <w:spacing w:before="96" w:line="193" w:lineRule="auto"/>
              <w:ind w:left="799"/>
            </w:pPr>
            <w:r>
              <w:rPr>
                <w:spacing w:val="-2"/>
              </w:rPr>
              <w:t>0.15</w:t>
            </w:r>
          </w:p>
        </w:tc>
      </w:tr>
      <w:tr w14:paraId="7E136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AAC49EE">
            <w:pPr>
              <w:rPr>
                <w:rFonts w:ascii="Arial"/>
                <w:sz w:val="21"/>
              </w:rPr>
            </w:pPr>
          </w:p>
        </w:tc>
        <w:tc>
          <w:tcPr>
            <w:tcW w:w="329" w:type="dxa"/>
            <w:vMerge w:val="restart"/>
            <w:tcBorders>
              <w:bottom w:val="nil"/>
            </w:tcBorders>
            <w:vAlign w:val="top"/>
          </w:tcPr>
          <w:p w14:paraId="21905CB4">
            <w:pPr>
              <w:pStyle w:val="6"/>
              <w:spacing w:before="137" w:line="223" w:lineRule="auto"/>
              <w:ind w:left="102"/>
            </w:pPr>
            <w:r>
              <w:t>3</w:t>
            </w:r>
          </w:p>
          <w:p w14:paraId="5CDDD081">
            <w:pPr>
              <w:spacing w:line="219" w:lineRule="auto"/>
              <w:ind w:left="49"/>
              <w:rPr>
                <w:rFonts w:ascii="宋体" w:hAnsi="宋体" w:eastAsia="宋体" w:cs="宋体"/>
                <w:sz w:val="21"/>
                <w:szCs w:val="21"/>
              </w:rPr>
            </w:pPr>
            <w:r>
              <w:rPr>
                <w:rFonts w:ascii="宋体" w:hAnsi="宋体" w:eastAsia="宋体" w:cs="宋体"/>
                <w:sz w:val="21"/>
                <w:szCs w:val="21"/>
              </w:rPr>
              <w:t>季</w:t>
            </w:r>
          </w:p>
          <w:p w14:paraId="457DC730">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1704E778">
            <w:pPr>
              <w:pStyle w:val="6"/>
              <w:spacing w:before="97" w:line="192" w:lineRule="auto"/>
              <w:ind w:left="151"/>
            </w:pPr>
            <w:r>
              <w:rPr>
                <w:spacing w:val="-1"/>
              </w:rPr>
              <w:t>2020/8/20</w:t>
            </w:r>
          </w:p>
        </w:tc>
        <w:tc>
          <w:tcPr>
            <w:tcW w:w="706" w:type="dxa"/>
            <w:vAlign w:val="top"/>
          </w:tcPr>
          <w:p w14:paraId="787A39F1">
            <w:pPr>
              <w:pStyle w:val="6"/>
              <w:spacing w:before="97" w:line="192" w:lineRule="auto"/>
              <w:ind w:left="162"/>
            </w:pPr>
            <w:r>
              <w:rPr>
                <w:spacing w:val="-2"/>
              </w:rPr>
              <w:t>0.62</w:t>
            </w:r>
          </w:p>
        </w:tc>
        <w:tc>
          <w:tcPr>
            <w:tcW w:w="707" w:type="dxa"/>
            <w:vAlign w:val="top"/>
          </w:tcPr>
          <w:p w14:paraId="15EDFD1E">
            <w:pPr>
              <w:pStyle w:val="6"/>
              <w:spacing w:before="102" w:line="187" w:lineRule="auto"/>
              <w:ind w:left="162"/>
            </w:pPr>
            <w:r>
              <w:rPr>
                <w:b/>
                <w:bCs/>
                <w:spacing w:val="-2"/>
              </w:rPr>
              <w:t>4.06</w:t>
            </w:r>
          </w:p>
        </w:tc>
        <w:tc>
          <w:tcPr>
            <w:tcW w:w="989" w:type="dxa"/>
            <w:vAlign w:val="top"/>
          </w:tcPr>
          <w:p w14:paraId="616A77F5">
            <w:pPr>
              <w:pStyle w:val="6"/>
              <w:spacing w:before="97" w:line="192" w:lineRule="auto"/>
              <w:ind w:left="308"/>
            </w:pPr>
            <w:r>
              <w:rPr>
                <w:spacing w:val="-2"/>
              </w:rPr>
              <w:t>0.62</w:t>
            </w:r>
          </w:p>
        </w:tc>
        <w:tc>
          <w:tcPr>
            <w:tcW w:w="706" w:type="dxa"/>
            <w:vAlign w:val="top"/>
          </w:tcPr>
          <w:p w14:paraId="58149466">
            <w:pPr>
              <w:pStyle w:val="6"/>
              <w:spacing w:before="97" w:line="192" w:lineRule="auto"/>
              <w:ind w:left="168"/>
            </w:pPr>
            <w:r>
              <w:rPr>
                <w:spacing w:val="-2"/>
              </w:rPr>
              <w:t>0.45</w:t>
            </w:r>
          </w:p>
        </w:tc>
        <w:tc>
          <w:tcPr>
            <w:tcW w:w="991" w:type="dxa"/>
            <w:vAlign w:val="top"/>
          </w:tcPr>
          <w:p w14:paraId="3B28B10C">
            <w:pPr>
              <w:pStyle w:val="6"/>
              <w:spacing w:before="97" w:line="192" w:lineRule="auto"/>
              <w:ind w:left="313"/>
            </w:pPr>
            <w:r>
              <w:rPr>
                <w:spacing w:val="-2"/>
              </w:rPr>
              <w:t>0.45</w:t>
            </w:r>
          </w:p>
        </w:tc>
        <w:tc>
          <w:tcPr>
            <w:tcW w:w="990" w:type="dxa"/>
            <w:vAlign w:val="top"/>
          </w:tcPr>
          <w:p w14:paraId="7820755F">
            <w:pPr>
              <w:pStyle w:val="6"/>
              <w:spacing w:before="97" w:line="192" w:lineRule="auto"/>
              <w:ind w:left="315"/>
            </w:pPr>
            <w:r>
              <w:rPr>
                <w:spacing w:val="-2"/>
              </w:rPr>
              <w:t>0.20</w:t>
            </w:r>
          </w:p>
        </w:tc>
        <w:tc>
          <w:tcPr>
            <w:tcW w:w="848" w:type="dxa"/>
            <w:vAlign w:val="top"/>
          </w:tcPr>
          <w:p w14:paraId="5417A262">
            <w:pPr>
              <w:pStyle w:val="6"/>
              <w:spacing w:before="97" w:line="192" w:lineRule="auto"/>
              <w:ind w:left="245"/>
            </w:pPr>
            <w:r>
              <w:rPr>
                <w:spacing w:val="-2"/>
              </w:rPr>
              <w:t>0.15</w:t>
            </w:r>
          </w:p>
        </w:tc>
        <w:tc>
          <w:tcPr>
            <w:tcW w:w="706" w:type="dxa"/>
            <w:vAlign w:val="top"/>
          </w:tcPr>
          <w:p w14:paraId="755D0622">
            <w:pPr>
              <w:pStyle w:val="6"/>
              <w:spacing w:before="97" w:line="192" w:lineRule="auto"/>
              <w:ind w:left="176"/>
            </w:pPr>
            <w:r>
              <w:rPr>
                <w:spacing w:val="-2"/>
              </w:rPr>
              <w:t>0.40</w:t>
            </w:r>
          </w:p>
        </w:tc>
        <w:tc>
          <w:tcPr>
            <w:tcW w:w="1840" w:type="dxa"/>
            <w:vAlign w:val="top"/>
          </w:tcPr>
          <w:p w14:paraId="15036118">
            <w:pPr>
              <w:pStyle w:val="6"/>
              <w:spacing w:before="188" w:line="100" w:lineRule="exact"/>
              <w:ind w:left="862"/>
            </w:pPr>
            <w:r>
              <w:rPr>
                <w:spacing w:val="-3"/>
                <w:position w:val="-6"/>
              </w:rPr>
              <w:t>--</w:t>
            </w:r>
          </w:p>
        </w:tc>
        <w:tc>
          <w:tcPr>
            <w:tcW w:w="1950" w:type="dxa"/>
            <w:tcBorders>
              <w:right w:val="single" w:color="000000" w:sz="12" w:space="0"/>
            </w:tcBorders>
            <w:vAlign w:val="top"/>
          </w:tcPr>
          <w:p w14:paraId="7B74AE58">
            <w:pPr>
              <w:pStyle w:val="6"/>
              <w:spacing w:before="97" w:line="192" w:lineRule="auto"/>
              <w:ind w:left="799"/>
            </w:pPr>
            <w:r>
              <w:rPr>
                <w:spacing w:val="-2"/>
              </w:rPr>
              <w:t>0.01</w:t>
            </w:r>
          </w:p>
        </w:tc>
      </w:tr>
      <w:tr w14:paraId="1EE9D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E743CDD">
            <w:pPr>
              <w:rPr>
                <w:rFonts w:ascii="Arial"/>
                <w:sz w:val="21"/>
              </w:rPr>
            </w:pPr>
          </w:p>
        </w:tc>
        <w:tc>
          <w:tcPr>
            <w:tcW w:w="329" w:type="dxa"/>
            <w:vMerge w:val="continue"/>
            <w:tcBorders>
              <w:top w:val="nil"/>
              <w:bottom w:val="nil"/>
            </w:tcBorders>
            <w:vAlign w:val="top"/>
          </w:tcPr>
          <w:p w14:paraId="1DE1C533">
            <w:pPr>
              <w:rPr>
                <w:rFonts w:ascii="Arial"/>
                <w:sz w:val="21"/>
              </w:rPr>
            </w:pPr>
          </w:p>
        </w:tc>
        <w:tc>
          <w:tcPr>
            <w:tcW w:w="1179" w:type="dxa"/>
            <w:vAlign w:val="top"/>
          </w:tcPr>
          <w:p w14:paraId="7211BD21">
            <w:pPr>
              <w:pStyle w:val="6"/>
              <w:spacing w:before="98" w:line="192" w:lineRule="auto"/>
              <w:ind w:left="151"/>
            </w:pPr>
            <w:r>
              <w:rPr>
                <w:spacing w:val="-1"/>
              </w:rPr>
              <w:t>2020/8/21</w:t>
            </w:r>
          </w:p>
        </w:tc>
        <w:tc>
          <w:tcPr>
            <w:tcW w:w="706" w:type="dxa"/>
            <w:vAlign w:val="top"/>
          </w:tcPr>
          <w:p w14:paraId="4BE704EC">
            <w:pPr>
              <w:pStyle w:val="6"/>
              <w:spacing w:before="98" w:line="192" w:lineRule="auto"/>
              <w:ind w:left="162"/>
            </w:pPr>
            <w:r>
              <w:rPr>
                <w:spacing w:val="-2"/>
              </w:rPr>
              <w:t>0.59</w:t>
            </w:r>
          </w:p>
        </w:tc>
        <w:tc>
          <w:tcPr>
            <w:tcW w:w="707" w:type="dxa"/>
            <w:vAlign w:val="top"/>
          </w:tcPr>
          <w:p w14:paraId="0F852AD5">
            <w:pPr>
              <w:pStyle w:val="6"/>
              <w:spacing w:before="103" w:line="187" w:lineRule="auto"/>
              <w:ind w:left="160"/>
            </w:pPr>
            <w:r>
              <w:rPr>
                <w:b/>
                <w:bCs/>
                <w:spacing w:val="-1"/>
              </w:rPr>
              <w:t>3.52</w:t>
            </w:r>
          </w:p>
        </w:tc>
        <w:tc>
          <w:tcPr>
            <w:tcW w:w="989" w:type="dxa"/>
            <w:vAlign w:val="top"/>
          </w:tcPr>
          <w:p w14:paraId="2C06AADD">
            <w:pPr>
              <w:pStyle w:val="6"/>
              <w:spacing w:before="98" w:line="192" w:lineRule="auto"/>
              <w:ind w:left="308"/>
            </w:pPr>
            <w:r>
              <w:rPr>
                <w:spacing w:val="-2"/>
              </w:rPr>
              <w:t>0.57</w:t>
            </w:r>
          </w:p>
        </w:tc>
        <w:tc>
          <w:tcPr>
            <w:tcW w:w="706" w:type="dxa"/>
            <w:vAlign w:val="top"/>
          </w:tcPr>
          <w:p w14:paraId="591B73CC">
            <w:pPr>
              <w:pStyle w:val="6"/>
              <w:spacing w:before="98" w:line="192" w:lineRule="auto"/>
              <w:ind w:left="168"/>
            </w:pPr>
            <w:r>
              <w:rPr>
                <w:spacing w:val="-2"/>
              </w:rPr>
              <w:t>0.40</w:t>
            </w:r>
          </w:p>
        </w:tc>
        <w:tc>
          <w:tcPr>
            <w:tcW w:w="991" w:type="dxa"/>
            <w:vAlign w:val="top"/>
          </w:tcPr>
          <w:p w14:paraId="6932BFA4">
            <w:pPr>
              <w:pStyle w:val="6"/>
              <w:spacing w:before="98" w:line="192" w:lineRule="auto"/>
              <w:ind w:left="313"/>
            </w:pPr>
            <w:r>
              <w:rPr>
                <w:spacing w:val="-2"/>
              </w:rPr>
              <w:t>0.40</w:t>
            </w:r>
          </w:p>
        </w:tc>
        <w:tc>
          <w:tcPr>
            <w:tcW w:w="990" w:type="dxa"/>
            <w:vAlign w:val="top"/>
          </w:tcPr>
          <w:p w14:paraId="30DA7F4D">
            <w:pPr>
              <w:pStyle w:val="6"/>
              <w:spacing w:before="98" w:line="192" w:lineRule="auto"/>
              <w:ind w:left="315"/>
            </w:pPr>
            <w:r>
              <w:rPr>
                <w:spacing w:val="-2"/>
              </w:rPr>
              <w:t>0.20</w:t>
            </w:r>
          </w:p>
        </w:tc>
        <w:tc>
          <w:tcPr>
            <w:tcW w:w="848" w:type="dxa"/>
            <w:vAlign w:val="top"/>
          </w:tcPr>
          <w:p w14:paraId="554B3245">
            <w:pPr>
              <w:pStyle w:val="6"/>
              <w:spacing w:before="98" w:line="192" w:lineRule="auto"/>
              <w:ind w:left="245"/>
            </w:pPr>
            <w:r>
              <w:rPr>
                <w:spacing w:val="-2"/>
              </w:rPr>
              <w:t>0.20</w:t>
            </w:r>
          </w:p>
        </w:tc>
        <w:tc>
          <w:tcPr>
            <w:tcW w:w="706" w:type="dxa"/>
            <w:vAlign w:val="top"/>
          </w:tcPr>
          <w:p w14:paraId="3BB3C931">
            <w:pPr>
              <w:pStyle w:val="6"/>
              <w:spacing w:before="98" w:line="192" w:lineRule="auto"/>
              <w:ind w:left="176"/>
            </w:pPr>
            <w:r>
              <w:rPr>
                <w:spacing w:val="-2"/>
              </w:rPr>
              <w:t>0.60</w:t>
            </w:r>
          </w:p>
        </w:tc>
        <w:tc>
          <w:tcPr>
            <w:tcW w:w="1840" w:type="dxa"/>
            <w:vAlign w:val="top"/>
          </w:tcPr>
          <w:p w14:paraId="78AE4FEE">
            <w:pPr>
              <w:pStyle w:val="6"/>
              <w:spacing w:before="189" w:line="100" w:lineRule="exact"/>
              <w:ind w:left="862"/>
            </w:pPr>
            <w:r>
              <w:rPr>
                <w:spacing w:val="-3"/>
                <w:position w:val="-6"/>
              </w:rPr>
              <w:t>--</w:t>
            </w:r>
          </w:p>
        </w:tc>
        <w:tc>
          <w:tcPr>
            <w:tcW w:w="1950" w:type="dxa"/>
            <w:tcBorders>
              <w:right w:val="single" w:color="000000" w:sz="12" w:space="0"/>
            </w:tcBorders>
            <w:vAlign w:val="top"/>
          </w:tcPr>
          <w:p w14:paraId="57920F9A">
            <w:pPr>
              <w:pStyle w:val="6"/>
              <w:spacing w:before="98" w:line="192" w:lineRule="auto"/>
              <w:ind w:left="799"/>
            </w:pPr>
            <w:r>
              <w:rPr>
                <w:spacing w:val="-2"/>
              </w:rPr>
              <w:t>0.01</w:t>
            </w:r>
          </w:p>
        </w:tc>
      </w:tr>
      <w:tr w14:paraId="639437A2">
        <w:tblPrEx>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928C538">
            <w:pPr>
              <w:rPr>
                <w:rFonts w:ascii="Arial"/>
                <w:sz w:val="21"/>
              </w:rPr>
            </w:pPr>
          </w:p>
        </w:tc>
        <w:tc>
          <w:tcPr>
            <w:tcW w:w="329" w:type="dxa"/>
            <w:vMerge w:val="continue"/>
            <w:tcBorders>
              <w:top w:val="nil"/>
            </w:tcBorders>
            <w:vAlign w:val="top"/>
          </w:tcPr>
          <w:p w14:paraId="0C595287">
            <w:pPr>
              <w:rPr>
                <w:rFonts w:ascii="Arial"/>
                <w:sz w:val="21"/>
              </w:rPr>
            </w:pPr>
          </w:p>
        </w:tc>
        <w:tc>
          <w:tcPr>
            <w:tcW w:w="1179" w:type="dxa"/>
            <w:vAlign w:val="top"/>
          </w:tcPr>
          <w:p w14:paraId="5FF4A515">
            <w:pPr>
              <w:pStyle w:val="6"/>
              <w:spacing w:before="99" w:line="190" w:lineRule="auto"/>
              <w:ind w:left="151"/>
            </w:pPr>
            <w:r>
              <w:rPr>
                <w:spacing w:val="-1"/>
              </w:rPr>
              <w:t>2020/8/22</w:t>
            </w:r>
          </w:p>
        </w:tc>
        <w:tc>
          <w:tcPr>
            <w:tcW w:w="706" w:type="dxa"/>
            <w:vAlign w:val="top"/>
          </w:tcPr>
          <w:p w14:paraId="32BC0985">
            <w:pPr>
              <w:pStyle w:val="6"/>
              <w:spacing w:before="99" w:line="190" w:lineRule="auto"/>
              <w:ind w:left="162"/>
            </w:pPr>
            <w:r>
              <w:rPr>
                <w:spacing w:val="-2"/>
              </w:rPr>
              <w:t>0.64</w:t>
            </w:r>
          </w:p>
        </w:tc>
        <w:tc>
          <w:tcPr>
            <w:tcW w:w="707" w:type="dxa"/>
            <w:vAlign w:val="top"/>
          </w:tcPr>
          <w:p w14:paraId="21498F6D">
            <w:pPr>
              <w:pStyle w:val="6"/>
              <w:spacing w:before="104" w:line="185" w:lineRule="auto"/>
              <w:ind w:left="162"/>
            </w:pPr>
            <w:r>
              <w:rPr>
                <w:b/>
                <w:bCs/>
                <w:spacing w:val="-2"/>
              </w:rPr>
              <w:t>2.98</w:t>
            </w:r>
          </w:p>
        </w:tc>
        <w:tc>
          <w:tcPr>
            <w:tcW w:w="989" w:type="dxa"/>
            <w:vAlign w:val="top"/>
          </w:tcPr>
          <w:p w14:paraId="1B7166F0">
            <w:pPr>
              <w:pStyle w:val="6"/>
              <w:spacing w:before="99" w:line="190" w:lineRule="auto"/>
              <w:ind w:left="308"/>
            </w:pPr>
            <w:r>
              <w:rPr>
                <w:spacing w:val="-2"/>
              </w:rPr>
              <w:t>0.58</w:t>
            </w:r>
          </w:p>
        </w:tc>
        <w:tc>
          <w:tcPr>
            <w:tcW w:w="706" w:type="dxa"/>
            <w:vAlign w:val="top"/>
          </w:tcPr>
          <w:p w14:paraId="7898E749">
            <w:pPr>
              <w:pStyle w:val="6"/>
              <w:spacing w:before="99" w:line="190" w:lineRule="auto"/>
              <w:ind w:left="168"/>
            </w:pPr>
            <w:r>
              <w:rPr>
                <w:spacing w:val="-2"/>
              </w:rPr>
              <w:t>0.45</w:t>
            </w:r>
          </w:p>
        </w:tc>
        <w:tc>
          <w:tcPr>
            <w:tcW w:w="991" w:type="dxa"/>
            <w:vAlign w:val="top"/>
          </w:tcPr>
          <w:p w14:paraId="0F4BA776">
            <w:pPr>
              <w:pStyle w:val="6"/>
              <w:spacing w:before="99" w:line="190" w:lineRule="auto"/>
              <w:ind w:left="313"/>
            </w:pPr>
            <w:r>
              <w:rPr>
                <w:spacing w:val="-2"/>
              </w:rPr>
              <w:t>0.45</w:t>
            </w:r>
          </w:p>
        </w:tc>
        <w:tc>
          <w:tcPr>
            <w:tcW w:w="990" w:type="dxa"/>
            <w:vAlign w:val="top"/>
          </w:tcPr>
          <w:p w14:paraId="5C6D75A1">
            <w:pPr>
              <w:pStyle w:val="6"/>
              <w:spacing w:before="99" w:line="190" w:lineRule="auto"/>
              <w:ind w:left="315"/>
            </w:pPr>
            <w:r>
              <w:rPr>
                <w:spacing w:val="-2"/>
              </w:rPr>
              <w:t>0.19</w:t>
            </w:r>
          </w:p>
        </w:tc>
        <w:tc>
          <w:tcPr>
            <w:tcW w:w="848" w:type="dxa"/>
            <w:vAlign w:val="top"/>
          </w:tcPr>
          <w:p w14:paraId="4D692A8A">
            <w:pPr>
              <w:pStyle w:val="6"/>
              <w:spacing w:before="99" w:line="190" w:lineRule="auto"/>
              <w:ind w:left="245"/>
            </w:pPr>
            <w:r>
              <w:rPr>
                <w:spacing w:val="-2"/>
              </w:rPr>
              <w:t>0.15</w:t>
            </w:r>
          </w:p>
        </w:tc>
        <w:tc>
          <w:tcPr>
            <w:tcW w:w="706" w:type="dxa"/>
            <w:vAlign w:val="top"/>
          </w:tcPr>
          <w:p w14:paraId="1A3AB90B">
            <w:pPr>
              <w:pStyle w:val="6"/>
              <w:spacing w:before="99" w:line="190" w:lineRule="auto"/>
              <w:ind w:left="176"/>
            </w:pPr>
            <w:r>
              <w:rPr>
                <w:spacing w:val="-2"/>
              </w:rPr>
              <w:t>0.40</w:t>
            </w:r>
          </w:p>
        </w:tc>
        <w:tc>
          <w:tcPr>
            <w:tcW w:w="1840" w:type="dxa"/>
            <w:vAlign w:val="top"/>
          </w:tcPr>
          <w:p w14:paraId="0FB028EC">
            <w:pPr>
              <w:pStyle w:val="6"/>
              <w:spacing w:before="190" w:line="101" w:lineRule="exact"/>
              <w:ind w:left="862"/>
            </w:pPr>
            <w:r>
              <w:rPr>
                <w:spacing w:val="-3"/>
                <w:position w:val="-6"/>
              </w:rPr>
              <w:t>--</w:t>
            </w:r>
          </w:p>
        </w:tc>
        <w:tc>
          <w:tcPr>
            <w:tcW w:w="1950" w:type="dxa"/>
            <w:tcBorders>
              <w:right w:val="single" w:color="000000" w:sz="12" w:space="0"/>
            </w:tcBorders>
            <w:vAlign w:val="top"/>
          </w:tcPr>
          <w:p w14:paraId="297381B5">
            <w:pPr>
              <w:pStyle w:val="6"/>
              <w:spacing w:before="99" w:line="190" w:lineRule="auto"/>
              <w:ind w:left="799"/>
            </w:pPr>
            <w:r>
              <w:rPr>
                <w:spacing w:val="-2"/>
              </w:rPr>
              <w:t>0.01</w:t>
            </w:r>
          </w:p>
        </w:tc>
      </w:tr>
      <w:tr w14:paraId="4C821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0B7D142">
            <w:pPr>
              <w:rPr>
                <w:rFonts w:ascii="Arial"/>
                <w:sz w:val="21"/>
              </w:rPr>
            </w:pPr>
          </w:p>
        </w:tc>
        <w:tc>
          <w:tcPr>
            <w:tcW w:w="329" w:type="dxa"/>
            <w:vMerge w:val="restart"/>
            <w:tcBorders>
              <w:bottom w:val="nil"/>
            </w:tcBorders>
            <w:vAlign w:val="top"/>
          </w:tcPr>
          <w:p w14:paraId="1C74CF66">
            <w:pPr>
              <w:pStyle w:val="6"/>
              <w:spacing w:before="141" w:line="222" w:lineRule="auto"/>
              <w:ind w:left="96"/>
            </w:pPr>
            <w:r>
              <w:t>4</w:t>
            </w:r>
          </w:p>
          <w:p w14:paraId="0F041B90">
            <w:pPr>
              <w:spacing w:line="219" w:lineRule="auto"/>
              <w:ind w:left="49"/>
              <w:rPr>
                <w:rFonts w:ascii="宋体" w:hAnsi="宋体" w:eastAsia="宋体" w:cs="宋体"/>
                <w:sz w:val="21"/>
                <w:szCs w:val="21"/>
              </w:rPr>
            </w:pPr>
            <w:r>
              <w:rPr>
                <w:rFonts w:ascii="宋体" w:hAnsi="宋体" w:eastAsia="宋体" w:cs="宋体"/>
                <w:sz w:val="21"/>
                <w:szCs w:val="21"/>
              </w:rPr>
              <w:t>季</w:t>
            </w:r>
          </w:p>
          <w:p w14:paraId="45AEF7ED">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45665671">
            <w:pPr>
              <w:pStyle w:val="6"/>
              <w:spacing w:before="100" w:line="190" w:lineRule="auto"/>
              <w:ind w:left="98"/>
            </w:pPr>
            <w:r>
              <w:rPr>
                <w:spacing w:val="-1"/>
              </w:rPr>
              <w:t>2020/11/15</w:t>
            </w:r>
          </w:p>
        </w:tc>
        <w:tc>
          <w:tcPr>
            <w:tcW w:w="706" w:type="dxa"/>
            <w:vAlign w:val="top"/>
          </w:tcPr>
          <w:p w14:paraId="772226B2">
            <w:pPr>
              <w:pStyle w:val="6"/>
              <w:spacing w:before="100" w:line="190" w:lineRule="auto"/>
              <w:ind w:left="162"/>
            </w:pPr>
            <w:r>
              <w:rPr>
                <w:spacing w:val="-2"/>
              </w:rPr>
              <w:t>0.66</w:t>
            </w:r>
          </w:p>
        </w:tc>
        <w:tc>
          <w:tcPr>
            <w:tcW w:w="707" w:type="dxa"/>
            <w:vAlign w:val="top"/>
          </w:tcPr>
          <w:p w14:paraId="6D194A56">
            <w:pPr>
              <w:pStyle w:val="6"/>
              <w:spacing w:before="105" w:line="185" w:lineRule="auto"/>
              <w:ind w:left="162"/>
            </w:pPr>
            <w:r>
              <w:rPr>
                <w:b/>
                <w:bCs/>
                <w:spacing w:val="-2"/>
              </w:rPr>
              <w:t>2.98</w:t>
            </w:r>
          </w:p>
        </w:tc>
        <w:tc>
          <w:tcPr>
            <w:tcW w:w="989" w:type="dxa"/>
            <w:vAlign w:val="top"/>
          </w:tcPr>
          <w:p w14:paraId="3F7EE2A4">
            <w:pPr>
              <w:pStyle w:val="6"/>
              <w:spacing w:before="100" w:line="190" w:lineRule="auto"/>
              <w:ind w:left="308"/>
            </w:pPr>
            <w:r>
              <w:rPr>
                <w:spacing w:val="-2"/>
              </w:rPr>
              <w:t>0.38</w:t>
            </w:r>
          </w:p>
        </w:tc>
        <w:tc>
          <w:tcPr>
            <w:tcW w:w="706" w:type="dxa"/>
            <w:vAlign w:val="top"/>
          </w:tcPr>
          <w:p w14:paraId="067641F9">
            <w:pPr>
              <w:pStyle w:val="6"/>
              <w:spacing w:before="100" w:line="190" w:lineRule="auto"/>
              <w:ind w:left="168"/>
            </w:pPr>
            <w:r>
              <w:rPr>
                <w:spacing w:val="-2"/>
              </w:rPr>
              <w:t>0.35</w:t>
            </w:r>
          </w:p>
        </w:tc>
        <w:tc>
          <w:tcPr>
            <w:tcW w:w="991" w:type="dxa"/>
            <w:vAlign w:val="top"/>
          </w:tcPr>
          <w:p w14:paraId="04E6BF7E">
            <w:pPr>
              <w:pStyle w:val="6"/>
              <w:spacing w:before="100" w:line="190" w:lineRule="auto"/>
              <w:ind w:left="313"/>
            </w:pPr>
            <w:r>
              <w:rPr>
                <w:spacing w:val="-2"/>
              </w:rPr>
              <w:t>0.35</w:t>
            </w:r>
          </w:p>
        </w:tc>
        <w:tc>
          <w:tcPr>
            <w:tcW w:w="990" w:type="dxa"/>
            <w:vAlign w:val="top"/>
          </w:tcPr>
          <w:p w14:paraId="0540CC64">
            <w:pPr>
              <w:pStyle w:val="6"/>
              <w:spacing w:before="100" w:line="190" w:lineRule="auto"/>
              <w:ind w:left="315"/>
            </w:pPr>
            <w:r>
              <w:rPr>
                <w:spacing w:val="-2"/>
              </w:rPr>
              <w:t>0.11</w:t>
            </w:r>
          </w:p>
        </w:tc>
        <w:tc>
          <w:tcPr>
            <w:tcW w:w="848" w:type="dxa"/>
            <w:vAlign w:val="top"/>
          </w:tcPr>
          <w:p w14:paraId="0A66ACBB">
            <w:pPr>
              <w:pStyle w:val="6"/>
              <w:spacing w:before="100" w:line="190" w:lineRule="auto"/>
              <w:ind w:left="245"/>
            </w:pPr>
            <w:r>
              <w:rPr>
                <w:spacing w:val="-2"/>
              </w:rPr>
              <w:t>0.15</w:t>
            </w:r>
          </w:p>
        </w:tc>
        <w:tc>
          <w:tcPr>
            <w:tcW w:w="706" w:type="dxa"/>
            <w:vAlign w:val="top"/>
          </w:tcPr>
          <w:p w14:paraId="6C702500">
            <w:pPr>
              <w:pStyle w:val="6"/>
              <w:spacing w:before="100" w:line="190" w:lineRule="auto"/>
              <w:ind w:left="176"/>
            </w:pPr>
            <w:r>
              <w:rPr>
                <w:spacing w:val="-2"/>
              </w:rPr>
              <w:t>0.40</w:t>
            </w:r>
          </w:p>
        </w:tc>
        <w:tc>
          <w:tcPr>
            <w:tcW w:w="1840" w:type="dxa"/>
            <w:vAlign w:val="top"/>
          </w:tcPr>
          <w:p w14:paraId="04A30AC9">
            <w:pPr>
              <w:pStyle w:val="6"/>
              <w:spacing w:before="191" w:line="100" w:lineRule="exact"/>
              <w:ind w:left="862"/>
            </w:pPr>
            <w:r>
              <w:rPr>
                <w:spacing w:val="-3"/>
                <w:position w:val="-6"/>
              </w:rPr>
              <w:t>--</w:t>
            </w:r>
          </w:p>
        </w:tc>
        <w:tc>
          <w:tcPr>
            <w:tcW w:w="1950" w:type="dxa"/>
            <w:tcBorders>
              <w:right w:val="single" w:color="000000" w:sz="12" w:space="0"/>
            </w:tcBorders>
            <w:vAlign w:val="top"/>
          </w:tcPr>
          <w:p w14:paraId="728573C4">
            <w:pPr>
              <w:pStyle w:val="6"/>
              <w:spacing w:before="100" w:line="190" w:lineRule="auto"/>
              <w:ind w:left="799"/>
            </w:pPr>
            <w:r>
              <w:rPr>
                <w:spacing w:val="-2"/>
              </w:rPr>
              <w:t>0.24</w:t>
            </w:r>
          </w:p>
        </w:tc>
      </w:tr>
      <w:tr w14:paraId="694A3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7BF7EAF">
            <w:pPr>
              <w:rPr>
                <w:rFonts w:ascii="Arial"/>
                <w:sz w:val="21"/>
              </w:rPr>
            </w:pPr>
          </w:p>
        </w:tc>
        <w:tc>
          <w:tcPr>
            <w:tcW w:w="329" w:type="dxa"/>
            <w:vMerge w:val="continue"/>
            <w:tcBorders>
              <w:top w:val="nil"/>
              <w:bottom w:val="nil"/>
            </w:tcBorders>
            <w:vAlign w:val="top"/>
          </w:tcPr>
          <w:p w14:paraId="3EDC8621">
            <w:pPr>
              <w:rPr>
                <w:rFonts w:ascii="Arial"/>
                <w:sz w:val="21"/>
              </w:rPr>
            </w:pPr>
          </w:p>
        </w:tc>
        <w:tc>
          <w:tcPr>
            <w:tcW w:w="1179" w:type="dxa"/>
            <w:vAlign w:val="top"/>
          </w:tcPr>
          <w:p w14:paraId="18110CB3">
            <w:pPr>
              <w:pStyle w:val="6"/>
              <w:spacing w:before="102" w:line="187" w:lineRule="auto"/>
              <w:ind w:left="98"/>
            </w:pPr>
            <w:r>
              <w:rPr>
                <w:spacing w:val="-1"/>
              </w:rPr>
              <w:t>2020/11/16</w:t>
            </w:r>
          </w:p>
        </w:tc>
        <w:tc>
          <w:tcPr>
            <w:tcW w:w="706" w:type="dxa"/>
            <w:vAlign w:val="top"/>
          </w:tcPr>
          <w:p w14:paraId="5AFA7023">
            <w:pPr>
              <w:pStyle w:val="6"/>
              <w:spacing w:before="102" w:line="187" w:lineRule="auto"/>
              <w:ind w:left="162"/>
            </w:pPr>
            <w:r>
              <w:rPr>
                <w:spacing w:val="-2"/>
              </w:rPr>
              <w:t>0.66</w:t>
            </w:r>
          </w:p>
        </w:tc>
        <w:tc>
          <w:tcPr>
            <w:tcW w:w="707" w:type="dxa"/>
            <w:vAlign w:val="top"/>
          </w:tcPr>
          <w:p w14:paraId="1C70BAAC">
            <w:pPr>
              <w:pStyle w:val="6"/>
              <w:spacing w:before="106" w:line="183" w:lineRule="auto"/>
              <w:ind w:left="162"/>
            </w:pPr>
            <w:r>
              <w:rPr>
                <w:b/>
                <w:bCs/>
                <w:spacing w:val="-2"/>
              </w:rPr>
              <w:t>2.26</w:t>
            </w:r>
          </w:p>
        </w:tc>
        <w:tc>
          <w:tcPr>
            <w:tcW w:w="989" w:type="dxa"/>
            <w:vAlign w:val="top"/>
          </w:tcPr>
          <w:p w14:paraId="32F684D2">
            <w:pPr>
              <w:pStyle w:val="6"/>
              <w:spacing w:before="102" w:line="187" w:lineRule="auto"/>
              <w:ind w:left="308"/>
            </w:pPr>
            <w:r>
              <w:rPr>
                <w:spacing w:val="-2"/>
              </w:rPr>
              <w:t>0.35</w:t>
            </w:r>
          </w:p>
        </w:tc>
        <w:tc>
          <w:tcPr>
            <w:tcW w:w="706" w:type="dxa"/>
            <w:vAlign w:val="top"/>
          </w:tcPr>
          <w:p w14:paraId="71ECED7C">
            <w:pPr>
              <w:pStyle w:val="6"/>
              <w:spacing w:before="102" w:line="187" w:lineRule="auto"/>
              <w:ind w:left="168"/>
            </w:pPr>
            <w:r>
              <w:rPr>
                <w:spacing w:val="-2"/>
              </w:rPr>
              <w:t>0.30</w:t>
            </w:r>
          </w:p>
        </w:tc>
        <w:tc>
          <w:tcPr>
            <w:tcW w:w="991" w:type="dxa"/>
            <w:vAlign w:val="top"/>
          </w:tcPr>
          <w:p w14:paraId="24928BF8">
            <w:pPr>
              <w:pStyle w:val="6"/>
              <w:spacing w:before="102" w:line="187" w:lineRule="auto"/>
              <w:ind w:left="313"/>
            </w:pPr>
            <w:r>
              <w:rPr>
                <w:spacing w:val="-2"/>
              </w:rPr>
              <w:t>0.30</w:t>
            </w:r>
          </w:p>
        </w:tc>
        <w:tc>
          <w:tcPr>
            <w:tcW w:w="990" w:type="dxa"/>
            <w:vAlign w:val="top"/>
          </w:tcPr>
          <w:p w14:paraId="0795F5B1">
            <w:pPr>
              <w:pStyle w:val="6"/>
              <w:spacing w:before="102" w:line="187" w:lineRule="auto"/>
              <w:ind w:left="315"/>
            </w:pPr>
            <w:r>
              <w:rPr>
                <w:spacing w:val="-2"/>
              </w:rPr>
              <w:t>0.11</w:t>
            </w:r>
          </w:p>
        </w:tc>
        <w:tc>
          <w:tcPr>
            <w:tcW w:w="848" w:type="dxa"/>
            <w:vAlign w:val="top"/>
          </w:tcPr>
          <w:p w14:paraId="0A8DC737">
            <w:pPr>
              <w:pStyle w:val="6"/>
              <w:spacing w:before="102" w:line="187" w:lineRule="auto"/>
              <w:ind w:left="245"/>
            </w:pPr>
            <w:r>
              <w:rPr>
                <w:spacing w:val="-2"/>
              </w:rPr>
              <w:t>0.10</w:t>
            </w:r>
          </w:p>
        </w:tc>
        <w:tc>
          <w:tcPr>
            <w:tcW w:w="706" w:type="dxa"/>
            <w:vAlign w:val="top"/>
          </w:tcPr>
          <w:p w14:paraId="7ED43371">
            <w:pPr>
              <w:pStyle w:val="6"/>
              <w:spacing w:before="102" w:line="187" w:lineRule="auto"/>
              <w:ind w:left="176"/>
            </w:pPr>
            <w:r>
              <w:rPr>
                <w:spacing w:val="-2"/>
              </w:rPr>
              <w:t>0.40</w:t>
            </w:r>
          </w:p>
        </w:tc>
        <w:tc>
          <w:tcPr>
            <w:tcW w:w="1840" w:type="dxa"/>
            <w:vAlign w:val="top"/>
          </w:tcPr>
          <w:p w14:paraId="42AB0EDB">
            <w:pPr>
              <w:pStyle w:val="6"/>
              <w:spacing w:before="193" w:line="98" w:lineRule="exact"/>
              <w:ind w:left="862"/>
            </w:pPr>
            <w:r>
              <w:rPr>
                <w:spacing w:val="-3"/>
                <w:position w:val="-6"/>
              </w:rPr>
              <w:t>--</w:t>
            </w:r>
          </w:p>
        </w:tc>
        <w:tc>
          <w:tcPr>
            <w:tcW w:w="1950" w:type="dxa"/>
            <w:tcBorders>
              <w:right w:val="single" w:color="000000" w:sz="12" w:space="0"/>
            </w:tcBorders>
            <w:vAlign w:val="top"/>
          </w:tcPr>
          <w:p w14:paraId="4EA05705">
            <w:pPr>
              <w:pStyle w:val="6"/>
              <w:spacing w:before="102" w:line="187" w:lineRule="auto"/>
              <w:ind w:left="799"/>
            </w:pPr>
            <w:r>
              <w:rPr>
                <w:spacing w:val="-2"/>
              </w:rPr>
              <w:t>0.21</w:t>
            </w:r>
          </w:p>
        </w:tc>
      </w:tr>
      <w:tr w14:paraId="3F303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465" w:type="dxa"/>
            <w:vMerge w:val="continue"/>
            <w:tcBorders>
              <w:top w:val="nil"/>
              <w:left w:val="single" w:color="000000" w:sz="12" w:space="0"/>
              <w:bottom w:val="single" w:color="000000" w:sz="12" w:space="0"/>
            </w:tcBorders>
            <w:vAlign w:val="top"/>
          </w:tcPr>
          <w:p w14:paraId="47720C20">
            <w:pPr>
              <w:rPr>
                <w:rFonts w:ascii="Arial"/>
                <w:sz w:val="21"/>
              </w:rPr>
            </w:pPr>
          </w:p>
        </w:tc>
        <w:tc>
          <w:tcPr>
            <w:tcW w:w="329" w:type="dxa"/>
            <w:vMerge w:val="continue"/>
            <w:tcBorders>
              <w:top w:val="nil"/>
              <w:bottom w:val="single" w:color="000000" w:sz="12" w:space="0"/>
            </w:tcBorders>
            <w:vAlign w:val="top"/>
          </w:tcPr>
          <w:p w14:paraId="3E31A9E8">
            <w:pPr>
              <w:rPr>
                <w:rFonts w:ascii="Arial"/>
                <w:sz w:val="21"/>
              </w:rPr>
            </w:pPr>
          </w:p>
        </w:tc>
        <w:tc>
          <w:tcPr>
            <w:tcW w:w="1179" w:type="dxa"/>
            <w:tcBorders>
              <w:bottom w:val="single" w:color="000000" w:sz="12" w:space="0"/>
            </w:tcBorders>
            <w:vAlign w:val="top"/>
          </w:tcPr>
          <w:p w14:paraId="59919F31">
            <w:pPr>
              <w:pStyle w:val="6"/>
              <w:spacing w:before="103" w:line="208" w:lineRule="auto"/>
              <w:ind w:left="98"/>
            </w:pPr>
            <w:r>
              <w:rPr>
                <w:spacing w:val="-1"/>
              </w:rPr>
              <w:t>2020/11/17</w:t>
            </w:r>
          </w:p>
        </w:tc>
        <w:tc>
          <w:tcPr>
            <w:tcW w:w="706" w:type="dxa"/>
            <w:tcBorders>
              <w:bottom w:val="single" w:color="000000" w:sz="12" w:space="0"/>
            </w:tcBorders>
            <w:vAlign w:val="top"/>
          </w:tcPr>
          <w:p w14:paraId="6EE3345B">
            <w:pPr>
              <w:pStyle w:val="6"/>
              <w:spacing w:before="103" w:line="208" w:lineRule="auto"/>
              <w:ind w:left="162"/>
            </w:pPr>
            <w:r>
              <w:rPr>
                <w:spacing w:val="-2"/>
              </w:rPr>
              <w:t>0.70</w:t>
            </w:r>
          </w:p>
        </w:tc>
        <w:tc>
          <w:tcPr>
            <w:tcW w:w="707" w:type="dxa"/>
            <w:tcBorders>
              <w:bottom w:val="single" w:color="000000" w:sz="12" w:space="0"/>
            </w:tcBorders>
            <w:vAlign w:val="top"/>
          </w:tcPr>
          <w:p w14:paraId="13B2060A">
            <w:pPr>
              <w:pStyle w:val="6"/>
              <w:spacing w:before="107" w:line="204" w:lineRule="auto"/>
              <w:ind w:left="170"/>
            </w:pPr>
            <w:r>
              <w:rPr>
                <w:b/>
                <w:bCs/>
                <w:spacing w:val="-4"/>
              </w:rPr>
              <w:t>1.36</w:t>
            </w:r>
          </w:p>
        </w:tc>
        <w:tc>
          <w:tcPr>
            <w:tcW w:w="989" w:type="dxa"/>
            <w:tcBorders>
              <w:bottom w:val="single" w:color="000000" w:sz="12" w:space="0"/>
            </w:tcBorders>
            <w:vAlign w:val="top"/>
          </w:tcPr>
          <w:p w14:paraId="36DC4DA8">
            <w:pPr>
              <w:pStyle w:val="6"/>
              <w:spacing w:before="103" w:line="208" w:lineRule="auto"/>
              <w:ind w:left="308"/>
            </w:pPr>
            <w:r>
              <w:rPr>
                <w:spacing w:val="-2"/>
              </w:rPr>
              <w:t>0.40</w:t>
            </w:r>
          </w:p>
        </w:tc>
        <w:tc>
          <w:tcPr>
            <w:tcW w:w="706" w:type="dxa"/>
            <w:tcBorders>
              <w:bottom w:val="single" w:color="000000" w:sz="12" w:space="0"/>
            </w:tcBorders>
            <w:vAlign w:val="top"/>
          </w:tcPr>
          <w:p w14:paraId="40290B84">
            <w:pPr>
              <w:pStyle w:val="6"/>
              <w:spacing w:before="103" w:line="208" w:lineRule="auto"/>
              <w:ind w:left="168"/>
            </w:pPr>
            <w:r>
              <w:rPr>
                <w:spacing w:val="-2"/>
              </w:rPr>
              <w:t>0.45</w:t>
            </w:r>
          </w:p>
        </w:tc>
        <w:tc>
          <w:tcPr>
            <w:tcW w:w="991" w:type="dxa"/>
            <w:tcBorders>
              <w:bottom w:val="single" w:color="000000" w:sz="12" w:space="0"/>
            </w:tcBorders>
            <w:vAlign w:val="top"/>
          </w:tcPr>
          <w:p w14:paraId="282CF590">
            <w:pPr>
              <w:pStyle w:val="6"/>
              <w:spacing w:before="103" w:line="208" w:lineRule="auto"/>
              <w:ind w:left="313"/>
            </w:pPr>
            <w:r>
              <w:rPr>
                <w:spacing w:val="-2"/>
              </w:rPr>
              <w:t>0.45</w:t>
            </w:r>
          </w:p>
        </w:tc>
        <w:tc>
          <w:tcPr>
            <w:tcW w:w="990" w:type="dxa"/>
            <w:tcBorders>
              <w:bottom w:val="single" w:color="000000" w:sz="12" w:space="0"/>
            </w:tcBorders>
            <w:vAlign w:val="top"/>
          </w:tcPr>
          <w:p w14:paraId="6EB9875C">
            <w:pPr>
              <w:pStyle w:val="6"/>
              <w:spacing w:before="103" w:line="208" w:lineRule="auto"/>
              <w:ind w:left="315"/>
            </w:pPr>
            <w:r>
              <w:rPr>
                <w:spacing w:val="-2"/>
              </w:rPr>
              <w:t>0.12</w:t>
            </w:r>
          </w:p>
        </w:tc>
        <w:tc>
          <w:tcPr>
            <w:tcW w:w="848" w:type="dxa"/>
            <w:tcBorders>
              <w:bottom w:val="single" w:color="000000" w:sz="12" w:space="0"/>
            </w:tcBorders>
            <w:vAlign w:val="top"/>
          </w:tcPr>
          <w:p w14:paraId="0347CA4E">
            <w:pPr>
              <w:pStyle w:val="6"/>
              <w:spacing w:before="103" w:line="208" w:lineRule="auto"/>
              <w:ind w:left="245"/>
            </w:pPr>
            <w:r>
              <w:rPr>
                <w:spacing w:val="-2"/>
              </w:rPr>
              <w:t>0.15</w:t>
            </w:r>
          </w:p>
        </w:tc>
        <w:tc>
          <w:tcPr>
            <w:tcW w:w="706" w:type="dxa"/>
            <w:tcBorders>
              <w:bottom w:val="single" w:color="000000" w:sz="12" w:space="0"/>
            </w:tcBorders>
            <w:vAlign w:val="top"/>
          </w:tcPr>
          <w:p w14:paraId="625AB378">
            <w:pPr>
              <w:pStyle w:val="6"/>
              <w:spacing w:before="103" w:line="208" w:lineRule="auto"/>
              <w:ind w:left="176"/>
            </w:pPr>
            <w:r>
              <w:rPr>
                <w:spacing w:val="-2"/>
              </w:rPr>
              <w:t>0.20</w:t>
            </w:r>
          </w:p>
        </w:tc>
        <w:tc>
          <w:tcPr>
            <w:tcW w:w="1840" w:type="dxa"/>
            <w:tcBorders>
              <w:bottom w:val="single" w:color="000000" w:sz="12" w:space="0"/>
            </w:tcBorders>
            <w:vAlign w:val="top"/>
          </w:tcPr>
          <w:p w14:paraId="7E93A2C7">
            <w:pPr>
              <w:pStyle w:val="6"/>
              <w:spacing w:before="194" w:line="100" w:lineRule="exact"/>
              <w:ind w:left="862"/>
            </w:pPr>
            <w:r>
              <w:rPr>
                <w:spacing w:val="-3"/>
                <w:position w:val="-6"/>
              </w:rPr>
              <w:t>--</w:t>
            </w:r>
          </w:p>
        </w:tc>
        <w:tc>
          <w:tcPr>
            <w:tcW w:w="1950" w:type="dxa"/>
            <w:tcBorders>
              <w:bottom w:val="single" w:color="000000" w:sz="12" w:space="0"/>
              <w:right w:val="single" w:color="000000" w:sz="12" w:space="0"/>
            </w:tcBorders>
            <w:vAlign w:val="top"/>
          </w:tcPr>
          <w:p w14:paraId="2B3B29E5">
            <w:pPr>
              <w:pStyle w:val="6"/>
              <w:spacing w:before="103" w:line="208" w:lineRule="auto"/>
              <w:ind w:left="799"/>
            </w:pPr>
            <w:r>
              <w:rPr>
                <w:spacing w:val="-2"/>
              </w:rPr>
              <w:t>0.22</w:t>
            </w:r>
          </w:p>
        </w:tc>
      </w:tr>
    </w:tbl>
    <w:p w14:paraId="253D28D1">
      <w:pPr>
        <w:rPr>
          <w:rFonts w:ascii="Arial"/>
          <w:sz w:val="21"/>
        </w:rPr>
      </w:pPr>
    </w:p>
    <w:p w14:paraId="4280C08C">
      <w:pPr>
        <w:rPr>
          <w:rFonts w:ascii="Arial" w:hAnsi="Arial" w:eastAsia="Arial" w:cs="Arial"/>
          <w:sz w:val="21"/>
          <w:szCs w:val="21"/>
        </w:rPr>
        <w:sectPr>
          <w:footerReference r:id="rId248" w:type="default"/>
          <w:pgSz w:w="16839" w:h="11907"/>
          <w:pgMar w:top="1376" w:right="1669" w:bottom="1061" w:left="1671" w:header="999" w:footer="861" w:gutter="0"/>
          <w:cols w:space="720" w:num="1"/>
        </w:sectPr>
      </w:pPr>
    </w:p>
    <w:p w14:paraId="447D2D78">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179"/>
        <w:gridCol w:w="706"/>
        <w:gridCol w:w="707"/>
        <w:gridCol w:w="989"/>
        <w:gridCol w:w="706"/>
        <w:gridCol w:w="991"/>
        <w:gridCol w:w="990"/>
        <w:gridCol w:w="848"/>
        <w:gridCol w:w="706"/>
        <w:gridCol w:w="1840"/>
        <w:gridCol w:w="1950"/>
      </w:tblGrid>
      <w:tr w14:paraId="067F3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465" w:type="dxa"/>
            <w:tcBorders>
              <w:top w:val="single" w:color="000000" w:sz="12" w:space="0"/>
              <w:left w:val="single" w:color="000000" w:sz="12" w:space="0"/>
            </w:tcBorders>
            <w:vAlign w:val="top"/>
          </w:tcPr>
          <w:p w14:paraId="002799C6">
            <w:pPr>
              <w:spacing w:before="58"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508" w:type="dxa"/>
            <w:gridSpan w:val="2"/>
            <w:tcBorders>
              <w:top w:val="single" w:color="000000" w:sz="12" w:space="0"/>
            </w:tcBorders>
            <w:vAlign w:val="top"/>
          </w:tcPr>
          <w:p w14:paraId="7283E851">
            <w:pPr>
              <w:spacing w:before="58" w:line="221" w:lineRule="auto"/>
              <w:ind w:left="325"/>
              <w:rPr>
                <w:rFonts w:ascii="宋体" w:hAnsi="宋体" w:eastAsia="宋体" w:cs="宋体"/>
                <w:sz w:val="21"/>
                <w:szCs w:val="21"/>
              </w:rPr>
            </w:pPr>
            <w:r>
              <w:rPr>
                <w:rFonts w:ascii="宋体" w:hAnsi="宋体" w:eastAsia="宋体" w:cs="宋体"/>
                <w:spacing w:val="-2"/>
                <w:sz w:val="21"/>
                <w:szCs w:val="21"/>
              </w:rPr>
              <w:t>监测时间</w:t>
            </w:r>
          </w:p>
        </w:tc>
        <w:tc>
          <w:tcPr>
            <w:tcW w:w="706" w:type="dxa"/>
            <w:tcBorders>
              <w:top w:val="single" w:color="000000" w:sz="12" w:space="0"/>
            </w:tcBorders>
            <w:vAlign w:val="top"/>
          </w:tcPr>
          <w:p w14:paraId="3DF3FB1A">
            <w:pPr>
              <w:pStyle w:val="6"/>
              <w:spacing w:before="57" w:line="213" w:lineRule="auto"/>
              <w:ind w:left="78"/>
              <w:rPr>
                <w:rFonts w:ascii="宋体" w:hAnsi="宋体" w:eastAsia="宋体" w:cs="宋体"/>
              </w:rPr>
            </w:pPr>
            <w:r>
              <w:t>pH</w:t>
            </w:r>
            <w:r>
              <w:rPr>
                <w:spacing w:val="8"/>
              </w:rPr>
              <w:t xml:space="preserve"> </w:t>
            </w:r>
            <w:r>
              <w:rPr>
                <w:rFonts w:ascii="宋体" w:hAnsi="宋体" w:eastAsia="宋体" w:cs="宋体"/>
              </w:rPr>
              <w:t>值</w:t>
            </w:r>
          </w:p>
        </w:tc>
        <w:tc>
          <w:tcPr>
            <w:tcW w:w="707" w:type="dxa"/>
            <w:tcBorders>
              <w:top w:val="single" w:color="000000" w:sz="12" w:space="0"/>
            </w:tcBorders>
            <w:vAlign w:val="top"/>
          </w:tcPr>
          <w:p w14:paraId="48A06873">
            <w:pPr>
              <w:pStyle w:val="6"/>
              <w:spacing w:before="95" w:line="186" w:lineRule="auto"/>
              <w:ind w:left="192"/>
            </w:pPr>
            <w:r>
              <w:rPr>
                <w:spacing w:val="-2"/>
              </w:rPr>
              <w:t>DO</w:t>
            </w:r>
          </w:p>
        </w:tc>
        <w:tc>
          <w:tcPr>
            <w:tcW w:w="989" w:type="dxa"/>
            <w:tcBorders>
              <w:top w:val="single" w:color="000000" w:sz="12" w:space="0"/>
            </w:tcBorders>
            <w:vAlign w:val="top"/>
          </w:tcPr>
          <w:p w14:paraId="2F621700">
            <w:pPr>
              <w:pStyle w:val="6"/>
              <w:spacing w:before="95" w:line="226" w:lineRule="auto"/>
              <w:ind w:left="172"/>
              <w:rPr>
                <w:sz w:val="14"/>
                <w:szCs w:val="14"/>
              </w:rPr>
            </w:pPr>
            <w:r>
              <w:rPr>
                <w:spacing w:val="-2"/>
              </w:rPr>
              <w:t>COD</w:t>
            </w:r>
            <w:r>
              <w:rPr>
                <w:spacing w:val="-2"/>
                <w:position w:val="-1"/>
                <w:sz w:val="14"/>
                <w:szCs w:val="14"/>
              </w:rPr>
              <w:t>Mn</w:t>
            </w:r>
          </w:p>
        </w:tc>
        <w:tc>
          <w:tcPr>
            <w:tcW w:w="706" w:type="dxa"/>
            <w:tcBorders>
              <w:top w:val="single" w:color="000000" w:sz="12" w:space="0"/>
            </w:tcBorders>
            <w:vAlign w:val="top"/>
          </w:tcPr>
          <w:p w14:paraId="5F3B40A8">
            <w:pPr>
              <w:pStyle w:val="6"/>
              <w:spacing w:before="95" w:line="186" w:lineRule="auto"/>
              <w:ind w:left="131"/>
            </w:pPr>
            <w:r>
              <w:rPr>
                <w:spacing w:val="-3"/>
              </w:rPr>
              <w:t>COD</w:t>
            </w:r>
          </w:p>
        </w:tc>
        <w:tc>
          <w:tcPr>
            <w:tcW w:w="991" w:type="dxa"/>
            <w:tcBorders>
              <w:top w:val="single" w:color="000000" w:sz="12" w:space="0"/>
            </w:tcBorders>
            <w:vAlign w:val="top"/>
          </w:tcPr>
          <w:p w14:paraId="16D65AEA">
            <w:pPr>
              <w:pStyle w:val="6"/>
              <w:spacing w:before="95" w:line="225" w:lineRule="auto"/>
              <w:ind w:left="236"/>
              <w:rPr>
                <w:sz w:val="14"/>
                <w:szCs w:val="14"/>
              </w:rPr>
            </w:pPr>
            <w:r>
              <w:rPr>
                <w:spacing w:val="-1"/>
              </w:rPr>
              <w:t>BOD</w:t>
            </w:r>
            <w:r>
              <w:rPr>
                <w:spacing w:val="-1"/>
                <w:position w:val="-1"/>
                <w:sz w:val="14"/>
                <w:szCs w:val="14"/>
              </w:rPr>
              <w:t>5</w:t>
            </w:r>
          </w:p>
        </w:tc>
        <w:tc>
          <w:tcPr>
            <w:tcW w:w="990" w:type="dxa"/>
            <w:tcBorders>
              <w:top w:val="single" w:color="000000" w:sz="12" w:space="0"/>
            </w:tcBorders>
            <w:vAlign w:val="top"/>
          </w:tcPr>
          <w:p w14:paraId="07878352">
            <w:pPr>
              <w:pStyle w:val="6"/>
              <w:spacing w:before="98" w:line="222" w:lineRule="auto"/>
              <w:ind w:left="191"/>
            </w:pPr>
            <w:r>
              <w:t>NH</w:t>
            </w:r>
            <w:r>
              <w:rPr>
                <w:position w:val="-1"/>
                <w:sz w:val="14"/>
                <w:szCs w:val="14"/>
              </w:rPr>
              <w:t>3</w:t>
            </w:r>
            <w:r>
              <w:t>-N</w:t>
            </w:r>
          </w:p>
        </w:tc>
        <w:tc>
          <w:tcPr>
            <w:tcW w:w="848" w:type="dxa"/>
            <w:tcBorders>
              <w:top w:val="single" w:color="000000" w:sz="12" w:space="0"/>
            </w:tcBorders>
            <w:vAlign w:val="top"/>
          </w:tcPr>
          <w:p w14:paraId="1D78C1BD">
            <w:pPr>
              <w:pStyle w:val="6"/>
              <w:spacing w:before="98" w:line="183" w:lineRule="auto"/>
              <w:ind w:left="305"/>
            </w:pPr>
            <w:r>
              <w:rPr>
                <w:spacing w:val="-4"/>
              </w:rPr>
              <w:t>TP</w:t>
            </w:r>
          </w:p>
        </w:tc>
        <w:tc>
          <w:tcPr>
            <w:tcW w:w="706" w:type="dxa"/>
            <w:tcBorders>
              <w:top w:val="single" w:color="000000" w:sz="12" w:space="0"/>
            </w:tcBorders>
            <w:vAlign w:val="top"/>
          </w:tcPr>
          <w:p w14:paraId="72E7FCD7">
            <w:pPr>
              <w:spacing w:before="57" w:line="220" w:lineRule="auto"/>
              <w:ind w:left="47"/>
              <w:rPr>
                <w:rFonts w:ascii="宋体" w:hAnsi="宋体" w:eastAsia="宋体" w:cs="宋体"/>
                <w:sz w:val="21"/>
                <w:szCs w:val="21"/>
              </w:rPr>
            </w:pPr>
            <w:r>
              <w:rPr>
                <w:rFonts w:ascii="宋体" w:hAnsi="宋体" w:eastAsia="宋体" w:cs="宋体"/>
                <w:spacing w:val="-3"/>
                <w:sz w:val="21"/>
                <w:szCs w:val="21"/>
              </w:rPr>
              <w:t>石油类</w:t>
            </w:r>
          </w:p>
        </w:tc>
        <w:tc>
          <w:tcPr>
            <w:tcW w:w="1840" w:type="dxa"/>
            <w:tcBorders>
              <w:top w:val="single" w:color="000000" w:sz="12" w:space="0"/>
            </w:tcBorders>
            <w:vAlign w:val="top"/>
          </w:tcPr>
          <w:p w14:paraId="496D38AA">
            <w:pPr>
              <w:spacing w:before="58" w:line="219" w:lineRule="auto"/>
              <w:ind w:left="108"/>
              <w:rPr>
                <w:rFonts w:ascii="宋体" w:hAnsi="宋体" w:eastAsia="宋体" w:cs="宋体"/>
                <w:sz w:val="21"/>
                <w:szCs w:val="21"/>
              </w:rPr>
            </w:pPr>
            <w:r>
              <w:rPr>
                <w:rFonts w:ascii="宋体" w:hAnsi="宋体" w:eastAsia="宋体" w:cs="宋体"/>
                <w:spacing w:val="-3"/>
                <w:sz w:val="21"/>
                <w:szCs w:val="21"/>
              </w:rPr>
              <w:t>阴离子表面活性剂</w:t>
            </w:r>
          </w:p>
        </w:tc>
        <w:tc>
          <w:tcPr>
            <w:tcW w:w="1950" w:type="dxa"/>
            <w:tcBorders>
              <w:top w:val="single" w:color="000000" w:sz="12" w:space="0"/>
              <w:right w:val="single" w:color="000000" w:sz="12" w:space="0"/>
            </w:tcBorders>
            <w:vAlign w:val="top"/>
          </w:tcPr>
          <w:p w14:paraId="4835C2EE">
            <w:pPr>
              <w:spacing w:before="57" w:line="220" w:lineRule="auto"/>
              <w:ind w:left="460"/>
              <w:rPr>
                <w:rFonts w:ascii="宋体" w:hAnsi="宋体" w:eastAsia="宋体" w:cs="宋体"/>
                <w:sz w:val="21"/>
                <w:szCs w:val="21"/>
              </w:rPr>
            </w:pPr>
            <w:r>
              <w:rPr>
                <w:rFonts w:ascii="宋体" w:hAnsi="宋体" w:eastAsia="宋体" w:cs="宋体"/>
                <w:spacing w:val="-2"/>
                <w:sz w:val="21"/>
                <w:szCs w:val="21"/>
              </w:rPr>
              <w:t>粪大肠菌群</w:t>
            </w:r>
          </w:p>
        </w:tc>
      </w:tr>
      <w:tr w14:paraId="3D281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restart"/>
            <w:tcBorders>
              <w:left w:val="single" w:color="000000" w:sz="12" w:space="0"/>
              <w:bottom w:val="nil"/>
            </w:tcBorders>
            <w:vAlign w:val="top"/>
          </w:tcPr>
          <w:p w14:paraId="3147E6E9">
            <w:pPr>
              <w:spacing w:line="282" w:lineRule="auto"/>
              <w:rPr>
                <w:rFonts w:ascii="Arial"/>
                <w:sz w:val="21"/>
              </w:rPr>
            </w:pPr>
          </w:p>
          <w:p w14:paraId="6038922B">
            <w:pPr>
              <w:spacing w:line="282" w:lineRule="auto"/>
              <w:rPr>
                <w:rFonts w:ascii="Arial"/>
                <w:sz w:val="21"/>
              </w:rPr>
            </w:pPr>
          </w:p>
          <w:p w14:paraId="4DB05125">
            <w:pPr>
              <w:spacing w:line="282" w:lineRule="auto"/>
              <w:rPr>
                <w:rFonts w:ascii="Arial"/>
                <w:sz w:val="21"/>
              </w:rPr>
            </w:pPr>
          </w:p>
          <w:p w14:paraId="6398D121">
            <w:pPr>
              <w:spacing w:line="283" w:lineRule="auto"/>
              <w:rPr>
                <w:rFonts w:ascii="Arial"/>
                <w:sz w:val="21"/>
              </w:rPr>
            </w:pPr>
          </w:p>
          <w:p w14:paraId="5D6EA5A9">
            <w:pPr>
              <w:spacing w:line="283" w:lineRule="auto"/>
              <w:rPr>
                <w:rFonts w:ascii="Arial"/>
                <w:sz w:val="21"/>
              </w:rPr>
            </w:pPr>
          </w:p>
          <w:p w14:paraId="68318CD1">
            <w:pPr>
              <w:pStyle w:val="6"/>
              <w:spacing w:before="68" w:line="245" w:lineRule="auto"/>
              <w:ind w:left="93" w:right="136" w:firstLine="106"/>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8"/>
              </w:rPr>
              <w:t>（红桥河汇口</w:t>
            </w:r>
            <w:r>
              <w:rPr>
                <w:rFonts w:ascii="宋体" w:hAnsi="宋体" w:eastAsia="宋体" w:cs="宋体"/>
                <w:spacing w:val="13"/>
              </w:rPr>
              <w:t>下游</w:t>
            </w:r>
            <w:r>
              <w:rPr>
                <w:rFonts w:ascii="宋体" w:hAnsi="宋体" w:eastAsia="宋体" w:cs="宋体"/>
                <w:spacing w:val="-42"/>
              </w:rPr>
              <w:t xml:space="preserve"> </w:t>
            </w:r>
            <w:r>
              <w:rPr>
                <w:spacing w:val="13"/>
              </w:rPr>
              <w:t>50m</w:t>
            </w:r>
            <w:r>
              <w:rPr>
                <w:rFonts w:ascii="宋体" w:hAnsi="宋体" w:eastAsia="宋体" w:cs="宋体"/>
                <w:spacing w:val="13"/>
              </w:rPr>
              <w:t>）</w:t>
            </w:r>
          </w:p>
        </w:tc>
        <w:tc>
          <w:tcPr>
            <w:tcW w:w="329" w:type="dxa"/>
            <w:vMerge w:val="restart"/>
            <w:tcBorders>
              <w:bottom w:val="nil"/>
            </w:tcBorders>
            <w:vAlign w:val="top"/>
          </w:tcPr>
          <w:p w14:paraId="0BC7F0A0">
            <w:pPr>
              <w:pStyle w:val="6"/>
              <w:spacing w:before="117" w:line="222" w:lineRule="auto"/>
              <w:ind w:left="117"/>
            </w:pPr>
            <w:r>
              <w:t>1</w:t>
            </w:r>
          </w:p>
          <w:p w14:paraId="5649986F">
            <w:pPr>
              <w:spacing w:line="219" w:lineRule="auto"/>
              <w:ind w:left="49"/>
              <w:rPr>
                <w:rFonts w:ascii="宋体" w:hAnsi="宋体" w:eastAsia="宋体" w:cs="宋体"/>
                <w:sz w:val="21"/>
                <w:szCs w:val="21"/>
              </w:rPr>
            </w:pPr>
            <w:r>
              <w:rPr>
                <w:rFonts w:ascii="宋体" w:hAnsi="宋体" w:eastAsia="宋体" w:cs="宋体"/>
                <w:sz w:val="21"/>
                <w:szCs w:val="21"/>
              </w:rPr>
              <w:t>季</w:t>
            </w:r>
          </w:p>
          <w:p w14:paraId="3AFED135">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1C7449B8">
            <w:pPr>
              <w:pStyle w:val="6"/>
              <w:spacing w:before="76" w:line="214" w:lineRule="auto"/>
              <w:ind w:left="151"/>
            </w:pPr>
            <w:r>
              <w:rPr>
                <w:spacing w:val="-1"/>
              </w:rPr>
              <w:t>2020/3/10</w:t>
            </w:r>
          </w:p>
        </w:tc>
        <w:tc>
          <w:tcPr>
            <w:tcW w:w="706" w:type="dxa"/>
            <w:vAlign w:val="top"/>
          </w:tcPr>
          <w:p w14:paraId="6C160234">
            <w:pPr>
              <w:pStyle w:val="6"/>
              <w:spacing w:before="76" w:line="214" w:lineRule="auto"/>
              <w:ind w:left="162"/>
            </w:pPr>
            <w:r>
              <w:rPr>
                <w:spacing w:val="-2"/>
              </w:rPr>
              <w:t>0.31</w:t>
            </w:r>
          </w:p>
        </w:tc>
        <w:tc>
          <w:tcPr>
            <w:tcW w:w="707" w:type="dxa"/>
            <w:vAlign w:val="top"/>
          </w:tcPr>
          <w:p w14:paraId="0F4580CF">
            <w:pPr>
              <w:pStyle w:val="6"/>
              <w:spacing w:before="76" w:line="214" w:lineRule="auto"/>
              <w:ind w:left="164"/>
            </w:pPr>
            <w:r>
              <w:rPr>
                <w:spacing w:val="-2"/>
              </w:rPr>
              <w:t>0.77</w:t>
            </w:r>
          </w:p>
        </w:tc>
        <w:tc>
          <w:tcPr>
            <w:tcW w:w="989" w:type="dxa"/>
            <w:vAlign w:val="top"/>
          </w:tcPr>
          <w:p w14:paraId="6EDEDBD1">
            <w:pPr>
              <w:pStyle w:val="6"/>
              <w:spacing w:before="76" w:line="214" w:lineRule="auto"/>
              <w:ind w:left="308"/>
            </w:pPr>
            <w:r>
              <w:rPr>
                <w:spacing w:val="-2"/>
              </w:rPr>
              <w:t>0.38</w:t>
            </w:r>
          </w:p>
        </w:tc>
        <w:tc>
          <w:tcPr>
            <w:tcW w:w="706" w:type="dxa"/>
            <w:vAlign w:val="top"/>
          </w:tcPr>
          <w:p w14:paraId="0DF70123">
            <w:pPr>
              <w:pStyle w:val="6"/>
              <w:spacing w:before="76" w:line="214" w:lineRule="auto"/>
              <w:ind w:left="168"/>
            </w:pPr>
            <w:r>
              <w:rPr>
                <w:spacing w:val="-2"/>
              </w:rPr>
              <w:t>0.50</w:t>
            </w:r>
          </w:p>
        </w:tc>
        <w:tc>
          <w:tcPr>
            <w:tcW w:w="991" w:type="dxa"/>
            <w:vAlign w:val="top"/>
          </w:tcPr>
          <w:p w14:paraId="7BFBAF14">
            <w:pPr>
              <w:pStyle w:val="6"/>
              <w:spacing w:before="76" w:line="214" w:lineRule="auto"/>
              <w:ind w:left="313"/>
            </w:pPr>
            <w:r>
              <w:rPr>
                <w:spacing w:val="-2"/>
              </w:rPr>
              <w:t>0.50</w:t>
            </w:r>
          </w:p>
        </w:tc>
        <w:tc>
          <w:tcPr>
            <w:tcW w:w="990" w:type="dxa"/>
            <w:vAlign w:val="top"/>
          </w:tcPr>
          <w:p w14:paraId="60564EDA">
            <w:pPr>
              <w:pStyle w:val="6"/>
              <w:spacing w:before="167" w:line="100" w:lineRule="exact"/>
              <w:ind w:left="429"/>
            </w:pPr>
            <w:r>
              <w:rPr>
                <w:spacing w:val="-3"/>
                <w:position w:val="-6"/>
              </w:rPr>
              <w:t>--</w:t>
            </w:r>
          </w:p>
        </w:tc>
        <w:tc>
          <w:tcPr>
            <w:tcW w:w="848" w:type="dxa"/>
            <w:vAlign w:val="top"/>
          </w:tcPr>
          <w:p w14:paraId="24F4FE12">
            <w:pPr>
              <w:pStyle w:val="6"/>
              <w:spacing w:before="76" w:line="214" w:lineRule="auto"/>
              <w:ind w:left="245"/>
            </w:pPr>
            <w:r>
              <w:rPr>
                <w:spacing w:val="-2"/>
              </w:rPr>
              <w:t>0.20</w:t>
            </w:r>
          </w:p>
        </w:tc>
        <w:tc>
          <w:tcPr>
            <w:tcW w:w="706" w:type="dxa"/>
            <w:vAlign w:val="top"/>
          </w:tcPr>
          <w:p w14:paraId="3D3DDC8D">
            <w:pPr>
              <w:pStyle w:val="6"/>
              <w:spacing w:before="76" w:line="214" w:lineRule="auto"/>
              <w:ind w:left="176"/>
            </w:pPr>
            <w:r>
              <w:rPr>
                <w:spacing w:val="-2"/>
              </w:rPr>
              <w:t>0.80</w:t>
            </w:r>
          </w:p>
        </w:tc>
        <w:tc>
          <w:tcPr>
            <w:tcW w:w="1840" w:type="dxa"/>
            <w:vAlign w:val="top"/>
          </w:tcPr>
          <w:p w14:paraId="2C0F10E1">
            <w:pPr>
              <w:pStyle w:val="6"/>
              <w:spacing w:before="167" w:line="100" w:lineRule="exact"/>
              <w:ind w:left="862"/>
            </w:pPr>
            <w:r>
              <w:rPr>
                <w:spacing w:val="-3"/>
                <w:position w:val="-6"/>
              </w:rPr>
              <w:t>--</w:t>
            </w:r>
          </w:p>
        </w:tc>
        <w:tc>
          <w:tcPr>
            <w:tcW w:w="1950" w:type="dxa"/>
            <w:tcBorders>
              <w:right w:val="single" w:color="000000" w:sz="12" w:space="0"/>
            </w:tcBorders>
            <w:vAlign w:val="top"/>
          </w:tcPr>
          <w:p w14:paraId="65780791">
            <w:pPr>
              <w:pStyle w:val="6"/>
              <w:spacing w:before="76" w:line="214" w:lineRule="auto"/>
              <w:ind w:left="799"/>
            </w:pPr>
            <w:r>
              <w:rPr>
                <w:spacing w:val="-2"/>
              </w:rPr>
              <w:t>0.00</w:t>
            </w:r>
          </w:p>
        </w:tc>
      </w:tr>
      <w:tr w14:paraId="73BEC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4853973">
            <w:pPr>
              <w:rPr>
                <w:rFonts w:ascii="Arial"/>
                <w:sz w:val="21"/>
              </w:rPr>
            </w:pPr>
          </w:p>
        </w:tc>
        <w:tc>
          <w:tcPr>
            <w:tcW w:w="329" w:type="dxa"/>
            <w:vMerge w:val="continue"/>
            <w:tcBorders>
              <w:top w:val="nil"/>
              <w:bottom w:val="nil"/>
            </w:tcBorders>
            <w:vAlign w:val="top"/>
          </w:tcPr>
          <w:p w14:paraId="12FFC913">
            <w:pPr>
              <w:rPr>
                <w:rFonts w:ascii="Arial"/>
                <w:sz w:val="21"/>
              </w:rPr>
            </w:pPr>
          </w:p>
        </w:tc>
        <w:tc>
          <w:tcPr>
            <w:tcW w:w="1179" w:type="dxa"/>
            <w:vAlign w:val="top"/>
          </w:tcPr>
          <w:p w14:paraId="53E02625">
            <w:pPr>
              <w:pStyle w:val="6"/>
              <w:spacing w:before="77" w:line="212" w:lineRule="auto"/>
              <w:ind w:left="151"/>
            </w:pPr>
            <w:r>
              <w:rPr>
                <w:spacing w:val="-1"/>
              </w:rPr>
              <w:t>2020/3/11</w:t>
            </w:r>
          </w:p>
        </w:tc>
        <w:tc>
          <w:tcPr>
            <w:tcW w:w="706" w:type="dxa"/>
            <w:vAlign w:val="top"/>
          </w:tcPr>
          <w:p w14:paraId="447C22C4">
            <w:pPr>
              <w:pStyle w:val="6"/>
              <w:spacing w:before="77" w:line="212" w:lineRule="auto"/>
              <w:ind w:left="162"/>
            </w:pPr>
            <w:r>
              <w:rPr>
                <w:spacing w:val="-2"/>
              </w:rPr>
              <w:t>0.27</w:t>
            </w:r>
          </w:p>
        </w:tc>
        <w:tc>
          <w:tcPr>
            <w:tcW w:w="707" w:type="dxa"/>
            <w:vAlign w:val="top"/>
          </w:tcPr>
          <w:p w14:paraId="6A00AB23">
            <w:pPr>
              <w:pStyle w:val="6"/>
              <w:spacing w:before="77" w:line="212" w:lineRule="auto"/>
              <w:ind w:left="164"/>
            </w:pPr>
            <w:r>
              <w:rPr>
                <w:spacing w:val="-2"/>
              </w:rPr>
              <w:t>0.81</w:t>
            </w:r>
          </w:p>
        </w:tc>
        <w:tc>
          <w:tcPr>
            <w:tcW w:w="989" w:type="dxa"/>
            <w:vAlign w:val="top"/>
          </w:tcPr>
          <w:p w14:paraId="5921B80E">
            <w:pPr>
              <w:pStyle w:val="6"/>
              <w:spacing w:before="77" w:line="212" w:lineRule="auto"/>
              <w:ind w:left="308"/>
            </w:pPr>
            <w:r>
              <w:rPr>
                <w:spacing w:val="-2"/>
              </w:rPr>
              <w:t>0.43</w:t>
            </w:r>
          </w:p>
        </w:tc>
        <w:tc>
          <w:tcPr>
            <w:tcW w:w="706" w:type="dxa"/>
            <w:vAlign w:val="top"/>
          </w:tcPr>
          <w:p w14:paraId="3182D917">
            <w:pPr>
              <w:pStyle w:val="6"/>
              <w:spacing w:before="77" w:line="212" w:lineRule="auto"/>
              <w:ind w:left="168"/>
            </w:pPr>
            <w:r>
              <w:rPr>
                <w:spacing w:val="-2"/>
              </w:rPr>
              <w:t>0.65</w:t>
            </w:r>
          </w:p>
        </w:tc>
        <w:tc>
          <w:tcPr>
            <w:tcW w:w="991" w:type="dxa"/>
            <w:vAlign w:val="top"/>
          </w:tcPr>
          <w:p w14:paraId="1BA6A3CC">
            <w:pPr>
              <w:pStyle w:val="6"/>
              <w:spacing w:before="77" w:line="212" w:lineRule="auto"/>
              <w:ind w:left="313"/>
            </w:pPr>
            <w:r>
              <w:rPr>
                <w:spacing w:val="-2"/>
              </w:rPr>
              <w:t>0.60</w:t>
            </w:r>
          </w:p>
        </w:tc>
        <w:tc>
          <w:tcPr>
            <w:tcW w:w="990" w:type="dxa"/>
            <w:vAlign w:val="top"/>
          </w:tcPr>
          <w:p w14:paraId="6386A54C">
            <w:pPr>
              <w:pStyle w:val="6"/>
              <w:spacing w:before="168" w:line="100" w:lineRule="exact"/>
              <w:ind w:left="429"/>
            </w:pPr>
            <w:r>
              <w:rPr>
                <w:spacing w:val="-3"/>
                <w:position w:val="-6"/>
              </w:rPr>
              <w:t>--</w:t>
            </w:r>
          </w:p>
        </w:tc>
        <w:tc>
          <w:tcPr>
            <w:tcW w:w="848" w:type="dxa"/>
            <w:vAlign w:val="top"/>
          </w:tcPr>
          <w:p w14:paraId="134009AD">
            <w:pPr>
              <w:pStyle w:val="6"/>
              <w:spacing w:before="77" w:line="212" w:lineRule="auto"/>
              <w:ind w:left="245"/>
            </w:pPr>
            <w:r>
              <w:rPr>
                <w:spacing w:val="-2"/>
              </w:rPr>
              <w:t>0.15</w:t>
            </w:r>
          </w:p>
        </w:tc>
        <w:tc>
          <w:tcPr>
            <w:tcW w:w="706" w:type="dxa"/>
            <w:vAlign w:val="top"/>
          </w:tcPr>
          <w:p w14:paraId="6E86D070">
            <w:pPr>
              <w:pStyle w:val="6"/>
              <w:spacing w:before="77" w:line="212" w:lineRule="auto"/>
              <w:ind w:left="176"/>
            </w:pPr>
            <w:r>
              <w:rPr>
                <w:spacing w:val="-2"/>
              </w:rPr>
              <w:t>0.60</w:t>
            </w:r>
          </w:p>
        </w:tc>
        <w:tc>
          <w:tcPr>
            <w:tcW w:w="1840" w:type="dxa"/>
            <w:vAlign w:val="top"/>
          </w:tcPr>
          <w:p w14:paraId="094A2134">
            <w:pPr>
              <w:pStyle w:val="6"/>
              <w:spacing w:before="168" w:line="100" w:lineRule="exact"/>
              <w:ind w:left="862"/>
            </w:pPr>
            <w:r>
              <w:rPr>
                <w:spacing w:val="-3"/>
                <w:position w:val="-6"/>
              </w:rPr>
              <w:t>--</w:t>
            </w:r>
          </w:p>
        </w:tc>
        <w:tc>
          <w:tcPr>
            <w:tcW w:w="1950" w:type="dxa"/>
            <w:tcBorders>
              <w:right w:val="single" w:color="000000" w:sz="12" w:space="0"/>
            </w:tcBorders>
            <w:vAlign w:val="top"/>
          </w:tcPr>
          <w:p w14:paraId="678CCF11">
            <w:pPr>
              <w:pStyle w:val="6"/>
              <w:spacing w:before="77" w:line="212" w:lineRule="auto"/>
              <w:ind w:left="799"/>
            </w:pPr>
            <w:r>
              <w:rPr>
                <w:spacing w:val="-2"/>
              </w:rPr>
              <w:t>0.00</w:t>
            </w:r>
          </w:p>
        </w:tc>
      </w:tr>
      <w:tr w14:paraId="0E107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continue"/>
            <w:tcBorders>
              <w:top w:val="nil"/>
              <w:left w:val="single" w:color="000000" w:sz="12" w:space="0"/>
              <w:bottom w:val="nil"/>
            </w:tcBorders>
            <w:vAlign w:val="top"/>
          </w:tcPr>
          <w:p w14:paraId="52FA4F35">
            <w:pPr>
              <w:rPr>
                <w:rFonts w:ascii="Arial"/>
                <w:sz w:val="21"/>
              </w:rPr>
            </w:pPr>
          </w:p>
        </w:tc>
        <w:tc>
          <w:tcPr>
            <w:tcW w:w="329" w:type="dxa"/>
            <w:vMerge w:val="continue"/>
            <w:tcBorders>
              <w:top w:val="nil"/>
            </w:tcBorders>
            <w:vAlign w:val="top"/>
          </w:tcPr>
          <w:p w14:paraId="02CDA4EC">
            <w:pPr>
              <w:rPr>
                <w:rFonts w:ascii="Arial"/>
                <w:sz w:val="21"/>
              </w:rPr>
            </w:pPr>
          </w:p>
        </w:tc>
        <w:tc>
          <w:tcPr>
            <w:tcW w:w="1179" w:type="dxa"/>
            <w:vAlign w:val="top"/>
          </w:tcPr>
          <w:p w14:paraId="67980F50">
            <w:pPr>
              <w:pStyle w:val="6"/>
              <w:spacing w:before="78" w:line="210" w:lineRule="auto"/>
              <w:ind w:left="151"/>
            </w:pPr>
            <w:r>
              <w:rPr>
                <w:spacing w:val="-1"/>
              </w:rPr>
              <w:t>2020/3/12</w:t>
            </w:r>
          </w:p>
        </w:tc>
        <w:tc>
          <w:tcPr>
            <w:tcW w:w="706" w:type="dxa"/>
            <w:vAlign w:val="top"/>
          </w:tcPr>
          <w:p w14:paraId="26583906">
            <w:pPr>
              <w:pStyle w:val="6"/>
              <w:spacing w:before="78" w:line="210" w:lineRule="auto"/>
              <w:ind w:left="162"/>
            </w:pPr>
            <w:r>
              <w:rPr>
                <w:spacing w:val="-2"/>
              </w:rPr>
              <w:t>0.23</w:t>
            </w:r>
          </w:p>
        </w:tc>
        <w:tc>
          <w:tcPr>
            <w:tcW w:w="707" w:type="dxa"/>
            <w:vAlign w:val="top"/>
          </w:tcPr>
          <w:p w14:paraId="1DE130E9">
            <w:pPr>
              <w:pStyle w:val="6"/>
              <w:spacing w:before="78" w:line="210" w:lineRule="auto"/>
              <w:ind w:left="164"/>
            </w:pPr>
            <w:r>
              <w:rPr>
                <w:spacing w:val="-2"/>
              </w:rPr>
              <w:t>0.74</w:t>
            </w:r>
          </w:p>
        </w:tc>
        <w:tc>
          <w:tcPr>
            <w:tcW w:w="989" w:type="dxa"/>
            <w:vAlign w:val="top"/>
          </w:tcPr>
          <w:p w14:paraId="1A61E236">
            <w:pPr>
              <w:pStyle w:val="6"/>
              <w:spacing w:before="78" w:line="210" w:lineRule="auto"/>
              <w:ind w:left="308"/>
            </w:pPr>
            <w:r>
              <w:rPr>
                <w:spacing w:val="-2"/>
              </w:rPr>
              <w:t>0.42</w:t>
            </w:r>
          </w:p>
        </w:tc>
        <w:tc>
          <w:tcPr>
            <w:tcW w:w="706" w:type="dxa"/>
            <w:vAlign w:val="top"/>
          </w:tcPr>
          <w:p w14:paraId="3E5B2AFD">
            <w:pPr>
              <w:pStyle w:val="6"/>
              <w:spacing w:before="78" w:line="210" w:lineRule="auto"/>
              <w:ind w:left="168"/>
            </w:pPr>
            <w:r>
              <w:rPr>
                <w:spacing w:val="-2"/>
              </w:rPr>
              <w:t>0.55</w:t>
            </w:r>
          </w:p>
        </w:tc>
        <w:tc>
          <w:tcPr>
            <w:tcW w:w="991" w:type="dxa"/>
            <w:vAlign w:val="top"/>
          </w:tcPr>
          <w:p w14:paraId="1C2223C5">
            <w:pPr>
              <w:pStyle w:val="6"/>
              <w:spacing w:before="78" w:line="210" w:lineRule="auto"/>
              <w:ind w:left="313"/>
            </w:pPr>
            <w:r>
              <w:rPr>
                <w:spacing w:val="-2"/>
              </w:rPr>
              <w:t>0.55</w:t>
            </w:r>
          </w:p>
        </w:tc>
        <w:tc>
          <w:tcPr>
            <w:tcW w:w="990" w:type="dxa"/>
            <w:vAlign w:val="top"/>
          </w:tcPr>
          <w:p w14:paraId="174D0B1A">
            <w:pPr>
              <w:pStyle w:val="6"/>
              <w:spacing w:before="169" w:line="100" w:lineRule="exact"/>
              <w:ind w:left="429"/>
            </w:pPr>
            <w:r>
              <w:rPr>
                <w:spacing w:val="-3"/>
                <w:position w:val="-6"/>
              </w:rPr>
              <w:t>--</w:t>
            </w:r>
          </w:p>
        </w:tc>
        <w:tc>
          <w:tcPr>
            <w:tcW w:w="848" w:type="dxa"/>
            <w:vAlign w:val="top"/>
          </w:tcPr>
          <w:p w14:paraId="7540DF64">
            <w:pPr>
              <w:pStyle w:val="6"/>
              <w:spacing w:before="78" w:line="210" w:lineRule="auto"/>
              <w:ind w:left="245"/>
            </w:pPr>
            <w:r>
              <w:rPr>
                <w:spacing w:val="-2"/>
              </w:rPr>
              <w:t>0.20</w:t>
            </w:r>
          </w:p>
        </w:tc>
        <w:tc>
          <w:tcPr>
            <w:tcW w:w="706" w:type="dxa"/>
            <w:vAlign w:val="top"/>
          </w:tcPr>
          <w:p w14:paraId="4E7B3171">
            <w:pPr>
              <w:pStyle w:val="6"/>
              <w:spacing w:before="78" w:line="210" w:lineRule="auto"/>
              <w:ind w:left="176"/>
            </w:pPr>
            <w:r>
              <w:rPr>
                <w:spacing w:val="-2"/>
              </w:rPr>
              <w:t>0.60</w:t>
            </w:r>
          </w:p>
        </w:tc>
        <w:tc>
          <w:tcPr>
            <w:tcW w:w="1840" w:type="dxa"/>
            <w:vAlign w:val="top"/>
          </w:tcPr>
          <w:p w14:paraId="67B4F3BC">
            <w:pPr>
              <w:pStyle w:val="6"/>
              <w:spacing w:before="169" w:line="100" w:lineRule="exact"/>
              <w:ind w:left="862"/>
            </w:pPr>
            <w:r>
              <w:rPr>
                <w:spacing w:val="-3"/>
                <w:position w:val="-6"/>
              </w:rPr>
              <w:t>--</w:t>
            </w:r>
          </w:p>
        </w:tc>
        <w:tc>
          <w:tcPr>
            <w:tcW w:w="1950" w:type="dxa"/>
            <w:tcBorders>
              <w:right w:val="single" w:color="000000" w:sz="12" w:space="0"/>
            </w:tcBorders>
            <w:vAlign w:val="top"/>
          </w:tcPr>
          <w:p w14:paraId="2F12CD28">
            <w:pPr>
              <w:pStyle w:val="6"/>
              <w:spacing w:before="78" w:line="210" w:lineRule="auto"/>
              <w:ind w:left="799"/>
            </w:pPr>
            <w:r>
              <w:rPr>
                <w:spacing w:val="-2"/>
              </w:rPr>
              <w:t>0.00</w:t>
            </w:r>
          </w:p>
        </w:tc>
      </w:tr>
      <w:tr w14:paraId="4AF16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FA2D356">
            <w:pPr>
              <w:rPr>
                <w:rFonts w:ascii="Arial"/>
                <w:sz w:val="21"/>
              </w:rPr>
            </w:pPr>
          </w:p>
        </w:tc>
        <w:tc>
          <w:tcPr>
            <w:tcW w:w="329" w:type="dxa"/>
            <w:vMerge w:val="restart"/>
            <w:tcBorders>
              <w:bottom w:val="nil"/>
            </w:tcBorders>
            <w:vAlign w:val="top"/>
          </w:tcPr>
          <w:p w14:paraId="6E67E750">
            <w:pPr>
              <w:pStyle w:val="6"/>
              <w:spacing w:before="121" w:line="222" w:lineRule="auto"/>
              <w:ind w:left="97"/>
            </w:pPr>
            <w:r>
              <w:t>2</w:t>
            </w:r>
          </w:p>
          <w:p w14:paraId="6059346E">
            <w:pPr>
              <w:spacing w:line="219" w:lineRule="auto"/>
              <w:ind w:left="49"/>
              <w:rPr>
                <w:rFonts w:ascii="宋体" w:hAnsi="宋体" w:eastAsia="宋体" w:cs="宋体"/>
                <w:sz w:val="21"/>
                <w:szCs w:val="21"/>
              </w:rPr>
            </w:pPr>
            <w:r>
              <w:rPr>
                <w:rFonts w:ascii="宋体" w:hAnsi="宋体" w:eastAsia="宋体" w:cs="宋体"/>
                <w:sz w:val="21"/>
                <w:szCs w:val="21"/>
              </w:rPr>
              <w:t>季</w:t>
            </w:r>
          </w:p>
          <w:p w14:paraId="0D5DF529">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429489DC">
            <w:pPr>
              <w:pStyle w:val="6"/>
              <w:spacing w:before="80" w:line="210" w:lineRule="auto"/>
              <w:ind w:left="151"/>
            </w:pPr>
            <w:r>
              <w:rPr>
                <w:spacing w:val="-1"/>
              </w:rPr>
              <w:t>2020/5/20</w:t>
            </w:r>
          </w:p>
        </w:tc>
        <w:tc>
          <w:tcPr>
            <w:tcW w:w="706" w:type="dxa"/>
            <w:vAlign w:val="top"/>
          </w:tcPr>
          <w:p w14:paraId="72BF0137">
            <w:pPr>
              <w:pStyle w:val="6"/>
              <w:spacing w:before="80" w:line="210" w:lineRule="auto"/>
              <w:ind w:left="162"/>
            </w:pPr>
            <w:r>
              <w:rPr>
                <w:spacing w:val="-2"/>
              </w:rPr>
              <w:t>0.17</w:t>
            </w:r>
          </w:p>
        </w:tc>
        <w:tc>
          <w:tcPr>
            <w:tcW w:w="707" w:type="dxa"/>
            <w:vAlign w:val="top"/>
          </w:tcPr>
          <w:p w14:paraId="4CF2466F">
            <w:pPr>
              <w:pStyle w:val="6"/>
              <w:spacing w:before="80" w:line="210" w:lineRule="auto"/>
              <w:ind w:left="164"/>
            </w:pPr>
            <w:r>
              <w:rPr>
                <w:spacing w:val="-2"/>
              </w:rPr>
              <w:t>0.72</w:t>
            </w:r>
          </w:p>
        </w:tc>
        <w:tc>
          <w:tcPr>
            <w:tcW w:w="989" w:type="dxa"/>
            <w:vAlign w:val="top"/>
          </w:tcPr>
          <w:p w14:paraId="61096965">
            <w:pPr>
              <w:pStyle w:val="6"/>
              <w:spacing w:before="80" w:line="210" w:lineRule="auto"/>
              <w:ind w:left="308"/>
            </w:pPr>
            <w:r>
              <w:rPr>
                <w:spacing w:val="-2"/>
              </w:rPr>
              <w:t>0.63</w:t>
            </w:r>
          </w:p>
        </w:tc>
        <w:tc>
          <w:tcPr>
            <w:tcW w:w="706" w:type="dxa"/>
            <w:vAlign w:val="top"/>
          </w:tcPr>
          <w:p w14:paraId="10D64BFB">
            <w:pPr>
              <w:pStyle w:val="6"/>
              <w:spacing w:before="80" w:line="210" w:lineRule="auto"/>
              <w:ind w:left="168"/>
            </w:pPr>
            <w:r>
              <w:rPr>
                <w:spacing w:val="-2"/>
              </w:rPr>
              <w:t>0.30</w:t>
            </w:r>
          </w:p>
        </w:tc>
        <w:tc>
          <w:tcPr>
            <w:tcW w:w="991" w:type="dxa"/>
            <w:vAlign w:val="top"/>
          </w:tcPr>
          <w:p w14:paraId="22C852B1">
            <w:pPr>
              <w:pStyle w:val="6"/>
              <w:spacing w:before="80" w:line="210" w:lineRule="auto"/>
              <w:ind w:left="313"/>
            </w:pPr>
            <w:r>
              <w:rPr>
                <w:spacing w:val="-2"/>
              </w:rPr>
              <w:t>0.33</w:t>
            </w:r>
          </w:p>
        </w:tc>
        <w:tc>
          <w:tcPr>
            <w:tcW w:w="990" w:type="dxa"/>
            <w:vAlign w:val="top"/>
          </w:tcPr>
          <w:p w14:paraId="32FD41CE">
            <w:pPr>
              <w:pStyle w:val="6"/>
              <w:spacing w:before="80" w:line="210" w:lineRule="auto"/>
              <w:ind w:left="315"/>
            </w:pPr>
            <w:r>
              <w:rPr>
                <w:spacing w:val="-2"/>
              </w:rPr>
              <w:t>0.23</w:t>
            </w:r>
          </w:p>
        </w:tc>
        <w:tc>
          <w:tcPr>
            <w:tcW w:w="848" w:type="dxa"/>
            <w:vAlign w:val="top"/>
          </w:tcPr>
          <w:p w14:paraId="327F9ACE">
            <w:pPr>
              <w:pStyle w:val="6"/>
              <w:spacing w:before="80" w:line="210" w:lineRule="auto"/>
              <w:ind w:left="245"/>
            </w:pPr>
            <w:r>
              <w:rPr>
                <w:spacing w:val="-2"/>
              </w:rPr>
              <w:t>0.20</w:t>
            </w:r>
          </w:p>
        </w:tc>
        <w:tc>
          <w:tcPr>
            <w:tcW w:w="706" w:type="dxa"/>
            <w:vAlign w:val="top"/>
          </w:tcPr>
          <w:p w14:paraId="20A47E9F">
            <w:pPr>
              <w:pStyle w:val="6"/>
              <w:spacing w:before="80" w:line="210" w:lineRule="auto"/>
              <w:ind w:left="176"/>
            </w:pPr>
            <w:r>
              <w:rPr>
                <w:spacing w:val="-2"/>
              </w:rPr>
              <w:t>0.20</w:t>
            </w:r>
          </w:p>
        </w:tc>
        <w:tc>
          <w:tcPr>
            <w:tcW w:w="1840" w:type="dxa"/>
            <w:vAlign w:val="top"/>
          </w:tcPr>
          <w:p w14:paraId="463D52FB">
            <w:pPr>
              <w:pStyle w:val="6"/>
              <w:spacing w:before="171" w:line="100" w:lineRule="exact"/>
              <w:ind w:left="862"/>
            </w:pPr>
            <w:r>
              <w:rPr>
                <w:spacing w:val="-3"/>
                <w:position w:val="-6"/>
              </w:rPr>
              <w:t>--</w:t>
            </w:r>
          </w:p>
        </w:tc>
        <w:tc>
          <w:tcPr>
            <w:tcW w:w="1950" w:type="dxa"/>
            <w:tcBorders>
              <w:right w:val="single" w:color="000000" w:sz="12" w:space="0"/>
            </w:tcBorders>
            <w:vAlign w:val="top"/>
          </w:tcPr>
          <w:p w14:paraId="65C970EF">
            <w:pPr>
              <w:pStyle w:val="6"/>
              <w:spacing w:before="80" w:line="210" w:lineRule="auto"/>
              <w:ind w:left="799"/>
            </w:pPr>
            <w:r>
              <w:rPr>
                <w:spacing w:val="-2"/>
              </w:rPr>
              <w:t>0.05</w:t>
            </w:r>
          </w:p>
        </w:tc>
      </w:tr>
      <w:tr w14:paraId="3DBE4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6BEFD4A">
            <w:pPr>
              <w:rPr>
                <w:rFonts w:ascii="Arial"/>
                <w:sz w:val="21"/>
              </w:rPr>
            </w:pPr>
          </w:p>
        </w:tc>
        <w:tc>
          <w:tcPr>
            <w:tcW w:w="329" w:type="dxa"/>
            <w:vMerge w:val="continue"/>
            <w:tcBorders>
              <w:top w:val="nil"/>
              <w:bottom w:val="nil"/>
            </w:tcBorders>
            <w:vAlign w:val="top"/>
          </w:tcPr>
          <w:p w14:paraId="124F8410">
            <w:pPr>
              <w:rPr>
                <w:rFonts w:ascii="Arial"/>
                <w:sz w:val="21"/>
              </w:rPr>
            </w:pPr>
          </w:p>
        </w:tc>
        <w:tc>
          <w:tcPr>
            <w:tcW w:w="1179" w:type="dxa"/>
            <w:vAlign w:val="top"/>
          </w:tcPr>
          <w:p w14:paraId="397078A8">
            <w:pPr>
              <w:pStyle w:val="6"/>
              <w:spacing w:before="81" w:line="208" w:lineRule="auto"/>
              <w:ind w:left="151"/>
            </w:pPr>
            <w:r>
              <w:rPr>
                <w:spacing w:val="-1"/>
              </w:rPr>
              <w:t>2020/5/21</w:t>
            </w:r>
          </w:p>
        </w:tc>
        <w:tc>
          <w:tcPr>
            <w:tcW w:w="706" w:type="dxa"/>
            <w:vAlign w:val="top"/>
          </w:tcPr>
          <w:p w14:paraId="406724A0">
            <w:pPr>
              <w:pStyle w:val="6"/>
              <w:spacing w:before="81" w:line="208" w:lineRule="auto"/>
              <w:ind w:left="162"/>
            </w:pPr>
            <w:r>
              <w:rPr>
                <w:spacing w:val="-2"/>
              </w:rPr>
              <w:t>0.15</w:t>
            </w:r>
          </w:p>
        </w:tc>
        <w:tc>
          <w:tcPr>
            <w:tcW w:w="707" w:type="dxa"/>
            <w:vAlign w:val="top"/>
          </w:tcPr>
          <w:p w14:paraId="50FAC8E3">
            <w:pPr>
              <w:pStyle w:val="6"/>
              <w:spacing w:before="81" w:line="208" w:lineRule="auto"/>
              <w:ind w:left="164"/>
            </w:pPr>
            <w:r>
              <w:rPr>
                <w:spacing w:val="-2"/>
              </w:rPr>
              <w:t>0.82</w:t>
            </w:r>
          </w:p>
        </w:tc>
        <w:tc>
          <w:tcPr>
            <w:tcW w:w="989" w:type="dxa"/>
            <w:vAlign w:val="top"/>
          </w:tcPr>
          <w:p w14:paraId="0AAA8360">
            <w:pPr>
              <w:pStyle w:val="6"/>
              <w:spacing w:before="81" w:line="208" w:lineRule="auto"/>
              <w:ind w:left="308"/>
            </w:pPr>
            <w:r>
              <w:rPr>
                <w:spacing w:val="-2"/>
              </w:rPr>
              <w:t>0.58</w:t>
            </w:r>
          </w:p>
        </w:tc>
        <w:tc>
          <w:tcPr>
            <w:tcW w:w="706" w:type="dxa"/>
            <w:vAlign w:val="top"/>
          </w:tcPr>
          <w:p w14:paraId="021070C4">
            <w:pPr>
              <w:pStyle w:val="6"/>
              <w:spacing w:before="81" w:line="208" w:lineRule="auto"/>
              <w:ind w:left="168"/>
            </w:pPr>
            <w:r>
              <w:rPr>
                <w:spacing w:val="-2"/>
              </w:rPr>
              <w:t>0.30</w:t>
            </w:r>
          </w:p>
        </w:tc>
        <w:tc>
          <w:tcPr>
            <w:tcW w:w="991" w:type="dxa"/>
            <w:vAlign w:val="top"/>
          </w:tcPr>
          <w:p w14:paraId="12C54706">
            <w:pPr>
              <w:pStyle w:val="6"/>
              <w:spacing w:before="81" w:line="208" w:lineRule="auto"/>
              <w:ind w:left="313"/>
            </w:pPr>
            <w:r>
              <w:rPr>
                <w:spacing w:val="-2"/>
              </w:rPr>
              <w:t>0.35</w:t>
            </w:r>
          </w:p>
        </w:tc>
        <w:tc>
          <w:tcPr>
            <w:tcW w:w="990" w:type="dxa"/>
            <w:vAlign w:val="top"/>
          </w:tcPr>
          <w:p w14:paraId="3B9E2DCD">
            <w:pPr>
              <w:pStyle w:val="6"/>
              <w:spacing w:before="81" w:line="208" w:lineRule="auto"/>
              <w:ind w:left="315"/>
            </w:pPr>
            <w:r>
              <w:rPr>
                <w:spacing w:val="-2"/>
              </w:rPr>
              <w:t>0.23</w:t>
            </w:r>
          </w:p>
        </w:tc>
        <w:tc>
          <w:tcPr>
            <w:tcW w:w="848" w:type="dxa"/>
            <w:vAlign w:val="top"/>
          </w:tcPr>
          <w:p w14:paraId="11B3A594">
            <w:pPr>
              <w:pStyle w:val="6"/>
              <w:spacing w:before="81" w:line="208" w:lineRule="auto"/>
              <w:ind w:left="245"/>
            </w:pPr>
            <w:r>
              <w:rPr>
                <w:spacing w:val="-2"/>
              </w:rPr>
              <w:t>0.15</w:t>
            </w:r>
          </w:p>
        </w:tc>
        <w:tc>
          <w:tcPr>
            <w:tcW w:w="706" w:type="dxa"/>
            <w:vAlign w:val="top"/>
          </w:tcPr>
          <w:p w14:paraId="6ACBD2A3">
            <w:pPr>
              <w:pStyle w:val="6"/>
              <w:spacing w:before="81" w:line="208" w:lineRule="auto"/>
              <w:ind w:left="176"/>
            </w:pPr>
            <w:r>
              <w:rPr>
                <w:spacing w:val="-2"/>
              </w:rPr>
              <w:t>0.20</w:t>
            </w:r>
          </w:p>
        </w:tc>
        <w:tc>
          <w:tcPr>
            <w:tcW w:w="1840" w:type="dxa"/>
            <w:vAlign w:val="top"/>
          </w:tcPr>
          <w:p w14:paraId="23900F72">
            <w:pPr>
              <w:pStyle w:val="6"/>
              <w:spacing w:before="172" w:line="100" w:lineRule="exact"/>
              <w:ind w:left="862"/>
            </w:pPr>
            <w:r>
              <w:rPr>
                <w:spacing w:val="-3"/>
                <w:position w:val="-6"/>
              </w:rPr>
              <w:t>--</w:t>
            </w:r>
          </w:p>
        </w:tc>
        <w:tc>
          <w:tcPr>
            <w:tcW w:w="1950" w:type="dxa"/>
            <w:tcBorders>
              <w:right w:val="single" w:color="000000" w:sz="12" w:space="0"/>
            </w:tcBorders>
            <w:vAlign w:val="top"/>
          </w:tcPr>
          <w:p w14:paraId="7912A626">
            <w:pPr>
              <w:pStyle w:val="6"/>
              <w:spacing w:before="81" w:line="208" w:lineRule="auto"/>
              <w:ind w:left="799"/>
            </w:pPr>
            <w:r>
              <w:rPr>
                <w:spacing w:val="-2"/>
              </w:rPr>
              <w:t>0.05</w:t>
            </w:r>
          </w:p>
        </w:tc>
      </w:tr>
      <w:tr w14:paraId="3D042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6267F0F">
            <w:pPr>
              <w:rPr>
                <w:rFonts w:ascii="Arial"/>
                <w:sz w:val="21"/>
              </w:rPr>
            </w:pPr>
          </w:p>
        </w:tc>
        <w:tc>
          <w:tcPr>
            <w:tcW w:w="329" w:type="dxa"/>
            <w:vMerge w:val="continue"/>
            <w:tcBorders>
              <w:top w:val="nil"/>
            </w:tcBorders>
            <w:vAlign w:val="top"/>
          </w:tcPr>
          <w:p w14:paraId="40E3B467">
            <w:pPr>
              <w:rPr>
                <w:rFonts w:ascii="Arial"/>
                <w:sz w:val="21"/>
              </w:rPr>
            </w:pPr>
          </w:p>
        </w:tc>
        <w:tc>
          <w:tcPr>
            <w:tcW w:w="1179" w:type="dxa"/>
            <w:vAlign w:val="top"/>
          </w:tcPr>
          <w:p w14:paraId="08A9F854">
            <w:pPr>
              <w:pStyle w:val="6"/>
              <w:spacing w:before="82" w:line="208" w:lineRule="auto"/>
              <w:ind w:left="151"/>
            </w:pPr>
            <w:r>
              <w:rPr>
                <w:spacing w:val="-1"/>
              </w:rPr>
              <w:t>2020/5/22</w:t>
            </w:r>
          </w:p>
        </w:tc>
        <w:tc>
          <w:tcPr>
            <w:tcW w:w="706" w:type="dxa"/>
            <w:vAlign w:val="top"/>
          </w:tcPr>
          <w:p w14:paraId="3686A5CA">
            <w:pPr>
              <w:pStyle w:val="6"/>
              <w:spacing w:before="82" w:line="208" w:lineRule="auto"/>
              <w:ind w:left="162"/>
            </w:pPr>
            <w:r>
              <w:rPr>
                <w:spacing w:val="-2"/>
              </w:rPr>
              <w:t>0.13</w:t>
            </w:r>
          </w:p>
        </w:tc>
        <w:tc>
          <w:tcPr>
            <w:tcW w:w="707" w:type="dxa"/>
            <w:vAlign w:val="top"/>
          </w:tcPr>
          <w:p w14:paraId="467A409F">
            <w:pPr>
              <w:pStyle w:val="6"/>
              <w:spacing w:before="82" w:line="208" w:lineRule="auto"/>
              <w:ind w:left="164"/>
            </w:pPr>
            <w:r>
              <w:rPr>
                <w:spacing w:val="-2"/>
              </w:rPr>
              <w:t>0.68</w:t>
            </w:r>
          </w:p>
        </w:tc>
        <w:tc>
          <w:tcPr>
            <w:tcW w:w="989" w:type="dxa"/>
            <w:vAlign w:val="top"/>
          </w:tcPr>
          <w:p w14:paraId="617D481A">
            <w:pPr>
              <w:pStyle w:val="6"/>
              <w:spacing w:before="82" w:line="208" w:lineRule="auto"/>
              <w:ind w:left="308"/>
            </w:pPr>
            <w:r>
              <w:rPr>
                <w:spacing w:val="-2"/>
              </w:rPr>
              <w:t>0.62</w:t>
            </w:r>
          </w:p>
        </w:tc>
        <w:tc>
          <w:tcPr>
            <w:tcW w:w="706" w:type="dxa"/>
            <w:vAlign w:val="top"/>
          </w:tcPr>
          <w:p w14:paraId="1456184A">
            <w:pPr>
              <w:pStyle w:val="6"/>
              <w:spacing w:before="82" w:line="208" w:lineRule="auto"/>
              <w:ind w:left="168"/>
            </w:pPr>
            <w:r>
              <w:rPr>
                <w:spacing w:val="-2"/>
              </w:rPr>
              <w:t>0.35</w:t>
            </w:r>
          </w:p>
        </w:tc>
        <w:tc>
          <w:tcPr>
            <w:tcW w:w="991" w:type="dxa"/>
            <w:vAlign w:val="top"/>
          </w:tcPr>
          <w:p w14:paraId="3B1B163D">
            <w:pPr>
              <w:pStyle w:val="6"/>
              <w:spacing w:before="82" w:line="208" w:lineRule="auto"/>
              <w:ind w:left="313"/>
            </w:pPr>
            <w:r>
              <w:rPr>
                <w:spacing w:val="-2"/>
              </w:rPr>
              <w:t>0.40</w:t>
            </w:r>
          </w:p>
        </w:tc>
        <w:tc>
          <w:tcPr>
            <w:tcW w:w="990" w:type="dxa"/>
            <w:vAlign w:val="top"/>
          </w:tcPr>
          <w:p w14:paraId="6F454788">
            <w:pPr>
              <w:pStyle w:val="6"/>
              <w:spacing w:before="82" w:line="208" w:lineRule="auto"/>
              <w:ind w:left="315"/>
            </w:pPr>
            <w:r>
              <w:rPr>
                <w:spacing w:val="-2"/>
              </w:rPr>
              <w:t>0.22</w:t>
            </w:r>
          </w:p>
        </w:tc>
        <w:tc>
          <w:tcPr>
            <w:tcW w:w="848" w:type="dxa"/>
            <w:vAlign w:val="top"/>
          </w:tcPr>
          <w:p w14:paraId="24079EB4">
            <w:pPr>
              <w:pStyle w:val="6"/>
              <w:spacing w:before="82" w:line="208" w:lineRule="auto"/>
              <w:ind w:left="245"/>
            </w:pPr>
            <w:r>
              <w:rPr>
                <w:spacing w:val="-2"/>
              </w:rPr>
              <w:t>0.15</w:t>
            </w:r>
          </w:p>
        </w:tc>
        <w:tc>
          <w:tcPr>
            <w:tcW w:w="706" w:type="dxa"/>
            <w:vAlign w:val="top"/>
          </w:tcPr>
          <w:p w14:paraId="1F8F5415">
            <w:pPr>
              <w:pStyle w:val="6"/>
              <w:spacing w:before="82" w:line="208" w:lineRule="auto"/>
              <w:ind w:left="176"/>
            </w:pPr>
            <w:r>
              <w:rPr>
                <w:spacing w:val="-2"/>
              </w:rPr>
              <w:t>0.20</w:t>
            </w:r>
          </w:p>
        </w:tc>
        <w:tc>
          <w:tcPr>
            <w:tcW w:w="1840" w:type="dxa"/>
            <w:vAlign w:val="top"/>
          </w:tcPr>
          <w:p w14:paraId="4FA3462F">
            <w:pPr>
              <w:pStyle w:val="6"/>
              <w:spacing w:before="173" w:line="100" w:lineRule="exact"/>
              <w:ind w:left="862"/>
            </w:pPr>
            <w:r>
              <w:rPr>
                <w:spacing w:val="-3"/>
                <w:position w:val="-6"/>
              </w:rPr>
              <w:t>--</w:t>
            </w:r>
          </w:p>
        </w:tc>
        <w:tc>
          <w:tcPr>
            <w:tcW w:w="1950" w:type="dxa"/>
            <w:tcBorders>
              <w:right w:val="single" w:color="000000" w:sz="12" w:space="0"/>
            </w:tcBorders>
            <w:vAlign w:val="top"/>
          </w:tcPr>
          <w:p w14:paraId="5B9F2FBE">
            <w:pPr>
              <w:pStyle w:val="6"/>
              <w:spacing w:before="82" w:line="208" w:lineRule="auto"/>
              <w:ind w:left="799"/>
            </w:pPr>
            <w:r>
              <w:rPr>
                <w:spacing w:val="-2"/>
              </w:rPr>
              <w:t>0.05</w:t>
            </w:r>
          </w:p>
        </w:tc>
      </w:tr>
      <w:tr w14:paraId="0B501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03606F0">
            <w:pPr>
              <w:rPr>
                <w:rFonts w:ascii="Arial"/>
                <w:sz w:val="21"/>
              </w:rPr>
            </w:pPr>
          </w:p>
        </w:tc>
        <w:tc>
          <w:tcPr>
            <w:tcW w:w="329" w:type="dxa"/>
            <w:vMerge w:val="restart"/>
            <w:tcBorders>
              <w:bottom w:val="nil"/>
            </w:tcBorders>
            <w:vAlign w:val="top"/>
          </w:tcPr>
          <w:p w14:paraId="300B49B1">
            <w:pPr>
              <w:pStyle w:val="6"/>
              <w:spacing w:before="123" w:line="222" w:lineRule="auto"/>
              <w:ind w:left="102"/>
            </w:pPr>
            <w:r>
              <w:t>3</w:t>
            </w:r>
          </w:p>
          <w:p w14:paraId="0D05CFA3">
            <w:pPr>
              <w:spacing w:line="219" w:lineRule="auto"/>
              <w:ind w:left="49"/>
              <w:rPr>
                <w:rFonts w:ascii="宋体" w:hAnsi="宋体" w:eastAsia="宋体" w:cs="宋体"/>
                <w:sz w:val="21"/>
                <w:szCs w:val="21"/>
              </w:rPr>
            </w:pPr>
            <w:r>
              <w:rPr>
                <w:rFonts w:ascii="宋体" w:hAnsi="宋体" w:eastAsia="宋体" w:cs="宋体"/>
                <w:sz w:val="21"/>
                <w:szCs w:val="21"/>
              </w:rPr>
              <w:t>季</w:t>
            </w:r>
          </w:p>
          <w:p w14:paraId="1A5DF1D2">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7465C6F3">
            <w:pPr>
              <w:pStyle w:val="6"/>
              <w:spacing w:before="82" w:line="207" w:lineRule="auto"/>
              <w:ind w:left="151"/>
            </w:pPr>
            <w:r>
              <w:rPr>
                <w:spacing w:val="-1"/>
              </w:rPr>
              <w:t>2020/8/20</w:t>
            </w:r>
          </w:p>
        </w:tc>
        <w:tc>
          <w:tcPr>
            <w:tcW w:w="706" w:type="dxa"/>
            <w:vAlign w:val="top"/>
          </w:tcPr>
          <w:p w14:paraId="02793580">
            <w:pPr>
              <w:pStyle w:val="6"/>
              <w:spacing w:before="82" w:line="207" w:lineRule="auto"/>
              <w:ind w:left="162"/>
            </w:pPr>
            <w:r>
              <w:rPr>
                <w:spacing w:val="-2"/>
              </w:rPr>
              <w:t>0.31</w:t>
            </w:r>
          </w:p>
        </w:tc>
        <w:tc>
          <w:tcPr>
            <w:tcW w:w="707" w:type="dxa"/>
            <w:vAlign w:val="top"/>
          </w:tcPr>
          <w:p w14:paraId="69D5AEE9">
            <w:pPr>
              <w:pStyle w:val="6"/>
              <w:spacing w:before="87" w:line="202" w:lineRule="auto"/>
              <w:ind w:left="164"/>
            </w:pPr>
            <w:r>
              <w:rPr>
                <w:b/>
                <w:bCs/>
                <w:spacing w:val="-2"/>
              </w:rPr>
              <w:t>5.14</w:t>
            </w:r>
          </w:p>
        </w:tc>
        <w:tc>
          <w:tcPr>
            <w:tcW w:w="989" w:type="dxa"/>
            <w:vAlign w:val="top"/>
          </w:tcPr>
          <w:p w14:paraId="0762343C">
            <w:pPr>
              <w:pStyle w:val="6"/>
              <w:spacing w:before="82" w:line="207" w:lineRule="auto"/>
              <w:ind w:left="308"/>
            </w:pPr>
            <w:r>
              <w:rPr>
                <w:spacing w:val="-2"/>
              </w:rPr>
              <w:t>0.62</w:t>
            </w:r>
          </w:p>
        </w:tc>
        <w:tc>
          <w:tcPr>
            <w:tcW w:w="706" w:type="dxa"/>
            <w:vAlign w:val="top"/>
          </w:tcPr>
          <w:p w14:paraId="6EF8F5CA">
            <w:pPr>
              <w:pStyle w:val="6"/>
              <w:spacing w:before="82" w:line="207" w:lineRule="auto"/>
              <w:ind w:left="168"/>
            </w:pPr>
            <w:r>
              <w:rPr>
                <w:spacing w:val="-2"/>
              </w:rPr>
              <w:t>0.30</w:t>
            </w:r>
          </w:p>
        </w:tc>
        <w:tc>
          <w:tcPr>
            <w:tcW w:w="991" w:type="dxa"/>
            <w:vAlign w:val="top"/>
          </w:tcPr>
          <w:p w14:paraId="28FE268A">
            <w:pPr>
              <w:pStyle w:val="6"/>
              <w:spacing w:before="82" w:line="207" w:lineRule="auto"/>
              <w:ind w:left="313"/>
            </w:pPr>
            <w:r>
              <w:rPr>
                <w:spacing w:val="-2"/>
              </w:rPr>
              <w:t>0.30</w:t>
            </w:r>
          </w:p>
        </w:tc>
        <w:tc>
          <w:tcPr>
            <w:tcW w:w="990" w:type="dxa"/>
            <w:vAlign w:val="top"/>
          </w:tcPr>
          <w:p w14:paraId="37BFF735">
            <w:pPr>
              <w:pStyle w:val="6"/>
              <w:spacing w:before="82" w:line="207" w:lineRule="auto"/>
              <w:ind w:left="315"/>
            </w:pPr>
            <w:r>
              <w:rPr>
                <w:spacing w:val="-2"/>
              </w:rPr>
              <w:t>0.20</w:t>
            </w:r>
          </w:p>
        </w:tc>
        <w:tc>
          <w:tcPr>
            <w:tcW w:w="848" w:type="dxa"/>
            <w:vAlign w:val="top"/>
          </w:tcPr>
          <w:p w14:paraId="3628340A">
            <w:pPr>
              <w:pStyle w:val="6"/>
              <w:spacing w:before="82" w:line="207" w:lineRule="auto"/>
              <w:ind w:left="245"/>
            </w:pPr>
            <w:r>
              <w:rPr>
                <w:spacing w:val="-2"/>
              </w:rPr>
              <w:t>0.20</w:t>
            </w:r>
          </w:p>
        </w:tc>
        <w:tc>
          <w:tcPr>
            <w:tcW w:w="706" w:type="dxa"/>
            <w:vAlign w:val="top"/>
          </w:tcPr>
          <w:p w14:paraId="1F702A26">
            <w:pPr>
              <w:pStyle w:val="6"/>
              <w:spacing w:before="82" w:line="207" w:lineRule="auto"/>
              <w:ind w:left="176"/>
            </w:pPr>
            <w:r>
              <w:rPr>
                <w:spacing w:val="-2"/>
              </w:rPr>
              <w:t>0.20</w:t>
            </w:r>
          </w:p>
        </w:tc>
        <w:tc>
          <w:tcPr>
            <w:tcW w:w="1840" w:type="dxa"/>
            <w:vAlign w:val="top"/>
          </w:tcPr>
          <w:p w14:paraId="629D10C0">
            <w:pPr>
              <w:pStyle w:val="6"/>
              <w:spacing w:before="173" w:line="100" w:lineRule="exact"/>
              <w:ind w:left="862"/>
            </w:pPr>
            <w:r>
              <w:rPr>
                <w:spacing w:val="-3"/>
                <w:position w:val="-6"/>
              </w:rPr>
              <w:t>--</w:t>
            </w:r>
          </w:p>
        </w:tc>
        <w:tc>
          <w:tcPr>
            <w:tcW w:w="1950" w:type="dxa"/>
            <w:tcBorders>
              <w:right w:val="single" w:color="000000" w:sz="12" w:space="0"/>
            </w:tcBorders>
            <w:vAlign w:val="top"/>
          </w:tcPr>
          <w:p w14:paraId="733108C6">
            <w:pPr>
              <w:pStyle w:val="6"/>
              <w:spacing w:before="82" w:line="207" w:lineRule="auto"/>
              <w:ind w:left="799"/>
            </w:pPr>
            <w:r>
              <w:rPr>
                <w:spacing w:val="-2"/>
              </w:rPr>
              <w:t>0.07</w:t>
            </w:r>
          </w:p>
        </w:tc>
      </w:tr>
      <w:tr w14:paraId="5832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24553B6">
            <w:pPr>
              <w:rPr>
                <w:rFonts w:ascii="Arial"/>
                <w:sz w:val="21"/>
              </w:rPr>
            </w:pPr>
          </w:p>
        </w:tc>
        <w:tc>
          <w:tcPr>
            <w:tcW w:w="329" w:type="dxa"/>
            <w:vMerge w:val="continue"/>
            <w:tcBorders>
              <w:top w:val="nil"/>
              <w:bottom w:val="nil"/>
            </w:tcBorders>
            <w:vAlign w:val="top"/>
          </w:tcPr>
          <w:p w14:paraId="7A3057CF">
            <w:pPr>
              <w:rPr>
                <w:rFonts w:ascii="Arial"/>
                <w:sz w:val="21"/>
              </w:rPr>
            </w:pPr>
          </w:p>
        </w:tc>
        <w:tc>
          <w:tcPr>
            <w:tcW w:w="1179" w:type="dxa"/>
            <w:vAlign w:val="top"/>
          </w:tcPr>
          <w:p w14:paraId="3C28758C">
            <w:pPr>
              <w:pStyle w:val="6"/>
              <w:spacing w:before="85" w:line="204" w:lineRule="auto"/>
              <w:ind w:left="151"/>
            </w:pPr>
            <w:r>
              <w:rPr>
                <w:spacing w:val="-1"/>
              </w:rPr>
              <w:t>2020/8/21</w:t>
            </w:r>
          </w:p>
        </w:tc>
        <w:tc>
          <w:tcPr>
            <w:tcW w:w="706" w:type="dxa"/>
            <w:vAlign w:val="top"/>
          </w:tcPr>
          <w:p w14:paraId="0F87FED5">
            <w:pPr>
              <w:pStyle w:val="6"/>
              <w:spacing w:before="85" w:line="204" w:lineRule="auto"/>
              <w:ind w:left="162"/>
            </w:pPr>
            <w:r>
              <w:rPr>
                <w:spacing w:val="-2"/>
              </w:rPr>
              <w:t>0.33</w:t>
            </w:r>
          </w:p>
        </w:tc>
        <w:tc>
          <w:tcPr>
            <w:tcW w:w="707" w:type="dxa"/>
            <w:vAlign w:val="top"/>
          </w:tcPr>
          <w:p w14:paraId="3C90DBF7">
            <w:pPr>
              <w:pStyle w:val="6"/>
              <w:spacing w:before="89" w:line="200" w:lineRule="auto"/>
              <w:ind w:left="162"/>
            </w:pPr>
            <w:r>
              <w:rPr>
                <w:b/>
                <w:bCs/>
                <w:spacing w:val="-2"/>
              </w:rPr>
              <w:t>4.78</w:t>
            </w:r>
          </w:p>
        </w:tc>
        <w:tc>
          <w:tcPr>
            <w:tcW w:w="989" w:type="dxa"/>
            <w:vAlign w:val="top"/>
          </w:tcPr>
          <w:p w14:paraId="69148BCB">
            <w:pPr>
              <w:pStyle w:val="6"/>
              <w:spacing w:before="85" w:line="204" w:lineRule="auto"/>
              <w:ind w:left="308"/>
            </w:pPr>
            <w:r>
              <w:rPr>
                <w:spacing w:val="-2"/>
              </w:rPr>
              <w:t>0.58</w:t>
            </w:r>
          </w:p>
        </w:tc>
        <w:tc>
          <w:tcPr>
            <w:tcW w:w="706" w:type="dxa"/>
            <w:vAlign w:val="top"/>
          </w:tcPr>
          <w:p w14:paraId="534428EB">
            <w:pPr>
              <w:pStyle w:val="6"/>
              <w:spacing w:before="85" w:line="204" w:lineRule="auto"/>
              <w:ind w:left="168"/>
            </w:pPr>
            <w:r>
              <w:rPr>
                <w:spacing w:val="-2"/>
              </w:rPr>
              <w:t>0.40</w:t>
            </w:r>
          </w:p>
        </w:tc>
        <w:tc>
          <w:tcPr>
            <w:tcW w:w="991" w:type="dxa"/>
            <w:vAlign w:val="top"/>
          </w:tcPr>
          <w:p w14:paraId="4CAFFAAF">
            <w:pPr>
              <w:pStyle w:val="6"/>
              <w:spacing w:before="85" w:line="204" w:lineRule="auto"/>
              <w:ind w:left="313"/>
            </w:pPr>
            <w:r>
              <w:rPr>
                <w:spacing w:val="-2"/>
              </w:rPr>
              <w:t>0.40</w:t>
            </w:r>
          </w:p>
        </w:tc>
        <w:tc>
          <w:tcPr>
            <w:tcW w:w="990" w:type="dxa"/>
            <w:vAlign w:val="top"/>
          </w:tcPr>
          <w:p w14:paraId="63638C77">
            <w:pPr>
              <w:pStyle w:val="6"/>
              <w:spacing w:before="85" w:line="204" w:lineRule="auto"/>
              <w:ind w:left="315"/>
            </w:pPr>
            <w:r>
              <w:rPr>
                <w:spacing w:val="-2"/>
              </w:rPr>
              <w:t>0.21</w:t>
            </w:r>
          </w:p>
        </w:tc>
        <w:tc>
          <w:tcPr>
            <w:tcW w:w="848" w:type="dxa"/>
            <w:vAlign w:val="top"/>
          </w:tcPr>
          <w:p w14:paraId="5B6AF54E">
            <w:pPr>
              <w:pStyle w:val="6"/>
              <w:spacing w:before="85" w:line="204" w:lineRule="auto"/>
              <w:ind w:left="245"/>
            </w:pPr>
            <w:r>
              <w:rPr>
                <w:spacing w:val="-2"/>
              </w:rPr>
              <w:t>0.25</w:t>
            </w:r>
          </w:p>
        </w:tc>
        <w:tc>
          <w:tcPr>
            <w:tcW w:w="706" w:type="dxa"/>
            <w:vAlign w:val="top"/>
          </w:tcPr>
          <w:p w14:paraId="3EF34201">
            <w:pPr>
              <w:pStyle w:val="6"/>
              <w:spacing w:before="85" w:line="204" w:lineRule="auto"/>
              <w:ind w:left="176"/>
            </w:pPr>
            <w:r>
              <w:rPr>
                <w:spacing w:val="-2"/>
              </w:rPr>
              <w:t>0.60</w:t>
            </w:r>
          </w:p>
        </w:tc>
        <w:tc>
          <w:tcPr>
            <w:tcW w:w="1840" w:type="dxa"/>
            <w:vAlign w:val="top"/>
          </w:tcPr>
          <w:p w14:paraId="71DFFD0F">
            <w:pPr>
              <w:pStyle w:val="6"/>
              <w:spacing w:before="175" w:line="101" w:lineRule="exact"/>
              <w:ind w:left="862"/>
            </w:pPr>
            <w:r>
              <w:rPr>
                <w:spacing w:val="-3"/>
                <w:position w:val="-6"/>
              </w:rPr>
              <w:t>--</w:t>
            </w:r>
          </w:p>
        </w:tc>
        <w:tc>
          <w:tcPr>
            <w:tcW w:w="1950" w:type="dxa"/>
            <w:tcBorders>
              <w:right w:val="single" w:color="000000" w:sz="12" w:space="0"/>
            </w:tcBorders>
            <w:vAlign w:val="top"/>
          </w:tcPr>
          <w:p w14:paraId="77BF1BDD">
            <w:pPr>
              <w:pStyle w:val="6"/>
              <w:spacing w:before="85" w:line="204" w:lineRule="auto"/>
              <w:ind w:left="799"/>
            </w:pPr>
            <w:r>
              <w:rPr>
                <w:spacing w:val="-2"/>
              </w:rPr>
              <w:t>0.07</w:t>
            </w:r>
          </w:p>
        </w:tc>
      </w:tr>
      <w:tr w14:paraId="4445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80A97EA">
            <w:pPr>
              <w:rPr>
                <w:rFonts w:ascii="Arial"/>
                <w:sz w:val="21"/>
              </w:rPr>
            </w:pPr>
          </w:p>
        </w:tc>
        <w:tc>
          <w:tcPr>
            <w:tcW w:w="329" w:type="dxa"/>
            <w:vMerge w:val="continue"/>
            <w:tcBorders>
              <w:top w:val="nil"/>
            </w:tcBorders>
            <w:vAlign w:val="top"/>
          </w:tcPr>
          <w:p w14:paraId="3C30C2B3">
            <w:pPr>
              <w:rPr>
                <w:rFonts w:ascii="Arial"/>
                <w:sz w:val="21"/>
              </w:rPr>
            </w:pPr>
          </w:p>
        </w:tc>
        <w:tc>
          <w:tcPr>
            <w:tcW w:w="1179" w:type="dxa"/>
            <w:vAlign w:val="top"/>
          </w:tcPr>
          <w:p w14:paraId="383BB2B6">
            <w:pPr>
              <w:pStyle w:val="6"/>
              <w:spacing w:before="86" w:line="204" w:lineRule="auto"/>
              <w:ind w:left="151"/>
            </w:pPr>
            <w:r>
              <w:rPr>
                <w:spacing w:val="-1"/>
              </w:rPr>
              <w:t>2020/8/22</w:t>
            </w:r>
          </w:p>
        </w:tc>
        <w:tc>
          <w:tcPr>
            <w:tcW w:w="706" w:type="dxa"/>
            <w:vAlign w:val="top"/>
          </w:tcPr>
          <w:p w14:paraId="1DC887C3">
            <w:pPr>
              <w:pStyle w:val="6"/>
              <w:spacing w:before="86" w:line="204" w:lineRule="auto"/>
              <w:ind w:left="162"/>
            </w:pPr>
            <w:r>
              <w:rPr>
                <w:spacing w:val="-2"/>
              </w:rPr>
              <w:t>0.31</w:t>
            </w:r>
          </w:p>
        </w:tc>
        <w:tc>
          <w:tcPr>
            <w:tcW w:w="707" w:type="dxa"/>
            <w:vAlign w:val="top"/>
          </w:tcPr>
          <w:p w14:paraId="47C05B45">
            <w:pPr>
              <w:pStyle w:val="6"/>
              <w:spacing w:before="90" w:line="200" w:lineRule="auto"/>
              <w:ind w:left="162"/>
            </w:pPr>
            <w:r>
              <w:rPr>
                <w:b/>
                <w:bCs/>
                <w:spacing w:val="-2"/>
              </w:rPr>
              <w:t>4.06</w:t>
            </w:r>
          </w:p>
        </w:tc>
        <w:tc>
          <w:tcPr>
            <w:tcW w:w="989" w:type="dxa"/>
            <w:vAlign w:val="top"/>
          </w:tcPr>
          <w:p w14:paraId="17C0D105">
            <w:pPr>
              <w:pStyle w:val="6"/>
              <w:spacing w:before="86" w:line="204" w:lineRule="auto"/>
              <w:ind w:left="308"/>
            </w:pPr>
            <w:r>
              <w:rPr>
                <w:spacing w:val="-2"/>
              </w:rPr>
              <w:t>0.55</w:t>
            </w:r>
          </w:p>
        </w:tc>
        <w:tc>
          <w:tcPr>
            <w:tcW w:w="706" w:type="dxa"/>
            <w:vAlign w:val="top"/>
          </w:tcPr>
          <w:p w14:paraId="1E7893B8">
            <w:pPr>
              <w:pStyle w:val="6"/>
              <w:spacing w:before="86" w:line="204" w:lineRule="auto"/>
              <w:ind w:left="168"/>
            </w:pPr>
            <w:r>
              <w:rPr>
                <w:spacing w:val="-2"/>
              </w:rPr>
              <w:t>0.25</w:t>
            </w:r>
          </w:p>
        </w:tc>
        <w:tc>
          <w:tcPr>
            <w:tcW w:w="991" w:type="dxa"/>
            <w:vAlign w:val="top"/>
          </w:tcPr>
          <w:p w14:paraId="4D5B8904">
            <w:pPr>
              <w:pStyle w:val="6"/>
              <w:spacing w:before="86" w:line="204" w:lineRule="auto"/>
              <w:ind w:left="313"/>
            </w:pPr>
            <w:r>
              <w:rPr>
                <w:spacing w:val="-2"/>
              </w:rPr>
              <w:t>0.25</w:t>
            </w:r>
          </w:p>
        </w:tc>
        <w:tc>
          <w:tcPr>
            <w:tcW w:w="990" w:type="dxa"/>
            <w:vAlign w:val="top"/>
          </w:tcPr>
          <w:p w14:paraId="7874662A">
            <w:pPr>
              <w:pStyle w:val="6"/>
              <w:spacing w:before="86" w:line="204" w:lineRule="auto"/>
              <w:ind w:left="315"/>
            </w:pPr>
            <w:r>
              <w:rPr>
                <w:spacing w:val="-2"/>
              </w:rPr>
              <w:t>0.20</w:t>
            </w:r>
          </w:p>
        </w:tc>
        <w:tc>
          <w:tcPr>
            <w:tcW w:w="848" w:type="dxa"/>
            <w:vAlign w:val="top"/>
          </w:tcPr>
          <w:p w14:paraId="10BF188B">
            <w:pPr>
              <w:pStyle w:val="6"/>
              <w:spacing w:before="86" w:line="204" w:lineRule="auto"/>
              <w:ind w:left="245"/>
            </w:pPr>
            <w:r>
              <w:rPr>
                <w:spacing w:val="-2"/>
              </w:rPr>
              <w:t>0.20</w:t>
            </w:r>
          </w:p>
        </w:tc>
        <w:tc>
          <w:tcPr>
            <w:tcW w:w="706" w:type="dxa"/>
            <w:vAlign w:val="top"/>
          </w:tcPr>
          <w:p w14:paraId="755381F3">
            <w:pPr>
              <w:pStyle w:val="6"/>
              <w:spacing w:before="86" w:line="204" w:lineRule="auto"/>
              <w:ind w:left="176"/>
            </w:pPr>
            <w:r>
              <w:rPr>
                <w:spacing w:val="-2"/>
              </w:rPr>
              <w:t>0.40</w:t>
            </w:r>
          </w:p>
        </w:tc>
        <w:tc>
          <w:tcPr>
            <w:tcW w:w="1840" w:type="dxa"/>
            <w:vAlign w:val="top"/>
          </w:tcPr>
          <w:p w14:paraId="67AFDBB9">
            <w:pPr>
              <w:pStyle w:val="6"/>
              <w:spacing w:before="177" w:line="100" w:lineRule="exact"/>
              <w:ind w:left="862"/>
            </w:pPr>
            <w:r>
              <w:rPr>
                <w:spacing w:val="-3"/>
                <w:position w:val="-6"/>
              </w:rPr>
              <w:t>--</w:t>
            </w:r>
          </w:p>
        </w:tc>
        <w:tc>
          <w:tcPr>
            <w:tcW w:w="1950" w:type="dxa"/>
            <w:tcBorders>
              <w:right w:val="single" w:color="000000" w:sz="12" w:space="0"/>
            </w:tcBorders>
            <w:vAlign w:val="top"/>
          </w:tcPr>
          <w:p w14:paraId="351588C7">
            <w:pPr>
              <w:pStyle w:val="6"/>
              <w:spacing w:before="86" w:line="204" w:lineRule="auto"/>
              <w:ind w:left="799"/>
            </w:pPr>
            <w:r>
              <w:rPr>
                <w:spacing w:val="-2"/>
              </w:rPr>
              <w:t>0.07</w:t>
            </w:r>
          </w:p>
        </w:tc>
      </w:tr>
      <w:tr w14:paraId="57081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C51973C">
            <w:pPr>
              <w:rPr>
                <w:rFonts w:ascii="Arial"/>
                <w:sz w:val="21"/>
              </w:rPr>
            </w:pPr>
          </w:p>
        </w:tc>
        <w:tc>
          <w:tcPr>
            <w:tcW w:w="329" w:type="dxa"/>
            <w:vMerge w:val="restart"/>
            <w:tcBorders>
              <w:bottom w:val="nil"/>
            </w:tcBorders>
            <w:vAlign w:val="top"/>
          </w:tcPr>
          <w:p w14:paraId="7BB4AF9B">
            <w:pPr>
              <w:pStyle w:val="6"/>
              <w:spacing w:before="127" w:line="222" w:lineRule="auto"/>
              <w:ind w:left="96"/>
            </w:pPr>
            <w:r>
              <w:t>4</w:t>
            </w:r>
          </w:p>
          <w:p w14:paraId="4BC36619">
            <w:pPr>
              <w:spacing w:line="219" w:lineRule="auto"/>
              <w:ind w:left="49"/>
              <w:rPr>
                <w:rFonts w:ascii="宋体" w:hAnsi="宋体" w:eastAsia="宋体" w:cs="宋体"/>
                <w:sz w:val="21"/>
                <w:szCs w:val="21"/>
              </w:rPr>
            </w:pPr>
            <w:r>
              <w:rPr>
                <w:rFonts w:ascii="宋体" w:hAnsi="宋体" w:eastAsia="宋体" w:cs="宋体"/>
                <w:sz w:val="21"/>
                <w:szCs w:val="21"/>
              </w:rPr>
              <w:t>季</w:t>
            </w:r>
          </w:p>
          <w:p w14:paraId="56DA09B2">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41ABC1D3">
            <w:pPr>
              <w:pStyle w:val="6"/>
              <w:spacing w:before="87" w:line="202" w:lineRule="auto"/>
              <w:ind w:left="98"/>
            </w:pPr>
            <w:r>
              <w:rPr>
                <w:spacing w:val="-1"/>
              </w:rPr>
              <w:t>2020/11/15</w:t>
            </w:r>
          </w:p>
        </w:tc>
        <w:tc>
          <w:tcPr>
            <w:tcW w:w="706" w:type="dxa"/>
            <w:vAlign w:val="top"/>
          </w:tcPr>
          <w:p w14:paraId="7EECF37B">
            <w:pPr>
              <w:pStyle w:val="6"/>
              <w:spacing w:before="87" w:line="202" w:lineRule="auto"/>
              <w:ind w:left="162"/>
            </w:pPr>
            <w:r>
              <w:rPr>
                <w:spacing w:val="-2"/>
              </w:rPr>
              <w:t>0.28</w:t>
            </w:r>
          </w:p>
        </w:tc>
        <w:tc>
          <w:tcPr>
            <w:tcW w:w="707" w:type="dxa"/>
            <w:vAlign w:val="top"/>
          </w:tcPr>
          <w:p w14:paraId="39CB6604">
            <w:pPr>
              <w:pStyle w:val="6"/>
              <w:spacing w:before="92" w:line="197" w:lineRule="auto"/>
              <w:ind w:left="162"/>
            </w:pPr>
            <w:r>
              <w:rPr>
                <w:b/>
                <w:bCs/>
                <w:spacing w:val="-2"/>
              </w:rPr>
              <w:t>4.42</w:t>
            </w:r>
          </w:p>
        </w:tc>
        <w:tc>
          <w:tcPr>
            <w:tcW w:w="989" w:type="dxa"/>
            <w:vAlign w:val="top"/>
          </w:tcPr>
          <w:p w14:paraId="2306FD88">
            <w:pPr>
              <w:pStyle w:val="6"/>
              <w:spacing w:before="87" w:line="202" w:lineRule="auto"/>
              <w:ind w:left="308"/>
            </w:pPr>
            <w:r>
              <w:rPr>
                <w:spacing w:val="-2"/>
              </w:rPr>
              <w:t>0.33</w:t>
            </w:r>
          </w:p>
        </w:tc>
        <w:tc>
          <w:tcPr>
            <w:tcW w:w="706" w:type="dxa"/>
            <w:vAlign w:val="top"/>
          </w:tcPr>
          <w:p w14:paraId="07DA1A59">
            <w:pPr>
              <w:pStyle w:val="6"/>
              <w:spacing w:before="87" w:line="202" w:lineRule="auto"/>
              <w:ind w:left="168"/>
            </w:pPr>
            <w:r>
              <w:rPr>
                <w:spacing w:val="-2"/>
              </w:rPr>
              <w:t>0.25</w:t>
            </w:r>
          </w:p>
        </w:tc>
        <w:tc>
          <w:tcPr>
            <w:tcW w:w="991" w:type="dxa"/>
            <w:vAlign w:val="top"/>
          </w:tcPr>
          <w:p w14:paraId="10933DCC">
            <w:pPr>
              <w:pStyle w:val="6"/>
              <w:spacing w:before="87" w:line="202" w:lineRule="auto"/>
              <w:ind w:left="313"/>
            </w:pPr>
            <w:r>
              <w:rPr>
                <w:spacing w:val="-2"/>
              </w:rPr>
              <w:t>0.28</w:t>
            </w:r>
          </w:p>
        </w:tc>
        <w:tc>
          <w:tcPr>
            <w:tcW w:w="990" w:type="dxa"/>
            <w:vAlign w:val="top"/>
          </w:tcPr>
          <w:p w14:paraId="0C71252A">
            <w:pPr>
              <w:pStyle w:val="6"/>
              <w:spacing w:before="87" w:line="202" w:lineRule="auto"/>
              <w:ind w:left="315"/>
            </w:pPr>
            <w:r>
              <w:rPr>
                <w:spacing w:val="-2"/>
              </w:rPr>
              <w:t>0.07</w:t>
            </w:r>
          </w:p>
        </w:tc>
        <w:tc>
          <w:tcPr>
            <w:tcW w:w="848" w:type="dxa"/>
            <w:vAlign w:val="top"/>
          </w:tcPr>
          <w:p w14:paraId="43A79B49">
            <w:pPr>
              <w:pStyle w:val="6"/>
              <w:spacing w:before="87" w:line="202" w:lineRule="auto"/>
              <w:ind w:left="245"/>
            </w:pPr>
            <w:r>
              <w:rPr>
                <w:spacing w:val="-2"/>
              </w:rPr>
              <w:t>0.10</w:t>
            </w:r>
          </w:p>
        </w:tc>
        <w:tc>
          <w:tcPr>
            <w:tcW w:w="706" w:type="dxa"/>
            <w:vAlign w:val="top"/>
          </w:tcPr>
          <w:p w14:paraId="2DA4FC72">
            <w:pPr>
              <w:pStyle w:val="6"/>
              <w:spacing w:before="178" w:line="100" w:lineRule="exact"/>
              <w:ind w:left="291"/>
            </w:pPr>
            <w:r>
              <w:rPr>
                <w:spacing w:val="-3"/>
                <w:position w:val="-6"/>
              </w:rPr>
              <w:t>--</w:t>
            </w:r>
          </w:p>
        </w:tc>
        <w:tc>
          <w:tcPr>
            <w:tcW w:w="1840" w:type="dxa"/>
            <w:vAlign w:val="top"/>
          </w:tcPr>
          <w:p w14:paraId="06417B51">
            <w:pPr>
              <w:pStyle w:val="6"/>
              <w:spacing w:before="178" w:line="100" w:lineRule="exact"/>
              <w:ind w:left="862"/>
            </w:pPr>
            <w:r>
              <w:rPr>
                <w:spacing w:val="-3"/>
                <w:position w:val="-6"/>
              </w:rPr>
              <w:t>--</w:t>
            </w:r>
          </w:p>
        </w:tc>
        <w:tc>
          <w:tcPr>
            <w:tcW w:w="1950" w:type="dxa"/>
            <w:tcBorders>
              <w:right w:val="single" w:color="000000" w:sz="12" w:space="0"/>
            </w:tcBorders>
            <w:vAlign w:val="top"/>
          </w:tcPr>
          <w:p w14:paraId="22A2056A">
            <w:pPr>
              <w:pStyle w:val="6"/>
              <w:spacing w:before="87" w:line="202" w:lineRule="auto"/>
              <w:ind w:left="799"/>
            </w:pPr>
            <w:r>
              <w:rPr>
                <w:spacing w:val="-2"/>
              </w:rPr>
              <w:t>0.03</w:t>
            </w:r>
          </w:p>
        </w:tc>
      </w:tr>
      <w:tr w14:paraId="3E5BF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54CEB739">
            <w:pPr>
              <w:rPr>
                <w:rFonts w:ascii="Arial"/>
                <w:sz w:val="21"/>
              </w:rPr>
            </w:pPr>
          </w:p>
        </w:tc>
        <w:tc>
          <w:tcPr>
            <w:tcW w:w="329" w:type="dxa"/>
            <w:vMerge w:val="continue"/>
            <w:tcBorders>
              <w:top w:val="nil"/>
              <w:bottom w:val="nil"/>
            </w:tcBorders>
            <w:vAlign w:val="top"/>
          </w:tcPr>
          <w:p w14:paraId="026DC9F4">
            <w:pPr>
              <w:rPr>
                <w:rFonts w:ascii="Arial"/>
                <w:sz w:val="21"/>
              </w:rPr>
            </w:pPr>
          </w:p>
        </w:tc>
        <w:tc>
          <w:tcPr>
            <w:tcW w:w="1179" w:type="dxa"/>
            <w:vAlign w:val="top"/>
          </w:tcPr>
          <w:p w14:paraId="1FDA84F7">
            <w:pPr>
              <w:pStyle w:val="6"/>
              <w:spacing w:before="88" w:line="202" w:lineRule="auto"/>
              <w:ind w:left="98"/>
            </w:pPr>
            <w:r>
              <w:rPr>
                <w:spacing w:val="-1"/>
              </w:rPr>
              <w:t>2020/11/16</w:t>
            </w:r>
          </w:p>
        </w:tc>
        <w:tc>
          <w:tcPr>
            <w:tcW w:w="706" w:type="dxa"/>
            <w:vAlign w:val="top"/>
          </w:tcPr>
          <w:p w14:paraId="6613CE90">
            <w:pPr>
              <w:pStyle w:val="6"/>
              <w:spacing w:before="88" w:line="202" w:lineRule="auto"/>
              <w:ind w:left="162"/>
            </w:pPr>
            <w:r>
              <w:rPr>
                <w:spacing w:val="-2"/>
              </w:rPr>
              <w:t>0.26</w:t>
            </w:r>
          </w:p>
        </w:tc>
        <w:tc>
          <w:tcPr>
            <w:tcW w:w="707" w:type="dxa"/>
            <w:vAlign w:val="top"/>
          </w:tcPr>
          <w:p w14:paraId="5C7C275D">
            <w:pPr>
              <w:pStyle w:val="6"/>
              <w:spacing w:before="93" w:line="197" w:lineRule="auto"/>
              <w:ind w:left="162"/>
            </w:pPr>
            <w:r>
              <w:rPr>
                <w:b/>
                <w:bCs/>
                <w:spacing w:val="-2"/>
              </w:rPr>
              <w:t>4.96</w:t>
            </w:r>
          </w:p>
        </w:tc>
        <w:tc>
          <w:tcPr>
            <w:tcW w:w="989" w:type="dxa"/>
            <w:vAlign w:val="top"/>
          </w:tcPr>
          <w:p w14:paraId="57C6A1E6">
            <w:pPr>
              <w:pStyle w:val="6"/>
              <w:spacing w:before="88" w:line="202" w:lineRule="auto"/>
              <w:ind w:left="308"/>
            </w:pPr>
            <w:r>
              <w:rPr>
                <w:spacing w:val="-2"/>
              </w:rPr>
              <w:t>0.30</w:t>
            </w:r>
          </w:p>
        </w:tc>
        <w:tc>
          <w:tcPr>
            <w:tcW w:w="706" w:type="dxa"/>
            <w:vAlign w:val="top"/>
          </w:tcPr>
          <w:p w14:paraId="440A1367">
            <w:pPr>
              <w:pStyle w:val="6"/>
              <w:spacing w:before="88" w:line="202" w:lineRule="auto"/>
              <w:ind w:left="168"/>
            </w:pPr>
            <w:r>
              <w:rPr>
                <w:spacing w:val="-2"/>
              </w:rPr>
              <w:t>0.30</w:t>
            </w:r>
          </w:p>
        </w:tc>
        <w:tc>
          <w:tcPr>
            <w:tcW w:w="991" w:type="dxa"/>
            <w:vAlign w:val="top"/>
          </w:tcPr>
          <w:p w14:paraId="3D43E0F2">
            <w:pPr>
              <w:pStyle w:val="6"/>
              <w:spacing w:before="88" w:line="202" w:lineRule="auto"/>
              <w:ind w:left="313"/>
            </w:pPr>
            <w:r>
              <w:rPr>
                <w:spacing w:val="-2"/>
              </w:rPr>
              <w:t>0.30</w:t>
            </w:r>
          </w:p>
        </w:tc>
        <w:tc>
          <w:tcPr>
            <w:tcW w:w="990" w:type="dxa"/>
            <w:vAlign w:val="top"/>
          </w:tcPr>
          <w:p w14:paraId="2CB287A0">
            <w:pPr>
              <w:pStyle w:val="6"/>
              <w:spacing w:before="88" w:line="202" w:lineRule="auto"/>
              <w:ind w:left="315"/>
            </w:pPr>
            <w:r>
              <w:rPr>
                <w:spacing w:val="-2"/>
              </w:rPr>
              <w:t>0.06</w:t>
            </w:r>
          </w:p>
        </w:tc>
        <w:tc>
          <w:tcPr>
            <w:tcW w:w="848" w:type="dxa"/>
            <w:vAlign w:val="top"/>
          </w:tcPr>
          <w:p w14:paraId="0A4BC9EF">
            <w:pPr>
              <w:pStyle w:val="6"/>
              <w:spacing w:before="88" w:line="202" w:lineRule="auto"/>
              <w:ind w:left="245"/>
            </w:pPr>
            <w:r>
              <w:rPr>
                <w:spacing w:val="-2"/>
              </w:rPr>
              <w:t>0.10</w:t>
            </w:r>
          </w:p>
        </w:tc>
        <w:tc>
          <w:tcPr>
            <w:tcW w:w="706" w:type="dxa"/>
            <w:vAlign w:val="top"/>
          </w:tcPr>
          <w:p w14:paraId="6102E178">
            <w:pPr>
              <w:pStyle w:val="6"/>
              <w:spacing w:before="179" w:line="100" w:lineRule="exact"/>
              <w:ind w:left="291"/>
            </w:pPr>
            <w:r>
              <w:rPr>
                <w:spacing w:val="-3"/>
                <w:position w:val="-6"/>
              </w:rPr>
              <w:t>--</w:t>
            </w:r>
          </w:p>
        </w:tc>
        <w:tc>
          <w:tcPr>
            <w:tcW w:w="1840" w:type="dxa"/>
            <w:vAlign w:val="top"/>
          </w:tcPr>
          <w:p w14:paraId="725175CE">
            <w:pPr>
              <w:pStyle w:val="6"/>
              <w:spacing w:before="179" w:line="100" w:lineRule="exact"/>
              <w:ind w:left="862"/>
            </w:pPr>
            <w:r>
              <w:rPr>
                <w:spacing w:val="-3"/>
                <w:position w:val="-6"/>
              </w:rPr>
              <w:t>--</w:t>
            </w:r>
          </w:p>
        </w:tc>
        <w:tc>
          <w:tcPr>
            <w:tcW w:w="1950" w:type="dxa"/>
            <w:tcBorders>
              <w:right w:val="single" w:color="000000" w:sz="12" w:space="0"/>
            </w:tcBorders>
            <w:vAlign w:val="top"/>
          </w:tcPr>
          <w:p w14:paraId="659E096E">
            <w:pPr>
              <w:pStyle w:val="6"/>
              <w:spacing w:before="88" w:line="202" w:lineRule="auto"/>
              <w:ind w:left="799"/>
            </w:pPr>
            <w:r>
              <w:rPr>
                <w:spacing w:val="-2"/>
              </w:rPr>
              <w:t>0.03</w:t>
            </w:r>
          </w:p>
        </w:tc>
      </w:tr>
      <w:tr w14:paraId="6297D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tcBorders>
            <w:vAlign w:val="top"/>
          </w:tcPr>
          <w:p w14:paraId="21BD90BE">
            <w:pPr>
              <w:rPr>
                <w:rFonts w:ascii="Arial"/>
                <w:sz w:val="21"/>
              </w:rPr>
            </w:pPr>
          </w:p>
        </w:tc>
        <w:tc>
          <w:tcPr>
            <w:tcW w:w="329" w:type="dxa"/>
            <w:vMerge w:val="continue"/>
            <w:tcBorders>
              <w:top w:val="nil"/>
            </w:tcBorders>
            <w:vAlign w:val="top"/>
          </w:tcPr>
          <w:p w14:paraId="65F99D71">
            <w:pPr>
              <w:rPr>
                <w:rFonts w:ascii="Arial"/>
                <w:sz w:val="21"/>
              </w:rPr>
            </w:pPr>
          </w:p>
        </w:tc>
        <w:tc>
          <w:tcPr>
            <w:tcW w:w="1179" w:type="dxa"/>
            <w:vAlign w:val="top"/>
          </w:tcPr>
          <w:p w14:paraId="758E367C">
            <w:pPr>
              <w:pStyle w:val="6"/>
              <w:spacing w:before="88" w:line="201" w:lineRule="auto"/>
              <w:ind w:left="98"/>
            </w:pPr>
            <w:r>
              <w:rPr>
                <w:spacing w:val="-1"/>
              </w:rPr>
              <w:t>2020/11/17</w:t>
            </w:r>
          </w:p>
        </w:tc>
        <w:tc>
          <w:tcPr>
            <w:tcW w:w="706" w:type="dxa"/>
            <w:vAlign w:val="top"/>
          </w:tcPr>
          <w:p w14:paraId="0991F8B8">
            <w:pPr>
              <w:pStyle w:val="6"/>
              <w:spacing w:before="88" w:line="201" w:lineRule="auto"/>
              <w:ind w:left="162"/>
            </w:pPr>
            <w:r>
              <w:rPr>
                <w:spacing w:val="-2"/>
              </w:rPr>
              <w:t>0.23</w:t>
            </w:r>
          </w:p>
        </w:tc>
        <w:tc>
          <w:tcPr>
            <w:tcW w:w="707" w:type="dxa"/>
            <w:vAlign w:val="top"/>
          </w:tcPr>
          <w:p w14:paraId="53012396">
            <w:pPr>
              <w:pStyle w:val="6"/>
              <w:spacing w:before="93" w:line="196" w:lineRule="auto"/>
              <w:ind w:left="160"/>
            </w:pPr>
            <w:r>
              <w:rPr>
                <w:b/>
                <w:bCs/>
                <w:spacing w:val="-1"/>
              </w:rPr>
              <w:t>3.88</w:t>
            </w:r>
          </w:p>
        </w:tc>
        <w:tc>
          <w:tcPr>
            <w:tcW w:w="989" w:type="dxa"/>
            <w:vAlign w:val="top"/>
          </w:tcPr>
          <w:p w14:paraId="3974A385">
            <w:pPr>
              <w:pStyle w:val="6"/>
              <w:spacing w:before="88" w:line="201" w:lineRule="auto"/>
              <w:ind w:left="308"/>
            </w:pPr>
            <w:r>
              <w:rPr>
                <w:spacing w:val="-2"/>
              </w:rPr>
              <w:t>0.35</w:t>
            </w:r>
          </w:p>
        </w:tc>
        <w:tc>
          <w:tcPr>
            <w:tcW w:w="706" w:type="dxa"/>
            <w:vAlign w:val="top"/>
          </w:tcPr>
          <w:p w14:paraId="4B947C63">
            <w:pPr>
              <w:pStyle w:val="6"/>
              <w:spacing w:before="88" w:line="201" w:lineRule="auto"/>
              <w:ind w:left="168"/>
            </w:pPr>
            <w:r>
              <w:rPr>
                <w:spacing w:val="-2"/>
              </w:rPr>
              <w:t>0.20</w:t>
            </w:r>
          </w:p>
        </w:tc>
        <w:tc>
          <w:tcPr>
            <w:tcW w:w="991" w:type="dxa"/>
            <w:vAlign w:val="top"/>
          </w:tcPr>
          <w:p w14:paraId="6F0AF252">
            <w:pPr>
              <w:pStyle w:val="6"/>
              <w:spacing w:before="88" w:line="201" w:lineRule="auto"/>
              <w:ind w:left="313"/>
            </w:pPr>
            <w:r>
              <w:rPr>
                <w:spacing w:val="-2"/>
              </w:rPr>
              <w:t>0.20</w:t>
            </w:r>
          </w:p>
        </w:tc>
        <w:tc>
          <w:tcPr>
            <w:tcW w:w="990" w:type="dxa"/>
            <w:vAlign w:val="top"/>
          </w:tcPr>
          <w:p w14:paraId="407B0EAE">
            <w:pPr>
              <w:pStyle w:val="6"/>
              <w:spacing w:before="88" w:line="201" w:lineRule="auto"/>
              <w:ind w:left="315"/>
            </w:pPr>
            <w:r>
              <w:rPr>
                <w:spacing w:val="-2"/>
              </w:rPr>
              <w:t>0.07</w:t>
            </w:r>
          </w:p>
        </w:tc>
        <w:tc>
          <w:tcPr>
            <w:tcW w:w="848" w:type="dxa"/>
            <w:vAlign w:val="top"/>
          </w:tcPr>
          <w:p w14:paraId="20F5C663">
            <w:pPr>
              <w:pStyle w:val="6"/>
              <w:spacing w:before="88" w:line="201" w:lineRule="auto"/>
              <w:ind w:left="245"/>
            </w:pPr>
            <w:r>
              <w:rPr>
                <w:spacing w:val="-2"/>
              </w:rPr>
              <w:t>0.15</w:t>
            </w:r>
          </w:p>
        </w:tc>
        <w:tc>
          <w:tcPr>
            <w:tcW w:w="706" w:type="dxa"/>
            <w:vAlign w:val="top"/>
          </w:tcPr>
          <w:p w14:paraId="0A5EF35B">
            <w:pPr>
              <w:pStyle w:val="6"/>
              <w:spacing w:before="179" w:line="100" w:lineRule="exact"/>
              <w:ind w:left="291"/>
            </w:pPr>
            <w:r>
              <w:rPr>
                <w:spacing w:val="-3"/>
                <w:position w:val="-6"/>
              </w:rPr>
              <w:t>--</w:t>
            </w:r>
          </w:p>
        </w:tc>
        <w:tc>
          <w:tcPr>
            <w:tcW w:w="1840" w:type="dxa"/>
            <w:vAlign w:val="top"/>
          </w:tcPr>
          <w:p w14:paraId="14759FBB">
            <w:pPr>
              <w:pStyle w:val="6"/>
              <w:spacing w:before="179" w:line="100" w:lineRule="exact"/>
              <w:ind w:left="862"/>
            </w:pPr>
            <w:r>
              <w:rPr>
                <w:spacing w:val="-3"/>
                <w:position w:val="-6"/>
              </w:rPr>
              <w:t>--</w:t>
            </w:r>
          </w:p>
        </w:tc>
        <w:tc>
          <w:tcPr>
            <w:tcW w:w="1950" w:type="dxa"/>
            <w:tcBorders>
              <w:right w:val="single" w:color="000000" w:sz="12" w:space="0"/>
            </w:tcBorders>
            <w:vAlign w:val="top"/>
          </w:tcPr>
          <w:p w14:paraId="303AB1F6">
            <w:pPr>
              <w:pStyle w:val="6"/>
              <w:spacing w:before="88" w:line="201" w:lineRule="auto"/>
              <w:ind w:left="799"/>
            </w:pPr>
            <w:r>
              <w:rPr>
                <w:spacing w:val="-2"/>
              </w:rPr>
              <w:t>0.03</w:t>
            </w:r>
          </w:p>
        </w:tc>
      </w:tr>
      <w:tr w14:paraId="58898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447BCE62">
            <w:pPr>
              <w:spacing w:line="242" w:lineRule="auto"/>
              <w:rPr>
                <w:rFonts w:ascii="Arial"/>
                <w:sz w:val="21"/>
              </w:rPr>
            </w:pPr>
          </w:p>
          <w:p w14:paraId="5410C892">
            <w:pPr>
              <w:spacing w:line="242" w:lineRule="auto"/>
              <w:rPr>
                <w:rFonts w:ascii="Arial"/>
                <w:sz w:val="21"/>
              </w:rPr>
            </w:pPr>
          </w:p>
          <w:p w14:paraId="134D1663">
            <w:pPr>
              <w:spacing w:line="242" w:lineRule="auto"/>
              <w:rPr>
                <w:rFonts w:ascii="Arial"/>
                <w:sz w:val="21"/>
              </w:rPr>
            </w:pPr>
          </w:p>
          <w:p w14:paraId="78B94032">
            <w:pPr>
              <w:spacing w:line="242" w:lineRule="auto"/>
              <w:rPr>
                <w:rFonts w:ascii="Arial"/>
                <w:sz w:val="21"/>
              </w:rPr>
            </w:pPr>
          </w:p>
          <w:p w14:paraId="082BBBA6">
            <w:pPr>
              <w:spacing w:line="242" w:lineRule="auto"/>
              <w:rPr>
                <w:rFonts w:ascii="Arial"/>
                <w:sz w:val="21"/>
              </w:rPr>
            </w:pPr>
          </w:p>
          <w:p w14:paraId="745B2BBA">
            <w:pPr>
              <w:spacing w:line="243" w:lineRule="auto"/>
              <w:rPr>
                <w:rFonts w:ascii="Arial"/>
                <w:sz w:val="21"/>
              </w:rPr>
            </w:pPr>
          </w:p>
          <w:p w14:paraId="3393D8A6">
            <w:pPr>
              <w:spacing w:line="243" w:lineRule="auto"/>
              <w:rPr>
                <w:rFonts w:ascii="Arial"/>
                <w:sz w:val="21"/>
              </w:rPr>
            </w:pPr>
          </w:p>
          <w:p w14:paraId="487A8147">
            <w:pPr>
              <w:spacing w:before="68" w:line="220" w:lineRule="auto"/>
              <w:ind w:left="298"/>
              <w:rPr>
                <w:rFonts w:ascii="宋体" w:hAnsi="宋体" w:eastAsia="宋体" w:cs="宋体"/>
                <w:sz w:val="21"/>
                <w:szCs w:val="21"/>
              </w:rPr>
            </w:pPr>
            <w:r>
              <w:rPr>
                <w:rFonts w:ascii="宋体" w:hAnsi="宋体" w:eastAsia="宋体" w:cs="宋体"/>
                <w:spacing w:val="-2"/>
                <w:sz w:val="21"/>
                <w:szCs w:val="21"/>
              </w:rPr>
              <w:t>面店水库</w:t>
            </w:r>
          </w:p>
        </w:tc>
        <w:tc>
          <w:tcPr>
            <w:tcW w:w="329" w:type="dxa"/>
            <w:vMerge w:val="restart"/>
            <w:tcBorders>
              <w:bottom w:val="nil"/>
            </w:tcBorders>
            <w:vAlign w:val="top"/>
          </w:tcPr>
          <w:p w14:paraId="4882ECB2">
            <w:pPr>
              <w:pStyle w:val="6"/>
              <w:spacing w:before="130" w:line="223" w:lineRule="auto"/>
              <w:ind w:left="117"/>
            </w:pPr>
            <w:r>
              <w:t>1</w:t>
            </w:r>
          </w:p>
          <w:p w14:paraId="209195F0">
            <w:pPr>
              <w:spacing w:line="219" w:lineRule="auto"/>
              <w:ind w:left="49"/>
              <w:rPr>
                <w:rFonts w:ascii="宋体" w:hAnsi="宋体" w:eastAsia="宋体" w:cs="宋体"/>
                <w:sz w:val="21"/>
                <w:szCs w:val="21"/>
              </w:rPr>
            </w:pPr>
            <w:r>
              <w:rPr>
                <w:rFonts w:ascii="宋体" w:hAnsi="宋体" w:eastAsia="宋体" w:cs="宋体"/>
                <w:sz w:val="21"/>
                <w:szCs w:val="21"/>
              </w:rPr>
              <w:t>季</w:t>
            </w:r>
          </w:p>
          <w:p w14:paraId="6214FF67">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57C1E6CB">
            <w:pPr>
              <w:pStyle w:val="6"/>
              <w:spacing w:before="90" w:line="199" w:lineRule="auto"/>
              <w:ind w:left="151"/>
            </w:pPr>
            <w:r>
              <w:rPr>
                <w:spacing w:val="-1"/>
              </w:rPr>
              <w:t>2020/3/10</w:t>
            </w:r>
          </w:p>
        </w:tc>
        <w:tc>
          <w:tcPr>
            <w:tcW w:w="706" w:type="dxa"/>
            <w:vAlign w:val="top"/>
          </w:tcPr>
          <w:p w14:paraId="0914D40A">
            <w:pPr>
              <w:pStyle w:val="6"/>
              <w:spacing w:before="90" w:line="199" w:lineRule="auto"/>
              <w:ind w:left="162"/>
            </w:pPr>
            <w:r>
              <w:rPr>
                <w:spacing w:val="-2"/>
              </w:rPr>
              <w:t>0.16</w:t>
            </w:r>
          </w:p>
        </w:tc>
        <w:tc>
          <w:tcPr>
            <w:tcW w:w="707" w:type="dxa"/>
            <w:vAlign w:val="top"/>
          </w:tcPr>
          <w:p w14:paraId="5F8CDBD1">
            <w:pPr>
              <w:pStyle w:val="6"/>
              <w:spacing w:before="90" w:line="199" w:lineRule="auto"/>
              <w:ind w:left="164"/>
            </w:pPr>
            <w:r>
              <w:rPr>
                <w:spacing w:val="-2"/>
              </w:rPr>
              <w:t>0.89</w:t>
            </w:r>
          </w:p>
        </w:tc>
        <w:tc>
          <w:tcPr>
            <w:tcW w:w="989" w:type="dxa"/>
            <w:vAlign w:val="top"/>
          </w:tcPr>
          <w:p w14:paraId="56EDB788">
            <w:pPr>
              <w:pStyle w:val="6"/>
              <w:spacing w:before="90" w:line="199" w:lineRule="auto"/>
              <w:ind w:left="308"/>
            </w:pPr>
            <w:r>
              <w:rPr>
                <w:spacing w:val="-2"/>
              </w:rPr>
              <w:t>0.70</w:t>
            </w:r>
          </w:p>
        </w:tc>
        <w:tc>
          <w:tcPr>
            <w:tcW w:w="706" w:type="dxa"/>
            <w:vAlign w:val="top"/>
          </w:tcPr>
          <w:p w14:paraId="01EA9041">
            <w:pPr>
              <w:pStyle w:val="6"/>
              <w:spacing w:before="90" w:line="199" w:lineRule="auto"/>
              <w:ind w:left="168"/>
            </w:pPr>
            <w:r>
              <w:rPr>
                <w:spacing w:val="-2"/>
              </w:rPr>
              <w:t>0.73</w:t>
            </w:r>
          </w:p>
        </w:tc>
        <w:tc>
          <w:tcPr>
            <w:tcW w:w="991" w:type="dxa"/>
            <w:vAlign w:val="top"/>
          </w:tcPr>
          <w:p w14:paraId="11BD5630">
            <w:pPr>
              <w:pStyle w:val="6"/>
              <w:spacing w:before="90" w:line="199" w:lineRule="auto"/>
              <w:ind w:left="313"/>
            </w:pPr>
            <w:r>
              <w:rPr>
                <w:spacing w:val="-2"/>
              </w:rPr>
              <w:t>0.73</w:t>
            </w:r>
          </w:p>
        </w:tc>
        <w:tc>
          <w:tcPr>
            <w:tcW w:w="990" w:type="dxa"/>
            <w:vAlign w:val="top"/>
          </w:tcPr>
          <w:p w14:paraId="2AB2C1A6">
            <w:pPr>
              <w:pStyle w:val="6"/>
              <w:spacing w:before="90" w:line="199" w:lineRule="auto"/>
              <w:ind w:left="315"/>
            </w:pPr>
            <w:r>
              <w:rPr>
                <w:spacing w:val="-2"/>
              </w:rPr>
              <w:t>0.19</w:t>
            </w:r>
          </w:p>
        </w:tc>
        <w:tc>
          <w:tcPr>
            <w:tcW w:w="848" w:type="dxa"/>
            <w:vAlign w:val="top"/>
          </w:tcPr>
          <w:p w14:paraId="05038AC0">
            <w:pPr>
              <w:pStyle w:val="6"/>
              <w:spacing w:before="90" w:line="199" w:lineRule="auto"/>
              <w:ind w:left="245"/>
            </w:pPr>
            <w:r>
              <w:rPr>
                <w:spacing w:val="-2"/>
              </w:rPr>
              <w:t>0.12</w:t>
            </w:r>
          </w:p>
        </w:tc>
        <w:tc>
          <w:tcPr>
            <w:tcW w:w="706" w:type="dxa"/>
            <w:vAlign w:val="top"/>
          </w:tcPr>
          <w:p w14:paraId="5F9B3AF9">
            <w:pPr>
              <w:pStyle w:val="6"/>
              <w:spacing w:before="90" w:line="199" w:lineRule="auto"/>
              <w:ind w:left="176"/>
            </w:pPr>
            <w:r>
              <w:rPr>
                <w:spacing w:val="-2"/>
              </w:rPr>
              <w:t>0.80</w:t>
            </w:r>
          </w:p>
        </w:tc>
        <w:tc>
          <w:tcPr>
            <w:tcW w:w="1840" w:type="dxa"/>
            <w:vAlign w:val="top"/>
          </w:tcPr>
          <w:p w14:paraId="044C60E0">
            <w:pPr>
              <w:pStyle w:val="6"/>
              <w:spacing w:before="181" w:line="100" w:lineRule="exact"/>
              <w:ind w:left="862"/>
            </w:pPr>
            <w:r>
              <w:rPr>
                <w:spacing w:val="-3"/>
                <w:position w:val="-6"/>
              </w:rPr>
              <w:t>--</w:t>
            </w:r>
          </w:p>
        </w:tc>
        <w:tc>
          <w:tcPr>
            <w:tcW w:w="1950" w:type="dxa"/>
            <w:tcBorders>
              <w:right w:val="single" w:color="000000" w:sz="12" w:space="0"/>
            </w:tcBorders>
            <w:vAlign w:val="top"/>
          </w:tcPr>
          <w:p w14:paraId="3CAEE13D">
            <w:pPr>
              <w:pStyle w:val="6"/>
              <w:spacing w:before="95" w:line="194" w:lineRule="auto"/>
              <w:ind w:left="805"/>
            </w:pPr>
            <w:r>
              <w:rPr>
                <w:b/>
                <w:bCs/>
                <w:spacing w:val="-4"/>
              </w:rPr>
              <w:t>1.20</w:t>
            </w:r>
          </w:p>
        </w:tc>
      </w:tr>
      <w:tr w14:paraId="21CC4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4B1D20A">
            <w:pPr>
              <w:rPr>
                <w:rFonts w:ascii="Arial"/>
                <w:sz w:val="21"/>
              </w:rPr>
            </w:pPr>
          </w:p>
        </w:tc>
        <w:tc>
          <w:tcPr>
            <w:tcW w:w="329" w:type="dxa"/>
            <w:vMerge w:val="continue"/>
            <w:tcBorders>
              <w:top w:val="nil"/>
              <w:bottom w:val="nil"/>
            </w:tcBorders>
            <w:vAlign w:val="top"/>
          </w:tcPr>
          <w:p w14:paraId="635738C0">
            <w:pPr>
              <w:rPr>
                <w:rFonts w:ascii="Arial"/>
                <w:sz w:val="21"/>
              </w:rPr>
            </w:pPr>
          </w:p>
        </w:tc>
        <w:tc>
          <w:tcPr>
            <w:tcW w:w="1179" w:type="dxa"/>
            <w:vAlign w:val="top"/>
          </w:tcPr>
          <w:p w14:paraId="37F0F8A0">
            <w:pPr>
              <w:pStyle w:val="6"/>
              <w:spacing w:before="91" w:line="199" w:lineRule="auto"/>
              <w:ind w:left="151"/>
            </w:pPr>
            <w:r>
              <w:rPr>
                <w:spacing w:val="-1"/>
              </w:rPr>
              <w:t>2020/3/11</w:t>
            </w:r>
          </w:p>
        </w:tc>
        <w:tc>
          <w:tcPr>
            <w:tcW w:w="706" w:type="dxa"/>
            <w:vAlign w:val="top"/>
          </w:tcPr>
          <w:p w14:paraId="5C152682">
            <w:pPr>
              <w:pStyle w:val="6"/>
              <w:spacing w:before="91" w:line="199" w:lineRule="auto"/>
              <w:ind w:left="162"/>
            </w:pPr>
            <w:r>
              <w:rPr>
                <w:spacing w:val="-2"/>
              </w:rPr>
              <w:t>0.23</w:t>
            </w:r>
          </w:p>
        </w:tc>
        <w:tc>
          <w:tcPr>
            <w:tcW w:w="707" w:type="dxa"/>
            <w:vAlign w:val="top"/>
          </w:tcPr>
          <w:p w14:paraId="540639F7">
            <w:pPr>
              <w:pStyle w:val="6"/>
              <w:spacing w:before="96" w:line="194" w:lineRule="auto"/>
              <w:ind w:left="170"/>
            </w:pPr>
            <w:r>
              <w:rPr>
                <w:b/>
                <w:bCs/>
                <w:spacing w:val="-4"/>
              </w:rPr>
              <w:t>1.60</w:t>
            </w:r>
          </w:p>
        </w:tc>
        <w:tc>
          <w:tcPr>
            <w:tcW w:w="989" w:type="dxa"/>
            <w:vAlign w:val="top"/>
          </w:tcPr>
          <w:p w14:paraId="0072D65F">
            <w:pPr>
              <w:pStyle w:val="6"/>
              <w:spacing w:before="91" w:line="199" w:lineRule="auto"/>
              <w:ind w:left="308"/>
            </w:pPr>
            <w:r>
              <w:rPr>
                <w:spacing w:val="-2"/>
              </w:rPr>
              <w:t>0.65</w:t>
            </w:r>
          </w:p>
        </w:tc>
        <w:tc>
          <w:tcPr>
            <w:tcW w:w="706" w:type="dxa"/>
            <w:vAlign w:val="top"/>
          </w:tcPr>
          <w:p w14:paraId="08D0AA9E">
            <w:pPr>
              <w:pStyle w:val="6"/>
              <w:spacing w:before="91" w:line="199" w:lineRule="auto"/>
              <w:ind w:left="168"/>
            </w:pPr>
            <w:r>
              <w:rPr>
                <w:spacing w:val="-2"/>
              </w:rPr>
              <w:t>0.67</w:t>
            </w:r>
          </w:p>
        </w:tc>
        <w:tc>
          <w:tcPr>
            <w:tcW w:w="991" w:type="dxa"/>
            <w:vAlign w:val="top"/>
          </w:tcPr>
          <w:p w14:paraId="505EC180">
            <w:pPr>
              <w:pStyle w:val="6"/>
              <w:spacing w:before="91" w:line="199" w:lineRule="auto"/>
              <w:ind w:left="313"/>
            </w:pPr>
            <w:r>
              <w:rPr>
                <w:spacing w:val="-2"/>
              </w:rPr>
              <w:t>0.67</w:t>
            </w:r>
          </w:p>
        </w:tc>
        <w:tc>
          <w:tcPr>
            <w:tcW w:w="990" w:type="dxa"/>
            <w:vAlign w:val="top"/>
          </w:tcPr>
          <w:p w14:paraId="765D3A3B">
            <w:pPr>
              <w:pStyle w:val="6"/>
              <w:spacing w:before="91" w:line="199" w:lineRule="auto"/>
              <w:ind w:left="315"/>
            </w:pPr>
            <w:r>
              <w:rPr>
                <w:spacing w:val="-2"/>
              </w:rPr>
              <w:t>0.17</w:t>
            </w:r>
          </w:p>
        </w:tc>
        <w:tc>
          <w:tcPr>
            <w:tcW w:w="848" w:type="dxa"/>
            <w:vAlign w:val="top"/>
          </w:tcPr>
          <w:p w14:paraId="15EC6B52">
            <w:pPr>
              <w:pStyle w:val="6"/>
              <w:spacing w:before="91" w:line="199" w:lineRule="auto"/>
              <w:ind w:left="245"/>
            </w:pPr>
            <w:r>
              <w:rPr>
                <w:spacing w:val="-2"/>
              </w:rPr>
              <w:t>0.16</w:t>
            </w:r>
          </w:p>
        </w:tc>
        <w:tc>
          <w:tcPr>
            <w:tcW w:w="706" w:type="dxa"/>
            <w:vAlign w:val="top"/>
          </w:tcPr>
          <w:p w14:paraId="74221C8D">
            <w:pPr>
              <w:pStyle w:val="6"/>
              <w:spacing w:before="91" w:line="199" w:lineRule="auto"/>
              <w:ind w:left="176"/>
            </w:pPr>
            <w:r>
              <w:rPr>
                <w:spacing w:val="-2"/>
              </w:rPr>
              <w:t>0.60</w:t>
            </w:r>
          </w:p>
        </w:tc>
        <w:tc>
          <w:tcPr>
            <w:tcW w:w="1840" w:type="dxa"/>
            <w:vAlign w:val="top"/>
          </w:tcPr>
          <w:p w14:paraId="452ED338">
            <w:pPr>
              <w:pStyle w:val="6"/>
              <w:spacing w:before="182" w:line="100" w:lineRule="exact"/>
              <w:ind w:left="862"/>
            </w:pPr>
            <w:r>
              <w:rPr>
                <w:spacing w:val="-3"/>
                <w:position w:val="-6"/>
              </w:rPr>
              <w:t>--</w:t>
            </w:r>
          </w:p>
        </w:tc>
        <w:tc>
          <w:tcPr>
            <w:tcW w:w="1950" w:type="dxa"/>
            <w:tcBorders>
              <w:right w:val="single" w:color="000000" w:sz="12" w:space="0"/>
            </w:tcBorders>
            <w:vAlign w:val="top"/>
          </w:tcPr>
          <w:p w14:paraId="733812CE">
            <w:pPr>
              <w:pStyle w:val="6"/>
              <w:spacing w:before="96" w:line="194" w:lineRule="auto"/>
              <w:ind w:left="805"/>
            </w:pPr>
            <w:r>
              <w:rPr>
                <w:b/>
                <w:bCs/>
                <w:spacing w:val="-4"/>
              </w:rPr>
              <w:t>1.10</w:t>
            </w:r>
          </w:p>
        </w:tc>
      </w:tr>
      <w:tr w14:paraId="2F7C9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FAA8BF4">
            <w:pPr>
              <w:rPr>
                <w:rFonts w:ascii="Arial"/>
                <w:sz w:val="21"/>
              </w:rPr>
            </w:pPr>
          </w:p>
        </w:tc>
        <w:tc>
          <w:tcPr>
            <w:tcW w:w="329" w:type="dxa"/>
            <w:vMerge w:val="continue"/>
            <w:tcBorders>
              <w:top w:val="nil"/>
            </w:tcBorders>
            <w:vAlign w:val="top"/>
          </w:tcPr>
          <w:p w14:paraId="063A0FD9">
            <w:pPr>
              <w:rPr>
                <w:rFonts w:ascii="Arial"/>
                <w:sz w:val="21"/>
              </w:rPr>
            </w:pPr>
          </w:p>
        </w:tc>
        <w:tc>
          <w:tcPr>
            <w:tcW w:w="1179" w:type="dxa"/>
            <w:vAlign w:val="top"/>
          </w:tcPr>
          <w:p w14:paraId="1641258F">
            <w:pPr>
              <w:pStyle w:val="6"/>
              <w:spacing w:before="92" w:line="197" w:lineRule="auto"/>
              <w:ind w:left="151"/>
            </w:pPr>
            <w:r>
              <w:rPr>
                <w:spacing w:val="-1"/>
              </w:rPr>
              <w:t>2020/3/12</w:t>
            </w:r>
          </w:p>
        </w:tc>
        <w:tc>
          <w:tcPr>
            <w:tcW w:w="706" w:type="dxa"/>
            <w:vAlign w:val="top"/>
          </w:tcPr>
          <w:p w14:paraId="4EA6031D">
            <w:pPr>
              <w:pStyle w:val="6"/>
              <w:spacing w:before="92" w:line="197" w:lineRule="auto"/>
              <w:ind w:left="162"/>
            </w:pPr>
            <w:r>
              <w:rPr>
                <w:spacing w:val="-2"/>
              </w:rPr>
              <w:t>0.15</w:t>
            </w:r>
          </w:p>
        </w:tc>
        <w:tc>
          <w:tcPr>
            <w:tcW w:w="707" w:type="dxa"/>
            <w:vAlign w:val="top"/>
          </w:tcPr>
          <w:p w14:paraId="2895DF99">
            <w:pPr>
              <w:pStyle w:val="6"/>
              <w:spacing w:before="97" w:line="192" w:lineRule="auto"/>
              <w:ind w:left="170"/>
            </w:pPr>
            <w:r>
              <w:rPr>
                <w:b/>
                <w:bCs/>
                <w:spacing w:val="-4"/>
              </w:rPr>
              <w:t>1.15</w:t>
            </w:r>
          </w:p>
        </w:tc>
        <w:tc>
          <w:tcPr>
            <w:tcW w:w="989" w:type="dxa"/>
            <w:vAlign w:val="top"/>
          </w:tcPr>
          <w:p w14:paraId="53D9A6F8">
            <w:pPr>
              <w:pStyle w:val="6"/>
              <w:spacing w:before="92" w:line="197" w:lineRule="auto"/>
              <w:ind w:left="308"/>
            </w:pPr>
            <w:r>
              <w:rPr>
                <w:spacing w:val="-2"/>
              </w:rPr>
              <w:t>0.75</w:t>
            </w:r>
          </w:p>
        </w:tc>
        <w:tc>
          <w:tcPr>
            <w:tcW w:w="706" w:type="dxa"/>
            <w:vAlign w:val="top"/>
          </w:tcPr>
          <w:p w14:paraId="7B5B6017">
            <w:pPr>
              <w:pStyle w:val="6"/>
              <w:spacing w:before="92" w:line="197" w:lineRule="auto"/>
              <w:ind w:left="168"/>
            </w:pPr>
            <w:r>
              <w:rPr>
                <w:spacing w:val="-2"/>
              </w:rPr>
              <w:t>0.80</w:t>
            </w:r>
          </w:p>
        </w:tc>
        <w:tc>
          <w:tcPr>
            <w:tcW w:w="991" w:type="dxa"/>
            <w:vAlign w:val="top"/>
          </w:tcPr>
          <w:p w14:paraId="252EEAAF">
            <w:pPr>
              <w:pStyle w:val="6"/>
              <w:spacing w:before="92" w:line="197" w:lineRule="auto"/>
              <w:ind w:left="313"/>
            </w:pPr>
            <w:r>
              <w:rPr>
                <w:spacing w:val="-2"/>
              </w:rPr>
              <w:t>0.77</w:t>
            </w:r>
          </w:p>
        </w:tc>
        <w:tc>
          <w:tcPr>
            <w:tcW w:w="990" w:type="dxa"/>
            <w:vAlign w:val="top"/>
          </w:tcPr>
          <w:p w14:paraId="1B5CE98B">
            <w:pPr>
              <w:pStyle w:val="6"/>
              <w:spacing w:before="92" w:line="197" w:lineRule="auto"/>
              <w:ind w:left="315"/>
            </w:pPr>
            <w:r>
              <w:rPr>
                <w:spacing w:val="-2"/>
              </w:rPr>
              <w:t>0.20</w:t>
            </w:r>
          </w:p>
        </w:tc>
        <w:tc>
          <w:tcPr>
            <w:tcW w:w="848" w:type="dxa"/>
            <w:vAlign w:val="top"/>
          </w:tcPr>
          <w:p w14:paraId="3A4F84F2">
            <w:pPr>
              <w:pStyle w:val="6"/>
              <w:spacing w:before="92" w:line="197" w:lineRule="auto"/>
              <w:ind w:left="245"/>
            </w:pPr>
            <w:r>
              <w:rPr>
                <w:spacing w:val="-2"/>
              </w:rPr>
              <w:t>0.12</w:t>
            </w:r>
          </w:p>
        </w:tc>
        <w:tc>
          <w:tcPr>
            <w:tcW w:w="706" w:type="dxa"/>
            <w:vAlign w:val="top"/>
          </w:tcPr>
          <w:p w14:paraId="0B2A63D2">
            <w:pPr>
              <w:pStyle w:val="6"/>
              <w:spacing w:before="92" w:line="197" w:lineRule="auto"/>
              <w:ind w:left="176"/>
            </w:pPr>
            <w:r>
              <w:rPr>
                <w:spacing w:val="-2"/>
              </w:rPr>
              <w:t>0.80</w:t>
            </w:r>
          </w:p>
        </w:tc>
        <w:tc>
          <w:tcPr>
            <w:tcW w:w="1840" w:type="dxa"/>
            <w:vAlign w:val="top"/>
          </w:tcPr>
          <w:p w14:paraId="3ADBD5FA">
            <w:pPr>
              <w:pStyle w:val="6"/>
              <w:spacing w:before="183" w:line="101" w:lineRule="exact"/>
              <w:ind w:left="862"/>
            </w:pPr>
            <w:r>
              <w:rPr>
                <w:spacing w:val="-3"/>
                <w:position w:val="-6"/>
              </w:rPr>
              <w:t>--</w:t>
            </w:r>
          </w:p>
        </w:tc>
        <w:tc>
          <w:tcPr>
            <w:tcW w:w="1950" w:type="dxa"/>
            <w:tcBorders>
              <w:right w:val="single" w:color="000000" w:sz="12" w:space="0"/>
            </w:tcBorders>
            <w:vAlign w:val="top"/>
          </w:tcPr>
          <w:p w14:paraId="77DCF394">
            <w:pPr>
              <w:pStyle w:val="6"/>
              <w:spacing w:before="97" w:line="192" w:lineRule="auto"/>
              <w:ind w:left="805"/>
            </w:pPr>
            <w:r>
              <w:rPr>
                <w:b/>
                <w:bCs/>
                <w:spacing w:val="-4"/>
              </w:rPr>
              <w:t>1.25</w:t>
            </w:r>
          </w:p>
        </w:tc>
      </w:tr>
      <w:tr w14:paraId="7B556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325F2424">
            <w:pPr>
              <w:rPr>
                <w:rFonts w:ascii="Arial"/>
                <w:sz w:val="21"/>
              </w:rPr>
            </w:pPr>
          </w:p>
        </w:tc>
        <w:tc>
          <w:tcPr>
            <w:tcW w:w="329" w:type="dxa"/>
            <w:vMerge w:val="restart"/>
            <w:tcBorders>
              <w:bottom w:val="nil"/>
            </w:tcBorders>
            <w:vAlign w:val="top"/>
          </w:tcPr>
          <w:p w14:paraId="77CF5DB9">
            <w:pPr>
              <w:pStyle w:val="6"/>
              <w:spacing w:before="134" w:line="222" w:lineRule="auto"/>
              <w:ind w:left="97"/>
            </w:pPr>
            <w:r>
              <w:t>2</w:t>
            </w:r>
          </w:p>
          <w:p w14:paraId="138CB775">
            <w:pPr>
              <w:spacing w:line="219" w:lineRule="auto"/>
              <w:ind w:left="49"/>
              <w:rPr>
                <w:rFonts w:ascii="宋体" w:hAnsi="宋体" w:eastAsia="宋体" w:cs="宋体"/>
                <w:sz w:val="21"/>
                <w:szCs w:val="21"/>
              </w:rPr>
            </w:pPr>
            <w:r>
              <w:rPr>
                <w:rFonts w:ascii="宋体" w:hAnsi="宋体" w:eastAsia="宋体" w:cs="宋体"/>
                <w:sz w:val="21"/>
                <w:szCs w:val="21"/>
              </w:rPr>
              <w:t>季</w:t>
            </w:r>
          </w:p>
          <w:p w14:paraId="1EC76535">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630FAA07">
            <w:pPr>
              <w:pStyle w:val="6"/>
              <w:spacing w:before="93" w:line="197" w:lineRule="auto"/>
              <w:ind w:left="151"/>
            </w:pPr>
            <w:r>
              <w:rPr>
                <w:spacing w:val="-1"/>
              </w:rPr>
              <w:t>2020/5/20</w:t>
            </w:r>
          </w:p>
        </w:tc>
        <w:tc>
          <w:tcPr>
            <w:tcW w:w="706" w:type="dxa"/>
            <w:vAlign w:val="top"/>
          </w:tcPr>
          <w:p w14:paraId="1F74B898">
            <w:pPr>
              <w:pStyle w:val="6"/>
              <w:spacing w:before="93" w:line="197" w:lineRule="auto"/>
              <w:ind w:left="162"/>
            </w:pPr>
            <w:r>
              <w:rPr>
                <w:spacing w:val="-2"/>
              </w:rPr>
              <w:t>0.08</w:t>
            </w:r>
          </w:p>
        </w:tc>
        <w:tc>
          <w:tcPr>
            <w:tcW w:w="707" w:type="dxa"/>
            <w:vAlign w:val="top"/>
          </w:tcPr>
          <w:p w14:paraId="495C0F34">
            <w:pPr>
              <w:pStyle w:val="6"/>
              <w:spacing w:before="93" w:line="197" w:lineRule="auto"/>
              <w:ind w:left="164"/>
            </w:pPr>
            <w:r>
              <w:rPr>
                <w:spacing w:val="-2"/>
              </w:rPr>
              <w:t>0.94</w:t>
            </w:r>
          </w:p>
        </w:tc>
        <w:tc>
          <w:tcPr>
            <w:tcW w:w="989" w:type="dxa"/>
            <w:vAlign w:val="top"/>
          </w:tcPr>
          <w:p w14:paraId="6114A4F1">
            <w:pPr>
              <w:pStyle w:val="6"/>
              <w:spacing w:before="93" w:line="197" w:lineRule="auto"/>
              <w:ind w:left="308"/>
            </w:pPr>
            <w:r>
              <w:rPr>
                <w:spacing w:val="-2"/>
              </w:rPr>
              <w:t>0.73</w:t>
            </w:r>
          </w:p>
        </w:tc>
        <w:tc>
          <w:tcPr>
            <w:tcW w:w="706" w:type="dxa"/>
            <w:vAlign w:val="top"/>
          </w:tcPr>
          <w:p w14:paraId="7BC7B597">
            <w:pPr>
              <w:pStyle w:val="6"/>
              <w:spacing w:before="184" w:line="101" w:lineRule="exact"/>
              <w:ind w:left="284"/>
            </w:pPr>
            <w:r>
              <w:rPr>
                <w:spacing w:val="-3"/>
                <w:position w:val="-6"/>
              </w:rPr>
              <w:t>--</w:t>
            </w:r>
          </w:p>
        </w:tc>
        <w:tc>
          <w:tcPr>
            <w:tcW w:w="991" w:type="dxa"/>
            <w:vAlign w:val="top"/>
          </w:tcPr>
          <w:p w14:paraId="74047AC9">
            <w:pPr>
              <w:pStyle w:val="6"/>
              <w:spacing w:before="184" w:line="101" w:lineRule="exact"/>
              <w:ind w:left="427"/>
            </w:pPr>
            <w:r>
              <w:rPr>
                <w:spacing w:val="-3"/>
                <w:position w:val="-6"/>
              </w:rPr>
              <w:t>--</w:t>
            </w:r>
          </w:p>
        </w:tc>
        <w:tc>
          <w:tcPr>
            <w:tcW w:w="990" w:type="dxa"/>
            <w:vAlign w:val="top"/>
          </w:tcPr>
          <w:p w14:paraId="620BC266">
            <w:pPr>
              <w:pStyle w:val="6"/>
              <w:spacing w:before="93" w:line="197" w:lineRule="auto"/>
              <w:ind w:left="315"/>
            </w:pPr>
            <w:r>
              <w:rPr>
                <w:spacing w:val="-2"/>
              </w:rPr>
              <w:t>0.26</w:t>
            </w:r>
          </w:p>
        </w:tc>
        <w:tc>
          <w:tcPr>
            <w:tcW w:w="848" w:type="dxa"/>
            <w:vAlign w:val="top"/>
          </w:tcPr>
          <w:p w14:paraId="6F5B438E">
            <w:pPr>
              <w:pStyle w:val="6"/>
              <w:spacing w:before="93" w:line="197" w:lineRule="auto"/>
              <w:ind w:left="245"/>
            </w:pPr>
            <w:r>
              <w:rPr>
                <w:spacing w:val="-2"/>
              </w:rPr>
              <w:t>0.08</w:t>
            </w:r>
          </w:p>
        </w:tc>
        <w:tc>
          <w:tcPr>
            <w:tcW w:w="706" w:type="dxa"/>
            <w:vAlign w:val="top"/>
          </w:tcPr>
          <w:p w14:paraId="6D1285D9">
            <w:pPr>
              <w:pStyle w:val="6"/>
              <w:spacing w:before="93" w:line="197" w:lineRule="auto"/>
              <w:ind w:left="176"/>
            </w:pPr>
            <w:r>
              <w:rPr>
                <w:spacing w:val="-2"/>
              </w:rPr>
              <w:t>0.40</w:t>
            </w:r>
          </w:p>
        </w:tc>
        <w:tc>
          <w:tcPr>
            <w:tcW w:w="1840" w:type="dxa"/>
            <w:vAlign w:val="top"/>
          </w:tcPr>
          <w:p w14:paraId="39638445">
            <w:pPr>
              <w:pStyle w:val="6"/>
              <w:spacing w:before="184" w:line="101" w:lineRule="exact"/>
              <w:ind w:left="862"/>
            </w:pPr>
            <w:r>
              <w:rPr>
                <w:spacing w:val="-3"/>
                <w:position w:val="-6"/>
              </w:rPr>
              <w:t>--</w:t>
            </w:r>
          </w:p>
        </w:tc>
        <w:tc>
          <w:tcPr>
            <w:tcW w:w="1950" w:type="dxa"/>
            <w:tcBorders>
              <w:right w:val="single" w:color="000000" w:sz="12" w:space="0"/>
            </w:tcBorders>
            <w:vAlign w:val="top"/>
          </w:tcPr>
          <w:p w14:paraId="1158EF08">
            <w:pPr>
              <w:pStyle w:val="6"/>
              <w:spacing w:before="93" w:line="197" w:lineRule="auto"/>
              <w:ind w:left="799"/>
            </w:pPr>
            <w:r>
              <w:rPr>
                <w:spacing w:val="-2"/>
              </w:rPr>
              <w:t>0.25</w:t>
            </w:r>
          </w:p>
        </w:tc>
      </w:tr>
      <w:tr w14:paraId="61B7E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7FD94898">
            <w:pPr>
              <w:rPr>
                <w:rFonts w:ascii="Arial"/>
                <w:sz w:val="21"/>
              </w:rPr>
            </w:pPr>
          </w:p>
        </w:tc>
        <w:tc>
          <w:tcPr>
            <w:tcW w:w="329" w:type="dxa"/>
            <w:vMerge w:val="continue"/>
            <w:tcBorders>
              <w:top w:val="nil"/>
              <w:bottom w:val="nil"/>
            </w:tcBorders>
            <w:vAlign w:val="top"/>
          </w:tcPr>
          <w:p w14:paraId="0EAF74E7">
            <w:pPr>
              <w:rPr>
                <w:rFonts w:ascii="Arial"/>
                <w:sz w:val="21"/>
              </w:rPr>
            </w:pPr>
          </w:p>
        </w:tc>
        <w:tc>
          <w:tcPr>
            <w:tcW w:w="1179" w:type="dxa"/>
            <w:vAlign w:val="top"/>
          </w:tcPr>
          <w:p w14:paraId="2A29DA97">
            <w:pPr>
              <w:pStyle w:val="6"/>
              <w:spacing w:before="93" w:line="196" w:lineRule="auto"/>
              <w:ind w:left="151"/>
            </w:pPr>
            <w:r>
              <w:rPr>
                <w:spacing w:val="-1"/>
              </w:rPr>
              <w:t>2020/5/21</w:t>
            </w:r>
          </w:p>
        </w:tc>
        <w:tc>
          <w:tcPr>
            <w:tcW w:w="706" w:type="dxa"/>
            <w:vAlign w:val="top"/>
          </w:tcPr>
          <w:p w14:paraId="78E1B85A">
            <w:pPr>
              <w:pStyle w:val="6"/>
              <w:spacing w:before="93" w:line="196" w:lineRule="auto"/>
              <w:ind w:left="162"/>
            </w:pPr>
            <w:r>
              <w:rPr>
                <w:spacing w:val="-2"/>
              </w:rPr>
              <w:t>0.06</w:t>
            </w:r>
          </w:p>
        </w:tc>
        <w:tc>
          <w:tcPr>
            <w:tcW w:w="707" w:type="dxa"/>
            <w:vAlign w:val="top"/>
          </w:tcPr>
          <w:p w14:paraId="11629149">
            <w:pPr>
              <w:pStyle w:val="6"/>
              <w:spacing w:before="98" w:line="191" w:lineRule="auto"/>
              <w:ind w:left="170"/>
            </w:pPr>
            <w:r>
              <w:rPr>
                <w:b/>
                <w:bCs/>
                <w:spacing w:val="-4"/>
              </w:rPr>
              <w:t>1.15</w:t>
            </w:r>
          </w:p>
        </w:tc>
        <w:tc>
          <w:tcPr>
            <w:tcW w:w="989" w:type="dxa"/>
            <w:vAlign w:val="top"/>
          </w:tcPr>
          <w:p w14:paraId="74A6E782">
            <w:pPr>
              <w:pStyle w:val="6"/>
              <w:spacing w:before="93" w:line="196" w:lineRule="auto"/>
              <w:ind w:left="308"/>
            </w:pPr>
            <w:r>
              <w:rPr>
                <w:spacing w:val="-2"/>
              </w:rPr>
              <w:t>0.75</w:t>
            </w:r>
          </w:p>
        </w:tc>
        <w:tc>
          <w:tcPr>
            <w:tcW w:w="706" w:type="dxa"/>
            <w:vAlign w:val="top"/>
          </w:tcPr>
          <w:p w14:paraId="05C0E3E9">
            <w:pPr>
              <w:pStyle w:val="6"/>
              <w:spacing w:before="184" w:line="101" w:lineRule="exact"/>
              <w:ind w:left="284"/>
            </w:pPr>
            <w:r>
              <w:rPr>
                <w:spacing w:val="-3"/>
                <w:position w:val="-6"/>
              </w:rPr>
              <w:t>--</w:t>
            </w:r>
          </w:p>
        </w:tc>
        <w:tc>
          <w:tcPr>
            <w:tcW w:w="991" w:type="dxa"/>
            <w:vAlign w:val="top"/>
          </w:tcPr>
          <w:p w14:paraId="74A52D25">
            <w:pPr>
              <w:pStyle w:val="6"/>
              <w:spacing w:before="184" w:line="101" w:lineRule="exact"/>
              <w:ind w:left="427"/>
            </w:pPr>
            <w:r>
              <w:rPr>
                <w:spacing w:val="-3"/>
                <w:position w:val="-6"/>
              </w:rPr>
              <w:t>--</w:t>
            </w:r>
          </w:p>
        </w:tc>
        <w:tc>
          <w:tcPr>
            <w:tcW w:w="990" w:type="dxa"/>
            <w:vAlign w:val="top"/>
          </w:tcPr>
          <w:p w14:paraId="2D13DBE8">
            <w:pPr>
              <w:pStyle w:val="6"/>
              <w:spacing w:before="93" w:line="196" w:lineRule="auto"/>
              <w:ind w:left="315"/>
            </w:pPr>
            <w:r>
              <w:rPr>
                <w:spacing w:val="-2"/>
              </w:rPr>
              <w:t>0.27</w:t>
            </w:r>
          </w:p>
        </w:tc>
        <w:tc>
          <w:tcPr>
            <w:tcW w:w="848" w:type="dxa"/>
            <w:vAlign w:val="top"/>
          </w:tcPr>
          <w:p w14:paraId="3169E998">
            <w:pPr>
              <w:pStyle w:val="6"/>
              <w:spacing w:before="93" w:line="196" w:lineRule="auto"/>
              <w:ind w:left="245"/>
            </w:pPr>
            <w:r>
              <w:rPr>
                <w:spacing w:val="-2"/>
              </w:rPr>
              <w:t>0.12</w:t>
            </w:r>
          </w:p>
        </w:tc>
        <w:tc>
          <w:tcPr>
            <w:tcW w:w="706" w:type="dxa"/>
            <w:vAlign w:val="top"/>
          </w:tcPr>
          <w:p w14:paraId="5B458374">
            <w:pPr>
              <w:pStyle w:val="6"/>
              <w:spacing w:before="93" w:line="196" w:lineRule="auto"/>
              <w:ind w:left="176"/>
            </w:pPr>
            <w:r>
              <w:rPr>
                <w:spacing w:val="-2"/>
              </w:rPr>
              <w:t>0.40</w:t>
            </w:r>
          </w:p>
        </w:tc>
        <w:tc>
          <w:tcPr>
            <w:tcW w:w="1840" w:type="dxa"/>
            <w:vAlign w:val="top"/>
          </w:tcPr>
          <w:p w14:paraId="38F40AAD">
            <w:pPr>
              <w:pStyle w:val="6"/>
              <w:spacing w:before="184" w:line="101" w:lineRule="exact"/>
              <w:ind w:left="862"/>
            </w:pPr>
            <w:r>
              <w:rPr>
                <w:spacing w:val="-3"/>
                <w:position w:val="-6"/>
              </w:rPr>
              <w:t>--</w:t>
            </w:r>
          </w:p>
        </w:tc>
        <w:tc>
          <w:tcPr>
            <w:tcW w:w="1950" w:type="dxa"/>
            <w:tcBorders>
              <w:right w:val="single" w:color="000000" w:sz="12" w:space="0"/>
            </w:tcBorders>
            <w:vAlign w:val="top"/>
          </w:tcPr>
          <w:p w14:paraId="72112FD3">
            <w:pPr>
              <w:pStyle w:val="6"/>
              <w:spacing w:before="93" w:line="196" w:lineRule="auto"/>
              <w:ind w:left="799"/>
            </w:pPr>
            <w:r>
              <w:rPr>
                <w:spacing w:val="-2"/>
              </w:rPr>
              <w:t>0.25</w:t>
            </w:r>
          </w:p>
        </w:tc>
      </w:tr>
      <w:tr w14:paraId="3BD62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E9B6A9C">
            <w:pPr>
              <w:rPr>
                <w:rFonts w:ascii="Arial"/>
                <w:sz w:val="21"/>
              </w:rPr>
            </w:pPr>
          </w:p>
        </w:tc>
        <w:tc>
          <w:tcPr>
            <w:tcW w:w="329" w:type="dxa"/>
            <w:vMerge w:val="continue"/>
            <w:tcBorders>
              <w:top w:val="nil"/>
            </w:tcBorders>
            <w:vAlign w:val="top"/>
          </w:tcPr>
          <w:p w14:paraId="22686C9F">
            <w:pPr>
              <w:rPr>
                <w:rFonts w:ascii="Arial"/>
                <w:sz w:val="21"/>
              </w:rPr>
            </w:pPr>
          </w:p>
        </w:tc>
        <w:tc>
          <w:tcPr>
            <w:tcW w:w="1179" w:type="dxa"/>
            <w:vAlign w:val="top"/>
          </w:tcPr>
          <w:p w14:paraId="46517314">
            <w:pPr>
              <w:pStyle w:val="6"/>
              <w:spacing w:before="96" w:line="193" w:lineRule="auto"/>
              <w:ind w:left="151"/>
            </w:pPr>
            <w:r>
              <w:rPr>
                <w:spacing w:val="-1"/>
              </w:rPr>
              <w:t>2020/5/22</w:t>
            </w:r>
          </w:p>
        </w:tc>
        <w:tc>
          <w:tcPr>
            <w:tcW w:w="706" w:type="dxa"/>
            <w:vAlign w:val="top"/>
          </w:tcPr>
          <w:p w14:paraId="7300298B">
            <w:pPr>
              <w:pStyle w:val="6"/>
              <w:spacing w:before="96" w:line="193" w:lineRule="auto"/>
              <w:ind w:left="162"/>
            </w:pPr>
            <w:r>
              <w:rPr>
                <w:spacing w:val="-2"/>
              </w:rPr>
              <w:t>0.04</w:t>
            </w:r>
          </w:p>
        </w:tc>
        <w:tc>
          <w:tcPr>
            <w:tcW w:w="707" w:type="dxa"/>
            <w:vAlign w:val="top"/>
          </w:tcPr>
          <w:p w14:paraId="2F9117D6">
            <w:pPr>
              <w:pStyle w:val="6"/>
              <w:spacing w:before="96" w:line="193" w:lineRule="auto"/>
              <w:ind w:left="164"/>
            </w:pPr>
            <w:r>
              <w:rPr>
                <w:spacing w:val="-2"/>
              </w:rPr>
              <w:t>0.92</w:t>
            </w:r>
          </w:p>
        </w:tc>
        <w:tc>
          <w:tcPr>
            <w:tcW w:w="989" w:type="dxa"/>
            <w:vAlign w:val="top"/>
          </w:tcPr>
          <w:p w14:paraId="2927A376">
            <w:pPr>
              <w:pStyle w:val="6"/>
              <w:spacing w:before="96" w:line="193" w:lineRule="auto"/>
              <w:ind w:left="308"/>
            </w:pPr>
            <w:r>
              <w:rPr>
                <w:spacing w:val="-2"/>
              </w:rPr>
              <w:t>0.68</w:t>
            </w:r>
          </w:p>
        </w:tc>
        <w:tc>
          <w:tcPr>
            <w:tcW w:w="706" w:type="dxa"/>
            <w:vAlign w:val="top"/>
          </w:tcPr>
          <w:p w14:paraId="45715366">
            <w:pPr>
              <w:pStyle w:val="6"/>
              <w:spacing w:before="187" w:line="100" w:lineRule="exact"/>
              <w:ind w:left="284"/>
            </w:pPr>
            <w:r>
              <w:rPr>
                <w:spacing w:val="-3"/>
                <w:position w:val="-6"/>
              </w:rPr>
              <w:t>--</w:t>
            </w:r>
          </w:p>
        </w:tc>
        <w:tc>
          <w:tcPr>
            <w:tcW w:w="991" w:type="dxa"/>
            <w:vAlign w:val="top"/>
          </w:tcPr>
          <w:p w14:paraId="686E70C9">
            <w:pPr>
              <w:pStyle w:val="6"/>
              <w:spacing w:before="187" w:line="100" w:lineRule="exact"/>
              <w:ind w:left="427"/>
            </w:pPr>
            <w:r>
              <w:rPr>
                <w:spacing w:val="-3"/>
                <w:position w:val="-6"/>
              </w:rPr>
              <w:t>--</w:t>
            </w:r>
          </w:p>
        </w:tc>
        <w:tc>
          <w:tcPr>
            <w:tcW w:w="990" w:type="dxa"/>
            <w:vAlign w:val="top"/>
          </w:tcPr>
          <w:p w14:paraId="7E6FF39F">
            <w:pPr>
              <w:pStyle w:val="6"/>
              <w:spacing w:before="96" w:line="193" w:lineRule="auto"/>
              <w:ind w:left="315"/>
            </w:pPr>
            <w:r>
              <w:rPr>
                <w:spacing w:val="-2"/>
              </w:rPr>
              <w:t>0.25</w:t>
            </w:r>
          </w:p>
        </w:tc>
        <w:tc>
          <w:tcPr>
            <w:tcW w:w="848" w:type="dxa"/>
            <w:vAlign w:val="top"/>
          </w:tcPr>
          <w:p w14:paraId="5576E5CB">
            <w:pPr>
              <w:pStyle w:val="6"/>
              <w:spacing w:before="96" w:line="193" w:lineRule="auto"/>
              <w:ind w:left="245"/>
            </w:pPr>
            <w:r>
              <w:rPr>
                <w:spacing w:val="-2"/>
              </w:rPr>
              <w:t>0.08</w:t>
            </w:r>
          </w:p>
        </w:tc>
        <w:tc>
          <w:tcPr>
            <w:tcW w:w="706" w:type="dxa"/>
            <w:vAlign w:val="top"/>
          </w:tcPr>
          <w:p w14:paraId="72D2A57E">
            <w:pPr>
              <w:pStyle w:val="6"/>
              <w:spacing w:before="96" w:line="193" w:lineRule="auto"/>
              <w:ind w:left="176"/>
            </w:pPr>
            <w:r>
              <w:rPr>
                <w:spacing w:val="-2"/>
              </w:rPr>
              <w:t>0.20</w:t>
            </w:r>
          </w:p>
        </w:tc>
        <w:tc>
          <w:tcPr>
            <w:tcW w:w="1840" w:type="dxa"/>
            <w:vAlign w:val="top"/>
          </w:tcPr>
          <w:p w14:paraId="223A017D">
            <w:pPr>
              <w:pStyle w:val="6"/>
              <w:spacing w:before="187" w:line="100" w:lineRule="exact"/>
              <w:ind w:left="862"/>
            </w:pPr>
            <w:r>
              <w:rPr>
                <w:spacing w:val="-3"/>
                <w:position w:val="-6"/>
              </w:rPr>
              <w:t>--</w:t>
            </w:r>
          </w:p>
        </w:tc>
        <w:tc>
          <w:tcPr>
            <w:tcW w:w="1950" w:type="dxa"/>
            <w:tcBorders>
              <w:right w:val="single" w:color="000000" w:sz="12" w:space="0"/>
            </w:tcBorders>
            <w:vAlign w:val="top"/>
          </w:tcPr>
          <w:p w14:paraId="48EF94A8">
            <w:pPr>
              <w:pStyle w:val="6"/>
              <w:spacing w:before="96" w:line="193" w:lineRule="auto"/>
              <w:ind w:left="799"/>
            </w:pPr>
            <w:r>
              <w:rPr>
                <w:spacing w:val="-2"/>
              </w:rPr>
              <w:t>0.24</w:t>
            </w:r>
          </w:p>
        </w:tc>
      </w:tr>
      <w:tr w14:paraId="0594A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FAF6766">
            <w:pPr>
              <w:rPr>
                <w:rFonts w:ascii="Arial"/>
                <w:sz w:val="21"/>
              </w:rPr>
            </w:pPr>
          </w:p>
        </w:tc>
        <w:tc>
          <w:tcPr>
            <w:tcW w:w="329" w:type="dxa"/>
            <w:vMerge w:val="restart"/>
            <w:tcBorders>
              <w:bottom w:val="nil"/>
            </w:tcBorders>
            <w:vAlign w:val="top"/>
          </w:tcPr>
          <w:p w14:paraId="63EB7DDD">
            <w:pPr>
              <w:pStyle w:val="6"/>
              <w:spacing w:before="138" w:line="222" w:lineRule="auto"/>
              <w:ind w:left="102"/>
            </w:pPr>
            <w:r>
              <w:t>3</w:t>
            </w:r>
          </w:p>
          <w:p w14:paraId="55C4E90C">
            <w:pPr>
              <w:spacing w:line="219" w:lineRule="auto"/>
              <w:ind w:left="49"/>
              <w:rPr>
                <w:rFonts w:ascii="宋体" w:hAnsi="宋体" w:eastAsia="宋体" w:cs="宋体"/>
                <w:sz w:val="21"/>
                <w:szCs w:val="21"/>
              </w:rPr>
            </w:pPr>
            <w:r>
              <w:rPr>
                <w:rFonts w:ascii="宋体" w:hAnsi="宋体" w:eastAsia="宋体" w:cs="宋体"/>
                <w:sz w:val="21"/>
                <w:szCs w:val="21"/>
              </w:rPr>
              <w:t>季</w:t>
            </w:r>
          </w:p>
          <w:p w14:paraId="50CE5ECF">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000261C5">
            <w:pPr>
              <w:pStyle w:val="6"/>
              <w:spacing w:before="97" w:line="193" w:lineRule="auto"/>
              <w:ind w:left="151"/>
            </w:pPr>
            <w:r>
              <w:rPr>
                <w:spacing w:val="-1"/>
              </w:rPr>
              <w:t>2020/8/20</w:t>
            </w:r>
          </w:p>
        </w:tc>
        <w:tc>
          <w:tcPr>
            <w:tcW w:w="706" w:type="dxa"/>
            <w:vAlign w:val="top"/>
          </w:tcPr>
          <w:p w14:paraId="7F89D589">
            <w:pPr>
              <w:pStyle w:val="6"/>
              <w:spacing w:before="97" w:line="193" w:lineRule="auto"/>
              <w:ind w:left="162"/>
            </w:pPr>
            <w:r>
              <w:rPr>
                <w:spacing w:val="-2"/>
              </w:rPr>
              <w:t>0.32</w:t>
            </w:r>
          </w:p>
        </w:tc>
        <w:tc>
          <w:tcPr>
            <w:tcW w:w="707" w:type="dxa"/>
            <w:vAlign w:val="top"/>
          </w:tcPr>
          <w:p w14:paraId="76E0F119">
            <w:pPr>
              <w:pStyle w:val="6"/>
              <w:spacing w:before="101" w:line="189" w:lineRule="auto"/>
              <w:ind w:left="162"/>
            </w:pPr>
            <w:r>
              <w:rPr>
                <w:b/>
                <w:bCs/>
                <w:spacing w:val="-2"/>
              </w:rPr>
              <w:t>4.30</w:t>
            </w:r>
          </w:p>
        </w:tc>
        <w:tc>
          <w:tcPr>
            <w:tcW w:w="989" w:type="dxa"/>
            <w:vAlign w:val="top"/>
          </w:tcPr>
          <w:p w14:paraId="73A9EA18">
            <w:pPr>
              <w:pStyle w:val="6"/>
              <w:spacing w:before="97" w:line="193" w:lineRule="auto"/>
              <w:ind w:left="308"/>
            </w:pPr>
            <w:r>
              <w:rPr>
                <w:spacing w:val="-2"/>
              </w:rPr>
              <w:t>0.88</w:t>
            </w:r>
          </w:p>
        </w:tc>
        <w:tc>
          <w:tcPr>
            <w:tcW w:w="706" w:type="dxa"/>
            <w:vAlign w:val="top"/>
          </w:tcPr>
          <w:p w14:paraId="73BEF85D">
            <w:pPr>
              <w:pStyle w:val="6"/>
              <w:spacing w:before="97" w:line="193" w:lineRule="auto"/>
              <w:ind w:left="168"/>
            </w:pPr>
            <w:r>
              <w:rPr>
                <w:spacing w:val="-2"/>
              </w:rPr>
              <w:t>0.80</w:t>
            </w:r>
          </w:p>
        </w:tc>
        <w:tc>
          <w:tcPr>
            <w:tcW w:w="991" w:type="dxa"/>
            <w:vAlign w:val="top"/>
          </w:tcPr>
          <w:p w14:paraId="5460F013">
            <w:pPr>
              <w:pStyle w:val="6"/>
              <w:spacing w:before="97" w:line="193" w:lineRule="auto"/>
              <w:ind w:left="313"/>
            </w:pPr>
            <w:r>
              <w:rPr>
                <w:spacing w:val="-2"/>
              </w:rPr>
              <w:t>0.47</w:t>
            </w:r>
          </w:p>
        </w:tc>
        <w:tc>
          <w:tcPr>
            <w:tcW w:w="990" w:type="dxa"/>
            <w:vAlign w:val="top"/>
          </w:tcPr>
          <w:p w14:paraId="29D6B74E">
            <w:pPr>
              <w:pStyle w:val="6"/>
              <w:spacing w:before="97" w:line="193" w:lineRule="auto"/>
              <w:ind w:left="315"/>
            </w:pPr>
            <w:r>
              <w:rPr>
                <w:spacing w:val="-2"/>
              </w:rPr>
              <w:t>0.42</w:t>
            </w:r>
          </w:p>
        </w:tc>
        <w:tc>
          <w:tcPr>
            <w:tcW w:w="848" w:type="dxa"/>
            <w:vAlign w:val="top"/>
          </w:tcPr>
          <w:p w14:paraId="36C4A92A">
            <w:pPr>
              <w:pStyle w:val="6"/>
              <w:spacing w:before="97" w:line="193" w:lineRule="auto"/>
              <w:ind w:left="245"/>
            </w:pPr>
            <w:r>
              <w:rPr>
                <w:spacing w:val="-2"/>
              </w:rPr>
              <w:t>0.16</w:t>
            </w:r>
          </w:p>
        </w:tc>
        <w:tc>
          <w:tcPr>
            <w:tcW w:w="706" w:type="dxa"/>
            <w:vAlign w:val="top"/>
          </w:tcPr>
          <w:p w14:paraId="65755E30">
            <w:pPr>
              <w:pStyle w:val="6"/>
              <w:spacing w:before="97" w:line="193" w:lineRule="auto"/>
              <w:ind w:left="176"/>
            </w:pPr>
            <w:r>
              <w:rPr>
                <w:spacing w:val="-2"/>
              </w:rPr>
              <w:t>0.40</w:t>
            </w:r>
          </w:p>
        </w:tc>
        <w:tc>
          <w:tcPr>
            <w:tcW w:w="1840" w:type="dxa"/>
            <w:vAlign w:val="top"/>
          </w:tcPr>
          <w:p w14:paraId="39D13DC9">
            <w:pPr>
              <w:pStyle w:val="6"/>
              <w:spacing w:before="188" w:line="100" w:lineRule="exact"/>
              <w:ind w:left="862"/>
            </w:pPr>
            <w:r>
              <w:rPr>
                <w:spacing w:val="-3"/>
                <w:position w:val="-6"/>
              </w:rPr>
              <w:t>--</w:t>
            </w:r>
          </w:p>
        </w:tc>
        <w:tc>
          <w:tcPr>
            <w:tcW w:w="1950" w:type="dxa"/>
            <w:tcBorders>
              <w:right w:val="single" w:color="000000" w:sz="12" w:space="0"/>
            </w:tcBorders>
            <w:vAlign w:val="top"/>
          </w:tcPr>
          <w:p w14:paraId="2CE6A05F">
            <w:pPr>
              <w:pStyle w:val="6"/>
              <w:spacing w:before="101" w:line="189" w:lineRule="auto"/>
              <w:ind w:left="796"/>
            </w:pPr>
            <w:r>
              <w:rPr>
                <w:b/>
                <w:bCs/>
                <w:spacing w:val="-2"/>
              </w:rPr>
              <w:t>4.60</w:t>
            </w:r>
          </w:p>
        </w:tc>
      </w:tr>
      <w:tr w14:paraId="3CDC4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A2F7A4A">
            <w:pPr>
              <w:rPr>
                <w:rFonts w:ascii="Arial"/>
                <w:sz w:val="21"/>
              </w:rPr>
            </w:pPr>
          </w:p>
        </w:tc>
        <w:tc>
          <w:tcPr>
            <w:tcW w:w="329" w:type="dxa"/>
            <w:vMerge w:val="continue"/>
            <w:tcBorders>
              <w:top w:val="nil"/>
              <w:bottom w:val="nil"/>
            </w:tcBorders>
            <w:vAlign w:val="top"/>
          </w:tcPr>
          <w:p w14:paraId="3F2D16E5">
            <w:pPr>
              <w:rPr>
                <w:rFonts w:ascii="Arial"/>
                <w:sz w:val="21"/>
              </w:rPr>
            </w:pPr>
          </w:p>
        </w:tc>
        <w:tc>
          <w:tcPr>
            <w:tcW w:w="1179" w:type="dxa"/>
            <w:vAlign w:val="top"/>
          </w:tcPr>
          <w:p w14:paraId="261DA7D0">
            <w:pPr>
              <w:pStyle w:val="6"/>
              <w:spacing w:before="98" w:line="191" w:lineRule="auto"/>
              <w:ind w:left="151"/>
            </w:pPr>
            <w:r>
              <w:rPr>
                <w:spacing w:val="-1"/>
              </w:rPr>
              <w:t>2020/8/21</w:t>
            </w:r>
          </w:p>
        </w:tc>
        <w:tc>
          <w:tcPr>
            <w:tcW w:w="706" w:type="dxa"/>
            <w:vAlign w:val="top"/>
          </w:tcPr>
          <w:p w14:paraId="44AC07ED">
            <w:pPr>
              <w:pStyle w:val="6"/>
              <w:spacing w:before="98" w:line="191" w:lineRule="auto"/>
              <w:ind w:left="162"/>
            </w:pPr>
            <w:r>
              <w:rPr>
                <w:spacing w:val="-2"/>
              </w:rPr>
              <w:t>0.29</w:t>
            </w:r>
          </w:p>
        </w:tc>
        <w:tc>
          <w:tcPr>
            <w:tcW w:w="707" w:type="dxa"/>
            <w:vAlign w:val="top"/>
          </w:tcPr>
          <w:p w14:paraId="067A5A68">
            <w:pPr>
              <w:pStyle w:val="6"/>
              <w:spacing w:before="103" w:line="186" w:lineRule="auto"/>
              <w:ind w:left="162"/>
            </w:pPr>
            <w:r>
              <w:rPr>
                <w:b/>
                <w:bCs/>
                <w:spacing w:val="-2"/>
              </w:rPr>
              <w:t>4.00</w:t>
            </w:r>
          </w:p>
        </w:tc>
        <w:tc>
          <w:tcPr>
            <w:tcW w:w="989" w:type="dxa"/>
            <w:vAlign w:val="top"/>
          </w:tcPr>
          <w:p w14:paraId="6C6AEB30">
            <w:pPr>
              <w:pStyle w:val="6"/>
              <w:spacing w:before="98" w:line="191" w:lineRule="auto"/>
              <w:ind w:left="308"/>
            </w:pPr>
            <w:r>
              <w:rPr>
                <w:spacing w:val="-2"/>
              </w:rPr>
              <w:t>0.95</w:t>
            </w:r>
          </w:p>
        </w:tc>
        <w:tc>
          <w:tcPr>
            <w:tcW w:w="706" w:type="dxa"/>
            <w:vAlign w:val="top"/>
          </w:tcPr>
          <w:p w14:paraId="7B8A4F6A">
            <w:pPr>
              <w:pStyle w:val="6"/>
              <w:spacing w:before="98" w:line="191" w:lineRule="auto"/>
              <w:ind w:left="168"/>
            </w:pPr>
            <w:r>
              <w:rPr>
                <w:spacing w:val="-2"/>
              </w:rPr>
              <w:t>0.60</w:t>
            </w:r>
          </w:p>
        </w:tc>
        <w:tc>
          <w:tcPr>
            <w:tcW w:w="991" w:type="dxa"/>
            <w:vAlign w:val="top"/>
          </w:tcPr>
          <w:p w14:paraId="216FB766">
            <w:pPr>
              <w:pStyle w:val="6"/>
              <w:spacing w:before="98" w:line="191" w:lineRule="auto"/>
              <w:ind w:left="313"/>
            </w:pPr>
            <w:r>
              <w:rPr>
                <w:spacing w:val="-2"/>
              </w:rPr>
              <w:t>0.60</w:t>
            </w:r>
          </w:p>
        </w:tc>
        <w:tc>
          <w:tcPr>
            <w:tcW w:w="990" w:type="dxa"/>
            <w:vAlign w:val="top"/>
          </w:tcPr>
          <w:p w14:paraId="66E3E89D">
            <w:pPr>
              <w:pStyle w:val="6"/>
              <w:spacing w:before="98" w:line="191" w:lineRule="auto"/>
              <w:ind w:left="315"/>
            </w:pPr>
            <w:r>
              <w:rPr>
                <w:spacing w:val="-2"/>
              </w:rPr>
              <w:t>0.44</w:t>
            </w:r>
          </w:p>
        </w:tc>
        <w:tc>
          <w:tcPr>
            <w:tcW w:w="848" w:type="dxa"/>
            <w:vAlign w:val="top"/>
          </w:tcPr>
          <w:p w14:paraId="0EFBF4B5">
            <w:pPr>
              <w:pStyle w:val="6"/>
              <w:spacing w:before="98" w:line="191" w:lineRule="auto"/>
              <w:ind w:left="245"/>
            </w:pPr>
            <w:r>
              <w:rPr>
                <w:spacing w:val="-2"/>
              </w:rPr>
              <w:t>0.12</w:t>
            </w:r>
          </w:p>
        </w:tc>
        <w:tc>
          <w:tcPr>
            <w:tcW w:w="706" w:type="dxa"/>
            <w:vAlign w:val="top"/>
          </w:tcPr>
          <w:p w14:paraId="107D9307">
            <w:pPr>
              <w:pStyle w:val="6"/>
              <w:spacing w:before="98" w:line="191" w:lineRule="auto"/>
              <w:ind w:left="176"/>
            </w:pPr>
            <w:r>
              <w:rPr>
                <w:spacing w:val="-2"/>
              </w:rPr>
              <w:t>0.60</w:t>
            </w:r>
          </w:p>
        </w:tc>
        <w:tc>
          <w:tcPr>
            <w:tcW w:w="1840" w:type="dxa"/>
            <w:vAlign w:val="top"/>
          </w:tcPr>
          <w:p w14:paraId="449CA181">
            <w:pPr>
              <w:pStyle w:val="6"/>
              <w:spacing w:before="189" w:line="100" w:lineRule="exact"/>
              <w:ind w:left="862"/>
            </w:pPr>
            <w:r>
              <w:rPr>
                <w:spacing w:val="-3"/>
                <w:position w:val="-6"/>
              </w:rPr>
              <w:t>--</w:t>
            </w:r>
          </w:p>
        </w:tc>
        <w:tc>
          <w:tcPr>
            <w:tcW w:w="1950" w:type="dxa"/>
            <w:tcBorders>
              <w:right w:val="single" w:color="000000" w:sz="12" w:space="0"/>
            </w:tcBorders>
            <w:vAlign w:val="top"/>
          </w:tcPr>
          <w:p w14:paraId="428B889F">
            <w:pPr>
              <w:pStyle w:val="6"/>
              <w:spacing w:before="103" w:line="186" w:lineRule="auto"/>
              <w:ind w:left="796"/>
            </w:pPr>
            <w:r>
              <w:rPr>
                <w:b/>
                <w:bCs/>
                <w:spacing w:val="-2"/>
              </w:rPr>
              <w:t>4.20</w:t>
            </w:r>
          </w:p>
        </w:tc>
      </w:tr>
      <w:tr w14:paraId="11810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206F432B">
            <w:pPr>
              <w:rPr>
                <w:rFonts w:ascii="Arial"/>
                <w:sz w:val="21"/>
              </w:rPr>
            </w:pPr>
          </w:p>
        </w:tc>
        <w:tc>
          <w:tcPr>
            <w:tcW w:w="329" w:type="dxa"/>
            <w:vMerge w:val="continue"/>
            <w:tcBorders>
              <w:top w:val="nil"/>
            </w:tcBorders>
            <w:vAlign w:val="top"/>
          </w:tcPr>
          <w:p w14:paraId="2B081C58">
            <w:pPr>
              <w:rPr>
                <w:rFonts w:ascii="Arial"/>
                <w:sz w:val="21"/>
              </w:rPr>
            </w:pPr>
          </w:p>
        </w:tc>
        <w:tc>
          <w:tcPr>
            <w:tcW w:w="1179" w:type="dxa"/>
            <w:vAlign w:val="top"/>
          </w:tcPr>
          <w:p w14:paraId="640BDCC7">
            <w:pPr>
              <w:pStyle w:val="6"/>
              <w:spacing w:before="99" w:line="191" w:lineRule="auto"/>
              <w:ind w:left="151"/>
            </w:pPr>
            <w:r>
              <w:rPr>
                <w:spacing w:val="-1"/>
              </w:rPr>
              <w:t>2020/8/22</w:t>
            </w:r>
          </w:p>
        </w:tc>
        <w:tc>
          <w:tcPr>
            <w:tcW w:w="706" w:type="dxa"/>
            <w:vAlign w:val="top"/>
          </w:tcPr>
          <w:p w14:paraId="70D0E370">
            <w:pPr>
              <w:pStyle w:val="6"/>
              <w:spacing w:before="99" w:line="191" w:lineRule="auto"/>
              <w:ind w:left="162"/>
            </w:pPr>
            <w:r>
              <w:rPr>
                <w:spacing w:val="-2"/>
              </w:rPr>
              <w:t>0.33</w:t>
            </w:r>
          </w:p>
        </w:tc>
        <w:tc>
          <w:tcPr>
            <w:tcW w:w="707" w:type="dxa"/>
            <w:vAlign w:val="top"/>
          </w:tcPr>
          <w:p w14:paraId="6AC3FF65">
            <w:pPr>
              <w:pStyle w:val="6"/>
              <w:spacing w:before="104" w:line="186" w:lineRule="auto"/>
              <w:ind w:left="162"/>
            </w:pPr>
            <w:r>
              <w:rPr>
                <w:b/>
                <w:bCs/>
                <w:spacing w:val="-2"/>
              </w:rPr>
              <w:t>4.60</w:t>
            </w:r>
          </w:p>
        </w:tc>
        <w:tc>
          <w:tcPr>
            <w:tcW w:w="989" w:type="dxa"/>
            <w:vAlign w:val="top"/>
          </w:tcPr>
          <w:p w14:paraId="23BAEEDC">
            <w:pPr>
              <w:pStyle w:val="6"/>
              <w:spacing w:before="99" w:line="191" w:lineRule="auto"/>
              <w:ind w:left="308"/>
            </w:pPr>
            <w:r>
              <w:rPr>
                <w:spacing w:val="-2"/>
              </w:rPr>
              <w:t>0.80</w:t>
            </w:r>
          </w:p>
        </w:tc>
        <w:tc>
          <w:tcPr>
            <w:tcW w:w="706" w:type="dxa"/>
            <w:vAlign w:val="top"/>
          </w:tcPr>
          <w:p w14:paraId="3FDBD79E">
            <w:pPr>
              <w:pStyle w:val="6"/>
              <w:spacing w:before="99" w:line="191" w:lineRule="auto"/>
              <w:ind w:left="168"/>
            </w:pPr>
            <w:r>
              <w:rPr>
                <w:spacing w:val="-2"/>
              </w:rPr>
              <w:t>0.67</w:t>
            </w:r>
          </w:p>
        </w:tc>
        <w:tc>
          <w:tcPr>
            <w:tcW w:w="991" w:type="dxa"/>
            <w:vAlign w:val="top"/>
          </w:tcPr>
          <w:p w14:paraId="618B9D54">
            <w:pPr>
              <w:pStyle w:val="6"/>
              <w:spacing w:before="99" w:line="191" w:lineRule="auto"/>
              <w:ind w:left="313"/>
            </w:pPr>
            <w:r>
              <w:rPr>
                <w:spacing w:val="-2"/>
              </w:rPr>
              <w:t>0.67</w:t>
            </w:r>
          </w:p>
        </w:tc>
        <w:tc>
          <w:tcPr>
            <w:tcW w:w="990" w:type="dxa"/>
            <w:vAlign w:val="top"/>
          </w:tcPr>
          <w:p w14:paraId="0D74EA48">
            <w:pPr>
              <w:pStyle w:val="6"/>
              <w:spacing w:before="99" w:line="191" w:lineRule="auto"/>
              <w:ind w:left="315"/>
            </w:pPr>
            <w:r>
              <w:rPr>
                <w:spacing w:val="-2"/>
              </w:rPr>
              <w:t>0.41</w:t>
            </w:r>
          </w:p>
        </w:tc>
        <w:tc>
          <w:tcPr>
            <w:tcW w:w="848" w:type="dxa"/>
            <w:vAlign w:val="top"/>
          </w:tcPr>
          <w:p w14:paraId="28F47D13">
            <w:pPr>
              <w:pStyle w:val="6"/>
              <w:spacing w:before="99" w:line="191" w:lineRule="auto"/>
              <w:ind w:left="245"/>
            </w:pPr>
            <w:r>
              <w:rPr>
                <w:spacing w:val="-2"/>
              </w:rPr>
              <w:t>0.16</w:t>
            </w:r>
          </w:p>
        </w:tc>
        <w:tc>
          <w:tcPr>
            <w:tcW w:w="706" w:type="dxa"/>
            <w:vAlign w:val="top"/>
          </w:tcPr>
          <w:p w14:paraId="7AB84376">
            <w:pPr>
              <w:pStyle w:val="6"/>
              <w:spacing w:before="99" w:line="191" w:lineRule="auto"/>
              <w:ind w:left="176"/>
            </w:pPr>
            <w:r>
              <w:rPr>
                <w:spacing w:val="-2"/>
              </w:rPr>
              <w:t>0.60</w:t>
            </w:r>
          </w:p>
        </w:tc>
        <w:tc>
          <w:tcPr>
            <w:tcW w:w="1840" w:type="dxa"/>
            <w:vAlign w:val="top"/>
          </w:tcPr>
          <w:p w14:paraId="686C3626">
            <w:pPr>
              <w:pStyle w:val="6"/>
              <w:spacing w:before="190" w:line="100" w:lineRule="exact"/>
              <w:ind w:left="862"/>
            </w:pPr>
            <w:r>
              <w:rPr>
                <w:spacing w:val="-3"/>
                <w:position w:val="-6"/>
              </w:rPr>
              <w:t>--</w:t>
            </w:r>
          </w:p>
        </w:tc>
        <w:tc>
          <w:tcPr>
            <w:tcW w:w="1950" w:type="dxa"/>
            <w:tcBorders>
              <w:right w:val="single" w:color="000000" w:sz="12" w:space="0"/>
            </w:tcBorders>
            <w:vAlign w:val="top"/>
          </w:tcPr>
          <w:p w14:paraId="37D3005D">
            <w:pPr>
              <w:pStyle w:val="6"/>
              <w:spacing w:before="104" w:line="186" w:lineRule="auto"/>
              <w:ind w:left="796"/>
            </w:pPr>
            <w:r>
              <w:rPr>
                <w:b/>
                <w:bCs/>
                <w:spacing w:val="-2"/>
              </w:rPr>
              <w:t>4.70</w:t>
            </w:r>
          </w:p>
        </w:tc>
      </w:tr>
      <w:tr w14:paraId="4A52B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376FF9A">
            <w:pPr>
              <w:rPr>
                <w:rFonts w:ascii="Arial"/>
                <w:sz w:val="21"/>
              </w:rPr>
            </w:pPr>
          </w:p>
        </w:tc>
        <w:tc>
          <w:tcPr>
            <w:tcW w:w="329" w:type="dxa"/>
            <w:vMerge w:val="restart"/>
            <w:tcBorders>
              <w:bottom w:val="nil"/>
            </w:tcBorders>
            <w:vAlign w:val="top"/>
          </w:tcPr>
          <w:p w14:paraId="1D7135A4">
            <w:pPr>
              <w:pStyle w:val="6"/>
              <w:spacing w:before="140" w:line="222" w:lineRule="auto"/>
              <w:ind w:left="96"/>
            </w:pPr>
            <w:r>
              <w:t>4</w:t>
            </w:r>
          </w:p>
          <w:p w14:paraId="090057E6">
            <w:pPr>
              <w:spacing w:line="219" w:lineRule="auto"/>
              <w:ind w:left="49"/>
              <w:rPr>
                <w:rFonts w:ascii="宋体" w:hAnsi="宋体" w:eastAsia="宋体" w:cs="宋体"/>
                <w:sz w:val="21"/>
                <w:szCs w:val="21"/>
              </w:rPr>
            </w:pPr>
            <w:r>
              <w:rPr>
                <w:rFonts w:ascii="宋体" w:hAnsi="宋体" w:eastAsia="宋体" w:cs="宋体"/>
                <w:sz w:val="21"/>
                <w:szCs w:val="21"/>
              </w:rPr>
              <w:t>季</w:t>
            </w:r>
          </w:p>
          <w:p w14:paraId="3C4E8BBD">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179" w:type="dxa"/>
            <w:vAlign w:val="top"/>
          </w:tcPr>
          <w:p w14:paraId="293D706B">
            <w:pPr>
              <w:pStyle w:val="6"/>
              <w:spacing w:before="99" w:line="190" w:lineRule="auto"/>
              <w:ind w:left="98"/>
            </w:pPr>
            <w:r>
              <w:rPr>
                <w:spacing w:val="-1"/>
              </w:rPr>
              <w:t>2020/11/15</w:t>
            </w:r>
          </w:p>
        </w:tc>
        <w:tc>
          <w:tcPr>
            <w:tcW w:w="706" w:type="dxa"/>
            <w:vAlign w:val="top"/>
          </w:tcPr>
          <w:p w14:paraId="3229234B">
            <w:pPr>
              <w:pStyle w:val="6"/>
              <w:spacing w:before="99" w:line="190" w:lineRule="auto"/>
              <w:ind w:left="162"/>
            </w:pPr>
            <w:r>
              <w:rPr>
                <w:spacing w:val="-2"/>
              </w:rPr>
              <w:t>0.25</w:t>
            </w:r>
          </w:p>
        </w:tc>
        <w:tc>
          <w:tcPr>
            <w:tcW w:w="707" w:type="dxa"/>
            <w:vAlign w:val="top"/>
          </w:tcPr>
          <w:p w14:paraId="6244723E">
            <w:pPr>
              <w:pStyle w:val="6"/>
              <w:spacing w:before="104" w:line="185" w:lineRule="auto"/>
              <w:ind w:left="160"/>
            </w:pPr>
            <w:r>
              <w:rPr>
                <w:b/>
                <w:bCs/>
                <w:spacing w:val="-1"/>
              </w:rPr>
              <w:t>3.70</w:t>
            </w:r>
          </w:p>
        </w:tc>
        <w:tc>
          <w:tcPr>
            <w:tcW w:w="989" w:type="dxa"/>
            <w:vAlign w:val="top"/>
          </w:tcPr>
          <w:p w14:paraId="57F5690C">
            <w:pPr>
              <w:pStyle w:val="6"/>
              <w:spacing w:before="99" w:line="190" w:lineRule="auto"/>
              <w:ind w:left="308"/>
            </w:pPr>
            <w:r>
              <w:rPr>
                <w:spacing w:val="-2"/>
              </w:rPr>
              <w:t>0.65</w:t>
            </w:r>
          </w:p>
        </w:tc>
        <w:tc>
          <w:tcPr>
            <w:tcW w:w="706" w:type="dxa"/>
            <w:vAlign w:val="top"/>
          </w:tcPr>
          <w:p w14:paraId="519EDA9E">
            <w:pPr>
              <w:pStyle w:val="6"/>
              <w:spacing w:before="99" w:line="190" w:lineRule="auto"/>
              <w:ind w:left="168"/>
            </w:pPr>
            <w:r>
              <w:rPr>
                <w:spacing w:val="-2"/>
              </w:rPr>
              <w:t>0.87</w:t>
            </w:r>
          </w:p>
        </w:tc>
        <w:tc>
          <w:tcPr>
            <w:tcW w:w="991" w:type="dxa"/>
            <w:vAlign w:val="top"/>
          </w:tcPr>
          <w:p w14:paraId="08D33459">
            <w:pPr>
              <w:pStyle w:val="6"/>
              <w:spacing w:before="99" w:line="190" w:lineRule="auto"/>
              <w:ind w:left="313"/>
            </w:pPr>
            <w:r>
              <w:rPr>
                <w:spacing w:val="-2"/>
              </w:rPr>
              <w:t>0.83</w:t>
            </w:r>
          </w:p>
        </w:tc>
        <w:tc>
          <w:tcPr>
            <w:tcW w:w="990" w:type="dxa"/>
            <w:vAlign w:val="top"/>
          </w:tcPr>
          <w:p w14:paraId="4CCC562B">
            <w:pPr>
              <w:pStyle w:val="6"/>
              <w:spacing w:before="99" w:line="190" w:lineRule="auto"/>
              <w:ind w:left="315"/>
            </w:pPr>
            <w:r>
              <w:rPr>
                <w:spacing w:val="-2"/>
              </w:rPr>
              <w:t>0.55</w:t>
            </w:r>
          </w:p>
        </w:tc>
        <w:tc>
          <w:tcPr>
            <w:tcW w:w="848" w:type="dxa"/>
            <w:vAlign w:val="top"/>
          </w:tcPr>
          <w:p w14:paraId="3A55107A">
            <w:pPr>
              <w:pStyle w:val="6"/>
              <w:spacing w:before="99" w:line="190" w:lineRule="auto"/>
              <w:ind w:left="245"/>
            </w:pPr>
            <w:r>
              <w:rPr>
                <w:spacing w:val="-2"/>
              </w:rPr>
              <w:t>0.12</w:t>
            </w:r>
          </w:p>
        </w:tc>
        <w:tc>
          <w:tcPr>
            <w:tcW w:w="706" w:type="dxa"/>
            <w:vAlign w:val="top"/>
          </w:tcPr>
          <w:p w14:paraId="27F3E0F9">
            <w:pPr>
              <w:pStyle w:val="6"/>
              <w:spacing w:before="99" w:line="190" w:lineRule="auto"/>
              <w:ind w:left="176"/>
            </w:pPr>
            <w:r>
              <w:rPr>
                <w:spacing w:val="-2"/>
              </w:rPr>
              <w:t>0.40</w:t>
            </w:r>
          </w:p>
        </w:tc>
        <w:tc>
          <w:tcPr>
            <w:tcW w:w="1840" w:type="dxa"/>
            <w:vAlign w:val="top"/>
          </w:tcPr>
          <w:p w14:paraId="69763F31">
            <w:pPr>
              <w:pStyle w:val="6"/>
              <w:spacing w:before="190" w:line="100" w:lineRule="exact"/>
              <w:ind w:left="862"/>
            </w:pPr>
            <w:r>
              <w:rPr>
                <w:spacing w:val="-3"/>
                <w:position w:val="-6"/>
              </w:rPr>
              <w:t>--</w:t>
            </w:r>
          </w:p>
        </w:tc>
        <w:tc>
          <w:tcPr>
            <w:tcW w:w="1950" w:type="dxa"/>
            <w:tcBorders>
              <w:right w:val="single" w:color="000000" w:sz="12" w:space="0"/>
            </w:tcBorders>
            <w:vAlign w:val="top"/>
          </w:tcPr>
          <w:p w14:paraId="53B70BEF">
            <w:pPr>
              <w:pStyle w:val="6"/>
              <w:spacing w:before="99" w:line="190" w:lineRule="auto"/>
              <w:ind w:left="799"/>
            </w:pPr>
            <w:r>
              <w:rPr>
                <w:spacing w:val="-2"/>
              </w:rPr>
              <w:t>0.65</w:t>
            </w:r>
          </w:p>
        </w:tc>
      </w:tr>
      <w:tr w14:paraId="70F82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7FB41937">
            <w:pPr>
              <w:rPr>
                <w:rFonts w:ascii="Arial"/>
                <w:sz w:val="21"/>
              </w:rPr>
            </w:pPr>
          </w:p>
        </w:tc>
        <w:tc>
          <w:tcPr>
            <w:tcW w:w="329" w:type="dxa"/>
            <w:vMerge w:val="continue"/>
            <w:tcBorders>
              <w:top w:val="nil"/>
              <w:bottom w:val="nil"/>
            </w:tcBorders>
            <w:vAlign w:val="top"/>
          </w:tcPr>
          <w:p w14:paraId="6662372E">
            <w:pPr>
              <w:rPr>
                <w:rFonts w:ascii="Arial"/>
                <w:sz w:val="21"/>
              </w:rPr>
            </w:pPr>
          </w:p>
        </w:tc>
        <w:tc>
          <w:tcPr>
            <w:tcW w:w="1179" w:type="dxa"/>
            <w:vAlign w:val="top"/>
          </w:tcPr>
          <w:p w14:paraId="36834931">
            <w:pPr>
              <w:pStyle w:val="6"/>
              <w:spacing w:before="101" w:line="188" w:lineRule="auto"/>
              <w:ind w:left="98"/>
            </w:pPr>
            <w:r>
              <w:rPr>
                <w:spacing w:val="-1"/>
              </w:rPr>
              <w:t>2020/11/16</w:t>
            </w:r>
          </w:p>
        </w:tc>
        <w:tc>
          <w:tcPr>
            <w:tcW w:w="706" w:type="dxa"/>
            <w:vAlign w:val="top"/>
          </w:tcPr>
          <w:p w14:paraId="1715B42D">
            <w:pPr>
              <w:pStyle w:val="6"/>
              <w:spacing w:before="101" w:line="188" w:lineRule="auto"/>
              <w:ind w:left="162"/>
            </w:pPr>
            <w:r>
              <w:rPr>
                <w:spacing w:val="-2"/>
              </w:rPr>
              <w:t>0.20</w:t>
            </w:r>
          </w:p>
        </w:tc>
        <w:tc>
          <w:tcPr>
            <w:tcW w:w="707" w:type="dxa"/>
            <w:vAlign w:val="top"/>
          </w:tcPr>
          <w:p w14:paraId="1E10FFE4">
            <w:pPr>
              <w:pStyle w:val="6"/>
              <w:spacing w:before="106" w:line="183" w:lineRule="auto"/>
              <w:ind w:left="162"/>
            </w:pPr>
            <w:r>
              <w:rPr>
                <w:b/>
                <w:bCs/>
                <w:spacing w:val="-2"/>
              </w:rPr>
              <w:t>4.15</w:t>
            </w:r>
          </w:p>
        </w:tc>
        <w:tc>
          <w:tcPr>
            <w:tcW w:w="989" w:type="dxa"/>
            <w:vAlign w:val="top"/>
          </w:tcPr>
          <w:p w14:paraId="32E629CF">
            <w:pPr>
              <w:pStyle w:val="6"/>
              <w:spacing w:before="101" w:line="188" w:lineRule="auto"/>
              <w:ind w:left="308"/>
            </w:pPr>
            <w:r>
              <w:rPr>
                <w:spacing w:val="-2"/>
              </w:rPr>
              <w:t>0.70</w:t>
            </w:r>
          </w:p>
        </w:tc>
        <w:tc>
          <w:tcPr>
            <w:tcW w:w="706" w:type="dxa"/>
            <w:vAlign w:val="top"/>
          </w:tcPr>
          <w:p w14:paraId="759FD896">
            <w:pPr>
              <w:pStyle w:val="6"/>
              <w:spacing w:before="101" w:line="188" w:lineRule="auto"/>
              <w:ind w:left="168"/>
            </w:pPr>
            <w:r>
              <w:rPr>
                <w:spacing w:val="-2"/>
              </w:rPr>
              <w:t>0.73</w:t>
            </w:r>
          </w:p>
        </w:tc>
        <w:tc>
          <w:tcPr>
            <w:tcW w:w="991" w:type="dxa"/>
            <w:vAlign w:val="top"/>
          </w:tcPr>
          <w:p w14:paraId="133AC80F">
            <w:pPr>
              <w:pStyle w:val="6"/>
              <w:spacing w:before="101" w:line="188" w:lineRule="auto"/>
              <w:ind w:left="313"/>
            </w:pPr>
            <w:r>
              <w:rPr>
                <w:spacing w:val="-2"/>
              </w:rPr>
              <w:t>0.73</w:t>
            </w:r>
          </w:p>
        </w:tc>
        <w:tc>
          <w:tcPr>
            <w:tcW w:w="990" w:type="dxa"/>
            <w:vAlign w:val="top"/>
          </w:tcPr>
          <w:p w14:paraId="7BA5312C">
            <w:pPr>
              <w:pStyle w:val="6"/>
              <w:spacing w:before="101" w:line="188" w:lineRule="auto"/>
              <w:ind w:left="315"/>
            </w:pPr>
            <w:r>
              <w:rPr>
                <w:spacing w:val="-2"/>
              </w:rPr>
              <w:t>0.52</w:t>
            </w:r>
          </w:p>
        </w:tc>
        <w:tc>
          <w:tcPr>
            <w:tcW w:w="848" w:type="dxa"/>
            <w:vAlign w:val="top"/>
          </w:tcPr>
          <w:p w14:paraId="1FF3C920">
            <w:pPr>
              <w:pStyle w:val="6"/>
              <w:spacing w:before="101" w:line="188" w:lineRule="auto"/>
              <w:ind w:left="245"/>
            </w:pPr>
            <w:r>
              <w:rPr>
                <w:spacing w:val="-2"/>
              </w:rPr>
              <w:t>0.12</w:t>
            </w:r>
          </w:p>
        </w:tc>
        <w:tc>
          <w:tcPr>
            <w:tcW w:w="706" w:type="dxa"/>
            <w:vAlign w:val="top"/>
          </w:tcPr>
          <w:p w14:paraId="1FC74AEF">
            <w:pPr>
              <w:pStyle w:val="6"/>
              <w:spacing w:before="101" w:line="188" w:lineRule="auto"/>
              <w:ind w:left="176"/>
            </w:pPr>
            <w:r>
              <w:rPr>
                <w:spacing w:val="-2"/>
              </w:rPr>
              <w:t>0.60</w:t>
            </w:r>
          </w:p>
        </w:tc>
        <w:tc>
          <w:tcPr>
            <w:tcW w:w="1840" w:type="dxa"/>
            <w:vAlign w:val="top"/>
          </w:tcPr>
          <w:p w14:paraId="282E0744">
            <w:pPr>
              <w:pStyle w:val="6"/>
              <w:spacing w:before="192" w:line="99" w:lineRule="exact"/>
              <w:ind w:left="862"/>
            </w:pPr>
            <w:r>
              <w:rPr>
                <w:spacing w:val="-3"/>
                <w:position w:val="-6"/>
              </w:rPr>
              <w:t>--</w:t>
            </w:r>
          </w:p>
        </w:tc>
        <w:tc>
          <w:tcPr>
            <w:tcW w:w="1950" w:type="dxa"/>
            <w:tcBorders>
              <w:right w:val="single" w:color="000000" w:sz="12" w:space="0"/>
            </w:tcBorders>
            <w:vAlign w:val="top"/>
          </w:tcPr>
          <w:p w14:paraId="10F8E245">
            <w:pPr>
              <w:pStyle w:val="6"/>
              <w:spacing w:before="101" w:line="188" w:lineRule="auto"/>
              <w:ind w:left="799"/>
            </w:pPr>
            <w:r>
              <w:rPr>
                <w:spacing w:val="-2"/>
              </w:rPr>
              <w:t>0.55</w:t>
            </w:r>
          </w:p>
        </w:tc>
      </w:tr>
      <w:tr w14:paraId="1E954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465" w:type="dxa"/>
            <w:vMerge w:val="continue"/>
            <w:tcBorders>
              <w:top w:val="nil"/>
              <w:left w:val="single" w:color="000000" w:sz="12" w:space="0"/>
              <w:bottom w:val="single" w:color="000000" w:sz="12" w:space="0"/>
            </w:tcBorders>
            <w:vAlign w:val="top"/>
          </w:tcPr>
          <w:p w14:paraId="225E4BE6">
            <w:pPr>
              <w:rPr>
                <w:rFonts w:ascii="Arial"/>
                <w:sz w:val="21"/>
              </w:rPr>
            </w:pPr>
          </w:p>
        </w:tc>
        <w:tc>
          <w:tcPr>
            <w:tcW w:w="329" w:type="dxa"/>
            <w:vMerge w:val="continue"/>
            <w:tcBorders>
              <w:top w:val="nil"/>
              <w:bottom w:val="single" w:color="000000" w:sz="12" w:space="0"/>
            </w:tcBorders>
            <w:vAlign w:val="top"/>
          </w:tcPr>
          <w:p w14:paraId="5ACFD31B">
            <w:pPr>
              <w:rPr>
                <w:rFonts w:ascii="Arial"/>
                <w:sz w:val="21"/>
              </w:rPr>
            </w:pPr>
          </w:p>
        </w:tc>
        <w:tc>
          <w:tcPr>
            <w:tcW w:w="1179" w:type="dxa"/>
            <w:tcBorders>
              <w:bottom w:val="single" w:color="000000" w:sz="12" w:space="0"/>
            </w:tcBorders>
            <w:vAlign w:val="top"/>
          </w:tcPr>
          <w:p w14:paraId="292CD045">
            <w:pPr>
              <w:pStyle w:val="6"/>
              <w:spacing w:before="103" w:line="209" w:lineRule="auto"/>
              <w:ind w:left="98"/>
            </w:pPr>
            <w:r>
              <w:rPr>
                <w:spacing w:val="-1"/>
              </w:rPr>
              <w:t>2020/11/17</w:t>
            </w:r>
          </w:p>
        </w:tc>
        <w:tc>
          <w:tcPr>
            <w:tcW w:w="706" w:type="dxa"/>
            <w:tcBorders>
              <w:bottom w:val="single" w:color="000000" w:sz="12" w:space="0"/>
            </w:tcBorders>
            <w:vAlign w:val="top"/>
          </w:tcPr>
          <w:p w14:paraId="4FC64B75">
            <w:pPr>
              <w:pStyle w:val="6"/>
              <w:spacing w:before="103" w:line="209" w:lineRule="auto"/>
              <w:ind w:left="162"/>
            </w:pPr>
            <w:r>
              <w:rPr>
                <w:spacing w:val="-2"/>
              </w:rPr>
              <w:t>0.17</w:t>
            </w:r>
          </w:p>
        </w:tc>
        <w:tc>
          <w:tcPr>
            <w:tcW w:w="707" w:type="dxa"/>
            <w:tcBorders>
              <w:bottom w:val="single" w:color="000000" w:sz="12" w:space="0"/>
            </w:tcBorders>
            <w:vAlign w:val="top"/>
          </w:tcPr>
          <w:p w14:paraId="44B7C77D">
            <w:pPr>
              <w:pStyle w:val="6"/>
              <w:spacing w:before="107" w:line="205" w:lineRule="auto"/>
              <w:ind w:left="162"/>
            </w:pPr>
            <w:r>
              <w:rPr>
                <w:b/>
                <w:bCs/>
                <w:spacing w:val="-2"/>
              </w:rPr>
              <w:t>2.95</w:t>
            </w:r>
          </w:p>
        </w:tc>
        <w:tc>
          <w:tcPr>
            <w:tcW w:w="989" w:type="dxa"/>
            <w:tcBorders>
              <w:bottom w:val="single" w:color="000000" w:sz="12" w:space="0"/>
            </w:tcBorders>
            <w:vAlign w:val="top"/>
          </w:tcPr>
          <w:p w14:paraId="11AFD3A7">
            <w:pPr>
              <w:pStyle w:val="6"/>
              <w:spacing w:before="103" w:line="209" w:lineRule="auto"/>
              <w:ind w:left="308"/>
            </w:pPr>
            <w:r>
              <w:rPr>
                <w:spacing w:val="-2"/>
              </w:rPr>
              <w:t>0.75</w:t>
            </w:r>
          </w:p>
        </w:tc>
        <w:tc>
          <w:tcPr>
            <w:tcW w:w="706" w:type="dxa"/>
            <w:tcBorders>
              <w:bottom w:val="single" w:color="000000" w:sz="12" w:space="0"/>
            </w:tcBorders>
            <w:vAlign w:val="top"/>
          </w:tcPr>
          <w:p w14:paraId="27773F43">
            <w:pPr>
              <w:pStyle w:val="6"/>
              <w:spacing w:before="103" w:line="209" w:lineRule="auto"/>
              <w:ind w:left="168"/>
            </w:pPr>
            <w:r>
              <w:rPr>
                <w:spacing w:val="-2"/>
              </w:rPr>
              <w:t>0.67</w:t>
            </w:r>
          </w:p>
        </w:tc>
        <w:tc>
          <w:tcPr>
            <w:tcW w:w="991" w:type="dxa"/>
            <w:tcBorders>
              <w:bottom w:val="single" w:color="000000" w:sz="12" w:space="0"/>
            </w:tcBorders>
            <w:vAlign w:val="top"/>
          </w:tcPr>
          <w:p w14:paraId="6710A4B7">
            <w:pPr>
              <w:pStyle w:val="6"/>
              <w:spacing w:before="103" w:line="209" w:lineRule="auto"/>
              <w:ind w:left="313"/>
            </w:pPr>
            <w:r>
              <w:rPr>
                <w:spacing w:val="-2"/>
              </w:rPr>
              <w:t>0.70</w:t>
            </w:r>
          </w:p>
        </w:tc>
        <w:tc>
          <w:tcPr>
            <w:tcW w:w="990" w:type="dxa"/>
            <w:tcBorders>
              <w:bottom w:val="single" w:color="000000" w:sz="12" w:space="0"/>
            </w:tcBorders>
            <w:vAlign w:val="top"/>
          </w:tcPr>
          <w:p w14:paraId="4E552AD6">
            <w:pPr>
              <w:pStyle w:val="6"/>
              <w:spacing w:before="103" w:line="209" w:lineRule="auto"/>
              <w:ind w:left="315"/>
            </w:pPr>
            <w:r>
              <w:rPr>
                <w:spacing w:val="-2"/>
              </w:rPr>
              <w:t>0.53</w:t>
            </w:r>
          </w:p>
        </w:tc>
        <w:tc>
          <w:tcPr>
            <w:tcW w:w="848" w:type="dxa"/>
            <w:tcBorders>
              <w:bottom w:val="single" w:color="000000" w:sz="12" w:space="0"/>
            </w:tcBorders>
            <w:vAlign w:val="top"/>
          </w:tcPr>
          <w:p w14:paraId="5F023228">
            <w:pPr>
              <w:pStyle w:val="6"/>
              <w:spacing w:before="103" w:line="209" w:lineRule="auto"/>
              <w:ind w:left="245"/>
            </w:pPr>
            <w:r>
              <w:rPr>
                <w:spacing w:val="-2"/>
              </w:rPr>
              <w:t>0.16</w:t>
            </w:r>
          </w:p>
        </w:tc>
        <w:tc>
          <w:tcPr>
            <w:tcW w:w="706" w:type="dxa"/>
            <w:tcBorders>
              <w:bottom w:val="single" w:color="000000" w:sz="12" w:space="0"/>
            </w:tcBorders>
            <w:vAlign w:val="top"/>
          </w:tcPr>
          <w:p w14:paraId="26A1979B">
            <w:pPr>
              <w:pStyle w:val="6"/>
              <w:spacing w:before="103" w:line="209" w:lineRule="auto"/>
              <w:ind w:left="176"/>
            </w:pPr>
            <w:r>
              <w:rPr>
                <w:spacing w:val="-2"/>
              </w:rPr>
              <w:t>0.40</w:t>
            </w:r>
          </w:p>
        </w:tc>
        <w:tc>
          <w:tcPr>
            <w:tcW w:w="1840" w:type="dxa"/>
            <w:tcBorders>
              <w:bottom w:val="single" w:color="000000" w:sz="12" w:space="0"/>
            </w:tcBorders>
            <w:vAlign w:val="top"/>
          </w:tcPr>
          <w:p w14:paraId="250990D6">
            <w:pPr>
              <w:pStyle w:val="6"/>
              <w:spacing w:before="193" w:line="101" w:lineRule="exact"/>
              <w:ind w:left="862"/>
            </w:pPr>
            <w:r>
              <w:rPr>
                <w:spacing w:val="-3"/>
                <w:position w:val="-6"/>
              </w:rPr>
              <w:t>--</w:t>
            </w:r>
          </w:p>
        </w:tc>
        <w:tc>
          <w:tcPr>
            <w:tcW w:w="1950" w:type="dxa"/>
            <w:tcBorders>
              <w:bottom w:val="single" w:color="000000" w:sz="12" w:space="0"/>
              <w:right w:val="single" w:color="000000" w:sz="12" w:space="0"/>
            </w:tcBorders>
            <w:vAlign w:val="top"/>
          </w:tcPr>
          <w:p w14:paraId="2BB26CD8">
            <w:pPr>
              <w:pStyle w:val="6"/>
              <w:spacing w:before="103" w:line="209" w:lineRule="auto"/>
              <w:ind w:left="799"/>
            </w:pPr>
            <w:r>
              <w:rPr>
                <w:spacing w:val="-2"/>
              </w:rPr>
              <w:t>0.60</w:t>
            </w:r>
          </w:p>
        </w:tc>
      </w:tr>
    </w:tbl>
    <w:p w14:paraId="169A3880">
      <w:pPr>
        <w:pStyle w:val="2"/>
        <w:spacing w:before="31" w:line="237" w:lineRule="auto"/>
        <w:ind w:left="55" w:right="261" w:hanging="15"/>
        <w:rPr>
          <w:sz w:val="21"/>
          <w:szCs w:val="21"/>
        </w:rPr>
      </w:pPr>
      <w:r>
        <w:rPr>
          <w:spacing w:val="-3"/>
          <w:sz w:val="21"/>
          <w:szCs w:val="21"/>
        </w:rPr>
        <w:t>备注：</w:t>
      </w:r>
      <w:r>
        <w:rPr>
          <w:rFonts w:ascii="Times New Roman" w:hAnsi="Times New Roman" w:eastAsia="Times New Roman" w:cs="Times New Roman"/>
          <w:spacing w:val="-3"/>
          <w:sz w:val="21"/>
          <w:szCs w:val="21"/>
        </w:rPr>
        <w:t>1</w:t>
      </w:r>
      <w:r>
        <w:rPr>
          <w:spacing w:val="-3"/>
          <w:sz w:val="21"/>
          <w:szCs w:val="21"/>
        </w:rPr>
        <w:t>、马龙河执行《地表水环境质量标准》（</w:t>
      </w:r>
      <w:r>
        <w:rPr>
          <w:rFonts w:ascii="Times New Roman" w:hAnsi="Times New Roman" w:eastAsia="Times New Roman" w:cs="Times New Roman"/>
          <w:spacing w:val="-3"/>
          <w:sz w:val="21"/>
          <w:szCs w:val="21"/>
        </w:rPr>
        <w:t>GB3838-2002</w:t>
      </w:r>
      <w:r>
        <w:rPr>
          <w:spacing w:val="-3"/>
          <w:sz w:val="21"/>
          <w:szCs w:val="21"/>
        </w:rPr>
        <w:t>）中Ⅲ类标准，面店水库执行Ⅱ类标准；</w:t>
      </w:r>
      <w:r>
        <w:rPr>
          <w:rFonts w:ascii="Times New Roman" w:hAnsi="Times New Roman" w:eastAsia="Times New Roman" w:cs="Times New Roman"/>
          <w:spacing w:val="-3"/>
          <w:sz w:val="21"/>
          <w:szCs w:val="21"/>
        </w:rPr>
        <w:t>2</w:t>
      </w:r>
      <w:r>
        <w:rPr>
          <w:spacing w:val="-3"/>
          <w:sz w:val="21"/>
          <w:szCs w:val="21"/>
        </w:rPr>
        <w:t>、加粗字体表示超标；</w:t>
      </w:r>
      <w:r>
        <w:rPr>
          <w:rFonts w:ascii="Times New Roman" w:hAnsi="Times New Roman" w:eastAsia="Times New Roman" w:cs="Times New Roman"/>
          <w:spacing w:val="-3"/>
          <w:sz w:val="21"/>
          <w:szCs w:val="21"/>
        </w:rPr>
        <w:t>3</w:t>
      </w:r>
      <w:r>
        <w:rPr>
          <w:spacing w:val="-3"/>
          <w:sz w:val="21"/>
          <w:szCs w:val="21"/>
        </w:rPr>
        <w:t>、“</w:t>
      </w:r>
      <w:r>
        <w:rPr>
          <w:rFonts w:ascii="Times New Roman" w:hAnsi="Times New Roman" w:eastAsia="Times New Roman" w:cs="Times New Roman"/>
          <w:spacing w:val="-4"/>
          <w:sz w:val="21"/>
          <w:szCs w:val="21"/>
        </w:rPr>
        <w:t>--</w:t>
      </w:r>
      <w:r>
        <w:rPr>
          <w:spacing w:val="-4"/>
          <w:sz w:val="21"/>
          <w:szCs w:val="21"/>
        </w:rPr>
        <w:t>”表示未检</w:t>
      </w:r>
      <w:r>
        <w:rPr>
          <w:spacing w:val="-15"/>
          <w:sz w:val="21"/>
          <w:szCs w:val="21"/>
        </w:rPr>
        <w:t>出。</w:t>
      </w:r>
    </w:p>
    <w:p w14:paraId="3BE58B3B">
      <w:pPr>
        <w:spacing w:line="237" w:lineRule="auto"/>
        <w:rPr>
          <w:sz w:val="21"/>
          <w:szCs w:val="21"/>
        </w:rPr>
        <w:sectPr>
          <w:footerReference r:id="rId249" w:type="default"/>
          <w:pgSz w:w="16839" w:h="11907"/>
          <w:pgMar w:top="1376" w:right="1669" w:bottom="1061" w:left="1671" w:header="999" w:footer="861" w:gutter="0"/>
          <w:cols w:space="720" w:num="1"/>
        </w:sectPr>
      </w:pPr>
    </w:p>
    <w:p w14:paraId="35B6988E">
      <w:pPr>
        <w:spacing w:line="455" w:lineRule="auto"/>
        <w:rPr>
          <w:rFonts w:ascii="Arial"/>
          <w:sz w:val="21"/>
        </w:rPr>
      </w:pPr>
    </w:p>
    <w:p w14:paraId="2C8A01F9">
      <w:pPr>
        <w:pStyle w:val="2"/>
        <w:spacing w:before="78" w:line="226" w:lineRule="auto"/>
        <w:ind w:left="279"/>
        <w:rPr>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6.2-8                                                          </w:t>
      </w:r>
      <w:r>
        <w:rPr>
          <w:rFonts w:ascii="Times New Roman" w:hAnsi="Times New Roman" w:eastAsia="Times New Roman" w:cs="Times New Roman"/>
          <w:b/>
          <w:bCs/>
          <w:spacing w:val="-1"/>
          <w:sz w:val="24"/>
          <w:szCs w:val="24"/>
        </w:rPr>
        <w:t xml:space="preserve">2021 </w:t>
      </w:r>
      <w:r>
        <w:rPr>
          <w:b/>
          <w:bCs/>
          <w:spacing w:val="-1"/>
          <w:sz w:val="24"/>
          <w:szCs w:val="24"/>
        </w:rPr>
        <w:t>年施工期地表水水质监测结果评价表（</w:t>
      </w:r>
      <w:r>
        <w:rPr>
          <w:rFonts w:ascii="Times New Roman" w:hAnsi="Times New Roman" w:eastAsia="Times New Roman" w:cs="Times New Roman"/>
          <w:b/>
          <w:bCs/>
          <w:i/>
          <w:iCs/>
          <w:spacing w:val="-1"/>
          <w:sz w:val="24"/>
          <w:szCs w:val="24"/>
        </w:rPr>
        <w:t>S</w:t>
      </w:r>
      <w:r>
        <w:rPr>
          <w:rFonts w:ascii="Times New Roman" w:hAnsi="Times New Roman" w:eastAsia="Times New Roman" w:cs="Times New Roman"/>
          <w:b/>
          <w:bCs/>
          <w:i/>
          <w:iCs/>
          <w:spacing w:val="-1"/>
          <w:position w:val="-1"/>
          <w:sz w:val="15"/>
          <w:szCs w:val="15"/>
        </w:rPr>
        <w:t>i</w:t>
      </w:r>
      <w:r>
        <w:rPr>
          <w:b/>
          <w:bCs/>
          <w:i/>
          <w:iCs/>
          <w:spacing w:val="-1"/>
          <w:position w:val="-1"/>
          <w:sz w:val="12"/>
          <w:szCs w:val="12"/>
        </w:rPr>
        <w:t>，</w:t>
      </w:r>
      <w:r>
        <w:rPr>
          <w:rFonts w:ascii="Times New Roman" w:hAnsi="Times New Roman" w:eastAsia="Times New Roman" w:cs="Times New Roman"/>
          <w:b/>
          <w:bCs/>
          <w:i/>
          <w:iCs/>
          <w:spacing w:val="-1"/>
          <w:sz w:val="15"/>
          <w:szCs w:val="15"/>
        </w:rPr>
        <w:t>j</w:t>
      </w:r>
      <w:r>
        <w:rPr>
          <w:b/>
          <w:bCs/>
          <w:spacing w:val="-1"/>
          <w:sz w:val="24"/>
          <w:szCs w:val="24"/>
        </w:rPr>
        <w:t>）</w:t>
      </w: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036"/>
        <w:gridCol w:w="848"/>
        <w:gridCol w:w="848"/>
        <w:gridCol w:w="990"/>
        <w:gridCol w:w="990"/>
        <w:gridCol w:w="1132"/>
        <w:gridCol w:w="848"/>
        <w:gridCol w:w="992"/>
        <w:gridCol w:w="706"/>
        <w:gridCol w:w="1838"/>
        <w:gridCol w:w="1384"/>
      </w:tblGrid>
      <w:tr w14:paraId="4E5AD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465" w:type="dxa"/>
            <w:tcBorders>
              <w:top w:val="single" w:color="000000" w:sz="12" w:space="0"/>
              <w:left w:val="single" w:color="000000" w:sz="12" w:space="0"/>
            </w:tcBorders>
            <w:vAlign w:val="top"/>
          </w:tcPr>
          <w:p w14:paraId="71AEB6D5">
            <w:pPr>
              <w:spacing w:before="59"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365" w:type="dxa"/>
            <w:gridSpan w:val="2"/>
            <w:tcBorders>
              <w:top w:val="single" w:color="000000" w:sz="12" w:space="0"/>
            </w:tcBorders>
            <w:vAlign w:val="top"/>
          </w:tcPr>
          <w:p w14:paraId="3DF42050">
            <w:pPr>
              <w:spacing w:before="59" w:line="221" w:lineRule="auto"/>
              <w:ind w:left="253"/>
              <w:rPr>
                <w:rFonts w:ascii="宋体" w:hAnsi="宋体" w:eastAsia="宋体" w:cs="宋体"/>
                <w:sz w:val="21"/>
                <w:szCs w:val="21"/>
              </w:rPr>
            </w:pPr>
            <w:r>
              <w:rPr>
                <w:rFonts w:ascii="宋体" w:hAnsi="宋体" w:eastAsia="宋体" w:cs="宋体"/>
                <w:spacing w:val="-2"/>
                <w:sz w:val="21"/>
                <w:szCs w:val="21"/>
              </w:rPr>
              <w:t>监测时间</w:t>
            </w:r>
          </w:p>
        </w:tc>
        <w:tc>
          <w:tcPr>
            <w:tcW w:w="848" w:type="dxa"/>
            <w:tcBorders>
              <w:top w:val="single" w:color="000000" w:sz="12" w:space="0"/>
            </w:tcBorders>
            <w:vAlign w:val="top"/>
          </w:tcPr>
          <w:p w14:paraId="7DD1F0BB">
            <w:pPr>
              <w:pStyle w:val="6"/>
              <w:spacing w:before="59" w:line="213" w:lineRule="auto"/>
              <w:ind w:left="148"/>
              <w:rPr>
                <w:rFonts w:ascii="宋体" w:hAnsi="宋体" w:eastAsia="宋体" w:cs="宋体"/>
              </w:rPr>
            </w:pPr>
            <w:r>
              <w:t>pH</w:t>
            </w:r>
            <w:r>
              <w:rPr>
                <w:spacing w:val="8"/>
              </w:rPr>
              <w:t xml:space="preserve"> </w:t>
            </w:r>
            <w:r>
              <w:rPr>
                <w:rFonts w:ascii="宋体" w:hAnsi="宋体" w:eastAsia="宋体" w:cs="宋体"/>
              </w:rPr>
              <w:t>值</w:t>
            </w:r>
          </w:p>
        </w:tc>
        <w:tc>
          <w:tcPr>
            <w:tcW w:w="848" w:type="dxa"/>
            <w:tcBorders>
              <w:top w:val="single" w:color="000000" w:sz="12" w:space="0"/>
            </w:tcBorders>
            <w:vAlign w:val="top"/>
          </w:tcPr>
          <w:p w14:paraId="04109E42">
            <w:pPr>
              <w:pStyle w:val="6"/>
              <w:spacing w:before="96" w:line="186" w:lineRule="auto"/>
              <w:ind w:left="263"/>
            </w:pPr>
            <w:r>
              <w:rPr>
                <w:spacing w:val="-2"/>
              </w:rPr>
              <w:t>DO</w:t>
            </w:r>
          </w:p>
        </w:tc>
        <w:tc>
          <w:tcPr>
            <w:tcW w:w="990" w:type="dxa"/>
            <w:tcBorders>
              <w:top w:val="single" w:color="000000" w:sz="12" w:space="0"/>
            </w:tcBorders>
            <w:vAlign w:val="top"/>
          </w:tcPr>
          <w:p w14:paraId="6CF32156">
            <w:pPr>
              <w:pStyle w:val="6"/>
              <w:spacing w:before="96" w:line="226" w:lineRule="auto"/>
              <w:ind w:left="173"/>
              <w:rPr>
                <w:sz w:val="14"/>
                <w:szCs w:val="14"/>
              </w:rPr>
            </w:pPr>
            <w:r>
              <w:rPr>
                <w:spacing w:val="-2"/>
              </w:rPr>
              <w:t>COD</w:t>
            </w:r>
            <w:r>
              <w:rPr>
                <w:spacing w:val="-2"/>
                <w:position w:val="-1"/>
                <w:sz w:val="14"/>
                <w:szCs w:val="14"/>
              </w:rPr>
              <w:t>Mn</w:t>
            </w:r>
          </w:p>
        </w:tc>
        <w:tc>
          <w:tcPr>
            <w:tcW w:w="990" w:type="dxa"/>
            <w:tcBorders>
              <w:top w:val="single" w:color="000000" w:sz="12" w:space="0"/>
            </w:tcBorders>
            <w:vAlign w:val="top"/>
          </w:tcPr>
          <w:p w14:paraId="5D48D77C">
            <w:pPr>
              <w:pStyle w:val="6"/>
              <w:spacing w:before="96" w:line="186" w:lineRule="auto"/>
              <w:ind w:left="272"/>
            </w:pPr>
            <w:r>
              <w:rPr>
                <w:spacing w:val="-3"/>
              </w:rPr>
              <w:t>COD</w:t>
            </w:r>
          </w:p>
        </w:tc>
        <w:tc>
          <w:tcPr>
            <w:tcW w:w="1132" w:type="dxa"/>
            <w:tcBorders>
              <w:top w:val="single" w:color="000000" w:sz="12" w:space="0"/>
            </w:tcBorders>
            <w:vAlign w:val="top"/>
          </w:tcPr>
          <w:p w14:paraId="18B19F22">
            <w:pPr>
              <w:pStyle w:val="6"/>
              <w:spacing w:before="96" w:line="225" w:lineRule="auto"/>
              <w:ind w:left="306"/>
              <w:rPr>
                <w:sz w:val="14"/>
                <w:szCs w:val="14"/>
              </w:rPr>
            </w:pPr>
            <w:r>
              <w:rPr>
                <w:spacing w:val="-1"/>
              </w:rPr>
              <w:t>BOD</w:t>
            </w:r>
            <w:r>
              <w:rPr>
                <w:spacing w:val="-1"/>
                <w:position w:val="-1"/>
                <w:sz w:val="14"/>
                <w:szCs w:val="14"/>
              </w:rPr>
              <w:t>5</w:t>
            </w:r>
          </w:p>
        </w:tc>
        <w:tc>
          <w:tcPr>
            <w:tcW w:w="848" w:type="dxa"/>
            <w:tcBorders>
              <w:top w:val="single" w:color="000000" w:sz="12" w:space="0"/>
            </w:tcBorders>
            <w:vAlign w:val="top"/>
          </w:tcPr>
          <w:p w14:paraId="7FB2CEE8">
            <w:pPr>
              <w:pStyle w:val="6"/>
              <w:spacing w:before="99" w:line="222" w:lineRule="auto"/>
              <w:ind w:left="119"/>
            </w:pPr>
            <w:r>
              <w:t>NH</w:t>
            </w:r>
            <w:r>
              <w:rPr>
                <w:position w:val="-1"/>
                <w:sz w:val="14"/>
                <w:szCs w:val="14"/>
              </w:rPr>
              <w:t>3</w:t>
            </w:r>
            <w:r>
              <w:t>-N</w:t>
            </w:r>
          </w:p>
        </w:tc>
        <w:tc>
          <w:tcPr>
            <w:tcW w:w="992" w:type="dxa"/>
            <w:tcBorders>
              <w:top w:val="single" w:color="000000" w:sz="12" w:space="0"/>
            </w:tcBorders>
            <w:vAlign w:val="top"/>
          </w:tcPr>
          <w:p w14:paraId="3AC5A415">
            <w:pPr>
              <w:pStyle w:val="6"/>
              <w:spacing w:before="100" w:line="183" w:lineRule="auto"/>
              <w:ind w:left="378"/>
            </w:pPr>
            <w:r>
              <w:rPr>
                <w:spacing w:val="-4"/>
              </w:rPr>
              <w:t>TP</w:t>
            </w:r>
          </w:p>
        </w:tc>
        <w:tc>
          <w:tcPr>
            <w:tcW w:w="706" w:type="dxa"/>
            <w:tcBorders>
              <w:top w:val="single" w:color="000000" w:sz="12" w:space="0"/>
            </w:tcBorders>
            <w:vAlign w:val="top"/>
          </w:tcPr>
          <w:p w14:paraId="650B4CFE">
            <w:pPr>
              <w:spacing w:before="59" w:line="220" w:lineRule="auto"/>
              <w:ind w:left="48"/>
              <w:rPr>
                <w:rFonts w:ascii="宋体" w:hAnsi="宋体" w:eastAsia="宋体" w:cs="宋体"/>
                <w:sz w:val="21"/>
                <w:szCs w:val="21"/>
              </w:rPr>
            </w:pPr>
            <w:r>
              <w:rPr>
                <w:rFonts w:ascii="宋体" w:hAnsi="宋体" w:eastAsia="宋体" w:cs="宋体"/>
                <w:spacing w:val="-3"/>
                <w:sz w:val="21"/>
                <w:szCs w:val="21"/>
              </w:rPr>
              <w:t>石油类</w:t>
            </w:r>
          </w:p>
        </w:tc>
        <w:tc>
          <w:tcPr>
            <w:tcW w:w="1838" w:type="dxa"/>
            <w:tcBorders>
              <w:top w:val="single" w:color="000000" w:sz="12" w:space="0"/>
            </w:tcBorders>
            <w:vAlign w:val="top"/>
          </w:tcPr>
          <w:p w14:paraId="721204C5">
            <w:pPr>
              <w:spacing w:before="59" w:line="219" w:lineRule="auto"/>
              <w:ind w:left="107"/>
              <w:rPr>
                <w:rFonts w:ascii="宋体" w:hAnsi="宋体" w:eastAsia="宋体" w:cs="宋体"/>
                <w:sz w:val="21"/>
                <w:szCs w:val="21"/>
              </w:rPr>
            </w:pPr>
            <w:r>
              <w:rPr>
                <w:rFonts w:ascii="宋体" w:hAnsi="宋体" w:eastAsia="宋体" w:cs="宋体"/>
                <w:spacing w:val="-3"/>
                <w:sz w:val="21"/>
                <w:szCs w:val="21"/>
              </w:rPr>
              <w:t>阴离子表面活性剂</w:t>
            </w:r>
          </w:p>
        </w:tc>
        <w:tc>
          <w:tcPr>
            <w:tcW w:w="1384" w:type="dxa"/>
            <w:tcBorders>
              <w:top w:val="single" w:color="000000" w:sz="12" w:space="0"/>
              <w:right w:val="single" w:color="000000" w:sz="12" w:space="0"/>
            </w:tcBorders>
            <w:vAlign w:val="top"/>
          </w:tcPr>
          <w:p w14:paraId="775FA2B7">
            <w:pPr>
              <w:spacing w:before="59" w:line="220" w:lineRule="auto"/>
              <w:ind w:left="177"/>
              <w:rPr>
                <w:rFonts w:ascii="宋体" w:hAnsi="宋体" w:eastAsia="宋体" w:cs="宋体"/>
                <w:sz w:val="21"/>
                <w:szCs w:val="21"/>
              </w:rPr>
            </w:pPr>
            <w:r>
              <w:rPr>
                <w:rFonts w:ascii="宋体" w:hAnsi="宋体" w:eastAsia="宋体" w:cs="宋体"/>
                <w:spacing w:val="-2"/>
                <w:sz w:val="21"/>
                <w:szCs w:val="21"/>
              </w:rPr>
              <w:t>粪大肠菌群</w:t>
            </w:r>
          </w:p>
        </w:tc>
      </w:tr>
      <w:tr w14:paraId="5877D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restart"/>
            <w:tcBorders>
              <w:left w:val="single" w:color="000000" w:sz="12" w:space="0"/>
              <w:bottom w:val="nil"/>
            </w:tcBorders>
            <w:vAlign w:val="top"/>
          </w:tcPr>
          <w:p w14:paraId="63ED2111">
            <w:pPr>
              <w:spacing w:line="255" w:lineRule="auto"/>
              <w:rPr>
                <w:rFonts w:ascii="Arial"/>
                <w:sz w:val="21"/>
              </w:rPr>
            </w:pPr>
          </w:p>
          <w:p w14:paraId="36079385">
            <w:pPr>
              <w:spacing w:line="255" w:lineRule="auto"/>
              <w:rPr>
                <w:rFonts w:ascii="Arial"/>
                <w:sz w:val="21"/>
              </w:rPr>
            </w:pPr>
          </w:p>
          <w:p w14:paraId="500E822D">
            <w:pPr>
              <w:spacing w:line="255" w:lineRule="auto"/>
              <w:rPr>
                <w:rFonts w:ascii="Arial"/>
                <w:sz w:val="21"/>
              </w:rPr>
            </w:pPr>
          </w:p>
          <w:p w14:paraId="709D91E5">
            <w:pPr>
              <w:spacing w:line="255" w:lineRule="auto"/>
              <w:rPr>
                <w:rFonts w:ascii="Arial"/>
                <w:sz w:val="21"/>
              </w:rPr>
            </w:pPr>
          </w:p>
          <w:p w14:paraId="25ADFA4A">
            <w:pPr>
              <w:spacing w:line="255" w:lineRule="auto"/>
              <w:rPr>
                <w:rFonts w:ascii="Arial"/>
                <w:sz w:val="21"/>
              </w:rPr>
            </w:pPr>
          </w:p>
          <w:p w14:paraId="19DEFF44">
            <w:pPr>
              <w:pStyle w:val="6"/>
              <w:spacing w:before="68" w:line="244" w:lineRule="auto"/>
              <w:ind w:left="86" w:right="105" w:firstLine="112"/>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4"/>
              </w:rPr>
              <w:t>（车马碧水库</w:t>
            </w:r>
            <w:r>
              <w:rPr>
                <w:rFonts w:ascii="宋体" w:hAnsi="宋体" w:eastAsia="宋体" w:cs="宋体"/>
                <w:spacing w:val="-2"/>
              </w:rPr>
              <w:t>输水隧洞进口</w:t>
            </w:r>
            <w:r>
              <w:rPr>
                <w:rFonts w:ascii="宋体" w:hAnsi="宋体" w:eastAsia="宋体" w:cs="宋体"/>
                <w:spacing w:val="17"/>
              </w:rPr>
              <w:t>上游</w:t>
            </w:r>
            <w:r>
              <w:rPr>
                <w:rFonts w:ascii="宋体" w:hAnsi="宋体" w:eastAsia="宋体" w:cs="宋体"/>
                <w:spacing w:val="-26"/>
              </w:rPr>
              <w:t xml:space="preserve"> </w:t>
            </w:r>
            <w:r>
              <w:rPr>
                <w:spacing w:val="17"/>
              </w:rPr>
              <w:t>1</w:t>
            </w:r>
            <w:r>
              <w:t>km</w:t>
            </w:r>
            <w:r>
              <w:rPr>
                <w:rFonts w:ascii="宋体" w:hAnsi="宋体" w:eastAsia="宋体" w:cs="宋体"/>
                <w:spacing w:val="17"/>
              </w:rPr>
              <w:t>）</w:t>
            </w:r>
          </w:p>
        </w:tc>
        <w:tc>
          <w:tcPr>
            <w:tcW w:w="329" w:type="dxa"/>
            <w:vMerge w:val="restart"/>
            <w:tcBorders>
              <w:bottom w:val="nil"/>
            </w:tcBorders>
            <w:vAlign w:val="top"/>
          </w:tcPr>
          <w:p w14:paraId="2F2680CC">
            <w:pPr>
              <w:pStyle w:val="6"/>
              <w:spacing w:before="116" w:line="222" w:lineRule="auto"/>
              <w:ind w:left="117"/>
            </w:pPr>
            <w:r>
              <w:t>1</w:t>
            </w:r>
          </w:p>
          <w:p w14:paraId="4A137B83">
            <w:pPr>
              <w:spacing w:line="219" w:lineRule="auto"/>
              <w:ind w:left="49"/>
              <w:rPr>
                <w:rFonts w:ascii="宋体" w:hAnsi="宋体" w:eastAsia="宋体" w:cs="宋体"/>
                <w:sz w:val="21"/>
                <w:szCs w:val="21"/>
              </w:rPr>
            </w:pPr>
            <w:r>
              <w:rPr>
                <w:rFonts w:ascii="宋体" w:hAnsi="宋体" w:eastAsia="宋体" w:cs="宋体"/>
                <w:sz w:val="21"/>
                <w:szCs w:val="21"/>
              </w:rPr>
              <w:t>季</w:t>
            </w:r>
          </w:p>
          <w:p w14:paraId="5521FA17">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58721ED5">
            <w:pPr>
              <w:pStyle w:val="6"/>
              <w:spacing w:before="76" w:line="212" w:lineRule="auto"/>
              <w:ind w:left="79"/>
            </w:pPr>
            <w:r>
              <w:rPr>
                <w:spacing w:val="-1"/>
              </w:rPr>
              <w:t>2021/3/18</w:t>
            </w:r>
          </w:p>
        </w:tc>
        <w:tc>
          <w:tcPr>
            <w:tcW w:w="848" w:type="dxa"/>
            <w:vAlign w:val="top"/>
          </w:tcPr>
          <w:p w14:paraId="6C557B3A">
            <w:pPr>
              <w:pStyle w:val="6"/>
              <w:spacing w:before="76" w:line="212" w:lineRule="auto"/>
              <w:ind w:left="233"/>
            </w:pPr>
            <w:r>
              <w:rPr>
                <w:spacing w:val="-2"/>
              </w:rPr>
              <w:t>0.63</w:t>
            </w:r>
          </w:p>
        </w:tc>
        <w:tc>
          <w:tcPr>
            <w:tcW w:w="848" w:type="dxa"/>
            <w:vAlign w:val="top"/>
          </w:tcPr>
          <w:p w14:paraId="67157458">
            <w:pPr>
              <w:pStyle w:val="6"/>
              <w:spacing w:before="81" w:line="207" w:lineRule="auto"/>
              <w:ind w:left="234"/>
            </w:pPr>
            <w:r>
              <w:rPr>
                <w:b/>
                <w:bCs/>
                <w:spacing w:val="-2"/>
              </w:rPr>
              <w:t>4.42</w:t>
            </w:r>
          </w:p>
        </w:tc>
        <w:tc>
          <w:tcPr>
            <w:tcW w:w="990" w:type="dxa"/>
            <w:vAlign w:val="top"/>
          </w:tcPr>
          <w:p w14:paraId="14749D0A">
            <w:pPr>
              <w:pStyle w:val="6"/>
              <w:spacing w:before="76" w:line="212" w:lineRule="auto"/>
              <w:ind w:left="308"/>
            </w:pPr>
            <w:r>
              <w:rPr>
                <w:spacing w:val="-2"/>
              </w:rPr>
              <w:t>0.40</w:t>
            </w:r>
          </w:p>
        </w:tc>
        <w:tc>
          <w:tcPr>
            <w:tcW w:w="990" w:type="dxa"/>
            <w:vAlign w:val="top"/>
          </w:tcPr>
          <w:p w14:paraId="55A855BC">
            <w:pPr>
              <w:pStyle w:val="6"/>
              <w:spacing w:before="76" w:line="212" w:lineRule="auto"/>
              <w:ind w:left="311"/>
            </w:pPr>
            <w:r>
              <w:rPr>
                <w:spacing w:val="-2"/>
              </w:rPr>
              <w:t>0.20</w:t>
            </w:r>
          </w:p>
        </w:tc>
        <w:tc>
          <w:tcPr>
            <w:tcW w:w="1132" w:type="dxa"/>
            <w:vAlign w:val="top"/>
          </w:tcPr>
          <w:p w14:paraId="0BA230F7">
            <w:pPr>
              <w:pStyle w:val="6"/>
              <w:spacing w:before="76" w:line="212" w:lineRule="auto"/>
              <w:ind w:left="383"/>
            </w:pPr>
            <w:r>
              <w:rPr>
                <w:spacing w:val="-2"/>
              </w:rPr>
              <w:t>0.20</w:t>
            </w:r>
          </w:p>
        </w:tc>
        <w:tc>
          <w:tcPr>
            <w:tcW w:w="848" w:type="dxa"/>
            <w:vAlign w:val="top"/>
          </w:tcPr>
          <w:p w14:paraId="5CCCD779">
            <w:pPr>
              <w:pStyle w:val="6"/>
              <w:spacing w:before="76" w:line="212" w:lineRule="auto"/>
              <w:ind w:left="243"/>
            </w:pPr>
            <w:r>
              <w:rPr>
                <w:spacing w:val="-2"/>
              </w:rPr>
              <w:t>0.14</w:t>
            </w:r>
          </w:p>
        </w:tc>
        <w:tc>
          <w:tcPr>
            <w:tcW w:w="992" w:type="dxa"/>
            <w:vAlign w:val="top"/>
          </w:tcPr>
          <w:p w14:paraId="5E78BF95">
            <w:pPr>
              <w:pStyle w:val="6"/>
              <w:spacing w:before="76" w:line="212" w:lineRule="auto"/>
              <w:ind w:left="318"/>
            </w:pPr>
            <w:r>
              <w:rPr>
                <w:spacing w:val="-2"/>
              </w:rPr>
              <w:t>0.15</w:t>
            </w:r>
          </w:p>
        </w:tc>
        <w:tc>
          <w:tcPr>
            <w:tcW w:w="706" w:type="dxa"/>
            <w:vAlign w:val="top"/>
          </w:tcPr>
          <w:p w14:paraId="5B39D3E6">
            <w:pPr>
              <w:pStyle w:val="6"/>
              <w:spacing w:before="167" w:line="100" w:lineRule="exact"/>
              <w:ind w:left="292"/>
            </w:pPr>
            <w:r>
              <w:rPr>
                <w:spacing w:val="-3"/>
                <w:position w:val="-6"/>
              </w:rPr>
              <w:t>--</w:t>
            </w:r>
          </w:p>
        </w:tc>
        <w:tc>
          <w:tcPr>
            <w:tcW w:w="1838" w:type="dxa"/>
            <w:vAlign w:val="top"/>
          </w:tcPr>
          <w:p w14:paraId="262E4C54">
            <w:pPr>
              <w:pStyle w:val="6"/>
              <w:spacing w:before="167" w:line="100" w:lineRule="exact"/>
              <w:ind w:left="861"/>
            </w:pPr>
            <w:r>
              <w:rPr>
                <w:spacing w:val="-3"/>
                <w:position w:val="-6"/>
              </w:rPr>
              <w:t>--</w:t>
            </w:r>
          </w:p>
        </w:tc>
        <w:tc>
          <w:tcPr>
            <w:tcW w:w="1384" w:type="dxa"/>
            <w:tcBorders>
              <w:right w:val="single" w:color="000000" w:sz="12" w:space="0"/>
            </w:tcBorders>
            <w:vAlign w:val="top"/>
          </w:tcPr>
          <w:p w14:paraId="1A2217F3">
            <w:pPr>
              <w:pStyle w:val="6"/>
              <w:spacing w:before="76" w:line="212" w:lineRule="auto"/>
              <w:ind w:left="517"/>
            </w:pPr>
            <w:r>
              <w:rPr>
                <w:spacing w:val="-2"/>
              </w:rPr>
              <w:t>0.01</w:t>
            </w:r>
          </w:p>
        </w:tc>
      </w:tr>
      <w:tr w14:paraId="39781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5B68537D">
            <w:pPr>
              <w:rPr>
                <w:rFonts w:ascii="Arial"/>
                <w:sz w:val="21"/>
              </w:rPr>
            </w:pPr>
          </w:p>
        </w:tc>
        <w:tc>
          <w:tcPr>
            <w:tcW w:w="329" w:type="dxa"/>
            <w:vMerge w:val="continue"/>
            <w:tcBorders>
              <w:top w:val="nil"/>
              <w:bottom w:val="nil"/>
            </w:tcBorders>
            <w:vAlign w:val="top"/>
          </w:tcPr>
          <w:p w14:paraId="76702EDB">
            <w:pPr>
              <w:rPr>
                <w:rFonts w:ascii="Arial"/>
                <w:sz w:val="21"/>
              </w:rPr>
            </w:pPr>
          </w:p>
        </w:tc>
        <w:tc>
          <w:tcPr>
            <w:tcW w:w="1036" w:type="dxa"/>
            <w:vAlign w:val="top"/>
          </w:tcPr>
          <w:p w14:paraId="6B95289E">
            <w:pPr>
              <w:pStyle w:val="6"/>
              <w:spacing w:before="78" w:line="212" w:lineRule="auto"/>
              <w:ind w:left="79"/>
            </w:pPr>
            <w:r>
              <w:rPr>
                <w:spacing w:val="-1"/>
              </w:rPr>
              <w:t>2021/3/19</w:t>
            </w:r>
          </w:p>
        </w:tc>
        <w:tc>
          <w:tcPr>
            <w:tcW w:w="848" w:type="dxa"/>
            <w:vAlign w:val="top"/>
          </w:tcPr>
          <w:p w14:paraId="7CA7966B">
            <w:pPr>
              <w:pStyle w:val="6"/>
              <w:spacing w:before="78" w:line="212" w:lineRule="auto"/>
              <w:ind w:left="233"/>
            </w:pPr>
            <w:r>
              <w:rPr>
                <w:spacing w:val="-2"/>
              </w:rPr>
              <w:t>0.60</w:t>
            </w:r>
          </w:p>
        </w:tc>
        <w:tc>
          <w:tcPr>
            <w:tcW w:w="848" w:type="dxa"/>
            <w:vAlign w:val="top"/>
          </w:tcPr>
          <w:p w14:paraId="617DE17C">
            <w:pPr>
              <w:pStyle w:val="6"/>
              <w:spacing w:before="83" w:line="207" w:lineRule="auto"/>
              <w:ind w:left="234"/>
            </w:pPr>
            <w:r>
              <w:rPr>
                <w:b/>
                <w:bCs/>
                <w:spacing w:val="-2"/>
              </w:rPr>
              <w:t>4.06</w:t>
            </w:r>
          </w:p>
        </w:tc>
        <w:tc>
          <w:tcPr>
            <w:tcW w:w="990" w:type="dxa"/>
            <w:vAlign w:val="top"/>
          </w:tcPr>
          <w:p w14:paraId="2AF2B097">
            <w:pPr>
              <w:pStyle w:val="6"/>
              <w:spacing w:before="78" w:line="212" w:lineRule="auto"/>
              <w:ind w:left="308"/>
            </w:pPr>
            <w:r>
              <w:rPr>
                <w:spacing w:val="-2"/>
              </w:rPr>
              <w:t>0.35</w:t>
            </w:r>
          </w:p>
        </w:tc>
        <w:tc>
          <w:tcPr>
            <w:tcW w:w="990" w:type="dxa"/>
            <w:vAlign w:val="top"/>
          </w:tcPr>
          <w:p w14:paraId="372FE58F">
            <w:pPr>
              <w:pStyle w:val="6"/>
              <w:spacing w:before="78" w:line="212" w:lineRule="auto"/>
              <w:ind w:left="311"/>
            </w:pPr>
            <w:r>
              <w:rPr>
                <w:spacing w:val="-2"/>
              </w:rPr>
              <w:t>0.30</w:t>
            </w:r>
          </w:p>
        </w:tc>
        <w:tc>
          <w:tcPr>
            <w:tcW w:w="1132" w:type="dxa"/>
            <w:vAlign w:val="top"/>
          </w:tcPr>
          <w:p w14:paraId="43130EB7">
            <w:pPr>
              <w:pStyle w:val="6"/>
              <w:spacing w:before="78" w:line="212" w:lineRule="auto"/>
              <w:ind w:left="383"/>
            </w:pPr>
            <w:r>
              <w:rPr>
                <w:spacing w:val="-2"/>
              </w:rPr>
              <w:t>0.30</w:t>
            </w:r>
          </w:p>
        </w:tc>
        <w:tc>
          <w:tcPr>
            <w:tcW w:w="848" w:type="dxa"/>
            <w:vAlign w:val="top"/>
          </w:tcPr>
          <w:p w14:paraId="7CCEF369">
            <w:pPr>
              <w:pStyle w:val="6"/>
              <w:spacing w:before="78" w:line="212" w:lineRule="auto"/>
              <w:ind w:left="243"/>
            </w:pPr>
            <w:r>
              <w:rPr>
                <w:spacing w:val="-2"/>
              </w:rPr>
              <w:t>0.14</w:t>
            </w:r>
          </w:p>
        </w:tc>
        <w:tc>
          <w:tcPr>
            <w:tcW w:w="992" w:type="dxa"/>
            <w:vAlign w:val="top"/>
          </w:tcPr>
          <w:p w14:paraId="3B75548B">
            <w:pPr>
              <w:pStyle w:val="6"/>
              <w:spacing w:before="78" w:line="212" w:lineRule="auto"/>
              <w:ind w:left="318"/>
            </w:pPr>
            <w:r>
              <w:rPr>
                <w:spacing w:val="-2"/>
              </w:rPr>
              <w:t>0.20</w:t>
            </w:r>
          </w:p>
        </w:tc>
        <w:tc>
          <w:tcPr>
            <w:tcW w:w="706" w:type="dxa"/>
            <w:vAlign w:val="top"/>
          </w:tcPr>
          <w:p w14:paraId="397065F1">
            <w:pPr>
              <w:pStyle w:val="6"/>
              <w:spacing w:before="169" w:line="100" w:lineRule="exact"/>
              <w:ind w:left="292"/>
            </w:pPr>
            <w:r>
              <w:rPr>
                <w:spacing w:val="-3"/>
                <w:position w:val="-6"/>
              </w:rPr>
              <w:t>--</w:t>
            </w:r>
          </w:p>
        </w:tc>
        <w:tc>
          <w:tcPr>
            <w:tcW w:w="1838" w:type="dxa"/>
            <w:vAlign w:val="top"/>
          </w:tcPr>
          <w:p w14:paraId="75B9064F">
            <w:pPr>
              <w:pStyle w:val="6"/>
              <w:spacing w:before="169" w:line="100" w:lineRule="exact"/>
              <w:ind w:left="861"/>
            </w:pPr>
            <w:r>
              <w:rPr>
                <w:spacing w:val="-3"/>
                <w:position w:val="-6"/>
              </w:rPr>
              <w:t>--</w:t>
            </w:r>
          </w:p>
        </w:tc>
        <w:tc>
          <w:tcPr>
            <w:tcW w:w="1384" w:type="dxa"/>
            <w:tcBorders>
              <w:right w:val="single" w:color="000000" w:sz="12" w:space="0"/>
            </w:tcBorders>
            <w:vAlign w:val="top"/>
          </w:tcPr>
          <w:p w14:paraId="70205FB8">
            <w:pPr>
              <w:pStyle w:val="6"/>
              <w:spacing w:before="78" w:line="212" w:lineRule="auto"/>
              <w:ind w:left="517"/>
            </w:pPr>
            <w:r>
              <w:rPr>
                <w:spacing w:val="-2"/>
              </w:rPr>
              <w:t>0.01</w:t>
            </w:r>
          </w:p>
        </w:tc>
      </w:tr>
      <w:tr w14:paraId="62E28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6386AF6">
            <w:pPr>
              <w:rPr>
                <w:rFonts w:ascii="Arial"/>
                <w:sz w:val="21"/>
              </w:rPr>
            </w:pPr>
          </w:p>
        </w:tc>
        <w:tc>
          <w:tcPr>
            <w:tcW w:w="329" w:type="dxa"/>
            <w:vMerge w:val="continue"/>
            <w:tcBorders>
              <w:top w:val="nil"/>
            </w:tcBorders>
            <w:vAlign w:val="top"/>
          </w:tcPr>
          <w:p w14:paraId="73A0A258">
            <w:pPr>
              <w:rPr>
                <w:rFonts w:ascii="Arial"/>
                <w:sz w:val="21"/>
              </w:rPr>
            </w:pPr>
          </w:p>
        </w:tc>
        <w:tc>
          <w:tcPr>
            <w:tcW w:w="1036" w:type="dxa"/>
            <w:vAlign w:val="top"/>
          </w:tcPr>
          <w:p w14:paraId="111E2517">
            <w:pPr>
              <w:pStyle w:val="6"/>
              <w:spacing w:before="79" w:line="210" w:lineRule="auto"/>
              <w:ind w:left="79"/>
            </w:pPr>
            <w:r>
              <w:rPr>
                <w:spacing w:val="-1"/>
              </w:rPr>
              <w:t>2021/3/20</w:t>
            </w:r>
          </w:p>
        </w:tc>
        <w:tc>
          <w:tcPr>
            <w:tcW w:w="848" w:type="dxa"/>
            <w:vAlign w:val="top"/>
          </w:tcPr>
          <w:p w14:paraId="45B5A8A7">
            <w:pPr>
              <w:pStyle w:val="6"/>
              <w:spacing w:before="79" w:line="210" w:lineRule="auto"/>
              <w:ind w:left="233"/>
            </w:pPr>
            <w:r>
              <w:rPr>
                <w:spacing w:val="-2"/>
              </w:rPr>
              <w:t>0.59</w:t>
            </w:r>
          </w:p>
        </w:tc>
        <w:tc>
          <w:tcPr>
            <w:tcW w:w="848" w:type="dxa"/>
            <w:vAlign w:val="top"/>
          </w:tcPr>
          <w:p w14:paraId="5BAFB092">
            <w:pPr>
              <w:pStyle w:val="6"/>
              <w:spacing w:before="84" w:line="205" w:lineRule="auto"/>
              <w:ind w:left="234"/>
            </w:pPr>
            <w:r>
              <w:rPr>
                <w:b/>
                <w:bCs/>
                <w:spacing w:val="-2"/>
              </w:rPr>
              <w:t>4.78</w:t>
            </w:r>
          </w:p>
        </w:tc>
        <w:tc>
          <w:tcPr>
            <w:tcW w:w="990" w:type="dxa"/>
            <w:vAlign w:val="top"/>
          </w:tcPr>
          <w:p w14:paraId="24D25402">
            <w:pPr>
              <w:pStyle w:val="6"/>
              <w:spacing w:before="79" w:line="210" w:lineRule="auto"/>
              <w:ind w:left="308"/>
            </w:pPr>
            <w:r>
              <w:rPr>
                <w:spacing w:val="-2"/>
              </w:rPr>
              <w:t>0.38</w:t>
            </w:r>
          </w:p>
        </w:tc>
        <w:tc>
          <w:tcPr>
            <w:tcW w:w="990" w:type="dxa"/>
            <w:vAlign w:val="top"/>
          </w:tcPr>
          <w:p w14:paraId="6AD14A83">
            <w:pPr>
              <w:pStyle w:val="6"/>
              <w:spacing w:before="79" w:line="210" w:lineRule="auto"/>
              <w:ind w:left="311"/>
            </w:pPr>
            <w:r>
              <w:rPr>
                <w:spacing w:val="-2"/>
              </w:rPr>
              <w:t>0.25</w:t>
            </w:r>
          </w:p>
        </w:tc>
        <w:tc>
          <w:tcPr>
            <w:tcW w:w="1132" w:type="dxa"/>
            <w:vAlign w:val="top"/>
          </w:tcPr>
          <w:p w14:paraId="51268E3A">
            <w:pPr>
              <w:pStyle w:val="6"/>
              <w:spacing w:before="79" w:line="210" w:lineRule="auto"/>
              <w:ind w:left="383"/>
            </w:pPr>
            <w:r>
              <w:rPr>
                <w:spacing w:val="-2"/>
              </w:rPr>
              <w:t>0.28</w:t>
            </w:r>
          </w:p>
        </w:tc>
        <w:tc>
          <w:tcPr>
            <w:tcW w:w="848" w:type="dxa"/>
            <w:vAlign w:val="top"/>
          </w:tcPr>
          <w:p w14:paraId="368E42B9">
            <w:pPr>
              <w:pStyle w:val="6"/>
              <w:spacing w:before="79" w:line="210" w:lineRule="auto"/>
              <w:ind w:left="243"/>
            </w:pPr>
            <w:r>
              <w:rPr>
                <w:spacing w:val="-2"/>
              </w:rPr>
              <w:t>0.15</w:t>
            </w:r>
          </w:p>
        </w:tc>
        <w:tc>
          <w:tcPr>
            <w:tcW w:w="992" w:type="dxa"/>
            <w:vAlign w:val="top"/>
          </w:tcPr>
          <w:p w14:paraId="5968DA08">
            <w:pPr>
              <w:pStyle w:val="6"/>
              <w:spacing w:before="79" w:line="210" w:lineRule="auto"/>
              <w:ind w:left="318"/>
            </w:pPr>
            <w:r>
              <w:rPr>
                <w:spacing w:val="-2"/>
              </w:rPr>
              <w:t>0.15</w:t>
            </w:r>
          </w:p>
        </w:tc>
        <w:tc>
          <w:tcPr>
            <w:tcW w:w="706" w:type="dxa"/>
            <w:vAlign w:val="top"/>
          </w:tcPr>
          <w:p w14:paraId="2F87EA28">
            <w:pPr>
              <w:pStyle w:val="6"/>
              <w:spacing w:before="170" w:line="100" w:lineRule="exact"/>
              <w:ind w:left="292"/>
            </w:pPr>
            <w:r>
              <w:rPr>
                <w:spacing w:val="-3"/>
                <w:position w:val="-6"/>
              </w:rPr>
              <w:t>--</w:t>
            </w:r>
          </w:p>
        </w:tc>
        <w:tc>
          <w:tcPr>
            <w:tcW w:w="1838" w:type="dxa"/>
            <w:vAlign w:val="top"/>
          </w:tcPr>
          <w:p w14:paraId="003E5A65">
            <w:pPr>
              <w:pStyle w:val="6"/>
              <w:spacing w:before="170" w:line="100" w:lineRule="exact"/>
              <w:ind w:left="861"/>
            </w:pPr>
            <w:r>
              <w:rPr>
                <w:spacing w:val="-3"/>
                <w:position w:val="-6"/>
              </w:rPr>
              <w:t>--</w:t>
            </w:r>
          </w:p>
        </w:tc>
        <w:tc>
          <w:tcPr>
            <w:tcW w:w="1384" w:type="dxa"/>
            <w:tcBorders>
              <w:right w:val="single" w:color="000000" w:sz="12" w:space="0"/>
            </w:tcBorders>
            <w:vAlign w:val="top"/>
          </w:tcPr>
          <w:p w14:paraId="05DA4BF9">
            <w:pPr>
              <w:pStyle w:val="6"/>
              <w:spacing w:before="79" w:line="210" w:lineRule="auto"/>
              <w:ind w:left="517"/>
            </w:pPr>
            <w:r>
              <w:rPr>
                <w:spacing w:val="-2"/>
              </w:rPr>
              <w:t>0.01</w:t>
            </w:r>
          </w:p>
        </w:tc>
      </w:tr>
      <w:tr w14:paraId="57EDE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2D2AB7F">
            <w:pPr>
              <w:rPr>
                <w:rFonts w:ascii="Arial"/>
                <w:sz w:val="21"/>
              </w:rPr>
            </w:pPr>
          </w:p>
        </w:tc>
        <w:tc>
          <w:tcPr>
            <w:tcW w:w="329" w:type="dxa"/>
            <w:vMerge w:val="restart"/>
            <w:tcBorders>
              <w:bottom w:val="nil"/>
            </w:tcBorders>
            <w:vAlign w:val="top"/>
          </w:tcPr>
          <w:p w14:paraId="7DB35018">
            <w:pPr>
              <w:pStyle w:val="6"/>
              <w:spacing w:before="120" w:line="223" w:lineRule="auto"/>
              <w:ind w:left="97"/>
            </w:pPr>
            <w:r>
              <w:t>2</w:t>
            </w:r>
          </w:p>
          <w:p w14:paraId="614240DD">
            <w:pPr>
              <w:spacing w:line="219" w:lineRule="auto"/>
              <w:ind w:left="49"/>
              <w:rPr>
                <w:rFonts w:ascii="宋体" w:hAnsi="宋体" w:eastAsia="宋体" w:cs="宋体"/>
                <w:sz w:val="21"/>
                <w:szCs w:val="21"/>
              </w:rPr>
            </w:pPr>
            <w:r>
              <w:rPr>
                <w:rFonts w:ascii="宋体" w:hAnsi="宋体" w:eastAsia="宋体" w:cs="宋体"/>
                <w:sz w:val="21"/>
                <w:szCs w:val="21"/>
              </w:rPr>
              <w:t>季</w:t>
            </w:r>
          </w:p>
          <w:p w14:paraId="2247CB2C">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2D1D99DF">
            <w:pPr>
              <w:pStyle w:val="6"/>
              <w:spacing w:before="80" w:line="210" w:lineRule="auto"/>
              <w:ind w:left="132"/>
            </w:pPr>
            <w:r>
              <w:rPr>
                <w:spacing w:val="-1"/>
              </w:rPr>
              <w:t>2021/6/3</w:t>
            </w:r>
          </w:p>
        </w:tc>
        <w:tc>
          <w:tcPr>
            <w:tcW w:w="848" w:type="dxa"/>
            <w:vAlign w:val="top"/>
          </w:tcPr>
          <w:p w14:paraId="012D3EB2">
            <w:pPr>
              <w:pStyle w:val="6"/>
              <w:spacing w:before="80" w:line="210" w:lineRule="auto"/>
              <w:ind w:left="233"/>
            </w:pPr>
            <w:r>
              <w:rPr>
                <w:spacing w:val="-2"/>
              </w:rPr>
              <w:t>0.60</w:t>
            </w:r>
          </w:p>
        </w:tc>
        <w:tc>
          <w:tcPr>
            <w:tcW w:w="848" w:type="dxa"/>
            <w:vAlign w:val="top"/>
          </w:tcPr>
          <w:p w14:paraId="1D8B91C5">
            <w:pPr>
              <w:pStyle w:val="6"/>
              <w:spacing w:before="80" w:line="210" w:lineRule="auto"/>
              <w:ind w:left="236"/>
            </w:pPr>
            <w:r>
              <w:rPr>
                <w:spacing w:val="-2"/>
              </w:rPr>
              <w:t>0.82</w:t>
            </w:r>
          </w:p>
        </w:tc>
        <w:tc>
          <w:tcPr>
            <w:tcW w:w="990" w:type="dxa"/>
            <w:vAlign w:val="top"/>
          </w:tcPr>
          <w:p w14:paraId="2E382E43">
            <w:pPr>
              <w:pStyle w:val="6"/>
              <w:spacing w:before="80" w:line="210" w:lineRule="auto"/>
              <w:ind w:left="308"/>
            </w:pPr>
            <w:r>
              <w:rPr>
                <w:spacing w:val="-2"/>
              </w:rPr>
              <w:t>0.63</w:t>
            </w:r>
          </w:p>
        </w:tc>
        <w:tc>
          <w:tcPr>
            <w:tcW w:w="990" w:type="dxa"/>
            <w:vAlign w:val="top"/>
          </w:tcPr>
          <w:p w14:paraId="66A372C6">
            <w:pPr>
              <w:pStyle w:val="6"/>
              <w:spacing w:before="80" w:line="210" w:lineRule="auto"/>
              <w:ind w:left="311"/>
            </w:pPr>
            <w:r>
              <w:rPr>
                <w:spacing w:val="-2"/>
              </w:rPr>
              <w:t>0.45</w:t>
            </w:r>
          </w:p>
        </w:tc>
        <w:tc>
          <w:tcPr>
            <w:tcW w:w="1132" w:type="dxa"/>
            <w:vAlign w:val="top"/>
          </w:tcPr>
          <w:p w14:paraId="69935842">
            <w:pPr>
              <w:pStyle w:val="6"/>
              <w:spacing w:before="80" w:line="210" w:lineRule="auto"/>
              <w:ind w:left="383"/>
            </w:pPr>
            <w:r>
              <w:rPr>
                <w:spacing w:val="-2"/>
              </w:rPr>
              <w:t>0.40</w:t>
            </w:r>
          </w:p>
        </w:tc>
        <w:tc>
          <w:tcPr>
            <w:tcW w:w="848" w:type="dxa"/>
            <w:vAlign w:val="top"/>
          </w:tcPr>
          <w:p w14:paraId="337827D7">
            <w:pPr>
              <w:pStyle w:val="6"/>
              <w:spacing w:before="80" w:line="210" w:lineRule="auto"/>
              <w:ind w:left="243"/>
            </w:pPr>
            <w:r>
              <w:rPr>
                <w:spacing w:val="-2"/>
              </w:rPr>
              <w:t>0.23</w:t>
            </w:r>
          </w:p>
        </w:tc>
        <w:tc>
          <w:tcPr>
            <w:tcW w:w="992" w:type="dxa"/>
            <w:vAlign w:val="top"/>
          </w:tcPr>
          <w:p w14:paraId="10EC5FB4">
            <w:pPr>
              <w:pStyle w:val="6"/>
              <w:spacing w:before="80" w:line="210" w:lineRule="auto"/>
              <w:ind w:left="318"/>
            </w:pPr>
            <w:r>
              <w:rPr>
                <w:spacing w:val="-2"/>
              </w:rPr>
              <w:t>0.15</w:t>
            </w:r>
          </w:p>
        </w:tc>
        <w:tc>
          <w:tcPr>
            <w:tcW w:w="706" w:type="dxa"/>
            <w:vAlign w:val="top"/>
          </w:tcPr>
          <w:p w14:paraId="4DA766FD">
            <w:pPr>
              <w:pStyle w:val="6"/>
              <w:spacing w:before="80" w:line="210" w:lineRule="auto"/>
              <w:ind w:left="177"/>
            </w:pPr>
            <w:r>
              <w:rPr>
                <w:spacing w:val="-2"/>
              </w:rPr>
              <w:t>0.20</w:t>
            </w:r>
          </w:p>
        </w:tc>
        <w:tc>
          <w:tcPr>
            <w:tcW w:w="1838" w:type="dxa"/>
            <w:vAlign w:val="top"/>
          </w:tcPr>
          <w:p w14:paraId="047DB133">
            <w:pPr>
              <w:pStyle w:val="6"/>
              <w:spacing w:before="171" w:line="100" w:lineRule="exact"/>
              <w:ind w:left="861"/>
            </w:pPr>
            <w:r>
              <w:rPr>
                <w:spacing w:val="-3"/>
                <w:position w:val="-6"/>
              </w:rPr>
              <w:t>--</w:t>
            </w:r>
          </w:p>
        </w:tc>
        <w:tc>
          <w:tcPr>
            <w:tcW w:w="1384" w:type="dxa"/>
            <w:tcBorders>
              <w:right w:val="single" w:color="000000" w:sz="12" w:space="0"/>
            </w:tcBorders>
            <w:vAlign w:val="top"/>
          </w:tcPr>
          <w:p w14:paraId="357E018F">
            <w:pPr>
              <w:pStyle w:val="6"/>
              <w:spacing w:before="80" w:line="210" w:lineRule="auto"/>
              <w:ind w:left="517"/>
            </w:pPr>
            <w:r>
              <w:rPr>
                <w:spacing w:val="-2"/>
              </w:rPr>
              <w:t>0.02</w:t>
            </w:r>
          </w:p>
        </w:tc>
      </w:tr>
      <w:tr w14:paraId="47B86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E1D223D">
            <w:pPr>
              <w:rPr>
                <w:rFonts w:ascii="Arial"/>
                <w:sz w:val="21"/>
              </w:rPr>
            </w:pPr>
          </w:p>
        </w:tc>
        <w:tc>
          <w:tcPr>
            <w:tcW w:w="329" w:type="dxa"/>
            <w:vMerge w:val="continue"/>
            <w:tcBorders>
              <w:top w:val="nil"/>
              <w:bottom w:val="nil"/>
            </w:tcBorders>
            <w:vAlign w:val="top"/>
          </w:tcPr>
          <w:p w14:paraId="5F4F6D04">
            <w:pPr>
              <w:rPr>
                <w:rFonts w:ascii="Arial"/>
                <w:sz w:val="21"/>
              </w:rPr>
            </w:pPr>
          </w:p>
        </w:tc>
        <w:tc>
          <w:tcPr>
            <w:tcW w:w="1036" w:type="dxa"/>
            <w:vAlign w:val="top"/>
          </w:tcPr>
          <w:p w14:paraId="248953B3">
            <w:pPr>
              <w:pStyle w:val="6"/>
              <w:spacing w:before="80" w:line="209" w:lineRule="auto"/>
              <w:ind w:left="132"/>
            </w:pPr>
            <w:r>
              <w:rPr>
                <w:spacing w:val="-1"/>
              </w:rPr>
              <w:t>2021/6/4</w:t>
            </w:r>
          </w:p>
        </w:tc>
        <w:tc>
          <w:tcPr>
            <w:tcW w:w="848" w:type="dxa"/>
            <w:vAlign w:val="top"/>
          </w:tcPr>
          <w:p w14:paraId="5403F474">
            <w:pPr>
              <w:pStyle w:val="6"/>
              <w:spacing w:before="80" w:line="209" w:lineRule="auto"/>
              <w:ind w:left="233"/>
            </w:pPr>
            <w:r>
              <w:rPr>
                <w:spacing w:val="-2"/>
              </w:rPr>
              <w:t>0.65</w:t>
            </w:r>
          </w:p>
        </w:tc>
        <w:tc>
          <w:tcPr>
            <w:tcW w:w="848" w:type="dxa"/>
            <w:vAlign w:val="top"/>
          </w:tcPr>
          <w:p w14:paraId="65335735">
            <w:pPr>
              <w:pStyle w:val="6"/>
              <w:spacing w:before="80" w:line="209" w:lineRule="auto"/>
              <w:ind w:left="236"/>
            </w:pPr>
            <w:r>
              <w:rPr>
                <w:spacing w:val="-2"/>
              </w:rPr>
              <w:t>0.88</w:t>
            </w:r>
          </w:p>
        </w:tc>
        <w:tc>
          <w:tcPr>
            <w:tcW w:w="990" w:type="dxa"/>
            <w:vAlign w:val="top"/>
          </w:tcPr>
          <w:p w14:paraId="66A24B52">
            <w:pPr>
              <w:pStyle w:val="6"/>
              <w:spacing w:before="80" w:line="209" w:lineRule="auto"/>
              <w:ind w:left="308"/>
            </w:pPr>
            <w:r>
              <w:rPr>
                <w:spacing w:val="-2"/>
              </w:rPr>
              <w:t>0.60</w:t>
            </w:r>
          </w:p>
        </w:tc>
        <w:tc>
          <w:tcPr>
            <w:tcW w:w="990" w:type="dxa"/>
            <w:vAlign w:val="top"/>
          </w:tcPr>
          <w:p w14:paraId="0F32E040">
            <w:pPr>
              <w:pStyle w:val="6"/>
              <w:spacing w:before="80" w:line="209" w:lineRule="auto"/>
              <w:ind w:left="311"/>
            </w:pPr>
            <w:r>
              <w:rPr>
                <w:spacing w:val="-2"/>
              </w:rPr>
              <w:t>0.30</w:t>
            </w:r>
          </w:p>
        </w:tc>
        <w:tc>
          <w:tcPr>
            <w:tcW w:w="1132" w:type="dxa"/>
            <w:vAlign w:val="top"/>
          </w:tcPr>
          <w:p w14:paraId="44335561">
            <w:pPr>
              <w:pStyle w:val="6"/>
              <w:spacing w:before="80" w:line="209" w:lineRule="auto"/>
              <w:ind w:left="383"/>
            </w:pPr>
            <w:r>
              <w:rPr>
                <w:spacing w:val="-2"/>
              </w:rPr>
              <w:t>0.48</w:t>
            </w:r>
          </w:p>
        </w:tc>
        <w:tc>
          <w:tcPr>
            <w:tcW w:w="848" w:type="dxa"/>
            <w:vAlign w:val="top"/>
          </w:tcPr>
          <w:p w14:paraId="4C2F88B1">
            <w:pPr>
              <w:pStyle w:val="6"/>
              <w:spacing w:before="80" w:line="209" w:lineRule="auto"/>
              <w:ind w:left="243"/>
            </w:pPr>
            <w:r>
              <w:rPr>
                <w:spacing w:val="-2"/>
              </w:rPr>
              <w:t>0.22</w:t>
            </w:r>
          </w:p>
        </w:tc>
        <w:tc>
          <w:tcPr>
            <w:tcW w:w="992" w:type="dxa"/>
            <w:vAlign w:val="top"/>
          </w:tcPr>
          <w:p w14:paraId="08CD18DF">
            <w:pPr>
              <w:pStyle w:val="6"/>
              <w:spacing w:before="80" w:line="209" w:lineRule="auto"/>
              <w:ind w:left="318"/>
            </w:pPr>
            <w:r>
              <w:rPr>
                <w:spacing w:val="-2"/>
              </w:rPr>
              <w:t>0.10</w:t>
            </w:r>
          </w:p>
        </w:tc>
        <w:tc>
          <w:tcPr>
            <w:tcW w:w="706" w:type="dxa"/>
            <w:vAlign w:val="top"/>
          </w:tcPr>
          <w:p w14:paraId="4B072810">
            <w:pPr>
              <w:pStyle w:val="6"/>
              <w:spacing w:before="80" w:line="209" w:lineRule="auto"/>
              <w:ind w:left="177"/>
            </w:pPr>
            <w:r>
              <w:rPr>
                <w:spacing w:val="-2"/>
              </w:rPr>
              <w:t>0.40</w:t>
            </w:r>
          </w:p>
        </w:tc>
        <w:tc>
          <w:tcPr>
            <w:tcW w:w="1838" w:type="dxa"/>
            <w:vAlign w:val="top"/>
          </w:tcPr>
          <w:p w14:paraId="31734508">
            <w:pPr>
              <w:pStyle w:val="6"/>
              <w:spacing w:before="171" w:line="100" w:lineRule="exact"/>
              <w:ind w:left="861"/>
            </w:pPr>
            <w:r>
              <w:rPr>
                <w:spacing w:val="-3"/>
                <w:position w:val="-6"/>
              </w:rPr>
              <w:t>--</w:t>
            </w:r>
          </w:p>
        </w:tc>
        <w:tc>
          <w:tcPr>
            <w:tcW w:w="1384" w:type="dxa"/>
            <w:tcBorders>
              <w:right w:val="single" w:color="000000" w:sz="12" w:space="0"/>
            </w:tcBorders>
            <w:vAlign w:val="top"/>
          </w:tcPr>
          <w:p w14:paraId="401F0C74">
            <w:pPr>
              <w:pStyle w:val="6"/>
              <w:spacing w:before="80" w:line="209" w:lineRule="auto"/>
              <w:ind w:left="517"/>
            </w:pPr>
            <w:r>
              <w:rPr>
                <w:spacing w:val="-2"/>
              </w:rPr>
              <w:t>0.02</w:t>
            </w:r>
          </w:p>
        </w:tc>
      </w:tr>
      <w:tr w14:paraId="174AC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B6DD5B2">
            <w:pPr>
              <w:rPr>
                <w:rFonts w:ascii="Arial"/>
                <w:sz w:val="21"/>
              </w:rPr>
            </w:pPr>
          </w:p>
        </w:tc>
        <w:tc>
          <w:tcPr>
            <w:tcW w:w="329" w:type="dxa"/>
            <w:vMerge w:val="continue"/>
            <w:tcBorders>
              <w:top w:val="nil"/>
            </w:tcBorders>
            <w:vAlign w:val="top"/>
          </w:tcPr>
          <w:p w14:paraId="35E2F9C0">
            <w:pPr>
              <w:rPr>
                <w:rFonts w:ascii="Arial"/>
                <w:sz w:val="21"/>
              </w:rPr>
            </w:pPr>
          </w:p>
        </w:tc>
        <w:tc>
          <w:tcPr>
            <w:tcW w:w="1036" w:type="dxa"/>
            <w:vAlign w:val="top"/>
          </w:tcPr>
          <w:p w14:paraId="793F57D9">
            <w:pPr>
              <w:pStyle w:val="6"/>
              <w:spacing w:before="83" w:line="206" w:lineRule="auto"/>
              <w:ind w:left="132"/>
            </w:pPr>
            <w:r>
              <w:rPr>
                <w:spacing w:val="-1"/>
              </w:rPr>
              <w:t>2021/6/5</w:t>
            </w:r>
          </w:p>
        </w:tc>
        <w:tc>
          <w:tcPr>
            <w:tcW w:w="848" w:type="dxa"/>
            <w:vAlign w:val="top"/>
          </w:tcPr>
          <w:p w14:paraId="74A47244">
            <w:pPr>
              <w:pStyle w:val="6"/>
              <w:spacing w:before="83" w:line="206" w:lineRule="auto"/>
              <w:ind w:left="233"/>
            </w:pPr>
            <w:r>
              <w:rPr>
                <w:spacing w:val="-2"/>
              </w:rPr>
              <w:t>0.60</w:t>
            </w:r>
          </w:p>
        </w:tc>
        <w:tc>
          <w:tcPr>
            <w:tcW w:w="848" w:type="dxa"/>
            <w:vAlign w:val="top"/>
          </w:tcPr>
          <w:p w14:paraId="3266E07B">
            <w:pPr>
              <w:pStyle w:val="6"/>
              <w:spacing w:before="83" w:line="206" w:lineRule="auto"/>
              <w:ind w:left="236"/>
            </w:pPr>
            <w:r>
              <w:rPr>
                <w:spacing w:val="-2"/>
              </w:rPr>
              <w:t>0.84</w:t>
            </w:r>
          </w:p>
        </w:tc>
        <w:tc>
          <w:tcPr>
            <w:tcW w:w="990" w:type="dxa"/>
            <w:vAlign w:val="top"/>
          </w:tcPr>
          <w:p w14:paraId="2EB235E3">
            <w:pPr>
              <w:pStyle w:val="6"/>
              <w:spacing w:before="83" w:line="206" w:lineRule="auto"/>
              <w:ind w:left="308"/>
            </w:pPr>
            <w:r>
              <w:rPr>
                <w:spacing w:val="-2"/>
              </w:rPr>
              <w:t>0.65</w:t>
            </w:r>
          </w:p>
        </w:tc>
        <w:tc>
          <w:tcPr>
            <w:tcW w:w="990" w:type="dxa"/>
            <w:vAlign w:val="top"/>
          </w:tcPr>
          <w:p w14:paraId="3ED07BD7">
            <w:pPr>
              <w:pStyle w:val="6"/>
              <w:spacing w:before="83" w:line="206" w:lineRule="auto"/>
              <w:ind w:left="311"/>
            </w:pPr>
            <w:r>
              <w:rPr>
                <w:spacing w:val="-2"/>
              </w:rPr>
              <w:t>0.40</w:t>
            </w:r>
          </w:p>
        </w:tc>
        <w:tc>
          <w:tcPr>
            <w:tcW w:w="1132" w:type="dxa"/>
            <w:vAlign w:val="top"/>
          </w:tcPr>
          <w:p w14:paraId="21BCB7E5">
            <w:pPr>
              <w:pStyle w:val="6"/>
              <w:spacing w:before="83" w:line="206" w:lineRule="auto"/>
              <w:ind w:left="383"/>
            </w:pPr>
            <w:r>
              <w:rPr>
                <w:spacing w:val="-2"/>
              </w:rPr>
              <w:t>0.45</w:t>
            </w:r>
          </w:p>
        </w:tc>
        <w:tc>
          <w:tcPr>
            <w:tcW w:w="848" w:type="dxa"/>
            <w:vAlign w:val="top"/>
          </w:tcPr>
          <w:p w14:paraId="180444F3">
            <w:pPr>
              <w:pStyle w:val="6"/>
              <w:spacing w:before="83" w:line="206" w:lineRule="auto"/>
              <w:ind w:left="243"/>
            </w:pPr>
            <w:r>
              <w:rPr>
                <w:spacing w:val="-2"/>
              </w:rPr>
              <w:t>0.24</w:t>
            </w:r>
          </w:p>
        </w:tc>
        <w:tc>
          <w:tcPr>
            <w:tcW w:w="992" w:type="dxa"/>
            <w:vAlign w:val="top"/>
          </w:tcPr>
          <w:p w14:paraId="02572324">
            <w:pPr>
              <w:pStyle w:val="6"/>
              <w:spacing w:before="83" w:line="206" w:lineRule="auto"/>
              <w:ind w:left="318"/>
            </w:pPr>
            <w:r>
              <w:rPr>
                <w:spacing w:val="-2"/>
              </w:rPr>
              <w:t>0.15</w:t>
            </w:r>
          </w:p>
        </w:tc>
        <w:tc>
          <w:tcPr>
            <w:tcW w:w="706" w:type="dxa"/>
            <w:vAlign w:val="top"/>
          </w:tcPr>
          <w:p w14:paraId="62D59860">
            <w:pPr>
              <w:pStyle w:val="6"/>
              <w:spacing w:before="83" w:line="206" w:lineRule="auto"/>
              <w:ind w:left="177"/>
            </w:pPr>
            <w:r>
              <w:rPr>
                <w:spacing w:val="-2"/>
              </w:rPr>
              <w:t>0.20</w:t>
            </w:r>
          </w:p>
        </w:tc>
        <w:tc>
          <w:tcPr>
            <w:tcW w:w="1838" w:type="dxa"/>
            <w:vAlign w:val="top"/>
          </w:tcPr>
          <w:p w14:paraId="144FC8BC">
            <w:pPr>
              <w:pStyle w:val="6"/>
              <w:spacing w:before="173" w:line="101" w:lineRule="exact"/>
              <w:ind w:left="861"/>
            </w:pPr>
            <w:r>
              <w:rPr>
                <w:spacing w:val="-3"/>
                <w:position w:val="-6"/>
              </w:rPr>
              <w:t>--</w:t>
            </w:r>
          </w:p>
        </w:tc>
        <w:tc>
          <w:tcPr>
            <w:tcW w:w="1384" w:type="dxa"/>
            <w:tcBorders>
              <w:right w:val="single" w:color="000000" w:sz="12" w:space="0"/>
            </w:tcBorders>
            <w:vAlign w:val="top"/>
          </w:tcPr>
          <w:p w14:paraId="6764DED7">
            <w:pPr>
              <w:pStyle w:val="6"/>
              <w:spacing w:before="83" w:line="206" w:lineRule="auto"/>
              <w:ind w:left="517"/>
            </w:pPr>
            <w:r>
              <w:rPr>
                <w:spacing w:val="-2"/>
              </w:rPr>
              <w:t>0.02</w:t>
            </w:r>
          </w:p>
        </w:tc>
      </w:tr>
      <w:tr w14:paraId="47685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3B6CCB7">
            <w:pPr>
              <w:rPr>
                <w:rFonts w:ascii="Arial"/>
                <w:sz w:val="21"/>
              </w:rPr>
            </w:pPr>
          </w:p>
        </w:tc>
        <w:tc>
          <w:tcPr>
            <w:tcW w:w="329" w:type="dxa"/>
            <w:vMerge w:val="restart"/>
            <w:tcBorders>
              <w:bottom w:val="nil"/>
            </w:tcBorders>
            <w:vAlign w:val="top"/>
          </w:tcPr>
          <w:p w14:paraId="4F937E8E">
            <w:pPr>
              <w:pStyle w:val="6"/>
              <w:spacing w:before="125" w:line="222" w:lineRule="auto"/>
              <w:ind w:left="102"/>
            </w:pPr>
            <w:r>
              <w:t>3</w:t>
            </w:r>
          </w:p>
          <w:p w14:paraId="4EA77285">
            <w:pPr>
              <w:spacing w:line="219" w:lineRule="auto"/>
              <w:ind w:left="49"/>
              <w:rPr>
                <w:rFonts w:ascii="宋体" w:hAnsi="宋体" w:eastAsia="宋体" w:cs="宋体"/>
                <w:sz w:val="21"/>
                <w:szCs w:val="21"/>
              </w:rPr>
            </w:pPr>
            <w:r>
              <w:rPr>
                <w:rFonts w:ascii="宋体" w:hAnsi="宋体" w:eastAsia="宋体" w:cs="宋体"/>
                <w:sz w:val="21"/>
                <w:szCs w:val="21"/>
              </w:rPr>
              <w:t>季</w:t>
            </w:r>
          </w:p>
          <w:p w14:paraId="2FABAB69">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1EB9247E">
            <w:pPr>
              <w:pStyle w:val="6"/>
              <w:spacing w:before="84" w:line="206" w:lineRule="auto"/>
              <w:ind w:left="79"/>
            </w:pPr>
            <w:r>
              <w:rPr>
                <w:spacing w:val="-1"/>
              </w:rPr>
              <w:t>2021/7/19</w:t>
            </w:r>
          </w:p>
        </w:tc>
        <w:tc>
          <w:tcPr>
            <w:tcW w:w="848" w:type="dxa"/>
            <w:vAlign w:val="top"/>
          </w:tcPr>
          <w:p w14:paraId="3C98EB20">
            <w:pPr>
              <w:pStyle w:val="6"/>
              <w:spacing w:before="84" w:line="206" w:lineRule="auto"/>
              <w:ind w:left="233"/>
            </w:pPr>
            <w:r>
              <w:rPr>
                <w:spacing w:val="-2"/>
              </w:rPr>
              <w:t>0.45</w:t>
            </w:r>
          </w:p>
        </w:tc>
        <w:tc>
          <w:tcPr>
            <w:tcW w:w="848" w:type="dxa"/>
            <w:vAlign w:val="top"/>
          </w:tcPr>
          <w:p w14:paraId="7B422894">
            <w:pPr>
              <w:pStyle w:val="6"/>
              <w:spacing w:before="84" w:line="206" w:lineRule="auto"/>
              <w:ind w:left="236"/>
            </w:pPr>
            <w:r>
              <w:rPr>
                <w:spacing w:val="-2"/>
              </w:rPr>
              <w:t>0.87</w:t>
            </w:r>
          </w:p>
        </w:tc>
        <w:tc>
          <w:tcPr>
            <w:tcW w:w="990" w:type="dxa"/>
            <w:vAlign w:val="top"/>
          </w:tcPr>
          <w:p w14:paraId="26ECBFF5">
            <w:pPr>
              <w:pStyle w:val="6"/>
              <w:spacing w:before="84" w:line="206" w:lineRule="auto"/>
              <w:ind w:left="308"/>
            </w:pPr>
            <w:r>
              <w:rPr>
                <w:spacing w:val="-2"/>
              </w:rPr>
              <w:t>0.73</w:t>
            </w:r>
          </w:p>
        </w:tc>
        <w:tc>
          <w:tcPr>
            <w:tcW w:w="990" w:type="dxa"/>
            <w:vAlign w:val="top"/>
          </w:tcPr>
          <w:p w14:paraId="15C6846C">
            <w:pPr>
              <w:pStyle w:val="6"/>
              <w:spacing w:before="84" w:line="206" w:lineRule="auto"/>
              <w:ind w:left="311"/>
            </w:pPr>
            <w:r>
              <w:rPr>
                <w:spacing w:val="-2"/>
              </w:rPr>
              <w:t>0.40</w:t>
            </w:r>
          </w:p>
        </w:tc>
        <w:tc>
          <w:tcPr>
            <w:tcW w:w="1132" w:type="dxa"/>
            <w:vAlign w:val="top"/>
          </w:tcPr>
          <w:p w14:paraId="21F51C07">
            <w:pPr>
              <w:pStyle w:val="6"/>
              <w:spacing w:before="84" w:line="206" w:lineRule="auto"/>
              <w:ind w:left="383"/>
            </w:pPr>
            <w:r>
              <w:rPr>
                <w:spacing w:val="-2"/>
              </w:rPr>
              <w:t>0.40</w:t>
            </w:r>
          </w:p>
        </w:tc>
        <w:tc>
          <w:tcPr>
            <w:tcW w:w="848" w:type="dxa"/>
            <w:vAlign w:val="top"/>
          </w:tcPr>
          <w:p w14:paraId="422C9B9D">
            <w:pPr>
              <w:pStyle w:val="6"/>
              <w:spacing w:before="84" w:line="206" w:lineRule="auto"/>
              <w:ind w:left="243"/>
            </w:pPr>
            <w:r>
              <w:rPr>
                <w:spacing w:val="-2"/>
              </w:rPr>
              <w:t>0.36</w:t>
            </w:r>
          </w:p>
        </w:tc>
        <w:tc>
          <w:tcPr>
            <w:tcW w:w="992" w:type="dxa"/>
            <w:vAlign w:val="top"/>
          </w:tcPr>
          <w:p w14:paraId="3D0FD270">
            <w:pPr>
              <w:pStyle w:val="6"/>
              <w:spacing w:before="84" w:line="206" w:lineRule="auto"/>
              <w:ind w:left="318"/>
            </w:pPr>
            <w:r>
              <w:rPr>
                <w:spacing w:val="-2"/>
              </w:rPr>
              <w:t>0.40</w:t>
            </w:r>
          </w:p>
        </w:tc>
        <w:tc>
          <w:tcPr>
            <w:tcW w:w="706" w:type="dxa"/>
            <w:vAlign w:val="top"/>
          </w:tcPr>
          <w:p w14:paraId="590C84B9">
            <w:pPr>
              <w:pStyle w:val="6"/>
              <w:spacing w:before="84" w:line="206" w:lineRule="auto"/>
              <w:ind w:left="177"/>
            </w:pPr>
            <w:r>
              <w:rPr>
                <w:spacing w:val="-2"/>
              </w:rPr>
              <w:t>0.40</w:t>
            </w:r>
          </w:p>
        </w:tc>
        <w:tc>
          <w:tcPr>
            <w:tcW w:w="1838" w:type="dxa"/>
            <w:vAlign w:val="top"/>
          </w:tcPr>
          <w:p w14:paraId="5A79F8F6">
            <w:pPr>
              <w:pStyle w:val="6"/>
              <w:spacing w:before="84" w:line="206" w:lineRule="auto"/>
              <w:ind w:left="747"/>
            </w:pPr>
            <w:r>
              <w:rPr>
                <w:spacing w:val="-2"/>
              </w:rPr>
              <w:t>0.57</w:t>
            </w:r>
          </w:p>
        </w:tc>
        <w:tc>
          <w:tcPr>
            <w:tcW w:w="1384" w:type="dxa"/>
            <w:tcBorders>
              <w:right w:val="single" w:color="000000" w:sz="12" w:space="0"/>
            </w:tcBorders>
            <w:vAlign w:val="top"/>
          </w:tcPr>
          <w:p w14:paraId="13F8FFC9">
            <w:pPr>
              <w:pStyle w:val="6"/>
              <w:spacing w:before="84" w:line="206" w:lineRule="auto"/>
              <w:ind w:left="517"/>
            </w:pPr>
            <w:r>
              <w:rPr>
                <w:spacing w:val="-2"/>
              </w:rPr>
              <w:t>0.02</w:t>
            </w:r>
          </w:p>
        </w:tc>
      </w:tr>
      <w:tr w14:paraId="01919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587CB37">
            <w:pPr>
              <w:rPr>
                <w:rFonts w:ascii="Arial"/>
                <w:sz w:val="21"/>
              </w:rPr>
            </w:pPr>
          </w:p>
        </w:tc>
        <w:tc>
          <w:tcPr>
            <w:tcW w:w="329" w:type="dxa"/>
            <w:vMerge w:val="continue"/>
            <w:tcBorders>
              <w:top w:val="nil"/>
              <w:bottom w:val="nil"/>
            </w:tcBorders>
            <w:vAlign w:val="top"/>
          </w:tcPr>
          <w:p w14:paraId="03C1ACA5">
            <w:pPr>
              <w:rPr>
                <w:rFonts w:ascii="Arial"/>
                <w:sz w:val="21"/>
              </w:rPr>
            </w:pPr>
          </w:p>
        </w:tc>
        <w:tc>
          <w:tcPr>
            <w:tcW w:w="1036" w:type="dxa"/>
            <w:vAlign w:val="top"/>
          </w:tcPr>
          <w:p w14:paraId="60B83BE2">
            <w:pPr>
              <w:pStyle w:val="6"/>
              <w:spacing w:before="85" w:line="204" w:lineRule="auto"/>
              <w:ind w:left="79"/>
            </w:pPr>
            <w:r>
              <w:rPr>
                <w:spacing w:val="-1"/>
              </w:rPr>
              <w:t>2021/7/20</w:t>
            </w:r>
          </w:p>
        </w:tc>
        <w:tc>
          <w:tcPr>
            <w:tcW w:w="848" w:type="dxa"/>
            <w:vAlign w:val="top"/>
          </w:tcPr>
          <w:p w14:paraId="02541793">
            <w:pPr>
              <w:pStyle w:val="6"/>
              <w:spacing w:before="85" w:line="204" w:lineRule="auto"/>
              <w:ind w:left="233"/>
            </w:pPr>
            <w:r>
              <w:rPr>
                <w:spacing w:val="-2"/>
              </w:rPr>
              <w:t>0.50</w:t>
            </w:r>
          </w:p>
        </w:tc>
        <w:tc>
          <w:tcPr>
            <w:tcW w:w="848" w:type="dxa"/>
            <w:vAlign w:val="top"/>
          </w:tcPr>
          <w:p w14:paraId="097B1EAE">
            <w:pPr>
              <w:pStyle w:val="6"/>
              <w:spacing w:before="85" w:line="204" w:lineRule="auto"/>
              <w:ind w:left="236"/>
            </w:pPr>
            <w:r>
              <w:rPr>
                <w:spacing w:val="-2"/>
              </w:rPr>
              <w:t>0.82</w:t>
            </w:r>
          </w:p>
        </w:tc>
        <w:tc>
          <w:tcPr>
            <w:tcW w:w="990" w:type="dxa"/>
            <w:vAlign w:val="top"/>
          </w:tcPr>
          <w:p w14:paraId="0041409A">
            <w:pPr>
              <w:pStyle w:val="6"/>
              <w:spacing w:before="85" w:line="204" w:lineRule="auto"/>
              <w:ind w:left="308"/>
            </w:pPr>
            <w:r>
              <w:rPr>
                <w:spacing w:val="-2"/>
              </w:rPr>
              <w:t>0.72</w:t>
            </w:r>
          </w:p>
        </w:tc>
        <w:tc>
          <w:tcPr>
            <w:tcW w:w="990" w:type="dxa"/>
            <w:vAlign w:val="top"/>
          </w:tcPr>
          <w:p w14:paraId="1BA2BA82">
            <w:pPr>
              <w:pStyle w:val="6"/>
              <w:spacing w:before="85" w:line="204" w:lineRule="auto"/>
              <w:ind w:left="311"/>
            </w:pPr>
            <w:r>
              <w:rPr>
                <w:spacing w:val="-2"/>
              </w:rPr>
              <w:t>0.35</w:t>
            </w:r>
          </w:p>
        </w:tc>
        <w:tc>
          <w:tcPr>
            <w:tcW w:w="1132" w:type="dxa"/>
            <w:vAlign w:val="top"/>
          </w:tcPr>
          <w:p w14:paraId="3E47D356">
            <w:pPr>
              <w:pStyle w:val="6"/>
              <w:spacing w:before="85" w:line="204" w:lineRule="auto"/>
              <w:ind w:left="383"/>
            </w:pPr>
            <w:r>
              <w:rPr>
                <w:spacing w:val="-2"/>
              </w:rPr>
              <w:t>0.35</w:t>
            </w:r>
          </w:p>
        </w:tc>
        <w:tc>
          <w:tcPr>
            <w:tcW w:w="848" w:type="dxa"/>
            <w:vAlign w:val="top"/>
          </w:tcPr>
          <w:p w14:paraId="62E6EF49">
            <w:pPr>
              <w:pStyle w:val="6"/>
              <w:spacing w:before="85" w:line="204" w:lineRule="auto"/>
              <w:ind w:left="243"/>
            </w:pPr>
            <w:r>
              <w:rPr>
                <w:spacing w:val="-2"/>
              </w:rPr>
              <w:t>0.35</w:t>
            </w:r>
          </w:p>
        </w:tc>
        <w:tc>
          <w:tcPr>
            <w:tcW w:w="992" w:type="dxa"/>
            <w:vAlign w:val="top"/>
          </w:tcPr>
          <w:p w14:paraId="438EDC79">
            <w:pPr>
              <w:pStyle w:val="6"/>
              <w:spacing w:before="85" w:line="204" w:lineRule="auto"/>
              <w:ind w:left="318"/>
            </w:pPr>
            <w:r>
              <w:rPr>
                <w:spacing w:val="-2"/>
              </w:rPr>
              <w:t>0.45</w:t>
            </w:r>
          </w:p>
        </w:tc>
        <w:tc>
          <w:tcPr>
            <w:tcW w:w="706" w:type="dxa"/>
            <w:vAlign w:val="top"/>
          </w:tcPr>
          <w:p w14:paraId="29BDAD81">
            <w:pPr>
              <w:pStyle w:val="6"/>
              <w:spacing w:before="85" w:line="204" w:lineRule="auto"/>
              <w:ind w:left="177"/>
            </w:pPr>
            <w:r>
              <w:rPr>
                <w:spacing w:val="-2"/>
              </w:rPr>
              <w:t>0.40</w:t>
            </w:r>
          </w:p>
        </w:tc>
        <w:tc>
          <w:tcPr>
            <w:tcW w:w="1838" w:type="dxa"/>
            <w:vAlign w:val="top"/>
          </w:tcPr>
          <w:p w14:paraId="7191C31F">
            <w:pPr>
              <w:pStyle w:val="6"/>
              <w:spacing w:before="85" w:line="204" w:lineRule="auto"/>
              <w:ind w:left="747"/>
            </w:pPr>
            <w:r>
              <w:rPr>
                <w:spacing w:val="-2"/>
              </w:rPr>
              <w:t>0.61</w:t>
            </w:r>
          </w:p>
        </w:tc>
        <w:tc>
          <w:tcPr>
            <w:tcW w:w="1384" w:type="dxa"/>
            <w:tcBorders>
              <w:right w:val="single" w:color="000000" w:sz="12" w:space="0"/>
            </w:tcBorders>
            <w:vAlign w:val="top"/>
          </w:tcPr>
          <w:p w14:paraId="7EDB196D">
            <w:pPr>
              <w:pStyle w:val="6"/>
              <w:spacing w:before="85" w:line="204" w:lineRule="auto"/>
              <w:ind w:left="517"/>
            </w:pPr>
            <w:r>
              <w:rPr>
                <w:spacing w:val="-2"/>
              </w:rPr>
              <w:t>0.02</w:t>
            </w:r>
          </w:p>
        </w:tc>
      </w:tr>
      <w:tr w14:paraId="4613F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0A16031">
            <w:pPr>
              <w:rPr>
                <w:rFonts w:ascii="Arial"/>
                <w:sz w:val="21"/>
              </w:rPr>
            </w:pPr>
          </w:p>
        </w:tc>
        <w:tc>
          <w:tcPr>
            <w:tcW w:w="329" w:type="dxa"/>
            <w:vMerge w:val="continue"/>
            <w:tcBorders>
              <w:top w:val="nil"/>
            </w:tcBorders>
            <w:vAlign w:val="top"/>
          </w:tcPr>
          <w:p w14:paraId="1C742760">
            <w:pPr>
              <w:rPr>
                <w:rFonts w:ascii="Arial"/>
                <w:sz w:val="21"/>
              </w:rPr>
            </w:pPr>
          </w:p>
        </w:tc>
        <w:tc>
          <w:tcPr>
            <w:tcW w:w="1036" w:type="dxa"/>
            <w:vAlign w:val="top"/>
          </w:tcPr>
          <w:p w14:paraId="7E3D21E5">
            <w:pPr>
              <w:pStyle w:val="6"/>
              <w:spacing w:before="86" w:line="204" w:lineRule="auto"/>
              <w:ind w:left="79"/>
            </w:pPr>
            <w:r>
              <w:rPr>
                <w:spacing w:val="-1"/>
              </w:rPr>
              <w:t>2021/7/21</w:t>
            </w:r>
          </w:p>
        </w:tc>
        <w:tc>
          <w:tcPr>
            <w:tcW w:w="848" w:type="dxa"/>
            <w:vAlign w:val="top"/>
          </w:tcPr>
          <w:p w14:paraId="7790D96C">
            <w:pPr>
              <w:pStyle w:val="6"/>
              <w:spacing w:before="86" w:line="204" w:lineRule="auto"/>
              <w:ind w:left="233"/>
            </w:pPr>
            <w:r>
              <w:rPr>
                <w:spacing w:val="-2"/>
              </w:rPr>
              <w:t>0.50</w:t>
            </w:r>
          </w:p>
        </w:tc>
        <w:tc>
          <w:tcPr>
            <w:tcW w:w="848" w:type="dxa"/>
            <w:vAlign w:val="top"/>
          </w:tcPr>
          <w:p w14:paraId="3777D8F1">
            <w:pPr>
              <w:pStyle w:val="6"/>
              <w:spacing w:before="86" w:line="204" w:lineRule="auto"/>
              <w:ind w:left="236"/>
            </w:pPr>
            <w:r>
              <w:rPr>
                <w:spacing w:val="-2"/>
              </w:rPr>
              <w:t>0.91</w:t>
            </w:r>
          </w:p>
        </w:tc>
        <w:tc>
          <w:tcPr>
            <w:tcW w:w="990" w:type="dxa"/>
            <w:vAlign w:val="top"/>
          </w:tcPr>
          <w:p w14:paraId="7A655242">
            <w:pPr>
              <w:pStyle w:val="6"/>
              <w:spacing w:before="86" w:line="204" w:lineRule="auto"/>
              <w:ind w:left="308"/>
            </w:pPr>
            <w:r>
              <w:rPr>
                <w:spacing w:val="-2"/>
              </w:rPr>
              <w:t>0.75</w:t>
            </w:r>
          </w:p>
        </w:tc>
        <w:tc>
          <w:tcPr>
            <w:tcW w:w="990" w:type="dxa"/>
            <w:vAlign w:val="top"/>
          </w:tcPr>
          <w:p w14:paraId="00B0B682">
            <w:pPr>
              <w:pStyle w:val="6"/>
              <w:spacing w:before="86" w:line="204" w:lineRule="auto"/>
              <w:ind w:left="311"/>
            </w:pPr>
            <w:r>
              <w:rPr>
                <w:spacing w:val="-2"/>
              </w:rPr>
              <w:t>0.45</w:t>
            </w:r>
          </w:p>
        </w:tc>
        <w:tc>
          <w:tcPr>
            <w:tcW w:w="1132" w:type="dxa"/>
            <w:vAlign w:val="top"/>
          </w:tcPr>
          <w:p w14:paraId="07A8B9EC">
            <w:pPr>
              <w:pStyle w:val="6"/>
              <w:spacing w:before="86" w:line="204" w:lineRule="auto"/>
              <w:ind w:left="383"/>
            </w:pPr>
            <w:r>
              <w:rPr>
                <w:spacing w:val="-2"/>
              </w:rPr>
              <w:t>0.45</w:t>
            </w:r>
          </w:p>
        </w:tc>
        <w:tc>
          <w:tcPr>
            <w:tcW w:w="848" w:type="dxa"/>
            <w:vAlign w:val="top"/>
          </w:tcPr>
          <w:p w14:paraId="23374B5F">
            <w:pPr>
              <w:pStyle w:val="6"/>
              <w:spacing w:before="86" w:line="204" w:lineRule="auto"/>
              <w:ind w:left="243"/>
            </w:pPr>
            <w:r>
              <w:rPr>
                <w:spacing w:val="-2"/>
              </w:rPr>
              <w:t>0.37</w:t>
            </w:r>
          </w:p>
        </w:tc>
        <w:tc>
          <w:tcPr>
            <w:tcW w:w="992" w:type="dxa"/>
            <w:vAlign w:val="top"/>
          </w:tcPr>
          <w:p w14:paraId="7E2147CB">
            <w:pPr>
              <w:pStyle w:val="6"/>
              <w:spacing w:before="86" w:line="204" w:lineRule="auto"/>
              <w:ind w:left="318"/>
            </w:pPr>
            <w:r>
              <w:rPr>
                <w:spacing w:val="-2"/>
              </w:rPr>
              <w:t>0.40</w:t>
            </w:r>
          </w:p>
        </w:tc>
        <w:tc>
          <w:tcPr>
            <w:tcW w:w="706" w:type="dxa"/>
            <w:vAlign w:val="top"/>
          </w:tcPr>
          <w:p w14:paraId="63BA5784">
            <w:pPr>
              <w:pStyle w:val="6"/>
              <w:spacing w:before="86" w:line="204" w:lineRule="auto"/>
              <w:ind w:left="177"/>
            </w:pPr>
            <w:r>
              <w:rPr>
                <w:spacing w:val="-2"/>
              </w:rPr>
              <w:t>0.20</w:t>
            </w:r>
          </w:p>
        </w:tc>
        <w:tc>
          <w:tcPr>
            <w:tcW w:w="1838" w:type="dxa"/>
            <w:vAlign w:val="top"/>
          </w:tcPr>
          <w:p w14:paraId="2C9762CF">
            <w:pPr>
              <w:pStyle w:val="6"/>
              <w:spacing w:before="86" w:line="204" w:lineRule="auto"/>
              <w:ind w:left="747"/>
            </w:pPr>
            <w:r>
              <w:rPr>
                <w:spacing w:val="-2"/>
              </w:rPr>
              <w:t>0.58</w:t>
            </w:r>
          </w:p>
        </w:tc>
        <w:tc>
          <w:tcPr>
            <w:tcW w:w="1384" w:type="dxa"/>
            <w:tcBorders>
              <w:right w:val="single" w:color="000000" w:sz="12" w:space="0"/>
            </w:tcBorders>
            <w:vAlign w:val="top"/>
          </w:tcPr>
          <w:p w14:paraId="7EEFE4FA">
            <w:pPr>
              <w:pStyle w:val="6"/>
              <w:spacing w:before="86" w:line="204" w:lineRule="auto"/>
              <w:ind w:left="517"/>
            </w:pPr>
            <w:r>
              <w:rPr>
                <w:spacing w:val="-2"/>
              </w:rPr>
              <w:t>0.02</w:t>
            </w:r>
          </w:p>
        </w:tc>
      </w:tr>
      <w:tr w14:paraId="4B2C6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D20B15B">
            <w:pPr>
              <w:rPr>
                <w:rFonts w:ascii="Arial"/>
                <w:sz w:val="21"/>
              </w:rPr>
            </w:pPr>
          </w:p>
        </w:tc>
        <w:tc>
          <w:tcPr>
            <w:tcW w:w="329" w:type="dxa"/>
            <w:vMerge w:val="restart"/>
            <w:tcBorders>
              <w:bottom w:val="nil"/>
            </w:tcBorders>
            <w:vAlign w:val="top"/>
          </w:tcPr>
          <w:p w14:paraId="36C6A468">
            <w:pPr>
              <w:pStyle w:val="6"/>
              <w:spacing w:before="127" w:line="222" w:lineRule="auto"/>
              <w:ind w:left="96"/>
            </w:pPr>
            <w:r>
              <w:t>4</w:t>
            </w:r>
          </w:p>
          <w:p w14:paraId="6256D5E1">
            <w:pPr>
              <w:spacing w:line="219" w:lineRule="auto"/>
              <w:ind w:left="49"/>
              <w:rPr>
                <w:rFonts w:ascii="宋体" w:hAnsi="宋体" w:eastAsia="宋体" w:cs="宋体"/>
                <w:sz w:val="21"/>
                <w:szCs w:val="21"/>
              </w:rPr>
            </w:pPr>
            <w:r>
              <w:rPr>
                <w:rFonts w:ascii="宋体" w:hAnsi="宋体" w:eastAsia="宋体" w:cs="宋体"/>
                <w:sz w:val="21"/>
                <w:szCs w:val="21"/>
              </w:rPr>
              <w:t>季</w:t>
            </w:r>
          </w:p>
          <w:p w14:paraId="712F1EBF">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0C568340">
            <w:pPr>
              <w:pStyle w:val="6"/>
              <w:spacing w:before="86" w:line="203" w:lineRule="auto"/>
              <w:ind w:left="26"/>
            </w:pPr>
            <w:r>
              <w:rPr>
                <w:spacing w:val="-1"/>
              </w:rPr>
              <w:t>2021/11/28</w:t>
            </w:r>
          </w:p>
        </w:tc>
        <w:tc>
          <w:tcPr>
            <w:tcW w:w="848" w:type="dxa"/>
            <w:vAlign w:val="top"/>
          </w:tcPr>
          <w:p w14:paraId="399693D4">
            <w:pPr>
              <w:pStyle w:val="6"/>
              <w:spacing w:before="86" w:line="203" w:lineRule="auto"/>
              <w:ind w:left="233"/>
            </w:pPr>
            <w:r>
              <w:rPr>
                <w:spacing w:val="-2"/>
              </w:rPr>
              <w:t>0.40</w:t>
            </w:r>
          </w:p>
        </w:tc>
        <w:tc>
          <w:tcPr>
            <w:tcW w:w="848" w:type="dxa"/>
            <w:vAlign w:val="top"/>
          </w:tcPr>
          <w:p w14:paraId="267DDFBF">
            <w:pPr>
              <w:pStyle w:val="6"/>
              <w:spacing w:before="86" w:line="203" w:lineRule="auto"/>
              <w:ind w:left="236"/>
            </w:pPr>
            <w:r>
              <w:rPr>
                <w:spacing w:val="-2"/>
              </w:rPr>
              <w:t>0.55</w:t>
            </w:r>
          </w:p>
        </w:tc>
        <w:tc>
          <w:tcPr>
            <w:tcW w:w="990" w:type="dxa"/>
            <w:vAlign w:val="top"/>
          </w:tcPr>
          <w:p w14:paraId="41F842A6">
            <w:pPr>
              <w:pStyle w:val="6"/>
              <w:spacing w:before="86" w:line="203" w:lineRule="auto"/>
              <w:ind w:left="308"/>
            </w:pPr>
            <w:r>
              <w:rPr>
                <w:spacing w:val="-2"/>
              </w:rPr>
              <w:t>0.38</w:t>
            </w:r>
          </w:p>
        </w:tc>
        <w:tc>
          <w:tcPr>
            <w:tcW w:w="990" w:type="dxa"/>
            <w:vAlign w:val="top"/>
          </w:tcPr>
          <w:p w14:paraId="58D97EDF">
            <w:pPr>
              <w:pStyle w:val="6"/>
              <w:spacing w:before="86" w:line="203" w:lineRule="auto"/>
              <w:ind w:left="311"/>
            </w:pPr>
            <w:r>
              <w:rPr>
                <w:spacing w:val="-2"/>
              </w:rPr>
              <w:t>0.30</w:t>
            </w:r>
          </w:p>
        </w:tc>
        <w:tc>
          <w:tcPr>
            <w:tcW w:w="1132" w:type="dxa"/>
            <w:vAlign w:val="top"/>
          </w:tcPr>
          <w:p w14:paraId="06A12EC5">
            <w:pPr>
              <w:pStyle w:val="6"/>
              <w:spacing w:before="86" w:line="203" w:lineRule="auto"/>
              <w:ind w:left="383"/>
            </w:pPr>
            <w:r>
              <w:rPr>
                <w:spacing w:val="-2"/>
              </w:rPr>
              <w:t>0.30</w:t>
            </w:r>
          </w:p>
        </w:tc>
        <w:tc>
          <w:tcPr>
            <w:tcW w:w="848" w:type="dxa"/>
            <w:vAlign w:val="top"/>
          </w:tcPr>
          <w:p w14:paraId="7B8C3614">
            <w:pPr>
              <w:pStyle w:val="6"/>
              <w:spacing w:before="86" w:line="203" w:lineRule="auto"/>
              <w:ind w:left="243"/>
            </w:pPr>
            <w:r>
              <w:rPr>
                <w:spacing w:val="-2"/>
              </w:rPr>
              <w:t>0.48</w:t>
            </w:r>
          </w:p>
        </w:tc>
        <w:tc>
          <w:tcPr>
            <w:tcW w:w="992" w:type="dxa"/>
            <w:vAlign w:val="top"/>
          </w:tcPr>
          <w:p w14:paraId="1D040883">
            <w:pPr>
              <w:pStyle w:val="6"/>
              <w:spacing w:before="86" w:line="203" w:lineRule="auto"/>
              <w:ind w:left="318"/>
            </w:pPr>
            <w:r>
              <w:rPr>
                <w:spacing w:val="-2"/>
              </w:rPr>
              <w:t>0.10</w:t>
            </w:r>
          </w:p>
        </w:tc>
        <w:tc>
          <w:tcPr>
            <w:tcW w:w="706" w:type="dxa"/>
            <w:vAlign w:val="top"/>
          </w:tcPr>
          <w:p w14:paraId="0FB52B37">
            <w:pPr>
              <w:pStyle w:val="6"/>
              <w:spacing w:before="86" w:line="203" w:lineRule="auto"/>
              <w:ind w:left="177"/>
            </w:pPr>
            <w:r>
              <w:rPr>
                <w:spacing w:val="-2"/>
              </w:rPr>
              <w:t>0.20</w:t>
            </w:r>
          </w:p>
        </w:tc>
        <w:tc>
          <w:tcPr>
            <w:tcW w:w="1838" w:type="dxa"/>
            <w:vAlign w:val="top"/>
          </w:tcPr>
          <w:p w14:paraId="668495CA">
            <w:pPr>
              <w:pStyle w:val="6"/>
              <w:spacing w:before="177" w:line="100" w:lineRule="exact"/>
              <w:ind w:left="861"/>
            </w:pPr>
            <w:r>
              <w:rPr>
                <w:spacing w:val="-3"/>
                <w:position w:val="-6"/>
              </w:rPr>
              <w:t>--</w:t>
            </w:r>
          </w:p>
        </w:tc>
        <w:tc>
          <w:tcPr>
            <w:tcW w:w="1384" w:type="dxa"/>
            <w:tcBorders>
              <w:right w:val="single" w:color="000000" w:sz="12" w:space="0"/>
            </w:tcBorders>
            <w:vAlign w:val="top"/>
          </w:tcPr>
          <w:p w14:paraId="37040BB2">
            <w:pPr>
              <w:pStyle w:val="6"/>
              <w:spacing w:before="86" w:line="203" w:lineRule="auto"/>
              <w:ind w:left="517"/>
            </w:pPr>
            <w:r>
              <w:rPr>
                <w:spacing w:val="-2"/>
              </w:rPr>
              <w:t>0.54</w:t>
            </w:r>
          </w:p>
        </w:tc>
      </w:tr>
      <w:tr w14:paraId="5CFCB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46CF0FC">
            <w:pPr>
              <w:rPr>
                <w:rFonts w:ascii="Arial"/>
                <w:sz w:val="21"/>
              </w:rPr>
            </w:pPr>
          </w:p>
        </w:tc>
        <w:tc>
          <w:tcPr>
            <w:tcW w:w="329" w:type="dxa"/>
            <w:vMerge w:val="continue"/>
            <w:tcBorders>
              <w:top w:val="nil"/>
              <w:bottom w:val="nil"/>
            </w:tcBorders>
            <w:vAlign w:val="top"/>
          </w:tcPr>
          <w:p w14:paraId="4FD902D3">
            <w:pPr>
              <w:rPr>
                <w:rFonts w:ascii="Arial"/>
                <w:sz w:val="21"/>
              </w:rPr>
            </w:pPr>
          </w:p>
        </w:tc>
        <w:tc>
          <w:tcPr>
            <w:tcW w:w="1036" w:type="dxa"/>
            <w:vAlign w:val="top"/>
          </w:tcPr>
          <w:p w14:paraId="1DD3BBAB">
            <w:pPr>
              <w:pStyle w:val="6"/>
              <w:spacing w:before="88" w:line="201" w:lineRule="auto"/>
              <w:ind w:left="26"/>
            </w:pPr>
            <w:r>
              <w:rPr>
                <w:spacing w:val="-1"/>
              </w:rPr>
              <w:t>2021/11/29</w:t>
            </w:r>
          </w:p>
        </w:tc>
        <w:tc>
          <w:tcPr>
            <w:tcW w:w="848" w:type="dxa"/>
            <w:vAlign w:val="top"/>
          </w:tcPr>
          <w:p w14:paraId="48A52B11">
            <w:pPr>
              <w:pStyle w:val="6"/>
              <w:spacing w:before="88" w:line="201" w:lineRule="auto"/>
              <w:ind w:left="233"/>
            </w:pPr>
            <w:r>
              <w:rPr>
                <w:spacing w:val="-2"/>
              </w:rPr>
              <w:t>0.45</w:t>
            </w:r>
          </w:p>
        </w:tc>
        <w:tc>
          <w:tcPr>
            <w:tcW w:w="848" w:type="dxa"/>
            <w:vAlign w:val="top"/>
          </w:tcPr>
          <w:p w14:paraId="671FC3EC">
            <w:pPr>
              <w:pStyle w:val="6"/>
              <w:spacing w:before="88" w:line="201" w:lineRule="auto"/>
              <w:ind w:left="236"/>
            </w:pPr>
            <w:r>
              <w:rPr>
                <w:spacing w:val="-2"/>
              </w:rPr>
              <w:t>0.59</w:t>
            </w:r>
          </w:p>
        </w:tc>
        <w:tc>
          <w:tcPr>
            <w:tcW w:w="990" w:type="dxa"/>
            <w:vAlign w:val="top"/>
          </w:tcPr>
          <w:p w14:paraId="1811519F">
            <w:pPr>
              <w:pStyle w:val="6"/>
              <w:spacing w:before="88" w:line="201" w:lineRule="auto"/>
              <w:ind w:left="308"/>
            </w:pPr>
            <w:r>
              <w:rPr>
                <w:spacing w:val="-2"/>
              </w:rPr>
              <w:t>0.42</w:t>
            </w:r>
          </w:p>
        </w:tc>
        <w:tc>
          <w:tcPr>
            <w:tcW w:w="990" w:type="dxa"/>
            <w:vAlign w:val="top"/>
          </w:tcPr>
          <w:p w14:paraId="2F17D20C">
            <w:pPr>
              <w:pStyle w:val="6"/>
              <w:spacing w:before="88" w:line="201" w:lineRule="auto"/>
              <w:ind w:left="311"/>
            </w:pPr>
            <w:r>
              <w:rPr>
                <w:spacing w:val="-2"/>
              </w:rPr>
              <w:t>0.35</w:t>
            </w:r>
          </w:p>
        </w:tc>
        <w:tc>
          <w:tcPr>
            <w:tcW w:w="1132" w:type="dxa"/>
            <w:vAlign w:val="top"/>
          </w:tcPr>
          <w:p w14:paraId="58D1D309">
            <w:pPr>
              <w:pStyle w:val="6"/>
              <w:spacing w:before="88" w:line="201" w:lineRule="auto"/>
              <w:ind w:left="383"/>
            </w:pPr>
            <w:r>
              <w:rPr>
                <w:spacing w:val="-2"/>
              </w:rPr>
              <w:t>0.33</w:t>
            </w:r>
          </w:p>
        </w:tc>
        <w:tc>
          <w:tcPr>
            <w:tcW w:w="848" w:type="dxa"/>
            <w:vAlign w:val="top"/>
          </w:tcPr>
          <w:p w14:paraId="21123A9F">
            <w:pPr>
              <w:pStyle w:val="6"/>
              <w:spacing w:before="88" w:line="201" w:lineRule="auto"/>
              <w:ind w:left="243"/>
            </w:pPr>
            <w:r>
              <w:rPr>
                <w:spacing w:val="-2"/>
              </w:rPr>
              <w:t>0.49</w:t>
            </w:r>
          </w:p>
        </w:tc>
        <w:tc>
          <w:tcPr>
            <w:tcW w:w="992" w:type="dxa"/>
            <w:vAlign w:val="top"/>
          </w:tcPr>
          <w:p w14:paraId="1F27A93F">
            <w:pPr>
              <w:pStyle w:val="6"/>
              <w:spacing w:before="88" w:line="201" w:lineRule="auto"/>
              <w:ind w:left="318"/>
            </w:pPr>
            <w:r>
              <w:rPr>
                <w:spacing w:val="-2"/>
              </w:rPr>
              <w:t>0.15</w:t>
            </w:r>
          </w:p>
        </w:tc>
        <w:tc>
          <w:tcPr>
            <w:tcW w:w="706" w:type="dxa"/>
            <w:vAlign w:val="top"/>
          </w:tcPr>
          <w:p w14:paraId="6D3ADE6B">
            <w:pPr>
              <w:pStyle w:val="6"/>
              <w:spacing w:before="88" w:line="201" w:lineRule="auto"/>
              <w:ind w:left="177"/>
            </w:pPr>
            <w:r>
              <w:rPr>
                <w:spacing w:val="-2"/>
              </w:rPr>
              <w:t>0.20</w:t>
            </w:r>
          </w:p>
        </w:tc>
        <w:tc>
          <w:tcPr>
            <w:tcW w:w="1838" w:type="dxa"/>
            <w:vAlign w:val="top"/>
          </w:tcPr>
          <w:p w14:paraId="7C07A2AE">
            <w:pPr>
              <w:pStyle w:val="6"/>
              <w:spacing w:before="179" w:line="100" w:lineRule="exact"/>
              <w:ind w:left="861"/>
            </w:pPr>
            <w:r>
              <w:rPr>
                <w:spacing w:val="-3"/>
                <w:position w:val="-6"/>
              </w:rPr>
              <w:t>--</w:t>
            </w:r>
          </w:p>
        </w:tc>
        <w:tc>
          <w:tcPr>
            <w:tcW w:w="1384" w:type="dxa"/>
            <w:tcBorders>
              <w:right w:val="single" w:color="000000" w:sz="12" w:space="0"/>
            </w:tcBorders>
            <w:vAlign w:val="top"/>
          </w:tcPr>
          <w:p w14:paraId="23D65D12">
            <w:pPr>
              <w:pStyle w:val="6"/>
              <w:spacing w:before="88" w:line="201" w:lineRule="auto"/>
              <w:ind w:left="517"/>
            </w:pPr>
            <w:r>
              <w:rPr>
                <w:spacing w:val="-2"/>
              </w:rPr>
              <w:t>0.56</w:t>
            </w:r>
          </w:p>
        </w:tc>
      </w:tr>
      <w:tr w14:paraId="402DD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tcBorders>
            <w:vAlign w:val="top"/>
          </w:tcPr>
          <w:p w14:paraId="58C7C74A">
            <w:pPr>
              <w:rPr>
                <w:rFonts w:ascii="Arial"/>
                <w:sz w:val="21"/>
              </w:rPr>
            </w:pPr>
          </w:p>
        </w:tc>
        <w:tc>
          <w:tcPr>
            <w:tcW w:w="329" w:type="dxa"/>
            <w:vMerge w:val="continue"/>
            <w:tcBorders>
              <w:top w:val="nil"/>
            </w:tcBorders>
            <w:vAlign w:val="top"/>
          </w:tcPr>
          <w:p w14:paraId="2280A18D">
            <w:pPr>
              <w:rPr>
                <w:rFonts w:ascii="Arial"/>
                <w:sz w:val="21"/>
              </w:rPr>
            </w:pPr>
          </w:p>
        </w:tc>
        <w:tc>
          <w:tcPr>
            <w:tcW w:w="1036" w:type="dxa"/>
            <w:vAlign w:val="top"/>
          </w:tcPr>
          <w:p w14:paraId="7E07D8FA">
            <w:pPr>
              <w:pStyle w:val="6"/>
              <w:spacing w:before="89" w:line="201" w:lineRule="auto"/>
              <w:ind w:left="26"/>
            </w:pPr>
            <w:r>
              <w:rPr>
                <w:spacing w:val="-1"/>
              </w:rPr>
              <w:t>2021/11/30</w:t>
            </w:r>
          </w:p>
        </w:tc>
        <w:tc>
          <w:tcPr>
            <w:tcW w:w="848" w:type="dxa"/>
            <w:vAlign w:val="top"/>
          </w:tcPr>
          <w:p w14:paraId="3A6BDA7F">
            <w:pPr>
              <w:pStyle w:val="6"/>
              <w:spacing w:before="89" w:line="201" w:lineRule="auto"/>
              <w:ind w:left="233"/>
            </w:pPr>
            <w:r>
              <w:rPr>
                <w:spacing w:val="-2"/>
              </w:rPr>
              <w:t>0.40</w:t>
            </w:r>
          </w:p>
        </w:tc>
        <w:tc>
          <w:tcPr>
            <w:tcW w:w="848" w:type="dxa"/>
            <w:vAlign w:val="top"/>
          </w:tcPr>
          <w:p w14:paraId="03259445">
            <w:pPr>
              <w:pStyle w:val="6"/>
              <w:spacing w:before="89" w:line="201" w:lineRule="auto"/>
              <w:ind w:left="236"/>
            </w:pPr>
            <w:r>
              <w:rPr>
                <w:spacing w:val="-2"/>
              </w:rPr>
              <w:t>0.48</w:t>
            </w:r>
          </w:p>
        </w:tc>
        <w:tc>
          <w:tcPr>
            <w:tcW w:w="990" w:type="dxa"/>
            <w:vAlign w:val="top"/>
          </w:tcPr>
          <w:p w14:paraId="69C830CA">
            <w:pPr>
              <w:pStyle w:val="6"/>
              <w:spacing w:before="89" w:line="201" w:lineRule="auto"/>
              <w:ind w:left="308"/>
            </w:pPr>
            <w:r>
              <w:rPr>
                <w:spacing w:val="-2"/>
              </w:rPr>
              <w:t>0.35</w:t>
            </w:r>
          </w:p>
        </w:tc>
        <w:tc>
          <w:tcPr>
            <w:tcW w:w="990" w:type="dxa"/>
            <w:vAlign w:val="top"/>
          </w:tcPr>
          <w:p w14:paraId="506EF268">
            <w:pPr>
              <w:pStyle w:val="6"/>
              <w:spacing w:before="89" w:line="201" w:lineRule="auto"/>
              <w:ind w:left="311"/>
            </w:pPr>
            <w:r>
              <w:rPr>
                <w:spacing w:val="-2"/>
              </w:rPr>
              <w:t>0.40</w:t>
            </w:r>
          </w:p>
        </w:tc>
        <w:tc>
          <w:tcPr>
            <w:tcW w:w="1132" w:type="dxa"/>
            <w:vAlign w:val="top"/>
          </w:tcPr>
          <w:p w14:paraId="51543C3F">
            <w:pPr>
              <w:pStyle w:val="6"/>
              <w:spacing w:before="89" w:line="201" w:lineRule="auto"/>
              <w:ind w:left="383"/>
            </w:pPr>
            <w:r>
              <w:rPr>
                <w:spacing w:val="-2"/>
              </w:rPr>
              <w:t>0.35</w:t>
            </w:r>
          </w:p>
        </w:tc>
        <w:tc>
          <w:tcPr>
            <w:tcW w:w="848" w:type="dxa"/>
            <w:vAlign w:val="top"/>
          </w:tcPr>
          <w:p w14:paraId="00B23DC9">
            <w:pPr>
              <w:pStyle w:val="6"/>
              <w:spacing w:before="89" w:line="201" w:lineRule="auto"/>
              <w:ind w:left="243"/>
            </w:pPr>
            <w:r>
              <w:rPr>
                <w:spacing w:val="-2"/>
              </w:rPr>
              <w:t>0.49</w:t>
            </w:r>
          </w:p>
        </w:tc>
        <w:tc>
          <w:tcPr>
            <w:tcW w:w="992" w:type="dxa"/>
            <w:vAlign w:val="top"/>
          </w:tcPr>
          <w:p w14:paraId="303A70E4">
            <w:pPr>
              <w:pStyle w:val="6"/>
              <w:spacing w:before="89" w:line="201" w:lineRule="auto"/>
              <w:ind w:left="318"/>
            </w:pPr>
            <w:r>
              <w:rPr>
                <w:spacing w:val="-2"/>
              </w:rPr>
              <w:t>0.10</w:t>
            </w:r>
          </w:p>
        </w:tc>
        <w:tc>
          <w:tcPr>
            <w:tcW w:w="706" w:type="dxa"/>
            <w:vAlign w:val="top"/>
          </w:tcPr>
          <w:p w14:paraId="7D0B0B9C">
            <w:pPr>
              <w:pStyle w:val="6"/>
              <w:spacing w:before="89" w:line="201" w:lineRule="auto"/>
              <w:ind w:left="177"/>
            </w:pPr>
            <w:r>
              <w:rPr>
                <w:spacing w:val="-2"/>
              </w:rPr>
              <w:t>0.40</w:t>
            </w:r>
          </w:p>
        </w:tc>
        <w:tc>
          <w:tcPr>
            <w:tcW w:w="1838" w:type="dxa"/>
            <w:vAlign w:val="top"/>
          </w:tcPr>
          <w:p w14:paraId="72E99328">
            <w:pPr>
              <w:pStyle w:val="6"/>
              <w:spacing w:before="180" w:line="100" w:lineRule="exact"/>
              <w:ind w:left="861"/>
            </w:pPr>
            <w:r>
              <w:rPr>
                <w:spacing w:val="-3"/>
                <w:position w:val="-6"/>
              </w:rPr>
              <w:t>--</w:t>
            </w:r>
          </w:p>
        </w:tc>
        <w:tc>
          <w:tcPr>
            <w:tcW w:w="1384" w:type="dxa"/>
            <w:tcBorders>
              <w:right w:val="single" w:color="000000" w:sz="12" w:space="0"/>
            </w:tcBorders>
            <w:vAlign w:val="top"/>
          </w:tcPr>
          <w:p w14:paraId="1A1521C5">
            <w:pPr>
              <w:pStyle w:val="6"/>
              <w:spacing w:before="89" w:line="201" w:lineRule="auto"/>
              <w:ind w:left="517"/>
            </w:pPr>
            <w:r>
              <w:rPr>
                <w:spacing w:val="-2"/>
              </w:rPr>
              <w:t>0.58</w:t>
            </w:r>
          </w:p>
        </w:tc>
      </w:tr>
      <w:tr w14:paraId="6473E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28EF6A87">
            <w:pPr>
              <w:spacing w:line="258" w:lineRule="auto"/>
              <w:rPr>
                <w:rFonts w:ascii="Arial"/>
                <w:sz w:val="21"/>
              </w:rPr>
            </w:pPr>
          </w:p>
          <w:p w14:paraId="738A8DD7">
            <w:pPr>
              <w:spacing w:line="258" w:lineRule="auto"/>
              <w:rPr>
                <w:rFonts w:ascii="Arial"/>
                <w:sz w:val="21"/>
              </w:rPr>
            </w:pPr>
          </w:p>
          <w:p w14:paraId="632894E2">
            <w:pPr>
              <w:spacing w:line="258" w:lineRule="auto"/>
              <w:rPr>
                <w:rFonts w:ascii="Arial"/>
                <w:sz w:val="21"/>
              </w:rPr>
            </w:pPr>
          </w:p>
          <w:p w14:paraId="1C22DE62">
            <w:pPr>
              <w:spacing w:line="258" w:lineRule="auto"/>
              <w:rPr>
                <w:rFonts w:ascii="Arial"/>
                <w:sz w:val="21"/>
              </w:rPr>
            </w:pPr>
          </w:p>
          <w:p w14:paraId="4F58E19C">
            <w:pPr>
              <w:spacing w:line="258" w:lineRule="auto"/>
              <w:rPr>
                <w:rFonts w:ascii="Arial"/>
                <w:sz w:val="21"/>
              </w:rPr>
            </w:pPr>
          </w:p>
          <w:p w14:paraId="285A272C">
            <w:pPr>
              <w:spacing w:before="68" w:line="219" w:lineRule="auto"/>
              <w:ind w:left="199"/>
              <w:rPr>
                <w:rFonts w:ascii="宋体" w:hAnsi="宋体" w:eastAsia="宋体" w:cs="宋体"/>
                <w:sz w:val="21"/>
                <w:szCs w:val="21"/>
              </w:rPr>
            </w:pPr>
            <w:r>
              <w:rPr>
                <w:rFonts w:ascii="宋体" w:hAnsi="宋体" w:eastAsia="宋体" w:cs="宋体"/>
                <w:spacing w:val="-3"/>
                <w:sz w:val="21"/>
                <w:szCs w:val="21"/>
              </w:rPr>
              <w:t>马龙河干流</w:t>
            </w:r>
          </w:p>
          <w:p w14:paraId="12116A0C">
            <w:pPr>
              <w:spacing w:before="23" w:line="220" w:lineRule="auto"/>
              <w:ind w:left="93"/>
              <w:rPr>
                <w:rFonts w:ascii="宋体" w:hAnsi="宋体" w:eastAsia="宋体" w:cs="宋体"/>
                <w:sz w:val="21"/>
                <w:szCs w:val="21"/>
              </w:rPr>
            </w:pPr>
            <w:r>
              <w:rPr>
                <w:rFonts w:ascii="宋体" w:hAnsi="宋体" w:eastAsia="宋体" w:cs="宋体"/>
                <w:spacing w:val="-4"/>
                <w:sz w:val="21"/>
                <w:szCs w:val="21"/>
              </w:rPr>
              <w:t>（车马碧水库</w:t>
            </w:r>
          </w:p>
          <w:p w14:paraId="0DCE2F4F">
            <w:pPr>
              <w:spacing w:before="22" w:line="220" w:lineRule="auto"/>
              <w:ind w:left="296"/>
              <w:rPr>
                <w:rFonts w:ascii="宋体" w:hAnsi="宋体" w:eastAsia="宋体" w:cs="宋体"/>
                <w:sz w:val="21"/>
                <w:szCs w:val="21"/>
              </w:rPr>
            </w:pPr>
            <w:r>
              <w:rPr>
                <w:rFonts w:ascii="宋体" w:hAnsi="宋体" w:eastAsia="宋体" w:cs="宋体"/>
                <w:spacing w:val="-2"/>
                <w:sz w:val="21"/>
                <w:szCs w:val="21"/>
              </w:rPr>
              <w:t>坝址下游</w:t>
            </w:r>
          </w:p>
          <w:p w14:paraId="5ED4370C">
            <w:pPr>
              <w:pStyle w:val="6"/>
              <w:spacing w:before="21" w:line="280" w:lineRule="exact"/>
              <w:ind w:left="442"/>
              <w:rPr>
                <w:rFonts w:ascii="宋体" w:hAnsi="宋体" w:eastAsia="宋体" w:cs="宋体"/>
              </w:rPr>
            </w:pPr>
            <w:r>
              <w:rPr>
                <w:spacing w:val="-6"/>
                <w:position w:val="1"/>
              </w:rPr>
              <w:t>1km</w:t>
            </w:r>
            <w:r>
              <w:rPr>
                <w:rFonts w:ascii="宋体" w:hAnsi="宋体" w:eastAsia="宋体" w:cs="宋体"/>
                <w:spacing w:val="-6"/>
                <w:position w:val="1"/>
              </w:rPr>
              <w:t>）</w:t>
            </w:r>
          </w:p>
        </w:tc>
        <w:tc>
          <w:tcPr>
            <w:tcW w:w="329" w:type="dxa"/>
            <w:vMerge w:val="restart"/>
            <w:tcBorders>
              <w:bottom w:val="nil"/>
            </w:tcBorders>
            <w:vAlign w:val="top"/>
          </w:tcPr>
          <w:p w14:paraId="3EC8C9E0">
            <w:pPr>
              <w:pStyle w:val="6"/>
              <w:spacing w:before="130" w:line="222" w:lineRule="auto"/>
              <w:ind w:left="117"/>
            </w:pPr>
            <w:r>
              <w:t>1</w:t>
            </w:r>
          </w:p>
          <w:p w14:paraId="54D6D240">
            <w:pPr>
              <w:spacing w:line="219" w:lineRule="auto"/>
              <w:ind w:left="49"/>
              <w:rPr>
                <w:rFonts w:ascii="宋体" w:hAnsi="宋体" w:eastAsia="宋体" w:cs="宋体"/>
                <w:sz w:val="21"/>
                <w:szCs w:val="21"/>
              </w:rPr>
            </w:pPr>
            <w:r>
              <w:rPr>
                <w:rFonts w:ascii="宋体" w:hAnsi="宋体" w:eastAsia="宋体" w:cs="宋体"/>
                <w:sz w:val="21"/>
                <w:szCs w:val="21"/>
              </w:rPr>
              <w:t>季</w:t>
            </w:r>
          </w:p>
          <w:p w14:paraId="65F65412">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46795BE0">
            <w:pPr>
              <w:pStyle w:val="6"/>
              <w:spacing w:before="90" w:line="199" w:lineRule="auto"/>
              <w:ind w:left="79"/>
            </w:pPr>
            <w:r>
              <w:rPr>
                <w:spacing w:val="-1"/>
              </w:rPr>
              <w:t>2021/3/18</w:t>
            </w:r>
          </w:p>
        </w:tc>
        <w:tc>
          <w:tcPr>
            <w:tcW w:w="848" w:type="dxa"/>
            <w:vAlign w:val="top"/>
          </w:tcPr>
          <w:p w14:paraId="44983A8A">
            <w:pPr>
              <w:pStyle w:val="6"/>
              <w:spacing w:before="90" w:line="199" w:lineRule="auto"/>
              <w:ind w:left="233"/>
            </w:pPr>
            <w:r>
              <w:rPr>
                <w:spacing w:val="-2"/>
              </w:rPr>
              <w:t>0.56</w:t>
            </w:r>
          </w:p>
        </w:tc>
        <w:tc>
          <w:tcPr>
            <w:tcW w:w="848" w:type="dxa"/>
            <w:vAlign w:val="top"/>
          </w:tcPr>
          <w:p w14:paraId="2B0B407E">
            <w:pPr>
              <w:pStyle w:val="6"/>
              <w:spacing w:before="95" w:line="194" w:lineRule="auto"/>
              <w:ind w:left="234"/>
            </w:pPr>
            <w:r>
              <w:rPr>
                <w:b/>
                <w:bCs/>
                <w:spacing w:val="-2"/>
              </w:rPr>
              <w:t>4.90</w:t>
            </w:r>
          </w:p>
        </w:tc>
        <w:tc>
          <w:tcPr>
            <w:tcW w:w="990" w:type="dxa"/>
            <w:vAlign w:val="top"/>
          </w:tcPr>
          <w:p w14:paraId="7A741DF8">
            <w:pPr>
              <w:pStyle w:val="6"/>
              <w:spacing w:before="90" w:line="199" w:lineRule="auto"/>
              <w:ind w:left="308"/>
            </w:pPr>
            <w:r>
              <w:rPr>
                <w:spacing w:val="-2"/>
              </w:rPr>
              <w:t>0.43</w:t>
            </w:r>
          </w:p>
        </w:tc>
        <w:tc>
          <w:tcPr>
            <w:tcW w:w="990" w:type="dxa"/>
            <w:vAlign w:val="top"/>
          </w:tcPr>
          <w:p w14:paraId="37DF17BF">
            <w:pPr>
              <w:pStyle w:val="6"/>
              <w:spacing w:before="90" w:line="199" w:lineRule="auto"/>
              <w:ind w:left="311"/>
            </w:pPr>
            <w:r>
              <w:rPr>
                <w:spacing w:val="-2"/>
              </w:rPr>
              <w:t>0.25</w:t>
            </w:r>
          </w:p>
        </w:tc>
        <w:tc>
          <w:tcPr>
            <w:tcW w:w="1132" w:type="dxa"/>
            <w:vAlign w:val="top"/>
          </w:tcPr>
          <w:p w14:paraId="5622D3C1">
            <w:pPr>
              <w:pStyle w:val="6"/>
              <w:spacing w:before="90" w:line="199" w:lineRule="auto"/>
              <w:ind w:left="383"/>
            </w:pPr>
            <w:r>
              <w:rPr>
                <w:spacing w:val="-2"/>
              </w:rPr>
              <w:t>0.28</w:t>
            </w:r>
          </w:p>
        </w:tc>
        <w:tc>
          <w:tcPr>
            <w:tcW w:w="848" w:type="dxa"/>
            <w:vAlign w:val="top"/>
          </w:tcPr>
          <w:p w14:paraId="67D55206">
            <w:pPr>
              <w:pStyle w:val="6"/>
              <w:spacing w:before="90" w:line="199" w:lineRule="auto"/>
              <w:ind w:left="243"/>
            </w:pPr>
            <w:r>
              <w:rPr>
                <w:spacing w:val="-2"/>
              </w:rPr>
              <w:t>0.11</w:t>
            </w:r>
          </w:p>
        </w:tc>
        <w:tc>
          <w:tcPr>
            <w:tcW w:w="992" w:type="dxa"/>
            <w:vAlign w:val="top"/>
          </w:tcPr>
          <w:p w14:paraId="2C16AF82">
            <w:pPr>
              <w:pStyle w:val="6"/>
              <w:spacing w:before="90" w:line="199" w:lineRule="auto"/>
              <w:ind w:left="318"/>
            </w:pPr>
            <w:r>
              <w:rPr>
                <w:spacing w:val="-2"/>
              </w:rPr>
              <w:t>0.05</w:t>
            </w:r>
          </w:p>
        </w:tc>
        <w:tc>
          <w:tcPr>
            <w:tcW w:w="706" w:type="dxa"/>
            <w:vAlign w:val="top"/>
          </w:tcPr>
          <w:p w14:paraId="1B582C5F">
            <w:pPr>
              <w:pStyle w:val="6"/>
              <w:spacing w:before="181" w:line="101" w:lineRule="exact"/>
              <w:ind w:left="292"/>
            </w:pPr>
            <w:r>
              <w:rPr>
                <w:spacing w:val="-3"/>
                <w:position w:val="-6"/>
              </w:rPr>
              <w:t>--</w:t>
            </w:r>
          </w:p>
        </w:tc>
        <w:tc>
          <w:tcPr>
            <w:tcW w:w="1838" w:type="dxa"/>
            <w:vAlign w:val="top"/>
          </w:tcPr>
          <w:p w14:paraId="66835F1E">
            <w:pPr>
              <w:pStyle w:val="6"/>
              <w:spacing w:before="90" w:line="199" w:lineRule="auto"/>
              <w:ind w:left="747"/>
            </w:pPr>
            <w:r>
              <w:rPr>
                <w:spacing w:val="-2"/>
              </w:rPr>
              <w:t>0.31</w:t>
            </w:r>
          </w:p>
        </w:tc>
        <w:tc>
          <w:tcPr>
            <w:tcW w:w="1384" w:type="dxa"/>
            <w:tcBorders>
              <w:right w:val="single" w:color="000000" w:sz="12" w:space="0"/>
            </w:tcBorders>
            <w:vAlign w:val="top"/>
          </w:tcPr>
          <w:p w14:paraId="2AE9739B">
            <w:pPr>
              <w:pStyle w:val="6"/>
              <w:spacing w:before="90" w:line="199" w:lineRule="auto"/>
              <w:ind w:left="517"/>
            </w:pPr>
            <w:r>
              <w:rPr>
                <w:spacing w:val="-2"/>
              </w:rPr>
              <w:t>0.00</w:t>
            </w:r>
          </w:p>
        </w:tc>
      </w:tr>
      <w:tr w14:paraId="7D149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A849B6D">
            <w:pPr>
              <w:rPr>
                <w:rFonts w:ascii="Arial"/>
                <w:sz w:val="21"/>
              </w:rPr>
            </w:pPr>
          </w:p>
        </w:tc>
        <w:tc>
          <w:tcPr>
            <w:tcW w:w="329" w:type="dxa"/>
            <w:vMerge w:val="continue"/>
            <w:tcBorders>
              <w:top w:val="nil"/>
              <w:bottom w:val="nil"/>
            </w:tcBorders>
            <w:vAlign w:val="top"/>
          </w:tcPr>
          <w:p w14:paraId="3F5B56C3">
            <w:pPr>
              <w:rPr>
                <w:rFonts w:ascii="Arial"/>
                <w:sz w:val="21"/>
              </w:rPr>
            </w:pPr>
          </w:p>
        </w:tc>
        <w:tc>
          <w:tcPr>
            <w:tcW w:w="1036" w:type="dxa"/>
            <w:vAlign w:val="top"/>
          </w:tcPr>
          <w:p w14:paraId="58E3F8A4">
            <w:pPr>
              <w:pStyle w:val="6"/>
              <w:spacing w:before="91" w:line="198" w:lineRule="auto"/>
              <w:ind w:left="79"/>
            </w:pPr>
            <w:r>
              <w:rPr>
                <w:spacing w:val="-1"/>
              </w:rPr>
              <w:t>2021/3/19</w:t>
            </w:r>
          </w:p>
        </w:tc>
        <w:tc>
          <w:tcPr>
            <w:tcW w:w="848" w:type="dxa"/>
            <w:vAlign w:val="top"/>
          </w:tcPr>
          <w:p w14:paraId="22C6EAF4">
            <w:pPr>
              <w:pStyle w:val="6"/>
              <w:spacing w:before="91" w:line="198" w:lineRule="auto"/>
              <w:ind w:left="233"/>
            </w:pPr>
            <w:r>
              <w:rPr>
                <w:spacing w:val="-2"/>
              </w:rPr>
              <w:t>0.55</w:t>
            </w:r>
          </w:p>
        </w:tc>
        <w:tc>
          <w:tcPr>
            <w:tcW w:w="848" w:type="dxa"/>
            <w:vAlign w:val="top"/>
          </w:tcPr>
          <w:p w14:paraId="70511D16">
            <w:pPr>
              <w:pStyle w:val="6"/>
              <w:spacing w:before="96" w:line="193" w:lineRule="auto"/>
              <w:ind w:left="234"/>
            </w:pPr>
            <w:r>
              <w:rPr>
                <w:b/>
                <w:bCs/>
                <w:spacing w:val="-2"/>
              </w:rPr>
              <w:t>4.60</w:t>
            </w:r>
          </w:p>
        </w:tc>
        <w:tc>
          <w:tcPr>
            <w:tcW w:w="990" w:type="dxa"/>
            <w:vAlign w:val="top"/>
          </w:tcPr>
          <w:p w14:paraId="7EE720F4">
            <w:pPr>
              <w:pStyle w:val="6"/>
              <w:spacing w:before="91" w:line="198" w:lineRule="auto"/>
              <w:ind w:left="308"/>
            </w:pPr>
            <w:r>
              <w:rPr>
                <w:spacing w:val="-2"/>
              </w:rPr>
              <w:t>0.40</w:t>
            </w:r>
          </w:p>
        </w:tc>
        <w:tc>
          <w:tcPr>
            <w:tcW w:w="990" w:type="dxa"/>
            <w:vAlign w:val="top"/>
          </w:tcPr>
          <w:p w14:paraId="610A72A4">
            <w:pPr>
              <w:pStyle w:val="6"/>
              <w:spacing w:before="91" w:line="198" w:lineRule="auto"/>
              <w:ind w:left="311"/>
            </w:pPr>
            <w:r>
              <w:rPr>
                <w:spacing w:val="-2"/>
              </w:rPr>
              <w:t>0.30</w:t>
            </w:r>
          </w:p>
        </w:tc>
        <w:tc>
          <w:tcPr>
            <w:tcW w:w="1132" w:type="dxa"/>
            <w:vAlign w:val="top"/>
          </w:tcPr>
          <w:p w14:paraId="043AD159">
            <w:pPr>
              <w:pStyle w:val="6"/>
              <w:spacing w:before="91" w:line="198" w:lineRule="auto"/>
              <w:ind w:left="383"/>
            </w:pPr>
            <w:r>
              <w:rPr>
                <w:spacing w:val="-2"/>
              </w:rPr>
              <w:t>0.30</w:t>
            </w:r>
          </w:p>
        </w:tc>
        <w:tc>
          <w:tcPr>
            <w:tcW w:w="848" w:type="dxa"/>
            <w:vAlign w:val="top"/>
          </w:tcPr>
          <w:p w14:paraId="093E8727">
            <w:pPr>
              <w:pStyle w:val="6"/>
              <w:spacing w:before="91" w:line="198" w:lineRule="auto"/>
              <w:ind w:left="243"/>
            </w:pPr>
            <w:r>
              <w:rPr>
                <w:spacing w:val="-2"/>
              </w:rPr>
              <w:t>0.11</w:t>
            </w:r>
          </w:p>
        </w:tc>
        <w:tc>
          <w:tcPr>
            <w:tcW w:w="992" w:type="dxa"/>
            <w:vAlign w:val="top"/>
          </w:tcPr>
          <w:p w14:paraId="4D02C94E">
            <w:pPr>
              <w:pStyle w:val="6"/>
              <w:spacing w:before="91" w:line="198" w:lineRule="auto"/>
              <w:ind w:left="318"/>
            </w:pPr>
            <w:r>
              <w:rPr>
                <w:spacing w:val="-2"/>
              </w:rPr>
              <w:t>0.05</w:t>
            </w:r>
          </w:p>
        </w:tc>
        <w:tc>
          <w:tcPr>
            <w:tcW w:w="706" w:type="dxa"/>
            <w:vAlign w:val="top"/>
          </w:tcPr>
          <w:p w14:paraId="083F2496">
            <w:pPr>
              <w:pStyle w:val="6"/>
              <w:spacing w:before="182" w:line="101" w:lineRule="exact"/>
              <w:ind w:left="292"/>
            </w:pPr>
            <w:r>
              <w:rPr>
                <w:spacing w:val="-3"/>
                <w:position w:val="-6"/>
              </w:rPr>
              <w:t>--</w:t>
            </w:r>
          </w:p>
        </w:tc>
        <w:tc>
          <w:tcPr>
            <w:tcW w:w="1838" w:type="dxa"/>
            <w:vAlign w:val="top"/>
          </w:tcPr>
          <w:p w14:paraId="11CCEBA5">
            <w:pPr>
              <w:pStyle w:val="6"/>
              <w:spacing w:before="91" w:line="198" w:lineRule="auto"/>
              <w:ind w:left="747"/>
            </w:pPr>
            <w:r>
              <w:rPr>
                <w:spacing w:val="-2"/>
              </w:rPr>
              <w:t>0.33</w:t>
            </w:r>
          </w:p>
        </w:tc>
        <w:tc>
          <w:tcPr>
            <w:tcW w:w="1384" w:type="dxa"/>
            <w:tcBorders>
              <w:right w:val="single" w:color="000000" w:sz="12" w:space="0"/>
            </w:tcBorders>
            <w:vAlign w:val="top"/>
          </w:tcPr>
          <w:p w14:paraId="161E6B15">
            <w:pPr>
              <w:pStyle w:val="6"/>
              <w:spacing w:before="91" w:line="198" w:lineRule="auto"/>
              <w:ind w:left="517"/>
            </w:pPr>
            <w:r>
              <w:rPr>
                <w:spacing w:val="-2"/>
              </w:rPr>
              <w:t>0.00</w:t>
            </w:r>
          </w:p>
        </w:tc>
      </w:tr>
      <w:tr w14:paraId="3D323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7BADB03">
            <w:pPr>
              <w:rPr>
                <w:rFonts w:ascii="Arial"/>
                <w:sz w:val="21"/>
              </w:rPr>
            </w:pPr>
          </w:p>
        </w:tc>
        <w:tc>
          <w:tcPr>
            <w:tcW w:w="329" w:type="dxa"/>
            <w:vMerge w:val="continue"/>
            <w:tcBorders>
              <w:top w:val="nil"/>
            </w:tcBorders>
            <w:vAlign w:val="top"/>
          </w:tcPr>
          <w:p w14:paraId="3A5C9F6E">
            <w:pPr>
              <w:rPr>
                <w:rFonts w:ascii="Arial"/>
                <w:sz w:val="21"/>
              </w:rPr>
            </w:pPr>
          </w:p>
        </w:tc>
        <w:tc>
          <w:tcPr>
            <w:tcW w:w="1036" w:type="dxa"/>
            <w:vAlign w:val="top"/>
          </w:tcPr>
          <w:p w14:paraId="49BE6D0B">
            <w:pPr>
              <w:pStyle w:val="6"/>
              <w:spacing w:before="92" w:line="198" w:lineRule="auto"/>
              <w:ind w:left="79"/>
            </w:pPr>
            <w:r>
              <w:rPr>
                <w:spacing w:val="-1"/>
              </w:rPr>
              <w:t>2021/3/20</w:t>
            </w:r>
          </w:p>
        </w:tc>
        <w:tc>
          <w:tcPr>
            <w:tcW w:w="848" w:type="dxa"/>
            <w:vAlign w:val="top"/>
          </w:tcPr>
          <w:p w14:paraId="432CCDC7">
            <w:pPr>
              <w:pStyle w:val="6"/>
              <w:spacing w:before="92" w:line="198" w:lineRule="auto"/>
              <w:ind w:left="233"/>
            </w:pPr>
            <w:r>
              <w:rPr>
                <w:spacing w:val="-2"/>
              </w:rPr>
              <w:t>0.53</w:t>
            </w:r>
          </w:p>
        </w:tc>
        <w:tc>
          <w:tcPr>
            <w:tcW w:w="848" w:type="dxa"/>
            <w:vAlign w:val="top"/>
          </w:tcPr>
          <w:p w14:paraId="1BB64978">
            <w:pPr>
              <w:pStyle w:val="6"/>
              <w:spacing w:before="97" w:line="193" w:lineRule="auto"/>
              <w:ind w:left="235"/>
            </w:pPr>
            <w:r>
              <w:rPr>
                <w:b/>
                <w:bCs/>
                <w:spacing w:val="-2"/>
              </w:rPr>
              <w:t>5.20</w:t>
            </w:r>
          </w:p>
        </w:tc>
        <w:tc>
          <w:tcPr>
            <w:tcW w:w="990" w:type="dxa"/>
            <w:vAlign w:val="top"/>
          </w:tcPr>
          <w:p w14:paraId="5A5A1D54">
            <w:pPr>
              <w:pStyle w:val="6"/>
              <w:spacing w:before="92" w:line="198" w:lineRule="auto"/>
              <w:ind w:left="308"/>
            </w:pPr>
            <w:r>
              <w:rPr>
                <w:spacing w:val="-2"/>
              </w:rPr>
              <w:t>0.37</w:t>
            </w:r>
          </w:p>
        </w:tc>
        <w:tc>
          <w:tcPr>
            <w:tcW w:w="990" w:type="dxa"/>
            <w:vAlign w:val="top"/>
          </w:tcPr>
          <w:p w14:paraId="11BA01BB">
            <w:pPr>
              <w:pStyle w:val="6"/>
              <w:spacing w:before="92" w:line="198" w:lineRule="auto"/>
              <w:ind w:left="311"/>
            </w:pPr>
            <w:r>
              <w:rPr>
                <w:spacing w:val="-2"/>
              </w:rPr>
              <w:t>0.20</w:t>
            </w:r>
          </w:p>
        </w:tc>
        <w:tc>
          <w:tcPr>
            <w:tcW w:w="1132" w:type="dxa"/>
            <w:vAlign w:val="top"/>
          </w:tcPr>
          <w:p w14:paraId="0F8D26A3">
            <w:pPr>
              <w:pStyle w:val="6"/>
              <w:spacing w:before="92" w:line="198" w:lineRule="auto"/>
              <w:ind w:left="383"/>
            </w:pPr>
            <w:r>
              <w:rPr>
                <w:spacing w:val="-2"/>
              </w:rPr>
              <w:t>0.20</w:t>
            </w:r>
          </w:p>
        </w:tc>
        <w:tc>
          <w:tcPr>
            <w:tcW w:w="848" w:type="dxa"/>
            <w:vAlign w:val="top"/>
          </w:tcPr>
          <w:p w14:paraId="75BBD9DF">
            <w:pPr>
              <w:pStyle w:val="6"/>
              <w:spacing w:before="92" w:line="198" w:lineRule="auto"/>
              <w:ind w:left="243"/>
            </w:pPr>
            <w:r>
              <w:rPr>
                <w:spacing w:val="-2"/>
              </w:rPr>
              <w:t>0.11</w:t>
            </w:r>
          </w:p>
        </w:tc>
        <w:tc>
          <w:tcPr>
            <w:tcW w:w="992" w:type="dxa"/>
            <w:vAlign w:val="top"/>
          </w:tcPr>
          <w:p w14:paraId="22F14C47">
            <w:pPr>
              <w:pStyle w:val="6"/>
              <w:spacing w:before="92" w:line="198" w:lineRule="auto"/>
              <w:ind w:left="318"/>
            </w:pPr>
            <w:r>
              <w:rPr>
                <w:spacing w:val="-2"/>
              </w:rPr>
              <w:t>0.05</w:t>
            </w:r>
          </w:p>
        </w:tc>
        <w:tc>
          <w:tcPr>
            <w:tcW w:w="706" w:type="dxa"/>
            <w:vAlign w:val="top"/>
          </w:tcPr>
          <w:p w14:paraId="61633DCC">
            <w:pPr>
              <w:pStyle w:val="6"/>
              <w:spacing w:before="183" w:line="101" w:lineRule="exact"/>
              <w:ind w:left="292"/>
            </w:pPr>
            <w:r>
              <w:rPr>
                <w:spacing w:val="-3"/>
                <w:position w:val="-6"/>
              </w:rPr>
              <w:t>--</w:t>
            </w:r>
          </w:p>
        </w:tc>
        <w:tc>
          <w:tcPr>
            <w:tcW w:w="1838" w:type="dxa"/>
            <w:vAlign w:val="top"/>
          </w:tcPr>
          <w:p w14:paraId="02322DF8">
            <w:pPr>
              <w:pStyle w:val="6"/>
              <w:spacing w:before="92" w:line="198" w:lineRule="auto"/>
              <w:ind w:left="747"/>
            </w:pPr>
            <w:r>
              <w:rPr>
                <w:spacing w:val="-2"/>
              </w:rPr>
              <w:t>0.29</w:t>
            </w:r>
          </w:p>
        </w:tc>
        <w:tc>
          <w:tcPr>
            <w:tcW w:w="1384" w:type="dxa"/>
            <w:tcBorders>
              <w:right w:val="single" w:color="000000" w:sz="12" w:space="0"/>
            </w:tcBorders>
            <w:vAlign w:val="top"/>
          </w:tcPr>
          <w:p w14:paraId="61B6E4AC">
            <w:pPr>
              <w:pStyle w:val="6"/>
              <w:spacing w:before="92" w:line="198" w:lineRule="auto"/>
              <w:ind w:left="517"/>
            </w:pPr>
            <w:r>
              <w:rPr>
                <w:spacing w:val="-2"/>
              </w:rPr>
              <w:t>0.00</w:t>
            </w:r>
          </w:p>
        </w:tc>
      </w:tr>
      <w:tr w14:paraId="3DFA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72B979C1">
            <w:pPr>
              <w:rPr>
                <w:rFonts w:ascii="Arial"/>
                <w:sz w:val="21"/>
              </w:rPr>
            </w:pPr>
          </w:p>
        </w:tc>
        <w:tc>
          <w:tcPr>
            <w:tcW w:w="329" w:type="dxa"/>
            <w:vMerge w:val="restart"/>
            <w:tcBorders>
              <w:bottom w:val="nil"/>
            </w:tcBorders>
            <w:vAlign w:val="top"/>
          </w:tcPr>
          <w:p w14:paraId="74AEF4CD">
            <w:pPr>
              <w:pStyle w:val="6"/>
              <w:spacing w:before="133" w:line="222" w:lineRule="auto"/>
              <w:ind w:left="97"/>
            </w:pPr>
            <w:r>
              <w:t>2</w:t>
            </w:r>
          </w:p>
          <w:p w14:paraId="34BBDBB5">
            <w:pPr>
              <w:spacing w:line="219" w:lineRule="auto"/>
              <w:ind w:left="49"/>
              <w:rPr>
                <w:rFonts w:ascii="宋体" w:hAnsi="宋体" w:eastAsia="宋体" w:cs="宋体"/>
                <w:sz w:val="21"/>
                <w:szCs w:val="21"/>
              </w:rPr>
            </w:pPr>
            <w:r>
              <w:rPr>
                <w:rFonts w:ascii="宋体" w:hAnsi="宋体" w:eastAsia="宋体" w:cs="宋体"/>
                <w:sz w:val="21"/>
                <w:szCs w:val="21"/>
              </w:rPr>
              <w:t>季</w:t>
            </w:r>
          </w:p>
          <w:p w14:paraId="7C750F73">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6103A6C6">
            <w:pPr>
              <w:pStyle w:val="6"/>
              <w:spacing w:before="94" w:line="195" w:lineRule="auto"/>
              <w:ind w:left="132"/>
            </w:pPr>
            <w:r>
              <w:rPr>
                <w:spacing w:val="-1"/>
              </w:rPr>
              <w:t>2021/6/3</w:t>
            </w:r>
          </w:p>
        </w:tc>
        <w:tc>
          <w:tcPr>
            <w:tcW w:w="848" w:type="dxa"/>
            <w:vAlign w:val="top"/>
          </w:tcPr>
          <w:p w14:paraId="5B68442E">
            <w:pPr>
              <w:pStyle w:val="6"/>
              <w:spacing w:before="94" w:line="195" w:lineRule="auto"/>
              <w:ind w:left="233"/>
            </w:pPr>
            <w:r>
              <w:rPr>
                <w:spacing w:val="-2"/>
              </w:rPr>
              <w:t>0.60</w:t>
            </w:r>
          </w:p>
        </w:tc>
        <w:tc>
          <w:tcPr>
            <w:tcW w:w="848" w:type="dxa"/>
            <w:vAlign w:val="top"/>
          </w:tcPr>
          <w:p w14:paraId="589CEA43">
            <w:pPr>
              <w:pStyle w:val="6"/>
              <w:spacing w:before="94" w:line="195" w:lineRule="auto"/>
              <w:ind w:left="236"/>
            </w:pPr>
            <w:r>
              <w:rPr>
                <w:spacing w:val="-2"/>
              </w:rPr>
              <w:t>0.98</w:t>
            </w:r>
          </w:p>
        </w:tc>
        <w:tc>
          <w:tcPr>
            <w:tcW w:w="990" w:type="dxa"/>
            <w:vAlign w:val="top"/>
          </w:tcPr>
          <w:p w14:paraId="7FE9DC35">
            <w:pPr>
              <w:pStyle w:val="6"/>
              <w:spacing w:before="94" w:line="195" w:lineRule="auto"/>
              <w:ind w:left="308"/>
            </w:pPr>
            <w:r>
              <w:rPr>
                <w:spacing w:val="-2"/>
              </w:rPr>
              <w:t>0.58</w:t>
            </w:r>
          </w:p>
        </w:tc>
        <w:tc>
          <w:tcPr>
            <w:tcW w:w="990" w:type="dxa"/>
            <w:vAlign w:val="top"/>
          </w:tcPr>
          <w:p w14:paraId="7F6E6AD5">
            <w:pPr>
              <w:pStyle w:val="6"/>
              <w:spacing w:before="94" w:line="195" w:lineRule="auto"/>
              <w:ind w:left="311"/>
            </w:pPr>
            <w:r>
              <w:rPr>
                <w:spacing w:val="-2"/>
              </w:rPr>
              <w:t>0.30</w:t>
            </w:r>
          </w:p>
        </w:tc>
        <w:tc>
          <w:tcPr>
            <w:tcW w:w="1132" w:type="dxa"/>
            <w:vAlign w:val="top"/>
          </w:tcPr>
          <w:p w14:paraId="4FBE731D">
            <w:pPr>
              <w:pStyle w:val="6"/>
              <w:spacing w:before="94" w:line="195" w:lineRule="auto"/>
              <w:ind w:left="383"/>
            </w:pPr>
            <w:r>
              <w:rPr>
                <w:spacing w:val="-2"/>
              </w:rPr>
              <w:t>0.33</w:t>
            </w:r>
          </w:p>
        </w:tc>
        <w:tc>
          <w:tcPr>
            <w:tcW w:w="848" w:type="dxa"/>
            <w:vAlign w:val="top"/>
          </w:tcPr>
          <w:p w14:paraId="33FA13C7">
            <w:pPr>
              <w:pStyle w:val="6"/>
              <w:spacing w:before="94" w:line="195" w:lineRule="auto"/>
              <w:ind w:left="243"/>
            </w:pPr>
            <w:r>
              <w:rPr>
                <w:spacing w:val="-2"/>
              </w:rPr>
              <w:t>0.26</w:t>
            </w:r>
          </w:p>
        </w:tc>
        <w:tc>
          <w:tcPr>
            <w:tcW w:w="992" w:type="dxa"/>
            <w:vAlign w:val="top"/>
          </w:tcPr>
          <w:p w14:paraId="55825E5B">
            <w:pPr>
              <w:pStyle w:val="6"/>
              <w:spacing w:before="94" w:line="195" w:lineRule="auto"/>
              <w:ind w:left="318"/>
            </w:pPr>
            <w:r>
              <w:rPr>
                <w:spacing w:val="-2"/>
              </w:rPr>
              <w:t>0.15</w:t>
            </w:r>
          </w:p>
        </w:tc>
        <w:tc>
          <w:tcPr>
            <w:tcW w:w="706" w:type="dxa"/>
            <w:vAlign w:val="top"/>
          </w:tcPr>
          <w:p w14:paraId="10135AB2">
            <w:pPr>
              <w:pStyle w:val="6"/>
              <w:spacing w:before="94" w:line="195" w:lineRule="auto"/>
              <w:ind w:left="177"/>
            </w:pPr>
            <w:r>
              <w:rPr>
                <w:spacing w:val="-2"/>
              </w:rPr>
              <w:t>0.40</w:t>
            </w:r>
          </w:p>
        </w:tc>
        <w:tc>
          <w:tcPr>
            <w:tcW w:w="1838" w:type="dxa"/>
            <w:vAlign w:val="top"/>
          </w:tcPr>
          <w:p w14:paraId="24703C55">
            <w:pPr>
              <w:pStyle w:val="6"/>
              <w:spacing w:before="94" w:line="195" w:lineRule="auto"/>
              <w:ind w:left="747"/>
            </w:pPr>
            <w:r>
              <w:rPr>
                <w:spacing w:val="-2"/>
              </w:rPr>
              <w:t>0.40</w:t>
            </w:r>
          </w:p>
        </w:tc>
        <w:tc>
          <w:tcPr>
            <w:tcW w:w="1384" w:type="dxa"/>
            <w:tcBorders>
              <w:right w:val="single" w:color="000000" w:sz="12" w:space="0"/>
            </w:tcBorders>
            <w:vAlign w:val="top"/>
          </w:tcPr>
          <w:p w14:paraId="30D7F9C9">
            <w:pPr>
              <w:pStyle w:val="6"/>
              <w:spacing w:before="94" w:line="195" w:lineRule="auto"/>
              <w:ind w:left="517"/>
            </w:pPr>
            <w:r>
              <w:rPr>
                <w:spacing w:val="-2"/>
              </w:rPr>
              <w:t>0.01</w:t>
            </w:r>
          </w:p>
        </w:tc>
      </w:tr>
      <w:tr w14:paraId="1E43A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339AD764">
            <w:pPr>
              <w:rPr>
                <w:rFonts w:ascii="Arial"/>
                <w:sz w:val="21"/>
              </w:rPr>
            </w:pPr>
          </w:p>
        </w:tc>
        <w:tc>
          <w:tcPr>
            <w:tcW w:w="329" w:type="dxa"/>
            <w:vMerge w:val="continue"/>
            <w:tcBorders>
              <w:top w:val="nil"/>
              <w:bottom w:val="nil"/>
            </w:tcBorders>
            <w:vAlign w:val="top"/>
          </w:tcPr>
          <w:p w14:paraId="7E8DE75B">
            <w:pPr>
              <w:rPr>
                <w:rFonts w:ascii="Arial"/>
                <w:sz w:val="21"/>
              </w:rPr>
            </w:pPr>
          </w:p>
        </w:tc>
        <w:tc>
          <w:tcPr>
            <w:tcW w:w="1036" w:type="dxa"/>
            <w:vAlign w:val="top"/>
          </w:tcPr>
          <w:p w14:paraId="68839E4B">
            <w:pPr>
              <w:pStyle w:val="6"/>
              <w:spacing w:before="95" w:line="195" w:lineRule="auto"/>
              <w:ind w:left="132"/>
            </w:pPr>
            <w:r>
              <w:rPr>
                <w:spacing w:val="-1"/>
              </w:rPr>
              <w:t>2021/6/4</w:t>
            </w:r>
          </w:p>
        </w:tc>
        <w:tc>
          <w:tcPr>
            <w:tcW w:w="848" w:type="dxa"/>
            <w:vAlign w:val="top"/>
          </w:tcPr>
          <w:p w14:paraId="228F029E">
            <w:pPr>
              <w:pStyle w:val="6"/>
              <w:spacing w:before="95" w:line="195" w:lineRule="auto"/>
              <w:ind w:left="233"/>
            </w:pPr>
            <w:r>
              <w:rPr>
                <w:spacing w:val="-2"/>
              </w:rPr>
              <w:t>0.60</w:t>
            </w:r>
          </w:p>
        </w:tc>
        <w:tc>
          <w:tcPr>
            <w:tcW w:w="848" w:type="dxa"/>
            <w:vAlign w:val="top"/>
          </w:tcPr>
          <w:p w14:paraId="29182AA0">
            <w:pPr>
              <w:pStyle w:val="6"/>
              <w:spacing w:before="95" w:line="195" w:lineRule="auto"/>
              <w:ind w:left="236"/>
            </w:pPr>
            <w:r>
              <w:rPr>
                <w:spacing w:val="-2"/>
              </w:rPr>
              <w:t>0.94</w:t>
            </w:r>
          </w:p>
        </w:tc>
        <w:tc>
          <w:tcPr>
            <w:tcW w:w="990" w:type="dxa"/>
            <w:vAlign w:val="top"/>
          </w:tcPr>
          <w:p w14:paraId="2CE5DAD3">
            <w:pPr>
              <w:pStyle w:val="6"/>
              <w:spacing w:before="95" w:line="195" w:lineRule="auto"/>
              <w:ind w:left="308"/>
            </w:pPr>
            <w:r>
              <w:rPr>
                <w:spacing w:val="-2"/>
              </w:rPr>
              <w:t>0.57</w:t>
            </w:r>
          </w:p>
        </w:tc>
        <w:tc>
          <w:tcPr>
            <w:tcW w:w="990" w:type="dxa"/>
            <w:vAlign w:val="top"/>
          </w:tcPr>
          <w:p w14:paraId="22C9DF20">
            <w:pPr>
              <w:pStyle w:val="6"/>
              <w:spacing w:before="95" w:line="195" w:lineRule="auto"/>
              <w:ind w:left="311"/>
            </w:pPr>
            <w:r>
              <w:rPr>
                <w:spacing w:val="-2"/>
              </w:rPr>
              <w:t>0.25</w:t>
            </w:r>
          </w:p>
        </w:tc>
        <w:tc>
          <w:tcPr>
            <w:tcW w:w="1132" w:type="dxa"/>
            <w:vAlign w:val="top"/>
          </w:tcPr>
          <w:p w14:paraId="513C6DCD">
            <w:pPr>
              <w:pStyle w:val="6"/>
              <w:spacing w:before="95" w:line="195" w:lineRule="auto"/>
              <w:ind w:left="383"/>
            </w:pPr>
            <w:r>
              <w:rPr>
                <w:spacing w:val="-2"/>
              </w:rPr>
              <w:t>0.23</w:t>
            </w:r>
          </w:p>
        </w:tc>
        <w:tc>
          <w:tcPr>
            <w:tcW w:w="848" w:type="dxa"/>
            <w:vAlign w:val="top"/>
          </w:tcPr>
          <w:p w14:paraId="506C0630">
            <w:pPr>
              <w:pStyle w:val="6"/>
              <w:spacing w:before="95" w:line="195" w:lineRule="auto"/>
              <w:ind w:left="243"/>
            </w:pPr>
            <w:r>
              <w:rPr>
                <w:spacing w:val="-2"/>
              </w:rPr>
              <w:t>0.25</w:t>
            </w:r>
          </w:p>
        </w:tc>
        <w:tc>
          <w:tcPr>
            <w:tcW w:w="992" w:type="dxa"/>
            <w:vAlign w:val="top"/>
          </w:tcPr>
          <w:p w14:paraId="35146355">
            <w:pPr>
              <w:pStyle w:val="6"/>
              <w:spacing w:before="95" w:line="195" w:lineRule="auto"/>
              <w:ind w:left="318"/>
            </w:pPr>
            <w:r>
              <w:rPr>
                <w:spacing w:val="-2"/>
              </w:rPr>
              <w:t>0.15</w:t>
            </w:r>
          </w:p>
        </w:tc>
        <w:tc>
          <w:tcPr>
            <w:tcW w:w="706" w:type="dxa"/>
            <w:vAlign w:val="top"/>
          </w:tcPr>
          <w:p w14:paraId="57097C83">
            <w:pPr>
              <w:pStyle w:val="6"/>
              <w:spacing w:before="95" w:line="195" w:lineRule="auto"/>
              <w:ind w:left="177"/>
            </w:pPr>
            <w:r>
              <w:rPr>
                <w:spacing w:val="-2"/>
              </w:rPr>
              <w:t>0.40</w:t>
            </w:r>
          </w:p>
        </w:tc>
        <w:tc>
          <w:tcPr>
            <w:tcW w:w="1838" w:type="dxa"/>
            <w:vAlign w:val="top"/>
          </w:tcPr>
          <w:p w14:paraId="4B27E93D">
            <w:pPr>
              <w:pStyle w:val="6"/>
              <w:spacing w:before="95" w:line="195" w:lineRule="auto"/>
              <w:ind w:left="747"/>
            </w:pPr>
            <w:r>
              <w:rPr>
                <w:spacing w:val="-2"/>
              </w:rPr>
              <w:t>0.38</w:t>
            </w:r>
          </w:p>
        </w:tc>
        <w:tc>
          <w:tcPr>
            <w:tcW w:w="1384" w:type="dxa"/>
            <w:tcBorders>
              <w:right w:val="single" w:color="000000" w:sz="12" w:space="0"/>
            </w:tcBorders>
            <w:vAlign w:val="top"/>
          </w:tcPr>
          <w:p w14:paraId="2BFD16B5">
            <w:pPr>
              <w:pStyle w:val="6"/>
              <w:spacing w:before="95" w:line="195" w:lineRule="auto"/>
              <w:ind w:left="517"/>
            </w:pPr>
            <w:r>
              <w:rPr>
                <w:spacing w:val="-2"/>
              </w:rPr>
              <w:t>0.00</w:t>
            </w:r>
          </w:p>
        </w:tc>
      </w:tr>
      <w:tr w14:paraId="0B795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D1C8387">
            <w:pPr>
              <w:rPr>
                <w:rFonts w:ascii="Arial"/>
                <w:sz w:val="21"/>
              </w:rPr>
            </w:pPr>
          </w:p>
        </w:tc>
        <w:tc>
          <w:tcPr>
            <w:tcW w:w="329" w:type="dxa"/>
            <w:vMerge w:val="continue"/>
            <w:tcBorders>
              <w:top w:val="nil"/>
            </w:tcBorders>
            <w:vAlign w:val="top"/>
          </w:tcPr>
          <w:p w14:paraId="6FC6719A">
            <w:pPr>
              <w:rPr>
                <w:rFonts w:ascii="Arial"/>
                <w:sz w:val="21"/>
              </w:rPr>
            </w:pPr>
          </w:p>
        </w:tc>
        <w:tc>
          <w:tcPr>
            <w:tcW w:w="1036" w:type="dxa"/>
            <w:vAlign w:val="top"/>
          </w:tcPr>
          <w:p w14:paraId="7F7BB042">
            <w:pPr>
              <w:pStyle w:val="6"/>
              <w:spacing w:before="96" w:line="193" w:lineRule="auto"/>
              <w:ind w:left="132"/>
            </w:pPr>
            <w:r>
              <w:rPr>
                <w:spacing w:val="-1"/>
              </w:rPr>
              <w:t>2021/6/5</w:t>
            </w:r>
          </w:p>
        </w:tc>
        <w:tc>
          <w:tcPr>
            <w:tcW w:w="848" w:type="dxa"/>
            <w:vAlign w:val="top"/>
          </w:tcPr>
          <w:p w14:paraId="714D3899">
            <w:pPr>
              <w:pStyle w:val="6"/>
              <w:spacing w:before="96" w:line="193" w:lineRule="auto"/>
              <w:ind w:left="233"/>
            </w:pPr>
            <w:r>
              <w:rPr>
                <w:spacing w:val="-2"/>
              </w:rPr>
              <w:t>0.55</w:t>
            </w:r>
          </w:p>
        </w:tc>
        <w:tc>
          <w:tcPr>
            <w:tcW w:w="848" w:type="dxa"/>
            <w:vAlign w:val="top"/>
          </w:tcPr>
          <w:p w14:paraId="50364F84">
            <w:pPr>
              <w:pStyle w:val="6"/>
              <w:spacing w:before="96" w:line="193" w:lineRule="auto"/>
              <w:ind w:left="236"/>
            </w:pPr>
            <w:r>
              <w:rPr>
                <w:spacing w:val="-2"/>
              </w:rPr>
              <w:t>0.84</w:t>
            </w:r>
          </w:p>
        </w:tc>
        <w:tc>
          <w:tcPr>
            <w:tcW w:w="990" w:type="dxa"/>
            <w:vAlign w:val="top"/>
          </w:tcPr>
          <w:p w14:paraId="372540A7">
            <w:pPr>
              <w:pStyle w:val="6"/>
              <w:spacing w:before="96" w:line="193" w:lineRule="auto"/>
              <w:ind w:left="308"/>
            </w:pPr>
            <w:r>
              <w:rPr>
                <w:spacing w:val="-2"/>
              </w:rPr>
              <w:t>0.62</w:t>
            </w:r>
          </w:p>
        </w:tc>
        <w:tc>
          <w:tcPr>
            <w:tcW w:w="990" w:type="dxa"/>
            <w:vAlign w:val="top"/>
          </w:tcPr>
          <w:p w14:paraId="71FDEFD4">
            <w:pPr>
              <w:pStyle w:val="6"/>
              <w:spacing w:before="96" w:line="193" w:lineRule="auto"/>
              <w:ind w:left="311"/>
            </w:pPr>
            <w:r>
              <w:rPr>
                <w:spacing w:val="-2"/>
              </w:rPr>
              <w:t>0.35</w:t>
            </w:r>
          </w:p>
        </w:tc>
        <w:tc>
          <w:tcPr>
            <w:tcW w:w="1132" w:type="dxa"/>
            <w:vAlign w:val="top"/>
          </w:tcPr>
          <w:p w14:paraId="01A6E007">
            <w:pPr>
              <w:pStyle w:val="6"/>
              <w:spacing w:before="96" w:line="193" w:lineRule="auto"/>
              <w:ind w:left="383"/>
            </w:pPr>
            <w:r>
              <w:rPr>
                <w:spacing w:val="-2"/>
              </w:rPr>
              <w:t>0.38</w:t>
            </w:r>
          </w:p>
        </w:tc>
        <w:tc>
          <w:tcPr>
            <w:tcW w:w="848" w:type="dxa"/>
            <w:vAlign w:val="top"/>
          </w:tcPr>
          <w:p w14:paraId="10E70322">
            <w:pPr>
              <w:pStyle w:val="6"/>
              <w:spacing w:before="96" w:line="193" w:lineRule="auto"/>
              <w:ind w:left="243"/>
            </w:pPr>
            <w:r>
              <w:rPr>
                <w:spacing w:val="-2"/>
              </w:rPr>
              <w:t>0.26</w:t>
            </w:r>
          </w:p>
        </w:tc>
        <w:tc>
          <w:tcPr>
            <w:tcW w:w="992" w:type="dxa"/>
            <w:vAlign w:val="top"/>
          </w:tcPr>
          <w:p w14:paraId="39270045">
            <w:pPr>
              <w:pStyle w:val="6"/>
              <w:spacing w:before="96" w:line="193" w:lineRule="auto"/>
              <w:ind w:left="318"/>
            </w:pPr>
            <w:r>
              <w:rPr>
                <w:spacing w:val="-2"/>
              </w:rPr>
              <w:t>0.20</w:t>
            </w:r>
          </w:p>
        </w:tc>
        <w:tc>
          <w:tcPr>
            <w:tcW w:w="706" w:type="dxa"/>
            <w:vAlign w:val="top"/>
          </w:tcPr>
          <w:p w14:paraId="74B62112">
            <w:pPr>
              <w:pStyle w:val="6"/>
              <w:spacing w:before="96" w:line="193" w:lineRule="auto"/>
              <w:ind w:left="177"/>
            </w:pPr>
            <w:r>
              <w:rPr>
                <w:spacing w:val="-2"/>
              </w:rPr>
              <w:t>0.20</w:t>
            </w:r>
          </w:p>
        </w:tc>
        <w:tc>
          <w:tcPr>
            <w:tcW w:w="1838" w:type="dxa"/>
            <w:vAlign w:val="top"/>
          </w:tcPr>
          <w:p w14:paraId="5A4D35B8">
            <w:pPr>
              <w:pStyle w:val="6"/>
              <w:spacing w:before="96" w:line="193" w:lineRule="auto"/>
              <w:ind w:left="747"/>
            </w:pPr>
            <w:r>
              <w:rPr>
                <w:spacing w:val="-2"/>
              </w:rPr>
              <w:t>0.42</w:t>
            </w:r>
          </w:p>
        </w:tc>
        <w:tc>
          <w:tcPr>
            <w:tcW w:w="1384" w:type="dxa"/>
            <w:tcBorders>
              <w:right w:val="single" w:color="000000" w:sz="12" w:space="0"/>
            </w:tcBorders>
            <w:vAlign w:val="top"/>
          </w:tcPr>
          <w:p w14:paraId="53E40CB7">
            <w:pPr>
              <w:pStyle w:val="6"/>
              <w:spacing w:before="96" w:line="193" w:lineRule="auto"/>
              <w:ind w:left="517"/>
            </w:pPr>
            <w:r>
              <w:rPr>
                <w:spacing w:val="-2"/>
              </w:rPr>
              <w:t>0.01</w:t>
            </w:r>
          </w:p>
        </w:tc>
      </w:tr>
      <w:tr w14:paraId="7F863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444D890">
            <w:pPr>
              <w:rPr>
                <w:rFonts w:ascii="Arial"/>
                <w:sz w:val="21"/>
              </w:rPr>
            </w:pPr>
          </w:p>
        </w:tc>
        <w:tc>
          <w:tcPr>
            <w:tcW w:w="329" w:type="dxa"/>
            <w:vMerge w:val="restart"/>
            <w:tcBorders>
              <w:bottom w:val="nil"/>
            </w:tcBorders>
            <w:vAlign w:val="top"/>
          </w:tcPr>
          <w:p w14:paraId="2309354A">
            <w:pPr>
              <w:pStyle w:val="6"/>
              <w:spacing w:before="137" w:line="223" w:lineRule="auto"/>
              <w:ind w:left="102"/>
            </w:pPr>
            <w:r>
              <w:t>3</w:t>
            </w:r>
          </w:p>
          <w:p w14:paraId="751CCB81">
            <w:pPr>
              <w:spacing w:line="219" w:lineRule="auto"/>
              <w:ind w:left="49"/>
              <w:rPr>
                <w:rFonts w:ascii="宋体" w:hAnsi="宋体" w:eastAsia="宋体" w:cs="宋体"/>
                <w:sz w:val="21"/>
                <w:szCs w:val="21"/>
              </w:rPr>
            </w:pPr>
            <w:r>
              <w:rPr>
                <w:rFonts w:ascii="宋体" w:hAnsi="宋体" w:eastAsia="宋体" w:cs="宋体"/>
                <w:sz w:val="21"/>
                <w:szCs w:val="21"/>
              </w:rPr>
              <w:t>季</w:t>
            </w:r>
          </w:p>
          <w:p w14:paraId="5A3C231D">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5209A319">
            <w:pPr>
              <w:pStyle w:val="6"/>
              <w:spacing w:before="97" w:line="192" w:lineRule="auto"/>
              <w:ind w:left="79"/>
            </w:pPr>
            <w:r>
              <w:rPr>
                <w:spacing w:val="-1"/>
              </w:rPr>
              <w:t>2021/7/19</w:t>
            </w:r>
          </w:p>
        </w:tc>
        <w:tc>
          <w:tcPr>
            <w:tcW w:w="848" w:type="dxa"/>
            <w:vAlign w:val="top"/>
          </w:tcPr>
          <w:p w14:paraId="4F060F12">
            <w:pPr>
              <w:pStyle w:val="6"/>
              <w:spacing w:before="97" w:line="192" w:lineRule="auto"/>
              <w:ind w:left="233"/>
            </w:pPr>
            <w:r>
              <w:rPr>
                <w:spacing w:val="-2"/>
              </w:rPr>
              <w:t>0.55</w:t>
            </w:r>
          </w:p>
        </w:tc>
        <w:tc>
          <w:tcPr>
            <w:tcW w:w="848" w:type="dxa"/>
            <w:vAlign w:val="top"/>
          </w:tcPr>
          <w:p w14:paraId="56C91D35">
            <w:pPr>
              <w:pStyle w:val="6"/>
              <w:spacing w:before="97" w:line="192" w:lineRule="auto"/>
              <w:ind w:left="236"/>
            </w:pPr>
            <w:r>
              <w:rPr>
                <w:spacing w:val="-2"/>
              </w:rPr>
              <w:t>0.75</w:t>
            </w:r>
          </w:p>
        </w:tc>
        <w:tc>
          <w:tcPr>
            <w:tcW w:w="990" w:type="dxa"/>
            <w:vAlign w:val="top"/>
          </w:tcPr>
          <w:p w14:paraId="2686A95F">
            <w:pPr>
              <w:pStyle w:val="6"/>
              <w:spacing w:before="97" w:line="192" w:lineRule="auto"/>
              <w:ind w:left="308"/>
            </w:pPr>
            <w:r>
              <w:rPr>
                <w:spacing w:val="-2"/>
              </w:rPr>
              <w:t>0.75</w:t>
            </w:r>
          </w:p>
        </w:tc>
        <w:tc>
          <w:tcPr>
            <w:tcW w:w="990" w:type="dxa"/>
            <w:vAlign w:val="top"/>
          </w:tcPr>
          <w:p w14:paraId="32C19F92">
            <w:pPr>
              <w:pStyle w:val="6"/>
              <w:spacing w:before="97" w:line="192" w:lineRule="auto"/>
              <w:ind w:left="311"/>
            </w:pPr>
            <w:r>
              <w:rPr>
                <w:spacing w:val="-2"/>
              </w:rPr>
              <w:t>0.35</w:t>
            </w:r>
          </w:p>
        </w:tc>
        <w:tc>
          <w:tcPr>
            <w:tcW w:w="1132" w:type="dxa"/>
            <w:vAlign w:val="top"/>
          </w:tcPr>
          <w:p w14:paraId="454F47C3">
            <w:pPr>
              <w:pStyle w:val="6"/>
              <w:spacing w:before="97" w:line="192" w:lineRule="auto"/>
              <w:ind w:left="383"/>
            </w:pPr>
            <w:r>
              <w:rPr>
                <w:spacing w:val="-2"/>
              </w:rPr>
              <w:t>0.35</w:t>
            </w:r>
          </w:p>
        </w:tc>
        <w:tc>
          <w:tcPr>
            <w:tcW w:w="848" w:type="dxa"/>
            <w:vAlign w:val="top"/>
          </w:tcPr>
          <w:p w14:paraId="78D436C0">
            <w:pPr>
              <w:pStyle w:val="6"/>
              <w:spacing w:before="97" w:line="192" w:lineRule="auto"/>
              <w:ind w:left="243"/>
            </w:pPr>
            <w:r>
              <w:rPr>
                <w:spacing w:val="-2"/>
              </w:rPr>
              <w:t>0.28</w:t>
            </w:r>
          </w:p>
        </w:tc>
        <w:tc>
          <w:tcPr>
            <w:tcW w:w="992" w:type="dxa"/>
            <w:vAlign w:val="top"/>
          </w:tcPr>
          <w:p w14:paraId="0593918E">
            <w:pPr>
              <w:pStyle w:val="6"/>
              <w:spacing w:before="97" w:line="192" w:lineRule="auto"/>
              <w:ind w:left="318"/>
            </w:pPr>
            <w:r>
              <w:rPr>
                <w:spacing w:val="-2"/>
              </w:rPr>
              <w:t>0.25</w:t>
            </w:r>
          </w:p>
        </w:tc>
        <w:tc>
          <w:tcPr>
            <w:tcW w:w="706" w:type="dxa"/>
            <w:vAlign w:val="top"/>
          </w:tcPr>
          <w:p w14:paraId="4B34F772">
            <w:pPr>
              <w:pStyle w:val="6"/>
              <w:spacing w:before="97" w:line="192" w:lineRule="auto"/>
              <w:ind w:left="177"/>
            </w:pPr>
            <w:r>
              <w:rPr>
                <w:spacing w:val="-2"/>
              </w:rPr>
              <w:t>0.60</w:t>
            </w:r>
          </w:p>
        </w:tc>
        <w:tc>
          <w:tcPr>
            <w:tcW w:w="1838" w:type="dxa"/>
            <w:vAlign w:val="top"/>
          </w:tcPr>
          <w:p w14:paraId="6D8491DF">
            <w:pPr>
              <w:pStyle w:val="6"/>
              <w:spacing w:before="97" w:line="192" w:lineRule="auto"/>
              <w:ind w:left="747"/>
            </w:pPr>
            <w:r>
              <w:rPr>
                <w:spacing w:val="-2"/>
              </w:rPr>
              <w:t>0.84</w:t>
            </w:r>
          </w:p>
        </w:tc>
        <w:tc>
          <w:tcPr>
            <w:tcW w:w="1384" w:type="dxa"/>
            <w:tcBorders>
              <w:right w:val="single" w:color="000000" w:sz="12" w:space="0"/>
            </w:tcBorders>
            <w:vAlign w:val="top"/>
          </w:tcPr>
          <w:p w14:paraId="1017D468">
            <w:pPr>
              <w:pStyle w:val="6"/>
              <w:spacing w:before="97" w:line="192" w:lineRule="auto"/>
              <w:ind w:left="517"/>
            </w:pPr>
            <w:r>
              <w:rPr>
                <w:spacing w:val="-2"/>
              </w:rPr>
              <w:t>0.07</w:t>
            </w:r>
          </w:p>
        </w:tc>
      </w:tr>
      <w:tr w14:paraId="0C79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356F7F6F">
            <w:pPr>
              <w:rPr>
                <w:rFonts w:ascii="Arial"/>
                <w:sz w:val="21"/>
              </w:rPr>
            </w:pPr>
          </w:p>
        </w:tc>
        <w:tc>
          <w:tcPr>
            <w:tcW w:w="329" w:type="dxa"/>
            <w:vMerge w:val="continue"/>
            <w:tcBorders>
              <w:top w:val="nil"/>
              <w:bottom w:val="nil"/>
            </w:tcBorders>
            <w:vAlign w:val="top"/>
          </w:tcPr>
          <w:p w14:paraId="1CCA2D69">
            <w:pPr>
              <w:rPr>
                <w:rFonts w:ascii="Arial"/>
                <w:sz w:val="21"/>
              </w:rPr>
            </w:pPr>
          </w:p>
        </w:tc>
        <w:tc>
          <w:tcPr>
            <w:tcW w:w="1036" w:type="dxa"/>
            <w:vAlign w:val="top"/>
          </w:tcPr>
          <w:p w14:paraId="3AC41ECC">
            <w:pPr>
              <w:pStyle w:val="6"/>
              <w:spacing w:before="98" w:line="192" w:lineRule="auto"/>
              <w:ind w:left="79"/>
            </w:pPr>
            <w:r>
              <w:rPr>
                <w:spacing w:val="-1"/>
              </w:rPr>
              <w:t>2021/7/20</w:t>
            </w:r>
          </w:p>
        </w:tc>
        <w:tc>
          <w:tcPr>
            <w:tcW w:w="848" w:type="dxa"/>
            <w:vAlign w:val="top"/>
          </w:tcPr>
          <w:p w14:paraId="1DEEAFDC">
            <w:pPr>
              <w:pStyle w:val="6"/>
              <w:spacing w:before="98" w:line="192" w:lineRule="auto"/>
              <w:ind w:left="233"/>
            </w:pPr>
            <w:r>
              <w:rPr>
                <w:spacing w:val="-2"/>
              </w:rPr>
              <w:t>0.60</w:t>
            </w:r>
          </w:p>
        </w:tc>
        <w:tc>
          <w:tcPr>
            <w:tcW w:w="848" w:type="dxa"/>
            <w:vAlign w:val="top"/>
          </w:tcPr>
          <w:p w14:paraId="48D5D257">
            <w:pPr>
              <w:pStyle w:val="6"/>
              <w:spacing w:before="98" w:line="192" w:lineRule="auto"/>
              <w:ind w:left="236"/>
            </w:pPr>
            <w:r>
              <w:rPr>
                <w:spacing w:val="-2"/>
              </w:rPr>
              <w:t>0.79</w:t>
            </w:r>
          </w:p>
        </w:tc>
        <w:tc>
          <w:tcPr>
            <w:tcW w:w="990" w:type="dxa"/>
            <w:vAlign w:val="top"/>
          </w:tcPr>
          <w:p w14:paraId="058D8C18">
            <w:pPr>
              <w:pStyle w:val="6"/>
              <w:spacing w:before="98" w:line="192" w:lineRule="auto"/>
              <w:ind w:left="308"/>
            </w:pPr>
            <w:r>
              <w:rPr>
                <w:spacing w:val="-2"/>
              </w:rPr>
              <w:t>0.73</w:t>
            </w:r>
          </w:p>
        </w:tc>
        <w:tc>
          <w:tcPr>
            <w:tcW w:w="990" w:type="dxa"/>
            <w:vAlign w:val="top"/>
          </w:tcPr>
          <w:p w14:paraId="7764776A">
            <w:pPr>
              <w:pStyle w:val="6"/>
              <w:spacing w:before="98" w:line="192" w:lineRule="auto"/>
              <w:ind w:left="311"/>
            </w:pPr>
            <w:r>
              <w:rPr>
                <w:spacing w:val="-2"/>
              </w:rPr>
              <w:t>0.30</w:t>
            </w:r>
          </w:p>
        </w:tc>
        <w:tc>
          <w:tcPr>
            <w:tcW w:w="1132" w:type="dxa"/>
            <w:vAlign w:val="top"/>
          </w:tcPr>
          <w:p w14:paraId="77068D08">
            <w:pPr>
              <w:pStyle w:val="6"/>
              <w:spacing w:before="98" w:line="192" w:lineRule="auto"/>
              <w:ind w:left="383"/>
            </w:pPr>
            <w:r>
              <w:rPr>
                <w:spacing w:val="-2"/>
              </w:rPr>
              <w:t>0.30</w:t>
            </w:r>
          </w:p>
        </w:tc>
        <w:tc>
          <w:tcPr>
            <w:tcW w:w="848" w:type="dxa"/>
            <w:vAlign w:val="top"/>
          </w:tcPr>
          <w:p w14:paraId="77167EE6">
            <w:pPr>
              <w:pStyle w:val="6"/>
              <w:spacing w:before="98" w:line="192" w:lineRule="auto"/>
              <w:ind w:left="243"/>
            </w:pPr>
            <w:r>
              <w:rPr>
                <w:spacing w:val="-2"/>
              </w:rPr>
              <w:t>0.27</w:t>
            </w:r>
          </w:p>
        </w:tc>
        <w:tc>
          <w:tcPr>
            <w:tcW w:w="992" w:type="dxa"/>
            <w:vAlign w:val="top"/>
          </w:tcPr>
          <w:p w14:paraId="3D4AAD3E">
            <w:pPr>
              <w:pStyle w:val="6"/>
              <w:spacing w:before="98" w:line="192" w:lineRule="auto"/>
              <w:ind w:left="318"/>
            </w:pPr>
            <w:r>
              <w:rPr>
                <w:spacing w:val="-2"/>
              </w:rPr>
              <w:t>0.20</w:t>
            </w:r>
          </w:p>
        </w:tc>
        <w:tc>
          <w:tcPr>
            <w:tcW w:w="706" w:type="dxa"/>
            <w:vAlign w:val="top"/>
          </w:tcPr>
          <w:p w14:paraId="55A3C9DD">
            <w:pPr>
              <w:pStyle w:val="6"/>
              <w:spacing w:before="98" w:line="192" w:lineRule="auto"/>
              <w:ind w:left="177"/>
            </w:pPr>
            <w:r>
              <w:rPr>
                <w:spacing w:val="-2"/>
              </w:rPr>
              <w:t>0.80</w:t>
            </w:r>
          </w:p>
        </w:tc>
        <w:tc>
          <w:tcPr>
            <w:tcW w:w="1838" w:type="dxa"/>
            <w:vAlign w:val="top"/>
          </w:tcPr>
          <w:p w14:paraId="05A44C5C">
            <w:pPr>
              <w:pStyle w:val="6"/>
              <w:spacing w:before="98" w:line="192" w:lineRule="auto"/>
              <w:ind w:left="747"/>
            </w:pPr>
            <w:r>
              <w:rPr>
                <w:spacing w:val="-2"/>
              </w:rPr>
              <w:t>0.86</w:t>
            </w:r>
          </w:p>
        </w:tc>
        <w:tc>
          <w:tcPr>
            <w:tcW w:w="1384" w:type="dxa"/>
            <w:tcBorders>
              <w:right w:val="single" w:color="000000" w:sz="12" w:space="0"/>
            </w:tcBorders>
            <w:vAlign w:val="top"/>
          </w:tcPr>
          <w:p w14:paraId="01912EAA">
            <w:pPr>
              <w:pStyle w:val="6"/>
              <w:spacing w:before="98" w:line="192" w:lineRule="auto"/>
              <w:ind w:left="517"/>
            </w:pPr>
            <w:r>
              <w:rPr>
                <w:spacing w:val="-2"/>
              </w:rPr>
              <w:t>0.07</w:t>
            </w:r>
          </w:p>
        </w:tc>
      </w:tr>
      <w:tr w14:paraId="2CECE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DF9CDDE">
            <w:pPr>
              <w:rPr>
                <w:rFonts w:ascii="Arial"/>
                <w:sz w:val="21"/>
              </w:rPr>
            </w:pPr>
          </w:p>
        </w:tc>
        <w:tc>
          <w:tcPr>
            <w:tcW w:w="329" w:type="dxa"/>
            <w:vMerge w:val="continue"/>
            <w:tcBorders>
              <w:top w:val="nil"/>
            </w:tcBorders>
            <w:vAlign w:val="top"/>
          </w:tcPr>
          <w:p w14:paraId="504C6E78">
            <w:pPr>
              <w:rPr>
                <w:rFonts w:ascii="Arial"/>
                <w:sz w:val="21"/>
              </w:rPr>
            </w:pPr>
          </w:p>
        </w:tc>
        <w:tc>
          <w:tcPr>
            <w:tcW w:w="1036" w:type="dxa"/>
            <w:vAlign w:val="top"/>
          </w:tcPr>
          <w:p w14:paraId="27D348F9">
            <w:pPr>
              <w:pStyle w:val="6"/>
              <w:spacing w:before="99" w:line="190" w:lineRule="auto"/>
              <w:ind w:left="79"/>
            </w:pPr>
            <w:r>
              <w:rPr>
                <w:spacing w:val="-1"/>
              </w:rPr>
              <w:t>2021/7/21</w:t>
            </w:r>
          </w:p>
        </w:tc>
        <w:tc>
          <w:tcPr>
            <w:tcW w:w="848" w:type="dxa"/>
            <w:vAlign w:val="top"/>
          </w:tcPr>
          <w:p w14:paraId="6359BC27">
            <w:pPr>
              <w:pStyle w:val="6"/>
              <w:spacing w:before="99" w:line="190" w:lineRule="auto"/>
              <w:ind w:left="233"/>
            </w:pPr>
            <w:r>
              <w:rPr>
                <w:spacing w:val="-2"/>
              </w:rPr>
              <w:t>0.60</w:t>
            </w:r>
          </w:p>
        </w:tc>
        <w:tc>
          <w:tcPr>
            <w:tcW w:w="848" w:type="dxa"/>
            <w:vAlign w:val="top"/>
          </w:tcPr>
          <w:p w14:paraId="446DE80A">
            <w:pPr>
              <w:pStyle w:val="6"/>
              <w:spacing w:before="99" w:line="190" w:lineRule="auto"/>
              <w:ind w:left="236"/>
            </w:pPr>
            <w:r>
              <w:rPr>
                <w:spacing w:val="-2"/>
              </w:rPr>
              <w:t>0.68</w:t>
            </w:r>
          </w:p>
        </w:tc>
        <w:tc>
          <w:tcPr>
            <w:tcW w:w="990" w:type="dxa"/>
            <w:vAlign w:val="top"/>
          </w:tcPr>
          <w:p w14:paraId="477CB3A3">
            <w:pPr>
              <w:pStyle w:val="6"/>
              <w:spacing w:before="99" w:line="190" w:lineRule="auto"/>
              <w:ind w:left="308"/>
            </w:pPr>
            <w:r>
              <w:rPr>
                <w:spacing w:val="-2"/>
              </w:rPr>
              <w:t>0.77</w:t>
            </w:r>
          </w:p>
        </w:tc>
        <w:tc>
          <w:tcPr>
            <w:tcW w:w="990" w:type="dxa"/>
            <w:vAlign w:val="top"/>
          </w:tcPr>
          <w:p w14:paraId="690548D0">
            <w:pPr>
              <w:pStyle w:val="6"/>
              <w:spacing w:before="99" w:line="190" w:lineRule="auto"/>
              <w:ind w:left="311"/>
            </w:pPr>
            <w:r>
              <w:rPr>
                <w:spacing w:val="-2"/>
              </w:rPr>
              <w:t>0.40</w:t>
            </w:r>
          </w:p>
        </w:tc>
        <w:tc>
          <w:tcPr>
            <w:tcW w:w="1132" w:type="dxa"/>
            <w:vAlign w:val="top"/>
          </w:tcPr>
          <w:p w14:paraId="02E857D8">
            <w:pPr>
              <w:pStyle w:val="6"/>
              <w:spacing w:before="99" w:line="190" w:lineRule="auto"/>
              <w:ind w:left="383"/>
            </w:pPr>
            <w:r>
              <w:rPr>
                <w:spacing w:val="-2"/>
              </w:rPr>
              <w:t>0.40</w:t>
            </w:r>
          </w:p>
        </w:tc>
        <w:tc>
          <w:tcPr>
            <w:tcW w:w="848" w:type="dxa"/>
            <w:vAlign w:val="top"/>
          </w:tcPr>
          <w:p w14:paraId="552B4B22">
            <w:pPr>
              <w:pStyle w:val="6"/>
              <w:spacing w:before="99" w:line="190" w:lineRule="auto"/>
              <w:ind w:left="243"/>
            </w:pPr>
            <w:r>
              <w:rPr>
                <w:spacing w:val="-2"/>
              </w:rPr>
              <w:t>0.29</w:t>
            </w:r>
          </w:p>
        </w:tc>
        <w:tc>
          <w:tcPr>
            <w:tcW w:w="992" w:type="dxa"/>
            <w:vAlign w:val="top"/>
          </w:tcPr>
          <w:p w14:paraId="028C54E4">
            <w:pPr>
              <w:pStyle w:val="6"/>
              <w:spacing w:before="99" w:line="190" w:lineRule="auto"/>
              <w:ind w:left="318"/>
            </w:pPr>
            <w:r>
              <w:rPr>
                <w:spacing w:val="-2"/>
              </w:rPr>
              <w:t>0.20</w:t>
            </w:r>
          </w:p>
        </w:tc>
        <w:tc>
          <w:tcPr>
            <w:tcW w:w="706" w:type="dxa"/>
            <w:vAlign w:val="top"/>
          </w:tcPr>
          <w:p w14:paraId="6ADE2664">
            <w:pPr>
              <w:pStyle w:val="6"/>
              <w:spacing w:before="99" w:line="190" w:lineRule="auto"/>
              <w:ind w:left="177"/>
            </w:pPr>
            <w:r>
              <w:rPr>
                <w:spacing w:val="-2"/>
              </w:rPr>
              <w:t>0.60</w:t>
            </w:r>
          </w:p>
        </w:tc>
        <w:tc>
          <w:tcPr>
            <w:tcW w:w="1838" w:type="dxa"/>
            <w:vAlign w:val="top"/>
          </w:tcPr>
          <w:p w14:paraId="757AF62C">
            <w:pPr>
              <w:pStyle w:val="6"/>
              <w:spacing w:before="99" w:line="190" w:lineRule="auto"/>
              <w:ind w:left="747"/>
            </w:pPr>
            <w:r>
              <w:rPr>
                <w:spacing w:val="-2"/>
              </w:rPr>
              <w:t>0.88</w:t>
            </w:r>
          </w:p>
        </w:tc>
        <w:tc>
          <w:tcPr>
            <w:tcW w:w="1384" w:type="dxa"/>
            <w:tcBorders>
              <w:right w:val="single" w:color="000000" w:sz="12" w:space="0"/>
            </w:tcBorders>
            <w:vAlign w:val="top"/>
          </w:tcPr>
          <w:p w14:paraId="521D2385">
            <w:pPr>
              <w:pStyle w:val="6"/>
              <w:spacing w:before="99" w:line="190" w:lineRule="auto"/>
              <w:ind w:left="517"/>
            </w:pPr>
            <w:r>
              <w:rPr>
                <w:spacing w:val="-2"/>
              </w:rPr>
              <w:t>0.07</w:t>
            </w:r>
          </w:p>
        </w:tc>
      </w:tr>
      <w:tr w14:paraId="73B9E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040A6AA">
            <w:pPr>
              <w:rPr>
                <w:rFonts w:ascii="Arial"/>
                <w:sz w:val="21"/>
              </w:rPr>
            </w:pPr>
          </w:p>
        </w:tc>
        <w:tc>
          <w:tcPr>
            <w:tcW w:w="329" w:type="dxa"/>
            <w:vMerge w:val="restart"/>
            <w:tcBorders>
              <w:bottom w:val="nil"/>
            </w:tcBorders>
            <w:vAlign w:val="top"/>
          </w:tcPr>
          <w:p w14:paraId="48CA1F2A">
            <w:pPr>
              <w:pStyle w:val="6"/>
              <w:spacing w:before="141" w:line="222" w:lineRule="auto"/>
              <w:ind w:left="96"/>
            </w:pPr>
            <w:r>
              <w:t>4</w:t>
            </w:r>
          </w:p>
          <w:p w14:paraId="0B986819">
            <w:pPr>
              <w:spacing w:line="219" w:lineRule="auto"/>
              <w:ind w:left="49"/>
              <w:rPr>
                <w:rFonts w:ascii="宋体" w:hAnsi="宋体" w:eastAsia="宋体" w:cs="宋体"/>
                <w:sz w:val="21"/>
                <w:szCs w:val="21"/>
              </w:rPr>
            </w:pPr>
            <w:r>
              <w:rPr>
                <w:rFonts w:ascii="宋体" w:hAnsi="宋体" w:eastAsia="宋体" w:cs="宋体"/>
                <w:sz w:val="21"/>
                <w:szCs w:val="21"/>
              </w:rPr>
              <w:t>季</w:t>
            </w:r>
          </w:p>
          <w:p w14:paraId="2AC307F3">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38099616">
            <w:pPr>
              <w:pStyle w:val="6"/>
              <w:spacing w:before="100" w:line="190" w:lineRule="auto"/>
              <w:ind w:left="26"/>
            </w:pPr>
            <w:r>
              <w:rPr>
                <w:spacing w:val="-1"/>
              </w:rPr>
              <w:t>2021/11/28</w:t>
            </w:r>
          </w:p>
        </w:tc>
        <w:tc>
          <w:tcPr>
            <w:tcW w:w="848" w:type="dxa"/>
            <w:vAlign w:val="top"/>
          </w:tcPr>
          <w:p w14:paraId="54577F13">
            <w:pPr>
              <w:pStyle w:val="6"/>
              <w:spacing w:before="100" w:line="190" w:lineRule="auto"/>
              <w:ind w:left="233"/>
            </w:pPr>
            <w:r>
              <w:rPr>
                <w:spacing w:val="-2"/>
              </w:rPr>
              <w:t>0.45</w:t>
            </w:r>
          </w:p>
        </w:tc>
        <w:tc>
          <w:tcPr>
            <w:tcW w:w="848" w:type="dxa"/>
            <w:vAlign w:val="top"/>
          </w:tcPr>
          <w:p w14:paraId="5650CDCA">
            <w:pPr>
              <w:pStyle w:val="6"/>
              <w:spacing w:before="100" w:line="190" w:lineRule="auto"/>
              <w:ind w:left="236"/>
            </w:pPr>
            <w:r>
              <w:rPr>
                <w:spacing w:val="-2"/>
              </w:rPr>
              <w:t>0.69</w:t>
            </w:r>
          </w:p>
        </w:tc>
        <w:tc>
          <w:tcPr>
            <w:tcW w:w="990" w:type="dxa"/>
            <w:vAlign w:val="top"/>
          </w:tcPr>
          <w:p w14:paraId="593ED688">
            <w:pPr>
              <w:pStyle w:val="6"/>
              <w:spacing w:before="100" w:line="190" w:lineRule="auto"/>
              <w:ind w:left="308"/>
            </w:pPr>
            <w:r>
              <w:rPr>
                <w:spacing w:val="-2"/>
              </w:rPr>
              <w:t>0.32</w:t>
            </w:r>
          </w:p>
        </w:tc>
        <w:tc>
          <w:tcPr>
            <w:tcW w:w="990" w:type="dxa"/>
            <w:vAlign w:val="top"/>
          </w:tcPr>
          <w:p w14:paraId="17D5CBC4">
            <w:pPr>
              <w:pStyle w:val="6"/>
              <w:spacing w:before="100" w:line="190" w:lineRule="auto"/>
              <w:ind w:left="311"/>
            </w:pPr>
            <w:r>
              <w:rPr>
                <w:spacing w:val="-2"/>
              </w:rPr>
              <w:t>0.60</w:t>
            </w:r>
          </w:p>
        </w:tc>
        <w:tc>
          <w:tcPr>
            <w:tcW w:w="1132" w:type="dxa"/>
            <w:vAlign w:val="top"/>
          </w:tcPr>
          <w:p w14:paraId="3029C181">
            <w:pPr>
              <w:pStyle w:val="6"/>
              <w:spacing w:before="100" w:line="190" w:lineRule="auto"/>
              <w:ind w:left="383"/>
            </w:pPr>
            <w:r>
              <w:rPr>
                <w:spacing w:val="-2"/>
              </w:rPr>
              <w:t>0.60</w:t>
            </w:r>
          </w:p>
        </w:tc>
        <w:tc>
          <w:tcPr>
            <w:tcW w:w="848" w:type="dxa"/>
            <w:vAlign w:val="top"/>
          </w:tcPr>
          <w:p w14:paraId="158E54F1">
            <w:pPr>
              <w:pStyle w:val="6"/>
              <w:spacing w:before="100" w:line="190" w:lineRule="auto"/>
              <w:ind w:left="243"/>
            </w:pPr>
            <w:r>
              <w:rPr>
                <w:spacing w:val="-2"/>
              </w:rPr>
              <w:t>0.11</w:t>
            </w:r>
          </w:p>
        </w:tc>
        <w:tc>
          <w:tcPr>
            <w:tcW w:w="992" w:type="dxa"/>
            <w:vAlign w:val="top"/>
          </w:tcPr>
          <w:p w14:paraId="4CD3F620">
            <w:pPr>
              <w:pStyle w:val="6"/>
              <w:spacing w:before="100" w:line="190" w:lineRule="auto"/>
              <w:ind w:left="318"/>
            </w:pPr>
            <w:r>
              <w:rPr>
                <w:spacing w:val="-2"/>
              </w:rPr>
              <w:t>0.05</w:t>
            </w:r>
          </w:p>
        </w:tc>
        <w:tc>
          <w:tcPr>
            <w:tcW w:w="706" w:type="dxa"/>
            <w:vAlign w:val="top"/>
          </w:tcPr>
          <w:p w14:paraId="07B5DC40">
            <w:pPr>
              <w:pStyle w:val="6"/>
              <w:spacing w:before="100" w:line="190" w:lineRule="auto"/>
              <w:ind w:left="177"/>
            </w:pPr>
            <w:r>
              <w:rPr>
                <w:spacing w:val="-2"/>
              </w:rPr>
              <w:t>0.60</w:t>
            </w:r>
          </w:p>
        </w:tc>
        <w:tc>
          <w:tcPr>
            <w:tcW w:w="1838" w:type="dxa"/>
            <w:vAlign w:val="top"/>
          </w:tcPr>
          <w:p w14:paraId="48072F2D">
            <w:pPr>
              <w:pStyle w:val="6"/>
              <w:spacing w:before="191" w:line="100" w:lineRule="exact"/>
              <w:ind w:left="861"/>
            </w:pPr>
            <w:r>
              <w:rPr>
                <w:spacing w:val="-3"/>
                <w:position w:val="-6"/>
              </w:rPr>
              <w:t>--</w:t>
            </w:r>
          </w:p>
        </w:tc>
        <w:tc>
          <w:tcPr>
            <w:tcW w:w="1384" w:type="dxa"/>
            <w:tcBorders>
              <w:right w:val="single" w:color="000000" w:sz="12" w:space="0"/>
            </w:tcBorders>
            <w:vAlign w:val="top"/>
          </w:tcPr>
          <w:p w14:paraId="10E643B2">
            <w:pPr>
              <w:pStyle w:val="6"/>
              <w:spacing w:before="100" w:line="190" w:lineRule="auto"/>
              <w:ind w:left="517"/>
            </w:pPr>
            <w:r>
              <w:rPr>
                <w:spacing w:val="-2"/>
              </w:rPr>
              <w:t>0.35</w:t>
            </w:r>
          </w:p>
        </w:tc>
      </w:tr>
      <w:tr w14:paraId="37FE4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2AA4B23">
            <w:pPr>
              <w:rPr>
                <w:rFonts w:ascii="Arial"/>
                <w:sz w:val="21"/>
              </w:rPr>
            </w:pPr>
          </w:p>
        </w:tc>
        <w:tc>
          <w:tcPr>
            <w:tcW w:w="329" w:type="dxa"/>
            <w:vMerge w:val="continue"/>
            <w:tcBorders>
              <w:top w:val="nil"/>
              <w:bottom w:val="nil"/>
            </w:tcBorders>
            <w:vAlign w:val="top"/>
          </w:tcPr>
          <w:p w14:paraId="0918190E">
            <w:pPr>
              <w:rPr>
                <w:rFonts w:ascii="Arial"/>
                <w:sz w:val="21"/>
              </w:rPr>
            </w:pPr>
          </w:p>
        </w:tc>
        <w:tc>
          <w:tcPr>
            <w:tcW w:w="1036" w:type="dxa"/>
            <w:vAlign w:val="top"/>
          </w:tcPr>
          <w:p w14:paraId="65191CC3">
            <w:pPr>
              <w:pStyle w:val="6"/>
              <w:spacing w:before="102" w:line="187" w:lineRule="auto"/>
              <w:ind w:left="26"/>
            </w:pPr>
            <w:r>
              <w:rPr>
                <w:spacing w:val="-1"/>
              </w:rPr>
              <w:t>2021/11/29</w:t>
            </w:r>
          </w:p>
        </w:tc>
        <w:tc>
          <w:tcPr>
            <w:tcW w:w="848" w:type="dxa"/>
            <w:vAlign w:val="top"/>
          </w:tcPr>
          <w:p w14:paraId="6908BDF8">
            <w:pPr>
              <w:pStyle w:val="6"/>
              <w:spacing w:before="102" w:line="187" w:lineRule="auto"/>
              <w:ind w:left="233"/>
            </w:pPr>
            <w:r>
              <w:rPr>
                <w:spacing w:val="-2"/>
              </w:rPr>
              <w:t>0.50</w:t>
            </w:r>
          </w:p>
        </w:tc>
        <w:tc>
          <w:tcPr>
            <w:tcW w:w="848" w:type="dxa"/>
            <w:vAlign w:val="top"/>
          </w:tcPr>
          <w:p w14:paraId="479BFBA6">
            <w:pPr>
              <w:pStyle w:val="6"/>
              <w:spacing w:before="102" w:line="187" w:lineRule="auto"/>
              <w:ind w:left="236"/>
            </w:pPr>
            <w:r>
              <w:rPr>
                <w:spacing w:val="-2"/>
              </w:rPr>
              <w:t>0.63</w:t>
            </w:r>
          </w:p>
        </w:tc>
        <w:tc>
          <w:tcPr>
            <w:tcW w:w="990" w:type="dxa"/>
            <w:vAlign w:val="top"/>
          </w:tcPr>
          <w:p w14:paraId="7D834274">
            <w:pPr>
              <w:pStyle w:val="6"/>
              <w:spacing w:before="102" w:line="187" w:lineRule="auto"/>
              <w:ind w:left="308"/>
            </w:pPr>
            <w:r>
              <w:rPr>
                <w:spacing w:val="-2"/>
              </w:rPr>
              <w:t>0.30</w:t>
            </w:r>
          </w:p>
        </w:tc>
        <w:tc>
          <w:tcPr>
            <w:tcW w:w="990" w:type="dxa"/>
            <w:vAlign w:val="top"/>
          </w:tcPr>
          <w:p w14:paraId="4DAC7494">
            <w:pPr>
              <w:pStyle w:val="6"/>
              <w:spacing w:before="102" w:line="187" w:lineRule="auto"/>
              <w:ind w:left="311"/>
            </w:pPr>
            <w:r>
              <w:rPr>
                <w:spacing w:val="-2"/>
              </w:rPr>
              <w:t>0.70</w:t>
            </w:r>
          </w:p>
        </w:tc>
        <w:tc>
          <w:tcPr>
            <w:tcW w:w="1132" w:type="dxa"/>
            <w:vAlign w:val="top"/>
          </w:tcPr>
          <w:p w14:paraId="3CB2C6E0">
            <w:pPr>
              <w:pStyle w:val="6"/>
              <w:spacing w:before="102" w:line="187" w:lineRule="auto"/>
              <w:ind w:left="383"/>
            </w:pPr>
            <w:r>
              <w:rPr>
                <w:spacing w:val="-2"/>
              </w:rPr>
              <w:t>0.65</w:t>
            </w:r>
          </w:p>
        </w:tc>
        <w:tc>
          <w:tcPr>
            <w:tcW w:w="848" w:type="dxa"/>
            <w:vAlign w:val="top"/>
          </w:tcPr>
          <w:p w14:paraId="561711E0">
            <w:pPr>
              <w:pStyle w:val="6"/>
              <w:spacing w:before="102" w:line="187" w:lineRule="auto"/>
              <w:ind w:left="243"/>
            </w:pPr>
            <w:r>
              <w:rPr>
                <w:spacing w:val="-2"/>
              </w:rPr>
              <w:t>0.12</w:t>
            </w:r>
          </w:p>
        </w:tc>
        <w:tc>
          <w:tcPr>
            <w:tcW w:w="992" w:type="dxa"/>
            <w:vAlign w:val="top"/>
          </w:tcPr>
          <w:p w14:paraId="73E53B85">
            <w:pPr>
              <w:pStyle w:val="6"/>
              <w:spacing w:before="102" w:line="187" w:lineRule="auto"/>
              <w:ind w:left="318"/>
            </w:pPr>
            <w:r>
              <w:rPr>
                <w:spacing w:val="-2"/>
              </w:rPr>
              <w:t>0.10</w:t>
            </w:r>
          </w:p>
        </w:tc>
        <w:tc>
          <w:tcPr>
            <w:tcW w:w="706" w:type="dxa"/>
            <w:vAlign w:val="top"/>
          </w:tcPr>
          <w:p w14:paraId="2A4A5558">
            <w:pPr>
              <w:pStyle w:val="6"/>
              <w:spacing w:before="102" w:line="187" w:lineRule="auto"/>
              <w:ind w:left="177"/>
            </w:pPr>
            <w:r>
              <w:rPr>
                <w:spacing w:val="-2"/>
              </w:rPr>
              <w:t>0.60</w:t>
            </w:r>
          </w:p>
        </w:tc>
        <w:tc>
          <w:tcPr>
            <w:tcW w:w="1838" w:type="dxa"/>
            <w:vAlign w:val="top"/>
          </w:tcPr>
          <w:p w14:paraId="2DA6E6F0">
            <w:pPr>
              <w:pStyle w:val="6"/>
              <w:spacing w:before="193" w:line="98" w:lineRule="exact"/>
              <w:ind w:left="861"/>
            </w:pPr>
            <w:r>
              <w:rPr>
                <w:spacing w:val="-3"/>
                <w:position w:val="-6"/>
              </w:rPr>
              <w:t>--</w:t>
            </w:r>
          </w:p>
        </w:tc>
        <w:tc>
          <w:tcPr>
            <w:tcW w:w="1384" w:type="dxa"/>
            <w:tcBorders>
              <w:right w:val="single" w:color="000000" w:sz="12" w:space="0"/>
            </w:tcBorders>
            <w:vAlign w:val="top"/>
          </w:tcPr>
          <w:p w14:paraId="7AB84F3E">
            <w:pPr>
              <w:pStyle w:val="6"/>
              <w:spacing w:before="102" w:line="187" w:lineRule="auto"/>
              <w:ind w:left="517"/>
            </w:pPr>
            <w:r>
              <w:rPr>
                <w:spacing w:val="-2"/>
              </w:rPr>
              <w:t>0.32</w:t>
            </w:r>
          </w:p>
        </w:tc>
      </w:tr>
      <w:tr w14:paraId="7AC97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465" w:type="dxa"/>
            <w:vMerge w:val="continue"/>
            <w:tcBorders>
              <w:top w:val="nil"/>
              <w:left w:val="single" w:color="000000" w:sz="12" w:space="0"/>
              <w:bottom w:val="single" w:color="000000" w:sz="12" w:space="0"/>
            </w:tcBorders>
            <w:vAlign w:val="top"/>
          </w:tcPr>
          <w:p w14:paraId="61684A73">
            <w:pPr>
              <w:rPr>
                <w:rFonts w:ascii="Arial"/>
                <w:sz w:val="21"/>
              </w:rPr>
            </w:pPr>
          </w:p>
        </w:tc>
        <w:tc>
          <w:tcPr>
            <w:tcW w:w="329" w:type="dxa"/>
            <w:vMerge w:val="continue"/>
            <w:tcBorders>
              <w:top w:val="nil"/>
              <w:bottom w:val="single" w:color="000000" w:sz="12" w:space="0"/>
            </w:tcBorders>
            <w:vAlign w:val="top"/>
          </w:tcPr>
          <w:p w14:paraId="4D5667CD">
            <w:pPr>
              <w:rPr>
                <w:rFonts w:ascii="Arial"/>
                <w:sz w:val="21"/>
              </w:rPr>
            </w:pPr>
          </w:p>
        </w:tc>
        <w:tc>
          <w:tcPr>
            <w:tcW w:w="1036" w:type="dxa"/>
            <w:tcBorders>
              <w:bottom w:val="single" w:color="000000" w:sz="12" w:space="0"/>
            </w:tcBorders>
            <w:vAlign w:val="top"/>
          </w:tcPr>
          <w:p w14:paraId="00AEC6E3">
            <w:pPr>
              <w:pStyle w:val="6"/>
              <w:spacing w:before="103" w:line="208" w:lineRule="auto"/>
              <w:ind w:left="26"/>
            </w:pPr>
            <w:r>
              <w:rPr>
                <w:spacing w:val="-1"/>
              </w:rPr>
              <w:t>2021/11/30</w:t>
            </w:r>
          </w:p>
        </w:tc>
        <w:tc>
          <w:tcPr>
            <w:tcW w:w="848" w:type="dxa"/>
            <w:tcBorders>
              <w:bottom w:val="single" w:color="000000" w:sz="12" w:space="0"/>
            </w:tcBorders>
            <w:vAlign w:val="top"/>
          </w:tcPr>
          <w:p w14:paraId="62A5DD54">
            <w:pPr>
              <w:pStyle w:val="6"/>
              <w:spacing w:before="103" w:line="208" w:lineRule="auto"/>
              <w:ind w:left="233"/>
            </w:pPr>
            <w:r>
              <w:rPr>
                <w:spacing w:val="-2"/>
              </w:rPr>
              <w:t>0.45</w:t>
            </w:r>
          </w:p>
        </w:tc>
        <w:tc>
          <w:tcPr>
            <w:tcW w:w="848" w:type="dxa"/>
            <w:tcBorders>
              <w:bottom w:val="single" w:color="000000" w:sz="12" w:space="0"/>
            </w:tcBorders>
            <w:vAlign w:val="top"/>
          </w:tcPr>
          <w:p w14:paraId="11681C44">
            <w:pPr>
              <w:pStyle w:val="6"/>
              <w:spacing w:before="103" w:line="208" w:lineRule="auto"/>
              <w:ind w:left="236"/>
            </w:pPr>
            <w:r>
              <w:rPr>
                <w:spacing w:val="-2"/>
              </w:rPr>
              <w:t>0.58</w:t>
            </w:r>
          </w:p>
        </w:tc>
        <w:tc>
          <w:tcPr>
            <w:tcW w:w="990" w:type="dxa"/>
            <w:tcBorders>
              <w:bottom w:val="single" w:color="000000" w:sz="12" w:space="0"/>
            </w:tcBorders>
            <w:vAlign w:val="top"/>
          </w:tcPr>
          <w:p w14:paraId="52A32564">
            <w:pPr>
              <w:pStyle w:val="6"/>
              <w:spacing w:before="103" w:line="208" w:lineRule="auto"/>
              <w:ind w:left="308"/>
            </w:pPr>
            <w:r>
              <w:rPr>
                <w:spacing w:val="-2"/>
              </w:rPr>
              <w:t>0.32</w:t>
            </w:r>
          </w:p>
        </w:tc>
        <w:tc>
          <w:tcPr>
            <w:tcW w:w="990" w:type="dxa"/>
            <w:tcBorders>
              <w:bottom w:val="single" w:color="000000" w:sz="12" w:space="0"/>
            </w:tcBorders>
            <w:vAlign w:val="top"/>
          </w:tcPr>
          <w:p w14:paraId="6C675C40">
            <w:pPr>
              <w:pStyle w:val="6"/>
              <w:spacing w:before="103" w:line="208" w:lineRule="auto"/>
              <w:ind w:left="311"/>
            </w:pPr>
            <w:r>
              <w:rPr>
                <w:spacing w:val="-2"/>
              </w:rPr>
              <w:t>0.55</w:t>
            </w:r>
          </w:p>
        </w:tc>
        <w:tc>
          <w:tcPr>
            <w:tcW w:w="1132" w:type="dxa"/>
            <w:tcBorders>
              <w:bottom w:val="single" w:color="000000" w:sz="12" w:space="0"/>
            </w:tcBorders>
            <w:vAlign w:val="top"/>
          </w:tcPr>
          <w:p w14:paraId="1B81D153">
            <w:pPr>
              <w:pStyle w:val="6"/>
              <w:spacing w:before="103" w:line="208" w:lineRule="auto"/>
              <w:ind w:left="383"/>
            </w:pPr>
            <w:r>
              <w:rPr>
                <w:spacing w:val="-2"/>
              </w:rPr>
              <w:t>0.55</w:t>
            </w:r>
          </w:p>
        </w:tc>
        <w:tc>
          <w:tcPr>
            <w:tcW w:w="848" w:type="dxa"/>
            <w:tcBorders>
              <w:bottom w:val="single" w:color="000000" w:sz="12" w:space="0"/>
            </w:tcBorders>
            <w:vAlign w:val="top"/>
          </w:tcPr>
          <w:p w14:paraId="547549B3">
            <w:pPr>
              <w:pStyle w:val="6"/>
              <w:spacing w:before="103" w:line="208" w:lineRule="auto"/>
              <w:ind w:left="243"/>
            </w:pPr>
            <w:r>
              <w:rPr>
                <w:spacing w:val="-2"/>
              </w:rPr>
              <w:t>0.12</w:t>
            </w:r>
          </w:p>
        </w:tc>
        <w:tc>
          <w:tcPr>
            <w:tcW w:w="992" w:type="dxa"/>
            <w:tcBorders>
              <w:bottom w:val="single" w:color="000000" w:sz="12" w:space="0"/>
            </w:tcBorders>
            <w:vAlign w:val="top"/>
          </w:tcPr>
          <w:p w14:paraId="60ED5CE5">
            <w:pPr>
              <w:pStyle w:val="6"/>
              <w:spacing w:before="103" w:line="208" w:lineRule="auto"/>
              <w:ind w:left="318"/>
            </w:pPr>
            <w:r>
              <w:rPr>
                <w:spacing w:val="-2"/>
              </w:rPr>
              <w:t>0.05</w:t>
            </w:r>
          </w:p>
        </w:tc>
        <w:tc>
          <w:tcPr>
            <w:tcW w:w="706" w:type="dxa"/>
            <w:tcBorders>
              <w:bottom w:val="single" w:color="000000" w:sz="12" w:space="0"/>
            </w:tcBorders>
            <w:vAlign w:val="top"/>
          </w:tcPr>
          <w:p w14:paraId="712A8B8C">
            <w:pPr>
              <w:pStyle w:val="6"/>
              <w:spacing w:before="103" w:line="208" w:lineRule="auto"/>
              <w:ind w:left="177"/>
            </w:pPr>
            <w:r>
              <w:rPr>
                <w:spacing w:val="-2"/>
              </w:rPr>
              <w:t>0.60</w:t>
            </w:r>
          </w:p>
        </w:tc>
        <w:tc>
          <w:tcPr>
            <w:tcW w:w="1838" w:type="dxa"/>
            <w:tcBorders>
              <w:bottom w:val="single" w:color="000000" w:sz="12" w:space="0"/>
            </w:tcBorders>
            <w:vAlign w:val="top"/>
          </w:tcPr>
          <w:p w14:paraId="52096043">
            <w:pPr>
              <w:pStyle w:val="6"/>
              <w:spacing w:before="194" w:line="100" w:lineRule="exact"/>
              <w:ind w:left="861"/>
            </w:pPr>
            <w:r>
              <w:rPr>
                <w:spacing w:val="-3"/>
                <w:position w:val="-6"/>
              </w:rPr>
              <w:t>--</w:t>
            </w:r>
          </w:p>
        </w:tc>
        <w:tc>
          <w:tcPr>
            <w:tcW w:w="1384" w:type="dxa"/>
            <w:tcBorders>
              <w:bottom w:val="single" w:color="000000" w:sz="12" w:space="0"/>
              <w:right w:val="single" w:color="000000" w:sz="12" w:space="0"/>
            </w:tcBorders>
            <w:vAlign w:val="top"/>
          </w:tcPr>
          <w:p w14:paraId="4B012858">
            <w:pPr>
              <w:pStyle w:val="6"/>
              <w:spacing w:before="103" w:line="208" w:lineRule="auto"/>
              <w:ind w:left="517"/>
            </w:pPr>
            <w:r>
              <w:rPr>
                <w:spacing w:val="-2"/>
              </w:rPr>
              <w:t>0.34</w:t>
            </w:r>
          </w:p>
        </w:tc>
      </w:tr>
    </w:tbl>
    <w:p w14:paraId="37E3ADB5">
      <w:pPr>
        <w:rPr>
          <w:rFonts w:ascii="Arial"/>
          <w:sz w:val="21"/>
        </w:rPr>
      </w:pPr>
    </w:p>
    <w:p w14:paraId="37D0A48A">
      <w:pPr>
        <w:rPr>
          <w:rFonts w:ascii="Arial" w:hAnsi="Arial" w:eastAsia="Arial" w:cs="Arial"/>
          <w:sz w:val="21"/>
          <w:szCs w:val="21"/>
        </w:rPr>
        <w:sectPr>
          <w:footerReference r:id="rId250" w:type="default"/>
          <w:pgSz w:w="16839" w:h="11907"/>
          <w:pgMar w:top="1376" w:right="1669" w:bottom="1061" w:left="1671" w:header="999" w:footer="861" w:gutter="0"/>
          <w:cols w:space="720" w:num="1"/>
        </w:sectPr>
      </w:pPr>
    </w:p>
    <w:p w14:paraId="57508D1C">
      <w:pPr>
        <w:spacing w:before="148"/>
      </w:pPr>
    </w:p>
    <w:tbl>
      <w:tblPr>
        <w:tblStyle w:val="5"/>
        <w:tblW w:w="13406"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5"/>
        <w:gridCol w:w="329"/>
        <w:gridCol w:w="1036"/>
        <w:gridCol w:w="848"/>
        <w:gridCol w:w="848"/>
        <w:gridCol w:w="990"/>
        <w:gridCol w:w="990"/>
        <w:gridCol w:w="1132"/>
        <w:gridCol w:w="848"/>
        <w:gridCol w:w="992"/>
        <w:gridCol w:w="706"/>
        <w:gridCol w:w="1838"/>
        <w:gridCol w:w="1384"/>
      </w:tblGrid>
      <w:tr w14:paraId="40CA0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465" w:type="dxa"/>
            <w:tcBorders>
              <w:top w:val="single" w:color="000000" w:sz="12" w:space="0"/>
              <w:left w:val="single" w:color="000000" w:sz="12" w:space="0"/>
            </w:tcBorders>
            <w:vAlign w:val="top"/>
          </w:tcPr>
          <w:p w14:paraId="0F446354">
            <w:pPr>
              <w:spacing w:before="58" w:line="221" w:lineRule="auto"/>
              <w:ind w:left="298"/>
              <w:rPr>
                <w:rFonts w:ascii="宋体" w:hAnsi="宋体" w:eastAsia="宋体" w:cs="宋体"/>
                <w:sz w:val="21"/>
                <w:szCs w:val="21"/>
              </w:rPr>
            </w:pPr>
            <w:r>
              <w:rPr>
                <w:rFonts w:ascii="宋体" w:hAnsi="宋体" w:eastAsia="宋体" w:cs="宋体"/>
                <w:spacing w:val="-2"/>
                <w:sz w:val="21"/>
                <w:szCs w:val="21"/>
              </w:rPr>
              <w:t>监测点位</w:t>
            </w:r>
          </w:p>
        </w:tc>
        <w:tc>
          <w:tcPr>
            <w:tcW w:w="1365" w:type="dxa"/>
            <w:gridSpan w:val="2"/>
            <w:tcBorders>
              <w:top w:val="single" w:color="000000" w:sz="12" w:space="0"/>
            </w:tcBorders>
            <w:vAlign w:val="top"/>
          </w:tcPr>
          <w:p w14:paraId="6B732F44">
            <w:pPr>
              <w:spacing w:before="58" w:line="221" w:lineRule="auto"/>
              <w:ind w:left="253"/>
              <w:rPr>
                <w:rFonts w:ascii="宋体" w:hAnsi="宋体" w:eastAsia="宋体" w:cs="宋体"/>
                <w:sz w:val="21"/>
                <w:szCs w:val="21"/>
              </w:rPr>
            </w:pPr>
            <w:r>
              <w:rPr>
                <w:rFonts w:ascii="宋体" w:hAnsi="宋体" w:eastAsia="宋体" w:cs="宋体"/>
                <w:spacing w:val="-2"/>
                <w:sz w:val="21"/>
                <w:szCs w:val="21"/>
              </w:rPr>
              <w:t>监测时间</w:t>
            </w:r>
          </w:p>
        </w:tc>
        <w:tc>
          <w:tcPr>
            <w:tcW w:w="848" w:type="dxa"/>
            <w:tcBorders>
              <w:top w:val="single" w:color="000000" w:sz="12" w:space="0"/>
            </w:tcBorders>
            <w:vAlign w:val="top"/>
          </w:tcPr>
          <w:p w14:paraId="3C66CE04">
            <w:pPr>
              <w:pStyle w:val="6"/>
              <w:spacing w:before="57" w:line="213" w:lineRule="auto"/>
              <w:ind w:left="148"/>
              <w:rPr>
                <w:rFonts w:ascii="宋体" w:hAnsi="宋体" w:eastAsia="宋体" w:cs="宋体"/>
              </w:rPr>
            </w:pPr>
            <w:r>
              <w:t>pH</w:t>
            </w:r>
            <w:r>
              <w:rPr>
                <w:spacing w:val="8"/>
              </w:rPr>
              <w:t xml:space="preserve"> </w:t>
            </w:r>
            <w:r>
              <w:rPr>
                <w:rFonts w:ascii="宋体" w:hAnsi="宋体" w:eastAsia="宋体" w:cs="宋体"/>
              </w:rPr>
              <w:t>值</w:t>
            </w:r>
          </w:p>
        </w:tc>
        <w:tc>
          <w:tcPr>
            <w:tcW w:w="848" w:type="dxa"/>
            <w:tcBorders>
              <w:top w:val="single" w:color="000000" w:sz="12" w:space="0"/>
            </w:tcBorders>
            <w:vAlign w:val="top"/>
          </w:tcPr>
          <w:p w14:paraId="4F91F2F3">
            <w:pPr>
              <w:pStyle w:val="6"/>
              <w:spacing w:before="95" w:line="186" w:lineRule="auto"/>
              <w:ind w:left="263"/>
            </w:pPr>
            <w:r>
              <w:rPr>
                <w:spacing w:val="-2"/>
              </w:rPr>
              <w:t>DO</w:t>
            </w:r>
          </w:p>
        </w:tc>
        <w:tc>
          <w:tcPr>
            <w:tcW w:w="990" w:type="dxa"/>
            <w:tcBorders>
              <w:top w:val="single" w:color="000000" w:sz="12" w:space="0"/>
            </w:tcBorders>
            <w:vAlign w:val="top"/>
          </w:tcPr>
          <w:p w14:paraId="42EA5D6B">
            <w:pPr>
              <w:pStyle w:val="6"/>
              <w:spacing w:before="95" w:line="226" w:lineRule="auto"/>
              <w:ind w:left="173"/>
              <w:rPr>
                <w:sz w:val="14"/>
                <w:szCs w:val="14"/>
              </w:rPr>
            </w:pPr>
            <w:r>
              <w:rPr>
                <w:spacing w:val="-2"/>
              </w:rPr>
              <w:t>COD</w:t>
            </w:r>
            <w:r>
              <w:rPr>
                <w:spacing w:val="-2"/>
                <w:position w:val="-1"/>
                <w:sz w:val="14"/>
                <w:szCs w:val="14"/>
              </w:rPr>
              <w:t>Mn</w:t>
            </w:r>
          </w:p>
        </w:tc>
        <w:tc>
          <w:tcPr>
            <w:tcW w:w="990" w:type="dxa"/>
            <w:tcBorders>
              <w:top w:val="single" w:color="000000" w:sz="12" w:space="0"/>
            </w:tcBorders>
            <w:vAlign w:val="top"/>
          </w:tcPr>
          <w:p w14:paraId="4CB8CA78">
            <w:pPr>
              <w:pStyle w:val="6"/>
              <w:spacing w:before="95" w:line="186" w:lineRule="auto"/>
              <w:ind w:left="272"/>
            </w:pPr>
            <w:r>
              <w:rPr>
                <w:spacing w:val="-3"/>
              </w:rPr>
              <w:t>COD</w:t>
            </w:r>
          </w:p>
        </w:tc>
        <w:tc>
          <w:tcPr>
            <w:tcW w:w="1132" w:type="dxa"/>
            <w:tcBorders>
              <w:top w:val="single" w:color="000000" w:sz="12" w:space="0"/>
            </w:tcBorders>
            <w:vAlign w:val="top"/>
          </w:tcPr>
          <w:p w14:paraId="27D07AAF">
            <w:pPr>
              <w:pStyle w:val="6"/>
              <w:spacing w:before="95" w:line="225" w:lineRule="auto"/>
              <w:ind w:left="306"/>
              <w:rPr>
                <w:sz w:val="14"/>
                <w:szCs w:val="14"/>
              </w:rPr>
            </w:pPr>
            <w:r>
              <w:rPr>
                <w:spacing w:val="-1"/>
              </w:rPr>
              <w:t>BOD</w:t>
            </w:r>
            <w:r>
              <w:rPr>
                <w:spacing w:val="-1"/>
                <w:position w:val="-1"/>
                <w:sz w:val="14"/>
                <w:szCs w:val="14"/>
              </w:rPr>
              <w:t>5</w:t>
            </w:r>
          </w:p>
        </w:tc>
        <w:tc>
          <w:tcPr>
            <w:tcW w:w="848" w:type="dxa"/>
            <w:tcBorders>
              <w:top w:val="single" w:color="000000" w:sz="12" w:space="0"/>
            </w:tcBorders>
            <w:vAlign w:val="top"/>
          </w:tcPr>
          <w:p w14:paraId="5713CEB3">
            <w:pPr>
              <w:pStyle w:val="6"/>
              <w:spacing w:before="98" w:line="222" w:lineRule="auto"/>
              <w:ind w:left="119"/>
            </w:pPr>
            <w:r>
              <w:t>NH</w:t>
            </w:r>
            <w:r>
              <w:rPr>
                <w:position w:val="-1"/>
                <w:sz w:val="14"/>
                <w:szCs w:val="14"/>
              </w:rPr>
              <w:t>3</w:t>
            </w:r>
            <w:r>
              <w:t>-N</w:t>
            </w:r>
          </w:p>
        </w:tc>
        <w:tc>
          <w:tcPr>
            <w:tcW w:w="992" w:type="dxa"/>
            <w:tcBorders>
              <w:top w:val="single" w:color="000000" w:sz="12" w:space="0"/>
            </w:tcBorders>
            <w:vAlign w:val="top"/>
          </w:tcPr>
          <w:p w14:paraId="1E481AE6">
            <w:pPr>
              <w:pStyle w:val="6"/>
              <w:spacing w:before="98" w:line="183" w:lineRule="auto"/>
              <w:ind w:left="378"/>
            </w:pPr>
            <w:r>
              <w:rPr>
                <w:spacing w:val="-4"/>
              </w:rPr>
              <w:t>TP</w:t>
            </w:r>
          </w:p>
        </w:tc>
        <w:tc>
          <w:tcPr>
            <w:tcW w:w="706" w:type="dxa"/>
            <w:tcBorders>
              <w:top w:val="single" w:color="000000" w:sz="12" w:space="0"/>
            </w:tcBorders>
            <w:vAlign w:val="top"/>
          </w:tcPr>
          <w:p w14:paraId="042FC454">
            <w:pPr>
              <w:spacing w:before="57" w:line="220" w:lineRule="auto"/>
              <w:ind w:left="48"/>
              <w:rPr>
                <w:rFonts w:ascii="宋体" w:hAnsi="宋体" w:eastAsia="宋体" w:cs="宋体"/>
                <w:sz w:val="21"/>
                <w:szCs w:val="21"/>
              </w:rPr>
            </w:pPr>
            <w:r>
              <w:rPr>
                <w:rFonts w:ascii="宋体" w:hAnsi="宋体" w:eastAsia="宋体" w:cs="宋体"/>
                <w:spacing w:val="-3"/>
                <w:sz w:val="21"/>
                <w:szCs w:val="21"/>
              </w:rPr>
              <w:t>石油类</w:t>
            </w:r>
          </w:p>
        </w:tc>
        <w:tc>
          <w:tcPr>
            <w:tcW w:w="1838" w:type="dxa"/>
            <w:tcBorders>
              <w:top w:val="single" w:color="000000" w:sz="12" w:space="0"/>
            </w:tcBorders>
            <w:vAlign w:val="top"/>
          </w:tcPr>
          <w:p w14:paraId="5DE07229">
            <w:pPr>
              <w:spacing w:before="58" w:line="219" w:lineRule="auto"/>
              <w:ind w:left="107"/>
              <w:rPr>
                <w:rFonts w:ascii="宋体" w:hAnsi="宋体" w:eastAsia="宋体" w:cs="宋体"/>
                <w:sz w:val="21"/>
                <w:szCs w:val="21"/>
              </w:rPr>
            </w:pPr>
            <w:r>
              <w:rPr>
                <w:rFonts w:ascii="宋体" w:hAnsi="宋体" w:eastAsia="宋体" w:cs="宋体"/>
                <w:spacing w:val="-3"/>
                <w:sz w:val="21"/>
                <w:szCs w:val="21"/>
              </w:rPr>
              <w:t>阴离子表面活性剂</w:t>
            </w:r>
          </w:p>
        </w:tc>
        <w:tc>
          <w:tcPr>
            <w:tcW w:w="1384" w:type="dxa"/>
            <w:tcBorders>
              <w:top w:val="single" w:color="000000" w:sz="12" w:space="0"/>
              <w:right w:val="single" w:color="000000" w:sz="12" w:space="0"/>
            </w:tcBorders>
            <w:vAlign w:val="top"/>
          </w:tcPr>
          <w:p w14:paraId="3C7A27D3">
            <w:pPr>
              <w:spacing w:before="57" w:line="220" w:lineRule="auto"/>
              <w:ind w:left="177"/>
              <w:rPr>
                <w:rFonts w:ascii="宋体" w:hAnsi="宋体" w:eastAsia="宋体" w:cs="宋体"/>
                <w:sz w:val="21"/>
                <w:szCs w:val="21"/>
              </w:rPr>
            </w:pPr>
            <w:r>
              <w:rPr>
                <w:rFonts w:ascii="宋体" w:hAnsi="宋体" w:eastAsia="宋体" w:cs="宋体"/>
                <w:spacing w:val="-2"/>
                <w:sz w:val="21"/>
                <w:szCs w:val="21"/>
              </w:rPr>
              <w:t>粪大肠菌群</w:t>
            </w:r>
          </w:p>
        </w:tc>
      </w:tr>
      <w:tr w14:paraId="608C6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restart"/>
            <w:tcBorders>
              <w:left w:val="single" w:color="000000" w:sz="12" w:space="0"/>
              <w:bottom w:val="nil"/>
            </w:tcBorders>
            <w:vAlign w:val="top"/>
          </w:tcPr>
          <w:p w14:paraId="66DE342A">
            <w:pPr>
              <w:spacing w:line="282" w:lineRule="auto"/>
              <w:rPr>
                <w:rFonts w:ascii="Arial"/>
                <w:sz w:val="21"/>
              </w:rPr>
            </w:pPr>
          </w:p>
          <w:p w14:paraId="0037D5FB">
            <w:pPr>
              <w:spacing w:line="282" w:lineRule="auto"/>
              <w:rPr>
                <w:rFonts w:ascii="Arial"/>
                <w:sz w:val="21"/>
              </w:rPr>
            </w:pPr>
          </w:p>
          <w:p w14:paraId="1FCBF10B">
            <w:pPr>
              <w:spacing w:line="282" w:lineRule="auto"/>
              <w:rPr>
                <w:rFonts w:ascii="Arial"/>
                <w:sz w:val="21"/>
              </w:rPr>
            </w:pPr>
          </w:p>
          <w:p w14:paraId="0B38B4BE">
            <w:pPr>
              <w:spacing w:line="283" w:lineRule="auto"/>
              <w:rPr>
                <w:rFonts w:ascii="Arial"/>
                <w:sz w:val="21"/>
              </w:rPr>
            </w:pPr>
          </w:p>
          <w:p w14:paraId="024CDDD3">
            <w:pPr>
              <w:spacing w:line="283" w:lineRule="auto"/>
              <w:rPr>
                <w:rFonts w:ascii="Arial"/>
                <w:sz w:val="21"/>
              </w:rPr>
            </w:pPr>
          </w:p>
          <w:p w14:paraId="11B31A8C">
            <w:pPr>
              <w:pStyle w:val="6"/>
              <w:spacing w:before="68" w:line="245" w:lineRule="auto"/>
              <w:ind w:left="93" w:right="136" w:firstLine="106"/>
              <w:jc w:val="both"/>
              <w:rPr>
                <w:rFonts w:ascii="宋体" w:hAnsi="宋体" w:eastAsia="宋体" w:cs="宋体"/>
              </w:rPr>
            </w:pPr>
            <w:r>
              <w:rPr>
                <w:rFonts w:ascii="宋体" w:hAnsi="宋体" w:eastAsia="宋体" w:cs="宋体"/>
                <w:spacing w:val="-3"/>
              </w:rPr>
              <w:t>马龙河干流</w:t>
            </w:r>
            <w:r>
              <w:rPr>
                <w:rFonts w:ascii="宋体" w:hAnsi="宋体" w:eastAsia="宋体" w:cs="宋体"/>
                <w:spacing w:val="-8"/>
              </w:rPr>
              <w:t>（红桥河汇口</w:t>
            </w:r>
            <w:r>
              <w:rPr>
                <w:rFonts w:ascii="宋体" w:hAnsi="宋体" w:eastAsia="宋体" w:cs="宋体"/>
                <w:spacing w:val="13"/>
              </w:rPr>
              <w:t>下游</w:t>
            </w:r>
            <w:r>
              <w:rPr>
                <w:rFonts w:ascii="宋体" w:hAnsi="宋体" w:eastAsia="宋体" w:cs="宋体"/>
                <w:spacing w:val="-42"/>
              </w:rPr>
              <w:t xml:space="preserve"> </w:t>
            </w:r>
            <w:r>
              <w:rPr>
                <w:spacing w:val="13"/>
              </w:rPr>
              <w:t>50m</w:t>
            </w:r>
            <w:r>
              <w:rPr>
                <w:rFonts w:ascii="宋体" w:hAnsi="宋体" w:eastAsia="宋体" w:cs="宋体"/>
                <w:spacing w:val="13"/>
              </w:rPr>
              <w:t>）</w:t>
            </w:r>
          </w:p>
        </w:tc>
        <w:tc>
          <w:tcPr>
            <w:tcW w:w="329" w:type="dxa"/>
            <w:vMerge w:val="restart"/>
            <w:tcBorders>
              <w:bottom w:val="nil"/>
            </w:tcBorders>
            <w:vAlign w:val="top"/>
          </w:tcPr>
          <w:p w14:paraId="12EB59F3">
            <w:pPr>
              <w:pStyle w:val="6"/>
              <w:spacing w:before="117" w:line="222" w:lineRule="auto"/>
              <w:ind w:left="117"/>
            </w:pPr>
            <w:r>
              <w:t>1</w:t>
            </w:r>
          </w:p>
          <w:p w14:paraId="2AB17A0C">
            <w:pPr>
              <w:spacing w:line="219" w:lineRule="auto"/>
              <w:ind w:left="49"/>
              <w:rPr>
                <w:rFonts w:ascii="宋体" w:hAnsi="宋体" w:eastAsia="宋体" w:cs="宋体"/>
                <w:sz w:val="21"/>
                <w:szCs w:val="21"/>
              </w:rPr>
            </w:pPr>
            <w:r>
              <w:rPr>
                <w:rFonts w:ascii="宋体" w:hAnsi="宋体" w:eastAsia="宋体" w:cs="宋体"/>
                <w:sz w:val="21"/>
                <w:szCs w:val="21"/>
              </w:rPr>
              <w:t>季</w:t>
            </w:r>
          </w:p>
          <w:p w14:paraId="7D78CC2E">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0EE6D817">
            <w:pPr>
              <w:pStyle w:val="6"/>
              <w:spacing w:before="76" w:line="214" w:lineRule="auto"/>
              <w:ind w:left="79"/>
            </w:pPr>
            <w:r>
              <w:rPr>
                <w:spacing w:val="-1"/>
              </w:rPr>
              <w:t>2021/3/18</w:t>
            </w:r>
          </w:p>
        </w:tc>
        <w:tc>
          <w:tcPr>
            <w:tcW w:w="848" w:type="dxa"/>
            <w:vAlign w:val="top"/>
          </w:tcPr>
          <w:p w14:paraId="1365C40E">
            <w:pPr>
              <w:pStyle w:val="6"/>
              <w:spacing w:before="76" w:line="214" w:lineRule="auto"/>
              <w:ind w:left="233"/>
            </w:pPr>
            <w:r>
              <w:rPr>
                <w:spacing w:val="-2"/>
              </w:rPr>
              <w:t>0.41</w:t>
            </w:r>
          </w:p>
        </w:tc>
        <w:tc>
          <w:tcPr>
            <w:tcW w:w="848" w:type="dxa"/>
            <w:vAlign w:val="top"/>
          </w:tcPr>
          <w:p w14:paraId="53485064">
            <w:pPr>
              <w:pStyle w:val="6"/>
              <w:spacing w:before="81" w:line="209" w:lineRule="auto"/>
              <w:ind w:left="234"/>
            </w:pPr>
            <w:r>
              <w:rPr>
                <w:b/>
                <w:bCs/>
                <w:spacing w:val="-2"/>
              </w:rPr>
              <w:t>4.30</w:t>
            </w:r>
          </w:p>
        </w:tc>
        <w:tc>
          <w:tcPr>
            <w:tcW w:w="990" w:type="dxa"/>
            <w:vAlign w:val="top"/>
          </w:tcPr>
          <w:p w14:paraId="2D4B7F9D">
            <w:pPr>
              <w:pStyle w:val="6"/>
              <w:spacing w:before="76" w:line="214" w:lineRule="auto"/>
              <w:ind w:left="308"/>
            </w:pPr>
            <w:r>
              <w:rPr>
                <w:spacing w:val="-2"/>
              </w:rPr>
              <w:t>0.40</w:t>
            </w:r>
          </w:p>
        </w:tc>
        <w:tc>
          <w:tcPr>
            <w:tcW w:w="990" w:type="dxa"/>
            <w:vAlign w:val="top"/>
          </w:tcPr>
          <w:p w14:paraId="0E162FA6">
            <w:pPr>
              <w:pStyle w:val="6"/>
              <w:spacing w:before="167" w:line="100" w:lineRule="exact"/>
              <w:ind w:left="425"/>
            </w:pPr>
            <w:r>
              <w:rPr>
                <w:spacing w:val="-3"/>
                <w:position w:val="-6"/>
              </w:rPr>
              <w:t>--</w:t>
            </w:r>
          </w:p>
        </w:tc>
        <w:tc>
          <w:tcPr>
            <w:tcW w:w="1132" w:type="dxa"/>
            <w:vAlign w:val="top"/>
          </w:tcPr>
          <w:p w14:paraId="702C4C27">
            <w:pPr>
              <w:pStyle w:val="6"/>
              <w:spacing w:before="167" w:line="100" w:lineRule="exact"/>
              <w:ind w:left="497"/>
            </w:pPr>
            <w:r>
              <w:rPr>
                <w:spacing w:val="-3"/>
                <w:position w:val="-6"/>
              </w:rPr>
              <w:t>--</w:t>
            </w:r>
          </w:p>
        </w:tc>
        <w:tc>
          <w:tcPr>
            <w:tcW w:w="848" w:type="dxa"/>
            <w:vAlign w:val="top"/>
          </w:tcPr>
          <w:p w14:paraId="68CA2B9C">
            <w:pPr>
              <w:pStyle w:val="6"/>
              <w:spacing w:before="76" w:line="214" w:lineRule="auto"/>
              <w:ind w:left="243"/>
            </w:pPr>
            <w:r>
              <w:rPr>
                <w:spacing w:val="-2"/>
              </w:rPr>
              <w:t>0.09</w:t>
            </w:r>
          </w:p>
        </w:tc>
        <w:tc>
          <w:tcPr>
            <w:tcW w:w="992" w:type="dxa"/>
            <w:vAlign w:val="top"/>
          </w:tcPr>
          <w:p w14:paraId="5755E127">
            <w:pPr>
              <w:pStyle w:val="6"/>
              <w:spacing w:before="76" w:line="214" w:lineRule="auto"/>
              <w:ind w:left="318"/>
            </w:pPr>
            <w:r>
              <w:rPr>
                <w:spacing w:val="-2"/>
              </w:rPr>
              <w:t>0.10</w:t>
            </w:r>
          </w:p>
        </w:tc>
        <w:tc>
          <w:tcPr>
            <w:tcW w:w="706" w:type="dxa"/>
            <w:vAlign w:val="top"/>
          </w:tcPr>
          <w:p w14:paraId="0DBA5E65">
            <w:pPr>
              <w:pStyle w:val="6"/>
              <w:spacing w:before="167" w:line="100" w:lineRule="exact"/>
              <w:ind w:left="292"/>
            </w:pPr>
            <w:r>
              <w:rPr>
                <w:spacing w:val="-3"/>
                <w:position w:val="-6"/>
              </w:rPr>
              <w:t>--</w:t>
            </w:r>
          </w:p>
        </w:tc>
        <w:tc>
          <w:tcPr>
            <w:tcW w:w="1838" w:type="dxa"/>
            <w:vAlign w:val="top"/>
          </w:tcPr>
          <w:p w14:paraId="4A42B09A">
            <w:pPr>
              <w:pStyle w:val="6"/>
              <w:spacing w:before="167" w:line="100" w:lineRule="exact"/>
              <w:ind w:left="861"/>
            </w:pPr>
            <w:r>
              <w:rPr>
                <w:spacing w:val="-3"/>
                <w:position w:val="-6"/>
              </w:rPr>
              <w:t>--</w:t>
            </w:r>
          </w:p>
        </w:tc>
        <w:tc>
          <w:tcPr>
            <w:tcW w:w="1384" w:type="dxa"/>
            <w:tcBorders>
              <w:right w:val="single" w:color="000000" w:sz="12" w:space="0"/>
            </w:tcBorders>
            <w:vAlign w:val="top"/>
          </w:tcPr>
          <w:p w14:paraId="42A2BF81">
            <w:pPr>
              <w:pStyle w:val="6"/>
              <w:spacing w:before="76" w:line="214" w:lineRule="auto"/>
              <w:ind w:left="517"/>
            </w:pPr>
            <w:r>
              <w:rPr>
                <w:spacing w:val="-2"/>
              </w:rPr>
              <w:t>0.01</w:t>
            </w:r>
          </w:p>
        </w:tc>
      </w:tr>
      <w:tr w14:paraId="50E07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4D0C3A0">
            <w:pPr>
              <w:rPr>
                <w:rFonts w:ascii="Arial"/>
                <w:sz w:val="21"/>
              </w:rPr>
            </w:pPr>
          </w:p>
        </w:tc>
        <w:tc>
          <w:tcPr>
            <w:tcW w:w="329" w:type="dxa"/>
            <w:vMerge w:val="continue"/>
            <w:tcBorders>
              <w:top w:val="nil"/>
              <w:bottom w:val="nil"/>
            </w:tcBorders>
            <w:vAlign w:val="top"/>
          </w:tcPr>
          <w:p w14:paraId="0BD0BA55">
            <w:pPr>
              <w:rPr>
                <w:rFonts w:ascii="Arial"/>
                <w:sz w:val="21"/>
              </w:rPr>
            </w:pPr>
          </w:p>
        </w:tc>
        <w:tc>
          <w:tcPr>
            <w:tcW w:w="1036" w:type="dxa"/>
            <w:vAlign w:val="top"/>
          </w:tcPr>
          <w:p w14:paraId="098C9008">
            <w:pPr>
              <w:pStyle w:val="6"/>
              <w:spacing w:before="77" w:line="212" w:lineRule="auto"/>
              <w:ind w:left="79"/>
            </w:pPr>
            <w:r>
              <w:rPr>
                <w:spacing w:val="-1"/>
              </w:rPr>
              <w:t>2021/3/19</w:t>
            </w:r>
          </w:p>
        </w:tc>
        <w:tc>
          <w:tcPr>
            <w:tcW w:w="848" w:type="dxa"/>
            <w:vAlign w:val="top"/>
          </w:tcPr>
          <w:p w14:paraId="51489748">
            <w:pPr>
              <w:pStyle w:val="6"/>
              <w:spacing w:before="77" w:line="212" w:lineRule="auto"/>
              <w:ind w:left="233"/>
            </w:pPr>
            <w:r>
              <w:rPr>
                <w:spacing w:val="-2"/>
              </w:rPr>
              <w:t>0.43</w:t>
            </w:r>
          </w:p>
        </w:tc>
        <w:tc>
          <w:tcPr>
            <w:tcW w:w="848" w:type="dxa"/>
            <w:vAlign w:val="top"/>
          </w:tcPr>
          <w:p w14:paraId="76F8D3A7">
            <w:pPr>
              <w:pStyle w:val="6"/>
              <w:spacing w:before="82" w:line="207" w:lineRule="auto"/>
              <w:ind w:left="232"/>
            </w:pPr>
            <w:r>
              <w:rPr>
                <w:b/>
                <w:bCs/>
                <w:spacing w:val="-1"/>
              </w:rPr>
              <w:t>3.85</w:t>
            </w:r>
          </w:p>
        </w:tc>
        <w:tc>
          <w:tcPr>
            <w:tcW w:w="990" w:type="dxa"/>
            <w:vAlign w:val="top"/>
          </w:tcPr>
          <w:p w14:paraId="41544F7C">
            <w:pPr>
              <w:pStyle w:val="6"/>
              <w:spacing w:before="77" w:line="212" w:lineRule="auto"/>
              <w:ind w:left="308"/>
            </w:pPr>
            <w:r>
              <w:rPr>
                <w:spacing w:val="-2"/>
              </w:rPr>
              <w:t>0.33</w:t>
            </w:r>
          </w:p>
        </w:tc>
        <w:tc>
          <w:tcPr>
            <w:tcW w:w="990" w:type="dxa"/>
            <w:vAlign w:val="top"/>
          </w:tcPr>
          <w:p w14:paraId="0D175465">
            <w:pPr>
              <w:pStyle w:val="6"/>
              <w:spacing w:before="168" w:line="100" w:lineRule="exact"/>
              <w:ind w:left="425"/>
            </w:pPr>
            <w:r>
              <w:rPr>
                <w:spacing w:val="-3"/>
                <w:position w:val="-6"/>
              </w:rPr>
              <w:t>--</w:t>
            </w:r>
          </w:p>
        </w:tc>
        <w:tc>
          <w:tcPr>
            <w:tcW w:w="1132" w:type="dxa"/>
            <w:vAlign w:val="top"/>
          </w:tcPr>
          <w:p w14:paraId="09854750">
            <w:pPr>
              <w:pStyle w:val="6"/>
              <w:spacing w:before="168" w:line="100" w:lineRule="exact"/>
              <w:ind w:left="497"/>
            </w:pPr>
            <w:r>
              <w:rPr>
                <w:spacing w:val="-3"/>
                <w:position w:val="-6"/>
              </w:rPr>
              <w:t>--</w:t>
            </w:r>
          </w:p>
        </w:tc>
        <w:tc>
          <w:tcPr>
            <w:tcW w:w="848" w:type="dxa"/>
            <w:vAlign w:val="top"/>
          </w:tcPr>
          <w:p w14:paraId="5986987C">
            <w:pPr>
              <w:pStyle w:val="6"/>
              <w:spacing w:before="77" w:line="212" w:lineRule="auto"/>
              <w:ind w:left="243"/>
            </w:pPr>
            <w:r>
              <w:rPr>
                <w:spacing w:val="-2"/>
              </w:rPr>
              <w:t>0.09</w:t>
            </w:r>
          </w:p>
        </w:tc>
        <w:tc>
          <w:tcPr>
            <w:tcW w:w="992" w:type="dxa"/>
            <w:vAlign w:val="top"/>
          </w:tcPr>
          <w:p w14:paraId="4328E6C4">
            <w:pPr>
              <w:pStyle w:val="6"/>
              <w:spacing w:before="77" w:line="212" w:lineRule="auto"/>
              <w:ind w:left="318"/>
            </w:pPr>
            <w:r>
              <w:rPr>
                <w:spacing w:val="-2"/>
              </w:rPr>
              <w:t>0.10</w:t>
            </w:r>
          </w:p>
        </w:tc>
        <w:tc>
          <w:tcPr>
            <w:tcW w:w="706" w:type="dxa"/>
            <w:vAlign w:val="top"/>
          </w:tcPr>
          <w:p w14:paraId="398C20A4">
            <w:pPr>
              <w:pStyle w:val="6"/>
              <w:spacing w:before="168" w:line="100" w:lineRule="exact"/>
              <w:ind w:left="292"/>
            </w:pPr>
            <w:r>
              <w:rPr>
                <w:spacing w:val="-3"/>
                <w:position w:val="-6"/>
              </w:rPr>
              <w:t>--</w:t>
            </w:r>
          </w:p>
        </w:tc>
        <w:tc>
          <w:tcPr>
            <w:tcW w:w="1838" w:type="dxa"/>
            <w:vAlign w:val="top"/>
          </w:tcPr>
          <w:p w14:paraId="22F1A660">
            <w:pPr>
              <w:pStyle w:val="6"/>
              <w:spacing w:before="168" w:line="100" w:lineRule="exact"/>
              <w:ind w:left="861"/>
            </w:pPr>
            <w:r>
              <w:rPr>
                <w:spacing w:val="-3"/>
                <w:position w:val="-6"/>
              </w:rPr>
              <w:t>--</w:t>
            </w:r>
          </w:p>
        </w:tc>
        <w:tc>
          <w:tcPr>
            <w:tcW w:w="1384" w:type="dxa"/>
            <w:tcBorders>
              <w:right w:val="single" w:color="000000" w:sz="12" w:space="0"/>
            </w:tcBorders>
            <w:vAlign w:val="top"/>
          </w:tcPr>
          <w:p w14:paraId="545D9E8A">
            <w:pPr>
              <w:pStyle w:val="6"/>
              <w:spacing w:before="77" w:line="212" w:lineRule="auto"/>
              <w:ind w:left="517"/>
            </w:pPr>
            <w:r>
              <w:rPr>
                <w:spacing w:val="-2"/>
              </w:rPr>
              <w:t>0.01</w:t>
            </w:r>
          </w:p>
        </w:tc>
      </w:tr>
      <w:tr w14:paraId="0744C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5" w:type="dxa"/>
            <w:vMerge w:val="continue"/>
            <w:tcBorders>
              <w:top w:val="nil"/>
              <w:left w:val="single" w:color="000000" w:sz="12" w:space="0"/>
              <w:bottom w:val="nil"/>
            </w:tcBorders>
            <w:vAlign w:val="top"/>
          </w:tcPr>
          <w:p w14:paraId="2BCDA15F">
            <w:pPr>
              <w:rPr>
                <w:rFonts w:ascii="Arial"/>
                <w:sz w:val="21"/>
              </w:rPr>
            </w:pPr>
          </w:p>
        </w:tc>
        <w:tc>
          <w:tcPr>
            <w:tcW w:w="329" w:type="dxa"/>
            <w:vMerge w:val="continue"/>
            <w:tcBorders>
              <w:top w:val="nil"/>
            </w:tcBorders>
            <w:vAlign w:val="top"/>
          </w:tcPr>
          <w:p w14:paraId="1A4A3E95">
            <w:pPr>
              <w:rPr>
                <w:rFonts w:ascii="Arial"/>
                <w:sz w:val="21"/>
              </w:rPr>
            </w:pPr>
          </w:p>
        </w:tc>
        <w:tc>
          <w:tcPr>
            <w:tcW w:w="1036" w:type="dxa"/>
            <w:vAlign w:val="top"/>
          </w:tcPr>
          <w:p w14:paraId="57C73E9B">
            <w:pPr>
              <w:pStyle w:val="6"/>
              <w:spacing w:before="78" w:line="210" w:lineRule="auto"/>
              <w:ind w:left="79"/>
            </w:pPr>
            <w:r>
              <w:rPr>
                <w:spacing w:val="-1"/>
              </w:rPr>
              <w:t>2021/3/20</w:t>
            </w:r>
          </w:p>
        </w:tc>
        <w:tc>
          <w:tcPr>
            <w:tcW w:w="848" w:type="dxa"/>
            <w:vAlign w:val="top"/>
          </w:tcPr>
          <w:p w14:paraId="1B65E9C9">
            <w:pPr>
              <w:pStyle w:val="6"/>
              <w:spacing w:before="78" w:line="210" w:lineRule="auto"/>
              <w:ind w:left="233"/>
            </w:pPr>
            <w:r>
              <w:rPr>
                <w:spacing w:val="-2"/>
              </w:rPr>
              <w:t>0.38</w:t>
            </w:r>
          </w:p>
        </w:tc>
        <w:tc>
          <w:tcPr>
            <w:tcW w:w="848" w:type="dxa"/>
            <w:vAlign w:val="top"/>
          </w:tcPr>
          <w:p w14:paraId="01291DCA">
            <w:pPr>
              <w:pStyle w:val="6"/>
              <w:spacing w:before="83" w:line="205" w:lineRule="auto"/>
              <w:ind w:left="234"/>
            </w:pPr>
            <w:r>
              <w:rPr>
                <w:b/>
                <w:bCs/>
                <w:spacing w:val="-2"/>
              </w:rPr>
              <w:t>4.45</w:t>
            </w:r>
          </w:p>
        </w:tc>
        <w:tc>
          <w:tcPr>
            <w:tcW w:w="990" w:type="dxa"/>
            <w:vAlign w:val="top"/>
          </w:tcPr>
          <w:p w14:paraId="009ADDFC">
            <w:pPr>
              <w:pStyle w:val="6"/>
              <w:spacing w:before="78" w:line="210" w:lineRule="auto"/>
              <w:ind w:left="308"/>
            </w:pPr>
            <w:r>
              <w:rPr>
                <w:spacing w:val="-2"/>
              </w:rPr>
              <w:t>0.42</w:t>
            </w:r>
          </w:p>
        </w:tc>
        <w:tc>
          <w:tcPr>
            <w:tcW w:w="990" w:type="dxa"/>
            <w:vAlign w:val="top"/>
          </w:tcPr>
          <w:p w14:paraId="562BF1BA">
            <w:pPr>
              <w:pStyle w:val="6"/>
              <w:spacing w:before="169" w:line="100" w:lineRule="exact"/>
              <w:ind w:left="425"/>
            </w:pPr>
            <w:r>
              <w:rPr>
                <w:spacing w:val="-3"/>
                <w:position w:val="-6"/>
              </w:rPr>
              <w:t>--</w:t>
            </w:r>
          </w:p>
        </w:tc>
        <w:tc>
          <w:tcPr>
            <w:tcW w:w="1132" w:type="dxa"/>
            <w:vAlign w:val="top"/>
          </w:tcPr>
          <w:p w14:paraId="6809F196">
            <w:pPr>
              <w:pStyle w:val="6"/>
              <w:spacing w:before="169" w:line="100" w:lineRule="exact"/>
              <w:ind w:left="497"/>
            </w:pPr>
            <w:r>
              <w:rPr>
                <w:spacing w:val="-3"/>
                <w:position w:val="-6"/>
              </w:rPr>
              <w:t>--</w:t>
            </w:r>
          </w:p>
        </w:tc>
        <w:tc>
          <w:tcPr>
            <w:tcW w:w="848" w:type="dxa"/>
            <w:vAlign w:val="top"/>
          </w:tcPr>
          <w:p w14:paraId="7C49B46E">
            <w:pPr>
              <w:pStyle w:val="6"/>
              <w:spacing w:before="78" w:line="210" w:lineRule="auto"/>
              <w:ind w:left="243"/>
            </w:pPr>
            <w:r>
              <w:rPr>
                <w:spacing w:val="-2"/>
              </w:rPr>
              <w:t>0.10</w:t>
            </w:r>
          </w:p>
        </w:tc>
        <w:tc>
          <w:tcPr>
            <w:tcW w:w="992" w:type="dxa"/>
            <w:vAlign w:val="top"/>
          </w:tcPr>
          <w:p w14:paraId="25495ECC">
            <w:pPr>
              <w:pStyle w:val="6"/>
              <w:spacing w:before="78" w:line="210" w:lineRule="auto"/>
              <w:ind w:left="318"/>
            </w:pPr>
            <w:r>
              <w:rPr>
                <w:spacing w:val="-2"/>
              </w:rPr>
              <w:t>0.15</w:t>
            </w:r>
          </w:p>
        </w:tc>
        <w:tc>
          <w:tcPr>
            <w:tcW w:w="706" w:type="dxa"/>
            <w:vAlign w:val="top"/>
          </w:tcPr>
          <w:p w14:paraId="627B5CEC">
            <w:pPr>
              <w:pStyle w:val="6"/>
              <w:spacing w:before="169" w:line="100" w:lineRule="exact"/>
              <w:ind w:left="292"/>
            </w:pPr>
            <w:r>
              <w:rPr>
                <w:spacing w:val="-3"/>
                <w:position w:val="-6"/>
              </w:rPr>
              <w:t>--</w:t>
            </w:r>
          </w:p>
        </w:tc>
        <w:tc>
          <w:tcPr>
            <w:tcW w:w="1838" w:type="dxa"/>
            <w:vAlign w:val="top"/>
          </w:tcPr>
          <w:p w14:paraId="23EA1626">
            <w:pPr>
              <w:pStyle w:val="6"/>
              <w:spacing w:before="169" w:line="100" w:lineRule="exact"/>
              <w:ind w:left="861"/>
            </w:pPr>
            <w:r>
              <w:rPr>
                <w:spacing w:val="-3"/>
                <w:position w:val="-6"/>
              </w:rPr>
              <w:t>--</w:t>
            </w:r>
          </w:p>
        </w:tc>
        <w:tc>
          <w:tcPr>
            <w:tcW w:w="1384" w:type="dxa"/>
            <w:tcBorders>
              <w:right w:val="single" w:color="000000" w:sz="12" w:space="0"/>
            </w:tcBorders>
            <w:vAlign w:val="top"/>
          </w:tcPr>
          <w:p w14:paraId="29CF94C8">
            <w:pPr>
              <w:pStyle w:val="6"/>
              <w:spacing w:before="78" w:line="210" w:lineRule="auto"/>
              <w:ind w:left="517"/>
            </w:pPr>
            <w:r>
              <w:rPr>
                <w:spacing w:val="-2"/>
              </w:rPr>
              <w:t>0.01</w:t>
            </w:r>
          </w:p>
        </w:tc>
      </w:tr>
      <w:tr w14:paraId="66C7E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69E7F6EF">
            <w:pPr>
              <w:rPr>
                <w:rFonts w:ascii="Arial"/>
                <w:sz w:val="21"/>
              </w:rPr>
            </w:pPr>
          </w:p>
        </w:tc>
        <w:tc>
          <w:tcPr>
            <w:tcW w:w="329" w:type="dxa"/>
            <w:vMerge w:val="restart"/>
            <w:tcBorders>
              <w:bottom w:val="nil"/>
            </w:tcBorders>
            <w:vAlign w:val="top"/>
          </w:tcPr>
          <w:p w14:paraId="4BDFCAA2">
            <w:pPr>
              <w:pStyle w:val="6"/>
              <w:spacing w:before="121" w:line="222" w:lineRule="auto"/>
              <w:ind w:left="97"/>
            </w:pPr>
            <w:r>
              <w:t>2</w:t>
            </w:r>
          </w:p>
          <w:p w14:paraId="7C8B7431">
            <w:pPr>
              <w:spacing w:line="219" w:lineRule="auto"/>
              <w:ind w:left="49"/>
              <w:rPr>
                <w:rFonts w:ascii="宋体" w:hAnsi="宋体" w:eastAsia="宋体" w:cs="宋体"/>
                <w:sz w:val="21"/>
                <w:szCs w:val="21"/>
              </w:rPr>
            </w:pPr>
            <w:r>
              <w:rPr>
                <w:rFonts w:ascii="宋体" w:hAnsi="宋体" w:eastAsia="宋体" w:cs="宋体"/>
                <w:sz w:val="21"/>
                <w:szCs w:val="21"/>
              </w:rPr>
              <w:t>季</w:t>
            </w:r>
          </w:p>
          <w:p w14:paraId="3F833593">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4A83AC71">
            <w:pPr>
              <w:pStyle w:val="6"/>
              <w:spacing w:before="80" w:line="210" w:lineRule="auto"/>
              <w:ind w:left="132"/>
            </w:pPr>
            <w:r>
              <w:rPr>
                <w:spacing w:val="-1"/>
              </w:rPr>
              <w:t>2021/6/3</w:t>
            </w:r>
          </w:p>
        </w:tc>
        <w:tc>
          <w:tcPr>
            <w:tcW w:w="848" w:type="dxa"/>
            <w:vAlign w:val="top"/>
          </w:tcPr>
          <w:p w14:paraId="755AE15F">
            <w:pPr>
              <w:pStyle w:val="6"/>
              <w:spacing w:before="80" w:line="210" w:lineRule="auto"/>
              <w:ind w:left="233"/>
            </w:pPr>
            <w:r>
              <w:rPr>
                <w:spacing w:val="-2"/>
              </w:rPr>
              <w:t>0.45</w:t>
            </w:r>
          </w:p>
        </w:tc>
        <w:tc>
          <w:tcPr>
            <w:tcW w:w="848" w:type="dxa"/>
            <w:vAlign w:val="top"/>
          </w:tcPr>
          <w:p w14:paraId="7B9C6A6A">
            <w:pPr>
              <w:pStyle w:val="6"/>
              <w:spacing w:before="80" w:line="210" w:lineRule="auto"/>
              <w:ind w:left="236"/>
            </w:pPr>
            <w:r>
              <w:rPr>
                <w:spacing w:val="-2"/>
              </w:rPr>
              <w:t>0.96</w:t>
            </w:r>
          </w:p>
        </w:tc>
        <w:tc>
          <w:tcPr>
            <w:tcW w:w="990" w:type="dxa"/>
            <w:vAlign w:val="top"/>
          </w:tcPr>
          <w:p w14:paraId="00469A79">
            <w:pPr>
              <w:pStyle w:val="6"/>
              <w:spacing w:before="80" w:line="210" w:lineRule="auto"/>
              <w:ind w:left="308"/>
            </w:pPr>
            <w:r>
              <w:rPr>
                <w:spacing w:val="-2"/>
              </w:rPr>
              <w:t>0.58</w:t>
            </w:r>
          </w:p>
        </w:tc>
        <w:tc>
          <w:tcPr>
            <w:tcW w:w="990" w:type="dxa"/>
            <w:vAlign w:val="top"/>
          </w:tcPr>
          <w:p w14:paraId="2CE9D613">
            <w:pPr>
              <w:pStyle w:val="6"/>
              <w:spacing w:before="80" w:line="210" w:lineRule="auto"/>
              <w:ind w:left="311"/>
            </w:pPr>
            <w:r>
              <w:rPr>
                <w:spacing w:val="-2"/>
              </w:rPr>
              <w:t>0.50</w:t>
            </w:r>
          </w:p>
        </w:tc>
        <w:tc>
          <w:tcPr>
            <w:tcW w:w="1132" w:type="dxa"/>
            <w:vAlign w:val="top"/>
          </w:tcPr>
          <w:p w14:paraId="590FF6E8">
            <w:pPr>
              <w:pStyle w:val="6"/>
              <w:spacing w:before="80" w:line="210" w:lineRule="auto"/>
              <w:ind w:left="383"/>
            </w:pPr>
            <w:r>
              <w:rPr>
                <w:spacing w:val="-2"/>
              </w:rPr>
              <w:t>0.48</w:t>
            </w:r>
          </w:p>
        </w:tc>
        <w:tc>
          <w:tcPr>
            <w:tcW w:w="848" w:type="dxa"/>
            <w:vAlign w:val="top"/>
          </w:tcPr>
          <w:p w14:paraId="356CB4AF">
            <w:pPr>
              <w:pStyle w:val="6"/>
              <w:spacing w:before="80" w:line="210" w:lineRule="auto"/>
              <w:ind w:left="243"/>
            </w:pPr>
            <w:r>
              <w:rPr>
                <w:spacing w:val="-2"/>
              </w:rPr>
              <w:t>0.33</w:t>
            </w:r>
          </w:p>
        </w:tc>
        <w:tc>
          <w:tcPr>
            <w:tcW w:w="992" w:type="dxa"/>
            <w:vAlign w:val="top"/>
          </w:tcPr>
          <w:p w14:paraId="03A112C3">
            <w:pPr>
              <w:pStyle w:val="6"/>
              <w:spacing w:before="80" w:line="210" w:lineRule="auto"/>
              <w:ind w:left="318"/>
            </w:pPr>
            <w:r>
              <w:rPr>
                <w:spacing w:val="-2"/>
              </w:rPr>
              <w:t>0.20</w:t>
            </w:r>
          </w:p>
        </w:tc>
        <w:tc>
          <w:tcPr>
            <w:tcW w:w="706" w:type="dxa"/>
            <w:vAlign w:val="top"/>
          </w:tcPr>
          <w:p w14:paraId="2E410A19">
            <w:pPr>
              <w:pStyle w:val="6"/>
              <w:spacing w:before="80" w:line="210" w:lineRule="auto"/>
              <w:ind w:left="177"/>
            </w:pPr>
            <w:r>
              <w:rPr>
                <w:spacing w:val="-2"/>
              </w:rPr>
              <w:t>0.20</w:t>
            </w:r>
          </w:p>
        </w:tc>
        <w:tc>
          <w:tcPr>
            <w:tcW w:w="1838" w:type="dxa"/>
            <w:vAlign w:val="top"/>
          </w:tcPr>
          <w:p w14:paraId="1621EFFC">
            <w:pPr>
              <w:pStyle w:val="6"/>
              <w:spacing w:before="171" w:line="100" w:lineRule="exact"/>
              <w:ind w:left="861"/>
            </w:pPr>
            <w:r>
              <w:rPr>
                <w:spacing w:val="-3"/>
                <w:position w:val="-6"/>
              </w:rPr>
              <w:t>--</w:t>
            </w:r>
          </w:p>
        </w:tc>
        <w:tc>
          <w:tcPr>
            <w:tcW w:w="1384" w:type="dxa"/>
            <w:tcBorders>
              <w:right w:val="single" w:color="000000" w:sz="12" w:space="0"/>
            </w:tcBorders>
            <w:vAlign w:val="top"/>
          </w:tcPr>
          <w:p w14:paraId="375FCF88">
            <w:pPr>
              <w:pStyle w:val="6"/>
              <w:spacing w:before="80" w:line="210" w:lineRule="auto"/>
              <w:ind w:left="517"/>
            </w:pPr>
            <w:r>
              <w:rPr>
                <w:spacing w:val="-2"/>
              </w:rPr>
              <w:t>0.03</w:t>
            </w:r>
          </w:p>
        </w:tc>
      </w:tr>
      <w:tr w14:paraId="660ED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18EC4F3D">
            <w:pPr>
              <w:rPr>
                <w:rFonts w:ascii="Arial"/>
                <w:sz w:val="21"/>
              </w:rPr>
            </w:pPr>
          </w:p>
        </w:tc>
        <w:tc>
          <w:tcPr>
            <w:tcW w:w="329" w:type="dxa"/>
            <w:vMerge w:val="continue"/>
            <w:tcBorders>
              <w:top w:val="nil"/>
              <w:bottom w:val="nil"/>
            </w:tcBorders>
            <w:vAlign w:val="top"/>
          </w:tcPr>
          <w:p w14:paraId="2BEA8BD0">
            <w:pPr>
              <w:rPr>
                <w:rFonts w:ascii="Arial"/>
                <w:sz w:val="21"/>
              </w:rPr>
            </w:pPr>
          </w:p>
        </w:tc>
        <w:tc>
          <w:tcPr>
            <w:tcW w:w="1036" w:type="dxa"/>
            <w:vAlign w:val="top"/>
          </w:tcPr>
          <w:p w14:paraId="41890085">
            <w:pPr>
              <w:pStyle w:val="6"/>
              <w:spacing w:before="81" w:line="208" w:lineRule="auto"/>
              <w:ind w:left="132"/>
            </w:pPr>
            <w:r>
              <w:rPr>
                <w:spacing w:val="-1"/>
              </w:rPr>
              <w:t>2021/6/4</w:t>
            </w:r>
          </w:p>
        </w:tc>
        <w:tc>
          <w:tcPr>
            <w:tcW w:w="848" w:type="dxa"/>
            <w:vAlign w:val="top"/>
          </w:tcPr>
          <w:p w14:paraId="44052274">
            <w:pPr>
              <w:pStyle w:val="6"/>
              <w:spacing w:before="81" w:line="208" w:lineRule="auto"/>
              <w:ind w:left="233"/>
            </w:pPr>
            <w:r>
              <w:rPr>
                <w:spacing w:val="-2"/>
              </w:rPr>
              <w:t>0.50</w:t>
            </w:r>
          </w:p>
        </w:tc>
        <w:tc>
          <w:tcPr>
            <w:tcW w:w="848" w:type="dxa"/>
            <w:vAlign w:val="top"/>
          </w:tcPr>
          <w:p w14:paraId="107E1D2B">
            <w:pPr>
              <w:pStyle w:val="6"/>
              <w:spacing w:before="81" w:line="208" w:lineRule="auto"/>
              <w:ind w:left="236"/>
            </w:pPr>
            <w:r>
              <w:rPr>
                <w:spacing w:val="-2"/>
              </w:rPr>
              <w:t>0.86</w:t>
            </w:r>
          </w:p>
        </w:tc>
        <w:tc>
          <w:tcPr>
            <w:tcW w:w="990" w:type="dxa"/>
            <w:vAlign w:val="top"/>
          </w:tcPr>
          <w:p w14:paraId="0848196F">
            <w:pPr>
              <w:pStyle w:val="6"/>
              <w:spacing w:before="81" w:line="208" w:lineRule="auto"/>
              <w:ind w:left="308"/>
            </w:pPr>
            <w:r>
              <w:rPr>
                <w:spacing w:val="-2"/>
              </w:rPr>
              <w:t>0.60</w:t>
            </w:r>
          </w:p>
        </w:tc>
        <w:tc>
          <w:tcPr>
            <w:tcW w:w="990" w:type="dxa"/>
            <w:vAlign w:val="top"/>
          </w:tcPr>
          <w:p w14:paraId="7219C495">
            <w:pPr>
              <w:pStyle w:val="6"/>
              <w:spacing w:before="81" w:line="208" w:lineRule="auto"/>
              <w:ind w:left="311"/>
            </w:pPr>
            <w:r>
              <w:rPr>
                <w:spacing w:val="-2"/>
              </w:rPr>
              <w:t>0.45</w:t>
            </w:r>
          </w:p>
        </w:tc>
        <w:tc>
          <w:tcPr>
            <w:tcW w:w="1132" w:type="dxa"/>
            <w:vAlign w:val="top"/>
          </w:tcPr>
          <w:p w14:paraId="1CEAD5F0">
            <w:pPr>
              <w:pStyle w:val="6"/>
              <w:spacing w:before="81" w:line="208" w:lineRule="auto"/>
              <w:ind w:left="383"/>
            </w:pPr>
            <w:r>
              <w:rPr>
                <w:spacing w:val="-2"/>
              </w:rPr>
              <w:t>0.43</w:t>
            </w:r>
          </w:p>
        </w:tc>
        <w:tc>
          <w:tcPr>
            <w:tcW w:w="848" w:type="dxa"/>
            <w:vAlign w:val="top"/>
          </w:tcPr>
          <w:p w14:paraId="2423D9D9">
            <w:pPr>
              <w:pStyle w:val="6"/>
              <w:spacing w:before="81" w:line="208" w:lineRule="auto"/>
              <w:ind w:left="243"/>
            </w:pPr>
            <w:r>
              <w:rPr>
                <w:spacing w:val="-2"/>
              </w:rPr>
              <w:t>0.32</w:t>
            </w:r>
          </w:p>
        </w:tc>
        <w:tc>
          <w:tcPr>
            <w:tcW w:w="992" w:type="dxa"/>
            <w:vAlign w:val="top"/>
          </w:tcPr>
          <w:p w14:paraId="29E59BCC">
            <w:pPr>
              <w:pStyle w:val="6"/>
              <w:spacing w:before="81" w:line="208" w:lineRule="auto"/>
              <w:ind w:left="318"/>
            </w:pPr>
            <w:r>
              <w:rPr>
                <w:spacing w:val="-2"/>
              </w:rPr>
              <w:t>0.25</w:t>
            </w:r>
          </w:p>
        </w:tc>
        <w:tc>
          <w:tcPr>
            <w:tcW w:w="706" w:type="dxa"/>
            <w:vAlign w:val="top"/>
          </w:tcPr>
          <w:p w14:paraId="1A17E18C">
            <w:pPr>
              <w:pStyle w:val="6"/>
              <w:spacing w:before="81" w:line="208" w:lineRule="auto"/>
              <w:ind w:left="177"/>
            </w:pPr>
            <w:r>
              <w:rPr>
                <w:spacing w:val="-2"/>
              </w:rPr>
              <w:t>0.40</w:t>
            </w:r>
          </w:p>
        </w:tc>
        <w:tc>
          <w:tcPr>
            <w:tcW w:w="1838" w:type="dxa"/>
            <w:vAlign w:val="top"/>
          </w:tcPr>
          <w:p w14:paraId="2CCDBBE9">
            <w:pPr>
              <w:pStyle w:val="6"/>
              <w:spacing w:before="172" w:line="100" w:lineRule="exact"/>
              <w:ind w:left="861"/>
            </w:pPr>
            <w:r>
              <w:rPr>
                <w:spacing w:val="-3"/>
                <w:position w:val="-6"/>
              </w:rPr>
              <w:t>--</w:t>
            </w:r>
          </w:p>
        </w:tc>
        <w:tc>
          <w:tcPr>
            <w:tcW w:w="1384" w:type="dxa"/>
            <w:tcBorders>
              <w:right w:val="single" w:color="000000" w:sz="12" w:space="0"/>
            </w:tcBorders>
            <w:vAlign w:val="top"/>
          </w:tcPr>
          <w:p w14:paraId="78EA0AD0">
            <w:pPr>
              <w:pStyle w:val="6"/>
              <w:spacing w:before="81" w:line="208" w:lineRule="auto"/>
              <w:ind w:left="517"/>
            </w:pPr>
            <w:r>
              <w:rPr>
                <w:spacing w:val="-2"/>
              </w:rPr>
              <w:t>0.03</w:t>
            </w:r>
          </w:p>
        </w:tc>
      </w:tr>
      <w:tr w14:paraId="32828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12C2744A">
            <w:pPr>
              <w:rPr>
                <w:rFonts w:ascii="Arial"/>
                <w:sz w:val="21"/>
              </w:rPr>
            </w:pPr>
          </w:p>
        </w:tc>
        <w:tc>
          <w:tcPr>
            <w:tcW w:w="329" w:type="dxa"/>
            <w:vMerge w:val="continue"/>
            <w:tcBorders>
              <w:top w:val="nil"/>
            </w:tcBorders>
            <w:vAlign w:val="top"/>
          </w:tcPr>
          <w:p w14:paraId="14CF4826">
            <w:pPr>
              <w:rPr>
                <w:rFonts w:ascii="Arial"/>
                <w:sz w:val="21"/>
              </w:rPr>
            </w:pPr>
          </w:p>
        </w:tc>
        <w:tc>
          <w:tcPr>
            <w:tcW w:w="1036" w:type="dxa"/>
            <w:vAlign w:val="top"/>
          </w:tcPr>
          <w:p w14:paraId="09AFA68B">
            <w:pPr>
              <w:pStyle w:val="6"/>
              <w:spacing w:before="82" w:line="208" w:lineRule="auto"/>
              <w:ind w:left="132"/>
            </w:pPr>
            <w:r>
              <w:rPr>
                <w:spacing w:val="-1"/>
              </w:rPr>
              <w:t>2021/6/5</w:t>
            </w:r>
          </w:p>
        </w:tc>
        <w:tc>
          <w:tcPr>
            <w:tcW w:w="848" w:type="dxa"/>
            <w:vAlign w:val="top"/>
          </w:tcPr>
          <w:p w14:paraId="1469A1FC">
            <w:pPr>
              <w:pStyle w:val="6"/>
              <w:spacing w:before="82" w:line="208" w:lineRule="auto"/>
              <w:ind w:left="233"/>
            </w:pPr>
            <w:r>
              <w:rPr>
                <w:spacing w:val="-2"/>
              </w:rPr>
              <w:t>0.40</w:t>
            </w:r>
          </w:p>
        </w:tc>
        <w:tc>
          <w:tcPr>
            <w:tcW w:w="848" w:type="dxa"/>
            <w:vAlign w:val="top"/>
          </w:tcPr>
          <w:p w14:paraId="2BFF78C1">
            <w:pPr>
              <w:pStyle w:val="6"/>
              <w:spacing w:before="82" w:line="208" w:lineRule="auto"/>
              <w:ind w:left="236"/>
            </w:pPr>
            <w:r>
              <w:rPr>
                <w:spacing w:val="-2"/>
              </w:rPr>
              <w:t>0.92</w:t>
            </w:r>
          </w:p>
        </w:tc>
        <w:tc>
          <w:tcPr>
            <w:tcW w:w="990" w:type="dxa"/>
            <w:vAlign w:val="top"/>
          </w:tcPr>
          <w:p w14:paraId="638ED2FD">
            <w:pPr>
              <w:pStyle w:val="6"/>
              <w:spacing w:before="82" w:line="208" w:lineRule="auto"/>
              <w:ind w:left="308"/>
            </w:pPr>
            <w:r>
              <w:rPr>
                <w:spacing w:val="-2"/>
              </w:rPr>
              <w:t>0.57</w:t>
            </w:r>
          </w:p>
        </w:tc>
        <w:tc>
          <w:tcPr>
            <w:tcW w:w="990" w:type="dxa"/>
            <w:vAlign w:val="top"/>
          </w:tcPr>
          <w:p w14:paraId="74398AE4">
            <w:pPr>
              <w:pStyle w:val="6"/>
              <w:spacing w:before="82" w:line="208" w:lineRule="auto"/>
              <w:ind w:left="311"/>
            </w:pPr>
            <w:r>
              <w:rPr>
                <w:spacing w:val="-2"/>
              </w:rPr>
              <w:t>0.55</w:t>
            </w:r>
          </w:p>
        </w:tc>
        <w:tc>
          <w:tcPr>
            <w:tcW w:w="1132" w:type="dxa"/>
            <w:vAlign w:val="top"/>
          </w:tcPr>
          <w:p w14:paraId="171B6AA9">
            <w:pPr>
              <w:pStyle w:val="6"/>
              <w:spacing w:before="82" w:line="208" w:lineRule="auto"/>
              <w:ind w:left="383"/>
            </w:pPr>
            <w:r>
              <w:rPr>
                <w:spacing w:val="-2"/>
              </w:rPr>
              <w:t>0.50</w:t>
            </w:r>
          </w:p>
        </w:tc>
        <w:tc>
          <w:tcPr>
            <w:tcW w:w="848" w:type="dxa"/>
            <w:vAlign w:val="top"/>
          </w:tcPr>
          <w:p w14:paraId="42ADFD96">
            <w:pPr>
              <w:pStyle w:val="6"/>
              <w:spacing w:before="82" w:line="208" w:lineRule="auto"/>
              <w:ind w:left="243"/>
            </w:pPr>
            <w:r>
              <w:rPr>
                <w:spacing w:val="-2"/>
              </w:rPr>
              <w:t>0.34</w:t>
            </w:r>
          </w:p>
        </w:tc>
        <w:tc>
          <w:tcPr>
            <w:tcW w:w="992" w:type="dxa"/>
            <w:vAlign w:val="top"/>
          </w:tcPr>
          <w:p w14:paraId="5421D6B1">
            <w:pPr>
              <w:pStyle w:val="6"/>
              <w:spacing w:before="82" w:line="208" w:lineRule="auto"/>
              <w:ind w:left="318"/>
            </w:pPr>
            <w:r>
              <w:rPr>
                <w:spacing w:val="-2"/>
              </w:rPr>
              <w:t>0.20</w:t>
            </w:r>
          </w:p>
        </w:tc>
        <w:tc>
          <w:tcPr>
            <w:tcW w:w="706" w:type="dxa"/>
            <w:vAlign w:val="top"/>
          </w:tcPr>
          <w:p w14:paraId="3CBBE891">
            <w:pPr>
              <w:pStyle w:val="6"/>
              <w:spacing w:before="82" w:line="208" w:lineRule="auto"/>
              <w:ind w:left="177"/>
            </w:pPr>
            <w:r>
              <w:rPr>
                <w:spacing w:val="-2"/>
              </w:rPr>
              <w:t>0.40</w:t>
            </w:r>
          </w:p>
        </w:tc>
        <w:tc>
          <w:tcPr>
            <w:tcW w:w="1838" w:type="dxa"/>
            <w:vAlign w:val="top"/>
          </w:tcPr>
          <w:p w14:paraId="41540196">
            <w:pPr>
              <w:pStyle w:val="6"/>
              <w:spacing w:before="173" w:line="100" w:lineRule="exact"/>
              <w:ind w:left="861"/>
            </w:pPr>
            <w:r>
              <w:rPr>
                <w:spacing w:val="-3"/>
                <w:position w:val="-6"/>
              </w:rPr>
              <w:t>--</w:t>
            </w:r>
          </w:p>
        </w:tc>
        <w:tc>
          <w:tcPr>
            <w:tcW w:w="1384" w:type="dxa"/>
            <w:tcBorders>
              <w:right w:val="single" w:color="000000" w:sz="12" w:space="0"/>
            </w:tcBorders>
            <w:vAlign w:val="top"/>
          </w:tcPr>
          <w:p w14:paraId="4488CC69">
            <w:pPr>
              <w:pStyle w:val="6"/>
              <w:spacing w:before="82" w:line="208" w:lineRule="auto"/>
              <w:ind w:left="517"/>
            </w:pPr>
            <w:r>
              <w:rPr>
                <w:spacing w:val="-2"/>
              </w:rPr>
              <w:t>0.03</w:t>
            </w:r>
          </w:p>
        </w:tc>
      </w:tr>
      <w:tr w14:paraId="14CAC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2DD5925F">
            <w:pPr>
              <w:rPr>
                <w:rFonts w:ascii="Arial"/>
                <w:sz w:val="21"/>
              </w:rPr>
            </w:pPr>
          </w:p>
        </w:tc>
        <w:tc>
          <w:tcPr>
            <w:tcW w:w="329" w:type="dxa"/>
            <w:vMerge w:val="restart"/>
            <w:tcBorders>
              <w:bottom w:val="nil"/>
            </w:tcBorders>
            <w:vAlign w:val="top"/>
          </w:tcPr>
          <w:p w14:paraId="54260262">
            <w:pPr>
              <w:pStyle w:val="6"/>
              <w:spacing w:before="123" w:line="222" w:lineRule="auto"/>
              <w:ind w:left="102"/>
            </w:pPr>
            <w:r>
              <w:t>3</w:t>
            </w:r>
          </w:p>
          <w:p w14:paraId="1541E7BD">
            <w:pPr>
              <w:spacing w:line="219" w:lineRule="auto"/>
              <w:ind w:left="49"/>
              <w:rPr>
                <w:rFonts w:ascii="宋体" w:hAnsi="宋体" w:eastAsia="宋体" w:cs="宋体"/>
                <w:sz w:val="21"/>
                <w:szCs w:val="21"/>
              </w:rPr>
            </w:pPr>
            <w:r>
              <w:rPr>
                <w:rFonts w:ascii="宋体" w:hAnsi="宋体" w:eastAsia="宋体" w:cs="宋体"/>
                <w:sz w:val="21"/>
                <w:szCs w:val="21"/>
              </w:rPr>
              <w:t>季</w:t>
            </w:r>
          </w:p>
          <w:p w14:paraId="00E3B0CA">
            <w:pPr>
              <w:spacing w:before="23"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21458A2F">
            <w:pPr>
              <w:pStyle w:val="6"/>
              <w:spacing w:before="82" w:line="207" w:lineRule="auto"/>
              <w:ind w:left="79"/>
            </w:pPr>
            <w:r>
              <w:rPr>
                <w:spacing w:val="-1"/>
              </w:rPr>
              <w:t>2021/7/19</w:t>
            </w:r>
          </w:p>
        </w:tc>
        <w:tc>
          <w:tcPr>
            <w:tcW w:w="848" w:type="dxa"/>
            <w:vAlign w:val="top"/>
          </w:tcPr>
          <w:p w14:paraId="3B08041D">
            <w:pPr>
              <w:pStyle w:val="6"/>
              <w:spacing w:before="82" w:line="207" w:lineRule="auto"/>
              <w:ind w:left="233"/>
            </w:pPr>
            <w:r>
              <w:rPr>
                <w:spacing w:val="-2"/>
              </w:rPr>
              <w:t>0.45</w:t>
            </w:r>
          </w:p>
        </w:tc>
        <w:tc>
          <w:tcPr>
            <w:tcW w:w="848" w:type="dxa"/>
            <w:vAlign w:val="top"/>
          </w:tcPr>
          <w:p w14:paraId="30B6C176">
            <w:pPr>
              <w:pStyle w:val="6"/>
              <w:spacing w:before="82" w:line="207" w:lineRule="auto"/>
              <w:ind w:left="236"/>
            </w:pPr>
            <w:r>
              <w:rPr>
                <w:spacing w:val="-2"/>
              </w:rPr>
              <w:t>0.60</w:t>
            </w:r>
          </w:p>
        </w:tc>
        <w:tc>
          <w:tcPr>
            <w:tcW w:w="990" w:type="dxa"/>
            <w:vAlign w:val="top"/>
          </w:tcPr>
          <w:p w14:paraId="5C689149">
            <w:pPr>
              <w:pStyle w:val="6"/>
              <w:spacing w:before="82" w:line="207" w:lineRule="auto"/>
              <w:ind w:left="308"/>
            </w:pPr>
            <w:r>
              <w:rPr>
                <w:spacing w:val="-2"/>
              </w:rPr>
              <w:t>0.70</w:t>
            </w:r>
          </w:p>
        </w:tc>
        <w:tc>
          <w:tcPr>
            <w:tcW w:w="990" w:type="dxa"/>
            <w:vAlign w:val="top"/>
          </w:tcPr>
          <w:p w14:paraId="6FFC03AA">
            <w:pPr>
              <w:pStyle w:val="6"/>
              <w:spacing w:before="82" w:line="207" w:lineRule="auto"/>
              <w:ind w:left="311"/>
            </w:pPr>
            <w:r>
              <w:rPr>
                <w:spacing w:val="-2"/>
              </w:rPr>
              <w:t>0.35</w:t>
            </w:r>
          </w:p>
        </w:tc>
        <w:tc>
          <w:tcPr>
            <w:tcW w:w="1132" w:type="dxa"/>
            <w:vAlign w:val="top"/>
          </w:tcPr>
          <w:p w14:paraId="1F9A1C25">
            <w:pPr>
              <w:pStyle w:val="6"/>
              <w:spacing w:before="82" w:line="207" w:lineRule="auto"/>
              <w:ind w:left="383"/>
            </w:pPr>
            <w:r>
              <w:rPr>
                <w:spacing w:val="-2"/>
              </w:rPr>
              <w:t>0.35</w:t>
            </w:r>
          </w:p>
        </w:tc>
        <w:tc>
          <w:tcPr>
            <w:tcW w:w="848" w:type="dxa"/>
            <w:vAlign w:val="top"/>
          </w:tcPr>
          <w:p w14:paraId="096D7702">
            <w:pPr>
              <w:pStyle w:val="6"/>
              <w:spacing w:before="82" w:line="207" w:lineRule="auto"/>
              <w:ind w:left="243"/>
            </w:pPr>
            <w:r>
              <w:rPr>
                <w:spacing w:val="-2"/>
              </w:rPr>
              <w:t>0.22</w:t>
            </w:r>
          </w:p>
        </w:tc>
        <w:tc>
          <w:tcPr>
            <w:tcW w:w="992" w:type="dxa"/>
            <w:vAlign w:val="top"/>
          </w:tcPr>
          <w:p w14:paraId="49C29D57">
            <w:pPr>
              <w:pStyle w:val="6"/>
              <w:spacing w:before="82" w:line="207" w:lineRule="auto"/>
              <w:ind w:left="318"/>
            </w:pPr>
            <w:r>
              <w:rPr>
                <w:spacing w:val="-2"/>
              </w:rPr>
              <w:t>0.30</w:t>
            </w:r>
          </w:p>
        </w:tc>
        <w:tc>
          <w:tcPr>
            <w:tcW w:w="706" w:type="dxa"/>
            <w:vAlign w:val="top"/>
          </w:tcPr>
          <w:p w14:paraId="505CDCF4">
            <w:pPr>
              <w:pStyle w:val="6"/>
              <w:spacing w:before="82" w:line="207" w:lineRule="auto"/>
              <w:ind w:left="177"/>
            </w:pPr>
            <w:r>
              <w:rPr>
                <w:spacing w:val="-2"/>
              </w:rPr>
              <w:t>0.40</w:t>
            </w:r>
          </w:p>
        </w:tc>
        <w:tc>
          <w:tcPr>
            <w:tcW w:w="1838" w:type="dxa"/>
            <w:vAlign w:val="top"/>
          </w:tcPr>
          <w:p w14:paraId="19605AFE">
            <w:pPr>
              <w:pStyle w:val="6"/>
              <w:spacing w:before="82" w:line="207" w:lineRule="auto"/>
              <w:ind w:left="747"/>
            </w:pPr>
            <w:r>
              <w:rPr>
                <w:spacing w:val="-2"/>
              </w:rPr>
              <w:t>0.34</w:t>
            </w:r>
          </w:p>
        </w:tc>
        <w:tc>
          <w:tcPr>
            <w:tcW w:w="1384" w:type="dxa"/>
            <w:tcBorders>
              <w:right w:val="single" w:color="000000" w:sz="12" w:space="0"/>
            </w:tcBorders>
            <w:vAlign w:val="top"/>
          </w:tcPr>
          <w:p w14:paraId="74A1F6AC">
            <w:pPr>
              <w:pStyle w:val="6"/>
              <w:spacing w:before="82" w:line="207" w:lineRule="auto"/>
              <w:ind w:left="517"/>
            </w:pPr>
            <w:r>
              <w:rPr>
                <w:spacing w:val="-2"/>
              </w:rPr>
              <w:t>0.14</w:t>
            </w:r>
          </w:p>
        </w:tc>
      </w:tr>
      <w:tr w14:paraId="6403F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55505BF">
            <w:pPr>
              <w:rPr>
                <w:rFonts w:ascii="Arial"/>
                <w:sz w:val="21"/>
              </w:rPr>
            </w:pPr>
          </w:p>
        </w:tc>
        <w:tc>
          <w:tcPr>
            <w:tcW w:w="329" w:type="dxa"/>
            <w:vMerge w:val="continue"/>
            <w:tcBorders>
              <w:top w:val="nil"/>
              <w:bottom w:val="nil"/>
            </w:tcBorders>
            <w:vAlign w:val="top"/>
          </w:tcPr>
          <w:p w14:paraId="5D682B11">
            <w:pPr>
              <w:rPr>
                <w:rFonts w:ascii="Arial"/>
                <w:sz w:val="21"/>
              </w:rPr>
            </w:pPr>
          </w:p>
        </w:tc>
        <w:tc>
          <w:tcPr>
            <w:tcW w:w="1036" w:type="dxa"/>
            <w:vAlign w:val="top"/>
          </w:tcPr>
          <w:p w14:paraId="271C119C">
            <w:pPr>
              <w:pStyle w:val="6"/>
              <w:spacing w:before="85" w:line="204" w:lineRule="auto"/>
              <w:ind w:left="79"/>
            </w:pPr>
            <w:r>
              <w:rPr>
                <w:spacing w:val="-1"/>
              </w:rPr>
              <w:t>2021/7/20</w:t>
            </w:r>
          </w:p>
        </w:tc>
        <w:tc>
          <w:tcPr>
            <w:tcW w:w="848" w:type="dxa"/>
            <w:vAlign w:val="top"/>
          </w:tcPr>
          <w:p w14:paraId="54149626">
            <w:pPr>
              <w:pStyle w:val="6"/>
              <w:spacing w:before="85" w:line="204" w:lineRule="auto"/>
              <w:ind w:left="233"/>
            </w:pPr>
            <w:r>
              <w:rPr>
                <w:spacing w:val="-2"/>
              </w:rPr>
              <w:t>0.50</w:t>
            </w:r>
          </w:p>
        </w:tc>
        <w:tc>
          <w:tcPr>
            <w:tcW w:w="848" w:type="dxa"/>
            <w:vAlign w:val="top"/>
          </w:tcPr>
          <w:p w14:paraId="7BAC4CDF">
            <w:pPr>
              <w:pStyle w:val="6"/>
              <w:spacing w:before="85" w:line="204" w:lineRule="auto"/>
              <w:ind w:left="236"/>
            </w:pPr>
            <w:r>
              <w:rPr>
                <w:spacing w:val="-2"/>
              </w:rPr>
              <w:t>0.56</w:t>
            </w:r>
          </w:p>
        </w:tc>
        <w:tc>
          <w:tcPr>
            <w:tcW w:w="990" w:type="dxa"/>
            <w:vAlign w:val="top"/>
          </w:tcPr>
          <w:p w14:paraId="5F8BF8E2">
            <w:pPr>
              <w:pStyle w:val="6"/>
              <w:spacing w:before="85" w:line="204" w:lineRule="auto"/>
              <w:ind w:left="308"/>
            </w:pPr>
            <w:r>
              <w:rPr>
                <w:spacing w:val="-2"/>
              </w:rPr>
              <w:t>0.72</w:t>
            </w:r>
          </w:p>
        </w:tc>
        <w:tc>
          <w:tcPr>
            <w:tcW w:w="990" w:type="dxa"/>
            <w:vAlign w:val="top"/>
          </w:tcPr>
          <w:p w14:paraId="5EF0E1B3">
            <w:pPr>
              <w:pStyle w:val="6"/>
              <w:spacing w:before="85" w:line="204" w:lineRule="auto"/>
              <w:ind w:left="311"/>
            </w:pPr>
            <w:r>
              <w:rPr>
                <w:spacing w:val="-2"/>
              </w:rPr>
              <w:t>0.30</w:t>
            </w:r>
          </w:p>
        </w:tc>
        <w:tc>
          <w:tcPr>
            <w:tcW w:w="1132" w:type="dxa"/>
            <w:vAlign w:val="top"/>
          </w:tcPr>
          <w:p w14:paraId="5129DB07">
            <w:pPr>
              <w:pStyle w:val="6"/>
              <w:spacing w:before="85" w:line="204" w:lineRule="auto"/>
              <w:ind w:left="383"/>
            </w:pPr>
            <w:r>
              <w:rPr>
                <w:spacing w:val="-2"/>
              </w:rPr>
              <w:t>0.30</w:t>
            </w:r>
          </w:p>
        </w:tc>
        <w:tc>
          <w:tcPr>
            <w:tcW w:w="848" w:type="dxa"/>
            <w:vAlign w:val="top"/>
          </w:tcPr>
          <w:p w14:paraId="335D82B6">
            <w:pPr>
              <w:pStyle w:val="6"/>
              <w:spacing w:before="85" w:line="204" w:lineRule="auto"/>
              <w:ind w:left="243"/>
            </w:pPr>
            <w:r>
              <w:rPr>
                <w:spacing w:val="-2"/>
              </w:rPr>
              <w:t>0.22</w:t>
            </w:r>
          </w:p>
        </w:tc>
        <w:tc>
          <w:tcPr>
            <w:tcW w:w="992" w:type="dxa"/>
            <w:vAlign w:val="top"/>
          </w:tcPr>
          <w:p w14:paraId="40E2BE80">
            <w:pPr>
              <w:pStyle w:val="6"/>
              <w:spacing w:before="85" w:line="204" w:lineRule="auto"/>
              <w:ind w:left="318"/>
            </w:pPr>
            <w:r>
              <w:rPr>
                <w:spacing w:val="-2"/>
              </w:rPr>
              <w:t>0.35</w:t>
            </w:r>
          </w:p>
        </w:tc>
        <w:tc>
          <w:tcPr>
            <w:tcW w:w="706" w:type="dxa"/>
            <w:vAlign w:val="top"/>
          </w:tcPr>
          <w:p w14:paraId="45548926">
            <w:pPr>
              <w:pStyle w:val="6"/>
              <w:spacing w:before="85" w:line="204" w:lineRule="auto"/>
              <w:ind w:left="177"/>
            </w:pPr>
            <w:r>
              <w:rPr>
                <w:spacing w:val="-2"/>
              </w:rPr>
              <w:t>0.40</w:t>
            </w:r>
          </w:p>
        </w:tc>
        <w:tc>
          <w:tcPr>
            <w:tcW w:w="1838" w:type="dxa"/>
            <w:vAlign w:val="top"/>
          </w:tcPr>
          <w:p w14:paraId="7637F12D">
            <w:pPr>
              <w:pStyle w:val="6"/>
              <w:spacing w:before="85" w:line="204" w:lineRule="auto"/>
              <w:ind w:left="747"/>
            </w:pPr>
            <w:r>
              <w:rPr>
                <w:spacing w:val="-2"/>
              </w:rPr>
              <w:t>0.36</w:t>
            </w:r>
          </w:p>
        </w:tc>
        <w:tc>
          <w:tcPr>
            <w:tcW w:w="1384" w:type="dxa"/>
            <w:tcBorders>
              <w:right w:val="single" w:color="000000" w:sz="12" w:space="0"/>
            </w:tcBorders>
            <w:vAlign w:val="top"/>
          </w:tcPr>
          <w:p w14:paraId="07111C96">
            <w:pPr>
              <w:pStyle w:val="6"/>
              <w:spacing w:before="85" w:line="204" w:lineRule="auto"/>
              <w:ind w:left="517"/>
            </w:pPr>
            <w:r>
              <w:rPr>
                <w:spacing w:val="-2"/>
              </w:rPr>
              <w:t>0.12</w:t>
            </w:r>
          </w:p>
        </w:tc>
      </w:tr>
      <w:tr w14:paraId="0A498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13FB9DC">
            <w:pPr>
              <w:rPr>
                <w:rFonts w:ascii="Arial"/>
                <w:sz w:val="21"/>
              </w:rPr>
            </w:pPr>
          </w:p>
        </w:tc>
        <w:tc>
          <w:tcPr>
            <w:tcW w:w="329" w:type="dxa"/>
            <w:vMerge w:val="continue"/>
            <w:tcBorders>
              <w:top w:val="nil"/>
            </w:tcBorders>
            <w:vAlign w:val="top"/>
          </w:tcPr>
          <w:p w14:paraId="319498B2">
            <w:pPr>
              <w:rPr>
                <w:rFonts w:ascii="Arial"/>
                <w:sz w:val="21"/>
              </w:rPr>
            </w:pPr>
          </w:p>
        </w:tc>
        <w:tc>
          <w:tcPr>
            <w:tcW w:w="1036" w:type="dxa"/>
            <w:vAlign w:val="top"/>
          </w:tcPr>
          <w:p w14:paraId="231DB869">
            <w:pPr>
              <w:pStyle w:val="6"/>
              <w:spacing w:before="86" w:line="204" w:lineRule="auto"/>
              <w:ind w:left="79"/>
            </w:pPr>
            <w:r>
              <w:rPr>
                <w:spacing w:val="-1"/>
              </w:rPr>
              <w:t>2021/7/21</w:t>
            </w:r>
          </w:p>
        </w:tc>
        <w:tc>
          <w:tcPr>
            <w:tcW w:w="848" w:type="dxa"/>
            <w:vAlign w:val="top"/>
          </w:tcPr>
          <w:p w14:paraId="7D886600">
            <w:pPr>
              <w:pStyle w:val="6"/>
              <w:spacing w:before="86" w:line="204" w:lineRule="auto"/>
              <w:ind w:left="233"/>
            </w:pPr>
            <w:r>
              <w:rPr>
                <w:spacing w:val="-2"/>
              </w:rPr>
              <w:t>0.50</w:t>
            </w:r>
          </w:p>
        </w:tc>
        <w:tc>
          <w:tcPr>
            <w:tcW w:w="848" w:type="dxa"/>
            <w:vAlign w:val="top"/>
          </w:tcPr>
          <w:p w14:paraId="4DE1ACC6">
            <w:pPr>
              <w:pStyle w:val="6"/>
              <w:spacing w:before="86" w:line="204" w:lineRule="auto"/>
              <w:ind w:left="236"/>
            </w:pPr>
            <w:r>
              <w:rPr>
                <w:spacing w:val="-2"/>
              </w:rPr>
              <w:t>0.51</w:t>
            </w:r>
          </w:p>
        </w:tc>
        <w:tc>
          <w:tcPr>
            <w:tcW w:w="990" w:type="dxa"/>
            <w:vAlign w:val="top"/>
          </w:tcPr>
          <w:p w14:paraId="4A6924F2">
            <w:pPr>
              <w:pStyle w:val="6"/>
              <w:spacing w:before="86" w:line="204" w:lineRule="auto"/>
              <w:ind w:left="308"/>
            </w:pPr>
            <w:r>
              <w:rPr>
                <w:spacing w:val="-2"/>
              </w:rPr>
              <w:t>0.75</w:t>
            </w:r>
          </w:p>
        </w:tc>
        <w:tc>
          <w:tcPr>
            <w:tcW w:w="990" w:type="dxa"/>
            <w:vAlign w:val="top"/>
          </w:tcPr>
          <w:p w14:paraId="3DD91976">
            <w:pPr>
              <w:pStyle w:val="6"/>
              <w:spacing w:before="86" w:line="204" w:lineRule="auto"/>
              <w:ind w:left="311"/>
            </w:pPr>
            <w:r>
              <w:rPr>
                <w:spacing w:val="-2"/>
              </w:rPr>
              <w:t>0.40</w:t>
            </w:r>
          </w:p>
        </w:tc>
        <w:tc>
          <w:tcPr>
            <w:tcW w:w="1132" w:type="dxa"/>
            <w:vAlign w:val="top"/>
          </w:tcPr>
          <w:p w14:paraId="5E93D65B">
            <w:pPr>
              <w:pStyle w:val="6"/>
              <w:spacing w:before="86" w:line="204" w:lineRule="auto"/>
              <w:ind w:left="383"/>
            </w:pPr>
            <w:r>
              <w:rPr>
                <w:spacing w:val="-2"/>
              </w:rPr>
              <w:t>0.40</w:t>
            </w:r>
          </w:p>
        </w:tc>
        <w:tc>
          <w:tcPr>
            <w:tcW w:w="848" w:type="dxa"/>
            <w:vAlign w:val="top"/>
          </w:tcPr>
          <w:p w14:paraId="1AEEFAAB">
            <w:pPr>
              <w:pStyle w:val="6"/>
              <w:spacing w:before="86" w:line="204" w:lineRule="auto"/>
              <w:ind w:left="243"/>
            </w:pPr>
            <w:r>
              <w:rPr>
                <w:spacing w:val="-2"/>
              </w:rPr>
              <w:t>0.23</w:t>
            </w:r>
          </w:p>
        </w:tc>
        <w:tc>
          <w:tcPr>
            <w:tcW w:w="992" w:type="dxa"/>
            <w:vAlign w:val="top"/>
          </w:tcPr>
          <w:p w14:paraId="1283BB06">
            <w:pPr>
              <w:pStyle w:val="6"/>
              <w:spacing w:before="86" w:line="204" w:lineRule="auto"/>
              <w:ind w:left="318"/>
            </w:pPr>
            <w:r>
              <w:rPr>
                <w:spacing w:val="-2"/>
              </w:rPr>
              <w:t>0.30</w:t>
            </w:r>
          </w:p>
        </w:tc>
        <w:tc>
          <w:tcPr>
            <w:tcW w:w="706" w:type="dxa"/>
            <w:vAlign w:val="top"/>
          </w:tcPr>
          <w:p w14:paraId="0D64E5F1">
            <w:pPr>
              <w:pStyle w:val="6"/>
              <w:spacing w:before="86" w:line="204" w:lineRule="auto"/>
              <w:ind w:left="177"/>
            </w:pPr>
            <w:r>
              <w:rPr>
                <w:spacing w:val="-2"/>
              </w:rPr>
              <w:t>0.60</w:t>
            </w:r>
          </w:p>
        </w:tc>
        <w:tc>
          <w:tcPr>
            <w:tcW w:w="1838" w:type="dxa"/>
            <w:vAlign w:val="top"/>
          </w:tcPr>
          <w:p w14:paraId="5316C638">
            <w:pPr>
              <w:pStyle w:val="6"/>
              <w:spacing w:before="86" w:line="204" w:lineRule="auto"/>
              <w:ind w:left="747"/>
            </w:pPr>
            <w:r>
              <w:rPr>
                <w:spacing w:val="-2"/>
              </w:rPr>
              <w:t>0.32</w:t>
            </w:r>
          </w:p>
        </w:tc>
        <w:tc>
          <w:tcPr>
            <w:tcW w:w="1384" w:type="dxa"/>
            <w:tcBorders>
              <w:right w:val="single" w:color="000000" w:sz="12" w:space="0"/>
            </w:tcBorders>
            <w:vAlign w:val="top"/>
          </w:tcPr>
          <w:p w14:paraId="07F8E66F">
            <w:pPr>
              <w:pStyle w:val="6"/>
              <w:spacing w:before="86" w:line="204" w:lineRule="auto"/>
              <w:ind w:left="517"/>
            </w:pPr>
            <w:r>
              <w:rPr>
                <w:spacing w:val="-2"/>
              </w:rPr>
              <w:t>0.13</w:t>
            </w:r>
          </w:p>
        </w:tc>
      </w:tr>
      <w:tr w14:paraId="4E09F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F2A3BB9">
            <w:pPr>
              <w:rPr>
                <w:rFonts w:ascii="Arial"/>
                <w:sz w:val="21"/>
              </w:rPr>
            </w:pPr>
          </w:p>
        </w:tc>
        <w:tc>
          <w:tcPr>
            <w:tcW w:w="329" w:type="dxa"/>
            <w:vMerge w:val="restart"/>
            <w:tcBorders>
              <w:bottom w:val="nil"/>
            </w:tcBorders>
            <w:vAlign w:val="top"/>
          </w:tcPr>
          <w:p w14:paraId="53AA9125">
            <w:pPr>
              <w:pStyle w:val="6"/>
              <w:spacing w:before="127" w:line="222" w:lineRule="auto"/>
              <w:ind w:left="96"/>
            </w:pPr>
            <w:r>
              <w:t>4</w:t>
            </w:r>
          </w:p>
          <w:p w14:paraId="2407F2A3">
            <w:pPr>
              <w:spacing w:line="219" w:lineRule="auto"/>
              <w:ind w:left="49"/>
              <w:rPr>
                <w:rFonts w:ascii="宋体" w:hAnsi="宋体" w:eastAsia="宋体" w:cs="宋体"/>
                <w:sz w:val="21"/>
                <w:szCs w:val="21"/>
              </w:rPr>
            </w:pPr>
            <w:r>
              <w:rPr>
                <w:rFonts w:ascii="宋体" w:hAnsi="宋体" w:eastAsia="宋体" w:cs="宋体"/>
                <w:sz w:val="21"/>
                <w:szCs w:val="21"/>
              </w:rPr>
              <w:t>季</w:t>
            </w:r>
          </w:p>
          <w:p w14:paraId="296F9572">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77E7CC25">
            <w:pPr>
              <w:pStyle w:val="6"/>
              <w:spacing w:before="87" w:line="202" w:lineRule="auto"/>
              <w:ind w:left="26"/>
            </w:pPr>
            <w:r>
              <w:rPr>
                <w:spacing w:val="-1"/>
              </w:rPr>
              <w:t>2021/11/28</w:t>
            </w:r>
          </w:p>
        </w:tc>
        <w:tc>
          <w:tcPr>
            <w:tcW w:w="848" w:type="dxa"/>
            <w:vAlign w:val="top"/>
          </w:tcPr>
          <w:p w14:paraId="3E0DE003">
            <w:pPr>
              <w:pStyle w:val="6"/>
              <w:spacing w:before="87" w:line="202" w:lineRule="auto"/>
              <w:ind w:left="233"/>
            </w:pPr>
            <w:r>
              <w:rPr>
                <w:spacing w:val="-2"/>
              </w:rPr>
              <w:t>0.50</w:t>
            </w:r>
          </w:p>
        </w:tc>
        <w:tc>
          <w:tcPr>
            <w:tcW w:w="848" w:type="dxa"/>
            <w:vAlign w:val="top"/>
          </w:tcPr>
          <w:p w14:paraId="0CD6D8E0">
            <w:pPr>
              <w:pStyle w:val="6"/>
              <w:spacing w:before="87" w:line="202" w:lineRule="auto"/>
              <w:ind w:left="236"/>
            </w:pPr>
            <w:r>
              <w:rPr>
                <w:spacing w:val="-2"/>
              </w:rPr>
              <w:t>0.41</w:t>
            </w:r>
          </w:p>
        </w:tc>
        <w:tc>
          <w:tcPr>
            <w:tcW w:w="990" w:type="dxa"/>
            <w:vAlign w:val="top"/>
          </w:tcPr>
          <w:p w14:paraId="40D25484">
            <w:pPr>
              <w:pStyle w:val="6"/>
              <w:spacing w:before="87" w:line="202" w:lineRule="auto"/>
              <w:ind w:left="308"/>
            </w:pPr>
            <w:r>
              <w:rPr>
                <w:spacing w:val="-2"/>
              </w:rPr>
              <w:t>0.35</w:t>
            </w:r>
          </w:p>
        </w:tc>
        <w:tc>
          <w:tcPr>
            <w:tcW w:w="990" w:type="dxa"/>
            <w:vAlign w:val="top"/>
          </w:tcPr>
          <w:p w14:paraId="6E1EF78D">
            <w:pPr>
              <w:pStyle w:val="6"/>
              <w:spacing w:before="87" w:line="202" w:lineRule="auto"/>
              <w:ind w:left="311"/>
            </w:pPr>
            <w:r>
              <w:rPr>
                <w:spacing w:val="-2"/>
              </w:rPr>
              <w:t>0.25</w:t>
            </w:r>
          </w:p>
        </w:tc>
        <w:tc>
          <w:tcPr>
            <w:tcW w:w="1132" w:type="dxa"/>
            <w:vAlign w:val="top"/>
          </w:tcPr>
          <w:p w14:paraId="0FB7CE76">
            <w:pPr>
              <w:pStyle w:val="6"/>
              <w:spacing w:before="87" w:line="202" w:lineRule="auto"/>
              <w:ind w:left="383"/>
            </w:pPr>
            <w:r>
              <w:rPr>
                <w:spacing w:val="-2"/>
              </w:rPr>
              <w:t>0.25</w:t>
            </w:r>
          </w:p>
        </w:tc>
        <w:tc>
          <w:tcPr>
            <w:tcW w:w="848" w:type="dxa"/>
            <w:vAlign w:val="top"/>
          </w:tcPr>
          <w:p w14:paraId="7B1E3915">
            <w:pPr>
              <w:pStyle w:val="6"/>
              <w:spacing w:before="87" w:line="202" w:lineRule="auto"/>
              <w:ind w:left="243"/>
            </w:pPr>
            <w:r>
              <w:rPr>
                <w:spacing w:val="-2"/>
              </w:rPr>
              <w:t>0.08</w:t>
            </w:r>
          </w:p>
        </w:tc>
        <w:tc>
          <w:tcPr>
            <w:tcW w:w="992" w:type="dxa"/>
            <w:vAlign w:val="top"/>
          </w:tcPr>
          <w:p w14:paraId="1DECB068">
            <w:pPr>
              <w:pStyle w:val="6"/>
              <w:spacing w:before="87" w:line="202" w:lineRule="auto"/>
              <w:ind w:left="318"/>
            </w:pPr>
            <w:r>
              <w:rPr>
                <w:spacing w:val="-2"/>
              </w:rPr>
              <w:t>0.10</w:t>
            </w:r>
          </w:p>
        </w:tc>
        <w:tc>
          <w:tcPr>
            <w:tcW w:w="706" w:type="dxa"/>
            <w:vAlign w:val="top"/>
          </w:tcPr>
          <w:p w14:paraId="45F114A0">
            <w:pPr>
              <w:pStyle w:val="6"/>
              <w:spacing w:before="87" w:line="202" w:lineRule="auto"/>
              <w:ind w:left="177"/>
            </w:pPr>
            <w:r>
              <w:rPr>
                <w:spacing w:val="-2"/>
              </w:rPr>
              <w:t>0.20</w:t>
            </w:r>
          </w:p>
        </w:tc>
        <w:tc>
          <w:tcPr>
            <w:tcW w:w="1838" w:type="dxa"/>
            <w:vAlign w:val="top"/>
          </w:tcPr>
          <w:p w14:paraId="02A39CA6">
            <w:pPr>
              <w:pStyle w:val="6"/>
              <w:spacing w:before="178" w:line="100" w:lineRule="exact"/>
              <w:ind w:left="861"/>
            </w:pPr>
            <w:r>
              <w:rPr>
                <w:spacing w:val="-3"/>
                <w:position w:val="-6"/>
              </w:rPr>
              <w:t>--</w:t>
            </w:r>
          </w:p>
        </w:tc>
        <w:tc>
          <w:tcPr>
            <w:tcW w:w="1384" w:type="dxa"/>
            <w:tcBorders>
              <w:right w:val="single" w:color="000000" w:sz="12" w:space="0"/>
            </w:tcBorders>
            <w:vAlign w:val="top"/>
          </w:tcPr>
          <w:p w14:paraId="518E6527">
            <w:pPr>
              <w:pStyle w:val="6"/>
              <w:spacing w:before="87" w:line="202" w:lineRule="auto"/>
              <w:ind w:left="517"/>
            </w:pPr>
            <w:r>
              <w:rPr>
                <w:spacing w:val="-2"/>
              </w:rPr>
              <w:t>0.16</w:t>
            </w:r>
          </w:p>
        </w:tc>
      </w:tr>
      <w:tr w14:paraId="1858B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12B36EA">
            <w:pPr>
              <w:rPr>
                <w:rFonts w:ascii="Arial"/>
                <w:sz w:val="21"/>
              </w:rPr>
            </w:pPr>
          </w:p>
        </w:tc>
        <w:tc>
          <w:tcPr>
            <w:tcW w:w="329" w:type="dxa"/>
            <w:vMerge w:val="continue"/>
            <w:tcBorders>
              <w:top w:val="nil"/>
              <w:bottom w:val="nil"/>
            </w:tcBorders>
            <w:vAlign w:val="top"/>
          </w:tcPr>
          <w:p w14:paraId="1F509E04">
            <w:pPr>
              <w:rPr>
                <w:rFonts w:ascii="Arial"/>
                <w:sz w:val="21"/>
              </w:rPr>
            </w:pPr>
          </w:p>
        </w:tc>
        <w:tc>
          <w:tcPr>
            <w:tcW w:w="1036" w:type="dxa"/>
            <w:vAlign w:val="top"/>
          </w:tcPr>
          <w:p w14:paraId="3D2E8A26">
            <w:pPr>
              <w:pStyle w:val="6"/>
              <w:spacing w:before="88" w:line="202" w:lineRule="auto"/>
              <w:ind w:left="26"/>
            </w:pPr>
            <w:r>
              <w:rPr>
                <w:spacing w:val="-1"/>
              </w:rPr>
              <w:t>2021/11/29</w:t>
            </w:r>
          </w:p>
        </w:tc>
        <w:tc>
          <w:tcPr>
            <w:tcW w:w="848" w:type="dxa"/>
            <w:vAlign w:val="top"/>
          </w:tcPr>
          <w:p w14:paraId="38572651">
            <w:pPr>
              <w:pStyle w:val="6"/>
              <w:spacing w:before="88" w:line="202" w:lineRule="auto"/>
              <w:ind w:left="233"/>
            </w:pPr>
            <w:r>
              <w:rPr>
                <w:spacing w:val="-2"/>
              </w:rPr>
              <w:t>0.55</w:t>
            </w:r>
          </w:p>
        </w:tc>
        <w:tc>
          <w:tcPr>
            <w:tcW w:w="848" w:type="dxa"/>
            <w:vAlign w:val="top"/>
          </w:tcPr>
          <w:p w14:paraId="178CD219">
            <w:pPr>
              <w:pStyle w:val="6"/>
              <w:spacing w:before="88" w:line="202" w:lineRule="auto"/>
              <w:ind w:left="236"/>
            </w:pPr>
            <w:r>
              <w:rPr>
                <w:spacing w:val="-2"/>
              </w:rPr>
              <w:t>0.37</w:t>
            </w:r>
          </w:p>
        </w:tc>
        <w:tc>
          <w:tcPr>
            <w:tcW w:w="990" w:type="dxa"/>
            <w:vAlign w:val="top"/>
          </w:tcPr>
          <w:p w14:paraId="6142A32A">
            <w:pPr>
              <w:pStyle w:val="6"/>
              <w:spacing w:before="88" w:line="202" w:lineRule="auto"/>
              <w:ind w:left="308"/>
            </w:pPr>
            <w:r>
              <w:rPr>
                <w:spacing w:val="-2"/>
              </w:rPr>
              <w:t>0.37</w:t>
            </w:r>
          </w:p>
        </w:tc>
        <w:tc>
          <w:tcPr>
            <w:tcW w:w="990" w:type="dxa"/>
            <w:vAlign w:val="top"/>
          </w:tcPr>
          <w:p w14:paraId="2090153C">
            <w:pPr>
              <w:pStyle w:val="6"/>
              <w:spacing w:before="88" w:line="202" w:lineRule="auto"/>
              <w:ind w:left="311"/>
            </w:pPr>
            <w:r>
              <w:rPr>
                <w:spacing w:val="-2"/>
              </w:rPr>
              <w:t>0.20</w:t>
            </w:r>
          </w:p>
        </w:tc>
        <w:tc>
          <w:tcPr>
            <w:tcW w:w="1132" w:type="dxa"/>
            <w:vAlign w:val="top"/>
          </w:tcPr>
          <w:p w14:paraId="32A13191">
            <w:pPr>
              <w:pStyle w:val="6"/>
              <w:spacing w:before="88" w:line="202" w:lineRule="auto"/>
              <w:ind w:left="383"/>
            </w:pPr>
            <w:r>
              <w:rPr>
                <w:spacing w:val="-2"/>
              </w:rPr>
              <w:t>0.23</w:t>
            </w:r>
          </w:p>
        </w:tc>
        <w:tc>
          <w:tcPr>
            <w:tcW w:w="848" w:type="dxa"/>
            <w:vAlign w:val="top"/>
          </w:tcPr>
          <w:p w14:paraId="447AFDFD">
            <w:pPr>
              <w:pStyle w:val="6"/>
              <w:spacing w:before="88" w:line="202" w:lineRule="auto"/>
              <w:ind w:left="243"/>
            </w:pPr>
            <w:r>
              <w:rPr>
                <w:spacing w:val="-2"/>
              </w:rPr>
              <w:t>0.09</w:t>
            </w:r>
          </w:p>
        </w:tc>
        <w:tc>
          <w:tcPr>
            <w:tcW w:w="992" w:type="dxa"/>
            <w:vAlign w:val="top"/>
          </w:tcPr>
          <w:p w14:paraId="7004DB65">
            <w:pPr>
              <w:pStyle w:val="6"/>
              <w:spacing w:before="88" w:line="202" w:lineRule="auto"/>
              <w:ind w:left="318"/>
            </w:pPr>
            <w:r>
              <w:rPr>
                <w:spacing w:val="-2"/>
              </w:rPr>
              <w:t>0.20</w:t>
            </w:r>
          </w:p>
        </w:tc>
        <w:tc>
          <w:tcPr>
            <w:tcW w:w="706" w:type="dxa"/>
            <w:vAlign w:val="top"/>
          </w:tcPr>
          <w:p w14:paraId="542FF819">
            <w:pPr>
              <w:pStyle w:val="6"/>
              <w:spacing w:before="88" w:line="202" w:lineRule="auto"/>
              <w:ind w:left="177"/>
            </w:pPr>
            <w:r>
              <w:rPr>
                <w:spacing w:val="-2"/>
              </w:rPr>
              <w:t>0.20</w:t>
            </w:r>
          </w:p>
        </w:tc>
        <w:tc>
          <w:tcPr>
            <w:tcW w:w="1838" w:type="dxa"/>
            <w:vAlign w:val="top"/>
          </w:tcPr>
          <w:p w14:paraId="65C450A9">
            <w:pPr>
              <w:pStyle w:val="6"/>
              <w:spacing w:before="179" w:line="100" w:lineRule="exact"/>
              <w:ind w:left="861"/>
            </w:pPr>
            <w:r>
              <w:rPr>
                <w:spacing w:val="-3"/>
                <w:position w:val="-6"/>
              </w:rPr>
              <w:t>--</w:t>
            </w:r>
          </w:p>
        </w:tc>
        <w:tc>
          <w:tcPr>
            <w:tcW w:w="1384" w:type="dxa"/>
            <w:tcBorders>
              <w:right w:val="single" w:color="000000" w:sz="12" w:space="0"/>
            </w:tcBorders>
            <w:vAlign w:val="top"/>
          </w:tcPr>
          <w:p w14:paraId="0ABA87FA">
            <w:pPr>
              <w:pStyle w:val="6"/>
              <w:spacing w:before="88" w:line="202" w:lineRule="auto"/>
              <w:ind w:left="517"/>
            </w:pPr>
            <w:r>
              <w:rPr>
                <w:spacing w:val="-2"/>
              </w:rPr>
              <w:t>0.15</w:t>
            </w:r>
          </w:p>
        </w:tc>
      </w:tr>
      <w:tr w14:paraId="5B75E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tcBorders>
            <w:vAlign w:val="top"/>
          </w:tcPr>
          <w:p w14:paraId="7E932035">
            <w:pPr>
              <w:rPr>
                <w:rFonts w:ascii="Arial"/>
                <w:sz w:val="21"/>
              </w:rPr>
            </w:pPr>
          </w:p>
        </w:tc>
        <w:tc>
          <w:tcPr>
            <w:tcW w:w="329" w:type="dxa"/>
            <w:vMerge w:val="continue"/>
            <w:tcBorders>
              <w:top w:val="nil"/>
            </w:tcBorders>
            <w:vAlign w:val="top"/>
          </w:tcPr>
          <w:p w14:paraId="31B9DFD4">
            <w:pPr>
              <w:rPr>
                <w:rFonts w:ascii="Arial"/>
                <w:sz w:val="21"/>
              </w:rPr>
            </w:pPr>
          </w:p>
        </w:tc>
        <w:tc>
          <w:tcPr>
            <w:tcW w:w="1036" w:type="dxa"/>
            <w:vAlign w:val="top"/>
          </w:tcPr>
          <w:p w14:paraId="0B78A41C">
            <w:pPr>
              <w:pStyle w:val="6"/>
              <w:spacing w:before="88" w:line="201" w:lineRule="auto"/>
              <w:ind w:left="26"/>
            </w:pPr>
            <w:r>
              <w:rPr>
                <w:spacing w:val="-1"/>
              </w:rPr>
              <w:t>2021/11/30</w:t>
            </w:r>
          </w:p>
        </w:tc>
        <w:tc>
          <w:tcPr>
            <w:tcW w:w="848" w:type="dxa"/>
            <w:vAlign w:val="top"/>
          </w:tcPr>
          <w:p w14:paraId="2B2898D3">
            <w:pPr>
              <w:pStyle w:val="6"/>
              <w:spacing w:before="88" w:line="201" w:lineRule="auto"/>
              <w:ind w:left="233"/>
            </w:pPr>
            <w:r>
              <w:rPr>
                <w:spacing w:val="-2"/>
              </w:rPr>
              <w:t>0.50</w:t>
            </w:r>
          </w:p>
        </w:tc>
        <w:tc>
          <w:tcPr>
            <w:tcW w:w="848" w:type="dxa"/>
            <w:vAlign w:val="top"/>
          </w:tcPr>
          <w:p w14:paraId="34C9D410">
            <w:pPr>
              <w:pStyle w:val="6"/>
              <w:spacing w:before="88" w:line="201" w:lineRule="auto"/>
              <w:ind w:left="236"/>
            </w:pPr>
            <w:r>
              <w:rPr>
                <w:spacing w:val="-2"/>
              </w:rPr>
              <w:t>0.29</w:t>
            </w:r>
          </w:p>
        </w:tc>
        <w:tc>
          <w:tcPr>
            <w:tcW w:w="990" w:type="dxa"/>
            <w:vAlign w:val="top"/>
          </w:tcPr>
          <w:p w14:paraId="01965F42">
            <w:pPr>
              <w:pStyle w:val="6"/>
              <w:spacing w:before="88" w:line="201" w:lineRule="auto"/>
              <w:ind w:left="308"/>
            </w:pPr>
            <w:r>
              <w:rPr>
                <w:spacing w:val="-2"/>
              </w:rPr>
              <w:t>0.38</w:t>
            </w:r>
          </w:p>
        </w:tc>
        <w:tc>
          <w:tcPr>
            <w:tcW w:w="990" w:type="dxa"/>
            <w:vAlign w:val="top"/>
          </w:tcPr>
          <w:p w14:paraId="1C84FDD6">
            <w:pPr>
              <w:pStyle w:val="6"/>
              <w:spacing w:before="88" w:line="201" w:lineRule="auto"/>
              <w:ind w:left="311"/>
            </w:pPr>
            <w:r>
              <w:rPr>
                <w:spacing w:val="-2"/>
              </w:rPr>
              <w:t>0.25</w:t>
            </w:r>
          </w:p>
        </w:tc>
        <w:tc>
          <w:tcPr>
            <w:tcW w:w="1132" w:type="dxa"/>
            <w:vAlign w:val="top"/>
          </w:tcPr>
          <w:p w14:paraId="254FF6A8">
            <w:pPr>
              <w:pStyle w:val="6"/>
              <w:spacing w:before="88" w:line="201" w:lineRule="auto"/>
              <w:ind w:left="383"/>
            </w:pPr>
            <w:r>
              <w:rPr>
                <w:spacing w:val="-2"/>
              </w:rPr>
              <w:t>0.28</w:t>
            </w:r>
          </w:p>
        </w:tc>
        <w:tc>
          <w:tcPr>
            <w:tcW w:w="848" w:type="dxa"/>
            <w:vAlign w:val="top"/>
          </w:tcPr>
          <w:p w14:paraId="08704F3B">
            <w:pPr>
              <w:pStyle w:val="6"/>
              <w:spacing w:before="88" w:line="201" w:lineRule="auto"/>
              <w:ind w:left="243"/>
            </w:pPr>
            <w:r>
              <w:rPr>
                <w:spacing w:val="-2"/>
              </w:rPr>
              <w:t>0.08</w:t>
            </w:r>
          </w:p>
        </w:tc>
        <w:tc>
          <w:tcPr>
            <w:tcW w:w="992" w:type="dxa"/>
            <w:vAlign w:val="top"/>
          </w:tcPr>
          <w:p w14:paraId="72D3C75E">
            <w:pPr>
              <w:pStyle w:val="6"/>
              <w:spacing w:before="88" w:line="201" w:lineRule="auto"/>
              <w:ind w:left="318"/>
            </w:pPr>
            <w:r>
              <w:rPr>
                <w:spacing w:val="-2"/>
              </w:rPr>
              <w:t>0.10</w:t>
            </w:r>
          </w:p>
        </w:tc>
        <w:tc>
          <w:tcPr>
            <w:tcW w:w="706" w:type="dxa"/>
            <w:vAlign w:val="top"/>
          </w:tcPr>
          <w:p w14:paraId="634F4B63">
            <w:pPr>
              <w:pStyle w:val="6"/>
              <w:spacing w:before="88" w:line="201" w:lineRule="auto"/>
              <w:ind w:left="177"/>
            </w:pPr>
            <w:r>
              <w:rPr>
                <w:spacing w:val="-2"/>
              </w:rPr>
              <w:t>0.20</w:t>
            </w:r>
          </w:p>
        </w:tc>
        <w:tc>
          <w:tcPr>
            <w:tcW w:w="1838" w:type="dxa"/>
            <w:vAlign w:val="top"/>
          </w:tcPr>
          <w:p w14:paraId="314F8864">
            <w:pPr>
              <w:pStyle w:val="6"/>
              <w:spacing w:before="179" w:line="100" w:lineRule="exact"/>
              <w:ind w:left="861"/>
            </w:pPr>
            <w:r>
              <w:rPr>
                <w:spacing w:val="-3"/>
                <w:position w:val="-6"/>
              </w:rPr>
              <w:t>--</w:t>
            </w:r>
          </w:p>
        </w:tc>
        <w:tc>
          <w:tcPr>
            <w:tcW w:w="1384" w:type="dxa"/>
            <w:tcBorders>
              <w:right w:val="single" w:color="000000" w:sz="12" w:space="0"/>
            </w:tcBorders>
            <w:vAlign w:val="top"/>
          </w:tcPr>
          <w:p w14:paraId="36487062">
            <w:pPr>
              <w:pStyle w:val="6"/>
              <w:spacing w:before="88" w:line="201" w:lineRule="auto"/>
              <w:ind w:left="517"/>
            </w:pPr>
            <w:r>
              <w:rPr>
                <w:spacing w:val="-2"/>
              </w:rPr>
              <w:t>0.14</w:t>
            </w:r>
          </w:p>
        </w:tc>
      </w:tr>
      <w:tr w14:paraId="0C6B0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restart"/>
            <w:tcBorders>
              <w:left w:val="single" w:color="000000" w:sz="12" w:space="0"/>
              <w:bottom w:val="nil"/>
            </w:tcBorders>
            <w:vAlign w:val="top"/>
          </w:tcPr>
          <w:p w14:paraId="4B4242AA">
            <w:pPr>
              <w:spacing w:line="242" w:lineRule="auto"/>
              <w:rPr>
                <w:rFonts w:ascii="Arial"/>
                <w:sz w:val="21"/>
              </w:rPr>
            </w:pPr>
          </w:p>
          <w:p w14:paraId="51AC2CD9">
            <w:pPr>
              <w:spacing w:line="242" w:lineRule="auto"/>
              <w:rPr>
                <w:rFonts w:ascii="Arial"/>
                <w:sz w:val="21"/>
              </w:rPr>
            </w:pPr>
          </w:p>
          <w:p w14:paraId="48F3BA4D">
            <w:pPr>
              <w:spacing w:line="242" w:lineRule="auto"/>
              <w:rPr>
                <w:rFonts w:ascii="Arial"/>
                <w:sz w:val="21"/>
              </w:rPr>
            </w:pPr>
          </w:p>
          <w:p w14:paraId="387844F8">
            <w:pPr>
              <w:spacing w:line="242" w:lineRule="auto"/>
              <w:rPr>
                <w:rFonts w:ascii="Arial"/>
                <w:sz w:val="21"/>
              </w:rPr>
            </w:pPr>
          </w:p>
          <w:p w14:paraId="2378414A">
            <w:pPr>
              <w:spacing w:line="242" w:lineRule="auto"/>
              <w:rPr>
                <w:rFonts w:ascii="Arial"/>
                <w:sz w:val="21"/>
              </w:rPr>
            </w:pPr>
          </w:p>
          <w:p w14:paraId="14EA2595">
            <w:pPr>
              <w:spacing w:line="243" w:lineRule="auto"/>
              <w:rPr>
                <w:rFonts w:ascii="Arial"/>
                <w:sz w:val="21"/>
              </w:rPr>
            </w:pPr>
          </w:p>
          <w:p w14:paraId="44DE6810">
            <w:pPr>
              <w:spacing w:line="243" w:lineRule="auto"/>
              <w:rPr>
                <w:rFonts w:ascii="Arial"/>
                <w:sz w:val="21"/>
              </w:rPr>
            </w:pPr>
          </w:p>
          <w:p w14:paraId="18EF51C2">
            <w:pPr>
              <w:spacing w:before="68" w:line="220" w:lineRule="auto"/>
              <w:ind w:left="298"/>
              <w:rPr>
                <w:rFonts w:ascii="宋体" w:hAnsi="宋体" w:eastAsia="宋体" w:cs="宋体"/>
                <w:sz w:val="21"/>
                <w:szCs w:val="21"/>
              </w:rPr>
            </w:pPr>
            <w:r>
              <w:rPr>
                <w:rFonts w:ascii="宋体" w:hAnsi="宋体" w:eastAsia="宋体" w:cs="宋体"/>
                <w:spacing w:val="-2"/>
                <w:sz w:val="21"/>
                <w:szCs w:val="21"/>
              </w:rPr>
              <w:t>面店水库</w:t>
            </w:r>
          </w:p>
        </w:tc>
        <w:tc>
          <w:tcPr>
            <w:tcW w:w="329" w:type="dxa"/>
            <w:vMerge w:val="restart"/>
            <w:tcBorders>
              <w:bottom w:val="nil"/>
            </w:tcBorders>
            <w:vAlign w:val="top"/>
          </w:tcPr>
          <w:p w14:paraId="26146CC1">
            <w:pPr>
              <w:pStyle w:val="6"/>
              <w:spacing w:before="130" w:line="223" w:lineRule="auto"/>
              <w:ind w:left="117"/>
            </w:pPr>
            <w:r>
              <w:t>1</w:t>
            </w:r>
          </w:p>
          <w:p w14:paraId="45E7B38A">
            <w:pPr>
              <w:spacing w:line="219" w:lineRule="auto"/>
              <w:ind w:left="49"/>
              <w:rPr>
                <w:rFonts w:ascii="宋体" w:hAnsi="宋体" w:eastAsia="宋体" w:cs="宋体"/>
                <w:sz w:val="21"/>
                <w:szCs w:val="21"/>
              </w:rPr>
            </w:pPr>
            <w:r>
              <w:rPr>
                <w:rFonts w:ascii="宋体" w:hAnsi="宋体" w:eastAsia="宋体" w:cs="宋体"/>
                <w:sz w:val="21"/>
                <w:szCs w:val="21"/>
              </w:rPr>
              <w:t>季</w:t>
            </w:r>
          </w:p>
          <w:p w14:paraId="2FD16C74">
            <w:pPr>
              <w:spacing w:before="21"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0500E910">
            <w:pPr>
              <w:pStyle w:val="6"/>
              <w:spacing w:before="90" w:line="199" w:lineRule="auto"/>
              <w:ind w:left="79"/>
            </w:pPr>
            <w:r>
              <w:rPr>
                <w:spacing w:val="-1"/>
              </w:rPr>
              <w:t>2021/3/18</w:t>
            </w:r>
          </w:p>
        </w:tc>
        <w:tc>
          <w:tcPr>
            <w:tcW w:w="848" w:type="dxa"/>
            <w:vAlign w:val="top"/>
          </w:tcPr>
          <w:p w14:paraId="57E8470B">
            <w:pPr>
              <w:pStyle w:val="6"/>
              <w:spacing w:before="90" w:line="199" w:lineRule="auto"/>
              <w:ind w:left="233"/>
            </w:pPr>
            <w:r>
              <w:rPr>
                <w:spacing w:val="-2"/>
              </w:rPr>
              <w:t>0.51</w:t>
            </w:r>
          </w:p>
        </w:tc>
        <w:tc>
          <w:tcPr>
            <w:tcW w:w="848" w:type="dxa"/>
            <w:vAlign w:val="top"/>
          </w:tcPr>
          <w:p w14:paraId="22E6F5BE">
            <w:pPr>
              <w:pStyle w:val="6"/>
              <w:spacing w:before="95" w:line="194" w:lineRule="auto"/>
              <w:ind w:left="235"/>
            </w:pPr>
            <w:r>
              <w:rPr>
                <w:b/>
                <w:bCs/>
                <w:spacing w:val="-2"/>
              </w:rPr>
              <w:t>5.80</w:t>
            </w:r>
          </w:p>
        </w:tc>
        <w:tc>
          <w:tcPr>
            <w:tcW w:w="990" w:type="dxa"/>
            <w:vAlign w:val="top"/>
          </w:tcPr>
          <w:p w14:paraId="1F454D1C">
            <w:pPr>
              <w:pStyle w:val="6"/>
              <w:spacing w:before="95" w:line="194" w:lineRule="auto"/>
              <w:ind w:left="315"/>
            </w:pPr>
            <w:r>
              <w:rPr>
                <w:b/>
                <w:bCs/>
                <w:spacing w:val="-4"/>
              </w:rPr>
              <w:t>1.33</w:t>
            </w:r>
          </w:p>
        </w:tc>
        <w:tc>
          <w:tcPr>
            <w:tcW w:w="990" w:type="dxa"/>
            <w:vAlign w:val="top"/>
          </w:tcPr>
          <w:p w14:paraId="6264D830">
            <w:pPr>
              <w:pStyle w:val="6"/>
              <w:spacing w:before="95" w:line="194" w:lineRule="auto"/>
              <w:ind w:left="317"/>
            </w:pPr>
            <w:r>
              <w:rPr>
                <w:b/>
                <w:bCs/>
                <w:spacing w:val="-4"/>
              </w:rPr>
              <w:t>1.00</w:t>
            </w:r>
          </w:p>
        </w:tc>
        <w:tc>
          <w:tcPr>
            <w:tcW w:w="1132" w:type="dxa"/>
            <w:vAlign w:val="top"/>
          </w:tcPr>
          <w:p w14:paraId="2C023842">
            <w:pPr>
              <w:pStyle w:val="6"/>
              <w:spacing w:before="90" w:line="199" w:lineRule="auto"/>
              <w:ind w:left="383"/>
            </w:pPr>
            <w:r>
              <w:rPr>
                <w:spacing w:val="-2"/>
              </w:rPr>
              <w:t>0.97</w:t>
            </w:r>
          </w:p>
        </w:tc>
        <w:tc>
          <w:tcPr>
            <w:tcW w:w="848" w:type="dxa"/>
            <w:vAlign w:val="top"/>
          </w:tcPr>
          <w:p w14:paraId="110A9FAF">
            <w:pPr>
              <w:pStyle w:val="6"/>
              <w:spacing w:before="90" w:line="199" w:lineRule="auto"/>
              <w:ind w:left="243"/>
            </w:pPr>
            <w:r>
              <w:rPr>
                <w:spacing w:val="-2"/>
              </w:rPr>
              <w:t>0.50</w:t>
            </w:r>
          </w:p>
        </w:tc>
        <w:tc>
          <w:tcPr>
            <w:tcW w:w="992" w:type="dxa"/>
            <w:vAlign w:val="top"/>
          </w:tcPr>
          <w:p w14:paraId="7AC3303D">
            <w:pPr>
              <w:pStyle w:val="6"/>
              <w:spacing w:before="95" w:line="194" w:lineRule="auto"/>
              <w:ind w:left="325"/>
            </w:pPr>
            <w:r>
              <w:rPr>
                <w:b/>
                <w:bCs/>
                <w:spacing w:val="-4"/>
              </w:rPr>
              <w:t>1.20</w:t>
            </w:r>
          </w:p>
        </w:tc>
        <w:tc>
          <w:tcPr>
            <w:tcW w:w="706" w:type="dxa"/>
            <w:vAlign w:val="top"/>
          </w:tcPr>
          <w:p w14:paraId="1B07AC54">
            <w:pPr>
              <w:pStyle w:val="6"/>
              <w:spacing w:before="90" w:line="199" w:lineRule="auto"/>
              <w:ind w:left="177"/>
            </w:pPr>
            <w:r>
              <w:rPr>
                <w:spacing w:val="-2"/>
              </w:rPr>
              <w:t>0.80</w:t>
            </w:r>
          </w:p>
        </w:tc>
        <w:tc>
          <w:tcPr>
            <w:tcW w:w="1838" w:type="dxa"/>
            <w:vAlign w:val="top"/>
          </w:tcPr>
          <w:p w14:paraId="02929207">
            <w:pPr>
              <w:pStyle w:val="6"/>
              <w:spacing w:before="181" w:line="100" w:lineRule="exact"/>
              <w:ind w:left="861"/>
            </w:pPr>
            <w:r>
              <w:rPr>
                <w:spacing w:val="-5"/>
                <w:position w:val="-6"/>
              </w:rPr>
              <w:t>--</w:t>
            </w:r>
          </w:p>
        </w:tc>
        <w:tc>
          <w:tcPr>
            <w:tcW w:w="1384" w:type="dxa"/>
            <w:tcBorders>
              <w:right w:val="single" w:color="000000" w:sz="12" w:space="0"/>
            </w:tcBorders>
            <w:vAlign w:val="top"/>
          </w:tcPr>
          <w:p w14:paraId="028F2A85">
            <w:pPr>
              <w:pStyle w:val="6"/>
              <w:spacing w:before="90" w:line="199" w:lineRule="auto"/>
              <w:ind w:left="517"/>
            </w:pPr>
            <w:r>
              <w:rPr>
                <w:spacing w:val="-2"/>
              </w:rPr>
              <w:t>0.11</w:t>
            </w:r>
          </w:p>
        </w:tc>
      </w:tr>
      <w:tr w14:paraId="18AF2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39E57C5D">
            <w:pPr>
              <w:rPr>
                <w:rFonts w:ascii="Arial"/>
                <w:sz w:val="21"/>
              </w:rPr>
            </w:pPr>
          </w:p>
        </w:tc>
        <w:tc>
          <w:tcPr>
            <w:tcW w:w="329" w:type="dxa"/>
            <w:vMerge w:val="continue"/>
            <w:tcBorders>
              <w:top w:val="nil"/>
              <w:bottom w:val="nil"/>
            </w:tcBorders>
            <w:vAlign w:val="top"/>
          </w:tcPr>
          <w:p w14:paraId="73DFE611">
            <w:pPr>
              <w:rPr>
                <w:rFonts w:ascii="Arial"/>
                <w:sz w:val="21"/>
              </w:rPr>
            </w:pPr>
          </w:p>
        </w:tc>
        <w:tc>
          <w:tcPr>
            <w:tcW w:w="1036" w:type="dxa"/>
            <w:vAlign w:val="top"/>
          </w:tcPr>
          <w:p w14:paraId="4C563EB7">
            <w:pPr>
              <w:pStyle w:val="6"/>
              <w:spacing w:before="91" w:line="199" w:lineRule="auto"/>
              <w:ind w:left="79"/>
            </w:pPr>
            <w:r>
              <w:rPr>
                <w:spacing w:val="-1"/>
              </w:rPr>
              <w:t>2021/3/19</w:t>
            </w:r>
          </w:p>
        </w:tc>
        <w:tc>
          <w:tcPr>
            <w:tcW w:w="848" w:type="dxa"/>
            <w:vAlign w:val="top"/>
          </w:tcPr>
          <w:p w14:paraId="6FD473A1">
            <w:pPr>
              <w:pStyle w:val="6"/>
              <w:spacing w:before="91" w:line="199" w:lineRule="auto"/>
              <w:ind w:left="233"/>
            </w:pPr>
            <w:r>
              <w:rPr>
                <w:spacing w:val="-2"/>
              </w:rPr>
              <w:t>0.49</w:t>
            </w:r>
          </w:p>
        </w:tc>
        <w:tc>
          <w:tcPr>
            <w:tcW w:w="848" w:type="dxa"/>
            <w:vAlign w:val="top"/>
          </w:tcPr>
          <w:p w14:paraId="20DB657E">
            <w:pPr>
              <w:pStyle w:val="6"/>
              <w:spacing w:before="96" w:line="194" w:lineRule="auto"/>
              <w:ind w:left="236"/>
            </w:pPr>
            <w:r>
              <w:rPr>
                <w:b/>
                <w:bCs/>
                <w:spacing w:val="-2"/>
              </w:rPr>
              <w:t>6.10</w:t>
            </w:r>
          </w:p>
        </w:tc>
        <w:tc>
          <w:tcPr>
            <w:tcW w:w="990" w:type="dxa"/>
            <w:vAlign w:val="top"/>
          </w:tcPr>
          <w:p w14:paraId="6514B1DF">
            <w:pPr>
              <w:pStyle w:val="6"/>
              <w:spacing w:before="96" w:line="194" w:lineRule="auto"/>
              <w:ind w:left="315"/>
            </w:pPr>
            <w:r>
              <w:rPr>
                <w:b/>
                <w:bCs/>
                <w:spacing w:val="-4"/>
              </w:rPr>
              <w:t>1.28</w:t>
            </w:r>
          </w:p>
        </w:tc>
        <w:tc>
          <w:tcPr>
            <w:tcW w:w="990" w:type="dxa"/>
            <w:vAlign w:val="top"/>
          </w:tcPr>
          <w:p w14:paraId="1F309714">
            <w:pPr>
              <w:pStyle w:val="6"/>
              <w:spacing w:before="91" w:line="199" w:lineRule="auto"/>
              <w:ind w:left="311"/>
            </w:pPr>
            <w:r>
              <w:rPr>
                <w:spacing w:val="-2"/>
              </w:rPr>
              <w:t>0.80</w:t>
            </w:r>
          </w:p>
        </w:tc>
        <w:tc>
          <w:tcPr>
            <w:tcW w:w="1132" w:type="dxa"/>
            <w:vAlign w:val="top"/>
          </w:tcPr>
          <w:p w14:paraId="4EB5EDD5">
            <w:pPr>
              <w:pStyle w:val="6"/>
              <w:spacing w:before="91" w:line="199" w:lineRule="auto"/>
              <w:ind w:left="383"/>
            </w:pPr>
            <w:r>
              <w:rPr>
                <w:spacing w:val="-2"/>
              </w:rPr>
              <w:t>0.80</w:t>
            </w:r>
          </w:p>
        </w:tc>
        <w:tc>
          <w:tcPr>
            <w:tcW w:w="848" w:type="dxa"/>
            <w:vAlign w:val="top"/>
          </w:tcPr>
          <w:p w14:paraId="1C0A74D4">
            <w:pPr>
              <w:pStyle w:val="6"/>
              <w:spacing w:before="91" w:line="199" w:lineRule="auto"/>
              <w:ind w:left="243"/>
            </w:pPr>
            <w:r>
              <w:rPr>
                <w:spacing w:val="-2"/>
              </w:rPr>
              <w:t>0.48</w:t>
            </w:r>
          </w:p>
        </w:tc>
        <w:tc>
          <w:tcPr>
            <w:tcW w:w="992" w:type="dxa"/>
            <w:vAlign w:val="top"/>
          </w:tcPr>
          <w:p w14:paraId="7ED9983A">
            <w:pPr>
              <w:pStyle w:val="6"/>
              <w:spacing w:before="96" w:line="194" w:lineRule="auto"/>
              <w:ind w:left="325"/>
            </w:pPr>
            <w:r>
              <w:rPr>
                <w:b/>
                <w:bCs/>
                <w:spacing w:val="-4"/>
              </w:rPr>
              <w:t>1.60</w:t>
            </w:r>
          </w:p>
        </w:tc>
        <w:tc>
          <w:tcPr>
            <w:tcW w:w="706" w:type="dxa"/>
            <w:vAlign w:val="top"/>
          </w:tcPr>
          <w:p w14:paraId="3F3DD0DD">
            <w:pPr>
              <w:pStyle w:val="6"/>
              <w:spacing w:before="91" w:line="199" w:lineRule="auto"/>
              <w:ind w:left="177"/>
            </w:pPr>
            <w:r>
              <w:rPr>
                <w:spacing w:val="-2"/>
              </w:rPr>
              <w:t>0.60</w:t>
            </w:r>
          </w:p>
        </w:tc>
        <w:tc>
          <w:tcPr>
            <w:tcW w:w="1838" w:type="dxa"/>
            <w:vAlign w:val="top"/>
          </w:tcPr>
          <w:p w14:paraId="2D6FBE58">
            <w:pPr>
              <w:pStyle w:val="6"/>
              <w:spacing w:before="182" w:line="100" w:lineRule="exact"/>
              <w:ind w:left="861"/>
            </w:pPr>
            <w:r>
              <w:rPr>
                <w:spacing w:val="-3"/>
                <w:position w:val="-6"/>
              </w:rPr>
              <w:t>--</w:t>
            </w:r>
          </w:p>
        </w:tc>
        <w:tc>
          <w:tcPr>
            <w:tcW w:w="1384" w:type="dxa"/>
            <w:tcBorders>
              <w:right w:val="single" w:color="000000" w:sz="12" w:space="0"/>
            </w:tcBorders>
            <w:vAlign w:val="top"/>
          </w:tcPr>
          <w:p w14:paraId="07CDCA43">
            <w:pPr>
              <w:pStyle w:val="6"/>
              <w:spacing w:before="91" w:line="199" w:lineRule="auto"/>
              <w:ind w:left="517"/>
            </w:pPr>
            <w:r>
              <w:rPr>
                <w:spacing w:val="-2"/>
              </w:rPr>
              <w:t>0.11</w:t>
            </w:r>
          </w:p>
        </w:tc>
      </w:tr>
      <w:tr w14:paraId="2AF0A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0C3087C7">
            <w:pPr>
              <w:rPr>
                <w:rFonts w:ascii="Arial"/>
                <w:sz w:val="21"/>
              </w:rPr>
            </w:pPr>
          </w:p>
        </w:tc>
        <w:tc>
          <w:tcPr>
            <w:tcW w:w="329" w:type="dxa"/>
            <w:vMerge w:val="continue"/>
            <w:tcBorders>
              <w:top w:val="nil"/>
            </w:tcBorders>
            <w:vAlign w:val="top"/>
          </w:tcPr>
          <w:p w14:paraId="47910F7C">
            <w:pPr>
              <w:rPr>
                <w:rFonts w:ascii="Arial"/>
                <w:sz w:val="21"/>
              </w:rPr>
            </w:pPr>
          </w:p>
        </w:tc>
        <w:tc>
          <w:tcPr>
            <w:tcW w:w="1036" w:type="dxa"/>
            <w:vAlign w:val="top"/>
          </w:tcPr>
          <w:p w14:paraId="2F78CDFB">
            <w:pPr>
              <w:pStyle w:val="6"/>
              <w:spacing w:before="92" w:line="197" w:lineRule="auto"/>
              <w:ind w:left="79"/>
            </w:pPr>
            <w:r>
              <w:rPr>
                <w:spacing w:val="-1"/>
              </w:rPr>
              <w:t>2021/3/20</w:t>
            </w:r>
          </w:p>
        </w:tc>
        <w:tc>
          <w:tcPr>
            <w:tcW w:w="848" w:type="dxa"/>
            <w:vAlign w:val="top"/>
          </w:tcPr>
          <w:p w14:paraId="16DC926F">
            <w:pPr>
              <w:pStyle w:val="6"/>
              <w:spacing w:before="92" w:line="197" w:lineRule="auto"/>
              <w:ind w:left="233"/>
            </w:pPr>
            <w:r>
              <w:rPr>
                <w:spacing w:val="-2"/>
              </w:rPr>
              <w:t>0.53</w:t>
            </w:r>
          </w:p>
        </w:tc>
        <w:tc>
          <w:tcPr>
            <w:tcW w:w="848" w:type="dxa"/>
            <w:vAlign w:val="top"/>
          </w:tcPr>
          <w:p w14:paraId="46B310DE">
            <w:pPr>
              <w:pStyle w:val="6"/>
              <w:spacing w:before="97" w:line="192" w:lineRule="auto"/>
              <w:ind w:left="235"/>
            </w:pPr>
            <w:r>
              <w:rPr>
                <w:b/>
                <w:bCs/>
                <w:spacing w:val="-2"/>
              </w:rPr>
              <w:t>5.50</w:t>
            </w:r>
          </w:p>
        </w:tc>
        <w:tc>
          <w:tcPr>
            <w:tcW w:w="990" w:type="dxa"/>
            <w:vAlign w:val="top"/>
          </w:tcPr>
          <w:p w14:paraId="74167661">
            <w:pPr>
              <w:pStyle w:val="6"/>
              <w:spacing w:before="97" w:line="192" w:lineRule="auto"/>
              <w:ind w:left="315"/>
            </w:pPr>
            <w:r>
              <w:rPr>
                <w:b/>
                <w:bCs/>
                <w:spacing w:val="-4"/>
              </w:rPr>
              <w:t>1.35</w:t>
            </w:r>
          </w:p>
        </w:tc>
        <w:tc>
          <w:tcPr>
            <w:tcW w:w="990" w:type="dxa"/>
            <w:vAlign w:val="top"/>
          </w:tcPr>
          <w:p w14:paraId="4519B983">
            <w:pPr>
              <w:pStyle w:val="6"/>
              <w:spacing w:before="97" w:line="192" w:lineRule="auto"/>
              <w:ind w:left="317"/>
            </w:pPr>
            <w:r>
              <w:rPr>
                <w:b/>
                <w:bCs/>
                <w:spacing w:val="-4"/>
              </w:rPr>
              <w:t>1.07</w:t>
            </w:r>
          </w:p>
        </w:tc>
        <w:tc>
          <w:tcPr>
            <w:tcW w:w="1132" w:type="dxa"/>
            <w:vAlign w:val="top"/>
          </w:tcPr>
          <w:p w14:paraId="210D6E88">
            <w:pPr>
              <w:pStyle w:val="6"/>
              <w:spacing w:before="97" w:line="192" w:lineRule="auto"/>
              <w:ind w:left="389"/>
            </w:pPr>
            <w:r>
              <w:rPr>
                <w:b/>
                <w:bCs/>
                <w:spacing w:val="-4"/>
              </w:rPr>
              <w:t>1.03</w:t>
            </w:r>
          </w:p>
        </w:tc>
        <w:tc>
          <w:tcPr>
            <w:tcW w:w="848" w:type="dxa"/>
            <w:vAlign w:val="top"/>
          </w:tcPr>
          <w:p w14:paraId="5647019E">
            <w:pPr>
              <w:pStyle w:val="6"/>
              <w:spacing w:before="92" w:line="197" w:lineRule="auto"/>
              <w:ind w:left="243"/>
            </w:pPr>
            <w:r>
              <w:rPr>
                <w:spacing w:val="-2"/>
              </w:rPr>
              <w:t>0.51</w:t>
            </w:r>
          </w:p>
        </w:tc>
        <w:tc>
          <w:tcPr>
            <w:tcW w:w="992" w:type="dxa"/>
            <w:vAlign w:val="top"/>
          </w:tcPr>
          <w:p w14:paraId="459E7DBB">
            <w:pPr>
              <w:pStyle w:val="6"/>
              <w:spacing w:before="97" w:line="192" w:lineRule="auto"/>
              <w:ind w:left="325"/>
            </w:pPr>
            <w:r>
              <w:rPr>
                <w:b/>
                <w:bCs/>
                <w:spacing w:val="-4"/>
              </w:rPr>
              <w:t>1.60</w:t>
            </w:r>
          </w:p>
        </w:tc>
        <w:tc>
          <w:tcPr>
            <w:tcW w:w="706" w:type="dxa"/>
            <w:vAlign w:val="top"/>
          </w:tcPr>
          <w:p w14:paraId="2AB8EA57">
            <w:pPr>
              <w:pStyle w:val="6"/>
              <w:spacing w:before="92" w:line="197" w:lineRule="auto"/>
              <w:ind w:left="177"/>
            </w:pPr>
            <w:r>
              <w:rPr>
                <w:spacing w:val="-2"/>
              </w:rPr>
              <w:t>0.80</w:t>
            </w:r>
          </w:p>
        </w:tc>
        <w:tc>
          <w:tcPr>
            <w:tcW w:w="1838" w:type="dxa"/>
            <w:vAlign w:val="top"/>
          </w:tcPr>
          <w:p w14:paraId="082502C1">
            <w:pPr>
              <w:pStyle w:val="6"/>
              <w:spacing w:before="183" w:line="101" w:lineRule="exact"/>
              <w:ind w:left="861"/>
            </w:pPr>
            <w:r>
              <w:rPr>
                <w:spacing w:val="-3"/>
                <w:position w:val="-6"/>
              </w:rPr>
              <w:t>--</w:t>
            </w:r>
          </w:p>
        </w:tc>
        <w:tc>
          <w:tcPr>
            <w:tcW w:w="1384" w:type="dxa"/>
            <w:tcBorders>
              <w:right w:val="single" w:color="000000" w:sz="12" w:space="0"/>
            </w:tcBorders>
            <w:vAlign w:val="top"/>
          </w:tcPr>
          <w:p w14:paraId="3F6719AA">
            <w:pPr>
              <w:pStyle w:val="6"/>
              <w:spacing w:before="92" w:line="197" w:lineRule="auto"/>
              <w:ind w:left="517"/>
            </w:pPr>
            <w:r>
              <w:rPr>
                <w:spacing w:val="-2"/>
              </w:rPr>
              <w:t>0.12</w:t>
            </w:r>
          </w:p>
        </w:tc>
      </w:tr>
      <w:tr w14:paraId="49CF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7DB568AE">
            <w:pPr>
              <w:rPr>
                <w:rFonts w:ascii="Arial"/>
                <w:sz w:val="21"/>
              </w:rPr>
            </w:pPr>
          </w:p>
        </w:tc>
        <w:tc>
          <w:tcPr>
            <w:tcW w:w="329" w:type="dxa"/>
            <w:vMerge w:val="restart"/>
            <w:tcBorders>
              <w:bottom w:val="nil"/>
            </w:tcBorders>
            <w:vAlign w:val="top"/>
          </w:tcPr>
          <w:p w14:paraId="4F728C4D">
            <w:pPr>
              <w:pStyle w:val="6"/>
              <w:spacing w:before="134" w:line="222" w:lineRule="auto"/>
              <w:ind w:left="97"/>
            </w:pPr>
            <w:r>
              <w:t>2</w:t>
            </w:r>
          </w:p>
          <w:p w14:paraId="04709D8C">
            <w:pPr>
              <w:spacing w:line="219" w:lineRule="auto"/>
              <w:ind w:left="49"/>
              <w:rPr>
                <w:rFonts w:ascii="宋体" w:hAnsi="宋体" w:eastAsia="宋体" w:cs="宋体"/>
                <w:sz w:val="21"/>
                <w:szCs w:val="21"/>
              </w:rPr>
            </w:pPr>
            <w:r>
              <w:rPr>
                <w:rFonts w:ascii="宋体" w:hAnsi="宋体" w:eastAsia="宋体" w:cs="宋体"/>
                <w:sz w:val="21"/>
                <w:szCs w:val="21"/>
              </w:rPr>
              <w:t>季</w:t>
            </w:r>
          </w:p>
          <w:p w14:paraId="3C8FEFB6">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52402109">
            <w:pPr>
              <w:pStyle w:val="6"/>
              <w:spacing w:before="93" w:line="197" w:lineRule="auto"/>
              <w:ind w:left="132"/>
            </w:pPr>
            <w:r>
              <w:rPr>
                <w:spacing w:val="-1"/>
              </w:rPr>
              <w:t>2021/6/3</w:t>
            </w:r>
          </w:p>
        </w:tc>
        <w:tc>
          <w:tcPr>
            <w:tcW w:w="848" w:type="dxa"/>
            <w:vAlign w:val="top"/>
          </w:tcPr>
          <w:p w14:paraId="70B0D197">
            <w:pPr>
              <w:pStyle w:val="6"/>
              <w:spacing w:before="93" w:line="197" w:lineRule="auto"/>
              <w:ind w:left="233"/>
            </w:pPr>
            <w:r>
              <w:rPr>
                <w:spacing w:val="-2"/>
              </w:rPr>
              <w:t>0.50</w:t>
            </w:r>
          </w:p>
        </w:tc>
        <w:tc>
          <w:tcPr>
            <w:tcW w:w="848" w:type="dxa"/>
            <w:vAlign w:val="top"/>
          </w:tcPr>
          <w:p w14:paraId="127E87B6">
            <w:pPr>
              <w:pStyle w:val="6"/>
              <w:spacing w:before="98" w:line="192" w:lineRule="auto"/>
              <w:ind w:left="242"/>
            </w:pPr>
            <w:r>
              <w:rPr>
                <w:b/>
                <w:bCs/>
                <w:spacing w:val="-4"/>
              </w:rPr>
              <w:t>1.45</w:t>
            </w:r>
          </w:p>
        </w:tc>
        <w:tc>
          <w:tcPr>
            <w:tcW w:w="990" w:type="dxa"/>
            <w:vAlign w:val="top"/>
          </w:tcPr>
          <w:p w14:paraId="7C3F0C59">
            <w:pPr>
              <w:pStyle w:val="6"/>
              <w:spacing w:before="93" w:line="197" w:lineRule="auto"/>
              <w:ind w:left="308"/>
            </w:pPr>
            <w:r>
              <w:rPr>
                <w:spacing w:val="-2"/>
              </w:rPr>
              <w:t>0.98</w:t>
            </w:r>
          </w:p>
        </w:tc>
        <w:tc>
          <w:tcPr>
            <w:tcW w:w="990" w:type="dxa"/>
            <w:vAlign w:val="top"/>
          </w:tcPr>
          <w:p w14:paraId="268FA73E">
            <w:pPr>
              <w:pStyle w:val="6"/>
              <w:spacing w:before="98" w:line="192" w:lineRule="auto"/>
              <w:ind w:left="317"/>
            </w:pPr>
            <w:r>
              <w:rPr>
                <w:b/>
                <w:bCs/>
                <w:spacing w:val="-4"/>
              </w:rPr>
              <w:t>1.27</w:t>
            </w:r>
          </w:p>
        </w:tc>
        <w:tc>
          <w:tcPr>
            <w:tcW w:w="1132" w:type="dxa"/>
            <w:vAlign w:val="top"/>
          </w:tcPr>
          <w:p w14:paraId="4193E5FA">
            <w:pPr>
              <w:pStyle w:val="6"/>
              <w:spacing w:before="98" w:line="192" w:lineRule="auto"/>
              <w:ind w:left="389"/>
            </w:pPr>
            <w:r>
              <w:rPr>
                <w:b/>
                <w:bCs/>
                <w:spacing w:val="-4"/>
              </w:rPr>
              <w:t>1.33</w:t>
            </w:r>
          </w:p>
        </w:tc>
        <w:tc>
          <w:tcPr>
            <w:tcW w:w="848" w:type="dxa"/>
            <w:vAlign w:val="top"/>
          </w:tcPr>
          <w:p w14:paraId="3053CBF5">
            <w:pPr>
              <w:pStyle w:val="6"/>
              <w:spacing w:before="98" w:line="192" w:lineRule="auto"/>
              <w:ind w:left="250"/>
            </w:pPr>
            <w:r>
              <w:rPr>
                <w:b/>
                <w:bCs/>
                <w:spacing w:val="-4"/>
              </w:rPr>
              <w:t>1.81</w:t>
            </w:r>
          </w:p>
        </w:tc>
        <w:tc>
          <w:tcPr>
            <w:tcW w:w="992" w:type="dxa"/>
            <w:vAlign w:val="top"/>
          </w:tcPr>
          <w:p w14:paraId="233D02C3">
            <w:pPr>
              <w:pStyle w:val="6"/>
              <w:spacing w:before="98" w:line="192" w:lineRule="auto"/>
              <w:ind w:left="325"/>
            </w:pPr>
            <w:r>
              <w:rPr>
                <w:b/>
                <w:bCs/>
                <w:spacing w:val="-4"/>
              </w:rPr>
              <w:t>1.60</w:t>
            </w:r>
          </w:p>
        </w:tc>
        <w:tc>
          <w:tcPr>
            <w:tcW w:w="706" w:type="dxa"/>
            <w:vAlign w:val="top"/>
          </w:tcPr>
          <w:p w14:paraId="7A2FCA5F">
            <w:pPr>
              <w:pStyle w:val="6"/>
              <w:spacing w:before="93" w:line="197" w:lineRule="auto"/>
              <w:ind w:left="177"/>
            </w:pPr>
            <w:r>
              <w:rPr>
                <w:spacing w:val="-2"/>
              </w:rPr>
              <w:t>0.40</w:t>
            </w:r>
          </w:p>
        </w:tc>
        <w:tc>
          <w:tcPr>
            <w:tcW w:w="1838" w:type="dxa"/>
            <w:vAlign w:val="top"/>
          </w:tcPr>
          <w:p w14:paraId="29B37053">
            <w:pPr>
              <w:pStyle w:val="6"/>
              <w:spacing w:before="184" w:line="101" w:lineRule="exact"/>
              <w:ind w:left="861"/>
            </w:pPr>
            <w:r>
              <w:rPr>
                <w:spacing w:val="-3"/>
                <w:position w:val="-6"/>
              </w:rPr>
              <w:t>--</w:t>
            </w:r>
          </w:p>
        </w:tc>
        <w:tc>
          <w:tcPr>
            <w:tcW w:w="1384" w:type="dxa"/>
            <w:tcBorders>
              <w:right w:val="single" w:color="000000" w:sz="12" w:space="0"/>
            </w:tcBorders>
            <w:vAlign w:val="top"/>
          </w:tcPr>
          <w:p w14:paraId="5A598035">
            <w:pPr>
              <w:pStyle w:val="6"/>
              <w:spacing w:before="93" w:line="197" w:lineRule="auto"/>
              <w:ind w:left="517"/>
            </w:pPr>
            <w:r>
              <w:rPr>
                <w:spacing w:val="-2"/>
              </w:rPr>
              <w:t>0.11</w:t>
            </w:r>
          </w:p>
        </w:tc>
      </w:tr>
      <w:tr w14:paraId="27D1D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57E0439">
            <w:pPr>
              <w:rPr>
                <w:rFonts w:ascii="Arial"/>
                <w:sz w:val="21"/>
              </w:rPr>
            </w:pPr>
          </w:p>
        </w:tc>
        <w:tc>
          <w:tcPr>
            <w:tcW w:w="329" w:type="dxa"/>
            <w:vMerge w:val="continue"/>
            <w:tcBorders>
              <w:top w:val="nil"/>
              <w:bottom w:val="nil"/>
            </w:tcBorders>
            <w:vAlign w:val="top"/>
          </w:tcPr>
          <w:p w14:paraId="24680EC9">
            <w:pPr>
              <w:rPr>
                <w:rFonts w:ascii="Arial"/>
                <w:sz w:val="21"/>
              </w:rPr>
            </w:pPr>
          </w:p>
        </w:tc>
        <w:tc>
          <w:tcPr>
            <w:tcW w:w="1036" w:type="dxa"/>
            <w:vAlign w:val="top"/>
          </w:tcPr>
          <w:p w14:paraId="721EC47B">
            <w:pPr>
              <w:pStyle w:val="6"/>
              <w:spacing w:before="93" w:line="196" w:lineRule="auto"/>
              <w:ind w:left="132"/>
            </w:pPr>
            <w:r>
              <w:rPr>
                <w:spacing w:val="-1"/>
              </w:rPr>
              <w:t>2021/6/4</w:t>
            </w:r>
          </w:p>
        </w:tc>
        <w:tc>
          <w:tcPr>
            <w:tcW w:w="848" w:type="dxa"/>
            <w:vAlign w:val="top"/>
          </w:tcPr>
          <w:p w14:paraId="48D8BD1F">
            <w:pPr>
              <w:pStyle w:val="6"/>
              <w:spacing w:before="93" w:line="196" w:lineRule="auto"/>
              <w:ind w:left="233"/>
            </w:pPr>
            <w:r>
              <w:rPr>
                <w:spacing w:val="-2"/>
              </w:rPr>
              <w:t>0.50</w:t>
            </w:r>
          </w:p>
        </w:tc>
        <w:tc>
          <w:tcPr>
            <w:tcW w:w="848" w:type="dxa"/>
            <w:vAlign w:val="top"/>
          </w:tcPr>
          <w:p w14:paraId="1DD39650">
            <w:pPr>
              <w:pStyle w:val="6"/>
              <w:spacing w:before="98" w:line="191" w:lineRule="auto"/>
              <w:ind w:left="242"/>
            </w:pPr>
            <w:r>
              <w:rPr>
                <w:b/>
                <w:bCs/>
                <w:spacing w:val="-4"/>
              </w:rPr>
              <w:t>1.75</w:t>
            </w:r>
          </w:p>
        </w:tc>
        <w:tc>
          <w:tcPr>
            <w:tcW w:w="990" w:type="dxa"/>
            <w:vAlign w:val="top"/>
          </w:tcPr>
          <w:p w14:paraId="5456F15D">
            <w:pPr>
              <w:pStyle w:val="6"/>
              <w:spacing w:before="93" w:line="196" w:lineRule="auto"/>
              <w:ind w:left="308"/>
            </w:pPr>
            <w:r>
              <w:rPr>
                <w:spacing w:val="-2"/>
              </w:rPr>
              <w:t>0.90</w:t>
            </w:r>
          </w:p>
        </w:tc>
        <w:tc>
          <w:tcPr>
            <w:tcW w:w="990" w:type="dxa"/>
            <w:vAlign w:val="top"/>
          </w:tcPr>
          <w:p w14:paraId="66748792">
            <w:pPr>
              <w:pStyle w:val="6"/>
              <w:spacing w:before="98" w:line="191" w:lineRule="auto"/>
              <w:ind w:left="317"/>
            </w:pPr>
            <w:r>
              <w:rPr>
                <w:b/>
                <w:bCs/>
                <w:spacing w:val="-4"/>
              </w:rPr>
              <w:t>1.13</w:t>
            </w:r>
          </w:p>
        </w:tc>
        <w:tc>
          <w:tcPr>
            <w:tcW w:w="1132" w:type="dxa"/>
            <w:vAlign w:val="top"/>
          </w:tcPr>
          <w:p w14:paraId="24B5F0BB">
            <w:pPr>
              <w:pStyle w:val="6"/>
              <w:spacing w:before="98" w:line="191" w:lineRule="auto"/>
              <w:ind w:left="389"/>
            </w:pPr>
            <w:r>
              <w:rPr>
                <w:b/>
                <w:bCs/>
                <w:spacing w:val="-4"/>
              </w:rPr>
              <w:t>1.17</w:t>
            </w:r>
          </w:p>
        </w:tc>
        <w:tc>
          <w:tcPr>
            <w:tcW w:w="848" w:type="dxa"/>
            <w:vAlign w:val="top"/>
          </w:tcPr>
          <w:p w14:paraId="09FCB413">
            <w:pPr>
              <w:pStyle w:val="6"/>
              <w:spacing w:before="98" w:line="191" w:lineRule="auto"/>
              <w:ind w:left="250"/>
            </w:pPr>
            <w:r>
              <w:rPr>
                <w:b/>
                <w:bCs/>
                <w:spacing w:val="-4"/>
              </w:rPr>
              <w:t>1.79</w:t>
            </w:r>
          </w:p>
        </w:tc>
        <w:tc>
          <w:tcPr>
            <w:tcW w:w="992" w:type="dxa"/>
            <w:vAlign w:val="top"/>
          </w:tcPr>
          <w:p w14:paraId="754D6BF7">
            <w:pPr>
              <w:pStyle w:val="6"/>
              <w:spacing w:before="98" w:line="191" w:lineRule="auto"/>
              <w:ind w:left="325"/>
            </w:pPr>
            <w:r>
              <w:rPr>
                <w:b/>
                <w:bCs/>
                <w:spacing w:val="-4"/>
              </w:rPr>
              <w:t>1.20</w:t>
            </w:r>
          </w:p>
        </w:tc>
        <w:tc>
          <w:tcPr>
            <w:tcW w:w="706" w:type="dxa"/>
            <w:vAlign w:val="top"/>
          </w:tcPr>
          <w:p w14:paraId="6029AF1B">
            <w:pPr>
              <w:pStyle w:val="6"/>
              <w:spacing w:before="93" w:line="196" w:lineRule="auto"/>
              <w:ind w:left="177"/>
            </w:pPr>
            <w:r>
              <w:rPr>
                <w:spacing w:val="-2"/>
              </w:rPr>
              <w:t>0.60</w:t>
            </w:r>
          </w:p>
        </w:tc>
        <w:tc>
          <w:tcPr>
            <w:tcW w:w="1838" w:type="dxa"/>
            <w:vAlign w:val="top"/>
          </w:tcPr>
          <w:p w14:paraId="7AED5350">
            <w:pPr>
              <w:pStyle w:val="6"/>
              <w:spacing w:before="184" w:line="101" w:lineRule="exact"/>
              <w:ind w:left="861"/>
            </w:pPr>
            <w:r>
              <w:rPr>
                <w:spacing w:val="-3"/>
                <w:position w:val="-6"/>
              </w:rPr>
              <w:t>--</w:t>
            </w:r>
          </w:p>
        </w:tc>
        <w:tc>
          <w:tcPr>
            <w:tcW w:w="1384" w:type="dxa"/>
            <w:tcBorders>
              <w:right w:val="single" w:color="000000" w:sz="12" w:space="0"/>
            </w:tcBorders>
            <w:vAlign w:val="top"/>
          </w:tcPr>
          <w:p w14:paraId="209F3C1D">
            <w:pPr>
              <w:pStyle w:val="6"/>
              <w:spacing w:before="93" w:line="196" w:lineRule="auto"/>
              <w:ind w:left="517"/>
            </w:pPr>
            <w:r>
              <w:rPr>
                <w:spacing w:val="-2"/>
              </w:rPr>
              <w:t>0.10</w:t>
            </w:r>
          </w:p>
        </w:tc>
      </w:tr>
      <w:tr w14:paraId="04334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325612A3">
            <w:pPr>
              <w:rPr>
                <w:rFonts w:ascii="Arial"/>
                <w:sz w:val="21"/>
              </w:rPr>
            </w:pPr>
          </w:p>
        </w:tc>
        <w:tc>
          <w:tcPr>
            <w:tcW w:w="329" w:type="dxa"/>
            <w:vMerge w:val="continue"/>
            <w:tcBorders>
              <w:top w:val="nil"/>
            </w:tcBorders>
            <w:vAlign w:val="top"/>
          </w:tcPr>
          <w:p w14:paraId="010D46FF">
            <w:pPr>
              <w:rPr>
                <w:rFonts w:ascii="Arial"/>
                <w:sz w:val="21"/>
              </w:rPr>
            </w:pPr>
          </w:p>
        </w:tc>
        <w:tc>
          <w:tcPr>
            <w:tcW w:w="1036" w:type="dxa"/>
            <w:vAlign w:val="top"/>
          </w:tcPr>
          <w:p w14:paraId="1C6E0EE9">
            <w:pPr>
              <w:pStyle w:val="6"/>
              <w:spacing w:before="96" w:line="193" w:lineRule="auto"/>
              <w:ind w:left="132"/>
            </w:pPr>
            <w:r>
              <w:rPr>
                <w:spacing w:val="-1"/>
              </w:rPr>
              <w:t>2021/6/5</w:t>
            </w:r>
          </w:p>
        </w:tc>
        <w:tc>
          <w:tcPr>
            <w:tcW w:w="848" w:type="dxa"/>
            <w:vAlign w:val="top"/>
          </w:tcPr>
          <w:p w14:paraId="3A0C3348">
            <w:pPr>
              <w:pStyle w:val="6"/>
              <w:spacing w:before="96" w:line="193" w:lineRule="auto"/>
              <w:ind w:left="233"/>
            </w:pPr>
            <w:r>
              <w:rPr>
                <w:spacing w:val="-2"/>
              </w:rPr>
              <w:t>0.50</w:t>
            </w:r>
          </w:p>
        </w:tc>
        <w:tc>
          <w:tcPr>
            <w:tcW w:w="848" w:type="dxa"/>
            <w:vAlign w:val="top"/>
          </w:tcPr>
          <w:p w14:paraId="40D32EA0">
            <w:pPr>
              <w:pStyle w:val="6"/>
              <w:spacing w:before="100" w:line="189" w:lineRule="auto"/>
              <w:ind w:left="233"/>
            </w:pPr>
            <w:r>
              <w:rPr>
                <w:b/>
                <w:bCs/>
                <w:spacing w:val="-2"/>
              </w:rPr>
              <w:t>2.20</w:t>
            </w:r>
          </w:p>
        </w:tc>
        <w:tc>
          <w:tcPr>
            <w:tcW w:w="990" w:type="dxa"/>
            <w:vAlign w:val="top"/>
          </w:tcPr>
          <w:p w14:paraId="772352A8">
            <w:pPr>
              <w:pStyle w:val="6"/>
              <w:spacing w:before="96" w:line="193" w:lineRule="auto"/>
              <w:ind w:left="308"/>
            </w:pPr>
            <w:r>
              <w:rPr>
                <w:spacing w:val="-2"/>
              </w:rPr>
              <w:t>0.95</w:t>
            </w:r>
          </w:p>
        </w:tc>
        <w:tc>
          <w:tcPr>
            <w:tcW w:w="990" w:type="dxa"/>
            <w:vAlign w:val="top"/>
          </w:tcPr>
          <w:p w14:paraId="6C4589A5">
            <w:pPr>
              <w:pStyle w:val="6"/>
              <w:spacing w:before="100" w:line="189" w:lineRule="auto"/>
              <w:ind w:left="317"/>
            </w:pPr>
            <w:r>
              <w:rPr>
                <w:b/>
                <w:bCs/>
                <w:spacing w:val="-4"/>
              </w:rPr>
              <w:t>1.20</w:t>
            </w:r>
          </w:p>
        </w:tc>
        <w:tc>
          <w:tcPr>
            <w:tcW w:w="1132" w:type="dxa"/>
            <w:vAlign w:val="top"/>
          </w:tcPr>
          <w:p w14:paraId="3C1F3B35">
            <w:pPr>
              <w:pStyle w:val="6"/>
              <w:spacing w:before="100" w:line="189" w:lineRule="auto"/>
              <w:ind w:left="389"/>
            </w:pPr>
            <w:r>
              <w:rPr>
                <w:b/>
                <w:bCs/>
                <w:spacing w:val="-4"/>
              </w:rPr>
              <w:t>1.27</w:t>
            </w:r>
          </w:p>
        </w:tc>
        <w:tc>
          <w:tcPr>
            <w:tcW w:w="848" w:type="dxa"/>
            <w:vAlign w:val="top"/>
          </w:tcPr>
          <w:p w14:paraId="025D1C99">
            <w:pPr>
              <w:pStyle w:val="6"/>
              <w:spacing w:before="100" w:line="189" w:lineRule="auto"/>
              <w:ind w:left="250"/>
            </w:pPr>
            <w:r>
              <w:rPr>
                <w:b/>
                <w:bCs/>
                <w:spacing w:val="-4"/>
              </w:rPr>
              <w:t>1.83</w:t>
            </w:r>
          </w:p>
        </w:tc>
        <w:tc>
          <w:tcPr>
            <w:tcW w:w="992" w:type="dxa"/>
            <w:vAlign w:val="top"/>
          </w:tcPr>
          <w:p w14:paraId="22641A47">
            <w:pPr>
              <w:pStyle w:val="6"/>
              <w:spacing w:before="100" w:line="189" w:lineRule="auto"/>
              <w:ind w:left="325"/>
            </w:pPr>
            <w:r>
              <w:rPr>
                <w:b/>
                <w:bCs/>
                <w:spacing w:val="-4"/>
              </w:rPr>
              <w:t>1.60</w:t>
            </w:r>
          </w:p>
        </w:tc>
        <w:tc>
          <w:tcPr>
            <w:tcW w:w="706" w:type="dxa"/>
            <w:vAlign w:val="top"/>
          </w:tcPr>
          <w:p w14:paraId="0B6E69EB">
            <w:pPr>
              <w:pStyle w:val="6"/>
              <w:spacing w:before="96" w:line="193" w:lineRule="auto"/>
              <w:ind w:left="177"/>
            </w:pPr>
            <w:r>
              <w:rPr>
                <w:spacing w:val="-2"/>
              </w:rPr>
              <w:t>0.60</w:t>
            </w:r>
          </w:p>
        </w:tc>
        <w:tc>
          <w:tcPr>
            <w:tcW w:w="1838" w:type="dxa"/>
            <w:vAlign w:val="top"/>
          </w:tcPr>
          <w:p w14:paraId="5FD41C88">
            <w:pPr>
              <w:pStyle w:val="6"/>
              <w:spacing w:before="187" w:line="100" w:lineRule="exact"/>
              <w:ind w:left="861"/>
            </w:pPr>
            <w:r>
              <w:rPr>
                <w:spacing w:val="-3"/>
                <w:position w:val="-6"/>
              </w:rPr>
              <w:t>--</w:t>
            </w:r>
          </w:p>
        </w:tc>
        <w:tc>
          <w:tcPr>
            <w:tcW w:w="1384" w:type="dxa"/>
            <w:tcBorders>
              <w:right w:val="single" w:color="000000" w:sz="12" w:space="0"/>
            </w:tcBorders>
            <w:vAlign w:val="top"/>
          </w:tcPr>
          <w:p w14:paraId="713E7F36">
            <w:pPr>
              <w:pStyle w:val="6"/>
              <w:spacing w:before="96" w:line="193" w:lineRule="auto"/>
              <w:ind w:left="517"/>
            </w:pPr>
            <w:r>
              <w:rPr>
                <w:spacing w:val="-2"/>
              </w:rPr>
              <w:t>0.11</w:t>
            </w:r>
          </w:p>
        </w:tc>
      </w:tr>
      <w:tr w14:paraId="73475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0DFD95B5">
            <w:pPr>
              <w:rPr>
                <w:rFonts w:ascii="Arial"/>
                <w:sz w:val="21"/>
              </w:rPr>
            </w:pPr>
          </w:p>
        </w:tc>
        <w:tc>
          <w:tcPr>
            <w:tcW w:w="329" w:type="dxa"/>
            <w:vMerge w:val="restart"/>
            <w:tcBorders>
              <w:bottom w:val="nil"/>
            </w:tcBorders>
            <w:vAlign w:val="top"/>
          </w:tcPr>
          <w:p w14:paraId="2B0D4916">
            <w:pPr>
              <w:pStyle w:val="6"/>
              <w:spacing w:before="138" w:line="222" w:lineRule="auto"/>
              <w:ind w:left="102"/>
            </w:pPr>
            <w:r>
              <w:t>3</w:t>
            </w:r>
          </w:p>
          <w:p w14:paraId="0CA9DEC1">
            <w:pPr>
              <w:spacing w:line="219" w:lineRule="auto"/>
              <w:ind w:left="49"/>
              <w:rPr>
                <w:rFonts w:ascii="宋体" w:hAnsi="宋体" w:eastAsia="宋体" w:cs="宋体"/>
                <w:sz w:val="21"/>
                <w:szCs w:val="21"/>
              </w:rPr>
            </w:pPr>
            <w:r>
              <w:rPr>
                <w:rFonts w:ascii="宋体" w:hAnsi="宋体" w:eastAsia="宋体" w:cs="宋体"/>
                <w:sz w:val="21"/>
                <w:szCs w:val="21"/>
              </w:rPr>
              <w:t>季</w:t>
            </w:r>
          </w:p>
          <w:p w14:paraId="6E16E87D">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758966CC">
            <w:pPr>
              <w:pStyle w:val="6"/>
              <w:spacing w:before="97" w:line="193" w:lineRule="auto"/>
              <w:ind w:left="79"/>
            </w:pPr>
            <w:r>
              <w:rPr>
                <w:spacing w:val="-1"/>
              </w:rPr>
              <w:t>2021/7/19</w:t>
            </w:r>
          </w:p>
        </w:tc>
        <w:tc>
          <w:tcPr>
            <w:tcW w:w="848" w:type="dxa"/>
            <w:vAlign w:val="top"/>
          </w:tcPr>
          <w:p w14:paraId="3257A5D4">
            <w:pPr>
              <w:pStyle w:val="6"/>
              <w:spacing w:before="97" w:line="193" w:lineRule="auto"/>
              <w:ind w:left="233"/>
            </w:pPr>
            <w:r>
              <w:rPr>
                <w:spacing w:val="-2"/>
              </w:rPr>
              <w:t>0.40</w:t>
            </w:r>
          </w:p>
        </w:tc>
        <w:tc>
          <w:tcPr>
            <w:tcW w:w="848" w:type="dxa"/>
            <w:vAlign w:val="top"/>
          </w:tcPr>
          <w:p w14:paraId="0E18C5B1">
            <w:pPr>
              <w:pStyle w:val="6"/>
              <w:spacing w:before="101" w:line="189" w:lineRule="auto"/>
              <w:ind w:left="242"/>
            </w:pPr>
            <w:r>
              <w:rPr>
                <w:b/>
                <w:bCs/>
                <w:spacing w:val="-4"/>
              </w:rPr>
              <w:t>1.60</w:t>
            </w:r>
          </w:p>
        </w:tc>
        <w:tc>
          <w:tcPr>
            <w:tcW w:w="990" w:type="dxa"/>
            <w:vAlign w:val="top"/>
          </w:tcPr>
          <w:p w14:paraId="13DAD9CA">
            <w:pPr>
              <w:pStyle w:val="6"/>
              <w:spacing w:before="101" w:line="189" w:lineRule="auto"/>
              <w:ind w:left="315"/>
            </w:pPr>
            <w:r>
              <w:rPr>
                <w:b/>
                <w:bCs/>
                <w:spacing w:val="-4"/>
              </w:rPr>
              <w:t>1.35</w:t>
            </w:r>
          </w:p>
        </w:tc>
        <w:tc>
          <w:tcPr>
            <w:tcW w:w="990" w:type="dxa"/>
            <w:vAlign w:val="top"/>
          </w:tcPr>
          <w:p w14:paraId="0FE73ACE">
            <w:pPr>
              <w:pStyle w:val="6"/>
              <w:spacing w:before="101" w:line="189" w:lineRule="auto"/>
              <w:ind w:left="317"/>
            </w:pPr>
            <w:r>
              <w:rPr>
                <w:b/>
                <w:bCs/>
                <w:spacing w:val="-4"/>
              </w:rPr>
              <w:t>1.07</w:t>
            </w:r>
          </w:p>
        </w:tc>
        <w:tc>
          <w:tcPr>
            <w:tcW w:w="1132" w:type="dxa"/>
            <w:vAlign w:val="top"/>
          </w:tcPr>
          <w:p w14:paraId="1170D8E4">
            <w:pPr>
              <w:pStyle w:val="6"/>
              <w:spacing w:before="101" w:line="189" w:lineRule="auto"/>
              <w:ind w:left="389"/>
            </w:pPr>
            <w:r>
              <w:rPr>
                <w:b/>
                <w:bCs/>
                <w:spacing w:val="-4"/>
              </w:rPr>
              <w:t>1.00</w:t>
            </w:r>
          </w:p>
        </w:tc>
        <w:tc>
          <w:tcPr>
            <w:tcW w:w="848" w:type="dxa"/>
            <w:vAlign w:val="top"/>
          </w:tcPr>
          <w:p w14:paraId="407C7AC1">
            <w:pPr>
              <w:pStyle w:val="6"/>
              <w:spacing w:before="97" w:line="193" w:lineRule="auto"/>
              <w:ind w:left="243"/>
            </w:pPr>
            <w:r>
              <w:rPr>
                <w:spacing w:val="-2"/>
              </w:rPr>
              <w:t>0.71</w:t>
            </w:r>
          </w:p>
        </w:tc>
        <w:tc>
          <w:tcPr>
            <w:tcW w:w="992" w:type="dxa"/>
            <w:vAlign w:val="top"/>
          </w:tcPr>
          <w:p w14:paraId="1A520C5B">
            <w:pPr>
              <w:pStyle w:val="6"/>
              <w:spacing w:before="101" w:line="189" w:lineRule="auto"/>
              <w:ind w:left="325"/>
            </w:pPr>
            <w:r>
              <w:rPr>
                <w:b/>
                <w:bCs/>
                <w:spacing w:val="-4"/>
              </w:rPr>
              <w:t>1.20</w:t>
            </w:r>
          </w:p>
        </w:tc>
        <w:tc>
          <w:tcPr>
            <w:tcW w:w="706" w:type="dxa"/>
            <w:vAlign w:val="top"/>
          </w:tcPr>
          <w:p w14:paraId="22C13B0F">
            <w:pPr>
              <w:pStyle w:val="6"/>
              <w:spacing w:before="97" w:line="193" w:lineRule="auto"/>
              <w:ind w:left="177"/>
            </w:pPr>
            <w:r>
              <w:rPr>
                <w:spacing w:val="-2"/>
              </w:rPr>
              <w:t>0.80</w:t>
            </w:r>
          </w:p>
        </w:tc>
        <w:tc>
          <w:tcPr>
            <w:tcW w:w="1838" w:type="dxa"/>
            <w:vAlign w:val="top"/>
          </w:tcPr>
          <w:p w14:paraId="256A579C">
            <w:pPr>
              <w:pStyle w:val="6"/>
              <w:spacing w:before="97" w:line="193" w:lineRule="auto"/>
              <w:ind w:left="747"/>
            </w:pPr>
            <w:r>
              <w:rPr>
                <w:spacing w:val="-2"/>
              </w:rPr>
              <w:t>0.88</w:t>
            </w:r>
          </w:p>
        </w:tc>
        <w:tc>
          <w:tcPr>
            <w:tcW w:w="1384" w:type="dxa"/>
            <w:tcBorders>
              <w:right w:val="single" w:color="000000" w:sz="12" w:space="0"/>
            </w:tcBorders>
            <w:vAlign w:val="top"/>
          </w:tcPr>
          <w:p w14:paraId="3CF38032">
            <w:pPr>
              <w:pStyle w:val="6"/>
              <w:spacing w:before="97" w:line="193" w:lineRule="auto"/>
              <w:ind w:left="517"/>
            </w:pPr>
            <w:r>
              <w:rPr>
                <w:spacing w:val="-2"/>
              </w:rPr>
              <w:t>0.07</w:t>
            </w:r>
          </w:p>
        </w:tc>
      </w:tr>
      <w:tr w14:paraId="71FD1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6B00DA6E">
            <w:pPr>
              <w:rPr>
                <w:rFonts w:ascii="Arial"/>
                <w:sz w:val="21"/>
              </w:rPr>
            </w:pPr>
          </w:p>
        </w:tc>
        <w:tc>
          <w:tcPr>
            <w:tcW w:w="329" w:type="dxa"/>
            <w:vMerge w:val="continue"/>
            <w:tcBorders>
              <w:top w:val="nil"/>
              <w:bottom w:val="nil"/>
            </w:tcBorders>
            <w:vAlign w:val="top"/>
          </w:tcPr>
          <w:p w14:paraId="376E469E">
            <w:pPr>
              <w:rPr>
                <w:rFonts w:ascii="Arial"/>
                <w:sz w:val="21"/>
              </w:rPr>
            </w:pPr>
          </w:p>
        </w:tc>
        <w:tc>
          <w:tcPr>
            <w:tcW w:w="1036" w:type="dxa"/>
            <w:vAlign w:val="top"/>
          </w:tcPr>
          <w:p w14:paraId="0FA5959A">
            <w:pPr>
              <w:pStyle w:val="6"/>
              <w:spacing w:before="98" w:line="191" w:lineRule="auto"/>
              <w:ind w:left="79"/>
            </w:pPr>
            <w:r>
              <w:rPr>
                <w:spacing w:val="-1"/>
              </w:rPr>
              <w:t>2021/7/20</w:t>
            </w:r>
          </w:p>
        </w:tc>
        <w:tc>
          <w:tcPr>
            <w:tcW w:w="848" w:type="dxa"/>
            <w:vAlign w:val="top"/>
          </w:tcPr>
          <w:p w14:paraId="58B470C2">
            <w:pPr>
              <w:pStyle w:val="6"/>
              <w:spacing w:before="98" w:line="191" w:lineRule="auto"/>
              <w:ind w:left="233"/>
            </w:pPr>
            <w:r>
              <w:rPr>
                <w:spacing w:val="-2"/>
              </w:rPr>
              <w:t>0.45</w:t>
            </w:r>
          </w:p>
        </w:tc>
        <w:tc>
          <w:tcPr>
            <w:tcW w:w="848" w:type="dxa"/>
            <w:vAlign w:val="top"/>
          </w:tcPr>
          <w:p w14:paraId="5F647A2E">
            <w:pPr>
              <w:pStyle w:val="6"/>
              <w:spacing w:before="103" w:line="186" w:lineRule="auto"/>
              <w:ind w:left="233"/>
            </w:pPr>
            <w:r>
              <w:rPr>
                <w:b/>
                <w:bCs/>
                <w:spacing w:val="-2"/>
              </w:rPr>
              <w:t>2.05</w:t>
            </w:r>
          </w:p>
        </w:tc>
        <w:tc>
          <w:tcPr>
            <w:tcW w:w="990" w:type="dxa"/>
            <w:vAlign w:val="top"/>
          </w:tcPr>
          <w:p w14:paraId="6A19E38A">
            <w:pPr>
              <w:pStyle w:val="6"/>
              <w:spacing w:before="103" w:line="186" w:lineRule="auto"/>
              <w:ind w:left="315"/>
            </w:pPr>
            <w:r>
              <w:rPr>
                <w:b/>
                <w:bCs/>
                <w:spacing w:val="-4"/>
              </w:rPr>
              <w:t>1.45</w:t>
            </w:r>
          </w:p>
        </w:tc>
        <w:tc>
          <w:tcPr>
            <w:tcW w:w="990" w:type="dxa"/>
            <w:vAlign w:val="top"/>
          </w:tcPr>
          <w:p w14:paraId="77FF69C4">
            <w:pPr>
              <w:pStyle w:val="6"/>
              <w:spacing w:before="103" w:line="186" w:lineRule="auto"/>
              <w:ind w:left="317"/>
            </w:pPr>
            <w:r>
              <w:rPr>
                <w:b/>
                <w:bCs/>
                <w:spacing w:val="-4"/>
              </w:rPr>
              <w:t>1.27</w:t>
            </w:r>
          </w:p>
        </w:tc>
        <w:tc>
          <w:tcPr>
            <w:tcW w:w="1132" w:type="dxa"/>
            <w:vAlign w:val="top"/>
          </w:tcPr>
          <w:p w14:paraId="56BC88D9">
            <w:pPr>
              <w:pStyle w:val="6"/>
              <w:spacing w:before="103" w:line="186" w:lineRule="auto"/>
              <w:ind w:left="389"/>
            </w:pPr>
            <w:r>
              <w:rPr>
                <w:b/>
                <w:bCs/>
                <w:spacing w:val="-4"/>
              </w:rPr>
              <w:t>1.20</w:t>
            </w:r>
          </w:p>
        </w:tc>
        <w:tc>
          <w:tcPr>
            <w:tcW w:w="848" w:type="dxa"/>
            <w:vAlign w:val="top"/>
          </w:tcPr>
          <w:p w14:paraId="743AB238">
            <w:pPr>
              <w:pStyle w:val="6"/>
              <w:spacing w:before="98" w:line="191" w:lineRule="auto"/>
              <w:ind w:left="243"/>
            </w:pPr>
            <w:r>
              <w:rPr>
                <w:spacing w:val="-2"/>
              </w:rPr>
              <w:t>0.70</w:t>
            </w:r>
          </w:p>
        </w:tc>
        <w:tc>
          <w:tcPr>
            <w:tcW w:w="992" w:type="dxa"/>
            <w:vAlign w:val="top"/>
          </w:tcPr>
          <w:p w14:paraId="12A84B9F">
            <w:pPr>
              <w:pStyle w:val="6"/>
              <w:spacing w:before="103" w:line="186" w:lineRule="auto"/>
              <w:ind w:left="325"/>
            </w:pPr>
            <w:r>
              <w:rPr>
                <w:b/>
                <w:bCs/>
                <w:spacing w:val="-4"/>
              </w:rPr>
              <w:t>1.60</w:t>
            </w:r>
          </w:p>
        </w:tc>
        <w:tc>
          <w:tcPr>
            <w:tcW w:w="706" w:type="dxa"/>
            <w:vAlign w:val="top"/>
          </w:tcPr>
          <w:p w14:paraId="75FB76BB">
            <w:pPr>
              <w:pStyle w:val="6"/>
              <w:spacing w:before="98" w:line="191" w:lineRule="auto"/>
              <w:ind w:left="177"/>
            </w:pPr>
            <w:r>
              <w:rPr>
                <w:spacing w:val="-2"/>
              </w:rPr>
              <w:t>0.80</w:t>
            </w:r>
          </w:p>
        </w:tc>
        <w:tc>
          <w:tcPr>
            <w:tcW w:w="1838" w:type="dxa"/>
            <w:vAlign w:val="top"/>
          </w:tcPr>
          <w:p w14:paraId="64A4656E">
            <w:pPr>
              <w:pStyle w:val="6"/>
              <w:spacing w:before="98" w:line="191" w:lineRule="auto"/>
              <w:ind w:left="747"/>
            </w:pPr>
            <w:r>
              <w:rPr>
                <w:spacing w:val="-2"/>
              </w:rPr>
              <w:t>0.86</w:t>
            </w:r>
          </w:p>
        </w:tc>
        <w:tc>
          <w:tcPr>
            <w:tcW w:w="1384" w:type="dxa"/>
            <w:tcBorders>
              <w:right w:val="single" w:color="000000" w:sz="12" w:space="0"/>
            </w:tcBorders>
            <w:vAlign w:val="top"/>
          </w:tcPr>
          <w:p w14:paraId="706FECD9">
            <w:pPr>
              <w:pStyle w:val="6"/>
              <w:spacing w:before="98" w:line="191" w:lineRule="auto"/>
              <w:ind w:left="517"/>
            </w:pPr>
            <w:r>
              <w:rPr>
                <w:spacing w:val="-2"/>
              </w:rPr>
              <w:t>0.06</w:t>
            </w:r>
          </w:p>
        </w:tc>
      </w:tr>
      <w:tr w14:paraId="016F7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465" w:type="dxa"/>
            <w:vMerge w:val="continue"/>
            <w:tcBorders>
              <w:top w:val="nil"/>
              <w:left w:val="single" w:color="000000" w:sz="12" w:space="0"/>
              <w:bottom w:val="nil"/>
            </w:tcBorders>
            <w:vAlign w:val="top"/>
          </w:tcPr>
          <w:p w14:paraId="4CB73543">
            <w:pPr>
              <w:rPr>
                <w:rFonts w:ascii="Arial"/>
                <w:sz w:val="21"/>
              </w:rPr>
            </w:pPr>
          </w:p>
        </w:tc>
        <w:tc>
          <w:tcPr>
            <w:tcW w:w="329" w:type="dxa"/>
            <w:vMerge w:val="continue"/>
            <w:tcBorders>
              <w:top w:val="nil"/>
            </w:tcBorders>
            <w:vAlign w:val="top"/>
          </w:tcPr>
          <w:p w14:paraId="43A673E6">
            <w:pPr>
              <w:rPr>
                <w:rFonts w:ascii="Arial"/>
                <w:sz w:val="21"/>
              </w:rPr>
            </w:pPr>
          </w:p>
        </w:tc>
        <w:tc>
          <w:tcPr>
            <w:tcW w:w="1036" w:type="dxa"/>
            <w:vAlign w:val="top"/>
          </w:tcPr>
          <w:p w14:paraId="278DE624">
            <w:pPr>
              <w:pStyle w:val="6"/>
              <w:spacing w:before="99" w:line="191" w:lineRule="auto"/>
              <w:ind w:left="79"/>
            </w:pPr>
            <w:r>
              <w:rPr>
                <w:spacing w:val="-1"/>
              </w:rPr>
              <w:t>2021/7/21</w:t>
            </w:r>
          </w:p>
        </w:tc>
        <w:tc>
          <w:tcPr>
            <w:tcW w:w="848" w:type="dxa"/>
            <w:vAlign w:val="top"/>
          </w:tcPr>
          <w:p w14:paraId="461CA155">
            <w:pPr>
              <w:pStyle w:val="6"/>
              <w:spacing w:before="99" w:line="191" w:lineRule="auto"/>
              <w:ind w:left="233"/>
            </w:pPr>
            <w:r>
              <w:rPr>
                <w:spacing w:val="-2"/>
              </w:rPr>
              <w:t>0.45</w:t>
            </w:r>
          </w:p>
        </w:tc>
        <w:tc>
          <w:tcPr>
            <w:tcW w:w="848" w:type="dxa"/>
            <w:vAlign w:val="top"/>
          </w:tcPr>
          <w:p w14:paraId="4AFF2DD6">
            <w:pPr>
              <w:pStyle w:val="6"/>
              <w:spacing w:before="104" w:line="186" w:lineRule="auto"/>
              <w:ind w:left="242"/>
            </w:pPr>
            <w:r>
              <w:rPr>
                <w:b/>
                <w:bCs/>
                <w:spacing w:val="-4"/>
              </w:rPr>
              <w:t>1.30</w:t>
            </w:r>
          </w:p>
        </w:tc>
        <w:tc>
          <w:tcPr>
            <w:tcW w:w="990" w:type="dxa"/>
            <w:vAlign w:val="top"/>
          </w:tcPr>
          <w:p w14:paraId="6AE19CFE">
            <w:pPr>
              <w:pStyle w:val="6"/>
              <w:spacing w:before="104" w:line="186" w:lineRule="auto"/>
              <w:ind w:left="315"/>
            </w:pPr>
            <w:r>
              <w:rPr>
                <w:b/>
                <w:bCs/>
                <w:spacing w:val="-4"/>
              </w:rPr>
              <w:t>1.30</w:t>
            </w:r>
          </w:p>
        </w:tc>
        <w:tc>
          <w:tcPr>
            <w:tcW w:w="990" w:type="dxa"/>
            <w:vAlign w:val="top"/>
          </w:tcPr>
          <w:p w14:paraId="3E808ADF">
            <w:pPr>
              <w:pStyle w:val="6"/>
              <w:spacing w:before="104" w:line="186" w:lineRule="auto"/>
              <w:ind w:left="317"/>
            </w:pPr>
            <w:r>
              <w:rPr>
                <w:b/>
                <w:bCs/>
                <w:spacing w:val="-4"/>
              </w:rPr>
              <w:t>1.13</w:t>
            </w:r>
          </w:p>
        </w:tc>
        <w:tc>
          <w:tcPr>
            <w:tcW w:w="1132" w:type="dxa"/>
            <w:vAlign w:val="top"/>
          </w:tcPr>
          <w:p w14:paraId="1FB0B129">
            <w:pPr>
              <w:pStyle w:val="6"/>
              <w:spacing w:before="104" w:line="186" w:lineRule="auto"/>
              <w:ind w:left="389"/>
            </w:pPr>
            <w:r>
              <w:rPr>
                <w:b/>
                <w:bCs/>
                <w:spacing w:val="-4"/>
              </w:rPr>
              <w:t>1.07</w:t>
            </w:r>
          </w:p>
        </w:tc>
        <w:tc>
          <w:tcPr>
            <w:tcW w:w="848" w:type="dxa"/>
            <w:vAlign w:val="top"/>
          </w:tcPr>
          <w:p w14:paraId="5BDBCBC9">
            <w:pPr>
              <w:pStyle w:val="6"/>
              <w:spacing w:before="99" w:line="191" w:lineRule="auto"/>
              <w:ind w:left="243"/>
            </w:pPr>
            <w:r>
              <w:rPr>
                <w:spacing w:val="-2"/>
              </w:rPr>
              <w:t>0.73</w:t>
            </w:r>
          </w:p>
        </w:tc>
        <w:tc>
          <w:tcPr>
            <w:tcW w:w="992" w:type="dxa"/>
            <w:vAlign w:val="top"/>
          </w:tcPr>
          <w:p w14:paraId="2019D376">
            <w:pPr>
              <w:pStyle w:val="6"/>
              <w:spacing w:before="104" w:line="186" w:lineRule="auto"/>
              <w:ind w:left="325"/>
            </w:pPr>
            <w:r>
              <w:rPr>
                <w:b/>
                <w:bCs/>
                <w:spacing w:val="-4"/>
              </w:rPr>
              <w:t>1.60</w:t>
            </w:r>
          </w:p>
        </w:tc>
        <w:tc>
          <w:tcPr>
            <w:tcW w:w="706" w:type="dxa"/>
            <w:vAlign w:val="top"/>
          </w:tcPr>
          <w:p w14:paraId="69EFFD52">
            <w:pPr>
              <w:pStyle w:val="6"/>
              <w:spacing w:before="99" w:line="191" w:lineRule="auto"/>
              <w:ind w:left="177"/>
            </w:pPr>
            <w:r>
              <w:rPr>
                <w:spacing w:val="-2"/>
              </w:rPr>
              <w:t>0.60</w:t>
            </w:r>
          </w:p>
        </w:tc>
        <w:tc>
          <w:tcPr>
            <w:tcW w:w="1838" w:type="dxa"/>
            <w:vAlign w:val="top"/>
          </w:tcPr>
          <w:p w14:paraId="637CF61B">
            <w:pPr>
              <w:pStyle w:val="6"/>
              <w:spacing w:before="99" w:line="191" w:lineRule="auto"/>
              <w:ind w:left="747"/>
            </w:pPr>
            <w:r>
              <w:rPr>
                <w:spacing w:val="-2"/>
              </w:rPr>
              <w:t>0.84</w:t>
            </w:r>
          </w:p>
        </w:tc>
        <w:tc>
          <w:tcPr>
            <w:tcW w:w="1384" w:type="dxa"/>
            <w:tcBorders>
              <w:right w:val="single" w:color="000000" w:sz="12" w:space="0"/>
            </w:tcBorders>
            <w:vAlign w:val="top"/>
          </w:tcPr>
          <w:p w14:paraId="40B5C370">
            <w:pPr>
              <w:pStyle w:val="6"/>
              <w:spacing w:before="99" w:line="191" w:lineRule="auto"/>
              <w:ind w:left="517"/>
            </w:pPr>
            <w:r>
              <w:rPr>
                <w:spacing w:val="-2"/>
              </w:rPr>
              <w:t>0.06</w:t>
            </w:r>
          </w:p>
        </w:tc>
      </w:tr>
      <w:tr w14:paraId="6C87A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4F4603FA">
            <w:pPr>
              <w:rPr>
                <w:rFonts w:ascii="Arial"/>
                <w:sz w:val="21"/>
              </w:rPr>
            </w:pPr>
          </w:p>
        </w:tc>
        <w:tc>
          <w:tcPr>
            <w:tcW w:w="329" w:type="dxa"/>
            <w:vMerge w:val="restart"/>
            <w:tcBorders>
              <w:bottom w:val="nil"/>
            </w:tcBorders>
            <w:vAlign w:val="top"/>
          </w:tcPr>
          <w:p w14:paraId="6E8F37B5">
            <w:pPr>
              <w:pStyle w:val="6"/>
              <w:spacing w:before="140" w:line="222" w:lineRule="auto"/>
              <w:ind w:left="96"/>
            </w:pPr>
            <w:r>
              <w:t>4</w:t>
            </w:r>
          </w:p>
          <w:p w14:paraId="004B83D6">
            <w:pPr>
              <w:spacing w:line="219" w:lineRule="auto"/>
              <w:ind w:left="49"/>
              <w:rPr>
                <w:rFonts w:ascii="宋体" w:hAnsi="宋体" w:eastAsia="宋体" w:cs="宋体"/>
                <w:sz w:val="21"/>
                <w:szCs w:val="21"/>
              </w:rPr>
            </w:pPr>
            <w:r>
              <w:rPr>
                <w:rFonts w:ascii="宋体" w:hAnsi="宋体" w:eastAsia="宋体" w:cs="宋体"/>
                <w:sz w:val="21"/>
                <w:szCs w:val="21"/>
              </w:rPr>
              <w:t>季</w:t>
            </w:r>
          </w:p>
          <w:p w14:paraId="339F8BE0">
            <w:pPr>
              <w:spacing w:before="22" w:line="220" w:lineRule="auto"/>
              <w:ind w:left="47"/>
              <w:rPr>
                <w:rFonts w:ascii="宋体" w:hAnsi="宋体" w:eastAsia="宋体" w:cs="宋体"/>
                <w:sz w:val="21"/>
                <w:szCs w:val="21"/>
              </w:rPr>
            </w:pPr>
            <w:r>
              <w:rPr>
                <w:rFonts w:ascii="宋体" w:hAnsi="宋体" w:eastAsia="宋体" w:cs="宋体"/>
                <w:sz w:val="21"/>
                <w:szCs w:val="21"/>
              </w:rPr>
              <w:t>度</w:t>
            </w:r>
          </w:p>
        </w:tc>
        <w:tc>
          <w:tcPr>
            <w:tcW w:w="1036" w:type="dxa"/>
            <w:vAlign w:val="top"/>
          </w:tcPr>
          <w:p w14:paraId="5A304DB5">
            <w:pPr>
              <w:pStyle w:val="6"/>
              <w:spacing w:before="99" w:line="190" w:lineRule="auto"/>
              <w:ind w:left="26"/>
            </w:pPr>
            <w:r>
              <w:rPr>
                <w:spacing w:val="-1"/>
              </w:rPr>
              <w:t>2021/11/28</w:t>
            </w:r>
          </w:p>
        </w:tc>
        <w:tc>
          <w:tcPr>
            <w:tcW w:w="848" w:type="dxa"/>
            <w:vAlign w:val="top"/>
          </w:tcPr>
          <w:p w14:paraId="480586D9">
            <w:pPr>
              <w:pStyle w:val="6"/>
              <w:spacing w:before="99" w:line="190" w:lineRule="auto"/>
              <w:ind w:left="233"/>
            </w:pPr>
            <w:r>
              <w:rPr>
                <w:spacing w:val="-2"/>
              </w:rPr>
              <w:t>0.35</w:t>
            </w:r>
          </w:p>
        </w:tc>
        <w:tc>
          <w:tcPr>
            <w:tcW w:w="848" w:type="dxa"/>
            <w:vAlign w:val="top"/>
          </w:tcPr>
          <w:p w14:paraId="2B4A1E99">
            <w:pPr>
              <w:pStyle w:val="6"/>
              <w:spacing w:before="99" w:line="190" w:lineRule="auto"/>
              <w:ind w:left="236"/>
            </w:pPr>
            <w:r>
              <w:rPr>
                <w:spacing w:val="-2"/>
              </w:rPr>
              <w:t>0.35</w:t>
            </w:r>
          </w:p>
        </w:tc>
        <w:tc>
          <w:tcPr>
            <w:tcW w:w="990" w:type="dxa"/>
            <w:vAlign w:val="top"/>
          </w:tcPr>
          <w:p w14:paraId="5A2F063D">
            <w:pPr>
              <w:pStyle w:val="6"/>
              <w:spacing w:before="104" w:line="185" w:lineRule="auto"/>
              <w:ind w:left="315"/>
            </w:pPr>
            <w:r>
              <w:rPr>
                <w:b/>
                <w:bCs/>
                <w:spacing w:val="-4"/>
              </w:rPr>
              <w:t>1.10</w:t>
            </w:r>
          </w:p>
        </w:tc>
        <w:tc>
          <w:tcPr>
            <w:tcW w:w="990" w:type="dxa"/>
            <w:vAlign w:val="top"/>
          </w:tcPr>
          <w:p w14:paraId="6B2DDD3B">
            <w:pPr>
              <w:pStyle w:val="6"/>
              <w:spacing w:before="104" w:line="185" w:lineRule="auto"/>
              <w:ind w:left="317"/>
            </w:pPr>
            <w:r>
              <w:rPr>
                <w:b/>
                <w:bCs/>
                <w:spacing w:val="-4"/>
              </w:rPr>
              <w:t>1.07</w:t>
            </w:r>
          </w:p>
        </w:tc>
        <w:tc>
          <w:tcPr>
            <w:tcW w:w="1132" w:type="dxa"/>
            <w:vAlign w:val="top"/>
          </w:tcPr>
          <w:p w14:paraId="575EDDCC">
            <w:pPr>
              <w:pStyle w:val="6"/>
              <w:spacing w:before="104" w:line="185" w:lineRule="auto"/>
              <w:ind w:left="389"/>
            </w:pPr>
            <w:r>
              <w:rPr>
                <w:b/>
                <w:bCs/>
                <w:spacing w:val="-4"/>
              </w:rPr>
              <w:t>1.07</w:t>
            </w:r>
          </w:p>
        </w:tc>
        <w:tc>
          <w:tcPr>
            <w:tcW w:w="848" w:type="dxa"/>
            <w:vAlign w:val="top"/>
          </w:tcPr>
          <w:p w14:paraId="53D63CBE">
            <w:pPr>
              <w:pStyle w:val="6"/>
              <w:spacing w:before="99" w:line="190" w:lineRule="auto"/>
              <w:ind w:left="243"/>
            </w:pPr>
            <w:r>
              <w:rPr>
                <w:spacing w:val="-2"/>
              </w:rPr>
              <w:t>0.67</w:t>
            </w:r>
          </w:p>
        </w:tc>
        <w:tc>
          <w:tcPr>
            <w:tcW w:w="992" w:type="dxa"/>
            <w:vAlign w:val="top"/>
          </w:tcPr>
          <w:p w14:paraId="69A78E4C">
            <w:pPr>
              <w:pStyle w:val="6"/>
              <w:spacing w:before="104" w:line="185" w:lineRule="auto"/>
              <w:ind w:left="325"/>
            </w:pPr>
            <w:r>
              <w:rPr>
                <w:b/>
                <w:bCs/>
                <w:spacing w:val="-4"/>
              </w:rPr>
              <w:t>1.60</w:t>
            </w:r>
          </w:p>
        </w:tc>
        <w:tc>
          <w:tcPr>
            <w:tcW w:w="706" w:type="dxa"/>
            <w:vAlign w:val="top"/>
          </w:tcPr>
          <w:p w14:paraId="2FD1C79F">
            <w:pPr>
              <w:pStyle w:val="6"/>
              <w:spacing w:before="99" w:line="190" w:lineRule="auto"/>
              <w:ind w:left="177"/>
            </w:pPr>
            <w:r>
              <w:rPr>
                <w:spacing w:val="-2"/>
              </w:rPr>
              <w:t>0.80</w:t>
            </w:r>
          </w:p>
        </w:tc>
        <w:tc>
          <w:tcPr>
            <w:tcW w:w="1838" w:type="dxa"/>
            <w:vAlign w:val="top"/>
          </w:tcPr>
          <w:p w14:paraId="3B866A2A">
            <w:pPr>
              <w:pStyle w:val="6"/>
              <w:spacing w:before="190" w:line="100" w:lineRule="exact"/>
              <w:ind w:left="861"/>
            </w:pPr>
            <w:r>
              <w:rPr>
                <w:spacing w:val="-3"/>
                <w:position w:val="-6"/>
              </w:rPr>
              <w:t>--</w:t>
            </w:r>
          </w:p>
        </w:tc>
        <w:tc>
          <w:tcPr>
            <w:tcW w:w="1384" w:type="dxa"/>
            <w:tcBorders>
              <w:right w:val="single" w:color="000000" w:sz="12" w:space="0"/>
            </w:tcBorders>
            <w:vAlign w:val="top"/>
          </w:tcPr>
          <w:p w14:paraId="0FCACB42">
            <w:pPr>
              <w:pStyle w:val="6"/>
              <w:spacing w:before="99" w:line="190" w:lineRule="auto"/>
              <w:ind w:left="517"/>
            </w:pPr>
            <w:r>
              <w:rPr>
                <w:spacing w:val="-2"/>
              </w:rPr>
              <w:t>0.05</w:t>
            </w:r>
          </w:p>
        </w:tc>
      </w:tr>
      <w:tr w14:paraId="3C106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1465" w:type="dxa"/>
            <w:vMerge w:val="continue"/>
            <w:tcBorders>
              <w:top w:val="nil"/>
              <w:left w:val="single" w:color="000000" w:sz="12" w:space="0"/>
              <w:bottom w:val="nil"/>
            </w:tcBorders>
            <w:vAlign w:val="top"/>
          </w:tcPr>
          <w:p w14:paraId="51E246AF">
            <w:pPr>
              <w:rPr>
                <w:rFonts w:ascii="Arial"/>
                <w:sz w:val="21"/>
              </w:rPr>
            </w:pPr>
          </w:p>
        </w:tc>
        <w:tc>
          <w:tcPr>
            <w:tcW w:w="329" w:type="dxa"/>
            <w:vMerge w:val="continue"/>
            <w:tcBorders>
              <w:top w:val="nil"/>
              <w:bottom w:val="nil"/>
            </w:tcBorders>
            <w:vAlign w:val="top"/>
          </w:tcPr>
          <w:p w14:paraId="0F270CAE">
            <w:pPr>
              <w:rPr>
                <w:rFonts w:ascii="Arial"/>
                <w:sz w:val="21"/>
              </w:rPr>
            </w:pPr>
          </w:p>
        </w:tc>
        <w:tc>
          <w:tcPr>
            <w:tcW w:w="1036" w:type="dxa"/>
            <w:vAlign w:val="top"/>
          </w:tcPr>
          <w:p w14:paraId="1C764661">
            <w:pPr>
              <w:pStyle w:val="6"/>
              <w:spacing w:before="101" w:line="188" w:lineRule="auto"/>
              <w:ind w:left="26"/>
            </w:pPr>
            <w:r>
              <w:rPr>
                <w:spacing w:val="-1"/>
              </w:rPr>
              <w:t>2021/11/29</w:t>
            </w:r>
          </w:p>
        </w:tc>
        <w:tc>
          <w:tcPr>
            <w:tcW w:w="848" w:type="dxa"/>
            <w:vAlign w:val="top"/>
          </w:tcPr>
          <w:p w14:paraId="194020DF">
            <w:pPr>
              <w:pStyle w:val="6"/>
              <w:spacing w:before="101" w:line="188" w:lineRule="auto"/>
              <w:ind w:left="233"/>
            </w:pPr>
            <w:r>
              <w:rPr>
                <w:spacing w:val="-2"/>
              </w:rPr>
              <w:t>0.40</w:t>
            </w:r>
          </w:p>
        </w:tc>
        <w:tc>
          <w:tcPr>
            <w:tcW w:w="848" w:type="dxa"/>
            <w:vAlign w:val="top"/>
          </w:tcPr>
          <w:p w14:paraId="58197467">
            <w:pPr>
              <w:pStyle w:val="6"/>
              <w:spacing w:before="101" w:line="188" w:lineRule="auto"/>
              <w:ind w:left="236"/>
            </w:pPr>
            <w:r>
              <w:rPr>
                <w:spacing w:val="-2"/>
              </w:rPr>
              <w:t>0.40</w:t>
            </w:r>
          </w:p>
        </w:tc>
        <w:tc>
          <w:tcPr>
            <w:tcW w:w="990" w:type="dxa"/>
            <w:vAlign w:val="top"/>
          </w:tcPr>
          <w:p w14:paraId="514B264A">
            <w:pPr>
              <w:pStyle w:val="6"/>
              <w:spacing w:before="106" w:line="183" w:lineRule="auto"/>
              <w:ind w:left="315"/>
            </w:pPr>
            <w:r>
              <w:rPr>
                <w:b/>
                <w:bCs/>
                <w:spacing w:val="-4"/>
              </w:rPr>
              <w:t>1.08</w:t>
            </w:r>
          </w:p>
        </w:tc>
        <w:tc>
          <w:tcPr>
            <w:tcW w:w="990" w:type="dxa"/>
            <w:vAlign w:val="top"/>
          </w:tcPr>
          <w:p w14:paraId="51703784">
            <w:pPr>
              <w:pStyle w:val="6"/>
              <w:spacing w:before="106" w:line="183" w:lineRule="auto"/>
              <w:ind w:left="317"/>
            </w:pPr>
            <w:r>
              <w:rPr>
                <w:b/>
                <w:bCs/>
                <w:spacing w:val="-4"/>
              </w:rPr>
              <w:t>1.13</w:t>
            </w:r>
          </w:p>
        </w:tc>
        <w:tc>
          <w:tcPr>
            <w:tcW w:w="1132" w:type="dxa"/>
            <w:vAlign w:val="top"/>
          </w:tcPr>
          <w:p w14:paraId="02F7951A">
            <w:pPr>
              <w:pStyle w:val="6"/>
              <w:spacing w:before="106" w:line="183" w:lineRule="auto"/>
              <w:ind w:left="389"/>
            </w:pPr>
            <w:r>
              <w:rPr>
                <w:b/>
                <w:bCs/>
                <w:spacing w:val="-4"/>
              </w:rPr>
              <w:t>1.13</w:t>
            </w:r>
          </w:p>
        </w:tc>
        <w:tc>
          <w:tcPr>
            <w:tcW w:w="848" w:type="dxa"/>
            <w:vAlign w:val="top"/>
          </w:tcPr>
          <w:p w14:paraId="37F63BE0">
            <w:pPr>
              <w:pStyle w:val="6"/>
              <w:spacing w:before="101" w:line="188" w:lineRule="auto"/>
              <w:ind w:left="243"/>
            </w:pPr>
            <w:r>
              <w:rPr>
                <w:spacing w:val="-2"/>
              </w:rPr>
              <w:t>0.65</w:t>
            </w:r>
          </w:p>
        </w:tc>
        <w:tc>
          <w:tcPr>
            <w:tcW w:w="992" w:type="dxa"/>
            <w:vAlign w:val="top"/>
          </w:tcPr>
          <w:p w14:paraId="37F23966">
            <w:pPr>
              <w:pStyle w:val="6"/>
              <w:spacing w:before="106" w:line="183" w:lineRule="auto"/>
              <w:ind w:left="325"/>
            </w:pPr>
            <w:r>
              <w:rPr>
                <w:b/>
                <w:bCs/>
                <w:spacing w:val="-4"/>
              </w:rPr>
              <w:t>1.60</w:t>
            </w:r>
          </w:p>
        </w:tc>
        <w:tc>
          <w:tcPr>
            <w:tcW w:w="706" w:type="dxa"/>
            <w:vAlign w:val="top"/>
          </w:tcPr>
          <w:p w14:paraId="6E52D3EE">
            <w:pPr>
              <w:pStyle w:val="6"/>
              <w:spacing w:before="101" w:line="188" w:lineRule="auto"/>
              <w:ind w:left="177"/>
            </w:pPr>
            <w:r>
              <w:rPr>
                <w:spacing w:val="-2"/>
              </w:rPr>
              <w:t>0.80</w:t>
            </w:r>
          </w:p>
        </w:tc>
        <w:tc>
          <w:tcPr>
            <w:tcW w:w="1838" w:type="dxa"/>
            <w:vAlign w:val="top"/>
          </w:tcPr>
          <w:p w14:paraId="617530E4">
            <w:pPr>
              <w:pStyle w:val="6"/>
              <w:spacing w:before="192" w:line="99" w:lineRule="exact"/>
              <w:ind w:left="861"/>
            </w:pPr>
            <w:r>
              <w:rPr>
                <w:spacing w:val="-3"/>
                <w:position w:val="-6"/>
              </w:rPr>
              <w:t>--</w:t>
            </w:r>
          </w:p>
        </w:tc>
        <w:tc>
          <w:tcPr>
            <w:tcW w:w="1384" w:type="dxa"/>
            <w:tcBorders>
              <w:right w:val="single" w:color="000000" w:sz="12" w:space="0"/>
            </w:tcBorders>
            <w:vAlign w:val="top"/>
          </w:tcPr>
          <w:p w14:paraId="6B62921A">
            <w:pPr>
              <w:pStyle w:val="6"/>
              <w:spacing w:before="101" w:line="188" w:lineRule="auto"/>
              <w:ind w:left="517"/>
            </w:pPr>
            <w:r>
              <w:rPr>
                <w:spacing w:val="-2"/>
              </w:rPr>
              <w:t>0.04</w:t>
            </w:r>
          </w:p>
        </w:tc>
      </w:tr>
      <w:tr w14:paraId="6D447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465" w:type="dxa"/>
            <w:vMerge w:val="continue"/>
            <w:tcBorders>
              <w:top w:val="nil"/>
              <w:left w:val="single" w:color="000000" w:sz="12" w:space="0"/>
              <w:bottom w:val="single" w:color="000000" w:sz="12" w:space="0"/>
            </w:tcBorders>
            <w:vAlign w:val="top"/>
          </w:tcPr>
          <w:p w14:paraId="27051E8C">
            <w:pPr>
              <w:rPr>
                <w:rFonts w:ascii="Arial"/>
                <w:sz w:val="21"/>
              </w:rPr>
            </w:pPr>
          </w:p>
        </w:tc>
        <w:tc>
          <w:tcPr>
            <w:tcW w:w="329" w:type="dxa"/>
            <w:vMerge w:val="continue"/>
            <w:tcBorders>
              <w:top w:val="nil"/>
              <w:bottom w:val="single" w:color="000000" w:sz="12" w:space="0"/>
            </w:tcBorders>
            <w:vAlign w:val="top"/>
          </w:tcPr>
          <w:p w14:paraId="79ADCD72">
            <w:pPr>
              <w:rPr>
                <w:rFonts w:ascii="Arial"/>
                <w:sz w:val="21"/>
              </w:rPr>
            </w:pPr>
          </w:p>
        </w:tc>
        <w:tc>
          <w:tcPr>
            <w:tcW w:w="1036" w:type="dxa"/>
            <w:tcBorders>
              <w:bottom w:val="single" w:color="000000" w:sz="12" w:space="0"/>
            </w:tcBorders>
            <w:vAlign w:val="top"/>
          </w:tcPr>
          <w:p w14:paraId="344335D3">
            <w:pPr>
              <w:pStyle w:val="6"/>
              <w:spacing w:before="103" w:line="209" w:lineRule="auto"/>
              <w:ind w:left="26"/>
            </w:pPr>
            <w:r>
              <w:rPr>
                <w:spacing w:val="-1"/>
              </w:rPr>
              <w:t>2021/11/30</w:t>
            </w:r>
          </w:p>
        </w:tc>
        <w:tc>
          <w:tcPr>
            <w:tcW w:w="848" w:type="dxa"/>
            <w:tcBorders>
              <w:bottom w:val="single" w:color="000000" w:sz="12" w:space="0"/>
            </w:tcBorders>
            <w:vAlign w:val="top"/>
          </w:tcPr>
          <w:p w14:paraId="48BF8F3F">
            <w:pPr>
              <w:pStyle w:val="6"/>
              <w:spacing w:before="103" w:line="209" w:lineRule="auto"/>
              <w:ind w:left="233"/>
            </w:pPr>
            <w:r>
              <w:rPr>
                <w:spacing w:val="-2"/>
              </w:rPr>
              <w:t>0.35</w:t>
            </w:r>
          </w:p>
        </w:tc>
        <w:tc>
          <w:tcPr>
            <w:tcW w:w="848" w:type="dxa"/>
            <w:tcBorders>
              <w:bottom w:val="single" w:color="000000" w:sz="12" w:space="0"/>
            </w:tcBorders>
            <w:vAlign w:val="top"/>
          </w:tcPr>
          <w:p w14:paraId="3FEDADB0">
            <w:pPr>
              <w:pStyle w:val="6"/>
              <w:spacing w:before="103" w:line="209" w:lineRule="auto"/>
              <w:ind w:left="236"/>
            </w:pPr>
            <w:r>
              <w:rPr>
                <w:spacing w:val="-2"/>
              </w:rPr>
              <w:t>0.41</w:t>
            </w:r>
          </w:p>
        </w:tc>
        <w:tc>
          <w:tcPr>
            <w:tcW w:w="990" w:type="dxa"/>
            <w:tcBorders>
              <w:bottom w:val="single" w:color="000000" w:sz="12" w:space="0"/>
            </w:tcBorders>
            <w:vAlign w:val="top"/>
          </w:tcPr>
          <w:p w14:paraId="2F6D1963">
            <w:pPr>
              <w:pStyle w:val="6"/>
              <w:spacing w:before="107" w:line="205" w:lineRule="auto"/>
              <w:ind w:left="315"/>
            </w:pPr>
            <w:r>
              <w:rPr>
                <w:b/>
                <w:bCs/>
                <w:spacing w:val="-4"/>
              </w:rPr>
              <w:t>1.05</w:t>
            </w:r>
          </w:p>
        </w:tc>
        <w:tc>
          <w:tcPr>
            <w:tcW w:w="990" w:type="dxa"/>
            <w:tcBorders>
              <w:bottom w:val="single" w:color="000000" w:sz="12" w:space="0"/>
            </w:tcBorders>
            <w:vAlign w:val="top"/>
          </w:tcPr>
          <w:p w14:paraId="17822660">
            <w:pPr>
              <w:pStyle w:val="6"/>
              <w:spacing w:before="107" w:line="205" w:lineRule="auto"/>
              <w:ind w:left="317"/>
            </w:pPr>
            <w:r>
              <w:rPr>
                <w:b/>
                <w:bCs/>
                <w:spacing w:val="-4"/>
              </w:rPr>
              <w:t>1.20</w:t>
            </w:r>
          </w:p>
        </w:tc>
        <w:tc>
          <w:tcPr>
            <w:tcW w:w="1132" w:type="dxa"/>
            <w:tcBorders>
              <w:bottom w:val="single" w:color="000000" w:sz="12" w:space="0"/>
            </w:tcBorders>
            <w:vAlign w:val="top"/>
          </w:tcPr>
          <w:p w14:paraId="01B187CB">
            <w:pPr>
              <w:pStyle w:val="6"/>
              <w:spacing w:before="107" w:line="205" w:lineRule="auto"/>
              <w:ind w:left="389"/>
            </w:pPr>
            <w:r>
              <w:rPr>
                <w:b/>
                <w:bCs/>
                <w:spacing w:val="-4"/>
              </w:rPr>
              <w:t>1.20</w:t>
            </w:r>
          </w:p>
        </w:tc>
        <w:tc>
          <w:tcPr>
            <w:tcW w:w="848" w:type="dxa"/>
            <w:tcBorders>
              <w:bottom w:val="single" w:color="000000" w:sz="12" w:space="0"/>
            </w:tcBorders>
            <w:vAlign w:val="top"/>
          </w:tcPr>
          <w:p w14:paraId="02CE120F">
            <w:pPr>
              <w:pStyle w:val="6"/>
              <w:spacing w:before="103" w:line="209" w:lineRule="auto"/>
              <w:ind w:left="243"/>
            </w:pPr>
            <w:r>
              <w:rPr>
                <w:spacing w:val="-2"/>
              </w:rPr>
              <w:t>0.66</w:t>
            </w:r>
          </w:p>
        </w:tc>
        <w:tc>
          <w:tcPr>
            <w:tcW w:w="992" w:type="dxa"/>
            <w:tcBorders>
              <w:bottom w:val="single" w:color="000000" w:sz="12" w:space="0"/>
            </w:tcBorders>
            <w:vAlign w:val="top"/>
          </w:tcPr>
          <w:p w14:paraId="6C8FAC67">
            <w:pPr>
              <w:pStyle w:val="6"/>
              <w:spacing w:before="107" w:line="205" w:lineRule="auto"/>
              <w:ind w:left="325"/>
            </w:pPr>
            <w:r>
              <w:rPr>
                <w:b/>
                <w:bCs/>
                <w:spacing w:val="-4"/>
              </w:rPr>
              <w:t>1.20</w:t>
            </w:r>
          </w:p>
        </w:tc>
        <w:tc>
          <w:tcPr>
            <w:tcW w:w="706" w:type="dxa"/>
            <w:tcBorders>
              <w:bottom w:val="single" w:color="000000" w:sz="12" w:space="0"/>
            </w:tcBorders>
            <w:vAlign w:val="top"/>
          </w:tcPr>
          <w:p w14:paraId="27969C76">
            <w:pPr>
              <w:pStyle w:val="6"/>
              <w:spacing w:before="103" w:line="209" w:lineRule="auto"/>
              <w:ind w:left="177"/>
            </w:pPr>
            <w:r>
              <w:rPr>
                <w:spacing w:val="-2"/>
              </w:rPr>
              <w:t>0.80</w:t>
            </w:r>
          </w:p>
        </w:tc>
        <w:tc>
          <w:tcPr>
            <w:tcW w:w="1838" w:type="dxa"/>
            <w:tcBorders>
              <w:bottom w:val="single" w:color="000000" w:sz="12" w:space="0"/>
            </w:tcBorders>
            <w:vAlign w:val="top"/>
          </w:tcPr>
          <w:p w14:paraId="38C9A8C6">
            <w:pPr>
              <w:pStyle w:val="6"/>
              <w:spacing w:before="193" w:line="101" w:lineRule="exact"/>
              <w:ind w:left="861"/>
            </w:pPr>
            <w:r>
              <w:rPr>
                <w:spacing w:val="-3"/>
                <w:position w:val="-6"/>
              </w:rPr>
              <w:t>--</w:t>
            </w:r>
          </w:p>
        </w:tc>
        <w:tc>
          <w:tcPr>
            <w:tcW w:w="1384" w:type="dxa"/>
            <w:tcBorders>
              <w:bottom w:val="single" w:color="000000" w:sz="12" w:space="0"/>
              <w:right w:val="single" w:color="000000" w:sz="12" w:space="0"/>
            </w:tcBorders>
            <w:vAlign w:val="top"/>
          </w:tcPr>
          <w:p w14:paraId="5D373D20">
            <w:pPr>
              <w:pStyle w:val="6"/>
              <w:spacing w:before="103" w:line="209" w:lineRule="auto"/>
              <w:ind w:left="517"/>
            </w:pPr>
            <w:r>
              <w:rPr>
                <w:spacing w:val="-2"/>
              </w:rPr>
              <w:t>0.04</w:t>
            </w:r>
          </w:p>
        </w:tc>
      </w:tr>
    </w:tbl>
    <w:p w14:paraId="27B1F63D">
      <w:pPr>
        <w:pStyle w:val="2"/>
        <w:spacing w:before="31" w:line="237" w:lineRule="auto"/>
        <w:ind w:left="55" w:right="261" w:hanging="15"/>
        <w:rPr>
          <w:sz w:val="21"/>
          <w:szCs w:val="21"/>
        </w:rPr>
      </w:pPr>
      <w:r>
        <w:rPr>
          <w:spacing w:val="-3"/>
          <w:sz w:val="21"/>
          <w:szCs w:val="21"/>
        </w:rPr>
        <w:t>备注：</w:t>
      </w:r>
      <w:r>
        <w:rPr>
          <w:rFonts w:ascii="Times New Roman" w:hAnsi="Times New Roman" w:eastAsia="Times New Roman" w:cs="Times New Roman"/>
          <w:spacing w:val="-3"/>
          <w:sz w:val="21"/>
          <w:szCs w:val="21"/>
        </w:rPr>
        <w:t>1</w:t>
      </w:r>
      <w:r>
        <w:rPr>
          <w:spacing w:val="-3"/>
          <w:sz w:val="21"/>
          <w:szCs w:val="21"/>
        </w:rPr>
        <w:t>、马龙河执行《地表水环境质量标准》（</w:t>
      </w:r>
      <w:r>
        <w:rPr>
          <w:rFonts w:ascii="Times New Roman" w:hAnsi="Times New Roman" w:eastAsia="Times New Roman" w:cs="Times New Roman"/>
          <w:spacing w:val="-3"/>
          <w:sz w:val="21"/>
          <w:szCs w:val="21"/>
        </w:rPr>
        <w:t>GB3838-2002</w:t>
      </w:r>
      <w:r>
        <w:rPr>
          <w:spacing w:val="-3"/>
          <w:sz w:val="21"/>
          <w:szCs w:val="21"/>
        </w:rPr>
        <w:t>）中Ⅲ类标准，面店水库执行Ⅱ类标准；</w:t>
      </w:r>
      <w:r>
        <w:rPr>
          <w:rFonts w:ascii="Times New Roman" w:hAnsi="Times New Roman" w:eastAsia="Times New Roman" w:cs="Times New Roman"/>
          <w:spacing w:val="-3"/>
          <w:sz w:val="21"/>
          <w:szCs w:val="21"/>
        </w:rPr>
        <w:t>2</w:t>
      </w:r>
      <w:r>
        <w:rPr>
          <w:spacing w:val="-3"/>
          <w:sz w:val="21"/>
          <w:szCs w:val="21"/>
        </w:rPr>
        <w:t>、加粗字体表示超标；</w:t>
      </w:r>
      <w:r>
        <w:rPr>
          <w:rFonts w:ascii="Times New Roman" w:hAnsi="Times New Roman" w:eastAsia="Times New Roman" w:cs="Times New Roman"/>
          <w:spacing w:val="-3"/>
          <w:sz w:val="21"/>
          <w:szCs w:val="21"/>
        </w:rPr>
        <w:t>3</w:t>
      </w:r>
      <w:r>
        <w:rPr>
          <w:spacing w:val="-3"/>
          <w:sz w:val="21"/>
          <w:szCs w:val="21"/>
        </w:rPr>
        <w:t>、“</w:t>
      </w:r>
      <w:r>
        <w:rPr>
          <w:rFonts w:ascii="Times New Roman" w:hAnsi="Times New Roman" w:eastAsia="Times New Roman" w:cs="Times New Roman"/>
          <w:spacing w:val="-4"/>
          <w:sz w:val="21"/>
          <w:szCs w:val="21"/>
        </w:rPr>
        <w:t>--</w:t>
      </w:r>
      <w:r>
        <w:rPr>
          <w:spacing w:val="-4"/>
          <w:sz w:val="21"/>
          <w:szCs w:val="21"/>
        </w:rPr>
        <w:t>”表示未检</w:t>
      </w:r>
      <w:r>
        <w:rPr>
          <w:spacing w:val="-15"/>
          <w:sz w:val="21"/>
          <w:szCs w:val="21"/>
        </w:rPr>
        <w:t>出。</w:t>
      </w:r>
    </w:p>
    <w:p w14:paraId="17AAA3C3">
      <w:pPr>
        <w:spacing w:line="237" w:lineRule="auto"/>
        <w:rPr>
          <w:sz w:val="21"/>
          <w:szCs w:val="21"/>
        </w:rPr>
        <w:sectPr>
          <w:footerReference r:id="rId251" w:type="default"/>
          <w:pgSz w:w="16839" w:h="11907"/>
          <w:pgMar w:top="1376" w:right="1669" w:bottom="1061" w:left="1671" w:header="999" w:footer="861" w:gutter="0"/>
          <w:cols w:space="720" w:num="1"/>
        </w:sectPr>
      </w:pPr>
    </w:p>
    <w:p w14:paraId="77678C42">
      <w:pPr>
        <w:spacing w:line="318" w:lineRule="auto"/>
        <w:rPr>
          <w:rFonts w:ascii="Arial"/>
          <w:sz w:val="21"/>
        </w:rPr>
      </w:pPr>
    </w:p>
    <w:p w14:paraId="39BA21EC">
      <w:pPr>
        <w:spacing w:line="318" w:lineRule="auto"/>
        <w:rPr>
          <w:rFonts w:ascii="Arial"/>
          <w:sz w:val="21"/>
        </w:rPr>
      </w:pPr>
    </w:p>
    <w:p w14:paraId="0BFC9534">
      <w:pPr>
        <w:spacing w:line="319" w:lineRule="auto"/>
        <w:rPr>
          <w:rFonts w:ascii="Arial"/>
          <w:sz w:val="21"/>
        </w:rPr>
      </w:pPr>
    </w:p>
    <w:p w14:paraId="6C99F890">
      <w:pPr>
        <w:spacing w:line="7043" w:lineRule="exact"/>
        <w:ind w:firstLine="49"/>
      </w:pPr>
      <w:r>
        <w:rPr>
          <w:position w:val="-140"/>
        </w:rPr>
        <w:drawing>
          <wp:inline distT="0" distB="0" distL="0" distR="0">
            <wp:extent cx="8543925" cy="4471670"/>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426"/>
                    <a:stretch>
                      <a:fillRect/>
                    </a:stretch>
                  </pic:blipFill>
                  <pic:spPr>
                    <a:xfrm>
                      <a:off x="0" y="0"/>
                      <a:ext cx="8544052" cy="4472304"/>
                    </a:xfrm>
                    <a:prstGeom prst="rect">
                      <a:avLst/>
                    </a:prstGeom>
                  </pic:spPr>
                </pic:pic>
              </a:graphicData>
            </a:graphic>
          </wp:inline>
        </w:drawing>
      </w:r>
    </w:p>
    <w:p w14:paraId="53FD85DF">
      <w:pPr>
        <w:pStyle w:val="2"/>
        <w:spacing w:before="164" w:line="233" w:lineRule="auto"/>
        <w:ind w:left="4332"/>
        <w:rPr>
          <w:sz w:val="24"/>
          <w:szCs w:val="24"/>
        </w:rPr>
      </w:pPr>
      <w:r>
        <w:rPr>
          <w:b/>
          <w:bCs/>
          <w:spacing w:val="-2"/>
          <w:sz w:val="24"/>
          <w:szCs w:val="24"/>
        </w:rPr>
        <w:t>图</w:t>
      </w:r>
      <w:r>
        <w:rPr>
          <w:spacing w:val="-50"/>
          <w:sz w:val="24"/>
          <w:szCs w:val="24"/>
        </w:rPr>
        <w:t xml:space="preserve"> </w:t>
      </w:r>
      <w:r>
        <w:rPr>
          <w:rFonts w:ascii="Times New Roman" w:hAnsi="Times New Roman" w:eastAsia="Times New Roman" w:cs="Times New Roman"/>
          <w:b/>
          <w:bCs/>
          <w:spacing w:val="-2"/>
          <w:sz w:val="24"/>
          <w:szCs w:val="24"/>
        </w:rPr>
        <w:t xml:space="preserve">6.2-2        </w:t>
      </w:r>
      <w:r>
        <w:rPr>
          <w:b/>
          <w:bCs/>
          <w:spacing w:val="-2"/>
          <w:sz w:val="24"/>
          <w:szCs w:val="24"/>
        </w:rPr>
        <w:t>施工期地表</w:t>
      </w:r>
      <w:r>
        <w:rPr>
          <w:b/>
          <w:bCs/>
          <w:spacing w:val="-3"/>
          <w:sz w:val="24"/>
          <w:szCs w:val="24"/>
        </w:rPr>
        <w:t>水水质监测点位示意图</w:t>
      </w:r>
    </w:p>
    <w:p w14:paraId="2BCCA08F">
      <w:pPr>
        <w:spacing w:line="233" w:lineRule="auto"/>
        <w:rPr>
          <w:sz w:val="24"/>
          <w:szCs w:val="24"/>
        </w:rPr>
        <w:sectPr>
          <w:headerReference r:id="rId252" w:type="default"/>
          <w:footerReference r:id="rId253" w:type="default"/>
          <w:pgSz w:w="16839" w:h="11907"/>
          <w:pgMar w:top="1376" w:right="1662" w:bottom="1061" w:left="1671" w:header="999" w:footer="861" w:gutter="0"/>
          <w:cols w:space="720" w:num="1"/>
        </w:sectPr>
      </w:pPr>
    </w:p>
    <w:p w14:paraId="5684A160">
      <w:pPr>
        <w:spacing w:line="287" w:lineRule="auto"/>
        <w:rPr>
          <w:rFonts w:ascii="Arial"/>
          <w:sz w:val="21"/>
        </w:rPr>
      </w:pPr>
    </w:p>
    <w:p w14:paraId="68A4BA3F">
      <w:pPr>
        <w:spacing w:line="287" w:lineRule="auto"/>
        <w:rPr>
          <w:rFonts w:ascii="Arial"/>
          <w:sz w:val="21"/>
        </w:rPr>
      </w:pPr>
    </w:p>
    <w:p w14:paraId="26A386A4">
      <w:pPr>
        <w:pStyle w:val="2"/>
        <w:spacing w:before="78" w:line="220" w:lineRule="auto"/>
        <w:ind w:left="35"/>
        <w:rPr>
          <w:sz w:val="24"/>
          <w:szCs w:val="24"/>
        </w:rPr>
      </w:pPr>
      <w:r>
        <w:rPr>
          <w:rFonts w:ascii="Arial" w:hAnsi="Arial" w:eastAsia="Arial" w:cs="Arial"/>
          <w:spacing w:val="2"/>
          <w:position w:val="1"/>
          <w:sz w:val="18"/>
          <w:szCs w:val="18"/>
        </w:rPr>
        <w:t>6.2.1.4</w:t>
      </w:r>
      <w:r>
        <w:rPr>
          <w:rFonts w:ascii="Arial" w:hAnsi="Arial" w:eastAsia="Arial" w:cs="Arial"/>
          <w:spacing w:val="53"/>
          <w:position w:val="1"/>
          <w:sz w:val="18"/>
          <w:szCs w:val="18"/>
        </w:rPr>
        <w:t xml:space="preserve"> </w:t>
      </w:r>
      <w:r>
        <w:rPr>
          <w:b/>
          <w:bCs/>
          <w:spacing w:val="2"/>
          <w:sz w:val="24"/>
          <w:szCs w:val="24"/>
        </w:rPr>
        <w:t>工程建设对地表水环境影响分析</w:t>
      </w:r>
    </w:p>
    <w:p w14:paraId="77659D8A">
      <w:pPr>
        <w:pStyle w:val="2"/>
        <w:spacing w:before="272" w:line="336" w:lineRule="auto"/>
        <w:ind w:left="32" w:right="83" w:firstLine="489"/>
        <w:jc w:val="both"/>
        <w:rPr>
          <w:sz w:val="24"/>
          <w:szCs w:val="24"/>
        </w:rPr>
      </w:pPr>
      <w:r>
        <w:rPr>
          <w:spacing w:val="-1"/>
          <w:sz w:val="24"/>
          <w:szCs w:val="24"/>
        </w:rPr>
        <w:t>工程建设前，马龙河流域所有监测断面中</w:t>
      </w:r>
      <w:r>
        <w:rPr>
          <w:spacing w:val="-24"/>
          <w:sz w:val="24"/>
          <w:szCs w:val="24"/>
        </w:rPr>
        <w:t xml:space="preserve"> </w:t>
      </w:r>
      <w:r>
        <w:rPr>
          <w:rFonts w:ascii="Times New Roman" w:hAnsi="Times New Roman" w:eastAsia="Times New Roman" w:cs="Times New Roman"/>
          <w:spacing w:val="-1"/>
          <w:sz w:val="24"/>
          <w:szCs w:val="24"/>
        </w:rPr>
        <w:t>2011</w:t>
      </w:r>
      <w:r>
        <w:rPr>
          <w:rFonts w:ascii="Times New Roman" w:hAnsi="Times New Roman" w:eastAsia="Times New Roman" w:cs="Times New Roman"/>
          <w:spacing w:val="42"/>
          <w:sz w:val="24"/>
          <w:szCs w:val="24"/>
        </w:rPr>
        <w:t xml:space="preserve"> </w:t>
      </w:r>
      <w:r>
        <w:rPr>
          <w:spacing w:val="-1"/>
          <w:sz w:val="24"/>
          <w:szCs w:val="24"/>
        </w:rPr>
        <w:t>年</w:t>
      </w:r>
      <w:r>
        <w:rPr>
          <w:rFonts w:ascii="Times New Roman" w:hAnsi="Times New Roman" w:eastAsia="Times New Roman" w:cs="Times New Roman"/>
          <w:spacing w:val="-1"/>
          <w:sz w:val="24"/>
          <w:szCs w:val="24"/>
        </w:rPr>
        <w:t>-20</w:t>
      </w:r>
      <w:r>
        <w:rPr>
          <w:rFonts w:ascii="Times New Roman" w:hAnsi="Times New Roman" w:eastAsia="Times New Roman" w:cs="Times New Roman"/>
          <w:spacing w:val="-2"/>
          <w:sz w:val="24"/>
          <w:szCs w:val="24"/>
        </w:rPr>
        <w:t>15</w:t>
      </w:r>
      <w:r>
        <w:rPr>
          <w:rFonts w:ascii="Times New Roman" w:hAnsi="Times New Roman" w:eastAsia="Times New Roman" w:cs="Times New Roman"/>
          <w:spacing w:val="40"/>
          <w:w w:val="101"/>
          <w:sz w:val="24"/>
          <w:szCs w:val="24"/>
        </w:rPr>
        <w:t xml:space="preserve"> </w:t>
      </w:r>
      <w:r>
        <w:rPr>
          <w:spacing w:val="-2"/>
          <w:sz w:val="24"/>
          <w:szCs w:val="24"/>
        </w:rPr>
        <w:t>年常规监测数据均有</w:t>
      </w:r>
      <w:r>
        <w:rPr>
          <w:spacing w:val="-7"/>
          <w:sz w:val="24"/>
          <w:szCs w:val="24"/>
        </w:rPr>
        <w:t>部分指标不满足《地表水环境质量标准》（</w:t>
      </w:r>
      <w:r>
        <w:rPr>
          <w:rFonts w:ascii="Times New Roman" w:hAnsi="Times New Roman" w:eastAsia="Times New Roman" w:cs="Times New Roman"/>
          <w:spacing w:val="-7"/>
          <w:sz w:val="24"/>
          <w:szCs w:val="24"/>
        </w:rPr>
        <w:t>GB3838</w:t>
      </w:r>
      <w:r>
        <w:rPr>
          <w:rFonts w:ascii="Times New Roman" w:hAnsi="Times New Roman" w:eastAsia="Times New Roman" w:cs="Times New Roman"/>
          <w:spacing w:val="-8"/>
          <w:sz w:val="24"/>
          <w:szCs w:val="24"/>
        </w:rPr>
        <w:t>-2002</w:t>
      </w:r>
      <w:r>
        <w:rPr>
          <w:spacing w:val="-8"/>
          <w:sz w:val="24"/>
          <w:szCs w:val="24"/>
        </w:rPr>
        <w:t>）Ⅲ类标准，水质类别在Ⅲ</w:t>
      </w:r>
      <w:r>
        <w:rPr>
          <w:sz w:val="24"/>
          <w:szCs w:val="24"/>
        </w:rPr>
        <w:t xml:space="preserve"> </w:t>
      </w:r>
      <w:r>
        <w:rPr>
          <w:rFonts w:ascii="Times New Roman" w:hAnsi="Times New Roman" w:eastAsia="Times New Roman" w:cs="Times New Roman"/>
          <w:spacing w:val="-2"/>
          <w:sz w:val="24"/>
          <w:szCs w:val="24"/>
        </w:rPr>
        <w:t>~</w:t>
      </w:r>
      <w:r>
        <w:rPr>
          <w:spacing w:val="-2"/>
          <w:sz w:val="24"/>
          <w:szCs w:val="24"/>
        </w:rPr>
        <w:t>劣Ⅴ类之间，从时间分布上，呈逐年好转趋</w:t>
      </w:r>
      <w:r>
        <w:rPr>
          <w:spacing w:val="-3"/>
          <w:sz w:val="24"/>
          <w:szCs w:val="24"/>
        </w:rPr>
        <w:t>势，</w:t>
      </w:r>
      <w:r>
        <w:rPr>
          <w:rFonts w:ascii="Times New Roman" w:hAnsi="Times New Roman" w:eastAsia="Times New Roman" w:cs="Times New Roman"/>
          <w:spacing w:val="-3"/>
          <w:sz w:val="24"/>
          <w:szCs w:val="24"/>
        </w:rPr>
        <w:t xml:space="preserve">2015 </w:t>
      </w:r>
      <w:r>
        <w:rPr>
          <w:spacing w:val="-3"/>
          <w:sz w:val="24"/>
          <w:szCs w:val="24"/>
        </w:rPr>
        <w:t>年第</w:t>
      </w:r>
      <w:r>
        <w:rPr>
          <w:spacing w:val="-51"/>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季度和第</w:t>
      </w:r>
      <w:r>
        <w:rPr>
          <w:spacing w:val="-56"/>
          <w:sz w:val="24"/>
          <w:szCs w:val="24"/>
        </w:rPr>
        <w:t xml:space="preserve"> </w:t>
      </w:r>
      <w:r>
        <w:rPr>
          <w:rFonts w:ascii="Times New Roman" w:hAnsi="Times New Roman" w:eastAsia="Times New Roman" w:cs="Times New Roman"/>
          <w:spacing w:val="-3"/>
          <w:sz w:val="24"/>
          <w:szCs w:val="24"/>
        </w:rPr>
        <w:t xml:space="preserve">4 </w:t>
      </w:r>
      <w:r>
        <w:rPr>
          <w:spacing w:val="-3"/>
          <w:sz w:val="24"/>
          <w:szCs w:val="24"/>
        </w:rPr>
        <w:t>季度各监</w:t>
      </w:r>
      <w:r>
        <w:rPr>
          <w:sz w:val="24"/>
          <w:szCs w:val="24"/>
        </w:rPr>
        <w:t>测断面均达标。</w:t>
      </w:r>
      <w:r>
        <w:rPr>
          <w:rFonts w:ascii="Times New Roman" w:hAnsi="Times New Roman" w:eastAsia="Times New Roman" w:cs="Times New Roman"/>
          <w:sz w:val="24"/>
          <w:szCs w:val="24"/>
        </w:rPr>
        <w:t xml:space="preserve">2015 </w:t>
      </w:r>
      <w:r>
        <w:rPr>
          <w:sz w:val="24"/>
          <w:szCs w:val="24"/>
        </w:rPr>
        <w:t>年、</w:t>
      </w:r>
      <w:r>
        <w:rPr>
          <w:rFonts w:ascii="Times New Roman" w:hAnsi="Times New Roman" w:eastAsia="Times New Roman" w:cs="Times New Roman"/>
          <w:sz w:val="24"/>
          <w:szCs w:val="24"/>
        </w:rPr>
        <w:t xml:space="preserve">2016 </w:t>
      </w:r>
      <w:r>
        <w:rPr>
          <w:sz w:val="24"/>
          <w:szCs w:val="24"/>
        </w:rPr>
        <w:t>年补充监</w:t>
      </w:r>
      <w:r>
        <w:rPr>
          <w:spacing w:val="-1"/>
          <w:sz w:val="24"/>
          <w:szCs w:val="24"/>
        </w:rPr>
        <w:t>测数据中除挥发酚、溶解氧和总磷部分时</w:t>
      </w:r>
      <w:r>
        <w:rPr>
          <w:spacing w:val="-7"/>
          <w:sz w:val="24"/>
          <w:szCs w:val="24"/>
        </w:rPr>
        <w:t>段超标外，其余指标各时段均能满足《地表水环境质量</w:t>
      </w:r>
      <w:r>
        <w:rPr>
          <w:spacing w:val="-8"/>
          <w:sz w:val="24"/>
          <w:szCs w:val="24"/>
        </w:rPr>
        <w:t>标准》（</w:t>
      </w:r>
      <w:r>
        <w:rPr>
          <w:rFonts w:ascii="Times New Roman" w:hAnsi="Times New Roman" w:eastAsia="Times New Roman" w:cs="Times New Roman"/>
          <w:spacing w:val="-8"/>
          <w:sz w:val="24"/>
          <w:szCs w:val="24"/>
        </w:rPr>
        <w:t>GB3838-2002</w:t>
      </w:r>
      <w:r>
        <w:rPr>
          <w:spacing w:val="-8"/>
          <w:sz w:val="24"/>
          <w:szCs w:val="24"/>
        </w:rPr>
        <w:t>）Ⅲ类</w:t>
      </w:r>
      <w:r>
        <w:rPr>
          <w:spacing w:val="-1"/>
          <w:sz w:val="24"/>
          <w:szCs w:val="24"/>
        </w:rPr>
        <w:t>标准要求。</w:t>
      </w:r>
    </w:p>
    <w:p w14:paraId="6C099B83">
      <w:pPr>
        <w:pStyle w:val="2"/>
        <w:spacing w:before="24" w:line="337" w:lineRule="auto"/>
        <w:ind w:left="38" w:right="1" w:firstLine="483"/>
        <w:jc w:val="both"/>
        <w:rPr>
          <w:sz w:val="24"/>
          <w:szCs w:val="24"/>
        </w:rPr>
      </w:pPr>
      <w:r>
        <w:rPr>
          <w:spacing w:val="1"/>
          <w:sz w:val="24"/>
          <w:szCs w:val="24"/>
        </w:rPr>
        <w:t>工程施工期，</w:t>
      </w: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-2021</w:t>
      </w:r>
      <w:r>
        <w:rPr>
          <w:spacing w:val="1"/>
          <w:sz w:val="24"/>
          <w:szCs w:val="24"/>
        </w:rPr>
        <w:t>年监测期间</w:t>
      </w:r>
      <w:r>
        <w:rPr>
          <w:sz w:val="24"/>
          <w:szCs w:val="24"/>
        </w:rPr>
        <w:t>：</w:t>
      </w:r>
      <w:r>
        <w:rPr>
          <w:rFonts w:ascii="Times New Roman" w:hAnsi="Times New Roman" w:eastAsia="Times New Roman" w:cs="Times New Roman"/>
          <w:sz w:val="24"/>
          <w:szCs w:val="24"/>
        </w:rPr>
        <w:t xml:space="preserve">2019 </w:t>
      </w:r>
      <w:r>
        <w:rPr>
          <w:sz w:val="24"/>
          <w:szCs w:val="24"/>
        </w:rPr>
        <w:t>年面店水库溶解氧（</w:t>
      </w:r>
      <w:r>
        <w:rPr>
          <w:rFonts w:ascii="Times New Roman" w:hAnsi="Times New Roman" w:eastAsia="Times New Roman" w:cs="Times New Roman"/>
          <w:sz w:val="24"/>
          <w:szCs w:val="24"/>
        </w:rPr>
        <w:t>DO</w:t>
      </w:r>
      <w:r>
        <w:rPr>
          <w:sz w:val="24"/>
          <w:szCs w:val="24"/>
        </w:rPr>
        <w:t>）出现</w:t>
      </w:r>
      <w:r>
        <w:rPr>
          <w:spacing w:val="-2"/>
          <w:sz w:val="24"/>
          <w:szCs w:val="24"/>
        </w:rPr>
        <w:t>超标，超标倍数为</w:t>
      </w:r>
      <w:r>
        <w:rPr>
          <w:spacing w:val="-52"/>
          <w:sz w:val="24"/>
          <w:szCs w:val="24"/>
        </w:rPr>
        <w:t xml:space="preserve"> </w:t>
      </w:r>
      <w:r>
        <w:rPr>
          <w:rFonts w:ascii="Times New Roman" w:hAnsi="Times New Roman" w:eastAsia="Times New Roman" w:cs="Times New Roman"/>
          <w:spacing w:val="-2"/>
          <w:sz w:val="24"/>
          <w:szCs w:val="24"/>
        </w:rPr>
        <w:t xml:space="preserve">0.15~1.05 </w:t>
      </w:r>
      <w:r>
        <w:rPr>
          <w:spacing w:val="-2"/>
          <w:sz w:val="24"/>
          <w:szCs w:val="24"/>
        </w:rPr>
        <w:t>倍；</w:t>
      </w:r>
      <w:r>
        <w:rPr>
          <w:rFonts w:ascii="Times New Roman" w:hAnsi="Times New Roman" w:eastAsia="Times New Roman" w:cs="Times New Roman"/>
          <w:spacing w:val="-3"/>
          <w:sz w:val="24"/>
          <w:szCs w:val="24"/>
        </w:rPr>
        <w:t xml:space="preserve">2020 </w:t>
      </w:r>
      <w:r>
        <w:rPr>
          <w:spacing w:val="-3"/>
          <w:sz w:val="24"/>
          <w:szCs w:val="24"/>
        </w:rPr>
        <w:t>年第</w:t>
      </w:r>
      <w:r>
        <w:rPr>
          <w:spacing w:val="-50"/>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季度和第</w:t>
      </w:r>
      <w:r>
        <w:rPr>
          <w:spacing w:val="-56"/>
          <w:sz w:val="24"/>
          <w:szCs w:val="24"/>
        </w:rPr>
        <w:t xml:space="preserve"> </w:t>
      </w:r>
      <w:r>
        <w:rPr>
          <w:rFonts w:ascii="Times New Roman" w:hAnsi="Times New Roman" w:eastAsia="Times New Roman" w:cs="Times New Roman"/>
          <w:spacing w:val="-3"/>
          <w:sz w:val="24"/>
          <w:szCs w:val="24"/>
        </w:rPr>
        <w:t xml:space="preserve">4 </w:t>
      </w:r>
      <w:r>
        <w:rPr>
          <w:spacing w:val="-3"/>
          <w:sz w:val="24"/>
          <w:szCs w:val="24"/>
        </w:rPr>
        <w:t>季度四个监测断面的溶解</w:t>
      </w:r>
      <w:r>
        <w:rPr>
          <w:spacing w:val="-5"/>
          <w:sz w:val="24"/>
          <w:szCs w:val="24"/>
        </w:rPr>
        <w:t>氧（</w:t>
      </w:r>
      <w:r>
        <w:rPr>
          <w:rFonts w:ascii="Times New Roman" w:hAnsi="Times New Roman" w:eastAsia="Times New Roman" w:cs="Times New Roman"/>
          <w:spacing w:val="-5"/>
          <w:sz w:val="24"/>
          <w:szCs w:val="24"/>
        </w:rPr>
        <w:t>DO</w:t>
      </w:r>
      <w:r>
        <w:rPr>
          <w:spacing w:val="-5"/>
          <w:sz w:val="24"/>
          <w:szCs w:val="24"/>
        </w:rPr>
        <w:t>）均出现超标，超标倍数</w:t>
      </w:r>
      <w:r>
        <w:rPr>
          <w:spacing w:val="-51"/>
          <w:sz w:val="24"/>
          <w:szCs w:val="24"/>
        </w:rPr>
        <w:t xml:space="preserve"> </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15~</w:t>
      </w:r>
      <w:r>
        <w:rPr>
          <w:rFonts w:ascii="Times New Roman" w:hAnsi="Times New Roman" w:eastAsia="Times New Roman" w:cs="Times New Roman"/>
          <w:spacing w:val="-6"/>
          <w:sz w:val="24"/>
          <w:szCs w:val="24"/>
        </w:rPr>
        <w:t xml:space="preserve">4.14 </w:t>
      </w:r>
      <w:r>
        <w:rPr>
          <w:spacing w:val="-6"/>
          <w:sz w:val="24"/>
          <w:szCs w:val="24"/>
        </w:rPr>
        <w:t xml:space="preserve">倍，第 </w:t>
      </w:r>
      <w:r>
        <w:rPr>
          <w:rFonts w:ascii="Times New Roman" w:hAnsi="Times New Roman" w:eastAsia="Times New Roman" w:cs="Times New Roman"/>
          <w:spacing w:val="-6"/>
          <w:sz w:val="24"/>
          <w:szCs w:val="24"/>
        </w:rPr>
        <w:t xml:space="preserve">1 </w:t>
      </w:r>
      <w:r>
        <w:rPr>
          <w:spacing w:val="-6"/>
          <w:sz w:val="24"/>
          <w:szCs w:val="24"/>
        </w:rPr>
        <w:t>季度和第</w:t>
      </w:r>
      <w:r>
        <w:rPr>
          <w:spacing w:val="-49"/>
          <w:sz w:val="24"/>
          <w:szCs w:val="24"/>
        </w:rPr>
        <w:t xml:space="preserve"> </w:t>
      </w:r>
      <w:r>
        <w:rPr>
          <w:rFonts w:ascii="Times New Roman" w:hAnsi="Times New Roman" w:eastAsia="Times New Roman" w:cs="Times New Roman"/>
          <w:spacing w:val="-6"/>
          <w:sz w:val="24"/>
          <w:szCs w:val="24"/>
        </w:rPr>
        <w:t xml:space="preserve">3 </w:t>
      </w:r>
      <w:r>
        <w:rPr>
          <w:spacing w:val="-6"/>
          <w:sz w:val="24"/>
          <w:szCs w:val="24"/>
        </w:rPr>
        <w:t>季度面店水库粪大</w:t>
      </w:r>
      <w:r>
        <w:rPr>
          <w:spacing w:val="-3"/>
          <w:sz w:val="24"/>
          <w:szCs w:val="24"/>
        </w:rPr>
        <w:t>肠菌群出现超标，超标倍数为</w:t>
      </w:r>
      <w:r>
        <w:rPr>
          <w:spacing w:val="-51"/>
          <w:sz w:val="24"/>
          <w:szCs w:val="24"/>
        </w:rPr>
        <w:t xml:space="preserve"> </w:t>
      </w:r>
      <w:r>
        <w:rPr>
          <w:rFonts w:ascii="Times New Roman" w:hAnsi="Times New Roman" w:eastAsia="Times New Roman" w:cs="Times New Roman"/>
          <w:spacing w:val="-3"/>
          <w:sz w:val="24"/>
          <w:szCs w:val="24"/>
        </w:rPr>
        <w:t xml:space="preserve">0.1~3.7 </w:t>
      </w:r>
      <w:r>
        <w:rPr>
          <w:spacing w:val="-3"/>
          <w:sz w:val="24"/>
          <w:szCs w:val="24"/>
        </w:rPr>
        <w:t>倍；</w:t>
      </w:r>
      <w:r>
        <w:rPr>
          <w:rFonts w:ascii="Times New Roman" w:hAnsi="Times New Roman" w:eastAsia="Times New Roman" w:cs="Times New Roman"/>
          <w:spacing w:val="-3"/>
          <w:sz w:val="24"/>
          <w:szCs w:val="24"/>
        </w:rPr>
        <w:t xml:space="preserve">2021 </w:t>
      </w:r>
      <w:r>
        <w:rPr>
          <w:spacing w:val="-3"/>
          <w:sz w:val="24"/>
          <w:szCs w:val="24"/>
        </w:rPr>
        <w:t>年第</w:t>
      </w:r>
      <w:r>
        <w:rPr>
          <w:spacing w:val="-32"/>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季度四个监测断面的溶解氧</w:t>
      </w:r>
      <w:r>
        <w:rPr>
          <w:spacing w:val="-15"/>
          <w:sz w:val="24"/>
          <w:szCs w:val="24"/>
        </w:rPr>
        <w:t>（</w:t>
      </w:r>
      <w:r>
        <w:rPr>
          <w:rFonts w:ascii="Times New Roman" w:hAnsi="Times New Roman" w:eastAsia="Times New Roman" w:cs="Times New Roman"/>
          <w:spacing w:val="-15"/>
          <w:sz w:val="24"/>
          <w:szCs w:val="24"/>
        </w:rPr>
        <w:t>DO</w:t>
      </w:r>
      <w:r>
        <w:rPr>
          <w:spacing w:val="-15"/>
          <w:sz w:val="24"/>
          <w:szCs w:val="24"/>
        </w:rPr>
        <w:t>）均出现超标，超标倍数为</w:t>
      </w:r>
      <w:r>
        <w:rPr>
          <w:spacing w:val="-36"/>
          <w:sz w:val="24"/>
          <w:szCs w:val="24"/>
        </w:rPr>
        <w:t xml:space="preserve"> </w:t>
      </w:r>
      <w:r>
        <w:rPr>
          <w:rFonts w:ascii="Times New Roman" w:hAnsi="Times New Roman" w:eastAsia="Times New Roman" w:cs="Times New Roman"/>
          <w:spacing w:val="-15"/>
          <w:sz w:val="24"/>
          <w:szCs w:val="24"/>
        </w:rPr>
        <w:t xml:space="preserve">3.06~5.10 </w:t>
      </w:r>
      <w:r>
        <w:rPr>
          <w:spacing w:val="-15"/>
          <w:sz w:val="24"/>
          <w:szCs w:val="24"/>
        </w:rPr>
        <w:t>倍，面店水库第</w:t>
      </w:r>
      <w:r>
        <w:rPr>
          <w:spacing w:val="-34"/>
          <w:sz w:val="24"/>
          <w:szCs w:val="24"/>
        </w:rPr>
        <w:t xml:space="preserve"> </w:t>
      </w:r>
      <w:r>
        <w:rPr>
          <w:rFonts w:ascii="Times New Roman" w:hAnsi="Times New Roman" w:eastAsia="Times New Roman" w:cs="Times New Roman"/>
          <w:spacing w:val="-15"/>
          <w:sz w:val="24"/>
          <w:szCs w:val="24"/>
        </w:rPr>
        <w:t xml:space="preserve">1~3 </w:t>
      </w:r>
      <w:r>
        <w:rPr>
          <w:spacing w:val="-15"/>
          <w:sz w:val="24"/>
          <w:szCs w:val="24"/>
        </w:rPr>
        <w:t>季度的溶解氧（</w:t>
      </w:r>
      <w:r>
        <w:rPr>
          <w:rFonts w:ascii="Times New Roman" w:hAnsi="Times New Roman" w:eastAsia="Times New Roman" w:cs="Times New Roman"/>
          <w:spacing w:val="-15"/>
          <w:sz w:val="24"/>
          <w:szCs w:val="24"/>
        </w:rPr>
        <w:t>DO</w:t>
      </w:r>
      <w:r>
        <w:rPr>
          <w:spacing w:val="-15"/>
          <w:sz w:val="24"/>
          <w:szCs w:val="24"/>
        </w:rPr>
        <w:t>）、</w:t>
      </w:r>
      <w:r>
        <w:rPr>
          <w:spacing w:val="-7"/>
          <w:sz w:val="24"/>
          <w:szCs w:val="24"/>
        </w:rPr>
        <w:t>高锰酸盐指数（</w:t>
      </w:r>
      <w:r>
        <w:rPr>
          <w:rFonts w:ascii="Times New Roman" w:hAnsi="Times New Roman" w:eastAsia="Times New Roman" w:cs="Times New Roman"/>
          <w:spacing w:val="-7"/>
          <w:sz w:val="24"/>
          <w:szCs w:val="24"/>
        </w:rPr>
        <w:t>COD</w:t>
      </w:r>
      <w:r>
        <w:rPr>
          <w:rFonts w:ascii="Times New Roman" w:hAnsi="Times New Roman" w:eastAsia="Times New Roman" w:cs="Times New Roman"/>
          <w:spacing w:val="-7"/>
          <w:sz w:val="15"/>
          <w:szCs w:val="15"/>
        </w:rPr>
        <w:t>Mn</w:t>
      </w:r>
      <w:r>
        <w:rPr>
          <w:spacing w:val="-7"/>
          <w:sz w:val="24"/>
          <w:szCs w:val="24"/>
        </w:rPr>
        <w:t>）、化学需氧量（</w:t>
      </w:r>
      <w:r>
        <w:rPr>
          <w:rFonts w:ascii="Times New Roman" w:hAnsi="Times New Roman" w:eastAsia="Times New Roman" w:cs="Times New Roman"/>
          <w:spacing w:val="-7"/>
          <w:sz w:val="24"/>
          <w:szCs w:val="24"/>
        </w:rPr>
        <w:t>COD</w:t>
      </w:r>
      <w:r>
        <w:rPr>
          <w:spacing w:val="-7"/>
          <w:sz w:val="24"/>
          <w:szCs w:val="24"/>
        </w:rPr>
        <w:t>）、五日生化需氧量（</w:t>
      </w:r>
      <w:r>
        <w:rPr>
          <w:rFonts w:ascii="Times New Roman" w:hAnsi="Times New Roman" w:eastAsia="Times New Roman" w:cs="Times New Roman"/>
          <w:spacing w:val="-7"/>
          <w:sz w:val="24"/>
          <w:szCs w:val="24"/>
        </w:rPr>
        <w:t>BOD</w:t>
      </w:r>
      <w:r>
        <w:rPr>
          <w:rFonts w:ascii="Times New Roman" w:hAnsi="Times New Roman" w:eastAsia="Times New Roman" w:cs="Times New Roman"/>
          <w:spacing w:val="-7"/>
          <w:sz w:val="15"/>
          <w:szCs w:val="15"/>
        </w:rPr>
        <w:t>5</w:t>
      </w:r>
      <w:r>
        <w:rPr>
          <w:spacing w:val="-7"/>
          <w:sz w:val="24"/>
          <w:szCs w:val="24"/>
        </w:rPr>
        <w:t>）、氨氮</w:t>
      </w:r>
      <w:r>
        <w:rPr>
          <w:spacing w:val="-6"/>
          <w:sz w:val="24"/>
          <w:szCs w:val="24"/>
        </w:rPr>
        <w:t>（</w:t>
      </w:r>
      <w:r>
        <w:rPr>
          <w:rFonts w:ascii="Times New Roman" w:hAnsi="Times New Roman" w:eastAsia="Times New Roman" w:cs="Times New Roman"/>
          <w:spacing w:val="-6"/>
          <w:sz w:val="24"/>
          <w:szCs w:val="24"/>
        </w:rPr>
        <w:t>NH</w:t>
      </w:r>
      <w:r>
        <w:rPr>
          <w:rFonts w:ascii="Times New Roman" w:hAnsi="Times New Roman" w:eastAsia="Times New Roman" w:cs="Times New Roman"/>
          <w:spacing w:val="-6"/>
          <w:sz w:val="15"/>
          <w:szCs w:val="15"/>
        </w:rPr>
        <w:t>3</w:t>
      </w:r>
      <w:r>
        <w:rPr>
          <w:rFonts w:ascii="Times New Roman" w:hAnsi="Times New Roman" w:eastAsia="Times New Roman" w:cs="Times New Roman"/>
          <w:spacing w:val="-6"/>
          <w:sz w:val="24"/>
          <w:szCs w:val="24"/>
        </w:rPr>
        <w:t>-N</w:t>
      </w:r>
      <w:r>
        <w:rPr>
          <w:spacing w:val="-6"/>
          <w:sz w:val="24"/>
          <w:szCs w:val="24"/>
        </w:rPr>
        <w:t>）均出现不同程度的超标。除此之外， 马龙河干流及面店水库水质基本达</w:t>
      </w:r>
      <w:r>
        <w:rPr>
          <w:spacing w:val="-8"/>
          <w:sz w:val="24"/>
          <w:szCs w:val="24"/>
        </w:rPr>
        <w:t>到《地表水环境质量标准》（</w:t>
      </w:r>
      <w:r>
        <w:rPr>
          <w:rFonts w:ascii="Times New Roman" w:hAnsi="Times New Roman" w:eastAsia="Times New Roman" w:cs="Times New Roman"/>
          <w:spacing w:val="-8"/>
          <w:sz w:val="24"/>
          <w:szCs w:val="24"/>
        </w:rPr>
        <w:t>GB3838-2002</w:t>
      </w:r>
      <w:r>
        <w:rPr>
          <w:spacing w:val="-8"/>
          <w:sz w:val="24"/>
          <w:szCs w:val="24"/>
        </w:rPr>
        <w:t>）Ⅲ类标准和Ⅱ类标准要求，施工期地表</w:t>
      </w:r>
      <w:r>
        <w:rPr>
          <w:spacing w:val="-4"/>
          <w:sz w:val="24"/>
          <w:szCs w:val="24"/>
        </w:rPr>
        <w:t>水水质与施工前变化不明显，为保护马龙河及面店水库水质，工程应进一步</w:t>
      </w:r>
      <w:r>
        <w:rPr>
          <w:spacing w:val="-5"/>
          <w:sz w:val="24"/>
          <w:szCs w:val="24"/>
        </w:rPr>
        <w:t>加强施</w:t>
      </w:r>
      <w:r>
        <w:rPr>
          <w:spacing w:val="-1"/>
          <w:sz w:val="24"/>
          <w:szCs w:val="24"/>
        </w:rPr>
        <w:t>工废水和生活污水处理设施的达标处理和回用，确保生产废水和生</w:t>
      </w:r>
      <w:r>
        <w:rPr>
          <w:spacing w:val="-2"/>
          <w:sz w:val="24"/>
          <w:szCs w:val="24"/>
        </w:rPr>
        <w:t>活污水外排。</w:t>
      </w:r>
    </w:p>
    <w:p w14:paraId="4668BD6B">
      <w:pPr>
        <w:pStyle w:val="2"/>
        <w:spacing w:before="102" w:line="226" w:lineRule="auto"/>
        <w:ind w:left="36"/>
        <w:rPr>
          <w:sz w:val="27"/>
          <w:szCs w:val="27"/>
        </w:rPr>
      </w:pPr>
      <w:r>
        <w:rPr>
          <w:rFonts w:ascii="Arial" w:hAnsi="Arial" w:eastAsia="Arial" w:cs="Arial"/>
          <w:spacing w:val="9"/>
          <w:position w:val="1"/>
          <w:sz w:val="21"/>
          <w:szCs w:val="21"/>
        </w:rPr>
        <w:t>6.2.2</w:t>
      </w:r>
      <w:r>
        <w:rPr>
          <w:rFonts w:ascii="Arial" w:hAnsi="Arial" w:eastAsia="Arial" w:cs="Arial"/>
          <w:spacing w:val="3"/>
          <w:position w:val="1"/>
          <w:sz w:val="21"/>
          <w:szCs w:val="21"/>
        </w:rPr>
        <w:t xml:space="preserve">     </w:t>
      </w:r>
      <w:r>
        <w:rPr>
          <w:b/>
          <w:bCs/>
          <w:spacing w:val="9"/>
          <w:position w:val="-1"/>
          <w:sz w:val="27"/>
          <w:szCs w:val="27"/>
        </w:rPr>
        <w:t>地下水环境影响</w:t>
      </w:r>
    </w:p>
    <w:p w14:paraId="70F3E389">
      <w:pPr>
        <w:pStyle w:val="2"/>
        <w:spacing w:before="264" w:line="217" w:lineRule="auto"/>
        <w:ind w:left="35"/>
        <w:rPr>
          <w:sz w:val="24"/>
          <w:szCs w:val="24"/>
        </w:rPr>
      </w:pPr>
      <w:r>
        <w:rPr>
          <w:rFonts w:ascii="Arial" w:hAnsi="Arial" w:eastAsia="Arial" w:cs="Arial"/>
          <w:spacing w:val="-8"/>
          <w:position w:val="1"/>
          <w:sz w:val="24"/>
          <w:szCs w:val="24"/>
        </w:rPr>
        <w:t>6.2.2.1</w:t>
      </w:r>
      <w:r>
        <w:rPr>
          <w:rFonts w:ascii="Arial" w:hAnsi="Arial" w:eastAsia="Arial" w:cs="Arial"/>
          <w:spacing w:val="40"/>
          <w:position w:val="1"/>
          <w:sz w:val="24"/>
          <w:szCs w:val="24"/>
        </w:rPr>
        <w:t xml:space="preserve"> </w:t>
      </w:r>
      <w:r>
        <w:rPr>
          <w:b/>
          <w:bCs/>
          <w:spacing w:val="-8"/>
          <w:position w:val="-1"/>
          <w:sz w:val="24"/>
          <w:szCs w:val="24"/>
        </w:rPr>
        <w:t>工程建设前地下水水质</w:t>
      </w:r>
    </w:p>
    <w:p w14:paraId="1971CE01">
      <w:pPr>
        <w:pStyle w:val="2"/>
        <w:spacing w:before="275" w:line="338" w:lineRule="auto"/>
        <w:ind w:left="40" w:firstLine="479"/>
        <w:jc w:val="both"/>
        <w:rPr>
          <w:sz w:val="24"/>
          <w:szCs w:val="24"/>
        </w:rPr>
      </w:pPr>
      <w:r>
        <w:rPr>
          <w:spacing w:val="-5"/>
          <w:sz w:val="24"/>
          <w:szCs w:val="24"/>
        </w:rPr>
        <w:t>环评阶段，于</w:t>
      </w:r>
      <w:r>
        <w:rPr>
          <w:spacing w:val="-55"/>
          <w:sz w:val="24"/>
          <w:szCs w:val="24"/>
        </w:rPr>
        <w:t xml:space="preserve"> </w:t>
      </w:r>
      <w:r>
        <w:rPr>
          <w:rFonts w:ascii="Times New Roman" w:hAnsi="Times New Roman" w:eastAsia="Times New Roman" w:cs="Times New Roman"/>
          <w:spacing w:val="-5"/>
          <w:sz w:val="24"/>
          <w:szCs w:val="24"/>
        </w:rPr>
        <w:t xml:space="preserve">2015 </w:t>
      </w:r>
      <w:r>
        <w:rPr>
          <w:spacing w:val="-5"/>
          <w:sz w:val="24"/>
          <w:szCs w:val="24"/>
        </w:rPr>
        <w:t>年</w:t>
      </w:r>
      <w:r>
        <w:rPr>
          <w:spacing w:val="-45"/>
          <w:sz w:val="24"/>
          <w:szCs w:val="24"/>
        </w:rPr>
        <w:t xml:space="preserve"> </w:t>
      </w:r>
      <w:r>
        <w:rPr>
          <w:rFonts w:ascii="Times New Roman" w:hAnsi="Times New Roman" w:eastAsia="Times New Roman" w:cs="Times New Roman"/>
          <w:spacing w:val="-5"/>
          <w:sz w:val="24"/>
          <w:szCs w:val="24"/>
        </w:rPr>
        <w:t>8</w:t>
      </w:r>
      <w:r>
        <w:rPr>
          <w:rFonts w:ascii="Times New Roman" w:hAnsi="Times New Roman" w:eastAsia="Times New Roman" w:cs="Times New Roman"/>
          <w:spacing w:val="15"/>
          <w:sz w:val="24"/>
          <w:szCs w:val="24"/>
        </w:rPr>
        <w:t xml:space="preserve"> </w:t>
      </w:r>
      <w:r>
        <w:rPr>
          <w:spacing w:val="-5"/>
          <w:sz w:val="24"/>
          <w:szCs w:val="24"/>
        </w:rPr>
        <w:t>月（丰水期）和</w:t>
      </w:r>
      <w:r>
        <w:rPr>
          <w:spacing w:val="-54"/>
          <w:sz w:val="24"/>
          <w:szCs w:val="24"/>
        </w:rPr>
        <w:t xml:space="preserve"> </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6"/>
          <w:sz w:val="24"/>
          <w:szCs w:val="24"/>
        </w:rPr>
        <w:t xml:space="preserve">016 </w:t>
      </w:r>
      <w:r>
        <w:rPr>
          <w:spacing w:val="-6"/>
          <w:sz w:val="24"/>
          <w:szCs w:val="24"/>
        </w:rPr>
        <w:t>年</w:t>
      </w:r>
      <w:r>
        <w:rPr>
          <w:spacing w:val="-51"/>
          <w:sz w:val="24"/>
          <w:szCs w:val="24"/>
        </w:rPr>
        <w:t xml:space="preserve"> </w:t>
      </w:r>
      <w:r>
        <w:rPr>
          <w:rFonts w:ascii="Times New Roman" w:hAnsi="Times New Roman" w:eastAsia="Times New Roman" w:cs="Times New Roman"/>
          <w:spacing w:val="-6"/>
          <w:sz w:val="24"/>
          <w:szCs w:val="24"/>
        </w:rPr>
        <w:t>3</w:t>
      </w:r>
      <w:r>
        <w:rPr>
          <w:rFonts w:ascii="Times New Roman" w:hAnsi="Times New Roman" w:eastAsia="Times New Roman" w:cs="Times New Roman"/>
          <w:spacing w:val="15"/>
          <w:w w:val="101"/>
          <w:sz w:val="24"/>
          <w:szCs w:val="24"/>
        </w:rPr>
        <w:t xml:space="preserve"> </w:t>
      </w:r>
      <w:r>
        <w:rPr>
          <w:spacing w:val="-6"/>
          <w:sz w:val="24"/>
          <w:szCs w:val="24"/>
        </w:rPr>
        <w:t>月（枯水期）分别对区域内</w:t>
      </w:r>
      <w:r>
        <w:rPr>
          <w:spacing w:val="-2"/>
          <w:sz w:val="24"/>
          <w:szCs w:val="24"/>
        </w:rPr>
        <w:t xml:space="preserve">有代表性的岩溶泉、基岩抽水井、已有地质钻探井等 </w:t>
      </w:r>
      <w:r>
        <w:rPr>
          <w:rFonts w:ascii="Times New Roman" w:hAnsi="Times New Roman" w:eastAsia="Times New Roman" w:cs="Times New Roman"/>
          <w:spacing w:val="-2"/>
          <w:sz w:val="24"/>
          <w:szCs w:val="24"/>
        </w:rPr>
        <w:t xml:space="preserve">25  </w:t>
      </w:r>
      <w:r>
        <w:rPr>
          <w:spacing w:val="-2"/>
          <w:sz w:val="24"/>
          <w:szCs w:val="24"/>
        </w:rPr>
        <w:t>个点位进行了水质监测。各监测点水质达标情况见表</w:t>
      </w:r>
      <w:r>
        <w:rPr>
          <w:spacing w:val="-35"/>
          <w:sz w:val="24"/>
          <w:szCs w:val="24"/>
        </w:rPr>
        <w:t xml:space="preserve"> </w:t>
      </w:r>
      <w:r>
        <w:rPr>
          <w:rFonts w:ascii="Times New Roman" w:hAnsi="Times New Roman" w:eastAsia="Times New Roman" w:cs="Times New Roman"/>
          <w:spacing w:val="-2"/>
          <w:sz w:val="24"/>
          <w:szCs w:val="24"/>
        </w:rPr>
        <w:t>6.2-9</w:t>
      </w:r>
      <w:r>
        <w:rPr>
          <w:spacing w:val="-2"/>
          <w:sz w:val="24"/>
          <w:szCs w:val="24"/>
        </w:rPr>
        <w:t>。</w:t>
      </w:r>
    </w:p>
    <w:p w14:paraId="15C8A1B3">
      <w:pPr>
        <w:pStyle w:val="2"/>
        <w:spacing w:before="1" w:line="225" w:lineRule="auto"/>
        <w:ind w:left="279"/>
        <w:rPr>
          <w:sz w:val="24"/>
          <w:szCs w:val="24"/>
        </w:rPr>
      </w:pPr>
      <w:r>
        <w:rPr>
          <w:b/>
          <w:bCs/>
          <w:spacing w:val="-1"/>
          <w:sz w:val="24"/>
          <w:szCs w:val="24"/>
        </w:rPr>
        <w:t>表</w:t>
      </w:r>
      <w:r>
        <w:rPr>
          <w:spacing w:val="-34"/>
          <w:sz w:val="24"/>
          <w:szCs w:val="24"/>
        </w:rPr>
        <w:t xml:space="preserve"> </w:t>
      </w:r>
      <w:r>
        <w:rPr>
          <w:rFonts w:ascii="Times New Roman" w:hAnsi="Times New Roman" w:eastAsia="Times New Roman" w:cs="Times New Roman"/>
          <w:b/>
          <w:bCs/>
          <w:spacing w:val="-1"/>
          <w:sz w:val="24"/>
          <w:szCs w:val="24"/>
        </w:rPr>
        <w:t xml:space="preserve">6.2-9                                </w:t>
      </w:r>
      <w:r>
        <w:rPr>
          <w:b/>
          <w:bCs/>
          <w:spacing w:val="-1"/>
          <w:sz w:val="24"/>
          <w:szCs w:val="24"/>
        </w:rPr>
        <w:t>环评阶段地下水质量达标情况</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6"/>
        <w:gridCol w:w="706"/>
        <w:gridCol w:w="2394"/>
        <w:gridCol w:w="2407"/>
      </w:tblGrid>
      <w:tr w14:paraId="5D081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966" w:type="dxa"/>
            <w:vMerge w:val="restart"/>
            <w:tcBorders>
              <w:top w:val="single" w:color="000000" w:sz="12" w:space="0"/>
              <w:left w:val="single" w:color="000000" w:sz="12" w:space="0"/>
              <w:bottom w:val="nil"/>
            </w:tcBorders>
            <w:vAlign w:val="top"/>
          </w:tcPr>
          <w:p w14:paraId="1DD49743">
            <w:pPr>
              <w:spacing w:before="299" w:line="221" w:lineRule="auto"/>
              <w:ind w:left="1054"/>
              <w:rPr>
                <w:rFonts w:ascii="宋体" w:hAnsi="宋体" w:eastAsia="宋体" w:cs="宋体"/>
                <w:sz w:val="21"/>
                <w:szCs w:val="21"/>
              </w:rPr>
            </w:pPr>
            <w:r>
              <w:rPr>
                <w:rFonts w:ascii="宋体" w:hAnsi="宋体" w:eastAsia="宋体" w:cs="宋体"/>
                <w:spacing w:val="-2"/>
                <w:sz w:val="21"/>
                <w:szCs w:val="21"/>
              </w:rPr>
              <w:t>监测点位</w:t>
            </w:r>
          </w:p>
        </w:tc>
        <w:tc>
          <w:tcPr>
            <w:tcW w:w="706" w:type="dxa"/>
            <w:vMerge w:val="restart"/>
            <w:tcBorders>
              <w:top w:val="single" w:color="000000" w:sz="12" w:space="0"/>
              <w:bottom w:val="nil"/>
            </w:tcBorders>
            <w:vAlign w:val="top"/>
          </w:tcPr>
          <w:p w14:paraId="689436D7">
            <w:pPr>
              <w:spacing w:before="299" w:line="220" w:lineRule="auto"/>
              <w:ind w:left="144"/>
              <w:rPr>
                <w:rFonts w:ascii="宋体" w:hAnsi="宋体" w:eastAsia="宋体" w:cs="宋体"/>
                <w:sz w:val="21"/>
                <w:szCs w:val="21"/>
              </w:rPr>
            </w:pPr>
            <w:r>
              <w:rPr>
                <w:rFonts w:ascii="宋体" w:hAnsi="宋体" w:eastAsia="宋体" w:cs="宋体"/>
                <w:spacing w:val="-3"/>
                <w:sz w:val="21"/>
                <w:szCs w:val="21"/>
              </w:rPr>
              <w:t>编号</w:t>
            </w:r>
          </w:p>
        </w:tc>
        <w:tc>
          <w:tcPr>
            <w:tcW w:w="4801" w:type="dxa"/>
            <w:gridSpan w:val="2"/>
            <w:tcBorders>
              <w:top w:val="single" w:color="000000" w:sz="12" w:space="0"/>
              <w:right w:val="single" w:color="000000" w:sz="12" w:space="0"/>
            </w:tcBorders>
            <w:vAlign w:val="top"/>
          </w:tcPr>
          <w:p w14:paraId="56A75EFC">
            <w:pPr>
              <w:spacing w:before="92" w:line="220" w:lineRule="auto"/>
              <w:ind w:left="1251"/>
              <w:rPr>
                <w:rFonts w:ascii="宋体" w:hAnsi="宋体" w:eastAsia="宋体" w:cs="宋体"/>
                <w:sz w:val="21"/>
                <w:szCs w:val="21"/>
              </w:rPr>
            </w:pPr>
            <w:r>
              <w:rPr>
                <w:rFonts w:ascii="宋体" w:hAnsi="宋体" w:eastAsia="宋体" w:cs="宋体"/>
                <w:spacing w:val="-1"/>
                <w:sz w:val="21"/>
                <w:szCs w:val="21"/>
              </w:rPr>
              <w:t>工程建设前水质达标情况</w:t>
            </w:r>
          </w:p>
        </w:tc>
      </w:tr>
      <w:tr w14:paraId="3F947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2966" w:type="dxa"/>
            <w:vMerge w:val="continue"/>
            <w:tcBorders>
              <w:top w:val="nil"/>
              <w:left w:val="single" w:color="000000" w:sz="12" w:space="0"/>
            </w:tcBorders>
            <w:vAlign w:val="top"/>
          </w:tcPr>
          <w:p w14:paraId="2CE2D090">
            <w:pPr>
              <w:rPr>
                <w:rFonts w:ascii="Arial"/>
                <w:sz w:val="21"/>
              </w:rPr>
            </w:pPr>
          </w:p>
        </w:tc>
        <w:tc>
          <w:tcPr>
            <w:tcW w:w="706" w:type="dxa"/>
            <w:vMerge w:val="continue"/>
            <w:tcBorders>
              <w:top w:val="nil"/>
            </w:tcBorders>
            <w:vAlign w:val="top"/>
          </w:tcPr>
          <w:p w14:paraId="16F45F3B">
            <w:pPr>
              <w:rPr>
                <w:rFonts w:ascii="Arial"/>
                <w:sz w:val="21"/>
              </w:rPr>
            </w:pPr>
          </w:p>
        </w:tc>
        <w:tc>
          <w:tcPr>
            <w:tcW w:w="2394" w:type="dxa"/>
            <w:vAlign w:val="top"/>
          </w:tcPr>
          <w:p w14:paraId="544DFB5E">
            <w:pPr>
              <w:pStyle w:val="6"/>
              <w:spacing w:before="96" w:line="233" w:lineRule="auto"/>
              <w:ind w:left="127"/>
              <w:rPr>
                <w:rFonts w:ascii="宋体" w:hAnsi="宋体" w:eastAsia="宋体" w:cs="宋体"/>
              </w:rPr>
            </w:pPr>
            <w:r>
              <w:rPr>
                <w:rFonts w:ascii="宋体" w:hAnsi="宋体" w:eastAsia="宋体" w:cs="宋体"/>
                <w:spacing w:val="-3"/>
              </w:rPr>
              <w:t>丰水期（</w:t>
            </w:r>
            <w:r>
              <w:rPr>
                <w:spacing w:val="-3"/>
              </w:rPr>
              <w:t xml:space="preserve">2015 </w:t>
            </w:r>
            <w:r>
              <w:rPr>
                <w:rFonts w:ascii="宋体" w:hAnsi="宋体" w:eastAsia="宋体" w:cs="宋体"/>
                <w:spacing w:val="-3"/>
              </w:rPr>
              <w:t>年</w:t>
            </w:r>
            <w:r>
              <w:rPr>
                <w:rFonts w:ascii="宋体" w:hAnsi="宋体" w:eastAsia="宋体" w:cs="宋体"/>
                <w:spacing w:val="-38"/>
              </w:rPr>
              <w:t xml:space="preserve"> </w:t>
            </w:r>
            <w:r>
              <w:rPr>
                <w:spacing w:val="-3"/>
              </w:rPr>
              <w:t>8</w:t>
            </w:r>
            <w:r>
              <w:rPr>
                <w:spacing w:val="14"/>
              </w:rPr>
              <w:t xml:space="preserve"> </w:t>
            </w:r>
            <w:r>
              <w:rPr>
                <w:rFonts w:ascii="宋体" w:hAnsi="宋体" w:eastAsia="宋体" w:cs="宋体"/>
                <w:spacing w:val="-3"/>
              </w:rPr>
              <w:t>月）</w:t>
            </w:r>
          </w:p>
        </w:tc>
        <w:tc>
          <w:tcPr>
            <w:tcW w:w="2407" w:type="dxa"/>
            <w:tcBorders>
              <w:right w:val="single" w:color="000000" w:sz="12" w:space="0"/>
            </w:tcBorders>
            <w:vAlign w:val="top"/>
          </w:tcPr>
          <w:p w14:paraId="23D754B3">
            <w:pPr>
              <w:pStyle w:val="6"/>
              <w:spacing w:before="96" w:line="233" w:lineRule="auto"/>
              <w:ind w:left="134"/>
              <w:rPr>
                <w:rFonts w:ascii="宋体" w:hAnsi="宋体" w:eastAsia="宋体" w:cs="宋体"/>
              </w:rPr>
            </w:pPr>
            <w:r>
              <w:rPr>
                <w:rFonts w:ascii="宋体" w:hAnsi="宋体" w:eastAsia="宋体" w:cs="宋体"/>
                <w:spacing w:val="-3"/>
              </w:rPr>
              <w:t>枯水期（</w:t>
            </w:r>
            <w:r>
              <w:rPr>
                <w:spacing w:val="-3"/>
              </w:rPr>
              <w:t xml:space="preserve">2016 </w:t>
            </w:r>
            <w:r>
              <w:rPr>
                <w:rFonts w:ascii="宋体" w:hAnsi="宋体" w:eastAsia="宋体" w:cs="宋体"/>
                <w:spacing w:val="-3"/>
              </w:rPr>
              <w:t>年</w:t>
            </w:r>
            <w:r>
              <w:rPr>
                <w:rFonts w:ascii="宋体" w:hAnsi="宋体" w:eastAsia="宋体" w:cs="宋体"/>
                <w:spacing w:val="-38"/>
              </w:rPr>
              <w:t xml:space="preserve"> </w:t>
            </w:r>
            <w:r>
              <w:rPr>
                <w:spacing w:val="-3"/>
              </w:rPr>
              <w:t>3</w:t>
            </w:r>
            <w:r>
              <w:rPr>
                <w:spacing w:val="14"/>
                <w:w w:val="101"/>
              </w:rPr>
              <w:t xml:space="preserve"> </w:t>
            </w:r>
            <w:r>
              <w:rPr>
                <w:rFonts w:ascii="宋体" w:hAnsi="宋体" w:eastAsia="宋体" w:cs="宋体"/>
                <w:spacing w:val="-3"/>
              </w:rPr>
              <w:t>月）</w:t>
            </w:r>
          </w:p>
        </w:tc>
      </w:tr>
      <w:tr w14:paraId="435FB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2966" w:type="dxa"/>
            <w:vMerge w:val="restart"/>
            <w:tcBorders>
              <w:left w:val="single" w:color="000000" w:sz="12" w:space="0"/>
              <w:bottom w:val="nil"/>
            </w:tcBorders>
            <w:vAlign w:val="top"/>
          </w:tcPr>
          <w:p w14:paraId="329C1BD3">
            <w:pPr>
              <w:spacing w:line="368" w:lineRule="auto"/>
              <w:rPr>
                <w:rFonts w:ascii="Arial"/>
                <w:sz w:val="21"/>
              </w:rPr>
            </w:pPr>
          </w:p>
          <w:p w14:paraId="6F99BE9F">
            <w:pPr>
              <w:spacing w:before="68" w:line="219" w:lineRule="auto"/>
              <w:ind w:left="237"/>
              <w:rPr>
                <w:rFonts w:ascii="宋体" w:hAnsi="宋体" w:eastAsia="宋体" w:cs="宋体"/>
                <w:sz w:val="21"/>
                <w:szCs w:val="21"/>
              </w:rPr>
            </w:pPr>
            <w:r>
              <w:rPr>
                <w:rFonts w:ascii="宋体" w:hAnsi="宋体" w:eastAsia="宋体" w:cs="宋体"/>
                <w:spacing w:val="-3"/>
                <w:sz w:val="21"/>
                <w:szCs w:val="21"/>
              </w:rPr>
              <w:t>旧县镇高堡村委会黄龙潭村</w:t>
            </w:r>
          </w:p>
        </w:tc>
        <w:tc>
          <w:tcPr>
            <w:tcW w:w="706" w:type="dxa"/>
            <w:vAlign w:val="top"/>
          </w:tcPr>
          <w:p w14:paraId="6193B073">
            <w:pPr>
              <w:pStyle w:val="6"/>
              <w:spacing w:before="270" w:line="186" w:lineRule="auto"/>
              <w:ind w:left="143"/>
            </w:pPr>
            <w:r>
              <w:rPr>
                <w:spacing w:val="-1"/>
              </w:rPr>
              <w:t>W01</w:t>
            </w:r>
          </w:p>
        </w:tc>
        <w:tc>
          <w:tcPr>
            <w:tcW w:w="2394" w:type="dxa"/>
            <w:vAlign w:val="top"/>
          </w:tcPr>
          <w:p w14:paraId="10213D1C">
            <w:pPr>
              <w:spacing w:before="96" w:line="220" w:lineRule="auto"/>
              <w:ind w:left="999"/>
              <w:rPr>
                <w:rFonts w:ascii="宋体" w:hAnsi="宋体" w:eastAsia="宋体" w:cs="宋体"/>
                <w:sz w:val="21"/>
                <w:szCs w:val="21"/>
              </w:rPr>
            </w:pPr>
            <w:r>
              <w:rPr>
                <w:rFonts w:ascii="宋体" w:hAnsi="宋体" w:eastAsia="宋体" w:cs="宋体"/>
                <w:spacing w:val="-5"/>
                <w:sz w:val="21"/>
                <w:szCs w:val="21"/>
              </w:rPr>
              <w:t>Ⅳ类</w:t>
            </w:r>
          </w:p>
          <w:p w14:paraId="102692EB">
            <w:pPr>
              <w:pStyle w:val="6"/>
              <w:spacing w:before="23" w:line="234" w:lineRule="auto"/>
              <w:jc w:val="right"/>
              <w:rPr>
                <w:rFonts w:ascii="宋体" w:hAnsi="宋体" w:eastAsia="宋体" w:cs="宋体"/>
              </w:rPr>
            </w:pPr>
            <w:r>
              <w:rPr>
                <w:rFonts w:ascii="宋体" w:hAnsi="宋体" w:eastAsia="宋体" w:cs="宋体"/>
                <w:spacing w:val="-11"/>
              </w:rPr>
              <w:t>（亚硝酸盐，超标</w:t>
            </w:r>
            <w:r>
              <w:rPr>
                <w:rFonts w:ascii="宋体" w:hAnsi="宋体" w:eastAsia="宋体" w:cs="宋体"/>
                <w:spacing w:val="-19"/>
              </w:rPr>
              <w:t xml:space="preserve"> </w:t>
            </w:r>
            <w:r>
              <w:rPr>
                <w:spacing w:val="-11"/>
              </w:rPr>
              <w:t xml:space="preserve">1.0 </w:t>
            </w:r>
            <w:r>
              <w:rPr>
                <w:rFonts w:ascii="宋体" w:hAnsi="宋体" w:eastAsia="宋体" w:cs="宋体"/>
                <w:spacing w:val="-11"/>
              </w:rPr>
              <w:t>倍）</w:t>
            </w:r>
          </w:p>
        </w:tc>
        <w:tc>
          <w:tcPr>
            <w:tcW w:w="2407" w:type="dxa"/>
            <w:tcBorders>
              <w:right w:val="single" w:color="000000" w:sz="12" w:space="0"/>
            </w:tcBorders>
            <w:vAlign w:val="top"/>
          </w:tcPr>
          <w:p w14:paraId="02CDFC0B">
            <w:pPr>
              <w:spacing w:before="232"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71F3F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2966" w:type="dxa"/>
            <w:vMerge w:val="continue"/>
            <w:tcBorders>
              <w:top w:val="nil"/>
              <w:left w:val="single" w:color="000000" w:sz="12" w:space="0"/>
            </w:tcBorders>
            <w:vAlign w:val="top"/>
          </w:tcPr>
          <w:p w14:paraId="43271EF8">
            <w:pPr>
              <w:rPr>
                <w:rFonts w:ascii="Arial"/>
                <w:sz w:val="21"/>
              </w:rPr>
            </w:pPr>
          </w:p>
        </w:tc>
        <w:tc>
          <w:tcPr>
            <w:tcW w:w="706" w:type="dxa"/>
            <w:vAlign w:val="top"/>
          </w:tcPr>
          <w:p w14:paraId="6B69918C">
            <w:pPr>
              <w:pStyle w:val="6"/>
              <w:spacing w:before="147" w:line="186" w:lineRule="auto"/>
              <w:ind w:left="143"/>
            </w:pPr>
            <w:r>
              <w:rPr>
                <w:spacing w:val="-1"/>
              </w:rPr>
              <w:t>W02</w:t>
            </w:r>
          </w:p>
        </w:tc>
        <w:tc>
          <w:tcPr>
            <w:tcW w:w="2394" w:type="dxa"/>
            <w:vAlign w:val="top"/>
          </w:tcPr>
          <w:p w14:paraId="0699F2D4">
            <w:pPr>
              <w:spacing w:before="109"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312A97DE">
            <w:pPr>
              <w:spacing w:before="109"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269D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2966" w:type="dxa"/>
            <w:tcBorders>
              <w:left w:val="single" w:color="000000" w:sz="12" w:space="0"/>
              <w:bottom w:val="single" w:color="000000" w:sz="12" w:space="0"/>
            </w:tcBorders>
            <w:vAlign w:val="top"/>
          </w:tcPr>
          <w:p w14:paraId="4D00C33F">
            <w:pPr>
              <w:spacing w:before="115" w:line="219" w:lineRule="auto"/>
              <w:ind w:left="107"/>
              <w:rPr>
                <w:rFonts w:ascii="宋体" w:hAnsi="宋体" w:eastAsia="宋体" w:cs="宋体"/>
                <w:sz w:val="21"/>
                <w:szCs w:val="21"/>
              </w:rPr>
            </w:pPr>
            <w:r>
              <w:rPr>
                <w:rFonts w:ascii="宋体" w:hAnsi="宋体" w:eastAsia="宋体" w:cs="宋体"/>
                <w:spacing w:val="-1"/>
                <w:sz w:val="21"/>
                <w:szCs w:val="21"/>
              </w:rPr>
              <w:t>通泉镇大海哨村委会响水街村</w:t>
            </w:r>
          </w:p>
        </w:tc>
        <w:tc>
          <w:tcPr>
            <w:tcW w:w="706" w:type="dxa"/>
            <w:tcBorders>
              <w:bottom w:val="single" w:color="000000" w:sz="12" w:space="0"/>
            </w:tcBorders>
            <w:vAlign w:val="top"/>
          </w:tcPr>
          <w:p w14:paraId="3708B9EF">
            <w:pPr>
              <w:pStyle w:val="6"/>
              <w:spacing w:before="153" w:line="186" w:lineRule="auto"/>
              <w:ind w:left="143"/>
            </w:pPr>
            <w:r>
              <w:rPr>
                <w:spacing w:val="-1"/>
              </w:rPr>
              <w:t>W03</w:t>
            </w:r>
          </w:p>
        </w:tc>
        <w:tc>
          <w:tcPr>
            <w:tcW w:w="2394" w:type="dxa"/>
            <w:tcBorders>
              <w:bottom w:val="single" w:color="000000" w:sz="12" w:space="0"/>
            </w:tcBorders>
            <w:vAlign w:val="top"/>
          </w:tcPr>
          <w:p w14:paraId="0CE8C206">
            <w:pPr>
              <w:spacing w:before="115"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bottom w:val="single" w:color="000000" w:sz="12" w:space="0"/>
              <w:right w:val="single" w:color="000000" w:sz="12" w:space="0"/>
            </w:tcBorders>
            <w:vAlign w:val="top"/>
          </w:tcPr>
          <w:p w14:paraId="60F1539F">
            <w:pPr>
              <w:spacing w:before="115" w:line="220" w:lineRule="auto"/>
              <w:ind w:left="998"/>
              <w:rPr>
                <w:rFonts w:ascii="宋体" w:hAnsi="宋体" w:eastAsia="宋体" w:cs="宋体"/>
                <w:sz w:val="21"/>
                <w:szCs w:val="21"/>
              </w:rPr>
            </w:pPr>
            <w:r>
              <w:rPr>
                <w:rFonts w:ascii="宋体" w:hAnsi="宋体" w:eastAsia="宋体" w:cs="宋体"/>
                <w:spacing w:val="-4"/>
                <w:sz w:val="21"/>
                <w:szCs w:val="21"/>
              </w:rPr>
              <w:t>Ⅲ类</w:t>
            </w:r>
          </w:p>
        </w:tc>
      </w:tr>
    </w:tbl>
    <w:p w14:paraId="3F20CF7C">
      <w:pPr>
        <w:rPr>
          <w:rFonts w:ascii="Arial"/>
          <w:sz w:val="21"/>
        </w:rPr>
      </w:pPr>
    </w:p>
    <w:p w14:paraId="7F57E403">
      <w:pPr>
        <w:rPr>
          <w:rFonts w:ascii="Arial" w:hAnsi="Arial" w:eastAsia="Arial" w:cs="Arial"/>
          <w:sz w:val="21"/>
          <w:szCs w:val="21"/>
        </w:rPr>
        <w:sectPr>
          <w:headerReference r:id="rId254" w:type="default"/>
          <w:footerReference r:id="rId255" w:type="default"/>
          <w:pgSz w:w="11907" w:h="16839"/>
          <w:pgMar w:top="1376" w:right="1614" w:bottom="1061" w:left="1671" w:header="999" w:footer="861" w:gutter="0"/>
          <w:cols w:space="720" w:num="1"/>
        </w:sectPr>
      </w:pPr>
    </w:p>
    <w:p w14:paraId="1E2A2D82">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6"/>
        <w:gridCol w:w="706"/>
        <w:gridCol w:w="2394"/>
        <w:gridCol w:w="2407"/>
      </w:tblGrid>
      <w:tr w14:paraId="4FF7E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2966" w:type="dxa"/>
            <w:vMerge w:val="restart"/>
            <w:tcBorders>
              <w:top w:val="single" w:color="000000" w:sz="12" w:space="0"/>
              <w:left w:val="single" w:color="000000" w:sz="12" w:space="0"/>
              <w:bottom w:val="nil"/>
            </w:tcBorders>
            <w:vAlign w:val="top"/>
          </w:tcPr>
          <w:p w14:paraId="14DFEDC2">
            <w:pPr>
              <w:spacing w:before="298" w:line="221" w:lineRule="auto"/>
              <w:ind w:left="1054"/>
              <w:rPr>
                <w:rFonts w:ascii="宋体" w:hAnsi="宋体" w:eastAsia="宋体" w:cs="宋体"/>
                <w:sz w:val="21"/>
                <w:szCs w:val="21"/>
              </w:rPr>
            </w:pPr>
            <w:r>
              <w:rPr>
                <w:rFonts w:ascii="宋体" w:hAnsi="宋体" w:eastAsia="宋体" w:cs="宋体"/>
                <w:spacing w:val="-2"/>
                <w:sz w:val="21"/>
                <w:szCs w:val="21"/>
              </w:rPr>
              <w:t>监测点位</w:t>
            </w:r>
          </w:p>
        </w:tc>
        <w:tc>
          <w:tcPr>
            <w:tcW w:w="706" w:type="dxa"/>
            <w:vMerge w:val="restart"/>
            <w:tcBorders>
              <w:top w:val="single" w:color="000000" w:sz="12" w:space="0"/>
              <w:bottom w:val="nil"/>
            </w:tcBorders>
            <w:vAlign w:val="top"/>
          </w:tcPr>
          <w:p w14:paraId="6BC2728F">
            <w:pPr>
              <w:spacing w:before="297" w:line="220" w:lineRule="auto"/>
              <w:ind w:left="144"/>
              <w:rPr>
                <w:rFonts w:ascii="宋体" w:hAnsi="宋体" w:eastAsia="宋体" w:cs="宋体"/>
                <w:sz w:val="21"/>
                <w:szCs w:val="21"/>
              </w:rPr>
            </w:pPr>
            <w:r>
              <w:rPr>
                <w:rFonts w:ascii="宋体" w:hAnsi="宋体" w:eastAsia="宋体" w:cs="宋体"/>
                <w:spacing w:val="-3"/>
                <w:sz w:val="21"/>
                <w:szCs w:val="21"/>
              </w:rPr>
              <w:t>编号</w:t>
            </w:r>
          </w:p>
        </w:tc>
        <w:tc>
          <w:tcPr>
            <w:tcW w:w="4801" w:type="dxa"/>
            <w:gridSpan w:val="2"/>
            <w:tcBorders>
              <w:top w:val="single" w:color="000000" w:sz="12" w:space="0"/>
              <w:right w:val="single" w:color="000000" w:sz="12" w:space="0"/>
            </w:tcBorders>
            <w:vAlign w:val="top"/>
          </w:tcPr>
          <w:p w14:paraId="31A1B4C7">
            <w:pPr>
              <w:spacing w:before="92" w:line="220" w:lineRule="auto"/>
              <w:ind w:left="1251"/>
              <w:rPr>
                <w:rFonts w:ascii="宋体" w:hAnsi="宋体" w:eastAsia="宋体" w:cs="宋体"/>
                <w:sz w:val="21"/>
                <w:szCs w:val="21"/>
              </w:rPr>
            </w:pPr>
            <w:r>
              <w:rPr>
                <w:rFonts w:ascii="宋体" w:hAnsi="宋体" w:eastAsia="宋体" w:cs="宋体"/>
                <w:spacing w:val="-1"/>
                <w:sz w:val="21"/>
                <w:szCs w:val="21"/>
              </w:rPr>
              <w:t>工程建设前水质达标情况</w:t>
            </w:r>
          </w:p>
        </w:tc>
      </w:tr>
      <w:tr w14:paraId="28AF8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vMerge w:val="continue"/>
            <w:tcBorders>
              <w:top w:val="nil"/>
              <w:left w:val="single" w:color="000000" w:sz="12" w:space="0"/>
            </w:tcBorders>
            <w:vAlign w:val="top"/>
          </w:tcPr>
          <w:p w14:paraId="037C54C7">
            <w:pPr>
              <w:rPr>
                <w:rFonts w:ascii="Arial"/>
                <w:sz w:val="21"/>
              </w:rPr>
            </w:pPr>
          </w:p>
        </w:tc>
        <w:tc>
          <w:tcPr>
            <w:tcW w:w="706" w:type="dxa"/>
            <w:vMerge w:val="continue"/>
            <w:tcBorders>
              <w:top w:val="nil"/>
            </w:tcBorders>
            <w:vAlign w:val="top"/>
          </w:tcPr>
          <w:p w14:paraId="6AF90CF4">
            <w:pPr>
              <w:rPr>
                <w:rFonts w:ascii="Arial"/>
                <w:sz w:val="21"/>
              </w:rPr>
            </w:pPr>
          </w:p>
        </w:tc>
        <w:tc>
          <w:tcPr>
            <w:tcW w:w="2394" w:type="dxa"/>
            <w:vAlign w:val="top"/>
          </w:tcPr>
          <w:p w14:paraId="74DE194C">
            <w:pPr>
              <w:pStyle w:val="6"/>
              <w:spacing w:before="92" w:line="233" w:lineRule="auto"/>
              <w:ind w:left="127"/>
              <w:rPr>
                <w:rFonts w:ascii="宋体" w:hAnsi="宋体" w:eastAsia="宋体" w:cs="宋体"/>
              </w:rPr>
            </w:pPr>
            <w:r>
              <w:rPr>
                <w:rFonts w:ascii="宋体" w:hAnsi="宋体" w:eastAsia="宋体" w:cs="宋体"/>
                <w:spacing w:val="-3"/>
              </w:rPr>
              <w:t>丰水期（</w:t>
            </w:r>
            <w:r>
              <w:rPr>
                <w:spacing w:val="-3"/>
              </w:rPr>
              <w:t xml:space="preserve">2015 </w:t>
            </w:r>
            <w:r>
              <w:rPr>
                <w:rFonts w:ascii="宋体" w:hAnsi="宋体" w:eastAsia="宋体" w:cs="宋体"/>
                <w:spacing w:val="-3"/>
              </w:rPr>
              <w:t>年</w:t>
            </w:r>
            <w:r>
              <w:rPr>
                <w:rFonts w:ascii="宋体" w:hAnsi="宋体" w:eastAsia="宋体" w:cs="宋体"/>
                <w:spacing w:val="-38"/>
              </w:rPr>
              <w:t xml:space="preserve"> </w:t>
            </w:r>
            <w:r>
              <w:rPr>
                <w:spacing w:val="-3"/>
              </w:rPr>
              <w:t>8</w:t>
            </w:r>
            <w:r>
              <w:rPr>
                <w:spacing w:val="14"/>
              </w:rPr>
              <w:t xml:space="preserve"> </w:t>
            </w:r>
            <w:r>
              <w:rPr>
                <w:rFonts w:ascii="宋体" w:hAnsi="宋体" w:eastAsia="宋体" w:cs="宋体"/>
                <w:spacing w:val="-3"/>
              </w:rPr>
              <w:t>月）</w:t>
            </w:r>
          </w:p>
        </w:tc>
        <w:tc>
          <w:tcPr>
            <w:tcW w:w="2407" w:type="dxa"/>
            <w:tcBorders>
              <w:right w:val="single" w:color="000000" w:sz="12" w:space="0"/>
            </w:tcBorders>
            <w:vAlign w:val="top"/>
          </w:tcPr>
          <w:p w14:paraId="770E7FEB">
            <w:pPr>
              <w:pStyle w:val="6"/>
              <w:spacing w:before="92" w:line="233" w:lineRule="auto"/>
              <w:ind w:left="134"/>
              <w:rPr>
                <w:rFonts w:ascii="宋体" w:hAnsi="宋体" w:eastAsia="宋体" w:cs="宋体"/>
              </w:rPr>
            </w:pPr>
            <w:r>
              <w:rPr>
                <w:rFonts w:ascii="宋体" w:hAnsi="宋体" w:eastAsia="宋体" w:cs="宋体"/>
                <w:spacing w:val="-3"/>
              </w:rPr>
              <w:t>枯水期（</w:t>
            </w:r>
            <w:r>
              <w:rPr>
                <w:spacing w:val="-3"/>
              </w:rPr>
              <w:t xml:space="preserve">2016 </w:t>
            </w:r>
            <w:r>
              <w:rPr>
                <w:rFonts w:ascii="宋体" w:hAnsi="宋体" w:eastAsia="宋体" w:cs="宋体"/>
                <w:spacing w:val="-3"/>
              </w:rPr>
              <w:t>年</w:t>
            </w:r>
            <w:r>
              <w:rPr>
                <w:rFonts w:ascii="宋体" w:hAnsi="宋体" w:eastAsia="宋体" w:cs="宋体"/>
                <w:spacing w:val="-38"/>
              </w:rPr>
              <w:t xml:space="preserve"> </w:t>
            </w:r>
            <w:r>
              <w:rPr>
                <w:spacing w:val="-3"/>
              </w:rPr>
              <w:t>3</w:t>
            </w:r>
            <w:r>
              <w:rPr>
                <w:spacing w:val="14"/>
                <w:w w:val="101"/>
              </w:rPr>
              <w:t xml:space="preserve"> </w:t>
            </w:r>
            <w:r>
              <w:rPr>
                <w:rFonts w:ascii="宋体" w:hAnsi="宋体" w:eastAsia="宋体" w:cs="宋体"/>
                <w:spacing w:val="-3"/>
              </w:rPr>
              <w:t>月）</w:t>
            </w:r>
          </w:p>
        </w:tc>
      </w:tr>
      <w:tr w14:paraId="08DB2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49B52E73">
            <w:pPr>
              <w:spacing w:before="92" w:line="219" w:lineRule="auto"/>
              <w:ind w:left="107"/>
              <w:rPr>
                <w:rFonts w:ascii="宋体" w:hAnsi="宋体" w:eastAsia="宋体" w:cs="宋体"/>
                <w:sz w:val="21"/>
                <w:szCs w:val="21"/>
              </w:rPr>
            </w:pPr>
            <w:r>
              <w:rPr>
                <w:rFonts w:ascii="宋体" w:hAnsi="宋体" w:eastAsia="宋体" w:cs="宋体"/>
                <w:spacing w:val="-1"/>
                <w:sz w:val="21"/>
                <w:szCs w:val="21"/>
              </w:rPr>
              <w:t>通泉镇杨官田村委会杨官田村</w:t>
            </w:r>
          </w:p>
        </w:tc>
        <w:tc>
          <w:tcPr>
            <w:tcW w:w="706" w:type="dxa"/>
            <w:vAlign w:val="top"/>
          </w:tcPr>
          <w:p w14:paraId="4B39F833">
            <w:pPr>
              <w:pStyle w:val="6"/>
              <w:spacing w:before="130" w:line="186" w:lineRule="auto"/>
              <w:ind w:left="143"/>
            </w:pPr>
            <w:r>
              <w:rPr>
                <w:spacing w:val="-1"/>
              </w:rPr>
              <w:t>W04</w:t>
            </w:r>
          </w:p>
        </w:tc>
        <w:tc>
          <w:tcPr>
            <w:tcW w:w="2394" w:type="dxa"/>
            <w:vAlign w:val="top"/>
          </w:tcPr>
          <w:p w14:paraId="06A15460">
            <w:pPr>
              <w:spacing w:before="92"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2C026608">
            <w:pPr>
              <w:spacing w:before="92"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17AB3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66" w:type="dxa"/>
            <w:tcBorders>
              <w:left w:val="single" w:color="000000" w:sz="12" w:space="0"/>
            </w:tcBorders>
            <w:vAlign w:val="top"/>
          </w:tcPr>
          <w:p w14:paraId="60A53C98">
            <w:pPr>
              <w:spacing w:before="94" w:line="219" w:lineRule="auto"/>
              <w:ind w:left="341"/>
              <w:rPr>
                <w:rFonts w:ascii="宋体" w:hAnsi="宋体" w:eastAsia="宋体" w:cs="宋体"/>
                <w:sz w:val="21"/>
                <w:szCs w:val="21"/>
              </w:rPr>
            </w:pPr>
            <w:r>
              <w:rPr>
                <w:rFonts w:ascii="宋体" w:hAnsi="宋体" w:eastAsia="宋体" w:cs="宋体"/>
                <w:spacing w:val="-3"/>
                <w:sz w:val="21"/>
                <w:szCs w:val="21"/>
              </w:rPr>
              <w:t>旧县镇旧县委会大松树村</w:t>
            </w:r>
          </w:p>
        </w:tc>
        <w:tc>
          <w:tcPr>
            <w:tcW w:w="706" w:type="dxa"/>
            <w:vAlign w:val="top"/>
          </w:tcPr>
          <w:p w14:paraId="29D2BA6F">
            <w:pPr>
              <w:pStyle w:val="6"/>
              <w:spacing w:before="130" w:line="186" w:lineRule="auto"/>
              <w:ind w:left="143"/>
            </w:pPr>
            <w:r>
              <w:rPr>
                <w:spacing w:val="-1"/>
              </w:rPr>
              <w:t>W05</w:t>
            </w:r>
          </w:p>
        </w:tc>
        <w:tc>
          <w:tcPr>
            <w:tcW w:w="2394" w:type="dxa"/>
            <w:vAlign w:val="top"/>
          </w:tcPr>
          <w:p w14:paraId="22CD5FFE">
            <w:pPr>
              <w:spacing w:before="94"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50220462">
            <w:pPr>
              <w:spacing w:before="94"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F975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966" w:type="dxa"/>
            <w:tcBorders>
              <w:left w:val="single" w:color="000000" w:sz="12" w:space="0"/>
            </w:tcBorders>
            <w:vAlign w:val="top"/>
          </w:tcPr>
          <w:p w14:paraId="0C63185B">
            <w:pPr>
              <w:spacing w:before="224" w:line="219" w:lineRule="auto"/>
              <w:ind w:left="237"/>
              <w:rPr>
                <w:rFonts w:ascii="宋体" w:hAnsi="宋体" w:eastAsia="宋体" w:cs="宋体"/>
                <w:sz w:val="21"/>
                <w:szCs w:val="21"/>
              </w:rPr>
            </w:pPr>
            <w:r>
              <w:rPr>
                <w:rFonts w:ascii="宋体" w:hAnsi="宋体" w:eastAsia="宋体" w:cs="宋体"/>
                <w:spacing w:val="-3"/>
                <w:sz w:val="21"/>
                <w:szCs w:val="21"/>
              </w:rPr>
              <w:t>旧县镇白塔村委会白塔甫村</w:t>
            </w:r>
          </w:p>
        </w:tc>
        <w:tc>
          <w:tcPr>
            <w:tcW w:w="706" w:type="dxa"/>
            <w:vAlign w:val="top"/>
          </w:tcPr>
          <w:p w14:paraId="3B609782">
            <w:pPr>
              <w:pStyle w:val="6"/>
              <w:spacing w:before="262" w:line="186" w:lineRule="auto"/>
              <w:ind w:left="143"/>
            </w:pPr>
            <w:r>
              <w:rPr>
                <w:spacing w:val="-1"/>
              </w:rPr>
              <w:t>W06</w:t>
            </w:r>
          </w:p>
        </w:tc>
        <w:tc>
          <w:tcPr>
            <w:tcW w:w="2394" w:type="dxa"/>
            <w:vAlign w:val="top"/>
          </w:tcPr>
          <w:p w14:paraId="252ACFE0">
            <w:pPr>
              <w:spacing w:before="87" w:line="220" w:lineRule="auto"/>
              <w:ind w:left="999"/>
              <w:rPr>
                <w:rFonts w:ascii="宋体" w:hAnsi="宋体" w:eastAsia="宋体" w:cs="宋体"/>
                <w:sz w:val="21"/>
                <w:szCs w:val="21"/>
              </w:rPr>
            </w:pPr>
            <w:r>
              <w:rPr>
                <w:rFonts w:ascii="宋体" w:hAnsi="宋体" w:eastAsia="宋体" w:cs="宋体"/>
                <w:spacing w:val="-5"/>
                <w:sz w:val="21"/>
                <w:szCs w:val="21"/>
              </w:rPr>
              <w:t>Ⅳ类</w:t>
            </w:r>
          </w:p>
          <w:p w14:paraId="3222A391">
            <w:pPr>
              <w:pStyle w:val="6"/>
              <w:spacing w:before="22" w:line="234" w:lineRule="auto"/>
              <w:jc w:val="right"/>
              <w:rPr>
                <w:rFonts w:ascii="宋体" w:hAnsi="宋体" w:eastAsia="宋体" w:cs="宋体"/>
              </w:rPr>
            </w:pPr>
            <w:r>
              <w:rPr>
                <w:rFonts w:ascii="宋体" w:hAnsi="宋体" w:eastAsia="宋体" w:cs="宋体"/>
                <w:spacing w:val="-9"/>
              </w:rPr>
              <w:t>（亚硝酸盐，超标</w:t>
            </w:r>
            <w:r>
              <w:rPr>
                <w:rFonts w:ascii="宋体" w:hAnsi="宋体" w:eastAsia="宋体" w:cs="宋体"/>
                <w:spacing w:val="-47"/>
              </w:rPr>
              <w:t xml:space="preserve"> </w:t>
            </w:r>
            <w:r>
              <w:rPr>
                <w:spacing w:val="-9"/>
              </w:rPr>
              <w:t xml:space="preserve">0.4 </w:t>
            </w:r>
            <w:r>
              <w:rPr>
                <w:rFonts w:ascii="宋体" w:hAnsi="宋体" w:eastAsia="宋体" w:cs="宋体"/>
                <w:spacing w:val="-9"/>
              </w:rPr>
              <w:t>倍）</w:t>
            </w:r>
          </w:p>
        </w:tc>
        <w:tc>
          <w:tcPr>
            <w:tcW w:w="2407" w:type="dxa"/>
            <w:tcBorders>
              <w:right w:val="single" w:color="000000" w:sz="12" w:space="0"/>
            </w:tcBorders>
            <w:vAlign w:val="top"/>
          </w:tcPr>
          <w:p w14:paraId="55E62851">
            <w:pPr>
              <w:spacing w:before="224" w:line="220" w:lineRule="auto"/>
              <w:ind w:left="998"/>
              <w:rPr>
                <w:rFonts w:ascii="宋体" w:hAnsi="宋体" w:eastAsia="宋体" w:cs="宋体"/>
                <w:sz w:val="21"/>
                <w:szCs w:val="21"/>
              </w:rPr>
            </w:pPr>
            <w:r>
              <w:rPr>
                <w:rFonts w:ascii="宋体" w:hAnsi="宋体" w:eastAsia="宋体" w:cs="宋体"/>
                <w:spacing w:val="-2"/>
                <w:sz w:val="21"/>
                <w:szCs w:val="21"/>
              </w:rPr>
              <w:t>Ⅲ类</w:t>
            </w:r>
          </w:p>
        </w:tc>
      </w:tr>
      <w:tr w14:paraId="10B74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66" w:type="dxa"/>
            <w:tcBorders>
              <w:left w:val="single" w:color="000000" w:sz="12" w:space="0"/>
            </w:tcBorders>
            <w:vAlign w:val="top"/>
          </w:tcPr>
          <w:p w14:paraId="44B6F6AC">
            <w:pPr>
              <w:spacing w:before="96" w:line="219" w:lineRule="auto"/>
              <w:ind w:left="237"/>
              <w:rPr>
                <w:rFonts w:ascii="宋体" w:hAnsi="宋体" w:eastAsia="宋体" w:cs="宋体"/>
                <w:sz w:val="21"/>
                <w:szCs w:val="21"/>
              </w:rPr>
            </w:pPr>
            <w:r>
              <w:rPr>
                <w:rFonts w:ascii="宋体" w:hAnsi="宋体" w:eastAsia="宋体" w:cs="宋体"/>
                <w:spacing w:val="-3"/>
                <w:sz w:val="21"/>
                <w:szCs w:val="21"/>
              </w:rPr>
              <w:t>旧县镇白塔村委会黄土坡村</w:t>
            </w:r>
          </w:p>
        </w:tc>
        <w:tc>
          <w:tcPr>
            <w:tcW w:w="706" w:type="dxa"/>
            <w:vAlign w:val="top"/>
          </w:tcPr>
          <w:p w14:paraId="07AF1678">
            <w:pPr>
              <w:pStyle w:val="6"/>
              <w:spacing w:before="129" w:line="232" w:lineRule="auto"/>
              <w:ind w:left="143"/>
            </w:pPr>
            <w:r>
              <w:rPr>
                <w:spacing w:val="-1"/>
              </w:rPr>
              <w:t>W07</w:t>
            </w:r>
          </w:p>
        </w:tc>
        <w:tc>
          <w:tcPr>
            <w:tcW w:w="2394" w:type="dxa"/>
            <w:vAlign w:val="top"/>
          </w:tcPr>
          <w:p w14:paraId="0D89D5E3">
            <w:pPr>
              <w:spacing w:before="95"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63869A69">
            <w:pPr>
              <w:spacing w:before="95"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20F8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66" w:type="dxa"/>
            <w:tcBorders>
              <w:left w:val="single" w:color="000000" w:sz="12" w:space="0"/>
            </w:tcBorders>
            <w:vAlign w:val="top"/>
          </w:tcPr>
          <w:p w14:paraId="2B4E62DE">
            <w:pPr>
              <w:spacing w:before="98" w:line="219" w:lineRule="auto"/>
              <w:ind w:left="237"/>
              <w:rPr>
                <w:rFonts w:ascii="宋体" w:hAnsi="宋体" w:eastAsia="宋体" w:cs="宋体"/>
                <w:sz w:val="21"/>
                <w:szCs w:val="21"/>
              </w:rPr>
            </w:pPr>
            <w:r>
              <w:rPr>
                <w:rFonts w:ascii="宋体" w:hAnsi="宋体" w:eastAsia="宋体" w:cs="宋体"/>
                <w:spacing w:val="-3"/>
                <w:sz w:val="21"/>
                <w:szCs w:val="21"/>
              </w:rPr>
              <w:t>旧县镇白塔村委会小石洞村</w:t>
            </w:r>
          </w:p>
        </w:tc>
        <w:tc>
          <w:tcPr>
            <w:tcW w:w="706" w:type="dxa"/>
            <w:vAlign w:val="top"/>
          </w:tcPr>
          <w:p w14:paraId="5FA90D36">
            <w:pPr>
              <w:pStyle w:val="6"/>
              <w:spacing w:before="136" w:line="186" w:lineRule="auto"/>
              <w:ind w:left="143"/>
            </w:pPr>
            <w:r>
              <w:rPr>
                <w:spacing w:val="-1"/>
              </w:rPr>
              <w:t>W08</w:t>
            </w:r>
          </w:p>
        </w:tc>
        <w:tc>
          <w:tcPr>
            <w:tcW w:w="2394" w:type="dxa"/>
            <w:vAlign w:val="top"/>
          </w:tcPr>
          <w:p w14:paraId="4D59894E">
            <w:pPr>
              <w:spacing w:before="98"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3AEBD937">
            <w:pPr>
              <w:spacing w:before="98"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574F9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966" w:type="dxa"/>
            <w:tcBorders>
              <w:left w:val="single" w:color="000000" w:sz="12" w:space="0"/>
            </w:tcBorders>
            <w:vAlign w:val="top"/>
          </w:tcPr>
          <w:p w14:paraId="433DDB74">
            <w:pPr>
              <w:spacing w:before="229" w:line="219" w:lineRule="auto"/>
              <w:ind w:left="237"/>
              <w:rPr>
                <w:rFonts w:ascii="宋体" w:hAnsi="宋体" w:eastAsia="宋体" w:cs="宋体"/>
                <w:sz w:val="21"/>
                <w:szCs w:val="21"/>
              </w:rPr>
            </w:pPr>
            <w:r>
              <w:rPr>
                <w:rFonts w:ascii="宋体" w:hAnsi="宋体" w:eastAsia="宋体" w:cs="宋体"/>
                <w:spacing w:val="-3"/>
                <w:sz w:val="21"/>
                <w:szCs w:val="21"/>
              </w:rPr>
              <w:t>旧县镇白塔村委会大石洞村</w:t>
            </w:r>
          </w:p>
        </w:tc>
        <w:tc>
          <w:tcPr>
            <w:tcW w:w="706" w:type="dxa"/>
            <w:vAlign w:val="top"/>
          </w:tcPr>
          <w:p w14:paraId="79691E13">
            <w:pPr>
              <w:pStyle w:val="6"/>
              <w:spacing w:before="266" w:line="186" w:lineRule="auto"/>
              <w:ind w:left="143"/>
            </w:pPr>
            <w:r>
              <w:rPr>
                <w:spacing w:val="-1"/>
              </w:rPr>
              <w:t>W09</w:t>
            </w:r>
          </w:p>
        </w:tc>
        <w:tc>
          <w:tcPr>
            <w:tcW w:w="2394" w:type="dxa"/>
            <w:vAlign w:val="top"/>
          </w:tcPr>
          <w:p w14:paraId="2AEC9309">
            <w:pPr>
              <w:spacing w:before="93" w:line="220" w:lineRule="auto"/>
              <w:ind w:left="999"/>
              <w:rPr>
                <w:rFonts w:ascii="宋体" w:hAnsi="宋体" w:eastAsia="宋体" w:cs="宋体"/>
                <w:sz w:val="21"/>
                <w:szCs w:val="21"/>
              </w:rPr>
            </w:pPr>
            <w:r>
              <w:rPr>
                <w:rFonts w:ascii="宋体" w:hAnsi="宋体" w:eastAsia="宋体" w:cs="宋体"/>
                <w:spacing w:val="-5"/>
                <w:sz w:val="21"/>
                <w:szCs w:val="21"/>
              </w:rPr>
              <w:t>Ⅳ类</w:t>
            </w:r>
          </w:p>
          <w:p w14:paraId="0A806548">
            <w:pPr>
              <w:pStyle w:val="6"/>
              <w:spacing w:before="21" w:line="234" w:lineRule="auto"/>
              <w:jc w:val="right"/>
              <w:rPr>
                <w:rFonts w:ascii="宋体" w:hAnsi="宋体" w:eastAsia="宋体" w:cs="宋体"/>
              </w:rPr>
            </w:pPr>
            <w:r>
              <w:rPr>
                <w:rFonts w:ascii="宋体" w:hAnsi="宋体" w:eastAsia="宋体" w:cs="宋体"/>
                <w:spacing w:val="-9"/>
              </w:rPr>
              <w:t>（亚硝酸盐，超标</w:t>
            </w:r>
            <w:r>
              <w:rPr>
                <w:rFonts w:ascii="宋体" w:hAnsi="宋体" w:eastAsia="宋体" w:cs="宋体"/>
                <w:spacing w:val="-47"/>
              </w:rPr>
              <w:t xml:space="preserve"> </w:t>
            </w:r>
            <w:r>
              <w:rPr>
                <w:spacing w:val="-9"/>
              </w:rPr>
              <w:t xml:space="preserve">0.8 </w:t>
            </w:r>
            <w:r>
              <w:rPr>
                <w:rFonts w:ascii="宋体" w:hAnsi="宋体" w:eastAsia="宋体" w:cs="宋体"/>
                <w:spacing w:val="-9"/>
              </w:rPr>
              <w:t>倍）</w:t>
            </w:r>
          </w:p>
        </w:tc>
        <w:tc>
          <w:tcPr>
            <w:tcW w:w="2407" w:type="dxa"/>
            <w:tcBorders>
              <w:right w:val="single" w:color="000000" w:sz="12" w:space="0"/>
            </w:tcBorders>
            <w:vAlign w:val="top"/>
          </w:tcPr>
          <w:p w14:paraId="008F583D">
            <w:pPr>
              <w:spacing w:before="229"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78A0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966" w:type="dxa"/>
            <w:tcBorders>
              <w:left w:val="single" w:color="000000" w:sz="12" w:space="0"/>
            </w:tcBorders>
            <w:vAlign w:val="top"/>
          </w:tcPr>
          <w:p w14:paraId="52152050">
            <w:pPr>
              <w:spacing w:before="100" w:line="219" w:lineRule="auto"/>
              <w:ind w:left="219"/>
              <w:rPr>
                <w:rFonts w:ascii="宋体" w:hAnsi="宋体" w:eastAsia="宋体" w:cs="宋体"/>
                <w:sz w:val="21"/>
                <w:szCs w:val="21"/>
              </w:rPr>
            </w:pPr>
            <w:r>
              <w:rPr>
                <w:rFonts w:ascii="宋体" w:hAnsi="宋体" w:eastAsia="宋体" w:cs="宋体"/>
                <w:spacing w:val="-2"/>
                <w:sz w:val="21"/>
                <w:szCs w:val="21"/>
              </w:rPr>
              <w:t>马过河镇车章村委会三家村</w:t>
            </w:r>
          </w:p>
        </w:tc>
        <w:tc>
          <w:tcPr>
            <w:tcW w:w="706" w:type="dxa"/>
            <w:vAlign w:val="top"/>
          </w:tcPr>
          <w:p w14:paraId="6A25AA2A">
            <w:pPr>
              <w:pStyle w:val="6"/>
              <w:spacing w:before="138" w:line="186" w:lineRule="auto"/>
              <w:ind w:left="143"/>
            </w:pPr>
            <w:r>
              <w:rPr>
                <w:spacing w:val="-1"/>
              </w:rPr>
              <w:t>W10</w:t>
            </w:r>
          </w:p>
        </w:tc>
        <w:tc>
          <w:tcPr>
            <w:tcW w:w="2394" w:type="dxa"/>
            <w:vAlign w:val="top"/>
          </w:tcPr>
          <w:p w14:paraId="38ABCC6A">
            <w:pPr>
              <w:spacing w:before="100"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6C71AB73">
            <w:pPr>
              <w:spacing w:before="100"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694E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66" w:type="dxa"/>
            <w:tcBorders>
              <w:left w:val="single" w:color="000000" w:sz="12" w:space="0"/>
            </w:tcBorders>
            <w:vAlign w:val="top"/>
          </w:tcPr>
          <w:p w14:paraId="6B489FFC">
            <w:pPr>
              <w:spacing w:before="103" w:line="219" w:lineRule="auto"/>
              <w:ind w:left="219"/>
              <w:rPr>
                <w:rFonts w:ascii="宋体" w:hAnsi="宋体" w:eastAsia="宋体" w:cs="宋体"/>
                <w:sz w:val="21"/>
                <w:szCs w:val="21"/>
              </w:rPr>
            </w:pPr>
            <w:r>
              <w:rPr>
                <w:rFonts w:ascii="宋体" w:hAnsi="宋体" w:eastAsia="宋体" w:cs="宋体"/>
                <w:spacing w:val="-2"/>
                <w:sz w:val="21"/>
                <w:szCs w:val="21"/>
              </w:rPr>
              <w:t>马过河镇车章村委会象山村</w:t>
            </w:r>
          </w:p>
        </w:tc>
        <w:tc>
          <w:tcPr>
            <w:tcW w:w="706" w:type="dxa"/>
            <w:vAlign w:val="top"/>
          </w:tcPr>
          <w:p w14:paraId="42EF3D6F">
            <w:pPr>
              <w:pStyle w:val="6"/>
              <w:spacing w:before="141" w:line="186" w:lineRule="auto"/>
              <w:ind w:left="143"/>
            </w:pPr>
            <w:r>
              <w:rPr>
                <w:spacing w:val="-1"/>
              </w:rPr>
              <w:t>W11</w:t>
            </w:r>
          </w:p>
        </w:tc>
        <w:tc>
          <w:tcPr>
            <w:tcW w:w="2394" w:type="dxa"/>
            <w:vAlign w:val="top"/>
          </w:tcPr>
          <w:p w14:paraId="1000FC3A">
            <w:pPr>
              <w:spacing w:before="103"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12A555DD">
            <w:pPr>
              <w:spacing w:before="103"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DA82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966" w:type="dxa"/>
            <w:tcBorders>
              <w:left w:val="single" w:color="000000" w:sz="12" w:space="0"/>
            </w:tcBorders>
            <w:vAlign w:val="top"/>
          </w:tcPr>
          <w:p w14:paraId="3E2937AC">
            <w:pPr>
              <w:spacing w:before="233" w:line="219" w:lineRule="auto"/>
              <w:ind w:left="219"/>
              <w:rPr>
                <w:rFonts w:ascii="宋体" w:hAnsi="宋体" w:eastAsia="宋体" w:cs="宋体"/>
                <w:sz w:val="21"/>
                <w:szCs w:val="21"/>
              </w:rPr>
            </w:pPr>
            <w:r>
              <w:rPr>
                <w:rFonts w:ascii="宋体" w:hAnsi="宋体" w:eastAsia="宋体" w:cs="宋体"/>
                <w:spacing w:val="-2"/>
                <w:sz w:val="21"/>
                <w:szCs w:val="21"/>
              </w:rPr>
              <w:t>马过河镇车章村委会木龙村</w:t>
            </w:r>
          </w:p>
        </w:tc>
        <w:tc>
          <w:tcPr>
            <w:tcW w:w="706" w:type="dxa"/>
            <w:vAlign w:val="top"/>
          </w:tcPr>
          <w:p w14:paraId="63DD5A1D">
            <w:pPr>
              <w:pStyle w:val="6"/>
              <w:spacing w:before="271" w:line="186" w:lineRule="auto"/>
              <w:ind w:left="143"/>
            </w:pPr>
            <w:r>
              <w:rPr>
                <w:spacing w:val="-1"/>
              </w:rPr>
              <w:t>W12</w:t>
            </w:r>
          </w:p>
        </w:tc>
        <w:tc>
          <w:tcPr>
            <w:tcW w:w="2394" w:type="dxa"/>
            <w:vAlign w:val="top"/>
          </w:tcPr>
          <w:p w14:paraId="3892077B">
            <w:pPr>
              <w:spacing w:before="98" w:line="220" w:lineRule="auto"/>
              <w:ind w:left="999"/>
              <w:rPr>
                <w:rFonts w:ascii="宋体" w:hAnsi="宋体" w:eastAsia="宋体" w:cs="宋体"/>
                <w:sz w:val="21"/>
                <w:szCs w:val="21"/>
              </w:rPr>
            </w:pPr>
            <w:r>
              <w:rPr>
                <w:rFonts w:ascii="宋体" w:hAnsi="宋体" w:eastAsia="宋体" w:cs="宋体"/>
                <w:spacing w:val="-5"/>
                <w:sz w:val="21"/>
                <w:szCs w:val="21"/>
              </w:rPr>
              <w:t>Ⅳ类</w:t>
            </w:r>
          </w:p>
          <w:p w14:paraId="6E33A105">
            <w:pPr>
              <w:pStyle w:val="6"/>
              <w:spacing w:before="22" w:line="234" w:lineRule="auto"/>
              <w:jc w:val="right"/>
              <w:rPr>
                <w:rFonts w:ascii="宋体" w:hAnsi="宋体" w:eastAsia="宋体" w:cs="宋体"/>
              </w:rPr>
            </w:pPr>
            <w:r>
              <w:rPr>
                <w:rFonts w:ascii="宋体" w:hAnsi="宋体" w:eastAsia="宋体" w:cs="宋体"/>
                <w:spacing w:val="-9"/>
              </w:rPr>
              <w:t>（亚硝酸盐，超标</w:t>
            </w:r>
            <w:r>
              <w:rPr>
                <w:rFonts w:ascii="宋体" w:hAnsi="宋体" w:eastAsia="宋体" w:cs="宋体"/>
                <w:spacing w:val="-47"/>
              </w:rPr>
              <w:t xml:space="preserve"> </w:t>
            </w:r>
            <w:r>
              <w:rPr>
                <w:spacing w:val="-9"/>
              </w:rPr>
              <w:t xml:space="preserve">0.2 </w:t>
            </w:r>
            <w:r>
              <w:rPr>
                <w:rFonts w:ascii="宋体" w:hAnsi="宋体" w:eastAsia="宋体" w:cs="宋体"/>
                <w:spacing w:val="-9"/>
              </w:rPr>
              <w:t>倍）</w:t>
            </w:r>
          </w:p>
        </w:tc>
        <w:tc>
          <w:tcPr>
            <w:tcW w:w="2407" w:type="dxa"/>
            <w:tcBorders>
              <w:right w:val="single" w:color="000000" w:sz="12" w:space="0"/>
            </w:tcBorders>
            <w:vAlign w:val="top"/>
          </w:tcPr>
          <w:p w14:paraId="5FC90CA9">
            <w:pPr>
              <w:spacing w:before="233"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1F979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62E057B3">
            <w:pPr>
              <w:spacing w:before="105" w:line="219" w:lineRule="auto"/>
              <w:ind w:left="237"/>
              <w:rPr>
                <w:rFonts w:ascii="宋体" w:hAnsi="宋体" w:eastAsia="宋体" w:cs="宋体"/>
                <w:sz w:val="21"/>
                <w:szCs w:val="21"/>
              </w:rPr>
            </w:pPr>
            <w:r>
              <w:rPr>
                <w:rFonts w:ascii="宋体" w:hAnsi="宋体" w:eastAsia="宋体" w:cs="宋体"/>
                <w:spacing w:val="-3"/>
                <w:sz w:val="21"/>
                <w:szCs w:val="21"/>
              </w:rPr>
              <w:t>旧县镇白塔村委会大罗贵村</w:t>
            </w:r>
          </w:p>
        </w:tc>
        <w:tc>
          <w:tcPr>
            <w:tcW w:w="706" w:type="dxa"/>
            <w:vAlign w:val="top"/>
          </w:tcPr>
          <w:p w14:paraId="3747AF11">
            <w:pPr>
              <w:pStyle w:val="6"/>
              <w:spacing w:before="142" w:line="186" w:lineRule="auto"/>
              <w:ind w:left="143"/>
            </w:pPr>
            <w:r>
              <w:rPr>
                <w:spacing w:val="-1"/>
              </w:rPr>
              <w:t>W13</w:t>
            </w:r>
          </w:p>
        </w:tc>
        <w:tc>
          <w:tcPr>
            <w:tcW w:w="2394" w:type="dxa"/>
            <w:vAlign w:val="top"/>
          </w:tcPr>
          <w:p w14:paraId="1BD66CF2">
            <w:pPr>
              <w:spacing w:before="105"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4EDEFB3C">
            <w:pPr>
              <w:spacing w:before="105"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6B54A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66" w:type="dxa"/>
            <w:tcBorders>
              <w:left w:val="single" w:color="000000" w:sz="12" w:space="0"/>
            </w:tcBorders>
            <w:vAlign w:val="top"/>
          </w:tcPr>
          <w:p w14:paraId="09FACF1B">
            <w:pPr>
              <w:spacing w:before="107" w:line="219" w:lineRule="auto"/>
              <w:ind w:left="635"/>
              <w:rPr>
                <w:rFonts w:ascii="宋体" w:hAnsi="宋体" w:eastAsia="宋体" w:cs="宋体"/>
                <w:sz w:val="21"/>
                <w:szCs w:val="21"/>
              </w:rPr>
            </w:pPr>
            <w:r>
              <w:rPr>
                <w:rFonts w:ascii="宋体" w:hAnsi="宋体" w:eastAsia="宋体" w:cs="宋体"/>
                <w:spacing w:val="-2"/>
                <w:sz w:val="21"/>
                <w:szCs w:val="21"/>
              </w:rPr>
              <w:t>王家庄镇小龙井村</w:t>
            </w:r>
          </w:p>
        </w:tc>
        <w:tc>
          <w:tcPr>
            <w:tcW w:w="706" w:type="dxa"/>
            <w:vAlign w:val="top"/>
          </w:tcPr>
          <w:p w14:paraId="0D36FD9E">
            <w:pPr>
              <w:pStyle w:val="6"/>
              <w:spacing w:before="144" w:line="186" w:lineRule="auto"/>
              <w:ind w:left="143"/>
            </w:pPr>
            <w:r>
              <w:rPr>
                <w:spacing w:val="-1"/>
              </w:rPr>
              <w:t>W15</w:t>
            </w:r>
          </w:p>
        </w:tc>
        <w:tc>
          <w:tcPr>
            <w:tcW w:w="2394" w:type="dxa"/>
            <w:vAlign w:val="top"/>
          </w:tcPr>
          <w:p w14:paraId="15F0D101">
            <w:pPr>
              <w:spacing w:before="106"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48A706E0">
            <w:pPr>
              <w:spacing w:before="106"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692E2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2880CD22">
            <w:pPr>
              <w:spacing w:before="106" w:line="219" w:lineRule="auto"/>
              <w:ind w:left="317"/>
              <w:rPr>
                <w:rFonts w:ascii="宋体" w:hAnsi="宋体" w:eastAsia="宋体" w:cs="宋体"/>
                <w:sz w:val="21"/>
                <w:szCs w:val="21"/>
              </w:rPr>
            </w:pPr>
            <w:r>
              <w:rPr>
                <w:rFonts w:ascii="宋体" w:hAnsi="宋体" w:eastAsia="宋体" w:cs="宋体"/>
                <w:spacing w:val="-1"/>
                <w:sz w:val="21"/>
                <w:szCs w:val="21"/>
              </w:rPr>
              <w:t>通泉镇昌隆村委会小屯村</w:t>
            </w:r>
          </w:p>
        </w:tc>
        <w:tc>
          <w:tcPr>
            <w:tcW w:w="706" w:type="dxa"/>
            <w:vAlign w:val="top"/>
          </w:tcPr>
          <w:p w14:paraId="04B5167B">
            <w:pPr>
              <w:pStyle w:val="6"/>
              <w:spacing w:before="144" w:line="186" w:lineRule="auto"/>
              <w:ind w:left="143"/>
            </w:pPr>
            <w:r>
              <w:rPr>
                <w:spacing w:val="-1"/>
              </w:rPr>
              <w:t>W16</w:t>
            </w:r>
          </w:p>
        </w:tc>
        <w:tc>
          <w:tcPr>
            <w:tcW w:w="2394" w:type="dxa"/>
            <w:vAlign w:val="top"/>
          </w:tcPr>
          <w:p w14:paraId="179157EB">
            <w:pPr>
              <w:spacing w:before="106"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7ACCA6CC">
            <w:pPr>
              <w:spacing w:before="106"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52B46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2EDD55BA">
            <w:pPr>
              <w:spacing w:before="107" w:line="219" w:lineRule="auto"/>
              <w:ind w:left="109"/>
              <w:rPr>
                <w:rFonts w:ascii="宋体" w:hAnsi="宋体" w:eastAsia="宋体" w:cs="宋体"/>
                <w:sz w:val="21"/>
                <w:szCs w:val="21"/>
              </w:rPr>
            </w:pPr>
            <w:r>
              <w:rPr>
                <w:rFonts w:ascii="宋体" w:hAnsi="宋体" w:eastAsia="宋体" w:cs="宋体"/>
                <w:spacing w:val="-1"/>
                <w:sz w:val="21"/>
                <w:szCs w:val="21"/>
              </w:rPr>
              <w:t>王家庄镇格里村委会上罗贵村</w:t>
            </w:r>
          </w:p>
        </w:tc>
        <w:tc>
          <w:tcPr>
            <w:tcW w:w="706" w:type="dxa"/>
            <w:vAlign w:val="top"/>
          </w:tcPr>
          <w:p w14:paraId="6D1B59DA">
            <w:pPr>
              <w:pStyle w:val="6"/>
              <w:spacing w:before="145" w:line="186" w:lineRule="auto"/>
              <w:ind w:left="143"/>
            </w:pPr>
            <w:r>
              <w:rPr>
                <w:spacing w:val="-1"/>
              </w:rPr>
              <w:t>W17</w:t>
            </w:r>
          </w:p>
        </w:tc>
        <w:tc>
          <w:tcPr>
            <w:tcW w:w="2394" w:type="dxa"/>
            <w:vAlign w:val="top"/>
          </w:tcPr>
          <w:p w14:paraId="25D397CA">
            <w:pPr>
              <w:spacing w:before="107"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15A6E634">
            <w:pPr>
              <w:spacing w:before="107"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020AB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966" w:type="dxa"/>
            <w:tcBorders>
              <w:left w:val="single" w:color="000000" w:sz="12" w:space="0"/>
            </w:tcBorders>
            <w:vAlign w:val="top"/>
          </w:tcPr>
          <w:p w14:paraId="40C7883D">
            <w:pPr>
              <w:spacing w:before="109" w:line="219" w:lineRule="auto"/>
              <w:ind w:left="109"/>
              <w:rPr>
                <w:rFonts w:ascii="宋体" w:hAnsi="宋体" w:eastAsia="宋体" w:cs="宋体"/>
                <w:sz w:val="21"/>
                <w:szCs w:val="21"/>
              </w:rPr>
            </w:pPr>
            <w:r>
              <w:rPr>
                <w:rFonts w:ascii="宋体" w:hAnsi="宋体" w:eastAsia="宋体" w:cs="宋体"/>
                <w:spacing w:val="-1"/>
                <w:sz w:val="21"/>
                <w:szCs w:val="21"/>
              </w:rPr>
              <w:t>王家庄镇格里村委会下罗贵村</w:t>
            </w:r>
          </w:p>
        </w:tc>
        <w:tc>
          <w:tcPr>
            <w:tcW w:w="706" w:type="dxa"/>
            <w:vAlign w:val="top"/>
          </w:tcPr>
          <w:p w14:paraId="280DC88F">
            <w:pPr>
              <w:pStyle w:val="6"/>
              <w:spacing w:before="147" w:line="186" w:lineRule="auto"/>
              <w:ind w:left="143"/>
            </w:pPr>
            <w:r>
              <w:rPr>
                <w:spacing w:val="-1"/>
              </w:rPr>
              <w:t>W19</w:t>
            </w:r>
          </w:p>
        </w:tc>
        <w:tc>
          <w:tcPr>
            <w:tcW w:w="2394" w:type="dxa"/>
            <w:vAlign w:val="top"/>
          </w:tcPr>
          <w:p w14:paraId="6E3F557F">
            <w:pPr>
              <w:spacing w:before="109"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1E31004A">
            <w:pPr>
              <w:spacing w:before="109"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52BD4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966" w:type="dxa"/>
            <w:tcBorders>
              <w:left w:val="single" w:color="000000" w:sz="12" w:space="0"/>
            </w:tcBorders>
            <w:vAlign w:val="top"/>
          </w:tcPr>
          <w:p w14:paraId="791B8F13">
            <w:pPr>
              <w:spacing w:before="104" w:line="219" w:lineRule="auto"/>
              <w:ind w:left="109"/>
              <w:rPr>
                <w:rFonts w:ascii="宋体" w:hAnsi="宋体" w:eastAsia="宋体" w:cs="宋体"/>
                <w:sz w:val="21"/>
                <w:szCs w:val="21"/>
              </w:rPr>
            </w:pPr>
            <w:r>
              <w:rPr>
                <w:rFonts w:ascii="宋体" w:hAnsi="宋体" w:eastAsia="宋体" w:cs="宋体"/>
                <w:spacing w:val="-1"/>
                <w:sz w:val="21"/>
                <w:szCs w:val="21"/>
              </w:rPr>
              <w:t>王家庄镇高枧槽村委会八角洞</w:t>
            </w:r>
          </w:p>
          <w:p w14:paraId="2E54429D">
            <w:pPr>
              <w:spacing w:before="23" w:line="219" w:lineRule="auto"/>
              <w:ind w:left="1368"/>
              <w:rPr>
                <w:rFonts w:ascii="宋体" w:hAnsi="宋体" w:eastAsia="宋体" w:cs="宋体"/>
                <w:sz w:val="21"/>
                <w:szCs w:val="21"/>
              </w:rPr>
            </w:pPr>
            <w:r>
              <w:rPr>
                <w:rFonts w:ascii="宋体" w:hAnsi="宋体" w:eastAsia="宋体" w:cs="宋体"/>
                <w:sz w:val="21"/>
                <w:szCs w:val="21"/>
              </w:rPr>
              <w:t>村</w:t>
            </w:r>
          </w:p>
        </w:tc>
        <w:tc>
          <w:tcPr>
            <w:tcW w:w="706" w:type="dxa"/>
            <w:vAlign w:val="top"/>
          </w:tcPr>
          <w:p w14:paraId="4BFBD43E">
            <w:pPr>
              <w:pStyle w:val="6"/>
              <w:spacing w:before="277" w:line="186" w:lineRule="auto"/>
              <w:ind w:left="143"/>
            </w:pPr>
            <w:r>
              <w:rPr>
                <w:spacing w:val="-1"/>
              </w:rPr>
              <w:t>W20</w:t>
            </w:r>
          </w:p>
        </w:tc>
        <w:tc>
          <w:tcPr>
            <w:tcW w:w="2394" w:type="dxa"/>
            <w:vAlign w:val="top"/>
          </w:tcPr>
          <w:p w14:paraId="2DE8B20B">
            <w:pPr>
              <w:spacing w:before="104" w:line="220" w:lineRule="auto"/>
              <w:ind w:left="999"/>
              <w:rPr>
                <w:rFonts w:ascii="宋体" w:hAnsi="宋体" w:eastAsia="宋体" w:cs="宋体"/>
                <w:sz w:val="21"/>
                <w:szCs w:val="21"/>
              </w:rPr>
            </w:pPr>
            <w:r>
              <w:rPr>
                <w:rFonts w:ascii="宋体" w:hAnsi="宋体" w:eastAsia="宋体" w:cs="宋体"/>
                <w:spacing w:val="-5"/>
                <w:sz w:val="21"/>
                <w:szCs w:val="21"/>
              </w:rPr>
              <w:t>Ⅳ类</w:t>
            </w:r>
          </w:p>
          <w:p w14:paraId="7E7EF15A">
            <w:pPr>
              <w:pStyle w:val="6"/>
              <w:spacing w:before="22" w:line="234" w:lineRule="auto"/>
              <w:jc w:val="right"/>
              <w:rPr>
                <w:rFonts w:ascii="宋体" w:hAnsi="宋体" w:eastAsia="宋体" w:cs="宋体"/>
              </w:rPr>
            </w:pPr>
            <w:r>
              <w:rPr>
                <w:rFonts w:ascii="宋体" w:hAnsi="宋体" w:eastAsia="宋体" w:cs="宋体"/>
                <w:spacing w:val="-9"/>
              </w:rPr>
              <w:t>（亚硝酸盐，超标</w:t>
            </w:r>
            <w:r>
              <w:rPr>
                <w:rFonts w:ascii="宋体" w:hAnsi="宋体" w:eastAsia="宋体" w:cs="宋体"/>
                <w:spacing w:val="-47"/>
              </w:rPr>
              <w:t xml:space="preserve"> </w:t>
            </w:r>
            <w:r>
              <w:rPr>
                <w:spacing w:val="-9"/>
              </w:rPr>
              <w:t xml:space="preserve">0.2 </w:t>
            </w:r>
            <w:r>
              <w:rPr>
                <w:rFonts w:ascii="宋体" w:hAnsi="宋体" w:eastAsia="宋体" w:cs="宋体"/>
                <w:spacing w:val="-9"/>
              </w:rPr>
              <w:t>倍）</w:t>
            </w:r>
          </w:p>
        </w:tc>
        <w:tc>
          <w:tcPr>
            <w:tcW w:w="2407" w:type="dxa"/>
            <w:tcBorders>
              <w:right w:val="single" w:color="000000" w:sz="12" w:space="0"/>
            </w:tcBorders>
            <w:vAlign w:val="top"/>
          </w:tcPr>
          <w:p w14:paraId="52D8EE23">
            <w:pPr>
              <w:spacing w:before="239"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7BE5C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2966" w:type="dxa"/>
            <w:tcBorders>
              <w:left w:val="single" w:color="000000" w:sz="12" w:space="0"/>
            </w:tcBorders>
            <w:vAlign w:val="top"/>
          </w:tcPr>
          <w:p w14:paraId="154412C1">
            <w:pPr>
              <w:spacing w:line="308" w:lineRule="auto"/>
              <w:rPr>
                <w:rFonts w:ascii="Arial"/>
                <w:sz w:val="21"/>
              </w:rPr>
            </w:pPr>
          </w:p>
          <w:p w14:paraId="5ABA39BB">
            <w:pPr>
              <w:spacing w:before="69" w:line="219" w:lineRule="auto"/>
              <w:ind w:left="114"/>
              <w:rPr>
                <w:rFonts w:ascii="宋体" w:hAnsi="宋体" w:eastAsia="宋体" w:cs="宋体"/>
                <w:sz w:val="21"/>
                <w:szCs w:val="21"/>
              </w:rPr>
            </w:pPr>
            <w:r>
              <w:rPr>
                <w:rFonts w:ascii="宋体" w:hAnsi="宋体" w:eastAsia="宋体" w:cs="宋体"/>
                <w:spacing w:val="-2"/>
                <w:sz w:val="21"/>
                <w:szCs w:val="21"/>
              </w:rPr>
              <w:t>马过河镇车章村委会马保地村</w:t>
            </w:r>
          </w:p>
        </w:tc>
        <w:tc>
          <w:tcPr>
            <w:tcW w:w="706" w:type="dxa"/>
            <w:vAlign w:val="top"/>
          </w:tcPr>
          <w:p w14:paraId="0E66F64C">
            <w:pPr>
              <w:spacing w:line="350" w:lineRule="auto"/>
              <w:rPr>
                <w:rFonts w:ascii="Arial"/>
                <w:sz w:val="21"/>
              </w:rPr>
            </w:pPr>
          </w:p>
          <w:p w14:paraId="31744E70">
            <w:pPr>
              <w:pStyle w:val="6"/>
              <w:spacing w:before="60" w:line="232" w:lineRule="auto"/>
              <w:ind w:left="190"/>
            </w:pPr>
            <w:r>
              <w:rPr>
                <w:spacing w:val="-1"/>
              </w:rPr>
              <w:t>#01</w:t>
            </w:r>
          </w:p>
        </w:tc>
        <w:tc>
          <w:tcPr>
            <w:tcW w:w="2394" w:type="dxa"/>
            <w:vAlign w:val="top"/>
          </w:tcPr>
          <w:p w14:paraId="52C26200">
            <w:pPr>
              <w:spacing w:before="106" w:line="220" w:lineRule="auto"/>
              <w:ind w:left="999"/>
              <w:rPr>
                <w:rFonts w:ascii="宋体" w:hAnsi="宋体" w:eastAsia="宋体" w:cs="宋体"/>
                <w:sz w:val="21"/>
                <w:szCs w:val="21"/>
              </w:rPr>
            </w:pPr>
            <w:r>
              <w:rPr>
                <w:rFonts w:ascii="宋体" w:hAnsi="宋体" w:eastAsia="宋体" w:cs="宋体"/>
                <w:spacing w:val="-5"/>
                <w:sz w:val="21"/>
                <w:szCs w:val="21"/>
              </w:rPr>
              <w:t>Ⅳ类</w:t>
            </w:r>
          </w:p>
          <w:p w14:paraId="08856454">
            <w:pPr>
              <w:pStyle w:val="6"/>
              <w:spacing w:before="23" w:line="239" w:lineRule="auto"/>
              <w:ind w:left="28" w:right="16" w:firstLine="6"/>
              <w:rPr>
                <w:rFonts w:ascii="宋体" w:hAnsi="宋体" w:eastAsia="宋体" w:cs="宋体"/>
              </w:rPr>
            </w:pPr>
            <w:r>
              <w:rPr>
                <w:rFonts w:ascii="宋体" w:hAnsi="宋体" w:eastAsia="宋体" w:cs="宋体"/>
                <w:spacing w:val="-4"/>
              </w:rPr>
              <w:t>（总硬度</w:t>
            </w:r>
            <w:r>
              <w:rPr>
                <w:rFonts w:ascii="宋体" w:hAnsi="宋体" w:eastAsia="宋体" w:cs="宋体"/>
                <w:spacing w:val="-28"/>
              </w:rPr>
              <w:t xml:space="preserve"> </w:t>
            </w:r>
            <w:r>
              <w:rPr>
                <w:spacing w:val="-4"/>
              </w:rPr>
              <w:t xml:space="preserve">0.19 </w:t>
            </w:r>
            <w:r>
              <w:rPr>
                <w:rFonts w:ascii="宋体" w:hAnsi="宋体" w:eastAsia="宋体" w:cs="宋体"/>
                <w:spacing w:val="-4"/>
              </w:rPr>
              <w:t>倍；硫酸盐</w:t>
            </w:r>
            <w:r>
              <w:rPr>
                <w:spacing w:val="-2"/>
              </w:rPr>
              <w:t xml:space="preserve">0.6 </w:t>
            </w:r>
            <w:r>
              <w:rPr>
                <w:rFonts w:ascii="宋体" w:hAnsi="宋体" w:eastAsia="宋体" w:cs="宋体"/>
                <w:spacing w:val="-2"/>
              </w:rPr>
              <w:t>倍；氟化物</w:t>
            </w:r>
            <w:r>
              <w:rPr>
                <w:rFonts w:ascii="宋体" w:hAnsi="宋体" w:eastAsia="宋体" w:cs="宋体"/>
                <w:spacing w:val="-45"/>
              </w:rPr>
              <w:t xml:space="preserve"> </w:t>
            </w:r>
            <w:r>
              <w:rPr>
                <w:spacing w:val="-2"/>
              </w:rPr>
              <w:t>0.3</w:t>
            </w:r>
            <w:r>
              <w:rPr>
                <w:spacing w:val="9"/>
              </w:rPr>
              <w:t xml:space="preserve"> </w:t>
            </w:r>
            <w:r>
              <w:rPr>
                <w:rFonts w:ascii="宋体" w:hAnsi="宋体" w:eastAsia="宋体" w:cs="宋体"/>
                <w:spacing w:val="-2"/>
              </w:rPr>
              <w:t>倍）</w:t>
            </w:r>
          </w:p>
        </w:tc>
        <w:tc>
          <w:tcPr>
            <w:tcW w:w="2407" w:type="dxa"/>
            <w:tcBorders>
              <w:right w:val="single" w:color="000000" w:sz="12" w:space="0"/>
            </w:tcBorders>
            <w:vAlign w:val="top"/>
          </w:tcPr>
          <w:p w14:paraId="6A4523CA">
            <w:pPr>
              <w:spacing w:before="106" w:line="220" w:lineRule="auto"/>
              <w:ind w:left="1007"/>
              <w:rPr>
                <w:rFonts w:ascii="宋体" w:hAnsi="宋体" w:eastAsia="宋体" w:cs="宋体"/>
                <w:sz w:val="21"/>
                <w:szCs w:val="21"/>
              </w:rPr>
            </w:pPr>
            <w:r>
              <w:rPr>
                <w:rFonts w:ascii="宋体" w:hAnsi="宋体" w:eastAsia="宋体" w:cs="宋体"/>
                <w:spacing w:val="-5"/>
                <w:sz w:val="21"/>
                <w:szCs w:val="21"/>
              </w:rPr>
              <w:t>Ⅳ类</w:t>
            </w:r>
          </w:p>
          <w:p w14:paraId="74321653">
            <w:pPr>
              <w:pStyle w:val="6"/>
              <w:spacing w:before="23" w:line="239" w:lineRule="auto"/>
              <w:ind w:left="35" w:right="12" w:firstLine="6"/>
              <w:rPr>
                <w:rFonts w:ascii="宋体" w:hAnsi="宋体" w:eastAsia="宋体" w:cs="宋体"/>
              </w:rPr>
            </w:pPr>
            <w:r>
              <w:rPr>
                <w:rFonts w:ascii="宋体" w:hAnsi="宋体" w:eastAsia="宋体" w:cs="宋体"/>
                <w:spacing w:val="-4"/>
              </w:rPr>
              <w:t>（总硬度</w:t>
            </w:r>
            <w:r>
              <w:rPr>
                <w:rFonts w:ascii="宋体" w:hAnsi="宋体" w:eastAsia="宋体" w:cs="宋体"/>
                <w:spacing w:val="-28"/>
              </w:rPr>
              <w:t xml:space="preserve"> </w:t>
            </w:r>
            <w:r>
              <w:rPr>
                <w:spacing w:val="-4"/>
              </w:rPr>
              <w:t xml:space="preserve">0.33 </w:t>
            </w:r>
            <w:r>
              <w:rPr>
                <w:rFonts w:ascii="宋体" w:hAnsi="宋体" w:eastAsia="宋体" w:cs="宋体"/>
                <w:spacing w:val="-4"/>
              </w:rPr>
              <w:t>倍；硫酸盐</w:t>
            </w:r>
            <w:r>
              <w:rPr>
                <w:spacing w:val="-2"/>
              </w:rPr>
              <w:t xml:space="preserve">0.8 </w:t>
            </w:r>
            <w:r>
              <w:rPr>
                <w:rFonts w:ascii="宋体" w:hAnsi="宋体" w:eastAsia="宋体" w:cs="宋体"/>
                <w:spacing w:val="-2"/>
              </w:rPr>
              <w:t>倍；氟化物</w:t>
            </w:r>
            <w:r>
              <w:rPr>
                <w:rFonts w:ascii="宋体" w:hAnsi="宋体" w:eastAsia="宋体" w:cs="宋体"/>
                <w:spacing w:val="-43"/>
              </w:rPr>
              <w:t xml:space="preserve"> </w:t>
            </w:r>
            <w:r>
              <w:rPr>
                <w:spacing w:val="-2"/>
              </w:rPr>
              <w:t>0.12</w:t>
            </w:r>
            <w:r>
              <w:rPr>
                <w:spacing w:val="10"/>
              </w:rPr>
              <w:t xml:space="preserve"> </w:t>
            </w:r>
            <w:r>
              <w:rPr>
                <w:rFonts w:ascii="宋体" w:hAnsi="宋体" w:eastAsia="宋体" w:cs="宋体"/>
                <w:spacing w:val="-2"/>
              </w:rPr>
              <w:t>倍）</w:t>
            </w:r>
          </w:p>
        </w:tc>
      </w:tr>
      <w:tr w14:paraId="72973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4DA3CE33">
            <w:pPr>
              <w:spacing w:before="114" w:line="219" w:lineRule="auto"/>
              <w:ind w:left="737"/>
              <w:rPr>
                <w:rFonts w:ascii="宋体" w:hAnsi="宋体" w:eastAsia="宋体" w:cs="宋体"/>
                <w:sz w:val="21"/>
                <w:szCs w:val="21"/>
              </w:rPr>
            </w:pPr>
            <w:r>
              <w:rPr>
                <w:rFonts w:ascii="宋体" w:hAnsi="宋体" w:eastAsia="宋体" w:cs="宋体"/>
                <w:spacing w:val="-2"/>
                <w:sz w:val="21"/>
                <w:szCs w:val="21"/>
              </w:rPr>
              <w:t>通泉镇马家坝村</w:t>
            </w:r>
          </w:p>
        </w:tc>
        <w:tc>
          <w:tcPr>
            <w:tcW w:w="706" w:type="dxa"/>
            <w:vAlign w:val="top"/>
          </w:tcPr>
          <w:p w14:paraId="624C4D3F">
            <w:pPr>
              <w:pStyle w:val="6"/>
              <w:spacing w:before="148" w:line="232" w:lineRule="auto"/>
              <w:ind w:left="190"/>
            </w:pPr>
            <w:r>
              <w:rPr>
                <w:spacing w:val="-1"/>
              </w:rPr>
              <w:t>#02</w:t>
            </w:r>
          </w:p>
        </w:tc>
        <w:tc>
          <w:tcPr>
            <w:tcW w:w="2394" w:type="dxa"/>
            <w:vAlign w:val="top"/>
          </w:tcPr>
          <w:p w14:paraId="7437B1C1">
            <w:pPr>
              <w:spacing w:before="113"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4FEBABC1">
            <w:pPr>
              <w:spacing w:before="113"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1444E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2966" w:type="dxa"/>
            <w:tcBorders>
              <w:left w:val="single" w:color="000000" w:sz="12" w:space="0"/>
            </w:tcBorders>
            <w:vAlign w:val="top"/>
          </w:tcPr>
          <w:p w14:paraId="556A9CCE">
            <w:pPr>
              <w:spacing w:before="114" w:line="219" w:lineRule="auto"/>
              <w:ind w:left="215"/>
              <w:rPr>
                <w:rFonts w:ascii="宋体" w:hAnsi="宋体" w:eastAsia="宋体" w:cs="宋体"/>
                <w:sz w:val="21"/>
                <w:szCs w:val="21"/>
              </w:rPr>
            </w:pPr>
            <w:r>
              <w:rPr>
                <w:rFonts w:ascii="宋体" w:hAnsi="宋体" w:eastAsia="宋体" w:cs="宋体"/>
                <w:spacing w:val="-1"/>
                <w:sz w:val="21"/>
                <w:szCs w:val="21"/>
              </w:rPr>
              <w:t>王家庄镇格里村委会干冲村</w:t>
            </w:r>
          </w:p>
        </w:tc>
        <w:tc>
          <w:tcPr>
            <w:tcW w:w="706" w:type="dxa"/>
            <w:vAlign w:val="top"/>
          </w:tcPr>
          <w:p w14:paraId="6F858A8D">
            <w:pPr>
              <w:pStyle w:val="6"/>
              <w:spacing w:before="148" w:line="232" w:lineRule="auto"/>
              <w:ind w:left="190"/>
            </w:pPr>
            <w:r>
              <w:rPr>
                <w:spacing w:val="-1"/>
              </w:rPr>
              <w:t>#04</w:t>
            </w:r>
          </w:p>
        </w:tc>
        <w:tc>
          <w:tcPr>
            <w:tcW w:w="2394" w:type="dxa"/>
            <w:vAlign w:val="top"/>
          </w:tcPr>
          <w:p w14:paraId="10066776">
            <w:pPr>
              <w:spacing w:before="114" w:line="220" w:lineRule="auto"/>
              <w:ind w:left="990"/>
              <w:rPr>
                <w:rFonts w:ascii="宋体" w:hAnsi="宋体" w:eastAsia="宋体" w:cs="宋体"/>
                <w:sz w:val="21"/>
                <w:szCs w:val="21"/>
              </w:rPr>
            </w:pPr>
            <w:r>
              <w:rPr>
                <w:rFonts w:ascii="宋体" w:hAnsi="宋体" w:eastAsia="宋体" w:cs="宋体"/>
                <w:spacing w:val="-4"/>
                <w:sz w:val="21"/>
                <w:szCs w:val="21"/>
              </w:rPr>
              <w:t>Ⅲ类</w:t>
            </w:r>
          </w:p>
        </w:tc>
        <w:tc>
          <w:tcPr>
            <w:tcW w:w="2407" w:type="dxa"/>
            <w:tcBorders>
              <w:right w:val="single" w:color="000000" w:sz="12" w:space="0"/>
            </w:tcBorders>
            <w:vAlign w:val="top"/>
          </w:tcPr>
          <w:p w14:paraId="1C6CAF30">
            <w:pPr>
              <w:spacing w:before="114"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2D48F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2966" w:type="dxa"/>
            <w:tcBorders>
              <w:left w:val="single" w:color="000000" w:sz="12" w:space="0"/>
            </w:tcBorders>
            <w:vAlign w:val="top"/>
          </w:tcPr>
          <w:p w14:paraId="517D617F">
            <w:pPr>
              <w:spacing w:line="312" w:lineRule="auto"/>
              <w:rPr>
                <w:rFonts w:ascii="Arial"/>
                <w:sz w:val="21"/>
              </w:rPr>
            </w:pPr>
          </w:p>
          <w:p w14:paraId="3A04B894">
            <w:pPr>
              <w:spacing w:before="69" w:line="219" w:lineRule="auto"/>
              <w:ind w:left="761"/>
              <w:rPr>
                <w:rFonts w:ascii="宋体" w:hAnsi="宋体" w:eastAsia="宋体" w:cs="宋体"/>
                <w:sz w:val="21"/>
                <w:szCs w:val="21"/>
              </w:rPr>
            </w:pPr>
            <w:r>
              <w:rPr>
                <w:rFonts w:ascii="宋体" w:hAnsi="宋体" w:eastAsia="宋体" w:cs="宋体"/>
                <w:spacing w:val="-4"/>
                <w:sz w:val="21"/>
                <w:szCs w:val="21"/>
              </w:rPr>
              <w:t>旧县镇大湾河村</w:t>
            </w:r>
          </w:p>
        </w:tc>
        <w:tc>
          <w:tcPr>
            <w:tcW w:w="706" w:type="dxa"/>
            <w:vAlign w:val="top"/>
          </w:tcPr>
          <w:p w14:paraId="65E7F10A">
            <w:pPr>
              <w:spacing w:line="354" w:lineRule="auto"/>
              <w:rPr>
                <w:rFonts w:ascii="Arial"/>
                <w:sz w:val="21"/>
              </w:rPr>
            </w:pPr>
          </w:p>
          <w:p w14:paraId="32431972">
            <w:pPr>
              <w:pStyle w:val="6"/>
              <w:spacing w:before="60" w:line="232" w:lineRule="auto"/>
              <w:ind w:left="190"/>
            </w:pPr>
            <w:r>
              <w:rPr>
                <w:spacing w:val="-1"/>
              </w:rPr>
              <w:t>#08</w:t>
            </w:r>
          </w:p>
        </w:tc>
        <w:tc>
          <w:tcPr>
            <w:tcW w:w="2394" w:type="dxa"/>
            <w:vAlign w:val="top"/>
          </w:tcPr>
          <w:p w14:paraId="33E36581">
            <w:pPr>
              <w:spacing w:before="110" w:line="220" w:lineRule="auto"/>
              <w:ind w:left="999"/>
              <w:rPr>
                <w:rFonts w:ascii="宋体" w:hAnsi="宋体" w:eastAsia="宋体" w:cs="宋体"/>
                <w:sz w:val="21"/>
                <w:szCs w:val="21"/>
              </w:rPr>
            </w:pPr>
            <w:r>
              <w:rPr>
                <w:rFonts w:ascii="宋体" w:hAnsi="宋体" w:eastAsia="宋体" w:cs="宋体"/>
                <w:spacing w:val="-5"/>
                <w:sz w:val="21"/>
                <w:szCs w:val="21"/>
              </w:rPr>
              <w:t>Ⅳ类</w:t>
            </w:r>
          </w:p>
          <w:p w14:paraId="61204AC8">
            <w:pPr>
              <w:pStyle w:val="6"/>
              <w:spacing w:before="22" w:line="238" w:lineRule="auto"/>
              <w:ind w:left="30" w:right="16" w:firstLine="4"/>
              <w:rPr>
                <w:rFonts w:ascii="宋体" w:hAnsi="宋体" w:eastAsia="宋体" w:cs="宋体"/>
              </w:rPr>
            </w:pPr>
            <w:r>
              <w:rPr>
                <w:rFonts w:ascii="宋体" w:hAnsi="宋体" w:eastAsia="宋体" w:cs="宋体"/>
                <w:spacing w:val="-4"/>
              </w:rPr>
              <w:t>（高锰酸钾</w:t>
            </w:r>
            <w:r>
              <w:rPr>
                <w:rFonts w:ascii="宋体" w:hAnsi="宋体" w:eastAsia="宋体" w:cs="宋体"/>
                <w:spacing w:val="-28"/>
              </w:rPr>
              <w:t xml:space="preserve"> </w:t>
            </w:r>
            <w:r>
              <w:rPr>
                <w:spacing w:val="-4"/>
              </w:rPr>
              <w:t xml:space="preserve">0.56 </w:t>
            </w:r>
            <w:r>
              <w:rPr>
                <w:rFonts w:ascii="宋体" w:hAnsi="宋体" w:eastAsia="宋体" w:cs="宋体"/>
                <w:spacing w:val="-4"/>
              </w:rPr>
              <w:t>倍；亚硝酸盐</w:t>
            </w:r>
            <w:r>
              <w:rPr>
                <w:rFonts w:ascii="宋体" w:hAnsi="宋体" w:eastAsia="宋体" w:cs="宋体"/>
                <w:spacing w:val="-45"/>
              </w:rPr>
              <w:t xml:space="preserve"> </w:t>
            </w:r>
            <w:r>
              <w:rPr>
                <w:spacing w:val="-4"/>
              </w:rPr>
              <w:t>0.4</w:t>
            </w:r>
            <w:r>
              <w:rPr>
                <w:spacing w:val="9"/>
              </w:rPr>
              <w:t xml:space="preserve"> </w:t>
            </w:r>
            <w:r>
              <w:rPr>
                <w:rFonts w:ascii="宋体" w:hAnsi="宋体" w:eastAsia="宋体" w:cs="宋体"/>
                <w:spacing w:val="-4"/>
              </w:rPr>
              <w:t>倍）</w:t>
            </w:r>
          </w:p>
        </w:tc>
        <w:tc>
          <w:tcPr>
            <w:tcW w:w="2407" w:type="dxa"/>
            <w:tcBorders>
              <w:right w:val="single" w:color="000000" w:sz="12" w:space="0"/>
            </w:tcBorders>
            <w:vAlign w:val="top"/>
          </w:tcPr>
          <w:p w14:paraId="1ADAC965">
            <w:pPr>
              <w:spacing w:line="312" w:lineRule="auto"/>
              <w:rPr>
                <w:rFonts w:ascii="Arial"/>
                <w:sz w:val="21"/>
              </w:rPr>
            </w:pPr>
          </w:p>
          <w:p w14:paraId="3EB3744A">
            <w:pPr>
              <w:spacing w:before="68" w:line="220" w:lineRule="auto"/>
              <w:ind w:left="998"/>
              <w:rPr>
                <w:rFonts w:ascii="宋体" w:hAnsi="宋体" w:eastAsia="宋体" w:cs="宋体"/>
                <w:sz w:val="21"/>
                <w:szCs w:val="21"/>
              </w:rPr>
            </w:pPr>
            <w:r>
              <w:rPr>
                <w:rFonts w:ascii="宋体" w:hAnsi="宋体" w:eastAsia="宋体" w:cs="宋体"/>
                <w:spacing w:val="-4"/>
                <w:sz w:val="21"/>
                <w:szCs w:val="21"/>
              </w:rPr>
              <w:t>Ⅲ类</w:t>
            </w:r>
          </w:p>
        </w:tc>
      </w:tr>
      <w:tr w14:paraId="7C4BF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2966" w:type="dxa"/>
            <w:tcBorders>
              <w:left w:val="single" w:color="000000" w:sz="12" w:space="0"/>
              <w:bottom w:val="single" w:color="000000" w:sz="12" w:space="0"/>
            </w:tcBorders>
            <w:vAlign w:val="top"/>
          </w:tcPr>
          <w:p w14:paraId="4D905A76">
            <w:pPr>
              <w:spacing w:before="248" w:line="219" w:lineRule="auto"/>
              <w:ind w:left="737"/>
              <w:rPr>
                <w:rFonts w:ascii="宋体" w:hAnsi="宋体" w:eastAsia="宋体" w:cs="宋体"/>
                <w:sz w:val="21"/>
                <w:szCs w:val="21"/>
              </w:rPr>
            </w:pPr>
            <w:r>
              <w:rPr>
                <w:rFonts w:ascii="宋体" w:hAnsi="宋体" w:eastAsia="宋体" w:cs="宋体"/>
                <w:spacing w:val="-2"/>
                <w:sz w:val="21"/>
                <w:szCs w:val="21"/>
              </w:rPr>
              <w:t>通泉镇小田冲村</w:t>
            </w:r>
          </w:p>
        </w:tc>
        <w:tc>
          <w:tcPr>
            <w:tcW w:w="706" w:type="dxa"/>
            <w:tcBorders>
              <w:bottom w:val="single" w:color="000000" w:sz="12" w:space="0"/>
            </w:tcBorders>
            <w:vAlign w:val="top"/>
          </w:tcPr>
          <w:p w14:paraId="72F37EE8">
            <w:pPr>
              <w:pStyle w:val="6"/>
              <w:spacing w:before="282" w:line="232" w:lineRule="auto"/>
              <w:ind w:left="190"/>
            </w:pPr>
            <w:r>
              <w:rPr>
                <w:spacing w:val="-1"/>
              </w:rPr>
              <w:t>#09</w:t>
            </w:r>
          </w:p>
        </w:tc>
        <w:tc>
          <w:tcPr>
            <w:tcW w:w="2394" w:type="dxa"/>
            <w:tcBorders>
              <w:bottom w:val="single" w:color="000000" w:sz="12" w:space="0"/>
            </w:tcBorders>
            <w:vAlign w:val="top"/>
          </w:tcPr>
          <w:p w14:paraId="7A5121E0">
            <w:pPr>
              <w:spacing w:before="113" w:line="220" w:lineRule="auto"/>
              <w:ind w:left="999"/>
              <w:rPr>
                <w:rFonts w:ascii="宋体" w:hAnsi="宋体" w:eastAsia="宋体" w:cs="宋体"/>
                <w:sz w:val="21"/>
                <w:szCs w:val="21"/>
              </w:rPr>
            </w:pPr>
            <w:r>
              <w:rPr>
                <w:rFonts w:ascii="宋体" w:hAnsi="宋体" w:eastAsia="宋体" w:cs="宋体"/>
                <w:spacing w:val="-5"/>
                <w:sz w:val="21"/>
                <w:szCs w:val="21"/>
              </w:rPr>
              <w:t>Ⅳ类</w:t>
            </w:r>
          </w:p>
          <w:p w14:paraId="691EA80D">
            <w:pPr>
              <w:pStyle w:val="6"/>
              <w:spacing w:before="21" w:line="234" w:lineRule="auto"/>
              <w:ind w:left="289"/>
              <w:rPr>
                <w:rFonts w:ascii="宋体" w:hAnsi="宋体" w:eastAsia="宋体" w:cs="宋体"/>
              </w:rPr>
            </w:pPr>
            <w:r>
              <w:rPr>
                <w:rFonts w:ascii="宋体" w:hAnsi="宋体" w:eastAsia="宋体" w:cs="宋体"/>
                <w:spacing w:val="-3"/>
              </w:rPr>
              <w:t>（亚硝酸盐</w:t>
            </w:r>
            <w:r>
              <w:rPr>
                <w:rFonts w:ascii="宋体" w:hAnsi="宋体" w:eastAsia="宋体" w:cs="宋体"/>
                <w:spacing w:val="-37"/>
              </w:rPr>
              <w:t xml:space="preserve"> </w:t>
            </w:r>
            <w:r>
              <w:rPr>
                <w:spacing w:val="-3"/>
              </w:rPr>
              <w:t xml:space="preserve">0.4 </w:t>
            </w:r>
            <w:r>
              <w:rPr>
                <w:rFonts w:ascii="宋体" w:hAnsi="宋体" w:eastAsia="宋体" w:cs="宋体"/>
                <w:spacing w:val="-3"/>
              </w:rPr>
              <w:t>倍）</w:t>
            </w:r>
          </w:p>
        </w:tc>
        <w:tc>
          <w:tcPr>
            <w:tcW w:w="2407" w:type="dxa"/>
            <w:tcBorders>
              <w:bottom w:val="single" w:color="000000" w:sz="12" w:space="0"/>
              <w:right w:val="single" w:color="000000" w:sz="12" w:space="0"/>
            </w:tcBorders>
            <w:vAlign w:val="top"/>
          </w:tcPr>
          <w:p w14:paraId="174A9357">
            <w:pPr>
              <w:spacing w:before="113" w:line="220" w:lineRule="auto"/>
              <w:ind w:left="1007"/>
              <w:rPr>
                <w:rFonts w:ascii="宋体" w:hAnsi="宋体" w:eastAsia="宋体" w:cs="宋体"/>
                <w:sz w:val="21"/>
                <w:szCs w:val="21"/>
              </w:rPr>
            </w:pPr>
            <w:r>
              <w:rPr>
                <w:rFonts w:ascii="宋体" w:hAnsi="宋体" w:eastAsia="宋体" w:cs="宋体"/>
                <w:spacing w:val="-5"/>
                <w:sz w:val="21"/>
                <w:szCs w:val="21"/>
              </w:rPr>
              <w:t>Ⅳ类</w:t>
            </w:r>
          </w:p>
          <w:p w14:paraId="7B3CF234">
            <w:pPr>
              <w:pStyle w:val="6"/>
              <w:spacing w:before="21" w:line="233" w:lineRule="auto"/>
              <w:ind w:left="401"/>
              <w:rPr>
                <w:rFonts w:ascii="宋体" w:hAnsi="宋体" w:eastAsia="宋体" w:cs="宋体"/>
              </w:rPr>
            </w:pPr>
            <w:r>
              <w:rPr>
                <w:rFonts w:ascii="宋体" w:hAnsi="宋体" w:eastAsia="宋体" w:cs="宋体"/>
                <w:spacing w:val="-6"/>
              </w:rPr>
              <w:t>（氟化物</w:t>
            </w:r>
            <w:r>
              <w:rPr>
                <w:rFonts w:ascii="宋体" w:hAnsi="宋体" w:eastAsia="宋体" w:cs="宋体"/>
                <w:spacing w:val="-11"/>
              </w:rPr>
              <w:t xml:space="preserve"> </w:t>
            </w:r>
            <w:r>
              <w:rPr>
                <w:spacing w:val="-6"/>
              </w:rPr>
              <w:t xml:space="preserve">1.0 </w:t>
            </w:r>
            <w:r>
              <w:rPr>
                <w:rFonts w:ascii="宋体" w:hAnsi="宋体" w:eastAsia="宋体" w:cs="宋体"/>
                <w:spacing w:val="-6"/>
              </w:rPr>
              <w:t>倍）</w:t>
            </w:r>
          </w:p>
        </w:tc>
      </w:tr>
    </w:tbl>
    <w:p w14:paraId="41AC7545">
      <w:pPr>
        <w:pStyle w:val="2"/>
        <w:spacing w:before="31" w:line="233" w:lineRule="auto"/>
        <w:ind w:left="40"/>
        <w:rPr>
          <w:sz w:val="21"/>
          <w:szCs w:val="21"/>
        </w:rPr>
      </w:pPr>
      <w:r>
        <w:rPr>
          <w:spacing w:val="-2"/>
          <w:sz w:val="21"/>
          <w:szCs w:val="21"/>
        </w:rPr>
        <w:t>备注：</w:t>
      </w:r>
      <w:r>
        <w:rPr>
          <w:rFonts w:ascii="Times New Roman" w:hAnsi="Times New Roman" w:eastAsia="Times New Roman" w:cs="Times New Roman"/>
          <w:spacing w:val="-2"/>
          <w:sz w:val="21"/>
          <w:szCs w:val="21"/>
        </w:rPr>
        <w:t>1</w:t>
      </w:r>
      <w:r>
        <w:rPr>
          <w:rFonts w:ascii="Times New Roman" w:hAnsi="Times New Roman" w:eastAsia="Times New Roman" w:cs="Times New Roman"/>
          <w:spacing w:val="-13"/>
          <w:sz w:val="21"/>
          <w:szCs w:val="21"/>
        </w:rPr>
        <w:t xml:space="preserve"> </w:t>
      </w:r>
      <w:r>
        <w:rPr>
          <w:spacing w:val="-2"/>
          <w:sz w:val="21"/>
          <w:szCs w:val="21"/>
        </w:rPr>
        <w:t>、</w:t>
      </w:r>
      <w:r>
        <w:rPr>
          <w:rFonts w:ascii="Times New Roman" w:hAnsi="Times New Roman" w:eastAsia="Times New Roman" w:cs="Times New Roman"/>
          <w:spacing w:val="-2"/>
          <w:sz w:val="21"/>
          <w:szCs w:val="21"/>
        </w:rPr>
        <w:t xml:space="preserve">W </w:t>
      </w:r>
      <w:r>
        <w:rPr>
          <w:spacing w:val="-2"/>
          <w:sz w:val="21"/>
          <w:szCs w:val="21"/>
        </w:rPr>
        <w:t>代表泉、泉群；</w:t>
      </w:r>
      <w:r>
        <w:rPr>
          <w:rFonts w:ascii="Times New Roman" w:hAnsi="Times New Roman" w:eastAsia="Times New Roman" w:cs="Times New Roman"/>
          <w:spacing w:val="-2"/>
          <w:sz w:val="21"/>
          <w:szCs w:val="21"/>
        </w:rPr>
        <w:t xml:space="preserve">#0 </w:t>
      </w:r>
      <w:r>
        <w:rPr>
          <w:spacing w:val="-2"/>
          <w:sz w:val="21"/>
          <w:szCs w:val="21"/>
        </w:rPr>
        <w:t>代表基岩抽水井；</w:t>
      </w:r>
      <w:r>
        <w:rPr>
          <w:rFonts w:ascii="Times New Roman" w:hAnsi="Times New Roman" w:eastAsia="Times New Roman" w:cs="Times New Roman"/>
          <w:spacing w:val="-2"/>
          <w:sz w:val="21"/>
          <w:szCs w:val="21"/>
        </w:rPr>
        <w:t>2</w:t>
      </w:r>
      <w:r>
        <w:rPr>
          <w:spacing w:val="-2"/>
          <w:sz w:val="21"/>
          <w:szCs w:val="21"/>
        </w:rPr>
        <w:t>、括号内为超标因子及超标倍数。</w:t>
      </w:r>
    </w:p>
    <w:p w14:paraId="0BB3E219">
      <w:pPr>
        <w:spacing w:line="284" w:lineRule="auto"/>
        <w:rPr>
          <w:rFonts w:ascii="Arial"/>
          <w:sz w:val="21"/>
        </w:rPr>
      </w:pPr>
    </w:p>
    <w:p w14:paraId="5ECE2782">
      <w:pPr>
        <w:pStyle w:val="2"/>
        <w:spacing w:before="78" w:line="337" w:lineRule="auto"/>
        <w:ind w:left="38" w:right="31" w:firstLine="480"/>
        <w:jc w:val="both"/>
        <w:rPr>
          <w:sz w:val="24"/>
          <w:szCs w:val="24"/>
        </w:rPr>
      </w:pPr>
      <w:r>
        <w:rPr>
          <w:spacing w:val="-3"/>
          <w:sz w:val="24"/>
          <w:szCs w:val="24"/>
        </w:rPr>
        <w:t>根据表</w:t>
      </w:r>
      <w:r>
        <w:rPr>
          <w:spacing w:val="-49"/>
          <w:sz w:val="24"/>
          <w:szCs w:val="24"/>
        </w:rPr>
        <w:t xml:space="preserve"> </w:t>
      </w:r>
      <w:r>
        <w:rPr>
          <w:rFonts w:ascii="Times New Roman" w:hAnsi="Times New Roman" w:eastAsia="Times New Roman" w:cs="Times New Roman"/>
          <w:spacing w:val="-3"/>
          <w:sz w:val="24"/>
          <w:szCs w:val="24"/>
        </w:rPr>
        <w:t>6.2-9</w:t>
      </w:r>
      <w:r>
        <w:rPr>
          <w:spacing w:val="-3"/>
          <w:sz w:val="24"/>
          <w:szCs w:val="24"/>
        </w:rPr>
        <w:t>，环评阶段监测的</w:t>
      </w:r>
      <w:r>
        <w:rPr>
          <w:spacing w:val="-55"/>
          <w:sz w:val="24"/>
          <w:szCs w:val="24"/>
        </w:rPr>
        <w:t xml:space="preserve"> </w:t>
      </w:r>
      <w:r>
        <w:rPr>
          <w:rFonts w:ascii="Times New Roman" w:hAnsi="Times New Roman" w:eastAsia="Times New Roman" w:cs="Times New Roman"/>
          <w:spacing w:val="-3"/>
          <w:sz w:val="24"/>
          <w:szCs w:val="24"/>
        </w:rPr>
        <w:t xml:space="preserve">25 </w:t>
      </w:r>
      <w:r>
        <w:rPr>
          <w:spacing w:val="-3"/>
          <w:sz w:val="24"/>
          <w:szCs w:val="24"/>
        </w:rPr>
        <w:t>个地下水监测点位（</w:t>
      </w:r>
      <w:r>
        <w:rPr>
          <w:rFonts w:ascii="Times New Roman" w:hAnsi="Times New Roman" w:eastAsia="Times New Roman" w:cs="Times New Roman"/>
          <w:spacing w:val="-3"/>
          <w:sz w:val="24"/>
          <w:szCs w:val="24"/>
        </w:rPr>
        <w:t xml:space="preserve">20 </w:t>
      </w:r>
      <w:r>
        <w:rPr>
          <w:spacing w:val="-3"/>
          <w:sz w:val="24"/>
          <w:szCs w:val="24"/>
        </w:rPr>
        <w:t>个岩溶泉、</w:t>
      </w:r>
      <w:r>
        <w:rPr>
          <w:rFonts w:ascii="Times New Roman" w:hAnsi="Times New Roman" w:eastAsia="Times New Roman" w:cs="Times New Roman"/>
          <w:spacing w:val="-3"/>
          <w:sz w:val="24"/>
          <w:szCs w:val="24"/>
        </w:rPr>
        <w:t xml:space="preserve">5 </w:t>
      </w:r>
      <w:r>
        <w:rPr>
          <w:spacing w:val="-3"/>
          <w:sz w:val="24"/>
          <w:szCs w:val="24"/>
        </w:rPr>
        <w:t>个基岩</w:t>
      </w:r>
      <w:r>
        <w:rPr>
          <w:spacing w:val="-4"/>
          <w:sz w:val="24"/>
          <w:szCs w:val="24"/>
        </w:rPr>
        <w:t>抽水井）水环境质量整体较好，不同时段、个别点位出现超标。总体表现为：</w:t>
      </w:r>
      <w:r>
        <w:rPr>
          <w:spacing w:val="-5"/>
          <w:sz w:val="24"/>
          <w:szCs w:val="24"/>
        </w:rPr>
        <w:t>枯水</w:t>
      </w:r>
      <w:r>
        <w:rPr>
          <w:spacing w:val="-2"/>
          <w:sz w:val="24"/>
          <w:szCs w:val="24"/>
        </w:rPr>
        <w:t>期水质较丰水期水质优，泉水水质较抽水井水质优。</w:t>
      </w:r>
    </w:p>
    <w:p w14:paraId="30EA70CB">
      <w:pPr>
        <w:spacing w:line="337" w:lineRule="auto"/>
        <w:rPr>
          <w:sz w:val="24"/>
          <w:szCs w:val="24"/>
        </w:rPr>
        <w:sectPr>
          <w:headerReference r:id="rId256" w:type="default"/>
          <w:footerReference r:id="rId257" w:type="default"/>
          <w:pgSz w:w="11907" w:h="16839"/>
          <w:pgMar w:top="1376" w:right="1669" w:bottom="1061" w:left="1671" w:header="999" w:footer="861" w:gutter="0"/>
          <w:cols w:space="720" w:num="1"/>
        </w:sectPr>
      </w:pPr>
    </w:p>
    <w:p w14:paraId="3EB536D7">
      <w:pPr>
        <w:spacing w:line="452" w:lineRule="auto"/>
        <w:rPr>
          <w:rFonts w:ascii="Arial"/>
          <w:sz w:val="21"/>
        </w:rPr>
      </w:pPr>
    </w:p>
    <w:p w14:paraId="71D8BC51">
      <w:pPr>
        <w:pStyle w:val="2"/>
        <w:spacing w:before="78" w:line="339" w:lineRule="auto"/>
        <w:ind w:left="38" w:right="31" w:firstLine="481"/>
        <w:rPr>
          <w:sz w:val="24"/>
          <w:szCs w:val="24"/>
        </w:rPr>
      </w:pPr>
      <w:r>
        <w:rPr>
          <w:spacing w:val="-5"/>
          <w:sz w:val="24"/>
          <w:szCs w:val="24"/>
        </w:rPr>
        <w:t>丰水期（</w:t>
      </w:r>
      <w:r>
        <w:rPr>
          <w:rFonts w:ascii="Times New Roman" w:hAnsi="Times New Roman" w:eastAsia="Times New Roman" w:cs="Times New Roman"/>
          <w:spacing w:val="-5"/>
          <w:sz w:val="24"/>
          <w:szCs w:val="24"/>
        </w:rPr>
        <w:t xml:space="preserve">2015 </w:t>
      </w:r>
      <w:r>
        <w:rPr>
          <w:spacing w:val="-5"/>
          <w:sz w:val="24"/>
          <w:szCs w:val="24"/>
        </w:rPr>
        <w:t>年</w:t>
      </w:r>
      <w:r>
        <w:rPr>
          <w:spacing w:val="-43"/>
          <w:sz w:val="24"/>
          <w:szCs w:val="24"/>
        </w:rPr>
        <w:t xml:space="preserve"> </w:t>
      </w:r>
      <w:r>
        <w:rPr>
          <w:rFonts w:ascii="Times New Roman" w:hAnsi="Times New Roman" w:eastAsia="Times New Roman" w:cs="Times New Roman"/>
          <w:spacing w:val="-5"/>
          <w:sz w:val="24"/>
          <w:szCs w:val="24"/>
        </w:rPr>
        <w:t>8</w:t>
      </w:r>
      <w:r>
        <w:rPr>
          <w:rFonts w:ascii="Times New Roman" w:hAnsi="Times New Roman" w:eastAsia="Times New Roman" w:cs="Times New Roman"/>
          <w:spacing w:val="16"/>
          <w:sz w:val="24"/>
          <w:szCs w:val="24"/>
        </w:rPr>
        <w:t xml:space="preserve"> </w:t>
      </w:r>
      <w:r>
        <w:rPr>
          <w:spacing w:val="-5"/>
          <w:sz w:val="24"/>
          <w:szCs w:val="24"/>
        </w:rPr>
        <w:t>月</w:t>
      </w:r>
      <w:r>
        <w:rPr>
          <w:spacing w:val="-56"/>
          <w:w w:val="88"/>
          <w:sz w:val="24"/>
          <w:szCs w:val="24"/>
        </w:rPr>
        <w:t>）：</w:t>
      </w:r>
      <w:r>
        <w:rPr>
          <w:rFonts w:ascii="Times New Roman" w:hAnsi="Times New Roman" w:eastAsia="Times New Roman" w:cs="Times New Roman"/>
          <w:spacing w:val="-5"/>
          <w:sz w:val="24"/>
          <w:szCs w:val="24"/>
        </w:rPr>
        <w:t xml:space="preserve">25 </w:t>
      </w:r>
      <w:r>
        <w:rPr>
          <w:spacing w:val="-5"/>
          <w:sz w:val="24"/>
          <w:szCs w:val="24"/>
        </w:rPr>
        <w:t>个点位有</w:t>
      </w:r>
      <w:r>
        <w:rPr>
          <w:spacing w:val="-46"/>
          <w:sz w:val="24"/>
          <w:szCs w:val="24"/>
        </w:rPr>
        <w:t xml:space="preserve"> </w:t>
      </w:r>
      <w:r>
        <w:rPr>
          <w:rFonts w:ascii="Times New Roman" w:hAnsi="Times New Roman" w:eastAsia="Times New Roman" w:cs="Times New Roman"/>
          <w:spacing w:val="-5"/>
          <w:sz w:val="24"/>
          <w:szCs w:val="24"/>
        </w:rPr>
        <w:t xml:space="preserve">8 </w:t>
      </w:r>
      <w:r>
        <w:rPr>
          <w:spacing w:val="-5"/>
          <w:sz w:val="24"/>
          <w:szCs w:val="24"/>
        </w:rPr>
        <w:t>个监测点</w:t>
      </w:r>
      <w:r>
        <w:rPr>
          <w:spacing w:val="-6"/>
          <w:sz w:val="24"/>
          <w:szCs w:val="24"/>
        </w:rPr>
        <w:t>位出现超标，超标率为</w:t>
      </w:r>
      <w:r>
        <w:rPr>
          <w:spacing w:val="-50"/>
          <w:sz w:val="24"/>
          <w:szCs w:val="24"/>
        </w:rPr>
        <w:t xml:space="preserve"> </w:t>
      </w:r>
      <w:r>
        <w:rPr>
          <w:rFonts w:ascii="Times New Roman" w:hAnsi="Times New Roman" w:eastAsia="Times New Roman" w:cs="Times New Roman"/>
          <w:spacing w:val="-6"/>
          <w:sz w:val="24"/>
          <w:szCs w:val="24"/>
        </w:rPr>
        <w:t>32%</w:t>
      </w:r>
      <w:r>
        <w:rPr>
          <w:rFonts w:ascii="Times New Roman" w:hAnsi="Times New Roman" w:eastAsia="Times New Roman" w:cs="Times New Roman"/>
          <w:spacing w:val="-26"/>
          <w:sz w:val="24"/>
          <w:szCs w:val="24"/>
        </w:rPr>
        <w:t xml:space="preserve"> </w:t>
      </w:r>
      <w:r>
        <w:rPr>
          <w:spacing w:val="-6"/>
          <w:sz w:val="24"/>
          <w:szCs w:val="24"/>
        </w:rPr>
        <w:t>。</w:t>
      </w:r>
      <w:r>
        <w:rPr>
          <w:spacing w:val="-4"/>
          <w:sz w:val="24"/>
          <w:szCs w:val="24"/>
        </w:rPr>
        <w:t xml:space="preserve">其中 </w:t>
      </w:r>
      <w:r>
        <w:rPr>
          <w:rFonts w:ascii="Times New Roman" w:hAnsi="Times New Roman" w:eastAsia="Times New Roman" w:cs="Times New Roman"/>
          <w:spacing w:val="-4"/>
          <w:sz w:val="24"/>
          <w:szCs w:val="24"/>
        </w:rPr>
        <w:t>20</w:t>
      </w:r>
      <w:r>
        <w:rPr>
          <w:rFonts w:ascii="Times New Roman" w:hAnsi="Times New Roman" w:eastAsia="Times New Roman" w:cs="Times New Roman"/>
          <w:spacing w:val="52"/>
          <w:w w:val="101"/>
          <w:sz w:val="24"/>
          <w:szCs w:val="24"/>
        </w:rPr>
        <w:t xml:space="preserve"> </w:t>
      </w:r>
      <w:r>
        <w:rPr>
          <w:spacing w:val="-4"/>
          <w:sz w:val="24"/>
          <w:szCs w:val="24"/>
        </w:rPr>
        <w:t xml:space="preserve">个泉样点位中 </w:t>
      </w:r>
      <w:r>
        <w:rPr>
          <w:rFonts w:ascii="Times New Roman" w:hAnsi="Times New Roman" w:eastAsia="Times New Roman" w:cs="Times New Roman"/>
          <w:spacing w:val="-4"/>
          <w:sz w:val="24"/>
          <w:szCs w:val="24"/>
        </w:rPr>
        <w:t>W01</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W06</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W09</w:t>
      </w:r>
      <w:r>
        <w:rPr>
          <w:rFonts w:ascii="Times New Roman" w:hAnsi="Times New Roman" w:eastAsia="Times New Roman" w:cs="Times New Roman"/>
          <w:spacing w:val="-33"/>
          <w:sz w:val="24"/>
          <w:szCs w:val="24"/>
        </w:rPr>
        <w:t xml:space="preserve"> </w:t>
      </w:r>
      <w:r>
        <w:rPr>
          <w:spacing w:val="-4"/>
          <w:sz w:val="24"/>
          <w:szCs w:val="24"/>
        </w:rPr>
        <w:t>、</w:t>
      </w:r>
      <w:r>
        <w:rPr>
          <w:rFonts w:ascii="Times New Roman" w:hAnsi="Times New Roman" w:eastAsia="Times New Roman" w:cs="Times New Roman"/>
          <w:spacing w:val="-4"/>
          <w:sz w:val="24"/>
          <w:szCs w:val="24"/>
        </w:rPr>
        <w:t>W12</w:t>
      </w:r>
      <w:r>
        <w:rPr>
          <w:rFonts w:ascii="Times New Roman" w:hAnsi="Times New Roman" w:eastAsia="Times New Roman" w:cs="Times New Roman"/>
          <w:spacing w:val="-34"/>
          <w:sz w:val="24"/>
          <w:szCs w:val="24"/>
        </w:rPr>
        <w:t xml:space="preserve"> </w:t>
      </w:r>
      <w:r>
        <w:rPr>
          <w:spacing w:val="-4"/>
          <w:sz w:val="24"/>
          <w:szCs w:val="24"/>
        </w:rPr>
        <w:t>、</w:t>
      </w:r>
      <w:r>
        <w:rPr>
          <w:rFonts w:ascii="Times New Roman" w:hAnsi="Times New Roman" w:eastAsia="Times New Roman" w:cs="Times New Roman"/>
          <w:spacing w:val="-4"/>
          <w:sz w:val="24"/>
          <w:szCs w:val="24"/>
        </w:rPr>
        <w:t>W20</w:t>
      </w:r>
      <w:r>
        <w:rPr>
          <w:rFonts w:ascii="Times New Roman" w:hAnsi="Times New Roman" w:eastAsia="Times New Roman" w:cs="Times New Roman"/>
          <w:spacing w:val="52"/>
          <w:w w:val="101"/>
          <w:sz w:val="24"/>
          <w:szCs w:val="24"/>
        </w:rPr>
        <w:t xml:space="preserve"> </w:t>
      </w:r>
      <w:r>
        <w:rPr>
          <w:spacing w:val="-4"/>
          <w:sz w:val="24"/>
          <w:szCs w:val="24"/>
        </w:rPr>
        <w:t>超过</w:t>
      </w:r>
      <w:r>
        <w:rPr>
          <w:spacing w:val="-5"/>
          <w:sz w:val="24"/>
          <w:szCs w:val="24"/>
        </w:rPr>
        <w:t>《地下水质量标准》</w:t>
      </w:r>
      <w:r>
        <w:rPr>
          <w:sz w:val="24"/>
          <w:szCs w:val="24"/>
        </w:rPr>
        <w:t xml:space="preserve"> </w:t>
      </w:r>
      <w:r>
        <w:rPr>
          <w:spacing w:val="-1"/>
          <w:sz w:val="24"/>
          <w:szCs w:val="24"/>
        </w:rPr>
        <w:t>（</w:t>
      </w:r>
      <w:r>
        <w:rPr>
          <w:rFonts w:ascii="Times New Roman" w:hAnsi="Times New Roman" w:eastAsia="Times New Roman" w:cs="Times New Roman"/>
          <w:spacing w:val="-1"/>
          <w:sz w:val="24"/>
          <w:szCs w:val="24"/>
        </w:rPr>
        <w:t>GB/T 14848-93</w:t>
      </w:r>
      <w:r>
        <w:rPr>
          <w:spacing w:val="-1"/>
          <w:sz w:val="24"/>
          <w:szCs w:val="24"/>
        </w:rPr>
        <w:t>）Ⅲ类标准，超标因子为</w:t>
      </w:r>
      <w:r>
        <w:rPr>
          <w:spacing w:val="-2"/>
          <w:sz w:val="24"/>
          <w:szCs w:val="24"/>
        </w:rPr>
        <w:t>亚硝酸盐，超标倍数为</w:t>
      </w:r>
      <w:r>
        <w:rPr>
          <w:spacing w:val="-51"/>
          <w:sz w:val="24"/>
          <w:szCs w:val="24"/>
        </w:rPr>
        <w:t xml:space="preserve"> </w:t>
      </w:r>
      <w:r>
        <w:rPr>
          <w:rFonts w:ascii="Times New Roman" w:hAnsi="Times New Roman" w:eastAsia="Times New Roman" w:cs="Times New Roman"/>
          <w:spacing w:val="-2"/>
          <w:sz w:val="24"/>
          <w:szCs w:val="24"/>
        </w:rPr>
        <w:t xml:space="preserve">0.2~1.0 </w:t>
      </w:r>
      <w:r>
        <w:rPr>
          <w:spacing w:val="-2"/>
          <w:sz w:val="24"/>
          <w:szCs w:val="24"/>
        </w:rPr>
        <w:t>倍。</w:t>
      </w:r>
      <w:r>
        <w:rPr>
          <w:rFonts w:ascii="Times New Roman" w:hAnsi="Times New Roman" w:eastAsia="Times New Roman" w:cs="Times New Roman"/>
          <w:spacing w:val="-2"/>
          <w:sz w:val="24"/>
          <w:szCs w:val="24"/>
        </w:rPr>
        <w:t xml:space="preserve">5 </w:t>
      </w:r>
      <w:r>
        <w:rPr>
          <w:spacing w:val="-2"/>
          <w:sz w:val="24"/>
          <w:szCs w:val="24"/>
        </w:rPr>
        <w:t>个</w:t>
      </w:r>
      <w:r>
        <w:rPr>
          <w:spacing w:val="-8"/>
          <w:sz w:val="24"/>
          <w:szCs w:val="24"/>
        </w:rPr>
        <w:t>抽水井监测点位中，</w:t>
      </w:r>
      <w:r>
        <w:rPr>
          <w:rFonts w:ascii="Times New Roman" w:hAnsi="Times New Roman" w:eastAsia="Times New Roman" w:cs="Times New Roman"/>
          <w:spacing w:val="-8"/>
          <w:sz w:val="24"/>
          <w:szCs w:val="24"/>
        </w:rPr>
        <w:t>#01</w:t>
      </w:r>
      <w:r>
        <w:rPr>
          <w:rFonts w:ascii="Times New Roman" w:hAnsi="Times New Roman" w:eastAsia="Times New Roman" w:cs="Times New Roman"/>
          <w:spacing w:val="25"/>
          <w:sz w:val="24"/>
          <w:szCs w:val="24"/>
        </w:rPr>
        <w:t xml:space="preserve"> </w:t>
      </w:r>
      <w:r>
        <w:rPr>
          <w:spacing w:val="-8"/>
          <w:sz w:val="24"/>
          <w:szCs w:val="24"/>
        </w:rPr>
        <w:t>点位总硬度、硫酸盐和氟化物均超标，</w:t>
      </w:r>
      <w:r>
        <w:rPr>
          <w:rFonts w:ascii="Times New Roman" w:hAnsi="Times New Roman" w:eastAsia="Times New Roman" w:cs="Times New Roman"/>
          <w:spacing w:val="-8"/>
          <w:sz w:val="24"/>
          <w:szCs w:val="24"/>
        </w:rPr>
        <w:t>#08</w:t>
      </w:r>
      <w:r>
        <w:rPr>
          <w:rFonts w:ascii="Times New Roman" w:hAnsi="Times New Roman" w:eastAsia="Times New Roman" w:cs="Times New Roman"/>
          <w:spacing w:val="21"/>
          <w:sz w:val="24"/>
          <w:szCs w:val="24"/>
        </w:rPr>
        <w:t xml:space="preserve"> </w:t>
      </w:r>
      <w:r>
        <w:rPr>
          <w:spacing w:val="-8"/>
          <w:sz w:val="24"/>
          <w:szCs w:val="24"/>
        </w:rPr>
        <w:t>点位高锰酸钾、</w:t>
      </w:r>
      <w:r>
        <w:rPr>
          <w:spacing w:val="-4"/>
          <w:sz w:val="24"/>
          <w:szCs w:val="24"/>
        </w:rPr>
        <w:t>亚硝酸盐超标，</w:t>
      </w:r>
      <w:r>
        <w:rPr>
          <w:rFonts w:ascii="Times New Roman" w:hAnsi="Times New Roman" w:eastAsia="Times New Roman" w:cs="Times New Roman"/>
          <w:spacing w:val="-4"/>
          <w:sz w:val="24"/>
          <w:szCs w:val="24"/>
        </w:rPr>
        <w:t>#09</w:t>
      </w:r>
      <w:r>
        <w:rPr>
          <w:rFonts w:ascii="Times New Roman" w:hAnsi="Times New Roman" w:eastAsia="Times New Roman" w:cs="Times New Roman"/>
          <w:spacing w:val="38"/>
          <w:sz w:val="24"/>
          <w:szCs w:val="24"/>
        </w:rPr>
        <w:t xml:space="preserve"> </w:t>
      </w:r>
      <w:r>
        <w:rPr>
          <w:spacing w:val="-4"/>
          <w:sz w:val="24"/>
          <w:szCs w:val="24"/>
        </w:rPr>
        <w:t>点位亚硝酸盐超标。</w:t>
      </w:r>
    </w:p>
    <w:p w14:paraId="72FB3230">
      <w:pPr>
        <w:pStyle w:val="2"/>
        <w:spacing w:before="3" w:line="332" w:lineRule="auto"/>
        <w:ind w:left="40" w:right="30" w:firstLine="480"/>
        <w:jc w:val="both"/>
        <w:rPr>
          <w:sz w:val="24"/>
          <w:szCs w:val="24"/>
        </w:rPr>
      </w:pPr>
      <w:r>
        <w:rPr>
          <w:spacing w:val="-4"/>
          <w:sz w:val="24"/>
          <w:szCs w:val="24"/>
        </w:rPr>
        <w:t>枯水期（</w:t>
      </w:r>
      <w:r>
        <w:rPr>
          <w:rFonts w:ascii="Times New Roman" w:hAnsi="Times New Roman" w:eastAsia="Times New Roman" w:cs="Times New Roman"/>
          <w:spacing w:val="-4"/>
          <w:sz w:val="24"/>
          <w:szCs w:val="24"/>
        </w:rPr>
        <w:t xml:space="preserve">2016 </w:t>
      </w:r>
      <w:r>
        <w:rPr>
          <w:spacing w:val="-4"/>
          <w:sz w:val="24"/>
          <w:szCs w:val="24"/>
        </w:rPr>
        <w:t>年</w:t>
      </w:r>
      <w:r>
        <w:rPr>
          <w:spacing w:val="-48"/>
          <w:sz w:val="24"/>
          <w:szCs w:val="24"/>
        </w:rPr>
        <w:t xml:space="preserve"> </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15"/>
          <w:w w:val="101"/>
          <w:sz w:val="24"/>
          <w:szCs w:val="24"/>
        </w:rPr>
        <w:t xml:space="preserve"> </w:t>
      </w:r>
      <w:r>
        <w:rPr>
          <w:spacing w:val="-4"/>
          <w:sz w:val="24"/>
          <w:szCs w:val="24"/>
        </w:rPr>
        <w:t>月</w:t>
      </w:r>
      <w:r>
        <w:rPr>
          <w:spacing w:val="-61"/>
          <w:w w:val="95"/>
          <w:sz w:val="24"/>
          <w:szCs w:val="24"/>
        </w:rPr>
        <w:t>）：</w:t>
      </w:r>
      <w:r>
        <w:rPr>
          <w:rFonts w:ascii="Times New Roman" w:hAnsi="Times New Roman" w:eastAsia="Times New Roman" w:cs="Times New Roman"/>
          <w:spacing w:val="-4"/>
          <w:sz w:val="24"/>
          <w:szCs w:val="24"/>
        </w:rPr>
        <w:t xml:space="preserve">20 </w:t>
      </w:r>
      <w:r>
        <w:rPr>
          <w:spacing w:val="-4"/>
          <w:sz w:val="24"/>
          <w:szCs w:val="24"/>
        </w:rPr>
        <w:t>个泉水水样各评价因子均达到《地下水质量标准》</w:t>
      </w:r>
      <w:r>
        <w:rPr>
          <w:sz w:val="24"/>
          <w:szCs w:val="24"/>
        </w:rPr>
        <w:t xml:space="preserve"> </w:t>
      </w:r>
      <w:r>
        <w:rPr>
          <w:spacing w:val="-5"/>
          <w:sz w:val="24"/>
          <w:szCs w:val="24"/>
        </w:rPr>
        <w:t>（</w:t>
      </w:r>
      <w:r>
        <w:rPr>
          <w:rFonts w:ascii="Times New Roman" w:hAnsi="Times New Roman" w:eastAsia="Times New Roman" w:cs="Times New Roman"/>
          <w:spacing w:val="-5"/>
          <w:sz w:val="24"/>
          <w:szCs w:val="24"/>
        </w:rPr>
        <w:t>GB/T 14848-93</w:t>
      </w:r>
      <w:r>
        <w:rPr>
          <w:spacing w:val="-5"/>
          <w:sz w:val="24"/>
          <w:szCs w:val="24"/>
        </w:rPr>
        <w:t>）Ⅲ类标准。抽水井中</w:t>
      </w:r>
      <w:r>
        <w:rPr>
          <w:rFonts w:ascii="Times New Roman" w:hAnsi="Times New Roman" w:eastAsia="Times New Roman" w:cs="Times New Roman"/>
          <w:spacing w:val="-5"/>
          <w:sz w:val="24"/>
          <w:szCs w:val="24"/>
        </w:rPr>
        <w:t>#01</w:t>
      </w:r>
      <w:r>
        <w:rPr>
          <w:rFonts w:ascii="Times New Roman" w:hAnsi="Times New Roman" w:eastAsia="Times New Roman" w:cs="Times New Roman"/>
          <w:spacing w:val="16"/>
          <w:sz w:val="24"/>
          <w:szCs w:val="24"/>
        </w:rPr>
        <w:t xml:space="preserve"> </w:t>
      </w:r>
      <w:r>
        <w:rPr>
          <w:spacing w:val="-5"/>
          <w:sz w:val="24"/>
          <w:szCs w:val="24"/>
        </w:rPr>
        <w:t>总硬度、硫酸</w:t>
      </w:r>
      <w:r>
        <w:rPr>
          <w:spacing w:val="-6"/>
          <w:sz w:val="24"/>
          <w:szCs w:val="24"/>
        </w:rPr>
        <w:t xml:space="preserve">盐和氟化物超标， </w:t>
      </w:r>
      <w:r>
        <w:rPr>
          <w:rFonts w:ascii="Times New Roman" w:hAnsi="Times New Roman" w:eastAsia="Times New Roman" w:cs="Times New Roman"/>
          <w:spacing w:val="-6"/>
          <w:sz w:val="24"/>
          <w:szCs w:val="24"/>
        </w:rPr>
        <w:t xml:space="preserve">#09 </w:t>
      </w:r>
      <w:r>
        <w:rPr>
          <w:spacing w:val="-6"/>
          <w:sz w:val="24"/>
          <w:szCs w:val="24"/>
        </w:rPr>
        <w:t>氟</w:t>
      </w:r>
      <w:r>
        <w:rPr>
          <w:spacing w:val="-5"/>
          <w:sz w:val="24"/>
          <w:szCs w:val="24"/>
        </w:rPr>
        <w:t>化物超标，超标原因与其固井方式不完善，浅地表包气带与污染孔隙水渗入有关。</w:t>
      </w:r>
    </w:p>
    <w:p w14:paraId="715D7FDE">
      <w:pPr>
        <w:pStyle w:val="2"/>
        <w:spacing w:before="140" w:line="220" w:lineRule="auto"/>
        <w:ind w:left="35"/>
        <w:rPr>
          <w:sz w:val="24"/>
          <w:szCs w:val="24"/>
        </w:rPr>
      </w:pPr>
      <w:r>
        <w:rPr>
          <w:rFonts w:ascii="Arial" w:hAnsi="Arial" w:eastAsia="Arial" w:cs="Arial"/>
          <w:spacing w:val="4"/>
          <w:position w:val="1"/>
          <w:sz w:val="18"/>
          <w:szCs w:val="18"/>
        </w:rPr>
        <w:t>6.2.2.2</w:t>
      </w:r>
      <w:r>
        <w:rPr>
          <w:rFonts w:ascii="Arial" w:hAnsi="Arial" w:eastAsia="Arial" w:cs="Arial"/>
          <w:spacing w:val="47"/>
          <w:position w:val="1"/>
          <w:sz w:val="18"/>
          <w:szCs w:val="18"/>
        </w:rPr>
        <w:t xml:space="preserve"> </w:t>
      </w:r>
      <w:r>
        <w:rPr>
          <w:b/>
          <w:bCs/>
          <w:spacing w:val="4"/>
          <w:position w:val="-1"/>
          <w:sz w:val="24"/>
          <w:szCs w:val="24"/>
        </w:rPr>
        <w:t>施工期地下水水质</w:t>
      </w:r>
    </w:p>
    <w:p w14:paraId="65CED60C">
      <w:pPr>
        <w:pStyle w:val="2"/>
        <w:spacing w:before="273" w:line="331" w:lineRule="auto"/>
        <w:ind w:left="40" w:right="31" w:firstLine="478"/>
        <w:rPr>
          <w:sz w:val="24"/>
          <w:szCs w:val="24"/>
        </w:rPr>
      </w:pPr>
      <w:r>
        <w:rPr>
          <w:spacing w:val="-5"/>
          <w:sz w:val="24"/>
          <w:szCs w:val="24"/>
        </w:rPr>
        <w:t>施工期间地下水监测共布设了</w:t>
      </w:r>
      <w:r>
        <w:rPr>
          <w:spacing w:val="-31"/>
          <w:sz w:val="24"/>
          <w:szCs w:val="24"/>
        </w:rPr>
        <w:t xml:space="preserve"> </w:t>
      </w:r>
      <w:r>
        <w:rPr>
          <w:rFonts w:ascii="Times New Roman" w:hAnsi="Times New Roman" w:eastAsia="Times New Roman" w:cs="Times New Roman"/>
          <w:spacing w:val="-5"/>
          <w:sz w:val="24"/>
          <w:szCs w:val="24"/>
        </w:rPr>
        <w:t xml:space="preserve">3 </w:t>
      </w:r>
      <w:r>
        <w:rPr>
          <w:spacing w:val="-5"/>
          <w:sz w:val="24"/>
          <w:szCs w:val="24"/>
        </w:rPr>
        <w:t>个监测点位，分别为：响水街村、黄土坡村和</w:t>
      </w:r>
      <w:r>
        <w:rPr>
          <w:spacing w:val="-2"/>
          <w:sz w:val="24"/>
          <w:szCs w:val="24"/>
        </w:rPr>
        <w:t>木龙村，监测频次为每季度监测一次。</w:t>
      </w:r>
    </w:p>
    <w:p w14:paraId="62EE1247">
      <w:pPr>
        <w:pStyle w:val="2"/>
        <w:spacing w:before="21" w:line="233" w:lineRule="auto"/>
        <w:ind w:left="518"/>
        <w:rPr>
          <w:sz w:val="24"/>
          <w:szCs w:val="24"/>
        </w:rPr>
      </w:pPr>
      <w:r>
        <w:rPr>
          <w:spacing w:val="-1"/>
          <w:sz w:val="24"/>
          <w:szCs w:val="24"/>
        </w:rPr>
        <w:t>施工期</w:t>
      </w:r>
      <w:r>
        <w:rPr>
          <w:spacing w:val="-47"/>
          <w:sz w:val="24"/>
          <w:szCs w:val="24"/>
        </w:rPr>
        <w:t xml:space="preserve"> </w:t>
      </w: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 xml:space="preserve">-2021 </w:t>
      </w:r>
      <w:r>
        <w:rPr>
          <w:spacing w:val="-1"/>
          <w:sz w:val="24"/>
          <w:szCs w:val="24"/>
        </w:rPr>
        <w:t>年地下水质量监测结果见表</w:t>
      </w:r>
      <w:r>
        <w:rPr>
          <w:spacing w:val="-49"/>
          <w:sz w:val="24"/>
          <w:szCs w:val="24"/>
        </w:rPr>
        <w:t xml:space="preserve"> </w:t>
      </w:r>
      <w:r>
        <w:rPr>
          <w:rFonts w:ascii="Times New Roman" w:hAnsi="Times New Roman" w:eastAsia="Times New Roman" w:cs="Times New Roman"/>
          <w:spacing w:val="-1"/>
          <w:sz w:val="24"/>
          <w:szCs w:val="24"/>
        </w:rPr>
        <w:t>6.2-10~</w:t>
      </w:r>
      <w:r>
        <w:rPr>
          <w:spacing w:val="-1"/>
          <w:sz w:val="24"/>
          <w:szCs w:val="24"/>
        </w:rPr>
        <w:t>表</w:t>
      </w:r>
      <w:r>
        <w:rPr>
          <w:spacing w:val="-50"/>
          <w:sz w:val="24"/>
          <w:szCs w:val="24"/>
        </w:rPr>
        <w:t xml:space="preserve"> </w:t>
      </w:r>
      <w:r>
        <w:rPr>
          <w:rFonts w:ascii="Times New Roman" w:hAnsi="Times New Roman" w:eastAsia="Times New Roman" w:cs="Times New Roman"/>
          <w:spacing w:val="-1"/>
          <w:sz w:val="24"/>
          <w:szCs w:val="24"/>
        </w:rPr>
        <w:t>6.2-12</w:t>
      </w:r>
      <w:r>
        <w:rPr>
          <w:spacing w:val="-1"/>
          <w:sz w:val="24"/>
          <w:szCs w:val="24"/>
        </w:rPr>
        <w:t>。</w:t>
      </w:r>
    </w:p>
    <w:p w14:paraId="1293977F">
      <w:pPr>
        <w:pStyle w:val="2"/>
        <w:spacing w:before="256" w:line="220" w:lineRule="auto"/>
        <w:ind w:left="35"/>
        <w:rPr>
          <w:sz w:val="24"/>
          <w:szCs w:val="24"/>
        </w:rPr>
      </w:pPr>
      <w:r>
        <w:rPr>
          <w:rFonts w:ascii="Arial" w:hAnsi="Arial" w:eastAsia="Arial" w:cs="Arial"/>
          <w:spacing w:val="2"/>
          <w:position w:val="1"/>
          <w:sz w:val="18"/>
          <w:szCs w:val="18"/>
        </w:rPr>
        <w:t>6.2.2.3</w:t>
      </w:r>
      <w:r>
        <w:rPr>
          <w:rFonts w:ascii="Arial" w:hAnsi="Arial" w:eastAsia="Arial" w:cs="Arial"/>
          <w:spacing w:val="53"/>
          <w:position w:val="1"/>
          <w:sz w:val="18"/>
          <w:szCs w:val="18"/>
        </w:rPr>
        <w:t xml:space="preserve"> </w:t>
      </w:r>
      <w:r>
        <w:rPr>
          <w:b/>
          <w:bCs/>
          <w:spacing w:val="2"/>
          <w:sz w:val="24"/>
          <w:szCs w:val="24"/>
        </w:rPr>
        <w:t>工程建设对地下水质量影响分析</w:t>
      </w:r>
    </w:p>
    <w:p w14:paraId="47F3C3FC">
      <w:pPr>
        <w:pStyle w:val="2"/>
        <w:spacing w:before="275" w:line="234" w:lineRule="auto"/>
        <w:ind w:left="548"/>
        <w:rPr>
          <w:sz w:val="24"/>
          <w:szCs w:val="24"/>
        </w:rPr>
      </w:pPr>
      <w:r>
        <w:rPr>
          <w:spacing w:val="-5"/>
          <w:sz w:val="24"/>
          <w:szCs w:val="24"/>
        </w:rPr>
        <w:t>由表</w:t>
      </w:r>
      <w:r>
        <w:rPr>
          <w:spacing w:val="-35"/>
          <w:sz w:val="24"/>
          <w:szCs w:val="24"/>
        </w:rPr>
        <w:t xml:space="preserve"> </w:t>
      </w:r>
      <w:r>
        <w:rPr>
          <w:rFonts w:ascii="Times New Roman" w:hAnsi="Times New Roman" w:eastAsia="Times New Roman" w:cs="Times New Roman"/>
          <w:spacing w:val="-5"/>
          <w:sz w:val="24"/>
          <w:szCs w:val="24"/>
        </w:rPr>
        <w:t>6.2-10~</w:t>
      </w:r>
      <w:r>
        <w:rPr>
          <w:spacing w:val="-5"/>
          <w:sz w:val="24"/>
          <w:szCs w:val="24"/>
        </w:rPr>
        <w:t>表</w:t>
      </w:r>
      <w:r>
        <w:rPr>
          <w:spacing w:val="-50"/>
          <w:sz w:val="24"/>
          <w:szCs w:val="24"/>
        </w:rPr>
        <w:t xml:space="preserve"> </w:t>
      </w:r>
      <w:r>
        <w:rPr>
          <w:rFonts w:ascii="Times New Roman" w:hAnsi="Times New Roman" w:eastAsia="Times New Roman" w:cs="Times New Roman"/>
          <w:spacing w:val="-5"/>
          <w:sz w:val="24"/>
          <w:szCs w:val="24"/>
        </w:rPr>
        <w:t xml:space="preserve">6.2-12 </w:t>
      </w:r>
      <w:r>
        <w:rPr>
          <w:spacing w:val="-5"/>
          <w:sz w:val="24"/>
          <w:szCs w:val="24"/>
        </w:rPr>
        <w:t>监测结果可知：</w:t>
      </w:r>
    </w:p>
    <w:p w14:paraId="46E1A311">
      <w:pPr>
        <w:pStyle w:val="2"/>
        <w:spacing w:before="137" w:line="338" w:lineRule="auto"/>
        <w:ind w:left="40" w:right="30" w:firstLine="474"/>
        <w:rPr>
          <w:sz w:val="24"/>
          <w:szCs w:val="24"/>
        </w:rPr>
      </w:pPr>
      <w:r>
        <w:rPr>
          <w:rFonts w:ascii="Times New Roman" w:hAnsi="Times New Roman" w:eastAsia="Times New Roman" w:cs="Times New Roman"/>
          <w:spacing w:val="-2"/>
          <w:sz w:val="24"/>
          <w:szCs w:val="24"/>
        </w:rPr>
        <w:t>2019</w:t>
      </w:r>
      <w:r>
        <w:rPr>
          <w:rFonts w:ascii="Times New Roman" w:hAnsi="Times New Roman" w:eastAsia="Times New Roman" w:cs="Times New Roman"/>
          <w:spacing w:val="28"/>
          <w:w w:val="101"/>
          <w:sz w:val="24"/>
          <w:szCs w:val="24"/>
        </w:rPr>
        <w:t xml:space="preserve"> </w:t>
      </w:r>
      <w:r>
        <w:rPr>
          <w:spacing w:val="-2"/>
          <w:sz w:val="24"/>
          <w:szCs w:val="24"/>
        </w:rPr>
        <w:t>年，响水街</w:t>
      </w:r>
      <w:r>
        <w:rPr>
          <w:spacing w:val="-28"/>
          <w:sz w:val="24"/>
          <w:szCs w:val="24"/>
        </w:rPr>
        <w:t xml:space="preserve"> </w:t>
      </w:r>
      <w:r>
        <w:rPr>
          <w:rFonts w:ascii="Times New Roman" w:hAnsi="Times New Roman" w:eastAsia="Times New Roman" w:cs="Times New Roman"/>
          <w:spacing w:val="-2"/>
          <w:sz w:val="24"/>
          <w:szCs w:val="24"/>
        </w:rPr>
        <w:t>2~4</w:t>
      </w:r>
      <w:r>
        <w:rPr>
          <w:rFonts w:ascii="Times New Roman" w:hAnsi="Times New Roman" w:eastAsia="Times New Roman" w:cs="Times New Roman"/>
          <w:spacing w:val="29"/>
          <w:sz w:val="24"/>
          <w:szCs w:val="24"/>
        </w:rPr>
        <w:t xml:space="preserve"> </w:t>
      </w:r>
      <w:r>
        <w:rPr>
          <w:spacing w:val="-2"/>
          <w:sz w:val="24"/>
          <w:szCs w:val="24"/>
        </w:rPr>
        <w:t>季度</w:t>
      </w:r>
      <w:r>
        <w:rPr>
          <w:spacing w:val="-43"/>
          <w:sz w:val="24"/>
          <w:szCs w:val="24"/>
        </w:rPr>
        <w:t xml:space="preserve"> </w:t>
      </w:r>
      <w:r>
        <w:rPr>
          <w:rFonts w:ascii="Times New Roman" w:hAnsi="Times New Roman" w:eastAsia="Times New Roman" w:cs="Times New Roman"/>
          <w:spacing w:val="-2"/>
          <w:sz w:val="24"/>
          <w:szCs w:val="24"/>
        </w:rPr>
        <w:t>pH</w:t>
      </w:r>
      <w:r>
        <w:rPr>
          <w:rFonts w:ascii="Times New Roman" w:hAnsi="Times New Roman" w:eastAsia="Times New Roman" w:cs="Times New Roman"/>
          <w:spacing w:val="26"/>
          <w:w w:val="101"/>
          <w:sz w:val="24"/>
          <w:szCs w:val="24"/>
        </w:rPr>
        <w:t xml:space="preserve"> </w:t>
      </w:r>
      <w:r>
        <w:rPr>
          <w:spacing w:val="-2"/>
          <w:sz w:val="24"/>
          <w:szCs w:val="24"/>
        </w:rPr>
        <w:t>值出现超标；黄土坡村</w:t>
      </w:r>
      <w:r>
        <w:rPr>
          <w:spacing w:val="-33"/>
          <w:sz w:val="24"/>
          <w:szCs w:val="24"/>
        </w:rPr>
        <w:t xml:space="preserve"> </w:t>
      </w:r>
      <w:r>
        <w:rPr>
          <w:rFonts w:ascii="Times New Roman" w:hAnsi="Times New Roman" w:eastAsia="Times New Roman" w:cs="Times New Roman"/>
          <w:spacing w:val="-2"/>
          <w:sz w:val="24"/>
          <w:szCs w:val="24"/>
        </w:rPr>
        <w:t>3~4</w:t>
      </w:r>
      <w:r>
        <w:rPr>
          <w:rFonts w:ascii="Times New Roman" w:hAnsi="Times New Roman" w:eastAsia="Times New Roman" w:cs="Times New Roman"/>
          <w:spacing w:val="29"/>
          <w:sz w:val="24"/>
          <w:szCs w:val="24"/>
        </w:rPr>
        <w:t xml:space="preserve"> </w:t>
      </w:r>
      <w:r>
        <w:rPr>
          <w:spacing w:val="-2"/>
          <w:sz w:val="24"/>
          <w:szCs w:val="24"/>
        </w:rPr>
        <w:t>季</w:t>
      </w:r>
      <w:r>
        <w:rPr>
          <w:spacing w:val="-3"/>
          <w:sz w:val="24"/>
          <w:szCs w:val="24"/>
        </w:rPr>
        <w:t>度</w:t>
      </w:r>
      <w:r>
        <w:rPr>
          <w:spacing w:val="-43"/>
          <w:sz w:val="24"/>
          <w:szCs w:val="24"/>
        </w:rPr>
        <w:t xml:space="preserve"> </w:t>
      </w:r>
      <w:r>
        <w:rPr>
          <w:rFonts w:ascii="Times New Roman" w:hAnsi="Times New Roman" w:eastAsia="Times New Roman" w:cs="Times New Roman"/>
          <w:spacing w:val="-3"/>
          <w:sz w:val="24"/>
          <w:szCs w:val="24"/>
        </w:rPr>
        <w:t>pH</w:t>
      </w:r>
      <w:r>
        <w:rPr>
          <w:rFonts w:ascii="Times New Roman" w:hAnsi="Times New Roman" w:eastAsia="Times New Roman" w:cs="Times New Roman"/>
          <w:spacing w:val="27"/>
          <w:w w:val="101"/>
          <w:sz w:val="24"/>
          <w:szCs w:val="24"/>
        </w:rPr>
        <w:t xml:space="preserve"> </w:t>
      </w:r>
      <w:r>
        <w:rPr>
          <w:spacing w:val="-3"/>
          <w:sz w:val="24"/>
          <w:szCs w:val="24"/>
        </w:rPr>
        <w:t>值出现超</w:t>
      </w:r>
      <w:r>
        <w:rPr>
          <w:spacing w:val="-2"/>
          <w:sz w:val="24"/>
          <w:szCs w:val="24"/>
        </w:rPr>
        <w:t>标；木龙村</w:t>
      </w:r>
      <w:r>
        <w:rPr>
          <w:spacing w:val="-39"/>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季度耗氧量（高锰酸盐指数</w:t>
      </w:r>
      <w:r>
        <w:rPr>
          <w:spacing w:val="-3"/>
          <w:sz w:val="24"/>
          <w:szCs w:val="24"/>
        </w:rPr>
        <w:t>）出现超标。</w:t>
      </w:r>
    </w:p>
    <w:p w14:paraId="3E096B60">
      <w:pPr>
        <w:pStyle w:val="2"/>
        <w:spacing w:line="212" w:lineRule="auto"/>
        <w:ind w:left="515"/>
        <w:rPr>
          <w:sz w:val="24"/>
          <w:szCs w:val="24"/>
        </w:rPr>
      </w:pPr>
      <w:r>
        <w:rPr>
          <w:rFonts w:ascii="Times New Roman" w:hAnsi="Times New Roman" w:eastAsia="Times New Roman" w:cs="Times New Roman"/>
          <w:spacing w:val="-2"/>
          <w:sz w:val="24"/>
          <w:szCs w:val="24"/>
        </w:rPr>
        <w:t xml:space="preserve">2020 </w:t>
      </w:r>
      <w:r>
        <w:rPr>
          <w:spacing w:val="-2"/>
          <w:sz w:val="24"/>
          <w:szCs w:val="24"/>
        </w:rPr>
        <w:t>年，木龙村</w:t>
      </w:r>
      <w:r>
        <w:rPr>
          <w:spacing w:val="-48"/>
          <w:sz w:val="24"/>
          <w:szCs w:val="24"/>
        </w:rPr>
        <w:t xml:space="preserve"> </w:t>
      </w:r>
      <w:r>
        <w:rPr>
          <w:rFonts w:ascii="Times New Roman" w:hAnsi="Times New Roman" w:eastAsia="Times New Roman" w:cs="Times New Roman"/>
          <w:spacing w:val="-2"/>
          <w:sz w:val="24"/>
          <w:szCs w:val="24"/>
        </w:rPr>
        <w:t xml:space="preserve">4 </w:t>
      </w:r>
      <w:r>
        <w:rPr>
          <w:spacing w:val="-2"/>
          <w:sz w:val="24"/>
          <w:szCs w:val="24"/>
        </w:rPr>
        <w:t>季度</w:t>
      </w:r>
      <w:r>
        <w:rPr>
          <w:spacing w:val="-60"/>
          <w:sz w:val="24"/>
          <w:szCs w:val="24"/>
        </w:rPr>
        <w:t xml:space="preserve"> </w:t>
      </w:r>
      <w:r>
        <w:rPr>
          <w:rFonts w:ascii="Times New Roman" w:hAnsi="Times New Roman" w:eastAsia="Times New Roman" w:cs="Times New Roman"/>
          <w:spacing w:val="-2"/>
          <w:sz w:val="24"/>
          <w:szCs w:val="24"/>
        </w:rPr>
        <w:t xml:space="preserve">pH </w:t>
      </w:r>
      <w:r>
        <w:rPr>
          <w:spacing w:val="-2"/>
          <w:sz w:val="24"/>
          <w:szCs w:val="24"/>
        </w:rPr>
        <w:t>值略有超标。</w:t>
      </w:r>
    </w:p>
    <w:p w14:paraId="68E2DB5C">
      <w:pPr>
        <w:pStyle w:val="2"/>
        <w:spacing w:before="165" w:line="338" w:lineRule="auto"/>
        <w:ind w:left="41" w:right="30" w:firstLine="473"/>
        <w:rPr>
          <w:sz w:val="24"/>
          <w:szCs w:val="24"/>
        </w:rPr>
      </w:pPr>
      <w:r>
        <w:rPr>
          <w:rFonts w:ascii="Times New Roman" w:hAnsi="Times New Roman" w:eastAsia="Times New Roman" w:cs="Times New Roman"/>
          <w:spacing w:val="-1"/>
          <w:sz w:val="24"/>
          <w:szCs w:val="24"/>
        </w:rPr>
        <w:t>2021</w:t>
      </w:r>
      <w:r>
        <w:rPr>
          <w:rFonts w:ascii="Times New Roman" w:hAnsi="Times New Roman" w:eastAsia="Times New Roman" w:cs="Times New Roman"/>
          <w:spacing w:val="73"/>
          <w:sz w:val="24"/>
          <w:szCs w:val="24"/>
        </w:rPr>
        <w:t xml:space="preserve"> </w:t>
      </w:r>
      <w:r>
        <w:rPr>
          <w:spacing w:val="-1"/>
          <w:sz w:val="24"/>
          <w:szCs w:val="24"/>
        </w:rPr>
        <w:t>年，响水街、黄土坡村和木龙村所有监测指标均能达到《地下水质量标</w:t>
      </w:r>
      <w:r>
        <w:rPr>
          <w:spacing w:val="-6"/>
          <w:sz w:val="24"/>
          <w:szCs w:val="24"/>
        </w:rPr>
        <w:t>准》（</w:t>
      </w:r>
      <w:r>
        <w:rPr>
          <w:rFonts w:ascii="Times New Roman" w:hAnsi="Times New Roman" w:eastAsia="Times New Roman" w:cs="Times New Roman"/>
          <w:spacing w:val="-6"/>
          <w:sz w:val="24"/>
          <w:szCs w:val="24"/>
        </w:rPr>
        <w:t xml:space="preserve">GB/T14848-2017 </w:t>
      </w:r>
      <w:r>
        <w:rPr>
          <w:spacing w:val="-6"/>
          <w:sz w:val="24"/>
          <w:szCs w:val="24"/>
        </w:rPr>
        <w:t>年）Ⅲ类标准要求。</w:t>
      </w:r>
    </w:p>
    <w:p w14:paraId="3E595B6C">
      <w:pPr>
        <w:pStyle w:val="2"/>
        <w:spacing w:before="1" w:line="331" w:lineRule="auto"/>
        <w:ind w:left="42" w:right="31" w:firstLine="480"/>
        <w:rPr>
          <w:sz w:val="24"/>
          <w:szCs w:val="24"/>
        </w:rPr>
      </w:pPr>
      <w:r>
        <w:rPr>
          <w:spacing w:val="-2"/>
          <w:sz w:val="24"/>
          <w:szCs w:val="24"/>
        </w:rPr>
        <w:t>从</w:t>
      </w:r>
      <w:r>
        <w:rPr>
          <w:spacing w:val="-55"/>
          <w:sz w:val="24"/>
          <w:szCs w:val="24"/>
        </w:rPr>
        <w:t xml:space="preserve"> </w:t>
      </w:r>
      <w:r>
        <w:rPr>
          <w:rFonts w:ascii="Times New Roman" w:hAnsi="Times New Roman" w:eastAsia="Times New Roman" w:cs="Times New Roman"/>
          <w:spacing w:val="-2"/>
          <w:sz w:val="24"/>
          <w:szCs w:val="24"/>
        </w:rPr>
        <w:t xml:space="preserve">2019 </w:t>
      </w:r>
      <w:r>
        <w:rPr>
          <w:spacing w:val="-2"/>
          <w:sz w:val="24"/>
          <w:szCs w:val="24"/>
        </w:rPr>
        <w:t>年到</w:t>
      </w:r>
      <w:r>
        <w:rPr>
          <w:rFonts w:ascii="Times New Roman" w:hAnsi="Times New Roman" w:eastAsia="Times New Roman" w:cs="Times New Roman"/>
          <w:spacing w:val="-2"/>
          <w:sz w:val="24"/>
          <w:szCs w:val="24"/>
        </w:rPr>
        <w:t xml:space="preserve">2021 </w:t>
      </w:r>
      <w:r>
        <w:rPr>
          <w:spacing w:val="-2"/>
          <w:sz w:val="24"/>
          <w:szCs w:val="24"/>
        </w:rPr>
        <w:t>年监测结果来看，地</w:t>
      </w:r>
      <w:r>
        <w:rPr>
          <w:spacing w:val="-3"/>
          <w:sz w:val="24"/>
          <w:szCs w:val="24"/>
        </w:rPr>
        <w:t>下水质量呈逐年变好的趋势。因此，本</w:t>
      </w:r>
      <w:r>
        <w:rPr>
          <w:spacing w:val="-2"/>
          <w:sz w:val="24"/>
          <w:szCs w:val="24"/>
        </w:rPr>
        <w:t>工程施工活动未对地下水质量造成不利影响。</w:t>
      </w:r>
    </w:p>
    <w:p w14:paraId="38C833CC">
      <w:pPr>
        <w:spacing w:line="331" w:lineRule="auto"/>
        <w:rPr>
          <w:sz w:val="24"/>
          <w:szCs w:val="24"/>
        </w:rPr>
        <w:sectPr>
          <w:footerReference r:id="rId258" w:type="default"/>
          <w:pgSz w:w="11907" w:h="16839"/>
          <w:pgMar w:top="1376" w:right="1669" w:bottom="1061" w:left="1671" w:header="999" w:footer="861" w:gutter="0"/>
          <w:cols w:space="720" w:num="1"/>
        </w:sectPr>
      </w:pPr>
    </w:p>
    <w:p w14:paraId="227D7E32">
      <w:pPr>
        <w:spacing w:line="455" w:lineRule="auto"/>
        <w:rPr>
          <w:rFonts w:ascii="Arial"/>
          <w:sz w:val="21"/>
        </w:rPr>
      </w:pPr>
    </w:p>
    <w:p w14:paraId="0D61BAD3">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6.2-10                                                                                                                         </w:t>
      </w:r>
      <w:r>
        <w:rPr>
          <w:b/>
          <w:bCs/>
          <w:sz w:val="24"/>
          <w:szCs w:val="24"/>
        </w:rPr>
        <w:t>施工期</w:t>
      </w:r>
      <w:r>
        <w:rPr>
          <w:spacing w:val="-52"/>
          <w:sz w:val="24"/>
          <w:szCs w:val="24"/>
        </w:rPr>
        <w:t xml:space="preserve"> </w:t>
      </w:r>
      <w:r>
        <w:rPr>
          <w:rFonts w:ascii="Times New Roman" w:hAnsi="Times New Roman" w:eastAsia="Times New Roman" w:cs="Times New Roman"/>
          <w:b/>
          <w:bCs/>
          <w:spacing w:val="-1"/>
          <w:sz w:val="24"/>
          <w:szCs w:val="24"/>
        </w:rPr>
        <w:t xml:space="preserve">2019 </w:t>
      </w:r>
      <w:r>
        <w:rPr>
          <w:b/>
          <w:bCs/>
          <w:spacing w:val="-1"/>
          <w:sz w:val="24"/>
          <w:szCs w:val="24"/>
        </w:rPr>
        <w:t>年地下水水质监测结果统计</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04FCB025">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245"/>
        <w:gridCol w:w="929"/>
        <w:gridCol w:w="606"/>
        <w:gridCol w:w="606"/>
        <w:gridCol w:w="606"/>
        <w:gridCol w:w="606"/>
        <w:gridCol w:w="606"/>
        <w:gridCol w:w="606"/>
        <w:gridCol w:w="605"/>
        <w:gridCol w:w="563"/>
        <w:gridCol w:w="562"/>
        <w:gridCol w:w="696"/>
        <w:gridCol w:w="605"/>
        <w:gridCol w:w="582"/>
        <w:gridCol w:w="583"/>
        <w:gridCol w:w="582"/>
        <w:gridCol w:w="582"/>
        <w:gridCol w:w="582"/>
        <w:gridCol w:w="581"/>
        <w:gridCol w:w="851"/>
        <w:gridCol w:w="644"/>
        <w:gridCol w:w="639"/>
        <w:gridCol w:w="640"/>
        <w:gridCol w:w="639"/>
        <w:gridCol w:w="639"/>
        <w:gridCol w:w="640"/>
        <w:gridCol w:w="827"/>
        <w:gridCol w:w="457"/>
        <w:gridCol w:w="533"/>
        <w:gridCol w:w="533"/>
        <w:gridCol w:w="533"/>
        <w:gridCol w:w="533"/>
        <w:gridCol w:w="524"/>
      </w:tblGrid>
      <w:tr w14:paraId="5BA25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418" w:type="dxa"/>
            <w:tcBorders>
              <w:top w:val="single" w:color="000000" w:sz="12" w:space="0"/>
              <w:left w:val="single" w:color="000000" w:sz="12" w:space="0"/>
            </w:tcBorders>
            <w:vAlign w:val="top"/>
          </w:tcPr>
          <w:p w14:paraId="7BF3B1DA">
            <w:pPr>
              <w:spacing w:before="283" w:line="243" w:lineRule="auto"/>
              <w:ind w:left="26" w:right="27" w:hanging="8"/>
              <w:rPr>
                <w:rFonts w:ascii="宋体" w:hAnsi="宋体" w:eastAsia="宋体" w:cs="宋体"/>
                <w:sz w:val="18"/>
                <w:szCs w:val="18"/>
              </w:rPr>
            </w:pPr>
            <w:r>
              <w:rPr>
                <w:rFonts w:ascii="宋体" w:hAnsi="宋体" w:eastAsia="宋体" w:cs="宋体"/>
                <w:spacing w:val="-4"/>
                <w:sz w:val="18"/>
                <w:szCs w:val="18"/>
              </w:rPr>
              <w:t>监测</w:t>
            </w:r>
            <w:r>
              <w:rPr>
                <w:rFonts w:ascii="宋体" w:hAnsi="宋体" w:eastAsia="宋体" w:cs="宋体"/>
                <w:spacing w:val="-9"/>
                <w:sz w:val="18"/>
                <w:szCs w:val="18"/>
              </w:rPr>
              <w:t>点位</w:t>
            </w:r>
          </w:p>
        </w:tc>
        <w:tc>
          <w:tcPr>
            <w:tcW w:w="1174" w:type="dxa"/>
            <w:gridSpan w:val="2"/>
            <w:tcBorders>
              <w:top w:val="single" w:color="000000" w:sz="12" w:space="0"/>
            </w:tcBorders>
            <w:vAlign w:val="top"/>
          </w:tcPr>
          <w:p w14:paraId="7599C751">
            <w:pPr>
              <w:spacing w:line="340" w:lineRule="auto"/>
              <w:rPr>
                <w:rFonts w:ascii="Arial"/>
                <w:sz w:val="21"/>
              </w:rPr>
            </w:pPr>
          </w:p>
          <w:p w14:paraId="0D1D4CFF">
            <w:pPr>
              <w:spacing w:before="59" w:line="221" w:lineRule="auto"/>
              <w:ind w:left="215"/>
              <w:rPr>
                <w:rFonts w:ascii="宋体" w:hAnsi="宋体" w:eastAsia="宋体" w:cs="宋体"/>
                <w:sz w:val="18"/>
                <w:szCs w:val="18"/>
              </w:rPr>
            </w:pPr>
            <w:r>
              <w:rPr>
                <w:rFonts w:ascii="宋体" w:hAnsi="宋体" w:eastAsia="宋体" w:cs="宋体"/>
                <w:spacing w:val="-2"/>
                <w:sz w:val="18"/>
                <w:szCs w:val="18"/>
              </w:rPr>
              <w:t>监测时间</w:t>
            </w:r>
          </w:p>
        </w:tc>
        <w:tc>
          <w:tcPr>
            <w:tcW w:w="606" w:type="dxa"/>
            <w:tcBorders>
              <w:top w:val="single" w:color="000000" w:sz="12" w:space="0"/>
            </w:tcBorders>
            <w:vAlign w:val="top"/>
          </w:tcPr>
          <w:p w14:paraId="793E7D2D">
            <w:pPr>
              <w:pStyle w:val="6"/>
              <w:spacing w:before="154" w:line="242" w:lineRule="auto"/>
              <w:ind w:left="47" w:right="51" w:firstLine="12"/>
              <w:jc w:val="both"/>
              <w:rPr>
                <w:rFonts w:ascii="等线" w:hAnsi="等线" w:eastAsia="等线" w:cs="等线"/>
                <w:sz w:val="18"/>
                <w:szCs w:val="18"/>
              </w:rPr>
            </w:pPr>
            <w:r>
              <w:rPr>
                <w:spacing w:val="-1"/>
                <w:sz w:val="18"/>
                <w:szCs w:val="18"/>
              </w:rPr>
              <w:t xml:space="preserve">pH </w:t>
            </w:r>
            <w:r>
              <w:rPr>
                <w:rFonts w:ascii="等线" w:hAnsi="等线" w:eastAsia="等线" w:cs="等线"/>
                <w:spacing w:val="-1"/>
                <w:sz w:val="18"/>
                <w:szCs w:val="18"/>
              </w:rPr>
              <w:t>值</w:t>
            </w:r>
            <w:r>
              <w:rPr>
                <w:rFonts w:ascii="等线" w:hAnsi="等线" w:eastAsia="等线" w:cs="等线"/>
                <w:spacing w:val="-15"/>
                <w:sz w:val="18"/>
                <w:szCs w:val="18"/>
              </w:rPr>
              <w:t>（无量</w:t>
            </w:r>
            <w:r>
              <w:rPr>
                <w:rFonts w:ascii="等线" w:hAnsi="等线" w:eastAsia="等线" w:cs="等线"/>
                <w:spacing w:val="10"/>
                <w:sz w:val="18"/>
                <w:szCs w:val="18"/>
              </w:rPr>
              <w:t>纲）</w:t>
            </w:r>
          </w:p>
        </w:tc>
        <w:tc>
          <w:tcPr>
            <w:tcW w:w="606" w:type="dxa"/>
            <w:tcBorders>
              <w:top w:val="single" w:color="000000" w:sz="12" w:space="0"/>
            </w:tcBorders>
            <w:vAlign w:val="top"/>
          </w:tcPr>
          <w:p w14:paraId="776A480D">
            <w:pPr>
              <w:spacing w:line="334" w:lineRule="auto"/>
              <w:rPr>
                <w:rFonts w:ascii="Arial"/>
                <w:sz w:val="21"/>
              </w:rPr>
            </w:pPr>
          </w:p>
          <w:p w14:paraId="4D392474">
            <w:pPr>
              <w:spacing w:before="61" w:line="225" w:lineRule="auto"/>
              <w:ind w:left="27"/>
              <w:rPr>
                <w:rFonts w:ascii="等线" w:hAnsi="等线" w:eastAsia="等线" w:cs="等线"/>
                <w:sz w:val="18"/>
                <w:szCs w:val="18"/>
              </w:rPr>
            </w:pPr>
            <w:r>
              <w:rPr>
                <w:rFonts w:ascii="等线" w:hAnsi="等线" w:eastAsia="等线" w:cs="等线"/>
                <w:spacing w:val="-3"/>
                <w:sz w:val="18"/>
                <w:szCs w:val="18"/>
              </w:rPr>
              <w:t>总硬度</w:t>
            </w:r>
          </w:p>
        </w:tc>
        <w:tc>
          <w:tcPr>
            <w:tcW w:w="606" w:type="dxa"/>
            <w:tcBorders>
              <w:top w:val="single" w:color="000000" w:sz="12" w:space="0"/>
            </w:tcBorders>
            <w:vAlign w:val="top"/>
          </w:tcPr>
          <w:p w14:paraId="0E96984E">
            <w:pPr>
              <w:spacing w:before="274" w:line="246" w:lineRule="auto"/>
              <w:ind w:left="28" w:right="40" w:hanging="3"/>
              <w:rPr>
                <w:rFonts w:ascii="等线" w:hAnsi="等线" w:eastAsia="等线" w:cs="等线"/>
                <w:sz w:val="18"/>
                <w:szCs w:val="18"/>
              </w:rPr>
            </w:pPr>
            <w:r>
              <w:rPr>
                <w:rFonts w:ascii="等线" w:hAnsi="等线" w:eastAsia="等线" w:cs="等线"/>
                <w:spacing w:val="-4"/>
                <w:sz w:val="18"/>
                <w:szCs w:val="18"/>
              </w:rPr>
              <w:t>溶解性</w:t>
            </w:r>
            <w:r>
              <w:rPr>
                <w:rFonts w:ascii="等线" w:hAnsi="等线" w:eastAsia="等线" w:cs="等线"/>
                <w:spacing w:val="-5"/>
                <w:sz w:val="18"/>
                <w:szCs w:val="18"/>
              </w:rPr>
              <w:t>总固体</w:t>
            </w:r>
          </w:p>
        </w:tc>
        <w:tc>
          <w:tcPr>
            <w:tcW w:w="606" w:type="dxa"/>
            <w:tcBorders>
              <w:top w:val="single" w:color="000000" w:sz="12" w:space="0"/>
            </w:tcBorders>
            <w:vAlign w:val="top"/>
          </w:tcPr>
          <w:p w14:paraId="316E8932">
            <w:pPr>
              <w:spacing w:line="334" w:lineRule="auto"/>
              <w:rPr>
                <w:rFonts w:ascii="Arial"/>
                <w:sz w:val="21"/>
              </w:rPr>
            </w:pPr>
          </w:p>
          <w:p w14:paraId="48CB91E5">
            <w:pPr>
              <w:spacing w:before="61" w:line="226" w:lineRule="auto"/>
              <w:ind w:left="21"/>
              <w:rPr>
                <w:rFonts w:ascii="等线" w:hAnsi="等线" w:eastAsia="等线" w:cs="等线"/>
                <w:sz w:val="18"/>
                <w:szCs w:val="18"/>
              </w:rPr>
            </w:pPr>
            <w:r>
              <w:rPr>
                <w:rFonts w:ascii="等线" w:hAnsi="等线" w:eastAsia="等线" w:cs="等线"/>
                <w:spacing w:val="-2"/>
                <w:sz w:val="18"/>
                <w:szCs w:val="18"/>
              </w:rPr>
              <w:t>硫酸盐</w:t>
            </w:r>
          </w:p>
        </w:tc>
        <w:tc>
          <w:tcPr>
            <w:tcW w:w="606" w:type="dxa"/>
            <w:tcBorders>
              <w:top w:val="single" w:color="000000" w:sz="12" w:space="0"/>
            </w:tcBorders>
            <w:vAlign w:val="top"/>
          </w:tcPr>
          <w:p w14:paraId="1270A323">
            <w:pPr>
              <w:spacing w:line="333" w:lineRule="auto"/>
              <w:rPr>
                <w:rFonts w:ascii="Arial"/>
                <w:sz w:val="21"/>
              </w:rPr>
            </w:pPr>
          </w:p>
          <w:p w14:paraId="7B0446A0">
            <w:pPr>
              <w:spacing w:before="61" w:line="228" w:lineRule="auto"/>
              <w:ind w:left="21"/>
              <w:rPr>
                <w:rFonts w:ascii="等线" w:hAnsi="等线" w:eastAsia="等线" w:cs="等线"/>
                <w:sz w:val="18"/>
                <w:szCs w:val="18"/>
              </w:rPr>
            </w:pPr>
            <w:r>
              <w:rPr>
                <w:rFonts w:ascii="等线" w:hAnsi="等线" w:eastAsia="等线" w:cs="等线"/>
                <w:spacing w:val="-2"/>
                <w:sz w:val="18"/>
                <w:szCs w:val="18"/>
              </w:rPr>
              <w:t>氯化物</w:t>
            </w:r>
          </w:p>
        </w:tc>
        <w:tc>
          <w:tcPr>
            <w:tcW w:w="606" w:type="dxa"/>
            <w:tcBorders>
              <w:top w:val="single" w:color="000000" w:sz="12" w:space="0"/>
            </w:tcBorders>
            <w:vAlign w:val="top"/>
          </w:tcPr>
          <w:p w14:paraId="01ED802D">
            <w:pPr>
              <w:spacing w:line="333" w:lineRule="auto"/>
              <w:rPr>
                <w:rFonts w:ascii="Arial"/>
                <w:sz w:val="21"/>
              </w:rPr>
            </w:pPr>
          </w:p>
          <w:p w14:paraId="1EC128D6">
            <w:pPr>
              <w:spacing w:before="61" w:line="226" w:lineRule="auto"/>
              <w:ind w:left="201"/>
              <w:rPr>
                <w:rFonts w:ascii="等线" w:hAnsi="等线" w:eastAsia="等线" w:cs="等线"/>
                <w:sz w:val="18"/>
                <w:szCs w:val="18"/>
              </w:rPr>
            </w:pPr>
            <w:r>
              <w:rPr>
                <w:rFonts w:ascii="等线" w:hAnsi="等线" w:eastAsia="等线" w:cs="等线"/>
                <w:sz w:val="18"/>
                <w:szCs w:val="18"/>
              </w:rPr>
              <w:t>铁</w:t>
            </w:r>
          </w:p>
        </w:tc>
        <w:tc>
          <w:tcPr>
            <w:tcW w:w="605" w:type="dxa"/>
            <w:tcBorders>
              <w:top w:val="single" w:color="000000" w:sz="12" w:space="0"/>
            </w:tcBorders>
            <w:vAlign w:val="top"/>
          </w:tcPr>
          <w:p w14:paraId="646872BC">
            <w:pPr>
              <w:spacing w:line="333" w:lineRule="auto"/>
              <w:rPr>
                <w:rFonts w:ascii="Arial"/>
                <w:sz w:val="21"/>
              </w:rPr>
            </w:pPr>
          </w:p>
          <w:p w14:paraId="52FDF1F8">
            <w:pPr>
              <w:spacing w:before="61" w:line="234" w:lineRule="auto"/>
              <w:ind w:left="204"/>
              <w:rPr>
                <w:rFonts w:ascii="等线" w:hAnsi="等线" w:eastAsia="等线" w:cs="等线"/>
                <w:sz w:val="18"/>
                <w:szCs w:val="18"/>
              </w:rPr>
            </w:pPr>
            <w:r>
              <w:rPr>
                <w:rFonts w:ascii="等线" w:hAnsi="等线" w:eastAsia="等线" w:cs="等线"/>
                <w:sz w:val="18"/>
                <w:szCs w:val="18"/>
              </w:rPr>
              <w:t>锰</w:t>
            </w:r>
          </w:p>
        </w:tc>
        <w:tc>
          <w:tcPr>
            <w:tcW w:w="563" w:type="dxa"/>
            <w:tcBorders>
              <w:top w:val="single" w:color="000000" w:sz="12" w:space="0"/>
            </w:tcBorders>
            <w:vAlign w:val="top"/>
          </w:tcPr>
          <w:p w14:paraId="3C36C72E">
            <w:pPr>
              <w:spacing w:line="334" w:lineRule="auto"/>
              <w:rPr>
                <w:rFonts w:ascii="Arial"/>
                <w:sz w:val="21"/>
              </w:rPr>
            </w:pPr>
          </w:p>
          <w:p w14:paraId="27E40BED">
            <w:pPr>
              <w:spacing w:before="61" w:line="228" w:lineRule="auto"/>
              <w:ind w:left="186"/>
              <w:rPr>
                <w:rFonts w:ascii="等线" w:hAnsi="等线" w:eastAsia="等线" w:cs="等线"/>
                <w:sz w:val="18"/>
                <w:szCs w:val="18"/>
              </w:rPr>
            </w:pPr>
            <w:r>
              <w:rPr>
                <w:rFonts w:ascii="等线" w:hAnsi="等线" w:eastAsia="等线" w:cs="等线"/>
                <w:sz w:val="18"/>
                <w:szCs w:val="18"/>
              </w:rPr>
              <w:t>铜</w:t>
            </w:r>
          </w:p>
        </w:tc>
        <w:tc>
          <w:tcPr>
            <w:tcW w:w="562" w:type="dxa"/>
            <w:tcBorders>
              <w:top w:val="single" w:color="000000" w:sz="12" w:space="0"/>
            </w:tcBorders>
            <w:vAlign w:val="top"/>
          </w:tcPr>
          <w:p w14:paraId="3D73D053">
            <w:pPr>
              <w:spacing w:line="333" w:lineRule="auto"/>
              <w:rPr>
                <w:rFonts w:ascii="Arial"/>
                <w:sz w:val="21"/>
              </w:rPr>
            </w:pPr>
          </w:p>
          <w:p w14:paraId="1CFCE4E0">
            <w:pPr>
              <w:spacing w:before="61" w:line="226" w:lineRule="auto"/>
              <w:ind w:left="185"/>
              <w:rPr>
                <w:rFonts w:ascii="等线" w:hAnsi="等线" w:eastAsia="等线" w:cs="等线"/>
                <w:sz w:val="18"/>
                <w:szCs w:val="18"/>
              </w:rPr>
            </w:pPr>
            <w:r>
              <w:rPr>
                <w:rFonts w:ascii="等线" w:hAnsi="等线" w:eastAsia="等线" w:cs="等线"/>
                <w:sz w:val="18"/>
                <w:szCs w:val="18"/>
              </w:rPr>
              <w:t>锌</w:t>
            </w:r>
          </w:p>
        </w:tc>
        <w:tc>
          <w:tcPr>
            <w:tcW w:w="696" w:type="dxa"/>
            <w:tcBorders>
              <w:top w:val="single" w:color="000000" w:sz="12" w:space="0"/>
            </w:tcBorders>
            <w:vAlign w:val="top"/>
          </w:tcPr>
          <w:p w14:paraId="4DFCBF9E">
            <w:pPr>
              <w:spacing w:line="334" w:lineRule="auto"/>
              <w:rPr>
                <w:rFonts w:ascii="Arial"/>
                <w:sz w:val="21"/>
              </w:rPr>
            </w:pPr>
          </w:p>
          <w:p w14:paraId="55D1E8EC">
            <w:pPr>
              <w:spacing w:before="61" w:line="227" w:lineRule="auto"/>
              <w:ind w:left="75"/>
              <w:rPr>
                <w:rFonts w:ascii="等线" w:hAnsi="等线" w:eastAsia="等线" w:cs="等线"/>
                <w:sz w:val="18"/>
                <w:szCs w:val="18"/>
              </w:rPr>
            </w:pPr>
            <w:r>
              <w:rPr>
                <w:rFonts w:ascii="等线" w:hAnsi="等线" w:eastAsia="等线" w:cs="等线"/>
                <w:spacing w:val="-2"/>
                <w:sz w:val="18"/>
                <w:szCs w:val="18"/>
              </w:rPr>
              <w:t>挥发酚</w:t>
            </w:r>
          </w:p>
        </w:tc>
        <w:tc>
          <w:tcPr>
            <w:tcW w:w="605" w:type="dxa"/>
            <w:tcBorders>
              <w:top w:val="single" w:color="000000" w:sz="12" w:space="0"/>
            </w:tcBorders>
            <w:vAlign w:val="top"/>
          </w:tcPr>
          <w:p w14:paraId="217E08F2">
            <w:pPr>
              <w:spacing w:before="152" w:line="244" w:lineRule="auto"/>
              <w:ind w:left="30" w:right="31" w:firstLine="15"/>
              <w:jc w:val="both"/>
              <w:rPr>
                <w:rFonts w:ascii="等线" w:hAnsi="等线" w:eastAsia="等线" w:cs="等线"/>
                <w:sz w:val="18"/>
                <w:szCs w:val="18"/>
              </w:rPr>
            </w:pPr>
            <w:r>
              <w:rPr>
                <w:rFonts w:ascii="等线" w:hAnsi="等线" w:eastAsia="等线" w:cs="等线"/>
                <w:spacing w:val="-8"/>
                <w:sz w:val="18"/>
                <w:szCs w:val="18"/>
              </w:rPr>
              <w:t>阴离子</w:t>
            </w:r>
            <w:r>
              <w:rPr>
                <w:rFonts w:ascii="等线" w:hAnsi="等线" w:eastAsia="等线" w:cs="等线"/>
                <w:spacing w:val="-3"/>
                <w:sz w:val="18"/>
                <w:szCs w:val="18"/>
              </w:rPr>
              <w:t>表面活</w:t>
            </w:r>
            <w:r>
              <w:rPr>
                <w:rFonts w:ascii="等线" w:hAnsi="等线" w:eastAsia="等线" w:cs="等线"/>
                <w:spacing w:val="41"/>
                <w:sz w:val="18"/>
                <w:szCs w:val="18"/>
              </w:rPr>
              <w:t>性剂</w:t>
            </w:r>
          </w:p>
        </w:tc>
        <w:tc>
          <w:tcPr>
            <w:tcW w:w="582" w:type="dxa"/>
            <w:tcBorders>
              <w:top w:val="single" w:color="000000" w:sz="12" w:space="0"/>
            </w:tcBorders>
            <w:vAlign w:val="top"/>
          </w:tcPr>
          <w:p w14:paraId="722A5213">
            <w:pPr>
              <w:spacing w:line="378" w:lineRule="auto"/>
              <w:rPr>
                <w:rFonts w:ascii="Arial"/>
                <w:sz w:val="21"/>
              </w:rPr>
            </w:pPr>
          </w:p>
          <w:p w14:paraId="454C97CC">
            <w:pPr>
              <w:pStyle w:val="6"/>
              <w:spacing w:before="51" w:line="183" w:lineRule="auto"/>
              <w:ind w:left="184"/>
              <w:rPr>
                <w:sz w:val="18"/>
                <w:szCs w:val="18"/>
              </w:rPr>
            </w:pPr>
            <w:r>
              <w:rPr>
                <w:spacing w:val="-3"/>
                <w:sz w:val="18"/>
                <w:szCs w:val="18"/>
              </w:rPr>
              <w:t>TP</w:t>
            </w:r>
          </w:p>
        </w:tc>
        <w:tc>
          <w:tcPr>
            <w:tcW w:w="583" w:type="dxa"/>
            <w:tcBorders>
              <w:top w:val="single" w:color="000000" w:sz="12" w:space="0"/>
            </w:tcBorders>
            <w:vAlign w:val="top"/>
          </w:tcPr>
          <w:p w14:paraId="02C5A641">
            <w:pPr>
              <w:spacing w:line="334" w:lineRule="auto"/>
              <w:rPr>
                <w:rFonts w:ascii="Arial"/>
                <w:sz w:val="21"/>
              </w:rPr>
            </w:pPr>
          </w:p>
          <w:p w14:paraId="33418E09">
            <w:pPr>
              <w:spacing w:before="61" w:line="226" w:lineRule="auto"/>
              <w:ind w:left="19"/>
              <w:rPr>
                <w:rFonts w:ascii="等线" w:hAnsi="等线" w:eastAsia="等线" w:cs="等线"/>
                <w:sz w:val="18"/>
                <w:szCs w:val="18"/>
              </w:rPr>
            </w:pPr>
            <w:r>
              <w:rPr>
                <w:rFonts w:ascii="等线" w:hAnsi="等线" w:eastAsia="等线" w:cs="等线"/>
                <w:spacing w:val="-2"/>
                <w:sz w:val="18"/>
                <w:szCs w:val="18"/>
              </w:rPr>
              <w:t>硝酸盐</w:t>
            </w:r>
          </w:p>
        </w:tc>
        <w:tc>
          <w:tcPr>
            <w:tcW w:w="582" w:type="dxa"/>
            <w:tcBorders>
              <w:top w:val="single" w:color="000000" w:sz="12" w:space="0"/>
            </w:tcBorders>
            <w:vAlign w:val="top"/>
          </w:tcPr>
          <w:p w14:paraId="196C21C2">
            <w:pPr>
              <w:spacing w:before="275" w:line="248" w:lineRule="auto"/>
              <w:ind w:left="203" w:right="17" w:hanging="177"/>
              <w:rPr>
                <w:rFonts w:ascii="等线" w:hAnsi="等线" w:eastAsia="等线" w:cs="等线"/>
                <w:sz w:val="18"/>
                <w:szCs w:val="18"/>
              </w:rPr>
            </w:pPr>
            <w:r>
              <w:rPr>
                <w:rFonts w:ascii="等线" w:hAnsi="等线" w:eastAsia="等线" w:cs="等线"/>
                <w:spacing w:val="-5"/>
                <w:sz w:val="18"/>
                <w:szCs w:val="18"/>
              </w:rPr>
              <w:t>亚硝酸</w:t>
            </w:r>
            <w:r>
              <w:rPr>
                <w:rFonts w:ascii="等线" w:hAnsi="等线" w:eastAsia="等线" w:cs="等线"/>
                <w:sz w:val="18"/>
                <w:szCs w:val="18"/>
              </w:rPr>
              <w:t>盐</w:t>
            </w:r>
          </w:p>
        </w:tc>
        <w:tc>
          <w:tcPr>
            <w:tcW w:w="582" w:type="dxa"/>
            <w:tcBorders>
              <w:top w:val="single" w:color="000000" w:sz="12" w:space="0"/>
            </w:tcBorders>
            <w:vAlign w:val="top"/>
          </w:tcPr>
          <w:p w14:paraId="30A54CF9">
            <w:pPr>
              <w:spacing w:line="333" w:lineRule="auto"/>
              <w:rPr>
                <w:rFonts w:ascii="Arial"/>
                <w:sz w:val="21"/>
              </w:rPr>
            </w:pPr>
          </w:p>
          <w:p w14:paraId="056B4839">
            <w:pPr>
              <w:spacing w:before="61" w:line="225" w:lineRule="auto"/>
              <w:ind w:left="110"/>
              <w:rPr>
                <w:rFonts w:ascii="等线" w:hAnsi="等线" w:eastAsia="等线" w:cs="等线"/>
                <w:sz w:val="18"/>
                <w:szCs w:val="18"/>
              </w:rPr>
            </w:pPr>
            <w:r>
              <w:rPr>
                <w:rFonts w:ascii="等线" w:hAnsi="等线" w:eastAsia="等线" w:cs="等线"/>
                <w:spacing w:val="-2"/>
                <w:sz w:val="18"/>
                <w:szCs w:val="18"/>
              </w:rPr>
              <w:t>氨氮</w:t>
            </w:r>
          </w:p>
        </w:tc>
        <w:tc>
          <w:tcPr>
            <w:tcW w:w="582" w:type="dxa"/>
            <w:tcBorders>
              <w:top w:val="single" w:color="000000" w:sz="12" w:space="0"/>
            </w:tcBorders>
            <w:vAlign w:val="top"/>
          </w:tcPr>
          <w:p w14:paraId="0B320989">
            <w:pPr>
              <w:spacing w:line="333" w:lineRule="auto"/>
              <w:rPr>
                <w:rFonts w:ascii="Arial"/>
                <w:sz w:val="21"/>
              </w:rPr>
            </w:pPr>
          </w:p>
          <w:p w14:paraId="4DC37596">
            <w:pPr>
              <w:spacing w:before="61" w:line="228" w:lineRule="auto"/>
              <w:ind w:left="23"/>
              <w:rPr>
                <w:rFonts w:ascii="等线" w:hAnsi="等线" w:eastAsia="等线" w:cs="等线"/>
                <w:sz w:val="18"/>
                <w:szCs w:val="18"/>
              </w:rPr>
            </w:pPr>
            <w:r>
              <w:rPr>
                <w:rFonts w:ascii="等线" w:hAnsi="等线" w:eastAsia="等线" w:cs="等线"/>
                <w:spacing w:val="-2"/>
                <w:sz w:val="18"/>
                <w:szCs w:val="18"/>
              </w:rPr>
              <w:t>氟化物</w:t>
            </w:r>
          </w:p>
        </w:tc>
        <w:tc>
          <w:tcPr>
            <w:tcW w:w="581" w:type="dxa"/>
            <w:tcBorders>
              <w:top w:val="single" w:color="000000" w:sz="12" w:space="0"/>
            </w:tcBorders>
            <w:vAlign w:val="top"/>
          </w:tcPr>
          <w:p w14:paraId="5D6B8FAA">
            <w:pPr>
              <w:spacing w:line="333" w:lineRule="auto"/>
              <w:rPr>
                <w:rFonts w:ascii="Arial"/>
                <w:sz w:val="21"/>
              </w:rPr>
            </w:pPr>
          </w:p>
          <w:p w14:paraId="7E09D0E3">
            <w:pPr>
              <w:spacing w:before="61" w:line="227" w:lineRule="auto"/>
              <w:ind w:left="23"/>
              <w:rPr>
                <w:rFonts w:ascii="等线" w:hAnsi="等线" w:eastAsia="等线" w:cs="等线"/>
                <w:sz w:val="18"/>
                <w:szCs w:val="18"/>
              </w:rPr>
            </w:pPr>
            <w:r>
              <w:rPr>
                <w:rFonts w:ascii="等线" w:hAnsi="等线" w:eastAsia="等线" w:cs="等线"/>
                <w:spacing w:val="-2"/>
                <w:sz w:val="18"/>
                <w:szCs w:val="18"/>
              </w:rPr>
              <w:t>氰化物</w:t>
            </w:r>
          </w:p>
        </w:tc>
        <w:tc>
          <w:tcPr>
            <w:tcW w:w="851" w:type="dxa"/>
            <w:tcBorders>
              <w:top w:val="single" w:color="000000" w:sz="12" w:space="0"/>
            </w:tcBorders>
            <w:vAlign w:val="top"/>
          </w:tcPr>
          <w:p w14:paraId="73660BD4">
            <w:pPr>
              <w:spacing w:line="334" w:lineRule="auto"/>
              <w:rPr>
                <w:rFonts w:ascii="Arial"/>
                <w:sz w:val="21"/>
              </w:rPr>
            </w:pPr>
          </w:p>
          <w:p w14:paraId="6899DFF9">
            <w:pPr>
              <w:spacing w:before="61" w:line="228" w:lineRule="auto"/>
              <w:ind w:left="342"/>
              <w:rPr>
                <w:rFonts w:ascii="等线" w:hAnsi="等线" w:eastAsia="等线" w:cs="等线"/>
                <w:sz w:val="18"/>
                <w:szCs w:val="18"/>
              </w:rPr>
            </w:pPr>
            <w:r>
              <w:rPr>
                <w:rFonts w:ascii="等线" w:hAnsi="等线" w:eastAsia="等线" w:cs="等线"/>
                <w:sz w:val="18"/>
                <w:szCs w:val="18"/>
              </w:rPr>
              <w:t>汞</w:t>
            </w:r>
          </w:p>
        </w:tc>
        <w:tc>
          <w:tcPr>
            <w:tcW w:w="644" w:type="dxa"/>
            <w:tcBorders>
              <w:top w:val="single" w:color="000000" w:sz="12" w:space="0"/>
            </w:tcBorders>
            <w:vAlign w:val="top"/>
          </w:tcPr>
          <w:p w14:paraId="781836A9">
            <w:pPr>
              <w:spacing w:line="334" w:lineRule="auto"/>
              <w:rPr>
                <w:rFonts w:ascii="Arial"/>
                <w:sz w:val="21"/>
              </w:rPr>
            </w:pPr>
          </w:p>
          <w:p w14:paraId="12383A0A">
            <w:pPr>
              <w:spacing w:before="61" w:line="226" w:lineRule="auto"/>
              <w:ind w:left="239"/>
              <w:rPr>
                <w:rFonts w:ascii="等线" w:hAnsi="等线" w:eastAsia="等线" w:cs="等线"/>
                <w:sz w:val="18"/>
                <w:szCs w:val="18"/>
              </w:rPr>
            </w:pPr>
            <w:r>
              <w:rPr>
                <w:rFonts w:ascii="等线" w:hAnsi="等线" w:eastAsia="等线" w:cs="等线"/>
                <w:sz w:val="18"/>
                <w:szCs w:val="18"/>
              </w:rPr>
              <w:t>砷</w:t>
            </w:r>
          </w:p>
        </w:tc>
        <w:tc>
          <w:tcPr>
            <w:tcW w:w="639" w:type="dxa"/>
            <w:tcBorders>
              <w:top w:val="single" w:color="000000" w:sz="12" w:space="0"/>
            </w:tcBorders>
            <w:vAlign w:val="top"/>
          </w:tcPr>
          <w:p w14:paraId="186B6B6A">
            <w:pPr>
              <w:spacing w:line="334" w:lineRule="auto"/>
              <w:rPr>
                <w:rFonts w:ascii="Arial"/>
                <w:sz w:val="21"/>
              </w:rPr>
            </w:pPr>
          </w:p>
          <w:p w14:paraId="69949AB1">
            <w:pPr>
              <w:spacing w:before="61" w:line="230" w:lineRule="auto"/>
              <w:ind w:left="236"/>
              <w:rPr>
                <w:rFonts w:ascii="等线" w:hAnsi="等线" w:eastAsia="等线" w:cs="等线"/>
                <w:sz w:val="18"/>
                <w:szCs w:val="18"/>
              </w:rPr>
            </w:pPr>
            <w:r>
              <w:rPr>
                <w:rFonts w:ascii="等线" w:hAnsi="等线" w:eastAsia="等线" w:cs="等线"/>
                <w:sz w:val="18"/>
                <w:szCs w:val="18"/>
              </w:rPr>
              <w:t>硒</w:t>
            </w:r>
          </w:p>
        </w:tc>
        <w:tc>
          <w:tcPr>
            <w:tcW w:w="640" w:type="dxa"/>
            <w:tcBorders>
              <w:top w:val="single" w:color="000000" w:sz="12" w:space="0"/>
            </w:tcBorders>
            <w:vAlign w:val="top"/>
          </w:tcPr>
          <w:p w14:paraId="726FA111">
            <w:pPr>
              <w:spacing w:line="333" w:lineRule="auto"/>
              <w:rPr>
                <w:rFonts w:ascii="Arial"/>
                <w:sz w:val="21"/>
              </w:rPr>
            </w:pPr>
          </w:p>
          <w:p w14:paraId="62A0BB33">
            <w:pPr>
              <w:spacing w:before="61" w:line="228" w:lineRule="auto"/>
              <w:ind w:left="237"/>
              <w:rPr>
                <w:rFonts w:ascii="等线" w:hAnsi="等线" w:eastAsia="等线" w:cs="等线"/>
                <w:sz w:val="18"/>
                <w:szCs w:val="18"/>
              </w:rPr>
            </w:pPr>
            <w:r>
              <w:rPr>
                <w:rFonts w:ascii="等线" w:hAnsi="等线" w:eastAsia="等线" w:cs="等线"/>
                <w:sz w:val="18"/>
                <w:szCs w:val="18"/>
              </w:rPr>
              <w:t>镉</w:t>
            </w:r>
          </w:p>
        </w:tc>
        <w:tc>
          <w:tcPr>
            <w:tcW w:w="639" w:type="dxa"/>
            <w:tcBorders>
              <w:top w:val="single" w:color="000000" w:sz="12" w:space="0"/>
            </w:tcBorders>
            <w:vAlign w:val="top"/>
          </w:tcPr>
          <w:p w14:paraId="066D72F8">
            <w:pPr>
              <w:spacing w:line="334" w:lineRule="auto"/>
              <w:rPr>
                <w:rFonts w:ascii="Arial"/>
                <w:sz w:val="21"/>
              </w:rPr>
            </w:pPr>
          </w:p>
          <w:p w14:paraId="1E943B51">
            <w:pPr>
              <w:spacing w:before="61" w:line="226" w:lineRule="auto"/>
              <w:ind w:left="61"/>
              <w:rPr>
                <w:rFonts w:ascii="等线" w:hAnsi="等线" w:eastAsia="等线" w:cs="等线"/>
                <w:sz w:val="18"/>
                <w:szCs w:val="18"/>
              </w:rPr>
            </w:pPr>
            <w:r>
              <w:rPr>
                <w:rFonts w:ascii="等线" w:hAnsi="等线" w:eastAsia="等线" w:cs="等线"/>
                <w:spacing w:val="-3"/>
                <w:sz w:val="18"/>
                <w:szCs w:val="18"/>
              </w:rPr>
              <w:t>六价铬</w:t>
            </w:r>
          </w:p>
        </w:tc>
        <w:tc>
          <w:tcPr>
            <w:tcW w:w="639" w:type="dxa"/>
            <w:tcBorders>
              <w:top w:val="single" w:color="000000" w:sz="12" w:space="0"/>
            </w:tcBorders>
            <w:vAlign w:val="top"/>
          </w:tcPr>
          <w:p w14:paraId="30151E19">
            <w:pPr>
              <w:spacing w:line="334" w:lineRule="auto"/>
              <w:rPr>
                <w:rFonts w:ascii="Arial"/>
                <w:sz w:val="21"/>
              </w:rPr>
            </w:pPr>
          </w:p>
          <w:p w14:paraId="5B491826">
            <w:pPr>
              <w:spacing w:before="61" w:line="227" w:lineRule="auto"/>
              <w:ind w:left="236"/>
              <w:rPr>
                <w:rFonts w:ascii="等线" w:hAnsi="等线" w:eastAsia="等线" w:cs="等线"/>
                <w:sz w:val="18"/>
                <w:szCs w:val="18"/>
              </w:rPr>
            </w:pPr>
            <w:r>
              <w:rPr>
                <w:rFonts w:ascii="等线" w:hAnsi="等线" w:eastAsia="等线" w:cs="等线"/>
                <w:sz w:val="18"/>
                <w:szCs w:val="18"/>
              </w:rPr>
              <w:t>铅</w:t>
            </w:r>
          </w:p>
        </w:tc>
        <w:tc>
          <w:tcPr>
            <w:tcW w:w="640" w:type="dxa"/>
            <w:tcBorders>
              <w:top w:val="single" w:color="000000" w:sz="12" w:space="0"/>
            </w:tcBorders>
            <w:vAlign w:val="top"/>
          </w:tcPr>
          <w:p w14:paraId="02BD3527">
            <w:pPr>
              <w:spacing w:line="333" w:lineRule="auto"/>
              <w:rPr>
                <w:rFonts w:ascii="Arial"/>
                <w:sz w:val="21"/>
              </w:rPr>
            </w:pPr>
          </w:p>
          <w:p w14:paraId="0D4D2EC6">
            <w:pPr>
              <w:spacing w:before="61" w:line="227" w:lineRule="auto"/>
              <w:ind w:left="238"/>
              <w:rPr>
                <w:rFonts w:ascii="等线" w:hAnsi="等线" w:eastAsia="等线" w:cs="等线"/>
                <w:sz w:val="18"/>
                <w:szCs w:val="18"/>
              </w:rPr>
            </w:pPr>
            <w:r>
              <w:rPr>
                <w:rFonts w:ascii="等线" w:hAnsi="等线" w:eastAsia="等线" w:cs="等线"/>
                <w:sz w:val="18"/>
                <w:szCs w:val="18"/>
              </w:rPr>
              <w:t>铝</w:t>
            </w:r>
          </w:p>
        </w:tc>
        <w:tc>
          <w:tcPr>
            <w:tcW w:w="827" w:type="dxa"/>
            <w:tcBorders>
              <w:top w:val="single" w:color="000000" w:sz="12" w:space="0"/>
            </w:tcBorders>
            <w:vAlign w:val="top"/>
          </w:tcPr>
          <w:p w14:paraId="026E3D0F">
            <w:pPr>
              <w:spacing w:before="67" w:line="246" w:lineRule="auto"/>
              <w:ind w:left="330" w:right="41" w:hanging="261"/>
              <w:rPr>
                <w:rFonts w:ascii="等线" w:hAnsi="等线" w:eastAsia="等线" w:cs="等线"/>
                <w:sz w:val="18"/>
                <w:szCs w:val="18"/>
              </w:rPr>
            </w:pPr>
            <w:r>
              <w:rPr>
                <w:rFonts w:ascii="等线" w:hAnsi="等线" w:eastAsia="等线" w:cs="等线"/>
                <w:spacing w:val="-4"/>
                <w:sz w:val="18"/>
                <w:szCs w:val="18"/>
              </w:rPr>
              <w:t>总大肠菌</w:t>
            </w:r>
            <w:r>
              <w:rPr>
                <w:rFonts w:ascii="等线" w:hAnsi="等线" w:eastAsia="等线" w:cs="等线"/>
                <w:sz w:val="18"/>
                <w:szCs w:val="18"/>
              </w:rPr>
              <w:t>群</w:t>
            </w:r>
          </w:p>
          <w:p w14:paraId="3B49ED80">
            <w:pPr>
              <w:pStyle w:val="6"/>
              <w:spacing w:line="189" w:lineRule="auto"/>
              <w:ind w:left="63"/>
              <w:rPr>
                <w:sz w:val="18"/>
                <w:szCs w:val="18"/>
              </w:rPr>
            </w:pPr>
            <w:r>
              <w:rPr>
                <w:spacing w:val="-1"/>
                <w:sz w:val="18"/>
                <w:szCs w:val="18"/>
              </w:rPr>
              <w:t>MPN/100</w:t>
            </w:r>
          </w:p>
          <w:p w14:paraId="2E7B698F">
            <w:pPr>
              <w:pStyle w:val="6"/>
              <w:spacing w:before="43" w:line="235" w:lineRule="auto"/>
              <w:ind w:left="292"/>
              <w:rPr>
                <w:sz w:val="18"/>
                <w:szCs w:val="18"/>
              </w:rPr>
            </w:pPr>
            <w:r>
              <w:rPr>
                <w:spacing w:val="-1"/>
                <w:sz w:val="18"/>
                <w:szCs w:val="18"/>
              </w:rPr>
              <w:t>mL</w:t>
            </w:r>
          </w:p>
        </w:tc>
        <w:tc>
          <w:tcPr>
            <w:tcW w:w="457" w:type="dxa"/>
            <w:tcBorders>
              <w:top w:val="single" w:color="000000" w:sz="12" w:space="0"/>
            </w:tcBorders>
            <w:vAlign w:val="top"/>
          </w:tcPr>
          <w:p w14:paraId="2374094F">
            <w:pPr>
              <w:spacing w:before="275" w:line="245" w:lineRule="auto"/>
              <w:ind w:left="149" w:right="34" w:hanging="90"/>
              <w:rPr>
                <w:rFonts w:ascii="等线" w:hAnsi="等线" w:eastAsia="等线" w:cs="等线"/>
                <w:sz w:val="18"/>
                <w:szCs w:val="18"/>
              </w:rPr>
            </w:pPr>
            <w:r>
              <w:rPr>
                <w:rFonts w:ascii="等线" w:hAnsi="等线" w:eastAsia="等线" w:cs="等线"/>
                <w:spacing w:val="-4"/>
                <w:sz w:val="18"/>
                <w:szCs w:val="18"/>
              </w:rPr>
              <w:t>矿化</w:t>
            </w:r>
            <w:r>
              <w:rPr>
                <w:rFonts w:ascii="等线" w:hAnsi="等线" w:eastAsia="等线" w:cs="等线"/>
                <w:sz w:val="18"/>
                <w:szCs w:val="18"/>
              </w:rPr>
              <w:t>度</w:t>
            </w:r>
          </w:p>
        </w:tc>
        <w:tc>
          <w:tcPr>
            <w:tcW w:w="533" w:type="dxa"/>
            <w:tcBorders>
              <w:top w:val="single" w:color="000000" w:sz="12" w:space="0"/>
            </w:tcBorders>
            <w:vAlign w:val="top"/>
          </w:tcPr>
          <w:p w14:paraId="4BF684F4">
            <w:pPr>
              <w:spacing w:before="274" w:line="248" w:lineRule="auto"/>
              <w:ind w:left="189" w:right="71" w:hanging="95"/>
              <w:rPr>
                <w:rFonts w:ascii="等线" w:hAnsi="等线" w:eastAsia="等线" w:cs="等线"/>
                <w:sz w:val="18"/>
                <w:szCs w:val="18"/>
              </w:rPr>
            </w:pPr>
            <w:r>
              <w:rPr>
                <w:rFonts w:ascii="等线" w:hAnsi="等线" w:eastAsia="等线" w:cs="等线"/>
                <w:spacing w:val="-2"/>
                <w:sz w:val="18"/>
                <w:szCs w:val="18"/>
              </w:rPr>
              <w:t>耗氧</w:t>
            </w:r>
            <w:r>
              <w:rPr>
                <w:rFonts w:ascii="等线" w:hAnsi="等线" w:eastAsia="等线" w:cs="等线"/>
                <w:sz w:val="18"/>
                <w:szCs w:val="18"/>
              </w:rPr>
              <w:t>量</w:t>
            </w:r>
          </w:p>
        </w:tc>
        <w:tc>
          <w:tcPr>
            <w:tcW w:w="533" w:type="dxa"/>
            <w:tcBorders>
              <w:top w:val="single" w:color="000000" w:sz="12" w:space="0"/>
            </w:tcBorders>
            <w:vAlign w:val="top"/>
          </w:tcPr>
          <w:p w14:paraId="7EE10F15">
            <w:pPr>
              <w:spacing w:line="333" w:lineRule="auto"/>
              <w:rPr>
                <w:rFonts w:ascii="Arial"/>
                <w:sz w:val="21"/>
              </w:rPr>
            </w:pPr>
          </w:p>
          <w:p w14:paraId="0D3BC1A8">
            <w:pPr>
              <w:spacing w:before="61" w:line="229" w:lineRule="auto"/>
              <w:ind w:left="188"/>
              <w:rPr>
                <w:rFonts w:ascii="等线" w:hAnsi="等线" w:eastAsia="等线" w:cs="等线"/>
                <w:sz w:val="18"/>
                <w:szCs w:val="18"/>
              </w:rPr>
            </w:pPr>
            <w:r>
              <w:rPr>
                <w:rFonts w:ascii="等线" w:hAnsi="等线" w:eastAsia="等线" w:cs="等线"/>
                <w:sz w:val="18"/>
                <w:szCs w:val="18"/>
              </w:rPr>
              <w:t>钾</w:t>
            </w:r>
          </w:p>
        </w:tc>
        <w:tc>
          <w:tcPr>
            <w:tcW w:w="533" w:type="dxa"/>
            <w:tcBorders>
              <w:top w:val="single" w:color="000000" w:sz="12" w:space="0"/>
            </w:tcBorders>
            <w:vAlign w:val="top"/>
          </w:tcPr>
          <w:p w14:paraId="6F0E26C9">
            <w:pPr>
              <w:spacing w:line="334" w:lineRule="auto"/>
              <w:rPr>
                <w:rFonts w:ascii="Arial"/>
                <w:sz w:val="21"/>
              </w:rPr>
            </w:pPr>
          </w:p>
          <w:p w14:paraId="24FBCC44">
            <w:pPr>
              <w:spacing w:before="61" w:line="229" w:lineRule="auto"/>
              <w:ind w:left="191"/>
              <w:rPr>
                <w:rFonts w:ascii="等线" w:hAnsi="等线" w:eastAsia="等线" w:cs="等线"/>
                <w:sz w:val="18"/>
                <w:szCs w:val="18"/>
              </w:rPr>
            </w:pPr>
            <w:r>
              <w:rPr>
                <w:rFonts w:ascii="等线" w:hAnsi="等线" w:eastAsia="等线" w:cs="等线"/>
                <w:sz w:val="18"/>
                <w:szCs w:val="18"/>
              </w:rPr>
              <w:t>钠</w:t>
            </w:r>
          </w:p>
        </w:tc>
        <w:tc>
          <w:tcPr>
            <w:tcW w:w="533" w:type="dxa"/>
            <w:tcBorders>
              <w:top w:val="single" w:color="000000" w:sz="12" w:space="0"/>
            </w:tcBorders>
            <w:vAlign w:val="top"/>
          </w:tcPr>
          <w:p w14:paraId="03528AA6">
            <w:pPr>
              <w:spacing w:line="333" w:lineRule="auto"/>
              <w:rPr>
                <w:rFonts w:ascii="Arial"/>
                <w:sz w:val="21"/>
              </w:rPr>
            </w:pPr>
          </w:p>
          <w:p w14:paraId="2409A947">
            <w:pPr>
              <w:spacing w:before="61" w:line="229" w:lineRule="auto"/>
              <w:ind w:left="190"/>
              <w:rPr>
                <w:rFonts w:ascii="等线" w:hAnsi="等线" w:eastAsia="等线" w:cs="等线"/>
                <w:sz w:val="18"/>
                <w:szCs w:val="18"/>
              </w:rPr>
            </w:pPr>
            <w:r>
              <w:rPr>
                <w:rFonts w:ascii="等线" w:hAnsi="等线" w:eastAsia="等线" w:cs="等线"/>
                <w:sz w:val="18"/>
                <w:szCs w:val="18"/>
              </w:rPr>
              <w:t>钙</w:t>
            </w:r>
          </w:p>
        </w:tc>
        <w:tc>
          <w:tcPr>
            <w:tcW w:w="524" w:type="dxa"/>
            <w:tcBorders>
              <w:top w:val="single" w:color="000000" w:sz="12" w:space="0"/>
              <w:right w:val="single" w:color="000000" w:sz="12" w:space="0"/>
            </w:tcBorders>
            <w:vAlign w:val="top"/>
          </w:tcPr>
          <w:p w14:paraId="26C81A80">
            <w:pPr>
              <w:spacing w:line="334" w:lineRule="auto"/>
              <w:rPr>
                <w:rFonts w:ascii="Arial"/>
                <w:sz w:val="21"/>
              </w:rPr>
            </w:pPr>
          </w:p>
          <w:p w14:paraId="32AB72D1">
            <w:pPr>
              <w:spacing w:before="61" w:line="225" w:lineRule="auto"/>
              <w:ind w:left="175"/>
              <w:rPr>
                <w:rFonts w:ascii="等线" w:hAnsi="等线" w:eastAsia="等线" w:cs="等线"/>
                <w:sz w:val="18"/>
                <w:szCs w:val="18"/>
              </w:rPr>
            </w:pPr>
            <w:r>
              <w:rPr>
                <w:rFonts w:ascii="等线" w:hAnsi="等线" w:eastAsia="等线" w:cs="等线"/>
                <w:sz w:val="18"/>
                <w:szCs w:val="18"/>
              </w:rPr>
              <w:t>镁</w:t>
            </w:r>
          </w:p>
        </w:tc>
      </w:tr>
      <w:tr w14:paraId="44FCA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restart"/>
            <w:tcBorders>
              <w:left w:val="single" w:color="000000" w:sz="12" w:space="0"/>
              <w:bottom w:val="nil"/>
            </w:tcBorders>
            <w:vAlign w:val="top"/>
          </w:tcPr>
          <w:p w14:paraId="22CEA550">
            <w:pPr>
              <w:spacing w:line="252" w:lineRule="auto"/>
              <w:rPr>
                <w:rFonts w:ascii="Arial"/>
                <w:sz w:val="21"/>
              </w:rPr>
            </w:pPr>
          </w:p>
          <w:p w14:paraId="04814A7D">
            <w:pPr>
              <w:spacing w:line="253" w:lineRule="auto"/>
              <w:rPr>
                <w:rFonts w:ascii="Arial"/>
                <w:sz w:val="21"/>
              </w:rPr>
            </w:pPr>
          </w:p>
          <w:p w14:paraId="37279462">
            <w:pPr>
              <w:spacing w:line="253" w:lineRule="auto"/>
              <w:rPr>
                <w:rFonts w:ascii="Arial"/>
                <w:sz w:val="21"/>
              </w:rPr>
            </w:pPr>
          </w:p>
          <w:p w14:paraId="68040DC4">
            <w:pPr>
              <w:spacing w:line="253" w:lineRule="auto"/>
              <w:rPr>
                <w:rFonts w:ascii="Arial"/>
                <w:sz w:val="21"/>
              </w:rPr>
            </w:pPr>
          </w:p>
          <w:p w14:paraId="7FE1D701">
            <w:pPr>
              <w:spacing w:line="253" w:lineRule="auto"/>
              <w:rPr>
                <w:rFonts w:ascii="Arial"/>
                <w:sz w:val="21"/>
              </w:rPr>
            </w:pPr>
          </w:p>
          <w:p w14:paraId="357B965A">
            <w:pPr>
              <w:spacing w:line="253" w:lineRule="auto"/>
              <w:rPr>
                <w:rFonts w:ascii="Arial"/>
                <w:sz w:val="21"/>
              </w:rPr>
            </w:pPr>
          </w:p>
          <w:p w14:paraId="64474DC2">
            <w:pPr>
              <w:spacing w:before="61" w:line="245" w:lineRule="auto"/>
              <w:ind w:left="16" w:right="27" w:firstLine="11"/>
              <w:rPr>
                <w:rFonts w:ascii="等线" w:hAnsi="等线" w:eastAsia="等线" w:cs="等线"/>
                <w:sz w:val="18"/>
                <w:szCs w:val="18"/>
              </w:rPr>
            </w:pPr>
            <w:r>
              <w:rPr>
                <w:rFonts w:ascii="等线" w:hAnsi="等线" w:eastAsia="等线" w:cs="等线"/>
                <w:spacing w:val="-9"/>
                <w:sz w:val="18"/>
                <w:szCs w:val="18"/>
              </w:rPr>
              <w:t>响水</w:t>
            </w:r>
            <w:r>
              <w:rPr>
                <w:rFonts w:ascii="等线" w:hAnsi="等线" w:eastAsia="等线" w:cs="等线"/>
                <w:spacing w:val="-3"/>
                <w:sz w:val="18"/>
                <w:szCs w:val="18"/>
              </w:rPr>
              <w:t>街村</w:t>
            </w:r>
          </w:p>
        </w:tc>
        <w:tc>
          <w:tcPr>
            <w:tcW w:w="245" w:type="dxa"/>
            <w:vMerge w:val="restart"/>
            <w:tcBorders>
              <w:bottom w:val="nil"/>
            </w:tcBorders>
            <w:vAlign w:val="top"/>
          </w:tcPr>
          <w:p w14:paraId="2635DD88">
            <w:pPr>
              <w:pStyle w:val="6"/>
              <w:spacing w:before="137" w:line="226" w:lineRule="auto"/>
              <w:ind w:left="78"/>
              <w:rPr>
                <w:sz w:val="18"/>
                <w:szCs w:val="18"/>
              </w:rPr>
            </w:pPr>
            <w:r>
              <w:rPr>
                <w:sz w:val="18"/>
                <w:szCs w:val="18"/>
              </w:rPr>
              <w:t>1</w:t>
            </w:r>
          </w:p>
          <w:p w14:paraId="4CB426C7">
            <w:pPr>
              <w:spacing w:line="226" w:lineRule="auto"/>
              <w:ind w:left="19"/>
              <w:rPr>
                <w:rFonts w:ascii="等线" w:hAnsi="等线" w:eastAsia="等线" w:cs="等线"/>
                <w:sz w:val="18"/>
                <w:szCs w:val="18"/>
              </w:rPr>
            </w:pPr>
            <w:r>
              <w:rPr>
                <w:rFonts w:ascii="等线" w:hAnsi="等线" w:eastAsia="等线" w:cs="等线"/>
                <w:sz w:val="18"/>
                <w:szCs w:val="18"/>
              </w:rPr>
              <w:t>季</w:t>
            </w:r>
          </w:p>
          <w:p w14:paraId="3C42AAEB">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461D2EBF">
            <w:pPr>
              <w:pStyle w:val="6"/>
              <w:spacing w:before="78" w:line="232" w:lineRule="auto"/>
              <w:ind w:left="83"/>
              <w:rPr>
                <w:sz w:val="18"/>
                <w:szCs w:val="18"/>
              </w:rPr>
            </w:pPr>
            <w:r>
              <w:rPr>
                <w:spacing w:val="-1"/>
                <w:sz w:val="18"/>
                <w:szCs w:val="18"/>
              </w:rPr>
              <w:t>2019/1/15</w:t>
            </w:r>
          </w:p>
        </w:tc>
        <w:tc>
          <w:tcPr>
            <w:tcW w:w="606" w:type="dxa"/>
            <w:vAlign w:val="top"/>
          </w:tcPr>
          <w:p w14:paraId="26A217E3">
            <w:pPr>
              <w:pStyle w:val="6"/>
              <w:spacing w:before="78" w:line="232" w:lineRule="auto"/>
              <w:ind w:left="133"/>
              <w:rPr>
                <w:sz w:val="18"/>
                <w:szCs w:val="18"/>
              </w:rPr>
            </w:pPr>
            <w:r>
              <w:rPr>
                <w:spacing w:val="-2"/>
                <w:sz w:val="18"/>
                <w:szCs w:val="18"/>
              </w:rPr>
              <w:t>6.50</w:t>
            </w:r>
          </w:p>
        </w:tc>
        <w:tc>
          <w:tcPr>
            <w:tcW w:w="606" w:type="dxa"/>
            <w:vAlign w:val="top"/>
          </w:tcPr>
          <w:p w14:paraId="13E084A2">
            <w:pPr>
              <w:pStyle w:val="6"/>
              <w:spacing w:before="78" w:line="235" w:lineRule="auto"/>
              <w:ind w:left="153"/>
              <w:rPr>
                <w:sz w:val="18"/>
                <w:szCs w:val="18"/>
              </w:rPr>
            </w:pPr>
            <w:r>
              <w:rPr>
                <w:spacing w:val="-1"/>
                <w:sz w:val="18"/>
                <w:szCs w:val="18"/>
              </w:rPr>
              <w:t>212</w:t>
            </w:r>
          </w:p>
        </w:tc>
        <w:tc>
          <w:tcPr>
            <w:tcW w:w="606" w:type="dxa"/>
            <w:vAlign w:val="top"/>
          </w:tcPr>
          <w:p w14:paraId="5DDC81B3">
            <w:pPr>
              <w:pStyle w:val="6"/>
              <w:spacing w:before="79" w:line="232" w:lineRule="auto"/>
              <w:ind w:left="158"/>
              <w:rPr>
                <w:sz w:val="18"/>
                <w:szCs w:val="18"/>
              </w:rPr>
            </w:pPr>
            <w:r>
              <w:rPr>
                <w:spacing w:val="-2"/>
                <w:sz w:val="18"/>
                <w:szCs w:val="18"/>
              </w:rPr>
              <w:t>385</w:t>
            </w:r>
          </w:p>
        </w:tc>
        <w:tc>
          <w:tcPr>
            <w:tcW w:w="606" w:type="dxa"/>
            <w:vAlign w:val="top"/>
          </w:tcPr>
          <w:p w14:paraId="67C5E44B">
            <w:pPr>
              <w:pStyle w:val="6"/>
              <w:spacing w:before="78" w:line="232" w:lineRule="auto"/>
              <w:ind w:left="206"/>
              <w:rPr>
                <w:sz w:val="18"/>
                <w:szCs w:val="18"/>
              </w:rPr>
            </w:pPr>
            <w:r>
              <w:rPr>
                <w:spacing w:val="-3"/>
                <w:sz w:val="18"/>
                <w:szCs w:val="18"/>
              </w:rPr>
              <w:t>89</w:t>
            </w:r>
          </w:p>
        </w:tc>
        <w:tc>
          <w:tcPr>
            <w:tcW w:w="606" w:type="dxa"/>
            <w:vAlign w:val="top"/>
          </w:tcPr>
          <w:p w14:paraId="0D0B3160">
            <w:pPr>
              <w:pStyle w:val="6"/>
              <w:spacing w:before="79" w:line="232" w:lineRule="auto"/>
              <w:ind w:left="200"/>
              <w:rPr>
                <w:sz w:val="18"/>
                <w:szCs w:val="18"/>
              </w:rPr>
            </w:pPr>
            <w:r>
              <w:rPr>
                <w:spacing w:val="-1"/>
                <w:sz w:val="18"/>
                <w:szCs w:val="18"/>
              </w:rPr>
              <w:t>25</w:t>
            </w:r>
          </w:p>
        </w:tc>
        <w:tc>
          <w:tcPr>
            <w:tcW w:w="606" w:type="dxa"/>
            <w:vAlign w:val="top"/>
          </w:tcPr>
          <w:p w14:paraId="49CCA48C">
            <w:pPr>
              <w:pStyle w:val="6"/>
              <w:spacing w:before="78" w:line="232" w:lineRule="auto"/>
              <w:ind w:left="137"/>
              <w:rPr>
                <w:sz w:val="18"/>
                <w:szCs w:val="18"/>
              </w:rPr>
            </w:pPr>
            <w:r>
              <w:rPr>
                <w:spacing w:val="-2"/>
                <w:sz w:val="18"/>
                <w:szCs w:val="18"/>
              </w:rPr>
              <w:t>0.11</w:t>
            </w:r>
          </w:p>
        </w:tc>
        <w:tc>
          <w:tcPr>
            <w:tcW w:w="605" w:type="dxa"/>
            <w:vAlign w:val="top"/>
          </w:tcPr>
          <w:p w14:paraId="3774CE7B">
            <w:pPr>
              <w:pStyle w:val="6"/>
              <w:spacing w:before="78" w:line="232" w:lineRule="auto"/>
              <w:ind w:left="138"/>
              <w:rPr>
                <w:sz w:val="18"/>
                <w:szCs w:val="18"/>
              </w:rPr>
            </w:pPr>
            <w:r>
              <w:rPr>
                <w:spacing w:val="-2"/>
                <w:sz w:val="18"/>
                <w:szCs w:val="18"/>
              </w:rPr>
              <w:t>0.10</w:t>
            </w:r>
          </w:p>
        </w:tc>
        <w:tc>
          <w:tcPr>
            <w:tcW w:w="563" w:type="dxa"/>
            <w:vAlign w:val="top"/>
          </w:tcPr>
          <w:p w14:paraId="66463787">
            <w:pPr>
              <w:pStyle w:val="6"/>
              <w:spacing w:before="78" w:line="232" w:lineRule="auto"/>
              <w:ind w:left="63"/>
              <w:rPr>
                <w:sz w:val="18"/>
                <w:szCs w:val="18"/>
              </w:rPr>
            </w:pPr>
            <w:r>
              <w:rPr>
                <w:spacing w:val="-2"/>
                <w:sz w:val="18"/>
                <w:szCs w:val="18"/>
              </w:rPr>
              <w:t>0.01L</w:t>
            </w:r>
          </w:p>
        </w:tc>
        <w:tc>
          <w:tcPr>
            <w:tcW w:w="562" w:type="dxa"/>
            <w:vAlign w:val="top"/>
          </w:tcPr>
          <w:p w14:paraId="62D8B359">
            <w:pPr>
              <w:pStyle w:val="6"/>
              <w:spacing w:before="78" w:line="232" w:lineRule="auto"/>
              <w:ind w:left="74"/>
              <w:rPr>
                <w:sz w:val="18"/>
                <w:szCs w:val="18"/>
              </w:rPr>
            </w:pPr>
            <w:r>
              <w:rPr>
                <w:spacing w:val="-2"/>
                <w:sz w:val="18"/>
                <w:szCs w:val="18"/>
              </w:rPr>
              <w:t>0.048</w:t>
            </w:r>
          </w:p>
        </w:tc>
        <w:tc>
          <w:tcPr>
            <w:tcW w:w="696" w:type="dxa"/>
            <w:vAlign w:val="top"/>
          </w:tcPr>
          <w:p w14:paraId="0F16E698">
            <w:pPr>
              <w:pStyle w:val="6"/>
              <w:spacing w:before="78" w:line="232" w:lineRule="auto"/>
              <w:ind w:left="41"/>
              <w:rPr>
                <w:sz w:val="18"/>
                <w:szCs w:val="18"/>
              </w:rPr>
            </w:pPr>
            <w:r>
              <w:rPr>
                <w:spacing w:val="-1"/>
                <w:sz w:val="18"/>
                <w:szCs w:val="18"/>
              </w:rPr>
              <w:t>0.0003L</w:t>
            </w:r>
          </w:p>
        </w:tc>
        <w:tc>
          <w:tcPr>
            <w:tcW w:w="605" w:type="dxa"/>
            <w:vAlign w:val="top"/>
          </w:tcPr>
          <w:p w14:paraId="7B78936F">
            <w:pPr>
              <w:pStyle w:val="6"/>
              <w:spacing w:before="78" w:line="232" w:lineRule="auto"/>
              <w:ind w:left="87"/>
              <w:rPr>
                <w:sz w:val="18"/>
                <w:szCs w:val="18"/>
              </w:rPr>
            </w:pPr>
            <w:r>
              <w:rPr>
                <w:spacing w:val="-2"/>
                <w:sz w:val="18"/>
                <w:szCs w:val="18"/>
              </w:rPr>
              <w:t>0.05L</w:t>
            </w:r>
          </w:p>
        </w:tc>
        <w:tc>
          <w:tcPr>
            <w:tcW w:w="582" w:type="dxa"/>
            <w:vAlign w:val="top"/>
          </w:tcPr>
          <w:p w14:paraId="6F8E58FA">
            <w:pPr>
              <w:pStyle w:val="6"/>
              <w:spacing w:before="78" w:line="232" w:lineRule="auto"/>
              <w:ind w:left="132"/>
              <w:rPr>
                <w:sz w:val="18"/>
                <w:szCs w:val="18"/>
              </w:rPr>
            </w:pPr>
            <w:r>
              <w:rPr>
                <w:spacing w:val="-2"/>
                <w:sz w:val="18"/>
                <w:szCs w:val="18"/>
              </w:rPr>
              <w:t>0.02</w:t>
            </w:r>
          </w:p>
        </w:tc>
        <w:tc>
          <w:tcPr>
            <w:tcW w:w="583" w:type="dxa"/>
            <w:vAlign w:val="top"/>
          </w:tcPr>
          <w:p w14:paraId="4EDE2E04">
            <w:pPr>
              <w:pStyle w:val="6"/>
              <w:spacing w:before="78" w:line="232" w:lineRule="auto"/>
              <w:ind w:left="133"/>
              <w:rPr>
                <w:sz w:val="18"/>
                <w:szCs w:val="18"/>
              </w:rPr>
            </w:pPr>
            <w:r>
              <w:rPr>
                <w:spacing w:val="-2"/>
                <w:sz w:val="18"/>
                <w:szCs w:val="18"/>
              </w:rPr>
              <w:t>0.50</w:t>
            </w:r>
          </w:p>
        </w:tc>
        <w:tc>
          <w:tcPr>
            <w:tcW w:w="582" w:type="dxa"/>
            <w:vAlign w:val="top"/>
          </w:tcPr>
          <w:p w14:paraId="73EE0725">
            <w:pPr>
              <w:pStyle w:val="6"/>
              <w:spacing w:before="78" w:line="232" w:lineRule="auto"/>
              <w:ind w:left="88"/>
              <w:rPr>
                <w:sz w:val="18"/>
                <w:szCs w:val="18"/>
              </w:rPr>
            </w:pPr>
            <w:r>
              <w:rPr>
                <w:spacing w:val="-2"/>
                <w:sz w:val="18"/>
                <w:szCs w:val="18"/>
              </w:rPr>
              <w:t>0.004</w:t>
            </w:r>
          </w:p>
        </w:tc>
        <w:tc>
          <w:tcPr>
            <w:tcW w:w="582" w:type="dxa"/>
            <w:vAlign w:val="top"/>
          </w:tcPr>
          <w:p w14:paraId="0A0A9CCA">
            <w:pPr>
              <w:pStyle w:val="6"/>
              <w:spacing w:before="78" w:line="232" w:lineRule="auto"/>
              <w:ind w:left="34"/>
              <w:rPr>
                <w:sz w:val="18"/>
                <w:szCs w:val="18"/>
              </w:rPr>
            </w:pPr>
            <w:r>
              <w:rPr>
                <w:spacing w:val="-2"/>
                <w:sz w:val="18"/>
                <w:szCs w:val="18"/>
              </w:rPr>
              <w:t>0.025L</w:t>
            </w:r>
          </w:p>
        </w:tc>
        <w:tc>
          <w:tcPr>
            <w:tcW w:w="582" w:type="dxa"/>
            <w:vAlign w:val="top"/>
          </w:tcPr>
          <w:p w14:paraId="754D96EA">
            <w:pPr>
              <w:pStyle w:val="6"/>
              <w:spacing w:before="78" w:line="232" w:lineRule="auto"/>
              <w:ind w:left="80"/>
              <w:rPr>
                <w:sz w:val="18"/>
                <w:szCs w:val="18"/>
              </w:rPr>
            </w:pPr>
            <w:r>
              <w:rPr>
                <w:spacing w:val="-2"/>
                <w:sz w:val="18"/>
                <w:szCs w:val="18"/>
              </w:rPr>
              <w:t>0.05L</w:t>
            </w:r>
          </w:p>
        </w:tc>
        <w:tc>
          <w:tcPr>
            <w:tcW w:w="581" w:type="dxa"/>
            <w:vAlign w:val="top"/>
          </w:tcPr>
          <w:p w14:paraId="66A1774C">
            <w:pPr>
              <w:pStyle w:val="6"/>
              <w:spacing w:before="78" w:line="232" w:lineRule="auto"/>
              <w:ind w:left="37"/>
              <w:rPr>
                <w:sz w:val="18"/>
                <w:szCs w:val="18"/>
              </w:rPr>
            </w:pPr>
            <w:r>
              <w:rPr>
                <w:spacing w:val="-2"/>
                <w:sz w:val="18"/>
                <w:szCs w:val="18"/>
              </w:rPr>
              <w:t>0.004L</w:t>
            </w:r>
          </w:p>
        </w:tc>
        <w:tc>
          <w:tcPr>
            <w:tcW w:w="851" w:type="dxa"/>
            <w:vAlign w:val="top"/>
          </w:tcPr>
          <w:p w14:paraId="5D72BFC6">
            <w:pPr>
              <w:pStyle w:val="6"/>
              <w:spacing w:before="78" w:line="232" w:lineRule="auto"/>
              <w:ind w:left="139"/>
              <w:rPr>
                <w:sz w:val="18"/>
                <w:szCs w:val="18"/>
              </w:rPr>
            </w:pPr>
            <w:r>
              <w:rPr>
                <w:spacing w:val="-1"/>
                <w:sz w:val="18"/>
                <w:szCs w:val="18"/>
              </w:rPr>
              <w:t>0.00013</w:t>
            </w:r>
          </w:p>
        </w:tc>
        <w:tc>
          <w:tcPr>
            <w:tcW w:w="644" w:type="dxa"/>
            <w:vAlign w:val="top"/>
          </w:tcPr>
          <w:p w14:paraId="11CCC819">
            <w:pPr>
              <w:pStyle w:val="6"/>
              <w:spacing w:before="78" w:line="232" w:lineRule="auto"/>
              <w:ind w:left="81"/>
              <w:rPr>
                <w:sz w:val="18"/>
                <w:szCs w:val="18"/>
              </w:rPr>
            </w:pPr>
            <w:r>
              <w:rPr>
                <w:spacing w:val="-2"/>
                <w:sz w:val="18"/>
                <w:szCs w:val="18"/>
              </w:rPr>
              <w:t>0.0034</w:t>
            </w:r>
          </w:p>
        </w:tc>
        <w:tc>
          <w:tcPr>
            <w:tcW w:w="639" w:type="dxa"/>
            <w:vAlign w:val="top"/>
          </w:tcPr>
          <w:p w14:paraId="00902BD1">
            <w:pPr>
              <w:pStyle w:val="6"/>
              <w:spacing w:before="78" w:line="232" w:lineRule="auto"/>
              <w:ind w:left="78"/>
              <w:rPr>
                <w:sz w:val="18"/>
                <w:szCs w:val="18"/>
              </w:rPr>
            </w:pPr>
            <w:r>
              <w:rPr>
                <w:spacing w:val="-2"/>
                <w:sz w:val="18"/>
                <w:szCs w:val="18"/>
              </w:rPr>
              <w:t>0.0013</w:t>
            </w:r>
          </w:p>
        </w:tc>
        <w:tc>
          <w:tcPr>
            <w:tcW w:w="640" w:type="dxa"/>
            <w:vAlign w:val="top"/>
          </w:tcPr>
          <w:p w14:paraId="12D07674">
            <w:pPr>
              <w:pStyle w:val="6"/>
              <w:spacing w:before="78" w:line="232" w:lineRule="auto"/>
              <w:ind w:left="70"/>
              <w:rPr>
                <w:sz w:val="18"/>
                <w:szCs w:val="18"/>
              </w:rPr>
            </w:pPr>
            <w:r>
              <w:rPr>
                <w:spacing w:val="-2"/>
                <w:sz w:val="18"/>
                <w:szCs w:val="18"/>
              </w:rPr>
              <w:t>0.001L</w:t>
            </w:r>
          </w:p>
        </w:tc>
        <w:tc>
          <w:tcPr>
            <w:tcW w:w="639" w:type="dxa"/>
            <w:vAlign w:val="top"/>
          </w:tcPr>
          <w:p w14:paraId="159EE871">
            <w:pPr>
              <w:pStyle w:val="6"/>
              <w:spacing w:before="78" w:line="232" w:lineRule="auto"/>
              <w:ind w:left="125"/>
              <w:rPr>
                <w:sz w:val="18"/>
                <w:szCs w:val="18"/>
              </w:rPr>
            </w:pPr>
            <w:r>
              <w:rPr>
                <w:spacing w:val="-2"/>
                <w:sz w:val="18"/>
                <w:szCs w:val="18"/>
              </w:rPr>
              <w:t>0.004</w:t>
            </w:r>
          </w:p>
        </w:tc>
        <w:tc>
          <w:tcPr>
            <w:tcW w:w="639" w:type="dxa"/>
            <w:vAlign w:val="top"/>
          </w:tcPr>
          <w:p w14:paraId="55F728E8">
            <w:pPr>
              <w:pStyle w:val="6"/>
              <w:spacing w:before="78" w:line="232" w:lineRule="auto"/>
              <w:ind w:left="114"/>
              <w:rPr>
                <w:sz w:val="18"/>
                <w:szCs w:val="18"/>
              </w:rPr>
            </w:pPr>
            <w:r>
              <w:rPr>
                <w:spacing w:val="-2"/>
                <w:sz w:val="18"/>
                <w:szCs w:val="18"/>
              </w:rPr>
              <w:t>0.01L</w:t>
            </w:r>
          </w:p>
        </w:tc>
        <w:tc>
          <w:tcPr>
            <w:tcW w:w="640" w:type="dxa"/>
            <w:vAlign w:val="top"/>
          </w:tcPr>
          <w:p w14:paraId="6C8CC5BF">
            <w:pPr>
              <w:pStyle w:val="6"/>
              <w:spacing w:before="78" w:line="232" w:lineRule="auto"/>
              <w:ind w:left="127"/>
              <w:rPr>
                <w:sz w:val="18"/>
                <w:szCs w:val="18"/>
              </w:rPr>
            </w:pPr>
            <w:r>
              <w:rPr>
                <w:spacing w:val="-2"/>
                <w:sz w:val="18"/>
                <w:szCs w:val="18"/>
              </w:rPr>
              <w:t>0.051</w:t>
            </w:r>
          </w:p>
        </w:tc>
        <w:tc>
          <w:tcPr>
            <w:tcW w:w="827" w:type="dxa"/>
            <w:vAlign w:val="top"/>
          </w:tcPr>
          <w:p w14:paraId="3DC05C60">
            <w:pPr>
              <w:pStyle w:val="6"/>
              <w:spacing w:before="78" w:line="232" w:lineRule="auto"/>
              <w:ind w:left="391"/>
              <w:rPr>
                <w:sz w:val="18"/>
                <w:szCs w:val="18"/>
              </w:rPr>
            </w:pPr>
            <w:r>
              <w:rPr>
                <w:sz w:val="18"/>
                <w:szCs w:val="18"/>
              </w:rPr>
              <w:t>/</w:t>
            </w:r>
          </w:p>
        </w:tc>
        <w:tc>
          <w:tcPr>
            <w:tcW w:w="457" w:type="dxa"/>
            <w:vAlign w:val="top"/>
          </w:tcPr>
          <w:p w14:paraId="2147B052">
            <w:pPr>
              <w:pStyle w:val="6"/>
              <w:spacing w:before="79" w:line="232" w:lineRule="auto"/>
              <w:ind w:left="99"/>
              <w:rPr>
                <w:sz w:val="18"/>
                <w:szCs w:val="18"/>
              </w:rPr>
            </w:pPr>
            <w:r>
              <w:rPr>
                <w:spacing w:val="-1"/>
                <w:sz w:val="18"/>
                <w:szCs w:val="18"/>
              </w:rPr>
              <w:t>413</w:t>
            </w:r>
          </w:p>
        </w:tc>
        <w:tc>
          <w:tcPr>
            <w:tcW w:w="533" w:type="dxa"/>
            <w:vAlign w:val="top"/>
          </w:tcPr>
          <w:p w14:paraId="1AB74A30">
            <w:pPr>
              <w:pStyle w:val="6"/>
              <w:spacing w:before="78" w:line="232" w:lineRule="auto"/>
              <w:ind w:left="109"/>
              <w:rPr>
                <w:sz w:val="18"/>
                <w:szCs w:val="18"/>
              </w:rPr>
            </w:pPr>
            <w:r>
              <w:rPr>
                <w:spacing w:val="-2"/>
                <w:sz w:val="18"/>
                <w:szCs w:val="18"/>
              </w:rPr>
              <w:t>0.5L</w:t>
            </w:r>
          </w:p>
        </w:tc>
        <w:tc>
          <w:tcPr>
            <w:tcW w:w="533" w:type="dxa"/>
            <w:vAlign w:val="top"/>
          </w:tcPr>
          <w:p w14:paraId="2E25F296">
            <w:pPr>
              <w:pStyle w:val="6"/>
              <w:spacing w:before="78" w:line="232" w:lineRule="auto"/>
              <w:ind w:left="135"/>
              <w:rPr>
                <w:sz w:val="18"/>
                <w:szCs w:val="18"/>
              </w:rPr>
            </w:pPr>
            <w:r>
              <w:rPr>
                <w:spacing w:val="-6"/>
                <w:sz w:val="18"/>
                <w:szCs w:val="18"/>
              </w:rPr>
              <w:t>1.17</w:t>
            </w:r>
          </w:p>
        </w:tc>
        <w:tc>
          <w:tcPr>
            <w:tcW w:w="533" w:type="dxa"/>
            <w:vAlign w:val="top"/>
          </w:tcPr>
          <w:p w14:paraId="33267B8A">
            <w:pPr>
              <w:pStyle w:val="6"/>
              <w:spacing w:before="78" w:line="232" w:lineRule="auto"/>
              <w:ind w:left="124"/>
              <w:rPr>
                <w:sz w:val="18"/>
                <w:szCs w:val="18"/>
              </w:rPr>
            </w:pPr>
            <w:r>
              <w:rPr>
                <w:spacing w:val="-3"/>
                <w:sz w:val="18"/>
                <w:szCs w:val="18"/>
              </w:rPr>
              <w:t>50.5</w:t>
            </w:r>
          </w:p>
        </w:tc>
        <w:tc>
          <w:tcPr>
            <w:tcW w:w="533" w:type="dxa"/>
            <w:vAlign w:val="top"/>
          </w:tcPr>
          <w:p w14:paraId="278CE021">
            <w:pPr>
              <w:pStyle w:val="6"/>
              <w:spacing w:before="79" w:line="232" w:lineRule="auto"/>
              <w:ind w:left="159"/>
              <w:rPr>
                <w:sz w:val="18"/>
                <w:szCs w:val="18"/>
              </w:rPr>
            </w:pPr>
            <w:r>
              <w:rPr>
                <w:spacing w:val="-5"/>
                <w:sz w:val="18"/>
                <w:szCs w:val="18"/>
              </w:rPr>
              <w:t>156</w:t>
            </w:r>
          </w:p>
        </w:tc>
        <w:tc>
          <w:tcPr>
            <w:tcW w:w="524" w:type="dxa"/>
            <w:tcBorders>
              <w:right w:val="single" w:color="000000" w:sz="12" w:space="0"/>
            </w:tcBorders>
            <w:vAlign w:val="top"/>
          </w:tcPr>
          <w:p w14:paraId="56786873">
            <w:pPr>
              <w:pStyle w:val="6"/>
              <w:spacing w:before="78" w:line="232" w:lineRule="auto"/>
              <w:ind w:left="110"/>
              <w:rPr>
                <w:sz w:val="18"/>
                <w:szCs w:val="18"/>
              </w:rPr>
            </w:pPr>
            <w:r>
              <w:rPr>
                <w:spacing w:val="-3"/>
                <w:sz w:val="18"/>
                <w:szCs w:val="18"/>
              </w:rPr>
              <w:t>51.5</w:t>
            </w:r>
          </w:p>
        </w:tc>
      </w:tr>
      <w:tr w14:paraId="690D9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451879EC">
            <w:pPr>
              <w:rPr>
                <w:rFonts w:ascii="Arial"/>
                <w:sz w:val="21"/>
              </w:rPr>
            </w:pPr>
          </w:p>
        </w:tc>
        <w:tc>
          <w:tcPr>
            <w:tcW w:w="245" w:type="dxa"/>
            <w:vMerge w:val="continue"/>
            <w:tcBorders>
              <w:top w:val="nil"/>
              <w:bottom w:val="nil"/>
            </w:tcBorders>
            <w:vAlign w:val="top"/>
          </w:tcPr>
          <w:p w14:paraId="17AF0965">
            <w:pPr>
              <w:rPr>
                <w:rFonts w:ascii="Arial"/>
                <w:sz w:val="21"/>
              </w:rPr>
            </w:pPr>
          </w:p>
        </w:tc>
        <w:tc>
          <w:tcPr>
            <w:tcW w:w="929" w:type="dxa"/>
            <w:vAlign w:val="top"/>
          </w:tcPr>
          <w:p w14:paraId="323CC543">
            <w:pPr>
              <w:pStyle w:val="6"/>
              <w:spacing w:before="79" w:line="232" w:lineRule="auto"/>
              <w:ind w:left="83"/>
              <w:rPr>
                <w:sz w:val="18"/>
                <w:szCs w:val="18"/>
              </w:rPr>
            </w:pPr>
            <w:r>
              <w:rPr>
                <w:spacing w:val="-1"/>
                <w:sz w:val="18"/>
                <w:szCs w:val="18"/>
              </w:rPr>
              <w:t>2019/1/16</w:t>
            </w:r>
          </w:p>
        </w:tc>
        <w:tc>
          <w:tcPr>
            <w:tcW w:w="606" w:type="dxa"/>
            <w:vAlign w:val="top"/>
          </w:tcPr>
          <w:p w14:paraId="04F84B1D">
            <w:pPr>
              <w:pStyle w:val="6"/>
              <w:spacing w:before="79" w:line="232" w:lineRule="auto"/>
              <w:ind w:left="133"/>
              <w:rPr>
                <w:sz w:val="18"/>
                <w:szCs w:val="18"/>
              </w:rPr>
            </w:pPr>
            <w:r>
              <w:rPr>
                <w:spacing w:val="-2"/>
                <w:sz w:val="18"/>
                <w:szCs w:val="18"/>
              </w:rPr>
              <w:t>6.58</w:t>
            </w:r>
          </w:p>
        </w:tc>
        <w:tc>
          <w:tcPr>
            <w:tcW w:w="606" w:type="dxa"/>
            <w:vAlign w:val="top"/>
          </w:tcPr>
          <w:p w14:paraId="41340978">
            <w:pPr>
              <w:pStyle w:val="6"/>
              <w:spacing w:before="79" w:line="232" w:lineRule="auto"/>
              <w:ind w:left="171"/>
              <w:rPr>
                <w:sz w:val="18"/>
                <w:szCs w:val="18"/>
              </w:rPr>
            </w:pPr>
            <w:r>
              <w:rPr>
                <w:spacing w:val="-5"/>
                <w:sz w:val="18"/>
                <w:szCs w:val="18"/>
              </w:rPr>
              <w:t>196</w:t>
            </w:r>
          </w:p>
        </w:tc>
        <w:tc>
          <w:tcPr>
            <w:tcW w:w="606" w:type="dxa"/>
            <w:vAlign w:val="top"/>
          </w:tcPr>
          <w:p w14:paraId="2D7B70BA">
            <w:pPr>
              <w:pStyle w:val="6"/>
              <w:spacing w:before="79" w:line="232" w:lineRule="auto"/>
              <w:ind w:left="158"/>
              <w:rPr>
                <w:sz w:val="18"/>
                <w:szCs w:val="18"/>
              </w:rPr>
            </w:pPr>
            <w:r>
              <w:rPr>
                <w:spacing w:val="-2"/>
                <w:sz w:val="18"/>
                <w:szCs w:val="18"/>
              </w:rPr>
              <w:t>378</w:t>
            </w:r>
          </w:p>
        </w:tc>
        <w:tc>
          <w:tcPr>
            <w:tcW w:w="606" w:type="dxa"/>
            <w:vAlign w:val="top"/>
          </w:tcPr>
          <w:p w14:paraId="0019A6C6">
            <w:pPr>
              <w:pStyle w:val="6"/>
              <w:spacing w:before="79" w:line="232" w:lineRule="auto"/>
              <w:ind w:left="206"/>
              <w:rPr>
                <w:sz w:val="18"/>
                <w:szCs w:val="18"/>
              </w:rPr>
            </w:pPr>
            <w:r>
              <w:rPr>
                <w:spacing w:val="-3"/>
                <w:sz w:val="18"/>
                <w:szCs w:val="18"/>
              </w:rPr>
              <w:t>87</w:t>
            </w:r>
          </w:p>
        </w:tc>
        <w:tc>
          <w:tcPr>
            <w:tcW w:w="606" w:type="dxa"/>
            <w:vAlign w:val="top"/>
          </w:tcPr>
          <w:p w14:paraId="691CCAB5">
            <w:pPr>
              <w:pStyle w:val="6"/>
              <w:spacing w:before="78" w:line="235" w:lineRule="auto"/>
              <w:ind w:left="200"/>
              <w:rPr>
                <w:sz w:val="18"/>
                <w:szCs w:val="18"/>
              </w:rPr>
            </w:pPr>
            <w:r>
              <w:rPr>
                <w:spacing w:val="-1"/>
                <w:sz w:val="18"/>
                <w:szCs w:val="18"/>
              </w:rPr>
              <w:t>22</w:t>
            </w:r>
          </w:p>
        </w:tc>
        <w:tc>
          <w:tcPr>
            <w:tcW w:w="606" w:type="dxa"/>
            <w:vAlign w:val="top"/>
          </w:tcPr>
          <w:p w14:paraId="18288F78">
            <w:pPr>
              <w:pStyle w:val="6"/>
              <w:spacing w:before="79" w:line="232" w:lineRule="auto"/>
              <w:ind w:left="137"/>
              <w:rPr>
                <w:sz w:val="18"/>
                <w:szCs w:val="18"/>
              </w:rPr>
            </w:pPr>
            <w:r>
              <w:rPr>
                <w:spacing w:val="-2"/>
                <w:sz w:val="18"/>
                <w:szCs w:val="18"/>
              </w:rPr>
              <w:t>0.10</w:t>
            </w:r>
          </w:p>
        </w:tc>
        <w:tc>
          <w:tcPr>
            <w:tcW w:w="605" w:type="dxa"/>
            <w:vAlign w:val="top"/>
          </w:tcPr>
          <w:p w14:paraId="6F13FDED">
            <w:pPr>
              <w:pStyle w:val="6"/>
              <w:spacing w:before="79" w:line="232" w:lineRule="auto"/>
              <w:ind w:left="138"/>
              <w:rPr>
                <w:sz w:val="18"/>
                <w:szCs w:val="18"/>
              </w:rPr>
            </w:pPr>
            <w:r>
              <w:rPr>
                <w:spacing w:val="-2"/>
                <w:sz w:val="18"/>
                <w:szCs w:val="18"/>
              </w:rPr>
              <w:t>0.09</w:t>
            </w:r>
          </w:p>
        </w:tc>
        <w:tc>
          <w:tcPr>
            <w:tcW w:w="563" w:type="dxa"/>
            <w:vAlign w:val="top"/>
          </w:tcPr>
          <w:p w14:paraId="7B67BE88">
            <w:pPr>
              <w:pStyle w:val="6"/>
              <w:spacing w:before="79" w:line="232" w:lineRule="auto"/>
              <w:ind w:left="63"/>
              <w:rPr>
                <w:sz w:val="18"/>
                <w:szCs w:val="18"/>
              </w:rPr>
            </w:pPr>
            <w:r>
              <w:rPr>
                <w:spacing w:val="-2"/>
                <w:sz w:val="18"/>
                <w:szCs w:val="18"/>
              </w:rPr>
              <w:t>0.01L</w:t>
            </w:r>
          </w:p>
        </w:tc>
        <w:tc>
          <w:tcPr>
            <w:tcW w:w="562" w:type="dxa"/>
            <w:vAlign w:val="top"/>
          </w:tcPr>
          <w:p w14:paraId="733390A9">
            <w:pPr>
              <w:pStyle w:val="6"/>
              <w:spacing w:before="79" w:line="232" w:lineRule="auto"/>
              <w:ind w:left="74"/>
              <w:rPr>
                <w:sz w:val="18"/>
                <w:szCs w:val="18"/>
              </w:rPr>
            </w:pPr>
            <w:r>
              <w:rPr>
                <w:spacing w:val="-2"/>
                <w:sz w:val="18"/>
                <w:szCs w:val="18"/>
              </w:rPr>
              <w:t>0.051</w:t>
            </w:r>
          </w:p>
        </w:tc>
        <w:tc>
          <w:tcPr>
            <w:tcW w:w="696" w:type="dxa"/>
            <w:vAlign w:val="top"/>
          </w:tcPr>
          <w:p w14:paraId="7DC57F3F">
            <w:pPr>
              <w:pStyle w:val="6"/>
              <w:spacing w:before="79" w:line="232" w:lineRule="auto"/>
              <w:ind w:left="41"/>
              <w:rPr>
                <w:sz w:val="18"/>
                <w:szCs w:val="18"/>
              </w:rPr>
            </w:pPr>
            <w:r>
              <w:rPr>
                <w:spacing w:val="-1"/>
                <w:sz w:val="18"/>
                <w:szCs w:val="18"/>
              </w:rPr>
              <w:t>0.0003L</w:t>
            </w:r>
          </w:p>
        </w:tc>
        <w:tc>
          <w:tcPr>
            <w:tcW w:w="605" w:type="dxa"/>
            <w:vAlign w:val="top"/>
          </w:tcPr>
          <w:p w14:paraId="5EE74419">
            <w:pPr>
              <w:pStyle w:val="6"/>
              <w:spacing w:before="79" w:line="232" w:lineRule="auto"/>
              <w:ind w:left="87"/>
              <w:rPr>
                <w:sz w:val="18"/>
                <w:szCs w:val="18"/>
              </w:rPr>
            </w:pPr>
            <w:r>
              <w:rPr>
                <w:spacing w:val="-2"/>
                <w:sz w:val="18"/>
                <w:szCs w:val="18"/>
              </w:rPr>
              <w:t>0.05L</w:t>
            </w:r>
          </w:p>
        </w:tc>
        <w:tc>
          <w:tcPr>
            <w:tcW w:w="582" w:type="dxa"/>
            <w:vAlign w:val="top"/>
          </w:tcPr>
          <w:p w14:paraId="2CF614D3">
            <w:pPr>
              <w:pStyle w:val="6"/>
              <w:spacing w:before="79" w:line="232" w:lineRule="auto"/>
              <w:ind w:left="132"/>
              <w:rPr>
                <w:sz w:val="18"/>
                <w:szCs w:val="18"/>
              </w:rPr>
            </w:pPr>
            <w:r>
              <w:rPr>
                <w:spacing w:val="-2"/>
                <w:sz w:val="18"/>
                <w:szCs w:val="18"/>
              </w:rPr>
              <w:t>0.02</w:t>
            </w:r>
          </w:p>
        </w:tc>
        <w:tc>
          <w:tcPr>
            <w:tcW w:w="583" w:type="dxa"/>
            <w:vAlign w:val="top"/>
          </w:tcPr>
          <w:p w14:paraId="779B293D">
            <w:pPr>
              <w:pStyle w:val="6"/>
              <w:spacing w:before="79" w:line="232" w:lineRule="auto"/>
              <w:ind w:left="133"/>
              <w:rPr>
                <w:sz w:val="18"/>
                <w:szCs w:val="18"/>
              </w:rPr>
            </w:pPr>
            <w:r>
              <w:rPr>
                <w:spacing w:val="-2"/>
                <w:sz w:val="18"/>
                <w:szCs w:val="18"/>
              </w:rPr>
              <w:t>0.45</w:t>
            </w:r>
          </w:p>
        </w:tc>
        <w:tc>
          <w:tcPr>
            <w:tcW w:w="582" w:type="dxa"/>
            <w:vAlign w:val="top"/>
          </w:tcPr>
          <w:p w14:paraId="1F7321D7">
            <w:pPr>
              <w:pStyle w:val="6"/>
              <w:spacing w:before="79" w:line="232" w:lineRule="auto"/>
              <w:ind w:left="88"/>
              <w:rPr>
                <w:sz w:val="18"/>
                <w:szCs w:val="18"/>
              </w:rPr>
            </w:pPr>
            <w:r>
              <w:rPr>
                <w:spacing w:val="-2"/>
                <w:sz w:val="18"/>
                <w:szCs w:val="18"/>
              </w:rPr>
              <w:t>0.006</w:t>
            </w:r>
          </w:p>
        </w:tc>
        <w:tc>
          <w:tcPr>
            <w:tcW w:w="582" w:type="dxa"/>
            <w:vAlign w:val="top"/>
          </w:tcPr>
          <w:p w14:paraId="51912DEB">
            <w:pPr>
              <w:pStyle w:val="6"/>
              <w:spacing w:before="79" w:line="232" w:lineRule="auto"/>
              <w:ind w:left="34"/>
              <w:rPr>
                <w:sz w:val="18"/>
                <w:szCs w:val="18"/>
              </w:rPr>
            </w:pPr>
            <w:r>
              <w:rPr>
                <w:spacing w:val="-2"/>
                <w:sz w:val="18"/>
                <w:szCs w:val="18"/>
              </w:rPr>
              <w:t>0.025L</w:t>
            </w:r>
          </w:p>
        </w:tc>
        <w:tc>
          <w:tcPr>
            <w:tcW w:w="582" w:type="dxa"/>
            <w:vAlign w:val="top"/>
          </w:tcPr>
          <w:p w14:paraId="772635A6">
            <w:pPr>
              <w:pStyle w:val="6"/>
              <w:spacing w:before="79" w:line="232" w:lineRule="auto"/>
              <w:ind w:left="80"/>
              <w:rPr>
                <w:sz w:val="18"/>
                <w:szCs w:val="18"/>
              </w:rPr>
            </w:pPr>
            <w:r>
              <w:rPr>
                <w:spacing w:val="-2"/>
                <w:sz w:val="18"/>
                <w:szCs w:val="18"/>
              </w:rPr>
              <w:t>0.05L</w:t>
            </w:r>
          </w:p>
        </w:tc>
        <w:tc>
          <w:tcPr>
            <w:tcW w:w="581" w:type="dxa"/>
            <w:vAlign w:val="top"/>
          </w:tcPr>
          <w:p w14:paraId="7CF9F8CD">
            <w:pPr>
              <w:pStyle w:val="6"/>
              <w:spacing w:before="79" w:line="232" w:lineRule="auto"/>
              <w:ind w:left="37"/>
              <w:rPr>
                <w:sz w:val="18"/>
                <w:szCs w:val="18"/>
              </w:rPr>
            </w:pPr>
            <w:r>
              <w:rPr>
                <w:spacing w:val="-2"/>
                <w:sz w:val="18"/>
                <w:szCs w:val="18"/>
              </w:rPr>
              <w:t>0.004L</w:t>
            </w:r>
          </w:p>
        </w:tc>
        <w:tc>
          <w:tcPr>
            <w:tcW w:w="851" w:type="dxa"/>
            <w:vAlign w:val="top"/>
          </w:tcPr>
          <w:p w14:paraId="48F68399">
            <w:pPr>
              <w:pStyle w:val="6"/>
              <w:spacing w:before="79" w:line="232" w:lineRule="auto"/>
              <w:ind w:left="139"/>
              <w:rPr>
                <w:sz w:val="18"/>
                <w:szCs w:val="18"/>
              </w:rPr>
            </w:pPr>
            <w:r>
              <w:rPr>
                <w:spacing w:val="-1"/>
                <w:sz w:val="18"/>
                <w:szCs w:val="18"/>
              </w:rPr>
              <w:t>0.00012</w:t>
            </w:r>
          </w:p>
        </w:tc>
        <w:tc>
          <w:tcPr>
            <w:tcW w:w="644" w:type="dxa"/>
            <w:vAlign w:val="top"/>
          </w:tcPr>
          <w:p w14:paraId="59146BF2">
            <w:pPr>
              <w:pStyle w:val="6"/>
              <w:spacing w:before="79" w:line="232" w:lineRule="auto"/>
              <w:ind w:left="81"/>
              <w:rPr>
                <w:sz w:val="18"/>
                <w:szCs w:val="18"/>
              </w:rPr>
            </w:pPr>
            <w:r>
              <w:rPr>
                <w:spacing w:val="-2"/>
                <w:sz w:val="18"/>
                <w:szCs w:val="18"/>
              </w:rPr>
              <w:t>0.0032</w:t>
            </w:r>
          </w:p>
        </w:tc>
        <w:tc>
          <w:tcPr>
            <w:tcW w:w="639" w:type="dxa"/>
            <w:vAlign w:val="top"/>
          </w:tcPr>
          <w:p w14:paraId="5727D87F">
            <w:pPr>
              <w:pStyle w:val="6"/>
              <w:spacing w:before="79" w:line="232" w:lineRule="auto"/>
              <w:ind w:left="78"/>
              <w:rPr>
                <w:sz w:val="18"/>
                <w:szCs w:val="18"/>
              </w:rPr>
            </w:pPr>
            <w:r>
              <w:rPr>
                <w:spacing w:val="-2"/>
                <w:sz w:val="18"/>
                <w:szCs w:val="18"/>
              </w:rPr>
              <w:t>0.0012</w:t>
            </w:r>
          </w:p>
        </w:tc>
        <w:tc>
          <w:tcPr>
            <w:tcW w:w="640" w:type="dxa"/>
            <w:vAlign w:val="top"/>
          </w:tcPr>
          <w:p w14:paraId="6A59E90A">
            <w:pPr>
              <w:pStyle w:val="6"/>
              <w:spacing w:before="79" w:line="232" w:lineRule="auto"/>
              <w:ind w:left="70"/>
              <w:rPr>
                <w:sz w:val="18"/>
                <w:szCs w:val="18"/>
              </w:rPr>
            </w:pPr>
            <w:r>
              <w:rPr>
                <w:spacing w:val="-2"/>
                <w:sz w:val="18"/>
                <w:szCs w:val="18"/>
              </w:rPr>
              <w:t>0.001L</w:t>
            </w:r>
          </w:p>
        </w:tc>
        <w:tc>
          <w:tcPr>
            <w:tcW w:w="639" w:type="dxa"/>
            <w:vAlign w:val="top"/>
          </w:tcPr>
          <w:p w14:paraId="6CC9FFD6">
            <w:pPr>
              <w:pStyle w:val="6"/>
              <w:spacing w:before="79" w:line="232" w:lineRule="auto"/>
              <w:ind w:left="125"/>
              <w:rPr>
                <w:sz w:val="18"/>
                <w:szCs w:val="18"/>
              </w:rPr>
            </w:pPr>
            <w:r>
              <w:rPr>
                <w:spacing w:val="-2"/>
                <w:sz w:val="18"/>
                <w:szCs w:val="18"/>
              </w:rPr>
              <w:t>0.006</w:t>
            </w:r>
          </w:p>
        </w:tc>
        <w:tc>
          <w:tcPr>
            <w:tcW w:w="639" w:type="dxa"/>
            <w:vAlign w:val="top"/>
          </w:tcPr>
          <w:p w14:paraId="3678251A">
            <w:pPr>
              <w:pStyle w:val="6"/>
              <w:spacing w:before="79" w:line="232" w:lineRule="auto"/>
              <w:ind w:left="114"/>
              <w:rPr>
                <w:sz w:val="18"/>
                <w:szCs w:val="18"/>
              </w:rPr>
            </w:pPr>
            <w:r>
              <w:rPr>
                <w:spacing w:val="-2"/>
                <w:sz w:val="18"/>
                <w:szCs w:val="18"/>
              </w:rPr>
              <w:t>0.01L</w:t>
            </w:r>
          </w:p>
        </w:tc>
        <w:tc>
          <w:tcPr>
            <w:tcW w:w="640" w:type="dxa"/>
            <w:vAlign w:val="top"/>
          </w:tcPr>
          <w:p w14:paraId="4E076E04">
            <w:pPr>
              <w:pStyle w:val="6"/>
              <w:spacing w:before="79" w:line="232" w:lineRule="auto"/>
              <w:ind w:left="127"/>
              <w:rPr>
                <w:sz w:val="18"/>
                <w:szCs w:val="18"/>
              </w:rPr>
            </w:pPr>
            <w:r>
              <w:rPr>
                <w:spacing w:val="-2"/>
                <w:sz w:val="18"/>
                <w:szCs w:val="18"/>
              </w:rPr>
              <w:t>0.048</w:t>
            </w:r>
          </w:p>
        </w:tc>
        <w:tc>
          <w:tcPr>
            <w:tcW w:w="827" w:type="dxa"/>
            <w:vAlign w:val="top"/>
          </w:tcPr>
          <w:p w14:paraId="04207A59">
            <w:pPr>
              <w:pStyle w:val="6"/>
              <w:spacing w:before="79" w:line="232" w:lineRule="auto"/>
              <w:ind w:left="391"/>
              <w:rPr>
                <w:sz w:val="18"/>
                <w:szCs w:val="18"/>
              </w:rPr>
            </w:pPr>
            <w:r>
              <w:rPr>
                <w:sz w:val="18"/>
                <w:szCs w:val="18"/>
              </w:rPr>
              <w:t>/</w:t>
            </w:r>
          </w:p>
        </w:tc>
        <w:tc>
          <w:tcPr>
            <w:tcW w:w="457" w:type="dxa"/>
            <w:vAlign w:val="top"/>
          </w:tcPr>
          <w:p w14:paraId="11B5057D">
            <w:pPr>
              <w:pStyle w:val="6"/>
              <w:spacing w:before="79" w:line="232" w:lineRule="auto"/>
              <w:ind w:left="99"/>
              <w:rPr>
                <w:sz w:val="18"/>
                <w:szCs w:val="18"/>
              </w:rPr>
            </w:pPr>
            <w:r>
              <w:rPr>
                <w:spacing w:val="-1"/>
                <w:sz w:val="18"/>
                <w:szCs w:val="18"/>
              </w:rPr>
              <w:t>408</w:t>
            </w:r>
          </w:p>
        </w:tc>
        <w:tc>
          <w:tcPr>
            <w:tcW w:w="533" w:type="dxa"/>
            <w:vAlign w:val="top"/>
          </w:tcPr>
          <w:p w14:paraId="18EB4FD4">
            <w:pPr>
              <w:pStyle w:val="6"/>
              <w:spacing w:before="79" w:line="232" w:lineRule="auto"/>
              <w:ind w:left="109"/>
              <w:rPr>
                <w:sz w:val="18"/>
                <w:szCs w:val="18"/>
              </w:rPr>
            </w:pPr>
            <w:r>
              <w:rPr>
                <w:spacing w:val="-2"/>
                <w:sz w:val="18"/>
                <w:szCs w:val="18"/>
              </w:rPr>
              <w:t>0.5L</w:t>
            </w:r>
          </w:p>
        </w:tc>
        <w:tc>
          <w:tcPr>
            <w:tcW w:w="533" w:type="dxa"/>
            <w:vAlign w:val="top"/>
          </w:tcPr>
          <w:p w14:paraId="73117B11">
            <w:pPr>
              <w:pStyle w:val="6"/>
              <w:spacing w:before="79" w:line="232" w:lineRule="auto"/>
              <w:ind w:left="135"/>
              <w:rPr>
                <w:sz w:val="18"/>
                <w:szCs w:val="18"/>
              </w:rPr>
            </w:pPr>
            <w:r>
              <w:rPr>
                <w:spacing w:val="-6"/>
                <w:sz w:val="18"/>
                <w:szCs w:val="18"/>
              </w:rPr>
              <w:t>1.16</w:t>
            </w:r>
          </w:p>
        </w:tc>
        <w:tc>
          <w:tcPr>
            <w:tcW w:w="533" w:type="dxa"/>
            <w:vAlign w:val="top"/>
          </w:tcPr>
          <w:p w14:paraId="6952CFBF">
            <w:pPr>
              <w:pStyle w:val="6"/>
              <w:spacing w:before="79" w:line="232" w:lineRule="auto"/>
              <w:ind w:left="118"/>
              <w:rPr>
                <w:sz w:val="18"/>
                <w:szCs w:val="18"/>
              </w:rPr>
            </w:pPr>
            <w:r>
              <w:rPr>
                <w:spacing w:val="-1"/>
                <w:sz w:val="18"/>
                <w:szCs w:val="18"/>
              </w:rPr>
              <w:t>49.9</w:t>
            </w:r>
          </w:p>
        </w:tc>
        <w:tc>
          <w:tcPr>
            <w:tcW w:w="533" w:type="dxa"/>
            <w:vAlign w:val="top"/>
          </w:tcPr>
          <w:p w14:paraId="77025678">
            <w:pPr>
              <w:pStyle w:val="6"/>
              <w:spacing w:before="79" w:line="232" w:lineRule="auto"/>
              <w:ind w:left="159"/>
              <w:rPr>
                <w:sz w:val="18"/>
                <w:szCs w:val="18"/>
              </w:rPr>
            </w:pPr>
            <w:r>
              <w:rPr>
                <w:spacing w:val="-5"/>
                <w:sz w:val="18"/>
                <w:szCs w:val="18"/>
              </w:rPr>
              <w:t>168</w:t>
            </w:r>
          </w:p>
        </w:tc>
        <w:tc>
          <w:tcPr>
            <w:tcW w:w="524" w:type="dxa"/>
            <w:tcBorders>
              <w:right w:val="single" w:color="000000" w:sz="12" w:space="0"/>
            </w:tcBorders>
            <w:vAlign w:val="top"/>
          </w:tcPr>
          <w:p w14:paraId="38949C3A">
            <w:pPr>
              <w:pStyle w:val="6"/>
              <w:spacing w:before="79" w:line="232" w:lineRule="auto"/>
              <w:ind w:left="110"/>
              <w:rPr>
                <w:sz w:val="18"/>
                <w:szCs w:val="18"/>
              </w:rPr>
            </w:pPr>
            <w:r>
              <w:rPr>
                <w:spacing w:val="-3"/>
                <w:sz w:val="18"/>
                <w:szCs w:val="18"/>
              </w:rPr>
              <w:t>56.2</w:t>
            </w:r>
          </w:p>
        </w:tc>
      </w:tr>
      <w:tr w14:paraId="4B33C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256A726E">
            <w:pPr>
              <w:rPr>
                <w:rFonts w:ascii="Arial"/>
                <w:sz w:val="21"/>
              </w:rPr>
            </w:pPr>
          </w:p>
        </w:tc>
        <w:tc>
          <w:tcPr>
            <w:tcW w:w="245" w:type="dxa"/>
            <w:vMerge w:val="continue"/>
            <w:tcBorders>
              <w:top w:val="nil"/>
            </w:tcBorders>
            <w:vAlign w:val="top"/>
          </w:tcPr>
          <w:p w14:paraId="72ADCCBA">
            <w:pPr>
              <w:rPr>
                <w:rFonts w:ascii="Arial"/>
                <w:sz w:val="21"/>
              </w:rPr>
            </w:pPr>
          </w:p>
        </w:tc>
        <w:tc>
          <w:tcPr>
            <w:tcW w:w="929" w:type="dxa"/>
            <w:vAlign w:val="top"/>
          </w:tcPr>
          <w:p w14:paraId="492668A6">
            <w:pPr>
              <w:pStyle w:val="6"/>
              <w:spacing w:before="78" w:line="232" w:lineRule="auto"/>
              <w:ind w:left="83"/>
              <w:rPr>
                <w:sz w:val="18"/>
                <w:szCs w:val="18"/>
              </w:rPr>
            </w:pPr>
            <w:r>
              <w:rPr>
                <w:spacing w:val="-1"/>
                <w:sz w:val="18"/>
                <w:szCs w:val="18"/>
              </w:rPr>
              <w:t>2019/1/17</w:t>
            </w:r>
          </w:p>
        </w:tc>
        <w:tc>
          <w:tcPr>
            <w:tcW w:w="606" w:type="dxa"/>
            <w:vAlign w:val="top"/>
          </w:tcPr>
          <w:p w14:paraId="39E2AD59">
            <w:pPr>
              <w:pStyle w:val="6"/>
              <w:spacing w:before="78" w:line="232" w:lineRule="auto"/>
              <w:ind w:left="133"/>
              <w:rPr>
                <w:sz w:val="18"/>
                <w:szCs w:val="18"/>
              </w:rPr>
            </w:pPr>
            <w:r>
              <w:rPr>
                <w:spacing w:val="-2"/>
                <w:sz w:val="18"/>
                <w:szCs w:val="18"/>
              </w:rPr>
              <w:t>6.54</w:t>
            </w:r>
          </w:p>
        </w:tc>
        <w:tc>
          <w:tcPr>
            <w:tcW w:w="606" w:type="dxa"/>
            <w:vAlign w:val="top"/>
          </w:tcPr>
          <w:p w14:paraId="6612428A">
            <w:pPr>
              <w:pStyle w:val="6"/>
              <w:spacing w:before="78" w:line="232" w:lineRule="auto"/>
              <w:ind w:left="153"/>
              <w:rPr>
                <w:sz w:val="18"/>
                <w:szCs w:val="18"/>
              </w:rPr>
            </w:pPr>
            <w:r>
              <w:rPr>
                <w:spacing w:val="-1"/>
                <w:sz w:val="18"/>
                <w:szCs w:val="18"/>
              </w:rPr>
              <w:t>225</w:t>
            </w:r>
          </w:p>
        </w:tc>
        <w:tc>
          <w:tcPr>
            <w:tcW w:w="606" w:type="dxa"/>
            <w:vAlign w:val="top"/>
          </w:tcPr>
          <w:p w14:paraId="12ED3329">
            <w:pPr>
              <w:pStyle w:val="6"/>
              <w:spacing w:before="78" w:line="232" w:lineRule="auto"/>
              <w:ind w:left="158"/>
              <w:rPr>
                <w:sz w:val="18"/>
                <w:szCs w:val="18"/>
              </w:rPr>
            </w:pPr>
            <w:r>
              <w:rPr>
                <w:spacing w:val="-2"/>
                <w:sz w:val="18"/>
                <w:szCs w:val="18"/>
              </w:rPr>
              <w:t>397</w:t>
            </w:r>
          </w:p>
        </w:tc>
        <w:tc>
          <w:tcPr>
            <w:tcW w:w="606" w:type="dxa"/>
            <w:vAlign w:val="top"/>
          </w:tcPr>
          <w:p w14:paraId="27F5D8FD">
            <w:pPr>
              <w:pStyle w:val="6"/>
              <w:spacing w:before="78" w:line="232" w:lineRule="auto"/>
              <w:ind w:left="202"/>
              <w:rPr>
                <w:sz w:val="18"/>
                <w:szCs w:val="18"/>
              </w:rPr>
            </w:pPr>
            <w:r>
              <w:rPr>
                <w:spacing w:val="-2"/>
                <w:sz w:val="18"/>
                <w:szCs w:val="18"/>
              </w:rPr>
              <w:t>91</w:t>
            </w:r>
          </w:p>
        </w:tc>
        <w:tc>
          <w:tcPr>
            <w:tcW w:w="606" w:type="dxa"/>
            <w:vAlign w:val="top"/>
          </w:tcPr>
          <w:p w14:paraId="5FFA30A4">
            <w:pPr>
              <w:pStyle w:val="6"/>
              <w:spacing w:before="78" w:line="232" w:lineRule="auto"/>
              <w:ind w:left="200"/>
              <w:rPr>
                <w:sz w:val="18"/>
                <w:szCs w:val="18"/>
              </w:rPr>
            </w:pPr>
            <w:r>
              <w:rPr>
                <w:spacing w:val="-1"/>
                <w:sz w:val="18"/>
                <w:szCs w:val="18"/>
              </w:rPr>
              <w:t>28</w:t>
            </w:r>
          </w:p>
        </w:tc>
        <w:tc>
          <w:tcPr>
            <w:tcW w:w="606" w:type="dxa"/>
            <w:vAlign w:val="top"/>
          </w:tcPr>
          <w:p w14:paraId="6CC0F751">
            <w:pPr>
              <w:pStyle w:val="6"/>
              <w:spacing w:before="78" w:line="232" w:lineRule="auto"/>
              <w:ind w:left="137"/>
              <w:rPr>
                <w:sz w:val="18"/>
                <w:szCs w:val="18"/>
              </w:rPr>
            </w:pPr>
            <w:r>
              <w:rPr>
                <w:spacing w:val="-2"/>
                <w:sz w:val="18"/>
                <w:szCs w:val="18"/>
              </w:rPr>
              <w:t>0.11</w:t>
            </w:r>
          </w:p>
        </w:tc>
        <w:tc>
          <w:tcPr>
            <w:tcW w:w="605" w:type="dxa"/>
            <w:vAlign w:val="top"/>
          </w:tcPr>
          <w:p w14:paraId="5A603B10">
            <w:pPr>
              <w:pStyle w:val="6"/>
              <w:spacing w:before="78" w:line="232" w:lineRule="auto"/>
              <w:ind w:left="138"/>
              <w:rPr>
                <w:sz w:val="18"/>
                <w:szCs w:val="18"/>
              </w:rPr>
            </w:pPr>
            <w:r>
              <w:rPr>
                <w:spacing w:val="-2"/>
                <w:sz w:val="18"/>
                <w:szCs w:val="18"/>
              </w:rPr>
              <w:t>0.10</w:t>
            </w:r>
          </w:p>
        </w:tc>
        <w:tc>
          <w:tcPr>
            <w:tcW w:w="563" w:type="dxa"/>
            <w:vAlign w:val="top"/>
          </w:tcPr>
          <w:p w14:paraId="0E7BC86A">
            <w:pPr>
              <w:pStyle w:val="6"/>
              <w:spacing w:before="78" w:line="232" w:lineRule="auto"/>
              <w:ind w:left="63"/>
              <w:rPr>
                <w:sz w:val="18"/>
                <w:szCs w:val="18"/>
              </w:rPr>
            </w:pPr>
            <w:r>
              <w:rPr>
                <w:spacing w:val="-2"/>
                <w:sz w:val="18"/>
                <w:szCs w:val="18"/>
              </w:rPr>
              <w:t>0.01L</w:t>
            </w:r>
          </w:p>
        </w:tc>
        <w:tc>
          <w:tcPr>
            <w:tcW w:w="562" w:type="dxa"/>
            <w:vAlign w:val="top"/>
          </w:tcPr>
          <w:p w14:paraId="774061D4">
            <w:pPr>
              <w:pStyle w:val="6"/>
              <w:spacing w:before="78" w:line="232" w:lineRule="auto"/>
              <w:ind w:left="74"/>
              <w:rPr>
                <w:sz w:val="18"/>
                <w:szCs w:val="18"/>
              </w:rPr>
            </w:pPr>
            <w:r>
              <w:rPr>
                <w:spacing w:val="-2"/>
                <w:sz w:val="18"/>
                <w:szCs w:val="18"/>
              </w:rPr>
              <w:t>0.050</w:t>
            </w:r>
          </w:p>
        </w:tc>
        <w:tc>
          <w:tcPr>
            <w:tcW w:w="696" w:type="dxa"/>
            <w:vAlign w:val="top"/>
          </w:tcPr>
          <w:p w14:paraId="63D53F68">
            <w:pPr>
              <w:pStyle w:val="6"/>
              <w:spacing w:before="78" w:line="232" w:lineRule="auto"/>
              <w:ind w:left="41"/>
              <w:rPr>
                <w:sz w:val="18"/>
                <w:szCs w:val="18"/>
              </w:rPr>
            </w:pPr>
            <w:r>
              <w:rPr>
                <w:spacing w:val="-1"/>
                <w:sz w:val="18"/>
                <w:szCs w:val="18"/>
              </w:rPr>
              <w:t>0.0003L</w:t>
            </w:r>
          </w:p>
        </w:tc>
        <w:tc>
          <w:tcPr>
            <w:tcW w:w="605" w:type="dxa"/>
            <w:vAlign w:val="top"/>
          </w:tcPr>
          <w:p w14:paraId="47992576">
            <w:pPr>
              <w:pStyle w:val="6"/>
              <w:spacing w:before="78" w:line="232" w:lineRule="auto"/>
              <w:ind w:left="87"/>
              <w:rPr>
                <w:sz w:val="18"/>
                <w:szCs w:val="18"/>
              </w:rPr>
            </w:pPr>
            <w:r>
              <w:rPr>
                <w:spacing w:val="-2"/>
                <w:sz w:val="18"/>
                <w:szCs w:val="18"/>
              </w:rPr>
              <w:t>0.05L</w:t>
            </w:r>
          </w:p>
        </w:tc>
        <w:tc>
          <w:tcPr>
            <w:tcW w:w="582" w:type="dxa"/>
            <w:vAlign w:val="top"/>
          </w:tcPr>
          <w:p w14:paraId="0A78D545">
            <w:pPr>
              <w:pStyle w:val="6"/>
              <w:spacing w:before="78" w:line="232" w:lineRule="auto"/>
              <w:ind w:left="132"/>
              <w:rPr>
                <w:sz w:val="18"/>
                <w:szCs w:val="18"/>
              </w:rPr>
            </w:pPr>
            <w:r>
              <w:rPr>
                <w:spacing w:val="-2"/>
                <w:sz w:val="18"/>
                <w:szCs w:val="18"/>
              </w:rPr>
              <w:t>0.01</w:t>
            </w:r>
          </w:p>
        </w:tc>
        <w:tc>
          <w:tcPr>
            <w:tcW w:w="583" w:type="dxa"/>
            <w:vAlign w:val="top"/>
          </w:tcPr>
          <w:p w14:paraId="7012D377">
            <w:pPr>
              <w:pStyle w:val="6"/>
              <w:spacing w:before="78" w:line="232" w:lineRule="auto"/>
              <w:ind w:left="133"/>
              <w:rPr>
                <w:sz w:val="18"/>
                <w:szCs w:val="18"/>
              </w:rPr>
            </w:pPr>
            <w:r>
              <w:rPr>
                <w:spacing w:val="-2"/>
                <w:sz w:val="18"/>
                <w:szCs w:val="18"/>
              </w:rPr>
              <w:t>0.53</w:t>
            </w:r>
          </w:p>
        </w:tc>
        <w:tc>
          <w:tcPr>
            <w:tcW w:w="582" w:type="dxa"/>
            <w:vAlign w:val="top"/>
          </w:tcPr>
          <w:p w14:paraId="05D6CFC2">
            <w:pPr>
              <w:pStyle w:val="6"/>
              <w:spacing w:before="78" w:line="232" w:lineRule="auto"/>
              <w:ind w:left="88"/>
              <w:rPr>
                <w:sz w:val="18"/>
                <w:szCs w:val="18"/>
              </w:rPr>
            </w:pPr>
            <w:r>
              <w:rPr>
                <w:spacing w:val="-2"/>
                <w:sz w:val="18"/>
                <w:szCs w:val="18"/>
              </w:rPr>
              <w:t>0.008</w:t>
            </w:r>
          </w:p>
        </w:tc>
        <w:tc>
          <w:tcPr>
            <w:tcW w:w="582" w:type="dxa"/>
            <w:vAlign w:val="top"/>
          </w:tcPr>
          <w:p w14:paraId="33771CAB">
            <w:pPr>
              <w:pStyle w:val="6"/>
              <w:spacing w:before="78" w:line="232" w:lineRule="auto"/>
              <w:ind w:left="34"/>
              <w:rPr>
                <w:sz w:val="18"/>
                <w:szCs w:val="18"/>
              </w:rPr>
            </w:pPr>
            <w:r>
              <w:rPr>
                <w:spacing w:val="-1"/>
                <w:sz w:val="18"/>
                <w:szCs w:val="18"/>
              </w:rPr>
              <w:t>0.025L</w:t>
            </w:r>
          </w:p>
        </w:tc>
        <w:tc>
          <w:tcPr>
            <w:tcW w:w="582" w:type="dxa"/>
            <w:vAlign w:val="top"/>
          </w:tcPr>
          <w:p w14:paraId="48452ABF">
            <w:pPr>
              <w:pStyle w:val="6"/>
              <w:spacing w:before="78" w:line="232" w:lineRule="auto"/>
              <w:ind w:left="80"/>
              <w:rPr>
                <w:sz w:val="18"/>
                <w:szCs w:val="18"/>
              </w:rPr>
            </w:pPr>
            <w:r>
              <w:rPr>
                <w:spacing w:val="-2"/>
                <w:sz w:val="18"/>
                <w:szCs w:val="18"/>
              </w:rPr>
              <w:t>0.05L</w:t>
            </w:r>
          </w:p>
        </w:tc>
        <w:tc>
          <w:tcPr>
            <w:tcW w:w="581" w:type="dxa"/>
            <w:vAlign w:val="top"/>
          </w:tcPr>
          <w:p w14:paraId="73B2B753">
            <w:pPr>
              <w:pStyle w:val="6"/>
              <w:spacing w:before="78" w:line="232" w:lineRule="auto"/>
              <w:ind w:left="37"/>
              <w:rPr>
                <w:sz w:val="18"/>
                <w:szCs w:val="18"/>
              </w:rPr>
            </w:pPr>
            <w:r>
              <w:rPr>
                <w:spacing w:val="-2"/>
                <w:sz w:val="18"/>
                <w:szCs w:val="18"/>
              </w:rPr>
              <w:t>0.004L</w:t>
            </w:r>
          </w:p>
        </w:tc>
        <w:tc>
          <w:tcPr>
            <w:tcW w:w="851" w:type="dxa"/>
            <w:vAlign w:val="top"/>
          </w:tcPr>
          <w:p w14:paraId="31C422AE">
            <w:pPr>
              <w:pStyle w:val="6"/>
              <w:spacing w:before="78" w:line="232" w:lineRule="auto"/>
              <w:ind w:left="139"/>
              <w:rPr>
                <w:sz w:val="18"/>
                <w:szCs w:val="18"/>
              </w:rPr>
            </w:pPr>
            <w:r>
              <w:rPr>
                <w:spacing w:val="-1"/>
                <w:sz w:val="18"/>
                <w:szCs w:val="18"/>
              </w:rPr>
              <w:t>0.00014</w:t>
            </w:r>
          </w:p>
        </w:tc>
        <w:tc>
          <w:tcPr>
            <w:tcW w:w="644" w:type="dxa"/>
            <w:vAlign w:val="top"/>
          </w:tcPr>
          <w:p w14:paraId="3AEE41AA">
            <w:pPr>
              <w:pStyle w:val="6"/>
              <w:spacing w:before="78" w:line="232" w:lineRule="auto"/>
              <w:ind w:left="81"/>
              <w:rPr>
                <w:sz w:val="18"/>
                <w:szCs w:val="18"/>
              </w:rPr>
            </w:pPr>
            <w:r>
              <w:rPr>
                <w:spacing w:val="-2"/>
                <w:sz w:val="18"/>
                <w:szCs w:val="18"/>
              </w:rPr>
              <w:t>0.0035</w:t>
            </w:r>
          </w:p>
        </w:tc>
        <w:tc>
          <w:tcPr>
            <w:tcW w:w="639" w:type="dxa"/>
            <w:vAlign w:val="top"/>
          </w:tcPr>
          <w:p w14:paraId="6346872F">
            <w:pPr>
              <w:pStyle w:val="6"/>
              <w:spacing w:before="78" w:line="232" w:lineRule="auto"/>
              <w:ind w:left="78"/>
              <w:rPr>
                <w:sz w:val="18"/>
                <w:szCs w:val="18"/>
              </w:rPr>
            </w:pPr>
            <w:r>
              <w:rPr>
                <w:spacing w:val="-2"/>
                <w:sz w:val="18"/>
                <w:szCs w:val="18"/>
              </w:rPr>
              <w:t>0.0011</w:t>
            </w:r>
          </w:p>
        </w:tc>
        <w:tc>
          <w:tcPr>
            <w:tcW w:w="640" w:type="dxa"/>
            <w:vAlign w:val="top"/>
          </w:tcPr>
          <w:p w14:paraId="2E9858D4">
            <w:pPr>
              <w:pStyle w:val="6"/>
              <w:spacing w:before="78" w:line="232" w:lineRule="auto"/>
              <w:ind w:left="70"/>
              <w:rPr>
                <w:sz w:val="18"/>
                <w:szCs w:val="18"/>
              </w:rPr>
            </w:pPr>
            <w:r>
              <w:rPr>
                <w:spacing w:val="-2"/>
                <w:sz w:val="18"/>
                <w:szCs w:val="18"/>
              </w:rPr>
              <w:t>0.001L</w:t>
            </w:r>
          </w:p>
        </w:tc>
        <w:tc>
          <w:tcPr>
            <w:tcW w:w="639" w:type="dxa"/>
            <w:vAlign w:val="top"/>
          </w:tcPr>
          <w:p w14:paraId="4D714E8D">
            <w:pPr>
              <w:pStyle w:val="6"/>
              <w:spacing w:before="78" w:line="232" w:lineRule="auto"/>
              <w:ind w:left="125"/>
              <w:rPr>
                <w:sz w:val="18"/>
                <w:szCs w:val="18"/>
              </w:rPr>
            </w:pPr>
            <w:r>
              <w:rPr>
                <w:spacing w:val="-2"/>
                <w:sz w:val="18"/>
                <w:szCs w:val="18"/>
              </w:rPr>
              <w:t>0.007</w:t>
            </w:r>
          </w:p>
        </w:tc>
        <w:tc>
          <w:tcPr>
            <w:tcW w:w="639" w:type="dxa"/>
            <w:vAlign w:val="top"/>
          </w:tcPr>
          <w:p w14:paraId="00019A23">
            <w:pPr>
              <w:pStyle w:val="6"/>
              <w:spacing w:before="78" w:line="232" w:lineRule="auto"/>
              <w:ind w:left="114"/>
              <w:rPr>
                <w:sz w:val="18"/>
                <w:szCs w:val="18"/>
              </w:rPr>
            </w:pPr>
            <w:r>
              <w:rPr>
                <w:spacing w:val="-2"/>
                <w:sz w:val="18"/>
                <w:szCs w:val="18"/>
              </w:rPr>
              <w:t>0.01L</w:t>
            </w:r>
          </w:p>
        </w:tc>
        <w:tc>
          <w:tcPr>
            <w:tcW w:w="640" w:type="dxa"/>
            <w:vAlign w:val="top"/>
          </w:tcPr>
          <w:p w14:paraId="6F934BF7">
            <w:pPr>
              <w:pStyle w:val="6"/>
              <w:spacing w:before="78" w:line="232" w:lineRule="auto"/>
              <w:ind w:left="127"/>
              <w:rPr>
                <w:sz w:val="18"/>
                <w:szCs w:val="18"/>
              </w:rPr>
            </w:pPr>
            <w:r>
              <w:rPr>
                <w:spacing w:val="-2"/>
                <w:sz w:val="18"/>
                <w:szCs w:val="18"/>
              </w:rPr>
              <w:t>0.050</w:t>
            </w:r>
          </w:p>
        </w:tc>
        <w:tc>
          <w:tcPr>
            <w:tcW w:w="827" w:type="dxa"/>
            <w:vAlign w:val="top"/>
          </w:tcPr>
          <w:p w14:paraId="325C63EF">
            <w:pPr>
              <w:pStyle w:val="6"/>
              <w:spacing w:before="78" w:line="232" w:lineRule="auto"/>
              <w:ind w:left="391"/>
              <w:rPr>
                <w:sz w:val="18"/>
                <w:szCs w:val="18"/>
              </w:rPr>
            </w:pPr>
            <w:r>
              <w:rPr>
                <w:sz w:val="18"/>
                <w:szCs w:val="18"/>
              </w:rPr>
              <w:t>/</w:t>
            </w:r>
          </w:p>
        </w:tc>
        <w:tc>
          <w:tcPr>
            <w:tcW w:w="457" w:type="dxa"/>
            <w:vAlign w:val="top"/>
          </w:tcPr>
          <w:p w14:paraId="0D941519">
            <w:pPr>
              <w:pStyle w:val="6"/>
              <w:spacing w:before="78" w:line="232" w:lineRule="auto"/>
              <w:ind w:left="99"/>
              <w:rPr>
                <w:sz w:val="18"/>
                <w:szCs w:val="18"/>
              </w:rPr>
            </w:pPr>
            <w:r>
              <w:rPr>
                <w:spacing w:val="-1"/>
                <w:sz w:val="18"/>
                <w:szCs w:val="18"/>
              </w:rPr>
              <w:t>416</w:t>
            </w:r>
          </w:p>
        </w:tc>
        <w:tc>
          <w:tcPr>
            <w:tcW w:w="533" w:type="dxa"/>
            <w:vAlign w:val="top"/>
          </w:tcPr>
          <w:p w14:paraId="4A52E99C">
            <w:pPr>
              <w:pStyle w:val="6"/>
              <w:spacing w:before="78" w:line="232" w:lineRule="auto"/>
              <w:ind w:left="109"/>
              <w:rPr>
                <w:sz w:val="18"/>
                <w:szCs w:val="18"/>
              </w:rPr>
            </w:pPr>
            <w:r>
              <w:rPr>
                <w:spacing w:val="-2"/>
                <w:sz w:val="18"/>
                <w:szCs w:val="18"/>
              </w:rPr>
              <w:t>0.5L</w:t>
            </w:r>
          </w:p>
        </w:tc>
        <w:tc>
          <w:tcPr>
            <w:tcW w:w="533" w:type="dxa"/>
            <w:vAlign w:val="top"/>
          </w:tcPr>
          <w:p w14:paraId="48FA8F0A">
            <w:pPr>
              <w:pStyle w:val="6"/>
              <w:spacing w:before="78" w:line="232" w:lineRule="auto"/>
              <w:ind w:left="135"/>
              <w:rPr>
                <w:sz w:val="18"/>
                <w:szCs w:val="18"/>
              </w:rPr>
            </w:pPr>
            <w:r>
              <w:rPr>
                <w:spacing w:val="-6"/>
                <w:sz w:val="18"/>
                <w:szCs w:val="18"/>
              </w:rPr>
              <w:t>1.21</w:t>
            </w:r>
          </w:p>
        </w:tc>
        <w:tc>
          <w:tcPr>
            <w:tcW w:w="533" w:type="dxa"/>
            <w:vAlign w:val="top"/>
          </w:tcPr>
          <w:p w14:paraId="7D921BB7">
            <w:pPr>
              <w:pStyle w:val="6"/>
              <w:spacing w:before="78" w:line="232" w:lineRule="auto"/>
              <w:ind w:left="118"/>
              <w:rPr>
                <w:sz w:val="18"/>
                <w:szCs w:val="18"/>
              </w:rPr>
            </w:pPr>
            <w:r>
              <w:rPr>
                <w:spacing w:val="-1"/>
                <w:sz w:val="18"/>
                <w:szCs w:val="18"/>
              </w:rPr>
              <w:t>49.6</w:t>
            </w:r>
          </w:p>
        </w:tc>
        <w:tc>
          <w:tcPr>
            <w:tcW w:w="533" w:type="dxa"/>
            <w:vAlign w:val="top"/>
          </w:tcPr>
          <w:p w14:paraId="462D4B34">
            <w:pPr>
              <w:pStyle w:val="6"/>
              <w:spacing w:before="78" w:line="232" w:lineRule="auto"/>
              <w:ind w:left="159"/>
              <w:rPr>
                <w:sz w:val="18"/>
                <w:szCs w:val="18"/>
              </w:rPr>
            </w:pPr>
            <w:r>
              <w:rPr>
                <w:spacing w:val="-5"/>
                <w:sz w:val="18"/>
                <w:szCs w:val="18"/>
              </w:rPr>
              <w:t>162</w:t>
            </w:r>
          </w:p>
        </w:tc>
        <w:tc>
          <w:tcPr>
            <w:tcW w:w="524" w:type="dxa"/>
            <w:tcBorders>
              <w:right w:val="single" w:color="000000" w:sz="12" w:space="0"/>
            </w:tcBorders>
            <w:vAlign w:val="top"/>
          </w:tcPr>
          <w:p w14:paraId="4FC42D1F">
            <w:pPr>
              <w:pStyle w:val="6"/>
              <w:spacing w:before="78" w:line="232" w:lineRule="auto"/>
              <w:ind w:left="110"/>
              <w:rPr>
                <w:sz w:val="18"/>
                <w:szCs w:val="18"/>
              </w:rPr>
            </w:pPr>
            <w:r>
              <w:rPr>
                <w:spacing w:val="-3"/>
                <w:sz w:val="18"/>
                <w:szCs w:val="18"/>
              </w:rPr>
              <w:t>54.3</w:t>
            </w:r>
          </w:p>
        </w:tc>
      </w:tr>
      <w:tr w14:paraId="1E5B2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4C9A6844">
            <w:pPr>
              <w:rPr>
                <w:rFonts w:ascii="Arial"/>
                <w:sz w:val="21"/>
              </w:rPr>
            </w:pPr>
          </w:p>
        </w:tc>
        <w:tc>
          <w:tcPr>
            <w:tcW w:w="245" w:type="dxa"/>
            <w:vMerge w:val="restart"/>
            <w:tcBorders>
              <w:bottom w:val="nil"/>
            </w:tcBorders>
            <w:vAlign w:val="top"/>
          </w:tcPr>
          <w:p w14:paraId="68851E58">
            <w:pPr>
              <w:pStyle w:val="6"/>
              <w:spacing w:before="139" w:line="226" w:lineRule="auto"/>
              <w:ind w:left="61"/>
              <w:rPr>
                <w:sz w:val="18"/>
                <w:szCs w:val="18"/>
              </w:rPr>
            </w:pPr>
            <w:r>
              <w:rPr>
                <w:sz w:val="18"/>
                <w:szCs w:val="18"/>
              </w:rPr>
              <w:t>2</w:t>
            </w:r>
          </w:p>
          <w:p w14:paraId="72C19006">
            <w:pPr>
              <w:spacing w:line="226" w:lineRule="auto"/>
              <w:ind w:left="19"/>
              <w:rPr>
                <w:rFonts w:ascii="等线" w:hAnsi="等线" w:eastAsia="等线" w:cs="等线"/>
                <w:sz w:val="18"/>
                <w:szCs w:val="18"/>
              </w:rPr>
            </w:pPr>
            <w:r>
              <w:rPr>
                <w:rFonts w:ascii="等线" w:hAnsi="等线" w:eastAsia="等线" w:cs="等线"/>
                <w:sz w:val="18"/>
                <w:szCs w:val="18"/>
              </w:rPr>
              <w:t>季</w:t>
            </w:r>
          </w:p>
          <w:p w14:paraId="7F384DBF">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6178F042">
            <w:pPr>
              <w:pStyle w:val="6"/>
              <w:spacing w:before="80" w:line="232" w:lineRule="auto"/>
              <w:ind w:left="83"/>
              <w:rPr>
                <w:sz w:val="18"/>
                <w:szCs w:val="18"/>
              </w:rPr>
            </w:pPr>
            <w:r>
              <w:rPr>
                <w:spacing w:val="-1"/>
                <w:sz w:val="18"/>
                <w:szCs w:val="18"/>
              </w:rPr>
              <w:t>2019/5/10</w:t>
            </w:r>
          </w:p>
        </w:tc>
        <w:tc>
          <w:tcPr>
            <w:tcW w:w="606" w:type="dxa"/>
            <w:vAlign w:val="top"/>
          </w:tcPr>
          <w:p w14:paraId="59520BAA">
            <w:pPr>
              <w:pStyle w:val="6"/>
              <w:spacing w:before="87" w:line="226" w:lineRule="auto"/>
              <w:ind w:left="132"/>
              <w:rPr>
                <w:sz w:val="18"/>
                <w:szCs w:val="18"/>
              </w:rPr>
            </w:pPr>
            <w:r>
              <w:rPr>
                <w:b/>
                <w:bCs/>
                <w:spacing w:val="-2"/>
                <w:sz w:val="18"/>
                <w:szCs w:val="18"/>
              </w:rPr>
              <w:t>6.41</w:t>
            </w:r>
          </w:p>
        </w:tc>
        <w:tc>
          <w:tcPr>
            <w:tcW w:w="606" w:type="dxa"/>
            <w:vAlign w:val="top"/>
          </w:tcPr>
          <w:p w14:paraId="3DF2933D">
            <w:pPr>
              <w:pStyle w:val="6"/>
              <w:spacing w:before="81" w:line="233" w:lineRule="auto"/>
              <w:ind w:left="153"/>
              <w:rPr>
                <w:sz w:val="18"/>
                <w:szCs w:val="18"/>
              </w:rPr>
            </w:pPr>
            <w:r>
              <w:rPr>
                <w:spacing w:val="-1"/>
                <w:sz w:val="18"/>
                <w:szCs w:val="18"/>
              </w:rPr>
              <w:t>221</w:t>
            </w:r>
          </w:p>
        </w:tc>
        <w:tc>
          <w:tcPr>
            <w:tcW w:w="606" w:type="dxa"/>
            <w:vAlign w:val="top"/>
          </w:tcPr>
          <w:p w14:paraId="4B63B0B4">
            <w:pPr>
              <w:pStyle w:val="6"/>
              <w:spacing w:before="80" w:line="232" w:lineRule="auto"/>
              <w:ind w:left="158"/>
              <w:rPr>
                <w:sz w:val="18"/>
                <w:szCs w:val="18"/>
              </w:rPr>
            </w:pPr>
            <w:r>
              <w:rPr>
                <w:spacing w:val="-2"/>
                <w:sz w:val="18"/>
                <w:szCs w:val="18"/>
              </w:rPr>
              <w:t>307</w:t>
            </w:r>
          </w:p>
        </w:tc>
        <w:tc>
          <w:tcPr>
            <w:tcW w:w="606" w:type="dxa"/>
            <w:vAlign w:val="top"/>
          </w:tcPr>
          <w:p w14:paraId="45687931">
            <w:pPr>
              <w:pStyle w:val="6"/>
              <w:spacing w:before="80" w:line="232" w:lineRule="auto"/>
              <w:ind w:left="204"/>
              <w:rPr>
                <w:sz w:val="18"/>
                <w:szCs w:val="18"/>
              </w:rPr>
            </w:pPr>
            <w:r>
              <w:rPr>
                <w:spacing w:val="-3"/>
                <w:sz w:val="18"/>
                <w:szCs w:val="18"/>
              </w:rPr>
              <w:t>59</w:t>
            </w:r>
          </w:p>
        </w:tc>
        <w:tc>
          <w:tcPr>
            <w:tcW w:w="606" w:type="dxa"/>
            <w:vAlign w:val="top"/>
          </w:tcPr>
          <w:p w14:paraId="2F4E176C">
            <w:pPr>
              <w:pStyle w:val="6"/>
              <w:spacing w:before="83" w:line="186" w:lineRule="auto"/>
              <w:ind w:left="162"/>
              <w:rPr>
                <w:sz w:val="18"/>
                <w:szCs w:val="18"/>
              </w:rPr>
            </w:pPr>
            <w:r>
              <w:rPr>
                <w:spacing w:val="-5"/>
                <w:sz w:val="18"/>
                <w:szCs w:val="18"/>
              </w:rPr>
              <w:t>10L</w:t>
            </w:r>
          </w:p>
        </w:tc>
        <w:tc>
          <w:tcPr>
            <w:tcW w:w="606" w:type="dxa"/>
            <w:vAlign w:val="top"/>
          </w:tcPr>
          <w:p w14:paraId="3AF27FFD">
            <w:pPr>
              <w:pStyle w:val="6"/>
              <w:spacing w:before="80" w:line="232" w:lineRule="auto"/>
              <w:ind w:left="137"/>
              <w:rPr>
                <w:sz w:val="18"/>
                <w:szCs w:val="18"/>
              </w:rPr>
            </w:pPr>
            <w:r>
              <w:rPr>
                <w:spacing w:val="-2"/>
                <w:sz w:val="18"/>
                <w:szCs w:val="18"/>
              </w:rPr>
              <w:t>0.09</w:t>
            </w:r>
          </w:p>
        </w:tc>
        <w:tc>
          <w:tcPr>
            <w:tcW w:w="605" w:type="dxa"/>
            <w:vAlign w:val="top"/>
          </w:tcPr>
          <w:p w14:paraId="61FCE3E0">
            <w:pPr>
              <w:pStyle w:val="6"/>
              <w:spacing w:before="80" w:line="232" w:lineRule="auto"/>
              <w:ind w:left="83"/>
              <w:rPr>
                <w:sz w:val="18"/>
                <w:szCs w:val="18"/>
              </w:rPr>
            </w:pPr>
            <w:r>
              <w:rPr>
                <w:spacing w:val="-2"/>
                <w:sz w:val="18"/>
                <w:szCs w:val="18"/>
              </w:rPr>
              <w:t>0.02L</w:t>
            </w:r>
          </w:p>
        </w:tc>
        <w:tc>
          <w:tcPr>
            <w:tcW w:w="563" w:type="dxa"/>
            <w:vAlign w:val="top"/>
          </w:tcPr>
          <w:p w14:paraId="07024F81">
            <w:pPr>
              <w:pStyle w:val="6"/>
              <w:spacing w:before="80" w:line="232" w:lineRule="auto"/>
              <w:ind w:left="63"/>
              <w:rPr>
                <w:sz w:val="18"/>
                <w:szCs w:val="18"/>
              </w:rPr>
            </w:pPr>
            <w:r>
              <w:rPr>
                <w:spacing w:val="-2"/>
                <w:sz w:val="18"/>
                <w:szCs w:val="18"/>
              </w:rPr>
              <w:t>0.01L</w:t>
            </w:r>
          </w:p>
        </w:tc>
        <w:tc>
          <w:tcPr>
            <w:tcW w:w="562" w:type="dxa"/>
            <w:vAlign w:val="top"/>
          </w:tcPr>
          <w:p w14:paraId="6791BA6A">
            <w:pPr>
              <w:pStyle w:val="6"/>
              <w:spacing w:before="80" w:line="232" w:lineRule="auto"/>
              <w:ind w:left="74"/>
              <w:rPr>
                <w:sz w:val="18"/>
                <w:szCs w:val="18"/>
              </w:rPr>
            </w:pPr>
            <w:r>
              <w:rPr>
                <w:spacing w:val="-2"/>
                <w:sz w:val="18"/>
                <w:szCs w:val="18"/>
              </w:rPr>
              <w:t>0.009</w:t>
            </w:r>
          </w:p>
        </w:tc>
        <w:tc>
          <w:tcPr>
            <w:tcW w:w="696" w:type="dxa"/>
            <w:vAlign w:val="top"/>
          </w:tcPr>
          <w:p w14:paraId="61F6E65A">
            <w:pPr>
              <w:pStyle w:val="6"/>
              <w:spacing w:before="80" w:line="232" w:lineRule="auto"/>
              <w:ind w:left="41"/>
              <w:rPr>
                <w:sz w:val="18"/>
                <w:szCs w:val="18"/>
              </w:rPr>
            </w:pPr>
            <w:r>
              <w:rPr>
                <w:spacing w:val="-1"/>
                <w:sz w:val="18"/>
                <w:szCs w:val="18"/>
              </w:rPr>
              <w:t>0.0003L</w:t>
            </w:r>
          </w:p>
        </w:tc>
        <w:tc>
          <w:tcPr>
            <w:tcW w:w="605" w:type="dxa"/>
            <w:vAlign w:val="top"/>
          </w:tcPr>
          <w:p w14:paraId="1A1258E9">
            <w:pPr>
              <w:pStyle w:val="6"/>
              <w:spacing w:before="80" w:line="232" w:lineRule="auto"/>
              <w:ind w:left="142"/>
              <w:rPr>
                <w:sz w:val="18"/>
                <w:szCs w:val="18"/>
              </w:rPr>
            </w:pPr>
            <w:r>
              <w:rPr>
                <w:spacing w:val="-2"/>
                <w:sz w:val="18"/>
                <w:szCs w:val="18"/>
              </w:rPr>
              <w:t>0.08</w:t>
            </w:r>
          </w:p>
        </w:tc>
        <w:tc>
          <w:tcPr>
            <w:tcW w:w="582" w:type="dxa"/>
            <w:vAlign w:val="top"/>
          </w:tcPr>
          <w:p w14:paraId="0374CB3C">
            <w:pPr>
              <w:pStyle w:val="6"/>
              <w:spacing w:before="80" w:line="232" w:lineRule="auto"/>
              <w:ind w:left="132"/>
              <w:rPr>
                <w:sz w:val="18"/>
                <w:szCs w:val="18"/>
              </w:rPr>
            </w:pPr>
            <w:r>
              <w:rPr>
                <w:spacing w:val="-2"/>
                <w:sz w:val="18"/>
                <w:szCs w:val="18"/>
              </w:rPr>
              <w:t>0.04</w:t>
            </w:r>
          </w:p>
        </w:tc>
        <w:tc>
          <w:tcPr>
            <w:tcW w:w="583" w:type="dxa"/>
            <w:vAlign w:val="top"/>
          </w:tcPr>
          <w:p w14:paraId="09D9E475">
            <w:pPr>
              <w:pStyle w:val="6"/>
              <w:spacing w:before="80" w:line="232" w:lineRule="auto"/>
              <w:ind w:left="133"/>
              <w:rPr>
                <w:sz w:val="18"/>
                <w:szCs w:val="18"/>
              </w:rPr>
            </w:pPr>
            <w:r>
              <w:rPr>
                <w:spacing w:val="-2"/>
                <w:sz w:val="18"/>
                <w:szCs w:val="18"/>
              </w:rPr>
              <w:t>0.60</w:t>
            </w:r>
          </w:p>
        </w:tc>
        <w:tc>
          <w:tcPr>
            <w:tcW w:w="582" w:type="dxa"/>
            <w:vAlign w:val="top"/>
          </w:tcPr>
          <w:p w14:paraId="11D129C1">
            <w:pPr>
              <w:pStyle w:val="6"/>
              <w:spacing w:before="80" w:line="232" w:lineRule="auto"/>
              <w:ind w:left="88"/>
              <w:rPr>
                <w:sz w:val="18"/>
                <w:szCs w:val="18"/>
              </w:rPr>
            </w:pPr>
            <w:r>
              <w:rPr>
                <w:spacing w:val="-2"/>
                <w:sz w:val="18"/>
                <w:szCs w:val="18"/>
              </w:rPr>
              <w:t>0.003</w:t>
            </w:r>
          </w:p>
        </w:tc>
        <w:tc>
          <w:tcPr>
            <w:tcW w:w="582" w:type="dxa"/>
            <w:vAlign w:val="top"/>
          </w:tcPr>
          <w:p w14:paraId="10594EBA">
            <w:pPr>
              <w:pStyle w:val="6"/>
              <w:spacing w:before="80" w:line="232" w:lineRule="auto"/>
              <w:ind w:left="34"/>
              <w:rPr>
                <w:sz w:val="18"/>
                <w:szCs w:val="18"/>
              </w:rPr>
            </w:pPr>
            <w:r>
              <w:rPr>
                <w:spacing w:val="-2"/>
                <w:sz w:val="18"/>
                <w:szCs w:val="18"/>
              </w:rPr>
              <w:t>0.025L</w:t>
            </w:r>
          </w:p>
        </w:tc>
        <w:tc>
          <w:tcPr>
            <w:tcW w:w="582" w:type="dxa"/>
            <w:vAlign w:val="top"/>
          </w:tcPr>
          <w:p w14:paraId="55E565B0">
            <w:pPr>
              <w:pStyle w:val="6"/>
              <w:spacing w:before="80" w:line="232" w:lineRule="auto"/>
              <w:ind w:left="135"/>
              <w:rPr>
                <w:sz w:val="18"/>
                <w:szCs w:val="18"/>
              </w:rPr>
            </w:pPr>
            <w:r>
              <w:rPr>
                <w:spacing w:val="-2"/>
                <w:sz w:val="18"/>
                <w:szCs w:val="18"/>
              </w:rPr>
              <w:t>0.09</w:t>
            </w:r>
          </w:p>
        </w:tc>
        <w:tc>
          <w:tcPr>
            <w:tcW w:w="581" w:type="dxa"/>
            <w:vAlign w:val="top"/>
          </w:tcPr>
          <w:p w14:paraId="45B2F73F">
            <w:pPr>
              <w:pStyle w:val="6"/>
              <w:spacing w:before="80" w:line="232" w:lineRule="auto"/>
              <w:ind w:left="37"/>
              <w:rPr>
                <w:sz w:val="18"/>
                <w:szCs w:val="18"/>
              </w:rPr>
            </w:pPr>
            <w:r>
              <w:rPr>
                <w:spacing w:val="-2"/>
                <w:sz w:val="18"/>
                <w:szCs w:val="18"/>
              </w:rPr>
              <w:t>0.004L</w:t>
            </w:r>
          </w:p>
        </w:tc>
        <w:tc>
          <w:tcPr>
            <w:tcW w:w="851" w:type="dxa"/>
            <w:vAlign w:val="top"/>
          </w:tcPr>
          <w:p w14:paraId="2F6C0CD7">
            <w:pPr>
              <w:pStyle w:val="6"/>
              <w:spacing w:before="80" w:line="232" w:lineRule="auto"/>
              <w:ind w:left="139"/>
              <w:rPr>
                <w:sz w:val="18"/>
                <w:szCs w:val="18"/>
              </w:rPr>
            </w:pPr>
            <w:r>
              <w:rPr>
                <w:spacing w:val="-1"/>
                <w:sz w:val="18"/>
                <w:szCs w:val="18"/>
              </w:rPr>
              <w:t>0.00012</w:t>
            </w:r>
          </w:p>
        </w:tc>
        <w:tc>
          <w:tcPr>
            <w:tcW w:w="644" w:type="dxa"/>
            <w:vAlign w:val="top"/>
          </w:tcPr>
          <w:p w14:paraId="0E9EA7A8">
            <w:pPr>
              <w:pStyle w:val="6"/>
              <w:spacing w:before="80" w:line="232" w:lineRule="auto"/>
              <w:ind w:left="81"/>
              <w:rPr>
                <w:sz w:val="18"/>
                <w:szCs w:val="18"/>
              </w:rPr>
            </w:pPr>
            <w:r>
              <w:rPr>
                <w:spacing w:val="-2"/>
                <w:sz w:val="18"/>
                <w:szCs w:val="18"/>
              </w:rPr>
              <w:t>0.0037</w:t>
            </w:r>
          </w:p>
        </w:tc>
        <w:tc>
          <w:tcPr>
            <w:tcW w:w="639" w:type="dxa"/>
            <w:vAlign w:val="top"/>
          </w:tcPr>
          <w:p w14:paraId="532FC24D">
            <w:pPr>
              <w:pStyle w:val="6"/>
              <w:spacing w:before="80" w:line="232" w:lineRule="auto"/>
              <w:ind w:left="78"/>
              <w:rPr>
                <w:sz w:val="18"/>
                <w:szCs w:val="18"/>
              </w:rPr>
            </w:pPr>
            <w:r>
              <w:rPr>
                <w:spacing w:val="-2"/>
                <w:sz w:val="18"/>
                <w:szCs w:val="18"/>
              </w:rPr>
              <w:t>0.0008</w:t>
            </w:r>
          </w:p>
        </w:tc>
        <w:tc>
          <w:tcPr>
            <w:tcW w:w="640" w:type="dxa"/>
            <w:vAlign w:val="top"/>
          </w:tcPr>
          <w:p w14:paraId="38BDE704">
            <w:pPr>
              <w:pStyle w:val="6"/>
              <w:spacing w:before="80" w:line="232" w:lineRule="auto"/>
              <w:ind w:left="70"/>
              <w:rPr>
                <w:sz w:val="18"/>
                <w:szCs w:val="18"/>
              </w:rPr>
            </w:pPr>
            <w:r>
              <w:rPr>
                <w:spacing w:val="-2"/>
                <w:sz w:val="18"/>
                <w:szCs w:val="18"/>
              </w:rPr>
              <w:t>0.001L</w:t>
            </w:r>
          </w:p>
        </w:tc>
        <w:tc>
          <w:tcPr>
            <w:tcW w:w="639" w:type="dxa"/>
            <w:vAlign w:val="top"/>
          </w:tcPr>
          <w:p w14:paraId="73C934D0">
            <w:pPr>
              <w:pStyle w:val="6"/>
              <w:spacing w:before="80" w:line="232" w:lineRule="auto"/>
              <w:ind w:left="125"/>
              <w:rPr>
                <w:sz w:val="18"/>
                <w:szCs w:val="18"/>
              </w:rPr>
            </w:pPr>
            <w:r>
              <w:rPr>
                <w:spacing w:val="-2"/>
                <w:sz w:val="18"/>
                <w:szCs w:val="18"/>
              </w:rPr>
              <w:t>0.004</w:t>
            </w:r>
          </w:p>
        </w:tc>
        <w:tc>
          <w:tcPr>
            <w:tcW w:w="639" w:type="dxa"/>
            <w:vAlign w:val="top"/>
          </w:tcPr>
          <w:p w14:paraId="6A6C68D8">
            <w:pPr>
              <w:pStyle w:val="6"/>
              <w:spacing w:before="80" w:line="232" w:lineRule="auto"/>
              <w:ind w:left="114"/>
              <w:rPr>
                <w:sz w:val="18"/>
                <w:szCs w:val="18"/>
              </w:rPr>
            </w:pPr>
            <w:r>
              <w:rPr>
                <w:spacing w:val="-2"/>
                <w:sz w:val="18"/>
                <w:szCs w:val="18"/>
              </w:rPr>
              <w:t>0.01L</w:t>
            </w:r>
          </w:p>
        </w:tc>
        <w:tc>
          <w:tcPr>
            <w:tcW w:w="640" w:type="dxa"/>
            <w:vAlign w:val="top"/>
          </w:tcPr>
          <w:p w14:paraId="55C9D504">
            <w:pPr>
              <w:pStyle w:val="6"/>
              <w:spacing w:before="80" w:line="232" w:lineRule="auto"/>
              <w:ind w:left="127"/>
              <w:rPr>
                <w:sz w:val="18"/>
                <w:szCs w:val="18"/>
              </w:rPr>
            </w:pPr>
            <w:r>
              <w:rPr>
                <w:spacing w:val="-2"/>
                <w:sz w:val="18"/>
                <w:szCs w:val="18"/>
              </w:rPr>
              <w:t>0.127</w:t>
            </w:r>
          </w:p>
        </w:tc>
        <w:tc>
          <w:tcPr>
            <w:tcW w:w="827" w:type="dxa"/>
            <w:vAlign w:val="top"/>
          </w:tcPr>
          <w:p w14:paraId="5B2287FB">
            <w:pPr>
              <w:pStyle w:val="6"/>
              <w:spacing w:before="81" w:line="232" w:lineRule="auto"/>
              <w:ind w:left="302"/>
              <w:rPr>
                <w:sz w:val="18"/>
                <w:szCs w:val="18"/>
              </w:rPr>
            </w:pPr>
            <w:r>
              <w:rPr>
                <w:spacing w:val="-5"/>
                <w:sz w:val="18"/>
                <w:szCs w:val="18"/>
              </w:rPr>
              <w:t>110</w:t>
            </w:r>
          </w:p>
        </w:tc>
        <w:tc>
          <w:tcPr>
            <w:tcW w:w="457" w:type="dxa"/>
            <w:vAlign w:val="top"/>
          </w:tcPr>
          <w:p w14:paraId="01FF81EA">
            <w:pPr>
              <w:pStyle w:val="6"/>
              <w:spacing w:before="81" w:line="232" w:lineRule="auto"/>
              <w:ind w:left="104"/>
              <w:rPr>
                <w:sz w:val="18"/>
                <w:szCs w:val="18"/>
              </w:rPr>
            </w:pPr>
            <w:r>
              <w:rPr>
                <w:spacing w:val="-3"/>
                <w:sz w:val="18"/>
                <w:szCs w:val="18"/>
              </w:rPr>
              <w:t>328</w:t>
            </w:r>
          </w:p>
        </w:tc>
        <w:tc>
          <w:tcPr>
            <w:tcW w:w="533" w:type="dxa"/>
            <w:vAlign w:val="top"/>
          </w:tcPr>
          <w:p w14:paraId="0AC32F94">
            <w:pPr>
              <w:pStyle w:val="6"/>
              <w:spacing w:before="80" w:line="232" w:lineRule="auto"/>
              <w:ind w:left="164"/>
              <w:rPr>
                <w:sz w:val="18"/>
                <w:szCs w:val="18"/>
              </w:rPr>
            </w:pPr>
            <w:r>
              <w:rPr>
                <w:spacing w:val="-3"/>
                <w:sz w:val="18"/>
                <w:szCs w:val="18"/>
              </w:rPr>
              <w:t>0.5</w:t>
            </w:r>
          </w:p>
        </w:tc>
        <w:tc>
          <w:tcPr>
            <w:tcW w:w="533" w:type="dxa"/>
            <w:vAlign w:val="top"/>
          </w:tcPr>
          <w:p w14:paraId="4D3BB629">
            <w:pPr>
              <w:pStyle w:val="6"/>
              <w:spacing w:before="80" w:line="232" w:lineRule="auto"/>
              <w:ind w:left="123"/>
              <w:rPr>
                <w:sz w:val="18"/>
                <w:szCs w:val="18"/>
              </w:rPr>
            </w:pPr>
            <w:r>
              <w:rPr>
                <w:spacing w:val="-3"/>
                <w:sz w:val="18"/>
                <w:szCs w:val="18"/>
              </w:rPr>
              <w:t>5.80</w:t>
            </w:r>
          </w:p>
        </w:tc>
        <w:tc>
          <w:tcPr>
            <w:tcW w:w="533" w:type="dxa"/>
            <w:vAlign w:val="top"/>
          </w:tcPr>
          <w:p w14:paraId="33606DD9">
            <w:pPr>
              <w:pStyle w:val="6"/>
              <w:spacing w:before="80" w:line="232" w:lineRule="auto"/>
              <w:ind w:left="123"/>
              <w:rPr>
                <w:sz w:val="18"/>
                <w:szCs w:val="18"/>
              </w:rPr>
            </w:pPr>
            <w:r>
              <w:rPr>
                <w:spacing w:val="-2"/>
                <w:sz w:val="18"/>
                <w:szCs w:val="18"/>
              </w:rPr>
              <w:t>3.21</w:t>
            </w:r>
          </w:p>
        </w:tc>
        <w:tc>
          <w:tcPr>
            <w:tcW w:w="533" w:type="dxa"/>
            <w:vAlign w:val="top"/>
          </w:tcPr>
          <w:p w14:paraId="63C6269B">
            <w:pPr>
              <w:pStyle w:val="6"/>
              <w:spacing w:before="80" w:line="232" w:lineRule="auto"/>
              <w:ind w:left="124"/>
              <w:rPr>
                <w:sz w:val="18"/>
                <w:szCs w:val="18"/>
              </w:rPr>
            </w:pPr>
            <w:r>
              <w:rPr>
                <w:spacing w:val="-2"/>
                <w:sz w:val="18"/>
                <w:szCs w:val="18"/>
              </w:rPr>
              <w:t>62.0</w:t>
            </w:r>
          </w:p>
        </w:tc>
        <w:tc>
          <w:tcPr>
            <w:tcW w:w="524" w:type="dxa"/>
            <w:tcBorders>
              <w:right w:val="single" w:color="000000" w:sz="12" w:space="0"/>
            </w:tcBorders>
            <w:vAlign w:val="top"/>
          </w:tcPr>
          <w:p w14:paraId="0AF85752">
            <w:pPr>
              <w:pStyle w:val="6"/>
              <w:spacing w:before="80" w:line="232" w:lineRule="auto"/>
              <w:ind w:left="123"/>
              <w:rPr>
                <w:sz w:val="18"/>
                <w:szCs w:val="18"/>
              </w:rPr>
            </w:pPr>
            <w:r>
              <w:rPr>
                <w:spacing w:val="-6"/>
                <w:sz w:val="18"/>
                <w:szCs w:val="18"/>
              </w:rPr>
              <w:t>10.0</w:t>
            </w:r>
          </w:p>
        </w:tc>
      </w:tr>
      <w:tr w14:paraId="747F4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228950B7">
            <w:pPr>
              <w:rPr>
                <w:rFonts w:ascii="Arial"/>
                <w:sz w:val="21"/>
              </w:rPr>
            </w:pPr>
          </w:p>
        </w:tc>
        <w:tc>
          <w:tcPr>
            <w:tcW w:w="245" w:type="dxa"/>
            <w:vMerge w:val="continue"/>
            <w:tcBorders>
              <w:top w:val="nil"/>
              <w:bottom w:val="nil"/>
            </w:tcBorders>
            <w:vAlign w:val="top"/>
          </w:tcPr>
          <w:p w14:paraId="02269032">
            <w:pPr>
              <w:rPr>
                <w:rFonts w:ascii="Arial"/>
                <w:sz w:val="21"/>
              </w:rPr>
            </w:pPr>
          </w:p>
        </w:tc>
        <w:tc>
          <w:tcPr>
            <w:tcW w:w="929" w:type="dxa"/>
            <w:vAlign w:val="top"/>
          </w:tcPr>
          <w:p w14:paraId="5A7ECC5B">
            <w:pPr>
              <w:pStyle w:val="6"/>
              <w:spacing w:before="81" w:line="232" w:lineRule="auto"/>
              <w:ind w:left="83"/>
              <w:rPr>
                <w:sz w:val="18"/>
                <w:szCs w:val="18"/>
              </w:rPr>
            </w:pPr>
            <w:r>
              <w:rPr>
                <w:spacing w:val="-1"/>
                <w:sz w:val="18"/>
                <w:szCs w:val="18"/>
              </w:rPr>
              <w:t>2019/5/11</w:t>
            </w:r>
          </w:p>
        </w:tc>
        <w:tc>
          <w:tcPr>
            <w:tcW w:w="606" w:type="dxa"/>
            <w:vAlign w:val="top"/>
          </w:tcPr>
          <w:p w14:paraId="2E770FB2">
            <w:pPr>
              <w:pStyle w:val="6"/>
              <w:spacing w:before="81" w:line="232" w:lineRule="auto"/>
              <w:ind w:left="133"/>
              <w:rPr>
                <w:sz w:val="18"/>
                <w:szCs w:val="18"/>
              </w:rPr>
            </w:pPr>
            <w:r>
              <w:rPr>
                <w:spacing w:val="-2"/>
                <w:sz w:val="18"/>
                <w:szCs w:val="18"/>
              </w:rPr>
              <w:t>6.51</w:t>
            </w:r>
          </w:p>
        </w:tc>
        <w:tc>
          <w:tcPr>
            <w:tcW w:w="606" w:type="dxa"/>
            <w:vAlign w:val="top"/>
          </w:tcPr>
          <w:p w14:paraId="5034DC73">
            <w:pPr>
              <w:pStyle w:val="6"/>
              <w:spacing w:before="81" w:line="232" w:lineRule="auto"/>
              <w:ind w:left="153"/>
              <w:rPr>
                <w:sz w:val="18"/>
                <w:szCs w:val="18"/>
              </w:rPr>
            </w:pPr>
            <w:r>
              <w:rPr>
                <w:spacing w:val="-1"/>
                <w:sz w:val="18"/>
                <w:szCs w:val="18"/>
              </w:rPr>
              <w:t>218</w:t>
            </w:r>
          </w:p>
        </w:tc>
        <w:tc>
          <w:tcPr>
            <w:tcW w:w="606" w:type="dxa"/>
            <w:vAlign w:val="top"/>
          </w:tcPr>
          <w:p w14:paraId="42D0CBB4">
            <w:pPr>
              <w:pStyle w:val="6"/>
              <w:spacing w:before="81" w:line="232" w:lineRule="auto"/>
              <w:ind w:left="158"/>
              <w:rPr>
                <w:sz w:val="18"/>
                <w:szCs w:val="18"/>
              </w:rPr>
            </w:pPr>
            <w:r>
              <w:rPr>
                <w:spacing w:val="-2"/>
                <w:sz w:val="18"/>
                <w:szCs w:val="18"/>
              </w:rPr>
              <w:t>318</w:t>
            </w:r>
          </w:p>
        </w:tc>
        <w:tc>
          <w:tcPr>
            <w:tcW w:w="606" w:type="dxa"/>
            <w:vAlign w:val="top"/>
          </w:tcPr>
          <w:p w14:paraId="2B9347DE">
            <w:pPr>
              <w:pStyle w:val="6"/>
              <w:spacing w:before="81" w:line="232" w:lineRule="auto"/>
              <w:ind w:left="204"/>
              <w:rPr>
                <w:sz w:val="18"/>
                <w:szCs w:val="18"/>
              </w:rPr>
            </w:pPr>
            <w:r>
              <w:rPr>
                <w:spacing w:val="-3"/>
                <w:sz w:val="18"/>
                <w:szCs w:val="18"/>
              </w:rPr>
              <w:t>56</w:t>
            </w:r>
          </w:p>
        </w:tc>
        <w:tc>
          <w:tcPr>
            <w:tcW w:w="606" w:type="dxa"/>
            <w:vAlign w:val="top"/>
          </w:tcPr>
          <w:p w14:paraId="2E82AA35">
            <w:pPr>
              <w:pStyle w:val="6"/>
              <w:spacing w:before="84" w:line="186" w:lineRule="auto"/>
              <w:ind w:left="162"/>
              <w:rPr>
                <w:sz w:val="18"/>
                <w:szCs w:val="18"/>
              </w:rPr>
            </w:pPr>
            <w:r>
              <w:rPr>
                <w:spacing w:val="-5"/>
                <w:sz w:val="18"/>
                <w:szCs w:val="18"/>
              </w:rPr>
              <w:t>10L</w:t>
            </w:r>
          </w:p>
        </w:tc>
        <w:tc>
          <w:tcPr>
            <w:tcW w:w="606" w:type="dxa"/>
            <w:vAlign w:val="top"/>
          </w:tcPr>
          <w:p w14:paraId="2074DFEA">
            <w:pPr>
              <w:pStyle w:val="6"/>
              <w:spacing w:before="81" w:line="232" w:lineRule="auto"/>
              <w:ind w:left="137"/>
              <w:rPr>
                <w:sz w:val="18"/>
                <w:szCs w:val="18"/>
              </w:rPr>
            </w:pPr>
            <w:r>
              <w:rPr>
                <w:spacing w:val="-2"/>
                <w:sz w:val="18"/>
                <w:szCs w:val="18"/>
              </w:rPr>
              <w:t>0.08</w:t>
            </w:r>
          </w:p>
        </w:tc>
        <w:tc>
          <w:tcPr>
            <w:tcW w:w="605" w:type="dxa"/>
            <w:vAlign w:val="top"/>
          </w:tcPr>
          <w:p w14:paraId="1CD822C7">
            <w:pPr>
              <w:pStyle w:val="6"/>
              <w:spacing w:before="81" w:line="232" w:lineRule="auto"/>
              <w:ind w:left="83"/>
              <w:rPr>
                <w:sz w:val="18"/>
                <w:szCs w:val="18"/>
              </w:rPr>
            </w:pPr>
            <w:r>
              <w:rPr>
                <w:spacing w:val="-2"/>
                <w:sz w:val="18"/>
                <w:szCs w:val="18"/>
              </w:rPr>
              <w:t>0.02L</w:t>
            </w:r>
          </w:p>
        </w:tc>
        <w:tc>
          <w:tcPr>
            <w:tcW w:w="563" w:type="dxa"/>
            <w:vAlign w:val="top"/>
          </w:tcPr>
          <w:p w14:paraId="09683DBD">
            <w:pPr>
              <w:pStyle w:val="6"/>
              <w:spacing w:before="81" w:line="232" w:lineRule="auto"/>
              <w:ind w:left="63"/>
              <w:rPr>
                <w:sz w:val="18"/>
                <w:szCs w:val="18"/>
              </w:rPr>
            </w:pPr>
            <w:r>
              <w:rPr>
                <w:spacing w:val="-2"/>
                <w:sz w:val="18"/>
                <w:szCs w:val="18"/>
              </w:rPr>
              <w:t>0.01L</w:t>
            </w:r>
          </w:p>
        </w:tc>
        <w:tc>
          <w:tcPr>
            <w:tcW w:w="562" w:type="dxa"/>
            <w:vAlign w:val="top"/>
          </w:tcPr>
          <w:p w14:paraId="60B7FE4C">
            <w:pPr>
              <w:pStyle w:val="6"/>
              <w:spacing w:before="81" w:line="232" w:lineRule="auto"/>
              <w:ind w:left="74"/>
              <w:rPr>
                <w:sz w:val="18"/>
                <w:szCs w:val="18"/>
              </w:rPr>
            </w:pPr>
            <w:r>
              <w:rPr>
                <w:spacing w:val="-2"/>
                <w:sz w:val="18"/>
                <w:szCs w:val="18"/>
              </w:rPr>
              <w:t>0.008</w:t>
            </w:r>
          </w:p>
        </w:tc>
        <w:tc>
          <w:tcPr>
            <w:tcW w:w="696" w:type="dxa"/>
            <w:vAlign w:val="top"/>
          </w:tcPr>
          <w:p w14:paraId="38253E07">
            <w:pPr>
              <w:pStyle w:val="6"/>
              <w:spacing w:before="81" w:line="232" w:lineRule="auto"/>
              <w:ind w:left="41"/>
              <w:rPr>
                <w:sz w:val="18"/>
                <w:szCs w:val="18"/>
              </w:rPr>
            </w:pPr>
            <w:r>
              <w:rPr>
                <w:spacing w:val="-1"/>
                <w:sz w:val="18"/>
                <w:szCs w:val="18"/>
              </w:rPr>
              <w:t>0.0003L</w:t>
            </w:r>
          </w:p>
        </w:tc>
        <w:tc>
          <w:tcPr>
            <w:tcW w:w="605" w:type="dxa"/>
            <w:vAlign w:val="top"/>
          </w:tcPr>
          <w:p w14:paraId="7E3E75F7">
            <w:pPr>
              <w:pStyle w:val="6"/>
              <w:spacing w:before="81" w:line="232" w:lineRule="auto"/>
              <w:ind w:left="142"/>
              <w:rPr>
                <w:sz w:val="18"/>
                <w:szCs w:val="18"/>
              </w:rPr>
            </w:pPr>
            <w:r>
              <w:rPr>
                <w:spacing w:val="-2"/>
                <w:sz w:val="18"/>
                <w:szCs w:val="18"/>
              </w:rPr>
              <w:t>0.08</w:t>
            </w:r>
          </w:p>
        </w:tc>
        <w:tc>
          <w:tcPr>
            <w:tcW w:w="582" w:type="dxa"/>
            <w:vAlign w:val="top"/>
          </w:tcPr>
          <w:p w14:paraId="466DD95C">
            <w:pPr>
              <w:pStyle w:val="6"/>
              <w:spacing w:before="81" w:line="232" w:lineRule="auto"/>
              <w:ind w:left="132"/>
              <w:rPr>
                <w:sz w:val="18"/>
                <w:szCs w:val="18"/>
              </w:rPr>
            </w:pPr>
            <w:r>
              <w:rPr>
                <w:spacing w:val="-2"/>
                <w:sz w:val="18"/>
                <w:szCs w:val="18"/>
              </w:rPr>
              <w:t>0.03</w:t>
            </w:r>
          </w:p>
        </w:tc>
        <w:tc>
          <w:tcPr>
            <w:tcW w:w="583" w:type="dxa"/>
            <w:vAlign w:val="top"/>
          </w:tcPr>
          <w:p w14:paraId="1060C567">
            <w:pPr>
              <w:pStyle w:val="6"/>
              <w:spacing w:before="81" w:line="232" w:lineRule="auto"/>
              <w:ind w:left="133"/>
              <w:rPr>
                <w:sz w:val="18"/>
                <w:szCs w:val="18"/>
              </w:rPr>
            </w:pPr>
            <w:r>
              <w:rPr>
                <w:spacing w:val="-2"/>
                <w:sz w:val="18"/>
                <w:szCs w:val="18"/>
              </w:rPr>
              <w:t>0.64</w:t>
            </w:r>
          </w:p>
        </w:tc>
        <w:tc>
          <w:tcPr>
            <w:tcW w:w="582" w:type="dxa"/>
            <w:vAlign w:val="top"/>
          </w:tcPr>
          <w:p w14:paraId="04723659">
            <w:pPr>
              <w:pStyle w:val="6"/>
              <w:spacing w:before="81" w:line="232" w:lineRule="auto"/>
              <w:ind w:left="88"/>
              <w:rPr>
                <w:sz w:val="18"/>
                <w:szCs w:val="18"/>
              </w:rPr>
            </w:pPr>
            <w:r>
              <w:rPr>
                <w:spacing w:val="-2"/>
                <w:sz w:val="18"/>
                <w:szCs w:val="18"/>
              </w:rPr>
              <w:t>0.004</w:t>
            </w:r>
          </w:p>
        </w:tc>
        <w:tc>
          <w:tcPr>
            <w:tcW w:w="582" w:type="dxa"/>
            <w:vAlign w:val="top"/>
          </w:tcPr>
          <w:p w14:paraId="2C440307">
            <w:pPr>
              <w:pStyle w:val="6"/>
              <w:spacing w:before="81" w:line="232" w:lineRule="auto"/>
              <w:ind w:left="34"/>
              <w:rPr>
                <w:sz w:val="18"/>
                <w:szCs w:val="18"/>
              </w:rPr>
            </w:pPr>
            <w:r>
              <w:rPr>
                <w:spacing w:val="-2"/>
                <w:sz w:val="18"/>
                <w:szCs w:val="18"/>
              </w:rPr>
              <w:t>0.025L</w:t>
            </w:r>
          </w:p>
        </w:tc>
        <w:tc>
          <w:tcPr>
            <w:tcW w:w="582" w:type="dxa"/>
            <w:vAlign w:val="top"/>
          </w:tcPr>
          <w:p w14:paraId="7CBEE970">
            <w:pPr>
              <w:pStyle w:val="6"/>
              <w:spacing w:before="81" w:line="232" w:lineRule="auto"/>
              <w:ind w:left="135"/>
              <w:rPr>
                <w:sz w:val="18"/>
                <w:szCs w:val="18"/>
              </w:rPr>
            </w:pPr>
            <w:r>
              <w:rPr>
                <w:spacing w:val="-2"/>
                <w:sz w:val="18"/>
                <w:szCs w:val="18"/>
              </w:rPr>
              <w:t>0.11</w:t>
            </w:r>
          </w:p>
        </w:tc>
        <w:tc>
          <w:tcPr>
            <w:tcW w:w="581" w:type="dxa"/>
            <w:vAlign w:val="top"/>
          </w:tcPr>
          <w:p w14:paraId="2791BE8D">
            <w:pPr>
              <w:pStyle w:val="6"/>
              <w:spacing w:before="81" w:line="232" w:lineRule="auto"/>
              <w:ind w:left="37"/>
              <w:rPr>
                <w:sz w:val="18"/>
                <w:szCs w:val="18"/>
              </w:rPr>
            </w:pPr>
            <w:r>
              <w:rPr>
                <w:spacing w:val="-2"/>
                <w:sz w:val="18"/>
                <w:szCs w:val="18"/>
              </w:rPr>
              <w:t>0.004L</w:t>
            </w:r>
          </w:p>
        </w:tc>
        <w:tc>
          <w:tcPr>
            <w:tcW w:w="851" w:type="dxa"/>
            <w:vAlign w:val="top"/>
          </w:tcPr>
          <w:p w14:paraId="35E79518">
            <w:pPr>
              <w:pStyle w:val="6"/>
              <w:spacing w:before="81" w:line="232" w:lineRule="auto"/>
              <w:ind w:left="139"/>
              <w:rPr>
                <w:sz w:val="18"/>
                <w:szCs w:val="18"/>
              </w:rPr>
            </w:pPr>
            <w:r>
              <w:rPr>
                <w:spacing w:val="-1"/>
                <w:sz w:val="18"/>
                <w:szCs w:val="18"/>
              </w:rPr>
              <w:t>0.00013</w:t>
            </w:r>
          </w:p>
        </w:tc>
        <w:tc>
          <w:tcPr>
            <w:tcW w:w="644" w:type="dxa"/>
            <w:vAlign w:val="top"/>
          </w:tcPr>
          <w:p w14:paraId="7217FE05">
            <w:pPr>
              <w:pStyle w:val="6"/>
              <w:spacing w:before="81" w:line="232" w:lineRule="auto"/>
              <w:ind w:left="81"/>
              <w:rPr>
                <w:sz w:val="18"/>
                <w:szCs w:val="18"/>
              </w:rPr>
            </w:pPr>
            <w:r>
              <w:rPr>
                <w:spacing w:val="-2"/>
                <w:sz w:val="18"/>
                <w:szCs w:val="18"/>
              </w:rPr>
              <w:t>0.0039</w:t>
            </w:r>
          </w:p>
        </w:tc>
        <w:tc>
          <w:tcPr>
            <w:tcW w:w="639" w:type="dxa"/>
            <w:vAlign w:val="top"/>
          </w:tcPr>
          <w:p w14:paraId="2E3D9EBE">
            <w:pPr>
              <w:pStyle w:val="6"/>
              <w:spacing w:before="81" w:line="232" w:lineRule="auto"/>
              <w:ind w:left="78"/>
              <w:rPr>
                <w:sz w:val="18"/>
                <w:szCs w:val="18"/>
              </w:rPr>
            </w:pPr>
            <w:r>
              <w:rPr>
                <w:spacing w:val="-2"/>
                <w:sz w:val="18"/>
                <w:szCs w:val="18"/>
              </w:rPr>
              <w:t>0.0009</w:t>
            </w:r>
          </w:p>
        </w:tc>
        <w:tc>
          <w:tcPr>
            <w:tcW w:w="640" w:type="dxa"/>
            <w:vAlign w:val="top"/>
          </w:tcPr>
          <w:p w14:paraId="3082CB96">
            <w:pPr>
              <w:pStyle w:val="6"/>
              <w:spacing w:before="81" w:line="232" w:lineRule="auto"/>
              <w:ind w:left="70"/>
              <w:rPr>
                <w:sz w:val="18"/>
                <w:szCs w:val="18"/>
              </w:rPr>
            </w:pPr>
            <w:r>
              <w:rPr>
                <w:spacing w:val="-2"/>
                <w:sz w:val="18"/>
                <w:szCs w:val="18"/>
              </w:rPr>
              <w:t>0.001L</w:t>
            </w:r>
          </w:p>
        </w:tc>
        <w:tc>
          <w:tcPr>
            <w:tcW w:w="639" w:type="dxa"/>
            <w:vAlign w:val="top"/>
          </w:tcPr>
          <w:p w14:paraId="7B23B9AD">
            <w:pPr>
              <w:pStyle w:val="6"/>
              <w:spacing w:before="81" w:line="232" w:lineRule="auto"/>
              <w:ind w:left="125"/>
              <w:rPr>
                <w:sz w:val="18"/>
                <w:szCs w:val="18"/>
              </w:rPr>
            </w:pPr>
            <w:r>
              <w:rPr>
                <w:spacing w:val="-2"/>
                <w:sz w:val="18"/>
                <w:szCs w:val="18"/>
              </w:rPr>
              <w:t>0.005</w:t>
            </w:r>
          </w:p>
        </w:tc>
        <w:tc>
          <w:tcPr>
            <w:tcW w:w="639" w:type="dxa"/>
            <w:vAlign w:val="top"/>
          </w:tcPr>
          <w:p w14:paraId="7880F939">
            <w:pPr>
              <w:pStyle w:val="6"/>
              <w:spacing w:before="81" w:line="232" w:lineRule="auto"/>
              <w:ind w:left="114"/>
              <w:rPr>
                <w:sz w:val="18"/>
                <w:szCs w:val="18"/>
              </w:rPr>
            </w:pPr>
            <w:r>
              <w:rPr>
                <w:spacing w:val="-2"/>
                <w:sz w:val="18"/>
                <w:szCs w:val="18"/>
              </w:rPr>
              <w:t>0.01L</w:t>
            </w:r>
          </w:p>
        </w:tc>
        <w:tc>
          <w:tcPr>
            <w:tcW w:w="640" w:type="dxa"/>
            <w:vAlign w:val="top"/>
          </w:tcPr>
          <w:p w14:paraId="782AA74D">
            <w:pPr>
              <w:pStyle w:val="6"/>
              <w:spacing w:before="81" w:line="232" w:lineRule="auto"/>
              <w:ind w:left="127"/>
              <w:rPr>
                <w:sz w:val="18"/>
                <w:szCs w:val="18"/>
              </w:rPr>
            </w:pPr>
            <w:r>
              <w:rPr>
                <w:spacing w:val="-2"/>
                <w:sz w:val="18"/>
                <w:szCs w:val="18"/>
              </w:rPr>
              <w:t>0.131</w:t>
            </w:r>
          </w:p>
        </w:tc>
        <w:tc>
          <w:tcPr>
            <w:tcW w:w="827" w:type="dxa"/>
            <w:vAlign w:val="top"/>
          </w:tcPr>
          <w:p w14:paraId="23842CE5">
            <w:pPr>
              <w:pStyle w:val="6"/>
              <w:spacing w:before="81" w:line="232" w:lineRule="auto"/>
              <w:ind w:left="302"/>
              <w:rPr>
                <w:sz w:val="18"/>
                <w:szCs w:val="18"/>
              </w:rPr>
            </w:pPr>
            <w:r>
              <w:rPr>
                <w:spacing w:val="-5"/>
                <w:sz w:val="18"/>
                <w:szCs w:val="18"/>
              </w:rPr>
              <w:t>130</w:t>
            </w:r>
          </w:p>
        </w:tc>
        <w:tc>
          <w:tcPr>
            <w:tcW w:w="457" w:type="dxa"/>
            <w:vAlign w:val="top"/>
          </w:tcPr>
          <w:p w14:paraId="2E008827">
            <w:pPr>
              <w:pStyle w:val="6"/>
              <w:spacing w:before="81" w:line="232" w:lineRule="auto"/>
              <w:ind w:left="104"/>
              <w:rPr>
                <w:sz w:val="18"/>
                <w:szCs w:val="18"/>
              </w:rPr>
            </w:pPr>
            <w:r>
              <w:rPr>
                <w:spacing w:val="-2"/>
                <w:sz w:val="18"/>
                <w:szCs w:val="18"/>
              </w:rPr>
              <w:t>341</w:t>
            </w:r>
          </w:p>
        </w:tc>
        <w:tc>
          <w:tcPr>
            <w:tcW w:w="533" w:type="dxa"/>
            <w:vAlign w:val="top"/>
          </w:tcPr>
          <w:p w14:paraId="4BFB266E">
            <w:pPr>
              <w:pStyle w:val="6"/>
              <w:spacing w:before="81" w:line="232" w:lineRule="auto"/>
              <w:ind w:left="164"/>
              <w:rPr>
                <w:sz w:val="18"/>
                <w:szCs w:val="18"/>
              </w:rPr>
            </w:pPr>
            <w:r>
              <w:rPr>
                <w:spacing w:val="-3"/>
                <w:sz w:val="18"/>
                <w:szCs w:val="18"/>
              </w:rPr>
              <w:t>0.6</w:t>
            </w:r>
          </w:p>
        </w:tc>
        <w:tc>
          <w:tcPr>
            <w:tcW w:w="533" w:type="dxa"/>
            <w:vAlign w:val="top"/>
          </w:tcPr>
          <w:p w14:paraId="7EE4136E">
            <w:pPr>
              <w:pStyle w:val="6"/>
              <w:spacing w:before="81" w:line="232" w:lineRule="auto"/>
              <w:ind w:left="123"/>
              <w:rPr>
                <w:sz w:val="18"/>
                <w:szCs w:val="18"/>
              </w:rPr>
            </w:pPr>
            <w:r>
              <w:rPr>
                <w:spacing w:val="-3"/>
                <w:sz w:val="18"/>
                <w:szCs w:val="18"/>
              </w:rPr>
              <w:t>5.01</w:t>
            </w:r>
          </w:p>
        </w:tc>
        <w:tc>
          <w:tcPr>
            <w:tcW w:w="533" w:type="dxa"/>
            <w:vAlign w:val="top"/>
          </w:tcPr>
          <w:p w14:paraId="01564D13">
            <w:pPr>
              <w:pStyle w:val="6"/>
              <w:spacing w:before="81" w:line="232" w:lineRule="auto"/>
              <w:ind w:left="123"/>
              <w:rPr>
                <w:sz w:val="18"/>
                <w:szCs w:val="18"/>
              </w:rPr>
            </w:pPr>
            <w:r>
              <w:rPr>
                <w:spacing w:val="-2"/>
                <w:sz w:val="18"/>
                <w:szCs w:val="18"/>
              </w:rPr>
              <w:t>3.16</w:t>
            </w:r>
          </w:p>
        </w:tc>
        <w:tc>
          <w:tcPr>
            <w:tcW w:w="533" w:type="dxa"/>
            <w:vAlign w:val="top"/>
          </w:tcPr>
          <w:p w14:paraId="6841EBB2">
            <w:pPr>
              <w:pStyle w:val="6"/>
              <w:spacing w:before="81" w:line="232" w:lineRule="auto"/>
              <w:ind w:left="124"/>
              <w:rPr>
                <w:sz w:val="18"/>
                <w:szCs w:val="18"/>
              </w:rPr>
            </w:pPr>
            <w:r>
              <w:rPr>
                <w:spacing w:val="-2"/>
                <w:sz w:val="18"/>
                <w:szCs w:val="18"/>
              </w:rPr>
              <w:t>60.8</w:t>
            </w:r>
          </w:p>
        </w:tc>
        <w:tc>
          <w:tcPr>
            <w:tcW w:w="524" w:type="dxa"/>
            <w:tcBorders>
              <w:right w:val="single" w:color="000000" w:sz="12" w:space="0"/>
            </w:tcBorders>
            <w:vAlign w:val="top"/>
          </w:tcPr>
          <w:p w14:paraId="472035E1">
            <w:pPr>
              <w:pStyle w:val="6"/>
              <w:spacing w:before="81" w:line="232" w:lineRule="auto"/>
              <w:ind w:left="123"/>
              <w:rPr>
                <w:sz w:val="18"/>
                <w:szCs w:val="18"/>
              </w:rPr>
            </w:pPr>
            <w:r>
              <w:rPr>
                <w:spacing w:val="-6"/>
                <w:sz w:val="18"/>
                <w:szCs w:val="18"/>
              </w:rPr>
              <w:t>11.7</w:t>
            </w:r>
          </w:p>
        </w:tc>
      </w:tr>
      <w:tr w14:paraId="54ECD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4FEEE648">
            <w:pPr>
              <w:rPr>
                <w:rFonts w:ascii="Arial"/>
                <w:sz w:val="21"/>
              </w:rPr>
            </w:pPr>
          </w:p>
        </w:tc>
        <w:tc>
          <w:tcPr>
            <w:tcW w:w="245" w:type="dxa"/>
            <w:vMerge w:val="continue"/>
            <w:tcBorders>
              <w:top w:val="nil"/>
            </w:tcBorders>
            <w:vAlign w:val="top"/>
          </w:tcPr>
          <w:p w14:paraId="1777D61D">
            <w:pPr>
              <w:rPr>
                <w:rFonts w:ascii="Arial"/>
                <w:sz w:val="21"/>
              </w:rPr>
            </w:pPr>
          </w:p>
        </w:tc>
        <w:tc>
          <w:tcPr>
            <w:tcW w:w="929" w:type="dxa"/>
            <w:vAlign w:val="top"/>
          </w:tcPr>
          <w:p w14:paraId="30AF0F44">
            <w:pPr>
              <w:pStyle w:val="6"/>
              <w:spacing w:before="79" w:line="232" w:lineRule="auto"/>
              <w:ind w:left="83"/>
              <w:rPr>
                <w:sz w:val="18"/>
                <w:szCs w:val="18"/>
              </w:rPr>
            </w:pPr>
            <w:r>
              <w:rPr>
                <w:spacing w:val="-1"/>
                <w:sz w:val="18"/>
                <w:szCs w:val="18"/>
              </w:rPr>
              <w:t>2019/5/12</w:t>
            </w:r>
          </w:p>
        </w:tc>
        <w:tc>
          <w:tcPr>
            <w:tcW w:w="606" w:type="dxa"/>
            <w:vAlign w:val="top"/>
          </w:tcPr>
          <w:p w14:paraId="27CAAED8">
            <w:pPr>
              <w:pStyle w:val="6"/>
              <w:spacing w:before="86" w:line="224" w:lineRule="auto"/>
              <w:ind w:left="132"/>
              <w:rPr>
                <w:sz w:val="18"/>
                <w:szCs w:val="18"/>
              </w:rPr>
            </w:pPr>
            <w:r>
              <w:rPr>
                <w:b/>
                <w:bCs/>
                <w:spacing w:val="-2"/>
                <w:sz w:val="18"/>
                <w:szCs w:val="18"/>
              </w:rPr>
              <w:t>6.48</w:t>
            </w:r>
          </w:p>
        </w:tc>
        <w:tc>
          <w:tcPr>
            <w:tcW w:w="606" w:type="dxa"/>
            <w:vAlign w:val="top"/>
          </w:tcPr>
          <w:p w14:paraId="24EC1B5C">
            <w:pPr>
              <w:pStyle w:val="6"/>
              <w:spacing w:before="79" w:line="232" w:lineRule="auto"/>
              <w:ind w:left="153"/>
              <w:rPr>
                <w:sz w:val="18"/>
                <w:szCs w:val="18"/>
              </w:rPr>
            </w:pPr>
            <w:r>
              <w:rPr>
                <w:spacing w:val="-1"/>
                <w:sz w:val="18"/>
                <w:szCs w:val="18"/>
              </w:rPr>
              <w:t>225</w:t>
            </w:r>
          </w:p>
        </w:tc>
        <w:tc>
          <w:tcPr>
            <w:tcW w:w="606" w:type="dxa"/>
            <w:vAlign w:val="top"/>
          </w:tcPr>
          <w:p w14:paraId="2BB11B61">
            <w:pPr>
              <w:pStyle w:val="6"/>
              <w:spacing w:before="79" w:line="232" w:lineRule="auto"/>
              <w:ind w:left="158"/>
              <w:rPr>
                <w:sz w:val="18"/>
                <w:szCs w:val="18"/>
              </w:rPr>
            </w:pPr>
            <w:r>
              <w:rPr>
                <w:spacing w:val="-2"/>
                <w:sz w:val="18"/>
                <w:szCs w:val="18"/>
              </w:rPr>
              <w:t>311</w:t>
            </w:r>
          </w:p>
        </w:tc>
        <w:tc>
          <w:tcPr>
            <w:tcW w:w="606" w:type="dxa"/>
            <w:vAlign w:val="top"/>
          </w:tcPr>
          <w:p w14:paraId="3F1832F8">
            <w:pPr>
              <w:pStyle w:val="6"/>
              <w:spacing w:before="79" w:line="232" w:lineRule="auto"/>
              <w:ind w:left="204"/>
              <w:rPr>
                <w:sz w:val="18"/>
                <w:szCs w:val="18"/>
              </w:rPr>
            </w:pPr>
            <w:r>
              <w:rPr>
                <w:spacing w:val="-3"/>
                <w:sz w:val="18"/>
                <w:szCs w:val="18"/>
              </w:rPr>
              <w:t>53</w:t>
            </w:r>
          </w:p>
        </w:tc>
        <w:tc>
          <w:tcPr>
            <w:tcW w:w="606" w:type="dxa"/>
            <w:vAlign w:val="top"/>
          </w:tcPr>
          <w:p w14:paraId="4C128537">
            <w:pPr>
              <w:pStyle w:val="6"/>
              <w:spacing w:before="83" w:line="186" w:lineRule="auto"/>
              <w:ind w:left="162"/>
              <w:rPr>
                <w:sz w:val="18"/>
                <w:szCs w:val="18"/>
              </w:rPr>
            </w:pPr>
            <w:r>
              <w:rPr>
                <w:spacing w:val="-5"/>
                <w:sz w:val="18"/>
                <w:szCs w:val="18"/>
              </w:rPr>
              <w:t>10L</w:t>
            </w:r>
          </w:p>
        </w:tc>
        <w:tc>
          <w:tcPr>
            <w:tcW w:w="606" w:type="dxa"/>
            <w:vAlign w:val="top"/>
          </w:tcPr>
          <w:p w14:paraId="3AE8EDB3">
            <w:pPr>
              <w:pStyle w:val="6"/>
              <w:spacing w:before="79" w:line="232" w:lineRule="auto"/>
              <w:ind w:left="137"/>
              <w:rPr>
                <w:sz w:val="18"/>
                <w:szCs w:val="18"/>
              </w:rPr>
            </w:pPr>
            <w:r>
              <w:rPr>
                <w:spacing w:val="-2"/>
                <w:sz w:val="18"/>
                <w:szCs w:val="18"/>
              </w:rPr>
              <w:t>0.07</w:t>
            </w:r>
          </w:p>
        </w:tc>
        <w:tc>
          <w:tcPr>
            <w:tcW w:w="605" w:type="dxa"/>
            <w:vAlign w:val="top"/>
          </w:tcPr>
          <w:p w14:paraId="4997BACB">
            <w:pPr>
              <w:pStyle w:val="6"/>
              <w:spacing w:before="79" w:line="232" w:lineRule="auto"/>
              <w:ind w:left="83"/>
              <w:rPr>
                <w:sz w:val="18"/>
                <w:szCs w:val="18"/>
              </w:rPr>
            </w:pPr>
            <w:r>
              <w:rPr>
                <w:spacing w:val="-2"/>
                <w:sz w:val="18"/>
                <w:szCs w:val="18"/>
              </w:rPr>
              <w:t>0.02L</w:t>
            </w:r>
          </w:p>
        </w:tc>
        <w:tc>
          <w:tcPr>
            <w:tcW w:w="563" w:type="dxa"/>
            <w:vAlign w:val="top"/>
          </w:tcPr>
          <w:p w14:paraId="57CAA73B">
            <w:pPr>
              <w:pStyle w:val="6"/>
              <w:spacing w:before="79" w:line="232" w:lineRule="auto"/>
              <w:ind w:left="63"/>
              <w:rPr>
                <w:sz w:val="18"/>
                <w:szCs w:val="18"/>
              </w:rPr>
            </w:pPr>
            <w:r>
              <w:rPr>
                <w:spacing w:val="-2"/>
                <w:sz w:val="18"/>
                <w:szCs w:val="18"/>
              </w:rPr>
              <w:t>0.01L</w:t>
            </w:r>
          </w:p>
        </w:tc>
        <w:tc>
          <w:tcPr>
            <w:tcW w:w="562" w:type="dxa"/>
            <w:vAlign w:val="top"/>
          </w:tcPr>
          <w:p w14:paraId="59211F9C">
            <w:pPr>
              <w:pStyle w:val="6"/>
              <w:spacing w:before="79" w:line="232" w:lineRule="auto"/>
              <w:ind w:left="74"/>
              <w:rPr>
                <w:sz w:val="18"/>
                <w:szCs w:val="18"/>
              </w:rPr>
            </w:pPr>
            <w:r>
              <w:rPr>
                <w:spacing w:val="-2"/>
                <w:sz w:val="18"/>
                <w:szCs w:val="18"/>
              </w:rPr>
              <w:t>0.009</w:t>
            </w:r>
          </w:p>
        </w:tc>
        <w:tc>
          <w:tcPr>
            <w:tcW w:w="696" w:type="dxa"/>
            <w:vAlign w:val="top"/>
          </w:tcPr>
          <w:p w14:paraId="6E3150B9">
            <w:pPr>
              <w:pStyle w:val="6"/>
              <w:spacing w:before="79" w:line="232" w:lineRule="auto"/>
              <w:ind w:left="41"/>
              <w:rPr>
                <w:sz w:val="18"/>
                <w:szCs w:val="18"/>
              </w:rPr>
            </w:pPr>
            <w:r>
              <w:rPr>
                <w:spacing w:val="-1"/>
                <w:sz w:val="18"/>
                <w:szCs w:val="18"/>
              </w:rPr>
              <w:t>0.0003L</w:t>
            </w:r>
          </w:p>
        </w:tc>
        <w:tc>
          <w:tcPr>
            <w:tcW w:w="605" w:type="dxa"/>
            <w:vAlign w:val="top"/>
          </w:tcPr>
          <w:p w14:paraId="47D397CD">
            <w:pPr>
              <w:pStyle w:val="6"/>
              <w:spacing w:before="79" w:line="232" w:lineRule="auto"/>
              <w:ind w:left="142"/>
              <w:rPr>
                <w:sz w:val="18"/>
                <w:szCs w:val="18"/>
              </w:rPr>
            </w:pPr>
            <w:r>
              <w:rPr>
                <w:spacing w:val="-2"/>
                <w:sz w:val="18"/>
                <w:szCs w:val="18"/>
              </w:rPr>
              <w:t>0.07</w:t>
            </w:r>
          </w:p>
        </w:tc>
        <w:tc>
          <w:tcPr>
            <w:tcW w:w="582" w:type="dxa"/>
            <w:vAlign w:val="top"/>
          </w:tcPr>
          <w:p w14:paraId="3518FF1F">
            <w:pPr>
              <w:pStyle w:val="6"/>
              <w:spacing w:before="79" w:line="232" w:lineRule="auto"/>
              <w:ind w:left="132"/>
              <w:rPr>
                <w:sz w:val="18"/>
                <w:szCs w:val="18"/>
              </w:rPr>
            </w:pPr>
            <w:r>
              <w:rPr>
                <w:spacing w:val="-2"/>
                <w:sz w:val="18"/>
                <w:szCs w:val="18"/>
              </w:rPr>
              <w:t>0.04</w:t>
            </w:r>
          </w:p>
        </w:tc>
        <w:tc>
          <w:tcPr>
            <w:tcW w:w="583" w:type="dxa"/>
            <w:vAlign w:val="top"/>
          </w:tcPr>
          <w:p w14:paraId="42CE9F55">
            <w:pPr>
              <w:pStyle w:val="6"/>
              <w:spacing w:before="79" w:line="232" w:lineRule="auto"/>
              <w:ind w:left="133"/>
              <w:rPr>
                <w:sz w:val="18"/>
                <w:szCs w:val="18"/>
              </w:rPr>
            </w:pPr>
            <w:r>
              <w:rPr>
                <w:spacing w:val="-2"/>
                <w:sz w:val="18"/>
                <w:szCs w:val="18"/>
              </w:rPr>
              <w:t>0.66</w:t>
            </w:r>
          </w:p>
        </w:tc>
        <w:tc>
          <w:tcPr>
            <w:tcW w:w="582" w:type="dxa"/>
            <w:vAlign w:val="top"/>
          </w:tcPr>
          <w:p w14:paraId="73B8F64E">
            <w:pPr>
              <w:pStyle w:val="6"/>
              <w:spacing w:before="79" w:line="232" w:lineRule="auto"/>
              <w:ind w:left="88"/>
              <w:rPr>
                <w:sz w:val="18"/>
                <w:szCs w:val="18"/>
              </w:rPr>
            </w:pPr>
            <w:r>
              <w:rPr>
                <w:spacing w:val="-2"/>
                <w:sz w:val="18"/>
                <w:szCs w:val="18"/>
              </w:rPr>
              <w:t>0.003</w:t>
            </w:r>
          </w:p>
        </w:tc>
        <w:tc>
          <w:tcPr>
            <w:tcW w:w="582" w:type="dxa"/>
            <w:vAlign w:val="top"/>
          </w:tcPr>
          <w:p w14:paraId="15246659">
            <w:pPr>
              <w:pStyle w:val="6"/>
              <w:spacing w:before="79" w:line="232" w:lineRule="auto"/>
              <w:ind w:left="34"/>
              <w:rPr>
                <w:sz w:val="18"/>
                <w:szCs w:val="18"/>
              </w:rPr>
            </w:pPr>
            <w:r>
              <w:rPr>
                <w:spacing w:val="-2"/>
                <w:sz w:val="18"/>
                <w:szCs w:val="18"/>
              </w:rPr>
              <w:t>0.025L</w:t>
            </w:r>
          </w:p>
        </w:tc>
        <w:tc>
          <w:tcPr>
            <w:tcW w:w="582" w:type="dxa"/>
            <w:vAlign w:val="top"/>
          </w:tcPr>
          <w:p w14:paraId="53D4C474">
            <w:pPr>
              <w:pStyle w:val="6"/>
              <w:spacing w:before="79" w:line="232" w:lineRule="auto"/>
              <w:ind w:left="135"/>
              <w:rPr>
                <w:sz w:val="18"/>
                <w:szCs w:val="18"/>
              </w:rPr>
            </w:pPr>
            <w:r>
              <w:rPr>
                <w:spacing w:val="-2"/>
                <w:sz w:val="18"/>
                <w:szCs w:val="18"/>
              </w:rPr>
              <w:t>0.08</w:t>
            </w:r>
          </w:p>
        </w:tc>
        <w:tc>
          <w:tcPr>
            <w:tcW w:w="581" w:type="dxa"/>
            <w:vAlign w:val="top"/>
          </w:tcPr>
          <w:p w14:paraId="2AF4B6D4">
            <w:pPr>
              <w:pStyle w:val="6"/>
              <w:spacing w:before="79" w:line="232" w:lineRule="auto"/>
              <w:ind w:left="37"/>
              <w:rPr>
                <w:sz w:val="18"/>
                <w:szCs w:val="18"/>
              </w:rPr>
            </w:pPr>
            <w:r>
              <w:rPr>
                <w:spacing w:val="-2"/>
                <w:sz w:val="18"/>
                <w:szCs w:val="18"/>
              </w:rPr>
              <w:t>0.004L</w:t>
            </w:r>
          </w:p>
        </w:tc>
        <w:tc>
          <w:tcPr>
            <w:tcW w:w="851" w:type="dxa"/>
            <w:vAlign w:val="top"/>
          </w:tcPr>
          <w:p w14:paraId="64A6ACD0">
            <w:pPr>
              <w:pStyle w:val="6"/>
              <w:spacing w:before="79" w:line="232" w:lineRule="auto"/>
              <w:ind w:left="139"/>
              <w:rPr>
                <w:sz w:val="18"/>
                <w:szCs w:val="18"/>
              </w:rPr>
            </w:pPr>
            <w:r>
              <w:rPr>
                <w:spacing w:val="-1"/>
                <w:sz w:val="18"/>
                <w:szCs w:val="18"/>
              </w:rPr>
              <w:t>0.00012</w:t>
            </w:r>
          </w:p>
        </w:tc>
        <w:tc>
          <w:tcPr>
            <w:tcW w:w="644" w:type="dxa"/>
            <w:vAlign w:val="top"/>
          </w:tcPr>
          <w:p w14:paraId="1FB63C98">
            <w:pPr>
              <w:pStyle w:val="6"/>
              <w:spacing w:before="79" w:line="232" w:lineRule="auto"/>
              <w:ind w:left="81"/>
              <w:rPr>
                <w:sz w:val="18"/>
                <w:szCs w:val="18"/>
              </w:rPr>
            </w:pPr>
            <w:r>
              <w:rPr>
                <w:spacing w:val="-2"/>
                <w:sz w:val="18"/>
                <w:szCs w:val="18"/>
              </w:rPr>
              <w:t>0.0036</w:t>
            </w:r>
          </w:p>
        </w:tc>
        <w:tc>
          <w:tcPr>
            <w:tcW w:w="639" w:type="dxa"/>
            <w:vAlign w:val="top"/>
          </w:tcPr>
          <w:p w14:paraId="26E0B12E">
            <w:pPr>
              <w:pStyle w:val="6"/>
              <w:spacing w:before="79" w:line="232" w:lineRule="auto"/>
              <w:ind w:left="123"/>
              <w:rPr>
                <w:sz w:val="18"/>
                <w:szCs w:val="18"/>
              </w:rPr>
            </w:pPr>
            <w:r>
              <w:rPr>
                <w:spacing w:val="-2"/>
                <w:sz w:val="18"/>
                <w:szCs w:val="18"/>
              </w:rPr>
              <w:t>0.006</w:t>
            </w:r>
          </w:p>
        </w:tc>
        <w:tc>
          <w:tcPr>
            <w:tcW w:w="640" w:type="dxa"/>
            <w:vAlign w:val="top"/>
          </w:tcPr>
          <w:p w14:paraId="592612AC">
            <w:pPr>
              <w:pStyle w:val="6"/>
              <w:spacing w:before="79" w:line="232" w:lineRule="auto"/>
              <w:ind w:left="70"/>
              <w:rPr>
                <w:sz w:val="18"/>
                <w:szCs w:val="18"/>
              </w:rPr>
            </w:pPr>
            <w:r>
              <w:rPr>
                <w:spacing w:val="-2"/>
                <w:sz w:val="18"/>
                <w:szCs w:val="18"/>
              </w:rPr>
              <w:t>0.001L</w:t>
            </w:r>
          </w:p>
        </w:tc>
        <w:tc>
          <w:tcPr>
            <w:tcW w:w="639" w:type="dxa"/>
            <w:vAlign w:val="top"/>
          </w:tcPr>
          <w:p w14:paraId="04D035F1">
            <w:pPr>
              <w:pStyle w:val="6"/>
              <w:spacing w:before="79" w:line="232" w:lineRule="auto"/>
              <w:ind w:left="125"/>
              <w:rPr>
                <w:sz w:val="18"/>
                <w:szCs w:val="18"/>
              </w:rPr>
            </w:pPr>
            <w:r>
              <w:rPr>
                <w:spacing w:val="-2"/>
                <w:sz w:val="18"/>
                <w:szCs w:val="18"/>
              </w:rPr>
              <w:t>0.004</w:t>
            </w:r>
          </w:p>
        </w:tc>
        <w:tc>
          <w:tcPr>
            <w:tcW w:w="639" w:type="dxa"/>
            <w:vAlign w:val="top"/>
          </w:tcPr>
          <w:p w14:paraId="4CEBFFF8">
            <w:pPr>
              <w:pStyle w:val="6"/>
              <w:spacing w:before="79" w:line="232" w:lineRule="auto"/>
              <w:ind w:left="114"/>
              <w:rPr>
                <w:sz w:val="18"/>
                <w:szCs w:val="18"/>
              </w:rPr>
            </w:pPr>
            <w:r>
              <w:rPr>
                <w:spacing w:val="-2"/>
                <w:sz w:val="18"/>
                <w:szCs w:val="18"/>
              </w:rPr>
              <w:t>0.01L</w:t>
            </w:r>
          </w:p>
        </w:tc>
        <w:tc>
          <w:tcPr>
            <w:tcW w:w="640" w:type="dxa"/>
            <w:vAlign w:val="top"/>
          </w:tcPr>
          <w:p w14:paraId="2BA119D1">
            <w:pPr>
              <w:pStyle w:val="6"/>
              <w:spacing w:before="79" w:line="232" w:lineRule="auto"/>
              <w:ind w:left="127"/>
              <w:rPr>
                <w:sz w:val="18"/>
                <w:szCs w:val="18"/>
              </w:rPr>
            </w:pPr>
            <w:r>
              <w:rPr>
                <w:spacing w:val="-2"/>
                <w:sz w:val="18"/>
                <w:szCs w:val="18"/>
              </w:rPr>
              <w:t>0.129</w:t>
            </w:r>
          </w:p>
        </w:tc>
        <w:tc>
          <w:tcPr>
            <w:tcW w:w="827" w:type="dxa"/>
            <w:vAlign w:val="top"/>
          </w:tcPr>
          <w:p w14:paraId="71625EA5">
            <w:pPr>
              <w:pStyle w:val="6"/>
              <w:spacing w:before="79" w:line="232" w:lineRule="auto"/>
              <w:ind w:left="302"/>
              <w:rPr>
                <w:sz w:val="18"/>
                <w:szCs w:val="18"/>
              </w:rPr>
            </w:pPr>
            <w:r>
              <w:rPr>
                <w:spacing w:val="-5"/>
                <w:sz w:val="18"/>
                <w:szCs w:val="18"/>
              </w:rPr>
              <w:t>110</w:t>
            </w:r>
          </w:p>
        </w:tc>
        <w:tc>
          <w:tcPr>
            <w:tcW w:w="457" w:type="dxa"/>
            <w:vAlign w:val="top"/>
          </w:tcPr>
          <w:p w14:paraId="46EE5D01">
            <w:pPr>
              <w:pStyle w:val="6"/>
              <w:spacing w:before="79" w:line="232" w:lineRule="auto"/>
              <w:ind w:left="104"/>
              <w:rPr>
                <w:sz w:val="18"/>
                <w:szCs w:val="18"/>
              </w:rPr>
            </w:pPr>
            <w:r>
              <w:rPr>
                <w:spacing w:val="-2"/>
                <w:sz w:val="18"/>
                <w:szCs w:val="18"/>
              </w:rPr>
              <w:t>333</w:t>
            </w:r>
          </w:p>
        </w:tc>
        <w:tc>
          <w:tcPr>
            <w:tcW w:w="533" w:type="dxa"/>
            <w:vAlign w:val="top"/>
          </w:tcPr>
          <w:p w14:paraId="1BAB54B6">
            <w:pPr>
              <w:pStyle w:val="6"/>
              <w:spacing w:before="79" w:line="232" w:lineRule="auto"/>
              <w:ind w:left="164"/>
              <w:rPr>
                <w:sz w:val="18"/>
                <w:szCs w:val="18"/>
              </w:rPr>
            </w:pPr>
            <w:r>
              <w:rPr>
                <w:spacing w:val="-3"/>
                <w:sz w:val="18"/>
                <w:szCs w:val="18"/>
              </w:rPr>
              <w:t>0.5</w:t>
            </w:r>
          </w:p>
        </w:tc>
        <w:tc>
          <w:tcPr>
            <w:tcW w:w="533" w:type="dxa"/>
            <w:vAlign w:val="top"/>
          </w:tcPr>
          <w:p w14:paraId="2D730DC6">
            <w:pPr>
              <w:pStyle w:val="6"/>
              <w:spacing w:before="79" w:line="232" w:lineRule="auto"/>
              <w:ind w:left="123"/>
              <w:rPr>
                <w:sz w:val="18"/>
                <w:szCs w:val="18"/>
              </w:rPr>
            </w:pPr>
            <w:r>
              <w:rPr>
                <w:spacing w:val="-3"/>
                <w:sz w:val="18"/>
                <w:szCs w:val="18"/>
              </w:rPr>
              <w:t>5.02</w:t>
            </w:r>
          </w:p>
        </w:tc>
        <w:tc>
          <w:tcPr>
            <w:tcW w:w="533" w:type="dxa"/>
            <w:vAlign w:val="top"/>
          </w:tcPr>
          <w:p w14:paraId="1BD49FEA">
            <w:pPr>
              <w:pStyle w:val="6"/>
              <w:spacing w:before="79" w:line="232" w:lineRule="auto"/>
              <w:ind w:left="123"/>
              <w:rPr>
                <w:sz w:val="18"/>
                <w:szCs w:val="18"/>
              </w:rPr>
            </w:pPr>
            <w:r>
              <w:rPr>
                <w:spacing w:val="-2"/>
                <w:sz w:val="18"/>
                <w:szCs w:val="18"/>
              </w:rPr>
              <w:t>3.24</w:t>
            </w:r>
          </w:p>
        </w:tc>
        <w:tc>
          <w:tcPr>
            <w:tcW w:w="533" w:type="dxa"/>
            <w:vAlign w:val="top"/>
          </w:tcPr>
          <w:p w14:paraId="5FB1785B">
            <w:pPr>
              <w:pStyle w:val="6"/>
              <w:spacing w:before="79" w:line="232" w:lineRule="auto"/>
              <w:ind w:left="124"/>
              <w:rPr>
                <w:sz w:val="18"/>
                <w:szCs w:val="18"/>
              </w:rPr>
            </w:pPr>
            <w:r>
              <w:rPr>
                <w:spacing w:val="-2"/>
                <w:sz w:val="18"/>
                <w:szCs w:val="18"/>
              </w:rPr>
              <w:t>63.5</w:t>
            </w:r>
          </w:p>
        </w:tc>
        <w:tc>
          <w:tcPr>
            <w:tcW w:w="524" w:type="dxa"/>
            <w:tcBorders>
              <w:right w:val="single" w:color="000000" w:sz="12" w:space="0"/>
            </w:tcBorders>
            <w:vAlign w:val="top"/>
          </w:tcPr>
          <w:p w14:paraId="2719707B">
            <w:pPr>
              <w:pStyle w:val="6"/>
              <w:spacing w:before="79" w:line="232" w:lineRule="auto"/>
              <w:ind w:left="109"/>
              <w:rPr>
                <w:sz w:val="18"/>
                <w:szCs w:val="18"/>
              </w:rPr>
            </w:pPr>
            <w:r>
              <w:rPr>
                <w:spacing w:val="-2"/>
                <w:sz w:val="18"/>
                <w:szCs w:val="18"/>
              </w:rPr>
              <w:t>9.86</w:t>
            </w:r>
          </w:p>
        </w:tc>
      </w:tr>
      <w:tr w14:paraId="48B81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7572EEDB">
            <w:pPr>
              <w:rPr>
                <w:rFonts w:ascii="Arial"/>
                <w:sz w:val="21"/>
              </w:rPr>
            </w:pPr>
          </w:p>
        </w:tc>
        <w:tc>
          <w:tcPr>
            <w:tcW w:w="245" w:type="dxa"/>
            <w:vMerge w:val="restart"/>
            <w:tcBorders>
              <w:bottom w:val="nil"/>
            </w:tcBorders>
            <w:vAlign w:val="top"/>
          </w:tcPr>
          <w:p w14:paraId="4C534634">
            <w:pPr>
              <w:pStyle w:val="6"/>
              <w:spacing w:before="141" w:line="226" w:lineRule="auto"/>
              <w:ind w:left="64"/>
              <w:rPr>
                <w:sz w:val="18"/>
                <w:szCs w:val="18"/>
              </w:rPr>
            </w:pPr>
            <w:r>
              <w:rPr>
                <w:sz w:val="18"/>
                <w:szCs w:val="18"/>
              </w:rPr>
              <w:t>3</w:t>
            </w:r>
          </w:p>
          <w:p w14:paraId="79CA91ED">
            <w:pPr>
              <w:spacing w:line="226" w:lineRule="auto"/>
              <w:ind w:left="19"/>
              <w:rPr>
                <w:rFonts w:ascii="等线" w:hAnsi="等线" w:eastAsia="等线" w:cs="等线"/>
                <w:sz w:val="18"/>
                <w:szCs w:val="18"/>
              </w:rPr>
            </w:pPr>
            <w:r>
              <w:rPr>
                <w:rFonts w:ascii="等线" w:hAnsi="等线" w:eastAsia="等线" w:cs="等线"/>
                <w:sz w:val="18"/>
                <w:szCs w:val="18"/>
              </w:rPr>
              <w:t>季</w:t>
            </w:r>
          </w:p>
          <w:p w14:paraId="1E734F2A">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1CA002BD">
            <w:pPr>
              <w:pStyle w:val="6"/>
              <w:spacing w:before="82" w:line="231" w:lineRule="auto"/>
              <w:ind w:left="128"/>
              <w:rPr>
                <w:sz w:val="18"/>
                <w:szCs w:val="18"/>
              </w:rPr>
            </w:pPr>
            <w:r>
              <w:rPr>
                <w:spacing w:val="-1"/>
                <w:sz w:val="18"/>
                <w:szCs w:val="18"/>
              </w:rPr>
              <w:t>2019/8/6</w:t>
            </w:r>
          </w:p>
        </w:tc>
        <w:tc>
          <w:tcPr>
            <w:tcW w:w="606" w:type="dxa"/>
            <w:vAlign w:val="top"/>
          </w:tcPr>
          <w:p w14:paraId="3B4F4E35">
            <w:pPr>
              <w:pStyle w:val="6"/>
              <w:spacing w:before="88" w:line="224" w:lineRule="auto"/>
              <w:ind w:left="132"/>
              <w:rPr>
                <w:sz w:val="18"/>
                <w:szCs w:val="18"/>
              </w:rPr>
            </w:pPr>
            <w:r>
              <w:rPr>
                <w:b/>
                <w:bCs/>
                <w:spacing w:val="-2"/>
                <w:sz w:val="18"/>
                <w:szCs w:val="18"/>
              </w:rPr>
              <w:t>6.21</w:t>
            </w:r>
          </w:p>
        </w:tc>
        <w:tc>
          <w:tcPr>
            <w:tcW w:w="606" w:type="dxa"/>
            <w:vAlign w:val="top"/>
          </w:tcPr>
          <w:p w14:paraId="273E633C">
            <w:pPr>
              <w:pStyle w:val="6"/>
              <w:spacing w:before="82" w:line="231" w:lineRule="auto"/>
              <w:ind w:left="153"/>
              <w:rPr>
                <w:sz w:val="18"/>
                <w:szCs w:val="18"/>
              </w:rPr>
            </w:pPr>
            <w:r>
              <w:rPr>
                <w:spacing w:val="-1"/>
                <w:sz w:val="18"/>
                <w:szCs w:val="18"/>
              </w:rPr>
              <w:t>218</w:t>
            </w:r>
          </w:p>
        </w:tc>
        <w:tc>
          <w:tcPr>
            <w:tcW w:w="606" w:type="dxa"/>
            <w:vAlign w:val="top"/>
          </w:tcPr>
          <w:p w14:paraId="608600C8">
            <w:pPr>
              <w:pStyle w:val="6"/>
              <w:spacing w:before="82" w:line="231" w:lineRule="auto"/>
              <w:ind w:left="158"/>
              <w:rPr>
                <w:sz w:val="18"/>
                <w:szCs w:val="18"/>
              </w:rPr>
            </w:pPr>
            <w:r>
              <w:rPr>
                <w:spacing w:val="-2"/>
                <w:sz w:val="18"/>
                <w:szCs w:val="18"/>
              </w:rPr>
              <w:t>338</w:t>
            </w:r>
          </w:p>
        </w:tc>
        <w:tc>
          <w:tcPr>
            <w:tcW w:w="606" w:type="dxa"/>
            <w:vAlign w:val="top"/>
          </w:tcPr>
          <w:p w14:paraId="4904CD79">
            <w:pPr>
              <w:pStyle w:val="6"/>
              <w:spacing w:before="82" w:line="231" w:lineRule="auto"/>
              <w:ind w:left="216"/>
              <w:rPr>
                <w:sz w:val="18"/>
                <w:szCs w:val="18"/>
              </w:rPr>
            </w:pPr>
            <w:r>
              <w:rPr>
                <w:spacing w:val="-6"/>
                <w:sz w:val="18"/>
                <w:szCs w:val="18"/>
              </w:rPr>
              <w:t>14</w:t>
            </w:r>
          </w:p>
        </w:tc>
        <w:tc>
          <w:tcPr>
            <w:tcW w:w="606" w:type="dxa"/>
            <w:vAlign w:val="top"/>
          </w:tcPr>
          <w:p w14:paraId="5D8A787D">
            <w:pPr>
              <w:pStyle w:val="6"/>
              <w:spacing w:before="85" w:line="186" w:lineRule="auto"/>
              <w:ind w:left="162"/>
              <w:rPr>
                <w:sz w:val="18"/>
                <w:szCs w:val="18"/>
              </w:rPr>
            </w:pPr>
            <w:r>
              <w:rPr>
                <w:spacing w:val="-5"/>
                <w:sz w:val="18"/>
                <w:szCs w:val="18"/>
              </w:rPr>
              <w:t>10L</w:t>
            </w:r>
          </w:p>
        </w:tc>
        <w:tc>
          <w:tcPr>
            <w:tcW w:w="606" w:type="dxa"/>
            <w:vAlign w:val="top"/>
          </w:tcPr>
          <w:p w14:paraId="170A3C10">
            <w:pPr>
              <w:pStyle w:val="6"/>
              <w:spacing w:before="82" w:line="231" w:lineRule="auto"/>
              <w:ind w:left="82"/>
              <w:rPr>
                <w:sz w:val="18"/>
                <w:szCs w:val="18"/>
              </w:rPr>
            </w:pPr>
            <w:r>
              <w:rPr>
                <w:spacing w:val="-2"/>
                <w:sz w:val="18"/>
                <w:szCs w:val="18"/>
              </w:rPr>
              <w:t>0.03L</w:t>
            </w:r>
          </w:p>
        </w:tc>
        <w:tc>
          <w:tcPr>
            <w:tcW w:w="605" w:type="dxa"/>
            <w:vAlign w:val="top"/>
          </w:tcPr>
          <w:p w14:paraId="7C5E13D0">
            <w:pPr>
              <w:pStyle w:val="6"/>
              <w:spacing w:before="82" w:line="231" w:lineRule="auto"/>
              <w:ind w:left="83"/>
              <w:rPr>
                <w:sz w:val="18"/>
                <w:szCs w:val="18"/>
              </w:rPr>
            </w:pPr>
            <w:r>
              <w:rPr>
                <w:spacing w:val="-2"/>
                <w:sz w:val="18"/>
                <w:szCs w:val="18"/>
              </w:rPr>
              <w:t>0.02L</w:t>
            </w:r>
          </w:p>
        </w:tc>
        <w:tc>
          <w:tcPr>
            <w:tcW w:w="563" w:type="dxa"/>
            <w:vAlign w:val="top"/>
          </w:tcPr>
          <w:p w14:paraId="3886D639">
            <w:pPr>
              <w:pStyle w:val="6"/>
              <w:spacing w:before="82" w:line="231" w:lineRule="auto"/>
              <w:ind w:left="63"/>
              <w:rPr>
                <w:sz w:val="18"/>
                <w:szCs w:val="18"/>
              </w:rPr>
            </w:pPr>
            <w:r>
              <w:rPr>
                <w:spacing w:val="-2"/>
                <w:sz w:val="18"/>
                <w:szCs w:val="18"/>
              </w:rPr>
              <w:t>0.01L</w:t>
            </w:r>
          </w:p>
        </w:tc>
        <w:tc>
          <w:tcPr>
            <w:tcW w:w="562" w:type="dxa"/>
            <w:vAlign w:val="top"/>
          </w:tcPr>
          <w:p w14:paraId="5F24FF53">
            <w:pPr>
              <w:pStyle w:val="6"/>
              <w:spacing w:before="82" w:line="231" w:lineRule="auto"/>
              <w:ind w:left="74"/>
              <w:rPr>
                <w:sz w:val="18"/>
                <w:szCs w:val="18"/>
              </w:rPr>
            </w:pPr>
            <w:r>
              <w:rPr>
                <w:spacing w:val="-2"/>
                <w:sz w:val="18"/>
                <w:szCs w:val="18"/>
              </w:rPr>
              <w:t>0.011</w:t>
            </w:r>
          </w:p>
        </w:tc>
        <w:tc>
          <w:tcPr>
            <w:tcW w:w="696" w:type="dxa"/>
            <w:vAlign w:val="top"/>
          </w:tcPr>
          <w:p w14:paraId="6C321F99">
            <w:pPr>
              <w:pStyle w:val="6"/>
              <w:spacing w:before="82" w:line="231" w:lineRule="auto"/>
              <w:ind w:left="41"/>
              <w:rPr>
                <w:sz w:val="18"/>
                <w:szCs w:val="18"/>
              </w:rPr>
            </w:pPr>
            <w:r>
              <w:rPr>
                <w:spacing w:val="-1"/>
                <w:sz w:val="18"/>
                <w:szCs w:val="18"/>
              </w:rPr>
              <w:t>0.0003L</w:t>
            </w:r>
          </w:p>
        </w:tc>
        <w:tc>
          <w:tcPr>
            <w:tcW w:w="605" w:type="dxa"/>
            <w:vAlign w:val="top"/>
          </w:tcPr>
          <w:p w14:paraId="0DAC89E6">
            <w:pPr>
              <w:pStyle w:val="6"/>
              <w:spacing w:before="82" w:line="231" w:lineRule="auto"/>
              <w:ind w:left="87"/>
              <w:rPr>
                <w:sz w:val="18"/>
                <w:szCs w:val="18"/>
              </w:rPr>
            </w:pPr>
            <w:r>
              <w:rPr>
                <w:spacing w:val="-2"/>
                <w:sz w:val="18"/>
                <w:szCs w:val="18"/>
              </w:rPr>
              <w:t>0.05L</w:t>
            </w:r>
          </w:p>
        </w:tc>
        <w:tc>
          <w:tcPr>
            <w:tcW w:w="582" w:type="dxa"/>
            <w:vAlign w:val="top"/>
          </w:tcPr>
          <w:p w14:paraId="3A7AE19D">
            <w:pPr>
              <w:pStyle w:val="6"/>
              <w:spacing w:before="82" w:line="231" w:lineRule="auto"/>
              <w:ind w:left="132"/>
              <w:rPr>
                <w:sz w:val="18"/>
                <w:szCs w:val="18"/>
              </w:rPr>
            </w:pPr>
            <w:r>
              <w:rPr>
                <w:spacing w:val="-2"/>
                <w:sz w:val="18"/>
                <w:szCs w:val="18"/>
              </w:rPr>
              <w:t>0.01</w:t>
            </w:r>
          </w:p>
        </w:tc>
        <w:tc>
          <w:tcPr>
            <w:tcW w:w="583" w:type="dxa"/>
            <w:vAlign w:val="top"/>
          </w:tcPr>
          <w:p w14:paraId="2BCD603D">
            <w:pPr>
              <w:pStyle w:val="6"/>
              <w:spacing w:before="82" w:line="231" w:lineRule="auto"/>
              <w:ind w:left="78"/>
              <w:rPr>
                <w:sz w:val="18"/>
                <w:szCs w:val="18"/>
              </w:rPr>
            </w:pPr>
            <w:r>
              <w:rPr>
                <w:spacing w:val="-2"/>
                <w:sz w:val="18"/>
                <w:szCs w:val="18"/>
              </w:rPr>
              <w:t>0.02L</w:t>
            </w:r>
          </w:p>
        </w:tc>
        <w:tc>
          <w:tcPr>
            <w:tcW w:w="582" w:type="dxa"/>
            <w:vAlign w:val="top"/>
          </w:tcPr>
          <w:p w14:paraId="728C4920">
            <w:pPr>
              <w:pStyle w:val="6"/>
              <w:spacing w:before="82" w:line="231" w:lineRule="auto"/>
              <w:ind w:left="33"/>
              <w:rPr>
                <w:sz w:val="18"/>
                <w:szCs w:val="18"/>
              </w:rPr>
            </w:pPr>
            <w:r>
              <w:rPr>
                <w:spacing w:val="-2"/>
                <w:sz w:val="18"/>
                <w:szCs w:val="18"/>
              </w:rPr>
              <w:t>0.003L</w:t>
            </w:r>
          </w:p>
        </w:tc>
        <w:tc>
          <w:tcPr>
            <w:tcW w:w="582" w:type="dxa"/>
            <w:vAlign w:val="top"/>
          </w:tcPr>
          <w:p w14:paraId="3B2AC814">
            <w:pPr>
              <w:pStyle w:val="6"/>
              <w:spacing w:before="82" w:line="231" w:lineRule="auto"/>
              <w:ind w:left="90"/>
              <w:rPr>
                <w:sz w:val="18"/>
                <w:szCs w:val="18"/>
              </w:rPr>
            </w:pPr>
            <w:r>
              <w:rPr>
                <w:spacing w:val="-2"/>
                <w:sz w:val="18"/>
                <w:szCs w:val="18"/>
              </w:rPr>
              <w:t>0.235</w:t>
            </w:r>
          </w:p>
        </w:tc>
        <w:tc>
          <w:tcPr>
            <w:tcW w:w="582" w:type="dxa"/>
            <w:vAlign w:val="top"/>
          </w:tcPr>
          <w:p w14:paraId="07D2DAC3">
            <w:pPr>
              <w:pStyle w:val="6"/>
              <w:spacing w:before="82" w:line="231" w:lineRule="auto"/>
              <w:ind w:left="135"/>
              <w:rPr>
                <w:sz w:val="18"/>
                <w:szCs w:val="18"/>
              </w:rPr>
            </w:pPr>
            <w:r>
              <w:rPr>
                <w:spacing w:val="-2"/>
                <w:sz w:val="18"/>
                <w:szCs w:val="18"/>
              </w:rPr>
              <w:t>0.06</w:t>
            </w:r>
          </w:p>
        </w:tc>
        <w:tc>
          <w:tcPr>
            <w:tcW w:w="581" w:type="dxa"/>
            <w:vAlign w:val="top"/>
          </w:tcPr>
          <w:p w14:paraId="3D231497">
            <w:pPr>
              <w:pStyle w:val="6"/>
              <w:spacing w:before="82" w:line="231" w:lineRule="auto"/>
              <w:ind w:left="37"/>
              <w:rPr>
                <w:sz w:val="18"/>
                <w:szCs w:val="18"/>
              </w:rPr>
            </w:pPr>
            <w:r>
              <w:rPr>
                <w:spacing w:val="-2"/>
                <w:sz w:val="18"/>
                <w:szCs w:val="18"/>
              </w:rPr>
              <w:t>0.004L</w:t>
            </w:r>
          </w:p>
        </w:tc>
        <w:tc>
          <w:tcPr>
            <w:tcW w:w="851" w:type="dxa"/>
            <w:vAlign w:val="top"/>
          </w:tcPr>
          <w:p w14:paraId="1BB7623D">
            <w:pPr>
              <w:pStyle w:val="6"/>
              <w:spacing w:before="82" w:line="231" w:lineRule="auto"/>
              <w:ind w:left="139"/>
              <w:rPr>
                <w:sz w:val="18"/>
                <w:szCs w:val="18"/>
              </w:rPr>
            </w:pPr>
            <w:r>
              <w:rPr>
                <w:spacing w:val="-1"/>
                <w:sz w:val="18"/>
                <w:szCs w:val="18"/>
              </w:rPr>
              <w:t>0.00023</w:t>
            </w:r>
          </w:p>
        </w:tc>
        <w:tc>
          <w:tcPr>
            <w:tcW w:w="644" w:type="dxa"/>
            <w:vAlign w:val="top"/>
          </w:tcPr>
          <w:p w14:paraId="0D4D9EE0">
            <w:pPr>
              <w:pStyle w:val="6"/>
              <w:spacing w:before="82" w:line="231" w:lineRule="auto"/>
              <w:ind w:left="81"/>
              <w:rPr>
                <w:sz w:val="18"/>
                <w:szCs w:val="18"/>
              </w:rPr>
            </w:pPr>
            <w:r>
              <w:rPr>
                <w:spacing w:val="-1"/>
                <w:sz w:val="18"/>
                <w:szCs w:val="18"/>
              </w:rPr>
              <w:t>0.0032</w:t>
            </w:r>
          </w:p>
        </w:tc>
        <w:tc>
          <w:tcPr>
            <w:tcW w:w="639" w:type="dxa"/>
            <w:vAlign w:val="top"/>
          </w:tcPr>
          <w:p w14:paraId="77A345AF">
            <w:pPr>
              <w:pStyle w:val="6"/>
              <w:spacing w:before="82" w:line="231" w:lineRule="auto"/>
              <w:ind w:left="22"/>
              <w:rPr>
                <w:sz w:val="18"/>
                <w:szCs w:val="18"/>
              </w:rPr>
            </w:pPr>
            <w:r>
              <w:rPr>
                <w:spacing w:val="-1"/>
                <w:sz w:val="18"/>
                <w:szCs w:val="18"/>
              </w:rPr>
              <w:t>0.0004L</w:t>
            </w:r>
          </w:p>
        </w:tc>
        <w:tc>
          <w:tcPr>
            <w:tcW w:w="640" w:type="dxa"/>
            <w:vAlign w:val="top"/>
          </w:tcPr>
          <w:p w14:paraId="039D14AE">
            <w:pPr>
              <w:pStyle w:val="6"/>
              <w:spacing w:before="82" w:line="231" w:lineRule="auto"/>
              <w:ind w:left="70"/>
              <w:rPr>
                <w:sz w:val="18"/>
                <w:szCs w:val="18"/>
              </w:rPr>
            </w:pPr>
            <w:r>
              <w:rPr>
                <w:spacing w:val="-2"/>
                <w:sz w:val="18"/>
                <w:szCs w:val="18"/>
              </w:rPr>
              <w:t>0.001L</w:t>
            </w:r>
          </w:p>
        </w:tc>
        <w:tc>
          <w:tcPr>
            <w:tcW w:w="639" w:type="dxa"/>
            <w:vAlign w:val="top"/>
          </w:tcPr>
          <w:p w14:paraId="1AB7A1A9">
            <w:pPr>
              <w:pStyle w:val="6"/>
              <w:spacing w:before="82" w:line="231" w:lineRule="auto"/>
              <w:ind w:left="69"/>
              <w:rPr>
                <w:sz w:val="18"/>
                <w:szCs w:val="18"/>
              </w:rPr>
            </w:pPr>
            <w:r>
              <w:rPr>
                <w:spacing w:val="-2"/>
                <w:sz w:val="18"/>
                <w:szCs w:val="18"/>
              </w:rPr>
              <w:t>0.004L</w:t>
            </w:r>
          </w:p>
        </w:tc>
        <w:tc>
          <w:tcPr>
            <w:tcW w:w="639" w:type="dxa"/>
            <w:vAlign w:val="top"/>
          </w:tcPr>
          <w:p w14:paraId="6E20DED1">
            <w:pPr>
              <w:pStyle w:val="6"/>
              <w:spacing w:before="82" w:line="231" w:lineRule="auto"/>
              <w:ind w:left="114"/>
              <w:rPr>
                <w:sz w:val="18"/>
                <w:szCs w:val="18"/>
              </w:rPr>
            </w:pPr>
            <w:r>
              <w:rPr>
                <w:spacing w:val="-2"/>
                <w:sz w:val="18"/>
                <w:szCs w:val="18"/>
              </w:rPr>
              <w:t>0.01L</w:t>
            </w:r>
          </w:p>
        </w:tc>
        <w:tc>
          <w:tcPr>
            <w:tcW w:w="640" w:type="dxa"/>
            <w:vAlign w:val="top"/>
          </w:tcPr>
          <w:p w14:paraId="3181B872">
            <w:pPr>
              <w:pStyle w:val="6"/>
              <w:spacing w:before="82" w:line="231" w:lineRule="auto"/>
              <w:ind w:left="72"/>
              <w:rPr>
                <w:sz w:val="18"/>
                <w:szCs w:val="18"/>
              </w:rPr>
            </w:pPr>
            <w:r>
              <w:rPr>
                <w:spacing w:val="-2"/>
                <w:sz w:val="18"/>
                <w:szCs w:val="18"/>
              </w:rPr>
              <w:t>0.009L</w:t>
            </w:r>
          </w:p>
        </w:tc>
        <w:tc>
          <w:tcPr>
            <w:tcW w:w="827" w:type="dxa"/>
            <w:vAlign w:val="top"/>
          </w:tcPr>
          <w:p w14:paraId="6CBB1BB9">
            <w:pPr>
              <w:pStyle w:val="6"/>
              <w:spacing w:before="82" w:line="231" w:lineRule="auto"/>
              <w:ind w:left="302"/>
              <w:rPr>
                <w:sz w:val="18"/>
                <w:szCs w:val="18"/>
              </w:rPr>
            </w:pPr>
            <w:r>
              <w:rPr>
                <w:spacing w:val="-5"/>
                <w:sz w:val="18"/>
                <w:szCs w:val="18"/>
              </w:rPr>
              <w:t>170</w:t>
            </w:r>
          </w:p>
        </w:tc>
        <w:tc>
          <w:tcPr>
            <w:tcW w:w="457" w:type="dxa"/>
            <w:vAlign w:val="top"/>
          </w:tcPr>
          <w:p w14:paraId="3DE38299">
            <w:pPr>
              <w:pStyle w:val="6"/>
              <w:spacing w:before="82" w:line="231" w:lineRule="auto"/>
              <w:ind w:left="104"/>
              <w:rPr>
                <w:sz w:val="18"/>
                <w:szCs w:val="18"/>
              </w:rPr>
            </w:pPr>
            <w:r>
              <w:rPr>
                <w:spacing w:val="-2"/>
                <w:sz w:val="18"/>
                <w:szCs w:val="18"/>
              </w:rPr>
              <w:t>375</w:t>
            </w:r>
          </w:p>
        </w:tc>
        <w:tc>
          <w:tcPr>
            <w:tcW w:w="533" w:type="dxa"/>
            <w:vAlign w:val="top"/>
          </w:tcPr>
          <w:p w14:paraId="7B76FAEE">
            <w:pPr>
              <w:pStyle w:val="6"/>
              <w:spacing w:before="82" w:line="231" w:lineRule="auto"/>
              <w:ind w:left="164"/>
              <w:rPr>
                <w:sz w:val="18"/>
                <w:szCs w:val="18"/>
              </w:rPr>
            </w:pPr>
            <w:r>
              <w:rPr>
                <w:spacing w:val="-3"/>
                <w:sz w:val="18"/>
                <w:szCs w:val="18"/>
              </w:rPr>
              <w:t>0.5</w:t>
            </w:r>
          </w:p>
        </w:tc>
        <w:tc>
          <w:tcPr>
            <w:tcW w:w="533" w:type="dxa"/>
            <w:vAlign w:val="top"/>
          </w:tcPr>
          <w:p w14:paraId="6F73A02C">
            <w:pPr>
              <w:pStyle w:val="6"/>
              <w:spacing w:before="82" w:line="231" w:lineRule="auto"/>
              <w:ind w:left="121"/>
              <w:rPr>
                <w:sz w:val="18"/>
                <w:szCs w:val="18"/>
              </w:rPr>
            </w:pPr>
            <w:r>
              <w:rPr>
                <w:spacing w:val="-2"/>
                <w:sz w:val="18"/>
                <w:szCs w:val="18"/>
              </w:rPr>
              <w:t>0.74</w:t>
            </w:r>
          </w:p>
        </w:tc>
        <w:tc>
          <w:tcPr>
            <w:tcW w:w="533" w:type="dxa"/>
            <w:vAlign w:val="top"/>
          </w:tcPr>
          <w:p w14:paraId="033C910D">
            <w:pPr>
              <w:pStyle w:val="6"/>
              <w:spacing w:before="82" w:line="231" w:lineRule="auto"/>
              <w:ind w:left="122"/>
              <w:rPr>
                <w:sz w:val="18"/>
                <w:szCs w:val="18"/>
              </w:rPr>
            </w:pPr>
            <w:r>
              <w:rPr>
                <w:spacing w:val="-2"/>
                <w:sz w:val="18"/>
                <w:szCs w:val="18"/>
              </w:rPr>
              <w:t>7.06</w:t>
            </w:r>
          </w:p>
        </w:tc>
        <w:tc>
          <w:tcPr>
            <w:tcW w:w="533" w:type="dxa"/>
            <w:vAlign w:val="top"/>
          </w:tcPr>
          <w:p w14:paraId="7B4C2947">
            <w:pPr>
              <w:pStyle w:val="6"/>
              <w:spacing w:before="82" w:line="231" w:lineRule="auto"/>
              <w:ind w:left="124"/>
              <w:rPr>
                <w:sz w:val="18"/>
                <w:szCs w:val="18"/>
              </w:rPr>
            </w:pPr>
            <w:r>
              <w:rPr>
                <w:spacing w:val="-2"/>
                <w:sz w:val="18"/>
                <w:szCs w:val="18"/>
              </w:rPr>
              <w:t>63.3</w:t>
            </w:r>
          </w:p>
        </w:tc>
        <w:tc>
          <w:tcPr>
            <w:tcW w:w="524" w:type="dxa"/>
            <w:tcBorders>
              <w:right w:val="single" w:color="000000" w:sz="12" w:space="0"/>
            </w:tcBorders>
            <w:vAlign w:val="top"/>
          </w:tcPr>
          <w:p w14:paraId="1430F008">
            <w:pPr>
              <w:pStyle w:val="6"/>
              <w:spacing w:before="82" w:line="231" w:lineRule="auto"/>
              <w:ind w:left="123"/>
              <w:rPr>
                <w:sz w:val="18"/>
                <w:szCs w:val="18"/>
              </w:rPr>
            </w:pPr>
            <w:r>
              <w:rPr>
                <w:spacing w:val="-6"/>
                <w:sz w:val="18"/>
                <w:szCs w:val="18"/>
              </w:rPr>
              <w:t>10.6</w:t>
            </w:r>
          </w:p>
        </w:tc>
      </w:tr>
      <w:tr w14:paraId="537E2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4B5FF296">
            <w:pPr>
              <w:rPr>
                <w:rFonts w:ascii="Arial"/>
                <w:sz w:val="21"/>
              </w:rPr>
            </w:pPr>
          </w:p>
        </w:tc>
        <w:tc>
          <w:tcPr>
            <w:tcW w:w="245" w:type="dxa"/>
            <w:vMerge w:val="continue"/>
            <w:tcBorders>
              <w:top w:val="nil"/>
              <w:bottom w:val="nil"/>
            </w:tcBorders>
            <w:vAlign w:val="top"/>
          </w:tcPr>
          <w:p w14:paraId="22886127">
            <w:pPr>
              <w:rPr>
                <w:rFonts w:ascii="Arial"/>
                <w:sz w:val="21"/>
              </w:rPr>
            </w:pPr>
          </w:p>
        </w:tc>
        <w:tc>
          <w:tcPr>
            <w:tcW w:w="929" w:type="dxa"/>
            <w:vAlign w:val="top"/>
          </w:tcPr>
          <w:p w14:paraId="6A419D4D">
            <w:pPr>
              <w:pStyle w:val="6"/>
              <w:spacing w:before="82" w:line="231" w:lineRule="auto"/>
              <w:ind w:left="128"/>
              <w:rPr>
                <w:sz w:val="18"/>
                <w:szCs w:val="18"/>
              </w:rPr>
            </w:pPr>
            <w:r>
              <w:rPr>
                <w:spacing w:val="-1"/>
                <w:sz w:val="18"/>
                <w:szCs w:val="18"/>
              </w:rPr>
              <w:t>2019/8/7</w:t>
            </w:r>
          </w:p>
        </w:tc>
        <w:tc>
          <w:tcPr>
            <w:tcW w:w="606" w:type="dxa"/>
            <w:vAlign w:val="top"/>
          </w:tcPr>
          <w:p w14:paraId="70A4286E">
            <w:pPr>
              <w:pStyle w:val="6"/>
              <w:spacing w:before="89" w:line="223" w:lineRule="auto"/>
              <w:ind w:left="132"/>
              <w:rPr>
                <w:sz w:val="18"/>
                <w:szCs w:val="18"/>
              </w:rPr>
            </w:pPr>
            <w:r>
              <w:rPr>
                <w:b/>
                <w:bCs/>
                <w:spacing w:val="-2"/>
                <w:sz w:val="18"/>
                <w:szCs w:val="18"/>
              </w:rPr>
              <w:t>6.27</w:t>
            </w:r>
          </w:p>
        </w:tc>
        <w:tc>
          <w:tcPr>
            <w:tcW w:w="606" w:type="dxa"/>
            <w:vAlign w:val="top"/>
          </w:tcPr>
          <w:p w14:paraId="7AF14E1A">
            <w:pPr>
              <w:pStyle w:val="6"/>
              <w:spacing w:before="82" w:line="231" w:lineRule="auto"/>
              <w:ind w:left="153"/>
              <w:rPr>
                <w:sz w:val="18"/>
                <w:szCs w:val="18"/>
              </w:rPr>
            </w:pPr>
            <w:r>
              <w:rPr>
                <w:spacing w:val="-1"/>
                <w:sz w:val="18"/>
                <w:szCs w:val="18"/>
              </w:rPr>
              <w:t>204</w:t>
            </w:r>
          </w:p>
        </w:tc>
        <w:tc>
          <w:tcPr>
            <w:tcW w:w="606" w:type="dxa"/>
            <w:vAlign w:val="top"/>
          </w:tcPr>
          <w:p w14:paraId="361A4235">
            <w:pPr>
              <w:pStyle w:val="6"/>
              <w:spacing w:before="82" w:line="231" w:lineRule="auto"/>
              <w:ind w:left="158"/>
              <w:rPr>
                <w:sz w:val="18"/>
                <w:szCs w:val="18"/>
              </w:rPr>
            </w:pPr>
            <w:r>
              <w:rPr>
                <w:spacing w:val="-2"/>
                <w:sz w:val="18"/>
                <w:szCs w:val="18"/>
              </w:rPr>
              <w:t>329</w:t>
            </w:r>
          </w:p>
        </w:tc>
        <w:tc>
          <w:tcPr>
            <w:tcW w:w="606" w:type="dxa"/>
            <w:vAlign w:val="top"/>
          </w:tcPr>
          <w:p w14:paraId="507742DC">
            <w:pPr>
              <w:pStyle w:val="6"/>
              <w:spacing w:before="82" w:line="231" w:lineRule="auto"/>
              <w:ind w:left="216"/>
              <w:rPr>
                <w:sz w:val="18"/>
                <w:szCs w:val="18"/>
              </w:rPr>
            </w:pPr>
            <w:r>
              <w:rPr>
                <w:spacing w:val="-6"/>
                <w:sz w:val="18"/>
                <w:szCs w:val="18"/>
              </w:rPr>
              <w:t>15</w:t>
            </w:r>
          </w:p>
        </w:tc>
        <w:tc>
          <w:tcPr>
            <w:tcW w:w="606" w:type="dxa"/>
            <w:vAlign w:val="top"/>
          </w:tcPr>
          <w:p w14:paraId="1E6482DC">
            <w:pPr>
              <w:pStyle w:val="6"/>
              <w:spacing w:before="86" w:line="186" w:lineRule="auto"/>
              <w:ind w:left="162"/>
              <w:rPr>
                <w:sz w:val="18"/>
                <w:szCs w:val="18"/>
              </w:rPr>
            </w:pPr>
            <w:r>
              <w:rPr>
                <w:spacing w:val="-5"/>
                <w:sz w:val="18"/>
                <w:szCs w:val="18"/>
              </w:rPr>
              <w:t>10L</w:t>
            </w:r>
          </w:p>
        </w:tc>
        <w:tc>
          <w:tcPr>
            <w:tcW w:w="606" w:type="dxa"/>
            <w:vAlign w:val="top"/>
          </w:tcPr>
          <w:p w14:paraId="1FC47D29">
            <w:pPr>
              <w:pStyle w:val="6"/>
              <w:spacing w:before="82" w:line="231" w:lineRule="auto"/>
              <w:ind w:left="82"/>
              <w:rPr>
                <w:sz w:val="18"/>
                <w:szCs w:val="18"/>
              </w:rPr>
            </w:pPr>
            <w:r>
              <w:rPr>
                <w:spacing w:val="-2"/>
                <w:sz w:val="18"/>
                <w:szCs w:val="18"/>
              </w:rPr>
              <w:t>0.03L</w:t>
            </w:r>
          </w:p>
        </w:tc>
        <w:tc>
          <w:tcPr>
            <w:tcW w:w="605" w:type="dxa"/>
            <w:vAlign w:val="top"/>
          </w:tcPr>
          <w:p w14:paraId="0E9EAC00">
            <w:pPr>
              <w:pStyle w:val="6"/>
              <w:spacing w:before="82" w:line="231" w:lineRule="auto"/>
              <w:ind w:left="83"/>
              <w:rPr>
                <w:sz w:val="18"/>
                <w:szCs w:val="18"/>
              </w:rPr>
            </w:pPr>
            <w:r>
              <w:rPr>
                <w:spacing w:val="-2"/>
                <w:sz w:val="18"/>
                <w:szCs w:val="18"/>
              </w:rPr>
              <w:t>0.02L</w:t>
            </w:r>
          </w:p>
        </w:tc>
        <w:tc>
          <w:tcPr>
            <w:tcW w:w="563" w:type="dxa"/>
            <w:vAlign w:val="top"/>
          </w:tcPr>
          <w:p w14:paraId="7DDBB52F">
            <w:pPr>
              <w:pStyle w:val="6"/>
              <w:spacing w:before="82" w:line="231" w:lineRule="auto"/>
              <w:ind w:left="63"/>
              <w:rPr>
                <w:sz w:val="18"/>
                <w:szCs w:val="18"/>
              </w:rPr>
            </w:pPr>
            <w:r>
              <w:rPr>
                <w:spacing w:val="-2"/>
                <w:sz w:val="18"/>
                <w:szCs w:val="18"/>
              </w:rPr>
              <w:t>0.01L</w:t>
            </w:r>
          </w:p>
        </w:tc>
        <w:tc>
          <w:tcPr>
            <w:tcW w:w="562" w:type="dxa"/>
            <w:vAlign w:val="top"/>
          </w:tcPr>
          <w:p w14:paraId="58BCF5D2">
            <w:pPr>
              <w:pStyle w:val="6"/>
              <w:spacing w:before="82" w:line="231" w:lineRule="auto"/>
              <w:ind w:left="74"/>
              <w:rPr>
                <w:sz w:val="18"/>
                <w:szCs w:val="18"/>
              </w:rPr>
            </w:pPr>
            <w:r>
              <w:rPr>
                <w:spacing w:val="-2"/>
                <w:sz w:val="18"/>
                <w:szCs w:val="18"/>
              </w:rPr>
              <w:t>0.011</w:t>
            </w:r>
          </w:p>
        </w:tc>
        <w:tc>
          <w:tcPr>
            <w:tcW w:w="696" w:type="dxa"/>
            <w:vAlign w:val="top"/>
          </w:tcPr>
          <w:p w14:paraId="60D078CF">
            <w:pPr>
              <w:pStyle w:val="6"/>
              <w:spacing w:before="82" w:line="231" w:lineRule="auto"/>
              <w:ind w:left="41"/>
              <w:rPr>
                <w:sz w:val="18"/>
                <w:szCs w:val="18"/>
              </w:rPr>
            </w:pPr>
            <w:r>
              <w:rPr>
                <w:spacing w:val="-1"/>
                <w:sz w:val="18"/>
                <w:szCs w:val="18"/>
              </w:rPr>
              <w:t>0.0003L</w:t>
            </w:r>
          </w:p>
        </w:tc>
        <w:tc>
          <w:tcPr>
            <w:tcW w:w="605" w:type="dxa"/>
            <w:vAlign w:val="top"/>
          </w:tcPr>
          <w:p w14:paraId="3CBAB882">
            <w:pPr>
              <w:pStyle w:val="6"/>
              <w:spacing w:before="82" w:line="231" w:lineRule="auto"/>
              <w:ind w:left="87"/>
              <w:rPr>
                <w:sz w:val="18"/>
                <w:szCs w:val="18"/>
              </w:rPr>
            </w:pPr>
            <w:r>
              <w:rPr>
                <w:spacing w:val="-2"/>
                <w:sz w:val="18"/>
                <w:szCs w:val="18"/>
              </w:rPr>
              <w:t>0.05L</w:t>
            </w:r>
          </w:p>
        </w:tc>
        <w:tc>
          <w:tcPr>
            <w:tcW w:w="582" w:type="dxa"/>
            <w:vAlign w:val="top"/>
          </w:tcPr>
          <w:p w14:paraId="657FCE84">
            <w:pPr>
              <w:pStyle w:val="6"/>
              <w:spacing w:before="82" w:line="231" w:lineRule="auto"/>
              <w:ind w:left="132"/>
              <w:rPr>
                <w:sz w:val="18"/>
                <w:szCs w:val="18"/>
              </w:rPr>
            </w:pPr>
            <w:r>
              <w:rPr>
                <w:spacing w:val="-2"/>
                <w:sz w:val="18"/>
                <w:szCs w:val="18"/>
              </w:rPr>
              <w:t>0.02</w:t>
            </w:r>
          </w:p>
        </w:tc>
        <w:tc>
          <w:tcPr>
            <w:tcW w:w="583" w:type="dxa"/>
            <w:vAlign w:val="top"/>
          </w:tcPr>
          <w:p w14:paraId="394EDEF8">
            <w:pPr>
              <w:pStyle w:val="6"/>
              <w:spacing w:before="82" w:line="231" w:lineRule="auto"/>
              <w:ind w:left="78"/>
              <w:rPr>
                <w:sz w:val="18"/>
                <w:szCs w:val="18"/>
              </w:rPr>
            </w:pPr>
            <w:r>
              <w:rPr>
                <w:spacing w:val="-2"/>
                <w:sz w:val="18"/>
                <w:szCs w:val="18"/>
              </w:rPr>
              <w:t>0.02L</w:t>
            </w:r>
          </w:p>
        </w:tc>
        <w:tc>
          <w:tcPr>
            <w:tcW w:w="582" w:type="dxa"/>
            <w:vAlign w:val="top"/>
          </w:tcPr>
          <w:p w14:paraId="523D26FC">
            <w:pPr>
              <w:pStyle w:val="6"/>
              <w:spacing w:before="82" w:line="231" w:lineRule="auto"/>
              <w:ind w:left="33"/>
              <w:rPr>
                <w:sz w:val="18"/>
                <w:szCs w:val="18"/>
              </w:rPr>
            </w:pPr>
            <w:r>
              <w:rPr>
                <w:spacing w:val="-2"/>
                <w:sz w:val="18"/>
                <w:szCs w:val="18"/>
              </w:rPr>
              <w:t>0.003L</w:t>
            </w:r>
          </w:p>
        </w:tc>
        <w:tc>
          <w:tcPr>
            <w:tcW w:w="582" w:type="dxa"/>
            <w:vAlign w:val="top"/>
          </w:tcPr>
          <w:p w14:paraId="5D32D72B">
            <w:pPr>
              <w:pStyle w:val="6"/>
              <w:spacing w:before="82" w:line="231" w:lineRule="auto"/>
              <w:ind w:left="90"/>
              <w:rPr>
                <w:sz w:val="18"/>
                <w:szCs w:val="18"/>
              </w:rPr>
            </w:pPr>
            <w:r>
              <w:rPr>
                <w:spacing w:val="-2"/>
                <w:sz w:val="18"/>
                <w:szCs w:val="18"/>
              </w:rPr>
              <w:t>0.226</w:t>
            </w:r>
          </w:p>
        </w:tc>
        <w:tc>
          <w:tcPr>
            <w:tcW w:w="582" w:type="dxa"/>
            <w:vAlign w:val="top"/>
          </w:tcPr>
          <w:p w14:paraId="383F2F67">
            <w:pPr>
              <w:pStyle w:val="6"/>
              <w:spacing w:before="82" w:line="231" w:lineRule="auto"/>
              <w:ind w:left="135"/>
              <w:rPr>
                <w:sz w:val="18"/>
                <w:szCs w:val="18"/>
              </w:rPr>
            </w:pPr>
            <w:r>
              <w:rPr>
                <w:spacing w:val="-2"/>
                <w:sz w:val="18"/>
                <w:szCs w:val="18"/>
              </w:rPr>
              <w:t>0.07</w:t>
            </w:r>
          </w:p>
        </w:tc>
        <w:tc>
          <w:tcPr>
            <w:tcW w:w="581" w:type="dxa"/>
            <w:vAlign w:val="top"/>
          </w:tcPr>
          <w:p w14:paraId="4C032D24">
            <w:pPr>
              <w:pStyle w:val="6"/>
              <w:spacing w:before="82" w:line="231" w:lineRule="auto"/>
              <w:ind w:left="37"/>
              <w:rPr>
                <w:sz w:val="18"/>
                <w:szCs w:val="18"/>
              </w:rPr>
            </w:pPr>
            <w:r>
              <w:rPr>
                <w:spacing w:val="-2"/>
                <w:sz w:val="18"/>
                <w:szCs w:val="18"/>
              </w:rPr>
              <w:t>0.004L</w:t>
            </w:r>
          </w:p>
        </w:tc>
        <w:tc>
          <w:tcPr>
            <w:tcW w:w="851" w:type="dxa"/>
            <w:vAlign w:val="top"/>
          </w:tcPr>
          <w:p w14:paraId="48E5149C">
            <w:pPr>
              <w:pStyle w:val="6"/>
              <w:spacing w:before="82" w:line="231" w:lineRule="auto"/>
              <w:ind w:left="139"/>
              <w:rPr>
                <w:sz w:val="18"/>
                <w:szCs w:val="18"/>
              </w:rPr>
            </w:pPr>
            <w:r>
              <w:rPr>
                <w:spacing w:val="-1"/>
                <w:sz w:val="18"/>
                <w:szCs w:val="18"/>
              </w:rPr>
              <w:t>0.00023</w:t>
            </w:r>
          </w:p>
        </w:tc>
        <w:tc>
          <w:tcPr>
            <w:tcW w:w="644" w:type="dxa"/>
            <w:vAlign w:val="top"/>
          </w:tcPr>
          <w:p w14:paraId="0A6AC5F5">
            <w:pPr>
              <w:pStyle w:val="6"/>
              <w:spacing w:before="82" w:line="231" w:lineRule="auto"/>
              <w:ind w:left="81"/>
              <w:rPr>
                <w:sz w:val="18"/>
                <w:szCs w:val="18"/>
              </w:rPr>
            </w:pPr>
            <w:r>
              <w:rPr>
                <w:spacing w:val="-2"/>
                <w:sz w:val="18"/>
                <w:szCs w:val="18"/>
              </w:rPr>
              <w:t>0.0033</w:t>
            </w:r>
          </w:p>
        </w:tc>
        <w:tc>
          <w:tcPr>
            <w:tcW w:w="639" w:type="dxa"/>
            <w:vAlign w:val="top"/>
          </w:tcPr>
          <w:p w14:paraId="3F8CF7C0">
            <w:pPr>
              <w:pStyle w:val="6"/>
              <w:spacing w:before="82" w:line="231" w:lineRule="auto"/>
              <w:ind w:left="22"/>
              <w:rPr>
                <w:sz w:val="18"/>
                <w:szCs w:val="18"/>
              </w:rPr>
            </w:pPr>
            <w:r>
              <w:rPr>
                <w:spacing w:val="-1"/>
                <w:sz w:val="18"/>
                <w:szCs w:val="18"/>
              </w:rPr>
              <w:t>0.0004L</w:t>
            </w:r>
          </w:p>
        </w:tc>
        <w:tc>
          <w:tcPr>
            <w:tcW w:w="640" w:type="dxa"/>
            <w:vAlign w:val="top"/>
          </w:tcPr>
          <w:p w14:paraId="2113ECA6">
            <w:pPr>
              <w:pStyle w:val="6"/>
              <w:spacing w:before="82" w:line="231" w:lineRule="auto"/>
              <w:ind w:left="70"/>
              <w:rPr>
                <w:sz w:val="18"/>
                <w:szCs w:val="18"/>
              </w:rPr>
            </w:pPr>
            <w:r>
              <w:rPr>
                <w:spacing w:val="-2"/>
                <w:sz w:val="18"/>
                <w:szCs w:val="18"/>
              </w:rPr>
              <w:t>0.001L</w:t>
            </w:r>
          </w:p>
        </w:tc>
        <w:tc>
          <w:tcPr>
            <w:tcW w:w="639" w:type="dxa"/>
            <w:vAlign w:val="top"/>
          </w:tcPr>
          <w:p w14:paraId="62F9F773">
            <w:pPr>
              <w:pStyle w:val="6"/>
              <w:spacing w:before="82" w:line="231" w:lineRule="auto"/>
              <w:ind w:left="69"/>
              <w:rPr>
                <w:sz w:val="18"/>
                <w:szCs w:val="18"/>
              </w:rPr>
            </w:pPr>
            <w:r>
              <w:rPr>
                <w:spacing w:val="-2"/>
                <w:sz w:val="18"/>
                <w:szCs w:val="18"/>
              </w:rPr>
              <w:t>0.004L</w:t>
            </w:r>
          </w:p>
        </w:tc>
        <w:tc>
          <w:tcPr>
            <w:tcW w:w="639" w:type="dxa"/>
            <w:vAlign w:val="top"/>
          </w:tcPr>
          <w:p w14:paraId="11117BA4">
            <w:pPr>
              <w:pStyle w:val="6"/>
              <w:spacing w:before="82" w:line="231" w:lineRule="auto"/>
              <w:ind w:left="114"/>
              <w:rPr>
                <w:sz w:val="18"/>
                <w:szCs w:val="18"/>
              </w:rPr>
            </w:pPr>
            <w:r>
              <w:rPr>
                <w:spacing w:val="-2"/>
                <w:sz w:val="18"/>
                <w:szCs w:val="18"/>
              </w:rPr>
              <w:t>0.01L</w:t>
            </w:r>
          </w:p>
        </w:tc>
        <w:tc>
          <w:tcPr>
            <w:tcW w:w="640" w:type="dxa"/>
            <w:vAlign w:val="top"/>
          </w:tcPr>
          <w:p w14:paraId="62B38273">
            <w:pPr>
              <w:pStyle w:val="6"/>
              <w:spacing w:before="82" w:line="231" w:lineRule="auto"/>
              <w:ind w:left="72"/>
              <w:rPr>
                <w:sz w:val="18"/>
                <w:szCs w:val="18"/>
              </w:rPr>
            </w:pPr>
            <w:r>
              <w:rPr>
                <w:spacing w:val="-2"/>
                <w:sz w:val="18"/>
                <w:szCs w:val="18"/>
              </w:rPr>
              <w:t>0.009L</w:t>
            </w:r>
          </w:p>
        </w:tc>
        <w:tc>
          <w:tcPr>
            <w:tcW w:w="827" w:type="dxa"/>
            <w:vAlign w:val="top"/>
          </w:tcPr>
          <w:p w14:paraId="2CC6E014">
            <w:pPr>
              <w:pStyle w:val="6"/>
              <w:spacing w:before="82" w:line="231" w:lineRule="auto"/>
              <w:ind w:left="302"/>
              <w:rPr>
                <w:sz w:val="18"/>
                <w:szCs w:val="18"/>
              </w:rPr>
            </w:pPr>
            <w:r>
              <w:rPr>
                <w:spacing w:val="-5"/>
                <w:sz w:val="18"/>
                <w:szCs w:val="18"/>
              </w:rPr>
              <w:t>160</w:t>
            </w:r>
          </w:p>
        </w:tc>
        <w:tc>
          <w:tcPr>
            <w:tcW w:w="457" w:type="dxa"/>
            <w:vAlign w:val="top"/>
          </w:tcPr>
          <w:p w14:paraId="5C2A1AA0">
            <w:pPr>
              <w:pStyle w:val="6"/>
              <w:spacing w:before="82" w:line="231" w:lineRule="auto"/>
              <w:ind w:left="104"/>
              <w:rPr>
                <w:sz w:val="18"/>
                <w:szCs w:val="18"/>
              </w:rPr>
            </w:pPr>
            <w:r>
              <w:rPr>
                <w:spacing w:val="-2"/>
                <w:sz w:val="18"/>
                <w:szCs w:val="18"/>
              </w:rPr>
              <w:t>361</w:t>
            </w:r>
          </w:p>
        </w:tc>
        <w:tc>
          <w:tcPr>
            <w:tcW w:w="533" w:type="dxa"/>
            <w:vAlign w:val="top"/>
          </w:tcPr>
          <w:p w14:paraId="1F6EF02F">
            <w:pPr>
              <w:pStyle w:val="6"/>
              <w:spacing w:before="82" w:line="231" w:lineRule="auto"/>
              <w:ind w:left="164"/>
              <w:rPr>
                <w:sz w:val="18"/>
                <w:szCs w:val="18"/>
              </w:rPr>
            </w:pPr>
            <w:r>
              <w:rPr>
                <w:spacing w:val="-3"/>
                <w:sz w:val="18"/>
                <w:szCs w:val="18"/>
              </w:rPr>
              <w:t>0.6</w:t>
            </w:r>
          </w:p>
        </w:tc>
        <w:tc>
          <w:tcPr>
            <w:tcW w:w="533" w:type="dxa"/>
            <w:vAlign w:val="top"/>
          </w:tcPr>
          <w:p w14:paraId="5D95B8A9">
            <w:pPr>
              <w:pStyle w:val="6"/>
              <w:spacing w:before="82" w:line="231" w:lineRule="auto"/>
              <w:ind w:left="121"/>
              <w:rPr>
                <w:sz w:val="18"/>
                <w:szCs w:val="18"/>
              </w:rPr>
            </w:pPr>
            <w:r>
              <w:rPr>
                <w:spacing w:val="-2"/>
                <w:sz w:val="18"/>
                <w:szCs w:val="18"/>
              </w:rPr>
              <w:t>0.80</w:t>
            </w:r>
          </w:p>
        </w:tc>
        <w:tc>
          <w:tcPr>
            <w:tcW w:w="533" w:type="dxa"/>
            <w:vAlign w:val="top"/>
          </w:tcPr>
          <w:p w14:paraId="1DF3534F">
            <w:pPr>
              <w:pStyle w:val="6"/>
              <w:spacing w:before="82" w:line="231" w:lineRule="auto"/>
              <w:ind w:left="123"/>
              <w:rPr>
                <w:sz w:val="18"/>
                <w:szCs w:val="18"/>
              </w:rPr>
            </w:pPr>
            <w:r>
              <w:rPr>
                <w:spacing w:val="-2"/>
                <w:sz w:val="18"/>
                <w:szCs w:val="18"/>
              </w:rPr>
              <w:t>6.54</w:t>
            </w:r>
          </w:p>
        </w:tc>
        <w:tc>
          <w:tcPr>
            <w:tcW w:w="533" w:type="dxa"/>
            <w:vAlign w:val="top"/>
          </w:tcPr>
          <w:p w14:paraId="62936030">
            <w:pPr>
              <w:pStyle w:val="6"/>
              <w:spacing w:before="82" w:line="231" w:lineRule="auto"/>
              <w:ind w:left="124"/>
              <w:rPr>
                <w:sz w:val="18"/>
                <w:szCs w:val="18"/>
              </w:rPr>
            </w:pPr>
            <w:r>
              <w:rPr>
                <w:spacing w:val="-2"/>
                <w:sz w:val="18"/>
                <w:szCs w:val="18"/>
              </w:rPr>
              <w:t>62.2</w:t>
            </w:r>
          </w:p>
        </w:tc>
        <w:tc>
          <w:tcPr>
            <w:tcW w:w="524" w:type="dxa"/>
            <w:tcBorders>
              <w:right w:val="single" w:color="000000" w:sz="12" w:space="0"/>
            </w:tcBorders>
            <w:vAlign w:val="top"/>
          </w:tcPr>
          <w:p w14:paraId="0FB52229">
            <w:pPr>
              <w:pStyle w:val="6"/>
              <w:spacing w:before="82" w:line="231" w:lineRule="auto"/>
              <w:ind w:left="123"/>
              <w:rPr>
                <w:sz w:val="18"/>
                <w:szCs w:val="18"/>
              </w:rPr>
            </w:pPr>
            <w:r>
              <w:rPr>
                <w:spacing w:val="-6"/>
                <w:sz w:val="18"/>
                <w:szCs w:val="18"/>
              </w:rPr>
              <w:t>10.6</w:t>
            </w:r>
          </w:p>
        </w:tc>
      </w:tr>
      <w:tr w14:paraId="5F1CE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645815FD">
            <w:pPr>
              <w:rPr>
                <w:rFonts w:ascii="Arial"/>
                <w:sz w:val="21"/>
              </w:rPr>
            </w:pPr>
          </w:p>
        </w:tc>
        <w:tc>
          <w:tcPr>
            <w:tcW w:w="245" w:type="dxa"/>
            <w:vMerge w:val="continue"/>
            <w:tcBorders>
              <w:top w:val="nil"/>
            </w:tcBorders>
            <w:vAlign w:val="top"/>
          </w:tcPr>
          <w:p w14:paraId="30525EA9">
            <w:pPr>
              <w:rPr>
                <w:rFonts w:ascii="Arial"/>
                <w:sz w:val="21"/>
              </w:rPr>
            </w:pPr>
          </w:p>
        </w:tc>
        <w:tc>
          <w:tcPr>
            <w:tcW w:w="929" w:type="dxa"/>
            <w:vAlign w:val="top"/>
          </w:tcPr>
          <w:p w14:paraId="2BD181D4">
            <w:pPr>
              <w:pStyle w:val="6"/>
              <w:spacing w:before="82" w:line="229" w:lineRule="auto"/>
              <w:ind w:left="128"/>
              <w:rPr>
                <w:sz w:val="18"/>
                <w:szCs w:val="18"/>
              </w:rPr>
            </w:pPr>
            <w:r>
              <w:rPr>
                <w:spacing w:val="-1"/>
                <w:sz w:val="18"/>
                <w:szCs w:val="18"/>
              </w:rPr>
              <w:t>2019/8/8</w:t>
            </w:r>
          </w:p>
        </w:tc>
        <w:tc>
          <w:tcPr>
            <w:tcW w:w="606" w:type="dxa"/>
            <w:vAlign w:val="top"/>
          </w:tcPr>
          <w:p w14:paraId="7BD7B899">
            <w:pPr>
              <w:pStyle w:val="6"/>
              <w:spacing w:before="88" w:line="222" w:lineRule="auto"/>
              <w:ind w:left="132"/>
              <w:rPr>
                <w:sz w:val="18"/>
                <w:szCs w:val="18"/>
              </w:rPr>
            </w:pPr>
            <w:r>
              <w:rPr>
                <w:b/>
                <w:bCs/>
                <w:spacing w:val="-2"/>
                <w:sz w:val="18"/>
                <w:szCs w:val="18"/>
              </w:rPr>
              <w:t>6.30</w:t>
            </w:r>
          </w:p>
        </w:tc>
        <w:tc>
          <w:tcPr>
            <w:tcW w:w="606" w:type="dxa"/>
            <w:vAlign w:val="top"/>
          </w:tcPr>
          <w:p w14:paraId="108DEAB9">
            <w:pPr>
              <w:pStyle w:val="6"/>
              <w:spacing w:before="82" w:line="229" w:lineRule="auto"/>
              <w:ind w:left="153"/>
              <w:rPr>
                <w:sz w:val="18"/>
                <w:szCs w:val="18"/>
              </w:rPr>
            </w:pPr>
            <w:r>
              <w:rPr>
                <w:spacing w:val="-1"/>
                <w:sz w:val="18"/>
                <w:szCs w:val="18"/>
              </w:rPr>
              <w:t>240</w:t>
            </w:r>
          </w:p>
        </w:tc>
        <w:tc>
          <w:tcPr>
            <w:tcW w:w="606" w:type="dxa"/>
            <w:vAlign w:val="top"/>
          </w:tcPr>
          <w:p w14:paraId="262760F3">
            <w:pPr>
              <w:pStyle w:val="6"/>
              <w:spacing w:before="82" w:line="229" w:lineRule="auto"/>
              <w:ind w:left="158"/>
              <w:rPr>
                <w:sz w:val="18"/>
                <w:szCs w:val="18"/>
              </w:rPr>
            </w:pPr>
            <w:r>
              <w:rPr>
                <w:spacing w:val="-2"/>
                <w:sz w:val="18"/>
                <w:szCs w:val="18"/>
              </w:rPr>
              <w:t>347</w:t>
            </w:r>
          </w:p>
        </w:tc>
        <w:tc>
          <w:tcPr>
            <w:tcW w:w="606" w:type="dxa"/>
            <w:vAlign w:val="top"/>
          </w:tcPr>
          <w:p w14:paraId="0D4BEE23">
            <w:pPr>
              <w:pStyle w:val="6"/>
              <w:spacing w:before="82" w:line="229" w:lineRule="auto"/>
              <w:ind w:left="216"/>
              <w:rPr>
                <w:sz w:val="18"/>
                <w:szCs w:val="18"/>
              </w:rPr>
            </w:pPr>
            <w:r>
              <w:rPr>
                <w:spacing w:val="-6"/>
                <w:sz w:val="18"/>
                <w:szCs w:val="18"/>
              </w:rPr>
              <w:t>14</w:t>
            </w:r>
          </w:p>
        </w:tc>
        <w:tc>
          <w:tcPr>
            <w:tcW w:w="606" w:type="dxa"/>
            <w:vAlign w:val="top"/>
          </w:tcPr>
          <w:p w14:paraId="33F7FDD9">
            <w:pPr>
              <w:pStyle w:val="6"/>
              <w:spacing w:before="85" w:line="186" w:lineRule="auto"/>
              <w:ind w:left="162"/>
              <w:rPr>
                <w:sz w:val="18"/>
                <w:szCs w:val="18"/>
              </w:rPr>
            </w:pPr>
            <w:r>
              <w:rPr>
                <w:spacing w:val="-5"/>
                <w:sz w:val="18"/>
                <w:szCs w:val="18"/>
              </w:rPr>
              <w:t>10L</w:t>
            </w:r>
          </w:p>
        </w:tc>
        <w:tc>
          <w:tcPr>
            <w:tcW w:w="606" w:type="dxa"/>
            <w:vAlign w:val="top"/>
          </w:tcPr>
          <w:p w14:paraId="4BEF516B">
            <w:pPr>
              <w:pStyle w:val="6"/>
              <w:spacing w:before="82" w:line="229" w:lineRule="auto"/>
              <w:ind w:left="82"/>
              <w:rPr>
                <w:sz w:val="18"/>
                <w:szCs w:val="18"/>
              </w:rPr>
            </w:pPr>
            <w:r>
              <w:rPr>
                <w:spacing w:val="-2"/>
                <w:sz w:val="18"/>
                <w:szCs w:val="18"/>
              </w:rPr>
              <w:t>0.03L</w:t>
            </w:r>
          </w:p>
        </w:tc>
        <w:tc>
          <w:tcPr>
            <w:tcW w:w="605" w:type="dxa"/>
            <w:vAlign w:val="top"/>
          </w:tcPr>
          <w:p w14:paraId="12993F90">
            <w:pPr>
              <w:pStyle w:val="6"/>
              <w:spacing w:before="82" w:line="229" w:lineRule="auto"/>
              <w:ind w:left="83"/>
              <w:rPr>
                <w:sz w:val="18"/>
                <w:szCs w:val="18"/>
              </w:rPr>
            </w:pPr>
            <w:r>
              <w:rPr>
                <w:spacing w:val="-2"/>
                <w:sz w:val="18"/>
                <w:szCs w:val="18"/>
              </w:rPr>
              <w:t>0.02L</w:t>
            </w:r>
          </w:p>
        </w:tc>
        <w:tc>
          <w:tcPr>
            <w:tcW w:w="563" w:type="dxa"/>
            <w:vAlign w:val="top"/>
          </w:tcPr>
          <w:p w14:paraId="785669AD">
            <w:pPr>
              <w:pStyle w:val="6"/>
              <w:spacing w:before="82" w:line="229" w:lineRule="auto"/>
              <w:ind w:left="63"/>
              <w:rPr>
                <w:sz w:val="18"/>
                <w:szCs w:val="18"/>
              </w:rPr>
            </w:pPr>
            <w:r>
              <w:rPr>
                <w:spacing w:val="-2"/>
                <w:sz w:val="18"/>
                <w:szCs w:val="18"/>
              </w:rPr>
              <w:t>0.01L</w:t>
            </w:r>
          </w:p>
        </w:tc>
        <w:tc>
          <w:tcPr>
            <w:tcW w:w="562" w:type="dxa"/>
            <w:vAlign w:val="top"/>
          </w:tcPr>
          <w:p w14:paraId="305610BD">
            <w:pPr>
              <w:pStyle w:val="6"/>
              <w:spacing w:before="82" w:line="229" w:lineRule="auto"/>
              <w:ind w:left="74"/>
              <w:rPr>
                <w:sz w:val="18"/>
                <w:szCs w:val="18"/>
              </w:rPr>
            </w:pPr>
            <w:r>
              <w:rPr>
                <w:spacing w:val="-2"/>
                <w:sz w:val="18"/>
                <w:szCs w:val="18"/>
              </w:rPr>
              <w:t>0.012</w:t>
            </w:r>
          </w:p>
        </w:tc>
        <w:tc>
          <w:tcPr>
            <w:tcW w:w="696" w:type="dxa"/>
            <w:vAlign w:val="top"/>
          </w:tcPr>
          <w:p w14:paraId="760AF5FF">
            <w:pPr>
              <w:pStyle w:val="6"/>
              <w:spacing w:before="82" w:line="229" w:lineRule="auto"/>
              <w:ind w:left="41"/>
              <w:rPr>
                <w:sz w:val="18"/>
                <w:szCs w:val="18"/>
              </w:rPr>
            </w:pPr>
            <w:r>
              <w:rPr>
                <w:spacing w:val="-1"/>
                <w:sz w:val="18"/>
                <w:szCs w:val="18"/>
              </w:rPr>
              <w:t>0.0003L</w:t>
            </w:r>
          </w:p>
        </w:tc>
        <w:tc>
          <w:tcPr>
            <w:tcW w:w="605" w:type="dxa"/>
            <w:vAlign w:val="top"/>
          </w:tcPr>
          <w:p w14:paraId="490003DD">
            <w:pPr>
              <w:pStyle w:val="6"/>
              <w:spacing w:before="82" w:line="229" w:lineRule="auto"/>
              <w:ind w:left="87"/>
              <w:rPr>
                <w:sz w:val="18"/>
                <w:szCs w:val="18"/>
              </w:rPr>
            </w:pPr>
            <w:r>
              <w:rPr>
                <w:spacing w:val="-2"/>
                <w:sz w:val="18"/>
                <w:szCs w:val="18"/>
              </w:rPr>
              <w:t>0.05L</w:t>
            </w:r>
          </w:p>
        </w:tc>
        <w:tc>
          <w:tcPr>
            <w:tcW w:w="582" w:type="dxa"/>
            <w:vAlign w:val="top"/>
          </w:tcPr>
          <w:p w14:paraId="3D880DF5">
            <w:pPr>
              <w:pStyle w:val="6"/>
              <w:spacing w:before="82" w:line="229" w:lineRule="auto"/>
              <w:ind w:left="132"/>
              <w:rPr>
                <w:sz w:val="18"/>
                <w:szCs w:val="18"/>
              </w:rPr>
            </w:pPr>
            <w:r>
              <w:rPr>
                <w:spacing w:val="-2"/>
                <w:sz w:val="18"/>
                <w:szCs w:val="18"/>
              </w:rPr>
              <w:t>0.01</w:t>
            </w:r>
          </w:p>
        </w:tc>
        <w:tc>
          <w:tcPr>
            <w:tcW w:w="583" w:type="dxa"/>
            <w:vAlign w:val="top"/>
          </w:tcPr>
          <w:p w14:paraId="062BDE3C">
            <w:pPr>
              <w:pStyle w:val="6"/>
              <w:spacing w:before="82" w:line="229" w:lineRule="auto"/>
              <w:ind w:left="78"/>
              <w:rPr>
                <w:sz w:val="18"/>
                <w:szCs w:val="18"/>
              </w:rPr>
            </w:pPr>
            <w:r>
              <w:rPr>
                <w:spacing w:val="-2"/>
                <w:sz w:val="18"/>
                <w:szCs w:val="18"/>
              </w:rPr>
              <w:t>0.02L</w:t>
            </w:r>
          </w:p>
        </w:tc>
        <w:tc>
          <w:tcPr>
            <w:tcW w:w="582" w:type="dxa"/>
            <w:vAlign w:val="top"/>
          </w:tcPr>
          <w:p w14:paraId="76894FDB">
            <w:pPr>
              <w:pStyle w:val="6"/>
              <w:spacing w:before="82" w:line="229" w:lineRule="auto"/>
              <w:ind w:left="33"/>
              <w:rPr>
                <w:sz w:val="18"/>
                <w:szCs w:val="18"/>
              </w:rPr>
            </w:pPr>
            <w:r>
              <w:rPr>
                <w:spacing w:val="-2"/>
                <w:sz w:val="18"/>
                <w:szCs w:val="18"/>
              </w:rPr>
              <w:t>0.003L</w:t>
            </w:r>
          </w:p>
        </w:tc>
        <w:tc>
          <w:tcPr>
            <w:tcW w:w="582" w:type="dxa"/>
            <w:vAlign w:val="top"/>
          </w:tcPr>
          <w:p w14:paraId="0687DAEC">
            <w:pPr>
              <w:pStyle w:val="6"/>
              <w:spacing w:before="82" w:line="229" w:lineRule="auto"/>
              <w:ind w:left="90"/>
              <w:rPr>
                <w:sz w:val="18"/>
                <w:szCs w:val="18"/>
              </w:rPr>
            </w:pPr>
            <w:r>
              <w:rPr>
                <w:spacing w:val="-2"/>
                <w:sz w:val="18"/>
                <w:szCs w:val="18"/>
              </w:rPr>
              <w:t>0.219</w:t>
            </w:r>
          </w:p>
        </w:tc>
        <w:tc>
          <w:tcPr>
            <w:tcW w:w="582" w:type="dxa"/>
            <w:vAlign w:val="top"/>
          </w:tcPr>
          <w:p w14:paraId="0F35F965">
            <w:pPr>
              <w:pStyle w:val="6"/>
              <w:spacing w:before="82" w:line="229" w:lineRule="auto"/>
              <w:ind w:left="135"/>
              <w:rPr>
                <w:sz w:val="18"/>
                <w:szCs w:val="18"/>
              </w:rPr>
            </w:pPr>
            <w:r>
              <w:rPr>
                <w:spacing w:val="-2"/>
                <w:sz w:val="18"/>
                <w:szCs w:val="18"/>
              </w:rPr>
              <w:t>0.05</w:t>
            </w:r>
          </w:p>
        </w:tc>
        <w:tc>
          <w:tcPr>
            <w:tcW w:w="581" w:type="dxa"/>
            <w:vAlign w:val="top"/>
          </w:tcPr>
          <w:p w14:paraId="51D8DF08">
            <w:pPr>
              <w:pStyle w:val="6"/>
              <w:spacing w:before="82" w:line="229" w:lineRule="auto"/>
              <w:ind w:left="37"/>
              <w:rPr>
                <w:sz w:val="18"/>
                <w:szCs w:val="18"/>
              </w:rPr>
            </w:pPr>
            <w:r>
              <w:rPr>
                <w:spacing w:val="-2"/>
                <w:sz w:val="18"/>
                <w:szCs w:val="18"/>
              </w:rPr>
              <w:t>0.004L</w:t>
            </w:r>
          </w:p>
        </w:tc>
        <w:tc>
          <w:tcPr>
            <w:tcW w:w="851" w:type="dxa"/>
            <w:vAlign w:val="top"/>
          </w:tcPr>
          <w:p w14:paraId="6C8B698B">
            <w:pPr>
              <w:pStyle w:val="6"/>
              <w:spacing w:before="82" w:line="229" w:lineRule="auto"/>
              <w:ind w:left="139"/>
              <w:rPr>
                <w:sz w:val="18"/>
                <w:szCs w:val="18"/>
              </w:rPr>
            </w:pPr>
            <w:r>
              <w:rPr>
                <w:spacing w:val="-1"/>
                <w:sz w:val="18"/>
                <w:szCs w:val="18"/>
              </w:rPr>
              <w:t>0.00023</w:t>
            </w:r>
          </w:p>
        </w:tc>
        <w:tc>
          <w:tcPr>
            <w:tcW w:w="644" w:type="dxa"/>
            <w:vAlign w:val="top"/>
          </w:tcPr>
          <w:p w14:paraId="1D67164D">
            <w:pPr>
              <w:pStyle w:val="6"/>
              <w:spacing w:before="82" w:line="229" w:lineRule="auto"/>
              <w:ind w:left="81"/>
              <w:rPr>
                <w:sz w:val="18"/>
                <w:szCs w:val="18"/>
              </w:rPr>
            </w:pPr>
            <w:r>
              <w:rPr>
                <w:spacing w:val="-2"/>
                <w:sz w:val="18"/>
                <w:szCs w:val="18"/>
              </w:rPr>
              <w:t>0.0031</w:t>
            </w:r>
          </w:p>
        </w:tc>
        <w:tc>
          <w:tcPr>
            <w:tcW w:w="639" w:type="dxa"/>
            <w:vAlign w:val="top"/>
          </w:tcPr>
          <w:p w14:paraId="673B7CF4">
            <w:pPr>
              <w:pStyle w:val="6"/>
              <w:spacing w:before="82" w:line="229" w:lineRule="auto"/>
              <w:ind w:left="22"/>
              <w:rPr>
                <w:sz w:val="18"/>
                <w:szCs w:val="18"/>
              </w:rPr>
            </w:pPr>
            <w:r>
              <w:rPr>
                <w:spacing w:val="-1"/>
                <w:sz w:val="18"/>
                <w:szCs w:val="18"/>
              </w:rPr>
              <w:t>0.0004L</w:t>
            </w:r>
          </w:p>
        </w:tc>
        <w:tc>
          <w:tcPr>
            <w:tcW w:w="640" w:type="dxa"/>
            <w:vAlign w:val="top"/>
          </w:tcPr>
          <w:p w14:paraId="3C64AF8F">
            <w:pPr>
              <w:pStyle w:val="6"/>
              <w:spacing w:before="82" w:line="229" w:lineRule="auto"/>
              <w:ind w:left="70"/>
              <w:rPr>
                <w:sz w:val="18"/>
                <w:szCs w:val="18"/>
              </w:rPr>
            </w:pPr>
            <w:r>
              <w:rPr>
                <w:spacing w:val="-2"/>
                <w:sz w:val="18"/>
                <w:szCs w:val="18"/>
              </w:rPr>
              <w:t>0.001L</w:t>
            </w:r>
          </w:p>
        </w:tc>
        <w:tc>
          <w:tcPr>
            <w:tcW w:w="639" w:type="dxa"/>
            <w:vAlign w:val="top"/>
          </w:tcPr>
          <w:p w14:paraId="6E6EE3CD">
            <w:pPr>
              <w:pStyle w:val="6"/>
              <w:spacing w:before="82" w:line="229" w:lineRule="auto"/>
              <w:ind w:left="69"/>
              <w:rPr>
                <w:sz w:val="18"/>
                <w:szCs w:val="18"/>
              </w:rPr>
            </w:pPr>
            <w:r>
              <w:rPr>
                <w:spacing w:val="-2"/>
                <w:sz w:val="18"/>
                <w:szCs w:val="18"/>
              </w:rPr>
              <w:t>0.004L</w:t>
            </w:r>
          </w:p>
        </w:tc>
        <w:tc>
          <w:tcPr>
            <w:tcW w:w="639" w:type="dxa"/>
            <w:vAlign w:val="top"/>
          </w:tcPr>
          <w:p w14:paraId="60E47BDA">
            <w:pPr>
              <w:pStyle w:val="6"/>
              <w:spacing w:before="82" w:line="229" w:lineRule="auto"/>
              <w:ind w:left="114"/>
              <w:rPr>
                <w:sz w:val="18"/>
                <w:szCs w:val="18"/>
              </w:rPr>
            </w:pPr>
            <w:r>
              <w:rPr>
                <w:spacing w:val="-2"/>
                <w:sz w:val="18"/>
                <w:szCs w:val="18"/>
              </w:rPr>
              <w:t>0.01L</w:t>
            </w:r>
          </w:p>
        </w:tc>
        <w:tc>
          <w:tcPr>
            <w:tcW w:w="640" w:type="dxa"/>
            <w:vAlign w:val="top"/>
          </w:tcPr>
          <w:p w14:paraId="504F9066">
            <w:pPr>
              <w:pStyle w:val="6"/>
              <w:spacing w:before="82" w:line="229" w:lineRule="auto"/>
              <w:ind w:left="72"/>
              <w:rPr>
                <w:sz w:val="18"/>
                <w:szCs w:val="18"/>
              </w:rPr>
            </w:pPr>
            <w:r>
              <w:rPr>
                <w:spacing w:val="-2"/>
                <w:sz w:val="18"/>
                <w:szCs w:val="18"/>
              </w:rPr>
              <w:t>0.009L</w:t>
            </w:r>
          </w:p>
        </w:tc>
        <w:tc>
          <w:tcPr>
            <w:tcW w:w="827" w:type="dxa"/>
            <w:vAlign w:val="top"/>
          </w:tcPr>
          <w:p w14:paraId="2FEB89E7">
            <w:pPr>
              <w:pStyle w:val="6"/>
              <w:spacing w:before="82" w:line="229" w:lineRule="auto"/>
              <w:ind w:left="302"/>
              <w:rPr>
                <w:sz w:val="18"/>
                <w:szCs w:val="18"/>
              </w:rPr>
            </w:pPr>
            <w:r>
              <w:rPr>
                <w:spacing w:val="-5"/>
                <w:sz w:val="18"/>
                <w:szCs w:val="18"/>
              </w:rPr>
              <w:t>170</w:t>
            </w:r>
          </w:p>
        </w:tc>
        <w:tc>
          <w:tcPr>
            <w:tcW w:w="457" w:type="dxa"/>
            <w:vAlign w:val="top"/>
          </w:tcPr>
          <w:p w14:paraId="10530865">
            <w:pPr>
              <w:pStyle w:val="6"/>
              <w:spacing w:before="82" w:line="229" w:lineRule="auto"/>
              <w:ind w:left="104"/>
              <w:rPr>
                <w:sz w:val="18"/>
                <w:szCs w:val="18"/>
              </w:rPr>
            </w:pPr>
            <w:r>
              <w:rPr>
                <w:spacing w:val="-2"/>
                <w:sz w:val="18"/>
                <w:szCs w:val="18"/>
              </w:rPr>
              <w:t>386</w:t>
            </w:r>
          </w:p>
        </w:tc>
        <w:tc>
          <w:tcPr>
            <w:tcW w:w="533" w:type="dxa"/>
            <w:vAlign w:val="top"/>
          </w:tcPr>
          <w:p w14:paraId="6C50E561">
            <w:pPr>
              <w:pStyle w:val="6"/>
              <w:spacing w:before="82" w:line="229" w:lineRule="auto"/>
              <w:ind w:left="164"/>
              <w:rPr>
                <w:sz w:val="18"/>
                <w:szCs w:val="18"/>
              </w:rPr>
            </w:pPr>
            <w:r>
              <w:rPr>
                <w:spacing w:val="-3"/>
                <w:sz w:val="18"/>
                <w:szCs w:val="18"/>
              </w:rPr>
              <w:t>0.5</w:t>
            </w:r>
          </w:p>
        </w:tc>
        <w:tc>
          <w:tcPr>
            <w:tcW w:w="533" w:type="dxa"/>
            <w:vAlign w:val="top"/>
          </w:tcPr>
          <w:p w14:paraId="331F0BD9">
            <w:pPr>
              <w:pStyle w:val="6"/>
              <w:spacing w:before="82" w:line="229" w:lineRule="auto"/>
              <w:ind w:left="121"/>
              <w:rPr>
                <w:sz w:val="18"/>
                <w:szCs w:val="18"/>
              </w:rPr>
            </w:pPr>
            <w:r>
              <w:rPr>
                <w:spacing w:val="-2"/>
                <w:sz w:val="18"/>
                <w:szCs w:val="18"/>
              </w:rPr>
              <w:t>0.68</w:t>
            </w:r>
          </w:p>
        </w:tc>
        <w:tc>
          <w:tcPr>
            <w:tcW w:w="533" w:type="dxa"/>
            <w:vAlign w:val="top"/>
          </w:tcPr>
          <w:p w14:paraId="2168CE1E">
            <w:pPr>
              <w:pStyle w:val="6"/>
              <w:spacing w:before="82" w:line="229" w:lineRule="auto"/>
              <w:ind w:left="123"/>
              <w:rPr>
                <w:sz w:val="18"/>
                <w:szCs w:val="18"/>
              </w:rPr>
            </w:pPr>
            <w:r>
              <w:rPr>
                <w:spacing w:val="-2"/>
                <w:sz w:val="18"/>
                <w:szCs w:val="18"/>
              </w:rPr>
              <w:t>6.64</w:t>
            </w:r>
          </w:p>
        </w:tc>
        <w:tc>
          <w:tcPr>
            <w:tcW w:w="533" w:type="dxa"/>
            <w:vAlign w:val="top"/>
          </w:tcPr>
          <w:p w14:paraId="5F43EEA8">
            <w:pPr>
              <w:pStyle w:val="6"/>
              <w:spacing w:before="82" w:line="229" w:lineRule="auto"/>
              <w:ind w:left="124"/>
              <w:rPr>
                <w:sz w:val="18"/>
                <w:szCs w:val="18"/>
              </w:rPr>
            </w:pPr>
            <w:r>
              <w:rPr>
                <w:spacing w:val="-2"/>
                <w:sz w:val="18"/>
                <w:szCs w:val="18"/>
              </w:rPr>
              <w:t>62.2</w:t>
            </w:r>
          </w:p>
        </w:tc>
        <w:tc>
          <w:tcPr>
            <w:tcW w:w="524" w:type="dxa"/>
            <w:tcBorders>
              <w:right w:val="single" w:color="000000" w:sz="12" w:space="0"/>
            </w:tcBorders>
            <w:vAlign w:val="top"/>
          </w:tcPr>
          <w:p w14:paraId="56F51A3F">
            <w:pPr>
              <w:pStyle w:val="6"/>
              <w:spacing w:before="82" w:line="229" w:lineRule="auto"/>
              <w:ind w:left="123"/>
              <w:rPr>
                <w:sz w:val="18"/>
                <w:szCs w:val="18"/>
              </w:rPr>
            </w:pPr>
            <w:r>
              <w:rPr>
                <w:spacing w:val="-6"/>
                <w:sz w:val="18"/>
                <w:szCs w:val="18"/>
              </w:rPr>
              <w:t>10.6</w:t>
            </w:r>
          </w:p>
        </w:tc>
      </w:tr>
      <w:tr w14:paraId="78693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18A95A41">
            <w:pPr>
              <w:rPr>
                <w:rFonts w:ascii="Arial"/>
                <w:sz w:val="21"/>
              </w:rPr>
            </w:pPr>
          </w:p>
        </w:tc>
        <w:tc>
          <w:tcPr>
            <w:tcW w:w="245" w:type="dxa"/>
            <w:vMerge w:val="restart"/>
            <w:tcBorders>
              <w:bottom w:val="nil"/>
            </w:tcBorders>
            <w:vAlign w:val="top"/>
          </w:tcPr>
          <w:p w14:paraId="0A7F1505">
            <w:pPr>
              <w:pStyle w:val="6"/>
              <w:spacing w:before="142" w:line="227" w:lineRule="auto"/>
              <w:ind w:left="60"/>
              <w:rPr>
                <w:sz w:val="18"/>
                <w:szCs w:val="18"/>
              </w:rPr>
            </w:pPr>
            <w:r>
              <w:rPr>
                <w:sz w:val="18"/>
                <w:szCs w:val="18"/>
              </w:rPr>
              <w:t>4</w:t>
            </w:r>
          </w:p>
          <w:p w14:paraId="79AFAD9E">
            <w:pPr>
              <w:spacing w:line="226" w:lineRule="auto"/>
              <w:ind w:left="19"/>
              <w:rPr>
                <w:rFonts w:ascii="等线" w:hAnsi="等线" w:eastAsia="等线" w:cs="等线"/>
                <w:sz w:val="18"/>
                <w:szCs w:val="18"/>
              </w:rPr>
            </w:pPr>
            <w:r>
              <w:rPr>
                <w:rFonts w:ascii="等线" w:hAnsi="等线" w:eastAsia="等线" w:cs="等线"/>
                <w:sz w:val="18"/>
                <w:szCs w:val="18"/>
              </w:rPr>
              <w:t>季</w:t>
            </w:r>
          </w:p>
          <w:p w14:paraId="11C579EF">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04C55F1A">
            <w:pPr>
              <w:pStyle w:val="6"/>
              <w:spacing w:before="84" w:line="229" w:lineRule="auto"/>
              <w:ind w:left="83"/>
              <w:rPr>
                <w:sz w:val="18"/>
                <w:szCs w:val="18"/>
              </w:rPr>
            </w:pPr>
            <w:r>
              <w:rPr>
                <w:spacing w:val="-1"/>
                <w:sz w:val="18"/>
                <w:szCs w:val="18"/>
              </w:rPr>
              <w:t>2019/11/9</w:t>
            </w:r>
          </w:p>
        </w:tc>
        <w:tc>
          <w:tcPr>
            <w:tcW w:w="606" w:type="dxa"/>
            <w:vAlign w:val="top"/>
          </w:tcPr>
          <w:p w14:paraId="3B7FEC02">
            <w:pPr>
              <w:pStyle w:val="6"/>
              <w:spacing w:before="91" w:line="221" w:lineRule="auto"/>
              <w:ind w:left="132"/>
              <w:rPr>
                <w:sz w:val="18"/>
                <w:szCs w:val="18"/>
              </w:rPr>
            </w:pPr>
            <w:r>
              <w:rPr>
                <w:b/>
                <w:bCs/>
                <w:spacing w:val="-2"/>
                <w:sz w:val="18"/>
                <w:szCs w:val="18"/>
              </w:rPr>
              <w:t>6.40</w:t>
            </w:r>
          </w:p>
        </w:tc>
        <w:tc>
          <w:tcPr>
            <w:tcW w:w="606" w:type="dxa"/>
            <w:vAlign w:val="top"/>
          </w:tcPr>
          <w:p w14:paraId="7D70F141">
            <w:pPr>
              <w:pStyle w:val="6"/>
              <w:spacing w:before="84" w:line="229" w:lineRule="auto"/>
              <w:ind w:left="153"/>
              <w:rPr>
                <w:sz w:val="18"/>
                <w:szCs w:val="18"/>
              </w:rPr>
            </w:pPr>
            <w:r>
              <w:rPr>
                <w:spacing w:val="-1"/>
                <w:sz w:val="18"/>
                <w:szCs w:val="18"/>
              </w:rPr>
              <w:t>250</w:t>
            </w:r>
          </w:p>
        </w:tc>
        <w:tc>
          <w:tcPr>
            <w:tcW w:w="606" w:type="dxa"/>
            <w:vAlign w:val="top"/>
          </w:tcPr>
          <w:p w14:paraId="40B9DA57">
            <w:pPr>
              <w:pStyle w:val="6"/>
              <w:spacing w:before="84" w:line="229" w:lineRule="auto"/>
              <w:ind w:left="154"/>
              <w:rPr>
                <w:sz w:val="18"/>
                <w:szCs w:val="18"/>
              </w:rPr>
            </w:pPr>
            <w:r>
              <w:rPr>
                <w:spacing w:val="-1"/>
                <w:sz w:val="18"/>
                <w:szCs w:val="18"/>
              </w:rPr>
              <w:t>413</w:t>
            </w:r>
          </w:p>
        </w:tc>
        <w:tc>
          <w:tcPr>
            <w:tcW w:w="606" w:type="dxa"/>
            <w:vAlign w:val="top"/>
          </w:tcPr>
          <w:p w14:paraId="2E6C9901">
            <w:pPr>
              <w:pStyle w:val="6"/>
              <w:spacing w:before="84" w:line="229" w:lineRule="auto"/>
              <w:ind w:left="203"/>
              <w:rPr>
                <w:sz w:val="18"/>
                <w:szCs w:val="18"/>
              </w:rPr>
            </w:pPr>
            <w:r>
              <w:rPr>
                <w:spacing w:val="-2"/>
                <w:sz w:val="18"/>
                <w:szCs w:val="18"/>
              </w:rPr>
              <w:t>67</w:t>
            </w:r>
          </w:p>
        </w:tc>
        <w:tc>
          <w:tcPr>
            <w:tcW w:w="606" w:type="dxa"/>
            <w:vAlign w:val="top"/>
          </w:tcPr>
          <w:p w14:paraId="6B3BFC78">
            <w:pPr>
              <w:pStyle w:val="6"/>
              <w:spacing w:before="87" w:line="186" w:lineRule="auto"/>
              <w:ind w:left="162"/>
              <w:rPr>
                <w:sz w:val="18"/>
                <w:szCs w:val="18"/>
              </w:rPr>
            </w:pPr>
            <w:r>
              <w:rPr>
                <w:spacing w:val="-5"/>
                <w:sz w:val="18"/>
                <w:szCs w:val="18"/>
              </w:rPr>
              <w:t>10L</w:t>
            </w:r>
          </w:p>
        </w:tc>
        <w:tc>
          <w:tcPr>
            <w:tcW w:w="606" w:type="dxa"/>
            <w:vAlign w:val="top"/>
          </w:tcPr>
          <w:p w14:paraId="7FC67C1D">
            <w:pPr>
              <w:pStyle w:val="6"/>
              <w:spacing w:before="84" w:line="229" w:lineRule="auto"/>
              <w:ind w:left="82"/>
              <w:rPr>
                <w:sz w:val="18"/>
                <w:szCs w:val="18"/>
              </w:rPr>
            </w:pPr>
            <w:r>
              <w:rPr>
                <w:spacing w:val="-2"/>
                <w:sz w:val="18"/>
                <w:szCs w:val="18"/>
              </w:rPr>
              <w:t>0.03L</w:t>
            </w:r>
          </w:p>
        </w:tc>
        <w:tc>
          <w:tcPr>
            <w:tcW w:w="605" w:type="dxa"/>
            <w:vAlign w:val="top"/>
          </w:tcPr>
          <w:p w14:paraId="7D3D2779">
            <w:pPr>
              <w:pStyle w:val="6"/>
              <w:spacing w:before="84" w:line="229" w:lineRule="auto"/>
              <w:ind w:left="83"/>
              <w:rPr>
                <w:sz w:val="18"/>
                <w:szCs w:val="18"/>
              </w:rPr>
            </w:pPr>
            <w:r>
              <w:rPr>
                <w:spacing w:val="-2"/>
                <w:sz w:val="18"/>
                <w:szCs w:val="18"/>
              </w:rPr>
              <w:t>0.02L</w:t>
            </w:r>
          </w:p>
        </w:tc>
        <w:tc>
          <w:tcPr>
            <w:tcW w:w="563" w:type="dxa"/>
            <w:vAlign w:val="top"/>
          </w:tcPr>
          <w:p w14:paraId="31436F40">
            <w:pPr>
              <w:pStyle w:val="6"/>
              <w:spacing w:before="84" w:line="229" w:lineRule="auto"/>
              <w:ind w:left="63"/>
              <w:rPr>
                <w:sz w:val="18"/>
                <w:szCs w:val="18"/>
              </w:rPr>
            </w:pPr>
            <w:r>
              <w:rPr>
                <w:spacing w:val="-2"/>
                <w:sz w:val="18"/>
                <w:szCs w:val="18"/>
              </w:rPr>
              <w:t>0.01L</w:t>
            </w:r>
          </w:p>
        </w:tc>
        <w:tc>
          <w:tcPr>
            <w:tcW w:w="562" w:type="dxa"/>
            <w:vAlign w:val="top"/>
          </w:tcPr>
          <w:p w14:paraId="5F0948BC">
            <w:pPr>
              <w:pStyle w:val="6"/>
              <w:spacing w:before="84" w:line="229" w:lineRule="auto"/>
              <w:ind w:left="19"/>
              <w:rPr>
                <w:sz w:val="18"/>
                <w:szCs w:val="18"/>
              </w:rPr>
            </w:pPr>
            <w:r>
              <w:rPr>
                <w:spacing w:val="-2"/>
                <w:sz w:val="18"/>
                <w:szCs w:val="18"/>
              </w:rPr>
              <w:t>0.006L</w:t>
            </w:r>
          </w:p>
        </w:tc>
        <w:tc>
          <w:tcPr>
            <w:tcW w:w="696" w:type="dxa"/>
            <w:vAlign w:val="top"/>
          </w:tcPr>
          <w:p w14:paraId="7C844EE7">
            <w:pPr>
              <w:pStyle w:val="6"/>
              <w:spacing w:before="84" w:line="229" w:lineRule="auto"/>
              <w:ind w:left="41"/>
              <w:rPr>
                <w:sz w:val="18"/>
                <w:szCs w:val="18"/>
              </w:rPr>
            </w:pPr>
            <w:r>
              <w:rPr>
                <w:spacing w:val="-1"/>
                <w:sz w:val="18"/>
                <w:szCs w:val="18"/>
              </w:rPr>
              <w:t>0.0003L</w:t>
            </w:r>
          </w:p>
        </w:tc>
        <w:tc>
          <w:tcPr>
            <w:tcW w:w="605" w:type="dxa"/>
            <w:vAlign w:val="top"/>
          </w:tcPr>
          <w:p w14:paraId="6C80F720">
            <w:pPr>
              <w:pStyle w:val="6"/>
              <w:spacing w:before="84" w:line="229" w:lineRule="auto"/>
              <w:ind w:left="98"/>
              <w:rPr>
                <w:sz w:val="18"/>
                <w:szCs w:val="18"/>
              </w:rPr>
            </w:pPr>
            <w:r>
              <w:rPr>
                <w:spacing w:val="-2"/>
                <w:sz w:val="18"/>
                <w:szCs w:val="18"/>
              </w:rPr>
              <w:t>0.076</w:t>
            </w:r>
          </w:p>
        </w:tc>
        <w:tc>
          <w:tcPr>
            <w:tcW w:w="582" w:type="dxa"/>
            <w:vAlign w:val="top"/>
          </w:tcPr>
          <w:p w14:paraId="646878B2">
            <w:pPr>
              <w:pStyle w:val="6"/>
              <w:spacing w:before="84" w:line="229" w:lineRule="auto"/>
              <w:ind w:left="132"/>
              <w:rPr>
                <w:sz w:val="18"/>
                <w:szCs w:val="18"/>
              </w:rPr>
            </w:pPr>
            <w:r>
              <w:rPr>
                <w:spacing w:val="-2"/>
                <w:sz w:val="18"/>
                <w:szCs w:val="18"/>
              </w:rPr>
              <w:t>0.01</w:t>
            </w:r>
          </w:p>
        </w:tc>
        <w:tc>
          <w:tcPr>
            <w:tcW w:w="583" w:type="dxa"/>
            <w:vAlign w:val="top"/>
          </w:tcPr>
          <w:p w14:paraId="1FD7E453">
            <w:pPr>
              <w:pStyle w:val="6"/>
              <w:spacing w:before="84" w:line="229" w:lineRule="auto"/>
              <w:ind w:left="133"/>
              <w:rPr>
                <w:sz w:val="18"/>
                <w:szCs w:val="18"/>
              </w:rPr>
            </w:pPr>
            <w:r>
              <w:rPr>
                <w:spacing w:val="-2"/>
                <w:sz w:val="18"/>
                <w:szCs w:val="18"/>
              </w:rPr>
              <w:t>0.73</w:t>
            </w:r>
          </w:p>
        </w:tc>
        <w:tc>
          <w:tcPr>
            <w:tcW w:w="582" w:type="dxa"/>
            <w:vAlign w:val="top"/>
          </w:tcPr>
          <w:p w14:paraId="0FE86938">
            <w:pPr>
              <w:pStyle w:val="6"/>
              <w:spacing w:before="84" w:line="229" w:lineRule="auto"/>
              <w:ind w:left="33"/>
              <w:rPr>
                <w:sz w:val="18"/>
                <w:szCs w:val="18"/>
              </w:rPr>
            </w:pPr>
            <w:r>
              <w:rPr>
                <w:spacing w:val="-2"/>
                <w:sz w:val="18"/>
                <w:szCs w:val="18"/>
              </w:rPr>
              <w:t>0.003L</w:t>
            </w:r>
          </w:p>
        </w:tc>
        <w:tc>
          <w:tcPr>
            <w:tcW w:w="582" w:type="dxa"/>
            <w:vAlign w:val="top"/>
          </w:tcPr>
          <w:p w14:paraId="40D4C8CB">
            <w:pPr>
              <w:pStyle w:val="6"/>
              <w:spacing w:before="84" w:line="229" w:lineRule="auto"/>
              <w:ind w:left="90"/>
              <w:rPr>
                <w:sz w:val="18"/>
                <w:szCs w:val="18"/>
              </w:rPr>
            </w:pPr>
            <w:r>
              <w:rPr>
                <w:spacing w:val="-2"/>
                <w:sz w:val="18"/>
                <w:szCs w:val="18"/>
              </w:rPr>
              <w:t>0.057</w:t>
            </w:r>
          </w:p>
        </w:tc>
        <w:tc>
          <w:tcPr>
            <w:tcW w:w="582" w:type="dxa"/>
            <w:vAlign w:val="top"/>
          </w:tcPr>
          <w:p w14:paraId="3B8BFEAD">
            <w:pPr>
              <w:pStyle w:val="6"/>
              <w:spacing w:before="84" w:line="229" w:lineRule="auto"/>
              <w:ind w:left="135"/>
              <w:rPr>
                <w:sz w:val="18"/>
                <w:szCs w:val="18"/>
              </w:rPr>
            </w:pPr>
            <w:r>
              <w:rPr>
                <w:spacing w:val="-2"/>
                <w:sz w:val="18"/>
                <w:szCs w:val="18"/>
              </w:rPr>
              <w:t>0.07</w:t>
            </w:r>
          </w:p>
        </w:tc>
        <w:tc>
          <w:tcPr>
            <w:tcW w:w="581" w:type="dxa"/>
            <w:vAlign w:val="top"/>
          </w:tcPr>
          <w:p w14:paraId="7B458346">
            <w:pPr>
              <w:pStyle w:val="6"/>
              <w:spacing w:before="84" w:line="229" w:lineRule="auto"/>
              <w:ind w:left="37"/>
              <w:rPr>
                <w:sz w:val="18"/>
                <w:szCs w:val="18"/>
              </w:rPr>
            </w:pPr>
            <w:r>
              <w:rPr>
                <w:spacing w:val="-2"/>
                <w:sz w:val="18"/>
                <w:szCs w:val="18"/>
              </w:rPr>
              <w:t>0.004L</w:t>
            </w:r>
          </w:p>
        </w:tc>
        <w:tc>
          <w:tcPr>
            <w:tcW w:w="851" w:type="dxa"/>
            <w:vAlign w:val="top"/>
          </w:tcPr>
          <w:p w14:paraId="79131F35">
            <w:pPr>
              <w:pStyle w:val="6"/>
              <w:spacing w:before="84" w:line="229" w:lineRule="auto"/>
              <w:ind w:left="83"/>
              <w:rPr>
                <w:sz w:val="18"/>
                <w:szCs w:val="18"/>
              </w:rPr>
            </w:pPr>
            <w:r>
              <w:rPr>
                <w:spacing w:val="-1"/>
                <w:sz w:val="18"/>
                <w:szCs w:val="18"/>
              </w:rPr>
              <w:t>0.00004L</w:t>
            </w:r>
          </w:p>
        </w:tc>
        <w:tc>
          <w:tcPr>
            <w:tcW w:w="644" w:type="dxa"/>
            <w:vAlign w:val="top"/>
          </w:tcPr>
          <w:p w14:paraId="4C8FC1A7">
            <w:pPr>
              <w:pStyle w:val="6"/>
              <w:spacing w:before="84" w:line="229" w:lineRule="auto"/>
              <w:ind w:left="81"/>
              <w:rPr>
                <w:sz w:val="18"/>
                <w:szCs w:val="18"/>
              </w:rPr>
            </w:pPr>
            <w:r>
              <w:rPr>
                <w:spacing w:val="-2"/>
                <w:sz w:val="18"/>
                <w:szCs w:val="18"/>
              </w:rPr>
              <w:t>0.0007</w:t>
            </w:r>
          </w:p>
        </w:tc>
        <w:tc>
          <w:tcPr>
            <w:tcW w:w="639" w:type="dxa"/>
            <w:vAlign w:val="top"/>
          </w:tcPr>
          <w:p w14:paraId="54BDC8F6">
            <w:pPr>
              <w:pStyle w:val="6"/>
              <w:spacing w:before="84" w:line="229" w:lineRule="auto"/>
              <w:ind w:left="22"/>
              <w:rPr>
                <w:sz w:val="18"/>
                <w:szCs w:val="18"/>
              </w:rPr>
            </w:pPr>
            <w:r>
              <w:rPr>
                <w:spacing w:val="-1"/>
                <w:sz w:val="18"/>
                <w:szCs w:val="18"/>
              </w:rPr>
              <w:t>0.0004L</w:t>
            </w:r>
          </w:p>
        </w:tc>
        <w:tc>
          <w:tcPr>
            <w:tcW w:w="640" w:type="dxa"/>
            <w:vAlign w:val="top"/>
          </w:tcPr>
          <w:p w14:paraId="5AEF07B4">
            <w:pPr>
              <w:pStyle w:val="6"/>
              <w:spacing w:before="84" w:line="229" w:lineRule="auto"/>
              <w:ind w:left="70"/>
              <w:rPr>
                <w:sz w:val="18"/>
                <w:szCs w:val="18"/>
              </w:rPr>
            </w:pPr>
            <w:r>
              <w:rPr>
                <w:spacing w:val="-2"/>
                <w:sz w:val="18"/>
                <w:szCs w:val="18"/>
              </w:rPr>
              <w:t>0.001L</w:t>
            </w:r>
          </w:p>
        </w:tc>
        <w:tc>
          <w:tcPr>
            <w:tcW w:w="639" w:type="dxa"/>
            <w:vAlign w:val="top"/>
          </w:tcPr>
          <w:p w14:paraId="216AA2FF">
            <w:pPr>
              <w:pStyle w:val="6"/>
              <w:spacing w:before="84" w:line="229" w:lineRule="auto"/>
              <w:ind w:left="69"/>
              <w:rPr>
                <w:sz w:val="18"/>
                <w:szCs w:val="18"/>
              </w:rPr>
            </w:pPr>
            <w:r>
              <w:rPr>
                <w:spacing w:val="-2"/>
                <w:sz w:val="18"/>
                <w:szCs w:val="18"/>
              </w:rPr>
              <w:t>0.004L</w:t>
            </w:r>
          </w:p>
        </w:tc>
        <w:tc>
          <w:tcPr>
            <w:tcW w:w="639" w:type="dxa"/>
            <w:vAlign w:val="top"/>
          </w:tcPr>
          <w:p w14:paraId="198641FF">
            <w:pPr>
              <w:pStyle w:val="6"/>
              <w:spacing w:before="84" w:line="229" w:lineRule="auto"/>
              <w:ind w:left="114"/>
              <w:rPr>
                <w:sz w:val="18"/>
                <w:szCs w:val="18"/>
              </w:rPr>
            </w:pPr>
            <w:r>
              <w:rPr>
                <w:spacing w:val="-2"/>
                <w:sz w:val="18"/>
                <w:szCs w:val="18"/>
              </w:rPr>
              <w:t>0.01L</w:t>
            </w:r>
          </w:p>
        </w:tc>
        <w:tc>
          <w:tcPr>
            <w:tcW w:w="640" w:type="dxa"/>
            <w:vAlign w:val="top"/>
          </w:tcPr>
          <w:p w14:paraId="76C3B224">
            <w:pPr>
              <w:pStyle w:val="6"/>
              <w:spacing w:before="84" w:line="229" w:lineRule="auto"/>
              <w:ind w:left="127"/>
              <w:rPr>
                <w:sz w:val="18"/>
                <w:szCs w:val="18"/>
              </w:rPr>
            </w:pPr>
            <w:r>
              <w:rPr>
                <w:spacing w:val="-2"/>
                <w:sz w:val="18"/>
                <w:szCs w:val="18"/>
              </w:rPr>
              <w:t>0.028</w:t>
            </w:r>
          </w:p>
        </w:tc>
        <w:tc>
          <w:tcPr>
            <w:tcW w:w="827" w:type="dxa"/>
            <w:vAlign w:val="top"/>
          </w:tcPr>
          <w:p w14:paraId="239C1962">
            <w:pPr>
              <w:pStyle w:val="6"/>
              <w:spacing w:before="84" w:line="229" w:lineRule="auto"/>
              <w:ind w:left="391"/>
              <w:rPr>
                <w:sz w:val="18"/>
                <w:szCs w:val="18"/>
              </w:rPr>
            </w:pPr>
            <w:r>
              <w:rPr>
                <w:sz w:val="18"/>
                <w:szCs w:val="18"/>
              </w:rPr>
              <w:t>/</w:t>
            </w:r>
          </w:p>
        </w:tc>
        <w:tc>
          <w:tcPr>
            <w:tcW w:w="457" w:type="dxa"/>
            <w:vAlign w:val="top"/>
          </w:tcPr>
          <w:p w14:paraId="6FC6D73C">
            <w:pPr>
              <w:pStyle w:val="6"/>
              <w:spacing w:before="84" w:line="229" w:lineRule="auto"/>
              <w:ind w:left="99"/>
              <w:rPr>
                <w:sz w:val="18"/>
                <w:szCs w:val="18"/>
              </w:rPr>
            </w:pPr>
            <w:r>
              <w:rPr>
                <w:spacing w:val="-1"/>
                <w:sz w:val="18"/>
                <w:szCs w:val="18"/>
              </w:rPr>
              <w:t>426</w:t>
            </w:r>
          </w:p>
        </w:tc>
        <w:tc>
          <w:tcPr>
            <w:tcW w:w="533" w:type="dxa"/>
            <w:vAlign w:val="top"/>
          </w:tcPr>
          <w:p w14:paraId="5629EAA1">
            <w:pPr>
              <w:pStyle w:val="6"/>
              <w:spacing w:before="84" w:line="229" w:lineRule="auto"/>
              <w:ind w:left="65"/>
              <w:rPr>
                <w:sz w:val="18"/>
                <w:szCs w:val="18"/>
              </w:rPr>
            </w:pPr>
            <w:r>
              <w:rPr>
                <w:spacing w:val="-2"/>
                <w:sz w:val="18"/>
                <w:szCs w:val="18"/>
              </w:rPr>
              <w:t>0.05L</w:t>
            </w:r>
          </w:p>
        </w:tc>
        <w:tc>
          <w:tcPr>
            <w:tcW w:w="533" w:type="dxa"/>
            <w:vAlign w:val="top"/>
          </w:tcPr>
          <w:p w14:paraId="3831FC8F">
            <w:pPr>
              <w:pStyle w:val="6"/>
              <w:spacing w:before="84" w:line="229" w:lineRule="auto"/>
              <w:ind w:left="135"/>
              <w:rPr>
                <w:sz w:val="18"/>
                <w:szCs w:val="18"/>
              </w:rPr>
            </w:pPr>
            <w:r>
              <w:rPr>
                <w:spacing w:val="-6"/>
                <w:sz w:val="18"/>
                <w:szCs w:val="18"/>
              </w:rPr>
              <w:t>1.78</w:t>
            </w:r>
          </w:p>
        </w:tc>
        <w:tc>
          <w:tcPr>
            <w:tcW w:w="533" w:type="dxa"/>
            <w:vAlign w:val="top"/>
          </w:tcPr>
          <w:p w14:paraId="334C4609">
            <w:pPr>
              <w:pStyle w:val="6"/>
              <w:spacing w:before="84" w:line="229" w:lineRule="auto"/>
              <w:ind w:left="119"/>
              <w:rPr>
                <w:sz w:val="18"/>
                <w:szCs w:val="18"/>
              </w:rPr>
            </w:pPr>
            <w:r>
              <w:rPr>
                <w:spacing w:val="-1"/>
                <w:sz w:val="18"/>
                <w:szCs w:val="18"/>
              </w:rPr>
              <w:t>2.90</w:t>
            </w:r>
          </w:p>
        </w:tc>
        <w:tc>
          <w:tcPr>
            <w:tcW w:w="533" w:type="dxa"/>
            <w:vAlign w:val="top"/>
          </w:tcPr>
          <w:p w14:paraId="313D265A">
            <w:pPr>
              <w:pStyle w:val="6"/>
              <w:spacing w:before="84" w:line="229" w:lineRule="auto"/>
              <w:ind w:left="123"/>
              <w:rPr>
                <w:sz w:val="18"/>
                <w:szCs w:val="18"/>
              </w:rPr>
            </w:pPr>
            <w:r>
              <w:rPr>
                <w:spacing w:val="-2"/>
                <w:sz w:val="18"/>
                <w:szCs w:val="18"/>
              </w:rPr>
              <w:t>73.0</w:t>
            </w:r>
          </w:p>
        </w:tc>
        <w:tc>
          <w:tcPr>
            <w:tcW w:w="524" w:type="dxa"/>
            <w:tcBorders>
              <w:right w:val="single" w:color="000000" w:sz="12" w:space="0"/>
            </w:tcBorders>
            <w:vAlign w:val="top"/>
          </w:tcPr>
          <w:p w14:paraId="2453C683">
            <w:pPr>
              <w:pStyle w:val="6"/>
              <w:spacing w:before="84" w:line="229" w:lineRule="auto"/>
              <w:ind w:left="123"/>
              <w:rPr>
                <w:sz w:val="18"/>
                <w:szCs w:val="18"/>
              </w:rPr>
            </w:pPr>
            <w:r>
              <w:rPr>
                <w:spacing w:val="-6"/>
                <w:sz w:val="18"/>
                <w:szCs w:val="18"/>
              </w:rPr>
              <w:t>10.0</w:t>
            </w:r>
          </w:p>
        </w:tc>
      </w:tr>
      <w:tr w14:paraId="36690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081CFFC3">
            <w:pPr>
              <w:rPr>
                <w:rFonts w:ascii="Arial"/>
                <w:sz w:val="21"/>
              </w:rPr>
            </w:pPr>
          </w:p>
        </w:tc>
        <w:tc>
          <w:tcPr>
            <w:tcW w:w="245" w:type="dxa"/>
            <w:vMerge w:val="continue"/>
            <w:tcBorders>
              <w:top w:val="nil"/>
              <w:bottom w:val="nil"/>
            </w:tcBorders>
            <w:vAlign w:val="top"/>
          </w:tcPr>
          <w:p w14:paraId="2E0BA1A2">
            <w:pPr>
              <w:rPr>
                <w:rFonts w:ascii="Arial"/>
                <w:sz w:val="21"/>
              </w:rPr>
            </w:pPr>
          </w:p>
        </w:tc>
        <w:tc>
          <w:tcPr>
            <w:tcW w:w="929" w:type="dxa"/>
            <w:vAlign w:val="top"/>
          </w:tcPr>
          <w:p w14:paraId="3A1E083E">
            <w:pPr>
              <w:pStyle w:val="6"/>
              <w:spacing w:before="85" w:line="226" w:lineRule="auto"/>
              <w:ind w:left="38"/>
              <w:rPr>
                <w:sz w:val="18"/>
                <w:szCs w:val="18"/>
              </w:rPr>
            </w:pPr>
            <w:r>
              <w:rPr>
                <w:spacing w:val="-1"/>
                <w:sz w:val="18"/>
                <w:szCs w:val="18"/>
              </w:rPr>
              <w:t>2019/11/10</w:t>
            </w:r>
          </w:p>
        </w:tc>
        <w:tc>
          <w:tcPr>
            <w:tcW w:w="606" w:type="dxa"/>
            <w:vAlign w:val="top"/>
          </w:tcPr>
          <w:p w14:paraId="78D71020">
            <w:pPr>
              <w:pStyle w:val="6"/>
              <w:spacing w:before="91" w:line="219" w:lineRule="auto"/>
              <w:ind w:left="132"/>
              <w:rPr>
                <w:sz w:val="18"/>
                <w:szCs w:val="18"/>
              </w:rPr>
            </w:pPr>
            <w:r>
              <w:rPr>
                <w:b/>
                <w:bCs/>
                <w:spacing w:val="-2"/>
                <w:sz w:val="18"/>
                <w:szCs w:val="18"/>
              </w:rPr>
              <w:t>6.49</w:t>
            </w:r>
          </w:p>
        </w:tc>
        <w:tc>
          <w:tcPr>
            <w:tcW w:w="606" w:type="dxa"/>
            <w:vAlign w:val="top"/>
          </w:tcPr>
          <w:p w14:paraId="33B01CBA">
            <w:pPr>
              <w:pStyle w:val="6"/>
              <w:spacing w:before="85" w:line="226" w:lineRule="auto"/>
              <w:ind w:left="153"/>
              <w:rPr>
                <w:sz w:val="18"/>
                <w:szCs w:val="18"/>
              </w:rPr>
            </w:pPr>
            <w:r>
              <w:rPr>
                <w:spacing w:val="-1"/>
                <w:sz w:val="18"/>
                <w:szCs w:val="18"/>
              </w:rPr>
              <w:t>236</w:t>
            </w:r>
          </w:p>
        </w:tc>
        <w:tc>
          <w:tcPr>
            <w:tcW w:w="606" w:type="dxa"/>
            <w:vAlign w:val="top"/>
          </w:tcPr>
          <w:p w14:paraId="0F6AC758">
            <w:pPr>
              <w:pStyle w:val="6"/>
              <w:spacing w:before="85" w:line="226" w:lineRule="auto"/>
              <w:ind w:left="154"/>
              <w:rPr>
                <w:sz w:val="18"/>
                <w:szCs w:val="18"/>
              </w:rPr>
            </w:pPr>
            <w:r>
              <w:rPr>
                <w:spacing w:val="-1"/>
                <w:sz w:val="18"/>
                <w:szCs w:val="18"/>
              </w:rPr>
              <w:t>407</w:t>
            </w:r>
          </w:p>
        </w:tc>
        <w:tc>
          <w:tcPr>
            <w:tcW w:w="606" w:type="dxa"/>
            <w:vAlign w:val="top"/>
          </w:tcPr>
          <w:p w14:paraId="0FEF81C3">
            <w:pPr>
              <w:pStyle w:val="6"/>
              <w:spacing w:before="85" w:line="226" w:lineRule="auto"/>
              <w:ind w:left="203"/>
              <w:rPr>
                <w:sz w:val="18"/>
                <w:szCs w:val="18"/>
              </w:rPr>
            </w:pPr>
            <w:r>
              <w:rPr>
                <w:spacing w:val="-2"/>
                <w:sz w:val="18"/>
                <w:szCs w:val="18"/>
              </w:rPr>
              <w:t>60</w:t>
            </w:r>
          </w:p>
        </w:tc>
        <w:tc>
          <w:tcPr>
            <w:tcW w:w="606" w:type="dxa"/>
            <w:vAlign w:val="top"/>
          </w:tcPr>
          <w:p w14:paraId="46AD97E3">
            <w:pPr>
              <w:pStyle w:val="6"/>
              <w:spacing w:before="88" w:line="186" w:lineRule="auto"/>
              <w:ind w:left="162"/>
              <w:rPr>
                <w:sz w:val="18"/>
                <w:szCs w:val="18"/>
              </w:rPr>
            </w:pPr>
            <w:r>
              <w:rPr>
                <w:spacing w:val="-5"/>
                <w:sz w:val="18"/>
                <w:szCs w:val="18"/>
              </w:rPr>
              <w:t>10L</w:t>
            </w:r>
          </w:p>
        </w:tc>
        <w:tc>
          <w:tcPr>
            <w:tcW w:w="606" w:type="dxa"/>
            <w:vAlign w:val="top"/>
          </w:tcPr>
          <w:p w14:paraId="69D3E057">
            <w:pPr>
              <w:pStyle w:val="6"/>
              <w:spacing w:before="85" w:line="226" w:lineRule="auto"/>
              <w:ind w:left="82"/>
              <w:rPr>
                <w:sz w:val="18"/>
                <w:szCs w:val="18"/>
              </w:rPr>
            </w:pPr>
            <w:r>
              <w:rPr>
                <w:spacing w:val="-2"/>
                <w:sz w:val="18"/>
                <w:szCs w:val="18"/>
              </w:rPr>
              <w:t>0.03L</w:t>
            </w:r>
          </w:p>
        </w:tc>
        <w:tc>
          <w:tcPr>
            <w:tcW w:w="605" w:type="dxa"/>
            <w:vAlign w:val="top"/>
          </w:tcPr>
          <w:p w14:paraId="5B4AB4B5">
            <w:pPr>
              <w:pStyle w:val="6"/>
              <w:spacing w:before="85" w:line="226" w:lineRule="auto"/>
              <w:ind w:left="83"/>
              <w:rPr>
                <w:sz w:val="18"/>
                <w:szCs w:val="18"/>
              </w:rPr>
            </w:pPr>
            <w:r>
              <w:rPr>
                <w:spacing w:val="-2"/>
                <w:sz w:val="18"/>
                <w:szCs w:val="18"/>
              </w:rPr>
              <w:t>0.02L</w:t>
            </w:r>
          </w:p>
        </w:tc>
        <w:tc>
          <w:tcPr>
            <w:tcW w:w="563" w:type="dxa"/>
            <w:vAlign w:val="top"/>
          </w:tcPr>
          <w:p w14:paraId="7368E138">
            <w:pPr>
              <w:pStyle w:val="6"/>
              <w:spacing w:before="85" w:line="226" w:lineRule="auto"/>
              <w:ind w:left="63"/>
              <w:rPr>
                <w:sz w:val="18"/>
                <w:szCs w:val="18"/>
              </w:rPr>
            </w:pPr>
            <w:r>
              <w:rPr>
                <w:spacing w:val="-2"/>
                <w:sz w:val="18"/>
                <w:szCs w:val="18"/>
              </w:rPr>
              <w:t>0.01L</w:t>
            </w:r>
          </w:p>
        </w:tc>
        <w:tc>
          <w:tcPr>
            <w:tcW w:w="562" w:type="dxa"/>
            <w:vAlign w:val="top"/>
          </w:tcPr>
          <w:p w14:paraId="14DF72D2">
            <w:pPr>
              <w:pStyle w:val="6"/>
              <w:spacing w:before="85" w:line="226" w:lineRule="auto"/>
              <w:ind w:left="19"/>
              <w:rPr>
                <w:sz w:val="18"/>
                <w:szCs w:val="18"/>
              </w:rPr>
            </w:pPr>
            <w:r>
              <w:rPr>
                <w:spacing w:val="-2"/>
                <w:sz w:val="18"/>
                <w:szCs w:val="18"/>
              </w:rPr>
              <w:t>0.006L</w:t>
            </w:r>
          </w:p>
        </w:tc>
        <w:tc>
          <w:tcPr>
            <w:tcW w:w="696" w:type="dxa"/>
            <w:vAlign w:val="top"/>
          </w:tcPr>
          <w:p w14:paraId="62A7FDCA">
            <w:pPr>
              <w:pStyle w:val="6"/>
              <w:spacing w:before="85" w:line="226" w:lineRule="auto"/>
              <w:ind w:left="41"/>
              <w:rPr>
                <w:sz w:val="18"/>
                <w:szCs w:val="18"/>
              </w:rPr>
            </w:pPr>
            <w:r>
              <w:rPr>
                <w:spacing w:val="-1"/>
                <w:sz w:val="18"/>
                <w:szCs w:val="18"/>
              </w:rPr>
              <w:t>0.0003L</w:t>
            </w:r>
          </w:p>
        </w:tc>
        <w:tc>
          <w:tcPr>
            <w:tcW w:w="605" w:type="dxa"/>
            <w:vAlign w:val="top"/>
          </w:tcPr>
          <w:p w14:paraId="133F4CFE">
            <w:pPr>
              <w:pStyle w:val="6"/>
              <w:spacing w:before="85" w:line="226" w:lineRule="auto"/>
              <w:ind w:left="98"/>
              <w:rPr>
                <w:sz w:val="18"/>
                <w:szCs w:val="18"/>
              </w:rPr>
            </w:pPr>
            <w:r>
              <w:rPr>
                <w:spacing w:val="-2"/>
                <w:sz w:val="18"/>
                <w:szCs w:val="18"/>
              </w:rPr>
              <w:t>0.064</w:t>
            </w:r>
          </w:p>
        </w:tc>
        <w:tc>
          <w:tcPr>
            <w:tcW w:w="582" w:type="dxa"/>
            <w:vAlign w:val="top"/>
          </w:tcPr>
          <w:p w14:paraId="621675EF">
            <w:pPr>
              <w:pStyle w:val="6"/>
              <w:spacing w:before="85" w:line="226" w:lineRule="auto"/>
              <w:ind w:left="132"/>
              <w:rPr>
                <w:sz w:val="18"/>
                <w:szCs w:val="18"/>
              </w:rPr>
            </w:pPr>
            <w:r>
              <w:rPr>
                <w:spacing w:val="-2"/>
                <w:sz w:val="18"/>
                <w:szCs w:val="18"/>
              </w:rPr>
              <w:t>0.02</w:t>
            </w:r>
          </w:p>
        </w:tc>
        <w:tc>
          <w:tcPr>
            <w:tcW w:w="583" w:type="dxa"/>
            <w:vAlign w:val="top"/>
          </w:tcPr>
          <w:p w14:paraId="2373DF8C">
            <w:pPr>
              <w:pStyle w:val="6"/>
              <w:spacing w:before="85" w:line="226" w:lineRule="auto"/>
              <w:ind w:left="133"/>
              <w:rPr>
                <w:sz w:val="18"/>
                <w:szCs w:val="18"/>
              </w:rPr>
            </w:pPr>
            <w:r>
              <w:rPr>
                <w:spacing w:val="-2"/>
                <w:sz w:val="18"/>
                <w:szCs w:val="18"/>
              </w:rPr>
              <w:t>0.70</w:t>
            </w:r>
          </w:p>
        </w:tc>
        <w:tc>
          <w:tcPr>
            <w:tcW w:w="582" w:type="dxa"/>
            <w:vAlign w:val="top"/>
          </w:tcPr>
          <w:p w14:paraId="1AD24D63">
            <w:pPr>
              <w:pStyle w:val="6"/>
              <w:spacing w:before="85" w:line="226" w:lineRule="auto"/>
              <w:ind w:left="33"/>
              <w:rPr>
                <w:sz w:val="18"/>
                <w:szCs w:val="18"/>
              </w:rPr>
            </w:pPr>
            <w:r>
              <w:rPr>
                <w:spacing w:val="-2"/>
                <w:sz w:val="18"/>
                <w:szCs w:val="18"/>
              </w:rPr>
              <w:t>0.003L</w:t>
            </w:r>
          </w:p>
        </w:tc>
        <w:tc>
          <w:tcPr>
            <w:tcW w:w="582" w:type="dxa"/>
            <w:vAlign w:val="top"/>
          </w:tcPr>
          <w:p w14:paraId="15229CC9">
            <w:pPr>
              <w:pStyle w:val="6"/>
              <w:spacing w:before="85" w:line="226" w:lineRule="auto"/>
              <w:ind w:left="90"/>
              <w:rPr>
                <w:sz w:val="18"/>
                <w:szCs w:val="18"/>
              </w:rPr>
            </w:pPr>
            <w:r>
              <w:rPr>
                <w:spacing w:val="-2"/>
                <w:sz w:val="18"/>
                <w:szCs w:val="18"/>
              </w:rPr>
              <w:t>0.061</w:t>
            </w:r>
          </w:p>
        </w:tc>
        <w:tc>
          <w:tcPr>
            <w:tcW w:w="582" w:type="dxa"/>
            <w:vAlign w:val="top"/>
          </w:tcPr>
          <w:p w14:paraId="7B688DD4">
            <w:pPr>
              <w:pStyle w:val="6"/>
              <w:spacing w:before="85" w:line="226" w:lineRule="auto"/>
              <w:ind w:left="135"/>
              <w:rPr>
                <w:sz w:val="18"/>
                <w:szCs w:val="18"/>
              </w:rPr>
            </w:pPr>
            <w:r>
              <w:rPr>
                <w:spacing w:val="-2"/>
                <w:sz w:val="18"/>
                <w:szCs w:val="18"/>
              </w:rPr>
              <w:t>0.06</w:t>
            </w:r>
          </w:p>
        </w:tc>
        <w:tc>
          <w:tcPr>
            <w:tcW w:w="581" w:type="dxa"/>
            <w:vAlign w:val="top"/>
          </w:tcPr>
          <w:p w14:paraId="12FE0C5D">
            <w:pPr>
              <w:pStyle w:val="6"/>
              <w:spacing w:before="85" w:line="226" w:lineRule="auto"/>
              <w:ind w:left="37"/>
              <w:rPr>
                <w:sz w:val="18"/>
                <w:szCs w:val="18"/>
              </w:rPr>
            </w:pPr>
            <w:r>
              <w:rPr>
                <w:spacing w:val="-2"/>
                <w:sz w:val="18"/>
                <w:szCs w:val="18"/>
              </w:rPr>
              <w:t>0.004L</w:t>
            </w:r>
          </w:p>
        </w:tc>
        <w:tc>
          <w:tcPr>
            <w:tcW w:w="851" w:type="dxa"/>
            <w:vAlign w:val="top"/>
          </w:tcPr>
          <w:p w14:paraId="712B5479">
            <w:pPr>
              <w:pStyle w:val="6"/>
              <w:spacing w:before="85" w:line="226" w:lineRule="auto"/>
              <w:ind w:left="83"/>
              <w:rPr>
                <w:sz w:val="18"/>
                <w:szCs w:val="18"/>
              </w:rPr>
            </w:pPr>
            <w:r>
              <w:rPr>
                <w:spacing w:val="-1"/>
                <w:sz w:val="18"/>
                <w:szCs w:val="18"/>
              </w:rPr>
              <w:t>0.00004L</w:t>
            </w:r>
          </w:p>
        </w:tc>
        <w:tc>
          <w:tcPr>
            <w:tcW w:w="644" w:type="dxa"/>
            <w:vAlign w:val="top"/>
          </w:tcPr>
          <w:p w14:paraId="7FCABAA0">
            <w:pPr>
              <w:pStyle w:val="6"/>
              <w:spacing w:before="85" w:line="226" w:lineRule="auto"/>
              <w:ind w:left="81"/>
              <w:rPr>
                <w:sz w:val="18"/>
                <w:szCs w:val="18"/>
              </w:rPr>
            </w:pPr>
            <w:r>
              <w:rPr>
                <w:spacing w:val="-2"/>
                <w:sz w:val="18"/>
                <w:szCs w:val="18"/>
              </w:rPr>
              <w:t>0.0006</w:t>
            </w:r>
          </w:p>
        </w:tc>
        <w:tc>
          <w:tcPr>
            <w:tcW w:w="639" w:type="dxa"/>
            <w:vAlign w:val="top"/>
          </w:tcPr>
          <w:p w14:paraId="459E23C8">
            <w:pPr>
              <w:pStyle w:val="6"/>
              <w:spacing w:before="85" w:line="226" w:lineRule="auto"/>
              <w:ind w:left="22"/>
              <w:rPr>
                <w:sz w:val="18"/>
                <w:szCs w:val="18"/>
              </w:rPr>
            </w:pPr>
            <w:r>
              <w:rPr>
                <w:spacing w:val="-1"/>
                <w:sz w:val="18"/>
                <w:szCs w:val="18"/>
              </w:rPr>
              <w:t>0.0004L</w:t>
            </w:r>
          </w:p>
        </w:tc>
        <w:tc>
          <w:tcPr>
            <w:tcW w:w="640" w:type="dxa"/>
            <w:vAlign w:val="top"/>
          </w:tcPr>
          <w:p w14:paraId="12D9B81C">
            <w:pPr>
              <w:pStyle w:val="6"/>
              <w:spacing w:before="85" w:line="226" w:lineRule="auto"/>
              <w:ind w:left="70"/>
              <w:rPr>
                <w:sz w:val="18"/>
                <w:szCs w:val="18"/>
              </w:rPr>
            </w:pPr>
            <w:r>
              <w:rPr>
                <w:spacing w:val="-2"/>
                <w:sz w:val="18"/>
                <w:szCs w:val="18"/>
              </w:rPr>
              <w:t>0.001L</w:t>
            </w:r>
          </w:p>
        </w:tc>
        <w:tc>
          <w:tcPr>
            <w:tcW w:w="639" w:type="dxa"/>
            <w:vAlign w:val="top"/>
          </w:tcPr>
          <w:p w14:paraId="22BCB9B8">
            <w:pPr>
              <w:pStyle w:val="6"/>
              <w:spacing w:before="85" w:line="226" w:lineRule="auto"/>
              <w:ind w:left="69"/>
              <w:rPr>
                <w:sz w:val="18"/>
                <w:szCs w:val="18"/>
              </w:rPr>
            </w:pPr>
            <w:r>
              <w:rPr>
                <w:spacing w:val="-2"/>
                <w:sz w:val="18"/>
                <w:szCs w:val="18"/>
              </w:rPr>
              <w:t>0.004L</w:t>
            </w:r>
          </w:p>
        </w:tc>
        <w:tc>
          <w:tcPr>
            <w:tcW w:w="639" w:type="dxa"/>
            <w:vAlign w:val="top"/>
          </w:tcPr>
          <w:p w14:paraId="2C822AF6">
            <w:pPr>
              <w:pStyle w:val="6"/>
              <w:spacing w:before="85" w:line="226" w:lineRule="auto"/>
              <w:ind w:left="114"/>
              <w:rPr>
                <w:sz w:val="18"/>
                <w:szCs w:val="18"/>
              </w:rPr>
            </w:pPr>
            <w:r>
              <w:rPr>
                <w:spacing w:val="-2"/>
                <w:sz w:val="18"/>
                <w:szCs w:val="18"/>
              </w:rPr>
              <w:t>0.01L</w:t>
            </w:r>
          </w:p>
        </w:tc>
        <w:tc>
          <w:tcPr>
            <w:tcW w:w="640" w:type="dxa"/>
            <w:vAlign w:val="top"/>
          </w:tcPr>
          <w:p w14:paraId="6292EFEA">
            <w:pPr>
              <w:pStyle w:val="6"/>
              <w:spacing w:before="85" w:line="226" w:lineRule="auto"/>
              <w:ind w:left="127"/>
              <w:rPr>
                <w:sz w:val="18"/>
                <w:szCs w:val="18"/>
              </w:rPr>
            </w:pPr>
            <w:r>
              <w:rPr>
                <w:spacing w:val="-2"/>
                <w:sz w:val="18"/>
                <w:szCs w:val="18"/>
              </w:rPr>
              <w:t>0.028</w:t>
            </w:r>
          </w:p>
        </w:tc>
        <w:tc>
          <w:tcPr>
            <w:tcW w:w="827" w:type="dxa"/>
            <w:vAlign w:val="top"/>
          </w:tcPr>
          <w:p w14:paraId="7895377F">
            <w:pPr>
              <w:pStyle w:val="6"/>
              <w:spacing w:before="85" w:line="226" w:lineRule="auto"/>
              <w:ind w:left="391"/>
              <w:rPr>
                <w:sz w:val="18"/>
                <w:szCs w:val="18"/>
              </w:rPr>
            </w:pPr>
            <w:r>
              <w:rPr>
                <w:sz w:val="18"/>
                <w:szCs w:val="18"/>
              </w:rPr>
              <w:t>/</w:t>
            </w:r>
          </w:p>
        </w:tc>
        <w:tc>
          <w:tcPr>
            <w:tcW w:w="457" w:type="dxa"/>
            <w:vAlign w:val="top"/>
          </w:tcPr>
          <w:p w14:paraId="729C52E5">
            <w:pPr>
              <w:pStyle w:val="6"/>
              <w:spacing w:before="85" w:line="226" w:lineRule="auto"/>
              <w:ind w:left="99"/>
              <w:rPr>
                <w:sz w:val="18"/>
                <w:szCs w:val="18"/>
              </w:rPr>
            </w:pPr>
            <w:r>
              <w:rPr>
                <w:spacing w:val="-1"/>
                <w:sz w:val="18"/>
                <w:szCs w:val="18"/>
              </w:rPr>
              <w:t>439</w:t>
            </w:r>
          </w:p>
        </w:tc>
        <w:tc>
          <w:tcPr>
            <w:tcW w:w="533" w:type="dxa"/>
            <w:vAlign w:val="top"/>
          </w:tcPr>
          <w:p w14:paraId="6CB2E7CB">
            <w:pPr>
              <w:pStyle w:val="6"/>
              <w:spacing w:before="85" w:line="226" w:lineRule="auto"/>
              <w:ind w:left="65"/>
              <w:rPr>
                <w:sz w:val="18"/>
                <w:szCs w:val="18"/>
              </w:rPr>
            </w:pPr>
            <w:r>
              <w:rPr>
                <w:spacing w:val="-2"/>
                <w:sz w:val="18"/>
                <w:szCs w:val="18"/>
              </w:rPr>
              <w:t>0.05L</w:t>
            </w:r>
          </w:p>
        </w:tc>
        <w:tc>
          <w:tcPr>
            <w:tcW w:w="533" w:type="dxa"/>
            <w:vAlign w:val="top"/>
          </w:tcPr>
          <w:p w14:paraId="21283A28">
            <w:pPr>
              <w:pStyle w:val="6"/>
              <w:spacing w:before="85" w:line="226" w:lineRule="auto"/>
              <w:ind w:left="118"/>
              <w:rPr>
                <w:sz w:val="18"/>
                <w:szCs w:val="18"/>
              </w:rPr>
            </w:pPr>
            <w:r>
              <w:rPr>
                <w:spacing w:val="-1"/>
                <w:sz w:val="18"/>
                <w:szCs w:val="18"/>
              </w:rPr>
              <w:t>2.45</w:t>
            </w:r>
          </w:p>
        </w:tc>
        <w:tc>
          <w:tcPr>
            <w:tcW w:w="533" w:type="dxa"/>
            <w:vAlign w:val="top"/>
          </w:tcPr>
          <w:p w14:paraId="199EB1FF">
            <w:pPr>
              <w:pStyle w:val="6"/>
              <w:spacing w:before="85" w:line="226" w:lineRule="auto"/>
              <w:ind w:left="119"/>
              <w:rPr>
                <w:sz w:val="18"/>
                <w:szCs w:val="18"/>
              </w:rPr>
            </w:pPr>
            <w:r>
              <w:rPr>
                <w:spacing w:val="-1"/>
                <w:sz w:val="18"/>
                <w:szCs w:val="18"/>
              </w:rPr>
              <w:t>2.97</w:t>
            </w:r>
          </w:p>
        </w:tc>
        <w:tc>
          <w:tcPr>
            <w:tcW w:w="533" w:type="dxa"/>
            <w:vAlign w:val="top"/>
          </w:tcPr>
          <w:p w14:paraId="65E66F29">
            <w:pPr>
              <w:pStyle w:val="6"/>
              <w:spacing w:before="85" w:line="226" w:lineRule="auto"/>
              <w:ind w:left="123"/>
              <w:rPr>
                <w:sz w:val="18"/>
                <w:szCs w:val="18"/>
              </w:rPr>
            </w:pPr>
            <w:r>
              <w:rPr>
                <w:spacing w:val="-2"/>
                <w:sz w:val="18"/>
                <w:szCs w:val="18"/>
              </w:rPr>
              <w:t>71.6</w:t>
            </w:r>
          </w:p>
        </w:tc>
        <w:tc>
          <w:tcPr>
            <w:tcW w:w="524" w:type="dxa"/>
            <w:tcBorders>
              <w:right w:val="single" w:color="000000" w:sz="12" w:space="0"/>
            </w:tcBorders>
            <w:vAlign w:val="top"/>
          </w:tcPr>
          <w:p w14:paraId="70FAE463">
            <w:pPr>
              <w:pStyle w:val="6"/>
              <w:spacing w:before="85" w:line="226" w:lineRule="auto"/>
              <w:ind w:left="123"/>
              <w:rPr>
                <w:sz w:val="18"/>
                <w:szCs w:val="18"/>
              </w:rPr>
            </w:pPr>
            <w:r>
              <w:rPr>
                <w:spacing w:val="-6"/>
                <w:sz w:val="18"/>
                <w:szCs w:val="18"/>
              </w:rPr>
              <w:t>10.2</w:t>
            </w:r>
          </w:p>
        </w:tc>
      </w:tr>
      <w:tr w14:paraId="73D23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tcBorders>
            <w:vAlign w:val="top"/>
          </w:tcPr>
          <w:p w14:paraId="7403D4F9">
            <w:pPr>
              <w:rPr>
                <w:rFonts w:ascii="Arial"/>
                <w:sz w:val="21"/>
              </w:rPr>
            </w:pPr>
          </w:p>
        </w:tc>
        <w:tc>
          <w:tcPr>
            <w:tcW w:w="245" w:type="dxa"/>
            <w:vMerge w:val="continue"/>
            <w:tcBorders>
              <w:top w:val="nil"/>
            </w:tcBorders>
            <w:vAlign w:val="top"/>
          </w:tcPr>
          <w:p w14:paraId="3668C95F">
            <w:pPr>
              <w:rPr>
                <w:rFonts w:ascii="Arial"/>
                <w:sz w:val="21"/>
              </w:rPr>
            </w:pPr>
          </w:p>
        </w:tc>
        <w:tc>
          <w:tcPr>
            <w:tcW w:w="929" w:type="dxa"/>
            <w:vAlign w:val="top"/>
          </w:tcPr>
          <w:p w14:paraId="6A5BE7CD">
            <w:pPr>
              <w:pStyle w:val="6"/>
              <w:spacing w:before="86" w:line="227" w:lineRule="auto"/>
              <w:ind w:left="38"/>
              <w:rPr>
                <w:sz w:val="18"/>
                <w:szCs w:val="18"/>
              </w:rPr>
            </w:pPr>
            <w:r>
              <w:rPr>
                <w:spacing w:val="-1"/>
                <w:sz w:val="18"/>
                <w:szCs w:val="18"/>
              </w:rPr>
              <w:t>2019/11/11</w:t>
            </w:r>
          </w:p>
        </w:tc>
        <w:tc>
          <w:tcPr>
            <w:tcW w:w="606" w:type="dxa"/>
            <w:vAlign w:val="top"/>
          </w:tcPr>
          <w:p w14:paraId="05EE7740">
            <w:pPr>
              <w:pStyle w:val="6"/>
              <w:spacing w:before="93" w:line="219" w:lineRule="auto"/>
              <w:ind w:left="132"/>
              <w:rPr>
                <w:sz w:val="18"/>
                <w:szCs w:val="18"/>
              </w:rPr>
            </w:pPr>
            <w:r>
              <w:rPr>
                <w:b/>
                <w:bCs/>
                <w:spacing w:val="-2"/>
                <w:sz w:val="18"/>
                <w:szCs w:val="18"/>
              </w:rPr>
              <w:t>6.41</w:t>
            </w:r>
          </w:p>
        </w:tc>
        <w:tc>
          <w:tcPr>
            <w:tcW w:w="606" w:type="dxa"/>
            <w:vAlign w:val="top"/>
          </w:tcPr>
          <w:p w14:paraId="5319D633">
            <w:pPr>
              <w:pStyle w:val="6"/>
              <w:spacing w:before="86" w:line="227" w:lineRule="auto"/>
              <w:ind w:left="153"/>
              <w:rPr>
                <w:sz w:val="18"/>
                <w:szCs w:val="18"/>
              </w:rPr>
            </w:pPr>
            <w:r>
              <w:rPr>
                <w:spacing w:val="-1"/>
                <w:sz w:val="18"/>
                <w:szCs w:val="18"/>
              </w:rPr>
              <w:t>247</w:t>
            </w:r>
          </w:p>
        </w:tc>
        <w:tc>
          <w:tcPr>
            <w:tcW w:w="606" w:type="dxa"/>
            <w:vAlign w:val="top"/>
          </w:tcPr>
          <w:p w14:paraId="1BAB3DCE">
            <w:pPr>
              <w:pStyle w:val="6"/>
              <w:spacing w:before="86" w:line="227" w:lineRule="auto"/>
              <w:ind w:left="154"/>
              <w:rPr>
                <w:sz w:val="18"/>
                <w:szCs w:val="18"/>
              </w:rPr>
            </w:pPr>
            <w:r>
              <w:rPr>
                <w:spacing w:val="-1"/>
                <w:sz w:val="18"/>
                <w:szCs w:val="18"/>
              </w:rPr>
              <w:t>421</w:t>
            </w:r>
          </w:p>
        </w:tc>
        <w:tc>
          <w:tcPr>
            <w:tcW w:w="606" w:type="dxa"/>
            <w:vAlign w:val="top"/>
          </w:tcPr>
          <w:p w14:paraId="17F865E0">
            <w:pPr>
              <w:pStyle w:val="6"/>
              <w:spacing w:before="86" w:line="227" w:lineRule="auto"/>
              <w:ind w:left="202"/>
              <w:rPr>
                <w:sz w:val="18"/>
                <w:szCs w:val="18"/>
              </w:rPr>
            </w:pPr>
            <w:r>
              <w:rPr>
                <w:spacing w:val="-2"/>
                <w:sz w:val="18"/>
                <w:szCs w:val="18"/>
              </w:rPr>
              <w:t>70</w:t>
            </w:r>
          </w:p>
        </w:tc>
        <w:tc>
          <w:tcPr>
            <w:tcW w:w="606" w:type="dxa"/>
            <w:vAlign w:val="top"/>
          </w:tcPr>
          <w:p w14:paraId="54FFCDD2">
            <w:pPr>
              <w:pStyle w:val="6"/>
              <w:spacing w:before="89" w:line="186" w:lineRule="auto"/>
              <w:ind w:left="162"/>
              <w:rPr>
                <w:sz w:val="18"/>
                <w:szCs w:val="18"/>
              </w:rPr>
            </w:pPr>
            <w:r>
              <w:rPr>
                <w:spacing w:val="-5"/>
                <w:sz w:val="18"/>
                <w:szCs w:val="18"/>
              </w:rPr>
              <w:t>10L</w:t>
            </w:r>
          </w:p>
        </w:tc>
        <w:tc>
          <w:tcPr>
            <w:tcW w:w="606" w:type="dxa"/>
            <w:vAlign w:val="top"/>
          </w:tcPr>
          <w:p w14:paraId="2F7BC405">
            <w:pPr>
              <w:pStyle w:val="6"/>
              <w:spacing w:before="86" w:line="227" w:lineRule="auto"/>
              <w:ind w:left="82"/>
              <w:rPr>
                <w:sz w:val="18"/>
                <w:szCs w:val="18"/>
              </w:rPr>
            </w:pPr>
            <w:r>
              <w:rPr>
                <w:spacing w:val="-2"/>
                <w:sz w:val="18"/>
                <w:szCs w:val="18"/>
              </w:rPr>
              <w:t>0.03L</w:t>
            </w:r>
          </w:p>
        </w:tc>
        <w:tc>
          <w:tcPr>
            <w:tcW w:w="605" w:type="dxa"/>
            <w:vAlign w:val="top"/>
          </w:tcPr>
          <w:p w14:paraId="06D79ED8">
            <w:pPr>
              <w:pStyle w:val="6"/>
              <w:spacing w:before="86" w:line="227" w:lineRule="auto"/>
              <w:ind w:left="83"/>
              <w:rPr>
                <w:sz w:val="18"/>
                <w:szCs w:val="18"/>
              </w:rPr>
            </w:pPr>
            <w:r>
              <w:rPr>
                <w:spacing w:val="-2"/>
                <w:sz w:val="18"/>
                <w:szCs w:val="18"/>
              </w:rPr>
              <w:t>0.02L</w:t>
            </w:r>
          </w:p>
        </w:tc>
        <w:tc>
          <w:tcPr>
            <w:tcW w:w="563" w:type="dxa"/>
            <w:vAlign w:val="top"/>
          </w:tcPr>
          <w:p w14:paraId="38B5470D">
            <w:pPr>
              <w:pStyle w:val="6"/>
              <w:spacing w:before="86" w:line="227" w:lineRule="auto"/>
              <w:ind w:left="63"/>
              <w:rPr>
                <w:sz w:val="18"/>
                <w:szCs w:val="18"/>
              </w:rPr>
            </w:pPr>
            <w:r>
              <w:rPr>
                <w:spacing w:val="-2"/>
                <w:sz w:val="18"/>
                <w:szCs w:val="18"/>
              </w:rPr>
              <w:t>0.01L</w:t>
            </w:r>
          </w:p>
        </w:tc>
        <w:tc>
          <w:tcPr>
            <w:tcW w:w="562" w:type="dxa"/>
            <w:vAlign w:val="top"/>
          </w:tcPr>
          <w:p w14:paraId="0FC3500A">
            <w:pPr>
              <w:pStyle w:val="6"/>
              <w:spacing w:before="86" w:line="227" w:lineRule="auto"/>
              <w:ind w:left="19"/>
              <w:rPr>
                <w:sz w:val="18"/>
                <w:szCs w:val="18"/>
              </w:rPr>
            </w:pPr>
            <w:r>
              <w:rPr>
                <w:spacing w:val="-2"/>
                <w:sz w:val="18"/>
                <w:szCs w:val="18"/>
              </w:rPr>
              <w:t>0.006L</w:t>
            </w:r>
          </w:p>
        </w:tc>
        <w:tc>
          <w:tcPr>
            <w:tcW w:w="696" w:type="dxa"/>
            <w:vAlign w:val="top"/>
          </w:tcPr>
          <w:p w14:paraId="46B61177">
            <w:pPr>
              <w:pStyle w:val="6"/>
              <w:spacing w:before="86" w:line="227" w:lineRule="auto"/>
              <w:ind w:left="41"/>
              <w:rPr>
                <w:sz w:val="18"/>
                <w:szCs w:val="18"/>
              </w:rPr>
            </w:pPr>
            <w:r>
              <w:rPr>
                <w:spacing w:val="-1"/>
                <w:sz w:val="18"/>
                <w:szCs w:val="18"/>
              </w:rPr>
              <w:t>0.0003L</w:t>
            </w:r>
          </w:p>
        </w:tc>
        <w:tc>
          <w:tcPr>
            <w:tcW w:w="605" w:type="dxa"/>
            <w:vAlign w:val="top"/>
          </w:tcPr>
          <w:p w14:paraId="6F5600AA">
            <w:pPr>
              <w:pStyle w:val="6"/>
              <w:spacing w:before="86" w:line="227" w:lineRule="auto"/>
              <w:ind w:left="98"/>
              <w:rPr>
                <w:sz w:val="18"/>
                <w:szCs w:val="18"/>
              </w:rPr>
            </w:pPr>
            <w:r>
              <w:rPr>
                <w:spacing w:val="-2"/>
                <w:sz w:val="18"/>
                <w:szCs w:val="18"/>
              </w:rPr>
              <w:t>0.085</w:t>
            </w:r>
          </w:p>
        </w:tc>
        <w:tc>
          <w:tcPr>
            <w:tcW w:w="582" w:type="dxa"/>
            <w:vAlign w:val="top"/>
          </w:tcPr>
          <w:p w14:paraId="0E85309C">
            <w:pPr>
              <w:pStyle w:val="6"/>
              <w:spacing w:before="86" w:line="227" w:lineRule="auto"/>
              <w:ind w:left="132"/>
              <w:rPr>
                <w:sz w:val="18"/>
                <w:szCs w:val="18"/>
              </w:rPr>
            </w:pPr>
            <w:r>
              <w:rPr>
                <w:spacing w:val="-2"/>
                <w:sz w:val="18"/>
                <w:szCs w:val="18"/>
              </w:rPr>
              <w:t>0.01</w:t>
            </w:r>
          </w:p>
        </w:tc>
        <w:tc>
          <w:tcPr>
            <w:tcW w:w="583" w:type="dxa"/>
            <w:vAlign w:val="top"/>
          </w:tcPr>
          <w:p w14:paraId="140811CB">
            <w:pPr>
              <w:pStyle w:val="6"/>
              <w:spacing w:before="86" w:line="227" w:lineRule="auto"/>
              <w:ind w:left="133"/>
              <w:rPr>
                <w:sz w:val="18"/>
                <w:szCs w:val="18"/>
              </w:rPr>
            </w:pPr>
            <w:r>
              <w:rPr>
                <w:spacing w:val="-2"/>
                <w:sz w:val="18"/>
                <w:szCs w:val="18"/>
              </w:rPr>
              <w:t>0.66</w:t>
            </w:r>
          </w:p>
        </w:tc>
        <w:tc>
          <w:tcPr>
            <w:tcW w:w="582" w:type="dxa"/>
            <w:vAlign w:val="top"/>
          </w:tcPr>
          <w:p w14:paraId="46CE29BD">
            <w:pPr>
              <w:pStyle w:val="6"/>
              <w:spacing w:before="86" w:line="227" w:lineRule="auto"/>
              <w:ind w:left="33"/>
              <w:rPr>
                <w:sz w:val="18"/>
                <w:szCs w:val="18"/>
              </w:rPr>
            </w:pPr>
            <w:r>
              <w:rPr>
                <w:spacing w:val="-2"/>
                <w:sz w:val="18"/>
                <w:szCs w:val="18"/>
              </w:rPr>
              <w:t>0.003L</w:t>
            </w:r>
          </w:p>
        </w:tc>
        <w:tc>
          <w:tcPr>
            <w:tcW w:w="582" w:type="dxa"/>
            <w:vAlign w:val="top"/>
          </w:tcPr>
          <w:p w14:paraId="58D1B2CB">
            <w:pPr>
              <w:pStyle w:val="6"/>
              <w:spacing w:before="86" w:line="227" w:lineRule="auto"/>
              <w:ind w:left="90"/>
              <w:rPr>
                <w:sz w:val="18"/>
                <w:szCs w:val="18"/>
              </w:rPr>
            </w:pPr>
            <w:r>
              <w:rPr>
                <w:spacing w:val="-2"/>
                <w:sz w:val="18"/>
                <w:szCs w:val="18"/>
              </w:rPr>
              <w:t>0.055</w:t>
            </w:r>
          </w:p>
        </w:tc>
        <w:tc>
          <w:tcPr>
            <w:tcW w:w="582" w:type="dxa"/>
            <w:vAlign w:val="top"/>
          </w:tcPr>
          <w:p w14:paraId="39814BD7">
            <w:pPr>
              <w:pStyle w:val="6"/>
              <w:spacing w:before="86" w:line="227" w:lineRule="auto"/>
              <w:ind w:left="135"/>
              <w:rPr>
                <w:sz w:val="18"/>
                <w:szCs w:val="18"/>
              </w:rPr>
            </w:pPr>
            <w:r>
              <w:rPr>
                <w:spacing w:val="-2"/>
                <w:sz w:val="18"/>
                <w:szCs w:val="18"/>
              </w:rPr>
              <w:t>0.08</w:t>
            </w:r>
          </w:p>
        </w:tc>
        <w:tc>
          <w:tcPr>
            <w:tcW w:w="581" w:type="dxa"/>
            <w:vAlign w:val="top"/>
          </w:tcPr>
          <w:p w14:paraId="5263F01B">
            <w:pPr>
              <w:pStyle w:val="6"/>
              <w:spacing w:before="86" w:line="227" w:lineRule="auto"/>
              <w:ind w:left="37"/>
              <w:rPr>
                <w:sz w:val="18"/>
                <w:szCs w:val="18"/>
              </w:rPr>
            </w:pPr>
            <w:r>
              <w:rPr>
                <w:spacing w:val="-2"/>
                <w:sz w:val="18"/>
                <w:szCs w:val="18"/>
              </w:rPr>
              <w:t>0.004L</w:t>
            </w:r>
          </w:p>
        </w:tc>
        <w:tc>
          <w:tcPr>
            <w:tcW w:w="851" w:type="dxa"/>
            <w:vAlign w:val="top"/>
          </w:tcPr>
          <w:p w14:paraId="39A2A587">
            <w:pPr>
              <w:pStyle w:val="6"/>
              <w:spacing w:before="86" w:line="227" w:lineRule="auto"/>
              <w:ind w:left="83"/>
              <w:rPr>
                <w:sz w:val="18"/>
                <w:szCs w:val="18"/>
              </w:rPr>
            </w:pPr>
            <w:r>
              <w:rPr>
                <w:spacing w:val="-1"/>
                <w:sz w:val="18"/>
                <w:szCs w:val="18"/>
              </w:rPr>
              <w:t>0.00004L</w:t>
            </w:r>
          </w:p>
        </w:tc>
        <w:tc>
          <w:tcPr>
            <w:tcW w:w="644" w:type="dxa"/>
            <w:vAlign w:val="top"/>
          </w:tcPr>
          <w:p w14:paraId="431F758B">
            <w:pPr>
              <w:pStyle w:val="6"/>
              <w:spacing w:before="86" w:line="227" w:lineRule="auto"/>
              <w:ind w:left="81"/>
              <w:rPr>
                <w:sz w:val="18"/>
                <w:szCs w:val="18"/>
              </w:rPr>
            </w:pPr>
            <w:r>
              <w:rPr>
                <w:spacing w:val="-2"/>
                <w:sz w:val="18"/>
                <w:szCs w:val="18"/>
              </w:rPr>
              <w:t>0.0007</w:t>
            </w:r>
          </w:p>
        </w:tc>
        <w:tc>
          <w:tcPr>
            <w:tcW w:w="639" w:type="dxa"/>
            <w:vAlign w:val="top"/>
          </w:tcPr>
          <w:p w14:paraId="30496DFC">
            <w:pPr>
              <w:pStyle w:val="6"/>
              <w:spacing w:before="86" w:line="227" w:lineRule="auto"/>
              <w:ind w:left="22"/>
              <w:rPr>
                <w:sz w:val="18"/>
                <w:szCs w:val="18"/>
              </w:rPr>
            </w:pPr>
            <w:r>
              <w:rPr>
                <w:spacing w:val="-1"/>
                <w:sz w:val="18"/>
                <w:szCs w:val="18"/>
              </w:rPr>
              <w:t>0.0004L</w:t>
            </w:r>
          </w:p>
        </w:tc>
        <w:tc>
          <w:tcPr>
            <w:tcW w:w="640" w:type="dxa"/>
            <w:vAlign w:val="top"/>
          </w:tcPr>
          <w:p w14:paraId="7E5ABB1C">
            <w:pPr>
              <w:pStyle w:val="6"/>
              <w:spacing w:before="86" w:line="227" w:lineRule="auto"/>
              <w:ind w:left="70"/>
              <w:rPr>
                <w:sz w:val="18"/>
                <w:szCs w:val="18"/>
              </w:rPr>
            </w:pPr>
            <w:r>
              <w:rPr>
                <w:spacing w:val="-2"/>
                <w:sz w:val="18"/>
                <w:szCs w:val="18"/>
              </w:rPr>
              <w:t>0.001L</w:t>
            </w:r>
          </w:p>
        </w:tc>
        <w:tc>
          <w:tcPr>
            <w:tcW w:w="639" w:type="dxa"/>
            <w:vAlign w:val="top"/>
          </w:tcPr>
          <w:p w14:paraId="393A999F">
            <w:pPr>
              <w:pStyle w:val="6"/>
              <w:spacing w:before="86" w:line="227" w:lineRule="auto"/>
              <w:ind w:left="69"/>
              <w:rPr>
                <w:sz w:val="18"/>
                <w:szCs w:val="18"/>
              </w:rPr>
            </w:pPr>
            <w:r>
              <w:rPr>
                <w:spacing w:val="-2"/>
                <w:sz w:val="18"/>
                <w:szCs w:val="18"/>
              </w:rPr>
              <w:t>0.004L</w:t>
            </w:r>
          </w:p>
        </w:tc>
        <w:tc>
          <w:tcPr>
            <w:tcW w:w="639" w:type="dxa"/>
            <w:vAlign w:val="top"/>
          </w:tcPr>
          <w:p w14:paraId="6C9CC872">
            <w:pPr>
              <w:pStyle w:val="6"/>
              <w:spacing w:before="86" w:line="227" w:lineRule="auto"/>
              <w:ind w:left="114"/>
              <w:rPr>
                <w:sz w:val="18"/>
                <w:szCs w:val="18"/>
              </w:rPr>
            </w:pPr>
            <w:r>
              <w:rPr>
                <w:spacing w:val="-2"/>
                <w:sz w:val="18"/>
                <w:szCs w:val="18"/>
              </w:rPr>
              <w:t>0.01L</w:t>
            </w:r>
          </w:p>
        </w:tc>
        <w:tc>
          <w:tcPr>
            <w:tcW w:w="640" w:type="dxa"/>
            <w:vAlign w:val="top"/>
          </w:tcPr>
          <w:p w14:paraId="60EFF333">
            <w:pPr>
              <w:pStyle w:val="6"/>
              <w:spacing w:before="86" w:line="227" w:lineRule="auto"/>
              <w:ind w:left="127"/>
              <w:rPr>
                <w:sz w:val="18"/>
                <w:szCs w:val="18"/>
              </w:rPr>
            </w:pPr>
            <w:r>
              <w:rPr>
                <w:spacing w:val="-2"/>
                <w:sz w:val="18"/>
                <w:szCs w:val="18"/>
              </w:rPr>
              <w:t>0.028</w:t>
            </w:r>
          </w:p>
        </w:tc>
        <w:tc>
          <w:tcPr>
            <w:tcW w:w="827" w:type="dxa"/>
            <w:vAlign w:val="top"/>
          </w:tcPr>
          <w:p w14:paraId="5044663C">
            <w:pPr>
              <w:pStyle w:val="6"/>
              <w:spacing w:before="86" w:line="227" w:lineRule="auto"/>
              <w:ind w:left="391"/>
              <w:rPr>
                <w:sz w:val="18"/>
                <w:szCs w:val="18"/>
              </w:rPr>
            </w:pPr>
            <w:r>
              <w:rPr>
                <w:sz w:val="18"/>
                <w:szCs w:val="18"/>
              </w:rPr>
              <w:t>/</w:t>
            </w:r>
          </w:p>
        </w:tc>
        <w:tc>
          <w:tcPr>
            <w:tcW w:w="457" w:type="dxa"/>
            <w:vAlign w:val="top"/>
          </w:tcPr>
          <w:p w14:paraId="6FDF66B9">
            <w:pPr>
              <w:pStyle w:val="6"/>
              <w:spacing w:before="86" w:line="227" w:lineRule="auto"/>
              <w:ind w:left="99"/>
              <w:rPr>
                <w:sz w:val="18"/>
                <w:szCs w:val="18"/>
              </w:rPr>
            </w:pPr>
            <w:r>
              <w:rPr>
                <w:spacing w:val="-1"/>
                <w:sz w:val="18"/>
                <w:szCs w:val="18"/>
              </w:rPr>
              <w:t>441</w:t>
            </w:r>
          </w:p>
        </w:tc>
        <w:tc>
          <w:tcPr>
            <w:tcW w:w="533" w:type="dxa"/>
            <w:vAlign w:val="top"/>
          </w:tcPr>
          <w:p w14:paraId="2B286C78">
            <w:pPr>
              <w:pStyle w:val="6"/>
              <w:spacing w:before="86" w:line="227" w:lineRule="auto"/>
              <w:ind w:left="65"/>
              <w:rPr>
                <w:sz w:val="18"/>
                <w:szCs w:val="18"/>
              </w:rPr>
            </w:pPr>
            <w:r>
              <w:rPr>
                <w:spacing w:val="-2"/>
                <w:sz w:val="18"/>
                <w:szCs w:val="18"/>
              </w:rPr>
              <w:t>0.05L</w:t>
            </w:r>
          </w:p>
        </w:tc>
        <w:tc>
          <w:tcPr>
            <w:tcW w:w="533" w:type="dxa"/>
            <w:vAlign w:val="top"/>
          </w:tcPr>
          <w:p w14:paraId="3A832DC5">
            <w:pPr>
              <w:pStyle w:val="6"/>
              <w:spacing w:before="86" w:line="227" w:lineRule="auto"/>
              <w:ind w:left="118"/>
              <w:rPr>
                <w:sz w:val="18"/>
                <w:szCs w:val="18"/>
              </w:rPr>
            </w:pPr>
            <w:r>
              <w:rPr>
                <w:spacing w:val="-1"/>
                <w:sz w:val="18"/>
                <w:szCs w:val="18"/>
              </w:rPr>
              <w:t>2.55</w:t>
            </w:r>
          </w:p>
        </w:tc>
        <w:tc>
          <w:tcPr>
            <w:tcW w:w="533" w:type="dxa"/>
            <w:vAlign w:val="top"/>
          </w:tcPr>
          <w:p w14:paraId="5A2D2C92">
            <w:pPr>
              <w:pStyle w:val="6"/>
              <w:spacing w:before="86" w:line="227" w:lineRule="auto"/>
              <w:ind w:left="119"/>
              <w:rPr>
                <w:sz w:val="18"/>
                <w:szCs w:val="18"/>
              </w:rPr>
            </w:pPr>
            <w:r>
              <w:rPr>
                <w:spacing w:val="-1"/>
                <w:sz w:val="18"/>
                <w:szCs w:val="18"/>
              </w:rPr>
              <w:t>2.92</w:t>
            </w:r>
          </w:p>
        </w:tc>
        <w:tc>
          <w:tcPr>
            <w:tcW w:w="533" w:type="dxa"/>
            <w:vAlign w:val="top"/>
          </w:tcPr>
          <w:p w14:paraId="75B16533">
            <w:pPr>
              <w:pStyle w:val="6"/>
              <w:spacing w:before="86" w:line="227" w:lineRule="auto"/>
              <w:ind w:left="123"/>
              <w:rPr>
                <w:sz w:val="18"/>
                <w:szCs w:val="18"/>
              </w:rPr>
            </w:pPr>
            <w:r>
              <w:rPr>
                <w:spacing w:val="-2"/>
                <w:sz w:val="18"/>
                <w:szCs w:val="18"/>
              </w:rPr>
              <w:t>73.8</w:t>
            </w:r>
          </w:p>
        </w:tc>
        <w:tc>
          <w:tcPr>
            <w:tcW w:w="524" w:type="dxa"/>
            <w:tcBorders>
              <w:right w:val="single" w:color="000000" w:sz="12" w:space="0"/>
            </w:tcBorders>
            <w:vAlign w:val="top"/>
          </w:tcPr>
          <w:p w14:paraId="56FBD6BC">
            <w:pPr>
              <w:pStyle w:val="6"/>
              <w:spacing w:before="86" w:line="227" w:lineRule="auto"/>
              <w:ind w:left="123"/>
              <w:rPr>
                <w:sz w:val="18"/>
                <w:szCs w:val="18"/>
              </w:rPr>
            </w:pPr>
            <w:r>
              <w:rPr>
                <w:spacing w:val="-6"/>
                <w:sz w:val="18"/>
                <w:szCs w:val="18"/>
              </w:rPr>
              <w:t>10.1</w:t>
            </w:r>
          </w:p>
        </w:tc>
      </w:tr>
      <w:tr w14:paraId="72D6B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418" w:type="dxa"/>
            <w:vMerge w:val="restart"/>
            <w:tcBorders>
              <w:left w:val="single" w:color="000000" w:sz="12" w:space="0"/>
              <w:bottom w:val="nil"/>
            </w:tcBorders>
            <w:vAlign w:val="top"/>
          </w:tcPr>
          <w:p w14:paraId="11602E79">
            <w:pPr>
              <w:spacing w:line="255" w:lineRule="auto"/>
              <w:rPr>
                <w:rFonts w:ascii="Arial"/>
                <w:sz w:val="21"/>
              </w:rPr>
            </w:pPr>
          </w:p>
          <w:p w14:paraId="44C199B9">
            <w:pPr>
              <w:spacing w:line="255" w:lineRule="auto"/>
              <w:rPr>
                <w:rFonts w:ascii="Arial"/>
                <w:sz w:val="21"/>
              </w:rPr>
            </w:pPr>
          </w:p>
          <w:p w14:paraId="23429A3B">
            <w:pPr>
              <w:spacing w:line="256" w:lineRule="auto"/>
              <w:rPr>
                <w:rFonts w:ascii="Arial"/>
                <w:sz w:val="21"/>
              </w:rPr>
            </w:pPr>
          </w:p>
          <w:p w14:paraId="13382613">
            <w:pPr>
              <w:spacing w:line="256" w:lineRule="auto"/>
              <w:rPr>
                <w:rFonts w:ascii="Arial"/>
                <w:sz w:val="21"/>
              </w:rPr>
            </w:pPr>
          </w:p>
          <w:p w14:paraId="0FC31B77">
            <w:pPr>
              <w:spacing w:line="256" w:lineRule="auto"/>
              <w:rPr>
                <w:rFonts w:ascii="Arial"/>
                <w:sz w:val="21"/>
              </w:rPr>
            </w:pPr>
          </w:p>
          <w:p w14:paraId="2B16F831">
            <w:pPr>
              <w:spacing w:line="256" w:lineRule="auto"/>
              <w:rPr>
                <w:rFonts w:ascii="Arial"/>
                <w:sz w:val="21"/>
              </w:rPr>
            </w:pPr>
          </w:p>
          <w:p w14:paraId="0342A996">
            <w:pPr>
              <w:spacing w:before="61" w:line="244" w:lineRule="auto"/>
              <w:ind w:left="17" w:right="27" w:firstLine="4"/>
              <w:rPr>
                <w:rFonts w:ascii="等线" w:hAnsi="等线" w:eastAsia="等线" w:cs="等线"/>
                <w:sz w:val="18"/>
                <w:szCs w:val="18"/>
              </w:rPr>
            </w:pPr>
            <w:r>
              <w:rPr>
                <w:rFonts w:ascii="等线" w:hAnsi="等线" w:eastAsia="等线" w:cs="等线"/>
                <w:spacing w:val="-6"/>
                <w:sz w:val="18"/>
                <w:szCs w:val="18"/>
              </w:rPr>
              <w:t>黄土</w:t>
            </w:r>
            <w:r>
              <w:rPr>
                <w:rFonts w:ascii="等线" w:hAnsi="等线" w:eastAsia="等线" w:cs="等线"/>
                <w:spacing w:val="-4"/>
                <w:sz w:val="18"/>
                <w:szCs w:val="18"/>
              </w:rPr>
              <w:t>坡村</w:t>
            </w:r>
          </w:p>
        </w:tc>
        <w:tc>
          <w:tcPr>
            <w:tcW w:w="245" w:type="dxa"/>
            <w:vMerge w:val="restart"/>
            <w:tcBorders>
              <w:bottom w:val="nil"/>
            </w:tcBorders>
            <w:vAlign w:val="top"/>
          </w:tcPr>
          <w:p w14:paraId="34E7D811">
            <w:pPr>
              <w:pStyle w:val="6"/>
              <w:spacing w:before="153" w:line="227" w:lineRule="auto"/>
              <w:ind w:left="78"/>
              <w:rPr>
                <w:sz w:val="18"/>
                <w:szCs w:val="18"/>
              </w:rPr>
            </w:pPr>
            <w:r>
              <w:rPr>
                <w:sz w:val="18"/>
                <w:szCs w:val="18"/>
              </w:rPr>
              <w:t>1</w:t>
            </w:r>
          </w:p>
          <w:p w14:paraId="20B0D6C5">
            <w:pPr>
              <w:spacing w:line="226" w:lineRule="auto"/>
              <w:ind w:left="19"/>
              <w:rPr>
                <w:rFonts w:ascii="等线" w:hAnsi="等线" w:eastAsia="等线" w:cs="等线"/>
                <w:sz w:val="18"/>
                <w:szCs w:val="18"/>
              </w:rPr>
            </w:pPr>
            <w:r>
              <w:rPr>
                <w:rFonts w:ascii="等线" w:hAnsi="等线" w:eastAsia="等线" w:cs="等线"/>
                <w:sz w:val="18"/>
                <w:szCs w:val="18"/>
              </w:rPr>
              <w:t>季</w:t>
            </w:r>
          </w:p>
          <w:p w14:paraId="370D73BD">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43C5E049">
            <w:pPr>
              <w:pStyle w:val="6"/>
              <w:spacing w:before="89" w:line="228" w:lineRule="auto"/>
              <w:ind w:left="83"/>
              <w:rPr>
                <w:sz w:val="18"/>
                <w:szCs w:val="18"/>
              </w:rPr>
            </w:pPr>
            <w:r>
              <w:rPr>
                <w:spacing w:val="-1"/>
                <w:sz w:val="18"/>
                <w:szCs w:val="18"/>
              </w:rPr>
              <w:t>2019/1/15</w:t>
            </w:r>
          </w:p>
        </w:tc>
        <w:tc>
          <w:tcPr>
            <w:tcW w:w="606" w:type="dxa"/>
            <w:vAlign w:val="top"/>
          </w:tcPr>
          <w:p w14:paraId="7A48D6A3">
            <w:pPr>
              <w:pStyle w:val="6"/>
              <w:spacing w:before="89" w:line="228" w:lineRule="auto"/>
              <w:ind w:left="133"/>
              <w:rPr>
                <w:sz w:val="18"/>
                <w:szCs w:val="18"/>
              </w:rPr>
            </w:pPr>
            <w:r>
              <w:rPr>
                <w:spacing w:val="-2"/>
                <w:sz w:val="18"/>
                <w:szCs w:val="18"/>
              </w:rPr>
              <w:t>6.53</w:t>
            </w:r>
          </w:p>
        </w:tc>
        <w:tc>
          <w:tcPr>
            <w:tcW w:w="606" w:type="dxa"/>
            <w:vAlign w:val="top"/>
          </w:tcPr>
          <w:p w14:paraId="5FD1F711">
            <w:pPr>
              <w:pStyle w:val="6"/>
              <w:spacing w:before="89" w:line="228" w:lineRule="auto"/>
              <w:ind w:left="203"/>
              <w:rPr>
                <w:sz w:val="18"/>
                <w:szCs w:val="18"/>
              </w:rPr>
            </w:pPr>
            <w:r>
              <w:rPr>
                <w:spacing w:val="-3"/>
                <w:sz w:val="18"/>
                <w:szCs w:val="18"/>
              </w:rPr>
              <w:t>56</w:t>
            </w:r>
          </w:p>
        </w:tc>
        <w:tc>
          <w:tcPr>
            <w:tcW w:w="606" w:type="dxa"/>
            <w:vAlign w:val="top"/>
          </w:tcPr>
          <w:p w14:paraId="6803FDF3">
            <w:pPr>
              <w:pStyle w:val="6"/>
              <w:spacing w:before="89" w:line="228" w:lineRule="auto"/>
              <w:ind w:left="203"/>
              <w:rPr>
                <w:sz w:val="18"/>
                <w:szCs w:val="18"/>
              </w:rPr>
            </w:pPr>
            <w:r>
              <w:rPr>
                <w:spacing w:val="-2"/>
                <w:sz w:val="18"/>
                <w:szCs w:val="18"/>
              </w:rPr>
              <w:t>62</w:t>
            </w:r>
          </w:p>
        </w:tc>
        <w:tc>
          <w:tcPr>
            <w:tcW w:w="606" w:type="dxa"/>
            <w:vAlign w:val="top"/>
          </w:tcPr>
          <w:p w14:paraId="4C355AFC">
            <w:pPr>
              <w:pStyle w:val="6"/>
              <w:spacing w:before="89" w:line="228" w:lineRule="auto"/>
              <w:ind w:left="252"/>
              <w:rPr>
                <w:sz w:val="18"/>
                <w:szCs w:val="18"/>
              </w:rPr>
            </w:pPr>
            <w:r>
              <w:rPr>
                <w:sz w:val="18"/>
                <w:szCs w:val="18"/>
              </w:rPr>
              <w:t>8</w:t>
            </w:r>
          </w:p>
        </w:tc>
        <w:tc>
          <w:tcPr>
            <w:tcW w:w="606" w:type="dxa"/>
            <w:vAlign w:val="top"/>
          </w:tcPr>
          <w:p w14:paraId="719BFBDE">
            <w:pPr>
              <w:pStyle w:val="6"/>
              <w:spacing w:before="92" w:line="186" w:lineRule="auto"/>
              <w:ind w:left="162"/>
              <w:rPr>
                <w:sz w:val="18"/>
                <w:szCs w:val="18"/>
              </w:rPr>
            </w:pPr>
            <w:r>
              <w:rPr>
                <w:spacing w:val="-5"/>
                <w:sz w:val="18"/>
                <w:szCs w:val="18"/>
              </w:rPr>
              <w:t>10L</w:t>
            </w:r>
          </w:p>
        </w:tc>
        <w:tc>
          <w:tcPr>
            <w:tcW w:w="606" w:type="dxa"/>
            <w:vAlign w:val="top"/>
          </w:tcPr>
          <w:p w14:paraId="28AD0D3F">
            <w:pPr>
              <w:pStyle w:val="6"/>
              <w:spacing w:before="89" w:line="228" w:lineRule="auto"/>
              <w:ind w:left="137"/>
              <w:rPr>
                <w:sz w:val="18"/>
                <w:szCs w:val="18"/>
              </w:rPr>
            </w:pPr>
            <w:r>
              <w:rPr>
                <w:spacing w:val="-2"/>
                <w:sz w:val="18"/>
                <w:szCs w:val="18"/>
              </w:rPr>
              <w:t>0.15</w:t>
            </w:r>
          </w:p>
        </w:tc>
        <w:tc>
          <w:tcPr>
            <w:tcW w:w="605" w:type="dxa"/>
            <w:vAlign w:val="top"/>
          </w:tcPr>
          <w:p w14:paraId="07FEB4EA">
            <w:pPr>
              <w:pStyle w:val="6"/>
              <w:spacing w:before="89" w:line="228" w:lineRule="auto"/>
              <w:ind w:left="138"/>
              <w:rPr>
                <w:sz w:val="18"/>
                <w:szCs w:val="18"/>
              </w:rPr>
            </w:pPr>
            <w:r>
              <w:rPr>
                <w:spacing w:val="-2"/>
                <w:sz w:val="18"/>
                <w:szCs w:val="18"/>
              </w:rPr>
              <w:t>0.03</w:t>
            </w:r>
          </w:p>
        </w:tc>
        <w:tc>
          <w:tcPr>
            <w:tcW w:w="563" w:type="dxa"/>
            <w:vAlign w:val="top"/>
          </w:tcPr>
          <w:p w14:paraId="2459A21F">
            <w:pPr>
              <w:pStyle w:val="6"/>
              <w:spacing w:before="89" w:line="228" w:lineRule="auto"/>
              <w:ind w:left="63"/>
              <w:rPr>
                <w:sz w:val="18"/>
                <w:szCs w:val="18"/>
              </w:rPr>
            </w:pPr>
            <w:r>
              <w:rPr>
                <w:spacing w:val="-2"/>
                <w:sz w:val="18"/>
                <w:szCs w:val="18"/>
              </w:rPr>
              <w:t>0.01L</w:t>
            </w:r>
          </w:p>
        </w:tc>
        <w:tc>
          <w:tcPr>
            <w:tcW w:w="562" w:type="dxa"/>
            <w:vAlign w:val="top"/>
          </w:tcPr>
          <w:p w14:paraId="008FC9B5">
            <w:pPr>
              <w:pStyle w:val="6"/>
              <w:spacing w:before="89" w:line="228" w:lineRule="auto"/>
              <w:ind w:left="19"/>
              <w:rPr>
                <w:sz w:val="18"/>
                <w:szCs w:val="18"/>
              </w:rPr>
            </w:pPr>
            <w:r>
              <w:rPr>
                <w:spacing w:val="-2"/>
                <w:sz w:val="18"/>
                <w:szCs w:val="18"/>
              </w:rPr>
              <w:t>0.006L</w:t>
            </w:r>
          </w:p>
        </w:tc>
        <w:tc>
          <w:tcPr>
            <w:tcW w:w="696" w:type="dxa"/>
            <w:vAlign w:val="top"/>
          </w:tcPr>
          <w:p w14:paraId="3CB50A80">
            <w:pPr>
              <w:pStyle w:val="6"/>
              <w:spacing w:before="89" w:line="228" w:lineRule="auto"/>
              <w:ind w:left="41"/>
              <w:rPr>
                <w:sz w:val="18"/>
                <w:szCs w:val="18"/>
              </w:rPr>
            </w:pPr>
            <w:r>
              <w:rPr>
                <w:spacing w:val="-1"/>
                <w:sz w:val="18"/>
                <w:szCs w:val="18"/>
              </w:rPr>
              <w:t>0.0003L</w:t>
            </w:r>
          </w:p>
        </w:tc>
        <w:tc>
          <w:tcPr>
            <w:tcW w:w="605" w:type="dxa"/>
            <w:vAlign w:val="top"/>
          </w:tcPr>
          <w:p w14:paraId="2667285B">
            <w:pPr>
              <w:pStyle w:val="6"/>
              <w:spacing w:before="89" w:line="228" w:lineRule="auto"/>
              <w:ind w:left="87"/>
              <w:rPr>
                <w:sz w:val="18"/>
                <w:szCs w:val="18"/>
              </w:rPr>
            </w:pPr>
            <w:r>
              <w:rPr>
                <w:spacing w:val="-2"/>
                <w:sz w:val="18"/>
                <w:szCs w:val="18"/>
              </w:rPr>
              <w:t>0.05L</w:t>
            </w:r>
          </w:p>
        </w:tc>
        <w:tc>
          <w:tcPr>
            <w:tcW w:w="582" w:type="dxa"/>
            <w:vAlign w:val="top"/>
          </w:tcPr>
          <w:p w14:paraId="65A0C020">
            <w:pPr>
              <w:pStyle w:val="6"/>
              <w:spacing w:before="89" w:line="228" w:lineRule="auto"/>
              <w:ind w:left="132"/>
              <w:rPr>
                <w:sz w:val="18"/>
                <w:szCs w:val="18"/>
              </w:rPr>
            </w:pPr>
            <w:r>
              <w:rPr>
                <w:spacing w:val="-2"/>
                <w:sz w:val="18"/>
                <w:szCs w:val="18"/>
              </w:rPr>
              <w:t>0.02</w:t>
            </w:r>
          </w:p>
        </w:tc>
        <w:tc>
          <w:tcPr>
            <w:tcW w:w="583" w:type="dxa"/>
            <w:vAlign w:val="top"/>
          </w:tcPr>
          <w:p w14:paraId="0B99F894">
            <w:pPr>
              <w:pStyle w:val="6"/>
              <w:spacing w:before="89" w:line="228" w:lineRule="auto"/>
              <w:ind w:left="133"/>
              <w:rPr>
                <w:sz w:val="18"/>
                <w:szCs w:val="18"/>
              </w:rPr>
            </w:pPr>
            <w:r>
              <w:rPr>
                <w:spacing w:val="-2"/>
                <w:sz w:val="18"/>
                <w:szCs w:val="18"/>
              </w:rPr>
              <w:t>0.38</w:t>
            </w:r>
          </w:p>
        </w:tc>
        <w:tc>
          <w:tcPr>
            <w:tcW w:w="582" w:type="dxa"/>
            <w:vAlign w:val="top"/>
          </w:tcPr>
          <w:p w14:paraId="1E924DE4">
            <w:pPr>
              <w:pStyle w:val="6"/>
              <w:spacing w:before="89" w:line="228" w:lineRule="auto"/>
              <w:ind w:left="33"/>
              <w:rPr>
                <w:sz w:val="18"/>
                <w:szCs w:val="18"/>
              </w:rPr>
            </w:pPr>
            <w:r>
              <w:rPr>
                <w:spacing w:val="-2"/>
                <w:sz w:val="18"/>
                <w:szCs w:val="18"/>
              </w:rPr>
              <w:t>0.003L</w:t>
            </w:r>
          </w:p>
        </w:tc>
        <w:tc>
          <w:tcPr>
            <w:tcW w:w="582" w:type="dxa"/>
            <w:vAlign w:val="top"/>
          </w:tcPr>
          <w:p w14:paraId="67B09601">
            <w:pPr>
              <w:pStyle w:val="6"/>
              <w:spacing w:before="89" w:line="228" w:lineRule="auto"/>
              <w:ind w:left="90"/>
              <w:rPr>
                <w:sz w:val="18"/>
                <w:szCs w:val="18"/>
              </w:rPr>
            </w:pPr>
            <w:r>
              <w:rPr>
                <w:spacing w:val="-2"/>
                <w:sz w:val="18"/>
                <w:szCs w:val="18"/>
              </w:rPr>
              <w:t>0.079</w:t>
            </w:r>
          </w:p>
        </w:tc>
        <w:tc>
          <w:tcPr>
            <w:tcW w:w="582" w:type="dxa"/>
            <w:vAlign w:val="top"/>
          </w:tcPr>
          <w:p w14:paraId="7EDE2E34">
            <w:pPr>
              <w:pStyle w:val="6"/>
              <w:spacing w:before="89" w:line="228" w:lineRule="auto"/>
              <w:ind w:left="80"/>
              <w:rPr>
                <w:sz w:val="18"/>
                <w:szCs w:val="18"/>
              </w:rPr>
            </w:pPr>
            <w:r>
              <w:rPr>
                <w:spacing w:val="-2"/>
                <w:sz w:val="18"/>
                <w:szCs w:val="18"/>
              </w:rPr>
              <w:t>0.05L</w:t>
            </w:r>
          </w:p>
        </w:tc>
        <w:tc>
          <w:tcPr>
            <w:tcW w:w="581" w:type="dxa"/>
            <w:vAlign w:val="top"/>
          </w:tcPr>
          <w:p w14:paraId="73967E27">
            <w:pPr>
              <w:pStyle w:val="6"/>
              <w:spacing w:before="89" w:line="228" w:lineRule="auto"/>
              <w:ind w:left="37"/>
              <w:rPr>
                <w:sz w:val="18"/>
                <w:szCs w:val="18"/>
              </w:rPr>
            </w:pPr>
            <w:r>
              <w:rPr>
                <w:spacing w:val="-2"/>
                <w:sz w:val="18"/>
                <w:szCs w:val="18"/>
              </w:rPr>
              <w:t>0.004L</w:t>
            </w:r>
          </w:p>
        </w:tc>
        <w:tc>
          <w:tcPr>
            <w:tcW w:w="851" w:type="dxa"/>
            <w:vAlign w:val="top"/>
          </w:tcPr>
          <w:p w14:paraId="1901082A">
            <w:pPr>
              <w:pStyle w:val="6"/>
              <w:spacing w:before="89" w:line="228" w:lineRule="auto"/>
              <w:ind w:left="139"/>
              <w:rPr>
                <w:sz w:val="18"/>
                <w:szCs w:val="18"/>
              </w:rPr>
            </w:pPr>
            <w:r>
              <w:rPr>
                <w:spacing w:val="-1"/>
                <w:sz w:val="18"/>
                <w:szCs w:val="18"/>
              </w:rPr>
              <w:t>0.00014</w:t>
            </w:r>
          </w:p>
        </w:tc>
        <w:tc>
          <w:tcPr>
            <w:tcW w:w="644" w:type="dxa"/>
            <w:vAlign w:val="top"/>
          </w:tcPr>
          <w:p w14:paraId="36FE26E8">
            <w:pPr>
              <w:pStyle w:val="6"/>
              <w:spacing w:before="89" w:line="228" w:lineRule="auto"/>
              <w:ind w:left="26"/>
              <w:rPr>
                <w:sz w:val="18"/>
                <w:szCs w:val="18"/>
              </w:rPr>
            </w:pPr>
            <w:r>
              <w:rPr>
                <w:spacing w:val="-1"/>
                <w:sz w:val="18"/>
                <w:szCs w:val="18"/>
              </w:rPr>
              <w:t>0.0002L</w:t>
            </w:r>
          </w:p>
        </w:tc>
        <w:tc>
          <w:tcPr>
            <w:tcW w:w="639" w:type="dxa"/>
            <w:vAlign w:val="top"/>
          </w:tcPr>
          <w:p w14:paraId="3721BC54">
            <w:pPr>
              <w:pStyle w:val="6"/>
              <w:spacing w:before="89" w:line="228" w:lineRule="auto"/>
              <w:ind w:left="78"/>
              <w:rPr>
                <w:sz w:val="18"/>
                <w:szCs w:val="18"/>
              </w:rPr>
            </w:pPr>
            <w:r>
              <w:rPr>
                <w:spacing w:val="-2"/>
                <w:sz w:val="18"/>
                <w:szCs w:val="18"/>
              </w:rPr>
              <w:t>0.0013</w:t>
            </w:r>
          </w:p>
        </w:tc>
        <w:tc>
          <w:tcPr>
            <w:tcW w:w="640" w:type="dxa"/>
            <w:vAlign w:val="top"/>
          </w:tcPr>
          <w:p w14:paraId="1DB523A2">
            <w:pPr>
              <w:pStyle w:val="6"/>
              <w:spacing w:before="89" w:line="228" w:lineRule="auto"/>
              <w:ind w:left="70"/>
              <w:rPr>
                <w:sz w:val="18"/>
                <w:szCs w:val="18"/>
              </w:rPr>
            </w:pPr>
            <w:r>
              <w:rPr>
                <w:spacing w:val="-2"/>
                <w:sz w:val="18"/>
                <w:szCs w:val="18"/>
              </w:rPr>
              <w:t>0.001L</w:t>
            </w:r>
          </w:p>
        </w:tc>
        <w:tc>
          <w:tcPr>
            <w:tcW w:w="639" w:type="dxa"/>
            <w:vAlign w:val="top"/>
          </w:tcPr>
          <w:p w14:paraId="12552A8C">
            <w:pPr>
              <w:pStyle w:val="6"/>
              <w:spacing w:before="89" w:line="228" w:lineRule="auto"/>
              <w:ind w:left="125"/>
              <w:rPr>
                <w:sz w:val="18"/>
                <w:szCs w:val="18"/>
              </w:rPr>
            </w:pPr>
            <w:r>
              <w:rPr>
                <w:spacing w:val="-2"/>
                <w:sz w:val="18"/>
                <w:szCs w:val="18"/>
              </w:rPr>
              <w:t>0.006</w:t>
            </w:r>
          </w:p>
        </w:tc>
        <w:tc>
          <w:tcPr>
            <w:tcW w:w="639" w:type="dxa"/>
            <w:vAlign w:val="top"/>
          </w:tcPr>
          <w:p w14:paraId="2C797BC2">
            <w:pPr>
              <w:pStyle w:val="6"/>
              <w:spacing w:before="89" w:line="228" w:lineRule="auto"/>
              <w:ind w:left="114"/>
              <w:rPr>
                <w:sz w:val="18"/>
                <w:szCs w:val="18"/>
              </w:rPr>
            </w:pPr>
            <w:r>
              <w:rPr>
                <w:spacing w:val="-2"/>
                <w:sz w:val="18"/>
                <w:szCs w:val="18"/>
              </w:rPr>
              <w:t>0.01L</w:t>
            </w:r>
          </w:p>
        </w:tc>
        <w:tc>
          <w:tcPr>
            <w:tcW w:w="640" w:type="dxa"/>
            <w:vAlign w:val="top"/>
          </w:tcPr>
          <w:p w14:paraId="3626E338">
            <w:pPr>
              <w:pStyle w:val="6"/>
              <w:spacing w:before="89" w:line="228" w:lineRule="auto"/>
              <w:ind w:left="127"/>
              <w:rPr>
                <w:sz w:val="18"/>
                <w:szCs w:val="18"/>
              </w:rPr>
            </w:pPr>
            <w:r>
              <w:rPr>
                <w:spacing w:val="-2"/>
                <w:sz w:val="18"/>
                <w:szCs w:val="18"/>
              </w:rPr>
              <w:t>0.012</w:t>
            </w:r>
          </w:p>
        </w:tc>
        <w:tc>
          <w:tcPr>
            <w:tcW w:w="827" w:type="dxa"/>
            <w:vAlign w:val="top"/>
          </w:tcPr>
          <w:p w14:paraId="5A167725">
            <w:pPr>
              <w:pStyle w:val="6"/>
              <w:spacing w:before="89" w:line="228" w:lineRule="auto"/>
              <w:ind w:left="401"/>
              <w:rPr>
                <w:sz w:val="18"/>
                <w:szCs w:val="18"/>
              </w:rPr>
            </w:pPr>
            <w:r>
              <w:rPr>
                <w:sz w:val="18"/>
                <w:szCs w:val="18"/>
              </w:rPr>
              <w:t>/</w:t>
            </w:r>
          </w:p>
        </w:tc>
        <w:tc>
          <w:tcPr>
            <w:tcW w:w="457" w:type="dxa"/>
            <w:vAlign w:val="top"/>
          </w:tcPr>
          <w:p w14:paraId="70EB8889">
            <w:pPr>
              <w:pStyle w:val="6"/>
              <w:spacing w:before="89" w:line="228" w:lineRule="auto"/>
              <w:ind w:left="149"/>
              <w:rPr>
                <w:sz w:val="18"/>
                <w:szCs w:val="18"/>
              </w:rPr>
            </w:pPr>
            <w:r>
              <w:rPr>
                <w:spacing w:val="-2"/>
                <w:sz w:val="18"/>
                <w:szCs w:val="18"/>
              </w:rPr>
              <w:t>93</w:t>
            </w:r>
          </w:p>
        </w:tc>
        <w:tc>
          <w:tcPr>
            <w:tcW w:w="533" w:type="dxa"/>
            <w:vAlign w:val="top"/>
          </w:tcPr>
          <w:p w14:paraId="3054604A">
            <w:pPr>
              <w:pStyle w:val="6"/>
              <w:spacing w:before="89" w:line="228" w:lineRule="auto"/>
              <w:ind w:left="179"/>
              <w:rPr>
                <w:sz w:val="18"/>
                <w:szCs w:val="18"/>
              </w:rPr>
            </w:pPr>
            <w:r>
              <w:rPr>
                <w:spacing w:val="-7"/>
                <w:sz w:val="18"/>
                <w:szCs w:val="18"/>
              </w:rPr>
              <w:t>1.0</w:t>
            </w:r>
          </w:p>
        </w:tc>
        <w:tc>
          <w:tcPr>
            <w:tcW w:w="533" w:type="dxa"/>
            <w:vAlign w:val="top"/>
          </w:tcPr>
          <w:p w14:paraId="7D44FA97">
            <w:pPr>
              <w:pStyle w:val="6"/>
              <w:spacing w:before="89" w:line="228" w:lineRule="auto"/>
              <w:ind w:left="135"/>
              <w:rPr>
                <w:sz w:val="18"/>
                <w:szCs w:val="18"/>
              </w:rPr>
            </w:pPr>
            <w:r>
              <w:rPr>
                <w:spacing w:val="-6"/>
                <w:sz w:val="18"/>
                <w:szCs w:val="18"/>
              </w:rPr>
              <w:t>1.14</w:t>
            </w:r>
          </w:p>
        </w:tc>
        <w:tc>
          <w:tcPr>
            <w:tcW w:w="533" w:type="dxa"/>
            <w:vAlign w:val="top"/>
          </w:tcPr>
          <w:p w14:paraId="05786252">
            <w:pPr>
              <w:pStyle w:val="6"/>
              <w:spacing w:before="89" w:line="228" w:lineRule="auto"/>
              <w:ind w:left="119"/>
              <w:rPr>
                <w:sz w:val="18"/>
                <w:szCs w:val="18"/>
              </w:rPr>
            </w:pPr>
            <w:r>
              <w:rPr>
                <w:spacing w:val="-1"/>
                <w:sz w:val="18"/>
                <w:szCs w:val="18"/>
              </w:rPr>
              <w:t>2.51</w:t>
            </w:r>
          </w:p>
        </w:tc>
        <w:tc>
          <w:tcPr>
            <w:tcW w:w="533" w:type="dxa"/>
            <w:vAlign w:val="top"/>
          </w:tcPr>
          <w:p w14:paraId="64611F98">
            <w:pPr>
              <w:pStyle w:val="6"/>
              <w:spacing w:before="89" w:line="228" w:lineRule="auto"/>
              <w:ind w:left="124"/>
              <w:rPr>
                <w:sz w:val="18"/>
                <w:szCs w:val="18"/>
              </w:rPr>
            </w:pPr>
            <w:r>
              <w:rPr>
                <w:spacing w:val="-2"/>
                <w:sz w:val="18"/>
                <w:szCs w:val="18"/>
              </w:rPr>
              <w:t>34.6</w:t>
            </w:r>
          </w:p>
        </w:tc>
        <w:tc>
          <w:tcPr>
            <w:tcW w:w="524" w:type="dxa"/>
            <w:tcBorders>
              <w:right w:val="single" w:color="000000" w:sz="12" w:space="0"/>
            </w:tcBorders>
            <w:vAlign w:val="top"/>
          </w:tcPr>
          <w:p w14:paraId="5F5B77A6">
            <w:pPr>
              <w:pStyle w:val="6"/>
              <w:spacing w:before="89" w:line="228" w:lineRule="auto"/>
              <w:ind w:left="123"/>
              <w:rPr>
                <w:sz w:val="18"/>
                <w:szCs w:val="18"/>
              </w:rPr>
            </w:pPr>
            <w:r>
              <w:rPr>
                <w:spacing w:val="-6"/>
                <w:sz w:val="18"/>
                <w:szCs w:val="18"/>
              </w:rPr>
              <w:t>16.5</w:t>
            </w:r>
          </w:p>
        </w:tc>
      </w:tr>
      <w:tr w14:paraId="7F2BB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418" w:type="dxa"/>
            <w:vMerge w:val="continue"/>
            <w:tcBorders>
              <w:top w:val="nil"/>
              <w:left w:val="single" w:color="000000" w:sz="12" w:space="0"/>
              <w:bottom w:val="nil"/>
            </w:tcBorders>
            <w:vAlign w:val="top"/>
          </w:tcPr>
          <w:p w14:paraId="1A778A95">
            <w:pPr>
              <w:rPr>
                <w:rFonts w:ascii="Arial"/>
                <w:sz w:val="21"/>
              </w:rPr>
            </w:pPr>
          </w:p>
        </w:tc>
        <w:tc>
          <w:tcPr>
            <w:tcW w:w="245" w:type="dxa"/>
            <w:vMerge w:val="continue"/>
            <w:tcBorders>
              <w:top w:val="nil"/>
              <w:bottom w:val="nil"/>
            </w:tcBorders>
            <w:vAlign w:val="top"/>
          </w:tcPr>
          <w:p w14:paraId="1150A46D">
            <w:pPr>
              <w:rPr>
                <w:rFonts w:ascii="Arial"/>
                <w:sz w:val="21"/>
              </w:rPr>
            </w:pPr>
          </w:p>
        </w:tc>
        <w:tc>
          <w:tcPr>
            <w:tcW w:w="929" w:type="dxa"/>
            <w:vAlign w:val="top"/>
          </w:tcPr>
          <w:p w14:paraId="07BEA420">
            <w:pPr>
              <w:pStyle w:val="6"/>
              <w:spacing w:before="92" w:line="231" w:lineRule="auto"/>
              <w:ind w:left="83"/>
              <w:rPr>
                <w:sz w:val="18"/>
                <w:szCs w:val="18"/>
              </w:rPr>
            </w:pPr>
            <w:r>
              <w:rPr>
                <w:spacing w:val="-1"/>
                <w:sz w:val="18"/>
                <w:szCs w:val="18"/>
              </w:rPr>
              <w:t>2019/1/16</w:t>
            </w:r>
          </w:p>
        </w:tc>
        <w:tc>
          <w:tcPr>
            <w:tcW w:w="606" w:type="dxa"/>
            <w:vAlign w:val="top"/>
          </w:tcPr>
          <w:p w14:paraId="76DCE571">
            <w:pPr>
              <w:pStyle w:val="6"/>
              <w:spacing w:before="92" w:line="231" w:lineRule="auto"/>
              <w:ind w:left="133"/>
              <w:rPr>
                <w:sz w:val="18"/>
                <w:szCs w:val="18"/>
              </w:rPr>
            </w:pPr>
            <w:r>
              <w:rPr>
                <w:spacing w:val="-2"/>
                <w:sz w:val="18"/>
                <w:szCs w:val="18"/>
              </w:rPr>
              <w:t>6.57</w:t>
            </w:r>
          </w:p>
        </w:tc>
        <w:tc>
          <w:tcPr>
            <w:tcW w:w="606" w:type="dxa"/>
            <w:vAlign w:val="top"/>
          </w:tcPr>
          <w:p w14:paraId="081F2C46">
            <w:pPr>
              <w:pStyle w:val="6"/>
              <w:spacing w:before="92" w:line="231" w:lineRule="auto"/>
              <w:ind w:left="201"/>
              <w:rPr>
                <w:sz w:val="18"/>
                <w:szCs w:val="18"/>
              </w:rPr>
            </w:pPr>
            <w:r>
              <w:rPr>
                <w:spacing w:val="-2"/>
                <w:sz w:val="18"/>
                <w:szCs w:val="18"/>
              </w:rPr>
              <w:t>74</w:t>
            </w:r>
          </w:p>
        </w:tc>
        <w:tc>
          <w:tcPr>
            <w:tcW w:w="606" w:type="dxa"/>
            <w:vAlign w:val="top"/>
          </w:tcPr>
          <w:p w14:paraId="6D64C9EE">
            <w:pPr>
              <w:pStyle w:val="6"/>
              <w:spacing w:before="92" w:line="231" w:lineRule="auto"/>
              <w:ind w:left="202"/>
              <w:rPr>
                <w:sz w:val="18"/>
                <w:szCs w:val="18"/>
              </w:rPr>
            </w:pPr>
            <w:r>
              <w:rPr>
                <w:spacing w:val="-2"/>
                <w:sz w:val="18"/>
                <w:szCs w:val="18"/>
              </w:rPr>
              <w:t>78</w:t>
            </w:r>
          </w:p>
        </w:tc>
        <w:tc>
          <w:tcPr>
            <w:tcW w:w="606" w:type="dxa"/>
            <w:vAlign w:val="top"/>
          </w:tcPr>
          <w:p w14:paraId="1508AD9B">
            <w:pPr>
              <w:pStyle w:val="6"/>
              <w:spacing w:before="92" w:line="231" w:lineRule="auto"/>
              <w:ind w:left="216"/>
              <w:rPr>
                <w:sz w:val="18"/>
                <w:szCs w:val="18"/>
              </w:rPr>
            </w:pPr>
            <w:r>
              <w:rPr>
                <w:spacing w:val="-6"/>
                <w:sz w:val="18"/>
                <w:szCs w:val="18"/>
              </w:rPr>
              <w:t>10</w:t>
            </w:r>
          </w:p>
        </w:tc>
        <w:tc>
          <w:tcPr>
            <w:tcW w:w="606" w:type="dxa"/>
            <w:vAlign w:val="top"/>
          </w:tcPr>
          <w:p w14:paraId="1D0C024B">
            <w:pPr>
              <w:pStyle w:val="6"/>
              <w:spacing w:before="95" w:line="186" w:lineRule="auto"/>
              <w:ind w:left="162"/>
              <w:rPr>
                <w:sz w:val="18"/>
                <w:szCs w:val="18"/>
              </w:rPr>
            </w:pPr>
            <w:r>
              <w:rPr>
                <w:spacing w:val="-5"/>
                <w:sz w:val="18"/>
                <w:szCs w:val="18"/>
              </w:rPr>
              <w:t>10L</w:t>
            </w:r>
          </w:p>
        </w:tc>
        <w:tc>
          <w:tcPr>
            <w:tcW w:w="606" w:type="dxa"/>
            <w:vAlign w:val="top"/>
          </w:tcPr>
          <w:p w14:paraId="36AE642C">
            <w:pPr>
              <w:pStyle w:val="6"/>
              <w:spacing w:before="92" w:line="231" w:lineRule="auto"/>
              <w:ind w:left="137"/>
              <w:rPr>
                <w:sz w:val="18"/>
                <w:szCs w:val="18"/>
              </w:rPr>
            </w:pPr>
            <w:r>
              <w:rPr>
                <w:spacing w:val="-2"/>
                <w:sz w:val="18"/>
                <w:szCs w:val="18"/>
              </w:rPr>
              <w:t>0.16</w:t>
            </w:r>
          </w:p>
        </w:tc>
        <w:tc>
          <w:tcPr>
            <w:tcW w:w="605" w:type="dxa"/>
            <w:vAlign w:val="top"/>
          </w:tcPr>
          <w:p w14:paraId="2F19F51C">
            <w:pPr>
              <w:pStyle w:val="6"/>
              <w:spacing w:before="92" w:line="231" w:lineRule="auto"/>
              <w:ind w:left="138"/>
              <w:rPr>
                <w:sz w:val="18"/>
                <w:szCs w:val="18"/>
              </w:rPr>
            </w:pPr>
            <w:r>
              <w:rPr>
                <w:spacing w:val="-2"/>
                <w:sz w:val="18"/>
                <w:szCs w:val="18"/>
              </w:rPr>
              <w:t>0.03</w:t>
            </w:r>
          </w:p>
        </w:tc>
        <w:tc>
          <w:tcPr>
            <w:tcW w:w="563" w:type="dxa"/>
            <w:vAlign w:val="top"/>
          </w:tcPr>
          <w:p w14:paraId="21C20DCF">
            <w:pPr>
              <w:pStyle w:val="6"/>
              <w:spacing w:before="92" w:line="231" w:lineRule="auto"/>
              <w:ind w:left="63"/>
              <w:rPr>
                <w:sz w:val="18"/>
                <w:szCs w:val="18"/>
              </w:rPr>
            </w:pPr>
            <w:r>
              <w:rPr>
                <w:spacing w:val="-2"/>
                <w:sz w:val="18"/>
                <w:szCs w:val="18"/>
              </w:rPr>
              <w:t>0.01L</w:t>
            </w:r>
          </w:p>
        </w:tc>
        <w:tc>
          <w:tcPr>
            <w:tcW w:w="562" w:type="dxa"/>
            <w:vAlign w:val="top"/>
          </w:tcPr>
          <w:p w14:paraId="6CC14178">
            <w:pPr>
              <w:pStyle w:val="6"/>
              <w:spacing w:before="92" w:line="231" w:lineRule="auto"/>
              <w:ind w:left="19"/>
              <w:rPr>
                <w:sz w:val="18"/>
                <w:szCs w:val="18"/>
              </w:rPr>
            </w:pPr>
            <w:r>
              <w:rPr>
                <w:spacing w:val="-2"/>
                <w:sz w:val="18"/>
                <w:szCs w:val="18"/>
              </w:rPr>
              <w:t>0.006L</w:t>
            </w:r>
          </w:p>
        </w:tc>
        <w:tc>
          <w:tcPr>
            <w:tcW w:w="696" w:type="dxa"/>
            <w:vAlign w:val="top"/>
          </w:tcPr>
          <w:p w14:paraId="37886256">
            <w:pPr>
              <w:pStyle w:val="6"/>
              <w:spacing w:before="92" w:line="231" w:lineRule="auto"/>
              <w:ind w:left="41"/>
              <w:rPr>
                <w:sz w:val="18"/>
                <w:szCs w:val="18"/>
              </w:rPr>
            </w:pPr>
            <w:r>
              <w:rPr>
                <w:spacing w:val="-1"/>
                <w:sz w:val="18"/>
                <w:szCs w:val="18"/>
              </w:rPr>
              <w:t>0.0003L</w:t>
            </w:r>
          </w:p>
        </w:tc>
        <w:tc>
          <w:tcPr>
            <w:tcW w:w="605" w:type="dxa"/>
            <w:vAlign w:val="top"/>
          </w:tcPr>
          <w:p w14:paraId="4CF8B707">
            <w:pPr>
              <w:pStyle w:val="6"/>
              <w:spacing w:before="92" w:line="231" w:lineRule="auto"/>
              <w:ind w:left="87"/>
              <w:rPr>
                <w:sz w:val="18"/>
                <w:szCs w:val="18"/>
              </w:rPr>
            </w:pPr>
            <w:r>
              <w:rPr>
                <w:spacing w:val="-2"/>
                <w:sz w:val="18"/>
                <w:szCs w:val="18"/>
              </w:rPr>
              <w:t>0.05L</w:t>
            </w:r>
          </w:p>
        </w:tc>
        <w:tc>
          <w:tcPr>
            <w:tcW w:w="582" w:type="dxa"/>
            <w:vAlign w:val="top"/>
          </w:tcPr>
          <w:p w14:paraId="2BDCED39">
            <w:pPr>
              <w:pStyle w:val="6"/>
              <w:spacing w:before="92" w:line="231" w:lineRule="auto"/>
              <w:ind w:left="132"/>
              <w:rPr>
                <w:sz w:val="18"/>
                <w:szCs w:val="18"/>
              </w:rPr>
            </w:pPr>
            <w:r>
              <w:rPr>
                <w:spacing w:val="-2"/>
                <w:sz w:val="18"/>
                <w:szCs w:val="18"/>
              </w:rPr>
              <w:t>0.02</w:t>
            </w:r>
          </w:p>
        </w:tc>
        <w:tc>
          <w:tcPr>
            <w:tcW w:w="583" w:type="dxa"/>
            <w:vAlign w:val="top"/>
          </w:tcPr>
          <w:p w14:paraId="5656AC3B">
            <w:pPr>
              <w:pStyle w:val="6"/>
              <w:spacing w:before="92" w:line="231" w:lineRule="auto"/>
              <w:ind w:left="133"/>
              <w:rPr>
                <w:sz w:val="18"/>
                <w:szCs w:val="18"/>
              </w:rPr>
            </w:pPr>
            <w:r>
              <w:rPr>
                <w:spacing w:val="-2"/>
                <w:sz w:val="18"/>
                <w:szCs w:val="18"/>
              </w:rPr>
              <w:t>0.35</w:t>
            </w:r>
          </w:p>
        </w:tc>
        <w:tc>
          <w:tcPr>
            <w:tcW w:w="582" w:type="dxa"/>
            <w:vAlign w:val="top"/>
          </w:tcPr>
          <w:p w14:paraId="361B9917">
            <w:pPr>
              <w:pStyle w:val="6"/>
              <w:spacing w:before="92" w:line="231" w:lineRule="auto"/>
              <w:ind w:left="33"/>
              <w:rPr>
                <w:sz w:val="18"/>
                <w:szCs w:val="18"/>
              </w:rPr>
            </w:pPr>
            <w:r>
              <w:rPr>
                <w:spacing w:val="-2"/>
                <w:sz w:val="18"/>
                <w:szCs w:val="18"/>
              </w:rPr>
              <w:t>0.003L</w:t>
            </w:r>
          </w:p>
        </w:tc>
        <w:tc>
          <w:tcPr>
            <w:tcW w:w="582" w:type="dxa"/>
            <w:vAlign w:val="top"/>
          </w:tcPr>
          <w:p w14:paraId="03E6202D">
            <w:pPr>
              <w:pStyle w:val="6"/>
              <w:spacing w:before="92" w:line="231" w:lineRule="auto"/>
              <w:ind w:left="90"/>
              <w:rPr>
                <w:sz w:val="18"/>
                <w:szCs w:val="18"/>
              </w:rPr>
            </w:pPr>
            <w:r>
              <w:rPr>
                <w:spacing w:val="-2"/>
                <w:sz w:val="18"/>
                <w:szCs w:val="18"/>
              </w:rPr>
              <w:t>0.086</w:t>
            </w:r>
          </w:p>
        </w:tc>
        <w:tc>
          <w:tcPr>
            <w:tcW w:w="582" w:type="dxa"/>
            <w:vAlign w:val="top"/>
          </w:tcPr>
          <w:p w14:paraId="456A28A3">
            <w:pPr>
              <w:pStyle w:val="6"/>
              <w:spacing w:before="92" w:line="231" w:lineRule="auto"/>
              <w:ind w:left="80"/>
              <w:rPr>
                <w:sz w:val="18"/>
                <w:szCs w:val="18"/>
              </w:rPr>
            </w:pPr>
            <w:r>
              <w:rPr>
                <w:spacing w:val="-2"/>
                <w:sz w:val="18"/>
                <w:szCs w:val="18"/>
              </w:rPr>
              <w:t>0.05L</w:t>
            </w:r>
          </w:p>
        </w:tc>
        <w:tc>
          <w:tcPr>
            <w:tcW w:w="581" w:type="dxa"/>
            <w:vAlign w:val="top"/>
          </w:tcPr>
          <w:p w14:paraId="60FA65D8">
            <w:pPr>
              <w:pStyle w:val="6"/>
              <w:spacing w:before="92" w:line="231" w:lineRule="auto"/>
              <w:ind w:left="37"/>
              <w:rPr>
                <w:sz w:val="18"/>
                <w:szCs w:val="18"/>
              </w:rPr>
            </w:pPr>
            <w:r>
              <w:rPr>
                <w:spacing w:val="-2"/>
                <w:sz w:val="18"/>
                <w:szCs w:val="18"/>
              </w:rPr>
              <w:t>0.004L</w:t>
            </w:r>
          </w:p>
        </w:tc>
        <w:tc>
          <w:tcPr>
            <w:tcW w:w="851" w:type="dxa"/>
            <w:vAlign w:val="top"/>
          </w:tcPr>
          <w:p w14:paraId="0F61E3FF">
            <w:pPr>
              <w:pStyle w:val="6"/>
              <w:spacing w:before="92" w:line="231" w:lineRule="auto"/>
              <w:ind w:left="139"/>
              <w:rPr>
                <w:sz w:val="18"/>
                <w:szCs w:val="18"/>
              </w:rPr>
            </w:pPr>
            <w:r>
              <w:rPr>
                <w:spacing w:val="-1"/>
                <w:sz w:val="18"/>
                <w:szCs w:val="18"/>
              </w:rPr>
              <w:t>0.00015</w:t>
            </w:r>
          </w:p>
        </w:tc>
        <w:tc>
          <w:tcPr>
            <w:tcW w:w="644" w:type="dxa"/>
            <w:vAlign w:val="top"/>
          </w:tcPr>
          <w:p w14:paraId="4E6A32D5">
            <w:pPr>
              <w:pStyle w:val="6"/>
              <w:spacing w:before="92" w:line="231" w:lineRule="auto"/>
              <w:ind w:left="26"/>
              <w:rPr>
                <w:sz w:val="18"/>
                <w:szCs w:val="18"/>
              </w:rPr>
            </w:pPr>
            <w:r>
              <w:rPr>
                <w:spacing w:val="-1"/>
                <w:sz w:val="18"/>
                <w:szCs w:val="18"/>
              </w:rPr>
              <w:t>0.0002L</w:t>
            </w:r>
          </w:p>
        </w:tc>
        <w:tc>
          <w:tcPr>
            <w:tcW w:w="639" w:type="dxa"/>
            <w:vAlign w:val="top"/>
          </w:tcPr>
          <w:p w14:paraId="1CA6864F">
            <w:pPr>
              <w:pStyle w:val="6"/>
              <w:spacing w:before="92" w:line="231" w:lineRule="auto"/>
              <w:ind w:left="78"/>
              <w:rPr>
                <w:sz w:val="18"/>
                <w:szCs w:val="18"/>
              </w:rPr>
            </w:pPr>
            <w:r>
              <w:rPr>
                <w:spacing w:val="-2"/>
                <w:sz w:val="18"/>
                <w:szCs w:val="18"/>
              </w:rPr>
              <w:t>0.0011</w:t>
            </w:r>
          </w:p>
        </w:tc>
        <w:tc>
          <w:tcPr>
            <w:tcW w:w="640" w:type="dxa"/>
            <w:vAlign w:val="top"/>
          </w:tcPr>
          <w:p w14:paraId="40477715">
            <w:pPr>
              <w:pStyle w:val="6"/>
              <w:spacing w:before="92" w:line="231" w:lineRule="auto"/>
              <w:ind w:left="70"/>
              <w:rPr>
                <w:sz w:val="18"/>
                <w:szCs w:val="18"/>
              </w:rPr>
            </w:pPr>
            <w:r>
              <w:rPr>
                <w:spacing w:val="-2"/>
                <w:sz w:val="18"/>
                <w:szCs w:val="18"/>
              </w:rPr>
              <w:t>0.001L</w:t>
            </w:r>
          </w:p>
        </w:tc>
        <w:tc>
          <w:tcPr>
            <w:tcW w:w="639" w:type="dxa"/>
            <w:vAlign w:val="top"/>
          </w:tcPr>
          <w:p w14:paraId="1A6B978D">
            <w:pPr>
              <w:pStyle w:val="6"/>
              <w:spacing w:before="92" w:line="231" w:lineRule="auto"/>
              <w:ind w:left="125"/>
              <w:rPr>
                <w:sz w:val="18"/>
                <w:szCs w:val="18"/>
              </w:rPr>
            </w:pPr>
            <w:r>
              <w:rPr>
                <w:spacing w:val="-2"/>
                <w:sz w:val="18"/>
                <w:szCs w:val="18"/>
              </w:rPr>
              <w:t>0.008</w:t>
            </w:r>
          </w:p>
        </w:tc>
        <w:tc>
          <w:tcPr>
            <w:tcW w:w="639" w:type="dxa"/>
            <w:vAlign w:val="top"/>
          </w:tcPr>
          <w:p w14:paraId="1ACAE70F">
            <w:pPr>
              <w:pStyle w:val="6"/>
              <w:spacing w:before="92" w:line="231" w:lineRule="auto"/>
              <w:ind w:left="114"/>
              <w:rPr>
                <w:sz w:val="18"/>
                <w:szCs w:val="18"/>
              </w:rPr>
            </w:pPr>
            <w:r>
              <w:rPr>
                <w:spacing w:val="-2"/>
                <w:sz w:val="18"/>
                <w:szCs w:val="18"/>
              </w:rPr>
              <w:t>0.01L</w:t>
            </w:r>
          </w:p>
        </w:tc>
        <w:tc>
          <w:tcPr>
            <w:tcW w:w="640" w:type="dxa"/>
            <w:vAlign w:val="top"/>
          </w:tcPr>
          <w:p w14:paraId="02D2D202">
            <w:pPr>
              <w:pStyle w:val="6"/>
              <w:spacing w:before="92" w:line="231" w:lineRule="auto"/>
              <w:ind w:left="127"/>
              <w:rPr>
                <w:sz w:val="18"/>
                <w:szCs w:val="18"/>
              </w:rPr>
            </w:pPr>
            <w:r>
              <w:rPr>
                <w:spacing w:val="-2"/>
                <w:sz w:val="18"/>
                <w:szCs w:val="18"/>
              </w:rPr>
              <w:t>0.014</w:t>
            </w:r>
          </w:p>
        </w:tc>
        <w:tc>
          <w:tcPr>
            <w:tcW w:w="827" w:type="dxa"/>
            <w:vAlign w:val="top"/>
          </w:tcPr>
          <w:p w14:paraId="786F4C5A">
            <w:pPr>
              <w:pStyle w:val="6"/>
              <w:spacing w:before="92" w:line="231" w:lineRule="auto"/>
              <w:ind w:left="391"/>
              <w:rPr>
                <w:sz w:val="18"/>
                <w:szCs w:val="18"/>
              </w:rPr>
            </w:pPr>
            <w:r>
              <w:rPr>
                <w:sz w:val="18"/>
                <w:szCs w:val="18"/>
              </w:rPr>
              <w:t>/</w:t>
            </w:r>
          </w:p>
        </w:tc>
        <w:tc>
          <w:tcPr>
            <w:tcW w:w="457" w:type="dxa"/>
            <w:vAlign w:val="top"/>
          </w:tcPr>
          <w:p w14:paraId="37FA7007">
            <w:pPr>
              <w:pStyle w:val="6"/>
              <w:spacing w:before="92" w:line="231" w:lineRule="auto"/>
              <w:ind w:left="153"/>
              <w:rPr>
                <w:sz w:val="18"/>
                <w:szCs w:val="18"/>
              </w:rPr>
            </w:pPr>
            <w:r>
              <w:rPr>
                <w:spacing w:val="-3"/>
                <w:sz w:val="18"/>
                <w:szCs w:val="18"/>
              </w:rPr>
              <w:t>89</w:t>
            </w:r>
          </w:p>
        </w:tc>
        <w:tc>
          <w:tcPr>
            <w:tcW w:w="533" w:type="dxa"/>
            <w:vAlign w:val="top"/>
          </w:tcPr>
          <w:p w14:paraId="3A41EE57">
            <w:pPr>
              <w:pStyle w:val="6"/>
              <w:spacing w:before="92" w:line="231" w:lineRule="auto"/>
              <w:ind w:left="164"/>
              <w:rPr>
                <w:sz w:val="18"/>
                <w:szCs w:val="18"/>
              </w:rPr>
            </w:pPr>
            <w:r>
              <w:rPr>
                <w:spacing w:val="-3"/>
                <w:sz w:val="18"/>
                <w:szCs w:val="18"/>
              </w:rPr>
              <w:t>0.9</w:t>
            </w:r>
          </w:p>
        </w:tc>
        <w:tc>
          <w:tcPr>
            <w:tcW w:w="533" w:type="dxa"/>
            <w:vAlign w:val="top"/>
          </w:tcPr>
          <w:p w14:paraId="05744AE1">
            <w:pPr>
              <w:pStyle w:val="6"/>
              <w:spacing w:before="92" w:line="231" w:lineRule="auto"/>
              <w:ind w:left="135"/>
              <w:rPr>
                <w:sz w:val="18"/>
                <w:szCs w:val="18"/>
              </w:rPr>
            </w:pPr>
            <w:r>
              <w:rPr>
                <w:spacing w:val="-6"/>
                <w:sz w:val="18"/>
                <w:szCs w:val="18"/>
              </w:rPr>
              <w:t>1.12</w:t>
            </w:r>
          </w:p>
        </w:tc>
        <w:tc>
          <w:tcPr>
            <w:tcW w:w="533" w:type="dxa"/>
            <w:vAlign w:val="top"/>
          </w:tcPr>
          <w:p w14:paraId="4BC17F6F">
            <w:pPr>
              <w:pStyle w:val="6"/>
              <w:spacing w:before="92" w:line="231" w:lineRule="auto"/>
              <w:ind w:left="119"/>
              <w:rPr>
                <w:sz w:val="18"/>
                <w:szCs w:val="18"/>
              </w:rPr>
            </w:pPr>
            <w:r>
              <w:rPr>
                <w:spacing w:val="-1"/>
                <w:sz w:val="18"/>
                <w:szCs w:val="18"/>
              </w:rPr>
              <w:t>2.58</w:t>
            </w:r>
          </w:p>
        </w:tc>
        <w:tc>
          <w:tcPr>
            <w:tcW w:w="533" w:type="dxa"/>
            <w:vAlign w:val="top"/>
          </w:tcPr>
          <w:p w14:paraId="27EA2BC4">
            <w:pPr>
              <w:pStyle w:val="6"/>
              <w:spacing w:before="92" w:line="231" w:lineRule="auto"/>
              <w:ind w:left="124"/>
              <w:rPr>
                <w:sz w:val="18"/>
                <w:szCs w:val="18"/>
              </w:rPr>
            </w:pPr>
            <w:r>
              <w:rPr>
                <w:spacing w:val="-2"/>
                <w:sz w:val="18"/>
                <w:szCs w:val="18"/>
              </w:rPr>
              <w:t>33.7</w:t>
            </w:r>
          </w:p>
        </w:tc>
        <w:tc>
          <w:tcPr>
            <w:tcW w:w="524" w:type="dxa"/>
            <w:tcBorders>
              <w:right w:val="single" w:color="000000" w:sz="12" w:space="0"/>
            </w:tcBorders>
            <w:vAlign w:val="top"/>
          </w:tcPr>
          <w:p w14:paraId="17B8CA19">
            <w:pPr>
              <w:pStyle w:val="6"/>
              <w:spacing w:before="92" w:line="231" w:lineRule="auto"/>
              <w:ind w:left="123"/>
              <w:rPr>
                <w:sz w:val="18"/>
                <w:szCs w:val="18"/>
              </w:rPr>
            </w:pPr>
            <w:r>
              <w:rPr>
                <w:spacing w:val="-6"/>
                <w:sz w:val="18"/>
                <w:szCs w:val="18"/>
              </w:rPr>
              <w:t>17.0</w:t>
            </w:r>
          </w:p>
        </w:tc>
      </w:tr>
      <w:tr w14:paraId="0A9FE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443CA74C">
            <w:pPr>
              <w:rPr>
                <w:rFonts w:ascii="Arial"/>
                <w:sz w:val="21"/>
              </w:rPr>
            </w:pPr>
          </w:p>
        </w:tc>
        <w:tc>
          <w:tcPr>
            <w:tcW w:w="245" w:type="dxa"/>
            <w:vMerge w:val="continue"/>
            <w:tcBorders>
              <w:top w:val="nil"/>
            </w:tcBorders>
            <w:vAlign w:val="top"/>
          </w:tcPr>
          <w:p w14:paraId="2E291CED">
            <w:pPr>
              <w:rPr>
                <w:rFonts w:ascii="Arial"/>
                <w:sz w:val="21"/>
              </w:rPr>
            </w:pPr>
          </w:p>
        </w:tc>
        <w:tc>
          <w:tcPr>
            <w:tcW w:w="929" w:type="dxa"/>
            <w:vAlign w:val="top"/>
          </w:tcPr>
          <w:p w14:paraId="14EA3748">
            <w:pPr>
              <w:pStyle w:val="6"/>
              <w:spacing w:before="89" w:line="221" w:lineRule="auto"/>
              <w:ind w:left="83"/>
              <w:rPr>
                <w:sz w:val="18"/>
                <w:szCs w:val="18"/>
              </w:rPr>
            </w:pPr>
            <w:r>
              <w:rPr>
                <w:spacing w:val="-1"/>
                <w:sz w:val="18"/>
                <w:szCs w:val="18"/>
              </w:rPr>
              <w:t>2019/1/17</w:t>
            </w:r>
          </w:p>
        </w:tc>
        <w:tc>
          <w:tcPr>
            <w:tcW w:w="606" w:type="dxa"/>
            <w:vAlign w:val="top"/>
          </w:tcPr>
          <w:p w14:paraId="08A27AB0">
            <w:pPr>
              <w:pStyle w:val="6"/>
              <w:spacing w:before="89" w:line="221" w:lineRule="auto"/>
              <w:ind w:left="133"/>
              <w:rPr>
                <w:sz w:val="18"/>
                <w:szCs w:val="18"/>
              </w:rPr>
            </w:pPr>
            <w:r>
              <w:rPr>
                <w:spacing w:val="-2"/>
                <w:sz w:val="18"/>
                <w:szCs w:val="18"/>
              </w:rPr>
              <w:t>6.59</w:t>
            </w:r>
          </w:p>
        </w:tc>
        <w:tc>
          <w:tcPr>
            <w:tcW w:w="606" w:type="dxa"/>
            <w:vAlign w:val="top"/>
          </w:tcPr>
          <w:p w14:paraId="2237D7A3">
            <w:pPr>
              <w:pStyle w:val="6"/>
              <w:spacing w:before="89" w:line="221" w:lineRule="auto"/>
              <w:ind w:left="202"/>
              <w:rPr>
                <w:sz w:val="18"/>
                <w:szCs w:val="18"/>
              </w:rPr>
            </w:pPr>
            <w:r>
              <w:rPr>
                <w:spacing w:val="-2"/>
                <w:sz w:val="18"/>
                <w:szCs w:val="18"/>
              </w:rPr>
              <w:t>63</w:t>
            </w:r>
          </w:p>
        </w:tc>
        <w:tc>
          <w:tcPr>
            <w:tcW w:w="606" w:type="dxa"/>
            <w:vAlign w:val="top"/>
          </w:tcPr>
          <w:p w14:paraId="63A4454B">
            <w:pPr>
              <w:pStyle w:val="6"/>
              <w:spacing w:before="89" w:line="221" w:lineRule="auto"/>
              <w:ind w:left="203"/>
              <w:rPr>
                <w:sz w:val="18"/>
                <w:szCs w:val="18"/>
              </w:rPr>
            </w:pPr>
            <w:r>
              <w:rPr>
                <w:spacing w:val="-2"/>
                <w:sz w:val="18"/>
                <w:szCs w:val="18"/>
              </w:rPr>
              <w:t>69</w:t>
            </w:r>
          </w:p>
        </w:tc>
        <w:tc>
          <w:tcPr>
            <w:tcW w:w="606" w:type="dxa"/>
            <w:vAlign w:val="top"/>
          </w:tcPr>
          <w:p w14:paraId="27ED93D9">
            <w:pPr>
              <w:pStyle w:val="6"/>
              <w:spacing w:before="89" w:line="221" w:lineRule="auto"/>
              <w:ind w:left="252"/>
              <w:rPr>
                <w:sz w:val="18"/>
                <w:szCs w:val="18"/>
              </w:rPr>
            </w:pPr>
            <w:r>
              <w:rPr>
                <w:sz w:val="18"/>
                <w:szCs w:val="18"/>
              </w:rPr>
              <w:t>8</w:t>
            </w:r>
          </w:p>
        </w:tc>
        <w:tc>
          <w:tcPr>
            <w:tcW w:w="606" w:type="dxa"/>
            <w:vAlign w:val="top"/>
          </w:tcPr>
          <w:p w14:paraId="11B14198">
            <w:pPr>
              <w:pStyle w:val="6"/>
              <w:spacing w:before="92" w:line="186" w:lineRule="auto"/>
              <w:ind w:left="162"/>
              <w:rPr>
                <w:sz w:val="18"/>
                <w:szCs w:val="18"/>
              </w:rPr>
            </w:pPr>
            <w:r>
              <w:rPr>
                <w:spacing w:val="-5"/>
                <w:sz w:val="18"/>
                <w:szCs w:val="18"/>
              </w:rPr>
              <w:t>10L</w:t>
            </w:r>
          </w:p>
        </w:tc>
        <w:tc>
          <w:tcPr>
            <w:tcW w:w="606" w:type="dxa"/>
            <w:vAlign w:val="top"/>
          </w:tcPr>
          <w:p w14:paraId="25821EA9">
            <w:pPr>
              <w:pStyle w:val="6"/>
              <w:spacing w:before="89" w:line="221" w:lineRule="auto"/>
              <w:ind w:left="137"/>
              <w:rPr>
                <w:sz w:val="18"/>
                <w:szCs w:val="18"/>
              </w:rPr>
            </w:pPr>
            <w:r>
              <w:rPr>
                <w:spacing w:val="-2"/>
                <w:sz w:val="18"/>
                <w:szCs w:val="18"/>
              </w:rPr>
              <w:t>0.14</w:t>
            </w:r>
          </w:p>
        </w:tc>
        <w:tc>
          <w:tcPr>
            <w:tcW w:w="605" w:type="dxa"/>
            <w:vAlign w:val="top"/>
          </w:tcPr>
          <w:p w14:paraId="29529F32">
            <w:pPr>
              <w:pStyle w:val="6"/>
              <w:spacing w:before="89" w:line="221" w:lineRule="auto"/>
              <w:ind w:left="138"/>
              <w:rPr>
                <w:sz w:val="18"/>
                <w:szCs w:val="18"/>
              </w:rPr>
            </w:pPr>
            <w:r>
              <w:rPr>
                <w:spacing w:val="-2"/>
                <w:sz w:val="18"/>
                <w:szCs w:val="18"/>
              </w:rPr>
              <w:t>0.03</w:t>
            </w:r>
          </w:p>
        </w:tc>
        <w:tc>
          <w:tcPr>
            <w:tcW w:w="563" w:type="dxa"/>
            <w:vAlign w:val="top"/>
          </w:tcPr>
          <w:p w14:paraId="06B9F13B">
            <w:pPr>
              <w:pStyle w:val="6"/>
              <w:spacing w:before="89" w:line="221" w:lineRule="auto"/>
              <w:ind w:left="63"/>
              <w:rPr>
                <w:sz w:val="18"/>
                <w:szCs w:val="18"/>
              </w:rPr>
            </w:pPr>
            <w:r>
              <w:rPr>
                <w:spacing w:val="-2"/>
                <w:sz w:val="18"/>
                <w:szCs w:val="18"/>
              </w:rPr>
              <w:t>0.01L</w:t>
            </w:r>
          </w:p>
        </w:tc>
        <w:tc>
          <w:tcPr>
            <w:tcW w:w="562" w:type="dxa"/>
            <w:vAlign w:val="top"/>
          </w:tcPr>
          <w:p w14:paraId="4AED1897">
            <w:pPr>
              <w:pStyle w:val="6"/>
              <w:spacing w:before="89" w:line="221" w:lineRule="auto"/>
              <w:ind w:left="19"/>
              <w:rPr>
                <w:sz w:val="18"/>
                <w:szCs w:val="18"/>
              </w:rPr>
            </w:pPr>
            <w:r>
              <w:rPr>
                <w:spacing w:val="-2"/>
                <w:sz w:val="18"/>
                <w:szCs w:val="18"/>
              </w:rPr>
              <w:t>0.006L</w:t>
            </w:r>
          </w:p>
        </w:tc>
        <w:tc>
          <w:tcPr>
            <w:tcW w:w="696" w:type="dxa"/>
            <w:vAlign w:val="top"/>
          </w:tcPr>
          <w:p w14:paraId="61A0071F">
            <w:pPr>
              <w:pStyle w:val="6"/>
              <w:spacing w:before="89" w:line="221" w:lineRule="auto"/>
              <w:ind w:left="41"/>
              <w:rPr>
                <w:sz w:val="18"/>
                <w:szCs w:val="18"/>
              </w:rPr>
            </w:pPr>
            <w:r>
              <w:rPr>
                <w:spacing w:val="-1"/>
                <w:sz w:val="18"/>
                <w:szCs w:val="18"/>
              </w:rPr>
              <w:t>0.0003L</w:t>
            </w:r>
          </w:p>
        </w:tc>
        <w:tc>
          <w:tcPr>
            <w:tcW w:w="605" w:type="dxa"/>
            <w:vAlign w:val="top"/>
          </w:tcPr>
          <w:p w14:paraId="598AF99B">
            <w:pPr>
              <w:pStyle w:val="6"/>
              <w:spacing w:before="89" w:line="221" w:lineRule="auto"/>
              <w:ind w:left="87"/>
              <w:rPr>
                <w:sz w:val="18"/>
                <w:szCs w:val="18"/>
              </w:rPr>
            </w:pPr>
            <w:r>
              <w:rPr>
                <w:spacing w:val="-2"/>
                <w:sz w:val="18"/>
                <w:szCs w:val="18"/>
              </w:rPr>
              <w:t>0.05L</w:t>
            </w:r>
          </w:p>
        </w:tc>
        <w:tc>
          <w:tcPr>
            <w:tcW w:w="582" w:type="dxa"/>
            <w:vAlign w:val="top"/>
          </w:tcPr>
          <w:p w14:paraId="54FD57F6">
            <w:pPr>
              <w:pStyle w:val="6"/>
              <w:spacing w:before="89" w:line="221" w:lineRule="auto"/>
              <w:ind w:left="132"/>
              <w:rPr>
                <w:sz w:val="18"/>
                <w:szCs w:val="18"/>
              </w:rPr>
            </w:pPr>
            <w:r>
              <w:rPr>
                <w:spacing w:val="-2"/>
                <w:sz w:val="18"/>
                <w:szCs w:val="18"/>
              </w:rPr>
              <w:t>0.02</w:t>
            </w:r>
          </w:p>
        </w:tc>
        <w:tc>
          <w:tcPr>
            <w:tcW w:w="583" w:type="dxa"/>
            <w:vAlign w:val="top"/>
          </w:tcPr>
          <w:p w14:paraId="5DBCB533">
            <w:pPr>
              <w:pStyle w:val="6"/>
              <w:spacing w:before="89" w:line="221" w:lineRule="auto"/>
              <w:ind w:left="133"/>
              <w:rPr>
                <w:sz w:val="18"/>
                <w:szCs w:val="18"/>
              </w:rPr>
            </w:pPr>
            <w:r>
              <w:rPr>
                <w:spacing w:val="-2"/>
                <w:sz w:val="18"/>
                <w:szCs w:val="18"/>
              </w:rPr>
              <w:t>0.30</w:t>
            </w:r>
          </w:p>
        </w:tc>
        <w:tc>
          <w:tcPr>
            <w:tcW w:w="582" w:type="dxa"/>
            <w:vAlign w:val="top"/>
          </w:tcPr>
          <w:p w14:paraId="674ABF6C">
            <w:pPr>
              <w:pStyle w:val="6"/>
              <w:spacing w:before="89" w:line="221" w:lineRule="auto"/>
              <w:ind w:left="33"/>
              <w:rPr>
                <w:sz w:val="18"/>
                <w:szCs w:val="18"/>
              </w:rPr>
            </w:pPr>
            <w:r>
              <w:rPr>
                <w:spacing w:val="-2"/>
                <w:sz w:val="18"/>
                <w:szCs w:val="18"/>
              </w:rPr>
              <w:t>0.003L</w:t>
            </w:r>
          </w:p>
        </w:tc>
        <w:tc>
          <w:tcPr>
            <w:tcW w:w="582" w:type="dxa"/>
            <w:vAlign w:val="top"/>
          </w:tcPr>
          <w:p w14:paraId="72A217AA">
            <w:pPr>
              <w:pStyle w:val="6"/>
              <w:spacing w:before="89" w:line="221" w:lineRule="auto"/>
              <w:ind w:left="90"/>
              <w:rPr>
                <w:sz w:val="18"/>
                <w:szCs w:val="18"/>
              </w:rPr>
            </w:pPr>
            <w:r>
              <w:rPr>
                <w:spacing w:val="-2"/>
                <w:sz w:val="18"/>
                <w:szCs w:val="18"/>
              </w:rPr>
              <w:t>0.068</w:t>
            </w:r>
          </w:p>
        </w:tc>
        <w:tc>
          <w:tcPr>
            <w:tcW w:w="582" w:type="dxa"/>
            <w:vAlign w:val="top"/>
          </w:tcPr>
          <w:p w14:paraId="2FF22AD5">
            <w:pPr>
              <w:pStyle w:val="6"/>
              <w:spacing w:before="89" w:line="221" w:lineRule="auto"/>
              <w:ind w:left="80"/>
              <w:rPr>
                <w:sz w:val="18"/>
                <w:szCs w:val="18"/>
              </w:rPr>
            </w:pPr>
            <w:r>
              <w:rPr>
                <w:spacing w:val="-2"/>
                <w:sz w:val="18"/>
                <w:szCs w:val="18"/>
              </w:rPr>
              <w:t>0.05L</w:t>
            </w:r>
          </w:p>
        </w:tc>
        <w:tc>
          <w:tcPr>
            <w:tcW w:w="581" w:type="dxa"/>
            <w:vAlign w:val="top"/>
          </w:tcPr>
          <w:p w14:paraId="32F2CCC5">
            <w:pPr>
              <w:pStyle w:val="6"/>
              <w:spacing w:before="89" w:line="221" w:lineRule="auto"/>
              <w:ind w:left="37"/>
              <w:rPr>
                <w:sz w:val="18"/>
                <w:szCs w:val="18"/>
              </w:rPr>
            </w:pPr>
            <w:r>
              <w:rPr>
                <w:spacing w:val="-2"/>
                <w:sz w:val="18"/>
                <w:szCs w:val="18"/>
              </w:rPr>
              <w:t>0.004L</w:t>
            </w:r>
          </w:p>
        </w:tc>
        <w:tc>
          <w:tcPr>
            <w:tcW w:w="851" w:type="dxa"/>
            <w:vAlign w:val="top"/>
          </w:tcPr>
          <w:p w14:paraId="160A392B">
            <w:pPr>
              <w:pStyle w:val="6"/>
              <w:spacing w:before="89" w:line="221" w:lineRule="auto"/>
              <w:ind w:left="139"/>
              <w:rPr>
                <w:sz w:val="18"/>
                <w:szCs w:val="18"/>
              </w:rPr>
            </w:pPr>
            <w:r>
              <w:rPr>
                <w:spacing w:val="-1"/>
                <w:sz w:val="18"/>
                <w:szCs w:val="18"/>
              </w:rPr>
              <w:t>0.00012</w:t>
            </w:r>
          </w:p>
        </w:tc>
        <w:tc>
          <w:tcPr>
            <w:tcW w:w="644" w:type="dxa"/>
            <w:vAlign w:val="top"/>
          </w:tcPr>
          <w:p w14:paraId="0E9EFB12">
            <w:pPr>
              <w:pStyle w:val="6"/>
              <w:spacing w:before="89" w:line="221" w:lineRule="auto"/>
              <w:ind w:left="26"/>
              <w:rPr>
                <w:sz w:val="18"/>
                <w:szCs w:val="18"/>
              </w:rPr>
            </w:pPr>
            <w:r>
              <w:rPr>
                <w:spacing w:val="-1"/>
                <w:sz w:val="18"/>
                <w:szCs w:val="18"/>
              </w:rPr>
              <w:t>0.0002L</w:t>
            </w:r>
          </w:p>
        </w:tc>
        <w:tc>
          <w:tcPr>
            <w:tcW w:w="639" w:type="dxa"/>
            <w:vAlign w:val="top"/>
          </w:tcPr>
          <w:p w14:paraId="578125A6">
            <w:pPr>
              <w:pStyle w:val="6"/>
              <w:spacing w:before="89" w:line="221" w:lineRule="auto"/>
              <w:ind w:left="78"/>
              <w:rPr>
                <w:sz w:val="18"/>
                <w:szCs w:val="18"/>
              </w:rPr>
            </w:pPr>
            <w:r>
              <w:rPr>
                <w:spacing w:val="-2"/>
                <w:sz w:val="18"/>
                <w:szCs w:val="18"/>
              </w:rPr>
              <w:t>0.0012</w:t>
            </w:r>
          </w:p>
        </w:tc>
        <w:tc>
          <w:tcPr>
            <w:tcW w:w="640" w:type="dxa"/>
            <w:vAlign w:val="top"/>
          </w:tcPr>
          <w:p w14:paraId="5F237AA3">
            <w:pPr>
              <w:pStyle w:val="6"/>
              <w:spacing w:before="89" w:line="221" w:lineRule="auto"/>
              <w:ind w:left="70"/>
              <w:rPr>
                <w:sz w:val="18"/>
                <w:szCs w:val="18"/>
              </w:rPr>
            </w:pPr>
            <w:r>
              <w:rPr>
                <w:spacing w:val="-2"/>
                <w:sz w:val="18"/>
                <w:szCs w:val="18"/>
              </w:rPr>
              <w:t>0.001L</w:t>
            </w:r>
          </w:p>
        </w:tc>
        <w:tc>
          <w:tcPr>
            <w:tcW w:w="639" w:type="dxa"/>
            <w:vAlign w:val="top"/>
          </w:tcPr>
          <w:p w14:paraId="7934397E">
            <w:pPr>
              <w:pStyle w:val="6"/>
              <w:spacing w:before="89" w:line="221" w:lineRule="auto"/>
              <w:ind w:left="125"/>
              <w:rPr>
                <w:sz w:val="18"/>
                <w:szCs w:val="18"/>
              </w:rPr>
            </w:pPr>
            <w:r>
              <w:rPr>
                <w:spacing w:val="-2"/>
                <w:sz w:val="18"/>
                <w:szCs w:val="18"/>
              </w:rPr>
              <w:t>0.005</w:t>
            </w:r>
          </w:p>
        </w:tc>
        <w:tc>
          <w:tcPr>
            <w:tcW w:w="639" w:type="dxa"/>
            <w:vAlign w:val="top"/>
          </w:tcPr>
          <w:p w14:paraId="1568DB51">
            <w:pPr>
              <w:pStyle w:val="6"/>
              <w:spacing w:before="89" w:line="221" w:lineRule="auto"/>
              <w:ind w:left="114"/>
              <w:rPr>
                <w:sz w:val="18"/>
                <w:szCs w:val="18"/>
              </w:rPr>
            </w:pPr>
            <w:r>
              <w:rPr>
                <w:spacing w:val="-2"/>
                <w:sz w:val="18"/>
                <w:szCs w:val="18"/>
              </w:rPr>
              <w:t>0.01L</w:t>
            </w:r>
          </w:p>
        </w:tc>
        <w:tc>
          <w:tcPr>
            <w:tcW w:w="640" w:type="dxa"/>
            <w:vAlign w:val="top"/>
          </w:tcPr>
          <w:p w14:paraId="02C76A29">
            <w:pPr>
              <w:pStyle w:val="6"/>
              <w:spacing w:before="89" w:line="221" w:lineRule="auto"/>
              <w:ind w:left="127"/>
              <w:rPr>
                <w:sz w:val="18"/>
                <w:szCs w:val="18"/>
              </w:rPr>
            </w:pPr>
            <w:r>
              <w:rPr>
                <w:spacing w:val="-2"/>
                <w:sz w:val="18"/>
                <w:szCs w:val="18"/>
              </w:rPr>
              <w:t>0.011</w:t>
            </w:r>
          </w:p>
        </w:tc>
        <w:tc>
          <w:tcPr>
            <w:tcW w:w="827" w:type="dxa"/>
            <w:vAlign w:val="top"/>
          </w:tcPr>
          <w:p w14:paraId="00D69670">
            <w:pPr>
              <w:pStyle w:val="6"/>
              <w:spacing w:before="89" w:line="221" w:lineRule="auto"/>
              <w:ind w:left="391"/>
              <w:rPr>
                <w:sz w:val="18"/>
                <w:szCs w:val="18"/>
              </w:rPr>
            </w:pPr>
            <w:r>
              <w:rPr>
                <w:sz w:val="18"/>
                <w:szCs w:val="18"/>
              </w:rPr>
              <w:t>/</w:t>
            </w:r>
          </w:p>
        </w:tc>
        <w:tc>
          <w:tcPr>
            <w:tcW w:w="457" w:type="dxa"/>
            <w:vAlign w:val="top"/>
          </w:tcPr>
          <w:p w14:paraId="45B1F4AE">
            <w:pPr>
              <w:pStyle w:val="6"/>
              <w:spacing w:before="89" w:line="221" w:lineRule="auto"/>
              <w:ind w:left="149"/>
              <w:rPr>
                <w:sz w:val="18"/>
                <w:szCs w:val="18"/>
              </w:rPr>
            </w:pPr>
            <w:r>
              <w:rPr>
                <w:spacing w:val="-2"/>
                <w:sz w:val="18"/>
                <w:szCs w:val="18"/>
              </w:rPr>
              <w:t>96</w:t>
            </w:r>
          </w:p>
        </w:tc>
        <w:tc>
          <w:tcPr>
            <w:tcW w:w="533" w:type="dxa"/>
            <w:vAlign w:val="top"/>
          </w:tcPr>
          <w:p w14:paraId="52F77600">
            <w:pPr>
              <w:pStyle w:val="6"/>
              <w:spacing w:before="89" w:line="221" w:lineRule="auto"/>
              <w:ind w:left="179"/>
              <w:rPr>
                <w:sz w:val="18"/>
                <w:szCs w:val="18"/>
              </w:rPr>
            </w:pPr>
            <w:r>
              <w:rPr>
                <w:spacing w:val="-7"/>
                <w:sz w:val="18"/>
                <w:szCs w:val="18"/>
              </w:rPr>
              <w:t>1.1</w:t>
            </w:r>
          </w:p>
        </w:tc>
        <w:tc>
          <w:tcPr>
            <w:tcW w:w="533" w:type="dxa"/>
            <w:vAlign w:val="top"/>
          </w:tcPr>
          <w:p w14:paraId="343489A2">
            <w:pPr>
              <w:pStyle w:val="6"/>
              <w:spacing w:before="89" w:line="221" w:lineRule="auto"/>
              <w:ind w:left="135"/>
              <w:rPr>
                <w:sz w:val="18"/>
                <w:szCs w:val="18"/>
              </w:rPr>
            </w:pPr>
            <w:r>
              <w:rPr>
                <w:spacing w:val="-6"/>
                <w:sz w:val="18"/>
                <w:szCs w:val="18"/>
              </w:rPr>
              <w:t>1.16</w:t>
            </w:r>
          </w:p>
        </w:tc>
        <w:tc>
          <w:tcPr>
            <w:tcW w:w="533" w:type="dxa"/>
            <w:vAlign w:val="top"/>
          </w:tcPr>
          <w:p w14:paraId="3556D059">
            <w:pPr>
              <w:pStyle w:val="6"/>
              <w:spacing w:before="89" w:line="221" w:lineRule="auto"/>
              <w:ind w:left="119"/>
              <w:rPr>
                <w:sz w:val="18"/>
                <w:szCs w:val="18"/>
              </w:rPr>
            </w:pPr>
            <w:r>
              <w:rPr>
                <w:spacing w:val="-1"/>
                <w:sz w:val="18"/>
                <w:szCs w:val="18"/>
              </w:rPr>
              <w:t>2.56</w:t>
            </w:r>
          </w:p>
        </w:tc>
        <w:tc>
          <w:tcPr>
            <w:tcW w:w="533" w:type="dxa"/>
            <w:vAlign w:val="top"/>
          </w:tcPr>
          <w:p w14:paraId="7CDFB61D">
            <w:pPr>
              <w:pStyle w:val="6"/>
              <w:spacing w:before="89" w:line="221" w:lineRule="auto"/>
              <w:ind w:left="124"/>
              <w:rPr>
                <w:sz w:val="18"/>
                <w:szCs w:val="18"/>
              </w:rPr>
            </w:pPr>
            <w:r>
              <w:rPr>
                <w:spacing w:val="-2"/>
                <w:sz w:val="18"/>
                <w:szCs w:val="18"/>
              </w:rPr>
              <w:t>35.1</w:t>
            </w:r>
          </w:p>
        </w:tc>
        <w:tc>
          <w:tcPr>
            <w:tcW w:w="524" w:type="dxa"/>
            <w:tcBorders>
              <w:right w:val="single" w:color="000000" w:sz="12" w:space="0"/>
            </w:tcBorders>
            <w:vAlign w:val="top"/>
          </w:tcPr>
          <w:p w14:paraId="5295F160">
            <w:pPr>
              <w:pStyle w:val="6"/>
              <w:spacing w:before="89" w:line="221" w:lineRule="auto"/>
              <w:ind w:left="123"/>
              <w:rPr>
                <w:sz w:val="18"/>
                <w:szCs w:val="18"/>
              </w:rPr>
            </w:pPr>
            <w:r>
              <w:rPr>
                <w:spacing w:val="-6"/>
                <w:sz w:val="18"/>
                <w:szCs w:val="18"/>
              </w:rPr>
              <w:t>17.3</w:t>
            </w:r>
          </w:p>
        </w:tc>
      </w:tr>
      <w:tr w14:paraId="36ED8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45EA7254">
            <w:pPr>
              <w:rPr>
                <w:rFonts w:ascii="Arial"/>
                <w:sz w:val="21"/>
              </w:rPr>
            </w:pPr>
          </w:p>
        </w:tc>
        <w:tc>
          <w:tcPr>
            <w:tcW w:w="245" w:type="dxa"/>
            <w:vMerge w:val="restart"/>
            <w:tcBorders>
              <w:bottom w:val="nil"/>
            </w:tcBorders>
            <w:vAlign w:val="top"/>
          </w:tcPr>
          <w:p w14:paraId="47FC17B5">
            <w:pPr>
              <w:pStyle w:val="6"/>
              <w:spacing w:before="149" w:line="226" w:lineRule="auto"/>
              <w:ind w:left="61"/>
              <w:rPr>
                <w:sz w:val="18"/>
                <w:szCs w:val="18"/>
              </w:rPr>
            </w:pPr>
            <w:r>
              <w:rPr>
                <w:sz w:val="18"/>
                <w:szCs w:val="18"/>
              </w:rPr>
              <w:t>2</w:t>
            </w:r>
          </w:p>
          <w:p w14:paraId="320D7113">
            <w:pPr>
              <w:spacing w:line="226" w:lineRule="auto"/>
              <w:ind w:left="19"/>
              <w:rPr>
                <w:rFonts w:ascii="等线" w:hAnsi="等线" w:eastAsia="等线" w:cs="等线"/>
                <w:sz w:val="18"/>
                <w:szCs w:val="18"/>
              </w:rPr>
            </w:pPr>
            <w:r>
              <w:rPr>
                <w:rFonts w:ascii="等线" w:hAnsi="等线" w:eastAsia="等线" w:cs="等线"/>
                <w:sz w:val="18"/>
                <w:szCs w:val="18"/>
              </w:rPr>
              <w:t>季</w:t>
            </w:r>
          </w:p>
          <w:p w14:paraId="60A2778C">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0FCD77BF">
            <w:pPr>
              <w:pStyle w:val="6"/>
              <w:spacing w:before="90" w:line="222" w:lineRule="auto"/>
              <w:ind w:left="83"/>
              <w:rPr>
                <w:sz w:val="18"/>
                <w:szCs w:val="18"/>
              </w:rPr>
            </w:pPr>
            <w:r>
              <w:rPr>
                <w:spacing w:val="-1"/>
                <w:sz w:val="18"/>
                <w:szCs w:val="18"/>
              </w:rPr>
              <w:t>2019/5/10</w:t>
            </w:r>
          </w:p>
        </w:tc>
        <w:tc>
          <w:tcPr>
            <w:tcW w:w="606" w:type="dxa"/>
            <w:vAlign w:val="top"/>
          </w:tcPr>
          <w:p w14:paraId="42D2408C">
            <w:pPr>
              <w:pStyle w:val="6"/>
              <w:spacing w:before="90" w:line="222" w:lineRule="auto"/>
              <w:ind w:left="133"/>
              <w:rPr>
                <w:sz w:val="18"/>
                <w:szCs w:val="18"/>
              </w:rPr>
            </w:pPr>
            <w:r>
              <w:rPr>
                <w:spacing w:val="-2"/>
                <w:sz w:val="18"/>
                <w:szCs w:val="18"/>
              </w:rPr>
              <w:t>6.54</w:t>
            </w:r>
          </w:p>
        </w:tc>
        <w:tc>
          <w:tcPr>
            <w:tcW w:w="606" w:type="dxa"/>
            <w:vAlign w:val="top"/>
          </w:tcPr>
          <w:p w14:paraId="582BED16">
            <w:pPr>
              <w:pStyle w:val="6"/>
              <w:spacing w:before="90" w:line="222" w:lineRule="auto"/>
              <w:ind w:left="205"/>
              <w:rPr>
                <w:sz w:val="18"/>
                <w:szCs w:val="18"/>
              </w:rPr>
            </w:pPr>
            <w:r>
              <w:rPr>
                <w:spacing w:val="-3"/>
                <w:sz w:val="18"/>
                <w:szCs w:val="18"/>
              </w:rPr>
              <w:t>86</w:t>
            </w:r>
          </w:p>
        </w:tc>
        <w:tc>
          <w:tcPr>
            <w:tcW w:w="606" w:type="dxa"/>
            <w:vAlign w:val="top"/>
          </w:tcPr>
          <w:p w14:paraId="6F49770A">
            <w:pPr>
              <w:pStyle w:val="6"/>
              <w:spacing w:before="90" w:line="222" w:lineRule="auto"/>
              <w:ind w:left="172"/>
              <w:rPr>
                <w:sz w:val="18"/>
                <w:szCs w:val="18"/>
              </w:rPr>
            </w:pPr>
            <w:r>
              <w:rPr>
                <w:spacing w:val="-5"/>
                <w:sz w:val="18"/>
                <w:szCs w:val="18"/>
              </w:rPr>
              <w:t>100</w:t>
            </w:r>
          </w:p>
        </w:tc>
        <w:tc>
          <w:tcPr>
            <w:tcW w:w="606" w:type="dxa"/>
            <w:vAlign w:val="top"/>
          </w:tcPr>
          <w:p w14:paraId="5FC15693">
            <w:pPr>
              <w:pStyle w:val="6"/>
              <w:spacing w:before="93" w:line="186" w:lineRule="auto"/>
              <w:ind w:left="196"/>
              <w:rPr>
                <w:sz w:val="18"/>
                <w:szCs w:val="18"/>
              </w:rPr>
            </w:pPr>
            <w:r>
              <w:rPr>
                <w:spacing w:val="-3"/>
                <w:sz w:val="18"/>
                <w:szCs w:val="18"/>
              </w:rPr>
              <w:t>8L</w:t>
            </w:r>
          </w:p>
        </w:tc>
        <w:tc>
          <w:tcPr>
            <w:tcW w:w="606" w:type="dxa"/>
            <w:vAlign w:val="top"/>
          </w:tcPr>
          <w:p w14:paraId="1EE4AA0D">
            <w:pPr>
              <w:pStyle w:val="6"/>
              <w:spacing w:before="93" w:line="186" w:lineRule="auto"/>
              <w:ind w:left="162"/>
              <w:rPr>
                <w:sz w:val="18"/>
                <w:szCs w:val="18"/>
              </w:rPr>
            </w:pPr>
            <w:r>
              <w:rPr>
                <w:spacing w:val="-5"/>
                <w:sz w:val="18"/>
                <w:szCs w:val="18"/>
              </w:rPr>
              <w:t>10L</w:t>
            </w:r>
          </w:p>
        </w:tc>
        <w:tc>
          <w:tcPr>
            <w:tcW w:w="606" w:type="dxa"/>
            <w:vAlign w:val="top"/>
          </w:tcPr>
          <w:p w14:paraId="5488EAD3">
            <w:pPr>
              <w:pStyle w:val="6"/>
              <w:spacing w:before="90" w:line="222" w:lineRule="auto"/>
              <w:ind w:left="137"/>
              <w:rPr>
                <w:sz w:val="18"/>
                <w:szCs w:val="18"/>
              </w:rPr>
            </w:pPr>
            <w:r>
              <w:rPr>
                <w:spacing w:val="-2"/>
                <w:sz w:val="18"/>
                <w:szCs w:val="18"/>
              </w:rPr>
              <w:t>0.07</w:t>
            </w:r>
          </w:p>
        </w:tc>
        <w:tc>
          <w:tcPr>
            <w:tcW w:w="605" w:type="dxa"/>
            <w:vAlign w:val="top"/>
          </w:tcPr>
          <w:p w14:paraId="7C60CA34">
            <w:pPr>
              <w:pStyle w:val="6"/>
              <w:spacing w:before="90" w:line="222" w:lineRule="auto"/>
              <w:ind w:left="83"/>
              <w:rPr>
                <w:sz w:val="18"/>
                <w:szCs w:val="18"/>
              </w:rPr>
            </w:pPr>
            <w:r>
              <w:rPr>
                <w:spacing w:val="-2"/>
                <w:sz w:val="18"/>
                <w:szCs w:val="18"/>
              </w:rPr>
              <w:t>0.02L</w:t>
            </w:r>
          </w:p>
        </w:tc>
        <w:tc>
          <w:tcPr>
            <w:tcW w:w="563" w:type="dxa"/>
            <w:vAlign w:val="top"/>
          </w:tcPr>
          <w:p w14:paraId="214516AE">
            <w:pPr>
              <w:pStyle w:val="6"/>
              <w:spacing w:before="90" w:line="222" w:lineRule="auto"/>
              <w:ind w:left="63"/>
              <w:rPr>
                <w:sz w:val="18"/>
                <w:szCs w:val="18"/>
              </w:rPr>
            </w:pPr>
            <w:r>
              <w:rPr>
                <w:spacing w:val="-2"/>
                <w:sz w:val="18"/>
                <w:szCs w:val="18"/>
              </w:rPr>
              <w:t>0.01L</w:t>
            </w:r>
          </w:p>
        </w:tc>
        <w:tc>
          <w:tcPr>
            <w:tcW w:w="562" w:type="dxa"/>
            <w:vAlign w:val="top"/>
          </w:tcPr>
          <w:p w14:paraId="0661F18E">
            <w:pPr>
              <w:pStyle w:val="6"/>
              <w:spacing w:before="90" w:line="222" w:lineRule="auto"/>
              <w:ind w:left="74"/>
              <w:rPr>
                <w:sz w:val="18"/>
                <w:szCs w:val="18"/>
              </w:rPr>
            </w:pPr>
            <w:r>
              <w:rPr>
                <w:spacing w:val="-2"/>
                <w:sz w:val="18"/>
                <w:szCs w:val="18"/>
              </w:rPr>
              <w:t>0.016</w:t>
            </w:r>
          </w:p>
        </w:tc>
        <w:tc>
          <w:tcPr>
            <w:tcW w:w="696" w:type="dxa"/>
            <w:vAlign w:val="top"/>
          </w:tcPr>
          <w:p w14:paraId="38698C70">
            <w:pPr>
              <w:pStyle w:val="6"/>
              <w:spacing w:before="90" w:line="222" w:lineRule="auto"/>
              <w:ind w:left="41"/>
              <w:rPr>
                <w:sz w:val="18"/>
                <w:szCs w:val="18"/>
              </w:rPr>
            </w:pPr>
            <w:r>
              <w:rPr>
                <w:spacing w:val="-1"/>
                <w:sz w:val="18"/>
                <w:szCs w:val="18"/>
              </w:rPr>
              <w:t>0.0003L</w:t>
            </w:r>
          </w:p>
        </w:tc>
        <w:tc>
          <w:tcPr>
            <w:tcW w:w="605" w:type="dxa"/>
            <w:vAlign w:val="top"/>
          </w:tcPr>
          <w:p w14:paraId="51454211">
            <w:pPr>
              <w:pStyle w:val="6"/>
              <w:spacing w:before="90" w:line="222" w:lineRule="auto"/>
              <w:ind w:left="142"/>
              <w:rPr>
                <w:sz w:val="18"/>
                <w:szCs w:val="18"/>
              </w:rPr>
            </w:pPr>
            <w:r>
              <w:rPr>
                <w:spacing w:val="-2"/>
                <w:sz w:val="18"/>
                <w:szCs w:val="18"/>
              </w:rPr>
              <w:t>0.08</w:t>
            </w:r>
          </w:p>
        </w:tc>
        <w:tc>
          <w:tcPr>
            <w:tcW w:w="582" w:type="dxa"/>
            <w:vAlign w:val="top"/>
          </w:tcPr>
          <w:p w14:paraId="41448431">
            <w:pPr>
              <w:pStyle w:val="6"/>
              <w:spacing w:before="90" w:line="222" w:lineRule="auto"/>
              <w:ind w:left="132"/>
              <w:rPr>
                <w:sz w:val="18"/>
                <w:szCs w:val="18"/>
              </w:rPr>
            </w:pPr>
            <w:r>
              <w:rPr>
                <w:spacing w:val="-2"/>
                <w:sz w:val="18"/>
                <w:szCs w:val="18"/>
              </w:rPr>
              <w:t>0.22</w:t>
            </w:r>
          </w:p>
        </w:tc>
        <w:tc>
          <w:tcPr>
            <w:tcW w:w="583" w:type="dxa"/>
            <w:vAlign w:val="top"/>
          </w:tcPr>
          <w:p w14:paraId="44BABBFE">
            <w:pPr>
              <w:pStyle w:val="6"/>
              <w:spacing w:before="90" w:line="222" w:lineRule="auto"/>
              <w:ind w:left="133"/>
              <w:rPr>
                <w:sz w:val="18"/>
                <w:szCs w:val="18"/>
              </w:rPr>
            </w:pPr>
            <w:r>
              <w:rPr>
                <w:spacing w:val="-2"/>
                <w:sz w:val="18"/>
                <w:szCs w:val="18"/>
              </w:rPr>
              <w:t>0.88</w:t>
            </w:r>
          </w:p>
        </w:tc>
        <w:tc>
          <w:tcPr>
            <w:tcW w:w="582" w:type="dxa"/>
            <w:vAlign w:val="top"/>
          </w:tcPr>
          <w:p w14:paraId="52B2FA0B">
            <w:pPr>
              <w:pStyle w:val="6"/>
              <w:spacing w:before="90" w:line="222" w:lineRule="auto"/>
              <w:ind w:left="33"/>
              <w:rPr>
                <w:sz w:val="18"/>
                <w:szCs w:val="18"/>
              </w:rPr>
            </w:pPr>
            <w:r>
              <w:rPr>
                <w:spacing w:val="-2"/>
                <w:sz w:val="18"/>
                <w:szCs w:val="18"/>
              </w:rPr>
              <w:t>0.003L</w:t>
            </w:r>
          </w:p>
        </w:tc>
        <w:tc>
          <w:tcPr>
            <w:tcW w:w="582" w:type="dxa"/>
            <w:vAlign w:val="top"/>
          </w:tcPr>
          <w:p w14:paraId="0512C6B8">
            <w:pPr>
              <w:pStyle w:val="6"/>
              <w:spacing w:before="90" w:line="222" w:lineRule="auto"/>
              <w:ind w:left="90"/>
              <w:rPr>
                <w:sz w:val="18"/>
                <w:szCs w:val="18"/>
              </w:rPr>
            </w:pPr>
            <w:r>
              <w:rPr>
                <w:spacing w:val="-2"/>
                <w:sz w:val="18"/>
                <w:szCs w:val="18"/>
              </w:rPr>
              <w:t>0.050</w:t>
            </w:r>
          </w:p>
        </w:tc>
        <w:tc>
          <w:tcPr>
            <w:tcW w:w="582" w:type="dxa"/>
            <w:vAlign w:val="top"/>
          </w:tcPr>
          <w:p w14:paraId="66B07BA3">
            <w:pPr>
              <w:pStyle w:val="6"/>
              <w:spacing w:before="90" w:line="222" w:lineRule="auto"/>
              <w:ind w:left="135"/>
              <w:rPr>
                <w:sz w:val="18"/>
                <w:szCs w:val="18"/>
              </w:rPr>
            </w:pPr>
            <w:r>
              <w:rPr>
                <w:spacing w:val="-2"/>
                <w:sz w:val="18"/>
                <w:szCs w:val="18"/>
              </w:rPr>
              <w:t>0.16</w:t>
            </w:r>
          </w:p>
        </w:tc>
        <w:tc>
          <w:tcPr>
            <w:tcW w:w="581" w:type="dxa"/>
            <w:vAlign w:val="top"/>
          </w:tcPr>
          <w:p w14:paraId="17AB9099">
            <w:pPr>
              <w:pStyle w:val="6"/>
              <w:spacing w:before="90" w:line="222" w:lineRule="auto"/>
              <w:ind w:left="37"/>
              <w:rPr>
                <w:sz w:val="18"/>
                <w:szCs w:val="18"/>
              </w:rPr>
            </w:pPr>
            <w:r>
              <w:rPr>
                <w:spacing w:val="-2"/>
                <w:sz w:val="18"/>
                <w:szCs w:val="18"/>
              </w:rPr>
              <w:t>0.004L</w:t>
            </w:r>
          </w:p>
        </w:tc>
        <w:tc>
          <w:tcPr>
            <w:tcW w:w="851" w:type="dxa"/>
            <w:vAlign w:val="top"/>
          </w:tcPr>
          <w:p w14:paraId="356271EF">
            <w:pPr>
              <w:pStyle w:val="6"/>
              <w:spacing w:before="90" w:line="222" w:lineRule="auto"/>
              <w:ind w:left="139"/>
              <w:rPr>
                <w:sz w:val="18"/>
                <w:szCs w:val="18"/>
              </w:rPr>
            </w:pPr>
            <w:r>
              <w:rPr>
                <w:spacing w:val="-1"/>
                <w:sz w:val="18"/>
                <w:szCs w:val="18"/>
              </w:rPr>
              <w:t>0.00021</w:t>
            </w:r>
          </w:p>
        </w:tc>
        <w:tc>
          <w:tcPr>
            <w:tcW w:w="644" w:type="dxa"/>
            <w:vAlign w:val="top"/>
          </w:tcPr>
          <w:p w14:paraId="13844D6E">
            <w:pPr>
              <w:pStyle w:val="6"/>
              <w:spacing w:before="90" w:line="222" w:lineRule="auto"/>
              <w:ind w:left="81"/>
              <w:rPr>
                <w:sz w:val="18"/>
                <w:szCs w:val="18"/>
              </w:rPr>
            </w:pPr>
            <w:r>
              <w:rPr>
                <w:spacing w:val="-2"/>
                <w:sz w:val="18"/>
                <w:szCs w:val="18"/>
              </w:rPr>
              <w:t>0.0026</w:t>
            </w:r>
          </w:p>
        </w:tc>
        <w:tc>
          <w:tcPr>
            <w:tcW w:w="639" w:type="dxa"/>
            <w:vAlign w:val="top"/>
          </w:tcPr>
          <w:p w14:paraId="36AC4364">
            <w:pPr>
              <w:pStyle w:val="6"/>
              <w:spacing w:before="90" w:line="222" w:lineRule="auto"/>
              <w:ind w:left="78"/>
              <w:rPr>
                <w:sz w:val="18"/>
                <w:szCs w:val="18"/>
              </w:rPr>
            </w:pPr>
            <w:r>
              <w:rPr>
                <w:spacing w:val="-2"/>
                <w:sz w:val="18"/>
                <w:szCs w:val="18"/>
              </w:rPr>
              <w:t>0.0006</w:t>
            </w:r>
          </w:p>
        </w:tc>
        <w:tc>
          <w:tcPr>
            <w:tcW w:w="640" w:type="dxa"/>
            <w:vAlign w:val="top"/>
          </w:tcPr>
          <w:p w14:paraId="4F07B75D">
            <w:pPr>
              <w:pStyle w:val="6"/>
              <w:spacing w:before="90" w:line="222" w:lineRule="auto"/>
              <w:ind w:left="70"/>
              <w:rPr>
                <w:sz w:val="18"/>
                <w:szCs w:val="18"/>
              </w:rPr>
            </w:pPr>
            <w:r>
              <w:rPr>
                <w:spacing w:val="-2"/>
                <w:sz w:val="18"/>
                <w:szCs w:val="18"/>
              </w:rPr>
              <w:t>0.001L</w:t>
            </w:r>
          </w:p>
        </w:tc>
        <w:tc>
          <w:tcPr>
            <w:tcW w:w="639" w:type="dxa"/>
            <w:vAlign w:val="top"/>
          </w:tcPr>
          <w:p w14:paraId="1C6A1187">
            <w:pPr>
              <w:pStyle w:val="6"/>
              <w:spacing w:before="90" w:line="222" w:lineRule="auto"/>
              <w:ind w:left="69"/>
              <w:rPr>
                <w:sz w:val="18"/>
                <w:szCs w:val="18"/>
              </w:rPr>
            </w:pPr>
            <w:r>
              <w:rPr>
                <w:spacing w:val="-2"/>
                <w:sz w:val="18"/>
                <w:szCs w:val="18"/>
              </w:rPr>
              <w:t>0.004L</w:t>
            </w:r>
          </w:p>
        </w:tc>
        <w:tc>
          <w:tcPr>
            <w:tcW w:w="639" w:type="dxa"/>
            <w:vAlign w:val="top"/>
          </w:tcPr>
          <w:p w14:paraId="47C2DB7F">
            <w:pPr>
              <w:pStyle w:val="6"/>
              <w:spacing w:before="90" w:line="222" w:lineRule="auto"/>
              <w:ind w:left="114"/>
              <w:rPr>
                <w:sz w:val="18"/>
                <w:szCs w:val="18"/>
              </w:rPr>
            </w:pPr>
            <w:r>
              <w:rPr>
                <w:spacing w:val="-2"/>
                <w:sz w:val="18"/>
                <w:szCs w:val="18"/>
              </w:rPr>
              <w:t>0.01L</w:t>
            </w:r>
          </w:p>
        </w:tc>
        <w:tc>
          <w:tcPr>
            <w:tcW w:w="640" w:type="dxa"/>
            <w:vAlign w:val="top"/>
          </w:tcPr>
          <w:p w14:paraId="2B4C2DD9">
            <w:pPr>
              <w:pStyle w:val="6"/>
              <w:spacing w:before="90" w:line="222" w:lineRule="auto"/>
              <w:ind w:left="127"/>
              <w:rPr>
                <w:sz w:val="18"/>
                <w:szCs w:val="18"/>
              </w:rPr>
            </w:pPr>
            <w:r>
              <w:rPr>
                <w:spacing w:val="-2"/>
                <w:sz w:val="18"/>
                <w:szCs w:val="18"/>
              </w:rPr>
              <w:t>0.061</w:t>
            </w:r>
          </w:p>
        </w:tc>
        <w:tc>
          <w:tcPr>
            <w:tcW w:w="827" w:type="dxa"/>
            <w:vAlign w:val="top"/>
          </w:tcPr>
          <w:p w14:paraId="6410413C">
            <w:pPr>
              <w:pStyle w:val="6"/>
              <w:spacing w:before="90" w:line="222" w:lineRule="auto"/>
              <w:ind w:left="290"/>
              <w:rPr>
                <w:sz w:val="18"/>
                <w:szCs w:val="18"/>
              </w:rPr>
            </w:pPr>
            <w:r>
              <w:rPr>
                <w:spacing w:val="-2"/>
                <w:sz w:val="18"/>
                <w:szCs w:val="18"/>
              </w:rPr>
              <w:t>560</w:t>
            </w:r>
          </w:p>
        </w:tc>
        <w:tc>
          <w:tcPr>
            <w:tcW w:w="457" w:type="dxa"/>
            <w:vAlign w:val="top"/>
          </w:tcPr>
          <w:p w14:paraId="13CC1627">
            <w:pPr>
              <w:pStyle w:val="6"/>
              <w:spacing w:before="90" w:line="222" w:lineRule="auto"/>
              <w:ind w:left="117"/>
              <w:rPr>
                <w:sz w:val="18"/>
                <w:szCs w:val="18"/>
              </w:rPr>
            </w:pPr>
            <w:r>
              <w:rPr>
                <w:spacing w:val="-5"/>
                <w:sz w:val="18"/>
                <w:szCs w:val="18"/>
              </w:rPr>
              <w:t>138</w:t>
            </w:r>
          </w:p>
        </w:tc>
        <w:tc>
          <w:tcPr>
            <w:tcW w:w="533" w:type="dxa"/>
            <w:vAlign w:val="top"/>
          </w:tcPr>
          <w:p w14:paraId="5C5E385D">
            <w:pPr>
              <w:pStyle w:val="6"/>
              <w:spacing w:before="90" w:line="222" w:lineRule="auto"/>
              <w:ind w:left="164"/>
              <w:rPr>
                <w:sz w:val="18"/>
                <w:szCs w:val="18"/>
              </w:rPr>
            </w:pPr>
            <w:r>
              <w:rPr>
                <w:spacing w:val="-3"/>
                <w:sz w:val="18"/>
                <w:szCs w:val="18"/>
              </w:rPr>
              <w:t>0.5</w:t>
            </w:r>
          </w:p>
        </w:tc>
        <w:tc>
          <w:tcPr>
            <w:tcW w:w="533" w:type="dxa"/>
            <w:vAlign w:val="top"/>
          </w:tcPr>
          <w:p w14:paraId="30F3A973">
            <w:pPr>
              <w:pStyle w:val="6"/>
              <w:spacing w:before="90" w:line="222" w:lineRule="auto"/>
              <w:ind w:left="135"/>
              <w:rPr>
                <w:sz w:val="18"/>
                <w:szCs w:val="18"/>
              </w:rPr>
            </w:pPr>
            <w:r>
              <w:rPr>
                <w:spacing w:val="-6"/>
                <w:sz w:val="18"/>
                <w:szCs w:val="18"/>
              </w:rPr>
              <w:t>15.7</w:t>
            </w:r>
          </w:p>
        </w:tc>
        <w:tc>
          <w:tcPr>
            <w:tcW w:w="533" w:type="dxa"/>
            <w:vAlign w:val="top"/>
          </w:tcPr>
          <w:p w14:paraId="343DFE83">
            <w:pPr>
              <w:pStyle w:val="6"/>
              <w:spacing w:before="90" w:line="222" w:lineRule="auto"/>
              <w:ind w:left="136"/>
              <w:rPr>
                <w:sz w:val="18"/>
                <w:szCs w:val="18"/>
              </w:rPr>
            </w:pPr>
            <w:r>
              <w:rPr>
                <w:spacing w:val="-6"/>
                <w:sz w:val="18"/>
                <w:szCs w:val="18"/>
              </w:rPr>
              <w:t>1.09</w:t>
            </w:r>
          </w:p>
        </w:tc>
        <w:tc>
          <w:tcPr>
            <w:tcW w:w="533" w:type="dxa"/>
            <w:vAlign w:val="top"/>
          </w:tcPr>
          <w:p w14:paraId="142DFE12">
            <w:pPr>
              <w:pStyle w:val="6"/>
              <w:spacing w:before="90" w:line="222" w:lineRule="auto"/>
              <w:ind w:left="137"/>
              <w:rPr>
                <w:sz w:val="18"/>
                <w:szCs w:val="18"/>
              </w:rPr>
            </w:pPr>
            <w:r>
              <w:rPr>
                <w:spacing w:val="-6"/>
                <w:sz w:val="18"/>
                <w:szCs w:val="18"/>
              </w:rPr>
              <w:t>14.9</w:t>
            </w:r>
          </w:p>
        </w:tc>
        <w:tc>
          <w:tcPr>
            <w:tcW w:w="524" w:type="dxa"/>
            <w:tcBorders>
              <w:right w:val="single" w:color="000000" w:sz="12" w:space="0"/>
            </w:tcBorders>
            <w:vAlign w:val="top"/>
          </w:tcPr>
          <w:p w14:paraId="19A73E10">
            <w:pPr>
              <w:pStyle w:val="6"/>
              <w:spacing w:before="90" w:line="222" w:lineRule="auto"/>
              <w:ind w:left="109"/>
              <w:rPr>
                <w:sz w:val="18"/>
                <w:szCs w:val="18"/>
              </w:rPr>
            </w:pPr>
            <w:r>
              <w:rPr>
                <w:spacing w:val="-2"/>
                <w:sz w:val="18"/>
                <w:szCs w:val="18"/>
              </w:rPr>
              <w:t>6.36</w:t>
            </w:r>
          </w:p>
        </w:tc>
      </w:tr>
      <w:tr w14:paraId="0BC52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228798C4">
            <w:pPr>
              <w:rPr>
                <w:rFonts w:ascii="Arial"/>
                <w:sz w:val="21"/>
              </w:rPr>
            </w:pPr>
          </w:p>
        </w:tc>
        <w:tc>
          <w:tcPr>
            <w:tcW w:w="245" w:type="dxa"/>
            <w:vMerge w:val="continue"/>
            <w:tcBorders>
              <w:top w:val="nil"/>
              <w:bottom w:val="nil"/>
            </w:tcBorders>
            <w:vAlign w:val="top"/>
          </w:tcPr>
          <w:p w14:paraId="0BE6F953">
            <w:pPr>
              <w:rPr>
                <w:rFonts w:ascii="Arial"/>
                <w:sz w:val="21"/>
              </w:rPr>
            </w:pPr>
          </w:p>
        </w:tc>
        <w:tc>
          <w:tcPr>
            <w:tcW w:w="929" w:type="dxa"/>
            <w:vAlign w:val="top"/>
          </w:tcPr>
          <w:p w14:paraId="5EEA367A">
            <w:pPr>
              <w:pStyle w:val="6"/>
              <w:spacing w:before="91" w:line="221" w:lineRule="auto"/>
              <w:ind w:left="83"/>
              <w:rPr>
                <w:sz w:val="18"/>
                <w:szCs w:val="18"/>
              </w:rPr>
            </w:pPr>
            <w:r>
              <w:rPr>
                <w:spacing w:val="-1"/>
                <w:sz w:val="18"/>
                <w:szCs w:val="18"/>
              </w:rPr>
              <w:t>2019/5/11</w:t>
            </w:r>
          </w:p>
        </w:tc>
        <w:tc>
          <w:tcPr>
            <w:tcW w:w="606" w:type="dxa"/>
            <w:vAlign w:val="top"/>
          </w:tcPr>
          <w:p w14:paraId="2B20B1E2">
            <w:pPr>
              <w:pStyle w:val="6"/>
              <w:spacing w:before="91" w:line="221" w:lineRule="auto"/>
              <w:ind w:left="133"/>
              <w:rPr>
                <w:sz w:val="18"/>
                <w:szCs w:val="18"/>
              </w:rPr>
            </w:pPr>
            <w:r>
              <w:rPr>
                <w:spacing w:val="-2"/>
                <w:sz w:val="18"/>
                <w:szCs w:val="18"/>
              </w:rPr>
              <w:t>6.55</w:t>
            </w:r>
          </w:p>
        </w:tc>
        <w:tc>
          <w:tcPr>
            <w:tcW w:w="606" w:type="dxa"/>
            <w:vAlign w:val="top"/>
          </w:tcPr>
          <w:p w14:paraId="59700277">
            <w:pPr>
              <w:pStyle w:val="6"/>
              <w:spacing w:before="91" w:line="221" w:lineRule="auto"/>
              <w:ind w:left="205"/>
              <w:rPr>
                <w:sz w:val="18"/>
                <w:szCs w:val="18"/>
              </w:rPr>
            </w:pPr>
            <w:r>
              <w:rPr>
                <w:spacing w:val="-3"/>
                <w:sz w:val="18"/>
                <w:szCs w:val="18"/>
              </w:rPr>
              <w:t>82</w:t>
            </w:r>
          </w:p>
        </w:tc>
        <w:tc>
          <w:tcPr>
            <w:tcW w:w="606" w:type="dxa"/>
            <w:vAlign w:val="top"/>
          </w:tcPr>
          <w:p w14:paraId="37C0DC09">
            <w:pPr>
              <w:pStyle w:val="6"/>
              <w:spacing w:before="91" w:line="221" w:lineRule="auto"/>
              <w:ind w:left="172"/>
              <w:rPr>
                <w:sz w:val="18"/>
                <w:szCs w:val="18"/>
              </w:rPr>
            </w:pPr>
            <w:r>
              <w:rPr>
                <w:spacing w:val="-5"/>
                <w:sz w:val="18"/>
                <w:szCs w:val="18"/>
              </w:rPr>
              <w:t>112</w:t>
            </w:r>
          </w:p>
        </w:tc>
        <w:tc>
          <w:tcPr>
            <w:tcW w:w="606" w:type="dxa"/>
            <w:vAlign w:val="top"/>
          </w:tcPr>
          <w:p w14:paraId="25A378C8">
            <w:pPr>
              <w:pStyle w:val="6"/>
              <w:spacing w:before="94" w:line="186" w:lineRule="auto"/>
              <w:ind w:left="196"/>
              <w:rPr>
                <w:sz w:val="18"/>
                <w:szCs w:val="18"/>
              </w:rPr>
            </w:pPr>
            <w:r>
              <w:rPr>
                <w:spacing w:val="-3"/>
                <w:sz w:val="18"/>
                <w:szCs w:val="18"/>
              </w:rPr>
              <w:t>8L</w:t>
            </w:r>
          </w:p>
        </w:tc>
        <w:tc>
          <w:tcPr>
            <w:tcW w:w="606" w:type="dxa"/>
            <w:vAlign w:val="top"/>
          </w:tcPr>
          <w:p w14:paraId="533D2A02">
            <w:pPr>
              <w:pStyle w:val="6"/>
              <w:spacing w:before="94" w:line="186" w:lineRule="auto"/>
              <w:ind w:left="162"/>
              <w:rPr>
                <w:sz w:val="18"/>
                <w:szCs w:val="18"/>
              </w:rPr>
            </w:pPr>
            <w:r>
              <w:rPr>
                <w:spacing w:val="-5"/>
                <w:sz w:val="18"/>
                <w:szCs w:val="18"/>
              </w:rPr>
              <w:t>10L</w:t>
            </w:r>
          </w:p>
        </w:tc>
        <w:tc>
          <w:tcPr>
            <w:tcW w:w="606" w:type="dxa"/>
            <w:vAlign w:val="top"/>
          </w:tcPr>
          <w:p w14:paraId="1A03AAAA">
            <w:pPr>
              <w:pStyle w:val="6"/>
              <w:spacing w:before="91" w:line="221" w:lineRule="auto"/>
              <w:ind w:left="137"/>
              <w:rPr>
                <w:sz w:val="18"/>
                <w:szCs w:val="18"/>
              </w:rPr>
            </w:pPr>
            <w:r>
              <w:rPr>
                <w:spacing w:val="-2"/>
                <w:sz w:val="18"/>
                <w:szCs w:val="18"/>
              </w:rPr>
              <w:t>0.06</w:t>
            </w:r>
          </w:p>
        </w:tc>
        <w:tc>
          <w:tcPr>
            <w:tcW w:w="605" w:type="dxa"/>
            <w:vAlign w:val="top"/>
          </w:tcPr>
          <w:p w14:paraId="03F80365">
            <w:pPr>
              <w:pStyle w:val="6"/>
              <w:spacing w:before="91" w:line="221" w:lineRule="auto"/>
              <w:ind w:left="83"/>
              <w:rPr>
                <w:sz w:val="18"/>
                <w:szCs w:val="18"/>
              </w:rPr>
            </w:pPr>
            <w:r>
              <w:rPr>
                <w:spacing w:val="-2"/>
                <w:sz w:val="18"/>
                <w:szCs w:val="18"/>
              </w:rPr>
              <w:t>0.02L</w:t>
            </w:r>
          </w:p>
        </w:tc>
        <w:tc>
          <w:tcPr>
            <w:tcW w:w="563" w:type="dxa"/>
            <w:vAlign w:val="top"/>
          </w:tcPr>
          <w:p w14:paraId="5F1F4F82">
            <w:pPr>
              <w:pStyle w:val="6"/>
              <w:spacing w:before="91" w:line="221" w:lineRule="auto"/>
              <w:ind w:left="63"/>
              <w:rPr>
                <w:sz w:val="18"/>
                <w:szCs w:val="18"/>
              </w:rPr>
            </w:pPr>
            <w:r>
              <w:rPr>
                <w:spacing w:val="-2"/>
                <w:sz w:val="18"/>
                <w:szCs w:val="18"/>
              </w:rPr>
              <w:t>0.01L</w:t>
            </w:r>
          </w:p>
        </w:tc>
        <w:tc>
          <w:tcPr>
            <w:tcW w:w="562" w:type="dxa"/>
            <w:vAlign w:val="top"/>
          </w:tcPr>
          <w:p w14:paraId="159CDABC">
            <w:pPr>
              <w:pStyle w:val="6"/>
              <w:spacing w:before="91" w:line="221" w:lineRule="auto"/>
              <w:ind w:left="74"/>
              <w:rPr>
                <w:sz w:val="18"/>
                <w:szCs w:val="18"/>
              </w:rPr>
            </w:pPr>
            <w:r>
              <w:rPr>
                <w:spacing w:val="-2"/>
                <w:sz w:val="18"/>
                <w:szCs w:val="18"/>
              </w:rPr>
              <w:t>0.015</w:t>
            </w:r>
          </w:p>
        </w:tc>
        <w:tc>
          <w:tcPr>
            <w:tcW w:w="696" w:type="dxa"/>
            <w:vAlign w:val="top"/>
          </w:tcPr>
          <w:p w14:paraId="45105C24">
            <w:pPr>
              <w:pStyle w:val="6"/>
              <w:spacing w:before="91" w:line="221" w:lineRule="auto"/>
              <w:ind w:left="41"/>
              <w:rPr>
                <w:sz w:val="18"/>
                <w:szCs w:val="18"/>
              </w:rPr>
            </w:pPr>
            <w:r>
              <w:rPr>
                <w:spacing w:val="-1"/>
                <w:sz w:val="18"/>
                <w:szCs w:val="18"/>
              </w:rPr>
              <w:t>0.0003L</w:t>
            </w:r>
          </w:p>
        </w:tc>
        <w:tc>
          <w:tcPr>
            <w:tcW w:w="605" w:type="dxa"/>
            <w:vAlign w:val="top"/>
          </w:tcPr>
          <w:p w14:paraId="631479F4">
            <w:pPr>
              <w:pStyle w:val="6"/>
              <w:spacing w:before="91" w:line="221" w:lineRule="auto"/>
              <w:ind w:left="142"/>
              <w:rPr>
                <w:sz w:val="18"/>
                <w:szCs w:val="18"/>
              </w:rPr>
            </w:pPr>
            <w:r>
              <w:rPr>
                <w:spacing w:val="-2"/>
                <w:sz w:val="18"/>
                <w:szCs w:val="18"/>
              </w:rPr>
              <w:t>0.10</w:t>
            </w:r>
          </w:p>
        </w:tc>
        <w:tc>
          <w:tcPr>
            <w:tcW w:w="582" w:type="dxa"/>
            <w:vAlign w:val="top"/>
          </w:tcPr>
          <w:p w14:paraId="615CD836">
            <w:pPr>
              <w:pStyle w:val="6"/>
              <w:spacing w:before="91" w:line="221" w:lineRule="auto"/>
              <w:ind w:left="132"/>
              <w:rPr>
                <w:sz w:val="18"/>
                <w:szCs w:val="18"/>
              </w:rPr>
            </w:pPr>
            <w:r>
              <w:rPr>
                <w:spacing w:val="-2"/>
                <w:sz w:val="18"/>
                <w:szCs w:val="18"/>
              </w:rPr>
              <w:t>0.25</w:t>
            </w:r>
          </w:p>
        </w:tc>
        <w:tc>
          <w:tcPr>
            <w:tcW w:w="583" w:type="dxa"/>
            <w:vAlign w:val="top"/>
          </w:tcPr>
          <w:p w14:paraId="5DCC2930">
            <w:pPr>
              <w:pStyle w:val="6"/>
              <w:spacing w:before="91" w:line="221" w:lineRule="auto"/>
              <w:ind w:left="133"/>
              <w:rPr>
                <w:sz w:val="18"/>
                <w:szCs w:val="18"/>
              </w:rPr>
            </w:pPr>
            <w:r>
              <w:rPr>
                <w:spacing w:val="-2"/>
                <w:sz w:val="18"/>
                <w:szCs w:val="18"/>
              </w:rPr>
              <w:t>0.84</w:t>
            </w:r>
          </w:p>
        </w:tc>
        <w:tc>
          <w:tcPr>
            <w:tcW w:w="582" w:type="dxa"/>
            <w:vAlign w:val="top"/>
          </w:tcPr>
          <w:p w14:paraId="228DF0C3">
            <w:pPr>
              <w:pStyle w:val="6"/>
              <w:spacing w:before="91" w:line="221" w:lineRule="auto"/>
              <w:ind w:left="33"/>
              <w:rPr>
                <w:sz w:val="18"/>
                <w:szCs w:val="18"/>
              </w:rPr>
            </w:pPr>
            <w:r>
              <w:rPr>
                <w:spacing w:val="-2"/>
                <w:sz w:val="18"/>
                <w:szCs w:val="18"/>
              </w:rPr>
              <w:t>0.003L</w:t>
            </w:r>
          </w:p>
        </w:tc>
        <w:tc>
          <w:tcPr>
            <w:tcW w:w="582" w:type="dxa"/>
            <w:vAlign w:val="top"/>
          </w:tcPr>
          <w:p w14:paraId="2D71559F">
            <w:pPr>
              <w:pStyle w:val="6"/>
              <w:spacing w:before="91" w:line="221" w:lineRule="auto"/>
              <w:ind w:left="90"/>
              <w:rPr>
                <w:sz w:val="18"/>
                <w:szCs w:val="18"/>
              </w:rPr>
            </w:pPr>
            <w:r>
              <w:rPr>
                <w:spacing w:val="-2"/>
                <w:sz w:val="18"/>
                <w:szCs w:val="18"/>
              </w:rPr>
              <w:t>0.056</w:t>
            </w:r>
          </w:p>
        </w:tc>
        <w:tc>
          <w:tcPr>
            <w:tcW w:w="582" w:type="dxa"/>
            <w:vAlign w:val="top"/>
          </w:tcPr>
          <w:p w14:paraId="7ADB301B">
            <w:pPr>
              <w:pStyle w:val="6"/>
              <w:spacing w:before="91" w:line="221" w:lineRule="auto"/>
              <w:ind w:left="135"/>
              <w:rPr>
                <w:sz w:val="18"/>
                <w:szCs w:val="18"/>
              </w:rPr>
            </w:pPr>
            <w:r>
              <w:rPr>
                <w:spacing w:val="-2"/>
                <w:sz w:val="18"/>
                <w:szCs w:val="18"/>
              </w:rPr>
              <w:t>0.13</w:t>
            </w:r>
          </w:p>
        </w:tc>
        <w:tc>
          <w:tcPr>
            <w:tcW w:w="581" w:type="dxa"/>
            <w:vAlign w:val="top"/>
          </w:tcPr>
          <w:p w14:paraId="7C56B1CD">
            <w:pPr>
              <w:pStyle w:val="6"/>
              <w:spacing w:before="91" w:line="221" w:lineRule="auto"/>
              <w:ind w:left="37"/>
              <w:rPr>
                <w:sz w:val="18"/>
                <w:szCs w:val="18"/>
              </w:rPr>
            </w:pPr>
            <w:r>
              <w:rPr>
                <w:spacing w:val="-2"/>
                <w:sz w:val="18"/>
                <w:szCs w:val="18"/>
              </w:rPr>
              <w:t>0.004L</w:t>
            </w:r>
          </w:p>
        </w:tc>
        <w:tc>
          <w:tcPr>
            <w:tcW w:w="851" w:type="dxa"/>
            <w:vAlign w:val="top"/>
          </w:tcPr>
          <w:p w14:paraId="6F32F080">
            <w:pPr>
              <w:pStyle w:val="6"/>
              <w:spacing w:before="91" w:line="221" w:lineRule="auto"/>
              <w:ind w:left="139"/>
              <w:rPr>
                <w:sz w:val="18"/>
                <w:szCs w:val="18"/>
              </w:rPr>
            </w:pPr>
            <w:r>
              <w:rPr>
                <w:spacing w:val="-1"/>
                <w:sz w:val="18"/>
                <w:szCs w:val="18"/>
              </w:rPr>
              <w:t>0.00024</w:t>
            </w:r>
          </w:p>
        </w:tc>
        <w:tc>
          <w:tcPr>
            <w:tcW w:w="644" w:type="dxa"/>
            <w:vAlign w:val="top"/>
          </w:tcPr>
          <w:p w14:paraId="1A11146F">
            <w:pPr>
              <w:pStyle w:val="6"/>
              <w:spacing w:before="91" w:line="221" w:lineRule="auto"/>
              <w:ind w:left="81"/>
              <w:rPr>
                <w:sz w:val="18"/>
                <w:szCs w:val="18"/>
              </w:rPr>
            </w:pPr>
            <w:r>
              <w:rPr>
                <w:spacing w:val="-2"/>
                <w:sz w:val="18"/>
                <w:szCs w:val="18"/>
              </w:rPr>
              <w:t>0.0027</w:t>
            </w:r>
          </w:p>
        </w:tc>
        <w:tc>
          <w:tcPr>
            <w:tcW w:w="639" w:type="dxa"/>
            <w:vAlign w:val="top"/>
          </w:tcPr>
          <w:p w14:paraId="74EBE444">
            <w:pPr>
              <w:pStyle w:val="6"/>
              <w:spacing w:before="91" w:line="221" w:lineRule="auto"/>
              <w:ind w:left="78"/>
              <w:rPr>
                <w:sz w:val="18"/>
                <w:szCs w:val="18"/>
              </w:rPr>
            </w:pPr>
            <w:r>
              <w:rPr>
                <w:spacing w:val="-2"/>
                <w:sz w:val="18"/>
                <w:szCs w:val="18"/>
              </w:rPr>
              <w:t>0.0008</w:t>
            </w:r>
          </w:p>
        </w:tc>
        <w:tc>
          <w:tcPr>
            <w:tcW w:w="640" w:type="dxa"/>
            <w:vAlign w:val="top"/>
          </w:tcPr>
          <w:p w14:paraId="33F59DA8">
            <w:pPr>
              <w:pStyle w:val="6"/>
              <w:spacing w:before="91" w:line="221" w:lineRule="auto"/>
              <w:ind w:left="70"/>
              <w:rPr>
                <w:sz w:val="18"/>
                <w:szCs w:val="18"/>
              </w:rPr>
            </w:pPr>
            <w:r>
              <w:rPr>
                <w:spacing w:val="-2"/>
                <w:sz w:val="18"/>
                <w:szCs w:val="18"/>
              </w:rPr>
              <w:t>0.001L</w:t>
            </w:r>
          </w:p>
        </w:tc>
        <w:tc>
          <w:tcPr>
            <w:tcW w:w="639" w:type="dxa"/>
            <w:vAlign w:val="top"/>
          </w:tcPr>
          <w:p w14:paraId="7814E7B9">
            <w:pPr>
              <w:pStyle w:val="6"/>
              <w:spacing w:before="91" w:line="221" w:lineRule="auto"/>
              <w:ind w:left="69"/>
              <w:rPr>
                <w:sz w:val="18"/>
                <w:szCs w:val="18"/>
              </w:rPr>
            </w:pPr>
            <w:r>
              <w:rPr>
                <w:spacing w:val="-2"/>
                <w:sz w:val="18"/>
                <w:szCs w:val="18"/>
              </w:rPr>
              <w:t>0.004L</w:t>
            </w:r>
          </w:p>
        </w:tc>
        <w:tc>
          <w:tcPr>
            <w:tcW w:w="639" w:type="dxa"/>
            <w:vAlign w:val="top"/>
          </w:tcPr>
          <w:p w14:paraId="37171871">
            <w:pPr>
              <w:pStyle w:val="6"/>
              <w:spacing w:before="91" w:line="221" w:lineRule="auto"/>
              <w:ind w:left="114"/>
              <w:rPr>
                <w:sz w:val="18"/>
                <w:szCs w:val="18"/>
              </w:rPr>
            </w:pPr>
            <w:r>
              <w:rPr>
                <w:spacing w:val="-2"/>
                <w:sz w:val="18"/>
                <w:szCs w:val="18"/>
              </w:rPr>
              <w:t>0.01L</w:t>
            </w:r>
          </w:p>
        </w:tc>
        <w:tc>
          <w:tcPr>
            <w:tcW w:w="640" w:type="dxa"/>
            <w:vAlign w:val="top"/>
          </w:tcPr>
          <w:p w14:paraId="1E873B0B">
            <w:pPr>
              <w:pStyle w:val="6"/>
              <w:spacing w:before="91" w:line="221" w:lineRule="auto"/>
              <w:ind w:left="127"/>
              <w:rPr>
                <w:sz w:val="18"/>
                <w:szCs w:val="18"/>
              </w:rPr>
            </w:pPr>
            <w:r>
              <w:rPr>
                <w:spacing w:val="-2"/>
                <w:sz w:val="18"/>
                <w:szCs w:val="18"/>
              </w:rPr>
              <w:t>0.065</w:t>
            </w:r>
          </w:p>
        </w:tc>
        <w:tc>
          <w:tcPr>
            <w:tcW w:w="827" w:type="dxa"/>
            <w:vAlign w:val="top"/>
          </w:tcPr>
          <w:p w14:paraId="2883BAED">
            <w:pPr>
              <w:pStyle w:val="6"/>
              <w:spacing w:before="91" w:line="221" w:lineRule="auto"/>
              <w:ind w:left="290"/>
              <w:rPr>
                <w:sz w:val="18"/>
                <w:szCs w:val="18"/>
              </w:rPr>
            </w:pPr>
            <w:r>
              <w:rPr>
                <w:spacing w:val="-2"/>
                <w:sz w:val="18"/>
                <w:szCs w:val="18"/>
              </w:rPr>
              <w:t>580</w:t>
            </w:r>
          </w:p>
        </w:tc>
        <w:tc>
          <w:tcPr>
            <w:tcW w:w="457" w:type="dxa"/>
            <w:vAlign w:val="top"/>
          </w:tcPr>
          <w:p w14:paraId="1BAE6046">
            <w:pPr>
              <w:pStyle w:val="6"/>
              <w:spacing w:before="91" w:line="221" w:lineRule="auto"/>
              <w:ind w:left="117"/>
              <w:rPr>
                <w:sz w:val="18"/>
                <w:szCs w:val="18"/>
              </w:rPr>
            </w:pPr>
            <w:r>
              <w:rPr>
                <w:spacing w:val="-5"/>
                <w:sz w:val="18"/>
                <w:szCs w:val="18"/>
              </w:rPr>
              <w:t>143</w:t>
            </w:r>
          </w:p>
        </w:tc>
        <w:tc>
          <w:tcPr>
            <w:tcW w:w="533" w:type="dxa"/>
            <w:vAlign w:val="top"/>
          </w:tcPr>
          <w:p w14:paraId="3FD997E4">
            <w:pPr>
              <w:pStyle w:val="6"/>
              <w:spacing w:before="91" w:line="221" w:lineRule="auto"/>
              <w:ind w:left="164"/>
              <w:rPr>
                <w:sz w:val="18"/>
                <w:szCs w:val="18"/>
              </w:rPr>
            </w:pPr>
            <w:r>
              <w:rPr>
                <w:spacing w:val="-3"/>
                <w:sz w:val="18"/>
                <w:szCs w:val="18"/>
              </w:rPr>
              <w:t>0.5</w:t>
            </w:r>
          </w:p>
        </w:tc>
        <w:tc>
          <w:tcPr>
            <w:tcW w:w="533" w:type="dxa"/>
            <w:vAlign w:val="top"/>
          </w:tcPr>
          <w:p w14:paraId="1D274CD4">
            <w:pPr>
              <w:pStyle w:val="6"/>
              <w:spacing w:before="91" w:line="221" w:lineRule="auto"/>
              <w:ind w:left="135"/>
              <w:rPr>
                <w:sz w:val="18"/>
                <w:szCs w:val="18"/>
              </w:rPr>
            </w:pPr>
            <w:r>
              <w:rPr>
                <w:spacing w:val="-6"/>
                <w:sz w:val="18"/>
                <w:szCs w:val="18"/>
              </w:rPr>
              <w:t>17.2</w:t>
            </w:r>
          </w:p>
        </w:tc>
        <w:tc>
          <w:tcPr>
            <w:tcW w:w="533" w:type="dxa"/>
            <w:vAlign w:val="top"/>
          </w:tcPr>
          <w:p w14:paraId="6F9BAC79">
            <w:pPr>
              <w:pStyle w:val="6"/>
              <w:spacing w:before="91" w:line="221" w:lineRule="auto"/>
              <w:ind w:left="136"/>
              <w:rPr>
                <w:sz w:val="18"/>
                <w:szCs w:val="18"/>
              </w:rPr>
            </w:pPr>
            <w:r>
              <w:rPr>
                <w:spacing w:val="-6"/>
                <w:sz w:val="18"/>
                <w:szCs w:val="18"/>
              </w:rPr>
              <w:t>1.06</w:t>
            </w:r>
          </w:p>
        </w:tc>
        <w:tc>
          <w:tcPr>
            <w:tcW w:w="533" w:type="dxa"/>
            <w:vAlign w:val="top"/>
          </w:tcPr>
          <w:p w14:paraId="15E6AE12">
            <w:pPr>
              <w:pStyle w:val="6"/>
              <w:spacing w:before="91" w:line="221" w:lineRule="auto"/>
              <w:ind w:left="137"/>
              <w:rPr>
                <w:sz w:val="18"/>
                <w:szCs w:val="18"/>
              </w:rPr>
            </w:pPr>
            <w:r>
              <w:rPr>
                <w:spacing w:val="-6"/>
                <w:sz w:val="18"/>
                <w:szCs w:val="18"/>
              </w:rPr>
              <w:t>16.2</w:t>
            </w:r>
          </w:p>
        </w:tc>
        <w:tc>
          <w:tcPr>
            <w:tcW w:w="524" w:type="dxa"/>
            <w:tcBorders>
              <w:right w:val="single" w:color="000000" w:sz="12" w:space="0"/>
            </w:tcBorders>
            <w:vAlign w:val="top"/>
          </w:tcPr>
          <w:p w14:paraId="0C325A91">
            <w:pPr>
              <w:pStyle w:val="6"/>
              <w:spacing w:before="91" w:line="221" w:lineRule="auto"/>
              <w:ind w:left="109"/>
              <w:rPr>
                <w:sz w:val="18"/>
                <w:szCs w:val="18"/>
              </w:rPr>
            </w:pPr>
            <w:r>
              <w:rPr>
                <w:spacing w:val="-2"/>
                <w:sz w:val="18"/>
                <w:szCs w:val="18"/>
              </w:rPr>
              <w:t>6.42</w:t>
            </w:r>
          </w:p>
        </w:tc>
      </w:tr>
      <w:tr w14:paraId="58CDC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49EF5B18">
            <w:pPr>
              <w:rPr>
                <w:rFonts w:ascii="Arial"/>
                <w:sz w:val="21"/>
              </w:rPr>
            </w:pPr>
          </w:p>
        </w:tc>
        <w:tc>
          <w:tcPr>
            <w:tcW w:w="245" w:type="dxa"/>
            <w:vMerge w:val="continue"/>
            <w:tcBorders>
              <w:top w:val="nil"/>
            </w:tcBorders>
            <w:vAlign w:val="top"/>
          </w:tcPr>
          <w:p w14:paraId="2C0E4C92">
            <w:pPr>
              <w:rPr>
                <w:rFonts w:ascii="Arial"/>
                <w:sz w:val="21"/>
              </w:rPr>
            </w:pPr>
          </w:p>
        </w:tc>
        <w:tc>
          <w:tcPr>
            <w:tcW w:w="929" w:type="dxa"/>
            <w:vAlign w:val="top"/>
          </w:tcPr>
          <w:p w14:paraId="6A402997">
            <w:pPr>
              <w:pStyle w:val="6"/>
              <w:spacing w:before="91" w:line="219" w:lineRule="auto"/>
              <w:ind w:left="83"/>
              <w:rPr>
                <w:sz w:val="18"/>
                <w:szCs w:val="18"/>
              </w:rPr>
            </w:pPr>
            <w:r>
              <w:rPr>
                <w:spacing w:val="-1"/>
                <w:sz w:val="18"/>
                <w:szCs w:val="18"/>
              </w:rPr>
              <w:t>2019/5/12</w:t>
            </w:r>
          </w:p>
        </w:tc>
        <w:tc>
          <w:tcPr>
            <w:tcW w:w="606" w:type="dxa"/>
            <w:vAlign w:val="top"/>
          </w:tcPr>
          <w:p w14:paraId="6B623461">
            <w:pPr>
              <w:pStyle w:val="6"/>
              <w:spacing w:before="91" w:line="219" w:lineRule="auto"/>
              <w:ind w:left="133"/>
              <w:rPr>
                <w:sz w:val="18"/>
                <w:szCs w:val="18"/>
              </w:rPr>
            </w:pPr>
            <w:r>
              <w:rPr>
                <w:spacing w:val="-2"/>
                <w:sz w:val="18"/>
                <w:szCs w:val="18"/>
              </w:rPr>
              <w:t>6.51</w:t>
            </w:r>
          </w:p>
        </w:tc>
        <w:tc>
          <w:tcPr>
            <w:tcW w:w="606" w:type="dxa"/>
            <w:vAlign w:val="top"/>
          </w:tcPr>
          <w:p w14:paraId="46C444E1">
            <w:pPr>
              <w:pStyle w:val="6"/>
              <w:spacing w:before="91" w:line="219" w:lineRule="auto"/>
              <w:ind w:left="201"/>
              <w:rPr>
                <w:sz w:val="18"/>
                <w:szCs w:val="18"/>
              </w:rPr>
            </w:pPr>
            <w:r>
              <w:rPr>
                <w:spacing w:val="-2"/>
                <w:sz w:val="18"/>
                <w:szCs w:val="18"/>
              </w:rPr>
              <w:t>78</w:t>
            </w:r>
          </w:p>
        </w:tc>
        <w:tc>
          <w:tcPr>
            <w:tcW w:w="606" w:type="dxa"/>
            <w:vAlign w:val="top"/>
          </w:tcPr>
          <w:p w14:paraId="3299CBFD">
            <w:pPr>
              <w:pStyle w:val="6"/>
              <w:spacing w:before="91" w:line="219" w:lineRule="auto"/>
              <w:ind w:left="172"/>
              <w:rPr>
                <w:sz w:val="18"/>
                <w:szCs w:val="18"/>
              </w:rPr>
            </w:pPr>
            <w:r>
              <w:rPr>
                <w:spacing w:val="-5"/>
                <w:sz w:val="18"/>
                <w:szCs w:val="18"/>
              </w:rPr>
              <w:t>107</w:t>
            </w:r>
          </w:p>
        </w:tc>
        <w:tc>
          <w:tcPr>
            <w:tcW w:w="606" w:type="dxa"/>
            <w:vAlign w:val="top"/>
          </w:tcPr>
          <w:p w14:paraId="7AB86304">
            <w:pPr>
              <w:pStyle w:val="6"/>
              <w:spacing w:before="94" w:line="186" w:lineRule="auto"/>
              <w:ind w:left="196"/>
              <w:rPr>
                <w:sz w:val="18"/>
                <w:szCs w:val="18"/>
              </w:rPr>
            </w:pPr>
            <w:r>
              <w:rPr>
                <w:spacing w:val="-3"/>
                <w:sz w:val="18"/>
                <w:szCs w:val="18"/>
              </w:rPr>
              <w:t>8L</w:t>
            </w:r>
          </w:p>
        </w:tc>
        <w:tc>
          <w:tcPr>
            <w:tcW w:w="606" w:type="dxa"/>
            <w:vAlign w:val="top"/>
          </w:tcPr>
          <w:p w14:paraId="2305CD0D">
            <w:pPr>
              <w:pStyle w:val="6"/>
              <w:spacing w:before="94" w:line="186" w:lineRule="auto"/>
              <w:ind w:left="162"/>
              <w:rPr>
                <w:sz w:val="18"/>
                <w:szCs w:val="18"/>
              </w:rPr>
            </w:pPr>
            <w:r>
              <w:rPr>
                <w:spacing w:val="-5"/>
                <w:sz w:val="18"/>
                <w:szCs w:val="18"/>
              </w:rPr>
              <w:t>10L</w:t>
            </w:r>
          </w:p>
        </w:tc>
        <w:tc>
          <w:tcPr>
            <w:tcW w:w="606" w:type="dxa"/>
            <w:vAlign w:val="top"/>
          </w:tcPr>
          <w:p w14:paraId="1BE222FA">
            <w:pPr>
              <w:pStyle w:val="6"/>
              <w:spacing w:before="91" w:line="219" w:lineRule="auto"/>
              <w:ind w:left="137"/>
              <w:rPr>
                <w:sz w:val="18"/>
                <w:szCs w:val="18"/>
              </w:rPr>
            </w:pPr>
            <w:r>
              <w:rPr>
                <w:spacing w:val="-2"/>
                <w:sz w:val="18"/>
                <w:szCs w:val="18"/>
              </w:rPr>
              <w:t>0.07</w:t>
            </w:r>
          </w:p>
        </w:tc>
        <w:tc>
          <w:tcPr>
            <w:tcW w:w="605" w:type="dxa"/>
            <w:vAlign w:val="top"/>
          </w:tcPr>
          <w:p w14:paraId="1C63DD6D">
            <w:pPr>
              <w:pStyle w:val="6"/>
              <w:spacing w:before="91" w:line="219" w:lineRule="auto"/>
              <w:ind w:left="83"/>
              <w:rPr>
                <w:sz w:val="18"/>
                <w:szCs w:val="18"/>
              </w:rPr>
            </w:pPr>
            <w:r>
              <w:rPr>
                <w:spacing w:val="-2"/>
                <w:sz w:val="18"/>
                <w:szCs w:val="18"/>
              </w:rPr>
              <w:t>0.02L</w:t>
            </w:r>
          </w:p>
        </w:tc>
        <w:tc>
          <w:tcPr>
            <w:tcW w:w="563" w:type="dxa"/>
            <w:vAlign w:val="top"/>
          </w:tcPr>
          <w:p w14:paraId="39EC5584">
            <w:pPr>
              <w:pStyle w:val="6"/>
              <w:spacing w:before="91" w:line="219" w:lineRule="auto"/>
              <w:ind w:left="63"/>
              <w:rPr>
                <w:sz w:val="18"/>
                <w:szCs w:val="18"/>
              </w:rPr>
            </w:pPr>
            <w:r>
              <w:rPr>
                <w:spacing w:val="-2"/>
                <w:sz w:val="18"/>
                <w:szCs w:val="18"/>
              </w:rPr>
              <w:t>0.01L</w:t>
            </w:r>
          </w:p>
        </w:tc>
        <w:tc>
          <w:tcPr>
            <w:tcW w:w="562" w:type="dxa"/>
            <w:vAlign w:val="top"/>
          </w:tcPr>
          <w:p w14:paraId="22193C70">
            <w:pPr>
              <w:pStyle w:val="6"/>
              <w:spacing w:before="91" w:line="219" w:lineRule="auto"/>
              <w:ind w:left="74"/>
              <w:rPr>
                <w:sz w:val="18"/>
                <w:szCs w:val="18"/>
              </w:rPr>
            </w:pPr>
            <w:r>
              <w:rPr>
                <w:spacing w:val="-2"/>
                <w:sz w:val="18"/>
                <w:szCs w:val="18"/>
              </w:rPr>
              <w:t>0.017</w:t>
            </w:r>
          </w:p>
        </w:tc>
        <w:tc>
          <w:tcPr>
            <w:tcW w:w="696" w:type="dxa"/>
            <w:vAlign w:val="top"/>
          </w:tcPr>
          <w:p w14:paraId="5199F009">
            <w:pPr>
              <w:pStyle w:val="6"/>
              <w:spacing w:before="91" w:line="219" w:lineRule="auto"/>
              <w:ind w:left="41"/>
              <w:rPr>
                <w:sz w:val="18"/>
                <w:szCs w:val="18"/>
              </w:rPr>
            </w:pPr>
            <w:r>
              <w:rPr>
                <w:spacing w:val="-1"/>
                <w:sz w:val="18"/>
                <w:szCs w:val="18"/>
              </w:rPr>
              <w:t>0.0003L</w:t>
            </w:r>
          </w:p>
        </w:tc>
        <w:tc>
          <w:tcPr>
            <w:tcW w:w="605" w:type="dxa"/>
            <w:vAlign w:val="top"/>
          </w:tcPr>
          <w:p w14:paraId="310749C8">
            <w:pPr>
              <w:pStyle w:val="6"/>
              <w:spacing w:before="91" w:line="219" w:lineRule="auto"/>
              <w:ind w:left="142"/>
              <w:rPr>
                <w:sz w:val="18"/>
                <w:szCs w:val="18"/>
              </w:rPr>
            </w:pPr>
            <w:r>
              <w:rPr>
                <w:spacing w:val="-2"/>
                <w:sz w:val="18"/>
                <w:szCs w:val="18"/>
              </w:rPr>
              <w:t>0.07</w:t>
            </w:r>
          </w:p>
        </w:tc>
        <w:tc>
          <w:tcPr>
            <w:tcW w:w="582" w:type="dxa"/>
            <w:vAlign w:val="top"/>
          </w:tcPr>
          <w:p w14:paraId="42CD53A2">
            <w:pPr>
              <w:pStyle w:val="6"/>
              <w:spacing w:before="91" w:line="219" w:lineRule="auto"/>
              <w:ind w:left="132"/>
              <w:rPr>
                <w:sz w:val="18"/>
                <w:szCs w:val="18"/>
              </w:rPr>
            </w:pPr>
            <w:r>
              <w:rPr>
                <w:spacing w:val="-2"/>
                <w:sz w:val="18"/>
                <w:szCs w:val="18"/>
              </w:rPr>
              <w:t>0.20</w:t>
            </w:r>
          </w:p>
        </w:tc>
        <w:tc>
          <w:tcPr>
            <w:tcW w:w="583" w:type="dxa"/>
            <w:vAlign w:val="top"/>
          </w:tcPr>
          <w:p w14:paraId="359D7E40">
            <w:pPr>
              <w:pStyle w:val="6"/>
              <w:spacing w:before="91" w:line="219" w:lineRule="auto"/>
              <w:ind w:left="133"/>
              <w:rPr>
                <w:sz w:val="18"/>
                <w:szCs w:val="18"/>
              </w:rPr>
            </w:pPr>
            <w:r>
              <w:rPr>
                <w:spacing w:val="-2"/>
                <w:sz w:val="18"/>
                <w:szCs w:val="18"/>
              </w:rPr>
              <w:t>0.80</w:t>
            </w:r>
          </w:p>
        </w:tc>
        <w:tc>
          <w:tcPr>
            <w:tcW w:w="582" w:type="dxa"/>
            <w:vAlign w:val="top"/>
          </w:tcPr>
          <w:p w14:paraId="06C1D06D">
            <w:pPr>
              <w:pStyle w:val="6"/>
              <w:spacing w:before="91" w:line="219" w:lineRule="auto"/>
              <w:ind w:left="33"/>
              <w:rPr>
                <w:sz w:val="18"/>
                <w:szCs w:val="18"/>
              </w:rPr>
            </w:pPr>
            <w:r>
              <w:rPr>
                <w:spacing w:val="-2"/>
                <w:sz w:val="18"/>
                <w:szCs w:val="18"/>
              </w:rPr>
              <w:t>0.003L</w:t>
            </w:r>
          </w:p>
        </w:tc>
        <w:tc>
          <w:tcPr>
            <w:tcW w:w="582" w:type="dxa"/>
            <w:vAlign w:val="top"/>
          </w:tcPr>
          <w:p w14:paraId="759D40FF">
            <w:pPr>
              <w:pStyle w:val="6"/>
              <w:spacing w:before="91" w:line="219" w:lineRule="auto"/>
              <w:ind w:left="90"/>
              <w:rPr>
                <w:sz w:val="18"/>
                <w:szCs w:val="18"/>
              </w:rPr>
            </w:pPr>
            <w:r>
              <w:rPr>
                <w:spacing w:val="-2"/>
                <w:sz w:val="18"/>
                <w:szCs w:val="18"/>
              </w:rPr>
              <w:t>0.047</w:t>
            </w:r>
          </w:p>
        </w:tc>
        <w:tc>
          <w:tcPr>
            <w:tcW w:w="582" w:type="dxa"/>
            <w:vAlign w:val="top"/>
          </w:tcPr>
          <w:p w14:paraId="1063A6BB">
            <w:pPr>
              <w:pStyle w:val="6"/>
              <w:spacing w:before="91" w:line="219" w:lineRule="auto"/>
              <w:ind w:left="135"/>
              <w:rPr>
                <w:sz w:val="18"/>
                <w:szCs w:val="18"/>
              </w:rPr>
            </w:pPr>
            <w:r>
              <w:rPr>
                <w:spacing w:val="-2"/>
                <w:sz w:val="18"/>
                <w:szCs w:val="18"/>
              </w:rPr>
              <w:t>0.18</w:t>
            </w:r>
          </w:p>
        </w:tc>
        <w:tc>
          <w:tcPr>
            <w:tcW w:w="581" w:type="dxa"/>
            <w:vAlign w:val="top"/>
          </w:tcPr>
          <w:p w14:paraId="4FF97381">
            <w:pPr>
              <w:pStyle w:val="6"/>
              <w:spacing w:before="91" w:line="219" w:lineRule="auto"/>
              <w:ind w:left="37"/>
              <w:rPr>
                <w:sz w:val="18"/>
                <w:szCs w:val="18"/>
              </w:rPr>
            </w:pPr>
            <w:r>
              <w:rPr>
                <w:spacing w:val="-2"/>
                <w:sz w:val="18"/>
                <w:szCs w:val="18"/>
              </w:rPr>
              <w:t>0.004L</w:t>
            </w:r>
          </w:p>
        </w:tc>
        <w:tc>
          <w:tcPr>
            <w:tcW w:w="851" w:type="dxa"/>
            <w:vAlign w:val="top"/>
          </w:tcPr>
          <w:p w14:paraId="2BDCCA49">
            <w:pPr>
              <w:pStyle w:val="6"/>
              <w:spacing w:before="91" w:line="219" w:lineRule="auto"/>
              <w:ind w:left="139"/>
              <w:rPr>
                <w:sz w:val="18"/>
                <w:szCs w:val="18"/>
              </w:rPr>
            </w:pPr>
            <w:r>
              <w:rPr>
                <w:spacing w:val="-1"/>
                <w:sz w:val="18"/>
                <w:szCs w:val="18"/>
              </w:rPr>
              <w:t>0.00024</w:t>
            </w:r>
          </w:p>
        </w:tc>
        <w:tc>
          <w:tcPr>
            <w:tcW w:w="644" w:type="dxa"/>
            <w:vAlign w:val="top"/>
          </w:tcPr>
          <w:p w14:paraId="00FEE885">
            <w:pPr>
              <w:pStyle w:val="6"/>
              <w:spacing w:before="91" w:line="219" w:lineRule="auto"/>
              <w:ind w:left="81"/>
              <w:rPr>
                <w:sz w:val="18"/>
                <w:szCs w:val="18"/>
              </w:rPr>
            </w:pPr>
            <w:r>
              <w:rPr>
                <w:spacing w:val="-1"/>
                <w:sz w:val="18"/>
                <w:szCs w:val="18"/>
              </w:rPr>
              <w:t>0.0020</w:t>
            </w:r>
          </w:p>
        </w:tc>
        <w:tc>
          <w:tcPr>
            <w:tcW w:w="639" w:type="dxa"/>
            <w:vAlign w:val="top"/>
          </w:tcPr>
          <w:p w14:paraId="15A58885">
            <w:pPr>
              <w:pStyle w:val="6"/>
              <w:spacing w:before="91" w:line="219" w:lineRule="auto"/>
              <w:ind w:left="78"/>
              <w:rPr>
                <w:sz w:val="18"/>
                <w:szCs w:val="18"/>
              </w:rPr>
            </w:pPr>
            <w:r>
              <w:rPr>
                <w:spacing w:val="-2"/>
                <w:sz w:val="18"/>
                <w:szCs w:val="18"/>
              </w:rPr>
              <w:t>0.0007</w:t>
            </w:r>
          </w:p>
        </w:tc>
        <w:tc>
          <w:tcPr>
            <w:tcW w:w="640" w:type="dxa"/>
            <w:vAlign w:val="top"/>
          </w:tcPr>
          <w:p w14:paraId="4B69C989">
            <w:pPr>
              <w:pStyle w:val="6"/>
              <w:spacing w:before="91" w:line="219" w:lineRule="auto"/>
              <w:ind w:left="70"/>
              <w:rPr>
                <w:sz w:val="18"/>
                <w:szCs w:val="18"/>
              </w:rPr>
            </w:pPr>
            <w:r>
              <w:rPr>
                <w:spacing w:val="-2"/>
                <w:sz w:val="18"/>
                <w:szCs w:val="18"/>
              </w:rPr>
              <w:t>0.001L</w:t>
            </w:r>
          </w:p>
        </w:tc>
        <w:tc>
          <w:tcPr>
            <w:tcW w:w="639" w:type="dxa"/>
            <w:vAlign w:val="top"/>
          </w:tcPr>
          <w:p w14:paraId="5D7B110C">
            <w:pPr>
              <w:pStyle w:val="6"/>
              <w:spacing w:before="91" w:line="219" w:lineRule="auto"/>
              <w:ind w:left="69"/>
              <w:rPr>
                <w:sz w:val="18"/>
                <w:szCs w:val="18"/>
              </w:rPr>
            </w:pPr>
            <w:r>
              <w:rPr>
                <w:spacing w:val="-2"/>
                <w:sz w:val="18"/>
                <w:szCs w:val="18"/>
              </w:rPr>
              <w:t>0.004L</w:t>
            </w:r>
          </w:p>
        </w:tc>
        <w:tc>
          <w:tcPr>
            <w:tcW w:w="639" w:type="dxa"/>
            <w:vAlign w:val="top"/>
          </w:tcPr>
          <w:p w14:paraId="1CE058FB">
            <w:pPr>
              <w:pStyle w:val="6"/>
              <w:spacing w:before="91" w:line="219" w:lineRule="auto"/>
              <w:ind w:left="114"/>
              <w:rPr>
                <w:sz w:val="18"/>
                <w:szCs w:val="18"/>
              </w:rPr>
            </w:pPr>
            <w:r>
              <w:rPr>
                <w:spacing w:val="-2"/>
                <w:sz w:val="18"/>
                <w:szCs w:val="18"/>
              </w:rPr>
              <w:t>0.01L</w:t>
            </w:r>
          </w:p>
        </w:tc>
        <w:tc>
          <w:tcPr>
            <w:tcW w:w="640" w:type="dxa"/>
            <w:vAlign w:val="top"/>
          </w:tcPr>
          <w:p w14:paraId="4104AC75">
            <w:pPr>
              <w:pStyle w:val="6"/>
              <w:spacing w:before="91" w:line="219" w:lineRule="auto"/>
              <w:ind w:left="127"/>
              <w:rPr>
                <w:sz w:val="18"/>
                <w:szCs w:val="18"/>
              </w:rPr>
            </w:pPr>
            <w:r>
              <w:rPr>
                <w:spacing w:val="-2"/>
                <w:sz w:val="18"/>
                <w:szCs w:val="18"/>
              </w:rPr>
              <w:t>0.062</w:t>
            </w:r>
          </w:p>
        </w:tc>
        <w:tc>
          <w:tcPr>
            <w:tcW w:w="827" w:type="dxa"/>
            <w:vAlign w:val="top"/>
          </w:tcPr>
          <w:p w14:paraId="7DE87468">
            <w:pPr>
              <w:pStyle w:val="6"/>
              <w:spacing w:before="91" w:line="219" w:lineRule="auto"/>
              <w:ind w:left="290"/>
              <w:rPr>
                <w:sz w:val="18"/>
                <w:szCs w:val="18"/>
              </w:rPr>
            </w:pPr>
            <w:r>
              <w:rPr>
                <w:spacing w:val="-2"/>
                <w:sz w:val="18"/>
                <w:szCs w:val="18"/>
              </w:rPr>
              <w:t>590</w:t>
            </w:r>
          </w:p>
        </w:tc>
        <w:tc>
          <w:tcPr>
            <w:tcW w:w="457" w:type="dxa"/>
            <w:vAlign w:val="top"/>
          </w:tcPr>
          <w:p w14:paraId="3E8BD931">
            <w:pPr>
              <w:pStyle w:val="6"/>
              <w:spacing w:before="91" w:line="219" w:lineRule="auto"/>
              <w:ind w:left="117"/>
              <w:rPr>
                <w:sz w:val="18"/>
                <w:szCs w:val="18"/>
              </w:rPr>
            </w:pPr>
            <w:r>
              <w:rPr>
                <w:spacing w:val="-5"/>
                <w:sz w:val="18"/>
                <w:szCs w:val="18"/>
              </w:rPr>
              <w:t>135</w:t>
            </w:r>
          </w:p>
        </w:tc>
        <w:tc>
          <w:tcPr>
            <w:tcW w:w="533" w:type="dxa"/>
            <w:vAlign w:val="top"/>
          </w:tcPr>
          <w:p w14:paraId="49060D52">
            <w:pPr>
              <w:pStyle w:val="6"/>
              <w:spacing w:before="91" w:line="219" w:lineRule="auto"/>
              <w:ind w:left="164"/>
              <w:rPr>
                <w:sz w:val="18"/>
                <w:szCs w:val="18"/>
              </w:rPr>
            </w:pPr>
            <w:r>
              <w:rPr>
                <w:spacing w:val="-3"/>
                <w:sz w:val="18"/>
                <w:szCs w:val="18"/>
              </w:rPr>
              <w:t>0.6</w:t>
            </w:r>
          </w:p>
        </w:tc>
        <w:tc>
          <w:tcPr>
            <w:tcW w:w="533" w:type="dxa"/>
            <w:vAlign w:val="top"/>
          </w:tcPr>
          <w:p w14:paraId="2F52D5AF">
            <w:pPr>
              <w:pStyle w:val="6"/>
              <w:spacing w:before="91" w:line="219" w:lineRule="auto"/>
              <w:ind w:left="135"/>
              <w:rPr>
                <w:sz w:val="18"/>
                <w:szCs w:val="18"/>
              </w:rPr>
            </w:pPr>
            <w:r>
              <w:rPr>
                <w:spacing w:val="-6"/>
                <w:sz w:val="18"/>
                <w:szCs w:val="18"/>
              </w:rPr>
              <w:t>14.7</w:t>
            </w:r>
          </w:p>
        </w:tc>
        <w:tc>
          <w:tcPr>
            <w:tcW w:w="533" w:type="dxa"/>
            <w:vAlign w:val="top"/>
          </w:tcPr>
          <w:p w14:paraId="07A77436">
            <w:pPr>
              <w:pStyle w:val="6"/>
              <w:spacing w:before="91" w:line="219" w:lineRule="auto"/>
              <w:ind w:left="136"/>
              <w:rPr>
                <w:sz w:val="18"/>
                <w:szCs w:val="18"/>
              </w:rPr>
            </w:pPr>
            <w:r>
              <w:rPr>
                <w:spacing w:val="-6"/>
                <w:sz w:val="18"/>
                <w:szCs w:val="18"/>
              </w:rPr>
              <w:t>1.01</w:t>
            </w:r>
          </w:p>
        </w:tc>
        <w:tc>
          <w:tcPr>
            <w:tcW w:w="533" w:type="dxa"/>
            <w:vAlign w:val="top"/>
          </w:tcPr>
          <w:p w14:paraId="4127F996">
            <w:pPr>
              <w:pStyle w:val="6"/>
              <w:spacing w:before="91" w:line="219" w:lineRule="auto"/>
              <w:ind w:left="137"/>
              <w:rPr>
                <w:sz w:val="18"/>
                <w:szCs w:val="18"/>
              </w:rPr>
            </w:pPr>
            <w:r>
              <w:rPr>
                <w:spacing w:val="-6"/>
                <w:sz w:val="18"/>
                <w:szCs w:val="18"/>
              </w:rPr>
              <w:t>15.0</w:t>
            </w:r>
          </w:p>
        </w:tc>
        <w:tc>
          <w:tcPr>
            <w:tcW w:w="524" w:type="dxa"/>
            <w:tcBorders>
              <w:right w:val="single" w:color="000000" w:sz="12" w:space="0"/>
            </w:tcBorders>
            <w:vAlign w:val="top"/>
          </w:tcPr>
          <w:p w14:paraId="678DF4C9">
            <w:pPr>
              <w:pStyle w:val="6"/>
              <w:spacing w:before="91" w:line="219" w:lineRule="auto"/>
              <w:ind w:left="109"/>
              <w:rPr>
                <w:sz w:val="18"/>
                <w:szCs w:val="18"/>
              </w:rPr>
            </w:pPr>
            <w:r>
              <w:rPr>
                <w:spacing w:val="-2"/>
                <w:sz w:val="18"/>
                <w:szCs w:val="18"/>
              </w:rPr>
              <w:t>6.33</w:t>
            </w:r>
          </w:p>
        </w:tc>
      </w:tr>
      <w:tr w14:paraId="1725C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71B3EC64">
            <w:pPr>
              <w:rPr>
                <w:rFonts w:ascii="Arial"/>
                <w:sz w:val="21"/>
              </w:rPr>
            </w:pPr>
          </w:p>
        </w:tc>
        <w:tc>
          <w:tcPr>
            <w:tcW w:w="245" w:type="dxa"/>
            <w:vMerge w:val="restart"/>
            <w:tcBorders>
              <w:bottom w:val="nil"/>
            </w:tcBorders>
            <w:vAlign w:val="top"/>
          </w:tcPr>
          <w:p w14:paraId="5B172933">
            <w:pPr>
              <w:pStyle w:val="6"/>
              <w:spacing w:before="151" w:line="226" w:lineRule="auto"/>
              <w:ind w:left="64"/>
              <w:rPr>
                <w:sz w:val="18"/>
                <w:szCs w:val="18"/>
              </w:rPr>
            </w:pPr>
            <w:r>
              <w:rPr>
                <w:sz w:val="18"/>
                <w:szCs w:val="18"/>
              </w:rPr>
              <w:t>3</w:t>
            </w:r>
          </w:p>
          <w:p w14:paraId="50BF6724">
            <w:pPr>
              <w:spacing w:line="226" w:lineRule="auto"/>
              <w:ind w:left="19"/>
              <w:rPr>
                <w:rFonts w:ascii="等线" w:hAnsi="等线" w:eastAsia="等线" w:cs="等线"/>
                <w:sz w:val="18"/>
                <w:szCs w:val="18"/>
              </w:rPr>
            </w:pPr>
            <w:r>
              <w:rPr>
                <w:rFonts w:ascii="等线" w:hAnsi="等线" w:eastAsia="等线" w:cs="等线"/>
                <w:sz w:val="18"/>
                <w:szCs w:val="18"/>
              </w:rPr>
              <w:t>季</w:t>
            </w:r>
          </w:p>
          <w:p w14:paraId="4FDCD067">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63A6B2B6">
            <w:pPr>
              <w:pStyle w:val="6"/>
              <w:spacing w:before="92" w:line="220" w:lineRule="auto"/>
              <w:ind w:left="128"/>
              <w:rPr>
                <w:sz w:val="18"/>
                <w:szCs w:val="18"/>
              </w:rPr>
            </w:pPr>
            <w:r>
              <w:rPr>
                <w:spacing w:val="-1"/>
                <w:sz w:val="18"/>
                <w:szCs w:val="18"/>
              </w:rPr>
              <w:t>2019/8/6</w:t>
            </w:r>
          </w:p>
        </w:tc>
        <w:tc>
          <w:tcPr>
            <w:tcW w:w="606" w:type="dxa"/>
            <w:vAlign w:val="top"/>
          </w:tcPr>
          <w:p w14:paraId="484ECEFA">
            <w:pPr>
              <w:pStyle w:val="6"/>
              <w:spacing w:before="92" w:line="220" w:lineRule="auto"/>
              <w:ind w:left="133"/>
              <w:rPr>
                <w:sz w:val="18"/>
                <w:szCs w:val="18"/>
              </w:rPr>
            </w:pPr>
            <w:r>
              <w:rPr>
                <w:spacing w:val="-2"/>
                <w:sz w:val="18"/>
                <w:szCs w:val="18"/>
              </w:rPr>
              <w:t>6.50</w:t>
            </w:r>
          </w:p>
        </w:tc>
        <w:tc>
          <w:tcPr>
            <w:tcW w:w="606" w:type="dxa"/>
            <w:vAlign w:val="top"/>
          </w:tcPr>
          <w:p w14:paraId="521C625F">
            <w:pPr>
              <w:pStyle w:val="6"/>
              <w:spacing w:before="92" w:line="220" w:lineRule="auto"/>
              <w:ind w:left="153"/>
              <w:rPr>
                <w:sz w:val="18"/>
                <w:szCs w:val="18"/>
              </w:rPr>
            </w:pPr>
            <w:r>
              <w:rPr>
                <w:spacing w:val="-1"/>
                <w:sz w:val="18"/>
                <w:szCs w:val="18"/>
              </w:rPr>
              <w:t>202</w:t>
            </w:r>
          </w:p>
        </w:tc>
        <w:tc>
          <w:tcPr>
            <w:tcW w:w="606" w:type="dxa"/>
            <w:vAlign w:val="top"/>
          </w:tcPr>
          <w:p w14:paraId="1221F579">
            <w:pPr>
              <w:pStyle w:val="6"/>
              <w:spacing w:before="92" w:line="220" w:lineRule="auto"/>
              <w:ind w:left="158"/>
              <w:rPr>
                <w:sz w:val="18"/>
                <w:szCs w:val="18"/>
              </w:rPr>
            </w:pPr>
            <w:r>
              <w:rPr>
                <w:spacing w:val="-2"/>
                <w:sz w:val="18"/>
                <w:szCs w:val="18"/>
              </w:rPr>
              <w:t>326</w:t>
            </w:r>
          </w:p>
        </w:tc>
        <w:tc>
          <w:tcPr>
            <w:tcW w:w="606" w:type="dxa"/>
            <w:vAlign w:val="top"/>
          </w:tcPr>
          <w:p w14:paraId="406954BD">
            <w:pPr>
              <w:pStyle w:val="6"/>
              <w:spacing w:before="95" w:line="186" w:lineRule="auto"/>
              <w:ind w:left="196"/>
              <w:rPr>
                <w:sz w:val="18"/>
                <w:szCs w:val="18"/>
              </w:rPr>
            </w:pPr>
            <w:r>
              <w:rPr>
                <w:spacing w:val="-3"/>
                <w:sz w:val="18"/>
                <w:szCs w:val="18"/>
              </w:rPr>
              <w:t>8L</w:t>
            </w:r>
          </w:p>
        </w:tc>
        <w:tc>
          <w:tcPr>
            <w:tcW w:w="606" w:type="dxa"/>
            <w:vAlign w:val="top"/>
          </w:tcPr>
          <w:p w14:paraId="17804CA4">
            <w:pPr>
              <w:pStyle w:val="6"/>
              <w:spacing w:before="95" w:line="186" w:lineRule="auto"/>
              <w:ind w:left="162"/>
              <w:rPr>
                <w:sz w:val="18"/>
                <w:szCs w:val="18"/>
              </w:rPr>
            </w:pPr>
            <w:r>
              <w:rPr>
                <w:spacing w:val="-5"/>
                <w:sz w:val="18"/>
                <w:szCs w:val="18"/>
              </w:rPr>
              <w:t>10L</w:t>
            </w:r>
          </w:p>
        </w:tc>
        <w:tc>
          <w:tcPr>
            <w:tcW w:w="606" w:type="dxa"/>
            <w:vAlign w:val="top"/>
          </w:tcPr>
          <w:p w14:paraId="22058F20">
            <w:pPr>
              <w:pStyle w:val="6"/>
              <w:spacing w:before="92" w:line="220" w:lineRule="auto"/>
              <w:ind w:left="82"/>
              <w:rPr>
                <w:sz w:val="18"/>
                <w:szCs w:val="18"/>
              </w:rPr>
            </w:pPr>
            <w:r>
              <w:rPr>
                <w:spacing w:val="-2"/>
                <w:sz w:val="18"/>
                <w:szCs w:val="18"/>
              </w:rPr>
              <w:t>0.03L</w:t>
            </w:r>
          </w:p>
        </w:tc>
        <w:tc>
          <w:tcPr>
            <w:tcW w:w="605" w:type="dxa"/>
            <w:vAlign w:val="top"/>
          </w:tcPr>
          <w:p w14:paraId="6324D02B">
            <w:pPr>
              <w:pStyle w:val="6"/>
              <w:spacing w:before="92" w:line="220" w:lineRule="auto"/>
              <w:ind w:left="83"/>
              <w:rPr>
                <w:sz w:val="18"/>
                <w:szCs w:val="18"/>
              </w:rPr>
            </w:pPr>
            <w:r>
              <w:rPr>
                <w:spacing w:val="-2"/>
                <w:sz w:val="18"/>
                <w:szCs w:val="18"/>
              </w:rPr>
              <w:t>0.02L</w:t>
            </w:r>
          </w:p>
        </w:tc>
        <w:tc>
          <w:tcPr>
            <w:tcW w:w="563" w:type="dxa"/>
            <w:vAlign w:val="top"/>
          </w:tcPr>
          <w:p w14:paraId="1029F150">
            <w:pPr>
              <w:pStyle w:val="6"/>
              <w:spacing w:before="92" w:line="220" w:lineRule="auto"/>
              <w:ind w:left="63"/>
              <w:rPr>
                <w:sz w:val="18"/>
                <w:szCs w:val="18"/>
              </w:rPr>
            </w:pPr>
            <w:r>
              <w:rPr>
                <w:spacing w:val="-2"/>
                <w:sz w:val="18"/>
                <w:szCs w:val="18"/>
              </w:rPr>
              <w:t>0.01L</w:t>
            </w:r>
          </w:p>
        </w:tc>
        <w:tc>
          <w:tcPr>
            <w:tcW w:w="562" w:type="dxa"/>
            <w:vAlign w:val="top"/>
          </w:tcPr>
          <w:p w14:paraId="79910BBB">
            <w:pPr>
              <w:pStyle w:val="6"/>
              <w:spacing w:before="92" w:line="220" w:lineRule="auto"/>
              <w:ind w:left="74"/>
              <w:rPr>
                <w:sz w:val="18"/>
                <w:szCs w:val="18"/>
              </w:rPr>
            </w:pPr>
            <w:r>
              <w:rPr>
                <w:spacing w:val="-2"/>
                <w:sz w:val="18"/>
                <w:szCs w:val="18"/>
              </w:rPr>
              <w:t>0.026</w:t>
            </w:r>
          </w:p>
        </w:tc>
        <w:tc>
          <w:tcPr>
            <w:tcW w:w="696" w:type="dxa"/>
            <w:vAlign w:val="top"/>
          </w:tcPr>
          <w:p w14:paraId="02A02DBD">
            <w:pPr>
              <w:pStyle w:val="6"/>
              <w:spacing w:before="92" w:line="220" w:lineRule="auto"/>
              <w:ind w:left="41"/>
              <w:rPr>
                <w:sz w:val="18"/>
                <w:szCs w:val="18"/>
              </w:rPr>
            </w:pPr>
            <w:r>
              <w:rPr>
                <w:spacing w:val="-1"/>
                <w:sz w:val="18"/>
                <w:szCs w:val="18"/>
              </w:rPr>
              <w:t>0.0003L</w:t>
            </w:r>
          </w:p>
        </w:tc>
        <w:tc>
          <w:tcPr>
            <w:tcW w:w="605" w:type="dxa"/>
            <w:vAlign w:val="top"/>
          </w:tcPr>
          <w:p w14:paraId="728BFDE2">
            <w:pPr>
              <w:pStyle w:val="6"/>
              <w:spacing w:before="92" w:line="220" w:lineRule="auto"/>
              <w:ind w:left="87"/>
              <w:rPr>
                <w:sz w:val="18"/>
                <w:szCs w:val="18"/>
              </w:rPr>
            </w:pPr>
            <w:r>
              <w:rPr>
                <w:spacing w:val="-2"/>
                <w:sz w:val="18"/>
                <w:szCs w:val="18"/>
              </w:rPr>
              <w:t>0.05L</w:t>
            </w:r>
          </w:p>
        </w:tc>
        <w:tc>
          <w:tcPr>
            <w:tcW w:w="582" w:type="dxa"/>
            <w:vAlign w:val="top"/>
          </w:tcPr>
          <w:p w14:paraId="14E09927">
            <w:pPr>
              <w:pStyle w:val="6"/>
              <w:spacing w:before="92" w:line="220" w:lineRule="auto"/>
              <w:ind w:left="132"/>
              <w:rPr>
                <w:sz w:val="18"/>
                <w:szCs w:val="18"/>
              </w:rPr>
            </w:pPr>
            <w:r>
              <w:rPr>
                <w:spacing w:val="-2"/>
                <w:sz w:val="18"/>
                <w:szCs w:val="18"/>
              </w:rPr>
              <w:t>0.01</w:t>
            </w:r>
          </w:p>
        </w:tc>
        <w:tc>
          <w:tcPr>
            <w:tcW w:w="583" w:type="dxa"/>
            <w:vAlign w:val="top"/>
          </w:tcPr>
          <w:p w14:paraId="65B00077">
            <w:pPr>
              <w:pStyle w:val="6"/>
              <w:spacing w:before="92" w:line="220" w:lineRule="auto"/>
              <w:ind w:left="133"/>
              <w:rPr>
                <w:sz w:val="18"/>
                <w:szCs w:val="18"/>
              </w:rPr>
            </w:pPr>
            <w:r>
              <w:rPr>
                <w:spacing w:val="-2"/>
                <w:sz w:val="18"/>
                <w:szCs w:val="18"/>
              </w:rPr>
              <w:t>0.03</w:t>
            </w:r>
          </w:p>
        </w:tc>
        <w:tc>
          <w:tcPr>
            <w:tcW w:w="582" w:type="dxa"/>
            <w:vAlign w:val="top"/>
          </w:tcPr>
          <w:p w14:paraId="4F4926B7">
            <w:pPr>
              <w:pStyle w:val="6"/>
              <w:spacing w:before="92" w:line="220" w:lineRule="auto"/>
              <w:ind w:left="33"/>
              <w:rPr>
                <w:sz w:val="18"/>
                <w:szCs w:val="18"/>
              </w:rPr>
            </w:pPr>
            <w:r>
              <w:rPr>
                <w:spacing w:val="-2"/>
                <w:sz w:val="18"/>
                <w:szCs w:val="18"/>
              </w:rPr>
              <w:t>0.003L</w:t>
            </w:r>
          </w:p>
        </w:tc>
        <w:tc>
          <w:tcPr>
            <w:tcW w:w="582" w:type="dxa"/>
            <w:vAlign w:val="top"/>
          </w:tcPr>
          <w:p w14:paraId="5C80A93A">
            <w:pPr>
              <w:pStyle w:val="6"/>
              <w:spacing w:before="92" w:line="220" w:lineRule="auto"/>
              <w:ind w:left="90"/>
              <w:rPr>
                <w:sz w:val="18"/>
                <w:szCs w:val="18"/>
              </w:rPr>
            </w:pPr>
            <w:r>
              <w:rPr>
                <w:spacing w:val="-2"/>
                <w:sz w:val="18"/>
                <w:szCs w:val="18"/>
              </w:rPr>
              <w:t>0.115</w:t>
            </w:r>
          </w:p>
        </w:tc>
        <w:tc>
          <w:tcPr>
            <w:tcW w:w="582" w:type="dxa"/>
            <w:vAlign w:val="top"/>
          </w:tcPr>
          <w:p w14:paraId="436166AF">
            <w:pPr>
              <w:pStyle w:val="6"/>
              <w:spacing w:before="92" w:line="220" w:lineRule="auto"/>
              <w:ind w:left="80"/>
              <w:rPr>
                <w:sz w:val="18"/>
                <w:szCs w:val="18"/>
              </w:rPr>
            </w:pPr>
            <w:r>
              <w:rPr>
                <w:spacing w:val="-2"/>
                <w:sz w:val="18"/>
                <w:szCs w:val="18"/>
              </w:rPr>
              <w:t>0.05L</w:t>
            </w:r>
          </w:p>
        </w:tc>
        <w:tc>
          <w:tcPr>
            <w:tcW w:w="581" w:type="dxa"/>
            <w:vAlign w:val="top"/>
          </w:tcPr>
          <w:p w14:paraId="23204C80">
            <w:pPr>
              <w:pStyle w:val="6"/>
              <w:spacing w:before="92" w:line="220" w:lineRule="auto"/>
              <w:ind w:left="37"/>
              <w:rPr>
                <w:sz w:val="18"/>
                <w:szCs w:val="18"/>
              </w:rPr>
            </w:pPr>
            <w:r>
              <w:rPr>
                <w:spacing w:val="-2"/>
                <w:sz w:val="18"/>
                <w:szCs w:val="18"/>
              </w:rPr>
              <w:t>0.004L</w:t>
            </w:r>
          </w:p>
        </w:tc>
        <w:tc>
          <w:tcPr>
            <w:tcW w:w="851" w:type="dxa"/>
            <w:vAlign w:val="top"/>
          </w:tcPr>
          <w:p w14:paraId="3F1BE5E1">
            <w:pPr>
              <w:pStyle w:val="6"/>
              <w:spacing w:before="92" w:line="220" w:lineRule="auto"/>
              <w:ind w:left="139"/>
              <w:rPr>
                <w:sz w:val="18"/>
                <w:szCs w:val="18"/>
              </w:rPr>
            </w:pPr>
            <w:r>
              <w:rPr>
                <w:spacing w:val="-1"/>
                <w:sz w:val="18"/>
                <w:szCs w:val="18"/>
              </w:rPr>
              <w:t>0.00021</w:t>
            </w:r>
          </w:p>
        </w:tc>
        <w:tc>
          <w:tcPr>
            <w:tcW w:w="644" w:type="dxa"/>
            <w:vAlign w:val="top"/>
          </w:tcPr>
          <w:p w14:paraId="5E031BCB">
            <w:pPr>
              <w:pStyle w:val="6"/>
              <w:spacing w:before="92" w:line="220" w:lineRule="auto"/>
              <w:ind w:left="81"/>
              <w:rPr>
                <w:sz w:val="18"/>
                <w:szCs w:val="18"/>
              </w:rPr>
            </w:pPr>
            <w:r>
              <w:rPr>
                <w:spacing w:val="-2"/>
                <w:sz w:val="18"/>
                <w:szCs w:val="18"/>
              </w:rPr>
              <w:t>0.0070</w:t>
            </w:r>
          </w:p>
        </w:tc>
        <w:tc>
          <w:tcPr>
            <w:tcW w:w="639" w:type="dxa"/>
            <w:vAlign w:val="top"/>
          </w:tcPr>
          <w:p w14:paraId="5D177ED7">
            <w:pPr>
              <w:pStyle w:val="6"/>
              <w:spacing w:before="92" w:line="220" w:lineRule="auto"/>
              <w:ind w:left="22"/>
              <w:rPr>
                <w:sz w:val="18"/>
                <w:szCs w:val="18"/>
              </w:rPr>
            </w:pPr>
            <w:r>
              <w:rPr>
                <w:spacing w:val="-1"/>
                <w:sz w:val="18"/>
                <w:szCs w:val="18"/>
              </w:rPr>
              <w:t>0.0004L</w:t>
            </w:r>
          </w:p>
        </w:tc>
        <w:tc>
          <w:tcPr>
            <w:tcW w:w="640" w:type="dxa"/>
            <w:vAlign w:val="top"/>
          </w:tcPr>
          <w:p w14:paraId="1B2DE56B">
            <w:pPr>
              <w:pStyle w:val="6"/>
              <w:spacing w:before="92" w:line="220" w:lineRule="auto"/>
              <w:ind w:left="70"/>
              <w:rPr>
                <w:sz w:val="18"/>
                <w:szCs w:val="18"/>
              </w:rPr>
            </w:pPr>
            <w:r>
              <w:rPr>
                <w:spacing w:val="-2"/>
                <w:sz w:val="18"/>
                <w:szCs w:val="18"/>
              </w:rPr>
              <w:t>0.001L</w:t>
            </w:r>
          </w:p>
        </w:tc>
        <w:tc>
          <w:tcPr>
            <w:tcW w:w="639" w:type="dxa"/>
            <w:vAlign w:val="top"/>
          </w:tcPr>
          <w:p w14:paraId="2484200E">
            <w:pPr>
              <w:pStyle w:val="6"/>
              <w:spacing w:before="92" w:line="220" w:lineRule="auto"/>
              <w:ind w:left="69"/>
              <w:rPr>
                <w:sz w:val="18"/>
                <w:szCs w:val="18"/>
              </w:rPr>
            </w:pPr>
            <w:r>
              <w:rPr>
                <w:spacing w:val="-2"/>
                <w:sz w:val="18"/>
                <w:szCs w:val="18"/>
              </w:rPr>
              <w:t>0.004L</w:t>
            </w:r>
          </w:p>
        </w:tc>
        <w:tc>
          <w:tcPr>
            <w:tcW w:w="639" w:type="dxa"/>
            <w:vAlign w:val="top"/>
          </w:tcPr>
          <w:p w14:paraId="42522581">
            <w:pPr>
              <w:pStyle w:val="6"/>
              <w:spacing w:before="92" w:line="220" w:lineRule="auto"/>
              <w:ind w:left="114"/>
              <w:rPr>
                <w:sz w:val="18"/>
                <w:szCs w:val="18"/>
              </w:rPr>
            </w:pPr>
            <w:r>
              <w:rPr>
                <w:spacing w:val="-2"/>
                <w:sz w:val="18"/>
                <w:szCs w:val="18"/>
              </w:rPr>
              <w:t>0.01L</w:t>
            </w:r>
          </w:p>
        </w:tc>
        <w:tc>
          <w:tcPr>
            <w:tcW w:w="640" w:type="dxa"/>
            <w:vAlign w:val="top"/>
          </w:tcPr>
          <w:p w14:paraId="69D1ADB0">
            <w:pPr>
              <w:pStyle w:val="6"/>
              <w:spacing w:before="92" w:line="220" w:lineRule="auto"/>
              <w:ind w:left="72"/>
              <w:rPr>
                <w:sz w:val="18"/>
                <w:szCs w:val="18"/>
              </w:rPr>
            </w:pPr>
            <w:r>
              <w:rPr>
                <w:spacing w:val="-2"/>
                <w:sz w:val="18"/>
                <w:szCs w:val="18"/>
              </w:rPr>
              <w:t>0.009L</w:t>
            </w:r>
          </w:p>
        </w:tc>
        <w:tc>
          <w:tcPr>
            <w:tcW w:w="827" w:type="dxa"/>
            <w:vAlign w:val="top"/>
          </w:tcPr>
          <w:p w14:paraId="11CFCA9E">
            <w:pPr>
              <w:pStyle w:val="6"/>
              <w:spacing w:before="92" w:line="220" w:lineRule="auto"/>
              <w:ind w:left="285"/>
              <w:rPr>
                <w:sz w:val="18"/>
                <w:szCs w:val="18"/>
              </w:rPr>
            </w:pPr>
            <w:r>
              <w:rPr>
                <w:spacing w:val="-1"/>
                <w:sz w:val="18"/>
                <w:szCs w:val="18"/>
              </w:rPr>
              <w:t>220</w:t>
            </w:r>
          </w:p>
        </w:tc>
        <w:tc>
          <w:tcPr>
            <w:tcW w:w="457" w:type="dxa"/>
            <w:vAlign w:val="top"/>
          </w:tcPr>
          <w:p w14:paraId="5C5CC3BB">
            <w:pPr>
              <w:pStyle w:val="6"/>
              <w:spacing w:before="92" w:line="220" w:lineRule="auto"/>
              <w:ind w:left="104"/>
              <w:rPr>
                <w:sz w:val="18"/>
                <w:szCs w:val="18"/>
              </w:rPr>
            </w:pPr>
            <w:r>
              <w:rPr>
                <w:spacing w:val="-2"/>
                <w:sz w:val="18"/>
                <w:szCs w:val="18"/>
              </w:rPr>
              <w:t>353</w:t>
            </w:r>
          </w:p>
        </w:tc>
        <w:tc>
          <w:tcPr>
            <w:tcW w:w="533" w:type="dxa"/>
            <w:vAlign w:val="top"/>
          </w:tcPr>
          <w:p w14:paraId="1FC68B4F">
            <w:pPr>
              <w:pStyle w:val="6"/>
              <w:spacing w:before="92" w:line="220" w:lineRule="auto"/>
              <w:ind w:left="120"/>
              <w:rPr>
                <w:sz w:val="18"/>
                <w:szCs w:val="18"/>
              </w:rPr>
            </w:pPr>
            <w:r>
              <w:rPr>
                <w:spacing w:val="-2"/>
                <w:sz w:val="18"/>
                <w:szCs w:val="18"/>
              </w:rPr>
              <w:t>0.42</w:t>
            </w:r>
          </w:p>
        </w:tc>
        <w:tc>
          <w:tcPr>
            <w:tcW w:w="533" w:type="dxa"/>
            <w:vAlign w:val="top"/>
          </w:tcPr>
          <w:p w14:paraId="02B1D7A3">
            <w:pPr>
              <w:pStyle w:val="6"/>
              <w:spacing w:before="92" w:line="220" w:lineRule="auto"/>
              <w:ind w:left="135"/>
              <w:rPr>
                <w:sz w:val="18"/>
                <w:szCs w:val="18"/>
              </w:rPr>
            </w:pPr>
            <w:r>
              <w:rPr>
                <w:spacing w:val="-6"/>
                <w:sz w:val="18"/>
                <w:szCs w:val="18"/>
              </w:rPr>
              <w:t>1.16</w:t>
            </w:r>
          </w:p>
        </w:tc>
        <w:tc>
          <w:tcPr>
            <w:tcW w:w="533" w:type="dxa"/>
            <w:vAlign w:val="top"/>
          </w:tcPr>
          <w:p w14:paraId="0ABCA513">
            <w:pPr>
              <w:pStyle w:val="6"/>
              <w:spacing w:before="92" w:line="220" w:lineRule="auto"/>
              <w:ind w:left="124"/>
              <w:rPr>
                <w:sz w:val="18"/>
                <w:szCs w:val="18"/>
              </w:rPr>
            </w:pPr>
            <w:r>
              <w:rPr>
                <w:spacing w:val="-3"/>
                <w:sz w:val="18"/>
                <w:szCs w:val="18"/>
              </w:rPr>
              <w:t>5.10</w:t>
            </w:r>
          </w:p>
        </w:tc>
        <w:tc>
          <w:tcPr>
            <w:tcW w:w="533" w:type="dxa"/>
            <w:vAlign w:val="top"/>
          </w:tcPr>
          <w:p w14:paraId="504A564B">
            <w:pPr>
              <w:pStyle w:val="6"/>
              <w:spacing w:before="92" w:line="220" w:lineRule="auto"/>
              <w:ind w:left="124"/>
              <w:rPr>
                <w:sz w:val="18"/>
                <w:szCs w:val="18"/>
              </w:rPr>
            </w:pPr>
            <w:r>
              <w:rPr>
                <w:spacing w:val="-2"/>
                <w:sz w:val="18"/>
                <w:szCs w:val="18"/>
              </w:rPr>
              <w:t>37.1</w:t>
            </w:r>
          </w:p>
        </w:tc>
        <w:tc>
          <w:tcPr>
            <w:tcW w:w="524" w:type="dxa"/>
            <w:tcBorders>
              <w:right w:val="single" w:color="000000" w:sz="12" w:space="0"/>
            </w:tcBorders>
            <w:vAlign w:val="top"/>
          </w:tcPr>
          <w:p w14:paraId="636F9834">
            <w:pPr>
              <w:pStyle w:val="6"/>
              <w:spacing w:before="92" w:line="220" w:lineRule="auto"/>
              <w:ind w:left="105"/>
              <w:rPr>
                <w:sz w:val="18"/>
                <w:szCs w:val="18"/>
              </w:rPr>
            </w:pPr>
            <w:r>
              <w:rPr>
                <w:spacing w:val="-1"/>
                <w:sz w:val="18"/>
                <w:szCs w:val="18"/>
              </w:rPr>
              <w:t>20.5</w:t>
            </w:r>
          </w:p>
        </w:tc>
      </w:tr>
      <w:tr w14:paraId="1B206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5F86451B">
            <w:pPr>
              <w:rPr>
                <w:rFonts w:ascii="Arial"/>
                <w:sz w:val="21"/>
              </w:rPr>
            </w:pPr>
          </w:p>
        </w:tc>
        <w:tc>
          <w:tcPr>
            <w:tcW w:w="245" w:type="dxa"/>
            <w:vMerge w:val="continue"/>
            <w:tcBorders>
              <w:top w:val="nil"/>
              <w:bottom w:val="nil"/>
            </w:tcBorders>
            <w:vAlign w:val="top"/>
          </w:tcPr>
          <w:p w14:paraId="69A4E58F">
            <w:pPr>
              <w:rPr>
                <w:rFonts w:ascii="Arial"/>
                <w:sz w:val="21"/>
              </w:rPr>
            </w:pPr>
          </w:p>
        </w:tc>
        <w:tc>
          <w:tcPr>
            <w:tcW w:w="929" w:type="dxa"/>
            <w:vAlign w:val="top"/>
          </w:tcPr>
          <w:p w14:paraId="04E3B3C2">
            <w:pPr>
              <w:pStyle w:val="6"/>
              <w:spacing w:before="93" w:line="219" w:lineRule="auto"/>
              <w:ind w:left="128"/>
              <w:rPr>
                <w:sz w:val="18"/>
                <w:szCs w:val="18"/>
              </w:rPr>
            </w:pPr>
            <w:r>
              <w:rPr>
                <w:spacing w:val="-1"/>
                <w:sz w:val="18"/>
                <w:szCs w:val="18"/>
              </w:rPr>
              <w:t>2019/8/7</w:t>
            </w:r>
          </w:p>
        </w:tc>
        <w:tc>
          <w:tcPr>
            <w:tcW w:w="606" w:type="dxa"/>
            <w:vAlign w:val="top"/>
          </w:tcPr>
          <w:p w14:paraId="22D1A6EC">
            <w:pPr>
              <w:pStyle w:val="6"/>
              <w:spacing w:before="93" w:line="219" w:lineRule="auto"/>
              <w:ind w:left="133"/>
              <w:rPr>
                <w:sz w:val="18"/>
                <w:szCs w:val="18"/>
              </w:rPr>
            </w:pPr>
            <w:r>
              <w:rPr>
                <w:spacing w:val="-2"/>
                <w:sz w:val="18"/>
                <w:szCs w:val="18"/>
              </w:rPr>
              <w:t>6.55</w:t>
            </w:r>
          </w:p>
        </w:tc>
        <w:tc>
          <w:tcPr>
            <w:tcW w:w="606" w:type="dxa"/>
            <w:vAlign w:val="top"/>
          </w:tcPr>
          <w:p w14:paraId="2B48D141">
            <w:pPr>
              <w:pStyle w:val="6"/>
              <w:spacing w:before="93" w:line="219" w:lineRule="auto"/>
              <w:ind w:left="171"/>
              <w:rPr>
                <w:sz w:val="18"/>
                <w:szCs w:val="18"/>
              </w:rPr>
            </w:pPr>
            <w:r>
              <w:rPr>
                <w:spacing w:val="-5"/>
                <w:sz w:val="18"/>
                <w:szCs w:val="18"/>
              </w:rPr>
              <w:t>189</w:t>
            </w:r>
          </w:p>
        </w:tc>
        <w:tc>
          <w:tcPr>
            <w:tcW w:w="606" w:type="dxa"/>
            <w:vAlign w:val="top"/>
          </w:tcPr>
          <w:p w14:paraId="11E8F1B8">
            <w:pPr>
              <w:pStyle w:val="6"/>
              <w:spacing w:before="93" w:line="219" w:lineRule="auto"/>
              <w:ind w:left="158"/>
              <w:rPr>
                <w:sz w:val="18"/>
                <w:szCs w:val="18"/>
              </w:rPr>
            </w:pPr>
            <w:r>
              <w:rPr>
                <w:spacing w:val="-2"/>
                <w:sz w:val="18"/>
                <w:szCs w:val="18"/>
              </w:rPr>
              <w:t>311</w:t>
            </w:r>
          </w:p>
        </w:tc>
        <w:tc>
          <w:tcPr>
            <w:tcW w:w="606" w:type="dxa"/>
            <w:vAlign w:val="top"/>
          </w:tcPr>
          <w:p w14:paraId="3810EA45">
            <w:pPr>
              <w:pStyle w:val="6"/>
              <w:spacing w:before="96" w:line="186" w:lineRule="auto"/>
              <w:ind w:left="196"/>
              <w:rPr>
                <w:sz w:val="18"/>
                <w:szCs w:val="18"/>
              </w:rPr>
            </w:pPr>
            <w:r>
              <w:rPr>
                <w:spacing w:val="-3"/>
                <w:sz w:val="18"/>
                <w:szCs w:val="18"/>
              </w:rPr>
              <w:t>8L</w:t>
            </w:r>
          </w:p>
        </w:tc>
        <w:tc>
          <w:tcPr>
            <w:tcW w:w="606" w:type="dxa"/>
            <w:vAlign w:val="top"/>
          </w:tcPr>
          <w:p w14:paraId="5B31AD98">
            <w:pPr>
              <w:pStyle w:val="6"/>
              <w:spacing w:before="96" w:line="186" w:lineRule="auto"/>
              <w:ind w:left="162"/>
              <w:rPr>
                <w:sz w:val="18"/>
                <w:szCs w:val="18"/>
              </w:rPr>
            </w:pPr>
            <w:r>
              <w:rPr>
                <w:spacing w:val="-5"/>
                <w:sz w:val="18"/>
                <w:szCs w:val="18"/>
              </w:rPr>
              <w:t>10L</w:t>
            </w:r>
          </w:p>
        </w:tc>
        <w:tc>
          <w:tcPr>
            <w:tcW w:w="606" w:type="dxa"/>
            <w:vAlign w:val="top"/>
          </w:tcPr>
          <w:p w14:paraId="55FAE2EC">
            <w:pPr>
              <w:pStyle w:val="6"/>
              <w:spacing w:before="93" w:line="219" w:lineRule="auto"/>
              <w:ind w:left="82"/>
              <w:rPr>
                <w:sz w:val="18"/>
                <w:szCs w:val="18"/>
              </w:rPr>
            </w:pPr>
            <w:r>
              <w:rPr>
                <w:spacing w:val="-2"/>
                <w:sz w:val="18"/>
                <w:szCs w:val="18"/>
              </w:rPr>
              <w:t>0.03L</w:t>
            </w:r>
          </w:p>
        </w:tc>
        <w:tc>
          <w:tcPr>
            <w:tcW w:w="605" w:type="dxa"/>
            <w:vAlign w:val="top"/>
          </w:tcPr>
          <w:p w14:paraId="3780DAE3">
            <w:pPr>
              <w:pStyle w:val="6"/>
              <w:spacing w:before="93" w:line="219" w:lineRule="auto"/>
              <w:ind w:left="83"/>
              <w:rPr>
                <w:sz w:val="18"/>
                <w:szCs w:val="18"/>
              </w:rPr>
            </w:pPr>
            <w:r>
              <w:rPr>
                <w:spacing w:val="-2"/>
                <w:sz w:val="18"/>
                <w:szCs w:val="18"/>
              </w:rPr>
              <w:t>0.02L</w:t>
            </w:r>
          </w:p>
        </w:tc>
        <w:tc>
          <w:tcPr>
            <w:tcW w:w="563" w:type="dxa"/>
            <w:vAlign w:val="top"/>
          </w:tcPr>
          <w:p w14:paraId="2AD79529">
            <w:pPr>
              <w:pStyle w:val="6"/>
              <w:spacing w:before="93" w:line="219" w:lineRule="auto"/>
              <w:ind w:left="63"/>
              <w:rPr>
                <w:sz w:val="18"/>
                <w:szCs w:val="18"/>
              </w:rPr>
            </w:pPr>
            <w:r>
              <w:rPr>
                <w:spacing w:val="-2"/>
                <w:sz w:val="18"/>
                <w:szCs w:val="18"/>
              </w:rPr>
              <w:t>0.01L</w:t>
            </w:r>
          </w:p>
        </w:tc>
        <w:tc>
          <w:tcPr>
            <w:tcW w:w="562" w:type="dxa"/>
            <w:vAlign w:val="top"/>
          </w:tcPr>
          <w:p w14:paraId="216CBDCC">
            <w:pPr>
              <w:pStyle w:val="6"/>
              <w:spacing w:before="93" w:line="219" w:lineRule="auto"/>
              <w:ind w:left="74"/>
              <w:rPr>
                <w:sz w:val="18"/>
                <w:szCs w:val="18"/>
              </w:rPr>
            </w:pPr>
            <w:r>
              <w:rPr>
                <w:spacing w:val="-2"/>
                <w:sz w:val="18"/>
                <w:szCs w:val="18"/>
              </w:rPr>
              <w:t>0.026</w:t>
            </w:r>
          </w:p>
        </w:tc>
        <w:tc>
          <w:tcPr>
            <w:tcW w:w="696" w:type="dxa"/>
            <w:vAlign w:val="top"/>
          </w:tcPr>
          <w:p w14:paraId="2316E391">
            <w:pPr>
              <w:pStyle w:val="6"/>
              <w:spacing w:before="93" w:line="219" w:lineRule="auto"/>
              <w:ind w:left="41"/>
              <w:rPr>
                <w:sz w:val="18"/>
                <w:szCs w:val="18"/>
              </w:rPr>
            </w:pPr>
            <w:r>
              <w:rPr>
                <w:spacing w:val="-1"/>
                <w:sz w:val="18"/>
                <w:szCs w:val="18"/>
              </w:rPr>
              <w:t>0.0003L</w:t>
            </w:r>
          </w:p>
        </w:tc>
        <w:tc>
          <w:tcPr>
            <w:tcW w:w="605" w:type="dxa"/>
            <w:vAlign w:val="top"/>
          </w:tcPr>
          <w:p w14:paraId="7148A2FF">
            <w:pPr>
              <w:pStyle w:val="6"/>
              <w:spacing w:before="93" w:line="219" w:lineRule="auto"/>
              <w:ind w:left="87"/>
              <w:rPr>
                <w:sz w:val="18"/>
                <w:szCs w:val="18"/>
              </w:rPr>
            </w:pPr>
            <w:r>
              <w:rPr>
                <w:spacing w:val="-2"/>
                <w:sz w:val="18"/>
                <w:szCs w:val="18"/>
              </w:rPr>
              <w:t>0.05L</w:t>
            </w:r>
          </w:p>
        </w:tc>
        <w:tc>
          <w:tcPr>
            <w:tcW w:w="582" w:type="dxa"/>
            <w:vAlign w:val="top"/>
          </w:tcPr>
          <w:p w14:paraId="25E2C715">
            <w:pPr>
              <w:pStyle w:val="6"/>
              <w:spacing w:before="93" w:line="219" w:lineRule="auto"/>
              <w:ind w:left="132"/>
              <w:rPr>
                <w:sz w:val="18"/>
                <w:szCs w:val="18"/>
              </w:rPr>
            </w:pPr>
            <w:r>
              <w:rPr>
                <w:spacing w:val="-2"/>
                <w:sz w:val="18"/>
                <w:szCs w:val="18"/>
              </w:rPr>
              <w:t>0.01</w:t>
            </w:r>
          </w:p>
        </w:tc>
        <w:tc>
          <w:tcPr>
            <w:tcW w:w="583" w:type="dxa"/>
            <w:vAlign w:val="top"/>
          </w:tcPr>
          <w:p w14:paraId="70E8C688">
            <w:pPr>
              <w:pStyle w:val="6"/>
              <w:spacing w:before="93" w:line="219" w:lineRule="auto"/>
              <w:ind w:left="133"/>
              <w:rPr>
                <w:sz w:val="18"/>
                <w:szCs w:val="18"/>
              </w:rPr>
            </w:pPr>
            <w:r>
              <w:rPr>
                <w:spacing w:val="-2"/>
                <w:sz w:val="18"/>
                <w:szCs w:val="18"/>
              </w:rPr>
              <w:t>0.04</w:t>
            </w:r>
          </w:p>
        </w:tc>
        <w:tc>
          <w:tcPr>
            <w:tcW w:w="582" w:type="dxa"/>
            <w:vAlign w:val="top"/>
          </w:tcPr>
          <w:p w14:paraId="067EBCBC">
            <w:pPr>
              <w:pStyle w:val="6"/>
              <w:spacing w:before="93" w:line="219" w:lineRule="auto"/>
              <w:ind w:left="33"/>
              <w:rPr>
                <w:sz w:val="18"/>
                <w:szCs w:val="18"/>
              </w:rPr>
            </w:pPr>
            <w:r>
              <w:rPr>
                <w:spacing w:val="-2"/>
                <w:sz w:val="18"/>
                <w:szCs w:val="18"/>
              </w:rPr>
              <w:t>0.003L</w:t>
            </w:r>
          </w:p>
        </w:tc>
        <w:tc>
          <w:tcPr>
            <w:tcW w:w="582" w:type="dxa"/>
            <w:vAlign w:val="top"/>
          </w:tcPr>
          <w:p w14:paraId="129B41B8">
            <w:pPr>
              <w:pStyle w:val="6"/>
              <w:spacing w:before="93" w:line="219" w:lineRule="auto"/>
              <w:ind w:left="90"/>
              <w:rPr>
                <w:sz w:val="18"/>
                <w:szCs w:val="18"/>
              </w:rPr>
            </w:pPr>
            <w:r>
              <w:rPr>
                <w:spacing w:val="-2"/>
                <w:sz w:val="18"/>
                <w:szCs w:val="18"/>
              </w:rPr>
              <w:t>0.099</w:t>
            </w:r>
          </w:p>
        </w:tc>
        <w:tc>
          <w:tcPr>
            <w:tcW w:w="582" w:type="dxa"/>
            <w:vAlign w:val="top"/>
          </w:tcPr>
          <w:p w14:paraId="3A061948">
            <w:pPr>
              <w:pStyle w:val="6"/>
              <w:spacing w:before="93" w:line="219" w:lineRule="auto"/>
              <w:ind w:left="80"/>
              <w:rPr>
                <w:sz w:val="18"/>
                <w:szCs w:val="18"/>
              </w:rPr>
            </w:pPr>
            <w:r>
              <w:rPr>
                <w:spacing w:val="-2"/>
                <w:sz w:val="18"/>
                <w:szCs w:val="18"/>
              </w:rPr>
              <w:t>0.05L</w:t>
            </w:r>
          </w:p>
        </w:tc>
        <w:tc>
          <w:tcPr>
            <w:tcW w:w="581" w:type="dxa"/>
            <w:vAlign w:val="top"/>
          </w:tcPr>
          <w:p w14:paraId="2ABF44B6">
            <w:pPr>
              <w:pStyle w:val="6"/>
              <w:spacing w:before="93" w:line="219" w:lineRule="auto"/>
              <w:ind w:left="37"/>
              <w:rPr>
                <w:sz w:val="18"/>
                <w:szCs w:val="18"/>
              </w:rPr>
            </w:pPr>
            <w:r>
              <w:rPr>
                <w:spacing w:val="-2"/>
                <w:sz w:val="18"/>
                <w:szCs w:val="18"/>
              </w:rPr>
              <w:t>0.004L</w:t>
            </w:r>
          </w:p>
        </w:tc>
        <w:tc>
          <w:tcPr>
            <w:tcW w:w="851" w:type="dxa"/>
            <w:vAlign w:val="top"/>
          </w:tcPr>
          <w:p w14:paraId="1941AD3A">
            <w:pPr>
              <w:pStyle w:val="6"/>
              <w:spacing w:before="93" w:line="219" w:lineRule="auto"/>
              <w:ind w:left="139"/>
              <w:rPr>
                <w:sz w:val="18"/>
                <w:szCs w:val="18"/>
              </w:rPr>
            </w:pPr>
            <w:r>
              <w:rPr>
                <w:spacing w:val="-1"/>
                <w:sz w:val="18"/>
                <w:szCs w:val="18"/>
              </w:rPr>
              <w:t>0.00021</w:t>
            </w:r>
          </w:p>
        </w:tc>
        <w:tc>
          <w:tcPr>
            <w:tcW w:w="644" w:type="dxa"/>
            <w:vAlign w:val="top"/>
          </w:tcPr>
          <w:p w14:paraId="4BA8D8EC">
            <w:pPr>
              <w:pStyle w:val="6"/>
              <w:spacing w:before="93" w:line="219" w:lineRule="auto"/>
              <w:ind w:left="81"/>
              <w:rPr>
                <w:sz w:val="18"/>
                <w:szCs w:val="18"/>
              </w:rPr>
            </w:pPr>
            <w:r>
              <w:rPr>
                <w:spacing w:val="-2"/>
                <w:sz w:val="18"/>
                <w:szCs w:val="18"/>
              </w:rPr>
              <w:t>0.0068</w:t>
            </w:r>
          </w:p>
        </w:tc>
        <w:tc>
          <w:tcPr>
            <w:tcW w:w="639" w:type="dxa"/>
            <w:vAlign w:val="top"/>
          </w:tcPr>
          <w:p w14:paraId="360A42DC">
            <w:pPr>
              <w:pStyle w:val="6"/>
              <w:spacing w:before="93" w:line="219" w:lineRule="auto"/>
              <w:ind w:left="22"/>
              <w:rPr>
                <w:sz w:val="18"/>
                <w:szCs w:val="18"/>
              </w:rPr>
            </w:pPr>
            <w:r>
              <w:rPr>
                <w:spacing w:val="-1"/>
                <w:sz w:val="18"/>
                <w:szCs w:val="18"/>
              </w:rPr>
              <w:t>0.0004L</w:t>
            </w:r>
          </w:p>
        </w:tc>
        <w:tc>
          <w:tcPr>
            <w:tcW w:w="640" w:type="dxa"/>
            <w:vAlign w:val="top"/>
          </w:tcPr>
          <w:p w14:paraId="22BF4EFB">
            <w:pPr>
              <w:pStyle w:val="6"/>
              <w:spacing w:before="93" w:line="219" w:lineRule="auto"/>
              <w:ind w:left="70"/>
              <w:rPr>
                <w:sz w:val="18"/>
                <w:szCs w:val="18"/>
              </w:rPr>
            </w:pPr>
            <w:r>
              <w:rPr>
                <w:spacing w:val="-2"/>
                <w:sz w:val="18"/>
                <w:szCs w:val="18"/>
              </w:rPr>
              <w:t>0.001L</w:t>
            </w:r>
          </w:p>
        </w:tc>
        <w:tc>
          <w:tcPr>
            <w:tcW w:w="639" w:type="dxa"/>
            <w:vAlign w:val="top"/>
          </w:tcPr>
          <w:p w14:paraId="476A7A8E">
            <w:pPr>
              <w:pStyle w:val="6"/>
              <w:spacing w:before="93" w:line="219" w:lineRule="auto"/>
              <w:ind w:left="69"/>
              <w:rPr>
                <w:sz w:val="18"/>
                <w:szCs w:val="18"/>
              </w:rPr>
            </w:pPr>
            <w:r>
              <w:rPr>
                <w:spacing w:val="-2"/>
                <w:sz w:val="18"/>
                <w:szCs w:val="18"/>
              </w:rPr>
              <w:t>0.004L</w:t>
            </w:r>
          </w:p>
        </w:tc>
        <w:tc>
          <w:tcPr>
            <w:tcW w:w="639" w:type="dxa"/>
            <w:vAlign w:val="top"/>
          </w:tcPr>
          <w:p w14:paraId="11EF2358">
            <w:pPr>
              <w:pStyle w:val="6"/>
              <w:spacing w:before="93" w:line="219" w:lineRule="auto"/>
              <w:ind w:left="114"/>
              <w:rPr>
                <w:sz w:val="18"/>
                <w:szCs w:val="18"/>
              </w:rPr>
            </w:pPr>
            <w:r>
              <w:rPr>
                <w:spacing w:val="-2"/>
                <w:sz w:val="18"/>
                <w:szCs w:val="18"/>
              </w:rPr>
              <w:t>0.01L</w:t>
            </w:r>
          </w:p>
        </w:tc>
        <w:tc>
          <w:tcPr>
            <w:tcW w:w="640" w:type="dxa"/>
            <w:vAlign w:val="top"/>
          </w:tcPr>
          <w:p w14:paraId="43718A85">
            <w:pPr>
              <w:pStyle w:val="6"/>
              <w:spacing w:before="93" w:line="219" w:lineRule="auto"/>
              <w:ind w:left="72"/>
              <w:rPr>
                <w:sz w:val="18"/>
                <w:szCs w:val="18"/>
              </w:rPr>
            </w:pPr>
            <w:r>
              <w:rPr>
                <w:spacing w:val="-2"/>
                <w:sz w:val="18"/>
                <w:szCs w:val="18"/>
              </w:rPr>
              <w:t>0.009L</w:t>
            </w:r>
          </w:p>
        </w:tc>
        <w:tc>
          <w:tcPr>
            <w:tcW w:w="827" w:type="dxa"/>
            <w:vAlign w:val="top"/>
          </w:tcPr>
          <w:p w14:paraId="06E9B497">
            <w:pPr>
              <w:pStyle w:val="6"/>
              <w:spacing w:before="93" w:line="219" w:lineRule="auto"/>
              <w:ind w:left="285"/>
              <w:rPr>
                <w:sz w:val="18"/>
                <w:szCs w:val="18"/>
              </w:rPr>
            </w:pPr>
            <w:r>
              <w:rPr>
                <w:spacing w:val="-1"/>
                <w:sz w:val="18"/>
                <w:szCs w:val="18"/>
              </w:rPr>
              <w:t>240</w:t>
            </w:r>
          </w:p>
        </w:tc>
        <w:tc>
          <w:tcPr>
            <w:tcW w:w="457" w:type="dxa"/>
            <w:vAlign w:val="top"/>
          </w:tcPr>
          <w:p w14:paraId="0374B40C">
            <w:pPr>
              <w:pStyle w:val="6"/>
              <w:spacing w:before="93" w:line="219" w:lineRule="auto"/>
              <w:ind w:left="104"/>
              <w:rPr>
                <w:sz w:val="18"/>
                <w:szCs w:val="18"/>
              </w:rPr>
            </w:pPr>
            <w:r>
              <w:rPr>
                <w:spacing w:val="-2"/>
                <w:sz w:val="18"/>
                <w:szCs w:val="18"/>
              </w:rPr>
              <w:t>339</w:t>
            </w:r>
          </w:p>
        </w:tc>
        <w:tc>
          <w:tcPr>
            <w:tcW w:w="533" w:type="dxa"/>
            <w:vAlign w:val="top"/>
          </w:tcPr>
          <w:p w14:paraId="297780E0">
            <w:pPr>
              <w:pStyle w:val="6"/>
              <w:spacing w:before="93" w:line="219" w:lineRule="auto"/>
              <w:ind w:left="120"/>
              <w:rPr>
                <w:sz w:val="18"/>
                <w:szCs w:val="18"/>
              </w:rPr>
            </w:pPr>
            <w:r>
              <w:rPr>
                <w:spacing w:val="-2"/>
                <w:sz w:val="18"/>
                <w:szCs w:val="18"/>
              </w:rPr>
              <w:t>0.38</w:t>
            </w:r>
          </w:p>
        </w:tc>
        <w:tc>
          <w:tcPr>
            <w:tcW w:w="533" w:type="dxa"/>
            <w:vAlign w:val="top"/>
          </w:tcPr>
          <w:p w14:paraId="16BEDD15">
            <w:pPr>
              <w:pStyle w:val="6"/>
              <w:spacing w:before="93" w:line="219" w:lineRule="auto"/>
              <w:ind w:left="122"/>
              <w:rPr>
                <w:sz w:val="18"/>
                <w:szCs w:val="18"/>
              </w:rPr>
            </w:pPr>
            <w:r>
              <w:rPr>
                <w:spacing w:val="-2"/>
                <w:sz w:val="18"/>
                <w:szCs w:val="18"/>
              </w:rPr>
              <w:t>3.82</w:t>
            </w:r>
          </w:p>
        </w:tc>
        <w:tc>
          <w:tcPr>
            <w:tcW w:w="533" w:type="dxa"/>
            <w:vAlign w:val="top"/>
          </w:tcPr>
          <w:p w14:paraId="24E3E615">
            <w:pPr>
              <w:pStyle w:val="6"/>
              <w:spacing w:before="93" w:line="219" w:lineRule="auto"/>
              <w:ind w:left="124"/>
              <w:rPr>
                <w:sz w:val="18"/>
                <w:szCs w:val="18"/>
              </w:rPr>
            </w:pPr>
            <w:r>
              <w:rPr>
                <w:spacing w:val="-3"/>
                <w:sz w:val="18"/>
                <w:szCs w:val="18"/>
              </w:rPr>
              <w:t>5.09</w:t>
            </w:r>
          </w:p>
        </w:tc>
        <w:tc>
          <w:tcPr>
            <w:tcW w:w="533" w:type="dxa"/>
            <w:vAlign w:val="top"/>
          </w:tcPr>
          <w:p w14:paraId="0A707D30">
            <w:pPr>
              <w:pStyle w:val="6"/>
              <w:spacing w:before="93" w:line="219" w:lineRule="auto"/>
              <w:ind w:left="124"/>
              <w:rPr>
                <w:sz w:val="18"/>
                <w:szCs w:val="18"/>
              </w:rPr>
            </w:pPr>
            <w:r>
              <w:rPr>
                <w:spacing w:val="-2"/>
                <w:sz w:val="18"/>
                <w:szCs w:val="18"/>
              </w:rPr>
              <w:t>37.0</w:t>
            </w:r>
          </w:p>
        </w:tc>
        <w:tc>
          <w:tcPr>
            <w:tcW w:w="524" w:type="dxa"/>
            <w:tcBorders>
              <w:right w:val="single" w:color="000000" w:sz="12" w:space="0"/>
            </w:tcBorders>
            <w:vAlign w:val="top"/>
          </w:tcPr>
          <w:p w14:paraId="20770233">
            <w:pPr>
              <w:pStyle w:val="6"/>
              <w:spacing w:before="93" w:line="219" w:lineRule="auto"/>
              <w:ind w:left="105"/>
              <w:rPr>
                <w:sz w:val="18"/>
                <w:szCs w:val="18"/>
              </w:rPr>
            </w:pPr>
            <w:r>
              <w:rPr>
                <w:spacing w:val="-1"/>
                <w:sz w:val="18"/>
                <w:szCs w:val="18"/>
              </w:rPr>
              <w:t>20.4</w:t>
            </w:r>
          </w:p>
        </w:tc>
      </w:tr>
      <w:tr w14:paraId="49AEC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6830E290">
            <w:pPr>
              <w:rPr>
                <w:rFonts w:ascii="Arial"/>
                <w:sz w:val="21"/>
              </w:rPr>
            </w:pPr>
          </w:p>
        </w:tc>
        <w:tc>
          <w:tcPr>
            <w:tcW w:w="245" w:type="dxa"/>
            <w:vMerge w:val="continue"/>
            <w:tcBorders>
              <w:top w:val="nil"/>
            </w:tcBorders>
            <w:vAlign w:val="top"/>
          </w:tcPr>
          <w:p w14:paraId="5EC57ACB">
            <w:pPr>
              <w:rPr>
                <w:rFonts w:ascii="Arial"/>
                <w:sz w:val="21"/>
              </w:rPr>
            </w:pPr>
          </w:p>
        </w:tc>
        <w:tc>
          <w:tcPr>
            <w:tcW w:w="929" w:type="dxa"/>
            <w:vAlign w:val="top"/>
          </w:tcPr>
          <w:p w14:paraId="58C6A197">
            <w:pPr>
              <w:pStyle w:val="6"/>
              <w:spacing w:before="93" w:line="216" w:lineRule="auto"/>
              <w:ind w:left="128"/>
              <w:rPr>
                <w:sz w:val="18"/>
                <w:szCs w:val="18"/>
              </w:rPr>
            </w:pPr>
            <w:r>
              <w:rPr>
                <w:spacing w:val="-1"/>
                <w:sz w:val="18"/>
                <w:szCs w:val="18"/>
              </w:rPr>
              <w:t>2019/8/8</w:t>
            </w:r>
          </w:p>
        </w:tc>
        <w:tc>
          <w:tcPr>
            <w:tcW w:w="606" w:type="dxa"/>
            <w:vAlign w:val="top"/>
          </w:tcPr>
          <w:p w14:paraId="48474F5E">
            <w:pPr>
              <w:pStyle w:val="6"/>
              <w:spacing w:before="99" w:line="209" w:lineRule="auto"/>
              <w:ind w:left="132"/>
              <w:rPr>
                <w:sz w:val="18"/>
                <w:szCs w:val="18"/>
              </w:rPr>
            </w:pPr>
            <w:r>
              <w:rPr>
                <w:b/>
                <w:bCs/>
                <w:spacing w:val="-2"/>
                <w:sz w:val="18"/>
                <w:szCs w:val="18"/>
              </w:rPr>
              <w:t>6.45</w:t>
            </w:r>
          </w:p>
        </w:tc>
        <w:tc>
          <w:tcPr>
            <w:tcW w:w="606" w:type="dxa"/>
            <w:vAlign w:val="top"/>
          </w:tcPr>
          <w:p w14:paraId="055FD29A">
            <w:pPr>
              <w:pStyle w:val="6"/>
              <w:spacing w:before="93" w:line="216" w:lineRule="auto"/>
              <w:ind w:left="153"/>
              <w:rPr>
                <w:sz w:val="18"/>
                <w:szCs w:val="18"/>
              </w:rPr>
            </w:pPr>
            <w:r>
              <w:rPr>
                <w:spacing w:val="-1"/>
                <w:sz w:val="18"/>
                <w:szCs w:val="18"/>
              </w:rPr>
              <w:t>214</w:t>
            </w:r>
          </w:p>
        </w:tc>
        <w:tc>
          <w:tcPr>
            <w:tcW w:w="606" w:type="dxa"/>
            <w:vAlign w:val="top"/>
          </w:tcPr>
          <w:p w14:paraId="7877C8E1">
            <w:pPr>
              <w:pStyle w:val="6"/>
              <w:spacing w:before="93" w:line="216" w:lineRule="auto"/>
              <w:ind w:left="158"/>
              <w:rPr>
                <w:sz w:val="18"/>
                <w:szCs w:val="18"/>
              </w:rPr>
            </w:pPr>
            <w:r>
              <w:rPr>
                <w:spacing w:val="-2"/>
                <w:sz w:val="18"/>
                <w:szCs w:val="18"/>
              </w:rPr>
              <w:t>335</w:t>
            </w:r>
          </w:p>
        </w:tc>
        <w:tc>
          <w:tcPr>
            <w:tcW w:w="606" w:type="dxa"/>
            <w:vAlign w:val="top"/>
          </w:tcPr>
          <w:p w14:paraId="12424C41">
            <w:pPr>
              <w:pStyle w:val="6"/>
              <w:spacing w:before="96" w:line="186" w:lineRule="auto"/>
              <w:ind w:left="196"/>
              <w:rPr>
                <w:sz w:val="18"/>
                <w:szCs w:val="18"/>
              </w:rPr>
            </w:pPr>
            <w:r>
              <w:rPr>
                <w:spacing w:val="-3"/>
                <w:sz w:val="18"/>
                <w:szCs w:val="18"/>
              </w:rPr>
              <w:t>8L</w:t>
            </w:r>
          </w:p>
        </w:tc>
        <w:tc>
          <w:tcPr>
            <w:tcW w:w="606" w:type="dxa"/>
            <w:vAlign w:val="top"/>
          </w:tcPr>
          <w:p w14:paraId="70328111">
            <w:pPr>
              <w:pStyle w:val="6"/>
              <w:spacing w:before="96" w:line="186" w:lineRule="auto"/>
              <w:ind w:left="162"/>
              <w:rPr>
                <w:sz w:val="18"/>
                <w:szCs w:val="18"/>
              </w:rPr>
            </w:pPr>
            <w:r>
              <w:rPr>
                <w:spacing w:val="-5"/>
                <w:sz w:val="18"/>
                <w:szCs w:val="18"/>
              </w:rPr>
              <w:t>10L</w:t>
            </w:r>
          </w:p>
        </w:tc>
        <w:tc>
          <w:tcPr>
            <w:tcW w:w="606" w:type="dxa"/>
            <w:vAlign w:val="top"/>
          </w:tcPr>
          <w:p w14:paraId="00BEA2EC">
            <w:pPr>
              <w:pStyle w:val="6"/>
              <w:spacing w:before="93" w:line="216" w:lineRule="auto"/>
              <w:ind w:left="82"/>
              <w:rPr>
                <w:sz w:val="18"/>
                <w:szCs w:val="18"/>
              </w:rPr>
            </w:pPr>
            <w:r>
              <w:rPr>
                <w:spacing w:val="-2"/>
                <w:sz w:val="18"/>
                <w:szCs w:val="18"/>
              </w:rPr>
              <w:t>0.03L</w:t>
            </w:r>
          </w:p>
        </w:tc>
        <w:tc>
          <w:tcPr>
            <w:tcW w:w="605" w:type="dxa"/>
            <w:vAlign w:val="top"/>
          </w:tcPr>
          <w:p w14:paraId="0A349A8C">
            <w:pPr>
              <w:pStyle w:val="6"/>
              <w:spacing w:before="93" w:line="216" w:lineRule="auto"/>
              <w:ind w:left="83"/>
              <w:rPr>
                <w:sz w:val="18"/>
                <w:szCs w:val="18"/>
              </w:rPr>
            </w:pPr>
            <w:r>
              <w:rPr>
                <w:spacing w:val="-2"/>
                <w:sz w:val="18"/>
                <w:szCs w:val="18"/>
              </w:rPr>
              <w:t>0.02L</w:t>
            </w:r>
          </w:p>
        </w:tc>
        <w:tc>
          <w:tcPr>
            <w:tcW w:w="563" w:type="dxa"/>
            <w:vAlign w:val="top"/>
          </w:tcPr>
          <w:p w14:paraId="55F08E80">
            <w:pPr>
              <w:pStyle w:val="6"/>
              <w:spacing w:before="93" w:line="216" w:lineRule="auto"/>
              <w:ind w:left="63"/>
              <w:rPr>
                <w:sz w:val="18"/>
                <w:szCs w:val="18"/>
              </w:rPr>
            </w:pPr>
            <w:r>
              <w:rPr>
                <w:spacing w:val="-2"/>
                <w:sz w:val="18"/>
                <w:szCs w:val="18"/>
              </w:rPr>
              <w:t>0.01L</w:t>
            </w:r>
          </w:p>
        </w:tc>
        <w:tc>
          <w:tcPr>
            <w:tcW w:w="562" w:type="dxa"/>
            <w:vAlign w:val="top"/>
          </w:tcPr>
          <w:p w14:paraId="24252C1B">
            <w:pPr>
              <w:pStyle w:val="6"/>
              <w:spacing w:before="93" w:line="216" w:lineRule="auto"/>
              <w:ind w:left="74"/>
              <w:rPr>
                <w:sz w:val="18"/>
                <w:szCs w:val="18"/>
              </w:rPr>
            </w:pPr>
            <w:r>
              <w:rPr>
                <w:spacing w:val="-2"/>
                <w:sz w:val="18"/>
                <w:szCs w:val="18"/>
              </w:rPr>
              <w:t>0.026</w:t>
            </w:r>
          </w:p>
        </w:tc>
        <w:tc>
          <w:tcPr>
            <w:tcW w:w="696" w:type="dxa"/>
            <w:vAlign w:val="top"/>
          </w:tcPr>
          <w:p w14:paraId="7019BB82">
            <w:pPr>
              <w:pStyle w:val="6"/>
              <w:spacing w:before="93" w:line="216" w:lineRule="auto"/>
              <w:ind w:left="41"/>
              <w:rPr>
                <w:sz w:val="18"/>
                <w:szCs w:val="18"/>
              </w:rPr>
            </w:pPr>
            <w:r>
              <w:rPr>
                <w:spacing w:val="-1"/>
                <w:sz w:val="18"/>
                <w:szCs w:val="18"/>
              </w:rPr>
              <w:t>0.0003L</w:t>
            </w:r>
          </w:p>
        </w:tc>
        <w:tc>
          <w:tcPr>
            <w:tcW w:w="605" w:type="dxa"/>
            <w:vAlign w:val="top"/>
          </w:tcPr>
          <w:p w14:paraId="4039719F">
            <w:pPr>
              <w:pStyle w:val="6"/>
              <w:spacing w:before="93" w:line="216" w:lineRule="auto"/>
              <w:ind w:left="87"/>
              <w:rPr>
                <w:sz w:val="18"/>
                <w:szCs w:val="18"/>
              </w:rPr>
            </w:pPr>
            <w:r>
              <w:rPr>
                <w:spacing w:val="-2"/>
                <w:sz w:val="18"/>
                <w:szCs w:val="18"/>
              </w:rPr>
              <w:t>0.05L</w:t>
            </w:r>
          </w:p>
        </w:tc>
        <w:tc>
          <w:tcPr>
            <w:tcW w:w="582" w:type="dxa"/>
            <w:vAlign w:val="top"/>
          </w:tcPr>
          <w:p w14:paraId="1C069E63">
            <w:pPr>
              <w:pStyle w:val="6"/>
              <w:spacing w:before="93" w:line="216" w:lineRule="auto"/>
              <w:ind w:left="132"/>
              <w:rPr>
                <w:sz w:val="18"/>
                <w:szCs w:val="18"/>
              </w:rPr>
            </w:pPr>
            <w:r>
              <w:rPr>
                <w:spacing w:val="-2"/>
                <w:sz w:val="18"/>
                <w:szCs w:val="18"/>
              </w:rPr>
              <w:t>0.02</w:t>
            </w:r>
          </w:p>
        </w:tc>
        <w:tc>
          <w:tcPr>
            <w:tcW w:w="583" w:type="dxa"/>
            <w:vAlign w:val="top"/>
          </w:tcPr>
          <w:p w14:paraId="0D163E32">
            <w:pPr>
              <w:pStyle w:val="6"/>
              <w:spacing w:before="93" w:line="216" w:lineRule="auto"/>
              <w:ind w:left="133"/>
              <w:rPr>
                <w:sz w:val="18"/>
                <w:szCs w:val="18"/>
              </w:rPr>
            </w:pPr>
            <w:r>
              <w:rPr>
                <w:spacing w:val="-2"/>
                <w:sz w:val="18"/>
                <w:szCs w:val="18"/>
              </w:rPr>
              <w:t>0.04</w:t>
            </w:r>
          </w:p>
        </w:tc>
        <w:tc>
          <w:tcPr>
            <w:tcW w:w="582" w:type="dxa"/>
            <w:vAlign w:val="top"/>
          </w:tcPr>
          <w:p w14:paraId="1DC092CD">
            <w:pPr>
              <w:pStyle w:val="6"/>
              <w:spacing w:before="93" w:line="216" w:lineRule="auto"/>
              <w:ind w:left="33"/>
              <w:rPr>
                <w:sz w:val="18"/>
                <w:szCs w:val="18"/>
              </w:rPr>
            </w:pPr>
            <w:r>
              <w:rPr>
                <w:spacing w:val="-2"/>
                <w:sz w:val="18"/>
                <w:szCs w:val="18"/>
              </w:rPr>
              <w:t>0.003L</w:t>
            </w:r>
          </w:p>
        </w:tc>
        <w:tc>
          <w:tcPr>
            <w:tcW w:w="582" w:type="dxa"/>
            <w:vAlign w:val="top"/>
          </w:tcPr>
          <w:p w14:paraId="72D32316">
            <w:pPr>
              <w:pStyle w:val="6"/>
              <w:spacing w:before="93" w:line="216" w:lineRule="auto"/>
              <w:ind w:left="90"/>
              <w:rPr>
                <w:sz w:val="18"/>
                <w:szCs w:val="18"/>
              </w:rPr>
            </w:pPr>
            <w:r>
              <w:rPr>
                <w:spacing w:val="-2"/>
                <w:sz w:val="18"/>
                <w:szCs w:val="18"/>
              </w:rPr>
              <w:t>0.108</w:t>
            </w:r>
          </w:p>
        </w:tc>
        <w:tc>
          <w:tcPr>
            <w:tcW w:w="582" w:type="dxa"/>
            <w:vAlign w:val="top"/>
          </w:tcPr>
          <w:p w14:paraId="4BA63B29">
            <w:pPr>
              <w:pStyle w:val="6"/>
              <w:spacing w:before="93" w:line="216" w:lineRule="auto"/>
              <w:ind w:left="80"/>
              <w:rPr>
                <w:sz w:val="18"/>
                <w:szCs w:val="18"/>
              </w:rPr>
            </w:pPr>
            <w:r>
              <w:rPr>
                <w:spacing w:val="-2"/>
                <w:sz w:val="18"/>
                <w:szCs w:val="18"/>
              </w:rPr>
              <w:t>0.05L</w:t>
            </w:r>
          </w:p>
        </w:tc>
        <w:tc>
          <w:tcPr>
            <w:tcW w:w="581" w:type="dxa"/>
            <w:vAlign w:val="top"/>
          </w:tcPr>
          <w:p w14:paraId="2EDB1B8E">
            <w:pPr>
              <w:pStyle w:val="6"/>
              <w:spacing w:before="93" w:line="216" w:lineRule="auto"/>
              <w:ind w:left="37"/>
              <w:rPr>
                <w:sz w:val="18"/>
                <w:szCs w:val="18"/>
              </w:rPr>
            </w:pPr>
            <w:r>
              <w:rPr>
                <w:spacing w:val="-2"/>
                <w:sz w:val="18"/>
                <w:szCs w:val="18"/>
              </w:rPr>
              <w:t>0.004L</w:t>
            </w:r>
          </w:p>
        </w:tc>
        <w:tc>
          <w:tcPr>
            <w:tcW w:w="851" w:type="dxa"/>
            <w:vAlign w:val="top"/>
          </w:tcPr>
          <w:p w14:paraId="55002BD2">
            <w:pPr>
              <w:pStyle w:val="6"/>
              <w:spacing w:before="93" w:line="216" w:lineRule="auto"/>
              <w:ind w:left="139"/>
              <w:rPr>
                <w:sz w:val="18"/>
                <w:szCs w:val="18"/>
              </w:rPr>
            </w:pPr>
            <w:r>
              <w:rPr>
                <w:spacing w:val="-1"/>
                <w:sz w:val="18"/>
                <w:szCs w:val="18"/>
              </w:rPr>
              <w:t>0.00021</w:t>
            </w:r>
          </w:p>
        </w:tc>
        <w:tc>
          <w:tcPr>
            <w:tcW w:w="644" w:type="dxa"/>
            <w:vAlign w:val="top"/>
          </w:tcPr>
          <w:p w14:paraId="5B6B4728">
            <w:pPr>
              <w:pStyle w:val="6"/>
              <w:spacing w:before="93" w:line="216" w:lineRule="auto"/>
              <w:ind w:left="81"/>
              <w:rPr>
                <w:sz w:val="18"/>
                <w:szCs w:val="18"/>
              </w:rPr>
            </w:pPr>
            <w:r>
              <w:rPr>
                <w:spacing w:val="-2"/>
                <w:sz w:val="18"/>
                <w:szCs w:val="18"/>
              </w:rPr>
              <w:t>0.0070</w:t>
            </w:r>
          </w:p>
        </w:tc>
        <w:tc>
          <w:tcPr>
            <w:tcW w:w="639" w:type="dxa"/>
            <w:vAlign w:val="top"/>
          </w:tcPr>
          <w:p w14:paraId="7A591D58">
            <w:pPr>
              <w:pStyle w:val="6"/>
              <w:spacing w:before="93" w:line="216" w:lineRule="auto"/>
              <w:ind w:left="22"/>
              <w:rPr>
                <w:sz w:val="18"/>
                <w:szCs w:val="18"/>
              </w:rPr>
            </w:pPr>
            <w:r>
              <w:rPr>
                <w:spacing w:val="-1"/>
                <w:sz w:val="18"/>
                <w:szCs w:val="18"/>
              </w:rPr>
              <w:t>0.0004L</w:t>
            </w:r>
          </w:p>
        </w:tc>
        <w:tc>
          <w:tcPr>
            <w:tcW w:w="640" w:type="dxa"/>
            <w:vAlign w:val="top"/>
          </w:tcPr>
          <w:p w14:paraId="469E5E02">
            <w:pPr>
              <w:pStyle w:val="6"/>
              <w:spacing w:before="93" w:line="216" w:lineRule="auto"/>
              <w:ind w:left="70"/>
              <w:rPr>
                <w:sz w:val="18"/>
                <w:szCs w:val="18"/>
              </w:rPr>
            </w:pPr>
            <w:r>
              <w:rPr>
                <w:spacing w:val="-2"/>
                <w:sz w:val="18"/>
                <w:szCs w:val="18"/>
              </w:rPr>
              <w:t>0.001L</w:t>
            </w:r>
          </w:p>
        </w:tc>
        <w:tc>
          <w:tcPr>
            <w:tcW w:w="639" w:type="dxa"/>
            <w:vAlign w:val="top"/>
          </w:tcPr>
          <w:p w14:paraId="7A5A826B">
            <w:pPr>
              <w:pStyle w:val="6"/>
              <w:spacing w:before="93" w:line="216" w:lineRule="auto"/>
              <w:ind w:left="69"/>
              <w:rPr>
                <w:sz w:val="18"/>
                <w:szCs w:val="18"/>
              </w:rPr>
            </w:pPr>
            <w:r>
              <w:rPr>
                <w:spacing w:val="-2"/>
                <w:sz w:val="18"/>
                <w:szCs w:val="18"/>
              </w:rPr>
              <w:t>0.004L</w:t>
            </w:r>
          </w:p>
        </w:tc>
        <w:tc>
          <w:tcPr>
            <w:tcW w:w="639" w:type="dxa"/>
            <w:vAlign w:val="top"/>
          </w:tcPr>
          <w:p w14:paraId="383FFA7C">
            <w:pPr>
              <w:pStyle w:val="6"/>
              <w:spacing w:before="93" w:line="216" w:lineRule="auto"/>
              <w:ind w:left="114"/>
              <w:rPr>
                <w:sz w:val="18"/>
                <w:szCs w:val="18"/>
              </w:rPr>
            </w:pPr>
            <w:r>
              <w:rPr>
                <w:spacing w:val="-2"/>
                <w:sz w:val="18"/>
                <w:szCs w:val="18"/>
              </w:rPr>
              <w:t>0.01L</w:t>
            </w:r>
          </w:p>
        </w:tc>
        <w:tc>
          <w:tcPr>
            <w:tcW w:w="640" w:type="dxa"/>
            <w:vAlign w:val="top"/>
          </w:tcPr>
          <w:p w14:paraId="261B2BB7">
            <w:pPr>
              <w:pStyle w:val="6"/>
              <w:spacing w:before="93" w:line="216" w:lineRule="auto"/>
              <w:ind w:left="72"/>
              <w:rPr>
                <w:sz w:val="18"/>
                <w:szCs w:val="18"/>
              </w:rPr>
            </w:pPr>
            <w:r>
              <w:rPr>
                <w:spacing w:val="-2"/>
                <w:sz w:val="18"/>
                <w:szCs w:val="18"/>
              </w:rPr>
              <w:t>0.009L</w:t>
            </w:r>
          </w:p>
        </w:tc>
        <w:tc>
          <w:tcPr>
            <w:tcW w:w="827" w:type="dxa"/>
            <w:vAlign w:val="top"/>
          </w:tcPr>
          <w:p w14:paraId="00A765C9">
            <w:pPr>
              <w:pStyle w:val="6"/>
              <w:spacing w:before="93" w:line="216" w:lineRule="auto"/>
              <w:ind w:left="285"/>
              <w:rPr>
                <w:sz w:val="18"/>
                <w:szCs w:val="18"/>
              </w:rPr>
            </w:pPr>
            <w:r>
              <w:rPr>
                <w:spacing w:val="-1"/>
                <w:sz w:val="18"/>
                <w:szCs w:val="18"/>
              </w:rPr>
              <w:t>230</w:t>
            </w:r>
          </w:p>
        </w:tc>
        <w:tc>
          <w:tcPr>
            <w:tcW w:w="457" w:type="dxa"/>
            <w:vAlign w:val="top"/>
          </w:tcPr>
          <w:p w14:paraId="7E1A730C">
            <w:pPr>
              <w:pStyle w:val="6"/>
              <w:spacing w:before="93" w:line="216" w:lineRule="auto"/>
              <w:ind w:left="104"/>
              <w:rPr>
                <w:sz w:val="18"/>
                <w:szCs w:val="18"/>
              </w:rPr>
            </w:pPr>
            <w:r>
              <w:rPr>
                <w:spacing w:val="-2"/>
                <w:sz w:val="18"/>
                <w:szCs w:val="18"/>
              </w:rPr>
              <w:t>362</w:t>
            </w:r>
          </w:p>
        </w:tc>
        <w:tc>
          <w:tcPr>
            <w:tcW w:w="533" w:type="dxa"/>
            <w:vAlign w:val="top"/>
          </w:tcPr>
          <w:p w14:paraId="7F1AE4F9">
            <w:pPr>
              <w:pStyle w:val="6"/>
              <w:spacing w:before="93" w:line="216" w:lineRule="auto"/>
              <w:ind w:left="120"/>
              <w:rPr>
                <w:sz w:val="18"/>
                <w:szCs w:val="18"/>
              </w:rPr>
            </w:pPr>
            <w:r>
              <w:rPr>
                <w:spacing w:val="-2"/>
                <w:sz w:val="18"/>
                <w:szCs w:val="18"/>
              </w:rPr>
              <w:t>0.46</w:t>
            </w:r>
          </w:p>
        </w:tc>
        <w:tc>
          <w:tcPr>
            <w:tcW w:w="533" w:type="dxa"/>
            <w:vAlign w:val="top"/>
          </w:tcPr>
          <w:p w14:paraId="28F4FF49">
            <w:pPr>
              <w:pStyle w:val="6"/>
              <w:spacing w:before="93" w:line="216" w:lineRule="auto"/>
              <w:ind w:left="135"/>
              <w:rPr>
                <w:sz w:val="18"/>
                <w:szCs w:val="18"/>
              </w:rPr>
            </w:pPr>
            <w:r>
              <w:rPr>
                <w:spacing w:val="-6"/>
                <w:sz w:val="18"/>
                <w:szCs w:val="18"/>
              </w:rPr>
              <w:t>1.47</w:t>
            </w:r>
          </w:p>
        </w:tc>
        <w:tc>
          <w:tcPr>
            <w:tcW w:w="533" w:type="dxa"/>
            <w:vAlign w:val="top"/>
          </w:tcPr>
          <w:p w14:paraId="77132EA1">
            <w:pPr>
              <w:pStyle w:val="6"/>
              <w:spacing w:before="93" w:line="216" w:lineRule="auto"/>
              <w:ind w:left="124"/>
              <w:rPr>
                <w:sz w:val="18"/>
                <w:szCs w:val="18"/>
              </w:rPr>
            </w:pPr>
            <w:r>
              <w:rPr>
                <w:spacing w:val="-3"/>
                <w:sz w:val="18"/>
                <w:szCs w:val="18"/>
              </w:rPr>
              <w:t>5.08</w:t>
            </w:r>
          </w:p>
        </w:tc>
        <w:tc>
          <w:tcPr>
            <w:tcW w:w="533" w:type="dxa"/>
            <w:vAlign w:val="top"/>
          </w:tcPr>
          <w:p w14:paraId="748F3FCF">
            <w:pPr>
              <w:pStyle w:val="6"/>
              <w:spacing w:before="93" w:line="216" w:lineRule="auto"/>
              <w:ind w:left="124"/>
              <w:rPr>
                <w:sz w:val="18"/>
                <w:szCs w:val="18"/>
              </w:rPr>
            </w:pPr>
            <w:r>
              <w:rPr>
                <w:spacing w:val="-2"/>
                <w:sz w:val="18"/>
                <w:szCs w:val="18"/>
              </w:rPr>
              <w:t>37.6</w:t>
            </w:r>
          </w:p>
        </w:tc>
        <w:tc>
          <w:tcPr>
            <w:tcW w:w="524" w:type="dxa"/>
            <w:tcBorders>
              <w:right w:val="single" w:color="000000" w:sz="12" w:space="0"/>
            </w:tcBorders>
            <w:vAlign w:val="top"/>
          </w:tcPr>
          <w:p w14:paraId="3ACA59E5">
            <w:pPr>
              <w:pStyle w:val="6"/>
              <w:spacing w:before="93" w:line="216" w:lineRule="auto"/>
              <w:ind w:left="105"/>
              <w:rPr>
                <w:sz w:val="18"/>
                <w:szCs w:val="18"/>
              </w:rPr>
            </w:pPr>
            <w:r>
              <w:rPr>
                <w:spacing w:val="-1"/>
                <w:sz w:val="18"/>
                <w:szCs w:val="18"/>
              </w:rPr>
              <w:t>20.4</w:t>
            </w:r>
          </w:p>
        </w:tc>
      </w:tr>
      <w:tr w14:paraId="2E05B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04BAD282">
            <w:pPr>
              <w:rPr>
                <w:rFonts w:ascii="Arial"/>
                <w:sz w:val="21"/>
              </w:rPr>
            </w:pPr>
          </w:p>
        </w:tc>
        <w:tc>
          <w:tcPr>
            <w:tcW w:w="245" w:type="dxa"/>
            <w:vMerge w:val="restart"/>
            <w:tcBorders>
              <w:bottom w:val="nil"/>
            </w:tcBorders>
            <w:vAlign w:val="top"/>
          </w:tcPr>
          <w:p w14:paraId="51327802">
            <w:pPr>
              <w:pStyle w:val="6"/>
              <w:spacing w:before="153" w:line="226" w:lineRule="auto"/>
              <w:ind w:left="60"/>
              <w:rPr>
                <w:sz w:val="18"/>
                <w:szCs w:val="18"/>
              </w:rPr>
            </w:pPr>
            <w:r>
              <w:rPr>
                <w:sz w:val="18"/>
                <w:szCs w:val="18"/>
              </w:rPr>
              <w:t>4</w:t>
            </w:r>
          </w:p>
          <w:p w14:paraId="27C668D7">
            <w:pPr>
              <w:spacing w:line="226" w:lineRule="auto"/>
              <w:ind w:left="19"/>
              <w:rPr>
                <w:rFonts w:ascii="等线" w:hAnsi="等线" w:eastAsia="等线" w:cs="等线"/>
                <w:sz w:val="18"/>
                <w:szCs w:val="18"/>
              </w:rPr>
            </w:pPr>
            <w:r>
              <w:rPr>
                <w:rFonts w:ascii="等线" w:hAnsi="等线" w:eastAsia="等线" w:cs="等线"/>
                <w:sz w:val="18"/>
                <w:szCs w:val="18"/>
              </w:rPr>
              <w:t>季</w:t>
            </w:r>
          </w:p>
          <w:p w14:paraId="065B5DB8">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2FEEF534">
            <w:pPr>
              <w:pStyle w:val="6"/>
              <w:spacing w:before="94" w:line="217" w:lineRule="auto"/>
              <w:ind w:left="83"/>
              <w:rPr>
                <w:sz w:val="18"/>
                <w:szCs w:val="18"/>
              </w:rPr>
            </w:pPr>
            <w:r>
              <w:rPr>
                <w:spacing w:val="-1"/>
                <w:sz w:val="18"/>
                <w:szCs w:val="18"/>
              </w:rPr>
              <w:t>2019/11/9</w:t>
            </w:r>
          </w:p>
        </w:tc>
        <w:tc>
          <w:tcPr>
            <w:tcW w:w="606" w:type="dxa"/>
            <w:vAlign w:val="top"/>
          </w:tcPr>
          <w:p w14:paraId="4E0A006E">
            <w:pPr>
              <w:pStyle w:val="6"/>
              <w:spacing w:before="100" w:line="210" w:lineRule="auto"/>
              <w:ind w:left="132"/>
              <w:rPr>
                <w:sz w:val="18"/>
                <w:szCs w:val="18"/>
              </w:rPr>
            </w:pPr>
            <w:r>
              <w:rPr>
                <w:b/>
                <w:bCs/>
                <w:spacing w:val="-2"/>
                <w:sz w:val="18"/>
                <w:szCs w:val="18"/>
              </w:rPr>
              <w:t>6.47</w:t>
            </w:r>
          </w:p>
        </w:tc>
        <w:tc>
          <w:tcPr>
            <w:tcW w:w="606" w:type="dxa"/>
            <w:vAlign w:val="top"/>
          </w:tcPr>
          <w:p w14:paraId="71D1CD2B">
            <w:pPr>
              <w:pStyle w:val="6"/>
              <w:spacing w:before="94" w:line="217" w:lineRule="auto"/>
              <w:ind w:left="171"/>
              <w:rPr>
                <w:sz w:val="18"/>
                <w:szCs w:val="18"/>
              </w:rPr>
            </w:pPr>
            <w:r>
              <w:rPr>
                <w:spacing w:val="-5"/>
                <w:sz w:val="18"/>
                <w:szCs w:val="18"/>
              </w:rPr>
              <w:t>180</w:t>
            </w:r>
          </w:p>
        </w:tc>
        <w:tc>
          <w:tcPr>
            <w:tcW w:w="606" w:type="dxa"/>
            <w:vAlign w:val="top"/>
          </w:tcPr>
          <w:p w14:paraId="4A0DF1EE">
            <w:pPr>
              <w:pStyle w:val="6"/>
              <w:spacing w:before="94" w:line="217" w:lineRule="auto"/>
              <w:ind w:left="158"/>
              <w:rPr>
                <w:sz w:val="18"/>
                <w:szCs w:val="18"/>
              </w:rPr>
            </w:pPr>
            <w:r>
              <w:rPr>
                <w:spacing w:val="-2"/>
                <w:sz w:val="18"/>
                <w:szCs w:val="18"/>
              </w:rPr>
              <w:t>367</w:t>
            </w:r>
          </w:p>
        </w:tc>
        <w:tc>
          <w:tcPr>
            <w:tcW w:w="606" w:type="dxa"/>
            <w:vAlign w:val="top"/>
          </w:tcPr>
          <w:p w14:paraId="64B63A8D">
            <w:pPr>
              <w:pStyle w:val="6"/>
              <w:spacing w:before="94" w:line="217" w:lineRule="auto"/>
              <w:ind w:left="202"/>
              <w:rPr>
                <w:sz w:val="18"/>
                <w:szCs w:val="18"/>
              </w:rPr>
            </w:pPr>
            <w:r>
              <w:rPr>
                <w:spacing w:val="-2"/>
                <w:sz w:val="18"/>
                <w:szCs w:val="18"/>
              </w:rPr>
              <w:t>76</w:t>
            </w:r>
          </w:p>
        </w:tc>
        <w:tc>
          <w:tcPr>
            <w:tcW w:w="606" w:type="dxa"/>
            <w:vAlign w:val="top"/>
          </w:tcPr>
          <w:p w14:paraId="5EA62D94">
            <w:pPr>
              <w:pStyle w:val="6"/>
              <w:spacing w:before="97" w:line="186" w:lineRule="auto"/>
              <w:ind w:left="162"/>
              <w:rPr>
                <w:sz w:val="18"/>
                <w:szCs w:val="18"/>
              </w:rPr>
            </w:pPr>
            <w:r>
              <w:rPr>
                <w:spacing w:val="-5"/>
                <w:sz w:val="18"/>
                <w:szCs w:val="18"/>
              </w:rPr>
              <w:t>10L</w:t>
            </w:r>
          </w:p>
        </w:tc>
        <w:tc>
          <w:tcPr>
            <w:tcW w:w="606" w:type="dxa"/>
            <w:vAlign w:val="top"/>
          </w:tcPr>
          <w:p w14:paraId="7CC28B62">
            <w:pPr>
              <w:pStyle w:val="6"/>
              <w:spacing w:before="94" w:line="217" w:lineRule="auto"/>
              <w:ind w:left="137"/>
              <w:rPr>
                <w:sz w:val="18"/>
                <w:szCs w:val="18"/>
              </w:rPr>
            </w:pPr>
            <w:r>
              <w:rPr>
                <w:spacing w:val="-2"/>
                <w:sz w:val="18"/>
                <w:szCs w:val="18"/>
              </w:rPr>
              <w:t>0.06</w:t>
            </w:r>
          </w:p>
        </w:tc>
        <w:tc>
          <w:tcPr>
            <w:tcW w:w="605" w:type="dxa"/>
            <w:vAlign w:val="top"/>
          </w:tcPr>
          <w:p w14:paraId="2DC04A79">
            <w:pPr>
              <w:pStyle w:val="6"/>
              <w:spacing w:before="94" w:line="217" w:lineRule="auto"/>
              <w:ind w:left="83"/>
              <w:rPr>
                <w:sz w:val="18"/>
                <w:szCs w:val="18"/>
              </w:rPr>
            </w:pPr>
            <w:r>
              <w:rPr>
                <w:spacing w:val="-2"/>
                <w:sz w:val="18"/>
                <w:szCs w:val="18"/>
              </w:rPr>
              <w:t>0.02L</w:t>
            </w:r>
          </w:p>
        </w:tc>
        <w:tc>
          <w:tcPr>
            <w:tcW w:w="563" w:type="dxa"/>
            <w:vAlign w:val="top"/>
          </w:tcPr>
          <w:p w14:paraId="0C739DF2">
            <w:pPr>
              <w:pStyle w:val="6"/>
              <w:spacing w:before="94" w:line="217" w:lineRule="auto"/>
              <w:ind w:left="63"/>
              <w:rPr>
                <w:sz w:val="18"/>
                <w:szCs w:val="18"/>
              </w:rPr>
            </w:pPr>
            <w:r>
              <w:rPr>
                <w:spacing w:val="-2"/>
                <w:sz w:val="18"/>
                <w:szCs w:val="18"/>
              </w:rPr>
              <w:t>0.01L</w:t>
            </w:r>
          </w:p>
        </w:tc>
        <w:tc>
          <w:tcPr>
            <w:tcW w:w="562" w:type="dxa"/>
            <w:vAlign w:val="top"/>
          </w:tcPr>
          <w:p w14:paraId="4C7E2CFB">
            <w:pPr>
              <w:pStyle w:val="6"/>
              <w:spacing w:before="94" w:line="217" w:lineRule="auto"/>
              <w:ind w:left="19"/>
              <w:rPr>
                <w:sz w:val="18"/>
                <w:szCs w:val="18"/>
              </w:rPr>
            </w:pPr>
            <w:r>
              <w:rPr>
                <w:spacing w:val="-2"/>
                <w:sz w:val="18"/>
                <w:szCs w:val="18"/>
              </w:rPr>
              <w:t>0.006L</w:t>
            </w:r>
          </w:p>
        </w:tc>
        <w:tc>
          <w:tcPr>
            <w:tcW w:w="696" w:type="dxa"/>
            <w:vAlign w:val="top"/>
          </w:tcPr>
          <w:p w14:paraId="2E980908">
            <w:pPr>
              <w:pStyle w:val="6"/>
              <w:spacing w:before="94" w:line="217" w:lineRule="auto"/>
              <w:ind w:left="41"/>
              <w:rPr>
                <w:sz w:val="18"/>
                <w:szCs w:val="18"/>
              </w:rPr>
            </w:pPr>
            <w:r>
              <w:rPr>
                <w:spacing w:val="-1"/>
                <w:sz w:val="18"/>
                <w:szCs w:val="18"/>
              </w:rPr>
              <w:t>0.0003L</w:t>
            </w:r>
          </w:p>
        </w:tc>
        <w:tc>
          <w:tcPr>
            <w:tcW w:w="605" w:type="dxa"/>
            <w:vAlign w:val="top"/>
          </w:tcPr>
          <w:p w14:paraId="6F5F2349">
            <w:pPr>
              <w:pStyle w:val="6"/>
              <w:spacing w:before="94" w:line="217" w:lineRule="auto"/>
              <w:ind w:left="98"/>
              <w:rPr>
                <w:sz w:val="18"/>
                <w:szCs w:val="18"/>
              </w:rPr>
            </w:pPr>
            <w:r>
              <w:rPr>
                <w:spacing w:val="-2"/>
                <w:sz w:val="18"/>
                <w:szCs w:val="18"/>
              </w:rPr>
              <w:t>0.091</w:t>
            </w:r>
          </w:p>
        </w:tc>
        <w:tc>
          <w:tcPr>
            <w:tcW w:w="582" w:type="dxa"/>
            <w:vAlign w:val="top"/>
          </w:tcPr>
          <w:p w14:paraId="75BB683E">
            <w:pPr>
              <w:pStyle w:val="6"/>
              <w:spacing w:before="94" w:line="217" w:lineRule="auto"/>
              <w:ind w:left="132"/>
              <w:rPr>
                <w:sz w:val="18"/>
                <w:szCs w:val="18"/>
              </w:rPr>
            </w:pPr>
            <w:r>
              <w:rPr>
                <w:spacing w:val="-2"/>
                <w:sz w:val="18"/>
                <w:szCs w:val="18"/>
              </w:rPr>
              <w:t>0.01</w:t>
            </w:r>
          </w:p>
        </w:tc>
        <w:tc>
          <w:tcPr>
            <w:tcW w:w="583" w:type="dxa"/>
            <w:vAlign w:val="top"/>
          </w:tcPr>
          <w:p w14:paraId="4A76010E">
            <w:pPr>
              <w:pStyle w:val="6"/>
              <w:spacing w:before="94" w:line="217" w:lineRule="auto"/>
              <w:ind w:left="133"/>
              <w:rPr>
                <w:sz w:val="18"/>
                <w:szCs w:val="18"/>
              </w:rPr>
            </w:pPr>
            <w:r>
              <w:rPr>
                <w:spacing w:val="-2"/>
                <w:sz w:val="18"/>
                <w:szCs w:val="18"/>
              </w:rPr>
              <w:t>0.21</w:t>
            </w:r>
          </w:p>
        </w:tc>
        <w:tc>
          <w:tcPr>
            <w:tcW w:w="582" w:type="dxa"/>
            <w:vAlign w:val="top"/>
          </w:tcPr>
          <w:p w14:paraId="1F09C0C9">
            <w:pPr>
              <w:pStyle w:val="6"/>
              <w:spacing w:before="94" w:line="217" w:lineRule="auto"/>
              <w:ind w:left="33"/>
              <w:rPr>
                <w:sz w:val="18"/>
                <w:szCs w:val="18"/>
              </w:rPr>
            </w:pPr>
            <w:r>
              <w:rPr>
                <w:spacing w:val="-2"/>
                <w:sz w:val="18"/>
                <w:szCs w:val="18"/>
              </w:rPr>
              <w:t>0.003L</w:t>
            </w:r>
          </w:p>
        </w:tc>
        <w:tc>
          <w:tcPr>
            <w:tcW w:w="582" w:type="dxa"/>
            <w:vAlign w:val="top"/>
          </w:tcPr>
          <w:p w14:paraId="026EEF8D">
            <w:pPr>
              <w:pStyle w:val="6"/>
              <w:spacing w:before="94" w:line="217" w:lineRule="auto"/>
              <w:ind w:left="90"/>
              <w:rPr>
                <w:sz w:val="18"/>
                <w:szCs w:val="18"/>
              </w:rPr>
            </w:pPr>
            <w:r>
              <w:rPr>
                <w:spacing w:val="-2"/>
                <w:sz w:val="18"/>
                <w:szCs w:val="18"/>
              </w:rPr>
              <w:t>0.080</w:t>
            </w:r>
          </w:p>
        </w:tc>
        <w:tc>
          <w:tcPr>
            <w:tcW w:w="582" w:type="dxa"/>
            <w:vAlign w:val="top"/>
          </w:tcPr>
          <w:p w14:paraId="35B76209">
            <w:pPr>
              <w:pStyle w:val="6"/>
              <w:spacing w:before="94" w:line="217" w:lineRule="auto"/>
              <w:ind w:left="135"/>
              <w:rPr>
                <w:sz w:val="18"/>
                <w:szCs w:val="18"/>
              </w:rPr>
            </w:pPr>
            <w:r>
              <w:rPr>
                <w:spacing w:val="-2"/>
                <w:sz w:val="18"/>
                <w:szCs w:val="18"/>
              </w:rPr>
              <w:t>0.10</w:t>
            </w:r>
          </w:p>
        </w:tc>
        <w:tc>
          <w:tcPr>
            <w:tcW w:w="581" w:type="dxa"/>
            <w:vAlign w:val="top"/>
          </w:tcPr>
          <w:p w14:paraId="1362EE3F">
            <w:pPr>
              <w:pStyle w:val="6"/>
              <w:spacing w:before="94" w:line="217" w:lineRule="auto"/>
              <w:ind w:left="37"/>
              <w:rPr>
                <w:sz w:val="18"/>
                <w:szCs w:val="18"/>
              </w:rPr>
            </w:pPr>
            <w:r>
              <w:rPr>
                <w:spacing w:val="-2"/>
                <w:sz w:val="18"/>
                <w:szCs w:val="18"/>
              </w:rPr>
              <w:t>0.004L</w:t>
            </w:r>
          </w:p>
        </w:tc>
        <w:tc>
          <w:tcPr>
            <w:tcW w:w="851" w:type="dxa"/>
            <w:vAlign w:val="top"/>
          </w:tcPr>
          <w:p w14:paraId="7B4A7C69">
            <w:pPr>
              <w:pStyle w:val="6"/>
              <w:spacing w:before="94" w:line="217" w:lineRule="auto"/>
              <w:ind w:left="83"/>
              <w:rPr>
                <w:sz w:val="18"/>
                <w:szCs w:val="18"/>
              </w:rPr>
            </w:pPr>
            <w:r>
              <w:rPr>
                <w:spacing w:val="-1"/>
                <w:sz w:val="18"/>
                <w:szCs w:val="18"/>
              </w:rPr>
              <w:t>0.00004L</w:t>
            </w:r>
          </w:p>
        </w:tc>
        <w:tc>
          <w:tcPr>
            <w:tcW w:w="644" w:type="dxa"/>
            <w:vAlign w:val="top"/>
          </w:tcPr>
          <w:p w14:paraId="27585F76">
            <w:pPr>
              <w:pStyle w:val="6"/>
              <w:spacing w:before="94" w:line="217" w:lineRule="auto"/>
              <w:ind w:left="81"/>
              <w:rPr>
                <w:sz w:val="18"/>
                <w:szCs w:val="18"/>
              </w:rPr>
            </w:pPr>
            <w:r>
              <w:rPr>
                <w:spacing w:val="-2"/>
                <w:sz w:val="18"/>
                <w:szCs w:val="18"/>
              </w:rPr>
              <w:t>0.0016</w:t>
            </w:r>
          </w:p>
        </w:tc>
        <w:tc>
          <w:tcPr>
            <w:tcW w:w="639" w:type="dxa"/>
            <w:vAlign w:val="top"/>
          </w:tcPr>
          <w:p w14:paraId="35AFBDA6">
            <w:pPr>
              <w:pStyle w:val="6"/>
              <w:spacing w:before="94" w:line="217" w:lineRule="auto"/>
              <w:ind w:left="22"/>
              <w:rPr>
                <w:sz w:val="18"/>
                <w:szCs w:val="18"/>
              </w:rPr>
            </w:pPr>
            <w:r>
              <w:rPr>
                <w:spacing w:val="-1"/>
                <w:sz w:val="18"/>
                <w:szCs w:val="18"/>
              </w:rPr>
              <w:t>0.0004L</w:t>
            </w:r>
          </w:p>
        </w:tc>
        <w:tc>
          <w:tcPr>
            <w:tcW w:w="640" w:type="dxa"/>
            <w:vAlign w:val="top"/>
          </w:tcPr>
          <w:p w14:paraId="083A1FBF">
            <w:pPr>
              <w:pStyle w:val="6"/>
              <w:spacing w:before="94" w:line="217" w:lineRule="auto"/>
              <w:ind w:left="70"/>
              <w:rPr>
                <w:sz w:val="18"/>
                <w:szCs w:val="18"/>
              </w:rPr>
            </w:pPr>
            <w:r>
              <w:rPr>
                <w:spacing w:val="-2"/>
                <w:sz w:val="18"/>
                <w:szCs w:val="18"/>
              </w:rPr>
              <w:t>0.001L</w:t>
            </w:r>
          </w:p>
        </w:tc>
        <w:tc>
          <w:tcPr>
            <w:tcW w:w="639" w:type="dxa"/>
            <w:vAlign w:val="top"/>
          </w:tcPr>
          <w:p w14:paraId="1B5CB178">
            <w:pPr>
              <w:pStyle w:val="6"/>
              <w:spacing w:before="94" w:line="217" w:lineRule="auto"/>
              <w:ind w:left="69"/>
              <w:rPr>
                <w:sz w:val="18"/>
                <w:szCs w:val="18"/>
              </w:rPr>
            </w:pPr>
            <w:r>
              <w:rPr>
                <w:spacing w:val="-2"/>
                <w:sz w:val="18"/>
                <w:szCs w:val="18"/>
              </w:rPr>
              <w:t>0.004L</w:t>
            </w:r>
          </w:p>
        </w:tc>
        <w:tc>
          <w:tcPr>
            <w:tcW w:w="639" w:type="dxa"/>
            <w:vAlign w:val="top"/>
          </w:tcPr>
          <w:p w14:paraId="5CF07362">
            <w:pPr>
              <w:pStyle w:val="6"/>
              <w:spacing w:before="94" w:line="217" w:lineRule="auto"/>
              <w:ind w:left="114"/>
              <w:rPr>
                <w:sz w:val="18"/>
                <w:szCs w:val="18"/>
              </w:rPr>
            </w:pPr>
            <w:r>
              <w:rPr>
                <w:spacing w:val="-2"/>
                <w:sz w:val="18"/>
                <w:szCs w:val="18"/>
              </w:rPr>
              <w:t>0.01L</w:t>
            </w:r>
          </w:p>
        </w:tc>
        <w:tc>
          <w:tcPr>
            <w:tcW w:w="640" w:type="dxa"/>
            <w:vAlign w:val="top"/>
          </w:tcPr>
          <w:p w14:paraId="390778F3">
            <w:pPr>
              <w:pStyle w:val="6"/>
              <w:spacing w:before="94" w:line="217" w:lineRule="auto"/>
              <w:ind w:left="127"/>
              <w:rPr>
                <w:sz w:val="18"/>
                <w:szCs w:val="18"/>
              </w:rPr>
            </w:pPr>
            <w:r>
              <w:rPr>
                <w:spacing w:val="-2"/>
                <w:sz w:val="18"/>
                <w:szCs w:val="18"/>
              </w:rPr>
              <w:t>0.080</w:t>
            </w:r>
          </w:p>
        </w:tc>
        <w:tc>
          <w:tcPr>
            <w:tcW w:w="827" w:type="dxa"/>
            <w:vAlign w:val="top"/>
          </w:tcPr>
          <w:p w14:paraId="342359F6">
            <w:pPr>
              <w:pStyle w:val="6"/>
              <w:spacing w:before="94" w:line="217" w:lineRule="auto"/>
              <w:ind w:left="391"/>
              <w:rPr>
                <w:sz w:val="18"/>
                <w:szCs w:val="18"/>
              </w:rPr>
            </w:pPr>
            <w:r>
              <w:rPr>
                <w:sz w:val="18"/>
                <w:szCs w:val="18"/>
              </w:rPr>
              <w:t>/</w:t>
            </w:r>
          </w:p>
        </w:tc>
        <w:tc>
          <w:tcPr>
            <w:tcW w:w="457" w:type="dxa"/>
            <w:vAlign w:val="top"/>
          </w:tcPr>
          <w:p w14:paraId="360DACBD">
            <w:pPr>
              <w:pStyle w:val="6"/>
              <w:spacing w:before="94" w:line="217" w:lineRule="auto"/>
              <w:ind w:left="104"/>
              <w:rPr>
                <w:sz w:val="18"/>
                <w:szCs w:val="18"/>
              </w:rPr>
            </w:pPr>
            <w:r>
              <w:rPr>
                <w:spacing w:val="-2"/>
                <w:sz w:val="18"/>
                <w:szCs w:val="18"/>
              </w:rPr>
              <w:t>392</w:t>
            </w:r>
          </w:p>
        </w:tc>
        <w:tc>
          <w:tcPr>
            <w:tcW w:w="533" w:type="dxa"/>
            <w:vAlign w:val="top"/>
          </w:tcPr>
          <w:p w14:paraId="6EB3FE91">
            <w:pPr>
              <w:pStyle w:val="6"/>
              <w:spacing w:before="94" w:line="217" w:lineRule="auto"/>
              <w:ind w:left="65"/>
              <w:rPr>
                <w:sz w:val="18"/>
                <w:szCs w:val="18"/>
              </w:rPr>
            </w:pPr>
            <w:r>
              <w:rPr>
                <w:spacing w:val="-2"/>
                <w:sz w:val="18"/>
                <w:szCs w:val="18"/>
              </w:rPr>
              <w:t>0.05L</w:t>
            </w:r>
          </w:p>
        </w:tc>
        <w:tc>
          <w:tcPr>
            <w:tcW w:w="533" w:type="dxa"/>
            <w:vAlign w:val="top"/>
          </w:tcPr>
          <w:p w14:paraId="50BBBFA4">
            <w:pPr>
              <w:pStyle w:val="6"/>
              <w:spacing w:before="94" w:line="217" w:lineRule="auto"/>
              <w:ind w:left="118"/>
              <w:rPr>
                <w:sz w:val="18"/>
                <w:szCs w:val="18"/>
              </w:rPr>
            </w:pPr>
            <w:r>
              <w:rPr>
                <w:spacing w:val="-1"/>
                <w:sz w:val="18"/>
                <w:szCs w:val="18"/>
              </w:rPr>
              <w:t>2.30</w:t>
            </w:r>
          </w:p>
        </w:tc>
        <w:tc>
          <w:tcPr>
            <w:tcW w:w="533" w:type="dxa"/>
            <w:vAlign w:val="top"/>
          </w:tcPr>
          <w:p w14:paraId="0D2AD1CB">
            <w:pPr>
              <w:pStyle w:val="6"/>
              <w:spacing w:before="94" w:line="217" w:lineRule="auto"/>
              <w:ind w:left="123"/>
              <w:rPr>
                <w:sz w:val="18"/>
                <w:szCs w:val="18"/>
              </w:rPr>
            </w:pPr>
            <w:r>
              <w:rPr>
                <w:spacing w:val="-2"/>
                <w:sz w:val="18"/>
                <w:szCs w:val="18"/>
              </w:rPr>
              <w:t>6.71</w:t>
            </w:r>
          </w:p>
        </w:tc>
        <w:tc>
          <w:tcPr>
            <w:tcW w:w="533" w:type="dxa"/>
            <w:vAlign w:val="top"/>
          </w:tcPr>
          <w:p w14:paraId="1C4FC337">
            <w:pPr>
              <w:pStyle w:val="6"/>
              <w:spacing w:before="94" w:line="217" w:lineRule="auto"/>
              <w:ind w:left="119"/>
              <w:rPr>
                <w:sz w:val="18"/>
                <w:szCs w:val="18"/>
              </w:rPr>
            </w:pPr>
            <w:r>
              <w:rPr>
                <w:spacing w:val="-1"/>
                <w:sz w:val="18"/>
                <w:szCs w:val="18"/>
              </w:rPr>
              <w:t>47.4</w:t>
            </w:r>
          </w:p>
        </w:tc>
        <w:tc>
          <w:tcPr>
            <w:tcW w:w="524" w:type="dxa"/>
            <w:tcBorders>
              <w:right w:val="single" w:color="000000" w:sz="12" w:space="0"/>
            </w:tcBorders>
            <w:vAlign w:val="top"/>
          </w:tcPr>
          <w:p w14:paraId="3A6C39F3">
            <w:pPr>
              <w:pStyle w:val="6"/>
              <w:spacing w:before="94" w:line="217" w:lineRule="auto"/>
              <w:ind w:left="105"/>
              <w:rPr>
                <w:sz w:val="18"/>
                <w:szCs w:val="18"/>
              </w:rPr>
            </w:pPr>
            <w:r>
              <w:rPr>
                <w:spacing w:val="-1"/>
                <w:sz w:val="18"/>
                <w:szCs w:val="18"/>
              </w:rPr>
              <w:t>23.6</w:t>
            </w:r>
          </w:p>
        </w:tc>
      </w:tr>
      <w:tr w14:paraId="4FCC2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418" w:type="dxa"/>
            <w:vMerge w:val="continue"/>
            <w:tcBorders>
              <w:top w:val="nil"/>
              <w:left w:val="single" w:color="000000" w:sz="12" w:space="0"/>
              <w:bottom w:val="nil"/>
            </w:tcBorders>
            <w:vAlign w:val="top"/>
          </w:tcPr>
          <w:p w14:paraId="3C152FB0">
            <w:pPr>
              <w:rPr>
                <w:rFonts w:ascii="Arial"/>
                <w:sz w:val="21"/>
              </w:rPr>
            </w:pPr>
          </w:p>
        </w:tc>
        <w:tc>
          <w:tcPr>
            <w:tcW w:w="245" w:type="dxa"/>
            <w:vMerge w:val="continue"/>
            <w:tcBorders>
              <w:top w:val="nil"/>
              <w:bottom w:val="nil"/>
            </w:tcBorders>
            <w:vAlign w:val="top"/>
          </w:tcPr>
          <w:p w14:paraId="08BCB345">
            <w:pPr>
              <w:rPr>
                <w:rFonts w:ascii="Arial"/>
                <w:sz w:val="21"/>
              </w:rPr>
            </w:pPr>
          </w:p>
        </w:tc>
        <w:tc>
          <w:tcPr>
            <w:tcW w:w="929" w:type="dxa"/>
            <w:vAlign w:val="top"/>
          </w:tcPr>
          <w:p w14:paraId="66BECEE7">
            <w:pPr>
              <w:pStyle w:val="6"/>
              <w:spacing w:before="94" w:line="216" w:lineRule="auto"/>
              <w:ind w:left="38"/>
              <w:rPr>
                <w:sz w:val="18"/>
                <w:szCs w:val="18"/>
              </w:rPr>
            </w:pPr>
            <w:r>
              <w:rPr>
                <w:spacing w:val="-1"/>
                <w:sz w:val="18"/>
                <w:szCs w:val="18"/>
              </w:rPr>
              <w:t>2019/11/10</w:t>
            </w:r>
          </w:p>
        </w:tc>
        <w:tc>
          <w:tcPr>
            <w:tcW w:w="606" w:type="dxa"/>
            <w:vAlign w:val="top"/>
          </w:tcPr>
          <w:p w14:paraId="5F352E8B">
            <w:pPr>
              <w:pStyle w:val="6"/>
              <w:spacing w:before="101" w:line="208" w:lineRule="auto"/>
              <w:ind w:left="132"/>
              <w:rPr>
                <w:sz w:val="18"/>
                <w:szCs w:val="18"/>
              </w:rPr>
            </w:pPr>
            <w:r>
              <w:rPr>
                <w:b/>
                <w:bCs/>
                <w:spacing w:val="-2"/>
                <w:sz w:val="18"/>
                <w:szCs w:val="18"/>
              </w:rPr>
              <w:t>6.48</w:t>
            </w:r>
          </w:p>
        </w:tc>
        <w:tc>
          <w:tcPr>
            <w:tcW w:w="606" w:type="dxa"/>
            <w:vAlign w:val="top"/>
          </w:tcPr>
          <w:p w14:paraId="457450E3">
            <w:pPr>
              <w:pStyle w:val="6"/>
              <w:spacing w:before="94" w:line="216" w:lineRule="auto"/>
              <w:ind w:left="171"/>
              <w:rPr>
                <w:sz w:val="18"/>
                <w:szCs w:val="18"/>
              </w:rPr>
            </w:pPr>
            <w:r>
              <w:rPr>
                <w:spacing w:val="-5"/>
                <w:sz w:val="18"/>
                <w:szCs w:val="18"/>
              </w:rPr>
              <w:t>168</w:t>
            </w:r>
          </w:p>
        </w:tc>
        <w:tc>
          <w:tcPr>
            <w:tcW w:w="606" w:type="dxa"/>
            <w:vAlign w:val="top"/>
          </w:tcPr>
          <w:p w14:paraId="67E00FF3">
            <w:pPr>
              <w:pStyle w:val="6"/>
              <w:spacing w:before="94" w:line="216" w:lineRule="auto"/>
              <w:ind w:left="158"/>
              <w:rPr>
                <w:sz w:val="18"/>
                <w:szCs w:val="18"/>
              </w:rPr>
            </w:pPr>
            <w:r>
              <w:rPr>
                <w:spacing w:val="-2"/>
                <w:sz w:val="18"/>
                <w:szCs w:val="18"/>
              </w:rPr>
              <w:t>379</w:t>
            </w:r>
          </w:p>
        </w:tc>
        <w:tc>
          <w:tcPr>
            <w:tcW w:w="606" w:type="dxa"/>
            <w:vAlign w:val="top"/>
          </w:tcPr>
          <w:p w14:paraId="073959D6">
            <w:pPr>
              <w:pStyle w:val="6"/>
              <w:spacing w:before="94" w:line="216" w:lineRule="auto"/>
              <w:ind w:left="202"/>
              <w:rPr>
                <w:sz w:val="18"/>
                <w:szCs w:val="18"/>
              </w:rPr>
            </w:pPr>
            <w:r>
              <w:rPr>
                <w:spacing w:val="-2"/>
                <w:sz w:val="18"/>
                <w:szCs w:val="18"/>
              </w:rPr>
              <w:t>74</w:t>
            </w:r>
          </w:p>
        </w:tc>
        <w:tc>
          <w:tcPr>
            <w:tcW w:w="606" w:type="dxa"/>
            <w:vAlign w:val="top"/>
          </w:tcPr>
          <w:p w14:paraId="5170F972">
            <w:pPr>
              <w:pStyle w:val="6"/>
              <w:spacing w:before="98" w:line="186" w:lineRule="auto"/>
              <w:ind w:left="162"/>
              <w:rPr>
                <w:sz w:val="18"/>
                <w:szCs w:val="18"/>
              </w:rPr>
            </w:pPr>
            <w:r>
              <w:rPr>
                <w:spacing w:val="-5"/>
                <w:sz w:val="18"/>
                <w:szCs w:val="18"/>
              </w:rPr>
              <w:t>10L</w:t>
            </w:r>
          </w:p>
        </w:tc>
        <w:tc>
          <w:tcPr>
            <w:tcW w:w="606" w:type="dxa"/>
            <w:vAlign w:val="top"/>
          </w:tcPr>
          <w:p w14:paraId="3414C0E3">
            <w:pPr>
              <w:pStyle w:val="6"/>
              <w:spacing w:before="94" w:line="216" w:lineRule="auto"/>
              <w:ind w:left="137"/>
              <w:rPr>
                <w:sz w:val="18"/>
                <w:szCs w:val="18"/>
              </w:rPr>
            </w:pPr>
            <w:r>
              <w:rPr>
                <w:spacing w:val="-2"/>
                <w:sz w:val="18"/>
                <w:szCs w:val="18"/>
              </w:rPr>
              <w:t>0.06</w:t>
            </w:r>
          </w:p>
        </w:tc>
        <w:tc>
          <w:tcPr>
            <w:tcW w:w="605" w:type="dxa"/>
            <w:vAlign w:val="top"/>
          </w:tcPr>
          <w:p w14:paraId="12EC908E">
            <w:pPr>
              <w:pStyle w:val="6"/>
              <w:spacing w:before="94" w:line="216" w:lineRule="auto"/>
              <w:ind w:left="83"/>
              <w:rPr>
                <w:sz w:val="18"/>
                <w:szCs w:val="18"/>
              </w:rPr>
            </w:pPr>
            <w:r>
              <w:rPr>
                <w:spacing w:val="-2"/>
                <w:sz w:val="18"/>
                <w:szCs w:val="18"/>
              </w:rPr>
              <w:t>0.02L</w:t>
            </w:r>
          </w:p>
        </w:tc>
        <w:tc>
          <w:tcPr>
            <w:tcW w:w="563" w:type="dxa"/>
            <w:vAlign w:val="top"/>
          </w:tcPr>
          <w:p w14:paraId="02079E6D">
            <w:pPr>
              <w:pStyle w:val="6"/>
              <w:spacing w:before="94" w:line="216" w:lineRule="auto"/>
              <w:ind w:left="63"/>
              <w:rPr>
                <w:sz w:val="18"/>
                <w:szCs w:val="18"/>
              </w:rPr>
            </w:pPr>
            <w:r>
              <w:rPr>
                <w:spacing w:val="-2"/>
                <w:sz w:val="18"/>
                <w:szCs w:val="18"/>
              </w:rPr>
              <w:t>0.01L</w:t>
            </w:r>
          </w:p>
        </w:tc>
        <w:tc>
          <w:tcPr>
            <w:tcW w:w="562" w:type="dxa"/>
            <w:vAlign w:val="top"/>
          </w:tcPr>
          <w:p w14:paraId="7B971171">
            <w:pPr>
              <w:pStyle w:val="6"/>
              <w:spacing w:before="94" w:line="216" w:lineRule="auto"/>
              <w:ind w:left="19"/>
              <w:rPr>
                <w:sz w:val="18"/>
                <w:szCs w:val="18"/>
              </w:rPr>
            </w:pPr>
            <w:r>
              <w:rPr>
                <w:spacing w:val="-2"/>
                <w:sz w:val="18"/>
                <w:szCs w:val="18"/>
              </w:rPr>
              <w:t>0.006L</w:t>
            </w:r>
          </w:p>
        </w:tc>
        <w:tc>
          <w:tcPr>
            <w:tcW w:w="696" w:type="dxa"/>
            <w:vAlign w:val="top"/>
          </w:tcPr>
          <w:p w14:paraId="50E01E4E">
            <w:pPr>
              <w:pStyle w:val="6"/>
              <w:spacing w:before="94" w:line="216" w:lineRule="auto"/>
              <w:ind w:left="41"/>
              <w:rPr>
                <w:sz w:val="18"/>
                <w:szCs w:val="18"/>
              </w:rPr>
            </w:pPr>
            <w:r>
              <w:rPr>
                <w:spacing w:val="-1"/>
                <w:sz w:val="18"/>
                <w:szCs w:val="18"/>
              </w:rPr>
              <w:t>0.0003L</w:t>
            </w:r>
          </w:p>
        </w:tc>
        <w:tc>
          <w:tcPr>
            <w:tcW w:w="605" w:type="dxa"/>
            <w:vAlign w:val="top"/>
          </w:tcPr>
          <w:p w14:paraId="00526E20">
            <w:pPr>
              <w:pStyle w:val="6"/>
              <w:spacing w:before="94" w:line="216" w:lineRule="auto"/>
              <w:ind w:left="98"/>
              <w:rPr>
                <w:sz w:val="18"/>
                <w:szCs w:val="18"/>
              </w:rPr>
            </w:pPr>
            <w:r>
              <w:rPr>
                <w:spacing w:val="-2"/>
                <w:sz w:val="18"/>
                <w:szCs w:val="18"/>
              </w:rPr>
              <w:t>0.083</w:t>
            </w:r>
          </w:p>
        </w:tc>
        <w:tc>
          <w:tcPr>
            <w:tcW w:w="582" w:type="dxa"/>
            <w:vAlign w:val="top"/>
          </w:tcPr>
          <w:p w14:paraId="7B3AD13C">
            <w:pPr>
              <w:pStyle w:val="6"/>
              <w:spacing w:before="94" w:line="216" w:lineRule="auto"/>
              <w:ind w:left="132"/>
              <w:rPr>
                <w:sz w:val="18"/>
                <w:szCs w:val="18"/>
              </w:rPr>
            </w:pPr>
            <w:r>
              <w:rPr>
                <w:spacing w:val="-2"/>
                <w:sz w:val="18"/>
                <w:szCs w:val="18"/>
              </w:rPr>
              <w:t>0.02</w:t>
            </w:r>
          </w:p>
        </w:tc>
        <w:tc>
          <w:tcPr>
            <w:tcW w:w="583" w:type="dxa"/>
            <w:vAlign w:val="top"/>
          </w:tcPr>
          <w:p w14:paraId="6E45807C">
            <w:pPr>
              <w:pStyle w:val="6"/>
              <w:spacing w:before="94" w:line="216" w:lineRule="auto"/>
              <w:ind w:left="133"/>
              <w:rPr>
                <w:sz w:val="18"/>
                <w:szCs w:val="18"/>
              </w:rPr>
            </w:pPr>
            <w:r>
              <w:rPr>
                <w:spacing w:val="-2"/>
                <w:sz w:val="18"/>
                <w:szCs w:val="18"/>
              </w:rPr>
              <w:t>0.25</w:t>
            </w:r>
          </w:p>
        </w:tc>
        <w:tc>
          <w:tcPr>
            <w:tcW w:w="582" w:type="dxa"/>
            <w:vAlign w:val="top"/>
          </w:tcPr>
          <w:p w14:paraId="6883E4E4">
            <w:pPr>
              <w:pStyle w:val="6"/>
              <w:spacing w:before="94" w:line="216" w:lineRule="auto"/>
              <w:ind w:left="33"/>
              <w:rPr>
                <w:sz w:val="18"/>
                <w:szCs w:val="18"/>
              </w:rPr>
            </w:pPr>
            <w:r>
              <w:rPr>
                <w:spacing w:val="-2"/>
                <w:sz w:val="18"/>
                <w:szCs w:val="18"/>
              </w:rPr>
              <w:t>0.003L</w:t>
            </w:r>
          </w:p>
        </w:tc>
        <w:tc>
          <w:tcPr>
            <w:tcW w:w="582" w:type="dxa"/>
            <w:vAlign w:val="top"/>
          </w:tcPr>
          <w:p w14:paraId="065B98F0">
            <w:pPr>
              <w:pStyle w:val="6"/>
              <w:spacing w:before="94" w:line="216" w:lineRule="auto"/>
              <w:ind w:left="90"/>
              <w:rPr>
                <w:sz w:val="18"/>
                <w:szCs w:val="18"/>
              </w:rPr>
            </w:pPr>
            <w:r>
              <w:rPr>
                <w:spacing w:val="-2"/>
                <w:sz w:val="18"/>
                <w:szCs w:val="18"/>
              </w:rPr>
              <w:t>0.082</w:t>
            </w:r>
          </w:p>
        </w:tc>
        <w:tc>
          <w:tcPr>
            <w:tcW w:w="582" w:type="dxa"/>
            <w:vAlign w:val="top"/>
          </w:tcPr>
          <w:p w14:paraId="545FAD0C">
            <w:pPr>
              <w:pStyle w:val="6"/>
              <w:spacing w:before="94" w:line="216" w:lineRule="auto"/>
              <w:ind w:left="135"/>
              <w:rPr>
                <w:sz w:val="18"/>
                <w:szCs w:val="18"/>
              </w:rPr>
            </w:pPr>
            <w:r>
              <w:rPr>
                <w:spacing w:val="-2"/>
                <w:sz w:val="18"/>
                <w:szCs w:val="18"/>
              </w:rPr>
              <w:t>0.09</w:t>
            </w:r>
          </w:p>
        </w:tc>
        <w:tc>
          <w:tcPr>
            <w:tcW w:w="581" w:type="dxa"/>
            <w:vAlign w:val="top"/>
          </w:tcPr>
          <w:p w14:paraId="412A1362">
            <w:pPr>
              <w:pStyle w:val="6"/>
              <w:spacing w:before="94" w:line="216" w:lineRule="auto"/>
              <w:ind w:left="37"/>
              <w:rPr>
                <w:sz w:val="18"/>
                <w:szCs w:val="18"/>
              </w:rPr>
            </w:pPr>
            <w:r>
              <w:rPr>
                <w:spacing w:val="-2"/>
                <w:sz w:val="18"/>
                <w:szCs w:val="18"/>
              </w:rPr>
              <w:t>0.004L</w:t>
            </w:r>
          </w:p>
        </w:tc>
        <w:tc>
          <w:tcPr>
            <w:tcW w:w="851" w:type="dxa"/>
            <w:vAlign w:val="top"/>
          </w:tcPr>
          <w:p w14:paraId="40D6EBE2">
            <w:pPr>
              <w:pStyle w:val="6"/>
              <w:spacing w:before="94" w:line="216" w:lineRule="auto"/>
              <w:ind w:left="83"/>
              <w:rPr>
                <w:sz w:val="18"/>
                <w:szCs w:val="18"/>
              </w:rPr>
            </w:pPr>
            <w:r>
              <w:rPr>
                <w:spacing w:val="-1"/>
                <w:sz w:val="18"/>
                <w:szCs w:val="18"/>
              </w:rPr>
              <w:t>0.00004L</w:t>
            </w:r>
          </w:p>
        </w:tc>
        <w:tc>
          <w:tcPr>
            <w:tcW w:w="644" w:type="dxa"/>
            <w:vAlign w:val="top"/>
          </w:tcPr>
          <w:p w14:paraId="329478CF">
            <w:pPr>
              <w:pStyle w:val="6"/>
              <w:spacing w:before="94" w:line="216" w:lineRule="auto"/>
              <w:ind w:left="81"/>
              <w:rPr>
                <w:sz w:val="18"/>
                <w:szCs w:val="18"/>
              </w:rPr>
            </w:pPr>
            <w:r>
              <w:rPr>
                <w:spacing w:val="-2"/>
                <w:sz w:val="18"/>
                <w:szCs w:val="18"/>
              </w:rPr>
              <w:t>0.0018</w:t>
            </w:r>
          </w:p>
        </w:tc>
        <w:tc>
          <w:tcPr>
            <w:tcW w:w="639" w:type="dxa"/>
            <w:vAlign w:val="top"/>
          </w:tcPr>
          <w:p w14:paraId="341A037E">
            <w:pPr>
              <w:pStyle w:val="6"/>
              <w:spacing w:before="94" w:line="216" w:lineRule="auto"/>
              <w:ind w:left="22"/>
              <w:rPr>
                <w:sz w:val="18"/>
                <w:szCs w:val="18"/>
              </w:rPr>
            </w:pPr>
            <w:r>
              <w:rPr>
                <w:spacing w:val="-1"/>
                <w:sz w:val="18"/>
                <w:szCs w:val="18"/>
              </w:rPr>
              <w:t>0.0004L</w:t>
            </w:r>
          </w:p>
        </w:tc>
        <w:tc>
          <w:tcPr>
            <w:tcW w:w="640" w:type="dxa"/>
            <w:vAlign w:val="top"/>
          </w:tcPr>
          <w:p w14:paraId="70BA9598">
            <w:pPr>
              <w:pStyle w:val="6"/>
              <w:spacing w:before="94" w:line="216" w:lineRule="auto"/>
              <w:ind w:left="70"/>
              <w:rPr>
                <w:sz w:val="18"/>
                <w:szCs w:val="18"/>
              </w:rPr>
            </w:pPr>
            <w:r>
              <w:rPr>
                <w:spacing w:val="-2"/>
                <w:sz w:val="18"/>
                <w:szCs w:val="18"/>
              </w:rPr>
              <w:t>0.001L</w:t>
            </w:r>
          </w:p>
        </w:tc>
        <w:tc>
          <w:tcPr>
            <w:tcW w:w="639" w:type="dxa"/>
            <w:vAlign w:val="top"/>
          </w:tcPr>
          <w:p w14:paraId="1AB058DA">
            <w:pPr>
              <w:pStyle w:val="6"/>
              <w:spacing w:before="94" w:line="216" w:lineRule="auto"/>
              <w:ind w:left="69"/>
              <w:rPr>
                <w:sz w:val="18"/>
                <w:szCs w:val="18"/>
              </w:rPr>
            </w:pPr>
            <w:r>
              <w:rPr>
                <w:spacing w:val="-2"/>
                <w:sz w:val="18"/>
                <w:szCs w:val="18"/>
              </w:rPr>
              <w:t>0.004L</w:t>
            </w:r>
          </w:p>
        </w:tc>
        <w:tc>
          <w:tcPr>
            <w:tcW w:w="639" w:type="dxa"/>
            <w:vAlign w:val="top"/>
          </w:tcPr>
          <w:p w14:paraId="68BC478B">
            <w:pPr>
              <w:pStyle w:val="6"/>
              <w:spacing w:before="94" w:line="216" w:lineRule="auto"/>
              <w:ind w:left="114"/>
              <w:rPr>
                <w:sz w:val="18"/>
                <w:szCs w:val="18"/>
              </w:rPr>
            </w:pPr>
            <w:r>
              <w:rPr>
                <w:spacing w:val="-2"/>
                <w:sz w:val="18"/>
                <w:szCs w:val="18"/>
              </w:rPr>
              <w:t>0.01L</w:t>
            </w:r>
          </w:p>
        </w:tc>
        <w:tc>
          <w:tcPr>
            <w:tcW w:w="640" w:type="dxa"/>
            <w:vAlign w:val="top"/>
          </w:tcPr>
          <w:p w14:paraId="0023911A">
            <w:pPr>
              <w:pStyle w:val="6"/>
              <w:spacing w:before="94" w:line="216" w:lineRule="auto"/>
              <w:ind w:left="127"/>
              <w:rPr>
                <w:sz w:val="18"/>
                <w:szCs w:val="18"/>
              </w:rPr>
            </w:pPr>
            <w:r>
              <w:rPr>
                <w:spacing w:val="-2"/>
                <w:sz w:val="18"/>
                <w:szCs w:val="18"/>
              </w:rPr>
              <w:t>0.082</w:t>
            </w:r>
          </w:p>
        </w:tc>
        <w:tc>
          <w:tcPr>
            <w:tcW w:w="827" w:type="dxa"/>
            <w:vAlign w:val="top"/>
          </w:tcPr>
          <w:p w14:paraId="437E2FB4">
            <w:pPr>
              <w:pStyle w:val="6"/>
              <w:spacing w:before="94" w:line="216" w:lineRule="auto"/>
              <w:ind w:left="391"/>
              <w:rPr>
                <w:sz w:val="18"/>
                <w:szCs w:val="18"/>
              </w:rPr>
            </w:pPr>
            <w:r>
              <w:rPr>
                <w:sz w:val="18"/>
                <w:szCs w:val="18"/>
              </w:rPr>
              <w:t>/</w:t>
            </w:r>
          </w:p>
        </w:tc>
        <w:tc>
          <w:tcPr>
            <w:tcW w:w="457" w:type="dxa"/>
            <w:vAlign w:val="top"/>
          </w:tcPr>
          <w:p w14:paraId="1F8516AE">
            <w:pPr>
              <w:pStyle w:val="6"/>
              <w:spacing w:before="94" w:line="216" w:lineRule="auto"/>
              <w:ind w:left="99"/>
              <w:rPr>
                <w:sz w:val="18"/>
                <w:szCs w:val="18"/>
              </w:rPr>
            </w:pPr>
            <w:r>
              <w:rPr>
                <w:spacing w:val="-1"/>
                <w:sz w:val="18"/>
                <w:szCs w:val="18"/>
              </w:rPr>
              <w:t>401</w:t>
            </w:r>
          </w:p>
        </w:tc>
        <w:tc>
          <w:tcPr>
            <w:tcW w:w="533" w:type="dxa"/>
            <w:vAlign w:val="top"/>
          </w:tcPr>
          <w:p w14:paraId="1CE1931E">
            <w:pPr>
              <w:pStyle w:val="6"/>
              <w:spacing w:before="94" w:line="216" w:lineRule="auto"/>
              <w:ind w:left="65"/>
              <w:rPr>
                <w:sz w:val="18"/>
                <w:szCs w:val="18"/>
              </w:rPr>
            </w:pPr>
            <w:r>
              <w:rPr>
                <w:spacing w:val="-2"/>
                <w:sz w:val="18"/>
                <w:szCs w:val="18"/>
              </w:rPr>
              <w:t>0.05L</w:t>
            </w:r>
          </w:p>
        </w:tc>
        <w:tc>
          <w:tcPr>
            <w:tcW w:w="533" w:type="dxa"/>
            <w:vAlign w:val="top"/>
          </w:tcPr>
          <w:p w14:paraId="783210D7">
            <w:pPr>
              <w:pStyle w:val="6"/>
              <w:spacing w:before="94" w:line="216" w:lineRule="auto"/>
              <w:ind w:left="118"/>
              <w:rPr>
                <w:sz w:val="18"/>
                <w:szCs w:val="18"/>
              </w:rPr>
            </w:pPr>
            <w:r>
              <w:rPr>
                <w:spacing w:val="-1"/>
                <w:sz w:val="18"/>
                <w:szCs w:val="18"/>
              </w:rPr>
              <w:t>2.75</w:t>
            </w:r>
          </w:p>
        </w:tc>
        <w:tc>
          <w:tcPr>
            <w:tcW w:w="533" w:type="dxa"/>
            <w:vAlign w:val="top"/>
          </w:tcPr>
          <w:p w14:paraId="4BE38254">
            <w:pPr>
              <w:pStyle w:val="6"/>
              <w:spacing w:before="94" w:line="216" w:lineRule="auto"/>
              <w:ind w:left="123"/>
              <w:rPr>
                <w:sz w:val="18"/>
                <w:szCs w:val="18"/>
              </w:rPr>
            </w:pPr>
            <w:r>
              <w:rPr>
                <w:spacing w:val="-2"/>
                <w:sz w:val="18"/>
                <w:szCs w:val="18"/>
              </w:rPr>
              <w:t>6.63</w:t>
            </w:r>
          </w:p>
        </w:tc>
        <w:tc>
          <w:tcPr>
            <w:tcW w:w="533" w:type="dxa"/>
            <w:vAlign w:val="top"/>
          </w:tcPr>
          <w:p w14:paraId="554C860B">
            <w:pPr>
              <w:pStyle w:val="6"/>
              <w:spacing w:before="94" w:line="216" w:lineRule="auto"/>
              <w:ind w:left="119"/>
              <w:rPr>
                <w:sz w:val="18"/>
                <w:szCs w:val="18"/>
              </w:rPr>
            </w:pPr>
            <w:r>
              <w:rPr>
                <w:spacing w:val="-1"/>
                <w:sz w:val="18"/>
                <w:szCs w:val="18"/>
              </w:rPr>
              <w:t>46.2</w:t>
            </w:r>
          </w:p>
        </w:tc>
        <w:tc>
          <w:tcPr>
            <w:tcW w:w="524" w:type="dxa"/>
            <w:tcBorders>
              <w:right w:val="single" w:color="000000" w:sz="12" w:space="0"/>
            </w:tcBorders>
            <w:vAlign w:val="top"/>
          </w:tcPr>
          <w:p w14:paraId="441A1042">
            <w:pPr>
              <w:pStyle w:val="6"/>
              <w:spacing w:before="94" w:line="216" w:lineRule="auto"/>
              <w:ind w:left="105"/>
              <w:rPr>
                <w:sz w:val="18"/>
                <w:szCs w:val="18"/>
              </w:rPr>
            </w:pPr>
            <w:r>
              <w:rPr>
                <w:spacing w:val="-1"/>
                <w:sz w:val="18"/>
                <w:szCs w:val="18"/>
              </w:rPr>
              <w:t>23.7</w:t>
            </w:r>
          </w:p>
        </w:tc>
      </w:tr>
      <w:tr w14:paraId="4C345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tcBorders>
            <w:vAlign w:val="top"/>
          </w:tcPr>
          <w:p w14:paraId="26A2E863">
            <w:pPr>
              <w:rPr>
                <w:rFonts w:ascii="Arial"/>
                <w:sz w:val="21"/>
              </w:rPr>
            </w:pPr>
          </w:p>
        </w:tc>
        <w:tc>
          <w:tcPr>
            <w:tcW w:w="245" w:type="dxa"/>
            <w:vMerge w:val="continue"/>
            <w:tcBorders>
              <w:top w:val="nil"/>
            </w:tcBorders>
            <w:vAlign w:val="top"/>
          </w:tcPr>
          <w:p w14:paraId="77C70963">
            <w:pPr>
              <w:rPr>
                <w:rFonts w:ascii="Arial"/>
                <w:sz w:val="21"/>
              </w:rPr>
            </w:pPr>
          </w:p>
        </w:tc>
        <w:tc>
          <w:tcPr>
            <w:tcW w:w="929" w:type="dxa"/>
            <w:vAlign w:val="top"/>
          </w:tcPr>
          <w:p w14:paraId="400437CB">
            <w:pPr>
              <w:pStyle w:val="6"/>
              <w:spacing w:before="96" w:line="213" w:lineRule="auto"/>
              <w:ind w:left="38"/>
              <w:rPr>
                <w:sz w:val="18"/>
                <w:szCs w:val="18"/>
              </w:rPr>
            </w:pPr>
            <w:r>
              <w:rPr>
                <w:spacing w:val="-1"/>
                <w:sz w:val="18"/>
                <w:szCs w:val="18"/>
              </w:rPr>
              <w:t>2019/11/11</w:t>
            </w:r>
          </w:p>
        </w:tc>
        <w:tc>
          <w:tcPr>
            <w:tcW w:w="606" w:type="dxa"/>
            <w:vAlign w:val="top"/>
          </w:tcPr>
          <w:p w14:paraId="0FBA4A5A">
            <w:pPr>
              <w:pStyle w:val="6"/>
              <w:spacing w:before="96" w:line="213" w:lineRule="auto"/>
              <w:ind w:left="133"/>
              <w:rPr>
                <w:sz w:val="18"/>
                <w:szCs w:val="18"/>
              </w:rPr>
            </w:pPr>
            <w:r>
              <w:rPr>
                <w:spacing w:val="-2"/>
                <w:sz w:val="18"/>
                <w:szCs w:val="18"/>
              </w:rPr>
              <w:t>6.55</w:t>
            </w:r>
          </w:p>
        </w:tc>
        <w:tc>
          <w:tcPr>
            <w:tcW w:w="606" w:type="dxa"/>
            <w:vAlign w:val="top"/>
          </w:tcPr>
          <w:p w14:paraId="6A77C350">
            <w:pPr>
              <w:pStyle w:val="6"/>
              <w:spacing w:before="96" w:line="213" w:lineRule="auto"/>
              <w:ind w:left="171"/>
              <w:rPr>
                <w:sz w:val="18"/>
                <w:szCs w:val="18"/>
              </w:rPr>
            </w:pPr>
            <w:r>
              <w:rPr>
                <w:spacing w:val="-5"/>
                <w:sz w:val="18"/>
                <w:szCs w:val="18"/>
              </w:rPr>
              <w:t>194</w:t>
            </w:r>
          </w:p>
        </w:tc>
        <w:tc>
          <w:tcPr>
            <w:tcW w:w="606" w:type="dxa"/>
            <w:vAlign w:val="top"/>
          </w:tcPr>
          <w:p w14:paraId="339585EF">
            <w:pPr>
              <w:pStyle w:val="6"/>
              <w:spacing w:before="96" w:line="213" w:lineRule="auto"/>
              <w:ind w:left="158"/>
              <w:rPr>
                <w:sz w:val="18"/>
                <w:szCs w:val="18"/>
              </w:rPr>
            </w:pPr>
            <w:r>
              <w:rPr>
                <w:spacing w:val="-2"/>
                <w:sz w:val="18"/>
                <w:szCs w:val="18"/>
              </w:rPr>
              <w:t>358</w:t>
            </w:r>
          </w:p>
        </w:tc>
        <w:tc>
          <w:tcPr>
            <w:tcW w:w="606" w:type="dxa"/>
            <w:vAlign w:val="top"/>
          </w:tcPr>
          <w:p w14:paraId="3C741BCA">
            <w:pPr>
              <w:pStyle w:val="6"/>
              <w:spacing w:before="96" w:line="213" w:lineRule="auto"/>
              <w:ind w:left="202"/>
              <w:rPr>
                <w:sz w:val="18"/>
                <w:szCs w:val="18"/>
              </w:rPr>
            </w:pPr>
            <w:r>
              <w:rPr>
                <w:spacing w:val="-2"/>
                <w:sz w:val="18"/>
                <w:szCs w:val="18"/>
              </w:rPr>
              <w:t>78</w:t>
            </w:r>
          </w:p>
        </w:tc>
        <w:tc>
          <w:tcPr>
            <w:tcW w:w="606" w:type="dxa"/>
            <w:vAlign w:val="top"/>
          </w:tcPr>
          <w:p w14:paraId="13A4A836">
            <w:pPr>
              <w:pStyle w:val="6"/>
              <w:spacing w:before="99" w:line="186" w:lineRule="auto"/>
              <w:ind w:left="162"/>
              <w:rPr>
                <w:sz w:val="18"/>
                <w:szCs w:val="18"/>
              </w:rPr>
            </w:pPr>
            <w:r>
              <w:rPr>
                <w:spacing w:val="-5"/>
                <w:sz w:val="18"/>
                <w:szCs w:val="18"/>
              </w:rPr>
              <w:t>10L</w:t>
            </w:r>
          </w:p>
        </w:tc>
        <w:tc>
          <w:tcPr>
            <w:tcW w:w="606" w:type="dxa"/>
            <w:vAlign w:val="top"/>
          </w:tcPr>
          <w:p w14:paraId="1B643900">
            <w:pPr>
              <w:pStyle w:val="6"/>
              <w:spacing w:before="96" w:line="213" w:lineRule="auto"/>
              <w:ind w:left="137"/>
              <w:rPr>
                <w:sz w:val="18"/>
                <w:szCs w:val="18"/>
              </w:rPr>
            </w:pPr>
            <w:r>
              <w:rPr>
                <w:spacing w:val="-2"/>
                <w:sz w:val="18"/>
                <w:szCs w:val="18"/>
              </w:rPr>
              <w:t>0.06</w:t>
            </w:r>
          </w:p>
        </w:tc>
        <w:tc>
          <w:tcPr>
            <w:tcW w:w="605" w:type="dxa"/>
            <w:vAlign w:val="top"/>
          </w:tcPr>
          <w:p w14:paraId="60D66BAA">
            <w:pPr>
              <w:pStyle w:val="6"/>
              <w:spacing w:before="96" w:line="213" w:lineRule="auto"/>
              <w:ind w:left="83"/>
              <w:rPr>
                <w:sz w:val="18"/>
                <w:szCs w:val="18"/>
              </w:rPr>
            </w:pPr>
            <w:r>
              <w:rPr>
                <w:spacing w:val="-2"/>
                <w:sz w:val="18"/>
                <w:szCs w:val="18"/>
              </w:rPr>
              <w:t>0.02L</w:t>
            </w:r>
          </w:p>
        </w:tc>
        <w:tc>
          <w:tcPr>
            <w:tcW w:w="563" w:type="dxa"/>
            <w:vAlign w:val="top"/>
          </w:tcPr>
          <w:p w14:paraId="4489ABA3">
            <w:pPr>
              <w:pStyle w:val="6"/>
              <w:spacing w:before="96" w:line="213" w:lineRule="auto"/>
              <w:ind w:left="63"/>
              <w:rPr>
                <w:sz w:val="18"/>
                <w:szCs w:val="18"/>
              </w:rPr>
            </w:pPr>
            <w:r>
              <w:rPr>
                <w:spacing w:val="-2"/>
                <w:sz w:val="18"/>
                <w:szCs w:val="18"/>
              </w:rPr>
              <w:t>0.01L</w:t>
            </w:r>
          </w:p>
        </w:tc>
        <w:tc>
          <w:tcPr>
            <w:tcW w:w="562" w:type="dxa"/>
            <w:vAlign w:val="top"/>
          </w:tcPr>
          <w:p w14:paraId="7E97F804">
            <w:pPr>
              <w:pStyle w:val="6"/>
              <w:spacing w:before="96" w:line="213" w:lineRule="auto"/>
              <w:ind w:left="19"/>
              <w:rPr>
                <w:sz w:val="18"/>
                <w:szCs w:val="18"/>
              </w:rPr>
            </w:pPr>
            <w:r>
              <w:rPr>
                <w:spacing w:val="-2"/>
                <w:sz w:val="18"/>
                <w:szCs w:val="18"/>
              </w:rPr>
              <w:t>0.006L</w:t>
            </w:r>
          </w:p>
        </w:tc>
        <w:tc>
          <w:tcPr>
            <w:tcW w:w="696" w:type="dxa"/>
            <w:vAlign w:val="top"/>
          </w:tcPr>
          <w:p w14:paraId="65FC84AF">
            <w:pPr>
              <w:pStyle w:val="6"/>
              <w:spacing w:before="96" w:line="213" w:lineRule="auto"/>
              <w:ind w:left="41"/>
              <w:rPr>
                <w:sz w:val="18"/>
                <w:szCs w:val="18"/>
              </w:rPr>
            </w:pPr>
            <w:r>
              <w:rPr>
                <w:spacing w:val="-1"/>
                <w:sz w:val="18"/>
                <w:szCs w:val="18"/>
              </w:rPr>
              <w:t>0.0003L</w:t>
            </w:r>
          </w:p>
        </w:tc>
        <w:tc>
          <w:tcPr>
            <w:tcW w:w="605" w:type="dxa"/>
            <w:vAlign w:val="top"/>
          </w:tcPr>
          <w:p w14:paraId="170BA172">
            <w:pPr>
              <w:pStyle w:val="6"/>
              <w:spacing w:before="96" w:line="213" w:lineRule="auto"/>
              <w:ind w:left="98"/>
              <w:rPr>
                <w:sz w:val="18"/>
                <w:szCs w:val="18"/>
              </w:rPr>
            </w:pPr>
            <w:r>
              <w:rPr>
                <w:spacing w:val="-2"/>
                <w:sz w:val="18"/>
                <w:szCs w:val="18"/>
              </w:rPr>
              <w:t>0.098</w:t>
            </w:r>
          </w:p>
        </w:tc>
        <w:tc>
          <w:tcPr>
            <w:tcW w:w="582" w:type="dxa"/>
            <w:vAlign w:val="top"/>
          </w:tcPr>
          <w:p w14:paraId="00F22A86">
            <w:pPr>
              <w:pStyle w:val="6"/>
              <w:spacing w:before="96" w:line="213" w:lineRule="auto"/>
              <w:ind w:left="132"/>
              <w:rPr>
                <w:sz w:val="18"/>
                <w:szCs w:val="18"/>
              </w:rPr>
            </w:pPr>
            <w:r>
              <w:rPr>
                <w:spacing w:val="-2"/>
                <w:sz w:val="18"/>
                <w:szCs w:val="18"/>
              </w:rPr>
              <w:t>0.01</w:t>
            </w:r>
          </w:p>
        </w:tc>
        <w:tc>
          <w:tcPr>
            <w:tcW w:w="583" w:type="dxa"/>
            <w:vAlign w:val="top"/>
          </w:tcPr>
          <w:p w14:paraId="3011CBCD">
            <w:pPr>
              <w:pStyle w:val="6"/>
              <w:spacing w:before="96" w:line="213" w:lineRule="auto"/>
              <w:ind w:left="133"/>
              <w:rPr>
                <w:sz w:val="18"/>
                <w:szCs w:val="18"/>
              </w:rPr>
            </w:pPr>
            <w:r>
              <w:rPr>
                <w:spacing w:val="-2"/>
                <w:sz w:val="18"/>
                <w:szCs w:val="18"/>
              </w:rPr>
              <w:t>0.27</w:t>
            </w:r>
          </w:p>
        </w:tc>
        <w:tc>
          <w:tcPr>
            <w:tcW w:w="582" w:type="dxa"/>
            <w:vAlign w:val="top"/>
          </w:tcPr>
          <w:p w14:paraId="2B6CE94C">
            <w:pPr>
              <w:pStyle w:val="6"/>
              <w:spacing w:before="96" w:line="213" w:lineRule="auto"/>
              <w:ind w:left="33"/>
              <w:rPr>
                <w:sz w:val="18"/>
                <w:szCs w:val="18"/>
              </w:rPr>
            </w:pPr>
            <w:r>
              <w:rPr>
                <w:spacing w:val="-2"/>
                <w:sz w:val="18"/>
                <w:szCs w:val="18"/>
              </w:rPr>
              <w:t>0.003L</w:t>
            </w:r>
          </w:p>
        </w:tc>
        <w:tc>
          <w:tcPr>
            <w:tcW w:w="582" w:type="dxa"/>
            <w:vAlign w:val="top"/>
          </w:tcPr>
          <w:p w14:paraId="3D68FB27">
            <w:pPr>
              <w:pStyle w:val="6"/>
              <w:spacing w:before="96" w:line="213" w:lineRule="auto"/>
              <w:ind w:left="90"/>
              <w:rPr>
                <w:sz w:val="18"/>
                <w:szCs w:val="18"/>
              </w:rPr>
            </w:pPr>
            <w:r>
              <w:rPr>
                <w:spacing w:val="-2"/>
                <w:sz w:val="18"/>
                <w:szCs w:val="18"/>
              </w:rPr>
              <w:t>0.078</w:t>
            </w:r>
          </w:p>
        </w:tc>
        <w:tc>
          <w:tcPr>
            <w:tcW w:w="582" w:type="dxa"/>
            <w:vAlign w:val="top"/>
          </w:tcPr>
          <w:p w14:paraId="25766E4F">
            <w:pPr>
              <w:pStyle w:val="6"/>
              <w:spacing w:before="96" w:line="213" w:lineRule="auto"/>
              <w:ind w:left="135"/>
              <w:rPr>
                <w:sz w:val="18"/>
                <w:szCs w:val="18"/>
              </w:rPr>
            </w:pPr>
            <w:r>
              <w:rPr>
                <w:spacing w:val="-2"/>
                <w:sz w:val="18"/>
                <w:szCs w:val="18"/>
              </w:rPr>
              <w:t>0.08</w:t>
            </w:r>
          </w:p>
        </w:tc>
        <w:tc>
          <w:tcPr>
            <w:tcW w:w="581" w:type="dxa"/>
            <w:vAlign w:val="top"/>
          </w:tcPr>
          <w:p w14:paraId="6BA6CA28">
            <w:pPr>
              <w:pStyle w:val="6"/>
              <w:spacing w:before="96" w:line="213" w:lineRule="auto"/>
              <w:ind w:left="37"/>
              <w:rPr>
                <w:sz w:val="18"/>
                <w:szCs w:val="18"/>
              </w:rPr>
            </w:pPr>
            <w:r>
              <w:rPr>
                <w:spacing w:val="-2"/>
                <w:sz w:val="18"/>
                <w:szCs w:val="18"/>
              </w:rPr>
              <w:t>0.004L</w:t>
            </w:r>
          </w:p>
        </w:tc>
        <w:tc>
          <w:tcPr>
            <w:tcW w:w="851" w:type="dxa"/>
            <w:vAlign w:val="top"/>
          </w:tcPr>
          <w:p w14:paraId="7B8970E0">
            <w:pPr>
              <w:pStyle w:val="6"/>
              <w:spacing w:before="96" w:line="213" w:lineRule="auto"/>
              <w:ind w:left="83"/>
              <w:rPr>
                <w:sz w:val="18"/>
                <w:szCs w:val="18"/>
              </w:rPr>
            </w:pPr>
            <w:r>
              <w:rPr>
                <w:spacing w:val="-1"/>
                <w:sz w:val="18"/>
                <w:szCs w:val="18"/>
              </w:rPr>
              <w:t>0.00004L</w:t>
            </w:r>
          </w:p>
        </w:tc>
        <w:tc>
          <w:tcPr>
            <w:tcW w:w="644" w:type="dxa"/>
            <w:vAlign w:val="top"/>
          </w:tcPr>
          <w:p w14:paraId="6DC81CAE">
            <w:pPr>
              <w:pStyle w:val="6"/>
              <w:spacing w:before="96" w:line="213" w:lineRule="auto"/>
              <w:ind w:left="81"/>
              <w:rPr>
                <w:sz w:val="18"/>
                <w:szCs w:val="18"/>
              </w:rPr>
            </w:pPr>
            <w:r>
              <w:rPr>
                <w:spacing w:val="-2"/>
                <w:sz w:val="18"/>
                <w:szCs w:val="18"/>
              </w:rPr>
              <w:t>0.0017</w:t>
            </w:r>
          </w:p>
        </w:tc>
        <w:tc>
          <w:tcPr>
            <w:tcW w:w="639" w:type="dxa"/>
            <w:vAlign w:val="top"/>
          </w:tcPr>
          <w:p w14:paraId="5BDC57C6">
            <w:pPr>
              <w:pStyle w:val="6"/>
              <w:spacing w:before="96" w:line="213" w:lineRule="auto"/>
              <w:ind w:left="22"/>
              <w:rPr>
                <w:sz w:val="18"/>
                <w:szCs w:val="18"/>
              </w:rPr>
            </w:pPr>
            <w:r>
              <w:rPr>
                <w:spacing w:val="-1"/>
                <w:sz w:val="18"/>
                <w:szCs w:val="18"/>
              </w:rPr>
              <w:t>0.0004L</w:t>
            </w:r>
          </w:p>
        </w:tc>
        <w:tc>
          <w:tcPr>
            <w:tcW w:w="640" w:type="dxa"/>
            <w:vAlign w:val="top"/>
          </w:tcPr>
          <w:p w14:paraId="35E7E346">
            <w:pPr>
              <w:pStyle w:val="6"/>
              <w:spacing w:before="96" w:line="213" w:lineRule="auto"/>
              <w:ind w:left="70"/>
              <w:rPr>
                <w:sz w:val="18"/>
                <w:szCs w:val="18"/>
              </w:rPr>
            </w:pPr>
            <w:r>
              <w:rPr>
                <w:spacing w:val="-2"/>
                <w:sz w:val="18"/>
                <w:szCs w:val="18"/>
              </w:rPr>
              <w:t>0.001L</w:t>
            </w:r>
          </w:p>
        </w:tc>
        <w:tc>
          <w:tcPr>
            <w:tcW w:w="639" w:type="dxa"/>
            <w:vAlign w:val="top"/>
          </w:tcPr>
          <w:p w14:paraId="3B67CA02">
            <w:pPr>
              <w:pStyle w:val="6"/>
              <w:spacing w:before="96" w:line="213" w:lineRule="auto"/>
              <w:ind w:left="69"/>
              <w:rPr>
                <w:sz w:val="18"/>
                <w:szCs w:val="18"/>
              </w:rPr>
            </w:pPr>
            <w:r>
              <w:rPr>
                <w:spacing w:val="-2"/>
                <w:sz w:val="18"/>
                <w:szCs w:val="18"/>
              </w:rPr>
              <w:t>0.004L</w:t>
            </w:r>
          </w:p>
        </w:tc>
        <w:tc>
          <w:tcPr>
            <w:tcW w:w="639" w:type="dxa"/>
            <w:vAlign w:val="top"/>
          </w:tcPr>
          <w:p w14:paraId="604EE35C">
            <w:pPr>
              <w:pStyle w:val="6"/>
              <w:spacing w:before="96" w:line="213" w:lineRule="auto"/>
              <w:ind w:left="114"/>
              <w:rPr>
                <w:sz w:val="18"/>
                <w:szCs w:val="18"/>
              </w:rPr>
            </w:pPr>
            <w:r>
              <w:rPr>
                <w:spacing w:val="-2"/>
                <w:sz w:val="18"/>
                <w:szCs w:val="18"/>
              </w:rPr>
              <w:t>0.01L</w:t>
            </w:r>
          </w:p>
        </w:tc>
        <w:tc>
          <w:tcPr>
            <w:tcW w:w="640" w:type="dxa"/>
            <w:vAlign w:val="top"/>
          </w:tcPr>
          <w:p w14:paraId="008E9794">
            <w:pPr>
              <w:pStyle w:val="6"/>
              <w:spacing w:before="96" w:line="213" w:lineRule="auto"/>
              <w:ind w:left="127"/>
              <w:rPr>
                <w:sz w:val="18"/>
                <w:szCs w:val="18"/>
              </w:rPr>
            </w:pPr>
            <w:r>
              <w:rPr>
                <w:spacing w:val="-2"/>
                <w:sz w:val="18"/>
                <w:szCs w:val="18"/>
              </w:rPr>
              <w:t>0.078</w:t>
            </w:r>
          </w:p>
        </w:tc>
        <w:tc>
          <w:tcPr>
            <w:tcW w:w="827" w:type="dxa"/>
            <w:vAlign w:val="top"/>
          </w:tcPr>
          <w:p w14:paraId="441912C1">
            <w:pPr>
              <w:pStyle w:val="6"/>
              <w:spacing w:before="96" w:line="213" w:lineRule="auto"/>
              <w:ind w:left="391"/>
              <w:rPr>
                <w:sz w:val="18"/>
                <w:szCs w:val="18"/>
              </w:rPr>
            </w:pPr>
            <w:r>
              <w:rPr>
                <w:sz w:val="18"/>
                <w:szCs w:val="18"/>
              </w:rPr>
              <w:t>/</w:t>
            </w:r>
          </w:p>
        </w:tc>
        <w:tc>
          <w:tcPr>
            <w:tcW w:w="457" w:type="dxa"/>
            <w:vAlign w:val="top"/>
          </w:tcPr>
          <w:p w14:paraId="6A974FDC">
            <w:pPr>
              <w:pStyle w:val="6"/>
              <w:spacing w:before="96" w:line="213" w:lineRule="auto"/>
              <w:ind w:left="104"/>
              <w:rPr>
                <w:sz w:val="18"/>
                <w:szCs w:val="18"/>
              </w:rPr>
            </w:pPr>
            <w:r>
              <w:rPr>
                <w:spacing w:val="-2"/>
                <w:sz w:val="18"/>
                <w:szCs w:val="18"/>
              </w:rPr>
              <w:t>388</w:t>
            </w:r>
          </w:p>
        </w:tc>
        <w:tc>
          <w:tcPr>
            <w:tcW w:w="533" w:type="dxa"/>
            <w:vAlign w:val="top"/>
          </w:tcPr>
          <w:p w14:paraId="2D96AF32">
            <w:pPr>
              <w:pStyle w:val="6"/>
              <w:spacing w:before="96" w:line="213" w:lineRule="auto"/>
              <w:ind w:left="65"/>
              <w:rPr>
                <w:sz w:val="18"/>
                <w:szCs w:val="18"/>
              </w:rPr>
            </w:pPr>
            <w:r>
              <w:rPr>
                <w:spacing w:val="-2"/>
                <w:sz w:val="18"/>
                <w:szCs w:val="18"/>
              </w:rPr>
              <w:t>0.05L</w:t>
            </w:r>
          </w:p>
        </w:tc>
        <w:tc>
          <w:tcPr>
            <w:tcW w:w="533" w:type="dxa"/>
            <w:vAlign w:val="top"/>
          </w:tcPr>
          <w:p w14:paraId="6532750E">
            <w:pPr>
              <w:pStyle w:val="6"/>
              <w:spacing w:before="96" w:line="213" w:lineRule="auto"/>
              <w:ind w:left="118"/>
              <w:rPr>
                <w:sz w:val="18"/>
                <w:szCs w:val="18"/>
              </w:rPr>
            </w:pPr>
            <w:r>
              <w:rPr>
                <w:spacing w:val="-1"/>
                <w:sz w:val="18"/>
                <w:szCs w:val="18"/>
              </w:rPr>
              <w:t>2.15</w:t>
            </w:r>
          </w:p>
        </w:tc>
        <w:tc>
          <w:tcPr>
            <w:tcW w:w="533" w:type="dxa"/>
            <w:vAlign w:val="top"/>
          </w:tcPr>
          <w:p w14:paraId="64B000B6">
            <w:pPr>
              <w:pStyle w:val="6"/>
              <w:spacing w:before="96" w:line="213" w:lineRule="auto"/>
              <w:ind w:left="123"/>
              <w:rPr>
                <w:sz w:val="18"/>
                <w:szCs w:val="18"/>
              </w:rPr>
            </w:pPr>
            <w:r>
              <w:rPr>
                <w:spacing w:val="-2"/>
                <w:sz w:val="18"/>
                <w:szCs w:val="18"/>
              </w:rPr>
              <w:t>6.61</w:t>
            </w:r>
          </w:p>
        </w:tc>
        <w:tc>
          <w:tcPr>
            <w:tcW w:w="533" w:type="dxa"/>
            <w:vAlign w:val="top"/>
          </w:tcPr>
          <w:p w14:paraId="1AADBF38">
            <w:pPr>
              <w:pStyle w:val="6"/>
              <w:spacing w:before="96" w:line="213" w:lineRule="auto"/>
              <w:ind w:left="119"/>
              <w:rPr>
                <w:sz w:val="18"/>
                <w:szCs w:val="18"/>
              </w:rPr>
            </w:pPr>
            <w:r>
              <w:rPr>
                <w:spacing w:val="-1"/>
                <w:sz w:val="18"/>
                <w:szCs w:val="18"/>
              </w:rPr>
              <w:t>46.7</w:t>
            </w:r>
          </w:p>
        </w:tc>
        <w:tc>
          <w:tcPr>
            <w:tcW w:w="524" w:type="dxa"/>
            <w:tcBorders>
              <w:right w:val="single" w:color="000000" w:sz="12" w:space="0"/>
            </w:tcBorders>
            <w:vAlign w:val="top"/>
          </w:tcPr>
          <w:p w14:paraId="3DFCB4FE">
            <w:pPr>
              <w:pStyle w:val="6"/>
              <w:spacing w:before="96" w:line="213" w:lineRule="auto"/>
              <w:ind w:left="105"/>
              <w:rPr>
                <w:sz w:val="18"/>
                <w:szCs w:val="18"/>
              </w:rPr>
            </w:pPr>
            <w:r>
              <w:rPr>
                <w:spacing w:val="-1"/>
                <w:sz w:val="18"/>
                <w:szCs w:val="18"/>
              </w:rPr>
              <w:t>23.7</w:t>
            </w:r>
          </w:p>
        </w:tc>
      </w:tr>
      <w:tr w14:paraId="65385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restart"/>
            <w:tcBorders>
              <w:left w:val="single" w:color="000000" w:sz="12" w:space="0"/>
              <w:bottom w:val="nil"/>
            </w:tcBorders>
            <w:vAlign w:val="top"/>
          </w:tcPr>
          <w:p w14:paraId="4F57212A">
            <w:pPr>
              <w:spacing w:line="256" w:lineRule="auto"/>
              <w:rPr>
                <w:rFonts w:ascii="Arial"/>
                <w:sz w:val="21"/>
              </w:rPr>
            </w:pPr>
          </w:p>
          <w:p w14:paraId="2AF462BF">
            <w:pPr>
              <w:spacing w:line="256" w:lineRule="auto"/>
              <w:rPr>
                <w:rFonts w:ascii="Arial"/>
                <w:sz w:val="21"/>
              </w:rPr>
            </w:pPr>
          </w:p>
          <w:p w14:paraId="77F99B61">
            <w:pPr>
              <w:spacing w:line="256" w:lineRule="auto"/>
              <w:rPr>
                <w:rFonts w:ascii="Arial"/>
                <w:sz w:val="21"/>
              </w:rPr>
            </w:pPr>
          </w:p>
          <w:p w14:paraId="1F12FFC9">
            <w:pPr>
              <w:spacing w:line="256" w:lineRule="auto"/>
              <w:rPr>
                <w:rFonts w:ascii="Arial"/>
                <w:sz w:val="21"/>
              </w:rPr>
            </w:pPr>
          </w:p>
          <w:p w14:paraId="77FE84EB">
            <w:pPr>
              <w:spacing w:line="256" w:lineRule="auto"/>
              <w:rPr>
                <w:rFonts w:ascii="Arial"/>
                <w:sz w:val="21"/>
              </w:rPr>
            </w:pPr>
          </w:p>
          <w:p w14:paraId="37C7F069">
            <w:pPr>
              <w:spacing w:line="256" w:lineRule="auto"/>
              <w:rPr>
                <w:rFonts w:ascii="Arial"/>
                <w:sz w:val="21"/>
              </w:rPr>
            </w:pPr>
          </w:p>
          <w:p w14:paraId="6AEB90B1">
            <w:pPr>
              <w:spacing w:before="61" w:line="245" w:lineRule="auto"/>
              <w:ind w:left="106" w:right="27" w:hanging="88"/>
              <w:rPr>
                <w:rFonts w:ascii="等线" w:hAnsi="等线" w:eastAsia="等线" w:cs="等线"/>
                <w:sz w:val="18"/>
                <w:szCs w:val="18"/>
              </w:rPr>
            </w:pPr>
            <w:r>
              <w:rPr>
                <w:rFonts w:ascii="等线" w:hAnsi="等线" w:eastAsia="等线" w:cs="等线"/>
                <w:spacing w:val="-4"/>
                <w:sz w:val="18"/>
                <w:szCs w:val="18"/>
              </w:rPr>
              <w:t>木龙</w:t>
            </w:r>
            <w:r>
              <w:rPr>
                <w:rFonts w:ascii="等线" w:hAnsi="等线" w:eastAsia="等线" w:cs="等线"/>
                <w:sz w:val="18"/>
                <w:szCs w:val="18"/>
              </w:rPr>
              <w:t>村</w:t>
            </w:r>
          </w:p>
        </w:tc>
        <w:tc>
          <w:tcPr>
            <w:tcW w:w="245" w:type="dxa"/>
            <w:vMerge w:val="restart"/>
            <w:tcBorders>
              <w:bottom w:val="nil"/>
            </w:tcBorders>
            <w:vAlign w:val="top"/>
          </w:tcPr>
          <w:p w14:paraId="7ECF2895">
            <w:pPr>
              <w:pStyle w:val="6"/>
              <w:spacing w:before="156" w:line="226" w:lineRule="auto"/>
              <w:ind w:left="78"/>
              <w:rPr>
                <w:sz w:val="18"/>
                <w:szCs w:val="18"/>
              </w:rPr>
            </w:pPr>
            <w:r>
              <w:rPr>
                <w:sz w:val="18"/>
                <w:szCs w:val="18"/>
              </w:rPr>
              <w:t>1</w:t>
            </w:r>
          </w:p>
          <w:p w14:paraId="4927EEAA">
            <w:pPr>
              <w:spacing w:line="226" w:lineRule="auto"/>
              <w:ind w:left="19"/>
              <w:rPr>
                <w:rFonts w:ascii="等线" w:hAnsi="等线" w:eastAsia="等线" w:cs="等线"/>
                <w:sz w:val="18"/>
                <w:szCs w:val="18"/>
              </w:rPr>
            </w:pPr>
            <w:r>
              <w:rPr>
                <w:rFonts w:ascii="等线" w:hAnsi="等线" w:eastAsia="等线" w:cs="等线"/>
                <w:sz w:val="18"/>
                <w:szCs w:val="18"/>
              </w:rPr>
              <w:t>季</w:t>
            </w:r>
          </w:p>
          <w:p w14:paraId="36B22EB3">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2562AD69">
            <w:pPr>
              <w:pStyle w:val="6"/>
              <w:spacing w:before="97" w:line="214" w:lineRule="auto"/>
              <w:ind w:left="83"/>
              <w:rPr>
                <w:sz w:val="18"/>
                <w:szCs w:val="18"/>
              </w:rPr>
            </w:pPr>
            <w:r>
              <w:rPr>
                <w:spacing w:val="-1"/>
                <w:sz w:val="18"/>
                <w:szCs w:val="18"/>
              </w:rPr>
              <w:t>2019/1/15</w:t>
            </w:r>
          </w:p>
        </w:tc>
        <w:tc>
          <w:tcPr>
            <w:tcW w:w="606" w:type="dxa"/>
            <w:vAlign w:val="top"/>
          </w:tcPr>
          <w:p w14:paraId="1B306C0D">
            <w:pPr>
              <w:pStyle w:val="6"/>
              <w:spacing w:before="97" w:line="214" w:lineRule="auto"/>
              <w:ind w:left="132"/>
              <w:rPr>
                <w:sz w:val="18"/>
                <w:szCs w:val="18"/>
              </w:rPr>
            </w:pPr>
            <w:r>
              <w:rPr>
                <w:spacing w:val="-2"/>
                <w:sz w:val="18"/>
                <w:szCs w:val="18"/>
              </w:rPr>
              <w:t>7.05</w:t>
            </w:r>
          </w:p>
        </w:tc>
        <w:tc>
          <w:tcPr>
            <w:tcW w:w="606" w:type="dxa"/>
            <w:vAlign w:val="top"/>
          </w:tcPr>
          <w:p w14:paraId="064EB8A2">
            <w:pPr>
              <w:pStyle w:val="6"/>
              <w:spacing w:before="97" w:line="214" w:lineRule="auto"/>
              <w:ind w:left="157"/>
              <w:rPr>
                <w:sz w:val="18"/>
                <w:szCs w:val="18"/>
              </w:rPr>
            </w:pPr>
            <w:r>
              <w:rPr>
                <w:spacing w:val="-2"/>
                <w:sz w:val="18"/>
                <w:szCs w:val="18"/>
              </w:rPr>
              <w:t>320</w:t>
            </w:r>
          </w:p>
        </w:tc>
        <w:tc>
          <w:tcPr>
            <w:tcW w:w="606" w:type="dxa"/>
            <w:vAlign w:val="top"/>
          </w:tcPr>
          <w:p w14:paraId="5C15ABF4">
            <w:pPr>
              <w:pStyle w:val="6"/>
              <w:spacing w:before="97" w:line="214" w:lineRule="auto"/>
              <w:ind w:left="154"/>
              <w:rPr>
                <w:sz w:val="18"/>
                <w:szCs w:val="18"/>
              </w:rPr>
            </w:pPr>
            <w:r>
              <w:rPr>
                <w:spacing w:val="-1"/>
                <w:sz w:val="18"/>
                <w:szCs w:val="18"/>
              </w:rPr>
              <w:t>420</w:t>
            </w:r>
          </w:p>
        </w:tc>
        <w:tc>
          <w:tcPr>
            <w:tcW w:w="606" w:type="dxa"/>
            <w:vAlign w:val="top"/>
          </w:tcPr>
          <w:p w14:paraId="4F5E77B5">
            <w:pPr>
              <w:pStyle w:val="6"/>
              <w:spacing w:before="97" w:line="214" w:lineRule="auto"/>
              <w:ind w:left="203"/>
              <w:rPr>
                <w:sz w:val="18"/>
                <w:szCs w:val="18"/>
              </w:rPr>
            </w:pPr>
            <w:r>
              <w:rPr>
                <w:spacing w:val="-2"/>
                <w:sz w:val="18"/>
                <w:szCs w:val="18"/>
              </w:rPr>
              <w:t>67</w:t>
            </w:r>
          </w:p>
        </w:tc>
        <w:tc>
          <w:tcPr>
            <w:tcW w:w="606" w:type="dxa"/>
            <w:vAlign w:val="top"/>
          </w:tcPr>
          <w:p w14:paraId="264ECFCF">
            <w:pPr>
              <w:pStyle w:val="6"/>
              <w:spacing w:before="100" w:line="186" w:lineRule="auto"/>
              <w:ind w:left="162"/>
              <w:rPr>
                <w:sz w:val="18"/>
                <w:szCs w:val="18"/>
              </w:rPr>
            </w:pPr>
            <w:r>
              <w:rPr>
                <w:spacing w:val="-5"/>
                <w:sz w:val="18"/>
                <w:szCs w:val="18"/>
              </w:rPr>
              <w:t>10L</w:t>
            </w:r>
          </w:p>
        </w:tc>
        <w:tc>
          <w:tcPr>
            <w:tcW w:w="606" w:type="dxa"/>
            <w:vAlign w:val="top"/>
          </w:tcPr>
          <w:p w14:paraId="53A82820">
            <w:pPr>
              <w:pStyle w:val="6"/>
              <w:spacing w:before="97" w:line="214" w:lineRule="auto"/>
              <w:ind w:left="137"/>
              <w:rPr>
                <w:sz w:val="18"/>
                <w:szCs w:val="18"/>
              </w:rPr>
            </w:pPr>
            <w:r>
              <w:rPr>
                <w:spacing w:val="-2"/>
                <w:sz w:val="18"/>
                <w:szCs w:val="18"/>
              </w:rPr>
              <w:t>0.04</w:t>
            </w:r>
          </w:p>
        </w:tc>
        <w:tc>
          <w:tcPr>
            <w:tcW w:w="605" w:type="dxa"/>
            <w:vAlign w:val="top"/>
          </w:tcPr>
          <w:p w14:paraId="429067B3">
            <w:pPr>
              <w:pStyle w:val="6"/>
              <w:spacing w:before="97" w:line="214" w:lineRule="auto"/>
              <w:ind w:left="83"/>
              <w:rPr>
                <w:sz w:val="18"/>
                <w:szCs w:val="18"/>
              </w:rPr>
            </w:pPr>
            <w:r>
              <w:rPr>
                <w:spacing w:val="-2"/>
                <w:sz w:val="18"/>
                <w:szCs w:val="18"/>
              </w:rPr>
              <w:t>0.02L</w:t>
            </w:r>
          </w:p>
        </w:tc>
        <w:tc>
          <w:tcPr>
            <w:tcW w:w="563" w:type="dxa"/>
            <w:vAlign w:val="top"/>
          </w:tcPr>
          <w:p w14:paraId="370E2BB4">
            <w:pPr>
              <w:pStyle w:val="6"/>
              <w:spacing w:before="97" w:line="214" w:lineRule="auto"/>
              <w:ind w:left="63"/>
              <w:rPr>
                <w:sz w:val="18"/>
                <w:szCs w:val="18"/>
              </w:rPr>
            </w:pPr>
            <w:r>
              <w:rPr>
                <w:spacing w:val="-2"/>
                <w:sz w:val="18"/>
                <w:szCs w:val="18"/>
              </w:rPr>
              <w:t>0.01L</w:t>
            </w:r>
          </w:p>
        </w:tc>
        <w:tc>
          <w:tcPr>
            <w:tcW w:w="562" w:type="dxa"/>
            <w:vAlign w:val="top"/>
          </w:tcPr>
          <w:p w14:paraId="3B357EEA">
            <w:pPr>
              <w:pStyle w:val="6"/>
              <w:spacing w:before="97" w:line="214" w:lineRule="auto"/>
              <w:ind w:left="74"/>
              <w:rPr>
                <w:sz w:val="18"/>
                <w:szCs w:val="18"/>
              </w:rPr>
            </w:pPr>
            <w:r>
              <w:rPr>
                <w:spacing w:val="-2"/>
                <w:sz w:val="18"/>
                <w:szCs w:val="18"/>
              </w:rPr>
              <w:t>0.020</w:t>
            </w:r>
          </w:p>
        </w:tc>
        <w:tc>
          <w:tcPr>
            <w:tcW w:w="696" w:type="dxa"/>
            <w:vAlign w:val="top"/>
          </w:tcPr>
          <w:p w14:paraId="7EF0F31C">
            <w:pPr>
              <w:pStyle w:val="6"/>
              <w:spacing w:before="97" w:line="214" w:lineRule="auto"/>
              <w:ind w:left="41"/>
              <w:rPr>
                <w:sz w:val="18"/>
                <w:szCs w:val="18"/>
              </w:rPr>
            </w:pPr>
            <w:r>
              <w:rPr>
                <w:spacing w:val="-1"/>
                <w:sz w:val="18"/>
                <w:szCs w:val="18"/>
              </w:rPr>
              <w:t>0.0003L</w:t>
            </w:r>
          </w:p>
        </w:tc>
        <w:tc>
          <w:tcPr>
            <w:tcW w:w="605" w:type="dxa"/>
            <w:vAlign w:val="top"/>
          </w:tcPr>
          <w:p w14:paraId="5A10BC03">
            <w:pPr>
              <w:pStyle w:val="6"/>
              <w:spacing w:before="97" w:line="214" w:lineRule="auto"/>
              <w:ind w:left="87"/>
              <w:rPr>
                <w:sz w:val="18"/>
                <w:szCs w:val="18"/>
              </w:rPr>
            </w:pPr>
            <w:r>
              <w:rPr>
                <w:spacing w:val="-1"/>
                <w:sz w:val="18"/>
                <w:szCs w:val="18"/>
              </w:rPr>
              <w:t>0.05L</w:t>
            </w:r>
          </w:p>
        </w:tc>
        <w:tc>
          <w:tcPr>
            <w:tcW w:w="582" w:type="dxa"/>
            <w:vAlign w:val="top"/>
          </w:tcPr>
          <w:p w14:paraId="2C550A97">
            <w:pPr>
              <w:pStyle w:val="6"/>
              <w:spacing w:before="97" w:line="214" w:lineRule="auto"/>
              <w:ind w:left="132"/>
              <w:rPr>
                <w:sz w:val="18"/>
                <w:szCs w:val="18"/>
              </w:rPr>
            </w:pPr>
            <w:r>
              <w:rPr>
                <w:spacing w:val="-2"/>
                <w:sz w:val="18"/>
                <w:szCs w:val="18"/>
              </w:rPr>
              <w:t>0.01</w:t>
            </w:r>
          </w:p>
        </w:tc>
        <w:tc>
          <w:tcPr>
            <w:tcW w:w="583" w:type="dxa"/>
            <w:vAlign w:val="top"/>
          </w:tcPr>
          <w:p w14:paraId="154ABBE4">
            <w:pPr>
              <w:pStyle w:val="6"/>
              <w:spacing w:before="97" w:line="214" w:lineRule="auto"/>
              <w:ind w:left="133"/>
              <w:rPr>
                <w:sz w:val="18"/>
                <w:szCs w:val="18"/>
              </w:rPr>
            </w:pPr>
            <w:r>
              <w:rPr>
                <w:spacing w:val="-2"/>
                <w:sz w:val="18"/>
                <w:szCs w:val="18"/>
              </w:rPr>
              <w:t>0.08</w:t>
            </w:r>
          </w:p>
        </w:tc>
        <w:tc>
          <w:tcPr>
            <w:tcW w:w="582" w:type="dxa"/>
            <w:vAlign w:val="top"/>
          </w:tcPr>
          <w:p w14:paraId="31A4C6C1">
            <w:pPr>
              <w:pStyle w:val="6"/>
              <w:spacing w:before="97" w:line="214" w:lineRule="auto"/>
              <w:ind w:left="33"/>
              <w:rPr>
                <w:sz w:val="18"/>
                <w:szCs w:val="18"/>
              </w:rPr>
            </w:pPr>
            <w:r>
              <w:rPr>
                <w:spacing w:val="-2"/>
                <w:sz w:val="18"/>
                <w:szCs w:val="18"/>
              </w:rPr>
              <w:t>0.003L</w:t>
            </w:r>
          </w:p>
        </w:tc>
        <w:tc>
          <w:tcPr>
            <w:tcW w:w="582" w:type="dxa"/>
            <w:vAlign w:val="top"/>
          </w:tcPr>
          <w:p w14:paraId="62333B6B">
            <w:pPr>
              <w:pStyle w:val="6"/>
              <w:spacing w:before="97" w:line="214" w:lineRule="auto"/>
              <w:ind w:left="90"/>
              <w:rPr>
                <w:sz w:val="18"/>
                <w:szCs w:val="18"/>
              </w:rPr>
            </w:pPr>
            <w:r>
              <w:rPr>
                <w:spacing w:val="-2"/>
                <w:sz w:val="18"/>
                <w:szCs w:val="18"/>
              </w:rPr>
              <w:t>0.030</w:t>
            </w:r>
          </w:p>
        </w:tc>
        <w:tc>
          <w:tcPr>
            <w:tcW w:w="582" w:type="dxa"/>
            <w:vAlign w:val="top"/>
          </w:tcPr>
          <w:p w14:paraId="5AAF21BF">
            <w:pPr>
              <w:pStyle w:val="6"/>
              <w:spacing w:before="97" w:line="214" w:lineRule="auto"/>
              <w:ind w:left="135"/>
              <w:rPr>
                <w:sz w:val="18"/>
                <w:szCs w:val="18"/>
              </w:rPr>
            </w:pPr>
            <w:r>
              <w:rPr>
                <w:spacing w:val="-2"/>
                <w:sz w:val="18"/>
                <w:szCs w:val="18"/>
              </w:rPr>
              <w:t>0.06</w:t>
            </w:r>
          </w:p>
        </w:tc>
        <w:tc>
          <w:tcPr>
            <w:tcW w:w="581" w:type="dxa"/>
            <w:vAlign w:val="top"/>
          </w:tcPr>
          <w:p w14:paraId="13F3A46F">
            <w:pPr>
              <w:pStyle w:val="6"/>
              <w:spacing w:before="97" w:line="214" w:lineRule="auto"/>
              <w:ind w:left="37"/>
              <w:rPr>
                <w:sz w:val="18"/>
                <w:szCs w:val="18"/>
              </w:rPr>
            </w:pPr>
            <w:r>
              <w:rPr>
                <w:spacing w:val="-2"/>
                <w:sz w:val="18"/>
                <w:szCs w:val="18"/>
              </w:rPr>
              <w:t>0.004L</w:t>
            </w:r>
          </w:p>
        </w:tc>
        <w:tc>
          <w:tcPr>
            <w:tcW w:w="851" w:type="dxa"/>
            <w:vAlign w:val="top"/>
          </w:tcPr>
          <w:p w14:paraId="295A2CAB">
            <w:pPr>
              <w:pStyle w:val="6"/>
              <w:spacing w:before="97" w:line="214" w:lineRule="auto"/>
              <w:ind w:left="139"/>
              <w:rPr>
                <w:sz w:val="18"/>
                <w:szCs w:val="18"/>
              </w:rPr>
            </w:pPr>
            <w:r>
              <w:rPr>
                <w:spacing w:val="-1"/>
                <w:sz w:val="18"/>
                <w:szCs w:val="18"/>
              </w:rPr>
              <w:t>0.00012</w:t>
            </w:r>
          </w:p>
        </w:tc>
        <w:tc>
          <w:tcPr>
            <w:tcW w:w="644" w:type="dxa"/>
            <w:vAlign w:val="top"/>
          </w:tcPr>
          <w:p w14:paraId="56461D2C">
            <w:pPr>
              <w:pStyle w:val="6"/>
              <w:spacing w:before="97" w:line="214" w:lineRule="auto"/>
              <w:ind w:left="81"/>
              <w:rPr>
                <w:sz w:val="18"/>
                <w:szCs w:val="18"/>
              </w:rPr>
            </w:pPr>
            <w:r>
              <w:rPr>
                <w:spacing w:val="-2"/>
                <w:sz w:val="18"/>
                <w:szCs w:val="18"/>
              </w:rPr>
              <w:t>0.0008</w:t>
            </w:r>
          </w:p>
        </w:tc>
        <w:tc>
          <w:tcPr>
            <w:tcW w:w="639" w:type="dxa"/>
            <w:vAlign w:val="top"/>
          </w:tcPr>
          <w:p w14:paraId="40A4DE12">
            <w:pPr>
              <w:pStyle w:val="6"/>
              <w:spacing w:before="97" w:line="214" w:lineRule="auto"/>
              <w:ind w:left="78"/>
              <w:rPr>
                <w:sz w:val="18"/>
                <w:szCs w:val="18"/>
              </w:rPr>
            </w:pPr>
            <w:r>
              <w:rPr>
                <w:spacing w:val="-2"/>
                <w:sz w:val="18"/>
                <w:szCs w:val="18"/>
              </w:rPr>
              <w:t>0.0014</w:t>
            </w:r>
          </w:p>
        </w:tc>
        <w:tc>
          <w:tcPr>
            <w:tcW w:w="640" w:type="dxa"/>
            <w:vAlign w:val="top"/>
          </w:tcPr>
          <w:p w14:paraId="69C3C247">
            <w:pPr>
              <w:pStyle w:val="6"/>
              <w:spacing w:before="97" w:line="214" w:lineRule="auto"/>
              <w:ind w:left="70"/>
              <w:rPr>
                <w:sz w:val="18"/>
                <w:szCs w:val="18"/>
              </w:rPr>
            </w:pPr>
            <w:r>
              <w:rPr>
                <w:spacing w:val="-2"/>
                <w:sz w:val="18"/>
                <w:szCs w:val="18"/>
              </w:rPr>
              <w:t>0.001L</w:t>
            </w:r>
          </w:p>
        </w:tc>
        <w:tc>
          <w:tcPr>
            <w:tcW w:w="639" w:type="dxa"/>
            <w:vAlign w:val="top"/>
          </w:tcPr>
          <w:p w14:paraId="23800DCA">
            <w:pPr>
              <w:pStyle w:val="6"/>
              <w:spacing w:before="97" w:line="214" w:lineRule="auto"/>
              <w:ind w:left="125"/>
              <w:rPr>
                <w:sz w:val="18"/>
                <w:szCs w:val="18"/>
              </w:rPr>
            </w:pPr>
            <w:r>
              <w:rPr>
                <w:spacing w:val="-2"/>
                <w:sz w:val="18"/>
                <w:szCs w:val="18"/>
              </w:rPr>
              <w:t>0.005</w:t>
            </w:r>
          </w:p>
        </w:tc>
        <w:tc>
          <w:tcPr>
            <w:tcW w:w="639" w:type="dxa"/>
            <w:vAlign w:val="top"/>
          </w:tcPr>
          <w:p w14:paraId="2ECB5A06">
            <w:pPr>
              <w:pStyle w:val="6"/>
              <w:spacing w:before="97" w:line="214" w:lineRule="auto"/>
              <w:ind w:left="114"/>
              <w:rPr>
                <w:sz w:val="18"/>
                <w:szCs w:val="18"/>
              </w:rPr>
            </w:pPr>
            <w:r>
              <w:rPr>
                <w:spacing w:val="-2"/>
                <w:sz w:val="18"/>
                <w:szCs w:val="18"/>
              </w:rPr>
              <w:t>0.01L</w:t>
            </w:r>
          </w:p>
        </w:tc>
        <w:tc>
          <w:tcPr>
            <w:tcW w:w="640" w:type="dxa"/>
            <w:vAlign w:val="top"/>
          </w:tcPr>
          <w:p w14:paraId="57D52F9B">
            <w:pPr>
              <w:pStyle w:val="6"/>
              <w:spacing w:before="97" w:line="214" w:lineRule="auto"/>
              <w:ind w:left="127"/>
              <w:rPr>
                <w:sz w:val="18"/>
                <w:szCs w:val="18"/>
              </w:rPr>
            </w:pPr>
            <w:r>
              <w:rPr>
                <w:spacing w:val="-2"/>
                <w:sz w:val="18"/>
                <w:szCs w:val="18"/>
              </w:rPr>
              <w:t>0.009</w:t>
            </w:r>
          </w:p>
        </w:tc>
        <w:tc>
          <w:tcPr>
            <w:tcW w:w="827" w:type="dxa"/>
            <w:vAlign w:val="top"/>
          </w:tcPr>
          <w:p w14:paraId="2343F131">
            <w:pPr>
              <w:pStyle w:val="6"/>
              <w:spacing w:before="97" w:line="214" w:lineRule="auto"/>
              <w:ind w:left="391"/>
              <w:rPr>
                <w:sz w:val="18"/>
                <w:szCs w:val="18"/>
              </w:rPr>
            </w:pPr>
            <w:r>
              <w:rPr>
                <w:sz w:val="18"/>
                <w:szCs w:val="18"/>
              </w:rPr>
              <w:t>/</w:t>
            </w:r>
          </w:p>
        </w:tc>
        <w:tc>
          <w:tcPr>
            <w:tcW w:w="457" w:type="dxa"/>
            <w:vAlign w:val="top"/>
          </w:tcPr>
          <w:p w14:paraId="4E676CD3">
            <w:pPr>
              <w:pStyle w:val="6"/>
              <w:spacing w:before="97" w:line="214" w:lineRule="auto"/>
              <w:ind w:left="99"/>
              <w:rPr>
                <w:sz w:val="18"/>
                <w:szCs w:val="18"/>
              </w:rPr>
            </w:pPr>
            <w:r>
              <w:rPr>
                <w:spacing w:val="-1"/>
                <w:sz w:val="18"/>
                <w:szCs w:val="18"/>
              </w:rPr>
              <w:t>458</w:t>
            </w:r>
          </w:p>
        </w:tc>
        <w:tc>
          <w:tcPr>
            <w:tcW w:w="533" w:type="dxa"/>
            <w:vAlign w:val="top"/>
          </w:tcPr>
          <w:p w14:paraId="4528F1C0">
            <w:pPr>
              <w:pStyle w:val="6"/>
              <w:spacing w:before="97" w:line="214" w:lineRule="auto"/>
              <w:ind w:left="109"/>
              <w:rPr>
                <w:sz w:val="18"/>
                <w:szCs w:val="18"/>
              </w:rPr>
            </w:pPr>
            <w:r>
              <w:rPr>
                <w:spacing w:val="-2"/>
                <w:sz w:val="18"/>
                <w:szCs w:val="18"/>
              </w:rPr>
              <w:t>0.5L</w:t>
            </w:r>
          </w:p>
        </w:tc>
        <w:tc>
          <w:tcPr>
            <w:tcW w:w="533" w:type="dxa"/>
            <w:vAlign w:val="top"/>
          </w:tcPr>
          <w:p w14:paraId="52BBDA9E">
            <w:pPr>
              <w:pStyle w:val="6"/>
              <w:spacing w:before="97" w:line="214" w:lineRule="auto"/>
              <w:ind w:left="135"/>
              <w:rPr>
                <w:sz w:val="18"/>
                <w:szCs w:val="18"/>
              </w:rPr>
            </w:pPr>
            <w:r>
              <w:rPr>
                <w:spacing w:val="-6"/>
                <w:sz w:val="18"/>
                <w:szCs w:val="18"/>
              </w:rPr>
              <w:t>1.10</w:t>
            </w:r>
          </w:p>
        </w:tc>
        <w:tc>
          <w:tcPr>
            <w:tcW w:w="533" w:type="dxa"/>
            <w:vAlign w:val="top"/>
          </w:tcPr>
          <w:p w14:paraId="4C97F9ED">
            <w:pPr>
              <w:pStyle w:val="6"/>
              <w:spacing w:before="97" w:line="214" w:lineRule="auto"/>
              <w:ind w:left="123"/>
              <w:rPr>
                <w:sz w:val="18"/>
                <w:szCs w:val="18"/>
              </w:rPr>
            </w:pPr>
            <w:r>
              <w:rPr>
                <w:spacing w:val="-2"/>
                <w:sz w:val="18"/>
                <w:szCs w:val="18"/>
              </w:rPr>
              <w:t>9.43</w:t>
            </w:r>
          </w:p>
        </w:tc>
        <w:tc>
          <w:tcPr>
            <w:tcW w:w="533" w:type="dxa"/>
            <w:vAlign w:val="top"/>
          </w:tcPr>
          <w:p w14:paraId="5D033CD6">
            <w:pPr>
              <w:pStyle w:val="6"/>
              <w:spacing w:before="97" w:line="214" w:lineRule="auto"/>
              <w:ind w:left="142"/>
              <w:rPr>
                <w:sz w:val="18"/>
                <w:szCs w:val="18"/>
              </w:rPr>
            </w:pPr>
            <w:r>
              <w:rPr>
                <w:spacing w:val="-1"/>
                <w:sz w:val="18"/>
                <w:szCs w:val="18"/>
              </w:rPr>
              <w:t>231</w:t>
            </w:r>
          </w:p>
        </w:tc>
        <w:tc>
          <w:tcPr>
            <w:tcW w:w="524" w:type="dxa"/>
            <w:tcBorders>
              <w:right w:val="single" w:color="000000" w:sz="12" w:space="0"/>
            </w:tcBorders>
            <w:vAlign w:val="top"/>
          </w:tcPr>
          <w:p w14:paraId="4938F063">
            <w:pPr>
              <w:pStyle w:val="6"/>
              <w:spacing w:before="97" w:line="214" w:lineRule="auto"/>
              <w:ind w:left="108"/>
              <w:rPr>
                <w:sz w:val="18"/>
                <w:szCs w:val="18"/>
              </w:rPr>
            </w:pPr>
            <w:r>
              <w:rPr>
                <w:spacing w:val="-2"/>
                <w:sz w:val="18"/>
                <w:szCs w:val="18"/>
              </w:rPr>
              <w:t>74.6</w:t>
            </w:r>
          </w:p>
        </w:tc>
      </w:tr>
      <w:tr w14:paraId="02B2F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36F7674D">
            <w:pPr>
              <w:rPr>
                <w:rFonts w:ascii="Arial"/>
                <w:sz w:val="21"/>
              </w:rPr>
            </w:pPr>
          </w:p>
        </w:tc>
        <w:tc>
          <w:tcPr>
            <w:tcW w:w="245" w:type="dxa"/>
            <w:vMerge w:val="continue"/>
            <w:tcBorders>
              <w:top w:val="nil"/>
              <w:bottom w:val="nil"/>
            </w:tcBorders>
            <w:vAlign w:val="top"/>
          </w:tcPr>
          <w:p w14:paraId="3946B2CC">
            <w:pPr>
              <w:rPr>
                <w:rFonts w:ascii="Arial"/>
                <w:sz w:val="21"/>
              </w:rPr>
            </w:pPr>
          </w:p>
        </w:tc>
        <w:tc>
          <w:tcPr>
            <w:tcW w:w="929" w:type="dxa"/>
            <w:vAlign w:val="top"/>
          </w:tcPr>
          <w:p w14:paraId="2C7B81E0">
            <w:pPr>
              <w:pStyle w:val="6"/>
              <w:spacing w:before="98" w:line="213" w:lineRule="auto"/>
              <w:ind w:left="83"/>
              <w:rPr>
                <w:sz w:val="18"/>
                <w:szCs w:val="18"/>
              </w:rPr>
            </w:pPr>
            <w:r>
              <w:rPr>
                <w:spacing w:val="-1"/>
                <w:sz w:val="18"/>
                <w:szCs w:val="18"/>
              </w:rPr>
              <w:t>2019/1/16</w:t>
            </w:r>
          </w:p>
        </w:tc>
        <w:tc>
          <w:tcPr>
            <w:tcW w:w="606" w:type="dxa"/>
            <w:vAlign w:val="top"/>
          </w:tcPr>
          <w:p w14:paraId="029EE536">
            <w:pPr>
              <w:pStyle w:val="6"/>
              <w:spacing w:before="98" w:line="213" w:lineRule="auto"/>
              <w:ind w:left="133"/>
              <w:rPr>
                <w:sz w:val="18"/>
                <w:szCs w:val="18"/>
              </w:rPr>
            </w:pPr>
            <w:r>
              <w:rPr>
                <w:spacing w:val="-2"/>
                <w:sz w:val="18"/>
                <w:szCs w:val="18"/>
              </w:rPr>
              <w:t>6.95</w:t>
            </w:r>
          </w:p>
        </w:tc>
        <w:tc>
          <w:tcPr>
            <w:tcW w:w="606" w:type="dxa"/>
            <w:vAlign w:val="top"/>
          </w:tcPr>
          <w:p w14:paraId="30B88E51">
            <w:pPr>
              <w:pStyle w:val="6"/>
              <w:spacing w:before="98" w:line="213" w:lineRule="auto"/>
              <w:ind w:left="157"/>
              <w:rPr>
                <w:sz w:val="18"/>
                <w:szCs w:val="18"/>
              </w:rPr>
            </w:pPr>
            <w:r>
              <w:rPr>
                <w:spacing w:val="-2"/>
                <w:sz w:val="18"/>
                <w:szCs w:val="18"/>
              </w:rPr>
              <w:t>338</w:t>
            </w:r>
          </w:p>
        </w:tc>
        <w:tc>
          <w:tcPr>
            <w:tcW w:w="606" w:type="dxa"/>
            <w:vAlign w:val="top"/>
          </w:tcPr>
          <w:p w14:paraId="000237E4">
            <w:pPr>
              <w:pStyle w:val="6"/>
              <w:spacing w:before="98" w:line="213" w:lineRule="auto"/>
              <w:ind w:left="154"/>
              <w:rPr>
                <w:sz w:val="18"/>
                <w:szCs w:val="18"/>
              </w:rPr>
            </w:pPr>
            <w:r>
              <w:rPr>
                <w:spacing w:val="-1"/>
                <w:sz w:val="18"/>
                <w:szCs w:val="18"/>
              </w:rPr>
              <w:t>418</w:t>
            </w:r>
          </w:p>
        </w:tc>
        <w:tc>
          <w:tcPr>
            <w:tcW w:w="606" w:type="dxa"/>
            <w:vAlign w:val="top"/>
          </w:tcPr>
          <w:p w14:paraId="7331A355">
            <w:pPr>
              <w:pStyle w:val="6"/>
              <w:spacing w:before="98" w:line="213" w:lineRule="auto"/>
              <w:ind w:left="202"/>
              <w:rPr>
                <w:sz w:val="18"/>
                <w:szCs w:val="18"/>
              </w:rPr>
            </w:pPr>
            <w:r>
              <w:rPr>
                <w:spacing w:val="-2"/>
                <w:sz w:val="18"/>
                <w:szCs w:val="18"/>
              </w:rPr>
              <w:t>70</w:t>
            </w:r>
          </w:p>
        </w:tc>
        <w:tc>
          <w:tcPr>
            <w:tcW w:w="606" w:type="dxa"/>
            <w:vAlign w:val="top"/>
          </w:tcPr>
          <w:p w14:paraId="662FC7F9">
            <w:pPr>
              <w:pStyle w:val="6"/>
              <w:spacing w:before="101" w:line="186" w:lineRule="auto"/>
              <w:ind w:left="162"/>
              <w:rPr>
                <w:sz w:val="18"/>
                <w:szCs w:val="18"/>
              </w:rPr>
            </w:pPr>
            <w:r>
              <w:rPr>
                <w:spacing w:val="-5"/>
                <w:sz w:val="18"/>
                <w:szCs w:val="18"/>
              </w:rPr>
              <w:t>10L</w:t>
            </w:r>
          </w:p>
        </w:tc>
        <w:tc>
          <w:tcPr>
            <w:tcW w:w="606" w:type="dxa"/>
            <w:vAlign w:val="top"/>
          </w:tcPr>
          <w:p w14:paraId="04B1CD59">
            <w:pPr>
              <w:pStyle w:val="6"/>
              <w:spacing w:before="98" w:line="213" w:lineRule="auto"/>
              <w:ind w:left="137"/>
              <w:rPr>
                <w:sz w:val="18"/>
                <w:szCs w:val="18"/>
              </w:rPr>
            </w:pPr>
            <w:r>
              <w:rPr>
                <w:spacing w:val="-2"/>
                <w:sz w:val="18"/>
                <w:szCs w:val="18"/>
              </w:rPr>
              <w:t>0.03</w:t>
            </w:r>
          </w:p>
        </w:tc>
        <w:tc>
          <w:tcPr>
            <w:tcW w:w="605" w:type="dxa"/>
            <w:vAlign w:val="top"/>
          </w:tcPr>
          <w:p w14:paraId="1984768E">
            <w:pPr>
              <w:pStyle w:val="6"/>
              <w:spacing w:before="98" w:line="213" w:lineRule="auto"/>
              <w:ind w:left="83"/>
              <w:rPr>
                <w:sz w:val="18"/>
                <w:szCs w:val="18"/>
              </w:rPr>
            </w:pPr>
            <w:r>
              <w:rPr>
                <w:spacing w:val="-2"/>
                <w:sz w:val="18"/>
                <w:szCs w:val="18"/>
              </w:rPr>
              <w:t>0.02L</w:t>
            </w:r>
          </w:p>
        </w:tc>
        <w:tc>
          <w:tcPr>
            <w:tcW w:w="563" w:type="dxa"/>
            <w:vAlign w:val="top"/>
          </w:tcPr>
          <w:p w14:paraId="38464E37">
            <w:pPr>
              <w:pStyle w:val="6"/>
              <w:spacing w:before="98" w:line="213" w:lineRule="auto"/>
              <w:ind w:left="63"/>
              <w:rPr>
                <w:sz w:val="18"/>
                <w:szCs w:val="18"/>
              </w:rPr>
            </w:pPr>
            <w:r>
              <w:rPr>
                <w:spacing w:val="-2"/>
                <w:sz w:val="18"/>
                <w:szCs w:val="18"/>
              </w:rPr>
              <w:t>0.01L</w:t>
            </w:r>
          </w:p>
        </w:tc>
        <w:tc>
          <w:tcPr>
            <w:tcW w:w="562" w:type="dxa"/>
            <w:vAlign w:val="top"/>
          </w:tcPr>
          <w:p w14:paraId="5681E318">
            <w:pPr>
              <w:pStyle w:val="6"/>
              <w:spacing w:before="98" w:line="213" w:lineRule="auto"/>
              <w:ind w:left="74"/>
              <w:rPr>
                <w:sz w:val="18"/>
                <w:szCs w:val="18"/>
              </w:rPr>
            </w:pPr>
            <w:r>
              <w:rPr>
                <w:spacing w:val="-2"/>
                <w:sz w:val="18"/>
                <w:szCs w:val="18"/>
              </w:rPr>
              <w:t>0.024</w:t>
            </w:r>
          </w:p>
        </w:tc>
        <w:tc>
          <w:tcPr>
            <w:tcW w:w="696" w:type="dxa"/>
            <w:vAlign w:val="top"/>
          </w:tcPr>
          <w:p w14:paraId="5A9BBADF">
            <w:pPr>
              <w:pStyle w:val="6"/>
              <w:spacing w:before="98" w:line="213" w:lineRule="auto"/>
              <w:ind w:left="41"/>
              <w:rPr>
                <w:sz w:val="18"/>
                <w:szCs w:val="18"/>
              </w:rPr>
            </w:pPr>
            <w:r>
              <w:rPr>
                <w:spacing w:val="-1"/>
                <w:sz w:val="18"/>
                <w:szCs w:val="18"/>
              </w:rPr>
              <w:t>0.0003L</w:t>
            </w:r>
          </w:p>
        </w:tc>
        <w:tc>
          <w:tcPr>
            <w:tcW w:w="605" w:type="dxa"/>
            <w:vAlign w:val="top"/>
          </w:tcPr>
          <w:p w14:paraId="33CA07EC">
            <w:pPr>
              <w:pStyle w:val="6"/>
              <w:spacing w:before="98" w:line="213" w:lineRule="auto"/>
              <w:ind w:left="87"/>
              <w:rPr>
                <w:sz w:val="18"/>
                <w:szCs w:val="18"/>
              </w:rPr>
            </w:pPr>
            <w:r>
              <w:rPr>
                <w:spacing w:val="-2"/>
                <w:sz w:val="18"/>
                <w:szCs w:val="18"/>
              </w:rPr>
              <w:t>0.05L</w:t>
            </w:r>
          </w:p>
        </w:tc>
        <w:tc>
          <w:tcPr>
            <w:tcW w:w="582" w:type="dxa"/>
            <w:vAlign w:val="top"/>
          </w:tcPr>
          <w:p w14:paraId="29354C03">
            <w:pPr>
              <w:pStyle w:val="6"/>
              <w:spacing w:before="98" w:line="213" w:lineRule="auto"/>
              <w:ind w:left="132"/>
              <w:rPr>
                <w:sz w:val="18"/>
                <w:szCs w:val="18"/>
              </w:rPr>
            </w:pPr>
            <w:r>
              <w:rPr>
                <w:spacing w:val="-2"/>
                <w:sz w:val="18"/>
                <w:szCs w:val="18"/>
              </w:rPr>
              <w:t>0.01</w:t>
            </w:r>
          </w:p>
        </w:tc>
        <w:tc>
          <w:tcPr>
            <w:tcW w:w="583" w:type="dxa"/>
            <w:vAlign w:val="top"/>
          </w:tcPr>
          <w:p w14:paraId="087BBE6C">
            <w:pPr>
              <w:pStyle w:val="6"/>
              <w:spacing w:before="98" w:line="213" w:lineRule="auto"/>
              <w:ind w:left="133"/>
              <w:rPr>
                <w:sz w:val="18"/>
                <w:szCs w:val="18"/>
              </w:rPr>
            </w:pPr>
            <w:r>
              <w:rPr>
                <w:spacing w:val="-2"/>
                <w:sz w:val="18"/>
                <w:szCs w:val="18"/>
              </w:rPr>
              <w:t>0.10</w:t>
            </w:r>
          </w:p>
        </w:tc>
        <w:tc>
          <w:tcPr>
            <w:tcW w:w="582" w:type="dxa"/>
            <w:vAlign w:val="top"/>
          </w:tcPr>
          <w:p w14:paraId="29837D0A">
            <w:pPr>
              <w:pStyle w:val="6"/>
              <w:spacing w:before="98" w:line="213" w:lineRule="auto"/>
              <w:ind w:left="33"/>
              <w:rPr>
                <w:sz w:val="18"/>
                <w:szCs w:val="18"/>
              </w:rPr>
            </w:pPr>
            <w:r>
              <w:rPr>
                <w:spacing w:val="-2"/>
                <w:sz w:val="18"/>
                <w:szCs w:val="18"/>
              </w:rPr>
              <w:t>0.003L</w:t>
            </w:r>
          </w:p>
        </w:tc>
        <w:tc>
          <w:tcPr>
            <w:tcW w:w="582" w:type="dxa"/>
            <w:vAlign w:val="top"/>
          </w:tcPr>
          <w:p w14:paraId="7BEDBC7D">
            <w:pPr>
              <w:pStyle w:val="6"/>
              <w:spacing w:before="98" w:line="213" w:lineRule="auto"/>
              <w:ind w:left="90"/>
              <w:rPr>
                <w:sz w:val="18"/>
                <w:szCs w:val="18"/>
              </w:rPr>
            </w:pPr>
            <w:r>
              <w:rPr>
                <w:spacing w:val="-2"/>
                <w:sz w:val="18"/>
                <w:szCs w:val="18"/>
              </w:rPr>
              <w:t>0.026</w:t>
            </w:r>
          </w:p>
        </w:tc>
        <w:tc>
          <w:tcPr>
            <w:tcW w:w="582" w:type="dxa"/>
            <w:vAlign w:val="top"/>
          </w:tcPr>
          <w:p w14:paraId="69E2DB3A">
            <w:pPr>
              <w:pStyle w:val="6"/>
              <w:spacing w:before="98" w:line="213" w:lineRule="auto"/>
              <w:ind w:left="135"/>
              <w:rPr>
                <w:sz w:val="18"/>
                <w:szCs w:val="18"/>
              </w:rPr>
            </w:pPr>
            <w:r>
              <w:rPr>
                <w:spacing w:val="-2"/>
                <w:sz w:val="18"/>
                <w:szCs w:val="18"/>
              </w:rPr>
              <w:t>0.08</w:t>
            </w:r>
          </w:p>
        </w:tc>
        <w:tc>
          <w:tcPr>
            <w:tcW w:w="581" w:type="dxa"/>
            <w:vAlign w:val="top"/>
          </w:tcPr>
          <w:p w14:paraId="6B18A813">
            <w:pPr>
              <w:pStyle w:val="6"/>
              <w:spacing w:before="98" w:line="213" w:lineRule="auto"/>
              <w:ind w:left="37"/>
              <w:rPr>
                <w:sz w:val="18"/>
                <w:szCs w:val="18"/>
              </w:rPr>
            </w:pPr>
            <w:r>
              <w:rPr>
                <w:spacing w:val="-2"/>
                <w:sz w:val="18"/>
                <w:szCs w:val="18"/>
              </w:rPr>
              <w:t>0.004L</w:t>
            </w:r>
          </w:p>
        </w:tc>
        <w:tc>
          <w:tcPr>
            <w:tcW w:w="851" w:type="dxa"/>
            <w:vAlign w:val="top"/>
          </w:tcPr>
          <w:p w14:paraId="04E49A14">
            <w:pPr>
              <w:pStyle w:val="6"/>
              <w:spacing w:before="98" w:line="213" w:lineRule="auto"/>
              <w:ind w:left="139"/>
              <w:rPr>
                <w:sz w:val="18"/>
                <w:szCs w:val="18"/>
              </w:rPr>
            </w:pPr>
            <w:r>
              <w:rPr>
                <w:spacing w:val="-1"/>
                <w:sz w:val="18"/>
                <w:szCs w:val="18"/>
              </w:rPr>
              <w:t>0.00010</w:t>
            </w:r>
          </w:p>
        </w:tc>
        <w:tc>
          <w:tcPr>
            <w:tcW w:w="644" w:type="dxa"/>
            <w:vAlign w:val="top"/>
          </w:tcPr>
          <w:p w14:paraId="1114579C">
            <w:pPr>
              <w:pStyle w:val="6"/>
              <w:spacing w:before="98" w:line="213" w:lineRule="auto"/>
              <w:ind w:left="81"/>
              <w:rPr>
                <w:sz w:val="18"/>
                <w:szCs w:val="18"/>
              </w:rPr>
            </w:pPr>
            <w:r>
              <w:rPr>
                <w:spacing w:val="-2"/>
                <w:sz w:val="18"/>
                <w:szCs w:val="18"/>
              </w:rPr>
              <w:t>0.0007</w:t>
            </w:r>
          </w:p>
        </w:tc>
        <w:tc>
          <w:tcPr>
            <w:tcW w:w="639" w:type="dxa"/>
            <w:vAlign w:val="top"/>
          </w:tcPr>
          <w:p w14:paraId="7FE2B718">
            <w:pPr>
              <w:pStyle w:val="6"/>
              <w:spacing w:before="98" w:line="213" w:lineRule="auto"/>
              <w:ind w:left="78"/>
              <w:rPr>
                <w:sz w:val="18"/>
                <w:szCs w:val="18"/>
              </w:rPr>
            </w:pPr>
            <w:r>
              <w:rPr>
                <w:spacing w:val="-2"/>
                <w:sz w:val="18"/>
                <w:szCs w:val="18"/>
              </w:rPr>
              <w:t>0.0013</w:t>
            </w:r>
          </w:p>
        </w:tc>
        <w:tc>
          <w:tcPr>
            <w:tcW w:w="640" w:type="dxa"/>
            <w:vAlign w:val="top"/>
          </w:tcPr>
          <w:p w14:paraId="758B8757">
            <w:pPr>
              <w:pStyle w:val="6"/>
              <w:spacing w:before="98" w:line="213" w:lineRule="auto"/>
              <w:ind w:left="70"/>
              <w:rPr>
                <w:sz w:val="18"/>
                <w:szCs w:val="18"/>
              </w:rPr>
            </w:pPr>
            <w:r>
              <w:rPr>
                <w:spacing w:val="-2"/>
                <w:sz w:val="18"/>
                <w:szCs w:val="18"/>
              </w:rPr>
              <w:t>0.001L</w:t>
            </w:r>
          </w:p>
        </w:tc>
        <w:tc>
          <w:tcPr>
            <w:tcW w:w="639" w:type="dxa"/>
            <w:vAlign w:val="top"/>
          </w:tcPr>
          <w:p w14:paraId="661D8452">
            <w:pPr>
              <w:pStyle w:val="6"/>
              <w:spacing w:before="98" w:line="213" w:lineRule="auto"/>
              <w:ind w:left="125"/>
              <w:rPr>
                <w:sz w:val="18"/>
                <w:szCs w:val="18"/>
              </w:rPr>
            </w:pPr>
            <w:r>
              <w:rPr>
                <w:spacing w:val="-2"/>
                <w:sz w:val="18"/>
                <w:szCs w:val="18"/>
              </w:rPr>
              <w:t>0.006</w:t>
            </w:r>
          </w:p>
        </w:tc>
        <w:tc>
          <w:tcPr>
            <w:tcW w:w="639" w:type="dxa"/>
            <w:vAlign w:val="top"/>
          </w:tcPr>
          <w:p w14:paraId="50AD7358">
            <w:pPr>
              <w:pStyle w:val="6"/>
              <w:spacing w:before="98" w:line="213" w:lineRule="auto"/>
              <w:ind w:left="114"/>
              <w:rPr>
                <w:sz w:val="18"/>
                <w:szCs w:val="18"/>
              </w:rPr>
            </w:pPr>
            <w:r>
              <w:rPr>
                <w:spacing w:val="-2"/>
                <w:sz w:val="18"/>
                <w:szCs w:val="18"/>
              </w:rPr>
              <w:t>0.01L</w:t>
            </w:r>
          </w:p>
        </w:tc>
        <w:tc>
          <w:tcPr>
            <w:tcW w:w="640" w:type="dxa"/>
            <w:vAlign w:val="top"/>
          </w:tcPr>
          <w:p w14:paraId="33F63AE6">
            <w:pPr>
              <w:pStyle w:val="6"/>
              <w:spacing w:before="98" w:line="213" w:lineRule="auto"/>
              <w:ind w:left="127"/>
              <w:rPr>
                <w:sz w:val="18"/>
                <w:szCs w:val="18"/>
              </w:rPr>
            </w:pPr>
            <w:r>
              <w:rPr>
                <w:spacing w:val="-2"/>
                <w:sz w:val="18"/>
                <w:szCs w:val="18"/>
              </w:rPr>
              <w:t>0.011</w:t>
            </w:r>
          </w:p>
        </w:tc>
        <w:tc>
          <w:tcPr>
            <w:tcW w:w="827" w:type="dxa"/>
            <w:vAlign w:val="top"/>
          </w:tcPr>
          <w:p w14:paraId="2B961DAE">
            <w:pPr>
              <w:pStyle w:val="6"/>
              <w:spacing w:before="98" w:line="213" w:lineRule="auto"/>
              <w:ind w:left="391"/>
              <w:rPr>
                <w:sz w:val="18"/>
                <w:szCs w:val="18"/>
              </w:rPr>
            </w:pPr>
            <w:r>
              <w:rPr>
                <w:sz w:val="18"/>
                <w:szCs w:val="18"/>
              </w:rPr>
              <w:t>/</w:t>
            </w:r>
          </w:p>
        </w:tc>
        <w:tc>
          <w:tcPr>
            <w:tcW w:w="457" w:type="dxa"/>
            <w:vAlign w:val="top"/>
          </w:tcPr>
          <w:p w14:paraId="6E388739">
            <w:pPr>
              <w:pStyle w:val="6"/>
              <w:spacing w:before="98" w:line="213" w:lineRule="auto"/>
              <w:ind w:left="99"/>
              <w:rPr>
                <w:sz w:val="18"/>
                <w:szCs w:val="18"/>
              </w:rPr>
            </w:pPr>
            <w:r>
              <w:rPr>
                <w:spacing w:val="-1"/>
                <w:sz w:val="18"/>
                <w:szCs w:val="18"/>
              </w:rPr>
              <w:t>454</w:t>
            </w:r>
          </w:p>
        </w:tc>
        <w:tc>
          <w:tcPr>
            <w:tcW w:w="533" w:type="dxa"/>
            <w:vAlign w:val="top"/>
          </w:tcPr>
          <w:p w14:paraId="1B1EF002">
            <w:pPr>
              <w:pStyle w:val="6"/>
              <w:spacing w:before="98" w:line="213" w:lineRule="auto"/>
              <w:ind w:left="109"/>
              <w:rPr>
                <w:sz w:val="18"/>
                <w:szCs w:val="18"/>
              </w:rPr>
            </w:pPr>
            <w:r>
              <w:rPr>
                <w:spacing w:val="-2"/>
                <w:sz w:val="18"/>
                <w:szCs w:val="18"/>
              </w:rPr>
              <w:t>0.5L</w:t>
            </w:r>
          </w:p>
        </w:tc>
        <w:tc>
          <w:tcPr>
            <w:tcW w:w="533" w:type="dxa"/>
            <w:vAlign w:val="top"/>
          </w:tcPr>
          <w:p w14:paraId="5C7EB946">
            <w:pPr>
              <w:pStyle w:val="6"/>
              <w:spacing w:before="98" w:line="213" w:lineRule="auto"/>
              <w:ind w:left="135"/>
              <w:rPr>
                <w:sz w:val="18"/>
                <w:szCs w:val="18"/>
              </w:rPr>
            </w:pPr>
            <w:r>
              <w:rPr>
                <w:spacing w:val="-6"/>
                <w:sz w:val="18"/>
                <w:szCs w:val="18"/>
              </w:rPr>
              <w:t>1.08</w:t>
            </w:r>
          </w:p>
        </w:tc>
        <w:tc>
          <w:tcPr>
            <w:tcW w:w="533" w:type="dxa"/>
            <w:vAlign w:val="top"/>
          </w:tcPr>
          <w:p w14:paraId="7D50643F">
            <w:pPr>
              <w:pStyle w:val="6"/>
              <w:spacing w:before="98" w:line="213" w:lineRule="auto"/>
              <w:ind w:left="123"/>
              <w:rPr>
                <w:sz w:val="18"/>
                <w:szCs w:val="18"/>
              </w:rPr>
            </w:pPr>
            <w:r>
              <w:rPr>
                <w:spacing w:val="-2"/>
                <w:sz w:val="18"/>
                <w:szCs w:val="18"/>
              </w:rPr>
              <w:t>9.46</w:t>
            </w:r>
          </w:p>
        </w:tc>
        <w:tc>
          <w:tcPr>
            <w:tcW w:w="533" w:type="dxa"/>
            <w:vAlign w:val="top"/>
          </w:tcPr>
          <w:p w14:paraId="7F0E2196">
            <w:pPr>
              <w:pStyle w:val="6"/>
              <w:spacing w:before="98" w:line="213" w:lineRule="auto"/>
              <w:ind w:left="142"/>
              <w:rPr>
                <w:sz w:val="18"/>
                <w:szCs w:val="18"/>
              </w:rPr>
            </w:pPr>
            <w:r>
              <w:rPr>
                <w:spacing w:val="-1"/>
                <w:sz w:val="18"/>
                <w:szCs w:val="18"/>
              </w:rPr>
              <w:t>240</w:t>
            </w:r>
          </w:p>
        </w:tc>
        <w:tc>
          <w:tcPr>
            <w:tcW w:w="524" w:type="dxa"/>
            <w:tcBorders>
              <w:right w:val="single" w:color="000000" w:sz="12" w:space="0"/>
            </w:tcBorders>
            <w:vAlign w:val="top"/>
          </w:tcPr>
          <w:p w14:paraId="6EB50146">
            <w:pPr>
              <w:pStyle w:val="6"/>
              <w:spacing w:before="98" w:line="213" w:lineRule="auto"/>
              <w:ind w:left="108"/>
              <w:rPr>
                <w:sz w:val="18"/>
                <w:szCs w:val="18"/>
              </w:rPr>
            </w:pPr>
            <w:r>
              <w:rPr>
                <w:spacing w:val="-2"/>
                <w:sz w:val="18"/>
                <w:szCs w:val="18"/>
              </w:rPr>
              <w:t>75.1</w:t>
            </w:r>
          </w:p>
        </w:tc>
      </w:tr>
      <w:tr w14:paraId="51DC7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42B8DEA2">
            <w:pPr>
              <w:rPr>
                <w:rFonts w:ascii="Arial"/>
                <w:sz w:val="21"/>
              </w:rPr>
            </w:pPr>
          </w:p>
        </w:tc>
        <w:tc>
          <w:tcPr>
            <w:tcW w:w="245" w:type="dxa"/>
            <w:vMerge w:val="continue"/>
            <w:tcBorders>
              <w:top w:val="nil"/>
            </w:tcBorders>
            <w:vAlign w:val="top"/>
          </w:tcPr>
          <w:p w14:paraId="0F27915A">
            <w:pPr>
              <w:rPr>
                <w:rFonts w:ascii="Arial"/>
                <w:sz w:val="21"/>
              </w:rPr>
            </w:pPr>
          </w:p>
        </w:tc>
        <w:tc>
          <w:tcPr>
            <w:tcW w:w="929" w:type="dxa"/>
            <w:vAlign w:val="top"/>
          </w:tcPr>
          <w:p w14:paraId="4747895E">
            <w:pPr>
              <w:pStyle w:val="6"/>
              <w:spacing w:before="97" w:line="212" w:lineRule="auto"/>
              <w:ind w:left="83"/>
              <w:rPr>
                <w:sz w:val="18"/>
                <w:szCs w:val="18"/>
              </w:rPr>
            </w:pPr>
            <w:r>
              <w:rPr>
                <w:spacing w:val="-1"/>
                <w:sz w:val="18"/>
                <w:szCs w:val="18"/>
              </w:rPr>
              <w:t>2019/1/17</w:t>
            </w:r>
          </w:p>
        </w:tc>
        <w:tc>
          <w:tcPr>
            <w:tcW w:w="606" w:type="dxa"/>
            <w:vAlign w:val="top"/>
          </w:tcPr>
          <w:p w14:paraId="7F836323">
            <w:pPr>
              <w:pStyle w:val="6"/>
              <w:spacing w:before="97" w:line="212" w:lineRule="auto"/>
              <w:ind w:left="133"/>
              <w:rPr>
                <w:sz w:val="18"/>
                <w:szCs w:val="18"/>
              </w:rPr>
            </w:pPr>
            <w:r>
              <w:rPr>
                <w:spacing w:val="-2"/>
                <w:sz w:val="18"/>
                <w:szCs w:val="18"/>
              </w:rPr>
              <w:t>6.89</w:t>
            </w:r>
          </w:p>
        </w:tc>
        <w:tc>
          <w:tcPr>
            <w:tcW w:w="606" w:type="dxa"/>
            <w:vAlign w:val="top"/>
          </w:tcPr>
          <w:p w14:paraId="082EC200">
            <w:pPr>
              <w:pStyle w:val="6"/>
              <w:spacing w:before="97" w:line="212" w:lineRule="auto"/>
              <w:ind w:left="157"/>
              <w:rPr>
                <w:sz w:val="18"/>
                <w:szCs w:val="18"/>
              </w:rPr>
            </w:pPr>
            <w:r>
              <w:rPr>
                <w:spacing w:val="-2"/>
                <w:sz w:val="18"/>
                <w:szCs w:val="18"/>
              </w:rPr>
              <w:t>317</w:t>
            </w:r>
          </w:p>
        </w:tc>
        <w:tc>
          <w:tcPr>
            <w:tcW w:w="606" w:type="dxa"/>
            <w:vAlign w:val="top"/>
          </w:tcPr>
          <w:p w14:paraId="2E33E0A8">
            <w:pPr>
              <w:pStyle w:val="6"/>
              <w:spacing w:before="97" w:line="212" w:lineRule="auto"/>
              <w:ind w:left="154"/>
              <w:rPr>
                <w:sz w:val="18"/>
                <w:szCs w:val="18"/>
              </w:rPr>
            </w:pPr>
            <w:r>
              <w:rPr>
                <w:spacing w:val="-1"/>
                <w:sz w:val="18"/>
                <w:szCs w:val="18"/>
              </w:rPr>
              <w:t>425</w:t>
            </w:r>
          </w:p>
        </w:tc>
        <w:tc>
          <w:tcPr>
            <w:tcW w:w="606" w:type="dxa"/>
            <w:vAlign w:val="top"/>
          </w:tcPr>
          <w:p w14:paraId="13323298">
            <w:pPr>
              <w:pStyle w:val="6"/>
              <w:spacing w:before="97" w:line="212" w:lineRule="auto"/>
              <w:ind w:left="203"/>
              <w:rPr>
                <w:sz w:val="18"/>
                <w:szCs w:val="18"/>
              </w:rPr>
            </w:pPr>
            <w:r>
              <w:rPr>
                <w:spacing w:val="-2"/>
                <w:sz w:val="18"/>
                <w:szCs w:val="18"/>
              </w:rPr>
              <w:t>65</w:t>
            </w:r>
          </w:p>
        </w:tc>
        <w:tc>
          <w:tcPr>
            <w:tcW w:w="606" w:type="dxa"/>
            <w:vAlign w:val="top"/>
          </w:tcPr>
          <w:p w14:paraId="0FD19ADA">
            <w:pPr>
              <w:pStyle w:val="6"/>
              <w:spacing w:before="100" w:line="186" w:lineRule="auto"/>
              <w:ind w:left="162"/>
              <w:rPr>
                <w:sz w:val="18"/>
                <w:szCs w:val="18"/>
              </w:rPr>
            </w:pPr>
            <w:r>
              <w:rPr>
                <w:spacing w:val="-5"/>
                <w:sz w:val="18"/>
                <w:szCs w:val="18"/>
              </w:rPr>
              <w:t>10L</w:t>
            </w:r>
          </w:p>
        </w:tc>
        <w:tc>
          <w:tcPr>
            <w:tcW w:w="606" w:type="dxa"/>
            <w:vAlign w:val="top"/>
          </w:tcPr>
          <w:p w14:paraId="393DD5D2">
            <w:pPr>
              <w:pStyle w:val="6"/>
              <w:spacing w:before="97" w:line="212" w:lineRule="auto"/>
              <w:ind w:left="137"/>
              <w:rPr>
                <w:sz w:val="18"/>
                <w:szCs w:val="18"/>
              </w:rPr>
            </w:pPr>
            <w:r>
              <w:rPr>
                <w:spacing w:val="-2"/>
                <w:sz w:val="18"/>
                <w:szCs w:val="18"/>
              </w:rPr>
              <w:t>0.04</w:t>
            </w:r>
          </w:p>
        </w:tc>
        <w:tc>
          <w:tcPr>
            <w:tcW w:w="605" w:type="dxa"/>
            <w:vAlign w:val="top"/>
          </w:tcPr>
          <w:p w14:paraId="430B5646">
            <w:pPr>
              <w:pStyle w:val="6"/>
              <w:spacing w:before="97" w:line="212" w:lineRule="auto"/>
              <w:ind w:left="83"/>
              <w:rPr>
                <w:sz w:val="18"/>
                <w:szCs w:val="18"/>
              </w:rPr>
            </w:pPr>
            <w:r>
              <w:rPr>
                <w:spacing w:val="-2"/>
                <w:sz w:val="18"/>
                <w:szCs w:val="18"/>
              </w:rPr>
              <w:t>0.02L</w:t>
            </w:r>
          </w:p>
        </w:tc>
        <w:tc>
          <w:tcPr>
            <w:tcW w:w="563" w:type="dxa"/>
            <w:vAlign w:val="top"/>
          </w:tcPr>
          <w:p w14:paraId="14EECD19">
            <w:pPr>
              <w:pStyle w:val="6"/>
              <w:spacing w:before="97" w:line="212" w:lineRule="auto"/>
              <w:ind w:left="63"/>
              <w:rPr>
                <w:sz w:val="18"/>
                <w:szCs w:val="18"/>
              </w:rPr>
            </w:pPr>
            <w:r>
              <w:rPr>
                <w:spacing w:val="-2"/>
                <w:sz w:val="18"/>
                <w:szCs w:val="18"/>
              </w:rPr>
              <w:t>0.01L</w:t>
            </w:r>
          </w:p>
        </w:tc>
        <w:tc>
          <w:tcPr>
            <w:tcW w:w="562" w:type="dxa"/>
            <w:vAlign w:val="top"/>
          </w:tcPr>
          <w:p w14:paraId="1F4905E6">
            <w:pPr>
              <w:pStyle w:val="6"/>
              <w:spacing w:before="97" w:line="212" w:lineRule="auto"/>
              <w:ind w:left="74"/>
              <w:rPr>
                <w:sz w:val="18"/>
                <w:szCs w:val="18"/>
              </w:rPr>
            </w:pPr>
            <w:r>
              <w:rPr>
                <w:spacing w:val="-2"/>
                <w:sz w:val="18"/>
                <w:szCs w:val="18"/>
              </w:rPr>
              <w:t>0.022</w:t>
            </w:r>
          </w:p>
        </w:tc>
        <w:tc>
          <w:tcPr>
            <w:tcW w:w="696" w:type="dxa"/>
            <w:vAlign w:val="top"/>
          </w:tcPr>
          <w:p w14:paraId="187BBEAF">
            <w:pPr>
              <w:pStyle w:val="6"/>
              <w:spacing w:before="97" w:line="212" w:lineRule="auto"/>
              <w:ind w:left="41"/>
              <w:rPr>
                <w:sz w:val="18"/>
                <w:szCs w:val="18"/>
              </w:rPr>
            </w:pPr>
            <w:r>
              <w:rPr>
                <w:spacing w:val="-1"/>
                <w:sz w:val="18"/>
                <w:szCs w:val="18"/>
              </w:rPr>
              <w:t>0.0003L</w:t>
            </w:r>
          </w:p>
        </w:tc>
        <w:tc>
          <w:tcPr>
            <w:tcW w:w="605" w:type="dxa"/>
            <w:vAlign w:val="top"/>
          </w:tcPr>
          <w:p w14:paraId="6D597DBE">
            <w:pPr>
              <w:pStyle w:val="6"/>
              <w:spacing w:before="97" w:line="212" w:lineRule="auto"/>
              <w:ind w:left="87"/>
              <w:rPr>
                <w:sz w:val="18"/>
                <w:szCs w:val="18"/>
              </w:rPr>
            </w:pPr>
            <w:r>
              <w:rPr>
                <w:spacing w:val="-2"/>
                <w:sz w:val="18"/>
                <w:szCs w:val="18"/>
              </w:rPr>
              <w:t>0.05L</w:t>
            </w:r>
          </w:p>
        </w:tc>
        <w:tc>
          <w:tcPr>
            <w:tcW w:w="582" w:type="dxa"/>
            <w:vAlign w:val="top"/>
          </w:tcPr>
          <w:p w14:paraId="37E983D2">
            <w:pPr>
              <w:pStyle w:val="6"/>
              <w:spacing w:before="97" w:line="212" w:lineRule="auto"/>
              <w:ind w:left="132"/>
              <w:rPr>
                <w:sz w:val="18"/>
                <w:szCs w:val="18"/>
              </w:rPr>
            </w:pPr>
            <w:r>
              <w:rPr>
                <w:spacing w:val="-2"/>
                <w:sz w:val="18"/>
                <w:szCs w:val="18"/>
              </w:rPr>
              <w:t>0.02</w:t>
            </w:r>
          </w:p>
        </w:tc>
        <w:tc>
          <w:tcPr>
            <w:tcW w:w="583" w:type="dxa"/>
            <w:vAlign w:val="top"/>
          </w:tcPr>
          <w:p w14:paraId="2F60EE02">
            <w:pPr>
              <w:pStyle w:val="6"/>
              <w:spacing w:before="97" w:line="212" w:lineRule="auto"/>
              <w:ind w:left="133"/>
              <w:rPr>
                <w:sz w:val="18"/>
                <w:szCs w:val="18"/>
              </w:rPr>
            </w:pPr>
            <w:r>
              <w:rPr>
                <w:spacing w:val="-2"/>
                <w:sz w:val="18"/>
                <w:szCs w:val="18"/>
              </w:rPr>
              <w:t>0.12</w:t>
            </w:r>
          </w:p>
        </w:tc>
        <w:tc>
          <w:tcPr>
            <w:tcW w:w="582" w:type="dxa"/>
            <w:vAlign w:val="top"/>
          </w:tcPr>
          <w:p w14:paraId="10924B36">
            <w:pPr>
              <w:pStyle w:val="6"/>
              <w:spacing w:before="97" w:line="212" w:lineRule="auto"/>
              <w:ind w:left="33"/>
              <w:rPr>
                <w:sz w:val="18"/>
                <w:szCs w:val="18"/>
              </w:rPr>
            </w:pPr>
            <w:r>
              <w:rPr>
                <w:spacing w:val="-2"/>
                <w:sz w:val="18"/>
                <w:szCs w:val="18"/>
              </w:rPr>
              <w:t>0.003L</w:t>
            </w:r>
          </w:p>
        </w:tc>
        <w:tc>
          <w:tcPr>
            <w:tcW w:w="582" w:type="dxa"/>
            <w:vAlign w:val="top"/>
          </w:tcPr>
          <w:p w14:paraId="16DB4D5E">
            <w:pPr>
              <w:pStyle w:val="6"/>
              <w:spacing w:before="97" w:line="212" w:lineRule="auto"/>
              <w:ind w:left="90"/>
              <w:rPr>
                <w:sz w:val="18"/>
                <w:szCs w:val="18"/>
              </w:rPr>
            </w:pPr>
            <w:r>
              <w:rPr>
                <w:spacing w:val="-2"/>
                <w:sz w:val="18"/>
                <w:szCs w:val="18"/>
              </w:rPr>
              <w:t>0.042</w:t>
            </w:r>
          </w:p>
        </w:tc>
        <w:tc>
          <w:tcPr>
            <w:tcW w:w="582" w:type="dxa"/>
            <w:vAlign w:val="top"/>
          </w:tcPr>
          <w:p w14:paraId="666F9F5B">
            <w:pPr>
              <w:pStyle w:val="6"/>
              <w:spacing w:before="97" w:line="212" w:lineRule="auto"/>
              <w:ind w:left="135"/>
              <w:rPr>
                <w:sz w:val="18"/>
                <w:szCs w:val="18"/>
              </w:rPr>
            </w:pPr>
            <w:r>
              <w:rPr>
                <w:spacing w:val="-2"/>
                <w:sz w:val="18"/>
                <w:szCs w:val="18"/>
              </w:rPr>
              <w:t>0.09</w:t>
            </w:r>
          </w:p>
        </w:tc>
        <w:tc>
          <w:tcPr>
            <w:tcW w:w="581" w:type="dxa"/>
            <w:vAlign w:val="top"/>
          </w:tcPr>
          <w:p w14:paraId="693906E0">
            <w:pPr>
              <w:pStyle w:val="6"/>
              <w:spacing w:before="97" w:line="212" w:lineRule="auto"/>
              <w:ind w:left="37"/>
              <w:rPr>
                <w:sz w:val="18"/>
                <w:szCs w:val="18"/>
              </w:rPr>
            </w:pPr>
            <w:r>
              <w:rPr>
                <w:spacing w:val="-2"/>
                <w:sz w:val="18"/>
                <w:szCs w:val="18"/>
              </w:rPr>
              <w:t>0.004L</w:t>
            </w:r>
          </w:p>
        </w:tc>
        <w:tc>
          <w:tcPr>
            <w:tcW w:w="851" w:type="dxa"/>
            <w:vAlign w:val="top"/>
          </w:tcPr>
          <w:p w14:paraId="0D58037F">
            <w:pPr>
              <w:pStyle w:val="6"/>
              <w:spacing w:before="97" w:line="212" w:lineRule="auto"/>
              <w:ind w:left="139"/>
              <w:rPr>
                <w:sz w:val="18"/>
                <w:szCs w:val="18"/>
              </w:rPr>
            </w:pPr>
            <w:r>
              <w:rPr>
                <w:spacing w:val="-1"/>
                <w:sz w:val="18"/>
                <w:szCs w:val="18"/>
              </w:rPr>
              <w:t>0.00011</w:t>
            </w:r>
          </w:p>
        </w:tc>
        <w:tc>
          <w:tcPr>
            <w:tcW w:w="644" w:type="dxa"/>
            <w:vAlign w:val="top"/>
          </w:tcPr>
          <w:p w14:paraId="49DDE664">
            <w:pPr>
              <w:pStyle w:val="6"/>
              <w:spacing w:before="97" w:line="212" w:lineRule="auto"/>
              <w:ind w:left="81"/>
              <w:rPr>
                <w:sz w:val="18"/>
                <w:szCs w:val="18"/>
              </w:rPr>
            </w:pPr>
            <w:r>
              <w:rPr>
                <w:spacing w:val="-2"/>
                <w:sz w:val="18"/>
                <w:szCs w:val="18"/>
              </w:rPr>
              <w:t>0.0008</w:t>
            </w:r>
          </w:p>
        </w:tc>
        <w:tc>
          <w:tcPr>
            <w:tcW w:w="639" w:type="dxa"/>
            <w:vAlign w:val="top"/>
          </w:tcPr>
          <w:p w14:paraId="7D7152DC">
            <w:pPr>
              <w:pStyle w:val="6"/>
              <w:spacing w:before="97" w:line="212" w:lineRule="auto"/>
              <w:ind w:left="78"/>
              <w:rPr>
                <w:sz w:val="18"/>
                <w:szCs w:val="18"/>
              </w:rPr>
            </w:pPr>
            <w:r>
              <w:rPr>
                <w:spacing w:val="-2"/>
                <w:sz w:val="18"/>
                <w:szCs w:val="18"/>
              </w:rPr>
              <w:t>0.0012</w:t>
            </w:r>
          </w:p>
        </w:tc>
        <w:tc>
          <w:tcPr>
            <w:tcW w:w="640" w:type="dxa"/>
            <w:vAlign w:val="top"/>
          </w:tcPr>
          <w:p w14:paraId="0591EAE0">
            <w:pPr>
              <w:pStyle w:val="6"/>
              <w:spacing w:before="97" w:line="212" w:lineRule="auto"/>
              <w:ind w:left="70"/>
              <w:rPr>
                <w:sz w:val="18"/>
                <w:szCs w:val="18"/>
              </w:rPr>
            </w:pPr>
            <w:r>
              <w:rPr>
                <w:spacing w:val="-2"/>
                <w:sz w:val="18"/>
                <w:szCs w:val="18"/>
              </w:rPr>
              <w:t>0.001L</w:t>
            </w:r>
          </w:p>
        </w:tc>
        <w:tc>
          <w:tcPr>
            <w:tcW w:w="639" w:type="dxa"/>
            <w:vAlign w:val="top"/>
          </w:tcPr>
          <w:p w14:paraId="5B042ED1">
            <w:pPr>
              <w:pStyle w:val="6"/>
              <w:spacing w:before="97" w:line="212" w:lineRule="auto"/>
              <w:ind w:left="125"/>
              <w:rPr>
                <w:sz w:val="18"/>
                <w:szCs w:val="18"/>
              </w:rPr>
            </w:pPr>
            <w:r>
              <w:rPr>
                <w:spacing w:val="-2"/>
                <w:sz w:val="18"/>
                <w:szCs w:val="18"/>
              </w:rPr>
              <w:t>0.008</w:t>
            </w:r>
          </w:p>
        </w:tc>
        <w:tc>
          <w:tcPr>
            <w:tcW w:w="639" w:type="dxa"/>
            <w:vAlign w:val="top"/>
          </w:tcPr>
          <w:p w14:paraId="404A54E0">
            <w:pPr>
              <w:pStyle w:val="6"/>
              <w:spacing w:before="97" w:line="212" w:lineRule="auto"/>
              <w:ind w:left="114"/>
              <w:rPr>
                <w:sz w:val="18"/>
                <w:szCs w:val="18"/>
              </w:rPr>
            </w:pPr>
            <w:r>
              <w:rPr>
                <w:spacing w:val="-2"/>
                <w:sz w:val="18"/>
                <w:szCs w:val="18"/>
              </w:rPr>
              <w:t>0.01L</w:t>
            </w:r>
          </w:p>
        </w:tc>
        <w:tc>
          <w:tcPr>
            <w:tcW w:w="640" w:type="dxa"/>
            <w:vAlign w:val="top"/>
          </w:tcPr>
          <w:p w14:paraId="456897BD">
            <w:pPr>
              <w:pStyle w:val="6"/>
              <w:spacing w:before="97" w:line="212" w:lineRule="auto"/>
              <w:ind w:left="127"/>
              <w:rPr>
                <w:sz w:val="18"/>
                <w:szCs w:val="18"/>
              </w:rPr>
            </w:pPr>
            <w:r>
              <w:rPr>
                <w:spacing w:val="-2"/>
                <w:sz w:val="18"/>
                <w:szCs w:val="18"/>
              </w:rPr>
              <w:t>0.012</w:t>
            </w:r>
          </w:p>
        </w:tc>
        <w:tc>
          <w:tcPr>
            <w:tcW w:w="827" w:type="dxa"/>
            <w:vAlign w:val="top"/>
          </w:tcPr>
          <w:p w14:paraId="41C014B7">
            <w:pPr>
              <w:pStyle w:val="6"/>
              <w:spacing w:before="97" w:line="212" w:lineRule="auto"/>
              <w:ind w:left="391"/>
              <w:rPr>
                <w:sz w:val="18"/>
                <w:szCs w:val="18"/>
              </w:rPr>
            </w:pPr>
            <w:r>
              <w:rPr>
                <w:sz w:val="18"/>
                <w:szCs w:val="18"/>
              </w:rPr>
              <w:t>/</w:t>
            </w:r>
          </w:p>
        </w:tc>
        <w:tc>
          <w:tcPr>
            <w:tcW w:w="457" w:type="dxa"/>
            <w:vAlign w:val="top"/>
          </w:tcPr>
          <w:p w14:paraId="7049813C">
            <w:pPr>
              <w:pStyle w:val="6"/>
              <w:spacing w:before="97" w:line="212" w:lineRule="auto"/>
              <w:ind w:left="99"/>
              <w:rPr>
                <w:sz w:val="18"/>
                <w:szCs w:val="18"/>
              </w:rPr>
            </w:pPr>
            <w:r>
              <w:rPr>
                <w:spacing w:val="-1"/>
                <w:sz w:val="18"/>
                <w:szCs w:val="18"/>
              </w:rPr>
              <w:t>449</w:t>
            </w:r>
          </w:p>
        </w:tc>
        <w:tc>
          <w:tcPr>
            <w:tcW w:w="533" w:type="dxa"/>
            <w:vAlign w:val="top"/>
          </w:tcPr>
          <w:p w14:paraId="2444DBB9">
            <w:pPr>
              <w:pStyle w:val="6"/>
              <w:spacing w:before="97" w:line="212" w:lineRule="auto"/>
              <w:ind w:left="109"/>
              <w:rPr>
                <w:sz w:val="18"/>
                <w:szCs w:val="18"/>
              </w:rPr>
            </w:pPr>
            <w:r>
              <w:rPr>
                <w:spacing w:val="-2"/>
                <w:sz w:val="18"/>
                <w:szCs w:val="18"/>
              </w:rPr>
              <w:t>0.5L</w:t>
            </w:r>
          </w:p>
        </w:tc>
        <w:tc>
          <w:tcPr>
            <w:tcW w:w="533" w:type="dxa"/>
            <w:vAlign w:val="top"/>
          </w:tcPr>
          <w:p w14:paraId="55F90046">
            <w:pPr>
              <w:pStyle w:val="6"/>
              <w:spacing w:before="97" w:line="212" w:lineRule="auto"/>
              <w:ind w:left="135"/>
              <w:rPr>
                <w:sz w:val="18"/>
                <w:szCs w:val="18"/>
              </w:rPr>
            </w:pPr>
            <w:r>
              <w:rPr>
                <w:spacing w:val="-6"/>
                <w:sz w:val="18"/>
                <w:szCs w:val="18"/>
              </w:rPr>
              <w:t>1.14</w:t>
            </w:r>
          </w:p>
        </w:tc>
        <w:tc>
          <w:tcPr>
            <w:tcW w:w="533" w:type="dxa"/>
            <w:vAlign w:val="top"/>
          </w:tcPr>
          <w:p w14:paraId="5E157E45">
            <w:pPr>
              <w:pStyle w:val="6"/>
              <w:spacing w:before="97" w:line="212" w:lineRule="auto"/>
              <w:ind w:left="123"/>
              <w:rPr>
                <w:sz w:val="18"/>
                <w:szCs w:val="18"/>
              </w:rPr>
            </w:pPr>
            <w:r>
              <w:rPr>
                <w:spacing w:val="-2"/>
                <w:sz w:val="18"/>
                <w:szCs w:val="18"/>
              </w:rPr>
              <w:t>9.47</w:t>
            </w:r>
          </w:p>
        </w:tc>
        <w:tc>
          <w:tcPr>
            <w:tcW w:w="533" w:type="dxa"/>
            <w:vAlign w:val="top"/>
          </w:tcPr>
          <w:p w14:paraId="5AE539AE">
            <w:pPr>
              <w:pStyle w:val="6"/>
              <w:spacing w:before="97" w:line="212" w:lineRule="auto"/>
              <w:ind w:left="142"/>
              <w:rPr>
                <w:sz w:val="18"/>
                <w:szCs w:val="18"/>
              </w:rPr>
            </w:pPr>
            <w:r>
              <w:rPr>
                <w:spacing w:val="-1"/>
                <w:sz w:val="18"/>
                <w:szCs w:val="18"/>
              </w:rPr>
              <w:t>236</w:t>
            </w:r>
          </w:p>
        </w:tc>
        <w:tc>
          <w:tcPr>
            <w:tcW w:w="524" w:type="dxa"/>
            <w:tcBorders>
              <w:right w:val="single" w:color="000000" w:sz="12" w:space="0"/>
            </w:tcBorders>
            <w:vAlign w:val="top"/>
          </w:tcPr>
          <w:p w14:paraId="39E75E32">
            <w:pPr>
              <w:pStyle w:val="6"/>
              <w:spacing w:before="97" w:line="212" w:lineRule="auto"/>
              <w:ind w:left="108"/>
              <w:rPr>
                <w:sz w:val="18"/>
                <w:szCs w:val="18"/>
              </w:rPr>
            </w:pPr>
            <w:r>
              <w:rPr>
                <w:spacing w:val="-2"/>
                <w:sz w:val="18"/>
                <w:szCs w:val="18"/>
              </w:rPr>
              <w:t>74.1</w:t>
            </w:r>
          </w:p>
        </w:tc>
      </w:tr>
      <w:tr w14:paraId="2E0F8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418" w:type="dxa"/>
            <w:vMerge w:val="continue"/>
            <w:tcBorders>
              <w:top w:val="nil"/>
              <w:left w:val="single" w:color="000000" w:sz="12" w:space="0"/>
              <w:bottom w:val="nil"/>
            </w:tcBorders>
            <w:vAlign w:val="top"/>
          </w:tcPr>
          <w:p w14:paraId="17354045">
            <w:pPr>
              <w:rPr>
                <w:rFonts w:ascii="Arial"/>
                <w:sz w:val="21"/>
              </w:rPr>
            </w:pPr>
          </w:p>
        </w:tc>
        <w:tc>
          <w:tcPr>
            <w:tcW w:w="245" w:type="dxa"/>
            <w:vMerge w:val="restart"/>
            <w:tcBorders>
              <w:bottom w:val="nil"/>
            </w:tcBorders>
            <w:vAlign w:val="top"/>
          </w:tcPr>
          <w:p w14:paraId="2A94371F">
            <w:pPr>
              <w:pStyle w:val="6"/>
              <w:spacing w:before="158" w:line="226" w:lineRule="auto"/>
              <w:ind w:left="61"/>
              <w:rPr>
                <w:sz w:val="18"/>
                <w:szCs w:val="18"/>
              </w:rPr>
            </w:pPr>
            <w:r>
              <w:rPr>
                <w:sz w:val="18"/>
                <w:szCs w:val="18"/>
              </w:rPr>
              <w:t>2</w:t>
            </w:r>
          </w:p>
          <w:p w14:paraId="47DFD922">
            <w:pPr>
              <w:spacing w:line="226" w:lineRule="auto"/>
              <w:ind w:left="19"/>
              <w:rPr>
                <w:rFonts w:ascii="等线" w:hAnsi="等线" w:eastAsia="等线" w:cs="等线"/>
                <w:sz w:val="18"/>
                <w:szCs w:val="18"/>
              </w:rPr>
            </w:pPr>
            <w:r>
              <w:rPr>
                <w:rFonts w:ascii="等线" w:hAnsi="等线" w:eastAsia="等线" w:cs="等线"/>
                <w:sz w:val="18"/>
                <w:szCs w:val="18"/>
              </w:rPr>
              <w:t>季</w:t>
            </w:r>
          </w:p>
          <w:p w14:paraId="150C604C">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0E5C9512">
            <w:pPr>
              <w:pStyle w:val="6"/>
              <w:spacing w:before="99" w:line="210" w:lineRule="auto"/>
              <w:ind w:left="83"/>
              <w:rPr>
                <w:sz w:val="18"/>
                <w:szCs w:val="18"/>
              </w:rPr>
            </w:pPr>
            <w:r>
              <w:rPr>
                <w:spacing w:val="-1"/>
                <w:sz w:val="18"/>
                <w:szCs w:val="18"/>
              </w:rPr>
              <w:t>2019/5/10</w:t>
            </w:r>
          </w:p>
        </w:tc>
        <w:tc>
          <w:tcPr>
            <w:tcW w:w="606" w:type="dxa"/>
            <w:vAlign w:val="top"/>
          </w:tcPr>
          <w:p w14:paraId="6B73988E">
            <w:pPr>
              <w:pStyle w:val="6"/>
              <w:spacing w:before="99" w:line="210" w:lineRule="auto"/>
              <w:ind w:left="132"/>
              <w:rPr>
                <w:sz w:val="18"/>
                <w:szCs w:val="18"/>
              </w:rPr>
            </w:pPr>
            <w:r>
              <w:rPr>
                <w:spacing w:val="-2"/>
                <w:sz w:val="18"/>
                <w:szCs w:val="18"/>
              </w:rPr>
              <w:t>7.05</w:t>
            </w:r>
          </w:p>
        </w:tc>
        <w:tc>
          <w:tcPr>
            <w:tcW w:w="606" w:type="dxa"/>
            <w:vAlign w:val="top"/>
          </w:tcPr>
          <w:p w14:paraId="50AC18A8">
            <w:pPr>
              <w:pStyle w:val="6"/>
              <w:spacing w:before="99" w:line="210" w:lineRule="auto"/>
              <w:ind w:left="153"/>
              <w:rPr>
                <w:sz w:val="18"/>
                <w:szCs w:val="18"/>
              </w:rPr>
            </w:pPr>
            <w:r>
              <w:rPr>
                <w:spacing w:val="-1"/>
                <w:sz w:val="18"/>
                <w:szCs w:val="18"/>
              </w:rPr>
              <w:t>210</w:t>
            </w:r>
          </w:p>
        </w:tc>
        <w:tc>
          <w:tcPr>
            <w:tcW w:w="606" w:type="dxa"/>
            <w:vAlign w:val="top"/>
          </w:tcPr>
          <w:p w14:paraId="711A3B11">
            <w:pPr>
              <w:pStyle w:val="6"/>
              <w:spacing w:before="99" w:line="210" w:lineRule="auto"/>
              <w:ind w:left="154"/>
              <w:rPr>
                <w:sz w:val="18"/>
                <w:szCs w:val="18"/>
              </w:rPr>
            </w:pPr>
            <w:r>
              <w:rPr>
                <w:spacing w:val="-1"/>
                <w:sz w:val="18"/>
                <w:szCs w:val="18"/>
              </w:rPr>
              <w:t>246</w:t>
            </w:r>
          </w:p>
        </w:tc>
        <w:tc>
          <w:tcPr>
            <w:tcW w:w="606" w:type="dxa"/>
            <w:vAlign w:val="top"/>
          </w:tcPr>
          <w:p w14:paraId="4025560A">
            <w:pPr>
              <w:pStyle w:val="6"/>
              <w:spacing w:before="99" w:line="210" w:lineRule="auto"/>
              <w:ind w:left="216"/>
              <w:rPr>
                <w:sz w:val="18"/>
                <w:szCs w:val="18"/>
              </w:rPr>
            </w:pPr>
            <w:r>
              <w:rPr>
                <w:spacing w:val="-6"/>
                <w:sz w:val="18"/>
                <w:szCs w:val="18"/>
              </w:rPr>
              <w:t>18</w:t>
            </w:r>
          </w:p>
        </w:tc>
        <w:tc>
          <w:tcPr>
            <w:tcW w:w="606" w:type="dxa"/>
            <w:vAlign w:val="top"/>
          </w:tcPr>
          <w:p w14:paraId="57D576F1">
            <w:pPr>
              <w:pStyle w:val="6"/>
              <w:spacing w:before="102" w:line="186" w:lineRule="auto"/>
              <w:ind w:left="162"/>
              <w:rPr>
                <w:sz w:val="18"/>
                <w:szCs w:val="18"/>
              </w:rPr>
            </w:pPr>
            <w:r>
              <w:rPr>
                <w:spacing w:val="-5"/>
                <w:sz w:val="18"/>
                <w:szCs w:val="18"/>
              </w:rPr>
              <w:t>10L</w:t>
            </w:r>
          </w:p>
        </w:tc>
        <w:tc>
          <w:tcPr>
            <w:tcW w:w="606" w:type="dxa"/>
            <w:vAlign w:val="top"/>
          </w:tcPr>
          <w:p w14:paraId="71EF957C">
            <w:pPr>
              <w:pStyle w:val="6"/>
              <w:spacing w:before="99" w:line="210" w:lineRule="auto"/>
              <w:ind w:left="137"/>
              <w:rPr>
                <w:sz w:val="18"/>
                <w:szCs w:val="18"/>
              </w:rPr>
            </w:pPr>
            <w:r>
              <w:rPr>
                <w:spacing w:val="-2"/>
                <w:sz w:val="18"/>
                <w:szCs w:val="18"/>
              </w:rPr>
              <w:t>0.06</w:t>
            </w:r>
          </w:p>
        </w:tc>
        <w:tc>
          <w:tcPr>
            <w:tcW w:w="605" w:type="dxa"/>
            <w:vAlign w:val="top"/>
          </w:tcPr>
          <w:p w14:paraId="0F3B5498">
            <w:pPr>
              <w:pStyle w:val="6"/>
              <w:spacing w:before="99" w:line="210" w:lineRule="auto"/>
              <w:ind w:left="138"/>
              <w:rPr>
                <w:sz w:val="18"/>
                <w:szCs w:val="18"/>
              </w:rPr>
            </w:pPr>
            <w:r>
              <w:rPr>
                <w:spacing w:val="-2"/>
                <w:sz w:val="18"/>
                <w:szCs w:val="18"/>
              </w:rPr>
              <w:t>0.03</w:t>
            </w:r>
          </w:p>
        </w:tc>
        <w:tc>
          <w:tcPr>
            <w:tcW w:w="563" w:type="dxa"/>
            <w:vAlign w:val="top"/>
          </w:tcPr>
          <w:p w14:paraId="179E4B35">
            <w:pPr>
              <w:pStyle w:val="6"/>
              <w:spacing w:before="99" w:line="210" w:lineRule="auto"/>
              <w:ind w:left="63"/>
              <w:rPr>
                <w:sz w:val="18"/>
                <w:szCs w:val="18"/>
              </w:rPr>
            </w:pPr>
            <w:r>
              <w:rPr>
                <w:spacing w:val="-2"/>
                <w:sz w:val="18"/>
                <w:szCs w:val="18"/>
              </w:rPr>
              <w:t>0.01L</w:t>
            </w:r>
          </w:p>
        </w:tc>
        <w:tc>
          <w:tcPr>
            <w:tcW w:w="562" w:type="dxa"/>
            <w:vAlign w:val="top"/>
          </w:tcPr>
          <w:p w14:paraId="7B55FFB9">
            <w:pPr>
              <w:pStyle w:val="6"/>
              <w:spacing w:before="99" w:line="210" w:lineRule="auto"/>
              <w:ind w:left="74"/>
              <w:rPr>
                <w:sz w:val="18"/>
                <w:szCs w:val="18"/>
              </w:rPr>
            </w:pPr>
            <w:r>
              <w:rPr>
                <w:spacing w:val="-2"/>
                <w:sz w:val="18"/>
                <w:szCs w:val="18"/>
              </w:rPr>
              <w:t>0.009</w:t>
            </w:r>
          </w:p>
        </w:tc>
        <w:tc>
          <w:tcPr>
            <w:tcW w:w="696" w:type="dxa"/>
            <w:vAlign w:val="top"/>
          </w:tcPr>
          <w:p w14:paraId="29D51156">
            <w:pPr>
              <w:pStyle w:val="6"/>
              <w:spacing w:before="99" w:line="210" w:lineRule="auto"/>
              <w:ind w:left="41"/>
              <w:rPr>
                <w:sz w:val="18"/>
                <w:szCs w:val="18"/>
              </w:rPr>
            </w:pPr>
            <w:r>
              <w:rPr>
                <w:spacing w:val="-1"/>
                <w:sz w:val="18"/>
                <w:szCs w:val="18"/>
              </w:rPr>
              <w:t>0.0003L</w:t>
            </w:r>
          </w:p>
        </w:tc>
        <w:tc>
          <w:tcPr>
            <w:tcW w:w="605" w:type="dxa"/>
            <w:vAlign w:val="top"/>
          </w:tcPr>
          <w:p w14:paraId="015CB793">
            <w:pPr>
              <w:pStyle w:val="6"/>
              <w:spacing w:before="99" w:line="210" w:lineRule="auto"/>
              <w:ind w:left="142"/>
              <w:rPr>
                <w:sz w:val="18"/>
                <w:szCs w:val="18"/>
              </w:rPr>
            </w:pPr>
            <w:r>
              <w:rPr>
                <w:spacing w:val="-2"/>
                <w:sz w:val="18"/>
                <w:szCs w:val="18"/>
              </w:rPr>
              <w:t>0.08</w:t>
            </w:r>
          </w:p>
        </w:tc>
        <w:tc>
          <w:tcPr>
            <w:tcW w:w="582" w:type="dxa"/>
            <w:vAlign w:val="top"/>
          </w:tcPr>
          <w:p w14:paraId="0ECFC4A2">
            <w:pPr>
              <w:pStyle w:val="6"/>
              <w:spacing w:before="99" w:line="210" w:lineRule="auto"/>
              <w:ind w:left="132"/>
              <w:rPr>
                <w:sz w:val="18"/>
                <w:szCs w:val="18"/>
              </w:rPr>
            </w:pPr>
            <w:r>
              <w:rPr>
                <w:spacing w:val="-2"/>
                <w:sz w:val="18"/>
                <w:szCs w:val="18"/>
              </w:rPr>
              <w:t>0.05</w:t>
            </w:r>
          </w:p>
        </w:tc>
        <w:tc>
          <w:tcPr>
            <w:tcW w:w="583" w:type="dxa"/>
            <w:vAlign w:val="top"/>
          </w:tcPr>
          <w:p w14:paraId="718B6FEE">
            <w:pPr>
              <w:pStyle w:val="6"/>
              <w:spacing w:before="99" w:line="210" w:lineRule="auto"/>
              <w:ind w:left="78"/>
              <w:rPr>
                <w:sz w:val="18"/>
                <w:szCs w:val="18"/>
              </w:rPr>
            </w:pPr>
            <w:r>
              <w:rPr>
                <w:spacing w:val="-2"/>
                <w:sz w:val="18"/>
                <w:szCs w:val="18"/>
              </w:rPr>
              <w:t>0.02L</w:t>
            </w:r>
          </w:p>
        </w:tc>
        <w:tc>
          <w:tcPr>
            <w:tcW w:w="582" w:type="dxa"/>
            <w:vAlign w:val="top"/>
          </w:tcPr>
          <w:p w14:paraId="3192E57E">
            <w:pPr>
              <w:pStyle w:val="6"/>
              <w:spacing w:before="99" w:line="210" w:lineRule="auto"/>
              <w:ind w:left="88"/>
              <w:rPr>
                <w:sz w:val="18"/>
                <w:szCs w:val="18"/>
              </w:rPr>
            </w:pPr>
            <w:r>
              <w:rPr>
                <w:spacing w:val="-2"/>
                <w:sz w:val="18"/>
                <w:szCs w:val="18"/>
              </w:rPr>
              <w:t>0.005</w:t>
            </w:r>
          </w:p>
        </w:tc>
        <w:tc>
          <w:tcPr>
            <w:tcW w:w="582" w:type="dxa"/>
            <w:vAlign w:val="top"/>
          </w:tcPr>
          <w:p w14:paraId="01685C6C">
            <w:pPr>
              <w:pStyle w:val="6"/>
              <w:spacing w:before="99" w:line="210" w:lineRule="auto"/>
              <w:ind w:left="90"/>
              <w:rPr>
                <w:sz w:val="18"/>
                <w:szCs w:val="18"/>
              </w:rPr>
            </w:pPr>
            <w:r>
              <w:rPr>
                <w:spacing w:val="-2"/>
                <w:sz w:val="18"/>
                <w:szCs w:val="18"/>
              </w:rPr>
              <w:t>0.025</w:t>
            </w:r>
          </w:p>
        </w:tc>
        <w:tc>
          <w:tcPr>
            <w:tcW w:w="582" w:type="dxa"/>
            <w:vAlign w:val="top"/>
          </w:tcPr>
          <w:p w14:paraId="40A70400">
            <w:pPr>
              <w:pStyle w:val="6"/>
              <w:spacing w:before="99" w:line="210" w:lineRule="auto"/>
              <w:ind w:left="135"/>
              <w:rPr>
                <w:sz w:val="18"/>
                <w:szCs w:val="18"/>
              </w:rPr>
            </w:pPr>
            <w:r>
              <w:rPr>
                <w:spacing w:val="-2"/>
                <w:sz w:val="18"/>
                <w:szCs w:val="18"/>
              </w:rPr>
              <w:t>0.39</w:t>
            </w:r>
          </w:p>
        </w:tc>
        <w:tc>
          <w:tcPr>
            <w:tcW w:w="581" w:type="dxa"/>
            <w:vAlign w:val="top"/>
          </w:tcPr>
          <w:p w14:paraId="44B1793E">
            <w:pPr>
              <w:pStyle w:val="6"/>
              <w:spacing w:before="99" w:line="210" w:lineRule="auto"/>
              <w:ind w:left="37"/>
              <w:rPr>
                <w:sz w:val="18"/>
                <w:szCs w:val="18"/>
              </w:rPr>
            </w:pPr>
            <w:r>
              <w:rPr>
                <w:spacing w:val="-2"/>
                <w:sz w:val="18"/>
                <w:szCs w:val="18"/>
              </w:rPr>
              <w:t>0.004L</w:t>
            </w:r>
          </w:p>
        </w:tc>
        <w:tc>
          <w:tcPr>
            <w:tcW w:w="851" w:type="dxa"/>
            <w:vAlign w:val="top"/>
          </w:tcPr>
          <w:p w14:paraId="07448333">
            <w:pPr>
              <w:pStyle w:val="6"/>
              <w:spacing w:before="99" w:line="210" w:lineRule="auto"/>
              <w:ind w:left="139"/>
              <w:rPr>
                <w:sz w:val="18"/>
                <w:szCs w:val="18"/>
              </w:rPr>
            </w:pPr>
            <w:r>
              <w:rPr>
                <w:spacing w:val="-1"/>
                <w:sz w:val="18"/>
                <w:szCs w:val="18"/>
              </w:rPr>
              <w:t>0.00021</w:t>
            </w:r>
          </w:p>
        </w:tc>
        <w:tc>
          <w:tcPr>
            <w:tcW w:w="644" w:type="dxa"/>
            <w:vAlign w:val="top"/>
          </w:tcPr>
          <w:p w14:paraId="0AC6FC46">
            <w:pPr>
              <w:pStyle w:val="6"/>
              <w:spacing w:before="99" w:line="210" w:lineRule="auto"/>
              <w:ind w:left="81"/>
              <w:rPr>
                <w:sz w:val="18"/>
                <w:szCs w:val="18"/>
              </w:rPr>
            </w:pPr>
            <w:r>
              <w:rPr>
                <w:spacing w:val="-2"/>
                <w:sz w:val="18"/>
                <w:szCs w:val="18"/>
              </w:rPr>
              <w:t>0.0025</w:t>
            </w:r>
          </w:p>
        </w:tc>
        <w:tc>
          <w:tcPr>
            <w:tcW w:w="639" w:type="dxa"/>
            <w:vAlign w:val="top"/>
          </w:tcPr>
          <w:p w14:paraId="46DA9D82">
            <w:pPr>
              <w:pStyle w:val="6"/>
              <w:spacing w:before="99" w:line="210" w:lineRule="auto"/>
              <w:ind w:left="78"/>
              <w:rPr>
                <w:sz w:val="18"/>
                <w:szCs w:val="18"/>
              </w:rPr>
            </w:pPr>
            <w:r>
              <w:rPr>
                <w:spacing w:val="-2"/>
                <w:sz w:val="18"/>
                <w:szCs w:val="18"/>
              </w:rPr>
              <w:t>0.0009</w:t>
            </w:r>
          </w:p>
        </w:tc>
        <w:tc>
          <w:tcPr>
            <w:tcW w:w="640" w:type="dxa"/>
            <w:vAlign w:val="top"/>
          </w:tcPr>
          <w:p w14:paraId="20FD5FEA">
            <w:pPr>
              <w:pStyle w:val="6"/>
              <w:spacing w:before="99" w:line="210" w:lineRule="auto"/>
              <w:ind w:left="70"/>
              <w:rPr>
                <w:sz w:val="18"/>
                <w:szCs w:val="18"/>
              </w:rPr>
            </w:pPr>
            <w:r>
              <w:rPr>
                <w:spacing w:val="-2"/>
                <w:sz w:val="18"/>
                <w:szCs w:val="18"/>
              </w:rPr>
              <w:t>0.001L</w:t>
            </w:r>
          </w:p>
        </w:tc>
        <w:tc>
          <w:tcPr>
            <w:tcW w:w="639" w:type="dxa"/>
            <w:vAlign w:val="top"/>
          </w:tcPr>
          <w:p w14:paraId="02AD8DCB">
            <w:pPr>
              <w:pStyle w:val="6"/>
              <w:spacing w:before="99" w:line="210" w:lineRule="auto"/>
              <w:ind w:left="125"/>
              <w:rPr>
                <w:sz w:val="18"/>
                <w:szCs w:val="18"/>
              </w:rPr>
            </w:pPr>
            <w:r>
              <w:rPr>
                <w:spacing w:val="-2"/>
                <w:sz w:val="18"/>
                <w:szCs w:val="18"/>
              </w:rPr>
              <w:t>0.005</w:t>
            </w:r>
          </w:p>
        </w:tc>
        <w:tc>
          <w:tcPr>
            <w:tcW w:w="639" w:type="dxa"/>
            <w:vAlign w:val="top"/>
          </w:tcPr>
          <w:p w14:paraId="262FD58C">
            <w:pPr>
              <w:pStyle w:val="6"/>
              <w:spacing w:before="99" w:line="210" w:lineRule="auto"/>
              <w:ind w:left="114"/>
              <w:rPr>
                <w:sz w:val="18"/>
                <w:szCs w:val="18"/>
              </w:rPr>
            </w:pPr>
            <w:r>
              <w:rPr>
                <w:spacing w:val="-2"/>
                <w:sz w:val="18"/>
                <w:szCs w:val="18"/>
              </w:rPr>
              <w:t>0.01L</w:t>
            </w:r>
          </w:p>
        </w:tc>
        <w:tc>
          <w:tcPr>
            <w:tcW w:w="640" w:type="dxa"/>
            <w:vAlign w:val="top"/>
          </w:tcPr>
          <w:p w14:paraId="27EC9AC5">
            <w:pPr>
              <w:pStyle w:val="6"/>
              <w:spacing w:before="99" w:line="210" w:lineRule="auto"/>
              <w:ind w:left="127"/>
              <w:rPr>
                <w:sz w:val="18"/>
                <w:szCs w:val="18"/>
              </w:rPr>
            </w:pPr>
            <w:r>
              <w:rPr>
                <w:spacing w:val="-2"/>
                <w:sz w:val="18"/>
                <w:szCs w:val="18"/>
              </w:rPr>
              <w:t>0.059</w:t>
            </w:r>
          </w:p>
        </w:tc>
        <w:tc>
          <w:tcPr>
            <w:tcW w:w="827" w:type="dxa"/>
            <w:vAlign w:val="top"/>
          </w:tcPr>
          <w:p w14:paraId="4B8AA321">
            <w:pPr>
              <w:pStyle w:val="6"/>
              <w:spacing w:before="99" w:line="210" w:lineRule="auto"/>
              <w:ind w:left="288"/>
              <w:rPr>
                <w:sz w:val="18"/>
                <w:szCs w:val="18"/>
              </w:rPr>
            </w:pPr>
            <w:r>
              <w:rPr>
                <w:spacing w:val="-2"/>
                <w:sz w:val="18"/>
                <w:szCs w:val="18"/>
              </w:rPr>
              <w:t>340</w:t>
            </w:r>
          </w:p>
        </w:tc>
        <w:tc>
          <w:tcPr>
            <w:tcW w:w="457" w:type="dxa"/>
            <w:vAlign w:val="top"/>
          </w:tcPr>
          <w:p w14:paraId="20585689">
            <w:pPr>
              <w:pStyle w:val="6"/>
              <w:spacing w:before="99" w:line="210" w:lineRule="auto"/>
              <w:ind w:left="100"/>
              <w:rPr>
                <w:sz w:val="18"/>
                <w:szCs w:val="18"/>
              </w:rPr>
            </w:pPr>
            <w:r>
              <w:rPr>
                <w:spacing w:val="-1"/>
                <w:sz w:val="18"/>
                <w:szCs w:val="18"/>
              </w:rPr>
              <w:t>268</w:t>
            </w:r>
          </w:p>
        </w:tc>
        <w:tc>
          <w:tcPr>
            <w:tcW w:w="533" w:type="dxa"/>
            <w:vAlign w:val="top"/>
          </w:tcPr>
          <w:p w14:paraId="08FEF039">
            <w:pPr>
              <w:pStyle w:val="6"/>
              <w:spacing w:before="105" w:line="203" w:lineRule="auto"/>
              <w:ind w:left="164"/>
              <w:rPr>
                <w:sz w:val="18"/>
                <w:szCs w:val="18"/>
              </w:rPr>
            </w:pPr>
            <w:r>
              <w:rPr>
                <w:b/>
                <w:bCs/>
                <w:spacing w:val="-2"/>
                <w:sz w:val="18"/>
                <w:szCs w:val="18"/>
              </w:rPr>
              <w:t>5.0</w:t>
            </w:r>
          </w:p>
        </w:tc>
        <w:tc>
          <w:tcPr>
            <w:tcW w:w="533" w:type="dxa"/>
            <w:vAlign w:val="top"/>
          </w:tcPr>
          <w:p w14:paraId="7A229A33">
            <w:pPr>
              <w:pStyle w:val="6"/>
              <w:spacing w:before="99" w:line="210" w:lineRule="auto"/>
              <w:ind w:left="118"/>
              <w:rPr>
                <w:sz w:val="18"/>
                <w:szCs w:val="18"/>
              </w:rPr>
            </w:pPr>
            <w:r>
              <w:rPr>
                <w:spacing w:val="-1"/>
                <w:sz w:val="18"/>
                <w:szCs w:val="18"/>
              </w:rPr>
              <w:t>28.8</w:t>
            </w:r>
          </w:p>
        </w:tc>
        <w:tc>
          <w:tcPr>
            <w:tcW w:w="533" w:type="dxa"/>
            <w:vAlign w:val="top"/>
          </w:tcPr>
          <w:p w14:paraId="47DFDAAA">
            <w:pPr>
              <w:pStyle w:val="6"/>
              <w:spacing w:before="99" w:line="210" w:lineRule="auto"/>
              <w:ind w:left="119"/>
              <w:rPr>
                <w:sz w:val="18"/>
                <w:szCs w:val="18"/>
              </w:rPr>
            </w:pPr>
            <w:r>
              <w:rPr>
                <w:spacing w:val="-1"/>
                <w:sz w:val="18"/>
                <w:szCs w:val="18"/>
              </w:rPr>
              <w:t>2.79</w:t>
            </w:r>
          </w:p>
        </w:tc>
        <w:tc>
          <w:tcPr>
            <w:tcW w:w="533" w:type="dxa"/>
            <w:vAlign w:val="top"/>
          </w:tcPr>
          <w:p w14:paraId="0FD543E1">
            <w:pPr>
              <w:pStyle w:val="6"/>
              <w:spacing w:before="99" w:line="210" w:lineRule="auto"/>
              <w:ind w:left="124"/>
              <w:rPr>
                <w:sz w:val="18"/>
                <w:szCs w:val="18"/>
              </w:rPr>
            </w:pPr>
            <w:r>
              <w:rPr>
                <w:spacing w:val="-2"/>
                <w:sz w:val="18"/>
                <w:szCs w:val="18"/>
              </w:rPr>
              <w:t>35.7</w:t>
            </w:r>
          </w:p>
        </w:tc>
        <w:tc>
          <w:tcPr>
            <w:tcW w:w="524" w:type="dxa"/>
            <w:tcBorders>
              <w:right w:val="single" w:color="000000" w:sz="12" w:space="0"/>
            </w:tcBorders>
            <w:vAlign w:val="top"/>
          </w:tcPr>
          <w:p w14:paraId="1A787DD1">
            <w:pPr>
              <w:pStyle w:val="6"/>
              <w:spacing w:before="99" w:line="210" w:lineRule="auto"/>
              <w:ind w:left="105"/>
              <w:rPr>
                <w:sz w:val="18"/>
                <w:szCs w:val="18"/>
              </w:rPr>
            </w:pPr>
            <w:r>
              <w:rPr>
                <w:spacing w:val="-1"/>
                <w:sz w:val="18"/>
                <w:szCs w:val="18"/>
              </w:rPr>
              <w:t>20.8</w:t>
            </w:r>
          </w:p>
        </w:tc>
      </w:tr>
      <w:tr w14:paraId="5291B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79EB6FD8">
            <w:pPr>
              <w:rPr>
                <w:rFonts w:ascii="Arial"/>
                <w:sz w:val="21"/>
              </w:rPr>
            </w:pPr>
          </w:p>
        </w:tc>
        <w:tc>
          <w:tcPr>
            <w:tcW w:w="245" w:type="dxa"/>
            <w:vMerge w:val="continue"/>
            <w:tcBorders>
              <w:top w:val="nil"/>
              <w:bottom w:val="nil"/>
            </w:tcBorders>
            <w:vAlign w:val="top"/>
          </w:tcPr>
          <w:p w14:paraId="221EFE5B">
            <w:pPr>
              <w:rPr>
                <w:rFonts w:ascii="Arial"/>
                <w:sz w:val="21"/>
              </w:rPr>
            </w:pPr>
          </w:p>
        </w:tc>
        <w:tc>
          <w:tcPr>
            <w:tcW w:w="929" w:type="dxa"/>
            <w:vAlign w:val="top"/>
          </w:tcPr>
          <w:p w14:paraId="7A722DF8">
            <w:pPr>
              <w:pStyle w:val="6"/>
              <w:spacing w:before="100" w:line="210" w:lineRule="auto"/>
              <w:ind w:left="83"/>
              <w:rPr>
                <w:sz w:val="18"/>
                <w:szCs w:val="18"/>
              </w:rPr>
            </w:pPr>
            <w:r>
              <w:rPr>
                <w:spacing w:val="-1"/>
                <w:sz w:val="18"/>
                <w:szCs w:val="18"/>
              </w:rPr>
              <w:t>2019/5/11</w:t>
            </w:r>
          </w:p>
        </w:tc>
        <w:tc>
          <w:tcPr>
            <w:tcW w:w="606" w:type="dxa"/>
            <w:vAlign w:val="top"/>
          </w:tcPr>
          <w:p w14:paraId="44DAABEA">
            <w:pPr>
              <w:pStyle w:val="6"/>
              <w:spacing w:before="100" w:line="210" w:lineRule="auto"/>
              <w:ind w:left="133"/>
              <w:rPr>
                <w:sz w:val="18"/>
                <w:szCs w:val="18"/>
              </w:rPr>
            </w:pPr>
            <w:r>
              <w:rPr>
                <w:spacing w:val="-2"/>
                <w:sz w:val="18"/>
                <w:szCs w:val="18"/>
              </w:rPr>
              <w:t>6.99</w:t>
            </w:r>
          </w:p>
        </w:tc>
        <w:tc>
          <w:tcPr>
            <w:tcW w:w="606" w:type="dxa"/>
            <w:vAlign w:val="top"/>
          </w:tcPr>
          <w:p w14:paraId="3891A0D8">
            <w:pPr>
              <w:pStyle w:val="6"/>
              <w:spacing w:before="100" w:line="210" w:lineRule="auto"/>
              <w:ind w:left="153"/>
              <w:rPr>
                <w:sz w:val="18"/>
                <w:szCs w:val="18"/>
              </w:rPr>
            </w:pPr>
            <w:r>
              <w:rPr>
                <w:spacing w:val="-1"/>
                <w:sz w:val="18"/>
                <w:szCs w:val="18"/>
              </w:rPr>
              <w:t>206</w:t>
            </w:r>
          </w:p>
        </w:tc>
        <w:tc>
          <w:tcPr>
            <w:tcW w:w="606" w:type="dxa"/>
            <w:vAlign w:val="top"/>
          </w:tcPr>
          <w:p w14:paraId="6F828497">
            <w:pPr>
              <w:pStyle w:val="6"/>
              <w:spacing w:before="100" w:line="210" w:lineRule="auto"/>
              <w:ind w:left="154"/>
              <w:rPr>
                <w:sz w:val="18"/>
                <w:szCs w:val="18"/>
              </w:rPr>
            </w:pPr>
            <w:r>
              <w:rPr>
                <w:spacing w:val="-1"/>
                <w:sz w:val="18"/>
                <w:szCs w:val="18"/>
              </w:rPr>
              <w:t>258</w:t>
            </w:r>
          </w:p>
        </w:tc>
        <w:tc>
          <w:tcPr>
            <w:tcW w:w="606" w:type="dxa"/>
            <w:vAlign w:val="top"/>
          </w:tcPr>
          <w:p w14:paraId="125A6B20">
            <w:pPr>
              <w:pStyle w:val="6"/>
              <w:spacing w:before="100" w:line="210" w:lineRule="auto"/>
              <w:ind w:left="199"/>
              <w:rPr>
                <w:sz w:val="18"/>
                <w:szCs w:val="18"/>
              </w:rPr>
            </w:pPr>
            <w:r>
              <w:rPr>
                <w:spacing w:val="-1"/>
                <w:sz w:val="18"/>
                <w:szCs w:val="18"/>
              </w:rPr>
              <w:t>22</w:t>
            </w:r>
          </w:p>
        </w:tc>
        <w:tc>
          <w:tcPr>
            <w:tcW w:w="606" w:type="dxa"/>
            <w:vAlign w:val="top"/>
          </w:tcPr>
          <w:p w14:paraId="5524B789">
            <w:pPr>
              <w:pStyle w:val="6"/>
              <w:spacing w:before="104" w:line="186" w:lineRule="auto"/>
              <w:ind w:left="162"/>
              <w:rPr>
                <w:sz w:val="18"/>
                <w:szCs w:val="18"/>
              </w:rPr>
            </w:pPr>
            <w:r>
              <w:rPr>
                <w:spacing w:val="-5"/>
                <w:sz w:val="18"/>
                <w:szCs w:val="18"/>
              </w:rPr>
              <w:t>10L</w:t>
            </w:r>
          </w:p>
        </w:tc>
        <w:tc>
          <w:tcPr>
            <w:tcW w:w="606" w:type="dxa"/>
            <w:vAlign w:val="top"/>
          </w:tcPr>
          <w:p w14:paraId="33508A4F">
            <w:pPr>
              <w:pStyle w:val="6"/>
              <w:spacing w:before="100" w:line="210" w:lineRule="auto"/>
              <w:ind w:left="137"/>
              <w:rPr>
                <w:sz w:val="18"/>
                <w:szCs w:val="18"/>
              </w:rPr>
            </w:pPr>
            <w:r>
              <w:rPr>
                <w:spacing w:val="-2"/>
                <w:sz w:val="18"/>
                <w:szCs w:val="18"/>
              </w:rPr>
              <w:t>0.08</w:t>
            </w:r>
          </w:p>
        </w:tc>
        <w:tc>
          <w:tcPr>
            <w:tcW w:w="605" w:type="dxa"/>
            <w:vAlign w:val="top"/>
          </w:tcPr>
          <w:p w14:paraId="4F75997D">
            <w:pPr>
              <w:pStyle w:val="6"/>
              <w:spacing w:before="100" w:line="210" w:lineRule="auto"/>
              <w:ind w:left="138"/>
              <w:rPr>
                <w:sz w:val="18"/>
                <w:szCs w:val="18"/>
              </w:rPr>
            </w:pPr>
            <w:r>
              <w:rPr>
                <w:spacing w:val="-2"/>
                <w:sz w:val="18"/>
                <w:szCs w:val="18"/>
              </w:rPr>
              <w:t>0.04</w:t>
            </w:r>
          </w:p>
        </w:tc>
        <w:tc>
          <w:tcPr>
            <w:tcW w:w="563" w:type="dxa"/>
            <w:vAlign w:val="top"/>
          </w:tcPr>
          <w:p w14:paraId="0E9BB4DC">
            <w:pPr>
              <w:pStyle w:val="6"/>
              <w:spacing w:before="100" w:line="210" w:lineRule="auto"/>
              <w:ind w:left="63"/>
              <w:rPr>
                <w:sz w:val="18"/>
                <w:szCs w:val="18"/>
              </w:rPr>
            </w:pPr>
            <w:r>
              <w:rPr>
                <w:spacing w:val="-2"/>
                <w:sz w:val="18"/>
                <w:szCs w:val="18"/>
              </w:rPr>
              <w:t>0.01L</w:t>
            </w:r>
          </w:p>
        </w:tc>
        <w:tc>
          <w:tcPr>
            <w:tcW w:w="562" w:type="dxa"/>
            <w:vAlign w:val="top"/>
          </w:tcPr>
          <w:p w14:paraId="46C748BA">
            <w:pPr>
              <w:pStyle w:val="6"/>
              <w:spacing w:before="100" w:line="210" w:lineRule="auto"/>
              <w:ind w:left="74"/>
              <w:rPr>
                <w:sz w:val="18"/>
                <w:szCs w:val="18"/>
              </w:rPr>
            </w:pPr>
            <w:r>
              <w:rPr>
                <w:spacing w:val="-2"/>
                <w:sz w:val="18"/>
                <w:szCs w:val="18"/>
              </w:rPr>
              <w:t>0.008</w:t>
            </w:r>
          </w:p>
        </w:tc>
        <w:tc>
          <w:tcPr>
            <w:tcW w:w="696" w:type="dxa"/>
            <w:vAlign w:val="top"/>
          </w:tcPr>
          <w:p w14:paraId="23424CD7">
            <w:pPr>
              <w:pStyle w:val="6"/>
              <w:spacing w:before="100" w:line="210" w:lineRule="auto"/>
              <w:ind w:left="41"/>
              <w:rPr>
                <w:sz w:val="18"/>
                <w:szCs w:val="18"/>
              </w:rPr>
            </w:pPr>
            <w:r>
              <w:rPr>
                <w:spacing w:val="-1"/>
                <w:sz w:val="18"/>
                <w:szCs w:val="18"/>
              </w:rPr>
              <w:t>0.0003L</w:t>
            </w:r>
          </w:p>
        </w:tc>
        <w:tc>
          <w:tcPr>
            <w:tcW w:w="605" w:type="dxa"/>
            <w:vAlign w:val="top"/>
          </w:tcPr>
          <w:p w14:paraId="740809A5">
            <w:pPr>
              <w:pStyle w:val="6"/>
              <w:spacing w:before="100" w:line="210" w:lineRule="auto"/>
              <w:ind w:left="142"/>
              <w:rPr>
                <w:sz w:val="18"/>
                <w:szCs w:val="18"/>
              </w:rPr>
            </w:pPr>
            <w:r>
              <w:rPr>
                <w:spacing w:val="-2"/>
                <w:sz w:val="18"/>
                <w:szCs w:val="18"/>
              </w:rPr>
              <w:t>0.10</w:t>
            </w:r>
          </w:p>
        </w:tc>
        <w:tc>
          <w:tcPr>
            <w:tcW w:w="582" w:type="dxa"/>
            <w:vAlign w:val="top"/>
          </w:tcPr>
          <w:p w14:paraId="4AC2D4B9">
            <w:pPr>
              <w:pStyle w:val="6"/>
              <w:spacing w:before="100" w:line="210" w:lineRule="auto"/>
              <w:ind w:left="132"/>
              <w:rPr>
                <w:sz w:val="18"/>
                <w:szCs w:val="18"/>
              </w:rPr>
            </w:pPr>
            <w:r>
              <w:rPr>
                <w:spacing w:val="-2"/>
                <w:sz w:val="18"/>
                <w:szCs w:val="18"/>
              </w:rPr>
              <w:t>0.04</w:t>
            </w:r>
          </w:p>
        </w:tc>
        <w:tc>
          <w:tcPr>
            <w:tcW w:w="583" w:type="dxa"/>
            <w:vAlign w:val="top"/>
          </w:tcPr>
          <w:p w14:paraId="345C1E7C">
            <w:pPr>
              <w:pStyle w:val="6"/>
              <w:spacing w:before="100" w:line="210" w:lineRule="auto"/>
              <w:ind w:left="78"/>
              <w:rPr>
                <w:sz w:val="18"/>
                <w:szCs w:val="18"/>
              </w:rPr>
            </w:pPr>
            <w:r>
              <w:rPr>
                <w:spacing w:val="-2"/>
                <w:sz w:val="18"/>
                <w:szCs w:val="18"/>
              </w:rPr>
              <w:t>0.02L</w:t>
            </w:r>
          </w:p>
        </w:tc>
        <w:tc>
          <w:tcPr>
            <w:tcW w:w="582" w:type="dxa"/>
            <w:vAlign w:val="top"/>
          </w:tcPr>
          <w:p w14:paraId="102DCCC7">
            <w:pPr>
              <w:pStyle w:val="6"/>
              <w:spacing w:before="100" w:line="210" w:lineRule="auto"/>
              <w:ind w:left="88"/>
              <w:rPr>
                <w:sz w:val="18"/>
                <w:szCs w:val="18"/>
              </w:rPr>
            </w:pPr>
            <w:r>
              <w:rPr>
                <w:spacing w:val="-2"/>
                <w:sz w:val="18"/>
                <w:szCs w:val="18"/>
              </w:rPr>
              <w:t>0.006</w:t>
            </w:r>
          </w:p>
        </w:tc>
        <w:tc>
          <w:tcPr>
            <w:tcW w:w="582" w:type="dxa"/>
            <w:vAlign w:val="top"/>
          </w:tcPr>
          <w:p w14:paraId="22814E3C">
            <w:pPr>
              <w:pStyle w:val="6"/>
              <w:spacing w:before="100" w:line="210" w:lineRule="auto"/>
              <w:ind w:left="90"/>
              <w:rPr>
                <w:sz w:val="18"/>
                <w:szCs w:val="18"/>
              </w:rPr>
            </w:pPr>
            <w:r>
              <w:rPr>
                <w:spacing w:val="-2"/>
                <w:sz w:val="18"/>
                <w:szCs w:val="18"/>
              </w:rPr>
              <w:t>0.028</w:t>
            </w:r>
          </w:p>
        </w:tc>
        <w:tc>
          <w:tcPr>
            <w:tcW w:w="582" w:type="dxa"/>
            <w:vAlign w:val="top"/>
          </w:tcPr>
          <w:p w14:paraId="0758C86D">
            <w:pPr>
              <w:pStyle w:val="6"/>
              <w:spacing w:before="100" w:line="210" w:lineRule="auto"/>
              <w:ind w:left="135"/>
              <w:rPr>
                <w:sz w:val="18"/>
                <w:szCs w:val="18"/>
              </w:rPr>
            </w:pPr>
            <w:r>
              <w:rPr>
                <w:spacing w:val="-2"/>
                <w:sz w:val="18"/>
                <w:szCs w:val="18"/>
              </w:rPr>
              <w:t>0.35</w:t>
            </w:r>
          </w:p>
        </w:tc>
        <w:tc>
          <w:tcPr>
            <w:tcW w:w="581" w:type="dxa"/>
            <w:vAlign w:val="top"/>
          </w:tcPr>
          <w:p w14:paraId="79212B45">
            <w:pPr>
              <w:pStyle w:val="6"/>
              <w:spacing w:before="100" w:line="210" w:lineRule="auto"/>
              <w:ind w:left="37"/>
              <w:rPr>
                <w:sz w:val="18"/>
                <w:szCs w:val="18"/>
              </w:rPr>
            </w:pPr>
            <w:r>
              <w:rPr>
                <w:spacing w:val="-2"/>
                <w:sz w:val="18"/>
                <w:szCs w:val="18"/>
              </w:rPr>
              <w:t>0.004L</w:t>
            </w:r>
          </w:p>
        </w:tc>
        <w:tc>
          <w:tcPr>
            <w:tcW w:w="851" w:type="dxa"/>
            <w:vAlign w:val="top"/>
          </w:tcPr>
          <w:p w14:paraId="3BD96D03">
            <w:pPr>
              <w:pStyle w:val="6"/>
              <w:spacing w:before="100" w:line="210" w:lineRule="auto"/>
              <w:ind w:left="139"/>
              <w:rPr>
                <w:sz w:val="18"/>
                <w:szCs w:val="18"/>
              </w:rPr>
            </w:pPr>
            <w:r>
              <w:rPr>
                <w:spacing w:val="-1"/>
                <w:sz w:val="18"/>
                <w:szCs w:val="18"/>
              </w:rPr>
              <w:t>0.00019</w:t>
            </w:r>
          </w:p>
        </w:tc>
        <w:tc>
          <w:tcPr>
            <w:tcW w:w="644" w:type="dxa"/>
            <w:vAlign w:val="top"/>
          </w:tcPr>
          <w:p w14:paraId="2C020505">
            <w:pPr>
              <w:pStyle w:val="6"/>
              <w:spacing w:before="100" w:line="210" w:lineRule="auto"/>
              <w:ind w:left="81"/>
              <w:rPr>
                <w:sz w:val="18"/>
                <w:szCs w:val="18"/>
              </w:rPr>
            </w:pPr>
            <w:r>
              <w:rPr>
                <w:spacing w:val="-2"/>
                <w:sz w:val="18"/>
                <w:szCs w:val="18"/>
              </w:rPr>
              <w:t>0.0022</w:t>
            </w:r>
          </w:p>
        </w:tc>
        <w:tc>
          <w:tcPr>
            <w:tcW w:w="639" w:type="dxa"/>
            <w:vAlign w:val="top"/>
          </w:tcPr>
          <w:p w14:paraId="226FF170">
            <w:pPr>
              <w:pStyle w:val="6"/>
              <w:spacing w:before="100" w:line="210" w:lineRule="auto"/>
              <w:ind w:left="78"/>
              <w:rPr>
                <w:sz w:val="18"/>
                <w:szCs w:val="18"/>
              </w:rPr>
            </w:pPr>
            <w:r>
              <w:rPr>
                <w:spacing w:val="-2"/>
                <w:sz w:val="18"/>
                <w:szCs w:val="18"/>
              </w:rPr>
              <w:t>0.0008</w:t>
            </w:r>
          </w:p>
        </w:tc>
        <w:tc>
          <w:tcPr>
            <w:tcW w:w="640" w:type="dxa"/>
            <w:vAlign w:val="top"/>
          </w:tcPr>
          <w:p w14:paraId="626482DD">
            <w:pPr>
              <w:pStyle w:val="6"/>
              <w:spacing w:before="100" w:line="210" w:lineRule="auto"/>
              <w:ind w:left="70"/>
              <w:rPr>
                <w:sz w:val="18"/>
                <w:szCs w:val="18"/>
              </w:rPr>
            </w:pPr>
            <w:r>
              <w:rPr>
                <w:spacing w:val="-2"/>
                <w:sz w:val="18"/>
                <w:szCs w:val="18"/>
              </w:rPr>
              <w:t>0.001L</w:t>
            </w:r>
          </w:p>
        </w:tc>
        <w:tc>
          <w:tcPr>
            <w:tcW w:w="639" w:type="dxa"/>
            <w:vAlign w:val="top"/>
          </w:tcPr>
          <w:p w14:paraId="4AA5B4FF">
            <w:pPr>
              <w:pStyle w:val="6"/>
              <w:spacing w:before="100" w:line="210" w:lineRule="auto"/>
              <w:ind w:left="125"/>
              <w:rPr>
                <w:sz w:val="18"/>
                <w:szCs w:val="18"/>
              </w:rPr>
            </w:pPr>
            <w:r>
              <w:rPr>
                <w:spacing w:val="-2"/>
                <w:sz w:val="18"/>
                <w:szCs w:val="18"/>
              </w:rPr>
              <w:t>0.007</w:t>
            </w:r>
          </w:p>
        </w:tc>
        <w:tc>
          <w:tcPr>
            <w:tcW w:w="639" w:type="dxa"/>
            <w:vAlign w:val="top"/>
          </w:tcPr>
          <w:p w14:paraId="10A4E6FE">
            <w:pPr>
              <w:pStyle w:val="6"/>
              <w:spacing w:before="100" w:line="210" w:lineRule="auto"/>
              <w:ind w:left="114"/>
              <w:rPr>
                <w:sz w:val="18"/>
                <w:szCs w:val="18"/>
              </w:rPr>
            </w:pPr>
            <w:r>
              <w:rPr>
                <w:spacing w:val="-2"/>
                <w:sz w:val="18"/>
                <w:szCs w:val="18"/>
              </w:rPr>
              <w:t>0.01L</w:t>
            </w:r>
          </w:p>
        </w:tc>
        <w:tc>
          <w:tcPr>
            <w:tcW w:w="640" w:type="dxa"/>
            <w:vAlign w:val="top"/>
          </w:tcPr>
          <w:p w14:paraId="7EBFE55B">
            <w:pPr>
              <w:pStyle w:val="6"/>
              <w:spacing w:before="100" w:line="210" w:lineRule="auto"/>
              <w:ind w:left="127"/>
              <w:rPr>
                <w:sz w:val="18"/>
                <w:szCs w:val="18"/>
              </w:rPr>
            </w:pPr>
            <w:r>
              <w:rPr>
                <w:spacing w:val="-2"/>
                <w:sz w:val="18"/>
                <w:szCs w:val="18"/>
              </w:rPr>
              <w:t>0.054</w:t>
            </w:r>
          </w:p>
        </w:tc>
        <w:tc>
          <w:tcPr>
            <w:tcW w:w="827" w:type="dxa"/>
            <w:vAlign w:val="top"/>
          </w:tcPr>
          <w:p w14:paraId="27DA346A">
            <w:pPr>
              <w:pStyle w:val="6"/>
              <w:spacing w:before="100" w:line="210" w:lineRule="auto"/>
              <w:ind w:left="288"/>
              <w:rPr>
                <w:sz w:val="18"/>
                <w:szCs w:val="18"/>
              </w:rPr>
            </w:pPr>
            <w:r>
              <w:rPr>
                <w:spacing w:val="-2"/>
                <w:sz w:val="18"/>
                <w:szCs w:val="18"/>
              </w:rPr>
              <w:t>330</w:t>
            </w:r>
          </w:p>
        </w:tc>
        <w:tc>
          <w:tcPr>
            <w:tcW w:w="457" w:type="dxa"/>
            <w:vAlign w:val="top"/>
          </w:tcPr>
          <w:p w14:paraId="2A454CF3">
            <w:pPr>
              <w:pStyle w:val="6"/>
              <w:spacing w:before="100" w:line="210" w:lineRule="auto"/>
              <w:ind w:left="100"/>
              <w:rPr>
                <w:sz w:val="18"/>
                <w:szCs w:val="18"/>
              </w:rPr>
            </w:pPr>
            <w:r>
              <w:rPr>
                <w:spacing w:val="-1"/>
                <w:sz w:val="18"/>
                <w:szCs w:val="18"/>
              </w:rPr>
              <w:t>274</w:t>
            </w:r>
          </w:p>
        </w:tc>
        <w:tc>
          <w:tcPr>
            <w:tcW w:w="533" w:type="dxa"/>
            <w:vAlign w:val="top"/>
          </w:tcPr>
          <w:p w14:paraId="712C69F4">
            <w:pPr>
              <w:pStyle w:val="6"/>
              <w:spacing w:before="107" w:line="202" w:lineRule="auto"/>
              <w:ind w:left="162"/>
              <w:rPr>
                <w:sz w:val="18"/>
                <w:szCs w:val="18"/>
              </w:rPr>
            </w:pPr>
            <w:r>
              <w:rPr>
                <w:b/>
                <w:bCs/>
                <w:spacing w:val="-2"/>
                <w:sz w:val="18"/>
                <w:szCs w:val="18"/>
              </w:rPr>
              <w:t>4.7</w:t>
            </w:r>
          </w:p>
        </w:tc>
        <w:tc>
          <w:tcPr>
            <w:tcW w:w="533" w:type="dxa"/>
            <w:vAlign w:val="top"/>
          </w:tcPr>
          <w:p w14:paraId="4451259D">
            <w:pPr>
              <w:pStyle w:val="6"/>
              <w:spacing w:before="100" w:line="210" w:lineRule="auto"/>
              <w:ind w:left="118"/>
              <w:rPr>
                <w:sz w:val="18"/>
                <w:szCs w:val="18"/>
              </w:rPr>
            </w:pPr>
            <w:r>
              <w:rPr>
                <w:spacing w:val="-1"/>
                <w:sz w:val="18"/>
                <w:szCs w:val="18"/>
              </w:rPr>
              <w:t>28.2</w:t>
            </w:r>
          </w:p>
        </w:tc>
        <w:tc>
          <w:tcPr>
            <w:tcW w:w="533" w:type="dxa"/>
            <w:vAlign w:val="top"/>
          </w:tcPr>
          <w:p w14:paraId="53BC1869">
            <w:pPr>
              <w:pStyle w:val="6"/>
              <w:spacing w:before="100" w:line="210" w:lineRule="auto"/>
              <w:ind w:left="119"/>
              <w:rPr>
                <w:sz w:val="18"/>
                <w:szCs w:val="18"/>
              </w:rPr>
            </w:pPr>
            <w:r>
              <w:rPr>
                <w:spacing w:val="-1"/>
                <w:sz w:val="18"/>
                <w:szCs w:val="18"/>
              </w:rPr>
              <w:t>2.88</w:t>
            </w:r>
          </w:p>
        </w:tc>
        <w:tc>
          <w:tcPr>
            <w:tcW w:w="533" w:type="dxa"/>
            <w:vAlign w:val="top"/>
          </w:tcPr>
          <w:p w14:paraId="09B412E8">
            <w:pPr>
              <w:pStyle w:val="6"/>
              <w:spacing w:before="100" w:line="210" w:lineRule="auto"/>
              <w:ind w:left="124"/>
              <w:rPr>
                <w:sz w:val="18"/>
                <w:szCs w:val="18"/>
              </w:rPr>
            </w:pPr>
            <w:r>
              <w:rPr>
                <w:spacing w:val="-2"/>
                <w:sz w:val="18"/>
                <w:szCs w:val="18"/>
              </w:rPr>
              <w:t>36.9</w:t>
            </w:r>
          </w:p>
        </w:tc>
        <w:tc>
          <w:tcPr>
            <w:tcW w:w="524" w:type="dxa"/>
            <w:tcBorders>
              <w:right w:val="single" w:color="000000" w:sz="12" w:space="0"/>
            </w:tcBorders>
            <w:vAlign w:val="top"/>
          </w:tcPr>
          <w:p w14:paraId="160EB1CA">
            <w:pPr>
              <w:pStyle w:val="6"/>
              <w:spacing w:before="100" w:line="210" w:lineRule="auto"/>
              <w:ind w:left="123"/>
              <w:rPr>
                <w:sz w:val="18"/>
                <w:szCs w:val="18"/>
              </w:rPr>
            </w:pPr>
            <w:r>
              <w:rPr>
                <w:spacing w:val="-6"/>
                <w:sz w:val="18"/>
                <w:szCs w:val="18"/>
              </w:rPr>
              <w:t>18.9</w:t>
            </w:r>
          </w:p>
        </w:tc>
      </w:tr>
      <w:tr w14:paraId="4E2ED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bottom w:val="nil"/>
            </w:tcBorders>
            <w:vAlign w:val="top"/>
          </w:tcPr>
          <w:p w14:paraId="0C4775B2">
            <w:pPr>
              <w:rPr>
                <w:rFonts w:ascii="Arial"/>
                <w:sz w:val="21"/>
              </w:rPr>
            </w:pPr>
          </w:p>
        </w:tc>
        <w:tc>
          <w:tcPr>
            <w:tcW w:w="245" w:type="dxa"/>
            <w:vMerge w:val="continue"/>
            <w:tcBorders>
              <w:top w:val="nil"/>
            </w:tcBorders>
            <w:vAlign w:val="top"/>
          </w:tcPr>
          <w:p w14:paraId="25B1FA1D">
            <w:pPr>
              <w:rPr>
                <w:rFonts w:ascii="Arial"/>
                <w:sz w:val="21"/>
              </w:rPr>
            </w:pPr>
          </w:p>
        </w:tc>
        <w:tc>
          <w:tcPr>
            <w:tcW w:w="929" w:type="dxa"/>
            <w:vAlign w:val="top"/>
          </w:tcPr>
          <w:p w14:paraId="3A60546D">
            <w:pPr>
              <w:pStyle w:val="6"/>
              <w:spacing w:before="100" w:line="208" w:lineRule="auto"/>
              <w:ind w:left="83"/>
              <w:rPr>
                <w:sz w:val="18"/>
                <w:szCs w:val="18"/>
              </w:rPr>
            </w:pPr>
            <w:r>
              <w:rPr>
                <w:spacing w:val="-1"/>
                <w:sz w:val="18"/>
                <w:szCs w:val="18"/>
              </w:rPr>
              <w:t>2019/5/12</w:t>
            </w:r>
          </w:p>
        </w:tc>
        <w:tc>
          <w:tcPr>
            <w:tcW w:w="606" w:type="dxa"/>
            <w:vAlign w:val="top"/>
          </w:tcPr>
          <w:p w14:paraId="47924201">
            <w:pPr>
              <w:pStyle w:val="6"/>
              <w:spacing w:before="100" w:line="208" w:lineRule="auto"/>
              <w:ind w:left="133"/>
              <w:rPr>
                <w:sz w:val="18"/>
                <w:szCs w:val="18"/>
              </w:rPr>
            </w:pPr>
            <w:r>
              <w:rPr>
                <w:spacing w:val="-2"/>
                <w:sz w:val="18"/>
                <w:szCs w:val="18"/>
              </w:rPr>
              <w:t>6.91</w:t>
            </w:r>
          </w:p>
        </w:tc>
        <w:tc>
          <w:tcPr>
            <w:tcW w:w="606" w:type="dxa"/>
            <w:vAlign w:val="top"/>
          </w:tcPr>
          <w:p w14:paraId="74787211">
            <w:pPr>
              <w:pStyle w:val="6"/>
              <w:spacing w:before="100" w:line="208" w:lineRule="auto"/>
              <w:ind w:left="153"/>
              <w:rPr>
                <w:sz w:val="18"/>
                <w:szCs w:val="18"/>
              </w:rPr>
            </w:pPr>
            <w:r>
              <w:rPr>
                <w:spacing w:val="-1"/>
                <w:sz w:val="18"/>
                <w:szCs w:val="18"/>
              </w:rPr>
              <w:t>203</w:t>
            </w:r>
          </w:p>
        </w:tc>
        <w:tc>
          <w:tcPr>
            <w:tcW w:w="606" w:type="dxa"/>
            <w:vAlign w:val="top"/>
          </w:tcPr>
          <w:p w14:paraId="4AA1198D">
            <w:pPr>
              <w:pStyle w:val="6"/>
              <w:spacing w:before="100" w:line="208" w:lineRule="auto"/>
              <w:ind w:left="154"/>
              <w:rPr>
                <w:sz w:val="18"/>
                <w:szCs w:val="18"/>
              </w:rPr>
            </w:pPr>
            <w:r>
              <w:rPr>
                <w:spacing w:val="-1"/>
                <w:sz w:val="18"/>
                <w:szCs w:val="18"/>
              </w:rPr>
              <w:t>252</w:t>
            </w:r>
          </w:p>
        </w:tc>
        <w:tc>
          <w:tcPr>
            <w:tcW w:w="606" w:type="dxa"/>
            <w:vAlign w:val="top"/>
          </w:tcPr>
          <w:p w14:paraId="6ED940A5">
            <w:pPr>
              <w:pStyle w:val="6"/>
              <w:spacing w:before="100" w:line="208" w:lineRule="auto"/>
              <w:ind w:left="216"/>
              <w:rPr>
                <w:sz w:val="18"/>
                <w:szCs w:val="18"/>
              </w:rPr>
            </w:pPr>
            <w:r>
              <w:rPr>
                <w:spacing w:val="-6"/>
                <w:sz w:val="18"/>
                <w:szCs w:val="18"/>
              </w:rPr>
              <w:t>16</w:t>
            </w:r>
          </w:p>
        </w:tc>
        <w:tc>
          <w:tcPr>
            <w:tcW w:w="606" w:type="dxa"/>
            <w:vAlign w:val="top"/>
          </w:tcPr>
          <w:p w14:paraId="60163AE0">
            <w:pPr>
              <w:pStyle w:val="6"/>
              <w:spacing w:before="103" w:line="186" w:lineRule="auto"/>
              <w:ind w:left="162"/>
              <w:rPr>
                <w:sz w:val="18"/>
                <w:szCs w:val="18"/>
              </w:rPr>
            </w:pPr>
            <w:r>
              <w:rPr>
                <w:spacing w:val="-5"/>
                <w:sz w:val="18"/>
                <w:szCs w:val="18"/>
              </w:rPr>
              <w:t>10L</w:t>
            </w:r>
          </w:p>
        </w:tc>
        <w:tc>
          <w:tcPr>
            <w:tcW w:w="606" w:type="dxa"/>
            <w:vAlign w:val="top"/>
          </w:tcPr>
          <w:p w14:paraId="4F15821F">
            <w:pPr>
              <w:pStyle w:val="6"/>
              <w:spacing w:before="100" w:line="208" w:lineRule="auto"/>
              <w:ind w:left="137"/>
              <w:rPr>
                <w:sz w:val="18"/>
                <w:szCs w:val="18"/>
              </w:rPr>
            </w:pPr>
            <w:r>
              <w:rPr>
                <w:spacing w:val="-2"/>
                <w:sz w:val="18"/>
                <w:szCs w:val="18"/>
              </w:rPr>
              <w:t>0.07</w:t>
            </w:r>
          </w:p>
        </w:tc>
        <w:tc>
          <w:tcPr>
            <w:tcW w:w="605" w:type="dxa"/>
            <w:vAlign w:val="top"/>
          </w:tcPr>
          <w:p w14:paraId="7037E531">
            <w:pPr>
              <w:pStyle w:val="6"/>
              <w:spacing w:before="100" w:line="208" w:lineRule="auto"/>
              <w:ind w:left="138"/>
              <w:rPr>
                <w:sz w:val="18"/>
                <w:szCs w:val="18"/>
              </w:rPr>
            </w:pPr>
            <w:r>
              <w:rPr>
                <w:spacing w:val="-2"/>
                <w:sz w:val="18"/>
                <w:szCs w:val="18"/>
              </w:rPr>
              <w:t>0.03</w:t>
            </w:r>
          </w:p>
        </w:tc>
        <w:tc>
          <w:tcPr>
            <w:tcW w:w="563" w:type="dxa"/>
            <w:vAlign w:val="top"/>
          </w:tcPr>
          <w:p w14:paraId="438A69CF">
            <w:pPr>
              <w:pStyle w:val="6"/>
              <w:spacing w:before="100" w:line="208" w:lineRule="auto"/>
              <w:ind w:left="63"/>
              <w:rPr>
                <w:sz w:val="18"/>
                <w:szCs w:val="18"/>
              </w:rPr>
            </w:pPr>
            <w:r>
              <w:rPr>
                <w:spacing w:val="-2"/>
                <w:sz w:val="18"/>
                <w:szCs w:val="18"/>
              </w:rPr>
              <w:t>0.01L</w:t>
            </w:r>
          </w:p>
        </w:tc>
        <w:tc>
          <w:tcPr>
            <w:tcW w:w="562" w:type="dxa"/>
            <w:vAlign w:val="top"/>
          </w:tcPr>
          <w:p w14:paraId="4A668211">
            <w:pPr>
              <w:pStyle w:val="6"/>
              <w:spacing w:before="100" w:line="208" w:lineRule="auto"/>
              <w:ind w:left="74"/>
              <w:rPr>
                <w:sz w:val="18"/>
                <w:szCs w:val="18"/>
              </w:rPr>
            </w:pPr>
            <w:r>
              <w:rPr>
                <w:spacing w:val="-2"/>
                <w:sz w:val="18"/>
                <w:szCs w:val="18"/>
              </w:rPr>
              <w:t>0.008</w:t>
            </w:r>
          </w:p>
        </w:tc>
        <w:tc>
          <w:tcPr>
            <w:tcW w:w="696" w:type="dxa"/>
            <w:vAlign w:val="top"/>
          </w:tcPr>
          <w:p w14:paraId="7CE9E7A5">
            <w:pPr>
              <w:pStyle w:val="6"/>
              <w:spacing w:before="100" w:line="208" w:lineRule="auto"/>
              <w:ind w:left="41"/>
              <w:rPr>
                <w:sz w:val="18"/>
                <w:szCs w:val="18"/>
              </w:rPr>
            </w:pPr>
            <w:r>
              <w:rPr>
                <w:spacing w:val="-1"/>
                <w:sz w:val="18"/>
                <w:szCs w:val="18"/>
              </w:rPr>
              <w:t>0.0003L</w:t>
            </w:r>
          </w:p>
        </w:tc>
        <w:tc>
          <w:tcPr>
            <w:tcW w:w="605" w:type="dxa"/>
            <w:vAlign w:val="top"/>
          </w:tcPr>
          <w:p w14:paraId="759A425A">
            <w:pPr>
              <w:pStyle w:val="6"/>
              <w:spacing w:before="100" w:line="208" w:lineRule="auto"/>
              <w:ind w:left="142"/>
              <w:rPr>
                <w:sz w:val="18"/>
                <w:szCs w:val="18"/>
              </w:rPr>
            </w:pPr>
            <w:r>
              <w:rPr>
                <w:spacing w:val="-2"/>
                <w:sz w:val="18"/>
                <w:szCs w:val="18"/>
              </w:rPr>
              <w:t>0.08</w:t>
            </w:r>
          </w:p>
        </w:tc>
        <w:tc>
          <w:tcPr>
            <w:tcW w:w="582" w:type="dxa"/>
            <w:vAlign w:val="top"/>
          </w:tcPr>
          <w:p w14:paraId="32E430B8">
            <w:pPr>
              <w:pStyle w:val="6"/>
              <w:spacing w:before="100" w:line="208" w:lineRule="auto"/>
              <w:ind w:left="132"/>
              <w:rPr>
                <w:sz w:val="18"/>
                <w:szCs w:val="18"/>
              </w:rPr>
            </w:pPr>
            <w:r>
              <w:rPr>
                <w:spacing w:val="-2"/>
                <w:sz w:val="18"/>
                <w:szCs w:val="18"/>
              </w:rPr>
              <w:t>0.05</w:t>
            </w:r>
          </w:p>
        </w:tc>
        <w:tc>
          <w:tcPr>
            <w:tcW w:w="583" w:type="dxa"/>
            <w:vAlign w:val="top"/>
          </w:tcPr>
          <w:p w14:paraId="7254F085">
            <w:pPr>
              <w:pStyle w:val="6"/>
              <w:spacing w:before="100" w:line="208" w:lineRule="auto"/>
              <w:ind w:left="78"/>
              <w:rPr>
                <w:sz w:val="18"/>
                <w:szCs w:val="18"/>
              </w:rPr>
            </w:pPr>
            <w:r>
              <w:rPr>
                <w:spacing w:val="-2"/>
                <w:sz w:val="18"/>
                <w:szCs w:val="18"/>
              </w:rPr>
              <w:t>0.02L</w:t>
            </w:r>
          </w:p>
        </w:tc>
        <w:tc>
          <w:tcPr>
            <w:tcW w:w="582" w:type="dxa"/>
            <w:vAlign w:val="top"/>
          </w:tcPr>
          <w:p w14:paraId="35E5642F">
            <w:pPr>
              <w:pStyle w:val="6"/>
              <w:spacing w:before="100" w:line="208" w:lineRule="auto"/>
              <w:ind w:left="88"/>
              <w:rPr>
                <w:sz w:val="18"/>
                <w:szCs w:val="18"/>
              </w:rPr>
            </w:pPr>
            <w:r>
              <w:rPr>
                <w:spacing w:val="-2"/>
                <w:sz w:val="18"/>
                <w:szCs w:val="18"/>
              </w:rPr>
              <w:t>0.005</w:t>
            </w:r>
          </w:p>
        </w:tc>
        <w:tc>
          <w:tcPr>
            <w:tcW w:w="582" w:type="dxa"/>
            <w:vAlign w:val="top"/>
          </w:tcPr>
          <w:p w14:paraId="542B713D">
            <w:pPr>
              <w:pStyle w:val="6"/>
              <w:spacing w:before="100" w:line="208" w:lineRule="auto"/>
              <w:ind w:left="90"/>
              <w:rPr>
                <w:sz w:val="18"/>
                <w:szCs w:val="18"/>
              </w:rPr>
            </w:pPr>
            <w:r>
              <w:rPr>
                <w:spacing w:val="-2"/>
                <w:sz w:val="18"/>
                <w:szCs w:val="18"/>
              </w:rPr>
              <w:t>0.031</w:t>
            </w:r>
          </w:p>
        </w:tc>
        <w:tc>
          <w:tcPr>
            <w:tcW w:w="582" w:type="dxa"/>
            <w:vAlign w:val="top"/>
          </w:tcPr>
          <w:p w14:paraId="393F7844">
            <w:pPr>
              <w:pStyle w:val="6"/>
              <w:spacing w:before="100" w:line="208" w:lineRule="auto"/>
              <w:ind w:left="135"/>
              <w:rPr>
                <w:sz w:val="18"/>
                <w:szCs w:val="18"/>
              </w:rPr>
            </w:pPr>
            <w:r>
              <w:rPr>
                <w:spacing w:val="-2"/>
                <w:sz w:val="18"/>
                <w:szCs w:val="18"/>
              </w:rPr>
              <w:t>0.42</w:t>
            </w:r>
          </w:p>
        </w:tc>
        <w:tc>
          <w:tcPr>
            <w:tcW w:w="581" w:type="dxa"/>
            <w:vAlign w:val="top"/>
          </w:tcPr>
          <w:p w14:paraId="34293D21">
            <w:pPr>
              <w:pStyle w:val="6"/>
              <w:spacing w:before="100" w:line="208" w:lineRule="auto"/>
              <w:ind w:left="37"/>
              <w:rPr>
                <w:sz w:val="18"/>
                <w:szCs w:val="18"/>
              </w:rPr>
            </w:pPr>
            <w:r>
              <w:rPr>
                <w:spacing w:val="-2"/>
                <w:sz w:val="18"/>
                <w:szCs w:val="18"/>
              </w:rPr>
              <w:t>0.004L</w:t>
            </w:r>
          </w:p>
        </w:tc>
        <w:tc>
          <w:tcPr>
            <w:tcW w:w="851" w:type="dxa"/>
            <w:vAlign w:val="top"/>
          </w:tcPr>
          <w:p w14:paraId="1E1849FF">
            <w:pPr>
              <w:pStyle w:val="6"/>
              <w:spacing w:before="100" w:line="208" w:lineRule="auto"/>
              <w:ind w:left="139"/>
              <w:rPr>
                <w:sz w:val="18"/>
                <w:szCs w:val="18"/>
              </w:rPr>
            </w:pPr>
            <w:r>
              <w:rPr>
                <w:spacing w:val="-1"/>
                <w:sz w:val="18"/>
                <w:szCs w:val="18"/>
              </w:rPr>
              <w:t>0.00017</w:t>
            </w:r>
          </w:p>
        </w:tc>
        <w:tc>
          <w:tcPr>
            <w:tcW w:w="644" w:type="dxa"/>
            <w:vAlign w:val="top"/>
          </w:tcPr>
          <w:p w14:paraId="33E32134">
            <w:pPr>
              <w:pStyle w:val="6"/>
              <w:spacing w:before="100" w:line="208" w:lineRule="auto"/>
              <w:ind w:left="81"/>
              <w:rPr>
                <w:sz w:val="18"/>
                <w:szCs w:val="18"/>
              </w:rPr>
            </w:pPr>
            <w:r>
              <w:rPr>
                <w:spacing w:val="-2"/>
                <w:sz w:val="18"/>
                <w:szCs w:val="18"/>
              </w:rPr>
              <w:t>0.0020</w:t>
            </w:r>
          </w:p>
        </w:tc>
        <w:tc>
          <w:tcPr>
            <w:tcW w:w="639" w:type="dxa"/>
            <w:vAlign w:val="top"/>
          </w:tcPr>
          <w:p w14:paraId="6575A216">
            <w:pPr>
              <w:pStyle w:val="6"/>
              <w:spacing w:before="100" w:line="208" w:lineRule="auto"/>
              <w:ind w:left="78"/>
              <w:rPr>
                <w:sz w:val="18"/>
                <w:szCs w:val="18"/>
              </w:rPr>
            </w:pPr>
            <w:r>
              <w:rPr>
                <w:spacing w:val="-2"/>
                <w:sz w:val="18"/>
                <w:szCs w:val="18"/>
              </w:rPr>
              <w:t>0.0007</w:t>
            </w:r>
          </w:p>
        </w:tc>
        <w:tc>
          <w:tcPr>
            <w:tcW w:w="640" w:type="dxa"/>
            <w:vAlign w:val="top"/>
          </w:tcPr>
          <w:p w14:paraId="64A41E91">
            <w:pPr>
              <w:pStyle w:val="6"/>
              <w:spacing w:before="100" w:line="208" w:lineRule="auto"/>
              <w:ind w:left="70"/>
              <w:rPr>
                <w:sz w:val="18"/>
                <w:szCs w:val="18"/>
              </w:rPr>
            </w:pPr>
            <w:r>
              <w:rPr>
                <w:spacing w:val="-2"/>
                <w:sz w:val="18"/>
                <w:szCs w:val="18"/>
              </w:rPr>
              <w:t>0.001L</w:t>
            </w:r>
          </w:p>
        </w:tc>
        <w:tc>
          <w:tcPr>
            <w:tcW w:w="639" w:type="dxa"/>
            <w:vAlign w:val="top"/>
          </w:tcPr>
          <w:p w14:paraId="2EAC703D">
            <w:pPr>
              <w:pStyle w:val="6"/>
              <w:spacing w:before="100" w:line="208" w:lineRule="auto"/>
              <w:ind w:left="125"/>
              <w:rPr>
                <w:sz w:val="18"/>
                <w:szCs w:val="18"/>
              </w:rPr>
            </w:pPr>
            <w:r>
              <w:rPr>
                <w:spacing w:val="-2"/>
                <w:sz w:val="18"/>
                <w:szCs w:val="18"/>
              </w:rPr>
              <w:t>0.006</w:t>
            </w:r>
          </w:p>
        </w:tc>
        <w:tc>
          <w:tcPr>
            <w:tcW w:w="639" w:type="dxa"/>
            <w:vAlign w:val="top"/>
          </w:tcPr>
          <w:p w14:paraId="7AE6FD79">
            <w:pPr>
              <w:pStyle w:val="6"/>
              <w:spacing w:before="100" w:line="208" w:lineRule="auto"/>
              <w:ind w:left="114"/>
              <w:rPr>
                <w:sz w:val="18"/>
                <w:szCs w:val="18"/>
              </w:rPr>
            </w:pPr>
            <w:r>
              <w:rPr>
                <w:spacing w:val="-2"/>
                <w:sz w:val="18"/>
                <w:szCs w:val="18"/>
              </w:rPr>
              <w:t>0.01L</w:t>
            </w:r>
          </w:p>
        </w:tc>
        <w:tc>
          <w:tcPr>
            <w:tcW w:w="640" w:type="dxa"/>
            <w:vAlign w:val="top"/>
          </w:tcPr>
          <w:p w14:paraId="1EA1A615">
            <w:pPr>
              <w:pStyle w:val="6"/>
              <w:spacing w:before="100" w:line="208" w:lineRule="auto"/>
              <w:ind w:left="127"/>
              <w:rPr>
                <w:sz w:val="18"/>
                <w:szCs w:val="18"/>
              </w:rPr>
            </w:pPr>
            <w:r>
              <w:rPr>
                <w:spacing w:val="-2"/>
                <w:sz w:val="18"/>
                <w:szCs w:val="18"/>
              </w:rPr>
              <w:t>0.059</w:t>
            </w:r>
          </w:p>
        </w:tc>
        <w:tc>
          <w:tcPr>
            <w:tcW w:w="827" w:type="dxa"/>
            <w:vAlign w:val="top"/>
          </w:tcPr>
          <w:p w14:paraId="60A93F65">
            <w:pPr>
              <w:pStyle w:val="6"/>
              <w:spacing w:before="100" w:line="208" w:lineRule="auto"/>
              <w:ind w:left="288"/>
              <w:rPr>
                <w:sz w:val="18"/>
                <w:szCs w:val="18"/>
              </w:rPr>
            </w:pPr>
            <w:r>
              <w:rPr>
                <w:spacing w:val="-2"/>
                <w:sz w:val="18"/>
                <w:szCs w:val="18"/>
              </w:rPr>
              <w:t>320</w:t>
            </w:r>
          </w:p>
        </w:tc>
        <w:tc>
          <w:tcPr>
            <w:tcW w:w="457" w:type="dxa"/>
            <w:vAlign w:val="top"/>
          </w:tcPr>
          <w:p w14:paraId="54CEDE60">
            <w:pPr>
              <w:pStyle w:val="6"/>
              <w:spacing w:before="100" w:line="208" w:lineRule="auto"/>
              <w:ind w:left="100"/>
              <w:rPr>
                <w:sz w:val="18"/>
                <w:szCs w:val="18"/>
              </w:rPr>
            </w:pPr>
            <w:r>
              <w:rPr>
                <w:spacing w:val="-1"/>
                <w:sz w:val="18"/>
                <w:szCs w:val="18"/>
              </w:rPr>
              <w:t>278</w:t>
            </w:r>
          </w:p>
        </w:tc>
        <w:tc>
          <w:tcPr>
            <w:tcW w:w="533" w:type="dxa"/>
            <w:vAlign w:val="top"/>
          </w:tcPr>
          <w:p w14:paraId="5A1B8276">
            <w:pPr>
              <w:pStyle w:val="6"/>
              <w:spacing w:before="106" w:line="201" w:lineRule="auto"/>
              <w:ind w:left="162"/>
              <w:rPr>
                <w:sz w:val="18"/>
                <w:szCs w:val="18"/>
              </w:rPr>
            </w:pPr>
            <w:r>
              <w:rPr>
                <w:b/>
                <w:bCs/>
                <w:spacing w:val="-2"/>
                <w:sz w:val="18"/>
                <w:szCs w:val="18"/>
              </w:rPr>
              <w:t>4.5</w:t>
            </w:r>
          </w:p>
        </w:tc>
        <w:tc>
          <w:tcPr>
            <w:tcW w:w="533" w:type="dxa"/>
            <w:vAlign w:val="top"/>
          </w:tcPr>
          <w:p w14:paraId="12672275">
            <w:pPr>
              <w:pStyle w:val="6"/>
              <w:spacing w:before="100" w:line="208" w:lineRule="auto"/>
              <w:ind w:left="118"/>
              <w:rPr>
                <w:sz w:val="18"/>
                <w:szCs w:val="18"/>
              </w:rPr>
            </w:pPr>
            <w:r>
              <w:rPr>
                <w:spacing w:val="-1"/>
                <w:sz w:val="18"/>
                <w:szCs w:val="18"/>
              </w:rPr>
              <w:t>29.5</w:t>
            </w:r>
          </w:p>
        </w:tc>
        <w:tc>
          <w:tcPr>
            <w:tcW w:w="533" w:type="dxa"/>
            <w:vAlign w:val="top"/>
          </w:tcPr>
          <w:p w14:paraId="252B06D3">
            <w:pPr>
              <w:pStyle w:val="6"/>
              <w:spacing w:before="100" w:line="208" w:lineRule="auto"/>
              <w:ind w:left="119"/>
              <w:rPr>
                <w:sz w:val="18"/>
                <w:szCs w:val="18"/>
              </w:rPr>
            </w:pPr>
            <w:r>
              <w:rPr>
                <w:spacing w:val="-1"/>
                <w:sz w:val="18"/>
                <w:szCs w:val="18"/>
              </w:rPr>
              <w:t>2.65</w:t>
            </w:r>
          </w:p>
        </w:tc>
        <w:tc>
          <w:tcPr>
            <w:tcW w:w="533" w:type="dxa"/>
            <w:vAlign w:val="top"/>
          </w:tcPr>
          <w:p w14:paraId="7898E913">
            <w:pPr>
              <w:pStyle w:val="6"/>
              <w:spacing w:before="100" w:line="208" w:lineRule="auto"/>
              <w:ind w:left="124"/>
              <w:rPr>
                <w:sz w:val="18"/>
                <w:szCs w:val="18"/>
              </w:rPr>
            </w:pPr>
            <w:r>
              <w:rPr>
                <w:spacing w:val="-2"/>
                <w:sz w:val="18"/>
                <w:szCs w:val="18"/>
              </w:rPr>
              <w:t>34.3</w:t>
            </w:r>
          </w:p>
        </w:tc>
        <w:tc>
          <w:tcPr>
            <w:tcW w:w="524" w:type="dxa"/>
            <w:tcBorders>
              <w:right w:val="single" w:color="000000" w:sz="12" w:space="0"/>
            </w:tcBorders>
            <w:vAlign w:val="top"/>
          </w:tcPr>
          <w:p w14:paraId="00768AD6">
            <w:pPr>
              <w:pStyle w:val="6"/>
              <w:spacing w:before="100" w:line="208" w:lineRule="auto"/>
              <w:ind w:left="105"/>
              <w:rPr>
                <w:sz w:val="18"/>
                <w:szCs w:val="18"/>
              </w:rPr>
            </w:pPr>
            <w:r>
              <w:rPr>
                <w:spacing w:val="-1"/>
                <w:sz w:val="18"/>
                <w:szCs w:val="18"/>
              </w:rPr>
              <w:t>21.5</w:t>
            </w:r>
          </w:p>
        </w:tc>
      </w:tr>
      <w:tr w14:paraId="64B75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42CA8AC7">
            <w:pPr>
              <w:rPr>
                <w:rFonts w:ascii="Arial"/>
                <w:sz w:val="21"/>
              </w:rPr>
            </w:pPr>
          </w:p>
        </w:tc>
        <w:tc>
          <w:tcPr>
            <w:tcW w:w="245" w:type="dxa"/>
            <w:vMerge w:val="restart"/>
            <w:tcBorders>
              <w:bottom w:val="nil"/>
            </w:tcBorders>
            <w:vAlign w:val="top"/>
          </w:tcPr>
          <w:p w14:paraId="61C1C9A6">
            <w:pPr>
              <w:pStyle w:val="6"/>
              <w:spacing w:before="161" w:line="226" w:lineRule="auto"/>
              <w:ind w:left="64"/>
              <w:rPr>
                <w:sz w:val="18"/>
                <w:szCs w:val="18"/>
              </w:rPr>
            </w:pPr>
            <w:r>
              <w:rPr>
                <w:sz w:val="18"/>
                <w:szCs w:val="18"/>
              </w:rPr>
              <w:t>3</w:t>
            </w:r>
          </w:p>
          <w:p w14:paraId="4B461997">
            <w:pPr>
              <w:spacing w:line="226" w:lineRule="auto"/>
              <w:ind w:left="19"/>
              <w:rPr>
                <w:rFonts w:ascii="等线" w:hAnsi="等线" w:eastAsia="等线" w:cs="等线"/>
                <w:sz w:val="18"/>
                <w:szCs w:val="18"/>
              </w:rPr>
            </w:pPr>
            <w:r>
              <w:rPr>
                <w:rFonts w:ascii="等线" w:hAnsi="等线" w:eastAsia="等线" w:cs="等线"/>
                <w:sz w:val="18"/>
                <w:szCs w:val="18"/>
              </w:rPr>
              <w:t>季</w:t>
            </w:r>
          </w:p>
          <w:p w14:paraId="05DF0424">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5CF2A756">
            <w:pPr>
              <w:pStyle w:val="6"/>
              <w:spacing w:before="102" w:line="208" w:lineRule="auto"/>
              <w:ind w:left="128"/>
              <w:rPr>
                <w:sz w:val="18"/>
                <w:szCs w:val="18"/>
              </w:rPr>
            </w:pPr>
            <w:r>
              <w:rPr>
                <w:spacing w:val="-1"/>
                <w:sz w:val="18"/>
                <w:szCs w:val="18"/>
              </w:rPr>
              <w:t>2019/8/6</w:t>
            </w:r>
          </w:p>
        </w:tc>
        <w:tc>
          <w:tcPr>
            <w:tcW w:w="606" w:type="dxa"/>
            <w:vAlign w:val="top"/>
          </w:tcPr>
          <w:p w14:paraId="51771EF7">
            <w:pPr>
              <w:pStyle w:val="6"/>
              <w:spacing w:before="102" w:line="208" w:lineRule="auto"/>
              <w:ind w:left="133"/>
              <w:rPr>
                <w:sz w:val="18"/>
                <w:szCs w:val="18"/>
              </w:rPr>
            </w:pPr>
            <w:r>
              <w:rPr>
                <w:spacing w:val="-2"/>
                <w:sz w:val="18"/>
                <w:szCs w:val="18"/>
              </w:rPr>
              <w:t>6.91</w:t>
            </w:r>
          </w:p>
        </w:tc>
        <w:tc>
          <w:tcPr>
            <w:tcW w:w="606" w:type="dxa"/>
            <w:vAlign w:val="top"/>
          </w:tcPr>
          <w:p w14:paraId="47388D92">
            <w:pPr>
              <w:pStyle w:val="6"/>
              <w:spacing w:before="102" w:line="208" w:lineRule="auto"/>
              <w:ind w:left="157"/>
              <w:rPr>
                <w:sz w:val="18"/>
                <w:szCs w:val="18"/>
              </w:rPr>
            </w:pPr>
            <w:r>
              <w:rPr>
                <w:spacing w:val="-2"/>
                <w:sz w:val="18"/>
                <w:szCs w:val="18"/>
              </w:rPr>
              <w:t>304</w:t>
            </w:r>
          </w:p>
        </w:tc>
        <w:tc>
          <w:tcPr>
            <w:tcW w:w="606" w:type="dxa"/>
            <w:vAlign w:val="top"/>
          </w:tcPr>
          <w:p w14:paraId="35F8319F">
            <w:pPr>
              <w:pStyle w:val="6"/>
              <w:spacing w:before="102" w:line="208" w:lineRule="auto"/>
              <w:ind w:left="154"/>
              <w:rPr>
                <w:sz w:val="18"/>
                <w:szCs w:val="18"/>
              </w:rPr>
            </w:pPr>
            <w:r>
              <w:rPr>
                <w:spacing w:val="-1"/>
                <w:sz w:val="18"/>
                <w:szCs w:val="18"/>
              </w:rPr>
              <w:t>447</w:t>
            </w:r>
          </w:p>
        </w:tc>
        <w:tc>
          <w:tcPr>
            <w:tcW w:w="606" w:type="dxa"/>
            <w:vAlign w:val="top"/>
          </w:tcPr>
          <w:p w14:paraId="1B65B103">
            <w:pPr>
              <w:pStyle w:val="6"/>
              <w:spacing w:before="102" w:line="208" w:lineRule="auto"/>
              <w:ind w:left="202"/>
              <w:rPr>
                <w:sz w:val="18"/>
                <w:szCs w:val="18"/>
              </w:rPr>
            </w:pPr>
            <w:r>
              <w:rPr>
                <w:spacing w:val="-2"/>
                <w:sz w:val="18"/>
                <w:szCs w:val="18"/>
              </w:rPr>
              <w:t>98</w:t>
            </w:r>
          </w:p>
        </w:tc>
        <w:tc>
          <w:tcPr>
            <w:tcW w:w="606" w:type="dxa"/>
            <w:vAlign w:val="top"/>
          </w:tcPr>
          <w:p w14:paraId="35848431">
            <w:pPr>
              <w:pStyle w:val="6"/>
              <w:spacing w:before="105" w:line="186" w:lineRule="auto"/>
              <w:ind w:left="162"/>
              <w:rPr>
                <w:sz w:val="18"/>
                <w:szCs w:val="18"/>
              </w:rPr>
            </w:pPr>
            <w:r>
              <w:rPr>
                <w:spacing w:val="-5"/>
                <w:sz w:val="18"/>
                <w:szCs w:val="18"/>
              </w:rPr>
              <w:t>10L</w:t>
            </w:r>
          </w:p>
        </w:tc>
        <w:tc>
          <w:tcPr>
            <w:tcW w:w="606" w:type="dxa"/>
            <w:vAlign w:val="top"/>
          </w:tcPr>
          <w:p w14:paraId="5852DCCA">
            <w:pPr>
              <w:pStyle w:val="6"/>
              <w:spacing w:before="102" w:line="208" w:lineRule="auto"/>
              <w:ind w:left="82"/>
              <w:rPr>
                <w:sz w:val="18"/>
                <w:szCs w:val="18"/>
              </w:rPr>
            </w:pPr>
            <w:r>
              <w:rPr>
                <w:spacing w:val="-2"/>
                <w:sz w:val="18"/>
                <w:szCs w:val="18"/>
              </w:rPr>
              <w:t>0.03L</w:t>
            </w:r>
          </w:p>
        </w:tc>
        <w:tc>
          <w:tcPr>
            <w:tcW w:w="605" w:type="dxa"/>
            <w:vAlign w:val="top"/>
          </w:tcPr>
          <w:p w14:paraId="31A3F1C6">
            <w:pPr>
              <w:pStyle w:val="6"/>
              <w:spacing w:before="102" w:line="208" w:lineRule="auto"/>
              <w:ind w:left="83"/>
              <w:rPr>
                <w:sz w:val="18"/>
                <w:szCs w:val="18"/>
              </w:rPr>
            </w:pPr>
            <w:r>
              <w:rPr>
                <w:spacing w:val="-2"/>
                <w:sz w:val="18"/>
                <w:szCs w:val="18"/>
              </w:rPr>
              <w:t>0.02L</w:t>
            </w:r>
          </w:p>
        </w:tc>
        <w:tc>
          <w:tcPr>
            <w:tcW w:w="563" w:type="dxa"/>
            <w:vAlign w:val="top"/>
          </w:tcPr>
          <w:p w14:paraId="7B6EEE1C">
            <w:pPr>
              <w:pStyle w:val="6"/>
              <w:spacing w:before="102" w:line="208" w:lineRule="auto"/>
              <w:ind w:left="63"/>
              <w:rPr>
                <w:sz w:val="18"/>
                <w:szCs w:val="18"/>
              </w:rPr>
            </w:pPr>
            <w:r>
              <w:rPr>
                <w:spacing w:val="-2"/>
                <w:sz w:val="18"/>
                <w:szCs w:val="18"/>
              </w:rPr>
              <w:t>0.01L</w:t>
            </w:r>
          </w:p>
        </w:tc>
        <w:tc>
          <w:tcPr>
            <w:tcW w:w="562" w:type="dxa"/>
            <w:vAlign w:val="top"/>
          </w:tcPr>
          <w:p w14:paraId="456246C3">
            <w:pPr>
              <w:pStyle w:val="6"/>
              <w:spacing w:before="102" w:line="208" w:lineRule="auto"/>
              <w:ind w:left="74"/>
              <w:rPr>
                <w:sz w:val="18"/>
                <w:szCs w:val="18"/>
              </w:rPr>
            </w:pPr>
            <w:r>
              <w:rPr>
                <w:spacing w:val="-2"/>
                <w:sz w:val="18"/>
                <w:szCs w:val="18"/>
              </w:rPr>
              <w:t>0.077</w:t>
            </w:r>
          </w:p>
        </w:tc>
        <w:tc>
          <w:tcPr>
            <w:tcW w:w="696" w:type="dxa"/>
            <w:vAlign w:val="top"/>
          </w:tcPr>
          <w:p w14:paraId="7CE32191">
            <w:pPr>
              <w:pStyle w:val="6"/>
              <w:spacing w:before="102" w:line="208" w:lineRule="auto"/>
              <w:ind w:left="41"/>
              <w:rPr>
                <w:sz w:val="18"/>
                <w:szCs w:val="18"/>
              </w:rPr>
            </w:pPr>
            <w:r>
              <w:rPr>
                <w:spacing w:val="-1"/>
                <w:sz w:val="18"/>
                <w:szCs w:val="18"/>
              </w:rPr>
              <w:t>0.0003L</w:t>
            </w:r>
          </w:p>
        </w:tc>
        <w:tc>
          <w:tcPr>
            <w:tcW w:w="605" w:type="dxa"/>
            <w:vAlign w:val="top"/>
          </w:tcPr>
          <w:p w14:paraId="673B3D76">
            <w:pPr>
              <w:pStyle w:val="6"/>
              <w:spacing w:before="102" w:line="208" w:lineRule="auto"/>
              <w:ind w:left="87"/>
              <w:rPr>
                <w:sz w:val="18"/>
                <w:szCs w:val="18"/>
              </w:rPr>
            </w:pPr>
            <w:r>
              <w:rPr>
                <w:spacing w:val="-2"/>
                <w:sz w:val="18"/>
                <w:szCs w:val="18"/>
              </w:rPr>
              <w:t>0.05L</w:t>
            </w:r>
          </w:p>
        </w:tc>
        <w:tc>
          <w:tcPr>
            <w:tcW w:w="582" w:type="dxa"/>
            <w:vAlign w:val="top"/>
          </w:tcPr>
          <w:p w14:paraId="5152B594">
            <w:pPr>
              <w:pStyle w:val="6"/>
              <w:spacing w:before="102" w:line="208" w:lineRule="auto"/>
              <w:ind w:left="132"/>
              <w:rPr>
                <w:sz w:val="18"/>
                <w:szCs w:val="18"/>
              </w:rPr>
            </w:pPr>
            <w:r>
              <w:rPr>
                <w:spacing w:val="-2"/>
                <w:sz w:val="18"/>
                <w:szCs w:val="18"/>
              </w:rPr>
              <w:t>0.01</w:t>
            </w:r>
          </w:p>
        </w:tc>
        <w:tc>
          <w:tcPr>
            <w:tcW w:w="583" w:type="dxa"/>
            <w:vAlign w:val="top"/>
          </w:tcPr>
          <w:p w14:paraId="0010CE2A">
            <w:pPr>
              <w:pStyle w:val="6"/>
              <w:spacing w:before="102" w:line="208" w:lineRule="auto"/>
              <w:ind w:left="148"/>
              <w:rPr>
                <w:sz w:val="18"/>
                <w:szCs w:val="18"/>
              </w:rPr>
            </w:pPr>
            <w:r>
              <w:rPr>
                <w:spacing w:val="-6"/>
                <w:sz w:val="18"/>
                <w:szCs w:val="18"/>
              </w:rPr>
              <w:t>1.80</w:t>
            </w:r>
          </w:p>
        </w:tc>
        <w:tc>
          <w:tcPr>
            <w:tcW w:w="582" w:type="dxa"/>
            <w:vAlign w:val="top"/>
          </w:tcPr>
          <w:p w14:paraId="40547EE8">
            <w:pPr>
              <w:pStyle w:val="6"/>
              <w:spacing w:before="102" w:line="208" w:lineRule="auto"/>
              <w:ind w:left="33"/>
              <w:rPr>
                <w:sz w:val="18"/>
                <w:szCs w:val="18"/>
              </w:rPr>
            </w:pPr>
            <w:r>
              <w:rPr>
                <w:spacing w:val="-2"/>
                <w:sz w:val="18"/>
                <w:szCs w:val="18"/>
              </w:rPr>
              <w:t>0.003L</w:t>
            </w:r>
          </w:p>
        </w:tc>
        <w:tc>
          <w:tcPr>
            <w:tcW w:w="582" w:type="dxa"/>
            <w:vAlign w:val="top"/>
          </w:tcPr>
          <w:p w14:paraId="6C700938">
            <w:pPr>
              <w:pStyle w:val="6"/>
              <w:spacing w:before="102" w:line="208" w:lineRule="auto"/>
              <w:ind w:left="90"/>
              <w:rPr>
                <w:sz w:val="18"/>
                <w:szCs w:val="18"/>
              </w:rPr>
            </w:pPr>
            <w:r>
              <w:rPr>
                <w:spacing w:val="-2"/>
                <w:sz w:val="18"/>
                <w:szCs w:val="18"/>
              </w:rPr>
              <w:t>0.035</w:t>
            </w:r>
          </w:p>
        </w:tc>
        <w:tc>
          <w:tcPr>
            <w:tcW w:w="582" w:type="dxa"/>
            <w:vAlign w:val="top"/>
          </w:tcPr>
          <w:p w14:paraId="3237FCE6">
            <w:pPr>
              <w:pStyle w:val="6"/>
              <w:spacing w:before="102" w:line="208" w:lineRule="auto"/>
              <w:ind w:left="80"/>
              <w:rPr>
                <w:sz w:val="18"/>
                <w:szCs w:val="18"/>
              </w:rPr>
            </w:pPr>
            <w:r>
              <w:rPr>
                <w:spacing w:val="-2"/>
                <w:sz w:val="18"/>
                <w:szCs w:val="18"/>
              </w:rPr>
              <w:t>0.05L</w:t>
            </w:r>
          </w:p>
        </w:tc>
        <w:tc>
          <w:tcPr>
            <w:tcW w:w="581" w:type="dxa"/>
            <w:vAlign w:val="top"/>
          </w:tcPr>
          <w:p w14:paraId="47115676">
            <w:pPr>
              <w:pStyle w:val="6"/>
              <w:spacing w:before="102" w:line="208" w:lineRule="auto"/>
              <w:ind w:left="37"/>
              <w:rPr>
                <w:sz w:val="18"/>
                <w:szCs w:val="18"/>
              </w:rPr>
            </w:pPr>
            <w:r>
              <w:rPr>
                <w:spacing w:val="-2"/>
                <w:sz w:val="18"/>
                <w:szCs w:val="18"/>
              </w:rPr>
              <w:t>0.004L</w:t>
            </w:r>
          </w:p>
        </w:tc>
        <w:tc>
          <w:tcPr>
            <w:tcW w:w="851" w:type="dxa"/>
            <w:vAlign w:val="top"/>
          </w:tcPr>
          <w:p w14:paraId="437A10EF">
            <w:pPr>
              <w:pStyle w:val="6"/>
              <w:spacing w:before="102" w:line="208" w:lineRule="auto"/>
              <w:ind w:left="139"/>
              <w:rPr>
                <w:sz w:val="18"/>
                <w:szCs w:val="18"/>
              </w:rPr>
            </w:pPr>
            <w:r>
              <w:rPr>
                <w:spacing w:val="-1"/>
                <w:sz w:val="18"/>
                <w:szCs w:val="18"/>
              </w:rPr>
              <w:t>0.00015</w:t>
            </w:r>
          </w:p>
        </w:tc>
        <w:tc>
          <w:tcPr>
            <w:tcW w:w="644" w:type="dxa"/>
            <w:vAlign w:val="top"/>
          </w:tcPr>
          <w:p w14:paraId="5B6655CE">
            <w:pPr>
              <w:pStyle w:val="6"/>
              <w:spacing w:before="102" w:line="208" w:lineRule="auto"/>
              <w:ind w:left="81"/>
              <w:rPr>
                <w:sz w:val="18"/>
                <w:szCs w:val="18"/>
              </w:rPr>
            </w:pPr>
            <w:r>
              <w:rPr>
                <w:spacing w:val="-2"/>
                <w:sz w:val="18"/>
                <w:szCs w:val="18"/>
              </w:rPr>
              <w:t>0.0032</w:t>
            </w:r>
          </w:p>
        </w:tc>
        <w:tc>
          <w:tcPr>
            <w:tcW w:w="639" w:type="dxa"/>
            <w:vAlign w:val="top"/>
          </w:tcPr>
          <w:p w14:paraId="094FCB06">
            <w:pPr>
              <w:pStyle w:val="6"/>
              <w:spacing w:before="102" w:line="208" w:lineRule="auto"/>
              <w:ind w:left="22"/>
              <w:rPr>
                <w:sz w:val="18"/>
                <w:szCs w:val="18"/>
              </w:rPr>
            </w:pPr>
            <w:r>
              <w:rPr>
                <w:spacing w:val="-1"/>
                <w:sz w:val="18"/>
                <w:szCs w:val="18"/>
              </w:rPr>
              <w:t>0.0004L</w:t>
            </w:r>
          </w:p>
        </w:tc>
        <w:tc>
          <w:tcPr>
            <w:tcW w:w="640" w:type="dxa"/>
            <w:vAlign w:val="top"/>
          </w:tcPr>
          <w:p w14:paraId="287C09C4">
            <w:pPr>
              <w:pStyle w:val="6"/>
              <w:spacing w:before="102" w:line="208" w:lineRule="auto"/>
              <w:ind w:left="70"/>
              <w:rPr>
                <w:sz w:val="18"/>
                <w:szCs w:val="18"/>
              </w:rPr>
            </w:pPr>
            <w:r>
              <w:rPr>
                <w:spacing w:val="-2"/>
                <w:sz w:val="18"/>
                <w:szCs w:val="18"/>
              </w:rPr>
              <w:t>0.001L</w:t>
            </w:r>
          </w:p>
        </w:tc>
        <w:tc>
          <w:tcPr>
            <w:tcW w:w="639" w:type="dxa"/>
            <w:vAlign w:val="top"/>
          </w:tcPr>
          <w:p w14:paraId="362028B1">
            <w:pPr>
              <w:pStyle w:val="6"/>
              <w:spacing w:before="102" w:line="208" w:lineRule="auto"/>
              <w:ind w:left="69"/>
              <w:rPr>
                <w:sz w:val="18"/>
                <w:szCs w:val="18"/>
              </w:rPr>
            </w:pPr>
            <w:r>
              <w:rPr>
                <w:spacing w:val="-2"/>
                <w:sz w:val="18"/>
                <w:szCs w:val="18"/>
              </w:rPr>
              <w:t>0.004L</w:t>
            </w:r>
          </w:p>
        </w:tc>
        <w:tc>
          <w:tcPr>
            <w:tcW w:w="639" w:type="dxa"/>
            <w:vAlign w:val="top"/>
          </w:tcPr>
          <w:p w14:paraId="7C67103E">
            <w:pPr>
              <w:pStyle w:val="6"/>
              <w:spacing w:before="102" w:line="208" w:lineRule="auto"/>
              <w:ind w:left="114"/>
              <w:rPr>
                <w:sz w:val="18"/>
                <w:szCs w:val="18"/>
              </w:rPr>
            </w:pPr>
            <w:r>
              <w:rPr>
                <w:spacing w:val="-2"/>
                <w:sz w:val="18"/>
                <w:szCs w:val="18"/>
              </w:rPr>
              <w:t>0.01L</w:t>
            </w:r>
          </w:p>
        </w:tc>
        <w:tc>
          <w:tcPr>
            <w:tcW w:w="640" w:type="dxa"/>
            <w:vAlign w:val="top"/>
          </w:tcPr>
          <w:p w14:paraId="4D2DB5B1">
            <w:pPr>
              <w:pStyle w:val="6"/>
              <w:spacing w:before="102" w:line="208" w:lineRule="auto"/>
              <w:ind w:left="72"/>
              <w:rPr>
                <w:sz w:val="18"/>
                <w:szCs w:val="18"/>
              </w:rPr>
            </w:pPr>
            <w:r>
              <w:rPr>
                <w:spacing w:val="-2"/>
                <w:sz w:val="18"/>
                <w:szCs w:val="18"/>
              </w:rPr>
              <w:t>0.009L</w:t>
            </w:r>
          </w:p>
        </w:tc>
        <w:tc>
          <w:tcPr>
            <w:tcW w:w="827" w:type="dxa"/>
            <w:vAlign w:val="top"/>
          </w:tcPr>
          <w:p w14:paraId="7E0A756B">
            <w:pPr>
              <w:pStyle w:val="6"/>
              <w:spacing w:before="102" w:line="208" w:lineRule="auto"/>
              <w:ind w:left="285"/>
              <w:rPr>
                <w:sz w:val="18"/>
                <w:szCs w:val="18"/>
              </w:rPr>
            </w:pPr>
            <w:r>
              <w:rPr>
                <w:spacing w:val="-1"/>
                <w:sz w:val="18"/>
                <w:szCs w:val="18"/>
              </w:rPr>
              <w:t>240</w:t>
            </w:r>
          </w:p>
        </w:tc>
        <w:tc>
          <w:tcPr>
            <w:tcW w:w="457" w:type="dxa"/>
            <w:vAlign w:val="top"/>
          </w:tcPr>
          <w:p w14:paraId="02657610">
            <w:pPr>
              <w:pStyle w:val="6"/>
              <w:spacing w:before="102" w:line="208" w:lineRule="auto"/>
              <w:ind w:left="99"/>
              <w:rPr>
                <w:sz w:val="18"/>
                <w:szCs w:val="18"/>
              </w:rPr>
            </w:pPr>
            <w:r>
              <w:rPr>
                <w:spacing w:val="-1"/>
                <w:sz w:val="18"/>
                <w:szCs w:val="18"/>
              </w:rPr>
              <w:t>474</w:t>
            </w:r>
          </w:p>
        </w:tc>
        <w:tc>
          <w:tcPr>
            <w:tcW w:w="533" w:type="dxa"/>
            <w:vAlign w:val="top"/>
          </w:tcPr>
          <w:p w14:paraId="070744DE">
            <w:pPr>
              <w:pStyle w:val="6"/>
              <w:spacing w:before="102" w:line="208" w:lineRule="auto"/>
              <w:ind w:left="120"/>
              <w:rPr>
                <w:sz w:val="18"/>
                <w:szCs w:val="18"/>
              </w:rPr>
            </w:pPr>
            <w:r>
              <w:rPr>
                <w:spacing w:val="-2"/>
                <w:sz w:val="18"/>
                <w:szCs w:val="18"/>
              </w:rPr>
              <w:t>0.64</w:t>
            </w:r>
          </w:p>
        </w:tc>
        <w:tc>
          <w:tcPr>
            <w:tcW w:w="533" w:type="dxa"/>
            <w:vAlign w:val="top"/>
          </w:tcPr>
          <w:p w14:paraId="18777309">
            <w:pPr>
              <w:pStyle w:val="6"/>
              <w:spacing w:before="102" w:line="208" w:lineRule="auto"/>
              <w:ind w:left="135"/>
              <w:rPr>
                <w:sz w:val="18"/>
                <w:szCs w:val="18"/>
              </w:rPr>
            </w:pPr>
            <w:r>
              <w:rPr>
                <w:spacing w:val="-6"/>
                <w:sz w:val="18"/>
                <w:szCs w:val="18"/>
              </w:rPr>
              <w:t>1.14</w:t>
            </w:r>
          </w:p>
        </w:tc>
        <w:tc>
          <w:tcPr>
            <w:tcW w:w="533" w:type="dxa"/>
            <w:vAlign w:val="top"/>
          </w:tcPr>
          <w:p w14:paraId="2A319FF9">
            <w:pPr>
              <w:pStyle w:val="6"/>
              <w:spacing w:before="102" w:line="208" w:lineRule="auto"/>
              <w:ind w:left="123"/>
              <w:rPr>
                <w:sz w:val="18"/>
                <w:szCs w:val="18"/>
              </w:rPr>
            </w:pPr>
            <w:r>
              <w:rPr>
                <w:spacing w:val="-2"/>
                <w:sz w:val="18"/>
                <w:szCs w:val="18"/>
              </w:rPr>
              <w:t>6.46</w:t>
            </w:r>
          </w:p>
        </w:tc>
        <w:tc>
          <w:tcPr>
            <w:tcW w:w="533" w:type="dxa"/>
            <w:vAlign w:val="top"/>
          </w:tcPr>
          <w:p w14:paraId="71454FFA">
            <w:pPr>
              <w:pStyle w:val="6"/>
              <w:spacing w:before="102" w:line="208" w:lineRule="auto"/>
              <w:ind w:left="124"/>
              <w:rPr>
                <w:sz w:val="18"/>
                <w:szCs w:val="18"/>
              </w:rPr>
            </w:pPr>
            <w:r>
              <w:rPr>
                <w:spacing w:val="-2"/>
                <w:sz w:val="18"/>
                <w:szCs w:val="18"/>
              </w:rPr>
              <w:t>63.2</w:t>
            </w:r>
          </w:p>
        </w:tc>
        <w:tc>
          <w:tcPr>
            <w:tcW w:w="524" w:type="dxa"/>
            <w:tcBorders>
              <w:right w:val="single" w:color="000000" w:sz="12" w:space="0"/>
            </w:tcBorders>
            <w:vAlign w:val="top"/>
          </w:tcPr>
          <w:p w14:paraId="75B8EAF3">
            <w:pPr>
              <w:pStyle w:val="6"/>
              <w:spacing w:before="102" w:line="208" w:lineRule="auto"/>
              <w:ind w:left="105"/>
              <w:rPr>
                <w:sz w:val="18"/>
                <w:szCs w:val="18"/>
              </w:rPr>
            </w:pPr>
            <w:r>
              <w:rPr>
                <w:spacing w:val="-1"/>
                <w:sz w:val="18"/>
                <w:szCs w:val="18"/>
              </w:rPr>
              <w:t>21.9</w:t>
            </w:r>
          </w:p>
        </w:tc>
      </w:tr>
      <w:tr w14:paraId="1FDE8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649C393F">
            <w:pPr>
              <w:rPr>
                <w:rFonts w:ascii="Arial"/>
                <w:sz w:val="21"/>
              </w:rPr>
            </w:pPr>
          </w:p>
        </w:tc>
        <w:tc>
          <w:tcPr>
            <w:tcW w:w="245" w:type="dxa"/>
            <w:vMerge w:val="continue"/>
            <w:tcBorders>
              <w:top w:val="nil"/>
              <w:bottom w:val="nil"/>
            </w:tcBorders>
            <w:vAlign w:val="top"/>
          </w:tcPr>
          <w:p w14:paraId="7E5AB6EC">
            <w:pPr>
              <w:rPr>
                <w:rFonts w:ascii="Arial"/>
                <w:sz w:val="21"/>
              </w:rPr>
            </w:pPr>
          </w:p>
        </w:tc>
        <w:tc>
          <w:tcPr>
            <w:tcW w:w="929" w:type="dxa"/>
            <w:vAlign w:val="top"/>
          </w:tcPr>
          <w:p w14:paraId="623A8C82">
            <w:pPr>
              <w:pStyle w:val="6"/>
              <w:spacing w:before="103" w:line="207" w:lineRule="auto"/>
              <w:ind w:left="128"/>
              <w:rPr>
                <w:sz w:val="18"/>
                <w:szCs w:val="18"/>
              </w:rPr>
            </w:pPr>
            <w:r>
              <w:rPr>
                <w:spacing w:val="-1"/>
                <w:sz w:val="18"/>
                <w:szCs w:val="18"/>
              </w:rPr>
              <w:t>2019/8/7</w:t>
            </w:r>
          </w:p>
        </w:tc>
        <w:tc>
          <w:tcPr>
            <w:tcW w:w="606" w:type="dxa"/>
            <w:vAlign w:val="top"/>
          </w:tcPr>
          <w:p w14:paraId="407B623F">
            <w:pPr>
              <w:pStyle w:val="6"/>
              <w:spacing w:before="103" w:line="207" w:lineRule="auto"/>
              <w:ind w:left="133"/>
              <w:rPr>
                <w:sz w:val="18"/>
                <w:szCs w:val="18"/>
              </w:rPr>
            </w:pPr>
            <w:r>
              <w:rPr>
                <w:spacing w:val="-2"/>
                <w:sz w:val="18"/>
                <w:szCs w:val="18"/>
              </w:rPr>
              <w:t>6.96</w:t>
            </w:r>
          </w:p>
        </w:tc>
        <w:tc>
          <w:tcPr>
            <w:tcW w:w="606" w:type="dxa"/>
            <w:vAlign w:val="top"/>
          </w:tcPr>
          <w:p w14:paraId="6740FA74">
            <w:pPr>
              <w:pStyle w:val="6"/>
              <w:spacing w:before="103" w:line="207" w:lineRule="auto"/>
              <w:ind w:left="157"/>
              <w:rPr>
                <w:sz w:val="18"/>
                <w:szCs w:val="18"/>
              </w:rPr>
            </w:pPr>
            <w:r>
              <w:rPr>
                <w:spacing w:val="-2"/>
                <w:sz w:val="18"/>
                <w:szCs w:val="18"/>
              </w:rPr>
              <w:t>335</w:t>
            </w:r>
          </w:p>
        </w:tc>
        <w:tc>
          <w:tcPr>
            <w:tcW w:w="606" w:type="dxa"/>
            <w:vAlign w:val="top"/>
          </w:tcPr>
          <w:p w14:paraId="3C70676B">
            <w:pPr>
              <w:pStyle w:val="6"/>
              <w:spacing w:before="103" w:line="207" w:lineRule="auto"/>
              <w:ind w:left="154"/>
              <w:rPr>
                <w:sz w:val="18"/>
                <w:szCs w:val="18"/>
              </w:rPr>
            </w:pPr>
            <w:r>
              <w:rPr>
                <w:spacing w:val="-1"/>
                <w:sz w:val="18"/>
                <w:szCs w:val="18"/>
              </w:rPr>
              <w:t>475</w:t>
            </w:r>
          </w:p>
        </w:tc>
        <w:tc>
          <w:tcPr>
            <w:tcW w:w="606" w:type="dxa"/>
            <w:vAlign w:val="top"/>
          </w:tcPr>
          <w:p w14:paraId="7DD169B8">
            <w:pPr>
              <w:pStyle w:val="6"/>
              <w:spacing w:before="103" w:line="207" w:lineRule="auto"/>
              <w:ind w:left="172"/>
              <w:rPr>
                <w:sz w:val="18"/>
                <w:szCs w:val="18"/>
              </w:rPr>
            </w:pPr>
            <w:r>
              <w:rPr>
                <w:spacing w:val="-5"/>
                <w:sz w:val="18"/>
                <w:szCs w:val="18"/>
              </w:rPr>
              <w:t>101</w:t>
            </w:r>
          </w:p>
        </w:tc>
        <w:tc>
          <w:tcPr>
            <w:tcW w:w="606" w:type="dxa"/>
            <w:vAlign w:val="top"/>
          </w:tcPr>
          <w:p w14:paraId="18C6ED8D">
            <w:pPr>
              <w:pStyle w:val="6"/>
              <w:spacing w:before="106" w:line="186" w:lineRule="auto"/>
              <w:ind w:left="162"/>
              <w:rPr>
                <w:sz w:val="18"/>
                <w:szCs w:val="18"/>
              </w:rPr>
            </w:pPr>
            <w:r>
              <w:rPr>
                <w:spacing w:val="-5"/>
                <w:sz w:val="18"/>
                <w:szCs w:val="18"/>
              </w:rPr>
              <w:t>10L</w:t>
            </w:r>
          </w:p>
        </w:tc>
        <w:tc>
          <w:tcPr>
            <w:tcW w:w="606" w:type="dxa"/>
            <w:vAlign w:val="top"/>
          </w:tcPr>
          <w:p w14:paraId="5A4355A8">
            <w:pPr>
              <w:pStyle w:val="6"/>
              <w:spacing w:before="103" w:line="207" w:lineRule="auto"/>
              <w:ind w:left="82"/>
              <w:rPr>
                <w:sz w:val="18"/>
                <w:szCs w:val="18"/>
              </w:rPr>
            </w:pPr>
            <w:r>
              <w:rPr>
                <w:spacing w:val="-2"/>
                <w:sz w:val="18"/>
                <w:szCs w:val="18"/>
              </w:rPr>
              <w:t>0.03L</w:t>
            </w:r>
          </w:p>
        </w:tc>
        <w:tc>
          <w:tcPr>
            <w:tcW w:w="605" w:type="dxa"/>
            <w:vAlign w:val="top"/>
          </w:tcPr>
          <w:p w14:paraId="3CA084FB">
            <w:pPr>
              <w:pStyle w:val="6"/>
              <w:spacing w:before="103" w:line="207" w:lineRule="auto"/>
              <w:ind w:left="83"/>
              <w:rPr>
                <w:sz w:val="18"/>
                <w:szCs w:val="18"/>
              </w:rPr>
            </w:pPr>
            <w:r>
              <w:rPr>
                <w:spacing w:val="-2"/>
                <w:sz w:val="18"/>
                <w:szCs w:val="18"/>
              </w:rPr>
              <w:t>0.02L</w:t>
            </w:r>
          </w:p>
        </w:tc>
        <w:tc>
          <w:tcPr>
            <w:tcW w:w="563" w:type="dxa"/>
            <w:vAlign w:val="top"/>
          </w:tcPr>
          <w:p w14:paraId="2B08BDA2">
            <w:pPr>
              <w:pStyle w:val="6"/>
              <w:spacing w:before="103" w:line="207" w:lineRule="auto"/>
              <w:ind w:left="63"/>
              <w:rPr>
                <w:sz w:val="18"/>
                <w:szCs w:val="18"/>
              </w:rPr>
            </w:pPr>
            <w:r>
              <w:rPr>
                <w:spacing w:val="-2"/>
                <w:sz w:val="18"/>
                <w:szCs w:val="18"/>
              </w:rPr>
              <w:t>0.01L</w:t>
            </w:r>
          </w:p>
        </w:tc>
        <w:tc>
          <w:tcPr>
            <w:tcW w:w="562" w:type="dxa"/>
            <w:vAlign w:val="top"/>
          </w:tcPr>
          <w:p w14:paraId="30F9115A">
            <w:pPr>
              <w:pStyle w:val="6"/>
              <w:spacing w:before="103" w:line="207" w:lineRule="auto"/>
              <w:ind w:left="74"/>
              <w:rPr>
                <w:sz w:val="18"/>
                <w:szCs w:val="18"/>
              </w:rPr>
            </w:pPr>
            <w:r>
              <w:rPr>
                <w:spacing w:val="-2"/>
                <w:sz w:val="18"/>
                <w:szCs w:val="18"/>
              </w:rPr>
              <w:t>0.073</w:t>
            </w:r>
          </w:p>
        </w:tc>
        <w:tc>
          <w:tcPr>
            <w:tcW w:w="696" w:type="dxa"/>
            <w:vAlign w:val="top"/>
          </w:tcPr>
          <w:p w14:paraId="42FB7096">
            <w:pPr>
              <w:pStyle w:val="6"/>
              <w:spacing w:before="103" w:line="207" w:lineRule="auto"/>
              <w:ind w:left="41"/>
              <w:rPr>
                <w:sz w:val="18"/>
                <w:szCs w:val="18"/>
              </w:rPr>
            </w:pPr>
            <w:r>
              <w:rPr>
                <w:spacing w:val="-1"/>
                <w:sz w:val="18"/>
                <w:szCs w:val="18"/>
              </w:rPr>
              <w:t>0.0003L</w:t>
            </w:r>
          </w:p>
        </w:tc>
        <w:tc>
          <w:tcPr>
            <w:tcW w:w="605" w:type="dxa"/>
            <w:vAlign w:val="top"/>
          </w:tcPr>
          <w:p w14:paraId="05431A8B">
            <w:pPr>
              <w:pStyle w:val="6"/>
              <w:spacing w:before="103" w:line="207" w:lineRule="auto"/>
              <w:ind w:left="87"/>
              <w:rPr>
                <w:sz w:val="18"/>
                <w:szCs w:val="18"/>
              </w:rPr>
            </w:pPr>
            <w:r>
              <w:rPr>
                <w:spacing w:val="-2"/>
                <w:sz w:val="18"/>
                <w:szCs w:val="18"/>
              </w:rPr>
              <w:t>0.05L</w:t>
            </w:r>
          </w:p>
        </w:tc>
        <w:tc>
          <w:tcPr>
            <w:tcW w:w="582" w:type="dxa"/>
            <w:vAlign w:val="top"/>
          </w:tcPr>
          <w:p w14:paraId="5C743302">
            <w:pPr>
              <w:pStyle w:val="6"/>
              <w:spacing w:before="103" w:line="207" w:lineRule="auto"/>
              <w:ind w:left="132"/>
              <w:rPr>
                <w:sz w:val="18"/>
                <w:szCs w:val="18"/>
              </w:rPr>
            </w:pPr>
            <w:r>
              <w:rPr>
                <w:spacing w:val="-2"/>
                <w:sz w:val="18"/>
                <w:szCs w:val="18"/>
              </w:rPr>
              <w:t>0.02</w:t>
            </w:r>
          </w:p>
        </w:tc>
        <w:tc>
          <w:tcPr>
            <w:tcW w:w="583" w:type="dxa"/>
            <w:vAlign w:val="top"/>
          </w:tcPr>
          <w:p w14:paraId="513CC42F">
            <w:pPr>
              <w:pStyle w:val="6"/>
              <w:spacing w:before="103" w:line="207" w:lineRule="auto"/>
              <w:ind w:left="148"/>
              <w:rPr>
                <w:sz w:val="18"/>
                <w:szCs w:val="18"/>
              </w:rPr>
            </w:pPr>
            <w:r>
              <w:rPr>
                <w:spacing w:val="-6"/>
                <w:sz w:val="18"/>
                <w:szCs w:val="18"/>
              </w:rPr>
              <w:t>1.69</w:t>
            </w:r>
          </w:p>
        </w:tc>
        <w:tc>
          <w:tcPr>
            <w:tcW w:w="582" w:type="dxa"/>
            <w:vAlign w:val="top"/>
          </w:tcPr>
          <w:p w14:paraId="2835A568">
            <w:pPr>
              <w:pStyle w:val="6"/>
              <w:spacing w:before="103" w:line="207" w:lineRule="auto"/>
              <w:ind w:left="33"/>
              <w:rPr>
                <w:sz w:val="18"/>
                <w:szCs w:val="18"/>
              </w:rPr>
            </w:pPr>
            <w:r>
              <w:rPr>
                <w:spacing w:val="-2"/>
                <w:sz w:val="18"/>
                <w:szCs w:val="18"/>
              </w:rPr>
              <w:t>0.003L</w:t>
            </w:r>
          </w:p>
        </w:tc>
        <w:tc>
          <w:tcPr>
            <w:tcW w:w="582" w:type="dxa"/>
            <w:vAlign w:val="top"/>
          </w:tcPr>
          <w:p w14:paraId="29AF05EE">
            <w:pPr>
              <w:pStyle w:val="6"/>
              <w:spacing w:before="103" w:line="207" w:lineRule="auto"/>
              <w:ind w:left="90"/>
              <w:rPr>
                <w:sz w:val="18"/>
                <w:szCs w:val="18"/>
              </w:rPr>
            </w:pPr>
            <w:r>
              <w:rPr>
                <w:spacing w:val="-2"/>
                <w:sz w:val="18"/>
                <w:szCs w:val="18"/>
              </w:rPr>
              <w:t>0.027</w:t>
            </w:r>
          </w:p>
        </w:tc>
        <w:tc>
          <w:tcPr>
            <w:tcW w:w="582" w:type="dxa"/>
            <w:vAlign w:val="top"/>
          </w:tcPr>
          <w:p w14:paraId="47C863A3">
            <w:pPr>
              <w:pStyle w:val="6"/>
              <w:spacing w:before="103" w:line="207" w:lineRule="auto"/>
              <w:ind w:left="80"/>
              <w:rPr>
                <w:sz w:val="18"/>
                <w:szCs w:val="18"/>
              </w:rPr>
            </w:pPr>
            <w:r>
              <w:rPr>
                <w:spacing w:val="-2"/>
                <w:sz w:val="18"/>
                <w:szCs w:val="18"/>
              </w:rPr>
              <w:t>0.05L</w:t>
            </w:r>
          </w:p>
        </w:tc>
        <w:tc>
          <w:tcPr>
            <w:tcW w:w="581" w:type="dxa"/>
            <w:vAlign w:val="top"/>
          </w:tcPr>
          <w:p w14:paraId="08CBFCD6">
            <w:pPr>
              <w:pStyle w:val="6"/>
              <w:spacing w:before="103" w:line="207" w:lineRule="auto"/>
              <w:ind w:left="37"/>
              <w:rPr>
                <w:sz w:val="18"/>
                <w:szCs w:val="18"/>
              </w:rPr>
            </w:pPr>
            <w:r>
              <w:rPr>
                <w:spacing w:val="-2"/>
                <w:sz w:val="18"/>
                <w:szCs w:val="18"/>
              </w:rPr>
              <w:t>0.004L</w:t>
            </w:r>
          </w:p>
        </w:tc>
        <w:tc>
          <w:tcPr>
            <w:tcW w:w="851" w:type="dxa"/>
            <w:vAlign w:val="top"/>
          </w:tcPr>
          <w:p w14:paraId="2E861517">
            <w:pPr>
              <w:pStyle w:val="6"/>
              <w:spacing w:before="103" w:line="207" w:lineRule="auto"/>
              <w:ind w:left="139"/>
              <w:rPr>
                <w:sz w:val="18"/>
                <w:szCs w:val="18"/>
              </w:rPr>
            </w:pPr>
            <w:r>
              <w:rPr>
                <w:spacing w:val="-1"/>
                <w:sz w:val="18"/>
                <w:szCs w:val="18"/>
              </w:rPr>
              <w:t>0.00016</w:t>
            </w:r>
          </w:p>
        </w:tc>
        <w:tc>
          <w:tcPr>
            <w:tcW w:w="644" w:type="dxa"/>
            <w:vAlign w:val="top"/>
          </w:tcPr>
          <w:p w14:paraId="17D00F82">
            <w:pPr>
              <w:pStyle w:val="6"/>
              <w:spacing w:before="103" w:line="207" w:lineRule="auto"/>
              <w:ind w:left="81"/>
              <w:rPr>
                <w:sz w:val="18"/>
                <w:szCs w:val="18"/>
              </w:rPr>
            </w:pPr>
            <w:r>
              <w:rPr>
                <w:spacing w:val="-2"/>
                <w:sz w:val="18"/>
                <w:szCs w:val="18"/>
              </w:rPr>
              <w:t>0.0030</w:t>
            </w:r>
          </w:p>
        </w:tc>
        <w:tc>
          <w:tcPr>
            <w:tcW w:w="639" w:type="dxa"/>
            <w:vAlign w:val="top"/>
          </w:tcPr>
          <w:p w14:paraId="08185127">
            <w:pPr>
              <w:pStyle w:val="6"/>
              <w:spacing w:before="103" w:line="207" w:lineRule="auto"/>
              <w:ind w:left="22"/>
              <w:rPr>
                <w:sz w:val="18"/>
                <w:szCs w:val="18"/>
              </w:rPr>
            </w:pPr>
            <w:r>
              <w:rPr>
                <w:spacing w:val="-1"/>
                <w:sz w:val="18"/>
                <w:szCs w:val="18"/>
              </w:rPr>
              <w:t>0.0004L</w:t>
            </w:r>
          </w:p>
        </w:tc>
        <w:tc>
          <w:tcPr>
            <w:tcW w:w="640" w:type="dxa"/>
            <w:vAlign w:val="top"/>
          </w:tcPr>
          <w:p w14:paraId="0A3B16F2">
            <w:pPr>
              <w:pStyle w:val="6"/>
              <w:spacing w:before="103" w:line="207" w:lineRule="auto"/>
              <w:ind w:left="70"/>
              <w:rPr>
                <w:sz w:val="18"/>
                <w:szCs w:val="18"/>
              </w:rPr>
            </w:pPr>
            <w:r>
              <w:rPr>
                <w:spacing w:val="-2"/>
                <w:sz w:val="18"/>
                <w:szCs w:val="18"/>
              </w:rPr>
              <w:t>0.001L</w:t>
            </w:r>
          </w:p>
        </w:tc>
        <w:tc>
          <w:tcPr>
            <w:tcW w:w="639" w:type="dxa"/>
            <w:vAlign w:val="top"/>
          </w:tcPr>
          <w:p w14:paraId="016F659B">
            <w:pPr>
              <w:pStyle w:val="6"/>
              <w:spacing w:before="103" w:line="207" w:lineRule="auto"/>
              <w:ind w:left="69"/>
              <w:rPr>
                <w:sz w:val="18"/>
                <w:szCs w:val="18"/>
              </w:rPr>
            </w:pPr>
            <w:r>
              <w:rPr>
                <w:spacing w:val="-2"/>
                <w:sz w:val="18"/>
                <w:szCs w:val="18"/>
              </w:rPr>
              <w:t>0.004L</w:t>
            </w:r>
          </w:p>
        </w:tc>
        <w:tc>
          <w:tcPr>
            <w:tcW w:w="639" w:type="dxa"/>
            <w:vAlign w:val="top"/>
          </w:tcPr>
          <w:p w14:paraId="6986ECA9">
            <w:pPr>
              <w:pStyle w:val="6"/>
              <w:spacing w:before="103" w:line="207" w:lineRule="auto"/>
              <w:ind w:left="114"/>
              <w:rPr>
                <w:sz w:val="18"/>
                <w:szCs w:val="18"/>
              </w:rPr>
            </w:pPr>
            <w:r>
              <w:rPr>
                <w:spacing w:val="-2"/>
                <w:sz w:val="18"/>
                <w:szCs w:val="18"/>
              </w:rPr>
              <w:t>0.01L</w:t>
            </w:r>
          </w:p>
        </w:tc>
        <w:tc>
          <w:tcPr>
            <w:tcW w:w="640" w:type="dxa"/>
            <w:vAlign w:val="top"/>
          </w:tcPr>
          <w:p w14:paraId="0E309B5D">
            <w:pPr>
              <w:pStyle w:val="6"/>
              <w:spacing w:before="103" w:line="207" w:lineRule="auto"/>
              <w:ind w:left="72"/>
              <w:rPr>
                <w:sz w:val="18"/>
                <w:szCs w:val="18"/>
              </w:rPr>
            </w:pPr>
            <w:r>
              <w:rPr>
                <w:spacing w:val="-2"/>
                <w:sz w:val="18"/>
                <w:szCs w:val="18"/>
              </w:rPr>
              <w:t>0.009L</w:t>
            </w:r>
          </w:p>
        </w:tc>
        <w:tc>
          <w:tcPr>
            <w:tcW w:w="827" w:type="dxa"/>
            <w:vAlign w:val="top"/>
          </w:tcPr>
          <w:p w14:paraId="29318E68">
            <w:pPr>
              <w:pStyle w:val="6"/>
              <w:spacing w:before="103" w:line="207" w:lineRule="auto"/>
              <w:ind w:left="285"/>
              <w:rPr>
                <w:sz w:val="18"/>
                <w:szCs w:val="18"/>
              </w:rPr>
            </w:pPr>
            <w:r>
              <w:rPr>
                <w:spacing w:val="-1"/>
                <w:sz w:val="18"/>
                <w:szCs w:val="18"/>
              </w:rPr>
              <w:t>220</w:t>
            </w:r>
          </w:p>
        </w:tc>
        <w:tc>
          <w:tcPr>
            <w:tcW w:w="457" w:type="dxa"/>
            <w:vAlign w:val="top"/>
          </w:tcPr>
          <w:p w14:paraId="377A0BB6">
            <w:pPr>
              <w:pStyle w:val="6"/>
              <w:spacing w:before="103" w:line="207" w:lineRule="auto"/>
              <w:ind w:left="99"/>
              <w:rPr>
                <w:sz w:val="18"/>
                <w:szCs w:val="18"/>
              </w:rPr>
            </w:pPr>
            <w:r>
              <w:rPr>
                <w:spacing w:val="-1"/>
                <w:sz w:val="18"/>
                <w:szCs w:val="18"/>
              </w:rPr>
              <w:t>497</w:t>
            </w:r>
          </w:p>
        </w:tc>
        <w:tc>
          <w:tcPr>
            <w:tcW w:w="533" w:type="dxa"/>
            <w:vAlign w:val="top"/>
          </w:tcPr>
          <w:p w14:paraId="29E14A76">
            <w:pPr>
              <w:pStyle w:val="6"/>
              <w:spacing w:before="103" w:line="207" w:lineRule="auto"/>
              <w:ind w:left="120"/>
              <w:rPr>
                <w:sz w:val="18"/>
                <w:szCs w:val="18"/>
              </w:rPr>
            </w:pPr>
            <w:r>
              <w:rPr>
                <w:spacing w:val="-2"/>
                <w:sz w:val="18"/>
                <w:szCs w:val="18"/>
              </w:rPr>
              <w:t>0.72</w:t>
            </w:r>
          </w:p>
        </w:tc>
        <w:tc>
          <w:tcPr>
            <w:tcW w:w="533" w:type="dxa"/>
            <w:vAlign w:val="top"/>
          </w:tcPr>
          <w:p w14:paraId="06DB7A34">
            <w:pPr>
              <w:pStyle w:val="6"/>
              <w:spacing w:before="103" w:line="207" w:lineRule="auto"/>
              <w:ind w:left="122"/>
              <w:rPr>
                <w:sz w:val="18"/>
                <w:szCs w:val="18"/>
              </w:rPr>
            </w:pPr>
            <w:r>
              <w:rPr>
                <w:spacing w:val="-2"/>
                <w:sz w:val="18"/>
                <w:szCs w:val="18"/>
              </w:rPr>
              <w:t>3.82</w:t>
            </w:r>
          </w:p>
        </w:tc>
        <w:tc>
          <w:tcPr>
            <w:tcW w:w="533" w:type="dxa"/>
            <w:vAlign w:val="top"/>
          </w:tcPr>
          <w:p w14:paraId="6CDBE81C">
            <w:pPr>
              <w:pStyle w:val="6"/>
              <w:spacing w:before="103" w:line="207" w:lineRule="auto"/>
              <w:ind w:left="123"/>
              <w:rPr>
                <w:sz w:val="18"/>
                <w:szCs w:val="18"/>
              </w:rPr>
            </w:pPr>
            <w:r>
              <w:rPr>
                <w:spacing w:val="-2"/>
                <w:sz w:val="18"/>
                <w:szCs w:val="18"/>
              </w:rPr>
              <w:t>6.43</w:t>
            </w:r>
          </w:p>
        </w:tc>
        <w:tc>
          <w:tcPr>
            <w:tcW w:w="533" w:type="dxa"/>
            <w:vAlign w:val="top"/>
          </w:tcPr>
          <w:p w14:paraId="44588C13">
            <w:pPr>
              <w:pStyle w:val="6"/>
              <w:spacing w:before="103" w:line="207" w:lineRule="auto"/>
              <w:ind w:left="124"/>
              <w:rPr>
                <w:sz w:val="18"/>
                <w:szCs w:val="18"/>
              </w:rPr>
            </w:pPr>
            <w:r>
              <w:rPr>
                <w:spacing w:val="-2"/>
                <w:sz w:val="18"/>
                <w:szCs w:val="18"/>
              </w:rPr>
              <w:t>64.9</w:t>
            </w:r>
          </w:p>
        </w:tc>
        <w:tc>
          <w:tcPr>
            <w:tcW w:w="524" w:type="dxa"/>
            <w:tcBorders>
              <w:right w:val="single" w:color="000000" w:sz="12" w:space="0"/>
            </w:tcBorders>
            <w:vAlign w:val="top"/>
          </w:tcPr>
          <w:p w14:paraId="1C627DE3">
            <w:pPr>
              <w:pStyle w:val="6"/>
              <w:spacing w:before="103" w:line="207" w:lineRule="auto"/>
              <w:ind w:left="105"/>
              <w:rPr>
                <w:sz w:val="18"/>
                <w:szCs w:val="18"/>
              </w:rPr>
            </w:pPr>
            <w:r>
              <w:rPr>
                <w:spacing w:val="-1"/>
                <w:sz w:val="18"/>
                <w:szCs w:val="18"/>
              </w:rPr>
              <w:t>21.9</w:t>
            </w:r>
          </w:p>
        </w:tc>
      </w:tr>
      <w:tr w14:paraId="11CFE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418" w:type="dxa"/>
            <w:vMerge w:val="continue"/>
            <w:tcBorders>
              <w:top w:val="nil"/>
              <w:left w:val="single" w:color="000000" w:sz="12" w:space="0"/>
              <w:bottom w:val="nil"/>
            </w:tcBorders>
            <w:vAlign w:val="top"/>
          </w:tcPr>
          <w:p w14:paraId="06F41F5A">
            <w:pPr>
              <w:rPr>
                <w:rFonts w:ascii="Arial"/>
                <w:sz w:val="21"/>
              </w:rPr>
            </w:pPr>
          </w:p>
        </w:tc>
        <w:tc>
          <w:tcPr>
            <w:tcW w:w="245" w:type="dxa"/>
            <w:vMerge w:val="continue"/>
            <w:tcBorders>
              <w:top w:val="nil"/>
            </w:tcBorders>
            <w:vAlign w:val="top"/>
          </w:tcPr>
          <w:p w14:paraId="224ACF17">
            <w:pPr>
              <w:rPr>
                <w:rFonts w:ascii="Arial"/>
                <w:sz w:val="21"/>
              </w:rPr>
            </w:pPr>
          </w:p>
        </w:tc>
        <w:tc>
          <w:tcPr>
            <w:tcW w:w="929" w:type="dxa"/>
            <w:vAlign w:val="top"/>
          </w:tcPr>
          <w:p w14:paraId="1BF52613">
            <w:pPr>
              <w:pStyle w:val="6"/>
              <w:spacing w:before="102" w:line="207" w:lineRule="auto"/>
              <w:ind w:left="128"/>
              <w:rPr>
                <w:sz w:val="18"/>
                <w:szCs w:val="18"/>
              </w:rPr>
            </w:pPr>
            <w:r>
              <w:rPr>
                <w:spacing w:val="-1"/>
                <w:sz w:val="18"/>
                <w:szCs w:val="18"/>
              </w:rPr>
              <w:t>2019/8/8</w:t>
            </w:r>
          </w:p>
        </w:tc>
        <w:tc>
          <w:tcPr>
            <w:tcW w:w="606" w:type="dxa"/>
            <w:vAlign w:val="top"/>
          </w:tcPr>
          <w:p w14:paraId="59BA0D6F">
            <w:pPr>
              <w:pStyle w:val="6"/>
              <w:spacing w:before="102" w:line="207" w:lineRule="auto"/>
              <w:ind w:left="133"/>
              <w:rPr>
                <w:sz w:val="18"/>
                <w:szCs w:val="18"/>
              </w:rPr>
            </w:pPr>
            <w:r>
              <w:rPr>
                <w:spacing w:val="-2"/>
                <w:sz w:val="18"/>
                <w:szCs w:val="18"/>
              </w:rPr>
              <w:t>6.93</w:t>
            </w:r>
          </w:p>
        </w:tc>
        <w:tc>
          <w:tcPr>
            <w:tcW w:w="606" w:type="dxa"/>
            <w:vAlign w:val="top"/>
          </w:tcPr>
          <w:p w14:paraId="20E8E10F">
            <w:pPr>
              <w:pStyle w:val="6"/>
              <w:spacing w:before="102" w:line="207" w:lineRule="auto"/>
              <w:ind w:left="157"/>
              <w:rPr>
                <w:sz w:val="18"/>
                <w:szCs w:val="18"/>
              </w:rPr>
            </w:pPr>
            <w:r>
              <w:rPr>
                <w:spacing w:val="-2"/>
                <w:sz w:val="18"/>
                <w:szCs w:val="18"/>
              </w:rPr>
              <w:t>316</w:t>
            </w:r>
          </w:p>
        </w:tc>
        <w:tc>
          <w:tcPr>
            <w:tcW w:w="606" w:type="dxa"/>
            <w:vAlign w:val="top"/>
          </w:tcPr>
          <w:p w14:paraId="635D201D">
            <w:pPr>
              <w:pStyle w:val="6"/>
              <w:spacing w:before="102" w:line="207" w:lineRule="auto"/>
              <w:ind w:left="154"/>
              <w:rPr>
                <w:sz w:val="18"/>
                <w:szCs w:val="18"/>
              </w:rPr>
            </w:pPr>
            <w:r>
              <w:rPr>
                <w:spacing w:val="-1"/>
                <w:sz w:val="18"/>
                <w:szCs w:val="18"/>
              </w:rPr>
              <w:t>458</w:t>
            </w:r>
          </w:p>
        </w:tc>
        <w:tc>
          <w:tcPr>
            <w:tcW w:w="606" w:type="dxa"/>
            <w:vAlign w:val="top"/>
          </w:tcPr>
          <w:p w14:paraId="4CDB925F">
            <w:pPr>
              <w:pStyle w:val="6"/>
              <w:spacing w:before="102" w:line="207" w:lineRule="auto"/>
              <w:ind w:left="202"/>
              <w:rPr>
                <w:sz w:val="18"/>
                <w:szCs w:val="18"/>
              </w:rPr>
            </w:pPr>
            <w:r>
              <w:rPr>
                <w:spacing w:val="-2"/>
                <w:sz w:val="18"/>
                <w:szCs w:val="18"/>
              </w:rPr>
              <w:t>96</w:t>
            </w:r>
          </w:p>
        </w:tc>
        <w:tc>
          <w:tcPr>
            <w:tcW w:w="606" w:type="dxa"/>
            <w:vAlign w:val="top"/>
          </w:tcPr>
          <w:p w14:paraId="206BF5C8">
            <w:pPr>
              <w:pStyle w:val="6"/>
              <w:spacing w:before="105" w:line="186" w:lineRule="auto"/>
              <w:ind w:left="162"/>
              <w:rPr>
                <w:sz w:val="18"/>
                <w:szCs w:val="18"/>
              </w:rPr>
            </w:pPr>
            <w:r>
              <w:rPr>
                <w:spacing w:val="-5"/>
                <w:sz w:val="18"/>
                <w:szCs w:val="18"/>
              </w:rPr>
              <w:t>10L</w:t>
            </w:r>
          </w:p>
        </w:tc>
        <w:tc>
          <w:tcPr>
            <w:tcW w:w="606" w:type="dxa"/>
            <w:vAlign w:val="top"/>
          </w:tcPr>
          <w:p w14:paraId="6B650C19">
            <w:pPr>
              <w:pStyle w:val="6"/>
              <w:spacing w:before="102" w:line="207" w:lineRule="auto"/>
              <w:ind w:left="82"/>
              <w:rPr>
                <w:sz w:val="18"/>
                <w:szCs w:val="18"/>
              </w:rPr>
            </w:pPr>
            <w:r>
              <w:rPr>
                <w:spacing w:val="-2"/>
                <w:sz w:val="18"/>
                <w:szCs w:val="18"/>
              </w:rPr>
              <w:t>0.03L</w:t>
            </w:r>
          </w:p>
        </w:tc>
        <w:tc>
          <w:tcPr>
            <w:tcW w:w="605" w:type="dxa"/>
            <w:vAlign w:val="top"/>
          </w:tcPr>
          <w:p w14:paraId="1BE6995C">
            <w:pPr>
              <w:pStyle w:val="6"/>
              <w:spacing w:before="102" w:line="207" w:lineRule="auto"/>
              <w:ind w:left="83"/>
              <w:rPr>
                <w:sz w:val="18"/>
                <w:szCs w:val="18"/>
              </w:rPr>
            </w:pPr>
            <w:r>
              <w:rPr>
                <w:spacing w:val="-2"/>
                <w:sz w:val="18"/>
                <w:szCs w:val="18"/>
              </w:rPr>
              <w:t>0.02L</w:t>
            </w:r>
          </w:p>
        </w:tc>
        <w:tc>
          <w:tcPr>
            <w:tcW w:w="563" w:type="dxa"/>
            <w:vAlign w:val="top"/>
          </w:tcPr>
          <w:p w14:paraId="52B6711C">
            <w:pPr>
              <w:pStyle w:val="6"/>
              <w:spacing w:before="102" w:line="207" w:lineRule="auto"/>
              <w:ind w:left="63"/>
              <w:rPr>
                <w:sz w:val="18"/>
                <w:szCs w:val="18"/>
              </w:rPr>
            </w:pPr>
            <w:r>
              <w:rPr>
                <w:spacing w:val="-2"/>
                <w:sz w:val="18"/>
                <w:szCs w:val="18"/>
              </w:rPr>
              <w:t>0.01L</w:t>
            </w:r>
          </w:p>
        </w:tc>
        <w:tc>
          <w:tcPr>
            <w:tcW w:w="562" w:type="dxa"/>
            <w:vAlign w:val="top"/>
          </w:tcPr>
          <w:p w14:paraId="3C158EE0">
            <w:pPr>
              <w:pStyle w:val="6"/>
              <w:spacing w:before="102" w:line="207" w:lineRule="auto"/>
              <w:ind w:left="74"/>
              <w:rPr>
                <w:sz w:val="18"/>
                <w:szCs w:val="18"/>
              </w:rPr>
            </w:pPr>
            <w:r>
              <w:rPr>
                <w:spacing w:val="-2"/>
                <w:sz w:val="18"/>
                <w:szCs w:val="18"/>
              </w:rPr>
              <w:t>0.073</w:t>
            </w:r>
          </w:p>
        </w:tc>
        <w:tc>
          <w:tcPr>
            <w:tcW w:w="696" w:type="dxa"/>
            <w:vAlign w:val="top"/>
          </w:tcPr>
          <w:p w14:paraId="48270267">
            <w:pPr>
              <w:pStyle w:val="6"/>
              <w:spacing w:before="102" w:line="207" w:lineRule="auto"/>
              <w:ind w:left="41"/>
              <w:rPr>
                <w:sz w:val="18"/>
                <w:szCs w:val="18"/>
              </w:rPr>
            </w:pPr>
            <w:r>
              <w:rPr>
                <w:spacing w:val="-1"/>
                <w:sz w:val="18"/>
                <w:szCs w:val="18"/>
              </w:rPr>
              <w:t>0.0003L</w:t>
            </w:r>
          </w:p>
        </w:tc>
        <w:tc>
          <w:tcPr>
            <w:tcW w:w="605" w:type="dxa"/>
            <w:vAlign w:val="top"/>
          </w:tcPr>
          <w:p w14:paraId="12D33EE2">
            <w:pPr>
              <w:pStyle w:val="6"/>
              <w:spacing w:before="102" w:line="207" w:lineRule="auto"/>
              <w:ind w:left="87"/>
              <w:rPr>
                <w:sz w:val="18"/>
                <w:szCs w:val="18"/>
              </w:rPr>
            </w:pPr>
            <w:r>
              <w:rPr>
                <w:spacing w:val="-2"/>
                <w:sz w:val="18"/>
                <w:szCs w:val="18"/>
              </w:rPr>
              <w:t>0.05L</w:t>
            </w:r>
          </w:p>
        </w:tc>
        <w:tc>
          <w:tcPr>
            <w:tcW w:w="582" w:type="dxa"/>
            <w:vAlign w:val="top"/>
          </w:tcPr>
          <w:p w14:paraId="3564B88E">
            <w:pPr>
              <w:pStyle w:val="6"/>
              <w:spacing w:before="102" w:line="207" w:lineRule="auto"/>
              <w:ind w:left="132"/>
              <w:rPr>
                <w:sz w:val="18"/>
                <w:szCs w:val="18"/>
              </w:rPr>
            </w:pPr>
            <w:r>
              <w:rPr>
                <w:spacing w:val="-2"/>
                <w:sz w:val="18"/>
                <w:szCs w:val="18"/>
              </w:rPr>
              <w:t>0.01</w:t>
            </w:r>
          </w:p>
        </w:tc>
        <w:tc>
          <w:tcPr>
            <w:tcW w:w="583" w:type="dxa"/>
            <w:vAlign w:val="top"/>
          </w:tcPr>
          <w:p w14:paraId="7D0DA52A">
            <w:pPr>
              <w:pStyle w:val="6"/>
              <w:spacing w:before="102" w:line="207" w:lineRule="auto"/>
              <w:ind w:left="148"/>
              <w:rPr>
                <w:sz w:val="18"/>
                <w:szCs w:val="18"/>
              </w:rPr>
            </w:pPr>
            <w:r>
              <w:rPr>
                <w:spacing w:val="-6"/>
                <w:sz w:val="18"/>
                <w:szCs w:val="18"/>
              </w:rPr>
              <w:t>1.76</w:t>
            </w:r>
          </w:p>
        </w:tc>
        <w:tc>
          <w:tcPr>
            <w:tcW w:w="582" w:type="dxa"/>
            <w:vAlign w:val="top"/>
          </w:tcPr>
          <w:p w14:paraId="309B80E4">
            <w:pPr>
              <w:pStyle w:val="6"/>
              <w:spacing w:before="102" w:line="207" w:lineRule="auto"/>
              <w:ind w:left="33"/>
              <w:rPr>
                <w:sz w:val="18"/>
                <w:szCs w:val="18"/>
              </w:rPr>
            </w:pPr>
            <w:r>
              <w:rPr>
                <w:spacing w:val="-2"/>
                <w:sz w:val="18"/>
                <w:szCs w:val="18"/>
              </w:rPr>
              <w:t>0.003L</w:t>
            </w:r>
          </w:p>
        </w:tc>
        <w:tc>
          <w:tcPr>
            <w:tcW w:w="582" w:type="dxa"/>
            <w:vAlign w:val="top"/>
          </w:tcPr>
          <w:p w14:paraId="2903E5E0">
            <w:pPr>
              <w:pStyle w:val="6"/>
              <w:spacing w:before="102" w:line="207" w:lineRule="auto"/>
              <w:ind w:left="90"/>
              <w:rPr>
                <w:sz w:val="18"/>
                <w:szCs w:val="18"/>
              </w:rPr>
            </w:pPr>
            <w:r>
              <w:rPr>
                <w:spacing w:val="-2"/>
                <w:sz w:val="18"/>
                <w:szCs w:val="18"/>
              </w:rPr>
              <w:t>0.029</w:t>
            </w:r>
          </w:p>
        </w:tc>
        <w:tc>
          <w:tcPr>
            <w:tcW w:w="582" w:type="dxa"/>
            <w:vAlign w:val="top"/>
          </w:tcPr>
          <w:p w14:paraId="2134F31F">
            <w:pPr>
              <w:pStyle w:val="6"/>
              <w:spacing w:before="102" w:line="207" w:lineRule="auto"/>
              <w:ind w:left="80"/>
              <w:rPr>
                <w:sz w:val="18"/>
                <w:szCs w:val="18"/>
              </w:rPr>
            </w:pPr>
            <w:r>
              <w:rPr>
                <w:spacing w:val="-2"/>
                <w:sz w:val="18"/>
                <w:szCs w:val="18"/>
              </w:rPr>
              <w:t>0.05L</w:t>
            </w:r>
          </w:p>
        </w:tc>
        <w:tc>
          <w:tcPr>
            <w:tcW w:w="581" w:type="dxa"/>
            <w:vAlign w:val="top"/>
          </w:tcPr>
          <w:p w14:paraId="3A57ECBB">
            <w:pPr>
              <w:pStyle w:val="6"/>
              <w:spacing w:before="102" w:line="207" w:lineRule="auto"/>
              <w:ind w:left="37"/>
              <w:rPr>
                <w:sz w:val="18"/>
                <w:szCs w:val="18"/>
              </w:rPr>
            </w:pPr>
            <w:r>
              <w:rPr>
                <w:spacing w:val="-2"/>
                <w:sz w:val="18"/>
                <w:szCs w:val="18"/>
              </w:rPr>
              <w:t>0.004L</w:t>
            </w:r>
          </w:p>
        </w:tc>
        <w:tc>
          <w:tcPr>
            <w:tcW w:w="851" w:type="dxa"/>
            <w:vAlign w:val="top"/>
          </w:tcPr>
          <w:p w14:paraId="2FC43C95">
            <w:pPr>
              <w:pStyle w:val="6"/>
              <w:spacing w:before="102" w:line="207" w:lineRule="auto"/>
              <w:ind w:left="139"/>
              <w:rPr>
                <w:sz w:val="18"/>
                <w:szCs w:val="18"/>
              </w:rPr>
            </w:pPr>
            <w:r>
              <w:rPr>
                <w:spacing w:val="-1"/>
                <w:sz w:val="18"/>
                <w:szCs w:val="18"/>
              </w:rPr>
              <w:t>0.00015</w:t>
            </w:r>
          </w:p>
        </w:tc>
        <w:tc>
          <w:tcPr>
            <w:tcW w:w="644" w:type="dxa"/>
            <w:vAlign w:val="top"/>
          </w:tcPr>
          <w:p w14:paraId="48F2C477">
            <w:pPr>
              <w:pStyle w:val="6"/>
              <w:spacing w:before="102" w:line="207" w:lineRule="auto"/>
              <w:ind w:left="81"/>
              <w:rPr>
                <w:sz w:val="18"/>
                <w:szCs w:val="18"/>
              </w:rPr>
            </w:pPr>
            <w:r>
              <w:rPr>
                <w:spacing w:val="-2"/>
                <w:sz w:val="18"/>
                <w:szCs w:val="18"/>
              </w:rPr>
              <w:t>0.0029</w:t>
            </w:r>
          </w:p>
        </w:tc>
        <w:tc>
          <w:tcPr>
            <w:tcW w:w="639" w:type="dxa"/>
            <w:vAlign w:val="top"/>
          </w:tcPr>
          <w:p w14:paraId="656CF3DA">
            <w:pPr>
              <w:pStyle w:val="6"/>
              <w:spacing w:before="102" w:line="207" w:lineRule="auto"/>
              <w:ind w:left="22"/>
              <w:rPr>
                <w:sz w:val="18"/>
                <w:szCs w:val="18"/>
              </w:rPr>
            </w:pPr>
            <w:r>
              <w:rPr>
                <w:spacing w:val="-1"/>
                <w:sz w:val="18"/>
                <w:szCs w:val="18"/>
              </w:rPr>
              <w:t>0.0004L</w:t>
            </w:r>
          </w:p>
        </w:tc>
        <w:tc>
          <w:tcPr>
            <w:tcW w:w="640" w:type="dxa"/>
            <w:vAlign w:val="top"/>
          </w:tcPr>
          <w:p w14:paraId="1F9D8F9F">
            <w:pPr>
              <w:pStyle w:val="6"/>
              <w:spacing w:before="102" w:line="207" w:lineRule="auto"/>
              <w:ind w:left="70"/>
              <w:rPr>
                <w:sz w:val="18"/>
                <w:szCs w:val="18"/>
              </w:rPr>
            </w:pPr>
            <w:r>
              <w:rPr>
                <w:spacing w:val="-2"/>
                <w:sz w:val="18"/>
                <w:szCs w:val="18"/>
              </w:rPr>
              <w:t>0.001L</w:t>
            </w:r>
          </w:p>
        </w:tc>
        <w:tc>
          <w:tcPr>
            <w:tcW w:w="639" w:type="dxa"/>
            <w:vAlign w:val="top"/>
          </w:tcPr>
          <w:p w14:paraId="04FA7EBD">
            <w:pPr>
              <w:pStyle w:val="6"/>
              <w:spacing w:before="102" w:line="207" w:lineRule="auto"/>
              <w:ind w:left="69"/>
              <w:rPr>
                <w:sz w:val="18"/>
                <w:szCs w:val="18"/>
              </w:rPr>
            </w:pPr>
            <w:r>
              <w:rPr>
                <w:spacing w:val="-2"/>
                <w:sz w:val="18"/>
                <w:szCs w:val="18"/>
              </w:rPr>
              <w:t>0.004L</w:t>
            </w:r>
          </w:p>
        </w:tc>
        <w:tc>
          <w:tcPr>
            <w:tcW w:w="639" w:type="dxa"/>
            <w:vAlign w:val="top"/>
          </w:tcPr>
          <w:p w14:paraId="5ADD91D9">
            <w:pPr>
              <w:pStyle w:val="6"/>
              <w:spacing w:before="102" w:line="207" w:lineRule="auto"/>
              <w:ind w:left="114"/>
              <w:rPr>
                <w:sz w:val="18"/>
                <w:szCs w:val="18"/>
              </w:rPr>
            </w:pPr>
            <w:r>
              <w:rPr>
                <w:spacing w:val="-2"/>
                <w:sz w:val="18"/>
                <w:szCs w:val="18"/>
              </w:rPr>
              <w:t>0.01L</w:t>
            </w:r>
          </w:p>
        </w:tc>
        <w:tc>
          <w:tcPr>
            <w:tcW w:w="640" w:type="dxa"/>
            <w:vAlign w:val="top"/>
          </w:tcPr>
          <w:p w14:paraId="07872474">
            <w:pPr>
              <w:pStyle w:val="6"/>
              <w:spacing w:before="102" w:line="207" w:lineRule="auto"/>
              <w:ind w:left="72"/>
              <w:rPr>
                <w:sz w:val="18"/>
                <w:szCs w:val="18"/>
              </w:rPr>
            </w:pPr>
            <w:r>
              <w:rPr>
                <w:spacing w:val="-2"/>
                <w:sz w:val="18"/>
                <w:szCs w:val="18"/>
              </w:rPr>
              <w:t>0.009L</w:t>
            </w:r>
          </w:p>
        </w:tc>
        <w:tc>
          <w:tcPr>
            <w:tcW w:w="827" w:type="dxa"/>
            <w:vAlign w:val="top"/>
          </w:tcPr>
          <w:p w14:paraId="525EA214">
            <w:pPr>
              <w:pStyle w:val="6"/>
              <w:spacing w:before="102" w:line="207" w:lineRule="auto"/>
              <w:ind w:left="285"/>
              <w:rPr>
                <w:sz w:val="18"/>
                <w:szCs w:val="18"/>
              </w:rPr>
            </w:pPr>
            <w:r>
              <w:rPr>
                <w:spacing w:val="-1"/>
                <w:sz w:val="18"/>
                <w:szCs w:val="18"/>
              </w:rPr>
              <w:t>230</w:t>
            </w:r>
          </w:p>
        </w:tc>
        <w:tc>
          <w:tcPr>
            <w:tcW w:w="457" w:type="dxa"/>
            <w:vAlign w:val="top"/>
          </w:tcPr>
          <w:p w14:paraId="61C5E59C">
            <w:pPr>
              <w:pStyle w:val="6"/>
              <w:spacing w:before="102" w:line="207" w:lineRule="auto"/>
              <w:ind w:left="99"/>
              <w:rPr>
                <w:sz w:val="18"/>
                <w:szCs w:val="18"/>
              </w:rPr>
            </w:pPr>
            <w:r>
              <w:rPr>
                <w:spacing w:val="-1"/>
                <w:sz w:val="18"/>
                <w:szCs w:val="18"/>
              </w:rPr>
              <w:t>486</w:t>
            </w:r>
          </w:p>
        </w:tc>
        <w:tc>
          <w:tcPr>
            <w:tcW w:w="533" w:type="dxa"/>
            <w:vAlign w:val="top"/>
          </w:tcPr>
          <w:p w14:paraId="3F6A4698">
            <w:pPr>
              <w:pStyle w:val="6"/>
              <w:spacing w:before="102" w:line="207" w:lineRule="auto"/>
              <w:ind w:left="120"/>
              <w:rPr>
                <w:sz w:val="18"/>
                <w:szCs w:val="18"/>
              </w:rPr>
            </w:pPr>
            <w:r>
              <w:rPr>
                <w:spacing w:val="-2"/>
                <w:sz w:val="18"/>
                <w:szCs w:val="18"/>
              </w:rPr>
              <w:t>0.68</w:t>
            </w:r>
          </w:p>
        </w:tc>
        <w:tc>
          <w:tcPr>
            <w:tcW w:w="533" w:type="dxa"/>
            <w:vAlign w:val="top"/>
          </w:tcPr>
          <w:p w14:paraId="0783088A">
            <w:pPr>
              <w:pStyle w:val="6"/>
              <w:spacing w:before="102" w:line="207" w:lineRule="auto"/>
              <w:ind w:left="135"/>
              <w:rPr>
                <w:sz w:val="18"/>
                <w:szCs w:val="18"/>
              </w:rPr>
            </w:pPr>
            <w:r>
              <w:rPr>
                <w:spacing w:val="-6"/>
                <w:sz w:val="18"/>
                <w:szCs w:val="18"/>
              </w:rPr>
              <w:t>1.34</w:t>
            </w:r>
          </w:p>
        </w:tc>
        <w:tc>
          <w:tcPr>
            <w:tcW w:w="533" w:type="dxa"/>
            <w:vAlign w:val="top"/>
          </w:tcPr>
          <w:p w14:paraId="2EC18E29">
            <w:pPr>
              <w:pStyle w:val="6"/>
              <w:spacing w:before="102" w:line="207" w:lineRule="auto"/>
              <w:ind w:left="123"/>
              <w:rPr>
                <w:sz w:val="18"/>
                <w:szCs w:val="18"/>
              </w:rPr>
            </w:pPr>
            <w:r>
              <w:rPr>
                <w:spacing w:val="-2"/>
                <w:sz w:val="18"/>
                <w:szCs w:val="18"/>
              </w:rPr>
              <w:t>6.56</w:t>
            </w:r>
          </w:p>
        </w:tc>
        <w:tc>
          <w:tcPr>
            <w:tcW w:w="533" w:type="dxa"/>
            <w:vAlign w:val="top"/>
          </w:tcPr>
          <w:p w14:paraId="5FC5D803">
            <w:pPr>
              <w:pStyle w:val="6"/>
              <w:spacing w:before="102" w:line="207" w:lineRule="auto"/>
              <w:ind w:left="124"/>
              <w:rPr>
                <w:sz w:val="18"/>
                <w:szCs w:val="18"/>
              </w:rPr>
            </w:pPr>
            <w:r>
              <w:rPr>
                <w:spacing w:val="-2"/>
                <w:sz w:val="18"/>
                <w:szCs w:val="18"/>
              </w:rPr>
              <w:t>64.5</w:t>
            </w:r>
          </w:p>
        </w:tc>
        <w:tc>
          <w:tcPr>
            <w:tcW w:w="524" w:type="dxa"/>
            <w:tcBorders>
              <w:right w:val="single" w:color="000000" w:sz="12" w:space="0"/>
            </w:tcBorders>
            <w:vAlign w:val="top"/>
          </w:tcPr>
          <w:p w14:paraId="5E7AF276">
            <w:pPr>
              <w:pStyle w:val="6"/>
              <w:spacing w:before="102" w:line="207" w:lineRule="auto"/>
              <w:ind w:left="105"/>
              <w:rPr>
                <w:sz w:val="18"/>
                <w:szCs w:val="18"/>
              </w:rPr>
            </w:pPr>
            <w:r>
              <w:rPr>
                <w:spacing w:val="-1"/>
                <w:sz w:val="18"/>
                <w:szCs w:val="18"/>
              </w:rPr>
              <w:t>21.9</w:t>
            </w:r>
          </w:p>
        </w:tc>
      </w:tr>
      <w:tr w14:paraId="612C7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7480FBD7">
            <w:pPr>
              <w:rPr>
                <w:rFonts w:ascii="Arial"/>
                <w:sz w:val="21"/>
              </w:rPr>
            </w:pPr>
          </w:p>
        </w:tc>
        <w:tc>
          <w:tcPr>
            <w:tcW w:w="245" w:type="dxa"/>
            <w:vMerge w:val="restart"/>
            <w:tcBorders>
              <w:bottom w:val="nil"/>
            </w:tcBorders>
            <w:vAlign w:val="top"/>
          </w:tcPr>
          <w:p w14:paraId="316A7F97">
            <w:pPr>
              <w:pStyle w:val="6"/>
              <w:spacing w:before="162" w:line="226" w:lineRule="auto"/>
              <w:ind w:left="60"/>
              <w:rPr>
                <w:sz w:val="18"/>
                <w:szCs w:val="18"/>
              </w:rPr>
            </w:pPr>
            <w:r>
              <w:rPr>
                <w:sz w:val="18"/>
                <w:szCs w:val="18"/>
              </w:rPr>
              <w:t>4</w:t>
            </w:r>
          </w:p>
          <w:p w14:paraId="47B93312">
            <w:pPr>
              <w:spacing w:line="226" w:lineRule="auto"/>
              <w:ind w:left="19"/>
              <w:rPr>
                <w:rFonts w:ascii="等线" w:hAnsi="等线" w:eastAsia="等线" w:cs="等线"/>
                <w:sz w:val="18"/>
                <w:szCs w:val="18"/>
              </w:rPr>
            </w:pPr>
            <w:r>
              <w:rPr>
                <w:rFonts w:ascii="等线" w:hAnsi="等线" w:eastAsia="等线" w:cs="等线"/>
                <w:sz w:val="18"/>
                <w:szCs w:val="18"/>
              </w:rPr>
              <w:t>季</w:t>
            </w:r>
          </w:p>
          <w:p w14:paraId="3756A20F">
            <w:pPr>
              <w:spacing w:before="14" w:line="226" w:lineRule="auto"/>
              <w:ind w:left="20"/>
              <w:rPr>
                <w:rFonts w:ascii="等线" w:hAnsi="等线" w:eastAsia="等线" w:cs="等线"/>
                <w:sz w:val="18"/>
                <w:szCs w:val="18"/>
              </w:rPr>
            </w:pPr>
            <w:r>
              <w:rPr>
                <w:rFonts w:ascii="等线" w:hAnsi="等线" w:eastAsia="等线" w:cs="等线"/>
                <w:sz w:val="18"/>
                <w:szCs w:val="18"/>
              </w:rPr>
              <w:t>度</w:t>
            </w:r>
          </w:p>
        </w:tc>
        <w:tc>
          <w:tcPr>
            <w:tcW w:w="929" w:type="dxa"/>
            <w:vAlign w:val="top"/>
          </w:tcPr>
          <w:p w14:paraId="6D65F9DA">
            <w:pPr>
              <w:pStyle w:val="6"/>
              <w:spacing w:before="104" w:line="206" w:lineRule="auto"/>
              <w:ind w:left="83"/>
              <w:rPr>
                <w:sz w:val="18"/>
                <w:szCs w:val="18"/>
              </w:rPr>
            </w:pPr>
            <w:r>
              <w:rPr>
                <w:spacing w:val="-1"/>
                <w:sz w:val="18"/>
                <w:szCs w:val="18"/>
              </w:rPr>
              <w:t>2019/11/9</w:t>
            </w:r>
          </w:p>
        </w:tc>
        <w:tc>
          <w:tcPr>
            <w:tcW w:w="606" w:type="dxa"/>
            <w:vAlign w:val="top"/>
          </w:tcPr>
          <w:p w14:paraId="68665E46">
            <w:pPr>
              <w:pStyle w:val="6"/>
              <w:spacing w:before="104" w:line="206" w:lineRule="auto"/>
              <w:ind w:left="132"/>
              <w:rPr>
                <w:sz w:val="18"/>
                <w:szCs w:val="18"/>
              </w:rPr>
            </w:pPr>
            <w:r>
              <w:rPr>
                <w:spacing w:val="-2"/>
                <w:sz w:val="18"/>
                <w:szCs w:val="18"/>
              </w:rPr>
              <w:t>7.02</w:t>
            </w:r>
          </w:p>
        </w:tc>
        <w:tc>
          <w:tcPr>
            <w:tcW w:w="606" w:type="dxa"/>
            <w:vAlign w:val="top"/>
          </w:tcPr>
          <w:p w14:paraId="6FACC1F9">
            <w:pPr>
              <w:pStyle w:val="6"/>
              <w:spacing w:before="104" w:line="206" w:lineRule="auto"/>
              <w:ind w:left="153"/>
              <w:rPr>
                <w:sz w:val="18"/>
                <w:szCs w:val="18"/>
              </w:rPr>
            </w:pPr>
            <w:r>
              <w:rPr>
                <w:spacing w:val="-1"/>
                <w:sz w:val="18"/>
                <w:szCs w:val="18"/>
              </w:rPr>
              <w:t>256</w:t>
            </w:r>
          </w:p>
        </w:tc>
        <w:tc>
          <w:tcPr>
            <w:tcW w:w="606" w:type="dxa"/>
            <w:vAlign w:val="top"/>
          </w:tcPr>
          <w:p w14:paraId="2BB934A8">
            <w:pPr>
              <w:pStyle w:val="6"/>
              <w:spacing w:before="104" w:line="206" w:lineRule="auto"/>
              <w:ind w:left="158"/>
              <w:rPr>
                <w:sz w:val="18"/>
                <w:szCs w:val="18"/>
              </w:rPr>
            </w:pPr>
            <w:r>
              <w:rPr>
                <w:spacing w:val="-2"/>
                <w:sz w:val="18"/>
                <w:szCs w:val="18"/>
              </w:rPr>
              <w:t>356</w:t>
            </w:r>
          </w:p>
        </w:tc>
        <w:tc>
          <w:tcPr>
            <w:tcW w:w="606" w:type="dxa"/>
            <w:vAlign w:val="top"/>
          </w:tcPr>
          <w:p w14:paraId="040539CD">
            <w:pPr>
              <w:pStyle w:val="6"/>
              <w:spacing w:before="107" w:line="186" w:lineRule="auto"/>
              <w:ind w:left="196"/>
              <w:rPr>
                <w:sz w:val="18"/>
                <w:szCs w:val="18"/>
              </w:rPr>
            </w:pPr>
            <w:r>
              <w:rPr>
                <w:spacing w:val="-3"/>
                <w:sz w:val="18"/>
                <w:szCs w:val="18"/>
              </w:rPr>
              <w:t>8L</w:t>
            </w:r>
          </w:p>
        </w:tc>
        <w:tc>
          <w:tcPr>
            <w:tcW w:w="606" w:type="dxa"/>
            <w:vAlign w:val="top"/>
          </w:tcPr>
          <w:p w14:paraId="3DE8AFD5">
            <w:pPr>
              <w:pStyle w:val="6"/>
              <w:spacing w:before="107" w:line="186" w:lineRule="auto"/>
              <w:ind w:left="162"/>
              <w:rPr>
                <w:sz w:val="18"/>
                <w:szCs w:val="18"/>
              </w:rPr>
            </w:pPr>
            <w:r>
              <w:rPr>
                <w:spacing w:val="-5"/>
                <w:sz w:val="18"/>
                <w:szCs w:val="18"/>
              </w:rPr>
              <w:t>10L</w:t>
            </w:r>
          </w:p>
        </w:tc>
        <w:tc>
          <w:tcPr>
            <w:tcW w:w="606" w:type="dxa"/>
            <w:vAlign w:val="top"/>
          </w:tcPr>
          <w:p w14:paraId="31F3C9BE">
            <w:pPr>
              <w:pStyle w:val="6"/>
              <w:spacing w:before="104" w:line="206" w:lineRule="auto"/>
              <w:ind w:left="82"/>
              <w:rPr>
                <w:sz w:val="18"/>
                <w:szCs w:val="18"/>
              </w:rPr>
            </w:pPr>
            <w:r>
              <w:rPr>
                <w:spacing w:val="-2"/>
                <w:sz w:val="18"/>
                <w:szCs w:val="18"/>
              </w:rPr>
              <w:t>0.03L</w:t>
            </w:r>
          </w:p>
        </w:tc>
        <w:tc>
          <w:tcPr>
            <w:tcW w:w="605" w:type="dxa"/>
            <w:vAlign w:val="top"/>
          </w:tcPr>
          <w:p w14:paraId="7635EFF9">
            <w:pPr>
              <w:pStyle w:val="6"/>
              <w:spacing w:before="104" w:line="206" w:lineRule="auto"/>
              <w:ind w:left="83"/>
              <w:rPr>
                <w:sz w:val="18"/>
                <w:szCs w:val="18"/>
              </w:rPr>
            </w:pPr>
            <w:r>
              <w:rPr>
                <w:spacing w:val="-2"/>
                <w:sz w:val="18"/>
                <w:szCs w:val="18"/>
              </w:rPr>
              <w:t>0.02L</w:t>
            </w:r>
          </w:p>
        </w:tc>
        <w:tc>
          <w:tcPr>
            <w:tcW w:w="563" w:type="dxa"/>
            <w:vAlign w:val="top"/>
          </w:tcPr>
          <w:p w14:paraId="0AB666A7">
            <w:pPr>
              <w:pStyle w:val="6"/>
              <w:spacing w:before="104" w:line="206" w:lineRule="auto"/>
              <w:ind w:left="63"/>
              <w:rPr>
                <w:sz w:val="18"/>
                <w:szCs w:val="18"/>
              </w:rPr>
            </w:pPr>
            <w:r>
              <w:rPr>
                <w:spacing w:val="-2"/>
                <w:sz w:val="18"/>
                <w:szCs w:val="18"/>
              </w:rPr>
              <w:t>0.01L</w:t>
            </w:r>
          </w:p>
        </w:tc>
        <w:tc>
          <w:tcPr>
            <w:tcW w:w="562" w:type="dxa"/>
            <w:vAlign w:val="top"/>
          </w:tcPr>
          <w:p w14:paraId="2B761604">
            <w:pPr>
              <w:pStyle w:val="6"/>
              <w:spacing w:before="104" w:line="206" w:lineRule="auto"/>
              <w:ind w:left="19"/>
              <w:rPr>
                <w:sz w:val="18"/>
                <w:szCs w:val="18"/>
              </w:rPr>
            </w:pPr>
            <w:r>
              <w:rPr>
                <w:spacing w:val="-2"/>
                <w:sz w:val="18"/>
                <w:szCs w:val="18"/>
              </w:rPr>
              <w:t>0.006L</w:t>
            </w:r>
          </w:p>
        </w:tc>
        <w:tc>
          <w:tcPr>
            <w:tcW w:w="696" w:type="dxa"/>
            <w:vAlign w:val="top"/>
          </w:tcPr>
          <w:p w14:paraId="447ACF45">
            <w:pPr>
              <w:pStyle w:val="6"/>
              <w:spacing w:before="104" w:line="206" w:lineRule="auto"/>
              <w:ind w:left="41"/>
              <w:rPr>
                <w:sz w:val="18"/>
                <w:szCs w:val="18"/>
              </w:rPr>
            </w:pPr>
            <w:r>
              <w:rPr>
                <w:spacing w:val="-1"/>
                <w:sz w:val="18"/>
                <w:szCs w:val="18"/>
              </w:rPr>
              <w:t>0.0003L</w:t>
            </w:r>
          </w:p>
        </w:tc>
        <w:tc>
          <w:tcPr>
            <w:tcW w:w="605" w:type="dxa"/>
            <w:vAlign w:val="top"/>
          </w:tcPr>
          <w:p w14:paraId="627FA58C">
            <w:pPr>
              <w:pStyle w:val="6"/>
              <w:spacing w:before="104" w:line="206" w:lineRule="auto"/>
              <w:ind w:left="98"/>
              <w:rPr>
                <w:sz w:val="18"/>
                <w:szCs w:val="18"/>
              </w:rPr>
            </w:pPr>
            <w:r>
              <w:rPr>
                <w:spacing w:val="-2"/>
                <w:sz w:val="18"/>
                <w:szCs w:val="18"/>
              </w:rPr>
              <w:t>0.096</w:t>
            </w:r>
          </w:p>
        </w:tc>
        <w:tc>
          <w:tcPr>
            <w:tcW w:w="582" w:type="dxa"/>
            <w:vAlign w:val="top"/>
          </w:tcPr>
          <w:p w14:paraId="03A1740B">
            <w:pPr>
              <w:pStyle w:val="6"/>
              <w:spacing w:before="104" w:line="206" w:lineRule="auto"/>
              <w:ind w:left="132"/>
              <w:rPr>
                <w:sz w:val="18"/>
                <w:szCs w:val="18"/>
              </w:rPr>
            </w:pPr>
            <w:r>
              <w:rPr>
                <w:spacing w:val="-2"/>
                <w:sz w:val="18"/>
                <w:szCs w:val="18"/>
              </w:rPr>
              <w:t>0.02</w:t>
            </w:r>
          </w:p>
        </w:tc>
        <w:tc>
          <w:tcPr>
            <w:tcW w:w="583" w:type="dxa"/>
            <w:vAlign w:val="top"/>
          </w:tcPr>
          <w:p w14:paraId="19B32554">
            <w:pPr>
              <w:pStyle w:val="6"/>
              <w:spacing w:before="104" w:line="206" w:lineRule="auto"/>
              <w:ind w:left="148"/>
              <w:rPr>
                <w:sz w:val="18"/>
                <w:szCs w:val="18"/>
              </w:rPr>
            </w:pPr>
            <w:r>
              <w:rPr>
                <w:spacing w:val="-6"/>
                <w:sz w:val="18"/>
                <w:szCs w:val="18"/>
              </w:rPr>
              <w:t>1.96</w:t>
            </w:r>
          </w:p>
        </w:tc>
        <w:tc>
          <w:tcPr>
            <w:tcW w:w="582" w:type="dxa"/>
            <w:vAlign w:val="top"/>
          </w:tcPr>
          <w:p w14:paraId="5E428212">
            <w:pPr>
              <w:pStyle w:val="6"/>
              <w:spacing w:before="104" w:line="206" w:lineRule="auto"/>
              <w:ind w:left="33"/>
              <w:rPr>
                <w:sz w:val="18"/>
                <w:szCs w:val="18"/>
              </w:rPr>
            </w:pPr>
            <w:r>
              <w:rPr>
                <w:spacing w:val="-2"/>
                <w:sz w:val="18"/>
                <w:szCs w:val="18"/>
              </w:rPr>
              <w:t>0.003L</w:t>
            </w:r>
          </w:p>
        </w:tc>
        <w:tc>
          <w:tcPr>
            <w:tcW w:w="582" w:type="dxa"/>
            <w:vAlign w:val="top"/>
          </w:tcPr>
          <w:p w14:paraId="2F1B54C3">
            <w:pPr>
              <w:pStyle w:val="6"/>
              <w:spacing w:before="104" w:line="206" w:lineRule="auto"/>
              <w:ind w:left="90"/>
              <w:rPr>
                <w:sz w:val="18"/>
                <w:szCs w:val="18"/>
              </w:rPr>
            </w:pPr>
            <w:r>
              <w:rPr>
                <w:spacing w:val="-2"/>
                <w:sz w:val="18"/>
                <w:szCs w:val="18"/>
              </w:rPr>
              <w:t>0.261</w:t>
            </w:r>
          </w:p>
        </w:tc>
        <w:tc>
          <w:tcPr>
            <w:tcW w:w="582" w:type="dxa"/>
            <w:vAlign w:val="top"/>
          </w:tcPr>
          <w:p w14:paraId="0D43A387">
            <w:pPr>
              <w:pStyle w:val="6"/>
              <w:spacing w:before="104" w:line="206" w:lineRule="auto"/>
              <w:ind w:left="135"/>
              <w:rPr>
                <w:sz w:val="18"/>
                <w:szCs w:val="18"/>
              </w:rPr>
            </w:pPr>
            <w:r>
              <w:rPr>
                <w:spacing w:val="-2"/>
                <w:sz w:val="18"/>
                <w:szCs w:val="18"/>
              </w:rPr>
              <w:t>0.39</w:t>
            </w:r>
          </w:p>
        </w:tc>
        <w:tc>
          <w:tcPr>
            <w:tcW w:w="581" w:type="dxa"/>
            <w:vAlign w:val="top"/>
          </w:tcPr>
          <w:p w14:paraId="78CB9518">
            <w:pPr>
              <w:pStyle w:val="6"/>
              <w:spacing w:before="104" w:line="206" w:lineRule="auto"/>
              <w:ind w:left="37"/>
              <w:rPr>
                <w:sz w:val="18"/>
                <w:szCs w:val="18"/>
              </w:rPr>
            </w:pPr>
            <w:r>
              <w:rPr>
                <w:spacing w:val="-2"/>
                <w:sz w:val="18"/>
                <w:szCs w:val="18"/>
              </w:rPr>
              <w:t>0.004L</w:t>
            </w:r>
          </w:p>
        </w:tc>
        <w:tc>
          <w:tcPr>
            <w:tcW w:w="851" w:type="dxa"/>
            <w:vAlign w:val="top"/>
          </w:tcPr>
          <w:p w14:paraId="1E026AD5">
            <w:pPr>
              <w:pStyle w:val="6"/>
              <w:spacing w:before="104" w:line="206" w:lineRule="auto"/>
              <w:ind w:left="83"/>
              <w:rPr>
                <w:sz w:val="18"/>
                <w:szCs w:val="18"/>
              </w:rPr>
            </w:pPr>
            <w:r>
              <w:rPr>
                <w:spacing w:val="-1"/>
                <w:sz w:val="18"/>
                <w:szCs w:val="18"/>
              </w:rPr>
              <w:t>0.00004L</w:t>
            </w:r>
          </w:p>
        </w:tc>
        <w:tc>
          <w:tcPr>
            <w:tcW w:w="644" w:type="dxa"/>
            <w:vAlign w:val="top"/>
          </w:tcPr>
          <w:p w14:paraId="5C5A27DF">
            <w:pPr>
              <w:pStyle w:val="6"/>
              <w:spacing w:before="104" w:line="206" w:lineRule="auto"/>
              <w:ind w:left="81"/>
              <w:rPr>
                <w:sz w:val="18"/>
                <w:szCs w:val="18"/>
              </w:rPr>
            </w:pPr>
            <w:r>
              <w:rPr>
                <w:spacing w:val="-2"/>
                <w:sz w:val="18"/>
                <w:szCs w:val="18"/>
              </w:rPr>
              <w:t>0.0006</w:t>
            </w:r>
          </w:p>
        </w:tc>
        <w:tc>
          <w:tcPr>
            <w:tcW w:w="639" w:type="dxa"/>
            <w:vAlign w:val="top"/>
          </w:tcPr>
          <w:p w14:paraId="0E9A3A99">
            <w:pPr>
              <w:pStyle w:val="6"/>
              <w:spacing w:before="104" w:line="206" w:lineRule="auto"/>
              <w:ind w:left="22"/>
              <w:rPr>
                <w:sz w:val="18"/>
                <w:szCs w:val="18"/>
              </w:rPr>
            </w:pPr>
            <w:r>
              <w:rPr>
                <w:spacing w:val="-1"/>
                <w:sz w:val="18"/>
                <w:szCs w:val="18"/>
              </w:rPr>
              <w:t>0.0004L</w:t>
            </w:r>
          </w:p>
        </w:tc>
        <w:tc>
          <w:tcPr>
            <w:tcW w:w="640" w:type="dxa"/>
            <w:vAlign w:val="top"/>
          </w:tcPr>
          <w:p w14:paraId="1DBECD60">
            <w:pPr>
              <w:pStyle w:val="6"/>
              <w:spacing w:before="104" w:line="206" w:lineRule="auto"/>
              <w:ind w:left="70"/>
              <w:rPr>
                <w:sz w:val="18"/>
                <w:szCs w:val="18"/>
              </w:rPr>
            </w:pPr>
            <w:r>
              <w:rPr>
                <w:spacing w:val="-2"/>
                <w:sz w:val="18"/>
                <w:szCs w:val="18"/>
              </w:rPr>
              <w:t>0.001L</w:t>
            </w:r>
          </w:p>
        </w:tc>
        <w:tc>
          <w:tcPr>
            <w:tcW w:w="639" w:type="dxa"/>
            <w:vAlign w:val="top"/>
          </w:tcPr>
          <w:p w14:paraId="04E081D9">
            <w:pPr>
              <w:pStyle w:val="6"/>
              <w:spacing w:before="104" w:line="206" w:lineRule="auto"/>
              <w:ind w:left="69"/>
              <w:rPr>
                <w:sz w:val="18"/>
                <w:szCs w:val="18"/>
              </w:rPr>
            </w:pPr>
            <w:r>
              <w:rPr>
                <w:spacing w:val="-2"/>
                <w:sz w:val="18"/>
                <w:szCs w:val="18"/>
              </w:rPr>
              <w:t>0.004L</w:t>
            </w:r>
          </w:p>
        </w:tc>
        <w:tc>
          <w:tcPr>
            <w:tcW w:w="639" w:type="dxa"/>
            <w:vAlign w:val="top"/>
          </w:tcPr>
          <w:p w14:paraId="7B378C81">
            <w:pPr>
              <w:pStyle w:val="6"/>
              <w:spacing w:before="104" w:line="206" w:lineRule="auto"/>
              <w:ind w:left="114"/>
              <w:rPr>
                <w:sz w:val="18"/>
                <w:szCs w:val="18"/>
              </w:rPr>
            </w:pPr>
            <w:r>
              <w:rPr>
                <w:spacing w:val="-2"/>
                <w:sz w:val="18"/>
                <w:szCs w:val="18"/>
              </w:rPr>
              <w:t>0.01L</w:t>
            </w:r>
          </w:p>
        </w:tc>
        <w:tc>
          <w:tcPr>
            <w:tcW w:w="640" w:type="dxa"/>
            <w:vAlign w:val="top"/>
          </w:tcPr>
          <w:p w14:paraId="4619792B">
            <w:pPr>
              <w:pStyle w:val="6"/>
              <w:spacing w:before="104" w:line="206" w:lineRule="auto"/>
              <w:ind w:left="127"/>
              <w:rPr>
                <w:sz w:val="18"/>
                <w:szCs w:val="18"/>
              </w:rPr>
            </w:pPr>
            <w:r>
              <w:rPr>
                <w:spacing w:val="-2"/>
                <w:sz w:val="18"/>
                <w:szCs w:val="18"/>
              </w:rPr>
              <w:t>0.014</w:t>
            </w:r>
          </w:p>
        </w:tc>
        <w:tc>
          <w:tcPr>
            <w:tcW w:w="827" w:type="dxa"/>
            <w:vAlign w:val="top"/>
          </w:tcPr>
          <w:p w14:paraId="41D53069">
            <w:pPr>
              <w:pStyle w:val="6"/>
              <w:spacing w:before="104" w:line="206" w:lineRule="auto"/>
              <w:ind w:left="346"/>
              <w:rPr>
                <w:sz w:val="18"/>
                <w:szCs w:val="18"/>
              </w:rPr>
            </w:pPr>
            <w:r>
              <w:rPr>
                <w:spacing w:val="-6"/>
                <w:sz w:val="18"/>
                <w:szCs w:val="18"/>
              </w:rPr>
              <w:t>11</w:t>
            </w:r>
          </w:p>
        </w:tc>
        <w:tc>
          <w:tcPr>
            <w:tcW w:w="457" w:type="dxa"/>
            <w:vAlign w:val="top"/>
          </w:tcPr>
          <w:p w14:paraId="26D50650">
            <w:pPr>
              <w:pStyle w:val="6"/>
              <w:spacing w:before="104" w:line="206" w:lineRule="auto"/>
              <w:ind w:left="104"/>
              <w:rPr>
                <w:sz w:val="18"/>
                <w:szCs w:val="18"/>
              </w:rPr>
            </w:pPr>
            <w:r>
              <w:rPr>
                <w:spacing w:val="-2"/>
                <w:sz w:val="18"/>
                <w:szCs w:val="18"/>
              </w:rPr>
              <w:t>376</w:t>
            </w:r>
          </w:p>
        </w:tc>
        <w:tc>
          <w:tcPr>
            <w:tcW w:w="533" w:type="dxa"/>
            <w:vAlign w:val="top"/>
          </w:tcPr>
          <w:p w14:paraId="791C827B">
            <w:pPr>
              <w:pStyle w:val="6"/>
              <w:spacing w:before="104" w:line="206" w:lineRule="auto"/>
              <w:ind w:left="65"/>
              <w:rPr>
                <w:sz w:val="18"/>
                <w:szCs w:val="18"/>
              </w:rPr>
            </w:pPr>
            <w:r>
              <w:rPr>
                <w:spacing w:val="-2"/>
                <w:sz w:val="18"/>
                <w:szCs w:val="18"/>
              </w:rPr>
              <w:t>0.05L</w:t>
            </w:r>
          </w:p>
        </w:tc>
        <w:tc>
          <w:tcPr>
            <w:tcW w:w="533" w:type="dxa"/>
            <w:vAlign w:val="top"/>
          </w:tcPr>
          <w:p w14:paraId="7B15C566">
            <w:pPr>
              <w:pStyle w:val="6"/>
              <w:spacing w:before="104" w:line="206" w:lineRule="auto"/>
              <w:ind w:left="118"/>
              <w:rPr>
                <w:sz w:val="18"/>
                <w:szCs w:val="18"/>
              </w:rPr>
            </w:pPr>
            <w:r>
              <w:rPr>
                <w:spacing w:val="-1"/>
                <w:sz w:val="18"/>
                <w:szCs w:val="18"/>
              </w:rPr>
              <w:t>2.50</w:t>
            </w:r>
          </w:p>
        </w:tc>
        <w:tc>
          <w:tcPr>
            <w:tcW w:w="533" w:type="dxa"/>
            <w:vAlign w:val="top"/>
          </w:tcPr>
          <w:p w14:paraId="59397F29">
            <w:pPr>
              <w:pStyle w:val="6"/>
              <w:spacing w:before="104" w:line="206" w:lineRule="auto"/>
              <w:ind w:left="136"/>
              <w:rPr>
                <w:sz w:val="18"/>
                <w:szCs w:val="18"/>
              </w:rPr>
            </w:pPr>
            <w:r>
              <w:rPr>
                <w:spacing w:val="-6"/>
                <w:sz w:val="18"/>
                <w:szCs w:val="18"/>
              </w:rPr>
              <w:t>1.28</w:t>
            </w:r>
          </w:p>
        </w:tc>
        <w:tc>
          <w:tcPr>
            <w:tcW w:w="533" w:type="dxa"/>
            <w:vAlign w:val="top"/>
          </w:tcPr>
          <w:p w14:paraId="7AE4D832">
            <w:pPr>
              <w:pStyle w:val="6"/>
              <w:spacing w:before="104" w:line="206" w:lineRule="auto"/>
              <w:ind w:left="124"/>
              <w:rPr>
                <w:sz w:val="18"/>
                <w:szCs w:val="18"/>
              </w:rPr>
            </w:pPr>
            <w:r>
              <w:rPr>
                <w:spacing w:val="-2"/>
                <w:sz w:val="18"/>
                <w:szCs w:val="18"/>
              </w:rPr>
              <w:t>63.9</w:t>
            </w:r>
          </w:p>
        </w:tc>
        <w:tc>
          <w:tcPr>
            <w:tcW w:w="524" w:type="dxa"/>
            <w:tcBorders>
              <w:right w:val="single" w:color="000000" w:sz="12" w:space="0"/>
            </w:tcBorders>
            <w:vAlign w:val="top"/>
          </w:tcPr>
          <w:p w14:paraId="033BC725">
            <w:pPr>
              <w:pStyle w:val="6"/>
              <w:spacing w:before="104" w:line="206" w:lineRule="auto"/>
              <w:ind w:left="105"/>
              <w:rPr>
                <w:sz w:val="18"/>
                <w:szCs w:val="18"/>
              </w:rPr>
            </w:pPr>
            <w:r>
              <w:rPr>
                <w:spacing w:val="-1"/>
                <w:sz w:val="18"/>
                <w:szCs w:val="18"/>
              </w:rPr>
              <w:t>27.1</w:t>
            </w:r>
          </w:p>
        </w:tc>
      </w:tr>
      <w:tr w14:paraId="6D87A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8" w:type="dxa"/>
            <w:vMerge w:val="continue"/>
            <w:tcBorders>
              <w:top w:val="nil"/>
              <w:left w:val="single" w:color="000000" w:sz="12" w:space="0"/>
              <w:bottom w:val="nil"/>
            </w:tcBorders>
            <w:vAlign w:val="top"/>
          </w:tcPr>
          <w:p w14:paraId="7339FA01">
            <w:pPr>
              <w:rPr>
                <w:rFonts w:ascii="Arial"/>
                <w:sz w:val="21"/>
              </w:rPr>
            </w:pPr>
          </w:p>
        </w:tc>
        <w:tc>
          <w:tcPr>
            <w:tcW w:w="245" w:type="dxa"/>
            <w:vMerge w:val="continue"/>
            <w:tcBorders>
              <w:top w:val="nil"/>
              <w:bottom w:val="nil"/>
            </w:tcBorders>
            <w:vAlign w:val="top"/>
          </w:tcPr>
          <w:p w14:paraId="3B35F542">
            <w:pPr>
              <w:rPr>
                <w:rFonts w:ascii="Arial"/>
                <w:sz w:val="21"/>
              </w:rPr>
            </w:pPr>
          </w:p>
        </w:tc>
        <w:tc>
          <w:tcPr>
            <w:tcW w:w="929" w:type="dxa"/>
            <w:vAlign w:val="top"/>
          </w:tcPr>
          <w:p w14:paraId="3D2BCEF1">
            <w:pPr>
              <w:pStyle w:val="6"/>
              <w:spacing w:before="104" w:line="206" w:lineRule="auto"/>
              <w:ind w:left="38"/>
              <w:rPr>
                <w:sz w:val="18"/>
                <w:szCs w:val="18"/>
              </w:rPr>
            </w:pPr>
            <w:r>
              <w:rPr>
                <w:spacing w:val="-1"/>
                <w:sz w:val="18"/>
                <w:szCs w:val="18"/>
              </w:rPr>
              <w:t>2019/11/10</w:t>
            </w:r>
          </w:p>
        </w:tc>
        <w:tc>
          <w:tcPr>
            <w:tcW w:w="606" w:type="dxa"/>
            <w:vAlign w:val="top"/>
          </w:tcPr>
          <w:p w14:paraId="1E84AD9F">
            <w:pPr>
              <w:pStyle w:val="6"/>
              <w:spacing w:before="104" w:line="206" w:lineRule="auto"/>
              <w:ind w:left="133"/>
              <w:rPr>
                <w:sz w:val="18"/>
                <w:szCs w:val="18"/>
              </w:rPr>
            </w:pPr>
            <w:r>
              <w:rPr>
                <w:spacing w:val="-2"/>
                <w:sz w:val="18"/>
                <w:szCs w:val="18"/>
              </w:rPr>
              <w:t>6.97</w:t>
            </w:r>
          </w:p>
        </w:tc>
        <w:tc>
          <w:tcPr>
            <w:tcW w:w="606" w:type="dxa"/>
            <w:vAlign w:val="top"/>
          </w:tcPr>
          <w:p w14:paraId="554DD61A">
            <w:pPr>
              <w:pStyle w:val="6"/>
              <w:spacing w:before="104" w:line="206" w:lineRule="auto"/>
              <w:ind w:left="153"/>
              <w:rPr>
                <w:sz w:val="18"/>
                <w:szCs w:val="18"/>
              </w:rPr>
            </w:pPr>
            <w:r>
              <w:rPr>
                <w:spacing w:val="-1"/>
                <w:sz w:val="18"/>
                <w:szCs w:val="18"/>
              </w:rPr>
              <w:t>240</w:t>
            </w:r>
          </w:p>
        </w:tc>
        <w:tc>
          <w:tcPr>
            <w:tcW w:w="606" w:type="dxa"/>
            <w:vAlign w:val="top"/>
          </w:tcPr>
          <w:p w14:paraId="17782B69">
            <w:pPr>
              <w:pStyle w:val="6"/>
              <w:spacing w:before="104" w:line="206" w:lineRule="auto"/>
              <w:ind w:left="158"/>
              <w:rPr>
                <w:sz w:val="18"/>
                <w:szCs w:val="18"/>
              </w:rPr>
            </w:pPr>
            <w:r>
              <w:rPr>
                <w:spacing w:val="-2"/>
                <w:sz w:val="18"/>
                <w:szCs w:val="18"/>
              </w:rPr>
              <w:t>363</w:t>
            </w:r>
          </w:p>
        </w:tc>
        <w:tc>
          <w:tcPr>
            <w:tcW w:w="606" w:type="dxa"/>
            <w:vAlign w:val="top"/>
          </w:tcPr>
          <w:p w14:paraId="3AA9D4C9">
            <w:pPr>
              <w:pStyle w:val="6"/>
              <w:spacing w:before="107" w:line="186" w:lineRule="auto"/>
              <w:ind w:left="196"/>
              <w:rPr>
                <w:sz w:val="18"/>
                <w:szCs w:val="18"/>
              </w:rPr>
            </w:pPr>
            <w:r>
              <w:rPr>
                <w:spacing w:val="-3"/>
                <w:sz w:val="18"/>
                <w:szCs w:val="18"/>
              </w:rPr>
              <w:t>8L</w:t>
            </w:r>
          </w:p>
        </w:tc>
        <w:tc>
          <w:tcPr>
            <w:tcW w:w="606" w:type="dxa"/>
            <w:vAlign w:val="top"/>
          </w:tcPr>
          <w:p w14:paraId="4AF584E5">
            <w:pPr>
              <w:pStyle w:val="6"/>
              <w:spacing w:before="107" w:line="186" w:lineRule="auto"/>
              <w:ind w:left="162"/>
              <w:rPr>
                <w:sz w:val="18"/>
                <w:szCs w:val="18"/>
              </w:rPr>
            </w:pPr>
            <w:r>
              <w:rPr>
                <w:spacing w:val="-5"/>
                <w:sz w:val="18"/>
                <w:szCs w:val="18"/>
              </w:rPr>
              <w:t>10L</w:t>
            </w:r>
          </w:p>
        </w:tc>
        <w:tc>
          <w:tcPr>
            <w:tcW w:w="606" w:type="dxa"/>
            <w:vAlign w:val="top"/>
          </w:tcPr>
          <w:p w14:paraId="3C497A6B">
            <w:pPr>
              <w:pStyle w:val="6"/>
              <w:spacing w:before="104" w:line="206" w:lineRule="auto"/>
              <w:ind w:left="82"/>
              <w:rPr>
                <w:sz w:val="18"/>
                <w:szCs w:val="18"/>
              </w:rPr>
            </w:pPr>
            <w:r>
              <w:rPr>
                <w:spacing w:val="-2"/>
                <w:sz w:val="18"/>
                <w:szCs w:val="18"/>
              </w:rPr>
              <w:t>0.03L</w:t>
            </w:r>
          </w:p>
        </w:tc>
        <w:tc>
          <w:tcPr>
            <w:tcW w:w="605" w:type="dxa"/>
            <w:vAlign w:val="top"/>
          </w:tcPr>
          <w:p w14:paraId="122B392B">
            <w:pPr>
              <w:pStyle w:val="6"/>
              <w:spacing w:before="104" w:line="206" w:lineRule="auto"/>
              <w:ind w:left="83"/>
              <w:rPr>
                <w:sz w:val="18"/>
                <w:szCs w:val="18"/>
              </w:rPr>
            </w:pPr>
            <w:r>
              <w:rPr>
                <w:spacing w:val="-2"/>
                <w:sz w:val="18"/>
                <w:szCs w:val="18"/>
              </w:rPr>
              <w:t>0.02L</w:t>
            </w:r>
          </w:p>
        </w:tc>
        <w:tc>
          <w:tcPr>
            <w:tcW w:w="563" w:type="dxa"/>
            <w:vAlign w:val="top"/>
          </w:tcPr>
          <w:p w14:paraId="45D86866">
            <w:pPr>
              <w:pStyle w:val="6"/>
              <w:spacing w:before="104" w:line="206" w:lineRule="auto"/>
              <w:ind w:left="63"/>
              <w:rPr>
                <w:sz w:val="18"/>
                <w:szCs w:val="18"/>
              </w:rPr>
            </w:pPr>
            <w:r>
              <w:rPr>
                <w:spacing w:val="-2"/>
                <w:sz w:val="18"/>
                <w:szCs w:val="18"/>
              </w:rPr>
              <w:t>0.01L</w:t>
            </w:r>
          </w:p>
        </w:tc>
        <w:tc>
          <w:tcPr>
            <w:tcW w:w="562" w:type="dxa"/>
            <w:vAlign w:val="top"/>
          </w:tcPr>
          <w:p w14:paraId="207580AC">
            <w:pPr>
              <w:pStyle w:val="6"/>
              <w:spacing w:before="104" w:line="206" w:lineRule="auto"/>
              <w:ind w:left="19"/>
              <w:rPr>
                <w:sz w:val="18"/>
                <w:szCs w:val="18"/>
              </w:rPr>
            </w:pPr>
            <w:r>
              <w:rPr>
                <w:spacing w:val="-2"/>
                <w:sz w:val="18"/>
                <w:szCs w:val="18"/>
              </w:rPr>
              <w:t>0.006L</w:t>
            </w:r>
          </w:p>
        </w:tc>
        <w:tc>
          <w:tcPr>
            <w:tcW w:w="696" w:type="dxa"/>
            <w:vAlign w:val="top"/>
          </w:tcPr>
          <w:p w14:paraId="0A3EB7D3">
            <w:pPr>
              <w:pStyle w:val="6"/>
              <w:spacing w:before="104" w:line="206" w:lineRule="auto"/>
              <w:ind w:left="41"/>
              <w:rPr>
                <w:sz w:val="18"/>
                <w:szCs w:val="18"/>
              </w:rPr>
            </w:pPr>
            <w:r>
              <w:rPr>
                <w:spacing w:val="-1"/>
                <w:sz w:val="18"/>
                <w:szCs w:val="18"/>
              </w:rPr>
              <w:t>0.0003L</w:t>
            </w:r>
          </w:p>
        </w:tc>
        <w:tc>
          <w:tcPr>
            <w:tcW w:w="605" w:type="dxa"/>
            <w:vAlign w:val="top"/>
          </w:tcPr>
          <w:p w14:paraId="327EF428">
            <w:pPr>
              <w:pStyle w:val="6"/>
              <w:spacing w:before="104" w:line="206" w:lineRule="auto"/>
              <w:ind w:left="98"/>
              <w:rPr>
                <w:sz w:val="18"/>
                <w:szCs w:val="18"/>
              </w:rPr>
            </w:pPr>
            <w:r>
              <w:rPr>
                <w:spacing w:val="-2"/>
                <w:sz w:val="18"/>
                <w:szCs w:val="18"/>
              </w:rPr>
              <w:t>0.106</w:t>
            </w:r>
          </w:p>
        </w:tc>
        <w:tc>
          <w:tcPr>
            <w:tcW w:w="582" w:type="dxa"/>
            <w:vAlign w:val="top"/>
          </w:tcPr>
          <w:p w14:paraId="15595B11">
            <w:pPr>
              <w:pStyle w:val="6"/>
              <w:spacing w:before="104" w:line="206" w:lineRule="auto"/>
              <w:ind w:left="132"/>
              <w:rPr>
                <w:sz w:val="18"/>
                <w:szCs w:val="18"/>
              </w:rPr>
            </w:pPr>
            <w:r>
              <w:rPr>
                <w:spacing w:val="-2"/>
                <w:sz w:val="18"/>
                <w:szCs w:val="18"/>
              </w:rPr>
              <w:t>0.01</w:t>
            </w:r>
          </w:p>
        </w:tc>
        <w:tc>
          <w:tcPr>
            <w:tcW w:w="583" w:type="dxa"/>
            <w:vAlign w:val="top"/>
          </w:tcPr>
          <w:p w14:paraId="4E5B3C0B">
            <w:pPr>
              <w:pStyle w:val="6"/>
              <w:spacing w:before="104" w:line="206" w:lineRule="auto"/>
              <w:ind w:left="148"/>
              <w:rPr>
                <w:sz w:val="18"/>
                <w:szCs w:val="18"/>
              </w:rPr>
            </w:pPr>
            <w:r>
              <w:rPr>
                <w:spacing w:val="-6"/>
                <w:sz w:val="18"/>
                <w:szCs w:val="18"/>
              </w:rPr>
              <w:t>1.81</w:t>
            </w:r>
          </w:p>
        </w:tc>
        <w:tc>
          <w:tcPr>
            <w:tcW w:w="582" w:type="dxa"/>
            <w:vAlign w:val="top"/>
          </w:tcPr>
          <w:p w14:paraId="7C79821D">
            <w:pPr>
              <w:pStyle w:val="6"/>
              <w:spacing w:before="104" w:line="206" w:lineRule="auto"/>
              <w:ind w:left="33"/>
              <w:rPr>
                <w:sz w:val="18"/>
                <w:szCs w:val="18"/>
              </w:rPr>
            </w:pPr>
            <w:r>
              <w:rPr>
                <w:spacing w:val="-2"/>
                <w:sz w:val="18"/>
                <w:szCs w:val="18"/>
              </w:rPr>
              <w:t>0.003L</w:t>
            </w:r>
          </w:p>
        </w:tc>
        <w:tc>
          <w:tcPr>
            <w:tcW w:w="582" w:type="dxa"/>
            <w:vAlign w:val="top"/>
          </w:tcPr>
          <w:p w14:paraId="31E9FF55">
            <w:pPr>
              <w:pStyle w:val="6"/>
              <w:spacing w:before="104" w:line="206" w:lineRule="auto"/>
              <w:ind w:left="90"/>
              <w:rPr>
                <w:sz w:val="18"/>
                <w:szCs w:val="18"/>
              </w:rPr>
            </w:pPr>
            <w:r>
              <w:rPr>
                <w:spacing w:val="-2"/>
                <w:sz w:val="18"/>
                <w:szCs w:val="18"/>
              </w:rPr>
              <w:t>0.258</w:t>
            </w:r>
          </w:p>
        </w:tc>
        <w:tc>
          <w:tcPr>
            <w:tcW w:w="582" w:type="dxa"/>
            <w:vAlign w:val="top"/>
          </w:tcPr>
          <w:p w14:paraId="0E87D89C">
            <w:pPr>
              <w:pStyle w:val="6"/>
              <w:spacing w:before="104" w:line="206" w:lineRule="auto"/>
              <w:ind w:left="135"/>
              <w:rPr>
                <w:sz w:val="18"/>
                <w:szCs w:val="18"/>
              </w:rPr>
            </w:pPr>
            <w:r>
              <w:rPr>
                <w:spacing w:val="-2"/>
                <w:sz w:val="18"/>
                <w:szCs w:val="18"/>
              </w:rPr>
              <w:t>0.41</w:t>
            </w:r>
          </w:p>
        </w:tc>
        <w:tc>
          <w:tcPr>
            <w:tcW w:w="581" w:type="dxa"/>
            <w:vAlign w:val="top"/>
          </w:tcPr>
          <w:p w14:paraId="449E1616">
            <w:pPr>
              <w:pStyle w:val="6"/>
              <w:spacing w:before="104" w:line="206" w:lineRule="auto"/>
              <w:ind w:left="37"/>
              <w:rPr>
                <w:sz w:val="18"/>
                <w:szCs w:val="18"/>
              </w:rPr>
            </w:pPr>
            <w:r>
              <w:rPr>
                <w:spacing w:val="-2"/>
                <w:sz w:val="18"/>
                <w:szCs w:val="18"/>
              </w:rPr>
              <w:t>0.004L</w:t>
            </w:r>
          </w:p>
        </w:tc>
        <w:tc>
          <w:tcPr>
            <w:tcW w:w="851" w:type="dxa"/>
            <w:vAlign w:val="top"/>
          </w:tcPr>
          <w:p w14:paraId="7544D83E">
            <w:pPr>
              <w:pStyle w:val="6"/>
              <w:spacing w:before="104" w:line="206" w:lineRule="auto"/>
              <w:ind w:left="83"/>
              <w:rPr>
                <w:sz w:val="18"/>
                <w:szCs w:val="18"/>
              </w:rPr>
            </w:pPr>
            <w:r>
              <w:rPr>
                <w:spacing w:val="-1"/>
                <w:sz w:val="18"/>
                <w:szCs w:val="18"/>
              </w:rPr>
              <w:t>0.00004L</w:t>
            </w:r>
          </w:p>
        </w:tc>
        <w:tc>
          <w:tcPr>
            <w:tcW w:w="644" w:type="dxa"/>
            <w:vAlign w:val="top"/>
          </w:tcPr>
          <w:p w14:paraId="7C93380D">
            <w:pPr>
              <w:pStyle w:val="6"/>
              <w:spacing w:before="104" w:line="206" w:lineRule="auto"/>
              <w:ind w:left="81"/>
              <w:rPr>
                <w:sz w:val="18"/>
                <w:szCs w:val="18"/>
              </w:rPr>
            </w:pPr>
            <w:r>
              <w:rPr>
                <w:spacing w:val="-2"/>
                <w:sz w:val="18"/>
                <w:szCs w:val="18"/>
              </w:rPr>
              <w:t>0.0007</w:t>
            </w:r>
          </w:p>
        </w:tc>
        <w:tc>
          <w:tcPr>
            <w:tcW w:w="639" w:type="dxa"/>
            <w:vAlign w:val="top"/>
          </w:tcPr>
          <w:p w14:paraId="02A382AB">
            <w:pPr>
              <w:pStyle w:val="6"/>
              <w:spacing w:before="104" w:line="206" w:lineRule="auto"/>
              <w:ind w:left="22"/>
              <w:rPr>
                <w:sz w:val="18"/>
                <w:szCs w:val="18"/>
              </w:rPr>
            </w:pPr>
            <w:r>
              <w:rPr>
                <w:spacing w:val="-1"/>
                <w:sz w:val="18"/>
                <w:szCs w:val="18"/>
              </w:rPr>
              <w:t>0.0004L</w:t>
            </w:r>
          </w:p>
        </w:tc>
        <w:tc>
          <w:tcPr>
            <w:tcW w:w="640" w:type="dxa"/>
            <w:vAlign w:val="top"/>
          </w:tcPr>
          <w:p w14:paraId="5EB6C9EF">
            <w:pPr>
              <w:pStyle w:val="6"/>
              <w:spacing w:before="104" w:line="206" w:lineRule="auto"/>
              <w:ind w:left="70"/>
              <w:rPr>
                <w:sz w:val="18"/>
                <w:szCs w:val="18"/>
              </w:rPr>
            </w:pPr>
            <w:r>
              <w:rPr>
                <w:spacing w:val="-2"/>
                <w:sz w:val="18"/>
                <w:szCs w:val="18"/>
              </w:rPr>
              <w:t>0.001L</w:t>
            </w:r>
          </w:p>
        </w:tc>
        <w:tc>
          <w:tcPr>
            <w:tcW w:w="639" w:type="dxa"/>
            <w:vAlign w:val="top"/>
          </w:tcPr>
          <w:p w14:paraId="49A4970C">
            <w:pPr>
              <w:pStyle w:val="6"/>
              <w:spacing w:before="104" w:line="206" w:lineRule="auto"/>
              <w:ind w:left="69"/>
              <w:rPr>
                <w:sz w:val="18"/>
                <w:szCs w:val="18"/>
              </w:rPr>
            </w:pPr>
            <w:r>
              <w:rPr>
                <w:spacing w:val="-2"/>
                <w:sz w:val="18"/>
                <w:szCs w:val="18"/>
              </w:rPr>
              <w:t>0.004L</w:t>
            </w:r>
          </w:p>
        </w:tc>
        <w:tc>
          <w:tcPr>
            <w:tcW w:w="639" w:type="dxa"/>
            <w:vAlign w:val="top"/>
          </w:tcPr>
          <w:p w14:paraId="4192F013">
            <w:pPr>
              <w:pStyle w:val="6"/>
              <w:spacing w:before="104" w:line="206" w:lineRule="auto"/>
              <w:ind w:left="114"/>
              <w:rPr>
                <w:sz w:val="18"/>
                <w:szCs w:val="18"/>
              </w:rPr>
            </w:pPr>
            <w:r>
              <w:rPr>
                <w:spacing w:val="-2"/>
                <w:sz w:val="18"/>
                <w:szCs w:val="18"/>
              </w:rPr>
              <w:t>0.01L</w:t>
            </w:r>
          </w:p>
        </w:tc>
        <w:tc>
          <w:tcPr>
            <w:tcW w:w="640" w:type="dxa"/>
            <w:vAlign w:val="top"/>
          </w:tcPr>
          <w:p w14:paraId="0B0D617D">
            <w:pPr>
              <w:pStyle w:val="6"/>
              <w:spacing w:before="104" w:line="206" w:lineRule="auto"/>
              <w:ind w:left="127"/>
              <w:rPr>
                <w:sz w:val="18"/>
                <w:szCs w:val="18"/>
              </w:rPr>
            </w:pPr>
            <w:r>
              <w:rPr>
                <w:spacing w:val="-2"/>
                <w:sz w:val="18"/>
                <w:szCs w:val="18"/>
              </w:rPr>
              <w:t>0.014</w:t>
            </w:r>
          </w:p>
        </w:tc>
        <w:tc>
          <w:tcPr>
            <w:tcW w:w="827" w:type="dxa"/>
            <w:vAlign w:val="top"/>
          </w:tcPr>
          <w:p w14:paraId="70A79CD9">
            <w:pPr>
              <w:pStyle w:val="6"/>
              <w:spacing w:before="104" w:line="206" w:lineRule="auto"/>
              <w:ind w:left="382"/>
              <w:rPr>
                <w:sz w:val="18"/>
                <w:szCs w:val="18"/>
              </w:rPr>
            </w:pPr>
            <w:r>
              <w:rPr>
                <w:sz w:val="18"/>
                <w:szCs w:val="18"/>
              </w:rPr>
              <w:t>8</w:t>
            </w:r>
          </w:p>
        </w:tc>
        <w:tc>
          <w:tcPr>
            <w:tcW w:w="457" w:type="dxa"/>
            <w:vAlign w:val="top"/>
          </w:tcPr>
          <w:p w14:paraId="03A1D743">
            <w:pPr>
              <w:pStyle w:val="6"/>
              <w:spacing w:before="104" w:line="206" w:lineRule="auto"/>
              <w:ind w:left="104"/>
              <w:rPr>
                <w:sz w:val="18"/>
                <w:szCs w:val="18"/>
              </w:rPr>
            </w:pPr>
            <w:r>
              <w:rPr>
                <w:spacing w:val="-2"/>
                <w:sz w:val="18"/>
                <w:szCs w:val="18"/>
              </w:rPr>
              <w:t>384</w:t>
            </w:r>
          </w:p>
        </w:tc>
        <w:tc>
          <w:tcPr>
            <w:tcW w:w="533" w:type="dxa"/>
            <w:vAlign w:val="top"/>
          </w:tcPr>
          <w:p w14:paraId="68C22606">
            <w:pPr>
              <w:pStyle w:val="6"/>
              <w:spacing w:before="104" w:line="206" w:lineRule="auto"/>
              <w:ind w:left="65"/>
              <w:rPr>
                <w:sz w:val="18"/>
                <w:szCs w:val="18"/>
              </w:rPr>
            </w:pPr>
            <w:r>
              <w:rPr>
                <w:spacing w:val="-2"/>
                <w:sz w:val="18"/>
                <w:szCs w:val="18"/>
              </w:rPr>
              <w:t>0.05L</w:t>
            </w:r>
          </w:p>
        </w:tc>
        <w:tc>
          <w:tcPr>
            <w:tcW w:w="533" w:type="dxa"/>
            <w:vAlign w:val="top"/>
          </w:tcPr>
          <w:p w14:paraId="7703B905">
            <w:pPr>
              <w:pStyle w:val="6"/>
              <w:spacing w:before="104" w:line="206" w:lineRule="auto"/>
              <w:ind w:left="118"/>
              <w:rPr>
                <w:sz w:val="18"/>
                <w:szCs w:val="18"/>
              </w:rPr>
            </w:pPr>
            <w:r>
              <w:rPr>
                <w:spacing w:val="-1"/>
                <w:sz w:val="18"/>
                <w:szCs w:val="18"/>
              </w:rPr>
              <w:t>2.35</w:t>
            </w:r>
          </w:p>
        </w:tc>
        <w:tc>
          <w:tcPr>
            <w:tcW w:w="533" w:type="dxa"/>
            <w:vAlign w:val="top"/>
          </w:tcPr>
          <w:p w14:paraId="686882FA">
            <w:pPr>
              <w:pStyle w:val="6"/>
              <w:spacing w:before="104" w:line="206" w:lineRule="auto"/>
              <w:ind w:left="136"/>
              <w:rPr>
                <w:sz w:val="18"/>
                <w:szCs w:val="18"/>
              </w:rPr>
            </w:pPr>
            <w:r>
              <w:rPr>
                <w:spacing w:val="-6"/>
                <w:sz w:val="18"/>
                <w:szCs w:val="18"/>
              </w:rPr>
              <w:t>1.26</w:t>
            </w:r>
          </w:p>
        </w:tc>
        <w:tc>
          <w:tcPr>
            <w:tcW w:w="533" w:type="dxa"/>
            <w:vAlign w:val="top"/>
          </w:tcPr>
          <w:p w14:paraId="3C1E8BD5">
            <w:pPr>
              <w:pStyle w:val="6"/>
              <w:spacing w:before="104" w:line="206" w:lineRule="auto"/>
              <w:ind w:left="124"/>
              <w:rPr>
                <w:sz w:val="18"/>
                <w:szCs w:val="18"/>
              </w:rPr>
            </w:pPr>
            <w:r>
              <w:rPr>
                <w:spacing w:val="-2"/>
                <w:sz w:val="18"/>
                <w:szCs w:val="18"/>
              </w:rPr>
              <w:t>64.6</w:t>
            </w:r>
          </w:p>
        </w:tc>
        <w:tc>
          <w:tcPr>
            <w:tcW w:w="524" w:type="dxa"/>
            <w:tcBorders>
              <w:right w:val="single" w:color="000000" w:sz="12" w:space="0"/>
            </w:tcBorders>
            <w:vAlign w:val="top"/>
          </w:tcPr>
          <w:p w14:paraId="0F630E74">
            <w:pPr>
              <w:pStyle w:val="6"/>
              <w:spacing w:before="104" w:line="206" w:lineRule="auto"/>
              <w:ind w:left="105"/>
              <w:rPr>
                <w:sz w:val="18"/>
                <w:szCs w:val="18"/>
              </w:rPr>
            </w:pPr>
            <w:r>
              <w:rPr>
                <w:spacing w:val="-1"/>
                <w:sz w:val="18"/>
                <w:szCs w:val="18"/>
              </w:rPr>
              <w:t>27.7</w:t>
            </w:r>
          </w:p>
        </w:tc>
      </w:tr>
      <w:tr w14:paraId="624A0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8" w:type="dxa"/>
            <w:vMerge w:val="continue"/>
            <w:tcBorders>
              <w:top w:val="nil"/>
              <w:left w:val="single" w:color="000000" w:sz="12" w:space="0"/>
            </w:tcBorders>
            <w:vAlign w:val="top"/>
          </w:tcPr>
          <w:p w14:paraId="4CBC99B1">
            <w:pPr>
              <w:rPr>
                <w:rFonts w:ascii="Arial"/>
                <w:sz w:val="21"/>
              </w:rPr>
            </w:pPr>
          </w:p>
        </w:tc>
        <w:tc>
          <w:tcPr>
            <w:tcW w:w="245" w:type="dxa"/>
            <w:vMerge w:val="continue"/>
            <w:tcBorders>
              <w:top w:val="nil"/>
            </w:tcBorders>
            <w:vAlign w:val="top"/>
          </w:tcPr>
          <w:p w14:paraId="445A1D97">
            <w:pPr>
              <w:rPr>
                <w:rFonts w:ascii="Arial"/>
                <w:sz w:val="21"/>
              </w:rPr>
            </w:pPr>
          </w:p>
        </w:tc>
        <w:tc>
          <w:tcPr>
            <w:tcW w:w="929" w:type="dxa"/>
            <w:vAlign w:val="top"/>
          </w:tcPr>
          <w:p w14:paraId="41DD61AC">
            <w:pPr>
              <w:pStyle w:val="6"/>
              <w:spacing w:before="104" w:line="204" w:lineRule="auto"/>
              <w:ind w:left="38"/>
              <w:rPr>
                <w:sz w:val="18"/>
                <w:szCs w:val="18"/>
              </w:rPr>
            </w:pPr>
            <w:r>
              <w:rPr>
                <w:spacing w:val="-1"/>
                <w:sz w:val="18"/>
                <w:szCs w:val="18"/>
              </w:rPr>
              <w:t>2019/11/11</w:t>
            </w:r>
          </w:p>
        </w:tc>
        <w:tc>
          <w:tcPr>
            <w:tcW w:w="606" w:type="dxa"/>
            <w:vAlign w:val="top"/>
          </w:tcPr>
          <w:p w14:paraId="0A4044EC">
            <w:pPr>
              <w:pStyle w:val="6"/>
              <w:spacing w:before="104" w:line="204" w:lineRule="auto"/>
              <w:ind w:left="132"/>
              <w:rPr>
                <w:sz w:val="18"/>
                <w:szCs w:val="18"/>
              </w:rPr>
            </w:pPr>
            <w:r>
              <w:rPr>
                <w:spacing w:val="-2"/>
                <w:sz w:val="18"/>
                <w:szCs w:val="18"/>
              </w:rPr>
              <w:t>7.05</w:t>
            </w:r>
          </w:p>
        </w:tc>
        <w:tc>
          <w:tcPr>
            <w:tcW w:w="606" w:type="dxa"/>
            <w:vAlign w:val="top"/>
          </w:tcPr>
          <w:p w14:paraId="6D244F86">
            <w:pPr>
              <w:pStyle w:val="6"/>
              <w:spacing w:before="104" w:line="204" w:lineRule="auto"/>
              <w:ind w:left="153"/>
              <w:rPr>
                <w:sz w:val="18"/>
                <w:szCs w:val="18"/>
              </w:rPr>
            </w:pPr>
            <w:r>
              <w:rPr>
                <w:spacing w:val="-1"/>
                <w:sz w:val="18"/>
                <w:szCs w:val="18"/>
              </w:rPr>
              <w:t>269</w:t>
            </w:r>
          </w:p>
        </w:tc>
        <w:tc>
          <w:tcPr>
            <w:tcW w:w="606" w:type="dxa"/>
            <w:vAlign w:val="top"/>
          </w:tcPr>
          <w:p w14:paraId="65033242">
            <w:pPr>
              <w:pStyle w:val="6"/>
              <w:spacing w:before="104" w:line="204" w:lineRule="auto"/>
              <w:ind w:left="158"/>
              <w:rPr>
                <w:sz w:val="18"/>
                <w:szCs w:val="18"/>
              </w:rPr>
            </w:pPr>
            <w:r>
              <w:rPr>
                <w:spacing w:val="-2"/>
                <w:sz w:val="18"/>
                <w:szCs w:val="18"/>
              </w:rPr>
              <w:t>349</w:t>
            </w:r>
          </w:p>
        </w:tc>
        <w:tc>
          <w:tcPr>
            <w:tcW w:w="606" w:type="dxa"/>
            <w:vAlign w:val="top"/>
          </w:tcPr>
          <w:p w14:paraId="4BFF9FCE">
            <w:pPr>
              <w:pStyle w:val="6"/>
              <w:spacing w:before="106" w:line="186" w:lineRule="auto"/>
              <w:ind w:left="196"/>
              <w:rPr>
                <w:sz w:val="18"/>
                <w:szCs w:val="18"/>
              </w:rPr>
            </w:pPr>
            <w:r>
              <w:rPr>
                <w:spacing w:val="-3"/>
                <w:sz w:val="18"/>
                <w:szCs w:val="18"/>
              </w:rPr>
              <w:t>8L</w:t>
            </w:r>
          </w:p>
        </w:tc>
        <w:tc>
          <w:tcPr>
            <w:tcW w:w="606" w:type="dxa"/>
            <w:vAlign w:val="top"/>
          </w:tcPr>
          <w:p w14:paraId="4B0ADDC9">
            <w:pPr>
              <w:pStyle w:val="6"/>
              <w:spacing w:before="106" w:line="186" w:lineRule="auto"/>
              <w:ind w:left="162"/>
              <w:rPr>
                <w:sz w:val="18"/>
                <w:szCs w:val="18"/>
              </w:rPr>
            </w:pPr>
            <w:r>
              <w:rPr>
                <w:spacing w:val="-5"/>
                <w:sz w:val="18"/>
                <w:szCs w:val="18"/>
              </w:rPr>
              <w:t>10L</w:t>
            </w:r>
          </w:p>
        </w:tc>
        <w:tc>
          <w:tcPr>
            <w:tcW w:w="606" w:type="dxa"/>
            <w:vAlign w:val="top"/>
          </w:tcPr>
          <w:p w14:paraId="1A5E9E13">
            <w:pPr>
              <w:pStyle w:val="6"/>
              <w:spacing w:before="104" w:line="204" w:lineRule="auto"/>
              <w:ind w:left="82"/>
              <w:rPr>
                <w:sz w:val="18"/>
                <w:szCs w:val="18"/>
              </w:rPr>
            </w:pPr>
            <w:r>
              <w:rPr>
                <w:spacing w:val="-2"/>
                <w:sz w:val="18"/>
                <w:szCs w:val="18"/>
              </w:rPr>
              <w:t>0.03L</w:t>
            </w:r>
          </w:p>
        </w:tc>
        <w:tc>
          <w:tcPr>
            <w:tcW w:w="605" w:type="dxa"/>
            <w:vAlign w:val="top"/>
          </w:tcPr>
          <w:p w14:paraId="601A1F81">
            <w:pPr>
              <w:pStyle w:val="6"/>
              <w:spacing w:before="104" w:line="204" w:lineRule="auto"/>
              <w:ind w:left="83"/>
              <w:rPr>
                <w:sz w:val="18"/>
                <w:szCs w:val="18"/>
              </w:rPr>
            </w:pPr>
            <w:r>
              <w:rPr>
                <w:spacing w:val="-2"/>
                <w:sz w:val="18"/>
                <w:szCs w:val="18"/>
              </w:rPr>
              <w:t>0.02L</w:t>
            </w:r>
          </w:p>
        </w:tc>
        <w:tc>
          <w:tcPr>
            <w:tcW w:w="563" w:type="dxa"/>
            <w:vAlign w:val="top"/>
          </w:tcPr>
          <w:p w14:paraId="77897FA3">
            <w:pPr>
              <w:pStyle w:val="6"/>
              <w:spacing w:before="104" w:line="204" w:lineRule="auto"/>
              <w:ind w:left="63"/>
              <w:rPr>
                <w:sz w:val="18"/>
                <w:szCs w:val="18"/>
              </w:rPr>
            </w:pPr>
            <w:r>
              <w:rPr>
                <w:spacing w:val="-2"/>
                <w:sz w:val="18"/>
                <w:szCs w:val="18"/>
              </w:rPr>
              <w:t>0.01L</w:t>
            </w:r>
          </w:p>
        </w:tc>
        <w:tc>
          <w:tcPr>
            <w:tcW w:w="562" w:type="dxa"/>
            <w:vAlign w:val="top"/>
          </w:tcPr>
          <w:p w14:paraId="7EB3CF61">
            <w:pPr>
              <w:pStyle w:val="6"/>
              <w:spacing w:before="104" w:line="204" w:lineRule="auto"/>
              <w:ind w:left="19"/>
              <w:rPr>
                <w:sz w:val="18"/>
                <w:szCs w:val="18"/>
              </w:rPr>
            </w:pPr>
            <w:r>
              <w:rPr>
                <w:spacing w:val="-2"/>
                <w:sz w:val="18"/>
                <w:szCs w:val="18"/>
              </w:rPr>
              <w:t>0.006L</w:t>
            </w:r>
          </w:p>
        </w:tc>
        <w:tc>
          <w:tcPr>
            <w:tcW w:w="696" w:type="dxa"/>
            <w:vAlign w:val="top"/>
          </w:tcPr>
          <w:p w14:paraId="099AA8AC">
            <w:pPr>
              <w:pStyle w:val="6"/>
              <w:spacing w:before="104" w:line="204" w:lineRule="auto"/>
              <w:ind w:left="41"/>
              <w:rPr>
                <w:sz w:val="18"/>
                <w:szCs w:val="18"/>
              </w:rPr>
            </w:pPr>
            <w:r>
              <w:rPr>
                <w:spacing w:val="-1"/>
                <w:sz w:val="18"/>
                <w:szCs w:val="18"/>
              </w:rPr>
              <w:t>0.0003L</w:t>
            </w:r>
          </w:p>
        </w:tc>
        <w:tc>
          <w:tcPr>
            <w:tcW w:w="605" w:type="dxa"/>
            <w:vAlign w:val="top"/>
          </w:tcPr>
          <w:p w14:paraId="44BBC27A">
            <w:pPr>
              <w:pStyle w:val="6"/>
              <w:spacing w:before="104" w:line="204" w:lineRule="auto"/>
              <w:ind w:left="98"/>
              <w:rPr>
                <w:sz w:val="18"/>
                <w:szCs w:val="18"/>
              </w:rPr>
            </w:pPr>
            <w:r>
              <w:rPr>
                <w:spacing w:val="-2"/>
                <w:sz w:val="18"/>
                <w:szCs w:val="18"/>
              </w:rPr>
              <w:t>0.115</w:t>
            </w:r>
          </w:p>
        </w:tc>
        <w:tc>
          <w:tcPr>
            <w:tcW w:w="582" w:type="dxa"/>
            <w:vAlign w:val="top"/>
          </w:tcPr>
          <w:p w14:paraId="4A57E44B">
            <w:pPr>
              <w:pStyle w:val="6"/>
              <w:spacing w:before="104" w:line="204" w:lineRule="auto"/>
              <w:ind w:left="132"/>
              <w:rPr>
                <w:sz w:val="18"/>
                <w:szCs w:val="18"/>
              </w:rPr>
            </w:pPr>
            <w:r>
              <w:rPr>
                <w:spacing w:val="-2"/>
                <w:sz w:val="18"/>
                <w:szCs w:val="18"/>
              </w:rPr>
              <w:t>0.01</w:t>
            </w:r>
          </w:p>
        </w:tc>
        <w:tc>
          <w:tcPr>
            <w:tcW w:w="583" w:type="dxa"/>
            <w:vAlign w:val="top"/>
          </w:tcPr>
          <w:p w14:paraId="1C8A1A05">
            <w:pPr>
              <w:pStyle w:val="6"/>
              <w:spacing w:before="104" w:line="204" w:lineRule="auto"/>
              <w:ind w:left="148"/>
              <w:rPr>
                <w:sz w:val="18"/>
                <w:szCs w:val="18"/>
              </w:rPr>
            </w:pPr>
            <w:r>
              <w:rPr>
                <w:spacing w:val="-6"/>
                <w:sz w:val="18"/>
                <w:szCs w:val="18"/>
              </w:rPr>
              <w:t>1.85</w:t>
            </w:r>
          </w:p>
        </w:tc>
        <w:tc>
          <w:tcPr>
            <w:tcW w:w="582" w:type="dxa"/>
            <w:vAlign w:val="top"/>
          </w:tcPr>
          <w:p w14:paraId="7586AF2A">
            <w:pPr>
              <w:pStyle w:val="6"/>
              <w:spacing w:before="104" w:line="204" w:lineRule="auto"/>
              <w:ind w:left="33"/>
              <w:rPr>
                <w:sz w:val="18"/>
                <w:szCs w:val="18"/>
              </w:rPr>
            </w:pPr>
            <w:r>
              <w:rPr>
                <w:spacing w:val="-2"/>
                <w:sz w:val="18"/>
                <w:szCs w:val="18"/>
              </w:rPr>
              <w:t>0.003L</w:t>
            </w:r>
          </w:p>
        </w:tc>
        <w:tc>
          <w:tcPr>
            <w:tcW w:w="582" w:type="dxa"/>
            <w:vAlign w:val="top"/>
          </w:tcPr>
          <w:p w14:paraId="5D06FD20">
            <w:pPr>
              <w:pStyle w:val="6"/>
              <w:spacing w:before="104" w:line="204" w:lineRule="auto"/>
              <w:ind w:left="90"/>
              <w:rPr>
                <w:sz w:val="18"/>
                <w:szCs w:val="18"/>
              </w:rPr>
            </w:pPr>
            <w:r>
              <w:rPr>
                <w:spacing w:val="-2"/>
                <w:sz w:val="18"/>
                <w:szCs w:val="18"/>
              </w:rPr>
              <w:t>0.265</w:t>
            </w:r>
          </w:p>
        </w:tc>
        <w:tc>
          <w:tcPr>
            <w:tcW w:w="582" w:type="dxa"/>
            <w:vAlign w:val="top"/>
          </w:tcPr>
          <w:p w14:paraId="4877A852">
            <w:pPr>
              <w:pStyle w:val="6"/>
              <w:spacing w:before="104" w:line="204" w:lineRule="auto"/>
              <w:ind w:left="135"/>
              <w:rPr>
                <w:sz w:val="18"/>
                <w:szCs w:val="18"/>
              </w:rPr>
            </w:pPr>
            <w:r>
              <w:rPr>
                <w:spacing w:val="-2"/>
                <w:sz w:val="18"/>
                <w:szCs w:val="18"/>
              </w:rPr>
              <w:t>0.43</w:t>
            </w:r>
          </w:p>
        </w:tc>
        <w:tc>
          <w:tcPr>
            <w:tcW w:w="581" w:type="dxa"/>
            <w:vAlign w:val="top"/>
          </w:tcPr>
          <w:p w14:paraId="265342C9">
            <w:pPr>
              <w:pStyle w:val="6"/>
              <w:spacing w:before="104" w:line="204" w:lineRule="auto"/>
              <w:ind w:left="37"/>
              <w:rPr>
                <w:sz w:val="18"/>
                <w:szCs w:val="18"/>
              </w:rPr>
            </w:pPr>
            <w:r>
              <w:rPr>
                <w:spacing w:val="-2"/>
                <w:sz w:val="18"/>
                <w:szCs w:val="18"/>
              </w:rPr>
              <w:t>0.004L</w:t>
            </w:r>
          </w:p>
        </w:tc>
        <w:tc>
          <w:tcPr>
            <w:tcW w:w="851" w:type="dxa"/>
            <w:vAlign w:val="top"/>
          </w:tcPr>
          <w:p w14:paraId="056A0132">
            <w:pPr>
              <w:pStyle w:val="6"/>
              <w:spacing w:before="104" w:line="204" w:lineRule="auto"/>
              <w:ind w:left="83"/>
              <w:rPr>
                <w:sz w:val="18"/>
                <w:szCs w:val="18"/>
              </w:rPr>
            </w:pPr>
            <w:r>
              <w:rPr>
                <w:spacing w:val="-1"/>
                <w:sz w:val="18"/>
                <w:szCs w:val="18"/>
              </w:rPr>
              <w:t>0.00004L</w:t>
            </w:r>
          </w:p>
        </w:tc>
        <w:tc>
          <w:tcPr>
            <w:tcW w:w="644" w:type="dxa"/>
            <w:vAlign w:val="top"/>
          </w:tcPr>
          <w:p w14:paraId="46B0CE50">
            <w:pPr>
              <w:pStyle w:val="6"/>
              <w:spacing w:before="104" w:line="204" w:lineRule="auto"/>
              <w:ind w:left="81"/>
              <w:rPr>
                <w:sz w:val="18"/>
                <w:szCs w:val="18"/>
              </w:rPr>
            </w:pPr>
            <w:r>
              <w:rPr>
                <w:spacing w:val="-2"/>
                <w:sz w:val="18"/>
                <w:szCs w:val="18"/>
              </w:rPr>
              <w:t>0.0007</w:t>
            </w:r>
          </w:p>
        </w:tc>
        <w:tc>
          <w:tcPr>
            <w:tcW w:w="639" w:type="dxa"/>
            <w:vAlign w:val="top"/>
          </w:tcPr>
          <w:p w14:paraId="1C73ABF4">
            <w:pPr>
              <w:pStyle w:val="6"/>
              <w:spacing w:before="104" w:line="204" w:lineRule="auto"/>
              <w:ind w:left="22"/>
              <w:rPr>
                <w:sz w:val="18"/>
                <w:szCs w:val="18"/>
              </w:rPr>
            </w:pPr>
            <w:r>
              <w:rPr>
                <w:spacing w:val="-1"/>
                <w:sz w:val="18"/>
                <w:szCs w:val="18"/>
              </w:rPr>
              <w:t>0.0004L</w:t>
            </w:r>
          </w:p>
        </w:tc>
        <w:tc>
          <w:tcPr>
            <w:tcW w:w="640" w:type="dxa"/>
            <w:vAlign w:val="top"/>
          </w:tcPr>
          <w:p w14:paraId="563D588E">
            <w:pPr>
              <w:pStyle w:val="6"/>
              <w:spacing w:before="104" w:line="204" w:lineRule="auto"/>
              <w:ind w:left="70"/>
              <w:rPr>
                <w:sz w:val="18"/>
                <w:szCs w:val="18"/>
              </w:rPr>
            </w:pPr>
            <w:r>
              <w:rPr>
                <w:spacing w:val="-2"/>
                <w:sz w:val="18"/>
                <w:szCs w:val="18"/>
              </w:rPr>
              <w:t>0.001L</w:t>
            </w:r>
          </w:p>
        </w:tc>
        <w:tc>
          <w:tcPr>
            <w:tcW w:w="639" w:type="dxa"/>
            <w:vAlign w:val="top"/>
          </w:tcPr>
          <w:p w14:paraId="6700206B">
            <w:pPr>
              <w:pStyle w:val="6"/>
              <w:spacing w:before="104" w:line="204" w:lineRule="auto"/>
              <w:ind w:left="69"/>
              <w:rPr>
                <w:sz w:val="18"/>
                <w:szCs w:val="18"/>
              </w:rPr>
            </w:pPr>
            <w:r>
              <w:rPr>
                <w:spacing w:val="-2"/>
                <w:sz w:val="18"/>
                <w:szCs w:val="18"/>
              </w:rPr>
              <w:t>0.004L</w:t>
            </w:r>
          </w:p>
        </w:tc>
        <w:tc>
          <w:tcPr>
            <w:tcW w:w="639" w:type="dxa"/>
            <w:vAlign w:val="top"/>
          </w:tcPr>
          <w:p w14:paraId="6A74B5A2">
            <w:pPr>
              <w:pStyle w:val="6"/>
              <w:spacing w:before="104" w:line="204" w:lineRule="auto"/>
              <w:ind w:left="114"/>
              <w:rPr>
                <w:sz w:val="18"/>
                <w:szCs w:val="18"/>
              </w:rPr>
            </w:pPr>
            <w:r>
              <w:rPr>
                <w:spacing w:val="-2"/>
                <w:sz w:val="18"/>
                <w:szCs w:val="18"/>
              </w:rPr>
              <w:t>0.01L</w:t>
            </w:r>
          </w:p>
        </w:tc>
        <w:tc>
          <w:tcPr>
            <w:tcW w:w="640" w:type="dxa"/>
            <w:vAlign w:val="top"/>
          </w:tcPr>
          <w:p w14:paraId="22E234B5">
            <w:pPr>
              <w:pStyle w:val="6"/>
              <w:spacing w:before="104" w:line="204" w:lineRule="auto"/>
              <w:ind w:left="127"/>
              <w:rPr>
                <w:sz w:val="18"/>
                <w:szCs w:val="18"/>
              </w:rPr>
            </w:pPr>
            <w:r>
              <w:rPr>
                <w:spacing w:val="-2"/>
                <w:sz w:val="18"/>
                <w:szCs w:val="18"/>
              </w:rPr>
              <w:t>0.014</w:t>
            </w:r>
          </w:p>
        </w:tc>
        <w:tc>
          <w:tcPr>
            <w:tcW w:w="827" w:type="dxa"/>
            <w:vAlign w:val="top"/>
          </w:tcPr>
          <w:p w14:paraId="3CCA08A4">
            <w:pPr>
              <w:pStyle w:val="6"/>
              <w:spacing w:before="104" w:line="204" w:lineRule="auto"/>
              <w:ind w:left="379"/>
              <w:rPr>
                <w:sz w:val="18"/>
                <w:szCs w:val="18"/>
              </w:rPr>
            </w:pPr>
            <w:r>
              <w:rPr>
                <w:sz w:val="18"/>
                <w:szCs w:val="18"/>
              </w:rPr>
              <w:t>9</w:t>
            </w:r>
          </w:p>
        </w:tc>
        <w:tc>
          <w:tcPr>
            <w:tcW w:w="457" w:type="dxa"/>
            <w:vAlign w:val="top"/>
          </w:tcPr>
          <w:p w14:paraId="5265A6F2">
            <w:pPr>
              <w:pStyle w:val="6"/>
              <w:spacing w:before="104" w:line="204" w:lineRule="auto"/>
              <w:ind w:left="104"/>
              <w:rPr>
                <w:sz w:val="18"/>
                <w:szCs w:val="18"/>
              </w:rPr>
            </w:pPr>
            <w:r>
              <w:rPr>
                <w:spacing w:val="-2"/>
                <w:sz w:val="18"/>
                <w:szCs w:val="18"/>
              </w:rPr>
              <w:t>369</w:t>
            </w:r>
          </w:p>
        </w:tc>
        <w:tc>
          <w:tcPr>
            <w:tcW w:w="533" w:type="dxa"/>
            <w:vAlign w:val="top"/>
          </w:tcPr>
          <w:p w14:paraId="7EB64AEB">
            <w:pPr>
              <w:pStyle w:val="6"/>
              <w:spacing w:before="104" w:line="204" w:lineRule="auto"/>
              <w:ind w:left="65"/>
              <w:rPr>
                <w:sz w:val="18"/>
                <w:szCs w:val="18"/>
              </w:rPr>
            </w:pPr>
            <w:r>
              <w:rPr>
                <w:spacing w:val="-2"/>
                <w:sz w:val="18"/>
                <w:szCs w:val="18"/>
              </w:rPr>
              <w:t>0.05L</w:t>
            </w:r>
          </w:p>
        </w:tc>
        <w:tc>
          <w:tcPr>
            <w:tcW w:w="533" w:type="dxa"/>
            <w:vAlign w:val="top"/>
          </w:tcPr>
          <w:p w14:paraId="46DB2998">
            <w:pPr>
              <w:pStyle w:val="6"/>
              <w:spacing w:before="104" w:line="204" w:lineRule="auto"/>
              <w:ind w:left="118"/>
              <w:rPr>
                <w:sz w:val="18"/>
                <w:szCs w:val="18"/>
              </w:rPr>
            </w:pPr>
            <w:r>
              <w:rPr>
                <w:spacing w:val="-1"/>
                <w:sz w:val="18"/>
                <w:szCs w:val="18"/>
              </w:rPr>
              <w:t>2.70</w:t>
            </w:r>
          </w:p>
        </w:tc>
        <w:tc>
          <w:tcPr>
            <w:tcW w:w="533" w:type="dxa"/>
            <w:vAlign w:val="top"/>
          </w:tcPr>
          <w:p w14:paraId="0838537F">
            <w:pPr>
              <w:pStyle w:val="6"/>
              <w:spacing w:before="104" w:line="204" w:lineRule="auto"/>
              <w:ind w:left="136"/>
              <w:rPr>
                <w:sz w:val="18"/>
                <w:szCs w:val="18"/>
              </w:rPr>
            </w:pPr>
            <w:r>
              <w:rPr>
                <w:spacing w:val="-6"/>
                <w:sz w:val="18"/>
                <w:szCs w:val="18"/>
              </w:rPr>
              <w:t>1.26</w:t>
            </w:r>
          </w:p>
        </w:tc>
        <w:tc>
          <w:tcPr>
            <w:tcW w:w="533" w:type="dxa"/>
            <w:vAlign w:val="top"/>
          </w:tcPr>
          <w:p w14:paraId="10269388">
            <w:pPr>
              <w:pStyle w:val="6"/>
              <w:spacing w:before="104" w:line="204" w:lineRule="auto"/>
              <w:ind w:left="124"/>
              <w:rPr>
                <w:sz w:val="18"/>
                <w:szCs w:val="18"/>
              </w:rPr>
            </w:pPr>
            <w:r>
              <w:rPr>
                <w:spacing w:val="-2"/>
                <w:sz w:val="18"/>
                <w:szCs w:val="18"/>
              </w:rPr>
              <w:t>65.6</w:t>
            </w:r>
          </w:p>
        </w:tc>
        <w:tc>
          <w:tcPr>
            <w:tcW w:w="524" w:type="dxa"/>
            <w:tcBorders>
              <w:right w:val="single" w:color="000000" w:sz="12" w:space="0"/>
            </w:tcBorders>
            <w:vAlign w:val="top"/>
          </w:tcPr>
          <w:p w14:paraId="1E52046E">
            <w:pPr>
              <w:pStyle w:val="6"/>
              <w:spacing w:before="104" w:line="204" w:lineRule="auto"/>
              <w:ind w:left="105"/>
              <w:rPr>
                <w:sz w:val="18"/>
                <w:szCs w:val="18"/>
              </w:rPr>
            </w:pPr>
            <w:r>
              <w:rPr>
                <w:spacing w:val="-1"/>
                <w:sz w:val="18"/>
                <w:szCs w:val="18"/>
              </w:rPr>
              <w:t>27.6</w:t>
            </w:r>
          </w:p>
        </w:tc>
      </w:tr>
      <w:tr w14:paraId="7E2A8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92" w:type="dxa"/>
            <w:gridSpan w:val="3"/>
            <w:tcBorders>
              <w:left w:val="single" w:color="000000" w:sz="12" w:space="0"/>
              <w:bottom w:val="single" w:color="000000" w:sz="12" w:space="0"/>
            </w:tcBorders>
            <w:shd w:val="clear" w:color="auto" w:fill="DBE5F1"/>
            <w:vAlign w:val="top"/>
          </w:tcPr>
          <w:p w14:paraId="1A43C750">
            <w:pPr>
              <w:pStyle w:val="6"/>
              <w:spacing w:before="94" w:line="225" w:lineRule="auto"/>
              <w:ind w:left="61"/>
              <w:rPr>
                <w:rFonts w:ascii="等线" w:hAnsi="等线" w:eastAsia="等线" w:cs="等线"/>
                <w:sz w:val="18"/>
                <w:szCs w:val="18"/>
              </w:rPr>
            </w:pPr>
            <w:r>
              <w:rPr>
                <w:spacing w:val="-3"/>
                <w:sz w:val="18"/>
                <w:szCs w:val="18"/>
              </w:rPr>
              <w:t>GB/T14848</w:t>
            </w:r>
            <w:r>
              <w:rPr>
                <w:spacing w:val="28"/>
                <w:w w:val="101"/>
                <w:sz w:val="18"/>
                <w:szCs w:val="18"/>
              </w:rPr>
              <w:t xml:space="preserve"> </w:t>
            </w:r>
            <w:r>
              <w:rPr>
                <w:rFonts w:ascii="等线" w:hAnsi="等线" w:eastAsia="等线" w:cs="等线"/>
                <w:spacing w:val="-3"/>
                <w:sz w:val="18"/>
                <w:szCs w:val="18"/>
              </w:rPr>
              <w:t>中Ⅲ类</w:t>
            </w:r>
          </w:p>
        </w:tc>
        <w:tc>
          <w:tcPr>
            <w:tcW w:w="606" w:type="dxa"/>
            <w:tcBorders>
              <w:bottom w:val="single" w:color="000000" w:sz="12" w:space="0"/>
            </w:tcBorders>
            <w:shd w:val="clear" w:color="auto" w:fill="DBE5F1"/>
            <w:vAlign w:val="top"/>
          </w:tcPr>
          <w:p w14:paraId="43090AFC">
            <w:pPr>
              <w:pStyle w:val="6"/>
              <w:spacing w:before="124" w:line="232" w:lineRule="auto"/>
              <w:ind w:left="36"/>
              <w:rPr>
                <w:sz w:val="18"/>
                <w:szCs w:val="18"/>
              </w:rPr>
            </w:pPr>
            <w:r>
              <w:rPr>
                <w:spacing w:val="-1"/>
                <w:sz w:val="18"/>
                <w:szCs w:val="18"/>
              </w:rPr>
              <w:t>6.5-8.5</w:t>
            </w:r>
          </w:p>
        </w:tc>
        <w:tc>
          <w:tcPr>
            <w:tcW w:w="606" w:type="dxa"/>
            <w:tcBorders>
              <w:bottom w:val="single" w:color="000000" w:sz="12" w:space="0"/>
            </w:tcBorders>
            <w:shd w:val="clear" w:color="auto" w:fill="DBE5F1"/>
            <w:vAlign w:val="top"/>
          </w:tcPr>
          <w:p w14:paraId="5E0C0809">
            <w:pPr>
              <w:pStyle w:val="6"/>
              <w:spacing w:before="124" w:line="232" w:lineRule="auto"/>
              <w:ind w:left="152"/>
              <w:rPr>
                <w:sz w:val="18"/>
                <w:szCs w:val="18"/>
              </w:rPr>
            </w:pPr>
            <w:r>
              <w:rPr>
                <w:spacing w:val="-1"/>
                <w:sz w:val="18"/>
                <w:szCs w:val="18"/>
              </w:rPr>
              <w:t>450</w:t>
            </w:r>
          </w:p>
        </w:tc>
        <w:tc>
          <w:tcPr>
            <w:tcW w:w="606" w:type="dxa"/>
            <w:tcBorders>
              <w:bottom w:val="single" w:color="000000" w:sz="12" w:space="0"/>
            </w:tcBorders>
            <w:shd w:val="clear" w:color="auto" w:fill="DBE5F1"/>
            <w:vAlign w:val="top"/>
          </w:tcPr>
          <w:p w14:paraId="5558DB36">
            <w:pPr>
              <w:pStyle w:val="6"/>
              <w:spacing w:before="124" w:line="232" w:lineRule="auto"/>
              <w:ind w:left="126"/>
              <w:rPr>
                <w:sz w:val="18"/>
                <w:szCs w:val="18"/>
              </w:rPr>
            </w:pPr>
            <w:r>
              <w:rPr>
                <w:spacing w:val="-6"/>
                <w:sz w:val="18"/>
                <w:szCs w:val="18"/>
              </w:rPr>
              <w:t>1000</w:t>
            </w:r>
          </w:p>
        </w:tc>
        <w:tc>
          <w:tcPr>
            <w:tcW w:w="606" w:type="dxa"/>
            <w:tcBorders>
              <w:bottom w:val="single" w:color="000000" w:sz="12" w:space="0"/>
            </w:tcBorders>
            <w:shd w:val="clear" w:color="auto" w:fill="DBE5F1"/>
            <w:vAlign w:val="top"/>
          </w:tcPr>
          <w:p w14:paraId="6BBBE4CA">
            <w:pPr>
              <w:pStyle w:val="6"/>
              <w:spacing w:before="124" w:line="232" w:lineRule="auto"/>
              <w:ind w:left="154"/>
              <w:rPr>
                <w:sz w:val="18"/>
                <w:szCs w:val="18"/>
              </w:rPr>
            </w:pPr>
            <w:r>
              <w:rPr>
                <w:spacing w:val="-2"/>
                <w:sz w:val="18"/>
                <w:szCs w:val="18"/>
              </w:rPr>
              <w:t>250</w:t>
            </w:r>
          </w:p>
        </w:tc>
        <w:tc>
          <w:tcPr>
            <w:tcW w:w="606" w:type="dxa"/>
            <w:tcBorders>
              <w:bottom w:val="single" w:color="000000" w:sz="12" w:space="0"/>
            </w:tcBorders>
            <w:shd w:val="clear" w:color="auto" w:fill="DBE5F1"/>
            <w:vAlign w:val="top"/>
          </w:tcPr>
          <w:p w14:paraId="59ED0AEF">
            <w:pPr>
              <w:pStyle w:val="6"/>
              <w:spacing w:before="124" w:line="232" w:lineRule="auto"/>
              <w:ind w:left="156"/>
              <w:rPr>
                <w:sz w:val="18"/>
                <w:szCs w:val="18"/>
              </w:rPr>
            </w:pPr>
            <w:r>
              <w:rPr>
                <w:spacing w:val="-2"/>
                <w:sz w:val="18"/>
                <w:szCs w:val="18"/>
              </w:rPr>
              <w:t>250</w:t>
            </w:r>
          </w:p>
        </w:tc>
        <w:tc>
          <w:tcPr>
            <w:tcW w:w="606" w:type="dxa"/>
            <w:tcBorders>
              <w:bottom w:val="single" w:color="000000" w:sz="12" w:space="0"/>
            </w:tcBorders>
            <w:shd w:val="clear" w:color="auto" w:fill="DBE5F1"/>
            <w:vAlign w:val="top"/>
          </w:tcPr>
          <w:p w14:paraId="5D92E731">
            <w:pPr>
              <w:pStyle w:val="6"/>
              <w:spacing w:before="124" w:line="232" w:lineRule="auto"/>
              <w:ind w:left="182"/>
              <w:rPr>
                <w:sz w:val="18"/>
                <w:szCs w:val="18"/>
              </w:rPr>
            </w:pPr>
            <w:r>
              <w:rPr>
                <w:spacing w:val="-2"/>
                <w:sz w:val="18"/>
                <w:szCs w:val="18"/>
              </w:rPr>
              <w:t>0.3</w:t>
            </w:r>
          </w:p>
        </w:tc>
        <w:tc>
          <w:tcPr>
            <w:tcW w:w="605" w:type="dxa"/>
            <w:tcBorders>
              <w:bottom w:val="single" w:color="000000" w:sz="12" w:space="0"/>
            </w:tcBorders>
            <w:shd w:val="clear" w:color="auto" w:fill="DBE5F1"/>
            <w:vAlign w:val="top"/>
          </w:tcPr>
          <w:p w14:paraId="4794AC29">
            <w:pPr>
              <w:pStyle w:val="6"/>
              <w:spacing w:before="124" w:line="232" w:lineRule="auto"/>
              <w:ind w:left="184"/>
              <w:rPr>
                <w:sz w:val="18"/>
                <w:szCs w:val="18"/>
              </w:rPr>
            </w:pPr>
            <w:r>
              <w:rPr>
                <w:spacing w:val="-2"/>
                <w:sz w:val="18"/>
                <w:szCs w:val="18"/>
              </w:rPr>
              <w:t>0.1</w:t>
            </w:r>
          </w:p>
        </w:tc>
        <w:tc>
          <w:tcPr>
            <w:tcW w:w="563" w:type="dxa"/>
            <w:tcBorders>
              <w:bottom w:val="single" w:color="000000" w:sz="12" w:space="0"/>
            </w:tcBorders>
            <w:shd w:val="clear" w:color="auto" w:fill="DBE5F1"/>
            <w:vAlign w:val="top"/>
          </w:tcPr>
          <w:p w14:paraId="6A0C65DF">
            <w:pPr>
              <w:pStyle w:val="6"/>
              <w:spacing w:before="124" w:line="232" w:lineRule="auto"/>
              <w:ind w:left="179"/>
              <w:rPr>
                <w:sz w:val="18"/>
                <w:szCs w:val="18"/>
              </w:rPr>
            </w:pPr>
            <w:r>
              <w:rPr>
                <w:spacing w:val="-7"/>
                <w:sz w:val="18"/>
                <w:szCs w:val="18"/>
              </w:rPr>
              <w:t>1.0</w:t>
            </w:r>
          </w:p>
        </w:tc>
        <w:tc>
          <w:tcPr>
            <w:tcW w:w="562" w:type="dxa"/>
            <w:tcBorders>
              <w:bottom w:val="single" w:color="000000" w:sz="12" w:space="0"/>
            </w:tcBorders>
            <w:shd w:val="clear" w:color="auto" w:fill="DBE5F1"/>
            <w:vAlign w:val="top"/>
          </w:tcPr>
          <w:p w14:paraId="226DA929">
            <w:pPr>
              <w:pStyle w:val="6"/>
              <w:spacing w:before="124" w:line="232" w:lineRule="auto"/>
              <w:ind w:left="179"/>
              <w:rPr>
                <w:sz w:val="18"/>
                <w:szCs w:val="18"/>
              </w:rPr>
            </w:pPr>
            <w:r>
              <w:rPr>
                <w:spacing w:val="-7"/>
                <w:sz w:val="18"/>
                <w:szCs w:val="18"/>
              </w:rPr>
              <w:t>1.0</w:t>
            </w:r>
          </w:p>
        </w:tc>
        <w:tc>
          <w:tcPr>
            <w:tcW w:w="696" w:type="dxa"/>
            <w:tcBorders>
              <w:bottom w:val="single" w:color="000000" w:sz="12" w:space="0"/>
            </w:tcBorders>
            <w:shd w:val="clear" w:color="auto" w:fill="DBE5F1"/>
            <w:vAlign w:val="top"/>
          </w:tcPr>
          <w:p w14:paraId="2BCF2276">
            <w:pPr>
              <w:pStyle w:val="6"/>
              <w:spacing w:before="124" w:line="232" w:lineRule="auto"/>
              <w:ind w:left="141"/>
              <w:rPr>
                <w:sz w:val="18"/>
                <w:szCs w:val="18"/>
              </w:rPr>
            </w:pPr>
            <w:r>
              <w:rPr>
                <w:spacing w:val="-2"/>
                <w:sz w:val="18"/>
                <w:szCs w:val="18"/>
              </w:rPr>
              <w:t>0.002</w:t>
            </w:r>
          </w:p>
        </w:tc>
        <w:tc>
          <w:tcPr>
            <w:tcW w:w="605" w:type="dxa"/>
            <w:tcBorders>
              <w:bottom w:val="single" w:color="000000" w:sz="12" w:space="0"/>
            </w:tcBorders>
            <w:shd w:val="clear" w:color="auto" w:fill="DBE5F1"/>
            <w:vAlign w:val="top"/>
          </w:tcPr>
          <w:p w14:paraId="175781FC">
            <w:pPr>
              <w:pStyle w:val="6"/>
              <w:spacing w:before="124" w:line="232" w:lineRule="auto"/>
              <w:ind w:left="188"/>
              <w:rPr>
                <w:sz w:val="18"/>
                <w:szCs w:val="18"/>
              </w:rPr>
            </w:pPr>
            <w:r>
              <w:rPr>
                <w:spacing w:val="-2"/>
                <w:sz w:val="18"/>
                <w:szCs w:val="18"/>
              </w:rPr>
              <w:t>0.3</w:t>
            </w:r>
          </w:p>
        </w:tc>
        <w:tc>
          <w:tcPr>
            <w:tcW w:w="582" w:type="dxa"/>
            <w:tcBorders>
              <w:bottom w:val="single" w:color="000000" w:sz="12" w:space="0"/>
            </w:tcBorders>
            <w:shd w:val="clear" w:color="auto" w:fill="DBE5F1"/>
            <w:vAlign w:val="top"/>
          </w:tcPr>
          <w:p w14:paraId="53DCCDA1">
            <w:pPr>
              <w:pStyle w:val="6"/>
              <w:spacing w:before="201" w:line="86" w:lineRule="exact"/>
              <w:ind w:left="230"/>
              <w:rPr>
                <w:sz w:val="18"/>
                <w:szCs w:val="18"/>
              </w:rPr>
            </w:pPr>
            <w:r>
              <w:rPr>
                <w:spacing w:val="-2"/>
                <w:position w:val="-5"/>
                <w:sz w:val="18"/>
                <w:szCs w:val="18"/>
              </w:rPr>
              <w:t>--</w:t>
            </w:r>
          </w:p>
        </w:tc>
        <w:tc>
          <w:tcPr>
            <w:tcW w:w="583" w:type="dxa"/>
            <w:tcBorders>
              <w:bottom w:val="single" w:color="000000" w:sz="12" w:space="0"/>
            </w:tcBorders>
            <w:shd w:val="clear" w:color="auto" w:fill="DBE5F1"/>
            <w:vAlign w:val="top"/>
          </w:tcPr>
          <w:p w14:paraId="395A45E1">
            <w:pPr>
              <w:pStyle w:val="6"/>
              <w:spacing w:before="124" w:line="232" w:lineRule="auto"/>
              <w:ind w:left="198"/>
              <w:rPr>
                <w:sz w:val="18"/>
                <w:szCs w:val="18"/>
              </w:rPr>
            </w:pPr>
            <w:r>
              <w:rPr>
                <w:spacing w:val="-2"/>
                <w:sz w:val="18"/>
                <w:szCs w:val="18"/>
              </w:rPr>
              <w:t>20</w:t>
            </w:r>
          </w:p>
        </w:tc>
        <w:tc>
          <w:tcPr>
            <w:tcW w:w="582" w:type="dxa"/>
            <w:tcBorders>
              <w:bottom w:val="single" w:color="000000" w:sz="12" w:space="0"/>
            </w:tcBorders>
            <w:shd w:val="clear" w:color="auto" w:fill="DBE5F1"/>
            <w:vAlign w:val="top"/>
          </w:tcPr>
          <w:p w14:paraId="7D6A4902">
            <w:pPr>
              <w:pStyle w:val="6"/>
              <w:spacing w:before="124" w:line="232" w:lineRule="auto"/>
              <w:ind w:left="133"/>
              <w:rPr>
                <w:sz w:val="18"/>
                <w:szCs w:val="18"/>
              </w:rPr>
            </w:pPr>
            <w:r>
              <w:rPr>
                <w:spacing w:val="-2"/>
                <w:sz w:val="18"/>
                <w:szCs w:val="18"/>
              </w:rPr>
              <w:t>0.02</w:t>
            </w:r>
          </w:p>
        </w:tc>
        <w:tc>
          <w:tcPr>
            <w:tcW w:w="582" w:type="dxa"/>
            <w:tcBorders>
              <w:bottom w:val="single" w:color="000000" w:sz="12" w:space="0"/>
            </w:tcBorders>
            <w:shd w:val="clear" w:color="auto" w:fill="DBE5F1"/>
            <w:vAlign w:val="top"/>
          </w:tcPr>
          <w:p w14:paraId="54732D67">
            <w:pPr>
              <w:pStyle w:val="6"/>
              <w:spacing w:before="124" w:line="232" w:lineRule="auto"/>
              <w:ind w:left="180"/>
              <w:rPr>
                <w:sz w:val="18"/>
                <w:szCs w:val="18"/>
              </w:rPr>
            </w:pPr>
            <w:r>
              <w:rPr>
                <w:spacing w:val="-2"/>
                <w:sz w:val="18"/>
                <w:szCs w:val="18"/>
              </w:rPr>
              <w:t>0.5</w:t>
            </w:r>
          </w:p>
        </w:tc>
        <w:tc>
          <w:tcPr>
            <w:tcW w:w="582" w:type="dxa"/>
            <w:tcBorders>
              <w:bottom w:val="single" w:color="000000" w:sz="12" w:space="0"/>
            </w:tcBorders>
            <w:shd w:val="clear" w:color="auto" w:fill="DBE5F1"/>
            <w:vAlign w:val="top"/>
          </w:tcPr>
          <w:p w14:paraId="320B49B8">
            <w:pPr>
              <w:pStyle w:val="6"/>
              <w:spacing w:before="124" w:line="232" w:lineRule="auto"/>
              <w:ind w:left="195"/>
              <w:rPr>
                <w:sz w:val="18"/>
                <w:szCs w:val="18"/>
              </w:rPr>
            </w:pPr>
            <w:r>
              <w:rPr>
                <w:spacing w:val="-7"/>
                <w:sz w:val="18"/>
                <w:szCs w:val="18"/>
              </w:rPr>
              <w:t>1.0</w:t>
            </w:r>
          </w:p>
        </w:tc>
        <w:tc>
          <w:tcPr>
            <w:tcW w:w="581" w:type="dxa"/>
            <w:tcBorders>
              <w:bottom w:val="single" w:color="000000" w:sz="12" w:space="0"/>
            </w:tcBorders>
            <w:shd w:val="clear" w:color="auto" w:fill="DBE5F1"/>
            <w:vAlign w:val="top"/>
          </w:tcPr>
          <w:p w14:paraId="7D178423">
            <w:pPr>
              <w:pStyle w:val="6"/>
              <w:spacing w:before="124" w:line="232" w:lineRule="auto"/>
              <w:ind w:left="136"/>
              <w:rPr>
                <w:sz w:val="18"/>
                <w:szCs w:val="18"/>
              </w:rPr>
            </w:pPr>
            <w:r>
              <w:rPr>
                <w:spacing w:val="-2"/>
                <w:sz w:val="18"/>
                <w:szCs w:val="18"/>
              </w:rPr>
              <w:t>0.05</w:t>
            </w:r>
          </w:p>
        </w:tc>
        <w:tc>
          <w:tcPr>
            <w:tcW w:w="851" w:type="dxa"/>
            <w:tcBorders>
              <w:bottom w:val="single" w:color="000000" w:sz="12" w:space="0"/>
            </w:tcBorders>
            <w:shd w:val="clear" w:color="auto" w:fill="DBE5F1"/>
            <w:vAlign w:val="top"/>
          </w:tcPr>
          <w:p w14:paraId="6C2B9AF0">
            <w:pPr>
              <w:pStyle w:val="6"/>
              <w:spacing w:before="124" w:line="232" w:lineRule="auto"/>
              <w:ind w:left="229"/>
              <w:rPr>
                <w:sz w:val="18"/>
                <w:szCs w:val="18"/>
              </w:rPr>
            </w:pPr>
            <w:r>
              <w:rPr>
                <w:spacing w:val="-2"/>
                <w:sz w:val="18"/>
                <w:szCs w:val="18"/>
              </w:rPr>
              <w:t>0.001</w:t>
            </w:r>
          </w:p>
        </w:tc>
        <w:tc>
          <w:tcPr>
            <w:tcW w:w="644" w:type="dxa"/>
            <w:tcBorders>
              <w:bottom w:val="single" w:color="000000" w:sz="12" w:space="0"/>
            </w:tcBorders>
            <w:shd w:val="clear" w:color="auto" w:fill="DBE5F1"/>
            <w:vAlign w:val="top"/>
          </w:tcPr>
          <w:p w14:paraId="2EF09574">
            <w:pPr>
              <w:pStyle w:val="6"/>
              <w:spacing w:before="124" w:line="232" w:lineRule="auto"/>
              <w:ind w:left="171"/>
              <w:rPr>
                <w:sz w:val="18"/>
                <w:szCs w:val="18"/>
              </w:rPr>
            </w:pPr>
            <w:r>
              <w:rPr>
                <w:spacing w:val="-2"/>
                <w:sz w:val="18"/>
                <w:szCs w:val="18"/>
              </w:rPr>
              <w:t>0.01</w:t>
            </w:r>
          </w:p>
        </w:tc>
        <w:tc>
          <w:tcPr>
            <w:tcW w:w="639" w:type="dxa"/>
            <w:tcBorders>
              <w:bottom w:val="single" w:color="000000" w:sz="12" w:space="0"/>
            </w:tcBorders>
            <w:shd w:val="clear" w:color="auto" w:fill="DBE5F1"/>
            <w:vAlign w:val="top"/>
          </w:tcPr>
          <w:p w14:paraId="72423342">
            <w:pPr>
              <w:pStyle w:val="6"/>
              <w:spacing w:before="124" w:line="232" w:lineRule="auto"/>
              <w:ind w:left="168"/>
              <w:rPr>
                <w:sz w:val="18"/>
                <w:szCs w:val="18"/>
              </w:rPr>
            </w:pPr>
            <w:r>
              <w:rPr>
                <w:spacing w:val="-2"/>
                <w:sz w:val="18"/>
                <w:szCs w:val="18"/>
              </w:rPr>
              <w:t>0.01</w:t>
            </w:r>
          </w:p>
        </w:tc>
        <w:tc>
          <w:tcPr>
            <w:tcW w:w="640" w:type="dxa"/>
            <w:tcBorders>
              <w:bottom w:val="single" w:color="000000" w:sz="12" w:space="0"/>
            </w:tcBorders>
            <w:shd w:val="clear" w:color="auto" w:fill="DBE5F1"/>
            <w:vAlign w:val="top"/>
          </w:tcPr>
          <w:p w14:paraId="437A3DF0">
            <w:pPr>
              <w:pStyle w:val="6"/>
              <w:spacing w:before="124" w:line="232" w:lineRule="auto"/>
              <w:ind w:left="125"/>
              <w:rPr>
                <w:sz w:val="18"/>
                <w:szCs w:val="18"/>
              </w:rPr>
            </w:pPr>
            <w:r>
              <w:rPr>
                <w:spacing w:val="-2"/>
                <w:sz w:val="18"/>
                <w:szCs w:val="18"/>
              </w:rPr>
              <w:t>0.005</w:t>
            </w:r>
          </w:p>
        </w:tc>
        <w:tc>
          <w:tcPr>
            <w:tcW w:w="639" w:type="dxa"/>
            <w:tcBorders>
              <w:bottom w:val="single" w:color="000000" w:sz="12" w:space="0"/>
            </w:tcBorders>
            <w:shd w:val="clear" w:color="auto" w:fill="DBE5F1"/>
            <w:vAlign w:val="top"/>
          </w:tcPr>
          <w:p w14:paraId="78598557">
            <w:pPr>
              <w:pStyle w:val="6"/>
              <w:spacing w:before="124" w:line="232" w:lineRule="auto"/>
              <w:ind w:left="169"/>
              <w:rPr>
                <w:sz w:val="18"/>
                <w:szCs w:val="18"/>
              </w:rPr>
            </w:pPr>
            <w:r>
              <w:rPr>
                <w:spacing w:val="-2"/>
                <w:sz w:val="18"/>
                <w:szCs w:val="18"/>
              </w:rPr>
              <w:t>0.05</w:t>
            </w:r>
          </w:p>
        </w:tc>
        <w:tc>
          <w:tcPr>
            <w:tcW w:w="639" w:type="dxa"/>
            <w:tcBorders>
              <w:bottom w:val="single" w:color="000000" w:sz="12" w:space="0"/>
            </w:tcBorders>
            <w:shd w:val="clear" w:color="auto" w:fill="DBE5F1"/>
            <w:vAlign w:val="top"/>
          </w:tcPr>
          <w:p w14:paraId="25AC285F">
            <w:pPr>
              <w:pStyle w:val="6"/>
              <w:spacing w:before="124" w:line="232" w:lineRule="auto"/>
              <w:ind w:left="170"/>
              <w:rPr>
                <w:sz w:val="18"/>
                <w:szCs w:val="18"/>
              </w:rPr>
            </w:pPr>
            <w:r>
              <w:rPr>
                <w:spacing w:val="-2"/>
                <w:sz w:val="18"/>
                <w:szCs w:val="18"/>
              </w:rPr>
              <w:t>0.05</w:t>
            </w:r>
          </w:p>
        </w:tc>
        <w:tc>
          <w:tcPr>
            <w:tcW w:w="640" w:type="dxa"/>
            <w:tcBorders>
              <w:bottom w:val="single" w:color="000000" w:sz="12" w:space="0"/>
            </w:tcBorders>
            <w:shd w:val="clear" w:color="auto" w:fill="DBE5F1"/>
            <w:vAlign w:val="top"/>
          </w:tcPr>
          <w:p w14:paraId="127789E6">
            <w:pPr>
              <w:pStyle w:val="6"/>
              <w:spacing w:before="124" w:line="232" w:lineRule="auto"/>
              <w:ind w:left="217"/>
              <w:rPr>
                <w:sz w:val="18"/>
                <w:szCs w:val="18"/>
              </w:rPr>
            </w:pPr>
            <w:r>
              <w:rPr>
                <w:spacing w:val="-2"/>
                <w:sz w:val="18"/>
                <w:szCs w:val="18"/>
              </w:rPr>
              <w:t>0.2</w:t>
            </w:r>
          </w:p>
        </w:tc>
        <w:tc>
          <w:tcPr>
            <w:tcW w:w="827" w:type="dxa"/>
            <w:tcBorders>
              <w:bottom w:val="single" w:color="000000" w:sz="12" w:space="0"/>
            </w:tcBorders>
            <w:shd w:val="clear" w:color="auto" w:fill="DBE5F1"/>
            <w:vAlign w:val="top"/>
          </w:tcPr>
          <w:p w14:paraId="1E16EA46">
            <w:pPr>
              <w:pStyle w:val="6"/>
              <w:spacing w:before="124" w:line="232" w:lineRule="auto"/>
              <w:ind w:left="311"/>
              <w:rPr>
                <w:sz w:val="18"/>
                <w:szCs w:val="18"/>
              </w:rPr>
            </w:pPr>
            <w:r>
              <w:rPr>
                <w:spacing w:val="-3"/>
                <w:sz w:val="18"/>
                <w:szCs w:val="18"/>
              </w:rPr>
              <w:t>3.0</w:t>
            </w:r>
          </w:p>
        </w:tc>
        <w:tc>
          <w:tcPr>
            <w:tcW w:w="457" w:type="dxa"/>
            <w:tcBorders>
              <w:bottom w:val="single" w:color="000000" w:sz="12" w:space="0"/>
            </w:tcBorders>
            <w:shd w:val="clear" w:color="auto" w:fill="DBE5F1"/>
            <w:vAlign w:val="top"/>
          </w:tcPr>
          <w:p w14:paraId="056A1F64">
            <w:pPr>
              <w:pStyle w:val="6"/>
              <w:spacing w:before="201" w:line="86" w:lineRule="exact"/>
              <w:ind w:left="179"/>
              <w:rPr>
                <w:sz w:val="18"/>
                <w:szCs w:val="18"/>
              </w:rPr>
            </w:pPr>
            <w:r>
              <w:rPr>
                <w:spacing w:val="-4"/>
                <w:position w:val="-5"/>
                <w:sz w:val="18"/>
                <w:szCs w:val="18"/>
              </w:rPr>
              <w:t>--</w:t>
            </w:r>
          </w:p>
        </w:tc>
        <w:tc>
          <w:tcPr>
            <w:tcW w:w="533" w:type="dxa"/>
            <w:tcBorders>
              <w:bottom w:val="single" w:color="000000" w:sz="12" w:space="0"/>
            </w:tcBorders>
            <w:shd w:val="clear" w:color="auto" w:fill="DBE5F1"/>
            <w:vAlign w:val="top"/>
          </w:tcPr>
          <w:p w14:paraId="4C8CF4BD">
            <w:pPr>
              <w:pStyle w:val="6"/>
              <w:spacing w:before="124" w:line="232" w:lineRule="auto"/>
              <w:ind w:left="165"/>
              <w:rPr>
                <w:sz w:val="18"/>
                <w:szCs w:val="18"/>
              </w:rPr>
            </w:pPr>
            <w:r>
              <w:rPr>
                <w:spacing w:val="-3"/>
                <w:sz w:val="18"/>
                <w:szCs w:val="18"/>
              </w:rPr>
              <w:t>3.0</w:t>
            </w:r>
          </w:p>
        </w:tc>
        <w:tc>
          <w:tcPr>
            <w:tcW w:w="533" w:type="dxa"/>
            <w:tcBorders>
              <w:bottom w:val="single" w:color="000000" w:sz="12" w:space="0"/>
            </w:tcBorders>
            <w:shd w:val="clear" w:color="auto" w:fill="DBE5F1"/>
            <w:vAlign w:val="top"/>
          </w:tcPr>
          <w:p w14:paraId="66007DB2">
            <w:pPr>
              <w:pStyle w:val="6"/>
              <w:spacing w:before="201" w:line="86" w:lineRule="exact"/>
              <w:ind w:left="219"/>
              <w:rPr>
                <w:sz w:val="18"/>
                <w:szCs w:val="18"/>
              </w:rPr>
            </w:pPr>
            <w:r>
              <w:rPr>
                <w:spacing w:val="-2"/>
                <w:position w:val="-5"/>
                <w:sz w:val="18"/>
                <w:szCs w:val="18"/>
              </w:rPr>
              <w:t>--</w:t>
            </w:r>
          </w:p>
        </w:tc>
        <w:tc>
          <w:tcPr>
            <w:tcW w:w="533" w:type="dxa"/>
            <w:tcBorders>
              <w:bottom w:val="single" w:color="000000" w:sz="12" w:space="0"/>
            </w:tcBorders>
            <w:shd w:val="clear" w:color="auto" w:fill="DBE5F1"/>
            <w:vAlign w:val="top"/>
          </w:tcPr>
          <w:p w14:paraId="20C2A7EA">
            <w:pPr>
              <w:pStyle w:val="6"/>
              <w:spacing w:before="124" w:line="232" w:lineRule="auto"/>
              <w:ind w:left="141"/>
              <w:rPr>
                <w:sz w:val="18"/>
                <w:szCs w:val="18"/>
              </w:rPr>
            </w:pPr>
            <w:r>
              <w:rPr>
                <w:spacing w:val="-2"/>
                <w:sz w:val="18"/>
                <w:szCs w:val="18"/>
              </w:rPr>
              <w:t>200</w:t>
            </w:r>
          </w:p>
        </w:tc>
        <w:tc>
          <w:tcPr>
            <w:tcW w:w="533" w:type="dxa"/>
            <w:tcBorders>
              <w:bottom w:val="single" w:color="000000" w:sz="12" w:space="0"/>
            </w:tcBorders>
            <w:shd w:val="clear" w:color="auto" w:fill="DBE5F1"/>
            <w:vAlign w:val="top"/>
          </w:tcPr>
          <w:p w14:paraId="3CA5C639">
            <w:pPr>
              <w:pStyle w:val="6"/>
              <w:spacing w:before="201" w:line="86" w:lineRule="exact"/>
              <w:ind w:left="221"/>
              <w:rPr>
                <w:sz w:val="18"/>
                <w:szCs w:val="18"/>
              </w:rPr>
            </w:pPr>
            <w:r>
              <w:rPr>
                <w:spacing w:val="-2"/>
                <w:position w:val="-5"/>
                <w:sz w:val="18"/>
                <w:szCs w:val="18"/>
              </w:rPr>
              <w:t>--</w:t>
            </w:r>
          </w:p>
        </w:tc>
        <w:tc>
          <w:tcPr>
            <w:tcW w:w="524" w:type="dxa"/>
            <w:tcBorders>
              <w:bottom w:val="single" w:color="000000" w:sz="12" w:space="0"/>
              <w:right w:val="single" w:color="000000" w:sz="12" w:space="0"/>
            </w:tcBorders>
            <w:shd w:val="clear" w:color="auto" w:fill="DBE5F1"/>
            <w:vAlign w:val="top"/>
          </w:tcPr>
          <w:p w14:paraId="62E21DBA">
            <w:pPr>
              <w:pStyle w:val="6"/>
              <w:spacing w:before="201" w:line="86" w:lineRule="exact"/>
              <w:ind w:left="206"/>
              <w:rPr>
                <w:sz w:val="18"/>
                <w:szCs w:val="18"/>
              </w:rPr>
            </w:pPr>
            <w:r>
              <w:rPr>
                <w:spacing w:val="-2"/>
                <w:position w:val="-5"/>
                <w:sz w:val="18"/>
                <w:szCs w:val="18"/>
              </w:rPr>
              <w:t>--</w:t>
            </w:r>
          </w:p>
        </w:tc>
      </w:tr>
    </w:tbl>
    <w:p w14:paraId="4E9C850A">
      <w:pPr>
        <w:pStyle w:val="2"/>
        <w:spacing w:before="35"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l</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2</w:t>
      </w:r>
      <w:r>
        <w:rPr>
          <w:spacing w:val="1"/>
          <w:sz w:val="24"/>
          <w:szCs w:val="24"/>
        </w:rPr>
        <w:t>、加</w:t>
      </w:r>
      <w:r>
        <w:rPr>
          <w:sz w:val="24"/>
          <w:szCs w:val="24"/>
        </w:rPr>
        <w:t>粗字体表示监测结果超标。</w:t>
      </w:r>
    </w:p>
    <w:p w14:paraId="75C9CD3F">
      <w:pPr>
        <w:spacing w:line="233" w:lineRule="auto"/>
        <w:rPr>
          <w:sz w:val="24"/>
          <w:szCs w:val="24"/>
        </w:rPr>
        <w:sectPr>
          <w:headerReference r:id="rId259" w:type="default"/>
          <w:footerReference r:id="rId260" w:type="default"/>
          <w:pgSz w:w="23814" w:h="16840"/>
          <w:pgMar w:top="1376" w:right="1669" w:bottom="1061" w:left="1671" w:header="999" w:footer="861" w:gutter="0"/>
          <w:cols w:space="720" w:num="1"/>
        </w:sectPr>
      </w:pPr>
    </w:p>
    <w:p w14:paraId="034F7641">
      <w:pPr>
        <w:spacing w:line="455" w:lineRule="auto"/>
        <w:rPr>
          <w:rFonts w:ascii="Arial"/>
          <w:sz w:val="21"/>
        </w:rPr>
      </w:pPr>
    </w:p>
    <w:p w14:paraId="58B6C912">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6.2-11                                                                                                                 </w:t>
      </w:r>
      <w:r>
        <w:rPr>
          <w:rFonts w:ascii="Times New Roman" w:hAnsi="Times New Roman" w:eastAsia="Times New Roman" w:cs="Times New Roman"/>
          <w:b/>
          <w:bCs/>
          <w:spacing w:val="-1"/>
          <w:sz w:val="24"/>
          <w:szCs w:val="24"/>
        </w:rPr>
        <w:t xml:space="preserve">    </w:t>
      </w:r>
      <w:r>
        <w:rPr>
          <w:b/>
          <w:bCs/>
          <w:spacing w:val="-1"/>
          <w:sz w:val="24"/>
          <w:szCs w:val="24"/>
        </w:rPr>
        <w:t>施工期</w:t>
      </w:r>
      <w:r>
        <w:rPr>
          <w:spacing w:val="-52"/>
          <w:sz w:val="24"/>
          <w:szCs w:val="24"/>
        </w:rPr>
        <w:t xml:space="preserve"> </w:t>
      </w:r>
      <w:r>
        <w:rPr>
          <w:rFonts w:ascii="Times New Roman" w:hAnsi="Times New Roman" w:eastAsia="Times New Roman" w:cs="Times New Roman"/>
          <w:b/>
          <w:bCs/>
          <w:spacing w:val="-1"/>
          <w:sz w:val="24"/>
          <w:szCs w:val="24"/>
        </w:rPr>
        <w:t xml:space="preserve">2020 </w:t>
      </w:r>
      <w:r>
        <w:rPr>
          <w:b/>
          <w:bCs/>
          <w:spacing w:val="-1"/>
          <w:sz w:val="24"/>
          <w:szCs w:val="24"/>
        </w:rPr>
        <w:t>年地下水水质监测结果统计</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67422FD8">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
        <w:gridCol w:w="268"/>
        <w:gridCol w:w="1038"/>
        <w:gridCol w:w="774"/>
        <w:gridCol w:w="741"/>
        <w:gridCol w:w="705"/>
        <w:gridCol w:w="570"/>
        <w:gridCol w:w="423"/>
        <w:gridCol w:w="567"/>
        <w:gridCol w:w="545"/>
        <w:gridCol w:w="472"/>
        <w:gridCol w:w="562"/>
        <w:gridCol w:w="651"/>
        <w:gridCol w:w="884"/>
        <w:gridCol w:w="709"/>
        <w:gridCol w:w="703"/>
        <w:gridCol w:w="708"/>
        <w:gridCol w:w="764"/>
        <w:gridCol w:w="586"/>
        <w:gridCol w:w="582"/>
        <w:gridCol w:w="745"/>
        <w:gridCol w:w="651"/>
        <w:gridCol w:w="652"/>
        <w:gridCol w:w="566"/>
        <w:gridCol w:w="582"/>
        <w:gridCol w:w="476"/>
        <w:gridCol w:w="567"/>
        <w:gridCol w:w="765"/>
        <w:gridCol w:w="424"/>
        <w:gridCol w:w="427"/>
        <w:gridCol w:w="424"/>
        <w:gridCol w:w="423"/>
        <w:gridCol w:w="472"/>
        <w:gridCol w:w="377"/>
      </w:tblGrid>
      <w:tr w14:paraId="4F7CA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80" w:type="dxa"/>
            <w:tcBorders>
              <w:top w:val="single" w:color="000000" w:sz="12" w:space="0"/>
              <w:left w:val="single" w:color="000000" w:sz="12" w:space="0"/>
            </w:tcBorders>
            <w:vAlign w:val="top"/>
          </w:tcPr>
          <w:p w14:paraId="69818A55">
            <w:pPr>
              <w:spacing w:before="283" w:line="243" w:lineRule="auto"/>
              <w:ind w:left="187" w:right="18" w:hanging="179"/>
              <w:rPr>
                <w:rFonts w:ascii="宋体" w:hAnsi="宋体" w:eastAsia="宋体" w:cs="宋体"/>
                <w:sz w:val="18"/>
                <w:szCs w:val="18"/>
              </w:rPr>
            </w:pPr>
            <w:r>
              <w:rPr>
                <w:rFonts w:ascii="宋体" w:hAnsi="宋体" w:eastAsia="宋体" w:cs="宋体"/>
                <w:spacing w:val="-3"/>
                <w:sz w:val="18"/>
                <w:szCs w:val="18"/>
              </w:rPr>
              <w:t>监测点</w:t>
            </w:r>
            <w:r>
              <w:rPr>
                <w:rFonts w:ascii="宋体" w:hAnsi="宋体" w:eastAsia="宋体" w:cs="宋体"/>
                <w:sz w:val="18"/>
                <w:szCs w:val="18"/>
              </w:rPr>
              <w:t>位</w:t>
            </w:r>
          </w:p>
        </w:tc>
        <w:tc>
          <w:tcPr>
            <w:tcW w:w="1306" w:type="dxa"/>
            <w:gridSpan w:val="2"/>
            <w:tcBorders>
              <w:top w:val="single" w:color="000000" w:sz="12" w:space="0"/>
            </w:tcBorders>
            <w:vAlign w:val="top"/>
          </w:tcPr>
          <w:p w14:paraId="5B2ACBE7">
            <w:pPr>
              <w:spacing w:line="340" w:lineRule="auto"/>
              <w:rPr>
                <w:rFonts w:ascii="Arial"/>
                <w:sz w:val="21"/>
              </w:rPr>
            </w:pPr>
          </w:p>
          <w:p w14:paraId="05C0ABCF">
            <w:pPr>
              <w:spacing w:before="59" w:line="221" w:lineRule="auto"/>
              <w:ind w:left="281"/>
              <w:rPr>
                <w:rFonts w:ascii="宋体" w:hAnsi="宋体" w:eastAsia="宋体" w:cs="宋体"/>
                <w:sz w:val="18"/>
                <w:szCs w:val="18"/>
              </w:rPr>
            </w:pPr>
            <w:r>
              <w:rPr>
                <w:rFonts w:ascii="宋体" w:hAnsi="宋体" w:eastAsia="宋体" w:cs="宋体"/>
                <w:spacing w:val="-2"/>
                <w:sz w:val="18"/>
                <w:szCs w:val="18"/>
              </w:rPr>
              <w:t>监测时间</w:t>
            </w:r>
          </w:p>
        </w:tc>
        <w:tc>
          <w:tcPr>
            <w:tcW w:w="774" w:type="dxa"/>
            <w:tcBorders>
              <w:top w:val="single" w:color="000000" w:sz="12" w:space="0"/>
            </w:tcBorders>
            <w:vAlign w:val="top"/>
          </w:tcPr>
          <w:p w14:paraId="7FA8C7E9">
            <w:pPr>
              <w:pStyle w:val="6"/>
              <w:spacing w:before="154" w:line="242" w:lineRule="auto"/>
              <w:ind w:left="134" w:right="132" w:firstLine="12"/>
              <w:jc w:val="both"/>
              <w:rPr>
                <w:rFonts w:ascii="等线" w:hAnsi="等线" w:eastAsia="等线" w:cs="等线"/>
                <w:sz w:val="18"/>
                <w:szCs w:val="18"/>
              </w:rPr>
            </w:pPr>
            <w:r>
              <w:rPr>
                <w:spacing w:val="-1"/>
                <w:sz w:val="18"/>
                <w:szCs w:val="18"/>
              </w:rPr>
              <w:t xml:space="preserve">pH </w:t>
            </w:r>
            <w:r>
              <w:rPr>
                <w:rFonts w:ascii="等线" w:hAnsi="等线" w:eastAsia="等线" w:cs="等线"/>
                <w:spacing w:val="-1"/>
                <w:sz w:val="18"/>
                <w:szCs w:val="18"/>
              </w:rPr>
              <w:t>值</w:t>
            </w:r>
            <w:r>
              <w:rPr>
                <w:rFonts w:ascii="等线" w:hAnsi="等线" w:eastAsia="等线" w:cs="等线"/>
                <w:spacing w:val="-15"/>
                <w:sz w:val="18"/>
                <w:szCs w:val="18"/>
              </w:rPr>
              <w:t>（无量</w:t>
            </w:r>
            <w:r>
              <w:rPr>
                <w:rFonts w:ascii="等线" w:hAnsi="等线" w:eastAsia="等线" w:cs="等线"/>
                <w:spacing w:val="10"/>
                <w:sz w:val="18"/>
                <w:szCs w:val="18"/>
              </w:rPr>
              <w:t>纲）</w:t>
            </w:r>
          </w:p>
        </w:tc>
        <w:tc>
          <w:tcPr>
            <w:tcW w:w="741" w:type="dxa"/>
            <w:tcBorders>
              <w:top w:val="single" w:color="000000" w:sz="12" w:space="0"/>
            </w:tcBorders>
            <w:vAlign w:val="top"/>
          </w:tcPr>
          <w:p w14:paraId="2AC7316A">
            <w:pPr>
              <w:spacing w:line="334" w:lineRule="auto"/>
              <w:rPr>
                <w:rFonts w:ascii="Arial"/>
                <w:sz w:val="21"/>
              </w:rPr>
            </w:pPr>
          </w:p>
          <w:p w14:paraId="4CB880E5">
            <w:pPr>
              <w:spacing w:before="61" w:line="225" w:lineRule="auto"/>
              <w:ind w:left="97"/>
              <w:rPr>
                <w:rFonts w:ascii="等线" w:hAnsi="等线" w:eastAsia="等线" w:cs="等线"/>
                <w:sz w:val="18"/>
                <w:szCs w:val="18"/>
              </w:rPr>
            </w:pPr>
            <w:r>
              <w:rPr>
                <w:rFonts w:ascii="等线" w:hAnsi="等线" w:eastAsia="等线" w:cs="等线"/>
                <w:spacing w:val="-3"/>
                <w:sz w:val="18"/>
                <w:szCs w:val="18"/>
              </w:rPr>
              <w:t>总硬度</w:t>
            </w:r>
          </w:p>
        </w:tc>
        <w:tc>
          <w:tcPr>
            <w:tcW w:w="705" w:type="dxa"/>
            <w:tcBorders>
              <w:top w:val="single" w:color="000000" w:sz="12" w:space="0"/>
            </w:tcBorders>
            <w:vAlign w:val="top"/>
          </w:tcPr>
          <w:p w14:paraId="78D6EDD7">
            <w:pPr>
              <w:spacing w:before="274" w:line="246" w:lineRule="auto"/>
              <w:ind w:left="79" w:right="88" w:hanging="3"/>
              <w:rPr>
                <w:rFonts w:ascii="等线" w:hAnsi="等线" w:eastAsia="等线" w:cs="等线"/>
                <w:sz w:val="18"/>
                <w:szCs w:val="18"/>
              </w:rPr>
            </w:pPr>
            <w:r>
              <w:rPr>
                <w:rFonts w:ascii="等线" w:hAnsi="等线" w:eastAsia="等线" w:cs="等线"/>
                <w:spacing w:val="-4"/>
                <w:sz w:val="18"/>
                <w:szCs w:val="18"/>
              </w:rPr>
              <w:t>溶解性</w:t>
            </w:r>
            <w:r>
              <w:rPr>
                <w:rFonts w:ascii="等线" w:hAnsi="等线" w:eastAsia="等线" w:cs="等线"/>
                <w:spacing w:val="-5"/>
                <w:sz w:val="18"/>
                <w:szCs w:val="18"/>
              </w:rPr>
              <w:t>总固体</w:t>
            </w:r>
          </w:p>
        </w:tc>
        <w:tc>
          <w:tcPr>
            <w:tcW w:w="570" w:type="dxa"/>
            <w:tcBorders>
              <w:top w:val="single" w:color="000000" w:sz="12" w:space="0"/>
            </w:tcBorders>
            <w:vAlign w:val="top"/>
          </w:tcPr>
          <w:p w14:paraId="022FDE13">
            <w:pPr>
              <w:spacing w:line="334" w:lineRule="auto"/>
              <w:rPr>
                <w:rFonts w:ascii="Arial"/>
                <w:sz w:val="21"/>
              </w:rPr>
            </w:pPr>
          </w:p>
          <w:p w14:paraId="623ACF63">
            <w:pPr>
              <w:spacing w:before="61" w:line="226" w:lineRule="auto"/>
              <w:ind w:left="4"/>
              <w:rPr>
                <w:rFonts w:ascii="等线" w:hAnsi="等线" w:eastAsia="等线" w:cs="等线"/>
                <w:sz w:val="18"/>
                <w:szCs w:val="18"/>
              </w:rPr>
            </w:pPr>
            <w:r>
              <w:rPr>
                <w:rFonts w:ascii="等线" w:hAnsi="等线" w:eastAsia="等线" w:cs="等线"/>
                <w:spacing w:val="-2"/>
                <w:sz w:val="18"/>
                <w:szCs w:val="18"/>
              </w:rPr>
              <w:t>硫酸盐</w:t>
            </w:r>
          </w:p>
        </w:tc>
        <w:tc>
          <w:tcPr>
            <w:tcW w:w="423" w:type="dxa"/>
            <w:tcBorders>
              <w:top w:val="single" w:color="000000" w:sz="12" w:space="0"/>
            </w:tcBorders>
            <w:vAlign w:val="top"/>
          </w:tcPr>
          <w:p w14:paraId="64EF7C64">
            <w:pPr>
              <w:spacing w:before="275" w:line="246" w:lineRule="auto"/>
              <w:ind w:left="114" w:right="36" w:hanging="93"/>
              <w:rPr>
                <w:rFonts w:ascii="等线" w:hAnsi="等线" w:eastAsia="等线" w:cs="等线"/>
                <w:sz w:val="18"/>
                <w:szCs w:val="18"/>
              </w:rPr>
            </w:pPr>
            <w:r>
              <w:rPr>
                <w:rFonts w:ascii="等线" w:hAnsi="等线" w:eastAsia="等线" w:cs="等线"/>
                <w:spacing w:val="-3"/>
                <w:sz w:val="18"/>
                <w:szCs w:val="18"/>
              </w:rPr>
              <w:t>氯化</w:t>
            </w:r>
            <w:r>
              <w:rPr>
                <w:rFonts w:ascii="等线" w:hAnsi="等线" w:eastAsia="等线" w:cs="等线"/>
                <w:sz w:val="18"/>
                <w:szCs w:val="18"/>
              </w:rPr>
              <w:t>物</w:t>
            </w:r>
          </w:p>
        </w:tc>
        <w:tc>
          <w:tcPr>
            <w:tcW w:w="567" w:type="dxa"/>
            <w:tcBorders>
              <w:top w:val="single" w:color="000000" w:sz="12" w:space="0"/>
            </w:tcBorders>
            <w:vAlign w:val="top"/>
          </w:tcPr>
          <w:p w14:paraId="7B2977F7">
            <w:pPr>
              <w:spacing w:line="333" w:lineRule="auto"/>
              <w:rPr>
                <w:rFonts w:ascii="Arial"/>
                <w:sz w:val="21"/>
              </w:rPr>
            </w:pPr>
          </w:p>
          <w:p w14:paraId="3A8ECD65">
            <w:pPr>
              <w:spacing w:before="61" w:line="226" w:lineRule="auto"/>
              <w:ind w:left="182"/>
              <w:rPr>
                <w:rFonts w:ascii="等线" w:hAnsi="等线" w:eastAsia="等线" w:cs="等线"/>
                <w:sz w:val="18"/>
                <w:szCs w:val="18"/>
              </w:rPr>
            </w:pPr>
            <w:r>
              <w:rPr>
                <w:rFonts w:ascii="等线" w:hAnsi="等线" w:eastAsia="等线" w:cs="等线"/>
                <w:sz w:val="18"/>
                <w:szCs w:val="18"/>
              </w:rPr>
              <w:t>铁</w:t>
            </w:r>
          </w:p>
        </w:tc>
        <w:tc>
          <w:tcPr>
            <w:tcW w:w="545" w:type="dxa"/>
            <w:tcBorders>
              <w:top w:val="single" w:color="000000" w:sz="12" w:space="0"/>
            </w:tcBorders>
            <w:vAlign w:val="top"/>
          </w:tcPr>
          <w:p w14:paraId="618D373B">
            <w:pPr>
              <w:spacing w:line="333" w:lineRule="auto"/>
              <w:rPr>
                <w:rFonts w:ascii="Arial"/>
                <w:sz w:val="21"/>
              </w:rPr>
            </w:pPr>
          </w:p>
          <w:p w14:paraId="636ADF82">
            <w:pPr>
              <w:spacing w:before="61" w:line="234" w:lineRule="auto"/>
              <w:ind w:left="174"/>
              <w:rPr>
                <w:rFonts w:ascii="等线" w:hAnsi="等线" w:eastAsia="等线" w:cs="等线"/>
                <w:sz w:val="18"/>
                <w:szCs w:val="18"/>
              </w:rPr>
            </w:pPr>
            <w:r>
              <w:rPr>
                <w:rFonts w:ascii="等线" w:hAnsi="等线" w:eastAsia="等线" w:cs="等线"/>
                <w:sz w:val="18"/>
                <w:szCs w:val="18"/>
              </w:rPr>
              <w:t>锰</w:t>
            </w:r>
          </w:p>
        </w:tc>
        <w:tc>
          <w:tcPr>
            <w:tcW w:w="472" w:type="dxa"/>
            <w:tcBorders>
              <w:top w:val="single" w:color="000000" w:sz="12" w:space="0"/>
            </w:tcBorders>
            <w:vAlign w:val="top"/>
          </w:tcPr>
          <w:p w14:paraId="107846B6">
            <w:pPr>
              <w:spacing w:line="334" w:lineRule="auto"/>
              <w:rPr>
                <w:rFonts w:ascii="Arial"/>
                <w:sz w:val="21"/>
              </w:rPr>
            </w:pPr>
          </w:p>
          <w:p w14:paraId="1FFF5247">
            <w:pPr>
              <w:spacing w:before="61" w:line="228" w:lineRule="auto"/>
              <w:ind w:left="140"/>
              <w:rPr>
                <w:rFonts w:ascii="等线" w:hAnsi="等线" w:eastAsia="等线" w:cs="等线"/>
                <w:sz w:val="18"/>
                <w:szCs w:val="18"/>
              </w:rPr>
            </w:pPr>
            <w:r>
              <w:rPr>
                <w:rFonts w:ascii="等线" w:hAnsi="等线" w:eastAsia="等线" w:cs="等线"/>
                <w:sz w:val="18"/>
                <w:szCs w:val="18"/>
              </w:rPr>
              <w:t>铜</w:t>
            </w:r>
          </w:p>
        </w:tc>
        <w:tc>
          <w:tcPr>
            <w:tcW w:w="562" w:type="dxa"/>
            <w:tcBorders>
              <w:top w:val="single" w:color="000000" w:sz="12" w:space="0"/>
            </w:tcBorders>
            <w:vAlign w:val="top"/>
          </w:tcPr>
          <w:p w14:paraId="6D45228D">
            <w:pPr>
              <w:spacing w:line="333" w:lineRule="auto"/>
              <w:rPr>
                <w:rFonts w:ascii="Arial"/>
                <w:sz w:val="21"/>
              </w:rPr>
            </w:pPr>
          </w:p>
          <w:p w14:paraId="61A70B87">
            <w:pPr>
              <w:spacing w:before="61" w:line="226" w:lineRule="auto"/>
              <w:ind w:left="185"/>
              <w:rPr>
                <w:rFonts w:ascii="等线" w:hAnsi="等线" w:eastAsia="等线" w:cs="等线"/>
                <w:sz w:val="18"/>
                <w:szCs w:val="18"/>
              </w:rPr>
            </w:pPr>
            <w:r>
              <w:rPr>
                <w:rFonts w:ascii="等线" w:hAnsi="等线" w:eastAsia="等线" w:cs="等线"/>
                <w:sz w:val="18"/>
                <w:szCs w:val="18"/>
              </w:rPr>
              <w:t>锌</w:t>
            </w:r>
          </w:p>
        </w:tc>
        <w:tc>
          <w:tcPr>
            <w:tcW w:w="651" w:type="dxa"/>
            <w:tcBorders>
              <w:top w:val="single" w:color="000000" w:sz="12" w:space="0"/>
            </w:tcBorders>
            <w:vAlign w:val="top"/>
          </w:tcPr>
          <w:p w14:paraId="525623D0">
            <w:pPr>
              <w:spacing w:line="334" w:lineRule="auto"/>
              <w:rPr>
                <w:rFonts w:ascii="Arial"/>
                <w:sz w:val="21"/>
              </w:rPr>
            </w:pPr>
          </w:p>
          <w:p w14:paraId="55C3E5BB">
            <w:pPr>
              <w:spacing w:before="61" w:line="227" w:lineRule="auto"/>
              <w:ind w:left="52"/>
              <w:rPr>
                <w:rFonts w:ascii="等线" w:hAnsi="等线" w:eastAsia="等线" w:cs="等线"/>
                <w:sz w:val="18"/>
                <w:szCs w:val="18"/>
              </w:rPr>
            </w:pPr>
            <w:r>
              <w:rPr>
                <w:rFonts w:ascii="等线" w:hAnsi="等线" w:eastAsia="等线" w:cs="等线"/>
                <w:spacing w:val="-2"/>
                <w:sz w:val="18"/>
                <w:szCs w:val="18"/>
              </w:rPr>
              <w:t>挥发酚</w:t>
            </w:r>
          </w:p>
        </w:tc>
        <w:tc>
          <w:tcPr>
            <w:tcW w:w="884" w:type="dxa"/>
            <w:tcBorders>
              <w:top w:val="single" w:color="000000" w:sz="12" w:space="0"/>
            </w:tcBorders>
            <w:vAlign w:val="top"/>
          </w:tcPr>
          <w:p w14:paraId="52BD6F8B">
            <w:pPr>
              <w:spacing w:before="273" w:line="246" w:lineRule="auto"/>
              <w:ind w:left="83" w:right="81" w:firstLine="12"/>
              <w:rPr>
                <w:rFonts w:ascii="等线" w:hAnsi="等线" w:eastAsia="等线" w:cs="等线"/>
                <w:sz w:val="18"/>
                <w:szCs w:val="18"/>
              </w:rPr>
            </w:pPr>
            <w:r>
              <w:rPr>
                <w:rFonts w:ascii="等线" w:hAnsi="等线" w:eastAsia="等线" w:cs="等线"/>
                <w:spacing w:val="-6"/>
                <w:sz w:val="18"/>
                <w:szCs w:val="18"/>
              </w:rPr>
              <w:t>阴离子表</w:t>
            </w:r>
            <w:r>
              <w:rPr>
                <w:rFonts w:ascii="等线" w:hAnsi="等线" w:eastAsia="等线" w:cs="等线"/>
                <w:spacing w:val="-3"/>
                <w:sz w:val="18"/>
                <w:szCs w:val="18"/>
              </w:rPr>
              <w:t>面活性剂</w:t>
            </w:r>
          </w:p>
        </w:tc>
        <w:tc>
          <w:tcPr>
            <w:tcW w:w="709" w:type="dxa"/>
            <w:tcBorders>
              <w:top w:val="single" w:color="000000" w:sz="12" w:space="0"/>
            </w:tcBorders>
            <w:vAlign w:val="top"/>
          </w:tcPr>
          <w:p w14:paraId="18C51EE6">
            <w:pPr>
              <w:spacing w:line="378" w:lineRule="auto"/>
              <w:rPr>
                <w:rFonts w:ascii="Arial"/>
                <w:sz w:val="21"/>
              </w:rPr>
            </w:pPr>
          </w:p>
          <w:p w14:paraId="0952DA1B">
            <w:pPr>
              <w:pStyle w:val="6"/>
              <w:spacing w:before="51" w:line="183" w:lineRule="auto"/>
              <w:ind w:left="245"/>
              <w:rPr>
                <w:sz w:val="18"/>
                <w:szCs w:val="18"/>
              </w:rPr>
            </w:pPr>
            <w:r>
              <w:rPr>
                <w:spacing w:val="-3"/>
                <w:sz w:val="18"/>
                <w:szCs w:val="18"/>
              </w:rPr>
              <w:t>TP</w:t>
            </w:r>
          </w:p>
        </w:tc>
        <w:tc>
          <w:tcPr>
            <w:tcW w:w="703" w:type="dxa"/>
            <w:tcBorders>
              <w:top w:val="single" w:color="000000" w:sz="12" w:space="0"/>
            </w:tcBorders>
            <w:vAlign w:val="top"/>
          </w:tcPr>
          <w:p w14:paraId="07682016">
            <w:pPr>
              <w:spacing w:line="334" w:lineRule="auto"/>
              <w:rPr>
                <w:rFonts w:ascii="Arial"/>
                <w:sz w:val="21"/>
              </w:rPr>
            </w:pPr>
          </w:p>
          <w:p w14:paraId="74F07424">
            <w:pPr>
              <w:spacing w:before="61" w:line="226" w:lineRule="auto"/>
              <w:ind w:left="78"/>
              <w:rPr>
                <w:rFonts w:ascii="等线" w:hAnsi="等线" w:eastAsia="等线" w:cs="等线"/>
                <w:sz w:val="18"/>
                <w:szCs w:val="18"/>
              </w:rPr>
            </w:pPr>
            <w:r>
              <w:rPr>
                <w:rFonts w:ascii="等线" w:hAnsi="等线" w:eastAsia="等线" w:cs="等线"/>
                <w:spacing w:val="-2"/>
                <w:sz w:val="18"/>
                <w:szCs w:val="18"/>
              </w:rPr>
              <w:t>硝酸盐</w:t>
            </w:r>
          </w:p>
        </w:tc>
        <w:tc>
          <w:tcPr>
            <w:tcW w:w="708" w:type="dxa"/>
            <w:tcBorders>
              <w:top w:val="single" w:color="000000" w:sz="12" w:space="0"/>
            </w:tcBorders>
            <w:vAlign w:val="top"/>
          </w:tcPr>
          <w:p w14:paraId="2E6C69B3">
            <w:pPr>
              <w:spacing w:before="275" w:line="248" w:lineRule="auto"/>
              <w:ind w:left="267" w:right="80" w:hanging="177"/>
              <w:rPr>
                <w:rFonts w:ascii="等线" w:hAnsi="等线" w:eastAsia="等线" w:cs="等线"/>
                <w:sz w:val="18"/>
                <w:szCs w:val="18"/>
              </w:rPr>
            </w:pPr>
            <w:r>
              <w:rPr>
                <w:rFonts w:ascii="等线" w:hAnsi="等线" w:eastAsia="等线" w:cs="等线"/>
                <w:spacing w:val="-5"/>
                <w:sz w:val="18"/>
                <w:szCs w:val="18"/>
              </w:rPr>
              <w:t>亚硝酸</w:t>
            </w:r>
            <w:r>
              <w:rPr>
                <w:rFonts w:ascii="等线" w:hAnsi="等线" w:eastAsia="等线" w:cs="等线"/>
                <w:sz w:val="18"/>
                <w:szCs w:val="18"/>
              </w:rPr>
              <w:t>盐</w:t>
            </w:r>
          </w:p>
        </w:tc>
        <w:tc>
          <w:tcPr>
            <w:tcW w:w="764" w:type="dxa"/>
            <w:tcBorders>
              <w:top w:val="single" w:color="000000" w:sz="12" w:space="0"/>
            </w:tcBorders>
            <w:vAlign w:val="top"/>
          </w:tcPr>
          <w:p w14:paraId="1C0534B6">
            <w:pPr>
              <w:spacing w:line="333" w:lineRule="auto"/>
              <w:rPr>
                <w:rFonts w:ascii="Arial"/>
                <w:sz w:val="21"/>
              </w:rPr>
            </w:pPr>
          </w:p>
          <w:p w14:paraId="62C501EE">
            <w:pPr>
              <w:spacing w:before="61" w:line="225" w:lineRule="auto"/>
              <w:ind w:left="203"/>
              <w:rPr>
                <w:rFonts w:ascii="等线" w:hAnsi="等线" w:eastAsia="等线" w:cs="等线"/>
                <w:sz w:val="18"/>
                <w:szCs w:val="18"/>
              </w:rPr>
            </w:pPr>
            <w:r>
              <w:rPr>
                <w:rFonts w:ascii="等线" w:hAnsi="等线" w:eastAsia="等线" w:cs="等线"/>
                <w:spacing w:val="-2"/>
                <w:sz w:val="18"/>
                <w:szCs w:val="18"/>
              </w:rPr>
              <w:t>氨氮</w:t>
            </w:r>
          </w:p>
        </w:tc>
        <w:tc>
          <w:tcPr>
            <w:tcW w:w="586" w:type="dxa"/>
            <w:tcBorders>
              <w:top w:val="single" w:color="000000" w:sz="12" w:space="0"/>
            </w:tcBorders>
            <w:vAlign w:val="top"/>
          </w:tcPr>
          <w:p w14:paraId="26FE1FA4">
            <w:pPr>
              <w:spacing w:line="333" w:lineRule="auto"/>
              <w:rPr>
                <w:rFonts w:ascii="Arial"/>
                <w:sz w:val="21"/>
              </w:rPr>
            </w:pPr>
          </w:p>
          <w:p w14:paraId="587A7926">
            <w:pPr>
              <w:spacing w:before="61" w:line="228" w:lineRule="auto"/>
              <w:ind w:left="27"/>
              <w:rPr>
                <w:rFonts w:ascii="等线" w:hAnsi="等线" w:eastAsia="等线" w:cs="等线"/>
                <w:sz w:val="18"/>
                <w:szCs w:val="18"/>
              </w:rPr>
            </w:pPr>
            <w:r>
              <w:rPr>
                <w:rFonts w:ascii="等线" w:hAnsi="等线" w:eastAsia="等线" w:cs="等线"/>
                <w:spacing w:val="-2"/>
                <w:sz w:val="18"/>
                <w:szCs w:val="18"/>
              </w:rPr>
              <w:t>氟化物</w:t>
            </w:r>
          </w:p>
        </w:tc>
        <w:tc>
          <w:tcPr>
            <w:tcW w:w="582" w:type="dxa"/>
            <w:tcBorders>
              <w:top w:val="single" w:color="000000" w:sz="12" w:space="0"/>
            </w:tcBorders>
            <w:vAlign w:val="top"/>
          </w:tcPr>
          <w:p w14:paraId="2A1D0612">
            <w:pPr>
              <w:spacing w:line="333" w:lineRule="auto"/>
              <w:rPr>
                <w:rFonts w:ascii="Arial"/>
                <w:sz w:val="21"/>
              </w:rPr>
            </w:pPr>
          </w:p>
          <w:p w14:paraId="4A86733F">
            <w:pPr>
              <w:spacing w:before="61" w:line="227" w:lineRule="auto"/>
              <w:ind w:left="24"/>
              <w:rPr>
                <w:rFonts w:ascii="等线" w:hAnsi="等线" w:eastAsia="等线" w:cs="等线"/>
                <w:sz w:val="18"/>
                <w:szCs w:val="18"/>
              </w:rPr>
            </w:pPr>
            <w:r>
              <w:rPr>
                <w:rFonts w:ascii="等线" w:hAnsi="等线" w:eastAsia="等线" w:cs="等线"/>
                <w:spacing w:val="-2"/>
                <w:sz w:val="18"/>
                <w:szCs w:val="18"/>
              </w:rPr>
              <w:t>氰化物</w:t>
            </w:r>
          </w:p>
        </w:tc>
        <w:tc>
          <w:tcPr>
            <w:tcW w:w="745" w:type="dxa"/>
            <w:tcBorders>
              <w:top w:val="single" w:color="000000" w:sz="12" w:space="0"/>
            </w:tcBorders>
            <w:vAlign w:val="top"/>
          </w:tcPr>
          <w:p w14:paraId="3B3F4A3A">
            <w:pPr>
              <w:spacing w:line="334" w:lineRule="auto"/>
              <w:rPr>
                <w:rFonts w:ascii="Arial"/>
                <w:sz w:val="21"/>
              </w:rPr>
            </w:pPr>
          </w:p>
          <w:p w14:paraId="57D25B72">
            <w:pPr>
              <w:spacing w:before="61" w:line="228" w:lineRule="auto"/>
              <w:ind w:left="288"/>
              <w:rPr>
                <w:rFonts w:ascii="等线" w:hAnsi="等线" w:eastAsia="等线" w:cs="等线"/>
                <w:sz w:val="18"/>
                <w:szCs w:val="18"/>
              </w:rPr>
            </w:pPr>
            <w:r>
              <w:rPr>
                <w:rFonts w:ascii="等线" w:hAnsi="等线" w:eastAsia="等线" w:cs="等线"/>
                <w:sz w:val="18"/>
                <w:szCs w:val="18"/>
              </w:rPr>
              <w:t>汞</w:t>
            </w:r>
          </w:p>
        </w:tc>
        <w:tc>
          <w:tcPr>
            <w:tcW w:w="651" w:type="dxa"/>
            <w:tcBorders>
              <w:top w:val="single" w:color="000000" w:sz="12" w:space="0"/>
            </w:tcBorders>
            <w:vAlign w:val="top"/>
          </w:tcPr>
          <w:p w14:paraId="328D8A6D">
            <w:pPr>
              <w:spacing w:line="334" w:lineRule="auto"/>
              <w:rPr>
                <w:rFonts w:ascii="Arial"/>
                <w:sz w:val="21"/>
              </w:rPr>
            </w:pPr>
          </w:p>
          <w:p w14:paraId="5CE2C63B">
            <w:pPr>
              <w:spacing w:before="61" w:line="226" w:lineRule="auto"/>
              <w:ind w:left="242"/>
              <w:rPr>
                <w:rFonts w:ascii="等线" w:hAnsi="等线" w:eastAsia="等线" w:cs="等线"/>
                <w:sz w:val="18"/>
                <w:szCs w:val="18"/>
              </w:rPr>
            </w:pPr>
            <w:r>
              <w:rPr>
                <w:rFonts w:ascii="等线" w:hAnsi="等线" w:eastAsia="等线" w:cs="等线"/>
                <w:sz w:val="18"/>
                <w:szCs w:val="18"/>
              </w:rPr>
              <w:t>砷</w:t>
            </w:r>
          </w:p>
        </w:tc>
        <w:tc>
          <w:tcPr>
            <w:tcW w:w="652" w:type="dxa"/>
            <w:tcBorders>
              <w:top w:val="single" w:color="000000" w:sz="12" w:space="0"/>
            </w:tcBorders>
            <w:vAlign w:val="top"/>
          </w:tcPr>
          <w:p w14:paraId="6395B7F4">
            <w:pPr>
              <w:spacing w:line="334" w:lineRule="auto"/>
              <w:rPr>
                <w:rFonts w:ascii="Arial"/>
                <w:sz w:val="21"/>
              </w:rPr>
            </w:pPr>
          </w:p>
          <w:p w14:paraId="104B5E74">
            <w:pPr>
              <w:spacing w:before="61" w:line="230" w:lineRule="auto"/>
              <w:ind w:left="243"/>
              <w:rPr>
                <w:rFonts w:ascii="等线" w:hAnsi="等线" w:eastAsia="等线" w:cs="等线"/>
                <w:sz w:val="18"/>
                <w:szCs w:val="18"/>
              </w:rPr>
            </w:pPr>
            <w:r>
              <w:rPr>
                <w:rFonts w:ascii="等线" w:hAnsi="等线" w:eastAsia="等线" w:cs="等线"/>
                <w:sz w:val="18"/>
                <w:szCs w:val="18"/>
              </w:rPr>
              <w:t>硒</w:t>
            </w:r>
          </w:p>
        </w:tc>
        <w:tc>
          <w:tcPr>
            <w:tcW w:w="566" w:type="dxa"/>
            <w:tcBorders>
              <w:top w:val="single" w:color="000000" w:sz="12" w:space="0"/>
            </w:tcBorders>
            <w:vAlign w:val="top"/>
          </w:tcPr>
          <w:p w14:paraId="13C6C960">
            <w:pPr>
              <w:spacing w:line="333" w:lineRule="auto"/>
              <w:rPr>
                <w:rFonts w:ascii="Arial"/>
                <w:sz w:val="21"/>
              </w:rPr>
            </w:pPr>
          </w:p>
          <w:p w14:paraId="19496C06">
            <w:pPr>
              <w:spacing w:before="61" w:line="228" w:lineRule="auto"/>
              <w:ind w:left="200"/>
              <w:rPr>
                <w:rFonts w:ascii="等线" w:hAnsi="等线" w:eastAsia="等线" w:cs="等线"/>
                <w:sz w:val="18"/>
                <w:szCs w:val="18"/>
              </w:rPr>
            </w:pPr>
            <w:r>
              <w:rPr>
                <w:rFonts w:ascii="等线" w:hAnsi="等线" w:eastAsia="等线" w:cs="等线"/>
                <w:sz w:val="18"/>
                <w:szCs w:val="18"/>
              </w:rPr>
              <w:t>镉</w:t>
            </w:r>
          </w:p>
        </w:tc>
        <w:tc>
          <w:tcPr>
            <w:tcW w:w="582" w:type="dxa"/>
            <w:tcBorders>
              <w:top w:val="single" w:color="000000" w:sz="12" w:space="0"/>
            </w:tcBorders>
            <w:vAlign w:val="top"/>
          </w:tcPr>
          <w:p w14:paraId="44CABA5C">
            <w:pPr>
              <w:spacing w:line="334" w:lineRule="auto"/>
              <w:rPr>
                <w:rFonts w:ascii="Arial"/>
                <w:sz w:val="21"/>
              </w:rPr>
            </w:pPr>
          </w:p>
          <w:p w14:paraId="765BC810">
            <w:pPr>
              <w:spacing w:before="61" w:line="226" w:lineRule="auto"/>
              <w:ind w:left="33"/>
              <w:rPr>
                <w:rFonts w:ascii="等线" w:hAnsi="等线" w:eastAsia="等线" w:cs="等线"/>
                <w:sz w:val="18"/>
                <w:szCs w:val="18"/>
              </w:rPr>
            </w:pPr>
            <w:r>
              <w:rPr>
                <w:rFonts w:ascii="等线" w:hAnsi="等线" w:eastAsia="等线" w:cs="等线"/>
                <w:spacing w:val="-3"/>
                <w:sz w:val="18"/>
                <w:szCs w:val="18"/>
              </w:rPr>
              <w:t>六价铬</w:t>
            </w:r>
          </w:p>
        </w:tc>
        <w:tc>
          <w:tcPr>
            <w:tcW w:w="476" w:type="dxa"/>
            <w:tcBorders>
              <w:top w:val="single" w:color="000000" w:sz="12" w:space="0"/>
            </w:tcBorders>
            <w:vAlign w:val="top"/>
          </w:tcPr>
          <w:p w14:paraId="6B5CD114">
            <w:pPr>
              <w:spacing w:line="334" w:lineRule="auto"/>
              <w:rPr>
                <w:rFonts w:ascii="Arial"/>
                <w:sz w:val="21"/>
              </w:rPr>
            </w:pPr>
          </w:p>
          <w:p w14:paraId="33CE9EB7">
            <w:pPr>
              <w:spacing w:before="61" w:line="227" w:lineRule="auto"/>
              <w:ind w:left="155"/>
              <w:rPr>
                <w:rFonts w:ascii="等线" w:hAnsi="等线" w:eastAsia="等线" w:cs="等线"/>
                <w:sz w:val="18"/>
                <w:szCs w:val="18"/>
              </w:rPr>
            </w:pPr>
            <w:r>
              <w:rPr>
                <w:rFonts w:ascii="等线" w:hAnsi="等线" w:eastAsia="等线" w:cs="等线"/>
                <w:sz w:val="18"/>
                <w:szCs w:val="18"/>
              </w:rPr>
              <w:t>铅</w:t>
            </w:r>
          </w:p>
        </w:tc>
        <w:tc>
          <w:tcPr>
            <w:tcW w:w="567" w:type="dxa"/>
            <w:tcBorders>
              <w:top w:val="single" w:color="000000" w:sz="12" w:space="0"/>
            </w:tcBorders>
            <w:vAlign w:val="top"/>
          </w:tcPr>
          <w:p w14:paraId="3D0C2EDB">
            <w:pPr>
              <w:spacing w:line="333" w:lineRule="auto"/>
              <w:rPr>
                <w:rFonts w:ascii="Arial"/>
                <w:sz w:val="21"/>
              </w:rPr>
            </w:pPr>
          </w:p>
          <w:p w14:paraId="39841438">
            <w:pPr>
              <w:spacing w:before="61" w:line="227" w:lineRule="auto"/>
              <w:ind w:left="203"/>
              <w:rPr>
                <w:rFonts w:ascii="等线" w:hAnsi="等线" w:eastAsia="等线" w:cs="等线"/>
                <w:sz w:val="18"/>
                <w:szCs w:val="18"/>
              </w:rPr>
            </w:pPr>
            <w:r>
              <w:rPr>
                <w:rFonts w:ascii="等线" w:hAnsi="等线" w:eastAsia="等线" w:cs="等线"/>
                <w:sz w:val="18"/>
                <w:szCs w:val="18"/>
              </w:rPr>
              <w:t>铝</w:t>
            </w:r>
          </w:p>
        </w:tc>
        <w:tc>
          <w:tcPr>
            <w:tcW w:w="765" w:type="dxa"/>
            <w:tcBorders>
              <w:top w:val="single" w:color="000000" w:sz="12" w:space="0"/>
            </w:tcBorders>
            <w:vAlign w:val="top"/>
          </w:tcPr>
          <w:p w14:paraId="4A2BBEFD">
            <w:pPr>
              <w:spacing w:before="67" w:line="246" w:lineRule="auto"/>
              <w:ind w:left="301" w:right="7" w:hanging="261"/>
              <w:rPr>
                <w:rFonts w:ascii="等线" w:hAnsi="等线" w:eastAsia="等线" w:cs="等线"/>
                <w:sz w:val="18"/>
                <w:szCs w:val="18"/>
              </w:rPr>
            </w:pPr>
            <w:r>
              <w:rPr>
                <w:rFonts w:ascii="等线" w:hAnsi="等线" w:eastAsia="等线" w:cs="等线"/>
                <w:spacing w:val="-4"/>
                <w:sz w:val="18"/>
                <w:szCs w:val="18"/>
              </w:rPr>
              <w:t>总大肠菌</w:t>
            </w:r>
            <w:r>
              <w:rPr>
                <w:rFonts w:ascii="等线" w:hAnsi="等线" w:eastAsia="等线" w:cs="等线"/>
                <w:sz w:val="18"/>
                <w:szCs w:val="18"/>
              </w:rPr>
              <w:t>群</w:t>
            </w:r>
          </w:p>
          <w:p w14:paraId="76340B48">
            <w:pPr>
              <w:pStyle w:val="6"/>
              <w:spacing w:line="189" w:lineRule="auto"/>
              <w:ind w:left="34"/>
              <w:rPr>
                <w:sz w:val="18"/>
                <w:szCs w:val="18"/>
              </w:rPr>
            </w:pPr>
            <w:r>
              <w:rPr>
                <w:spacing w:val="-1"/>
                <w:sz w:val="18"/>
                <w:szCs w:val="18"/>
              </w:rPr>
              <w:t>MPN/100</w:t>
            </w:r>
          </w:p>
          <w:p w14:paraId="2A63B58D">
            <w:pPr>
              <w:pStyle w:val="6"/>
              <w:spacing w:before="43" w:line="235" w:lineRule="auto"/>
              <w:ind w:left="263"/>
              <w:rPr>
                <w:sz w:val="18"/>
                <w:szCs w:val="18"/>
              </w:rPr>
            </w:pPr>
            <w:r>
              <w:rPr>
                <w:spacing w:val="-1"/>
                <w:sz w:val="18"/>
                <w:szCs w:val="18"/>
              </w:rPr>
              <w:t>mL</w:t>
            </w:r>
          </w:p>
        </w:tc>
        <w:tc>
          <w:tcPr>
            <w:tcW w:w="424" w:type="dxa"/>
            <w:tcBorders>
              <w:top w:val="single" w:color="000000" w:sz="12" w:space="0"/>
            </w:tcBorders>
            <w:vAlign w:val="top"/>
          </w:tcPr>
          <w:p w14:paraId="712B41CA">
            <w:pPr>
              <w:spacing w:before="275" w:line="245" w:lineRule="auto"/>
              <w:ind w:left="134" w:right="16" w:hanging="90"/>
              <w:rPr>
                <w:rFonts w:ascii="等线" w:hAnsi="等线" w:eastAsia="等线" w:cs="等线"/>
                <w:sz w:val="18"/>
                <w:szCs w:val="18"/>
              </w:rPr>
            </w:pPr>
            <w:r>
              <w:rPr>
                <w:rFonts w:ascii="等线" w:hAnsi="等线" w:eastAsia="等线" w:cs="等线"/>
                <w:spacing w:val="-4"/>
                <w:sz w:val="18"/>
                <w:szCs w:val="18"/>
              </w:rPr>
              <w:t>矿化</w:t>
            </w:r>
            <w:r>
              <w:rPr>
                <w:rFonts w:ascii="等线" w:hAnsi="等线" w:eastAsia="等线" w:cs="等线"/>
                <w:sz w:val="18"/>
                <w:szCs w:val="18"/>
              </w:rPr>
              <w:t>度</w:t>
            </w:r>
          </w:p>
        </w:tc>
        <w:tc>
          <w:tcPr>
            <w:tcW w:w="427" w:type="dxa"/>
            <w:tcBorders>
              <w:top w:val="single" w:color="000000" w:sz="12" w:space="0"/>
            </w:tcBorders>
            <w:vAlign w:val="top"/>
          </w:tcPr>
          <w:p w14:paraId="4DDCF524">
            <w:pPr>
              <w:spacing w:before="274" w:line="248" w:lineRule="auto"/>
              <w:ind w:left="137" w:right="17" w:hanging="95"/>
              <w:rPr>
                <w:rFonts w:ascii="等线" w:hAnsi="等线" w:eastAsia="等线" w:cs="等线"/>
                <w:sz w:val="18"/>
                <w:szCs w:val="18"/>
              </w:rPr>
            </w:pPr>
            <w:r>
              <w:rPr>
                <w:rFonts w:ascii="等线" w:hAnsi="等线" w:eastAsia="等线" w:cs="等线"/>
                <w:spacing w:val="-2"/>
                <w:sz w:val="18"/>
                <w:szCs w:val="18"/>
              </w:rPr>
              <w:t>耗氧</w:t>
            </w:r>
            <w:r>
              <w:rPr>
                <w:rFonts w:ascii="等线" w:hAnsi="等线" w:eastAsia="等线" w:cs="等线"/>
                <w:sz w:val="18"/>
                <w:szCs w:val="18"/>
              </w:rPr>
              <w:t>量</w:t>
            </w:r>
          </w:p>
        </w:tc>
        <w:tc>
          <w:tcPr>
            <w:tcW w:w="424" w:type="dxa"/>
            <w:tcBorders>
              <w:top w:val="single" w:color="000000" w:sz="12" w:space="0"/>
            </w:tcBorders>
            <w:vAlign w:val="top"/>
          </w:tcPr>
          <w:p w14:paraId="524DCC10">
            <w:pPr>
              <w:spacing w:line="333" w:lineRule="auto"/>
              <w:rPr>
                <w:rFonts w:ascii="Arial"/>
                <w:sz w:val="21"/>
              </w:rPr>
            </w:pPr>
          </w:p>
          <w:p w14:paraId="0F62CEC2">
            <w:pPr>
              <w:spacing w:before="61" w:line="229" w:lineRule="auto"/>
              <w:ind w:left="134"/>
              <w:rPr>
                <w:rFonts w:ascii="等线" w:hAnsi="等线" w:eastAsia="等线" w:cs="等线"/>
                <w:sz w:val="18"/>
                <w:szCs w:val="18"/>
              </w:rPr>
            </w:pPr>
            <w:r>
              <w:rPr>
                <w:rFonts w:ascii="等线" w:hAnsi="等线" w:eastAsia="等线" w:cs="等线"/>
                <w:sz w:val="18"/>
                <w:szCs w:val="18"/>
              </w:rPr>
              <w:t>钾</w:t>
            </w:r>
          </w:p>
        </w:tc>
        <w:tc>
          <w:tcPr>
            <w:tcW w:w="423" w:type="dxa"/>
            <w:tcBorders>
              <w:top w:val="single" w:color="000000" w:sz="12" w:space="0"/>
            </w:tcBorders>
            <w:vAlign w:val="top"/>
          </w:tcPr>
          <w:p w14:paraId="1E81E7E0">
            <w:pPr>
              <w:spacing w:line="334" w:lineRule="auto"/>
              <w:rPr>
                <w:rFonts w:ascii="Arial"/>
                <w:sz w:val="21"/>
              </w:rPr>
            </w:pPr>
          </w:p>
          <w:p w14:paraId="3A5BE55B">
            <w:pPr>
              <w:spacing w:before="61" w:line="229" w:lineRule="auto"/>
              <w:ind w:left="135"/>
              <w:rPr>
                <w:rFonts w:ascii="等线" w:hAnsi="等线" w:eastAsia="等线" w:cs="等线"/>
                <w:sz w:val="18"/>
                <w:szCs w:val="18"/>
              </w:rPr>
            </w:pPr>
            <w:r>
              <w:rPr>
                <w:rFonts w:ascii="等线" w:hAnsi="等线" w:eastAsia="等线" w:cs="等线"/>
                <w:sz w:val="18"/>
                <w:szCs w:val="18"/>
              </w:rPr>
              <w:t>钠</w:t>
            </w:r>
          </w:p>
        </w:tc>
        <w:tc>
          <w:tcPr>
            <w:tcW w:w="472" w:type="dxa"/>
            <w:tcBorders>
              <w:top w:val="single" w:color="000000" w:sz="12" w:space="0"/>
            </w:tcBorders>
            <w:vAlign w:val="top"/>
          </w:tcPr>
          <w:p w14:paraId="16B14208">
            <w:pPr>
              <w:spacing w:line="333" w:lineRule="auto"/>
              <w:rPr>
                <w:rFonts w:ascii="Arial"/>
                <w:sz w:val="21"/>
              </w:rPr>
            </w:pPr>
          </w:p>
          <w:p w14:paraId="794242E7">
            <w:pPr>
              <w:spacing w:before="61" w:line="229" w:lineRule="auto"/>
              <w:ind w:left="160"/>
              <w:rPr>
                <w:rFonts w:ascii="等线" w:hAnsi="等线" w:eastAsia="等线" w:cs="等线"/>
                <w:sz w:val="18"/>
                <w:szCs w:val="18"/>
              </w:rPr>
            </w:pPr>
            <w:r>
              <w:rPr>
                <w:rFonts w:ascii="等线" w:hAnsi="等线" w:eastAsia="等线" w:cs="等线"/>
                <w:sz w:val="18"/>
                <w:szCs w:val="18"/>
              </w:rPr>
              <w:t>钙</w:t>
            </w:r>
          </w:p>
        </w:tc>
        <w:tc>
          <w:tcPr>
            <w:tcW w:w="377" w:type="dxa"/>
            <w:tcBorders>
              <w:top w:val="single" w:color="000000" w:sz="12" w:space="0"/>
              <w:right w:val="single" w:color="000000" w:sz="12" w:space="0"/>
            </w:tcBorders>
            <w:vAlign w:val="top"/>
          </w:tcPr>
          <w:p w14:paraId="695A56B8">
            <w:pPr>
              <w:spacing w:line="334" w:lineRule="auto"/>
              <w:rPr>
                <w:rFonts w:ascii="Arial"/>
                <w:sz w:val="21"/>
              </w:rPr>
            </w:pPr>
          </w:p>
          <w:p w14:paraId="4270293D">
            <w:pPr>
              <w:spacing w:before="61" w:line="225" w:lineRule="auto"/>
              <w:ind w:left="101"/>
              <w:rPr>
                <w:rFonts w:ascii="等线" w:hAnsi="等线" w:eastAsia="等线" w:cs="等线"/>
                <w:sz w:val="18"/>
                <w:szCs w:val="18"/>
              </w:rPr>
            </w:pPr>
            <w:r>
              <w:rPr>
                <w:rFonts w:ascii="等线" w:hAnsi="等线" w:eastAsia="等线" w:cs="等线"/>
                <w:sz w:val="18"/>
                <w:szCs w:val="18"/>
              </w:rPr>
              <w:t>镁</w:t>
            </w:r>
          </w:p>
        </w:tc>
      </w:tr>
      <w:tr w14:paraId="0C04A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restart"/>
            <w:tcBorders>
              <w:left w:val="single" w:color="000000" w:sz="12" w:space="0"/>
              <w:bottom w:val="nil"/>
            </w:tcBorders>
            <w:vAlign w:val="top"/>
          </w:tcPr>
          <w:p w14:paraId="279C939D">
            <w:pPr>
              <w:spacing w:line="252" w:lineRule="auto"/>
              <w:rPr>
                <w:rFonts w:ascii="Arial"/>
                <w:sz w:val="21"/>
              </w:rPr>
            </w:pPr>
          </w:p>
          <w:p w14:paraId="5A2FAFD1">
            <w:pPr>
              <w:spacing w:line="253" w:lineRule="auto"/>
              <w:rPr>
                <w:rFonts w:ascii="Arial"/>
                <w:sz w:val="21"/>
              </w:rPr>
            </w:pPr>
          </w:p>
          <w:p w14:paraId="279EE200">
            <w:pPr>
              <w:spacing w:line="253" w:lineRule="auto"/>
              <w:rPr>
                <w:rFonts w:ascii="Arial"/>
                <w:sz w:val="21"/>
              </w:rPr>
            </w:pPr>
          </w:p>
          <w:p w14:paraId="21E0D8E6">
            <w:pPr>
              <w:spacing w:line="253" w:lineRule="auto"/>
              <w:rPr>
                <w:rFonts w:ascii="Arial"/>
                <w:sz w:val="21"/>
              </w:rPr>
            </w:pPr>
          </w:p>
          <w:p w14:paraId="4992F54C">
            <w:pPr>
              <w:spacing w:line="253" w:lineRule="auto"/>
              <w:rPr>
                <w:rFonts w:ascii="Arial"/>
                <w:sz w:val="21"/>
              </w:rPr>
            </w:pPr>
          </w:p>
          <w:p w14:paraId="7125DDFB">
            <w:pPr>
              <w:spacing w:line="253" w:lineRule="auto"/>
              <w:rPr>
                <w:rFonts w:ascii="Arial"/>
                <w:sz w:val="21"/>
              </w:rPr>
            </w:pPr>
          </w:p>
          <w:p w14:paraId="2F9438C9">
            <w:pPr>
              <w:spacing w:before="61" w:line="245" w:lineRule="auto"/>
              <w:ind w:left="186" w:right="18" w:hanging="169"/>
              <w:rPr>
                <w:rFonts w:ascii="等线" w:hAnsi="等线" w:eastAsia="等线" w:cs="等线"/>
                <w:sz w:val="18"/>
                <w:szCs w:val="18"/>
              </w:rPr>
            </w:pPr>
            <w:r>
              <w:rPr>
                <w:rFonts w:ascii="等线" w:hAnsi="等线" w:eastAsia="等线" w:cs="等线"/>
                <w:spacing w:val="-6"/>
                <w:sz w:val="18"/>
                <w:szCs w:val="18"/>
              </w:rPr>
              <w:t>响水街</w:t>
            </w:r>
            <w:r>
              <w:rPr>
                <w:rFonts w:ascii="等线" w:hAnsi="等线" w:eastAsia="等线" w:cs="等线"/>
                <w:sz w:val="18"/>
                <w:szCs w:val="18"/>
              </w:rPr>
              <w:t>村</w:t>
            </w:r>
          </w:p>
        </w:tc>
        <w:tc>
          <w:tcPr>
            <w:tcW w:w="268" w:type="dxa"/>
            <w:vMerge w:val="restart"/>
            <w:tcBorders>
              <w:bottom w:val="nil"/>
            </w:tcBorders>
            <w:vAlign w:val="top"/>
          </w:tcPr>
          <w:p w14:paraId="778EC1BB">
            <w:pPr>
              <w:pStyle w:val="6"/>
              <w:spacing w:before="137" w:line="226" w:lineRule="auto"/>
              <w:ind w:left="90"/>
              <w:rPr>
                <w:sz w:val="18"/>
                <w:szCs w:val="18"/>
              </w:rPr>
            </w:pPr>
            <w:r>
              <w:rPr>
                <w:sz w:val="18"/>
                <w:szCs w:val="18"/>
              </w:rPr>
              <w:t>1</w:t>
            </w:r>
          </w:p>
          <w:p w14:paraId="03B503F6">
            <w:pPr>
              <w:spacing w:line="226" w:lineRule="auto"/>
              <w:ind w:left="31"/>
              <w:rPr>
                <w:rFonts w:ascii="等线" w:hAnsi="等线" w:eastAsia="等线" w:cs="等线"/>
                <w:sz w:val="18"/>
                <w:szCs w:val="18"/>
              </w:rPr>
            </w:pPr>
            <w:r>
              <w:rPr>
                <w:rFonts w:ascii="等线" w:hAnsi="等线" w:eastAsia="等线" w:cs="等线"/>
                <w:sz w:val="18"/>
                <w:szCs w:val="18"/>
              </w:rPr>
              <w:t>季</w:t>
            </w:r>
          </w:p>
          <w:p w14:paraId="5DFDAC82">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454F8C24">
            <w:pPr>
              <w:pStyle w:val="6"/>
              <w:spacing w:before="78" w:line="232" w:lineRule="auto"/>
              <w:ind w:left="138"/>
              <w:rPr>
                <w:sz w:val="18"/>
                <w:szCs w:val="18"/>
              </w:rPr>
            </w:pPr>
            <w:r>
              <w:rPr>
                <w:spacing w:val="-1"/>
                <w:sz w:val="18"/>
                <w:szCs w:val="18"/>
              </w:rPr>
              <w:t>2020/3/10</w:t>
            </w:r>
          </w:p>
        </w:tc>
        <w:tc>
          <w:tcPr>
            <w:tcW w:w="774" w:type="dxa"/>
            <w:vAlign w:val="top"/>
          </w:tcPr>
          <w:p w14:paraId="26218E75">
            <w:pPr>
              <w:pStyle w:val="6"/>
              <w:spacing w:before="78" w:line="232" w:lineRule="auto"/>
              <w:ind w:left="220"/>
              <w:rPr>
                <w:sz w:val="18"/>
                <w:szCs w:val="18"/>
              </w:rPr>
            </w:pPr>
            <w:r>
              <w:rPr>
                <w:spacing w:val="-2"/>
                <w:sz w:val="18"/>
                <w:szCs w:val="18"/>
              </w:rPr>
              <w:t>6.85</w:t>
            </w:r>
          </w:p>
        </w:tc>
        <w:tc>
          <w:tcPr>
            <w:tcW w:w="741" w:type="dxa"/>
            <w:vAlign w:val="top"/>
          </w:tcPr>
          <w:p w14:paraId="499874C2">
            <w:pPr>
              <w:pStyle w:val="6"/>
              <w:spacing w:before="79" w:line="232" w:lineRule="auto"/>
              <w:ind w:left="222"/>
              <w:rPr>
                <w:sz w:val="18"/>
                <w:szCs w:val="18"/>
              </w:rPr>
            </w:pPr>
            <w:r>
              <w:rPr>
                <w:spacing w:val="-1"/>
                <w:sz w:val="18"/>
                <w:szCs w:val="18"/>
              </w:rPr>
              <w:t>202</w:t>
            </w:r>
          </w:p>
        </w:tc>
        <w:tc>
          <w:tcPr>
            <w:tcW w:w="705" w:type="dxa"/>
            <w:vAlign w:val="top"/>
          </w:tcPr>
          <w:p w14:paraId="25873D9A">
            <w:pPr>
              <w:pStyle w:val="6"/>
              <w:spacing w:before="79" w:line="232" w:lineRule="auto"/>
              <w:ind w:left="209"/>
              <w:rPr>
                <w:sz w:val="18"/>
                <w:szCs w:val="18"/>
              </w:rPr>
            </w:pPr>
            <w:r>
              <w:rPr>
                <w:spacing w:val="-2"/>
                <w:sz w:val="18"/>
                <w:szCs w:val="18"/>
              </w:rPr>
              <w:t>305</w:t>
            </w:r>
          </w:p>
        </w:tc>
        <w:tc>
          <w:tcPr>
            <w:tcW w:w="570" w:type="dxa"/>
            <w:vAlign w:val="top"/>
          </w:tcPr>
          <w:p w14:paraId="0B7B2A1D">
            <w:pPr>
              <w:pStyle w:val="6"/>
              <w:spacing w:before="79" w:line="232" w:lineRule="auto"/>
              <w:ind w:left="186"/>
              <w:rPr>
                <w:sz w:val="18"/>
                <w:szCs w:val="18"/>
              </w:rPr>
            </w:pPr>
            <w:r>
              <w:rPr>
                <w:spacing w:val="-2"/>
                <w:sz w:val="18"/>
                <w:szCs w:val="18"/>
              </w:rPr>
              <w:t>64</w:t>
            </w:r>
          </w:p>
        </w:tc>
        <w:tc>
          <w:tcPr>
            <w:tcW w:w="423" w:type="dxa"/>
            <w:vAlign w:val="top"/>
          </w:tcPr>
          <w:p w14:paraId="30C6CA13">
            <w:pPr>
              <w:pStyle w:val="6"/>
              <w:spacing w:before="81" w:line="186" w:lineRule="auto"/>
              <w:ind w:left="72"/>
              <w:rPr>
                <w:sz w:val="18"/>
                <w:szCs w:val="18"/>
              </w:rPr>
            </w:pPr>
            <w:r>
              <w:rPr>
                <w:spacing w:val="-5"/>
                <w:sz w:val="18"/>
                <w:szCs w:val="18"/>
              </w:rPr>
              <w:t>10L</w:t>
            </w:r>
          </w:p>
        </w:tc>
        <w:tc>
          <w:tcPr>
            <w:tcW w:w="567" w:type="dxa"/>
            <w:vAlign w:val="top"/>
          </w:tcPr>
          <w:p w14:paraId="563653A2">
            <w:pPr>
              <w:pStyle w:val="6"/>
              <w:spacing w:before="78" w:line="232" w:lineRule="auto"/>
              <w:ind w:left="63"/>
              <w:rPr>
                <w:sz w:val="18"/>
                <w:szCs w:val="18"/>
              </w:rPr>
            </w:pPr>
            <w:r>
              <w:rPr>
                <w:spacing w:val="-2"/>
                <w:sz w:val="18"/>
                <w:szCs w:val="18"/>
              </w:rPr>
              <w:t>0.03L</w:t>
            </w:r>
          </w:p>
        </w:tc>
        <w:tc>
          <w:tcPr>
            <w:tcW w:w="545" w:type="dxa"/>
            <w:vAlign w:val="top"/>
          </w:tcPr>
          <w:p w14:paraId="1F787C61">
            <w:pPr>
              <w:pStyle w:val="6"/>
              <w:spacing w:before="78" w:line="232" w:lineRule="auto"/>
              <w:ind w:left="53"/>
              <w:rPr>
                <w:sz w:val="18"/>
                <w:szCs w:val="18"/>
              </w:rPr>
            </w:pPr>
            <w:r>
              <w:rPr>
                <w:spacing w:val="-2"/>
                <w:sz w:val="18"/>
                <w:szCs w:val="18"/>
              </w:rPr>
              <w:t>0.02L</w:t>
            </w:r>
          </w:p>
        </w:tc>
        <w:tc>
          <w:tcPr>
            <w:tcW w:w="472" w:type="dxa"/>
            <w:vAlign w:val="top"/>
          </w:tcPr>
          <w:p w14:paraId="1F71FF9C">
            <w:pPr>
              <w:pStyle w:val="6"/>
              <w:spacing w:before="78" w:line="232" w:lineRule="auto"/>
              <w:ind w:left="18"/>
              <w:rPr>
                <w:sz w:val="18"/>
                <w:szCs w:val="18"/>
              </w:rPr>
            </w:pPr>
            <w:r>
              <w:rPr>
                <w:spacing w:val="-2"/>
                <w:sz w:val="18"/>
                <w:szCs w:val="18"/>
              </w:rPr>
              <w:t>0.01L</w:t>
            </w:r>
          </w:p>
        </w:tc>
        <w:tc>
          <w:tcPr>
            <w:tcW w:w="562" w:type="dxa"/>
            <w:vAlign w:val="top"/>
          </w:tcPr>
          <w:p w14:paraId="703DCDCC">
            <w:pPr>
              <w:pStyle w:val="6"/>
              <w:spacing w:before="78" w:line="232" w:lineRule="auto"/>
              <w:ind w:left="19"/>
              <w:rPr>
                <w:sz w:val="18"/>
                <w:szCs w:val="18"/>
              </w:rPr>
            </w:pPr>
            <w:r>
              <w:rPr>
                <w:spacing w:val="-2"/>
                <w:sz w:val="18"/>
                <w:szCs w:val="18"/>
              </w:rPr>
              <w:t>0.006L</w:t>
            </w:r>
          </w:p>
        </w:tc>
        <w:tc>
          <w:tcPr>
            <w:tcW w:w="651" w:type="dxa"/>
            <w:vAlign w:val="top"/>
          </w:tcPr>
          <w:p w14:paraId="4C8B7953">
            <w:pPr>
              <w:pStyle w:val="6"/>
              <w:spacing w:before="78" w:line="232" w:lineRule="auto"/>
              <w:ind w:left="18"/>
              <w:rPr>
                <w:sz w:val="18"/>
                <w:szCs w:val="18"/>
              </w:rPr>
            </w:pPr>
            <w:r>
              <w:rPr>
                <w:spacing w:val="-1"/>
                <w:sz w:val="18"/>
                <w:szCs w:val="18"/>
              </w:rPr>
              <w:t>0.0003L</w:t>
            </w:r>
          </w:p>
        </w:tc>
        <w:tc>
          <w:tcPr>
            <w:tcW w:w="884" w:type="dxa"/>
            <w:vAlign w:val="top"/>
          </w:tcPr>
          <w:p w14:paraId="24935B34">
            <w:pPr>
              <w:pStyle w:val="6"/>
              <w:spacing w:before="78" w:line="232" w:lineRule="auto"/>
              <w:ind w:left="226"/>
              <w:rPr>
                <w:sz w:val="18"/>
                <w:szCs w:val="18"/>
              </w:rPr>
            </w:pPr>
            <w:r>
              <w:rPr>
                <w:spacing w:val="-2"/>
                <w:sz w:val="18"/>
                <w:szCs w:val="18"/>
              </w:rPr>
              <w:t>0.05L</w:t>
            </w:r>
          </w:p>
        </w:tc>
        <w:tc>
          <w:tcPr>
            <w:tcW w:w="709" w:type="dxa"/>
            <w:vAlign w:val="top"/>
          </w:tcPr>
          <w:p w14:paraId="5BD293D5">
            <w:pPr>
              <w:pStyle w:val="6"/>
              <w:spacing w:before="78" w:line="232" w:lineRule="auto"/>
              <w:ind w:left="194"/>
              <w:rPr>
                <w:sz w:val="18"/>
                <w:szCs w:val="18"/>
              </w:rPr>
            </w:pPr>
            <w:r>
              <w:rPr>
                <w:spacing w:val="-2"/>
                <w:sz w:val="18"/>
                <w:szCs w:val="18"/>
              </w:rPr>
              <w:t>0.01</w:t>
            </w:r>
          </w:p>
        </w:tc>
        <w:tc>
          <w:tcPr>
            <w:tcW w:w="703" w:type="dxa"/>
            <w:vAlign w:val="top"/>
          </w:tcPr>
          <w:p w14:paraId="4C97DFA0">
            <w:pPr>
              <w:pStyle w:val="6"/>
              <w:spacing w:before="78" w:line="232" w:lineRule="auto"/>
              <w:ind w:left="193"/>
              <w:rPr>
                <w:sz w:val="18"/>
                <w:szCs w:val="18"/>
              </w:rPr>
            </w:pPr>
            <w:r>
              <w:rPr>
                <w:spacing w:val="-2"/>
                <w:sz w:val="18"/>
                <w:szCs w:val="18"/>
              </w:rPr>
              <w:t>0.55</w:t>
            </w:r>
          </w:p>
        </w:tc>
        <w:tc>
          <w:tcPr>
            <w:tcW w:w="708" w:type="dxa"/>
            <w:vAlign w:val="top"/>
          </w:tcPr>
          <w:p w14:paraId="6E5768D0">
            <w:pPr>
              <w:pStyle w:val="6"/>
              <w:spacing w:before="78" w:line="232" w:lineRule="auto"/>
              <w:ind w:left="96"/>
              <w:rPr>
                <w:sz w:val="18"/>
                <w:szCs w:val="18"/>
              </w:rPr>
            </w:pPr>
            <w:r>
              <w:rPr>
                <w:spacing w:val="-2"/>
                <w:sz w:val="18"/>
                <w:szCs w:val="18"/>
              </w:rPr>
              <w:t>0.003L</w:t>
            </w:r>
          </w:p>
        </w:tc>
        <w:tc>
          <w:tcPr>
            <w:tcW w:w="764" w:type="dxa"/>
            <w:vAlign w:val="top"/>
          </w:tcPr>
          <w:p w14:paraId="70D87418">
            <w:pPr>
              <w:pStyle w:val="6"/>
              <w:spacing w:before="78" w:line="232" w:lineRule="auto"/>
              <w:ind w:left="181"/>
              <w:rPr>
                <w:sz w:val="18"/>
                <w:szCs w:val="18"/>
              </w:rPr>
            </w:pPr>
            <w:r>
              <w:rPr>
                <w:spacing w:val="-2"/>
                <w:sz w:val="18"/>
                <w:szCs w:val="18"/>
              </w:rPr>
              <w:t>0.041</w:t>
            </w:r>
          </w:p>
        </w:tc>
        <w:tc>
          <w:tcPr>
            <w:tcW w:w="586" w:type="dxa"/>
            <w:vAlign w:val="top"/>
          </w:tcPr>
          <w:p w14:paraId="34F96454">
            <w:pPr>
              <w:pStyle w:val="6"/>
              <w:spacing w:before="78" w:line="232" w:lineRule="auto"/>
              <w:ind w:left="139"/>
              <w:rPr>
                <w:sz w:val="18"/>
                <w:szCs w:val="18"/>
              </w:rPr>
            </w:pPr>
            <w:r>
              <w:rPr>
                <w:spacing w:val="-2"/>
                <w:sz w:val="18"/>
                <w:szCs w:val="18"/>
              </w:rPr>
              <w:t>0.08</w:t>
            </w:r>
          </w:p>
        </w:tc>
        <w:tc>
          <w:tcPr>
            <w:tcW w:w="582" w:type="dxa"/>
            <w:vAlign w:val="top"/>
          </w:tcPr>
          <w:p w14:paraId="154612CD">
            <w:pPr>
              <w:pStyle w:val="6"/>
              <w:spacing w:before="78" w:line="232" w:lineRule="auto"/>
              <w:ind w:left="38"/>
              <w:rPr>
                <w:sz w:val="18"/>
                <w:szCs w:val="18"/>
              </w:rPr>
            </w:pPr>
            <w:r>
              <w:rPr>
                <w:spacing w:val="-2"/>
                <w:sz w:val="18"/>
                <w:szCs w:val="18"/>
              </w:rPr>
              <w:t>0.004L</w:t>
            </w:r>
          </w:p>
        </w:tc>
        <w:tc>
          <w:tcPr>
            <w:tcW w:w="745" w:type="dxa"/>
            <w:vAlign w:val="top"/>
          </w:tcPr>
          <w:p w14:paraId="7625CA48">
            <w:pPr>
              <w:pStyle w:val="6"/>
              <w:spacing w:before="78" w:line="232" w:lineRule="auto"/>
              <w:ind w:left="31"/>
              <w:rPr>
                <w:sz w:val="18"/>
                <w:szCs w:val="18"/>
              </w:rPr>
            </w:pPr>
            <w:r>
              <w:rPr>
                <w:spacing w:val="-1"/>
                <w:sz w:val="18"/>
                <w:szCs w:val="18"/>
              </w:rPr>
              <w:t>0.00004L</w:t>
            </w:r>
          </w:p>
        </w:tc>
        <w:tc>
          <w:tcPr>
            <w:tcW w:w="651" w:type="dxa"/>
            <w:vAlign w:val="top"/>
          </w:tcPr>
          <w:p w14:paraId="6129FE86">
            <w:pPr>
              <w:pStyle w:val="6"/>
              <w:spacing w:before="78" w:line="232" w:lineRule="auto"/>
              <w:ind w:left="29"/>
              <w:rPr>
                <w:sz w:val="18"/>
                <w:szCs w:val="18"/>
              </w:rPr>
            </w:pPr>
            <w:r>
              <w:rPr>
                <w:spacing w:val="-1"/>
                <w:sz w:val="18"/>
                <w:szCs w:val="18"/>
              </w:rPr>
              <w:t>0.0003L</w:t>
            </w:r>
          </w:p>
        </w:tc>
        <w:tc>
          <w:tcPr>
            <w:tcW w:w="652" w:type="dxa"/>
            <w:vAlign w:val="top"/>
          </w:tcPr>
          <w:p w14:paraId="7EC708B2">
            <w:pPr>
              <w:pStyle w:val="6"/>
              <w:spacing w:before="78" w:line="232" w:lineRule="auto"/>
              <w:ind w:left="30"/>
              <w:rPr>
                <w:sz w:val="18"/>
                <w:szCs w:val="18"/>
              </w:rPr>
            </w:pPr>
            <w:r>
              <w:rPr>
                <w:spacing w:val="-1"/>
                <w:sz w:val="18"/>
                <w:szCs w:val="18"/>
              </w:rPr>
              <w:t>0.0004L</w:t>
            </w:r>
          </w:p>
        </w:tc>
        <w:tc>
          <w:tcPr>
            <w:tcW w:w="566" w:type="dxa"/>
            <w:vAlign w:val="top"/>
          </w:tcPr>
          <w:p w14:paraId="75C33359">
            <w:pPr>
              <w:pStyle w:val="6"/>
              <w:spacing w:before="78" w:line="232" w:lineRule="auto"/>
              <w:ind w:left="32"/>
              <w:rPr>
                <w:sz w:val="18"/>
                <w:szCs w:val="18"/>
              </w:rPr>
            </w:pPr>
            <w:r>
              <w:rPr>
                <w:spacing w:val="-2"/>
                <w:sz w:val="18"/>
                <w:szCs w:val="18"/>
              </w:rPr>
              <w:t>0.001L</w:t>
            </w:r>
          </w:p>
        </w:tc>
        <w:tc>
          <w:tcPr>
            <w:tcW w:w="582" w:type="dxa"/>
            <w:vAlign w:val="top"/>
          </w:tcPr>
          <w:p w14:paraId="4B001A0F">
            <w:pPr>
              <w:pStyle w:val="6"/>
              <w:spacing w:before="78" w:line="232" w:lineRule="auto"/>
              <w:ind w:left="41"/>
              <w:rPr>
                <w:sz w:val="18"/>
                <w:szCs w:val="18"/>
              </w:rPr>
            </w:pPr>
            <w:r>
              <w:rPr>
                <w:spacing w:val="-2"/>
                <w:sz w:val="18"/>
                <w:szCs w:val="18"/>
              </w:rPr>
              <w:t>0.004L</w:t>
            </w:r>
          </w:p>
        </w:tc>
        <w:tc>
          <w:tcPr>
            <w:tcW w:w="476" w:type="dxa"/>
            <w:vAlign w:val="top"/>
          </w:tcPr>
          <w:p w14:paraId="20A04D75">
            <w:pPr>
              <w:pStyle w:val="6"/>
              <w:spacing w:before="78" w:line="232" w:lineRule="auto"/>
              <w:ind w:left="34"/>
              <w:rPr>
                <w:sz w:val="18"/>
                <w:szCs w:val="18"/>
              </w:rPr>
            </w:pPr>
            <w:r>
              <w:rPr>
                <w:spacing w:val="-2"/>
                <w:sz w:val="18"/>
                <w:szCs w:val="18"/>
              </w:rPr>
              <w:t>0.01L</w:t>
            </w:r>
          </w:p>
        </w:tc>
        <w:tc>
          <w:tcPr>
            <w:tcW w:w="567" w:type="dxa"/>
            <w:vAlign w:val="top"/>
          </w:tcPr>
          <w:p w14:paraId="6649F2E1">
            <w:pPr>
              <w:pStyle w:val="6"/>
              <w:spacing w:before="78" w:line="232" w:lineRule="auto"/>
              <w:ind w:left="91"/>
              <w:rPr>
                <w:sz w:val="18"/>
                <w:szCs w:val="18"/>
              </w:rPr>
            </w:pPr>
            <w:r>
              <w:rPr>
                <w:spacing w:val="-2"/>
                <w:sz w:val="18"/>
                <w:szCs w:val="18"/>
              </w:rPr>
              <w:t>0.018</w:t>
            </w:r>
          </w:p>
        </w:tc>
        <w:tc>
          <w:tcPr>
            <w:tcW w:w="765" w:type="dxa"/>
            <w:vAlign w:val="top"/>
          </w:tcPr>
          <w:p w14:paraId="76567F07">
            <w:pPr>
              <w:pStyle w:val="6"/>
              <w:spacing w:before="78" w:line="232" w:lineRule="auto"/>
              <w:ind w:left="361"/>
              <w:rPr>
                <w:sz w:val="18"/>
                <w:szCs w:val="18"/>
              </w:rPr>
            </w:pPr>
            <w:r>
              <w:rPr>
                <w:sz w:val="18"/>
                <w:szCs w:val="18"/>
              </w:rPr>
              <w:t>/</w:t>
            </w:r>
          </w:p>
        </w:tc>
        <w:tc>
          <w:tcPr>
            <w:tcW w:w="424" w:type="dxa"/>
            <w:vAlign w:val="top"/>
          </w:tcPr>
          <w:p w14:paraId="10D752BE">
            <w:pPr>
              <w:pStyle w:val="6"/>
              <w:spacing w:before="79" w:line="232" w:lineRule="auto"/>
              <w:ind w:left="90"/>
              <w:rPr>
                <w:sz w:val="18"/>
                <w:szCs w:val="18"/>
              </w:rPr>
            </w:pPr>
            <w:r>
              <w:rPr>
                <w:spacing w:val="-2"/>
                <w:sz w:val="18"/>
                <w:szCs w:val="18"/>
              </w:rPr>
              <w:t>333</w:t>
            </w:r>
          </w:p>
        </w:tc>
        <w:tc>
          <w:tcPr>
            <w:tcW w:w="427" w:type="dxa"/>
            <w:vAlign w:val="top"/>
          </w:tcPr>
          <w:p w14:paraId="2E977449">
            <w:pPr>
              <w:pStyle w:val="6"/>
              <w:spacing w:before="78" w:line="232" w:lineRule="auto"/>
              <w:ind w:left="68"/>
              <w:rPr>
                <w:sz w:val="18"/>
                <w:szCs w:val="18"/>
              </w:rPr>
            </w:pPr>
            <w:r>
              <w:rPr>
                <w:spacing w:val="-2"/>
                <w:sz w:val="18"/>
                <w:szCs w:val="18"/>
              </w:rPr>
              <w:t>0.36</w:t>
            </w:r>
          </w:p>
        </w:tc>
        <w:tc>
          <w:tcPr>
            <w:tcW w:w="424" w:type="dxa"/>
            <w:vAlign w:val="top"/>
          </w:tcPr>
          <w:p w14:paraId="74212ED9">
            <w:pPr>
              <w:pStyle w:val="6"/>
              <w:spacing w:before="78" w:line="232" w:lineRule="auto"/>
              <w:jc w:val="right"/>
              <w:rPr>
                <w:sz w:val="18"/>
                <w:szCs w:val="18"/>
              </w:rPr>
            </w:pPr>
            <w:r>
              <w:rPr>
                <w:spacing w:val="-3"/>
                <w:sz w:val="18"/>
                <w:szCs w:val="18"/>
              </w:rPr>
              <w:t>0.345</w:t>
            </w:r>
          </w:p>
        </w:tc>
        <w:tc>
          <w:tcPr>
            <w:tcW w:w="423" w:type="dxa"/>
            <w:vAlign w:val="top"/>
          </w:tcPr>
          <w:p w14:paraId="5A4BE51D">
            <w:pPr>
              <w:pStyle w:val="6"/>
              <w:spacing w:before="78" w:line="232" w:lineRule="auto"/>
              <w:ind w:left="71"/>
              <w:rPr>
                <w:sz w:val="18"/>
                <w:szCs w:val="18"/>
              </w:rPr>
            </w:pPr>
            <w:r>
              <w:rPr>
                <w:spacing w:val="-3"/>
                <w:sz w:val="18"/>
                <w:szCs w:val="18"/>
              </w:rPr>
              <w:t>8.08</w:t>
            </w:r>
          </w:p>
        </w:tc>
        <w:tc>
          <w:tcPr>
            <w:tcW w:w="472" w:type="dxa"/>
            <w:vAlign w:val="top"/>
          </w:tcPr>
          <w:p w14:paraId="4282BFA4">
            <w:pPr>
              <w:pStyle w:val="6"/>
              <w:spacing w:before="78" w:line="232" w:lineRule="auto"/>
              <w:ind w:left="97"/>
              <w:rPr>
                <w:sz w:val="18"/>
                <w:szCs w:val="18"/>
              </w:rPr>
            </w:pPr>
            <w:r>
              <w:rPr>
                <w:spacing w:val="-3"/>
                <w:sz w:val="18"/>
                <w:szCs w:val="18"/>
              </w:rPr>
              <w:t>87.0</w:t>
            </w:r>
          </w:p>
        </w:tc>
        <w:tc>
          <w:tcPr>
            <w:tcW w:w="377" w:type="dxa"/>
            <w:tcBorders>
              <w:right w:val="single" w:color="000000" w:sz="12" w:space="0"/>
            </w:tcBorders>
            <w:vAlign w:val="top"/>
          </w:tcPr>
          <w:p w14:paraId="1BCECAE4">
            <w:pPr>
              <w:pStyle w:val="6"/>
              <w:spacing w:before="78" w:line="232" w:lineRule="auto"/>
              <w:ind w:left="49"/>
              <w:rPr>
                <w:sz w:val="18"/>
                <w:szCs w:val="18"/>
              </w:rPr>
            </w:pPr>
            <w:r>
              <w:rPr>
                <w:spacing w:val="-6"/>
                <w:sz w:val="18"/>
                <w:szCs w:val="18"/>
              </w:rPr>
              <w:t>11.3</w:t>
            </w:r>
          </w:p>
        </w:tc>
      </w:tr>
      <w:tr w14:paraId="629B6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46938A6F">
            <w:pPr>
              <w:rPr>
                <w:rFonts w:ascii="Arial"/>
                <w:sz w:val="21"/>
              </w:rPr>
            </w:pPr>
          </w:p>
        </w:tc>
        <w:tc>
          <w:tcPr>
            <w:tcW w:w="268" w:type="dxa"/>
            <w:vMerge w:val="continue"/>
            <w:tcBorders>
              <w:top w:val="nil"/>
              <w:bottom w:val="nil"/>
            </w:tcBorders>
            <w:vAlign w:val="top"/>
          </w:tcPr>
          <w:p w14:paraId="2B009027">
            <w:pPr>
              <w:rPr>
                <w:rFonts w:ascii="Arial"/>
                <w:sz w:val="21"/>
              </w:rPr>
            </w:pPr>
          </w:p>
        </w:tc>
        <w:tc>
          <w:tcPr>
            <w:tcW w:w="1038" w:type="dxa"/>
            <w:vAlign w:val="top"/>
          </w:tcPr>
          <w:p w14:paraId="01523FCE">
            <w:pPr>
              <w:pStyle w:val="6"/>
              <w:spacing w:before="79" w:line="232" w:lineRule="auto"/>
              <w:ind w:left="138"/>
              <w:rPr>
                <w:sz w:val="18"/>
                <w:szCs w:val="18"/>
              </w:rPr>
            </w:pPr>
            <w:r>
              <w:rPr>
                <w:spacing w:val="-1"/>
                <w:sz w:val="18"/>
                <w:szCs w:val="18"/>
              </w:rPr>
              <w:t>2020/3/11</w:t>
            </w:r>
          </w:p>
        </w:tc>
        <w:tc>
          <w:tcPr>
            <w:tcW w:w="774" w:type="dxa"/>
            <w:vAlign w:val="top"/>
          </w:tcPr>
          <w:p w14:paraId="6E81F944">
            <w:pPr>
              <w:pStyle w:val="6"/>
              <w:spacing w:before="79" w:line="232" w:lineRule="auto"/>
              <w:ind w:left="220"/>
              <w:rPr>
                <w:sz w:val="18"/>
                <w:szCs w:val="18"/>
              </w:rPr>
            </w:pPr>
            <w:r>
              <w:rPr>
                <w:spacing w:val="-2"/>
                <w:sz w:val="18"/>
                <w:szCs w:val="18"/>
              </w:rPr>
              <w:t>6.89</w:t>
            </w:r>
          </w:p>
        </w:tc>
        <w:tc>
          <w:tcPr>
            <w:tcW w:w="741" w:type="dxa"/>
            <w:vAlign w:val="top"/>
          </w:tcPr>
          <w:p w14:paraId="6938A631">
            <w:pPr>
              <w:pStyle w:val="6"/>
              <w:spacing w:before="79" w:line="232" w:lineRule="auto"/>
              <w:ind w:left="239"/>
              <w:rPr>
                <w:sz w:val="18"/>
                <w:szCs w:val="18"/>
              </w:rPr>
            </w:pPr>
            <w:r>
              <w:rPr>
                <w:spacing w:val="-5"/>
                <w:sz w:val="18"/>
                <w:szCs w:val="18"/>
              </w:rPr>
              <w:t>197</w:t>
            </w:r>
          </w:p>
        </w:tc>
        <w:tc>
          <w:tcPr>
            <w:tcW w:w="705" w:type="dxa"/>
            <w:vAlign w:val="top"/>
          </w:tcPr>
          <w:p w14:paraId="22B08B77">
            <w:pPr>
              <w:pStyle w:val="6"/>
              <w:spacing w:before="79" w:line="232" w:lineRule="auto"/>
              <w:ind w:left="205"/>
              <w:rPr>
                <w:sz w:val="18"/>
                <w:szCs w:val="18"/>
              </w:rPr>
            </w:pPr>
            <w:r>
              <w:rPr>
                <w:spacing w:val="-1"/>
                <w:sz w:val="18"/>
                <w:szCs w:val="18"/>
              </w:rPr>
              <w:t>291</w:t>
            </w:r>
          </w:p>
        </w:tc>
        <w:tc>
          <w:tcPr>
            <w:tcW w:w="570" w:type="dxa"/>
            <w:vAlign w:val="top"/>
          </w:tcPr>
          <w:p w14:paraId="187FEAE0">
            <w:pPr>
              <w:pStyle w:val="6"/>
              <w:spacing w:before="79" w:line="232" w:lineRule="auto"/>
              <w:ind w:left="186"/>
              <w:rPr>
                <w:sz w:val="18"/>
                <w:szCs w:val="18"/>
              </w:rPr>
            </w:pPr>
            <w:r>
              <w:rPr>
                <w:spacing w:val="-2"/>
                <w:sz w:val="18"/>
                <w:szCs w:val="18"/>
              </w:rPr>
              <w:t>67</w:t>
            </w:r>
          </w:p>
        </w:tc>
        <w:tc>
          <w:tcPr>
            <w:tcW w:w="423" w:type="dxa"/>
            <w:vAlign w:val="top"/>
          </w:tcPr>
          <w:p w14:paraId="619EAC24">
            <w:pPr>
              <w:pStyle w:val="6"/>
              <w:spacing w:before="82" w:line="186" w:lineRule="auto"/>
              <w:ind w:left="72"/>
              <w:rPr>
                <w:sz w:val="18"/>
                <w:szCs w:val="18"/>
              </w:rPr>
            </w:pPr>
            <w:r>
              <w:rPr>
                <w:spacing w:val="-5"/>
                <w:sz w:val="18"/>
                <w:szCs w:val="18"/>
              </w:rPr>
              <w:t>10L</w:t>
            </w:r>
          </w:p>
        </w:tc>
        <w:tc>
          <w:tcPr>
            <w:tcW w:w="567" w:type="dxa"/>
            <w:vAlign w:val="top"/>
          </w:tcPr>
          <w:p w14:paraId="2A53ABDD">
            <w:pPr>
              <w:pStyle w:val="6"/>
              <w:spacing w:before="79" w:line="232" w:lineRule="auto"/>
              <w:ind w:left="63"/>
              <w:rPr>
                <w:sz w:val="18"/>
                <w:szCs w:val="18"/>
              </w:rPr>
            </w:pPr>
            <w:r>
              <w:rPr>
                <w:spacing w:val="-2"/>
                <w:sz w:val="18"/>
                <w:szCs w:val="18"/>
              </w:rPr>
              <w:t>0.03L</w:t>
            </w:r>
          </w:p>
        </w:tc>
        <w:tc>
          <w:tcPr>
            <w:tcW w:w="545" w:type="dxa"/>
            <w:vAlign w:val="top"/>
          </w:tcPr>
          <w:p w14:paraId="2F990CD7">
            <w:pPr>
              <w:pStyle w:val="6"/>
              <w:spacing w:before="79" w:line="232" w:lineRule="auto"/>
              <w:ind w:left="53"/>
              <w:rPr>
                <w:sz w:val="18"/>
                <w:szCs w:val="18"/>
              </w:rPr>
            </w:pPr>
            <w:r>
              <w:rPr>
                <w:spacing w:val="-2"/>
                <w:sz w:val="18"/>
                <w:szCs w:val="18"/>
              </w:rPr>
              <w:t>0.02L</w:t>
            </w:r>
          </w:p>
        </w:tc>
        <w:tc>
          <w:tcPr>
            <w:tcW w:w="472" w:type="dxa"/>
            <w:vAlign w:val="top"/>
          </w:tcPr>
          <w:p w14:paraId="6ECA47A1">
            <w:pPr>
              <w:pStyle w:val="6"/>
              <w:spacing w:before="79" w:line="232" w:lineRule="auto"/>
              <w:ind w:left="18"/>
              <w:rPr>
                <w:sz w:val="18"/>
                <w:szCs w:val="18"/>
              </w:rPr>
            </w:pPr>
            <w:r>
              <w:rPr>
                <w:spacing w:val="-2"/>
                <w:sz w:val="18"/>
                <w:szCs w:val="18"/>
              </w:rPr>
              <w:t>0.01L</w:t>
            </w:r>
          </w:p>
        </w:tc>
        <w:tc>
          <w:tcPr>
            <w:tcW w:w="562" w:type="dxa"/>
            <w:vAlign w:val="top"/>
          </w:tcPr>
          <w:p w14:paraId="37269146">
            <w:pPr>
              <w:pStyle w:val="6"/>
              <w:spacing w:before="79" w:line="232" w:lineRule="auto"/>
              <w:ind w:left="19"/>
              <w:rPr>
                <w:sz w:val="18"/>
                <w:szCs w:val="18"/>
              </w:rPr>
            </w:pPr>
            <w:r>
              <w:rPr>
                <w:spacing w:val="-2"/>
                <w:sz w:val="18"/>
                <w:szCs w:val="18"/>
              </w:rPr>
              <w:t>0.006L</w:t>
            </w:r>
          </w:p>
        </w:tc>
        <w:tc>
          <w:tcPr>
            <w:tcW w:w="651" w:type="dxa"/>
            <w:vAlign w:val="top"/>
          </w:tcPr>
          <w:p w14:paraId="42ABC86B">
            <w:pPr>
              <w:pStyle w:val="6"/>
              <w:spacing w:before="79" w:line="232" w:lineRule="auto"/>
              <w:ind w:left="18"/>
              <w:rPr>
                <w:sz w:val="18"/>
                <w:szCs w:val="18"/>
              </w:rPr>
            </w:pPr>
            <w:r>
              <w:rPr>
                <w:spacing w:val="-1"/>
                <w:sz w:val="18"/>
                <w:szCs w:val="18"/>
              </w:rPr>
              <w:t>0.0003L</w:t>
            </w:r>
          </w:p>
        </w:tc>
        <w:tc>
          <w:tcPr>
            <w:tcW w:w="884" w:type="dxa"/>
            <w:vAlign w:val="top"/>
          </w:tcPr>
          <w:p w14:paraId="46264990">
            <w:pPr>
              <w:pStyle w:val="6"/>
              <w:spacing w:before="79" w:line="232" w:lineRule="auto"/>
              <w:ind w:left="226"/>
              <w:rPr>
                <w:sz w:val="18"/>
                <w:szCs w:val="18"/>
              </w:rPr>
            </w:pPr>
            <w:r>
              <w:rPr>
                <w:spacing w:val="-2"/>
                <w:sz w:val="18"/>
                <w:szCs w:val="18"/>
              </w:rPr>
              <w:t>0.05L</w:t>
            </w:r>
          </w:p>
        </w:tc>
        <w:tc>
          <w:tcPr>
            <w:tcW w:w="709" w:type="dxa"/>
            <w:vAlign w:val="top"/>
          </w:tcPr>
          <w:p w14:paraId="78573716">
            <w:pPr>
              <w:pStyle w:val="6"/>
              <w:spacing w:before="79" w:line="232" w:lineRule="auto"/>
              <w:ind w:left="194"/>
              <w:rPr>
                <w:sz w:val="18"/>
                <w:szCs w:val="18"/>
              </w:rPr>
            </w:pPr>
            <w:r>
              <w:rPr>
                <w:spacing w:val="-2"/>
                <w:sz w:val="18"/>
                <w:szCs w:val="18"/>
              </w:rPr>
              <w:t>0.01</w:t>
            </w:r>
          </w:p>
        </w:tc>
        <w:tc>
          <w:tcPr>
            <w:tcW w:w="703" w:type="dxa"/>
            <w:vAlign w:val="top"/>
          </w:tcPr>
          <w:p w14:paraId="3DF64C97">
            <w:pPr>
              <w:pStyle w:val="6"/>
              <w:spacing w:before="79" w:line="232" w:lineRule="auto"/>
              <w:ind w:left="193"/>
              <w:rPr>
                <w:sz w:val="18"/>
                <w:szCs w:val="18"/>
              </w:rPr>
            </w:pPr>
            <w:r>
              <w:rPr>
                <w:spacing w:val="-2"/>
                <w:sz w:val="18"/>
                <w:szCs w:val="18"/>
              </w:rPr>
              <w:t>0.51</w:t>
            </w:r>
          </w:p>
        </w:tc>
        <w:tc>
          <w:tcPr>
            <w:tcW w:w="708" w:type="dxa"/>
            <w:vAlign w:val="top"/>
          </w:tcPr>
          <w:p w14:paraId="79B875C2">
            <w:pPr>
              <w:pStyle w:val="6"/>
              <w:spacing w:before="79" w:line="232" w:lineRule="auto"/>
              <w:ind w:left="96"/>
              <w:rPr>
                <w:sz w:val="18"/>
                <w:szCs w:val="18"/>
              </w:rPr>
            </w:pPr>
            <w:r>
              <w:rPr>
                <w:spacing w:val="-2"/>
                <w:sz w:val="18"/>
                <w:szCs w:val="18"/>
              </w:rPr>
              <w:t>0.003L</w:t>
            </w:r>
          </w:p>
        </w:tc>
        <w:tc>
          <w:tcPr>
            <w:tcW w:w="764" w:type="dxa"/>
            <w:vAlign w:val="top"/>
          </w:tcPr>
          <w:p w14:paraId="023AA67A">
            <w:pPr>
              <w:pStyle w:val="6"/>
              <w:spacing w:before="79" w:line="232" w:lineRule="auto"/>
              <w:ind w:left="181"/>
              <w:rPr>
                <w:sz w:val="18"/>
                <w:szCs w:val="18"/>
              </w:rPr>
            </w:pPr>
            <w:r>
              <w:rPr>
                <w:spacing w:val="-2"/>
                <w:sz w:val="18"/>
                <w:szCs w:val="18"/>
              </w:rPr>
              <w:t>0.037</w:t>
            </w:r>
          </w:p>
        </w:tc>
        <w:tc>
          <w:tcPr>
            <w:tcW w:w="586" w:type="dxa"/>
            <w:vAlign w:val="top"/>
          </w:tcPr>
          <w:p w14:paraId="222D63A4">
            <w:pPr>
              <w:pStyle w:val="6"/>
              <w:spacing w:before="79" w:line="232" w:lineRule="auto"/>
              <w:ind w:left="139"/>
              <w:rPr>
                <w:sz w:val="18"/>
                <w:szCs w:val="18"/>
              </w:rPr>
            </w:pPr>
            <w:r>
              <w:rPr>
                <w:spacing w:val="-2"/>
                <w:sz w:val="18"/>
                <w:szCs w:val="18"/>
              </w:rPr>
              <w:t>0.09</w:t>
            </w:r>
          </w:p>
        </w:tc>
        <w:tc>
          <w:tcPr>
            <w:tcW w:w="582" w:type="dxa"/>
            <w:vAlign w:val="top"/>
          </w:tcPr>
          <w:p w14:paraId="5F3DC839">
            <w:pPr>
              <w:pStyle w:val="6"/>
              <w:spacing w:before="79" w:line="232" w:lineRule="auto"/>
              <w:ind w:left="38"/>
              <w:rPr>
                <w:sz w:val="18"/>
                <w:szCs w:val="18"/>
              </w:rPr>
            </w:pPr>
            <w:r>
              <w:rPr>
                <w:spacing w:val="-2"/>
                <w:sz w:val="18"/>
                <w:szCs w:val="18"/>
              </w:rPr>
              <w:t>0.004L</w:t>
            </w:r>
          </w:p>
        </w:tc>
        <w:tc>
          <w:tcPr>
            <w:tcW w:w="745" w:type="dxa"/>
            <w:vAlign w:val="top"/>
          </w:tcPr>
          <w:p w14:paraId="7FFE741D">
            <w:pPr>
              <w:pStyle w:val="6"/>
              <w:spacing w:before="79" w:line="232" w:lineRule="auto"/>
              <w:ind w:left="31"/>
              <w:rPr>
                <w:sz w:val="18"/>
                <w:szCs w:val="18"/>
              </w:rPr>
            </w:pPr>
            <w:r>
              <w:rPr>
                <w:spacing w:val="-1"/>
                <w:sz w:val="18"/>
                <w:szCs w:val="18"/>
              </w:rPr>
              <w:t>0.00004L</w:t>
            </w:r>
          </w:p>
        </w:tc>
        <w:tc>
          <w:tcPr>
            <w:tcW w:w="651" w:type="dxa"/>
            <w:vAlign w:val="top"/>
          </w:tcPr>
          <w:p w14:paraId="2C24F857">
            <w:pPr>
              <w:pStyle w:val="6"/>
              <w:spacing w:before="79" w:line="232" w:lineRule="auto"/>
              <w:ind w:left="29"/>
              <w:rPr>
                <w:sz w:val="18"/>
                <w:szCs w:val="18"/>
              </w:rPr>
            </w:pPr>
            <w:r>
              <w:rPr>
                <w:spacing w:val="-1"/>
                <w:sz w:val="18"/>
                <w:szCs w:val="18"/>
              </w:rPr>
              <w:t>0.0003L</w:t>
            </w:r>
          </w:p>
        </w:tc>
        <w:tc>
          <w:tcPr>
            <w:tcW w:w="652" w:type="dxa"/>
            <w:vAlign w:val="top"/>
          </w:tcPr>
          <w:p w14:paraId="0163837B">
            <w:pPr>
              <w:pStyle w:val="6"/>
              <w:spacing w:before="79" w:line="232" w:lineRule="auto"/>
              <w:ind w:left="30"/>
              <w:rPr>
                <w:sz w:val="18"/>
                <w:szCs w:val="18"/>
              </w:rPr>
            </w:pPr>
            <w:r>
              <w:rPr>
                <w:spacing w:val="-1"/>
                <w:sz w:val="18"/>
                <w:szCs w:val="18"/>
              </w:rPr>
              <w:t>0.0004L</w:t>
            </w:r>
          </w:p>
        </w:tc>
        <w:tc>
          <w:tcPr>
            <w:tcW w:w="566" w:type="dxa"/>
            <w:vAlign w:val="top"/>
          </w:tcPr>
          <w:p w14:paraId="60807C31">
            <w:pPr>
              <w:pStyle w:val="6"/>
              <w:spacing w:before="79" w:line="232" w:lineRule="auto"/>
              <w:ind w:left="32"/>
              <w:rPr>
                <w:sz w:val="18"/>
                <w:szCs w:val="18"/>
              </w:rPr>
            </w:pPr>
            <w:r>
              <w:rPr>
                <w:spacing w:val="-2"/>
                <w:sz w:val="18"/>
                <w:szCs w:val="18"/>
              </w:rPr>
              <w:t>0.001L</w:t>
            </w:r>
          </w:p>
        </w:tc>
        <w:tc>
          <w:tcPr>
            <w:tcW w:w="582" w:type="dxa"/>
            <w:vAlign w:val="top"/>
          </w:tcPr>
          <w:p w14:paraId="1737CC25">
            <w:pPr>
              <w:pStyle w:val="6"/>
              <w:spacing w:before="79" w:line="232" w:lineRule="auto"/>
              <w:ind w:left="41"/>
              <w:rPr>
                <w:sz w:val="18"/>
                <w:szCs w:val="18"/>
              </w:rPr>
            </w:pPr>
            <w:r>
              <w:rPr>
                <w:spacing w:val="-2"/>
                <w:sz w:val="18"/>
                <w:szCs w:val="18"/>
              </w:rPr>
              <w:t>0.004L</w:t>
            </w:r>
          </w:p>
        </w:tc>
        <w:tc>
          <w:tcPr>
            <w:tcW w:w="476" w:type="dxa"/>
            <w:vAlign w:val="top"/>
          </w:tcPr>
          <w:p w14:paraId="6BD6A8DB">
            <w:pPr>
              <w:pStyle w:val="6"/>
              <w:spacing w:before="79" w:line="232" w:lineRule="auto"/>
              <w:ind w:left="34"/>
              <w:rPr>
                <w:sz w:val="18"/>
                <w:szCs w:val="18"/>
              </w:rPr>
            </w:pPr>
            <w:r>
              <w:rPr>
                <w:spacing w:val="-2"/>
                <w:sz w:val="18"/>
                <w:szCs w:val="18"/>
              </w:rPr>
              <w:t>0.01L</w:t>
            </w:r>
          </w:p>
        </w:tc>
        <w:tc>
          <w:tcPr>
            <w:tcW w:w="567" w:type="dxa"/>
            <w:vAlign w:val="top"/>
          </w:tcPr>
          <w:p w14:paraId="78B403D1">
            <w:pPr>
              <w:pStyle w:val="6"/>
              <w:spacing w:before="79" w:line="232" w:lineRule="auto"/>
              <w:ind w:left="91"/>
              <w:rPr>
                <w:sz w:val="18"/>
                <w:szCs w:val="18"/>
              </w:rPr>
            </w:pPr>
            <w:r>
              <w:rPr>
                <w:spacing w:val="-2"/>
                <w:sz w:val="18"/>
                <w:szCs w:val="18"/>
              </w:rPr>
              <w:t>0.018</w:t>
            </w:r>
          </w:p>
        </w:tc>
        <w:tc>
          <w:tcPr>
            <w:tcW w:w="765" w:type="dxa"/>
            <w:vAlign w:val="top"/>
          </w:tcPr>
          <w:p w14:paraId="282C4307">
            <w:pPr>
              <w:pStyle w:val="6"/>
              <w:spacing w:before="79" w:line="232" w:lineRule="auto"/>
              <w:ind w:left="361"/>
              <w:rPr>
                <w:sz w:val="18"/>
                <w:szCs w:val="18"/>
              </w:rPr>
            </w:pPr>
            <w:r>
              <w:rPr>
                <w:sz w:val="18"/>
                <w:szCs w:val="18"/>
              </w:rPr>
              <w:t>/</w:t>
            </w:r>
          </w:p>
        </w:tc>
        <w:tc>
          <w:tcPr>
            <w:tcW w:w="424" w:type="dxa"/>
            <w:vAlign w:val="top"/>
          </w:tcPr>
          <w:p w14:paraId="3B6663F8">
            <w:pPr>
              <w:pStyle w:val="6"/>
              <w:spacing w:before="79" w:line="232" w:lineRule="auto"/>
              <w:ind w:left="90"/>
              <w:rPr>
                <w:sz w:val="18"/>
                <w:szCs w:val="18"/>
              </w:rPr>
            </w:pPr>
            <w:r>
              <w:rPr>
                <w:spacing w:val="-2"/>
                <w:sz w:val="18"/>
                <w:szCs w:val="18"/>
              </w:rPr>
              <w:t>329</w:t>
            </w:r>
          </w:p>
        </w:tc>
        <w:tc>
          <w:tcPr>
            <w:tcW w:w="427" w:type="dxa"/>
            <w:vAlign w:val="top"/>
          </w:tcPr>
          <w:p w14:paraId="157B963E">
            <w:pPr>
              <w:pStyle w:val="6"/>
              <w:spacing w:before="79" w:line="232" w:lineRule="auto"/>
              <w:ind w:left="68"/>
              <w:rPr>
                <w:sz w:val="18"/>
                <w:szCs w:val="18"/>
              </w:rPr>
            </w:pPr>
            <w:r>
              <w:rPr>
                <w:spacing w:val="-2"/>
                <w:sz w:val="18"/>
                <w:szCs w:val="18"/>
              </w:rPr>
              <w:t>0.40</w:t>
            </w:r>
          </w:p>
        </w:tc>
        <w:tc>
          <w:tcPr>
            <w:tcW w:w="424" w:type="dxa"/>
            <w:vAlign w:val="top"/>
          </w:tcPr>
          <w:p w14:paraId="4327BE7A">
            <w:pPr>
              <w:pStyle w:val="6"/>
              <w:spacing w:before="79" w:line="232" w:lineRule="auto"/>
              <w:jc w:val="right"/>
              <w:rPr>
                <w:sz w:val="18"/>
                <w:szCs w:val="18"/>
              </w:rPr>
            </w:pPr>
            <w:r>
              <w:rPr>
                <w:spacing w:val="-3"/>
                <w:sz w:val="18"/>
                <w:szCs w:val="18"/>
              </w:rPr>
              <w:t>0.395</w:t>
            </w:r>
          </w:p>
        </w:tc>
        <w:tc>
          <w:tcPr>
            <w:tcW w:w="423" w:type="dxa"/>
            <w:vAlign w:val="top"/>
          </w:tcPr>
          <w:p w14:paraId="017F1594">
            <w:pPr>
              <w:pStyle w:val="6"/>
              <w:spacing w:before="79" w:line="232" w:lineRule="auto"/>
              <w:ind w:left="71"/>
              <w:rPr>
                <w:sz w:val="18"/>
                <w:szCs w:val="18"/>
              </w:rPr>
            </w:pPr>
            <w:r>
              <w:rPr>
                <w:spacing w:val="-3"/>
                <w:sz w:val="18"/>
                <w:szCs w:val="18"/>
              </w:rPr>
              <w:t>8.17</w:t>
            </w:r>
          </w:p>
        </w:tc>
        <w:tc>
          <w:tcPr>
            <w:tcW w:w="472" w:type="dxa"/>
            <w:vAlign w:val="top"/>
          </w:tcPr>
          <w:p w14:paraId="4AC865E0">
            <w:pPr>
              <w:pStyle w:val="6"/>
              <w:spacing w:before="79" w:line="232" w:lineRule="auto"/>
              <w:ind w:left="93"/>
              <w:rPr>
                <w:sz w:val="18"/>
                <w:szCs w:val="18"/>
              </w:rPr>
            </w:pPr>
            <w:r>
              <w:rPr>
                <w:spacing w:val="-2"/>
                <w:sz w:val="18"/>
                <w:szCs w:val="18"/>
              </w:rPr>
              <w:t>90.5</w:t>
            </w:r>
          </w:p>
        </w:tc>
        <w:tc>
          <w:tcPr>
            <w:tcW w:w="377" w:type="dxa"/>
            <w:tcBorders>
              <w:right w:val="single" w:color="000000" w:sz="12" w:space="0"/>
            </w:tcBorders>
            <w:vAlign w:val="top"/>
          </w:tcPr>
          <w:p w14:paraId="47BA85A9">
            <w:pPr>
              <w:pStyle w:val="6"/>
              <w:spacing w:before="79" w:line="232" w:lineRule="auto"/>
              <w:ind w:left="49"/>
              <w:rPr>
                <w:sz w:val="18"/>
                <w:szCs w:val="18"/>
              </w:rPr>
            </w:pPr>
            <w:r>
              <w:rPr>
                <w:spacing w:val="-6"/>
                <w:sz w:val="18"/>
                <w:szCs w:val="18"/>
              </w:rPr>
              <w:t>11.2</w:t>
            </w:r>
          </w:p>
        </w:tc>
      </w:tr>
      <w:tr w14:paraId="2F55A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4B87AC71">
            <w:pPr>
              <w:rPr>
                <w:rFonts w:ascii="Arial"/>
                <w:sz w:val="21"/>
              </w:rPr>
            </w:pPr>
          </w:p>
        </w:tc>
        <w:tc>
          <w:tcPr>
            <w:tcW w:w="268" w:type="dxa"/>
            <w:vMerge w:val="continue"/>
            <w:tcBorders>
              <w:top w:val="nil"/>
            </w:tcBorders>
            <w:vAlign w:val="top"/>
          </w:tcPr>
          <w:p w14:paraId="61ECC573">
            <w:pPr>
              <w:rPr>
                <w:rFonts w:ascii="Arial"/>
                <w:sz w:val="21"/>
              </w:rPr>
            </w:pPr>
          </w:p>
        </w:tc>
        <w:tc>
          <w:tcPr>
            <w:tcW w:w="1038" w:type="dxa"/>
            <w:vAlign w:val="top"/>
          </w:tcPr>
          <w:p w14:paraId="42F679E3">
            <w:pPr>
              <w:pStyle w:val="6"/>
              <w:spacing w:before="78" w:line="232" w:lineRule="auto"/>
              <w:ind w:left="138"/>
              <w:rPr>
                <w:sz w:val="18"/>
                <w:szCs w:val="18"/>
              </w:rPr>
            </w:pPr>
            <w:r>
              <w:rPr>
                <w:spacing w:val="-1"/>
                <w:sz w:val="18"/>
                <w:szCs w:val="18"/>
              </w:rPr>
              <w:t>2020/3/12</w:t>
            </w:r>
          </w:p>
        </w:tc>
        <w:tc>
          <w:tcPr>
            <w:tcW w:w="774" w:type="dxa"/>
            <w:vAlign w:val="top"/>
          </w:tcPr>
          <w:p w14:paraId="69065471">
            <w:pPr>
              <w:pStyle w:val="6"/>
              <w:spacing w:before="78" w:line="232" w:lineRule="auto"/>
              <w:ind w:left="220"/>
              <w:rPr>
                <w:sz w:val="18"/>
                <w:szCs w:val="18"/>
              </w:rPr>
            </w:pPr>
            <w:r>
              <w:rPr>
                <w:spacing w:val="-2"/>
                <w:sz w:val="18"/>
                <w:szCs w:val="18"/>
              </w:rPr>
              <w:t>6.93</w:t>
            </w:r>
          </w:p>
        </w:tc>
        <w:tc>
          <w:tcPr>
            <w:tcW w:w="741" w:type="dxa"/>
            <w:vAlign w:val="top"/>
          </w:tcPr>
          <w:p w14:paraId="37C0F1E5">
            <w:pPr>
              <w:pStyle w:val="6"/>
              <w:spacing w:before="78" w:line="232" w:lineRule="auto"/>
              <w:ind w:left="222"/>
              <w:rPr>
                <w:sz w:val="18"/>
                <w:szCs w:val="18"/>
              </w:rPr>
            </w:pPr>
            <w:r>
              <w:rPr>
                <w:spacing w:val="-1"/>
                <w:sz w:val="18"/>
                <w:szCs w:val="18"/>
              </w:rPr>
              <w:t>210</w:t>
            </w:r>
          </w:p>
        </w:tc>
        <w:tc>
          <w:tcPr>
            <w:tcW w:w="705" w:type="dxa"/>
            <w:vAlign w:val="top"/>
          </w:tcPr>
          <w:p w14:paraId="168D64AD">
            <w:pPr>
              <w:pStyle w:val="6"/>
              <w:spacing w:before="78" w:line="232" w:lineRule="auto"/>
              <w:ind w:left="209"/>
              <w:rPr>
                <w:sz w:val="18"/>
                <w:szCs w:val="18"/>
              </w:rPr>
            </w:pPr>
            <w:r>
              <w:rPr>
                <w:spacing w:val="-2"/>
                <w:sz w:val="18"/>
                <w:szCs w:val="18"/>
              </w:rPr>
              <w:t>311</w:t>
            </w:r>
          </w:p>
        </w:tc>
        <w:tc>
          <w:tcPr>
            <w:tcW w:w="570" w:type="dxa"/>
            <w:vAlign w:val="top"/>
          </w:tcPr>
          <w:p w14:paraId="595B7D79">
            <w:pPr>
              <w:pStyle w:val="6"/>
              <w:spacing w:before="78" w:line="232" w:lineRule="auto"/>
              <w:ind w:left="186"/>
              <w:rPr>
                <w:sz w:val="18"/>
                <w:szCs w:val="18"/>
              </w:rPr>
            </w:pPr>
            <w:r>
              <w:rPr>
                <w:spacing w:val="-2"/>
                <w:sz w:val="18"/>
                <w:szCs w:val="18"/>
              </w:rPr>
              <w:t>65</w:t>
            </w:r>
          </w:p>
        </w:tc>
        <w:tc>
          <w:tcPr>
            <w:tcW w:w="423" w:type="dxa"/>
            <w:vAlign w:val="top"/>
          </w:tcPr>
          <w:p w14:paraId="33DAD8D9">
            <w:pPr>
              <w:pStyle w:val="6"/>
              <w:spacing w:before="81" w:line="186" w:lineRule="auto"/>
              <w:ind w:left="72"/>
              <w:rPr>
                <w:sz w:val="18"/>
                <w:szCs w:val="18"/>
              </w:rPr>
            </w:pPr>
            <w:r>
              <w:rPr>
                <w:spacing w:val="-5"/>
                <w:sz w:val="18"/>
                <w:szCs w:val="18"/>
              </w:rPr>
              <w:t>10L</w:t>
            </w:r>
          </w:p>
        </w:tc>
        <w:tc>
          <w:tcPr>
            <w:tcW w:w="567" w:type="dxa"/>
            <w:vAlign w:val="top"/>
          </w:tcPr>
          <w:p w14:paraId="5A6C58F7">
            <w:pPr>
              <w:pStyle w:val="6"/>
              <w:spacing w:before="78" w:line="232" w:lineRule="auto"/>
              <w:ind w:left="63"/>
              <w:rPr>
                <w:sz w:val="18"/>
                <w:szCs w:val="18"/>
              </w:rPr>
            </w:pPr>
            <w:r>
              <w:rPr>
                <w:spacing w:val="-2"/>
                <w:sz w:val="18"/>
                <w:szCs w:val="18"/>
              </w:rPr>
              <w:t>0.03L</w:t>
            </w:r>
          </w:p>
        </w:tc>
        <w:tc>
          <w:tcPr>
            <w:tcW w:w="545" w:type="dxa"/>
            <w:vAlign w:val="top"/>
          </w:tcPr>
          <w:p w14:paraId="3D9D16E2">
            <w:pPr>
              <w:pStyle w:val="6"/>
              <w:spacing w:before="78" w:line="232" w:lineRule="auto"/>
              <w:ind w:left="53"/>
              <w:rPr>
                <w:sz w:val="18"/>
                <w:szCs w:val="18"/>
              </w:rPr>
            </w:pPr>
            <w:r>
              <w:rPr>
                <w:spacing w:val="-2"/>
                <w:sz w:val="18"/>
                <w:szCs w:val="18"/>
              </w:rPr>
              <w:t>0.02L</w:t>
            </w:r>
          </w:p>
        </w:tc>
        <w:tc>
          <w:tcPr>
            <w:tcW w:w="472" w:type="dxa"/>
            <w:vAlign w:val="top"/>
          </w:tcPr>
          <w:p w14:paraId="210200A3">
            <w:pPr>
              <w:pStyle w:val="6"/>
              <w:spacing w:before="78" w:line="232" w:lineRule="auto"/>
              <w:ind w:left="18"/>
              <w:rPr>
                <w:sz w:val="18"/>
                <w:szCs w:val="18"/>
              </w:rPr>
            </w:pPr>
            <w:r>
              <w:rPr>
                <w:spacing w:val="-2"/>
                <w:sz w:val="18"/>
                <w:szCs w:val="18"/>
              </w:rPr>
              <w:t>0.01L</w:t>
            </w:r>
          </w:p>
        </w:tc>
        <w:tc>
          <w:tcPr>
            <w:tcW w:w="562" w:type="dxa"/>
            <w:vAlign w:val="top"/>
          </w:tcPr>
          <w:p w14:paraId="5331C486">
            <w:pPr>
              <w:pStyle w:val="6"/>
              <w:spacing w:before="78" w:line="232" w:lineRule="auto"/>
              <w:ind w:left="19"/>
              <w:rPr>
                <w:sz w:val="18"/>
                <w:szCs w:val="18"/>
              </w:rPr>
            </w:pPr>
            <w:r>
              <w:rPr>
                <w:spacing w:val="-2"/>
                <w:sz w:val="18"/>
                <w:szCs w:val="18"/>
              </w:rPr>
              <w:t>0.006L</w:t>
            </w:r>
          </w:p>
        </w:tc>
        <w:tc>
          <w:tcPr>
            <w:tcW w:w="651" w:type="dxa"/>
            <w:vAlign w:val="top"/>
          </w:tcPr>
          <w:p w14:paraId="4A54AB1A">
            <w:pPr>
              <w:pStyle w:val="6"/>
              <w:spacing w:before="78" w:line="232" w:lineRule="auto"/>
              <w:ind w:left="18"/>
              <w:rPr>
                <w:sz w:val="18"/>
                <w:szCs w:val="18"/>
              </w:rPr>
            </w:pPr>
            <w:r>
              <w:rPr>
                <w:spacing w:val="-1"/>
                <w:sz w:val="18"/>
                <w:szCs w:val="18"/>
              </w:rPr>
              <w:t>0.0003L</w:t>
            </w:r>
          </w:p>
        </w:tc>
        <w:tc>
          <w:tcPr>
            <w:tcW w:w="884" w:type="dxa"/>
            <w:vAlign w:val="top"/>
          </w:tcPr>
          <w:p w14:paraId="2E089E7D">
            <w:pPr>
              <w:pStyle w:val="6"/>
              <w:spacing w:before="78" w:line="232" w:lineRule="auto"/>
              <w:ind w:left="226"/>
              <w:rPr>
                <w:sz w:val="18"/>
                <w:szCs w:val="18"/>
              </w:rPr>
            </w:pPr>
            <w:r>
              <w:rPr>
                <w:spacing w:val="-2"/>
                <w:sz w:val="18"/>
                <w:szCs w:val="18"/>
              </w:rPr>
              <w:t>0.05L</w:t>
            </w:r>
          </w:p>
        </w:tc>
        <w:tc>
          <w:tcPr>
            <w:tcW w:w="709" w:type="dxa"/>
            <w:vAlign w:val="top"/>
          </w:tcPr>
          <w:p w14:paraId="4010540D">
            <w:pPr>
              <w:pStyle w:val="6"/>
              <w:spacing w:before="78" w:line="232" w:lineRule="auto"/>
              <w:ind w:left="194"/>
              <w:rPr>
                <w:sz w:val="18"/>
                <w:szCs w:val="18"/>
              </w:rPr>
            </w:pPr>
            <w:r>
              <w:rPr>
                <w:spacing w:val="-2"/>
                <w:sz w:val="18"/>
                <w:szCs w:val="18"/>
              </w:rPr>
              <w:t>0.01</w:t>
            </w:r>
          </w:p>
        </w:tc>
        <w:tc>
          <w:tcPr>
            <w:tcW w:w="703" w:type="dxa"/>
            <w:vAlign w:val="top"/>
          </w:tcPr>
          <w:p w14:paraId="6B3FA5C4">
            <w:pPr>
              <w:pStyle w:val="6"/>
              <w:spacing w:before="78" w:line="232" w:lineRule="auto"/>
              <w:ind w:left="193"/>
              <w:rPr>
                <w:sz w:val="18"/>
                <w:szCs w:val="18"/>
              </w:rPr>
            </w:pPr>
            <w:r>
              <w:rPr>
                <w:spacing w:val="-2"/>
                <w:sz w:val="18"/>
                <w:szCs w:val="18"/>
              </w:rPr>
              <w:t>0.60</w:t>
            </w:r>
          </w:p>
        </w:tc>
        <w:tc>
          <w:tcPr>
            <w:tcW w:w="708" w:type="dxa"/>
            <w:vAlign w:val="top"/>
          </w:tcPr>
          <w:p w14:paraId="241EE222">
            <w:pPr>
              <w:pStyle w:val="6"/>
              <w:spacing w:before="78" w:line="232" w:lineRule="auto"/>
              <w:ind w:left="96"/>
              <w:rPr>
                <w:sz w:val="18"/>
                <w:szCs w:val="18"/>
              </w:rPr>
            </w:pPr>
            <w:r>
              <w:rPr>
                <w:spacing w:val="-2"/>
                <w:sz w:val="18"/>
                <w:szCs w:val="18"/>
              </w:rPr>
              <w:t>0.003L</w:t>
            </w:r>
          </w:p>
        </w:tc>
        <w:tc>
          <w:tcPr>
            <w:tcW w:w="764" w:type="dxa"/>
            <w:vAlign w:val="top"/>
          </w:tcPr>
          <w:p w14:paraId="0A5A04A2">
            <w:pPr>
              <w:pStyle w:val="6"/>
              <w:spacing w:before="78" w:line="232" w:lineRule="auto"/>
              <w:ind w:left="181"/>
              <w:rPr>
                <w:sz w:val="18"/>
                <w:szCs w:val="18"/>
              </w:rPr>
            </w:pPr>
            <w:r>
              <w:rPr>
                <w:spacing w:val="-2"/>
                <w:sz w:val="18"/>
                <w:szCs w:val="18"/>
              </w:rPr>
              <w:t>0.045</w:t>
            </w:r>
          </w:p>
        </w:tc>
        <w:tc>
          <w:tcPr>
            <w:tcW w:w="586" w:type="dxa"/>
            <w:vAlign w:val="top"/>
          </w:tcPr>
          <w:p w14:paraId="7AE22365">
            <w:pPr>
              <w:pStyle w:val="6"/>
              <w:spacing w:before="78" w:line="232" w:lineRule="auto"/>
              <w:ind w:left="139"/>
              <w:rPr>
                <w:sz w:val="18"/>
                <w:szCs w:val="18"/>
              </w:rPr>
            </w:pPr>
            <w:r>
              <w:rPr>
                <w:spacing w:val="-2"/>
                <w:sz w:val="18"/>
                <w:szCs w:val="18"/>
              </w:rPr>
              <w:t>0.10</w:t>
            </w:r>
          </w:p>
        </w:tc>
        <w:tc>
          <w:tcPr>
            <w:tcW w:w="582" w:type="dxa"/>
            <w:vAlign w:val="top"/>
          </w:tcPr>
          <w:p w14:paraId="1D51A048">
            <w:pPr>
              <w:pStyle w:val="6"/>
              <w:spacing w:before="78" w:line="232" w:lineRule="auto"/>
              <w:ind w:left="38"/>
              <w:rPr>
                <w:sz w:val="18"/>
                <w:szCs w:val="18"/>
              </w:rPr>
            </w:pPr>
            <w:r>
              <w:rPr>
                <w:spacing w:val="-2"/>
                <w:sz w:val="18"/>
                <w:szCs w:val="18"/>
              </w:rPr>
              <w:t>0.004L</w:t>
            </w:r>
          </w:p>
        </w:tc>
        <w:tc>
          <w:tcPr>
            <w:tcW w:w="745" w:type="dxa"/>
            <w:vAlign w:val="top"/>
          </w:tcPr>
          <w:p w14:paraId="11C0DA7F">
            <w:pPr>
              <w:pStyle w:val="6"/>
              <w:spacing w:before="78" w:line="232" w:lineRule="auto"/>
              <w:ind w:left="31"/>
              <w:rPr>
                <w:sz w:val="18"/>
                <w:szCs w:val="18"/>
              </w:rPr>
            </w:pPr>
            <w:r>
              <w:rPr>
                <w:spacing w:val="-1"/>
                <w:sz w:val="18"/>
                <w:szCs w:val="18"/>
              </w:rPr>
              <w:t>0.00004L</w:t>
            </w:r>
          </w:p>
        </w:tc>
        <w:tc>
          <w:tcPr>
            <w:tcW w:w="651" w:type="dxa"/>
            <w:vAlign w:val="top"/>
          </w:tcPr>
          <w:p w14:paraId="6BE0CBA2">
            <w:pPr>
              <w:pStyle w:val="6"/>
              <w:spacing w:before="78" w:line="232" w:lineRule="auto"/>
              <w:ind w:left="29"/>
              <w:rPr>
                <w:sz w:val="18"/>
                <w:szCs w:val="18"/>
              </w:rPr>
            </w:pPr>
            <w:r>
              <w:rPr>
                <w:spacing w:val="-1"/>
                <w:sz w:val="18"/>
                <w:szCs w:val="18"/>
              </w:rPr>
              <w:t>0.0003L</w:t>
            </w:r>
          </w:p>
        </w:tc>
        <w:tc>
          <w:tcPr>
            <w:tcW w:w="652" w:type="dxa"/>
            <w:vAlign w:val="top"/>
          </w:tcPr>
          <w:p w14:paraId="6B81B83A">
            <w:pPr>
              <w:pStyle w:val="6"/>
              <w:spacing w:before="78" w:line="232" w:lineRule="auto"/>
              <w:ind w:left="30"/>
              <w:rPr>
                <w:sz w:val="18"/>
                <w:szCs w:val="18"/>
              </w:rPr>
            </w:pPr>
            <w:r>
              <w:rPr>
                <w:spacing w:val="-1"/>
                <w:sz w:val="18"/>
                <w:szCs w:val="18"/>
              </w:rPr>
              <w:t>0.0004L</w:t>
            </w:r>
          </w:p>
        </w:tc>
        <w:tc>
          <w:tcPr>
            <w:tcW w:w="566" w:type="dxa"/>
            <w:vAlign w:val="top"/>
          </w:tcPr>
          <w:p w14:paraId="50BA5410">
            <w:pPr>
              <w:pStyle w:val="6"/>
              <w:spacing w:before="78" w:line="232" w:lineRule="auto"/>
              <w:ind w:left="32"/>
              <w:rPr>
                <w:sz w:val="18"/>
                <w:szCs w:val="18"/>
              </w:rPr>
            </w:pPr>
            <w:r>
              <w:rPr>
                <w:spacing w:val="-2"/>
                <w:sz w:val="18"/>
                <w:szCs w:val="18"/>
              </w:rPr>
              <w:t>0.001L</w:t>
            </w:r>
          </w:p>
        </w:tc>
        <w:tc>
          <w:tcPr>
            <w:tcW w:w="582" w:type="dxa"/>
            <w:vAlign w:val="top"/>
          </w:tcPr>
          <w:p w14:paraId="4F3B792A">
            <w:pPr>
              <w:pStyle w:val="6"/>
              <w:spacing w:before="78" w:line="232" w:lineRule="auto"/>
              <w:ind w:left="41"/>
              <w:rPr>
                <w:sz w:val="18"/>
                <w:szCs w:val="18"/>
              </w:rPr>
            </w:pPr>
            <w:r>
              <w:rPr>
                <w:spacing w:val="-2"/>
                <w:sz w:val="18"/>
                <w:szCs w:val="18"/>
              </w:rPr>
              <w:t>0.004L</w:t>
            </w:r>
          </w:p>
        </w:tc>
        <w:tc>
          <w:tcPr>
            <w:tcW w:w="476" w:type="dxa"/>
            <w:vAlign w:val="top"/>
          </w:tcPr>
          <w:p w14:paraId="57C84C0D">
            <w:pPr>
              <w:pStyle w:val="6"/>
              <w:spacing w:before="78" w:line="232" w:lineRule="auto"/>
              <w:ind w:left="34"/>
              <w:rPr>
                <w:sz w:val="18"/>
                <w:szCs w:val="18"/>
              </w:rPr>
            </w:pPr>
            <w:r>
              <w:rPr>
                <w:spacing w:val="-2"/>
                <w:sz w:val="18"/>
                <w:szCs w:val="18"/>
              </w:rPr>
              <w:t>0.01L</w:t>
            </w:r>
          </w:p>
        </w:tc>
        <w:tc>
          <w:tcPr>
            <w:tcW w:w="567" w:type="dxa"/>
            <w:vAlign w:val="top"/>
          </w:tcPr>
          <w:p w14:paraId="77A2D201">
            <w:pPr>
              <w:pStyle w:val="6"/>
              <w:spacing w:before="78" w:line="232" w:lineRule="auto"/>
              <w:ind w:left="91"/>
              <w:rPr>
                <w:sz w:val="18"/>
                <w:szCs w:val="18"/>
              </w:rPr>
            </w:pPr>
            <w:r>
              <w:rPr>
                <w:spacing w:val="-2"/>
                <w:sz w:val="18"/>
                <w:szCs w:val="18"/>
              </w:rPr>
              <w:t>0.017</w:t>
            </w:r>
          </w:p>
        </w:tc>
        <w:tc>
          <w:tcPr>
            <w:tcW w:w="765" w:type="dxa"/>
            <w:vAlign w:val="top"/>
          </w:tcPr>
          <w:p w14:paraId="6778163E">
            <w:pPr>
              <w:pStyle w:val="6"/>
              <w:spacing w:before="78" w:line="232" w:lineRule="auto"/>
              <w:ind w:left="361"/>
              <w:rPr>
                <w:sz w:val="18"/>
                <w:szCs w:val="18"/>
              </w:rPr>
            </w:pPr>
            <w:r>
              <w:rPr>
                <w:sz w:val="18"/>
                <w:szCs w:val="18"/>
              </w:rPr>
              <w:t>/</w:t>
            </w:r>
          </w:p>
        </w:tc>
        <w:tc>
          <w:tcPr>
            <w:tcW w:w="424" w:type="dxa"/>
            <w:vAlign w:val="top"/>
          </w:tcPr>
          <w:p w14:paraId="4FC4C1AA">
            <w:pPr>
              <w:pStyle w:val="6"/>
              <w:spacing w:before="78" w:line="232" w:lineRule="auto"/>
              <w:ind w:left="90"/>
              <w:rPr>
                <w:sz w:val="18"/>
                <w:szCs w:val="18"/>
              </w:rPr>
            </w:pPr>
            <w:r>
              <w:rPr>
                <w:spacing w:val="-2"/>
                <w:sz w:val="18"/>
                <w:szCs w:val="18"/>
              </w:rPr>
              <w:t>345</w:t>
            </w:r>
          </w:p>
        </w:tc>
        <w:tc>
          <w:tcPr>
            <w:tcW w:w="427" w:type="dxa"/>
            <w:vAlign w:val="top"/>
          </w:tcPr>
          <w:p w14:paraId="4C568F15">
            <w:pPr>
              <w:pStyle w:val="6"/>
              <w:spacing w:before="78" w:line="232" w:lineRule="auto"/>
              <w:ind w:left="68"/>
              <w:rPr>
                <w:sz w:val="18"/>
                <w:szCs w:val="18"/>
              </w:rPr>
            </w:pPr>
            <w:r>
              <w:rPr>
                <w:spacing w:val="-2"/>
                <w:sz w:val="18"/>
                <w:szCs w:val="18"/>
              </w:rPr>
              <w:t>0.35</w:t>
            </w:r>
          </w:p>
        </w:tc>
        <w:tc>
          <w:tcPr>
            <w:tcW w:w="424" w:type="dxa"/>
            <w:vAlign w:val="top"/>
          </w:tcPr>
          <w:p w14:paraId="2DFA622F">
            <w:pPr>
              <w:pStyle w:val="6"/>
              <w:spacing w:before="78" w:line="232" w:lineRule="auto"/>
              <w:jc w:val="right"/>
              <w:rPr>
                <w:sz w:val="18"/>
                <w:szCs w:val="18"/>
              </w:rPr>
            </w:pPr>
            <w:r>
              <w:rPr>
                <w:spacing w:val="-3"/>
                <w:sz w:val="18"/>
                <w:szCs w:val="18"/>
              </w:rPr>
              <w:t>0.360</w:t>
            </w:r>
          </w:p>
        </w:tc>
        <w:tc>
          <w:tcPr>
            <w:tcW w:w="423" w:type="dxa"/>
            <w:vAlign w:val="top"/>
          </w:tcPr>
          <w:p w14:paraId="39029419">
            <w:pPr>
              <w:pStyle w:val="6"/>
              <w:spacing w:before="78" w:line="232" w:lineRule="auto"/>
              <w:ind w:left="71"/>
              <w:rPr>
                <w:sz w:val="18"/>
                <w:szCs w:val="18"/>
              </w:rPr>
            </w:pPr>
            <w:r>
              <w:rPr>
                <w:spacing w:val="-3"/>
                <w:sz w:val="18"/>
                <w:szCs w:val="18"/>
              </w:rPr>
              <w:t>8.13</w:t>
            </w:r>
          </w:p>
        </w:tc>
        <w:tc>
          <w:tcPr>
            <w:tcW w:w="472" w:type="dxa"/>
            <w:vAlign w:val="top"/>
          </w:tcPr>
          <w:p w14:paraId="5A78C880">
            <w:pPr>
              <w:pStyle w:val="6"/>
              <w:spacing w:before="78" w:line="232" w:lineRule="auto"/>
              <w:ind w:left="93"/>
              <w:rPr>
                <w:sz w:val="18"/>
                <w:szCs w:val="18"/>
              </w:rPr>
            </w:pPr>
            <w:r>
              <w:rPr>
                <w:spacing w:val="-2"/>
                <w:sz w:val="18"/>
                <w:szCs w:val="18"/>
              </w:rPr>
              <w:t>97.2</w:t>
            </w:r>
          </w:p>
        </w:tc>
        <w:tc>
          <w:tcPr>
            <w:tcW w:w="377" w:type="dxa"/>
            <w:tcBorders>
              <w:right w:val="single" w:color="000000" w:sz="12" w:space="0"/>
            </w:tcBorders>
            <w:vAlign w:val="top"/>
          </w:tcPr>
          <w:p w14:paraId="55579279">
            <w:pPr>
              <w:pStyle w:val="6"/>
              <w:spacing w:before="78" w:line="232" w:lineRule="auto"/>
              <w:ind w:left="49"/>
              <w:rPr>
                <w:sz w:val="18"/>
                <w:szCs w:val="18"/>
              </w:rPr>
            </w:pPr>
            <w:r>
              <w:rPr>
                <w:spacing w:val="-6"/>
                <w:sz w:val="18"/>
                <w:szCs w:val="18"/>
              </w:rPr>
              <w:t>10.7</w:t>
            </w:r>
          </w:p>
        </w:tc>
      </w:tr>
      <w:tr w14:paraId="79533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35321EB0">
            <w:pPr>
              <w:rPr>
                <w:rFonts w:ascii="Arial"/>
                <w:sz w:val="21"/>
              </w:rPr>
            </w:pPr>
          </w:p>
        </w:tc>
        <w:tc>
          <w:tcPr>
            <w:tcW w:w="268" w:type="dxa"/>
            <w:vMerge w:val="restart"/>
            <w:tcBorders>
              <w:bottom w:val="nil"/>
            </w:tcBorders>
            <w:vAlign w:val="top"/>
          </w:tcPr>
          <w:p w14:paraId="576C9654">
            <w:pPr>
              <w:pStyle w:val="6"/>
              <w:spacing w:before="139" w:line="226" w:lineRule="auto"/>
              <w:ind w:left="73"/>
              <w:rPr>
                <w:sz w:val="18"/>
                <w:szCs w:val="18"/>
              </w:rPr>
            </w:pPr>
            <w:r>
              <w:rPr>
                <w:sz w:val="18"/>
                <w:szCs w:val="18"/>
              </w:rPr>
              <w:t>2</w:t>
            </w:r>
          </w:p>
          <w:p w14:paraId="66EB5F40">
            <w:pPr>
              <w:spacing w:line="226" w:lineRule="auto"/>
              <w:ind w:left="31"/>
              <w:rPr>
                <w:rFonts w:ascii="等线" w:hAnsi="等线" w:eastAsia="等线" w:cs="等线"/>
                <w:sz w:val="18"/>
                <w:szCs w:val="18"/>
              </w:rPr>
            </w:pPr>
            <w:r>
              <w:rPr>
                <w:rFonts w:ascii="等线" w:hAnsi="等线" w:eastAsia="等线" w:cs="等线"/>
                <w:sz w:val="18"/>
                <w:szCs w:val="18"/>
              </w:rPr>
              <w:t>季</w:t>
            </w:r>
          </w:p>
          <w:p w14:paraId="5ED777C1">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073371E6">
            <w:pPr>
              <w:pStyle w:val="6"/>
              <w:spacing w:before="80" w:line="232" w:lineRule="auto"/>
              <w:ind w:left="138"/>
              <w:rPr>
                <w:sz w:val="18"/>
                <w:szCs w:val="18"/>
              </w:rPr>
            </w:pPr>
            <w:r>
              <w:rPr>
                <w:spacing w:val="-1"/>
                <w:sz w:val="18"/>
                <w:szCs w:val="18"/>
              </w:rPr>
              <w:t>2020/5/20</w:t>
            </w:r>
          </w:p>
        </w:tc>
        <w:tc>
          <w:tcPr>
            <w:tcW w:w="774" w:type="dxa"/>
            <w:vAlign w:val="top"/>
          </w:tcPr>
          <w:p w14:paraId="30E33102">
            <w:pPr>
              <w:pStyle w:val="6"/>
              <w:spacing w:before="80" w:line="232" w:lineRule="auto"/>
              <w:ind w:left="219"/>
              <w:rPr>
                <w:sz w:val="18"/>
                <w:szCs w:val="18"/>
              </w:rPr>
            </w:pPr>
            <w:r>
              <w:rPr>
                <w:spacing w:val="-2"/>
                <w:sz w:val="18"/>
                <w:szCs w:val="18"/>
              </w:rPr>
              <w:t>7.19</w:t>
            </w:r>
          </w:p>
        </w:tc>
        <w:tc>
          <w:tcPr>
            <w:tcW w:w="741" w:type="dxa"/>
            <w:vAlign w:val="top"/>
          </w:tcPr>
          <w:p w14:paraId="6F8E751C">
            <w:pPr>
              <w:pStyle w:val="6"/>
              <w:spacing w:before="81" w:line="232" w:lineRule="auto"/>
              <w:ind w:left="222"/>
              <w:rPr>
                <w:sz w:val="18"/>
                <w:szCs w:val="18"/>
              </w:rPr>
            </w:pPr>
            <w:r>
              <w:rPr>
                <w:spacing w:val="-1"/>
                <w:sz w:val="18"/>
                <w:szCs w:val="18"/>
              </w:rPr>
              <w:t>232</w:t>
            </w:r>
          </w:p>
        </w:tc>
        <w:tc>
          <w:tcPr>
            <w:tcW w:w="705" w:type="dxa"/>
            <w:vAlign w:val="top"/>
          </w:tcPr>
          <w:p w14:paraId="2AA3B540">
            <w:pPr>
              <w:pStyle w:val="6"/>
              <w:spacing w:before="81" w:line="232" w:lineRule="auto"/>
              <w:ind w:left="209"/>
              <w:rPr>
                <w:sz w:val="18"/>
                <w:szCs w:val="18"/>
              </w:rPr>
            </w:pPr>
            <w:r>
              <w:rPr>
                <w:spacing w:val="-2"/>
                <w:sz w:val="18"/>
                <w:szCs w:val="18"/>
              </w:rPr>
              <w:t>306</w:t>
            </w:r>
          </w:p>
        </w:tc>
        <w:tc>
          <w:tcPr>
            <w:tcW w:w="570" w:type="dxa"/>
            <w:vAlign w:val="top"/>
          </w:tcPr>
          <w:p w14:paraId="116E6447">
            <w:pPr>
              <w:pStyle w:val="6"/>
              <w:spacing w:before="81" w:line="232" w:lineRule="auto"/>
              <w:ind w:left="186"/>
              <w:rPr>
                <w:sz w:val="18"/>
                <w:szCs w:val="18"/>
              </w:rPr>
            </w:pPr>
            <w:r>
              <w:rPr>
                <w:spacing w:val="-2"/>
                <w:sz w:val="18"/>
                <w:szCs w:val="18"/>
              </w:rPr>
              <w:t>66</w:t>
            </w:r>
          </w:p>
        </w:tc>
        <w:tc>
          <w:tcPr>
            <w:tcW w:w="423" w:type="dxa"/>
            <w:vAlign w:val="top"/>
          </w:tcPr>
          <w:p w14:paraId="2FBE9C41">
            <w:pPr>
              <w:pStyle w:val="6"/>
              <w:spacing w:before="83" w:line="186" w:lineRule="auto"/>
              <w:ind w:left="72"/>
              <w:rPr>
                <w:sz w:val="18"/>
                <w:szCs w:val="18"/>
              </w:rPr>
            </w:pPr>
            <w:r>
              <w:rPr>
                <w:spacing w:val="-5"/>
                <w:sz w:val="18"/>
                <w:szCs w:val="18"/>
              </w:rPr>
              <w:t>10L</w:t>
            </w:r>
          </w:p>
        </w:tc>
        <w:tc>
          <w:tcPr>
            <w:tcW w:w="567" w:type="dxa"/>
            <w:vAlign w:val="top"/>
          </w:tcPr>
          <w:p w14:paraId="39D86B0D">
            <w:pPr>
              <w:pStyle w:val="6"/>
              <w:spacing w:before="80" w:line="232" w:lineRule="auto"/>
              <w:ind w:left="63"/>
              <w:rPr>
                <w:sz w:val="18"/>
                <w:szCs w:val="18"/>
              </w:rPr>
            </w:pPr>
            <w:r>
              <w:rPr>
                <w:spacing w:val="-2"/>
                <w:sz w:val="18"/>
                <w:szCs w:val="18"/>
              </w:rPr>
              <w:t>0.03L</w:t>
            </w:r>
          </w:p>
        </w:tc>
        <w:tc>
          <w:tcPr>
            <w:tcW w:w="545" w:type="dxa"/>
            <w:vAlign w:val="top"/>
          </w:tcPr>
          <w:p w14:paraId="57BEBCA0">
            <w:pPr>
              <w:pStyle w:val="6"/>
              <w:spacing w:before="80" w:line="232" w:lineRule="auto"/>
              <w:ind w:left="53"/>
              <w:rPr>
                <w:sz w:val="18"/>
                <w:szCs w:val="18"/>
              </w:rPr>
            </w:pPr>
            <w:r>
              <w:rPr>
                <w:spacing w:val="-2"/>
                <w:sz w:val="18"/>
                <w:szCs w:val="18"/>
              </w:rPr>
              <w:t>0.02L</w:t>
            </w:r>
          </w:p>
        </w:tc>
        <w:tc>
          <w:tcPr>
            <w:tcW w:w="472" w:type="dxa"/>
            <w:vAlign w:val="top"/>
          </w:tcPr>
          <w:p w14:paraId="68E44471">
            <w:pPr>
              <w:pStyle w:val="6"/>
              <w:spacing w:before="80" w:line="232" w:lineRule="auto"/>
              <w:ind w:left="18"/>
              <w:rPr>
                <w:sz w:val="18"/>
                <w:szCs w:val="18"/>
              </w:rPr>
            </w:pPr>
            <w:r>
              <w:rPr>
                <w:spacing w:val="-2"/>
                <w:sz w:val="18"/>
                <w:szCs w:val="18"/>
              </w:rPr>
              <w:t>0.01L</w:t>
            </w:r>
          </w:p>
        </w:tc>
        <w:tc>
          <w:tcPr>
            <w:tcW w:w="562" w:type="dxa"/>
            <w:vAlign w:val="top"/>
          </w:tcPr>
          <w:p w14:paraId="1F147445">
            <w:pPr>
              <w:pStyle w:val="6"/>
              <w:spacing w:before="80" w:line="232" w:lineRule="auto"/>
              <w:ind w:left="74"/>
              <w:rPr>
                <w:sz w:val="18"/>
                <w:szCs w:val="18"/>
              </w:rPr>
            </w:pPr>
            <w:r>
              <w:rPr>
                <w:spacing w:val="-2"/>
                <w:sz w:val="18"/>
                <w:szCs w:val="18"/>
              </w:rPr>
              <w:t>0.012</w:t>
            </w:r>
          </w:p>
        </w:tc>
        <w:tc>
          <w:tcPr>
            <w:tcW w:w="651" w:type="dxa"/>
            <w:vAlign w:val="top"/>
          </w:tcPr>
          <w:p w14:paraId="0E064D82">
            <w:pPr>
              <w:pStyle w:val="6"/>
              <w:spacing w:before="80" w:line="232" w:lineRule="auto"/>
              <w:ind w:left="18"/>
              <w:rPr>
                <w:sz w:val="18"/>
                <w:szCs w:val="18"/>
              </w:rPr>
            </w:pPr>
            <w:r>
              <w:rPr>
                <w:spacing w:val="-1"/>
                <w:sz w:val="18"/>
                <w:szCs w:val="18"/>
              </w:rPr>
              <w:t>0.0003L</w:t>
            </w:r>
          </w:p>
        </w:tc>
        <w:tc>
          <w:tcPr>
            <w:tcW w:w="884" w:type="dxa"/>
            <w:vAlign w:val="top"/>
          </w:tcPr>
          <w:p w14:paraId="69D1CAAC">
            <w:pPr>
              <w:pStyle w:val="6"/>
              <w:spacing w:before="80" w:line="232" w:lineRule="auto"/>
              <w:ind w:left="226"/>
              <w:rPr>
                <w:sz w:val="18"/>
                <w:szCs w:val="18"/>
              </w:rPr>
            </w:pPr>
            <w:r>
              <w:rPr>
                <w:spacing w:val="-2"/>
                <w:sz w:val="18"/>
                <w:szCs w:val="18"/>
              </w:rPr>
              <w:t>0.05L</w:t>
            </w:r>
          </w:p>
        </w:tc>
        <w:tc>
          <w:tcPr>
            <w:tcW w:w="709" w:type="dxa"/>
            <w:vAlign w:val="top"/>
          </w:tcPr>
          <w:p w14:paraId="6B6351BE">
            <w:pPr>
              <w:pStyle w:val="6"/>
              <w:spacing w:before="80" w:line="232" w:lineRule="auto"/>
              <w:ind w:left="194"/>
              <w:rPr>
                <w:sz w:val="18"/>
                <w:szCs w:val="18"/>
              </w:rPr>
            </w:pPr>
            <w:r>
              <w:rPr>
                <w:spacing w:val="-2"/>
                <w:sz w:val="18"/>
                <w:szCs w:val="18"/>
              </w:rPr>
              <w:t>0.01</w:t>
            </w:r>
          </w:p>
        </w:tc>
        <w:tc>
          <w:tcPr>
            <w:tcW w:w="703" w:type="dxa"/>
            <w:vAlign w:val="top"/>
          </w:tcPr>
          <w:p w14:paraId="24AB1F89">
            <w:pPr>
              <w:pStyle w:val="6"/>
              <w:spacing w:before="80" w:line="232" w:lineRule="auto"/>
              <w:ind w:left="193"/>
              <w:rPr>
                <w:sz w:val="18"/>
                <w:szCs w:val="18"/>
              </w:rPr>
            </w:pPr>
            <w:r>
              <w:rPr>
                <w:spacing w:val="-2"/>
                <w:sz w:val="18"/>
                <w:szCs w:val="18"/>
              </w:rPr>
              <w:t>0.67</w:t>
            </w:r>
          </w:p>
        </w:tc>
        <w:tc>
          <w:tcPr>
            <w:tcW w:w="708" w:type="dxa"/>
            <w:vAlign w:val="top"/>
          </w:tcPr>
          <w:p w14:paraId="605A691C">
            <w:pPr>
              <w:pStyle w:val="6"/>
              <w:spacing w:before="80" w:line="232" w:lineRule="auto"/>
              <w:ind w:left="96"/>
              <w:rPr>
                <w:sz w:val="18"/>
                <w:szCs w:val="18"/>
              </w:rPr>
            </w:pPr>
            <w:r>
              <w:rPr>
                <w:spacing w:val="-2"/>
                <w:sz w:val="18"/>
                <w:szCs w:val="18"/>
              </w:rPr>
              <w:t>0.003L</w:t>
            </w:r>
          </w:p>
        </w:tc>
        <w:tc>
          <w:tcPr>
            <w:tcW w:w="764" w:type="dxa"/>
            <w:vAlign w:val="top"/>
          </w:tcPr>
          <w:p w14:paraId="68671C17">
            <w:pPr>
              <w:pStyle w:val="6"/>
              <w:spacing w:before="80" w:line="232" w:lineRule="auto"/>
              <w:ind w:left="126"/>
              <w:rPr>
                <w:sz w:val="18"/>
                <w:szCs w:val="18"/>
              </w:rPr>
            </w:pPr>
            <w:r>
              <w:rPr>
                <w:spacing w:val="-2"/>
                <w:sz w:val="18"/>
                <w:szCs w:val="18"/>
              </w:rPr>
              <w:t>0.025L</w:t>
            </w:r>
          </w:p>
        </w:tc>
        <w:tc>
          <w:tcPr>
            <w:tcW w:w="586" w:type="dxa"/>
            <w:vAlign w:val="top"/>
          </w:tcPr>
          <w:p w14:paraId="5BAFB084">
            <w:pPr>
              <w:pStyle w:val="6"/>
              <w:spacing w:before="80" w:line="232" w:lineRule="auto"/>
              <w:ind w:left="139"/>
              <w:rPr>
                <w:sz w:val="18"/>
                <w:szCs w:val="18"/>
              </w:rPr>
            </w:pPr>
            <w:r>
              <w:rPr>
                <w:spacing w:val="-2"/>
                <w:sz w:val="18"/>
                <w:szCs w:val="18"/>
              </w:rPr>
              <w:t>0.06</w:t>
            </w:r>
          </w:p>
        </w:tc>
        <w:tc>
          <w:tcPr>
            <w:tcW w:w="582" w:type="dxa"/>
            <w:vAlign w:val="top"/>
          </w:tcPr>
          <w:p w14:paraId="11D60492">
            <w:pPr>
              <w:pStyle w:val="6"/>
              <w:spacing w:before="80" w:line="232" w:lineRule="auto"/>
              <w:ind w:left="38"/>
              <w:rPr>
                <w:sz w:val="18"/>
                <w:szCs w:val="18"/>
              </w:rPr>
            </w:pPr>
            <w:r>
              <w:rPr>
                <w:spacing w:val="-2"/>
                <w:sz w:val="18"/>
                <w:szCs w:val="18"/>
              </w:rPr>
              <w:t>0.004L</w:t>
            </w:r>
          </w:p>
        </w:tc>
        <w:tc>
          <w:tcPr>
            <w:tcW w:w="745" w:type="dxa"/>
            <w:vAlign w:val="top"/>
          </w:tcPr>
          <w:p w14:paraId="694D114E">
            <w:pPr>
              <w:pStyle w:val="6"/>
              <w:spacing w:before="80" w:line="232" w:lineRule="auto"/>
              <w:ind w:left="86"/>
              <w:rPr>
                <w:sz w:val="18"/>
                <w:szCs w:val="18"/>
              </w:rPr>
            </w:pPr>
            <w:r>
              <w:rPr>
                <w:spacing w:val="-1"/>
                <w:sz w:val="18"/>
                <w:szCs w:val="18"/>
              </w:rPr>
              <w:t>0.00006</w:t>
            </w:r>
          </w:p>
        </w:tc>
        <w:tc>
          <w:tcPr>
            <w:tcW w:w="651" w:type="dxa"/>
            <w:vAlign w:val="top"/>
          </w:tcPr>
          <w:p w14:paraId="27111D44">
            <w:pPr>
              <w:pStyle w:val="6"/>
              <w:spacing w:before="80" w:line="232" w:lineRule="auto"/>
              <w:ind w:left="84"/>
              <w:rPr>
                <w:sz w:val="18"/>
                <w:szCs w:val="18"/>
              </w:rPr>
            </w:pPr>
            <w:r>
              <w:rPr>
                <w:spacing w:val="-2"/>
                <w:sz w:val="18"/>
                <w:szCs w:val="18"/>
              </w:rPr>
              <w:t>0.0018</w:t>
            </w:r>
          </w:p>
        </w:tc>
        <w:tc>
          <w:tcPr>
            <w:tcW w:w="652" w:type="dxa"/>
            <w:vAlign w:val="top"/>
          </w:tcPr>
          <w:p w14:paraId="62094536">
            <w:pPr>
              <w:pStyle w:val="6"/>
              <w:spacing w:before="80" w:line="232" w:lineRule="auto"/>
              <w:ind w:left="30"/>
              <w:rPr>
                <w:sz w:val="18"/>
                <w:szCs w:val="18"/>
              </w:rPr>
            </w:pPr>
            <w:r>
              <w:rPr>
                <w:spacing w:val="-1"/>
                <w:sz w:val="18"/>
                <w:szCs w:val="18"/>
              </w:rPr>
              <w:t>0.0004L</w:t>
            </w:r>
          </w:p>
        </w:tc>
        <w:tc>
          <w:tcPr>
            <w:tcW w:w="566" w:type="dxa"/>
            <w:vAlign w:val="top"/>
          </w:tcPr>
          <w:p w14:paraId="6D05F564">
            <w:pPr>
              <w:pStyle w:val="6"/>
              <w:spacing w:before="80" w:line="232" w:lineRule="auto"/>
              <w:ind w:left="32"/>
              <w:rPr>
                <w:sz w:val="18"/>
                <w:szCs w:val="18"/>
              </w:rPr>
            </w:pPr>
            <w:r>
              <w:rPr>
                <w:spacing w:val="-2"/>
                <w:sz w:val="18"/>
                <w:szCs w:val="18"/>
              </w:rPr>
              <w:t>0.001L</w:t>
            </w:r>
          </w:p>
        </w:tc>
        <w:tc>
          <w:tcPr>
            <w:tcW w:w="582" w:type="dxa"/>
            <w:vAlign w:val="top"/>
          </w:tcPr>
          <w:p w14:paraId="19DA295D">
            <w:pPr>
              <w:pStyle w:val="6"/>
              <w:spacing w:before="80" w:line="232" w:lineRule="auto"/>
              <w:ind w:left="41"/>
              <w:rPr>
                <w:sz w:val="18"/>
                <w:szCs w:val="18"/>
              </w:rPr>
            </w:pPr>
            <w:r>
              <w:rPr>
                <w:spacing w:val="-2"/>
                <w:sz w:val="18"/>
                <w:szCs w:val="18"/>
              </w:rPr>
              <w:t>0.004L</w:t>
            </w:r>
          </w:p>
        </w:tc>
        <w:tc>
          <w:tcPr>
            <w:tcW w:w="476" w:type="dxa"/>
            <w:vAlign w:val="top"/>
          </w:tcPr>
          <w:p w14:paraId="2966D9E3">
            <w:pPr>
              <w:pStyle w:val="6"/>
              <w:spacing w:before="80" w:line="232" w:lineRule="auto"/>
              <w:ind w:left="34"/>
              <w:rPr>
                <w:sz w:val="18"/>
                <w:szCs w:val="18"/>
              </w:rPr>
            </w:pPr>
            <w:r>
              <w:rPr>
                <w:spacing w:val="-2"/>
                <w:sz w:val="18"/>
                <w:szCs w:val="18"/>
              </w:rPr>
              <w:t>0.01L</w:t>
            </w:r>
          </w:p>
        </w:tc>
        <w:tc>
          <w:tcPr>
            <w:tcW w:w="567" w:type="dxa"/>
            <w:vAlign w:val="top"/>
          </w:tcPr>
          <w:p w14:paraId="797344F7">
            <w:pPr>
              <w:pStyle w:val="6"/>
              <w:spacing w:before="80" w:line="232" w:lineRule="auto"/>
              <w:ind w:left="91"/>
              <w:rPr>
                <w:sz w:val="18"/>
                <w:szCs w:val="18"/>
              </w:rPr>
            </w:pPr>
            <w:r>
              <w:rPr>
                <w:spacing w:val="-2"/>
                <w:sz w:val="18"/>
                <w:szCs w:val="18"/>
              </w:rPr>
              <w:t>0.009</w:t>
            </w:r>
          </w:p>
        </w:tc>
        <w:tc>
          <w:tcPr>
            <w:tcW w:w="765" w:type="dxa"/>
            <w:vAlign w:val="top"/>
          </w:tcPr>
          <w:p w14:paraId="23F1863F">
            <w:pPr>
              <w:pStyle w:val="6"/>
              <w:spacing w:before="81" w:line="232" w:lineRule="auto"/>
              <w:ind w:left="307"/>
              <w:rPr>
                <w:sz w:val="18"/>
                <w:szCs w:val="18"/>
              </w:rPr>
            </w:pPr>
            <w:r>
              <w:rPr>
                <w:spacing w:val="-3"/>
                <w:sz w:val="18"/>
                <w:szCs w:val="18"/>
              </w:rPr>
              <w:t>81</w:t>
            </w:r>
          </w:p>
        </w:tc>
        <w:tc>
          <w:tcPr>
            <w:tcW w:w="424" w:type="dxa"/>
            <w:vAlign w:val="top"/>
          </w:tcPr>
          <w:p w14:paraId="42C0AFEF">
            <w:pPr>
              <w:pStyle w:val="6"/>
              <w:spacing w:before="81" w:line="232" w:lineRule="auto"/>
              <w:ind w:left="90"/>
              <w:rPr>
                <w:sz w:val="18"/>
                <w:szCs w:val="18"/>
              </w:rPr>
            </w:pPr>
            <w:r>
              <w:rPr>
                <w:spacing w:val="-2"/>
                <w:sz w:val="18"/>
                <w:szCs w:val="18"/>
              </w:rPr>
              <w:t>345</w:t>
            </w:r>
          </w:p>
        </w:tc>
        <w:tc>
          <w:tcPr>
            <w:tcW w:w="427" w:type="dxa"/>
            <w:vAlign w:val="top"/>
          </w:tcPr>
          <w:p w14:paraId="7612C26E">
            <w:pPr>
              <w:pStyle w:val="6"/>
              <w:spacing w:before="80" w:line="232" w:lineRule="auto"/>
              <w:ind w:left="68"/>
              <w:rPr>
                <w:sz w:val="18"/>
                <w:szCs w:val="18"/>
              </w:rPr>
            </w:pPr>
            <w:r>
              <w:rPr>
                <w:spacing w:val="-2"/>
                <w:sz w:val="18"/>
                <w:szCs w:val="18"/>
              </w:rPr>
              <w:t>0.56</w:t>
            </w:r>
          </w:p>
        </w:tc>
        <w:tc>
          <w:tcPr>
            <w:tcW w:w="424" w:type="dxa"/>
            <w:vAlign w:val="top"/>
          </w:tcPr>
          <w:p w14:paraId="77A1965B">
            <w:pPr>
              <w:pStyle w:val="6"/>
              <w:spacing w:before="80" w:line="232" w:lineRule="auto"/>
              <w:jc w:val="right"/>
              <w:rPr>
                <w:sz w:val="18"/>
                <w:szCs w:val="18"/>
              </w:rPr>
            </w:pPr>
            <w:r>
              <w:rPr>
                <w:spacing w:val="-3"/>
                <w:sz w:val="18"/>
                <w:szCs w:val="18"/>
              </w:rPr>
              <w:t>0.570</w:t>
            </w:r>
          </w:p>
        </w:tc>
        <w:tc>
          <w:tcPr>
            <w:tcW w:w="423" w:type="dxa"/>
            <w:vAlign w:val="top"/>
          </w:tcPr>
          <w:p w14:paraId="6D40069A">
            <w:pPr>
              <w:pStyle w:val="6"/>
              <w:spacing w:before="80" w:line="232" w:lineRule="auto"/>
              <w:ind w:left="81"/>
              <w:rPr>
                <w:sz w:val="18"/>
                <w:szCs w:val="18"/>
              </w:rPr>
            </w:pPr>
            <w:r>
              <w:rPr>
                <w:spacing w:val="-6"/>
                <w:sz w:val="18"/>
                <w:szCs w:val="18"/>
              </w:rPr>
              <w:t>12.4</w:t>
            </w:r>
          </w:p>
        </w:tc>
        <w:tc>
          <w:tcPr>
            <w:tcW w:w="472" w:type="dxa"/>
            <w:vAlign w:val="top"/>
          </w:tcPr>
          <w:p w14:paraId="29BE9EF2">
            <w:pPr>
              <w:pStyle w:val="6"/>
              <w:spacing w:before="80" w:line="232" w:lineRule="auto"/>
              <w:ind w:left="93"/>
              <w:rPr>
                <w:sz w:val="18"/>
                <w:szCs w:val="18"/>
              </w:rPr>
            </w:pPr>
            <w:r>
              <w:rPr>
                <w:spacing w:val="-2"/>
                <w:sz w:val="18"/>
                <w:szCs w:val="18"/>
              </w:rPr>
              <w:t>37.9</w:t>
            </w:r>
          </w:p>
        </w:tc>
        <w:tc>
          <w:tcPr>
            <w:tcW w:w="377" w:type="dxa"/>
            <w:tcBorders>
              <w:right w:val="single" w:color="000000" w:sz="12" w:space="0"/>
            </w:tcBorders>
            <w:vAlign w:val="top"/>
          </w:tcPr>
          <w:p w14:paraId="457F7888">
            <w:pPr>
              <w:pStyle w:val="6"/>
              <w:spacing w:before="80" w:line="232" w:lineRule="auto"/>
              <w:ind w:left="35"/>
              <w:rPr>
                <w:sz w:val="18"/>
                <w:szCs w:val="18"/>
              </w:rPr>
            </w:pPr>
            <w:r>
              <w:rPr>
                <w:spacing w:val="-2"/>
                <w:sz w:val="18"/>
                <w:szCs w:val="18"/>
              </w:rPr>
              <w:t>30.2</w:t>
            </w:r>
          </w:p>
        </w:tc>
      </w:tr>
      <w:tr w14:paraId="7F489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68A4A59B">
            <w:pPr>
              <w:rPr>
                <w:rFonts w:ascii="Arial"/>
                <w:sz w:val="21"/>
              </w:rPr>
            </w:pPr>
          </w:p>
        </w:tc>
        <w:tc>
          <w:tcPr>
            <w:tcW w:w="268" w:type="dxa"/>
            <w:vMerge w:val="continue"/>
            <w:tcBorders>
              <w:top w:val="nil"/>
              <w:bottom w:val="nil"/>
            </w:tcBorders>
            <w:vAlign w:val="top"/>
          </w:tcPr>
          <w:p w14:paraId="54C765C3">
            <w:pPr>
              <w:rPr>
                <w:rFonts w:ascii="Arial"/>
                <w:sz w:val="21"/>
              </w:rPr>
            </w:pPr>
          </w:p>
        </w:tc>
        <w:tc>
          <w:tcPr>
            <w:tcW w:w="1038" w:type="dxa"/>
            <w:vAlign w:val="top"/>
          </w:tcPr>
          <w:p w14:paraId="57B93490">
            <w:pPr>
              <w:pStyle w:val="6"/>
              <w:spacing w:before="81" w:line="232" w:lineRule="auto"/>
              <w:ind w:left="138"/>
              <w:rPr>
                <w:sz w:val="18"/>
                <w:szCs w:val="18"/>
              </w:rPr>
            </w:pPr>
            <w:r>
              <w:rPr>
                <w:spacing w:val="-1"/>
                <w:sz w:val="18"/>
                <w:szCs w:val="18"/>
              </w:rPr>
              <w:t>2020/5/21</w:t>
            </w:r>
          </w:p>
        </w:tc>
        <w:tc>
          <w:tcPr>
            <w:tcW w:w="774" w:type="dxa"/>
            <w:vAlign w:val="top"/>
          </w:tcPr>
          <w:p w14:paraId="5F757BF5">
            <w:pPr>
              <w:pStyle w:val="6"/>
              <w:spacing w:before="81" w:line="232" w:lineRule="auto"/>
              <w:ind w:left="219"/>
              <w:rPr>
                <w:sz w:val="18"/>
                <w:szCs w:val="18"/>
              </w:rPr>
            </w:pPr>
            <w:r>
              <w:rPr>
                <w:spacing w:val="-2"/>
                <w:sz w:val="18"/>
                <w:szCs w:val="18"/>
              </w:rPr>
              <w:t>7.23</w:t>
            </w:r>
          </w:p>
        </w:tc>
        <w:tc>
          <w:tcPr>
            <w:tcW w:w="741" w:type="dxa"/>
            <w:vAlign w:val="top"/>
          </w:tcPr>
          <w:p w14:paraId="6176D9B8">
            <w:pPr>
              <w:pStyle w:val="6"/>
              <w:spacing w:before="81" w:line="232" w:lineRule="auto"/>
              <w:ind w:left="222"/>
              <w:rPr>
                <w:sz w:val="18"/>
                <w:szCs w:val="18"/>
              </w:rPr>
            </w:pPr>
            <w:r>
              <w:rPr>
                <w:spacing w:val="-1"/>
                <w:sz w:val="18"/>
                <w:szCs w:val="18"/>
              </w:rPr>
              <w:t>227</w:t>
            </w:r>
          </w:p>
        </w:tc>
        <w:tc>
          <w:tcPr>
            <w:tcW w:w="705" w:type="dxa"/>
            <w:vAlign w:val="top"/>
          </w:tcPr>
          <w:p w14:paraId="717EBA2F">
            <w:pPr>
              <w:pStyle w:val="6"/>
              <w:spacing w:before="81" w:line="232" w:lineRule="auto"/>
              <w:ind w:left="209"/>
              <w:rPr>
                <w:sz w:val="18"/>
                <w:szCs w:val="18"/>
              </w:rPr>
            </w:pPr>
            <w:r>
              <w:rPr>
                <w:spacing w:val="-2"/>
                <w:sz w:val="18"/>
                <w:szCs w:val="18"/>
              </w:rPr>
              <w:t>311</w:t>
            </w:r>
          </w:p>
        </w:tc>
        <w:tc>
          <w:tcPr>
            <w:tcW w:w="570" w:type="dxa"/>
            <w:vAlign w:val="top"/>
          </w:tcPr>
          <w:p w14:paraId="6D9E8224">
            <w:pPr>
              <w:pStyle w:val="6"/>
              <w:spacing w:before="81" w:line="232" w:lineRule="auto"/>
              <w:ind w:left="186"/>
              <w:rPr>
                <w:sz w:val="18"/>
                <w:szCs w:val="18"/>
              </w:rPr>
            </w:pPr>
            <w:r>
              <w:rPr>
                <w:spacing w:val="-2"/>
                <w:sz w:val="18"/>
                <w:szCs w:val="18"/>
              </w:rPr>
              <w:t>69</w:t>
            </w:r>
          </w:p>
        </w:tc>
        <w:tc>
          <w:tcPr>
            <w:tcW w:w="423" w:type="dxa"/>
            <w:vAlign w:val="top"/>
          </w:tcPr>
          <w:p w14:paraId="5D7C95A8">
            <w:pPr>
              <w:pStyle w:val="6"/>
              <w:spacing w:before="84" w:line="186" w:lineRule="auto"/>
              <w:ind w:left="72"/>
              <w:rPr>
                <w:sz w:val="18"/>
                <w:szCs w:val="18"/>
              </w:rPr>
            </w:pPr>
            <w:r>
              <w:rPr>
                <w:spacing w:val="-5"/>
                <w:sz w:val="18"/>
                <w:szCs w:val="18"/>
              </w:rPr>
              <w:t>10L</w:t>
            </w:r>
          </w:p>
        </w:tc>
        <w:tc>
          <w:tcPr>
            <w:tcW w:w="567" w:type="dxa"/>
            <w:vAlign w:val="top"/>
          </w:tcPr>
          <w:p w14:paraId="19FC0683">
            <w:pPr>
              <w:pStyle w:val="6"/>
              <w:spacing w:before="81" w:line="232" w:lineRule="auto"/>
              <w:ind w:left="63"/>
              <w:rPr>
                <w:sz w:val="18"/>
                <w:szCs w:val="18"/>
              </w:rPr>
            </w:pPr>
            <w:r>
              <w:rPr>
                <w:spacing w:val="-2"/>
                <w:sz w:val="18"/>
                <w:szCs w:val="18"/>
              </w:rPr>
              <w:t>0.03L</w:t>
            </w:r>
          </w:p>
        </w:tc>
        <w:tc>
          <w:tcPr>
            <w:tcW w:w="545" w:type="dxa"/>
            <w:vAlign w:val="top"/>
          </w:tcPr>
          <w:p w14:paraId="5998DF50">
            <w:pPr>
              <w:pStyle w:val="6"/>
              <w:spacing w:before="81" w:line="232" w:lineRule="auto"/>
              <w:ind w:left="53"/>
              <w:rPr>
                <w:sz w:val="18"/>
                <w:szCs w:val="18"/>
              </w:rPr>
            </w:pPr>
            <w:r>
              <w:rPr>
                <w:spacing w:val="-2"/>
                <w:sz w:val="18"/>
                <w:szCs w:val="18"/>
              </w:rPr>
              <w:t>0.02L</w:t>
            </w:r>
          </w:p>
        </w:tc>
        <w:tc>
          <w:tcPr>
            <w:tcW w:w="472" w:type="dxa"/>
            <w:vAlign w:val="top"/>
          </w:tcPr>
          <w:p w14:paraId="67ED5A71">
            <w:pPr>
              <w:pStyle w:val="6"/>
              <w:spacing w:before="81" w:line="232" w:lineRule="auto"/>
              <w:ind w:left="18"/>
              <w:rPr>
                <w:sz w:val="18"/>
                <w:szCs w:val="18"/>
              </w:rPr>
            </w:pPr>
            <w:r>
              <w:rPr>
                <w:spacing w:val="-2"/>
                <w:sz w:val="18"/>
                <w:szCs w:val="18"/>
              </w:rPr>
              <w:t>0.01L</w:t>
            </w:r>
          </w:p>
        </w:tc>
        <w:tc>
          <w:tcPr>
            <w:tcW w:w="562" w:type="dxa"/>
            <w:vAlign w:val="top"/>
          </w:tcPr>
          <w:p w14:paraId="06A977B7">
            <w:pPr>
              <w:pStyle w:val="6"/>
              <w:spacing w:before="81" w:line="232" w:lineRule="auto"/>
              <w:ind w:left="74"/>
              <w:rPr>
                <w:sz w:val="18"/>
                <w:szCs w:val="18"/>
              </w:rPr>
            </w:pPr>
            <w:r>
              <w:rPr>
                <w:spacing w:val="-2"/>
                <w:sz w:val="18"/>
                <w:szCs w:val="18"/>
              </w:rPr>
              <w:t>0.011</w:t>
            </w:r>
          </w:p>
        </w:tc>
        <w:tc>
          <w:tcPr>
            <w:tcW w:w="651" w:type="dxa"/>
            <w:vAlign w:val="top"/>
          </w:tcPr>
          <w:p w14:paraId="4C9EA850">
            <w:pPr>
              <w:pStyle w:val="6"/>
              <w:spacing w:before="81" w:line="232" w:lineRule="auto"/>
              <w:ind w:left="18"/>
              <w:rPr>
                <w:sz w:val="18"/>
                <w:szCs w:val="18"/>
              </w:rPr>
            </w:pPr>
            <w:r>
              <w:rPr>
                <w:spacing w:val="-1"/>
                <w:sz w:val="18"/>
                <w:szCs w:val="18"/>
              </w:rPr>
              <w:t>0.0003L</w:t>
            </w:r>
          </w:p>
        </w:tc>
        <w:tc>
          <w:tcPr>
            <w:tcW w:w="884" w:type="dxa"/>
            <w:vAlign w:val="top"/>
          </w:tcPr>
          <w:p w14:paraId="644B1C80">
            <w:pPr>
              <w:pStyle w:val="6"/>
              <w:spacing w:before="81" w:line="232" w:lineRule="auto"/>
              <w:ind w:left="226"/>
              <w:rPr>
                <w:sz w:val="18"/>
                <w:szCs w:val="18"/>
              </w:rPr>
            </w:pPr>
            <w:r>
              <w:rPr>
                <w:spacing w:val="-2"/>
                <w:sz w:val="18"/>
                <w:szCs w:val="18"/>
              </w:rPr>
              <w:t>0.05L</w:t>
            </w:r>
          </w:p>
        </w:tc>
        <w:tc>
          <w:tcPr>
            <w:tcW w:w="709" w:type="dxa"/>
            <w:vAlign w:val="top"/>
          </w:tcPr>
          <w:p w14:paraId="540D3DE8">
            <w:pPr>
              <w:pStyle w:val="6"/>
              <w:spacing w:before="81" w:line="232" w:lineRule="auto"/>
              <w:ind w:left="194"/>
              <w:rPr>
                <w:sz w:val="18"/>
                <w:szCs w:val="18"/>
              </w:rPr>
            </w:pPr>
            <w:r>
              <w:rPr>
                <w:spacing w:val="-2"/>
                <w:sz w:val="18"/>
                <w:szCs w:val="18"/>
              </w:rPr>
              <w:t>0.02</w:t>
            </w:r>
          </w:p>
        </w:tc>
        <w:tc>
          <w:tcPr>
            <w:tcW w:w="703" w:type="dxa"/>
            <w:vAlign w:val="top"/>
          </w:tcPr>
          <w:p w14:paraId="28A117ED">
            <w:pPr>
              <w:pStyle w:val="6"/>
              <w:spacing w:before="81" w:line="232" w:lineRule="auto"/>
              <w:ind w:left="193"/>
              <w:rPr>
                <w:sz w:val="18"/>
                <w:szCs w:val="18"/>
              </w:rPr>
            </w:pPr>
            <w:r>
              <w:rPr>
                <w:spacing w:val="-2"/>
                <w:sz w:val="18"/>
                <w:szCs w:val="18"/>
              </w:rPr>
              <w:t>0.64</w:t>
            </w:r>
          </w:p>
        </w:tc>
        <w:tc>
          <w:tcPr>
            <w:tcW w:w="708" w:type="dxa"/>
            <w:vAlign w:val="top"/>
          </w:tcPr>
          <w:p w14:paraId="06B83A58">
            <w:pPr>
              <w:pStyle w:val="6"/>
              <w:spacing w:before="81" w:line="232" w:lineRule="auto"/>
              <w:ind w:left="96"/>
              <w:rPr>
                <w:sz w:val="18"/>
                <w:szCs w:val="18"/>
              </w:rPr>
            </w:pPr>
            <w:r>
              <w:rPr>
                <w:spacing w:val="-2"/>
                <w:sz w:val="18"/>
                <w:szCs w:val="18"/>
              </w:rPr>
              <w:t>0.003L</w:t>
            </w:r>
          </w:p>
        </w:tc>
        <w:tc>
          <w:tcPr>
            <w:tcW w:w="764" w:type="dxa"/>
            <w:vAlign w:val="top"/>
          </w:tcPr>
          <w:p w14:paraId="6692E029">
            <w:pPr>
              <w:pStyle w:val="6"/>
              <w:spacing w:before="81" w:line="232" w:lineRule="auto"/>
              <w:ind w:left="126"/>
              <w:rPr>
                <w:sz w:val="18"/>
                <w:szCs w:val="18"/>
              </w:rPr>
            </w:pPr>
            <w:r>
              <w:rPr>
                <w:spacing w:val="-2"/>
                <w:sz w:val="18"/>
                <w:szCs w:val="18"/>
              </w:rPr>
              <w:t>0.025L</w:t>
            </w:r>
          </w:p>
        </w:tc>
        <w:tc>
          <w:tcPr>
            <w:tcW w:w="586" w:type="dxa"/>
            <w:vAlign w:val="top"/>
          </w:tcPr>
          <w:p w14:paraId="3329A6CA">
            <w:pPr>
              <w:pStyle w:val="6"/>
              <w:spacing w:before="81" w:line="232" w:lineRule="auto"/>
              <w:ind w:left="139"/>
              <w:rPr>
                <w:sz w:val="18"/>
                <w:szCs w:val="18"/>
              </w:rPr>
            </w:pPr>
            <w:r>
              <w:rPr>
                <w:spacing w:val="-2"/>
                <w:sz w:val="18"/>
                <w:szCs w:val="18"/>
              </w:rPr>
              <w:t>0.08</w:t>
            </w:r>
          </w:p>
        </w:tc>
        <w:tc>
          <w:tcPr>
            <w:tcW w:w="582" w:type="dxa"/>
            <w:vAlign w:val="top"/>
          </w:tcPr>
          <w:p w14:paraId="48E2D40F">
            <w:pPr>
              <w:pStyle w:val="6"/>
              <w:spacing w:before="81" w:line="232" w:lineRule="auto"/>
              <w:ind w:left="38"/>
              <w:rPr>
                <w:sz w:val="18"/>
                <w:szCs w:val="18"/>
              </w:rPr>
            </w:pPr>
            <w:r>
              <w:rPr>
                <w:spacing w:val="-2"/>
                <w:sz w:val="18"/>
                <w:szCs w:val="18"/>
              </w:rPr>
              <w:t>0.004L</w:t>
            </w:r>
          </w:p>
        </w:tc>
        <w:tc>
          <w:tcPr>
            <w:tcW w:w="745" w:type="dxa"/>
            <w:vAlign w:val="top"/>
          </w:tcPr>
          <w:p w14:paraId="0536BFB9">
            <w:pPr>
              <w:pStyle w:val="6"/>
              <w:spacing w:before="81" w:line="232" w:lineRule="auto"/>
              <w:ind w:left="86"/>
              <w:rPr>
                <w:sz w:val="18"/>
                <w:szCs w:val="18"/>
              </w:rPr>
            </w:pPr>
            <w:r>
              <w:rPr>
                <w:spacing w:val="-1"/>
                <w:sz w:val="18"/>
                <w:szCs w:val="18"/>
              </w:rPr>
              <w:t>0.00005</w:t>
            </w:r>
          </w:p>
        </w:tc>
        <w:tc>
          <w:tcPr>
            <w:tcW w:w="651" w:type="dxa"/>
            <w:vAlign w:val="top"/>
          </w:tcPr>
          <w:p w14:paraId="521064BC">
            <w:pPr>
              <w:pStyle w:val="6"/>
              <w:spacing w:before="81" w:line="232" w:lineRule="auto"/>
              <w:ind w:left="84"/>
              <w:rPr>
                <w:sz w:val="18"/>
                <w:szCs w:val="18"/>
              </w:rPr>
            </w:pPr>
            <w:r>
              <w:rPr>
                <w:spacing w:val="-2"/>
                <w:sz w:val="18"/>
                <w:szCs w:val="18"/>
              </w:rPr>
              <w:t>0.0018</w:t>
            </w:r>
          </w:p>
        </w:tc>
        <w:tc>
          <w:tcPr>
            <w:tcW w:w="652" w:type="dxa"/>
            <w:vAlign w:val="top"/>
          </w:tcPr>
          <w:p w14:paraId="0EC7FA85">
            <w:pPr>
              <w:pStyle w:val="6"/>
              <w:spacing w:before="81" w:line="232" w:lineRule="auto"/>
              <w:ind w:left="30"/>
              <w:rPr>
                <w:sz w:val="18"/>
                <w:szCs w:val="18"/>
              </w:rPr>
            </w:pPr>
            <w:r>
              <w:rPr>
                <w:spacing w:val="-1"/>
                <w:sz w:val="18"/>
                <w:szCs w:val="18"/>
              </w:rPr>
              <w:t>0.0004L</w:t>
            </w:r>
          </w:p>
        </w:tc>
        <w:tc>
          <w:tcPr>
            <w:tcW w:w="566" w:type="dxa"/>
            <w:vAlign w:val="top"/>
          </w:tcPr>
          <w:p w14:paraId="7EE64D62">
            <w:pPr>
              <w:pStyle w:val="6"/>
              <w:spacing w:before="81" w:line="232" w:lineRule="auto"/>
              <w:ind w:left="32"/>
              <w:rPr>
                <w:sz w:val="18"/>
                <w:szCs w:val="18"/>
              </w:rPr>
            </w:pPr>
            <w:r>
              <w:rPr>
                <w:spacing w:val="-2"/>
                <w:sz w:val="18"/>
                <w:szCs w:val="18"/>
              </w:rPr>
              <w:t>0.001L</w:t>
            </w:r>
          </w:p>
        </w:tc>
        <w:tc>
          <w:tcPr>
            <w:tcW w:w="582" w:type="dxa"/>
            <w:vAlign w:val="top"/>
          </w:tcPr>
          <w:p w14:paraId="6471ED87">
            <w:pPr>
              <w:pStyle w:val="6"/>
              <w:spacing w:before="81" w:line="232" w:lineRule="auto"/>
              <w:ind w:left="41"/>
              <w:rPr>
                <w:sz w:val="18"/>
                <w:szCs w:val="18"/>
              </w:rPr>
            </w:pPr>
            <w:r>
              <w:rPr>
                <w:spacing w:val="-2"/>
                <w:sz w:val="18"/>
                <w:szCs w:val="18"/>
              </w:rPr>
              <w:t>0.004L</w:t>
            </w:r>
          </w:p>
        </w:tc>
        <w:tc>
          <w:tcPr>
            <w:tcW w:w="476" w:type="dxa"/>
            <w:vAlign w:val="top"/>
          </w:tcPr>
          <w:p w14:paraId="03E03357">
            <w:pPr>
              <w:pStyle w:val="6"/>
              <w:spacing w:before="81" w:line="232" w:lineRule="auto"/>
              <w:ind w:left="34"/>
              <w:rPr>
                <w:sz w:val="18"/>
                <w:szCs w:val="18"/>
              </w:rPr>
            </w:pPr>
            <w:r>
              <w:rPr>
                <w:spacing w:val="-2"/>
                <w:sz w:val="18"/>
                <w:szCs w:val="18"/>
              </w:rPr>
              <w:t>0.01L</w:t>
            </w:r>
          </w:p>
        </w:tc>
        <w:tc>
          <w:tcPr>
            <w:tcW w:w="567" w:type="dxa"/>
            <w:vAlign w:val="top"/>
          </w:tcPr>
          <w:p w14:paraId="24BCCE51">
            <w:pPr>
              <w:pStyle w:val="6"/>
              <w:spacing w:before="81" w:line="232" w:lineRule="auto"/>
              <w:ind w:left="91"/>
              <w:rPr>
                <w:sz w:val="18"/>
                <w:szCs w:val="18"/>
              </w:rPr>
            </w:pPr>
            <w:r>
              <w:rPr>
                <w:spacing w:val="-2"/>
                <w:sz w:val="18"/>
                <w:szCs w:val="18"/>
              </w:rPr>
              <w:t>0.011</w:t>
            </w:r>
          </w:p>
        </w:tc>
        <w:tc>
          <w:tcPr>
            <w:tcW w:w="765" w:type="dxa"/>
            <w:vAlign w:val="top"/>
          </w:tcPr>
          <w:p w14:paraId="1C8283C8">
            <w:pPr>
              <w:pStyle w:val="6"/>
              <w:spacing w:before="81" w:line="232" w:lineRule="auto"/>
              <w:ind w:left="303"/>
              <w:rPr>
                <w:sz w:val="18"/>
                <w:szCs w:val="18"/>
              </w:rPr>
            </w:pPr>
            <w:r>
              <w:rPr>
                <w:spacing w:val="-2"/>
                <w:sz w:val="18"/>
                <w:szCs w:val="18"/>
              </w:rPr>
              <w:t>79</w:t>
            </w:r>
          </w:p>
        </w:tc>
        <w:tc>
          <w:tcPr>
            <w:tcW w:w="424" w:type="dxa"/>
            <w:vAlign w:val="top"/>
          </w:tcPr>
          <w:p w14:paraId="2489914D">
            <w:pPr>
              <w:pStyle w:val="6"/>
              <w:spacing w:before="81" w:line="232" w:lineRule="auto"/>
              <w:ind w:left="90"/>
              <w:rPr>
                <w:sz w:val="18"/>
                <w:szCs w:val="18"/>
              </w:rPr>
            </w:pPr>
            <w:r>
              <w:rPr>
                <w:spacing w:val="-2"/>
                <w:sz w:val="18"/>
                <w:szCs w:val="18"/>
              </w:rPr>
              <w:t>339</w:t>
            </w:r>
          </w:p>
        </w:tc>
        <w:tc>
          <w:tcPr>
            <w:tcW w:w="427" w:type="dxa"/>
            <w:vAlign w:val="top"/>
          </w:tcPr>
          <w:p w14:paraId="71610D81">
            <w:pPr>
              <w:pStyle w:val="6"/>
              <w:spacing w:before="81" w:line="232" w:lineRule="auto"/>
              <w:ind w:left="68"/>
              <w:rPr>
                <w:sz w:val="18"/>
                <w:szCs w:val="18"/>
              </w:rPr>
            </w:pPr>
            <w:r>
              <w:rPr>
                <w:spacing w:val="-2"/>
                <w:sz w:val="18"/>
                <w:szCs w:val="18"/>
              </w:rPr>
              <w:t>0.50</w:t>
            </w:r>
          </w:p>
        </w:tc>
        <w:tc>
          <w:tcPr>
            <w:tcW w:w="424" w:type="dxa"/>
            <w:vAlign w:val="top"/>
          </w:tcPr>
          <w:p w14:paraId="00CB9A68">
            <w:pPr>
              <w:pStyle w:val="6"/>
              <w:spacing w:before="81" w:line="232" w:lineRule="auto"/>
              <w:jc w:val="right"/>
              <w:rPr>
                <w:sz w:val="18"/>
                <w:szCs w:val="18"/>
              </w:rPr>
            </w:pPr>
            <w:r>
              <w:rPr>
                <w:spacing w:val="-3"/>
                <w:sz w:val="18"/>
                <w:szCs w:val="18"/>
              </w:rPr>
              <w:t>0.585</w:t>
            </w:r>
          </w:p>
        </w:tc>
        <w:tc>
          <w:tcPr>
            <w:tcW w:w="423" w:type="dxa"/>
            <w:vAlign w:val="top"/>
          </w:tcPr>
          <w:p w14:paraId="55F5622C">
            <w:pPr>
              <w:pStyle w:val="6"/>
              <w:spacing w:before="81" w:line="232" w:lineRule="auto"/>
              <w:ind w:left="81"/>
              <w:rPr>
                <w:sz w:val="18"/>
                <w:szCs w:val="18"/>
              </w:rPr>
            </w:pPr>
            <w:r>
              <w:rPr>
                <w:spacing w:val="-6"/>
                <w:sz w:val="18"/>
                <w:szCs w:val="18"/>
              </w:rPr>
              <w:t>11.9</w:t>
            </w:r>
          </w:p>
        </w:tc>
        <w:tc>
          <w:tcPr>
            <w:tcW w:w="472" w:type="dxa"/>
            <w:vAlign w:val="top"/>
          </w:tcPr>
          <w:p w14:paraId="41EE12E5">
            <w:pPr>
              <w:pStyle w:val="6"/>
              <w:spacing w:before="81" w:line="232" w:lineRule="auto"/>
              <w:ind w:left="93"/>
              <w:rPr>
                <w:sz w:val="18"/>
                <w:szCs w:val="18"/>
              </w:rPr>
            </w:pPr>
            <w:r>
              <w:rPr>
                <w:spacing w:val="-2"/>
                <w:sz w:val="18"/>
                <w:szCs w:val="18"/>
              </w:rPr>
              <w:t>39.2</w:t>
            </w:r>
          </w:p>
        </w:tc>
        <w:tc>
          <w:tcPr>
            <w:tcW w:w="377" w:type="dxa"/>
            <w:tcBorders>
              <w:right w:val="single" w:color="000000" w:sz="12" w:space="0"/>
            </w:tcBorders>
            <w:vAlign w:val="top"/>
          </w:tcPr>
          <w:p w14:paraId="415ECC18">
            <w:pPr>
              <w:pStyle w:val="6"/>
              <w:spacing w:before="81" w:line="232" w:lineRule="auto"/>
              <w:ind w:left="35"/>
              <w:rPr>
                <w:sz w:val="18"/>
                <w:szCs w:val="18"/>
              </w:rPr>
            </w:pPr>
            <w:r>
              <w:rPr>
                <w:spacing w:val="-2"/>
                <w:sz w:val="18"/>
                <w:szCs w:val="18"/>
              </w:rPr>
              <w:t>31.4</w:t>
            </w:r>
          </w:p>
        </w:tc>
      </w:tr>
      <w:tr w14:paraId="27827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6BF23940">
            <w:pPr>
              <w:rPr>
                <w:rFonts w:ascii="Arial"/>
                <w:sz w:val="21"/>
              </w:rPr>
            </w:pPr>
          </w:p>
        </w:tc>
        <w:tc>
          <w:tcPr>
            <w:tcW w:w="268" w:type="dxa"/>
            <w:vMerge w:val="continue"/>
            <w:tcBorders>
              <w:top w:val="nil"/>
            </w:tcBorders>
            <w:vAlign w:val="top"/>
          </w:tcPr>
          <w:p w14:paraId="485D2127">
            <w:pPr>
              <w:rPr>
                <w:rFonts w:ascii="Arial"/>
                <w:sz w:val="21"/>
              </w:rPr>
            </w:pPr>
          </w:p>
        </w:tc>
        <w:tc>
          <w:tcPr>
            <w:tcW w:w="1038" w:type="dxa"/>
            <w:vAlign w:val="top"/>
          </w:tcPr>
          <w:p w14:paraId="762115D4">
            <w:pPr>
              <w:pStyle w:val="6"/>
              <w:spacing w:before="79" w:line="232" w:lineRule="auto"/>
              <w:ind w:left="138"/>
              <w:rPr>
                <w:sz w:val="18"/>
                <w:szCs w:val="18"/>
              </w:rPr>
            </w:pPr>
            <w:r>
              <w:rPr>
                <w:spacing w:val="-1"/>
                <w:sz w:val="18"/>
                <w:szCs w:val="18"/>
              </w:rPr>
              <w:t>2020/5/22</w:t>
            </w:r>
          </w:p>
        </w:tc>
        <w:tc>
          <w:tcPr>
            <w:tcW w:w="774" w:type="dxa"/>
            <w:vAlign w:val="top"/>
          </w:tcPr>
          <w:p w14:paraId="37C39AF8">
            <w:pPr>
              <w:pStyle w:val="6"/>
              <w:spacing w:before="79" w:line="232" w:lineRule="auto"/>
              <w:ind w:left="219"/>
              <w:rPr>
                <w:sz w:val="18"/>
                <w:szCs w:val="18"/>
              </w:rPr>
            </w:pPr>
            <w:r>
              <w:rPr>
                <w:spacing w:val="-2"/>
                <w:sz w:val="18"/>
                <w:szCs w:val="18"/>
              </w:rPr>
              <w:t>7.13</w:t>
            </w:r>
          </w:p>
        </w:tc>
        <w:tc>
          <w:tcPr>
            <w:tcW w:w="741" w:type="dxa"/>
            <w:vAlign w:val="top"/>
          </w:tcPr>
          <w:p w14:paraId="7CF9159B">
            <w:pPr>
              <w:pStyle w:val="6"/>
              <w:spacing w:before="79" w:line="232" w:lineRule="auto"/>
              <w:ind w:left="222"/>
              <w:rPr>
                <w:sz w:val="18"/>
                <w:szCs w:val="18"/>
              </w:rPr>
            </w:pPr>
            <w:r>
              <w:rPr>
                <w:spacing w:val="-1"/>
                <w:sz w:val="18"/>
                <w:szCs w:val="18"/>
              </w:rPr>
              <w:t>218</w:t>
            </w:r>
          </w:p>
        </w:tc>
        <w:tc>
          <w:tcPr>
            <w:tcW w:w="705" w:type="dxa"/>
            <w:vAlign w:val="top"/>
          </w:tcPr>
          <w:p w14:paraId="7B1765E5">
            <w:pPr>
              <w:pStyle w:val="6"/>
              <w:spacing w:before="79" w:line="232" w:lineRule="auto"/>
              <w:ind w:left="209"/>
              <w:rPr>
                <w:sz w:val="18"/>
                <w:szCs w:val="18"/>
              </w:rPr>
            </w:pPr>
            <w:r>
              <w:rPr>
                <w:spacing w:val="-2"/>
                <w:sz w:val="18"/>
                <w:szCs w:val="18"/>
              </w:rPr>
              <w:t>303</w:t>
            </w:r>
          </w:p>
        </w:tc>
        <w:tc>
          <w:tcPr>
            <w:tcW w:w="570" w:type="dxa"/>
            <w:vAlign w:val="top"/>
          </w:tcPr>
          <w:p w14:paraId="45D10114">
            <w:pPr>
              <w:pStyle w:val="6"/>
              <w:spacing w:before="79" w:line="232" w:lineRule="auto"/>
              <w:ind w:left="186"/>
              <w:rPr>
                <w:sz w:val="18"/>
                <w:szCs w:val="18"/>
              </w:rPr>
            </w:pPr>
            <w:r>
              <w:rPr>
                <w:spacing w:val="-2"/>
                <w:sz w:val="18"/>
                <w:szCs w:val="18"/>
              </w:rPr>
              <w:t>64</w:t>
            </w:r>
          </w:p>
        </w:tc>
        <w:tc>
          <w:tcPr>
            <w:tcW w:w="423" w:type="dxa"/>
            <w:vAlign w:val="top"/>
          </w:tcPr>
          <w:p w14:paraId="0B09ACA5">
            <w:pPr>
              <w:pStyle w:val="6"/>
              <w:spacing w:before="83" w:line="186" w:lineRule="auto"/>
              <w:ind w:left="72"/>
              <w:rPr>
                <w:sz w:val="18"/>
                <w:szCs w:val="18"/>
              </w:rPr>
            </w:pPr>
            <w:r>
              <w:rPr>
                <w:spacing w:val="-5"/>
                <w:sz w:val="18"/>
                <w:szCs w:val="18"/>
              </w:rPr>
              <w:t>10L</w:t>
            </w:r>
          </w:p>
        </w:tc>
        <w:tc>
          <w:tcPr>
            <w:tcW w:w="567" w:type="dxa"/>
            <w:vAlign w:val="top"/>
          </w:tcPr>
          <w:p w14:paraId="6955FFF3">
            <w:pPr>
              <w:pStyle w:val="6"/>
              <w:spacing w:before="79" w:line="232" w:lineRule="auto"/>
              <w:ind w:left="63"/>
              <w:rPr>
                <w:sz w:val="18"/>
                <w:szCs w:val="18"/>
              </w:rPr>
            </w:pPr>
            <w:r>
              <w:rPr>
                <w:spacing w:val="-2"/>
                <w:sz w:val="18"/>
                <w:szCs w:val="18"/>
              </w:rPr>
              <w:t>0.03L</w:t>
            </w:r>
          </w:p>
        </w:tc>
        <w:tc>
          <w:tcPr>
            <w:tcW w:w="545" w:type="dxa"/>
            <w:vAlign w:val="top"/>
          </w:tcPr>
          <w:p w14:paraId="574B43F8">
            <w:pPr>
              <w:pStyle w:val="6"/>
              <w:spacing w:before="79" w:line="232" w:lineRule="auto"/>
              <w:ind w:left="53"/>
              <w:rPr>
                <w:sz w:val="18"/>
                <w:szCs w:val="18"/>
              </w:rPr>
            </w:pPr>
            <w:r>
              <w:rPr>
                <w:spacing w:val="-2"/>
                <w:sz w:val="18"/>
                <w:szCs w:val="18"/>
              </w:rPr>
              <w:t>0.02L</w:t>
            </w:r>
          </w:p>
        </w:tc>
        <w:tc>
          <w:tcPr>
            <w:tcW w:w="472" w:type="dxa"/>
            <w:vAlign w:val="top"/>
          </w:tcPr>
          <w:p w14:paraId="443FA256">
            <w:pPr>
              <w:pStyle w:val="6"/>
              <w:spacing w:before="79" w:line="232" w:lineRule="auto"/>
              <w:ind w:left="18"/>
              <w:rPr>
                <w:sz w:val="18"/>
                <w:szCs w:val="18"/>
              </w:rPr>
            </w:pPr>
            <w:r>
              <w:rPr>
                <w:spacing w:val="-2"/>
                <w:sz w:val="18"/>
                <w:szCs w:val="18"/>
              </w:rPr>
              <w:t>0.01L</w:t>
            </w:r>
          </w:p>
        </w:tc>
        <w:tc>
          <w:tcPr>
            <w:tcW w:w="562" w:type="dxa"/>
            <w:vAlign w:val="top"/>
          </w:tcPr>
          <w:p w14:paraId="64BE57E8">
            <w:pPr>
              <w:pStyle w:val="6"/>
              <w:spacing w:before="79" w:line="232" w:lineRule="auto"/>
              <w:ind w:left="74"/>
              <w:rPr>
                <w:sz w:val="18"/>
                <w:szCs w:val="18"/>
              </w:rPr>
            </w:pPr>
            <w:r>
              <w:rPr>
                <w:spacing w:val="-2"/>
                <w:sz w:val="18"/>
                <w:szCs w:val="18"/>
              </w:rPr>
              <w:t>0.011</w:t>
            </w:r>
          </w:p>
        </w:tc>
        <w:tc>
          <w:tcPr>
            <w:tcW w:w="651" w:type="dxa"/>
            <w:vAlign w:val="top"/>
          </w:tcPr>
          <w:p w14:paraId="65ABED05">
            <w:pPr>
              <w:pStyle w:val="6"/>
              <w:spacing w:before="79" w:line="232" w:lineRule="auto"/>
              <w:ind w:left="18"/>
              <w:rPr>
                <w:sz w:val="18"/>
                <w:szCs w:val="18"/>
              </w:rPr>
            </w:pPr>
            <w:r>
              <w:rPr>
                <w:spacing w:val="-1"/>
                <w:sz w:val="18"/>
                <w:szCs w:val="18"/>
              </w:rPr>
              <w:t>0.0003L</w:t>
            </w:r>
          </w:p>
        </w:tc>
        <w:tc>
          <w:tcPr>
            <w:tcW w:w="884" w:type="dxa"/>
            <w:vAlign w:val="top"/>
          </w:tcPr>
          <w:p w14:paraId="6748087E">
            <w:pPr>
              <w:pStyle w:val="6"/>
              <w:spacing w:before="79" w:line="232" w:lineRule="auto"/>
              <w:ind w:left="226"/>
              <w:rPr>
                <w:sz w:val="18"/>
                <w:szCs w:val="18"/>
              </w:rPr>
            </w:pPr>
            <w:r>
              <w:rPr>
                <w:spacing w:val="-2"/>
                <w:sz w:val="18"/>
                <w:szCs w:val="18"/>
              </w:rPr>
              <w:t>0.05L</w:t>
            </w:r>
          </w:p>
        </w:tc>
        <w:tc>
          <w:tcPr>
            <w:tcW w:w="709" w:type="dxa"/>
            <w:vAlign w:val="top"/>
          </w:tcPr>
          <w:p w14:paraId="595CD90C">
            <w:pPr>
              <w:pStyle w:val="6"/>
              <w:spacing w:before="79" w:line="232" w:lineRule="auto"/>
              <w:ind w:left="194"/>
              <w:rPr>
                <w:sz w:val="18"/>
                <w:szCs w:val="18"/>
              </w:rPr>
            </w:pPr>
            <w:r>
              <w:rPr>
                <w:spacing w:val="-2"/>
                <w:sz w:val="18"/>
                <w:szCs w:val="18"/>
              </w:rPr>
              <w:t>0.01</w:t>
            </w:r>
          </w:p>
        </w:tc>
        <w:tc>
          <w:tcPr>
            <w:tcW w:w="703" w:type="dxa"/>
            <w:vAlign w:val="top"/>
          </w:tcPr>
          <w:p w14:paraId="65384DDE">
            <w:pPr>
              <w:pStyle w:val="6"/>
              <w:spacing w:before="79" w:line="232" w:lineRule="auto"/>
              <w:ind w:left="193"/>
              <w:rPr>
                <w:sz w:val="18"/>
                <w:szCs w:val="18"/>
              </w:rPr>
            </w:pPr>
            <w:r>
              <w:rPr>
                <w:spacing w:val="-2"/>
                <w:sz w:val="18"/>
                <w:szCs w:val="18"/>
              </w:rPr>
              <w:t>0.61</w:t>
            </w:r>
          </w:p>
        </w:tc>
        <w:tc>
          <w:tcPr>
            <w:tcW w:w="708" w:type="dxa"/>
            <w:vAlign w:val="top"/>
          </w:tcPr>
          <w:p w14:paraId="0B0D57F0">
            <w:pPr>
              <w:pStyle w:val="6"/>
              <w:spacing w:before="79" w:line="232" w:lineRule="auto"/>
              <w:ind w:left="96"/>
              <w:rPr>
                <w:sz w:val="18"/>
                <w:szCs w:val="18"/>
              </w:rPr>
            </w:pPr>
            <w:r>
              <w:rPr>
                <w:spacing w:val="-2"/>
                <w:sz w:val="18"/>
                <w:szCs w:val="18"/>
              </w:rPr>
              <w:t>0.003L</w:t>
            </w:r>
          </w:p>
        </w:tc>
        <w:tc>
          <w:tcPr>
            <w:tcW w:w="764" w:type="dxa"/>
            <w:vAlign w:val="top"/>
          </w:tcPr>
          <w:p w14:paraId="6F94FA2D">
            <w:pPr>
              <w:pStyle w:val="6"/>
              <w:spacing w:before="79" w:line="232" w:lineRule="auto"/>
              <w:ind w:left="126"/>
              <w:rPr>
                <w:sz w:val="18"/>
                <w:szCs w:val="18"/>
              </w:rPr>
            </w:pPr>
            <w:r>
              <w:rPr>
                <w:spacing w:val="-2"/>
                <w:sz w:val="18"/>
                <w:szCs w:val="18"/>
              </w:rPr>
              <w:t>0.025L</w:t>
            </w:r>
          </w:p>
        </w:tc>
        <w:tc>
          <w:tcPr>
            <w:tcW w:w="586" w:type="dxa"/>
            <w:vAlign w:val="top"/>
          </w:tcPr>
          <w:p w14:paraId="149E84AB">
            <w:pPr>
              <w:pStyle w:val="6"/>
              <w:spacing w:before="79" w:line="232" w:lineRule="auto"/>
              <w:ind w:left="139"/>
              <w:rPr>
                <w:sz w:val="18"/>
                <w:szCs w:val="18"/>
              </w:rPr>
            </w:pPr>
            <w:r>
              <w:rPr>
                <w:spacing w:val="-2"/>
                <w:sz w:val="18"/>
                <w:szCs w:val="18"/>
              </w:rPr>
              <w:t>0.07</w:t>
            </w:r>
          </w:p>
        </w:tc>
        <w:tc>
          <w:tcPr>
            <w:tcW w:w="582" w:type="dxa"/>
            <w:vAlign w:val="top"/>
          </w:tcPr>
          <w:p w14:paraId="614AFAFE">
            <w:pPr>
              <w:pStyle w:val="6"/>
              <w:spacing w:before="79" w:line="232" w:lineRule="auto"/>
              <w:ind w:left="38"/>
              <w:rPr>
                <w:sz w:val="18"/>
                <w:szCs w:val="18"/>
              </w:rPr>
            </w:pPr>
            <w:r>
              <w:rPr>
                <w:spacing w:val="-2"/>
                <w:sz w:val="18"/>
                <w:szCs w:val="18"/>
              </w:rPr>
              <w:t>0.004L</w:t>
            </w:r>
          </w:p>
        </w:tc>
        <w:tc>
          <w:tcPr>
            <w:tcW w:w="745" w:type="dxa"/>
            <w:vAlign w:val="top"/>
          </w:tcPr>
          <w:p w14:paraId="073C879E">
            <w:pPr>
              <w:pStyle w:val="6"/>
              <w:spacing w:before="79" w:line="232" w:lineRule="auto"/>
              <w:ind w:left="86"/>
              <w:rPr>
                <w:sz w:val="18"/>
                <w:szCs w:val="18"/>
              </w:rPr>
            </w:pPr>
            <w:r>
              <w:rPr>
                <w:spacing w:val="-1"/>
                <w:sz w:val="18"/>
                <w:szCs w:val="18"/>
              </w:rPr>
              <w:t>0.00007</w:t>
            </w:r>
          </w:p>
        </w:tc>
        <w:tc>
          <w:tcPr>
            <w:tcW w:w="651" w:type="dxa"/>
            <w:vAlign w:val="top"/>
          </w:tcPr>
          <w:p w14:paraId="1ADCA81D">
            <w:pPr>
              <w:pStyle w:val="6"/>
              <w:spacing w:before="79" w:line="232" w:lineRule="auto"/>
              <w:ind w:left="84"/>
              <w:rPr>
                <w:sz w:val="18"/>
                <w:szCs w:val="18"/>
              </w:rPr>
            </w:pPr>
            <w:r>
              <w:rPr>
                <w:spacing w:val="-2"/>
                <w:sz w:val="18"/>
                <w:szCs w:val="18"/>
              </w:rPr>
              <w:t>0.0017</w:t>
            </w:r>
          </w:p>
        </w:tc>
        <w:tc>
          <w:tcPr>
            <w:tcW w:w="652" w:type="dxa"/>
            <w:vAlign w:val="top"/>
          </w:tcPr>
          <w:p w14:paraId="2562D8B7">
            <w:pPr>
              <w:pStyle w:val="6"/>
              <w:spacing w:before="79" w:line="232" w:lineRule="auto"/>
              <w:ind w:left="30"/>
              <w:rPr>
                <w:sz w:val="18"/>
                <w:szCs w:val="18"/>
              </w:rPr>
            </w:pPr>
            <w:r>
              <w:rPr>
                <w:spacing w:val="-1"/>
                <w:sz w:val="18"/>
                <w:szCs w:val="18"/>
              </w:rPr>
              <w:t>0.0004L</w:t>
            </w:r>
          </w:p>
        </w:tc>
        <w:tc>
          <w:tcPr>
            <w:tcW w:w="566" w:type="dxa"/>
            <w:vAlign w:val="top"/>
          </w:tcPr>
          <w:p w14:paraId="1C65B84C">
            <w:pPr>
              <w:pStyle w:val="6"/>
              <w:spacing w:before="79" w:line="232" w:lineRule="auto"/>
              <w:ind w:left="32"/>
              <w:rPr>
                <w:sz w:val="18"/>
                <w:szCs w:val="18"/>
              </w:rPr>
            </w:pPr>
            <w:r>
              <w:rPr>
                <w:spacing w:val="-2"/>
                <w:sz w:val="18"/>
                <w:szCs w:val="18"/>
              </w:rPr>
              <w:t>0.001L</w:t>
            </w:r>
          </w:p>
        </w:tc>
        <w:tc>
          <w:tcPr>
            <w:tcW w:w="582" w:type="dxa"/>
            <w:vAlign w:val="top"/>
          </w:tcPr>
          <w:p w14:paraId="1EFDBB41">
            <w:pPr>
              <w:pStyle w:val="6"/>
              <w:spacing w:before="79" w:line="232" w:lineRule="auto"/>
              <w:ind w:left="41"/>
              <w:rPr>
                <w:sz w:val="18"/>
                <w:szCs w:val="18"/>
              </w:rPr>
            </w:pPr>
            <w:r>
              <w:rPr>
                <w:spacing w:val="-2"/>
                <w:sz w:val="18"/>
                <w:szCs w:val="18"/>
              </w:rPr>
              <w:t>0.004L</w:t>
            </w:r>
          </w:p>
        </w:tc>
        <w:tc>
          <w:tcPr>
            <w:tcW w:w="476" w:type="dxa"/>
            <w:vAlign w:val="top"/>
          </w:tcPr>
          <w:p w14:paraId="6C49BAAB">
            <w:pPr>
              <w:pStyle w:val="6"/>
              <w:spacing w:before="79" w:line="232" w:lineRule="auto"/>
              <w:ind w:left="34"/>
              <w:rPr>
                <w:sz w:val="18"/>
                <w:szCs w:val="18"/>
              </w:rPr>
            </w:pPr>
            <w:r>
              <w:rPr>
                <w:spacing w:val="-2"/>
                <w:sz w:val="18"/>
                <w:szCs w:val="18"/>
              </w:rPr>
              <w:t>0.01L</w:t>
            </w:r>
          </w:p>
        </w:tc>
        <w:tc>
          <w:tcPr>
            <w:tcW w:w="567" w:type="dxa"/>
            <w:vAlign w:val="top"/>
          </w:tcPr>
          <w:p w14:paraId="444BC7FF">
            <w:pPr>
              <w:pStyle w:val="6"/>
              <w:spacing w:before="79" w:line="232" w:lineRule="auto"/>
              <w:ind w:left="91"/>
              <w:rPr>
                <w:sz w:val="18"/>
                <w:szCs w:val="18"/>
              </w:rPr>
            </w:pPr>
            <w:r>
              <w:rPr>
                <w:spacing w:val="-2"/>
                <w:sz w:val="18"/>
                <w:szCs w:val="18"/>
              </w:rPr>
              <w:t>0.012</w:t>
            </w:r>
          </w:p>
        </w:tc>
        <w:tc>
          <w:tcPr>
            <w:tcW w:w="765" w:type="dxa"/>
            <w:vAlign w:val="top"/>
          </w:tcPr>
          <w:p w14:paraId="24FCEA50">
            <w:pPr>
              <w:pStyle w:val="6"/>
              <w:spacing w:before="79" w:line="232" w:lineRule="auto"/>
              <w:ind w:left="303"/>
              <w:rPr>
                <w:sz w:val="18"/>
                <w:szCs w:val="18"/>
              </w:rPr>
            </w:pPr>
            <w:r>
              <w:rPr>
                <w:spacing w:val="-2"/>
                <w:sz w:val="18"/>
                <w:szCs w:val="18"/>
              </w:rPr>
              <w:t>76</w:t>
            </w:r>
          </w:p>
        </w:tc>
        <w:tc>
          <w:tcPr>
            <w:tcW w:w="424" w:type="dxa"/>
            <w:vAlign w:val="top"/>
          </w:tcPr>
          <w:p w14:paraId="7E6E80F9">
            <w:pPr>
              <w:pStyle w:val="6"/>
              <w:spacing w:before="79" w:line="232" w:lineRule="auto"/>
              <w:ind w:left="90"/>
              <w:rPr>
                <w:sz w:val="18"/>
                <w:szCs w:val="18"/>
              </w:rPr>
            </w:pPr>
            <w:r>
              <w:rPr>
                <w:spacing w:val="-2"/>
                <w:sz w:val="18"/>
                <w:szCs w:val="18"/>
              </w:rPr>
              <w:t>348</w:t>
            </w:r>
          </w:p>
        </w:tc>
        <w:tc>
          <w:tcPr>
            <w:tcW w:w="427" w:type="dxa"/>
            <w:vAlign w:val="top"/>
          </w:tcPr>
          <w:p w14:paraId="396D9F55">
            <w:pPr>
              <w:pStyle w:val="6"/>
              <w:spacing w:before="79" w:line="232" w:lineRule="auto"/>
              <w:ind w:left="68"/>
              <w:rPr>
                <w:sz w:val="18"/>
                <w:szCs w:val="18"/>
              </w:rPr>
            </w:pPr>
            <w:r>
              <w:rPr>
                <w:spacing w:val="-2"/>
                <w:sz w:val="18"/>
                <w:szCs w:val="18"/>
              </w:rPr>
              <w:t>0.62</w:t>
            </w:r>
          </w:p>
        </w:tc>
        <w:tc>
          <w:tcPr>
            <w:tcW w:w="424" w:type="dxa"/>
            <w:vAlign w:val="top"/>
          </w:tcPr>
          <w:p w14:paraId="5A4BDBD1">
            <w:pPr>
              <w:pStyle w:val="6"/>
              <w:spacing w:before="79" w:line="232" w:lineRule="auto"/>
              <w:jc w:val="right"/>
              <w:rPr>
                <w:sz w:val="18"/>
                <w:szCs w:val="18"/>
              </w:rPr>
            </w:pPr>
            <w:r>
              <w:rPr>
                <w:spacing w:val="-3"/>
                <w:sz w:val="18"/>
                <w:szCs w:val="18"/>
              </w:rPr>
              <w:t>0.569</w:t>
            </w:r>
          </w:p>
        </w:tc>
        <w:tc>
          <w:tcPr>
            <w:tcW w:w="423" w:type="dxa"/>
            <w:vAlign w:val="top"/>
          </w:tcPr>
          <w:p w14:paraId="392DBD3E">
            <w:pPr>
              <w:pStyle w:val="6"/>
              <w:spacing w:before="79" w:line="232" w:lineRule="auto"/>
              <w:ind w:left="81"/>
              <w:rPr>
                <w:sz w:val="18"/>
                <w:szCs w:val="18"/>
              </w:rPr>
            </w:pPr>
            <w:r>
              <w:rPr>
                <w:spacing w:val="-6"/>
                <w:sz w:val="18"/>
                <w:szCs w:val="18"/>
              </w:rPr>
              <w:t>12.2</w:t>
            </w:r>
          </w:p>
        </w:tc>
        <w:tc>
          <w:tcPr>
            <w:tcW w:w="472" w:type="dxa"/>
            <w:vAlign w:val="top"/>
          </w:tcPr>
          <w:p w14:paraId="29160191">
            <w:pPr>
              <w:pStyle w:val="6"/>
              <w:spacing w:before="79" w:line="232" w:lineRule="auto"/>
              <w:ind w:left="93"/>
              <w:rPr>
                <w:sz w:val="18"/>
                <w:szCs w:val="18"/>
              </w:rPr>
            </w:pPr>
            <w:r>
              <w:rPr>
                <w:spacing w:val="-2"/>
                <w:sz w:val="18"/>
                <w:szCs w:val="18"/>
              </w:rPr>
              <w:t>38.1</w:t>
            </w:r>
          </w:p>
        </w:tc>
        <w:tc>
          <w:tcPr>
            <w:tcW w:w="377" w:type="dxa"/>
            <w:tcBorders>
              <w:right w:val="single" w:color="000000" w:sz="12" w:space="0"/>
            </w:tcBorders>
            <w:vAlign w:val="top"/>
          </w:tcPr>
          <w:p w14:paraId="4FE1A364">
            <w:pPr>
              <w:pStyle w:val="6"/>
              <w:spacing w:before="79" w:line="232" w:lineRule="auto"/>
              <w:ind w:left="35"/>
              <w:rPr>
                <w:sz w:val="18"/>
                <w:szCs w:val="18"/>
              </w:rPr>
            </w:pPr>
            <w:r>
              <w:rPr>
                <w:spacing w:val="-2"/>
                <w:sz w:val="18"/>
                <w:szCs w:val="18"/>
              </w:rPr>
              <w:t>31.1</w:t>
            </w:r>
          </w:p>
        </w:tc>
      </w:tr>
      <w:tr w14:paraId="57806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6D554809">
            <w:pPr>
              <w:rPr>
                <w:rFonts w:ascii="Arial"/>
                <w:sz w:val="21"/>
              </w:rPr>
            </w:pPr>
          </w:p>
        </w:tc>
        <w:tc>
          <w:tcPr>
            <w:tcW w:w="268" w:type="dxa"/>
            <w:vMerge w:val="restart"/>
            <w:tcBorders>
              <w:bottom w:val="nil"/>
            </w:tcBorders>
            <w:vAlign w:val="top"/>
          </w:tcPr>
          <w:p w14:paraId="7BFF2076">
            <w:pPr>
              <w:pStyle w:val="6"/>
              <w:spacing w:before="141" w:line="226" w:lineRule="auto"/>
              <w:ind w:left="76"/>
              <w:rPr>
                <w:sz w:val="18"/>
                <w:szCs w:val="18"/>
              </w:rPr>
            </w:pPr>
            <w:r>
              <w:rPr>
                <w:sz w:val="18"/>
                <w:szCs w:val="18"/>
              </w:rPr>
              <w:t>3</w:t>
            </w:r>
          </w:p>
          <w:p w14:paraId="1A10958F">
            <w:pPr>
              <w:spacing w:line="226" w:lineRule="auto"/>
              <w:ind w:left="31"/>
              <w:rPr>
                <w:rFonts w:ascii="等线" w:hAnsi="等线" w:eastAsia="等线" w:cs="等线"/>
                <w:sz w:val="18"/>
                <w:szCs w:val="18"/>
              </w:rPr>
            </w:pPr>
            <w:r>
              <w:rPr>
                <w:rFonts w:ascii="等线" w:hAnsi="等线" w:eastAsia="等线" w:cs="等线"/>
                <w:sz w:val="18"/>
                <w:szCs w:val="18"/>
              </w:rPr>
              <w:t>季</w:t>
            </w:r>
          </w:p>
          <w:p w14:paraId="1B20B622">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1909AC44">
            <w:pPr>
              <w:pStyle w:val="6"/>
              <w:spacing w:before="82" w:line="231" w:lineRule="auto"/>
              <w:ind w:left="138"/>
              <w:rPr>
                <w:sz w:val="18"/>
                <w:szCs w:val="18"/>
              </w:rPr>
            </w:pPr>
            <w:r>
              <w:rPr>
                <w:spacing w:val="-1"/>
                <w:sz w:val="18"/>
                <w:szCs w:val="18"/>
              </w:rPr>
              <w:t>2020/8/20</w:t>
            </w:r>
          </w:p>
        </w:tc>
        <w:tc>
          <w:tcPr>
            <w:tcW w:w="774" w:type="dxa"/>
            <w:vAlign w:val="top"/>
          </w:tcPr>
          <w:p w14:paraId="3DED3F7E">
            <w:pPr>
              <w:pStyle w:val="6"/>
              <w:spacing w:before="82" w:line="231" w:lineRule="auto"/>
              <w:ind w:left="219"/>
              <w:rPr>
                <w:sz w:val="18"/>
                <w:szCs w:val="18"/>
              </w:rPr>
            </w:pPr>
            <w:r>
              <w:rPr>
                <w:spacing w:val="-2"/>
                <w:sz w:val="18"/>
                <w:szCs w:val="18"/>
              </w:rPr>
              <w:t>7.05</w:t>
            </w:r>
          </w:p>
        </w:tc>
        <w:tc>
          <w:tcPr>
            <w:tcW w:w="741" w:type="dxa"/>
            <w:vAlign w:val="top"/>
          </w:tcPr>
          <w:p w14:paraId="673D77A4">
            <w:pPr>
              <w:pStyle w:val="6"/>
              <w:spacing w:before="82" w:line="231" w:lineRule="auto"/>
              <w:ind w:left="222"/>
              <w:rPr>
                <w:sz w:val="18"/>
                <w:szCs w:val="18"/>
              </w:rPr>
            </w:pPr>
            <w:r>
              <w:rPr>
                <w:spacing w:val="-1"/>
                <w:sz w:val="18"/>
                <w:szCs w:val="18"/>
              </w:rPr>
              <w:t>282</w:t>
            </w:r>
          </w:p>
        </w:tc>
        <w:tc>
          <w:tcPr>
            <w:tcW w:w="705" w:type="dxa"/>
            <w:vAlign w:val="top"/>
          </w:tcPr>
          <w:p w14:paraId="723FC406">
            <w:pPr>
              <w:pStyle w:val="6"/>
              <w:spacing w:before="82" w:line="231" w:lineRule="auto"/>
              <w:ind w:left="209"/>
              <w:rPr>
                <w:sz w:val="18"/>
                <w:szCs w:val="18"/>
              </w:rPr>
            </w:pPr>
            <w:r>
              <w:rPr>
                <w:spacing w:val="-2"/>
                <w:sz w:val="18"/>
                <w:szCs w:val="18"/>
              </w:rPr>
              <w:t>385</w:t>
            </w:r>
          </w:p>
        </w:tc>
        <w:tc>
          <w:tcPr>
            <w:tcW w:w="570" w:type="dxa"/>
            <w:vAlign w:val="top"/>
          </w:tcPr>
          <w:p w14:paraId="227B3998">
            <w:pPr>
              <w:pStyle w:val="6"/>
              <w:spacing w:before="82" w:line="231" w:lineRule="auto"/>
              <w:ind w:left="186"/>
              <w:rPr>
                <w:sz w:val="18"/>
                <w:szCs w:val="18"/>
              </w:rPr>
            </w:pPr>
            <w:r>
              <w:rPr>
                <w:spacing w:val="-2"/>
                <w:sz w:val="18"/>
                <w:szCs w:val="18"/>
              </w:rPr>
              <w:t>63</w:t>
            </w:r>
          </w:p>
        </w:tc>
        <w:tc>
          <w:tcPr>
            <w:tcW w:w="423" w:type="dxa"/>
            <w:vAlign w:val="top"/>
          </w:tcPr>
          <w:p w14:paraId="3F8777CD">
            <w:pPr>
              <w:pStyle w:val="6"/>
              <w:spacing w:before="85" w:line="186" w:lineRule="auto"/>
              <w:ind w:left="72"/>
              <w:rPr>
                <w:sz w:val="18"/>
                <w:szCs w:val="18"/>
              </w:rPr>
            </w:pPr>
            <w:r>
              <w:rPr>
                <w:spacing w:val="-5"/>
                <w:sz w:val="18"/>
                <w:szCs w:val="18"/>
              </w:rPr>
              <w:t>10L</w:t>
            </w:r>
          </w:p>
        </w:tc>
        <w:tc>
          <w:tcPr>
            <w:tcW w:w="567" w:type="dxa"/>
            <w:vAlign w:val="top"/>
          </w:tcPr>
          <w:p w14:paraId="2F7AE694">
            <w:pPr>
              <w:pStyle w:val="6"/>
              <w:spacing w:before="82" w:line="231" w:lineRule="auto"/>
              <w:ind w:left="63"/>
              <w:rPr>
                <w:sz w:val="18"/>
                <w:szCs w:val="18"/>
              </w:rPr>
            </w:pPr>
            <w:r>
              <w:rPr>
                <w:spacing w:val="-2"/>
                <w:sz w:val="18"/>
                <w:szCs w:val="18"/>
              </w:rPr>
              <w:t>0.03L</w:t>
            </w:r>
          </w:p>
        </w:tc>
        <w:tc>
          <w:tcPr>
            <w:tcW w:w="545" w:type="dxa"/>
            <w:vAlign w:val="top"/>
          </w:tcPr>
          <w:p w14:paraId="122A2ED3">
            <w:pPr>
              <w:pStyle w:val="6"/>
              <w:spacing w:before="82" w:line="231" w:lineRule="auto"/>
              <w:ind w:left="53"/>
              <w:rPr>
                <w:sz w:val="18"/>
                <w:szCs w:val="18"/>
              </w:rPr>
            </w:pPr>
            <w:r>
              <w:rPr>
                <w:spacing w:val="-2"/>
                <w:sz w:val="18"/>
                <w:szCs w:val="18"/>
              </w:rPr>
              <w:t>0.02L</w:t>
            </w:r>
          </w:p>
        </w:tc>
        <w:tc>
          <w:tcPr>
            <w:tcW w:w="472" w:type="dxa"/>
            <w:vAlign w:val="top"/>
          </w:tcPr>
          <w:p w14:paraId="2E6DE72E">
            <w:pPr>
              <w:pStyle w:val="6"/>
              <w:spacing w:before="82" w:line="231" w:lineRule="auto"/>
              <w:ind w:left="18"/>
              <w:rPr>
                <w:sz w:val="18"/>
                <w:szCs w:val="18"/>
              </w:rPr>
            </w:pPr>
            <w:r>
              <w:rPr>
                <w:spacing w:val="-2"/>
                <w:sz w:val="18"/>
                <w:szCs w:val="18"/>
              </w:rPr>
              <w:t>0.01L</w:t>
            </w:r>
          </w:p>
        </w:tc>
        <w:tc>
          <w:tcPr>
            <w:tcW w:w="562" w:type="dxa"/>
            <w:vAlign w:val="top"/>
          </w:tcPr>
          <w:p w14:paraId="52992A84">
            <w:pPr>
              <w:pStyle w:val="6"/>
              <w:spacing w:before="82" w:line="231" w:lineRule="auto"/>
              <w:ind w:left="19"/>
              <w:rPr>
                <w:sz w:val="18"/>
                <w:szCs w:val="18"/>
              </w:rPr>
            </w:pPr>
            <w:r>
              <w:rPr>
                <w:spacing w:val="-1"/>
                <w:sz w:val="18"/>
                <w:szCs w:val="18"/>
              </w:rPr>
              <w:t>0.006L</w:t>
            </w:r>
          </w:p>
        </w:tc>
        <w:tc>
          <w:tcPr>
            <w:tcW w:w="651" w:type="dxa"/>
            <w:vAlign w:val="top"/>
          </w:tcPr>
          <w:p w14:paraId="3221790B">
            <w:pPr>
              <w:pStyle w:val="6"/>
              <w:spacing w:before="82" w:line="231" w:lineRule="auto"/>
              <w:ind w:left="18"/>
              <w:rPr>
                <w:sz w:val="18"/>
                <w:szCs w:val="18"/>
              </w:rPr>
            </w:pPr>
            <w:r>
              <w:rPr>
                <w:spacing w:val="-1"/>
                <w:sz w:val="18"/>
                <w:szCs w:val="18"/>
              </w:rPr>
              <w:t>0.0003L</w:t>
            </w:r>
          </w:p>
        </w:tc>
        <w:tc>
          <w:tcPr>
            <w:tcW w:w="884" w:type="dxa"/>
            <w:vAlign w:val="top"/>
          </w:tcPr>
          <w:p w14:paraId="2914C3D6">
            <w:pPr>
              <w:pStyle w:val="6"/>
              <w:spacing w:before="82" w:line="231" w:lineRule="auto"/>
              <w:ind w:left="226"/>
              <w:rPr>
                <w:sz w:val="18"/>
                <w:szCs w:val="18"/>
              </w:rPr>
            </w:pPr>
            <w:r>
              <w:rPr>
                <w:spacing w:val="-2"/>
                <w:sz w:val="18"/>
                <w:szCs w:val="18"/>
              </w:rPr>
              <w:t>0.05L</w:t>
            </w:r>
          </w:p>
        </w:tc>
        <w:tc>
          <w:tcPr>
            <w:tcW w:w="709" w:type="dxa"/>
            <w:vAlign w:val="top"/>
          </w:tcPr>
          <w:p w14:paraId="2DA0087B">
            <w:pPr>
              <w:pStyle w:val="6"/>
              <w:spacing w:before="82" w:line="231" w:lineRule="auto"/>
              <w:ind w:left="194"/>
              <w:rPr>
                <w:sz w:val="18"/>
                <w:szCs w:val="18"/>
              </w:rPr>
            </w:pPr>
            <w:r>
              <w:rPr>
                <w:spacing w:val="-2"/>
                <w:sz w:val="18"/>
                <w:szCs w:val="18"/>
              </w:rPr>
              <w:t>0.02</w:t>
            </w:r>
          </w:p>
        </w:tc>
        <w:tc>
          <w:tcPr>
            <w:tcW w:w="703" w:type="dxa"/>
            <w:vAlign w:val="top"/>
          </w:tcPr>
          <w:p w14:paraId="197C630A">
            <w:pPr>
              <w:pStyle w:val="6"/>
              <w:spacing w:before="82" w:line="231" w:lineRule="auto"/>
              <w:ind w:left="193"/>
              <w:rPr>
                <w:sz w:val="18"/>
                <w:szCs w:val="18"/>
              </w:rPr>
            </w:pPr>
            <w:r>
              <w:rPr>
                <w:spacing w:val="-2"/>
                <w:sz w:val="18"/>
                <w:szCs w:val="18"/>
              </w:rPr>
              <w:t>0.52</w:t>
            </w:r>
          </w:p>
        </w:tc>
        <w:tc>
          <w:tcPr>
            <w:tcW w:w="708" w:type="dxa"/>
            <w:vAlign w:val="top"/>
          </w:tcPr>
          <w:p w14:paraId="40C244BE">
            <w:pPr>
              <w:pStyle w:val="6"/>
              <w:spacing w:before="82" w:line="231" w:lineRule="auto"/>
              <w:ind w:left="96"/>
              <w:rPr>
                <w:sz w:val="18"/>
                <w:szCs w:val="18"/>
              </w:rPr>
            </w:pPr>
            <w:r>
              <w:rPr>
                <w:spacing w:val="-2"/>
                <w:sz w:val="18"/>
                <w:szCs w:val="18"/>
              </w:rPr>
              <w:t>0.003L</w:t>
            </w:r>
          </w:p>
        </w:tc>
        <w:tc>
          <w:tcPr>
            <w:tcW w:w="764" w:type="dxa"/>
            <w:vAlign w:val="top"/>
          </w:tcPr>
          <w:p w14:paraId="722CD1F6">
            <w:pPr>
              <w:pStyle w:val="6"/>
              <w:spacing w:before="82" w:line="231" w:lineRule="auto"/>
              <w:ind w:left="181"/>
              <w:rPr>
                <w:sz w:val="18"/>
                <w:szCs w:val="18"/>
              </w:rPr>
            </w:pPr>
            <w:r>
              <w:rPr>
                <w:spacing w:val="-2"/>
                <w:sz w:val="18"/>
                <w:szCs w:val="18"/>
              </w:rPr>
              <w:t>0.256</w:t>
            </w:r>
          </w:p>
        </w:tc>
        <w:tc>
          <w:tcPr>
            <w:tcW w:w="586" w:type="dxa"/>
            <w:vAlign w:val="top"/>
          </w:tcPr>
          <w:p w14:paraId="4C0806CC">
            <w:pPr>
              <w:pStyle w:val="6"/>
              <w:spacing w:before="82" w:line="231" w:lineRule="auto"/>
              <w:ind w:left="139"/>
              <w:rPr>
                <w:sz w:val="18"/>
                <w:szCs w:val="18"/>
              </w:rPr>
            </w:pPr>
            <w:r>
              <w:rPr>
                <w:spacing w:val="-2"/>
                <w:sz w:val="18"/>
                <w:szCs w:val="18"/>
              </w:rPr>
              <w:t>0.07</w:t>
            </w:r>
          </w:p>
        </w:tc>
        <w:tc>
          <w:tcPr>
            <w:tcW w:w="582" w:type="dxa"/>
            <w:vAlign w:val="top"/>
          </w:tcPr>
          <w:p w14:paraId="5ECD38A2">
            <w:pPr>
              <w:pStyle w:val="6"/>
              <w:spacing w:before="82" w:line="231" w:lineRule="auto"/>
              <w:ind w:left="38"/>
              <w:rPr>
                <w:sz w:val="18"/>
                <w:szCs w:val="18"/>
              </w:rPr>
            </w:pPr>
            <w:r>
              <w:rPr>
                <w:spacing w:val="-2"/>
                <w:sz w:val="18"/>
                <w:szCs w:val="18"/>
              </w:rPr>
              <w:t>0.004L</w:t>
            </w:r>
          </w:p>
        </w:tc>
        <w:tc>
          <w:tcPr>
            <w:tcW w:w="745" w:type="dxa"/>
            <w:vAlign w:val="top"/>
          </w:tcPr>
          <w:p w14:paraId="438592C5">
            <w:pPr>
              <w:pStyle w:val="6"/>
              <w:spacing w:before="82" w:line="231" w:lineRule="auto"/>
              <w:ind w:left="31"/>
              <w:rPr>
                <w:sz w:val="18"/>
                <w:szCs w:val="18"/>
              </w:rPr>
            </w:pPr>
            <w:r>
              <w:rPr>
                <w:spacing w:val="-1"/>
                <w:sz w:val="18"/>
                <w:szCs w:val="18"/>
              </w:rPr>
              <w:t>0.00004L</w:t>
            </w:r>
          </w:p>
        </w:tc>
        <w:tc>
          <w:tcPr>
            <w:tcW w:w="651" w:type="dxa"/>
            <w:vAlign w:val="top"/>
          </w:tcPr>
          <w:p w14:paraId="5F4C880E">
            <w:pPr>
              <w:pStyle w:val="6"/>
              <w:spacing w:before="82" w:line="231" w:lineRule="auto"/>
              <w:ind w:left="29"/>
              <w:rPr>
                <w:sz w:val="18"/>
                <w:szCs w:val="18"/>
              </w:rPr>
            </w:pPr>
            <w:r>
              <w:rPr>
                <w:spacing w:val="-1"/>
                <w:sz w:val="18"/>
                <w:szCs w:val="18"/>
              </w:rPr>
              <w:t>0.0003L</w:t>
            </w:r>
          </w:p>
        </w:tc>
        <w:tc>
          <w:tcPr>
            <w:tcW w:w="652" w:type="dxa"/>
            <w:vAlign w:val="top"/>
          </w:tcPr>
          <w:p w14:paraId="7B10C0AC">
            <w:pPr>
              <w:pStyle w:val="6"/>
              <w:spacing w:before="82" w:line="231" w:lineRule="auto"/>
              <w:ind w:left="30"/>
              <w:rPr>
                <w:sz w:val="18"/>
                <w:szCs w:val="18"/>
              </w:rPr>
            </w:pPr>
            <w:r>
              <w:rPr>
                <w:spacing w:val="-1"/>
                <w:sz w:val="18"/>
                <w:szCs w:val="18"/>
              </w:rPr>
              <w:t>0.0004L</w:t>
            </w:r>
          </w:p>
        </w:tc>
        <w:tc>
          <w:tcPr>
            <w:tcW w:w="566" w:type="dxa"/>
            <w:vAlign w:val="top"/>
          </w:tcPr>
          <w:p w14:paraId="772C82EC">
            <w:pPr>
              <w:pStyle w:val="6"/>
              <w:spacing w:before="82" w:line="231" w:lineRule="auto"/>
              <w:ind w:left="32"/>
              <w:rPr>
                <w:sz w:val="18"/>
                <w:szCs w:val="18"/>
              </w:rPr>
            </w:pPr>
            <w:r>
              <w:rPr>
                <w:spacing w:val="-2"/>
                <w:sz w:val="18"/>
                <w:szCs w:val="18"/>
              </w:rPr>
              <w:t>0.001L</w:t>
            </w:r>
          </w:p>
        </w:tc>
        <w:tc>
          <w:tcPr>
            <w:tcW w:w="582" w:type="dxa"/>
            <w:vAlign w:val="top"/>
          </w:tcPr>
          <w:p w14:paraId="3AB9DA9A">
            <w:pPr>
              <w:pStyle w:val="6"/>
              <w:spacing w:before="82" w:line="231" w:lineRule="auto"/>
              <w:ind w:left="41"/>
              <w:rPr>
                <w:sz w:val="18"/>
                <w:szCs w:val="18"/>
              </w:rPr>
            </w:pPr>
            <w:r>
              <w:rPr>
                <w:spacing w:val="-2"/>
                <w:sz w:val="18"/>
                <w:szCs w:val="18"/>
              </w:rPr>
              <w:t>0.004L</w:t>
            </w:r>
          </w:p>
        </w:tc>
        <w:tc>
          <w:tcPr>
            <w:tcW w:w="476" w:type="dxa"/>
            <w:vAlign w:val="top"/>
          </w:tcPr>
          <w:p w14:paraId="68C9009C">
            <w:pPr>
              <w:pStyle w:val="6"/>
              <w:spacing w:before="82" w:line="231" w:lineRule="auto"/>
              <w:ind w:left="34"/>
              <w:rPr>
                <w:sz w:val="18"/>
                <w:szCs w:val="18"/>
              </w:rPr>
            </w:pPr>
            <w:r>
              <w:rPr>
                <w:spacing w:val="-2"/>
                <w:sz w:val="18"/>
                <w:szCs w:val="18"/>
              </w:rPr>
              <w:t>0.01L</w:t>
            </w:r>
          </w:p>
        </w:tc>
        <w:tc>
          <w:tcPr>
            <w:tcW w:w="567" w:type="dxa"/>
            <w:vAlign w:val="top"/>
          </w:tcPr>
          <w:p w14:paraId="73537ECE">
            <w:pPr>
              <w:pStyle w:val="6"/>
              <w:spacing w:before="82" w:line="231" w:lineRule="auto"/>
              <w:ind w:left="91"/>
              <w:rPr>
                <w:sz w:val="18"/>
                <w:szCs w:val="18"/>
              </w:rPr>
            </w:pPr>
            <w:r>
              <w:rPr>
                <w:spacing w:val="-2"/>
                <w:sz w:val="18"/>
                <w:szCs w:val="18"/>
              </w:rPr>
              <w:t>0.027</w:t>
            </w:r>
          </w:p>
        </w:tc>
        <w:tc>
          <w:tcPr>
            <w:tcW w:w="765" w:type="dxa"/>
            <w:vAlign w:val="top"/>
          </w:tcPr>
          <w:p w14:paraId="786F9CC2">
            <w:pPr>
              <w:pStyle w:val="6"/>
              <w:spacing w:before="82" w:line="231" w:lineRule="auto"/>
              <w:ind w:left="300"/>
              <w:rPr>
                <w:sz w:val="18"/>
                <w:szCs w:val="18"/>
              </w:rPr>
            </w:pPr>
            <w:r>
              <w:rPr>
                <w:spacing w:val="-1"/>
                <w:sz w:val="18"/>
                <w:szCs w:val="18"/>
              </w:rPr>
              <w:t>21</w:t>
            </w:r>
          </w:p>
        </w:tc>
        <w:tc>
          <w:tcPr>
            <w:tcW w:w="424" w:type="dxa"/>
            <w:vAlign w:val="top"/>
          </w:tcPr>
          <w:p w14:paraId="780FACCC">
            <w:pPr>
              <w:pStyle w:val="6"/>
              <w:spacing w:before="82" w:line="231" w:lineRule="auto"/>
              <w:ind w:left="85"/>
              <w:rPr>
                <w:sz w:val="18"/>
                <w:szCs w:val="18"/>
              </w:rPr>
            </w:pPr>
            <w:r>
              <w:rPr>
                <w:spacing w:val="-1"/>
                <w:sz w:val="18"/>
                <w:szCs w:val="18"/>
              </w:rPr>
              <w:t>402</w:t>
            </w:r>
          </w:p>
        </w:tc>
        <w:tc>
          <w:tcPr>
            <w:tcW w:w="427" w:type="dxa"/>
            <w:vAlign w:val="top"/>
          </w:tcPr>
          <w:p w14:paraId="545E8156">
            <w:pPr>
              <w:pStyle w:val="6"/>
              <w:spacing w:before="82" w:line="231" w:lineRule="auto"/>
              <w:ind w:left="83"/>
              <w:rPr>
                <w:sz w:val="18"/>
                <w:szCs w:val="18"/>
              </w:rPr>
            </w:pPr>
            <w:r>
              <w:rPr>
                <w:spacing w:val="-6"/>
                <w:sz w:val="18"/>
                <w:szCs w:val="18"/>
              </w:rPr>
              <w:t>1.20</w:t>
            </w:r>
          </w:p>
        </w:tc>
        <w:tc>
          <w:tcPr>
            <w:tcW w:w="424" w:type="dxa"/>
            <w:vAlign w:val="top"/>
          </w:tcPr>
          <w:p w14:paraId="47497F46">
            <w:pPr>
              <w:pStyle w:val="6"/>
              <w:spacing w:before="82" w:line="231" w:lineRule="auto"/>
              <w:jc w:val="right"/>
              <w:rPr>
                <w:sz w:val="18"/>
                <w:szCs w:val="18"/>
              </w:rPr>
            </w:pPr>
            <w:r>
              <w:rPr>
                <w:spacing w:val="-3"/>
                <w:sz w:val="18"/>
                <w:szCs w:val="18"/>
              </w:rPr>
              <w:t>0.680</w:t>
            </w:r>
          </w:p>
        </w:tc>
        <w:tc>
          <w:tcPr>
            <w:tcW w:w="423" w:type="dxa"/>
            <w:vAlign w:val="top"/>
          </w:tcPr>
          <w:p w14:paraId="2D844910">
            <w:pPr>
              <w:pStyle w:val="6"/>
              <w:spacing w:before="82" w:line="231" w:lineRule="auto"/>
              <w:ind w:left="67"/>
              <w:rPr>
                <w:sz w:val="18"/>
                <w:szCs w:val="18"/>
              </w:rPr>
            </w:pPr>
            <w:r>
              <w:rPr>
                <w:spacing w:val="-2"/>
                <w:sz w:val="18"/>
                <w:szCs w:val="18"/>
              </w:rPr>
              <w:t>3.85</w:t>
            </w:r>
          </w:p>
        </w:tc>
        <w:tc>
          <w:tcPr>
            <w:tcW w:w="472" w:type="dxa"/>
            <w:vAlign w:val="top"/>
          </w:tcPr>
          <w:p w14:paraId="4D2ABA72">
            <w:pPr>
              <w:pStyle w:val="6"/>
              <w:spacing w:before="82" w:line="231" w:lineRule="auto"/>
              <w:ind w:left="94"/>
              <w:rPr>
                <w:sz w:val="18"/>
                <w:szCs w:val="18"/>
              </w:rPr>
            </w:pPr>
            <w:r>
              <w:rPr>
                <w:spacing w:val="-2"/>
                <w:sz w:val="18"/>
                <w:szCs w:val="18"/>
              </w:rPr>
              <w:t>69.4</w:t>
            </w:r>
          </w:p>
        </w:tc>
        <w:tc>
          <w:tcPr>
            <w:tcW w:w="377" w:type="dxa"/>
            <w:tcBorders>
              <w:right w:val="single" w:color="000000" w:sz="12" w:space="0"/>
            </w:tcBorders>
            <w:vAlign w:val="top"/>
          </w:tcPr>
          <w:p w14:paraId="1EB82B4B">
            <w:pPr>
              <w:pStyle w:val="6"/>
              <w:spacing w:before="82" w:line="231" w:lineRule="auto"/>
              <w:ind w:left="49"/>
              <w:rPr>
                <w:sz w:val="18"/>
                <w:szCs w:val="18"/>
              </w:rPr>
            </w:pPr>
            <w:r>
              <w:rPr>
                <w:spacing w:val="-6"/>
                <w:sz w:val="18"/>
                <w:szCs w:val="18"/>
              </w:rPr>
              <w:t>12.4</w:t>
            </w:r>
          </w:p>
        </w:tc>
      </w:tr>
      <w:tr w14:paraId="2836C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2414D226">
            <w:pPr>
              <w:rPr>
                <w:rFonts w:ascii="Arial"/>
                <w:sz w:val="21"/>
              </w:rPr>
            </w:pPr>
          </w:p>
        </w:tc>
        <w:tc>
          <w:tcPr>
            <w:tcW w:w="268" w:type="dxa"/>
            <w:vMerge w:val="continue"/>
            <w:tcBorders>
              <w:top w:val="nil"/>
              <w:bottom w:val="nil"/>
            </w:tcBorders>
            <w:vAlign w:val="top"/>
          </w:tcPr>
          <w:p w14:paraId="2D7113E7">
            <w:pPr>
              <w:rPr>
                <w:rFonts w:ascii="Arial"/>
                <w:sz w:val="21"/>
              </w:rPr>
            </w:pPr>
          </w:p>
        </w:tc>
        <w:tc>
          <w:tcPr>
            <w:tcW w:w="1038" w:type="dxa"/>
            <w:vAlign w:val="top"/>
          </w:tcPr>
          <w:p w14:paraId="7B858B50">
            <w:pPr>
              <w:pStyle w:val="6"/>
              <w:spacing w:before="82" w:line="231" w:lineRule="auto"/>
              <w:ind w:left="138"/>
              <w:rPr>
                <w:sz w:val="18"/>
                <w:szCs w:val="18"/>
              </w:rPr>
            </w:pPr>
            <w:r>
              <w:rPr>
                <w:spacing w:val="-1"/>
                <w:sz w:val="18"/>
                <w:szCs w:val="18"/>
              </w:rPr>
              <w:t>2020/8/21</w:t>
            </w:r>
          </w:p>
        </w:tc>
        <w:tc>
          <w:tcPr>
            <w:tcW w:w="774" w:type="dxa"/>
            <w:vAlign w:val="top"/>
          </w:tcPr>
          <w:p w14:paraId="22402BD5">
            <w:pPr>
              <w:pStyle w:val="6"/>
              <w:spacing w:before="82" w:line="231" w:lineRule="auto"/>
              <w:ind w:left="219"/>
              <w:rPr>
                <w:sz w:val="18"/>
                <w:szCs w:val="18"/>
              </w:rPr>
            </w:pPr>
            <w:r>
              <w:rPr>
                <w:spacing w:val="-2"/>
                <w:sz w:val="18"/>
                <w:szCs w:val="18"/>
              </w:rPr>
              <w:t>7.11</w:t>
            </w:r>
          </w:p>
        </w:tc>
        <w:tc>
          <w:tcPr>
            <w:tcW w:w="741" w:type="dxa"/>
            <w:vAlign w:val="top"/>
          </w:tcPr>
          <w:p w14:paraId="3663CE9E">
            <w:pPr>
              <w:pStyle w:val="6"/>
              <w:spacing w:before="82" w:line="231" w:lineRule="auto"/>
              <w:ind w:left="222"/>
              <w:rPr>
                <w:sz w:val="18"/>
                <w:szCs w:val="18"/>
              </w:rPr>
            </w:pPr>
            <w:r>
              <w:rPr>
                <w:spacing w:val="-1"/>
                <w:sz w:val="18"/>
                <w:szCs w:val="18"/>
              </w:rPr>
              <w:t>280</w:t>
            </w:r>
          </w:p>
        </w:tc>
        <w:tc>
          <w:tcPr>
            <w:tcW w:w="705" w:type="dxa"/>
            <w:vAlign w:val="top"/>
          </w:tcPr>
          <w:p w14:paraId="3E45D0A2">
            <w:pPr>
              <w:pStyle w:val="6"/>
              <w:spacing w:before="82" w:line="231" w:lineRule="auto"/>
              <w:ind w:left="209"/>
              <w:rPr>
                <w:sz w:val="18"/>
                <w:szCs w:val="18"/>
              </w:rPr>
            </w:pPr>
            <w:r>
              <w:rPr>
                <w:spacing w:val="-2"/>
                <w:sz w:val="18"/>
                <w:szCs w:val="18"/>
              </w:rPr>
              <w:t>390</w:t>
            </w:r>
          </w:p>
        </w:tc>
        <w:tc>
          <w:tcPr>
            <w:tcW w:w="570" w:type="dxa"/>
            <w:vAlign w:val="top"/>
          </w:tcPr>
          <w:p w14:paraId="3E93A7F5">
            <w:pPr>
              <w:pStyle w:val="6"/>
              <w:spacing w:before="82" w:line="231" w:lineRule="auto"/>
              <w:ind w:left="186"/>
              <w:rPr>
                <w:sz w:val="18"/>
                <w:szCs w:val="18"/>
              </w:rPr>
            </w:pPr>
            <w:r>
              <w:rPr>
                <w:spacing w:val="-2"/>
                <w:sz w:val="18"/>
                <w:szCs w:val="18"/>
              </w:rPr>
              <w:t>65</w:t>
            </w:r>
          </w:p>
        </w:tc>
        <w:tc>
          <w:tcPr>
            <w:tcW w:w="423" w:type="dxa"/>
            <w:vAlign w:val="top"/>
          </w:tcPr>
          <w:p w14:paraId="2E012884">
            <w:pPr>
              <w:pStyle w:val="6"/>
              <w:spacing w:before="86" w:line="186" w:lineRule="auto"/>
              <w:ind w:left="72"/>
              <w:rPr>
                <w:sz w:val="18"/>
                <w:szCs w:val="18"/>
              </w:rPr>
            </w:pPr>
            <w:r>
              <w:rPr>
                <w:spacing w:val="-5"/>
                <w:sz w:val="18"/>
                <w:szCs w:val="18"/>
              </w:rPr>
              <w:t>10L</w:t>
            </w:r>
          </w:p>
        </w:tc>
        <w:tc>
          <w:tcPr>
            <w:tcW w:w="567" w:type="dxa"/>
            <w:vAlign w:val="top"/>
          </w:tcPr>
          <w:p w14:paraId="5AC4F83F">
            <w:pPr>
              <w:pStyle w:val="6"/>
              <w:spacing w:before="82" w:line="231" w:lineRule="auto"/>
              <w:ind w:left="63"/>
              <w:rPr>
                <w:sz w:val="18"/>
                <w:szCs w:val="18"/>
              </w:rPr>
            </w:pPr>
            <w:r>
              <w:rPr>
                <w:spacing w:val="-2"/>
                <w:sz w:val="18"/>
                <w:szCs w:val="18"/>
              </w:rPr>
              <w:t>0.03L</w:t>
            </w:r>
          </w:p>
        </w:tc>
        <w:tc>
          <w:tcPr>
            <w:tcW w:w="545" w:type="dxa"/>
            <w:vAlign w:val="top"/>
          </w:tcPr>
          <w:p w14:paraId="605703A6">
            <w:pPr>
              <w:pStyle w:val="6"/>
              <w:spacing w:before="82" w:line="231" w:lineRule="auto"/>
              <w:ind w:left="53"/>
              <w:rPr>
                <w:sz w:val="18"/>
                <w:szCs w:val="18"/>
              </w:rPr>
            </w:pPr>
            <w:r>
              <w:rPr>
                <w:spacing w:val="-2"/>
                <w:sz w:val="18"/>
                <w:szCs w:val="18"/>
              </w:rPr>
              <w:t>0.02L</w:t>
            </w:r>
          </w:p>
        </w:tc>
        <w:tc>
          <w:tcPr>
            <w:tcW w:w="472" w:type="dxa"/>
            <w:vAlign w:val="top"/>
          </w:tcPr>
          <w:p w14:paraId="389510E2">
            <w:pPr>
              <w:pStyle w:val="6"/>
              <w:spacing w:before="82" w:line="231" w:lineRule="auto"/>
              <w:ind w:left="18"/>
              <w:rPr>
                <w:sz w:val="18"/>
                <w:szCs w:val="18"/>
              </w:rPr>
            </w:pPr>
            <w:r>
              <w:rPr>
                <w:spacing w:val="-2"/>
                <w:sz w:val="18"/>
                <w:szCs w:val="18"/>
              </w:rPr>
              <w:t>0.01L</w:t>
            </w:r>
          </w:p>
        </w:tc>
        <w:tc>
          <w:tcPr>
            <w:tcW w:w="562" w:type="dxa"/>
            <w:vAlign w:val="top"/>
          </w:tcPr>
          <w:p w14:paraId="139EBBB7">
            <w:pPr>
              <w:pStyle w:val="6"/>
              <w:spacing w:before="82" w:line="231" w:lineRule="auto"/>
              <w:ind w:left="19"/>
              <w:rPr>
                <w:sz w:val="18"/>
                <w:szCs w:val="18"/>
              </w:rPr>
            </w:pPr>
            <w:r>
              <w:rPr>
                <w:spacing w:val="-2"/>
                <w:sz w:val="18"/>
                <w:szCs w:val="18"/>
              </w:rPr>
              <w:t>0.006L</w:t>
            </w:r>
          </w:p>
        </w:tc>
        <w:tc>
          <w:tcPr>
            <w:tcW w:w="651" w:type="dxa"/>
            <w:vAlign w:val="top"/>
          </w:tcPr>
          <w:p w14:paraId="28F8C7CE">
            <w:pPr>
              <w:pStyle w:val="6"/>
              <w:spacing w:before="82" w:line="231" w:lineRule="auto"/>
              <w:ind w:left="18"/>
              <w:rPr>
                <w:sz w:val="18"/>
                <w:szCs w:val="18"/>
              </w:rPr>
            </w:pPr>
            <w:r>
              <w:rPr>
                <w:spacing w:val="-1"/>
                <w:sz w:val="18"/>
                <w:szCs w:val="18"/>
              </w:rPr>
              <w:t>0.0003L</w:t>
            </w:r>
          </w:p>
        </w:tc>
        <w:tc>
          <w:tcPr>
            <w:tcW w:w="884" w:type="dxa"/>
            <w:vAlign w:val="top"/>
          </w:tcPr>
          <w:p w14:paraId="20D95654">
            <w:pPr>
              <w:pStyle w:val="6"/>
              <w:spacing w:before="82" w:line="231" w:lineRule="auto"/>
              <w:ind w:left="226"/>
              <w:rPr>
                <w:sz w:val="18"/>
                <w:szCs w:val="18"/>
              </w:rPr>
            </w:pPr>
            <w:r>
              <w:rPr>
                <w:spacing w:val="-2"/>
                <w:sz w:val="18"/>
                <w:szCs w:val="18"/>
              </w:rPr>
              <w:t>0.05L</w:t>
            </w:r>
          </w:p>
        </w:tc>
        <w:tc>
          <w:tcPr>
            <w:tcW w:w="709" w:type="dxa"/>
            <w:vAlign w:val="top"/>
          </w:tcPr>
          <w:p w14:paraId="33B2CF77">
            <w:pPr>
              <w:pStyle w:val="6"/>
              <w:spacing w:before="82" w:line="231" w:lineRule="auto"/>
              <w:ind w:left="194"/>
              <w:rPr>
                <w:sz w:val="18"/>
                <w:szCs w:val="18"/>
              </w:rPr>
            </w:pPr>
            <w:r>
              <w:rPr>
                <w:spacing w:val="-2"/>
                <w:sz w:val="18"/>
                <w:szCs w:val="18"/>
              </w:rPr>
              <w:t>0.03</w:t>
            </w:r>
          </w:p>
        </w:tc>
        <w:tc>
          <w:tcPr>
            <w:tcW w:w="703" w:type="dxa"/>
            <w:vAlign w:val="top"/>
          </w:tcPr>
          <w:p w14:paraId="0362D53A">
            <w:pPr>
              <w:pStyle w:val="6"/>
              <w:spacing w:before="82" w:line="231" w:lineRule="auto"/>
              <w:ind w:left="193"/>
              <w:rPr>
                <w:sz w:val="18"/>
                <w:szCs w:val="18"/>
              </w:rPr>
            </w:pPr>
            <w:r>
              <w:rPr>
                <w:spacing w:val="-2"/>
                <w:sz w:val="18"/>
                <w:szCs w:val="18"/>
              </w:rPr>
              <w:t>0.47</w:t>
            </w:r>
          </w:p>
        </w:tc>
        <w:tc>
          <w:tcPr>
            <w:tcW w:w="708" w:type="dxa"/>
            <w:vAlign w:val="top"/>
          </w:tcPr>
          <w:p w14:paraId="3343928C">
            <w:pPr>
              <w:pStyle w:val="6"/>
              <w:spacing w:before="82" w:line="231" w:lineRule="auto"/>
              <w:ind w:left="96"/>
              <w:rPr>
                <w:sz w:val="18"/>
                <w:szCs w:val="18"/>
              </w:rPr>
            </w:pPr>
            <w:r>
              <w:rPr>
                <w:spacing w:val="-2"/>
                <w:sz w:val="18"/>
                <w:szCs w:val="18"/>
              </w:rPr>
              <w:t>0.003L</w:t>
            </w:r>
          </w:p>
        </w:tc>
        <w:tc>
          <w:tcPr>
            <w:tcW w:w="764" w:type="dxa"/>
            <w:vAlign w:val="top"/>
          </w:tcPr>
          <w:p w14:paraId="65FEBD39">
            <w:pPr>
              <w:pStyle w:val="6"/>
              <w:spacing w:before="82" w:line="231" w:lineRule="auto"/>
              <w:ind w:left="181"/>
              <w:rPr>
                <w:sz w:val="18"/>
                <w:szCs w:val="18"/>
              </w:rPr>
            </w:pPr>
            <w:r>
              <w:rPr>
                <w:spacing w:val="-2"/>
                <w:sz w:val="18"/>
                <w:szCs w:val="18"/>
              </w:rPr>
              <w:t>0.248</w:t>
            </w:r>
          </w:p>
        </w:tc>
        <w:tc>
          <w:tcPr>
            <w:tcW w:w="586" w:type="dxa"/>
            <w:vAlign w:val="top"/>
          </w:tcPr>
          <w:p w14:paraId="6768E0A9">
            <w:pPr>
              <w:pStyle w:val="6"/>
              <w:spacing w:before="82" w:line="231" w:lineRule="auto"/>
              <w:ind w:left="139"/>
              <w:rPr>
                <w:sz w:val="18"/>
                <w:szCs w:val="18"/>
              </w:rPr>
            </w:pPr>
            <w:r>
              <w:rPr>
                <w:spacing w:val="-2"/>
                <w:sz w:val="18"/>
                <w:szCs w:val="18"/>
              </w:rPr>
              <w:t>0.09</w:t>
            </w:r>
          </w:p>
        </w:tc>
        <w:tc>
          <w:tcPr>
            <w:tcW w:w="582" w:type="dxa"/>
            <w:vAlign w:val="top"/>
          </w:tcPr>
          <w:p w14:paraId="2B92381B">
            <w:pPr>
              <w:pStyle w:val="6"/>
              <w:spacing w:before="82" w:line="231" w:lineRule="auto"/>
              <w:ind w:left="38"/>
              <w:rPr>
                <w:sz w:val="18"/>
                <w:szCs w:val="18"/>
              </w:rPr>
            </w:pPr>
            <w:r>
              <w:rPr>
                <w:spacing w:val="-2"/>
                <w:sz w:val="18"/>
                <w:szCs w:val="18"/>
              </w:rPr>
              <w:t>0.004L</w:t>
            </w:r>
          </w:p>
        </w:tc>
        <w:tc>
          <w:tcPr>
            <w:tcW w:w="745" w:type="dxa"/>
            <w:vAlign w:val="top"/>
          </w:tcPr>
          <w:p w14:paraId="426ECAB9">
            <w:pPr>
              <w:pStyle w:val="6"/>
              <w:spacing w:before="82" w:line="231" w:lineRule="auto"/>
              <w:ind w:left="31"/>
              <w:rPr>
                <w:sz w:val="18"/>
                <w:szCs w:val="18"/>
              </w:rPr>
            </w:pPr>
            <w:r>
              <w:rPr>
                <w:spacing w:val="-1"/>
                <w:sz w:val="18"/>
                <w:szCs w:val="18"/>
              </w:rPr>
              <w:t>0.00004L</w:t>
            </w:r>
          </w:p>
        </w:tc>
        <w:tc>
          <w:tcPr>
            <w:tcW w:w="651" w:type="dxa"/>
            <w:vAlign w:val="top"/>
          </w:tcPr>
          <w:p w14:paraId="71B2CAAD">
            <w:pPr>
              <w:pStyle w:val="6"/>
              <w:spacing w:before="82" w:line="231" w:lineRule="auto"/>
              <w:ind w:left="29"/>
              <w:rPr>
                <w:sz w:val="18"/>
                <w:szCs w:val="18"/>
              </w:rPr>
            </w:pPr>
            <w:r>
              <w:rPr>
                <w:spacing w:val="-1"/>
                <w:sz w:val="18"/>
                <w:szCs w:val="18"/>
              </w:rPr>
              <w:t>0.0003L</w:t>
            </w:r>
          </w:p>
        </w:tc>
        <w:tc>
          <w:tcPr>
            <w:tcW w:w="652" w:type="dxa"/>
            <w:vAlign w:val="top"/>
          </w:tcPr>
          <w:p w14:paraId="67A3068A">
            <w:pPr>
              <w:pStyle w:val="6"/>
              <w:spacing w:before="82" w:line="231" w:lineRule="auto"/>
              <w:ind w:left="30"/>
              <w:rPr>
                <w:sz w:val="18"/>
                <w:szCs w:val="18"/>
              </w:rPr>
            </w:pPr>
            <w:r>
              <w:rPr>
                <w:spacing w:val="-1"/>
                <w:sz w:val="18"/>
                <w:szCs w:val="18"/>
              </w:rPr>
              <w:t>0.0004L</w:t>
            </w:r>
          </w:p>
        </w:tc>
        <w:tc>
          <w:tcPr>
            <w:tcW w:w="566" w:type="dxa"/>
            <w:vAlign w:val="top"/>
          </w:tcPr>
          <w:p w14:paraId="02BAF731">
            <w:pPr>
              <w:pStyle w:val="6"/>
              <w:spacing w:before="82" w:line="231" w:lineRule="auto"/>
              <w:ind w:left="32"/>
              <w:rPr>
                <w:sz w:val="18"/>
                <w:szCs w:val="18"/>
              </w:rPr>
            </w:pPr>
            <w:r>
              <w:rPr>
                <w:spacing w:val="-2"/>
                <w:sz w:val="18"/>
                <w:szCs w:val="18"/>
              </w:rPr>
              <w:t>0.001L</w:t>
            </w:r>
          </w:p>
        </w:tc>
        <w:tc>
          <w:tcPr>
            <w:tcW w:w="582" w:type="dxa"/>
            <w:vAlign w:val="top"/>
          </w:tcPr>
          <w:p w14:paraId="02F511BE">
            <w:pPr>
              <w:pStyle w:val="6"/>
              <w:spacing w:before="82" w:line="231" w:lineRule="auto"/>
              <w:ind w:left="41"/>
              <w:rPr>
                <w:sz w:val="18"/>
                <w:szCs w:val="18"/>
              </w:rPr>
            </w:pPr>
            <w:r>
              <w:rPr>
                <w:spacing w:val="-2"/>
                <w:sz w:val="18"/>
                <w:szCs w:val="18"/>
              </w:rPr>
              <w:t>0.004L</w:t>
            </w:r>
          </w:p>
        </w:tc>
        <w:tc>
          <w:tcPr>
            <w:tcW w:w="476" w:type="dxa"/>
            <w:vAlign w:val="top"/>
          </w:tcPr>
          <w:p w14:paraId="06247C69">
            <w:pPr>
              <w:pStyle w:val="6"/>
              <w:spacing w:before="82" w:line="231" w:lineRule="auto"/>
              <w:ind w:left="34"/>
              <w:rPr>
                <w:sz w:val="18"/>
                <w:szCs w:val="18"/>
              </w:rPr>
            </w:pPr>
            <w:r>
              <w:rPr>
                <w:spacing w:val="-2"/>
                <w:sz w:val="18"/>
                <w:szCs w:val="18"/>
              </w:rPr>
              <w:t>0.01L</w:t>
            </w:r>
          </w:p>
        </w:tc>
        <w:tc>
          <w:tcPr>
            <w:tcW w:w="567" w:type="dxa"/>
            <w:vAlign w:val="top"/>
          </w:tcPr>
          <w:p w14:paraId="2C5B6763">
            <w:pPr>
              <w:pStyle w:val="6"/>
              <w:spacing w:before="82" w:line="231" w:lineRule="auto"/>
              <w:ind w:left="91"/>
              <w:rPr>
                <w:sz w:val="18"/>
                <w:szCs w:val="18"/>
              </w:rPr>
            </w:pPr>
            <w:r>
              <w:rPr>
                <w:spacing w:val="-2"/>
                <w:sz w:val="18"/>
                <w:szCs w:val="18"/>
              </w:rPr>
              <w:t>0.039</w:t>
            </w:r>
          </w:p>
        </w:tc>
        <w:tc>
          <w:tcPr>
            <w:tcW w:w="765" w:type="dxa"/>
            <w:vAlign w:val="top"/>
          </w:tcPr>
          <w:p w14:paraId="08D1F5C5">
            <w:pPr>
              <w:pStyle w:val="6"/>
              <w:spacing w:before="82" w:line="231" w:lineRule="auto"/>
              <w:ind w:left="300"/>
              <w:rPr>
                <w:sz w:val="18"/>
                <w:szCs w:val="18"/>
              </w:rPr>
            </w:pPr>
            <w:r>
              <w:rPr>
                <w:spacing w:val="-1"/>
                <w:sz w:val="18"/>
                <w:szCs w:val="18"/>
              </w:rPr>
              <w:t>25</w:t>
            </w:r>
          </w:p>
        </w:tc>
        <w:tc>
          <w:tcPr>
            <w:tcW w:w="424" w:type="dxa"/>
            <w:vAlign w:val="top"/>
          </w:tcPr>
          <w:p w14:paraId="224D6EC9">
            <w:pPr>
              <w:pStyle w:val="6"/>
              <w:spacing w:before="82" w:line="231" w:lineRule="auto"/>
              <w:ind w:left="85"/>
              <w:rPr>
                <w:sz w:val="18"/>
                <w:szCs w:val="18"/>
              </w:rPr>
            </w:pPr>
            <w:r>
              <w:rPr>
                <w:spacing w:val="-1"/>
                <w:sz w:val="18"/>
                <w:szCs w:val="18"/>
              </w:rPr>
              <w:t>411</w:t>
            </w:r>
          </w:p>
        </w:tc>
        <w:tc>
          <w:tcPr>
            <w:tcW w:w="427" w:type="dxa"/>
            <w:vAlign w:val="top"/>
          </w:tcPr>
          <w:p w14:paraId="295C6DF6">
            <w:pPr>
              <w:pStyle w:val="6"/>
              <w:spacing w:before="82" w:line="231" w:lineRule="auto"/>
              <w:ind w:left="83"/>
              <w:rPr>
                <w:sz w:val="18"/>
                <w:szCs w:val="18"/>
              </w:rPr>
            </w:pPr>
            <w:r>
              <w:rPr>
                <w:spacing w:val="-6"/>
                <w:sz w:val="18"/>
                <w:szCs w:val="18"/>
              </w:rPr>
              <w:t>1.24</w:t>
            </w:r>
          </w:p>
        </w:tc>
        <w:tc>
          <w:tcPr>
            <w:tcW w:w="424" w:type="dxa"/>
            <w:vAlign w:val="top"/>
          </w:tcPr>
          <w:p w14:paraId="6945232B">
            <w:pPr>
              <w:pStyle w:val="6"/>
              <w:spacing w:before="82" w:line="231" w:lineRule="auto"/>
              <w:jc w:val="right"/>
              <w:rPr>
                <w:sz w:val="18"/>
                <w:szCs w:val="18"/>
              </w:rPr>
            </w:pPr>
            <w:r>
              <w:rPr>
                <w:spacing w:val="-3"/>
                <w:sz w:val="18"/>
                <w:szCs w:val="18"/>
              </w:rPr>
              <w:t>0.760</w:t>
            </w:r>
          </w:p>
        </w:tc>
        <w:tc>
          <w:tcPr>
            <w:tcW w:w="423" w:type="dxa"/>
            <w:vAlign w:val="top"/>
          </w:tcPr>
          <w:p w14:paraId="5A91593C">
            <w:pPr>
              <w:pStyle w:val="6"/>
              <w:spacing w:before="82" w:line="231" w:lineRule="auto"/>
              <w:ind w:left="67"/>
              <w:rPr>
                <w:sz w:val="18"/>
                <w:szCs w:val="18"/>
              </w:rPr>
            </w:pPr>
            <w:r>
              <w:rPr>
                <w:spacing w:val="-2"/>
                <w:sz w:val="18"/>
                <w:szCs w:val="18"/>
              </w:rPr>
              <w:t>3.86</w:t>
            </w:r>
          </w:p>
        </w:tc>
        <w:tc>
          <w:tcPr>
            <w:tcW w:w="472" w:type="dxa"/>
            <w:vAlign w:val="top"/>
          </w:tcPr>
          <w:p w14:paraId="028BD383">
            <w:pPr>
              <w:pStyle w:val="6"/>
              <w:spacing w:before="82" w:line="231" w:lineRule="auto"/>
              <w:ind w:left="93"/>
              <w:rPr>
                <w:sz w:val="18"/>
                <w:szCs w:val="18"/>
              </w:rPr>
            </w:pPr>
            <w:r>
              <w:rPr>
                <w:spacing w:val="-2"/>
                <w:sz w:val="18"/>
                <w:szCs w:val="18"/>
              </w:rPr>
              <w:t>71.7</w:t>
            </w:r>
          </w:p>
        </w:tc>
        <w:tc>
          <w:tcPr>
            <w:tcW w:w="377" w:type="dxa"/>
            <w:tcBorders>
              <w:right w:val="single" w:color="000000" w:sz="12" w:space="0"/>
            </w:tcBorders>
            <w:vAlign w:val="top"/>
          </w:tcPr>
          <w:p w14:paraId="1D1C91D5">
            <w:pPr>
              <w:pStyle w:val="6"/>
              <w:spacing w:before="82" w:line="231" w:lineRule="auto"/>
              <w:ind w:left="49"/>
              <w:rPr>
                <w:sz w:val="18"/>
                <w:szCs w:val="18"/>
              </w:rPr>
            </w:pPr>
            <w:r>
              <w:rPr>
                <w:spacing w:val="-6"/>
                <w:sz w:val="18"/>
                <w:szCs w:val="18"/>
              </w:rPr>
              <w:t>12.1</w:t>
            </w:r>
          </w:p>
        </w:tc>
      </w:tr>
      <w:tr w14:paraId="64787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181C044C">
            <w:pPr>
              <w:rPr>
                <w:rFonts w:ascii="Arial"/>
                <w:sz w:val="21"/>
              </w:rPr>
            </w:pPr>
          </w:p>
        </w:tc>
        <w:tc>
          <w:tcPr>
            <w:tcW w:w="268" w:type="dxa"/>
            <w:vMerge w:val="continue"/>
            <w:tcBorders>
              <w:top w:val="nil"/>
            </w:tcBorders>
            <w:vAlign w:val="top"/>
          </w:tcPr>
          <w:p w14:paraId="52E9421F">
            <w:pPr>
              <w:rPr>
                <w:rFonts w:ascii="Arial"/>
                <w:sz w:val="21"/>
              </w:rPr>
            </w:pPr>
          </w:p>
        </w:tc>
        <w:tc>
          <w:tcPr>
            <w:tcW w:w="1038" w:type="dxa"/>
            <w:vAlign w:val="top"/>
          </w:tcPr>
          <w:p w14:paraId="55CAE94C">
            <w:pPr>
              <w:pStyle w:val="6"/>
              <w:spacing w:before="82" w:line="229" w:lineRule="auto"/>
              <w:ind w:left="138"/>
              <w:rPr>
                <w:sz w:val="18"/>
                <w:szCs w:val="18"/>
              </w:rPr>
            </w:pPr>
            <w:r>
              <w:rPr>
                <w:spacing w:val="-1"/>
                <w:sz w:val="18"/>
                <w:szCs w:val="18"/>
              </w:rPr>
              <w:t>2020/8/22</w:t>
            </w:r>
          </w:p>
        </w:tc>
        <w:tc>
          <w:tcPr>
            <w:tcW w:w="774" w:type="dxa"/>
            <w:vAlign w:val="top"/>
          </w:tcPr>
          <w:p w14:paraId="55FF4FD1">
            <w:pPr>
              <w:pStyle w:val="6"/>
              <w:spacing w:before="82" w:line="229" w:lineRule="auto"/>
              <w:ind w:left="220"/>
              <w:rPr>
                <w:sz w:val="18"/>
                <w:szCs w:val="18"/>
              </w:rPr>
            </w:pPr>
            <w:r>
              <w:rPr>
                <w:spacing w:val="-2"/>
                <w:sz w:val="18"/>
                <w:szCs w:val="18"/>
              </w:rPr>
              <w:t>6.98</w:t>
            </w:r>
          </w:p>
        </w:tc>
        <w:tc>
          <w:tcPr>
            <w:tcW w:w="741" w:type="dxa"/>
            <w:vAlign w:val="top"/>
          </w:tcPr>
          <w:p w14:paraId="0724186C">
            <w:pPr>
              <w:pStyle w:val="6"/>
              <w:spacing w:before="82" w:line="229" w:lineRule="auto"/>
              <w:ind w:left="222"/>
              <w:rPr>
                <w:sz w:val="18"/>
                <w:szCs w:val="18"/>
              </w:rPr>
            </w:pPr>
            <w:r>
              <w:rPr>
                <w:spacing w:val="-1"/>
                <w:sz w:val="18"/>
                <w:szCs w:val="18"/>
              </w:rPr>
              <w:t>278</w:t>
            </w:r>
          </w:p>
        </w:tc>
        <w:tc>
          <w:tcPr>
            <w:tcW w:w="705" w:type="dxa"/>
            <w:vAlign w:val="top"/>
          </w:tcPr>
          <w:p w14:paraId="7E8F9EF5">
            <w:pPr>
              <w:pStyle w:val="6"/>
              <w:spacing w:before="82" w:line="229" w:lineRule="auto"/>
              <w:ind w:left="209"/>
              <w:rPr>
                <w:sz w:val="18"/>
                <w:szCs w:val="18"/>
              </w:rPr>
            </w:pPr>
            <w:r>
              <w:rPr>
                <w:spacing w:val="-2"/>
                <w:sz w:val="18"/>
                <w:szCs w:val="18"/>
              </w:rPr>
              <w:t>371</w:t>
            </w:r>
          </w:p>
        </w:tc>
        <w:tc>
          <w:tcPr>
            <w:tcW w:w="570" w:type="dxa"/>
            <w:vAlign w:val="top"/>
          </w:tcPr>
          <w:p w14:paraId="042E3B8B">
            <w:pPr>
              <w:pStyle w:val="6"/>
              <w:spacing w:before="82" w:line="229" w:lineRule="auto"/>
              <w:ind w:left="186"/>
              <w:rPr>
                <w:sz w:val="18"/>
                <w:szCs w:val="18"/>
              </w:rPr>
            </w:pPr>
            <w:r>
              <w:rPr>
                <w:spacing w:val="-2"/>
                <w:sz w:val="18"/>
                <w:szCs w:val="18"/>
              </w:rPr>
              <w:t>64</w:t>
            </w:r>
          </w:p>
        </w:tc>
        <w:tc>
          <w:tcPr>
            <w:tcW w:w="423" w:type="dxa"/>
            <w:vAlign w:val="top"/>
          </w:tcPr>
          <w:p w14:paraId="1D68B1CB">
            <w:pPr>
              <w:pStyle w:val="6"/>
              <w:spacing w:before="85" w:line="186" w:lineRule="auto"/>
              <w:ind w:left="72"/>
              <w:rPr>
                <w:sz w:val="18"/>
                <w:szCs w:val="18"/>
              </w:rPr>
            </w:pPr>
            <w:r>
              <w:rPr>
                <w:spacing w:val="-5"/>
                <w:sz w:val="18"/>
                <w:szCs w:val="18"/>
              </w:rPr>
              <w:t>10L</w:t>
            </w:r>
          </w:p>
        </w:tc>
        <w:tc>
          <w:tcPr>
            <w:tcW w:w="567" w:type="dxa"/>
            <w:vAlign w:val="top"/>
          </w:tcPr>
          <w:p w14:paraId="7EF1AB04">
            <w:pPr>
              <w:pStyle w:val="6"/>
              <w:spacing w:before="82" w:line="229" w:lineRule="auto"/>
              <w:ind w:left="63"/>
              <w:rPr>
                <w:sz w:val="18"/>
                <w:szCs w:val="18"/>
              </w:rPr>
            </w:pPr>
            <w:r>
              <w:rPr>
                <w:spacing w:val="-2"/>
                <w:sz w:val="18"/>
                <w:szCs w:val="18"/>
              </w:rPr>
              <w:t>0.03L</w:t>
            </w:r>
          </w:p>
        </w:tc>
        <w:tc>
          <w:tcPr>
            <w:tcW w:w="545" w:type="dxa"/>
            <w:vAlign w:val="top"/>
          </w:tcPr>
          <w:p w14:paraId="02AF2FE1">
            <w:pPr>
              <w:pStyle w:val="6"/>
              <w:spacing w:before="82" w:line="229" w:lineRule="auto"/>
              <w:ind w:left="53"/>
              <w:rPr>
                <w:sz w:val="18"/>
                <w:szCs w:val="18"/>
              </w:rPr>
            </w:pPr>
            <w:r>
              <w:rPr>
                <w:spacing w:val="-2"/>
                <w:sz w:val="18"/>
                <w:szCs w:val="18"/>
              </w:rPr>
              <w:t>0.02L</w:t>
            </w:r>
          </w:p>
        </w:tc>
        <w:tc>
          <w:tcPr>
            <w:tcW w:w="472" w:type="dxa"/>
            <w:vAlign w:val="top"/>
          </w:tcPr>
          <w:p w14:paraId="31AD16CF">
            <w:pPr>
              <w:pStyle w:val="6"/>
              <w:spacing w:before="82" w:line="229" w:lineRule="auto"/>
              <w:ind w:left="18"/>
              <w:rPr>
                <w:sz w:val="18"/>
                <w:szCs w:val="18"/>
              </w:rPr>
            </w:pPr>
            <w:r>
              <w:rPr>
                <w:spacing w:val="-2"/>
                <w:sz w:val="18"/>
                <w:szCs w:val="18"/>
              </w:rPr>
              <w:t>0.01L</w:t>
            </w:r>
          </w:p>
        </w:tc>
        <w:tc>
          <w:tcPr>
            <w:tcW w:w="562" w:type="dxa"/>
            <w:vAlign w:val="top"/>
          </w:tcPr>
          <w:p w14:paraId="79CD5E5E">
            <w:pPr>
              <w:pStyle w:val="6"/>
              <w:spacing w:before="82" w:line="229" w:lineRule="auto"/>
              <w:ind w:left="19"/>
              <w:rPr>
                <w:sz w:val="18"/>
                <w:szCs w:val="18"/>
              </w:rPr>
            </w:pPr>
            <w:r>
              <w:rPr>
                <w:spacing w:val="-2"/>
                <w:sz w:val="18"/>
                <w:szCs w:val="18"/>
              </w:rPr>
              <w:t>0.006L</w:t>
            </w:r>
          </w:p>
        </w:tc>
        <w:tc>
          <w:tcPr>
            <w:tcW w:w="651" w:type="dxa"/>
            <w:vAlign w:val="top"/>
          </w:tcPr>
          <w:p w14:paraId="6DE42011">
            <w:pPr>
              <w:pStyle w:val="6"/>
              <w:spacing w:before="82" w:line="229" w:lineRule="auto"/>
              <w:ind w:left="18"/>
              <w:rPr>
                <w:sz w:val="18"/>
                <w:szCs w:val="18"/>
              </w:rPr>
            </w:pPr>
            <w:r>
              <w:rPr>
                <w:spacing w:val="-1"/>
                <w:sz w:val="18"/>
                <w:szCs w:val="18"/>
              </w:rPr>
              <w:t>0.0003L</w:t>
            </w:r>
          </w:p>
        </w:tc>
        <w:tc>
          <w:tcPr>
            <w:tcW w:w="884" w:type="dxa"/>
            <w:vAlign w:val="top"/>
          </w:tcPr>
          <w:p w14:paraId="2F80F1FB">
            <w:pPr>
              <w:pStyle w:val="6"/>
              <w:spacing w:before="82" w:line="229" w:lineRule="auto"/>
              <w:ind w:left="226"/>
              <w:rPr>
                <w:sz w:val="18"/>
                <w:szCs w:val="18"/>
              </w:rPr>
            </w:pPr>
            <w:r>
              <w:rPr>
                <w:spacing w:val="-2"/>
                <w:sz w:val="18"/>
                <w:szCs w:val="18"/>
              </w:rPr>
              <w:t>0.05L</w:t>
            </w:r>
          </w:p>
        </w:tc>
        <w:tc>
          <w:tcPr>
            <w:tcW w:w="709" w:type="dxa"/>
            <w:vAlign w:val="top"/>
          </w:tcPr>
          <w:p w14:paraId="2E41688D">
            <w:pPr>
              <w:pStyle w:val="6"/>
              <w:spacing w:before="82" w:line="229" w:lineRule="auto"/>
              <w:ind w:left="194"/>
              <w:rPr>
                <w:sz w:val="18"/>
                <w:szCs w:val="18"/>
              </w:rPr>
            </w:pPr>
            <w:r>
              <w:rPr>
                <w:spacing w:val="-2"/>
                <w:sz w:val="18"/>
                <w:szCs w:val="18"/>
              </w:rPr>
              <w:t>0.02</w:t>
            </w:r>
          </w:p>
        </w:tc>
        <w:tc>
          <w:tcPr>
            <w:tcW w:w="703" w:type="dxa"/>
            <w:vAlign w:val="top"/>
          </w:tcPr>
          <w:p w14:paraId="4CD07C02">
            <w:pPr>
              <w:pStyle w:val="6"/>
              <w:spacing w:before="82" w:line="229" w:lineRule="auto"/>
              <w:ind w:left="193"/>
              <w:rPr>
                <w:sz w:val="18"/>
                <w:szCs w:val="18"/>
              </w:rPr>
            </w:pPr>
            <w:r>
              <w:rPr>
                <w:spacing w:val="-2"/>
                <w:sz w:val="18"/>
                <w:szCs w:val="18"/>
              </w:rPr>
              <w:t>0.50</w:t>
            </w:r>
          </w:p>
        </w:tc>
        <w:tc>
          <w:tcPr>
            <w:tcW w:w="708" w:type="dxa"/>
            <w:vAlign w:val="top"/>
          </w:tcPr>
          <w:p w14:paraId="28935513">
            <w:pPr>
              <w:pStyle w:val="6"/>
              <w:spacing w:before="82" w:line="229" w:lineRule="auto"/>
              <w:ind w:left="96"/>
              <w:rPr>
                <w:sz w:val="18"/>
                <w:szCs w:val="18"/>
              </w:rPr>
            </w:pPr>
            <w:r>
              <w:rPr>
                <w:spacing w:val="-2"/>
                <w:sz w:val="18"/>
                <w:szCs w:val="18"/>
              </w:rPr>
              <w:t>0.003L</w:t>
            </w:r>
          </w:p>
        </w:tc>
        <w:tc>
          <w:tcPr>
            <w:tcW w:w="764" w:type="dxa"/>
            <w:vAlign w:val="top"/>
          </w:tcPr>
          <w:p w14:paraId="5803A26D">
            <w:pPr>
              <w:pStyle w:val="6"/>
              <w:spacing w:before="82" w:line="229" w:lineRule="auto"/>
              <w:ind w:left="181"/>
              <w:rPr>
                <w:sz w:val="18"/>
                <w:szCs w:val="18"/>
              </w:rPr>
            </w:pPr>
            <w:r>
              <w:rPr>
                <w:spacing w:val="-2"/>
                <w:sz w:val="18"/>
                <w:szCs w:val="18"/>
              </w:rPr>
              <w:t>0.253</w:t>
            </w:r>
          </w:p>
        </w:tc>
        <w:tc>
          <w:tcPr>
            <w:tcW w:w="586" w:type="dxa"/>
            <w:vAlign w:val="top"/>
          </w:tcPr>
          <w:p w14:paraId="3AFD9346">
            <w:pPr>
              <w:pStyle w:val="6"/>
              <w:spacing w:before="82" w:line="229" w:lineRule="auto"/>
              <w:ind w:left="139"/>
              <w:rPr>
                <w:sz w:val="18"/>
                <w:szCs w:val="18"/>
              </w:rPr>
            </w:pPr>
            <w:r>
              <w:rPr>
                <w:spacing w:val="-2"/>
                <w:sz w:val="18"/>
                <w:szCs w:val="18"/>
              </w:rPr>
              <w:t>0.08</w:t>
            </w:r>
          </w:p>
        </w:tc>
        <w:tc>
          <w:tcPr>
            <w:tcW w:w="582" w:type="dxa"/>
            <w:vAlign w:val="top"/>
          </w:tcPr>
          <w:p w14:paraId="67AEAD0D">
            <w:pPr>
              <w:pStyle w:val="6"/>
              <w:spacing w:before="82" w:line="229" w:lineRule="auto"/>
              <w:ind w:left="38"/>
              <w:rPr>
                <w:sz w:val="18"/>
                <w:szCs w:val="18"/>
              </w:rPr>
            </w:pPr>
            <w:r>
              <w:rPr>
                <w:spacing w:val="-2"/>
                <w:sz w:val="18"/>
                <w:szCs w:val="18"/>
              </w:rPr>
              <w:t>0.004L</w:t>
            </w:r>
          </w:p>
        </w:tc>
        <w:tc>
          <w:tcPr>
            <w:tcW w:w="745" w:type="dxa"/>
            <w:vAlign w:val="top"/>
          </w:tcPr>
          <w:p w14:paraId="10FE9683">
            <w:pPr>
              <w:pStyle w:val="6"/>
              <w:spacing w:before="82" w:line="229" w:lineRule="auto"/>
              <w:ind w:left="31"/>
              <w:rPr>
                <w:sz w:val="18"/>
                <w:szCs w:val="18"/>
              </w:rPr>
            </w:pPr>
            <w:r>
              <w:rPr>
                <w:spacing w:val="-1"/>
                <w:sz w:val="18"/>
                <w:szCs w:val="18"/>
              </w:rPr>
              <w:t>0.00004L</w:t>
            </w:r>
          </w:p>
        </w:tc>
        <w:tc>
          <w:tcPr>
            <w:tcW w:w="651" w:type="dxa"/>
            <w:vAlign w:val="top"/>
          </w:tcPr>
          <w:p w14:paraId="2ABD29A9">
            <w:pPr>
              <w:pStyle w:val="6"/>
              <w:spacing w:before="82" w:line="229" w:lineRule="auto"/>
              <w:ind w:left="29"/>
              <w:rPr>
                <w:sz w:val="18"/>
                <w:szCs w:val="18"/>
              </w:rPr>
            </w:pPr>
            <w:r>
              <w:rPr>
                <w:spacing w:val="-1"/>
                <w:sz w:val="18"/>
                <w:szCs w:val="18"/>
              </w:rPr>
              <w:t>0.0003L</w:t>
            </w:r>
          </w:p>
        </w:tc>
        <w:tc>
          <w:tcPr>
            <w:tcW w:w="652" w:type="dxa"/>
            <w:vAlign w:val="top"/>
          </w:tcPr>
          <w:p w14:paraId="1665F489">
            <w:pPr>
              <w:pStyle w:val="6"/>
              <w:spacing w:before="82" w:line="229" w:lineRule="auto"/>
              <w:ind w:left="30"/>
              <w:rPr>
                <w:sz w:val="18"/>
                <w:szCs w:val="18"/>
              </w:rPr>
            </w:pPr>
            <w:r>
              <w:rPr>
                <w:spacing w:val="-1"/>
                <w:sz w:val="18"/>
                <w:szCs w:val="18"/>
              </w:rPr>
              <w:t>0.0004L</w:t>
            </w:r>
          </w:p>
        </w:tc>
        <w:tc>
          <w:tcPr>
            <w:tcW w:w="566" w:type="dxa"/>
            <w:vAlign w:val="top"/>
          </w:tcPr>
          <w:p w14:paraId="4342A2CB">
            <w:pPr>
              <w:pStyle w:val="6"/>
              <w:spacing w:before="82" w:line="229" w:lineRule="auto"/>
              <w:ind w:left="32"/>
              <w:rPr>
                <w:sz w:val="18"/>
                <w:szCs w:val="18"/>
              </w:rPr>
            </w:pPr>
            <w:r>
              <w:rPr>
                <w:spacing w:val="-2"/>
                <w:sz w:val="18"/>
                <w:szCs w:val="18"/>
              </w:rPr>
              <w:t>0.001L</w:t>
            </w:r>
          </w:p>
        </w:tc>
        <w:tc>
          <w:tcPr>
            <w:tcW w:w="582" w:type="dxa"/>
            <w:vAlign w:val="top"/>
          </w:tcPr>
          <w:p w14:paraId="5AC766F3">
            <w:pPr>
              <w:pStyle w:val="6"/>
              <w:spacing w:before="82" w:line="229" w:lineRule="auto"/>
              <w:ind w:left="41"/>
              <w:rPr>
                <w:sz w:val="18"/>
                <w:szCs w:val="18"/>
              </w:rPr>
            </w:pPr>
            <w:r>
              <w:rPr>
                <w:spacing w:val="-2"/>
                <w:sz w:val="18"/>
                <w:szCs w:val="18"/>
              </w:rPr>
              <w:t>0.004L</w:t>
            </w:r>
          </w:p>
        </w:tc>
        <w:tc>
          <w:tcPr>
            <w:tcW w:w="476" w:type="dxa"/>
            <w:vAlign w:val="top"/>
          </w:tcPr>
          <w:p w14:paraId="461B59BB">
            <w:pPr>
              <w:pStyle w:val="6"/>
              <w:spacing w:before="82" w:line="229" w:lineRule="auto"/>
              <w:ind w:left="34"/>
              <w:rPr>
                <w:sz w:val="18"/>
                <w:szCs w:val="18"/>
              </w:rPr>
            </w:pPr>
            <w:r>
              <w:rPr>
                <w:spacing w:val="-2"/>
                <w:sz w:val="18"/>
                <w:szCs w:val="18"/>
              </w:rPr>
              <w:t>0.01L</w:t>
            </w:r>
          </w:p>
        </w:tc>
        <w:tc>
          <w:tcPr>
            <w:tcW w:w="567" w:type="dxa"/>
            <w:vAlign w:val="top"/>
          </w:tcPr>
          <w:p w14:paraId="5228CBAD">
            <w:pPr>
              <w:pStyle w:val="6"/>
              <w:spacing w:before="82" w:line="229" w:lineRule="auto"/>
              <w:ind w:left="91"/>
              <w:rPr>
                <w:sz w:val="18"/>
                <w:szCs w:val="18"/>
              </w:rPr>
            </w:pPr>
            <w:r>
              <w:rPr>
                <w:spacing w:val="-2"/>
                <w:sz w:val="18"/>
                <w:szCs w:val="18"/>
              </w:rPr>
              <w:t>0.027</w:t>
            </w:r>
          </w:p>
        </w:tc>
        <w:tc>
          <w:tcPr>
            <w:tcW w:w="765" w:type="dxa"/>
            <w:vAlign w:val="top"/>
          </w:tcPr>
          <w:p w14:paraId="5E38419D">
            <w:pPr>
              <w:pStyle w:val="6"/>
              <w:spacing w:before="82" w:line="229" w:lineRule="auto"/>
              <w:ind w:left="300"/>
              <w:rPr>
                <w:sz w:val="18"/>
                <w:szCs w:val="18"/>
              </w:rPr>
            </w:pPr>
            <w:r>
              <w:rPr>
                <w:spacing w:val="-1"/>
                <w:sz w:val="18"/>
                <w:szCs w:val="18"/>
              </w:rPr>
              <w:t>23</w:t>
            </w:r>
          </w:p>
        </w:tc>
        <w:tc>
          <w:tcPr>
            <w:tcW w:w="424" w:type="dxa"/>
            <w:vAlign w:val="top"/>
          </w:tcPr>
          <w:p w14:paraId="39E617E0">
            <w:pPr>
              <w:pStyle w:val="6"/>
              <w:spacing w:before="82" w:line="229" w:lineRule="auto"/>
              <w:ind w:left="90"/>
              <w:rPr>
                <w:sz w:val="18"/>
                <w:szCs w:val="18"/>
              </w:rPr>
            </w:pPr>
            <w:r>
              <w:rPr>
                <w:spacing w:val="-2"/>
                <w:sz w:val="18"/>
                <w:szCs w:val="18"/>
              </w:rPr>
              <w:t>398</w:t>
            </w:r>
          </w:p>
        </w:tc>
        <w:tc>
          <w:tcPr>
            <w:tcW w:w="427" w:type="dxa"/>
            <w:vAlign w:val="top"/>
          </w:tcPr>
          <w:p w14:paraId="5C289B13">
            <w:pPr>
              <w:pStyle w:val="6"/>
              <w:spacing w:before="82" w:line="229" w:lineRule="auto"/>
              <w:ind w:left="83"/>
              <w:rPr>
                <w:sz w:val="18"/>
                <w:szCs w:val="18"/>
              </w:rPr>
            </w:pPr>
            <w:r>
              <w:rPr>
                <w:spacing w:val="-6"/>
                <w:sz w:val="18"/>
                <w:szCs w:val="18"/>
              </w:rPr>
              <w:t>1.22</w:t>
            </w:r>
          </w:p>
        </w:tc>
        <w:tc>
          <w:tcPr>
            <w:tcW w:w="424" w:type="dxa"/>
            <w:vAlign w:val="top"/>
          </w:tcPr>
          <w:p w14:paraId="4A6320FC">
            <w:pPr>
              <w:pStyle w:val="6"/>
              <w:spacing w:before="82" w:line="229" w:lineRule="auto"/>
              <w:jc w:val="right"/>
              <w:rPr>
                <w:sz w:val="18"/>
                <w:szCs w:val="18"/>
              </w:rPr>
            </w:pPr>
            <w:r>
              <w:rPr>
                <w:spacing w:val="-3"/>
                <w:sz w:val="18"/>
                <w:szCs w:val="18"/>
              </w:rPr>
              <w:t>0.595</w:t>
            </w:r>
          </w:p>
        </w:tc>
        <w:tc>
          <w:tcPr>
            <w:tcW w:w="423" w:type="dxa"/>
            <w:vAlign w:val="top"/>
          </w:tcPr>
          <w:p w14:paraId="7A191FCB">
            <w:pPr>
              <w:pStyle w:val="6"/>
              <w:spacing w:before="82" w:line="229" w:lineRule="auto"/>
              <w:ind w:left="67"/>
              <w:rPr>
                <w:sz w:val="18"/>
                <w:szCs w:val="18"/>
              </w:rPr>
            </w:pPr>
            <w:r>
              <w:rPr>
                <w:spacing w:val="-2"/>
                <w:sz w:val="18"/>
                <w:szCs w:val="18"/>
              </w:rPr>
              <w:t>3.78</w:t>
            </w:r>
          </w:p>
        </w:tc>
        <w:tc>
          <w:tcPr>
            <w:tcW w:w="472" w:type="dxa"/>
            <w:vAlign w:val="top"/>
          </w:tcPr>
          <w:p w14:paraId="299DC41E">
            <w:pPr>
              <w:pStyle w:val="6"/>
              <w:spacing w:before="82" w:line="229" w:lineRule="auto"/>
              <w:ind w:left="93"/>
              <w:rPr>
                <w:sz w:val="18"/>
                <w:szCs w:val="18"/>
              </w:rPr>
            </w:pPr>
            <w:r>
              <w:rPr>
                <w:spacing w:val="-2"/>
                <w:sz w:val="18"/>
                <w:szCs w:val="18"/>
              </w:rPr>
              <w:t>79.5</w:t>
            </w:r>
          </w:p>
        </w:tc>
        <w:tc>
          <w:tcPr>
            <w:tcW w:w="377" w:type="dxa"/>
            <w:tcBorders>
              <w:right w:val="single" w:color="000000" w:sz="12" w:space="0"/>
            </w:tcBorders>
            <w:vAlign w:val="top"/>
          </w:tcPr>
          <w:p w14:paraId="40588DC2">
            <w:pPr>
              <w:pStyle w:val="6"/>
              <w:spacing w:before="82" w:line="229" w:lineRule="auto"/>
              <w:ind w:left="49"/>
              <w:rPr>
                <w:sz w:val="18"/>
                <w:szCs w:val="18"/>
              </w:rPr>
            </w:pPr>
            <w:r>
              <w:rPr>
                <w:spacing w:val="-6"/>
                <w:sz w:val="18"/>
                <w:szCs w:val="18"/>
              </w:rPr>
              <w:t>12.0</w:t>
            </w:r>
          </w:p>
        </w:tc>
      </w:tr>
      <w:tr w14:paraId="0D96C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4410E927">
            <w:pPr>
              <w:rPr>
                <w:rFonts w:ascii="Arial"/>
                <w:sz w:val="21"/>
              </w:rPr>
            </w:pPr>
          </w:p>
        </w:tc>
        <w:tc>
          <w:tcPr>
            <w:tcW w:w="268" w:type="dxa"/>
            <w:vMerge w:val="restart"/>
            <w:tcBorders>
              <w:bottom w:val="nil"/>
            </w:tcBorders>
            <w:vAlign w:val="top"/>
          </w:tcPr>
          <w:p w14:paraId="4AB5DAFA">
            <w:pPr>
              <w:pStyle w:val="6"/>
              <w:spacing w:before="142" w:line="227" w:lineRule="auto"/>
              <w:ind w:left="72"/>
              <w:rPr>
                <w:sz w:val="18"/>
                <w:szCs w:val="18"/>
              </w:rPr>
            </w:pPr>
            <w:r>
              <w:rPr>
                <w:sz w:val="18"/>
                <w:szCs w:val="18"/>
              </w:rPr>
              <w:t>4</w:t>
            </w:r>
          </w:p>
          <w:p w14:paraId="3E518445">
            <w:pPr>
              <w:spacing w:line="226" w:lineRule="auto"/>
              <w:ind w:left="31"/>
              <w:rPr>
                <w:rFonts w:ascii="等线" w:hAnsi="等线" w:eastAsia="等线" w:cs="等线"/>
                <w:sz w:val="18"/>
                <w:szCs w:val="18"/>
              </w:rPr>
            </w:pPr>
            <w:r>
              <w:rPr>
                <w:rFonts w:ascii="等线" w:hAnsi="等线" w:eastAsia="等线" w:cs="等线"/>
                <w:sz w:val="18"/>
                <w:szCs w:val="18"/>
              </w:rPr>
              <w:t>季</w:t>
            </w:r>
          </w:p>
          <w:p w14:paraId="72D7C08D">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2C21D3A3">
            <w:pPr>
              <w:pStyle w:val="6"/>
              <w:spacing w:before="84" w:line="229" w:lineRule="auto"/>
              <w:ind w:left="94"/>
              <w:rPr>
                <w:sz w:val="18"/>
                <w:szCs w:val="18"/>
              </w:rPr>
            </w:pPr>
            <w:r>
              <w:rPr>
                <w:spacing w:val="-1"/>
                <w:sz w:val="18"/>
                <w:szCs w:val="18"/>
              </w:rPr>
              <w:t>2020/11/15</w:t>
            </w:r>
          </w:p>
        </w:tc>
        <w:tc>
          <w:tcPr>
            <w:tcW w:w="774" w:type="dxa"/>
            <w:vAlign w:val="top"/>
          </w:tcPr>
          <w:p w14:paraId="617EF73A">
            <w:pPr>
              <w:pStyle w:val="6"/>
              <w:spacing w:before="84" w:line="229" w:lineRule="auto"/>
              <w:ind w:left="219"/>
              <w:rPr>
                <w:sz w:val="18"/>
                <w:szCs w:val="18"/>
              </w:rPr>
            </w:pPr>
            <w:r>
              <w:rPr>
                <w:spacing w:val="-2"/>
                <w:sz w:val="18"/>
                <w:szCs w:val="18"/>
              </w:rPr>
              <w:t>7.16</w:t>
            </w:r>
          </w:p>
        </w:tc>
        <w:tc>
          <w:tcPr>
            <w:tcW w:w="741" w:type="dxa"/>
            <w:vAlign w:val="top"/>
          </w:tcPr>
          <w:p w14:paraId="18E74B56">
            <w:pPr>
              <w:pStyle w:val="6"/>
              <w:spacing w:before="84" w:line="229" w:lineRule="auto"/>
              <w:ind w:left="222"/>
              <w:rPr>
                <w:sz w:val="18"/>
                <w:szCs w:val="18"/>
              </w:rPr>
            </w:pPr>
            <w:r>
              <w:rPr>
                <w:spacing w:val="-1"/>
                <w:sz w:val="18"/>
                <w:szCs w:val="18"/>
              </w:rPr>
              <w:t>254</w:t>
            </w:r>
          </w:p>
        </w:tc>
        <w:tc>
          <w:tcPr>
            <w:tcW w:w="705" w:type="dxa"/>
            <w:vAlign w:val="top"/>
          </w:tcPr>
          <w:p w14:paraId="0AC46D2D">
            <w:pPr>
              <w:pStyle w:val="6"/>
              <w:spacing w:before="84" w:line="229" w:lineRule="auto"/>
              <w:ind w:left="209"/>
              <w:rPr>
                <w:sz w:val="18"/>
                <w:szCs w:val="18"/>
              </w:rPr>
            </w:pPr>
            <w:r>
              <w:rPr>
                <w:spacing w:val="-2"/>
                <w:sz w:val="18"/>
                <w:szCs w:val="18"/>
              </w:rPr>
              <w:t>347</w:t>
            </w:r>
          </w:p>
        </w:tc>
        <w:tc>
          <w:tcPr>
            <w:tcW w:w="570" w:type="dxa"/>
            <w:vAlign w:val="top"/>
          </w:tcPr>
          <w:p w14:paraId="3E373B4D">
            <w:pPr>
              <w:pStyle w:val="6"/>
              <w:spacing w:before="84" w:line="229" w:lineRule="auto"/>
              <w:ind w:left="186"/>
              <w:rPr>
                <w:sz w:val="18"/>
                <w:szCs w:val="18"/>
              </w:rPr>
            </w:pPr>
            <w:r>
              <w:rPr>
                <w:spacing w:val="-2"/>
                <w:sz w:val="18"/>
                <w:szCs w:val="18"/>
              </w:rPr>
              <w:t>61</w:t>
            </w:r>
          </w:p>
        </w:tc>
        <w:tc>
          <w:tcPr>
            <w:tcW w:w="423" w:type="dxa"/>
            <w:vAlign w:val="top"/>
          </w:tcPr>
          <w:p w14:paraId="53F9FB08">
            <w:pPr>
              <w:pStyle w:val="6"/>
              <w:spacing w:before="87" w:line="186" w:lineRule="auto"/>
              <w:ind w:left="72"/>
              <w:rPr>
                <w:sz w:val="18"/>
                <w:szCs w:val="18"/>
              </w:rPr>
            </w:pPr>
            <w:r>
              <w:rPr>
                <w:spacing w:val="-5"/>
                <w:sz w:val="18"/>
                <w:szCs w:val="18"/>
              </w:rPr>
              <w:t>10L</w:t>
            </w:r>
          </w:p>
        </w:tc>
        <w:tc>
          <w:tcPr>
            <w:tcW w:w="567" w:type="dxa"/>
            <w:vAlign w:val="top"/>
          </w:tcPr>
          <w:p w14:paraId="37BB2E05">
            <w:pPr>
              <w:pStyle w:val="6"/>
              <w:spacing w:before="84" w:line="229" w:lineRule="auto"/>
              <w:ind w:left="63"/>
              <w:rPr>
                <w:sz w:val="18"/>
                <w:szCs w:val="18"/>
              </w:rPr>
            </w:pPr>
            <w:r>
              <w:rPr>
                <w:spacing w:val="-2"/>
                <w:sz w:val="18"/>
                <w:szCs w:val="18"/>
              </w:rPr>
              <w:t>0.03L</w:t>
            </w:r>
          </w:p>
        </w:tc>
        <w:tc>
          <w:tcPr>
            <w:tcW w:w="545" w:type="dxa"/>
            <w:vAlign w:val="top"/>
          </w:tcPr>
          <w:p w14:paraId="57503140">
            <w:pPr>
              <w:pStyle w:val="6"/>
              <w:spacing w:before="84" w:line="229" w:lineRule="auto"/>
              <w:ind w:left="53"/>
              <w:rPr>
                <w:sz w:val="18"/>
                <w:szCs w:val="18"/>
              </w:rPr>
            </w:pPr>
            <w:r>
              <w:rPr>
                <w:spacing w:val="-2"/>
                <w:sz w:val="18"/>
                <w:szCs w:val="18"/>
              </w:rPr>
              <w:t>0.02L</w:t>
            </w:r>
          </w:p>
        </w:tc>
        <w:tc>
          <w:tcPr>
            <w:tcW w:w="472" w:type="dxa"/>
            <w:vAlign w:val="top"/>
          </w:tcPr>
          <w:p w14:paraId="645896D8">
            <w:pPr>
              <w:pStyle w:val="6"/>
              <w:spacing w:before="84" w:line="229" w:lineRule="auto"/>
              <w:ind w:left="73"/>
              <w:rPr>
                <w:sz w:val="18"/>
                <w:szCs w:val="18"/>
              </w:rPr>
            </w:pPr>
            <w:r>
              <w:rPr>
                <w:spacing w:val="-2"/>
                <w:sz w:val="18"/>
                <w:szCs w:val="18"/>
              </w:rPr>
              <w:t>0.01</w:t>
            </w:r>
          </w:p>
        </w:tc>
        <w:tc>
          <w:tcPr>
            <w:tcW w:w="562" w:type="dxa"/>
            <w:vAlign w:val="top"/>
          </w:tcPr>
          <w:p w14:paraId="592E0512">
            <w:pPr>
              <w:pStyle w:val="6"/>
              <w:spacing w:before="84" w:line="229" w:lineRule="auto"/>
              <w:ind w:left="19"/>
              <w:rPr>
                <w:sz w:val="18"/>
                <w:szCs w:val="18"/>
              </w:rPr>
            </w:pPr>
            <w:r>
              <w:rPr>
                <w:spacing w:val="-2"/>
                <w:sz w:val="18"/>
                <w:szCs w:val="18"/>
              </w:rPr>
              <w:t>0.006L</w:t>
            </w:r>
          </w:p>
        </w:tc>
        <w:tc>
          <w:tcPr>
            <w:tcW w:w="651" w:type="dxa"/>
            <w:vAlign w:val="top"/>
          </w:tcPr>
          <w:p w14:paraId="279A40CB">
            <w:pPr>
              <w:pStyle w:val="6"/>
              <w:spacing w:before="84" w:line="229" w:lineRule="auto"/>
              <w:ind w:left="18"/>
              <w:rPr>
                <w:sz w:val="18"/>
                <w:szCs w:val="18"/>
              </w:rPr>
            </w:pPr>
            <w:r>
              <w:rPr>
                <w:spacing w:val="-1"/>
                <w:sz w:val="18"/>
                <w:szCs w:val="18"/>
              </w:rPr>
              <w:t>0.0003L</w:t>
            </w:r>
          </w:p>
        </w:tc>
        <w:tc>
          <w:tcPr>
            <w:tcW w:w="884" w:type="dxa"/>
            <w:vAlign w:val="top"/>
          </w:tcPr>
          <w:p w14:paraId="2E42BB65">
            <w:pPr>
              <w:pStyle w:val="6"/>
              <w:spacing w:before="84" w:line="229" w:lineRule="auto"/>
              <w:ind w:left="226"/>
              <w:rPr>
                <w:sz w:val="18"/>
                <w:szCs w:val="18"/>
              </w:rPr>
            </w:pPr>
            <w:r>
              <w:rPr>
                <w:spacing w:val="-2"/>
                <w:sz w:val="18"/>
                <w:szCs w:val="18"/>
              </w:rPr>
              <w:t>0.05L</w:t>
            </w:r>
          </w:p>
        </w:tc>
        <w:tc>
          <w:tcPr>
            <w:tcW w:w="709" w:type="dxa"/>
            <w:vAlign w:val="top"/>
          </w:tcPr>
          <w:p w14:paraId="26696574">
            <w:pPr>
              <w:pStyle w:val="6"/>
              <w:spacing w:before="84" w:line="229" w:lineRule="auto"/>
              <w:ind w:left="194"/>
              <w:rPr>
                <w:sz w:val="18"/>
                <w:szCs w:val="18"/>
              </w:rPr>
            </w:pPr>
            <w:r>
              <w:rPr>
                <w:spacing w:val="-2"/>
                <w:sz w:val="18"/>
                <w:szCs w:val="18"/>
              </w:rPr>
              <w:t>0.01</w:t>
            </w:r>
          </w:p>
        </w:tc>
        <w:tc>
          <w:tcPr>
            <w:tcW w:w="703" w:type="dxa"/>
            <w:vAlign w:val="top"/>
          </w:tcPr>
          <w:p w14:paraId="7CF49D7E">
            <w:pPr>
              <w:pStyle w:val="6"/>
              <w:spacing w:before="84" w:line="229" w:lineRule="auto"/>
              <w:ind w:left="193"/>
              <w:rPr>
                <w:sz w:val="18"/>
                <w:szCs w:val="18"/>
              </w:rPr>
            </w:pPr>
            <w:r>
              <w:rPr>
                <w:spacing w:val="-2"/>
                <w:sz w:val="18"/>
                <w:szCs w:val="18"/>
              </w:rPr>
              <w:t>0.69</w:t>
            </w:r>
          </w:p>
        </w:tc>
        <w:tc>
          <w:tcPr>
            <w:tcW w:w="708" w:type="dxa"/>
            <w:vAlign w:val="top"/>
          </w:tcPr>
          <w:p w14:paraId="4190E725">
            <w:pPr>
              <w:pStyle w:val="6"/>
              <w:spacing w:before="84" w:line="229" w:lineRule="auto"/>
              <w:ind w:left="96"/>
              <w:rPr>
                <w:sz w:val="18"/>
                <w:szCs w:val="18"/>
              </w:rPr>
            </w:pPr>
            <w:r>
              <w:rPr>
                <w:spacing w:val="-2"/>
                <w:sz w:val="18"/>
                <w:szCs w:val="18"/>
              </w:rPr>
              <w:t>0.003L</w:t>
            </w:r>
          </w:p>
        </w:tc>
        <w:tc>
          <w:tcPr>
            <w:tcW w:w="764" w:type="dxa"/>
            <w:vAlign w:val="top"/>
          </w:tcPr>
          <w:p w14:paraId="4595AB92">
            <w:pPr>
              <w:pStyle w:val="6"/>
              <w:spacing w:before="84" w:line="229" w:lineRule="auto"/>
              <w:ind w:left="181"/>
              <w:rPr>
                <w:sz w:val="18"/>
                <w:szCs w:val="18"/>
              </w:rPr>
            </w:pPr>
            <w:r>
              <w:rPr>
                <w:spacing w:val="-2"/>
                <w:sz w:val="18"/>
                <w:szCs w:val="18"/>
              </w:rPr>
              <w:t>0.421</w:t>
            </w:r>
          </w:p>
        </w:tc>
        <w:tc>
          <w:tcPr>
            <w:tcW w:w="586" w:type="dxa"/>
            <w:vAlign w:val="top"/>
          </w:tcPr>
          <w:p w14:paraId="5EE0768A">
            <w:pPr>
              <w:pStyle w:val="6"/>
              <w:spacing w:before="84" w:line="229" w:lineRule="auto"/>
              <w:ind w:left="139"/>
              <w:rPr>
                <w:sz w:val="18"/>
                <w:szCs w:val="18"/>
              </w:rPr>
            </w:pPr>
            <w:r>
              <w:rPr>
                <w:spacing w:val="-2"/>
                <w:sz w:val="18"/>
                <w:szCs w:val="18"/>
              </w:rPr>
              <w:t>0.09</w:t>
            </w:r>
          </w:p>
        </w:tc>
        <w:tc>
          <w:tcPr>
            <w:tcW w:w="582" w:type="dxa"/>
            <w:vAlign w:val="top"/>
          </w:tcPr>
          <w:p w14:paraId="07C2EF3D">
            <w:pPr>
              <w:pStyle w:val="6"/>
              <w:spacing w:before="84" w:line="229" w:lineRule="auto"/>
              <w:ind w:left="38"/>
              <w:rPr>
                <w:sz w:val="18"/>
                <w:szCs w:val="18"/>
              </w:rPr>
            </w:pPr>
            <w:r>
              <w:rPr>
                <w:spacing w:val="-2"/>
                <w:sz w:val="18"/>
                <w:szCs w:val="18"/>
              </w:rPr>
              <w:t>0.004L</w:t>
            </w:r>
          </w:p>
        </w:tc>
        <w:tc>
          <w:tcPr>
            <w:tcW w:w="745" w:type="dxa"/>
            <w:vAlign w:val="top"/>
          </w:tcPr>
          <w:p w14:paraId="5967990A">
            <w:pPr>
              <w:pStyle w:val="6"/>
              <w:spacing w:before="84" w:line="229" w:lineRule="auto"/>
              <w:ind w:left="31"/>
              <w:rPr>
                <w:sz w:val="18"/>
                <w:szCs w:val="18"/>
              </w:rPr>
            </w:pPr>
            <w:r>
              <w:rPr>
                <w:spacing w:val="-1"/>
                <w:sz w:val="18"/>
                <w:szCs w:val="18"/>
              </w:rPr>
              <w:t>0.00004L</w:t>
            </w:r>
          </w:p>
        </w:tc>
        <w:tc>
          <w:tcPr>
            <w:tcW w:w="651" w:type="dxa"/>
            <w:vAlign w:val="top"/>
          </w:tcPr>
          <w:p w14:paraId="474727EF">
            <w:pPr>
              <w:pStyle w:val="6"/>
              <w:spacing w:before="84" w:line="229" w:lineRule="auto"/>
              <w:ind w:left="29"/>
              <w:rPr>
                <w:sz w:val="18"/>
                <w:szCs w:val="18"/>
              </w:rPr>
            </w:pPr>
            <w:r>
              <w:rPr>
                <w:spacing w:val="-1"/>
                <w:sz w:val="18"/>
                <w:szCs w:val="18"/>
              </w:rPr>
              <w:t>0.0003L</w:t>
            </w:r>
          </w:p>
        </w:tc>
        <w:tc>
          <w:tcPr>
            <w:tcW w:w="652" w:type="dxa"/>
            <w:vAlign w:val="top"/>
          </w:tcPr>
          <w:p w14:paraId="48384F7A">
            <w:pPr>
              <w:pStyle w:val="6"/>
              <w:spacing w:before="84" w:line="229" w:lineRule="auto"/>
              <w:ind w:left="30"/>
              <w:rPr>
                <w:sz w:val="18"/>
                <w:szCs w:val="18"/>
              </w:rPr>
            </w:pPr>
            <w:r>
              <w:rPr>
                <w:spacing w:val="-1"/>
                <w:sz w:val="18"/>
                <w:szCs w:val="18"/>
              </w:rPr>
              <w:t>0.0004L</w:t>
            </w:r>
          </w:p>
        </w:tc>
        <w:tc>
          <w:tcPr>
            <w:tcW w:w="566" w:type="dxa"/>
            <w:vAlign w:val="top"/>
          </w:tcPr>
          <w:p w14:paraId="50030239">
            <w:pPr>
              <w:pStyle w:val="6"/>
              <w:spacing w:before="84" w:line="229" w:lineRule="auto"/>
              <w:ind w:left="32"/>
              <w:rPr>
                <w:sz w:val="18"/>
                <w:szCs w:val="18"/>
              </w:rPr>
            </w:pPr>
            <w:r>
              <w:rPr>
                <w:spacing w:val="-2"/>
                <w:sz w:val="18"/>
                <w:szCs w:val="18"/>
              </w:rPr>
              <w:t>0.001L</w:t>
            </w:r>
          </w:p>
        </w:tc>
        <w:tc>
          <w:tcPr>
            <w:tcW w:w="582" w:type="dxa"/>
            <w:vAlign w:val="top"/>
          </w:tcPr>
          <w:p w14:paraId="47FF47A8">
            <w:pPr>
              <w:pStyle w:val="6"/>
              <w:spacing w:before="84" w:line="229" w:lineRule="auto"/>
              <w:ind w:left="41"/>
              <w:rPr>
                <w:sz w:val="18"/>
                <w:szCs w:val="18"/>
              </w:rPr>
            </w:pPr>
            <w:r>
              <w:rPr>
                <w:spacing w:val="-2"/>
                <w:sz w:val="18"/>
                <w:szCs w:val="18"/>
              </w:rPr>
              <w:t>0.004L</w:t>
            </w:r>
          </w:p>
        </w:tc>
        <w:tc>
          <w:tcPr>
            <w:tcW w:w="476" w:type="dxa"/>
            <w:vAlign w:val="top"/>
          </w:tcPr>
          <w:p w14:paraId="15C10BEF">
            <w:pPr>
              <w:pStyle w:val="6"/>
              <w:spacing w:before="84" w:line="229" w:lineRule="auto"/>
              <w:ind w:left="34"/>
              <w:rPr>
                <w:sz w:val="18"/>
                <w:szCs w:val="18"/>
              </w:rPr>
            </w:pPr>
            <w:r>
              <w:rPr>
                <w:spacing w:val="-2"/>
                <w:sz w:val="18"/>
                <w:szCs w:val="18"/>
              </w:rPr>
              <w:t>0.01L</w:t>
            </w:r>
          </w:p>
        </w:tc>
        <w:tc>
          <w:tcPr>
            <w:tcW w:w="567" w:type="dxa"/>
            <w:vAlign w:val="top"/>
          </w:tcPr>
          <w:p w14:paraId="3ECD34D1">
            <w:pPr>
              <w:pStyle w:val="6"/>
              <w:spacing w:before="84" w:line="229" w:lineRule="auto"/>
              <w:ind w:left="91"/>
              <w:rPr>
                <w:sz w:val="18"/>
                <w:szCs w:val="18"/>
              </w:rPr>
            </w:pPr>
            <w:r>
              <w:rPr>
                <w:spacing w:val="-2"/>
                <w:sz w:val="18"/>
                <w:szCs w:val="18"/>
              </w:rPr>
              <w:t>0.012</w:t>
            </w:r>
          </w:p>
        </w:tc>
        <w:tc>
          <w:tcPr>
            <w:tcW w:w="765" w:type="dxa"/>
            <w:vAlign w:val="top"/>
          </w:tcPr>
          <w:p w14:paraId="3C785812">
            <w:pPr>
              <w:pStyle w:val="6"/>
              <w:spacing w:before="84" w:line="229" w:lineRule="auto"/>
              <w:ind w:left="345"/>
              <w:rPr>
                <w:sz w:val="18"/>
                <w:szCs w:val="18"/>
              </w:rPr>
            </w:pPr>
            <w:r>
              <w:rPr>
                <w:sz w:val="18"/>
                <w:szCs w:val="18"/>
              </w:rPr>
              <w:t>2</w:t>
            </w:r>
          </w:p>
        </w:tc>
        <w:tc>
          <w:tcPr>
            <w:tcW w:w="424" w:type="dxa"/>
            <w:vAlign w:val="top"/>
          </w:tcPr>
          <w:p w14:paraId="5D0D4674">
            <w:pPr>
              <w:pStyle w:val="6"/>
              <w:spacing w:before="84" w:line="229" w:lineRule="auto"/>
              <w:ind w:left="90"/>
              <w:rPr>
                <w:sz w:val="18"/>
                <w:szCs w:val="18"/>
              </w:rPr>
            </w:pPr>
            <w:r>
              <w:rPr>
                <w:spacing w:val="-2"/>
                <w:sz w:val="18"/>
                <w:szCs w:val="18"/>
              </w:rPr>
              <w:t>345</w:t>
            </w:r>
          </w:p>
        </w:tc>
        <w:tc>
          <w:tcPr>
            <w:tcW w:w="427" w:type="dxa"/>
            <w:vAlign w:val="top"/>
          </w:tcPr>
          <w:p w14:paraId="40AC45F8">
            <w:pPr>
              <w:pStyle w:val="6"/>
              <w:spacing w:before="84" w:line="229" w:lineRule="auto"/>
              <w:ind w:left="68"/>
              <w:rPr>
                <w:sz w:val="18"/>
                <w:szCs w:val="18"/>
              </w:rPr>
            </w:pPr>
            <w:r>
              <w:rPr>
                <w:spacing w:val="-2"/>
                <w:sz w:val="18"/>
                <w:szCs w:val="18"/>
              </w:rPr>
              <w:t>0.48</w:t>
            </w:r>
          </w:p>
        </w:tc>
        <w:tc>
          <w:tcPr>
            <w:tcW w:w="424" w:type="dxa"/>
            <w:vAlign w:val="top"/>
          </w:tcPr>
          <w:p w14:paraId="6036369A">
            <w:pPr>
              <w:pStyle w:val="6"/>
              <w:spacing w:before="84" w:line="229" w:lineRule="auto"/>
              <w:ind w:left="193"/>
              <w:rPr>
                <w:sz w:val="18"/>
                <w:szCs w:val="18"/>
              </w:rPr>
            </w:pPr>
            <w:r>
              <w:rPr>
                <w:sz w:val="18"/>
                <w:szCs w:val="18"/>
              </w:rPr>
              <w:t>/</w:t>
            </w:r>
          </w:p>
        </w:tc>
        <w:tc>
          <w:tcPr>
            <w:tcW w:w="423" w:type="dxa"/>
            <w:vAlign w:val="top"/>
          </w:tcPr>
          <w:p w14:paraId="4A91EFAC">
            <w:pPr>
              <w:pStyle w:val="6"/>
              <w:spacing w:before="84" w:line="229" w:lineRule="auto"/>
              <w:ind w:left="67"/>
              <w:rPr>
                <w:sz w:val="18"/>
                <w:szCs w:val="18"/>
              </w:rPr>
            </w:pPr>
            <w:r>
              <w:rPr>
                <w:spacing w:val="-2"/>
                <w:sz w:val="18"/>
                <w:szCs w:val="18"/>
              </w:rPr>
              <w:t>7.35</w:t>
            </w:r>
          </w:p>
        </w:tc>
        <w:tc>
          <w:tcPr>
            <w:tcW w:w="472" w:type="dxa"/>
            <w:vAlign w:val="top"/>
          </w:tcPr>
          <w:p w14:paraId="64F94B4E">
            <w:pPr>
              <w:pStyle w:val="6"/>
              <w:spacing w:before="84" w:line="229" w:lineRule="auto"/>
              <w:ind w:left="93"/>
              <w:rPr>
                <w:sz w:val="18"/>
                <w:szCs w:val="18"/>
              </w:rPr>
            </w:pPr>
            <w:r>
              <w:rPr>
                <w:spacing w:val="-2"/>
                <w:sz w:val="18"/>
                <w:szCs w:val="18"/>
              </w:rPr>
              <w:t>31.8</w:t>
            </w:r>
          </w:p>
        </w:tc>
        <w:tc>
          <w:tcPr>
            <w:tcW w:w="377" w:type="dxa"/>
            <w:tcBorders>
              <w:right w:val="single" w:color="000000" w:sz="12" w:space="0"/>
            </w:tcBorders>
            <w:vAlign w:val="top"/>
          </w:tcPr>
          <w:p w14:paraId="49EDE57B">
            <w:pPr>
              <w:pStyle w:val="6"/>
              <w:spacing w:before="84" w:line="229" w:lineRule="auto"/>
              <w:ind w:left="32"/>
              <w:rPr>
                <w:sz w:val="18"/>
                <w:szCs w:val="18"/>
              </w:rPr>
            </w:pPr>
            <w:r>
              <w:rPr>
                <w:spacing w:val="-1"/>
                <w:sz w:val="18"/>
                <w:szCs w:val="18"/>
              </w:rPr>
              <w:t>29.4</w:t>
            </w:r>
          </w:p>
        </w:tc>
      </w:tr>
      <w:tr w14:paraId="6827E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2FF95EB7">
            <w:pPr>
              <w:rPr>
                <w:rFonts w:ascii="Arial"/>
                <w:sz w:val="21"/>
              </w:rPr>
            </w:pPr>
          </w:p>
        </w:tc>
        <w:tc>
          <w:tcPr>
            <w:tcW w:w="268" w:type="dxa"/>
            <w:vMerge w:val="continue"/>
            <w:tcBorders>
              <w:top w:val="nil"/>
              <w:bottom w:val="nil"/>
            </w:tcBorders>
            <w:vAlign w:val="top"/>
          </w:tcPr>
          <w:p w14:paraId="43561CC6">
            <w:pPr>
              <w:rPr>
                <w:rFonts w:ascii="Arial"/>
                <w:sz w:val="21"/>
              </w:rPr>
            </w:pPr>
          </w:p>
        </w:tc>
        <w:tc>
          <w:tcPr>
            <w:tcW w:w="1038" w:type="dxa"/>
            <w:vAlign w:val="top"/>
          </w:tcPr>
          <w:p w14:paraId="5587ABCE">
            <w:pPr>
              <w:pStyle w:val="6"/>
              <w:spacing w:before="85" w:line="226" w:lineRule="auto"/>
              <w:ind w:left="94"/>
              <w:rPr>
                <w:sz w:val="18"/>
                <w:szCs w:val="18"/>
              </w:rPr>
            </w:pPr>
            <w:r>
              <w:rPr>
                <w:spacing w:val="-1"/>
                <w:sz w:val="18"/>
                <w:szCs w:val="18"/>
              </w:rPr>
              <w:t>2020/11/16</w:t>
            </w:r>
          </w:p>
        </w:tc>
        <w:tc>
          <w:tcPr>
            <w:tcW w:w="774" w:type="dxa"/>
            <w:vAlign w:val="top"/>
          </w:tcPr>
          <w:p w14:paraId="73A0B28C">
            <w:pPr>
              <w:pStyle w:val="6"/>
              <w:spacing w:before="85" w:line="226" w:lineRule="auto"/>
              <w:ind w:left="219"/>
              <w:rPr>
                <w:sz w:val="18"/>
                <w:szCs w:val="18"/>
              </w:rPr>
            </w:pPr>
            <w:r>
              <w:rPr>
                <w:spacing w:val="-2"/>
                <w:sz w:val="18"/>
                <w:szCs w:val="18"/>
              </w:rPr>
              <w:t>7.21</w:t>
            </w:r>
          </w:p>
        </w:tc>
        <w:tc>
          <w:tcPr>
            <w:tcW w:w="741" w:type="dxa"/>
            <w:vAlign w:val="top"/>
          </w:tcPr>
          <w:p w14:paraId="6E5DBE9A">
            <w:pPr>
              <w:pStyle w:val="6"/>
              <w:spacing w:before="85" w:line="226" w:lineRule="auto"/>
              <w:ind w:left="222"/>
              <w:rPr>
                <w:sz w:val="18"/>
                <w:szCs w:val="18"/>
              </w:rPr>
            </w:pPr>
            <w:r>
              <w:rPr>
                <w:spacing w:val="-1"/>
                <w:sz w:val="18"/>
                <w:szCs w:val="18"/>
              </w:rPr>
              <w:t>242</w:t>
            </w:r>
          </w:p>
        </w:tc>
        <w:tc>
          <w:tcPr>
            <w:tcW w:w="705" w:type="dxa"/>
            <w:vAlign w:val="top"/>
          </w:tcPr>
          <w:p w14:paraId="61890207">
            <w:pPr>
              <w:pStyle w:val="6"/>
              <w:spacing w:before="85" w:line="226" w:lineRule="auto"/>
              <w:ind w:left="209"/>
              <w:rPr>
                <w:sz w:val="18"/>
                <w:szCs w:val="18"/>
              </w:rPr>
            </w:pPr>
            <w:r>
              <w:rPr>
                <w:spacing w:val="-2"/>
                <w:sz w:val="18"/>
                <w:szCs w:val="18"/>
              </w:rPr>
              <w:t>361</w:t>
            </w:r>
          </w:p>
        </w:tc>
        <w:tc>
          <w:tcPr>
            <w:tcW w:w="570" w:type="dxa"/>
            <w:vAlign w:val="top"/>
          </w:tcPr>
          <w:p w14:paraId="464849CC">
            <w:pPr>
              <w:pStyle w:val="6"/>
              <w:spacing w:before="85" w:line="226" w:lineRule="auto"/>
              <w:ind w:left="186"/>
              <w:rPr>
                <w:sz w:val="18"/>
                <w:szCs w:val="18"/>
              </w:rPr>
            </w:pPr>
            <w:r>
              <w:rPr>
                <w:spacing w:val="-2"/>
                <w:sz w:val="18"/>
                <w:szCs w:val="18"/>
              </w:rPr>
              <w:t>65</w:t>
            </w:r>
          </w:p>
        </w:tc>
        <w:tc>
          <w:tcPr>
            <w:tcW w:w="423" w:type="dxa"/>
            <w:vAlign w:val="top"/>
          </w:tcPr>
          <w:p w14:paraId="6A5ADC7D">
            <w:pPr>
              <w:pStyle w:val="6"/>
              <w:spacing w:before="88" w:line="186" w:lineRule="auto"/>
              <w:ind w:left="72"/>
              <w:rPr>
                <w:sz w:val="18"/>
                <w:szCs w:val="18"/>
              </w:rPr>
            </w:pPr>
            <w:r>
              <w:rPr>
                <w:spacing w:val="-5"/>
                <w:sz w:val="18"/>
                <w:szCs w:val="18"/>
              </w:rPr>
              <w:t>10L</w:t>
            </w:r>
          </w:p>
        </w:tc>
        <w:tc>
          <w:tcPr>
            <w:tcW w:w="567" w:type="dxa"/>
            <w:vAlign w:val="top"/>
          </w:tcPr>
          <w:p w14:paraId="17B06531">
            <w:pPr>
              <w:pStyle w:val="6"/>
              <w:spacing w:before="85" w:line="226" w:lineRule="auto"/>
              <w:ind w:left="63"/>
              <w:rPr>
                <w:sz w:val="18"/>
                <w:szCs w:val="18"/>
              </w:rPr>
            </w:pPr>
            <w:r>
              <w:rPr>
                <w:spacing w:val="-2"/>
                <w:sz w:val="18"/>
                <w:szCs w:val="18"/>
              </w:rPr>
              <w:t>0.03L</w:t>
            </w:r>
          </w:p>
        </w:tc>
        <w:tc>
          <w:tcPr>
            <w:tcW w:w="545" w:type="dxa"/>
            <w:vAlign w:val="top"/>
          </w:tcPr>
          <w:p w14:paraId="2B1506E1">
            <w:pPr>
              <w:pStyle w:val="6"/>
              <w:spacing w:before="85" w:line="226" w:lineRule="auto"/>
              <w:ind w:left="53"/>
              <w:rPr>
                <w:sz w:val="18"/>
                <w:szCs w:val="18"/>
              </w:rPr>
            </w:pPr>
            <w:r>
              <w:rPr>
                <w:spacing w:val="-2"/>
                <w:sz w:val="18"/>
                <w:szCs w:val="18"/>
              </w:rPr>
              <w:t>0.02L</w:t>
            </w:r>
          </w:p>
        </w:tc>
        <w:tc>
          <w:tcPr>
            <w:tcW w:w="472" w:type="dxa"/>
            <w:vAlign w:val="top"/>
          </w:tcPr>
          <w:p w14:paraId="11833DB3">
            <w:pPr>
              <w:pStyle w:val="6"/>
              <w:spacing w:before="85" w:line="226" w:lineRule="auto"/>
              <w:ind w:left="73"/>
              <w:rPr>
                <w:sz w:val="18"/>
                <w:szCs w:val="18"/>
              </w:rPr>
            </w:pPr>
            <w:r>
              <w:rPr>
                <w:spacing w:val="-2"/>
                <w:sz w:val="18"/>
                <w:szCs w:val="18"/>
              </w:rPr>
              <w:t>0.01</w:t>
            </w:r>
          </w:p>
        </w:tc>
        <w:tc>
          <w:tcPr>
            <w:tcW w:w="562" w:type="dxa"/>
            <w:vAlign w:val="top"/>
          </w:tcPr>
          <w:p w14:paraId="7E6CCF44">
            <w:pPr>
              <w:pStyle w:val="6"/>
              <w:spacing w:before="85" w:line="226" w:lineRule="auto"/>
              <w:ind w:left="19"/>
              <w:rPr>
                <w:sz w:val="18"/>
                <w:szCs w:val="18"/>
              </w:rPr>
            </w:pPr>
            <w:r>
              <w:rPr>
                <w:spacing w:val="-2"/>
                <w:sz w:val="18"/>
                <w:szCs w:val="18"/>
              </w:rPr>
              <w:t>0.006L</w:t>
            </w:r>
          </w:p>
        </w:tc>
        <w:tc>
          <w:tcPr>
            <w:tcW w:w="651" w:type="dxa"/>
            <w:vAlign w:val="top"/>
          </w:tcPr>
          <w:p w14:paraId="32B088E7">
            <w:pPr>
              <w:pStyle w:val="6"/>
              <w:spacing w:before="85" w:line="226" w:lineRule="auto"/>
              <w:ind w:left="18"/>
              <w:rPr>
                <w:sz w:val="18"/>
                <w:szCs w:val="18"/>
              </w:rPr>
            </w:pPr>
            <w:r>
              <w:rPr>
                <w:spacing w:val="-1"/>
                <w:sz w:val="18"/>
                <w:szCs w:val="18"/>
              </w:rPr>
              <w:t>0.0003L</w:t>
            </w:r>
          </w:p>
        </w:tc>
        <w:tc>
          <w:tcPr>
            <w:tcW w:w="884" w:type="dxa"/>
            <w:vAlign w:val="top"/>
          </w:tcPr>
          <w:p w14:paraId="5100539D">
            <w:pPr>
              <w:pStyle w:val="6"/>
              <w:spacing w:before="85" w:line="226" w:lineRule="auto"/>
              <w:ind w:left="226"/>
              <w:rPr>
                <w:sz w:val="18"/>
                <w:szCs w:val="18"/>
              </w:rPr>
            </w:pPr>
            <w:r>
              <w:rPr>
                <w:spacing w:val="-2"/>
                <w:sz w:val="18"/>
                <w:szCs w:val="18"/>
              </w:rPr>
              <w:t>0.05L</w:t>
            </w:r>
          </w:p>
        </w:tc>
        <w:tc>
          <w:tcPr>
            <w:tcW w:w="709" w:type="dxa"/>
            <w:vAlign w:val="top"/>
          </w:tcPr>
          <w:p w14:paraId="6F332429">
            <w:pPr>
              <w:pStyle w:val="6"/>
              <w:spacing w:before="85" w:line="226" w:lineRule="auto"/>
              <w:ind w:left="194"/>
              <w:rPr>
                <w:sz w:val="18"/>
                <w:szCs w:val="18"/>
              </w:rPr>
            </w:pPr>
            <w:r>
              <w:rPr>
                <w:spacing w:val="-2"/>
                <w:sz w:val="18"/>
                <w:szCs w:val="18"/>
              </w:rPr>
              <w:t>0.02</w:t>
            </w:r>
          </w:p>
        </w:tc>
        <w:tc>
          <w:tcPr>
            <w:tcW w:w="703" w:type="dxa"/>
            <w:vAlign w:val="top"/>
          </w:tcPr>
          <w:p w14:paraId="3389B4A4">
            <w:pPr>
              <w:pStyle w:val="6"/>
              <w:spacing w:before="85" w:line="226" w:lineRule="auto"/>
              <w:ind w:left="193"/>
              <w:rPr>
                <w:sz w:val="18"/>
                <w:szCs w:val="18"/>
              </w:rPr>
            </w:pPr>
            <w:r>
              <w:rPr>
                <w:spacing w:val="-2"/>
                <w:sz w:val="18"/>
                <w:szCs w:val="18"/>
              </w:rPr>
              <w:t>0.62</w:t>
            </w:r>
          </w:p>
        </w:tc>
        <w:tc>
          <w:tcPr>
            <w:tcW w:w="708" w:type="dxa"/>
            <w:vAlign w:val="top"/>
          </w:tcPr>
          <w:p w14:paraId="3FD70509">
            <w:pPr>
              <w:pStyle w:val="6"/>
              <w:spacing w:before="85" w:line="226" w:lineRule="auto"/>
              <w:ind w:left="96"/>
              <w:rPr>
                <w:sz w:val="18"/>
                <w:szCs w:val="18"/>
              </w:rPr>
            </w:pPr>
            <w:r>
              <w:rPr>
                <w:spacing w:val="-2"/>
                <w:sz w:val="18"/>
                <w:szCs w:val="18"/>
              </w:rPr>
              <w:t>0.003L</w:t>
            </w:r>
          </w:p>
        </w:tc>
        <w:tc>
          <w:tcPr>
            <w:tcW w:w="764" w:type="dxa"/>
            <w:vAlign w:val="top"/>
          </w:tcPr>
          <w:p w14:paraId="50A0ED48">
            <w:pPr>
              <w:pStyle w:val="6"/>
              <w:spacing w:before="85" w:line="226" w:lineRule="auto"/>
              <w:ind w:left="181"/>
              <w:rPr>
                <w:sz w:val="18"/>
                <w:szCs w:val="18"/>
              </w:rPr>
            </w:pPr>
            <w:r>
              <w:rPr>
                <w:spacing w:val="-2"/>
                <w:sz w:val="18"/>
                <w:szCs w:val="18"/>
              </w:rPr>
              <w:t>0.416</w:t>
            </w:r>
          </w:p>
        </w:tc>
        <w:tc>
          <w:tcPr>
            <w:tcW w:w="586" w:type="dxa"/>
            <w:vAlign w:val="top"/>
          </w:tcPr>
          <w:p w14:paraId="09064133">
            <w:pPr>
              <w:pStyle w:val="6"/>
              <w:spacing w:before="85" w:line="226" w:lineRule="auto"/>
              <w:ind w:left="139"/>
              <w:rPr>
                <w:sz w:val="18"/>
                <w:szCs w:val="18"/>
              </w:rPr>
            </w:pPr>
            <w:r>
              <w:rPr>
                <w:spacing w:val="-2"/>
                <w:sz w:val="18"/>
                <w:szCs w:val="18"/>
              </w:rPr>
              <w:t>0.11</w:t>
            </w:r>
          </w:p>
        </w:tc>
        <w:tc>
          <w:tcPr>
            <w:tcW w:w="582" w:type="dxa"/>
            <w:vAlign w:val="top"/>
          </w:tcPr>
          <w:p w14:paraId="3995D725">
            <w:pPr>
              <w:pStyle w:val="6"/>
              <w:spacing w:before="85" w:line="226" w:lineRule="auto"/>
              <w:ind w:left="38"/>
              <w:rPr>
                <w:sz w:val="18"/>
                <w:szCs w:val="18"/>
              </w:rPr>
            </w:pPr>
            <w:r>
              <w:rPr>
                <w:spacing w:val="-2"/>
                <w:sz w:val="18"/>
                <w:szCs w:val="18"/>
              </w:rPr>
              <w:t>0.004L</w:t>
            </w:r>
          </w:p>
        </w:tc>
        <w:tc>
          <w:tcPr>
            <w:tcW w:w="745" w:type="dxa"/>
            <w:vAlign w:val="top"/>
          </w:tcPr>
          <w:p w14:paraId="04DEAF67">
            <w:pPr>
              <w:pStyle w:val="6"/>
              <w:spacing w:before="85" w:line="226" w:lineRule="auto"/>
              <w:ind w:left="31"/>
              <w:rPr>
                <w:sz w:val="18"/>
                <w:szCs w:val="18"/>
              </w:rPr>
            </w:pPr>
            <w:r>
              <w:rPr>
                <w:spacing w:val="-1"/>
                <w:sz w:val="18"/>
                <w:szCs w:val="18"/>
              </w:rPr>
              <w:t>0.00004L</w:t>
            </w:r>
          </w:p>
        </w:tc>
        <w:tc>
          <w:tcPr>
            <w:tcW w:w="651" w:type="dxa"/>
            <w:vAlign w:val="top"/>
          </w:tcPr>
          <w:p w14:paraId="49A6B654">
            <w:pPr>
              <w:pStyle w:val="6"/>
              <w:spacing w:before="85" w:line="226" w:lineRule="auto"/>
              <w:ind w:left="29"/>
              <w:rPr>
                <w:sz w:val="18"/>
                <w:szCs w:val="18"/>
              </w:rPr>
            </w:pPr>
            <w:r>
              <w:rPr>
                <w:spacing w:val="-1"/>
                <w:sz w:val="18"/>
                <w:szCs w:val="18"/>
              </w:rPr>
              <w:t>0.0003L</w:t>
            </w:r>
          </w:p>
        </w:tc>
        <w:tc>
          <w:tcPr>
            <w:tcW w:w="652" w:type="dxa"/>
            <w:vAlign w:val="top"/>
          </w:tcPr>
          <w:p w14:paraId="6FF913FD">
            <w:pPr>
              <w:pStyle w:val="6"/>
              <w:spacing w:before="85" w:line="226" w:lineRule="auto"/>
              <w:ind w:left="30"/>
              <w:rPr>
                <w:sz w:val="18"/>
                <w:szCs w:val="18"/>
              </w:rPr>
            </w:pPr>
            <w:r>
              <w:rPr>
                <w:spacing w:val="-1"/>
                <w:sz w:val="18"/>
                <w:szCs w:val="18"/>
              </w:rPr>
              <w:t>0.0004L</w:t>
            </w:r>
          </w:p>
        </w:tc>
        <w:tc>
          <w:tcPr>
            <w:tcW w:w="566" w:type="dxa"/>
            <w:vAlign w:val="top"/>
          </w:tcPr>
          <w:p w14:paraId="1E3770A9">
            <w:pPr>
              <w:pStyle w:val="6"/>
              <w:spacing w:before="85" w:line="226" w:lineRule="auto"/>
              <w:ind w:left="32"/>
              <w:rPr>
                <w:sz w:val="18"/>
                <w:szCs w:val="18"/>
              </w:rPr>
            </w:pPr>
            <w:r>
              <w:rPr>
                <w:spacing w:val="-2"/>
                <w:sz w:val="18"/>
                <w:szCs w:val="18"/>
              </w:rPr>
              <w:t>0.001L</w:t>
            </w:r>
          </w:p>
        </w:tc>
        <w:tc>
          <w:tcPr>
            <w:tcW w:w="582" w:type="dxa"/>
            <w:vAlign w:val="top"/>
          </w:tcPr>
          <w:p w14:paraId="0A686DB3">
            <w:pPr>
              <w:pStyle w:val="6"/>
              <w:spacing w:before="85" w:line="226" w:lineRule="auto"/>
              <w:ind w:left="41"/>
              <w:rPr>
                <w:sz w:val="18"/>
                <w:szCs w:val="18"/>
              </w:rPr>
            </w:pPr>
            <w:r>
              <w:rPr>
                <w:spacing w:val="-2"/>
                <w:sz w:val="18"/>
                <w:szCs w:val="18"/>
              </w:rPr>
              <w:t>0.004L</w:t>
            </w:r>
          </w:p>
        </w:tc>
        <w:tc>
          <w:tcPr>
            <w:tcW w:w="476" w:type="dxa"/>
            <w:vAlign w:val="top"/>
          </w:tcPr>
          <w:p w14:paraId="66E0C10E">
            <w:pPr>
              <w:pStyle w:val="6"/>
              <w:spacing w:before="85" w:line="226" w:lineRule="auto"/>
              <w:ind w:left="34"/>
              <w:rPr>
                <w:sz w:val="18"/>
                <w:szCs w:val="18"/>
              </w:rPr>
            </w:pPr>
            <w:r>
              <w:rPr>
                <w:spacing w:val="-2"/>
                <w:sz w:val="18"/>
                <w:szCs w:val="18"/>
              </w:rPr>
              <w:t>0.01L</w:t>
            </w:r>
          </w:p>
        </w:tc>
        <w:tc>
          <w:tcPr>
            <w:tcW w:w="567" w:type="dxa"/>
            <w:vAlign w:val="top"/>
          </w:tcPr>
          <w:p w14:paraId="0C40214E">
            <w:pPr>
              <w:pStyle w:val="6"/>
              <w:spacing w:before="85" w:line="226" w:lineRule="auto"/>
              <w:ind w:left="91"/>
              <w:rPr>
                <w:sz w:val="18"/>
                <w:szCs w:val="18"/>
              </w:rPr>
            </w:pPr>
            <w:r>
              <w:rPr>
                <w:spacing w:val="-2"/>
                <w:sz w:val="18"/>
                <w:szCs w:val="18"/>
              </w:rPr>
              <w:t>0.014</w:t>
            </w:r>
          </w:p>
        </w:tc>
        <w:tc>
          <w:tcPr>
            <w:tcW w:w="765" w:type="dxa"/>
            <w:vAlign w:val="top"/>
          </w:tcPr>
          <w:p w14:paraId="54D53FF8">
            <w:pPr>
              <w:pStyle w:val="6"/>
              <w:spacing w:before="85" w:line="226" w:lineRule="auto"/>
              <w:ind w:left="345"/>
              <w:rPr>
                <w:sz w:val="18"/>
                <w:szCs w:val="18"/>
              </w:rPr>
            </w:pPr>
            <w:r>
              <w:rPr>
                <w:sz w:val="18"/>
                <w:szCs w:val="18"/>
              </w:rPr>
              <w:t>2</w:t>
            </w:r>
          </w:p>
        </w:tc>
        <w:tc>
          <w:tcPr>
            <w:tcW w:w="424" w:type="dxa"/>
            <w:vAlign w:val="top"/>
          </w:tcPr>
          <w:p w14:paraId="6BD5D907">
            <w:pPr>
              <w:pStyle w:val="6"/>
              <w:spacing w:before="85" w:line="226" w:lineRule="auto"/>
              <w:ind w:left="90"/>
              <w:rPr>
                <w:sz w:val="18"/>
                <w:szCs w:val="18"/>
              </w:rPr>
            </w:pPr>
            <w:r>
              <w:rPr>
                <w:spacing w:val="-2"/>
                <w:sz w:val="18"/>
                <w:szCs w:val="18"/>
              </w:rPr>
              <w:t>351</w:t>
            </w:r>
          </w:p>
        </w:tc>
        <w:tc>
          <w:tcPr>
            <w:tcW w:w="427" w:type="dxa"/>
            <w:vAlign w:val="top"/>
          </w:tcPr>
          <w:p w14:paraId="181C9E6A">
            <w:pPr>
              <w:pStyle w:val="6"/>
              <w:spacing w:before="85" w:line="226" w:lineRule="auto"/>
              <w:ind w:left="68"/>
              <w:rPr>
                <w:sz w:val="18"/>
                <w:szCs w:val="18"/>
              </w:rPr>
            </w:pPr>
            <w:r>
              <w:rPr>
                <w:spacing w:val="-2"/>
                <w:sz w:val="18"/>
                <w:szCs w:val="18"/>
              </w:rPr>
              <w:t>0.46</w:t>
            </w:r>
          </w:p>
        </w:tc>
        <w:tc>
          <w:tcPr>
            <w:tcW w:w="424" w:type="dxa"/>
            <w:vAlign w:val="top"/>
          </w:tcPr>
          <w:p w14:paraId="74B99552">
            <w:pPr>
              <w:pStyle w:val="6"/>
              <w:spacing w:before="85" w:line="226" w:lineRule="auto"/>
              <w:ind w:left="193"/>
              <w:rPr>
                <w:sz w:val="18"/>
                <w:szCs w:val="18"/>
              </w:rPr>
            </w:pPr>
            <w:r>
              <w:rPr>
                <w:sz w:val="18"/>
                <w:szCs w:val="18"/>
              </w:rPr>
              <w:t>/</w:t>
            </w:r>
          </w:p>
        </w:tc>
        <w:tc>
          <w:tcPr>
            <w:tcW w:w="423" w:type="dxa"/>
            <w:vAlign w:val="top"/>
          </w:tcPr>
          <w:p w14:paraId="2A68D591">
            <w:pPr>
              <w:pStyle w:val="6"/>
              <w:spacing w:before="85" w:line="226" w:lineRule="auto"/>
              <w:ind w:left="67"/>
              <w:rPr>
                <w:sz w:val="18"/>
                <w:szCs w:val="18"/>
              </w:rPr>
            </w:pPr>
            <w:r>
              <w:rPr>
                <w:spacing w:val="-2"/>
                <w:sz w:val="18"/>
                <w:szCs w:val="18"/>
              </w:rPr>
              <w:t>7.36</w:t>
            </w:r>
          </w:p>
        </w:tc>
        <w:tc>
          <w:tcPr>
            <w:tcW w:w="472" w:type="dxa"/>
            <w:vAlign w:val="top"/>
          </w:tcPr>
          <w:p w14:paraId="73B7EEB6">
            <w:pPr>
              <w:pStyle w:val="6"/>
              <w:spacing w:before="85" w:line="226" w:lineRule="auto"/>
              <w:ind w:left="93"/>
              <w:rPr>
                <w:sz w:val="18"/>
                <w:szCs w:val="18"/>
              </w:rPr>
            </w:pPr>
            <w:r>
              <w:rPr>
                <w:spacing w:val="-2"/>
                <w:sz w:val="18"/>
                <w:szCs w:val="18"/>
              </w:rPr>
              <w:t>31.6</w:t>
            </w:r>
          </w:p>
        </w:tc>
        <w:tc>
          <w:tcPr>
            <w:tcW w:w="377" w:type="dxa"/>
            <w:tcBorders>
              <w:right w:val="single" w:color="000000" w:sz="12" w:space="0"/>
            </w:tcBorders>
            <w:vAlign w:val="top"/>
          </w:tcPr>
          <w:p w14:paraId="4B6653B5">
            <w:pPr>
              <w:pStyle w:val="6"/>
              <w:spacing w:before="85" w:line="226" w:lineRule="auto"/>
              <w:ind w:left="32"/>
              <w:rPr>
                <w:sz w:val="18"/>
                <w:szCs w:val="18"/>
              </w:rPr>
            </w:pPr>
            <w:r>
              <w:rPr>
                <w:spacing w:val="-1"/>
                <w:sz w:val="18"/>
                <w:szCs w:val="18"/>
              </w:rPr>
              <w:t>29.6</w:t>
            </w:r>
          </w:p>
        </w:tc>
      </w:tr>
      <w:tr w14:paraId="7FD88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tcBorders>
            <w:vAlign w:val="top"/>
          </w:tcPr>
          <w:p w14:paraId="1AC4BDBE">
            <w:pPr>
              <w:rPr>
                <w:rFonts w:ascii="Arial"/>
                <w:sz w:val="21"/>
              </w:rPr>
            </w:pPr>
          </w:p>
        </w:tc>
        <w:tc>
          <w:tcPr>
            <w:tcW w:w="268" w:type="dxa"/>
            <w:vMerge w:val="continue"/>
            <w:tcBorders>
              <w:top w:val="nil"/>
            </w:tcBorders>
            <w:vAlign w:val="top"/>
          </w:tcPr>
          <w:p w14:paraId="46CD89DD">
            <w:pPr>
              <w:rPr>
                <w:rFonts w:ascii="Arial"/>
                <w:sz w:val="21"/>
              </w:rPr>
            </w:pPr>
          </w:p>
        </w:tc>
        <w:tc>
          <w:tcPr>
            <w:tcW w:w="1038" w:type="dxa"/>
            <w:vAlign w:val="top"/>
          </w:tcPr>
          <w:p w14:paraId="0D539C7B">
            <w:pPr>
              <w:pStyle w:val="6"/>
              <w:spacing w:before="86" w:line="227" w:lineRule="auto"/>
              <w:ind w:left="94"/>
              <w:rPr>
                <w:sz w:val="18"/>
                <w:szCs w:val="18"/>
              </w:rPr>
            </w:pPr>
            <w:r>
              <w:rPr>
                <w:spacing w:val="-1"/>
                <w:sz w:val="18"/>
                <w:szCs w:val="18"/>
              </w:rPr>
              <w:t>2020/11/17</w:t>
            </w:r>
          </w:p>
        </w:tc>
        <w:tc>
          <w:tcPr>
            <w:tcW w:w="774" w:type="dxa"/>
            <w:vAlign w:val="top"/>
          </w:tcPr>
          <w:p w14:paraId="72D72255">
            <w:pPr>
              <w:pStyle w:val="6"/>
              <w:spacing w:before="86" w:line="227" w:lineRule="auto"/>
              <w:ind w:left="219"/>
              <w:rPr>
                <w:sz w:val="18"/>
                <w:szCs w:val="18"/>
              </w:rPr>
            </w:pPr>
            <w:r>
              <w:rPr>
                <w:spacing w:val="-2"/>
                <w:sz w:val="18"/>
                <w:szCs w:val="18"/>
              </w:rPr>
              <w:t>7.23</w:t>
            </w:r>
          </w:p>
        </w:tc>
        <w:tc>
          <w:tcPr>
            <w:tcW w:w="741" w:type="dxa"/>
            <w:vAlign w:val="top"/>
          </w:tcPr>
          <w:p w14:paraId="0408BCC8">
            <w:pPr>
              <w:pStyle w:val="6"/>
              <w:spacing w:before="86" w:line="227" w:lineRule="auto"/>
              <w:ind w:left="222"/>
              <w:rPr>
                <w:sz w:val="18"/>
                <w:szCs w:val="18"/>
              </w:rPr>
            </w:pPr>
            <w:r>
              <w:rPr>
                <w:spacing w:val="-1"/>
                <w:sz w:val="18"/>
                <w:szCs w:val="18"/>
              </w:rPr>
              <w:t>250</w:t>
            </w:r>
          </w:p>
        </w:tc>
        <w:tc>
          <w:tcPr>
            <w:tcW w:w="705" w:type="dxa"/>
            <w:vAlign w:val="top"/>
          </w:tcPr>
          <w:p w14:paraId="6EF63AF4">
            <w:pPr>
              <w:pStyle w:val="6"/>
              <w:spacing w:before="86" w:line="227" w:lineRule="auto"/>
              <w:ind w:left="209"/>
              <w:rPr>
                <w:sz w:val="18"/>
                <w:szCs w:val="18"/>
              </w:rPr>
            </w:pPr>
            <w:r>
              <w:rPr>
                <w:spacing w:val="-2"/>
                <w:sz w:val="18"/>
                <w:szCs w:val="18"/>
              </w:rPr>
              <w:t>353</w:t>
            </w:r>
          </w:p>
        </w:tc>
        <w:tc>
          <w:tcPr>
            <w:tcW w:w="570" w:type="dxa"/>
            <w:vAlign w:val="top"/>
          </w:tcPr>
          <w:p w14:paraId="5520D39C">
            <w:pPr>
              <w:pStyle w:val="6"/>
              <w:spacing w:before="86" w:line="227" w:lineRule="auto"/>
              <w:ind w:left="187"/>
              <w:rPr>
                <w:sz w:val="18"/>
                <w:szCs w:val="18"/>
              </w:rPr>
            </w:pPr>
            <w:r>
              <w:rPr>
                <w:spacing w:val="-3"/>
                <w:sz w:val="18"/>
                <w:szCs w:val="18"/>
              </w:rPr>
              <w:t>59</w:t>
            </w:r>
          </w:p>
        </w:tc>
        <w:tc>
          <w:tcPr>
            <w:tcW w:w="423" w:type="dxa"/>
            <w:vAlign w:val="top"/>
          </w:tcPr>
          <w:p w14:paraId="5C9BB695">
            <w:pPr>
              <w:pStyle w:val="6"/>
              <w:spacing w:before="89" w:line="186" w:lineRule="auto"/>
              <w:ind w:left="72"/>
              <w:rPr>
                <w:sz w:val="18"/>
                <w:szCs w:val="18"/>
              </w:rPr>
            </w:pPr>
            <w:r>
              <w:rPr>
                <w:spacing w:val="-5"/>
                <w:sz w:val="18"/>
                <w:szCs w:val="18"/>
              </w:rPr>
              <w:t>10L</w:t>
            </w:r>
          </w:p>
        </w:tc>
        <w:tc>
          <w:tcPr>
            <w:tcW w:w="567" w:type="dxa"/>
            <w:vAlign w:val="top"/>
          </w:tcPr>
          <w:p w14:paraId="49368E88">
            <w:pPr>
              <w:pStyle w:val="6"/>
              <w:spacing w:before="86" w:line="227" w:lineRule="auto"/>
              <w:ind w:left="63"/>
              <w:rPr>
                <w:sz w:val="18"/>
                <w:szCs w:val="18"/>
              </w:rPr>
            </w:pPr>
            <w:r>
              <w:rPr>
                <w:spacing w:val="-2"/>
                <w:sz w:val="18"/>
                <w:szCs w:val="18"/>
              </w:rPr>
              <w:t>0.03L</w:t>
            </w:r>
          </w:p>
        </w:tc>
        <w:tc>
          <w:tcPr>
            <w:tcW w:w="545" w:type="dxa"/>
            <w:vAlign w:val="top"/>
          </w:tcPr>
          <w:p w14:paraId="6D61697B">
            <w:pPr>
              <w:pStyle w:val="6"/>
              <w:spacing w:before="86" w:line="227" w:lineRule="auto"/>
              <w:ind w:left="53"/>
              <w:rPr>
                <w:sz w:val="18"/>
                <w:szCs w:val="18"/>
              </w:rPr>
            </w:pPr>
            <w:r>
              <w:rPr>
                <w:spacing w:val="-2"/>
                <w:sz w:val="18"/>
                <w:szCs w:val="18"/>
              </w:rPr>
              <w:t>0.02L</w:t>
            </w:r>
          </w:p>
        </w:tc>
        <w:tc>
          <w:tcPr>
            <w:tcW w:w="472" w:type="dxa"/>
            <w:vAlign w:val="top"/>
          </w:tcPr>
          <w:p w14:paraId="657B1ABE">
            <w:pPr>
              <w:pStyle w:val="6"/>
              <w:spacing w:before="86" w:line="227" w:lineRule="auto"/>
              <w:ind w:left="73"/>
              <w:rPr>
                <w:sz w:val="18"/>
                <w:szCs w:val="18"/>
              </w:rPr>
            </w:pPr>
            <w:r>
              <w:rPr>
                <w:spacing w:val="-2"/>
                <w:sz w:val="18"/>
                <w:szCs w:val="18"/>
              </w:rPr>
              <w:t>0.01</w:t>
            </w:r>
          </w:p>
        </w:tc>
        <w:tc>
          <w:tcPr>
            <w:tcW w:w="562" w:type="dxa"/>
            <w:vAlign w:val="top"/>
          </w:tcPr>
          <w:p w14:paraId="7D420841">
            <w:pPr>
              <w:pStyle w:val="6"/>
              <w:spacing w:before="86" w:line="227" w:lineRule="auto"/>
              <w:ind w:left="19"/>
              <w:rPr>
                <w:sz w:val="18"/>
                <w:szCs w:val="18"/>
              </w:rPr>
            </w:pPr>
            <w:r>
              <w:rPr>
                <w:spacing w:val="-2"/>
                <w:sz w:val="18"/>
                <w:szCs w:val="18"/>
              </w:rPr>
              <w:t>0.006L</w:t>
            </w:r>
          </w:p>
        </w:tc>
        <w:tc>
          <w:tcPr>
            <w:tcW w:w="651" w:type="dxa"/>
            <w:vAlign w:val="top"/>
          </w:tcPr>
          <w:p w14:paraId="47D9B4A4">
            <w:pPr>
              <w:pStyle w:val="6"/>
              <w:spacing w:before="86" w:line="227" w:lineRule="auto"/>
              <w:ind w:left="18"/>
              <w:rPr>
                <w:sz w:val="18"/>
                <w:szCs w:val="18"/>
              </w:rPr>
            </w:pPr>
            <w:r>
              <w:rPr>
                <w:spacing w:val="-1"/>
                <w:sz w:val="18"/>
                <w:szCs w:val="18"/>
              </w:rPr>
              <w:t>0.0003L</w:t>
            </w:r>
          </w:p>
        </w:tc>
        <w:tc>
          <w:tcPr>
            <w:tcW w:w="884" w:type="dxa"/>
            <w:vAlign w:val="top"/>
          </w:tcPr>
          <w:p w14:paraId="1327C5C9">
            <w:pPr>
              <w:pStyle w:val="6"/>
              <w:spacing w:before="86" w:line="227" w:lineRule="auto"/>
              <w:ind w:left="226"/>
              <w:rPr>
                <w:sz w:val="18"/>
                <w:szCs w:val="18"/>
              </w:rPr>
            </w:pPr>
            <w:r>
              <w:rPr>
                <w:spacing w:val="-2"/>
                <w:sz w:val="18"/>
                <w:szCs w:val="18"/>
              </w:rPr>
              <w:t>0.05L</w:t>
            </w:r>
          </w:p>
        </w:tc>
        <w:tc>
          <w:tcPr>
            <w:tcW w:w="709" w:type="dxa"/>
            <w:vAlign w:val="top"/>
          </w:tcPr>
          <w:p w14:paraId="3B2700A5">
            <w:pPr>
              <w:pStyle w:val="6"/>
              <w:spacing w:before="86" w:line="227" w:lineRule="auto"/>
              <w:ind w:left="194"/>
              <w:rPr>
                <w:sz w:val="18"/>
                <w:szCs w:val="18"/>
              </w:rPr>
            </w:pPr>
            <w:r>
              <w:rPr>
                <w:spacing w:val="-2"/>
                <w:sz w:val="18"/>
                <w:szCs w:val="18"/>
              </w:rPr>
              <w:t>0.01</w:t>
            </w:r>
          </w:p>
        </w:tc>
        <w:tc>
          <w:tcPr>
            <w:tcW w:w="703" w:type="dxa"/>
            <w:vAlign w:val="top"/>
          </w:tcPr>
          <w:p w14:paraId="5685336F">
            <w:pPr>
              <w:pStyle w:val="6"/>
              <w:spacing w:before="86" w:line="227" w:lineRule="auto"/>
              <w:ind w:left="193"/>
              <w:rPr>
                <w:sz w:val="18"/>
                <w:szCs w:val="18"/>
              </w:rPr>
            </w:pPr>
            <w:r>
              <w:rPr>
                <w:spacing w:val="-2"/>
                <w:sz w:val="18"/>
                <w:szCs w:val="18"/>
              </w:rPr>
              <w:t>0.67</w:t>
            </w:r>
          </w:p>
        </w:tc>
        <w:tc>
          <w:tcPr>
            <w:tcW w:w="708" w:type="dxa"/>
            <w:vAlign w:val="top"/>
          </w:tcPr>
          <w:p w14:paraId="57C38F8D">
            <w:pPr>
              <w:pStyle w:val="6"/>
              <w:spacing w:before="86" w:line="227" w:lineRule="auto"/>
              <w:ind w:left="96"/>
              <w:rPr>
                <w:sz w:val="18"/>
                <w:szCs w:val="18"/>
              </w:rPr>
            </w:pPr>
            <w:r>
              <w:rPr>
                <w:spacing w:val="-2"/>
                <w:sz w:val="18"/>
                <w:szCs w:val="18"/>
              </w:rPr>
              <w:t>0.003L</w:t>
            </w:r>
          </w:p>
        </w:tc>
        <w:tc>
          <w:tcPr>
            <w:tcW w:w="764" w:type="dxa"/>
            <w:vAlign w:val="top"/>
          </w:tcPr>
          <w:p w14:paraId="1DD17693">
            <w:pPr>
              <w:pStyle w:val="6"/>
              <w:spacing w:before="86" w:line="227" w:lineRule="auto"/>
              <w:ind w:left="181"/>
              <w:rPr>
                <w:sz w:val="18"/>
                <w:szCs w:val="18"/>
              </w:rPr>
            </w:pPr>
            <w:r>
              <w:rPr>
                <w:spacing w:val="-2"/>
                <w:sz w:val="18"/>
                <w:szCs w:val="18"/>
              </w:rPr>
              <w:t>0.411</w:t>
            </w:r>
          </w:p>
        </w:tc>
        <w:tc>
          <w:tcPr>
            <w:tcW w:w="586" w:type="dxa"/>
            <w:vAlign w:val="top"/>
          </w:tcPr>
          <w:p w14:paraId="0444AF39">
            <w:pPr>
              <w:pStyle w:val="6"/>
              <w:spacing w:before="86" w:line="227" w:lineRule="auto"/>
              <w:ind w:left="139"/>
              <w:rPr>
                <w:sz w:val="18"/>
                <w:szCs w:val="18"/>
              </w:rPr>
            </w:pPr>
            <w:r>
              <w:rPr>
                <w:spacing w:val="-2"/>
                <w:sz w:val="18"/>
                <w:szCs w:val="18"/>
              </w:rPr>
              <w:t>0.08</w:t>
            </w:r>
          </w:p>
        </w:tc>
        <w:tc>
          <w:tcPr>
            <w:tcW w:w="582" w:type="dxa"/>
            <w:vAlign w:val="top"/>
          </w:tcPr>
          <w:p w14:paraId="76D4720C">
            <w:pPr>
              <w:pStyle w:val="6"/>
              <w:spacing w:before="86" w:line="227" w:lineRule="auto"/>
              <w:ind w:left="38"/>
              <w:rPr>
                <w:sz w:val="18"/>
                <w:szCs w:val="18"/>
              </w:rPr>
            </w:pPr>
            <w:r>
              <w:rPr>
                <w:spacing w:val="-2"/>
                <w:sz w:val="18"/>
                <w:szCs w:val="18"/>
              </w:rPr>
              <w:t>0.004L</w:t>
            </w:r>
          </w:p>
        </w:tc>
        <w:tc>
          <w:tcPr>
            <w:tcW w:w="745" w:type="dxa"/>
            <w:vAlign w:val="top"/>
          </w:tcPr>
          <w:p w14:paraId="63229D79">
            <w:pPr>
              <w:pStyle w:val="6"/>
              <w:spacing w:before="86" w:line="227" w:lineRule="auto"/>
              <w:ind w:left="31"/>
              <w:rPr>
                <w:sz w:val="18"/>
                <w:szCs w:val="18"/>
              </w:rPr>
            </w:pPr>
            <w:r>
              <w:rPr>
                <w:spacing w:val="-1"/>
                <w:sz w:val="18"/>
                <w:szCs w:val="18"/>
              </w:rPr>
              <w:t>0.00004L</w:t>
            </w:r>
          </w:p>
        </w:tc>
        <w:tc>
          <w:tcPr>
            <w:tcW w:w="651" w:type="dxa"/>
            <w:vAlign w:val="top"/>
          </w:tcPr>
          <w:p w14:paraId="3F1F6FCA">
            <w:pPr>
              <w:pStyle w:val="6"/>
              <w:spacing w:before="86" w:line="227" w:lineRule="auto"/>
              <w:ind w:left="29"/>
              <w:rPr>
                <w:sz w:val="18"/>
                <w:szCs w:val="18"/>
              </w:rPr>
            </w:pPr>
            <w:r>
              <w:rPr>
                <w:spacing w:val="-1"/>
                <w:sz w:val="18"/>
                <w:szCs w:val="18"/>
              </w:rPr>
              <w:t>0.0003L</w:t>
            </w:r>
          </w:p>
        </w:tc>
        <w:tc>
          <w:tcPr>
            <w:tcW w:w="652" w:type="dxa"/>
            <w:vAlign w:val="top"/>
          </w:tcPr>
          <w:p w14:paraId="276620B8">
            <w:pPr>
              <w:pStyle w:val="6"/>
              <w:spacing w:before="86" w:line="227" w:lineRule="auto"/>
              <w:ind w:left="30"/>
              <w:rPr>
                <w:sz w:val="18"/>
                <w:szCs w:val="18"/>
              </w:rPr>
            </w:pPr>
            <w:r>
              <w:rPr>
                <w:spacing w:val="-1"/>
                <w:sz w:val="18"/>
                <w:szCs w:val="18"/>
              </w:rPr>
              <w:t>0.0004L</w:t>
            </w:r>
          </w:p>
        </w:tc>
        <w:tc>
          <w:tcPr>
            <w:tcW w:w="566" w:type="dxa"/>
            <w:vAlign w:val="top"/>
          </w:tcPr>
          <w:p w14:paraId="5DA56C92">
            <w:pPr>
              <w:pStyle w:val="6"/>
              <w:spacing w:before="86" w:line="227" w:lineRule="auto"/>
              <w:ind w:left="32"/>
              <w:rPr>
                <w:sz w:val="18"/>
                <w:szCs w:val="18"/>
              </w:rPr>
            </w:pPr>
            <w:r>
              <w:rPr>
                <w:spacing w:val="-2"/>
                <w:sz w:val="18"/>
                <w:szCs w:val="18"/>
              </w:rPr>
              <w:t>0.001L</w:t>
            </w:r>
          </w:p>
        </w:tc>
        <w:tc>
          <w:tcPr>
            <w:tcW w:w="582" w:type="dxa"/>
            <w:vAlign w:val="top"/>
          </w:tcPr>
          <w:p w14:paraId="2F071294">
            <w:pPr>
              <w:pStyle w:val="6"/>
              <w:spacing w:before="86" w:line="227" w:lineRule="auto"/>
              <w:ind w:left="41"/>
              <w:rPr>
                <w:sz w:val="18"/>
                <w:szCs w:val="18"/>
              </w:rPr>
            </w:pPr>
            <w:r>
              <w:rPr>
                <w:spacing w:val="-2"/>
                <w:sz w:val="18"/>
                <w:szCs w:val="18"/>
              </w:rPr>
              <w:t>0.004L</w:t>
            </w:r>
          </w:p>
        </w:tc>
        <w:tc>
          <w:tcPr>
            <w:tcW w:w="476" w:type="dxa"/>
            <w:vAlign w:val="top"/>
          </w:tcPr>
          <w:p w14:paraId="6C3C3DA6">
            <w:pPr>
              <w:pStyle w:val="6"/>
              <w:spacing w:before="86" w:line="227" w:lineRule="auto"/>
              <w:ind w:left="34"/>
              <w:rPr>
                <w:sz w:val="18"/>
                <w:szCs w:val="18"/>
              </w:rPr>
            </w:pPr>
            <w:r>
              <w:rPr>
                <w:spacing w:val="-2"/>
                <w:sz w:val="18"/>
                <w:szCs w:val="18"/>
              </w:rPr>
              <w:t>0.01L</w:t>
            </w:r>
          </w:p>
        </w:tc>
        <w:tc>
          <w:tcPr>
            <w:tcW w:w="567" w:type="dxa"/>
            <w:vAlign w:val="top"/>
          </w:tcPr>
          <w:p w14:paraId="2EAC42EE">
            <w:pPr>
              <w:pStyle w:val="6"/>
              <w:spacing w:before="86" w:line="227" w:lineRule="auto"/>
              <w:ind w:left="91"/>
              <w:rPr>
                <w:sz w:val="18"/>
                <w:szCs w:val="18"/>
              </w:rPr>
            </w:pPr>
            <w:r>
              <w:rPr>
                <w:spacing w:val="-2"/>
                <w:sz w:val="18"/>
                <w:szCs w:val="18"/>
              </w:rPr>
              <w:t>0.016</w:t>
            </w:r>
          </w:p>
        </w:tc>
        <w:tc>
          <w:tcPr>
            <w:tcW w:w="765" w:type="dxa"/>
            <w:vAlign w:val="top"/>
          </w:tcPr>
          <w:p w14:paraId="7B2EFC63">
            <w:pPr>
              <w:pStyle w:val="6"/>
              <w:spacing w:before="86" w:line="227" w:lineRule="auto"/>
              <w:ind w:left="345"/>
              <w:rPr>
                <w:sz w:val="18"/>
                <w:szCs w:val="18"/>
              </w:rPr>
            </w:pPr>
            <w:r>
              <w:rPr>
                <w:sz w:val="18"/>
                <w:szCs w:val="18"/>
              </w:rPr>
              <w:t>2</w:t>
            </w:r>
          </w:p>
        </w:tc>
        <w:tc>
          <w:tcPr>
            <w:tcW w:w="424" w:type="dxa"/>
            <w:vAlign w:val="top"/>
          </w:tcPr>
          <w:p w14:paraId="7E1A6015">
            <w:pPr>
              <w:pStyle w:val="6"/>
              <w:spacing w:before="86" w:line="227" w:lineRule="auto"/>
              <w:ind w:left="90"/>
              <w:rPr>
                <w:sz w:val="18"/>
                <w:szCs w:val="18"/>
              </w:rPr>
            </w:pPr>
            <w:r>
              <w:rPr>
                <w:spacing w:val="-2"/>
                <w:sz w:val="18"/>
                <w:szCs w:val="18"/>
              </w:rPr>
              <w:t>360</w:t>
            </w:r>
          </w:p>
        </w:tc>
        <w:tc>
          <w:tcPr>
            <w:tcW w:w="427" w:type="dxa"/>
            <w:vAlign w:val="top"/>
          </w:tcPr>
          <w:p w14:paraId="09A5BA39">
            <w:pPr>
              <w:pStyle w:val="6"/>
              <w:spacing w:before="86" w:line="227" w:lineRule="auto"/>
              <w:ind w:left="68"/>
              <w:rPr>
                <w:sz w:val="18"/>
                <w:szCs w:val="18"/>
              </w:rPr>
            </w:pPr>
            <w:r>
              <w:rPr>
                <w:spacing w:val="-2"/>
                <w:sz w:val="18"/>
                <w:szCs w:val="18"/>
              </w:rPr>
              <w:t>0.50</w:t>
            </w:r>
          </w:p>
        </w:tc>
        <w:tc>
          <w:tcPr>
            <w:tcW w:w="424" w:type="dxa"/>
            <w:vAlign w:val="top"/>
          </w:tcPr>
          <w:p w14:paraId="2EB326B5">
            <w:pPr>
              <w:pStyle w:val="6"/>
              <w:spacing w:before="86" w:line="227" w:lineRule="auto"/>
              <w:ind w:left="193"/>
              <w:rPr>
                <w:sz w:val="18"/>
                <w:szCs w:val="18"/>
              </w:rPr>
            </w:pPr>
            <w:r>
              <w:rPr>
                <w:sz w:val="18"/>
                <w:szCs w:val="18"/>
              </w:rPr>
              <w:t>/</w:t>
            </w:r>
          </w:p>
        </w:tc>
        <w:tc>
          <w:tcPr>
            <w:tcW w:w="423" w:type="dxa"/>
            <w:vAlign w:val="top"/>
          </w:tcPr>
          <w:p w14:paraId="0D8D650C">
            <w:pPr>
              <w:pStyle w:val="6"/>
              <w:spacing w:before="86" w:line="227" w:lineRule="auto"/>
              <w:ind w:left="67"/>
              <w:rPr>
                <w:sz w:val="18"/>
                <w:szCs w:val="18"/>
              </w:rPr>
            </w:pPr>
            <w:r>
              <w:rPr>
                <w:spacing w:val="-2"/>
                <w:sz w:val="18"/>
                <w:szCs w:val="18"/>
              </w:rPr>
              <w:t>7.31</w:t>
            </w:r>
          </w:p>
        </w:tc>
        <w:tc>
          <w:tcPr>
            <w:tcW w:w="472" w:type="dxa"/>
            <w:vAlign w:val="top"/>
          </w:tcPr>
          <w:p w14:paraId="0FA249F6">
            <w:pPr>
              <w:pStyle w:val="6"/>
              <w:spacing w:before="86" w:line="227" w:lineRule="auto"/>
              <w:ind w:left="93"/>
              <w:rPr>
                <w:sz w:val="18"/>
                <w:szCs w:val="18"/>
              </w:rPr>
            </w:pPr>
            <w:r>
              <w:rPr>
                <w:spacing w:val="-2"/>
                <w:sz w:val="18"/>
                <w:szCs w:val="18"/>
              </w:rPr>
              <w:t>32.6</w:t>
            </w:r>
          </w:p>
        </w:tc>
        <w:tc>
          <w:tcPr>
            <w:tcW w:w="377" w:type="dxa"/>
            <w:tcBorders>
              <w:right w:val="single" w:color="000000" w:sz="12" w:space="0"/>
            </w:tcBorders>
            <w:vAlign w:val="top"/>
          </w:tcPr>
          <w:p w14:paraId="1E398005">
            <w:pPr>
              <w:pStyle w:val="6"/>
              <w:spacing w:before="86" w:line="227" w:lineRule="auto"/>
              <w:ind w:left="32"/>
              <w:rPr>
                <w:sz w:val="18"/>
                <w:szCs w:val="18"/>
              </w:rPr>
            </w:pPr>
            <w:r>
              <w:rPr>
                <w:spacing w:val="-1"/>
                <w:sz w:val="18"/>
                <w:szCs w:val="18"/>
              </w:rPr>
              <w:t>29.6</w:t>
            </w:r>
          </w:p>
        </w:tc>
      </w:tr>
      <w:tr w14:paraId="78F79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80" w:type="dxa"/>
            <w:vMerge w:val="restart"/>
            <w:tcBorders>
              <w:left w:val="single" w:color="000000" w:sz="12" w:space="0"/>
              <w:bottom w:val="nil"/>
            </w:tcBorders>
            <w:vAlign w:val="top"/>
          </w:tcPr>
          <w:p w14:paraId="03A2DC4C">
            <w:pPr>
              <w:spacing w:line="255" w:lineRule="auto"/>
              <w:rPr>
                <w:rFonts w:ascii="Arial"/>
                <w:sz w:val="21"/>
              </w:rPr>
            </w:pPr>
          </w:p>
          <w:p w14:paraId="3E20C588">
            <w:pPr>
              <w:spacing w:line="255" w:lineRule="auto"/>
              <w:rPr>
                <w:rFonts w:ascii="Arial"/>
                <w:sz w:val="21"/>
              </w:rPr>
            </w:pPr>
          </w:p>
          <w:p w14:paraId="2F9FC16A">
            <w:pPr>
              <w:spacing w:line="256" w:lineRule="auto"/>
              <w:rPr>
                <w:rFonts w:ascii="Arial"/>
                <w:sz w:val="21"/>
              </w:rPr>
            </w:pPr>
          </w:p>
          <w:p w14:paraId="1117023B">
            <w:pPr>
              <w:spacing w:line="256" w:lineRule="auto"/>
              <w:rPr>
                <w:rFonts w:ascii="Arial"/>
                <w:sz w:val="21"/>
              </w:rPr>
            </w:pPr>
          </w:p>
          <w:p w14:paraId="2DA198BD">
            <w:pPr>
              <w:spacing w:line="256" w:lineRule="auto"/>
              <w:rPr>
                <w:rFonts w:ascii="Arial"/>
                <w:sz w:val="21"/>
              </w:rPr>
            </w:pPr>
          </w:p>
          <w:p w14:paraId="0A5C6335">
            <w:pPr>
              <w:spacing w:line="256" w:lineRule="auto"/>
              <w:rPr>
                <w:rFonts w:ascii="Arial"/>
                <w:sz w:val="21"/>
              </w:rPr>
            </w:pPr>
          </w:p>
          <w:p w14:paraId="68B804D8">
            <w:pPr>
              <w:spacing w:before="61" w:line="245" w:lineRule="auto"/>
              <w:ind w:left="186" w:right="18" w:hanging="174"/>
              <w:rPr>
                <w:rFonts w:ascii="等线" w:hAnsi="等线" w:eastAsia="等线" w:cs="等线"/>
                <w:sz w:val="18"/>
                <w:szCs w:val="18"/>
              </w:rPr>
            </w:pPr>
            <w:r>
              <w:rPr>
                <w:rFonts w:ascii="等线" w:hAnsi="等线" w:eastAsia="等线" w:cs="等线"/>
                <w:spacing w:val="-4"/>
                <w:sz w:val="18"/>
                <w:szCs w:val="18"/>
              </w:rPr>
              <w:t>黄土坡</w:t>
            </w:r>
            <w:r>
              <w:rPr>
                <w:rFonts w:ascii="等线" w:hAnsi="等线" w:eastAsia="等线" w:cs="等线"/>
                <w:sz w:val="18"/>
                <w:szCs w:val="18"/>
              </w:rPr>
              <w:t>村</w:t>
            </w:r>
          </w:p>
        </w:tc>
        <w:tc>
          <w:tcPr>
            <w:tcW w:w="268" w:type="dxa"/>
            <w:vMerge w:val="restart"/>
            <w:tcBorders>
              <w:bottom w:val="nil"/>
            </w:tcBorders>
            <w:vAlign w:val="top"/>
          </w:tcPr>
          <w:p w14:paraId="6E3BDC2B">
            <w:pPr>
              <w:pStyle w:val="6"/>
              <w:spacing w:before="153" w:line="227" w:lineRule="auto"/>
              <w:ind w:left="90"/>
              <w:rPr>
                <w:sz w:val="18"/>
                <w:szCs w:val="18"/>
              </w:rPr>
            </w:pPr>
            <w:r>
              <w:rPr>
                <w:sz w:val="18"/>
                <w:szCs w:val="18"/>
              </w:rPr>
              <w:t>1</w:t>
            </w:r>
          </w:p>
          <w:p w14:paraId="7B27B01F">
            <w:pPr>
              <w:spacing w:line="226" w:lineRule="auto"/>
              <w:ind w:left="31"/>
              <w:rPr>
                <w:rFonts w:ascii="等线" w:hAnsi="等线" w:eastAsia="等线" w:cs="等线"/>
                <w:sz w:val="18"/>
                <w:szCs w:val="18"/>
              </w:rPr>
            </w:pPr>
            <w:r>
              <w:rPr>
                <w:rFonts w:ascii="等线" w:hAnsi="等线" w:eastAsia="等线" w:cs="等线"/>
                <w:sz w:val="18"/>
                <w:szCs w:val="18"/>
              </w:rPr>
              <w:t>季</w:t>
            </w:r>
          </w:p>
          <w:p w14:paraId="78A39B61">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78E00B78">
            <w:pPr>
              <w:pStyle w:val="6"/>
              <w:spacing w:before="89" w:line="228" w:lineRule="auto"/>
              <w:ind w:left="138"/>
              <w:rPr>
                <w:sz w:val="18"/>
                <w:szCs w:val="18"/>
              </w:rPr>
            </w:pPr>
            <w:r>
              <w:rPr>
                <w:spacing w:val="-1"/>
                <w:sz w:val="18"/>
                <w:szCs w:val="18"/>
              </w:rPr>
              <w:t>2020/3/10</w:t>
            </w:r>
          </w:p>
        </w:tc>
        <w:tc>
          <w:tcPr>
            <w:tcW w:w="774" w:type="dxa"/>
            <w:vAlign w:val="top"/>
          </w:tcPr>
          <w:p w14:paraId="376C8670">
            <w:pPr>
              <w:pStyle w:val="6"/>
              <w:spacing w:before="89" w:line="228" w:lineRule="auto"/>
              <w:ind w:left="220"/>
              <w:rPr>
                <w:sz w:val="18"/>
                <w:szCs w:val="18"/>
              </w:rPr>
            </w:pPr>
            <w:r>
              <w:rPr>
                <w:spacing w:val="-2"/>
                <w:sz w:val="18"/>
                <w:szCs w:val="18"/>
              </w:rPr>
              <w:t>6.90</w:t>
            </w:r>
          </w:p>
        </w:tc>
        <w:tc>
          <w:tcPr>
            <w:tcW w:w="741" w:type="dxa"/>
            <w:vAlign w:val="top"/>
          </w:tcPr>
          <w:p w14:paraId="207C7B35">
            <w:pPr>
              <w:pStyle w:val="6"/>
              <w:spacing w:before="89" w:line="228" w:lineRule="auto"/>
              <w:ind w:left="222"/>
              <w:rPr>
                <w:sz w:val="18"/>
                <w:szCs w:val="18"/>
              </w:rPr>
            </w:pPr>
            <w:r>
              <w:rPr>
                <w:spacing w:val="-1"/>
                <w:sz w:val="18"/>
                <w:szCs w:val="18"/>
              </w:rPr>
              <w:t>216</w:t>
            </w:r>
          </w:p>
        </w:tc>
        <w:tc>
          <w:tcPr>
            <w:tcW w:w="705" w:type="dxa"/>
            <w:vAlign w:val="top"/>
          </w:tcPr>
          <w:p w14:paraId="20F262E5">
            <w:pPr>
              <w:pStyle w:val="6"/>
              <w:spacing w:before="89" w:line="228" w:lineRule="auto"/>
              <w:ind w:left="209"/>
              <w:rPr>
                <w:sz w:val="18"/>
                <w:szCs w:val="18"/>
              </w:rPr>
            </w:pPr>
            <w:r>
              <w:rPr>
                <w:spacing w:val="-2"/>
                <w:sz w:val="18"/>
                <w:szCs w:val="18"/>
              </w:rPr>
              <w:t>328</w:t>
            </w:r>
          </w:p>
        </w:tc>
        <w:tc>
          <w:tcPr>
            <w:tcW w:w="570" w:type="dxa"/>
            <w:vAlign w:val="top"/>
          </w:tcPr>
          <w:p w14:paraId="29751504">
            <w:pPr>
              <w:pStyle w:val="6"/>
              <w:spacing w:before="89" w:line="228" w:lineRule="auto"/>
              <w:ind w:left="185"/>
              <w:rPr>
                <w:sz w:val="18"/>
                <w:szCs w:val="18"/>
              </w:rPr>
            </w:pPr>
            <w:r>
              <w:rPr>
                <w:spacing w:val="-2"/>
                <w:sz w:val="18"/>
                <w:szCs w:val="18"/>
              </w:rPr>
              <w:t>73</w:t>
            </w:r>
          </w:p>
        </w:tc>
        <w:tc>
          <w:tcPr>
            <w:tcW w:w="423" w:type="dxa"/>
            <w:vAlign w:val="top"/>
          </w:tcPr>
          <w:p w14:paraId="3C674F01">
            <w:pPr>
              <w:pStyle w:val="6"/>
              <w:spacing w:before="92" w:line="186" w:lineRule="auto"/>
              <w:ind w:left="72"/>
              <w:rPr>
                <w:sz w:val="18"/>
                <w:szCs w:val="18"/>
              </w:rPr>
            </w:pPr>
            <w:r>
              <w:rPr>
                <w:spacing w:val="-5"/>
                <w:sz w:val="18"/>
                <w:szCs w:val="18"/>
              </w:rPr>
              <w:t>10L</w:t>
            </w:r>
          </w:p>
        </w:tc>
        <w:tc>
          <w:tcPr>
            <w:tcW w:w="567" w:type="dxa"/>
            <w:vAlign w:val="top"/>
          </w:tcPr>
          <w:p w14:paraId="716BC965">
            <w:pPr>
              <w:pStyle w:val="6"/>
              <w:spacing w:before="89" w:line="228" w:lineRule="auto"/>
              <w:ind w:left="63"/>
              <w:rPr>
                <w:sz w:val="18"/>
                <w:szCs w:val="18"/>
              </w:rPr>
            </w:pPr>
            <w:r>
              <w:rPr>
                <w:spacing w:val="-2"/>
                <w:sz w:val="18"/>
                <w:szCs w:val="18"/>
              </w:rPr>
              <w:t>0.03L</w:t>
            </w:r>
          </w:p>
        </w:tc>
        <w:tc>
          <w:tcPr>
            <w:tcW w:w="545" w:type="dxa"/>
            <w:vAlign w:val="top"/>
          </w:tcPr>
          <w:p w14:paraId="61083887">
            <w:pPr>
              <w:pStyle w:val="6"/>
              <w:spacing w:before="89" w:line="228" w:lineRule="auto"/>
              <w:ind w:left="53"/>
              <w:rPr>
                <w:sz w:val="18"/>
                <w:szCs w:val="18"/>
              </w:rPr>
            </w:pPr>
            <w:r>
              <w:rPr>
                <w:spacing w:val="-2"/>
                <w:sz w:val="18"/>
                <w:szCs w:val="18"/>
              </w:rPr>
              <w:t>0.02L</w:t>
            </w:r>
          </w:p>
        </w:tc>
        <w:tc>
          <w:tcPr>
            <w:tcW w:w="472" w:type="dxa"/>
            <w:vAlign w:val="top"/>
          </w:tcPr>
          <w:p w14:paraId="6E29FE36">
            <w:pPr>
              <w:pStyle w:val="6"/>
              <w:spacing w:before="89" w:line="228" w:lineRule="auto"/>
              <w:ind w:left="18"/>
              <w:rPr>
                <w:sz w:val="18"/>
                <w:szCs w:val="18"/>
              </w:rPr>
            </w:pPr>
            <w:r>
              <w:rPr>
                <w:spacing w:val="-2"/>
                <w:sz w:val="18"/>
                <w:szCs w:val="18"/>
              </w:rPr>
              <w:t>0.01L</w:t>
            </w:r>
          </w:p>
        </w:tc>
        <w:tc>
          <w:tcPr>
            <w:tcW w:w="562" w:type="dxa"/>
            <w:vAlign w:val="top"/>
          </w:tcPr>
          <w:p w14:paraId="68C9EC08">
            <w:pPr>
              <w:pStyle w:val="6"/>
              <w:spacing w:before="89" w:line="228" w:lineRule="auto"/>
              <w:ind w:left="19"/>
              <w:rPr>
                <w:sz w:val="18"/>
                <w:szCs w:val="18"/>
              </w:rPr>
            </w:pPr>
            <w:r>
              <w:rPr>
                <w:spacing w:val="-2"/>
                <w:sz w:val="18"/>
                <w:szCs w:val="18"/>
              </w:rPr>
              <w:t>0.006L</w:t>
            </w:r>
          </w:p>
        </w:tc>
        <w:tc>
          <w:tcPr>
            <w:tcW w:w="651" w:type="dxa"/>
            <w:vAlign w:val="top"/>
          </w:tcPr>
          <w:p w14:paraId="77C81A95">
            <w:pPr>
              <w:pStyle w:val="6"/>
              <w:spacing w:before="89" w:line="228" w:lineRule="auto"/>
              <w:ind w:left="18"/>
              <w:rPr>
                <w:sz w:val="18"/>
                <w:szCs w:val="18"/>
              </w:rPr>
            </w:pPr>
            <w:r>
              <w:rPr>
                <w:spacing w:val="-1"/>
                <w:sz w:val="18"/>
                <w:szCs w:val="18"/>
              </w:rPr>
              <w:t>0.0003L</w:t>
            </w:r>
          </w:p>
        </w:tc>
        <w:tc>
          <w:tcPr>
            <w:tcW w:w="884" w:type="dxa"/>
            <w:vAlign w:val="top"/>
          </w:tcPr>
          <w:p w14:paraId="33F587B0">
            <w:pPr>
              <w:pStyle w:val="6"/>
              <w:spacing w:before="89" w:line="228" w:lineRule="auto"/>
              <w:ind w:left="226"/>
              <w:rPr>
                <w:sz w:val="18"/>
                <w:szCs w:val="18"/>
              </w:rPr>
            </w:pPr>
            <w:r>
              <w:rPr>
                <w:spacing w:val="-2"/>
                <w:sz w:val="18"/>
                <w:szCs w:val="18"/>
              </w:rPr>
              <w:t>0.05L</w:t>
            </w:r>
          </w:p>
        </w:tc>
        <w:tc>
          <w:tcPr>
            <w:tcW w:w="709" w:type="dxa"/>
            <w:vAlign w:val="top"/>
          </w:tcPr>
          <w:p w14:paraId="48B24F40">
            <w:pPr>
              <w:pStyle w:val="6"/>
              <w:spacing w:before="89" w:line="228" w:lineRule="auto"/>
              <w:ind w:left="194"/>
              <w:rPr>
                <w:sz w:val="18"/>
                <w:szCs w:val="18"/>
              </w:rPr>
            </w:pPr>
            <w:r>
              <w:rPr>
                <w:spacing w:val="-2"/>
                <w:sz w:val="18"/>
                <w:szCs w:val="18"/>
              </w:rPr>
              <w:t>0.02</w:t>
            </w:r>
          </w:p>
        </w:tc>
        <w:tc>
          <w:tcPr>
            <w:tcW w:w="703" w:type="dxa"/>
            <w:vAlign w:val="top"/>
          </w:tcPr>
          <w:p w14:paraId="023EA380">
            <w:pPr>
              <w:pStyle w:val="6"/>
              <w:spacing w:before="89" w:line="228" w:lineRule="auto"/>
              <w:ind w:left="193"/>
              <w:rPr>
                <w:sz w:val="18"/>
                <w:szCs w:val="18"/>
              </w:rPr>
            </w:pPr>
            <w:r>
              <w:rPr>
                <w:spacing w:val="-2"/>
                <w:sz w:val="18"/>
                <w:szCs w:val="18"/>
              </w:rPr>
              <w:t>0.20</w:t>
            </w:r>
          </w:p>
        </w:tc>
        <w:tc>
          <w:tcPr>
            <w:tcW w:w="708" w:type="dxa"/>
            <w:vAlign w:val="top"/>
          </w:tcPr>
          <w:p w14:paraId="2CC4A84F">
            <w:pPr>
              <w:pStyle w:val="6"/>
              <w:spacing w:before="89" w:line="228" w:lineRule="auto"/>
              <w:ind w:left="96"/>
              <w:rPr>
                <w:sz w:val="18"/>
                <w:szCs w:val="18"/>
              </w:rPr>
            </w:pPr>
            <w:r>
              <w:rPr>
                <w:spacing w:val="-2"/>
                <w:sz w:val="18"/>
                <w:szCs w:val="18"/>
              </w:rPr>
              <w:t>0.003L</w:t>
            </w:r>
          </w:p>
        </w:tc>
        <w:tc>
          <w:tcPr>
            <w:tcW w:w="764" w:type="dxa"/>
            <w:vAlign w:val="top"/>
          </w:tcPr>
          <w:p w14:paraId="0EABF741">
            <w:pPr>
              <w:pStyle w:val="6"/>
              <w:spacing w:before="89" w:line="228" w:lineRule="auto"/>
              <w:ind w:left="126"/>
              <w:rPr>
                <w:sz w:val="18"/>
                <w:szCs w:val="18"/>
              </w:rPr>
            </w:pPr>
            <w:r>
              <w:rPr>
                <w:spacing w:val="-2"/>
                <w:sz w:val="18"/>
                <w:szCs w:val="18"/>
              </w:rPr>
              <w:t>0.025L</w:t>
            </w:r>
          </w:p>
        </w:tc>
        <w:tc>
          <w:tcPr>
            <w:tcW w:w="586" w:type="dxa"/>
            <w:vAlign w:val="top"/>
          </w:tcPr>
          <w:p w14:paraId="3E11B5F5">
            <w:pPr>
              <w:pStyle w:val="6"/>
              <w:spacing w:before="89" w:line="228" w:lineRule="auto"/>
              <w:ind w:left="139"/>
              <w:rPr>
                <w:sz w:val="18"/>
                <w:szCs w:val="18"/>
              </w:rPr>
            </w:pPr>
            <w:r>
              <w:rPr>
                <w:spacing w:val="-2"/>
                <w:sz w:val="18"/>
                <w:szCs w:val="18"/>
              </w:rPr>
              <w:t>0.10</w:t>
            </w:r>
          </w:p>
        </w:tc>
        <w:tc>
          <w:tcPr>
            <w:tcW w:w="582" w:type="dxa"/>
            <w:vAlign w:val="top"/>
          </w:tcPr>
          <w:p w14:paraId="390AF1F5">
            <w:pPr>
              <w:pStyle w:val="6"/>
              <w:spacing w:before="89" w:line="228" w:lineRule="auto"/>
              <w:ind w:left="38"/>
              <w:rPr>
                <w:sz w:val="18"/>
                <w:szCs w:val="18"/>
              </w:rPr>
            </w:pPr>
            <w:r>
              <w:rPr>
                <w:spacing w:val="-2"/>
                <w:sz w:val="18"/>
                <w:szCs w:val="18"/>
              </w:rPr>
              <w:t>0.004L</w:t>
            </w:r>
          </w:p>
        </w:tc>
        <w:tc>
          <w:tcPr>
            <w:tcW w:w="745" w:type="dxa"/>
            <w:vAlign w:val="top"/>
          </w:tcPr>
          <w:p w14:paraId="7AAA001C">
            <w:pPr>
              <w:pStyle w:val="6"/>
              <w:spacing w:before="89" w:line="228" w:lineRule="auto"/>
              <w:ind w:left="31"/>
              <w:rPr>
                <w:sz w:val="18"/>
                <w:szCs w:val="18"/>
              </w:rPr>
            </w:pPr>
            <w:r>
              <w:rPr>
                <w:spacing w:val="-1"/>
                <w:sz w:val="18"/>
                <w:szCs w:val="18"/>
              </w:rPr>
              <w:t>0.00004L</w:t>
            </w:r>
          </w:p>
        </w:tc>
        <w:tc>
          <w:tcPr>
            <w:tcW w:w="651" w:type="dxa"/>
            <w:vAlign w:val="top"/>
          </w:tcPr>
          <w:p w14:paraId="6FF9FCB3">
            <w:pPr>
              <w:pStyle w:val="6"/>
              <w:spacing w:before="89" w:line="228" w:lineRule="auto"/>
              <w:ind w:left="29"/>
              <w:rPr>
                <w:sz w:val="18"/>
                <w:szCs w:val="18"/>
              </w:rPr>
            </w:pPr>
            <w:r>
              <w:rPr>
                <w:spacing w:val="-1"/>
                <w:sz w:val="18"/>
                <w:szCs w:val="18"/>
              </w:rPr>
              <w:t>0.0003L</w:t>
            </w:r>
          </w:p>
        </w:tc>
        <w:tc>
          <w:tcPr>
            <w:tcW w:w="652" w:type="dxa"/>
            <w:vAlign w:val="top"/>
          </w:tcPr>
          <w:p w14:paraId="29F63B98">
            <w:pPr>
              <w:pStyle w:val="6"/>
              <w:spacing w:before="89" w:line="228" w:lineRule="auto"/>
              <w:ind w:left="30"/>
              <w:rPr>
                <w:sz w:val="18"/>
                <w:szCs w:val="18"/>
              </w:rPr>
            </w:pPr>
            <w:r>
              <w:rPr>
                <w:spacing w:val="-1"/>
                <w:sz w:val="18"/>
                <w:szCs w:val="18"/>
              </w:rPr>
              <w:t>0.0004L</w:t>
            </w:r>
          </w:p>
        </w:tc>
        <w:tc>
          <w:tcPr>
            <w:tcW w:w="566" w:type="dxa"/>
            <w:vAlign w:val="top"/>
          </w:tcPr>
          <w:p w14:paraId="0E39628E">
            <w:pPr>
              <w:pStyle w:val="6"/>
              <w:spacing w:before="89" w:line="228" w:lineRule="auto"/>
              <w:ind w:left="32"/>
              <w:rPr>
                <w:sz w:val="18"/>
                <w:szCs w:val="18"/>
              </w:rPr>
            </w:pPr>
            <w:r>
              <w:rPr>
                <w:spacing w:val="-2"/>
                <w:sz w:val="18"/>
                <w:szCs w:val="18"/>
              </w:rPr>
              <w:t>0.001L</w:t>
            </w:r>
          </w:p>
        </w:tc>
        <w:tc>
          <w:tcPr>
            <w:tcW w:w="582" w:type="dxa"/>
            <w:vAlign w:val="top"/>
          </w:tcPr>
          <w:p w14:paraId="1AF7DA45">
            <w:pPr>
              <w:pStyle w:val="6"/>
              <w:spacing w:before="89" w:line="228" w:lineRule="auto"/>
              <w:ind w:left="41"/>
              <w:rPr>
                <w:sz w:val="18"/>
                <w:szCs w:val="18"/>
              </w:rPr>
            </w:pPr>
            <w:r>
              <w:rPr>
                <w:spacing w:val="-2"/>
                <w:sz w:val="18"/>
                <w:szCs w:val="18"/>
              </w:rPr>
              <w:t>0.004L</w:t>
            </w:r>
          </w:p>
        </w:tc>
        <w:tc>
          <w:tcPr>
            <w:tcW w:w="476" w:type="dxa"/>
            <w:vAlign w:val="top"/>
          </w:tcPr>
          <w:p w14:paraId="51B17389">
            <w:pPr>
              <w:pStyle w:val="6"/>
              <w:spacing w:before="89" w:line="228" w:lineRule="auto"/>
              <w:ind w:left="34"/>
              <w:rPr>
                <w:sz w:val="18"/>
                <w:szCs w:val="18"/>
              </w:rPr>
            </w:pPr>
            <w:r>
              <w:rPr>
                <w:spacing w:val="-2"/>
                <w:sz w:val="18"/>
                <w:szCs w:val="18"/>
              </w:rPr>
              <w:t>0.01L</w:t>
            </w:r>
          </w:p>
        </w:tc>
        <w:tc>
          <w:tcPr>
            <w:tcW w:w="567" w:type="dxa"/>
            <w:vAlign w:val="top"/>
          </w:tcPr>
          <w:p w14:paraId="416F8462">
            <w:pPr>
              <w:pStyle w:val="6"/>
              <w:spacing w:before="89" w:line="228" w:lineRule="auto"/>
              <w:ind w:left="91"/>
              <w:rPr>
                <w:sz w:val="18"/>
                <w:szCs w:val="18"/>
              </w:rPr>
            </w:pPr>
            <w:r>
              <w:rPr>
                <w:spacing w:val="-2"/>
                <w:sz w:val="18"/>
                <w:szCs w:val="18"/>
              </w:rPr>
              <w:t>0.010</w:t>
            </w:r>
          </w:p>
        </w:tc>
        <w:tc>
          <w:tcPr>
            <w:tcW w:w="765" w:type="dxa"/>
            <w:vAlign w:val="top"/>
          </w:tcPr>
          <w:p w14:paraId="61D74603">
            <w:pPr>
              <w:pStyle w:val="6"/>
              <w:spacing w:before="89" w:line="228" w:lineRule="auto"/>
              <w:ind w:left="371"/>
              <w:rPr>
                <w:sz w:val="18"/>
                <w:szCs w:val="18"/>
              </w:rPr>
            </w:pPr>
            <w:r>
              <w:rPr>
                <w:sz w:val="18"/>
                <w:szCs w:val="18"/>
              </w:rPr>
              <w:t>/</w:t>
            </w:r>
          </w:p>
        </w:tc>
        <w:tc>
          <w:tcPr>
            <w:tcW w:w="424" w:type="dxa"/>
            <w:vAlign w:val="top"/>
          </w:tcPr>
          <w:p w14:paraId="3044AD0E">
            <w:pPr>
              <w:pStyle w:val="6"/>
              <w:spacing w:before="89" w:line="228" w:lineRule="auto"/>
              <w:ind w:left="90"/>
              <w:rPr>
                <w:sz w:val="18"/>
                <w:szCs w:val="18"/>
              </w:rPr>
            </w:pPr>
            <w:r>
              <w:rPr>
                <w:spacing w:val="-2"/>
                <w:sz w:val="18"/>
                <w:szCs w:val="18"/>
              </w:rPr>
              <w:t>339</w:t>
            </w:r>
          </w:p>
        </w:tc>
        <w:tc>
          <w:tcPr>
            <w:tcW w:w="427" w:type="dxa"/>
            <w:vAlign w:val="top"/>
          </w:tcPr>
          <w:p w14:paraId="011E511E">
            <w:pPr>
              <w:pStyle w:val="6"/>
              <w:spacing w:before="89" w:line="228" w:lineRule="auto"/>
              <w:ind w:left="68"/>
              <w:rPr>
                <w:sz w:val="18"/>
                <w:szCs w:val="18"/>
              </w:rPr>
            </w:pPr>
            <w:r>
              <w:rPr>
                <w:spacing w:val="-2"/>
                <w:sz w:val="18"/>
                <w:szCs w:val="18"/>
              </w:rPr>
              <w:t>0.50</w:t>
            </w:r>
          </w:p>
        </w:tc>
        <w:tc>
          <w:tcPr>
            <w:tcW w:w="424" w:type="dxa"/>
            <w:vAlign w:val="top"/>
          </w:tcPr>
          <w:p w14:paraId="4946484D">
            <w:pPr>
              <w:pStyle w:val="6"/>
              <w:spacing w:before="89" w:line="228" w:lineRule="auto"/>
              <w:ind w:left="82"/>
              <w:rPr>
                <w:sz w:val="18"/>
                <w:szCs w:val="18"/>
              </w:rPr>
            </w:pPr>
            <w:r>
              <w:rPr>
                <w:spacing w:val="-6"/>
                <w:sz w:val="18"/>
                <w:szCs w:val="18"/>
              </w:rPr>
              <w:t>1.62</w:t>
            </w:r>
          </w:p>
        </w:tc>
        <w:tc>
          <w:tcPr>
            <w:tcW w:w="423" w:type="dxa"/>
            <w:vAlign w:val="top"/>
          </w:tcPr>
          <w:p w14:paraId="5376A4B1">
            <w:pPr>
              <w:pStyle w:val="6"/>
              <w:spacing w:before="89" w:line="228" w:lineRule="auto"/>
              <w:ind w:left="68"/>
              <w:rPr>
                <w:sz w:val="18"/>
                <w:szCs w:val="18"/>
              </w:rPr>
            </w:pPr>
            <w:r>
              <w:rPr>
                <w:spacing w:val="-2"/>
                <w:sz w:val="18"/>
                <w:szCs w:val="18"/>
              </w:rPr>
              <w:t>6.45</w:t>
            </w:r>
          </w:p>
        </w:tc>
        <w:tc>
          <w:tcPr>
            <w:tcW w:w="472" w:type="dxa"/>
            <w:vAlign w:val="top"/>
          </w:tcPr>
          <w:p w14:paraId="7682840E">
            <w:pPr>
              <w:pStyle w:val="6"/>
              <w:spacing w:before="89" w:line="228" w:lineRule="auto"/>
              <w:ind w:left="94"/>
              <w:rPr>
                <w:sz w:val="18"/>
                <w:szCs w:val="18"/>
              </w:rPr>
            </w:pPr>
            <w:r>
              <w:rPr>
                <w:spacing w:val="-2"/>
                <w:sz w:val="18"/>
                <w:szCs w:val="18"/>
              </w:rPr>
              <w:t>61.2</w:t>
            </w:r>
          </w:p>
        </w:tc>
        <w:tc>
          <w:tcPr>
            <w:tcW w:w="377" w:type="dxa"/>
            <w:tcBorders>
              <w:right w:val="single" w:color="000000" w:sz="12" w:space="0"/>
            </w:tcBorders>
            <w:vAlign w:val="top"/>
          </w:tcPr>
          <w:p w14:paraId="7C47346C">
            <w:pPr>
              <w:pStyle w:val="6"/>
              <w:spacing w:before="89" w:line="228" w:lineRule="auto"/>
              <w:ind w:left="49"/>
              <w:rPr>
                <w:sz w:val="18"/>
                <w:szCs w:val="18"/>
              </w:rPr>
            </w:pPr>
            <w:r>
              <w:rPr>
                <w:spacing w:val="-6"/>
                <w:sz w:val="18"/>
                <w:szCs w:val="18"/>
              </w:rPr>
              <w:t>19.9</w:t>
            </w:r>
          </w:p>
        </w:tc>
      </w:tr>
      <w:tr w14:paraId="48DF6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80" w:type="dxa"/>
            <w:vMerge w:val="continue"/>
            <w:tcBorders>
              <w:top w:val="nil"/>
              <w:left w:val="single" w:color="000000" w:sz="12" w:space="0"/>
              <w:bottom w:val="nil"/>
            </w:tcBorders>
            <w:vAlign w:val="top"/>
          </w:tcPr>
          <w:p w14:paraId="5B0281AA">
            <w:pPr>
              <w:rPr>
                <w:rFonts w:ascii="Arial"/>
                <w:sz w:val="21"/>
              </w:rPr>
            </w:pPr>
          </w:p>
        </w:tc>
        <w:tc>
          <w:tcPr>
            <w:tcW w:w="268" w:type="dxa"/>
            <w:vMerge w:val="continue"/>
            <w:tcBorders>
              <w:top w:val="nil"/>
              <w:bottom w:val="nil"/>
            </w:tcBorders>
            <w:vAlign w:val="top"/>
          </w:tcPr>
          <w:p w14:paraId="4D387C31">
            <w:pPr>
              <w:rPr>
                <w:rFonts w:ascii="Arial"/>
                <w:sz w:val="21"/>
              </w:rPr>
            </w:pPr>
          </w:p>
        </w:tc>
        <w:tc>
          <w:tcPr>
            <w:tcW w:w="1038" w:type="dxa"/>
            <w:vAlign w:val="top"/>
          </w:tcPr>
          <w:p w14:paraId="60038A71">
            <w:pPr>
              <w:pStyle w:val="6"/>
              <w:spacing w:before="92" w:line="231" w:lineRule="auto"/>
              <w:ind w:left="138"/>
              <w:rPr>
                <w:sz w:val="18"/>
                <w:szCs w:val="18"/>
              </w:rPr>
            </w:pPr>
            <w:r>
              <w:rPr>
                <w:spacing w:val="-1"/>
                <w:sz w:val="18"/>
                <w:szCs w:val="18"/>
              </w:rPr>
              <w:t>2020/3/11</w:t>
            </w:r>
          </w:p>
        </w:tc>
        <w:tc>
          <w:tcPr>
            <w:tcW w:w="774" w:type="dxa"/>
            <w:vAlign w:val="top"/>
          </w:tcPr>
          <w:p w14:paraId="20DCF4A2">
            <w:pPr>
              <w:pStyle w:val="6"/>
              <w:spacing w:before="92" w:line="231" w:lineRule="auto"/>
              <w:ind w:left="220"/>
              <w:rPr>
                <w:sz w:val="18"/>
                <w:szCs w:val="18"/>
              </w:rPr>
            </w:pPr>
            <w:r>
              <w:rPr>
                <w:spacing w:val="-2"/>
                <w:sz w:val="18"/>
                <w:szCs w:val="18"/>
              </w:rPr>
              <w:t>6.98</w:t>
            </w:r>
          </w:p>
        </w:tc>
        <w:tc>
          <w:tcPr>
            <w:tcW w:w="741" w:type="dxa"/>
            <w:vAlign w:val="top"/>
          </w:tcPr>
          <w:p w14:paraId="0FBF599B">
            <w:pPr>
              <w:pStyle w:val="6"/>
              <w:spacing w:before="92" w:line="231" w:lineRule="auto"/>
              <w:ind w:left="222"/>
              <w:rPr>
                <w:sz w:val="18"/>
                <w:szCs w:val="18"/>
              </w:rPr>
            </w:pPr>
            <w:r>
              <w:rPr>
                <w:spacing w:val="-1"/>
                <w:sz w:val="18"/>
                <w:szCs w:val="18"/>
              </w:rPr>
              <w:t>223</w:t>
            </w:r>
          </w:p>
        </w:tc>
        <w:tc>
          <w:tcPr>
            <w:tcW w:w="705" w:type="dxa"/>
            <w:vAlign w:val="top"/>
          </w:tcPr>
          <w:p w14:paraId="44B6F9BC">
            <w:pPr>
              <w:pStyle w:val="6"/>
              <w:spacing w:before="92" w:line="231" w:lineRule="auto"/>
              <w:ind w:left="209"/>
              <w:rPr>
                <w:sz w:val="18"/>
                <w:szCs w:val="18"/>
              </w:rPr>
            </w:pPr>
            <w:r>
              <w:rPr>
                <w:spacing w:val="-2"/>
                <w:sz w:val="18"/>
                <w:szCs w:val="18"/>
              </w:rPr>
              <w:t>341</w:t>
            </w:r>
          </w:p>
        </w:tc>
        <w:tc>
          <w:tcPr>
            <w:tcW w:w="570" w:type="dxa"/>
            <w:vAlign w:val="top"/>
          </w:tcPr>
          <w:p w14:paraId="661093F7">
            <w:pPr>
              <w:pStyle w:val="6"/>
              <w:spacing w:before="92" w:line="231" w:lineRule="auto"/>
              <w:ind w:left="185"/>
              <w:rPr>
                <w:sz w:val="18"/>
                <w:szCs w:val="18"/>
              </w:rPr>
            </w:pPr>
            <w:r>
              <w:rPr>
                <w:spacing w:val="-2"/>
                <w:sz w:val="18"/>
                <w:szCs w:val="18"/>
              </w:rPr>
              <w:t>77</w:t>
            </w:r>
          </w:p>
        </w:tc>
        <w:tc>
          <w:tcPr>
            <w:tcW w:w="423" w:type="dxa"/>
            <w:vAlign w:val="top"/>
          </w:tcPr>
          <w:p w14:paraId="763D8D3F">
            <w:pPr>
              <w:pStyle w:val="6"/>
              <w:spacing w:before="95" w:line="186" w:lineRule="auto"/>
              <w:ind w:left="72"/>
              <w:rPr>
                <w:sz w:val="18"/>
                <w:szCs w:val="18"/>
              </w:rPr>
            </w:pPr>
            <w:r>
              <w:rPr>
                <w:spacing w:val="-5"/>
                <w:sz w:val="18"/>
                <w:szCs w:val="18"/>
              </w:rPr>
              <w:t>10L</w:t>
            </w:r>
          </w:p>
        </w:tc>
        <w:tc>
          <w:tcPr>
            <w:tcW w:w="567" w:type="dxa"/>
            <w:vAlign w:val="top"/>
          </w:tcPr>
          <w:p w14:paraId="27EE3CE5">
            <w:pPr>
              <w:pStyle w:val="6"/>
              <w:spacing w:before="92" w:line="231" w:lineRule="auto"/>
              <w:ind w:left="63"/>
              <w:rPr>
                <w:sz w:val="18"/>
                <w:szCs w:val="18"/>
              </w:rPr>
            </w:pPr>
            <w:r>
              <w:rPr>
                <w:spacing w:val="-2"/>
                <w:sz w:val="18"/>
                <w:szCs w:val="18"/>
              </w:rPr>
              <w:t>0.03L</w:t>
            </w:r>
          </w:p>
        </w:tc>
        <w:tc>
          <w:tcPr>
            <w:tcW w:w="545" w:type="dxa"/>
            <w:vAlign w:val="top"/>
          </w:tcPr>
          <w:p w14:paraId="7BFE7EF2">
            <w:pPr>
              <w:pStyle w:val="6"/>
              <w:spacing w:before="92" w:line="231" w:lineRule="auto"/>
              <w:ind w:left="53"/>
              <w:rPr>
                <w:sz w:val="18"/>
                <w:szCs w:val="18"/>
              </w:rPr>
            </w:pPr>
            <w:r>
              <w:rPr>
                <w:spacing w:val="-2"/>
                <w:sz w:val="18"/>
                <w:szCs w:val="18"/>
              </w:rPr>
              <w:t>0.02L</w:t>
            </w:r>
          </w:p>
        </w:tc>
        <w:tc>
          <w:tcPr>
            <w:tcW w:w="472" w:type="dxa"/>
            <w:vAlign w:val="top"/>
          </w:tcPr>
          <w:p w14:paraId="41FF2695">
            <w:pPr>
              <w:pStyle w:val="6"/>
              <w:spacing w:before="92" w:line="231" w:lineRule="auto"/>
              <w:ind w:left="18"/>
              <w:rPr>
                <w:sz w:val="18"/>
                <w:szCs w:val="18"/>
              </w:rPr>
            </w:pPr>
            <w:r>
              <w:rPr>
                <w:spacing w:val="-2"/>
                <w:sz w:val="18"/>
                <w:szCs w:val="18"/>
              </w:rPr>
              <w:t>0.01L</w:t>
            </w:r>
          </w:p>
        </w:tc>
        <w:tc>
          <w:tcPr>
            <w:tcW w:w="562" w:type="dxa"/>
            <w:vAlign w:val="top"/>
          </w:tcPr>
          <w:p w14:paraId="4BE5776F">
            <w:pPr>
              <w:pStyle w:val="6"/>
              <w:spacing w:before="92" w:line="231" w:lineRule="auto"/>
              <w:ind w:left="19"/>
              <w:rPr>
                <w:sz w:val="18"/>
                <w:szCs w:val="18"/>
              </w:rPr>
            </w:pPr>
            <w:r>
              <w:rPr>
                <w:spacing w:val="-2"/>
                <w:sz w:val="18"/>
                <w:szCs w:val="18"/>
              </w:rPr>
              <w:t>0.006L</w:t>
            </w:r>
          </w:p>
        </w:tc>
        <w:tc>
          <w:tcPr>
            <w:tcW w:w="651" w:type="dxa"/>
            <w:vAlign w:val="top"/>
          </w:tcPr>
          <w:p w14:paraId="512CF3AB">
            <w:pPr>
              <w:pStyle w:val="6"/>
              <w:spacing w:before="92" w:line="231" w:lineRule="auto"/>
              <w:ind w:left="18"/>
              <w:rPr>
                <w:sz w:val="18"/>
                <w:szCs w:val="18"/>
              </w:rPr>
            </w:pPr>
            <w:r>
              <w:rPr>
                <w:spacing w:val="-1"/>
                <w:sz w:val="18"/>
                <w:szCs w:val="18"/>
              </w:rPr>
              <w:t>0.0003L</w:t>
            </w:r>
          </w:p>
        </w:tc>
        <w:tc>
          <w:tcPr>
            <w:tcW w:w="884" w:type="dxa"/>
            <w:vAlign w:val="top"/>
          </w:tcPr>
          <w:p w14:paraId="047EEFB4">
            <w:pPr>
              <w:pStyle w:val="6"/>
              <w:spacing w:before="92" w:line="231" w:lineRule="auto"/>
              <w:ind w:left="226"/>
              <w:rPr>
                <w:sz w:val="18"/>
                <w:szCs w:val="18"/>
              </w:rPr>
            </w:pPr>
            <w:r>
              <w:rPr>
                <w:spacing w:val="-2"/>
                <w:sz w:val="18"/>
                <w:szCs w:val="18"/>
              </w:rPr>
              <w:t>0.05L</w:t>
            </w:r>
          </w:p>
        </w:tc>
        <w:tc>
          <w:tcPr>
            <w:tcW w:w="709" w:type="dxa"/>
            <w:vAlign w:val="top"/>
          </w:tcPr>
          <w:p w14:paraId="6BD7CBBF">
            <w:pPr>
              <w:pStyle w:val="6"/>
              <w:spacing w:before="92" w:line="231" w:lineRule="auto"/>
              <w:ind w:left="194"/>
              <w:rPr>
                <w:sz w:val="18"/>
                <w:szCs w:val="18"/>
              </w:rPr>
            </w:pPr>
            <w:r>
              <w:rPr>
                <w:spacing w:val="-2"/>
                <w:sz w:val="18"/>
                <w:szCs w:val="18"/>
              </w:rPr>
              <w:t>0.02</w:t>
            </w:r>
          </w:p>
        </w:tc>
        <w:tc>
          <w:tcPr>
            <w:tcW w:w="703" w:type="dxa"/>
            <w:vAlign w:val="top"/>
          </w:tcPr>
          <w:p w14:paraId="3B4B0F9F">
            <w:pPr>
              <w:pStyle w:val="6"/>
              <w:spacing w:before="92" w:line="231" w:lineRule="auto"/>
              <w:ind w:left="193"/>
              <w:rPr>
                <w:sz w:val="18"/>
                <w:szCs w:val="18"/>
              </w:rPr>
            </w:pPr>
            <w:r>
              <w:rPr>
                <w:spacing w:val="-2"/>
                <w:sz w:val="18"/>
                <w:szCs w:val="18"/>
              </w:rPr>
              <w:t>0.22</w:t>
            </w:r>
          </w:p>
        </w:tc>
        <w:tc>
          <w:tcPr>
            <w:tcW w:w="708" w:type="dxa"/>
            <w:vAlign w:val="top"/>
          </w:tcPr>
          <w:p w14:paraId="64856C5B">
            <w:pPr>
              <w:pStyle w:val="6"/>
              <w:spacing w:before="92" w:line="231" w:lineRule="auto"/>
              <w:ind w:left="96"/>
              <w:rPr>
                <w:sz w:val="18"/>
                <w:szCs w:val="18"/>
              </w:rPr>
            </w:pPr>
            <w:r>
              <w:rPr>
                <w:spacing w:val="-2"/>
                <w:sz w:val="18"/>
                <w:szCs w:val="18"/>
              </w:rPr>
              <w:t>0.003L</w:t>
            </w:r>
          </w:p>
        </w:tc>
        <w:tc>
          <w:tcPr>
            <w:tcW w:w="764" w:type="dxa"/>
            <w:vAlign w:val="top"/>
          </w:tcPr>
          <w:p w14:paraId="37EE20E5">
            <w:pPr>
              <w:pStyle w:val="6"/>
              <w:spacing w:before="92" w:line="231" w:lineRule="auto"/>
              <w:ind w:left="126"/>
              <w:rPr>
                <w:sz w:val="18"/>
                <w:szCs w:val="18"/>
              </w:rPr>
            </w:pPr>
            <w:r>
              <w:rPr>
                <w:spacing w:val="-2"/>
                <w:sz w:val="18"/>
                <w:szCs w:val="18"/>
              </w:rPr>
              <w:t>0.025L</w:t>
            </w:r>
          </w:p>
        </w:tc>
        <w:tc>
          <w:tcPr>
            <w:tcW w:w="586" w:type="dxa"/>
            <w:vAlign w:val="top"/>
          </w:tcPr>
          <w:p w14:paraId="2EBE00AE">
            <w:pPr>
              <w:pStyle w:val="6"/>
              <w:spacing w:before="92" w:line="231" w:lineRule="auto"/>
              <w:ind w:left="139"/>
              <w:rPr>
                <w:sz w:val="18"/>
                <w:szCs w:val="18"/>
              </w:rPr>
            </w:pPr>
            <w:r>
              <w:rPr>
                <w:spacing w:val="-2"/>
                <w:sz w:val="18"/>
                <w:szCs w:val="18"/>
              </w:rPr>
              <w:t>0.12</w:t>
            </w:r>
          </w:p>
        </w:tc>
        <w:tc>
          <w:tcPr>
            <w:tcW w:w="582" w:type="dxa"/>
            <w:vAlign w:val="top"/>
          </w:tcPr>
          <w:p w14:paraId="6C6A68D4">
            <w:pPr>
              <w:pStyle w:val="6"/>
              <w:spacing w:before="92" w:line="231" w:lineRule="auto"/>
              <w:ind w:left="38"/>
              <w:rPr>
                <w:sz w:val="18"/>
                <w:szCs w:val="18"/>
              </w:rPr>
            </w:pPr>
            <w:r>
              <w:rPr>
                <w:spacing w:val="-2"/>
                <w:sz w:val="18"/>
                <w:szCs w:val="18"/>
              </w:rPr>
              <w:t>0.004L</w:t>
            </w:r>
          </w:p>
        </w:tc>
        <w:tc>
          <w:tcPr>
            <w:tcW w:w="745" w:type="dxa"/>
            <w:vAlign w:val="top"/>
          </w:tcPr>
          <w:p w14:paraId="76762420">
            <w:pPr>
              <w:pStyle w:val="6"/>
              <w:spacing w:before="92" w:line="231" w:lineRule="auto"/>
              <w:ind w:left="31"/>
              <w:rPr>
                <w:sz w:val="18"/>
                <w:szCs w:val="18"/>
              </w:rPr>
            </w:pPr>
            <w:r>
              <w:rPr>
                <w:spacing w:val="-1"/>
                <w:sz w:val="18"/>
                <w:szCs w:val="18"/>
              </w:rPr>
              <w:t>0.00004L</w:t>
            </w:r>
          </w:p>
        </w:tc>
        <w:tc>
          <w:tcPr>
            <w:tcW w:w="651" w:type="dxa"/>
            <w:vAlign w:val="top"/>
          </w:tcPr>
          <w:p w14:paraId="1101D167">
            <w:pPr>
              <w:pStyle w:val="6"/>
              <w:spacing w:before="92" w:line="231" w:lineRule="auto"/>
              <w:ind w:left="29"/>
              <w:rPr>
                <w:sz w:val="18"/>
                <w:szCs w:val="18"/>
              </w:rPr>
            </w:pPr>
            <w:r>
              <w:rPr>
                <w:spacing w:val="-1"/>
                <w:sz w:val="18"/>
                <w:szCs w:val="18"/>
              </w:rPr>
              <w:t>0.0003L</w:t>
            </w:r>
          </w:p>
        </w:tc>
        <w:tc>
          <w:tcPr>
            <w:tcW w:w="652" w:type="dxa"/>
            <w:vAlign w:val="top"/>
          </w:tcPr>
          <w:p w14:paraId="6E6A7EBB">
            <w:pPr>
              <w:pStyle w:val="6"/>
              <w:spacing w:before="92" w:line="231" w:lineRule="auto"/>
              <w:ind w:left="30"/>
              <w:rPr>
                <w:sz w:val="18"/>
                <w:szCs w:val="18"/>
              </w:rPr>
            </w:pPr>
            <w:r>
              <w:rPr>
                <w:spacing w:val="-1"/>
                <w:sz w:val="18"/>
                <w:szCs w:val="18"/>
              </w:rPr>
              <w:t>0.0004L</w:t>
            </w:r>
          </w:p>
        </w:tc>
        <w:tc>
          <w:tcPr>
            <w:tcW w:w="566" w:type="dxa"/>
            <w:vAlign w:val="top"/>
          </w:tcPr>
          <w:p w14:paraId="77B06F75">
            <w:pPr>
              <w:pStyle w:val="6"/>
              <w:spacing w:before="92" w:line="231" w:lineRule="auto"/>
              <w:ind w:left="32"/>
              <w:rPr>
                <w:sz w:val="18"/>
                <w:szCs w:val="18"/>
              </w:rPr>
            </w:pPr>
            <w:r>
              <w:rPr>
                <w:spacing w:val="-2"/>
                <w:sz w:val="18"/>
                <w:szCs w:val="18"/>
              </w:rPr>
              <w:t>0.001L</w:t>
            </w:r>
          </w:p>
        </w:tc>
        <w:tc>
          <w:tcPr>
            <w:tcW w:w="582" w:type="dxa"/>
            <w:vAlign w:val="top"/>
          </w:tcPr>
          <w:p w14:paraId="1842202D">
            <w:pPr>
              <w:pStyle w:val="6"/>
              <w:spacing w:before="92" w:line="231" w:lineRule="auto"/>
              <w:ind w:left="41"/>
              <w:rPr>
                <w:sz w:val="18"/>
                <w:szCs w:val="18"/>
              </w:rPr>
            </w:pPr>
            <w:r>
              <w:rPr>
                <w:spacing w:val="-2"/>
                <w:sz w:val="18"/>
                <w:szCs w:val="18"/>
              </w:rPr>
              <w:t>0.004L</w:t>
            </w:r>
          </w:p>
        </w:tc>
        <w:tc>
          <w:tcPr>
            <w:tcW w:w="476" w:type="dxa"/>
            <w:vAlign w:val="top"/>
          </w:tcPr>
          <w:p w14:paraId="4B2C0E44">
            <w:pPr>
              <w:pStyle w:val="6"/>
              <w:spacing w:before="92" w:line="231" w:lineRule="auto"/>
              <w:ind w:left="34"/>
              <w:rPr>
                <w:sz w:val="18"/>
                <w:szCs w:val="18"/>
              </w:rPr>
            </w:pPr>
            <w:r>
              <w:rPr>
                <w:spacing w:val="-2"/>
                <w:sz w:val="18"/>
                <w:szCs w:val="18"/>
              </w:rPr>
              <w:t>0.01L</w:t>
            </w:r>
          </w:p>
        </w:tc>
        <w:tc>
          <w:tcPr>
            <w:tcW w:w="567" w:type="dxa"/>
            <w:vAlign w:val="top"/>
          </w:tcPr>
          <w:p w14:paraId="14C1BD44">
            <w:pPr>
              <w:pStyle w:val="6"/>
              <w:spacing w:before="92" w:line="231" w:lineRule="auto"/>
              <w:ind w:left="91"/>
              <w:rPr>
                <w:sz w:val="18"/>
                <w:szCs w:val="18"/>
              </w:rPr>
            </w:pPr>
            <w:r>
              <w:rPr>
                <w:spacing w:val="-2"/>
                <w:sz w:val="18"/>
                <w:szCs w:val="18"/>
              </w:rPr>
              <w:t>0.009</w:t>
            </w:r>
          </w:p>
        </w:tc>
        <w:tc>
          <w:tcPr>
            <w:tcW w:w="765" w:type="dxa"/>
            <w:vAlign w:val="top"/>
          </w:tcPr>
          <w:p w14:paraId="41B93D88">
            <w:pPr>
              <w:pStyle w:val="6"/>
              <w:spacing w:before="92" w:line="231" w:lineRule="auto"/>
              <w:ind w:left="361"/>
              <w:rPr>
                <w:sz w:val="18"/>
                <w:szCs w:val="18"/>
              </w:rPr>
            </w:pPr>
            <w:r>
              <w:rPr>
                <w:sz w:val="18"/>
                <w:szCs w:val="18"/>
              </w:rPr>
              <w:t>/</w:t>
            </w:r>
          </w:p>
        </w:tc>
        <w:tc>
          <w:tcPr>
            <w:tcW w:w="424" w:type="dxa"/>
            <w:vAlign w:val="top"/>
          </w:tcPr>
          <w:p w14:paraId="4DDB91FB">
            <w:pPr>
              <w:pStyle w:val="6"/>
              <w:spacing w:before="92" w:line="231" w:lineRule="auto"/>
              <w:ind w:left="90"/>
              <w:rPr>
                <w:sz w:val="18"/>
                <w:szCs w:val="18"/>
              </w:rPr>
            </w:pPr>
            <w:r>
              <w:rPr>
                <w:spacing w:val="-2"/>
                <w:sz w:val="18"/>
                <w:szCs w:val="18"/>
              </w:rPr>
              <w:t>353</w:t>
            </w:r>
          </w:p>
        </w:tc>
        <w:tc>
          <w:tcPr>
            <w:tcW w:w="427" w:type="dxa"/>
            <w:vAlign w:val="top"/>
          </w:tcPr>
          <w:p w14:paraId="7F95022E">
            <w:pPr>
              <w:pStyle w:val="6"/>
              <w:spacing w:before="92" w:line="231" w:lineRule="auto"/>
              <w:ind w:left="68"/>
              <w:rPr>
                <w:sz w:val="18"/>
                <w:szCs w:val="18"/>
              </w:rPr>
            </w:pPr>
            <w:r>
              <w:rPr>
                <w:spacing w:val="-2"/>
                <w:sz w:val="18"/>
                <w:szCs w:val="18"/>
              </w:rPr>
              <w:t>0.55</w:t>
            </w:r>
          </w:p>
        </w:tc>
        <w:tc>
          <w:tcPr>
            <w:tcW w:w="424" w:type="dxa"/>
            <w:vAlign w:val="top"/>
          </w:tcPr>
          <w:p w14:paraId="3C835471">
            <w:pPr>
              <w:pStyle w:val="6"/>
              <w:spacing w:before="92" w:line="231" w:lineRule="auto"/>
              <w:ind w:left="82"/>
              <w:rPr>
                <w:sz w:val="18"/>
                <w:szCs w:val="18"/>
              </w:rPr>
            </w:pPr>
            <w:r>
              <w:rPr>
                <w:spacing w:val="-6"/>
                <w:sz w:val="18"/>
                <w:szCs w:val="18"/>
              </w:rPr>
              <w:t>1.89</w:t>
            </w:r>
          </w:p>
        </w:tc>
        <w:tc>
          <w:tcPr>
            <w:tcW w:w="423" w:type="dxa"/>
            <w:vAlign w:val="top"/>
          </w:tcPr>
          <w:p w14:paraId="5E5708D2">
            <w:pPr>
              <w:pStyle w:val="6"/>
              <w:spacing w:before="92" w:line="231" w:lineRule="auto"/>
              <w:ind w:left="68"/>
              <w:rPr>
                <w:sz w:val="18"/>
                <w:szCs w:val="18"/>
              </w:rPr>
            </w:pPr>
            <w:r>
              <w:rPr>
                <w:spacing w:val="-2"/>
                <w:sz w:val="18"/>
                <w:szCs w:val="18"/>
              </w:rPr>
              <w:t>6.58</w:t>
            </w:r>
          </w:p>
        </w:tc>
        <w:tc>
          <w:tcPr>
            <w:tcW w:w="472" w:type="dxa"/>
            <w:vAlign w:val="top"/>
          </w:tcPr>
          <w:p w14:paraId="2CC91F84">
            <w:pPr>
              <w:pStyle w:val="6"/>
              <w:spacing w:before="92" w:line="231" w:lineRule="auto"/>
              <w:ind w:left="95"/>
              <w:rPr>
                <w:sz w:val="18"/>
                <w:szCs w:val="18"/>
              </w:rPr>
            </w:pPr>
            <w:r>
              <w:rPr>
                <w:spacing w:val="-3"/>
                <w:sz w:val="18"/>
                <w:szCs w:val="18"/>
              </w:rPr>
              <w:t>55.3</w:t>
            </w:r>
          </w:p>
        </w:tc>
        <w:tc>
          <w:tcPr>
            <w:tcW w:w="377" w:type="dxa"/>
            <w:tcBorders>
              <w:right w:val="single" w:color="000000" w:sz="12" w:space="0"/>
            </w:tcBorders>
            <w:vAlign w:val="top"/>
          </w:tcPr>
          <w:p w14:paraId="248EEBFA">
            <w:pPr>
              <w:pStyle w:val="6"/>
              <w:spacing w:before="92" w:line="231" w:lineRule="auto"/>
              <w:ind w:left="32"/>
              <w:rPr>
                <w:sz w:val="18"/>
                <w:szCs w:val="18"/>
              </w:rPr>
            </w:pPr>
            <w:r>
              <w:rPr>
                <w:spacing w:val="-1"/>
                <w:sz w:val="18"/>
                <w:szCs w:val="18"/>
              </w:rPr>
              <w:t>20.4</w:t>
            </w:r>
          </w:p>
        </w:tc>
      </w:tr>
      <w:tr w14:paraId="465BF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6DF343D3">
            <w:pPr>
              <w:rPr>
                <w:rFonts w:ascii="Arial"/>
                <w:sz w:val="21"/>
              </w:rPr>
            </w:pPr>
          </w:p>
        </w:tc>
        <w:tc>
          <w:tcPr>
            <w:tcW w:w="268" w:type="dxa"/>
            <w:vMerge w:val="continue"/>
            <w:tcBorders>
              <w:top w:val="nil"/>
            </w:tcBorders>
            <w:vAlign w:val="top"/>
          </w:tcPr>
          <w:p w14:paraId="70DCD57D">
            <w:pPr>
              <w:rPr>
                <w:rFonts w:ascii="Arial"/>
                <w:sz w:val="21"/>
              </w:rPr>
            </w:pPr>
          </w:p>
        </w:tc>
        <w:tc>
          <w:tcPr>
            <w:tcW w:w="1038" w:type="dxa"/>
            <w:vAlign w:val="top"/>
          </w:tcPr>
          <w:p w14:paraId="1147244E">
            <w:pPr>
              <w:pStyle w:val="6"/>
              <w:spacing w:before="89" w:line="221" w:lineRule="auto"/>
              <w:ind w:left="138"/>
              <w:rPr>
                <w:sz w:val="18"/>
                <w:szCs w:val="18"/>
              </w:rPr>
            </w:pPr>
            <w:r>
              <w:rPr>
                <w:spacing w:val="-1"/>
                <w:sz w:val="18"/>
                <w:szCs w:val="18"/>
              </w:rPr>
              <w:t>2020/3/12</w:t>
            </w:r>
          </w:p>
        </w:tc>
        <w:tc>
          <w:tcPr>
            <w:tcW w:w="774" w:type="dxa"/>
            <w:vAlign w:val="top"/>
          </w:tcPr>
          <w:p w14:paraId="1E874B85">
            <w:pPr>
              <w:pStyle w:val="6"/>
              <w:spacing w:before="89" w:line="221" w:lineRule="auto"/>
              <w:ind w:left="220"/>
              <w:rPr>
                <w:sz w:val="18"/>
                <w:szCs w:val="18"/>
              </w:rPr>
            </w:pPr>
            <w:r>
              <w:rPr>
                <w:spacing w:val="-2"/>
                <w:sz w:val="18"/>
                <w:szCs w:val="18"/>
              </w:rPr>
              <w:t>6.92</w:t>
            </w:r>
          </w:p>
        </w:tc>
        <w:tc>
          <w:tcPr>
            <w:tcW w:w="741" w:type="dxa"/>
            <w:vAlign w:val="top"/>
          </w:tcPr>
          <w:p w14:paraId="42C3BEC2">
            <w:pPr>
              <w:pStyle w:val="6"/>
              <w:spacing w:before="89" w:line="221" w:lineRule="auto"/>
              <w:ind w:left="222"/>
              <w:rPr>
                <w:sz w:val="18"/>
                <w:szCs w:val="18"/>
              </w:rPr>
            </w:pPr>
            <w:r>
              <w:rPr>
                <w:spacing w:val="-1"/>
                <w:sz w:val="18"/>
                <w:szCs w:val="18"/>
              </w:rPr>
              <w:t>212</w:t>
            </w:r>
          </w:p>
        </w:tc>
        <w:tc>
          <w:tcPr>
            <w:tcW w:w="705" w:type="dxa"/>
            <w:vAlign w:val="top"/>
          </w:tcPr>
          <w:p w14:paraId="52D94713">
            <w:pPr>
              <w:pStyle w:val="6"/>
              <w:spacing w:before="89" w:line="221" w:lineRule="auto"/>
              <w:ind w:left="209"/>
              <w:rPr>
                <w:sz w:val="18"/>
                <w:szCs w:val="18"/>
              </w:rPr>
            </w:pPr>
            <w:r>
              <w:rPr>
                <w:spacing w:val="-2"/>
                <w:sz w:val="18"/>
                <w:szCs w:val="18"/>
              </w:rPr>
              <w:t>330</w:t>
            </w:r>
          </w:p>
        </w:tc>
        <w:tc>
          <w:tcPr>
            <w:tcW w:w="570" w:type="dxa"/>
            <w:vAlign w:val="top"/>
          </w:tcPr>
          <w:p w14:paraId="4387865F">
            <w:pPr>
              <w:pStyle w:val="6"/>
              <w:spacing w:before="89" w:line="221" w:lineRule="auto"/>
              <w:ind w:left="185"/>
              <w:rPr>
                <w:sz w:val="18"/>
                <w:szCs w:val="18"/>
              </w:rPr>
            </w:pPr>
            <w:r>
              <w:rPr>
                <w:spacing w:val="-2"/>
                <w:sz w:val="18"/>
                <w:szCs w:val="18"/>
              </w:rPr>
              <w:t>75</w:t>
            </w:r>
          </w:p>
        </w:tc>
        <w:tc>
          <w:tcPr>
            <w:tcW w:w="423" w:type="dxa"/>
            <w:vAlign w:val="top"/>
          </w:tcPr>
          <w:p w14:paraId="6BFC0046">
            <w:pPr>
              <w:pStyle w:val="6"/>
              <w:spacing w:before="92" w:line="186" w:lineRule="auto"/>
              <w:ind w:left="72"/>
              <w:rPr>
                <w:sz w:val="18"/>
                <w:szCs w:val="18"/>
              </w:rPr>
            </w:pPr>
            <w:r>
              <w:rPr>
                <w:spacing w:val="-5"/>
                <w:sz w:val="18"/>
                <w:szCs w:val="18"/>
              </w:rPr>
              <w:t>10L</w:t>
            </w:r>
          </w:p>
        </w:tc>
        <w:tc>
          <w:tcPr>
            <w:tcW w:w="567" w:type="dxa"/>
            <w:vAlign w:val="top"/>
          </w:tcPr>
          <w:p w14:paraId="13B1408D">
            <w:pPr>
              <w:pStyle w:val="6"/>
              <w:spacing w:before="89" w:line="221" w:lineRule="auto"/>
              <w:ind w:left="63"/>
              <w:rPr>
                <w:sz w:val="18"/>
                <w:szCs w:val="18"/>
              </w:rPr>
            </w:pPr>
            <w:r>
              <w:rPr>
                <w:spacing w:val="-2"/>
                <w:sz w:val="18"/>
                <w:szCs w:val="18"/>
              </w:rPr>
              <w:t>0.03L</w:t>
            </w:r>
          </w:p>
        </w:tc>
        <w:tc>
          <w:tcPr>
            <w:tcW w:w="545" w:type="dxa"/>
            <w:vAlign w:val="top"/>
          </w:tcPr>
          <w:p w14:paraId="2027F830">
            <w:pPr>
              <w:pStyle w:val="6"/>
              <w:spacing w:before="89" w:line="221" w:lineRule="auto"/>
              <w:ind w:left="53"/>
              <w:rPr>
                <w:sz w:val="18"/>
                <w:szCs w:val="18"/>
              </w:rPr>
            </w:pPr>
            <w:r>
              <w:rPr>
                <w:spacing w:val="-2"/>
                <w:sz w:val="18"/>
                <w:szCs w:val="18"/>
              </w:rPr>
              <w:t>0.02L</w:t>
            </w:r>
          </w:p>
        </w:tc>
        <w:tc>
          <w:tcPr>
            <w:tcW w:w="472" w:type="dxa"/>
            <w:vAlign w:val="top"/>
          </w:tcPr>
          <w:p w14:paraId="523B1FFA">
            <w:pPr>
              <w:pStyle w:val="6"/>
              <w:spacing w:before="89" w:line="221" w:lineRule="auto"/>
              <w:ind w:left="18"/>
              <w:rPr>
                <w:sz w:val="18"/>
                <w:szCs w:val="18"/>
              </w:rPr>
            </w:pPr>
            <w:r>
              <w:rPr>
                <w:spacing w:val="-2"/>
                <w:sz w:val="18"/>
                <w:szCs w:val="18"/>
              </w:rPr>
              <w:t>0.01L</w:t>
            </w:r>
          </w:p>
        </w:tc>
        <w:tc>
          <w:tcPr>
            <w:tcW w:w="562" w:type="dxa"/>
            <w:vAlign w:val="top"/>
          </w:tcPr>
          <w:p w14:paraId="3AEADC50">
            <w:pPr>
              <w:pStyle w:val="6"/>
              <w:spacing w:before="89" w:line="221" w:lineRule="auto"/>
              <w:ind w:left="19"/>
              <w:rPr>
                <w:sz w:val="18"/>
                <w:szCs w:val="18"/>
              </w:rPr>
            </w:pPr>
            <w:r>
              <w:rPr>
                <w:spacing w:val="-2"/>
                <w:sz w:val="18"/>
                <w:szCs w:val="18"/>
              </w:rPr>
              <w:t>0.006L</w:t>
            </w:r>
          </w:p>
        </w:tc>
        <w:tc>
          <w:tcPr>
            <w:tcW w:w="651" w:type="dxa"/>
            <w:vAlign w:val="top"/>
          </w:tcPr>
          <w:p w14:paraId="7486D1E3">
            <w:pPr>
              <w:pStyle w:val="6"/>
              <w:spacing w:before="89" w:line="221" w:lineRule="auto"/>
              <w:ind w:left="18"/>
              <w:rPr>
                <w:sz w:val="18"/>
                <w:szCs w:val="18"/>
              </w:rPr>
            </w:pPr>
            <w:r>
              <w:rPr>
                <w:spacing w:val="-1"/>
                <w:sz w:val="18"/>
                <w:szCs w:val="18"/>
              </w:rPr>
              <w:t>0.0003L</w:t>
            </w:r>
          </w:p>
        </w:tc>
        <w:tc>
          <w:tcPr>
            <w:tcW w:w="884" w:type="dxa"/>
            <w:vAlign w:val="top"/>
          </w:tcPr>
          <w:p w14:paraId="5AE8D863">
            <w:pPr>
              <w:pStyle w:val="6"/>
              <w:spacing w:before="89" w:line="221" w:lineRule="auto"/>
              <w:ind w:left="226"/>
              <w:rPr>
                <w:sz w:val="18"/>
                <w:szCs w:val="18"/>
              </w:rPr>
            </w:pPr>
            <w:r>
              <w:rPr>
                <w:spacing w:val="-2"/>
                <w:sz w:val="18"/>
                <w:szCs w:val="18"/>
              </w:rPr>
              <w:t>0.05L</w:t>
            </w:r>
          </w:p>
        </w:tc>
        <w:tc>
          <w:tcPr>
            <w:tcW w:w="709" w:type="dxa"/>
            <w:vAlign w:val="top"/>
          </w:tcPr>
          <w:p w14:paraId="5866D5E9">
            <w:pPr>
              <w:pStyle w:val="6"/>
              <w:spacing w:before="89" w:line="221" w:lineRule="auto"/>
              <w:ind w:left="194"/>
              <w:rPr>
                <w:sz w:val="18"/>
                <w:szCs w:val="18"/>
              </w:rPr>
            </w:pPr>
            <w:r>
              <w:rPr>
                <w:spacing w:val="-2"/>
                <w:sz w:val="18"/>
                <w:szCs w:val="18"/>
              </w:rPr>
              <w:t>0.02</w:t>
            </w:r>
          </w:p>
        </w:tc>
        <w:tc>
          <w:tcPr>
            <w:tcW w:w="703" w:type="dxa"/>
            <w:vAlign w:val="top"/>
          </w:tcPr>
          <w:p w14:paraId="2C7FF0DE">
            <w:pPr>
              <w:pStyle w:val="6"/>
              <w:spacing w:before="89" w:line="221" w:lineRule="auto"/>
              <w:ind w:left="193"/>
              <w:rPr>
                <w:sz w:val="18"/>
                <w:szCs w:val="18"/>
              </w:rPr>
            </w:pPr>
            <w:r>
              <w:rPr>
                <w:spacing w:val="-2"/>
                <w:sz w:val="18"/>
                <w:szCs w:val="18"/>
              </w:rPr>
              <w:t>0.24</w:t>
            </w:r>
          </w:p>
        </w:tc>
        <w:tc>
          <w:tcPr>
            <w:tcW w:w="708" w:type="dxa"/>
            <w:vAlign w:val="top"/>
          </w:tcPr>
          <w:p w14:paraId="57D07A7D">
            <w:pPr>
              <w:pStyle w:val="6"/>
              <w:spacing w:before="89" w:line="221" w:lineRule="auto"/>
              <w:ind w:left="96"/>
              <w:rPr>
                <w:sz w:val="18"/>
                <w:szCs w:val="18"/>
              </w:rPr>
            </w:pPr>
            <w:r>
              <w:rPr>
                <w:spacing w:val="-2"/>
                <w:sz w:val="18"/>
                <w:szCs w:val="18"/>
              </w:rPr>
              <w:t>0.003L</w:t>
            </w:r>
          </w:p>
        </w:tc>
        <w:tc>
          <w:tcPr>
            <w:tcW w:w="764" w:type="dxa"/>
            <w:vAlign w:val="top"/>
          </w:tcPr>
          <w:p w14:paraId="23086CA1">
            <w:pPr>
              <w:pStyle w:val="6"/>
              <w:spacing w:before="89" w:line="221" w:lineRule="auto"/>
              <w:ind w:left="126"/>
              <w:rPr>
                <w:sz w:val="18"/>
                <w:szCs w:val="18"/>
              </w:rPr>
            </w:pPr>
            <w:r>
              <w:rPr>
                <w:spacing w:val="-2"/>
                <w:sz w:val="18"/>
                <w:szCs w:val="18"/>
              </w:rPr>
              <w:t>0.025L</w:t>
            </w:r>
          </w:p>
        </w:tc>
        <w:tc>
          <w:tcPr>
            <w:tcW w:w="586" w:type="dxa"/>
            <w:vAlign w:val="top"/>
          </w:tcPr>
          <w:p w14:paraId="4D30A55D">
            <w:pPr>
              <w:pStyle w:val="6"/>
              <w:spacing w:before="89" w:line="221" w:lineRule="auto"/>
              <w:ind w:left="139"/>
              <w:rPr>
                <w:sz w:val="18"/>
                <w:szCs w:val="18"/>
              </w:rPr>
            </w:pPr>
            <w:r>
              <w:rPr>
                <w:spacing w:val="-2"/>
                <w:sz w:val="18"/>
                <w:szCs w:val="18"/>
              </w:rPr>
              <w:t>0.13</w:t>
            </w:r>
          </w:p>
        </w:tc>
        <w:tc>
          <w:tcPr>
            <w:tcW w:w="582" w:type="dxa"/>
            <w:vAlign w:val="top"/>
          </w:tcPr>
          <w:p w14:paraId="0CBD9C4A">
            <w:pPr>
              <w:pStyle w:val="6"/>
              <w:spacing w:before="89" w:line="221" w:lineRule="auto"/>
              <w:ind w:left="38"/>
              <w:rPr>
                <w:sz w:val="18"/>
                <w:szCs w:val="18"/>
              </w:rPr>
            </w:pPr>
            <w:r>
              <w:rPr>
                <w:spacing w:val="-2"/>
                <w:sz w:val="18"/>
                <w:szCs w:val="18"/>
              </w:rPr>
              <w:t>0.004L</w:t>
            </w:r>
          </w:p>
        </w:tc>
        <w:tc>
          <w:tcPr>
            <w:tcW w:w="745" w:type="dxa"/>
            <w:vAlign w:val="top"/>
          </w:tcPr>
          <w:p w14:paraId="75D523A4">
            <w:pPr>
              <w:pStyle w:val="6"/>
              <w:spacing w:before="89" w:line="221" w:lineRule="auto"/>
              <w:ind w:left="31"/>
              <w:rPr>
                <w:sz w:val="18"/>
                <w:szCs w:val="18"/>
              </w:rPr>
            </w:pPr>
            <w:r>
              <w:rPr>
                <w:spacing w:val="-1"/>
                <w:sz w:val="18"/>
                <w:szCs w:val="18"/>
              </w:rPr>
              <w:t>0.00004L</w:t>
            </w:r>
          </w:p>
        </w:tc>
        <w:tc>
          <w:tcPr>
            <w:tcW w:w="651" w:type="dxa"/>
            <w:vAlign w:val="top"/>
          </w:tcPr>
          <w:p w14:paraId="406235F9">
            <w:pPr>
              <w:pStyle w:val="6"/>
              <w:spacing w:before="89" w:line="221" w:lineRule="auto"/>
              <w:ind w:left="29"/>
              <w:rPr>
                <w:sz w:val="18"/>
                <w:szCs w:val="18"/>
              </w:rPr>
            </w:pPr>
            <w:r>
              <w:rPr>
                <w:spacing w:val="-1"/>
                <w:sz w:val="18"/>
                <w:szCs w:val="18"/>
              </w:rPr>
              <w:t>0.0003L</w:t>
            </w:r>
          </w:p>
        </w:tc>
        <w:tc>
          <w:tcPr>
            <w:tcW w:w="652" w:type="dxa"/>
            <w:vAlign w:val="top"/>
          </w:tcPr>
          <w:p w14:paraId="6B781174">
            <w:pPr>
              <w:pStyle w:val="6"/>
              <w:spacing w:before="89" w:line="221" w:lineRule="auto"/>
              <w:ind w:left="30"/>
              <w:rPr>
                <w:sz w:val="18"/>
                <w:szCs w:val="18"/>
              </w:rPr>
            </w:pPr>
            <w:r>
              <w:rPr>
                <w:spacing w:val="-1"/>
                <w:sz w:val="18"/>
                <w:szCs w:val="18"/>
              </w:rPr>
              <w:t>0.0004L</w:t>
            </w:r>
          </w:p>
        </w:tc>
        <w:tc>
          <w:tcPr>
            <w:tcW w:w="566" w:type="dxa"/>
            <w:vAlign w:val="top"/>
          </w:tcPr>
          <w:p w14:paraId="3A2BC306">
            <w:pPr>
              <w:pStyle w:val="6"/>
              <w:spacing w:before="89" w:line="221" w:lineRule="auto"/>
              <w:ind w:left="32"/>
              <w:rPr>
                <w:sz w:val="18"/>
                <w:szCs w:val="18"/>
              </w:rPr>
            </w:pPr>
            <w:r>
              <w:rPr>
                <w:spacing w:val="-2"/>
                <w:sz w:val="18"/>
                <w:szCs w:val="18"/>
              </w:rPr>
              <w:t>0.001L</w:t>
            </w:r>
          </w:p>
        </w:tc>
        <w:tc>
          <w:tcPr>
            <w:tcW w:w="582" w:type="dxa"/>
            <w:vAlign w:val="top"/>
          </w:tcPr>
          <w:p w14:paraId="0E90781B">
            <w:pPr>
              <w:pStyle w:val="6"/>
              <w:spacing w:before="89" w:line="221" w:lineRule="auto"/>
              <w:ind w:left="41"/>
              <w:rPr>
                <w:sz w:val="18"/>
                <w:szCs w:val="18"/>
              </w:rPr>
            </w:pPr>
            <w:r>
              <w:rPr>
                <w:spacing w:val="-2"/>
                <w:sz w:val="18"/>
                <w:szCs w:val="18"/>
              </w:rPr>
              <w:t>0.004L</w:t>
            </w:r>
          </w:p>
        </w:tc>
        <w:tc>
          <w:tcPr>
            <w:tcW w:w="476" w:type="dxa"/>
            <w:vAlign w:val="top"/>
          </w:tcPr>
          <w:p w14:paraId="3E27B0D8">
            <w:pPr>
              <w:pStyle w:val="6"/>
              <w:spacing w:before="89" w:line="221" w:lineRule="auto"/>
              <w:ind w:left="34"/>
              <w:rPr>
                <w:sz w:val="18"/>
                <w:szCs w:val="18"/>
              </w:rPr>
            </w:pPr>
            <w:r>
              <w:rPr>
                <w:spacing w:val="-2"/>
                <w:sz w:val="18"/>
                <w:szCs w:val="18"/>
              </w:rPr>
              <w:t>0.01L</w:t>
            </w:r>
          </w:p>
        </w:tc>
        <w:tc>
          <w:tcPr>
            <w:tcW w:w="567" w:type="dxa"/>
            <w:vAlign w:val="top"/>
          </w:tcPr>
          <w:p w14:paraId="27885A8C">
            <w:pPr>
              <w:pStyle w:val="6"/>
              <w:spacing w:before="89" w:line="221" w:lineRule="auto"/>
              <w:ind w:left="91"/>
              <w:rPr>
                <w:sz w:val="18"/>
                <w:szCs w:val="18"/>
              </w:rPr>
            </w:pPr>
            <w:r>
              <w:rPr>
                <w:spacing w:val="-2"/>
                <w:sz w:val="18"/>
                <w:szCs w:val="18"/>
              </w:rPr>
              <w:t>0.009</w:t>
            </w:r>
          </w:p>
        </w:tc>
        <w:tc>
          <w:tcPr>
            <w:tcW w:w="765" w:type="dxa"/>
            <w:vAlign w:val="top"/>
          </w:tcPr>
          <w:p w14:paraId="3CAEF2B1">
            <w:pPr>
              <w:pStyle w:val="6"/>
              <w:spacing w:before="89" w:line="221" w:lineRule="auto"/>
              <w:ind w:left="361"/>
              <w:rPr>
                <w:sz w:val="18"/>
                <w:szCs w:val="18"/>
              </w:rPr>
            </w:pPr>
            <w:r>
              <w:rPr>
                <w:sz w:val="18"/>
                <w:szCs w:val="18"/>
              </w:rPr>
              <w:t>/</w:t>
            </w:r>
          </w:p>
        </w:tc>
        <w:tc>
          <w:tcPr>
            <w:tcW w:w="424" w:type="dxa"/>
            <w:vAlign w:val="top"/>
          </w:tcPr>
          <w:p w14:paraId="35B98368">
            <w:pPr>
              <w:pStyle w:val="6"/>
              <w:spacing w:before="89" w:line="221" w:lineRule="auto"/>
              <w:ind w:left="90"/>
              <w:rPr>
                <w:sz w:val="18"/>
                <w:szCs w:val="18"/>
              </w:rPr>
            </w:pPr>
            <w:r>
              <w:rPr>
                <w:spacing w:val="-2"/>
                <w:sz w:val="18"/>
                <w:szCs w:val="18"/>
              </w:rPr>
              <w:t>342</w:t>
            </w:r>
          </w:p>
        </w:tc>
        <w:tc>
          <w:tcPr>
            <w:tcW w:w="427" w:type="dxa"/>
            <w:vAlign w:val="top"/>
          </w:tcPr>
          <w:p w14:paraId="0714469E">
            <w:pPr>
              <w:pStyle w:val="6"/>
              <w:spacing w:before="89" w:line="221" w:lineRule="auto"/>
              <w:ind w:left="68"/>
              <w:rPr>
                <w:sz w:val="18"/>
                <w:szCs w:val="18"/>
              </w:rPr>
            </w:pPr>
            <w:r>
              <w:rPr>
                <w:spacing w:val="-2"/>
                <w:sz w:val="18"/>
                <w:szCs w:val="18"/>
              </w:rPr>
              <w:t>0.58</w:t>
            </w:r>
          </w:p>
        </w:tc>
        <w:tc>
          <w:tcPr>
            <w:tcW w:w="424" w:type="dxa"/>
            <w:vAlign w:val="top"/>
          </w:tcPr>
          <w:p w14:paraId="682C8AC5">
            <w:pPr>
              <w:pStyle w:val="6"/>
              <w:spacing w:before="89" w:line="221" w:lineRule="auto"/>
              <w:ind w:left="82"/>
              <w:rPr>
                <w:sz w:val="18"/>
                <w:szCs w:val="18"/>
              </w:rPr>
            </w:pPr>
            <w:r>
              <w:rPr>
                <w:spacing w:val="-6"/>
                <w:sz w:val="18"/>
                <w:szCs w:val="18"/>
              </w:rPr>
              <w:t>1.84</w:t>
            </w:r>
          </w:p>
        </w:tc>
        <w:tc>
          <w:tcPr>
            <w:tcW w:w="423" w:type="dxa"/>
            <w:vAlign w:val="top"/>
          </w:tcPr>
          <w:p w14:paraId="12AC0CFD">
            <w:pPr>
              <w:pStyle w:val="6"/>
              <w:spacing w:before="89" w:line="221" w:lineRule="auto"/>
              <w:ind w:left="68"/>
              <w:rPr>
                <w:sz w:val="18"/>
                <w:szCs w:val="18"/>
              </w:rPr>
            </w:pPr>
            <w:r>
              <w:rPr>
                <w:spacing w:val="-2"/>
                <w:sz w:val="18"/>
                <w:szCs w:val="18"/>
              </w:rPr>
              <w:t>6.58</w:t>
            </w:r>
          </w:p>
        </w:tc>
        <w:tc>
          <w:tcPr>
            <w:tcW w:w="472" w:type="dxa"/>
            <w:vAlign w:val="top"/>
          </w:tcPr>
          <w:p w14:paraId="32C9E126">
            <w:pPr>
              <w:pStyle w:val="6"/>
              <w:spacing w:before="89" w:line="221" w:lineRule="auto"/>
              <w:ind w:left="95"/>
              <w:rPr>
                <w:sz w:val="18"/>
                <w:szCs w:val="18"/>
              </w:rPr>
            </w:pPr>
            <w:r>
              <w:rPr>
                <w:spacing w:val="-3"/>
                <w:sz w:val="18"/>
                <w:szCs w:val="18"/>
              </w:rPr>
              <w:t>54.0</w:t>
            </w:r>
          </w:p>
        </w:tc>
        <w:tc>
          <w:tcPr>
            <w:tcW w:w="377" w:type="dxa"/>
            <w:tcBorders>
              <w:right w:val="single" w:color="000000" w:sz="12" w:space="0"/>
            </w:tcBorders>
            <w:vAlign w:val="top"/>
          </w:tcPr>
          <w:p w14:paraId="0A6EC608">
            <w:pPr>
              <w:pStyle w:val="6"/>
              <w:spacing w:before="89" w:line="221" w:lineRule="auto"/>
              <w:ind w:left="32"/>
              <w:rPr>
                <w:sz w:val="18"/>
                <w:szCs w:val="18"/>
              </w:rPr>
            </w:pPr>
            <w:r>
              <w:rPr>
                <w:spacing w:val="-1"/>
                <w:sz w:val="18"/>
                <w:szCs w:val="18"/>
              </w:rPr>
              <w:t>21.1</w:t>
            </w:r>
          </w:p>
        </w:tc>
      </w:tr>
      <w:tr w14:paraId="6D47E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0EBEC79E">
            <w:pPr>
              <w:rPr>
                <w:rFonts w:ascii="Arial"/>
                <w:sz w:val="21"/>
              </w:rPr>
            </w:pPr>
          </w:p>
        </w:tc>
        <w:tc>
          <w:tcPr>
            <w:tcW w:w="268" w:type="dxa"/>
            <w:vMerge w:val="restart"/>
            <w:tcBorders>
              <w:bottom w:val="nil"/>
            </w:tcBorders>
            <w:vAlign w:val="top"/>
          </w:tcPr>
          <w:p w14:paraId="5621FA72">
            <w:pPr>
              <w:pStyle w:val="6"/>
              <w:spacing w:before="149" w:line="226" w:lineRule="auto"/>
              <w:ind w:left="73"/>
              <w:rPr>
                <w:sz w:val="18"/>
                <w:szCs w:val="18"/>
              </w:rPr>
            </w:pPr>
            <w:r>
              <w:rPr>
                <w:sz w:val="18"/>
                <w:szCs w:val="18"/>
              </w:rPr>
              <w:t>2</w:t>
            </w:r>
          </w:p>
          <w:p w14:paraId="24019FD1">
            <w:pPr>
              <w:spacing w:line="226" w:lineRule="auto"/>
              <w:ind w:left="31"/>
              <w:rPr>
                <w:rFonts w:ascii="等线" w:hAnsi="等线" w:eastAsia="等线" w:cs="等线"/>
                <w:sz w:val="18"/>
                <w:szCs w:val="18"/>
              </w:rPr>
            </w:pPr>
            <w:r>
              <w:rPr>
                <w:rFonts w:ascii="等线" w:hAnsi="等线" w:eastAsia="等线" w:cs="等线"/>
                <w:sz w:val="18"/>
                <w:szCs w:val="18"/>
              </w:rPr>
              <w:t>季</w:t>
            </w:r>
          </w:p>
          <w:p w14:paraId="020F82FC">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035B06E6">
            <w:pPr>
              <w:pStyle w:val="6"/>
              <w:spacing w:before="90" w:line="222" w:lineRule="auto"/>
              <w:ind w:left="138"/>
              <w:rPr>
                <w:sz w:val="18"/>
                <w:szCs w:val="18"/>
              </w:rPr>
            </w:pPr>
            <w:r>
              <w:rPr>
                <w:spacing w:val="-1"/>
                <w:sz w:val="18"/>
                <w:szCs w:val="18"/>
              </w:rPr>
              <w:t>2020/5/20</w:t>
            </w:r>
          </w:p>
        </w:tc>
        <w:tc>
          <w:tcPr>
            <w:tcW w:w="774" w:type="dxa"/>
            <w:vAlign w:val="top"/>
          </w:tcPr>
          <w:p w14:paraId="66DBF140">
            <w:pPr>
              <w:pStyle w:val="6"/>
              <w:spacing w:before="90" w:line="222" w:lineRule="auto"/>
              <w:ind w:left="219"/>
              <w:rPr>
                <w:sz w:val="18"/>
                <w:szCs w:val="18"/>
              </w:rPr>
            </w:pPr>
            <w:r>
              <w:rPr>
                <w:spacing w:val="-2"/>
                <w:sz w:val="18"/>
                <w:szCs w:val="18"/>
              </w:rPr>
              <w:t>7.12</w:t>
            </w:r>
          </w:p>
        </w:tc>
        <w:tc>
          <w:tcPr>
            <w:tcW w:w="741" w:type="dxa"/>
            <w:vAlign w:val="top"/>
          </w:tcPr>
          <w:p w14:paraId="5112419F">
            <w:pPr>
              <w:pStyle w:val="6"/>
              <w:spacing w:before="90" w:line="222" w:lineRule="auto"/>
              <w:ind w:left="222"/>
              <w:rPr>
                <w:sz w:val="18"/>
                <w:szCs w:val="18"/>
              </w:rPr>
            </w:pPr>
            <w:r>
              <w:rPr>
                <w:spacing w:val="-1"/>
                <w:sz w:val="18"/>
                <w:szCs w:val="18"/>
              </w:rPr>
              <w:t>222</w:t>
            </w:r>
          </w:p>
        </w:tc>
        <w:tc>
          <w:tcPr>
            <w:tcW w:w="705" w:type="dxa"/>
            <w:vAlign w:val="top"/>
          </w:tcPr>
          <w:p w14:paraId="756655FD">
            <w:pPr>
              <w:pStyle w:val="6"/>
              <w:spacing w:before="90" w:line="222" w:lineRule="auto"/>
              <w:ind w:left="209"/>
              <w:rPr>
                <w:sz w:val="18"/>
                <w:szCs w:val="18"/>
              </w:rPr>
            </w:pPr>
            <w:r>
              <w:rPr>
                <w:spacing w:val="-2"/>
                <w:sz w:val="18"/>
                <w:szCs w:val="18"/>
              </w:rPr>
              <w:t>312</w:t>
            </w:r>
          </w:p>
        </w:tc>
        <w:tc>
          <w:tcPr>
            <w:tcW w:w="570" w:type="dxa"/>
            <w:vAlign w:val="top"/>
          </w:tcPr>
          <w:p w14:paraId="0F1D9E0E">
            <w:pPr>
              <w:pStyle w:val="6"/>
              <w:spacing w:before="90" w:line="222" w:lineRule="auto"/>
              <w:ind w:left="185"/>
              <w:rPr>
                <w:sz w:val="18"/>
                <w:szCs w:val="18"/>
              </w:rPr>
            </w:pPr>
            <w:r>
              <w:rPr>
                <w:spacing w:val="-2"/>
                <w:sz w:val="18"/>
                <w:szCs w:val="18"/>
              </w:rPr>
              <w:t>70</w:t>
            </w:r>
          </w:p>
        </w:tc>
        <w:tc>
          <w:tcPr>
            <w:tcW w:w="423" w:type="dxa"/>
            <w:vAlign w:val="top"/>
          </w:tcPr>
          <w:p w14:paraId="0832848C">
            <w:pPr>
              <w:pStyle w:val="6"/>
              <w:spacing w:before="93" w:line="186" w:lineRule="auto"/>
              <w:ind w:left="72"/>
              <w:rPr>
                <w:sz w:val="18"/>
                <w:szCs w:val="18"/>
              </w:rPr>
            </w:pPr>
            <w:r>
              <w:rPr>
                <w:spacing w:val="-5"/>
                <w:sz w:val="18"/>
                <w:szCs w:val="18"/>
              </w:rPr>
              <w:t>10L</w:t>
            </w:r>
          </w:p>
        </w:tc>
        <w:tc>
          <w:tcPr>
            <w:tcW w:w="567" w:type="dxa"/>
            <w:vAlign w:val="top"/>
          </w:tcPr>
          <w:p w14:paraId="447A57E4">
            <w:pPr>
              <w:pStyle w:val="6"/>
              <w:spacing w:before="90" w:line="222" w:lineRule="auto"/>
              <w:ind w:left="63"/>
              <w:rPr>
                <w:sz w:val="18"/>
                <w:szCs w:val="18"/>
              </w:rPr>
            </w:pPr>
            <w:r>
              <w:rPr>
                <w:spacing w:val="-2"/>
                <w:sz w:val="18"/>
                <w:szCs w:val="18"/>
              </w:rPr>
              <w:t>0.03L</w:t>
            </w:r>
          </w:p>
        </w:tc>
        <w:tc>
          <w:tcPr>
            <w:tcW w:w="545" w:type="dxa"/>
            <w:vAlign w:val="top"/>
          </w:tcPr>
          <w:p w14:paraId="0B47CDF3">
            <w:pPr>
              <w:pStyle w:val="6"/>
              <w:spacing w:before="90" w:line="222" w:lineRule="auto"/>
              <w:ind w:left="53"/>
              <w:rPr>
                <w:sz w:val="18"/>
                <w:szCs w:val="18"/>
              </w:rPr>
            </w:pPr>
            <w:r>
              <w:rPr>
                <w:spacing w:val="-2"/>
                <w:sz w:val="18"/>
                <w:szCs w:val="18"/>
              </w:rPr>
              <w:t>0.02L</w:t>
            </w:r>
          </w:p>
        </w:tc>
        <w:tc>
          <w:tcPr>
            <w:tcW w:w="472" w:type="dxa"/>
            <w:vAlign w:val="top"/>
          </w:tcPr>
          <w:p w14:paraId="34668E11">
            <w:pPr>
              <w:pStyle w:val="6"/>
              <w:spacing w:before="90" w:line="222" w:lineRule="auto"/>
              <w:ind w:left="18"/>
              <w:rPr>
                <w:sz w:val="18"/>
                <w:szCs w:val="18"/>
              </w:rPr>
            </w:pPr>
            <w:r>
              <w:rPr>
                <w:spacing w:val="-2"/>
                <w:sz w:val="18"/>
                <w:szCs w:val="18"/>
              </w:rPr>
              <w:t>0.01L</w:t>
            </w:r>
          </w:p>
        </w:tc>
        <w:tc>
          <w:tcPr>
            <w:tcW w:w="562" w:type="dxa"/>
            <w:vAlign w:val="top"/>
          </w:tcPr>
          <w:p w14:paraId="4BDF50D4">
            <w:pPr>
              <w:pStyle w:val="6"/>
              <w:spacing w:before="90" w:line="222" w:lineRule="auto"/>
              <w:ind w:left="74"/>
              <w:rPr>
                <w:sz w:val="18"/>
                <w:szCs w:val="18"/>
              </w:rPr>
            </w:pPr>
            <w:r>
              <w:rPr>
                <w:spacing w:val="-2"/>
                <w:sz w:val="18"/>
                <w:szCs w:val="18"/>
              </w:rPr>
              <w:t>0.018</w:t>
            </w:r>
          </w:p>
        </w:tc>
        <w:tc>
          <w:tcPr>
            <w:tcW w:w="651" w:type="dxa"/>
            <w:vAlign w:val="top"/>
          </w:tcPr>
          <w:p w14:paraId="78AA63DE">
            <w:pPr>
              <w:pStyle w:val="6"/>
              <w:spacing w:before="90" w:line="222" w:lineRule="auto"/>
              <w:ind w:left="18"/>
              <w:rPr>
                <w:sz w:val="18"/>
                <w:szCs w:val="18"/>
              </w:rPr>
            </w:pPr>
            <w:r>
              <w:rPr>
                <w:spacing w:val="-1"/>
                <w:sz w:val="18"/>
                <w:szCs w:val="18"/>
              </w:rPr>
              <w:t>0.0003L</w:t>
            </w:r>
          </w:p>
        </w:tc>
        <w:tc>
          <w:tcPr>
            <w:tcW w:w="884" w:type="dxa"/>
            <w:vAlign w:val="top"/>
          </w:tcPr>
          <w:p w14:paraId="63B0A60F">
            <w:pPr>
              <w:pStyle w:val="6"/>
              <w:spacing w:before="90" w:line="222" w:lineRule="auto"/>
              <w:ind w:left="226"/>
              <w:rPr>
                <w:sz w:val="18"/>
                <w:szCs w:val="18"/>
              </w:rPr>
            </w:pPr>
            <w:r>
              <w:rPr>
                <w:spacing w:val="-2"/>
                <w:sz w:val="18"/>
                <w:szCs w:val="18"/>
              </w:rPr>
              <w:t>0.05L</w:t>
            </w:r>
          </w:p>
        </w:tc>
        <w:tc>
          <w:tcPr>
            <w:tcW w:w="709" w:type="dxa"/>
            <w:vAlign w:val="top"/>
          </w:tcPr>
          <w:p w14:paraId="5D21BB24">
            <w:pPr>
              <w:pStyle w:val="6"/>
              <w:spacing w:before="90" w:line="222" w:lineRule="auto"/>
              <w:ind w:left="194"/>
              <w:rPr>
                <w:sz w:val="18"/>
                <w:szCs w:val="18"/>
              </w:rPr>
            </w:pPr>
            <w:r>
              <w:rPr>
                <w:spacing w:val="-2"/>
                <w:sz w:val="18"/>
                <w:szCs w:val="18"/>
              </w:rPr>
              <w:t>0.02</w:t>
            </w:r>
          </w:p>
        </w:tc>
        <w:tc>
          <w:tcPr>
            <w:tcW w:w="703" w:type="dxa"/>
            <w:vAlign w:val="top"/>
          </w:tcPr>
          <w:p w14:paraId="41332D60">
            <w:pPr>
              <w:pStyle w:val="6"/>
              <w:spacing w:before="90" w:line="222" w:lineRule="auto"/>
              <w:ind w:left="193"/>
              <w:rPr>
                <w:sz w:val="18"/>
                <w:szCs w:val="18"/>
              </w:rPr>
            </w:pPr>
            <w:r>
              <w:rPr>
                <w:spacing w:val="-2"/>
                <w:sz w:val="18"/>
                <w:szCs w:val="18"/>
              </w:rPr>
              <w:t>0.17</w:t>
            </w:r>
          </w:p>
        </w:tc>
        <w:tc>
          <w:tcPr>
            <w:tcW w:w="708" w:type="dxa"/>
            <w:vAlign w:val="top"/>
          </w:tcPr>
          <w:p w14:paraId="2A3D185D">
            <w:pPr>
              <w:pStyle w:val="6"/>
              <w:spacing w:before="90" w:line="222" w:lineRule="auto"/>
              <w:ind w:left="96"/>
              <w:rPr>
                <w:sz w:val="18"/>
                <w:szCs w:val="18"/>
              </w:rPr>
            </w:pPr>
            <w:r>
              <w:rPr>
                <w:spacing w:val="-2"/>
                <w:sz w:val="18"/>
                <w:szCs w:val="18"/>
              </w:rPr>
              <w:t>0.003L</w:t>
            </w:r>
          </w:p>
        </w:tc>
        <w:tc>
          <w:tcPr>
            <w:tcW w:w="764" w:type="dxa"/>
            <w:vAlign w:val="top"/>
          </w:tcPr>
          <w:p w14:paraId="5A4BA779">
            <w:pPr>
              <w:pStyle w:val="6"/>
              <w:spacing w:before="90" w:line="222" w:lineRule="auto"/>
              <w:ind w:left="181"/>
              <w:rPr>
                <w:sz w:val="18"/>
                <w:szCs w:val="18"/>
              </w:rPr>
            </w:pPr>
            <w:r>
              <w:rPr>
                <w:spacing w:val="-2"/>
                <w:sz w:val="18"/>
                <w:szCs w:val="18"/>
              </w:rPr>
              <w:t>0.046</w:t>
            </w:r>
          </w:p>
        </w:tc>
        <w:tc>
          <w:tcPr>
            <w:tcW w:w="586" w:type="dxa"/>
            <w:vAlign w:val="top"/>
          </w:tcPr>
          <w:p w14:paraId="33BCF9F5">
            <w:pPr>
              <w:pStyle w:val="6"/>
              <w:spacing w:before="90" w:line="222" w:lineRule="auto"/>
              <w:ind w:left="139"/>
              <w:rPr>
                <w:sz w:val="18"/>
                <w:szCs w:val="18"/>
              </w:rPr>
            </w:pPr>
            <w:r>
              <w:rPr>
                <w:spacing w:val="-2"/>
                <w:sz w:val="18"/>
                <w:szCs w:val="18"/>
              </w:rPr>
              <w:t>0.09</w:t>
            </w:r>
          </w:p>
        </w:tc>
        <w:tc>
          <w:tcPr>
            <w:tcW w:w="582" w:type="dxa"/>
            <w:vAlign w:val="top"/>
          </w:tcPr>
          <w:p w14:paraId="22FD9EF1">
            <w:pPr>
              <w:pStyle w:val="6"/>
              <w:spacing w:before="90" w:line="222" w:lineRule="auto"/>
              <w:ind w:left="38"/>
              <w:rPr>
                <w:sz w:val="18"/>
                <w:szCs w:val="18"/>
              </w:rPr>
            </w:pPr>
            <w:r>
              <w:rPr>
                <w:spacing w:val="-2"/>
                <w:sz w:val="18"/>
                <w:szCs w:val="18"/>
              </w:rPr>
              <w:t>0.004L</w:t>
            </w:r>
          </w:p>
        </w:tc>
        <w:tc>
          <w:tcPr>
            <w:tcW w:w="745" w:type="dxa"/>
            <w:vAlign w:val="top"/>
          </w:tcPr>
          <w:p w14:paraId="211E9F3C">
            <w:pPr>
              <w:pStyle w:val="6"/>
              <w:spacing w:before="90" w:line="222" w:lineRule="auto"/>
              <w:ind w:left="86"/>
              <w:rPr>
                <w:sz w:val="18"/>
                <w:szCs w:val="18"/>
              </w:rPr>
            </w:pPr>
            <w:r>
              <w:rPr>
                <w:spacing w:val="-1"/>
                <w:sz w:val="18"/>
                <w:szCs w:val="18"/>
              </w:rPr>
              <w:t>0.00005</w:t>
            </w:r>
          </w:p>
        </w:tc>
        <w:tc>
          <w:tcPr>
            <w:tcW w:w="651" w:type="dxa"/>
            <w:vAlign w:val="top"/>
          </w:tcPr>
          <w:p w14:paraId="32A63B8E">
            <w:pPr>
              <w:pStyle w:val="6"/>
              <w:spacing w:before="90" w:line="222" w:lineRule="auto"/>
              <w:ind w:left="29"/>
              <w:rPr>
                <w:sz w:val="18"/>
                <w:szCs w:val="18"/>
              </w:rPr>
            </w:pPr>
            <w:r>
              <w:rPr>
                <w:spacing w:val="-1"/>
                <w:sz w:val="18"/>
                <w:szCs w:val="18"/>
              </w:rPr>
              <w:t>0.0003L</w:t>
            </w:r>
          </w:p>
        </w:tc>
        <w:tc>
          <w:tcPr>
            <w:tcW w:w="652" w:type="dxa"/>
            <w:vAlign w:val="top"/>
          </w:tcPr>
          <w:p w14:paraId="73FCF434">
            <w:pPr>
              <w:pStyle w:val="6"/>
              <w:spacing w:before="90" w:line="222" w:lineRule="auto"/>
              <w:ind w:left="30"/>
              <w:rPr>
                <w:sz w:val="18"/>
                <w:szCs w:val="18"/>
              </w:rPr>
            </w:pPr>
            <w:r>
              <w:rPr>
                <w:spacing w:val="-1"/>
                <w:sz w:val="18"/>
                <w:szCs w:val="18"/>
              </w:rPr>
              <w:t>0.0004L</w:t>
            </w:r>
          </w:p>
        </w:tc>
        <w:tc>
          <w:tcPr>
            <w:tcW w:w="566" w:type="dxa"/>
            <w:vAlign w:val="top"/>
          </w:tcPr>
          <w:p w14:paraId="7819A3E0">
            <w:pPr>
              <w:pStyle w:val="6"/>
              <w:spacing w:before="90" w:line="222" w:lineRule="auto"/>
              <w:ind w:left="32"/>
              <w:rPr>
                <w:sz w:val="18"/>
                <w:szCs w:val="18"/>
              </w:rPr>
            </w:pPr>
            <w:r>
              <w:rPr>
                <w:spacing w:val="-1"/>
                <w:sz w:val="18"/>
                <w:szCs w:val="18"/>
              </w:rPr>
              <w:t>0.001L</w:t>
            </w:r>
          </w:p>
        </w:tc>
        <w:tc>
          <w:tcPr>
            <w:tcW w:w="582" w:type="dxa"/>
            <w:vAlign w:val="top"/>
          </w:tcPr>
          <w:p w14:paraId="58ABBB63">
            <w:pPr>
              <w:pStyle w:val="6"/>
              <w:spacing w:before="90" w:line="222" w:lineRule="auto"/>
              <w:ind w:left="41"/>
              <w:rPr>
                <w:sz w:val="18"/>
                <w:szCs w:val="18"/>
              </w:rPr>
            </w:pPr>
            <w:r>
              <w:rPr>
                <w:spacing w:val="-2"/>
                <w:sz w:val="18"/>
                <w:szCs w:val="18"/>
              </w:rPr>
              <w:t>0.004L</w:t>
            </w:r>
          </w:p>
        </w:tc>
        <w:tc>
          <w:tcPr>
            <w:tcW w:w="476" w:type="dxa"/>
            <w:vAlign w:val="top"/>
          </w:tcPr>
          <w:p w14:paraId="56A8FD89">
            <w:pPr>
              <w:pStyle w:val="6"/>
              <w:spacing w:before="90" w:line="222" w:lineRule="auto"/>
              <w:ind w:left="34"/>
              <w:rPr>
                <w:sz w:val="18"/>
                <w:szCs w:val="18"/>
              </w:rPr>
            </w:pPr>
            <w:r>
              <w:rPr>
                <w:spacing w:val="-2"/>
                <w:sz w:val="18"/>
                <w:szCs w:val="18"/>
              </w:rPr>
              <w:t>0.01L</w:t>
            </w:r>
          </w:p>
        </w:tc>
        <w:tc>
          <w:tcPr>
            <w:tcW w:w="567" w:type="dxa"/>
            <w:vAlign w:val="top"/>
          </w:tcPr>
          <w:p w14:paraId="47932104">
            <w:pPr>
              <w:pStyle w:val="6"/>
              <w:spacing w:before="90" w:line="222" w:lineRule="auto"/>
              <w:ind w:left="91"/>
              <w:rPr>
                <w:sz w:val="18"/>
                <w:szCs w:val="18"/>
              </w:rPr>
            </w:pPr>
            <w:r>
              <w:rPr>
                <w:spacing w:val="-2"/>
                <w:sz w:val="18"/>
                <w:szCs w:val="18"/>
              </w:rPr>
              <w:t>0.011</w:t>
            </w:r>
          </w:p>
        </w:tc>
        <w:tc>
          <w:tcPr>
            <w:tcW w:w="765" w:type="dxa"/>
            <w:vAlign w:val="top"/>
          </w:tcPr>
          <w:p w14:paraId="4118F507">
            <w:pPr>
              <w:pStyle w:val="6"/>
              <w:spacing w:before="90" w:line="222" w:lineRule="auto"/>
              <w:ind w:left="210"/>
              <w:rPr>
                <w:sz w:val="18"/>
                <w:szCs w:val="18"/>
              </w:rPr>
            </w:pPr>
            <w:r>
              <w:rPr>
                <w:spacing w:val="-1"/>
                <w:sz w:val="18"/>
                <w:szCs w:val="18"/>
              </w:rPr>
              <w:t>2000</w:t>
            </w:r>
          </w:p>
        </w:tc>
        <w:tc>
          <w:tcPr>
            <w:tcW w:w="424" w:type="dxa"/>
            <w:vAlign w:val="top"/>
          </w:tcPr>
          <w:p w14:paraId="144A1266">
            <w:pPr>
              <w:pStyle w:val="6"/>
              <w:spacing w:before="90" w:line="222" w:lineRule="auto"/>
              <w:ind w:left="90"/>
              <w:rPr>
                <w:sz w:val="18"/>
                <w:szCs w:val="18"/>
              </w:rPr>
            </w:pPr>
            <w:r>
              <w:rPr>
                <w:spacing w:val="-2"/>
                <w:sz w:val="18"/>
                <w:szCs w:val="18"/>
              </w:rPr>
              <w:t>341</w:t>
            </w:r>
          </w:p>
        </w:tc>
        <w:tc>
          <w:tcPr>
            <w:tcW w:w="427" w:type="dxa"/>
            <w:vAlign w:val="top"/>
          </w:tcPr>
          <w:p w14:paraId="6E920166">
            <w:pPr>
              <w:pStyle w:val="6"/>
              <w:spacing w:before="90" w:line="222" w:lineRule="auto"/>
              <w:ind w:left="68"/>
              <w:rPr>
                <w:sz w:val="18"/>
                <w:szCs w:val="18"/>
              </w:rPr>
            </w:pPr>
            <w:r>
              <w:rPr>
                <w:spacing w:val="-2"/>
                <w:sz w:val="18"/>
                <w:szCs w:val="18"/>
              </w:rPr>
              <w:t>0.64</w:t>
            </w:r>
          </w:p>
        </w:tc>
        <w:tc>
          <w:tcPr>
            <w:tcW w:w="424" w:type="dxa"/>
            <w:vAlign w:val="top"/>
          </w:tcPr>
          <w:p w14:paraId="2EAF3B01">
            <w:pPr>
              <w:pStyle w:val="6"/>
              <w:spacing w:before="90" w:line="222" w:lineRule="auto"/>
              <w:ind w:left="82"/>
              <w:rPr>
                <w:sz w:val="18"/>
                <w:szCs w:val="18"/>
              </w:rPr>
            </w:pPr>
            <w:r>
              <w:rPr>
                <w:spacing w:val="-6"/>
                <w:sz w:val="18"/>
                <w:szCs w:val="18"/>
              </w:rPr>
              <w:t>1.40</w:t>
            </w:r>
          </w:p>
        </w:tc>
        <w:tc>
          <w:tcPr>
            <w:tcW w:w="423" w:type="dxa"/>
            <w:vAlign w:val="top"/>
          </w:tcPr>
          <w:p w14:paraId="14414628">
            <w:pPr>
              <w:pStyle w:val="6"/>
              <w:spacing w:before="90" w:line="222" w:lineRule="auto"/>
              <w:ind w:left="71"/>
              <w:rPr>
                <w:sz w:val="18"/>
                <w:szCs w:val="18"/>
              </w:rPr>
            </w:pPr>
            <w:r>
              <w:rPr>
                <w:spacing w:val="-3"/>
                <w:sz w:val="18"/>
                <w:szCs w:val="18"/>
              </w:rPr>
              <w:t>8.30</w:t>
            </w:r>
          </w:p>
        </w:tc>
        <w:tc>
          <w:tcPr>
            <w:tcW w:w="472" w:type="dxa"/>
            <w:vAlign w:val="top"/>
          </w:tcPr>
          <w:p w14:paraId="1EE90547">
            <w:pPr>
              <w:pStyle w:val="6"/>
              <w:spacing w:before="90" w:line="222" w:lineRule="auto"/>
              <w:ind w:left="93"/>
              <w:rPr>
                <w:sz w:val="18"/>
                <w:szCs w:val="18"/>
              </w:rPr>
            </w:pPr>
            <w:r>
              <w:rPr>
                <w:spacing w:val="-2"/>
                <w:sz w:val="18"/>
                <w:szCs w:val="18"/>
              </w:rPr>
              <w:t>98.3</w:t>
            </w:r>
          </w:p>
        </w:tc>
        <w:tc>
          <w:tcPr>
            <w:tcW w:w="377" w:type="dxa"/>
            <w:tcBorders>
              <w:right w:val="single" w:color="000000" w:sz="12" w:space="0"/>
            </w:tcBorders>
            <w:vAlign w:val="top"/>
          </w:tcPr>
          <w:p w14:paraId="24B17223">
            <w:pPr>
              <w:pStyle w:val="6"/>
              <w:spacing w:before="90" w:line="222" w:lineRule="auto"/>
              <w:ind w:left="49"/>
              <w:rPr>
                <w:sz w:val="18"/>
                <w:szCs w:val="18"/>
              </w:rPr>
            </w:pPr>
            <w:r>
              <w:rPr>
                <w:spacing w:val="-6"/>
                <w:sz w:val="18"/>
                <w:szCs w:val="18"/>
              </w:rPr>
              <w:t>13.6</w:t>
            </w:r>
          </w:p>
        </w:tc>
      </w:tr>
      <w:tr w14:paraId="5C823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4D221AAD">
            <w:pPr>
              <w:rPr>
                <w:rFonts w:ascii="Arial"/>
                <w:sz w:val="21"/>
              </w:rPr>
            </w:pPr>
          </w:p>
        </w:tc>
        <w:tc>
          <w:tcPr>
            <w:tcW w:w="268" w:type="dxa"/>
            <w:vMerge w:val="continue"/>
            <w:tcBorders>
              <w:top w:val="nil"/>
              <w:bottom w:val="nil"/>
            </w:tcBorders>
            <w:vAlign w:val="top"/>
          </w:tcPr>
          <w:p w14:paraId="05C904C5">
            <w:pPr>
              <w:rPr>
                <w:rFonts w:ascii="Arial"/>
                <w:sz w:val="21"/>
              </w:rPr>
            </w:pPr>
          </w:p>
        </w:tc>
        <w:tc>
          <w:tcPr>
            <w:tcW w:w="1038" w:type="dxa"/>
            <w:vAlign w:val="top"/>
          </w:tcPr>
          <w:p w14:paraId="7E2BDD59">
            <w:pPr>
              <w:pStyle w:val="6"/>
              <w:spacing w:before="91" w:line="221" w:lineRule="auto"/>
              <w:ind w:left="138"/>
              <w:rPr>
                <w:sz w:val="18"/>
                <w:szCs w:val="18"/>
              </w:rPr>
            </w:pPr>
            <w:r>
              <w:rPr>
                <w:spacing w:val="-1"/>
                <w:sz w:val="18"/>
                <w:szCs w:val="18"/>
              </w:rPr>
              <w:t>2020/5/21</w:t>
            </w:r>
          </w:p>
        </w:tc>
        <w:tc>
          <w:tcPr>
            <w:tcW w:w="774" w:type="dxa"/>
            <w:vAlign w:val="top"/>
          </w:tcPr>
          <w:p w14:paraId="456AE366">
            <w:pPr>
              <w:pStyle w:val="6"/>
              <w:spacing w:before="91" w:line="221" w:lineRule="auto"/>
              <w:ind w:left="219"/>
              <w:rPr>
                <w:sz w:val="18"/>
                <w:szCs w:val="18"/>
              </w:rPr>
            </w:pPr>
            <w:r>
              <w:rPr>
                <w:spacing w:val="-2"/>
                <w:sz w:val="18"/>
                <w:szCs w:val="18"/>
              </w:rPr>
              <w:t>7.09</w:t>
            </w:r>
          </w:p>
        </w:tc>
        <w:tc>
          <w:tcPr>
            <w:tcW w:w="741" w:type="dxa"/>
            <w:vAlign w:val="top"/>
          </w:tcPr>
          <w:p w14:paraId="5886ACB6">
            <w:pPr>
              <w:pStyle w:val="6"/>
              <w:spacing w:before="91" w:line="221" w:lineRule="auto"/>
              <w:ind w:left="222"/>
              <w:rPr>
                <w:sz w:val="18"/>
                <w:szCs w:val="18"/>
              </w:rPr>
            </w:pPr>
            <w:r>
              <w:rPr>
                <w:spacing w:val="-1"/>
                <w:sz w:val="18"/>
                <w:szCs w:val="18"/>
              </w:rPr>
              <w:t>209</w:t>
            </w:r>
          </w:p>
        </w:tc>
        <w:tc>
          <w:tcPr>
            <w:tcW w:w="705" w:type="dxa"/>
            <w:vAlign w:val="top"/>
          </w:tcPr>
          <w:p w14:paraId="56A461F1">
            <w:pPr>
              <w:pStyle w:val="6"/>
              <w:spacing w:before="91" w:line="221" w:lineRule="auto"/>
              <w:ind w:left="209"/>
              <w:rPr>
                <w:sz w:val="18"/>
                <w:szCs w:val="18"/>
              </w:rPr>
            </w:pPr>
            <w:r>
              <w:rPr>
                <w:spacing w:val="-2"/>
                <w:sz w:val="18"/>
                <w:szCs w:val="18"/>
              </w:rPr>
              <w:t>308</w:t>
            </w:r>
          </w:p>
        </w:tc>
        <w:tc>
          <w:tcPr>
            <w:tcW w:w="570" w:type="dxa"/>
            <w:vAlign w:val="top"/>
          </w:tcPr>
          <w:p w14:paraId="3F6B0F50">
            <w:pPr>
              <w:pStyle w:val="6"/>
              <w:spacing w:before="91" w:line="221" w:lineRule="auto"/>
              <w:ind w:left="185"/>
              <w:rPr>
                <w:sz w:val="18"/>
                <w:szCs w:val="18"/>
              </w:rPr>
            </w:pPr>
            <w:r>
              <w:rPr>
                <w:spacing w:val="-2"/>
                <w:sz w:val="18"/>
                <w:szCs w:val="18"/>
              </w:rPr>
              <w:t>73</w:t>
            </w:r>
          </w:p>
        </w:tc>
        <w:tc>
          <w:tcPr>
            <w:tcW w:w="423" w:type="dxa"/>
            <w:vAlign w:val="top"/>
          </w:tcPr>
          <w:p w14:paraId="07DDE7CE">
            <w:pPr>
              <w:pStyle w:val="6"/>
              <w:spacing w:before="94" w:line="186" w:lineRule="auto"/>
              <w:ind w:left="72"/>
              <w:rPr>
                <w:sz w:val="18"/>
                <w:szCs w:val="18"/>
              </w:rPr>
            </w:pPr>
            <w:r>
              <w:rPr>
                <w:spacing w:val="-5"/>
                <w:sz w:val="18"/>
                <w:szCs w:val="18"/>
              </w:rPr>
              <w:t>10L</w:t>
            </w:r>
          </w:p>
        </w:tc>
        <w:tc>
          <w:tcPr>
            <w:tcW w:w="567" w:type="dxa"/>
            <w:vAlign w:val="top"/>
          </w:tcPr>
          <w:p w14:paraId="08DE7368">
            <w:pPr>
              <w:pStyle w:val="6"/>
              <w:spacing w:before="91" w:line="221" w:lineRule="auto"/>
              <w:ind w:left="63"/>
              <w:rPr>
                <w:sz w:val="18"/>
                <w:szCs w:val="18"/>
              </w:rPr>
            </w:pPr>
            <w:r>
              <w:rPr>
                <w:spacing w:val="-2"/>
                <w:sz w:val="18"/>
                <w:szCs w:val="18"/>
              </w:rPr>
              <w:t>0.03L</w:t>
            </w:r>
          </w:p>
        </w:tc>
        <w:tc>
          <w:tcPr>
            <w:tcW w:w="545" w:type="dxa"/>
            <w:vAlign w:val="top"/>
          </w:tcPr>
          <w:p w14:paraId="19F747B9">
            <w:pPr>
              <w:pStyle w:val="6"/>
              <w:spacing w:before="91" w:line="221" w:lineRule="auto"/>
              <w:ind w:left="53"/>
              <w:rPr>
                <w:sz w:val="18"/>
                <w:szCs w:val="18"/>
              </w:rPr>
            </w:pPr>
            <w:r>
              <w:rPr>
                <w:spacing w:val="-2"/>
                <w:sz w:val="18"/>
                <w:szCs w:val="18"/>
              </w:rPr>
              <w:t>0.02L</w:t>
            </w:r>
          </w:p>
        </w:tc>
        <w:tc>
          <w:tcPr>
            <w:tcW w:w="472" w:type="dxa"/>
            <w:vAlign w:val="top"/>
          </w:tcPr>
          <w:p w14:paraId="3B1D3316">
            <w:pPr>
              <w:pStyle w:val="6"/>
              <w:spacing w:before="91" w:line="221" w:lineRule="auto"/>
              <w:ind w:left="18"/>
              <w:rPr>
                <w:sz w:val="18"/>
                <w:szCs w:val="18"/>
              </w:rPr>
            </w:pPr>
            <w:r>
              <w:rPr>
                <w:spacing w:val="-2"/>
                <w:sz w:val="18"/>
                <w:szCs w:val="18"/>
              </w:rPr>
              <w:t>0.01L</w:t>
            </w:r>
          </w:p>
        </w:tc>
        <w:tc>
          <w:tcPr>
            <w:tcW w:w="562" w:type="dxa"/>
            <w:vAlign w:val="top"/>
          </w:tcPr>
          <w:p w14:paraId="3556963C">
            <w:pPr>
              <w:pStyle w:val="6"/>
              <w:spacing w:before="91" w:line="221" w:lineRule="auto"/>
              <w:ind w:left="74"/>
              <w:rPr>
                <w:sz w:val="18"/>
                <w:szCs w:val="18"/>
              </w:rPr>
            </w:pPr>
            <w:r>
              <w:rPr>
                <w:spacing w:val="-2"/>
                <w:sz w:val="18"/>
                <w:szCs w:val="18"/>
              </w:rPr>
              <w:t>0.018</w:t>
            </w:r>
          </w:p>
        </w:tc>
        <w:tc>
          <w:tcPr>
            <w:tcW w:w="651" w:type="dxa"/>
            <w:vAlign w:val="top"/>
          </w:tcPr>
          <w:p w14:paraId="2C61C6F6">
            <w:pPr>
              <w:pStyle w:val="6"/>
              <w:spacing w:before="91" w:line="221" w:lineRule="auto"/>
              <w:ind w:left="18"/>
              <w:rPr>
                <w:sz w:val="18"/>
                <w:szCs w:val="18"/>
              </w:rPr>
            </w:pPr>
            <w:r>
              <w:rPr>
                <w:spacing w:val="-1"/>
                <w:sz w:val="18"/>
                <w:szCs w:val="18"/>
              </w:rPr>
              <w:t>0.0003L</w:t>
            </w:r>
          </w:p>
        </w:tc>
        <w:tc>
          <w:tcPr>
            <w:tcW w:w="884" w:type="dxa"/>
            <w:vAlign w:val="top"/>
          </w:tcPr>
          <w:p w14:paraId="7D4AFFE7">
            <w:pPr>
              <w:pStyle w:val="6"/>
              <w:spacing w:before="91" w:line="221" w:lineRule="auto"/>
              <w:ind w:left="226"/>
              <w:rPr>
                <w:sz w:val="18"/>
                <w:szCs w:val="18"/>
              </w:rPr>
            </w:pPr>
            <w:r>
              <w:rPr>
                <w:spacing w:val="-2"/>
                <w:sz w:val="18"/>
                <w:szCs w:val="18"/>
              </w:rPr>
              <w:t>0.05L</w:t>
            </w:r>
          </w:p>
        </w:tc>
        <w:tc>
          <w:tcPr>
            <w:tcW w:w="709" w:type="dxa"/>
            <w:vAlign w:val="top"/>
          </w:tcPr>
          <w:p w14:paraId="525F4A5E">
            <w:pPr>
              <w:pStyle w:val="6"/>
              <w:spacing w:before="91" w:line="221" w:lineRule="auto"/>
              <w:ind w:left="194"/>
              <w:rPr>
                <w:sz w:val="18"/>
                <w:szCs w:val="18"/>
              </w:rPr>
            </w:pPr>
            <w:r>
              <w:rPr>
                <w:spacing w:val="-2"/>
                <w:sz w:val="18"/>
                <w:szCs w:val="18"/>
              </w:rPr>
              <w:t>0.02</w:t>
            </w:r>
          </w:p>
        </w:tc>
        <w:tc>
          <w:tcPr>
            <w:tcW w:w="703" w:type="dxa"/>
            <w:vAlign w:val="top"/>
          </w:tcPr>
          <w:p w14:paraId="208755FA">
            <w:pPr>
              <w:pStyle w:val="6"/>
              <w:spacing w:before="91" w:line="221" w:lineRule="auto"/>
              <w:ind w:left="193"/>
              <w:rPr>
                <w:sz w:val="18"/>
                <w:szCs w:val="18"/>
              </w:rPr>
            </w:pPr>
            <w:r>
              <w:rPr>
                <w:spacing w:val="-2"/>
                <w:sz w:val="18"/>
                <w:szCs w:val="18"/>
              </w:rPr>
              <w:t>0.14</w:t>
            </w:r>
          </w:p>
        </w:tc>
        <w:tc>
          <w:tcPr>
            <w:tcW w:w="708" w:type="dxa"/>
            <w:vAlign w:val="top"/>
          </w:tcPr>
          <w:p w14:paraId="2A44A1B3">
            <w:pPr>
              <w:pStyle w:val="6"/>
              <w:spacing w:before="91" w:line="221" w:lineRule="auto"/>
              <w:ind w:left="96"/>
              <w:rPr>
                <w:sz w:val="18"/>
                <w:szCs w:val="18"/>
              </w:rPr>
            </w:pPr>
            <w:r>
              <w:rPr>
                <w:spacing w:val="-2"/>
                <w:sz w:val="18"/>
                <w:szCs w:val="18"/>
              </w:rPr>
              <w:t>0.003L</w:t>
            </w:r>
          </w:p>
        </w:tc>
        <w:tc>
          <w:tcPr>
            <w:tcW w:w="764" w:type="dxa"/>
            <w:vAlign w:val="top"/>
          </w:tcPr>
          <w:p w14:paraId="139594BF">
            <w:pPr>
              <w:pStyle w:val="6"/>
              <w:spacing w:before="91" w:line="221" w:lineRule="auto"/>
              <w:ind w:left="181"/>
              <w:rPr>
                <w:sz w:val="18"/>
                <w:szCs w:val="18"/>
              </w:rPr>
            </w:pPr>
            <w:r>
              <w:rPr>
                <w:spacing w:val="-2"/>
                <w:sz w:val="18"/>
                <w:szCs w:val="18"/>
              </w:rPr>
              <w:t>0.043</w:t>
            </w:r>
          </w:p>
        </w:tc>
        <w:tc>
          <w:tcPr>
            <w:tcW w:w="586" w:type="dxa"/>
            <w:vAlign w:val="top"/>
          </w:tcPr>
          <w:p w14:paraId="1E27FB9D">
            <w:pPr>
              <w:pStyle w:val="6"/>
              <w:spacing w:before="91" w:line="221" w:lineRule="auto"/>
              <w:ind w:left="139"/>
              <w:rPr>
                <w:sz w:val="18"/>
                <w:szCs w:val="18"/>
              </w:rPr>
            </w:pPr>
            <w:r>
              <w:rPr>
                <w:spacing w:val="-2"/>
                <w:sz w:val="18"/>
                <w:szCs w:val="18"/>
              </w:rPr>
              <w:t>0.11</w:t>
            </w:r>
          </w:p>
        </w:tc>
        <w:tc>
          <w:tcPr>
            <w:tcW w:w="582" w:type="dxa"/>
            <w:vAlign w:val="top"/>
          </w:tcPr>
          <w:p w14:paraId="3F958F1F">
            <w:pPr>
              <w:pStyle w:val="6"/>
              <w:spacing w:before="91" w:line="221" w:lineRule="auto"/>
              <w:ind w:left="38"/>
              <w:rPr>
                <w:sz w:val="18"/>
                <w:szCs w:val="18"/>
              </w:rPr>
            </w:pPr>
            <w:r>
              <w:rPr>
                <w:spacing w:val="-2"/>
                <w:sz w:val="18"/>
                <w:szCs w:val="18"/>
              </w:rPr>
              <w:t>0.004L</w:t>
            </w:r>
          </w:p>
        </w:tc>
        <w:tc>
          <w:tcPr>
            <w:tcW w:w="745" w:type="dxa"/>
            <w:vAlign w:val="top"/>
          </w:tcPr>
          <w:p w14:paraId="2B3803C4">
            <w:pPr>
              <w:pStyle w:val="6"/>
              <w:spacing w:before="91" w:line="221" w:lineRule="auto"/>
              <w:ind w:left="86"/>
              <w:rPr>
                <w:sz w:val="18"/>
                <w:szCs w:val="18"/>
              </w:rPr>
            </w:pPr>
            <w:r>
              <w:rPr>
                <w:spacing w:val="-1"/>
                <w:sz w:val="18"/>
                <w:szCs w:val="18"/>
              </w:rPr>
              <w:t>0.00005</w:t>
            </w:r>
          </w:p>
        </w:tc>
        <w:tc>
          <w:tcPr>
            <w:tcW w:w="651" w:type="dxa"/>
            <w:vAlign w:val="top"/>
          </w:tcPr>
          <w:p w14:paraId="11679C20">
            <w:pPr>
              <w:pStyle w:val="6"/>
              <w:spacing w:before="91" w:line="221" w:lineRule="auto"/>
              <w:ind w:left="29"/>
              <w:rPr>
                <w:sz w:val="18"/>
                <w:szCs w:val="18"/>
              </w:rPr>
            </w:pPr>
            <w:r>
              <w:rPr>
                <w:spacing w:val="-1"/>
                <w:sz w:val="18"/>
                <w:szCs w:val="18"/>
              </w:rPr>
              <w:t>0.0003L</w:t>
            </w:r>
          </w:p>
        </w:tc>
        <w:tc>
          <w:tcPr>
            <w:tcW w:w="652" w:type="dxa"/>
            <w:vAlign w:val="top"/>
          </w:tcPr>
          <w:p w14:paraId="676E2E28">
            <w:pPr>
              <w:pStyle w:val="6"/>
              <w:spacing w:before="91" w:line="221" w:lineRule="auto"/>
              <w:ind w:left="30"/>
              <w:rPr>
                <w:sz w:val="18"/>
                <w:szCs w:val="18"/>
              </w:rPr>
            </w:pPr>
            <w:r>
              <w:rPr>
                <w:spacing w:val="-1"/>
                <w:sz w:val="18"/>
                <w:szCs w:val="18"/>
              </w:rPr>
              <w:t>0.0004L</w:t>
            </w:r>
          </w:p>
        </w:tc>
        <w:tc>
          <w:tcPr>
            <w:tcW w:w="566" w:type="dxa"/>
            <w:vAlign w:val="top"/>
          </w:tcPr>
          <w:p w14:paraId="32593299">
            <w:pPr>
              <w:pStyle w:val="6"/>
              <w:spacing w:before="91" w:line="221" w:lineRule="auto"/>
              <w:ind w:left="32"/>
              <w:rPr>
                <w:sz w:val="18"/>
                <w:szCs w:val="18"/>
              </w:rPr>
            </w:pPr>
            <w:r>
              <w:rPr>
                <w:spacing w:val="-2"/>
                <w:sz w:val="18"/>
                <w:szCs w:val="18"/>
              </w:rPr>
              <w:t>0.001L</w:t>
            </w:r>
          </w:p>
        </w:tc>
        <w:tc>
          <w:tcPr>
            <w:tcW w:w="582" w:type="dxa"/>
            <w:vAlign w:val="top"/>
          </w:tcPr>
          <w:p w14:paraId="05931918">
            <w:pPr>
              <w:pStyle w:val="6"/>
              <w:spacing w:before="91" w:line="221" w:lineRule="auto"/>
              <w:ind w:left="41"/>
              <w:rPr>
                <w:sz w:val="18"/>
                <w:szCs w:val="18"/>
              </w:rPr>
            </w:pPr>
            <w:r>
              <w:rPr>
                <w:spacing w:val="-2"/>
                <w:sz w:val="18"/>
                <w:szCs w:val="18"/>
              </w:rPr>
              <w:t>0.004L</w:t>
            </w:r>
          </w:p>
        </w:tc>
        <w:tc>
          <w:tcPr>
            <w:tcW w:w="476" w:type="dxa"/>
            <w:vAlign w:val="top"/>
          </w:tcPr>
          <w:p w14:paraId="4FC22444">
            <w:pPr>
              <w:pStyle w:val="6"/>
              <w:spacing w:before="91" w:line="221" w:lineRule="auto"/>
              <w:ind w:left="34"/>
              <w:rPr>
                <w:sz w:val="18"/>
                <w:szCs w:val="18"/>
              </w:rPr>
            </w:pPr>
            <w:r>
              <w:rPr>
                <w:spacing w:val="-2"/>
                <w:sz w:val="18"/>
                <w:szCs w:val="18"/>
              </w:rPr>
              <w:t>0.01L</w:t>
            </w:r>
          </w:p>
        </w:tc>
        <w:tc>
          <w:tcPr>
            <w:tcW w:w="567" w:type="dxa"/>
            <w:vAlign w:val="top"/>
          </w:tcPr>
          <w:p w14:paraId="537794FC">
            <w:pPr>
              <w:pStyle w:val="6"/>
              <w:spacing w:before="91" w:line="221" w:lineRule="auto"/>
              <w:ind w:left="91"/>
              <w:rPr>
                <w:sz w:val="18"/>
                <w:szCs w:val="18"/>
              </w:rPr>
            </w:pPr>
            <w:r>
              <w:rPr>
                <w:spacing w:val="-2"/>
                <w:sz w:val="18"/>
                <w:szCs w:val="18"/>
              </w:rPr>
              <w:t>0.011</w:t>
            </w:r>
          </w:p>
        </w:tc>
        <w:tc>
          <w:tcPr>
            <w:tcW w:w="765" w:type="dxa"/>
            <w:vAlign w:val="top"/>
          </w:tcPr>
          <w:p w14:paraId="2DF8EEF4">
            <w:pPr>
              <w:pStyle w:val="6"/>
              <w:spacing w:before="91" w:line="221" w:lineRule="auto"/>
              <w:ind w:left="228"/>
              <w:rPr>
                <w:sz w:val="18"/>
                <w:szCs w:val="18"/>
              </w:rPr>
            </w:pPr>
            <w:r>
              <w:rPr>
                <w:spacing w:val="-4"/>
                <w:sz w:val="18"/>
                <w:szCs w:val="18"/>
              </w:rPr>
              <w:t>1700</w:t>
            </w:r>
          </w:p>
        </w:tc>
        <w:tc>
          <w:tcPr>
            <w:tcW w:w="424" w:type="dxa"/>
            <w:vAlign w:val="top"/>
          </w:tcPr>
          <w:p w14:paraId="2393119D">
            <w:pPr>
              <w:pStyle w:val="6"/>
              <w:spacing w:before="91" w:line="221" w:lineRule="auto"/>
              <w:ind w:left="90"/>
              <w:rPr>
                <w:sz w:val="18"/>
                <w:szCs w:val="18"/>
              </w:rPr>
            </w:pPr>
            <w:r>
              <w:rPr>
                <w:spacing w:val="-2"/>
                <w:sz w:val="18"/>
                <w:szCs w:val="18"/>
              </w:rPr>
              <w:t>333</w:t>
            </w:r>
          </w:p>
        </w:tc>
        <w:tc>
          <w:tcPr>
            <w:tcW w:w="427" w:type="dxa"/>
            <w:vAlign w:val="top"/>
          </w:tcPr>
          <w:p w14:paraId="30692B1B">
            <w:pPr>
              <w:pStyle w:val="6"/>
              <w:spacing w:before="91" w:line="221" w:lineRule="auto"/>
              <w:ind w:left="68"/>
              <w:rPr>
                <w:sz w:val="18"/>
                <w:szCs w:val="18"/>
              </w:rPr>
            </w:pPr>
            <w:r>
              <w:rPr>
                <w:spacing w:val="-2"/>
                <w:sz w:val="18"/>
                <w:szCs w:val="18"/>
              </w:rPr>
              <w:t>0.60</w:t>
            </w:r>
          </w:p>
        </w:tc>
        <w:tc>
          <w:tcPr>
            <w:tcW w:w="424" w:type="dxa"/>
            <w:vAlign w:val="top"/>
          </w:tcPr>
          <w:p w14:paraId="15347029">
            <w:pPr>
              <w:pStyle w:val="6"/>
              <w:spacing w:before="91" w:line="221" w:lineRule="auto"/>
              <w:ind w:left="82"/>
              <w:rPr>
                <w:sz w:val="18"/>
                <w:szCs w:val="18"/>
              </w:rPr>
            </w:pPr>
            <w:r>
              <w:rPr>
                <w:spacing w:val="-6"/>
                <w:sz w:val="18"/>
                <w:szCs w:val="18"/>
              </w:rPr>
              <w:t>1.32</w:t>
            </w:r>
          </w:p>
        </w:tc>
        <w:tc>
          <w:tcPr>
            <w:tcW w:w="423" w:type="dxa"/>
            <w:vAlign w:val="top"/>
          </w:tcPr>
          <w:p w14:paraId="63B3C55D">
            <w:pPr>
              <w:pStyle w:val="6"/>
              <w:spacing w:before="91" w:line="221" w:lineRule="auto"/>
              <w:ind w:left="71"/>
              <w:rPr>
                <w:sz w:val="18"/>
                <w:szCs w:val="18"/>
              </w:rPr>
            </w:pPr>
            <w:r>
              <w:rPr>
                <w:spacing w:val="-3"/>
                <w:sz w:val="18"/>
                <w:szCs w:val="18"/>
              </w:rPr>
              <w:t>8.11</w:t>
            </w:r>
          </w:p>
        </w:tc>
        <w:tc>
          <w:tcPr>
            <w:tcW w:w="472" w:type="dxa"/>
            <w:vAlign w:val="top"/>
          </w:tcPr>
          <w:p w14:paraId="1D7C84CA">
            <w:pPr>
              <w:pStyle w:val="6"/>
              <w:spacing w:before="91" w:line="221" w:lineRule="auto"/>
              <w:ind w:left="97"/>
              <w:rPr>
                <w:sz w:val="18"/>
                <w:szCs w:val="18"/>
              </w:rPr>
            </w:pPr>
            <w:r>
              <w:rPr>
                <w:spacing w:val="-3"/>
                <w:sz w:val="18"/>
                <w:szCs w:val="18"/>
              </w:rPr>
              <w:t>82.6</w:t>
            </w:r>
          </w:p>
        </w:tc>
        <w:tc>
          <w:tcPr>
            <w:tcW w:w="377" w:type="dxa"/>
            <w:tcBorders>
              <w:right w:val="single" w:color="000000" w:sz="12" w:space="0"/>
            </w:tcBorders>
            <w:vAlign w:val="top"/>
          </w:tcPr>
          <w:p w14:paraId="6A7084A2">
            <w:pPr>
              <w:pStyle w:val="6"/>
              <w:spacing w:before="91" w:line="221" w:lineRule="auto"/>
              <w:ind w:left="49"/>
              <w:rPr>
                <w:sz w:val="18"/>
                <w:szCs w:val="18"/>
              </w:rPr>
            </w:pPr>
            <w:r>
              <w:rPr>
                <w:spacing w:val="-6"/>
                <w:sz w:val="18"/>
                <w:szCs w:val="18"/>
              </w:rPr>
              <w:t>13.5</w:t>
            </w:r>
          </w:p>
        </w:tc>
      </w:tr>
      <w:tr w14:paraId="23EC6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364973B6">
            <w:pPr>
              <w:rPr>
                <w:rFonts w:ascii="Arial"/>
                <w:sz w:val="21"/>
              </w:rPr>
            </w:pPr>
          </w:p>
        </w:tc>
        <w:tc>
          <w:tcPr>
            <w:tcW w:w="268" w:type="dxa"/>
            <w:vMerge w:val="continue"/>
            <w:tcBorders>
              <w:top w:val="nil"/>
            </w:tcBorders>
            <w:vAlign w:val="top"/>
          </w:tcPr>
          <w:p w14:paraId="0A7DDBE6">
            <w:pPr>
              <w:rPr>
                <w:rFonts w:ascii="Arial"/>
                <w:sz w:val="21"/>
              </w:rPr>
            </w:pPr>
          </w:p>
        </w:tc>
        <w:tc>
          <w:tcPr>
            <w:tcW w:w="1038" w:type="dxa"/>
            <w:vAlign w:val="top"/>
          </w:tcPr>
          <w:p w14:paraId="579C1188">
            <w:pPr>
              <w:pStyle w:val="6"/>
              <w:spacing w:before="91" w:line="219" w:lineRule="auto"/>
              <w:ind w:left="138"/>
              <w:rPr>
                <w:sz w:val="18"/>
                <w:szCs w:val="18"/>
              </w:rPr>
            </w:pPr>
            <w:r>
              <w:rPr>
                <w:spacing w:val="-1"/>
                <w:sz w:val="18"/>
                <w:szCs w:val="18"/>
              </w:rPr>
              <w:t>2020/5/22</w:t>
            </w:r>
          </w:p>
        </w:tc>
        <w:tc>
          <w:tcPr>
            <w:tcW w:w="774" w:type="dxa"/>
            <w:vAlign w:val="top"/>
          </w:tcPr>
          <w:p w14:paraId="35AC2E4B">
            <w:pPr>
              <w:pStyle w:val="6"/>
              <w:spacing w:before="91" w:line="219" w:lineRule="auto"/>
              <w:ind w:left="219"/>
              <w:rPr>
                <w:sz w:val="18"/>
                <w:szCs w:val="18"/>
              </w:rPr>
            </w:pPr>
            <w:r>
              <w:rPr>
                <w:spacing w:val="-2"/>
                <w:sz w:val="18"/>
                <w:szCs w:val="18"/>
              </w:rPr>
              <w:t>7.05</w:t>
            </w:r>
          </w:p>
        </w:tc>
        <w:tc>
          <w:tcPr>
            <w:tcW w:w="741" w:type="dxa"/>
            <w:vAlign w:val="top"/>
          </w:tcPr>
          <w:p w14:paraId="0C4F0022">
            <w:pPr>
              <w:pStyle w:val="6"/>
              <w:spacing w:before="91" w:line="219" w:lineRule="auto"/>
              <w:ind w:left="222"/>
              <w:rPr>
                <w:sz w:val="18"/>
                <w:szCs w:val="18"/>
              </w:rPr>
            </w:pPr>
            <w:r>
              <w:rPr>
                <w:spacing w:val="-1"/>
                <w:sz w:val="18"/>
                <w:szCs w:val="18"/>
              </w:rPr>
              <w:t>214</w:t>
            </w:r>
          </w:p>
        </w:tc>
        <w:tc>
          <w:tcPr>
            <w:tcW w:w="705" w:type="dxa"/>
            <w:vAlign w:val="top"/>
          </w:tcPr>
          <w:p w14:paraId="5ED41769">
            <w:pPr>
              <w:pStyle w:val="6"/>
              <w:spacing w:before="91" w:line="219" w:lineRule="auto"/>
              <w:ind w:left="209"/>
              <w:rPr>
                <w:sz w:val="18"/>
                <w:szCs w:val="18"/>
              </w:rPr>
            </w:pPr>
            <w:r>
              <w:rPr>
                <w:spacing w:val="-2"/>
                <w:sz w:val="18"/>
                <w:szCs w:val="18"/>
              </w:rPr>
              <w:t>315</w:t>
            </w:r>
          </w:p>
        </w:tc>
        <w:tc>
          <w:tcPr>
            <w:tcW w:w="570" w:type="dxa"/>
            <w:vAlign w:val="top"/>
          </w:tcPr>
          <w:p w14:paraId="1977F55D">
            <w:pPr>
              <w:pStyle w:val="6"/>
              <w:spacing w:before="91" w:line="219" w:lineRule="auto"/>
              <w:ind w:left="186"/>
              <w:rPr>
                <w:sz w:val="18"/>
                <w:szCs w:val="18"/>
              </w:rPr>
            </w:pPr>
            <w:r>
              <w:rPr>
                <w:spacing w:val="-2"/>
                <w:sz w:val="18"/>
                <w:szCs w:val="18"/>
              </w:rPr>
              <w:t>68</w:t>
            </w:r>
          </w:p>
        </w:tc>
        <w:tc>
          <w:tcPr>
            <w:tcW w:w="423" w:type="dxa"/>
            <w:vAlign w:val="top"/>
          </w:tcPr>
          <w:p w14:paraId="6859D366">
            <w:pPr>
              <w:pStyle w:val="6"/>
              <w:spacing w:before="94" w:line="186" w:lineRule="auto"/>
              <w:ind w:left="72"/>
              <w:rPr>
                <w:sz w:val="18"/>
                <w:szCs w:val="18"/>
              </w:rPr>
            </w:pPr>
            <w:r>
              <w:rPr>
                <w:spacing w:val="-5"/>
                <w:sz w:val="18"/>
                <w:szCs w:val="18"/>
              </w:rPr>
              <w:t>10L</w:t>
            </w:r>
          </w:p>
        </w:tc>
        <w:tc>
          <w:tcPr>
            <w:tcW w:w="567" w:type="dxa"/>
            <w:vAlign w:val="top"/>
          </w:tcPr>
          <w:p w14:paraId="2A595DBD">
            <w:pPr>
              <w:pStyle w:val="6"/>
              <w:spacing w:before="91" w:line="219" w:lineRule="auto"/>
              <w:ind w:left="63"/>
              <w:rPr>
                <w:sz w:val="18"/>
                <w:szCs w:val="18"/>
              </w:rPr>
            </w:pPr>
            <w:r>
              <w:rPr>
                <w:spacing w:val="-2"/>
                <w:sz w:val="18"/>
                <w:szCs w:val="18"/>
              </w:rPr>
              <w:t>0.03L</w:t>
            </w:r>
          </w:p>
        </w:tc>
        <w:tc>
          <w:tcPr>
            <w:tcW w:w="545" w:type="dxa"/>
            <w:vAlign w:val="top"/>
          </w:tcPr>
          <w:p w14:paraId="2642DCF9">
            <w:pPr>
              <w:pStyle w:val="6"/>
              <w:spacing w:before="91" w:line="219" w:lineRule="auto"/>
              <w:ind w:left="53"/>
              <w:rPr>
                <w:sz w:val="18"/>
                <w:szCs w:val="18"/>
              </w:rPr>
            </w:pPr>
            <w:r>
              <w:rPr>
                <w:spacing w:val="-2"/>
                <w:sz w:val="18"/>
                <w:szCs w:val="18"/>
              </w:rPr>
              <w:t>0.02L</w:t>
            </w:r>
          </w:p>
        </w:tc>
        <w:tc>
          <w:tcPr>
            <w:tcW w:w="472" w:type="dxa"/>
            <w:vAlign w:val="top"/>
          </w:tcPr>
          <w:p w14:paraId="7618389C">
            <w:pPr>
              <w:pStyle w:val="6"/>
              <w:spacing w:before="91" w:line="219" w:lineRule="auto"/>
              <w:ind w:left="18"/>
              <w:rPr>
                <w:sz w:val="18"/>
                <w:szCs w:val="18"/>
              </w:rPr>
            </w:pPr>
            <w:r>
              <w:rPr>
                <w:spacing w:val="-2"/>
                <w:sz w:val="18"/>
                <w:szCs w:val="18"/>
              </w:rPr>
              <w:t>0.01L</w:t>
            </w:r>
          </w:p>
        </w:tc>
        <w:tc>
          <w:tcPr>
            <w:tcW w:w="562" w:type="dxa"/>
            <w:vAlign w:val="top"/>
          </w:tcPr>
          <w:p w14:paraId="68EFB32D">
            <w:pPr>
              <w:pStyle w:val="6"/>
              <w:spacing w:before="91" w:line="219" w:lineRule="auto"/>
              <w:ind w:left="74"/>
              <w:rPr>
                <w:sz w:val="18"/>
                <w:szCs w:val="18"/>
              </w:rPr>
            </w:pPr>
            <w:r>
              <w:rPr>
                <w:spacing w:val="-2"/>
                <w:sz w:val="18"/>
                <w:szCs w:val="18"/>
              </w:rPr>
              <w:t>0.018</w:t>
            </w:r>
          </w:p>
        </w:tc>
        <w:tc>
          <w:tcPr>
            <w:tcW w:w="651" w:type="dxa"/>
            <w:vAlign w:val="top"/>
          </w:tcPr>
          <w:p w14:paraId="5516C6BC">
            <w:pPr>
              <w:pStyle w:val="6"/>
              <w:spacing w:before="91" w:line="219" w:lineRule="auto"/>
              <w:ind w:left="18"/>
              <w:rPr>
                <w:sz w:val="18"/>
                <w:szCs w:val="18"/>
              </w:rPr>
            </w:pPr>
            <w:r>
              <w:rPr>
                <w:spacing w:val="-1"/>
                <w:sz w:val="18"/>
                <w:szCs w:val="18"/>
              </w:rPr>
              <w:t>0.0003L</w:t>
            </w:r>
          </w:p>
        </w:tc>
        <w:tc>
          <w:tcPr>
            <w:tcW w:w="884" w:type="dxa"/>
            <w:vAlign w:val="top"/>
          </w:tcPr>
          <w:p w14:paraId="5DA704C7">
            <w:pPr>
              <w:pStyle w:val="6"/>
              <w:spacing w:before="91" w:line="219" w:lineRule="auto"/>
              <w:ind w:left="226"/>
              <w:rPr>
                <w:sz w:val="18"/>
                <w:szCs w:val="18"/>
              </w:rPr>
            </w:pPr>
            <w:r>
              <w:rPr>
                <w:spacing w:val="-2"/>
                <w:sz w:val="18"/>
                <w:szCs w:val="18"/>
              </w:rPr>
              <w:t>0.05L</w:t>
            </w:r>
          </w:p>
        </w:tc>
        <w:tc>
          <w:tcPr>
            <w:tcW w:w="709" w:type="dxa"/>
            <w:vAlign w:val="top"/>
          </w:tcPr>
          <w:p w14:paraId="59BD92D8">
            <w:pPr>
              <w:pStyle w:val="6"/>
              <w:spacing w:before="91" w:line="219" w:lineRule="auto"/>
              <w:ind w:left="194"/>
              <w:rPr>
                <w:sz w:val="18"/>
                <w:szCs w:val="18"/>
              </w:rPr>
            </w:pPr>
            <w:r>
              <w:rPr>
                <w:spacing w:val="-2"/>
                <w:sz w:val="18"/>
                <w:szCs w:val="18"/>
              </w:rPr>
              <w:t>0.01</w:t>
            </w:r>
          </w:p>
        </w:tc>
        <w:tc>
          <w:tcPr>
            <w:tcW w:w="703" w:type="dxa"/>
            <w:vAlign w:val="top"/>
          </w:tcPr>
          <w:p w14:paraId="6EFA6208">
            <w:pPr>
              <w:pStyle w:val="6"/>
              <w:spacing w:before="91" w:line="219" w:lineRule="auto"/>
              <w:ind w:left="193"/>
              <w:rPr>
                <w:sz w:val="18"/>
                <w:szCs w:val="18"/>
              </w:rPr>
            </w:pPr>
            <w:r>
              <w:rPr>
                <w:spacing w:val="-2"/>
                <w:sz w:val="18"/>
                <w:szCs w:val="18"/>
              </w:rPr>
              <w:t>0.11</w:t>
            </w:r>
          </w:p>
        </w:tc>
        <w:tc>
          <w:tcPr>
            <w:tcW w:w="708" w:type="dxa"/>
            <w:vAlign w:val="top"/>
          </w:tcPr>
          <w:p w14:paraId="6944B73F">
            <w:pPr>
              <w:pStyle w:val="6"/>
              <w:spacing w:before="91" w:line="219" w:lineRule="auto"/>
              <w:ind w:left="96"/>
              <w:rPr>
                <w:sz w:val="18"/>
                <w:szCs w:val="18"/>
              </w:rPr>
            </w:pPr>
            <w:r>
              <w:rPr>
                <w:spacing w:val="-2"/>
                <w:sz w:val="18"/>
                <w:szCs w:val="18"/>
              </w:rPr>
              <w:t>0.003L</w:t>
            </w:r>
          </w:p>
        </w:tc>
        <w:tc>
          <w:tcPr>
            <w:tcW w:w="764" w:type="dxa"/>
            <w:vAlign w:val="top"/>
          </w:tcPr>
          <w:p w14:paraId="50754BA2">
            <w:pPr>
              <w:pStyle w:val="6"/>
              <w:spacing w:before="91" w:line="219" w:lineRule="auto"/>
              <w:ind w:left="181"/>
              <w:rPr>
                <w:sz w:val="18"/>
                <w:szCs w:val="18"/>
              </w:rPr>
            </w:pPr>
            <w:r>
              <w:rPr>
                <w:spacing w:val="-2"/>
                <w:sz w:val="18"/>
                <w:szCs w:val="18"/>
              </w:rPr>
              <w:t>0.049</w:t>
            </w:r>
          </w:p>
        </w:tc>
        <w:tc>
          <w:tcPr>
            <w:tcW w:w="586" w:type="dxa"/>
            <w:vAlign w:val="top"/>
          </w:tcPr>
          <w:p w14:paraId="7AC8D219">
            <w:pPr>
              <w:pStyle w:val="6"/>
              <w:spacing w:before="91" w:line="219" w:lineRule="auto"/>
              <w:ind w:left="139"/>
              <w:rPr>
                <w:sz w:val="18"/>
                <w:szCs w:val="18"/>
              </w:rPr>
            </w:pPr>
            <w:r>
              <w:rPr>
                <w:spacing w:val="-2"/>
                <w:sz w:val="18"/>
                <w:szCs w:val="18"/>
              </w:rPr>
              <w:t>0.10</w:t>
            </w:r>
          </w:p>
        </w:tc>
        <w:tc>
          <w:tcPr>
            <w:tcW w:w="582" w:type="dxa"/>
            <w:vAlign w:val="top"/>
          </w:tcPr>
          <w:p w14:paraId="04506B4C">
            <w:pPr>
              <w:pStyle w:val="6"/>
              <w:spacing w:before="91" w:line="219" w:lineRule="auto"/>
              <w:ind w:left="38"/>
              <w:rPr>
                <w:sz w:val="18"/>
                <w:szCs w:val="18"/>
              </w:rPr>
            </w:pPr>
            <w:r>
              <w:rPr>
                <w:spacing w:val="-2"/>
                <w:sz w:val="18"/>
                <w:szCs w:val="18"/>
              </w:rPr>
              <w:t>0.004L</w:t>
            </w:r>
          </w:p>
        </w:tc>
        <w:tc>
          <w:tcPr>
            <w:tcW w:w="745" w:type="dxa"/>
            <w:vAlign w:val="top"/>
          </w:tcPr>
          <w:p w14:paraId="5506C8DA">
            <w:pPr>
              <w:pStyle w:val="6"/>
              <w:spacing w:before="91" w:line="219" w:lineRule="auto"/>
              <w:ind w:left="86"/>
              <w:rPr>
                <w:sz w:val="18"/>
                <w:szCs w:val="18"/>
              </w:rPr>
            </w:pPr>
            <w:r>
              <w:rPr>
                <w:spacing w:val="-1"/>
                <w:sz w:val="18"/>
                <w:szCs w:val="18"/>
              </w:rPr>
              <w:t>0.00004</w:t>
            </w:r>
          </w:p>
        </w:tc>
        <w:tc>
          <w:tcPr>
            <w:tcW w:w="651" w:type="dxa"/>
            <w:vAlign w:val="top"/>
          </w:tcPr>
          <w:p w14:paraId="0D851DD2">
            <w:pPr>
              <w:pStyle w:val="6"/>
              <w:spacing w:before="91" w:line="219" w:lineRule="auto"/>
              <w:ind w:left="29"/>
              <w:rPr>
                <w:sz w:val="18"/>
                <w:szCs w:val="18"/>
              </w:rPr>
            </w:pPr>
            <w:r>
              <w:rPr>
                <w:spacing w:val="-1"/>
                <w:sz w:val="18"/>
                <w:szCs w:val="18"/>
              </w:rPr>
              <w:t>0.0003L</w:t>
            </w:r>
          </w:p>
        </w:tc>
        <w:tc>
          <w:tcPr>
            <w:tcW w:w="652" w:type="dxa"/>
            <w:vAlign w:val="top"/>
          </w:tcPr>
          <w:p w14:paraId="397F111C">
            <w:pPr>
              <w:pStyle w:val="6"/>
              <w:spacing w:before="91" w:line="219" w:lineRule="auto"/>
              <w:ind w:left="30"/>
              <w:rPr>
                <w:sz w:val="18"/>
                <w:szCs w:val="18"/>
              </w:rPr>
            </w:pPr>
            <w:r>
              <w:rPr>
                <w:spacing w:val="-1"/>
                <w:sz w:val="18"/>
                <w:szCs w:val="18"/>
              </w:rPr>
              <w:t>0.0004L</w:t>
            </w:r>
          </w:p>
        </w:tc>
        <w:tc>
          <w:tcPr>
            <w:tcW w:w="566" w:type="dxa"/>
            <w:vAlign w:val="top"/>
          </w:tcPr>
          <w:p w14:paraId="5EEBFE37">
            <w:pPr>
              <w:pStyle w:val="6"/>
              <w:spacing w:before="91" w:line="219" w:lineRule="auto"/>
              <w:ind w:left="32"/>
              <w:rPr>
                <w:sz w:val="18"/>
                <w:szCs w:val="18"/>
              </w:rPr>
            </w:pPr>
            <w:r>
              <w:rPr>
                <w:spacing w:val="-2"/>
                <w:sz w:val="18"/>
                <w:szCs w:val="18"/>
              </w:rPr>
              <w:t>0.001L</w:t>
            </w:r>
          </w:p>
        </w:tc>
        <w:tc>
          <w:tcPr>
            <w:tcW w:w="582" w:type="dxa"/>
            <w:vAlign w:val="top"/>
          </w:tcPr>
          <w:p w14:paraId="251C84F3">
            <w:pPr>
              <w:pStyle w:val="6"/>
              <w:spacing w:before="91" w:line="219" w:lineRule="auto"/>
              <w:ind w:left="41"/>
              <w:rPr>
                <w:sz w:val="18"/>
                <w:szCs w:val="18"/>
              </w:rPr>
            </w:pPr>
            <w:r>
              <w:rPr>
                <w:spacing w:val="-2"/>
                <w:sz w:val="18"/>
                <w:szCs w:val="18"/>
              </w:rPr>
              <w:t>0.004L</w:t>
            </w:r>
          </w:p>
        </w:tc>
        <w:tc>
          <w:tcPr>
            <w:tcW w:w="476" w:type="dxa"/>
            <w:vAlign w:val="top"/>
          </w:tcPr>
          <w:p w14:paraId="2F893BD8">
            <w:pPr>
              <w:pStyle w:val="6"/>
              <w:spacing w:before="91" w:line="219" w:lineRule="auto"/>
              <w:ind w:left="34"/>
              <w:rPr>
                <w:sz w:val="18"/>
                <w:szCs w:val="18"/>
              </w:rPr>
            </w:pPr>
            <w:r>
              <w:rPr>
                <w:spacing w:val="-2"/>
                <w:sz w:val="18"/>
                <w:szCs w:val="18"/>
              </w:rPr>
              <w:t>0.01L</w:t>
            </w:r>
          </w:p>
        </w:tc>
        <w:tc>
          <w:tcPr>
            <w:tcW w:w="567" w:type="dxa"/>
            <w:vAlign w:val="top"/>
          </w:tcPr>
          <w:p w14:paraId="00463EC3">
            <w:pPr>
              <w:pStyle w:val="6"/>
              <w:spacing w:before="91" w:line="219" w:lineRule="auto"/>
              <w:ind w:left="91"/>
              <w:rPr>
                <w:sz w:val="18"/>
                <w:szCs w:val="18"/>
              </w:rPr>
            </w:pPr>
            <w:r>
              <w:rPr>
                <w:spacing w:val="-2"/>
                <w:sz w:val="18"/>
                <w:szCs w:val="18"/>
              </w:rPr>
              <w:t>0.011</w:t>
            </w:r>
          </w:p>
        </w:tc>
        <w:tc>
          <w:tcPr>
            <w:tcW w:w="765" w:type="dxa"/>
            <w:vAlign w:val="top"/>
          </w:tcPr>
          <w:p w14:paraId="0AC6F9D9">
            <w:pPr>
              <w:pStyle w:val="6"/>
              <w:spacing w:before="91" w:line="219" w:lineRule="auto"/>
              <w:ind w:left="228"/>
              <w:rPr>
                <w:sz w:val="18"/>
                <w:szCs w:val="18"/>
              </w:rPr>
            </w:pPr>
            <w:r>
              <w:rPr>
                <w:spacing w:val="-4"/>
                <w:sz w:val="18"/>
                <w:szCs w:val="18"/>
              </w:rPr>
              <w:t>1900</w:t>
            </w:r>
          </w:p>
        </w:tc>
        <w:tc>
          <w:tcPr>
            <w:tcW w:w="424" w:type="dxa"/>
            <w:vAlign w:val="top"/>
          </w:tcPr>
          <w:p w14:paraId="1EF19716">
            <w:pPr>
              <w:pStyle w:val="6"/>
              <w:spacing w:before="91" w:line="219" w:lineRule="auto"/>
              <w:ind w:left="90"/>
              <w:rPr>
                <w:sz w:val="18"/>
                <w:szCs w:val="18"/>
              </w:rPr>
            </w:pPr>
            <w:r>
              <w:rPr>
                <w:spacing w:val="-2"/>
                <w:sz w:val="18"/>
                <w:szCs w:val="18"/>
              </w:rPr>
              <w:t>346</w:t>
            </w:r>
          </w:p>
        </w:tc>
        <w:tc>
          <w:tcPr>
            <w:tcW w:w="427" w:type="dxa"/>
            <w:vAlign w:val="top"/>
          </w:tcPr>
          <w:p w14:paraId="60B7124A">
            <w:pPr>
              <w:pStyle w:val="6"/>
              <w:spacing w:before="91" w:line="219" w:lineRule="auto"/>
              <w:ind w:left="68"/>
              <w:rPr>
                <w:sz w:val="18"/>
                <w:szCs w:val="18"/>
              </w:rPr>
            </w:pPr>
            <w:r>
              <w:rPr>
                <w:spacing w:val="-2"/>
                <w:sz w:val="18"/>
                <w:szCs w:val="18"/>
              </w:rPr>
              <w:t>0.70</w:t>
            </w:r>
          </w:p>
        </w:tc>
        <w:tc>
          <w:tcPr>
            <w:tcW w:w="424" w:type="dxa"/>
            <w:vAlign w:val="top"/>
          </w:tcPr>
          <w:p w14:paraId="468BF476">
            <w:pPr>
              <w:pStyle w:val="6"/>
              <w:spacing w:before="91" w:line="219" w:lineRule="auto"/>
              <w:ind w:left="82"/>
              <w:rPr>
                <w:sz w:val="18"/>
                <w:szCs w:val="18"/>
              </w:rPr>
            </w:pPr>
            <w:r>
              <w:rPr>
                <w:spacing w:val="-6"/>
                <w:sz w:val="18"/>
                <w:szCs w:val="18"/>
              </w:rPr>
              <w:t>1.44</w:t>
            </w:r>
          </w:p>
        </w:tc>
        <w:tc>
          <w:tcPr>
            <w:tcW w:w="423" w:type="dxa"/>
            <w:vAlign w:val="top"/>
          </w:tcPr>
          <w:p w14:paraId="6E1F8A58">
            <w:pPr>
              <w:pStyle w:val="6"/>
              <w:spacing w:before="91" w:line="219" w:lineRule="auto"/>
              <w:ind w:left="67"/>
              <w:rPr>
                <w:sz w:val="18"/>
                <w:szCs w:val="18"/>
              </w:rPr>
            </w:pPr>
            <w:r>
              <w:rPr>
                <w:spacing w:val="-2"/>
                <w:sz w:val="18"/>
                <w:szCs w:val="18"/>
              </w:rPr>
              <w:t>7.91</w:t>
            </w:r>
          </w:p>
        </w:tc>
        <w:tc>
          <w:tcPr>
            <w:tcW w:w="472" w:type="dxa"/>
            <w:vAlign w:val="top"/>
          </w:tcPr>
          <w:p w14:paraId="64C49494">
            <w:pPr>
              <w:pStyle w:val="6"/>
              <w:spacing w:before="91" w:line="219" w:lineRule="auto"/>
              <w:ind w:left="97"/>
              <w:rPr>
                <w:sz w:val="18"/>
                <w:szCs w:val="18"/>
              </w:rPr>
            </w:pPr>
            <w:r>
              <w:rPr>
                <w:spacing w:val="-3"/>
                <w:sz w:val="18"/>
                <w:szCs w:val="18"/>
              </w:rPr>
              <w:t>84.4</w:t>
            </w:r>
          </w:p>
        </w:tc>
        <w:tc>
          <w:tcPr>
            <w:tcW w:w="377" w:type="dxa"/>
            <w:tcBorders>
              <w:right w:val="single" w:color="000000" w:sz="12" w:space="0"/>
            </w:tcBorders>
            <w:vAlign w:val="top"/>
          </w:tcPr>
          <w:p w14:paraId="7EA19B7A">
            <w:pPr>
              <w:pStyle w:val="6"/>
              <w:spacing w:before="91" w:line="219" w:lineRule="auto"/>
              <w:ind w:left="49"/>
              <w:rPr>
                <w:sz w:val="18"/>
                <w:szCs w:val="18"/>
              </w:rPr>
            </w:pPr>
            <w:r>
              <w:rPr>
                <w:spacing w:val="-6"/>
                <w:sz w:val="18"/>
                <w:szCs w:val="18"/>
              </w:rPr>
              <w:t>13.6</w:t>
            </w:r>
          </w:p>
        </w:tc>
      </w:tr>
      <w:tr w14:paraId="5C942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237C97D9">
            <w:pPr>
              <w:rPr>
                <w:rFonts w:ascii="Arial"/>
                <w:sz w:val="21"/>
              </w:rPr>
            </w:pPr>
          </w:p>
        </w:tc>
        <w:tc>
          <w:tcPr>
            <w:tcW w:w="268" w:type="dxa"/>
            <w:vMerge w:val="restart"/>
            <w:tcBorders>
              <w:bottom w:val="nil"/>
            </w:tcBorders>
            <w:vAlign w:val="top"/>
          </w:tcPr>
          <w:p w14:paraId="67E888F6">
            <w:pPr>
              <w:pStyle w:val="6"/>
              <w:spacing w:before="151" w:line="226" w:lineRule="auto"/>
              <w:ind w:left="76"/>
              <w:rPr>
                <w:sz w:val="18"/>
                <w:szCs w:val="18"/>
              </w:rPr>
            </w:pPr>
            <w:r>
              <w:rPr>
                <w:sz w:val="18"/>
                <w:szCs w:val="18"/>
              </w:rPr>
              <w:t>3</w:t>
            </w:r>
          </w:p>
          <w:p w14:paraId="1CF395D2">
            <w:pPr>
              <w:spacing w:line="226" w:lineRule="auto"/>
              <w:ind w:left="31"/>
              <w:rPr>
                <w:rFonts w:ascii="等线" w:hAnsi="等线" w:eastAsia="等线" w:cs="等线"/>
                <w:sz w:val="18"/>
                <w:szCs w:val="18"/>
              </w:rPr>
            </w:pPr>
            <w:r>
              <w:rPr>
                <w:rFonts w:ascii="等线" w:hAnsi="等线" w:eastAsia="等线" w:cs="等线"/>
                <w:sz w:val="18"/>
                <w:szCs w:val="18"/>
              </w:rPr>
              <w:t>季</w:t>
            </w:r>
          </w:p>
          <w:p w14:paraId="075BD585">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263CB35F">
            <w:pPr>
              <w:pStyle w:val="6"/>
              <w:spacing w:before="92" w:line="220" w:lineRule="auto"/>
              <w:ind w:left="138"/>
              <w:rPr>
                <w:sz w:val="18"/>
                <w:szCs w:val="18"/>
              </w:rPr>
            </w:pPr>
            <w:r>
              <w:rPr>
                <w:spacing w:val="-1"/>
                <w:sz w:val="18"/>
                <w:szCs w:val="18"/>
              </w:rPr>
              <w:t>2020/8/20</w:t>
            </w:r>
          </w:p>
        </w:tc>
        <w:tc>
          <w:tcPr>
            <w:tcW w:w="774" w:type="dxa"/>
            <w:vAlign w:val="top"/>
          </w:tcPr>
          <w:p w14:paraId="59CB531A">
            <w:pPr>
              <w:pStyle w:val="6"/>
              <w:spacing w:before="92" w:line="220" w:lineRule="auto"/>
              <w:ind w:left="219"/>
              <w:rPr>
                <w:sz w:val="18"/>
                <w:szCs w:val="18"/>
              </w:rPr>
            </w:pPr>
            <w:r>
              <w:rPr>
                <w:spacing w:val="-2"/>
                <w:sz w:val="18"/>
                <w:szCs w:val="18"/>
              </w:rPr>
              <w:t>7.75</w:t>
            </w:r>
          </w:p>
        </w:tc>
        <w:tc>
          <w:tcPr>
            <w:tcW w:w="741" w:type="dxa"/>
            <w:vAlign w:val="top"/>
          </w:tcPr>
          <w:p w14:paraId="723E2C51">
            <w:pPr>
              <w:pStyle w:val="6"/>
              <w:spacing w:before="92" w:line="220" w:lineRule="auto"/>
              <w:ind w:left="222"/>
              <w:rPr>
                <w:sz w:val="18"/>
                <w:szCs w:val="18"/>
              </w:rPr>
            </w:pPr>
            <w:r>
              <w:rPr>
                <w:spacing w:val="-1"/>
                <w:sz w:val="18"/>
                <w:szCs w:val="18"/>
              </w:rPr>
              <w:t>245</w:t>
            </w:r>
          </w:p>
        </w:tc>
        <w:tc>
          <w:tcPr>
            <w:tcW w:w="705" w:type="dxa"/>
            <w:vAlign w:val="top"/>
          </w:tcPr>
          <w:p w14:paraId="4B2D0210">
            <w:pPr>
              <w:pStyle w:val="6"/>
              <w:spacing w:before="92" w:line="220" w:lineRule="auto"/>
              <w:ind w:left="209"/>
              <w:rPr>
                <w:sz w:val="18"/>
                <w:szCs w:val="18"/>
              </w:rPr>
            </w:pPr>
            <w:r>
              <w:rPr>
                <w:spacing w:val="-2"/>
                <w:sz w:val="18"/>
                <w:szCs w:val="18"/>
              </w:rPr>
              <w:t>347</w:t>
            </w:r>
          </w:p>
        </w:tc>
        <w:tc>
          <w:tcPr>
            <w:tcW w:w="570" w:type="dxa"/>
            <w:vAlign w:val="top"/>
          </w:tcPr>
          <w:p w14:paraId="14D056A7">
            <w:pPr>
              <w:pStyle w:val="6"/>
              <w:spacing w:before="92" w:line="220" w:lineRule="auto"/>
              <w:ind w:left="189"/>
              <w:rPr>
                <w:sz w:val="18"/>
                <w:szCs w:val="18"/>
              </w:rPr>
            </w:pPr>
            <w:r>
              <w:rPr>
                <w:spacing w:val="-3"/>
                <w:sz w:val="18"/>
                <w:szCs w:val="18"/>
              </w:rPr>
              <w:t>85</w:t>
            </w:r>
          </w:p>
        </w:tc>
        <w:tc>
          <w:tcPr>
            <w:tcW w:w="423" w:type="dxa"/>
            <w:vAlign w:val="top"/>
          </w:tcPr>
          <w:p w14:paraId="05CBB9E9">
            <w:pPr>
              <w:pStyle w:val="6"/>
              <w:spacing w:before="95" w:line="186" w:lineRule="auto"/>
              <w:ind w:left="72"/>
              <w:rPr>
                <w:sz w:val="18"/>
                <w:szCs w:val="18"/>
              </w:rPr>
            </w:pPr>
            <w:r>
              <w:rPr>
                <w:spacing w:val="-5"/>
                <w:sz w:val="18"/>
                <w:szCs w:val="18"/>
              </w:rPr>
              <w:t>10L</w:t>
            </w:r>
          </w:p>
        </w:tc>
        <w:tc>
          <w:tcPr>
            <w:tcW w:w="567" w:type="dxa"/>
            <w:vAlign w:val="top"/>
          </w:tcPr>
          <w:p w14:paraId="6245D928">
            <w:pPr>
              <w:pStyle w:val="6"/>
              <w:spacing w:before="92" w:line="220" w:lineRule="auto"/>
              <w:ind w:left="63"/>
              <w:rPr>
                <w:sz w:val="18"/>
                <w:szCs w:val="18"/>
              </w:rPr>
            </w:pPr>
            <w:r>
              <w:rPr>
                <w:spacing w:val="-2"/>
                <w:sz w:val="18"/>
                <w:szCs w:val="18"/>
              </w:rPr>
              <w:t>0.03L</w:t>
            </w:r>
          </w:p>
        </w:tc>
        <w:tc>
          <w:tcPr>
            <w:tcW w:w="545" w:type="dxa"/>
            <w:vAlign w:val="top"/>
          </w:tcPr>
          <w:p w14:paraId="055F662D">
            <w:pPr>
              <w:pStyle w:val="6"/>
              <w:spacing w:before="92" w:line="220" w:lineRule="auto"/>
              <w:ind w:left="53"/>
              <w:rPr>
                <w:sz w:val="18"/>
                <w:szCs w:val="18"/>
              </w:rPr>
            </w:pPr>
            <w:r>
              <w:rPr>
                <w:spacing w:val="-2"/>
                <w:sz w:val="18"/>
                <w:szCs w:val="18"/>
              </w:rPr>
              <w:t>0.02L</w:t>
            </w:r>
          </w:p>
        </w:tc>
        <w:tc>
          <w:tcPr>
            <w:tcW w:w="472" w:type="dxa"/>
            <w:vAlign w:val="top"/>
          </w:tcPr>
          <w:p w14:paraId="443F1BAC">
            <w:pPr>
              <w:pStyle w:val="6"/>
              <w:spacing w:before="92" w:line="220" w:lineRule="auto"/>
              <w:ind w:left="18"/>
              <w:rPr>
                <w:sz w:val="18"/>
                <w:szCs w:val="18"/>
              </w:rPr>
            </w:pPr>
            <w:r>
              <w:rPr>
                <w:spacing w:val="-2"/>
                <w:sz w:val="18"/>
                <w:szCs w:val="18"/>
              </w:rPr>
              <w:t>0.01L</w:t>
            </w:r>
          </w:p>
        </w:tc>
        <w:tc>
          <w:tcPr>
            <w:tcW w:w="562" w:type="dxa"/>
            <w:vAlign w:val="top"/>
          </w:tcPr>
          <w:p w14:paraId="2B7A8F06">
            <w:pPr>
              <w:pStyle w:val="6"/>
              <w:spacing w:before="92" w:line="220" w:lineRule="auto"/>
              <w:ind w:left="19"/>
              <w:rPr>
                <w:sz w:val="18"/>
                <w:szCs w:val="18"/>
              </w:rPr>
            </w:pPr>
            <w:r>
              <w:rPr>
                <w:spacing w:val="-2"/>
                <w:sz w:val="18"/>
                <w:szCs w:val="18"/>
              </w:rPr>
              <w:t>0.006L</w:t>
            </w:r>
          </w:p>
        </w:tc>
        <w:tc>
          <w:tcPr>
            <w:tcW w:w="651" w:type="dxa"/>
            <w:vAlign w:val="top"/>
          </w:tcPr>
          <w:p w14:paraId="256257E9">
            <w:pPr>
              <w:pStyle w:val="6"/>
              <w:spacing w:before="92" w:line="220" w:lineRule="auto"/>
              <w:ind w:left="18"/>
              <w:rPr>
                <w:sz w:val="18"/>
                <w:szCs w:val="18"/>
              </w:rPr>
            </w:pPr>
            <w:r>
              <w:rPr>
                <w:spacing w:val="-1"/>
                <w:sz w:val="18"/>
                <w:szCs w:val="18"/>
              </w:rPr>
              <w:t>0.0003L</w:t>
            </w:r>
          </w:p>
        </w:tc>
        <w:tc>
          <w:tcPr>
            <w:tcW w:w="884" w:type="dxa"/>
            <w:vAlign w:val="top"/>
          </w:tcPr>
          <w:p w14:paraId="315B257A">
            <w:pPr>
              <w:pStyle w:val="6"/>
              <w:spacing w:before="92" w:line="220" w:lineRule="auto"/>
              <w:ind w:left="226"/>
              <w:rPr>
                <w:sz w:val="18"/>
                <w:szCs w:val="18"/>
              </w:rPr>
            </w:pPr>
            <w:r>
              <w:rPr>
                <w:spacing w:val="-2"/>
                <w:sz w:val="18"/>
                <w:szCs w:val="18"/>
              </w:rPr>
              <w:t>0.05L</w:t>
            </w:r>
          </w:p>
        </w:tc>
        <w:tc>
          <w:tcPr>
            <w:tcW w:w="709" w:type="dxa"/>
            <w:vAlign w:val="top"/>
          </w:tcPr>
          <w:p w14:paraId="5B1EC1FA">
            <w:pPr>
              <w:pStyle w:val="6"/>
              <w:spacing w:before="92" w:line="220" w:lineRule="auto"/>
              <w:ind w:left="194"/>
              <w:rPr>
                <w:sz w:val="18"/>
                <w:szCs w:val="18"/>
              </w:rPr>
            </w:pPr>
            <w:r>
              <w:rPr>
                <w:spacing w:val="-2"/>
                <w:sz w:val="18"/>
                <w:szCs w:val="18"/>
              </w:rPr>
              <w:t>0.03</w:t>
            </w:r>
          </w:p>
        </w:tc>
        <w:tc>
          <w:tcPr>
            <w:tcW w:w="703" w:type="dxa"/>
            <w:vAlign w:val="top"/>
          </w:tcPr>
          <w:p w14:paraId="10C11486">
            <w:pPr>
              <w:pStyle w:val="6"/>
              <w:spacing w:before="92" w:line="220" w:lineRule="auto"/>
              <w:ind w:left="193"/>
              <w:rPr>
                <w:sz w:val="18"/>
                <w:szCs w:val="18"/>
              </w:rPr>
            </w:pPr>
            <w:r>
              <w:rPr>
                <w:spacing w:val="-2"/>
                <w:sz w:val="18"/>
                <w:szCs w:val="18"/>
              </w:rPr>
              <w:t>0.05</w:t>
            </w:r>
          </w:p>
        </w:tc>
        <w:tc>
          <w:tcPr>
            <w:tcW w:w="708" w:type="dxa"/>
            <w:vAlign w:val="top"/>
          </w:tcPr>
          <w:p w14:paraId="1FBBC5E3">
            <w:pPr>
              <w:pStyle w:val="6"/>
              <w:spacing w:before="92" w:line="220" w:lineRule="auto"/>
              <w:ind w:left="96"/>
              <w:rPr>
                <w:sz w:val="18"/>
                <w:szCs w:val="18"/>
              </w:rPr>
            </w:pPr>
            <w:r>
              <w:rPr>
                <w:spacing w:val="-2"/>
                <w:sz w:val="18"/>
                <w:szCs w:val="18"/>
              </w:rPr>
              <w:t>0.003L</w:t>
            </w:r>
          </w:p>
        </w:tc>
        <w:tc>
          <w:tcPr>
            <w:tcW w:w="764" w:type="dxa"/>
            <w:vAlign w:val="top"/>
          </w:tcPr>
          <w:p w14:paraId="3F20F059">
            <w:pPr>
              <w:pStyle w:val="6"/>
              <w:spacing w:before="92" w:line="220" w:lineRule="auto"/>
              <w:ind w:left="181"/>
              <w:rPr>
                <w:sz w:val="18"/>
                <w:szCs w:val="18"/>
              </w:rPr>
            </w:pPr>
            <w:r>
              <w:rPr>
                <w:spacing w:val="-2"/>
                <w:sz w:val="18"/>
                <w:szCs w:val="18"/>
              </w:rPr>
              <w:t>0.060</w:t>
            </w:r>
          </w:p>
        </w:tc>
        <w:tc>
          <w:tcPr>
            <w:tcW w:w="586" w:type="dxa"/>
            <w:vAlign w:val="top"/>
          </w:tcPr>
          <w:p w14:paraId="718FA283">
            <w:pPr>
              <w:pStyle w:val="6"/>
              <w:spacing w:before="92" w:line="220" w:lineRule="auto"/>
              <w:ind w:left="139"/>
              <w:rPr>
                <w:sz w:val="18"/>
                <w:szCs w:val="18"/>
              </w:rPr>
            </w:pPr>
            <w:r>
              <w:rPr>
                <w:spacing w:val="-2"/>
                <w:sz w:val="18"/>
                <w:szCs w:val="18"/>
              </w:rPr>
              <w:t>0.11</w:t>
            </w:r>
          </w:p>
        </w:tc>
        <w:tc>
          <w:tcPr>
            <w:tcW w:w="582" w:type="dxa"/>
            <w:vAlign w:val="top"/>
          </w:tcPr>
          <w:p w14:paraId="05FDEBAD">
            <w:pPr>
              <w:pStyle w:val="6"/>
              <w:spacing w:before="92" w:line="220" w:lineRule="auto"/>
              <w:ind w:left="38"/>
              <w:rPr>
                <w:sz w:val="18"/>
                <w:szCs w:val="18"/>
              </w:rPr>
            </w:pPr>
            <w:r>
              <w:rPr>
                <w:spacing w:val="-2"/>
                <w:sz w:val="18"/>
                <w:szCs w:val="18"/>
              </w:rPr>
              <w:t>0.004L</w:t>
            </w:r>
          </w:p>
        </w:tc>
        <w:tc>
          <w:tcPr>
            <w:tcW w:w="745" w:type="dxa"/>
            <w:vAlign w:val="top"/>
          </w:tcPr>
          <w:p w14:paraId="1986B232">
            <w:pPr>
              <w:pStyle w:val="6"/>
              <w:spacing w:before="92" w:line="220" w:lineRule="auto"/>
              <w:ind w:left="31"/>
              <w:rPr>
                <w:sz w:val="18"/>
                <w:szCs w:val="18"/>
              </w:rPr>
            </w:pPr>
            <w:r>
              <w:rPr>
                <w:spacing w:val="-1"/>
                <w:sz w:val="18"/>
                <w:szCs w:val="18"/>
              </w:rPr>
              <w:t>0.00004L</w:t>
            </w:r>
          </w:p>
        </w:tc>
        <w:tc>
          <w:tcPr>
            <w:tcW w:w="651" w:type="dxa"/>
            <w:vAlign w:val="top"/>
          </w:tcPr>
          <w:p w14:paraId="4DF783FC">
            <w:pPr>
              <w:pStyle w:val="6"/>
              <w:spacing w:before="92" w:line="220" w:lineRule="auto"/>
              <w:ind w:left="29"/>
              <w:rPr>
                <w:sz w:val="18"/>
                <w:szCs w:val="18"/>
              </w:rPr>
            </w:pPr>
            <w:r>
              <w:rPr>
                <w:spacing w:val="-1"/>
                <w:sz w:val="18"/>
                <w:szCs w:val="18"/>
              </w:rPr>
              <w:t>0.0003L</w:t>
            </w:r>
          </w:p>
        </w:tc>
        <w:tc>
          <w:tcPr>
            <w:tcW w:w="652" w:type="dxa"/>
            <w:vAlign w:val="top"/>
          </w:tcPr>
          <w:p w14:paraId="4839EF61">
            <w:pPr>
              <w:pStyle w:val="6"/>
              <w:spacing w:before="92" w:line="220" w:lineRule="auto"/>
              <w:ind w:left="30"/>
              <w:rPr>
                <w:sz w:val="18"/>
                <w:szCs w:val="18"/>
              </w:rPr>
            </w:pPr>
            <w:r>
              <w:rPr>
                <w:spacing w:val="-1"/>
                <w:sz w:val="18"/>
                <w:szCs w:val="18"/>
              </w:rPr>
              <w:t>0.0004L</w:t>
            </w:r>
          </w:p>
        </w:tc>
        <w:tc>
          <w:tcPr>
            <w:tcW w:w="566" w:type="dxa"/>
            <w:vAlign w:val="top"/>
          </w:tcPr>
          <w:p w14:paraId="0C5CEECB">
            <w:pPr>
              <w:pStyle w:val="6"/>
              <w:spacing w:before="92" w:line="220" w:lineRule="auto"/>
              <w:ind w:left="32"/>
              <w:rPr>
                <w:sz w:val="18"/>
                <w:szCs w:val="18"/>
              </w:rPr>
            </w:pPr>
            <w:r>
              <w:rPr>
                <w:spacing w:val="-2"/>
                <w:sz w:val="18"/>
                <w:szCs w:val="18"/>
              </w:rPr>
              <w:t>0.001L</w:t>
            </w:r>
          </w:p>
        </w:tc>
        <w:tc>
          <w:tcPr>
            <w:tcW w:w="582" w:type="dxa"/>
            <w:vAlign w:val="top"/>
          </w:tcPr>
          <w:p w14:paraId="71420FB2">
            <w:pPr>
              <w:pStyle w:val="6"/>
              <w:spacing w:before="92" w:line="220" w:lineRule="auto"/>
              <w:ind w:left="41"/>
              <w:rPr>
                <w:sz w:val="18"/>
                <w:szCs w:val="18"/>
              </w:rPr>
            </w:pPr>
            <w:r>
              <w:rPr>
                <w:spacing w:val="-2"/>
                <w:sz w:val="18"/>
                <w:szCs w:val="18"/>
              </w:rPr>
              <w:t>0.004L</w:t>
            </w:r>
          </w:p>
        </w:tc>
        <w:tc>
          <w:tcPr>
            <w:tcW w:w="476" w:type="dxa"/>
            <w:vAlign w:val="top"/>
          </w:tcPr>
          <w:p w14:paraId="454B961C">
            <w:pPr>
              <w:pStyle w:val="6"/>
              <w:spacing w:before="92" w:line="220" w:lineRule="auto"/>
              <w:ind w:left="34"/>
              <w:rPr>
                <w:sz w:val="18"/>
                <w:szCs w:val="18"/>
              </w:rPr>
            </w:pPr>
            <w:r>
              <w:rPr>
                <w:spacing w:val="-2"/>
                <w:sz w:val="18"/>
                <w:szCs w:val="18"/>
              </w:rPr>
              <w:t>0.01L</w:t>
            </w:r>
          </w:p>
        </w:tc>
        <w:tc>
          <w:tcPr>
            <w:tcW w:w="567" w:type="dxa"/>
            <w:vAlign w:val="top"/>
          </w:tcPr>
          <w:p w14:paraId="0C4C4620">
            <w:pPr>
              <w:pStyle w:val="6"/>
              <w:spacing w:before="92" w:line="220" w:lineRule="auto"/>
              <w:ind w:left="91"/>
              <w:rPr>
                <w:sz w:val="18"/>
                <w:szCs w:val="18"/>
              </w:rPr>
            </w:pPr>
            <w:r>
              <w:rPr>
                <w:spacing w:val="-2"/>
                <w:sz w:val="18"/>
                <w:szCs w:val="18"/>
              </w:rPr>
              <w:t>0.012</w:t>
            </w:r>
          </w:p>
        </w:tc>
        <w:tc>
          <w:tcPr>
            <w:tcW w:w="765" w:type="dxa"/>
            <w:vAlign w:val="top"/>
          </w:tcPr>
          <w:p w14:paraId="0EAAB914">
            <w:pPr>
              <w:pStyle w:val="6"/>
              <w:spacing w:before="92" w:line="220" w:lineRule="auto"/>
              <w:ind w:left="272"/>
              <w:rPr>
                <w:sz w:val="18"/>
                <w:szCs w:val="18"/>
              </w:rPr>
            </w:pPr>
            <w:r>
              <w:rPr>
                <w:spacing w:val="-5"/>
                <w:sz w:val="18"/>
                <w:szCs w:val="18"/>
              </w:rPr>
              <w:t>140</w:t>
            </w:r>
          </w:p>
        </w:tc>
        <w:tc>
          <w:tcPr>
            <w:tcW w:w="424" w:type="dxa"/>
            <w:vAlign w:val="top"/>
          </w:tcPr>
          <w:p w14:paraId="5D9590E1">
            <w:pPr>
              <w:pStyle w:val="6"/>
              <w:spacing w:before="92" w:line="220" w:lineRule="auto"/>
              <w:ind w:left="90"/>
              <w:rPr>
                <w:sz w:val="18"/>
                <w:szCs w:val="18"/>
              </w:rPr>
            </w:pPr>
            <w:r>
              <w:rPr>
                <w:spacing w:val="-2"/>
                <w:sz w:val="18"/>
                <w:szCs w:val="18"/>
              </w:rPr>
              <w:t>383</w:t>
            </w:r>
          </w:p>
        </w:tc>
        <w:tc>
          <w:tcPr>
            <w:tcW w:w="427" w:type="dxa"/>
            <w:vAlign w:val="top"/>
          </w:tcPr>
          <w:p w14:paraId="59B01088">
            <w:pPr>
              <w:pStyle w:val="6"/>
              <w:spacing w:before="92" w:line="220" w:lineRule="auto"/>
              <w:ind w:left="68"/>
              <w:rPr>
                <w:sz w:val="18"/>
                <w:szCs w:val="18"/>
              </w:rPr>
            </w:pPr>
            <w:r>
              <w:rPr>
                <w:spacing w:val="-2"/>
                <w:sz w:val="18"/>
                <w:szCs w:val="18"/>
              </w:rPr>
              <w:t>0.32</w:t>
            </w:r>
          </w:p>
        </w:tc>
        <w:tc>
          <w:tcPr>
            <w:tcW w:w="424" w:type="dxa"/>
            <w:vAlign w:val="top"/>
          </w:tcPr>
          <w:p w14:paraId="41D872FA">
            <w:pPr>
              <w:pStyle w:val="6"/>
              <w:spacing w:before="92" w:line="220" w:lineRule="auto"/>
              <w:ind w:left="64"/>
              <w:rPr>
                <w:sz w:val="18"/>
                <w:szCs w:val="18"/>
              </w:rPr>
            </w:pPr>
            <w:r>
              <w:rPr>
                <w:spacing w:val="-1"/>
                <w:sz w:val="18"/>
                <w:szCs w:val="18"/>
              </w:rPr>
              <w:t>2.46</w:t>
            </w:r>
          </w:p>
        </w:tc>
        <w:tc>
          <w:tcPr>
            <w:tcW w:w="423" w:type="dxa"/>
            <w:vAlign w:val="top"/>
          </w:tcPr>
          <w:p w14:paraId="189338B7">
            <w:pPr>
              <w:pStyle w:val="6"/>
              <w:spacing w:before="92" w:line="220" w:lineRule="auto"/>
              <w:ind w:left="63"/>
              <w:rPr>
                <w:sz w:val="18"/>
                <w:szCs w:val="18"/>
              </w:rPr>
            </w:pPr>
            <w:r>
              <w:rPr>
                <w:spacing w:val="-1"/>
                <w:sz w:val="18"/>
                <w:szCs w:val="18"/>
              </w:rPr>
              <w:t>4.79</w:t>
            </w:r>
          </w:p>
        </w:tc>
        <w:tc>
          <w:tcPr>
            <w:tcW w:w="472" w:type="dxa"/>
            <w:vAlign w:val="top"/>
          </w:tcPr>
          <w:p w14:paraId="1C46DC4A">
            <w:pPr>
              <w:pStyle w:val="6"/>
              <w:spacing w:before="92" w:line="220" w:lineRule="auto"/>
              <w:ind w:left="90"/>
              <w:rPr>
                <w:sz w:val="18"/>
                <w:szCs w:val="18"/>
              </w:rPr>
            </w:pPr>
            <w:r>
              <w:rPr>
                <w:spacing w:val="-1"/>
                <w:sz w:val="18"/>
                <w:szCs w:val="18"/>
              </w:rPr>
              <w:t>24.9</w:t>
            </w:r>
          </w:p>
        </w:tc>
        <w:tc>
          <w:tcPr>
            <w:tcW w:w="377" w:type="dxa"/>
            <w:tcBorders>
              <w:right w:val="single" w:color="000000" w:sz="12" w:space="0"/>
            </w:tcBorders>
            <w:vAlign w:val="top"/>
          </w:tcPr>
          <w:p w14:paraId="7D0E8C49">
            <w:pPr>
              <w:pStyle w:val="6"/>
              <w:spacing w:before="92" w:line="220" w:lineRule="auto"/>
              <w:ind w:left="32"/>
              <w:rPr>
                <w:sz w:val="18"/>
                <w:szCs w:val="18"/>
              </w:rPr>
            </w:pPr>
            <w:r>
              <w:rPr>
                <w:spacing w:val="-1"/>
                <w:sz w:val="18"/>
                <w:szCs w:val="18"/>
              </w:rPr>
              <w:t>23.0</w:t>
            </w:r>
          </w:p>
        </w:tc>
      </w:tr>
      <w:tr w14:paraId="3B6A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79927A47">
            <w:pPr>
              <w:rPr>
                <w:rFonts w:ascii="Arial"/>
                <w:sz w:val="21"/>
              </w:rPr>
            </w:pPr>
          </w:p>
        </w:tc>
        <w:tc>
          <w:tcPr>
            <w:tcW w:w="268" w:type="dxa"/>
            <w:vMerge w:val="continue"/>
            <w:tcBorders>
              <w:top w:val="nil"/>
              <w:bottom w:val="nil"/>
            </w:tcBorders>
            <w:vAlign w:val="top"/>
          </w:tcPr>
          <w:p w14:paraId="4DBC3C25">
            <w:pPr>
              <w:rPr>
                <w:rFonts w:ascii="Arial"/>
                <w:sz w:val="21"/>
              </w:rPr>
            </w:pPr>
          </w:p>
        </w:tc>
        <w:tc>
          <w:tcPr>
            <w:tcW w:w="1038" w:type="dxa"/>
            <w:vAlign w:val="top"/>
          </w:tcPr>
          <w:p w14:paraId="35A56DAF">
            <w:pPr>
              <w:pStyle w:val="6"/>
              <w:spacing w:before="93" w:line="219" w:lineRule="auto"/>
              <w:ind w:left="138"/>
              <w:rPr>
                <w:sz w:val="18"/>
                <w:szCs w:val="18"/>
              </w:rPr>
            </w:pPr>
            <w:r>
              <w:rPr>
                <w:spacing w:val="-1"/>
                <w:sz w:val="18"/>
                <w:szCs w:val="18"/>
              </w:rPr>
              <w:t>2020/8/21</w:t>
            </w:r>
          </w:p>
        </w:tc>
        <w:tc>
          <w:tcPr>
            <w:tcW w:w="774" w:type="dxa"/>
            <w:vAlign w:val="top"/>
          </w:tcPr>
          <w:p w14:paraId="35B48244">
            <w:pPr>
              <w:pStyle w:val="6"/>
              <w:spacing w:before="93" w:line="219" w:lineRule="auto"/>
              <w:ind w:left="219"/>
              <w:rPr>
                <w:sz w:val="18"/>
                <w:szCs w:val="18"/>
              </w:rPr>
            </w:pPr>
            <w:r>
              <w:rPr>
                <w:spacing w:val="-2"/>
                <w:sz w:val="18"/>
                <w:szCs w:val="18"/>
              </w:rPr>
              <w:t>7.67</w:t>
            </w:r>
          </w:p>
        </w:tc>
        <w:tc>
          <w:tcPr>
            <w:tcW w:w="741" w:type="dxa"/>
            <w:vAlign w:val="top"/>
          </w:tcPr>
          <w:p w14:paraId="671C8260">
            <w:pPr>
              <w:pStyle w:val="6"/>
              <w:spacing w:before="93" w:line="219" w:lineRule="auto"/>
              <w:ind w:left="222"/>
              <w:rPr>
                <w:sz w:val="18"/>
                <w:szCs w:val="18"/>
              </w:rPr>
            </w:pPr>
            <w:r>
              <w:rPr>
                <w:spacing w:val="-1"/>
                <w:sz w:val="18"/>
                <w:szCs w:val="18"/>
              </w:rPr>
              <w:t>240</w:t>
            </w:r>
          </w:p>
        </w:tc>
        <w:tc>
          <w:tcPr>
            <w:tcW w:w="705" w:type="dxa"/>
            <w:vAlign w:val="top"/>
          </w:tcPr>
          <w:p w14:paraId="76A333A1">
            <w:pPr>
              <w:pStyle w:val="6"/>
              <w:spacing w:before="93" w:line="219" w:lineRule="auto"/>
              <w:ind w:left="209"/>
              <w:rPr>
                <w:sz w:val="18"/>
                <w:szCs w:val="18"/>
              </w:rPr>
            </w:pPr>
            <w:r>
              <w:rPr>
                <w:spacing w:val="-2"/>
                <w:sz w:val="18"/>
                <w:szCs w:val="18"/>
              </w:rPr>
              <w:t>351</w:t>
            </w:r>
          </w:p>
        </w:tc>
        <w:tc>
          <w:tcPr>
            <w:tcW w:w="570" w:type="dxa"/>
            <w:vAlign w:val="top"/>
          </w:tcPr>
          <w:p w14:paraId="2173E904">
            <w:pPr>
              <w:pStyle w:val="6"/>
              <w:spacing w:before="93" w:line="219" w:lineRule="auto"/>
              <w:ind w:left="189"/>
              <w:rPr>
                <w:sz w:val="18"/>
                <w:szCs w:val="18"/>
              </w:rPr>
            </w:pPr>
            <w:r>
              <w:rPr>
                <w:spacing w:val="-3"/>
                <w:sz w:val="18"/>
                <w:szCs w:val="18"/>
              </w:rPr>
              <w:t>82</w:t>
            </w:r>
          </w:p>
        </w:tc>
        <w:tc>
          <w:tcPr>
            <w:tcW w:w="423" w:type="dxa"/>
            <w:vAlign w:val="top"/>
          </w:tcPr>
          <w:p w14:paraId="35FA4EB0">
            <w:pPr>
              <w:pStyle w:val="6"/>
              <w:spacing w:before="96" w:line="186" w:lineRule="auto"/>
              <w:ind w:left="72"/>
              <w:rPr>
                <w:sz w:val="18"/>
                <w:szCs w:val="18"/>
              </w:rPr>
            </w:pPr>
            <w:r>
              <w:rPr>
                <w:spacing w:val="-5"/>
                <w:sz w:val="18"/>
                <w:szCs w:val="18"/>
              </w:rPr>
              <w:t>10L</w:t>
            </w:r>
          </w:p>
        </w:tc>
        <w:tc>
          <w:tcPr>
            <w:tcW w:w="567" w:type="dxa"/>
            <w:vAlign w:val="top"/>
          </w:tcPr>
          <w:p w14:paraId="57A3725D">
            <w:pPr>
              <w:pStyle w:val="6"/>
              <w:spacing w:before="93" w:line="219" w:lineRule="auto"/>
              <w:ind w:left="63"/>
              <w:rPr>
                <w:sz w:val="18"/>
                <w:szCs w:val="18"/>
              </w:rPr>
            </w:pPr>
            <w:r>
              <w:rPr>
                <w:spacing w:val="-2"/>
                <w:sz w:val="18"/>
                <w:szCs w:val="18"/>
              </w:rPr>
              <w:t>0.03L</w:t>
            </w:r>
          </w:p>
        </w:tc>
        <w:tc>
          <w:tcPr>
            <w:tcW w:w="545" w:type="dxa"/>
            <w:vAlign w:val="top"/>
          </w:tcPr>
          <w:p w14:paraId="6C126065">
            <w:pPr>
              <w:pStyle w:val="6"/>
              <w:spacing w:before="93" w:line="219" w:lineRule="auto"/>
              <w:ind w:left="53"/>
              <w:rPr>
                <w:sz w:val="18"/>
                <w:szCs w:val="18"/>
              </w:rPr>
            </w:pPr>
            <w:r>
              <w:rPr>
                <w:spacing w:val="-2"/>
                <w:sz w:val="18"/>
                <w:szCs w:val="18"/>
              </w:rPr>
              <w:t>0.02L</w:t>
            </w:r>
          </w:p>
        </w:tc>
        <w:tc>
          <w:tcPr>
            <w:tcW w:w="472" w:type="dxa"/>
            <w:vAlign w:val="top"/>
          </w:tcPr>
          <w:p w14:paraId="7ACA755C">
            <w:pPr>
              <w:pStyle w:val="6"/>
              <w:spacing w:before="93" w:line="219" w:lineRule="auto"/>
              <w:ind w:left="18"/>
              <w:rPr>
                <w:sz w:val="18"/>
                <w:szCs w:val="18"/>
              </w:rPr>
            </w:pPr>
            <w:r>
              <w:rPr>
                <w:spacing w:val="-2"/>
                <w:sz w:val="18"/>
                <w:szCs w:val="18"/>
              </w:rPr>
              <w:t>0.01L</w:t>
            </w:r>
          </w:p>
        </w:tc>
        <w:tc>
          <w:tcPr>
            <w:tcW w:w="562" w:type="dxa"/>
            <w:vAlign w:val="top"/>
          </w:tcPr>
          <w:p w14:paraId="16795210">
            <w:pPr>
              <w:pStyle w:val="6"/>
              <w:spacing w:before="93" w:line="219" w:lineRule="auto"/>
              <w:ind w:left="19"/>
              <w:rPr>
                <w:sz w:val="18"/>
                <w:szCs w:val="18"/>
              </w:rPr>
            </w:pPr>
            <w:r>
              <w:rPr>
                <w:spacing w:val="-2"/>
                <w:sz w:val="18"/>
                <w:szCs w:val="18"/>
              </w:rPr>
              <w:t>0.006L</w:t>
            </w:r>
          </w:p>
        </w:tc>
        <w:tc>
          <w:tcPr>
            <w:tcW w:w="651" w:type="dxa"/>
            <w:vAlign w:val="top"/>
          </w:tcPr>
          <w:p w14:paraId="55A83AA1">
            <w:pPr>
              <w:pStyle w:val="6"/>
              <w:spacing w:before="93" w:line="219" w:lineRule="auto"/>
              <w:ind w:left="18"/>
              <w:rPr>
                <w:sz w:val="18"/>
                <w:szCs w:val="18"/>
              </w:rPr>
            </w:pPr>
            <w:r>
              <w:rPr>
                <w:spacing w:val="-1"/>
                <w:sz w:val="18"/>
                <w:szCs w:val="18"/>
              </w:rPr>
              <w:t>0.0003L</w:t>
            </w:r>
          </w:p>
        </w:tc>
        <w:tc>
          <w:tcPr>
            <w:tcW w:w="884" w:type="dxa"/>
            <w:vAlign w:val="top"/>
          </w:tcPr>
          <w:p w14:paraId="1DB7448C">
            <w:pPr>
              <w:pStyle w:val="6"/>
              <w:spacing w:before="93" w:line="219" w:lineRule="auto"/>
              <w:ind w:left="226"/>
              <w:rPr>
                <w:sz w:val="18"/>
                <w:szCs w:val="18"/>
              </w:rPr>
            </w:pPr>
            <w:r>
              <w:rPr>
                <w:spacing w:val="-2"/>
                <w:sz w:val="18"/>
                <w:szCs w:val="18"/>
              </w:rPr>
              <w:t>0.05L</w:t>
            </w:r>
          </w:p>
        </w:tc>
        <w:tc>
          <w:tcPr>
            <w:tcW w:w="709" w:type="dxa"/>
            <w:vAlign w:val="top"/>
          </w:tcPr>
          <w:p w14:paraId="50253D15">
            <w:pPr>
              <w:pStyle w:val="6"/>
              <w:spacing w:before="93" w:line="219" w:lineRule="auto"/>
              <w:ind w:left="194"/>
              <w:rPr>
                <w:sz w:val="18"/>
                <w:szCs w:val="18"/>
              </w:rPr>
            </w:pPr>
            <w:r>
              <w:rPr>
                <w:spacing w:val="-2"/>
                <w:sz w:val="18"/>
                <w:szCs w:val="18"/>
              </w:rPr>
              <w:t>0.04</w:t>
            </w:r>
          </w:p>
        </w:tc>
        <w:tc>
          <w:tcPr>
            <w:tcW w:w="703" w:type="dxa"/>
            <w:vAlign w:val="top"/>
          </w:tcPr>
          <w:p w14:paraId="5AC15FED">
            <w:pPr>
              <w:pStyle w:val="6"/>
              <w:spacing w:before="93" w:line="219" w:lineRule="auto"/>
              <w:ind w:left="193"/>
              <w:rPr>
                <w:sz w:val="18"/>
                <w:szCs w:val="18"/>
              </w:rPr>
            </w:pPr>
            <w:r>
              <w:rPr>
                <w:spacing w:val="-2"/>
                <w:sz w:val="18"/>
                <w:szCs w:val="18"/>
              </w:rPr>
              <w:t>0.04</w:t>
            </w:r>
          </w:p>
        </w:tc>
        <w:tc>
          <w:tcPr>
            <w:tcW w:w="708" w:type="dxa"/>
            <w:vAlign w:val="top"/>
          </w:tcPr>
          <w:p w14:paraId="5E6014D7">
            <w:pPr>
              <w:pStyle w:val="6"/>
              <w:spacing w:before="93" w:line="219" w:lineRule="auto"/>
              <w:ind w:left="96"/>
              <w:rPr>
                <w:sz w:val="18"/>
                <w:szCs w:val="18"/>
              </w:rPr>
            </w:pPr>
            <w:r>
              <w:rPr>
                <w:spacing w:val="-2"/>
                <w:sz w:val="18"/>
                <w:szCs w:val="18"/>
              </w:rPr>
              <w:t>0.003L</w:t>
            </w:r>
          </w:p>
        </w:tc>
        <w:tc>
          <w:tcPr>
            <w:tcW w:w="764" w:type="dxa"/>
            <w:vAlign w:val="top"/>
          </w:tcPr>
          <w:p w14:paraId="7B5DCD66">
            <w:pPr>
              <w:pStyle w:val="6"/>
              <w:spacing w:before="93" w:line="219" w:lineRule="auto"/>
              <w:ind w:left="181"/>
              <w:rPr>
                <w:sz w:val="18"/>
                <w:szCs w:val="18"/>
              </w:rPr>
            </w:pPr>
            <w:r>
              <w:rPr>
                <w:spacing w:val="-2"/>
                <w:sz w:val="18"/>
                <w:szCs w:val="18"/>
              </w:rPr>
              <w:t>0.050</w:t>
            </w:r>
          </w:p>
        </w:tc>
        <w:tc>
          <w:tcPr>
            <w:tcW w:w="586" w:type="dxa"/>
            <w:vAlign w:val="top"/>
          </w:tcPr>
          <w:p w14:paraId="33B89979">
            <w:pPr>
              <w:pStyle w:val="6"/>
              <w:spacing w:before="93" w:line="219" w:lineRule="auto"/>
              <w:ind w:left="139"/>
              <w:rPr>
                <w:sz w:val="18"/>
                <w:szCs w:val="18"/>
              </w:rPr>
            </w:pPr>
            <w:r>
              <w:rPr>
                <w:spacing w:val="-2"/>
                <w:sz w:val="18"/>
                <w:szCs w:val="18"/>
              </w:rPr>
              <w:t>0.14</w:t>
            </w:r>
          </w:p>
        </w:tc>
        <w:tc>
          <w:tcPr>
            <w:tcW w:w="582" w:type="dxa"/>
            <w:vAlign w:val="top"/>
          </w:tcPr>
          <w:p w14:paraId="19270FFA">
            <w:pPr>
              <w:pStyle w:val="6"/>
              <w:spacing w:before="93" w:line="219" w:lineRule="auto"/>
              <w:ind w:left="38"/>
              <w:rPr>
                <w:sz w:val="18"/>
                <w:szCs w:val="18"/>
              </w:rPr>
            </w:pPr>
            <w:r>
              <w:rPr>
                <w:spacing w:val="-2"/>
                <w:sz w:val="18"/>
                <w:szCs w:val="18"/>
              </w:rPr>
              <w:t>0.004L</w:t>
            </w:r>
          </w:p>
        </w:tc>
        <w:tc>
          <w:tcPr>
            <w:tcW w:w="745" w:type="dxa"/>
            <w:vAlign w:val="top"/>
          </w:tcPr>
          <w:p w14:paraId="6BF499F2">
            <w:pPr>
              <w:pStyle w:val="6"/>
              <w:spacing w:before="93" w:line="219" w:lineRule="auto"/>
              <w:ind w:left="31"/>
              <w:rPr>
                <w:sz w:val="18"/>
                <w:szCs w:val="18"/>
              </w:rPr>
            </w:pPr>
            <w:r>
              <w:rPr>
                <w:spacing w:val="-1"/>
                <w:sz w:val="18"/>
                <w:szCs w:val="18"/>
              </w:rPr>
              <w:t>0.00004L</w:t>
            </w:r>
          </w:p>
        </w:tc>
        <w:tc>
          <w:tcPr>
            <w:tcW w:w="651" w:type="dxa"/>
            <w:vAlign w:val="top"/>
          </w:tcPr>
          <w:p w14:paraId="7D7E5770">
            <w:pPr>
              <w:pStyle w:val="6"/>
              <w:spacing w:before="93" w:line="219" w:lineRule="auto"/>
              <w:ind w:left="29"/>
              <w:rPr>
                <w:sz w:val="18"/>
                <w:szCs w:val="18"/>
              </w:rPr>
            </w:pPr>
            <w:r>
              <w:rPr>
                <w:spacing w:val="-1"/>
                <w:sz w:val="18"/>
                <w:szCs w:val="18"/>
              </w:rPr>
              <w:t>0.0003L</w:t>
            </w:r>
          </w:p>
        </w:tc>
        <w:tc>
          <w:tcPr>
            <w:tcW w:w="652" w:type="dxa"/>
            <w:vAlign w:val="top"/>
          </w:tcPr>
          <w:p w14:paraId="003E0838">
            <w:pPr>
              <w:pStyle w:val="6"/>
              <w:spacing w:before="93" w:line="219" w:lineRule="auto"/>
              <w:ind w:left="30"/>
              <w:rPr>
                <w:sz w:val="18"/>
                <w:szCs w:val="18"/>
              </w:rPr>
            </w:pPr>
            <w:r>
              <w:rPr>
                <w:spacing w:val="-1"/>
                <w:sz w:val="18"/>
                <w:szCs w:val="18"/>
              </w:rPr>
              <w:t>0.0004L</w:t>
            </w:r>
          </w:p>
        </w:tc>
        <w:tc>
          <w:tcPr>
            <w:tcW w:w="566" w:type="dxa"/>
            <w:vAlign w:val="top"/>
          </w:tcPr>
          <w:p w14:paraId="761B0A54">
            <w:pPr>
              <w:pStyle w:val="6"/>
              <w:spacing w:before="93" w:line="219" w:lineRule="auto"/>
              <w:ind w:left="32"/>
              <w:rPr>
                <w:sz w:val="18"/>
                <w:szCs w:val="18"/>
              </w:rPr>
            </w:pPr>
            <w:r>
              <w:rPr>
                <w:spacing w:val="-1"/>
                <w:sz w:val="18"/>
                <w:szCs w:val="18"/>
              </w:rPr>
              <w:t>0.001L</w:t>
            </w:r>
          </w:p>
        </w:tc>
        <w:tc>
          <w:tcPr>
            <w:tcW w:w="582" w:type="dxa"/>
            <w:vAlign w:val="top"/>
          </w:tcPr>
          <w:p w14:paraId="3ADBE8F1">
            <w:pPr>
              <w:pStyle w:val="6"/>
              <w:spacing w:before="93" w:line="219" w:lineRule="auto"/>
              <w:ind w:left="41"/>
              <w:rPr>
                <w:sz w:val="18"/>
                <w:szCs w:val="18"/>
              </w:rPr>
            </w:pPr>
            <w:r>
              <w:rPr>
                <w:spacing w:val="-2"/>
                <w:sz w:val="18"/>
                <w:szCs w:val="18"/>
              </w:rPr>
              <w:t>0.004L</w:t>
            </w:r>
          </w:p>
        </w:tc>
        <w:tc>
          <w:tcPr>
            <w:tcW w:w="476" w:type="dxa"/>
            <w:vAlign w:val="top"/>
          </w:tcPr>
          <w:p w14:paraId="2BB56118">
            <w:pPr>
              <w:pStyle w:val="6"/>
              <w:spacing w:before="93" w:line="219" w:lineRule="auto"/>
              <w:ind w:left="34"/>
              <w:rPr>
                <w:sz w:val="18"/>
                <w:szCs w:val="18"/>
              </w:rPr>
            </w:pPr>
            <w:r>
              <w:rPr>
                <w:spacing w:val="-2"/>
                <w:sz w:val="18"/>
                <w:szCs w:val="18"/>
              </w:rPr>
              <w:t>0.01L</w:t>
            </w:r>
          </w:p>
        </w:tc>
        <w:tc>
          <w:tcPr>
            <w:tcW w:w="567" w:type="dxa"/>
            <w:vAlign w:val="top"/>
          </w:tcPr>
          <w:p w14:paraId="0B616B1B">
            <w:pPr>
              <w:pStyle w:val="6"/>
              <w:spacing w:before="93" w:line="219" w:lineRule="auto"/>
              <w:ind w:left="91"/>
              <w:rPr>
                <w:sz w:val="18"/>
                <w:szCs w:val="18"/>
              </w:rPr>
            </w:pPr>
            <w:r>
              <w:rPr>
                <w:spacing w:val="-2"/>
                <w:sz w:val="18"/>
                <w:szCs w:val="18"/>
              </w:rPr>
              <w:t>0.012</w:t>
            </w:r>
          </w:p>
        </w:tc>
        <w:tc>
          <w:tcPr>
            <w:tcW w:w="765" w:type="dxa"/>
            <w:vAlign w:val="top"/>
          </w:tcPr>
          <w:p w14:paraId="06AC7A16">
            <w:pPr>
              <w:pStyle w:val="6"/>
              <w:spacing w:before="93" w:line="219" w:lineRule="auto"/>
              <w:ind w:left="272"/>
              <w:rPr>
                <w:sz w:val="18"/>
                <w:szCs w:val="18"/>
              </w:rPr>
            </w:pPr>
            <w:r>
              <w:rPr>
                <w:spacing w:val="-5"/>
                <w:sz w:val="18"/>
                <w:szCs w:val="18"/>
              </w:rPr>
              <w:t>150</w:t>
            </w:r>
          </w:p>
        </w:tc>
        <w:tc>
          <w:tcPr>
            <w:tcW w:w="424" w:type="dxa"/>
            <w:vAlign w:val="top"/>
          </w:tcPr>
          <w:p w14:paraId="4ED71E43">
            <w:pPr>
              <w:pStyle w:val="6"/>
              <w:spacing w:before="93" w:line="219" w:lineRule="auto"/>
              <w:ind w:left="90"/>
              <w:rPr>
                <w:sz w:val="18"/>
                <w:szCs w:val="18"/>
              </w:rPr>
            </w:pPr>
            <w:r>
              <w:rPr>
                <w:spacing w:val="-2"/>
                <w:sz w:val="18"/>
                <w:szCs w:val="18"/>
              </w:rPr>
              <w:t>369</w:t>
            </w:r>
          </w:p>
        </w:tc>
        <w:tc>
          <w:tcPr>
            <w:tcW w:w="427" w:type="dxa"/>
            <w:vAlign w:val="top"/>
          </w:tcPr>
          <w:p w14:paraId="47A194CE">
            <w:pPr>
              <w:pStyle w:val="6"/>
              <w:spacing w:before="93" w:line="219" w:lineRule="auto"/>
              <w:ind w:left="68"/>
              <w:rPr>
                <w:sz w:val="18"/>
                <w:szCs w:val="18"/>
              </w:rPr>
            </w:pPr>
            <w:r>
              <w:rPr>
                <w:spacing w:val="-2"/>
                <w:sz w:val="18"/>
                <w:szCs w:val="18"/>
              </w:rPr>
              <w:t>0.34</w:t>
            </w:r>
          </w:p>
        </w:tc>
        <w:tc>
          <w:tcPr>
            <w:tcW w:w="424" w:type="dxa"/>
            <w:vAlign w:val="top"/>
          </w:tcPr>
          <w:p w14:paraId="6677CD3E">
            <w:pPr>
              <w:pStyle w:val="6"/>
              <w:spacing w:before="93" w:line="219" w:lineRule="auto"/>
              <w:ind w:left="64"/>
              <w:rPr>
                <w:sz w:val="18"/>
                <w:szCs w:val="18"/>
              </w:rPr>
            </w:pPr>
            <w:r>
              <w:rPr>
                <w:spacing w:val="-1"/>
                <w:sz w:val="18"/>
                <w:szCs w:val="18"/>
              </w:rPr>
              <w:t>2.55</w:t>
            </w:r>
          </w:p>
        </w:tc>
        <w:tc>
          <w:tcPr>
            <w:tcW w:w="423" w:type="dxa"/>
            <w:vAlign w:val="top"/>
          </w:tcPr>
          <w:p w14:paraId="12BDFC86">
            <w:pPr>
              <w:pStyle w:val="6"/>
              <w:spacing w:before="93" w:line="219" w:lineRule="auto"/>
              <w:ind w:left="63"/>
              <w:rPr>
                <w:sz w:val="18"/>
                <w:szCs w:val="18"/>
              </w:rPr>
            </w:pPr>
            <w:r>
              <w:rPr>
                <w:spacing w:val="-1"/>
                <w:sz w:val="18"/>
                <w:szCs w:val="18"/>
              </w:rPr>
              <w:t>4.94</w:t>
            </w:r>
          </w:p>
        </w:tc>
        <w:tc>
          <w:tcPr>
            <w:tcW w:w="472" w:type="dxa"/>
            <w:vAlign w:val="top"/>
          </w:tcPr>
          <w:p w14:paraId="4E660E22">
            <w:pPr>
              <w:pStyle w:val="6"/>
              <w:spacing w:before="93" w:line="219" w:lineRule="auto"/>
              <w:ind w:left="90"/>
              <w:rPr>
                <w:sz w:val="18"/>
                <w:szCs w:val="18"/>
              </w:rPr>
            </w:pPr>
            <w:r>
              <w:rPr>
                <w:spacing w:val="-1"/>
                <w:sz w:val="18"/>
                <w:szCs w:val="18"/>
              </w:rPr>
              <w:t>25.3</w:t>
            </w:r>
          </w:p>
        </w:tc>
        <w:tc>
          <w:tcPr>
            <w:tcW w:w="377" w:type="dxa"/>
            <w:tcBorders>
              <w:right w:val="single" w:color="000000" w:sz="12" w:space="0"/>
            </w:tcBorders>
            <w:vAlign w:val="top"/>
          </w:tcPr>
          <w:p w14:paraId="19B3EF7D">
            <w:pPr>
              <w:pStyle w:val="6"/>
              <w:spacing w:before="93" w:line="219" w:lineRule="auto"/>
              <w:ind w:left="32"/>
              <w:rPr>
                <w:sz w:val="18"/>
                <w:szCs w:val="18"/>
              </w:rPr>
            </w:pPr>
            <w:r>
              <w:rPr>
                <w:spacing w:val="-1"/>
                <w:sz w:val="18"/>
                <w:szCs w:val="18"/>
              </w:rPr>
              <w:t>23.6</w:t>
            </w:r>
          </w:p>
        </w:tc>
      </w:tr>
      <w:tr w14:paraId="0A2CA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079DA791">
            <w:pPr>
              <w:rPr>
                <w:rFonts w:ascii="Arial"/>
                <w:sz w:val="21"/>
              </w:rPr>
            </w:pPr>
          </w:p>
        </w:tc>
        <w:tc>
          <w:tcPr>
            <w:tcW w:w="268" w:type="dxa"/>
            <w:vMerge w:val="continue"/>
            <w:tcBorders>
              <w:top w:val="nil"/>
            </w:tcBorders>
            <w:vAlign w:val="top"/>
          </w:tcPr>
          <w:p w14:paraId="722CAAF3">
            <w:pPr>
              <w:rPr>
                <w:rFonts w:ascii="Arial"/>
                <w:sz w:val="21"/>
              </w:rPr>
            </w:pPr>
          </w:p>
        </w:tc>
        <w:tc>
          <w:tcPr>
            <w:tcW w:w="1038" w:type="dxa"/>
            <w:vAlign w:val="top"/>
          </w:tcPr>
          <w:p w14:paraId="6FB83C59">
            <w:pPr>
              <w:pStyle w:val="6"/>
              <w:spacing w:before="93" w:line="216" w:lineRule="auto"/>
              <w:ind w:left="138"/>
              <w:rPr>
                <w:sz w:val="18"/>
                <w:szCs w:val="18"/>
              </w:rPr>
            </w:pPr>
            <w:r>
              <w:rPr>
                <w:spacing w:val="-1"/>
                <w:sz w:val="18"/>
                <w:szCs w:val="18"/>
              </w:rPr>
              <w:t>2020/8/22</w:t>
            </w:r>
          </w:p>
        </w:tc>
        <w:tc>
          <w:tcPr>
            <w:tcW w:w="774" w:type="dxa"/>
            <w:vAlign w:val="top"/>
          </w:tcPr>
          <w:p w14:paraId="2014F683">
            <w:pPr>
              <w:pStyle w:val="6"/>
              <w:spacing w:before="93" w:line="216" w:lineRule="auto"/>
              <w:ind w:left="219"/>
              <w:rPr>
                <w:sz w:val="18"/>
                <w:szCs w:val="18"/>
              </w:rPr>
            </w:pPr>
            <w:r>
              <w:rPr>
                <w:spacing w:val="-2"/>
                <w:sz w:val="18"/>
                <w:szCs w:val="18"/>
              </w:rPr>
              <w:t>7.64</w:t>
            </w:r>
          </w:p>
        </w:tc>
        <w:tc>
          <w:tcPr>
            <w:tcW w:w="741" w:type="dxa"/>
            <w:vAlign w:val="top"/>
          </w:tcPr>
          <w:p w14:paraId="59E1C92A">
            <w:pPr>
              <w:pStyle w:val="6"/>
              <w:spacing w:before="93" w:line="216" w:lineRule="auto"/>
              <w:ind w:left="222"/>
              <w:rPr>
                <w:sz w:val="18"/>
                <w:szCs w:val="18"/>
              </w:rPr>
            </w:pPr>
            <w:r>
              <w:rPr>
                <w:spacing w:val="-1"/>
                <w:sz w:val="18"/>
                <w:szCs w:val="18"/>
              </w:rPr>
              <w:t>249</w:t>
            </w:r>
          </w:p>
        </w:tc>
        <w:tc>
          <w:tcPr>
            <w:tcW w:w="705" w:type="dxa"/>
            <w:vAlign w:val="top"/>
          </w:tcPr>
          <w:p w14:paraId="15AD57FA">
            <w:pPr>
              <w:pStyle w:val="6"/>
              <w:spacing w:before="93" w:line="216" w:lineRule="auto"/>
              <w:ind w:left="209"/>
              <w:rPr>
                <w:sz w:val="18"/>
                <w:szCs w:val="18"/>
              </w:rPr>
            </w:pPr>
            <w:r>
              <w:rPr>
                <w:spacing w:val="-2"/>
                <w:sz w:val="18"/>
                <w:szCs w:val="18"/>
              </w:rPr>
              <w:t>357</w:t>
            </w:r>
          </w:p>
        </w:tc>
        <w:tc>
          <w:tcPr>
            <w:tcW w:w="570" w:type="dxa"/>
            <w:vAlign w:val="top"/>
          </w:tcPr>
          <w:p w14:paraId="79BB4172">
            <w:pPr>
              <w:pStyle w:val="6"/>
              <w:spacing w:before="93" w:line="216" w:lineRule="auto"/>
              <w:ind w:left="189"/>
              <w:rPr>
                <w:sz w:val="18"/>
                <w:szCs w:val="18"/>
              </w:rPr>
            </w:pPr>
            <w:r>
              <w:rPr>
                <w:spacing w:val="-3"/>
                <w:sz w:val="18"/>
                <w:szCs w:val="18"/>
              </w:rPr>
              <w:t>87</w:t>
            </w:r>
          </w:p>
        </w:tc>
        <w:tc>
          <w:tcPr>
            <w:tcW w:w="423" w:type="dxa"/>
            <w:vAlign w:val="top"/>
          </w:tcPr>
          <w:p w14:paraId="3D902262">
            <w:pPr>
              <w:pStyle w:val="6"/>
              <w:spacing w:before="96" w:line="186" w:lineRule="auto"/>
              <w:ind w:left="72"/>
              <w:rPr>
                <w:sz w:val="18"/>
                <w:szCs w:val="18"/>
              </w:rPr>
            </w:pPr>
            <w:r>
              <w:rPr>
                <w:spacing w:val="-5"/>
                <w:sz w:val="18"/>
                <w:szCs w:val="18"/>
              </w:rPr>
              <w:t>10L</w:t>
            </w:r>
          </w:p>
        </w:tc>
        <w:tc>
          <w:tcPr>
            <w:tcW w:w="567" w:type="dxa"/>
            <w:vAlign w:val="top"/>
          </w:tcPr>
          <w:p w14:paraId="2BCE1348">
            <w:pPr>
              <w:pStyle w:val="6"/>
              <w:spacing w:before="93" w:line="216" w:lineRule="auto"/>
              <w:ind w:left="63"/>
              <w:rPr>
                <w:sz w:val="18"/>
                <w:szCs w:val="18"/>
              </w:rPr>
            </w:pPr>
            <w:r>
              <w:rPr>
                <w:spacing w:val="-2"/>
                <w:sz w:val="18"/>
                <w:szCs w:val="18"/>
              </w:rPr>
              <w:t>0.03L</w:t>
            </w:r>
          </w:p>
        </w:tc>
        <w:tc>
          <w:tcPr>
            <w:tcW w:w="545" w:type="dxa"/>
            <w:vAlign w:val="top"/>
          </w:tcPr>
          <w:p w14:paraId="02F58B58">
            <w:pPr>
              <w:pStyle w:val="6"/>
              <w:spacing w:before="93" w:line="216" w:lineRule="auto"/>
              <w:ind w:left="53"/>
              <w:rPr>
                <w:sz w:val="18"/>
                <w:szCs w:val="18"/>
              </w:rPr>
            </w:pPr>
            <w:r>
              <w:rPr>
                <w:spacing w:val="-2"/>
                <w:sz w:val="18"/>
                <w:szCs w:val="18"/>
              </w:rPr>
              <w:t>0.02L</w:t>
            </w:r>
          </w:p>
        </w:tc>
        <w:tc>
          <w:tcPr>
            <w:tcW w:w="472" w:type="dxa"/>
            <w:vAlign w:val="top"/>
          </w:tcPr>
          <w:p w14:paraId="765EB60A">
            <w:pPr>
              <w:pStyle w:val="6"/>
              <w:spacing w:before="93" w:line="216" w:lineRule="auto"/>
              <w:ind w:left="18"/>
              <w:rPr>
                <w:sz w:val="18"/>
                <w:szCs w:val="18"/>
              </w:rPr>
            </w:pPr>
            <w:r>
              <w:rPr>
                <w:spacing w:val="-2"/>
                <w:sz w:val="18"/>
                <w:szCs w:val="18"/>
              </w:rPr>
              <w:t>0.01L</w:t>
            </w:r>
          </w:p>
        </w:tc>
        <w:tc>
          <w:tcPr>
            <w:tcW w:w="562" w:type="dxa"/>
            <w:vAlign w:val="top"/>
          </w:tcPr>
          <w:p w14:paraId="7BB7FBF4">
            <w:pPr>
              <w:pStyle w:val="6"/>
              <w:spacing w:before="93" w:line="216" w:lineRule="auto"/>
              <w:ind w:left="19"/>
              <w:rPr>
                <w:sz w:val="18"/>
                <w:szCs w:val="18"/>
              </w:rPr>
            </w:pPr>
            <w:r>
              <w:rPr>
                <w:spacing w:val="-2"/>
                <w:sz w:val="18"/>
                <w:szCs w:val="18"/>
              </w:rPr>
              <w:t>0.006L</w:t>
            </w:r>
          </w:p>
        </w:tc>
        <w:tc>
          <w:tcPr>
            <w:tcW w:w="651" w:type="dxa"/>
            <w:vAlign w:val="top"/>
          </w:tcPr>
          <w:p w14:paraId="594A8A79">
            <w:pPr>
              <w:pStyle w:val="6"/>
              <w:spacing w:before="93" w:line="216" w:lineRule="auto"/>
              <w:ind w:left="18"/>
              <w:rPr>
                <w:sz w:val="18"/>
                <w:szCs w:val="18"/>
              </w:rPr>
            </w:pPr>
            <w:r>
              <w:rPr>
                <w:spacing w:val="-1"/>
                <w:sz w:val="18"/>
                <w:szCs w:val="18"/>
              </w:rPr>
              <w:t>0.0003L</w:t>
            </w:r>
          </w:p>
        </w:tc>
        <w:tc>
          <w:tcPr>
            <w:tcW w:w="884" w:type="dxa"/>
            <w:vAlign w:val="top"/>
          </w:tcPr>
          <w:p w14:paraId="1F09A585">
            <w:pPr>
              <w:pStyle w:val="6"/>
              <w:spacing w:before="93" w:line="216" w:lineRule="auto"/>
              <w:ind w:left="226"/>
              <w:rPr>
                <w:sz w:val="18"/>
                <w:szCs w:val="18"/>
              </w:rPr>
            </w:pPr>
            <w:r>
              <w:rPr>
                <w:spacing w:val="-2"/>
                <w:sz w:val="18"/>
                <w:szCs w:val="18"/>
              </w:rPr>
              <w:t>0.05L</w:t>
            </w:r>
          </w:p>
        </w:tc>
        <w:tc>
          <w:tcPr>
            <w:tcW w:w="709" w:type="dxa"/>
            <w:vAlign w:val="top"/>
          </w:tcPr>
          <w:p w14:paraId="2571B2E3">
            <w:pPr>
              <w:pStyle w:val="6"/>
              <w:spacing w:before="93" w:line="216" w:lineRule="auto"/>
              <w:ind w:left="194"/>
              <w:rPr>
                <w:sz w:val="18"/>
                <w:szCs w:val="18"/>
              </w:rPr>
            </w:pPr>
            <w:r>
              <w:rPr>
                <w:spacing w:val="-2"/>
                <w:sz w:val="18"/>
                <w:szCs w:val="18"/>
              </w:rPr>
              <w:t>0.03</w:t>
            </w:r>
          </w:p>
        </w:tc>
        <w:tc>
          <w:tcPr>
            <w:tcW w:w="703" w:type="dxa"/>
            <w:vAlign w:val="top"/>
          </w:tcPr>
          <w:p w14:paraId="35E440D4">
            <w:pPr>
              <w:pStyle w:val="6"/>
              <w:spacing w:before="93" w:line="216" w:lineRule="auto"/>
              <w:ind w:left="193"/>
              <w:rPr>
                <w:sz w:val="18"/>
                <w:szCs w:val="18"/>
              </w:rPr>
            </w:pPr>
            <w:r>
              <w:rPr>
                <w:spacing w:val="-2"/>
                <w:sz w:val="18"/>
                <w:szCs w:val="18"/>
              </w:rPr>
              <w:t>0.05</w:t>
            </w:r>
          </w:p>
        </w:tc>
        <w:tc>
          <w:tcPr>
            <w:tcW w:w="708" w:type="dxa"/>
            <w:vAlign w:val="top"/>
          </w:tcPr>
          <w:p w14:paraId="55DB47B9">
            <w:pPr>
              <w:pStyle w:val="6"/>
              <w:spacing w:before="93" w:line="216" w:lineRule="auto"/>
              <w:ind w:left="96"/>
              <w:rPr>
                <w:sz w:val="18"/>
                <w:szCs w:val="18"/>
              </w:rPr>
            </w:pPr>
            <w:r>
              <w:rPr>
                <w:spacing w:val="-2"/>
                <w:sz w:val="18"/>
                <w:szCs w:val="18"/>
              </w:rPr>
              <w:t>0.003L</w:t>
            </w:r>
          </w:p>
        </w:tc>
        <w:tc>
          <w:tcPr>
            <w:tcW w:w="764" w:type="dxa"/>
            <w:vAlign w:val="top"/>
          </w:tcPr>
          <w:p w14:paraId="0DEED054">
            <w:pPr>
              <w:pStyle w:val="6"/>
              <w:spacing w:before="93" w:line="216" w:lineRule="auto"/>
              <w:ind w:left="181"/>
              <w:rPr>
                <w:sz w:val="18"/>
                <w:szCs w:val="18"/>
              </w:rPr>
            </w:pPr>
            <w:r>
              <w:rPr>
                <w:spacing w:val="-2"/>
                <w:sz w:val="18"/>
                <w:szCs w:val="18"/>
              </w:rPr>
              <w:t>0.070</w:t>
            </w:r>
          </w:p>
        </w:tc>
        <w:tc>
          <w:tcPr>
            <w:tcW w:w="586" w:type="dxa"/>
            <w:vAlign w:val="top"/>
          </w:tcPr>
          <w:p w14:paraId="445EA4E7">
            <w:pPr>
              <w:pStyle w:val="6"/>
              <w:spacing w:before="93" w:line="216" w:lineRule="auto"/>
              <w:ind w:left="139"/>
              <w:rPr>
                <w:sz w:val="18"/>
                <w:szCs w:val="18"/>
              </w:rPr>
            </w:pPr>
            <w:r>
              <w:rPr>
                <w:spacing w:val="-2"/>
                <w:sz w:val="18"/>
                <w:szCs w:val="18"/>
              </w:rPr>
              <w:t>0.12</w:t>
            </w:r>
          </w:p>
        </w:tc>
        <w:tc>
          <w:tcPr>
            <w:tcW w:w="582" w:type="dxa"/>
            <w:vAlign w:val="top"/>
          </w:tcPr>
          <w:p w14:paraId="6DD22466">
            <w:pPr>
              <w:pStyle w:val="6"/>
              <w:spacing w:before="93" w:line="216" w:lineRule="auto"/>
              <w:ind w:left="38"/>
              <w:rPr>
                <w:sz w:val="18"/>
                <w:szCs w:val="18"/>
              </w:rPr>
            </w:pPr>
            <w:r>
              <w:rPr>
                <w:spacing w:val="-2"/>
                <w:sz w:val="18"/>
                <w:szCs w:val="18"/>
              </w:rPr>
              <w:t>0.004L</w:t>
            </w:r>
          </w:p>
        </w:tc>
        <w:tc>
          <w:tcPr>
            <w:tcW w:w="745" w:type="dxa"/>
            <w:vAlign w:val="top"/>
          </w:tcPr>
          <w:p w14:paraId="1A55C347">
            <w:pPr>
              <w:pStyle w:val="6"/>
              <w:spacing w:before="93" w:line="216" w:lineRule="auto"/>
              <w:ind w:left="31"/>
              <w:rPr>
                <w:sz w:val="18"/>
                <w:szCs w:val="18"/>
              </w:rPr>
            </w:pPr>
            <w:r>
              <w:rPr>
                <w:spacing w:val="-1"/>
                <w:sz w:val="18"/>
                <w:szCs w:val="18"/>
              </w:rPr>
              <w:t>0.00004L</w:t>
            </w:r>
          </w:p>
        </w:tc>
        <w:tc>
          <w:tcPr>
            <w:tcW w:w="651" w:type="dxa"/>
            <w:vAlign w:val="top"/>
          </w:tcPr>
          <w:p w14:paraId="1A43CA8A">
            <w:pPr>
              <w:pStyle w:val="6"/>
              <w:spacing w:before="93" w:line="216" w:lineRule="auto"/>
              <w:ind w:left="29"/>
              <w:rPr>
                <w:sz w:val="18"/>
                <w:szCs w:val="18"/>
              </w:rPr>
            </w:pPr>
            <w:r>
              <w:rPr>
                <w:spacing w:val="-1"/>
                <w:sz w:val="18"/>
                <w:szCs w:val="18"/>
              </w:rPr>
              <w:t>0.0003L</w:t>
            </w:r>
          </w:p>
        </w:tc>
        <w:tc>
          <w:tcPr>
            <w:tcW w:w="652" w:type="dxa"/>
            <w:vAlign w:val="top"/>
          </w:tcPr>
          <w:p w14:paraId="56589892">
            <w:pPr>
              <w:pStyle w:val="6"/>
              <w:spacing w:before="93" w:line="216" w:lineRule="auto"/>
              <w:ind w:left="30"/>
              <w:rPr>
                <w:sz w:val="18"/>
                <w:szCs w:val="18"/>
              </w:rPr>
            </w:pPr>
            <w:r>
              <w:rPr>
                <w:spacing w:val="-1"/>
                <w:sz w:val="18"/>
                <w:szCs w:val="18"/>
              </w:rPr>
              <w:t>0.0004L</w:t>
            </w:r>
          </w:p>
        </w:tc>
        <w:tc>
          <w:tcPr>
            <w:tcW w:w="566" w:type="dxa"/>
            <w:vAlign w:val="top"/>
          </w:tcPr>
          <w:p w14:paraId="1BB53D8C">
            <w:pPr>
              <w:pStyle w:val="6"/>
              <w:spacing w:before="93" w:line="216" w:lineRule="auto"/>
              <w:ind w:left="32"/>
              <w:rPr>
                <w:sz w:val="18"/>
                <w:szCs w:val="18"/>
              </w:rPr>
            </w:pPr>
            <w:r>
              <w:rPr>
                <w:spacing w:val="-2"/>
                <w:sz w:val="18"/>
                <w:szCs w:val="18"/>
              </w:rPr>
              <w:t>0.001L</w:t>
            </w:r>
          </w:p>
        </w:tc>
        <w:tc>
          <w:tcPr>
            <w:tcW w:w="582" w:type="dxa"/>
            <w:vAlign w:val="top"/>
          </w:tcPr>
          <w:p w14:paraId="564C8215">
            <w:pPr>
              <w:pStyle w:val="6"/>
              <w:spacing w:before="93" w:line="216" w:lineRule="auto"/>
              <w:ind w:left="41"/>
              <w:rPr>
                <w:sz w:val="18"/>
                <w:szCs w:val="18"/>
              </w:rPr>
            </w:pPr>
            <w:r>
              <w:rPr>
                <w:spacing w:val="-2"/>
                <w:sz w:val="18"/>
                <w:szCs w:val="18"/>
              </w:rPr>
              <w:t>0.004L</w:t>
            </w:r>
          </w:p>
        </w:tc>
        <w:tc>
          <w:tcPr>
            <w:tcW w:w="476" w:type="dxa"/>
            <w:vAlign w:val="top"/>
          </w:tcPr>
          <w:p w14:paraId="2A7B6EB5">
            <w:pPr>
              <w:pStyle w:val="6"/>
              <w:spacing w:before="93" w:line="216" w:lineRule="auto"/>
              <w:ind w:left="34"/>
              <w:rPr>
                <w:sz w:val="18"/>
                <w:szCs w:val="18"/>
              </w:rPr>
            </w:pPr>
            <w:r>
              <w:rPr>
                <w:spacing w:val="-2"/>
                <w:sz w:val="18"/>
                <w:szCs w:val="18"/>
              </w:rPr>
              <w:t>0.01L</w:t>
            </w:r>
          </w:p>
        </w:tc>
        <w:tc>
          <w:tcPr>
            <w:tcW w:w="567" w:type="dxa"/>
            <w:vAlign w:val="top"/>
          </w:tcPr>
          <w:p w14:paraId="6000B057">
            <w:pPr>
              <w:pStyle w:val="6"/>
              <w:spacing w:before="93" w:line="216" w:lineRule="auto"/>
              <w:ind w:left="91"/>
              <w:rPr>
                <w:sz w:val="18"/>
                <w:szCs w:val="18"/>
              </w:rPr>
            </w:pPr>
            <w:r>
              <w:rPr>
                <w:spacing w:val="-2"/>
                <w:sz w:val="18"/>
                <w:szCs w:val="18"/>
              </w:rPr>
              <w:t>0.014</w:t>
            </w:r>
          </w:p>
        </w:tc>
        <w:tc>
          <w:tcPr>
            <w:tcW w:w="765" w:type="dxa"/>
            <w:vAlign w:val="top"/>
          </w:tcPr>
          <w:p w14:paraId="68C3DEE5">
            <w:pPr>
              <w:pStyle w:val="6"/>
              <w:spacing w:before="93" w:line="216" w:lineRule="auto"/>
              <w:ind w:left="272"/>
              <w:rPr>
                <w:sz w:val="18"/>
                <w:szCs w:val="18"/>
              </w:rPr>
            </w:pPr>
            <w:r>
              <w:rPr>
                <w:spacing w:val="-5"/>
                <w:sz w:val="18"/>
                <w:szCs w:val="18"/>
              </w:rPr>
              <w:t>130</w:t>
            </w:r>
          </w:p>
        </w:tc>
        <w:tc>
          <w:tcPr>
            <w:tcW w:w="424" w:type="dxa"/>
            <w:vAlign w:val="top"/>
          </w:tcPr>
          <w:p w14:paraId="4F10B242">
            <w:pPr>
              <w:pStyle w:val="6"/>
              <w:spacing w:before="93" w:line="216" w:lineRule="auto"/>
              <w:ind w:left="90"/>
              <w:rPr>
                <w:sz w:val="18"/>
                <w:szCs w:val="18"/>
              </w:rPr>
            </w:pPr>
            <w:r>
              <w:rPr>
                <w:spacing w:val="-2"/>
                <w:sz w:val="18"/>
                <w:szCs w:val="18"/>
              </w:rPr>
              <w:t>375</w:t>
            </w:r>
          </w:p>
        </w:tc>
        <w:tc>
          <w:tcPr>
            <w:tcW w:w="427" w:type="dxa"/>
            <w:vAlign w:val="top"/>
          </w:tcPr>
          <w:p w14:paraId="1FE275DB">
            <w:pPr>
              <w:pStyle w:val="6"/>
              <w:spacing w:before="93" w:line="216" w:lineRule="auto"/>
              <w:ind w:left="68"/>
              <w:rPr>
                <w:sz w:val="18"/>
                <w:szCs w:val="18"/>
              </w:rPr>
            </w:pPr>
            <w:r>
              <w:rPr>
                <w:spacing w:val="-2"/>
                <w:sz w:val="18"/>
                <w:szCs w:val="18"/>
              </w:rPr>
              <w:t>0.36</w:t>
            </w:r>
          </w:p>
        </w:tc>
        <w:tc>
          <w:tcPr>
            <w:tcW w:w="424" w:type="dxa"/>
            <w:vAlign w:val="top"/>
          </w:tcPr>
          <w:p w14:paraId="6B210196">
            <w:pPr>
              <w:pStyle w:val="6"/>
              <w:spacing w:before="93" w:line="216" w:lineRule="auto"/>
              <w:ind w:left="64"/>
              <w:rPr>
                <w:sz w:val="18"/>
                <w:szCs w:val="18"/>
              </w:rPr>
            </w:pPr>
            <w:r>
              <w:rPr>
                <w:spacing w:val="-1"/>
                <w:sz w:val="18"/>
                <w:szCs w:val="18"/>
              </w:rPr>
              <w:t>2.30</w:t>
            </w:r>
          </w:p>
        </w:tc>
        <w:tc>
          <w:tcPr>
            <w:tcW w:w="423" w:type="dxa"/>
            <w:vAlign w:val="top"/>
          </w:tcPr>
          <w:p w14:paraId="3EA309B9">
            <w:pPr>
              <w:pStyle w:val="6"/>
              <w:spacing w:before="93" w:line="216" w:lineRule="auto"/>
              <w:ind w:left="63"/>
              <w:rPr>
                <w:sz w:val="18"/>
                <w:szCs w:val="18"/>
              </w:rPr>
            </w:pPr>
            <w:r>
              <w:rPr>
                <w:spacing w:val="-1"/>
                <w:sz w:val="18"/>
                <w:szCs w:val="18"/>
              </w:rPr>
              <w:t>4.85</w:t>
            </w:r>
          </w:p>
        </w:tc>
        <w:tc>
          <w:tcPr>
            <w:tcW w:w="472" w:type="dxa"/>
            <w:vAlign w:val="top"/>
          </w:tcPr>
          <w:p w14:paraId="3F1F9B11">
            <w:pPr>
              <w:pStyle w:val="6"/>
              <w:spacing w:before="93" w:line="216" w:lineRule="auto"/>
              <w:ind w:left="90"/>
              <w:rPr>
                <w:sz w:val="18"/>
                <w:szCs w:val="18"/>
              </w:rPr>
            </w:pPr>
            <w:r>
              <w:rPr>
                <w:spacing w:val="-1"/>
                <w:sz w:val="18"/>
                <w:szCs w:val="18"/>
              </w:rPr>
              <w:t>26.8</w:t>
            </w:r>
          </w:p>
        </w:tc>
        <w:tc>
          <w:tcPr>
            <w:tcW w:w="377" w:type="dxa"/>
            <w:tcBorders>
              <w:right w:val="single" w:color="000000" w:sz="12" w:space="0"/>
            </w:tcBorders>
            <w:vAlign w:val="top"/>
          </w:tcPr>
          <w:p w14:paraId="02A2930A">
            <w:pPr>
              <w:pStyle w:val="6"/>
              <w:spacing w:before="93" w:line="216" w:lineRule="auto"/>
              <w:ind w:left="32"/>
              <w:rPr>
                <w:sz w:val="18"/>
                <w:szCs w:val="18"/>
              </w:rPr>
            </w:pPr>
            <w:r>
              <w:rPr>
                <w:spacing w:val="-1"/>
                <w:sz w:val="18"/>
                <w:szCs w:val="18"/>
              </w:rPr>
              <w:t>23.5</w:t>
            </w:r>
          </w:p>
        </w:tc>
      </w:tr>
      <w:tr w14:paraId="7279A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245A0ED9">
            <w:pPr>
              <w:rPr>
                <w:rFonts w:ascii="Arial"/>
                <w:sz w:val="21"/>
              </w:rPr>
            </w:pPr>
          </w:p>
        </w:tc>
        <w:tc>
          <w:tcPr>
            <w:tcW w:w="268" w:type="dxa"/>
            <w:vMerge w:val="restart"/>
            <w:tcBorders>
              <w:bottom w:val="nil"/>
            </w:tcBorders>
            <w:vAlign w:val="top"/>
          </w:tcPr>
          <w:p w14:paraId="530E3D14">
            <w:pPr>
              <w:pStyle w:val="6"/>
              <w:spacing w:before="153" w:line="226" w:lineRule="auto"/>
              <w:ind w:left="72"/>
              <w:rPr>
                <w:sz w:val="18"/>
                <w:szCs w:val="18"/>
              </w:rPr>
            </w:pPr>
            <w:r>
              <w:rPr>
                <w:sz w:val="18"/>
                <w:szCs w:val="18"/>
              </w:rPr>
              <w:t>4</w:t>
            </w:r>
          </w:p>
          <w:p w14:paraId="52E006B4">
            <w:pPr>
              <w:spacing w:line="226" w:lineRule="auto"/>
              <w:ind w:left="31"/>
              <w:rPr>
                <w:rFonts w:ascii="等线" w:hAnsi="等线" w:eastAsia="等线" w:cs="等线"/>
                <w:sz w:val="18"/>
                <w:szCs w:val="18"/>
              </w:rPr>
            </w:pPr>
            <w:r>
              <w:rPr>
                <w:rFonts w:ascii="等线" w:hAnsi="等线" w:eastAsia="等线" w:cs="等线"/>
                <w:sz w:val="18"/>
                <w:szCs w:val="18"/>
              </w:rPr>
              <w:t>季</w:t>
            </w:r>
          </w:p>
          <w:p w14:paraId="60E7737A">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4D187BAB">
            <w:pPr>
              <w:pStyle w:val="6"/>
              <w:spacing w:before="94" w:line="217" w:lineRule="auto"/>
              <w:ind w:left="94"/>
              <w:rPr>
                <w:sz w:val="18"/>
                <w:szCs w:val="18"/>
              </w:rPr>
            </w:pPr>
            <w:r>
              <w:rPr>
                <w:spacing w:val="-1"/>
                <w:sz w:val="18"/>
                <w:szCs w:val="18"/>
              </w:rPr>
              <w:t>2020/11/15</w:t>
            </w:r>
          </w:p>
        </w:tc>
        <w:tc>
          <w:tcPr>
            <w:tcW w:w="774" w:type="dxa"/>
            <w:vAlign w:val="top"/>
          </w:tcPr>
          <w:p w14:paraId="47A45A3E">
            <w:pPr>
              <w:pStyle w:val="6"/>
              <w:spacing w:before="94" w:line="217" w:lineRule="auto"/>
              <w:ind w:left="219"/>
              <w:rPr>
                <w:sz w:val="18"/>
                <w:szCs w:val="18"/>
              </w:rPr>
            </w:pPr>
            <w:r>
              <w:rPr>
                <w:spacing w:val="-2"/>
                <w:sz w:val="18"/>
                <w:szCs w:val="18"/>
              </w:rPr>
              <w:t>7.60</w:t>
            </w:r>
          </w:p>
        </w:tc>
        <w:tc>
          <w:tcPr>
            <w:tcW w:w="741" w:type="dxa"/>
            <w:vAlign w:val="top"/>
          </w:tcPr>
          <w:p w14:paraId="5D343441">
            <w:pPr>
              <w:pStyle w:val="6"/>
              <w:spacing w:before="94" w:line="217" w:lineRule="auto"/>
              <w:ind w:left="222"/>
              <w:rPr>
                <w:sz w:val="18"/>
                <w:szCs w:val="18"/>
              </w:rPr>
            </w:pPr>
            <w:r>
              <w:rPr>
                <w:spacing w:val="-1"/>
                <w:sz w:val="18"/>
                <w:szCs w:val="18"/>
              </w:rPr>
              <w:t>284</w:t>
            </w:r>
          </w:p>
        </w:tc>
        <w:tc>
          <w:tcPr>
            <w:tcW w:w="705" w:type="dxa"/>
            <w:vAlign w:val="top"/>
          </w:tcPr>
          <w:p w14:paraId="6A47D2A7">
            <w:pPr>
              <w:pStyle w:val="6"/>
              <w:spacing w:before="94" w:line="217" w:lineRule="auto"/>
              <w:ind w:left="209"/>
              <w:rPr>
                <w:sz w:val="18"/>
                <w:szCs w:val="18"/>
              </w:rPr>
            </w:pPr>
            <w:r>
              <w:rPr>
                <w:spacing w:val="-2"/>
                <w:sz w:val="18"/>
                <w:szCs w:val="18"/>
              </w:rPr>
              <w:t>387</w:t>
            </w:r>
          </w:p>
        </w:tc>
        <w:tc>
          <w:tcPr>
            <w:tcW w:w="570" w:type="dxa"/>
            <w:vAlign w:val="top"/>
          </w:tcPr>
          <w:p w14:paraId="09F7DEF7">
            <w:pPr>
              <w:pStyle w:val="6"/>
              <w:spacing w:before="94" w:line="217" w:lineRule="auto"/>
              <w:ind w:left="189"/>
              <w:rPr>
                <w:sz w:val="18"/>
                <w:szCs w:val="18"/>
              </w:rPr>
            </w:pPr>
            <w:r>
              <w:rPr>
                <w:spacing w:val="-3"/>
                <w:sz w:val="18"/>
                <w:szCs w:val="18"/>
              </w:rPr>
              <w:t>88</w:t>
            </w:r>
          </w:p>
        </w:tc>
        <w:tc>
          <w:tcPr>
            <w:tcW w:w="423" w:type="dxa"/>
            <w:vAlign w:val="top"/>
          </w:tcPr>
          <w:p w14:paraId="2BF147A1">
            <w:pPr>
              <w:pStyle w:val="6"/>
              <w:spacing w:before="97" w:line="186" w:lineRule="auto"/>
              <w:ind w:left="72"/>
              <w:rPr>
                <w:sz w:val="18"/>
                <w:szCs w:val="18"/>
              </w:rPr>
            </w:pPr>
            <w:r>
              <w:rPr>
                <w:spacing w:val="-5"/>
                <w:sz w:val="18"/>
                <w:szCs w:val="18"/>
              </w:rPr>
              <w:t>10L</w:t>
            </w:r>
          </w:p>
        </w:tc>
        <w:tc>
          <w:tcPr>
            <w:tcW w:w="567" w:type="dxa"/>
            <w:vAlign w:val="top"/>
          </w:tcPr>
          <w:p w14:paraId="78303B94">
            <w:pPr>
              <w:pStyle w:val="6"/>
              <w:spacing w:before="94" w:line="217" w:lineRule="auto"/>
              <w:ind w:left="63"/>
              <w:rPr>
                <w:sz w:val="18"/>
                <w:szCs w:val="18"/>
              </w:rPr>
            </w:pPr>
            <w:r>
              <w:rPr>
                <w:spacing w:val="-2"/>
                <w:sz w:val="18"/>
                <w:szCs w:val="18"/>
              </w:rPr>
              <w:t>0.03L</w:t>
            </w:r>
          </w:p>
        </w:tc>
        <w:tc>
          <w:tcPr>
            <w:tcW w:w="545" w:type="dxa"/>
            <w:vAlign w:val="top"/>
          </w:tcPr>
          <w:p w14:paraId="47C3BCAE">
            <w:pPr>
              <w:pStyle w:val="6"/>
              <w:spacing w:before="94" w:line="217" w:lineRule="auto"/>
              <w:ind w:left="53"/>
              <w:rPr>
                <w:sz w:val="18"/>
                <w:szCs w:val="18"/>
              </w:rPr>
            </w:pPr>
            <w:r>
              <w:rPr>
                <w:spacing w:val="-2"/>
                <w:sz w:val="18"/>
                <w:szCs w:val="18"/>
              </w:rPr>
              <w:t>0.02L</w:t>
            </w:r>
          </w:p>
        </w:tc>
        <w:tc>
          <w:tcPr>
            <w:tcW w:w="472" w:type="dxa"/>
            <w:vAlign w:val="top"/>
          </w:tcPr>
          <w:p w14:paraId="55F4FF26">
            <w:pPr>
              <w:pStyle w:val="6"/>
              <w:spacing w:before="94" w:line="217" w:lineRule="auto"/>
              <w:ind w:left="73"/>
              <w:rPr>
                <w:sz w:val="18"/>
                <w:szCs w:val="18"/>
              </w:rPr>
            </w:pPr>
            <w:r>
              <w:rPr>
                <w:spacing w:val="-2"/>
                <w:sz w:val="18"/>
                <w:szCs w:val="18"/>
              </w:rPr>
              <w:t>0.01</w:t>
            </w:r>
          </w:p>
        </w:tc>
        <w:tc>
          <w:tcPr>
            <w:tcW w:w="562" w:type="dxa"/>
            <w:vAlign w:val="top"/>
          </w:tcPr>
          <w:p w14:paraId="570FE2F9">
            <w:pPr>
              <w:pStyle w:val="6"/>
              <w:spacing w:before="94" w:line="217" w:lineRule="auto"/>
              <w:ind w:left="19"/>
              <w:rPr>
                <w:sz w:val="18"/>
                <w:szCs w:val="18"/>
              </w:rPr>
            </w:pPr>
            <w:r>
              <w:rPr>
                <w:spacing w:val="-2"/>
                <w:sz w:val="18"/>
                <w:szCs w:val="18"/>
              </w:rPr>
              <w:t>0.006L</w:t>
            </w:r>
          </w:p>
        </w:tc>
        <w:tc>
          <w:tcPr>
            <w:tcW w:w="651" w:type="dxa"/>
            <w:vAlign w:val="top"/>
          </w:tcPr>
          <w:p w14:paraId="5CD55083">
            <w:pPr>
              <w:pStyle w:val="6"/>
              <w:spacing w:before="94" w:line="217" w:lineRule="auto"/>
              <w:ind w:left="18"/>
              <w:rPr>
                <w:sz w:val="18"/>
                <w:szCs w:val="18"/>
              </w:rPr>
            </w:pPr>
            <w:r>
              <w:rPr>
                <w:spacing w:val="-1"/>
                <w:sz w:val="18"/>
                <w:szCs w:val="18"/>
              </w:rPr>
              <w:t>0.0003L</w:t>
            </w:r>
          </w:p>
        </w:tc>
        <w:tc>
          <w:tcPr>
            <w:tcW w:w="884" w:type="dxa"/>
            <w:vAlign w:val="top"/>
          </w:tcPr>
          <w:p w14:paraId="3B7EB06A">
            <w:pPr>
              <w:pStyle w:val="6"/>
              <w:spacing w:before="94" w:line="217" w:lineRule="auto"/>
              <w:ind w:left="226"/>
              <w:rPr>
                <w:sz w:val="18"/>
                <w:szCs w:val="18"/>
              </w:rPr>
            </w:pPr>
            <w:r>
              <w:rPr>
                <w:spacing w:val="-2"/>
                <w:sz w:val="18"/>
                <w:szCs w:val="18"/>
              </w:rPr>
              <w:t>0.05L</w:t>
            </w:r>
          </w:p>
        </w:tc>
        <w:tc>
          <w:tcPr>
            <w:tcW w:w="709" w:type="dxa"/>
            <w:vAlign w:val="top"/>
          </w:tcPr>
          <w:p w14:paraId="28CA4554">
            <w:pPr>
              <w:pStyle w:val="6"/>
              <w:spacing w:before="94" w:line="217" w:lineRule="auto"/>
              <w:ind w:left="194"/>
              <w:rPr>
                <w:sz w:val="18"/>
                <w:szCs w:val="18"/>
              </w:rPr>
            </w:pPr>
            <w:r>
              <w:rPr>
                <w:spacing w:val="-2"/>
                <w:sz w:val="18"/>
                <w:szCs w:val="18"/>
              </w:rPr>
              <w:t>0.02</w:t>
            </w:r>
          </w:p>
        </w:tc>
        <w:tc>
          <w:tcPr>
            <w:tcW w:w="703" w:type="dxa"/>
            <w:vAlign w:val="top"/>
          </w:tcPr>
          <w:p w14:paraId="73F4993B">
            <w:pPr>
              <w:pStyle w:val="6"/>
              <w:spacing w:before="94" w:line="217" w:lineRule="auto"/>
              <w:ind w:left="193"/>
              <w:rPr>
                <w:sz w:val="18"/>
                <w:szCs w:val="18"/>
              </w:rPr>
            </w:pPr>
            <w:r>
              <w:rPr>
                <w:spacing w:val="-2"/>
                <w:sz w:val="18"/>
                <w:szCs w:val="18"/>
              </w:rPr>
              <w:t>0.14</w:t>
            </w:r>
          </w:p>
        </w:tc>
        <w:tc>
          <w:tcPr>
            <w:tcW w:w="708" w:type="dxa"/>
            <w:vAlign w:val="top"/>
          </w:tcPr>
          <w:p w14:paraId="4B7E1BF2">
            <w:pPr>
              <w:pStyle w:val="6"/>
              <w:spacing w:before="94" w:line="217" w:lineRule="auto"/>
              <w:ind w:left="96"/>
              <w:rPr>
                <w:sz w:val="18"/>
                <w:szCs w:val="18"/>
              </w:rPr>
            </w:pPr>
            <w:r>
              <w:rPr>
                <w:spacing w:val="-2"/>
                <w:sz w:val="18"/>
                <w:szCs w:val="18"/>
              </w:rPr>
              <w:t>0.003L</w:t>
            </w:r>
          </w:p>
        </w:tc>
        <w:tc>
          <w:tcPr>
            <w:tcW w:w="764" w:type="dxa"/>
            <w:vAlign w:val="top"/>
          </w:tcPr>
          <w:p w14:paraId="4E19EF28">
            <w:pPr>
              <w:pStyle w:val="6"/>
              <w:spacing w:before="94" w:line="217" w:lineRule="auto"/>
              <w:ind w:left="126"/>
              <w:rPr>
                <w:sz w:val="18"/>
                <w:szCs w:val="18"/>
              </w:rPr>
            </w:pPr>
            <w:r>
              <w:rPr>
                <w:spacing w:val="-2"/>
                <w:sz w:val="18"/>
                <w:szCs w:val="18"/>
              </w:rPr>
              <w:t>0.025L</w:t>
            </w:r>
          </w:p>
        </w:tc>
        <w:tc>
          <w:tcPr>
            <w:tcW w:w="586" w:type="dxa"/>
            <w:vAlign w:val="top"/>
          </w:tcPr>
          <w:p w14:paraId="17CAC30A">
            <w:pPr>
              <w:pStyle w:val="6"/>
              <w:spacing w:before="94" w:line="217" w:lineRule="auto"/>
              <w:ind w:left="139"/>
              <w:rPr>
                <w:sz w:val="18"/>
                <w:szCs w:val="18"/>
              </w:rPr>
            </w:pPr>
            <w:r>
              <w:rPr>
                <w:spacing w:val="-2"/>
                <w:sz w:val="18"/>
                <w:szCs w:val="18"/>
              </w:rPr>
              <w:t>0.13</w:t>
            </w:r>
          </w:p>
        </w:tc>
        <w:tc>
          <w:tcPr>
            <w:tcW w:w="582" w:type="dxa"/>
            <w:vAlign w:val="top"/>
          </w:tcPr>
          <w:p w14:paraId="6A0C8F4F">
            <w:pPr>
              <w:pStyle w:val="6"/>
              <w:spacing w:before="94" w:line="217" w:lineRule="auto"/>
              <w:ind w:left="38"/>
              <w:rPr>
                <w:sz w:val="18"/>
                <w:szCs w:val="18"/>
              </w:rPr>
            </w:pPr>
            <w:r>
              <w:rPr>
                <w:spacing w:val="-2"/>
                <w:sz w:val="18"/>
                <w:szCs w:val="18"/>
              </w:rPr>
              <w:t>0.004L</w:t>
            </w:r>
          </w:p>
        </w:tc>
        <w:tc>
          <w:tcPr>
            <w:tcW w:w="745" w:type="dxa"/>
            <w:vAlign w:val="top"/>
          </w:tcPr>
          <w:p w14:paraId="19E154B4">
            <w:pPr>
              <w:pStyle w:val="6"/>
              <w:spacing w:before="94" w:line="217" w:lineRule="auto"/>
              <w:ind w:left="31"/>
              <w:rPr>
                <w:sz w:val="18"/>
                <w:szCs w:val="18"/>
              </w:rPr>
            </w:pPr>
            <w:r>
              <w:rPr>
                <w:spacing w:val="-1"/>
                <w:sz w:val="18"/>
                <w:szCs w:val="18"/>
              </w:rPr>
              <w:t>0.00004L</w:t>
            </w:r>
          </w:p>
        </w:tc>
        <w:tc>
          <w:tcPr>
            <w:tcW w:w="651" w:type="dxa"/>
            <w:vAlign w:val="top"/>
          </w:tcPr>
          <w:p w14:paraId="4E1BB414">
            <w:pPr>
              <w:pStyle w:val="6"/>
              <w:spacing w:before="94" w:line="217" w:lineRule="auto"/>
              <w:ind w:left="84"/>
              <w:rPr>
                <w:sz w:val="18"/>
                <w:szCs w:val="18"/>
              </w:rPr>
            </w:pPr>
            <w:r>
              <w:rPr>
                <w:spacing w:val="-2"/>
                <w:sz w:val="18"/>
                <w:szCs w:val="18"/>
              </w:rPr>
              <w:t>0.0017</w:t>
            </w:r>
          </w:p>
        </w:tc>
        <w:tc>
          <w:tcPr>
            <w:tcW w:w="652" w:type="dxa"/>
            <w:vAlign w:val="top"/>
          </w:tcPr>
          <w:p w14:paraId="6C752C91">
            <w:pPr>
              <w:pStyle w:val="6"/>
              <w:spacing w:before="94" w:line="217" w:lineRule="auto"/>
              <w:ind w:left="30"/>
              <w:rPr>
                <w:sz w:val="18"/>
                <w:szCs w:val="18"/>
              </w:rPr>
            </w:pPr>
            <w:r>
              <w:rPr>
                <w:spacing w:val="-1"/>
                <w:sz w:val="18"/>
                <w:szCs w:val="18"/>
              </w:rPr>
              <w:t>0.0004L</w:t>
            </w:r>
          </w:p>
        </w:tc>
        <w:tc>
          <w:tcPr>
            <w:tcW w:w="566" w:type="dxa"/>
            <w:vAlign w:val="top"/>
          </w:tcPr>
          <w:p w14:paraId="1552EC7B">
            <w:pPr>
              <w:pStyle w:val="6"/>
              <w:spacing w:before="94" w:line="217" w:lineRule="auto"/>
              <w:ind w:left="32"/>
              <w:rPr>
                <w:sz w:val="18"/>
                <w:szCs w:val="18"/>
              </w:rPr>
            </w:pPr>
            <w:r>
              <w:rPr>
                <w:spacing w:val="-2"/>
                <w:sz w:val="18"/>
                <w:szCs w:val="18"/>
              </w:rPr>
              <w:t>0.001L</w:t>
            </w:r>
          </w:p>
        </w:tc>
        <w:tc>
          <w:tcPr>
            <w:tcW w:w="582" w:type="dxa"/>
            <w:vAlign w:val="top"/>
          </w:tcPr>
          <w:p w14:paraId="10C79054">
            <w:pPr>
              <w:pStyle w:val="6"/>
              <w:spacing w:before="94" w:line="217" w:lineRule="auto"/>
              <w:ind w:left="41"/>
              <w:rPr>
                <w:sz w:val="18"/>
                <w:szCs w:val="18"/>
              </w:rPr>
            </w:pPr>
            <w:r>
              <w:rPr>
                <w:spacing w:val="-2"/>
                <w:sz w:val="18"/>
                <w:szCs w:val="18"/>
              </w:rPr>
              <w:t>0.004L</w:t>
            </w:r>
          </w:p>
        </w:tc>
        <w:tc>
          <w:tcPr>
            <w:tcW w:w="476" w:type="dxa"/>
            <w:vAlign w:val="top"/>
          </w:tcPr>
          <w:p w14:paraId="176DCF20">
            <w:pPr>
              <w:pStyle w:val="6"/>
              <w:spacing w:before="94" w:line="217" w:lineRule="auto"/>
              <w:ind w:left="34"/>
              <w:rPr>
                <w:sz w:val="18"/>
                <w:szCs w:val="18"/>
              </w:rPr>
            </w:pPr>
            <w:r>
              <w:rPr>
                <w:spacing w:val="-2"/>
                <w:sz w:val="18"/>
                <w:szCs w:val="18"/>
              </w:rPr>
              <w:t>0.01L</w:t>
            </w:r>
          </w:p>
        </w:tc>
        <w:tc>
          <w:tcPr>
            <w:tcW w:w="567" w:type="dxa"/>
            <w:vAlign w:val="top"/>
          </w:tcPr>
          <w:p w14:paraId="6ADC3F6E">
            <w:pPr>
              <w:pStyle w:val="6"/>
              <w:spacing w:before="94" w:line="217" w:lineRule="auto"/>
              <w:ind w:left="91"/>
              <w:rPr>
                <w:sz w:val="18"/>
                <w:szCs w:val="18"/>
              </w:rPr>
            </w:pPr>
            <w:r>
              <w:rPr>
                <w:spacing w:val="-2"/>
                <w:sz w:val="18"/>
                <w:szCs w:val="18"/>
              </w:rPr>
              <w:t>0.011</w:t>
            </w:r>
          </w:p>
        </w:tc>
        <w:tc>
          <w:tcPr>
            <w:tcW w:w="765" w:type="dxa"/>
            <w:vAlign w:val="top"/>
          </w:tcPr>
          <w:p w14:paraId="3F4A2BA3">
            <w:pPr>
              <w:pStyle w:val="6"/>
              <w:spacing w:before="94" w:line="217" w:lineRule="auto"/>
              <w:ind w:left="361"/>
              <w:rPr>
                <w:sz w:val="18"/>
                <w:szCs w:val="18"/>
              </w:rPr>
            </w:pPr>
            <w:r>
              <w:rPr>
                <w:sz w:val="18"/>
                <w:szCs w:val="18"/>
              </w:rPr>
              <w:t>/</w:t>
            </w:r>
          </w:p>
        </w:tc>
        <w:tc>
          <w:tcPr>
            <w:tcW w:w="424" w:type="dxa"/>
            <w:vAlign w:val="top"/>
          </w:tcPr>
          <w:p w14:paraId="6AB9B2ED">
            <w:pPr>
              <w:pStyle w:val="6"/>
              <w:spacing w:before="94" w:line="217" w:lineRule="auto"/>
              <w:ind w:left="90"/>
              <w:rPr>
                <w:sz w:val="18"/>
                <w:szCs w:val="18"/>
              </w:rPr>
            </w:pPr>
            <w:r>
              <w:rPr>
                <w:spacing w:val="-2"/>
                <w:sz w:val="18"/>
                <w:szCs w:val="18"/>
              </w:rPr>
              <w:t>395</w:t>
            </w:r>
          </w:p>
        </w:tc>
        <w:tc>
          <w:tcPr>
            <w:tcW w:w="427" w:type="dxa"/>
            <w:vAlign w:val="top"/>
          </w:tcPr>
          <w:p w14:paraId="2C0187B4">
            <w:pPr>
              <w:pStyle w:val="6"/>
              <w:spacing w:before="94" w:line="217" w:lineRule="auto"/>
              <w:ind w:left="68"/>
              <w:rPr>
                <w:sz w:val="18"/>
                <w:szCs w:val="18"/>
              </w:rPr>
            </w:pPr>
            <w:r>
              <w:rPr>
                <w:spacing w:val="-2"/>
                <w:sz w:val="18"/>
                <w:szCs w:val="18"/>
              </w:rPr>
              <w:t>0.40</w:t>
            </w:r>
          </w:p>
        </w:tc>
        <w:tc>
          <w:tcPr>
            <w:tcW w:w="424" w:type="dxa"/>
            <w:vAlign w:val="top"/>
          </w:tcPr>
          <w:p w14:paraId="76C9364D">
            <w:pPr>
              <w:pStyle w:val="6"/>
              <w:spacing w:before="94" w:line="217" w:lineRule="auto"/>
              <w:ind w:left="193"/>
              <w:rPr>
                <w:sz w:val="18"/>
                <w:szCs w:val="18"/>
              </w:rPr>
            </w:pPr>
            <w:r>
              <w:rPr>
                <w:sz w:val="18"/>
                <w:szCs w:val="18"/>
              </w:rPr>
              <w:t>/</w:t>
            </w:r>
          </w:p>
        </w:tc>
        <w:tc>
          <w:tcPr>
            <w:tcW w:w="423" w:type="dxa"/>
            <w:vAlign w:val="top"/>
          </w:tcPr>
          <w:p w14:paraId="4131E9FD">
            <w:pPr>
              <w:pStyle w:val="6"/>
              <w:spacing w:before="94" w:line="217" w:lineRule="auto"/>
              <w:ind w:left="81"/>
              <w:rPr>
                <w:sz w:val="18"/>
                <w:szCs w:val="18"/>
              </w:rPr>
            </w:pPr>
            <w:r>
              <w:rPr>
                <w:spacing w:val="-6"/>
                <w:sz w:val="18"/>
                <w:szCs w:val="18"/>
              </w:rPr>
              <w:t>1.23</w:t>
            </w:r>
          </w:p>
        </w:tc>
        <w:tc>
          <w:tcPr>
            <w:tcW w:w="472" w:type="dxa"/>
            <w:vAlign w:val="top"/>
          </w:tcPr>
          <w:p w14:paraId="5D9276A3">
            <w:pPr>
              <w:pStyle w:val="6"/>
              <w:spacing w:before="94" w:line="217" w:lineRule="auto"/>
              <w:ind w:left="97"/>
              <w:rPr>
                <w:sz w:val="18"/>
                <w:szCs w:val="18"/>
              </w:rPr>
            </w:pPr>
            <w:r>
              <w:rPr>
                <w:spacing w:val="-3"/>
                <w:sz w:val="18"/>
                <w:szCs w:val="18"/>
              </w:rPr>
              <w:t>86.6</w:t>
            </w:r>
          </w:p>
        </w:tc>
        <w:tc>
          <w:tcPr>
            <w:tcW w:w="377" w:type="dxa"/>
            <w:tcBorders>
              <w:right w:val="single" w:color="000000" w:sz="12" w:space="0"/>
            </w:tcBorders>
            <w:vAlign w:val="top"/>
          </w:tcPr>
          <w:p w14:paraId="53E0DC2E">
            <w:pPr>
              <w:pStyle w:val="6"/>
              <w:spacing w:before="94" w:line="217" w:lineRule="auto"/>
              <w:ind w:left="49"/>
              <w:rPr>
                <w:sz w:val="18"/>
                <w:szCs w:val="18"/>
              </w:rPr>
            </w:pPr>
            <w:r>
              <w:rPr>
                <w:spacing w:val="-6"/>
                <w:sz w:val="18"/>
                <w:szCs w:val="18"/>
              </w:rPr>
              <w:t>15.4</w:t>
            </w:r>
          </w:p>
        </w:tc>
      </w:tr>
      <w:tr w14:paraId="5CAC3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580" w:type="dxa"/>
            <w:vMerge w:val="continue"/>
            <w:tcBorders>
              <w:top w:val="nil"/>
              <w:left w:val="single" w:color="000000" w:sz="12" w:space="0"/>
              <w:bottom w:val="nil"/>
            </w:tcBorders>
            <w:vAlign w:val="top"/>
          </w:tcPr>
          <w:p w14:paraId="426A74BC">
            <w:pPr>
              <w:rPr>
                <w:rFonts w:ascii="Arial"/>
                <w:sz w:val="21"/>
              </w:rPr>
            </w:pPr>
          </w:p>
        </w:tc>
        <w:tc>
          <w:tcPr>
            <w:tcW w:w="268" w:type="dxa"/>
            <w:vMerge w:val="continue"/>
            <w:tcBorders>
              <w:top w:val="nil"/>
              <w:bottom w:val="nil"/>
            </w:tcBorders>
            <w:vAlign w:val="top"/>
          </w:tcPr>
          <w:p w14:paraId="3C71966D">
            <w:pPr>
              <w:rPr>
                <w:rFonts w:ascii="Arial"/>
                <w:sz w:val="21"/>
              </w:rPr>
            </w:pPr>
          </w:p>
        </w:tc>
        <w:tc>
          <w:tcPr>
            <w:tcW w:w="1038" w:type="dxa"/>
            <w:vAlign w:val="top"/>
          </w:tcPr>
          <w:p w14:paraId="31139631">
            <w:pPr>
              <w:pStyle w:val="6"/>
              <w:spacing w:before="94" w:line="216" w:lineRule="auto"/>
              <w:ind w:left="94"/>
              <w:rPr>
                <w:sz w:val="18"/>
                <w:szCs w:val="18"/>
              </w:rPr>
            </w:pPr>
            <w:r>
              <w:rPr>
                <w:spacing w:val="-1"/>
                <w:sz w:val="18"/>
                <w:szCs w:val="18"/>
              </w:rPr>
              <w:t>2020/11/16</w:t>
            </w:r>
          </w:p>
        </w:tc>
        <w:tc>
          <w:tcPr>
            <w:tcW w:w="774" w:type="dxa"/>
            <w:vAlign w:val="top"/>
          </w:tcPr>
          <w:p w14:paraId="429FFB32">
            <w:pPr>
              <w:pStyle w:val="6"/>
              <w:spacing w:before="94" w:line="216" w:lineRule="auto"/>
              <w:ind w:left="219"/>
              <w:rPr>
                <w:sz w:val="18"/>
                <w:szCs w:val="18"/>
              </w:rPr>
            </w:pPr>
            <w:r>
              <w:rPr>
                <w:spacing w:val="-2"/>
                <w:sz w:val="18"/>
                <w:szCs w:val="18"/>
              </w:rPr>
              <w:t>7.57</w:t>
            </w:r>
          </w:p>
        </w:tc>
        <w:tc>
          <w:tcPr>
            <w:tcW w:w="741" w:type="dxa"/>
            <w:vAlign w:val="top"/>
          </w:tcPr>
          <w:p w14:paraId="1E44225A">
            <w:pPr>
              <w:pStyle w:val="6"/>
              <w:spacing w:before="94" w:line="216" w:lineRule="auto"/>
              <w:ind w:left="222"/>
              <w:rPr>
                <w:sz w:val="18"/>
                <w:szCs w:val="18"/>
              </w:rPr>
            </w:pPr>
            <w:r>
              <w:rPr>
                <w:spacing w:val="-1"/>
                <w:sz w:val="18"/>
                <w:szCs w:val="18"/>
              </w:rPr>
              <w:t>270</w:t>
            </w:r>
          </w:p>
        </w:tc>
        <w:tc>
          <w:tcPr>
            <w:tcW w:w="705" w:type="dxa"/>
            <w:vAlign w:val="top"/>
          </w:tcPr>
          <w:p w14:paraId="29B8337A">
            <w:pPr>
              <w:pStyle w:val="6"/>
              <w:spacing w:before="94" w:line="216" w:lineRule="auto"/>
              <w:ind w:left="205"/>
              <w:rPr>
                <w:sz w:val="18"/>
                <w:szCs w:val="18"/>
              </w:rPr>
            </w:pPr>
            <w:r>
              <w:rPr>
                <w:spacing w:val="-1"/>
                <w:sz w:val="18"/>
                <w:szCs w:val="18"/>
              </w:rPr>
              <w:t>400</w:t>
            </w:r>
          </w:p>
        </w:tc>
        <w:tc>
          <w:tcPr>
            <w:tcW w:w="570" w:type="dxa"/>
            <w:vAlign w:val="top"/>
          </w:tcPr>
          <w:p w14:paraId="0EE4A30F">
            <w:pPr>
              <w:pStyle w:val="6"/>
              <w:spacing w:before="94" w:line="216" w:lineRule="auto"/>
              <w:ind w:left="185"/>
              <w:rPr>
                <w:sz w:val="18"/>
                <w:szCs w:val="18"/>
              </w:rPr>
            </w:pPr>
            <w:r>
              <w:rPr>
                <w:spacing w:val="-2"/>
                <w:sz w:val="18"/>
                <w:szCs w:val="18"/>
              </w:rPr>
              <w:t>92</w:t>
            </w:r>
          </w:p>
        </w:tc>
        <w:tc>
          <w:tcPr>
            <w:tcW w:w="423" w:type="dxa"/>
            <w:vAlign w:val="top"/>
          </w:tcPr>
          <w:p w14:paraId="4C2CD1EB">
            <w:pPr>
              <w:pStyle w:val="6"/>
              <w:spacing w:before="98" w:line="186" w:lineRule="auto"/>
              <w:ind w:left="72"/>
              <w:rPr>
                <w:sz w:val="18"/>
                <w:szCs w:val="18"/>
              </w:rPr>
            </w:pPr>
            <w:r>
              <w:rPr>
                <w:spacing w:val="-5"/>
                <w:sz w:val="18"/>
                <w:szCs w:val="18"/>
              </w:rPr>
              <w:t>10L</w:t>
            </w:r>
          </w:p>
        </w:tc>
        <w:tc>
          <w:tcPr>
            <w:tcW w:w="567" w:type="dxa"/>
            <w:vAlign w:val="top"/>
          </w:tcPr>
          <w:p w14:paraId="1D8D37D0">
            <w:pPr>
              <w:pStyle w:val="6"/>
              <w:spacing w:before="94" w:line="216" w:lineRule="auto"/>
              <w:ind w:left="63"/>
              <w:rPr>
                <w:sz w:val="18"/>
                <w:szCs w:val="18"/>
              </w:rPr>
            </w:pPr>
            <w:r>
              <w:rPr>
                <w:spacing w:val="-2"/>
                <w:sz w:val="18"/>
                <w:szCs w:val="18"/>
              </w:rPr>
              <w:t>0.03L</w:t>
            </w:r>
          </w:p>
        </w:tc>
        <w:tc>
          <w:tcPr>
            <w:tcW w:w="545" w:type="dxa"/>
            <w:vAlign w:val="top"/>
          </w:tcPr>
          <w:p w14:paraId="05CAF4B6">
            <w:pPr>
              <w:pStyle w:val="6"/>
              <w:spacing w:before="94" w:line="216" w:lineRule="auto"/>
              <w:ind w:left="53"/>
              <w:rPr>
                <w:sz w:val="18"/>
                <w:szCs w:val="18"/>
              </w:rPr>
            </w:pPr>
            <w:r>
              <w:rPr>
                <w:spacing w:val="-2"/>
                <w:sz w:val="18"/>
                <w:szCs w:val="18"/>
              </w:rPr>
              <w:t>0.02L</w:t>
            </w:r>
          </w:p>
        </w:tc>
        <w:tc>
          <w:tcPr>
            <w:tcW w:w="472" w:type="dxa"/>
            <w:vAlign w:val="top"/>
          </w:tcPr>
          <w:p w14:paraId="32B7F069">
            <w:pPr>
              <w:pStyle w:val="6"/>
              <w:spacing w:before="94" w:line="216" w:lineRule="auto"/>
              <w:ind w:left="73"/>
              <w:rPr>
                <w:sz w:val="18"/>
                <w:szCs w:val="18"/>
              </w:rPr>
            </w:pPr>
            <w:r>
              <w:rPr>
                <w:spacing w:val="-2"/>
                <w:sz w:val="18"/>
                <w:szCs w:val="18"/>
              </w:rPr>
              <w:t>0.01</w:t>
            </w:r>
          </w:p>
        </w:tc>
        <w:tc>
          <w:tcPr>
            <w:tcW w:w="562" w:type="dxa"/>
            <w:vAlign w:val="top"/>
          </w:tcPr>
          <w:p w14:paraId="33F7C565">
            <w:pPr>
              <w:pStyle w:val="6"/>
              <w:spacing w:before="94" w:line="216" w:lineRule="auto"/>
              <w:ind w:left="19"/>
              <w:rPr>
                <w:sz w:val="18"/>
                <w:szCs w:val="18"/>
              </w:rPr>
            </w:pPr>
            <w:r>
              <w:rPr>
                <w:spacing w:val="-2"/>
                <w:sz w:val="18"/>
                <w:szCs w:val="18"/>
              </w:rPr>
              <w:t>0.006L</w:t>
            </w:r>
          </w:p>
        </w:tc>
        <w:tc>
          <w:tcPr>
            <w:tcW w:w="651" w:type="dxa"/>
            <w:vAlign w:val="top"/>
          </w:tcPr>
          <w:p w14:paraId="72C688A8">
            <w:pPr>
              <w:pStyle w:val="6"/>
              <w:spacing w:before="94" w:line="216" w:lineRule="auto"/>
              <w:ind w:left="18"/>
              <w:rPr>
                <w:sz w:val="18"/>
                <w:szCs w:val="18"/>
              </w:rPr>
            </w:pPr>
            <w:r>
              <w:rPr>
                <w:spacing w:val="-1"/>
                <w:sz w:val="18"/>
                <w:szCs w:val="18"/>
              </w:rPr>
              <w:t>0.0003L</w:t>
            </w:r>
          </w:p>
        </w:tc>
        <w:tc>
          <w:tcPr>
            <w:tcW w:w="884" w:type="dxa"/>
            <w:vAlign w:val="top"/>
          </w:tcPr>
          <w:p w14:paraId="361D4631">
            <w:pPr>
              <w:pStyle w:val="6"/>
              <w:spacing w:before="94" w:line="216" w:lineRule="auto"/>
              <w:ind w:left="226"/>
              <w:rPr>
                <w:sz w:val="18"/>
                <w:szCs w:val="18"/>
              </w:rPr>
            </w:pPr>
            <w:r>
              <w:rPr>
                <w:spacing w:val="-2"/>
                <w:sz w:val="18"/>
                <w:szCs w:val="18"/>
              </w:rPr>
              <w:t>0.05L</w:t>
            </w:r>
          </w:p>
        </w:tc>
        <w:tc>
          <w:tcPr>
            <w:tcW w:w="709" w:type="dxa"/>
            <w:vAlign w:val="top"/>
          </w:tcPr>
          <w:p w14:paraId="59EAE970">
            <w:pPr>
              <w:pStyle w:val="6"/>
              <w:spacing w:before="94" w:line="216" w:lineRule="auto"/>
              <w:ind w:left="194"/>
              <w:rPr>
                <w:sz w:val="18"/>
                <w:szCs w:val="18"/>
              </w:rPr>
            </w:pPr>
            <w:r>
              <w:rPr>
                <w:spacing w:val="-2"/>
                <w:sz w:val="18"/>
                <w:szCs w:val="18"/>
              </w:rPr>
              <w:t>0.02</w:t>
            </w:r>
          </w:p>
        </w:tc>
        <w:tc>
          <w:tcPr>
            <w:tcW w:w="703" w:type="dxa"/>
            <w:vAlign w:val="top"/>
          </w:tcPr>
          <w:p w14:paraId="76AA967E">
            <w:pPr>
              <w:pStyle w:val="6"/>
              <w:spacing w:before="94" w:line="216" w:lineRule="auto"/>
              <w:ind w:left="193"/>
              <w:rPr>
                <w:sz w:val="18"/>
                <w:szCs w:val="18"/>
              </w:rPr>
            </w:pPr>
            <w:r>
              <w:rPr>
                <w:spacing w:val="-2"/>
                <w:sz w:val="18"/>
                <w:szCs w:val="18"/>
              </w:rPr>
              <w:t>0.11</w:t>
            </w:r>
          </w:p>
        </w:tc>
        <w:tc>
          <w:tcPr>
            <w:tcW w:w="708" w:type="dxa"/>
            <w:vAlign w:val="top"/>
          </w:tcPr>
          <w:p w14:paraId="64B94F66">
            <w:pPr>
              <w:pStyle w:val="6"/>
              <w:spacing w:before="94" w:line="216" w:lineRule="auto"/>
              <w:ind w:left="96"/>
              <w:rPr>
                <w:sz w:val="18"/>
                <w:szCs w:val="18"/>
              </w:rPr>
            </w:pPr>
            <w:r>
              <w:rPr>
                <w:spacing w:val="-2"/>
                <w:sz w:val="18"/>
                <w:szCs w:val="18"/>
              </w:rPr>
              <w:t>0.003L</w:t>
            </w:r>
          </w:p>
        </w:tc>
        <w:tc>
          <w:tcPr>
            <w:tcW w:w="764" w:type="dxa"/>
            <w:vAlign w:val="top"/>
          </w:tcPr>
          <w:p w14:paraId="78800756">
            <w:pPr>
              <w:pStyle w:val="6"/>
              <w:spacing w:before="94" w:line="216" w:lineRule="auto"/>
              <w:ind w:left="126"/>
              <w:rPr>
                <w:sz w:val="18"/>
                <w:szCs w:val="18"/>
              </w:rPr>
            </w:pPr>
            <w:r>
              <w:rPr>
                <w:spacing w:val="-2"/>
                <w:sz w:val="18"/>
                <w:szCs w:val="18"/>
              </w:rPr>
              <w:t>0.025L</w:t>
            </w:r>
          </w:p>
        </w:tc>
        <w:tc>
          <w:tcPr>
            <w:tcW w:w="586" w:type="dxa"/>
            <w:vAlign w:val="top"/>
          </w:tcPr>
          <w:p w14:paraId="0D8B6E3B">
            <w:pPr>
              <w:pStyle w:val="6"/>
              <w:spacing w:before="94" w:line="216" w:lineRule="auto"/>
              <w:ind w:left="139"/>
              <w:rPr>
                <w:sz w:val="18"/>
                <w:szCs w:val="18"/>
              </w:rPr>
            </w:pPr>
            <w:r>
              <w:rPr>
                <w:spacing w:val="-2"/>
                <w:sz w:val="18"/>
                <w:szCs w:val="18"/>
              </w:rPr>
              <w:t>0.16</w:t>
            </w:r>
          </w:p>
        </w:tc>
        <w:tc>
          <w:tcPr>
            <w:tcW w:w="582" w:type="dxa"/>
            <w:vAlign w:val="top"/>
          </w:tcPr>
          <w:p w14:paraId="2236618E">
            <w:pPr>
              <w:pStyle w:val="6"/>
              <w:spacing w:before="94" w:line="216" w:lineRule="auto"/>
              <w:ind w:left="38"/>
              <w:rPr>
                <w:sz w:val="18"/>
                <w:szCs w:val="18"/>
              </w:rPr>
            </w:pPr>
            <w:r>
              <w:rPr>
                <w:spacing w:val="-2"/>
                <w:sz w:val="18"/>
                <w:szCs w:val="18"/>
              </w:rPr>
              <w:t>0.004L</w:t>
            </w:r>
          </w:p>
        </w:tc>
        <w:tc>
          <w:tcPr>
            <w:tcW w:w="745" w:type="dxa"/>
            <w:vAlign w:val="top"/>
          </w:tcPr>
          <w:p w14:paraId="11DAC47E">
            <w:pPr>
              <w:pStyle w:val="6"/>
              <w:spacing w:before="94" w:line="216" w:lineRule="auto"/>
              <w:ind w:left="31"/>
              <w:rPr>
                <w:sz w:val="18"/>
                <w:szCs w:val="18"/>
              </w:rPr>
            </w:pPr>
            <w:r>
              <w:rPr>
                <w:spacing w:val="-1"/>
                <w:sz w:val="18"/>
                <w:szCs w:val="18"/>
              </w:rPr>
              <w:t>0.00004L</w:t>
            </w:r>
          </w:p>
        </w:tc>
        <w:tc>
          <w:tcPr>
            <w:tcW w:w="651" w:type="dxa"/>
            <w:vAlign w:val="top"/>
          </w:tcPr>
          <w:p w14:paraId="1D4B578C">
            <w:pPr>
              <w:pStyle w:val="6"/>
              <w:spacing w:before="94" w:line="216" w:lineRule="auto"/>
              <w:ind w:left="84"/>
              <w:rPr>
                <w:sz w:val="18"/>
                <w:szCs w:val="18"/>
              </w:rPr>
            </w:pPr>
            <w:r>
              <w:rPr>
                <w:spacing w:val="-2"/>
                <w:sz w:val="18"/>
                <w:szCs w:val="18"/>
              </w:rPr>
              <w:t>0.0017</w:t>
            </w:r>
          </w:p>
        </w:tc>
        <w:tc>
          <w:tcPr>
            <w:tcW w:w="652" w:type="dxa"/>
            <w:vAlign w:val="top"/>
          </w:tcPr>
          <w:p w14:paraId="3BB0108C">
            <w:pPr>
              <w:pStyle w:val="6"/>
              <w:spacing w:before="94" w:line="216" w:lineRule="auto"/>
              <w:ind w:left="30"/>
              <w:rPr>
                <w:sz w:val="18"/>
                <w:szCs w:val="18"/>
              </w:rPr>
            </w:pPr>
            <w:r>
              <w:rPr>
                <w:spacing w:val="-1"/>
                <w:sz w:val="18"/>
                <w:szCs w:val="18"/>
              </w:rPr>
              <w:t>0.0004L</w:t>
            </w:r>
          </w:p>
        </w:tc>
        <w:tc>
          <w:tcPr>
            <w:tcW w:w="566" w:type="dxa"/>
            <w:vAlign w:val="top"/>
          </w:tcPr>
          <w:p w14:paraId="67B247F7">
            <w:pPr>
              <w:pStyle w:val="6"/>
              <w:spacing w:before="94" w:line="216" w:lineRule="auto"/>
              <w:ind w:left="32"/>
              <w:rPr>
                <w:sz w:val="18"/>
                <w:szCs w:val="18"/>
              </w:rPr>
            </w:pPr>
            <w:r>
              <w:rPr>
                <w:spacing w:val="-2"/>
                <w:sz w:val="18"/>
                <w:szCs w:val="18"/>
              </w:rPr>
              <w:t>0.001L</w:t>
            </w:r>
          </w:p>
        </w:tc>
        <w:tc>
          <w:tcPr>
            <w:tcW w:w="582" w:type="dxa"/>
            <w:vAlign w:val="top"/>
          </w:tcPr>
          <w:p w14:paraId="4748D699">
            <w:pPr>
              <w:pStyle w:val="6"/>
              <w:spacing w:before="94" w:line="216" w:lineRule="auto"/>
              <w:ind w:left="41"/>
              <w:rPr>
                <w:sz w:val="18"/>
                <w:szCs w:val="18"/>
              </w:rPr>
            </w:pPr>
            <w:r>
              <w:rPr>
                <w:spacing w:val="-2"/>
                <w:sz w:val="18"/>
                <w:szCs w:val="18"/>
              </w:rPr>
              <w:t>0.004L</w:t>
            </w:r>
          </w:p>
        </w:tc>
        <w:tc>
          <w:tcPr>
            <w:tcW w:w="476" w:type="dxa"/>
            <w:vAlign w:val="top"/>
          </w:tcPr>
          <w:p w14:paraId="7E916925">
            <w:pPr>
              <w:pStyle w:val="6"/>
              <w:spacing w:before="94" w:line="216" w:lineRule="auto"/>
              <w:ind w:left="34"/>
              <w:rPr>
                <w:sz w:val="18"/>
                <w:szCs w:val="18"/>
              </w:rPr>
            </w:pPr>
            <w:r>
              <w:rPr>
                <w:spacing w:val="-2"/>
                <w:sz w:val="18"/>
                <w:szCs w:val="18"/>
              </w:rPr>
              <w:t>0.01L</w:t>
            </w:r>
          </w:p>
        </w:tc>
        <w:tc>
          <w:tcPr>
            <w:tcW w:w="567" w:type="dxa"/>
            <w:vAlign w:val="top"/>
          </w:tcPr>
          <w:p w14:paraId="02C84E7F">
            <w:pPr>
              <w:pStyle w:val="6"/>
              <w:spacing w:before="94" w:line="216" w:lineRule="auto"/>
              <w:ind w:left="91"/>
              <w:rPr>
                <w:sz w:val="18"/>
                <w:szCs w:val="18"/>
              </w:rPr>
            </w:pPr>
            <w:r>
              <w:rPr>
                <w:spacing w:val="-2"/>
                <w:sz w:val="18"/>
                <w:szCs w:val="18"/>
              </w:rPr>
              <w:t>0.010</w:t>
            </w:r>
          </w:p>
        </w:tc>
        <w:tc>
          <w:tcPr>
            <w:tcW w:w="765" w:type="dxa"/>
            <w:vAlign w:val="top"/>
          </w:tcPr>
          <w:p w14:paraId="12509863">
            <w:pPr>
              <w:pStyle w:val="6"/>
              <w:spacing w:before="94" w:line="216" w:lineRule="auto"/>
              <w:ind w:left="361"/>
              <w:rPr>
                <w:sz w:val="18"/>
                <w:szCs w:val="18"/>
              </w:rPr>
            </w:pPr>
            <w:r>
              <w:rPr>
                <w:sz w:val="18"/>
                <w:szCs w:val="18"/>
              </w:rPr>
              <w:t>/</w:t>
            </w:r>
          </w:p>
        </w:tc>
        <w:tc>
          <w:tcPr>
            <w:tcW w:w="424" w:type="dxa"/>
            <w:vAlign w:val="top"/>
          </w:tcPr>
          <w:p w14:paraId="7F2076F7">
            <w:pPr>
              <w:pStyle w:val="6"/>
              <w:spacing w:before="94" w:line="216" w:lineRule="auto"/>
              <w:ind w:left="85"/>
              <w:rPr>
                <w:sz w:val="18"/>
                <w:szCs w:val="18"/>
              </w:rPr>
            </w:pPr>
            <w:r>
              <w:rPr>
                <w:spacing w:val="-1"/>
                <w:sz w:val="18"/>
                <w:szCs w:val="18"/>
              </w:rPr>
              <w:t>411</w:t>
            </w:r>
          </w:p>
        </w:tc>
        <w:tc>
          <w:tcPr>
            <w:tcW w:w="427" w:type="dxa"/>
            <w:vAlign w:val="top"/>
          </w:tcPr>
          <w:p w14:paraId="24FD59CE">
            <w:pPr>
              <w:pStyle w:val="6"/>
              <w:spacing w:before="94" w:line="216" w:lineRule="auto"/>
              <w:ind w:left="68"/>
              <w:rPr>
                <w:sz w:val="18"/>
                <w:szCs w:val="18"/>
              </w:rPr>
            </w:pPr>
            <w:r>
              <w:rPr>
                <w:spacing w:val="-2"/>
                <w:sz w:val="18"/>
                <w:szCs w:val="18"/>
              </w:rPr>
              <w:t>0.38</w:t>
            </w:r>
          </w:p>
        </w:tc>
        <w:tc>
          <w:tcPr>
            <w:tcW w:w="424" w:type="dxa"/>
            <w:vAlign w:val="top"/>
          </w:tcPr>
          <w:p w14:paraId="78AF0B7B">
            <w:pPr>
              <w:pStyle w:val="6"/>
              <w:spacing w:before="94" w:line="216" w:lineRule="auto"/>
              <w:ind w:left="193"/>
              <w:rPr>
                <w:sz w:val="18"/>
                <w:szCs w:val="18"/>
              </w:rPr>
            </w:pPr>
            <w:r>
              <w:rPr>
                <w:sz w:val="18"/>
                <w:szCs w:val="18"/>
              </w:rPr>
              <w:t>/</w:t>
            </w:r>
          </w:p>
        </w:tc>
        <w:tc>
          <w:tcPr>
            <w:tcW w:w="423" w:type="dxa"/>
            <w:vAlign w:val="top"/>
          </w:tcPr>
          <w:p w14:paraId="7AF8D243">
            <w:pPr>
              <w:pStyle w:val="6"/>
              <w:spacing w:before="94" w:line="216" w:lineRule="auto"/>
              <w:ind w:left="81"/>
              <w:rPr>
                <w:sz w:val="18"/>
                <w:szCs w:val="18"/>
              </w:rPr>
            </w:pPr>
            <w:r>
              <w:rPr>
                <w:spacing w:val="-6"/>
                <w:sz w:val="18"/>
                <w:szCs w:val="18"/>
              </w:rPr>
              <w:t>1.23</w:t>
            </w:r>
          </w:p>
        </w:tc>
        <w:tc>
          <w:tcPr>
            <w:tcW w:w="472" w:type="dxa"/>
            <w:vAlign w:val="top"/>
          </w:tcPr>
          <w:p w14:paraId="4230FA5F">
            <w:pPr>
              <w:pStyle w:val="6"/>
              <w:spacing w:before="94" w:line="216" w:lineRule="auto"/>
              <w:ind w:left="97"/>
              <w:rPr>
                <w:sz w:val="18"/>
                <w:szCs w:val="18"/>
              </w:rPr>
            </w:pPr>
            <w:r>
              <w:rPr>
                <w:spacing w:val="-3"/>
                <w:sz w:val="18"/>
                <w:szCs w:val="18"/>
              </w:rPr>
              <w:t>82.4</w:t>
            </w:r>
          </w:p>
        </w:tc>
        <w:tc>
          <w:tcPr>
            <w:tcW w:w="377" w:type="dxa"/>
            <w:tcBorders>
              <w:right w:val="single" w:color="000000" w:sz="12" w:space="0"/>
            </w:tcBorders>
            <w:vAlign w:val="top"/>
          </w:tcPr>
          <w:p w14:paraId="12374368">
            <w:pPr>
              <w:pStyle w:val="6"/>
              <w:spacing w:before="94" w:line="216" w:lineRule="auto"/>
              <w:ind w:left="49"/>
              <w:rPr>
                <w:sz w:val="18"/>
                <w:szCs w:val="18"/>
              </w:rPr>
            </w:pPr>
            <w:r>
              <w:rPr>
                <w:spacing w:val="-6"/>
                <w:sz w:val="18"/>
                <w:szCs w:val="18"/>
              </w:rPr>
              <w:t>15.6</w:t>
            </w:r>
          </w:p>
        </w:tc>
      </w:tr>
      <w:tr w14:paraId="32073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tcBorders>
            <w:vAlign w:val="top"/>
          </w:tcPr>
          <w:p w14:paraId="6FA91D9B">
            <w:pPr>
              <w:rPr>
                <w:rFonts w:ascii="Arial"/>
                <w:sz w:val="21"/>
              </w:rPr>
            </w:pPr>
          </w:p>
        </w:tc>
        <w:tc>
          <w:tcPr>
            <w:tcW w:w="268" w:type="dxa"/>
            <w:vMerge w:val="continue"/>
            <w:tcBorders>
              <w:top w:val="nil"/>
            </w:tcBorders>
            <w:vAlign w:val="top"/>
          </w:tcPr>
          <w:p w14:paraId="72309353">
            <w:pPr>
              <w:rPr>
                <w:rFonts w:ascii="Arial"/>
                <w:sz w:val="21"/>
              </w:rPr>
            </w:pPr>
          </w:p>
        </w:tc>
        <w:tc>
          <w:tcPr>
            <w:tcW w:w="1038" w:type="dxa"/>
            <w:vAlign w:val="top"/>
          </w:tcPr>
          <w:p w14:paraId="2946F339">
            <w:pPr>
              <w:pStyle w:val="6"/>
              <w:spacing w:before="96" w:line="213" w:lineRule="auto"/>
              <w:ind w:left="94"/>
              <w:rPr>
                <w:sz w:val="18"/>
                <w:szCs w:val="18"/>
              </w:rPr>
            </w:pPr>
            <w:r>
              <w:rPr>
                <w:spacing w:val="-1"/>
                <w:sz w:val="18"/>
                <w:szCs w:val="18"/>
              </w:rPr>
              <w:t>2020/11/17</w:t>
            </w:r>
          </w:p>
        </w:tc>
        <w:tc>
          <w:tcPr>
            <w:tcW w:w="774" w:type="dxa"/>
            <w:vAlign w:val="top"/>
          </w:tcPr>
          <w:p w14:paraId="745B8799">
            <w:pPr>
              <w:pStyle w:val="6"/>
              <w:spacing w:before="96" w:line="213" w:lineRule="auto"/>
              <w:ind w:left="219"/>
              <w:rPr>
                <w:sz w:val="18"/>
                <w:szCs w:val="18"/>
              </w:rPr>
            </w:pPr>
            <w:r>
              <w:rPr>
                <w:spacing w:val="-2"/>
                <w:sz w:val="18"/>
                <w:szCs w:val="18"/>
              </w:rPr>
              <w:t>7.52</w:t>
            </w:r>
          </w:p>
        </w:tc>
        <w:tc>
          <w:tcPr>
            <w:tcW w:w="741" w:type="dxa"/>
            <w:vAlign w:val="top"/>
          </w:tcPr>
          <w:p w14:paraId="3502E55A">
            <w:pPr>
              <w:pStyle w:val="6"/>
              <w:spacing w:before="96" w:line="213" w:lineRule="auto"/>
              <w:ind w:left="222"/>
              <w:rPr>
                <w:sz w:val="18"/>
                <w:szCs w:val="18"/>
              </w:rPr>
            </w:pPr>
            <w:r>
              <w:rPr>
                <w:spacing w:val="-1"/>
                <w:sz w:val="18"/>
                <w:szCs w:val="18"/>
              </w:rPr>
              <w:t>280</w:t>
            </w:r>
          </w:p>
        </w:tc>
        <w:tc>
          <w:tcPr>
            <w:tcW w:w="705" w:type="dxa"/>
            <w:vAlign w:val="top"/>
          </w:tcPr>
          <w:p w14:paraId="37D970E0">
            <w:pPr>
              <w:pStyle w:val="6"/>
              <w:spacing w:before="96" w:line="213" w:lineRule="auto"/>
              <w:ind w:left="209"/>
              <w:rPr>
                <w:sz w:val="18"/>
                <w:szCs w:val="18"/>
              </w:rPr>
            </w:pPr>
            <w:r>
              <w:rPr>
                <w:spacing w:val="-2"/>
                <w:sz w:val="18"/>
                <w:szCs w:val="18"/>
              </w:rPr>
              <w:t>392</w:t>
            </w:r>
          </w:p>
        </w:tc>
        <w:tc>
          <w:tcPr>
            <w:tcW w:w="570" w:type="dxa"/>
            <w:vAlign w:val="top"/>
          </w:tcPr>
          <w:p w14:paraId="4B959409">
            <w:pPr>
              <w:pStyle w:val="6"/>
              <w:spacing w:before="96" w:line="213" w:lineRule="auto"/>
              <w:ind w:left="189"/>
              <w:rPr>
                <w:sz w:val="18"/>
                <w:szCs w:val="18"/>
              </w:rPr>
            </w:pPr>
            <w:r>
              <w:rPr>
                <w:spacing w:val="-3"/>
                <w:sz w:val="18"/>
                <w:szCs w:val="18"/>
              </w:rPr>
              <w:t>86</w:t>
            </w:r>
          </w:p>
        </w:tc>
        <w:tc>
          <w:tcPr>
            <w:tcW w:w="423" w:type="dxa"/>
            <w:vAlign w:val="top"/>
          </w:tcPr>
          <w:p w14:paraId="5D96A7EB">
            <w:pPr>
              <w:pStyle w:val="6"/>
              <w:spacing w:before="99" w:line="186" w:lineRule="auto"/>
              <w:ind w:left="72"/>
              <w:rPr>
                <w:sz w:val="18"/>
                <w:szCs w:val="18"/>
              </w:rPr>
            </w:pPr>
            <w:r>
              <w:rPr>
                <w:spacing w:val="-5"/>
                <w:sz w:val="18"/>
                <w:szCs w:val="18"/>
              </w:rPr>
              <w:t>10L</w:t>
            </w:r>
          </w:p>
        </w:tc>
        <w:tc>
          <w:tcPr>
            <w:tcW w:w="567" w:type="dxa"/>
            <w:vAlign w:val="top"/>
          </w:tcPr>
          <w:p w14:paraId="4C74B1BA">
            <w:pPr>
              <w:pStyle w:val="6"/>
              <w:spacing w:before="96" w:line="213" w:lineRule="auto"/>
              <w:ind w:left="63"/>
              <w:rPr>
                <w:sz w:val="18"/>
                <w:szCs w:val="18"/>
              </w:rPr>
            </w:pPr>
            <w:r>
              <w:rPr>
                <w:spacing w:val="-2"/>
                <w:sz w:val="18"/>
                <w:szCs w:val="18"/>
              </w:rPr>
              <w:t>0.03L</w:t>
            </w:r>
          </w:p>
        </w:tc>
        <w:tc>
          <w:tcPr>
            <w:tcW w:w="545" w:type="dxa"/>
            <w:vAlign w:val="top"/>
          </w:tcPr>
          <w:p w14:paraId="6C90BF40">
            <w:pPr>
              <w:pStyle w:val="6"/>
              <w:spacing w:before="96" w:line="213" w:lineRule="auto"/>
              <w:ind w:left="53"/>
              <w:rPr>
                <w:sz w:val="18"/>
                <w:szCs w:val="18"/>
              </w:rPr>
            </w:pPr>
            <w:r>
              <w:rPr>
                <w:spacing w:val="-2"/>
                <w:sz w:val="18"/>
                <w:szCs w:val="18"/>
              </w:rPr>
              <w:t>0.02L</w:t>
            </w:r>
          </w:p>
        </w:tc>
        <w:tc>
          <w:tcPr>
            <w:tcW w:w="472" w:type="dxa"/>
            <w:vAlign w:val="top"/>
          </w:tcPr>
          <w:p w14:paraId="71073BB8">
            <w:pPr>
              <w:pStyle w:val="6"/>
              <w:spacing w:before="96" w:line="213" w:lineRule="auto"/>
              <w:ind w:left="73"/>
              <w:rPr>
                <w:sz w:val="18"/>
                <w:szCs w:val="18"/>
              </w:rPr>
            </w:pPr>
            <w:r>
              <w:rPr>
                <w:spacing w:val="-2"/>
                <w:sz w:val="18"/>
                <w:szCs w:val="18"/>
              </w:rPr>
              <w:t>0.01</w:t>
            </w:r>
          </w:p>
        </w:tc>
        <w:tc>
          <w:tcPr>
            <w:tcW w:w="562" w:type="dxa"/>
            <w:vAlign w:val="top"/>
          </w:tcPr>
          <w:p w14:paraId="6CB681E6">
            <w:pPr>
              <w:pStyle w:val="6"/>
              <w:spacing w:before="96" w:line="213" w:lineRule="auto"/>
              <w:ind w:left="19"/>
              <w:rPr>
                <w:sz w:val="18"/>
                <w:szCs w:val="18"/>
              </w:rPr>
            </w:pPr>
            <w:r>
              <w:rPr>
                <w:spacing w:val="-2"/>
                <w:sz w:val="18"/>
                <w:szCs w:val="18"/>
              </w:rPr>
              <w:t>0.006L</w:t>
            </w:r>
          </w:p>
        </w:tc>
        <w:tc>
          <w:tcPr>
            <w:tcW w:w="651" w:type="dxa"/>
            <w:vAlign w:val="top"/>
          </w:tcPr>
          <w:p w14:paraId="4D344C06">
            <w:pPr>
              <w:pStyle w:val="6"/>
              <w:spacing w:before="96" w:line="213" w:lineRule="auto"/>
              <w:ind w:left="18"/>
              <w:rPr>
                <w:sz w:val="18"/>
                <w:szCs w:val="18"/>
              </w:rPr>
            </w:pPr>
            <w:r>
              <w:rPr>
                <w:spacing w:val="-1"/>
                <w:sz w:val="18"/>
                <w:szCs w:val="18"/>
              </w:rPr>
              <w:t>0.0003L</w:t>
            </w:r>
          </w:p>
        </w:tc>
        <w:tc>
          <w:tcPr>
            <w:tcW w:w="884" w:type="dxa"/>
            <w:vAlign w:val="top"/>
          </w:tcPr>
          <w:p w14:paraId="77112F54">
            <w:pPr>
              <w:pStyle w:val="6"/>
              <w:spacing w:before="96" w:line="213" w:lineRule="auto"/>
              <w:ind w:left="226"/>
              <w:rPr>
                <w:sz w:val="18"/>
                <w:szCs w:val="18"/>
              </w:rPr>
            </w:pPr>
            <w:r>
              <w:rPr>
                <w:spacing w:val="-2"/>
                <w:sz w:val="18"/>
                <w:szCs w:val="18"/>
              </w:rPr>
              <w:t>0.05L</w:t>
            </w:r>
          </w:p>
        </w:tc>
        <w:tc>
          <w:tcPr>
            <w:tcW w:w="709" w:type="dxa"/>
            <w:vAlign w:val="top"/>
          </w:tcPr>
          <w:p w14:paraId="1BF6B730">
            <w:pPr>
              <w:pStyle w:val="6"/>
              <w:spacing w:before="96" w:line="213" w:lineRule="auto"/>
              <w:ind w:left="194"/>
              <w:rPr>
                <w:sz w:val="18"/>
                <w:szCs w:val="18"/>
              </w:rPr>
            </w:pPr>
            <w:r>
              <w:rPr>
                <w:spacing w:val="-2"/>
                <w:sz w:val="18"/>
                <w:szCs w:val="18"/>
              </w:rPr>
              <w:t>0.03</w:t>
            </w:r>
          </w:p>
        </w:tc>
        <w:tc>
          <w:tcPr>
            <w:tcW w:w="703" w:type="dxa"/>
            <w:vAlign w:val="top"/>
          </w:tcPr>
          <w:p w14:paraId="4E2C69D2">
            <w:pPr>
              <w:pStyle w:val="6"/>
              <w:spacing w:before="96" w:line="213" w:lineRule="auto"/>
              <w:ind w:left="193"/>
              <w:rPr>
                <w:sz w:val="18"/>
                <w:szCs w:val="18"/>
              </w:rPr>
            </w:pPr>
            <w:r>
              <w:rPr>
                <w:spacing w:val="-2"/>
                <w:sz w:val="18"/>
                <w:szCs w:val="18"/>
              </w:rPr>
              <w:t>0.13</w:t>
            </w:r>
          </w:p>
        </w:tc>
        <w:tc>
          <w:tcPr>
            <w:tcW w:w="708" w:type="dxa"/>
            <w:vAlign w:val="top"/>
          </w:tcPr>
          <w:p w14:paraId="4609DD3C">
            <w:pPr>
              <w:pStyle w:val="6"/>
              <w:spacing w:before="96" w:line="213" w:lineRule="auto"/>
              <w:ind w:left="96"/>
              <w:rPr>
                <w:sz w:val="18"/>
                <w:szCs w:val="18"/>
              </w:rPr>
            </w:pPr>
            <w:r>
              <w:rPr>
                <w:spacing w:val="-2"/>
                <w:sz w:val="18"/>
                <w:szCs w:val="18"/>
              </w:rPr>
              <w:t>0.003L</w:t>
            </w:r>
          </w:p>
        </w:tc>
        <w:tc>
          <w:tcPr>
            <w:tcW w:w="764" w:type="dxa"/>
            <w:vAlign w:val="top"/>
          </w:tcPr>
          <w:p w14:paraId="0239C087">
            <w:pPr>
              <w:pStyle w:val="6"/>
              <w:spacing w:before="96" w:line="213" w:lineRule="auto"/>
              <w:ind w:left="126"/>
              <w:rPr>
                <w:sz w:val="18"/>
                <w:szCs w:val="18"/>
              </w:rPr>
            </w:pPr>
            <w:r>
              <w:rPr>
                <w:spacing w:val="-2"/>
                <w:sz w:val="18"/>
                <w:szCs w:val="18"/>
              </w:rPr>
              <w:t>0.025L</w:t>
            </w:r>
          </w:p>
        </w:tc>
        <w:tc>
          <w:tcPr>
            <w:tcW w:w="586" w:type="dxa"/>
            <w:vAlign w:val="top"/>
          </w:tcPr>
          <w:p w14:paraId="66E58CCE">
            <w:pPr>
              <w:pStyle w:val="6"/>
              <w:spacing w:before="96" w:line="213" w:lineRule="auto"/>
              <w:ind w:left="139"/>
              <w:rPr>
                <w:sz w:val="18"/>
                <w:szCs w:val="18"/>
              </w:rPr>
            </w:pPr>
            <w:r>
              <w:rPr>
                <w:spacing w:val="-2"/>
                <w:sz w:val="18"/>
                <w:szCs w:val="18"/>
              </w:rPr>
              <w:t>0.12</w:t>
            </w:r>
          </w:p>
        </w:tc>
        <w:tc>
          <w:tcPr>
            <w:tcW w:w="582" w:type="dxa"/>
            <w:vAlign w:val="top"/>
          </w:tcPr>
          <w:p w14:paraId="6CC4A572">
            <w:pPr>
              <w:pStyle w:val="6"/>
              <w:spacing w:before="96" w:line="213" w:lineRule="auto"/>
              <w:ind w:left="38"/>
              <w:rPr>
                <w:sz w:val="18"/>
                <w:szCs w:val="18"/>
              </w:rPr>
            </w:pPr>
            <w:r>
              <w:rPr>
                <w:spacing w:val="-2"/>
                <w:sz w:val="18"/>
                <w:szCs w:val="18"/>
              </w:rPr>
              <w:t>0.004L</w:t>
            </w:r>
          </w:p>
        </w:tc>
        <w:tc>
          <w:tcPr>
            <w:tcW w:w="745" w:type="dxa"/>
            <w:vAlign w:val="top"/>
          </w:tcPr>
          <w:p w14:paraId="4EB6B0B3">
            <w:pPr>
              <w:pStyle w:val="6"/>
              <w:spacing w:before="96" w:line="213" w:lineRule="auto"/>
              <w:ind w:left="31"/>
              <w:rPr>
                <w:sz w:val="18"/>
                <w:szCs w:val="18"/>
              </w:rPr>
            </w:pPr>
            <w:r>
              <w:rPr>
                <w:spacing w:val="-1"/>
                <w:sz w:val="18"/>
                <w:szCs w:val="18"/>
              </w:rPr>
              <w:t>0.00004L</w:t>
            </w:r>
          </w:p>
        </w:tc>
        <w:tc>
          <w:tcPr>
            <w:tcW w:w="651" w:type="dxa"/>
            <w:vAlign w:val="top"/>
          </w:tcPr>
          <w:p w14:paraId="77896ADB">
            <w:pPr>
              <w:pStyle w:val="6"/>
              <w:spacing w:before="96" w:line="213" w:lineRule="auto"/>
              <w:ind w:left="84"/>
              <w:rPr>
                <w:sz w:val="18"/>
                <w:szCs w:val="18"/>
              </w:rPr>
            </w:pPr>
            <w:r>
              <w:rPr>
                <w:spacing w:val="-2"/>
                <w:sz w:val="18"/>
                <w:szCs w:val="18"/>
              </w:rPr>
              <w:t>0.0016</w:t>
            </w:r>
          </w:p>
        </w:tc>
        <w:tc>
          <w:tcPr>
            <w:tcW w:w="652" w:type="dxa"/>
            <w:vAlign w:val="top"/>
          </w:tcPr>
          <w:p w14:paraId="4BFAD34B">
            <w:pPr>
              <w:pStyle w:val="6"/>
              <w:spacing w:before="96" w:line="213" w:lineRule="auto"/>
              <w:ind w:left="30"/>
              <w:rPr>
                <w:sz w:val="18"/>
                <w:szCs w:val="18"/>
              </w:rPr>
            </w:pPr>
            <w:r>
              <w:rPr>
                <w:spacing w:val="-1"/>
                <w:sz w:val="18"/>
                <w:szCs w:val="18"/>
              </w:rPr>
              <w:t>0.0004L</w:t>
            </w:r>
          </w:p>
        </w:tc>
        <w:tc>
          <w:tcPr>
            <w:tcW w:w="566" w:type="dxa"/>
            <w:vAlign w:val="top"/>
          </w:tcPr>
          <w:p w14:paraId="286D1941">
            <w:pPr>
              <w:pStyle w:val="6"/>
              <w:spacing w:before="96" w:line="213" w:lineRule="auto"/>
              <w:ind w:left="32"/>
              <w:rPr>
                <w:sz w:val="18"/>
                <w:szCs w:val="18"/>
              </w:rPr>
            </w:pPr>
            <w:r>
              <w:rPr>
                <w:spacing w:val="-2"/>
                <w:sz w:val="18"/>
                <w:szCs w:val="18"/>
              </w:rPr>
              <w:t>0.001L</w:t>
            </w:r>
          </w:p>
        </w:tc>
        <w:tc>
          <w:tcPr>
            <w:tcW w:w="582" w:type="dxa"/>
            <w:vAlign w:val="top"/>
          </w:tcPr>
          <w:p w14:paraId="406E453F">
            <w:pPr>
              <w:pStyle w:val="6"/>
              <w:spacing w:before="96" w:line="213" w:lineRule="auto"/>
              <w:ind w:left="41"/>
              <w:rPr>
                <w:sz w:val="18"/>
                <w:szCs w:val="18"/>
              </w:rPr>
            </w:pPr>
            <w:r>
              <w:rPr>
                <w:spacing w:val="-2"/>
                <w:sz w:val="18"/>
                <w:szCs w:val="18"/>
              </w:rPr>
              <w:t>0.004L</w:t>
            </w:r>
          </w:p>
        </w:tc>
        <w:tc>
          <w:tcPr>
            <w:tcW w:w="476" w:type="dxa"/>
            <w:vAlign w:val="top"/>
          </w:tcPr>
          <w:p w14:paraId="670FEBDE">
            <w:pPr>
              <w:pStyle w:val="6"/>
              <w:spacing w:before="96" w:line="213" w:lineRule="auto"/>
              <w:ind w:left="34"/>
              <w:rPr>
                <w:sz w:val="18"/>
                <w:szCs w:val="18"/>
              </w:rPr>
            </w:pPr>
            <w:r>
              <w:rPr>
                <w:spacing w:val="-1"/>
                <w:sz w:val="18"/>
                <w:szCs w:val="18"/>
              </w:rPr>
              <w:t>0.01L</w:t>
            </w:r>
          </w:p>
        </w:tc>
        <w:tc>
          <w:tcPr>
            <w:tcW w:w="567" w:type="dxa"/>
            <w:vAlign w:val="top"/>
          </w:tcPr>
          <w:p w14:paraId="19FA7F59">
            <w:pPr>
              <w:pStyle w:val="6"/>
              <w:spacing w:before="96" w:line="213" w:lineRule="auto"/>
              <w:ind w:left="91"/>
              <w:rPr>
                <w:sz w:val="18"/>
                <w:szCs w:val="18"/>
              </w:rPr>
            </w:pPr>
            <w:r>
              <w:rPr>
                <w:spacing w:val="-2"/>
                <w:sz w:val="18"/>
                <w:szCs w:val="18"/>
              </w:rPr>
              <w:t>0.012</w:t>
            </w:r>
          </w:p>
        </w:tc>
        <w:tc>
          <w:tcPr>
            <w:tcW w:w="765" w:type="dxa"/>
            <w:vAlign w:val="top"/>
          </w:tcPr>
          <w:p w14:paraId="1A43C170">
            <w:pPr>
              <w:pStyle w:val="6"/>
              <w:spacing w:before="96" w:line="213" w:lineRule="auto"/>
              <w:ind w:left="361"/>
              <w:rPr>
                <w:sz w:val="18"/>
                <w:szCs w:val="18"/>
              </w:rPr>
            </w:pPr>
            <w:r>
              <w:rPr>
                <w:sz w:val="18"/>
                <w:szCs w:val="18"/>
              </w:rPr>
              <w:t>/</w:t>
            </w:r>
          </w:p>
        </w:tc>
        <w:tc>
          <w:tcPr>
            <w:tcW w:w="424" w:type="dxa"/>
            <w:vAlign w:val="top"/>
          </w:tcPr>
          <w:p w14:paraId="6CCAA70D">
            <w:pPr>
              <w:pStyle w:val="6"/>
              <w:spacing w:before="96" w:line="213" w:lineRule="auto"/>
              <w:ind w:left="85"/>
              <w:rPr>
                <w:sz w:val="18"/>
                <w:szCs w:val="18"/>
              </w:rPr>
            </w:pPr>
            <w:r>
              <w:rPr>
                <w:spacing w:val="-1"/>
                <w:sz w:val="18"/>
                <w:szCs w:val="18"/>
              </w:rPr>
              <w:t>405</w:t>
            </w:r>
          </w:p>
        </w:tc>
        <w:tc>
          <w:tcPr>
            <w:tcW w:w="427" w:type="dxa"/>
            <w:vAlign w:val="top"/>
          </w:tcPr>
          <w:p w14:paraId="4BC64F70">
            <w:pPr>
              <w:pStyle w:val="6"/>
              <w:spacing w:before="96" w:line="213" w:lineRule="auto"/>
              <w:ind w:left="68"/>
              <w:rPr>
                <w:sz w:val="18"/>
                <w:szCs w:val="18"/>
              </w:rPr>
            </w:pPr>
            <w:r>
              <w:rPr>
                <w:spacing w:val="-2"/>
                <w:sz w:val="18"/>
                <w:szCs w:val="18"/>
              </w:rPr>
              <w:t>0.42</w:t>
            </w:r>
          </w:p>
        </w:tc>
        <w:tc>
          <w:tcPr>
            <w:tcW w:w="424" w:type="dxa"/>
            <w:vAlign w:val="top"/>
          </w:tcPr>
          <w:p w14:paraId="2F8A5675">
            <w:pPr>
              <w:pStyle w:val="6"/>
              <w:spacing w:before="96" w:line="213" w:lineRule="auto"/>
              <w:ind w:left="193"/>
              <w:rPr>
                <w:sz w:val="18"/>
                <w:szCs w:val="18"/>
              </w:rPr>
            </w:pPr>
            <w:r>
              <w:rPr>
                <w:sz w:val="18"/>
                <w:szCs w:val="18"/>
              </w:rPr>
              <w:t>/</w:t>
            </w:r>
          </w:p>
        </w:tc>
        <w:tc>
          <w:tcPr>
            <w:tcW w:w="423" w:type="dxa"/>
            <w:vAlign w:val="top"/>
          </w:tcPr>
          <w:p w14:paraId="00AA152F">
            <w:pPr>
              <w:pStyle w:val="6"/>
              <w:spacing w:before="96" w:line="213" w:lineRule="auto"/>
              <w:ind w:left="81"/>
              <w:rPr>
                <w:sz w:val="18"/>
                <w:szCs w:val="18"/>
              </w:rPr>
            </w:pPr>
            <w:r>
              <w:rPr>
                <w:spacing w:val="-6"/>
                <w:sz w:val="18"/>
                <w:szCs w:val="18"/>
              </w:rPr>
              <w:t>1.23</w:t>
            </w:r>
          </w:p>
        </w:tc>
        <w:tc>
          <w:tcPr>
            <w:tcW w:w="472" w:type="dxa"/>
            <w:vAlign w:val="top"/>
          </w:tcPr>
          <w:p w14:paraId="3B07F01C">
            <w:pPr>
              <w:pStyle w:val="6"/>
              <w:spacing w:before="96" w:line="213" w:lineRule="auto"/>
              <w:ind w:left="97"/>
              <w:rPr>
                <w:sz w:val="18"/>
                <w:szCs w:val="18"/>
              </w:rPr>
            </w:pPr>
            <w:r>
              <w:rPr>
                <w:spacing w:val="-3"/>
                <w:sz w:val="18"/>
                <w:szCs w:val="18"/>
              </w:rPr>
              <w:t>84.4</w:t>
            </w:r>
          </w:p>
        </w:tc>
        <w:tc>
          <w:tcPr>
            <w:tcW w:w="377" w:type="dxa"/>
            <w:tcBorders>
              <w:right w:val="single" w:color="000000" w:sz="12" w:space="0"/>
            </w:tcBorders>
            <w:vAlign w:val="top"/>
          </w:tcPr>
          <w:p w14:paraId="17C83562">
            <w:pPr>
              <w:pStyle w:val="6"/>
              <w:spacing w:before="96" w:line="213" w:lineRule="auto"/>
              <w:ind w:left="49"/>
              <w:rPr>
                <w:sz w:val="18"/>
                <w:szCs w:val="18"/>
              </w:rPr>
            </w:pPr>
            <w:r>
              <w:rPr>
                <w:spacing w:val="-6"/>
                <w:sz w:val="18"/>
                <w:szCs w:val="18"/>
              </w:rPr>
              <w:t>15.9</w:t>
            </w:r>
          </w:p>
        </w:tc>
      </w:tr>
      <w:tr w14:paraId="42731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restart"/>
            <w:tcBorders>
              <w:left w:val="single" w:color="000000" w:sz="12" w:space="0"/>
              <w:bottom w:val="nil"/>
            </w:tcBorders>
            <w:vAlign w:val="top"/>
          </w:tcPr>
          <w:p w14:paraId="38CC8E88">
            <w:pPr>
              <w:spacing w:line="276" w:lineRule="auto"/>
              <w:rPr>
                <w:rFonts w:ascii="Arial"/>
                <w:sz w:val="21"/>
              </w:rPr>
            </w:pPr>
          </w:p>
          <w:p w14:paraId="281A9EEA">
            <w:pPr>
              <w:spacing w:line="276" w:lineRule="auto"/>
              <w:rPr>
                <w:rFonts w:ascii="Arial"/>
                <w:sz w:val="21"/>
              </w:rPr>
            </w:pPr>
          </w:p>
          <w:p w14:paraId="30F5ABD7">
            <w:pPr>
              <w:spacing w:line="276" w:lineRule="auto"/>
              <w:rPr>
                <w:rFonts w:ascii="Arial"/>
                <w:sz w:val="21"/>
              </w:rPr>
            </w:pPr>
          </w:p>
          <w:p w14:paraId="6D65CF5C">
            <w:pPr>
              <w:spacing w:line="276" w:lineRule="auto"/>
              <w:rPr>
                <w:rFonts w:ascii="Arial"/>
                <w:sz w:val="21"/>
              </w:rPr>
            </w:pPr>
          </w:p>
          <w:p w14:paraId="49187E4C">
            <w:pPr>
              <w:spacing w:line="277" w:lineRule="auto"/>
              <w:rPr>
                <w:rFonts w:ascii="Arial"/>
                <w:sz w:val="21"/>
              </w:rPr>
            </w:pPr>
          </w:p>
          <w:p w14:paraId="2E23FA9A">
            <w:pPr>
              <w:spacing w:line="277" w:lineRule="auto"/>
              <w:rPr>
                <w:rFonts w:ascii="Arial"/>
                <w:sz w:val="21"/>
              </w:rPr>
            </w:pPr>
          </w:p>
          <w:p w14:paraId="210F93E6">
            <w:pPr>
              <w:spacing w:before="61" w:line="226" w:lineRule="auto"/>
              <w:ind w:left="9"/>
              <w:rPr>
                <w:rFonts w:ascii="等线" w:hAnsi="等线" w:eastAsia="等线" w:cs="等线"/>
                <w:sz w:val="18"/>
                <w:szCs w:val="18"/>
              </w:rPr>
            </w:pPr>
            <w:r>
              <w:rPr>
                <w:rFonts w:ascii="等线" w:hAnsi="等线" w:eastAsia="等线" w:cs="等线"/>
                <w:spacing w:val="-2"/>
                <w:sz w:val="18"/>
                <w:szCs w:val="18"/>
              </w:rPr>
              <w:t>木龙村</w:t>
            </w:r>
          </w:p>
        </w:tc>
        <w:tc>
          <w:tcPr>
            <w:tcW w:w="268" w:type="dxa"/>
            <w:vMerge w:val="restart"/>
            <w:tcBorders>
              <w:bottom w:val="nil"/>
            </w:tcBorders>
            <w:vAlign w:val="top"/>
          </w:tcPr>
          <w:p w14:paraId="1ACEADCB">
            <w:pPr>
              <w:pStyle w:val="6"/>
              <w:spacing w:before="156" w:line="226" w:lineRule="auto"/>
              <w:ind w:left="90"/>
              <w:rPr>
                <w:sz w:val="18"/>
                <w:szCs w:val="18"/>
              </w:rPr>
            </w:pPr>
            <w:r>
              <w:rPr>
                <w:sz w:val="18"/>
                <w:szCs w:val="18"/>
              </w:rPr>
              <w:t>1</w:t>
            </w:r>
          </w:p>
          <w:p w14:paraId="7BAA956E">
            <w:pPr>
              <w:spacing w:line="226" w:lineRule="auto"/>
              <w:ind w:left="31"/>
              <w:rPr>
                <w:rFonts w:ascii="等线" w:hAnsi="等线" w:eastAsia="等线" w:cs="等线"/>
                <w:sz w:val="18"/>
                <w:szCs w:val="18"/>
              </w:rPr>
            </w:pPr>
            <w:r>
              <w:rPr>
                <w:rFonts w:ascii="等线" w:hAnsi="等线" w:eastAsia="等线" w:cs="等线"/>
                <w:sz w:val="18"/>
                <w:szCs w:val="18"/>
              </w:rPr>
              <w:t>季</w:t>
            </w:r>
          </w:p>
          <w:p w14:paraId="4FCDCAB6">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61446B41">
            <w:pPr>
              <w:pStyle w:val="6"/>
              <w:spacing w:before="97" w:line="214" w:lineRule="auto"/>
              <w:ind w:left="138"/>
              <w:rPr>
                <w:sz w:val="18"/>
                <w:szCs w:val="18"/>
              </w:rPr>
            </w:pPr>
            <w:r>
              <w:rPr>
                <w:spacing w:val="-1"/>
                <w:sz w:val="18"/>
                <w:szCs w:val="18"/>
              </w:rPr>
              <w:t>2020/3/10</w:t>
            </w:r>
          </w:p>
        </w:tc>
        <w:tc>
          <w:tcPr>
            <w:tcW w:w="774" w:type="dxa"/>
            <w:vAlign w:val="top"/>
          </w:tcPr>
          <w:p w14:paraId="71D5C504">
            <w:pPr>
              <w:pStyle w:val="6"/>
              <w:spacing w:before="97" w:line="214" w:lineRule="auto"/>
              <w:ind w:left="219"/>
              <w:rPr>
                <w:sz w:val="18"/>
                <w:szCs w:val="18"/>
              </w:rPr>
            </w:pPr>
            <w:r>
              <w:rPr>
                <w:spacing w:val="-2"/>
                <w:sz w:val="18"/>
                <w:szCs w:val="18"/>
              </w:rPr>
              <w:t>7.09</w:t>
            </w:r>
          </w:p>
        </w:tc>
        <w:tc>
          <w:tcPr>
            <w:tcW w:w="741" w:type="dxa"/>
            <w:vAlign w:val="top"/>
          </w:tcPr>
          <w:p w14:paraId="072F7555">
            <w:pPr>
              <w:pStyle w:val="6"/>
              <w:spacing w:before="97" w:line="214" w:lineRule="auto"/>
              <w:ind w:left="222"/>
              <w:rPr>
                <w:sz w:val="18"/>
                <w:szCs w:val="18"/>
              </w:rPr>
            </w:pPr>
            <w:r>
              <w:rPr>
                <w:spacing w:val="-1"/>
                <w:sz w:val="18"/>
                <w:szCs w:val="18"/>
              </w:rPr>
              <w:t>256</w:t>
            </w:r>
          </w:p>
        </w:tc>
        <w:tc>
          <w:tcPr>
            <w:tcW w:w="705" w:type="dxa"/>
            <w:vAlign w:val="top"/>
          </w:tcPr>
          <w:p w14:paraId="59A928B2">
            <w:pPr>
              <w:pStyle w:val="6"/>
              <w:spacing w:before="97" w:line="214" w:lineRule="auto"/>
              <w:ind w:left="205"/>
              <w:rPr>
                <w:sz w:val="18"/>
                <w:szCs w:val="18"/>
              </w:rPr>
            </w:pPr>
            <w:r>
              <w:rPr>
                <w:spacing w:val="-1"/>
                <w:sz w:val="18"/>
                <w:szCs w:val="18"/>
              </w:rPr>
              <w:t>296</w:t>
            </w:r>
          </w:p>
        </w:tc>
        <w:tc>
          <w:tcPr>
            <w:tcW w:w="570" w:type="dxa"/>
            <w:vAlign w:val="top"/>
          </w:tcPr>
          <w:p w14:paraId="480ADC85">
            <w:pPr>
              <w:pStyle w:val="6"/>
              <w:spacing w:before="100" w:line="186" w:lineRule="auto"/>
              <w:ind w:left="180"/>
              <w:rPr>
                <w:sz w:val="18"/>
                <w:szCs w:val="18"/>
              </w:rPr>
            </w:pPr>
            <w:r>
              <w:rPr>
                <w:spacing w:val="-3"/>
                <w:sz w:val="18"/>
                <w:szCs w:val="18"/>
              </w:rPr>
              <w:t>8L</w:t>
            </w:r>
          </w:p>
        </w:tc>
        <w:tc>
          <w:tcPr>
            <w:tcW w:w="423" w:type="dxa"/>
            <w:vAlign w:val="top"/>
          </w:tcPr>
          <w:p w14:paraId="0873F150">
            <w:pPr>
              <w:pStyle w:val="6"/>
              <w:spacing w:before="100" w:line="186" w:lineRule="auto"/>
              <w:ind w:left="72"/>
              <w:rPr>
                <w:sz w:val="18"/>
                <w:szCs w:val="18"/>
              </w:rPr>
            </w:pPr>
            <w:r>
              <w:rPr>
                <w:spacing w:val="-5"/>
                <w:sz w:val="18"/>
                <w:szCs w:val="18"/>
              </w:rPr>
              <w:t>10L</w:t>
            </w:r>
          </w:p>
        </w:tc>
        <w:tc>
          <w:tcPr>
            <w:tcW w:w="567" w:type="dxa"/>
            <w:vAlign w:val="top"/>
          </w:tcPr>
          <w:p w14:paraId="0F9320CD">
            <w:pPr>
              <w:pStyle w:val="6"/>
              <w:spacing w:before="97" w:line="214" w:lineRule="auto"/>
              <w:ind w:left="63"/>
              <w:rPr>
                <w:sz w:val="18"/>
                <w:szCs w:val="18"/>
              </w:rPr>
            </w:pPr>
            <w:r>
              <w:rPr>
                <w:spacing w:val="-2"/>
                <w:sz w:val="18"/>
                <w:szCs w:val="18"/>
              </w:rPr>
              <w:t>0.03L</w:t>
            </w:r>
          </w:p>
        </w:tc>
        <w:tc>
          <w:tcPr>
            <w:tcW w:w="545" w:type="dxa"/>
            <w:vAlign w:val="top"/>
          </w:tcPr>
          <w:p w14:paraId="279A8784">
            <w:pPr>
              <w:pStyle w:val="6"/>
              <w:spacing w:before="97" w:line="214" w:lineRule="auto"/>
              <w:ind w:left="53"/>
              <w:rPr>
                <w:sz w:val="18"/>
                <w:szCs w:val="18"/>
              </w:rPr>
            </w:pPr>
            <w:r>
              <w:rPr>
                <w:spacing w:val="-2"/>
                <w:sz w:val="18"/>
                <w:szCs w:val="18"/>
              </w:rPr>
              <w:t>0.02L</w:t>
            </w:r>
          </w:p>
        </w:tc>
        <w:tc>
          <w:tcPr>
            <w:tcW w:w="472" w:type="dxa"/>
            <w:vAlign w:val="top"/>
          </w:tcPr>
          <w:p w14:paraId="4ECC1524">
            <w:pPr>
              <w:pStyle w:val="6"/>
              <w:spacing w:before="97" w:line="214" w:lineRule="auto"/>
              <w:ind w:left="18"/>
              <w:rPr>
                <w:sz w:val="18"/>
                <w:szCs w:val="18"/>
              </w:rPr>
            </w:pPr>
            <w:r>
              <w:rPr>
                <w:spacing w:val="-2"/>
                <w:sz w:val="18"/>
                <w:szCs w:val="18"/>
              </w:rPr>
              <w:t>0.01L</w:t>
            </w:r>
          </w:p>
        </w:tc>
        <w:tc>
          <w:tcPr>
            <w:tcW w:w="562" w:type="dxa"/>
            <w:vAlign w:val="top"/>
          </w:tcPr>
          <w:p w14:paraId="21A1976A">
            <w:pPr>
              <w:pStyle w:val="6"/>
              <w:spacing w:before="97" w:line="214" w:lineRule="auto"/>
              <w:ind w:left="19"/>
              <w:rPr>
                <w:sz w:val="18"/>
                <w:szCs w:val="18"/>
              </w:rPr>
            </w:pPr>
            <w:r>
              <w:rPr>
                <w:spacing w:val="-2"/>
                <w:sz w:val="18"/>
                <w:szCs w:val="18"/>
              </w:rPr>
              <w:t>0.006L</w:t>
            </w:r>
          </w:p>
        </w:tc>
        <w:tc>
          <w:tcPr>
            <w:tcW w:w="651" w:type="dxa"/>
            <w:vAlign w:val="top"/>
          </w:tcPr>
          <w:p w14:paraId="3BB5E650">
            <w:pPr>
              <w:pStyle w:val="6"/>
              <w:spacing w:before="97" w:line="214" w:lineRule="auto"/>
              <w:ind w:left="18"/>
              <w:rPr>
                <w:sz w:val="18"/>
                <w:szCs w:val="18"/>
              </w:rPr>
            </w:pPr>
            <w:r>
              <w:rPr>
                <w:spacing w:val="-1"/>
                <w:sz w:val="18"/>
                <w:szCs w:val="18"/>
              </w:rPr>
              <w:t>0.0003L</w:t>
            </w:r>
          </w:p>
        </w:tc>
        <w:tc>
          <w:tcPr>
            <w:tcW w:w="884" w:type="dxa"/>
            <w:vAlign w:val="top"/>
          </w:tcPr>
          <w:p w14:paraId="4BD9B0CD">
            <w:pPr>
              <w:pStyle w:val="6"/>
              <w:spacing w:before="97" w:line="214" w:lineRule="auto"/>
              <w:ind w:left="226"/>
              <w:rPr>
                <w:sz w:val="18"/>
                <w:szCs w:val="18"/>
              </w:rPr>
            </w:pPr>
            <w:r>
              <w:rPr>
                <w:spacing w:val="-2"/>
                <w:sz w:val="18"/>
                <w:szCs w:val="18"/>
              </w:rPr>
              <w:t>0.05L</w:t>
            </w:r>
          </w:p>
        </w:tc>
        <w:tc>
          <w:tcPr>
            <w:tcW w:w="709" w:type="dxa"/>
            <w:vAlign w:val="top"/>
          </w:tcPr>
          <w:p w14:paraId="23B4030D">
            <w:pPr>
              <w:pStyle w:val="6"/>
              <w:spacing w:before="97" w:line="214" w:lineRule="auto"/>
              <w:ind w:left="194"/>
              <w:rPr>
                <w:sz w:val="18"/>
                <w:szCs w:val="18"/>
              </w:rPr>
            </w:pPr>
            <w:r>
              <w:rPr>
                <w:spacing w:val="-2"/>
                <w:sz w:val="18"/>
                <w:szCs w:val="18"/>
              </w:rPr>
              <w:t>0.01</w:t>
            </w:r>
          </w:p>
        </w:tc>
        <w:tc>
          <w:tcPr>
            <w:tcW w:w="703" w:type="dxa"/>
            <w:vAlign w:val="top"/>
          </w:tcPr>
          <w:p w14:paraId="5FB59EB7">
            <w:pPr>
              <w:pStyle w:val="6"/>
              <w:spacing w:before="97" w:line="214" w:lineRule="auto"/>
              <w:ind w:left="207"/>
              <w:rPr>
                <w:sz w:val="18"/>
                <w:szCs w:val="18"/>
              </w:rPr>
            </w:pPr>
            <w:r>
              <w:rPr>
                <w:spacing w:val="-6"/>
                <w:sz w:val="18"/>
                <w:szCs w:val="18"/>
              </w:rPr>
              <w:t>1.70</w:t>
            </w:r>
          </w:p>
        </w:tc>
        <w:tc>
          <w:tcPr>
            <w:tcW w:w="708" w:type="dxa"/>
            <w:vAlign w:val="top"/>
          </w:tcPr>
          <w:p w14:paraId="49ECD601">
            <w:pPr>
              <w:pStyle w:val="6"/>
              <w:spacing w:before="97" w:line="214" w:lineRule="auto"/>
              <w:ind w:left="96"/>
              <w:rPr>
                <w:sz w:val="18"/>
                <w:szCs w:val="18"/>
              </w:rPr>
            </w:pPr>
            <w:r>
              <w:rPr>
                <w:spacing w:val="-2"/>
                <w:sz w:val="18"/>
                <w:szCs w:val="18"/>
              </w:rPr>
              <w:t>0.003L</w:t>
            </w:r>
          </w:p>
        </w:tc>
        <w:tc>
          <w:tcPr>
            <w:tcW w:w="764" w:type="dxa"/>
            <w:vAlign w:val="top"/>
          </w:tcPr>
          <w:p w14:paraId="5A72E867">
            <w:pPr>
              <w:pStyle w:val="6"/>
              <w:spacing w:before="97" w:line="214" w:lineRule="auto"/>
              <w:ind w:left="126"/>
              <w:rPr>
                <w:sz w:val="18"/>
                <w:szCs w:val="18"/>
              </w:rPr>
            </w:pPr>
            <w:r>
              <w:rPr>
                <w:spacing w:val="-2"/>
                <w:sz w:val="18"/>
                <w:szCs w:val="18"/>
              </w:rPr>
              <w:t>0.025L</w:t>
            </w:r>
          </w:p>
        </w:tc>
        <w:tc>
          <w:tcPr>
            <w:tcW w:w="586" w:type="dxa"/>
            <w:vAlign w:val="top"/>
          </w:tcPr>
          <w:p w14:paraId="49333231">
            <w:pPr>
              <w:pStyle w:val="6"/>
              <w:spacing w:before="97" w:line="214" w:lineRule="auto"/>
              <w:ind w:left="139"/>
              <w:rPr>
                <w:sz w:val="18"/>
                <w:szCs w:val="18"/>
              </w:rPr>
            </w:pPr>
            <w:r>
              <w:rPr>
                <w:spacing w:val="-2"/>
                <w:sz w:val="18"/>
                <w:szCs w:val="18"/>
              </w:rPr>
              <w:t>0.46</w:t>
            </w:r>
          </w:p>
        </w:tc>
        <w:tc>
          <w:tcPr>
            <w:tcW w:w="582" w:type="dxa"/>
            <w:vAlign w:val="top"/>
          </w:tcPr>
          <w:p w14:paraId="7B8E71D8">
            <w:pPr>
              <w:pStyle w:val="6"/>
              <w:spacing w:before="97" w:line="214" w:lineRule="auto"/>
              <w:ind w:left="38"/>
              <w:rPr>
                <w:sz w:val="18"/>
                <w:szCs w:val="18"/>
              </w:rPr>
            </w:pPr>
            <w:r>
              <w:rPr>
                <w:spacing w:val="-2"/>
                <w:sz w:val="18"/>
                <w:szCs w:val="18"/>
              </w:rPr>
              <w:t>0.004L</w:t>
            </w:r>
          </w:p>
        </w:tc>
        <w:tc>
          <w:tcPr>
            <w:tcW w:w="745" w:type="dxa"/>
            <w:vAlign w:val="top"/>
          </w:tcPr>
          <w:p w14:paraId="6ACEFA16">
            <w:pPr>
              <w:pStyle w:val="6"/>
              <w:spacing w:before="97" w:line="214" w:lineRule="auto"/>
              <w:ind w:left="31"/>
              <w:rPr>
                <w:sz w:val="18"/>
                <w:szCs w:val="18"/>
              </w:rPr>
            </w:pPr>
            <w:r>
              <w:rPr>
                <w:spacing w:val="-1"/>
                <w:sz w:val="18"/>
                <w:szCs w:val="18"/>
              </w:rPr>
              <w:t>0.00004L</w:t>
            </w:r>
          </w:p>
        </w:tc>
        <w:tc>
          <w:tcPr>
            <w:tcW w:w="651" w:type="dxa"/>
            <w:vAlign w:val="top"/>
          </w:tcPr>
          <w:p w14:paraId="7829556B">
            <w:pPr>
              <w:pStyle w:val="6"/>
              <w:spacing w:before="97" w:line="214" w:lineRule="auto"/>
              <w:ind w:left="29"/>
              <w:rPr>
                <w:sz w:val="18"/>
                <w:szCs w:val="18"/>
              </w:rPr>
            </w:pPr>
            <w:r>
              <w:rPr>
                <w:spacing w:val="-1"/>
                <w:sz w:val="18"/>
                <w:szCs w:val="18"/>
              </w:rPr>
              <w:t>0.0003L</w:t>
            </w:r>
          </w:p>
        </w:tc>
        <w:tc>
          <w:tcPr>
            <w:tcW w:w="652" w:type="dxa"/>
            <w:vAlign w:val="top"/>
          </w:tcPr>
          <w:p w14:paraId="1A609450">
            <w:pPr>
              <w:pStyle w:val="6"/>
              <w:spacing w:before="97" w:line="214" w:lineRule="auto"/>
              <w:ind w:left="30"/>
              <w:rPr>
                <w:sz w:val="18"/>
                <w:szCs w:val="18"/>
              </w:rPr>
            </w:pPr>
            <w:r>
              <w:rPr>
                <w:spacing w:val="-1"/>
                <w:sz w:val="18"/>
                <w:szCs w:val="18"/>
              </w:rPr>
              <w:t>0.0004L</w:t>
            </w:r>
          </w:p>
        </w:tc>
        <w:tc>
          <w:tcPr>
            <w:tcW w:w="566" w:type="dxa"/>
            <w:vAlign w:val="top"/>
          </w:tcPr>
          <w:p w14:paraId="19B151EC">
            <w:pPr>
              <w:pStyle w:val="6"/>
              <w:spacing w:before="97" w:line="214" w:lineRule="auto"/>
              <w:ind w:left="32"/>
              <w:rPr>
                <w:sz w:val="18"/>
                <w:szCs w:val="18"/>
              </w:rPr>
            </w:pPr>
            <w:r>
              <w:rPr>
                <w:spacing w:val="-2"/>
                <w:sz w:val="18"/>
                <w:szCs w:val="18"/>
              </w:rPr>
              <w:t>0.001L</w:t>
            </w:r>
          </w:p>
        </w:tc>
        <w:tc>
          <w:tcPr>
            <w:tcW w:w="582" w:type="dxa"/>
            <w:vAlign w:val="top"/>
          </w:tcPr>
          <w:p w14:paraId="4FA8D285">
            <w:pPr>
              <w:pStyle w:val="6"/>
              <w:spacing w:before="97" w:line="214" w:lineRule="auto"/>
              <w:ind w:left="41"/>
              <w:rPr>
                <w:sz w:val="18"/>
                <w:szCs w:val="18"/>
              </w:rPr>
            </w:pPr>
            <w:r>
              <w:rPr>
                <w:spacing w:val="-2"/>
                <w:sz w:val="18"/>
                <w:szCs w:val="18"/>
              </w:rPr>
              <w:t>0.004L</w:t>
            </w:r>
          </w:p>
        </w:tc>
        <w:tc>
          <w:tcPr>
            <w:tcW w:w="476" w:type="dxa"/>
            <w:vAlign w:val="top"/>
          </w:tcPr>
          <w:p w14:paraId="3680DE1F">
            <w:pPr>
              <w:pStyle w:val="6"/>
              <w:spacing w:before="97" w:line="214" w:lineRule="auto"/>
              <w:ind w:left="34"/>
              <w:rPr>
                <w:sz w:val="18"/>
                <w:szCs w:val="18"/>
              </w:rPr>
            </w:pPr>
            <w:r>
              <w:rPr>
                <w:spacing w:val="-2"/>
                <w:sz w:val="18"/>
                <w:szCs w:val="18"/>
              </w:rPr>
              <w:t>0.01L</w:t>
            </w:r>
          </w:p>
        </w:tc>
        <w:tc>
          <w:tcPr>
            <w:tcW w:w="567" w:type="dxa"/>
            <w:vAlign w:val="top"/>
          </w:tcPr>
          <w:p w14:paraId="338C7B64">
            <w:pPr>
              <w:pStyle w:val="6"/>
              <w:spacing w:before="97" w:line="214" w:lineRule="auto"/>
              <w:ind w:left="91"/>
              <w:rPr>
                <w:sz w:val="18"/>
                <w:szCs w:val="18"/>
              </w:rPr>
            </w:pPr>
            <w:r>
              <w:rPr>
                <w:spacing w:val="-2"/>
                <w:sz w:val="18"/>
                <w:szCs w:val="18"/>
              </w:rPr>
              <w:t>0.012</w:t>
            </w:r>
          </w:p>
        </w:tc>
        <w:tc>
          <w:tcPr>
            <w:tcW w:w="765" w:type="dxa"/>
            <w:vAlign w:val="top"/>
          </w:tcPr>
          <w:p w14:paraId="3F485DE0">
            <w:pPr>
              <w:pStyle w:val="6"/>
              <w:spacing w:before="97" w:line="214" w:lineRule="auto"/>
              <w:ind w:left="345"/>
              <w:rPr>
                <w:sz w:val="18"/>
                <w:szCs w:val="18"/>
              </w:rPr>
            </w:pPr>
            <w:r>
              <w:rPr>
                <w:sz w:val="18"/>
                <w:szCs w:val="18"/>
              </w:rPr>
              <w:t>2</w:t>
            </w:r>
          </w:p>
        </w:tc>
        <w:tc>
          <w:tcPr>
            <w:tcW w:w="424" w:type="dxa"/>
            <w:vAlign w:val="top"/>
          </w:tcPr>
          <w:p w14:paraId="04B29CA1">
            <w:pPr>
              <w:pStyle w:val="6"/>
              <w:spacing w:before="97" w:line="214" w:lineRule="auto"/>
              <w:ind w:left="90"/>
              <w:rPr>
                <w:sz w:val="18"/>
                <w:szCs w:val="18"/>
              </w:rPr>
            </w:pPr>
            <w:r>
              <w:rPr>
                <w:spacing w:val="-2"/>
                <w:sz w:val="18"/>
                <w:szCs w:val="18"/>
              </w:rPr>
              <w:t>325</w:t>
            </w:r>
          </w:p>
        </w:tc>
        <w:tc>
          <w:tcPr>
            <w:tcW w:w="427" w:type="dxa"/>
            <w:vAlign w:val="top"/>
          </w:tcPr>
          <w:p w14:paraId="62D5C2B6">
            <w:pPr>
              <w:pStyle w:val="6"/>
              <w:spacing w:before="97" w:line="214" w:lineRule="auto"/>
              <w:ind w:left="68"/>
              <w:rPr>
                <w:sz w:val="18"/>
                <w:szCs w:val="18"/>
              </w:rPr>
            </w:pPr>
            <w:r>
              <w:rPr>
                <w:spacing w:val="-2"/>
                <w:sz w:val="18"/>
                <w:szCs w:val="18"/>
              </w:rPr>
              <w:t>0.52</w:t>
            </w:r>
          </w:p>
        </w:tc>
        <w:tc>
          <w:tcPr>
            <w:tcW w:w="424" w:type="dxa"/>
            <w:vAlign w:val="top"/>
          </w:tcPr>
          <w:p w14:paraId="371CB8DD">
            <w:pPr>
              <w:pStyle w:val="6"/>
              <w:spacing w:before="97" w:line="214" w:lineRule="auto"/>
              <w:ind w:left="82"/>
              <w:rPr>
                <w:sz w:val="18"/>
                <w:szCs w:val="18"/>
              </w:rPr>
            </w:pPr>
            <w:r>
              <w:rPr>
                <w:spacing w:val="-6"/>
                <w:sz w:val="18"/>
                <w:szCs w:val="18"/>
              </w:rPr>
              <w:t>1.46</w:t>
            </w:r>
          </w:p>
        </w:tc>
        <w:tc>
          <w:tcPr>
            <w:tcW w:w="423" w:type="dxa"/>
            <w:vAlign w:val="top"/>
          </w:tcPr>
          <w:p w14:paraId="01CAB689">
            <w:pPr>
              <w:pStyle w:val="6"/>
              <w:spacing w:before="97" w:line="214" w:lineRule="auto"/>
              <w:ind w:left="67"/>
              <w:rPr>
                <w:sz w:val="18"/>
                <w:szCs w:val="18"/>
              </w:rPr>
            </w:pPr>
            <w:r>
              <w:rPr>
                <w:spacing w:val="-2"/>
                <w:sz w:val="18"/>
                <w:szCs w:val="18"/>
              </w:rPr>
              <w:t>0.80</w:t>
            </w:r>
          </w:p>
        </w:tc>
        <w:tc>
          <w:tcPr>
            <w:tcW w:w="472" w:type="dxa"/>
            <w:vAlign w:val="top"/>
          </w:tcPr>
          <w:p w14:paraId="7276F03C">
            <w:pPr>
              <w:pStyle w:val="6"/>
              <w:spacing w:before="97" w:line="214" w:lineRule="auto"/>
              <w:ind w:left="93"/>
              <w:rPr>
                <w:sz w:val="18"/>
                <w:szCs w:val="18"/>
              </w:rPr>
            </w:pPr>
            <w:r>
              <w:rPr>
                <w:spacing w:val="-2"/>
                <w:sz w:val="18"/>
                <w:szCs w:val="18"/>
              </w:rPr>
              <w:t>99.5</w:t>
            </w:r>
          </w:p>
        </w:tc>
        <w:tc>
          <w:tcPr>
            <w:tcW w:w="377" w:type="dxa"/>
            <w:tcBorders>
              <w:right w:val="single" w:color="000000" w:sz="12" w:space="0"/>
            </w:tcBorders>
            <w:vAlign w:val="top"/>
          </w:tcPr>
          <w:p w14:paraId="01239D66">
            <w:pPr>
              <w:pStyle w:val="6"/>
              <w:spacing w:before="97" w:line="214" w:lineRule="auto"/>
              <w:ind w:left="35"/>
              <w:rPr>
                <w:sz w:val="18"/>
                <w:szCs w:val="18"/>
              </w:rPr>
            </w:pPr>
            <w:r>
              <w:rPr>
                <w:spacing w:val="-2"/>
                <w:sz w:val="18"/>
                <w:szCs w:val="18"/>
              </w:rPr>
              <w:t>31.4</w:t>
            </w:r>
          </w:p>
        </w:tc>
      </w:tr>
      <w:tr w14:paraId="6F51A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3BDFC05D">
            <w:pPr>
              <w:rPr>
                <w:rFonts w:ascii="Arial"/>
                <w:sz w:val="21"/>
              </w:rPr>
            </w:pPr>
          </w:p>
        </w:tc>
        <w:tc>
          <w:tcPr>
            <w:tcW w:w="268" w:type="dxa"/>
            <w:vMerge w:val="continue"/>
            <w:tcBorders>
              <w:top w:val="nil"/>
              <w:bottom w:val="nil"/>
            </w:tcBorders>
            <w:vAlign w:val="top"/>
          </w:tcPr>
          <w:p w14:paraId="2ACF917E">
            <w:pPr>
              <w:rPr>
                <w:rFonts w:ascii="Arial"/>
                <w:sz w:val="21"/>
              </w:rPr>
            </w:pPr>
          </w:p>
        </w:tc>
        <w:tc>
          <w:tcPr>
            <w:tcW w:w="1038" w:type="dxa"/>
            <w:vAlign w:val="top"/>
          </w:tcPr>
          <w:p w14:paraId="7F9A6F18">
            <w:pPr>
              <w:pStyle w:val="6"/>
              <w:spacing w:before="98" w:line="213" w:lineRule="auto"/>
              <w:ind w:left="138"/>
              <w:rPr>
                <w:sz w:val="18"/>
                <w:szCs w:val="18"/>
              </w:rPr>
            </w:pPr>
            <w:r>
              <w:rPr>
                <w:spacing w:val="-1"/>
                <w:sz w:val="18"/>
                <w:szCs w:val="18"/>
              </w:rPr>
              <w:t>2020/3/11</w:t>
            </w:r>
          </w:p>
        </w:tc>
        <w:tc>
          <w:tcPr>
            <w:tcW w:w="774" w:type="dxa"/>
            <w:vAlign w:val="top"/>
          </w:tcPr>
          <w:p w14:paraId="3B96E4BF">
            <w:pPr>
              <w:pStyle w:val="6"/>
              <w:spacing w:before="98" w:line="213" w:lineRule="auto"/>
              <w:ind w:left="219"/>
              <w:rPr>
                <w:sz w:val="18"/>
                <w:szCs w:val="18"/>
              </w:rPr>
            </w:pPr>
            <w:r>
              <w:rPr>
                <w:spacing w:val="-2"/>
                <w:sz w:val="18"/>
                <w:szCs w:val="18"/>
              </w:rPr>
              <w:t>7.17</w:t>
            </w:r>
          </w:p>
        </w:tc>
        <w:tc>
          <w:tcPr>
            <w:tcW w:w="741" w:type="dxa"/>
            <w:vAlign w:val="top"/>
          </w:tcPr>
          <w:p w14:paraId="7414367B">
            <w:pPr>
              <w:pStyle w:val="6"/>
              <w:spacing w:before="98" w:line="213" w:lineRule="auto"/>
              <w:ind w:left="222"/>
              <w:rPr>
                <w:sz w:val="18"/>
                <w:szCs w:val="18"/>
              </w:rPr>
            </w:pPr>
            <w:r>
              <w:rPr>
                <w:spacing w:val="-1"/>
                <w:sz w:val="18"/>
                <w:szCs w:val="18"/>
              </w:rPr>
              <w:t>248</w:t>
            </w:r>
          </w:p>
        </w:tc>
        <w:tc>
          <w:tcPr>
            <w:tcW w:w="705" w:type="dxa"/>
            <w:vAlign w:val="top"/>
          </w:tcPr>
          <w:p w14:paraId="675876A7">
            <w:pPr>
              <w:pStyle w:val="6"/>
              <w:spacing w:before="98" w:line="213" w:lineRule="auto"/>
              <w:ind w:left="209"/>
              <w:rPr>
                <w:sz w:val="18"/>
                <w:szCs w:val="18"/>
              </w:rPr>
            </w:pPr>
            <w:r>
              <w:rPr>
                <w:spacing w:val="-2"/>
                <w:sz w:val="18"/>
                <w:szCs w:val="18"/>
              </w:rPr>
              <w:t>307</w:t>
            </w:r>
          </w:p>
        </w:tc>
        <w:tc>
          <w:tcPr>
            <w:tcW w:w="570" w:type="dxa"/>
            <w:vAlign w:val="top"/>
          </w:tcPr>
          <w:p w14:paraId="520C0362">
            <w:pPr>
              <w:pStyle w:val="6"/>
              <w:spacing w:before="101" w:line="186" w:lineRule="auto"/>
              <w:ind w:left="180"/>
              <w:rPr>
                <w:sz w:val="18"/>
                <w:szCs w:val="18"/>
              </w:rPr>
            </w:pPr>
            <w:r>
              <w:rPr>
                <w:spacing w:val="-3"/>
                <w:sz w:val="18"/>
                <w:szCs w:val="18"/>
              </w:rPr>
              <w:t>8L</w:t>
            </w:r>
          </w:p>
        </w:tc>
        <w:tc>
          <w:tcPr>
            <w:tcW w:w="423" w:type="dxa"/>
            <w:vAlign w:val="top"/>
          </w:tcPr>
          <w:p w14:paraId="30D7EA8D">
            <w:pPr>
              <w:pStyle w:val="6"/>
              <w:spacing w:before="101" w:line="186" w:lineRule="auto"/>
              <w:ind w:left="72"/>
              <w:rPr>
                <w:sz w:val="18"/>
                <w:szCs w:val="18"/>
              </w:rPr>
            </w:pPr>
            <w:r>
              <w:rPr>
                <w:spacing w:val="-5"/>
                <w:sz w:val="18"/>
                <w:szCs w:val="18"/>
              </w:rPr>
              <w:t>10L</w:t>
            </w:r>
          </w:p>
        </w:tc>
        <w:tc>
          <w:tcPr>
            <w:tcW w:w="567" w:type="dxa"/>
            <w:vAlign w:val="top"/>
          </w:tcPr>
          <w:p w14:paraId="10A5E3F2">
            <w:pPr>
              <w:pStyle w:val="6"/>
              <w:spacing w:before="98" w:line="213" w:lineRule="auto"/>
              <w:ind w:left="63"/>
              <w:rPr>
                <w:sz w:val="18"/>
                <w:szCs w:val="18"/>
              </w:rPr>
            </w:pPr>
            <w:r>
              <w:rPr>
                <w:spacing w:val="-2"/>
                <w:sz w:val="18"/>
                <w:szCs w:val="18"/>
              </w:rPr>
              <w:t>0.03L</w:t>
            </w:r>
          </w:p>
        </w:tc>
        <w:tc>
          <w:tcPr>
            <w:tcW w:w="545" w:type="dxa"/>
            <w:vAlign w:val="top"/>
          </w:tcPr>
          <w:p w14:paraId="21E1B8D4">
            <w:pPr>
              <w:pStyle w:val="6"/>
              <w:spacing w:before="98" w:line="213" w:lineRule="auto"/>
              <w:ind w:left="53"/>
              <w:rPr>
                <w:sz w:val="18"/>
                <w:szCs w:val="18"/>
              </w:rPr>
            </w:pPr>
            <w:r>
              <w:rPr>
                <w:spacing w:val="-2"/>
                <w:sz w:val="18"/>
                <w:szCs w:val="18"/>
              </w:rPr>
              <w:t>0.02L</w:t>
            </w:r>
          </w:p>
        </w:tc>
        <w:tc>
          <w:tcPr>
            <w:tcW w:w="472" w:type="dxa"/>
            <w:vAlign w:val="top"/>
          </w:tcPr>
          <w:p w14:paraId="654798A4">
            <w:pPr>
              <w:pStyle w:val="6"/>
              <w:spacing w:before="98" w:line="213" w:lineRule="auto"/>
              <w:ind w:left="18"/>
              <w:rPr>
                <w:sz w:val="18"/>
                <w:szCs w:val="18"/>
              </w:rPr>
            </w:pPr>
            <w:r>
              <w:rPr>
                <w:spacing w:val="-2"/>
                <w:sz w:val="18"/>
                <w:szCs w:val="18"/>
              </w:rPr>
              <w:t>0.01L</w:t>
            </w:r>
          </w:p>
        </w:tc>
        <w:tc>
          <w:tcPr>
            <w:tcW w:w="562" w:type="dxa"/>
            <w:vAlign w:val="top"/>
          </w:tcPr>
          <w:p w14:paraId="412B80E0">
            <w:pPr>
              <w:pStyle w:val="6"/>
              <w:spacing w:before="98" w:line="213" w:lineRule="auto"/>
              <w:ind w:left="19"/>
              <w:rPr>
                <w:sz w:val="18"/>
                <w:szCs w:val="18"/>
              </w:rPr>
            </w:pPr>
            <w:r>
              <w:rPr>
                <w:spacing w:val="-2"/>
                <w:sz w:val="18"/>
                <w:szCs w:val="18"/>
              </w:rPr>
              <w:t>0.006L</w:t>
            </w:r>
          </w:p>
        </w:tc>
        <w:tc>
          <w:tcPr>
            <w:tcW w:w="651" w:type="dxa"/>
            <w:vAlign w:val="top"/>
          </w:tcPr>
          <w:p w14:paraId="5B2C8D8D">
            <w:pPr>
              <w:pStyle w:val="6"/>
              <w:spacing w:before="98" w:line="213" w:lineRule="auto"/>
              <w:ind w:left="18"/>
              <w:rPr>
                <w:sz w:val="18"/>
                <w:szCs w:val="18"/>
              </w:rPr>
            </w:pPr>
            <w:r>
              <w:rPr>
                <w:spacing w:val="-1"/>
                <w:sz w:val="18"/>
                <w:szCs w:val="18"/>
              </w:rPr>
              <w:t>0.0003L</w:t>
            </w:r>
          </w:p>
        </w:tc>
        <w:tc>
          <w:tcPr>
            <w:tcW w:w="884" w:type="dxa"/>
            <w:vAlign w:val="top"/>
          </w:tcPr>
          <w:p w14:paraId="34C97C66">
            <w:pPr>
              <w:pStyle w:val="6"/>
              <w:spacing w:before="98" w:line="213" w:lineRule="auto"/>
              <w:ind w:left="226"/>
              <w:rPr>
                <w:sz w:val="18"/>
                <w:szCs w:val="18"/>
              </w:rPr>
            </w:pPr>
            <w:r>
              <w:rPr>
                <w:spacing w:val="-2"/>
                <w:sz w:val="18"/>
                <w:szCs w:val="18"/>
              </w:rPr>
              <w:t>0.05L</w:t>
            </w:r>
          </w:p>
        </w:tc>
        <w:tc>
          <w:tcPr>
            <w:tcW w:w="709" w:type="dxa"/>
            <w:vAlign w:val="top"/>
          </w:tcPr>
          <w:p w14:paraId="68C26A2F">
            <w:pPr>
              <w:pStyle w:val="6"/>
              <w:spacing w:before="98" w:line="213" w:lineRule="auto"/>
              <w:ind w:left="194"/>
              <w:rPr>
                <w:sz w:val="18"/>
                <w:szCs w:val="18"/>
              </w:rPr>
            </w:pPr>
            <w:r>
              <w:rPr>
                <w:spacing w:val="-2"/>
                <w:sz w:val="18"/>
                <w:szCs w:val="18"/>
              </w:rPr>
              <w:t>0.01</w:t>
            </w:r>
          </w:p>
        </w:tc>
        <w:tc>
          <w:tcPr>
            <w:tcW w:w="703" w:type="dxa"/>
            <w:vAlign w:val="top"/>
          </w:tcPr>
          <w:p w14:paraId="476640AD">
            <w:pPr>
              <w:pStyle w:val="6"/>
              <w:spacing w:before="98" w:line="213" w:lineRule="auto"/>
              <w:ind w:left="207"/>
              <w:rPr>
                <w:sz w:val="18"/>
                <w:szCs w:val="18"/>
              </w:rPr>
            </w:pPr>
            <w:r>
              <w:rPr>
                <w:spacing w:val="-6"/>
                <w:sz w:val="18"/>
                <w:szCs w:val="18"/>
              </w:rPr>
              <w:t>1.76</w:t>
            </w:r>
          </w:p>
        </w:tc>
        <w:tc>
          <w:tcPr>
            <w:tcW w:w="708" w:type="dxa"/>
            <w:vAlign w:val="top"/>
          </w:tcPr>
          <w:p w14:paraId="1D9D4159">
            <w:pPr>
              <w:pStyle w:val="6"/>
              <w:spacing w:before="98" w:line="213" w:lineRule="auto"/>
              <w:ind w:left="96"/>
              <w:rPr>
                <w:sz w:val="18"/>
                <w:szCs w:val="18"/>
              </w:rPr>
            </w:pPr>
            <w:r>
              <w:rPr>
                <w:spacing w:val="-2"/>
                <w:sz w:val="18"/>
                <w:szCs w:val="18"/>
              </w:rPr>
              <w:t>0.003L</w:t>
            </w:r>
          </w:p>
        </w:tc>
        <w:tc>
          <w:tcPr>
            <w:tcW w:w="764" w:type="dxa"/>
            <w:vAlign w:val="top"/>
          </w:tcPr>
          <w:p w14:paraId="0CA00E85">
            <w:pPr>
              <w:pStyle w:val="6"/>
              <w:spacing w:before="98" w:line="213" w:lineRule="auto"/>
              <w:ind w:left="126"/>
              <w:rPr>
                <w:sz w:val="18"/>
                <w:szCs w:val="18"/>
              </w:rPr>
            </w:pPr>
            <w:r>
              <w:rPr>
                <w:spacing w:val="-2"/>
                <w:sz w:val="18"/>
                <w:szCs w:val="18"/>
              </w:rPr>
              <w:t>0.025L</w:t>
            </w:r>
          </w:p>
        </w:tc>
        <w:tc>
          <w:tcPr>
            <w:tcW w:w="586" w:type="dxa"/>
            <w:vAlign w:val="top"/>
          </w:tcPr>
          <w:p w14:paraId="5858EE1F">
            <w:pPr>
              <w:pStyle w:val="6"/>
              <w:spacing w:before="98" w:line="213" w:lineRule="auto"/>
              <w:ind w:left="139"/>
              <w:rPr>
                <w:sz w:val="18"/>
                <w:szCs w:val="18"/>
              </w:rPr>
            </w:pPr>
            <w:r>
              <w:rPr>
                <w:spacing w:val="-2"/>
                <w:sz w:val="18"/>
                <w:szCs w:val="18"/>
              </w:rPr>
              <w:t>0.49</w:t>
            </w:r>
          </w:p>
        </w:tc>
        <w:tc>
          <w:tcPr>
            <w:tcW w:w="582" w:type="dxa"/>
            <w:vAlign w:val="top"/>
          </w:tcPr>
          <w:p w14:paraId="3E9D7ED1">
            <w:pPr>
              <w:pStyle w:val="6"/>
              <w:spacing w:before="98" w:line="213" w:lineRule="auto"/>
              <w:ind w:left="38"/>
              <w:rPr>
                <w:sz w:val="18"/>
                <w:szCs w:val="18"/>
              </w:rPr>
            </w:pPr>
            <w:r>
              <w:rPr>
                <w:spacing w:val="-2"/>
                <w:sz w:val="18"/>
                <w:szCs w:val="18"/>
              </w:rPr>
              <w:t>0.004L</w:t>
            </w:r>
          </w:p>
        </w:tc>
        <w:tc>
          <w:tcPr>
            <w:tcW w:w="745" w:type="dxa"/>
            <w:vAlign w:val="top"/>
          </w:tcPr>
          <w:p w14:paraId="43B3C80F">
            <w:pPr>
              <w:pStyle w:val="6"/>
              <w:spacing w:before="98" w:line="213" w:lineRule="auto"/>
              <w:ind w:left="31"/>
              <w:rPr>
                <w:sz w:val="18"/>
                <w:szCs w:val="18"/>
              </w:rPr>
            </w:pPr>
            <w:r>
              <w:rPr>
                <w:spacing w:val="-1"/>
                <w:sz w:val="18"/>
                <w:szCs w:val="18"/>
              </w:rPr>
              <w:t>0.00004L</w:t>
            </w:r>
          </w:p>
        </w:tc>
        <w:tc>
          <w:tcPr>
            <w:tcW w:w="651" w:type="dxa"/>
            <w:vAlign w:val="top"/>
          </w:tcPr>
          <w:p w14:paraId="37F08E13">
            <w:pPr>
              <w:pStyle w:val="6"/>
              <w:spacing w:before="98" w:line="213" w:lineRule="auto"/>
              <w:ind w:left="29"/>
              <w:rPr>
                <w:sz w:val="18"/>
                <w:szCs w:val="18"/>
              </w:rPr>
            </w:pPr>
            <w:r>
              <w:rPr>
                <w:spacing w:val="-1"/>
                <w:sz w:val="18"/>
                <w:szCs w:val="18"/>
              </w:rPr>
              <w:t>0.0003L</w:t>
            </w:r>
          </w:p>
        </w:tc>
        <w:tc>
          <w:tcPr>
            <w:tcW w:w="652" w:type="dxa"/>
            <w:vAlign w:val="top"/>
          </w:tcPr>
          <w:p w14:paraId="4598C509">
            <w:pPr>
              <w:pStyle w:val="6"/>
              <w:spacing w:before="98" w:line="213" w:lineRule="auto"/>
              <w:ind w:left="30"/>
              <w:rPr>
                <w:sz w:val="18"/>
                <w:szCs w:val="18"/>
              </w:rPr>
            </w:pPr>
            <w:r>
              <w:rPr>
                <w:spacing w:val="-1"/>
                <w:sz w:val="18"/>
                <w:szCs w:val="18"/>
              </w:rPr>
              <w:t>0.0004L</w:t>
            </w:r>
          </w:p>
        </w:tc>
        <w:tc>
          <w:tcPr>
            <w:tcW w:w="566" w:type="dxa"/>
            <w:vAlign w:val="top"/>
          </w:tcPr>
          <w:p w14:paraId="42960432">
            <w:pPr>
              <w:pStyle w:val="6"/>
              <w:spacing w:before="98" w:line="213" w:lineRule="auto"/>
              <w:ind w:left="32"/>
              <w:rPr>
                <w:sz w:val="18"/>
                <w:szCs w:val="18"/>
              </w:rPr>
            </w:pPr>
            <w:r>
              <w:rPr>
                <w:spacing w:val="-2"/>
                <w:sz w:val="18"/>
                <w:szCs w:val="18"/>
              </w:rPr>
              <w:t>0.001L</w:t>
            </w:r>
          </w:p>
        </w:tc>
        <w:tc>
          <w:tcPr>
            <w:tcW w:w="582" w:type="dxa"/>
            <w:vAlign w:val="top"/>
          </w:tcPr>
          <w:p w14:paraId="109F3794">
            <w:pPr>
              <w:pStyle w:val="6"/>
              <w:spacing w:before="98" w:line="213" w:lineRule="auto"/>
              <w:ind w:left="41"/>
              <w:rPr>
                <w:sz w:val="18"/>
                <w:szCs w:val="18"/>
              </w:rPr>
            </w:pPr>
            <w:r>
              <w:rPr>
                <w:spacing w:val="-2"/>
                <w:sz w:val="18"/>
                <w:szCs w:val="18"/>
              </w:rPr>
              <w:t>0.004L</w:t>
            </w:r>
          </w:p>
        </w:tc>
        <w:tc>
          <w:tcPr>
            <w:tcW w:w="476" w:type="dxa"/>
            <w:vAlign w:val="top"/>
          </w:tcPr>
          <w:p w14:paraId="039697EB">
            <w:pPr>
              <w:pStyle w:val="6"/>
              <w:spacing w:before="98" w:line="213" w:lineRule="auto"/>
              <w:ind w:left="34"/>
              <w:rPr>
                <w:sz w:val="18"/>
                <w:szCs w:val="18"/>
              </w:rPr>
            </w:pPr>
            <w:r>
              <w:rPr>
                <w:spacing w:val="-2"/>
                <w:sz w:val="18"/>
                <w:szCs w:val="18"/>
              </w:rPr>
              <w:t>0.01L</w:t>
            </w:r>
          </w:p>
        </w:tc>
        <w:tc>
          <w:tcPr>
            <w:tcW w:w="567" w:type="dxa"/>
            <w:vAlign w:val="top"/>
          </w:tcPr>
          <w:p w14:paraId="19BADBAB">
            <w:pPr>
              <w:pStyle w:val="6"/>
              <w:spacing w:before="98" w:line="213" w:lineRule="auto"/>
              <w:ind w:left="91"/>
              <w:rPr>
                <w:sz w:val="18"/>
                <w:szCs w:val="18"/>
              </w:rPr>
            </w:pPr>
            <w:r>
              <w:rPr>
                <w:spacing w:val="-2"/>
                <w:sz w:val="18"/>
                <w:szCs w:val="18"/>
              </w:rPr>
              <w:t>0.012</w:t>
            </w:r>
          </w:p>
        </w:tc>
        <w:tc>
          <w:tcPr>
            <w:tcW w:w="765" w:type="dxa"/>
            <w:vAlign w:val="top"/>
          </w:tcPr>
          <w:p w14:paraId="1082310C">
            <w:pPr>
              <w:pStyle w:val="6"/>
              <w:spacing w:before="98" w:line="213" w:lineRule="auto"/>
              <w:ind w:left="345"/>
              <w:rPr>
                <w:sz w:val="18"/>
                <w:szCs w:val="18"/>
              </w:rPr>
            </w:pPr>
            <w:r>
              <w:rPr>
                <w:sz w:val="18"/>
                <w:szCs w:val="18"/>
              </w:rPr>
              <w:t>2</w:t>
            </w:r>
          </w:p>
        </w:tc>
        <w:tc>
          <w:tcPr>
            <w:tcW w:w="424" w:type="dxa"/>
            <w:vAlign w:val="top"/>
          </w:tcPr>
          <w:p w14:paraId="7A4C9FBD">
            <w:pPr>
              <w:pStyle w:val="6"/>
              <w:spacing w:before="98" w:line="213" w:lineRule="auto"/>
              <w:ind w:left="90"/>
              <w:rPr>
                <w:sz w:val="18"/>
                <w:szCs w:val="18"/>
              </w:rPr>
            </w:pPr>
            <w:r>
              <w:rPr>
                <w:spacing w:val="-2"/>
                <w:sz w:val="18"/>
                <w:szCs w:val="18"/>
              </w:rPr>
              <w:t>339</w:t>
            </w:r>
          </w:p>
        </w:tc>
        <w:tc>
          <w:tcPr>
            <w:tcW w:w="427" w:type="dxa"/>
            <w:vAlign w:val="top"/>
          </w:tcPr>
          <w:p w14:paraId="21ECC26B">
            <w:pPr>
              <w:pStyle w:val="6"/>
              <w:spacing w:before="98" w:line="213" w:lineRule="auto"/>
              <w:ind w:left="68"/>
              <w:rPr>
                <w:sz w:val="18"/>
                <w:szCs w:val="18"/>
              </w:rPr>
            </w:pPr>
            <w:r>
              <w:rPr>
                <w:spacing w:val="-2"/>
                <w:sz w:val="18"/>
                <w:szCs w:val="18"/>
              </w:rPr>
              <w:t>0.54</w:t>
            </w:r>
          </w:p>
        </w:tc>
        <w:tc>
          <w:tcPr>
            <w:tcW w:w="424" w:type="dxa"/>
            <w:vAlign w:val="top"/>
          </w:tcPr>
          <w:p w14:paraId="43C5E776">
            <w:pPr>
              <w:pStyle w:val="6"/>
              <w:spacing w:before="98" w:line="213" w:lineRule="auto"/>
              <w:ind w:left="82"/>
              <w:rPr>
                <w:sz w:val="18"/>
                <w:szCs w:val="18"/>
              </w:rPr>
            </w:pPr>
            <w:r>
              <w:rPr>
                <w:spacing w:val="-6"/>
                <w:sz w:val="18"/>
                <w:szCs w:val="18"/>
              </w:rPr>
              <w:t>1.54</w:t>
            </w:r>
          </w:p>
        </w:tc>
        <w:tc>
          <w:tcPr>
            <w:tcW w:w="423" w:type="dxa"/>
            <w:vAlign w:val="top"/>
          </w:tcPr>
          <w:p w14:paraId="4597632A">
            <w:pPr>
              <w:pStyle w:val="6"/>
              <w:spacing w:before="98" w:line="213" w:lineRule="auto"/>
              <w:ind w:left="67"/>
              <w:rPr>
                <w:sz w:val="18"/>
                <w:szCs w:val="18"/>
              </w:rPr>
            </w:pPr>
            <w:r>
              <w:rPr>
                <w:spacing w:val="-2"/>
                <w:sz w:val="18"/>
                <w:szCs w:val="18"/>
              </w:rPr>
              <w:t>0.68</w:t>
            </w:r>
          </w:p>
        </w:tc>
        <w:tc>
          <w:tcPr>
            <w:tcW w:w="472" w:type="dxa"/>
            <w:vAlign w:val="top"/>
          </w:tcPr>
          <w:p w14:paraId="0B3C024B">
            <w:pPr>
              <w:pStyle w:val="6"/>
              <w:spacing w:before="98" w:line="213" w:lineRule="auto"/>
              <w:ind w:left="93"/>
              <w:rPr>
                <w:sz w:val="18"/>
                <w:szCs w:val="18"/>
              </w:rPr>
            </w:pPr>
            <w:r>
              <w:rPr>
                <w:spacing w:val="-2"/>
                <w:sz w:val="18"/>
                <w:szCs w:val="18"/>
              </w:rPr>
              <w:t>95.0</w:t>
            </w:r>
          </w:p>
        </w:tc>
        <w:tc>
          <w:tcPr>
            <w:tcW w:w="377" w:type="dxa"/>
            <w:tcBorders>
              <w:right w:val="single" w:color="000000" w:sz="12" w:space="0"/>
            </w:tcBorders>
            <w:vAlign w:val="top"/>
          </w:tcPr>
          <w:p w14:paraId="72C4D740">
            <w:pPr>
              <w:pStyle w:val="6"/>
              <w:spacing w:before="98" w:line="213" w:lineRule="auto"/>
              <w:ind w:left="35"/>
              <w:rPr>
                <w:sz w:val="18"/>
                <w:szCs w:val="18"/>
              </w:rPr>
            </w:pPr>
            <w:r>
              <w:rPr>
                <w:spacing w:val="-2"/>
                <w:sz w:val="18"/>
                <w:szCs w:val="18"/>
              </w:rPr>
              <w:t>30.5</w:t>
            </w:r>
          </w:p>
        </w:tc>
      </w:tr>
      <w:tr w14:paraId="35E0B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1E2AED4C">
            <w:pPr>
              <w:rPr>
                <w:rFonts w:ascii="Arial"/>
                <w:sz w:val="21"/>
              </w:rPr>
            </w:pPr>
          </w:p>
        </w:tc>
        <w:tc>
          <w:tcPr>
            <w:tcW w:w="268" w:type="dxa"/>
            <w:vMerge w:val="continue"/>
            <w:tcBorders>
              <w:top w:val="nil"/>
            </w:tcBorders>
            <w:vAlign w:val="top"/>
          </w:tcPr>
          <w:p w14:paraId="4493DDD8">
            <w:pPr>
              <w:rPr>
                <w:rFonts w:ascii="Arial"/>
                <w:sz w:val="21"/>
              </w:rPr>
            </w:pPr>
          </w:p>
        </w:tc>
        <w:tc>
          <w:tcPr>
            <w:tcW w:w="1038" w:type="dxa"/>
            <w:vAlign w:val="top"/>
          </w:tcPr>
          <w:p w14:paraId="43C39CFC">
            <w:pPr>
              <w:pStyle w:val="6"/>
              <w:spacing w:before="97" w:line="212" w:lineRule="auto"/>
              <w:ind w:left="138"/>
              <w:rPr>
                <w:sz w:val="18"/>
                <w:szCs w:val="18"/>
              </w:rPr>
            </w:pPr>
            <w:r>
              <w:rPr>
                <w:spacing w:val="-1"/>
                <w:sz w:val="18"/>
                <w:szCs w:val="18"/>
              </w:rPr>
              <w:t>2020/3/12</w:t>
            </w:r>
          </w:p>
        </w:tc>
        <w:tc>
          <w:tcPr>
            <w:tcW w:w="774" w:type="dxa"/>
            <w:vAlign w:val="top"/>
          </w:tcPr>
          <w:p w14:paraId="0F6B7AEF">
            <w:pPr>
              <w:pStyle w:val="6"/>
              <w:spacing w:before="97" w:line="212" w:lineRule="auto"/>
              <w:ind w:left="219"/>
              <w:rPr>
                <w:sz w:val="18"/>
                <w:szCs w:val="18"/>
              </w:rPr>
            </w:pPr>
            <w:r>
              <w:rPr>
                <w:spacing w:val="-2"/>
                <w:sz w:val="18"/>
                <w:szCs w:val="18"/>
              </w:rPr>
              <w:t>7.12</w:t>
            </w:r>
          </w:p>
        </w:tc>
        <w:tc>
          <w:tcPr>
            <w:tcW w:w="741" w:type="dxa"/>
            <w:vAlign w:val="top"/>
          </w:tcPr>
          <w:p w14:paraId="4DBA66FC">
            <w:pPr>
              <w:pStyle w:val="6"/>
              <w:spacing w:before="97" w:line="212" w:lineRule="auto"/>
              <w:ind w:left="222"/>
              <w:rPr>
                <w:sz w:val="18"/>
                <w:szCs w:val="18"/>
              </w:rPr>
            </w:pPr>
            <w:r>
              <w:rPr>
                <w:spacing w:val="-1"/>
                <w:sz w:val="18"/>
                <w:szCs w:val="18"/>
              </w:rPr>
              <w:t>263</w:t>
            </w:r>
          </w:p>
        </w:tc>
        <w:tc>
          <w:tcPr>
            <w:tcW w:w="705" w:type="dxa"/>
            <w:vAlign w:val="top"/>
          </w:tcPr>
          <w:p w14:paraId="4256F4BC">
            <w:pPr>
              <w:pStyle w:val="6"/>
              <w:spacing w:before="97" w:line="212" w:lineRule="auto"/>
              <w:ind w:left="209"/>
              <w:rPr>
                <w:sz w:val="18"/>
                <w:szCs w:val="18"/>
              </w:rPr>
            </w:pPr>
            <w:r>
              <w:rPr>
                <w:spacing w:val="-2"/>
                <w:sz w:val="18"/>
                <w:szCs w:val="18"/>
              </w:rPr>
              <w:t>318</w:t>
            </w:r>
          </w:p>
        </w:tc>
        <w:tc>
          <w:tcPr>
            <w:tcW w:w="570" w:type="dxa"/>
            <w:vAlign w:val="top"/>
          </w:tcPr>
          <w:p w14:paraId="73624847">
            <w:pPr>
              <w:pStyle w:val="6"/>
              <w:spacing w:before="100" w:line="186" w:lineRule="auto"/>
              <w:ind w:left="180"/>
              <w:rPr>
                <w:sz w:val="18"/>
                <w:szCs w:val="18"/>
              </w:rPr>
            </w:pPr>
            <w:r>
              <w:rPr>
                <w:spacing w:val="-3"/>
                <w:sz w:val="18"/>
                <w:szCs w:val="18"/>
              </w:rPr>
              <w:t>8L</w:t>
            </w:r>
          </w:p>
        </w:tc>
        <w:tc>
          <w:tcPr>
            <w:tcW w:w="423" w:type="dxa"/>
            <w:vAlign w:val="top"/>
          </w:tcPr>
          <w:p w14:paraId="5AED2831">
            <w:pPr>
              <w:pStyle w:val="6"/>
              <w:spacing w:before="100" w:line="186" w:lineRule="auto"/>
              <w:ind w:left="72"/>
              <w:rPr>
                <w:sz w:val="18"/>
                <w:szCs w:val="18"/>
              </w:rPr>
            </w:pPr>
            <w:r>
              <w:rPr>
                <w:spacing w:val="-5"/>
                <w:sz w:val="18"/>
                <w:szCs w:val="18"/>
              </w:rPr>
              <w:t>10L</w:t>
            </w:r>
          </w:p>
        </w:tc>
        <w:tc>
          <w:tcPr>
            <w:tcW w:w="567" w:type="dxa"/>
            <w:vAlign w:val="top"/>
          </w:tcPr>
          <w:p w14:paraId="35319A76">
            <w:pPr>
              <w:pStyle w:val="6"/>
              <w:spacing w:before="97" w:line="212" w:lineRule="auto"/>
              <w:ind w:left="63"/>
              <w:rPr>
                <w:sz w:val="18"/>
                <w:szCs w:val="18"/>
              </w:rPr>
            </w:pPr>
            <w:r>
              <w:rPr>
                <w:spacing w:val="-2"/>
                <w:sz w:val="18"/>
                <w:szCs w:val="18"/>
              </w:rPr>
              <w:t>0.03L</w:t>
            </w:r>
          </w:p>
        </w:tc>
        <w:tc>
          <w:tcPr>
            <w:tcW w:w="545" w:type="dxa"/>
            <w:vAlign w:val="top"/>
          </w:tcPr>
          <w:p w14:paraId="5C0C32DF">
            <w:pPr>
              <w:pStyle w:val="6"/>
              <w:spacing w:before="97" w:line="212" w:lineRule="auto"/>
              <w:ind w:left="53"/>
              <w:rPr>
                <w:sz w:val="18"/>
                <w:szCs w:val="18"/>
              </w:rPr>
            </w:pPr>
            <w:r>
              <w:rPr>
                <w:spacing w:val="-2"/>
                <w:sz w:val="18"/>
                <w:szCs w:val="18"/>
              </w:rPr>
              <w:t>0.02L</w:t>
            </w:r>
          </w:p>
        </w:tc>
        <w:tc>
          <w:tcPr>
            <w:tcW w:w="472" w:type="dxa"/>
            <w:vAlign w:val="top"/>
          </w:tcPr>
          <w:p w14:paraId="2D078708">
            <w:pPr>
              <w:pStyle w:val="6"/>
              <w:spacing w:before="97" w:line="212" w:lineRule="auto"/>
              <w:ind w:left="18"/>
              <w:rPr>
                <w:sz w:val="18"/>
                <w:szCs w:val="18"/>
              </w:rPr>
            </w:pPr>
            <w:r>
              <w:rPr>
                <w:spacing w:val="-2"/>
                <w:sz w:val="18"/>
                <w:szCs w:val="18"/>
              </w:rPr>
              <w:t>0.01L</w:t>
            </w:r>
          </w:p>
        </w:tc>
        <w:tc>
          <w:tcPr>
            <w:tcW w:w="562" w:type="dxa"/>
            <w:vAlign w:val="top"/>
          </w:tcPr>
          <w:p w14:paraId="7C78292F">
            <w:pPr>
              <w:pStyle w:val="6"/>
              <w:spacing w:before="97" w:line="212" w:lineRule="auto"/>
              <w:ind w:left="19"/>
              <w:rPr>
                <w:sz w:val="18"/>
                <w:szCs w:val="18"/>
              </w:rPr>
            </w:pPr>
            <w:r>
              <w:rPr>
                <w:spacing w:val="-2"/>
                <w:sz w:val="18"/>
                <w:szCs w:val="18"/>
              </w:rPr>
              <w:t>0.006L</w:t>
            </w:r>
          </w:p>
        </w:tc>
        <w:tc>
          <w:tcPr>
            <w:tcW w:w="651" w:type="dxa"/>
            <w:vAlign w:val="top"/>
          </w:tcPr>
          <w:p w14:paraId="2692E273">
            <w:pPr>
              <w:pStyle w:val="6"/>
              <w:spacing w:before="97" w:line="212" w:lineRule="auto"/>
              <w:ind w:left="18"/>
              <w:rPr>
                <w:sz w:val="18"/>
                <w:szCs w:val="18"/>
              </w:rPr>
            </w:pPr>
            <w:r>
              <w:rPr>
                <w:spacing w:val="-1"/>
                <w:sz w:val="18"/>
                <w:szCs w:val="18"/>
              </w:rPr>
              <w:t>0.0003L</w:t>
            </w:r>
          </w:p>
        </w:tc>
        <w:tc>
          <w:tcPr>
            <w:tcW w:w="884" w:type="dxa"/>
            <w:vAlign w:val="top"/>
          </w:tcPr>
          <w:p w14:paraId="32D0E09D">
            <w:pPr>
              <w:pStyle w:val="6"/>
              <w:spacing w:before="97" w:line="212" w:lineRule="auto"/>
              <w:ind w:left="226"/>
              <w:rPr>
                <w:sz w:val="18"/>
                <w:szCs w:val="18"/>
              </w:rPr>
            </w:pPr>
            <w:r>
              <w:rPr>
                <w:spacing w:val="-2"/>
                <w:sz w:val="18"/>
                <w:szCs w:val="18"/>
              </w:rPr>
              <w:t>0.05L</w:t>
            </w:r>
          </w:p>
        </w:tc>
        <w:tc>
          <w:tcPr>
            <w:tcW w:w="709" w:type="dxa"/>
            <w:vAlign w:val="top"/>
          </w:tcPr>
          <w:p w14:paraId="2F37EB05">
            <w:pPr>
              <w:pStyle w:val="6"/>
              <w:spacing w:before="97" w:line="212" w:lineRule="auto"/>
              <w:ind w:left="194"/>
              <w:rPr>
                <w:sz w:val="18"/>
                <w:szCs w:val="18"/>
              </w:rPr>
            </w:pPr>
            <w:r>
              <w:rPr>
                <w:spacing w:val="-2"/>
                <w:sz w:val="18"/>
                <w:szCs w:val="18"/>
              </w:rPr>
              <w:t>0.01</w:t>
            </w:r>
          </w:p>
        </w:tc>
        <w:tc>
          <w:tcPr>
            <w:tcW w:w="703" w:type="dxa"/>
            <w:vAlign w:val="top"/>
          </w:tcPr>
          <w:p w14:paraId="5995A106">
            <w:pPr>
              <w:pStyle w:val="6"/>
              <w:spacing w:before="97" w:line="212" w:lineRule="auto"/>
              <w:ind w:left="207"/>
              <w:rPr>
                <w:sz w:val="18"/>
                <w:szCs w:val="18"/>
              </w:rPr>
            </w:pPr>
            <w:r>
              <w:rPr>
                <w:spacing w:val="-6"/>
                <w:sz w:val="18"/>
                <w:szCs w:val="18"/>
              </w:rPr>
              <w:t>1.62</w:t>
            </w:r>
          </w:p>
        </w:tc>
        <w:tc>
          <w:tcPr>
            <w:tcW w:w="708" w:type="dxa"/>
            <w:vAlign w:val="top"/>
          </w:tcPr>
          <w:p w14:paraId="1FC3AE8A">
            <w:pPr>
              <w:pStyle w:val="6"/>
              <w:spacing w:before="97" w:line="212" w:lineRule="auto"/>
              <w:ind w:left="96"/>
              <w:rPr>
                <w:sz w:val="18"/>
                <w:szCs w:val="18"/>
              </w:rPr>
            </w:pPr>
            <w:r>
              <w:rPr>
                <w:spacing w:val="-1"/>
                <w:sz w:val="18"/>
                <w:szCs w:val="18"/>
              </w:rPr>
              <w:t>0.003L</w:t>
            </w:r>
          </w:p>
        </w:tc>
        <w:tc>
          <w:tcPr>
            <w:tcW w:w="764" w:type="dxa"/>
            <w:vAlign w:val="top"/>
          </w:tcPr>
          <w:p w14:paraId="7CA36611">
            <w:pPr>
              <w:pStyle w:val="6"/>
              <w:spacing w:before="97" w:line="212" w:lineRule="auto"/>
              <w:ind w:left="126"/>
              <w:rPr>
                <w:sz w:val="18"/>
                <w:szCs w:val="18"/>
              </w:rPr>
            </w:pPr>
            <w:r>
              <w:rPr>
                <w:spacing w:val="-2"/>
                <w:sz w:val="18"/>
                <w:szCs w:val="18"/>
              </w:rPr>
              <w:t>0.025L</w:t>
            </w:r>
          </w:p>
        </w:tc>
        <w:tc>
          <w:tcPr>
            <w:tcW w:w="586" w:type="dxa"/>
            <w:vAlign w:val="top"/>
          </w:tcPr>
          <w:p w14:paraId="134670AD">
            <w:pPr>
              <w:pStyle w:val="6"/>
              <w:spacing w:before="97" w:line="212" w:lineRule="auto"/>
              <w:ind w:left="139"/>
              <w:rPr>
                <w:sz w:val="18"/>
                <w:szCs w:val="18"/>
              </w:rPr>
            </w:pPr>
            <w:r>
              <w:rPr>
                <w:spacing w:val="-2"/>
                <w:sz w:val="18"/>
                <w:szCs w:val="18"/>
              </w:rPr>
              <w:t>0.45</w:t>
            </w:r>
          </w:p>
        </w:tc>
        <w:tc>
          <w:tcPr>
            <w:tcW w:w="582" w:type="dxa"/>
            <w:vAlign w:val="top"/>
          </w:tcPr>
          <w:p w14:paraId="21A84EFA">
            <w:pPr>
              <w:pStyle w:val="6"/>
              <w:spacing w:before="97" w:line="212" w:lineRule="auto"/>
              <w:ind w:left="38"/>
              <w:rPr>
                <w:sz w:val="18"/>
                <w:szCs w:val="18"/>
              </w:rPr>
            </w:pPr>
            <w:r>
              <w:rPr>
                <w:spacing w:val="-2"/>
                <w:sz w:val="18"/>
                <w:szCs w:val="18"/>
              </w:rPr>
              <w:t>0.004L</w:t>
            </w:r>
          </w:p>
        </w:tc>
        <w:tc>
          <w:tcPr>
            <w:tcW w:w="745" w:type="dxa"/>
            <w:vAlign w:val="top"/>
          </w:tcPr>
          <w:p w14:paraId="2B7BD1E3">
            <w:pPr>
              <w:pStyle w:val="6"/>
              <w:spacing w:before="97" w:line="212" w:lineRule="auto"/>
              <w:ind w:left="31"/>
              <w:rPr>
                <w:sz w:val="18"/>
                <w:szCs w:val="18"/>
              </w:rPr>
            </w:pPr>
            <w:r>
              <w:rPr>
                <w:spacing w:val="-1"/>
                <w:sz w:val="18"/>
                <w:szCs w:val="18"/>
              </w:rPr>
              <w:t>0.00004L</w:t>
            </w:r>
          </w:p>
        </w:tc>
        <w:tc>
          <w:tcPr>
            <w:tcW w:w="651" w:type="dxa"/>
            <w:vAlign w:val="top"/>
          </w:tcPr>
          <w:p w14:paraId="30D256B0">
            <w:pPr>
              <w:pStyle w:val="6"/>
              <w:spacing w:before="97" w:line="212" w:lineRule="auto"/>
              <w:ind w:left="29"/>
              <w:rPr>
                <w:sz w:val="18"/>
                <w:szCs w:val="18"/>
              </w:rPr>
            </w:pPr>
            <w:r>
              <w:rPr>
                <w:spacing w:val="-1"/>
                <w:sz w:val="18"/>
                <w:szCs w:val="18"/>
              </w:rPr>
              <w:t>0.0003L</w:t>
            </w:r>
          </w:p>
        </w:tc>
        <w:tc>
          <w:tcPr>
            <w:tcW w:w="652" w:type="dxa"/>
            <w:vAlign w:val="top"/>
          </w:tcPr>
          <w:p w14:paraId="7BE79784">
            <w:pPr>
              <w:pStyle w:val="6"/>
              <w:spacing w:before="97" w:line="212" w:lineRule="auto"/>
              <w:ind w:left="30"/>
              <w:rPr>
                <w:sz w:val="18"/>
                <w:szCs w:val="18"/>
              </w:rPr>
            </w:pPr>
            <w:r>
              <w:rPr>
                <w:spacing w:val="-1"/>
                <w:sz w:val="18"/>
                <w:szCs w:val="18"/>
              </w:rPr>
              <w:t>0.0004L</w:t>
            </w:r>
          </w:p>
        </w:tc>
        <w:tc>
          <w:tcPr>
            <w:tcW w:w="566" w:type="dxa"/>
            <w:vAlign w:val="top"/>
          </w:tcPr>
          <w:p w14:paraId="7ADD3C4E">
            <w:pPr>
              <w:pStyle w:val="6"/>
              <w:spacing w:before="97" w:line="212" w:lineRule="auto"/>
              <w:ind w:left="32"/>
              <w:rPr>
                <w:sz w:val="18"/>
                <w:szCs w:val="18"/>
              </w:rPr>
            </w:pPr>
            <w:r>
              <w:rPr>
                <w:spacing w:val="-2"/>
                <w:sz w:val="18"/>
                <w:szCs w:val="18"/>
              </w:rPr>
              <w:t>0.001L</w:t>
            </w:r>
          </w:p>
        </w:tc>
        <w:tc>
          <w:tcPr>
            <w:tcW w:w="582" w:type="dxa"/>
            <w:vAlign w:val="top"/>
          </w:tcPr>
          <w:p w14:paraId="6F0809BF">
            <w:pPr>
              <w:pStyle w:val="6"/>
              <w:spacing w:before="97" w:line="212" w:lineRule="auto"/>
              <w:ind w:left="41"/>
              <w:rPr>
                <w:sz w:val="18"/>
                <w:szCs w:val="18"/>
              </w:rPr>
            </w:pPr>
            <w:r>
              <w:rPr>
                <w:spacing w:val="-2"/>
                <w:sz w:val="18"/>
                <w:szCs w:val="18"/>
              </w:rPr>
              <w:t>0.004L</w:t>
            </w:r>
          </w:p>
        </w:tc>
        <w:tc>
          <w:tcPr>
            <w:tcW w:w="476" w:type="dxa"/>
            <w:vAlign w:val="top"/>
          </w:tcPr>
          <w:p w14:paraId="7D838C4E">
            <w:pPr>
              <w:pStyle w:val="6"/>
              <w:spacing w:before="97" w:line="212" w:lineRule="auto"/>
              <w:ind w:left="34"/>
              <w:rPr>
                <w:sz w:val="18"/>
                <w:szCs w:val="18"/>
              </w:rPr>
            </w:pPr>
            <w:r>
              <w:rPr>
                <w:spacing w:val="-2"/>
                <w:sz w:val="18"/>
                <w:szCs w:val="18"/>
              </w:rPr>
              <w:t>0.01L</w:t>
            </w:r>
          </w:p>
        </w:tc>
        <w:tc>
          <w:tcPr>
            <w:tcW w:w="567" w:type="dxa"/>
            <w:vAlign w:val="top"/>
          </w:tcPr>
          <w:p w14:paraId="3789ABF4">
            <w:pPr>
              <w:pStyle w:val="6"/>
              <w:spacing w:before="97" w:line="212" w:lineRule="auto"/>
              <w:ind w:left="91"/>
              <w:rPr>
                <w:sz w:val="18"/>
                <w:szCs w:val="18"/>
              </w:rPr>
            </w:pPr>
            <w:r>
              <w:rPr>
                <w:spacing w:val="-2"/>
                <w:sz w:val="18"/>
                <w:szCs w:val="18"/>
              </w:rPr>
              <w:t>0.011</w:t>
            </w:r>
          </w:p>
        </w:tc>
        <w:tc>
          <w:tcPr>
            <w:tcW w:w="765" w:type="dxa"/>
            <w:vAlign w:val="top"/>
          </w:tcPr>
          <w:p w14:paraId="05A5CD11">
            <w:pPr>
              <w:pStyle w:val="6"/>
              <w:spacing w:before="97" w:line="212" w:lineRule="auto"/>
              <w:ind w:left="345"/>
              <w:rPr>
                <w:sz w:val="18"/>
                <w:szCs w:val="18"/>
              </w:rPr>
            </w:pPr>
            <w:r>
              <w:rPr>
                <w:sz w:val="18"/>
                <w:szCs w:val="18"/>
              </w:rPr>
              <w:t>2</w:t>
            </w:r>
          </w:p>
        </w:tc>
        <w:tc>
          <w:tcPr>
            <w:tcW w:w="424" w:type="dxa"/>
            <w:vAlign w:val="top"/>
          </w:tcPr>
          <w:p w14:paraId="18FDCF59">
            <w:pPr>
              <w:pStyle w:val="6"/>
              <w:spacing w:before="97" w:line="212" w:lineRule="auto"/>
              <w:ind w:left="90"/>
              <w:rPr>
                <w:sz w:val="18"/>
                <w:szCs w:val="18"/>
              </w:rPr>
            </w:pPr>
            <w:r>
              <w:rPr>
                <w:spacing w:val="-2"/>
                <w:sz w:val="18"/>
                <w:szCs w:val="18"/>
              </w:rPr>
              <w:t>347</w:t>
            </w:r>
          </w:p>
        </w:tc>
        <w:tc>
          <w:tcPr>
            <w:tcW w:w="427" w:type="dxa"/>
            <w:vAlign w:val="top"/>
          </w:tcPr>
          <w:p w14:paraId="62720B8B">
            <w:pPr>
              <w:pStyle w:val="6"/>
              <w:spacing w:before="97" w:line="212" w:lineRule="auto"/>
              <w:ind w:left="68"/>
              <w:rPr>
                <w:sz w:val="18"/>
                <w:szCs w:val="18"/>
              </w:rPr>
            </w:pPr>
            <w:r>
              <w:rPr>
                <w:spacing w:val="-2"/>
                <w:sz w:val="18"/>
                <w:szCs w:val="18"/>
              </w:rPr>
              <w:t>0.58</w:t>
            </w:r>
          </w:p>
        </w:tc>
        <w:tc>
          <w:tcPr>
            <w:tcW w:w="424" w:type="dxa"/>
            <w:vAlign w:val="top"/>
          </w:tcPr>
          <w:p w14:paraId="3AE39A03">
            <w:pPr>
              <w:pStyle w:val="6"/>
              <w:spacing w:before="97" w:line="212" w:lineRule="auto"/>
              <w:ind w:left="82"/>
              <w:rPr>
                <w:sz w:val="18"/>
                <w:szCs w:val="18"/>
              </w:rPr>
            </w:pPr>
            <w:r>
              <w:rPr>
                <w:spacing w:val="-6"/>
                <w:sz w:val="18"/>
                <w:szCs w:val="18"/>
              </w:rPr>
              <w:t>1.38</w:t>
            </w:r>
          </w:p>
        </w:tc>
        <w:tc>
          <w:tcPr>
            <w:tcW w:w="423" w:type="dxa"/>
            <w:vAlign w:val="top"/>
          </w:tcPr>
          <w:p w14:paraId="55F34042">
            <w:pPr>
              <w:pStyle w:val="6"/>
              <w:spacing w:before="97" w:line="212" w:lineRule="auto"/>
              <w:ind w:left="67"/>
              <w:rPr>
                <w:sz w:val="18"/>
                <w:szCs w:val="18"/>
              </w:rPr>
            </w:pPr>
            <w:r>
              <w:rPr>
                <w:spacing w:val="-2"/>
                <w:sz w:val="18"/>
                <w:szCs w:val="18"/>
              </w:rPr>
              <w:t>0.67</w:t>
            </w:r>
          </w:p>
        </w:tc>
        <w:tc>
          <w:tcPr>
            <w:tcW w:w="472" w:type="dxa"/>
            <w:vAlign w:val="top"/>
          </w:tcPr>
          <w:p w14:paraId="1684C5EA">
            <w:pPr>
              <w:pStyle w:val="6"/>
              <w:spacing w:before="97" w:line="212" w:lineRule="auto"/>
              <w:ind w:left="93"/>
              <w:rPr>
                <w:sz w:val="18"/>
                <w:szCs w:val="18"/>
              </w:rPr>
            </w:pPr>
            <w:r>
              <w:rPr>
                <w:spacing w:val="-2"/>
                <w:sz w:val="18"/>
                <w:szCs w:val="18"/>
              </w:rPr>
              <w:t>96.4</w:t>
            </w:r>
          </w:p>
        </w:tc>
        <w:tc>
          <w:tcPr>
            <w:tcW w:w="377" w:type="dxa"/>
            <w:tcBorders>
              <w:right w:val="single" w:color="000000" w:sz="12" w:space="0"/>
            </w:tcBorders>
            <w:vAlign w:val="top"/>
          </w:tcPr>
          <w:p w14:paraId="40266968">
            <w:pPr>
              <w:pStyle w:val="6"/>
              <w:spacing w:before="97" w:line="212" w:lineRule="auto"/>
              <w:ind w:left="35"/>
              <w:rPr>
                <w:sz w:val="18"/>
                <w:szCs w:val="18"/>
              </w:rPr>
            </w:pPr>
            <w:r>
              <w:rPr>
                <w:spacing w:val="-2"/>
                <w:sz w:val="18"/>
                <w:szCs w:val="18"/>
              </w:rPr>
              <w:t>30.7</w:t>
            </w:r>
          </w:p>
        </w:tc>
      </w:tr>
      <w:tr w14:paraId="53B67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580" w:type="dxa"/>
            <w:vMerge w:val="continue"/>
            <w:tcBorders>
              <w:top w:val="nil"/>
              <w:left w:val="single" w:color="000000" w:sz="12" w:space="0"/>
              <w:bottom w:val="nil"/>
            </w:tcBorders>
            <w:vAlign w:val="top"/>
          </w:tcPr>
          <w:p w14:paraId="0AE2C5C6">
            <w:pPr>
              <w:rPr>
                <w:rFonts w:ascii="Arial"/>
                <w:sz w:val="21"/>
              </w:rPr>
            </w:pPr>
          </w:p>
        </w:tc>
        <w:tc>
          <w:tcPr>
            <w:tcW w:w="268" w:type="dxa"/>
            <w:vMerge w:val="restart"/>
            <w:tcBorders>
              <w:bottom w:val="nil"/>
            </w:tcBorders>
            <w:vAlign w:val="top"/>
          </w:tcPr>
          <w:p w14:paraId="461ED42D">
            <w:pPr>
              <w:pStyle w:val="6"/>
              <w:spacing w:before="158" w:line="226" w:lineRule="auto"/>
              <w:ind w:left="73"/>
              <w:rPr>
                <w:sz w:val="18"/>
                <w:szCs w:val="18"/>
              </w:rPr>
            </w:pPr>
            <w:r>
              <w:rPr>
                <w:sz w:val="18"/>
                <w:szCs w:val="18"/>
              </w:rPr>
              <w:t>2</w:t>
            </w:r>
          </w:p>
          <w:p w14:paraId="25D12546">
            <w:pPr>
              <w:spacing w:line="226" w:lineRule="auto"/>
              <w:ind w:left="31"/>
              <w:rPr>
                <w:rFonts w:ascii="等线" w:hAnsi="等线" w:eastAsia="等线" w:cs="等线"/>
                <w:sz w:val="18"/>
                <w:szCs w:val="18"/>
              </w:rPr>
            </w:pPr>
            <w:r>
              <w:rPr>
                <w:rFonts w:ascii="等线" w:hAnsi="等线" w:eastAsia="等线" w:cs="等线"/>
                <w:sz w:val="18"/>
                <w:szCs w:val="18"/>
              </w:rPr>
              <w:t>季</w:t>
            </w:r>
          </w:p>
          <w:p w14:paraId="2E00877F">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7922631B">
            <w:pPr>
              <w:pStyle w:val="6"/>
              <w:spacing w:before="99" w:line="210" w:lineRule="auto"/>
              <w:ind w:left="138"/>
              <w:rPr>
                <w:sz w:val="18"/>
                <w:szCs w:val="18"/>
              </w:rPr>
            </w:pPr>
            <w:r>
              <w:rPr>
                <w:spacing w:val="-1"/>
                <w:sz w:val="18"/>
                <w:szCs w:val="18"/>
              </w:rPr>
              <w:t>2020/5/20</w:t>
            </w:r>
          </w:p>
        </w:tc>
        <w:tc>
          <w:tcPr>
            <w:tcW w:w="774" w:type="dxa"/>
            <w:vAlign w:val="top"/>
          </w:tcPr>
          <w:p w14:paraId="44126E57">
            <w:pPr>
              <w:pStyle w:val="6"/>
              <w:spacing w:before="99" w:line="210" w:lineRule="auto"/>
              <w:ind w:left="220"/>
              <w:rPr>
                <w:sz w:val="18"/>
                <w:szCs w:val="18"/>
              </w:rPr>
            </w:pPr>
            <w:r>
              <w:rPr>
                <w:spacing w:val="-2"/>
                <w:sz w:val="18"/>
                <w:szCs w:val="18"/>
              </w:rPr>
              <w:t>6.97</w:t>
            </w:r>
          </w:p>
        </w:tc>
        <w:tc>
          <w:tcPr>
            <w:tcW w:w="741" w:type="dxa"/>
            <w:vAlign w:val="top"/>
          </w:tcPr>
          <w:p w14:paraId="369B69F4">
            <w:pPr>
              <w:pStyle w:val="6"/>
              <w:spacing w:before="99" w:line="210" w:lineRule="auto"/>
              <w:ind w:left="222"/>
              <w:rPr>
                <w:sz w:val="18"/>
                <w:szCs w:val="18"/>
              </w:rPr>
            </w:pPr>
            <w:r>
              <w:rPr>
                <w:spacing w:val="-1"/>
                <w:sz w:val="18"/>
                <w:szCs w:val="18"/>
              </w:rPr>
              <w:t>268</w:t>
            </w:r>
          </w:p>
        </w:tc>
        <w:tc>
          <w:tcPr>
            <w:tcW w:w="705" w:type="dxa"/>
            <w:vAlign w:val="top"/>
          </w:tcPr>
          <w:p w14:paraId="732C99D2">
            <w:pPr>
              <w:pStyle w:val="6"/>
              <w:spacing w:before="99" w:line="210" w:lineRule="auto"/>
              <w:ind w:left="209"/>
              <w:rPr>
                <w:sz w:val="18"/>
                <w:szCs w:val="18"/>
              </w:rPr>
            </w:pPr>
            <w:r>
              <w:rPr>
                <w:spacing w:val="-2"/>
                <w:sz w:val="18"/>
                <w:szCs w:val="18"/>
              </w:rPr>
              <w:t>301</w:t>
            </w:r>
          </w:p>
        </w:tc>
        <w:tc>
          <w:tcPr>
            <w:tcW w:w="570" w:type="dxa"/>
            <w:vAlign w:val="top"/>
          </w:tcPr>
          <w:p w14:paraId="5F2DBD95">
            <w:pPr>
              <w:pStyle w:val="6"/>
              <w:spacing w:before="99" w:line="210" w:lineRule="auto"/>
              <w:ind w:left="231"/>
              <w:rPr>
                <w:sz w:val="18"/>
                <w:szCs w:val="18"/>
              </w:rPr>
            </w:pPr>
            <w:r>
              <w:rPr>
                <w:sz w:val="18"/>
                <w:szCs w:val="18"/>
              </w:rPr>
              <w:t>9</w:t>
            </w:r>
          </w:p>
        </w:tc>
        <w:tc>
          <w:tcPr>
            <w:tcW w:w="423" w:type="dxa"/>
            <w:vAlign w:val="top"/>
          </w:tcPr>
          <w:p w14:paraId="193F882A">
            <w:pPr>
              <w:pStyle w:val="6"/>
              <w:spacing w:before="102" w:line="186" w:lineRule="auto"/>
              <w:ind w:left="72"/>
              <w:rPr>
                <w:sz w:val="18"/>
                <w:szCs w:val="18"/>
              </w:rPr>
            </w:pPr>
            <w:r>
              <w:rPr>
                <w:spacing w:val="-5"/>
                <w:sz w:val="18"/>
                <w:szCs w:val="18"/>
              </w:rPr>
              <w:t>10L</w:t>
            </w:r>
          </w:p>
        </w:tc>
        <w:tc>
          <w:tcPr>
            <w:tcW w:w="567" w:type="dxa"/>
            <w:vAlign w:val="top"/>
          </w:tcPr>
          <w:p w14:paraId="57CCBE18">
            <w:pPr>
              <w:pStyle w:val="6"/>
              <w:spacing w:before="99" w:line="210" w:lineRule="auto"/>
              <w:ind w:left="63"/>
              <w:rPr>
                <w:sz w:val="18"/>
                <w:szCs w:val="18"/>
              </w:rPr>
            </w:pPr>
            <w:r>
              <w:rPr>
                <w:spacing w:val="-2"/>
                <w:sz w:val="18"/>
                <w:szCs w:val="18"/>
              </w:rPr>
              <w:t>0.03L</w:t>
            </w:r>
          </w:p>
        </w:tc>
        <w:tc>
          <w:tcPr>
            <w:tcW w:w="545" w:type="dxa"/>
            <w:vAlign w:val="top"/>
          </w:tcPr>
          <w:p w14:paraId="73839C6F">
            <w:pPr>
              <w:pStyle w:val="6"/>
              <w:spacing w:before="99" w:line="210" w:lineRule="auto"/>
              <w:ind w:left="53"/>
              <w:rPr>
                <w:sz w:val="18"/>
                <w:szCs w:val="18"/>
              </w:rPr>
            </w:pPr>
            <w:r>
              <w:rPr>
                <w:spacing w:val="-2"/>
                <w:sz w:val="18"/>
                <w:szCs w:val="18"/>
              </w:rPr>
              <w:t>0.02L</w:t>
            </w:r>
          </w:p>
        </w:tc>
        <w:tc>
          <w:tcPr>
            <w:tcW w:w="472" w:type="dxa"/>
            <w:vAlign w:val="top"/>
          </w:tcPr>
          <w:p w14:paraId="5F7749E0">
            <w:pPr>
              <w:pStyle w:val="6"/>
              <w:spacing w:before="99" w:line="210" w:lineRule="auto"/>
              <w:ind w:left="18"/>
              <w:rPr>
                <w:sz w:val="18"/>
                <w:szCs w:val="18"/>
              </w:rPr>
            </w:pPr>
            <w:r>
              <w:rPr>
                <w:spacing w:val="-2"/>
                <w:sz w:val="18"/>
                <w:szCs w:val="18"/>
              </w:rPr>
              <w:t>0.01L</w:t>
            </w:r>
          </w:p>
        </w:tc>
        <w:tc>
          <w:tcPr>
            <w:tcW w:w="562" w:type="dxa"/>
            <w:vAlign w:val="top"/>
          </w:tcPr>
          <w:p w14:paraId="7F18FB1F">
            <w:pPr>
              <w:pStyle w:val="6"/>
              <w:spacing w:before="99" w:line="210" w:lineRule="auto"/>
              <w:ind w:left="19"/>
              <w:rPr>
                <w:sz w:val="18"/>
                <w:szCs w:val="18"/>
              </w:rPr>
            </w:pPr>
            <w:r>
              <w:rPr>
                <w:spacing w:val="-2"/>
                <w:sz w:val="18"/>
                <w:szCs w:val="18"/>
              </w:rPr>
              <w:t>0.006L</w:t>
            </w:r>
          </w:p>
        </w:tc>
        <w:tc>
          <w:tcPr>
            <w:tcW w:w="651" w:type="dxa"/>
            <w:vAlign w:val="top"/>
          </w:tcPr>
          <w:p w14:paraId="0F4DC263">
            <w:pPr>
              <w:pStyle w:val="6"/>
              <w:spacing w:before="99" w:line="210" w:lineRule="auto"/>
              <w:ind w:left="18"/>
              <w:rPr>
                <w:sz w:val="18"/>
                <w:szCs w:val="18"/>
              </w:rPr>
            </w:pPr>
            <w:r>
              <w:rPr>
                <w:spacing w:val="-1"/>
                <w:sz w:val="18"/>
                <w:szCs w:val="18"/>
              </w:rPr>
              <w:t>0.0003L</w:t>
            </w:r>
          </w:p>
        </w:tc>
        <w:tc>
          <w:tcPr>
            <w:tcW w:w="884" w:type="dxa"/>
            <w:vAlign w:val="top"/>
          </w:tcPr>
          <w:p w14:paraId="7EE31EDF">
            <w:pPr>
              <w:pStyle w:val="6"/>
              <w:spacing w:before="99" w:line="210" w:lineRule="auto"/>
              <w:ind w:left="226"/>
              <w:rPr>
                <w:sz w:val="18"/>
                <w:szCs w:val="18"/>
              </w:rPr>
            </w:pPr>
            <w:r>
              <w:rPr>
                <w:spacing w:val="-2"/>
                <w:sz w:val="18"/>
                <w:szCs w:val="18"/>
              </w:rPr>
              <w:t>0.05L</w:t>
            </w:r>
          </w:p>
        </w:tc>
        <w:tc>
          <w:tcPr>
            <w:tcW w:w="709" w:type="dxa"/>
            <w:vAlign w:val="top"/>
          </w:tcPr>
          <w:p w14:paraId="00DD614C">
            <w:pPr>
              <w:pStyle w:val="6"/>
              <w:spacing w:before="99" w:line="210" w:lineRule="auto"/>
              <w:ind w:left="194"/>
              <w:rPr>
                <w:sz w:val="18"/>
                <w:szCs w:val="18"/>
              </w:rPr>
            </w:pPr>
            <w:r>
              <w:rPr>
                <w:spacing w:val="-2"/>
                <w:sz w:val="18"/>
                <w:szCs w:val="18"/>
              </w:rPr>
              <w:t>0.01</w:t>
            </w:r>
          </w:p>
        </w:tc>
        <w:tc>
          <w:tcPr>
            <w:tcW w:w="703" w:type="dxa"/>
            <w:vAlign w:val="top"/>
          </w:tcPr>
          <w:p w14:paraId="6C5030A7">
            <w:pPr>
              <w:pStyle w:val="6"/>
              <w:spacing w:before="99" w:line="210" w:lineRule="auto"/>
              <w:ind w:left="207"/>
              <w:rPr>
                <w:sz w:val="18"/>
                <w:szCs w:val="18"/>
              </w:rPr>
            </w:pPr>
            <w:r>
              <w:rPr>
                <w:spacing w:val="-6"/>
                <w:sz w:val="18"/>
                <w:szCs w:val="18"/>
              </w:rPr>
              <w:t>1.37</w:t>
            </w:r>
          </w:p>
        </w:tc>
        <w:tc>
          <w:tcPr>
            <w:tcW w:w="708" w:type="dxa"/>
            <w:vAlign w:val="top"/>
          </w:tcPr>
          <w:p w14:paraId="5A15AD2A">
            <w:pPr>
              <w:pStyle w:val="6"/>
              <w:spacing w:before="99" w:line="210" w:lineRule="auto"/>
              <w:ind w:left="96"/>
              <w:rPr>
                <w:sz w:val="18"/>
                <w:szCs w:val="18"/>
              </w:rPr>
            </w:pPr>
            <w:r>
              <w:rPr>
                <w:spacing w:val="-2"/>
                <w:sz w:val="18"/>
                <w:szCs w:val="18"/>
              </w:rPr>
              <w:t>0.003L</w:t>
            </w:r>
          </w:p>
        </w:tc>
        <w:tc>
          <w:tcPr>
            <w:tcW w:w="764" w:type="dxa"/>
            <w:vAlign w:val="top"/>
          </w:tcPr>
          <w:p w14:paraId="2C47FA31">
            <w:pPr>
              <w:pStyle w:val="6"/>
              <w:spacing w:before="99" w:line="210" w:lineRule="auto"/>
              <w:ind w:left="181"/>
              <w:rPr>
                <w:sz w:val="18"/>
                <w:szCs w:val="18"/>
              </w:rPr>
            </w:pPr>
            <w:r>
              <w:rPr>
                <w:spacing w:val="-2"/>
                <w:sz w:val="18"/>
                <w:szCs w:val="18"/>
              </w:rPr>
              <w:t>0.042</w:t>
            </w:r>
          </w:p>
        </w:tc>
        <w:tc>
          <w:tcPr>
            <w:tcW w:w="586" w:type="dxa"/>
            <w:vAlign w:val="top"/>
          </w:tcPr>
          <w:p w14:paraId="7D2BB636">
            <w:pPr>
              <w:pStyle w:val="6"/>
              <w:spacing w:before="99" w:line="210" w:lineRule="auto"/>
              <w:ind w:left="139"/>
              <w:rPr>
                <w:sz w:val="18"/>
                <w:szCs w:val="18"/>
              </w:rPr>
            </w:pPr>
            <w:r>
              <w:rPr>
                <w:spacing w:val="-2"/>
                <w:sz w:val="18"/>
                <w:szCs w:val="18"/>
              </w:rPr>
              <w:t>0.38</w:t>
            </w:r>
          </w:p>
        </w:tc>
        <w:tc>
          <w:tcPr>
            <w:tcW w:w="582" w:type="dxa"/>
            <w:vAlign w:val="top"/>
          </w:tcPr>
          <w:p w14:paraId="01FC24B5">
            <w:pPr>
              <w:pStyle w:val="6"/>
              <w:spacing w:before="99" w:line="210" w:lineRule="auto"/>
              <w:ind w:left="38"/>
              <w:rPr>
                <w:sz w:val="18"/>
                <w:szCs w:val="18"/>
              </w:rPr>
            </w:pPr>
            <w:r>
              <w:rPr>
                <w:spacing w:val="-2"/>
                <w:sz w:val="18"/>
                <w:szCs w:val="18"/>
              </w:rPr>
              <w:t>0.004L</w:t>
            </w:r>
          </w:p>
        </w:tc>
        <w:tc>
          <w:tcPr>
            <w:tcW w:w="745" w:type="dxa"/>
            <w:vAlign w:val="top"/>
          </w:tcPr>
          <w:p w14:paraId="3A29F764">
            <w:pPr>
              <w:pStyle w:val="6"/>
              <w:spacing w:before="99" w:line="210" w:lineRule="auto"/>
              <w:ind w:left="31"/>
              <w:rPr>
                <w:sz w:val="18"/>
                <w:szCs w:val="18"/>
              </w:rPr>
            </w:pPr>
            <w:r>
              <w:rPr>
                <w:spacing w:val="-1"/>
                <w:sz w:val="18"/>
                <w:szCs w:val="18"/>
              </w:rPr>
              <w:t>0.00004L</w:t>
            </w:r>
          </w:p>
        </w:tc>
        <w:tc>
          <w:tcPr>
            <w:tcW w:w="651" w:type="dxa"/>
            <w:vAlign w:val="top"/>
          </w:tcPr>
          <w:p w14:paraId="744CBB25">
            <w:pPr>
              <w:pStyle w:val="6"/>
              <w:spacing w:before="99" w:line="210" w:lineRule="auto"/>
              <w:ind w:left="29"/>
              <w:rPr>
                <w:sz w:val="18"/>
                <w:szCs w:val="18"/>
              </w:rPr>
            </w:pPr>
            <w:r>
              <w:rPr>
                <w:spacing w:val="-1"/>
                <w:sz w:val="18"/>
                <w:szCs w:val="18"/>
              </w:rPr>
              <w:t>0.0003L</w:t>
            </w:r>
          </w:p>
        </w:tc>
        <w:tc>
          <w:tcPr>
            <w:tcW w:w="652" w:type="dxa"/>
            <w:vAlign w:val="top"/>
          </w:tcPr>
          <w:p w14:paraId="4CCA100D">
            <w:pPr>
              <w:pStyle w:val="6"/>
              <w:spacing w:before="99" w:line="210" w:lineRule="auto"/>
              <w:ind w:left="30"/>
              <w:rPr>
                <w:sz w:val="18"/>
                <w:szCs w:val="18"/>
              </w:rPr>
            </w:pPr>
            <w:r>
              <w:rPr>
                <w:spacing w:val="-1"/>
                <w:sz w:val="18"/>
                <w:szCs w:val="18"/>
              </w:rPr>
              <w:t>0.0004L</w:t>
            </w:r>
          </w:p>
        </w:tc>
        <w:tc>
          <w:tcPr>
            <w:tcW w:w="566" w:type="dxa"/>
            <w:vAlign w:val="top"/>
          </w:tcPr>
          <w:p w14:paraId="52A4D2CF">
            <w:pPr>
              <w:pStyle w:val="6"/>
              <w:spacing w:before="99" w:line="210" w:lineRule="auto"/>
              <w:ind w:left="32"/>
              <w:rPr>
                <w:sz w:val="18"/>
                <w:szCs w:val="18"/>
              </w:rPr>
            </w:pPr>
            <w:r>
              <w:rPr>
                <w:spacing w:val="-2"/>
                <w:sz w:val="18"/>
                <w:szCs w:val="18"/>
              </w:rPr>
              <w:t>0.001L</w:t>
            </w:r>
          </w:p>
        </w:tc>
        <w:tc>
          <w:tcPr>
            <w:tcW w:w="582" w:type="dxa"/>
            <w:vAlign w:val="top"/>
          </w:tcPr>
          <w:p w14:paraId="72067A99">
            <w:pPr>
              <w:pStyle w:val="6"/>
              <w:spacing w:before="99" w:line="210" w:lineRule="auto"/>
              <w:ind w:left="41"/>
              <w:rPr>
                <w:sz w:val="18"/>
                <w:szCs w:val="18"/>
              </w:rPr>
            </w:pPr>
            <w:r>
              <w:rPr>
                <w:spacing w:val="-2"/>
                <w:sz w:val="18"/>
                <w:szCs w:val="18"/>
              </w:rPr>
              <w:t>0.004L</w:t>
            </w:r>
          </w:p>
        </w:tc>
        <w:tc>
          <w:tcPr>
            <w:tcW w:w="476" w:type="dxa"/>
            <w:vAlign w:val="top"/>
          </w:tcPr>
          <w:p w14:paraId="5BAEAC5E">
            <w:pPr>
              <w:pStyle w:val="6"/>
              <w:spacing w:before="99" w:line="210" w:lineRule="auto"/>
              <w:ind w:left="34"/>
              <w:rPr>
                <w:sz w:val="18"/>
                <w:szCs w:val="18"/>
              </w:rPr>
            </w:pPr>
            <w:r>
              <w:rPr>
                <w:spacing w:val="-2"/>
                <w:sz w:val="18"/>
                <w:szCs w:val="18"/>
              </w:rPr>
              <w:t>0.01L</w:t>
            </w:r>
          </w:p>
        </w:tc>
        <w:tc>
          <w:tcPr>
            <w:tcW w:w="567" w:type="dxa"/>
            <w:vAlign w:val="top"/>
          </w:tcPr>
          <w:p w14:paraId="7F66F186">
            <w:pPr>
              <w:pStyle w:val="6"/>
              <w:spacing w:before="99" w:line="210" w:lineRule="auto"/>
              <w:ind w:left="36"/>
              <w:rPr>
                <w:sz w:val="18"/>
                <w:szCs w:val="18"/>
              </w:rPr>
            </w:pPr>
            <w:r>
              <w:rPr>
                <w:spacing w:val="-2"/>
                <w:sz w:val="18"/>
                <w:szCs w:val="18"/>
              </w:rPr>
              <w:t>0.009L</w:t>
            </w:r>
          </w:p>
        </w:tc>
        <w:tc>
          <w:tcPr>
            <w:tcW w:w="765" w:type="dxa"/>
            <w:vAlign w:val="top"/>
          </w:tcPr>
          <w:p w14:paraId="44459836">
            <w:pPr>
              <w:pStyle w:val="6"/>
              <w:spacing w:before="99" w:line="210" w:lineRule="auto"/>
              <w:ind w:left="258"/>
              <w:rPr>
                <w:sz w:val="18"/>
                <w:szCs w:val="18"/>
              </w:rPr>
            </w:pPr>
            <w:r>
              <w:rPr>
                <w:spacing w:val="-2"/>
                <w:sz w:val="18"/>
                <w:szCs w:val="18"/>
              </w:rPr>
              <w:t>310</w:t>
            </w:r>
          </w:p>
        </w:tc>
        <w:tc>
          <w:tcPr>
            <w:tcW w:w="424" w:type="dxa"/>
            <w:vAlign w:val="top"/>
          </w:tcPr>
          <w:p w14:paraId="136DCD4A">
            <w:pPr>
              <w:pStyle w:val="6"/>
              <w:spacing w:before="99" w:line="210" w:lineRule="auto"/>
              <w:ind w:left="90"/>
              <w:rPr>
                <w:sz w:val="18"/>
                <w:szCs w:val="18"/>
              </w:rPr>
            </w:pPr>
            <w:r>
              <w:rPr>
                <w:spacing w:val="-2"/>
                <w:sz w:val="18"/>
                <w:szCs w:val="18"/>
              </w:rPr>
              <w:t>333</w:t>
            </w:r>
          </w:p>
        </w:tc>
        <w:tc>
          <w:tcPr>
            <w:tcW w:w="427" w:type="dxa"/>
            <w:vAlign w:val="top"/>
          </w:tcPr>
          <w:p w14:paraId="3D156BCA">
            <w:pPr>
              <w:pStyle w:val="6"/>
              <w:spacing w:before="99" w:line="210" w:lineRule="auto"/>
              <w:ind w:left="68"/>
              <w:rPr>
                <w:sz w:val="18"/>
                <w:szCs w:val="18"/>
              </w:rPr>
            </w:pPr>
            <w:r>
              <w:rPr>
                <w:spacing w:val="-2"/>
                <w:sz w:val="18"/>
                <w:szCs w:val="18"/>
              </w:rPr>
              <w:t>0.56</w:t>
            </w:r>
          </w:p>
        </w:tc>
        <w:tc>
          <w:tcPr>
            <w:tcW w:w="424" w:type="dxa"/>
            <w:vAlign w:val="top"/>
          </w:tcPr>
          <w:p w14:paraId="0B6F50BC">
            <w:pPr>
              <w:pStyle w:val="6"/>
              <w:spacing w:before="99" w:line="210" w:lineRule="auto"/>
              <w:ind w:left="82"/>
              <w:rPr>
                <w:sz w:val="18"/>
                <w:szCs w:val="18"/>
              </w:rPr>
            </w:pPr>
            <w:r>
              <w:rPr>
                <w:spacing w:val="-6"/>
                <w:sz w:val="18"/>
                <w:szCs w:val="18"/>
              </w:rPr>
              <w:t>1.15</w:t>
            </w:r>
          </w:p>
        </w:tc>
        <w:tc>
          <w:tcPr>
            <w:tcW w:w="423" w:type="dxa"/>
            <w:vAlign w:val="top"/>
          </w:tcPr>
          <w:p w14:paraId="35779D52">
            <w:pPr>
              <w:pStyle w:val="6"/>
              <w:spacing w:before="99" w:line="210" w:lineRule="auto"/>
              <w:ind w:left="81"/>
              <w:rPr>
                <w:sz w:val="18"/>
                <w:szCs w:val="18"/>
              </w:rPr>
            </w:pPr>
            <w:r>
              <w:rPr>
                <w:spacing w:val="-6"/>
                <w:sz w:val="18"/>
                <w:szCs w:val="18"/>
              </w:rPr>
              <w:t>11.3</w:t>
            </w:r>
          </w:p>
        </w:tc>
        <w:tc>
          <w:tcPr>
            <w:tcW w:w="472" w:type="dxa"/>
            <w:vAlign w:val="top"/>
          </w:tcPr>
          <w:p w14:paraId="6242CB9D">
            <w:pPr>
              <w:pStyle w:val="6"/>
              <w:spacing w:before="99" w:line="210" w:lineRule="auto"/>
              <w:ind w:left="95"/>
              <w:rPr>
                <w:sz w:val="18"/>
                <w:szCs w:val="18"/>
              </w:rPr>
            </w:pPr>
            <w:r>
              <w:rPr>
                <w:spacing w:val="-3"/>
                <w:sz w:val="18"/>
                <w:szCs w:val="18"/>
              </w:rPr>
              <w:t>54.4</w:t>
            </w:r>
          </w:p>
        </w:tc>
        <w:tc>
          <w:tcPr>
            <w:tcW w:w="377" w:type="dxa"/>
            <w:tcBorders>
              <w:right w:val="single" w:color="000000" w:sz="12" w:space="0"/>
            </w:tcBorders>
            <w:vAlign w:val="top"/>
          </w:tcPr>
          <w:p w14:paraId="694E83BD">
            <w:pPr>
              <w:pStyle w:val="6"/>
              <w:spacing w:before="99" w:line="210" w:lineRule="auto"/>
              <w:ind w:left="35"/>
              <w:rPr>
                <w:sz w:val="18"/>
                <w:szCs w:val="18"/>
              </w:rPr>
            </w:pPr>
            <w:r>
              <w:rPr>
                <w:spacing w:val="-2"/>
                <w:sz w:val="18"/>
                <w:szCs w:val="18"/>
              </w:rPr>
              <w:t>34.1</w:t>
            </w:r>
          </w:p>
        </w:tc>
      </w:tr>
      <w:tr w14:paraId="79343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7030C017">
            <w:pPr>
              <w:rPr>
                <w:rFonts w:ascii="Arial"/>
                <w:sz w:val="21"/>
              </w:rPr>
            </w:pPr>
          </w:p>
        </w:tc>
        <w:tc>
          <w:tcPr>
            <w:tcW w:w="268" w:type="dxa"/>
            <w:vMerge w:val="continue"/>
            <w:tcBorders>
              <w:top w:val="nil"/>
              <w:bottom w:val="nil"/>
            </w:tcBorders>
            <w:vAlign w:val="top"/>
          </w:tcPr>
          <w:p w14:paraId="6FD49E17">
            <w:pPr>
              <w:rPr>
                <w:rFonts w:ascii="Arial"/>
                <w:sz w:val="21"/>
              </w:rPr>
            </w:pPr>
          </w:p>
        </w:tc>
        <w:tc>
          <w:tcPr>
            <w:tcW w:w="1038" w:type="dxa"/>
            <w:vAlign w:val="top"/>
          </w:tcPr>
          <w:p w14:paraId="24B672FF">
            <w:pPr>
              <w:pStyle w:val="6"/>
              <w:spacing w:before="100" w:line="210" w:lineRule="auto"/>
              <w:ind w:left="138"/>
              <w:rPr>
                <w:sz w:val="18"/>
                <w:szCs w:val="18"/>
              </w:rPr>
            </w:pPr>
            <w:r>
              <w:rPr>
                <w:spacing w:val="-1"/>
                <w:sz w:val="18"/>
                <w:szCs w:val="18"/>
              </w:rPr>
              <w:t>2020/5/21</w:t>
            </w:r>
          </w:p>
        </w:tc>
        <w:tc>
          <w:tcPr>
            <w:tcW w:w="774" w:type="dxa"/>
            <w:vAlign w:val="top"/>
          </w:tcPr>
          <w:p w14:paraId="616C8030">
            <w:pPr>
              <w:pStyle w:val="6"/>
              <w:spacing w:before="100" w:line="210" w:lineRule="auto"/>
              <w:ind w:left="220"/>
              <w:rPr>
                <w:sz w:val="18"/>
                <w:szCs w:val="18"/>
              </w:rPr>
            </w:pPr>
            <w:r>
              <w:rPr>
                <w:spacing w:val="-2"/>
                <w:sz w:val="18"/>
                <w:szCs w:val="18"/>
              </w:rPr>
              <w:t>6.91</w:t>
            </w:r>
          </w:p>
        </w:tc>
        <w:tc>
          <w:tcPr>
            <w:tcW w:w="741" w:type="dxa"/>
            <w:vAlign w:val="top"/>
          </w:tcPr>
          <w:p w14:paraId="00290098">
            <w:pPr>
              <w:pStyle w:val="6"/>
              <w:spacing w:before="100" w:line="210" w:lineRule="auto"/>
              <w:ind w:left="222"/>
              <w:rPr>
                <w:sz w:val="18"/>
                <w:szCs w:val="18"/>
              </w:rPr>
            </w:pPr>
            <w:r>
              <w:rPr>
                <w:spacing w:val="-1"/>
                <w:sz w:val="18"/>
                <w:szCs w:val="18"/>
              </w:rPr>
              <w:t>251</w:t>
            </w:r>
          </w:p>
        </w:tc>
        <w:tc>
          <w:tcPr>
            <w:tcW w:w="705" w:type="dxa"/>
            <w:vAlign w:val="top"/>
          </w:tcPr>
          <w:p w14:paraId="60B912A3">
            <w:pPr>
              <w:pStyle w:val="6"/>
              <w:spacing w:before="100" w:line="210" w:lineRule="auto"/>
              <w:ind w:left="205"/>
              <w:rPr>
                <w:sz w:val="18"/>
                <w:szCs w:val="18"/>
              </w:rPr>
            </w:pPr>
            <w:r>
              <w:rPr>
                <w:spacing w:val="-1"/>
                <w:sz w:val="18"/>
                <w:szCs w:val="18"/>
              </w:rPr>
              <w:t>287</w:t>
            </w:r>
          </w:p>
        </w:tc>
        <w:tc>
          <w:tcPr>
            <w:tcW w:w="570" w:type="dxa"/>
            <w:vAlign w:val="top"/>
          </w:tcPr>
          <w:p w14:paraId="74C4161B">
            <w:pPr>
              <w:pStyle w:val="6"/>
              <w:spacing w:before="100" w:line="210" w:lineRule="auto"/>
              <w:ind w:left="199"/>
              <w:rPr>
                <w:sz w:val="18"/>
                <w:szCs w:val="18"/>
              </w:rPr>
            </w:pPr>
            <w:r>
              <w:rPr>
                <w:spacing w:val="-6"/>
                <w:sz w:val="18"/>
                <w:szCs w:val="18"/>
              </w:rPr>
              <w:t>11</w:t>
            </w:r>
          </w:p>
        </w:tc>
        <w:tc>
          <w:tcPr>
            <w:tcW w:w="423" w:type="dxa"/>
            <w:vAlign w:val="top"/>
          </w:tcPr>
          <w:p w14:paraId="792ABDD1">
            <w:pPr>
              <w:pStyle w:val="6"/>
              <w:spacing w:before="104" w:line="186" w:lineRule="auto"/>
              <w:ind w:left="72"/>
              <w:rPr>
                <w:sz w:val="18"/>
                <w:szCs w:val="18"/>
              </w:rPr>
            </w:pPr>
            <w:r>
              <w:rPr>
                <w:spacing w:val="-5"/>
                <w:sz w:val="18"/>
                <w:szCs w:val="18"/>
              </w:rPr>
              <w:t>10L</w:t>
            </w:r>
          </w:p>
        </w:tc>
        <w:tc>
          <w:tcPr>
            <w:tcW w:w="567" w:type="dxa"/>
            <w:vAlign w:val="top"/>
          </w:tcPr>
          <w:p w14:paraId="51FFB88D">
            <w:pPr>
              <w:pStyle w:val="6"/>
              <w:spacing w:before="100" w:line="210" w:lineRule="auto"/>
              <w:ind w:left="63"/>
              <w:rPr>
                <w:sz w:val="18"/>
                <w:szCs w:val="18"/>
              </w:rPr>
            </w:pPr>
            <w:r>
              <w:rPr>
                <w:spacing w:val="-2"/>
                <w:sz w:val="18"/>
                <w:szCs w:val="18"/>
              </w:rPr>
              <w:t>0.03L</w:t>
            </w:r>
          </w:p>
        </w:tc>
        <w:tc>
          <w:tcPr>
            <w:tcW w:w="545" w:type="dxa"/>
            <w:vAlign w:val="top"/>
          </w:tcPr>
          <w:p w14:paraId="6A9D91E2">
            <w:pPr>
              <w:pStyle w:val="6"/>
              <w:spacing w:before="100" w:line="210" w:lineRule="auto"/>
              <w:ind w:left="53"/>
              <w:rPr>
                <w:sz w:val="18"/>
                <w:szCs w:val="18"/>
              </w:rPr>
            </w:pPr>
            <w:r>
              <w:rPr>
                <w:spacing w:val="-2"/>
                <w:sz w:val="18"/>
                <w:szCs w:val="18"/>
              </w:rPr>
              <w:t>0.02L</w:t>
            </w:r>
          </w:p>
        </w:tc>
        <w:tc>
          <w:tcPr>
            <w:tcW w:w="472" w:type="dxa"/>
            <w:vAlign w:val="top"/>
          </w:tcPr>
          <w:p w14:paraId="5443B140">
            <w:pPr>
              <w:pStyle w:val="6"/>
              <w:spacing w:before="100" w:line="210" w:lineRule="auto"/>
              <w:ind w:left="18"/>
              <w:rPr>
                <w:sz w:val="18"/>
                <w:szCs w:val="18"/>
              </w:rPr>
            </w:pPr>
            <w:r>
              <w:rPr>
                <w:spacing w:val="-2"/>
                <w:sz w:val="18"/>
                <w:szCs w:val="18"/>
              </w:rPr>
              <w:t>0.01L</w:t>
            </w:r>
          </w:p>
        </w:tc>
        <w:tc>
          <w:tcPr>
            <w:tcW w:w="562" w:type="dxa"/>
            <w:vAlign w:val="top"/>
          </w:tcPr>
          <w:p w14:paraId="494D5219">
            <w:pPr>
              <w:pStyle w:val="6"/>
              <w:spacing w:before="100" w:line="210" w:lineRule="auto"/>
              <w:ind w:left="19"/>
              <w:rPr>
                <w:sz w:val="18"/>
                <w:szCs w:val="18"/>
              </w:rPr>
            </w:pPr>
            <w:r>
              <w:rPr>
                <w:spacing w:val="-2"/>
                <w:sz w:val="18"/>
                <w:szCs w:val="18"/>
              </w:rPr>
              <w:t>0.006L</w:t>
            </w:r>
          </w:p>
        </w:tc>
        <w:tc>
          <w:tcPr>
            <w:tcW w:w="651" w:type="dxa"/>
            <w:vAlign w:val="top"/>
          </w:tcPr>
          <w:p w14:paraId="0067983F">
            <w:pPr>
              <w:pStyle w:val="6"/>
              <w:spacing w:before="100" w:line="210" w:lineRule="auto"/>
              <w:ind w:left="18"/>
              <w:rPr>
                <w:sz w:val="18"/>
                <w:szCs w:val="18"/>
              </w:rPr>
            </w:pPr>
            <w:r>
              <w:rPr>
                <w:spacing w:val="-1"/>
                <w:sz w:val="18"/>
                <w:szCs w:val="18"/>
              </w:rPr>
              <w:t>0.0003L</w:t>
            </w:r>
          </w:p>
        </w:tc>
        <w:tc>
          <w:tcPr>
            <w:tcW w:w="884" w:type="dxa"/>
            <w:vAlign w:val="top"/>
          </w:tcPr>
          <w:p w14:paraId="48D74C54">
            <w:pPr>
              <w:pStyle w:val="6"/>
              <w:spacing w:before="100" w:line="210" w:lineRule="auto"/>
              <w:ind w:left="226"/>
              <w:rPr>
                <w:sz w:val="18"/>
                <w:szCs w:val="18"/>
              </w:rPr>
            </w:pPr>
            <w:r>
              <w:rPr>
                <w:spacing w:val="-2"/>
                <w:sz w:val="18"/>
                <w:szCs w:val="18"/>
              </w:rPr>
              <w:t>0.05L</w:t>
            </w:r>
          </w:p>
        </w:tc>
        <w:tc>
          <w:tcPr>
            <w:tcW w:w="709" w:type="dxa"/>
            <w:vAlign w:val="top"/>
          </w:tcPr>
          <w:p w14:paraId="14FEFF7C">
            <w:pPr>
              <w:pStyle w:val="6"/>
              <w:spacing w:before="100" w:line="210" w:lineRule="auto"/>
              <w:ind w:left="194"/>
              <w:rPr>
                <w:sz w:val="18"/>
                <w:szCs w:val="18"/>
              </w:rPr>
            </w:pPr>
            <w:r>
              <w:rPr>
                <w:spacing w:val="-2"/>
                <w:sz w:val="18"/>
                <w:szCs w:val="18"/>
              </w:rPr>
              <w:t>0.01</w:t>
            </w:r>
          </w:p>
        </w:tc>
        <w:tc>
          <w:tcPr>
            <w:tcW w:w="703" w:type="dxa"/>
            <w:vAlign w:val="top"/>
          </w:tcPr>
          <w:p w14:paraId="41E76D56">
            <w:pPr>
              <w:pStyle w:val="6"/>
              <w:spacing w:before="100" w:line="210" w:lineRule="auto"/>
              <w:ind w:left="207"/>
              <w:rPr>
                <w:sz w:val="18"/>
                <w:szCs w:val="18"/>
              </w:rPr>
            </w:pPr>
            <w:r>
              <w:rPr>
                <w:spacing w:val="-6"/>
                <w:sz w:val="18"/>
                <w:szCs w:val="18"/>
              </w:rPr>
              <w:t>1.41</w:t>
            </w:r>
          </w:p>
        </w:tc>
        <w:tc>
          <w:tcPr>
            <w:tcW w:w="708" w:type="dxa"/>
            <w:vAlign w:val="top"/>
          </w:tcPr>
          <w:p w14:paraId="5E8F0CC5">
            <w:pPr>
              <w:pStyle w:val="6"/>
              <w:spacing w:before="100" w:line="210" w:lineRule="auto"/>
              <w:ind w:left="96"/>
              <w:rPr>
                <w:sz w:val="18"/>
                <w:szCs w:val="18"/>
              </w:rPr>
            </w:pPr>
            <w:r>
              <w:rPr>
                <w:spacing w:val="-2"/>
                <w:sz w:val="18"/>
                <w:szCs w:val="18"/>
              </w:rPr>
              <w:t>0.003L</w:t>
            </w:r>
          </w:p>
        </w:tc>
        <w:tc>
          <w:tcPr>
            <w:tcW w:w="764" w:type="dxa"/>
            <w:vAlign w:val="top"/>
          </w:tcPr>
          <w:p w14:paraId="4DF14224">
            <w:pPr>
              <w:pStyle w:val="6"/>
              <w:spacing w:before="100" w:line="210" w:lineRule="auto"/>
              <w:ind w:left="181"/>
              <w:rPr>
                <w:sz w:val="18"/>
                <w:szCs w:val="18"/>
              </w:rPr>
            </w:pPr>
            <w:r>
              <w:rPr>
                <w:spacing w:val="-2"/>
                <w:sz w:val="18"/>
                <w:szCs w:val="18"/>
              </w:rPr>
              <w:t>0.037</w:t>
            </w:r>
          </w:p>
        </w:tc>
        <w:tc>
          <w:tcPr>
            <w:tcW w:w="586" w:type="dxa"/>
            <w:vAlign w:val="top"/>
          </w:tcPr>
          <w:p w14:paraId="02B87D6C">
            <w:pPr>
              <w:pStyle w:val="6"/>
              <w:spacing w:before="100" w:line="210" w:lineRule="auto"/>
              <w:ind w:left="139"/>
              <w:rPr>
                <w:sz w:val="18"/>
                <w:szCs w:val="18"/>
              </w:rPr>
            </w:pPr>
            <w:r>
              <w:rPr>
                <w:spacing w:val="-2"/>
                <w:sz w:val="18"/>
                <w:szCs w:val="18"/>
              </w:rPr>
              <w:t>0.41</w:t>
            </w:r>
          </w:p>
        </w:tc>
        <w:tc>
          <w:tcPr>
            <w:tcW w:w="582" w:type="dxa"/>
            <w:vAlign w:val="top"/>
          </w:tcPr>
          <w:p w14:paraId="37B419C6">
            <w:pPr>
              <w:pStyle w:val="6"/>
              <w:spacing w:before="100" w:line="210" w:lineRule="auto"/>
              <w:ind w:left="38"/>
              <w:rPr>
                <w:sz w:val="18"/>
                <w:szCs w:val="18"/>
              </w:rPr>
            </w:pPr>
            <w:r>
              <w:rPr>
                <w:spacing w:val="-2"/>
                <w:sz w:val="18"/>
                <w:szCs w:val="18"/>
              </w:rPr>
              <w:t>0.004L</w:t>
            </w:r>
          </w:p>
        </w:tc>
        <w:tc>
          <w:tcPr>
            <w:tcW w:w="745" w:type="dxa"/>
            <w:vAlign w:val="top"/>
          </w:tcPr>
          <w:p w14:paraId="6CB15535">
            <w:pPr>
              <w:pStyle w:val="6"/>
              <w:spacing w:before="100" w:line="210" w:lineRule="auto"/>
              <w:ind w:left="31"/>
              <w:rPr>
                <w:sz w:val="18"/>
                <w:szCs w:val="18"/>
              </w:rPr>
            </w:pPr>
            <w:r>
              <w:rPr>
                <w:spacing w:val="-1"/>
                <w:sz w:val="18"/>
                <w:szCs w:val="18"/>
              </w:rPr>
              <w:t>0.00004L</w:t>
            </w:r>
          </w:p>
        </w:tc>
        <w:tc>
          <w:tcPr>
            <w:tcW w:w="651" w:type="dxa"/>
            <w:vAlign w:val="top"/>
          </w:tcPr>
          <w:p w14:paraId="688FBFF6">
            <w:pPr>
              <w:pStyle w:val="6"/>
              <w:spacing w:before="100" w:line="210" w:lineRule="auto"/>
              <w:ind w:left="29"/>
              <w:rPr>
                <w:sz w:val="18"/>
                <w:szCs w:val="18"/>
              </w:rPr>
            </w:pPr>
            <w:r>
              <w:rPr>
                <w:spacing w:val="-1"/>
                <w:sz w:val="18"/>
                <w:szCs w:val="18"/>
              </w:rPr>
              <w:t>0.0003L</w:t>
            </w:r>
          </w:p>
        </w:tc>
        <w:tc>
          <w:tcPr>
            <w:tcW w:w="652" w:type="dxa"/>
            <w:vAlign w:val="top"/>
          </w:tcPr>
          <w:p w14:paraId="30AB2E53">
            <w:pPr>
              <w:pStyle w:val="6"/>
              <w:spacing w:before="100" w:line="210" w:lineRule="auto"/>
              <w:ind w:left="30"/>
              <w:rPr>
                <w:sz w:val="18"/>
                <w:szCs w:val="18"/>
              </w:rPr>
            </w:pPr>
            <w:r>
              <w:rPr>
                <w:spacing w:val="-1"/>
                <w:sz w:val="18"/>
                <w:szCs w:val="18"/>
              </w:rPr>
              <w:t>0.0004L</w:t>
            </w:r>
          </w:p>
        </w:tc>
        <w:tc>
          <w:tcPr>
            <w:tcW w:w="566" w:type="dxa"/>
            <w:vAlign w:val="top"/>
          </w:tcPr>
          <w:p w14:paraId="2FFFC18D">
            <w:pPr>
              <w:pStyle w:val="6"/>
              <w:spacing w:before="100" w:line="210" w:lineRule="auto"/>
              <w:ind w:left="32"/>
              <w:rPr>
                <w:sz w:val="18"/>
                <w:szCs w:val="18"/>
              </w:rPr>
            </w:pPr>
            <w:r>
              <w:rPr>
                <w:spacing w:val="-2"/>
                <w:sz w:val="18"/>
                <w:szCs w:val="18"/>
              </w:rPr>
              <w:t>0.001L</w:t>
            </w:r>
          </w:p>
        </w:tc>
        <w:tc>
          <w:tcPr>
            <w:tcW w:w="582" w:type="dxa"/>
            <w:vAlign w:val="top"/>
          </w:tcPr>
          <w:p w14:paraId="506AB43D">
            <w:pPr>
              <w:pStyle w:val="6"/>
              <w:spacing w:before="100" w:line="210" w:lineRule="auto"/>
              <w:ind w:left="41"/>
              <w:rPr>
                <w:sz w:val="18"/>
                <w:szCs w:val="18"/>
              </w:rPr>
            </w:pPr>
            <w:r>
              <w:rPr>
                <w:spacing w:val="-2"/>
                <w:sz w:val="18"/>
                <w:szCs w:val="18"/>
              </w:rPr>
              <w:t>0.004L</w:t>
            </w:r>
          </w:p>
        </w:tc>
        <w:tc>
          <w:tcPr>
            <w:tcW w:w="476" w:type="dxa"/>
            <w:vAlign w:val="top"/>
          </w:tcPr>
          <w:p w14:paraId="15442AF2">
            <w:pPr>
              <w:pStyle w:val="6"/>
              <w:spacing w:before="100" w:line="210" w:lineRule="auto"/>
              <w:ind w:left="34"/>
              <w:rPr>
                <w:sz w:val="18"/>
                <w:szCs w:val="18"/>
              </w:rPr>
            </w:pPr>
            <w:r>
              <w:rPr>
                <w:spacing w:val="-2"/>
                <w:sz w:val="18"/>
                <w:szCs w:val="18"/>
              </w:rPr>
              <w:t>0.01L</w:t>
            </w:r>
          </w:p>
        </w:tc>
        <w:tc>
          <w:tcPr>
            <w:tcW w:w="567" w:type="dxa"/>
            <w:vAlign w:val="top"/>
          </w:tcPr>
          <w:p w14:paraId="4A5B547D">
            <w:pPr>
              <w:pStyle w:val="6"/>
              <w:spacing w:before="100" w:line="210" w:lineRule="auto"/>
              <w:ind w:left="36"/>
              <w:rPr>
                <w:sz w:val="18"/>
                <w:szCs w:val="18"/>
              </w:rPr>
            </w:pPr>
            <w:r>
              <w:rPr>
                <w:spacing w:val="-2"/>
                <w:sz w:val="18"/>
                <w:szCs w:val="18"/>
              </w:rPr>
              <w:t>0.009L</w:t>
            </w:r>
          </w:p>
        </w:tc>
        <w:tc>
          <w:tcPr>
            <w:tcW w:w="765" w:type="dxa"/>
            <w:vAlign w:val="top"/>
          </w:tcPr>
          <w:p w14:paraId="6C2F1DB1">
            <w:pPr>
              <w:pStyle w:val="6"/>
              <w:spacing w:before="100" w:line="210" w:lineRule="auto"/>
              <w:ind w:left="258"/>
              <w:rPr>
                <w:sz w:val="18"/>
                <w:szCs w:val="18"/>
              </w:rPr>
            </w:pPr>
            <w:r>
              <w:rPr>
                <w:spacing w:val="-2"/>
                <w:sz w:val="18"/>
                <w:szCs w:val="18"/>
              </w:rPr>
              <w:t>350</w:t>
            </w:r>
          </w:p>
        </w:tc>
        <w:tc>
          <w:tcPr>
            <w:tcW w:w="424" w:type="dxa"/>
            <w:vAlign w:val="top"/>
          </w:tcPr>
          <w:p w14:paraId="1F6E2DD0">
            <w:pPr>
              <w:pStyle w:val="6"/>
              <w:spacing w:before="100" w:line="210" w:lineRule="auto"/>
              <w:ind w:left="90"/>
              <w:rPr>
                <w:sz w:val="18"/>
                <w:szCs w:val="18"/>
              </w:rPr>
            </w:pPr>
            <w:r>
              <w:rPr>
                <w:spacing w:val="-2"/>
                <w:sz w:val="18"/>
                <w:szCs w:val="18"/>
              </w:rPr>
              <w:t>316</w:t>
            </w:r>
          </w:p>
        </w:tc>
        <w:tc>
          <w:tcPr>
            <w:tcW w:w="427" w:type="dxa"/>
            <w:vAlign w:val="top"/>
          </w:tcPr>
          <w:p w14:paraId="35EDE087">
            <w:pPr>
              <w:pStyle w:val="6"/>
              <w:spacing w:before="100" w:line="210" w:lineRule="auto"/>
              <w:ind w:left="68"/>
              <w:rPr>
                <w:sz w:val="18"/>
                <w:szCs w:val="18"/>
              </w:rPr>
            </w:pPr>
            <w:r>
              <w:rPr>
                <w:spacing w:val="-2"/>
                <w:sz w:val="18"/>
                <w:szCs w:val="18"/>
              </w:rPr>
              <w:t>0.60</w:t>
            </w:r>
          </w:p>
        </w:tc>
        <w:tc>
          <w:tcPr>
            <w:tcW w:w="424" w:type="dxa"/>
            <w:vAlign w:val="top"/>
          </w:tcPr>
          <w:p w14:paraId="4391D21B">
            <w:pPr>
              <w:pStyle w:val="6"/>
              <w:spacing w:before="100" w:line="210" w:lineRule="auto"/>
              <w:ind w:left="82"/>
              <w:rPr>
                <w:sz w:val="18"/>
                <w:szCs w:val="18"/>
              </w:rPr>
            </w:pPr>
            <w:r>
              <w:rPr>
                <w:spacing w:val="-6"/>
                <w:sz w:val="18"/>
                <w:szCs w:val="18"/>
              </w:rPr>
              <w:t>1.10</w:t>
            </w:r>
          </w:p>
        </w:tc>
        <w:tc>
          <w:tcPr>
            <w:tcW w:w="423" w:type="dxa"/>
            <w:vAlign w:val="top"/>
          </w:tcPr>
          <w:p w14:paraId="3C1C968B">
            <w:pPr>
              <w:pStyle w:val="6"/>
              <w:spacing w:before="100" w:line="210" w:lineRule="auto"/>
              <w:ind w:left="81"/>
              <w:rPr>
                <w:sz w:val="18"/>
                <w:szCs w:val="18"/>
              </w:rPr>
            </w:pPr>
            <w:r>
              <w:rPr>
                <w:spacing w:val="-6"/>
                <w:sz w:val="18"/>
                <w:szCs w:val="18"/>
              </w:rPr>
              <w:t>11.6</w:t>
            </w:r>
          </w:p>
        </w:tc>
        <w:tc>
          <w:tcPr>
            <w:tcW w:w="472" w:type="dxa"/>
            <w:vAlign w:val="top"/>
          </w:tcPr>
          <w:p w14:paraId="195B6ECA">
            <w:pPr>
              <w:pStyle w:val="6"/>
              <w:spacing w:before="100" w:line="210" w:lineRule="auto"/>
              <w:ind w:left="95"/>
              <w:rPr>
                <w:sz w:val="18"/>
                <w:szCs w:val="18"/>
              </w:rPr>
            </w:pPr>
            <w:r>
              <w:rPr>
                <w:spacing w:val="-3"/>
                <w:sz w:val="18"/>
                <w:szCs w:val="18"/>
              </w:rPr>
              <w:t>59.7</w:t>
            </w:r>
          </w:p>
        </w:tc>
        <w:tc>
          <w:tcPr>
            <w:tcW w:w="377" w:type="dxa"/>
            <w:tcBorders>
              <w:right w:val="single" w:color="000000" w:sz="12" w:space="0"/>
            </w:tcBorders>
            <w:vAlign w:val="top"/>
          </w:tcPr>
          <w:p w14:paraId="14DBCB5E">
            <w:pPr>
              <w:pStyle w:val="6"/>
              <w:spacing w:before="100" w:line="210" w:lineRule="auto"/>
              <w:ind w:left="35"/>
              <w:rPr>
                <w:sz w:val="18"/>
                <w:szCs w:val="18"/>
              </w:rPr>
            </w:pPr>
            <w:r>
              <w:rPr>
                <w:spacing w:val="-2"/>
                <w:sz w:val="18"/>
                <w:szCs w:val="18"/>
              </w:rPr>
              <w:t>34.5</w:t>
            </w:r>
          </w:p>
        </w:tc>
      </w:tr>
      <w:tr w14:paraId="1018E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bottom w:val="nil"/>
            </w:tcBorders>
            <w:vAlign w:val="top"/>
          </w:tcPr>
          <w:p w14:paraId="7F6A3E85">
            <w:pPr>
              <w:rPr>
                <w:rFonts w:ascii="Arial"/>
                <w:sz w:val="21"/>
              </w:rPr>
            </w:pPr>
          </w:p>
        </w:tc>
        <w:tc>
          <w:tcPr>
            <w:tcW w:w="268" w:type="dxa"/>
            <w:vMerge w:val="continue"/>
            <w:tcBorders>
              <w:top w:val="nil"/>
            </w:tcBorders>
            <w:vAlign w:val="top"/>
          </w:tcPr>
          <w:p w14:paraId="54FEC9C6">
            <w:pPr>
              <w:rPr>
                <w:rFonts w:ascii="Arial"/>
                <w:sz w:val="21"/>
              </w:rPr>
            </w:pPr>
          </w:p>
        </w:tc>
        <w:tc>
          <w:tcPr>
            <w:tcW w:w="1038" w:type="dxa"/>
            <w:vAlign w:val="top"/>
          </w:tcPr>
          <w:p w14:paraId="60B5D901">
            <w:pPr>
              <w:pStyle w:val="6"/>
              <w:spacing w:before="100" w:line="208" w:lineRule="auto"/>
              <w:ind w:left="138"/>
              <w:rPr>
                <w:sz w:val="18"/>
                <w:szCs w:val="18"/>
              </w:rPr>
            </w:pPr>
            <w:r>
              <w:rPr>
                <w:spacing w:val="-1"/>
                <w:sz w:val="18"/>
                <w:szCs w:val="18"/>
              </w:rPr>
              <w:t>2020/5/22</w:t>
            </w:r>
          </w:p>
        </w:tc>
        <w:tc>
          <w:tcPr>
            <w:tcW w:w="774" w:type="dxa"/>
            <w:vAlign w:val="top"/>
          </w:tcPr>
          <w:p w14:paraId="176CBD06">
            <w:pPr>
              <w:pStyle w:val="6"/>
              <w:spacing w:before="100" w:line="208" w:lineRule="auto"/>
              <w:ind w:left="220"/>
              <w:rPr>
                <w:sz w:val="18"/>
                <w:szCs w:val="18"/>
              </w:rPr>
            </w:pPr>
            <w:r>
              <w:rPr>
                <w:spacing w:val="-2"/>
                <w:sz w:val="18"/>
                <w:szCs w:val="18"/>
              </w:rPr>
              <w:t>6.98</w:t>
            </w:r>
          </w:p>
        </w:tc>
        <w:tc>
          <w:tcPr>
            <w:tcW w:w="741" w:type="dxa"/>
            <w:vAlign w:val="top"/>
          </w:tcPr>
          <w:p w14:paraId="7DFC17A5">
            <w:pPr>
              <w:pStyle w:val="6"/>
              <w:spacing w:before="100" w:line="208" w:lineRule="auto"/>
              <w:ind w:left="222"/>
              <w:rPr>
                <w:sz w:val="18"/>
                <w:szCs w:val="18"/>
              </w:rPr>
            </w:pPr>
            <w:r>
              <w:rPr>
                <w:spacing w:val="-1"/>
                <w:sz w:val="18"/>
                <w:szCs w:val="18"/>
              </w:rPr>
              <w:t>274</w:t>
            </w:r>
          </w:p>
        </w:tc>
        <w:tc>
          <w:tcPr>
            <w:tcW w:w="705" w:type="dxa"/>
            <w:vAlign w:val="top"/>
          </w:tcPr>
          <w:p w14:paraId="0187E338">
            <w:pPr>
              <w:pStyle w:val="6"/>
              <w:spacing w:before="100" w:line="208" w:lineRule="auto"/>
              <w:ind w:left="205"/>
              <w:rPr>
                <w:sz w:val="18"/>
                <w:szCs w:val="18"/>
              </w:rPr>
            </w:pPr>
            <w:r>
              <w:rPr>
                <w:spacing w:val="-2"/>
                <w:sz w:val="18"/>
                <w:szCs w:val="18"/>
              </w:rPr>
              <w:t>295</w:t>
            </w:r>
          </w:p>
        </w:tc>
        <w:tc>
          <w:tcPr>
            <w:tcW w:w="570" w:type="dxa"/>
            <w:vAlign w:val="top"/>
          </w:tcPr>
          <w:p w14:paraId="52A4879A">
            <w:pPr>
              <w:pStyle w:val="6"/>
              <w:spacing w:before="100" w:line="208" w:lineRule="auto"/>
              <w:ind w:left="199"/>
              <w:rPr>
                <w:sz w:val="18"/>
                <w:szCs w:val="18"/>
              </w:rPr>
            </w:pPr>
            <w:r>
              <w:rPr>
                <w:spacing w:val="-6"/>
                <w:sz w:val="18"/>
                <w:szCs w:val="18"/>
              </w:rPr>
              <w:t>10</w:t>
            </w:r>
          </w:p>
        </w:tc>
        <w:tc>
          <w:tcPr>
            <w:tcW w:w="423" w:type="dxa"/>
            <w:vAlign w:val="top"/>
          </w:tcPr>
          <w:p w14:paraId="25F8F0DF">
            <w:pPr>
              <w:pStyle w:val="6"/>
              <w:spacing w:before="103" w:line="186" w:lineRule="auto"/>
              <w:ind w:left="72"/>
              <w:rPr>
                <w:sz w:val="18"/>
                <w:szCs w:val="18"/>
              </w:rPr>
            </w:pPr>
            <w:r>
              <w:rPr>
                <w:spacing w:val="-5"/>
                <w:sz w:val="18"/>
                <w:szCs w:val="18"/>
              </w:rPr>
              <w:t>10L</w:t>
            </w:r>
          </w:p>
        </w:tc>
        <w:tc>
          <w:tcPr>
            <w:tcW w:w="567" w:type="dxa"/>
            <w:vAlign w:val="top"/>
          </w:tcPr>
          <w:p w14:paraId="5BAE0408">
            <w:pPr>
              <w:pStyle w:val="6"/>
              <w:spacing w:before="100" w:line="208" w:lineRule="auto"/>
              <w:ind w:left="63"/>
              <w:rPr>
                <w:sz w:val="18"/>
                <w:szCs w:val="18"/>
              </w:rPr>
            </w:pPr>
            <w:r>
              <w:rPr>
                <w:spacing w:val="-2"/>
                <w:sz w:val="18"/>
                <w:szCs w:val="18"/>
              </w:rPr>
              <w:t>0.03L</w:t>
            </w:r>
          </w:p>
        </w:tc>
        <w:tc>
          <w:tcPr>
            <w:tcW w:w="545" w:type="dxa"/>
            <w:vAlign w:val="top"/>
          </w:tcPr>
          <w:p w14:paraId="69D331F9">
            <w:pPr>
              <w:pStyle w:val="6"/>
              <w:spacing w:before="100" w:line="208" w:lineRule="auto"/>
              <w:ind w:left="53"/>
              <w:rPr>
                <w:sz w:val="18"/>
                <w:szCs w:val="18"/>
              </w:rPr>
            </w:pPr>
            <w:r>
              <w:rPr>
                <w:spacing w:val="-2"/>
                <w:sz w:val="18"/>
                <w:szCs w:val="18"/>
              </w:rPr>
              <w:t>0.02L</w:t>
            </w:r>
          </w:p>
        </w:tc>
        <w:tc>
          <w:tcPr>
            <w:tcW w:w="472" w:type="dxa"/>
            <w:vAlign w:val="top"/>
          </w:tcPr>
          <w:p w14:paraId="54626CEB">
            <w:pPr>
              <w:pStyle w:val="6"/>
              <w:spacing w:before="100" w:line="208" w:lineRule="auto"/>
              <w:ind w:left="18"/>
              <w:rPr>
                <w:sz w:val="18"/>
                <w:szCs w:val="18"/>
              </w:rPr>
            </w:pPr>
            <w:r>
              <w:rPr>
                <w:spacing w:val="-2"/>
                <w:sz w:val="18"/>
                <w:szCs w:val="18"/>
              </w:rPr>
              <w:t>0.01L</w:t>
            </w:r>
          </w:p>
        </w:tc>
        <w:tc>
          <w:tcPr>
            <w:tcW w:w="562" w:type="dxa"/>
            <w:vAlign w:val="top"/>
          </w:tcPr>
          <w:p w14:paraId="60BA377E">
            <w:pPr>
              <w:pStyle w:val="6"/>
              <w:spacing w:before="100" w:line="208" w:lineRule="auto"/>
              <w:ind w:left="19"/>
              <w:rPr>
                <w:sz w:val="18"/>
                <w:szCs w:val="18"/>
              </w:rPr>
            </w:pPr>
            <w:r>
              <w:rPr>
                <w:spacing w:val="-2"/>
                <w:sz w:val="18"/>
                <w:szCs w:val="18"/>
              </w:rPr>
              <w:t>0.006L</w:t>
            </w:r>
          </w:p>
        </w:tc>
        <w:tc>
          <w:tcPr>
            <w:tcW w:w="651" w:type="dxa"/>
            <w:vAlign w:val="top"/>
          </w:tcPr>
          <w:p w14:paraId="1D49C1D9">
            <w:pPr>
              <w:pStyle w:val="6"/>
              <w:spacing w:before="100" w:line="208" w:lineRule="auto"/>
              <w:ind w:left="18"/>
              <w:rPr>
                <w:sz w:val="18"/>
                <w:szCs w:val="18"/>
              </w:rPr>
            </w:pPr>
            <w:r>
              <w:rPr>
                <w:spacing w:val="-1"/>
                <w:sz w:val="18"/>
                <w:szCs w:val="18"/>
              </w:rPr>
              <w:t>0.0003L</w:t>
            </w:r>
          </w:p>
        </w:tc>
        <w:tc>
          <w:tcPr>
            <w:tcW w:w="884" w:type="dxa"/>
            <w:vAlign w:val="top"/>
          </w:tcPr>
          <w:p w14:paraId="64AF97FB">
            <w:pPr>
              <w:pStyle w:val="6"/>
              <w:spacing w:before="100" w:line="208" w:lineRule="auto"/>
              <w:ind w:left="226"/>
              <w:rPr>
                <w:sz w:val="18"/>
                <w:szCs w:val="18"/>
              </w:rPr>
            </w:pPr>
            <w:r>
              <w:rPr>
                <w:spacing w:val="-2"/>
                <w:sz w:val="18"/>
                <w:szCs w:val="18"/>
              </w:rPr>
              <w:t>0.05L</w:t>
            </w:r>
          </w:p>
        </w:tc>
        <w:tc>
          <w:tcPr>
            <w:tcW w:w="709" w:type="dxa"/>
            <w:vAlign w:val="top"/>
          </w:tcPr>
          <w:p w14:paraId="076C1520">
            <w:pPr>
              <w:pStyle w:val="6"/>
              <w:spacing w:before="100" w:line="208" w:lineRule="auto"/>
              <w:ind w:left="194"/>
              <w:rPr>
                <w:sz w:val="18"/>
                <w:szCs w:val="18"/>
              </w:rPr>
            </w:pPr>
            <w:r>
              <w:rPr>
                <w:spacing w:val="-2"/>
                <w:sz w:val="18"/>
                <w:szCs w:val="18"/>
              </w:rPr>
              <w:t>0.02</w:t>
            </w:r>
          </w:p>
        </w:tc>
        <w:tc>
          <w:tcPr>
            <w:tcW w:w="703" w:type="dxa"/>
            <w:vAlign w:val="top"/>
          </w:tcPr>
          <w:p w14:paraId="7D139330">
            <w:pPr>
              <w:pStyle w:val="6"/>
              <w:spacing w:before="100" w:line="208" w:lineRule="auto"/>
              <w:ind w:left="207"/>
              <w:rPr>
                <w:sz w:val="18"/>
                <w:szCs w:val="18"/>
              </w:rPr>
            </w:pPr>
            <w:r>
              <w:rPr>
                <w:spacing w:val="-6"/>
                <w:sz w:val="18"/>
                <w:szCs w:val="18"/>
              </w:rPr>
              <w:t>1.44</w:t>
            </w:r>
          </w:p>
        </w:tc>
        <w:tc>
          <w:tcPr>
            <w:tcW w:w="708" w:type="dxa"/>
            <w:vAlign w:val="top"/>
          </w:tcPr>
          <w:p w14:paraId="5F1463ED">
            <w:pPr>
              <w:pStyle w:val="6"/>
              <w:spacing w:before="100" w:line="208" w:lineRule="auto"/>
              <w:ind w:left="96"/>
              <w:rPr>
                <w:sz w:val="18"/>
                <w:szCs w:val="18"/>
              </w:rPr>
            </w:pPr>
            <w:r>
              <w:rPr>
                <w:spacing w:val="-2"/>
                <w:sz w:val="18"/>
                <w:szCs w:val="18"/>
              </w:rPr>
              <w:t>0.003L</w:t>
            </w:r>
          </w:p>
        </w:tc>
        <w:tc>
          <w:tcPr>
            <w:tcW w:w="764" w:type="dxa"/>
            <w:vAlign w:val="top"/>
          </w:tcPr>
          <w:p w14:paraId="07F0AE41">
            <w:pPr>
              <w:pStyle w:val="6"/>
              <w:spacing w:before="100" w:line="208" w:lineRule="auto"/>
              <w:ind w:left="181"/>
              <w:rPr>
                <w:sz w:val="18"/>
                <w:szCs w:val="18"/>
              </w:rPr>
            </w:pPr>
            <w:r>
              <w:rPr>
                <w:spacing w:val="-2"/>
                <w:sz w:val="18"/>
                <w:szCs w:val="18"/>
              </w:rPr>
              <w:t>0.045</w:t>
            </w:r>
          </w:p>
        </w:tc>
        <w:tc>
          <w:tcPr>
            <w:tcW w:w="586" w:type="dxa"/>
            <w:vAlign w:val="top"/>
          </w:tcPr>
          <w:p w14:paraId="0C871863">
            <w:pPr>
              <w:pStyle w:val="6"/>
              <w:spacing w:before="100" w:line="208" w:lineRule="auto"/>
              <w:ind w:left="139"/>
              <w:rPr>
                <w:sz w:val="18"/>
                <w:szCs w:val="18"/>
              </w:rPr>
            </w:pPr>
            <w:r>
              <w:rPr>
                <w:spacing w:val="-2"/>
                <w:sz w:val="18"/>
                <w:szCs w:val="18"/>
              </w:rPr>
              <w:t>0.36</w:t>
            </w:r>
          </w:p>
        </w:tc>
        <w:tc>
          <w:tcPr>
            <w:tcW w:w="582" w:type="dxa"/>
            <w:vAlign w:val="top"/>
          </w:tcPr>
          <w:p w14:paraId="1DB052F2">
            <w:pPr>
              <w:pStyle w:val="6"/>
              <w:spacing w:before="100" w:line="208" w:lineRule="auto"/>
              <w:ind w:left="38"/>
              <w:rPr>
                <w:sz w:val="18"/>
                <w:szCs w:val="18"/>
              </w:rPr>
            </w:pPr>
            <w:r>
              <w:rPr>
                <w:spacing w:val="-2"/>
                <w:sz w:val="18"/>
                <w:szCs w:val="18"/>
              </w:rPr>
              <w:t>0.004L</w:t>
            </w:r>
          </w:p>
        </w:tc>
        <w:tc>
          <w:tcPr>
            <w:tcW w:w="745" w:type="dxa"/>
            <w:vAlign w:val="top"/>
          </w:tcPr>
          <w:p w14:paraId="34637D3D">
            <w:pPr>
              <w:pStyle w:val="6"/>
              <w:spacing w:before="100" w:line="208" w:lineRule="auto"/>
              <w:ind w:left="31"/>
              <w:rPr>
                <w:sz w:val="18"/>
                <w:szCs w:val="18"/>
              </w:rPr>
            </w:pPr>
            <w:r>
              <w:rPr>
                <w:spacing w:val="-1"/>
                <w:sz w:val="18"/>
                <w:szCs w:val="18"/>
              </w:rPr>
              <w:t>0.00004L</w:t>
            </w:r>
          </w:p>
        </w:tc>
        <w:tc>
          <w:tcPr>
            <w:tcW w:w="651" w:type="dxa"/>
            <w:vAlign w:val="top"/>
          </w:tcPr>
          <w:p w14:paraId="28E0220F">
            <w:pPr>
              <w:pStyle w:val="6"/>
              <w:spacing w:before="100" w:line="208" w:lineRule="auto"/>
              <w:ind w:left="29"/>
              <w:rPr>
                <w:sz w:val="18"/>
                <w:szCs w:val="18"/>
              </w:rPr>
            </w:pPr>
            <w:r>
              <w:rPr>
                <w:spacing w:val="-1"/>
                <w:sz w:val="18"/>
                <w:szCs w:val="18"/>
              </w:rPr>
              <w:t>0.0003L</w:t>
            </w:r>
          </w:p>
        </w:tc>
        <w:tc>
          <w:tcPr>
            <w:tcW w:w="652" w:type="dxa"/>
            <w:vAlign w:val="top"/>
          </w:tcPr>
          <w:p w14:paraId="314BC6ED">
            <w:pPr>
              <w:pStyle w:val="6"/>
              <w:spacing w:before="100" w:line="208" w:lineRule="auto"/>
              <w:ind w:left="30"/>
              <w:rPr>
                <w:sz w:val="18"/>
                <w:szCs w:val="18"/>
              </w:rPr>
            </w:pPr>
            <w:r>
              <w:rPr>
                <w:spacing w:val="-1"/>
                <w:sz w:val="18"/>
                <w:szCs w:val="18"/>
              </w:rPr>
              <w:t>0.0004L</w:t>
            </w:r>
          </w:p>
        </w:tc>
        <w:tc>
          <w:tcPr>
            <w:tcW w:w="566" w:type="dxa"/>
            <w:vAlign w:val="top"/>
          </w:tcPr>
          <w:p w14:paraId="7321F5FA">
            <w:pPr>
              <w:pStyle w:val="6"/>
              <w:spacing w:before="100" w:line="208" w:lineRule="auto"/>
              <w:ind w:left="32"/>
              <w:rPr>
                <w:sz w:val="18"/>
                <w:szCs w:val="18"/>
              </w:rPr>
            </w:pPr>
            <w:r>
              <w:rPr>
                <w:spacing w:val="-2"/>
                <w:sz w:val="18"/>
                <w:szCs w:val="18"/>
              </w:rPr>
              <w:t>0.001L</w:t>
            </w:r>
          </w:p>
        </w:tc>
        <w:tc>
          <w:tcPr>
            <w:tcW w:w="582" w:type="dxa"/>
            <w:vAlign w:val="top"/>
          </w:tcPr>
          <w:p w14:paraId="161CCDF5">
            <w:pPr>
              <w:pStyle w:val="6"/>
              <w:spacing w:before="100" w:line="208" w:lineRule="auto"/>
              <w:ind w:left="41"/>
              <w:rPr>
                <w:sz w:val="18"/>
                <w:szCs w:val="18"/>
              </w:rPr>
            </w:pPr>
            <w:r>
              <w:rPr>
                <w:spacing w:val="-2"/>
                <w:sz w:val="18"/>
                <w:szCs w:val="18"/>
              </w:rPr>
              <w:t>0.004L</w:t>
            </w:r>
          </w:p>
        </w:tc>
        <w:tc>
          <w:tcPr>
            <w:tcW w:w="476" w:type="dxa"/>
            <w:vAlign w:val="top"/>
          </w:tcPr>
          <w:p w14:paraId="59FE14FA">
            <w:pPr>
              <w:pStyle w:val="6"/>
              <w:spacing w:before="100" w:line="208" w:lineRule="auto"/>
              <w:ind w:left="34"/>
              <w:rPr>
                <w:sz w:val="18"/>
                <w:szCs w:val="18"/>
              </w:rPr>
            </w:pPr>
            <w:r>
              <w:rPr>
                <w:spacing w:val="-2"/>
                <w:sz w:val="18"/>
                <w:szCs w:val="18"/>
              </w:rPr>
              <w:t>0.01L</w:t>
            </w:r>
          </w:p>
        </w:tc>
        <w:tc>
          <w:tcPr>
            <w:tcW w:w="567" w:type="dxa"/>
            <w:vAlign w:val="top"/>
          </w:tcPr>
          <w:p w14:paraId="202032D3">
            <w:pPr>
              <w:pStyle w:val="6"/>
              <w:spacing w:before="100" w:line="208" w:lineRule="auto"/>
              <w:ind w:left="36"/>
              <w:rPr>
                <w:sz w:val="18"/>
                <w:szCs w:val="18"/>
              </w:rPr>
            </w:pPr>
            <w:r>
              <w:rPr>
                <w:spacing w:val="-2"/>
                <w:sz w:val="18"/>
                <w:szCs w:val="18"/>
              </w:rPr>
              <w:t>0.009L</w:t>
            </w:r>
          </w:p>
        </w:tc>
        <w:tc>
          <w:tcPr>
            <w:tcW w:w="765" w:type="dxa"/>
            <w:vAlign w:val="top"/>
          </w:tcPr>
          <w:p w14:paraId="095C921F">
            <w:pPr>
              <w:pStyle w:val="6"/>
              <w:spacing w:before="100" w:line="208" w:lineRule="auto"/>
              <w:ind w:left="258"/>
              <w:rPr>
                <w:sz w:val="18"/>
                <w:szCs w:val="18"/>
              </w:rPr>
            </w:pPr>
            <w:r>
              <w:rPr>
                <w:spacing w:val="-2"/>
                <w:sz w:val="18"/>
                <w:szCs w:val="18"/>
              </w:rPr>
              <w:t>340</w:t>
            </w:r>
          </w:p>
        </w:tc>
        <w:tc>
          <w:tcPr>
            <w:tcW w:w="424" w:type="dxa"/>
            <w:vAlign w:val="top"/>
          </w:tcPr>
          <w:p w14:paraId="0230F41D">
            <w:pPr>
              <w:pStyle w:val="6"/>
              <w:spacing w:before="100" w:line="208" w:lineRule="auto"/>
              <w:ind w:left="90"/>
              <w:rPr>
                <w:sz w:val="18"/>
                <w:szCs w:val="18"/>
              </w:rPr>
            </w:pPr>
            <w:r>
              <w:rPr>
                <w:spacing w:val="-2"/>
                <w:sz w:val="18"/>
                <w:szCs w:val="18"/>
              </w:rPr>
              <w:t>322</w:t>
            </w:r>
          </w:p>
        </w:tc>
        <w:tc>
          <w:tcPr>
            <w:tcW w:w="427" w:type="dxa"/>
            <w:vAlign w:val="top"/>
          </w:tcPr>
          <w:p w14:paraId="08E8E410">
            <w:pPr>
              <w:pStyle w:val="6"/>
              <w:spacing w:before="100" w:line="208" w:lineRule="auto"/>
              <w:ind w:left="68"/>
              <w:rPr>
                <w:sz w:val="18"/>
                <w:szCs w:val="18"/>
              </w:rPr>
            </w:pPr>
            <w:r>
              <w:rPr>
                <w:spacing w:val="-2"/>
                <w:sz w:val="18"/>
                <w:szCs w:val="18"/>
              </w:rPr>
              <w:t>0.52</w:t>
            </w:r>
          </w:p>
        </w:tc>
        <w:tc>
          <w:tcPr>
            <w:tcW w:w="424" w:type="dxa"/>
            <w:vAlign w:val="top"/>
          </w:tcPr>
          <w:p w14:paraId="2B24F874">
            <w:pPr>
              <w:pStyle w:val="6"/>
              <w:spacing w:before="100" w:line="208" w:lineRule="auto"/>
              <w:ind w:left="82"/>
              <w:rPr>
                <w:sz w:val="18"/>
                <w:szCs w:val="18"/>
              </w:rPr>
            </w:pPr>
            <w:r>
              <w:rPr>
                <w:spacing w:val="-6"/>
                <w:sz w:val="18"/>
                <w:szCs w:val="18"/>
              </w:rPr>
              <w:t>1.25</w:t>
            </w:r>
          </w:p>
        </w:tc>
        <w:tc>
          <w:tcPr>
            <w:tcW w:w="423" w:type="dxa"/>
            <w:vAlign w:val="top"/>
          </w:tcPr>
          <w:p w14:paraId="15B88A0D">
            <w:pPr>
              <w:pStyle w:val="6"/>
              <w:spacing w:before="100" w:line="208" w:lineRule="auto"/>
              <w:ind w:left="81"/>
              <w:rPr>
                <w:sz w:val="18"/>
                <w:szCs w:val="18"/>
              </w:rPr>
            </w:pPr>
            <w:r>
              <w:rPr>
                <w:spacing w:val="-6"/>
                <w:sz w:val="18"/>
                <w:szCs w:val="18"/>
              </w:rPr>
              <w:t>11.8</w:t>
            </w:r>
          </w:p>
        </w:tc>
        <w:tc>
          <w:tcPr>
            <w:tcW w:w="472" w:type="dxa"/>
            <w:vAlign w:val="top"/>
          </w:tcPr>
          <w:p w14:paraId="1E0873CD">
            <w:pPr>
              <w:pStyle w:val="6"/>
              <w:spacing w:before="100" w:line="208" w:lineRule="auto"/>
              <w:ind w:left="94"/>
              <w:rPr>
                <w:sz w:val="18"/>
                <w:szCs w:val="18"/>
              </w:rPr>
            </w:pPr>
            <w:r>
              <w:rPr>
                <w:spacing w:val="-2"/>
                <w:sz w:val="18"/>
                <w:szCs w:val="18"/>
              </w:rPr>
              <w:t>61.1</w:t>
            </w:r>
          </w:p>
        </w:tc>
        <w:tc>
          <w:tcPr>
            <w:tcW w:w="377" w:type="dxa"/>
            <w:tcBorders>
              <w:right w:val="single" w:color="000000" w:sz="12" w:space="0"/>
            </w:tcBorders>
            <w:vAlign w:val="top"/>
          </w:tcPr>
          <w:p w14:paraId="23BC5FFA">
            <w:pPr>
              <w:pStyle w:val="6"/>
              <w:spacing w:before="100" w:line="208" w:lineRule="auto"/>
              <w:ind w:left="35"/>
              <w:rPr>
                <w:sz w:val="18"/>
                <w:szCs w:val="18"/>
              </w:rPr>
            </w:pPr>
            <w:r>
              <w:rPr>
                <w:spacing w:val="-2"/>
                <w:sz w:val="18"/>
                <w:szCs w:val="18"/>
              </w:rPr>
              <w:t>34.0</w:t>
            </w:r>
          </w:p>
        </w:tc>
      </w:tr>
      <w:tr w14:paraId="59789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72C85F6E">
            <w:pPr>
              <w:rPr>
                <w:rFonts w:ascii="Arial"/>
                <w:sz w:val="21"/>
              </w:rPr>
            </w:pPr>
          </w:p>
        </w:tc>
        <w:tc>
          <w:tcPr>
            <w:tcW w:w="268" w:type="dxa"/>
            <w:vMerge w:val="restart"/>
            <w:tcBorders>
              <w:bottom w:val="nil"/>
            </w:tcBorders>
            <w:vAlign w:val="top"/>
          </w:tcPr>
          <w:p w14:paraId="74F29ECB">
            <w:pPr>
              <w:pStyle w:val="6"/>
              <w:spacing w:before="161" w:line="226" w:lineRule="auto"/>
              <w:ind w:left="76"/>
              <w:rPr>
                <w:sz w:val="18"/>
                <w:szCs w:val="18"/>
              </w:rPr>
            </w:pPr>
            <w:r>
              <w:rPr>
                <w:sz w:val="18"/>
                <w:szCs w:val="18"/>
              </w:rPr>
              <w:t>3</w:t>
            </w:r>
          </w:p>
          <w:p w14:paraId="520B4F2A">
            <w:pPr>
              <w:spacing w:line="226" w:lineRule="auto"/>
              <w:ind w:left="31"/>
              <w:rPr>
                <w:rFonts w:ascii="等线" w:hAnsi="等线" w:eastAsia="等线" w:cs="等线"/>
                <w:sz w:val="18"/>
                <w:szCs w:val="18"/>
              </w:rPr>
            </w:pPr>
            <w:r>
              <w:rPr>
                <w:rFonts w:ascii="等线" w:hAnsi="等线" w:eastAsia="等线" w:cs="等线"/>
                <w:sz w:val="18"/>
                <w:szCs w:val="18"/>
              </w:rPr>
              <w:t>季</w:t>
            </w:r>
          </w:p>
          <w:p w14:paraId="7ADCAB1C">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0919E021">
            <w:pPr>
              <w:pStyle w:val="6"/>
              <w:spacing w:before="102" w:line="208" w:lineRule="auto"/>
              <w:ind w:left="138"/>
              <w:rPr>
                <w:sz w:val="18"/>
                <w:szCs w:val="18"/>
              </w:rPr>
            </w:pPr>
            <w:r>
              <w:rPr>
                <w:spacing w:val="-1"/>
                <w:sz w:val="18"/>
                <w:szCs w:val="18"/>
              </w:rPr>
              <w:t>2020/8/20</w:t>
            </w:r>
          </w:p>
        </w:tc>
        <w:tc>
          <w:tcPr>
            <w:tcW w:w="774" w:type="dxa"/>
            <w:vAlign w:val="top"/>
          </w:tcPr>
          <w:p w14:paraId="25F324FC">
            <w:pPr>
              <w:pStyle w:val="6"/>
              <w:spacing w:before="102" w:line="208" w:lineRule="auto"/>
              <w:ind w:left="220"/>
              <w:rPr>
                <w:sz w:val="18"/>
                <w:szCs w:val="18"/>
              </w:rPr>
            </w:pPr>
            <w:r>
              <w:rPr>
                <w:spacing w:val="-2"/>
                <w:sz w:val="18"/>
                <w:szCs w:val="18"/>
              </w:rPr>
              <w:t>6.81</w:t>
            </w:r>
          </w:p>
        </w:tc>
        <w:tc>
          <w:tcPr>
            <w:tcW w:w="741" w:type="dxa"/>
            <w:vAlign w:val="top"/>
          </w:tcPr>
          <w:p w14:paraId="2174CF11">
            <w:pPr>
              <w:pStyle w:val="6"/>
              <w:spacing w:before="102" w:line="208" w:lineRule="auto"/>
              <w:ind w:left="222"/>
              <w:rPr>
                <w:sz w:val="18"/>
                <w:szCs w:val="18"/>
              </w:rPr>
            </w:pPr>
            <w:r>
              <w:rPr>
                <w:spacing w:val="-1"/>
                <w:sz w:val="18"/>
                <w:szCs w:val="18"/>
              </w:rPr>
              <w:t>231</w:t>
            </w:r>
          </w:p>
        </w:tc>
        <w:tc>
          <w:tcPr>
            <w:tcW w:w="705" w:type="dxa"/>
            <w:vAlign w:val="top"/>
          </w:tcPr>
          <w:p w14:paraId="16DC0749">
            <w:pPr>
              <w:pStyle w:val="6"/>
              <w:spacing w:before="102" w:line="208" w:lineRule="auto"/>
              <w:ind w:left="205"/>
              <w:rPr>
                <w:sz w:val="18"/>
                <w:szCs w:val="18"/>
              </w:rPr>
            </w:pPr>
            <w:r>
              <w:rPr>
                <w:spacing w:val="-1"/>
                <w:sz w:val="18"/>
                <w:szCs w:val="18"/>
              </w:rPr>
              <w:t>294</w:t>
            </w:r>
          </w:p>
        </w:tc>
        <w:tc>
          <w:tcPr>
            <w:tcW w:w="570" w:type="dxa"/>
            <w:vAlign w:val="top"/>
          </w:tcPr>
          <w:p w14:paraId="7A6DF560">
            <w:pPr>
              <w:pStyle w:val="6"/>
              <w:spacing w:before="102" w:line="208" w:lineRule="auto"/>
              <w:ind w:left="199"/>
              <w:rPr>
                <w:sz w:val="18"/>
                <w:szCs w:val="18"/>
              </w:rPr>
            </w:pPr>
            <w:r>
              <w:rPr>
                <w:spacing w:val="-6"/>
                <w:sz w:val="18"/>
                <w:szCs w:val="18"/>
              </w:rPr>
              <w:t>12</w:t>
            </w:r>
          </w:p>
        </w:tc>
        <w:tc>
          <w:tcPr>
            <w:tcW w:w="423" w:type="dxa"/>
            <w:vAlign w:val="top"/>
          </w:tcPr>
          <w:p w14:paraId="678C7DCB">
            <w:pPr>
              <w:pStyle w:val="6"/>
              <w:spacing w:before="105" w:line="186" w:lineRule="auto"/>
              <w:ind w:left="72"/>
              <w:rPr>
                <w:sz w:val="18"/>
                <w:szCs w:val="18"/>
              </w:rPr>
            </w:pPr>
            <w:r>
              <w:rPr>
                <w:spacing w:val="-5"/>
                <w:sz w:val="18"/>
                <w:szCs w:val="18"/>
              </w:rPr>
              <w:t>10L</w:t>
            </w:r>
          </w:p>
        </w:tc>
        <w:tc>
          <w:tcPr>
            <w:tcW w:w="567" w:type="dxa"/>
            <w:vAlign w:val="top"/>
          </w:tcPr>
          <w:p w14:paraId="0AFE2340">
            <w:pPr>
              <w:pStyle w:val="6"/>
              <w:spacing w:before="102" w:line="208" w:lineRule="auto"/>
              <w:ind w:left="63"/>
              <w:rPr>
                <w:sz w:val="18"/>
                <w:szCs w:val="18"/>
              </w:rPr>
            </w:pPr>
            <w:r>
              <w:rPr>
                <w:spacing w:val="-2"/>
                <w:sz w:val="18"/>
                <w:szCs w:val="18"/>
              </w:rPr>
              <w:t>0.03L</w:t>
            </w:r>
          </w:p>
        </w:tc>
        <w:tc>
          <w:tcPr>
            <w:tcW w:w="545" w:type="dxa"/>
            <w:vAlign w:val="top"/>
          </w:tcPr>
          <w:p w14:paraId="1E2EDDBF">
            <w:pPr>
              <w:pStyle w:val="6"/>
              <w:spacing w:before="102" w:line="208" w:lineRule="auto"/>
              <w:ind w:left="53"/>
              <w:rPr>
                <w:sz w:val="18"/>
                <w:szCs w:val="18"/>
              </w:rPr>
            </w:pPr>
            <w:r>
              <w:rPr>
                <w:spacing w:val="-2"/>
                <w:sz w:val="18"/>
                <w:szCs w:val="18"/>
              </w:rPr>
              <w:t>0.02L</w:t>
            </w:r>
          </w:p>
        </w:tc>
        <w:tc>
          <w:tcPr>
            <w:tcW w:w="472" w:type="dxa"/>
            <w:vAlign w:val="top"/>
          </w:tcPr>
          <w:p w14:paraId="66D8B091">
            <w:pPr>
              <w:pStyle w:val="6"/>
              <w:spacing w:before="102" w:line="208" w:lineRule="auto"/>
              <w:ind w:left="18"/>
              <w:rPr>
                <w:sz w:val="18"/>
                <w:szCs w:val="18"/>
              </w:rPr>
            </w:pPr>
            <w:r>
              <w:rPr>
                <w:spacing w:val="-2"/>
                <w:sz w:val="18"/>
                <w:szCs w:val="18"/>
              </w:rPr>
              <w:t>0.01L</w:t>
            </w:r>
          </w:p>
        </w:tc>
        <w:tc>
          <w:tcPr>
            <w:tcW w:w="562" w:type="dxa"/>
            <w:vAlign w:val="top"/>
          </w:tcPr>
          <w:p w14:paraId="73AD3798">
            <w:pPr>
              <w:pStyle w:val="6"/>
              <w:spacing w:before="102" w:line="208" w:lineRule="auto"/>
              <w:ind w:left="19"/>
              <w:rPr>
                <w:sz w:val="18"/>
                <w:szCs w:val="18"/>
              </w:rPr>
            </w:pPr>
            <w:r>
              <w:rPr>
                <w:spacing w:val="-2"/>
                <w:sz w:val="18"/>
                <w:szCs w:val="18"/>
              </w:rPr>
              <w:t>0.006L</w:t>
            </w:r>
          </w:p>
        </w:tc>
        <w:tc>
          <w:tcPr>
            <w:tcW w:w="651" w:type="dxa"/>
            <w:vAlign w:val="top"/>
          </w:tcPr>
          <w:p w14:paraId="097923BA">
            <w:pPr>
              <w:pStyle w:val="6"/>
              <w:spacing w:before="102" w:line="208" w:lineRule="auto"/>
              <w:ind w:left="18"/>
              <w:rPr>
                <w:sz w:val="18"/>
                <w:szCs w:val="18"/>
              </w:rPr>
            </w:pPr>
            <w:r>
              <w:rPr>
                <w:spacing w:val="-1"/>
                <w:sz w:val="18"/>
                <w:szCs w:val="18"/>
              </w:rPr>
              <w:t>0.0003L</w:t>
            </w:r>
          </w:p>
        </w:tc>
        <w:tc>
          <w:tcPr>
            <w:tcW w:w="884" w:type="dxa"/>
            <w:vAlign w:val="top"/>
          </w:tcPr>
          <w:p w14:paraId="6CB49E1E">
            <w:pPr>
              <w:pStyle w:val="6"/>
              <w:spacing w:before="102" w:line="208" w:lineRule="auto"/>
              <w:ind w:left="226"/>
              <w:rPr>
                <w:sz w:val="18"/>
                <w:szCs w:val="18"/>
              </w:rPr>
            </w:pPr>
            <w:r>
              <w:rPr>
                <w:spacing w:val="-2"/>
                <w:sz w:val="18"/>
                <w:szCs w:val="18"/>
              </w:rPr>
              <w:t>0.05L</w:t>
            </w:r>
          </w:p>
        </w:tc>
        <w:tc>
          <w:tcPr>
            <w:tcW w:w="709" w:type="dxa"/>
            <w:vAlign w:val="top"/>
          </w:tcPr>
          <w:p w14:paraId="5C79870E">
            <w:pPr>
              <w:pStyle w:val="6"/>
              <w:spacing w:before="102" w:line="208" w:lineRule="auto"/>
              <w:ind w:left="194"/>
              <w:rPr>
                <w:sz w:val="18"/>
                <w:szCs w:val="18"/>
              </w:rPr>
            </w:pPr>
            <w:r>
              <w:rPr>
                <w:spacing w:val="-2"/>
                <w:sz w:val="18"/>
                <w:szCs w:val="18"/>
              </w:rPr>
              <w:t>0.01</w:t>
            </w:r>
          </w:p>
        </w:tc>
        <w:tc>
          <w:tcPr>
            <w:tcW w:w="703" w:type="dxa"/>
            <w:vAlign w:val="top"/>
          </w:tcPr>
          <w:p w14:paraId="326DABD1">
            <w:pPr>
              <w:pStyle w:val="6"/>
              <w:spacing w:before="102" w:line="208" w:lineRule="auto"/>
              <w:ind w:left="207"/>
              <w:rPr>
                <w:sz w:val="18"/>
                <w:szCs w:val="18"/>
              </w:rPr>
            </w:pPr>
            <w:r>
              <w:rPr>
                <w:spacing w:val="-6"/>
                <w:sz w:val="18"/>
                <w:szCs w:val="18"/>
              </w:rPr>
              <w:t>1.19</w:t>
            </w:r>
          </w:p>
        </w:tc>
        <w:tc>
          <w:tcPr>
            <w:tcW w:w="708" w:type="dxa"/>
            <w:vAlign w:val="top"/>
          </w:tcPr>
          <w:p w14:paraId="59E01D1B">
            <w:pPr>
              <w:pStyle w:val="6"/>
              <w:spacing w:before="102" w:line="208" w:lineRule="auto"/>
              <w:ind w:left="151"/>
              <w:rPr>
                <w:sz w:val="18"/>
                <w:szCs w:val="18"/>
              </w:rPr>
            </w:pPr>
            <w:r>
              <w:rPr>
                <w:spacing w:val="-2"/>
                <w:sz w:val="18"/>
                <w:szCs w:val="18"/>
              </w:rPr>
              <w:t>0.003</w:t>
            </w:r>
          </w:p>
        </w:tc>
        <w:tc>
          <w:tcPr>
            <w:tcW w:w="764" w:type="dxa"/>
            <w:vAlign w:val="top"/>
          </w:tcPr>
          <w:p w14:paraId="5EFADC81">
            <w:pPr>
              <w:pStyle w:val="6"/>
              <w:spacing w:before="102" w:line="208" w:lineRule="auto"/>
              <w:ind w:left="181"/>
              <w:rPr>
                <w:sz w:val="18"/>
                <w:szCs w:val="18"/>
              </w:rPr>
            </w:pPr>
            <w:r>
              <w:rPr>
                <w:spacing w:val="-2"/>
                <w:sz w:val="18"/>
                <w:szCs w:val="18"/>
              </w:rPr>
              <w:t>0.036</w:t>
            </w:r>
          </w:p>
        </w:tc>
        <w:tc>
          <w:tcPr>
            <w:tcW w:w="586" w:type="dxa"/>
            <w:vAlign w:val="top"/>
          </w:tcPr>
          <w:p w14:paraId="48284665">
            <w:pPr>
              <w:pStyle w:val="6"/>
              <w:spacing w:before="102" w:line="208" w:lineRule="auto"/>
              <w:ind w:left="139"/>
              <w:rPr>
                <w:sz w:val="18"/>
                <w:szCs w:val="18"/>
              </w:rPr>
            </w:pPr>
            <w:r>
              <w:rPr>
                <w:spacing w:val="-2"/>
                <w:sz w:val="18"/>
                <w:szCs w:val="18"/>
              </w:rPr>
              <w:t>0.39</w:t>
            </w:r>
          </w:p>
        </w:tc>
        <w:tc>
          <w:tcPr>
            <w:tcW w:w="582" w:type="dxa"/>
            <w:vAlign w:val="top"/>
          </w:tcPr>
          <w:p w14:paraId="177E56E4">
            <w:pPr>
              <w:pStyle w:val="6"/>
              <w:spacing w:before="102" w:line="208" w:lineRule="auto"/>
              <w:ind w:left="38"/>
              <w:rPr>
                <w:sz w:val="18"/>
                <w:szCs w:val="18"/>
              </w:rPr>
            </w:pPr>
            <w:r>
              <w:rPr>
                <w:spacing w:val="-2"/>
                <w:sz w:val="18"/>
                <w:szCs w:val="18"/>
              </w:rPr>
              <w:t>0.004L</w:t>
            </w:r>
          </w:p>
        </w:tc>
        <w:tc>
          <w:tcPr>
            <w:tcW w:w="745" w:type="dxa"/>
            <w:vAlign w:val="top"/>
          </w:tcPr>
          <w:p w14:paraId="035543BD">
            <w:pPr>
              <w:pStyle w:val="6"/>
              <w:spacing w:before="102" w:line="208" w:lineRule="auto"/>
              <w:ind w:left="31"/>
              <w:rPr>
                <w:sz w:val="18"/>
                <w:szCs w:val="18"/>
              </w:rPr>
            </w:pPr>
            <w:r>
              <w:rPr>
                <w:spacing w:val="-1"/>
                <w:sz w:val="18"/>
                <w:szCs w:val="18"/>
              </w:rPr>
              <w:t>0.00004L</w:t>
            </w:r>
          </w:p>
        </w:tc>
        <w:tc>
          <w:tcPr>
            <w:tcW w:w="651" w:type="dxa"/>
            <w:vAlign w:val="top"/>
          </w:tcPr>
          <w:p w14:paraId="272EC90B">
            <w:pPr>
              <w:pStyle w:val="6"/>
              <w:spacing w:before="102" w:line="208" w:lineRule="auto"/>
              <w:ind w:left="84"/>
              <w:rPr>
                <w:sz w:val="18"/>
                <w:szCs w:val="18"/>
              </w:rPr>
            </w:pPr>
            <w:r>
              <w:rPr>
                <w:spacing w:val="-2"/>
                <w:sz w:val="18"/>
                <w:szCs w:val="18"/>
              </w:rPr>
              <w:t>0.0004</w:t>
            </w:r>
          </w:p>
        </w:tc>
        <w:tc>
          <w:tcPr>
            <w:tcW w:w="652" w:type="dxa"/>
            <w:vAlign w:val="top"/>
          </w:tcPr>
          <w:p w14:paraId="11444324">
            <w:pPr>
              <w:pStyle w:val="6"/>
              <w:spacing w:before="102" w:line="208" w:lineRule="auto"/>
              <w:ind w:left="30"/>
              <w:rPr>
                <w:sz w:val="18"/>
                <w:szCs w:val="18"/>
              </w:rPr>
            </w:pPr>
            <w:r>
              <w:rPr>
                <w:spacing w:val="-1"/>
                <w:sz w:val="18"/>
                <w:szCs w:val="18"/>
              </w:rPr>
              <w:t>0.0004L</w:t>
            </w:r>
          </w:p>
        </w:tc>
        <w:tc>
          <w:tcPr>
            <w:tcW w:w="566" w:type="dxa"/>
            <w:vAlign w:val="top"/>
          </w:tcPr>
          <w:p w14:paraId="3CEE0B4A">
            <w:pPr>
              <w:pStyle w:val="6"/>
              <w:spacing w:before="102" w:line="208" w:lineRule="auto"/>
              <w:ind w:left="32"/>
              <w:rPr>
                <w:sz w:val="18"/>
                <w:szCs w:val="18"/>
              </w:rPr>
            </w:pPr>
            <w:r>
              <w:rPr>
                <w:spacing w:val="-2"/>
                <w:sz w:val="18"/>
                <w:szCs w:val="18"/>
              </w:rPr>
              <w:t>0.001L</w:t>
            </w:r>
          </w:p>
        </w:tc>
        <w:tc>
          <w:tcPr>
            <w:tcW w:w="582" w:type="dxa"/>
            <w:vAlign w:val="top"/>
          </w:tcPr>
          <w:p w14:paraId="064173BD">
            <w:pPr>
              <w:pStyle w:val="6"/>
              <w:spacing w:before="102" w:line="208" w:lineRule="auto"/>
              <w:ind w:left="41"/>
              <w:rPr>
                <w:sz w:val="18"/>
                <w:szCs w:val="18"/>
              </w:rPr>
            </w:pPr>
            <w:r>
              <w:rPr>
                <w:spacing w:val="-2"/>
                <w:sz w:val="18"/>
                <w:szCs w:val="18"/>
              </w:rPr>
              <w:t>0.004L</w:t>
            </w:r>
          </w:p>
        </w:tc>
        <w:tc>
          <w:tcPr>
            <w:tcW w:w="476" w:type="dxa"/>
            <w:vAlign w:val="top"/>
          </w:tcPr>
          <w:p w14:paraId="037013E5">
            <w:pPr>
              <w:pStyle w:val="6"/>
              <w:spacing w:before="102" w:line="208" w:lineRule="auto"/>
              <w:ind w:left="34"/>
              <w:rPr>
                <w:sz w:val="18"/>
                <w:szCs w:val="18"/>
              </w:rPr>
            </w:pPr>
            <w:r>
              <w:rPr>
                <w:spacing w:val="-2"/>
                <w:sz w:val="18"/>
                <w:szCs w:val="18"/>
              </w:rPr>
              <w:t>0.01L</w:t>
            </w:r>
          </w:p>
        </w:tc>
        <w:tc>
          <w:tcPr>
            <w:tcW w:w="567" w:type="dxa"/>
            <w:vAlign w:val="top"/>
          </w:tcPr>
          <w:p w14:paraId="65F572E6">
            <w:pPr>
              <w:pStyle w:val="6"/>
              <w:spacing w:before="102" w:line="208" w:lineRule="auto"/>
              <w:ind w:left="91"/>
              <w:rPr>
                <w:sz w:val="18"/>
                <w:szCs w:val="18"/>
              </w:rPr>
            </w:pPr>
            <w:r>
              <w:rPr>
                <w:spacing w:val="-2"/>
                <w:sz w:val="18"/>
                <w:szCs w:val="18"/>
              </w:rPr>
              <w:t>0.011</w:t>
            </w:r>
          </w:p>
        </w:tc>
        <w:tc>
          <w:tcPr>
            <w:tcW w:w="765" w:type="dxa"/>
            <w:vAlign w:val="top"/>
          </w:tcPr>
          <w:p w14:paraId="0B35BC29">
            <w:pPr>
              <w:pStyle w:val="6"/>
              <w:spacing w:before="102" w:line="208" w:lineRule="auto"/>
              <w:ind w:left="318"/>
              <w:rPr>
                <w:sz w:val="18"/>
                <w:szCs w:val="18"/>
              </w:rPr>
            </w:pPr>
            <w:r>
              <w:rPr>
                <w:spacing w:val="-6"/>
                <w:sz w:val="18"/>
                <w:szCs w:val="18"/>
              </w:rPr>
              <w:t>17</w:t>
            </w:r>
          </w:p>
        </w:tc>
        <w:tc>
          <w:tcPr>
            <w:tcW w:w="424" w:type="dxa"/>
            <w:vAlign w:val="top"/>
          </w:tcPr>
          <w:p w14:paraId="02F62B14">
            <w:pPr>
              <w:pStyle w:val="6"/>
              <w:spacing w:before="102" w:line="208" w:lineRule="auto"/>
              <w:ind w:left="90"/>
              <w:rPr>
                <w:sz w:val="18"/>
                <w:szCs w:val="18"/>
              </w:rPr>
            </w:pPr>
            <w:r>
              <w:rPr>
                <w:spacing w:val="-2"/>
                <w:sz w:val="18"/>
                <w:szCs w:val="18"/>
              </w:rPr>
              <w:t>333</w:t>
            </w:r>
          </w:p>
        </w:tc>
        <w:tc>
          <w:tcPr>
            <w:tcW w:w="427" w:type="dxa"/>
            <w:vAlign w:val="top"/>
          </w:tcPr>
          <w:p w14:paraId="38F607B0">
            <w:pPr>
              <w:pStyle w:val="6"/>
              <w:spacing w:before="102" w:line="208" w:lineRule="auto"/>
              <w:ind w:left="68"/>
              <w:rPr>
                <w:sz w:val="18"/>
                <w:szCs w:val="18"/>
              </w:rPr>
            </w:pPr>
            <w:r>
              <w:rPr>
                <w:spacing w:val="-2"/>
                <w:sz w:val="18"/>
                <w:szCs w:val="18"/>
              </w:rPr>
              <w:t>0.64</w:t>
            </w:r>
          </w:p>
        </w:tc>
        <w:tc>
          <w:tcPr>
            <w:tcW w:w="424" w:type="dxa"/>
            <w:vAlign w:val="top"/>
          </w:tcPr>
          <w:p w14:paraId="5EA27F05">
            <w:pPr>
              <w:pStyle w:val="6"/>
              <w:spacing w:before="102" w:line="208" w:lineRule="auto"/>
              <w:ind w:left="64"/>
              <w:rPr>
                <w:sz w:val="18"/>
                <w:szCs w:val="18"/>
              </w:rPr>
            </w:pPr>
            <w:r>
              <w:rPr>
                <w:spacing w:val="-1"/>
                <w:sz w:val="18"/>
                <w:szCs w:val="18"/>
              </w:rPr>
              <w:t>2.17</w:t>
            </w:r>
          </w:p>
        </w:tc>
        <w:tc>
          <w:tcPr>
            <w:tcW w:w="423" w:type="dxa"/>
            <w:vAlign w:val="top"/>
          </w:tcPr>
          <w:p w14:paraId="710C84BD">
            <w:pPr>
              <w:pStyle w:val="6"/>
              <w:spacing w:before="102" w:line="208" w:lineRule="auto"/>
              <w:ind w:left="81"/>
              <w:rPr>
                <w:sz w:val="18"/>
                <w:szCs w:val="18"/>
              </w:rPr>
            </w:pPr>
            <w:r>
              <w:rPr>
                <w:spacing w:val="-6"/>
                <w:sz w:val="18"/>
                <w:szCs w:val="18"/>
              </w:rPr>
              <w:t>1.18</w:t>
            </w:r>
          </w:p>
        </w:tc>
        <w:tc>
          <w:tcPr>
            <w:tcW w:w="472" w:type="dxa"/>
            <w:vAlign w:val="top"/>
          </w:tcPr>
          <w:p w14:paraId="36817AAE">
            <w:pPr>
              <w:pStyle w:val="6"/>
              <w:spacing w:before="102" w:line="208" w:lineRule="auto"/>
              <w:ind w:left="95"/>
              <w:rPr>
                <w:sz w:val="18"/>
                <w:szCs w:val="18"/>
              </w:rPr>
            </w:pPr>
            <w:r>
              <w:rPr>
                <w:spacing w:val="-3"/>
                <w:sz w:val="18"/>
                <w:szCs w:val="18"/>
              </w:rPr>
              <w:t>57.6</w:t>
            </w:r>
          </w:p>
        </w:tc>
        <w:tc>
          <w:tcPr>
            <w:tcW w:w="377" w:type="dxa"/>
            <w:tcBorders>
              <w:right w:val="single" w:color="000000" w:sz="12" w:space="0"/>
            </w:tcBorders>
            <w:vAlign w:val="top"/>
          </w:tcPr>
          <w:p w14:paraId="1763094B">
            <w:pPr>
              <w:pStyle w:val="6"/>
              <w:spacing w:before="102" w:line="208" w:lineRule="auto"/>
              <w:ind w:left="32"/>
              <w:rPr>
                <w:sz w:val="18"/>
                <w:szCs w:val="18"/>
              </w:rPr>
            </w:pPr>
            <w:r>
              <w:rPr>
                <w:spacing w:val="-1"/>
                <w:sz w:val="18"/>
                <w:szCs w:val="18"/>
              </w:rPr>
              <w:t>28.0</w:t>
            </w:r>
          </w:p>
        </w:tc>
      </w:tr>
      <w:tr w14:paraId="2C314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66A2AEF0">
            <w:pPr>
              <w:rPr>
                <w:rFonts w:ascii="Arial"/>
                <w:sz w:val="21"/>
              </w:rPr>
            </w:pPr>
          </w:p>
        </w:tc>
        <w:tc>
          <w:tcPr>
            <w:tcW w:w="268" w:type="dxa"/>
            <w:vMerge w:val="continue"/>
            <w:tcBorders>
              <w:top w:val="nil"/>
              <w:bottom w:val="nil"/>
            </w:tcBorders>
            <w:vAlign w:val="top"/>
          </w:tcPr>
          <w:p w14:paraId="24962A63">
            <w:pPr>
              <w:rPr>
                <w:rFonts w:ascii="Arial"/>
                <w:sz w:val="21"/>
              </w:rPr>
            </w:pPr>
          </w:p>
        </w:tc>
        <w:tc>
          <w:tcPr>
            <w:tcW w:w="1038" w:type="dxa"/>
            <w:vAlign w:val="top"/>
          </w:tcPr>
          <w:p w14:paraId="62A4B0A0">
            <w:pPr>
              <w:pStyle w:val="6"/>
              <w:spacing w:before="103" w:line="207" w:lineRule="auto"/>
              <w:ind w:left="138"/>
              <w:rPr>
                <w:sz w:val="18"/>
                <w:szCs w:val="18"/>
              </w:rPr>
            </w:pPr>
            <w:r>
              <w:rPr>
                <w:spacing w:val="-1"/>
                <w:sz w:val="18"/>
                <w:szCs w:val="18"/>
              </w:rPr>
              <w:t>2020/8/21</w:t>
            </w:r>
          </w:p>
        </w:tc>
        <w:tc>
          <w:tcPr>
            <w:tcW w:w="774" w:type="dxa"/>
            <w:vAlign w:val="top"/>
          </w:tcPr>
          <w:p w14:paraId="4577DA9E">
            <w:pPr>
              <w:pStyle w:val="6"/>
              <w:spacing w:before="103" w:line="207" w:lineRule="auto"/>
              <w:ind w:left="220"/>
              <w:rPr>
                <w:sz w:val="18"/>
                <w:szCs w:val="18"/>
              </w:rPr>
            </w:pPr>
            <w:r>
              <w:rPr>
                <w:spacing w:val="-2"/>
                <w:sz w:val="18"/>
                <w:szCs w:val="18"/>
              </w:rPr>
              <w:t>6.75</w:t>
            </w:r>
          </w:p>
        </w:tc>
        <w:tc>
          <w:tcPr>
            <w:tcW w:w="741" w:type="dxa"/>
            <w:vAlign w:val="top"/>
          </w:tcPr>
          <w:p w14:paraId="7D9857E8">
            <w:pPr>
              <w:pStyle w:val="6"/>
              <w:spacing w:before="103" w:line="207" w:lineRule="auto"/>
              <w:ind w:left="222"/>
              <w:rPr>
                <w:sz w:val="18"/>
                <w:szCs w:val="18"/>
              </w:rPr>
            </w:pPr>
            <w:r>
              <w:rPr>
                <w:spacing w:val="-1"/>
                <w:sz w:val="18"/>
                <w:szCs w:val="18"/>
              </w:rPr>
              <w:t>234</w:t>
            </w:r>
          </w:p>
        </w:tc>
        <w:tc>
          <w:tcPr>
            <w:tcW w:w="705" w:type="dxa"/>
            <w:vAlign w:val="top"/>
          </w:tcPr>
          <w:p w14:paraId="0F0ADF2D">
            <w:pPr>
              <w:pStyle w:val="6"/>
              <w:spacing w:before="103" w:line="207" w:lineRule="auto"/>
              <w:ind w:left="209"/>
              <w:rPr>
                <w:sz w:val="18"/>
                <w:szCs w:val="18"/>
              </w:rPr>
            </w:pPr>
            <w:r>
              <w:rPr>
                <w:spacing w:val="-2"/>
                <w:sz w:val="18"/>
                <w:szCs w:val="18"/>
              </w:rPr>
              <w:t>301</w:t>
            </w:r>
          </w:p>
        </w:tc>
        <w:tc>
          <w:tcPr>
            <w:tcW w:w="570" w:type="dxa"/>
            <w:vAlign w:val="top"/>
          </w:tcPr>
          <w:p w14:paraId="22B3E26B">
            <w:pPr>
              <w:pStyle w:val="6"/>
              <w:spacing w:before="103" w:line="207" w:lineRule="auto"/>
              <w:ind w:left="199"/>
              <w:rPr>
                <w:sz w:val="18"/>
                <w:szCs w:val="18"/>
              </w:rPr>
            </w:pPr>
            <w:r>
              <w:rPr>
                <w:spacing w:val="-6"/>
                <w:sz w:val="18"/>
                <w:szCs w:val="18"/>
              </w:rPr>
              <w:t>15</w:t>
            </w:r>
          </w:p>
        </w:tc>
        <w:tc>
          <w:tcPr>
            <w:tcW w:w="423" w:type="dxa"/>
            <w:vAlign w:val="top"/>
          </w:tcPr>
          <w:p w14:paraId="09C3E86E">
            <w:pPr>
              <w:pStyle w:val="6"/>
              <w:spacing w:before="106" w:line="186" w:lineRule="auto"/>
              <w:ind w:left="72"/>
              <w:rPr>
                <w:sz w:val="18"/>
                <w:szCs w:val="18"/>
              </w:rPr>
            </w:pPr>
            <w:r>
              <w:rPr>
                <w:spacing w:val="-5"/>
                <w:sz w:val="18"/>
                <w:szCs w:val="18"/>
              </w:rPr>
              <w:t>10L</w:t>
            </w:r>
          </w:p>
        </w:tc>
        <w:tc>
          <w:tcPr>
            <w:tcW w:w="567" w:type="dxa"/>
            <w:vAlign w:val="top"/>
          </w:tcPr>
          <w:p w14:paraId="7B2CCE0B">
            <w:pPr>
              <w:pStyle w:val="6"/>
              <w:spacing w:before="103" w:line="207" w:lineRule="auto"/>
              <w:ind w:left="63"/>
              <w:rPr>
                <w:sz w:val="18"/>
                <w:szCs w:val="18"/>
              </w:rPr>
            </w:pPr>
            <w:r>
              <w:rPr>
                <w:spacing w:val="-2"/>
                <w:sz w:val="18"/>
                <w:szCs w:val="18"/>
              </w:rPr>
              <w:t>0.03L</w:t>
            </w:r>
          </w:p>
        </w:tc>
        <w:tc>
          <w:tcPr>
            <w:tcW w:w="545" w:type="dxa"/>
            <w:vAlign w:val="top"/>
          </w:tcPr>
          <w:p w14:paraId="171D212E">
            <w:pPr>
              <w:pStyle w:val="6"/>
              <w:spacing w:before="103" w:line="207" w:lineRule="auto"/>
              <w:ind w:left="53"/>
              <w:rPr>
                <w:sz w:val="18"/>
                <w:szCs w:val="18"/>
              </w:rPr>
            </w:pPr>
            <w:r>
              <w:rPr>
                <w:spacing w:val="-2"/>
                <w:sz w:val="18"/>
                <w:szCs w:val="18"/>
              </w:rPr>
              <w:t>0.02L</w:t>
            </w:r>
          </w:p>
        </w:tc>
        <w:tc>
          <w:tcPr>
            <w:tcW w:w="472" w:type="dxa"/>
            <w:vAlign w:val="top"/>
          </w:tcPr>
          <w:p w14:paraId="13A8C7DE">
            <w:pPr>
              <w:pStyle w:val="6"/>
              <w:spacing w:before="103" w:line="207" w:lineRule="auto"/>
              <w:ind w:left="18"/>
              <w:rPr>
                <w:sz w:val="18"/>
                <w:szCs w:val="18"/>
              </w:rPr>
            </w:pPr>
            <w:r>
              <w:rPr>
                <w:spacing w:val="-2"/>
                <w:sz w:val="18"/>
                <w:szCs w:val="18"/>
              </w:rPr>
              <w:t>0.01L</w:t>
            </w:r>
          </w:p>
        </w:tc>
        <w:tc>
          <w:tcPr>
            <w:tcW w:w="562" w:type="dxa"/>
            <w:vAlign w:val="top"/>
          </w:tcPr>
          <w:p w14:paraId="5CDEB2F4">
            <w:pPr>
              <w:pStyle w:val="6"/>
              <w:spacing w:before="103" w:line="207" w:lineRule="auto"/>
              <w:ind w:left="19"/>
              <w:rPr>
                <w:sz w:val="18"/>
                <w:szCs w:val="18"/>
              </w:rPr>
            </w:pPr>
            <w:r>
              <w:rPr>
                <w:spacing w:val="-2"/>
                <w:sz w:val="18"/>
                <w:szCs w:val="18"/>
              </w:rPr>
              <w:t>0.006L</w:t>
            </w:r>
          </w:p>
        </w:tc>
        <w:tc>
          <w:tcPr>
            <w:tcW w:w="651" w:type="dxa"/>
            <w:vAlign w:val="top"/>
          </w:tcPr>
          <w:p w14:paraId="7D79E516">
            <w:pPr>
              <w:pStyle w:val="6"/>
              <w:spacing w:before="103" w:line="207" w:lineRule="auto"/>
              <w:ind w:left="18"/>
              <w:rPr>
                <w:sz w:val="18"/>
                <w:szCs w:val="18"/>
              </w:rPr>
            </w:pPr>
            <w:r>
              <w:rPr>
                <w:spacing w:val="-1"/>
                <w:sz w:val="18"/>
                <w:szCs w:val="18"/>
              </w:rPr>
              <w:t>0.0003L</w:t>
            </w:r>
          </w:p>
        </w:tc>
        <w:tc>
          <w:tcPr>
            <w:tcW w:w="884" w:type="dxa"/>
            <w:vAlign w:val="top"/>
          </w:tcPr>
          <w:p w14:paraId="55C0EDFA">
            <w:pPr>
              <w:pStyle w:val="6"/>
              <w:spacing w:before="103" w:line="207" w:lineRule="auto"/>
              <w:ind w:left="226"/>
              <w:rPr>
                <w:sz w:val="18"/>
                <w:szCs w:val="18"/>
              </w:rPr>
            </w:pPr>
            <w:r>
              <w:rPr>
                <w:spacing w:val="-2"/>
                <w:sz w:val="18"/>
                <w:szCs w:val="18"/>
              </w:rPr>
              <w:t>0.05L</w:t>
            </w:r>
          </w:p>
        </w:tc>
        <w:tc>
          <w:tcPr>
            <w:tcW w:w="709" w:type="dxa"/>
            <w:vAlign w:val="top"/>
          </w:tcPr>
          <w:p w14:paraId="5212B9A4">
            <w:pPr>
              <w:pStyle w:val="6"/>
              <w:spacing w:before="103" w:line="207" w:lineRule="auto"/>
              <w:ind w:left="194"/>
              <w:rPr>
                <w:sz w:val="18"/>
                <w:szCs w:val="18"/>
              </w:rPr>
            </w:pPr>
            <w:r>
              <w:rPr>
                <w:spacing w:val="-2"/>
                <w:sz w:val="18"/>
                <w:szCs w:val="18"/>
              </w:rPr>
              <w:t>0.02</w:t>
            </w:r>
          </w:p>
        </w:tc>
        <w:tc>
          <w:tcPr>
            <w:tcW w:w="703" w:type="dxa"/>
            <w:vAlign w:val="top"/>
          </w:tcPr>
          <w:p w14:paraId="58C4217D">
            <w:pPr>
              <w:pStyle w:val="6"/>
              <w:spacing w:before="103" w:line="207" w:lineRule="auto"/>
              <w:ind w:left="207"/>
              <w:rPr>
                <w:sz w:val="18"/>
                <w:szCs w:val="18"/>
              </w:rPr>
            </w:pPr>
            <w:r>
              <w:rPr>
                <w:spacing w:val="-6"/>
                <w:sz w:val="18"/>
                <w:szCs w:val="18"/>
              </w:rPr>
              <w:t>1.11</w:t>
            </w:r>
          </w:p>
        </w:tc>
        <w:tc>
          <w:tcPr>
            <w:tcW w:w="708" w:type="dxa"/>
            <w:vAlign w:val="top"/>
          </w:tcPr>
          <w:p w14:paraId="66429E91">
            <w:pPr>
              <w:pStyle w:val="6"/>
              <w:spacing w:before="103" w:line="207" w:lineRule="auto"/>
              <w:ind w:left="151"/>
              <w:rPr>
                <w:sz w:val="18"/>
                <w:szCs w:val="18"/>
              </w:rPr>
            </w:pPr>
            <w:r>
              <w:rPr>
                <w:spacing w:val="-2"/>
                <w:sz w:val="18"/>
                <w:szCs w:val="18"/>
              </w:rPr>
              <w:t>0.003</w:t>
            </w:r>
          </w:p>
        </w:tc>
        <w:tc>
          <w:tcPr>
            <w:tcW w:w="764" w:type="dxa"/>
            <w:vAlign w:val="top"/>
          </w:tcPr>
          <w:p w14:paraId="159CC991">
            <w:pPr>
              <w:pStyle w:val="6"/>
              <w:spacing w:before="103" w:line="207" w:lineRule="auto"/>
              <w:ind w:left="181"/>
              <w:rPr>
                <w:sz w:val="18"/>
                <w:szCs w:val="18"/>
              </w:rPr>
            </w:pPr>
            <w:r>
              <w:rPr>
                <w:spacing w:val="-2"/>
                <w:sz w:val="18"/>
                <w:szCs w:val="18"/>
              </w:rPr>
              <w:t>0.025</w:t>
            </w:r>
          </w:p>
        </w:tc>
        <w:tc>
          <w:tcPr>
            <w:tcW w:w="586" w:type="dxa"/>
            <w:vAlign w:val="top"/>
          </w:tcPr>
          <w:p w14:paraId="136EA20F">
            <w:pPr>
              <w:pStyle w:val="6"/>
              <w:spacing w:before="103" w:line="207" w:lineRule="auto"/>
              <w:ind w:left="139"/>
              <w:rPr>
                <w:sz w:val="18"/>
                <w:szCs w:val="18"/>
              </w:rPr>
            </w:pPr>
            <w:r>
              <w:rPr>
                <w:spacing w:val="-2"/>
                <w:sz w:val="18"/>
                <w:szCs w:val="18"/>
              </w:rPr>
              <w:t>0.42</w:t>
            </w:r>
          </w:p>
        </w:tc>
        <w:tc>
          <w:tcPr>
            <w:tcW w:w="582" w:type="dxa"/>
            <w:vAlign w:val="top"/>
          </w:tcPr>
          <w:p w14:paraId="59F8E606">
            <w:pPr>
              <w:pStyle w:val="6"/>
              <w:spacing w:before="103" w:line="207" w:lineRule="auto"/>
              <w:ind w:left="38"/>
              <w:rPr>
                <w:sz w:val="18"/>
                <w:szCs w:val="18"/>
              </w:rPr>
            </w:pPr>
            <w:r>
              <w:rPr>
                <w:spacing w:val="-2"/>
                <w:sz w:val="18"/>
                <w:szCs w:val="18"/>
              </w:rPr>
              <w:t>0.004L</w:t>
            </w:r>
          </w:p>
        </w:tc>
        <w:tc>
          <w:tcPr>
            <w:tcW w:w="745" w:type="dxa"/>
            <w:vAlign w:val="top"/>
          </w:tcPr>
          <w:p w14:paraId="6C1DC721">
            <w:pPr>
              <w:pStyle w:val="6"/>
              <w:spacing w:before="103" w:line="207" w:lineRule="auto"/>
              <w:ind w:left="31"/>
              <w:rPr>
                <w:sz w:val="18"/>
                <w:szCs w:val="18"/>
              </w:rPr>
            </w:pPr>
            <w:r>
              <w:rPr>
                <w:spacing w:val="-1"/>
                <w:sz w:val="18"/>
                <w:szCs w:val="18"/>
              </w:rPr>
              <w:t>0.00004L</w:t>
            </w:r>
          </w:p>
        </w:tc>
        <w:tc>
          <w:tcPr>
            <w:tcW w:w="651" w:type="dxa"/>
            <w:vAlign w:val="top"/>
          </w:tcPr>
          <w:p w14:paraId="47294E7E">
            <w:pPr>
              <w:pStyle w:val="6"/>
              <w:spacing w:before="103" w:line="207" w:lineRule="auto"/>
              <w:ind w:left="84"/>
              <w:rPr>
                <w:sz w:val="18"/>
                <w:szCs w:val="18"/>
              </w:rPr>
            </w:pPr>
            <w:r>
              <w:rPr>
                <w:spacing w:val="-2"/>
                <w:sz w:val="18"/>
                <w:szCs w:val="18"/>
              </w:rPr>
              <w:t>0.0003</w:t>
            </w:r>
          </w:p>
        </w:tc>
        <w:tc>
          <w:tcPr>
            <w:tcW w:w="652" w:type="dxa"/>
            <w:vAlign w:val="top"/>
          </w:tcPr>
          <w:p w14:paraId="099183DF">
            <w:pPr>
              <w:pStyle w:val="6"/>
              <w:spacing w:before="103" w:line="207" w:lineRule="auto"/>
              <w:ind w:left="30"/>
              <w:rPr>
                <w:sz w:val="18"/>
                <w:szCs w:val="18"/>
              </w:rPr>
            </w:pPr>
            <w:r>
              <w:rPr>
                <w:spacing w:val="-1"/>
                <w:sz w:val="18"/>
                <w:szCs w:val="18"/>
              </w:rPr>
              <w:t>0.0004L</w:t>
            </w:r>
          </w:p>
        </w:tc>
        <w:tc>
          <w:tcPr>
            <w:tcW w:w="566" w:type="dxa"/>
            <w:vAlign w:val="top"/>
          </w:tcPr>
          <w:p w14:paraId="092EF6CF">
            <w:pPr>
              <w:pStyle w:val="6"/>
              <w:spacing w:before="103" w:line="207" w:lineRule="auto"/>
              <w:ind w:left="32"/>
              <w:rPr>
                <w:sz w:val="18"/>
                <w:szCs w:val="18"/>
              </w:rPr>
            </w:pPr>
            <w:r>
              <w:rPr>
                <w:spacing w:val="-2"/>
                <w:sz w:val="18"/>
                <w:szCs w:val="18"/>
              </w:rPr>
              <w:t>0.001L</w:t>
            </w:r>
          </w:p>
        </w:tc>
        <w:tc>
          <w:tcPr>
            <w:tcW w:w="582" w:type="dxa"/>
            <w:vAlign w:val="top"/>
          </w:tcPr>
          <w:p w14:paraId="3D6C8D10">
            <w:pPr>
              <w:pStyle w:val="6"/>
              <w:spacing w:before="103" w:line="207" w:lineRule="auto"/>
              <w:ind w:left="41"/>
              <w:rPr>
                <w:sz w:val="18"/>
                <w:szCs w:val="18"/>
              </w:rPr>
            </w:pPr>
            <w:r>
              <w:rPr>
                <w:spacing w:val="-2"/>
                <w:sz w:val="18"/>
                <w:szCs w:val="18"/>
              </w:rPr>
              <w:t>0.004L</w:t>
            </w:r>
          </w:p>
        </w:tc>
        <w:tc>
          <w:tcPr>
            <w:tcW w:w="476" w:type="dxa"/>
            <w:vAlign w:val="top"/>
          </w:tcPr>
          <w:p w14:paraId="637E8B63">
            <w:pPr>
              <w:pStyle w:val="6"/>
              <w:spacing w:before="103" w:line="207" w:lineRule="auto"/>
              <w:ind w:left="34"/>
              <w:rPr>
                <w:sz w:val="18"/>
                <w:szCs w:val="18"/>
              </w:rPr>
            </w:pPr>
            <w:r>
              <w:rPr>
                <w:spacing w:val="-2"/>
                <w:sz w:val="18"/>
                <w:szCs w:val="18"/>
              </w:rPr>
              <w:t>0.01L</w:t>
            </w:r>
          </w:p>
        </w:tc>
        <w:tc>
          <w:tcPr>
            <w:tcW w:w="567" w:type="dxa"/>
            <w:vAlign w:val="top"/>
          </w:tcPr>
          <w:p w14:paraId="482AA7CC">
            <w:pPr>
              <w:pStyle w:val="6"/>
              <w:spacing w:before="103" w:line="207" w:lineRule="auto"/>
              <w:ind w:left="91"/>
              <w:rPr>
                <w:sz w:val="18"/>
                <w:szCs w:val="18"/>
              </w:rPr>
            </w:pPr>
            <w:r>
              <w:rPr>
                <w:spacing w:val="-2"/>
                <w:sz w:val="18"/>
                <w:szCs w:val="18"/>
              </w:rPr>
              <w:t>0.012</w:t>
            </w:r>
          </w:p>
        </w:tc>
        <w:tc>
          <w:tcPr>
            <w:tcW w:w="765" w:type="dxa"/>
            <w:vAlign w:val="top"/>
          </w:tcPr>
          <w:p w14:paraId="041AAE90">
            <w:pPr>
              <w:pStyle w:val="6"/>
              <w:spacing w:before="103" w:line="207" w:lineRule="auto"/>
              <w:ind w:left="300"/>
              <w:rPr>
                <w:sz w:val="18"/>
                <w:szCs w:val="18"/>
              </w:rPr>
            </w:pPr>
            <w:r>
              <w:rPr>
                <w:spacing w:val="-1"/>
                <w:sz w:val="18"/>
                <w:szCs w:val="18"/>
              </w:rPr>
              <w:t>21</w:t>
            </w:r>
          </w:p>
        </w:tc>
        <w:tc>
          <w:tcPr>
            <w:tcW w:w="424" w:type="dxa"/>
            <w:vAlign w:val="top"/>
          </w:tcPr>
          <w:p w14:paraId="752DEDD9">
            <w:pPr>
              <w:pStyle w:val="6"/>
              <w:spacing w:before="103" w:line="207" w:lineRule="auto"/>
              <w:ind w:left="90"/>
              <w:rPr>
                <w:sz w:val="18"/>
                <w:szCs w:val="18"/>
              </w:rPr>
            </w:pPr>
            <w:r>
              <w:rPr>
                <w:spacing w:val="-2"/>
                <w:sz w:val="18"/>
                <w:szCs w:val="18"/>
              </w:rPr>
              <w:t>341</w:t>
            </w:r>
          </w:p>
        </w:tc>
        <w:tc>
          <w:tcPr>
            <w:tcW w:w="427" w:type="dxa"/>
            <w:vAlign w:val="top"/>
          </w:tcPr>
          <w:p w14:paraId="4D2A0980">
            <w:pPr>
              <w:pStyle w:val="6"/>
              <w:spacing w:before="103" w:line="207" w:lineRule="auto"/>
              <w:ind w:left="68"/>
              <w:rPr>
                <w:sz w:val="18"/>
                <w:szCs w:val="18"/>
              </w:rPr>
            </w:pPr>
            <w:r>
              <w:rPr>
                <w:spacing w:val="-2"/>
                <w:sz w:val="18"/>
                <w:szCs w:val="18"/>
              </w:rPr>
              <w:t>0.68</w:t>
            </w:r>
          </w:p>
        </w:tc>
        <w:tc>
          <w:tcPr>
            <w:tcW w:w="424" w:type="dxa"/>
            <w:vAlign w:val="top"/>
          </w:tcPr>
          <w:p w14:paraId="6E1F047F">
            <w:pPr>
              <w:pStyle w:val="6"/>
              <w:spacing w:before="103" w:line="207" w:lineRule="auto"/>
              <w:ind w:left="64"/>
              <w:rPr>
                <w:sz w:val="18"/>
                <w:szCs w:val="18"/>
              </w:rPr>
            </w:pPr>
            <w:r>
              <w:rPr>
                <w:spacing w:val="-1"/>
                <w:sz w:val="18"/>
                <w:szCs w:val="18"/>
              </w:rPr>
              <w:t>2.24</w:t>
            </w:r>
          </w:p>
        </w:tc>
        <w:tc>
          <w:tcPr>
            <w:tcW w:w="423" w:type="dxa"/>
            <w:vAlign w:val="top"/>
          </w:tcPr>
          <w:p w14:paraId="72E7F621">
            <w:pPr>
              <w:pStyle w:val="6"/>
              <w:spacing w:before="103" w:line="207" w:lineRule="auto"/>
              <w:ind w:left="81"/>
              <w:rPr>
                <w:sz w:val="18"/>
                <w:szCs w:val="18"/>
              </w:rPr>
            </w:pPr>
            <w:r>
              <w:rPr>
                <w:spacing w:val="-6"/>
                <w:sz w:val="18"/>
                <w:szCs w:val="18"/>
              </w:rPr>
              <w:t>1.20</w:t>
            </w:r>
          </w:p>
        </w:tc>
        <w:tc>
          <w:tcPr>
            <w:tcW w:w="472" w:type="dxa"/>
            <w:vAlign w:val="top"/>
          </w:tcPr>
          <w:p w14:paraId="6A35C6D4">
            <w:pPr>
              <w:pStyle w:val="6"/>
              <w:spacing w:before="103" w:line="207" w:lineRule="auto"/>
              <w:ind w:left="95"/>
              <w:rPr>
                <w:sz w:val="18"/>
                <w:szCs w:val="18"/>
              </w:rPr>
            </w:pPr>
            <w:r>
              <w:rPr>
                <w:spacing w:val="-3"/>
                <w:sz w:val="18"/>
                <w:szCs w:val="18"/>
              </w:rPr>
              <w:t>55.5</w:t>
            </w:r>
          </w:p>
        </w:tc>
        <w:tc>
          <w:tcPr>
            <w:tcW w:w="377" w:type="dxa"/>
            <w:tcBorders>
              <w:right w:val="single" w:color="000000" w:sz="12" w:space="0"/>
            </w:tcBorders>
            <w:vAlign w:val="top"/>
          </w:tcPr>
          <w:p w14:paraId="79D71800">
            <w:pPr>
              <w:pStyle w:val="6"/>
              <w:spacing w:before="103" w:line="207" w:lineRule="auto"/>
              <w:ind w:left="32"/>
              <w:rPr>
                <w:sz w:val="18"/>
                <w:szCs w:val="18"/>
              </w:rPr>
            </w:pPr>
            <w:r>
              <w:rPr>
                <w:spacing w:val="-1"/>
                <w:sz w:val="18"/>
                <w:szCs w:val="18"/>
              </w:rPr>
              <w:t>28.3</w:t>
            </w:r>
          </w:p>
        </w:tc>
      </w:tr>
      <w:tr w14:paraId="5FB4F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580" w:type="dxa"/>
            <w:vMerge w:val="continue"/>
            <w:tcBorders>
              <w:top w:val="nil"/>
              <w:left w:val="single" w:color="000000" w:sz="12" w:space="0"/>
              <w:bottom w:val="nil"/>
            </w:tcBorders>
            <w:vAlign w:val="top"/>
          </w:tcPr>
          <w:p w14:paraId="55D3A886">
            <w:pPr>
              <w:rPr>
                <w:rFonts w:ascii="Arial"/>
                <w:sz w:val="21"/>
              </w:rPr>
            </w:pPr>
          </w:p>
        </w:tc>
        <w:tc>
          <w:tcPr>
            <w:tcW w:w="268" w:type="dxa"/>
            <w:vMerge w:val="continue"/>
            <w:tcBorders>
              <w:top w:val="nil"/>
            </w:tcBorders>
            <w:vAlign w:val="top"/>
          </w:tcPr>
          <w:p w14:paraId="508494D2">
            <w:pPr>
              <w:rPr>
                <w:rFonts w:ascii="Arial"/>
                <w:sz w:val="21"/>
              </w:rPr>
            </w:pPr>
          </w:p>
        </w:tc>
        <w:tc>
          <w:tcPr>
            <w:tcW w:w="1038" w:type="dxa"/>
            <w:vAlign w:val="top"/>
          </w:tcPr>
          <w:p w14:paraId="56ECA515">
            <w:pPr>
              <w:pStyle w:val="6"/>
              <w:spacing w:before="102" w:line="207" w:lineRule="auto"/>
              <w:ind w:left="138"/>
              <w:rPr>
                <w:sz w:val="18"/>
                <w:szCs w:val="18"/>
              </w:rPr>
            </w:pPr>
            <w:r>
              <w:rPr>
                <w:spacing w:val="-1"/>
                <w:sz w:val="18"/>
                <w:szCs w:val="18"/>
              </w:rPr>
              <w:t>2020/8/22</w:t>
            </w:r>
          </w:p>
        </w:tc>
        <w:tc>
          <w:tcPr>
            <w:tcW w:w="774" w:type="dxa"/>
            <w:vAlign w:val="top"/>
          </w:tcPr>
          <w:p w14:paraId="31C75E6B">
            <w:pPr>
              <w:pStyle w:val="6"/>
              <w:spacing w:before="102" w:line="207" w:lineRule="auto"/>
              <w:ind w:left="220"/>
              <w:rPr>
                <w:sz w:val="18"/>
                <w:szCs w:val="18"/>
              </w:rPr>
            </w:pPr>
            <w:r>
              <w:rPr>
                <w:spacing w:val="-2"/>
                <w:sz w:val="18"/>
                <w:szCs w:val="18"/>
              </w:rPr>
              <w:t>6.84</w:t>
            </w:r>
          </w:p>
        </w:tc>
        <w:tc>
          <w:tcPr>
            <w:tcW w:w="741" w:type="dxa"/>
            <w:vAlign w:val="top"/>
          </w:tcPr>
          <w:p w14:paraId="50DAC561">
            <w:pPr>
              <w:pStyle w:val="6"/>
              <w:spacing w:before="102" w:line="207" w:lineRule="auto"/>
              <w:ind w:left="222"/>
              <w:rPr>
                <w:sz w:val="18"/>
                <w:szCs w:val="18"/>
              </w:rPr>
            </w:pPr>
            <w:r>
              <w:rPr>
                <w:spacing w:val="-1"/>
                <w:sz w:val="18"/>
                <w:szCs w:val="18"/>
              </w:rPr>
              <w:t>228</w:t>
            </w:r>
          </w:p>
        </w:tc>
        <w:tc>
          <w:tcPr>
            <w:tcW w:w="705" w:type="dxa"/>
            <w:vAlign w:val="top"/>
          </w:tcPr>
          <w:p w14:paraId="3E1FDF60">
            <w:pPr>
              <w:pStyle w:val="6"/>
              <w:spacing w:before="102" w:line="207" w:lineRule="auto"/>
              <w:ind w:left="205"/>
              <w:rPr>
                <w:sz w:val="18"/>
                <w:szCs w:val="18"/>
              </w:rPr>
            </w:pPr>
            <w:r>
              <w:rPr>
                <w:spacing w:val="-1"/>
                <w:sz w:val="18"/>
                <w:szCs w:val="18"/>
              </w:rPr>
              <w:t>285</w:t>
            </w:r>
          </w:p>
        </w:tc>
        <w:tc>
          <w:tcPr>
            <w:tcW w:w="570" w:type="dxa"/>
            <w:vAlign w:val="top"/>
          </w:tcPr>
          <w:p w14:paraId="052BB76E">
            <w:pPr>
              <w:pStyle w:val="6"/>
              <w:spacing w:before="102" w:line="207" w:lineRule="auto"/>
              <w:ind w:left="199"/>
              <w:rPr>
                <w:sz w:val="18"/>
                <w:szCs w:val="18"/>
              </w:rPr>
            </w:pPr>
            <w:r>
              <w:rPr>
                <w:spacing w:val="-6"/>
                <w:sz w:val="18"/>
                <w:szCs w:val="18"/>
              </w:rPr>
              <w:t>11</w:t>
            </w:r>
          </w:p>
        </w:tc>
        <w:tc>
          <w:tcPr>
            <w:tcW w:w="423" w:type="dxa"/>
            <w:vAlign w:val="top"/>
          </w:tcPr>
          <w:p w14:paraId="4D91836B">
            <w:pPr>
              <w:pStyle w:val="6"/>
              <w:spacing w:before="105" w:line="186" w:lineRule="auto"/>
              <w:ind w:left="72"/>
              <w:rPr>
                <w:sz w:val="18"/>
                <w:szCs w:val="18"/>
              </w:rPr>
            </w:pPr>
            <w:r>
              <w:rPr>
                <w:spacing w:val="-5"/>
                <w:sz w:val="18"/>
                <w:szCs w:val="18"/>
              </w:rPr>
              <w:t>10L</w:t>
            </w:r>
          </w:p>
        </w:tc>
        <w:tc>
          <w:tcPr>
            <w:tcW w:w="567" w:type="dxa"/>
            <w:vAlign w:val="top"/>
          </w:tcPr>
          <w:p w14:paraId="52FA8CA3">
            <w:pPr>
              <w:pStyle w:val="6"/>
              <w:spacing w:before="102" w:line="207" w:lineRule="auto"/>
              <w:ind w:left="63"/>
              <w:rPr>
                <w:sz w:val="18"/>
                <w:szCs w:val="18"/>
              </w:rPr>
            </w:pPr>
            <w:r>
              <w:rPr>
                <w:spacing w:val="-2"/>
                <w:sz w:val="18"/>
                <w:szCs w:val="18"/>
              </w:rPr>
              <w:t>0.03L</w:t>
            </w:r>
          </w:p>
        </w:tc>
        <w:tc>
          <w:tcPr>
            <w:tcW w:w="545" w:type="dxa"/>
            <w:vAlign w:val="top"/>
          </w:tcPr>
          <w:p w14:paraId="7DFC2FDC">
            <w:pPr>
              <w:pStyle w:val="6"/>
              <w:spacing w:before="102" w:line="207" w:lineRule="auto"/>
              <w:ind w:left="53"/>
              <w:rPr>
                <w:sz w:val="18"/>
                <w:szCs w:val="18"/>
              </w:rPr>
            </w:pPr>
            <w:r>
              <w:rPr>
                <w:spacing w:val="-2"/>
                <w:sz w:val="18"/>
                <w:szCs w:val="18"/>
              </w:rPr>
              <w:t>0.02L</w:t>
            </w:r>
          </w:p>
        </w:tc>
        <w:tc>
          <w:tcPr>
            <w:tcW w:w="472" w:type="dxa"/>
            <w:vAlign w:val="top"/>
          </w:tcPr>
          <w:p w14:paraId="18528F65">
            <w:pPr>
              <w:pStyle w:val="6"/>
              <w:spacing w:before="102" w:line="207" w:lineRule="auto"/>
              <w:ind w:left="18"/>
              <w:rPr>
                <w:sz w:val="18"/>
                <w:szCs w:val="18"/>
              </w:rPr>
            </w:pPr>
            <w:r>
              <w:rPr>
                <w:spacing w:val="-2"/>
                <w:sz w:val="18"/>
                <w:szCs w:val="18"/>
              </w:rPr>
              <w:t>0.01L</w:t>
            </w:r>
          </w:p>
        </w:tc>
        <w:tc>
          <w:tcPr>
            <w:tcW w:w="562" w:type="dxa"/>
            <w:vAlign w:val="top"/>
          </w:tcPr>
          <w:p w14:paraId="3ABD1C0D">
            <w:pPr>
              <w:pStyle w:val="6"/>
              <w:spacing w:before="102" w:line="207" w:lineRule="auto"/>
              <w:ind w:left="19"/>
              <w:rPr>
                <w:sz w:val="18"/>
                <w:szCs w:val="18"/>
              </w:rPr>
            </w:pPr>
            <w:r>
              <w:rPr>
                <w:spacing w:val="-2"/>
                <w:sz w:val="18"/>
                <w:szCs w:val="18"/>
              </w:rPr>
              <w:t>0.006L</w:t>
            </w:r>
          </w:p>
        </w:tc>
        <w:tc>
          <w:tcPr>
            <w:tcW w:w="651" w:type="dxa"/>
            <w:vAlign w:val="top"/>
          </w:tcPr>
          <w:p w14:paraId="0EB041C3">
            <w:pPr>
              <w:pStyle w:val="6"/>
              <w:spacing w:before="102" w:line="207" w:lineRule="auto"/>
              <w:ind w:left="18"/>
              <w:rPr>
                <w:sz w:val="18"/>
                <w:szCs w:val="18"/>
              </w:rPr>
            </w:pPr>
            <w:r>
              <w:rPr>
                <w:spacing w:val="-1"/>
                <w:sz w:val="18"/>
                <w:szCs w:val="18"/>
              </w:rPr>
              <w:t>0.0003L</w:t>
            </w:r>
          </w:p>
        </w:tc>
        <w:tc>
          <w:tcPr>
            <w:tcW w:w="884" w:type="dxa"/>
            <w:vAlign w:val="top"/>
          </w:tcPr>
          <w:p w14:paraId="4C577F34">
            <w:pPr>
              <w:pStyle w:val="6"/>
              <w:spacing w:before="102" w:line="207" w:lineRule="auto"/>
              <w:ind w:left="226"/>
              <w:rPr>
                <w:sz w:val="18"/>
                <w:szCs w:val="18"/>
              </w:rPr>
            </w:pPr>
            <w:r>
              <w:rPr>
                <w:spacing w:val="-2"/>
                <w:sz w:val="18"/>
                <w:szCs w:val="18"/>
              </w:rPr>
              <w:t>0.05L</w:t>
            </w:r>
          </w:p>
        </w:tc>
        <w:tc>
          <w:tcPr>
            <w:tcW w:w="709" w:type="dxa"/>
            <w:vAlign w:val="top"/>
          </w:tcPr>
          <w:p w14:paraId="78135DA6">
            <w:pPr>
              <w:pStyle w:val="6"/>
              <w:spacing w:before="102" w:line="207" w:lineRule="auto"/>
              <w:ind w:left="194"/>
              <w:rPr>
                <w:sz w:val="18"/>
                <w:szCs w:val="18"/>
              </w:rPr>
            </w:pPr>
            <w:r>
              <w:rPr>
                <w:spacing w:val="-2"/>
                <w:sz w:val="18"/>
                <w:szCs w:val="18"/>
              </w:rPr>
              <w:t>0.01</w:t>
            </w:r>
          </w:p>
        </w:tc>
        <w:tc>
          <w:tcPr>
            <w:tcW w:w="703" w:type="dxa"/>
            <w:vAlign w:val="top"/>
          </w:tcPr>
          <w:p w14:paraId="158B3733">
            <w:pPr>
              <w:pStyle w:val="6"/>
              <w:spacing w:before="102" w:line="207" w:lineRule="auto"/>
              <w:ind w:left="207"/>
              <w:rPr>
                <w:sz w:val="18"/>
                <w:szCs w:val="18"/>
              </w:rPr>
            </w:pPr>
            <w:r>
              <w:rPr>
                <w:spacing w:val="-6"/>
                <w:sz w:val="18"/>
                <w:szCs w:val="18"/>
              </w:rPr>
              <w:t>1.15</w:t>
            </w:r>
          </w:p>
        </w:tc>
        <w:tc>
          <w:tcPr>
            <w:tcW w:w="708" w:type="dxa"/>
            <w:vAlign w:val="top"/>
          </w:tcPr>
          <w:p w14:paraId="7855B776">
            <w:pPr>
              <w:pStyle w:val="6"/>
              <w:spacing w:before="102" w:line="207" w:lineRule="auto"/>
              <w:ind w:left="151"/>
              <w:rPr>
                <w:sz w:val="18"/>
                <w:szCs w:val="18"/>
              </w:rPr>
            </w:pPr>
            <w:r>
              <w:rPr>
                <w:spacing w:val="-2"/>
                <w:sz w:val="18"/>
                <w:szCs w:val="18"/>
              </w:rPr>
              <w:t>0.003</w:t>
            </w:r>
          </w:p>
        </w:tc>
        <w:tc>
          <w:tcPr>
            <w:tcW w:w="764" w:type="dxa"/>
            <w:vAlign w:val="top"/>
          </w:tcPr>
          <w:p w14:paraId="6ED7AD0F">
            <w:pPr>
              <w:pStyle w:val="6"/>
              <w:spacing w:before="102" w:line="207" w:lineRule="auto"/>
              <w:ind w:left="181"/>
              <w:rPr>
                <w:sz w:val="18"/>
                <w:szCs w:val="18"/>
              </w:rPr>
            </w:pPr>
            <w:r>
              <w:rPr>
                <w:spacing w:val="-2"/>
                <w:sz w:val="18"/>
                <w:szCs w:val="18"/>
              </w:rPr>
              <w:t>0.033</w:t>
            </w:r>
          </w:p>
        </w:tc>
        <w:tc>
          <w:tcPr>
            <w:tcW w:w="586" w:type="dxa"/>
            <w:vAlign w:val="top"/>
          </w:tcPr>
          <w:p w14:paraId="7972DC61">
            <w:pPr>
              <w:pStyle w:val="6"/>
              <w:spacing w:before="102" w:line="207" w:lineRule="auto"/>
              <w:ind w:left="139"/>
              <w:rPr>
                <w:sz w:val="18"/>
                <w:szCs w:val="18"/>
              </w:rPr>
            </w:pPr>
            <w:r>
              <w:rPr>
                <w:spacing w:val="-2"/>
                <w:sz w:val="18"/>
                <w:szCs w:val="18"/>
              </w:rPr>
              <w:t>0.37</w:t>
            </w:r>
          </w:p>
        </w:tc>
        <w:tc>
          <w:tcPr>
            <w:tcW w:w="582" w:type="dxa"/>
            <w:vAlign w:val="top"/>
          </w:tcPr>
          <w:p w14:paraId="3D3D3A11">
            <w:pPr>
              <w:pStyle w:val="6"/>
              <w:spacing w:before="102" w:line="207" w:lineRule="auto"/>
              <w:ind w:left="38"/>
              <w:rPr>
                <w:sz w:val="18"/>
                <w:szCs w:val="18"/>
              </w:rPr>
            </w:pPr>
            <w:r>
              <w:rPr>
                <w:spacing w:val="-2"/>
                <w:sz w:val="18"/>
                <w:szCs w:val="18"/>
              </w:rPr>
              <w:t>0.004L</w:t>
            </w:r>
          </w:p>
        </w:tc>
        <w:tc>
          <w:tcPr>
            <w:tcW w:w="745" w:type="dxa"/>
            <w:vAlign w:val="top"/>
          </w:tcPr>
          <w:p w14:paraId="7022FCEF">
            <w:pPr>
              <w:pStyle w:val="6"/>
              <w:spacing w:before="102" w:line="207" w:lineRule="auto"/>
              <w:ind w:left="31"/>
              <w:rPr>
                <w:sz w:val="18"/>
                <w:szCs w:val="18"/>
              </w:rPr>
            </w:pPr>
            <w:r>
              <w:rPr>
                <w:spacing w:val="-1"/>
                <w:sz w:val="18"/>
                <w:szCs w:val="18"/>
              </w:rPr>
              <w:t>0.00004L</w:t>
            </w:r>
          </w:p>
        </w:tc>
        <w:tc>
          <w:tcPr>
            <w:tcW w:w="651" w:type="dxa"/>
            <w:vAlign w:val="top"/>
          </w:tcPr>
          <w:p w14:paraId="5CDA2368">
            <w:pPr>
              <w:pStyle w:val="6"/>
              <w:spacing w:before="102" w:line="207" w:lineRule="auto"/>
              <w:ind w:left="84"/>
              <w:rPr>
                <w:sz w:val="18"/>
                <w:szCs w:val="18"/>
              </w:rPr>
            </w:pPr>
            <w:r>
              <w:rPr>
                <w:spacing w:val="-2"/>
                <w:sz w:val="18"/>
                <w:szCs w:val="18"/>
              </w:rPr>
              <w:t>0.0003</w:t>
            </w:r>
          </w:p>
        </w:tc>
        <w:tc>
          <w:tcPr>
            <w:tcW w:w="652" w:type="dxa"/>
            <w:vAlign w:val="top"/>
          </w:tcPr>
          <w:p w14:paraId="4F4514B7">
            <w:pPr>
              <w:pStyle w:val="6"/>
              <w:spacing w:before="102" w:line="207" w:lineRule="auto"/>
              <w:ind w:left="30"/>
              <w:rPr>
                <w:sz w:val="18"/>
                <w:szCs w:val="18"/>
              </w:rPr>
            </w:pPr>
            <w:r>
              <w:rPr>
                <w:spacing w:val="-1"/>
                <w:sz w:val="18"/>
                <w:szCs w:val="18"/>
              </w:rPr>
              <w:t>0.0004L</w:t>
            </w:r>
          </w:p>
        </w:tc>
        <w:tc>
          <w:tcPr>
            <w:tcW w:w="566" w:type="dxa"/>
            <w:vAlign w:val="top"/>
          </w:tcPr>
          <w:p w14:paraId="646B6F54">
            <w:pPr>
              <w:pStyle w:val="6"/>
              <w:spacing w:before="102" w:line="207" w:lineRule="auto"/>
              <w:ind w:left="32"/>
              <w:rPr>
                <w:sz w:val="18"/>
                <w:szCs w:val="18"/>
              </w:rPr>
            </w:pPr>
            <w:r>
              <w:rPr>
                <w:spacing w:val="-2"/>
                <w:sz w:val="18"/>
                <w:szCs w:val="18"/>
              </w:rPr>
              <w:t>0.001L</w:t>
            </w:r>
          </w:p>
        </w:tc>
        <w:tc>
          <w:tcPr>
            <w:tcW w:w="582" w:type="dxa"/>
            <w:vAlign w:val="top"/>
          </w:tcPr>
          <w:p w14:paraId="7E6A9987">
            <w:pPr>
              <w:pStyle w:val="6"/>
              <w:spacing w:before="102" w:line="207" w:lineRule="auto"/>
              <w:ind w:left="41"/>
              <w:rPr>
                <w:sz w:val="18"/>
                <w:szCs w:val="18"/>
              </w:rPr>
            </w:pPr>
            <w:r>
              <w:rPr>
                <w:spacing w:val="-2"/>
                <w:sz w:val="18"/>
                <w:szCs w:val="18"/>
              </w:rPr>
              <w:t>0.004L</w:t>
            </w:r>
          </w:p>
        </w:tc>
        <w:tc>
          <w:tcPr>
            <w:tcW w:w="476" w:type="dxa"/>
            <w:vAlign w:val="top"/>
          </w:tcPr>
          <w:p w14:paraId="3B27610A">
            <w:pPr>
              <w:pStyle w:val="6"/>
              <w:spacing w:before="102" w:line="207" w:lineRule="auto"/>
              <w:ind w:left="34"/>
              <w:rPr>
                <w:sz w:val="18"/>
                <w:szCs w:val="18"/>
              </w:rPr>
            </w:pPr>
            <w:r>
              <w:rPr>
                <w:spacing w:val="-2"/>
                <w:sz w:val="18"/>
                <w:szCs w:val="18"/>
              </w:rPr>
              <w:t>0.01L</w:t>
            </w:r>
          </w:p>
        </w:tc>
        <w:tc>
          <w:tcPr>
            <w:tcW w:w="567" w:type="dxa"/>
            <w:vAlign w:val="top"/>
          </w:tcPr>
          <w:p w14:paraId="2B8959A9">
            <w:pPr>
              <w:pStyle w:val="6"/>
              <w:spacing w:before="102" w:line="207" w:lineRule="auto"/>
              <w:ind w:left="91"/>
              <w:rPr>
                <w:sz w:val="18"/>
                <w:szCs w:val="18"/>
              </w:rPr>
            </w:pPr>
            <w:r>
              <w:rPr>
                <w:spacing w:val="-2"/>
                <w:sz w:val="18"/>
                <w:szCs w:val="18"/>
              </w:rPr>
              <w:t>0.020</w:t>
            </w:r>
          </w:p>
        </w:tc>
        <w:tc>
          <w:tcPr>
            <w:tcW w:w="765" w:type="dxa"/>
            <w:vAlign w:val="top"/>
          </w:tcPr>
          <w:p w14:paraId="7E80D3CC">
            <w:pPr>
              <w:pStyle w:val="6"/>
              <w:spacing w:before="102" w:line="207" w:lineRule="auto"/>
              <w:ind w:left="300"/>
              <w:rPr>
                <w:sz w:val="18"/>
                <w:szCs w:val="18"/>
              </w:rPr>
            </w:pPr>
            <w:r>
              <w:rPr>
                <w:spacing w:val="-1"/>
                <w:sz w:val="18"/>
                <w:szCs w:val="18"/>
              </w:rPr>
              <w:t>20</w:t>
            </w:r>
          </w:p>
        </w:tc>
        <w:tc>
          <w:tcPr>
            <w:tcW w:w="424" w:type="dxa"/>
            <w:vAlign w:val="top"/>
          </w:tcPr>
          <w:p w14:paraId="6253683A">
            <w:pPr>
              <w:pStyle w:val="6"/>
              <w:spacing w:before="102" w:line="207" w:lineRule="auto"/>
              <w:ind w:left="90"/>
              <w:rPr>
                <w:sz w:val="18"/>
                <w:szCs w:val="18"/>
              </w:rPr>
            </w:pPr>
            <w:r>
              <w:rPr>
                <w:spacing w:val="-2"/>
                <w:sz w:val="18"/>
                <w:szCs w:val="18"/>
              </w:rPr>
              <w:t>328</w:t>
            </w:r>
          </w:p>
        </w:tc>
        <w:tc>
          <w:tcPr>
            <w:tcW w:w="427" w:type="dxa"/>
            <w:vAlign w:val="top"/>
          </w:tcPr>
          <w:p w14:paraId="20F9125F">
            <w:pPr>
              <w:pStyle w:val="6"/>
              <w:spacing w:before="102" w:line="207" w:lineRule="auto"/>
              <w:ind w:left="68"/>
              <w:rPr>
                <w:sz w:val="18"/>
                <w:szCs w:val="18"/>
              </w:rPr>
            </w:pPr>
            <w:r>
              <w:rPr>
                <w:spacing w:val="-2"/>
                <w:sz w:val="18"/>
                <w:szCs w:val="18"/>
              </w:rPr>
              <w:t>0.62</w:t>
            </w:r>
          </w:p>
        </w:tc>
        <w:tc>
          <w:tcPr>
            <w:tcW w:w="424" w:type="dxa"/>
            <w:vAlign w:val="top"/>
          </w:tcPr>
          <w:p w14:paraId="47A44C13">
            <w:pPr>
              <w:pStyle w:val="6"/>
              <w:spacing w:before="102" w:line="207" w:lineRule="auto"/>
              <w:ind w:left="64"/>
              <w:rPr>
                <w:sz w:val="18"/>
                <w:szCs w:val="18"/>
              </w:rPr>
            </w:pPr>
            <w:r>
              <w:rPr>
                <w:spacing w:val="-1"/>
                <w:sz w:val="18"/>
                <w:szCs w:val="18"/>
              </w:rPr>
              <w:t>2.10</w:t>
            </w:r>
          </w:p>
        </w:tc>
        <w:tc>
          <w:tcPr>
            <w:tcW w:w="423" w:type="dxa"/>
            <w:vAlign w:val="top"/>
          </w:tcPr>
          <w:p w14:paraId="6A8F521F">
            <w:pPr>
              <w:pStyle w:val="6"/>
              <w:spacing w:before="102" w:line="207" w:lineRule="auto"/>
              <w:ind w:left="81"/>
              <w:rPr>
                <w:sz w:val="18"/>
                <w:szCs w:val="18"/>
              </w:rPr>
            </w:pPr>
            <w:r>
              <w:rPr>
                <w:spacing w:val="-6"/>
                <w:sz w:val="18"/>
                <w:szCs w:val="18"/>
              </w:rPr>
              <w:t>1.17</w:t>
            </w:r>
          </w:p>
        </w:tc>
        <w:tc>
          <w:tcPr>
            <w:tcW w:w="472" w:type="dxa"/>
            <w:vAlign w:val="top"/>
          </w:tcPr>
          <w:p w14:paraId="552D545B">
            <w:pPr>
              <w:pStyle w:val="6"/>
              <w:spacing w:before="102" w:line="207" w:lineRule="auto"/>
              <w:ind w:left="95"/>
              <w:rPr>
                <w:sz w:val="18"/>
                <w:szCs w:val="18"/>
              </w:rPr>
            </w:pPr>
            <w:r>
              <w:rPr>
                <w:spacing w:val="-3"/>
                <w:sz w:val="18"/>
                <w:szCs w:val="18"/>
              </w:rPr>
              <w:t>55.5</w:t>
            </w:r>
          </w:p>
        </w:tc>
        <w:tc>
          <w:tcPr>
            <w:tcW w:w="377" w:type="dxa"/>
            <w:tcBorders>
              <w:right w:val="single" w:color="000000" w:sz="12" w:space="0"/>
            </w:tcBorders>
            <w:vAlign w:val="top"/>
          </w:tcPr>
          <w:p w14:paraId="60653412">
            <w:pPr>
              <w:pStyle w:val="6"/>
              <w:spacing w:before="102" w:line="207" w:lineRule="auto"/>
              <w:ind w:left="32"/>
              <w:rPr>
                <w:sz w:val="18"/>
                <w:szCs w:val="18"/>
              </w:rPr>
            </w:pPr>
            <w:r>
              <w:rPr>
                <w:spacing w:val="-1"/>
                <w:sz w:val="18"/>
                <w:szCs w:val="18"/>
              </w:rPr>
              <w:t>28.2</w:t>
            </w:r>
          </w:p>
        </w:tc>
      </w:tr>
      <w:tr w14:paraId="1347C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7CAFE4B0">
            <w:pPr>
              <w:rPr>
                <w:rFonts w:ascii="Arial"/>
                <w:sz w:val="21"/>
              </w:rPr>
            </w:pPr>
          </w:p>
        </w:tc>
        <w:tc>
          <w:tcPr>
            <w:tcW w:w="268" w:type="dxa"/>
            <w:vMerge w:val="restart"/>
            <w:tcBorders>
              <w:bottom w:val="nil"/>
            </w:tcBorders>
            <w:vAlign w:val="top"/>
          </w:tcPr>
          <w:p w14:paraId="16051D65">
            <w:pPr>
              <w:pStyle w:val="6"/>
              <w:spacing w:before="162" w:line="226" w:lineRule="auto"/>
              <w:ind w:left="72"/>
              <w:rPr>
                <w:sz w:val="18"/>
                <w:szCs w:val="18"/>
              </w:rPr>
            </w:pPr>
            <w:r>
              <w:rPr>
                <w:sz w:val="18"/>
                <w:szCs w:val="18"/>
              </w:rPr>
              <w:t>4</w:t>
            </w:r>
          </w:p>
          <w:p w14:paraId="1B0E055C">
            <w:pPr>
              <w:spacing w:line="226" w:lineRule="auto"/>
              <w:ind w:left="31"/>
              <w:rPr>
                <w:rFonts w:ascii="等线" w:hAnsi="等线" w:eastAsia="等线" w:cs="等线"/>
                <w:sz w:val="18"/>
                <w:szCs w:val="18"/>
              </w:rPr>
            </w:pPr>
            <w:r>
              <w:rPr>
                <w:rFonts w:ascii="等线" w:hAnsi="等线" w:eastAsia="等线" w:cs="等线"/>
                <w:sz w:val="18"/>
                <w:szCs w:val="18"/>
              </w:rPr>
              <w:t>季</w:t>
            </w:r>
          </w:p>
          <w:p w14:paraId="5B46BA48">
            <w:pPr>
              <w:spacing w:before="14" w:line="226" w:lineRule="auto"/>
              <w:ind w:left="32"/>
              <w:rPr>
                <w:rFonts w:ascii="等线" w:hAnsi="等线" w:eastAsia="等线" w:cs="等线"/>
                <w:sz w:val="18"/>
                <w:szCs w:val="18"/>
              </w:rPr>
            </w:pPr>
            <w:r>
              <w:rPr>
                <w:rFonts w:ascii="等线" w:hAnsi="等线" w:eastAsia="等线" w:cs="等线"/>
                <w:sz w:val="18"/>
                <w:szCs w:val="18"/>
              </w:rPr>
              <w:t>度</w:t>
            </w:r>
          </w:p>
        </w:tc>
        <w:tc>
          <w:tcPr>
            <w:tcW w:w="1038" w:type="dxa"/>
            <w:vAlign w:val="top"/>
          </w:tcPr>
          <w:p w14:paraId="0FEB81D5">
            <w:pPr>
              <w:pStyle w:val="6"/>
              <w:spacing w:before="104" w:line="206" w:lineRule="auto"/>
              <w:ind w:left="94"/>
              <w:rPr>
                <w:sz w:val="18"/>
                <w:szCs w:val="18"/>
              </w:rPr>
            </w:pPr>
            <w:r>
              <w:rPr>
                <w:spacing w:val="-1"/>
                <w:sz w:val="18"/>
                <w:szCs w:val="18"/>
              </w:rPr>
              <w:t>2020/11/15</w:t>
            </w:r>
          </w:p>
        </w:tc>
        <w:tc>
          <w:tcPr>
            <w:tcW w:w="774" w:type="dxa"/>
            <w:vAlign w:val="top"/>
          </w:tcPr>
          <w:p w14:paraId="6C72E913">
            <w:pPr>
              <w:pStyle w:val="6"/>
              <w:spacing w:before="104" w:line="206" w:lineRule="auto"/>
              <w:ind w:left="220"/>
              <w:rPr>
                <w:sz w:val="18"/>
                <w:szCs w:val="18"/>
              </w:rPr>
            </w:pPr>
            <w:r>
              <w:rPr>
                <w:spacing w:val="-2"/>
                <w:sz w:val="18"/>
                <w:szCs w:val="18"/>
              </w:rPr>
              <w:t>6.69</w:t>
            </w:r>
          </w:p>
        </w:tc>
        <w:tc>
          <w:tcPr>
            <w:tcW w:w="741" w:type="dxa"/>
            <w:vAlign w:val="top"/>
          </w:tcPr>
          <w:p w14:paraId="02F56A25">
            <w:pPr>
              <w:pStyle w:val="6"/>
              <w:spacing w:before="104" w:line="206" w:lineRule="auto"/>
              <w:ind w:left="225"/>
              <w:rPr>
                <w:sz w:val="18"/>
                <w:szCs w:val="18"/>
              </w:rPr>
            </w:pPr>
            <w:r>
              <w:rPr>
                <w:spacing w:val="-2"/>
                <w:sz w:val="18"/>
                <w:szCs w:val="18"/>
              </w:rPr>
              <w:t>338</w:t>
            </w:r>
          </w:p>
        </w:tc>
        <w:tc>
          <w:tcPr>
            <w:tcW w:w="705" w:type="dxa"/>
            <w:vAlign w:val="top"/>
          </w:tcPr>
          <w:p w14:paraId="613F9A70">
            <w:pPr>
              <w:pStyle w:val="6"/>
              <w:spacing w:before="104" w:line="206" w:lineRule="auto"/>
              <w:ind w:left="205"/>
              <w:rPr>
                <w:sz w:val="18"/>
                <w:szCs w:val="18"/>
              </w:rPr>
            </w:pPr>
            <w:r>
              <w:rPr>
                <w:spacing w:val="-1"/>
                <w:sz w:val="18"/>
                <w:szCs w:val="18"/>
              </w:rPr>
              <w:t>412</w:t>
            </w:r>
          </w:p>
        </w:tc>
        <w:tc>
          <w:tcPr>
            <w:tcW w:w="570" w:type="dxa"/>
            <w:vAlign w:val="top"/>
          </w:tcPr>
          <w:p w14:paraId="40916174">
            <w:pPr>
              <w:pStyle w:val="6"/>
              <w:spacing w:before="107" w:line="186" w:lineRule="auto"/>
              <w:ind w:left="180"/>
              <w:rPr>
                <w:sz w:val="18"/>
                <w:szCs w:val="18"/>
              </w:rPr>
            </w:pPr>
            <w:r>
              <w:rPr>
                <w:spacing w:val="-3"/>
                <w:sz w:val="18"/>
                <w:szCs w:val="18"/>
              </w:rPr>
              <w:t>8L</w:t>
            </w:r>
          </w:p>
        </w:tc>
        <w:tc>
          <w:tcPr>
            <w:tcW w:w="423" w:type="dxa"/>
            <w:vAlign w:val="top"/>
          </w:tcPr>
          <w:p w14:paraId="55364179">
            <w:pPr>
              <w:pStyle w:val="6"/>
              <w:spacing w:before="107" w:line="186" w:lineRule="auto"/>
              <w:ind w:left="72"/>
              <w:rPr>
                <w:sz w:val="18"/>
                <w:szCs w:val="18"/>
              </w:rPr>
            </w:pPr>
            <w:r>
              <w:rPr>
                <w:spacing w:val="-5"/>
                <w:sz w:val="18"/>
                <w:szCs w:val="18"/>
              </w:rPr>
              <w:t>10L</w:t>
            </w:r>
          </w:p>
        </w:tc>
        <w:tc>
          <w:tcPr>
            <w:tcW w:w="567" w:type="dxa"/>
            <w:vAlign w:val="top"/>
          </w:tcPr>
          <w:p w14:paraId="6A3EEE77">
            <w:pPr>
              <w:pStyle w:val="6"/>
              <w:spacing w:before="104" w:line="206" w:lineRule="auto"/>
              <w:ind w:left="63"/>
              <w:rPr>
                <w:sz w:val="18"/>
                <w:szCs w:val="18"/>
              </w:rPr>
            </w:pPr>
            <w:r>
              <w:rPr>
                <w:spacing w:val="-2"/>
                <w:sz w:val="18"/>
                <w:szCs w:val="18"/>
              </w:rPr>
              <w:t>0.03L</w:t>
            </w:r>
          </w:p>
        </w:tc>
        <w:tc>
          <w:tcPr>
            <w:tcW w:w="545" w:type="dxa"/>
            <w:vAlign w:val="top"/>
          </w:tcPr>
          <w:p w14:paraId="57A9E3CD">
            <w:pPr>
              <w:pStyle w:val="6"/>
              <w:spacing w:before="104" w:line="206" w:lineRule="auto"/>
              <w:ind w:left="53"/>
              <w:rPr>
                <w:sz w:val="18"/>
                <w:szCs w:val="18"/>
              </w:rPr>
            </w:pPr>
            <w:r>
              <w:rPr>
                <w:spacing w:val="-2"/>
                <w:sz w:val="18"/>
                <w:szCs w:val="18"/>
              </w:rPr>
              <w:t>0.02L</w:t>
            </w:r>
          </w:p>
        </w:tc>
        <w:tc>
          <w:tcPr>
            <w:tcW w:w="472" w:type="dxa"/>
            <w:vAlign w:val="top"/>
          </w:tcPr>
          <w:p w14:paraId="3C00D7EA">
            <w:pPr>
              <w:pStyle w:val="6"/>
              <w:spacing w:before="104" w:line="206" w:lineRule="auto"/>
              <w:ind w:left="73"/>
              <w:rPr>
                <w:sz w:val="18"/>
                <w:szCs w:val="18"/>
              </w:rPr>
            </w:pPr>
            <w:r>
              <w:rPr>
                <w:spacing w:val="-2"/>
                <w:sz w:val="18"/>
                <w:szCs w:val="18"/>
              </w:rPr>
              <w:t>0.01</w:t>
            </w:r>
          </w:p>
        </w:tc>
        <w:tc>
          <w:tcPr>
            <w:tcW w:w="562" w:type="dxa"/>
            <w:vAlign w:val="top"/>
          </w:tcPr>
          <w:p w14:paraId="5BE4F959">
            <w:pPr>
              <w:pStyle w:val="6"/>
              <w:spacing w:before="104" w:line="206" w:lineRule="auto"/>
              <w:ind w:left="19"/>
              <w:rPr>
                <w:sz w:val="18"/>
                <w:szCs w:val="18"/>
              </w:rPr>
            </w:pPr>
            <w:r>
              <w:rPr>
                <w:spacing w:val="-2"/>
                <w:sz w:val="18"/>
                <w:szCs w:val="18"/>
              </w:rPr>
              <w:t>0.006L</w:t>
            </w:r>
          </w:p>
        </w:tc>
        <w:tc>
          <w:tcPr>
            <w:tcW w:w="651" w:type="dxa"/>
            <w:vAlign w:val="top"/>
          </w:tcPr>
          <w:p w14:paraId="4591910B">
            <w:pPr>
              <w:pStyle w:val="6"/>
              <w:spacing w:before="104" w:line="206" w:lineRule="auto"/>
              <w:ind w:left="18"/>
              <w:rPr>
                <w:sz w:val="18"/>
                <w:szCs w:val="18"/>
              </w:rPr>
            </w:pPr>
            <w:r>
              <w:rPr>
                <w:spacing w:val="-1"/>
                <w:sz w:val="18"/>
                <w:szCs w:val="18"/>
              </w:rPr>
              <w:t>0.0003L</w:t>
            </w:r>
          </w:p>
        </w:tc>
        <w:tc>
          <w:tcPr>
            <w:tcW w:w="884" w:type="dxa"/>
            <w:vAlign w:val="top"/>
          </w:tcPr>
          <w:p w14:paraId="22EC3DAF">
            <w:pPr>
              <w:pStyle w:val="6"/>
              <w:spacing w:before="104" w:line="206" w:lineRule="auto"/>
              <w:ind w:left="226"/>
              <w:rPr>
                <w:sz w:val="18"/>
                <w:szCs w:val="18"/>
              </w:rPr>
            </w:pPr>
            <w:r>
              <w:rPr>
                <w:spacing w:val="-2"/>
                <w:sz w:val="18"/>
                <w:szCs w:val="18"/>
              </w:rPr>
              <w:t>0.05L</w:t>
            </w:r>
          </w:p>
        </w:tc>
        <w:tc>
          <w:tcPr>
            <w:tcW w:w="709" w:type="dxa"/>
            <w:vAlign w:val="top"/>
          </w:tcPr>
          <w:p w14:paraId="27DB1D52">
            <w:pPr>
              <w:pStyle w:val="6"/>
              <w:spacing w:before="104" w:line="206" w:lineRule="auto"/>
              <w:ind w:left="194"/>
              <w:rPr>
                <w:sz w:val="18"/>
                <w:szCs w:val="18"/>
              </w:rPr>
            </w:pPr>
            <w:r>
              <w:rPr>
                <w:spacing w:val="-2"/>
                <w:sz w:val="18"/>
                <w:szCs w:val="18"/>
              </w:rPr>
              <w:t>0.01</w:t>
            </w:r>
          </w:p>
        </w:tc>
        <w:tc>
          <w:tcPr>
            <w:tcW w:w="703" w:type="dxa"/>
            <w:vAlign w:val="top"/>
          </w:tcPr>
          <w:p w14:paraId="031C366B">
            <w:pPr>
              <w:pStyle w:val="6"/>
              <w:spacing w:before="104" w:line="206" w:lineRule="auto"/>
              <w:ind w:left="207"/>
              <w:rPr>
                <w:sz w:val="18"/>
                <w:szCs w:val="18"/>
              </w:rPr>
            </w:pPr>
            <w:r>
              <w:rPr>
                <w:spacing w:val="-6"/>
                <w:sz w:val="18"/>
                <w:szCs w:val="18"/>
              </w:rPr>
              <w:t>1.40</w:t>
            </w:r>
          </w:p>
        </w:tc>
        <w:tc>
          <w:tcPr>
            <w:tcW w:w="708" w:type="dxa"/>
            <w:vAlign w:val="top"/>
          </w:tcPr>
          <w:p w14:paraId="14D04B8A">
            <w:pPr>
              <w:pStyle w:val="6"/>
              <w:spacing w:before="104" w:line="206" w:lineRule="auto"/>
              <w:ind w:left="96"/>
              <w:rPr>
                <w:sz w:val="18"/>
                <w:szCs w:val="18"/>
              </w:rPr>
            </w:pPr>
            <w:r>
              <w:rPr>
                <w:spacing w:val="-2"/>
                <w:sz w:val="18"/>
                <w:szCs w:val="18"/>
              </w:rPr>
              <w:t>0.003L</w:t>
            </w:r>
          </w:p>
        </w:tc>
        <w:tc>
          <w:tcPr>
            <w:tcW w:w="764" w:type="dxa"/>
            <w:vAlign w:val="top"/>
          </w:tcPr>
          <w:p w14:paraId="5749FF7F">
            <w:pPr>
              <w:pStyle w:val="6"/>
              <w:spacing w:before="104" w:line="206" w:lineRule="auto"/>
              <w:ind w:left="126"/>
              <w:rPr>
                <w:sz w:val="18"/>
                <w:szCs w:val="18"/>
              </w:rPr>
            </w:pPr>
            <w:r>
              <w:rPr>
                <w:spacing w:val="-2"/>
                <w:sz w:val="18"/>
                <w:szCs w:val="18"/>
              </w:rPr>
              <w:t>0.025L</w:t>
            </w:r>
          </w:p>
        </w:tc>
        <w:tc>
          <w:tcPr>
            <w:tcW w:w="586" w:type="dxa"/>
            <w:vAlign w:val="top"/>
          </w:tcPr>
          <w:p w14:paraId="2322DFA9">
            <w:pPr>
              <w:pStyle w:val="6"/>
              <w:spacing w:before="104" w:line="206" w:lineRule="auto"/>
              <w:ind w:left="139"/>
              <w:rPr>
                <w:sz w:val="18"/>
                <w:szCs w:val="18"/>
              </w:rPr>
            </w:pPr>
            <w:r>
              <w:rPr>
                <w:spacing w:val="-2"/>
                <w:sz w:val="18"/>
                <w:szCs w:val="18"/>
              </w:rPr>
              <w:t>0.44</w:t>
            </w:r>
          </w:p>
        </w:tc>
        <w:tc>
          <w:tcPr>
            <w:tcW w:w="582" w:type="dxa"/>
            <w:vAlign w:val="top"/>
          </w:tcPr>
          <w:p w14:paraId="46E33AC2">
            <w:pPr>
              <w:pStyle w:val="6"/>
              <w:spacing w:before="104" w:line="206" w:lineRule="auto"/>
              <w:ind w:left="38"/>
              <w:rPr>
                <w:sz w:val="18"/>
                <w:szCs w:val="18"/>
              </w:rPr>
            </w:pPr>
            <w:r>
              <w:rPr>
                <w:spacing w:val="-2"/>
                <w:sz w:val="18"/>
                <w:szCs w:val="18"/>
              </w:rPr>
              <w:t>0.004L</w:t>
            </w:r>
          </w:p>
        </w:tc>
        <w:tc>
          <w:tcPr>
            <w:tcW w:w="745" w:type="dxa"/>
            <w:vAlign w:val="top"/>
          </w:tcPr>
          <w:p w14:paraId="7D79C1FA">
            <w:pPr>
              <w:pStyle w:val="6"/>
              <w:spacing w:before="104" w:line="206" w:lineRule="auto"/>
              <w:ind w:left="31"/>
              <w:rPr>
                <w:sz w:val="18"/>
                <w:szCs w:val="18"/>
              </w:rPr>
            </w:pPr>
            <w:r>
              <w:rPr>
                <w:spacing w:val="-1"/>
                <w:sz w:val="18"/>
                <w:szCs w:val="18"/>
              </w:rPr>
              <w:t>0.00004L</w:t>
            </w:r>
          </w:p>
        </w:tc>
        <w:tc>
          <w:tcPr>
            <w:tcW w:w="651" w:type="dxa"/>
            <w:vAlign w:val="top"/>
          </w:tcPr>
          <w:p w14:paraId="5C27F660">
            <w:pPr>
              <w:pStyle w:val="6"/>
              <w:spacing w:before="104" w:line="206" w:lineRule="auto"/>
              <w:ind w:left="84"/>
              <w:rPr>
                <w:sz w:val="18"/>
                <w:szCs w:val="18"/>
              </w:rPr>
            </w:pPr>
            <w:r>
              <w:rPr>
                <w:spacing w:val="-2"/>
                <w:sz w:val="18"/>
                <w:szCs w:val="18"/>
              </w:rPr>
              <w:t>0.0005</w:t>
            </w:r>
          </w:p>
        </w:tc>
        <w:tc>
          <w:tcPr>
            <w:tcW w:w="652" w:type="dxa"/>
            <w:vAlign w:val="top"/>
          </w:tcPr>
          <w:p w14:paraId="7BE494D5">
            <w:pPr>
              <w:pStyle w:val="6"/>
              <w:spacing w:before="104" w:line="206" w:lineRule="auto"/>
              <w:ind w:left="30"/>
              <w:rPr>
                <w:sz w:val="18"/>
                <w:szCs w:val="18"/>
              </w:rPr>
            </w:pPr>
            <w:r>
              <w:rPr>
                <w:spacing w:val="-1"/>
                <w:sz w:val="18"/>
                <w:szCs w:val="18"/>
              </w:rPr>
              <w:t>0.0004L</w:t>
            </w:r>
          </w:p>
        </w:tc>
        <w:tc>
          <w:tcPr>
            <w:tcW w:w="566" w:type="dxa"/>
            <w:vAlign w:val="top"/>
          </w:tcPr>
          <w:p w14:paraId="5354FEC1">
            <w:pPr>
              <w:pStyle w:val="6"/>
              <w:spacing w:before="104" w:line="206" w:lineRule="auto"/>
              <w:ind w:left="32"/>
              <w:rPr>
                <w:sz w:val="18"/>
                <w:szCs w:val="18"/>
              </w:rPr>
            </w:pPr>
            <w:r>
              <w:rPr>
                <w:spacing w:val="-2"/>
                <w:sz w:val="18"/>
                <w:szCs w:val="18"/>
              </w:rPr>
              <w:t>0.001L</w:t>
            </w:r>
          </w:p>
        </w:tc>
        <w:tc>
          <w:tcPr>
            <w:tcW w:w="582" w:type="dxa"/>
            <w:vAlign w:val="top"/>
          </w:tcPr>
          <w:p w14:paraId="0470B7A3">
            <w:pPr>
              <w:pStyle w:val="6"/>
              <w:spacing w:before="104" w:line="206" w:lineRule="auto"/>
              <w:ind w:left="41"/>
              <w:rPr>
                <w:sz w:val="18"/>
                <w:szCs w:val="18"/>
              </w:rPr>
            </w:pPr>
            <w:r>
              <w:rPr>
                <w:spacing w:val="-2"/>
                <w:sz w:val="18"/>
                <w:szCs w:val="18"/>
              </w:rPr>
              <w:t>0.004L</w:t>
            </w:r>
          </w:p>
        </w:tc>
        <w:tc>
          <w:tcPr>
            <w:tcW w:w="476" w:type="dxa"/>
            <w:vAlign w:val="top"/>
          </w:tcPr>
          <w:p w14:paraId="78A2C1B7">
            <w:pPr>
              <w:pStyle w:val="6"/>
              <w:spacing w:before="104" w:line="206" w:lineRule="auto"/>
              <w:ind w:left="34"/>
              <w:rPr>
                <w:sz w:val="18"/>
                <w:szCs w:val="18"/>
              </w:rPr>
            </w:pPr>
            <w:r>
              <w:rPr>
                <w:spacing w:val="-2"/>
                <w:sz w:val="18"/>
                <w:szCs w:val="18"/>
              </w:rPr>
              <w:t>0.01L</w:t>
            </w:r>
          </w:p>
        </w:tc>
        <w:tc>
          <w:tcPr>
            <w:tcW w:w="567" w:type="dxa"/>
            <w:vAlign w:val="top"/>
          </w:tcPr>
          <w:p w14:paraId="19CCE15B">
            <w:pPr>
              <w:pStyle w:val="6"/>
              <w:spacing w:before="104" w:line="206" w:lineRule="auto"/>
              <w:ind w:left="91"/>
              <w:rPr>
                <w:sz w:val="18"/>
                <w:szCs w:val="18"/>
              </w:rPr>
            </w:pPr>
            <w:r>
              <w:rPr>
                <w:spacing w:val="-2"/>
                <w:sz w:val="18"/>
                <w:szCs w:val="18"/>
              </w:rPr>
              <w:t>0.013</w:t>
            </w:r>
          </w:p>
        </w:tc>
        <w:tc>
          <w:tcPr>
            <w:tcW w:w="765" w:type="dxa"/>
            <w:vAlign w:val="top"/>
          </w:tcPr>
          <w:p w14:paraId="0A0A4B45">
            <w:pPr>
              <w:pStyle w:val="6"/>
              <w:spacing w:before="104" w:line="206" w:lineRule="auto"/>
              <w:ind w:left="361"/>
              <w:rPr>
                <w:sz w:val="18"/>
                <w:szCs w:val="18"/>
              </w:rPr>
            </w:pPr>
            <w:r>
              <w:rPr>
                <w:sz w:val="18"/>
                <w:szCs w:val="18"/>
              </w:rPr>
              <w:t>/</w:t>
            </w:r>
          </w:p>
        </w:tc>
        <w:tc>
          <w:tcPr>
            <w:tcW w:w="424" w:type="dxa"/>
            <w:vAlign w:val="top"/>
          </w:tcPr>
          <w:p w14:paraId="306F9C92">
            <w:pPr>
              <w:pStyle w:val="6"/>
              <w:spacing w:before="104" w:line="206" w:lineRule="auto"/>
              <w:ind w:left="90"/>
              <w:rPr>
                <w:sz w:val="18"/>
                <w:szCs w:val="18"/>
              </w:rPr>
            </w:pPr>
            <w:r>
              <w:rPr>
                <w:spacing w:val="-2"/>
                <w:sz w:val="18"/>
                <w:szCs w:val="18"/>
              </w:rPr>
              <w:t>362</w:t>
            </w:r>
          </w:p>
        </w:tc>
        <w:tc>
          <w:tcPr>
            <w:tcW w:w="427" w:type="dxa"/>
            <w:vAlign w:val="top"/>
          </w:tcPr>
          <w:p w14:paraId="3879477A">
            <w:pPr>
              <w:pStyle w:val="6"/>
              <w:spacing w:before="104" w:line="206" w:lineRule="auto"/>
              <w:ind w:left="68"/>
              <w:rPr>
                <w:sz w:val="18"/>
                <w:szCs w:val="18"/>
              </w:rPr>
            </w:pPr>
            <w:r>
              <w:rPr>
                <w:spacing w:val="-2"/>
                <w:sz w:val="18"/>
                <w:szCs w:val="18"/>
              </w:rPr>
              <w:t>0.56</w:t>
            </w:r>
          </w:p>
        </w:tc>
        <w:tc>
          <w:tcPr>
            <w:tcW w:w="424" w:type="dxa"/>
            <w:vAlign w:val="top"/>
          </w:tcPr>
          <w:p w14:paraId="2292C5E1">
            <w:pPr>
              <w:pStyle w:val="6"/>
              <w:spacing w:before="104" w:line="206" w:lineRule="auto"/>
              <w:ind w:left="193"/>
              <w:rPr>
                <w:sz w:val="18"/>
                <w:szCs w:val="18"/>
              </w:rPr>
            </w:pPr>
            <w:r>
              <w:rPr>
                <w:sz w:val="18"/>
                <w:szCs w:val="18"/>
              </w:rPr>
              <w:t>/</w:t>
            </w:r>
          </w:p>
        </w:tc>
        <w:tc>
          <w:tcPr>
            <w:tcW w:w="423" w:type="dxa"/>
            <w:vAlign w:val="top"/>
          </w:tcPr>
          <w:p w14:paraId="37EDFEC6">
            <w:pPr>
              <w:pStyle w:val="6"/>
              <w:spacing w:before="104" w:line="206" w:lineRule="auto"/>
              <w:ind w:left="67"/>
              <w:rPr>
                <w:sz w:val="18"/>
                <w:szCs w:val="18"/>
              </w:rPr>
            </w:pPr>
            <w:r>
              <w:rPr>
                <w:spacing w:val="-2"/>
                <w:sz w:val="18"/>
                <w:szCs w:val="18"/>
              </w:rPr>
              <w:t>0.49</w:t>
            </w:r>
          </w:p>
        </w:tc>
        <w:tc>
          <w:tcPr>
            <w:tcW w:w="472" w:type="dxa"/>
            <w:vAlign w:val="top"/>
          </w:tcPr>
          <w:p w14:paraId="1F482A35">
            <w:pPr>
              <w:pStyle w:val="6"/>
              <w:spacing w:before="104" w:line="206" w:lineRule="auto"/>
              <w:ind w:left="95"/>
              <w:rPr>
                <w:sz w:val="18"/>
                <w:szCs w:val="18"/>
              </w:rPr>
            </w:pPr>
            <w:r>
              <w:rPr>
                <w:spacing w:val="-3"/>
                <w:sz w:val="18"/>
                <w:szCs w:val="18"/>
              </w:rPr>
              <w:t>59.2</w:t>
            </w:r>
          </w:p>
        </w:tc>
        <w:tc>
          <w:tcPr>
            <w:tcW w:w="377" w:type="dxa"/>
            <w:tcBorders>
              <w:right w:val="single" w:color="000000" w:sz="12" w:space="0"/>
            </w:tcBorders>
            <w:vAlign w:val="top"/>
          </w:tcPr>
          <w:p w14:paraId="6E54861E">
            <w:pPr>
              <w:pStyle w:val="6"/>
              <w:spacing w:before="104" w:line="206" w:lineRule="auto"/>
              <w:ind w:left="35"/>
              <w:rPr>
                <w:sz w:val="18"/>
                <w:szCs w:val="18"/>
              </w:rPr>
            </w:pPr>
            <w:r>
              <w:rPr>
                <w:spacing w:val="-2"/>
                <w:sz w:val="18"/>
                <w:szCs w:val="18"/>
              </w:rPr>
              <w:t>30.1</w:t>
            </w:r>
          </w:p>
        </w:tc>
      </w:tr>
      <w:tr w14:paraId="0D47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80" w:type="dxa"/>
            <w:vMerge w:val="continue"/>
            <w:tcBorders>
              <w:top w:val="nil"/>
              <w:left w:val="single" w:color="000000" w:sz="12" w:space="0"/>
              <w:bottom w:val="nil"/>
            </w:tcBorders>
            <w:vAlign w:val="top"/>
          </w:tcPr>
          <w:p w14:paraId="7560C6AC">
            <w:pPr>
              <w:rPr>
                <w:rFonts w:ascii="Arial"/>
                <w:sz w:val="21"/>
              </w:rPr>
            </w:pPr>
          </w:p>
        </w:tc>
        <w:tc>
          <w:tcPr>
            <w:tcW w:w="268" w:type="dxa"/>
            <w:vMerge w:val="continue"/>
            <w:tcBorders>
              <w:top w:val="nil"/>
              <w:bottom w:val="nil"/>
            </w:tcBorders>
            <w:vAlign w:val="top"/>
          </w:tcPr>
          <w:p w14:paraId="55903E0D">
            <w:pPr>
              <w:rPr>
                <w:rFonts w:ascii="Arial"/>
                <w:sz w:val="21"/>
              </w:rPr>
            </w:pPr>
          </w:p>
        </w:tc>
        <w:tc>
          <w:tcPr>
            <w:tcW w:w="1038" w:type="dxa"/>
            <w:vAlign w:val="top"/>
          </w:tcPr>
          <w:p w14:paraId="45357E92">
            <w:pPr>
              <w:pStyle w:val="6"/>
              <w:spacing w:before="104" w:line="206" w:lineRule="auto"/>
              <w:ind w:left="94"/>
              <w:rPr>
                <w:sz w:val="18"/>
                <w:szCs w:val="18"/>
              </w:rPr>
            </w:pPr>
            <w:r>
              <w:rPr>
                <w:spacing w:val="-1"/>
                <w:sz w:val="18"/>
                <w:szCs w:val="18"/>
              </w:rPr>
              <w:t>2020/11/16</w:t>
            </w:r>
          </w:p>
        </w:tc>
        <w:tc>
          <w:tcPr>
            <w:tcW w:w="774" w:type="dxa"/>
            <w:vAlign w:val="top"/>
          </w:tcPr>
          <w:p w14:paraId="61B861F6">
            <w:pPr>
              <w:pStyle w:val="6"/>
              <w:spacing w:before="104" w:line="206" w:lineRule="auto"/>
              <w:ind w:left="220"/>
              <w:rPr>
                <w:sz w:val="18"/>
                <w:szCs w:val="18"/>
              </w:rPr>
            </w:pPr>
            <w:r>
              <w:rPr>
                <w:spacing w:val="-2"/>
                <w:sz w:val="18"/>
                <w:szCs w:val="18"/>
              </w:rPr>
              <w:t>6.33</w:t>
            </w:r>
          </w:p>
        </w:tc>
        <w:tc>
          <w:tcPr>
            <w:tcW w:w="741" w:type="dxa"/>
            <w:vAlign w:val="top"/>
          </w:tcPr>
          <w:p w14:paraId="34BD32BD">
            <w:pPr>
              <w:pStyle w:val="6"/>
              <w:spacing w:before="104" w:line="206" w:lineRule="auto"/>
              <w:ind w:left="225"/>
              <w:rPr>
                <w:sz w:val="18"/>
                <w:szCs w:val="18"/>
              </w:rPr>
            </w:pPr>
            <w:r>
              <w:rPr>
                <w:spacing w:val="-2"/>
                <w:sz w:val="18"/>
                <w:szCs w:val="18"/>
              </w:rPr>
              <w:t>342</w:t>
            </w:r>
          </w:p>
        </w:tc>
        <w:tc>
          <w:tcPr>
            <w:tcW w:w="705" w:type="dxa"/>
            <w:vAlign w:val="top"/>
          </w:tcPr>
          <w:p w14:paraId="64F7C966">
            <w:pPr>
              <w:pStyle w:val="6"/>
              <w:spacing w:before="104" w:line="206" w:lineRule="auto"/>
              <w:ind w:left="205"/>
              <w:rPr>
                <w:sz w:val="18"/>
                <w:szCs w:val="18"/>
              </w:rPr>
            </w:pPr>
            <w:r>
              <w:rPr>
                <w:spacing w:val="-1"/>
                <w:sz w:val="18"/>
                <w:szCs w:val="18"/>
              </w:rPr>
              <w:t>425</w:t>
            </w:r>
          </w:p>
        </w:tc>
        <w:tc>
          <w:tcPr>
            <w:tcW w:w="570" w:type="dxa"/>
            <w:vAlign w:val="top"/>
          </w:tcPr>
          <w:p w14:paraId="6665EFC3">
            <w:pPr>
              <w:pStyle w:val="6"/>
              <w:spacing w:before="107" w:line="186" w:lineRule="auto"/>
              <w:ind w:left="180"/>
              <w:rPr>
                <w:sz w:val="18"/>
                <w:szCs w:val="18"/>
              </w:rPr>
            </w:pPr>
            <w:r>
              <w:rPr>
                <w:spacing w:val="-3"/>
                <w:sz w:val="18"/>
                <w:szCs w:val="18"/>
              </w:rPr>
              <w:t>8L</w:t>
            </w:r>
          </w:p>
        </w:tc>
        <w:tc>
          <w:tcPr>
            <w:tcW w:w="423" w:type="dxa"/>
            <w:vAlign w:val="top"/>
          </w:tcPr>
          <w:p w14:paraId="1320A021">
            <w:pPr>
              <w:pStyle w:val="6"/>
              <w:spacing w:before="107" w:line="186" w:lineRule="auto"/>
              <w:ind w:left="72"/>
              <w:rPr>
                <w:sz w:val="18"/>
                <w:szCs w:val="18"/>
              </w:rPr>
            </w:pPr>
            <w:r>
              <w:rPr>
                <w:spacing w:val="-5"/>
                <w:sz w:val="18"/>
                <w:szCs w:val="18"/>
              </w:rPr>
              <w:t>10L</w:t>
            </w:r>
          </w:p>
        </w:tc>
        <w:tc>
          <w:tcPr>
            <w:tcW w:w="567" w:type="dxa"/>
            <w:vAlign w:val="top"/>
          </w:tcPr>
          <w:p w14:paraId="4AAE493E">
            <w:pPr>
              <w:pStyle w:val="6"/>
              <w:spacing w:before="104" w:line="206" w:lineRule="auto"/>
              <w:ind w:left="63"/>
              <w:rPr>
                <w:sz w:val="18"/>
                <w:szCs w:val="18"/>
              </w:rPr>
            </w:pPr>
            <w:r>
              <w:rPr>
                <w:spacing w:val="-2"/>
                <w:sz w:val="18"/>
                <w:szCs w:val="18"/>
              </w:rPr>
              <w:t>0.03L</w:t>
            </w:r>
          </w:p>
        </w:tc>
        <w:tc>
          <w:tcPr>
            <w:tcW w:w="545" w:type="dxa"/>
            <w:vAlign w:val="top"/>
          </w:tcPr>
          <w:p w14:paraId="7DD3AE55">
            <w:pPr>
              <w:pStyle w:val="6"/>
              <w:spacing w:before="104" w:line="206" w:lineRule="auto"/>
              <w:ind w:left="53"/>
              <w:rPr>
                <w:sz w:val="18"/>
                <w:szCs w:val="18"/>
              </w:rPr>
            </w:pPr>
            <w:r>
              <w:rPr>
                <w:spacing w:val="-2"/>
                <w:sz w:val="18"/>
                <w:szCs w:val="18"/>
              </w:rPr>
              <w:t>0.02L</w:t>
            </w:r>
          </w:p>
        </w:tc>
        <w:tc>
          <w:tcPr>
            <w:tcW w:w="472" w:type="dxa"/>
            <w:vAlign w:val="top"/>
          </w:tcPr>
          <w:p w14:paraId="29421015">
            <w:pPr>
              <w:pStyle w:val="6"/>
              <w:spacing w:before="104" w:line="206" w:lineRule="auto"/>
              <w:ind w:left="73"/>
              <w:rPr>
                <w:sz w:val="18"/>
                <w:szCs w:val="18"/>
              </w:rPr>
            </w:pPr>
            <w:r>
              <w:rPr>
                <w:spacing w:val="-2"/>
                <w:sz w:val="18"/>
                <w:szCs w:val="18"/>
              </w:rPr>
              <w:t>0.01</w:t>
            </w:r>
          </w:p>
        </w:tc>
        <w:tc>
          <w:tcPr>
            <w:tcW w:w="562" w:type="dxa"/>
            <w:vAlign w:val="top"/>
          </w:tcPr>
          <w:p w14:paraId="790CF452">
            <w:pPr>
              <w:pStyle w:val="6"/>
              <w:spacing w:before="104" w:line="206" w:lineRule="auto"/>
              <w:ind w:left="19"/>
              <w:rPr>
                <w:sz w:val="18"/>
                <w:szCs w:val="18"/>
              </w:rPr>
            </w:pPr>
            <w:r>
              <w:rPr>
                <w:spacing w:val="-2"/>
                <w:sz w:val="18"/>
                <w:szCs w:val="18"/>
              </w:rPr>
              <w:t>0.006L</w:t>
            </w:r>
          </w:p>
        </w:tc>
        <w:tc>
          <w:tcPr>
            <w:tcW w:w="651" w:type="dxa"/>
            <w:vAlign w:val="top"/>
          </w:tcPr>
          <w:p w14:paraId="0F1F5C7A">
            <w:pPr>
              <w:pStyle w:val="6"/>
              <w:spacing w:before="104" w:line="206" w:lineRule="auto"/>
              <w:ind w:left="18"/>
              <w:rPr>
                <w:sz w:val="18"/>
                <w:szCs w:val="18"/>
              </w:rPr>
            </w:pPr>
            <w:r>
              <w:rPr>
                <w:spacing w:val="-1"/>
                <w:sz w:val="18"/>
                <w:szCs w:val="18"/>
              </w:rPr>
              <w:t>0.0003L</w:t>
            </w:r>
          </w:p>
        </w:tc>
        <w:tc>
          <w:tcPr>
            <w:tcW w:w="884" w:type="dxa"/>
            <w:vAlign w:val="top"/>
          </w:tcPr>
          <w:p w14:paraId="6A181441">
            <w:pPr>
              <w:pStyle w:val="6"/>
              <w:spacing w:before="104" w:line="206" w:lineRule="auto"/>
              <w:ind w:left="226"/>
              <w:rPr>
                <w:sz w:val="18"/>
                <w:szCs w:val="18"/>
              </w:rPr>
            </w:pPr>
            <w:r>
              <w:rPr>
                <w:spacing w:val="-2"/>
                <w:sz w:val="18"/>
                <w:szCs w:val="18"/>
              </w:rPr>
              <w:t>0.05L</w:t>
            </w:r>
          </w:p>
        </w:tc>
        <w:tc>
          <w:tcPr>
            <w:tcW w:w="709" w:type="dxa"/>
            <w:vAlign w:val="top"/>
          </w:tcPr>
          <w:p w14:paraId="494DF2E3">
            <w:pPr>
              <w:pStyle w:val="6"/>
              <w:spacing w:before="104" w:line="206" w:lineRule="auto"/>
              <w:ind w:left="194"/>
              <w:rPr>
                <w:sz w:val="18"/>
                <w:szCs w:val="18"/>
              </w:rPr>
            </w:pPr>
            <w:r>
              <w:rPr>
                <w:spacing w:val="-2"/>
                <w:sz w:val="18"/>
                <w:szCs w:val="18"/>
              </w:rPr>
              <w:t>0.01</w:t>
            </w:r>
          </w:p>
        </w:tc>
        <w:tc>
          <w:tcPr>
            <w:tcW w:w="703" w:type="dxa"/>
            <w:vAlign w:val="top"/>
          </w:tcPr>
          <w:p w14:paraId="707E2CDA">
            <w:pPr>
              <w:pStyle w:val="6"/>
              <w:spacing w:before="104" w:line="206" w:lineRule="auto"/>
              <w:ind w:left="207"/>
              <w:rPr>
                <w:sz w:val="18"/>
                <w:szCs w:val="18"/>
              </w:rPr>
            </w:pPr>
            <w:r>
              <w:rPr>
                <w:spacing w:val="-6"/>
                <w:sz w:val="18"/>
                <w:szCs w:val="18"/>
              </w:rPr>
              <w:t>1.36</w:t>
            </w:r>
          </w:p>
        </w:tc>
        <w:tc>
          <w:tcPr>
            <w:tcW w:w="708" w:type="dxa"/>
            <w:vAlign w:val="top"/>
          </w:tcPr>
          <w:p w14:paraId="44DD7D6F">
            <w:pPr>
              <w:pStyle w:val="6"/>
              <w:spacing w:before="104" w:line="206" w:lineRule="auto"/>
              <w:ind w:left="96"/>
              <w:rPr>
                <w:sz w:val="18"/>
                <w:szCs w:val="18"/>
              </w:rPr>
            </w:pPr>
            <w:r>
              <w:rPr>
                <w:spacing w:val="-2"/>
                <w:sz w:val="18"/>
                <w:szCs w:val="18"/>
              </w:rPr>
              <w:t>0.003L</w:t>
            </w:r>
          </w:p>
        </w:tc>
        <w:tc>
          <w:tcPr>
            <w:tcW w:w="764" w:type="dxa"/>
            <w:vAlign w:val="top"/>
          </w:tcPr>
          <w:p w14:paraId="740731C0">
            <w:pPr>
              <w:pStyle w:val="6"/>
              <w:spacing w:before="104" w:line="206" w:lineRule="auto"/>
              <w:ind w:left="126"/>
              <w:rPr>
                <w:sz w:val="18"/>
                <w:szCs w:val="18"/>
              </w:rPr>
            </w:pPr>
            <w:r>
              <w:rPr>
                <w:spacing w:val="-2"/>
                <w:sz w:val="18"/>
                <w:szCs w:val="18"/>
              </w:rPr>
              <w:t>0.025L</w:t>
            </w:r>
          </w:p>
        </w:tc>
        <w:tc>
          <w:tcPr>
            <w:tcW w:w="586" w:type="dxa"/>
            <w:vAlign w:val="top"/>
          </w:tcPr>
          <w:p w14:paraId="7F99726C">
            <w:pPr>
              <w:pStyle w:val="6"/>
              <w:spacing w:before="104" w:line="206" w:lineRule="auto"/>
              <w:ind w:left="139"/>
              <w:rPr>
                <w:sz w:val="18"/>
                <w:szCs w:val="18"/>
              </w:rPr>
            </w:pPr>
            <w:r>
              <w:rPr>
                <w:spacing w:val="-2"/>
                <w:sz w:val="18"/>
                <w:szCs w:val="18"/>
              </w:rPr>
              <w:t>0.47</w:t>
            </w:r>
          </w:p>
        </w:tc>
        <w:tc>
          <w:tcPr>
            <w:tcW w:w="582" w:type="dxa"/>
            <w:vAlign w:val="top"/>
          </w:tcPr>
          <w:p w14:paraId="42790FD8">
            <w:pPr>
              <w:pStyle w:val="6"/>
              <w:spacing w:before="104" w:line="206" w:lineRule="auto"/>
              <w:ind w:left="38"/>
              <w:rPr>
                <w:sz w:val="18"/>
                <w:szCs w:val="18"/>
              </w:rPr>
            </w:pPr>
            <w:r>
              <w:rPr>
                <w:spacing w:val="-2"/>
                <w:sz w:val="18"/>
                <w:szCs w:val="18"/>
              </w:rPr>
              <w:t>0.004L</w:t>
            </w:r>
          </w:p>
        </w:tc>
        <w:tc>
          <w:tcPr>
            <w:tcW w:w="745" w:type="dxa"/>
            <w:vAlign w:val="top"/>
          </w:tcPr>
          <w:p w14:paraId="7749411D">
            <w:pPr>
              <w:pStyle w:val="6"/>
              <w:spacing w:before="104" w:line="206" w:lineRule="auto"/>
              <w:ind w:left="31"/>
              <w:rPr>
                <w:sz w:val="18"/>
                <w:szCs w:val="18"/>
              </w:rPr>
            </w:pPr>
            <w:r>
              <w:rPr>
                <w:spacing w:val="-1"/>
                <w:sz w:val="18"/>
                <w:szCs w:val="18"/>
              </w:rPr>
              <w:t>0.00004L</w:t>
            </w:r>
          </w:p>
        </w:tc>
        <w:tc>
          <w:tcPr>
            <w:tcW w:w="651" w:type="dxa"/>
            <w:vAlign w:val="top"/>
          </w:tcPr>
          <w:p w14:paraId="757741A2">
            <w:pPr>
              <w:pStyle w:val="6"/>
              <w:spacing w:before="104" w:line="206" w:lineRule="auto"/>
              <w:ind w:left="84"/>
              <w:rPr>
                <w:sz w:val="18"/>
                <w:szCs w:val="18"/>
              </w:rPr>
            </w:pPr>
            <w:r>
              <w:rPr>
                <w:spacing w:val="-2"/>
                <w:sz w:val="18"/>
                <w:szCs w:val="18"/>
              </w:rPr>
              <w:t>0.0005</w:t>
            </w:r>
          </w:p>
        </w:tc>
        <w:tc>
          <w:tcPr>
            <w:tcW w:w="652" w:type="dxa"/>
            <w:vAlign w:val="top"/>
          </w:tcPr>
          <w:p w14:paraId="25DB7048">
            <w:pPr>
              <w:pStyle w:val="6"/>
              <w:spacing w:before="104" w:line="206" w:lineRule="auto"/>
              <w:ind w:left="30"/>
              <w:rPr>
                <w:sz w:val="18"/>
                <w:szCs w:val="18"/>
              </w:rPr>
            </w:pPr>
            <w:r>
              <w:rPr>
                <w:spacing w:val="-1"/>
                <w:sz w:val="18"/>
                <w:szCs w:val="18"/>
              </w:rPr>
              <w:t>0.0004L</w:t>
            </w:r>
          </w:p>
        </w:tc>
        <w:tc>
          <w:tcPr>
            <w:tcW w:w="566" w:type="dxa"/>
            <w:vAlign w:val="top"/>
          </w:tcPr>
          <w:p w14:paraId="72E4CE74">
            <w:pPr>
              <w:pStyle w:val="6"/>
              <w:spacing w:before="104" w:line="206" w:lineRule="auto"/>
              <w:ind w:left="32"/>
              <w:rPr>
                <w:sz w:val="18"/>
                <w:szCs w:val="18"/>
              </w:rPr>
            </w:pPr>
            <w:r>
              <w:rPr>
                <w:spacing w:val="-2"/>
                <w:sz w:val="18"/>
                <w:szCs w:val="18"/>
              </w:rPr>
              <w:t>0.001L</w:t>
            </w:r>
          </w:p>
        </w:tc>
        <w:tc>
          <w:tcPr>
            <w:tcW w:w="582" w:type="dxa"/>
            <w:vAlign w:val="top"/>
          </w:tcPr>
          <w:p w14:paraId="169FF68C">
            <w:pPr>
              <w:pStyle w:val="6"/>
              <w:spacing w:before="104" w:line="206" w:lineRule="auto"/>
              <w:ind w:left="41"/>
              <w:rPr>
                <w:sz w:val="18"/>
                <w:szCs w:val="18"/>
              </w:rPr>
            </w:pPr>
            <w:r>
              <w:rPr>
                <w:spacing w:val="-2"/>
                <w:sz w:val="18"/>
                <w:szCs w:val="18"/>
              </w:rPr>
              <w:t>0.004L</w:t>
            </w:r>
          </w:p>
        </w:tc>
        <w:tc>
          <w:tcPr>
            <w:tcW w:w="476" w:type="dxa"/>
            <w:vAlign w:val="top"/>
          </w:tcPr>
          <w:p w14:paraId="64026ACD">
            <w:pPr>
              <w:pStyle w:val="6"/>
              <w:spacing w:before="104" w:line="206" w:lineRule="auto"/>
              <w:ind w:left="34"/>
              <w:rPr>
                <w:sz w:val="18"/>
                <w:szCs w:val="18"/>
              </w:rPr>
            </w:pPr>
            <w:r>
              <w:rPr>
                <w:spacing w:val="-2"/>
                <w:sz w:val="18"/>
                <w:szCs w:val="18"/>
              </w:rPr>
              <w:t>0.01L</w:t>
            </w:r>
          </w:p>
        </w:tc>
        <w:tc>
          <w:tcPr>
            <w:tcW w:w="567" w:type="dxa"/>
            <w:vAlign w:val="top"/>
          </w:tcPr>
          <w:p w14:paraId="235F459E">
            <w:pPr>
              <w:pStyle w:val="6"/>
              <w:spacing w:before="104" w:line="206" w:lineRule="auto"/>
              <w:ind w:left="91"/>
              <w:rPr>
                <w:sz w:val="18"/>
                <w:szCs w:val="18"/>
              </w:rPr>
            </w:pPr>
            <w:r>
              <w:rPr>
                <w:spacing w:val="-2"/>
                <w:sz w:val="18"/>
                <w:szCs w:val="18"/>
              </w:rPr>
              <w:t>0.015</w:t>
            </w:r>
          </w:p>
        </w:tc>
        <w:tc>
          <w:tcPr>
            <w:tcW w:w="765" w:type="dxa"/>
            <w:vAlign w:val="top"/>
          </w:tcPr>
          <w:p w14:paraId="27B572FF">
            <w:pPr>
              <w:pStyle w:val="6"/>
              <w:spacing w:before="104" w:line="206" w:lineRule="auto"/>
              <w:ind w:left="361"/>
              <w:rPr>
                <w:sz w:val="18"/>
                <w:szCs w:val="18"/>
              </w:rPr>
            </w:pPr>
            <w:r>
              <w:rPr>
                <w:sz w:val="18"/>
                <w:szCs w:val="18"/>
              </w:rPr>
              <w:t>/</w:t>
            </w:r>
          </w:p>
        </w:tc>
        <w:tc>
          <w:tcPr>
            <w:tcW w:w="424" w:type="dxa"/>
            <w:vAlign w:val="top"/>
          </w:tcPr>
          <w:p w14:paraId="09C0F9C5">
            <w:pPr>
              <w:pStyle w:val="6"/>
              <w:spacing w:before="104" w:line="206" w:lineRule="auto"/>
              <w:ind w:left="90"/>
              <w:rPr>
                <w:sz w:val="18"/>
                <w:szCs w:val="18"/>
              </w:rPr>
            </w:pPr>
            <w:r>
              <w:rPr>
                <w:spacing w:val="-2"/>
                <w:sz w:val="18"/>
                <w:szCs w:val="18"/>
              </w:rPr>
              <w:t>376</w:t>
            </w:r>
          </w:p>
        </w:tc>
        <w:tc>
          <w:tcPr>
            <w:tcW w:w="427" w:type="dxa"/>
            <w:vAlign w:val="top"/>
          </w:tcPr>
          <w:p w14:paraId="63A00B26">
            <w:pPr>
              <w:pStyle w:val="6"/>
              <w:spacing w:before="104" w:line="206" w:lineRule="auto"/>
              <w:ind w:left="68"/>
              <w:rPr>
                <w:sz w:val="18"/>
                <w:szCs w:val="18"/>
              </w:rPr>
            </w:pPr>
            <w:r>
              <w:rPr>
                <w:spacing w:val="-2"/>
                <w:sz w:val="18"/>
                <w:szCs w:val="18"/>
              </w:rPr>
              <w:t>0.52</w:t>
            </w:r>
          </w:p>
        </w:tc>
        <w:tc>
          <w:tcPr>
            <w:tcW w:w="424" w:type="dxa"/>
            <w:vAlign w:val="top"/>
          </w:tcPr>
          <w:p w14:paraId="53811F4D">
            <w:pPr>
              <w:pStyle w:val="6"/>
              <w:spacing w:before="104" w:line="206" w:lineRule="auto"/>
              <w:ind w:left="193"/>
              <w:rPr>
                <w:sz w:val="18"/>
                <w:szCs w:val="18"/>
              </w:rPr>
            </w:pPr>
            <w:r>
              <w:rPr>
                <w:sz w:val="18"/>
                <w:szCs w:val="18"/>
              </w:rPr>
              <w:t>/</w:t>
            </w:r>
          </w:p>
        </w:tc>
        <w:tc>
          <w:tcPr>
            <w:tcW w:w="423" w:type="dxa"/>
            <w:vAlign w:val="top"/>
          </w:tcPr>
          <w:p w14:paraId="73D740AF">
            <w:pPr>
              <w:pStyle w:val="6"/>
              <w:spacing w:before="104" w:line="206" w:lineRule="auto"/>
              <w:ind w:left="67"/>
              <w:rPr>
                <w:sz w:val="18"/>
                <w:szCs w:val="18"/>
              </w:rPr>
            </w:pPr>
            <w:r>
              <w:rPr>
                <w:spacing w:val="-2"/>
                <w:sz w:val="18"/>
                <w:szCs w:val="18"/>
              </w:rPr>
              <w:t>0.48</w:t>
            </w:r>
          </w:p>
        </w:tc>
        <w:tc>
          <w:tcPr>
            <w:tcW w:w="472" w:type="dxa"/>
            <w:vAlign w:val="top"/>
          </w:tcPr>
          <w:p w14:paraId="33D842DE">
            <w:pPr>
              <w:pStyle w:val="6"/>
              <w:spacing w:before="104" w:line="206" w:lineRule="auto"/>
              <w:ind w:left="94"/>
              <w:rPr>
                <w:sz w:val="18"/>
                <w:szCs w:val="18"/>
              </w:rPr>
            </w:pPr>
            <w:r>
              <w:rPr>
                <w:spacing w:val="-2"/>
                <w:sz w:val="18"/>
                <w:szCs w:val="18"/>
              </w:rPr>
              <w:t>60.9</w:t>
            </w:r>
          </w:p>
        </w:tc>
        <w:tc>
          <w:tcPr>
            <w:tcW w:w="377" w:type="dxa"/>
            <w:tcBorders>
              <w:right w:val="single" w:color="000000" w:sz="12" w:space="0"/>
            </w:tcBorders>
            <w:vAlign w:val="top"/>
          </w:tcPr>
          <w:p w14:paraId="687FD7D5">
            <w:pPr>
              <w:pStyle w:val="6"/>
              <w:spacing w:before="104" w:line="206" w:lineRule="auto"/>
              <w:ind w:left="35"/>
              <w:rPr>
                <w:sz w:val="18"/>
                <w:szCs w:val="18"/>
              </w:rPr>
            </w:pPr>
            <w:r>
              <w:rPr>
                <w:spacing w:val="-2"/>
                <w:sz w:val="18"/>
                <w:szCs w:val="18"/>
              </w:rPr>
              <w:t>30.5</w:t>
            </w:r>
          </w:p>
        </w:tc>
      </w:tr>
      <w:tr w14:paraId="7719C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80" w:type="dxa"/>
            <w:vMerge w:val="continue"/>
            <w:tcBorders>
              <w:top w:val="nil"/>
              <w:left w:val="single" w:color="000000" w:sz="12" w:space="0"/>
            </w:tcBorders>
            <w:vAlign w:val="top"/>
          </w:tcPr>
          <w:p w14:paraId="51827900">
            <w:pPr>
              <w:rPr>
                <w:rFonts w:ascii="Arial"/>
                <w:sz w:val="21"/>
              </w:rPr>
            </w:pPr>
          </w:p>
        </w:tc>
        <w:tc>
          <w:tcPr>
            <w:tcW w:w="268" w:type="dxa"/>
            <w:vMerge w:val="continue"/>
            <w:tcBorders>
              <w:top w:val="nil"/>
            </w:tcBorders>
            <w:vAlign w:val="top"/>
          </w:tcPr>
          <w:p w14:paraId="6EFEBEC1">
            <w:pPr>
              <w:rPr>
                <w:rFonts w:ascii="Arial"/>
                <w:sz w:val="21"/>
              </w:rPr>
            </w:pPr>
          </w:p>
        </w:tc>
        <w:tc>
          <w:tcPr>
            <w:tcW w:w="1038" w:type="dxa"/>
            <w:vAlign w:val="top"/>
          </w:tcPr>
          <w:p w14:paraId="65C44142">
            <w:pPr>
              <w:pStyle w:val="6"/>
              <w:spacing w:before="104" w:line="204" w:lineRule="auto"/>
              <w:ind w:left="94"/>
              <w:rPr>
                <w:sz w:val="18"/>
                <w:szCs w:val="18"/>
              </w:rPr>
            </w:pPr>
            <w:r>
              <w:rPr>
                <w:spacing w:val="-1"/>
                <w:sz w:val="18"/>
                <w:szCs w:val="18"/>
              </w:rPr>
              <w:t>2020/11/17</w:t>
            </w:r>
          </w:p>
        </w:tc>
        <w:tc>
          <w:tcPr>
            <w:tcW w:w="774" w:type="dxa"/>
            <w:vAlign w:val="top"/>
          </w:tcPr>
          <w:p w14:paraId="77661275">
            <w:pPr>
              <w:pStyle w:val="6"/>
              <w:spacing w:before="104" w:line="204" w:lineRule="auto"/>
              <w:ind w:left="220"/>
              <w:rPr>
                <w:sz w:val="18"/>
                <w:szCs w:val="18"/>
              </w:rPr>
            </w:pPr>
            <w:r>
              <w:rPr>
                <w:spacing w:val="-2"/>
                <w:sz w:val="18"/>
                <w:szCs w:val="18"/>
              </w:rPr>
              <w:t>6.76</w:t>
            </w:r>
          </w:p>
        </w:tc>
        <w:tc>
          <w:tcPr>
            <w:tcW w:w="741" w:type="dxa"/>
            <w:vAlign w:val="top"/>
          </w:tcPr>
          <w:p w14:paraId="1F438B51">
            <w:pPr>
              <w:pStyle w:val="6"/>
              <w:spacing w:before="104" w:line="204" w:lineRule="auto"/>
              <w:ind w:left="225"/>
              <w:rPr>
                <w:sz w:val="18"/>
                <w:szCs w:val="18"/>
              </w:rPr>
            </w:pPr>
            <w:r>
              <w:rPr>
                <w:spacing w:val="-2"/>
                <w:sz w:val="18"/>
                <w:szCs w:val="18"/>
              </w:rPr>
              <w:t>330</w:t>
            </w:r>
          </w:p>
        </w:tc>
        <w:tc>
          <w:tcPr>
            <w:tcW w:w="705" w:type="dxa"/>
            <w:vAlign w:val="top"/>
          </w:tcPr>
          <w:p w14:paraId="4A5EB9D5">
            <w:pPr>
              <w:pStyle w:val="6"/>
              <w:spacing w:before="104" w:line="204" w:lineRule="auto"/>
              <w:ind w:left="205"/>
              <w:rPr>
                <w:sz w:val="18"/>
                <w:szCs w:val="18"/>
              </w:rPr>
            </w:pPr>
            <w:r>
              <w:rPr>
                <w:spacing w:val="-1"/>
                <w:sz w:val="18"/>
                <w:szCs w:val="18"/>
              </w:rPr>
              <w:t>419</w:t>
            </w:r>
          </w:p>
        </w:tc>
        <w:tc>
          <w:tcPr>
            <w:tcW w:w="570" w:type="dxa"/>
            <w:vAlign w:val="top"/>
          </w:tcPr>
          <w:p w14:paraId="27DFF8C9">
            <w:pPr>
              <w:pStyle w:val="6"/>
              <w:spacing w:before="106" w:line="186" w:lineRule="auto"/>
              <w:ind w:left="180"/>
              <w:rPr>
                <w:sz w:val="18"/>
                <w:szCs w:val="18"/>
              </w:rPr>
            </w:pPr>
            <w:r>
              <w:rPr>
                <w:spacing w:val="-3"/>
                <w:sz w:val="18"/>
                <w:szCs w:val="18"/>
              </w:rPr>
              <w:t>8L</w:t>
            </w:r>
          </w:p>
        </w:tc>
        <w:tc>
          <w:tcPr>
            <w:tcW w:w="423" w:type="dxa"/>
            <w:vAlign w:val="top"/>
          </w:tcPr>
          <w:p w14:paraId="438866C8">
            <w:pPr>
              <w:pStyle w:val="6"/>
              <w:spacing w:before="106" w:line="186" w:lineRule="auto"/>
              <w:ind w:left="72"/>
              <w:rPr>
                <w:sz w:val="18"/>
                <w:szCs w:val="18"/>
              </w:rPr>
            </w:pPr>
            <w:r>
              <w:rPr>
                <w:spacing w:val="-5"/>
                <w:sz w:val="18"/>
                <w:szCs w:val="18"/>
              </w:rPr>
              <w:t>10L</w:t>
            </w:r>
          </w:p>
        </w:tc>
        <w:tc>
          <w:tcPr>
            <w:tcW w:w="567" w:type="dxa"/>
            <w:vAlign w:val="top"/>
          </w:tcPr>
          <w:p w14:paraId="338CD9A8">
            <w:pPr>
              <w:pStyle w:val="6"/>
              <w:spacing w:before="104" w:line="204" w:lineRule="auto"/>
              <w:ind w:left="63"/>
              <w:rPr>
                <w:sz w:val="18"/>
                <w:szCs w:val="18"/>
              </w:rPr>
            </w:pPr>
            <w:r>
              <w:rPr>
                <w:spacing w:val="-2"/>
                <w:sz w:val="18"/>
                <w:szCs w:val="18"/>
              </w:rPr>
              <w:t>0.03L</w:t>
            </w:r>
          </w:p>
        </w:tc>
        <w:tc>
          <w:tcPr>
            <w:tcW w:w="545" w:type="dxa"/>
            <w:vAlign w:val="top"/>
          </w:tcPr>
          <w:p w14:paraId="313879A0">
            <w:pPr>
              <w:pStyle w:val="6"/>
              <w:spacing w:before="104" w:line="204" w:lineRule="auto"/>
              <w:ind w:left="53"/>
              <w:rPr>
                <w:sz w:val="18"/>
                <w:szCs w:val="18"/>
              </w:rPr>
            </w:pPr>
            <w:r>
              <w:rPr>
                <w:spacing w:val="-2"/>
                <w:sz w:val="18"/>
                <w:szCs w:val="18"/>
              </w:rPr>
              <w:t>0.02L</w:t>
            </w:r>
          </w:p>
        </w:tc>
        <w:tc>
          <w:tcPr>
            <w:tcW w:w="472" w:type="dxa"/>
            <w:vAlign w:val="top"/>
          </w:tcPr>
          <w:p w14:paraId="2EED708A">
            <w:pPr>
              <w:pStyle w:val="6"/>
              <w:spacing w:before="104" w:line="204" w:lineRule="auto"/>
              <w:ind w:left="73"/>
              <w:rPr>
                <w:sz w:val="18"/>
                <w:szCs w:val="18"/>
              </w:rPr>
            </w:pPr>
            <w:r>
              <w:rPr>
                <w:spacing w:val="-2"/>
                <w:sz w:val="18"/>
                <w:szCs w:val="18"/>
              </w:rPr>
              <w:t>0.01</w:t>
            </w:r>
          </w:p>
        </w:tc>
        <w:tc>
          <w:tcPr>
            <w:tcW w:w="562" w:type="dxa"/>
            <w:vAlign w:val="top"/>
          </w:tcPr>
          <w:p w14:paraId="1B7B407B">
            <w:pPr>
              <w:pStyle w:val="6"/>
              <w:spacing w:before="104" w:line="204" w:lineRule="auto"/>
              <w:ind w:left="19"/>
              <w:rPr>
                <w:sz w:val="18"/>
                <w:szCs w:val="18"/>
              </w:rPr>
            </w:pPr>
            <w:r>
              <w:rPr>
                <w:spacing w:val="-2"/>
                <w:sz w:val="18"/>
                <w:szCs w:val="18"/>
              </w:rPr>
              <w:t>0.006L</w:t>
            </w:r>
          </w:p>
        </w:tc>
        <w:tc>
          <w:tcPr>
            <w:tcW w:w="651" w:type="dxa"/>
            <w:vAlign w:val="top"/>
          </w:tcPr>
          <w:p w14:paraId="38EFB725">
            <w:pPr>
              <w:pStyle w:val="6"/>
              <w:spacing w:before="104" w:line="204" w:lineRule="auto"/>
              <w:ind w:left="18"/>
              <w:rPr>
                <w:sz w:val="18"/>
                <w:szCs w:val="18"/>
              </w:rPr>
            </w:pPr>
            <w:r>
              <w:rPr>
                <w:spacing w:val="-1"/>
                <w:sz w:val="18"/>
                <w:szCs w:val="18"/>
              </w:rPr>
              <w:t>0.0003L</w:t>
            </w:r>
          </w:p>
        </w:tc>
        <w:tc>
          <w:tcPr>
            <w:tcW w:w="884" w:type="dxa"/>
            <w:vAlign w:val="top"/>
          </w:tcPr>
          <w:p w14:paraId="328814D1">
            <w:pPr>
              <w:pStyle w:val="6"/>
              <w:spacing w:before="104" w:line="204" w:lineRule="auto"/>
              <w:ind w:left="226"/>
              <w:rPr>
                <w:sz w:val="18"/>
                <w:szCs w:val="18"/>
              </w:rPr>
            </w:pPr>
            <w:r>
              <w:rPr>
                <w:spacing w:val="-2"/>
                <w:sz w:val="18"/>
                <w:szCs w:val="18"/>
              </w:rPr>
              <w:t>0.05L</w:t>
            </w:r>
          </w:p>
        </w:tc>
        <w:tc>
          <w:tcPr>
            <w:tcW w:w="709" w:type="dxa"/>
            <w:vAlign w:val="top"/>
          </w:tcPr>
          <w:p w14:paraId="61249E7F">
            <w:pPr>
              <w:pStyle w:val="6"/>
              <w:spacing w:before="104" w:line="204" w:lineRule="auto"/>
              <w:ind w:left="194"/>
              <w:rPr>
                <w:sz w:val="18"/>
                <w:szCs w:val="18"/>
              </w:rPr>
            </w:pPr>
            <w:r>
              <w:rPr>
                <w:spacing w:val="-2"/>
                <w:sz w:val="18"/>
                <w:szCs w:val="18"/>
              </w:rPr>
              <w:t>0.01</w:t>
            </w:r>
          </w:p>
        </w:tc>
        <w:tc>
          <w:tcPr>
            <w:tcW w:w="703" w:type="dxa"/>
            <w:vAlign w:val="top"/>
          </w:tcPr>
          <w:p w14:paraId="45FB118B">
            <w:pPr>
              <w:pStyle w:val="6"/>
              <w:spacing w:before="104" w:line="204" w:lineRule="auto"/>
              <w:ind w:left="207"/>
              <w:rPr>
                <w:sz w:val="18"/>
                <w:szCs w:val="18"/>
              </w:rPr>
            </w:pPr>
            <w:r>
              <w:rPr>
                <w:spacing w:val="-6"/>
                <w:sz w:val="18"/>
                <w:szCs w:val="18"/>
              </w:rPr>
              <w:t>1.38</w:t>
            </w:r>
          </w:p>
        </w:tc>
        <w:tc>
          <w:tcPr>
            <w:tcW w:w="708" w:type="dxa"/>
            <w:vAlign w:val="top"/>
          </w:tcPr>
          <w:p w14:paraId="597135CD">
            <w:pPr>
              <w:pStyle w:val="6"/>
              <w:spacing w:before="104" w:line="204" w:lineRule="auto"/>
              <w:ind w:left="96"/>
              <w:rPr>
                <w:sz w:val="18"/>
                <w:szCs w:val="18"/>
              </w:rPr>
            </w:pPr>
            <w:r>
              <w:rPr>
                <w:spacing w:val="-2"/>
                <w:sz w:val="18"/>
                <w:szCs w:val="18"/>
              </w:rPr>
              <w:t>0.003L</w:t>
            </w:r>
          </w:p>
        </w:tc>
        <w:tc>
          <w:tcPr>
            <w:tcW w:w="764" w:type="dxa"/>
            <w:vAlign w:val="top"/>
          </w:tcPr>
          <w:p w14:paraId="59F7F537">
            <w:pPr>
              <w:pStyle w:val="6"/>
              <w:spacing w:before="104" w:line="204" w:lineRule="auto"/>
              <w:ind w:left="126"/>
              <w:rPr>
                <w:sz w:val="18"/>
                <w:szCs w:val="18"/>
              </w:rPr>
            </w:pPr>
            <w:r>
              <w:rPr>
                <w:spacing w:val="-2"/>
                <w:sz w:val="18"/>
                <w:szCs w:val="18"/>
              </w:rPr>
              <w:t>0.025L</w:t>
            </w:r>
          </w:p>
        </w:tc>
        <w:tc>
          <w:tcPr>
            <w:tcW w:w="586" w:type="dxa"/>
            <w:vAlign w:val="top"/>
          </w:tcPr>
          <w:p w14:paraId="53AB4915">
            <w:pPr>
              <w:pStyle w:val="6"/>
              <w:spacing w:before="104" w:line="204" w:lineRule="auto"/>
              <w:ind w:left="139"/>
              <w:rPr>
                <w:sz w:val="18"/>
                <w:szCs w:val="18"/>
              </w:rPr>
            </w:pPr>
            <w:r>
              <w:rPr>
                <w:spacing w:val="-2"/>
                <w:sz w:val="18"/>
                <w:szCs w:val="18"/>
              </w:rPr>
              <w:t>0.43</w:t>
            </w:r>
          </w:p>
        </w:tc>
        <w:tc>
          <w:tcPr>
            <w:tcW w:w="582" w:type="dxa"/>
            <w:vAlign w:val="top"/>
          </w:tcPr>
          <w:p w14:paraId="0ECE16AE">
            <w:pPr>
              <w:pStyle w:val="6"/>
              <w:spacing w:before="104" w:line="204" w:lineRule="auto"/>
              <w:ind w:left="38"/>
              <w:rPr>
                <w:sz w:val="18"/>
                <w:szCs w:val="18"/>
              </w:rPr>
            </w:pPr>
            <w:r>
              <w:rPr>
                <w:spacing w:val="-2"/>
                <w:sz w:val="18"/>
                <w:szCs w:val="18"/>
              </w:rPr>
              <w:t>0.004L</w:t>
            </w:r>
          </w:p>
        </w:tc>
        <w:tc>
          <w:tcPr>
            <w:tcW w:w="745" w:type="dxa"/>
            <w:vAlign w:val="top"/>
          </w:tcPr>
          <w:p w14:paraId="769B7F2D">
            <w:pPr>
              <w:pStyle w:val="6"/>
              <w:spacing w:before="104" w:line="204" w:lineRule="auto"/>
              <w:ind w:left="31"/>
              <w:rPr>
                <w:sz w:val="18"/>
                <w:szCs w:val="18"/>
              </w:rPr>
            </w:pPr>
            <w:r>
              <w:rPr>
                <w:spacing w:val="-1"/>
                <w:sz w:val="18"/>
                <w:szCs w:val="18"/>
              </w:rPr>
              <w:t>0.00004L</w:t>
            </w:r>
          </w:p>
        </w:tc>
        <w:tc>
          <w:tcPr>
            <w:tcW w:w="651" w:type="dxa"/>
            <w:vAlign w:val="top"/>
          </w:tcPr>
          <w:p w14:paraId="79FA14A6">
            <w:pPr>
              <w:pStyle w:val="6"/>
              <w:spacing w:before="104" w:line="204" w:lineRule="auto"/>
              <w:ind w:left="84"/>
              <w:rPr>
                <w:sz w:val="18"/>
                <w:szCs w:val="18"/>
              </w:rPr>
            </w:pPr>
            <w:r>
              <w:rPr>
                <w:spacing w:val="-2"/>
                <w:sz w:val="18"/>
                <w:szCs w:val="18"/>
              </w:rPr>
              <w:t>0.0005</w:t>
            </w:r>
          </w:p>
        </w:tc>
        <w:tc>
          <w:tcPr>
            <w:tcW w:w="652" w:type="dxa"/>
            <w:vAlign w:val="top"/>
          </w:tcPr>
          <w:p w14:paraId="436F54C3">
            <w:pPr>
              <w:pStyle w:val="6"/>
              <w:spacing w:before="104" w:line="204" w:lineRule="auto"/>
              <w:ind w:left="30"/>
              <w:rPr>
                <w:sz w:val="18"/>
                <w:szCs w:val="18"/>
              </w:rPr>
            </w:pPr>
            <w:r>
              <w:rPr>
                <w:spacing w:val="-1"/>
                <w:sz w:val="18"/>
                <w:szCs w:val="18"/>
              </w:rPr>
              <w:t>0.0004L</w:t>
            </w:r>
          </w:p>
        </w:tc>
        <w:tc>
          <w:tcPr>
            <w:tcW w:w="566" w:type="dxa"/>
            <w:vAlign w:val="top"/>
          </w:tcPr>
          <w:p w14:paraId="76E79AF3">
            <w:pPr>
              <w:pStyle w:val="6"/>
              <w:spacing w:before="104" w:line="204" w:lineRule="auto"/>
              <w:ind w:left="32"/>
              <w:rPr>
                <w:sz w:val="18"/>
                <w:szCs w:val="18"/>
              </w:rPr>
            </w:pPr>
            <w:r>
              <w:rPr>
                <w:spacing w:val="-2"/>
                <w:sz w:val="18"/>
                <w:szCs w:val="18"/>
              </w:rPr>
              <w:t>0.001L</w:t>
            </w:r>
          </w:p>
        </w:tc>
        <w:tc>
          <w:tcPr>
            <w:tcW w:w="582" w:type="dxa"/>
            <w:vAlign w:val="top"/>
          </w:tcPr>
          <w:p w14:paraId="2265EE2C">
            <w:pPr>
              <w:pStyle w:val="6"/>
              <w:spacing w:before="104" w:line="204" w:lineRule="auto"/>
              <w:ind w:left="41"/>
              <w:rPr>
                <w:sz w:val="18"/>
                <w:szCs w:val="18"/>
              </w:rPr>
            </w:pPr>
            <w:r>
              <w:rPr>
                <w:spacing w:val="-2"/>
                <w:sz w:val="18"/>
                <w:szCs w:val="18"/>
              </w:rPr>
              <w:t>0.004L</w:t>
            </w:r>
          </w:p>
        </w:tc>
        <w:tc>
          <w:tcPr>
            <w:tcW w:w="476" w:type="dxa"/>
            <w:vAlign w:val="top"/>
          </w:tcPr>
          <w:p w14:paraId="390F6DA9">
            <w:pPr>
              <w:pStyle w:val="6"/>
              <w:spacing w:before="104" w:line="204" w:lineRule="auto"/>
              <w:ind w:left="34"/>
              <w:rPr>
                <w:sz w:val="18"/>
                <w:szCs w:val="18"/>
              </w:rPr>
            </w:pPr>
            <w:r>
              <w:rPr>
                <w:spacing w:val="-2"/>
                <w:sz w:val="18"/>
                <w:szCs w:val="18"/>
              </w:rPr>
              <w:t>0.01L</w:t>
            </w:r>
          </w:p>
        </w:tc>
        <w:tc>
          <w:tcPr>
            <w:tcW w:w="567" w:type="dxa"/>
            <w:vAlign w:val="top"/>
          </w:tcPr>
          <w:p w14:paraId="3B7A4852">
            <w:pPr>
              <w:pStyle w:val="6"/>
              <w:spacing w:before="104" w:line="204" w:lineRule="auto"/>
              <w:ind w:left="91"/>
              <w:rPr>
                <w:sz w:val="18"/>
                <w:szCs w:val="18"/>
              </w:rPr>
            </w:pPr>
            <w:r>
              <w:rPr>
                <w:spacing w:val="-2"/>
                <w:sz w:val="18"/>
                <w:szCs w:val="18"/>
              </w:rPr>
              <w:t>0.014</w:t>
            </w:r>
          </w:p>
        </w:tc>
        <w:tc>
          <w:tcPr>
            <w:tcW w:w="765" w:type="dxa"/>
            <w:vAlign w:val="top"/>
          </w:tcPr>
          <w:p w14:paraId="75D1A0CC">
            <w:pPr>
              <w:pStyle w:val="6"/>
              <w:spacing w:before="104" w:line="204" w:lineRule="auto"/>
              <w:ind w:left="361"/>
              <w:rPr>
                <w:sz w:val="18"/>
                <w:szCs w:val="18"/>
              </w:rPr>
            </w:pPr>
            <w:r>
              <w:rPr>
                <w:sz w:val="18"/>
                <w:szCs w:val="18"/>
              </w:rPr>
              <w:t>/</w:t>
            </w:r>
          </w:p>
        </w:tc>
        <w:tc>
          <w:tcPr>
            <w:tcW w:w="424" w:type="dxa"/>
            <w:vAlign w:val="top"/>
          </w:tcPr>
          <w:p w14:paraId="3B03A61D">
            <w:pPr>
              <w:pStyle w:val="6"/>
              <w:spacing w:before="104" w:line="204" w:lineRule="auto"/>
              <w:ind w:left="90"/>
              <w:rPr>
                <w:sz w:val="18"/>
                <w:szCs w:val="18"/>
              </w:rPr>
            </w:pPr>
            <w:r>
              <w:rPr>
                <w:spacing w:val="-2"/>
                <w:sz w:val="18"/>
                <w:szCs w:val="18"/>
              </w:rPr>
              <w:t>358</w:t>
            </w:r>
          </w:p>
        </w:tc>
        <w:tc>
          <w:tcPr>
            <w:tcW w:w="427" w:type="dxa"/>
            <w:vAlign w:val="top"/>
          </w:tcPr>
          <w:p w14:paraId="0EB0960B">
            <w:pPr>
              <w:pStyle w:val="6"/>
              <w:spacing w:before="104" w:line="204" w:lineRule="auto"/>
              <w:ind w:left="68"/>
              <w:rPr>
                <w:sz w:val="18"/>
                <w:szCs w:val="18"/>
              </w:rPr>
            </w:pPr>
            <w:r>
              <w:rPr>
                <w:spacing w:val="-2"/>
                <w:sz w:val="18"/>
                <w:szCs w:val="18"/>
              </w:rPr>
              <w:t>0.54</w:t>
            </w:r>
          </w:p>
        </w:tc>
        <w:tc>
          <w:tcPr>
            <w:tcW w:w="424" w:type="dxa"/>
            <w:vAlign w:val="top"/>
          </w:tcPr>
          <w:p w14:paraId="4825DCC9">
            <w:pPr>
              <w:pStyle w:val="6"/>
              <w:spacing w:before="104" w:line="204" w:lineRule="auto"/>
              <w:ind w:left="193"/>
              <w:rPr>
                <w:sz w:val="18"/>
                <w:szCs w:val="18"/>
              </w:rPr>
            </w:pPr>
            <w:r>
              <w:rPr>
                <w:sz w:val="18"/>
                <w:szCs w:val="18"/>
              </w:rPr>
              <w:t>/</w:t>
            </w:r>
          </w:p>
        </w:tc>
        <w:tc>
          <w:tcPr>
            <w:tcW w:w="423" w:type="dxa"/>
            <w:vAlign w:val="top"/>
          </w:tcPr>
          <w:p w14:paraId="3FAB725C">
            <w:pPr>
              <w:pStyle w:val="6"/>
              <w:spacing w:before="104" w:line="204" w:lineRule="auto"/>
              <w:ind w:left="67"/>
              <w:rPr>
                <w:sz w:val="18"/>
                <w:szCs w:val="18"/>
              </w:rPr>
            </w:pPr>
            <w:r>
              <w:rPr>
                <w:spacing w:val="-2"/>
                <w:sz w:val="18"/>
                <w:szCs w:val="18"/>
              </w:rPr>
              <w:t>0.49</w:t>
            </w:r>
          </w:p>
        </w:tc>
        <w:tc>
          <w:tcPr>
            <w:tcW w:w="472" w:type="dxa"/>
            <w:vAlign w:val="top"/>
          </w:tcPr>
          <w:p w14:paraId="1C32AB17">
            <w:pPr>
              <w:pStyle w:val="6"/>
              <w:spacing w:before="104" w:line="204" w:lineRule="auto"/>
              <w:ind w:left="94"/>
              <w:rPr>
                <w:sz w:val="18"/>
                <w:szCs w:val="18"/>
              </w:rPr>
            </w:pPr>
            <w:r>
              <w:rPr>
                <w:spacing w:val="-2"/>
                <w:sz w:val="18"/>
                <w:szCs w:val="18"/>
              </w:rPr>
              <w:t>60.2</w:t>
            </w:r>
          </w:p>
        </w:tc>
        <w:tc>
          <w:tcPr>
            <w:tcW w:w="377" w:type="dxa"/>
            <w:tcBorders>
              <w:right w:val="single" w:color="000000" w:sz="12" w:space="0"/>
            </w:tcBorders>
            <w:vAlign w:val="top"/>
          </w:tcPr>
          <w:p w14:paraId="34F131D3">
            <w:pPr>
              <w:pStyle w:val="6"/>
              <w:spacing w:before="104" w:line="204" w:lineRule="auto"/>
              <w:ind w:left="35"/>
              <w:rPr>
                <w:sz w:val="18"/>
                <w:szCs w:val="18"/>
              </w:rPr>
            </w:pPr>
            <w:r>
              <w:rPr>
                <w:spacing w:val="-2"/>
                <w:sz w:val="18"/>
                <w:szCs w:val="18"/>
              </w:rPr>
              <w:t>30.4</w:t>
            </w:r>
          </w:p>
        </w:tc>
      </w:tr>
      <w:tr w14:paraId="49BF3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886" w:type="dxa"/>
            <w:gridSpan w:val="3"/>
            <w:tcBorders>
              <w:left w:val="single" w:color="000000" w:sz="12" w:space="0"/>
              <w:bottom w:val="single" w:color="000000" w:sz="12" w:space="0"/>
            </w:tcBorders>
            <w:shd w:val="clear" w:color="auto" w:fill="DBE5F1"/>
            <w:vAlign w:val="top"/>
          </w:tcPr>
          <w:p w14:paraId="274ADA78">
            <w:pPr>
              <w:pStyle w:val="6"/>
              <w:spacing w:before="93" w:line="220" w:lineRule="auto"/>
              <w:ind w:left="209"/>
              <w:rPr>
                <w:rFonts w:ascii="宋体" w:hAnsi="宋体" w:eastAsia="宋体" w:cs="宋体"/>
                <w:sz w:val="18"/>
                <w:szCs w:val="18"/>
              </w:rPr>
            </w:pPr>
            <w:r>
              <w:rPr>
                <w:spacing w:val="-2"/>
                <w:sz w:val="18"/>
                <w:szCs w:val="18"/>
              </w:rPr>
              <w:t>GB/T14848</w:t>
            </w:r>
            <w:r>
              <w:rPr>
                <w:spacing w:val="24"/>
                <w:w w:val="101"/>
                <w:sz w:val="18"/>
                <w:szCs w:val="18"/>
              </w:rPr>
              <w:t xml:space="preserve"> </w:t>
            </w:r>
            <w:r>
              <w:rPr>
                <w:rFonts w:ascii="宋体" w:hAnsi="宋体" w:eastAsia="宋体" w:cs="宋体"/>
                <w:spacing w:val="-2"/>
                <w:sz w:val="18"/>
                <w:szCs w:val="18"/>
              </w:rPr>
              <w:t>中Ⅲ类</w:t>
            </w:r>
          </w:p>
        </w:tc>
        <w:tc>
          <w:tcPr>
            <w:tcW w:w="774" w:type="dxa"/>
            <w:tcBorders>
              <w:bottom w:val="single" w:color="000000" w:sz="12" w:space="0"/>
            </w:tcBorders>
            <w:shd w:val="clear" w:color="auto" w:fill="DBE5F1"/>
            <w:vAlign w:val="top"/>
          </w:tcPr>
          <w:p w14:paraId="765068BA">
            <w:pPr>
              <w:pStyle w:val="6"/>
              <w:spacing w:before="119" w:line="232" w:lineRule="auto"/>
              <w:ind w:left="122"/>
              <w:rPr>
                <w:sz w:val="18"/>
                <w:szCs w:val="18"/>
              </w:rPr>
            </w:pPr>
            <w:r>
              <w:rPr>
                <w:spacing w:val="-1"/>
                <w:sz w:val="18"/>
                <w:szCs w:val="18"/>
              </w:rPr>
              <w:t>6.5-8.5</w:t>
            </w:r>
          </w:p>
        </w:tc>
        <w:tc>
          <w:tcPr>
            <w:tcW w:w="741" w:type="dxa"/>
            <w:tcBorders>
              <w:bottom w:val="single" w:color="000000" w:sz="12" w:space="0"/>
            </w:tcBorders>
            <w:shd w:val="clear" w:color="auto" w:fill="DBE5F1"/>
            <w:vAlign w:val="top"/>
          </w:tcPr>
          <w:p w14:paraId="2B84B618">
            <w:pPr>
              <w:pStyle w:val="6"/>
              <w:spacing w:before="119" w:line="232" w:lineRule="auto"/>
              <w:ind w:left="221"/>
              <w:rPr>
                <w:sz w:val="18"/>
                <w:szCs w:val="18"/>
              </w:rPr>
            </w:pPr>
            <w:r>
              <w:rPr>
                <w:spacing w:val="-1"/>
                <w:sz w:val="18"/>
                <w:szCs w:val="18"/>
              </w:rPr>
              <w:t>450</w:t>
            </w:r>
          </w:p>
        </w:tc>
        <w:tc>
          <w:tcPr>
            <w:tcW w:w="705" w:type="dxa"/>
            <w:tcBorders>
              <w:bottom w:val="single" w:color="000000" w:sz="12" w:space="0"/>
            </w:tcBorders>
            <w:shd w:val="clear" w:color="auto" w:fill="DBE5F1"/>
            <w:vAlign w:val="top"/>
          </w:tcPr>
          <w:p w14:paraId="710E8390">
            <w:pPr>
              <w:pStyle w:val="6"/>
              <w:spacing w:before="119" w:line="232" w:lineRule="auto"/>
              <w:ind w:left="177"/>
              <w:rPr>
                <w:sz w:val="18"/>
                <w:szCs w:val="18"/>
              </w:rPr>
            </w:pPr>
            <w:r>
              <w:rPr>
                <w:spacing w:val="-4"/>
                <w:sz w:val="18"/>
                <w:szCs w:val="18"/>
              </w:rPr>
              <w:t>1000</w:t>
            </w:r>
          </w:p>
        </w:tc>
        <w:tc>
          <w:tcPr>
            <w:tcW w:w="570" w:type="dxa"/>
            <w:tcBorders>
              <w:bottom w:val="single" w:color="000000" w:sz="12" w:space="0"/>
            </w:tcBorders>
            <w:shd w:val="clear" w:color="auto" w:fill="DBE5F1"/>
            <w:vAlign w:val="top"/>
          </w:tcPr>
          <w:p w14:paraId="6C69C56D">
            <w:pPr>
              <w:pStyle w:val="6"/>
              <w:spacing w:before="119" w:line="232" w:lineRule="auto"/>
              <w:ind w:left="138"/>
              <w:rPr>
                <w:sz w:val="18"/>
                <w:szCs w:val="18"/>
              </w:rPr>
            </w:pPr>
            <w:r>
              <w:rPr>
                <w:spacing w:val="-1"/>
                <w:sz w:val="18"/>
                <w:szCs w:val="18"/>
              </w:rPr>
              <w:t>250</w:t>
            </w:r>
          </w:p>
        </w:tc>
        <w:tc>
          <w:tcPr>
            <w:tcW w:w="423" w:type="dxa"/>
            <w:tcBorders>
              <w:bottom w:val="single" w:color="000000" w:sz="12" w:space="0"/>
            </w:tcBorders>
            <w:shd w:val="clear" w:color="auto" w:fill="DBE5F1"/>
            <w:vAlign w:val="top"/>
          </w:tcPr>
          <w:p w14:paraId="118CA416">
            <w:pPr>
              <w:pStyle w:val="6"/>
              <w:spacing w:before="119" w:line="232" w:lineRule="auto"/>
              <w:ind w:left="66"/>
              <w:rPr>
                <w:sz w:val="18"/>
                <w:szCs w:val="18"/>
              </w:rPr>
            </w:pPr>
            <w:r>
              <w:rPr>
                <w:spacing w:val="-1"/>
                <w:sz w:val="18"/>
                <w:szCs w:val="18"/>
              </w:rPr>
              <w:t>250</w:t>
            </w:r>
          </w:p>
        </w:tc>
        <w:tc>
          <w:tcPr>
            <w:tcW w:w="567" w:type="dxa"/>
            <w:tcBorders>
              <w:bottom w:val="single" w:color="000000" w:sz="12" w:space="0"/>
            </w:tcBorders>
            <w:shd w:val="clear" w:color="auto" w:fill="DBE5F1"/>
            <w:vAlign w:val="top"/>
          </w:tcPr>
          <w:p w14:paraId="6F067622">
            <w:pPr>
              <w:pStyle w:val="6"/>
              <w:spacing w:before="119" w:line="232" w:lineRule="auto"/>
              <w:ind w:left="163"/>
              <w:rPr>
                <w:sz w:val="18"/>
                <w:szCs w:val="18"/>
              </w:rPr>
            </w:pPr>
            <w:r>
              <w:rPr>
                <w:spacing w:val="-3"/>
                <w:sz w:val="18"/>
                <w:szCs w:val="18"/>
              </w:rPr>
              <w:t>0.3</w:t>
            </w:r>
          </w:p>
        </w:tc>
        <w:tc>
          <w:tcPr>
            <w:tcW w:w="545" w:type="dxa"/>
            <w:tcBorders>
              <w:bottom w:val="single" w:color="000000" w:sz="12" w:space="0"/>
            </w:tcBorders>
            <w:shd w:val="clear" w:color="auto" w:fill="DBE5F1"/>
            <w:vAlign w:val="top"/>
          </w:tcPr>
          <w:p w14:paraId="7774D88B">
            <w:pPr>
              <w:pStyle w:val="6"/>
              <w:spacing w:before="119" w:line="232" w:lineRule="auto"/>
              <w:ind w:left="154"/>
              <w:rPr>
                <w:sz w:val="18"/>
                <w:szCs w:val="18"/>
              </w:rPr>
            </w:pPr>
            <w:r>
              <w:rPr>
                <w:spacing w:val="-3"/>
                <w:sz w:val="18"/>
                <w:szCs w:val="18"/>
              </w:rPr>
              <w:t>0.1</w:t>
            </w:r>
          </w:p>
        </w:tc>
        <w:tc>
          <w:tcPr>
            <w:tcW w:w="472" w:type="dxa"/>
            <w:tcBorders>
              <w:bottom w:val="single" w:color="000000" w:sz="12" w:space="0"/>
            </w:tcBorders>
            <w:shd w:val="clear" w:color="auto" w:fill="DBE5F1"/>
            <w:vAlign w:val="top"/>
          </w:tcPr>
          <w:p w14:paraId="42358311">
            <w:pPr>
              <w:pStyle w:val="6"/>
              <w:spacing w:before="119" w:line="232" w:lineRule="auto"/>
              <w:ind w:left="132"/>
              <w:rPr>
                <w:sz w:val="18"/>
                <w:szCs w:val="18"/>
              </w:rPr>
            </w:pPr>
            <w:r>
              <w:rPr>
                <w:spacing w:val="-7"/>
                <w:sz w:val="18"/>
                <w:szCs w:val="18"/>
              </w:rPr>
              <w:t>1.0</w:t>
            </w:r>
          </w:p>
        </w:tc>
        <w:tc>
          <w:tcPr>
            <w:tcW w:w="562" w:type="dxa"/>
            <w:tcBorders>
              <w:bottom w:val="single" w:color="000000" w:sz="12" w:space="0"/>
            </w:tcBorders>
            <w:shd w:val="clear" w:color="auto" w:fill="DBE5F1"/>
            <w:vAlign w:val="top"/>
          </w:tcPr>
          <w:p w14:paraId="174301EB">
            <w:pPr>
              <w:pStyle w:val="6"/>
              <w:spacing w:before="119" w:line="232" w:lineRule="auto"/>
              <w:ind w:left="178"/>
              <w:rPr>
                <w:sz w:val="18"/>
                <w:szCs w:val="18"/>
              </w:rPr>
            </w:pPr>
            <w:r>
              <w:rPr>
                <w:spacing w:val="-7"/>
                <w:sz w:val="18"/>
                <w:szCs w:val="18"/>
              </w:rPr>
              <w:t>1.0</w:t>
            </w:r>
          </w:p>
        </w:tc>
        <w:tc>
          <w:tcPr>
            <w:tcW w:w="651" w:type="dxa"/>
            <w:tcBorders>
              <w:bottom w:val="single" w:color="000000" w:sz="12" w:space="0"/>
            </w:tcBorders>
            <w:shd w:val="clear" w:color="auto" w:fill="DBE5F1"/>
            <w:vAlign w:val="top"/>
          </w:tcPr>
          <w:p w14:paraId="4AC5AC40">
            <w:pPr>
              <w:pStyle w:val="6"/>
              <w:spacing w:before="119" w:line="232" w:lineRule="auto"/>
              <w:ind w:left="119"/>
              <w:rPr>
                <w:sz w:val="18"/>
                <w:szCs w:val="18"/>
              </w:rPr>
            </w:pPr>
            <w:r>
              <w:rPr>
                <w:spacing w:val="-2"/>
                <w:sz w:val="18"/>
                <w:szCs w:val="18"/>
              </w:rPr>
              <w:t>0.002</w:t>
            </w:r>
          </w:p>
        </w:tc>
        <w:tc>
          <w:tcPr>
            <w:tcW w:w="884" w:type="dxa"/>
            <w:tcBorders>
              <w:bottom w:val="single" w:color="000000" w:sz="12" w:space="0"/>
            </w:tcBorders>
            <w:shd w:val="clear" w:color="auto" w:fill="DBE5F1"/>
            <w:vAlign w:val="top"/>
          </w:tcPr>
          <w:p w14:paraId="3CBE75F1">
            <w:pPr>
              <w:pStyle w:val="6"/>
              <w:spacing w:before="119" w:line="232" w:lineRule="auto"/>
              <w:ind w:left="327"/>
              <w:rPr>
                <w:sz w:val="18"/>
                <w:szCs w:val="18"/>
              </w:rPr>
            </w:pPr>
            <w:r>
              <w:rPr>
                <w:spacing w:val="-3"/>
                <w:sz w:val="18"/>
                <w:szCs w:val="18"/>
              </w:rPr>
              <w:t>0.3</w:t>
            </w:r>
          </w:p>
        </w:tc>
        <w:tc>
          <w:tcPr>
            <w:tcW w:w="709" w:type="dxa"/>
            <w:tcBorders>
              <w:bottom w:val="single" w:color="000000" w:sz="12" w:space="0"/>
            </w:tcBorders>
            <w:shd w:val="clear" w:color="auto" w:fill="DBE5F1"/>
            <w:vAlign w:val="top"/>
          </w:tcPr>
          <w:p w14:paraId="3E51945D">
            <w:pPr>
              <w:pStyle w:val="6"/>
              <w:spacing w:before="197" w:line="85" w:lineRule="exact"/>
              <w:ind w:left="292"/>
              <w:rPr>
                <w:sz w:val="18"/>
                <w:szCs w:val="18"/>
              </w:rPr>
            </w:pPr>
            <w:r>
              <w:rPr>
                <w:spacing w:val="-2"/>
                <w:position w:val="-5"/>
                <w:sz w:val="18"/>
                <w:szCs w:val="18"/>
              </w:rPr>
              <w:t>--</w:t>
            </w:r>
          </w:p>
        </w:tc>
        <w:tc>
          <w:tcPr>
            <w:tcW w:w="703" w:type="dxa"/>
            <w:tcBorders>
              <w:bottom w:val="single" w:color="000000" w:sz="12" w:space="0"/>
            </w:tcBorders>
            <w:shd w:val="clear" w:color="auto" w:fill="DBE5F1"/>
            <w:vAlign w:val="top"/>
          </w:tcPr>
          <w:p w14:paraId="48C91D00">
            <w:pPr>
              <w:pStyle w:val="6"/>
              <w:spacing w:before="119" w:line="232" w:lineRule="auto"/>
              <w:ind w:left="257"/>
              <w:rPr>
                <w:sz w:val="18"/>
                <w:szCs w:val="18"/>
              </w:rPr>
            </w:pPr>
            <w:r>
              <w:rPr>
                <w:spacing w:val="-1"/>
                <w:sz w:val="18"/>
                <w:szCs w:val="18"/>
              </w:rPr>
              <w:t>20</w:t>
            </w:r>
          </w:p>
        </w:tc>
        <w:tc>
          <w:tcPr>
            <w:tcW w:w="708" w:type="dxa"/>
            <w:tcBorders>
              <w:bottom w:val="single" w:color="000000" w:sz="12" w:space="0"/>
            </w:tcBorders>
            <w:shd w:val="clear" w:color="auto" w:fill="DBE5F1"/>
            <w:vAlign w:val="top"/>
          </w:tcPr>
          <w:p w14:paraId="12ED57C3">
            <w:pPr>
              <w:pStyle w:val="6"/>
              <w:spacing w:before="119" w:line="232" w:lineRule="auto"/>
              <w:ind w:left="196"/>
              <w:rPr>
                <w:sz w:val="18"/>
                <w:szCs w:val="18"/>
              </w:rPr>
            </w:pPr>
            <w:r>
              <w:rPr>
                <w:spacing w:val="-2"/>
                <w:sz w:val="18"/>
                <w:szCs w:val="18"/>
              </w:rPr>
              <w:t>0.02</w:t>
            </w:r>
          </w:p>
        </w:tc>
        <w:tc>
          <w:tcPr>
            <w:tcW w:w="764" w:type="dxa"/>
            <w:tcBorders>
              <w:bottom w:val="single" w:color="000000" w:sz="12" w:space="0"/>
            </w:tcBorders>
            <w:shd w:val="clear" w:color="auto" w:fill="DBE5F1"/>
            <w:vAlign w:val="top"/>
          </w:tcPr>
          <w:p w14:paraId="35BB77BA">
            <w:pPr>
              <w:pStyle w:val="6"/>
              <w:spacing w:before="119" w:line="232" w:lineRule="auto"/>
              <w:ind w:left="271"/>
              <w:rPr>
                <w:sz w:val="18"/>
                <w:szCs w:val="18"/>
              </w:rPr>
            </w:pPr>
            <w:r>
              <w:rPr>
                <w:spacing w:val="-3"/>
                <w:sz w:val="18"/>
                <w:szCs w:val="18"/>
              </w:rPr>
              <w:t>0.5</w:t>
            </w:r>
          </w:p>
        </w:tc>
        <w:tc>
          <w:tcPr>
            <w:tcW w:w="586" w:type="dxa"/>
            <w:tcBorders>
              <w:bottom w:val="single" w:color="000000" w:sz="12" w:space="0"/>
            </w:tcBorders>
            <w:shd w:val="clear" w:color="auto" w:fill="DBE5F1"/>
            <w:vAlign w:val="top"/>
          </w:tcPr>
          <w:p w14:paraId="39130742">
            <w:pPr>
              <w:pStyle w:val="6"/>
              <w:spacing w:before="119" w:line="232" w:lineRule="auto"/>
              <w:ind w:left="199"/>
              <w:rPr>
                <w:sz w:val="18"/>
                <w:szCs w:val="18"/>
              </w:rPr>
            </w:pPr>
            <w:r>
              <w:rPr>
                <w:spacing w:val="-7"/>
                <w:sz w:val="18"/>
                <w:szCs w:val="18"/>
              </w:rPr>
              <w:t>1.0</w:t>
            </w:r>
          </w:p>
        </w:tc>
        <w:tc>
          <w:tcPr>
            <w:tcW w:w="582" w:type="dxa"/>
            <w:tcBorders>
              <w:bottom w:val="single" w:color="000000" w:sz="12" w:space="0"/>
            </w:tcBorders>
            <w:shd w:val="clear" w:color="auto" w:fill="DBE5F1"/>
            <w:vAlign w:val="top"/>
          </w:tcPr>
          <w:p w14:paraId="7A513A95">
            <w:pPr>
              <w:pStyle w:val="6"/>
              <w:spacing w:before="119" w:line="232" w:lineRule="auto"/>
              <w:ind w:left="138"/>
              <w:rPr>
                <w:sz w:val="18"/>
                <w:szCs w:val="18"/>
              </w:rPr>
            </w:pPr>
            <w:r>
              <w:rPr>
                <w:spacing w:val="-2"/>
                <w:sz w:val="18"/>
                <w:szCs w:val="18"/>
              </w:rPr>
              <w:t>0.05</w:t>
            </w:r>
          </w:p>
        </w:tc>
        <w:tc>
          <w:tcPr>
            <w:tcW w:w="745" w:type="dxa"/>
            <w:tcBorders>
              <w:bottom w:val="single" w:color="000000" w:sz="12" w:space="0"/>
            </w:tcBorders>
            <w:shd w:val="clear" w:color="auto" w:fill="DBE5F1"/>
            <w:vAlign w:val="top"/>
          </w:tcPr>
          <w:p w14:paraId="4DD1D15D">
            <w:pPr>
              <w:pStyle w:val="6"/>
              <w:spacing w:before="119" w:line="232" w:lineRule="auto"/>
              <w:ind w:left="176"/>
              <w:rPr>
                <w:sz w:val="18"/>
                <w:szCs w:val="18"/>
              </w:rPr>
            </w:pPr>
            <w:r>
              <w:rPr>
                <w:spacing w:val="-2"/>
                <w:sz w:val="18"/>
                <w:szCs w:val="18"/>
              </w:rPr>
              <w:t>0.001</w:t>
            </w:r>
          </w:p>
        </w:tc>
        <w:tc>
          <w:tcPr>
            <w:tcW w:w="651" w:type="dxa"/>
            <w:tcBorders>
              <w:bottom w:val="single" w:color="000000" w:sz="12" w:space="0"/>
            </w:tcBorders>
            <w:shd w:val="clear" w:color="auto" w:fill="DBE5F1"/>
            <w:vAlign w:val="top"/>
          </w:tcPr>
          <w:p w14:paraId="0E429636">
            <w:pPr>
              <w:pStyle w:val="6"/>
              <w:spacing w:before="119" w:line="232" w:lineRule="auto"/>
              <w:ind w:left="174"/>
              <w:rPr>
                <w:sz w:val="18"/>
                <w:szCs w:val="18"/>
              </w:rPr>
            </w:pPr>
            <w:r>
              <w:rPr>
                <w:spacing w:val="-2"/>
                <w:sz w:val="18"/>
                <w:szCs w:val="18"/>
              </w:rPr>
              <w:t>0.01</w:t>
            </w:r>
          </w:p>
        </w:tc>
        <w:tc>
          <w:tcPr>
            <w:tcW w:w="652" w:type="dxa"/>
            <w:tcBorders>
              <w:bottom w:val="single" w:color="000000" w:sz="12" w:space="0"/>
            </w:tcBorders>
            <w:shd w:val="clear" w:color="auto" w:fill="DBE5F1"/>
            <w:vAlign w:val="top"/>
          </w:tcPr>
          <w:p w14:paraId="42DE3881">
            <w:pPr>
              <w:pStyle w:val="6"/>
              <w:spacing w:before="119" w:line="232" w:lineRule="auto"/>
              <w:ind w:left="176"/>
              <w:rPr>
                <w:sz w:val="18"/>
                <w:szCs w:val="18"/>
              </w:rPr>
            </w:pPr>
            <w:r>
              <w:rPr>
                <w:spacing w:val="-2"/>
                <w:sz w:val="18"/>
                <w:szCs w:val="18"/>
              </w:rPr>
              <w:t>0.01</w:t>
            </w:r>
          </w:p>
        </w:tc>
        <w:tc>
          <w:tcPr>
            <w:tcW w:w="566" w:type="dxa"/>
            <w:tcBorders>
              <w:bottom w:val="single" w:color="000000" w:sz="12" w:space="0"/>
            </w:tcBorders>
            <w:shd w:val="clear" w:color="auto" w:fill="DBE5F1"/>
            <w:vAlign w:val="top"/>
          </w:tcPr>
          <w:p w14:paraId="78CFCEB4">
            <w:pPr>
              <w:pStyle w:val="6"/>
              <w:spacing w:before="119" w:line="232" w:lineRule="auto"/>
              <w:ind w:left="88"/>
              <w:rPr>
                <w:sz w:val="18"/>
                <w:szCs w:val="18"/>
              </w:rPr>
            </w:pPr>
            <w:r>
              <w:rPr>
                <w:spacing w:val="-2"/>
                <w:sz w:val="18"/>
                <w:szCs w:val="18"/>
              </w:rPr>
              <w:t>0.005</w:t>
            </w:r>
          </w:p>
        </w:tc>
        <w:tc>
          <w:tcPr>
            <w:tcW w:w="582" w:type="dxa"/>
            <w:tcBorders>
              <w:bottom w:val="single" w:color="000000" w:sz="12" w:space="0"/>
            </w:tcBorders>
            <w:shd w:val="clear" w:color="auto" w:fill="DBE5F1"/>
            <w:vAlign w:val="top"/>
          </w:tcPr>
          <w:p w14:paraId="228CD012">
            <w:pPr>
              <w:pStyle w:val="6"/>
              <w:spacing w:before="119" w:line="232" w:lineRule="auto"/>
              <w:ind w:left="141"/>
              <w:rPr>
                <w:sz w:val="18"/>
                <w:szCs w:val="18"/>
              </w:rPr>
            </w:pPr>
            <w:r>
              <w:rPr>
                <w:spacing w:val="-2"/>
                <w:sz w:val="18"/>
                <w:szCs w:val="18"/>
              </w:rPr>
              <w:t>0.05</w:t>
            </w:r>
          </w:p>
        </w:tc>
        <w:tc>
          <w:tcPr>
            <w:tcW w:w="476" w:type="dxa"/>
            <w:tcBorders>
              <w:bottom w:val="single" w:color="000000" w:sz="12" w:space="0"/>
            </w:tcBorders>
            <w:shd w:val="clear" w:color="auto" w:fill="DBE5F1"/>
            <w:vAlign w:val="top"/>
          </w:tcPr>
          <w:p w14:paraId="5F851BCF">
            <w:pPr>
              <w:pStyle w:val="6"/>
              <w:spacing w:before="119" w:line="232" w:lineRule="auto"/>
              <w:ind w:left="89"/>
              <w:rPr>
                <w:sz w:val="18"/>
                <w:szCs w:val="18"/>
              </w:rPr>
            </w:pPr>
            <w:r>
              <w:rPr>
                <w:spacing w:val="-2"/>
                <w:sz w:val="18"/>
                <w:szCs w:val="18"/>
              </w:rPr>
              <w:t>0.05</w:t>
            </w:r>
          </w:p>
        </w:tc>
        <w:tc>
          <w:tcPr>
            <w:tcW w:w="567" w:type="dxa"/>
            <w:tcBorders>
              <w:bottom w:val="single" w:color="000000" w:sz="12" w:space="0"/>
            </w:tcBorders>
            <w:shd w:val="clear" w:color="auto" w:fill="DBE5F1"/>
            <w:vAlign w:val="top"/>
          </w:tcPr>
          <w:p w14:paraId="51CCA265">
            <w:pPr>
              <w:pStyle w:val="6"/>
              <w:spacing w:before="119" w:line="232" w:lineRule="auto"/>
              <w:ind w:left="181"/>
              <w:rPr>
                <w:sz w:val="18"/>
                <w:szCs w:val="18"/>
              </w:rPr>
            </w:pPr>
            <w:r>
              <w:rPr>
                <w:spacing w:val="-3"/>
                <w:sz w:val="18"/>
                <w:szCs w:val="18"/>
              </w:rPr>
              <w:t>0.2</w:t>
            </w:r>
          </w:p>
        </w:tc>
        <w:tc>
          <w:tcPr>
            <w:tcW w:w="765" w:type="dxa"/>
            <w:tcBorders>
              <w:bottom w:val="single" w:color="000000" w:sz="12" w:space="0"/>
            </w:tcBorders>
            <w:shd w:val="clear" w:color="auto" w:fill="DBE5F1"/>
            <w:vAlign w:val="top"/>
          </w:tcPr>
          <w:p w14:paraId="3ACBB1A0">
            <w:pPr>
              <w:pStyle w:val="6"/>
              <w:spacing w:before="119" w:line="232" w:lineRule="auto"/>
              <w:ind w:left="281"/>
              <w:rPr>
                <w:sz w:val="18"/>
                <w:szCs w:val="18"/>
              </w:rPr>
            </w:pPr>
            <w:r>
              <w:rPr>
                <w:spacing w:val="-3"/>
                <w:sz w:val="18"/>
                <w:szCs w:val="18"/>
              </w:rPr>
              <w:t>3.0</w:t>
            </w:r>
          </w:p>
        </w:tc>
        <w:tc>
          <w:tcPr>
            <w:tcW w:w="424" w:type="dxa"/>
            <w:tcBorders>
              <w:bottom w:val="single" w:color="000000" w:sz="12" w:space="0"/>
            </w:tcBorders>
            <w:shd w:val="clear" w:color="auto" w:fill="DBE5F1"/>
            <w:vAlign w:val="top"/>
          </w:tcPr>
          <w:p w14:paraId="0505130E">
            <w:pPr>
              <w:pStyle w:val="6"/>
              <w:spacing w:before="197" w:line="85" w:lineRule="exact"/>
              <w:ind w:left="164"/>
              <w:rPr>
                <w:sz w:val="18"/>
                <w:szCs w:val="18"/>
              </w:rPr>
            </w:pPr>
            <w:r>
              <w:rPr>
                <w:spacing w:val="-2"/>
                <w:position w:val="-5"/>
                <w:sz w:val="18"/>
                <w:szCs w:val="18"/>
              </w:rPr>
              <w:t>--</w:t>
            </w:r>
          </w:p>
        </w:tc>
        <w:tc>
          <w:tcPr>
            <w:tcW w:w="427" w:type="dxa"/>
            <w:tcBorders>
              <w:bottom w:val="single" w:color="000000" w:sz="12" w:space="0"/>
            </w:tcBorders>
            <w:shd w:val="clear" w:color="auto" w:fill="DBE5F1"/>
            <w:vAlign w:val="top"/>
          </w:tcPr>
          <w:p w14:paraId="30BB8545">
            <w:pPr>
              <w:pStyle w:val="6"/>
              <w:spacing w:before="119" w:line="232" w:lineRule="auto"/>
              <w:ind w:left="113"/>
              <w:rPr>
                <w:sz w:val="18"/>
                <w:szCs w:val="18"/>
              </w:rPr>
            </w:pPr>
            <w:r>
              <w:rPr>
                <w:spacing w:val="-3"/>
                <w:sz w:val="18"/>
                <w:szCs w:val="18"/>
              </w:rPr>
              <w:t>3.0</w:t>
            </w:r>
          </w:p>
        </w:tc>
        <w:tc>
          <w:tcPr>
            <w:tcW w:w="424" w:type="dxa"/>
            <w:tcBorders>
              <w:bottom w:val="single" w:color="000000" w:sz="12" w:space="0"/>
            </w:tcBorders>
            <w:shd w:val="clear" w:color="auto" w:fill="DBE5F1"/>
            <w:vAlign w:val="top"/>
          </w:tcPr>
          <w:p w14:paraId="007DB7F8">
            <w:pPr>
              <w:pStyle w:val="6"/>
              <w:spacing w:before="197" w:line="85" w:lineRule="exact"/>
              <w:ind w:left="165"/>
              <w:rPr>
                <w:sz w:val="18"/>
                <w:szCs w:val="18"/>
              </w:rPr>
            </w:pPr>
            <w:r>
              <w:rPr>
                <w:spacing w:val="-2"/>
                <w:position w:val="-5"/>
                <w:sz w:val="18"/>
                <w:szCs w:val="18"/>
              </w:rPr>
              <w:t>--</w:t>
            </w:r>
          </w:p>
        </w:tc>
        <w:tc>
          <w:tcPr>
            <w:tcW w:w="423" w:type="dxa"/>
            <w:tcBorders>
              <w:bottom w:val="single" w:color="000000" w:sz="12" w:space="0"/>
            </w:tcBorders>
            <w:shd w:val="clear" w:color="auto" w:fill="DBE5F1"/>
            <w:vAlign w:val="top"/>
          </w:tcPr>
          <w:p w14:paraId="28D77EB6">
            <w:pPr>
              <w:pStyle w:val="6"/>
              <w:spacing w:before="119" w:line="232" w:lineRule="auto"/>
              <w:ind w:left="87"/>
              <w:rPr>
                <w:sz w:val="18"/>
                <w:szCs w:val="18"/>
              </w:rPr>
            </w:pPr>
            <w:r>
              <w:rPr>
                <w:spacing w:val="-1"/>
                <w:sz w:val="18"/>
                <w:szCs w:val="18"/>
              </w:rPr>
              <w:t>200</w:t>
            </w:r>
          </w:p>
        </w:tc>
        <w:tc>
          <w:tcPr>
            <w:tcW w:w="472" w:type="dxa"/>
            <w:tcBorders>
              <w:bottom w:val="single" w:color="000000" w:sz="12" w:space="0"/>
            </w:tcBorders>
            <w:shd w:val="clear" w:color="auto" w:fill="DBE5F1"/>
            <w:vAlign w:val="top"/>
          </w:tcPr>
          <w:p w14:paraId="6C0F151E">
            <w:pPr>
              <w:pStyle w:val="6"/>
              <w:spacing w:before="197" w:line="85" w:lineRule="exact"/>
              <w:ind w:left="190"/>
              <w:rPr>
                <w:sz w:val="18"/>
                <w:szCs w:val="18"/>
              </w:rPr>
            </w:pPr>
            <w:r>
              <w:rPr>
                <w:spacing w:val="-2"/>
                <w:position w:val="-5"/>
                <w:sz w:val="18"/>
                <w:szCs w:val="18"/>
              </w:rPr>
              <w:t>--</w:t>
            </w:r>
          </w:p>
        </w:tc>
        <w:tc>
          <w:tcPr>
            <w:tcW w:w="377" w:type="dxa"/>
            <w:tcBorders>
              <w:bottom w:val="single" w:color="000000" w:sz="12" w:space="0"/>
              <w:right w:val="single" w:color="000000" w:sz="12" w:space="0"/>
            </w:tcBorders>
            <w:shd w:val="clear" w:color="auto" w:fill="DBE5F1"/>
            <w:vAlign w:val="top"/>
          </w:tcPr>
          <w:p w14:paraId="592FED60">
            <w:pPr>
              <w:pStyle w:val="6"/>
              <w:spacing w:before="197" w:line="85" w:lineRule="exact"/>
              <w:ind w:left="132"/>
              <w:rPr>
                <w:sz w:val="18"/>
                <w:szCs w:val="18"/>
              </w:rPr>
            </w:pPr>
            <w:r>
              <w:rPr>
                <w:spacing w:val="-2"/>
                <w:position w:val="-5"/>
                <w:sz w:val="18"/>
                <w:szCs w:val="18"/>
              </w:rPr>
              <w:t>--</w:t>
            </w:r>
          </w:p>
        </w:tc>
      </w:tr>
    </w:tbl>
    <w:p w14:paraId="63A6C897">
      <w:pPr>
        <w:pStyle w:val="2"/>
        <w:spacing w:before="35"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l</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2</w:t>
      </w:r>
      <w:r>
        <w:rPr>
          <w:spacing w:val="1"/>
          <w:sz w:val="24"/>
          <w:szCs w:val="24"/>
        </w:rPr>
        <w:t>、加</w:t>
      </w:r>
      <w:r>
        <w:rPr>
          <w:sz w:val="24"/>
          <w:szCs w:val="24"/>
        </w:rPr>
        <w:t>粗字体表示监测结果超标。</w:t>
      </w:r>
    </w:p>
    <w:p w14:paraId="399C8D24">
      <w:pPr>
        <w:spacing w:line="233" w:lineRule="auto"/>
        <w:rPr>
          <w:sz w:val="24"/>
          <w:szCs w:val="24"/>
        </w:rPr>
        <w:sectPr>
          <w:footerReference r:id="rId261" w:type="default"/>
          <w:pgSz w:w="23814" w:h="16840"/>
          <w:pgMar w:top="1376" w:right="1669" w:bottom="1061" w:left="1671" w:header="999" w:footer="861" w:gutter="0"/>
          <w:cols w:space="720" w:num="1"/>
        </w:sectPr>
      </w:pPr>
    </w:p>
    <w:p w14:paraId="2A13B0A5">
      <w:pPr>
        <w:spacing w:line="455" w:lineRule="auto"/>
        <w:rPr>
          <w:rFonts w:ascii="Arial"/>
          <w:sz w:val="21"/>
        </w:rPr>
      </w:pPr>
    </w:p>
    <w:p w14:paraId="100FEF28">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6.2-12                                                                                                                       </w:t>
      </w:r>
      <w:r>
        <w:rPr>
          <w:b/>
          <w:bCs/>
          <w:sz w:val="24"/>
          <w:szCs w:val="24"/>
        </w:rPr>
        <w:t>施工期</w:t>
      </w:r>
      <w:r>
        <w:rPr>
          <w:spacing w:val="-53"/>
          <w:sz w:val="24"/>
          <w:szCs w:val="24"/>
        </w:rPr>
        <w:t xml:space="preserve"> </w:t>
      </w:r>
      <w:r>
        <w:rPr>
          <w:rFonts w:ascii="Times New Roman" w:hAnsi="Times New Roman" w:eastAsia="Times New Roman" w:cs="Times New Roman"/>
          <w:b/>
          <w:bCs/>
          <w:sz w:val="24"/>
          <w:szCs w:val="24"/>
        </w:rPr>
        <w:t xml:space="preserve">2021 </w:t>
      </w:r>
      <w:r>
        <w:rPr>
          <w:b/>
          <w:bCs/>
          <w:sz w:val="24"/>
          <w:szCs w:val="24"/>
        </w:rPr>
        <w:t>年地下水水质监</w:t>
      </w:r>
      <w:r>
        <w:rPr>
          <w:b/>
          <w:bCs/>
          <w:spacing w:val="-1"/>
          <w:sz w:val="24"/>
          <w:szCs w:val="24"/>
        </w:rPr>
        <w:t>测结果统计</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34571740">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3"/>
        <w:gridCol w:w="284"/>
        <w:gridCol w:w="1249"/>
        <w:gridCol w:w="733"/>
        <w:gridCol w:w="565"/>
        <w:gridCol w:w="708"/>
        <w:gridCol w:w="567"/>
        <w:gridCol w:w="566"/>
        <w:gridCol w:w="567"/>
        <w:gridCol w:w="557"/>
        <w:gridCol w:w="715"/>
        <w:gridCol w:w="567"/>
        <w:gridCol w:w="708"/>
        <w:gridCol w:w="851"/>
        <w:gridCol w:w="566"/>
        <w:gridCol w:w="672"/>
        <w:gridCol w:w="745"/>
        <w:gridCol w:w="455"/>
        <w:gridCol w:w="579"/>
        <w:gridCol w:w="623"/>
        <w:gridCol w:w="737"/>
        <w:gridCol w:w="577"/>
        <w:gridCol w:w="708"/>
        <w:gridCol w:w="567"/>
        <w:gridCol w:w="566"/>
        <w:gridCol w:w="567"/>
        <w:gridCol w:w="708"/>
        <w:gridCol w:w="566"/>
        <w:gridCol w:w="579"/>
        <w:gridCol w:w="411"/>
        <w:gridCol w:w="428"/>
        <w:gridCol w:w="427"/>
        <w:gridCol w:w="341"/>
        <w:gridCol w:w="361"/>
      </w:tblGrid>
      <w:tr w14:paraId="10520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563" w:type="dxa"/>
            <w:tcBorders>
              <w:top w:val="single" w:color="000000" w:sz="12" w:space="0"/>
              <w:left w:val="single" w:color="000000" w:sz="12" w:space="0"/>
            </w:tcBorders>
            <w:vAlign w:val="top"/>
          </w:tcPr>
          <w:p w14:paraId="1D36183E">
            <w:pPr>
              <w:spacing w:before="273" w:line="242" w:lineRule="auto"/>
              <w:ind w:left="98" w:right="100" w:hanging="8"/>
              <w:rPr>
                <w:rFonts w:ascii="宋体" w:hAnsi="宋体" w:eastAsia="宋体" w:cs="宋体"/>
                <w:sz w:val="18"/>
                <w:szCs w:val="18"/>
              </w:rPr>
            </w:pPr>
            <w:r>
              <w:rPr>
                <w:rFonts w:ascii="宋体" w:hAnsi="宋体" w:eastAsia="宋体" w:cs="宋体"/>
                <w:spacing w:val="-4"/>
                <w:sz w:val="18"/>
                <w:szCs w:val="18"/>
              </w:rPr>
              <w:t>监测</w:t>
            </w:r>
            <w:r>
              <w:rPr>
                <w:rFonts w:ascii="宋体" w:hAnsi="宋体" w:eastAsia="宋体" w:cs="宋体"/>
                <w:spacing w:val="-9"/>
                <w:sz w:val="18"/>
                <w:szCs w:val="18"/>
              </w:rPr>
              <w:t>点位</w:t>
            </w:r>
          </w:p>
        </w:tc>
        <w:tc>
          <w:tcPr>
            <w:tcW w:w="1533" w:type="dxa"/>
            <w:gridSpan w:val="2"/>
            <w:tcBorders>
              <w:top w:val="single" w:color="000000" w:sz="12" w:space="0"/>
            </w:tcBorders>
            <w:vAlign w:val="top"/>
          </w:tcPr>
          <w:p w14:paraId="3D20D1F8">
            <w:pPr>
              <w:spacing w:line="330" w:lineRule="auto"/>
              <w:rPr>
                <w:rFonts w:ascii="Arial"/>
                <w:sz w:val="21"/>
              </w:rPr>
            </w:pPr>
          </w:p>
          <w:p w14:paraId="516B4EE5">
            <w:pPr>
              <w:spacing w:before="58" w:line="221" w:lineRule="auto"/>
              <w:ind w:left="394"/>
              <w:rPr>
                <w:rFonts w:ascii="宋体" w:hAnsi="宋体" w:eastAsia="宋体" w:cs="宋体"/>
                <w:sz w:val="18"/>
                <w:szCs w:val="18"/>
              </w:rPr>
            </w:pPr>
            <w:r>
              <w:rPr>
                <w:rFonts w:ascii="宋体" w:hAnsi="宋体" w:eastAsia="宋体" w:cs="宋体"/>
                <w:spacing w:val="-2"/>
                <w:sz w:val="18"/>
                <w:szCs w:val="18"/>
              </w:rPr>
              <w:t>监测时间</w:t>
            </w:r>
          </w:p>
        </w:tc>
        <w:tc>
          <w:tcPr>
            <w:tcW w:w="733" w:type="dxa"/>
            <w:tcBorders>
              <w:top w:val="single" w:color="000000" w:sz="12" w:space="0"/>
            </w:tcBorders>
            <w:vAlign w:val="top"/>
          </w:tcPr>
          <w:p w14:paraId="24F750E8">
            <w:pPr>
              <w:pStyle w:val="6"/>
              <w:spacing w:before="156"/>
              <w:ind w:left="91" w:right="110" w:firstLine="35"/>
              <w:jc w:val="both"/>
              <w:rPr>
                <w:rFonts w:ascii="宋体" w:hAnsi="宋体" w:eastAsia="宋体" w:cs="宋体"/>
                <w:sz w:val="18"/>
                <w:szCs w:val="18"/>
              </w:rPr>
            </w:pPr>
            <w:r>
              <w:rPr>
                <w:spacing w:val="-3"/>
                <w:sz w:val="18"/>
                <w:szCs w:val="18"/>
              </w:rPr>
              <w:t>pH</w:t>
            </w:r>
            <w:r>
              <w:rPr>
                <w:spacing w:val="7"/>
                <w:sz w:val="18"/>
                <w:szCs w:val="18"/>
              </w:rPr>
              <w:t xml:space="preserve"> </w:t>
            </w:r>
            <w:r>
              <w:rPr>
                <w:rFonts w:ascii="宋体" w:hAnsi="宋体" w:eastAsia="宋体" w:cs="宋体"/>
                <w:spacing w:val="-3"/>
                <w:sz w:val="18"/>
                <w:szCs w:val="18"/>
              </w:rPr>
              <w:t>值</w:t>
            </w:r>
            <w:r>
              <w:rPr>
                <w:rFonts w:ascii="宋体" w:hAnsi="宋体" w:eastAsia="宋体" w:cs="宋体"/>
                <w:spacing w:val="-7"/>
                <w:sz w:val="18"/>
                <w:szCs w:val="18"/>
              </w:rPr>
              <w:t>（无量</w:t>
            </w:r>
            <w:r>
              <w:rPr>
                <w:rFonts w:ascii="宋体" w:hAnsi="宋体" w:eastAsia="宋体" w:cs="宋体"/>
                <w:spacing w:val="33"/>
                <w:sz w:val="18"/>
                <w:szCs w:val="18"/>
              </w:rPr>
              <w:t>纲）</w:t>
            </w:r>
          </w:p>
        </w:tc>
        <w:tc>
          <w:tcPr>
            <w:tcW w:w="565" w:type="dxa"/>
            <w:tcBorders>
              <w:top w:val="single" w:color="000000" w:sz="12" w:space="0"/>
            </w:tcBorders>
            <w:vAlign w:val="top"/>
          </w:tcPr>
          <w:p w14:paraId="3EF31B52">
            <w:pPr>
              <w:spacing w:line="330" w:lineRule="auto"/>
              <w:rPr>
                <w:rFonts w:ascii="Arial"/>
                <w:sz w:val="21"/>
              </w:rPr>
            </w:pPr>
          </w:p>
          <w:p w14:paraId="32846D2A">
            <w:pPr>
              <w:spacing w:before="58" w:line="220" w:lineRule="auto"/>
              <w:ind w:left="8"/>
              <w:rPr>
                <w:rFonts w:ascii="宋体" w:hAnsi="宋体" w:eastAsia="宋体" w:cs="宋体"/>
                <w:sz w:val="18"/>
                <w:szCs w:val="18"/>
              </w:rPr>
            </w:pPr>
            <w:r>
              <w:rPr>
                <w:rFonts w:ascii="宋体" w:hAnsi="宋体" w:eastAsia="宋体" w:cs="宋体"/>
                <w:spacing w:val="-3"/>
                <w:sz w:val="18"/>
                <w:szCs w:val="18"/>
              </w:rPr>
              <w:t>总硬度</w:t>
            </w:r>
          </w:p>
        </w:tc>
        <w:tc>
          <w:tcPr>
            <w:tcW w:w="708" w:type="dxa"/>
            <w:tcBorders>
              <w:top w:val="single" w:color="000000" w:sz="12" w:space="0"/>
            </w:tcBorders>
            <w:vAlign w:val="top"/>
          </w:tcPr>
          <w:p w14:paraId="7F9EF15A">
            <w:pPr>
              <w:spacing w:before="274" w:line="241" w:lineRule="auto"/>
              <w:ind w:left="81" w:right="87" w:hanging="2"/>
              <w:rPr>
                <w:rFonts w:ascii="宋体" w:hAnsi="宋体" w:eastAsia="宋体" w:cs="宋体"/>
                <w:sz w:val="18"/>
                <w:szCs w:val="18"/>
              </w:rPr>
            </w:pPr>
            <w:r>
              <w:rPr>
                <w:rFonts w:ascii="宋体" w:hAnsi="宋体" w:eastAsia="宋体" w:cs="宋体"/>
                <w:spacing w:val="-4"/>
                <w:sz w:val="18"/>
                <w:szCs w:val="18"/>
              </w:rPr>
              <w:t>溶解性总固体</w:t>
            </w:r>
          </w:p>
        </w:tc>
        <w:tc>
          <w:tcPr>
            <w:tcW w:w="567" w:type="dxa"/>
            <w:tcBorders>
              <w:top w:val="single" w:color="000000" w:sz="12" w:space="0"/>
            </w:tcBorders>
            <w:vAlign w:val="top"/>
          </w:tcPr>
          <w:p w14:paraId="190B39C7">
            <w:pPr>
              <w:spacing w:line="330" w:lineRule="auto"/>
              <w:rPr>
                <w:rFonts w:ascii="Arial"/>
                <w:sz w:val="21"/>
              </w:rPr>
            </w:pPr>
          </w:p>
          <w:p w14:paraId="7668C3F6">
            <w:pPr>
              <w:spacing w:before="58" w:line="221" w:lineRule="auto"/>
              <w:ind w:left="6"/>
              <w:rPr>
                <w:rFonts w:ascii="宋体" w:hAnsi="宋体" w:eastAsia="宋体" w:cs="宋体"/>
                <w:sz w:val="18"/>
                <w:szCs w:val="18"/>
              </w:rPr>
            </w:pPr>
            <w:r>
              <w:rPr>
                <w:rFonts w:ascii="宋体" w:hAnsi="宋体" w:eastAsia="宋体" w:cs="宋体"/>
                <w:spacing w:val="-2"/>
                <w:sz w:val="18"/>
                <w:szCs w:val="18"/>
              </w:rPr>
              <w:t>硫酸盐</w:t>
            </w:r>
          </w:p>
        </w:tc>
        <w:tc>
          <w:tcPr>
            <w:tcW w:w="566" w:type="dxa"/>
            <w:tcBorders>
              <w:top w:val="single" w:color="000000" w:sz="12" w:space="0"/>
            </w:tcBorders>
            <w:vAlign w:val="top"/>
          </w:tcPr>
          <w:p w14:paraId="7BE348F1">
            <w:pPr>
              <w:spacing w:line="330" w:lineRule="auto"/>
              <w:rPr>
                <w:rFonts w:ascii="Arial"/>
                <w:sz w:val="21"/>
              </w:rPr>
            </w:pPr>
          </w:p>
          <w:p w14:paraId="453FA80B">
            <w:pPr>
              <w:spacing w:before="58" w:line="221" w:lineRule="auto"/>
              <w:ind w:left="9"/>
              <w:rPr>
                <w:rFonts w:ascii="宋体" w:hAnsi="宋体" w:eastAsia="宋体" w:cs="宋体"/>
                <w:sz w:val="18"/>
                <w:szCs w:val="18"/>
              </w:rPr>
            </w:pPr>
            <w:r>
              <w:rPr>
                <w:rFonts w:ascii="宋体" w:hAnsi="宋体" w:eastAsia="宋体" w:cs="宋体"/>
                <w:spacing w:val="-3"/>
                <w:sz w:val="18"/>
                <w:szCs w:val="18"/>
              </w:rPr>
              <w:t>氯化物</w:t>
            </w:r>
          </w:p>
        </w:tc>
        <w:tc>
          <w:tcPr>
            <w:tcW w:w="567" w:type="dxa"/>
            <w:tcBorders>
              <w:top w:val="single" w:color="000000" w:sz="12" w:space="0"/>
            </w:tcBorders>
            <w:vAlign w:val="top"/>
          </w:tcPr>
          <w:p w14:paraId="7BA373ED">
            <w:pPr>
              <w:spacing w:line="330" w:lineRule="auto"/>
              <w:rPr>
                <w:rFonts w:ascii="Arial"/>
                <w:sz w:val="21"/>
              </w:rPr>
            </w:pPr>
          </w:p>
          <w:p w14:paraId="42EB95A8">
            <w:pPr>
              <w:spacing w:before="58" w:line="221" w:lineRule="auto"/>
              <w:ind w:left="187"/>
              <w:rPr>
                <w:rFonts w:ascii="宋体" w:hAnsi="宋体" w:eastAsia="宋体" w:cs="宋体"/>
                <w:sz w:val="18"/>
                <w:szCs w:val="18"/>
              </w:rPr>
            </w:pPr>
            <w:r>
              <w:rPr>
                <w:rFonts w:ascii="宋体" w:hAnsi="宋体" w:eastAsia="宋体" w:cs="宋体"/>
                <w:sz w:val="18"/>
                <w:szCs w:val="18"/>
              </w:rPr>
              <w:t>铁</w:t>
            </w:r>
          </w:p>
        </w:tc>
        <w:tc>
          <w:tcPr>
            <w:tcW w:w="557" w:type="dxa"/>
            <w:tcBorders>
              <w:top w:val="single" w:color="000000" w:sz="12" w:space="0"/>
            </w:tcBorders>
            <w:vAlign w:val="top"/>
          </w:tcPr>
          <w:p w14:paraId="148612E9">
            <w:pPr>
              <w:spacing w:line="330" w:lineRule="auto"/>
              <w:rPr>
                <w:rFonts w:ascii="Arial"/>
                <w:sz w:val="21"/>
              </w:rPr>
            </w:pPr>
          </w:p>
          <w:p w14:paraId="0019DA87">
            <w:pPr>
              <w:spacing w:before="58" w:line="226" w:lineRule="auto"/>
              <w:ind w:left="183"/>
              <w:rPr>
                <w:rFonts w:ascii="宋体" w:hAnsi="宋体" w:eastAsia="宋体" w:cs="宋体"/>
                <w:sz w:val="18"/>
                <w:szCs w:val="18"/>
              </w:rPr>
            </w:pPr>
            <w:r>
              <w:rPr>
                <w:rFonts w:ascii="宋体" w:hAnsi="宋体" w:eastAsia="宋体" w:cs="宋体"/>
                <w:sz w:val="18"/>
                <w:szCs w:val="18"/>
              </w:rPr>
              <w:t>锰</w:t>
            </w:r>
          </w:p>
        </w:tc>
        <w:tc>
          <w:tcPr>
            <w:tcW w:w="715" w:type="dxa"/>
            <w:tcBorders>
              <w:top w:val="single" w:color="000000" w:sz="12" w:space="0"/>
            </w:tcBorders>
            <w:vAlign w:val="top"/>
          </w:tcPr>
          <w:p w14:paraId="5C4C98E2">
            <w:pPr>
              <w:spacing w:line="330" w:lineRule="auto"/>
              <w:rPr>
                <w:rFonts w:ascii="Arial"/>
                <w:sz w:val="21"/>
              </w:rPr>
            </w:pPr>
          </w:p>
          <w:p w14:paraId="5E0F6C9E">
            <w:pPr>
              <w:spacing w:before="58" w:line="221" w:lineRule="auto"/>
              <w:ind w:left="263"/>
              <w:rPr>
                <w:rFonts w:ascii="宋体" w:hAnsi="宋体" w:eastAsia="宋体" w:cs="宋体"/>
                <w:sz w:val="18"/>
                <w:szCs w:val="18"/>
              </w:rPr>
            </w:pPr>
            <w:r>
              <w:rPr>
                <w:rFonts w:ascii="宋体" w:hAnsi="宋体" w:eastAsia="宋体" w:cs="宋体"/>
                <w:sz w:val="18"/>
                <w:szCs w:val="18"/>
              </w:rPr>
              <w:t>铜</w:t>
            </w:r>
          </w:p>
        </w:tc>
        <w:tc>
          <w:tcPr>
            <w:tcW w:w="567" w:type="dxa"/>
            <w:tcBorders>
              <w:top w:val="single" w:color="000000" w:sz="12" w:space="0"/>
            </w:tcBorders>
            <w:vAlign w:val="top"/>
          </w:tcPr>
          <w:p w14:paraId="52E33042">
            <w:pPr>
              <w:spacing w:line="330" w:lineRule="auto"/>
              <w:rPr>
                <w:rFonts w:ascii="Arial"/>
                <w:sz w:val="21"/>
              </w:rPr>
            </w:pPr>
          </w:p>
          <w:p w14:paraId="57D14A98">
            <w:pPr>
              <w:spacing w:before="58" w:line="220" w:lineRule="auto"/>
              <w:ind w:left="190"/>
              <w:rPr>
                <w:rFonts w:ascii="宋体" w:hAnsi="宋体" w:eastAsia="宋体" w:cs="宋体"/>
                <w:sz w:val="18"/>
                <w:szCs w:val="18"/>
              </w:rPr>
            </w:pPr>
            <w:r>
              <w:rPr>
                <w:rFonts w:ascii="宋体" w:hAnsi="宋体" w:eastAsia="宋体" w:cs="宋体"/>
                <w:sz w:val="18"/>
                <w:szCs w:val="18"/>
              </w:rPr>
              <w:t>锌</w:t>
            </w:r>
          </w:p>
        </w:tc>
        <w:tc>
          <w:tcPr>
            <w:tcW w:w="708" w:type="dxa"/>
            <w:tcBorders>
              <w:top w:val="single" w:color="000000" w:sz="12" w:space="0"/>
            </w:tcBorders>
            <w:vAlign w:val="top"/>
          </w:tcPr>
          <w:p w14:paraId="613EEA7D">
            <w:pPr>
              <w:spacing w:line="330" w:lineRule="auto"/>
              <w:rPr>
                <w:rFonts w:ascii="Arial"/>
                <w:sz w:val="21"/>
              </w:rPr>
            </w:pPr>
          </w:p>
          <w:p w14:paraId="2913F9FC">
            <w:pPr>
              <w:spacing w:before="58" w:line="220" w:lineRule="auto"/>
              <w:ind w:left="80"/>
              <w:rPr>
                <w:rFonts w:ascii="宋体" w:hAnsi="宋体" w:eastAsia="宋体" w:cs="宋体"/>
                <w:sz w:val="18"/>
                <w:szCs w:val="18"/>
              </w:rPr>
            </w:pPr>
            <w:r>
              <w:rPr>
                <w:rFonts w:ascii="宋体" w:hAnsi="宋体" w:eastAsia="宋体" w:cs="宋体"/>
                <w:spacing w:val="-2"/>
                <w:sz w:val="18"/>
                <w:szCs w:val="18"/>
              </w:rPr>
              <w:t>挥发酚</w:t>
            </w:r>
          </w:p>
        </w:tc>
        <w:tc>
          <w:tcPr>
            <w:tcW w:w="851" w:type="dxa"/>
            <w:tcBorders>
              <w:top w:val="single" w:color="000000" w:sz="12" w:space="0"/>
            </w:tcBorders>
            <w:vAlign w:val="top"/>
          </w:tcPr>
          <w:p w14:paraId="51992E41">
            <w:pPr>
              <w:spacing w:before="275"/>
              <w:ind w:left="65" w:right="63" w:firstLine="13"/>
              <w:rPr>
                <w:rFonts w:ascii="宋体" w:hAnsi="宋体" w:eastAsia="宋体" w:cs="宋体"/>
                <w:sz w:val="18"/>
                <w:szCs w:val="18"/>
              </w:rPr>
            </w:pPr>
            <w:r>
              <w:rPr>
                <w:rFonts w:ascii="宋体" w:hAnsi="宋体" w:eastAsia="宋体" w:cs="宋体"/>
                <w:spacing w:val="-6"/>
                <w:sz w:val="18"/>
                <w:szCs w:val="18"/>
              </w:rPr>
              <w:t>阴离子表</w:t>
            </w:r>
            <w:r>
              <w:rPr>
                <w:rFonts w:ascii="宋体" w:hAnsi="宋体" w:eastAsia="宋体" w:cs="宋体"/>
                <w:spacing w:val="-2"/>
                <w:sz w:val="18"/>
                <w:szCs w:val="18"/>
              </w:rPr>
              <w:t>面活性剂</w:t>
            </w:r>
          </w:p>
        </w:tc>
        <w:tc>
          <w:tcPr>
            <w:tcW w:w="566" w:type="dxa"/>
            <w:tcBorders>
              <w:top w:val="single" w:color="000000" w:sz="12" w:space="0"/>
            </w:tcBorders>
            <w:vAlign w:val="top"/>
          </w:tcPr>
          <w:p w14:paraId="0DEE008B">
            <w:pPr>
              <w:spacing w:line="367" w:lineRule="auto"/>
              <w:rPr>
                <w:rFonts w:ascii="Arial"/>
                <w:sz w:val="21"/>
              </w:rPr>
            </w:pPr>
          </w:p>
          <w:p w14:paraId="0067E645">
            <w:pPr>
              <w:pStyle w:val="6"/>
              <w:spacing w:before="52" w:line="183" w:lineRule="auto"/>
              <w:ind w:left="176"/>
              <w:rPr>
                <w:sz w:val="18"/>
                <w:szCs w:val="18"/>
              </w:rPr>
            </w:pPr>
            <w:r>
              <w:rPr>
                <w:spacing w:val="-3"/>
                <w:sz w:val="18"/>
                <w:szCs w:val="18"/>
              </w:rPr>
              <w:t>TP</w:t>
            </w:r>
          </w:p>
        </w:tc>
        <w:tc>
          <w:tcPr>
            <w:tcW w:w="672" w:type="dxa"/>
            <w:tcBorders>
              <w:top w:val="single" w:color="000000" w:sz="12" w:space="0"/>
            </w:tcBorders>
            <w:vAlign w:val="top"/>
          </w:tcPr>
          <w:p w14:paraId="5593E802">
            <w:pPr>
              <w:spacing w:line="330" w:lineRule="auto"/>
              <w:rPr>
                <w:rFonts w:ascii="Arial"/>
                <w:sz w:val="21"/>
              </w:rPr>
            </w:pPr>
          </w:p>
          <w:p w14:paraId="6DAC3F69">
            <w:pPr>
              <w:spacing w:before="58" w:line="221" w:lineRule="auto"/>
              <w:ind w:left="68"/>
              <w:rPr>
                <w:rFonts w:ascii="宋体" w:hAnsi="宋体" w:eastAsia="宋体" w:cs="宋体"/>
                <w:sz w:val="18"/>
                <w:szCs w:val="18"/>
              </w:rPr>
            </w:pPr>
            <w:r>
              <w:rPr>
                <w:rFonts w:ascii="宋体" w:hAnsi="宋体" w:eastAsia="宋体" w:cs="宋体"/>
                <w:spacing w:val="-2"/>
                <w:sz w:val="18"/>
                <w:szCs w:val="18"/>
              </w:rPr>
              <w:t>硝酸盐</w:t>
            </w:r>
          </w:p>
        </w:tc>
        <w:tc>
          <w:tcPr>
            <w:tcW w:w="745" w:type="dxa"/>
            <w:tcBorders>
              <w:top w:val="single" w:color="000000" w:sz="12" w:space="0"/>
            </w:tcBorders>
            <w:vAlign w:val="top"/>
          </w:tcPr>
          <w:p w14:paraId="78D204D4">
            <w:pPr>
              <w:spacing w:line="330" w:lineRule="auto"/>
              <w:rPr>
                <w:rFonts w:ascii="Arial"/>
                <w:sz w:val="21"/>
              </w:rPr>
            </w:pPr>
          </w:p>
          <w:p w14:paraId="1C39D8B6">
            <w:pPr>
              <w:spacing w:before="58" w:line="221" w:lineRule="auto"/>
              <w:ind w:left="15"/>
              <w:rPr>
                <w:rFonts w:ascii="宋体" w:hAnsi="宋体" w:eastAsia="宋体" w:cs="宋体"/>
                <w:sz w:val="18"/>
                <w:szCs w:val="18"/>
              </w:rPr>
            </w:pPr>
            <w:r>
              <w:rPr>
                <w:rFonts w:ascii="宋体" w:hAnsi="宋体" w:eastAsia="宋体" w:cs="宋体"/>
                <w:spacing w:val="-2"/>
                <w:sz w:val="18"/>
                <w:szCs w:val="18"/>
              </w:rPr>
              <w:t>亚硝酸盐</w:t>
            </w:r>
          </w:p>
        </w:tc>
        <w:tc>
          <w:tcPr>
            <w:tcW w:w="455" w:type="dxa"/>
            <w:tcBorders>
              <w:top w:val="single" w:color="000000" w:sz="12" w:space="0"/>
            </w:tcBorders>
            <w:vAlign w:val="top"/>
          </w:tcPr>
          <w:p w14:paraId="04859FF8">
            <w:pPr>
              <w:spacing w:line="329" w:lineRule="auto"/>
              <w:rPr>
                <w:rFonts w:ascii="Arial"/>
                <w:sz w:val="21"/>
              </w:rPr>
            </w:pPr>
          </w:p>
          <w:p w14:paraId="3EC1F2AA">
            <w:pPr>
              <w:spacing w:before="59" w:line="219" w:lineRule="auto"/>
              <w:ind w:left="51"/>
              <w:rPr>
                <w:rFonts w:ascii="宋体" w:hAnsi="宋体" w:eastAsia="宋体" w:cs="宋体"/>
                <w:sz w:val="18"/>
                <w:szCs w:val="18"/>
              </w:rPr>
            </w:pPr>
            <w:r>
              <w:rPr>
                <w:rFonts w:ascii="宋体" w:hAnsi="宋体" w:eastAsia="宋体" w:cs="宋体"/>
                <w:spacing w:val="-2"/>
                <w:sz w:val="18"/>
                <w:szCs w:val="18"/>
              </w:rPr>
              <w:t>氨氮</w:t>
            </w:r>
          </w:p>
        </w:tc>
        <w:tc>
          <w:tcPr>
            <w:tcW w:w="579" w:type="dxa"/>
            <w:tcBorders>
              <w:top w:val="single" w:color="000000" w:sz="12" w:space="0"/>
            </w:tcBorders>
            <w:vAlign w:val="top"/>
          </w:tcPr>
          <w:p w14:paraId="795ED7BB">
            <w:pPr>
              <w:spacing w:line="329" w:lineRule="auto"/>
              <w:rPr>
                <w:rFonts w:ascii="Arial"/>
                <w:sz w:val="21"/>
              </w:rPr>
            </w:pPr>
          </w:p>
          <w:p w14:paraId="1018CC94">
            <w:pPr>
              <w:spacing w:before="59" w:line="220" w:lineRule="auto"/>
              <w:ind w:left="25"/>
              <w:rPr>
                <w:rFonts w:ascii="宋体" w:hAnsi="宋体" w:eastAsia="宋体" w:cs="宋体"/>
                <w:sz w:val="18"/>
                <w:szCs w:val="18"/>
              </w:rPr>
            </w:pPr>
            <w:r>
              <w:rPr>
                <w:rFonts w:ascii="宋体" w:hAnsi="宋体" w:eastAsia="宋体" w:cs="宋体"/>
                <w:spacing w:val="-2"/>
                <w:sz w:val="18"/>
                <w:szCs w:val="18"/>
              </w:rPr>
              <w:t>氟化物</w:t>
            </w:r>
          </w:p>
        </w:tc>
        <w:tc>
          <w:tcPr>
            <w:tcW w:w="623" w:type="dxa"/>
            <w:tcBorders>
              <w:top w:val="single" w:color="000000" w:sz="12" w:space="0"/>
            </w:tcBorders>
            <w:vAlign w:val="top"/>
          </w:tcPr>
          <w:p w14:paraId="45B938A3">
            <w:pPr>
              <w:spacing w:line="329" w:lineRule="auto"/>
              <w:rPr>
                <w:rFonts w:ascii="Arial"/>
                <w:sz w:val="21"/>
              </w:rPr>
            </w:pPr>
          </w:p>
          <w:p w14:paraId="4CF8FFE2">
            <w:pPr>
              <w:spacing w:before="59" w:line="220" w:lineRule="auto"/>
              <w:ind w:left="44"/>
              <w:rPr>
                <w:rFonts w:ascii="宋体" w:hAnsi="宋体" w:eastAsia="宋体" w:cs="宋体"/>
                <w:sz w:val="18"/>
                <w:szCs w:val="18"/>
              </w:rPr>
            </w:pPr>
            <w:r>
              <w:rPr>
                <w:rFonts w:ascii="宋体" w:hAnsi="宋体" w:eastAsia="宋体" w:cs="宋体"/>
                <w:spacing w:val="-2"/>
                <w:sz w:val="18"/>
                <w:szCs w:val="18"/>
              </w:rPr>
              <w:t>氰化物</w:t>
            </w:r>
          </w:p>
        </w:tc>
        <w:tc>
          <w:tcPr>
            <w:tcW w:w="737" w:type="dxa"/>
            <w:tcBorders>
              <w:top w:val="single" w:color="000000" w:sz="12" w:space="0"/>
            </w:tcBorders>
            <w:vAlign w:val="top"/>
          </w:tcPr>
          <w:p w14:paraId="1B84D5A1">
            <w:pPr>
              <w:spacing w:line="330" w:lineRule="auto"/>
              <w:rPr>
                <w:rFonts w:ascii="Arial"/>
                <w:sz w:val="21"/>
              </w:rPr>
            </w:pPr>
          </w:p>
          <w:p w14:paraId="5D177B69">
            <w:pPr>
              <w:spacing w:before="58" w:line="220" w:lineRule="auto"/>
              <w:ind w:left="284"/>
              <w:rPr>
                <w:rFonts w:ascii="宋体" w:hAnsi="宋体" w:eastAsia="宋体" w:cs="宋体"/>
                <w:sz w:val="18"/>
                <w:szCs w:val="18"/>
              </w:rPr>
            </w:pPr>
            <w:r>
              <w:rPr>
                <w:rFonts w:ascii="宋体" w:hAnsi="宋体" w:eastAsia="宋体" w:cs="宋体"/>
                <w:sz w:val="18"/>
                <w:szCs w:val="18"/>
              </w:rPr>
              <w:t>汞</w:t>
            </w:r>
          </w:p>
        </w:tc>
        <w:tc>
          <w:tcPr>
            <w:tcW w:w="577" w:type="dxa"/>
            <w:tcBorders>
              <w:top w:val="single" w:color="000000" w:sz="12" w:space="0"/>
            </w:tcBorders>
            <w:vAlign w:val="top"/>
          </w:tcPr>
          <w:p w14:paraId="07762628">
            <w:pPr>
              <w:spacing w:line="330" w:lineRule="auto"/>
              <w:rPr>
                <w:rFonts w:ascii="Arial"/>
                <w:sz w:val="21"/>
              </w:rPr>
            </w:pPr>
          </w:p>
          <w:p w14:paraId="46824B90">
            <w:pPr>
              <w:spacing w:before="58" w:line="220" w:lineRule="auto"/>
              <w:ind w:left="205"/>
              <w:rPr>
                <w:rFonts w:ascii="宋体" w:hAnsi="宋体" w:eastAsia="宋体" w:cs="宋体"/>
                <w:sz w:val="18"/>
                <w:szCs w:val="18"/>
              </w:rPr>
            </w:pPr>
            <w:r>
              <w:rPr>
                <w:rFonts w:ascii="宋体" w:hAnsi="宋体" w:eastAsia="宋体" w:cs="宋体"/>
                <w:sz w:val="18"/>
                <w:szCs w:val="18"/>
              </w:rPr>
              <w:t>砷</w:t>
            </w:r>
          </w:p>
        </w:tc>
        <w:tc>
          <w:tcPr>
            <w:tcW w:w="708" w:type="dxa"/>
            <w:tcBorders>
              <w:top w:val="single" w:color="000000" w:sz="12" w:space="0"/>
            </w:tcBorders>
            <w:vAlign w:val="top"/>
          </w:tcPr>
          <w:p w14:paraId="1AD022FC">
            <w:pPr>
              <w:spacing w:line="330" w:lineRule="auto"/>
              <w:rPr>
                <w:rFonts w:ascii="Arial"/>
                <w:sz w:val="21"/>
              </w:rPr>
            </w:pPr>
          </w:p>
          <w:p w14:paraId="1D0CBCE5">
            <w:pPr>
              <w:spacing w:before="58" w:line="222" w:lineRule="auto"/>
              <w:ind w:left="271"/>
              <w:rPr>
                <w:rFonts w:ascii="宋体" w:hAnsi="宋体" w:eastAsia="宋体" w:cs="宋体"/>
                <w:sz w:val="18"/>
                <w:szCs w:val="18"/>
              </w:rPr>
            </w:pPr>
            <w:r>
              <w:rPr>
                <w:rFonts w:ascii="宋体" w:hAnsi="宋体" w:eastAsia="宋体" w:cs="宋体"/>
                <w:sz w:val="18"/>
                <w:szCs w:val="18"/>
              </w:rPr>
              <w:t>硒</w:t>
            </w:r>
          </w:p>
        </w:tc>
        <w:tc>
          <w:tcPr>
            <w:tcW w:w="567" w:type="dxa"/>
            <w:tcBorders>
              <w:top w:val="single" w:color="000000" w:sz="12" w:space="0"/>
            </w:tcBorders>
            <w:vAlign w:val="top"/>
          </w:tcPr>
          <w:p w14:paraId="7504947A">
            <w:pPr>
              <w:spacing w:line="330" w:lineRule="auto"/>
              <w:rPr>
                <w:rFonts w:ascii="Arial"/>
                <w:sz w:val="21"/>
              </w:rPr>
            </w:pPr>
          </w:p>
          <w:p w14:paraId="3C5AAECE">
            <w:pPr>
              <w:spacing w:before="58" w:line="222" w:lineRule="auto"/>
              <w:ind w:left="202"/>
              <w:rPr>
                <w:rFonts w:ascii="宋体" w:hAnsi="宋体" w:eastAsia="宋体" w:cs="宋体"/>
                <w:sz w:val="18"/>
                <w:szCs w:val="18"/>
              </w:rPr>
            </w:pPr>
            <w:r>
              <w:rPr>
                <w:rFonts w:ascii="宋体" w:hAnsi="宋体" w:eastAsia="宋体" w:cs="宋体"/>
                <w:sz w:val="18"/>
                <w:szCs w:val="18"/>
              </w:rPr>
              <w:t>镉</w:t>
            </w:r>
          </w:p>
        </w:tc>
        <w:tc>
          <w:tcPr>
            <w:tcW w:w="566" w:type="dxa"/>
            <w:tcBorders>
              <w:top w:val="single" w:color="000000" w:sz="12" w:space="0"/>
            </w:tcBorders>
            <w:vAlign w:val="top"/>
          </w:tcPr>
          <w:p w14:paraId="59AC601D">
            <w:pPr>
              <w:spacing w:line="330" w:lineRule="auto"/>
              <w:rPr>
                <w:rFonts w:ascii="Arial"/>
                <w:sz w:val="21"/>
              </w:rPr>
            </w:pPr>
          </w:p>
          <w:p w14:paraId="2A2D57FC">
            <w:pPr>
              <w:spacing w:before="58" w:line="218" w:lineRule="auto"/>
              <w:jc w:val="right"/>
              <w:rPr>
                <w:rFonts w:ascii="宋体" w:hAnsi="宋体" w:eastAsia="宋体" w:cs="宋体"/>
                <w:sz w:val="18"/>
                <w:szCs w:val="18"/>
              </w:rPr>
            </w:pPr>
            <w:r>
              <w:rPr>
                <w:rFonts w:ascii="宋体" w:hAnsi="宋体" w:eastAsia="宋体" w:cs="宋体"/>
                <w:spacing w:val="-3"/>
                <w:sz w:val="18"/>
                <w:szCs w:val="18"/>
              </w:rPr>
              <w:t>六价铬</w:t>
            </w:r>
          </w:p>
        </w:tc>
        <w:tc>
          <w:tcPr>
            <w:tcW w:w="567" w:type="dxa"/>
            <w:tcBorders>
              <w:top w:val="single" w:color="000000" w:sz="12" w:space="0"/>
            </w:tcBorders>
            <w:vAlign w:val="top"/>
          </w:tcPr>
          <w:p w14:paraId="066B9362">
            <w:pPr>
              <w:spacing w:line="329" w:lineRule="auto"/>
              <w:rPr>
                <w:rFonts w:ascii="Arial"/>
                <w:sz w:val="21"/>
              </w:rPr>
            </w:pPr>
          </w:p>
          <w:p w14:paraId="74ED97D5">
            <w:pPr>
              <w:spacing w:before="59" w:line="224" w:lineRule="auto"/>
              <w:ind w:left="204"/>
              <w:rPr>
                <w:rFonts w:ascii="宋体" w:hAnsi="宋体" w:eastAsia="宋体" w:cs="宋体"/>
                <w:sz w:val="18"/>
                <w:szCs w:val="18"/>
              </w:rPr>
            </w:pPr>
            <w:r>
              <w:rPr>
                <w:rFonts w:ascii="宋体" w:hAnsi="宋体" w:eastAsia="宋体" w:cs="宋体"/>
                <w:sz w:val="18"/>
                <w:szCs w:val="18"/>
              </w:rPr>
              <w:t>铅</w:t>
            </w:r>
          </w:p>
        </w:tc>
        <w:tc>
          <w:tcPr>
            <w:tcW w:w="708" w:type="dxa"/>
            <w:tcBorders>
              <w:top w:val="single" w:color="000000" w:sz="12" w:space="0"/>
            </w:tcBorders>
            <w:vAlign w:val="top"/>
          </w:tcPr>
          <w:p w14:paraId="509562BD">
            <w:pPr>
              <w:spacing w:line="330" w:lineRule="auto"/>
              <w:rPr>
                <w:rFonts w:ascii="Arial"/>
                <w:sz w:val="21"/>
              </w:rPr>
            </w:pPr>
          </w:p>
          <w:p w14:paraId="350736AE">
            <w:pPr>
              <w:spacing w:before="58" w:line="225" w:lineRule="auto"/>
              <w:ind w:left="276"/>
              <w:rPr>
                <w:rFonts w:ascii="宋体" w:hAnsi="宋体" w:eastAsia="宋体" w:cs="宋体"/>
                <w:sz w:val="18"/>
                <w:szCs w:val="18"/>
              </w:rPr>
            </w:pPr>
            <w:r>
              <w:rPr>
                <w:rFonts w:ascii="宋体" w:hAnsi="宋体" w:eastAsia="宋体" w:cs="宋体"/>
                <w:sz w:val="18"/>
                <w:szCs w:val="18"/>
              </w:rPr>
              <w:t>铝</w:t>
            </w:r>
          </w:p>
        </w:tc>
        <w:tc>
          <w:tcPr>
            <w:tcW w:w="566" w:type="dxa"/>
            <w:tcBorders>
              <w:top w:val="single" w:color="000000" w:sz="12" w:space="0"/>
            </w:tcBorders>
            <w:vAlign w:val="top"/>
          </w:tcPr>
          <w:p w14:paraId="7DAE2F01">
            <w:pPr>
              <w:pStyle w:val="6"/>
              <w:spacing w:before="65" w:line="241" w:lineRule="auto"/>
              <w:ind w:left="70" w:hanging="40"/>
              <w:rPr>
                <w:sz w:val="18"/>
                <w:szCs w:val="18"/>
              </w:rPr>
            </w:pPr>
            <w:r>
              <w:rPr>
                <w:rFonts w:ascii="宋体" w:hAnsi="宋体" w:eastAsia="宋体" w:cs="宋体"/>
                <w:spacing w:val="-5"/>
                <w:sz w:val="18"/>
                <w:szCs w:val="18"/>
              </w:rPr>
              <w:t>总大肠</w:t>
            </w:r>
            <w:r>
              <w:rPr>
                <w:rFonts w:ascii="宋体" w:hAnsi="宋体" w:eastAsia="宋体" w:cs="宋体"/>
                <w:spacing w:val="17"/>
                <w:sz w:val="18"/>
                <w:szCs w:val="18"/>
              </w:rPr>
              <w:t>菌群</w:t>
            </w:r>
            <w:r>
              <w:rPr>
                <w:spacing w:val="-2"/>
                <w:sz w:val="18"/>
                <w:szCs w:val="18"/>
              </w:rPr>
              <w:t>MPN/</w:t>
            </w:r>
          </w:p>
          <w:p w14:paraId="42240BF0">
            <w:pPr>
              <w:pStyle w:val="6"/>
              <w:spacing w:before="9" w:line="235" w:lineRule="auto"/>
              <w:ind w:left="165"/>
              <w:rPr>
                <w:sz w:val="18"/>
                <w:szCs w:val="18"/>
              </w:rPr>
            </w:pPr>
            <w:r>
              <w:rPr>
                <w:spacing w:val="-1"/>
                <w:sz w:val="18"/>
                <w:szCs w:val="18"/>
              </w:rPr>
              <w:t>mL</w:t>
            </w:r>
          </w:p>
        </w:tc>
        <w:tc>
          <w:tcPr>
            <w:tcW w:w="579" w:type="dxa"/>
            <w:tcBorders>
              <w:top w:val="single" w:color="000000" w:sz="12" w:space="0"/>
            </w:tcBorders>
            <w:vAlign w:val="top"/>
          </w:tcPr>
          <w:p w14:paraId="278346FE">
            <w:pPr>
              <w:spacing w:line="329" w:lineRule="auto"/>
              <w:rPr>
                <w:rFonts w:ascii="Arial"/>
                <w:sz w:val="21"/>
              </w:rPr>
            </w:pPr>
          </w:p>
          <w:p w14:paraId="56B8679B">
            <w:pPr>
              <w:spacing w:before="59" w:line="220" w:lineRule="auto"/>
              <w:ind w:right="1"/>
              <w:jc w:val="right"/>
              <w:rPr>
                <w:rFonts w:ascii="宋体" w:hAnsi="宋体" w:eastAsia="宋体" w:cs="宋体"/>
                <w:sz w:val="18"/>
                <w:szCs w:val="18"/>
              </w:rPr>
            </w:pPr>
            <w:r>
              <w:rPr>
                <w:rFonts w:ascii="宋体" w:hAnsi="宋体" w:eastAsia="宋体" w:cs="宋体"/>
                <w:spacing w:val="-2"/>
                <w:sz w:val="18"/>
                <w:szCs w:val="18"/>
              </w:rPr>
              <w:t>矿化度</w:t>
            </w:r>
          </w:p>
        </w:tc>
        <w:tc>
          <w:tcPr>
            <w:tcW w:w="411" w:type="dxa"/>
            <w:tcBorders>
              <w:top w:val="single" w:color="000000" w:sz="12" w:space="0"/>
            </w:tcBorders>
            <w:vAlign w:val="top"/>
          </w:tcPr>
          <w:p w14:paraId="5D4F25A4">
            <w:pPr>
              <w:spacing w:before="273" w:line="244" w:lineRule="auto"/>
              <w:ind w:left="128" w:right="9" w:hanging="89"/>
              <w:rPr>
                <w:rFonts w:ascii="宋体" w:hAnsi="宋体" w:eastAsia="宋体" w:cs="宋体"/>
                <w:sz w:val="18"/>
                <w:szCs w:val="18"/>
              </w:rPr>
            </w:pPr>
            <w:r>
              <w:rPr>
                <w:rFonts w:ascii="宋体" w:hAnsi="宋体" w:eastAsia="宋体" w:cs="宋体"/>
                <w:spacing w:val="-4"/>
                <w:sz w:val="18"/>
                <w:szCs w:val="18"/>
              </w:rPr>
              <w:t>耗氧</w:t>
            </w:r>
            <w:r>
              <w:rPr>
                <w:rFonts w:ascii="宋体" w:hAnsi="宋体" w:eastAsia="宋体" w:cs="宋体"/>
                <w:sz w:val="18"/>
                <w:szCs w:val="18"/>
              </w:rPr>
              <w:t>量</w:t>
            </w:r>
          </w:p>
        </w:tc>
        <w:tc>
          <w:tcPr>
            <w:tcW w:w="428" w:type="dxa"/>
            <w:tcBorders>
              <w:top w:val="single" w:color="000000" w:sz="12" w:space="0"/>
            </w:tcBorders>
            <w:vAlign w:val="top"/>
          </w:tcPr>
          <w:p w14:paraId="14304345">
            <w:pPr>
              <w:spacing w:line="330" w:lineRule="auto"/>
              <w:rPr>
                <w:rFonts w:ascii="Arial"/>
                <w:sz w:val="21"/>
              </w:rPr>
            </w:pPr>
          </w:p>
          <w:p w14:paraId="59D6160C">
            <w:pPr>
              <w:spacing w:before="58" w:line="220" w:lineRule="auto"/>
              <w:ind w:left="137"/>
              <w:rPr>
                <w:rFonts w:ascii="宋体" w:hAnsi="宋体" w:eastAsia="宋体" w:cs="宋体"/>
                <w:sz w:val="18"/>
                <w:szCs w:val="18"/>
              </w:rPr>
            </w:pPr>
            <w:r>
              <w:rPr>
                <w:rFonts w:ascii="宋体" w:hAnsi="宋体" w:eastAsia="宋体" w:cs="宋体"/>
                <w:sz w:val="18"/>
                <w:szCs w:val="18"/>
              </w:rPr>
              <w:t>钾</w:t>
            </w:r>
          </w:p>
        </w:tc>
        <w:tc>
          <w:tcPr>
            <w:tcW w:w="427" w:type="dxa"/>
            <w:tcBorders>
              <w:top w:val="single" w:color="000000" w:sz="12" w:space="0"/>
            </w:tcBorders>
            <w:vAlign w:val="top"/>
          </w:tcPr>
          <w:p w14:paraId="371D0FA9">
            <w:pPr>
              <w:spacing w:line="330" w:lineRule="auto"/>
              <w:rPr>
                <w:rFonts w:ascii="Arial"/>
                <w:sz w:val="21"/>
              </w:rPr>
            </w:pPr>
          </w:p>
          <w:p w14:paraId="2183D776">
            <w:pPr>
              <w:spacing w:before="58" w:line="221" w:lineRule="auto"/>
              <w:ind w:left="137"/>
              <w:rPr>
                <w:rFonts w:ascii="宋体" w:hAnsi="宋体" w:eastAsia="宋体" w:cs="宋体"/>
                <w:sz w:val="18"/>
                <w:szCs w:val="18"/>
              </w:rPr>
            </w:pPr>
            <w:r>
              <w:rPr>
                <w:rFonts w:ascii="宋体" w:hAnsi="宋体" w:eastAsia="宋体" w:cs="宋体"/>
                <w:sz w:val="18"/>
                <w:szCs w:val="18"/>
              </w:rPr>
              <w:t>钠</w:t>
            </w:r>
          </w:p>
        </w:tc>
        <w:tc>
          <w:tcPr>
            <w:tcW w:w="341" w:type="dxa"/>
            <w:tcBorders>
              <w:top w:val="single" w:color="000000" w:sz="12" w:space="0"/>
            </w:tcBorders>
            <w:vAlign w:val="top"/>
          </w:tcPr>
          <w:p w14:paraId="3B0E1B51">
            <w:pPr>
              <w:spacing w:line="329" w:lineRule="auto"/>
              <w:rPr>
                <w:rFonts w:ascii="Arial"/>
                <w:sz w:val="21"/>
              </w:rPr>
            </w:pPr>
          </w:p>
          <w:p w14:paraId="5D6E2C04">
            <w:pPr>
              <w:spacing w:before="59" w:line="222" w:lineRule="auto"/>
              <w:ind w:left="95"/>
              <w:rPr>
                <w:rFonts w:ascii="宋体" w:hAnsi="宋体" w:eastAsia="宋体" w:cs="宋体"/>
                <w:sz w:val="18"/>
                <w:szCs w:val="18"/>
              </w:rPr>
            </w:pPr>
            <w:r>
              <w:rPr>
                <w:rFonts w:ascii="宋体" w:hAnsi="宋体" w:eastAsia="宋体" w:cs="宋体"/>
                <w:sz w:val="18"/>
                <w:szCs w:val="18"/>
              </w:rPr>
              <w:t>钙</w:t>
            </w:r>
          </w:p>
        </w:tc>
        <w:tc>
          <w:tcPr>
            <w:tcW w:w="361" w:type="dxa"/>
            <w:tcBorders>
              <w:top w:val="single" w:color="000000" w:sz="12" w:space="0"/>
              <w:right w:val="single" w:color="000000" w:sz="12" w:space="0"/>
            </w:tcBorders>
            <w:vAlign w:val="top"/>
          </w:tcPr>
          <w:p w14:paraId="5519C6EE">
            <w:pPr>
              <w:spacing w:line="329" w:lineRule="auto"/>
              <w:rPr>
                <w:rFonts w:ascii="Arial"/>
                <w:sz w:val="21"/>
              </w:rPr>
            </w:pPr>
          </w:p>
          <w:p w14:paraId="761AA629">
            <w:pPr>
              <w:spacing w:before="59" w:line="222" w:lineRule="auto"/>
              <w:ind w:left="95"/>
              <w:rPr>
                <w:rFonts w:ascii="宋体" w:hAnsi="宋体" w:eastAsia="宋体" w:cs="宋体"/>
                <w:sz w:val="18"/>
                <w:szCs w:val="18"/>
              </w:rPr>
            </w:pPr>
            <w:r>
              <w:rPr>
                <w:rFonts w:ascii="宋体" w:hAnsi="宋体" w:eastAsia="宋体" w:cs="宋体"/>
                <w:sz w:val="18"/>
                <w:szCs w:val="18"/>
              </w:rPr>
              <w:t>镁</w:t>
            </w:r>
          </w:p>
        </w:tc>
      </w:tr>
      <w:tr w14:paraId="7EED0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restart"/>
            <w:tcBorders>
              <w:left w:val="single" w:color="000000" w:sz="12" w:space="0"/>
              <w:bottom w:val="nil"/>
            </w:tcBorders>
            <w:vAlign w:val="top"/>
          </w:tcPr>
          <w:p w14:paraId="2F2E2724">
            <w:pPr>
              <w:spacing w:line="254" w:lineRule="auto"/>
              <w:rPr>
                <w:rFonts w:ascii="Arial"/>
                <w:sz w:val="21"/>
              </w:rPr>
            </w:pPr>
          </w:p>
          <w:p w14:paraId="02C0980D">
            <w:pPr>
              <w:spacing w:line="254" w:lineRule="auto"/>
              <w:rPr>
                <w:rFonts w:ascii="Arial"/>
                <w:sz w:val="21"/>
              </w:rPr>
            </w:pPr>
          </w:p>
          <w:p w14:paraId="32D67BB4">
            <w:pPr>
              <w:spacing w:line="255" w:lineRule="auto"/>
              <w:rPr>
                <w:rFonts w:ascii="Arial"/>
                <w:sz w:val="21"/>
              </w:rPr>
            </w:pPr>
          </w:p>
          <w:p w14:paraId="30972B78">
            <w:pPr>
              <w:spacing w:line="255" w:lineRule="auto"/>
              <w:rPr>
                <w:rFonts w:ascii="Arial"/>
                <w:sz w:val="21"/>
              </w:rPr>
            </w:pPr>
          </w:p>
          <w:p w14:paraId="546B6EAD">
            <w:pPr>
              <w:spacing w:line="255" w:lineRule="auto"/>
              <w:rPr>
                <w:rFonts w:ascii="Arial"/>
                <w:sz w:val="21"/>
              </w:rPr>
            </w:pPr>
          </w:p>
          <w:p w14:paraId="660DB710">
            <w:pPr>
              <w:spacing w:line="255" w:lineRule="auto"/>
              <w:rPr>
                <w:rFonts w:ascii="Arial"/>
                <w:sz w:val="21"/>
              </w:rPr>
            </w:pPr>
          </w:p>
          <w:p w14:paraId="1B98ED59">
            <w:pPr>
              <w:spacing w:before="59" w:line="242" w:lineRule="auto"/>
              <w:ind w:left="89" w:right="100" w:firstLine="9"/>
              <w:rPr>
                <w:rFonts w:ascii="宋体" w:hAnsi="宋体" w:eastAsia="宋体" w:cs="宋体"/>
                <w:sz w:val="18"/>
                <w:szCs w:val="18"/>
              </w:rPr>
            </w:pPr>
            <w:r>
              <w:rPr>
                <w:rFonts w:ascii="宋体" w:hAnsi="宋体" w:eastAsia="宋体" w:cs="宋体"/>
                <w:spacing w:val="-9"/>
                <w:sz w:val="18"/>
                <w:szCs w:val="18"/>
              </w:rPr>
              <w:t>响水</w:t>
            </w:r>
            <w:r>
              <w:rPr>
                <w:rFonts w:ascii="宋体" w:hAnsi="宋体" w:eastAsia="宋体" w:cs="宋体"/>
                <w:spacing w:val="-4"/>
                <w:sz w:val="18"/>
                <w:szCs w:val="18"/>
              </w:rPr>
              <w:t>街村</w:t>
            </w:r>
          </w:p>
        </w:tc>
        <w:tc>
          <w:tcPr>
            <w:tcW w:w="284" w:type="dxa"/>
            <w:vMerge w:val="restart"/>
            <w:tcBorders>
              <w:bottom w:val="nil"/>
            </w:tcBorders>
            <w:vAlign w:val="top"/>
          </w:tcPr>
          <w:p w14:paraId="0539244D">
            <w:pPr>
              <w:pStyle w:val="6"/>
              <w:spacing w:before="147" w:line="226" w:lineRule="auto"/>
              <w:ind w:left="96"/>
              <w:rPr>
                <w:sz w:val="18"/>
                <w:szCs w:val="18"/>
              </w:rPr>
            </w:pPr>
            <w:r>
              <w:rPr>
                <w:sz w:val="18"/>
                <w:szCs w:val="18"/>
              </w:rPr>
              <w:t>1</w:t>
            </w:r>
          </w:p>
          <w:p w14:paraId="1B770058">
            <w:pPr>
              <w:spacing w:line="219" w:lineRule="auto"/>
              <w:ind w:left="39"/>
              <w:rPr>
                <w:rFonts w:ascii="宋体" w:hAnsi="宋体" w:eastAsia="宋体" w:cs="宋体"/>
                <w:sz w:val="18"/>
                <w:szCs w:val="18"/>
              </w:rPr>
            </w:pPr>
            <w:r>
              <w:rPr>
                <w:rFonts w:ascii="宋体" w:hAnsi="宋体" w:eastAsia="宋体" w:cs="宋体"/>
                <w:sz w:val="18"/>
                <w:szCs w:val="18"/>
              </w:rPr>
              <w:t>季</w:t>
            </w:r>
          </w:p>
          <w:p w14:paraId="06B6E32B">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54AE4E15">
            <w:pPr>
              <w:pStyle w:val="6"/>
              <w:spacing w:before="79" w:line="232" w:lineRule="auto"/>
              <w:ind w:left="244"/>
              <w:rPr>
                <w:sz w:val="18"/>
                <w:szCs w:val="18"/>
              </w:rPr>
            </w:pPr>
            <w:r>
              <w:rPr>
                <w:spacing w:val="-1"/>
                <w:sz w:val="18"/>
                <w:szCs w:val="18"/>
              </w:rPr>
              <w:t>2021/3/18</w:t>
            </w:r>
          </w:p>
        </w:tc>
        <w:tc>
          <w:tcPr>
            <w:tcW w:w="733" w:type="dxa"/>
            <w:vAlign w:val="top"/>
          </w:tcPr>
          <w:p w14:paraId="2CCFACBB">
            <w:pPr>
              <w:pStyle w:val="6"/>
              <w:spacing w:before="79" w:line="232" w:lineRule="auto"/>
              <w:ind w:left="198"/>
              <w:rPr>
                <w:sz w:val="18"/>
                <w:szCs w:val="18"/>
              </w:rPr>
            </w:pPr>
            <w:r>
              <w:rPr>
                <w:spacing w:val="-2"/>
                <w:sz w:val="18"/>
                <w:szCs w:val="18"/>
              </w:rPr>
              <w:t>7.55</w:t>
            </w:r>
          </w:p>
        </w:tc>
        <w:tc>
          <w:tcPr>
            <w:tcW w:w="565" w:type="dxa"/>
            <w:vAlign w:val="top"/>
          </w:tcPr>
          <w:p w14:paraId="69FAA7C4">
            <w:pPr>
              <w:pStyle w:val="6"/>
              <w:spacing w:before="79" w:line="232" w:lineRule="auto"/>
              <w:ind w:left="134"/>
              <w:rPr>
                <w:sz w:val="18"/>
                <w:szCs w:val="18"/>
              </w:rPr>
            </w:pPr>
            <w:r>
              <w:rPr>
                <w:spacing w:val="-1"/>
                <w:sz w:val="18"/>
                <w:szCs w:val="18"/>
              </w:rPr>
              <w:t>240</w:t>
            </w:r>
          </w:p>
        </w:tc>
        <w:tc>
          <w:tcPr>
            <w:tcW w:w="708" w:type="dxa"/>
            <w:vAlign w:val="top"/>
          </w:tcPr>
          <w:p w14:paraId="5871DE31">
            <w:pPr>
              <w:pStyle w:val="6"/>
              <w:spacing w:before="79" w:line="232" w:lineRule="auto"/>
              <w:ind w:left="207"/>
              <w:rPr>
                <w:sz w:val="18"/>
                <w:szCs w:val="18"/>
              </w:rPr>
            </w:pPr>
            <w:r>
              <w:rPr>
                <w:spacing w:val="-1"/>
                <w:sz w:val="18"/>
                <w:szCs w:val="18"/>
              </w:rPr>
              <w:t>423</w:t>
            </w:r>
          </w:p>
        </w:tc>
        <w:tc>
          <w:tcPr>
            <w:tcW w:w="567" w:type="dxa"/>
            <w:vAlign w:val="top"/>
          </w:tcPr>
          <w:p w14:paraId="4DD78E15">
            <w:pPr>
              <w:pStyle w:val="6"/>
              <w:spacing w:before="79" w:line="232" w:lineRule="auto"/>
              <w:ind w:left="188"/>
              <w:rPr>
                <w:sz w:val="18"/>
                <w:szCs w:val="18"/>
              </w:rPr>
            </w:pPr>
            <w:r>
              <w:rPr>
                <w:spacing w:val="-2"/>
                <w:sz w:val="18"/>
                <w:szCs w:val="18"/>
              </w:rPr>
              <w:t>69</w:t>
            </w:r>
          </w:p>
        </w:tc>
        <w:tc>
          <w:tcPr>
            <w:tcW w:w="566" w:type="dxa"/>
            <w:vAlign w:val="top"/>
          </w:tcPr>
          <w:p w14:paraId="16C01ADE">
            <w:pPr>
              <w:pStyle w:val="6"/>
              <w:spacing w:before="82" w:line="186" w:lineRule="auto"/>
              <w:ind w:left="145"/>
              <w:rPr>
                <w:sz w:val="18"/>
                <w:szCs w:val="18"/>
              </w:rPr>
            </w:pPr>
            <w:r>
              <w:rPr>
                <w:spacing w:val="-5"/>
                <w:sz w:val="18"/>
                <w:szCs w:val="18"/>
              </w:rPr>
              <w:t>10L</w:t>
            </w:r>
          </w:p>
        </w:tc>
        <w:tc>
          <w:tcPr>
            <w:tcW w:w="567" w:type="dxa"/>
            <w:vAlign w:val="top"/>
          </w:tcPr>
          <w:p w14:paraId="109879E2">
            <w:pPr>
              <w:pStyle w:val="6"/>
              <w:spacing w:before="79" w:line="232" w:lineRule="auto"/>
              <w:ind w:left="65"/>
              <w:rPr>
                <w:sz w:val="18"/>
                <w:szCs w:val="18"/>
              </w:rPr>
            </w:pPr>
            <w:r>
              <w:rPr>
                <w:spacing w:val="-2"/>
                <w:sz w:val="18"/>
                <w:szCs w:val="18"/>
              </w:rPr>
              <w:t>0.01L</w:t>
            </w:r>
          </w:p>
        </w:tc>
        <w:tc>
          <w:tcPr>
            <w:tcW w:w="557" w:type="dxa"/>
            <w:vAlign w:val="top"/>
          </w:tcPr>
          <w:p w14:paraId="1A01E6FD">
            <w:pPr>
              <w:pStyle w:val="6"/>
              <w:spacing w:before="79" w:line="232" w:lineRule="auto"/>
              <w:ind w:left="60"/>
              <w:rPr>
                <w:sz w:val="18"/>
                <w:szCs w:val="18"/>
              </w:rPr>
            </w:pPr>
            <w:r>
              <w:rPr>
                <w:spacing w:val="-2"/>
                <w:sz w:val="18"/>
                <w:szCs w:val="18"/>
              </w:rPr>
              <w:t>0.01L</w:t>
            </w:r>
          </w:p>
        </w:tc>
        <w:tc>
          <w:tcPr>
            <w:tcW w:w="715" w:type="dxa"/>
            <w:vAlign w:val="top"/>
          </w:tcPr>
          <w:p w14:paraId="14402ABA">
            <w:pPr>
              <w:pStyle w:val="6"/>
              <w:spacing w:before="79" w:line="232" w:lineRule="auto"/>
              <w:ind w:left="140"/>
              <w:rPr>
                <w:sz w:val="18"/>
                <w:szCs w:val="18"/>
              </w:rPr>
            </w:pPr>
            <w:r>
              <w:rPr>
                <w:spacing w:val="-2"/>
                <w:sz w:val="18"/>
                <w:szCs w:val="18"/>
              </w:rPr>
              <w:t>0.04L</w:t>
            </w:r>
          </w:p>
        </w:tc>
        <w:tc>
          <w:tcPr>
            <w:tcW w:w="567" w:type="dxa"/>
            <w:vAlign w:val="top"/>
          </w:tcPr>
          <w:p w14:paraId="5F91B99A">
            <w:pPr>
              <w:pStyle w:val="6"/>
              <w:spacing w:before="79" w:line="232" w:lineRule="auto"/>
              <w:ind w:left="22"/>
              <w:rPr>
                <w:sz w:val="18"/>
                <w:szCs w:val="18"/>
              </w:rPr>
            </w:pPr>
            <w:r>
              <w:rPr>
                <w:spacing w:val="-2"/>
                <w:sz w:val="18"/>
                <w:szCs w:val="18"/>
              </w:rPr>
              <w:t>0.009L</w:t>
            </w:r>
          </w:p>
        </w:tc>
        <w:tc>
          <w:tcPr>
            <w:tcW w:w="708" w:type="dxa"/>
            <w:vAlign w:val="top"/>
          </w:tcPr>
          <w:p w14:paraId="5D8C7F53">
            <w:pPr>
              <w:pStyle w:val="6"/>
              <w:spacing w:before="79" w:line="232" w:lineRule="auto"/>
              <w:ind w:left="48"/>
              <w:rPr>
                <w:sz w:val="18"/>
                <w:szCs w:val="18"/>
              </w:rPr>
            </w:pPr>
            <w:r>
              <w:rPr>
                <w:spacing w:val="-1"/>
                <w:sz w:val="18"/>
                <w:szCs w:val="18"/>
              </w:rPr>
              <w:t>0.0003L</w:t>
            </w:r>
          </w:p>
        </w:tc>
        <w:tc>
          <w:tcPr>
            <w:tcW w:w="851" w:type="dxa"/>
            <w:vAlign w:val="top"/>
          </w:tcPr>
          <w:p w14:paraId="04F2747B">
            <w:pPr>
              <w:pStyle w:val="6"/>
              <w:spacing w:before="79" w:line="232" w:lineRule="auto"/>
              <w:ind w:left="211"/>
              <w:rPr>
                <w:sz w:val="18"/>
                <w:szCs w:val="18"/>
              </w:rPr>
            </w:pPr>
            <w:r>
              <w:rPr>
                <w:spacing w:val="-2"/>
                <w:sz w:val="18"/>
                <w:szCs w:val="18"/>
              </w:rPr>
              <w:t>0.05L</w:t>
            </w:r>
          </w:p>
        </w:tc>
        <w:tc>
          <w:tcPr>
            <w:tcW w:w="566" w:type="dxa"/>
            <w:vAlign w:val="top"/>
          </w:tcPr>
          <w:p w14:paraId="14525452">
            <w:pPr>
              <w:pStyle w:val="6"/>
              <w:spacing w:before="79" w:line="232" w:lineRule="auto"/>
              <w:ind w:left="125"/>
              <w:rPr>
                <w:sz w:val="18"/>
                <w:szCs w:val="18"/>
              </w:rPr>
            </w:pPr>
            <w:r>
              <w:rPr>
                <w:spacing w:val="-2"/>
                <w:sz w:val="18"/>
                <w:szCs w:val="18"/>
              </w:rPr>
              <w:t>0.01</w:t>
            </w:r>
          </w:p>
        </w:tc>
        <w:tc>
          <w:tcPr>
            <w:tcW w:w="672" w:type="dxa"/>
            <w:vAlign w:val="top"/>
          </w:tcPr>
          <w:p w14:paraId="6CF4C29D">
            <w:pPr>
              <w:pStyle w:val="6"/>
              <w:spacing w:before="79" w:line="232" w:lineRule="auto"/>
              <w:ind w:left="178"/>
              <w:rPr>
                <w:sz w:val="18"/>
                <w:szCs w:val="18"/>
              </w:rPr>
            </w:pPr>
            <w:r>
              <w:rPr>
                <w:spacing w:val="-2"/>
                <w:sz w:val="18"/>
                <w:szCs w:val="18"/>
              </w:rPr>
              <w:t>0.58</w:t>
            </w:r>
          </w:p>
        </w:tc>
        <w:tc>
          <w:tcPr>
            <w:tcW w:w="745" w:type="dxa"/>
            <w:vAlign w:val="top"/>
          </w:tcPr>
          <w:p w14:paraId="7ACD75F5">
            <w:pPr>
              <w:pStyle w:val="6"/>
              <w:spacing w:before="79" w:line="232" w:lineRule="auto"/>
              <w:ind w:left="116"/>
              <w:rPr>
                <w:sz w:val="18"/>
                <w:szCs w:val="18"/>
              </w:rPr>
            </w:pPr>
            <w:r>
              <w:rPr>
                <w:spacing w:val="-2"/>
                <w:sz w:val="18"/>
                <w:szCs w:val="18"/>
              </w:rPr>
              <w:t>0.003L</w:t>
            </w:r>
          </w:p>
        </w:tc>
        <w:tc>
          <w:tcPr>
            <w:tcW w:w="455" w:type="dxa"/>
            <w:vAlign w:val="top"/>
          </w:tcPr>
          <w:p w14:paraId="24556331">
            <w:pPr>
              <w:pStyle w:val="6"/>
              <w:spacing w:before="79" w:line="232" w:lineRule="auto"/>
              <w:ind w:left="27"/>
              <w:rPr>
                <w:sz w:val="18"/>
                <w:szCs w:val="18"/>
              </w:rPr>
            </w:pPr>
            <w:r>
              <w:rPr>
                <w:spacing w:val="-2"/>
                <w:sz w:val="18"/>
                <w:szCs w:val="18"/>
              </w:rPr>
              <w:t>0.028</w:t>
            </w:r>
          </w:p>
        </w:tc>
        <w:tc>
          <w:tcPr>
            <w:tcW w:w="579" w:type="dxa"/>
            <w:vAlign w:val="top"/>
          </w:tcPr>
          <w:p w14:paraId="6878D742">
            <w:pPr>
              <w:pStyle w:val="6"/>
              <w:spacing w:before="79" w:line="232" w:lineRule="auto"/>
              <w:ind w:left="136"/>
              <w:rPr>
                <w:sz w:val="18"/>
                <w:szCs w:val="18"/>
              </w:rPr>
            </w:pPr>
            <w:r>
              <w:rPr>
                <w:spacing w:val="-2"/>
                <w:sz w:val="18"/>
                <w:szCs w:val="18"/>
              </w:rPr>
              <w:t>0.20</w:t>
            </w:r>
          </w:p>
        </w:tc>
        <w:tc>
          <w:tcPr>
            <w:tcW w:w="623" w:type="dxa"/>
            <w:vAlign w:val="top"/>
          </w:tcPr>
          <w:p w14:paraId="36D05EA6">
            <w:pPr>
              <w:pStyle w:val="6"/>
              <w:spacing w:before="79" w:line="232" w:lineRule="auto"/>
              <w:ind w:left="58"/>
              <w:rPr>
                <w:sz w:val="18"/>
                <w:szCs w:val="18"/>
              </w:rPr>
            </w:pPr>
            <w:r>
              <w:rPr>
                <w:spacing w:val="-2"/>
                <w:sz w:val="18"/>
                <w:szCs w:val="18"/>
              </w:rPr>
              <w:t>0.004L</w:t>
            </w:r>
          </w:p>
        </w:tc>
        <w:tc>
          <w:tcPr>
            <w:tcW w:w="737" w:type="dxa"/>
            <w:vAlign w:val="top"/>
          </w:tcPr>
          <w:p w14:paraId="1766A09F">
            <w:pPr>
              <w:pStyle w:val="6"/>
              <w:spacing w:before="79" w:line="232" w:lineRule="auto"/>
              <w:ind w:left="80"/>
              <w:rPr>
                <w:sz w:val="18"/>
                <w:szCs w:val="18"/>
              </w:rPr>
            </w:pPr>
            <w:r>
              <w:rPr>
                <w:spacing w:val="-1"/>
                <w:sz w:val="18"/>
                <w:szCs w:val="18"/>
              </w:rPr>
              <w:t>0.00076</w:t>
            </w:r>
          </w:p>
        </w:tc>
        <w:tc>
          <w:tcPr>
            <w:tcW w:w="577" w:type="dxa"/>
            <w:vAlign w:val="top"/>
          </w:tcPr>
          <w:p w14:paraId="42CFE4DA">
            <w:pPr>
              <w:pStyle w:val="6"/>
              <w:spacing w:before="79" w:line="232" w:lineRule="auto"/>
              <w:ind w:left="48"/>
              <w:rPr>
                <w:sz w:val="18"/>
                <w:szCs w:val="18"/>
              </w:rPr>
            </w:pPr>
            <w:r>
              <w:rPr>
                <w:spacing w:val="-2"/>
                <w:sz w:val="18"/>
                <w:szCs w:val="18"/>
              </w:rPr>
              <w:t>0.0012</w:t>
            </w:r>
          </w:p>
        </w:tc>
        <w:tc>
          <w:tcPr>
            <w:tcW w:w="708" w:type="dxa"/>
            <w:vAlign w:val="top"/>
          </w:tcPr>
          <w:p w14:paraId="38D9CD05">
            <w:pPr>
              <w:pStyle w:val="6"/>
              <w:spacing w:before="79" w:line="232" w:lineRule="auto"/>
              <w:ind w:left="115"/>
              <w:rPr>
                <w:sz w:val="18"/>
                <w:szCs w:val="18"/>
              </w:rPr>
            </w:pPr>
            <w:r>
              <w:rPr>
                <w:spacing w:val="-2"/>
                <w:sz w:val="18"/>
                <w:szCs w:val="18"/>
              </w:rPr>
              <w:t>0.0013</w:t>
            </w:r>
          </w:p>
        </w:tc>
        <w:tc>
          <w:tcPr>
            <w:tcW w:w="567" w:type="dxa"/>
            <w:vAlign w:val="top"/>
          </w:tcPr>
          <w:p w14:paraId="44B85B9D">
            <w:pPr>
              <w:pStyle w:val="6"/>
              <w:spacing w:before="79" w:line="232" w:lineRule="auto"/>
              <w:ind w:left="35"/>
              <w:rPr>
                <w:sz w:val="18"/>
                <w:szCs w:val="18"/>
              </w:rPr>
            </w:pPr>
            <w:r>
              <w:rPr>
                <w:spacing w:val="-2"/>
                <w:sz w:val="18"/>
                <w:szCs w:val="18"/>
              </w:rPr>
              <w:t>0.001L</w:t>
            </w:r>
          </w:p>
        </w:tc>
        <w:tc>
          <w:tcPr>
            <w:tcW w:w="566" w:type="dxa"/>
            <w:vAlign w:val="top"/>
          </w:tcPr>
          <w:p w14:paraId="128CF423">
            <w:pPr>
              <w:pStyle w:val="6"/>
              <w:spacing w:before="79" w:line="232" w:lineRule="auto"/>
              <w:ind w:left="34"/>
              <w:rPr>
                <w:sz w:val="18"/>
                <w:szCs w:val="18"/>
              </w:rPr>
            </w:pPr>
            <w:r>
              <w:rPr>
                <w:spacing w:val="-2"/>
                <w:sz w:val="18"/>
                <w:szCs w:val="18"/>
              </w:rPr>
              <w:t>0.004L</w:t>
            </w:r>
          </w:p>
        </w:tc>
        <w:tc>
          <w:tcPr>
            <w:tcW w:w="567" w:type="dxa"/>
            <w:vAlign w:val="top"/>
          </w:tcPr>
          <w:p w14:paraId="5DAF8358">
            <w:pPr>
              <w:pStyle w:val="6"/>
              <w:spacing w:before="79" w:line="232" w:lineRule="auto"/>
              <w:ind w:left="81"/>
              <w:rPr>
                <w:sz w:val="18"/>
                <w:szCs w:val="18"/>
              </w:rPr>
            </w:pPr>
            <w:r>
              <w:rPr>
                <w:spacing w:val="-2"/>
                <w:sz w:val="18"/>
                <w:szCs w:val="18"/>
              </w:rPr>
              <w:t>0.01L</w:t>
            </w:r>
          </w:p>
        </w:tc>
        <w:tc>
          <w:tcPr>
            <w:tcW w:w="708" w:type="dxa"/>
            <w:vAlign w:val="top"/>
          </w:tcPr>
          <w:p w14:paraId="3696C17E">
            <w:pPr>
              <w:pStyle w:val="6"/>
              <w:spacing w:before="79" w:line="232" w:lineRule="auto"/>
              <w:ind w:left="161"/>
              <w:rPr>
                <w:sz w:val="18"/>
                <w:szCs w:val="18"/>
              </w:rPr>
            </w:pPr>
            <w:r>
              <w:rPr>
                <w:spacing w:val="-2"/>
                <w:sz w:val="18"/>
                <w:szCs w:val="18"/>
              </w:rPr>
              <w:t>0.019</w:t>
            </w:r>
          </w:p>
        </w:tc>
        <w:tc>
          <w:tcPr>
            <w:tcW w:w="566" w:type="dxa"/>
            <w:vAlign w:val="top"/>
          </w:tcPr>
          <w:p w14:paraId="292776BD">
            <w:pPr>
              <w:pStyle w:val="6"/>
              <w:spacing w:before="157" w:line="85" w:lineRule="exact"/>
              <w:ind w:left="236"/>
              <w:rPr>
                <w:sz w:val="18"/>
                <w:szCs w:val="18"/>
              </w:rPr>
            </w:pPr>
            <w:r>
              <w:rPr>
                <w:spacing w:val="-2"/>
                <w:position w:val="-5"/>
                <w:sz w:val="18"/>
                <w:szCs w:val="18"/>
              </w:rPr>
              <w:t>--</w:t>
            </w:r>
          </w:p>
        </w:tc>
        <w:tc>
          <w:tcPr>
            <w:tcW w:w="579" w:type="dxa"/>
            <w:vAlign w:val="top"/>
          </w:tcPr>
          <w:p w14:paraId="1A574747">
            <w:pPr>
              <w:pStyle w:val="6"/>
              <w:spacing w:before="79" w:line="232" w:lineRule="auto"/>
              <w:ind w:left="162"/>
              <w:rPr>
                <w:sz w:val="18"/>
                <w:szCs w:val="18"/>
              </w:rPr>
            </w:pPr>
            <w:r>
              <w:rPr>
                <w:spacing w:val="-1"/>
                <w:sz w:val="18"/>
                <w:szCs w:val="18"/>
              </w:rPr>
              <w:t>489</w:t>
            </w:r>
          </w:p>
        </w:tc>
        <w:tc>
          <w:tcPr>
            <w:tcW w:w="411" w:type="dxa"/>
            <w:vAlign w:val="top"/>
          </w:tcPr>
          <w:p w14:paraId="3B270DDC">
            <w:pPr>
              <w:pStyle w:val="6"/>
              <w:spacing w:before="79" w:line="232" w:lineRule="auto"/>
              <w:ind w:left="51"/>
              <w:rPr>
                <w:sz w:val="18"/>
                <w:szCs w:val="18"/>
              </w:rPr>
            </w:pPr>
            <w:r>
              <w:rPr>
                <w:spacing w:val="-2"/>
                <w:sz w:val="18"/>
                <w:szCs w:val="18"/>
              </w:rPr>
              <w:t>0.5L</w:t>
            </w:r>
          </w:p>
        </w:tc>
        <w:tc>
          <w:tcPr>
            <w:tcW w:w="428" w:type="dxa"/>
            <w:vAlign w:val="top"/>
          </w:tcPr>
          <w:p w14:paraId="7CFB8926">
            <w:pPr>
              <w:pStyle w:val="6"/>
              <w:spacing w:before="79" w:line="232" w:lineRule="auto"/>
              <w:ind w:left="84"/>
              <w:rPr>
                <w:sz w:val="18"/>
                <w:szCs w:val="18"/>
              </w:rPr>
            </w:pPr>
            <w:r>
              <w:rPr>
                <w:spacing w:val="-6"/>
                <w:sz w:val="18"/>
                <w:szCs w:val="18"/>
              </w:rPr>
              <w:t>1.28</w:t>
            </w:r>
          </w:p>
        </w:tc>
        <w:tc>
          <w:tcPr>
            <w:tcW w:w="427" w:type="dxa"/>
            <w:vAlign w:val="top"/>
          </w:tcPr>
          <w:p w14:paraId="6AE95DA6">
            <w:pPr>
              <w:pStyle w:val="6"/>
              <w:spacing w:before="79" w:line="232" w:lineRule="auto"/>
              <w:ind w:left="71"/>
              <w:rPr>
                <w:sz w:val="18"/>
                <w:szCs w:val="18"/>
              </w:rPr>
            </w:pPr>
            <w:r>
              <w:rPr>
                <w:spacing w:val="-2"/>
                <w:sz w:val="18"/>
                <w:szCs w:val="18"/>
              </w:rPr>
              <w:t>3.61</w:t>
            </w:r>
          </w:p>
        </w:tc>
        <w:tc>
          <w:tcPr>
            <w:tcW w:w="341" w:type="dxa"/>
            <w:vAlign w:val="top"/>
          </w:tcPr>
          <w:p w14:paraId="75CBB5D9">
            <w:pPr>
              <w:pStyle w:val="6"/>
              <w:spacing w:before="79" w:line="232" w:lineRule="auto"/>
              <w:jc w:val="right"/>
              <w:rPr>
                <w:sz w:val="18"/>
                <w:szCs w:val="18"/>
              </w:rPr>
            </w:pPr>
            <w:r>
              <w:rPr>
                <w:spacing w:val="-4"/>
                <w:sz w:val="18"/>
                <w:szCs w:val="18"/>
              </w:rPr>
              <w:t>38.9</w:t>
            </w:r>
          </w:p>
        </w:tc>
        <w:tc>
          <w:tcPr>
            <w:tcW w:w="361" w:type="dxa"/>
            <w:tcBorders>
              <w:right w:val="single" w:color="000000" w:sz="12" w:space="0"/>
            </w:tcBorders>
            <w:vAlign w:val="top"/>
          </w:tcPr>
          <w:p w14:paraId="2339D829">
            <w:pPr>
              <w:pStyle w:val="6"/>
              <w:spacing w:before="79" w:line="232" w:lineRule="auto"/>
              <w:ind w:right="3"/>
              <w:jc w:val="right"/>
              <w:rPr>
                <w:sz w:val="18"/>
                <w:szCs w:val="18"/>
              </w:rPr>
            </w:pPr>
            <w:r>
              <w:rPr>
                <w:spacing w:val="-6"/>
                <w:sz w:val="18"/>
                <w:szCs w:val="18"/>
              </w:rPr>
              <w:t>13.6</w:t>
            </w:r>
          </w:p>
        </w:tc>
      </w:tr>
      <w:tr w14:paraId="525BB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4D471784">
            <w:pPr>
              <w:rPr>
                <w:rFonts w:ascii="Arial"/>
                <w:sz w:val="21"/>
              </w:rPr>
            </w:pPr>
          </w:p>
        </w:tc>
        <w:tc>
          <w:tcPr>
            <w:tcW w:w="284" w:type="dxa"/>
            <w:vMerge w:val="continue"/>
            <w:tcBorders>
              <w:top w:val="nil"/>
              <w:bottom w:val="nil"/>
            </w:tcBorders>
            <w:vAlign w:val="top"/>
          </w:tcPr>
          <w:p w14:paraId="222811AE">
            <w:pPr>
              <w:rPr>
                <w:rFonts w:ascii="Arial"/>
                <w:sz w:val="21"/>
              </w:rPr>
            </w:pPr>
          </w:p>
        </w:tc>
        <w:tc>
          <w:tcPr>
            <w:tcW w:w="1249" w:type="dxa"/>
            <w:vAlign w:val="top"/>
          </w:tcPr>
          <w:p w14:paraId="6B5CFF78">
            <w:pPr>
              <w:pStyle w:val="6"/>
              <w:spacing w:before="79" w:line="232" w:lineRule="auto"/>
              <w:ind w:left="244"/>
              <w:rPr>
                <w:sz w:val="18"/>
                <w:szCs w:val="18"/>
              </w:rPr>
            </w:pPr>
            <w:r>
              <w:rPr>
                <w:spacing w:val="-1"/>
                <w:sz w:val="18"/>
                <w:szCs w:val="18"/>
              </w:rPr>
              <w:t>2021/3/19</w:t>
            </w:r>
          </w:p>
        </w:tc>
        <w:tc>
          <w:tcPr>
            <w:tcW w:w="733" w:type="dxa"/>
            <w:vAlign w:val="top"/>
          </w:tcPr>
          <w:p w14:paraId="6CD22452">
            <w:pPr>
              <w:pStyle w:val="6"/>
              <w:spacing w:before="79" w:line="232" w:lineRule="auto"/>
              <w:ind w:left="198"/>
              <w:rPr>
                <w:sz w:val="18"/>
                <w:szCs w:val="18"/>
              </w:rPr>
            </w:pPr>
            <w:r>
              <w:rPr>
                <w:spacing w:val="-2"/>
                <w:sz w:val="18"/>
                <w:szCs w:val="18"/>
              </w:rPr>
              <w:t>7.63</w:t>
            </w:r>
          </w:p>
        </w:tc>
        <w:tc>
          <w:tcPr>
            <w:tcW w:w="565" w:type="dxa"/>
            <w:vAlign w:val="top"/>
          </w:tcPr>
          <w:p w14:paraId="0180A44E">
            <w:pPr>
              <w:pStyle w:val="6"/>
              <w:spacing w:before="79" w:line="232" w:lineRule="auto"/>
              <w:ind w:left="134"/>
              <w:rPr>
                <w:sz w:val="18"/>
                <w:szCs w:val="18"/>
              </w:rPr>
            </w:pPr>
            <w:r>
              <w:rPr>
                <w:spacing w:val="-1"/>
                <w:sz w:val="18"/>
                <w:szCs w:val="18"/>
              </w:rPr>
              <w:t>235</w:t>
            </w:r>
          </w:p>
        </w:tc>
        <w:tc>
          <w:tcPr>
            <w:tcW w:w="708" w:type="dxa"/>
            <w:vAlign w:val="top"/>
          </w:tcPr>
          <w:p w14:paraId="49C95655">
            <w:pPr>
              <w:pStyle w:val="6"/>
              <w:spacing w:before="79" w:line="232" w:lineRule="auto"/>
              <w:ind w:left="207"/>
              <w:rPr>
                <w:sz w:val="18"/>
                <w:szCs w:val="18"/>
              </w:rPr>
            </w:pPr>
            <w:r>
              <w:rPr>
                <w:spacing w:val="-1"/>
                <w:sz w:val="18"/>
                <w:szCs w:val="18"/>
              </w:rPr>
              <w:t>411</w:t>
            </w:r>
          </w:p>
        </w:tc>
        <w:tc>
          <w:tcPr>
            <w:tcW w:w="567" w:type="dxa"/>
            <w:vAlign w:val="top"/>
          </w:tcPr>
          <w:p w14:paraId="3BA38D26">
            <w:pPr>
              <w:pStyle w:val="6"/>
              <w:spacing w:before="79" w:line="232" w:lineRule="auto"/>
              <w:ind w:left="187"/>
              <w:rPr>
                <w:sz w:val="18"/>
                <w:szCs w:val="18"/>
              </w:rPr>
            </w:pPr>
            <w:r>
              <w:rPr>
                <w:spacing w:val="-2"/>
                <w:sz w:val="18"/>
                <w:szCs w:val="18"/>
              </w:rPr>
              <w:t>72</w:t>
            </w:r>
          </w:p>
        </w:tc>
        <w:tc>
          <w:tcPr>
            <w:tcW w:w="566" w:type="dxa"/>
            <w:vAlign w:val="top"/>
          </w:tcPr>
          <w:p w14:paraId="3AD4F630">
            <w:pPr>
              <w:pStyle w:val="6"/>
              <w:spacing w:before="82" w:line="186" w:lineRule="auto"/>
              <w:ind w:left="145"/>
              <w:rPr>
                <w:sz w:val="18"/>
                <w:szCs w:val="18"/>
              </w:rPr>
            </w:pPr>
            <w:r>
              <w:rPr>
                <w:spacing w:val="-5"/>
                <w:sz w:val="18"/>
                <w:szCs w:val="18"/>
              </w:rPr>
              <w:t>10L</w:t>
            </w:r>
          </w:p>
        </w:tc>
        <w:tc>
          <w:tcPr>
            <w:tcW w:w="567" w:type="dxa"/>
            <w:vAlign w:val="top"/>
          </w:tcPr>
          <w:p w14:paraId="627F09F2">
            <w:pPr>
              <w:pStyle w:val="6"/>
              <w:spacing w:before="79" w:line="232" w:lineRule="auto"/>
              <w:ind w:left="65"/>
              <w:rPr>
                <w:sz w:val="18"/>
                <w:szCs w:val="18"/>
              </w:rPr>
            </w:pPr>
            <w:r>
              <w:rPr>
                <w:spacing w:val="-2"/>
                <w:sz w:val="18"/>
                <w:szCs w:val="18"/>
              </w:rPr>
              <w:t>0.01L</w:t>
            </w:r>
          </w:p>
        </w:tc>
        <w:tc>
          <w:tcPr>
            <w:tcW w:w="557" w:type="dxa"/>
            <w:vAlign w:val="top"/>
          </w:tcPr>
          <w:p w14:paraId="507904C3">
            <w:pPr>
              <w:pStyle w:val="6"/>
              <w:spacing w:before="79" w:line="232" w:lineRule="auto"/>
              <w:ind w:left="60"/>
              <w:rPr>
                <w:sz w:val="18"/>
                <w:szCs w:val="18"/>
              </w:rPr>
            </w:pPr>
            <w:r>
              <w:rPr>
                <w:spacing w:val="-2"/>
                <w:sz w:val="18"/>
                <w:szCs w:val="18"/>
              </w:rPr>
              <w:t>0.01L</w:t>
            </w:r>
          </w:p>
        </w:tc>
        <w:tc>
          <w:tcPr>
            <w:tcW w:w="715" w:type="dxa"/>
            <w:vAlign w:val="top"/>
          </w:tcPr>
          <w:p w14:paraId="1ED71823">
            <w:pPr>
              <w:pStyle w:val="6"/>
              <w:spacing w:before="79" w:line="232" w:lineRule="auto"/>
              <w:ind w:left="140"/>
              <w:rPr>
                <w:sz w:val="18"/>
                <w:szCs w:val="18"/>
              </w:rPr>
            </w:pPr>
            <w:r>
              <w:rPr>
                <w:spacing w:val="-2"/>
                <w:sz w:val="18"/>
                <w:szCs w:val="18"/>
              </w:rPr>
              <w:t>0.04L</w:t>
            </w:r>
          </w:p>
        </w:tc>
        <w:tc>
          <w:tcPr>
            <w:tcW w:w="567" w:type="dxa"/>
            <w:vAlign w:val="top"/>
          </w:tcPr>
          <w:p w14:paraId="42198399">
            <w:pPr>
              <w:pStyle w:val="6"/>
              <w:spacing w:before="79" w:line="232" w:lineRule="auto"/>
              <w:ind w:left="22"/>
              <w:rPr>
                <w:sz w:val="18"/>
                <w:szCs w:val="18"/>
              </w:rPr>
            </w:pPr>
            <w:r>
              <w:rPr>
                <w:spacing w:val="-2"/>
                <w:sz w:val="18"/>
                <w:szCs w:val="18"/>
              </w:rPr>
              <w:t>0.009L</w:t>
            </w:r>
          </w:p>
        </w:tc>
        <w:tc>
          <w:tcPr>
            <w:tcW w:w="708" w:type="dxa"/>
            <w:vAlign w:val="top"/>
          </w:tcPr>
          <w:p w14:paraId="71C82504">
            <w:pPr>
              <w:pStyle w:val="6"/>
              <w:spacing w:before="79" w:line="232" w:lineRule="auto"/>
              <w:ind w:left="48"/>
              <w:rPr>
                <w:sz w:val="18"/>
                <w:szCs w:val="18"/>
              </w:rPr>
            </w:pPr>
            <w:r>
              <w:rPr>
                <w:spacing w:val="-1"/>
                <w:sz w:val="18"/>
                <w:szCs w:val="18"/>
              </w:rPr>
              <w:t>0.0003L</w:t>
            </w:r>
          </w:p>
        </w:tc>
        <w:tc>
          <w:tcPr>
            <w:tcW w:w="851" w:type="dxa"/>
            <w:vAlign w:val="top"/>
          </w:tcPr>
          <w:p w14:paraId="22854E02">
            <w:pPr>
              <w:pStyle w:val="6"/>
              <w:spacing w:before="79" w:line="232" w:lineRule="auto"/>
              <w:ind w:left="211"/>
              <w:rPr>
                <w:sz w:val="18"/>
                <w:szCs w:val="18"/>
              </w:rPr>
            </w:pPr>
            <w:r>
              <w:rPr>
                <w:spacing w:val="-2"/>
                <w:sz w:val="18"/>
                <w:szCs w:val="18"/>
              </w:rPr>
              <w:t>0.05L</w:t>
            </w:r>
          </w:p>
        </w:tc>
        <w:tc>
          <w:tcPr>
            <w:tcW w:w="566" w:type="dxa"/>
            <w:vAlign w:val="top"/>
          </w:tcPr>
          <w:p w14:paraId="42447E79">
            <w:pPr>
              <w:pStyle w:val="6"/>
              <w:spacing w:before="79" w:line="232" w:lineRule="auto"/>
              <w:ind w:left="125"/>
              <w:rPr>
                <w:sz w:val="18"/>
                <w:szCs w:val="18"/>
              </w:rPr>
            </w:pPr>
            <w:r>
              <w:rPr>
                <w:spacing w:val="-2"/>
                <w:sz w:val="18"/>
                <w:szCs w:val="18"/>
              </w:rPr>
              <w:t>0.02</w:t>
            </w:r>
          </w:p>
        </w:tc>
        <w:tc>
          <w:tcPr>
            <w:tcW w:w="672" w:type="dxa"/>
            <w:vAlign w:val="top"/>
          </w:tcPr>
          <w:p w14:paraId="635B72CB">
            <w:pPr>
              <w:pStyle w:val="6"/>
              <w:spacing w:before="79" w:line="232" w:lineRule="auto"/>
              <w:ind w:left="178"/>
              <w:rPr>
                <w:sz w:val="18"/>
                <w:szCs w:val="18"/>
              </w:rPr>
            </w:pPr>
            <w:r>
              <w:rPr>
                <w:spacing w:val="-2"/>
                <w:sz w:val="18"/>
                <w:szCs w:val="18"/>
              </w:rPr>
              <w:t>0.54</w:t>
            </w:r>
          </w:p>
        </w:tc>
        <w:tc>
          <w:tcPr>
            <w:tcW w:w="745" w:type="dxa"/>
            <w:vAlign w:val="top"/>
          </w:tcPr>
          <w:p w14:paraId="13C5F338">
            <w:pPr>
              <w:pStyle w:val="6"/>
              <w:spacing w:before="79" w:line="232" w:lineRule="auto"/>
              <w:ind w:left="116"/>
              <w:rPr>
                <w:sz w:val="18"/>
                <w:szCs w:val="18"/>
              </w:rPr>
            </w:pPr>
            <w:r>
              <w:rPr>
                <w:spacing w:val="-2"/>
                <w:sz w:val="18"/>
                <w:szCs w:val="18"/>
              </w:rPr>
              <w:t>0.003L</w:t>
            </w:r>
          </w:p>
        </w:tc>
        <w:tc>
          <w:tcPr>
            <w:tcW w:w="455" w:type="dxa"/>
            <w:vAlign w:val="top"/>
          </w:tcPr>
          <w:p w14:paraId="17D90DBF">
            <w:pPr>
              <w:pStyle w:val="6"/>
              <w:spacing w:before="79" w:line="232" w:lineRule="auto"/>
              <w:ind w:left="27"/>
              <w:rPr>
                <w:sz w:val="18"/>
                <w:szCs w:val="18"/>
              </w:rPr>
            </w:pPr>
            <w:r>
              <w:rPr>
                <w:spacing w:val="-2"/>
                <w:sz w:val="18"/>
                <w:szCs w:val="18"/>
              </w:rPr>
              <w:t>0.026</w:t>
            </w:r>
          </w:p>
        </w:tc>
        <w:tc>
          <w:tcPr>
            <w:tcW w:w="579" w:type="dxa"/>
            <w:vAlign w:val="top"/>
          </w:tcPr>
          <w:p w14:paraId="4FA5B439">
            <w:pPr>
              <w:pStyle w:val="6"/>
              <w:spacing w:before="79" w:line="232" w:lineRule="auto"/>
              <w:ind w:left="136"/>
              <w:rPr>
                <w:sz w:val="18"/>
                <w:szCs w:val="18"/>
              </w:rPr>
            </w:pPr>
            <w:r>
              <w:rPr>
                <w:spacing w:val="-2"/>
                <w:sz w:val="18"/>
                <w:szCs w:val="18"/>
              </w:rPr>
              <w:t>0.22</w:t>
            </w:r>
          </w:p>
        </w:tc>
        <w:tc>
          <w:tcPr>
            <w:tcW w:w="623" w:type="dxa"/>
            <w:vAlign w:val="top"/>
          </w:tcPr>
          <w:p w14:paraId="5B746596">
            <w:pPr>
              <w:pStyle w:val="6"/>
              <w:spacing w:before="79" w:line="232" w:lineRule="auto"/>
              <w:ind w:left="58"/>
              <w:rPr>
                <w:sz w:val="18"/>
                <w:szCs w:val="18"/>
              </w:rPr>
            </w:pPr>
            <w:r>
              <w:rPr>
                <w:spacing w:val="-2"/>
                <w:sz w:val="18"/>
                <w:szCs w:val="18"/>
              </w:rPr>
              <w:t>0.004L</w:t>
            </w:r>
          </w:p>
        </w:tc>
        <w:tc>
          <w:tcPr>
            <w:tcW w:w="737" w:type="dxa"/>
            <w:vAlign w:val="top"/>
          </w:tcPr>
          <w:p w14:paraId="22352053">
            <w:pPr>
              <w:pStyle w:val="6"/>
              <w:spacing w:before="79" w:line="232" w:lineRule="auto"/>
              <w:ind w:left="80"/>
              <w:rPr>
                <w:sz w:val="18"/>
                <w:szCs w:val="18"/>
              </w:rPr>
            </w:pPr>
            <w:r>
              <w:rPr>
                <w:spacing w:val="-1"/>
                <w:sz w:val="18"/>
                <w:szCs w:val="18"/>
              </w:rPr>
              <w:t>0.00088</w:t>
            </w:r>
          </w:p>
        </w:tc>
        <w:tc>
          <w:tcPr>
            <w:tcW w:w="577" w:type="dxa"/>
            <w:vAlign w:val="top"/>
          </w:tcPr>
          <w:p w14:paraId="57AF58C7">
            <w:pPr>
              <w:pStyle w:val="6"/>
              <w:spacing w:before="79" w:line="232" w:lineRule="auto"/>
              <w:ind w:left="48"/>
              <w:rPr>
                <w:sz w:val="18"/>
                <w:szCs w:val="18"/>
              </w:rPr>
            </w:pPr>
            <w:r>
              <w:rPr>
                <w:spacing w:val="-2"/>
                <w:sz w:val="18"/>
                <w:szCs w:val="18"/>
              </w:rPr>
              <w:t>0.0011</w:t>
            </w:r>
          </w:p>
        </w:tc>
        <w:tc>
          <w:tcPr>
            <w:tcW w:w="708" w:type="dxa"/>
            <w:vAlign w:val="top"/>
          </w:tcPr>
          <w:p w14:paraId="0FA2262F">
            <w:pPr>
              <w:pStyle w:val="6"/>
              <w:spacing w:before="79" w:line="232" w:lineRule="auto"/>
              <w:ind w:left="115"/>
              <w:rPr>
                <w:sz w:val="18"/>
                <w:szCs w:val="18"/>
              </w:rPr>
            </w:pPr>
            <w:r>
              <w:rPr>
                <w:spacing w:val="-2"/>
                <w:sz w:val="18"/>
                <w:szCs w:val="18"/>
              </w:rPr>
              <w:t>0.0012</w:t>
            </w:r>
          </w:p>
        </w:tc>
        <w:tc>
          <w:tcPr>
            <w:tcW w:w="567" w:type="dxa"/>
            <w:vAlign w:val="top"/>
          </w:tcPr>
          <w:p w14:paraId="4F0CF599">
            <w:pPr>
              <w:pStyle w:val="6"/>
              <w:spacing w:before="79" w:line="232" w:lineRule="auto"/>
              <w:ind w:left="35"/>
              <w:rPr>
                <w:sz w:val="18"/>
                <w:szCs w:val="18"/>
              </w:rPr>
            </w:pPr>
            <w:r>
              <w:rPr>
                <w:spacing w:val="-2"/>
                <w:sz w:val="18"/>
                <w:szCs w:val="18"/>
              </w:rPr>
              <w:t>0.001L</w:t>
            </w:r>
          </w:p>
        </w:tc>
        <w:tc>
          <w:tcPr>
            <w:tcW w:w="566" w:type="dxa"/>
            <w:vAlign w:val="top"/>
          </w:tcPr>
          <w:p w14:paraId="3D839F0A">
            <w:pPr>
              <w:pStyle w:val="6"/>
              <w:spacing w:before="79" w:line="232" w:lineRule="auto"/>
              <w:ind w:left="34"/>
              <w:rPr>
                <w:sz w:val="18"/>
                <w:szCs w:val="18"/>
              </w:rPr>
            </w:pPr>
            <w:r>
              <w:rPr>
                <w:spacing w:val="-2"/>
                <w:sz w:val="18"/>
                <w:szCs w:val="18"/>
              </w:rPr>
              <w:t>0.004L</w:t>
            </w:r>
          </w:p>
        </w:tc>
        <w:tc>
          <w:tcPr>
            <w:tcW w:w="567" w:type="dxa"/>
            <w:vAlign w:val="top"/>
          </w:tcPr>
          <w:p w14:paraId="7877685C">
            <w:pPr>
              <w:pStyle w:val="6"/>
              <w:spacing w:before="79" w:line="232" w:lineRule="auto"/>
              <w:ind w:left="81"/>
              <w:rPr>
                <w:sz w:val="18"/>
                <w:szCs w:val="18"/>
              </w:rPr>
            </w:pPr>
            <w:r>
              <w:rPr>
                <w:spacing w:val="-2"/>
                <w:sz w:val="18"/>
                <w:szCs w:val="18"/>
              </w:rPr>
              <w:t>0.01L</w:t>
            </w:r>
          </w:p>
        </w:tc>
        <w:tc>
          <w:tcPr>
            <w:tcW w:w="708" w:type="dxa"/>
            <w:vAlign w:val="top"/>
          </w:tcPr>
          <w:p w14:paraId="1E0B5A2D">
            <w:pPr>
              <w:pStyle w:val="6"/>
              <w:spacing w:before="79" w:line="232" w:lineRule="auto"/>
              <w:ind w:left="161"/>
              <w:rPr>
                <w:sz w:val="18"/>
                <w:szCs w:val="18"/>
              </w:rPr>
            </w:pPr>
            <w:r>
              <w:rPr>
                <w:spacing w:val="-2"/>
                <w:sz w:val="18"/>
                <w:szCs w:val="18"/>
              </w:rPr>
              <w:t>0.019</w:t>
            </w:r>
          </w:p>
        </w:tc>
        <w:tc>
          <w:tcPr>
            <w:tcW w:w="566" w:type="dxa"/>
            <w:vAlign w:val="top"/>
          </w:tcPr>
          <w:p w14:paraId="6E615FC3">
            <w:pPr>
              <w:pStyle w:val="6"/>
              <w:spacing w:before="157" w:line="86" w:lineRule="exact"/>
              <w:ind w:left="236"/>
              <w:rPr>
                <w:sz w:val="18"/>
                <w:szCs w:val="18"/>
              </w:rPr>
            </w:pPr>
            <w:r>
              <w:rPr>
                <w:spacing w:val="-2"/>
                <w:position w:val="-5"/>
                <w:sz w:val="18"/>
                <w:szCs w:val="18"/>
              </w:rPr>
              <w:t>--</w:t>
            </w:r>
          </w:p>
        </w:tc>
        <w:tc>
          <w:tcPr>
            <w:tcW w:w="579" w:type="dxa"/>
            <w:vAlign w:val="top"/>
          </w:tcPr>
          <w:p w14:paraId="05B7DE47">
            <w:pPr>
              <w:pStyle w:val="6"/>
              <w:spacing w:before="79" w:line="232" w:lineRule="auto"/>
              <w:ind w:left="162"/>
              <w:rPr>
                <w:sz w:val="18"/>
                <w:szCs w:val="18"/>
              </w:rPr>
            </w:pPr>
            <w:r>
              <w:rPr>
                <w:spacing w:val="-1"/>
                <w:sz w:val="18"/>
                <w:szCs w:val="18"/>
              </w:rPr>
              <w:t>463</w:t>
            </w:r>
          </w:p>
        </w:tc>
        <w:tc>
          <w:tcPr>
            <w:tcW w:w="411" w:type="dxa"/>
            <w:vAlign w:val="top"/>
          </w:tcPr>
          <w:p w14:paraId="757D9901">
            <w:pPr>
              <w:pStyle w:val="6"/>
              <w:spacing w:before="79" w:line="232" w:lineRule="auto"/>
              <w:ind w:left="51"/>
              <w:rPr>
                <w:sz w:val="18"/>
                <w:szCs w:val="18"/>
              </w:rPr>
            </w:pPr>
            <w:r>
              <w:rPr>
                <w:spacing w:val="-2"/>
                <w:sz w:val="18"/>
                <w:szCs w:val="18"/>
              </w:rPr>
              <w:t>0.5L</w:t>
            </w:r>
          </w:p>
        </w:tc>
        <w:tc>
          <w:tcPr>
            <w:tcW w:w="428" w:type="dxa"/>
            <w:vAlign w:val="top"/>
          </w:tcPr>
          <w:p w14:paraId="6373482A">
            <w:pPr>
              <w:pStyle w:val="6"/>
              <w:spacing w:before="79" w:line="232" w:lineRule="auto"/>
              <w:ind w:left="84"/>
              <w:rPr>
                <w:sz w:val="18"/>
                <w:szCs w:val="18"/>
              </w:rPr>
            </w:pPr>
            <w:r>
              <w:rPr>
                <w:spacing w:val="-6"/>
                <w:sz w:val="18"/>
                <w:szCs w:val="18"/>
              </w:rPr>
              <w:t>1.26</w:t>
            </w:r>
          </w:p>
        </w:tc>
        <w:tc>
          <w:tcPr>
            <w:tcW w:w="427" w:type="dxa"/>
            <w:vAlign w:val="top"/>
          </w:tcPr>
          <w:p w14:paraId="18618069">
            <w:pPr>
              <w:pStyle w:val="6"/>
              <w:spacing w:before="79" w:line="232" w:lineRule="auto"/>
              <w:ind w:left="71"/>
              <w:rPr>
                <w:sz w:val="18"/>
                <w:szCs w:val="18"/>
              </w:rPr>
            </w:pPr>
            <w:r>
              <w:rPr>
                <w:spacing w:val="-2"/>
                <w:sz w:val="18"/>
                <w:szCs w:val="18"/>
              </w:rPr>
              <w:t>3.58</w:t>
            </w:r>
          </w:p>
        </w:tc>
        <w:tc>
          <w:tcPr>
            <w:tcW w:w="341" w:type="dxa"/>
            <w:vAlign w:val="top"/>
          </w:tcPr>
          <w:p w14:paraId="2619EA88">
            <w:pPr>
              <w:pStyle w:val="6"/>
              <w:spacing w:before="79" w:line="232" w:lineRule="auto"/>
              <w:jc w:val="right"/>
              <w:rPr>
                <w:sz w:val="18"/>
                <w:szCs w:val="18"/>
              </w:rPr>
            </w:pPr>
            <w:r>
              <w:rPr>
                <w:spacing w:val="-4"/>
                <w:sz w:val="18"/>
                <w:szCs w:val="18"/>
              </w:rPr>
              <w:t>38.4</w:t>
            </w:r>
          </w:p>
        </w:tc>
        <w:tc>
          <w:tcPr>
            <w:tcW w:w="361" w:type="dxa"/>
            <w:tcBorders>
              <w:right w:val="single" w:color="000000" w:sz="12" w:space="0"/>
            </w:tcBorders>
            <w:vAlign w:val="top"/>
          </w:tcPr>
          <w:p w14:paraId="5B23D1F2">
            <w:pPr>
              <w:pStyle w:val="6"/>
              <w:spacing w:before="79" w:line="232" w:lineRule="auto"/>
              <w:ind w:right="3"/>
              <w:jc w:val="right"/>
              <w:rPr>
                <w:sz w:val="18"/>
                <w:szCs w:val="18"/>
              </w:rPr>
            </w:pPr>
            <w:r>
              <w:rPr>
                <w:spacing w:val="-6"/>
                <w:sz w:val="18"/>
                <w:szCs w:val="18"/>
              </w:rPr>
              <w:t>13.6</w:t>
            </w:r>
          </w:p>
        </w:tc>
      </w:tr>
      <w:tr w14:paraId="05FE2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0A9641AD">
            <w:pPr>
              <w:rPr>
                <w:rFonts w:ascii="Arial"/>
                <w:sz w:val="21"/>
              </w:rPr>
            </w:pPr>
          </w:p>
        </w:tc>
        <w:tc>
          <w:tcPr>
            <w:tcW w:w="284" w:type="dxa"/>
            <w:vMerge w:val="continue"/>
            <w:tcBorders>
              <w:top w:val="nil"/>
            </w:tcBorders>
            <w:vAlign w:val="top"/>
          </w:tcPr>
          <w:p w14:paraId="21EF59D3">
            <w:pPr>
              <w:rPr>
                <w:rFonts w:ascii="Arial"/>
                <w:sz w:val="21"/>
              </w:rPr>
            </w:pPr>
          </w:p>
        </w:tc>
        <w:tc>
          <w:tcPr>
            <w:tcW w:w="1249" w:type="dxa"/>
            <w:vAlign w:val="top"/>
          </w:tcPr>
          <w:p w14:paraId="4390ADD1">
            <w:pPr>
              <w:pStyle w:val="6"/>
              <w:spacing w:before="80" w:line="232" w:lineRule="auto"/>
              <w:ind w:left="244"/>
              <w:rPr>
                <w:sz w:val="18"/>
                <w:szCs w:val="18"/>
              </w:rPr>
            </w:pPr>
            <w:r>
              <w:rPr>
                <w:spacing w:val="-1"/>
                <w:sz w:val="18"/>
                <w:szCs w:val="18"/>
              </w:rPr>
              <w:t>2021/3/20</w:t>
            </w:r>
          </w:p>
        </w:tc>
        <w:tc>
          <w:tcPr>
            <w:tcW w:w="733" w:type="dxa"/>
            <w:vAlign w:val="top"/>
          </w:tcPr>
          <w:p w14:paraId="1AB75B0A">
            <w:pPr>
              <w:pStyle w:val="6"/>
              <w:spacing w:before="80" w:line="232" w:lineRule="auto"/>
              <w:ind w:left="198"/>
              <w:rPr>
                <w:sz w:val="18"/>
                <w:szCs w:val="18"/>
              </w:rPr>
            </w:pPr>
            <w:r>
              <w:rPr>
                <w:spacing w:val="-2"/>
                <w:sz w:val="18"/>
                <w:szCs w:val="18"/>
              </w:rPr>
              <w:t>7.58</w:t>
            </w:r>
          </w:p>
        </w:tc>
        <w:tc>
          <w:tcPr>
            <w:tcW w:w="565" w:type="dxa"/>
            <w:vAlign w:val="top"/>
          </w:tcPr>
          <w:p w14:paraId="62B69CF2">
            <w:pPr>
              <w:pStyle w:val="6"/>
              <w:spacing w:before="81" w:line="232" w:lineRule="auto"/>
              <w:ind w:left="134"/>
              <w:rPr>
                <w:sz w:val="18"/>
                <w:szCs w:val="18"/>
              </w:rPr>
            </w:pPr>
            <w:r>
              <w:rPr>
                <w:spacing w:val="-1"/>
                <w:sz w:val="18"/>
                <w:szCs w:val="18"/>
              </w:rPr>
              <w:t>248</w:t>
            </w:r>
          </w:p>
        </w:tc>
        <w:tc>
          <w:tcPr>
            <w:tcW w:w="708" w:type="dxa"/>
            <w:vAlign w:val="top"/>
          </w:tcPr>
          <w:p w14:paraId="68FD9A2F">
            <w:pPr>
              <w:pStyle w:val="6"/>
              <w:spacing w:before="80" w:line="232" w:lineRule="auto"/>
              <w:ind w:left="207"/>
              <w:rPr>
                <w:sz w:val="18"/>
                <w:szCs w:val="18"/>
              </w:rPr>
            </w:pPr>
            <w:r>
              <w:rPr>
                <w:spacing w:val="-1"/>
                <w:sz w:val="18"/>
                <w:szCs w:val="18"/>
              </w:rPr>
              <w:t>409</w:t>
            </w:r>
          </w:p>
        </w:tc>
        <w:tc>
          <w:tcPr>
            <w:tcW w:w="567" w:type="dxa"/>
            <w:vAlign w:val="top"/>
          </w:tcPr>
          <w:p w14:paraId="2127DEFC">
            <w:pPr>
              <w:pStyle w:val="6"/>
              <w:spacing w:before="80" w:line="232" w:lineRule="auto"/>
              <w:ind w:left="188"/>
              <w:rPr>
                <w:sz w:val="18"/>
                <w:szCs w:val="18"/>
              </w:rPr>
            </w:pPr>
            <w:r>
              <w:rPr>
                <w:spacing w:val="-2"/>
                <w:sz w:val="18"/>
                <w:szCs w:val="18"/>
              </w:rPr>
              <w:t>67</w:t>
            </w:r>
          </w:p>
        </w:tc>
        <w:tc>
          <w:tcPr>
            <w:tcW w:w="566" w:type="dxa"/>
            <w:vAlign w:val="top"/>
          </w:tcPr>
          <w:p w14:paraId="26EB62FE">
            <w:pPr>
              <w:pStyle w:val="6"/>
              <w:spacing w:before="83" w:line="186" w:lineRule="auto"/>
              <w:ind w:left="145"/>
              <w:rPr>
                <w:sz w:val="18"/>
                <w:szCs w:val="18"/>
              </w:rPr>
            </w:pPr>
            <w:r>
              <w:rPr>
                <w:spacing w:val="-5"/>
                <w:sz w:val="18"/>
                <w:szCs w:val="18"/>
              </w:rPr>
              <w:t>10L</w:t>
            </w:r>
          </w:p>
        </w:tc>
        <w:tc>
          <w:tcPr>
            <w:tcW w:w="567" w:type="dxa"/>
            <w:vAlign w:val="top"/>
          </w:tcPr>
          <w:p w14:paraId="53A3FA95">
            <w:pPr>
              <w:pStyle w:val="6"/>
              <w:spacing w:before="80" w:line="232" w:lineRule="auto"/>
              <w:ind w:left="65"/>
              <w:rPr>
                <w:sz w:val="18"/>
                <w:szCs w:val="18"/>
              </w:rPr>
            </w:pPr>
            <w:r>
              <w:rPr>
                <w:spacing w:val="-2"/>
                <w:sz w:val="18"/>
                <w:szCs w:val="18"/>
              </w:rPr>
              <w:t>0.01L</w:t>
            </w:r>
          </w:p>
        </w:tc>
        <w:tc>
          <w:tcPr>
            <w:tcW w:w="557" w:type="dxa"/>
            <w:vAlign w:val="top"/>
          </w:tcPr>
          <w:p w14:paraId="04571A71">
            <w:pPr>
              <w:pStyle w:val="6"/>
              <w:spacing w:before="80" w:line="232" w:lineRule="auto"/>
              <w:ind w:left="60"/>
              <w:rPr>
                <w:sz w:val="18"/>
                <w:szCs w:val="18"/>
              </w:rPr>
            </w:pPr>
            <w:r>
              <w:rPr>
                <w:spacing w:val="-2"/>
                <w:sz w:val="18"/>
                <w:szCs w:val="18"/>
              </w:rPr>
              <w:t>0.01L</w:t>
            </w:r>
          </w:p>
        </w:tc>
        <w:tc>
          <w:tcPr>
            <w:tcW w:w="715" w:type="dxa"/>
            <w:vAlign w:val="top"/>
          </w:tcPr>
          <w:p w14:paraId="7C329C0E">
            <w:pPr>
              <w:pStyle w:val="6"/>
              <w:spacing w:before="80" w:line="232" w:lineRule="auto"/>
              <w:ind w:left="140"/>
              <w:rPr>
                <w:sz w:val="18"/>
                <w:szCs w:val="18"/>
              </w:rPr>
            </w:pPr>
            <w:r>
              <w:rPr>
                <w:spacing w:val="-2"/>
                <w:sz w:val="18"/>
                <w:szCs w:val="18"/>
              </w:rPr>
              <w:t>0.04L</w:t>
            </w:r>
          </w:p>
        </w:tc>
        <w:tc>
          <w:tcPr>
            <w:tcW w:w="567" w:type="dxa"/>
            <w:vAlign w:val="top"/>
          </w:tcPr>
          <w:p w14:paraId="45DF2014">
            <w:pPr>
              <w:pStyle w:val="6"/>
              <w:spacing w:before="80" w:line="232" w:lineRule="auto"/>
              <w:ind w:left="22"/>
              <w:rPr>
                <w:sz w:val="18"/>
                <w:szCs w:val="18"/>
              </w:rPr>
            </w:pPr>
            <w:r>
              <w:rPr>
                <w:spacing w:val="-2"/>
                <w:sz w:val="18"/>
                <w:szCs w:val="18"/>
              </w:rPr>
              <w:t>0.009L</w:t>
            </w:r>
          </w:p>
        </w:tc>
        <w:tc>
          <w:tcPr>
            <w:tcW w:w="708" w:type="dxa"/>
            <w:vAlign w:val="top"/>
          </w:tcPr>
          <w:p w14:paraId="508ABD8C">
            <w:pPr>
              <w:pStyle w:val="6"/>
              <w:spacing w:before="80" w:line="232" w:lineRule="auto"/>
              <w:ind w:left="48"/>
              <w:rPr>
                <w:sz w:val="18"/>
                <w:szCs w:val="18"/>
              </w:rPr>
            </w:pPr>
            <w:r>
              <w:rPr>
                <w:spacing w:val="-1"/>
                <w:sz w:val="18"/>
                <w:szCs w:val="18"/>
              </w:rPr>
              <w:t>0.0003L</w:t>
            </w:r>
          </w:p>
        </w:tc>
        <w:tc>
          <w:tcPr>
            <w:tcW w:w="851" w:type="dxa"/>
            <w:vAlign w:val="top"/>
          </w:tcPr>
          <w:p w14:paraId="50D5BF9A">
            <w:pPr>
              <w:pStyle w:val="6"/>
              <w:spacing w:before="80" w:line="232" w:lineRule="auto"/>
              <w:ind w:left="211"/>
              <w:rPr>
                <w:sz w:val="18"/>
                <w:szCs w:val="18"/>
              </w:rPr>
            </w:pPr>
            <w:r>
              <w:rPr>
                <w:spacing w:val="-2"/>
                <w:sz w:val="18"/>
                <w:szCs w:val="18"/>
              </w:rPr>
              <w:t>0.05L</w:t>
            </w:r>
          </w:p>
        </w:tc>
        <w:tc>
          <w:tcPr>
            <w:tcW w:w="566" w:type="dxa"/>
            <w:vAlign w:val="top"/>
          </w:tcPr>
          <w:p w14:paraId="4316A8C3">
            <w:pPr>
              <w:pStyle w:val="6"/>
              <w:spacing w:before="80" w:line="232" w:lineRule="auto"/>
              <w:ind w:left="125"/>
              <w:rPr>
                <w:sz w:val="18"/>
                <w:szCs w:val="18"/>
              </w:rPr>
            </w:pPr>
            <w:r>
              <w:rPr>
                <w:spacing w:val="-2"/>
                <w:sz w:val="18"/>
                <w:szCs w:val="18"/>
              </w:rPr>
              <w:t>0.01</w:t>
            </w:r>
          </w:p>
        </w:tc>
        <w:tc>
          <w:tcPr>
            <w:tcW w:w="672" w:type="dxa"/>
            <w:vAlign w:val="top"/>
          </w:tcPr>
          <w:p w14:paraId="65E035F3">
            <w:pPr>
              <w:pStyle w:val="6"/>
              <w:spacing w:before="80" w:line="232" w:lineRule="auto"/>
              <w:ind w:left="178"/>
              <w:rPr>
                <w:sz w:val="18"/>
                <w:szCs w:val="18"/>
              </w:rPr>
            </w:pPr>
            <w:r>
              <w:rPr>
                <w:spacing w:val="-2"/>
                <w:sz w:val="18"/>
                <w:szCs w:val="18"/>
              </w:rPr>
              <w:t>0.56</w:t>
            </w:r>
          </w:p>
        </w:tc>
        <w:tc>
          <w:tcPr>
            <w:tcW w:w="745" w:type="dxa"/>
            <w:vAlign w:val="top"/>
          </w:tcPr>
          <w:p w14:paraId="37D835FC">
            <w:pPr>
              <w:pStyle w:val="6"/>
              <w:spacing w:before="80" w:line="232" w:lineRule="auto"/>
              <w:ind w:left="116"/>
              <w:rPr>
                <w:sz w:val="18"/>
                <w:szCs w:val="18"/>
              </w:rPr>
            </w:pPr>
            <w:r>
              <w:rPr>
                <w:spacing w:val="-2"/>
                <w:sz w:val="18"/>
                <w:szCs w:val="18"/>
              </w:rPr>
              <w:t>0.003L</w:t>
            </w:r>
          </w:p>
        </w:tc>
        <w:tc>
          <w:tcPr>
            <w:tcW w:w="455" w:type="dxa"/>
            <w:vAlign w:val="top"/>
          </w:tcPr>
          <w:p w14:paraId="0A4B174B">
            <w:pPr>
              <w:pStyle w:val="6"/>
              <w:spacing w:before="80" w:line="232" w:lineRule="auto"/>
              <w:ind w:left="27"/>
              <w:rPr>
                <w:sz w:val="18"/>
                <w:szCs w:val="18"/>
              </w:rPr>
            </w:pPr>
            <w:r>
              <w:rPr>
                <w:spacing w:val="-2"/>
                <w:sz w:val="18"/>
                <w:szCs w:val="18"/>
              </w:rPr>
              <w:t>0.031</w:t>
            </w:r>
          </w:p>
        </w:tc>
        <w:tc>
          <w:tcPr>
            <w:tcW w:w="579" w:type="dxa"/>
            <w:vAlign w:val="top"/>
          </w:tcPr>
          <w:p w14:paraId="6B89DED1">
            <w:pPr>
              <w:pStyle w:val="6"/>
              <w:spacing w:before="80" w:line="232" w:lineRule="auto"/>
              <w:ind w:left="136"/>
              <w:rPr>
                <w:sz w:val="18"/>
                <w:szCs w:val="18"/>
              </w:rPr>
            </w:pPr>
            <w:r>
              <w:rPr>
                <w:spacing w:val="-2"/>
                <w:sz w:val="18"/>
                <w:szCs w:val="18"/>
              </w:rPr>
              <w:t>0.18</w:t>
            </w:r>
          </w:p>
        </w:tc>
        <w:tc>
          <w:tcPr>
            <w:tcW w:w="623" w:type="dxa"/>
            <w:vAlign w:val="top"/>
          </w:tcPr>
          <w:p w14:paraId="13EA729E">
            <w:pPr>
              <w:pStyle w:val="6"/>
              <w:spacing w:before="80" w:line="232" w:lineRule="auto"/>
              <w:ind w:left="58"/>
              <w:rPr>
                <w:sz w:val="18"/>
                <w:szCs w:val="18"/>
              </w:rPr>
            </w:pPr>
            <w:r>
              <w:rPr>
                <w:spacing w:val="-2"/>
                <w:sz w:val="18"/>
                <w:szCs w:val="18"/>
              </w:rPr>
              <w:t>0.004L</w:t>
            </w:r>
          </w:p>
        </w:tc>
        <w:tc>
          <w:tcPr>
            <w:tcW w:w="737" w:type="dxa"/>
            <w:vAlign w:val="top"/>
          </w:tcPr>
          <w:p w14:paraId="5122A3CA">
            <w:pPr>
              <w:pStyle w:val="6"/>
              <w:spacing w:before="80" w:line="232" w:lineRule="auto"/>
              <w:ind w:left="80"/>
              <w:rPr>
                <w:sz w:val="18"/>
                <w:szCs w:val="18"/>
              </w:rPr>
            </w:pPr>
            <w:r>
              <w:rPr>
                <w:spacing w:val="-1"/>
                <w:sz w:val="18"/>
                <w:szCs w:val="18"/>
              </w:rPr>
              <w:t>0.00072</w:t>
            </w:r>
          </w:p>
        </w:tc>
        <w:tc>
          <w:tcPr>
            <w:tcW w:w="577" w:type="dxa"/>
            <w:vAlign w:val="top"/>
          </w:tcPr>
          <w:p w14:paraId="6337EF70">
            <w:pPr>
              <w:pStyle w:val="6"/>
              <w:spacing w:before="80" w:line="232" w:lineRule="auto"/>
              <w:ind w:left="48"/>
              <w:rPr>
                <w:sz w:val="18"/>
                <w:szCs w:val="18"/>
              </w:rPr>
            </w:pPr>
            <w:r>
              <w:rPr>
                <w:spacing w:val="-2"/>
                <w:sz w:val="18"/>
                <w:szCs w:val="18"/>
              </w:rPr>
              <w:t>0.0011</w:t>
            </w:r>
          </w:p>
        </w:tc>
        <w:tc>
          <w:tcPr>
            <w:tcW w:w="708" w:type="dxa"/>
            <w:vAlign w:val="top"/>
          </w:tcPr>
          <w:p w14:paraId="43E39E5D">
            <w:pPr>
              <w:pStyle w:val="6"/>
              <w:spacing w:before="80" w:line="232" w:lineRule="auto"/>
              <w:ind w:left="115"/>
              <w:rPr>
                <w:sz w:val="18"/>
                <w:szCs w:val="18"/>
              </w:rPr>
            </w:pPr>
            <w:r>
              <w:rPr>
                <w:spacing w:val="-2"/>
                <w:sz w:val="18"/>
                <w:szCs w:val="18"/>
              </w:rPr>
              <w:t>0.0012</w:t>
            </w:r>
          </w:p>
        </w:tc>
        <w:tc>
          <w:tcPr>
            <w:tcW w:w="567" w:type="dxa"/>
            <w:vAlign w:val="top"/>
          </w:tcPr>
          <w:p w14:paraId="712AF5E0">
            <w:pPr>
              <w:pStyle w:val="6"/>
              <w:spacing w:before="80" w:line="232" w:lineRule="auto"/>
              <w:ind w:left="35"/>
              <w:rPr>
                <w:sz w:val="18"/>
                <w:szCs w:val="18"/>
              </w:rPr>
            </w:pPr>
            <w:r>
              <w:rPr>
                <w:spacing w:val="-2"/>
                <w:sz w:val="18"/>
                <w:szCs w:val="18"/>
              </w:rPr>
              <w:t>0.001L</w:t>
            </w:r>
          </w:p>
        </w:tc>
        <w:tc>
          <w:tcPr>
            <w:tcW w:w="566" w:type="dxa"/>
            <w:vAlign w:val="top"/>
          </w:tcPr>
          <w:p w14:paraId="3E695A9C">
            <w:pPr>
              <w:pStyle w:val="6"/>
              <w:spacing w:before="80" w:line="232" w:lineRule="auto"/>
              <w:ind w:left="34"/>
              <w:rPr>
                <w:sz w:val="18"/>
                <w:szCs w:val="18"/>
              </w:rPr>
            </w:pPr>
            <w:r>
              <w:rPr>
                <w:spacing w:val="-2"/>
                <w:sz w:val="18"/>
                <w:szCs w:val="18"/>
              </w:rPr>
              <w:t>0.004L</w:t>
            </w:r>
          </w:p>
        </w:tc>
        <w:tc>
          <w:tcPr>
            <w:tcW w:w="567" w:type="dxa"/>
            <w:vAlign w:val="top"/>
          </w:tcPr>
          <w:p w14:paraId="6A89FBCA">
            <w:pPr>
              <w:pStyle w:val="6"/>
              <w:spacing w:before="80" w:line="232" w:lineRule="auto"/>
              <w:ind w:left="81"/>
              <w:rPr>
                <w:sz w:val="18"/>
                <w:szCs w:val="18"/>
              </w:rPr>
            </w:pPr>
            <w:r>
              <w:rPr>
                <w:spacing w:val="-2"/>
                <w:sz w:val="18"/>
                <w:szCs w:val="18"/>
              </w:rPr>
              <w:t>0.01L</w:t>
            </w:r>
          </w:p>
        </w:tc>
        <w:tc>
          <w:tcPr>
            <w:tcW w:w="708" w:type="dxa"/>
            <w:vAlign w:val="top"/>
          </w:tcPr>
          <w:p w14:paraId="6AB0BEB6">
            <w:pPr>
              <w:pStyle w:val="6"/>
              <w:spacing w:before="80" w:line="232" w:lineRule="auto"/>
              <w:ind w:left="161"/>
              <w:rPr>
                <w:sz w:val="18"/>
                <w:szCs w:val="18"/>
              </w:rPr>
            </w:pPr>
            <w:r>
              <w:rPr>
                <w:spacing w:val="-2"/>
                <w:sz w:val="18"/>
                <w:szCs w:val="18"/>
              </w:rPr>
              <w:t>0.023</w:t>
            </w:r>
          </w:p>
        </w:tc>
        <w:tc>
          <w:tcPr>
            <w:tcW w:w="566" w:type="dxa"/>
            <w:vAlign w:val="top"/>
          </w:tcPr>
          <w:p w14:paraId="1D4463D5">
            <w:pPr>
              <w:pStyle w:val="6"/>
              <w:spacing w:before="158" w:line="86" w:lineRule="exact"/>
              <w:ind w:left="236"/>
              <w:rPr>
                <w:sz w:val="18"/>
                <w:szCs w:val="18"/>
              </w:rPr>
            </w:pPr>
            <w:r>
              <w:rPr>
                <w:spacing w:val="-2"/>
                <w:position w:val="-5"/>
                <w:sz w:val="18"/>
                <w:szCs w:val="18"/>
              </w:rPr>
              <w:t>--</w:t>
            </w:r>
          </w:p>
        </w:tc>
        <w:tc>
          <w:tcPr>
            <w:tcW w:w="579" w:type="dxa"/>
            <w:vAlign w:val="top"/>
          </w:tcPr>
          <w:p w14:paraId="0EF5A0BA">
            <w:pPr>
              <w:pStyle w:val="6"/>
              <w:spacing w:before="80" w:line="232" w:lineRule="auto"/>
              <w:ind w:left="162"/>
              <w:rPr>
                <w:sz w:val="18"/>
                <w:szCs w:val="18"/>
              </w:rPr>
            </w:pPr>
            <w:r>
              <w:rPr>
                <w:spacing w:val="-1"/>
                <w:sz w:val="18"/>
                <w:szCs w:val="18"/>
              </w:rPr>
              <w:t>475</w:t>
            </w:r>
          </w:p>
        </w:tc>
        <w:tc>
          <w:tcPr>
            <w:tcW w:w="411" w:type="dxa"/>
            <w:vAlign w:val="top"/>
          </w:tcPr>
          <w:p w14:paraId="754CD2DE">
            <w:pPr>
              <w:pStyle w:val="6"/>
              <w:spacing w:before="80" w:line="232" w:lineRule="auto"/>
              <w:ind w:left="51"/>
              <w:rPr>
                <w:sz w:val="18"/>
                <w:szCs w:val="18"/>
              </w:rPr>
            </w:pPr>
            <w:r>
              <w:rPr>
                <w:spacing w:val="-1"/>
                <w:sz w:val="18"/>
                <w:szCs w:val="18"/>
              </w:rPr>
              <w:t>0.5L</w:t>
            </w:r>
          </w:p>
        </w:tc>
        <w:tc>
          <w:tcPr>
            <w:tcW w:w="428" w:type="dxa"/>
            <w:vAlign w:val="top"/>
          </w:tcPr>
          <w:p w14:paraId="7C811558">
            <w:pPr>
              <w:pStyle w:val="6"/>
              <w:spacing w:before="80" w:line="232" w:lineRule="auto"/>
              <w:ind w:left="84"/>
              <w:rPr>
                <w:sz w:val="18"/>
                <w:szCs w:val="18"/>
              </w:rPr>
            </w:pPr>
            <w:r>
              <w:rPr>
                <w:spacing w:val="-6"/>
                <w:sz w:val="18"/>
                <w:szCs w:val="18"/>
              </w:rPr>
              <w:t>1.28</w:t>
            </w:r>
          </w:p>
        </w:tc>
        <w:tc>
          <w:tcPr>
            <w:tcW w:w="427" w:type="dxa"/>
            <w:vAlign w:val="top"/>
          </w:tcPr>
          <w:p w14:paraId="20951E06">
            <w:pPr>
              <w:pStyle w:val="6"/>
              <w:spacing w:before="80" w:line="232" w:lineRule="auto"/>
              <w:ind w:left="71"/>
              <w:rPr>
                <w:sz w:val="18"/>
                <w:szCs w:val="18"/>
              </w:rPr>
            </w:pPr>
            <w:r>
              <w:rPr>
                <w:spacing w:val="-2"/>
                <w:sz w:val="18"/>
                <w:szCs w:val="18"/>
              </w:rPr>
              <w:t>3.58</w:t>
            </w:r>
          </w:p>
        </w:tc>
        <w:tc>
          <w:tcPr>
            <w:tcW w:w="341" w:type="dxa"/>
            <w:vAlign w:val="top"/>
          </w:tcPr>
          <w:p w14:paraId="2EFC4634">
            <w:pPr>
              <w:pStyle w:val="6"/>
              <w:spacing w:before="80" w:line="232" w:lineRule="auto"/>
              <w:jc w:val="right"/>
              <w:rPr>
                <w:sz w:val="18"/>
                <w:szCs w:val="18"/>
              </w:rPr>
            </w:pPr>
            <w:r>
              <w:rPr>
                <w:spacing w:val="-4"/>
                <w:sz w:val="18"/>
                <w:szCs w:val="18"/>
              </w:rPr>
              <w:t>37.8</w:t>
            </w:r>
          </w:p>
        </w:tc>
        <w:tc>
          <w:tcPr>
            <w:tcW w:w="361" w:type="dxa"/>
            <w:tcBorders>
              <w:right w:val="single" w:color="000000" w:sz="12" w:space="0"/>
            </w:tcBorders>
            <w:vAlign w:val="top"/>
          </w:tcPr>
          <w:p w14:paraId="0E33FF8F">
            <w:pPr>
              <w:pStyle w:val="6"/>
              <w:spacing w:before="80" w:line="232" w:lineRule="auto"/>
              <w:ind w:right="3"/>
              <w:jc w:val="right"/>
              <w:rPr>
                <w:sz w:val="18"/>
                <w:szCs w:val="18"/>
              </w:rPr>
            </w:pPr>
            <w:r>
              <w:rPr>
                <w:spacing w:val="-6"/>
                <w:sz w:val="18"/>
                <w:szCs w:val="18"/>
              </w:rPr>
              <w:t>13.6</w:t>
            </w:r>
          </w:p>
        </w:tc>
      </w:tr>
      <w:tr w14:paraId="21ED1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563" w:type="dxa"/>
            <w:vMerge w:val="continue"/>
            <w:tcBorders>
              <w:top w:val="nil"/>
              <w:left w:val="single" w:color="000000" w:sz="12" w:space="0"/>
              <w:bottom w:val="nil"/>
            </w:tcBorders>
            <w:vAlign w:val="top"/>
          </w:tcPr>
          <w:p w14:paraId="5C639AA1">
            <w:pPr>
              <w:rPr>
                <w:rFonts w:ascii="Arial"/>
                <w:sz w:val="21"/>
              </w:rPr>
            </w:pPr>
          </w:p>
        </w:tc>
        <w:tc>
          <w:tcPr>
            <w:tcW w:w="284" w:type="dxa"/>
            <w:vMerge w:val="restart"/>
            <w:tcBorders>
              <w:bottom w:val="nil"/>
            </w:tcBorders>
            <w:vAlign w:val="top"/>
          </w:tcPr>
          <w:p w14:paraId="40104192">
            <w:pPr>
              <w:pStyle w:val="6"/>
              <w:spacing w:before="149" w:line="226" w:lineRule="auto"/>
              <w:ind w:left="79"/>
              <w:rPr>
                <w:sz w:val="18"/>
                <w:szCs w:val="18"/>
              </w:rPr>
            </w:pPr>
            <w:r>
              <w:rPr>
                <w:sz w:val="18"/>
                <w:szCs w:val="18"/>
              </w:rPr>
              <w:t>2</w:t>
            </w:r>
          </w:p>
          <w:p w14:paraId="145A77FD">
            <w:pPr>
              <w:spacing w:line="219" w:lineRule="auto"/>
              <w:ind w:left="39"/>
              <w:rPr>
                <w:rFonts w:ascii="宋体" w:hAnsi="宋体" w:eastAsia="宋体" w:cs="宋体"/>
                <w:sz w:val="18"/>
                <w:szCs w:val="18"/>
              </w:rPr>
            </w:pPr>
            <w:r>
              <w:rPr>
                <w:rFonts w:ascii="宋体" w:hAnsi="宋体" w:eastAsia="宋体" w:cs="宋体"/>
                <w:sz w:val="18"/>
                <w:szCs w:val="18"/>
              </w:rPr>
              <w:t>季</w:t>
            </w:r>
          </w:p>
          <w:p w14:paraId="462DD5DD">
            <w:pPr>
              <w:spacing w:before="19"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5FF11F47">
            <w:pPr>
              <w:pStyle w:val="6"/>
              <w:spacing w:before="80" w:line="232" w:lineRule="auto"/>
              <w:ind w:left="288"/>
              <w:rPr>
                <w:sz w:val="18"/>
                <w:szCs w:val="18"/>
              </w:rPr>
            </w:pPr>
            <w:r>
              <w:rPr>
                <w:spacing w:val="-1"/>
                <w:sz w:val="18"/>
                <w:szCs w:val="18"/>
              </w:rPr>
              <w:t>2021/6/3</w:t>
            </w:r>
          </w:p>
        </w:tc>
        <w:tc>
          <w:tcPr>
            <w:tcW w:w="733" w:type="dxa"/>
            <w:vAlign w:val="top"/>
          </w:tcPr>
          <w:p w14:paraId="2ECC132D">
            <w:pPr>
              <w:pStyle w:val="6"/>
              <w:spacing w:before="80" w:line="232" w:lineRule="auto"/>
              <w:ind w:left="244"/>
              <w:rPr>
                <w:sz w:val="18"/>
                <w:szCs w:val="18"/>
              </w:rPr>
            </w:pPr>
            <w:r>
              <w:rPr>
                <w:spacing w:val="-3"/>
                <w:sz w:val="18"/>
                <w:szCs w:val="18"/>
              </w:rPr>
              <w:t>7.5</w:t>
            </w:r>
          </w:p>
        </w:tc>
        <w:tc>
          <w:tcPr>
            <w:tcW w:w="565" w:type="dxa"/>
            <w:vAlign w:val="top"/>
          </w:tcPr>
          <w:p w14:paraId="7A6F4A6B">
            <w:pPr>
              <w:pStyle w:val="6"/>
              <w:spacing w:before="80" w:line="232" w:lineRule="auto"/>
              <w:ind w:left="134"/>
              <w:rPr>
                <w:sz w:val="18"/>
                <w:szCs w:val="18"/>
              </w:rPr>
            </w:pPr>
            <w:r>
              <w:rPr>
                <w:spacing w:val="-1"/>
                <w:sz w:val="18"/>
                <w:szCs w:val="18"/>
              </w:rPr>
              <w:t>232</w:t>
            </w:r>
          </w:p>
        </w:tc>
        <w:tc>
          <w:tcPr>
            <w:tcW w:w="708" w:type="dxa"/>
            <w:vAlign w:val="top"/>
          </w:tcPr>
          <w:p w14:paraId="682DF629">
            <w:pPr>
              <w:pStyle w:val="6"/>
              <w:spacing w:before="80" w:line="232" w:lineRule="auto"/>
              <w:ind w:left="211"/>
              <w:rPr>
                <w:sz w:val="18"/>
                <w:szCs w:val="18"/>
              </w:rPr>
            </w:pPr>
            <w:r>
              <w:rPr>
                <w:spacing w:val="-2"/>
                <w:sz w:val="18"/>
                <w:szCs w:val="18"/>
              </w:rPr>
              <w:t>387</w:t>
            </w:r>
          </w:p>
        </w:tc>
        <w:tc>
          <w:tcPr>
            <w:tcW w:w="567" w:type="dxa"/>
            <w:vAlign w:val="top"/>
          </w:tcPr>
          <w:p w14:paraId="1296FE9B">
            <w:pPr>
              <w:pStyle w:val="6"/>
              <w:spacing w:before="80" w:line="232" w:lineRule="auto"/>
              <w:ind w:left="187"/>
              <w:rPr>
                <w:sz w:val="18"/>
                <w:szCs w:val="18"/>
              </w:rPr>
            </w:pPr>
            <w:r>
              <w:rPr>
                <w:spacing w:val="-2"/>
                <w:sz w:val="18"/>
                <w:szCs w:val="18"/>
              </w:rPr>
              <w:t>73</w:t>
            </w:r>
          </w:p>
        </w:tc>
        <w:tc>
          <w:tcPr>
            <w:tcW w:w="566" w:type="dxa"/>
            <w:vAlign w:val="top"/>
          </w:tcPr>
          <w:p w14:paraId="3D97E4D1">
            <w:pPr>
              <w:pStyle w:val="6"/>
              <w:spacing w:before="84" w:line="186" w:lineRule="auto"/>
              <w:ind w:left="145"/>
              <w:rPr>
                <w:sz w:val="18"/>
                <w:szCs w:val="18"/>
              </w:rPr>
            </w:pPr>
            <w:r>
              <w:rPr>
                <w:spacing w:val="-5"/>
                <w:sz w:val="18"/>
                <w:szCs w:val="18"/>
              </w:rPr>
              <w:t>10L</w:t>
            </w:r>
          </w:p>
        </w:tc>
        <w:tc>
          <w:tcPr>
            <w:tcW w:w="567" w:type="dxa"/>
            <w:vAlign w:val="top"/>
          </w:tcPr>
          <w:p w14:paraId="311155AA">
            <w:pPr>
              <w:pStyle w:val="6"/>
              <w:spacing w:before="80" w:line="232" w:lineRule="auto"/>
              <w:ind w:left="65"/>
              <w:rPr>
                <w:sz w:val="18"/>
                <w:szCs w:val="18"/>
              </w:rPr>
            </w:pPr>
            <w:r>
              <w:rPr>
                <w:spacing w:val="-2"/>
                <w:sz w:val="18"/>
                <w:szCs w:val="18"/>
              </w:rPr>
              <w:t>0.01L</w:t>
            </w:r>
          </w:p>
        </w:tc>
        <w:tc>
          <w:tcPr>
            <w:tcW w:w="557" w:type="dxa"/>
            <w:vAlign w:val="top"/>
          </w:tcPr>
          <w:p w14:paraId="48F5BBFD">
            <w:pPr>
              <w:pStyle w:val="6"/>
              <w:spacing w:before="80" w:line="232" w:lineRule="auto"/>
              <w:ind w:left="60"/>
              <w:rPr>
                <w:sz w:val="18"/>
                <w:szCs w:val="18"/>
              </w:rPr>
            </w:pPr>
            <w:r>
              <w:rPr>
                <w:spacing w:val="-2"/>
                <w:sz w:val="18"/>
                <w:szCs w:val="18"/>
              </w:rPr>
              <w:t>0.01L</w:t>
            </w:r>
          </w:p>
        </w:tc>
        <w:tc>
          <w:tcPr>
            <w:tcW w:w="715" w:type="dxa"/>
            <w:vAlign w:val="top"/>
          </w:tcPr>
          <w:p w14:paraId="2EE7700A">
            <w:pPr>
              <w:pStyle w:val="6"/>
              <w:spacing w:before="80" w:line="232" w:lineRule="auto"/>
              <w:ind w:left="140"/>
              <w:rPr>
                <w:sz w:val="18"/>
                <w:szCs w:val="18"/>
              </w:rPr>
            </w:pPr>
            <w:r>
              <w:rPr>
                <w:spacing w:val="-2"/>
                <w:sz w:val="18"/>
                <w:szCs w:val="18"/>
              </w:rPr>
              <w:t>0.04L</w:t>
            </w:r>
          </w:p>
        </w:tc>
        <w:tc>
          <w:tcPr>
            <w:tcW w:w="567" w:type="dxa"/>
            <w:vAlign w:val="top"/>
          </w:tcPr>
          <w:p w14:paraId="5D26909E">
            <w:pPr>
              <w:pStyle w:val="6"/>
              <w:spacing w:before="80" w:line="232" w:lineRule="auto"/>
              <w:ind w:left="78"/>
              <w:rPr>
                <w:sz w:val="18"/>
                <w:szCs w:val="18"/>
              </w:rPr>
            </w:pPr>
            <w:r>
              <w:rPr>
                <w:spacing w:val="-2"/>
                <w:sz w:val="18"/>
                <w:szCs w:val="18"/>
              </w:rPr>
              <w:t>0.165</w:t>
            </w:r>
          </w:p>
        </w:tc>
        <w:tc>
          <w:tcPr>
            <w:tcW w:w="708" w:type="dxa"/>
            <w:vAlign w:val="top"/>
          </w:tcPr>
          <w:p w14:paraId="40A67618">
            <w:pPr>
              <w:pStyle w:val="6"/>
              <w:spacing w:before="80" w:line="232" w:lineRule="auto"/>
              <w:ind w:left="48"/>
              <w:rPr>
                <w:sz w:val="18"/>
                <w:szCs w:val="18"/>
              </w:rPr>
            </w:pPr>
            <w:r>
              <w:rPr>
                <w:spacing w:val="-1"/>
                <w:sz w:val="18"/>
                <w:szCs w:val="18"/>
              </w:rPr>
              <w:t>0.0003L</w:t>
            </w:r>
          </w:p>
        </w:tc>
        <w:tc>
          <w:tcPr>
            <w:tcW w:w="851" w:type="dxa"/>
            <w:vAlign w:val="top"/>
          </w:tcPr>
          <w:p w14:paraId="30BE86D2">
            <w:pPr>
              <w:pStyle w:val="6"/>
              <w:spacing w:before="80" w:line="232" w:lineRule="auto"/>
              <w:ind w:left="211"/>
              <w:rPr>
                <w:sz w:val="18"/>
                <w:szCs w:val="18"/>
              </w:rPr>
            </w:pPr>
            <w:r>
              <w:rPr>
                <w:spacing w:val="-2"/>
                <w:sz w:val="18"/>
                <w:szCs w:val="18"/>
              </w:rPr>
              <w:t>0.05L</w:t>
            </w:r>
          </w:p>
        </w:tc>
        <w:tc>
          <w:tcPr>
            <w:tcW w:w="566" w:type="dxa"/>
            <w:vAlign w:val="top"/>
          </w:tcPr>
          <w:p w14:paraId="250104EB">
            <w:pPr>
              <w:pStyle w:val="6"/>
              <w:spacing w:before="80" w:line="232" w:lineRule="auto"/>
              <w:ind w:left="125"/>
              <w:rPr>
                <w:sz w:val="18"/>
                <w:szCs w:val="18"/>
              </w:rPr>
            </w:pPr>
            <w:r>
              <w:rPr>
                <w:spacing w:val="-2"/>
                <w:sz w:val="18"/>
                <w:szCs w:val="18"/>
              </w:rPr>
              <w:t>0.02</w:t>
            </w:r>
          </w:p>
        </w:tc>
        <w:tc>
          <w:tcPr>
            <w:tcW w:w="672" w:type="dxa"/>
            <w:vAlign w:val="top"/>
          </w:tcPr>
          <w:p w14:paraId="74FA6CAD">
            <w:pPr>
              <w:pStyle w:val="6"/>
              <w:spacing w:before="80" w:line="232" w:lineRule="auto"/>
              <w:ind w:left="178"/>
              <w:rPr>
                <w:sz w:val="18"/>
                <w:szCs w:val="18"/>
              </w:rPr>
            </w:pPr>
            <w:r>
              <w:rPr>
                <w:spacing w:val="-2"/>
                <w:sz w:val="18"/>
                <w:szCs w:val="18"/>
              </w:rPr>
              <w:t>0.61</w:t>
            </w:r>
          </w:p>
        </w:tc>
        <w:tc>
          <w:tcPr>
            <w:tcW w:w="745" w:type="dxa"/>
            <w:vAlign w:val="top"/>
          </w:tcPr>
          <w:p w14:paraId="2BF2FD3A">
            <w:pPr>
              <w:pStyle w:val="6"/>
              <w:spacing w:before="80" w:line="232" w:lineRule="auto"/>
              <w:ind w:left="116"/>
              <w:rPr>
                <w:sz w:val="18"/>
                <w:szCs w:val="18"/>
              </w:rPr>
            </w:pPr>
            <w:r>
              <w:rPr>
                <w:spacing w:val="-2"/>
                <w:sz w:val="18"/>
                <w:szCs w:val="18"/>
              </w:rPr>
              <w:t>0.003L</w:t>
            </w:r>
          </w:p>
        </w:tc>
        <w:tc>
          <w:tcPr>
            <w:tcW w:w="455" w:type="dxa"/>
            <w:vAlign w:val="top"/>
          </w:tcPr>
          <w:p w14:paraId="19D0E3E9">
            <w:pPr>
              <w:pStyle w:val="6"/>
              <w:spacing w:before="80" w:line="232" w:lineRule="auto"/>
              <w:ind w:left="27"/>
              <w:rPr>
                <w:sz w:val="18"/>
                <w:szCs w:val="18"/>
              </w:rPr>
            </w:pPr>
            <w:r>
              <w:rPr>
                <w:spacing w:val="-2"/>
                <w:sz w:val="18"/>
                <w:szCs w:val="18"/>
              </w:rPr>
              <w:t>0.153</w:t>
            </w:r>
          </w:p>
        </w:tc>
        <w:tc>
          <w:tcPr>
            <w:tcW w:w="579" w:type="dxa"/>
            <w:vAlign w:val="top"/>
          </w:tcPr>
          <w:p w14:paraId="55E6756A">
            <w:pPr>
              <w:pStyle w:val="6"/>
              <w:spacing w:before="80" w:line="232" w:lineRule="auto"/>
              <w:ind w:left="136"/>
              <w:rPr>
                <w:sz w:val="18"/>
                <w:szCs w:val="18"/>
              </w:rPr>
            </w:pPr>
            <w:r>
              <w:rPr>
                <w:spacing w:val="-2"/>
                <w:sz w:val="18"/>
                <w:szCs w:val="18"/>
              </w:rPr>
              <w:t>0.07</w:t>
            </w:r>
          </w:p>
        </w:tc>
        <w:tc>
          <w:tcPr>
            <w:tcW w:w="623" w:type="dxa"/>
            <w:vAlign w:val="top"/>
          </w:tcPr>
          <w:p w14:paraId="79CA8FF3">
            <w:pPr>
              <w:pStyle w:val="6"/>
              <w:spacing w:before="80" w:line="232" w:lineRule="auto"/>
              <w:ind w:left="58"/>
              <w:rPr>
                <w:sz w:val="18"/>
                <w:szCs w:val="18"/>
              </w:rPr>
            </w:pPr>
            <w:r>
              <w:rPr>
                <w:spacing w:val="-2"/>
                <w:sz w:val="18"/>
                <w:szCs w:val="18"/>
              </w:rPr>
              <w:t>0.004L</w:t>
            </w:r>
          </w:p>
        </w:tc>
        <w:tc>
          <w:tcPr>
            <w:tcW w:w="737" w:type="dxa"/>
            <w:vAlign w:val="top"/>
          </w:tcPr>
          <w:p w14:paraId="4F23379D">
            <w:pPr>
              <w:pStyle w:val="6"/>
              <w:spacing w:before="80" w:line="232" w:lineRule="auto"/>
              <w:ind w:left="25"/>
              <w:rPr>
                <w:sz w:val="18"/>
                <w:szCs w:val="18"/>
              </w:rPr>
            </w:pPr>
            <w:r>
              <w:rPr>
                <w:spacing w:val="-1"/>
                <w:sz w:val="18"/>
                <w:szCs w:val="18"/>
              </w:rPr>
              <w:t>0.00004L</w:t>
            </w:r>
          </w:p>
        </w:tc>
        <w:tc>
          <w:tcPr>
            <w:tcW w:w="577" w:type="dxa"/>
            <w:vAlign w:val="top"/>
          </w:tcPr>
          <w:p w14:paraId="5ADA4F56">
            <w:pPr>
              <w:pStyle w:val="6"/>
              <w:spacing w:before="80" w:line="232" w:lineRule="auto"/>
              <w:ind w:left="48"/>
              <w:rPr>
                <w:sz w:val="18"/>
                <w:szCs w:val="18"/>
              </w:rPr>
            </w:pPr>
            <w:r>
              <w:rPr>
                <w:spacing w:val="-2"/>
                <w:sz w:val="18"/>
                <w:szCs w:val="18"/>
              </w:rPr>
              <w:t>0.0007</w:t>
            </w:r>
          </w:p>
        </w:tc>
        <w:tc>
          <w:tcPr>
            <w:tcW w:w="708" w:type="dxa"/>
            <w:vAlign w:val="top"/>
          </w:tcPr>
          <w:p w14:paraId="7F52EA1C">
            <w:pPr>
              <w:pStyle w:val="6"/>
              <w:spacing w:before="80" w:line="232" w:lineRule="auto"/>
              <w:ind w:left="60"/>
              <w:rPr>
                <w:sz w:val="18"/>
                <w:szCs w:val="18"/>
              </w:rPr>
            </w:pPr>
            <w:r>
              <w:rPr>
                <w:spacing w:val="-1"/>
                <w:sz w:val="18"/>
                <w:szCs w:val="18"/>
              </w:rPr>
              <w:t>0.0004L</w:t>
            </w:r>
          </w:p>
        </w:tc>
        <w:tc>
          <w:tcPr>
            <w:tcW w:w="567" w:type="dxa"/>
            <w:vAlign w:val="top"/>
          </w:tcPr>
          <w:p w14:paraId="6C546821">
            <w:pPr>
              <w:pStyle w:val="6"/>
              <w:spacing w:before="80" w:line="232" w:lineRule="auto"/>
              <w:ind w:left="35"/>
              <w:rPr>
                <w:sz w:val="18"/>
                <w:szCs w:val="18"/>
              </w:rPr>
            </w:pPr>
            <w:r>
              <w:rPr>
                <w:spacing w:val="-2"/>
                <w:sz w:val="18"/>
                <w:szCs w:val="18"/>
              </w:rPr>
              <w:t>0.001L</w:t>
            </w:r>
          </w:p>
        </w:tc>
        <w:tc>
          <w:tcPr>
            <w:tcW w:w="566" w:type="dxa"/>
            <w:vAlign w:val="top"/>
          </w:tcPr>
          <w:p w14:paraId="6FDDC768">
            <w:pPr>
              <w:pStyle w:val="6"/>
              <w:spacing w:before="80" w:line="232" w:lineRule="auto"/>
              <w:ind w:left="34"/>
              <w:rPr>
                <w:sz w:val="18"/>
                <w:szCs w:val="18"/>
              </w:rPr>
            </w:pPr>
            <w:r>
              <w:rPr>
                <w:spacing w:val="-2"/>
                <w:sz w:val="18"/>
                <w:szCs w:val="18"/>
              </w:rPr>
              <w:t>0.004L</w:t>
            </w:r>
          </w:p>
        </w:tc>
        <w:tc>
          <w:tcPr>
            <w:tcW w:w="567" w:type="dxa"/>
            <w:vAlign w:val="top"/>
          </w:tcPr>
          <w:p w14:paraId="6B00EE80">
            <w:pPr>
              <w:pStyle w:val="6"/>
              <w:spacing w:before="80" w:line="232" w:lineRule="auto"/>
              <w:ind w:left="81"/>
              <w:rPr>
                <w:sz w:val="18"/>
                <w:szCs w:val="18"/>
              </w:rPr>
            </w:pPr>
            <w:r>
              <w:rPr>
                <w:spacing w:val="-2"/>
                <w:sz w:val="18"/>
                <w:szCs w:val="18"/>
              </w:rPr>
              <w:t>0.01L</w:t>
            </w:r>
          </w:p>
        </w:tc>
        <w:tc>
          <w:tcPr>
            <w:tcW w:w="708" w:type="dxa"/>
            <w:vAlign w:val="top"/>
          </w:tcPr>
          <w:p w14:paraId="5DCF1199">
            <w:pPr>
              <w:pStyle w:val="6"/>
              <w:spacing w:before="80" w:line="232" w:lineRule="auto"/>
              <w:ind w:left="106"/>
              <w:rPr>
                <w:sz w:val="18"/>
                <w:szCs w:val="18"/>
              </w:rPr>
            </w:pPr>
            <w:r>
              <w:rPr>
                <w:spacing w:val="-2"/>
                <w:sz w:val="18"/>
                <w:szCs w:val="18"/>
              </w:rPr>
              <w:t>0.009L</w:t>
            </w:r>
          </w:p>
        </w:tc>
        <w:tc>
          <w:tcPr>
            <w:tcW w:w="566" w:type="dxa"/>
            <w:vAlign w:val="top"/>
          </w:tcPr>
          <w:p w14:paraId="1040A1A3">
            <w:pPr>
              <w:pStyle w:val="6"/>
              <w:spacing w:before="159" w:line="85" w:lineRule="exact"/>
              <w:ind w:left="236"/>
              <w:rPr>
                <w:sz w:val="18"/>
                <w:szCs w:val="18"/>
              </w:rPr>
            </w:pPr>
            <w:r>
              <w:rPr>
                <w:spacing w:val="-2"/>
                <w:position w:val="-5"/>
                <w:sz w:val="18"/>
                <w:szCs w:val="18"/>
              </w:rPr>
              <w:t>--</w:t>
            </w:r>
          </w:p>
        </w:tc>
        <w:tc>
          <w:tcPr>
            <w:tcW w:w="579" w:type="dxa"/>
            <w:vAlign w:val="top"/>
          </w:tcPr>
          <w:p w14:paraId="51FA08AA">
            <w:pPr>
              <w:pStyle w:val="6"/>
              <w:spacing w:before="80" w:line="232" w:lineRule="auto"/>
              <w:ind w:left="162"/>
              <w:rPr>
                <w:sz w:val="18"/>
                <w:szCs w:val="18"/>
              </w:rPr>
            </w:pPr>
            <w:r>
              <w:rPr>
                <w:spacing w:val="-1"/>
                <w:sz w:val="18"/>
                <w:szCs w:val="18"/>
              </w:rPr>
              <w:t>417</w:t>
            </w:r>
          </w:p>
        </w:tc>
        <w:tc>
          <w:tcPr>
            <w:tcW w:w="411" w:type="dxa"/>
            <w:vAlign w:val="top"/>
          </w:tcPr>
          <w:p w14:paraId="7D1B3EAD">
            <w:pPr>
              <w:pStyle w:val="6"/>
              <w:spacing w:before="80" w:line="232" w:lineRule="auto"/>
              <w:ind w:left="51"/>
              <w:rPr>
                <w:sz w:val="18"/>
                <w:szCs w:val="18"/>
              </w:rPr>
            </w:pPr>
            <w:r>
              <w:rPr>
                <w:spacing w:val="-2"/>
                <w:sz w:val="18"/>
                <w:szCs w:val="18"/>
              </w:rPr>
              <w:t>0.5L</w:t>
            </w:r>
          </w:p>
        </w:tc>
        <w:tc>
          <w:tcPr>
            <w:tcW w:w="428" w:type="dxa"/>
            <w:vAlign w:val="top"/>
          </w:tcPr>
          <w:p w14:paraId="6C6A1EAB">
            <w:pPr>
              <w:pStyle w:val="6"/>
              <w:spacing w:before="80" w:line="232" w:lineRule="auto"/>
              <w:ind w:left="84"/>
              <w:rPr>
                <w:sz w:val="18"/>
                <w:szCs w:val="18"/>
              </w:rPr>
            </w:pPr>
            <w:r>
              <w:rPr>
                <w:spacing w:val="-6"/>
                <w:sz w:val="18"/>
                <w:szCs w:val="18"/>
              </w:rPr>
              <w:t>18.4</w:t>
            </w:r>
          </w:p>
        </w:tc>
        <w:tc>
          <w:tcPr>
            <w:tcW w:w="427" w:type="dxa"/>
            <w:vAlign w:val="top"/>
          </w:tcPr>
          <w:p w14:paraId="50A66D12">
            <w:pPr>
              <w:pStyle w:val="6"/>
              <w:spacing w:before="80" w:line="232" w:lineRule="auto"/>
              <w:ind w:left="85"/>
              <w:rPr>
                <w:sz w:val="18"/>
                <w:szCs w:val="18"/>
              </w:rPr>
            </w:pPr>
            <w:r>
              <w:rPr>
                <w:spacing w:val="-6"/>
                <w:sz w:val="18"/>
                <w:szCs w:val="18"/>
              </w:rPr>
              <w:t>14.1</w:t>
            </w:r>
          </w:p>
        </w:tc>
        <w:tc>
          <w:tcPr>
            <w:tcW w:w="341" w:type="dxa"/>
            <w:vAlign w:val="top"/>
          </w:tcPr>
          <w:p w14:paraId="31A7FBF0">
            <w:pPr>
              <w:pStyle w:val="6"/>
              <w:spacing w:before="80" w:line="232" w:lineRule="auto"/>
              <w:jc w:val="right"/>
              <w:rPr>
                <w:sz w:val="18"/>
                <w:szCs w:val="18"/>
              </w:rPr>
            </w:pPr>
            <w:r>
              <w:rPr>
                <w:spacing w:val="-3"/>
                <w:sz w:val="18"/>
                <w:szCs w:val="18"/>
              </w:rPr>
              <w:t>48.5</w:t>
            </w:r>
          </w:p>
        </w:tc>
        <w:tc>
          <w:tcPr>
            <w:tcW w:w="361" w:type="dxa"/>
            <w:tcBorders>
              <w:right w:val="single" w:color="000000" w:sz="12" w:space="0"/>
            </w:tcBorders>
            <w:vAlign w:val="top"/>
          </w:tcPr>
          <w:p w14:paraId="76E2E0CC">
            <w:pPr>
              <w:pStyle w:val="6"/>
              <w:spacing w:before="80" w:line="232" w:lineRule="auto"/>
              <w:ind w:right="3"/>
              <w:jc w:val="right"/>
              <w:rPr>
                <w:sz w:val="18"/>
                <w:szCs w:val="18"/>
              </w:rPr>
            </w:pPr>
            <w:r>
              <w:rPr>
                <w:spacing w:val="-6"/>
                <w:sz w:val="18"/>
                <w:szCs w:val="18"/>
              </w:rPr>
              <w:t>13.7</w:t>
            </w:r>
          </w:p>
        </w:tc>
      </w:tr>
      <w:tr w14:paraId="48D3B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61A7E864">
            <w:pPr>
              <w:rPr>
                <w:rFonts w:ascii="Arial"/>
                <w:sz w:val="21"/>
              </w:rPr>
            </w:pPr>
          </w:p>
        </w:tc>
        <w:tc>
          <w:tcPr>
            <w:tcW w:w="284" w:type="dxa"/>
            <w:vMerge w:val="continue"/>
            <w:tcBorders>
              <w:top w:val="nil"/>
              <w:bottom w:val="nil"/>
            </w:tcBorders>
            <w:vAlign w:val="top"/>
          </w:tcPr>
          <w:p w14:paraId="07F662B7">
            <w:pPr>
              <w:rPr>
                <w:rFonts w:ascii="Arial"/>
                <w:sz w:val="21"/>
              </w:rPr>
            </w:pPr>
          </w:p>
        </w:tc>
        <w:tc>
          <w:tcPr>
            <w:tcW w:w="1249" w:type="dxa"/>
            <w:vAlign w:val="top"/>
          </w:tcPr>
          <w:p w14:paraId="10711271">
            <w:pPr>
              <w:pStyle w:val="6"/>
              <w:spacing w:before="81" w:line="230" w:lineRule="auto"/>
              <w:ind w:left="288"/>
              <w:rPr>
                <w:sz w:val="18"/>
                <w:szCs w:val="18"/>
              </w:rPr>
            </w:pPr>
            <w:r>
              <w:rPr>
                <w:spacing w:val="-1"/>
                <w:sz w:val="18"/>
                <w:szCs w:val="18"/>
              </w:rPr>
              <w:t>2021/6/4</w:t>
            </w:r>
          </w:p>
        </w:tc>
        <w:tc>
          <w:tcPr>
            <w:tcW w:w="733" w:type="dxa"/>
            <w:vAlign w:val="top"/>
          </w:tcPr>
          <w:p w14:paraId="5E8A604D">
            <w:pPr>
              <w:pStyle w:val="6"/>
              <w:spacing w:before="81" w:line="230" w:lineRule="auto"/>
              <w:ind w:left="244"/>
              <w:rPr>
                <w:sz w:val="18"/>
                <w:szCs w:val="18"/>
              </w:rPr>
            </w:pPr>
            <w:r>
              <w:rPr>
                <w:spacing w:val="-3"/>
                <w:sz w:val="18"/>
                <w:szCs w:val="18"/>
              </w:rPr>
              <w:t>7.6</w:t>
            </w:r>
          </w:p>
        </w:tc>
        <w:tc>
          <w:tcPr>
            <w:tcW w:w="565" w:type="dxa"/>
            <w:vAlign w:val="top"/>
          </w:tcPr>
          <w:p w14:paraId="14F1F660">
            <w:pPr>
              <w:pStyle w:val="6"/>
              <w:spacing w:before="81" w:line="230" w:lineRule="auto"/>
              <w:ind w:left="134"/>
              <w:rPr>
                <w:sz w:val="18"/>
                <w:szCs w:val="18"/>
              </w:rPr>
            </w:pPr>
            <w:r>
              <w:rPr>
                <w:spacing w:val="-1"/>
                <w:sz w:val="18"/>
                <w:szCs w:val="18"/>
              </w:rPr>
              <w:t>226</w:t>
            </w:r>
          </w:p>
        </w:tc>
        <w:tc>
          <w:tcPr>
            <w:tcW w:w="708" w:type="dxa"/>
            <w:vAlign w:val="top"/>
          </w:tcPr>
          <w:p w14:paraId="77080BAB">
            <w:pPr>
              <w:pStyle w:val="6"/>
              <w:spacing w:before="81" w:line="230" w:lineRule="auto"/>
              <w:ind w:left="211"/>
              <w:rPr>
                <w:sz w:val="18"/>
                <w:szCs w:val="18"/>
              </w:rPr>
            </w:pPr>
            <w:r>
              <w:rPr>
                <w:spacing w:val="-2"/>
                <w:sz w:val="18"/>
                <w:szCs w:val="18"/>
              </w:rPr>
              <w:t>395</w:t>
            </w:r>
          </w:p>
        </w:tc>
        <w:tc>
          <w:tcPr>
            <w:tcW w:w="567" w:type="dxa"/>
            <w:vAlign w:val="top"/>
          </w:tcPr>
          <w:p w14:paraId="35763AFB">
            <w:pPr>
              <w:pStyle w:val="6"/>
              <w:spacing w:before="81" w:line="230" w:lineRule="auto"/>
              <w:ind w:left="187"/>
              <w:rPr>
                <w:sz w:val="18"/>
                <w:szCs w:val="18"/>
              </w:rPr>
            </w:pPr>
            <w:r>
              <w:rPr>
                <w:spacing w:val="-2"/>
                <w:sz w:val="18"/>
                <w:szCs w:val="18"/>
              </w:rPr>
              <w:t>76</w:t>
            </w:r>
          </w:p>
        </w:tc>
        <w:tc>
          <w:tcPr>
            <w:tcW w:w="566" w:type="dxa"/>
            <w:vAlign w:val="top"/>
          </w:tcPr>
          <w:p w14:paraId="065296F3">
            <w:pPr>
              <w:pStyle w:val="6"/>
              <w:spacing w:before="84" w:line="186" w:lineRule="auto"/>
              <w:ind w:left="145"/>
              <w:rPr>
                <w:sz w:val="18"/>
                <w:szCs w:val="18"/>
              </w:rPr>
            </w:pPr>
            <w:r>
              <w:rPr>
                <w:spacing w:val="-5"/>
                <w:sz w:val="18"/>
                <w:szCs w:val="18"/>
              </w:rPr>
              <w:t>10L</w:t>
            </w:r>
          </w:p>
        </w:tc>
        <w:tc>
          <w:tcPr>
            <w:tcW w:w="567" w:type="dxa"/>
            <w:vAlign w:val="top"/>
          </w:tcPr>
          <w:p w14:paraId="7E49D3DC">
            <w:pPr>
              <w:pStyle w:val="6"/>
              <w:spacing w:before="81" w:line="230" w:lineRule="auto"/>
              <w:ind w:left="65"/>
              <w:rPr>
                <w:sz w:val="18"/>
                <w:szCs w:val="18"/>
              </w:rPr>
            </w:pPr>
            <w:r>
              <w:rPr>
                <w:spacing w:val="-2"/>
                <w:sz w:val="18"/>
                <w:szCs w:val="18"/>
              </w:rPr>
              <w:t>0.01L</w:t>
            </w:r>
          </w:p>
        </w:tc>
        <w:tc>
          <w:tcPr>
            <w:tcW w:w="557" w:type="dxa"/>
            <w:vAlign w:val="top"/>
          </w:tcPr>
          <w:p w14:paraId="60EE73F9">
            <w:pPr>
              <w:pStyle w:val="6"/>
              <w:spacing w:before="81" w:line="230" w:lineRule="auto"/>
              <w:ind w:left="60"/>
              <w:rPr>
                <w:sz w:val="18"/>
                <w:szCs w:val="18"/>
              </w:rPr>
            </w:pPr>
            <w:r>
              <w:rPr>
                <w:spacing w:val="-2"/>
                <w:sz w:val="18"/>
                <w:szCs w:val="18"/>
              </w:rPr>
              <w:t>0.01L</w:t>
            </w:r>
          </w:p>
        </w:tc>
        <w:tc>
          <w:tcPr>
            <w:tcW w:w="715" w:type="dxa"/>
            <w:vAlign w:val="top"/>
          </w:tcPr>
          <w:p w14:paraId="059D1974">
            <w:pPr>
              <w:pStyle w:val="6"/>
              <w:spacing w:before="81" w:line="230" w:lineRule="auto"/>
              <w:ind w:left="140"/>
              <w:rPr>
                <w:sz w:val="18"/>
                <w:szCs w:val="18"/>
              </w:rPr>
            </w:pPr>
            <w:r>
              <w:rPr>
                <w:spacing w:val="-2"/>
                <w:sz w:val="18"/>
                <w:szCs w:val="18"/>
              </w:rPr>
              <w:t>0.04L</w:t>
            </w:r>
          </w:p>
        </w:tc>
        <w:tc>
          <w:tcPr>
            <w:tcW w:w="567" w:type="dxa"/>
            <w:vAlign w:val="top"/>
          </w:tcPr>
          <w:p w14:paraId="28F8A341">
            <w:pPr>
              <w:pStyle w:val="6"/>
              <w:spacing w:before="81" w:line="230" w:lineRule="auto"/>
              <w:ind w:left="78"/>
              <w:rPr>
                <w:sz w:val="18"/>
                <w:szCs w:val="18"/>
              </w:rPr>
            </w:pPr>
            <w:r>
              <w:rPr>
                <w:spacing w:val="-2"/>
                <w:sz w:val="18"/>
                <w:szCs w:val="18"/>
              </w:rPr>
              <w:t>0.165</w:t>
            </w:r>
          </w:p>
        </w:tc>
        <w:tc>
          <w:tcPr>
            <w:tcW w:w="708" w:type="dxa"/>
            <w:vAlign w:val="top"/>
          </w:tcPr>
          <w:p w14:paraId="570B5218">
            <w:pPr>
              <w:pStyle w:val="6"/>
              <w:spacing w:before="81" w:line="230" w:lineRule="auto"/>
              <w:ind w:left="48"/>
              <w:rPr>
                <w:sz w:val="18"/>
                <w:szCs w:val="18"/>
              </w:rPr>
            </w:pPr>
            <w:r>
              <w:rPr>
                <w:spacing w:val="-1"/>
                <w:sz w:val="18"/>
                <w:szCs w:val="18"/>
              </w:rPr>
              <w:t>0.0003L</w:t>
            </w:r>
          </w:p>
        </w:tc>
        <w:tc>
          <w:tcPr>
            <w:tcW w:w="851" w:type="dxa"/>
            <w:vAlign w:val="top"/>
          </w:tcPr>
          <w:p w14:paraId="202F9A97">
            <w:pPr>
              <w:pStyle w:val="6"/>
              <w:spacing w:before="81" w:line="230" w:lineRule="auto"/>
              <w:ind w:left="211"/>
              <w:rPr>
                <w:sz w:val="18"/>
                <w:szCs w:val="18"/>
              </w:rPr>
            </w:pPr>
            <w:r>
              <w:rPr>
                <w:spacing w:val="-2"/>
                <w:sz w:val="18"/>
                <w:szCs w:val="18"/>
              </w:rPr>
              <w:t>0.05L</w:t>
            </w:r>
          </w:p>
        </w:tc>
        <w:tc>
          <w:tcPr>
            <w:tcW w:w="566" w:type="dxa"/>
            <w:vAlign w:val="top"/>
          </w:tcPr>
          <w:p w14:paraId="791017D6">
            <w:pPr>
              <w:pStyle w:val="6"/>
              <w:spacing w:before="81" w:line="230" w:lineRule="auto"/>
              <w:ind w:left="125"/>
              <w:rPr>
                <w:sz w:val="18"/>
                <w:szCs w:val="18"/>
              </w:rPr>
            </w:pPr>
            <w:r>
              <w:rPr>
                <w:spacing w:val="-2"/>
                <w:sz w:val="18"/>
                <w:szCs w:val="18"/>
              </w:rPr>
              <w:t>0.03</w:t>
            </w:r>
          </w:p>
        </w:tc>
        <w:tc>
          <w:tcPr>
            <w:tcW w:w="672" w:type="dxa"/>
            <w:vAlign w:val="top"/>
          </w:tcPr>
          <w:p w14:paraId="26A0A6CA">
            <w:pPr>
              <w:pStyle w:val="6"/>
              <w:spacing w:before="81" w:line="230" w:lineRule="auto"/>
              <w:ind w:left="178"/>
              <w:rPr>
                <w:sz w:val="18"/>
                <w:szCs w:val="18"/>
              </w:rPr>
            </w:pPr>
            <w:r>
              <w:rPr>
                <w:spacing w:val="-2"/>
                <w:sz w:val="18"/>
                <w:szCs w:val="18"/>
              </w:rPr>
              <w:t>0.57</w:t>
            </w:r>
          </w:p>
        </w:tc>
        <w:tc>
          <w:tcPr>
            <w:tcW w:w="745" w:type="dxa"/>
            <w:vAlign w:val="top"/>
          </w:tcPr>
          <w:p w14:paraId="11C12063">
            <w:pPr>
              <w:pStyle w:val="6"/>
              <w:spacing w:before="81" w:line="230" w:lineRule="auto"/>
              <w:ind w:left="116"/>
              <w:rPr>
                <w:sz w:val="18"/>
                <w:szCs w:val="18"/>
              </w:rPr>
            </w:pPr>
            <w:r>
              <w:rPr>
                <w:spacing w:val="-2"/>
                <w:sz w:val="18"/>
                <w:szCs w:val="18"/>
              </w:rPr>
              <w:t>0.003L</w:t>
            </w:r>
          </w:p>
        </w:tc>
        <w:tc>
          <w:tcPr>
            <w:tcW w:w="455" w:type="dxa"/>
            <w:vAlign w:val="top"/>
          </w:tcPr>
          <w:p w14:paraId="54C51208">
            <w:pPr>
              <w:pStyle w:val="6"/>
              <w:spacing w:before="81" w:line="230" w:lineRule="auto"/>
              <w:ind w:left="27"/>
              <w:rPr>
                <w:sz w:val="18"/>
                <w:szCs w:val="18"/>
              </w:rPr>
            </w:pPr>
            <w:r>
              <w:rPr>
                <w:spacing w:val="-2"/>
                <w:sz w:val="18"/>
                <w:szCs w:val="18"/>
              </w:rPr>
              <w:t>0.147</w:t>
            </w:r>
          </w:p>
        </w:tc>
        <w:tc>
          <w:tcPr>
            <w:tcW w:w="579" w:type="dxa"/>
            <w:vAlign w:val="top"/>
          </w:tcPr>
          <w:p w14:paraId="156A55FD">
            <w:pPr>
              <w:pStyle w:val="6"/>
              <w:spacing w:before="81" w:line="230" w:lineRule="auto"/>
              <w:ind w:left="136"/>
              <w:rPr>
                <w:sz w:val="18"/>
                <w:szCs w:val="18"/>
              </w:rPr>
            </w:pPr>
            <w:r>
              <w:rPr>
                <w:spacing w:val="-2"/>
                <w:sz w:val="18"/>
                <w:szCs w:val="18"/>
              </w:rPr>
              <w:t>0.06</w:t>
            </w:r>
          </w:p>
        </w:tc>
        <w:tc>
          <w:tcPr>
            <w:tcW w:w="623" w:type="dxa"/>
            <w:vAlign w:val="top"/>
          </w:tcPr>
          <w:p w14:paraId="7B73B3B2">
            <w:pPr>
              <w:pStyle w:val="6"/>
              <w:spacing w:before="81" w:line="230" w:lineRule="auto"/>
              <w:ind w:left="58"/>
              <w:rPr>
                <w:sz w:val="18"/>
                <w:szCs w:val="18"/>
              </w:rPr>
            </w:pPr>
            <w:r>
              <w:rPr>
                <w:spacing w:val="-2"/>
                <w:sz w:val="18"/>
                <w:szCs w:val="18"/>
              </w:rPr>
              <w:t>0.004L</w:t>
            </w:r>
          </w:p>
        </w:tc>
        <w:tc>
          <w:tcPr>
            <w:tcW w:w="737" w:type="dxa"/>
            <w:vAlign w:val="top"/>
          </w:tcPr>
          <w:p w14:paraId="0BC699E0">
            <w:pPr>
              <w:pStyle w:val="6"/>
              <w:spacing w:before="81" w:line="230" w:lineRule="auto"/>
              <w:ind w:left="25"/>
              <w:rPr>
                <w:sz w:val="18"/>
                <w:szCs w:val="18"/>
              </w:rPr>
            </w:pPr>
            <w:r>
              <w:rPr>
                <w:spacing w:val="-1"/>
                <w:sz w:val="18"/>
                <w:szCs w:val="18"/>
              </w:rPr>
              <w:t>0.00004L</w:t>
            </w:r>
          </w:p>
        </w:tc>
        <w:tc>
          <w:tcPr>
            <w:tcW w:w="577" w:type="dxa"/>
            <w:vAlign w:val="top"/>
          </w:tcPr>
          <w:p w14:paraId="75731059">
            <w:pPr>
              <w:pStyle w:val="6"/>
              <w:spacing w:before="81" w:line="230" w:lineRule="auto"/>
              <w:ind w:left="48"/>
              <w:rPr>
                <w:sz w:val="18"/>
                <w:szCs w:val="18"/>
              </w:rPr>
            </w:pPr>
            <w:r>
              <w:rPr>
                <w:spacing w:val="-2"/>
                <w:sz w:val="18"/>
                <w:szCs w:val="18"/>
              </w:rPr>
              <w:t>0.0007</w:t>
            </w:r>
          </w:p>
        </w:tc>
        <w:tc>
          <w:tcPr>
            <w:tcW w:w="708" w:type="dxa"/>
            <w:vAlign w:val="top"/>
          </w:tcPr>
          <w:p w14:paraId="775F12EA">
            <w:pPr>
              <w:pStyle w:val="6"/>
              <w:spacing w:before="81" w:line="230" w:lineRule="auto"/>
              <w:ind w:left="60"/>
              <w:rPr>
                <w:sz w:val="18"/>
                <w:szCs w:val="18"/>
              </w:rPr>
            </w:pPr>
            <w:r>
              <w:rPr>
                <w:spacing w:val="-1"/>
                <w:sz w:val="18"/>
                <w:szCs w:val="18"/>
              </w:rPr>
              <w:t>0.0004L</w:t>
            </w:r>
          </w:p>
        </w:tc>
        <w:tc>
          <w:tcPr>
            <w:tcW w:w="567" w:type="dxa"/>
            <w:vAlign w:val="top"/>
          </w:tcPr>
          <w:p w14:paraId="31334659">
            <w:pPr>
              <w:pStyle w:val="6"/>
              <w:spacing w:before="81" w:line="230" w:lineRule="auto"/>
              <w:ind w:left="35"/>
              <w:rPr>
                <w:sz w:val="18"/>
                <w:szCs w:val="18"/>
              </w:rPr>
            </w:pPr>
            <w:r>
              <w:rPr>
                <w:spacing w:val="-2"/>
                <w:sz w:val="18"/>
                <w:szCs w:val="18"/>
              </w:rPr>
              <w:t>0.001L</w:t>
            </w:r>
          </w:p>
        </w:tc>
        <w:tc>
          <w:tcPr>
            <w:tcW w:w="566" w:type="dxa"/>
            <w:vAlign w:val="top"/>
          </w:tcPr>
          <w:p w14:paraId="2932FB00">
            <w:pPr>
              <w:pStyle w:val="6"/>
              <w:spacing w:before="81" w:line="230" w:lineRule="auto"/>
              <w:ind w:left="34"/>
              <w:rPr>
                <w:sz w:val="18"/>
                <w:szCs w:val="18"/>
              </w:rPr>
            </w:pPr>
            <w:r>
              <w:rPr>
                <w:spacing w:val="-2"/>
                <w:sz w:val="18"/>
                <w:szCs w:val="18"/>
              </w:rPr>
              <w:t>0.004L</w:t>
            </w:r>
          </w:p>
        </w:tc>
        <w:tc>
          <w:tcPr>
            <w:tcW w:w="567" w:type="dxa"/>
            <w:vAlign w:val="top"/>
          </w:tcPr>
          <w:p w14:paraId="7203EC3A">
            <w:pPr>
              <w:pStyle w:val="6"/>
              <w:spacing w:before="81" w:line="230" w:lineRule="auto"/>
              <w:ind w:left="81"/>
              <w:rPr>
                <w:sz w:val="18"/>
                <w:szCs w:val="18"/>
              </w:rPr>
            </w:pPr>
            <w:r>
              <w:rPr>
                <w:spacing w:val="-2"/>
                <w:sz w:val="18"/>
                <w:szCs w:val="18"/>
              </w:rPr>
              <w:t>0.01L</w:t>
            </w:r>
          </w:p>
        </w:tc>
        <w:tc>
          <w:tcPr>
            <w:tcW w:w="708" w:type="dxa"/>
            <w:vAlign w:val="top"/>
          </w:tcPr>
          <w:p w14:paraId="2863A165">
            <w:pPr>
              <w:pStyle w:val="6"/>
              <w:spacing w:before="81" w:line="230" w:lineRule="auto"/>
              <w:ind w:left="106"/>
              <w:rPr>
                <w:sz w:val="18"/>
                <w:szCs w:val="18"/>
              </w:rPr>
            </w:pPr>
            <w:r>
              <w:rPr>
                <w:spacing w:val="-2"/>
                <w:sz w:val="18"/>
                <w:szCs w:val="18"/>
              </w:rPr>
              <w:t>0.009L</w:t>
            </w:r>
          </w:p>
        </w:tc>
        <w:tc>
          <w:tcPr>
            <w:tcW w:w="566" w:type="dxa"/>
            <w:vAlign w:val="top"/>
          </w:tcPr>
          <w:p w14:paraId="68FD6186">
            <w:pPr>
              <w:pStyle w:val="6"/>
              <w:spacing w:before="159" w:line="86" w:lineRule="exact"/>
              <w:ind w:left="236"/>
              <w:rPr>
                <w:sz w:val="18"/>
                <w:szCs w:val="18"/>
              </w:rPr>
            </w:pPr>
            <w:r>
              <w:rPr>
                <w:spacing w:val="-2"/>
                <w:position w:val="-5"/>
                <w:sz w:val="18"/>
                <w:szCs w:val="18"/>
              </w:rPr>
              <w:t>--</w:t>
            </w:r>
          </w:p>
        </w:tc>
        <w:tc>
          <w:tcPr>
            <w:tcW w:w="579" w:type="dxa"/>
            <w:vAlign w:val="top"/>
          </w:tcPr>
          <w:p w14:paraId="4A694BFD">
            <w:pPr>
              <w:pStyle w:val="6"/>
              <w:spacing w:before="81" w:line="230" w:lineRule="auto"/>
              <w:ind w:left="162"/>
              <w:rPr>
                <w:sz w:val="18"/>
                <w:szCs w:val="18"/>
              </w:rPr>
            </w:pPr>
            <w:r>
              <w:rPr>
                <w:spacing w:val="-1"/>
                <w:sz w:val="18"/>
                <w:szCs w:val="18"/>
              </w:rPr>
              <w:t>422</w:t>
            </w:r>
          </w:p>
        </w:tc>
        <w:tc>
          <w:tcPr>
            <w:tcW w:w="411" w:type="dxa"/>
            <w:vAlign w:val="top"/>
          </w:tcPr>
          <w:p w14:paraId="5BD3B4F4">
            <w:pPr>
              <w:pStyle w:val="6"/>
              <w:spacing w:before="81" w:line="230" w:lineRule="auto"/>
              <w:ind w:left="51"/>
              <w:rPr>
                <w:sz w:val="18"/>
                <w:szCs w:val="18"/>
              </w:rPr>
            </w:pPr>
            <w:r>
              <w:rPr>
                <w:spacing w:val="-2"/>
                <w:sz w:val="18"/>
                <w:szCs w:val="18"/>
              </w:rPr>
              <w:t>0.5L</w:t>
            </w:r>
          </w:p>
        </w:tc>
        <w:tc>
          <w:tcPr>
            <w:tcW w:w="428" w:type="dxa"/>
            <w:vAlign w:val="top"/>
          </w:tcPr>
          <w:p w14:paraId="56CAFEF6">
            <w:pPr>
              <w:pStyle w:val="6"/>
              <w:spacing w:before="81" w:line="230" w:lineRule="auto"/>
              <w:ind w:left="84"/>
              <w:rPr>
                <w:sz w:val="18"/>
                <w:szCs w:val="18"/>
              </w:rPr>
            </w:pPr>
            <w:r>
              <w:rPr>
                <w:spacing w:val="-6"/>
                <w:sz w:val="18"/>
                <w:szCs w:val="18"/>
              </w:rPr>
              <w:t>18.3</w:t>
            </w:r>
          </w:p>
        </w:tc>
        <w:tc>
          <w:tcPr>
            <w:tcW w:w="427" w:type="dxa"/>
            <w:vAlign w:val="top"/>
          </w:tcPr>
          <w:p w14:paraId="0540DC19">
            <w:pPr>
              <w:pStyle w:val="6"/>
              <w:spacing w:before="81" w:line="230" w:lineRule="auto"/>
              <w:ind w:left="85"/>
              <w:rPr>
                <w:sz w:val="18"/>
                <w:szCs w:val="18"/>
              </w:rPr>
            </w:pPr>
            <w:r>
              <w:rPr>
                <w:spacing w:val="-6"/>
                <w:sz w:val="18"/>
                <w:szCs w:val="18"/>
              </w:rPr>
              <w:t>14.0</w:t>
            </w:r>
          </w:p>
        </w:tc>
        <w:tc>
          <w:tcPr>
            <w:tcW w:w="341" w:type="dxa"/>
            <w:vAlign w:val="top"/>
          </w:tcPr>
          <w:p w14:paraId="5213A595">
            <w:pPr>
              <w:pStyle w:val="6"/>
              <w:spacing w:before="81" w:line="230" w:lineRule="auto"/>
              <w:jc w:val="right"/>
              <w:rPr>
                <w:sz w:val="18"/>
                <w:szCs w:val="18"/>
              </w:rPr>
            </w:pPr>
            <w:r>
              <w:rPr>
                <w:spacing w:val="-3"/>
                <w:sz w:val="18"/>
                <w:szCs w:val="18"/>
              </w:rPr>
              <w:t>48.4</w:t>
            </w:r>
          </w:p>
        </w:tc>
        <w:tc>
          <w:tcPr>
            <w:tcW w:w="361" w:type="dxa"/>
            <w:tcBorders>
              <w:right w:val="single" w:color="000000" w:sz="12" w:space="0"/>
            </w:tcBorders>
            <w:vAlign w:val="top"/>
          </w:tcPr>
          <w:p w14:paraId="17FE0875">
            <w:pPr>
              <w:pStyle w:val="6"/>
              <w:spacing w:before="81" w:line="230" w:lineRule="auto"/>
              <w:ind w:right="3"/>
              <w:jc w:val="right"/>
              <w:rPr>
                <w:sz w:val="18"/>
                <w:szCs w:val="18"/>
              </w:rPr>
            </w:pPr>
            <w:r>
              <w:rPr>
                <w:spacing w:val="-6"/>
                <w:sz w:val="18"/>
                <w:szCs w:val="18"/>
              </w:rPr>
              <w:t>13.8</w:t>
            </w:r>
          </w:p>
        </w:tc>
      </w:tr>
      <w:tr w14:paraId="6AAA8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161AD543">
            <w:pPr>
              <w:rPr>
                <w:rFonts w:ascii="Arial"/>
                <w:sz w:val="21"/>
              </w:rPr>
            </w:pPr>
          </w:p>
        </w:tc>
        <w:tc>
          <w:tcPr>
            <w:tcW w:w="284" w:type="dxa"/>
            <w:vMerge w:val="continue"/>
            <w:tcBorders>
              <w:top w:val="nil"/>
            </w:tcBorders>
            <w:vAlign w:val="top"/>
          </w:tcPr>
          <w:p w14:paraId="47304748">
            <w:pPr>
              <w:rPr>
                <w:rFonts w:ascii="Arial"/>
                <w:sz w:val="21"/>
              </w:rPr>
            </w:pPr>
          </w:p>
        </w:tc>
        <w:tc>
          <w:tcPr>
            <w:tcW w:w="1249" w:type="dxa"/>
            <w:vAlign w:val="top"/>
          </w:tcPr>
          <w:p w14:paraId="5B4C7525">
            <w:pPr>
              <w:pStyle w:val="6"/>
              <w:spacing w:before="83" w:line="230" w:lineRule="auto"/>
              <w:ind w:left="288"/>
              <w:rPr>
                <w:sz w:val="18"/>
                <w:szCs w:val="18"/>
              </w:rPr>
            </w:pPr>
            <w:r>
              <w:rPr>
                <w:spacing w:val="-1"/>
                <w:sz w:val="18"/>
                <w:szCs w:val="18"/>
              </w:rPr>
              <w:t>2021/6/5</w:t>
            </w:r>
          </w:p>
        </w:tc>
        <w:tc>
          <w:tcPr>
            <w:tcW w:w="733" w:type="dxa"/>
            <w:vAlign w:val="top"/>
          </w:tcPr>
          <w:p w14:paraId="7C697F1E">
            <w:pPr>
              <w:pStyle w:val="6"/>
              <w:spacing w:before="83" w:line="230" w:lineRule="auto"/>
              <w:ind w:left="244"/>
              <w:rPr>
                <w:sz w:val="18"/>
                <w:szCs w:val="18"/>
              </w:rPr>
            </w:pPr>
            <w:r>
              <w:rPr>
                <w:spacing w:val="-3"/>
                <w:sz w:val="18"/>
                <w:szCs w:val="18"/>
              </w:rPr>
              <w:t>7.6</w:t>
            </w:r>
          </w:p>
        </w:tc>
        <w:tc>
          <w:tcPr>
            <w:tcW w:w="565" w:type="dxa"/>
            <w:vAlign w:val="top"/>
          </w:tcPr>
          <w:p w14:paraId="2860E108">
            <w:pPr>
              <w:pStyle w:val="6"/>
              <w:spacing w:before="83" w:line="230" w:lineRule="auto"/>
              <w:ind w:left="134"/>
              <w:rPr>
                <w:sz w:val="18"/>
                <w:szCs w:val="18"/>
              </w:rPr>
            </w:pPr>
            <w:r>
              <w:rPr>
                <w:spacing w:val="-1"/>
                <w:sz w:val="18"/>
                <w:szCs w:val="18"/>
              </w:rPr>
              <w:t>236</w:t>
            </w:r>
          </w:p>
        </w:tc>
        <w:tc>
          <w:tcPr>
            <w:tcW w:w="708" w:type="dxa"/>
            <w:vAlign w:val="top"/>
          </w:tcPr>
          <w:p w14:paraId="677ED7D0">
            <w:pPr>
              <w:pStyle w:val="6"/>
              <w:spacing w:before="83" w:line="230" w:lineRule="auto"/>
              <w:ind w:left="211"/>
              <w:rPr>
                <w:sz w:val="18"/>
                <w:szCs w:val="18"/>
              </w:rPr>
            </w:pPr>
            <w:r>
              <w:rPr>
                <w:spacing w:val="-2"/>
                <w:sz w:val="18"/>
                <w:szCs w:val="18"/>
              </w:rPr>
              <w:t>391</w:t>
            </w:r>
          </w:p>
        </w:tc>
        <w:tc>
          <w:tcPr>
            <w:tcW w:w="567" w:type="dxa"/>
            <w:vAlign w:val="top"/>
          </w:tcPr>
          <w:p w14:paraId="72C583F1">
            <w:pPr>
              <w:pStyle w:val="6"/>
              <w:spacing w:before="83" w:line="230" w:lineRule="auto"/>
              <w:ind w:left="187"/>
              <w:rPr>
                <w:sz w:val="18"/>
                <w:szCs w:val="18"/>
              </w:rPr>
            </w:pPr>
            <w:r>
              <w:rPr>
                <w:spacing w:val="-2"/>
                <w:sz w:val="18"/>
                <w:szCs w:val="18"/>
              </w:rPr>
              <w:t>71</w:t>
            </w:r>
          </w:p>
        </w:tc>
        <w:tc>
          <w:tcPr>
            <w:tcW w:w="566" w:type="dxa"/>
            <w:vAlign w:val="top"/>
          </w:tcPr>
          <w:p w14:paraId="4456324D">
            <w:pPr>
              <w:pStyle w:val="6"/>
              <w:spacing w:before="86" w:line="186" w:lineRule="auto"/>
              <w:ind w:left="145"/>
              <w:rPr>
                <w:sz w:val="18"/>
                <w:szCs w:val="18"/>
              </w:rPr>
            </w:pPr>
            <w:r>
              <w:rPr>
                <w:spacing w:val="-5"/>
                <w:sz w:val="18"/>
                <w:szCs w:val="18"/>
              </w:rPr>
              <w:t>10L</w:t>
            </w:r>
          </w:p>
        </w:tc>
        <w:tc>
          <w:tcPr>
            <w:tcW w:w="567" w:type="dxa"/>
            <w:vAlign w:val="top"/>
          </w:tcPr>
          <w:p w14:paraId="7FE28551">
            <w:pPr>
              <w:pStyle w:val="6"/>
              <w:spacing w:before="83" w:line="230" w:lineRule="auto"/>
              <w:ind w:left="65"/>
              <w:rPr>
                <w:sz w:val="18"/>
                <w:szCs w:val="18"/>
              </w:rPr>
            </w:pPr>
            <w:r>
              <w:rPr>
                <w:spacing w:val="-2"/>
                <w:sz w:val="18"/>
                <w:szCs w:val="18"/>
              </w:rPr>
              <w:t>0.01L</w:t>
            </w:r>
          </w:p>
        </w:tc>
        <w:tc>
          <w:tcPr>
            <w:tcW w:w="557" w:type="dxa"/>
            <w:vAlign w:val="top"/>
          </w:tcPr>
          <w:p w14:paraId="07C7D2FA">
            <w:pPr>
              <w:pStyle w:val="6"/>
              <w:spacing w:before="83" w:line="230" w:lineRule="auto"/>
              <w:ind w:left="60"/>
              <w:rPr>
                <w:sz w:val="18"/>
                <w:szCs w:val="18"/>
              </w:rPr>
            </w:pPr>
            <w:r>
              <w:rPr>
                <w:spacing w:val="-2"/>
                <w:sz w:val="18"/>
                <w:szCs w:val="18"/>
              </w:rPr>
              <w:t>0.01L</w:t>
            </w:r>
          </w:p>
        </w:tc>
        <w:tc>
          <w:tcPr>
            <w:tcW w:w="715" w:type="dxa"/>
            <w:vAlign w:val="top"/>
          </w:tcPr>
          <w:p w14:paraId="68B56736">
            <w:pPr>
              <w:pStyle w:val="6"/>
              <w:spacing w:before="83" w:line="230" w:lineRule="auto"/>
              <w:ind w:left="140"/>
              <w:rPr>
                <w:sz w:val="18"/>
                <w:szCs w:val="18"/>
              </w:rPr>
            </w:pPr>
            <w:r>
              <w:rPr>
                <w:spacing w:val="-2"/>
                <w:sz w:val="18"/>
                <w:szCs w:val="18"/>
              </w:rPr>
              <w:t>0.04L</w:t>
            </w:r>
          </w:p>
        </w:tc>
        <w:tc>
          <w:tcPr>
            <w:tcW w:w="567" w:type="dxa"/>
            <w:vAlign w:val="top"/>
          </w:tcPr>
          <w:p w14:paraId="5EBE9792">
            <w:pPr>
              <w:pStyle w:val="6"/>
              <w:spacing w:before="83" w:line="230" w:lineRule="auto"/>
              <w:ind w:left="78"/>
              <w:rPr>
                <w:sz w:val="18"/>
                <w:szCs w:val="18"/>
              </w:rPr>
            </w:pPr>
            <w:r>
              <w:rPr>
                <w:spacing w:val="-2"/>
                <w:sz w:val="18"/>
                <w:szCs w:val="18"/>
              </w:rPr>
              <w:t>0.164</w:t>
            </w:r>
          </w:p>
        </w:tc>
        <w:tc>
          <w:tcPr>
            <w:tcW w:w="708" w:type="dxa"/>
            <w:vAlign w:val="top"/>
          </w:tcPr>
          <w:p w14:paraId="5FCC7906">
            <w:pPr>
              <w:pStyle w:val="6"/>
              <w:spacing w:before="83" w:line="230" w:lineRule="auto"/>
              <w:ind w:left="48"/>
              <w:rPr>
                <w:sz w:val="18"/>
                <w:szCs w:val="18"/>
              </w:rPr>
            </w:pPr>
            <w:r>
              <w:rPr>
                <w:spacing w:val="-1"/>
                <w:sz w:val="18"/>
                <w:szCs w:val="18"/>
              </w:rPr>
              <w:t>0.0003L</w:t>
            </w:r>
          </w:p>
        </w:tc>
        <w:tc>
          <w:tcPr>
            <w:tcW w:w="851" w:type="dxa"/>
            <w:vAlign w:val="top"/>
          </w:tcPr>
          <w:p w14:paraId="66E43BEA">
            <w:pPr>
              <w:pStyle w:val="6"/>
              <w:spacing w:before="83" w:line="230" w:lineRule="auto"/>
              <w:ind w:left="211"/>
              <w:rPr>
                <w:sz w:val="18"/>
                <w:szCs w:val="18"/>
              </w:rPr>
            </w:pPr>
            <w:r>
              <w:rPr>
                <w:spacing w:val="-2"/>
                <w:sz w:val="18"/>
                <w:szCs w:val="18"/>
              </w:rPr>
              <w:t>0.05L</w:t>
            </w:r>
          </w:p>
        </w:tc>
        <w:tc>
          <w:tcPr>
            <w:tcW w:w="566" w:type="dxa"/>
            <w:vAlign w:val="top"/>
          </w:tcPr>
          <w:p w14:paraId="5C9D0300">
            <w:pPr>
              <w:pStyle w:val="6"/>
              <w:spacing w:before="83" w:line="230" w:lineRule="auto"/>
              <w:ind w:left="125"/>
              <w:rPr>
                <w:sz w:val="18"/>
                <w:szCs w:val="18"/>
              </w:rPr>
            </w:pPr>
            <w:r>
              <w:rPr>
                <w:spacing w:val="-2"/>
                <w:sz w:val="18"/>
                <w:szCs w:val="18"/>
              </w:rPr>
              <w:t>0.02</w:t>
            </w:r>
          </w:p>
        </w:tc>
        <w:tc>
          <w:tcPr>
            <w:tcW w:w="672" w:type="dxa"/>
            <w:vAlign w:val="top"/>
          </w:tcPr>
          <w:p w14:paraId="4AE022B1">
            <w:pPr>
              <w:pStyle w:val="6"/>
              <w:spacing w:before="83" w:line="230" w:lineRule="auto"/>
              <w:ind w:left="178"/>
              <w:rPr>
                <w:sz w:val="18"/>
                <w:szCs w:val="18"/>
              </w:rPr>
            </w:pPr>
            <w:r>
              <w:rPr>
                <w:spacing w:val="-2"/>
                <w:sz w:val="18"/>
                <w:szCs w:val="18"/>
              </w:rPr>
              <w:t>0.59</w:t>
            </w:r>
          </w:p>
        </w:tc>
        <w:tc>
          <w:tcPr>
            <w:tcW w:w="745" w:type="dxa"/>
            <w:vAlign w:val="top"/>
          </w:tcPr>
          <w:p w14:paraId="3ACCCC39">
            <w:pPr>
              <w:pStyle w:val="6"/>
              <w:spacing w:before="83" w:line="230" w:lineRule="auto"/>
              <w:ind w:left="116"/>
              <w:rPr>
                <w:sz w:val="18"/>
                <w:szCs w:val="18"/>
              </w:rPr>
            </w:pPr>
            <w:r>
              <w:rPr>
                <w:spacing w:val="-2"/>
                <w:sz w:val="18"/>
                <w:szCs w:val="18"/>
              </w:rPr>
              <w:t>0.003L</w:t>
            </w:r>
          </w:p>
        </w:tc>
        <w:tc>
          <w:tcPr>
            <w:tcW w:w="455" w:type="dxa"/>
            <w:vAlign w:val="top"/>
          </w:tcPr>
          <w:p w14:paraId="4FA4F1B8">
            <w:pPr>
              <w:pStyle w:val="6"/>
              <w:spacing w:before="83" w:line="230" w:lineRule="auto"/>
              <w:ind w:left="27"/>
              <w:rPr>
                <w:sz w:val="18"/>
                <w:szCs w:val="18"/>
              </w:rPr>
            </w:pPr>
            <w:r>
              <w:rPr>
                <w:spacing w:val="-2"/>
                <w:sz w:val="18"/>
                <w:szCs w:val="18"/>
              </w:rPr>
              <w:t>0.164</w:t>
            </w:r>
          </w:p>
        </w:tc>
        <w:tc>
          <w:tcPr>
            <w:tcW w:w="579" w:type="dxa"/>
            <w:vAlign w:val="top"/>
          </w:tcPr>
          <w:p w14:paraId="7280B570">
            <w:pPr>
              <w:pStyle w:val="6"/>
              <w:spacing w:before="83" w:line="230" w:lineRule="auto"/>
              <w:ind w:left="136"/>
              <w:rPr>
                <w:sz w:val="18"/>
                <w:szCs w:val="18"/>
              </w:rPr>
            </w:pPr>
            <w:r>
              <w:rPr>
                <w:spacing w:val="-2"/>
                <w:sz w:val="18"/>
                <w:szCs w:val="18"/>
              </w:rPr>
              <w:t>0.05</w:t>
            </w:r>
          </w:p>
        </w:tc>
        <w:tc>
          <w:tcPr>
            <w:tcW w:w="623" w:type="dxa"/>
            <w:vAlign w:val="top"/>
          </w:tcPr>
          <w:p w14:paraId="4901B948">
            <w:pPr>
              <w:pStyle w:val="6"/>
              <w:spacing w:before="83" w:line="230" w:lineRule="auto"/>
              <w:ind w:left="58"/>
              <w:rPr>
                <w:sz w:val="18"/>
                <w:szCs w:val="18"/>
              </w:rPr>
            </w:pPr>
            <w:r>
              <w:rPr>
                <w:spacing w:val="-2"/>
                <w:sz w:val="18"/>
                <w:szCs w:val="18"/>
              </w:rPr>
              <w:t>0.004L</w:t>
            </w:r>
          </w:p>
        </w:tc>
        <w:tc>
          <w:tcPr>
            <w:tcW w:w="737" w:type="dxa"/>
            <w:vAlign w:val="top"/>
          </w:tcPr>
          <w:p w14:paraId="4CB8AC38">
            <w:pPr>
              <w:pStyle w:val="6"/>
              <w:spacing w:before="83" w:line="230" w:lineRule="auto"/>
              <w:ind w:left="25"/>
              <w:rPr>
                <w:sz w:val="18"/>
                <w:szCs w:val="18"/>
              </w:rPr>
            </w:pPr>
            <w:r>
              <w:rPr>
                <w:spacing w:val="-1"/>
                <w:sz w:val="18"/>
                <w:szCs w:val="18"/>
              </w:rPr>
              <w:t>0.00004L</w:t>
            </w:r>
          </w:p>
        </w:tc>
        <w:tc>
          <w:tcPr>
            <w:tcW w:w="577" w:type="dxa"/>
            <w:vAlign w:val="top"/>
          </w:tcPr>
          <w:p w14:paraId="34E12D80">
            <w:pPr>
              <w:pStyle w:val="6"/>
              <w:spacing w:before="83" w:line="230" w:lineRule="auto"/>
              <w:ind w:left="48"/>
              <w:rPr>
                <w:sz w:val="18"/>
                <w:szCs w:val="18"/>
              </w:rPr>
            </w:pPr>
            <w:r>
              <w:rPr>
                <w:spacing w:val="-2"/>
                <w:sz w:val="18"/>
                <w:szCs w:val="18"/>
              </w:rPr>
              <w:t>0.0007</w:t>
            </w:r>
          </w:p>
        </w:tc>
        <w:tc>
          <w:tcPr>
            <w:tcW w:w="708" w:type="dxa"/>
            <w:vAlign w:val="top"/>
          </w:tcPr>
          <w:p w14:paraId="3C31539B">
            <w:pPr>
              <w:pStyle w:val="6"/>
              <w:spacing w:before="83" w:line="230" w:lineRule="auto"/>
              <w:ind w:left="60"/>
              <w:rPr>
                <w:sz w:val="18"/>
                <w:szCs w:val="18"/>
              </w:rPr>
            </w:pPr>
            <w:r>
              <w:rPr>
                <w:spacing w:val="-1"/>
                <w:sz w:val="18"/>
                <w:szCs w:val="18"/>
              </w:rPr>
              <w:t>0.0004L</w:t>
            </w:r>
          </w:p>
        </w:tc>
        <w:tc>
          <w:tcPr>
            <w:tcW w:w="567" w:type="dxa"/>
            <w:vAlign w:val="top"/>
          </w:tcPr>
          <w:p w14:paraId="55E685EA">
            <w:pPr>
              <w:pStyle w:val="6"/>
              <w:spacing w:before="83" w:line="230" w:lineRule="auto"/>
              <w:ind w:left="35"/>
              <w:rPr>
                <w:sz w:val="18"/>
                <w:szCs w:val="18"/>
              </w:rPr>
            </w:pPr>
            <w:r>
              <w:rPr>
                <w:spacing w:val="-2"/>
                <w:sz w:val="18"/>
                <w:szCs w:val="18"/>
              </w:rPr>
              <w:t>0.001L</w:t>
            </w:r>
          </w:p>
        </w:tc>
        <w:tc>
          <w:tcPr>
            <w:tcW w:w="566" w:type="dxa"/>
            <w:vAlign w:val="top"/>
          </w:tcPr>
          <w:p w14:paraId="26B54419">
            <w:pPr>
              <w:pStyle w:val="6"/>
              <w:spacing w:before="83" w:line="230" w:lineRule="auto"/>
              <w:ind w:left="34"/>
              <w:rPr>
                <w:sz w:val="18"/>
                <w:szCs w:val="18"/>
              </w:rPr>
            </w:pPr>
            <w:r>
              <w:rPr>
                <w:spacing w:val="-2"/>
                <w:sz w:val="18"/>
                <w:szCs w:val="18"/>
              </w:rPr>
              <w:t>0.004L</w:t>
            </w:r>
          </w:p>
        </w:tc>
        <w:tc>
          <w:tcPr>
            <w:tcW w:w="567" w:type="dxa"/>
            <w:vAlign w:val="top"/>
          </w:tcPr>
          <w:p w14:paraId="3565D823">
            <w:pPr>
              <w:pStyle w:val="6"/>
              <w:spacing w:before="83" w:line="230" w:lineRule="auto"/>
              <w:ind w:left="81"/>
              <w:rPr>
                <w:sz w:val="18"/>
                <w:szCs w:val="18"/>
              </w:rPr>
            </w:pPr>
            <w:r>
              <w:rPr>
                <w:spacing w:val="-2"/>
                <w:sz w:val="18"/>
                <w:szCs w:val="18"/>
              </w:rPr>
              <w:t>0.01L</w:t>
            </w:r>
          </w:p>
        </w:tc>
        <w:tc>
          <w:tcPr>
            <w:tcW w:w="708" w:type="dxa"/>
            <w:vAlign w:val="top"/>
          </w:tcPr>
          <w:p w14:paraId="302F3D91">
            <w:pPr>
              <w:pStyle w:val="6"/>
              <w:spacing w:before="83" w:line="230" w:lineRule="auto"/>
              <w:ind w:left="106"/>
              <w:rPr>
                <w:sz w:val="18"/>
                <w:szCs w:val="18"/>
              </w:rPr>
            </w:pPr>
            <w:r>
              <w:rPr>
                <w:spacing w:val="-2"/>
                <w:sz w:val="18"/>
                <w:szCs w:val="18"/>
              </w:rPr>
              <w:t>0.009L</w:t>
            </w:r>
          </w:p>
        </w:tc>
        <w:tc>
          <w:tcPr>
            <w:tcW w:w="566" w:type="dxa"/>
            <w:vAlign w:val="top"/>
          </w:tcPr>
          <w:p w14:paraId="10906BF3">
            <w:pPr>
              <w:pStyle w:val="6"/>
              <w:spacing w:before="161" w:line="86" w:lineRule="exact"/>
              <w:ind w:left="236"/>
              <w:rPr>
                <w:sz w:val="18"/>
                <w:szCs w:val="18"/>
              </w:rPr>
            </w:pPr>
            <w:r>
              <w:rPr>
                <w:spacing w:val="-2"/>
                <w:position w:val="-5"/>
                <w:sz w:val="18"/>
                <w:szCs w:val="18"/>
              </w:rPr>
              <w:t>--</w:t>
            </w:r>
          </w:p>
        </w:tc>
        <w:tc>
          <w:tcPr>
            <w:tcW w:w="579" w:type="dxa"/>
            <w:vAlign w:val="top"/>
          </w:tcPr>
          <w:p w14:paraId="53C66CD6">
            <w:pPr>
              <w:pStyle w:val="6"/>
              <w:spacing w:before="83" w:line="230" w:lineRule="auto"/>
              <w:ind w:left="162"/>
              <w:rPr>
                <w:sz w:val="18"/>
                <w:szCs w:val="18"/>
              </w:rPr>
            </w:pPr>
            <w:r>
              <w:rPr>
                <w:spacing w:val="-1"/>
                <w:sz w:val="18"/>
                <w:szCs w:val="18"/>
              </w:rPr>
              <w:t>419</w:t>
            </w:r>
          </w:p>
        </w:tc>
        <w:tc>
          <w:tcPr>
            <w:tcW w:w="411" w:type="dxa"/>
            <w:vAlign w:val="top"/>
          </w:tcPr>
          <w:p w14:paraId="50BDC85D">
            <w:pPr>
              <w:pStyle w:val="6"/>
              <w:spacing w:before="83" w:line="230" w:lineRule="auto"/>
              <w:ind w:left="51"/>
              <w:rPr>
                <w:sz w:val="18"/>
                <w:szCs w:val="18"/>
              </w:rPr>
            </w:pPr>
            <w:r>
              <w:rPr>
                <w:spacing w:val="-2"/>
                <w:sz w:val="18"/>
                <w:szCs w:val="18"/>
              </w:rPr>
              <w:t>0.5L</w:t>
            </w:r>
          </w:p>
        </w:tc>
        <w:tc>
          <w:tcPr>
            <w:tcW w:w="428" w:type="dxa"/>
            <w:vAlign w:val="top"/>
          </w:tcPr>
          <w:p w14:paraId="3856502B">
            <w:pPr>
              <w:pStyle w:val="6"/>
              <w:spacing w:before="83" w:line="230" w:lineRule="auto"/>
              <w:ind w:left="84"/>
              <w:rPr>
                <w:sz w:val="18"/>
                <w:szCs w:val="18"/>
              </w:rPr>
            </w:pPr>
            <w:r>
              <w:rPr>
                <w:spacing w:val="-6"/>
                <w:sz w:val="18"/>
                <w:szCs w:val="18"/>
              </w:rPr>
              <w:t>19.5</w:t>
            </w:r>
          </w:p>
        </w:tc>
        <w:tc>
          <w:tcPr>
            <w:tcW w:w="427" w:type="dxa"/>
            <w:vAlign w:val="top"/>
          </w:tcPr>
          <w:p w14:paraId="3CEA4982">
            <w:pPr>
              <w:pStyle w:val="6"/>
              <w:spacing w:before="83" w:line="230" w:lineRule="auto"/>
              <w:ind w:left="85"/>
              <w:rPr>
                <w:sz w:val="18"/>
                <w:szCs w:val="18"/>
              </w:rPr>
            </w:pPr>
            <w:r>
              <w:rPr>
                <w:spacing w:val="-6"/>
                <w:sz w:val="18"/>
                <w:szCs w:val="18"/>
              </w:rPr>
              <w:t>13.4</w:t>
            </w:r>
          </w:p>
        </w:tc>
        <w:tc>
          <w:tcPr>
            <w:tcW w:w="341" w:type="dxa"/>
            <w:vAlign w:val="top"/>
          </w:tcPr>
          <w:p w14:paraId="53BCBAD3">
            <w:pPr>
              <w:pStyle w:val="6"/>
              <w:spacing w:before="83" w:line="230" w:lineRule="auto"/>
              <w:jc w:val="right"/>
              <w:rPr>
                <w:sz w:val="18"/>
                <w:szCs w:val="18"/>
              </w:rPr>
            </w:pPr>
            <w:r>
              <w:rPr>
                <w:spacing w:val="-3"/>
                <w:sz w:val="18"/>
                <w:szCs w:val="18"/>
              </w:rPr>
              <w:t>47.4</w:t>
            </w:r>
          </w:p>
        </w:tc>
        <w:tc>
          <w:tcPr>
            <w:tcW w:w="361" w:type="dxa"/>
            <w:tcBorders>
              <w:right w:val="single" w:color="000000" w:sz="12" w:space="0"/>
            </w:tcBorders>
            <w:vAlign w:val="top"/>
          </w:tcPr>
          <w:p w14:paraId="3C3D0E2A">
            <w:pPr>
              <w:pStyle w:val="6"/>
              <w:spacing w:before="83" w:line="230" w:lineRule="auto"/>
              <w:ind w:right="3"/>
              <w:jc w:val="right"/>
              <w:rPr>
                <w:sz w:val="18"/>
                <w:szCs w:val="18"/>
              </w:rPr>
            </w:pPr>
            <w:r>
              <w:rPr>
                <w:spacing w:val="-6"/>
                <w:sz w:val="18"/>
                <w:szCs w:val="18"/>
              </w:rPr>
              <w:t>13.8</w:t>
            </w:r>
          </w:p>
        </w:tc>
      </w:tr>
      <w:tr w14:paraId="24C47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6E050701">
            <w:pPr>
              <w:rPr>
                <w:rFonts w:ascii="Arial"/>
                <w:sz w:val="21"/>
              </w:rPr>
            </w:pPr>
          </w:p>
        </w:tc>
        <w:tc>
          <w:tcPr>
            <w:tcW w:w="284" w:type="dxa"/>
            <w:vMerge w:val="restart"/>
            <w:tcBorders>
              <w:bottom w:val="nil"/>
            </w:tcBorders>
            <w:vAlign w:val="top"/>
          </w:tcPr>
          <w:p w14:paraId="610F1A39">
            <w:pPr>
              <w:pStyle w:val="6"/>
              <w:spacing w:before="152" w:line="226" w:lineRule="auto"/>
              <w:ind w:left="83"/>
              <w:rPr>
                <w:sz w:val="18"/>
                <w:szCs w:val="18"/>
              </w:rPr>
            </w:pPr>
            <w:r>
              <w:rPr>
                <w:sz w:val="18"/>
                <w:szCs w:val="18"/>
              </w:rPr>
              <w:t>3</w:t>
            </w:r>
          </w:p>
          <w:p w14:paraId="789BD02C">
            <w:pPr>
              <w:spacing w:line="219" w:lineRule="auto"/>
              <w:ind w:left="39"/>
              <w:rPr>
                <w:rFonts w:ascii="宋体" w:hAnsi="宋体" w:eastAsia="宋体" w:cs="宋体"/>
                <w:sz w:val="18"/>
                <w:szCs w:val="18"/>
              </w:rPr>
            </w:pPr>
            <w:r>
              <w:rPr>
                <w:rFonts w:ascii="宋体" w:hAnsi="宋体" w:eastAsia="宋体" w:cs="宋体"/>
                <w:sz w:val="18"/>
                <w:szCs w:val="18"/>
              </w:rPr>
              <w:t>季</w:t>
            </w:r>
          </w:p>
          <w:p w14:paraId="6FEBC4E2">
            <w:pPr>
              <w:spacing w:before="19"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25FC5FF1">
            <w:pPr>
              <w:pStyle w:val="6"/>
              <w:spacing w:before="84" w:line="229" w:lineRule="auto"/>
              <w:ind w:left="244"/>
              <w:rPr>
                <w:sz w:val="18"/>
                <w:szCs w:val="18"/>
              </w:rPr>
            </w:pPr>
            <w:r>
              <w:rPr>
                <w:spacing w:val="-1"/>
                <w:sz w:val="18"/>
                <w:szCs w:val="18"/>
              </w:rPr>
              <w:t>2021/7/19</w:t>
            </w:r>
          </w:p>
        </w:tc>
        <w:tc>
          <w:tcPr>
            <w:tcW w:w="733" w:type="dxa"/>
            <w:vAlign w:val="top"/>
          </w:tcPr>
          <w:p w14:paraId="1899AB1B">
            <w:pPr>
              <w:pStyle w:val="6"/>
              <w:spacing w:before="84" w:line="229" w:lineRule="auto"/>
              <w:ind w:left="244"/>
              <w:rPr>
                <w:sz w:val="18"/>
                <w:szCs w:val="18"/>
              </w:rPr>
            </w:pPr>
            <w:r>
              <w:rPr>
                <w:spacing w:val="-3"/>
                <w:sz w:val="18"/>
                <w:szCs w:val="18"/>
              </w:rPr>
              <w:t>7.4</w:t>
            </w:r>
          </w:p>
        </w:tc>
        <w:tc>
          <w:tcPr>
            <w:tcW w:w="565" w:type="dxa"/>
            <w:vAlign w:val="top"/>
          </w:tcPr>
          <w:p w14:paraId="2663199C">
            <w:pPr>
              <w:pStyle w:val="6"/>
              <w:spacing w:before="84" w:line="229" w:lineRule="auto"/>
              <w:ind w:left="134"/>
              <w:rPr>
                <w:sz w:val="18"/>
                <w:szCs w:val="18"/>
              </w:rPr>
            </w:pPr>
            <w:r>
              <w:rPr>
                <w:spacing w:val="-1"/>
                <w:sz w:val="18"/>
                <w:szCs w:val="18"/>
              </w:rPr>
              <w:t>232</w:t>
            </w:r>
          </w:p>
        </w:tc>
        <w:tc>
          <w:tcPr>
            <w:tcW w:w="708" w:type="dxa"/>
            <w:vAlign w:val="top"/>
          </w:tcPr>
          <w:p w14:paraId="29E8757B">
            <w:pPr>
              <w:pStyle w:val="6"/>
              <w:spacing w:before="84" w:line="229" w:lineRule="auto"/>
              <w:ind w:left="211"/>
              <w:rPr>
                <w:sz w:val="18"/>
                <w:szCs w:val="18"/>
              </w:rPr>
            </w:pPr>
            <w:r>
              <w:rPr>
                <w:spacing w:val="-2"/>
                <w:sz w:val="18"/>
                <w:szCs w:val="18"/>
              </w:rPr>
              <w:t>320</w:t>
            </w:r>
          </w:p>
        </w:tc>
        <w:tc>
          <w:tcPr>
            <w:tcW w:w="567" w:type="dxa"/>
            <w:vAlign w:val="top"/>
          </w:tcPr>
          <w:p w14:paraId="42577421">
            <w:pPr>
              <w:pStyle w:val="6"/>
              <w:spacing w:before="84" w:line="229" w:lineRule="auto"/>
              <w:ind w:left="187"/>
              <w:rPr>
                <w:sz w:val="18"/>
                <w:szCs w:val="18"/>
              </w:rPr>
            </w:pPr>
            <w:r>
              <w:rPr>
                <w:spacing w:val="-2"/>
                <w:sz w:val="18"/>
                <w:szCs w:val="18"/>
              </w:rPr>
              <w:t>79</w:t>
            </w:r>
          </w:p>
        </w:tc>
        <w:tc>
          <w:tcPr>
            <w:tcW w:w="566" w:type="dxa"/>
            <w:vAlign w:val="top"/>
          </w:tcPr>
          <w:p w14:paraId="2B9D89AC">
            <w:pPr>
              <w:pStyle w:val="6"/>
              <w:spacing w:before="87" w:line="186" w:lineRule="auto"/>
              <w:ind w:left="145"/>
              <w:rPr>
                <w:sz w:val="18"/>
                <w:szCs w:val="18"/>
              </w:rPr>
            </w:pPr>
            <w:r>
              <w:rPr>
                <w:spacing w:val="-5"/>
                <w:sz w:val="18"/>
                <w:szCs w:val="18"/>
              </w:rPr>
              <w:t>10L</w:t>
            </w:r>
          </w:p>
        </w:tc>
        <w:tc>
          <w:tcPr>
            <w:tcW w:w="567" w:type="dxa"/>
            <w:vAlign w:val="top"/>
          </w:tcPr>
          <w:p w14:paraId="61C0F9E4">
            <w:pPr>
              <w:pStyle w:val="6"/>
              <w:spacing w:before="84" w:line="229" w:lineRule="auto"/>
              <w:ind w:left="65"/>
              <w:rPr>
                <w:sz w:val="18"/>
                <w:szCs w:val="18"/>
              </w:rPr>
            </w:pPr>
            <w:r>
              <w:rPr>
                <w:spacing w:val="-2"/>
                <w:sz w:val="18"/>
                <w:szCs w:val="18"/>
              </w:rPr>
              <w:t>0.01L</w:t>
            </w:r>
          </w:p>
        </w:tc>
        <w:tc>
          <w:tcPr>
            <w:tcW w:w="557" w:type="dxa"/>
            <w:vAlign w:val="top"/>
          </w:tcPr>
          <w:p w14:paraId="417DE3A4">
            <w:pPr>
              <w:pStyle w:val="6"/>
              <w:spacing w:before="84" w:line="229" w:lineRule="auto"/>
              <w:ind w:left="60"/>
              <w:rPr>
                <w:sz w:val="18"/>
                <w:szCs w:val="18"/>
              </w:rPr>
            </w:pPr>
            <w:r>
              <w:rPr>
                <w:spacing w:val="-2"/>
                <w:sz w:val="18"/>
                <w:szCs w:val="18"/>
              </w:rPr>
              <w:t>0.01L</w:t>
            </w:r>
          </w:p>
        </w:tc>
        <w:tc>
          <w:tcPr>
            <w:tcW w:w="715" w:type="dxa"/>
            <w:vAlign w:val="top"/>
          </w:tcPr>
          <w:p w14:paraId="58325C58">
            <w:pPr>
              <w:pStyle w:val="6"/>
              <w:spacing w:before="84" w:line="229" w:lineRule="auto"/>
              <w:ind w:left="140"/>
              <w:rPr>
                <w:sz w:val="18"/>
                <w:szCs w:val="18"/>
              </w:rPr>
            </w:pPr>
            <w:r>
              <w:rPr>
                <w:spacing w:val="-2"/>
                <w:sz w:val="18"/>
                <w:szCs w:val="18"/>
              </w:rPr>
              <w:t>0.04L</w:t>
            </w:r>
          </w:p>
        </w:tc>
        <w:tc>
          <w:tcPr>
            <w:tcW w:w="567" w:type="dxa"/>
            <w:vAlign w:val="top"/>
          </w:tcPr>
          <w:p w14:paraId="277FF9CA">
            <w:pPr>
              <w:pStyle w:val="6"/>
              <w:spacing w:before="84" w:line="229" w:lineRule="auto"/>
              <w:ind w:left="22"/>
              <w:rPr>
                <w:sz w:val="18"/>
                <w:szCs w:val="18"/>
              </w:rPr>
            </w:pPr>
            <w:r>
              <w:rPr>
                <w:spacing w:val="-2"/>
                <w:sz w:val="18"/>
                <w:szCs w:val="18"/>
              </w:rPr>
              <w:t>0.009L</w:t>
            </w:r>
          </w:p>
        </w:tc>
        <w:tc>
          <w:tcPr>
            <w:tcW w:w="708" w:type="dxa"/>
            <w:vAlign w:val="top"/>
          </w:tcPr>
          <w:p w14:paraId="6BF63936">
            <w:pPr>
              <w:pStyle w:val="6"/>
              <w:spacing w:before="84" w:line="229" w:lineRule="auto"/>
              <w:ind w:left="48"/>
              <w:rPr>
                <w:sz w:val="18"/>
                <w:szCs w:val="18"/>
              </w:rPr>
            </w:pPr>
            <w:r>
              <w:rPr>
                <w:spacing w:val="-1"/>
                <w:sz w:val="18"/>
                <w:szCs w:val="18"/>
              </w:rPr>
              <w:t>0.0003L</w:t>
            </w:r>
          </w:p>
        </w:tc>
        <w:tc>
          <w:tcPr>
            <w:tcW w:w="851" w:type="dxa"/>
            <w:vAlign w:val="top"/>
          </w:tcPr>
          <w:p w14:paraId="3413C2D2">
            <w:pPr>
              <w:pStyle w:val="6"/>
              <w:spacing w:before="84" w:line="229" w:lineRule="auto"/>
              <w:ind w:left="211"/>
              <w:rPr>
                <w:sz w:val="18"/>
                <w:szCs w:val="18"/>
              </w:rPr>
            </w:pPr>
            <w:r>
              <w:rPr>
                <w:spacing w:val="-2"/>
                <w:sz w:val="18"/>
                <w:szCs w:val="18"/>
              </w:rPr>
              <w:t>0.05L</w:t>
            </w:r>
          </w:p>
        </w:tc>
        <w:tc>
          <w:tcPr>
            <w:tcW w:w="566" w:type="dxa"/>
            <w:vAlign w:val="top"/>
          </w:tcPr>
          <w:p w14:paraId="0998658B">
            <w:pPr>
              <w:pStyle w:val="6"/>
              <w:spacing w:before="84" w:line="229" w:lineRule="auto"/>
              <w:ind w:left="125"/>
              <w:rPr>
                <w:sz w:val="18"/>
                <w:szCs w:val="18"/>
              </w:rPr>
            </w:pPr>
            <w:r>
              <w:rPr>
                <w:spacing w:val="-2"/>
                <w:sz w:val="18"/>
                <w:szCs w:val="18"/>
              </w:rPr>
              <w:t>0.03</w:t>
            </w:r>
          </w:p>
        </w:tc>
        <w:tc>
          <w:tcPr>
            <w:tcW w:w="672" w:type="dxa"/>
            <w:vAlign w:val="top"/>
          </w:tcPr>
          <w:p w14:paraId="07214A80">
            <w:pPr>
              <w:pStyle w:val="6"/>
              <w:spacing w:before="84" w:line="229" w:lineRule="auto"/>
              <w:ind w:left="178"/>
              <w:rPr>
                <w:sz w:val="18"/>
                <w:szCs w:val="18"/>
              </w:rPr>
            </w:pPr>
            <w:r>
              <w:rPr>
                <w:spacing w:val="-2"/>
                <w:sz w:val="18"/>
                <w:szCs w:val="18"/>
              </w:rPr>
              <w:t>0.63</w:t>
            </w:r>
          </w:p>
        </w:tc>
        <w:tc>
          <w:tcPr>
            <w:tcW w:w="745" w:type="dxa"/>
            <w:vAlign w:val="top"/>
          </w:tcPr>
          <w:p w14:paraId="7729AD6C">
            <w:pPr>
              <w:pStyle w:val="6"/>
              <w:spacing w:before="84" w:line="229" w:lineRule="auto"/>
              <w:ind w:left="116"/>
              <w:rPr>
                <w:sz w:val="18"/>
                <w:szCs w:val="18"/>
              </w:rPr>
            </w:pPr>
            <w:r>
              <w:rPr>
                <w:spacing w:val="-2"/>
                <w:sz w:val="18"/>
                <w:szCs w:val="18"/>
              </w:rPr>
              <w:t>0.003L</w:t>
            </w:r>
          </w:p>
        </w:tc>
        <w:tc>
          <w:tcPr>
            <w:tcW w:w="455" w:type="dxa"/>
            <w:vAlign w:val="top"/>
          </w:tcPr>
          <w:p w14:paraId="493E0B2B">
            <w:pPr>
              <w:pStyle w:val="6"/>
              <w:spacing w:before="84" w:line="229" w:lineRule="auto"/>
              <w:ind w:left="27"/>
              <w:rPr>
                <w:sz w:val="18"/>
                <w:szCs w:val="18"/>
              </w:rPr>
            </w:pPr>
            <w:r>
              <w:rPr>
                <w:spacing w:val="-2"/>
                <w:sz w:val="18"/>
                <w:szCs w:val="18"/>
              </w:rPr>
              <w:t>0.097</w:t>
            </w:r>
          </w:p>
        </w:tc>
        <w:tc>
          <w:tcPr>
            <w:tcW w:w="579" w:type="dxa"/>
            <w:vAlign w:val="top"/>
          </w:tcPr>
          <w:p w14:paraId="6C94C255">
            <w:pPr>
              <w:pStyle w:val="6"/>
              <w:spacing w:before="84" w:line="229" w:lineRule="auto"/>
              <w:ind w:left="81"/>
              <w:rPr>
                <w:sz w:val="18"/>
                <w:szCs w:val="18"/>
              </w:rPr>
            </w:pPr>
            <w:r>
              <w:rPr>
                <w:spacing w:val="-2"/>
                <w:sz w:val="18"/>
                <w:szCs w:val="18"/>
              </w:rPr>
              <w:t>0.05L</w:t>
            </w:r>
          </w:p>
        </w:tc>
        <w:tc>
          <w:tcPr>
            <w:tcW w:w="623" w:type="dxa"/>
            <w:vAlign w:val="top"/>
          </w:tcPr>
          <w:p w14:paraId="24E088D8">
            <w:pPr>
              <w:pStyle w:val="6"/>
              <w:spacing w:before="84" w:line="229" w:lineRule="auto"/>
              <w:ind w:left="58"/>
              <w:rPr>
                <w:sz w:val="18"/>
                <w:szCs w:val="18"/>
              </w:rPr>
            </w:pPr>
            <w:r>
              <w:rPr>
                <w:spacing w:val="-2"/>
                <w:sz w:val="18"/>
                <w:szCs w:val="18"/>
              </w:rPr>
              <w:t>0.004L</w:t>
            </w:r>
          </w:p>
        </w:tc>
        <w:tc>
          <w:tcPr>
            <w:tcW w:w="737" w:type="dxa"/>
            <w:vAlign w:val="top"/>
          </w:tcPr>
          <w:p w14:paraId="0CFB27AD">
            <w:pPr>
              <w:pStyle w:val="6"/>
              <w:spacing w:before="84" w:line="229" w:lineRule="auto"/>
              <w:ind w:left="25"/>
              <w:rPr>
                <w:sz w:val="18"/>
                <w:szCs w:val="18"/>
              </w:rPr>
            </w:pPr>
            <w:r>
              <w:rPr>
                <w:spacing w:val="-1"/>
                <w:sz w:val="18"/>
                <w:szCs w:val="18"/>
              </w:rPr>
              <w:t>0.00004L</w:t>
            </w:r>
          </w:p>
        </w:tc>
        <w:tc>
          <w:tcPr>
            <w:tcW w:w="577" w:type="dxa"/>
            <w:vAlign w:val="top"/>
          </w:tcPr>
          <w:p w14:paraId="344BA39F">
            <w:pPr>
              <w:pStyle w:val="6"/>
              <w:spacing w:before="84" w:line="229" w:lineRule="auto"/>
              <w:ind w:left="48"/>
              <w:rPr>
                <w:sz w:val="18"/>
                <w:szCs w:val="18"/>
              </w:rPr>
            </w:pPr>
            <w:r>
              <w:rPr>
                <w:spacing w:val="-2"/>
                <w:sz w:val="18"/>
                <w:szCs w:val="18"/>
              </w:rPr>
              <w:t>0.0007</w:t>
            </w:r>
          </w:p>
        </w:tc>
        <w:tc>
          <w:tcPr>
            <w:tcW w:w="708" w:type="dxa"/>
            <w:vAlign w:val="top"/>
          </w:tcPr>
          <w:p w14:paraId="2B87070B">
            <w:pPr>
              <w:pStyle w:val="6"/>
              <w:spacing w:before="84" w:line="229" w:lineRule="auto"/>
              <w:ind w:left="60"/>
              <w:rPr>
                <w:sz w:val="18"/>
                <w:szCs w:val="18"/>
              </w:rPr>
            </w:pPr>
            <w:r>
              <w:rPr>
                <w:spacing w:val="-1"/>
                <w:sz w:val="18"/>
                <w:szCs w:val="18"/>
              </w:rPr>
              <w:t>0.0004L</w:t>
            </w:r>
          </w:p>
        </w:tc>
        <w:tc>
          <w:tcPr>
            <w:tcW w:w="567" w:type="dxa"/>
            <w:vAlign w:val="top"/>
          </w:tcPr>
          <w:p w14:paraId="4DCFE776">
            <w:pPr>
              <w:pStyle w:val="6"/>
              <w:spacing w:before="84" w:line="229" w:lineRule="auto"/>
              <w:ind w:left="35"/>
              <w:rPr>
                <w:sz w:val="18"/>
                <w:szCs w:val="18"/>
              </w:rPr>
            </w:pPr>
            <w:r>
              <w:rPr>
                <w:spacing w:val="-2"/>
                <w:sz w:val="18"/>
                <w:szCs w:val="18"/>
              </w:rPr>
              <w:t>0.001L</w:t>
            </w:r>
          </w:p>
        </w:tc>
        <w:tc>
          <w:tcPr>
            <w:tcW w:w="566" w:type="dxa"/>
            <w:vAlign w:val="top"/>
          </w:tcPr>
          <w:p w14:paraId="6DDB69D1">
            <w:pPr>
              <w:pStyle w:val="6"/>
              <w:spacing w:before="84" w:line="229" w:lineRule="auto"/>
              <w:ind w:left="34"/>
              <w:rPr>
                <w:sz w:val="18"/>
                <w:szCs w:val="18"/>
              </w:rPr>
            </w:pPr>
            <w:r>
              <w:rPr>
                <w:spacing w:val="-2"/>
                <w:sz w:val="18"/>
                <w:szCs w:val="18"/>
              </w:rPr>
              <w:t>0.004L</w:t>
            </w:r>
          </w:p>
        </w:tc>
        <w:tc>
          <w:tcPr>
            <w:tcW w:w="567" w:type="dxa"/>
            <w:vAlign w:val="top"/>
          </w:tcPr>
          <w:p w14:paraId="696FE150">
            <w:pPr>
              <w:pStyle w:val="6"/>
              <w:spacing w:before="84" w:line="229" w:lineRule="auto"/>
              <w:ind w:left="81"/>
              <w:rPr>
                <w:sz w:val="18"/>
                <w:szCs w:val="18"/>
              </w:rPr>
            </w:pPr>
            <w:r>
              <w:rPr>
                <w:spacing w:val="-2"/>
                <w:sz w:val="18"/>
                <w:szCs w:val="18"/>
              </w:rPr>
              <w:t>0.01L</w:t>
            </w:r>
          </w:p>
        </w:tc>
        <w:tc>
          <w:tcPr>
            <w:tcW w:w="708" w:type="dxa"/>
            <w:vAlign w:val="top"/>
          </w:tcPr>
          <w:p w14:paraId="083552C5">
            <w:pPr>
              <w:pStyle w:val="6"/>
              <w:spacing w:before="84" w:line="229" w:lineRule="auto"/>
              <w:ind w:left="106"/>
              <w:rPr>
                <w:sz w:val="18"/>
                <w:szCs w:val="18"/>
              </w:rPr>
            </w:pPr>
            <w:r>
              <w:rPr>
                <w:spacing w:val="-2"/>
                <w:sz w:val="18"/>
                <w:szCs w:val="18"/>
              </w:rPr>
              <w:t>0.009L</w:t>
            </w:r>
          </w:p>
        </w:tc>
        <w:tc>
          <w:tcPr>
            <w:tcW w:w="566" w:type="dxa"/>
            <w:vAlign w:val="top"/>
          </w:tcPr>
          <w:p w14:paraId="1FA6C769">
            <w:pPr>
              <w:pStyle w:val="6"/>
              <w:spacing w:before="162" w:line="85" w:lineRule="exact"/>
              <w:ind w:left="236"/>
              <w:rPr>
                <w:sz w:val="18"/>
                <w:szCs w:val="18"/>
              </w:rPr>
            </w:pPr>
            <w:r>
              <w:rPr>
                <w:spacing w:val="-2"/>
                <w:position w:val="-5"/>
                <w:sz w:val="18"/>
                <w:szCs w:val="18"/>
              </w:rPr>
              <w:t>--</w:t>
            </w:r>
          </w:p>
        </w:tc>
        <w:tc>
          <w:tcPr>
            <w:tcW w:w="579" w:type="dxa"/>
            <w:vAlign w:val="top"/>
          </w:tcPr>
          <w:p w14:paraId="3C437004">
            <w:pPr>
              <w:pStyle w:val="6"/>
              <w:spacing w:before="84" w:line="229" w:lineRule="auto"/>
              <w:ind w:left="166"/>
              <w:rPr>
                <w:sz w:val="18"/>
                <w:szCs w:val="18"/>
              </w:rPr>
            </w:pPr>
            <w:r>
              <w:rPr>
                <w:spacing w:val="-2"/>
                <w:sz w:val="18"/>
                <w:szCs w:val="18"/>
              </w:rPr>
              <w:t>363</w:t>
            </w:r>
          </w:p>
        </w:tc>
        <w:tc>
          <w:tcPr>
            <w:tcW w:w="411" w:type="dxa"/>
            <w:vAlign w:val="top"/>
          </w:tcPr>
          <w:p w14:paraId="19AB0235">
            <w:pPr>
              <w:pStyle w:val="6"/>
              <w:spacing w:before="84" w:line="229" w:lineRule="auto"/>
              <w:ind w:left="51"/>
              <w:rPr>
                <w:sz w:val="18"/>
                <w:szCs w:val="18"/>
              </w:rPr>
            </w:pPr>
            <w:r>
              <w:rPr>
                <w:spacing w:val="-2"/>
                <w:sz w:val="18"/>
                <w:szCs w:val="18"/>
              </w:rPr>
              <w:t>0.5L</w:t>
            </w:r>
          </w:p>
        </w:tc>
        <w:tc>
          <w:tcPr>
            <w:tcW w:w="428" w:type="dxa"/>
            <w:vAlign w:val="top"/>
          </w:tcPr>
          <w:p w14:paraId="36A1C577">
            <w:pPr>
              <w:pStyle w:val="6"/>
              <w:spacing w:before="84" w:line="229" w:lineRule="auto"/>
              <w:ind w:left="84"/>
              <w:rPr>
                <w:sz w:val="18"/>
                <w:szCs w:val="18"/>
              </w:rPr>
            </w:pPr>
            <w:r>
              <w:rPr>
                <w:spacing w:val="-6"/>
                <w:sz w:val="18"/>
                <w:szCs w:val="18"/>
              </w:rPr>
              <w:t>16.6</w:t>
            </w:r>
          </w:p>
        </w:tc>
        <w:tc>
          <w:tcPr>
            <w:tcW w:w="427" w:type="dxa"/>
            <w:vAlign w:val="top"/>
          </w:tcPr>
          <w:p w14:paraId="2D30BA53">
            <w:pPr>
              <w:pStyle w:val="6"/>
              <w:spacing w:before="84" w:line="229" w:lineRule="auto"/>
              <w:ind w:left="70"/>
              <w:rPr>
                <w:sz w:val="18"/>
                <w:szCs w:val="18"/>
              </w:rPr>
            </w:pPr>
            <w:r>
              <w:rPr>
                <w:spacing w:val="-2"/>
                <w:sz w:val="18"/>
                <w:szCs w:val="18"/>
              </w:rPr>
              <w:t>0.48</w:t>
            </w:r>
          </w:p>
        </w:tc>
        <w:tc>
          <w:tcPr>
            <w:tcW w:w="341" w:type="dxa"/>
            <w:vAlign w:val="top"/>
          </w:tcPr>
          <w:p w14:paraId="6DEEDFBE">
            <w:pPr>
              <w:pStyle w:val="6"/>
              <w:spacing w:before="84" w:line="229" w:lineRule="auto"/>
              <w:jc w:val="right"/>
              <w:rPr>
                <w:sz w:val="18"/>
                <w:szCs w:val="18"/>
              </w:rPr>
            </w:pPr>
            <w:r>
              <w:rPr>
                <w:spacing w:val="-3"/>
                <w:sz w:val="18"/>
                <w:szCs w:val="18"/>
              </w:rPr>
              <w:t>46.2</w:t>
            </w:r>
          </w:p>
        </w:tc>
        <w:tc>
          <w:tcPr>
            <w:tcW w:w="361" w:type="dxa"/>
            <w:tcBorders>
              <w:right w:val="single" w:color="000000" w:sz="12" w:space="0"/>
            </w:tcBorders>
            <w:vAlign w:val="top"/>
          </w:tcPr>
          <w:p w14:paraId="2E8DA5F8">
            <w:pPr>
              <w:pStyle w:val="6"/>
              <w:spacing w:before="84" w:line="229" w:lineRule="auto"/>
              <w:ind w:right="3"/>
              <w:jc w:val="right"/>
              <w:rPr>
                <w:sz w:val="18"/>
                <w:szCs w:val="18"/>
              </w:rPr>
            </w:pPr>
            <w:r>
              <w:rPr>
                <w:spacing w:val="-2"/>
                <w:sz w:val="18"/>
                <w:szCs w:val="18"/>
              </w:rPr>
              <w:t>35.2</w:t>
            </w:r>
          </w:p>
        </w:tc>
      </w:tr>
      <w:tr w14:paraId="34B97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7161918B">
            <w:pPr>
              <w:rPr>
                <w:rFonts w:ascii="Arial"/>
                <w:sz w:val="21"/>
              </w:rPr>
            </w:pPr>
          </w:p>
        </w:tc>
        <w:tc>
          <w:tcPr>
            <w:tcW w:w="284" w:type="dxa"/>
            <w:vMerge w:val="continue"/>
            <w:tcBorders>
              <w:top w:val="nil"/>
              <w:bottom w:val="nil"/>
            </w:tcBorders>
            <w:vAlign w:val="top"/>
          </w:tcPr>
          <w:p w14:paraId="25B3E9C9">
            <w:pPr>
              <w:rPr>
                <w:rFonts w:ascii="Arial"/>
                <w:sz w:val="21"/>
              </w:rPr>
            </w:pPr>
          </w:p>
        </w:tc>
        <w:tc>
          <w:tcPr>
            <w:tcW w:w="1249" w:type="dxa"/>
            <w:vAlign w:val="top"/>
          </w:tcPr>
          <w:p w14:paraId="728F8158">
            <w:pPr>
              <w:pStyle w:val="6"/>
              <w:spacing w:before="83" w:line="228" w:lineRule="auto"/>
              <w:ind w:left="244"/>
              <w:rPr>
                <w:sz w:val="18"/>
                <w:szCs w:val="18"/>
              </w:rPr>
            </w:pPr>
            <w:r>
              <w:rPr>
                <w:spacing w:val="-1"/>
                <w:sz w:val="18"/>
                <w:szCs w:val="18"/>
              </w:rPr>
              <w:t>2021/7/20</w:t>
            </w:r>
          </w:p>
        </w:tc>
        <w:tc>
          <w:tcPr>
            <w:tcW w:w="733" w:type="dxa"/>
            <w:vAlign w:val="top"/>
          </w:tcPr>
          <w:p w14:paraId="2AD98609">
            <w:pPr>
              <w:pStyle w:val="6"/>
              <w:spacing w:before="83" w:line="228" w:lineRule="auto"/>
              <w:ind w:left="244"/>
              <w:rPr>
                <w:sz w:val="18"/>
                <w:szCs w:val="18"/>
              </w:rPr>
            </w:pPr>
            <w:r>
              <w:rPr>
                <w:spacing w:val="-3"/>
                <w:sz w:val="18"/>
                <w:szCs w:val="18"/>
              </w:rPr>
              <w:t>7.4</w:t>
            </w:r>
          </w:p>
        </w:tc>
        <w:tc>
          <w:tcPr>
            <w:tcW w:w="565" w:type="dxa"/>
            <w:vAlign w:val="top"/>
          </w:tcPr>
          <w:p w14:paraId="638806CC">
            <w:pPr>
              <w:pStyle w:val="6"/>
              <w:spacing w:before="83" w:line="228" w:lineRule="auto"/>
              <w:ind w:left="134"/>
              <w:rPr>
                <w:sz w:val="18"/>
                <w:szCs w:val="18"/>
              </w:rPr>
            </w:pPr>
            <w:r>
              <w:rPr>
                <w:spacing w:val="-1"/>
                <w:sz w:val="18"/>
                <w:szCs w:val="18"/>
              </w:rPr>
              <w:t>228</w:t>
            </w:r>
          </w:p>
        </w:tc>
        <w:tc>
          <w:tcPr>
            <w:tcW w:w="708" w:type="dxa"/>
            <w:vAlign w:val="top"/>
          </w:tcPr>
          <w:p w14:paraId="67BE9A64">
            <w:pPr>
              <w:pStyle w:val="6"/>
              <w:spacing w:before="83" w:line="228" w:lineRule="auto"/>
              <w:ind w:left="211"/>
              <w:rPr>
                <w:sz w:val="18"/>
                <w:szCs w:val="18"/>
              </w:rPr>
            </w:pPr>
            <w:r>
              <w:rPr>
                <w:spacing w:val="-2"/>
                <w:sz w:val="18"/>
                <w:szCs w:val="18"/>
              </w:rPr>
              <w:t>341</w:t>
            </w:r>
          </w:p>
        </w:tc>
        <w:tc>
          <w:tcPr>
            <w:tcW w:w="567" w:type="dxa"/>
            <w:vAlign w:val="top"/>
          </w:tcPr>
          <w:p w14:paraId="275B2E57">
            <w:pPr>
              <w:pStyle w:val="6"/>
              <w:spacing w:before="83" w:line="228" w:lineRule="auto"/>
              <w:ind w:left="191"/>
              <w:rPr>
                <w:sz w:val="18"/>
                <w:szCs w:val="18"/>
              </w:rPr>
            </w:pPr>
            <w:r>
              <w:rPr>
                <w:spacing w:val="-3"/>
                <w:sz w:val="18"/>
                <w:szCs w:val="18"/>
              </w:rPr>
              <w:t>82</w:t>
            </w:r>
          </w:p>
        </w:tc>
        <w:tc>
          <w:tcPr>
            <w:tcW w:w="566" w:type="dxa"/>
            <w:vAlign w:val="top"/>
          </w:tcPr>
          <w:p w14:paraId="3A4F590A">
            <w:pPr>
              <w:pStyle w:val="6"/>
              <w:spacing w:before="86" w:line="186" w:lineRule="auto"/>
              <w:ind w:left="145"/>
              <w:rPr>
                <w:sz w:val="18"/>
                <w:szCs w:val="18"/>
              </w:rPr>
            </w:pPr>
            <w:r>
              <w:rPr>
                <w:spacing w:val="-5"/>
                <w:sz w:val="18"/>
                <w:szCs w:val="18"/>
              </w:rPr>
              <w:t>10L</w:t>
            </w:r>
          </w:p>
        </w:tc>
        <w:tc>
          <w:tcPr>
            <w:tcW w:w="567" w:type="dxa"/>
            <w:vAlign w:val="top"/>
          </w:tcPr>
          <w:p w14:paraId="1AE34120">
            <w:pPr>
              <w:pStyle w:val="6"/>
              <w:spacing w:before="83" w:line="228" w:lineRule="auto"/>
              <w:ind w:left="65"/>
              <w:rPr>
                <w:sz w:val="18"/>
                <w:szCs w:val="18"/>
              </w:rPr>
            </w:pPr>
            <w:r>
              <w:rPr>
                <w:spacing w:val="-2"/>
                <w:sz w:val="18"/>
                <w:szCs w:val="18"/>
              </w:rPr>
              <w:t>0.01L</w:t>
            </w:r>
          </w:p>
        </w:tc>
        <w:tc>
          <w:tcPr>
            <w:tcW w:w="557" w:type="dxa"/>
            <w:vAlign w:val="top"/>
          </w:tcPr>
          <w:p w14:paraId="5624B636">
            <w:pPr>
              <w:pStyle w:val="6"/>
              <w:spacing w:before="83" w:line="228" w:lineRule="auto"/>
              <w:ind w:left="60"/>
              <w:rPr>
                <w:sz w:val="18"/>
                <w:szCs w:val="18"/>
              </w:rPr>
            </w:pPr>
            <w:r>
              <w:rPr>
                <w:spacing w:val="-2"/>
                <w:sz w:val="18"/>
                <w:szCs w:val="18"/>
              </w:rPr>
              <w:t>0.01L</w:t>
            </w:r>
          </w:p>
        </w:tc>
        <w:tc>
          <w:tcPr>
            <w:tcW w:w="715" w:type="dxa"/>
            <w:vAlign w:val="top"/>
          </w:tcPr>
          <w:p w14:paraId="29BFEAE1">
            <w:pPr>
              <w:pStyle w:val="6"/>
              <w:spacing w:before="83" w:line="228" w:lineRule="auto"/>
              <w:ind w:left="140"/>
              <w:rPr>
                <w:sz w:val="18"/>
                <w:szCs w:val="18"/>
              </w:rPr>
            </w:pPr>
            <w:r>
              <w:rPr>
                <w:spacing w:val="-2"/>
                <w:sz w:val="18"/>
                <w:szCs w:val="18"/>
              </w:rPr>
              <w:t>0.04L</w:t>
            </w:r>
          </w:p>
        </w:tc>
        <w:tc>
          <w:tcPr>
            <w:tcW w:w="567" w:type="dxa"/>
            <w:vAlign w:val="top"/>
          </w:tcPr>
          <w:p w14:paraId="69A32140">
            <w:pPr>
              <w:pStyle w:val="6"/>
              <w:spacing w:before="83" w:line="228" w:lineRule="auto"/>
              <w:ind w:left="22"/>
              <w:rPr>
                <w:sz w:val="18"/>
                <w:szCs w:val="18"/>
              </w:rPr>
            </w:pPr>
            <w:r>
              <w:rPr>
                <w:spacing w:val="-2"/>
                <w:sz w:val="18"/>
                <w:szCs w:val="18"/>
              </w:rPr>
              <w:t>0.009L</w:t>
            </w:r>
          </w:p>
        </w:tc>
        <w:tc>
          <w:tcPr>
            <w:tcW w:w="708" w:type="dxa"/>
            <w:vAlign w:val="top"/>
          </w:tcPr>
          <w:p w14:paraId="3F4C4927">
            <w:pPr>
              <w:pStyle w:val="6"/>
              <w:spacing w:before="83" w:line="228" w:lineRule="auto"/>
              <w:ind w:left="48"/>
              <w:rPr>
                <w:sz w:val="18"/>
                <w:szCs w:val="18"/>
              </w:rPr>
            </w:pPr>
            <w:r>
              <w:rPr>
                <w:spacing w:val="-1"/>
                <w:sz w:val="18"/>
                <w:szCs w:val="18"/>
              </w:rPr>
              <w:t>0.0003L</w:t>
            </w:r>
          </w:p>
        </w:tc>
        <w:tc>
          <w:tcPr>
            <w:tcW w:w="851" w:type="dxa"/>
            <w:vAlign w:val="top"/>
          </w:tcPr>
          <w:p w14:paraId="21CCFAD6">
            <w:pPr>
              <w:pStyle w:val="6"/>
              <w:spacing w:before="83" w:line="228" w:lineRule="auto"/>
              <w:ind w:left="211"/>
              <w:rPr>
                <w:sz w:val="18"/>
                <w:szCs w:val="18"/>
              </w:rPr>
            </w:pPr>
            <w:r>
              <w:rPr>
                <w:spacing w:val="-2"/>
                <w:sz w:val="18"/>
                <w:szCs w:val="18"/>
              </w:rPr>
              <w:t>0.05L</w:t>
            </w:r>
          </w:p>
        </w:tc>
        <w:tc>
          <w:tcPr>
            <w:tcW w:w="566" w:type="dxa"/>
            <w:vAlign w:val="top"/>
          </w:tcPr>
          <w:p w14:paraId="4D3432B3">
            <w:pPr>
              <w:pStyle w:val="6"/>
              <w:spacing w:before="83" w:line="228" w:lineRule="auto"/>
              <w:ind w:left="125"/>
              <w:rPr>
                <w:sz w:val="18"/>
                <w:szCs w:val="18"/>
              </w:rPr>
            </w:pPr>
            <w:r>
              <w:rPr>
                <w:spacing w:val="-2"/>
                <w:sz w:val="18"/>
                <w:szCs w:val="18"/>
              </w:rPr>
              <w:t>0.03</w:t>
            </w:r>
          </w:p>
        </w:tc>
        <w:tc>
          <w:tcPr>
            <w:tcW w:w="672" w:type="dxa"/>
            <w:vAlign w:val="top"/>
          </w:tcPr>
          <w:p w14:paraId="028211DC">
            <w:pPr>
              <w:pStyle w:val="6"/>
              <w:spacing w:before="83" w:line="228" w:lineRule="auto"/>
              <w:ind w:left="178"/>
              <w:rPr>
                <w:sz w:val="18"/>
                <w:szCs w:val="18"/>
              </w:rPr>
            </w:pPr>
            <w:r>
              <w:rPr>
                <w:spacing w:val="-2"/>
                <w:sz w:val="18"/>
                <w:szCs w:val="18"/>
              </w:rPr>
              <w:t>0.61</w:t>
            </w:r>
          </w:p>
        </w:tc>
        <w:tc>
          <w:tcPr>
            <w:tcW w:w="745" w:type="dxa"/>
            <w:vAlign w:val="top"/>
          </w:tcPr>
          <w:p w14:paraId="7A996ACC">
            <w:pPr>
              <w:pStyle w:val="6"/>
              <w:spacing w:before="83" w:line="228" w:lineRule="auto"/>
              <w:ind w:left="116"/>
              <w:rPr>
                <w:sz w:val="18"/>
                <w:szCs w:val="18"/>
              </w:rPr>
            </w:pPr>
            <w:r>
              <w:rPr>
                <w:spacing w:val="-2"/>
                <w:sz w:val="18"/>
                <w:szCs w:val="18"/>
              </w:rPr>
              <w:t>0.003L</w:t>
            </w:r>
          </w:p>
        </w:tc>
        <w:tc>
          <w:tcPr>
            <w:tcW w:w="455" w:type="dxa"/>
            <w:vAlign w:val="top"/>
          </w:tcPr>
          <w:p w14:paraId="25AE47B0">
            <w:pPr>
              <w:pStyle w:val="6"/>
              <w:spacing w:before="83" w:line="228" w:lineRule="auto"/>
              <w:ind w:left="27"/>
              <w:rPr>
                <w:sz w:val="18"/>
                <w:szCs w:val="18"/>
              </w:rPr>
            </w:pPr>
            <w:r>
              <w:rPr>
                <w:spacing w:val="-2"/>
                <w:sz w:val="18"/>
                <w:szCs w:val="18"/>
              </w:rPr>
              <w:t>0.094</w:t>
            </w:r>
          </w:p>
        </w:tc>
        <w:tc>
          <w:tcPr>
            <w:tcW w:w="579" w:type="dxa"/>
            <w:vAlign w:val="top"/>
          </w:tcPr>
          <w:p w14:paraId="50401ADA">
            <w:pPr>
              <w:pStyle w:val="6"/>
              <w:spacing w:before="83" w:line="228" w:lineRule="auto"/>
              <w:ind w:left="81"/>
              <w:rPr>
                <w:sz w:val="18"/>
                <w:szCs w:val="18"/>
              </w:rPr>
            </w:pPr>
            <w:r>
              <w:rPr>
                <w:spacing w:val="-2"/>
                <w:sz w:val="18"/>
                <w:szCs w:val="18"/>
              </w:rPr>
              <w:t>0.05L</w:t>
            </w:r>
          </w:p>
        </w:tc>
        <w:tc>
          <w:tcPr>
            <w:tcW w:w="623" w:type="dxa"/>
            <w:vAlign w:val="top"/>
          </w:tcPr>
          <w:p w14:paraId="39194353">
            <w:pPr>
              <w:pStyle w:val="6"/>
              <w:spacing w:before="83" w:line="228" w:lineRule="auto"/>
              <w:ind w:left="58"/>
              <w:rPr>
                <w:sz w:val="18"/>
                <w:szCs w:val="18"/>
              </w:rPr>
            </w:pPr>
            <w:r>
              <w:rPr>
                <w:spacing w:val="-2"/>
                <w:sz w:val="18"/>
                <w:szCs w:val="18"/>
              </w:rPr>
              <w:t>0.004L</w:t>
            </w:r>
          </w:p>
        </w:tc>
        <w:tc>
          <w:tcPr>
            <w:tcW w:w="737" w:type="dxa"/>
            <w:vAlign w:val="top"/>
          </w:tcPr>
          <w:p w14:paraId="4F9EAD22">
            <w:pPr>
              <w:pStyle w:val="6"/>
              <w:spacing w:before="83" w:line="228" w:lineRule="auto"/>
              <w:ind w:left="25"/>
              <w:rPr>
                <w:sz w:val="18"/>
                <w:szCs w:val="18"/>
              </w:rPr>
            </w:pPr>
            <w:r>
              <w:rPr>
                <w:spacing w:val="-1"/>
                <w:sz w:val="18"/>
                <w:szCs w:val="18"/>
              </w:rPr>
              <w:t>0.00004L</w:t>
            </w:r>
          </w:p>
        </w:tc>
        <w:tc>
          <w:tcPr>
            <w:tcW w:w="577" w:type="dxa"/>
            <w:vAlign w:val="top"/>
          </w:tcPr>
          <w:p w14:paraId="261EB47F">
            <w:pPr>
              <w:pStyle w:val="6"/>
              <w:spacing w:before="83" w:line="228" w:lineRule="auto"/>
              <w:ind w:left="48"/>
              <w:rPr>
                <w:sz w:val="18"/>
                <w:szCs w:val="18"/>
              </w:rPr>
            </w:pPr>
            <w:r>
              <w:rPr>
                <w:spacing w:val="-2"/>
                <w:sz w:val="18"/>
                <w:szCs w:val="18"/>
              </w:rPr>
              <w:t>0.0007</w:t>
            </w:r>
          </w:p>
        </w:tc>
        <w:tc>
          <w:tcPr>
            <w:tcW w:w="708" w:type="dxa"/>
            <w:vAlign w:val="top"/>
          </w:tcPr>
          <w:p w14:paraId="2EAF4BA7">
            <w:pPr>
              <w:pStyle w:val="6"/>
              <w:spacing w:before="83" w:line="228" w:lineRule="auto"/>
              <w:ind w:left="60"/>
              <w:rPr>
                <w:sz w:val="18"/>
                <w:szCs w:val="18"/>
              </w:rPr>
            </w:pPr>
            <w:r>
              <w:rPr>
                <w:spacing w:val="-1"/>
                <w:sz w:val="18"/>
                <w:szCs w:val="18"/>
              </w:rPr>
              <w:t>0.0004L</w:t>
            </w:r>
          </w:p>
        </w:tc>
        <w:tc>
          <w:tcPr>
            <w:tcW w:w="567" w:type="dxa"/>
            <w:vAlign w:val="top"/>
          </w:tcPr>
          <w:p w14:paraId="2FE1333B">
            <w:pPr>
              <w:pStyle w:val="6"/>
              <w:spacing w:before="83" w:line="228" w:lineRule="auto"/>
              <w:ind w:left="35"/>
              <w:rPr>
                <w:sz w:val="18"/>
                <w:szCs w:val="18"/>
              </w:rPr>
            </w:pPr>
            <w:r>
              <w:rPr>
                <w:spacing w:val="-2"/>
                <w:sz w:val="18"/>
                <w:szCs w:val="18"/>
              </w:rPr>
              <w:t>0.001L</w:t>
            </w:r>
          </w:p>
        </w:tc>
        <w:tc>
          <w:tcPr>
            <w:tcW w:w="566" w:type="dxa"/>
            <w:vAlign w:val="top"/>
          </w:tcPr>
          <w:p w14:paraId="5BDBD6D8">
            <w:pPr>
              <w:pStyle w:val="6"/>
              <w:spacing w:before="83" w:line="228" w:lineRule="auto"/>
              <w:ind w:left="34"/>
              <w:rPr>
                <w:sz w:val="18"/>
                <w:szCs w:val="18"/>
              </w:rPr>
            </w:pPr>
            <w:r>
              <w:rPr>
                <w:spacing w:val="-2"/>
                <w:sz w:val="18"/>
                <w:szCs w:val="18"/>
              </w:rPr>
              <w:t>0.004L</w:t>
            </w:r>
          </w:p>
        </w:tc>
        <w:tc>
          <w:tcPr>
            <w:tcW w:w="567" w:type="dxa"/>
            <w:vAlign w:val="top"/>
          </w:tcPr>
          <w:p w14:paraId="75A98C0B">
            <w:pPr>
              <w:pStyle w:val="6"/>
              <w:spacing w:before="83" w:line="228" w:lineRule="auto"/>
              <w:ind w:left="81"/>
              <w:rPr>
                <w:sz w:val="18"/>
                <w:szCs w:val="18"/>
              </w:rPr>
            </w:pPr>
            <w:r>
              <w:rPr>
                <w:spacing w:val="-2"/>
                <w:sz w:val="18"/>
                <w:szCs w:val="18"/>
              </w:rPr>
              <w:t>0.01L</w:t>
            </w:r>
          </w:p>
        </w:tc>
        <w:tc>
          <w:tcPr>
            <w:tcW w:w="708" w:type="dxa"/>
            <w:vAlign w:val="top"/>
          </w:tcPr>
          <w:p w14:paraId="6DA66B2F">
            <w:pPr>
              <w:pStyle w:val="6"/>
              <w:spacing w:before="83" w:line="228" w:lineRule="auto"/>
              <w:ind w:left="106"/>
              <w:rPr>
                <w:sz w:val="18"/>
                <w:szCs w:val="18"/>
              </w:rPr>
            </w:pPr>
            <w:r>
              <w:rPr>
                <w:spacing w:val="-2"/>
                <w:sz w:val="18"/>
                <w:szCs w:val="18"/>
              </w:rPr>
              <w:t>0.009L</w:t>
            </w:r>
          </w:p>
        </w:tc>
        <w:tc>
          <w:tcPr>
            <w:tcW w:w="566" w:type="dxa"/>
            <w:vAlign w:val="top"/>
          </w:tcPr>
          <w:p w14:paraId="21C6A1C1">
            <w:pPr>
              <w:pStyle w:val="6"/>
              <w:spacing w:before="161" w:line="86" w:lineRule="exact"/>
              <w:ind w:left="236"/>
              <w:rPr>
                <w:sz w:val="18"/>
                <w:szCs w:val="18"/>
              </w:rPr>
            </w:pPr>
            <w:r>
              <w:rPr>
                <w:spacing w:val="-2"/>
                <w:position w:val="-5"/>
                <w:sz w:val="18"/>
                <w:szCs w:val="18"/>
              </w:rPr>
              <w:t>--</w:t>
            </w:r>
          </w:p>
        </w:tc>
        <w:tc>
          <w:tcPr>
            <w:tcW w:w="579" w:type="dxa"/>
            <w:vAlign w:val="top"/>
          </w:tcPr>
          <w:p w14:paraId="49EB5EBC">
            <w:pPr>
              <w:pStyle w:val="6"/>
              <w:spacing w:before="83" w:line="228" w:lineRule="auto"/>
              <w:ind w:left="166"/>
              <w:rPr>
                <w:sz w:val="18"/>
                <w:szCs w:val="18"/>
              </w:rPr>
            </w:pPr>
            <w:r>
              <w:rPr>
                <w:spacing w:val="-2"/>
                <w:sz w:val="18"/>
                <w:szCs w:val="18"/>
              </w:rPr>
              <w:t>373</w:t>
            </w:r>
          </w:p>
        </w:tc>
        <w:tc>
          <w:tcPr>
            <w:tcW w:w="411" w:type="dxa"/>
            <w:vAlign w:val="top"/>
          </w:tcPr>
          <w:p w14:paraId="0692E026">
            <w:pPr>
              <w:pStyle w:val="6"/>
              <w:spacing w:before="83" w:line="228" w:lineRule="auto"/>
              <w:ind w:left="51"/>
              <w:rPr>
                <w:sz w:val="18"/>
                <w:szCs w:val="18"/>
              </w:rPr>
            </w:pPr>
            <w:r>
              <w:rPr>
                <w:spacing w:val="-2"/>
                <w:sz w:val="18"/>
                <w:szCs w:val="18"/>
              </w:rPr>
              <w:t>0.5L</w:t>
            </w:r>
          </w:p>
        </w:tc>
        <w:tc>
          <w:tcPr>
            <w:tcW w:w="428" w:type="dxa"/>
            <w:vAlign w:val="top"/>
          </w:tcPr>
          <w:p w14:paraId="079AC5D3">
            <w:pPr>
              <w:pStyle w:val="6"/>
              <w:spacing w:before="83" w:line="228" w:lineRule="auto"/>
              <w:ind w:left="84"/>
              <w:rPr>
                <w:sz w:val="18"/>
                <w:szCs w:val="18"/>
              </w:rPr>
            </w:pPr>
            <w:r>
              <w:rPr>
                <w:spacing w:val="-6"/>
                <w:sz w:val="18"/>
                <w:szCs w:val="18"/>
              </w:rPr>
              <w:t>17.9</w:t>
            </w:r>
          </w:p>
        </w:tc>
        <w:tc>
          <w:tcPr>
            <w:tcW w:w="427" w:type="dxa"/>
            <w:vAlign w:val="top"/>
          </w:tcPr>
          <w:p w14:paraId="499E8A52">
            <w:pPr>
              <w:pStyle w:val="6"/>
              <w:spacing w:before="83" w:line="228" w:lineRule="auto"/>
              <w:ind w:left="70"/>
              <w:rPr>
                <w:sz w:val="18"/>
                <w:szCs w:val="18"/>
              </w:rPr>
            </w:pPr>
            <w:r>
              <w:rPr>
                <w:spacing w:val="-2"/>
                <w:sz w:val="18"/>
                <w:szCs w:val="18"/>
              </w:rPr>
              <w:t>0.47</w:t>
            </w:r>
          </w:p>
        </w:tc>
        <w:tc>
          <w:tcPr>
            <w:tcW w:w="341" w:type="dxa"/>
            <w:vAlign w:val="top"/>
          </w:tcPr>
          <w:p w14:paraId="01917E05">
            <w:pPr>
              <w:pStyle w:val="6"/>
              <w:spacing w:before="83" w:line="228" w:lineRule="auto"/>
              <w:jc w:val="right"/>
              <w:rPr>
                <w:sz w:val="18"/>
                <w:szCs w:val="18"/>
              </w:rPr>
            </w:pPr>
            <w:r>
              <w:rPr>
                <w:spacing w:val="-3"/>
                <w:sz w:val="18"/>
                <w:szCs w:val="18"/>
              </w:rPr>
              <w:t>45.4</w:t>
            </w:r>
          </w:p>
        </w:tc>
        <w:tc>
          <w:tcPr>
            <w:tcW w:w="361" w:type="dxa"/>
            <w:tcBorders>
              <w:right w:val="single" w:color="000000" w:sz="12" w:space="0"/>
            </w:tcBorders>
            <w:vAlign w:val="top"/>
          </w:tcPr>
          <w:p w14:paraId="6AF943D6">
            <w:pPr>
              <w:pStyle w:val="6"/>
              <w:spacing w:before="83" w:line="228" w:lineRule="auto"/>
              <w:ind w:right="3"/>
              <w:jc w:val="right"/>
              <w:rPr>
                <w:sz w:val="18"/>
                <w:szCs w:val="18"/>
              </w:rPr>
            </w:pPr>
            <w:r>
              <w:rPr>
                <w:spacing w:val="-2"/>
                <w:sz w:val="18"/>
                <w:szCs w:val="18"/>
              </w:rPr>
              <w:t>35.5</w:t>
            </w:r>
          </w:p>
        </w:tc>
      </w:tr>
      <w:tr w14:paraId="4559B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274DF742">
            <w:pPr>
              <w:rPr>
                <w:rFonts w:ascii="Arial"/>
                <w:sz w:val="21"/>
              </w:rPr>
            </w:pPr>
          </w:p>
        </w:tc>
        <w:tc>
          <w:tcPr>
            <w:tcW w:w="284" w:type="dxa"/>
            <w:vMerge w:val="continue"/>
            <w:tcBorders>
              <w:top w:val="nil"/>
            </w:tcBorders>
            <w:vAlign w:val="top"/>
          </w:tcPr>
          <w:p w14:paraId="24F8AED5">
            <w:pPr>
              <w:rPr>
                <w:rFonts w:ascii="Arial"/>
                <w:sz w:val="21"/>
              </w:rPr>
            </w:pPr>
          </w:p>
        </w:tc>
        <w:tc>
          <w:tcPr>
            <w:tcW w:w="1249" w:type="dxa"/>
            <w:vAlign w:val="top"/>
          </w:tcPr>
          <w:p w14:paraId="45E4D6A1">
            <w:pPr>
              <w:pStyle w:val="6"/>
              <w:spacing w:before="86" w:line="227" w:lineRule="auto"/>
              <w:ind w:left="244"/>
              <w:rPr>
                <w:sz w:val="18"/>
                <w:szCs w:val="18"/>
              </w:rPr>
            </w:pPr>
            <w:r>
              <w:rPr>
                <w:spacing w:val="-1"/>
                <w:sz w:val="18"/>
                <w:szCs w:val="18"/>
              </w:rPr>
              <w:t>2021/7/21</w:t>
            </w:r>
          </w:p>
        </w:tc>
        <w:tc>
          <w:tcPr>
            <w:tcW w:w="733" w:type="dxa"/>
            <w:vAlign w:val="top"/>
          </w:tcPr>
          <w:p w14:paraId="17AF15BE">
            <w:pPr>
              <w:pStyle w:val="6"/>
              <w:spacing w:before="86" w:line="227" w:lineRule="auto"/>
              <w:ind w:left="244"/>
              <w:rPr>
                <w:sz w:val="18"/>
                <w:szCs w:val="18"/>
              </w:rPr>
            </w:pPr>
            <w:r>
              <w:rPr>
                <w:spacing w:val="-3"/>
                <w:sz w:val="18"/>
                <w:szCs w:val="18"/>
              </w:rPr>
              <w:t>7.5</w:t>
            </w:r>
          </w:p>
        </w:tc>
        <w:tc>
          <w:tcPr>
            <w:tcW w:w="565" w:type="dxa"/>
            <w:vAlign w:val="top"/>
          </w:tcPr>
          <w:p w14:paraId="1A37056C">
            <w:pPr>
              <w:pStyle w:val="6"/>
              <w:spacing w:before="86" w:line="227" w:lineRule="auto"/>
              <w:ind w:left="134"/>
              <w:rPr>
                <w:sz w:val="18"/>
                <w:szCs w:val="18"/>
              </w:rPr>
            </w:pPr>
            <w:r>
              <w:rPr>
                <w:spacing w:val="-1"/>
                <w:sz w:val="18"/>
                <w:szCs w:val="18"/>
              </w:rPr>
              <w:t>220</w:t>
            </w:r>
          </w:p>
        </w:tc>
        <w:tc>
          <w:tcPr>
            <w:tcW w:w="708" w:type="dxa"/>
            <w:vAlign w:val="top"/>
          </w:tcPr>
          <w:p w14:paraId="7C5F3D23">
            <w:pPr>
              <w:pStyle w:val="6"/>
              <w:spacing w:before="86" w:line="227" w:lineRule="auto"/>
              <w:ind w:left="211"/>
              <w:rPr>
                <w:sz w:val="18"/>
                <w:szCs w:val="18"/>
              </w:rPr>
            </w:pPr>
            <w:r>
              <w:rPr>
                <w:spacing w:val="-2"/>
                <w:sz w:val="18"/>
                <w:szCs w:val="18"/>
              </w:rPr>
              <w:t>333</w:t>
            </w:r>
          </w:p>
        </w:tc>
        <w:tc>
          <w:tcPr>
            <w:tcW w:w="567" w:type="dxa"/>
            <w:vAlign w:val="top"/>
          </w:tcPr>
          <w:p w14:paraId="3DFDB109">
            <w:pPr>
              <w:pStyle w:val="6"/>
              <w:spacing w:before="86" w:line="227" w:lineRule="auto"/>
              <w:ind w:left="191"/>
              <w:rPr>
                <w:sz w:val="18"/>
                <w:szCs w:val="18"/>
              </w:rPr>
            </w:pPr>
            <w:r>
              <w:rPr>
                <w:spacing w:val="-3"/>
                <w:sz w:val="18"/>
                <w:szCs w:val="18"/>
              </w:rPr>
              <w:t>81</w:t>
            </w:r>
          </w:p>
        </w:tc>
        <w:tc>
          <w:tcPr>
            <w:tcW w:w="566" w:type="dxa"/>
            <w:vAlign w:val="top"/>
          </w:tcPr>
          <w:p w14:paraId="345E50FE">
            <w:pPr>
              <w:pStyle w:val="6"/>
              <w:spacing w:before="88" w:line="186" w:lineRule="auto"/>
              <w:ind w:left="145"/>
              <w:rPr>
                <w:sz w:val="18"/>
                <w:szCs w:val="18"/>
              </w:rPr>
            </w:pPr>
            <w:r>
              <w:rPr>
                <w:spacing w:val="-5"/>
                <w:sz w:val="18"/>
                <w:szCs w:val="18"/>
              </w:rPr>
              <w:t>10L</w:t>
            </w:r>
          </w:p>
        </w:tc>
        <w:tc>
          <w:tcPr>
            <w:tcW w:w="567" w:type="dxa"/>
            <w:vAlign w:val="top"/>
          </w:tcPr>
          <w:p w14:paraId="0C0F9324">
            <w:pPr>
              <w:pStyle w:val="6"/>
              <w:spacing w:before="86" w:line="227" w:lineRule="auto"/>
              <w:ind w:left="65"/>
              <w:rPr>
                <w:sz w:val="18"/>
                <w:szCs w:val="18"/>
              </w:rPr>
            </w:pPr>
            <w:r>
              <w:rPr>
                <w:spacing w:val="-2"/>
                <w:sz w:val="18"/>
                <w:szCs w:val="18"/>
              </w:rPr>
              <w:t>0.01L</w:t>
            </w:r>
          </w:p>
        </w:tc>
        <w:tc>
          <w:tcPr>
            <w:tcW w:w="557" w:type="dxa"/>
            <w:vAlign w:val="top"/>
          </w:tcPr>
          <w:p w14:paraId="5554F05A">
            <w:pPr>
              <w:pStyle w:val="6"/>
              <w:spacing w:before="86" w:line="227" w:lineRule="auto"/>
              <w:ind w:left="60"/>
              <w:rPr>
                <w:sz w:val="18"/>
                <w:szCs w:val="18"/>
              </w:rPr>
            </w:pPr>
            <w:r>
              <w:rPr>
                <w:spacing w:val="-2"/>
                <w:sz w:val="18"/>
                <w:szCs w:val="18"/>
              </w:rPr>
              <w:t>0.01L</w:t>
            </w:r>
          </w:p>
        </w:tc>
        <w:tc>
          <w:tcPr>
            <w:tcW w:w="715" w:type="dxa"/>
            <w:vAlign w:val="top"/>
          </w:tcPr>
          <w:p w14:paraId="51D572B4">
            <w:pPr>
              <w:pStyle w:val="6"/>
              <w:spacing w:before="86" w:line="227" w:lineRule="auto"/>
              <w:ind w:left="140"/>
              <w:rPr>
                <w:sz w:val="18"/>
                <w:szCs w:val="18"/>
              </w:rPr>
            </w:pPr>
            <w:r>
              <w:rPr>
                <w:spacing w:val="-2"/>
                <w:sz w:val="18"/>
                <w:szCs w:val="18"/>
              </w:rPr>
              <w:t>0.04L</w:t>
            </w:r>
          </w:p>
        </w:tc>
        <w:tc>
          <w:tcPr>
            <w:tcW w:w="567" w:type="dxa"/>
            <w:vAlign w:val="top"/>
          </w:tcPr>
          <w:p w14:paraId="0EF6676D">
            <w:pPr>
              <w:pStyle w:val="6"/>
              <w:spacing w:before="86" w:line="227" w:lineRule="auto"/>
              <w:ind w:left="22"/>
              <w:rPr>
                <w:sz w:val="18"/>
                <w:szCs w:val="18"/>
              </w:rPr>
            </w:pPr>
            <w:r>
              <w:rPr>
                <w:spacing w:val="-1"/>
                <w:sz w:val="18"/>
                <w:szCs w:val="18"/>
              </w:rPr>
              <w:t>0.009L</w:t>
            </w:r>
          </w:p>
        </w:tc>
        <w:tc>
          <w:tcPr>
            <w:tcW w:w="708" w:type="dxa"/>
            <w:vAlign w:val="top"/>
          </w:tcPr>
          <w:p w14:paraId="2F3FBCF9">
            <w:pPr>
              <w:pStyle w:val="6"/>
              <w:spacing w:before="86" w:line="227" w:lineRule="auto"/>
              <w:ind w:left="48"/>
              <w:rPr>
                <w:sz w:val="18"/>
                <w:szCs w:val="18"/>
              </w:rPr>
            </w:pPr>
            <w:r>
              <w:rPr>
                <w:spacing w:val="-1"/>
                <w:sz w:val="18"/>
                <w:szCs w:val="18"/>
              </w:rPr>
              <w:t>0.0003L</w:t>
            </w:r>
          </w:p>
        </w:tc>
        <w:tc>
          <w:tcPr>
            <w:tcW w:w="851" w:type="dxa"/>
            <w:vAlign w:val="top"/>
          </w:tcPr>
          <w:p w14:paraId="260C069F">
            <w:pPr>
              <w:pStyle w:val="6"/>
              <w:spacing w:before="86" w:line="227" w:lineRule="auto"/>
              <w:ind w:left="211"/>
              <w:rPr>
                <w:sz w:val="18"/>
                <w:szCs w:val="18"/>
              </w:rPr>
            </w:pPr>
            <w:r>
              <w:rPr>
                <w:spacing w:val="-2"/>
                <w:sz w:val="18"/>
                <w:szCs w:val="18"/>
              </w:rPr>
              <w:t>0.05L</w:t>
            </w:r>
          </w:p>
        </w:tc>
        <w:tc>
          <w:tcPr>
            <w:tcW w:w="566" w:type="dxa"/>
            <w:vAlign w:val="top"/>
          </w:tcPr>
          <w:p w14:paraId="25C3DBC3">
            <w:pPr>
              <w:pStyle w:val="6"/>
              <w:spacing w:before="86" w:line="227" w:lineRule="auto"/>
              <w:ind w:left="125"/>
              <w:rPr>
                <w:sz w:val="18"/>
                <w:szCs w:val="18"/>
              </w:rPr>
            </w:pPr>
            <w:r>
              <w:rPr>
                <w:spacing w:val="-2"/>
                <w:sz w:val="18"/>
                <w:szCs w:val="18"/>
              </w:rPr>
              <w:t>0.04</w:t>
            </w:r>
          </w:p>
        </w:tc>
        <w:tc>
          <w:tcPr>
            <w:tcW w:w="672" w:type="dxa"/>
            <w:vAlign w:val="top"/>
          </w:tcPr>
          <w:p w14:paraId="3754ED52">
            <w:pPr>
              <w:pStyle w:val="6"/>
              <w:spacing w:before="86" w:line="227" w:lineRule="auto"/>
              <w:ind w:left="178"/>
              <w:rPr>
                <w:sz w:val="18"/>
                <w:szCs w:val="18"/>
              </w:rPr>
            </w:pPr>
            <w:r>
              <w:rPr>
                <w:spacing w:val="-2"/>
                <w:sz w:val="18"/>
                <w:szCs w:val="18"/>
              </w:rPr>
              <w:t>0.59</w:t>
            </w:r>
          </w:p>
        </w:tc>
        <w:tc>
          <w:tcPr>
            <w:tcW w:w="745" w:type="dxa"/>
            <w:vAlign w:val="top"/>
          </w:tcPr>
          <w:p w14:paraId="607B2167">
            <w:pPr>
              <w:pStyle w:val="6"/>
              <w:spacing w:before="86" w:line="227" w:lineRule="auto"/>
              <w:ind w:left="116"/>
              <w:rPr>
                <w:sz w:val="18"/>
                <w:szCs w:val="18"/>
              </w:rPr>
            </w:pPr>
            <w:r>
              <w:rPr>
                <w:spacing w:val="-2"/>
                <w:sz w:val="18"/>
                <w:szCs w:val="18"/>
              </w:rPr>
              <w:t>0.003L</w:t>
            </w:r>
          </w:p>
        </w:tc>
        <w:tc>
          <w:tcPr>
            <w:tcW w:w="455" w:type="dxa"/>
            <w:vAlign w:val="top"/>
          </w:tcPr>
          <w:p w14:paraId="065D9F48">
            <w:pPr>
              <w:pStyle w:val="6"/>
              <w:spacing w:before="86" w:line="227" w:lineRule="auto"/>
              <w:ind w:left="27"/>
              <w:rPr>
                <w:sz w:val="18"/>
                <w:szCs w:val="18"/>
              </w:rPr>
            </w:pPr>
            <w:r>
              <w:rPr>
                <w:spacing w:val="-2"/>
                <w:sz w:val="18"/>
                <w:szCs w:val="18"/>
              </w:rPr>
              <w:t>0.099</w:t>
            </w:r>
          </w:p>
        </w:tc>
        <w:tc>
          <w:tcPr>
            <w:tcW w:w="579" w:type="dxa"/>
            <w:vAlign w:val="top"/>
          </w:tcPr>
          <w:p w14:paraId="0B0E0F30">
            <w:pPr>
              <w:pStyle w:val="6"/>
              <w:spacing w:before="86" w:line="227" w:lineRule="auto"/>
              <w:ind w:left="81"/>
              <w:rPr>
                <w:sz w:val="18"/>
                <w:szCs w:val="18"/>
              </w:rPr>
            </w:pPr>
            <w:r>
              <w:rPr>
                <w:spacing w:val="-2"/>
                <w:sz w:val="18"/>
                <w:szCs w:val="18"/>
              </w:rPr>
              <w:t>0.05L</w:t>
            </w:r>
          </w:p>
        </w:tc>
        <w:tc>
          <w:tcPr>
            <w:tcW w:w="623" w:type="dxa"/>
            <w:vAlign w:val="top"/>
          </w:tcPr>
          <w:p w14:paraId="3C8057C0">
            <w:pPr>
              <w:pStyle w:val="6"/>
              <w:spacing w:before="86" w:line="227" w:lineRule="auto"/>
              <w:ind w:left="58"/>
              <w:rPr>
                <w:sz w:val="18"/>
                <w:szCs w:val="18"/>
              </w:rPr>
            </w:pPr>
            <w:r>
              <w:rPr>
                <w:spacing w:val="-2"/>
                <w:sz w:val="18"/>
                <w:szCs w:val="18"/>
              </w:rPr>
              <w:t>0.004L</w:t>
            </w:r>
          </w:p>
        </w:tc>
        <w:tc>
          <w:tcPr>
            <w:tcW w:w="737" w:type="dxa"/>
            <w:vAlign w:val="top"/>
          </w:tcPr>
          <w:p w14:paraId="0EB6FF47">
            <w:pPr>
              <w:pStyle w:val="6"/>
              <w:spacing w:before="86" w:line="227" w:lineRule="auto"/>
              <w:ind w:left="25"/>
              <w:rPr>
                <w:sz w:val="18"/>
                <w:szCs w:val="18"/>
              </w:rPr>
            </w:pPr>
            <w:r>
              <w:rPr>
                <w:spacing w:val="-1"/>
                <w:sz w:val="18"/>
                <w:szCs w:val="18"/>
              </w:rPr>
              <w:t>0.00004L</w:t>
            </w:r>
          </w:p>
        </w:tc>
        <w:tc>
          <w:tcPr>
            <w:tcW w:w="577" w:type="dxa"/>
            <w:vAlign w:val="top"/>
          </w:tcPr>
          <w:p w14:paraId="67546329">
            <w:pPr>
              <w:pStyle w:val="6"/>
              <w:spacing w:before="86" w:line="227" w:lineRule="auto"/>
              <w:ind w:left="48"/>
              <w:rPr>
                <w:sz w:val="18"/>
                <w:szCs w:val="18"/>
              </w:rPr>
            </w:pPr>
            <w:r>
              <w:rPr>
                <w:spacing w:val="-2"/>
                <w:sz w:val="18"/>
                <w:szCs w:val="18"/>
              </w:rPr>
              <w:t>0.0008</w:t>
            </w:r>
          </w:p>
        </w:tc>
        <w:tc>
          <w:tcPr>
            <w:tcW w:w="708" w:type="dxa"/>
            <w:vAlign w:val="top"/>
          </w:tcPr>
          <w:p w14:paraId="019B4661">
            <w:pPr>
              <w:pStyle w:val="6"/>
              <w:spacing w:before="86" w:line="227" w:lineRule="auto"/>
              <w:ind w:left="60"/>
              <w:rPr>
                <w:sz w:val="18"/>
                <w:szCs w:val="18"/>
              </w:rPr>
            </w:pPr>
            <w:r>
              <w:rPr>
                <w:spacing w:val="-1"/>
                <w:sz w:val="18"/>
                <w:szCs w:val="18"/>
              </w:rPr>
              <w:t>0.0004L</w:t>
            </w:r>
          </w:p>
        </w:tc>
        <w:tc>
          <w:tcPr>
            <w:tcW w:w="567" w:type="dxa"/>
            <w:vAlign w:val="top"/>
          </w:tcPr>
          <w:p w14:paraId="47D6D051">
            <w:pPr>
              <w:pStyle w:val="6"/>
              <w:spacing w:before="86" w:line="227" w:lineRule="auto"/>
              <w:ind w:left="35"/>
              <w:rPr>
                <w:sz w:val="18"/>
                <w:szCs w:val="18"/>
              </w:rPr>
            </w:pPr>
            <w:r>
              <w:rPr>
                <w:spacing w:val="-2"/>
                <w:sz w:val="18"/>
                <w:szCs w:val="18"/>
              </w:rPr>
              <w:t>0.001L</w:t>
            </w:r>
          </w:p>
        </w:tc>
        <w:tc>
          <w:tcPr>
            <w:tcW w:w="566" w:type="dxa"/>
            <w:vAlign w:val="top"/>
          </w:tcPr>
          <w:p w14:paraId="49168EFC">
            <w:pPr>
              <w:pStyle w:val="6"/>
              <w:spacing w:before="86" w:line="227" w:lineRule="auto"/>
              <w:ind w:left="34"/>
              <w:rPr>
                <w:sz w:val="18"/>
                <w:szCs w:val="18"/>
              </w:rPr>
            </w:pPr>
            <w:r>
              <w:rPr>
                <w:spacing w:val="-2"/>
                <w:sz w:val="18"/>
                <w:szCs w:val="18"/>
              </w:rPr>
              <w:t>0.004L</w:t>
            </w:r>
          </w:p>
        </w:tc>
        <w:tc>
          <w:tcPr>
            <w:tcW w:w="567" w:type="dxa"/>
            <w:vAlign w:val="top"/>
          </w:tcPr>
          <w:p w14:paraId="494FAFC7">
            <w:pPr>
              <w:pStyle w:val="6"/>
              <w:spacing w:before="86" w:line="227" w:lineRule="auto"/>
              <w:ind w:left="81"/>
              <w:rPr>
                <w:sz w:val="18"/>
                <w:szCs w:val="18"/>
              </w:rPr>
            </w:pPr>
            <w:r>
              <w:rPr>
                <w:spacing w:val="-2"/>
                <w:sz w:val="18"/>
                <w:szCs w:val="18"/>
              </w:rPr>
              <w:t>0.01L</w:t>
            </w:r>
          </w:p>
        </w:tc>
        <w:tc>
          <w:tcPr>
            <w:tcW w:w="708" w:type="dxa"/>
            <w:vAlign w:val="top"/>
          </w:tcPr>
          <w:p w14:paraId="21BA3F8C">
            <w:pPr>
              <w:pStyle w:val="6"/>
              <w:spacing w:before="86" w:line="227" w:lineRule="auto"/>
              <w:ind w:left="106"/>
              <w:rPr>
                <w:sz w:val="18"/>
                <w:szCs w:val="18"/>
              </w:rPr>
            </w:pPr>
            <w:r>
              <w:rPr>
                <w:spacing w:val="-2"/>
                <w:sz w:val="18"/>
                <w:szCs w:val="18"/>
              </w:rPr>
              <w:t>0.009L</w:t>
            </w:r>
          </w:p>
        </w:tc>
        <w:tc>
          <w:tcPr>
            <w:tcW w:w="566" w:type="dxa"/>
            <w:vAlign w:val="top"/>
          </w:tcPr>
          <w:p w14:paraId="62745E22">
            <w:pPr>
              <w:pStyle w:val="6"/>
              <w:spacing w:before="163" w:line="86" w:lineRule="exact"/>
              <w:ind w:left="236"/>
              <w:rPr>
                <w:sz w:val="18"/>
                <w:szCs w:val="18"/>
              </w:rPr>
            </w:pPr>
            <w:r>
              <w:rPr>
                <w:spacing w:val="-2"/>
                <w:position w:val="-5"/>
                <w:sz w:val="18"/>
                <w:szCs w:val="18"/>
              </w:rPr>
              <w:t>--</w:t>
            </w:r>
          </w:p>
        </w:tc>
        <w:tc>
          <w:tcPr>
            <w:tcW w:w="579" w:type="dxa"/>
            <w:vAlign w:val="top"/>
          </w:tcPr>
          <w:p w14:paraId="3208C373">
            <w:pPr>
              <w:pStyle w:val="6"/>
              <w:spacing w:before="86" w:line="227" w:lineRule="auto"/>
              <w:ind w:left="166"/>
              <w:rPr>
                <w:sz w:val="18"/>
                <w:szCs w:val="18"/>
              </w:rPr>
            </w:pPr>
            <w:r>
              <w:rPr>
                <w:spacing w:val="-2"/>
                <w:sz w:val="18"/>
                <w:szCs w:val="18"/>
              </w:rPr>
              <w:t>365</w:t>
            </w:r>
          </w:p>
        </w:tc>
        <w:tc>
          <w:tcPr>
            <w:tcW w:w="411" w:type="dxa"/>
            <w:vAlign w:val="top"/>
          </w:tcPr>
          <w:p w14:paraId="3A9FA330">
            <w:pPr>
              <w:pStyle w:val="6"/>
              <w:spacing w:before="86" w:line="227" w:lineRule="auto"/>
              <w:ind w:left="51"/>
              <w:rPr>
                <w:sz w:val="18"/>
                <w:szCs w:val="18"/>
              </w:rPr>
            </w:pPr>
            <w:r>
              <w:rPr>
                <w:spacing w:val="-2"/>
                <w:sz w:val="18"/>
                <w:szCs w:val="18"/>
              </w:rPr>
              <w:t>0.5L</w:t>
            </w:r>
          </w:p>
        </w:tc>
        <w:tc>
          <w:tcPr>
            <w:tcW w:w="428" w:type="dxa"/>
            <w:vAlign w:val="top"/>
          </w:tcPr>
          <w:p w14:paraId="53018A08">
            <w:pPr>
              <w:pStyle w:val="6"/>
              <w:spacing w:before="86" w:line="227" w:lineRule="auto"/>
              <w:ind w:left="84"/>
              <w:rPr>
                <w:sz w:val="18"/>
                <w:szCs w:val="18"/>
              </w:rPr>
            </w:pPr>
            <w:r>
              <w:rPr>
                <w:spacing w:val="-6"/>
                <w:sz w:val="18"/>
                <w:szCs w:val="18"/>
              </w:rPr>
              <w:t>18.0</w:t>
            </w:r>
          </w:p>
        </w:tc>
        <w:tc>
          <w:tcPr>
            <w:tcW w:w="427" w:type="dxa"/>
            <w:vAlign w:val="top"/>
          </w:tcPr>
          <w:p w14:paraId="5CF564C9">
            <w:pPr>
              <w:pStyle w:val="6"/>
              <w:spacing w:before="86" w:line="227" w:lineRule="auto"/>
              <w:ind w:left="70"/>
              <w:rPr>
                <w:sz w:val="18"/>
                <w:szCs w:val="18"/>
              </w:rPr>
            </w:pPr>
            <w:r>
              <w:rPr>
                <w:spacing w:val="-2"/>
                <w:sz w:val="18"/>
                <w:szCs w:val="18"/>
              </w:rPr>
              <w:t>0.48</w:t>
            </w:r>
          </w:p>
        </w:tc>
        <w:tc>
          <w:tcPr>
            <w:tcW w:w="341" w:type="dxa"/>
            <w:vAlign w:val="top"/>
          </w:tcPr>
          <w:p w14:paraId="44E30A4B">
            <w:pPr>
              <w:pStyle w:val="6"/>
              <w:spacing w:before="86" w:line="227" w:lineRule="auto"/>
              <w:jc w:val="right"/>
              <w:rPr>
                <w:sz w:val="18"/>
                <w:szCs w:val="18"/>
              </w:rPr>
            </w:pPr>
            <w:r>
              <w:rPr>
                <w:spacing w:val="-3"/>
                <w:sz w:val="18"/>
                <w:szCs w:val="18"/>
              </w:rPr>
              <w:t>44.5</w:t>
            </w:r>
          </w:p>
        </w:tc>
        <w:tc>
          <w:tcPr>
            <w:tcW w:w="361" w:type="dxa"/>
            <w:tcBorders>
              <w:right w:val="single" w:color="000000" w:sz="12" w:space="0"/>
            </w:tcBorders>
            <w:vAlign w:val="top"/>
          </w:tcPr>
          <w:p w14:paraId="3188CE59">
            <w:pPr>
              <w:pStyle w:val="6"/>
              <w:spacing w:before="86" w:line="227" w:lineRule="auto"/>
              <w:ind w:right="3"/>
              <w:jc w:val="right"/>
              <w:rPr>
                <w:sz w:val="18"/>
                <w:szCs w:val="18"/>
              </w:rPr>
            </w:pPr>
            <w:r>
              <w:rPr>
                <w:spacing w:val="-2"/>
                <w:sz w:val="18"/>
                <w:szCs w:val="18"/>
              </w:rPr>
              <w:t>34.8</w:t>
            </w:r>
          </w:p>
        </w:tc>
      </w:tr>
      <w:tr w14:paraId="1CB4C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3A43CDC3">
            <w:pPr>
              <w:rPr>
                <w:rFonts w:ascii="Arial"/>
                <w:sz w:val="21"/>
              </w:rPr>
            </w:pPr>
          </w:p>
        </w:tc>
        <w:tc>
          <w:tcPr>
            <w:tcW w:w="284" w:type="dxa"/>
            <w:vMerge w:val="restart"/>
            <w:tcBorders>
              <w:bottom w:val="nil"/>
            </w:tcBorders>
            <w:vAlign w:val="top"/>
          </w:tcPr>
          <w:p w14:paraId="52E8E7B6">
            <w:pPr>
              <w:pStyle w:val="6"/>
              <w:spacing w:before="154" w:line="226" w:lineRule="auto"/>
              <w:ind w:left="78"/>
              <w:rPr>
                <w:sz w:val="18"/>
                <w:szCs w:val="18"/>
              </w:rPr>
            </w:pPr>
            <w:r>
              <w:rPr>
                <w:sz w:val="18"/>
                <w:szCs w:val="18"/>
              </w:rPr>
              <w:t>4</w:t>
            </w:r>
          </w:p>
          <w:p w14:paraId="7BF04182">
            <w:pPr>
              <w:spacing w:line="219" w:lineRule="auto"/>
              <w:ind w:left="39"/>
              <w:rPr>
                <w:rFonts w:ascii="宋体" w:hAnsi="宋体" w:eastAsia="宋体" w:cs="宋体"/>
                <w:sz w:val="18"/>
                <w:szCs w:val="18"/>
              </w:rPr>
            </w:pPr>
            <w:r>
              <w:rPr>
                <w:rFonts w:ascii="宋体" w:hAnsi="宋体" w:eastAsia="宋体" w:cs="宋体"/>
                <w:sz w:val="18"/>
                <w:szCs w:val="18"/>
              </w:rPr>
              <w:t>季</w:t>
            </w:r>
          </w:p>
          <w:p w14:paraId="3B2DCAB0">
            <w:pPr>
              <w:spacing w:before="19"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521AC878">
            <w:pPr>
              <w:pStyle w:val="6"/>
              <w:spacing w:before="86" w:line="227" w:lineRule="auto"/>
              <w:ind w:left="198"/>
              <w:rPr>
                <w:sz w:val="18"/>
                <w:szCs w:val="18"/>
              </w:rPr>
            </w:pPr>
            <w:r>
              <w:rPr>
                <w:spacing w:val="-1"/>
                <w:sz w:val="18"/>
                <w:szCs w:val="18"/>
              </w:rPr>
              <w:t>2021/11/28</w:t>
            </w:r>
          </w:p>
        </w:tc>
        <w:tc>
          <w:tcPr>
            <w:tcW w:w="733" w:type="dxa"/>
            <w:vAlign w:val="top"/>
          </w:tcPr>
          <w:p w14:paraId="0AA5F6C0">
            <w:pPr>
              <w:pStyle w:val="6"/>
              <w:spacing w:before="86" w:line="227" w:lineRule="auto"/>
              <w:ind w:left="244"/>
              <w:rPr>
                <w:sz w:val="18"/>
                <w:szCs w:val="18"/>
              </w:rPr>
            </w:pPr>
            <w:r>
              <w:rPr>
                <w:spacing w:val="-3"/>
                <w:sz w:val="18"/>
                <w:szCs w:val="18"/>
              </w:rPr>
              <w:t>7.3</w:t>
            </w:r>
          </w:p>
        </w:tc>
        <w:tc>
          <w:tcPr>
            <w:tcW w:w="565" w:type="dxa"/>
            <w:vAlign w:val="top"/>
          </w:tcPr>
          <w:p w14:paraId="42DBA6A3">
            <w:pPr>
              <w:pStyle w:val="6"/>
              <w:spacing w:before="86" w:line="227" w:lineRule="auto"/>
              <w:ind w:left="134"/>
              <w:rPr>
                <w:sz w:val="18"/>
                <w:szCs w:val="18"/>
              </w:rPr>
            </w:pPr>
            <w:r>
              <w:rPr>
                <w:spacing w:val="-1"/>
                <w:sz w:val="18"/>
                <w:szCs w:val="18"/>
              </w:rPr>
              <w:t>240</w:t>
            </w:r>
          </w:p>
        </w:tc>
        <w:tc>
          <w:tcPr>
            <w:tcW w:w="708" w:type="dxa"/>
            <w:vAlign w:val="top"/>
          </w:tcPr>
          <w:p w14:paraId="5505CC0A">
            <w:pPr>
              <w:pStyle w:val="6"/>
              <w:spacing w:before="86" w:line="227" w:lineRule="auto"/>
              <w:ind w:left="211"/>
              <w:rPr>
                <w:sz w:val="18"/>
                <w:szCs w:val="18"/>
              </w:rPr>
            </w:pPr>
            <w:r>
              <w:rPr>
                <w:spacing w:val="-2"/>
                <w:sz w:val="18"/>
                <w:szCs w:val="18"/>
              </w:rPr>
              <w:t>386</w:t>
            </w:r>
          </w:p>
        </w:tc>
        <w:tc>
          <w:tcPr>
            <w:tcW w:w="567" w:type="dxa"/>
            <w:vAlign w:val="top"/>
          </w:tcPr>
          <w:p w14:paraId="2F41F1F2">
            <w:pPr>
              <w:pStyle w:val="6"/>
              <w:spacing w:before="86" w:line="227" w:lineRule="auto"/>
              <w:ind w:left="187"/>
              <w:rPr>
                <w:sz w:val="18"/>
                <w:szCs w:val="18"/>
              </w:rPr>
            </w:pPr>
            <w:r>
              <w:rPr>
                <w:spacing w:val="-2"/>
                <w:sz w:val="18"/>
                <w:szCs w:val="18"/>
              </w:rPr>
              <w:t>76</w:t>
            </w:r>
          </w:p>
        </w:tc>
        <w:tc>
          <w:tcPr>
            <w:tcW w:w="566" w:type="dxa"/>
            <w:vAlign w:val="top"/>
          </w:tcPr>
          <w:p w14:paraId="40806157">
            <w:pPr>
              <w:pStyle w:val="6"/>
              <w:spacing w:before="89" w:line="186" w:lineRule="auto"/>
              <w:ind w:left="145"/>
              <w:rPr>
                <w:sz w:val="18"/>
                <w:szCs w:val="18"/>
              </w:rPr>
            </w:pPr>
            <w:r>
              <w:rPr>
                <w:spacing w:val="-5"/>
                <w:sz w:val="18"/>
                <w:szCs w:val="18"/>
              </w:rPr>
              <w:t>10L</w:t>
            </w:r>
          </w:p>
        </w:tc>
        <w:tc>
          <w:tcPr>
            <w:tcW w:w="567" w:type="dxa"/>
            <w:vAlign w:val="top"/>
          </w:tcPr>
          <w:p w14:paraId="6BCF5974">
            <w:pPr>
              <w:pStyle w:val="6"/>
              <w:spacing w:before="86" w:line="227" w:lineRule="auto"/>
              <w:ind w:left="65"/>
              <w:rPr>
                <w:sz w:val="18"/>
                <w:szCs w:val="18"/>
              </w:rPr>
            </w:pPr>
            <w:r>
              <w:rPr>
                <w:spacing w:val="-2"/>
                <w:sz w:val="18"/>
                <w:szCs w:val="18"/>
              </w:rPr>
              <w:t>0.01L</w:t>
            </w:r>
          </w:p>
        </w:tc>
        <w:tc>
          <w:tcPr>
            <w:tcW w:w="557" w:type="dxa"/>
            <w:vAlign w:val="top"/>
          </w:tcPr>
          <w:p w14:paraId="4C219363">
            <w:pPr>
              <w:pStyle w:val="6"/>
              <w:spacing w:before="86" w:line="227" w:lineRule="auto"/>
              <w:ind w:left="60"/>
              <w:rPr>
                <w:sz w:val="18"/>
                <w:szCs w:val="18"/>
              </w:rPr>
            </w:pPr>
            <w:r>
              <w:rPr>
                <w:spacing w:val="-2"/>
                <w:sz w:val="18"/>
                <w:szCs w:val="18"/>
              </w:rPr>
              <w:t>0.01L</w:t>
            </w:r>
          </w:p>
        </w:tc>
        <w:tc>
          <w:tcPr>
            <w:tcW w:w="715" w:type="dxa"/>
            <w:vAlign w:val="top"/>
          </w:tcPr>
          <w:p w14:paraId="59EE28A3">
            <w:pPr>
              <w:pStyle w:val="6"/>
              <w:spacing w:before="86" w:line="227" w:lineRule="auto"/>
              <w:ind w:left="140"/>
              <w:rPr>
                <w:sz w:val="18"/>
                <w:szCs w:val="18"/>
              </w:rPr>
            </w:pPr>
            <w:r>
              <w:rPr>
                <w:spacing w:val="-2"/>
                <w:sz w:val="18"/>
                <w:szCs w:val="18"/>
              </w:rPr>
              <w:t>0.04L</w:t>
            </w:r>
          </w:p>
        </w:tc>
        <w:tc>
          <w:tcPr>
            <w:tcW w:w="567" w:type="dxa"/>
            <w:vAlign w:val="top"/>
          </w:tcPr>
          <w:p w14:paraId="2F0CCDD3">
            <w:pPr>
              <w:pStyle w:val="6"/>
              <w:spacing w:before="86" w:line="227" w:lineRule="auto"/>
              <w:ind w:left="78"/>
              <w:rPr>
                <w:sz w:val="18"/>
                <w:szCs w:val="18"/>
              </w:rPr>
            </w:pPr>
            <w:r>
              <w:rPr>
                <w:spacing w:val="-2"/>
                <w:sz w:val="18"/>
                <w:szCs w:val="18"/>
              </w:rPr>
              <w:t>0.016</w:t>
            </w:r>
          </w:p>
        </w:tc>
        <w:tc>
          <w:tcPr>
            <w:tcW w:w="708" w:type="dxa"/>
            <w:vAlign w:val="top"/>
          </w:tcPr>
          <w:p w14:paraId="7D2130B1">
            <w:pPr>
              <w:pStyle w:val="6"/>
              <w:spacing w:before="86" w:line="227" w:lineRule="auto"/>
              <w:ind w:left="48"/>
              <w:rPr>
                <w:sz w:val="18"/>
                <w:szCs w:val="18"/>
              </w:rPr>
            </w:pPr>
            <w:r>
              <w:rPr>
                <w:spacing w:val="-1"/>
                <w:sz w:val="18"/>
                <w:szCs w:val="18"/>
              </w:rPr>
              <w:t>0.0003L</w:t>
            </w:r>
          </w:p>
        </w:tc>
        <w:tc>
          <w:tcPr>
            <w:tcW w:w="851" w:type="dxa"/>
            <w:vAlign w:val="top"/>
          </w:tcPr>
          <w:p w14:paraId="45EE96FB">
            <w:pPr>
              <w:pStyle w:val="6"/>
              <w:spacing w:before="86" w:line="227" w:lineRule="auto"/>
              <w:ind w:left="211"/>
              <w:rPr>
                <w:sz w:val="18"/>
                <w:szCs w:val="18"/>
              </w:rPr>
            </w:pPr>
            <w:r>
              <w:rPr>
                <w:spacing w:val="-2"/>
                <w:sz w:val="18"/>
                <w:szCs w:val="18"/>
              </w:rPr>
              <w:t>0.05L</w:t>
            </w:r>
          </w:p>
        </w:tc>
        <w:tc>
          <w:tcPr>
            <w:tcW w:w="566" w:type="dxa"/>
            <w:vAlign w:val="top"/>
          </w:tcPr>
          <w:p w14:paraId="37C17293">
            <w:pPr>
              <w:pStyle w:val="6"/>
              <w:spacing w:before="86" w:line="227" w:lineRule="auto"/>
              <w:ind w:left="125"/>
              <w:rPr>
                <w:sz w:val="18"/>
                <w:szCs w:val="18"/>
              </w:rPr>
            </w:pPr>
            <w:r>
              <w:rPr>
                <w:spacing w:val="-2"/>
                <w:sz w:val="18"/>
                <w:szCs w:val="18"/>
              </w:rPr>
              <w:t>0.02</w:t>
            </w:r>
          </w:p>
        </w:tc>
        <w:tc>
          <w:tcPr>
            <w:tcW w:w="672" w:type="dxa"/>
            <w:vAlign w:val="top"/>
          </w:tcPr>
          <w:p w14:paraId="152A11C8">
            <w:pPr>
              <w:pStyle w:val="6"/>
              <w:spacing w:before="86" w:line="227" w:lineRule="auto"/>
              <w:ind w:left="178"/>
              <w:rPr>
                <w:sz w:val="18"/>
                <w:szCs w:val="18"/>
              </w:rPr>
            </w:pPr>
            <w:r>
              <w:rPr>
                <w:spacing w:val="-2"/>
                <w:sz w:val="18"/>
                <w:szCs w:val="18"/>
              </w:rPr>
              <w:t>0.54</w:t>
            </w:r>
          </w:p>
        </w:tc>
        <w:tc>
          <w:tcPr>
            <w:tcW w:w="745" w:type="dxa"/>
            <w:vAlign w:val="top"/>
          </w:tcPr>
          <w:p w14:paraId="150662B6">
            <w:pPr>
              <w:pStyle w:val="6"/>
              <w:spacing w:before="86" w:line="227" w:lineRule="auto"/>
              <w:ind w:left="116"/>
              <w:rPr>
                <w:sz w:val="18"/>
                <w:szCs w:val="18"/>
              </w:rPr>
            </w:pPr>
            <w:r>
              <w:rPr>
                <w:spacing w:val="-2"/>
                <w:sz w:val="18"/>
                <w:szCs w:val="18"/>
              </w:rPr>
              <w:t>0.003L</w:t>
            </w:r>
          </w:p>
        </w:tc>
        <w:tc>
          <w:tcPr>
            <w:tcW w:w="455" w:type="dxa"/>
            <w:vAlign w:val="top"/>
          </w:tcPr>
          <w:p w14:paraId="693647D6">
            <w:pPr>
              <w:pStyle w:val="6"/>
              <w:spacing w:before="86" w:line="227" w:lineRule="auto"/>
              <w:ind w:left="27"/>
              <w:rPr>
                <w:sz w:val="18"/>
                <w:szCs w:val="18"/>
              </w:rPr>
            </w:pPr>
            <w:r>
              <w:rPr>
                <w:spacing w:val="-2"/>
                <w:sz w:val="18"/>
                <w:szCs w:val="18"/>
              </w:rPr>
              <w:t>0.273</w:t>
            </w:r>
          </w:p>
        </w:tc>
        <w:tc>
          <w:tcPr>
            <w:tcW w:w="579" w:type="dxa"/>
            <w:vAlign w:val="top"/>
          </w:tcPr>
          <w:p w14:paraId="0122C2B3">
            <w:pPr>
              <w:pStyle w:val="6"/>
              <w:spacing w:before="86" w:line="227" w:lineRule="auto"/>
              <w:ind w:left="136"/>
              <w:rPr>
                <w:sz w:val="18"/>
                <w:szCs w:val="18"/>
              </w:rPr>
            </w:pPr>
            <w:r>
              <w:rPr>
                <w:spacing w:val="-2"/>
                <w:sz w:val="18"/>
                <w:szCs w:val="18"/>
              </w:rPr>
              <w:t>0.13</w:t>
            </w:r>
          </w:p>
        </w:tc>
        <w:tc>
          <w:tcPr>
            <w:tcW w:w="623" w:type="dxa"/>
            <w:vAlign w:val="top"/>
          </w:tcPr>
          <w:p w14:paraId="28D6A1BB">
            <w:pPr>
              <w:pStyle w:val="6"/>
              <w:spacing w:before="86" w:line="227" w:lineRule="auto"/>
              <w:ind w:left="58"/>
              <w:rPr>
                <w:sz w:val="18"/>
                <w:szCs w:val="18"/>
              </w:rPr>
            </w:pPr>
            <w:r>
              <w:rPr>
                <w:spacing w:val="-2"/>
                <w:sz w:val="18"/>
                <w:szCs w:val="18"/>
              </w:rPr>
              <w:t>0.004L</w:t>
            </w:r>
          </w:p>
        </w:tc>
        <w:tc>
          <w:tcPr>
            <w:tcW w:w="737" w:type="dxa"/>
            <w:vAlign w:val="top"/>
          </w:tcPr>
          <w:p w14:paraId="379A796D">
            <w:pPr>
              <w:pStyle w:val="6"/>
              <w:spacing w:before="86" w:line="227" w:lineRule="auto"/>
              <w:ind w:left="126"/>
              <w:rPr>
                <w:sz w:val="18"/>
                <w:szCs w:val="18"/>
              </w:rPr>
            </w:pPr>
            <w:r>
              <w:rPr>
                <w:spacing w:val="-2"/>
                <w:sz w:val="18"/>
                <w:szCs w:val="18"/>
              </w:rPr>
              <w:t>0.0002</w:t>
            </w:r>
          </w:p>
        </w:tc>
        <w:tc>
          <w:tcPr>
            <w:tcW w:w="577" w:type="dxa"/>
            <w:vAlign w:val="top"/>
          </w:tcPr>
          <w:p w14:paraId="31613ECD">
            <w:pPr>
              <w:pStyle w:val="6"/>
              <w:spacing w:before="86" w:line="227" w:lineRule="auto"/>
              <w:ind w:left="48"/>
              <w:rPr>
                <w:sz w:val="18"/>
                <w:szCs w:val="18"/>
              </w:rPr>
            </w:pPr>
            <w:r>
              <w:rPr>
                <w:spacing w:val="-1"/>
                <w:sz w:val="18"/>
                <w:szCs w:val="18"/>
              </w:rPr>
              <w:t>0.0006</w:t>
            </w:r>
          </w:p>
        </w:tc>
        <w:tc>
          <w:tcPr>
            <w:tcW w:w="708" w:type="dxa"/>
            <w:vAlign w:val="top"/>
          </w:tcPr>
          <w:p w14:paraId="7CDD0D40">
            <w:pPr>
              <w:pStyle w:val="6"/>
              <w:spacing w:before="86" w:line="227" w:lineRule="auto"/>
              <w:ind w:left="60"/>
              <w:rPr>
                <w:sz w:val="18"/>
                <w:szCs w:val="18"/>
              </w:rPr>
            </w:pPr>
            <w:r>
              <w:rPr>
                <w:spacing w:val="-1"/>
                <w:sz w:val="18"/>
                <w:szCs w:val="18"/>
              </w:rPr>
              <w:t>0.0004L</w:t>
            </w:r>
          </w:p>
        </w:tc>
        <w:tc>
          <w:tcPr>
            <w:tcW w:w="567" w:type="dxa"/>
            <w:vAlign w:val="top"/>
          </w:tcPr>
          <w:p w14:paraId="17E37286">
            <w:pPr>
              <w:pStyle w:val="6"/>
              <w:spacing w:before="86" w:line="227" w:lineRule="auto"/>
              <w:ind w:left="35"/>
              <w:rPr>
                <w:sz w:val="18"/>
                <w:szCs w:val="18"/>
              </w:rPr>
            </w:pPr>
            <w:r>
              <w:rPr>
                <w:spacing w:val="-2"/>
                <w:sz w:val="18"/>
                <w:szCs w:val="18"/>
              </w:rPr>
              <w:t>0.001L</w:t>
            </w:r>
          </w:p>
        </w:tc>
        <w:tc>
          <w:tcPr>
            <w:tcW w:w="566" w:type="dxa"/>
            <w:vAlign w:val="top"/>
          </w:tcPr>
          <w:p w14:paraId="705ACB42">
            <w:pPr>
              <w:pStyle w:val="6"/>
              <w:spacing w:before="86" w:line="227" w:lineRule="auto"/>
              <w:ind w:left="34"/>
              <w:rPr>
                <w:sz w:val="18"/>
                <w:szCs w:val="18"/>
              </w:rPr>
            </w:pPr>
            <w:r>
              <w:rPr>
                <w:spacing w:val="-2"/>
                <w:sz w:val="18"/>
                <w:szCs w:val="18"/>
              </w:rPr>
              <w:t>0.004L</w:t>
            </w:r>
          </w:p>
        </w:tc>
        <w:tc>
          <w:tcPr>
            <w:tcW w:w="567" w:type="dxa"/>
            <w:vAlign w:val="top"/>
          </w:tcPr>
          <w:p w14:paraId="313968EF">
            <w:pPr>
              <w:pStyle w:val="6"/>
              <w:spacing w:before="86" w:line="227" w:lineRule="auto"/>
              <w:ind w:left="81"/>
              <w:rPr>
                <w:sz w:val="18"/>
                <w:szCs w:val="18"/>
              </w:rPr>
            </w:pPr>
            <w:r>
              <w:rPr>
                <w:spacing w:val="-2"/>
                <w:sz w:val="18"/>
                <w:szCs w:val="18"/>
              </w:rPr>
              <w:t>0.01L</w:t>
            </w:r>
          </w:p>
        </w:tc>
        <w:tc>
          <w:tcPr>
            <w:tcW w:w="708" w:type="dxa"/>
            <w:vAlign w:val="top"/>
          </w:tcPr>
          <w:p w14:paraId="1B855C25">
            <w:pPr>
              <w:pStyle w:val="6"/>
              <w:spacing w:before="86" w:line="227" w:lineRule="auto"/>
              <w:ind w:left="106"/>
              <w:rPr>
                <w:sz w:val="18"/>
                <w:szCs w:val="18"/>
              </w:rPr>
            </w:pPr>
            <w:r>
              <w:rPr>
                <w:spacing w:val="-2"/>
                <w:sz w:val="18"/>
                <w:szCs w:val="18"/>
              </w:rPr>
              <w:t>0.009L</w:t>
            </w:r>
          </w:p>
        </w:tc>
        <w:tc>
          <w:tcPr>
            <w:tcW w:w="566" w:type="dxa"/>
            <w:vAlign w:val="top"/>
          </w:tcPr>
          <w:p w14:paraId="0D8B1143">
            <w:pPr>
              <w:pStyle w:val="6"/>
              <w:spacing w:before="164" w:line="85" w:lineRule="exact"/>
              <w:ind w:left="236"/>
              <w:rPr>
                <w:sz w:val="18"/>
                <w:szCs w:val="18"/>
              </w:rPr>
            </w:pPr>
            <w:r>
              <w:rPr>
                <w:spacing w:val="-2"/>
                <w:position w:val="-5"/>
                <w:sz w:val="18"/>
                <w:szCs w:val="18"/>
              </w:rPr>
              <w:t>--</w:t>
            </w:r>
          </w:p>
        </w:tc>
        <w:tc>
          <w:tcPr>
            <w:tcW w:w="579" w:type="dxa"/>
            <w:vAlign w:val="top"/>
          </w:tcPr>
          <w:p w14:paraId="67AF1FCD">
            <w:pPr>
              <w:pStyle w:val="6"/>
              <w:spacing w:before="86" w:line="227" w:lineRule="auto"/>
              <w:ind w:left="162"/>
              <w:rPr>
                <w:sz w:val="18"/>
                <w:szCs w:val="18"/>
              </w:rPr>
            </w:pPr>
            <w:r>
              <w:rPr>
                <w:spacing w:val="-1"/>
                <w:sz w:val="18"/>
                <w:szCs w:val="18"/>
              </w:rPr>
              <w:t>401</w:t>
            </w:r>
          </w:p>
        </w:tc>
        <w:tc>
          <w:tcPr>
            <w:tcW w:w="411" w:type="dxa"/>
            <w:vAlign w:val="top"/>
          </w:tcPr>
          <w:p w14:paraId="054CFB02">
            <w:pPr>
              <w:pStyle w:val="6"/>
              <w:spacing w:before="86" w:line="227" w:lineRule="auto"/>
              <w:ind w:left="61"/>
              <w:rPr>
                <w:sz w:val="18"/>
                <w:szCs w:val="18"/>
              </w:rPr>
            </w:pPr>
            <w:r>
              <w:rPr>
                <w:spacing w:val="-2"/>
                <w:sz w:val="18"/>
                <w:szCs w:val="18"/>
              </w:rPr>
              <w:t>0.72</w:t>
            </w:r>
          </w:p>
        </w:tc>
        <w:tc>
          <w:tcPr>
            <w:tcW w:w="428" w:type="dxa"/>
            <w:vAlign w:val="top"/>
          </w:tcPr>
          <w:p w14:paraId="548DBC1E">
            <w:pPr>
              <w:pStyle w:val="6"/>
              <w:spacing w:before="86" w:line="227" w:lineRule="auto"/>
              <w:ind w:left="84"/>
              <w:rPr>
                <w:sz w:val="18"/>
                <w:szCs w:val="18"/>
              </w:rPr>
            </w:pPr>
            <w:r>
              <w:rPr>
                <w:spacing w:val="-6"/>
                <w:sz w:val="18"/>
                <w:szCs w:val="18"/>
              </w:rPr>
              <w:t>1.55</w:t>
            </w:r>
          </w:p>
        </w:tc>
        <w:tc>
          <w:tcPr>
            <w:tcW w:w="427" w:type="dxa"/>
            <w:vAlign w:val="top"/>
          </w:tcPr>
          <w:p w14:paraId="2A6B6F02">
            <w:pPr>
              <w:pStyle w:val="6"/>
              <w:spacing w:before="86" w:line="227" w:lineRule="auto"/>
              <w:ind w:left="70"/>
              <w:rPr>
                <w:sz w:val="18"/>
                <w:szCs w:val="18"/>
              </w:rPr>
            </w:pPr>
            <w:r>
              <w:rPr>
                <w:spacing w:val="-2"/>
                <w:sz w:val="18"/>
                <w:szCs w:val="18"/>
              </w:rPr>
              <w:t>0.27</w:t>
            </w:r>
          </w:p>
        </w:tc>
        <w:tc>
          <w:tcPr>
            <w:tcW w:w="341" w:type="dxa"/>
            <w:vAlign w:val="top"/>
          </w:tcPr>
          <w:p w14:paraId="34B2DA8D">
            <w:pPr>
              <w:pStyle w:val="6"/>
              <w:spacing w:before="86" w:line="227" w:lineRule="auto"/>
              <w:jc w:val="right"/>
              <w:rPr>
                <w:sz w:val="18"/>
                <w:szCs w:val="18"/>
              </w:rPr>
            </w:pPr>
            <w:r>
              <w:rPr>
                <w:spacing w:val="-4"/>
                <w:sz w:val="18"/>
                <w:szCs w:val="18"/>
              </w:rPr>
              <w:t>64.4</w:t>
            </w:r>
          </w:p>
        </w:tc>
        <w:tc>
          <w:tcPr>
            <w:tcW w:w="361" w:type="dxa"/>
            <w:tcBorders>
              <w:right w:val="single" w:color="000000" w:sz="12" w:space="0"/>
            </w:tcBorders>
            <w:vAlign w:val="top"/>
          </w:tcPr>
          <w:p w14:paraId="69D6B3BF">
            <w:pPr>
              <w:pStyle w:val="6"/>
              <w:spacing w:before="86" w:line="227" w:lineRule="auto"/>
              <w:ind w:right="3"/>
              <w:jc w:val="right"/>
              <w:rPr>
                <w:sz w:val="18"/>
                <w:szCs w:val="18"/>
              </w:rPr>
            </w:pPr>
            <w:r>
              <w:rPr>
                <w:spacing w:val="-6"/>
                <w:sz w:val="18"/>
                <w:szCs w:val="18"/>
              </w:rPr>
              <w:t>10.2</w:t>
            </w:r>
          </w:p>
        </w:tc>
      </w:tr>
      <w:tr w14:paraId="50B5B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406F1522">
            <w:pPr>
              <w:rPr>
                <w:rFonts w:ascii="Arial"/>
                <w:sz w:val="21"/>
              </w:rPr>
            </w:pPr>
          </w:p>
        </w:tc>
        <w:tc>
          <w:tcPr>
            <w:tcW w:w="284" w:type="dxa"/>
            <w:vMerge w:val="continue"/>
            <w:tcBorders>
              <w:top w:val="nil"/>
              <w:bottom w:val="nil"/>
            </w:tcBorders>
            <w:vAlign w:val="top"/>
          </w:tcPr>
          <w:p w14:paraId="60AA7EB1">
            <w:pPr>
              <w:rPr>
                <w:rFonts w:ascii="Arial"/>
                <w:sz w:val="21"/>
              </w:rPr>
            </w:pPr>
          </w:p>
        </w:tc>
        <w:tc>
          <w:tcPr>
            <w:tcW w:w="1249" w:type="dxa"/>
            <w:vAlign w:val="top"/>
          </w:tcPr>
          <w:p w14:paraId="69D449AE">
            <w:pPr>
              <w:pStyle w:val="6"/>
              <w:spacing w:before="85" w:line="226" w:lineRule="auto"/>
              <w:ind w:left="198"/>
              <w:rPr>
                <w:sz w:val="18"/>
                <w:szCs w:val="18"/>
              </w:rPr>
            </w:pPr>
            <w:r>
              <w:rPr>
                <w:spacing w:val="-1"/>
                <w:sz w:val="18"/>
                <w:szCs w:val="18"/>
              </w:rPr>
              <w:t>2021/11/29</w:t>
            </w:r>
          </w:p>
        </w:tc>
        <w:tc>
          <w:tcPr>
            <w:tcW w:w="733" w:type="dxa"/>
            <w:vAlign w:val="top"/>
          </w:tcPr>
          <w:p w14:paraId="376D49BD">
            <w:pPr>
              <w:pStyle w:val="6"/>
              <w:spacing w:before="85" w:line="226" w:lineRule="auto"/>
              <w:ind w:left="244"/>
              <w:rPr>
                <w:sz w:val="18"/>
                <w:szCs w:val="18"/>
              </w:rPr>
            </w:pPr>
            <w:r>
              <w:rPr>
                <w:spacing w:val="-3"/>
                <w:sz w:val="18"/>
                <w:szCs w:val="18"/>
              </w:rPr>
              <w:t>7.4</w:t>
            </w:r>
          </w:p>
        </w:tc>
        <w:tc>
          <w:tcPr>
            <w:tcW w:w="565" w:type="dxa"/>
            <w:vAlign w:val="top"/>
          </w:tcPr>
          <w:p w14:paraId="08091D1B">
            <w:pPr>
              <w:pStyle w:val="6"/>
              <w:spacing w:before="85" w:line="226" w:lineRule="auto"/>
              <w:ind w:left="134"/>
              <w:rPr>
                <w:sz w:val="18"/>
                <w:szCs w:val="18"/>
              </w:rPr>
            </w:pPr>
            <w:r>
              <w:rPr>
                <w:spacing w:val="-1"/>
                <w:sz w:val="18"/>
                <w:szCs w:val="18"/>
              </w:rPr>
              <w:t>236</w:t>
            </w:r>
          </w:p>
        </w:tc>
        <w:tc>
          <w:tcPr>
            <w:tcW w:w="708" w:type="dxa"/>
            <w:vAlign w:val="top"/>
          </w:tcPr>
          <w:p w14:paraId="63D930AF">
            <w:pPr>
              <w:pStyle w:val="6"/>
              <w:spacing w:before="85" w:line="226" w:lineRule="auto"/>
              <w:ind w:left="211"/>
              <w:rPr>
                <w:sz w:val="18"/>
                <w:szCs w:val="18"/>
              </w:rPr>
            </w:pPr>
            <w:r>
              <w:rPr>
                <w:spacing w:val="-2"/>
                <w:sz w:val="18"/>
                <w:szCs w:val="18"/>
              </w:rPr>
              <w:t>371</w:t>
            </w:r>
          </w:p>
        </w:tc>
        <w:tc>
          <w:tcPr>
            <w:tcW w:w="567" w:type="dxa"/>
            <w:vAlign w:val="top"/>
          </w:tcPr>
          <w:p w14:paraId="6ACE81F2">
            <w:pPr>
              <w:pStyle w:val="6"/>
              <w:spacing w:before="85" w:line="226" w:lineRule="auto"/>
              <w:ind w:left="187"/>
              <w:rPr>
                <w:sz w:val="18"/>
                <w:szCs w:val="18"/>
              </w:rPr>
            </w:pPr>
            <w:r>
              <w:rPr>
                <w:spacing w:val="-2"/>
                <w:sz w:val="18"/>
                <w:szCs w:val="18"/>
              </w:rPr>
              <w:t>73</w:t>
            </w:r>
          </w:p>
        </w:tc>
        <w:tc>
          <w:tcPr>
            <w:tcW w:w="566" w:type="dxa"/>
            <w:vAlign w:val="top"/>
          </w:tcPr>
          <w:p w14:paraId="47341E66">
            <w:pPr>
              <w:pStyle w:val="6"/>
              <w:spacing w:before="88" w:line="186" w:lineRule="auto"/>
              <w:ind w:left="145"/>
              <w:rPr>
                <w:sz w:val="18"/>
                <w:szCs w:val="18"/>
              </w:rPr>
            </w:pPr>
            <w:r>
              <w:rPr>
                <w:spacing w:val="-5"/>
                <w:sz w:val="18"/>
                <w:szCs w:val="18"/>
              </w:rPr>
              <w:t>10L</w:t>
            </w:r>
          </w:p>
        </w:tc>
        <w:tc>
          <w:tcPr>
            <w:tcW w:w="567" w:type="dxa"/>
            <w:vAlign w:val="top"/>
          </w:tcPr>
          <w:p w14:paraId="4EEDF8F2">
            <w:pPr>
              <w:pStyle w:val="6"/>
              <w:spacing w:before="85" w:line="226" w:lineRule="auto"/>
              <w:ind w:left="65"/>
              <w:rPr>
                <w:sz w:val="18"/>
                <w:szCs w:val="18"/>
              </w:rPr>
            </w:pPr>
            <w:r>
              <w:rPr>
                <w:spacing w:val="-2"/>
                <w:sz w:val="18"/>
                <w:szCs w:val="18"/>
              </w:rPr>
              <w:t>0.01L</w:t>
            </w:r>
          </w:p>
        </w:tc>
        <w:tc>
          <w:tcPr>
            <w:tcW w:w="557" w:type="dxa"/>
            <w:vAlign w:val="top"/>
          </w:tcPr>
          <w:p w14:paraId="312A784B">
            <w:pPr>
              <w:pStyle w:val="6"/>
              <w:spacing w:before="85" w:line="226" w:lineRule="auto"/>
              <w:ind w:left="60"/>
              <w:rPr>
                <w:sz w:val="18"/>
                <w:szCs w:val="18"/>
              </w:rPr>
            </w:pPr>
            <w:r>
              <w:rPr>
                <w:spacing w:val="-2"/>
                <w:sz w:val="18"/>
                <w:szCs w:val="18"/>
              </w:rPr>
              <w:t>0.01L</w:t>
            </w:r>
          </w:p>
        </w:tc>
        <w:tc>
          <w:tcPr>
            <w:tcW w:w="715" w:type="dxa"/>
            <w:vAlign w:val="top"/>
          </w:tcPr>
          <w:p w14:paraId="1357C26B">
            <w:pPr>
              <w:pStyle w:val="6"/>
              <w:spacing w:before="85" w:line="226" w:lineRule="auto"/>
              <w:ind w:left="140"/>
              <w:rPr>
                <w:sz w:val="18"/>
                <w:szCs w:val="18"/>
              </w:rPr>
            </w:pPr>
            <w:r>
              <w:rPr>
                <w:spacing w:val="-2"/>
                <w:sz w:val="18"/>
                <w:szCs w:val="18"/>
              </w:rPr>
              <w:t>0.04L</w:t>
            </w:r>
          </w:p>
        </w:tc>
        <w:tc>
          <w:tcPr>
            <w:tcW w:w="567" w:type="dxa"/>
            <w:vAlign w:val="top"/>
          </w:tcPr>
          <w:p w14:paraId="6DA2CAD0">
            <w:pPr>
              <w:pStyle w:val="6"/>
              <w:spacing w:before="85" w:line="226" w:lineRule="auto"/>
              <w:ind w:left="78"/>
              <w:rPr>
                <w:sz w:val="18"/>
                <w:szCs w:val="18"/>
              </w:rPr>
            </w:pPr>
            <w:r>
              <w:rPr>
                <w:spacing w:val="-2"/>
                <w:sz w:val="18"/>
                <w:szCs w:val="18"/>
              </w:rPr>
              <w:t>0.015</w:t>
            </w:r>
          </w:p>
        </w:tc>
        <w:tc>
          <w:tcPr>
            <w:tcW w:w="708" w:type="dxa"/>
            <w:vAlign w:val="top"/>
          </w:tcPr>
          <w:p w14:paraId="6838E47C">
            <w:pPr>
              <w:pStyle w:val="6"/>
              <w:spacing w:before="85" w:line="226" w:lineRule="auto"/>
              <w:ind w:left="48"/>
              <w:rPr>
                <w:sz w:val="18"/>
                <w:szCs w:val="18"/>
              </w:rPr>
            </w:pPr>
            <w:r>
              <w:rPr>
                <w:spacing w:val="-1"/>
                <w:sz w:val="18"/>
                <w:szCs w:val="18"/>
              </w:rPr>
              <w:t>0.0003L</w:t>
            </w:r>
          </w:p>
        </w:tc>
        <w:tc>
          <w:tcPr>
            <w:tcW w:w="851" w:type="dxa"/>
            <w:vAlign w:val="top"/>
          </w:tcPr>
          <w:p w14:paraId="18C2284F">
            <w:pPr>
              <w:pStyle w:val="6"/>
              <w:spacing w:before="85" w:line="226" w:lineRule="auto"/>
              <w:ind w:left="211"/>
              <w:rPr>
                <w:sz w:val="18"/>
                <w:szCs w:val="18"/>
              </w:rPr>
            </w:pPr>
            <w:r>
              <w:rPr>
                <w:spacing w:val="-2"/>
                <w:sz w:val="18"/>
                <w:szCs w:val="18"/>
              </w:rPr>
              <w:t>0.05L</w:t>
            </w:r>
          </w:p>
        </w:tc>
        <w:tc>
          <w:tcPr>
            <w:tcW w:w="566" w:type="dxa"/>
            <w:vAlign w:val="top"/>
          </w:tcPr>
          <w:p w14:paraId="0781BAA0">
            <w:pPr>
              <w:pStyle w:val="6"/>
              <w:spacing w:before="85" w:line="226" w:lineRule="auto"/>
              <w:ind w:left="125"/>
              <w:rPr>
                <w:sz w:val="18"/>
                <w:szCs w:val="18"/>
              </w:rPr>
            </w:pPr>
            <w:r>
              <w:rPr>
                <w:spacing w:val="-2"/>
                <w:sz w:val="18"/>
                <w:szCs w:val="18"/>
              </w:rPr>
              <w:t>0.01</w:t>
            </w:r>
          </w:p>
        </w:tc>
        <w:tc>
          <w:tcPr>
            <w:tcW w:w="672" w:type="dxa"/>
            <w:vAlign w:val="top"/>
          </w:tcPr>
          <w:p w14:paraId="2EACBEE1">
            <w:pPr>
              <w:pStyle w:val="6"/>
              <w:spacing w:before="85" w:line="226" w:lineRule="auto"/>
              <w:ind w:left="178"/>
              <w:rPr>
                <w:sz w:val="18"/>
                <w:szCs w:val="18"/>
              </w:rPr>
            </w:pPr>
            <w:r>
              <w:rPr>
                <w:spacing w:val="-2"/>
                <w:sz w:val="18"/>
                <w:szCs w:val="18"/>
              </w:rPr>
              <w:t>0.52</w:t>
            </w:r>
          </w:p>
        </w:tc>
        <w:tc>
          <w:tcPr>
            <w:tcW w:w="745" w:type="dxa"/>
            <w:vAlign w:val="top"/>
          </w:tcPr>
          <w:p w14:paraId="3820758B">
            <w:pPr>
              <w:pStyle w:val="6"/>
              <w:spacing w:before="85" w:line="226" w:lineRule="auto"/>
              <w:ind w:left="116"/>
              <w:rPr>
                <w:sz w:val="18"/>
                <w:szCs w:val="18"/>
              </w:rPr>
            </w:pPr>
            <w:r>
              <w:rPr>
                <w:spacing w:val="-2"/>
                <w:sz w:val="18"/>
                <w:szCs w:val="18"/>
              </w:rPr>
              <w:t>0.003L</w:t>
            </w:r>
          </w:p>
        </w:tc>
        <w:tc>
          <w:tcPr>
            <w:tcW w:w="455" w:type="dxa"/>
            <w:vAlign w:val="top"/>
          </w:tcPr>
          <w:p w14:paraId="1BE38ADA">
            <w:pPr>
              <w:pStyle w:val="6"/>
              <w:spacing w:before="85" w:line="226" w:lineRule="auto"/>
              <w:ind w:left="27"/>
              <w:rPr>
                <w:sz w:val="18"/>
                <w:szCs w:val="18"/>
              </w:rPr>
            </w:pPr>
            <w:r>
              <w:rPr>
                <w:spacing w:val="-2"/>
                <w:sz w:val="18"/>
                <w:szCs w:val="18"/>
              </w:rPr>
              <w:t>0.279</w:t>
            </w:r>
          </w:p>
        </w:tc>
        <w:tc>
          <w:tcPr>
            <w:tcW w:w="579" w:type="dxa"/>
            <w:vAlign w:val="top"/>
          </w:tcPr>
          <w:p w14:paraId="652778C0">
            <w:pPr>
              <w:pStyle w:val="6"/>
              <w:spacing w:before="85" w:line="226" w:lineRule="auto"/>
              <w:ind w:left="136"/>
              <w:rPr>
                <w:sz w:val="18"/>
                <w:szCs w:val="18"/>
              </w:rPr>
            </w:pPr>
            <w:r>
              <w:rPr>
                <w:spacing w:val="-2"/>
                <w:sz w:val="18"/>
                <w:szCs w:val="18"/>
              </w:rPr>
              <w:t>0.17</w:t>
            </w:r>
          </w:p>
        </w:tc>
        <w:tc>
          <w:tcPr>
            <w:tcW w:w="623" w:type="dxa"/>
            <w:vAlign w:val="top"/>
          </w:tcPr>
          <w:p w14:paraId="2776A001">
            <w:pPr>
              <w:pStyle w:val="6"/>
              <w:spacing w:before="85" w:line="226" w:lineRule="auto"/>
              <w:ind w:left="58"/>
              <w:rPr>
                <w:sz w:val="18"/>
                <w:szCs w:val="18"/>
              </w:rPr>
            </w:pPr>
            <w:r>
              <w:rPr>
                <w:spacing w:val="-2"/>
                <w:sz w:val="18"/>
                <w:szCs w:val="18"/>
              </w:rPr>
              <w:t>0.004L</w:t>
            </w:r>
          </w:p>
        </w:tc>
        <w:tc>
          <w:tcPr>
            <w:tcW w:w="737" w:type="dxa"/>
            <w:vAlign w:val="top"/>
          </w:tcPr>
          <w:p w14:paraId="5DF28DF3">
            <w:pPr>
              <w:pStyle w:val="6"/>
              <w:spacing w:before="85" w:line="226" w:lineRule="auto"/>
              <w:ind w:left="80"/>
              <w:rPr>
                <w:sz w:val="18"/>
                <w:szCs w:val="18"/>
              </w:rPr>
            </w:pPr>
            <w:r>
              <w:rPr>
                <w:spacing w:val="-1"/>
                <w:sz w:val="18"/>
                <w:szCs w:val="18"/>
              </w:rPr>
              <w:t>0.00018</w:t>
            </w:r>
          </w:p>
        </w:tc>
        <w:tc>
          <w:tcPr>
            <w:tcW w:w="577" w:type="dxa"/>
            <w:vAlign w:val="top"/>
          </w:tcPr>
          <w:p w14:paraId="376B8EFB">
            <w:pPr>
              <w:pStyle w:val="6"/>
              <w:spacing w:before="85" w:line="226" w:lineRule="auto"/>
              <w:ind w:left="48"/>
              <w:rPr>
                <w:sz w:val="18"/>
                <w:szCs w:val="18"/>
              </w:rPr>
            </w:pPr>
            <w:r>
              <w:rPr>
                <w:spacing w:val="-2"/>
                <w:sz w:val="18"/>
                <w:szCs w:val="18"/>
              </w:rPr>
              <w:t>0.0006</w:t>
            </w:r>
          </w:p>
        </w:tc>
        <w:tc>
          <w:tcPr>
            <w:tcW w:w="708" w:type="dxa"/>
            <w:vAlign w:val="top"/>
          </w:tcPr>
          <w:p w14:paraId="235E8229">
            <w:pPr>
              <w:pStyle w:val="6"/>
              <w:spacing w:before="85" w:line="226" w:lineRule="auto"/>
              <w:ind w:left="60"/>
              <w:rPr>
                <w:sz w:val="18"/>
                <w:szCs w:val="18"/>
              </w:rPr>
            </w:pPr>
            <w:r>
              <w:rPr>
                <w:spacing w:val="-1"/>
                <w:sz w:val="18"/>
                <w:szCs w:val="18"/>
              </w:rPr>
              <w:t>0.0004L</w:t>
            </w:r>
          </w:p>
        </w:tc>
        <w:tc>
          <w:tcPr>
            <w:tcW w:w="567" w:type="dxa"/>
            <w:vAlign w:val="top"/>
          </w:tcPr>
          <w:p w14:paraId="0E3F1902">
            <w:pPr>
              <w:pStyle w:val="6"/>
              <w:spacing w:before="85" w:line="226" w:lineRule="auto"/>
              <w:ind w:left="35"/>
              <w:rPr>
                <w:sz w:val="18"/>
                <w:szCs w:val="18"/>
              </w:rPr>
            </w:pPr>
            <w:r>
              <w:rPr>
                <w:spacing w:val="-2"/>
                <w:sz w:val="18"/>
                <w:szCs w:val="18"/>
              </w:rPr>
              <w:t>0.001L</w:t>
            </w:r>
          </w:p>
        </w:tc>
        <w:tc>
          <w:tcPr>
            <w:tcW w:w="566" w:type="dxa"/>
            <w:vAlign w:val="top"/>
          </w:tcPr>
          <w:p w14:paraId="0FEF2505">
            <w:pPr>
              <w:pStyle w:val="6"/>
              <w:spacing w:before="85" w:line="226" w:lineRule="auto"/>
              <w:ind w:left="34"/>
              <w:rPr>
                <w:sz w:val="18"/>
                <w:szCs w:val="18"/>
              </w:rPr>
            </w:pPr>
            <w:r>
              <w:rPr>
                <w:spacing w:val="-2"/>
                <w:sz w:val="18"/>
                <w:szCs w:val="18"/>
              </w:rPr>
              <w:t>0.004L</w:t>
            </w:r>
          </w:p>
        </w:tc>
        <w:tc>
          <w:tcPr>
            <w:tcW w:w="567" w:type="dxa"/>
            <w:vAlign w:val="top"/>
          </w:tcPr>
          <w:p w14:paraId="1FBBD92E">
            <w:pPr>
              <w:pStyle w:val="6"/>
              <w:spacing w:before="85" w:line="226" w:lineRule="auto"/>
              <w:ind w:left="81"/>
              <w:rPr>
                <w:sz w:val="18"/>
                <w:szCs w:val="18"/>
              </w:rPr>
            </w:pPr>
            <w:r>
              <w:rPr>
                <w:spacing w:val="-2"/>
                <w:sz w:val="18"/>
                <w:szCs w:val="18"/>
              </w:rPr>
              <w:t>0.01L</w:t>
            </w:r>
          </w:p>
        </w:tc>
        <w:tc>
          <w:tcPr>
            <w:tcW w:w="708" w:type="dxa"/>
            <w:vAlign w:val="top"/>
          </w:tcPr>
          <w:p w14:paraId="20D8FD1A">
            <w:pPr>
              <w:pStyle w:val="6"/>
              <w:spacing w:before="85" w:line="226" w:lineRule="auto"/>
              <w:ind w:left="106"/>
              <w:rPr>
                <w:sz w:val="18"/>
                <w:szCs w:val="18"/>
              </w:rPr>
            </w:pPr>
            <w:r>
              <w:rPr>
                <w:spacing w:val="-2"/>
                <w:sz w:val="18"/>
                <w:szCs w:val="18"/>
              </w:rPr>
              <w:t>0.009L</w:t>
            </w:r>
          </w:p>
        </w:tc>
        <w:tc>
          <w:tcPr>
            <w:tcW w:w="566" w:type="dxa"/>
            <w:vAlign w:val="top"/>
          </w:tcPr>
          <w:p w14:paraId="6B9F03D7">
            <w:pPr>
              <w:pStyle w:val="6"/>
              <w:spacing w:before="163" w:line="86" w:lineRule="exact"/>
              <w:ind w:left="236"/>
              <w:rPr>
                <w:sz w:val="18"/>
                <w:szCs w:val="18"/>
              </w:rPr>
            </w:pPr>
            <w:r>
              <w:rPr>
                <w:spacing w:val="-2"/>
                <w:position w:val="-5"/>
                <w:sz w:val="18"/>
                <w:szCs w:val="18"/>
              </w:rPr>
              <w:t>--</w:t>
            </w:r>
          </w:p>
        </w:tc>
        <w:tc>
          <w:tcPr>
            <w:tcW w:w="579" w:type="dxa"/>
            <w:vAlign w:val="top"/>
          </w:tcPr>
          <w:p w14:paraId="0711197A">
            <w:pPr>
              <w:pStyle w:val="6"/>
              <w:spacing w:before="85" w:line="226" w:lineRule="auto"/>
              <w:ind w:left="166"/>
              <w:rPr>
                <w:sz w:val="18"/>
                <w:szCs w:val="18"/>
              </w:rPr>
            </w:pPr>
            <w:r>
              <w:rPr>
                <w:spacing w:val="-2"/>
                <w:sz w:val="18"/>
                <w:szCs w:val="18"/>
              </w:rPr>
              <w:t>388</w:t>
            </w:r>
          </w:p>
        </w:tc>
        <w:tc>
          <w:tcPr>
            <w:tcW w:w="411" w:type="dxa"/>
            <w:vAlign w:val="top"/>
          </w:tcPr>
          <w:p w14:paraId="2E289DC4">
            <w:pPr>
              <w:pStyle w:val="6"/>
              <w:spacing w:before="85" w:line="226" w:lineRule="auto"/>
              <w:ind w:left="106"/>
              <w:rPr>
                <w:sz w:val="18"/>
                <w:szCs w:val="18"/>
              </w:rPr>
            </w:pPr>
            <w:r>
              <w:rPr>
                <w:spacing w:val="-3"/>
                <w:sz w:val="18"/>
                <w:szCs w:val="18"/>
              </w:rPr>
              <w:t>0.7</w:t>
            </w:r>
          </w:p>
        </w:tc>
        <w:tc>
          <w:tcPr>
            <w:tcW w:w="428" w:type="dxa"/>
            <w:vAlign w:val="top"/>
          </w:tcPr>
          <w:p w14:paraId="189BD38E">
            <w:pPr>
              <w:pStyle w:val="6"/>
              <w:spacing w:before="85" w:line="226" w:lineRule="auto"/>
              <w:ind w:left="84"/>
              <w:rPr>
                <w:sz w:val="18"/>
                <w:szCs w:val="18"/>
              </w:rPr>
            </w:pPr>
            <w:r>
              <w:rPr>
                <w:spacing w:val="-6"/>
                <w:sz w:val="18"/>
                <w:szCs w:val="18"/>
              </w:rPr>
              <w:t>1.54</w:t>
            </w:r>
          </w:p>
        </w:tc>
        <w:tc>
          <w:tcPr>
            <w:tcW w:w="427" w:type="dxa"/>
            <w:vAlign w:val="top"/>
          </w:tcPr>
          <w:p w14:paraId="6F7BAC9E">
            <w:pPr>
              <w:pStyle w:val="6"/>
              <w:spacing w:before="85" w:line="226" w:lineRule="auto"/>
              <w:ind w:left="70"/>
              <w:rPr>
                <w:sz w:val="18"/>
                <w:szCs w:val="18"/>
              </w:rPr>
            </w:pPr>
            <w:r>
              <w:rPr>
                <w:spacing w:val="-2"/>
                <w:sz w:val="18"/>
                <w:szCs w:val="18"/>
              </w:rPr>
              <w:t>0.26</w:t>
            </w:r>
          </w:p>
        </w:tc>
        <w:tc>
          <w:tcPr>
            <w:tcW w:w="341" w:type="dxa"/>
            <w:vAlign w:val="top"/>
          </w:tcPr>
          <w:p w14:paraId="70854206">
            <w:pPr>
              <w:pStyle w:val="6"/>
              <w:spacing w:before="85" w:line="226" w:lineRule="auto"/>
              <w:ind w:left="97"/>
              <w:rPr>
                <w:sz w:val="18"/>
                <w:szCs w:val="18"/>
              </w:rPr>
            </w:pPr>
            <w:r>
              <w:rPr>
                <w:spacing w:val="-2"/>
                <w:sz w:val="18"/>
                <w:szCs w:val="18"/>
              </w:rPr>
              <w:t>63</w:t>
            </w:r>
          </w:p>
        </w:tc>
        <w:tc>
          <w:tcPr>
            <w:tcW w:w="361" w:type="dxa"/>
            <w:tcBorders>
              <w:right w:val="single" w:color="000000" w:sz="12" w:space="0"/>
            </w:tcBorders>
            <w:vAlign w:val="top"/>
          </w:tcPr>
          <w:p w14:paraId="649AE5AB">
            <w:pPr>
              <w:pStyle w:val="6"/>
              <w:spacing w:before="85" w:line="226" w:lineRule="auto"/>
              <w:ind w:right="3"/>
              <w:jc w:val="right"/>
              <w:rPr>
                <w:sz w:val="18"/>
                <w:szCs w:val="18"/>
              </w:rPr>
            </w:pPr>
            <w:r>
              <w:rPr>
                <w:spacing w:val="-6"/>
                <w:sz w:val="18"/>
                <w:szCs w:val="18"/>
              </w:rPr>
              <w:t>10.3</w:t>
            </w:r>
          </w:p>
        </w:tc>
      </w:tr>
      <w:tr w14:paraId="27CB9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tcBorders>
            <w:vAlign w:val="top"/>
          </w:tcPr>
          <w:p w14:paraId="134EC678">
            <w:pPr>
              <w:rPr>
                <w:rFonts w:ascii="Arial"/>
                <w:sz w:val="21"/>
              </w:rPr>
            </w:pPr>
          </w:p>
        </w:tc>
        <w:tc>
          <w:tcPr>
            <w:tcW w:w="284" w:type="dxa"/>
            <w:vMerge w:val="continue"/>
            <w:tcBorders>
              <w:top w:val="nil"/>
            </w:tcBorders>
            <w:vAlign w:val="top"/>
          </w:tcPr>
          <w:p w14:paraId="785997D9">
            <w:pPr>
              <w:rPr>
                <w:rFonts w:ascii="Arial"/>
                <w:sz w:val="21"/>
              </w:rPr>
            </w:pPr>
          </w:p>
        </w:tc>
        <w:tc>
          <w:tcPr>
            <w:tcW w:w="1249" w:type="dxa"/>
            <w:vAlign w:val="top"/>
          </w:tcPr>
          <w:p w14:paraId="661A8116">
            <w:pPr>
              <w:pStyle w:val="6"/>
              <w:spacing w:before="87" w:line="225" w:lineRule="auto"/>
              <w:ind w:left="198"/>
              <w:rPr>
                <w:sz w:val="18"/>
                <w:szCs w:val="18"/>
              </w:rPr>
            </w:pPr>
            <w:r>
              <w:rPr>
                <w:spacing w:val="-1"/>
                <w:sz w:val="18"/>
                <w:szCs w:val="18"/>
              </w:rPr>
              <w:t>2021/11/30</w:t>
            </w:r>
          </w:p>
        </w:tc>
        <w:tc>
          <w:tcPr>
            <w:tcW w:w="733" w:type="dxa"/>
            <w:vAlign w:val="top"/>
          </w:tcPr>
          <w:p w14:paraId="7FAACA55">
            <w:pPr>
              <w:pStyle w:val="6"/>
              <w:spacing w:before="87" w:line="225" w:lineRule="auto"/>
              <w:ind w:left="244"/>
              <w:rPr>
                <w:sz w:val="18"/>
                <w:szCs w:val="18"/>
              </w:rPr>
            </w:pPr>
            <w:r>
              <w:rPr>
                <w:spacing w:val="-3"/>
                <w:sz w:val="18"/>
                <w:szCs w:val="18"/>
              </w:rPr>
              <w:t>7.3</w:t>
            </w:r>
          </w:p>
        </w:tc>
        <w:tc>
          <w:tcPr>
            <w:tcW w:w="565" w:type="dxa"/>
            <w:vAlign w:val="top"/>
          </w:tcPr>
          <w:p w14:paraId="0316BFD4">
            <w:pPr>
              <w:pStyle w:val="6"/>
              <w:spacing w:before="87" w:line="225" w:lineRule="auto"/>
              <w:ind w:left="134"/>
              <w:rPr>
                <w:sz w:val="18"/>
                <w:szCs w:val="18"/>
              </w:rPr>
            </w:pPr>
            <w:r>
              <w:rPr>
                <w:spacing w:val="-1"/>
                <w:sz w:val="18"/>
                <w:szCs w:val="18"/>
              </w:rPr>
              <w:t>244</w:t>
            </w:r>
          </w:p>
        </w:tc>
        <w:tc>
          <w:tcPr>
            <w:tcW w:w="708" w:type="dxa"/>
            <w:vAlign w:val="top"/>
          </w:tcPr>
          <w:p w14:paraId="739C39EC">
            <w:pPr>
              <w:pStyle w:val="6"/>
              <w:spacing w:before="87" w:line="225" w:lineRule="auto"/>
              <w:ind w:left="211"/>
              <w:rPr>
                <w:sz w:val="18"/>
                <w:szCs w:val="18"/>
              </w:rPr>
            </w:pPr>
            <w:r>
              <w:rPr>
                <w:spacing w:val="-2"/>
                <w:sz w:val="18"/>
                <w:szCs w:val="18"/>
              </w:rPr>
              <w:t>382</w:t>
            </w:r>
          </w:p>
        </w:tc>
        <w:tc>
          <w:tcPr>
            <w:tcW w:w="567" w:type="dxa"/>
            <w:vAlign w:val="top"/>
          </w:tcPr>
          <w:p w14:paraId="44A22432">
            <w:pPr>
              <w:pStyle w:val="6"/>
              <w:spacing w:before="87" w:line="225" w:lineRule="auto"/>
              <w:ind w:left="187"/>
              <w:rPr>
                <w:sz w:val="18"/>
                <w:szCs w:val="18"/>
              </w:rPr>
            </w:pPr>
            <w:r>
              <w:rPr>
                <w:spacing w:val="-2"/>
                <w:sz w:val="18"/>
                <w:szCs w:val="18"/>
              </w:rPr>
              <w:t>79</w:t>
            </w:r>
          </w:p>
        </w:tc>
        <w:tc>
          <w:tcPr>
            <w:tcW w:w="566" w:type="dxa"/>
            <w:vAlign w:val="top"/>
          </w:tcPr>
          <w:p w14:paraId="0FB09D5C">
            <w:pPr>
              <w:pStyle w:val="6"/>
              <w:spacing w:before="90" w:line="186" w:lineRule="auto"/>
              <w:ind w:left="145"/>
              <w:rPr>
                <w:sz w:val="18"/>
                <w:szCs w:val="18"/>
              </w:rPr>
            </w:pPr>
            <w:r>
              <w:rPr>
                <w:spacing w:val="-5"/>
                <w:sz w:val="18"/>
                <w:szCs w:val="18"/>
              </w:rPr>
              <w:t>10L</w:t>
            </w:r>
          </w:p>
        </w:tc>
        <w:tc>
          <w:tcPr>
            <w:tcW w:w="567" w:type="dxa"/>
            <w:vAlign w:val="top"/>
          </w:tcPr>
          <w:p w14:paraId="036317BB">
            <w:pPr>
              <w:pStyle w:val="6"/>
              <w:spacing w:before="87" w:line="225" w:lineRule="auto"/>
              <w:ind w:left="65"/>
              <w:rPr>
                <w:sz w:val="18"/>
                <w:szCs w:val="18"/>
              </w:rPr>
            </w:pPr>
            <w:r>
              <w:rPr>
                <w:spacing w:val="-2"/>
                <w:sz w:val="18"/>
                <w:szCs w:val="18"/>
              </w:rPr>
              <w:t>0.01L</w:t>
            </w:r>
          </w:p>
        </w:tc>
        <w:tc>
          <w:tcPr>
            <w:tcW w:w="557" w:type="dxa"/>
            <w:vAlign w:val="top"/>
          </w:tcPr>
          <w:p w14:paraId="19E9E57D">
            <w:pPr>
              <w:pStyle w:val="6"/>
              <w:spacing w:before="87" w:line="225" w:lineRule="auto"/>
              <w:ind w:left="60"/>
              <w:rPr>
                <w:sz w:val="18"/>
                <w:szCs w:val="18"/>
              </w:rPr>
            </w:pPr>
            <w:r>
              <w:rPr>
                <w:spacing w:val="-2"/>
                <w:sz w:val="18"/>
                <w:szCs w:val="18"/>
              </w:rPr>
              <w:t>0.01L</w:t>
            </w:r>
          </w:p>
        </w:tc>
        <w:tc>
          <w:tcPr>
            <w:tcW w:w="715" w:type="dxa"/>
            <w:vAlign w:val="top"/>
          </w:tcPr>
          <w:p w14:paraId="68012DD6">
            <w:pPr>
              <w:pStyle w:val="6"/>
              <w:spacing w:before="87" w:line="225" w:lineRule="auto"/>
              <w:ind w:left="140"/>
              <w:rPr>
                <w:sz w:val="18"/>
                <w:szCs w:val="18"/>
              </w:rPr>
            </w:pPr>
            <w:r>
              <w:rPr>
                <w:spacing w:val="-2"/>
                <w:sz w:val="18"/>
                <w:szCs w:val="18"/>
              </w:rPr>
              <w:t>0.04L</w:t>
            </w:r>
          </w:p>
        </w:tc>
        <w:tc>
          <w:tcPr>
            <w:tcW w:w="567" w:type="dxa"/>
            <w:vAlign w:val="top"/>
          </w:tcPr>
          <w:p w14:paraId="69A83FDF">
            <w:pPr>
              <w:pStyle w:val="6"/>
              <w:spacing w:before="87" w:line="225" w:lineRule="auto"/>
              <w:ind w:left="78"/>
              <w:rPr>
                <w:sz w:val="18"/>
                <w:szCs w:val="18"/>
              </w:rPr>
            </w:pPr>
            <w:r>
              <w:rPr>
                <w:spacing w:val="-2"/>
                <w:sz w:val="18"/>
                <w:szCs w:val="18"/>
              </w:rPr>
              <w:t>0.015</w:t>
            </w:r>
          </w:p>
        </w:tc>
        <w:tc>
          <w:tcPr>
            <w:tcW w:w="708" w:type="dxa"/>
            <w:vAlign w:val="top"/>
          </w:tcPr>
          <w:p w14:paraId="589FFF83">
            <w:pPr>
              <w:pStyle w:val="6"/>
              <w:spacing w:before="87" w:line="225" w:lineRule="auto"/>
              <w:ind w:left="48"/>
              <w:rPr>
                <w:sz w:val="18"/>
                <w:szCs w:val="18"/>
              </w:rPr>
            </w:pPr>
            <w:r>
              <w:rPr>
                <w:spacing w:val="-1"/>
                <w:sz w:val="18"/>
                <w:szCs w:val="18"/>
              </w:rPr>
              <w:t>0.0003L</w:t>
            </w:r>
          </w:p>
        </w:tc>
        <w:tc>
          <w:tcPr>
            <w:tcW w:w="851" w:type="dxa"/>
            <w:vAlign w:val="top"/>
          </w:tcPr>
          <w:p w14:paraId="0658BF7D">
            <w:pPr>
              <w:pStyle w:val="6"/>
              <w:spacing w:before="87" w:line="225" w:lineRule="auto"/>
              <w:ind w:left="211"/>
              <w:rPr>
                <w:sz w:val="18"/>
                <w:szCs w:val="18"/>
              </w:rPr>
            </w:pPr>
            <w:r>
              <w:rPr>
                <w:spacing w:val="-2"/>
                <w:sz w:val="18"/>
                <w:szCs w:val="18"/>
              </w:rPr>
              <w:t>0.05L</w:t>
            </w:r>
          </w:p>
        </w:tc>
        <w:tc>
          <w:tcPr>
            <w:tcW w:w="566" w:type="dxa"/>
            <w:vAlign w:val="top"/>
          </w:tcPr>
          <w:p w14:paraId="59936C46">
            <w:pPr>
              <w:pStyle w:val="6"/>
              <w:spacing w:before="87" w:line="225" w:lineRule="auto"/>
              <w:ind w:left="125"/>
              <w:rPr>
                <w:sz w:val="18"/>
                <w:szCs w:val="18"/>
              </w:rPr>
            </w:pPr>
            <w:r>
              <w:rPr>
                <w:spacing w:val="-2"/>
                <w:sz w:val="18"/>
                <w:szCs w:val="18"/>
              </w:rPr>
              <w:t>0.02</w:t>
            </w:r>
          </w:p>
        </w:tc>
        <w:tc>
          <w:tcPr>
            <w:tcW w:w="672" w:type="dxa"/>
            <w:vAlign w:val="top"/>
          </w:tcPr>
          <w:p w14:paraId="3D8D278C">
            <w:pPr>
              <w:pStyle w:val="6"/>
              <w:spacing w:before="87" w:line="225" w:lineRule="auto"/>
              <w:ind w:left="178"/>
              <w:rPr>
                <w:sz w:val="18"/>
                <w:szCs w:val="18"/>
              </w:rPr>
            </w:pPr>
            <w:r>
              <w:rPr>
                <w:spacing w:val="-2"/>
                <w:sz w:val="18"/>
                <w:szCs w:val="18"/>
              </w:rPr>
              <w:t>0.56</w:t>
            </w:r>
          </w:p>
        </w:tc>
        <w:tc>
          <w:tcPr>
            <w:tcW w:w="745" w:type="dxa"/>
            <w:vAlign w:val="top"/>
          </w:tcPr>
          <w:p w14:paraId="77D0DD0F">
            <w:pPr>
              <w:pStyle w:val="6"/>
              <w:spacing w:before="87" w:line="225" w:lineRule="auto"/>
              <w:ind w:left="116"/>
              <w:rPr>
                <w:sz w:val="18"/>
                <w:szCs w:val="18"/>
              </w:rPr>
            </w:pPr>
            <w:r>
              <w:rPr>
                <w:spacing w:val="-2"/>
                <w:sz w:val="18"/>
                <w:szCs w:val="18"/>
              </w:rPr>
              <w:t>0.003L</w:t>
            </w:r>
          </w:p>
        </w:tc>
        <w:tc>
          <w:tcPr>
            <w:tcW w:w="455" w:type="dxa"/>
            <w:vAlign w:val="top"/>
          </w:tcPr>
          <w:p w14:paraId="633F1046">
            <w:pPr>
              <w:pStyle w:val="6"/>
              <w:spacing w:before="87" w:line="225" w:lineRule="auto"/>
              <w:ind w:left="27"/>
              <w:rPr>
                <w:sz w:val="18"/>
                <w:szCs w:val="18"/>
              </w:rPr>
            </w:pPr>
            <w:r>
              <w:rPr>
                <w:spacing w:val="-2"/>
                <w:sz w:val="18"/>
                <w:szCs w:val="18"/>
              </w:rPr>
              <w:t>0.283</w:t>
            </w:r>
          </w:p>
        </w:tc>
        <w:tc>
          <w:tcPr>
            <w:tcW w:w="579" w:type="dxa"/>
            <w:vAlign w:val="top"/>
          </w:tcPr>
          <w:p w14:paraId="30E9AB01">
            <w:pPr>
              <w:pStyle w:val="6"/>
              <w:spacing w:before="87" w:line="225" w:lineRule="auto"/>
              <w:ind w:left="136"/>
              <w:rPr>
                <w:sz w:val="18"/>
                <w:szCs w:val="18"/>
              </w:rPr>
            </w:pPr>
            <w:r>
              <w:rPr>
                <w:spacing w:val="-2"/>
                <w:sz w:val="18"/>
                <w:szCs w:val="18"/>
              </w:rPr>
              <w:t>0.11</w:t>
            </w:r>
          </w:p>
        </w:tc>
        <w:tc>
          <w:tcPr>
            <w:tcW w:w="623" w:type="dxa"/>
            <w:vAlign w:val="top"/>
          </w:tcPr>
          <w:p w14:paraId="3BBE04B0">
            <w:pPr>
              <w:pStyle w:val="6"/>
              <w:spacing w:before="87" w:line="225" w:lineRule="auto"/>
              <w:ind w:left="58"/>
              <w:rPr>
                <w:sz w:val="18"/>
                <w:szCs w:val="18"/>
              </w:rPr>
            </w:pPr>
            <w:r>
              <w:rPr>
                <w:spacing w:val="-2"/>
                <w:sz w:val="18"/>
                <w:szCs w:val="18"/>
              </w:rPr>
              <w:t>0.004L</w:t>
            </w:r>
          </w:p>
        </w:tc>
        <w:tc>
          <w:tcPr>
            <w:tcW w:w="737" w:type="dxa"/>
            <w:vAlign w:val="top"/>
          </w:tcPr>
          <w:p w14:paraId="7E848947">
            <w:pPr>
              <w:pStyle w:val="6"/>
              <w:spacing w:before="87" w:line="225" w:lineRule="auto"/>
              <w:ind w:left="126"/>
              <w:rPr>
                <w:sz w:val="18"/>
                <w:szCs w:val="18"/>
              </w:rPr>
            </w:pPr>
            <w:r>
              <w:rPr>
                <w:spacing w:val="-2"/>
                <w:sz w:val="18"/>
                <w:szCs w:val="18"/>
              </w:rPr>
              <w:t>0.0002</w:t>
            </w:r>
          </w:p>
        </w:tc>
        <w:tc>
          <w:tcPr>
            <w:tcW w:w="577" w:type="dxa"/>
            <w:vAlign w:val="top"/>
          </w:tcPr>
          <w:p w14:paraId="65E27029">
            <w:pPr>
              <w:pStyle w:val="6"/>
              <w:spacing w:before="87" w:line="225" w:lineRule="auto"/>
              <w:ind w:left="48"/>
              <w:rPr>
                <w:sz w:val="18"/>
                <w:szCs w:val="18"/>
              </w:rPr>
            </w:pPr>
            <w:r>
              <w:rPr>
                <w:spacing w:val="-2"/>
                <w:sz w:val="18"/>
                <w:szCs w:val="18"/>
              </w:rPr>
              <w:t>0.0006</w:t>
            </w:r>
          </w:p>
        </w:tc>
        <w:tc>
          <w:tcPr>
            <w:tcW w:w="708" w:type="dxa"/>
            <w:vAlign w:val="top"/>
          </w:tcPr>
          <w:p w14:paraId="16E1DBE3">
            <w:pPr>
              <w:pStyle w:val="6"/>
              <w:spacing w:before="87" w:line="225" w:lineRule="auto"/>
              <w:ind w:left="60"/>
              <w:rPr>
                <w:sz w:val="18"/>
                <w:szCs w:val="18"/>
              </w:rPr>
            </w:pPr>
            <w:r>
              <w:rPr>
                <w:spacing w:val="-1"/>
                <w:sz w:val="18"/>
                <w:szCs w:val="18"/>
              </w:rPr>
              <w:t>0.0004L</w:t>
            </w:r>
          </w:p>
        </w:tc>
        <w:tc>
          <w:tcPr>
            <w:tcW w:w="567" w:type="dxa"/>
            <w:vAlign w:val="top"/>
          </w:tcPr>
          <w:p w14:paraId="17AB9EEF">
            <w:pPr>
              <w:pStyle w:val="6"/>
              <w:spacing w:before="87" w:line="225" w:lineRule="auto"/>
              <w:ind w:left="35"/>
              <w:rPr>
                <w:sz w:val="18"/>
                <w:szCs w:val="18"/>
              </w:rPr>
            </w:pPr>
            <w:r>
              <w:rPr>
                <w:spacing w:val="-2"/>
                <w:sz w:val="18"/>
                <w:szCs w:val="18"/>
              </w:rPr>
              <w:t>0.001L</w:t>
            </w:r>
          </w:p>
        </w:tc>
        <w:tc>
          <w:tcPr>
            <w:tcW w:w="566" w:type="dxa"/>
            <w:vAlign w:val="top"/>
          </w:tcPr>
          <w:p w14:paraId="306D7E88">
            <w:pPr>
              <w:pStyle w:val="6"/>
              <w:spacing w:before="87" w:line="225" w:lineRule="auto"/>
              <w:ind w:left="34"/>
              <w:rPr>
                <w:sz w:val="18"/>
                <w:szCs w:val="18"/>
              </w:rPr>
            </w:pPr>
            <w:r>
              <w:rPr>
                <w:spacing w:val="-2"/>
                <w:sz w:val="18"/>
                <w:szCs w:val="18"/>
              </w:rPr>
              <w:t>0.004L</w:t>
            </w:r>
          </w:p>
        </w:tc>
        <w:tc>
          <w:tcPr>
            <w:tcW w:w="567" w:type="dxa"/>
            <w:vAlign w:val="top"/>
          </w:tcPr>
          <w:p w14:paraId="64F0C7DA">
            <w:pPr>
              <w:pStyle w:val="6"/>
              <w:spacing w:before="87" w:line="225" w:lineRule="auto"/>
              <w:ind w:left="81"/>
              <w:rPr>
                <w:sz w:val="18"/>
                <w:szCs w:val="18"/>
              </w:rPr>
            </w:pPr>
            <w:r>
              <w:rPr>
                <w:spacing w:val="-2"/>
                <w:sz w:val="18"/>
                <w:szCs w:val="18"/>
              </w:rPr>
              <w:t>0.01L</w:t>
            </w:r>
          </w:p>
        </w:tc>
        <w:tc>
          <w:tcPr>
            <w:tcW w:w="708" w:type="dxa"/>
            <w:vAlign w:val="top"/>
          </w:tcPr>
          <w:p w14:paraId="3A1D3A9A">
            <w:pPr>
              <w:pStyle w:val="6"/>
              <w:spacing w:before="87" w:line="225" w:lineRule="auto"/>
              <w:ind w:left="106"/>
              <w:rPr>
                <w:sz w:val="18"/>
                <w:szCs w:val="18"/>
              </w:rPr>
            </w:pPr>
            <w:r>
              <w:rPr>
                <w:spacing w:val="-2"/>
                <w:sz w:val="18"/>
                <w:szCs w:val="18"/>
              </w:rPr>
              <w:t>0.009L</w:t>
            </w:r>
          </w:p>
        </w:tc>
        <w:tc>
          <w:tcPr>
            <w:tcW w:w="566" w:type="dxa"/>
            <w:vAlign w:val="top"/>
          </w:tcPr>
          <w:p w14:paraId="3E43123C">
            <w:pPr>
              <w:pStyle w:val="6"/>
              <w:spacing w:before="165" w:line="86" w:lineRule="exact"/>
              <w:ind w:left="236"/>
              <w:rPr>
                <w:sz w:val="18"/>
                <w:szCs w:val="18"/>
              </w:rPr>
            </w:pPr>
            <w:r>
              <w:rPr>
                <w:spacing w:val="-2"/>
                <w:position w:val="-5"/>
                <w:sz w:val="18"/>
                <w:szCs w:val="18"/>
              </w:rPr>
              <w:t>--</w:t>
            </w:r>
          </w:p>
        </w:tc>
        <w:tc>
          <w:tcPr>
            <w:tcW w:w="579" w:type="dxa"/>
            <w:vAlign w:val="top"/>
          </w:tcPr>
          <w:p w14:paraId="2B31C9A2">
            <w:pPr>
              <w:pStyle w:val="6"/>
              <w:spacing w:before="87" w:line="225" w:lineRule="auto"/>
              <w:ind w:left="166"/>
              <w:rPr>
                <w:sz w:val="18"/>
                <w:szCs w:val="18"/>
              </w:rPr>
            </w:pPr>
            <w:r>
              <w:rPr>
                <w:spacing w:val="-2"/>
                <w:sz w:val="18"/>
                <w:szCs w:val="18"/>
              </w:rPr>
              <w:t>394</w:t>
            </w:r>
          </w:p>
        </w:tc>
        <w:tc>
          <w:tcPr>
            <w:tcW w:w="411" w:type="dxa"/>
            <w:vAlign w:val="top"/>
          </w:tcPr>
          <w:p w14:paraId="380A10EF">
            <w:pPr>
              <w:pStyle w:val="6"/>
              <w:spacing w:before="87" w:line="225" w:lineRule="auto"/>
              <w:ind w:left="61"/>
              <w:rPr>
                <w:sz w:val="18"/>
                <w:szCs w:val="18"/>
              </w:rPr>
            </w:pPr>
            <w:r>
              <w:rPr>
                <w:spacing w:val="-2"/>
                <w:sz w:val="18"/>
                <w:szCs w:val="18"/>
              </w:rPr>
              <w:t>0.74</w:t>
            </w:r>
          </w:p>
        </w:tc>
        <w:tc>
          <w:tcPr>
            <w:tcW w:w="428" w:type="dxa"/>
            <w:vAlign w:val="top"/>
          </w:tcPr>
          <w:p w14:paraId="4FE427E0">
            <w:pPr>
              <w:pStyle w:val="6"/>
              <w:spacing w:before="87" w:line="225" w:lineRule="auto"/>
              <w:ind w:left="84"/>
              <w:rPr>
                <w:sz w:val="18"/>
                <w:szCs w:val="18"/>
              </w:rPr>
            </w:pPr>
            <w:r>
              <w:rPr>
                <w:spacing w:val="-6"/>
                <w:sz w:val="18"/>
                <w:szCs w:val="18"/>
              </w:rPr>
              <w:t>1.53</w:t>
            </w:r>
          </w:p>
        </w:tc>
        <w:tc>
          <w:tcPr>
            <w:tcW w:w="427" w:type="dxa"/>
            <w:vAlign w:val="top"/>
          </w:tcPr>
          <w:p w14:paraId="7BE705DD">
            <w:pPr>
              <w:pStyle w:val="6"/>
              <w:spacing w:before="87" w:line="225" w:lineRule="auto"/>
              <w:ind w:left="70"/>
              <w:rPr>
                <w:sz w:val="18"/>
                <w:szCs w:val="18"/>
              </w:rPr>
            </w:pPr>
            <w:r>
              <w:rPr>
                <w:spacing w:val="-2"/>
                <w:sz w:val="18"/>
                <w:szCs w:val="18"/>
              </w:rPr>
              <w:t>0.26</w:t>
            </w:r>
          </w:p>
        </w:tc>
        <w:tc>
          <w:tcPr>
            <w:tcW w:w="341" w:type="dxa"/>
            <w:vAlign w:val="top"/>
          </w:tcPr>
          <w:p w14:paraId="7FA94FD8">
            <w:pPr>
              <w:pStyle w:val="6"/>
              <w:spacing w:before="87" w:line="225" w:lineRule="auto"/>
              <w:ind w:left="97"/>
              <w:rPr>
                <w:sz w:val="18"/>
                <w:szCs w:val="18"/>
              </w:rPr>
            </w:pPr>
            <w:r>
              <w:rPr>
                <w:spacing w:val="-2"/>
                <w:sz w:val="18"/>
                <w:szCs w:val="18"/>
              </w:rPr>
              <w:t>65</w:t>
            </w:r>
          </w:p>
        </w:tc>
        <w:tc>
          <w:tcPr>
            <w:tcW w:w="361" w:type="dxa"/>
            <w:tcBorders>
              <w:right w:val="single" w:color="000000" w:sz="12" w:space="0"/>
            </w:tcBorders>
            <w:vAlign w:val="top"/>
          </w:tcPr>
          <w:p w14:paraId="5D203B76">
            <w:pPr>
              <w:pStyle w:val="6"/>
              <w:spacing w:before="87" w:line="225" w:lineRule="auto"/>
              <w:ind w:right="3"/>
              <w:jc w:val="right"/>
              <w:rPr>
                <w:sz w:val="18"/>
                <w:szCs w:val="18"/>
              </w:rPr>
            </w:pPr>
            <w:r>
              <w:rPr>
                <w:spacing w:val="-6"/>
                <w:sz w:val="18"/>
                <w:szCs w:val="18"/>
              </w:rPr>
              <w:t>10.1</w:t>
            </w:r>
          </w:p>
        </w:tc>
      </w:tr>
      <w:tr w14:paraId="3A319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63" w:type="dxa"/>
            <w:vMerge w:val="restart"/>
            <w:tcBorders>
              <w:left w:val="single" w:color="000000" w:sz="12" w:space="0"/>
              <w:bottom w:val="nil"/>
            </w:tcBorders>
            <w:vAlign w:val="top"/>
          </w:tcPr>
          <w:p w14:paraId="1ED40260">
            <w:pPr>
              <w:spacing w:line="258" w:lineRule="auto"/>
              <w:rPr>
                <w:rFonts w:ascii="Arial"/>
                <w:sz w:val="21"/>
              </w:rPr>
            </w:pPr>
          </w:p>
          <w:p w14:paraId="6483F7B8">
            <w:pPr>
              <w:spacing w:line="258" w:lineRule="auto"/>
              <w:rPr>
                <w:rFonts w:ascii="Arial"/>
                <w:sz w:val="21"/>
              </w:rPr>
            </w:pPr>
          </w:p>
          <w:p w14:paraId="4A8E771F">
            <w:pPr>
              <w:spacing w:line="258" w:lineRule="auto"/>
              <w:rPr>
                <w:rFonts w:ascii="Arial"/>
                <w:sz w:val="21"/>
              </w:rPr>
            </w:pPr>
          </w:p>
          <w:p w14:paraId="349A8864">
            <w:pPr>
              <w:spacing w:line="258" w:lineRule="auto"/>
              <w:rPr>
                <w:rFonts w:ascii="Arial"/>
                <w:sz w:val="21"/>
              </w:rPr>
            </w:pPr>
          </w:p>
          <w:p w14:paraId="50E25B59">
            <w:pPr>
              <w:spacing w:line="258" w:lineRule="auto"/>
              <w:rPr>
                <w:rFonts w:ascii="Arial"/>
                <w:sz w:val="21"/>
              </w:rPr>
            </w:pPr>
          </w:p>
          <w:p w14:paraId="785A9C9B">
            <w:pPr>
              <w:spacing w:line="258" w:lineRule="auto"/>
              <w:rPr>
                <w:rFonts w:ascii="Arial"/>
                <w:sz w:val="21"/>
              </w:rPr>
            </w:pPr>
          </w:p>
          <w:p w14:paraId="1F50EF2D">
            <w:pPr>
              <w:spacing w:before="58"/>
              <w:ind w:left="89" w:right="100"/>
              <w:rPr>
                <w:rFonts w:ascii="宋体" w:hAnsi="宋体" w:eastAsia="宋体" w:cs="宋体"/>
                <w:sz w:val="18"/>
                <w:szCs w:val="18"/>
              </w:rPr>
            </w:pPr>
            <w:r>
              <w:rPr>
                <w:rFonts w:ascii="宋体" w:hAnsi="宋体" w:eastAsia="宋体" w:cs="宋体"/>
                <w:spacing w:val="-4"/>
                <w:sz w:val="18"/>
                <w:szCs w:val="18"/>
              </w:rPr>
              <w:t>黄土坡村</w:t>
            </w:r>
          </w:p>
        </w:tc>
        <w:tc>
          <w:tcPr>
            <w:tcW w:w="284" w:type="dxa"/>
            <w:vMerge w:val="restart"/>
            <w:tcBorders>
              <w:bottom w:val="nil"/>
            </w:tcBorders>
            <w:vAlign w:val="top"/>
          </w:tcPr>
          <w:p w14:paraId="50BA2BEC">
            <w:pPr>
              <w:pStyle w:val="6"/>
              <w:spacing w:before="164" w:line="232" w:lineRule="auto"/>
              <w:ind w:left="37" w:right="62" w:firstLine="59"/>
              <w:jc w:val="both"/>
              <w:rPr>
                <w:rFonts w:ascii="宋体" w:hAnsi="宋体" w:eastAsia="宋体" w:cs="宋体"/>
                <w:sz w:val="18"/>
                <w:szCs w:val="18"/>
              </w:rPr>
            </w:pPr>
            <w:r>
              <w:rPr>
                <w:spacing w:val="-22"/>
                <w:sz w:val="18"/>
                <w:szCs w:val="18"/>
              </w:rPr>
              <w:t>1</w:t>
            </w:r>
            <w:r>
              <w:rPr>
                <w:rFonts w:ascii="宋体" w:hAnsi="宋体" w:eastAsia="宋体" w:cs="宋体"/>
                <w:spacing w:val="-7"/>
                <w:sz w:val="18"/>
                <w:szCs w:val="18"/>
              </w:rPr>
              <w:t>季度</w:t>
            </w:r>
          </w:p>
        </w:tc>
        <w:tc>
          <w:tcPr>
            <w:tcW w:w="1249" w:type="dxa"/>
            <w:vAlign w:val="top"/>
          </w:tcPr>
          <w:p w14:paraId="7F643B2F">
            <w:pPr>
              <w:pStyle w:val="6"/>
              <w:spacing w:before="91" w:line="226" w:lineRule="auto"/>
              <w:ind w:left="244"/>
              <w:rPr>
                <w:sz w:val="18"/>
                <w:szCs w:val="18"/>
              </w:rPr>
            </w:pPr>
            <w:r>
              <w:rPr>
                <w:spacing w:val="-1"/>
                <w:sz w:val="18"/>
                <w:szCs w:val="18"/>
              </w:rPr>
              <w:t>2021/3/18</w:t>
            </w:r>
          </w:p>
        </w:tc>
        <w:tc>
          <w:tcPr>
            <w:tcW w:w="733" w:type="dxa"/>
            <w:vAlign w:val="top"/>
          </w:tcPr>
          <w:p w14:paraId="77100B13">
            <w:pPr>
              <w:pStyle w:val="6"/>
              <w:spacing w:before="91" w:line="226" w:lineRule="auto"/>
              <w:ind w:left="198"/>
              <w:rPr>
                <w:sz w:val="18"/>
                <w:szCs w:val="18"/>
              </w:rPr>
            </w:pPr>
            <w:r>
              <w:rPr>
                <w:spacing w:val="-2"/>
                <w:sz w:val="18"/>
                <w:szCs w:val="18"/>
              </w:rPr>
              <w:t>7.52</w:t>
            </w:r>
          </w:p>
        </w:tc>
        <w:tc>
          <w:tcPr>
            <w:tcW w:w="565" w:type="dxa"/>
            <w:vAlign w:val="top"/>
          </w:tcPr>
          <w:p w14:paraId="1F202D53">
            <w:pPr>
              <w:pStyle w:val="6"/>
              <w:spacing w:before="91" w:line="226" w:lineRule="auto"/>
              <w:ind w:left="134"/>
              <w:rPr>
                <w:sz w:val="18"/>
                <w:szCs w:val="18"/>
              </w:rPr>
            </w:pPr>
            <w:r>
              <w:rPr>
                <w:spacing w:val="-1"/>
                <w:sz w:val="18"/>
                <w:szCs w:val="18"/>
              </w:rPr>
              <w:t>234</w:t>
            </w:r>
          </w:p>
        </w:tc>
        <w:tc>
          <w:tcPr>
            <w:tcW w:w="708" w:type="dxa"/>
            <w:vAlign w:val="top"/>
          </w:tcPr>
          <w:p w14:paraId="07ACF1DA">
            <w:pPr>
              <w:pStyle w:val="6"/>
              <w:spacing w:before="91" w:line="226" w:lineRule="auto"/>
              <w:ind w:left="207"/>
              <w:rPr>
                <w:sz w:val="18"/>
                <w:szCs w:val="18"/>
              </w:rPr>
            </w:pPr>
            <w:r>
              <w:rPr>
                <w:spacing w:val="-1"/>
                <w:sz w:val="18"/>
                <w:szCs w:val="18"/>
              </w:rPr>
              <w:t>445</w:t>
            </w:r>
          </w:p>
        </w:tc>
        <w:tc>
          <w:tcPr>
            <w:tcW w:w="567" w:type="dxa"/>
            <w:vAlign w:val="top"/>
          </w:tcPr>
          <w:p w14:paraId="71D8A2B5">
            <w:pPr>
              <w:pStyle w:val="6"/>
              <w:spacing w:before="91" w:line="226" w:lineRule="auto"/>
              <w:ind w:left="191"/>
              <w:rPr>
                <w:sz w:val="18"/>
                <w:szCs w:val="18"/>
              </w:rPr>
            </w:pPr>
            <w:r>
              <w:rPr>
                <w:spacing w:val="-3"/>
                <w:sz w:val="18"/>
                <w:szCs w:val="18"/>
              </w:rPr>
              <w:t>88</w:t>
            </w:r>
          </w:p>
        </w:tc>
        <w:tc>
          <w:tcPr>
            <w:tcW w:w="566" w:type="dxa"/>
            <w:vAlign w:val="top"/>
          </w:tcPr>
          <w:p w14:paraId="36D2CDDD">
            <w:pPr>
              <w:pStyle w:val="6"/>
              <w:spacing w:before="93" w:line="186" w:lineRule="auto"/>
              <w:ind w:left="145"/>
              <w:rPr>
                <w:sz w:val="18"/>
                <w:szCs w:val="18"/>
              </w:rPr>
            </w:pPr>
            <w:r>
              <w:rPr>
                <w:spacing w:val="-5"/>
                <w:sz w:val="18"/>
                <w:szCs w:val="18"/>
              </w:rPr>
              <w:t>10L</w:t>
            </w:r>
          </w:p>
        </w:tc>
        <w:tc>
          <w:tcPr>
            <w:tcW w:w="567" w:type="dxa"/>
            <w:vAlign w:val="top"/>
          </w:tcPr>
          <w:p w14:paraId="37FC447D">
            <w:pPr>
              <w:pStyle w:val="6"/>
              <w:spacing w:before="91" w:line="226" w:lineRule="auto"/>
              <w:ind w:left="65"/>
              <w:rPr>
                <w:sz w:val="18"/>
                <w:szCs w:val="18"/>
              </w:rPr>
            </w:pPr>
            <w:r>
              <w:rPr>
                <w:spacing w:val="-2"/>
                <w:sz w:val="18"/>
                <w:szCs w:val="18"/>
              </w:rPr>
              <w:t>0.01L</w:t>
            </w:r>
          </w:p>
        </w:tc>
        <w:tc>
          <w:tcPr>
            <w:tcW w:w="557" w:type="dxa"/>
            <w:vAlign w:val="top"/>
          </w:tcPr>
          <w:p w14:paraId="40218834">
            <w:pPr>
              <w:pStyle w:val="6"/>
              <w:spacing w:before="91" w:line="226" w:lineRule="auto"/>
              <w:ind w:left="60"/>
              <w:rPr>
                <w:sz w:val="18"/>
                <w:szCs w:val="18"/>
              </w:rPr>
            </w:pPr>
            <w:r>
              <w:rPr>
                <w:spacing w:val="-2"/>
                <w:sz w:val="18"/>
                <w:szCs w:val="18"/>
              </w:rPr>
              <w:t>0.01L</w:t>
            </w:r>
          </w:p>
        </w:tc>
        <w:tc>
          <w:tcPr>
            <w:tcW w:w="715" w:type="dxa"/>
            <w:vAlign w:val="top"/>
          </w:tcPr>
          <w:p w14:paraId="29688251">
            <w:pPr>
              <w:pStyle w:val="6"/>
              <w:spacing w:before="91" w:line="226" w:lineRule="auto"/>
              <w:ind w:left="140"/>
              <w:rPr>
                <w:sz w:val="18"/>
                <w:szCs w:val="18"/>
              </w:rPr>
            </w:pPr>
            <w:r>
              <w:rPr>
                <w:spacing w:val="-2"/>
                <w:sz w:val="18"/>
                <w:szCs w:val="18"/>
              </w:rPr>
              <w:t>0.04L</w:t>
            </w:r>
          </w:p>
        </w:tc>
        <w:tc>
          <w:tcPr>
            <w:tcW w:w="567" w:type="dxa"/>
            <w:vAlign w:val="top"/>
          </w:tcPr>
          <w:p w14:paraId="3D4B653D">
            <w:pPr>
              <w:pStyle w:val="6"/>
              <w:spacing w:before="91" w:line="226" w:lineRule="auto"/>
              <w:ind w:left="22"/>
              <w:rPr>
                <w:sz w:val="18"/>
                <w:szCs w:val="18"/>
              </w:rPr>
            </w:pPr>
            <w:r>
              <w:rPr>
                <w:spacing w:val="-2"/>
                <w:sz w:val="18"/>
                <w:szCs w:val="18"/>
              </w:rPr>
              <w:t>0.009L</w:t>
            </w:r>
          </w:p>
        </w:tc>
        <w:tc>
          <w:tcPr>
            <w:tcW w:w="708" w:type="dxa"/>
            <w:vAlign w:val="top"/>
          </w:tcPr>
          <w:p w14:paraId="102D53A2">
            <w:pPr>
              <w:pStyle w:val="6"/>
              <w:spacing w:before="91" w:line="226" w:lineRule="auto"/>
              <w:ind w:left="48"/>
              <w:rPr>
                <w:sz w:val="18"/>
                <w:szCs w:val="18"/>
              </w:rPr>
            </w:pPr>
            <w:r>
              <w:rPr>
                <w:spacing w:val="-1"/>
                <w:sz w:val="18"/>
                <w:szCs w:val="18"/>
              </w:rPr>
              <w:t>0.0003L</w:t>
            </w:r>
          </w:p>
        </w:tc>
        <w:tc>
          <w:tcPr>
            <w:tcW w:w="851" w:type="dxa"/>
            <w:vAlign w:val="top"/>
          </w:tcPr>
          <w:p w14:paraId="7D3CBFCC">
            <w:pPr>
              <w:pStyle w:val="6"/>
              <w:spacing w:before="91" w:line="226" w:lineRule="auto"/>
              <w:ind w:left="211"/>
              <w:rPr>
                <w:sz w:val="18"/>
                <w:szCs w:val="18"/>
              </w:rPr>
            </w:pPr>
            <w:r>
              <w:rPr>
                <w:spacing w:val="-2"/>
                <w:sz w:val="18"/>
                <w:szCs w:val="18"/>
              </w:rPr>
              <w:t>0.05L</w:t>
            </w:r>
          </w:p>
        </w:tc>
        <w:tc>
          <w:tcPr>
            <w:tcW w:w="566" w:type="dxa"/>
            <w:vAlign w:val="top"/>
          </w:tcPr>
          <w:p w14:paraId="7F891109">
            <w:pPr>
              <w:pStyle w:val="6"/>
              <w:spacing w:before="91" w:line="226" w:lineRule="auto"/>
              <w:ind w:left="125"/>
              <w:rPr>
                <w:sz w:val="18"/>
                <w:szCs w:val="18"/>
              </w:rPr>
            </w:pPr>
            <w:r>
              <w:rPr>
                <w:spacing w:val="-2"/>
                <w:sz w:val="18"/>
                <w:szCs w:val="18"/>
              </w:rPr>
              <w:t>0.01</w:t>
            </w:r>
          </w:p>
        </w:tc>
        <w:tc>
          <w:tcPr>
            <w:tcW w:w="672" w:type="dxa"/>
            <w:vAlign w:val="top"/>
          </w:tcPr>
          <w:p w14:paraId="4AD9AD2F">
            <w:pPr>
              <w:pStyle w:val="6"/>
              <w:spacing w:before="91" w:line="226" w:lineRule="auto"/>
              <w:ind w:left="178"/>
              <w:rPr>
                <w:sz w:val="18"/>
                <w:szCs w:val="18"/>
              </w:rPr>
            </w:pPr>
            <w:r>
              <w:rPr>
                <w:spacing w:val="-2"/>
                <w:sz w:val="18"/>
                <w:szCs w:val="18"/>
              </w:rPr>
              <w:t>0.16</w:t>
            </w:r>
          </w:p>
        </w:tc>
        <w:tc>
          <w:tcPr>
            <w:tcW w:w="745" w:type="dxa"/>
            <w:vAlign w:val="top"/>
          </w:tcPr>
          <w:p w14:paraId="13A89D01">
            <w:pPr>
              <w:pStyle w:val="6"/>
              <w:spacing w:before="91" w:line="226" w:lineRule="auto"/>
              <w:ind w:left="116"/>
              <w:rPr>
                <w:sz w:val="18"/>
                <w:szCs w:val="18"/>
              </w:rPr>
            </w:pPr>
            <w:r>
              <w:rPr>
                <w:spacing w:val="-2"/>
                <w:sz w:val="18"/>
                <w:szCs w:val="18"/>
              </w:rPr>
              <w:t>0.003L</w:t>
            </w:r>
          </w:p>
        </w:tc>
        <w:tc>
          <w:tcPr>
            <w:tcW w:w="455" w:type="dxa"/>
            <w:vAlign w:val="top"/>
          </w:tcPr>
          <w:p w14:paraId="692A283E">
            <w:pPr>
              <w:pStyle w:val="6"/>
              <w:spacing w:before="91" w:line="226" w:lineRule="auto"/>
              <w:ind w:left="27"/>
              <w:rPr>
                <w:sz w:val="18"/>
                <w:szCs w:val="18"/>
              </w:rPr>
            </w:pPr>
            <w:r>
              <w:rPr>
                <w:spacing w:val="-2"/>
                <w:sz w:val="18"/>
                <w:szCs w:val="18"/>
              </w:rPr>
              <w:t>0.038</w:t>
            </w:r>
          </w:p>
        </w:tc>
        <w:tc>
          <w:tcPr>
            <w:tcW w:w="579" w:type="dxa"/>
            <w:vAlign w:val="top"/>
          </w:tcPr>
          <w:p w14:paraId="0187F2BA">
            <w:pPr>
              <w:pStyle w:val="6"/>
              <w:spacing w:before="91" w:line="226" w:lineRule="auto"/>
              <w:ind w:left="136"/>
              <w:rPr>
                <w:sz w:val="18"/>
                <w:szCs w:val="18"/>
              </w:rPr>
            </w:pPr>
            <w:r>
              <w:rPr>
                <w:spacing w:val="-2"/>
                <w:sz w:val="18"/>
                <w:szCs w:val="18"/>
              </w:rPr>
              <w:t>0.13</w:t>
            </w:r>
          </w:p>
        </w:tc>
        <w:tc>
          <w:tcPr>
            <w:tcW w:w="623" w:type="dxa"/>
            <w:vAlign w:val="top"/>
          </w:tcPr>
          <w:p w14:paraId="19420E8D">
            <w:pPr>
              <w:pStyle w:val="6"/>
              <w:spacing w:before="91" w:line="226" w:lineRule="auto"/>
              <w:ind w:left="58"/>
              <w:rPr>
                <w:sz w:val="18"/>
                <w:szCs w:val="18"/>
              </w:rPr>
            </w:pPr>
            <w:r>
              <w:rPr>
                <w:spacing w:val="-2"/>
                <w:sz w:val="18"/>
                <w:szCs w:val="18"/>
              </w:rPr>
              <w:t>0.004L</w:t>
            </w:r>
          </w:p>
        </w:tc>
        <w:tc>
          <w:tcPr>
            <w:tcW w:w="737" w:type="dxa"/>
            <w:vAlign w:val="top"/>
          </w:tcPr>
          <w:p w14:paraId="46E5D5C2">
            <w:pPr>
              <w:pStyle w:val="6"/>
              <w:spacing w:before="91" w:line="226" w:lineRule="auto"/>
              <w:ind w:left="25"/>
              <w:rPr>
                <w:sz w:val="18"/>
                <w:szCs w:val="18"/>
              </w:rPr>
            </w:pPr>
            <w:r>
              <w:rPr>
                <w:spacing w:val="-1"/>
                <w:sz w:val="18"/>
                <w:szCs w:val="18"/>
              </w:rPr>
              <w:t>0.00004L</w:t>
            </w:r>
          </w:p>
        </w:tc>
        <w:tc>
          <w:tcPr>
            <w:tcW w:w="577" w:type="dxa"/>
            <w:vAlign w:val="top"/>
          </w:tcPr>
          <w:p w14:paraId="58A96BA6">
            <w:pPr>
              <w:pStyle w:val="6"/>
              <w:spacing w:before="91" w:line="226" w:lineRule="auto"/>
              <w:ind w:left="48"/>
              <w:rPr>
                <w:sz w:val="18"/>
                <w:szCs w:val="18"/>
              </w:rPr>
            </w:pPr>
            <w:r>
              <w:rPr>
                <w:spacing w:val="-2"/>
                <w:sz w:val="18"/>
                <w:szCs w:val="18"/>
              </w:rPr>
              <w:t>0.0024</w:t>
            </w:r>
          </w:p>
        </w:tc>
        <w:tc>
          <w:tcPr>
            <w:tcW w:w="708" w:type="dxa"/>
            <w:vAlign w:val="top"/>
          </w:tcPr>
          <w:p w14:paraId="413E4AD7">
            <w:pPr>
              <w:pStyle w:val="6"/>
              <w:spacing w:before="91" w:line="226" w:lineRule="auto"/>
              <w:ind w:left="115"/>
              <w:rPr>
                <w:sz w:val="18"/>
                <w:szCs w:val="18"/>
              </w:rPr>
            </w:pPr>
            <w:r>
              <w:rPr>
                <w:spacing w:val="-2"/>
                <w:sz w:val="18"/>
                <w:szCs w:val="18"/>
              </w:rPr>
              <w:t>0.0013</w:t>
            </w:r>
          </w:p>
        </w:tc>
        <w:tc>
          <w:tcPr>
            <w:tcW w:w="567" w:type="dxa"/>
            <w:vAlign w:val="top"/>
          </w:tcPr>
          <w:p w14:paraId="273FCDB9">
            <w:pPr>
              <w:pStyle w:val="6"/>
              <w:spacing w:before="91" w:line="226" w:lineRule="auto"/>
              <w:ind w:left="35"/>
              <w:rPr>
                <w:sz w:val="18"/>
                <w:szCs w:val="18"/>
              </w:rPr>
            </w:pPr>
            <w:r>
              <w:rPr>
                <w:spacing w:val="-2"/>
                <w:sz w:val="18"/>
                <w:szCs w:val="18"/>
              </w:rPr>
              <w:t>0.001L</w:t>
            </w:r>
          </w:p>
        </w:tc>
        <w:tc>
          <w:tcPr>
            <w:tcW w:w="566" w:type="dxa"/>
            <w:vAlign w:val="top"/>
          </w:tcPr>
          <w:p w14:paraId="1FE22128">
            <w:pPr>
              <w:pStyle w:val="6"/>
              <w:spacing w:before="91" w:line="226" w:lineRule="auto"/>
              <w:ind w:left="34"/>
              <w:rPr>
                <w:sz w:val="18"/>
                <w:szCs w:val="18"/>
              </w:rPr>
            </w:pPr>
            <w:r>
              <w:rPr>
                <w:spacing w:val="-2"/>
                <w:sz w:val="18"/>
                <w:szCs w:val="18"/>
              </w:rPr>
              <w:t>0.004L</w:t>
            </w:r>
          </w:p>
        </w:tc>
        <w:tc>
          <w:tcPr>
            <w:tcW w:w="567" w:type="dxa"/>
            <w:vAlign w:val="top"/>
          </w:tcPr>
          <w:p w14:paraId="465791FE">
            <w:pPr>
              <w:pStyle w:val="6"/>
              <w:spacing w:before="91" w:line="226" w:lineRule="auto"/>
              <w:ind w:left="81"/>
              <w:rPr>
                <w:sz w:val="18"/>
                <w:szCs w:val="18"/>
              </w:rPr>
            </w:pPr>
            <w:r>
              <w:rPr>
                <w:spacing w:val="-2"/>
                <w:sz w:val="18"/>
                <w:szCs w:val="18"/>
              </w:rPr>
              <w:t>0.01L</w:t>
            </w:r>
          </w:p>
        </w:tc>
        <w:tc>
          <w:tcPr>
            <w:tcW w:w="708" w:type="dxa"/>
            <w:vAlign w:val="top"/>
          </w:tcPr>
          <w:p w14:paraId="290222C6">
            <w:pPr>
              <w:pStyle w:val="6"/>
              <w:spacing w:before="91" w:line="226" w:lineRule="auto"/>
              <w:ind w:left="161"/>
              <w:rPr>
                <w:sz w:val="18"/>
                <w:szCs w:val="18"/>
              </w:rPr>
            </w:pPr>
            <w:r>
              <w:rPr>
                <w:spacing w:val="-2"/>
                <w:sz w:val="18"/>
                <w:szCs w:val="18"/>
              </w:rPr>
              <w:t>0.028</w:t>
            </w:r>
          </w:p>
        </w:tc>
        <w:tc>
          <w:tcPr>
            <w:tcW w:w="566" w:type="dxa"/>
            <w:vAlign w:val="top"/>
          </w:tcPr>
          <w:p w14:paraId="18C8A71C">
            <w:pPr>
              <w:pStyle w:val="6"/>
              <w:spacing w:before="166" w:line="85" w:lineRule="exact"/>
              <w:ind w:left="236"/>
              <w:rPr>
                <w:sz w:val="18"/>
                <w:szCs w:val="18"/>
              </w:rPr>
            </w:pPr>
            <w:r>
              <w:rPr>
                <w:spacing w:val="-2"/>
                <w:position w:val="-5"/>
                <w:sz w:val="18"/>
                <w:szCs w:val="18"/>
              </w:rPr>
              <w:t>--</w:t>
            </w:r>
          </w:p>
        </w:tc>
        <w:tc>
          <w:tcPr>
            <w:tcW w:w="579" w:type="dxa"/>
            <w:vAlign w:val="top"/>
          </w:tcPr>
          <w:p w14:paraId="7ED1C91F">
            <w:pPr>
              <w:pStyle w:val="6"/>
              <w:spacing w:before="91" w:line="226" w:lineRule="auto"/>
              <w:ind w:left="162"/>
              <w:rPr>
                <w:sz w:val="18"/>
                <w:szCs w:val="18"/>
              </w:rPr>
            </w:pPr>
            <w:r>
              <w:rPr>
                <w:spacing w:val="-1"/>
                <w:sz w:val="18"/>
                <w:szCs w:val="18"/>
              </w:rPr>
              <w:t>461</w:t>
            </w:r>
          </w:p>
        </w:tc>
        <w:tc>
          <w:tcPr>
            <w:tcW w:w="411" w:type="dxa"/>
            <w:vAlign w:val="top"/>
          </w:tcPr>
          <w:p w14:paraId="36F4B6B4">
            <w:pPr>
              <w:pStyle w:val="6"/>
              <w:spacing w:before="91" w:line="226" w:lineRule="auto"/>
              <w:ind w:left="106"/>
              <w:rPr>
                <w:sz w:val="18"/>
                <w:szCs w:val="18"/>
              </w:rPr>
            </w:pPr>
            <w:r>
              <w:rPr>
                <w:spacing w:val="-3"/>
                <w:sz w:val="18"/>
                <w:szCs w:val="18"/>
              </w:rPr>
              <w:t>0.6</w:t>
            </w:r>
          </w:p>
        </w:tc>
        <w:tc>
          <w:tcPr>
            <w:tcW w:w="428" w:type="dxa"/>
            <w:vAlign w:val="top"/>
          </w:tcPr>
          <w:p w14:paraId="50BDCB8A">
            <w:pPr>
              <w:pStyle w:val="6"/>
              <w:spacing w:before="91" w:line="226" w:lineRule="auto"/>
              <w:ind w:left="67"/>
              <w:rPr>
                <w:sz w:val="18"/>
                <w:szCs w:val="18"/>
              </w:rPr>
            </w:pPr>
            <w:r>
              <w:rPr>
                <w:spacing w:val="-1"/>
                <w:sz w:val="18"/>
                <w:szCs w:val="18"/>
              </w:rPr>
              <w:t>2.92</w:t>
            </w:r>
          </w:p>
        </w:tc>
        <w:tc>
          <w:tcPr>
            <w:tcW w:w="427" w:type="dxa"/>
            <w:vAlign w:val="top"/>
          </w:tcPr>
          <w:p w14:paraId="5080C29F">
            <w:pPr>
              <w:pStyle w:val="6"/>
              <w:spacing w:before="91" w:line="226" w:lineRule="auto"/>
              <w:ind w:left="85"/>
              <w:rPr>
                <w:sz w:val="18"/>
                <w:szCs w:val="18"/>
              </w:rPr>
            </w:pPr>
            <w:r>
              <w:rPr>
                <w:spacing w:val="-6"/>
                <w:sz w:val="18"/>
                <w:szCs w:val="18"/>
              </w:rPr>
              <w:t>1.09</w:t>
            </w:r>
          </w:p>
        </w:tc>
        <w:tc>
          <w:tcPr>
            <w:tcW w:w="341" w:type="dxa"/>
            <w:vAlign w:val="top"/>
          </w:tcPr>
          <w:p w14:paraId="105D0FDC">
            <w:pPr>
              <w:pStyle w:val="6"/>
              <w:spacing w:before="91" w:line="226" w:lineRule="auto"/>
              <w:jc w:val="right"/>
              <w:rPr>
                <w:sz w:val="18"/>
                <w:szCs w:val="18"/>
              </w:rPr>
            </w:pPr>
            <w:r>
              <w:rPr>
                <w:spacing w:val="-3"/>
                <w:sz w:val="18"/>
                <w:szCs w:val="18"/>
              </w:rPr>
              <w:t>24.2</w:t>
            </w:r>
          </w:p>
        </w:tc>
        <w:tc>
          <w:tcPr>
            <w:tcW w:w="361" w:type="dxa"/>
            <w:tcBorders>
              <w:right w:val="single" w:color="000000" w:sz="12" w:space="0"/>
            </w:tcBorders>
            <w:vAlign w:val="top"/>
          </w:tcPr>
          <w:p w14:paraId="28E61B46">
            <w:pPr>
              <w:pStyle w:val="6"/>
              <w:spacing w:before="91" w:line="226" w:lineRule="auto"/>
              <w:ind w:right="3"/>
              <w:jc w:val="right"/>
              <w:rPr>
                <w:sz w:val="18"/>
                <w:szCs w:val="18"/>
              </w:rPr>
            </w:pPr>
            <w:r>
              <w:rPr>
                <w:spacing w:val="-2"/>
                <w:sz w:val="18"/>
                <w:szCs w:val="18"/>
              </w:rPr>
              <w:t>30.8</w:t>
            </w:r>
          </w:p>
        </w:tc>
      </w:tr>
      <w:tr w14:paraId="27A3B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63" w:type="dxa"/>
            <w:vMerge w:val="continue"/>
            <w:tcBorders>
              <w:top w:val="nil"/>
              <w:left w:val="single" w:color="000000" w:sz="12" w:space="0"/>
              <w:bottom w:val="nil"/>
            </w:tcBorders>
            <w:vAlign w:val="top"/>
          </w:tcPr>
          <w:p w14:paraId="40E68D80">
            <w:pPr>
              <w:rPr>
                <w:rFonts w:ascii="Arial"/>
                <w:sz w:val="21"/>
              </w:rPr>
            </w:pPr>
          </w:p>
        </w:tc>
        <w:tc>
          <w:tcPr>
            <w:tcW w:w="284" w:type="dxa"/>
            <w:vMerge w:val="continue"/>
            <w:tcBorders>
              <w:top w:val="nil"/>
              <w:bottom w:val="nil"/>
            </w:tcBorders>
            <w:vAlign w:val="top"/>
          </w:tcPr>
          <w:p w14:paraId="63388025">
            <w:pPr>
              <w:rPr>
                <w:rFonts w:ascii="Arial"/>
                <w:sz w:val="21"/>
              </w:rPr>
            </w:pPr>
          </w:p>
        </w:tc>
        <w:tc>
          <w:tcPr>
            <w:tcW w:w="1249" w:type="dxa"/>
            <w:vAlign w:val="top"/>
          </w:tcPr>
          <w:p w14:paraId="61A0E16F">
            <w:pPr>
              <w:pStyle w:val="6"/>
              <w:spacing w:before="94" w:line="229" w:lineRule="auto"/>
              <w:ind w:left="244"/>
              <w:rPr>
                <w:sz w:val="18"/>
                <w:szCs w:val="18"/>
              </w:rPr>
            </w:pPr>
            <w:r>
              <w:rPr>
                <w:spacing w:val="-1"/>
                <w:sz w:val="18"/>
                <w:szCs w:val="18"/>
              </w:rPr>
              <w:t>2021/3/19</w:t>
            </w:r>
          </w:p>
        </w:tc>
        <w:tc>
          <w:tcPr>
            <w:tcW w:w="733" w:type="dxa"/>
            <w:vAlign w:val="top"/>
          </w:tcPr>
          <w:p w14:paraId="6DFA1D20">
            <w:pPr>
              <w:pStyle w:val="6"/>
              <w:spacing w:before="94" w:line="229" w:lineRule="auto"/>
              <w:ind w:left="198"/>
              <w:rPr>
                <w:sz w:val="18"/>
                <w:szCs w:val="18"/>
              </w:rPr>
            </w:pPr>
            <w:r>
              <w:rPr>
                <w:spacing w:val="-2"/>
                <w:sz w:val="18"/>
                <w:szCs w:val="18"/>
              </w:rPr>
              <w:t>7.57</w:t>
            </w:r>
          </w:p>
        </w:tc>
        <w:tc>
          <w:tcPr>
            <w:tcW w:w="565" w:type="dxa"/>
            <w:vAlign w:val="top"/>
          </w:tcPr>
          <w:p w14:paraId="5C39CA15">
            <w:pPr>
              <w:pStyle w:val="6"/>
              <w:spacing w:before="94" w:line="229" w:lineRule="auto"/>
              <w:ind w:left="134"/>
              <w:rPr>
                <w:sz w:val="18"/>
                <w:szCs w:val="18"/>
              </w:rPr>
            </w:pPr>
            <w:r>
              <w:rPr>
                <w:spacing w:val="-1"/>
                <w:sz w:val="18"/>
                <w:szCs w:val="18"/>
              </w:rPr>
              <w:t>226</w:t>
            </w:r>
          </w:p>
        </w:tc>
        <w:tc>
          <w:tcPr>
            <w:tcW w:w="708" w:type="dxa"/>
            <w:vAlign w:val="top"/>
          </w:tcPr>
          <w:p w14:paraId="6D99EDB3">
            <w:pPr>
              <w:pStyle w:val="6"/>
              <w:spacing w:before="94" w:line="229" w:lineRule="auto"/>
              <w:ind w:left="207"/>
              <w:rPr>
                <w:sz w:val="18"/>
                <w:szCs w:val="18"/>
              </w:rPr>
            </w:pPr>
            <w:r>
              <w:rPr>
                <w:spacing w:val="-1"/>
                <w:sz w:val="18"/>
                <w:szCs w:val="18"/>
              </w:rPr>
              <w:t>439</w:t>
            </w:r>
          </w:p>
        </w:tc>
        <w:tc>
          <w:tcPr>
            <w:tcW w:w="567" w:type="dxa"/>
            <w:vAlign w:val="top"/>
          </w:tcPr>
          <w:p w14:paraId="24088B02">
            <w:pPr>
              <w:pStyle w:val="6"/>
              <w:spacing w:before="94" w:line="229" w:lineRule="auto"/>
              <w:ind w:left="187"/>
              <w:rPr>
                <w:sz w:val="18"/>
                <w:szCs w:val="18"/>
              </w:rPr>
            </w:pPr>
            <w:r>
              <w:rPr>
                <w:spacing w:val="-2"/>
                <w:sz w:val="18"/>
                <w:szCs w:val="18"/>
              </w:rPr>
              <w:t>91</w:t>
            </w:r>
          </w:p>
        </w:tc>
        <w:tc>
          <w:tcPr>
            <w:tcW w:w="566" w:type="dxa"/>
            <w:vAlign w:val="top"/>
          </w:tcPr>
          <w:p w14:paraId="225B5073">
            <w:pPr>
              <w:pStyle w:val="6"/>
              <w:spacing w:before="97" w:line="186" w:lineRule="auto"/>
              <w:ind w:left="145"/>
              <w:rPr>
                <w:sz w:val="18"/>
                <w:szCs w:val="18"/>
              </w:rPr>
            </w:pPr>
            <w:r>
              <w:rPr>
                <w:spacing w:val="-5"/>
                <w:sz w:val="18"/>
                <w:szCs w:val="18"/>
              </w:rPr>
              <w:t>10L</w:t>
            </w:r>
          </w:p>
        </w:tc>
        <w:tc>
          <w:tcPr>
            <w:tcW w:w="567" w:type="dxa"/>
            <w:vAlign w:val="top"/>
          </w:tcPr>
          <w:p w14:paraId="1044532A">
            <w:pPr>
              <w:pStyle w:val="6"/>
              <w:spacing w:before="94" w:line="229" w:lineRule="auto"/>
              <w:ind w:left="65"/>
              <w:rPr>
                <w:sz w:val="18"/>
                <w:szCs w:val="18"/>
              </w:rPr>
            </w:pPr>
            <w:r>
              <w:rPr>
                <w:spacing w:val="-2"/>
                <w:sz w:val="18"/>
                <w:szCs w:val="18"/>
              </w:rPr>
              <w:t>0.01L</w:t>
            </w:r>
          </w:p>
        </w:tc>
        <w:tc>
          <w:tcPr>
            <w:tcW w:w="557" w:type="dxa"/>
            <w:vAlign w:val="top"/>
          </w:tcPr>
          <w:p w14:paraId="7EE4A0CA">
            <w:pPr>
              <w:pStyle w:val="6"/>
              <w:spacing w:before="94" w:line="229" w:lineRule="auto"/>
              <w:ind w:left="60"/>
              <w:rPr>
                <w:sz w:val="18"/>
                <w:szCs w:val="18"/>
              </w:rPr>
            </w:pPr>
            <w:r>
              <w:rPr>
                <w:spacing w:val="-2"/>
                <w:sz w:val="18"/>
                <w:szCs w:val="18"/>
              </w:rPr>
              <w:t>0.01L</w:t>
            </w:r>
          </w:p>
        </w:tc>
        <w:tc>
          <w:tcPr>
            <w:tcW w:w="715" w:type="dxa"/>
            <w:vAlign w:val="top"/>
          </w:tcPr>
          <w:p w14:paraId="644658C2">
            <w:pPr>
              <w:pStyle w:val="6"/>
              <w:spacing w:before="94" w:line="229" w:lineRule="auto"/>
              <w:ind w:left="140"/>
              <w:rPr>
                <w:sz w:val="18"/>
                <w:szCs w:val="18"/>
              </w:rPr>
            </w:pPr>
            <w:r>
              <w:rPr>
                <w:spacing w:val="-2"/>
                <w:sz w:val="18"/>
                <w:szCs w:val="18"/>
              </w:rPr>
              <w:t>0.04L</w:t>
            </w:r>
          </w:p>
        </w:tc>
        <w:tc>
          <w:tcPr>
            <w:tcW w:w="567" w:type="dxa"/>
            <w:vAlign w:val="top"/>
          </w:tcPr>
          <w:p w14:paraId="7AF029C8">
            <w:pPr>
              <w:pStyle w:val="6"/>
              <w:spacing w:before="94" w:line="229" w:lineRule="auto"/>
              <w:ind w:left="22"/>
              <w:rPr>
                <w:sz w:val="18"/>
                <w:szCs w:val="18"/>
              </w:rPr>
            </w:pPr>
            <w:r>
              <w:rPr>
                <w:spacing w:val="-2"/>
                <w:sz w:val="18"/>
                <w:szCs w:val="18"/>
              </w:rPr>
              <w:t>0.009L</w:t>
            </w:r>
          </w:p>
        </w:tc>
        <w:tc>
          <w:tcPr>
            <w:tcW w:w="708" w:type="dxa"/>
            <w:vAlign w:val="top"/>
          </w:tcPr>
          <w:p w14:paraId="6ADDFADA">
            <w:pPr>
              <w:pStyle w:val="6"/>
              <w:spacing w:before="94" w:line="229" w:lineRule="auto"/>
              <w:ind w:left="48"/>
              <w:rPr>
                <w:sz w:val="18"/>
                <w:szCs w:val="18"/>
              </w:rPr>
            </w:pPr>
            <w:r>
              <w:rPr>
                <w:spacing w:val="-1"/>
                <w:sz w:val="18"/>
                <w:szCs w:val="18"/>
              </w:rPr>
              <w:t>0.0003L</w:t>
            </w:r>
          </w:p>
        </w:tc>
        <w:tc>
          <w:tcPr>
            <w:tcW w:w="851" w:type="dxa"/>
            <w:vAlign w:val="top"/>
          </w:tcPr>
          <w:p w14:paraId="231F8FD6">
            <w:pPr>
              <w:pStyle w:val="6"/>
              <w:spacing w:before="94" w:line="229" w:lineRule="auto"/>
              <w:ind w:left="211"/>
              <w:rPr>
                <w:sz w:val="18"/>
                <w:szCs w:val="18"/>
              </w:rPr>
            </w:pPr>
            <w:r>
              <w:rPr>
                <w:spacing w:val="-2"/>
                <w:sz w:val="18"/>
                <w:szCs w:val="18"/>
              </w:rPr>
              <w:t>0.05L</w:t>
            </w:r>
          </w:p>
        </w:tc>
        <w:tc>
          <w:tcPr>
            <w:tcW w:w="566" w:type="dxa"/>
            <w:vAlign w:val="top"/>
          </w:tcPr>
          <w:p w14:paraId="2B45B443">
            <w:pPr>
              <w:pStyle w:val="6"/>
              <w:spacing w:before="94" w:line="229" w:lineRule="auto"/>
              <w:ind w:left="125"/>
              <w:rPr>
                <w:sz w:val="18"/>
                <w:szCs w:val="18"/>
              </w:rPr>
            </w:pPr>
            <w:r>
              <w:rPr>
                <w:spacing w:val="-2"/>
                <w:sz w:val="18"/>
                <w:szCs w:val="18"/>
              </w:rPr>
              <w:t>0.02</w:t>
            </w:r>
          </w:p>
        </w:tc>
        <w:tc>
          <w:tcPr>
            <w:tcW w:w="672" w:type="dxa"/>
            <w:vAlign w:val="top"/>
          </w:tcPr>
          <w:p w14:paraId="51A083D5">
            <w:pPr>
              <w:pStyle w:val="6"/>
              <w:spacing w:before="94" w:line="229" w:lineRule="auto"/>
              <w:ind w:left="178"/>
              <w:rPr>
                <w:sz w:val="18"/>
                <w:szCs w:val="18"/>
              </w:rPr>
            </w:pPr>
            <w:r>
              <w:rPr>
                <w:spacing w:val="-2"/>
                <w:sz w:val="18"/>
                <w:szCs w:val="18"/>
              </w:rPr>
              <w:t>0.14</w:t>
            </w:r>
          </w:p>
        </w:tc>
        <w:tc>
          <w:tcPr>
            <w:tcW w:w="745" w:type="dxa"/>
            <w:vAlign w:val="top"/>
          </w:tcPr>
          <w:p w14:paraId="43B60A92">
            <w:pPr>
              <w:pStyle w:val="6"/>
              <w:spacing w:before="94" w:line="229" w:lineRule="auto"/>
              <w:ind w:left="116"/>
              <w:rPr>
                <w:sz w:val="18"/>
                <w:szCs w:val="18"/>
              </w:rPr>
            </w:pPr>
            <w:r>
              <w:rPr>
                <w:spacing w:val="-2"/>
                <w:sz w:val="18"/>
                <w:szCs w:val="18"/>
              </w:rPr>
              <w:t>0.003L</w:t>
            </w:r>
          </w:p>
        </w:tc>
        <w:tc>
          <w:tcPr>
            <w:tcW w:w="455" w:type="dxa"/>
            <w:vAlign w:val="top"/>
          </w:tcPr>
          <w:p w14:paraId="071ABDC8">
            <w:pPr>
              <w:pStyle w:val="6"/>
              <w:spacing w:before="94" w:line="229" w:lineRule="auto"/>
              <w:ind w:left="27"/>
              <w:rPr>
                <w:sz w:val="18"/>
                <w:szCs w:val="18"/>
              </w:rPr>
            </w:pPr>
            <w:r>
              <w:rPr>
                <w:spacing w:val="-2"/>
                <w:sz w:val="18"/>
                <w:szCs w:val="18"/>
              </w:rPr>
              <w:t>0.034</w:t>
            </w:r>
          </w:p>
        </w:tc>
        <w:tc>
          <w:tcPr>
            <w:tcW w:w="579" w:type="dxa"/>
            <w:vAlign w:val="top"/>
          </w:tcPr>
          <w:p w14:paraId="53616A02">
            <w:pPr>
              <w:pStyle w:val="6"/>
              <w:spacing w:before="94" w:line="229" w:lineRule="auto"/>
              <w:ind w:left="136"/>
              <w:rPr>
                <w:sz w:val="18"/>
                <w:szCs w:val="18"/>
              </w:rPr>
            </w:pPr>
            <w:r>
              <w:rPr>
                <w:spacing w:val="-2"/>
                <w:sz w:val="18"/>
                <w:szCs w:val="18"/>
              </w:rPr>
              <w:t>0.15</w:t>
            </w:r>
          </w:p>
        </w:tc>
        <w:tc>
          <w:tcPr>
            <w:tcW w:w="623" w:type="dxa"/>
            <w:vAlign w:val="top"/>
          </w:tcPr>
          <w:p w14:paraId="58BC4671">
            <w:pPr>
              <w:pStyle w:val="6"/>
              <w:spacing w:before="94" w:line="229" w:lineRule="auto"/>
              <w:ind w:left="58"/>
              <w:rPr>
                <w:sz w:val="18"/>
                <w:szCs w:val="18"/>
              </w:rPr>
            </w:pPr>
            <w:r>
              <w:rPr>
                <w:spacing w:val="-2"/>
                <w:sz w:val="18"/>
                <w:szCs w:val="18"/>
              </w:rPr>
              <w:t>0.004L</w:t>
            </w:r>
          </w:p>
        </w:tc>
        <w:tc>
          <w:tcPr>
            <w:tcW w:w="737" w:type="dxa"/>
            <w:vAlign w:val="top"/>
          </w:tcPr>
          <w:p w14:paraId="3FC75BB9">
            <w:pPr>
              <w:pStyle w:val="6"/>
              <w:spacing w:before="94" w:line="229" w:lineRule="auto"/>
              <w:ind w:left="25"/>
              <w:rPr>
                <w:sz w:val="18"/>
                <w:szCs w:val="18"/>
              </w:rPr>
            </w:pPr>
            <w:r>
              <w:rPr>
                <w:spacing w:val="-1"/>
                <w:sz w:val="18"/>
                <w:szCs w:val="18"/>
              </w:rPr>
              <w:t>0.00004L</w:t>
            </w:r>
          </w:p>
        </w:tc>
        <w:tc>
          <w:tcPr>
            <w:tcW w:w="577" w:type="dxa"/>
            <w:vAlign w:val="top"/>
          </w:tcPr>
          <w:p w14:paraId="35BFE716">
            <w:pPr>
              <w:pStyle w:val="6"/>
              <w:spacing w:before="94" w:line="229" w:lineRule="auto"/>
              <w:ind w:left="48"/>
              <w:rPr>
                <w:sz w:val="18"/>
                <w:szCs w:val="18"/>
              </w:rPr>
            </w:pPr>
            <w:r>
              <w:rPr>
                <w:spacing w:val="-2"/>
                <w:sz w:val="18"/>
                <w:szCs w:val="18"/>
              </w:rPr>
              <w:t>0.0021</w:t>
            </w:r>
          </w:p>
        </w:tc>
        <w:tc>
          <w:tcPr>
            <w:tcW w:w="708" w:type="dxa"/>
            <w:vAlign w:val="top"/>
          </w:tcPr>
          <w:p w14:paraId="5F7889C0">
            <w:pPr>
              <w:pStyle w:val="6"/>
              <w:spacing w:before="94" w:line="229" w:lineRule="auto"/>
              <w:ind w:left="115"/>
              <w:rPr>
                <w:sz w:val="18"/>
                <w:szCs w:val="18"/>
              </w:rPr>
            </w:pPr>
            <w:r>
              <w:rPr>
                <w:spacing w:val="-2"/>
                <w:sz w:val="18"/>
                <w:szCs w:val="18"/>
              </w:rPr>
              <w:t>0.0013</w:t>
            </w:r>
          </w:p>
        </w:tc>
        <w:tc>
          <w:tcPr>
            <w:tcW w:w="567" w:type="dxa"/>
            <w:vAlign w:val="top"/>
          </w:tcPr>
          <w:p w14:paraId="2EC6218D">
            <w:pPr>
              <w:pStyle w:val="6"/>
              <w:spacing w:before="94" w:line="229" w:lineRule="auto"/>
              <w:ind w:left="35"/>
              <w:rPr>
                <w:sz w:val="18"/>
                <w:szCs w:val="18"/>
              </w:rPr>
            </w:pPr>
            <w:r>
              <w:rPr>
                <w:spacing w:val="-1"/>
                <w:sz w:val="18"/>
                <w:szCs w:val="18"/>
              </w:rPr>
              <w:t>0.001L</w:t>
            </w:r>
          </w:p>
        </w:tc>
        <w:tc>
          <w:tcPr>
            <w:tcW w:w="566" w:type="dxa"/>
            <w:vAlign w:val="top"/>
          </w:tcPr>
          <w:p w14:paraId="2A0D6910">
            <w:pPr>
              <w:pStyle w:val="6"/>
              <w:spacing w:before="94" w:line="229" w:lineRule="auto"/>
              <w:ind w:left="34"/>
              <w:rPr>
                <w:sz w:val="18"/>
                <w:szCs w:val="18"/>
              </w:rPr>
            </w:pPr>
            <w:r>
              <w:rPr>
                <w:spacing w:val="-2"/>
                <w:sz w:val="18"/>
                <w:szCs w:val="18"/>
              </w:rPr>
              <w:t>0.004L</w:t>
            </w:r>
          </w:p>
        </w:tc>
        <w:tc>
          <w:tcPr>
            <w:tcW w:w="567" w:type="dxa"/>
            <w:vAlign w:val="top"/>
          </w:tcPr>
          <w:p w14:paraId="3FF08BE9">
            <w:pPr>
              <w:pStyle w:val="6"/>
              <w:spacing w:before="94" w:line="229" w:lineRule="auto"/>
              <w:ind w:left="81"/>
              <w:rPr>
                <w:sz w:val="18"/>
                <w:szCs w:val="18"/>
              </w:rPr>
            </w:pPr>
            <w:r>
              <w:rPr>
                <w:spacing w:val="-2"/>
                <w:sz w:val="18"/>
                <w:szCs w:val="18"/>
              </w:rPr>
              <w:t>0.01L</w:t>
            </w:r>
          </w:p>
        </w:tc>
        <w:tc>
          <w:tcPr>
            <w:tcW w:w="708" w:type="dxa"/>
            <w:vAlign w:val="top"/>
          </w:tcPr>
          <w:p w14:paraId="19C5AFF1">
            <w:pPr>
              <w:pStyle w:val="6"/>
              <w:spacing w:before="94" w:line="229" w:lineRule="auto"/>
              <w:ind w:left="161"/>
              <w:rPr>
                <w:sz w:val="18"/>
                <w:szCs w:val="18"/>
              </w:rPr>
            </w:pPr>
            <w:r>
              <w:rPr>
                <w:spacing w:val="-2"/>
                <w:sz w:val="18"/>
                <w:szCs w:val="18"/>
              </w:rPr>
              <w:t>0.024</w:t>
            </w:r>
          </w:p>
        </w:tc>
        <w:tc>
          <w:tcPr>
            <w:tcW w:w="566" w:type="dxa"/>
            <w:vAlign w:val="top"/>
          </w:tcPr>
          <w:p w14:paraId="502D65CD">
            <w:pPr>
              <w:pStyle w:val="6"/>
              <w:spacing w:before="167" w:line="86" w:lineRule="exact"/>
              <w:ind w:left="236"/>
              <w:rPr>
                <w:sz w:val="18"/>
                <w:szCs w:val="18"/>
              </w:rPr>
            </w:pPr>
            <w:r>
              <w:rPr>
                <w:spacing w:val="-2"/>
                <w:position w:val="-5"/>
                <w:sz w:val="18"/>
                <w:szCs w:val="18"/>
              </w:rPr>
              <w:t>--</w:t>
            </w:r>
          </w:p>
        </w:tc>
        <w:tc>
          <w:tcPr>
            <w:tcW w:w="579" w:type="dxa"/>
            <w:vAlign w:val="top"/>
          </w:tcPr>
          <w:p w14:paraId="0B2290F8">
            <w:pPr>
              <w:pStyle w:val="6"/>
              <w:spacing w:before="94" w:line="229" w:lineRule="auto"/>
              <w:ind w:left="162"/>
              <w:rPr>
                <w:sz w:val="18"/>
                <w:szCs w:val="18"/>
              </w:rPr>
            </w:pPr>
            <w:r>
              <w:rPr>
                <w:spacing w:val="-1"/>
                <w:sz w:val="18"/>
                <w:szCs w:val="18"/>
              </w:rPr>
              <w:t>463</w:t>
            </w:r>
          </w:p>
        </w:tc>
        <w:tc>
          <w:tcPr>
            <w:tcW w:w="411" w:type="dxa"/>
            <w:vAlign w:val="top"/>
          </w:tcPr>
          <w:p w14:paraId="068C8873">
            <w:pPr>
              <w:pStyle w:val="6"/>
              <w:spacing w:before="94" w:line="229" w:lineRule="auto"/>
              <w:ind w:left="106"/>
              <w:rPr>
                <w:sz w:val="18"/>
                <w:szCs w:val="18"/>
              </w:rPr>
            </w:pPr>
            <w:r>
              <w:rPr>
                <w:spacing w:val="-3"/>
                <w:sz w:val="18"/>
                <w:szCs w:val="18"/>
              </w:rPr>
              <w:t>0.8</w:t>
            </w:r>
          </w:p>
        </w:tc>
        <w:tc>
          <w:tcPr>
            <w:tcW w:w="428" w:type="dxa"/>
            <w:vAlign w:val="top"/>
          </w:tcPr>
          <w:p w14:paraId="2E3B6A7B">
            <w:pPr>
              <w:pStyle w:val="6"/>
              <w:spacing w:before="94" w:line="229" w:lineRule="auto"/>
              <w:ind w:left="67"/>
              <w:rPr>
                <w:sz w:val="18"/>
                <w:szCs w:val="18"/>
              </w:rPr>
            </w:pPr>
            <w:r>
              <w:rPr>
                <w:spacing w:val="-1"/>
                <w:sz w:val="18"/>
                <w:szCs w:val="18"/>
              </w:rPr>
              <w:t>2.95</w:t>
            </w:r>
          </w:p>
        </w:tc>
        <w:tc>
          <w:tcPr>
            <w:tcW w:w="427" w:type="dxa"/>
            <w:vAlign w:val="top"/>
          </w:tcPr>
          <w:p w14:paraId="76485880">
            <w:pPr>
              <w:pStyle w:val="6"/>
              <w:spacing w:before="94" w:line="229" w:lineRule="auto"/>
              <w:ind w:left="85"/>
              <w:rPr>
                <w:sz w:val="18"/>
                <w:szCs w:val="18"/>
              </w:rPr>
            </w:pPr>
            <w:r>
              <w:rPr>
                <w:spacing w:val="-6"/>
                <w:sz w:val="18"/>
                <w:szCs w:val="18"/>
              </w:rPr>
              <w:t>1.11</w:t>
            </w:r>
          </w:p>
        </w:tc>
        <w:tc>
          <w:tcPr>
            <w:tcW w:w="341" w:type="dxa"/>
            <w:vAlign w:val="top"/>
          </w:tcPr>
          <w:p w14:paraId="12FC639A">
            <w:pPr>
              <w:pStyle w:val="6"/>
              <w:spacing w:before="94" w:line="229" w:lineRule="auto"/>
              <w:jc w:val="right"/>
              <w:rPr>
                <w:sz w:val="18"/>
                <w:szCs w:val="18"/>
              </w:rPr>
            </w:pPr>
            <w:r>
              <w:rPr>
                <w:spacing w:val="-3"/>
                <w:sz w:val="18"/>
                <w:szCs w:val="18"/>
              </w:rPr>
              <w:t>25.0</w:t>
            </w:r>
          </w:p>
        </w:tc>
        <w:tc>
          <w:tcPr>
            <w:tcW w:w="361" w:type="dxa"/>
            <w:tcBorders>
              <w:right w:val="single" w:color="000000" w:sz="12" w:space="0"/>
            </w:tcBorders>
            <w:vAlign w:val="top"/>
          </w:tcPr>
          <w:p w14:paraId="16A77A4D">
            <w:pPr>
              <w:pStyle w:val="6"/>
              <w:spacing w:before="94" w:line="229" w:lineRule="auto"/>
              <w:ind w:right="3"/>
              <w:jc w:val="right"/>
              <w:rPr>
                <w:sz w:val="18"/>
                <w:szCs w:val="18"/>
              </w:rPr>
            </w:pPr>
            <w:r>
              <w:rPr>
                <w:spacing w:val="-2"/>
                <w:sz w:val="18"/>
                <w:szCs w:val="18"/>
              </w:rPr>
              <w:t>30.9</w:t>
            </w:r>
          </w:p>
        </w:tc>
      </w:tr>
      <w:tr w14:paraId="0B7A9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1933F60C">
            <w:pPr>
              <w:rPr>
                <w:rFonts w:ascii="Arial"/>
                <w:sz w:val="21"/>
              </w:rPr>
            </w:pPr>
          </w:p>
        </w:tc>
        <w:tc>
          <w:tcPr>
            <w:tcW w:w="284" w:type="dxa"/>
            <w:vMerge w:val="continue"/>
            <w:tcBorders>
              <w:top w:val="nil"/>
            </w:tcBorders>
            <w:vAlign w:val="top"/>
          </w:tcPr>
          <w:p w14:paraId="403DBA7F">
            <w:pPr>
              <w:rPr>
                <w:rFonts w:ascii="Arial"/>
                <w:sz w:val="21"/>
              </w:rPr>
            </w:pPr>
          </w:p>
        </w:tc>
        <w:tc>
          <w:tcPr>
            <w:tcW w:w="1249" w:type="dxa"/>
            <w:vAlign w:val="top"/>
          </w:tcPr>
          <w:p w14:paraId="509282D9">
            <w:pPr>
              <w:pStyle w:val="6"/>
              <w:spacing w:before="89" w:line="221" w:lineRule="auto"/>
              <w:ind w:left="244"/>
              <w:rPr>
                <w:sz w:val="18"/>
                <w:szCs w:val="18"/>
              </w:rPr>
            </w:pPr>
            <w:r>
              <w:rPr>
                <w:spacing w:val="-1"/>
                <w:sz w:val="18"/>
                <w:szCs w:val="18"/>
              </w:rPr>
              <w:t>2021/3/20</w:t>
            </w:r>
          </w:p>
        </w:tc>
        <w:tc>
          <w:tcPr>
            <w:tcW w:w="733" w:type="dxa"/>
            <w:vAlign w:val="top"/>
          </w:tcPr>
          <w:p w14:paraId="418A8B2E">
            <w:pPr>
              <w:pStyle w:val="6"/>
              <w:spacing w:before="89" w:line="221" w:lineRule="auto"/>
              <w:ind w:left="198"/>
              <w:rPr>
                <w:sz w:val="18"/>
                <w:szCs w:val="18"/>
              </w:rPr>
            </w:pPr>
            <w:r>
              <w:rPr>
                <w:spacing w:val="-2"/>
                <w:sz w:val="18"/>
                <w:szCs w:val="18"/>
              </w:rPr>
              <w:t>7.49</w:t>
            </w:r>
          </w:p>
        </w:tc>
        <w:tc>
          <w:tcPr>
            <w:tcW w:w="565" w:type="dxa"/>
            <w:vAlign w:val="top"/>
          </w:tcPr>
          <w:p w14:paraId="3B9E9AC2">
            <w:pPr>
              <w:pStyle w:val="6"/>
              <w:spacing w:before="89" w:line="221" w:lineRule="auto"/>
              <w:ind w:left="134"/>
              <w:rPr>
                <w:sz w:val="18"/>
                <w:szCs w:val="18"/>
              </w:rPr>
            </w:pPr>
            <w:r>
              <w:rPr>
                <w:spacing w:val="-1"/>
                <w:sz w:val="18"/>
                <w:szCs w:val="18"/>
              </w:rPr>
              <w:t>243</w:t>
            </w:r>
          </w:p>
        </w:tc>
        <w:tc>
          <w:tcPr>
            <w:tcW w:w="708" w:type="dxa"/>
            <w:vAlign w:val="top"/>
          </w:tcPr>
          <w:p w14:paraId="49819F7D">
            <w:pPr>
              <w:pStyle w:val="6"/>
              <w:spacing w:before="89" w:line="221" w:lineRule="auto"/>
              <w:ind w:left="207"/>
              <w:rPr>
                <w:sz w:val="18"/>
                <w:szCs w:val="18"/>
              </w:rPr>
            </w:pPr>
            <w:r>
              <w:rPr>
                <w:spacing w:val="-1"/>
                <w:sz w:val="18"/>
                <w:szCs w:val="18"/>
              </w:rPr>
              <w:t>450</w:t>
            </w:r>
          </w:p>
        </w:tc>
        <w:tc>
          <w:tcPr>
            <w:tcW w:w="567" w:type="dxa"/>
            <w:vAlign w:val="top"/>
          </w:tcPr>
          <w:p w14:paraId="3A0B8A59">
            <w:pPr>
              <w:pStyle w:val="6"/>
              <w:spacing w:before="89" w:line="221" w:lineRule="auto"/>
              <w:ind w:left="191"/>
              <w:rPr>
                <w:sz w:val="18"/>
                <w:szCs w:val="18"/>
              </w:rPr>
            </w:pPr>
            <w:r>
              <w:rPr>
                <w:spacing w:val="-3"/>
                <w:sz w:val="18"/>
                <w:szCs w:val="18"/>
              </w:rPr>
              <w:t>86</w:t>
            </w:r>
          </w:p>
        </w:tc>
        <w:tc>
          <w:tcPr>
            <w:tcW w:w="566" w:type="dxa"/>
            <w:vAlign w:val="top"/>
          </w:tcPr>
          <w:p w14:paraId="6A7F03AF">
            <w:pPr>
              <w:pStyle w:val="6"/>
              <w:spacing w:before="92" w:line="186" w:lineRule="auto"/>
              <w:ind w:left="145"/>
              <w:rPr>
                <w:sz w:val="18"/>
                <w:szCs w:val="18"/>
              </w:rPr>
            </w:pPr>
            <w:r>
              <w:rPr>
                <w:spacing w:val="-5"/>
                <w:sz w:val="18"/>
                <w:szCs w:val="18"/>
              </w:rPr>
              <w:t>10L</w:t>
            </w:r>
          </w:p>
        </w:tc>
        <w:tc>
          <w:tcPr>
            <w:tcW w:w="567" w:type="dxa"/>
            <w:vAlign w:val="top"/>
          </w:tcPr>
          <w:p w14:paraId="46BD1332">
            <w:pPr>
              <w:pStyle w:val="6"/>
              <w:spacing w:before="89" w:line="221" w:lineRule="auto"/>
              <w:ind w:left="65"/>
              <w:rPr>
                <w:sz w:val="18"/>
                <w:szCs w:val="18"/>
              </w:rPr>
            </w:pPr>
            <w:r>
              <w:rPr>
                <w:spacing w:val="-2"/>
                <w:sz w:val="18"/>
                <w:szCs w:val="18"/>
              </w:rPr>
              <w:t>0.01L</w:t>
            </w:r>
          </w:p>
        </w:tc>
        <w:tc>
          <w:tcPr>
            <w:tcW w:w="557" w:type="dxa"/>
            <w:vAlign w:val="top"/>
          </w:tcPr>
          <w:p w14:paraId="01070BB6">
            <w:pPr>
              <w:pStyle w:val="6"/>
              <w:spacing w:before="89" w:line="221" w:lineRule="auto"/>
              <w:ind w:left="60"/>
              <w:rPr>
                <w:sz w:val="18"/>
                <w:szCs w:val="18"/>
              </w:rPr>
            </w:pPr>
            <w:r>
              <w:rPr>
                <w:spacing w:val="-2"/>
                <w:sz w:val="18"/>
                <w:szCs w:val="18"/>
              </w:rPr>
              <w:t>0.01L</w:t>
            </w:r>
          </w:p>
        </w:tc>
        <w:tc>
          <w:tcPr>
            <w:tcW w:w="715" w:type="dxa"/>
            <w:vAlign w:val="top"/>
          </w:tcPr>
          <w:p w14:paraId="3ECFD6B6">
            <w:pPr>
              <w:pStyle w:val="6"/>
              <w:spacing w:before="89" w:line="221" w:lineRule="auto"/>
              <w:ind w:left="140"/>
              <w:rPr>
                <w:sz w:val="18"/>
                <w:szCs w:val="18"/>
              </w:rPr>
            </w:pPr>
            <w:r>
              <w:rPr>
                <w:spacing w:val="-2"/>
                <w:sz w:val="18"/>
                <w:szCs w:val="18"/>
              </w:rPr>
              <w:t>0.04L</w:t>
            </w:r>
          </w:p>
        </w:tc>
        <w:tc>
          <w:tcPr>
            <w:tcW w:w="567" w:type="dxa"/>
            <w:vAlign w:val="top"/>
          </w:tcPr>
          <w:p w14:paraId="41486FBB">
            <w:pPr>
              <w:pStyle w:val="6"/>
              <w:spacing w:before="89" w:line="221" w:lineRule="auto"/>
              <w:ind w:left="22"/>
              <w:rPr>
                <w:sz w:val="18"/>
                <w:szCs w:val="18"/>
              </w:rPr>
            </w:pPr>
            <w:r>
              <w:rPr>
                <w:spacing w:val="-2"/>
                <w:sz w:val="18"/>
                <w:szCs w:val="18"/>
              </w:rPr>
              <w:t>0.009L</w:t>
            </w:r>
          </w:p>
        </w:tc>
        <w:tc>
          <w:tcPr>
            <w:tcW w:w="708" w:type="dxa"/>
            <w:vAlign w:val="top"/>
          </w:tcPr>
          <w:p w14:paraId="35F6CD7E">
            <w:pPr>
              <w:pStyle w:val="6"/>
              <w:spacing w:before="89" w:line="221" w:lineRule="auto"/>
              <w:ind w:left="48"/>
              <w:rPr>
                <w:sz w:val="18"/>
                <w:szCs w:val="18"/>
              </w:rPr>
            </w:pPr>
            <w:r>
              <w:rPr>
                <w:spacing w:val="-1"/>
                <w:sz w:val="18"/>
                <w:szCs w:val="18"/>
              </w:rPr>
              <w:t>0.0003L</w:t>
            </w:r>
          </w:p>
        </w:tc>
        <w:tc>
          <w:tcPr>
            <w:tcW w:w="851" w:type="dxa"/>
            <w:vAlign w:val="top"/>
          </w:tcPr>
          <w:p w14:paraId="10BBE9F0">
            <w:pPr>
              <w:pStyle w:val="6"/>
              <w:spacing w:before="89" w:line="221" w:lineRule="auto"/>
              <w:ind w:left="211"/>
              <w:rPr>
                <w:sz w:val="18"/>
                <w:szCs w:val="18"/>
              </w:rPr>
            </w:pPr>
            <w:r>
              <w:rPr>
                <w:spacing w:val="-2"/>
                <w:sz w:val="18"/>
                <w:szCs w:val="18"/>
              </w:rPr>
              <w:t>0.05L</w:t>
            </w:r>
          </w:p>
        </w:tc>
        <w:tc>
          <w:tcPr>
            <w:tcW w:w="566" w:type="dxa"/>
            <w:vAlign w:val="top"/>
          </w:tcPr>
          <w:p w14:paraId="1E3E5D0D">
            <w:pPr>
              <w:pStyle w:val="6"/>
              <w:spacing w:before="89" w:line="221" w:lineRule="auto"/>
              <w:ind w:left="125"/>
              <w:rPr>
                <w:sz w:val="18"/>
                <w:szCs w:val="18"/>
              </w:rPr>
            </w:pPr>
            <w:r>
              <w:rPr>
                <w:spacing w:val="-2"/>
                <w:sz w:val="18"/>
                <w:szCs w:val="18"/>
              </w:rPr>
              <w:t>0.02</w:t>
            </w:r>
          </w:p>
        </w:tc>
        <w:tc>
          <w:tcPr>
            <w:tcW w:w="672" w:type="dxa"/>
            <w:vAlign w:val="top"/>
          </w:tcPr>
          <w:p w14:paraId="1ABD6A51">
            <w:pPr>
              <w:pStyle w:val="6"/>
              <w:spacing w:before="89" w:line="221" w:lineRule="auto"/>
              <w:ind w:left="178"/>
              <w:rPr>
                <w:sz w:val="18"/>
                <w:szCs w:val="18"/>
              </w:rPr>
            </w:pPr>
            <w:r>
              <w:rPr>
                <w:spacing w:val="-2"/>
                <w:sz w:val="18"/>
                <w:szCs w:val="18"/>
              </w:rPr>
              <w:t>0.13</w:t>
            </w:r>
          </w:p>
        </w:tc>
        <w:tc>
          <w:tcPr>
            <w:tcW w:w="745" w:type="dxa"/>
            <w:vAlign w:val="top"/>
          </w:tcPr>
          <w:p w14:paraId="142496CF">
            <w:pPr>
              <w:pStyle w:val="6"/>
              <w:spacing w:before="89" w:line="221" w:lineRule="auto"/>
              <w:ind w:left="116"/>
              <w:rPr>
                <w:sz w:val="18"/>
                <w:szCs w:val="18"/>
              </w:rPr>
            </w:pPr>
            <w:r>
              <w:rPr>
                <w:spacing w:val="-2"/>
                <w:sz w:val="18"/>
                <w:szCs w:val="18"/>
              </w:rPr>
              <w:t>0.003L</w:t>
            </w:r>
          </w:p>
        </w:tc>
        <w:tc>
          <w:tcPr>
            <w:tcW w:w="455" w:type="dxa"/>
            <w:vAlign w:val="top"/>
          </w:tcPr>
          <w:p w14:paraId="4A0BEB3E">
            <w:pPr>
              <w:pStyle w:val="6"/>
              <w:spacing w:before="89" w:line="221" w:lineRule="auto"/>
              <w:ind w:left="27"/>
              <w:rPr>
                <w:sz w:val="18"/>
                <w:szCs w:val="18"/>
              </w:rPr>
            </w:pPr>
            <w:r>
              <w:rPr>
                <w:spacing w:val="-2"/>
                <w:sz w:val="18"/>
                <w:szCs w:val="18"/>
              </w:rPr>
              <w:t>0.041</w:t>
            </w:r>
          </w:p>
        </w:tc>
        <w:tc>
          <w:tcPr>
            <w:tcW w:w="579" w:type="dxa"/>
            <w:vAlign w:val="top"/>
          </w:tcPr>
          <w:p w14:paraId="0366D19A">
            <w:pPr>
              <w:pStyle w:val="6"/>
              <w:spacing w:before="89" w:line="221" w:lineRule="auto"/>
              <w:ind w:left="136"/>
              <w:rPr>
                <w:sz w:val="18"/>
                <w:szCs w:val="18"/>
              </w:rPr>
            </w:pPr>
            <w:r>
              <w:rPr>
                <w:spacing w:val="-2"/>
                <w:sz w:val="18"/>
                <w:szCs w:val="18"/>
              </w:rPr>
              <w:t>0.11</w:t>
            </w:r>
          </w:p>
        </w:tc>
        <w:tc>
          <w:tcPr>
            <w:tcW w:w="623" w:type="dxa"/>
            <w:vAlign w:val="top"/>
          </w:tcPr>
          <w:p w14:paraId="13EDA7C5">
            <w:pPr>
              <w:pStyle w:val="6"/>
              <w:spacing w:before="89" w:line="221" w:lineRule="auto"/>
              <w:ind w:left="58"/>
              <w:rPr>
                <w:sz w:val="18"/>
                <w:szCs w:val="18"/>
              </w:rPr>
            </w:pPr>
            <w:r>
              <w:rPr>
                <w:spacing w:val="-2"/>
                <w:sz w:val="18"/>
                <w:szCs w:val="18"/>
              </w:rPr>
              <w:t>0.004L</w:t>
            </w:r>
          </w:p>
        </w:tc>
        <w:tc>
          <w:tcPr>
            <w:tcW w:w="737" w:type="dxa"/>
            <w:vAlign w:val="top"/>
          </w:tcPr>
          <w:p w14:paraId="3F64A039">
            <w:pPr>
              <w:pStyle w:val="6"/>
              <w:spacing w:before="89" w:line="221" w:lineRule="auto"/>
              <w:ind w:left="25"/>
              <w:rPr>
                <w:sz w:val="18"/>
                <w:szCs w:val="18"/>
              </w:rPr>
            </w:pPr>
            <w:r>
              <w:rPr>
                <w:spacing w:val="-1"/>
                <w:sz w:val="18"/>
                <w:szCs w:val="18"/>
              </w:rPr>
              <w:t>0.00004L</w:t>
            </w:r>
          </w:p>
        </w:tc>
        <w:tc>
          <w:tcPr>
            <w:tcW w:w="577" w:type="dxa"/>
            <w:vAlign w:val="top"/>
          </w:tcPr>
          <w:p w14:paraId="67D365BE">
            <w:pPr>
              <w:pStyle w:val="6"/>
              <w:spacing w:before="89" w:line="221" w:lineRule="auto"/>
              <w:ind w:left="48"/>
              <w:rPr>
                <w:sz w:val="18"/>
                <w:szCs w:val="18"/>
              </w:rPr>
            </w:pPr>
            <w:r>
              <w:rPr>
                <w:spacing w:val="-2"/>
                <w:sz w:val="18"/>
                <w:szCs w:val="18"/>
              </w:rPr>
              <w:t>0.0024</w:t>
            </w:r>
          </w:p>
        </w:tc>
        <w:tc>
          <w:tcPr>
            <w:tcW w:w="708" w:type="dxa"/>
            <w:vAlign w:val="top"/>
          </w:tcPr>
          <w:p w14:paraId="4F2FBB78">
            <w:pPr>
              <w:pStyle w:val="6"/>
              <w:spacing w:before="89" w:line="221" w:lineRule="auto"/>
              <w:ind w:left="115"/>
              <w:rPr>
                <w:sz w:val="18"/>
                <w:szCs w:val="18"/>
              </w:rPr>
            </w:pPr>
            <w:r>
              <w:rPr>
                <w:spacing w:val="-2"/>
                <w:sz w:val="18"/>
                <w:szCs w:val="18"/>
              </w:rPr>
              <w:t>0.0013</w:t>
            </w:r>
          </w:p>
        </w:tc>
        <w:tc>
          <w:tcPr>
            <w:tcW w:w="567" w:type="dxa"/>
            <w:vAlign w:val="top"/>
          </w:tcPr>
          <w:p w14:paraId="15E6DD38">
            <w:pPr>
              <w:pStyle w:val="6"/>
              <w:spacing w:before="89" w:line="221" w:lineRule="auto"/>
              <w:ind w:left="35"/>
              <w:rPr>
                <w:sz w:val="18"/>
                <w:szCs w:val="18"/>
              </w:rPr>
            </w:pPr>
            <w:r>
              <w:rPr>
                <w:spacing w:val="-2"/>
                <w:sz w:val="18"/>
                <w:szCs w:val="18"/>
              </w:rPr>
              <w:t>0.001L</w:t>
            </w:r>
          </w:p>
        </w:tc>
        <w:tc>
          <w:tcPr>
            <w:tcW w:w="566" w:type="dxa"/>
            <w:vAlign w:val="top"/>
          </w:tcPr>
          <w:p w14:paraId="54250C55">
            <w:pPr>
              <w:pStyle w:val="6"/>
              <w:spacing w:before="89" w:line="221" w:lineRule="auto"/>
              <w:ind w:left="34"/>
              <w:rPr>
                <w:sz w:val="18"/>
                <w:szCs w:val="18"/>
              </w:rPr>
            </w:pPr>
            <w:r>
              <w:rPr>
                <w:spacing w:val="-2"/>
                <w:sz w:val="18"/>
                <w:szCs w:val="18"/>
              </w:rPr>
              <w:t>0.004L</w:t>
            </w:r>
          </w:p>
        </w:tc>
        <w:tc>
          <w:tcPr>
            <w:tcW w:w="567" w:type="dxa"/>
            <w:vAlign w:val="top"/>
          </w:tcPr>
          <w:p w14:paraId="2FC06A35">
            <w:pPr>
              <w:pStyle w:val="6"/>
              <w:spacing w:before="89" w:line="221" w:lineRule="auto"/>
              <w:ind w:left="81"/>
              <w:rPr>
                <w:sz w:val="18"/>
                <w:szCs w:val="18"/>
              </w:rPr>
            </w:pPr>
            <w:r>
              <w:rPr>
                <w:spacing w:val="-2"/>
                <w:sz w:val="18"/>
                <w:szCs w:val="18"/>
              </w:rPr>
              <w:t>0.01L</w:t>
            </w:r>
          </w:p>
        </w:tc>
        <w:tc>
          <w:tcPr>
            <w:tcW w:w="708" w:type="dxa"/>
            <w:vAlign w:val="top"/>
          </w:tcPr>
          <w:p w14:paraId="0D2252F1">
            <w:pPr>
              <w:pStyle w:val="6"/>
              <w:spacing w:before="89" w:line="221" w:lineRule="auto"/>
              <w:ind w:left="161"/>
              <w:rPr>
                <w:sz w:val="18"/>
                <w:szCs w:val="18"/>
              </w:rPr>
            </w:pPr>
            <w:r>
              <w:rPr>
                <w:spacing w:val="-2"/>
                <w:sz w:val="18"/>
                <w:szCs w:val="18"/>
              </w:rPr>
              <w:t>0.027</w:t>
            </w:r>
          </w:p>
        </w:tc>
        <w:tc>
          <w:tcPr>
            <w:tcW w:w="566" w:type="dxa"/>
            <w:vAlign w:val="top"/>
          </w:tcPr>
          <w:p w14:paraId="602CDC3E">
            <w:pPr>
              <w:pStyle w:val="6"/>
              <w:spacing w:before="167" w:line="86" w:lineRule="exact"/>
              <w:ind w:left="236"/>
              <w:rPr>
                <w:sz w:val="18"/>
                <w:szCs w:val="18"/>
              </w:rPr>
            </w:pPr>
            <w:r>
              <w:rPr>
                <w:spacing w:val="-2"/>
                <w:position w:val="-5"/>
                <w:sz w:val="18"/>
                <w:szCs w:val="18"/>
              </w:rPr>
              <w:t>--</w:t>
            </w:r>
          </w:p>
        </w:tc>
        <w:tc>
          <w:tcPr>
            <w:tcW w:w="579" w:type="dxa"/>
            <w:vAlign w:val="top"/>
          </w:tcPr>
          <w:p w14:paraId="0B318C11">
            <w:pPr>
              <w:pStyle w:val="6"/>
              <w:spacing w:before="89" w:line="221" w:lineRule="auto"/>
              <w:ind w:left="162"/>
              <w:rPr>
                <w:sz w:val="18"/>
                <w:szCs w:val="18"/>
              </w:rPr>
            </w:pPr>
            <w:r>
              <w:rPr>
                <w:spacing w:val="-1"/>
                <w:sz w:val="18"/>
                <w:szCs w:val="18"/>
              </w:rPr>
              <w:t>470</w:t>
            </w:r>
          </w:p>
        </w:tc>
        <w:tc>
          <w:tcPr>
            <w:tcW w:w="411" w:type="dxa"/>
            <w:vAlign w:val="top"/>
          </w:tcPr>
          <w:p w14:paraId="09FF24EF">
            <w:pPr>
              <w:pStyle w:val="6"/>
              <w:spacing w:before="89" w:line="221" w:lineRule="auto"/>
              <w:ind w:left="106"/>
              <w:rPr>
                <w:sz w:val="18"/>
                <w:szCs w:val="18"/>
              </w:rPr>
            </w:pPr>
            <w:r>
              <w:rPr>
                <w:spacing w:val="-3"/>
                <w:sz w:val="18"/>
                <w:szCs w:val="18"/>
              </w:rPr>
              <w:t>0.7</w:t>
            </w:r>
          </w:p>
        </w:tc>
        <w:tc>
          <w:tcPr>
            <w:tcW w:w="428" w:type="dxa"/>
            <w:vAlign w:val="top"/>
          </w:tcPr>
          <w:p w14:paraId="7F41810C">
            <w:pPr>
              <w:pStyle w:val="6"/>
              <w:spacing w:before="89" w:line="221" w:lineRule="auto"/>
              <w:ind w:left="67"/>
              <w:rPr>
                <w:sz w:val="18"/>
                <w:szCs w:val="18"/>
              </w:rPr>
            </w:pPr>
            <w:r>
              <w:rPr>
                <w:spacing w:val="-1"/>
                <w:sz w:val="18"/>
                <w:szCs w:val="18"/>
              </w:rPr>
              <w:t>2.83</w:t>
            </w:r>
          </w:p>
        </w:tc>
        <w:tc>
          <w:tcPr>
            <w:tcW w:w="427" w:type="dxa"/>
            <w:vAlign w:val="top"/>
          </w:tcPr>
          <w:p w14:paraId="6FC85F14">
            <w:pPr>
              <w:pStyle w:val="6"/>
              <w:spacing w:before="89" w:line="221" w:lineRule="auto"/>
              <w:ind w:left="85"/>
              <w:rPr>
                <w:sz w:val="18"/>
                <w:szCs w:val="18"/>
              </w:rPr>
            </w:pPr>
            <w:r>
              <w:rPr>
                <w:spacing w:val="-6"/>
                <w:sz w:val="18"/>
                <w:szCs w:val="18"/>
              </w:rPr>
              <w:t>1.12</w:t>
            </w:r>
          </w:p>
        </w:tc>
        <w:tc>
          <w:tcPr>
            <w:tcW w:w="341" w:type="dxa"/>
            <w:vAlign w:val="top"/>
          </w:tcPr>
          <w:p w14:paraId="7FB273BA">
            <w:pPr>
              <w:pStyle w:val="6"/>
              <w:spacing w:before="89" w:line="221" w:lineRule="auto"/>
              <w:jc w:val="right"/>
              <w:rPr>
                <w:sz w:val="18"/>
                <w:szCs w:val="18"/>
              </w:rPr>
            </w:pPr>
            <w:r>
              <w:rPr>
                <w:spacing w:val="-3"/>
                <w:sz w:val="18"/>
                <w:szCs w:val="18"/>
              </w:rPr>
              <w:t>24.8</w:t>
            </w:r>
          </w:p>
        </w:tc>
        <w:tc>
          <w:tcPr>
            <w:tcW w:w="361" w:type="dxa"/>
            <w:tcBorders>
              <w:right w:val="single" w:color="000000" w:sz="12" w:space="0"/>
            </w:tcBorders>
            <w:vAlign w:val="top"/>
          </w:tcPr>
          <w:p w14:paraId="7DA4F946">
            <w:pPr>
              <w:pStyle w:val="6"/>
              <w:spacing w:before="89" w:line="221" w:lineRule="auto"/>
              <w:ind w:right="3"/>
              <w:jc w:val="right"/>
              <w:rPr>
                <w:sz w:val="18"/>
                <w:szCs w:val="18"/>
              </w:rPr>
            </w:pPr>
            <w:r>
              <w:rPr>
                <w:spacing w:val="-2"/>
                <w:sz w:val="18"/>
                <w:szCs w:val="18"/>
              </w:rPr>
              <w:t>31.1</w:t>
            </w:r>
          </w:p>
        </w:tc>
      </w:tr>
      <w:tr w14:paraId="0ABDE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5F4B5696">
            <w:pPr>
              <w:rPr>
                <w:rFonts w:ascii="Arial"/>
                <w:sz w:val="21"/>
              </w:rPr>
            </w:pPr>
          </w:p>
        </w:tc>
        <w:tc>
          <w:tcPr>
            <w:tcW w:w="284" w:type="dxa"/>
            <w:vMerge w:val="restart"/>
            <w:tcBorders>
              <w:bottom w:val="nil"/>
            </w:tcBorders>
            <w:vAlign w:val="top"/>
          </w:tcPr>
          <w:p w14:paraId="2D0E4C64">
            <w:pPr>
              <w:pStyle w:val="6"/>
              <w:spacing w:before="160" w:line="226" w:lineRule="auto"/>
              <w:ind w:left="79"/>
              <w:rPr>
                <w:sz w:val="18"/>
                <w:szCs w:val="18"/>
              </w:rPr>
            </w:pPr>
            <w:r>
              <w:rPr>
                <w:sz w:val="18"/>
                <w:szCs w:val="18"/>
              </w:rPr>
              <w:t>2</w:t>
            </w:r>
          </w:p>
          <w:p w14:paraId="15A90E21">
            <w:pPr>
              <w:spacing w:line="219" w:lineRule="auto"/>
              <w:ind w:left="39"/>
              <w:rPr>
                <w:rFonts w:ascii="宋体" w:hAnsi="宋体" w:eastAsia="宋体" w:cs="宋体"/>
                <w:sz w:val="18"/>
                <w:szCs w:val="18"/>
              </w:rPr>
            </w:pPr>
            <w:r>
              <w:rPr>
                <w:rFonts w:ascii="宋体" w:hAnsi="宋体" w:eastAsia="宋体" w:cs="宋体"/>
                <w:sz w:val="18"/>
                <w:szCs w:val="18"/>
              </w:rPr>
              <w:t>季</w:t>
            </w:r>
          </w:p>
          <w:p w14:paraId="45130434">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03944AB5">
            <w:pPr>
              <w:pStyle w:val="6"/>
              <w:spacing w:before="92" w:line="220" w:lineRule="auto"/>
              <w:ind w:left="288"/>
              <w:rPr>
                <w:sz w:val="18"/>
                <w:szCs w:val="18"/>
              </w:rPr>
            </w:pPr>
            <w:r>
              <w:rPr>
                <w:spacing w:val="-1"/>
                <w:sz w:val="18"/>
                <w:szCs w:val="18"/>
              </w:rPr>
              <w:t>2021/6/3</w:t>
            </w:r>
          </w:p>
        </w:tc>
        <w:tc>
          <w:tcPr>
            <w:tcW w:w="733" w:type="dxa"/>
            <w:vAlign w:val="top"/>
          </w:tcPr>
          <w:p w14:paraId="4864DD89">
            <w:pPr>
              <w:pStyle w:val="6"/>
              <w:spacing w:before="92" w:line="220" w:lineRule="auto"/>
              <w:ind w:left="244"/>
              <w:rPr>
                <w:sz w:val="18"/>
                <w:szCs w:val="18"/>
              </w:rPr>
            </w:pPr>
            <w:r>
              <w:rPr>
                <w:spacing w:val="-3"/>
                <w:sz w:val="18"/>
                <w:szCs w:val="18"/>
              </w:rPr>
              <w:t>7.5</w:t>
            </w:r>
          </w:p>
        </w:tc>
        <w:tc>
          <w:tcPr>
            <w:tcW w:w="565" w:type="dxa"/>
            <w:vAlign w:val="top"/>
          </w:tcPr>
          <w:p w14:paraId="643E47A2">
            <w:pPr>
              <w:pStyle w:val="6"/>
              <w:spacing w:before="92" w:line="220" w:lineRule="auto"/>
              <w:ind w:left="134"/>
              <w:rPr>
                <w:sz w:val="18"/>
                <w:szCs w:val="18"/>
              </w:rPr>
            </w:pPr>
            <w:r>
              <w:rPr>
                <w:spacing w:val="-1"/>
                <w:sz w:val="18"/>
                <w:szCs w:val="18"/>
              </w:rPr>
              <w:t>246</w:t>
            </w:r>
          </w:p>
        </w:tc>
        <w:tc>
          <w:tcPr>
            <w:tcW w:w="708" w:type="dxa"/>
            <w:vAlign w:val="top"/>
          </w:tcPr>
          <w:p w14:paraId="1EBD9C9E">
            <w:pPr>
              <w:pStyle w:val="6"/>
              <w:spacing w:before="92" w:line="220" w:lineRule="auto"/>
              <w:ind w:left="207"/>
              <w:rPr>
                <w:sz w:val="18"/>
                <w:szCs w:val="18"/>
              </w:rPr>
            </w:pPr>
            <w:r>
              <w:rPr>
                <w:spacing w:val="-1"/>
                <w:sz w:val="18"/>
                <w:szCs w:val="18"/>
              </w:rPr>
              <w:t>421</w:t>
            </w:r>
          </w:p>
        </w:tc>
        <w:tc>
          <w:tcPr>
            <w:tcW w:w="567" w:type="dxa"/>
            <w:vAlign w:val="top"/>
          </w:tcPr>
          <w:p w14:paraId="74E67489">
            <w:pPr>
              <w:pStyle w:val="6"/>
              <w:spacing w:before="92" w:line="220" w:lineRule="auto"/>
              <w:ind w:left="187"/>
              <w:rPr>
                <w:sz w:val="18"/>
                <w:szCs w:val="18"/>
              </w:rPr>
            </w:pPr>
            <w:r>
              <w:rPr>
                <w:spacing w:val="-2"/>
                <w:sz w:val="18"/>
                <w:szCs w:val="18"/>
              </w:rPr>
              <w:t>98</w:t>
            </w:r>
          </w:p>
        </w:tc>
        <w:tc>
          <w:tcPr>
            <w:tcW w:w="566" w:type="dxa"/>
            <w:vAlign w:val="top"/>
          </w:tcPr>
          <w:p w14:paraId="551D5419">
            <w:pPr>
              <w:pStyle w:val="6"/>
              <w:spacing w:before="95" w:line="186" w:lineRule="auto"/>
              <w:ind w:left="145"/>
              <w:rPr>
                <w:sz w:val="18"/>
                <w:szCs w:val="18"/>
              </w:rPr>
            </w:pPr>
            <w:r>
              <w:rPr>
                <w:spacing w:val="-5"/>
                <w:sz w:val="18"/>
                <w:szCs w:val="18"/>
              </w:rPr>
              <w:t>10L</w:t>
            </w:r>
          </w:p>
        </w:tc>
        <w:tc>
          <w:tcPr>
            <w:tcW w:w="567" w:type="dxa"/>
            <w:vAlign w:val="top"/>
          </w:tcPr>
          <w:p w14:paraId="361995BE">
            <w:pPr>
              <w:pStyle w:val="6"/>
              <w:spacing w:before="92" w:line="220" w:lineRule="auto"/>
              <w:ind w:left="65"/>
              <w:rPr>
                <w:sz w:val="18"/>
                <w:szCs w:val="18"/>
              </w:rPr>
            </w:pPr>
            <w:r>
              <w:rPr>
                <w:spacing w:val="-2"/>
                <w:sz w:val="18"/>
                <w:szCs w:val="18"/>
              </w:rPr>
              <w:t>0.01L</w:t>
            </w:r>
          </w:p>
        </w:tc>
        <w:tc>
          <w:tcPr>
            <w:tcW w:w="557" w:type="dxa"/>
            <w:vAlign w:val="top"/>
          </w:tcPr>
          <w:p w14:paraId="6C93D7CF">
            <w:pPr>
              <w:pStyle w:val="6"/>
              <w:spacing w:before="92" w:line="220" w:lineRule="auto"/>
              <w:ind w:left="60"/>
              <w:rPr>
                <w:sz w:val="18"/>
                <w:szCs w:val="18"/>
              </w:rPr>
            </w:pPr>
            <w:r>
              <w:rPr>
                <w:spacing w:val="-2"/>
                <w:sz w:val="18"/>
                <w:szCs w:val="18"/>
              </w:rPr>
              <w:t>0.01L</w:t>
            </w:r>
          </w:p>
        </w:tc>
        <w:tc>
          <w:tcPr>
            <w:tcW w:w="715" w:type="dxa"/>
            <w:vAlign w:val="top"/>
          </w:tcPr>
          <w:p w14:paraId="2772341F">
            <w:pPr>
              <w:pStyle w:val="6"/>
              <w:spacing w:before="92" w:line="220" w:lineRule="auto"/>
              <w:ind w:left="140"/>
              <w:rPr>
                <w:sz w:val="18"/>
                <w:szCs w:val="18"/>
              </w:rPr>
            </w:pPr>
            <w:r>
              <w:rPr>
                <w:spacing w:val="-2"/>
                <w:sz w:val="18"/>
                <w:szCs w:val="18"/>
              </w:rPr>
              <w:t>0.04L</w:t>
            </w:r>
          </w:p>
        </w:tc>
        <w:tc>
          <w:tcPr>
            <w:tcW w:w="567" w:type="dxa"/>
            <w:vAlign w:val="top"/>
          </w:tcPr>
          <w:p w14:paraId="44EFE500">
            <w:pPr>
              <w:pStyle w:val="6"/>
              <w:spacing w:before="92" w:line="220" w:lineRule="auto"/>
              <w:ind w:left="22"/>
              <w:rPr>
                <w:sz w:val="18"/>
                <w:szCs w:val="18"/>
              </w:rPr>
            </w:pPr>
            <w:r>
              <w:rPr>
                <w:spacing w:val="-2"/>
                <w:sz w:val="18"/>
                <w:szCs w:val="18"/>
              </w:rPr>
              <w:t>0.009L</w:t>
            </w:r>
          </w:p>
        </w:tc>
        <w:tc>
          <w:tcPr>
            <w:tcW w:w="708" w:type="dxa"/>
            <w:vAlign w:val="top"/>
          </w:tcPr>
          <w:p w14:paraId="70D45509">
            <w:pPr>
              <w:pStyle w:val="6"/>
              <w:spacing w:before="92" w:line="220" w:lineRule="auto"/>
              <w:ind w:left="48"/>
              <w:rPr>
                <w:sz w:val="18"/>
                <w:szCs w:val="18"/>
              </w:rPr>
            </w:pPr>
            <w:r>
              <w:rPr>
                <w:spacing w:val="-1"/>
                <w:sz w:val="18"/>
                <w:szCs w:val="18"/>
              </w:rPr>
              <w:t>0.0003L</w:t>
            </w:r>
          </w:p>
        </w:tc>
        <w:tc>
          <w:tcPr>
            <w:tcW w:w="851" w:type="dxa"/>
            <w:vAlign w:val="top"/>
          </w:tcPr>
          <w:p w14:paraId="536C15F5">
            <w:pPr>
              <w:pStyle w:val="6"/>
              <w:spacing w:before="92" w:line="220" w:lineRule="auto"/>
              <w:ind w:left="211"/>
              <w:rPr>
                <w:sz w:val="18"/>
                <w:szCs w:val="18"/>
              </w:rPr>
            </w:pPr>
            <w:r>
              <w:rPr>
                <w:spacing w:val="-2"/>
                <w:sz w:val="18"/>
                <w:szCs w:val="18"/>
              </w:rPr>
              <w:t>0.05L</w:t>
            </w:r>
          </w:p>
        </w:tc>
        <w:tc>
          <w:tcPr>
            <w:tcW w:w="566" w:type="dxa"/>
            <w:vAlign w:val="top"/>
          </w:tcPr>
          <w:p w14:paraId="76F6DCDF">
            <w:pPr>
              <w:pStyle w:val="6"/>
              <w:spacing w:before="92" w:line="220" w:lineRule="auto"/>
              <w:ind w:left="125"/>
              <w:rPr>
                <w:sz w:val="18"/>
                <w:szCs w:val="18"/>
              </w:rPr>
            </w:pPr>
            <w:r>
              <w:rPr>
                <w:spacing w:val="-2"/>
                <w:sz w:val="18"/>
                <w:szCs w:val="18"/>
              </w:rPr>
              <w:t>0.01</w:t>
            </w:r>
          </w:p>
        </w:tc>
        <w:tc>
          <w:tcPr>
            <w:tcW w:w="672" w:type="dxa"/>
            <w:vAlign w:val="top"/>
          </w:tcPr>
          <w:p w14:paraId="1CB32BD0">
            <w:pPr>
              <w:pStyle w:val="6"/>
              <w:spacing w:before="92" w:line="220" w:lineRule="auto"/>
              <w:ind w:left="178"/>
              <w:rPr>
                <w:sz w:val="18"/>
                <w:szCs w:val="18"/>
              </w:rPr>
            </w:pPr>
            <w:r>
              <w:rPr>
                <w:spacing w:val="-2"/>
                <w:sz w:val="18"/>
                <w:szCs w:val="18"/>
              </w:rPr>
              <w:t>0.19</w:t>
            </w:r>
          </w:p>
        </w:tc>
        <w:tc>
          <w:tcPr>
            <w:tcW w:w="745" w:type="dxa"/>
            <w:vAlign w:val="top"/>
          </w:tcPr>
          <w:p w14:paraId="6AA78751">
            <w:pPr>
              <w:pStyle w:val="6"/>
              <w:spacing w:before="92" w:line="220" w:lineRule="auto"/>
              <w:ind w:left="116"/>
              <w:rPr>
                <w:sz w:val="18"/>
                <w:szCs w:val="18"/>
              </w:rPr>
            </w:pPr>
            <w:r>
              <w:rPr>
                <w:spacing w:val="-2"/>
                <w:sz w:val="18"/>
                <w:szCs w:val="18"/>
              </w:rPr>
              <w:t>0.003L</w:t>
            </w:r>
          </w:p>
        </w:tc>
        <w:tc>
          <w:tcPr>
            <w:tcW w:w="455" w:type="dxa"/>
            <w:vAlign w:val="top"/>
          </w:tcPr>
          <w:p w14:paraId="71322299">
            <w:pPr>
              <w:pStyle w:val="6"/>
              <w:spacing w:before="92" w:line="220" w:lineRule="auto"/>
              <w:ind w:left="27"/>
              <w:rPr>
                <w:sz w:val="18"/>
                <w:szCs w:val="18"/>
              </w:rPr>
            </w:pPr>
            <w:r>
              <w:rPr>
                <w:spacing w:val="-2"/>
                <w:sz w:val="18"/>
                <w:szCs w:val="18"/>
              </w:rPr>
              <w:t>0.156</w:t>
            </w:r>
          </w:p>
        </w:tc>
        <w:tc>
          <w:tcPr>
            <w:tcW w:w="579" w:type="dxa"/>
            <w:vAlign w:val="top"/>
          </w:tcPr>
          <w:p w14:paraId="1E56A84A">
            <w:pPr>
              <w:pStyle w:val="6"/>
              <w:spacing w:before="92" w:line="220" w:lineRule="auto"/>
              <w:ind w:left="136"/>
              <w:rPr>
                <w:sz w:val="18"/>
                <w:szCs w:val="18"/>
              </w:rPr>
            </w:pPr>
            <w:r>
              <w:rPr>
                <w:spacing w:val="-2"/>
                <w:sz w:val="18"/>
                <w:szCs w:val="18"/>
              </w:rPr>
              <w:t>0.08</w:t>
            </w:r>
          </w:p>
        </w:tc>
        <w:tc>
          <w:tcPr>
            <w:tcW w:w="623" w:type="dxa"/>
            <w:vAlign w:val="top"/>
          </w:tcPr>
          <w:p w14:paraId="7C45EC79">
            <w:pPr>
              <w:pStyle w:val="6"/>
              <w:spacing w:before="92" w:line="220" w:lineRule="auto"/>
              <w:ind w:left="58"/>
              <w:rPr>
                <w:sz w:val="18"/>
                <w:szCs w:val="18"/>
              </w:rPr>
            </w:pPr>
            <w:r>
              <w:rPr>
                <w:spacing w:val="-2"/>
                <w:sz w:val="18"/>
                <w:szCs w:val="18"/>
              </w:rPr>
              <w:t>0.004L</w:t>
            </w:r>
          </w:p>
        </w:tc>
        <w:tc>
          <w:tcPr>
            <w:tcW w:w="737" w:type="dxa"/>
            <w:vAlign w:val="top"/>
          </w:tcPr>
          <w:p w14:paraId="26BDC12D">
            <w:pPr>
              <w:pStyle w:val="6"/>
              <w:spacing w:before="92" w:line="220" w:lineRule="auto"/>
              <w:ind w:left="80"/>
              <w:rPr>
                <w:sz w:val="18"/>
                <w:szCs w:val="18"/>
              </w:rPr>
            </w:pPr>
            <w:r>
              <w:rPr>
                <w:spacing w:val="-1"/>
                <w:sz w:val="18"/>
                <w:szCs w:val="18"/>
              </w:rPr>
              <w:t>0.00008</w:t>
            </w:r>
          </w:p>
        </w:tc>
        <w:tc>
          <w:tcPr>
            <w:tcW w:w="577" w:type="dxa"/>
            <w:vAlign w:val="top"/>
          </w:tcPr>
          <w:p w14:paraId="2CEC71A9">
            <w:pPr>
              <w:pStyle w:val="6"/>
              <w:spacing w:before="92" w:line="220" w:lineRule="auto"/>
              <w:ind w:left="48"/>
              <w:rPr>
                <w:sz w:val="18"/>
                <w:szCs w:val="18"/>
              </w:rPr>
            </w:pPr>
            <w:r>
              <w:rPr>
                <w:spacing w:val="-2"/>
                <w:sz w:val="18"/>
                <w:szCs w:val="18"/>
              </w:rPr>
              <w:t>0.0019</w:t>
            </w:r>
          </w:p>
        </w:tc>
        <w:tc>
          <w:tcPr>
            <w:tcW w:w="708" w:type="dxa"/>
            <w:vAlign w:val="top"/>
          </w:tcPr>
          <w:p w14:paraId="20261601">
            <w:pPr>
              <w:pStyle w:val="6"/>
              <w:spacing w:before="92" w:line="220" w:lineRule="auto"/>
              <w:ind w:left="60"/>
              <w:rPr>
                <w:sz w:val="18"/>
                <w:szCs w:val="18"/>
              </w:rPr>
            </w:pPr>
            <w:r>
              <w:rPr>
                <w:spacing w:val="-1"/>
                <w:sz w:val="18"/>
                <w:szCs w:val="18"/>
              </w:rPr>
              <w:t>0.0004L</w:t>
            </w:r>
          </w:p>
        </w:tc>
        <w:tc>
          <w:tcPr>
            <w:tcW w:w="567" w:type="dxa"/>
            <w:vAlign w:val="top"/>
          </w:tcPr>
          <w:p w14:paraId="23C40F8A">
            <w:pPr>
              <w:pStyle w:val="6"/>
              <w:spacing w:before="92" w:line="220" w:lineRule="auto"/>
              <w:ind w:left="35"/>
              <w:rPr>
                <w:sz w:val="18"/>
                <w:szCs w:val="18"/>
              </w:rPr>
            </w:pPr>
            <w:r>
              <w:rPr>
                <w:spacing w:val="-2"/>
                <w:sz w:val="18"/>
                <w:szCs w:val="18"/>
              </w:rPr>
              <w:t>0.001L</w:t>
            </w:r>
          </w:p>
        </w:tc>
        <w:tc>
          <w:tcPr>
            <w:tcW w:w="566" w:type="dxa"/>
            <w:vAlign w:val="top"/>
          </w:tcPr>
          <w:p w14:paraId="57E1E63C">
            <w:pPr>
              <w:pStyle w:val="6"/>
              <w:spacing w:before="92" w:line="220" w:lineRule="auto"/>
              <w:ind w:left="34"/>
              <w:rPr>
                <w:sz w:val="18"/>
                <w:szCs w:val="18"/>
              </w:rPr>
            </w:pPr>
            <w:r>
              <w:rPr>
                <w:spacing w:val="-2"/>
                <w:sz w:val="18"/>
                <w:szCs w:val="18"/>
              </w:rPr>
              <w:t>0.004L</w:t>
            </w:r>
          </w:p>
        </w:tc>
        <w:tc>
          <w:tcPr>
            <w:tcW w:w="567" w:type="dxa"/>
            <w:vAlign w:val="top"/>
          </w:tcPr>
          <w:p w14:paraId="317DDA53">
            <w:pPr>
              <w:pStyle w:val="6"/>
              <w:spacing w:before="92" w:line="220" w:lineRule="auto"/>
              <w:ind w:left="81"/>
              <w:rPr>
                <w:sz w:val="18"/>
                <w:szCs w:val="18"/>
              </w:rPr>
            </w:pPr>
            <w:r>
              <w:rPr>
                <w:spacing w:val="-2"/>
                <w:sz w:val="18"/>
                <w:szCs w:val="18"/>
              </w:rPr>
              <w:t>0.01L</w:t>
            </w:r>
          </w:p>
        </w:tc>
        <w:tc>
          <w:tcPr>
            <w:tcW w:w="708" w:type="dxa"/>
            <w:vAlign w:val="top"/>
          </w:tcPr>
          <w:p w14:paraId="18A5DE61">
            <w:pPr>
              <w:pStyle w:val="6"/>
              <w:spacing w:before="92" w:line="220" w:lineRule="auto"/>
              <w:ind w:left="106"/>
              <w:rPr>
                <w:sz w:val="18"/>
                <w:szCs w:val="18"/>
              </w:rPr>
            </w:pPr>
            <w:r>
              <w:rPr>
                <w:spacing w:val="-2"/>
                <w:sz w:val="18"/>
                <w:szCs w:val="18"/>
              </w:rPr>
              <w:t>0.009L</w:t>
            </w:r>
          </w:p>
        </w:tc>
        <w:tc>
          <w:tcPr>
            <w:tcW w:w="566" w:type="dxa"/>
            <w:vAlign w:val="top"/>
          </w:tcPr>
          <w:p w14:paraId="4334FDB3">
            <w:pPr>
              <w:pStyle w:val="6"/>
              <w:spacing w:before="92" w:line="220" w:lineRule="auto"/>
              <w:ind w:left="246"/>
              <w:rPr>
                <w:sz w:val="18"/>
                <w:szCs w:val="18"/>
              </w:rPr>
            </w:pPr>
            <w:r>
              <w:rPr>
                <w:sz w:val="18"/>
                <w:szCs w:val="18"/>
              </w:rPr>
              <w:t>2</w:t>
            </w:r>
          </w:p>
        </w:tc>
        <w:tc>
          <w:tcPr>
            <w:tcW w:w="579" w:type="dxa"/>
            <w:vAlign w:val="top"/>
          </w:tcPr>
          <w:p w14:paraId="7C106628">
            <w:pPr>
              <w:pStyle w:val="6"/>
              <w:spacing w:before="92" w:line="220" w:lineRule="auto"/>
              <w:ind w:left="162"/>
              <w:rPr>
                <w:sz w:val="18"/>
                <w:szCs w:val="18"/>
              </w:rPr>
            </w:pPr>
            <w:r>
              <w:rPr>
                <w:spacing w:val="-1"/>
                <w:sz w:val="18"/>
                <w:szCs w:val="18"/>
              </w:rPr>
              <w:t>464</w:t>
            </w:r>
          </w:p>
        </w:tc>
        <w:tc>
          <w:tcPr>
            <w:tcW w:w="411" w:type="dxa"/>
            <w:vAlign w:val="top"/>
          </w:tcPr>
          <w:p w14:paraId="3D7E6F60">
            <w:pPr>
              <w:pStyle w:val="6"/>
              <w:spacing w:before="92" w:line="220" w:lineRule="auto"/>
              <w:ind w:left="51"/>
              <w:rPr>
                <w:sz w:val="18"/>
                <w:szCs w:val="18"/>
              </w:rPr>
            </w:pPr>
            <w:r>
              <w:rPr>
                <w:spacing w:val="-2"/>
                <w:sz w:val="18"/>
                <w:szCs w:val="18"/>
              </w:rPr>
              <w:t>0.5L</w:t>
            </w:r>
          </w:p>
        </w:tc>
        <w:tc>
          <w:tcPr>
            <w:tcW w:w="428" w:type="dxa"/>
            <w:vAlign w:val="top"/>
          </w:tcPr>
          <w:p w14:paraId="30AB9B05">
            <w:pPr>
              <w:pStyle w:val="6"/>
              <w:spacing w:before="92" w:line="220" w:lineRule="auto"/>
              <w:ind w:left="84"/>
              <w:rPr>
                <w:sz w:val="18"/>
                <w:szCs w:val="18"/>
              </w:rPr>
            </w:pPr>
            <w:r>
              <w:rPr>
                <w:spacing w:val="-6"/>
                <w:sz w:val="18"/>
                <w:szCs w:val="18"/>
              </w:rPr>
              <w:t>12.3</w:t>
            </w:r>
          </w:p>
        </w:tc>
        <w:tc>
          <w:tcPr>
            <w:tcW w:w="427" w:type="dxa"/>
            <w:vAlign w:val="top"/>
          </w:tcPr>
          <w:p w14:paraId="3C58D8AD">
            <w:pPr>
              <w:pStyle w:val="6"/>
              <w:spacing w:before="92" w:line="220" w:lineRule="auto"/>
              <w:ind w:left="85"/>
              <w:rPr>
                <w:sz w:val="18"/>
                <w:szCs w:val="18"/>
              </w:rPr>
            </w:pPr>
            <w:r>
              <w:rPr>
                <w:spacing w:val="-6"/>
                <w:sz w:val="18"/>
                <w:szCs w:val="18"/>
              </w:rPr>
              <w:t>12.2</w:t>
            </w:r>
          </w:p>
        </w:tc>
        <w:tc>
          <w:tcPr>
            <w:tcW w:w="341" w:type="dxa"/>
            <w:vAlign w:val="top"/>
          </w:tcPr>
          <w:p w14:paraId="16ED899E">
            <w:pPr>
              <w:pStyle w:val="6"/>
              <w:spacing w:before="92" w:line="220" w:lineRule="auto"/>
              <w:jc w:val="right"/>
              <w:rPr>
                <w:sz w:val="18"/>
                <w:szCs w:val="18"/>
              </w:rPr>
            </w:pPr>
            <w:r>
              <w:rPr>
                <w:spacing w:val="-4"/>
                <w:sz w:val="18"/>
                <w:szCs w:val="18"/>
              </w:rPr>
              <w:t>34.7</w:t>
            </w:r>
          </w:p>
        </w:tc>
        <w:tc>
          <w:tcPr>
            <w:tcW w:w="361" w:type="dxa"/>
            <w:tcBorders>
              <w:right w:val="single" w:color="000000" w:sz="12" w:space="0"/>
            </w:tcBorders>
            <w:vAlign w:val="top"/>
          </w:tcPr>
          <w:p w14:paraId="5C7717FA">
            <w:pPr>
              <w:pStyle w:val="6"/>
              <w:spacing w:before="92" w:line="220" w:lineRule="auto"/>
              <w:ind w:right="3"/>
              <w:jc w:val="right"/>
              <w:rPr>
                <w:sz w:val="18"/>
                <w:szCs w:val="18"/>
              </w:rPr>
            </w:pPr>
            <w:r>
              <w:rPr>
                <w:spacing w:val="-1"/>
                <w:sz w:val="18"/>
                <w:szCs w:val="18"/>
              </w:rPr>
              <w:t>29.2</w:t>
            </w:r>
          </w:p>
        </w:tc>
      </w:tr>
      <w:tr w14:paraId="45210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77AC610C">
            <w:pPr>
              <w:rPr>
                <w:rFonts w:ascii="Arial"/>
                <w:sz w:val="21"/>
              </w:rPr>
            </w:pPr>
          </w:p>
        </w:tc>
        <w:tc>
          <w:tcPr>
            <w:tcW w:w="284" w:type="dxa"/>
            <w:vMerge w:val="continue"/>
            <w:tcBorders>
              <w:top w:val="nil"/>
              <w:bottom w:val="nil"/>
            </w:tcBorders>
            <w:vAlign w:val="top"/>
          </w:tcPr>
          <w:p w14:paraId="669ED875">
            <w:pPr>
              <w:rPr>
                <w:rFonts w:ascii="Arial"/>
                <w:sz w:val="21"/>
              </w:rPr>
            </w:pPr>
          </w:p>
        </w:tc>
        <w:tc>
          <w:tcPr>
            <w:tcW w:w="1249" w:type="dxa"/>
            <w:vAlign w:val="top"/>
          </w:tcPr>
          <w:p w14:paraId="10AE3BF7">
            <w:pPr>
              <w:pStyle w:val="6"/>
              <w:spacing w:before="92" w:line="217" w:lineRule="auto"/>
              <w:ind w:left="288"/>
              <w:rPr>
                <w:sz w:val="18"/>
                <w:szCs w:val="18"/>
              </w:rPr>
            </w:pPr>
            <w:r>
              <w:rPr>
                <w:spacing w:val="-1"/>
                <w:sz w:val="18"/>
                <w:szCs w:val="18"/>
              </w:rPr>
              <w:t>2021/6/4</w:t>
            </w:r>
          </w:p>
        </w:tc>
        <w:tc>
          <w:tcPr>
            <w:tcW w:w="733" w:type="dxa"/>
            <w:vAlign w:val="top"/>
          </w:tcPr>
          <w:p w14:paraId="08E5A9CF">
            <w:pPr>
              <w:pStyle w:val="6"/>
              <w:spacing w:before="92" w:line="217" w:lineRule="auto"/>
              <w:ind w:left="244"/>
              <w:rPr>
                <w:sz w:val="18"/>
                <w:szCs w:val="18"/>
              </w:rPr>
            </w:pPr>
            <w:r>
              <w:rPr>
                <w:spacing w:val="-3"/>
                <w:sz w:val="18"/>
                <w:szCs w:val="18"/>
              </w:rPr>
              <w:t>7.4</w:t>
            </w:r>
          </w:p>
        </w:tc>
        <w:tc>
          <w:tcPr>
            <w:tcW w:w="565" w:type="dxa"/>
            <w:vAlign w:val="top"/>
          </w:tcPr>
          <w:p w14:paraId="76EB5736">
            <w:pPr>
              <w:pStyle w:val="6"/>
              <w:spacing w:before="92" w:line="217" w:lineRule="auto"/>
              <w:ind w:left="134"/>
              <w:rPr>
                <w:sz w:val="18"/>
                <w:szCs w:val="18"/>
              </w:rPr>
            </w:pPr>
            <w:r>
              <w:rPr>
                <w:spacing w:val="-1"/>
                <w:sz w:val="18"/>
                <w:szCs w:val="18"/>
              </w:rPr>
              <w:t>240</w:t>
            </w:r>
          </w:p>
        </w:tc>
        <w:tc>
          <w:tcPr>
            <w:tcW w:w="708" w:type="dxa"/>
            <w:vAlign w:val="top"/>
          </w:tcPr>
          <w:p w14:paraId="39518C25">
            <w:pPr>
              <w:pStyle w:val="6"/>
              <w:spacing w:before="92" w:line="217" w:lineRule="auto"/>
              <w:ind w:left="207"/>
              <w:rPr>
                <w:sz w:val="18"/>
                <w:szCs w:val="18"/>
              </w:rPr>
            </w:pPr>
            <w:r>
              <w:rPr>
                <w:spacing w:val="-1"/>
                <w:sz w:val="18"/>
                <w:szCs w:val="18"/>
              </w:rPr>
              <w:t>417</w:t>
            </w:r>
          </w:p>
        </w:tc>
        <w:tc>
          <w:tcPr>
            <w:tcW w:w="567" w:type="dxa"/>
            <w:vAlign w:val="top"/>
          </w:tcPr>
          <w:p w14:paraId="3D0C0512">
            <w:pPr>
              <w:pStyle w:val="6"/>
              <w:spacing w:before="92" w:line="217" w:lineRule="auto"/>
              <w:ind w:left="155"/>
              <w:rPr>
                <w:sz w:val="18"/>
                <w:szCs w:val="18"/>
              </w:rPr>
            </w:pPr>
            <w:r>
              <w:rPr>
                <w:spacing w:val="-5"/>
                <w:sz w:val="18"/>
                <w:szCs w:val="18"/>
              </w:rPr>
              <w:t>101</w:t>
            </w:r>
          </w:p>
        </w:tc>
        <w:tc>
          <w:tcPr>
            <w:tcW w:w="566" w:type="dxa"/>
            <w:vAlign w:val="top"/>
          </w:tcPr>
          <w:p w14:paraId="1E7601CA">
            <w:pPr>
              <w:pStyle w:val="6"/>
              <w:spacing w:before="95" w:line="186" w:lineRule="auto"/>
              <w:ind w:left="145"/>
              <w:rPr>
                <w:sz w:val="18"/>
                <w:szCs w:val="18"/>
              </w:rPr>
            </w:pPr>
            <w:r>
              <w:rPr>
                <w:spacing w:val="-5"/>
                <w:sz w:val="18"/>
                <w:szCs w:val="18"/>
              </w:rPr>
              <w:t>10L</w:t>
            </w:r>
          </w:p>
        </w:tc>
        <w:tc>
          <w:tcPr>
            <w:tcW w:w="567" w:type="dxa"/>
            <w:vAlign w:val="top"/>
          </w:tcPr>
          <w:p w14:paraId="1B0C6393">
            <w:pPr>
              <w:pStyle w:val="6"/>
              <w:spacing w:before="92" w:line="217" w:lineRule="auto"/>
              <w:ind w:left="65"/>
              <w:rPr>
                <w:sz w:val="18"/>
                <w:szCs w:val="18"/>
              </w:rPr>
            </w:pPr>
            <w:r>
              <w:rPr>
                <w:spacing w:val="-2"/>
                <w:sz w:val="18"/>
                <w:szCs w:val="18"/>
              </w:rPr>
              <w:t>0.01L</w:t>
            </w:r>
          </w:p>
        </w:tc>
        <w:tc>
          <w:tcPr>
            <w:tcW w:w="557" w:type="dxa"/>
            <w:vAlign w:val="top"/>
          </w:tcPr>
          <w:p w14:paraId="02CF651F">
            <w:pPr>
              <w:pStyle w:val="6"/>
              <w:spacing w:before="92" w:line="217" w:lineRule="auto"/>
              <w:ind w:left="60"/>
              <w:rPr>
                <w:sz w:val="18"/>
                <w:szCs w:val="18"/>
              </w:rPr>
            </w:pPr>
            <w:r>
              <w:rPr>
                <w:spacing w:val="-2"/>
                <w:sz w:val="18"/>
                <w:szCs w:val="18"/>
              </w:rPr>
              <w:t>0.01L</w:t>
            </w:r>
          </w:p>
        </w:tc>
        <w:tc>
          <w:tcPr>
            <w:tcW w:w="715" w:type="dxa"/>
            <w:vAlign w:val="top"/>
          </w:tcPr>
          <w:p w14:paraId="1FF54314">
            <w:pPr>
              <w:pStyle w:val="6"/>
              <w:spacing w:before="92" w:line="217" w:lineRule="auto"/>
              <w:ind w:left="140"/>
              <w:rPr>
                <w:sz w:val="18"/>
                <w:szCs w:val="18"/>
              </w:rPr>
            </w:pPr>
            <w:r>
              <w:rPr>
                <w:spacing w:val="-2"/>
                <w:sz w:val="18"/>
                <w:szCs w:val="18"/>
              </w:rPr>
              <w:t>0.04L</w:t>
            </w:r>
          </w:p>
        </w:tc>
        <w:tc>
          <w:tcPr>
            <w:tcW w:w="567" w:type="dxa"/>
            <w:vAlign w:val="top"/>
          </w:tcPr>
          <w:p w14:paraId="42292DF7">
            <w:pPr>
              <w:pStyle w:val="6"/>
              <w:spacing w:before="92" w:line="217" w:lineRule="auto"/>
              <w:ind w:left="22"/>
              <w:rPr>
                <w:sz w:val="18"/>
                <w:szCs w:val="18"/>
              </w:rPr>
            </w:pPr>
            <w:r>
              <w:rPr>
                <w:spacing w:val="-2"/>
                <w:sz w:val="18"/>
                <w:szCs w:val="18"/>
              </w:rPr>
              <w:t>0.009L</w:t>
            </w:r>
          </w:p>
        </w:tc>
        <w:tc>
          <w:tcPr>
            <w:tcW w:w="708" w:type="dxa"/>
            <w:vAlign w:val="top"/>
          </w:tcPr>
          <w:p w14:paraId="5465269A">
            <w:pPr>
              <w:pStyle w:val="6"/>
              <w:spacing w:before="92" w:line="217" w:lineRule="auto"/>
              <w:ind w:left="48"/>
              <w:rPr>
                <w:sz w:val="18"/>
                <w:szCs w:val="18"/>
              </w:rPr>
            </w:pPr>
            <w:r>
              <w:rPr>
                <w:spacing w:val="-1"/>
                <w:sz w:val="18"/>
                <w:szCs w:val="18"/>
              </w:rPr>
              <w:t>0.0003L</w:t>
            </w:r>
          </w:p>
        </w:tc>
        <w:tc>
          <w:tcPr>
            <w:tcW w:w="851" w:type="dxa"/>
            <w:vAlign w:val="top"/>
          </w:tcPr>
          <w:p w14:paraId="5B40A387">
            <w:pPr>
              <w:pStyle w:val="6"/>
              <w:spacing w:before="92" w:line="217" w:lineRule="auto"/>
              <w:ind w:left="211"/>
              <w:rPr>
                <w:sz w:val="18"/>
                <w:szCs w:val="18"/>
              </w:rPr>
            </w:pPr>
            <w:r>
              <w:rPr>
                <w:spacing w:val="-2"/>
                <w:sz w:val="18"/>
                <w:szCs w:val="18"/>
              </w:rPr>
              <w:t>0.05L</w:t>
            </w:r>
          </w:p>
        </w:tc>
        <w:tc>
          <w:tcPr>
            <w:tcW w:w="566" w:type="dxa"/>
            <w:vAlign w:val="top"/>
          </w:tcPr>
          <w:p w14:paraId="4982D4EE">
            <w:pPr>
              <w:pStyle w:val="6"/>
              <w:spacing w:before="92" w:line="217" w:lineRule="auto"/>
              <w:ind w:left="125"/>
              <w:rPr>
                <w:sz w:val="18"/>
                <w:szCs w:val="18"/>
              </w:rPr>
            </w:pPr>
            <w:r>
              <w:rPr>
                <w:spacing w:val="-2"/>
                <w:sz w:val="18"/>
                <w:szCs w:val="18"/>
              </w:rPr>
              <w:t>0.01</w:t>
            </w:r>
          </w:p>
        </w:tc>
        <w:tc>
          <w:tcPr>
            <w:tcW w:w="672" w:type="dxa"/>
            <w:vAlign w:val="top"/>
          </w:tcPr>
          <w:p w14:paraId="0E8BD33B">
            <w:pPr>
              <w:pStyle w:val="6"/>
              <w:spacing w:before="92" w:line="217" w:lineRule="auto"/>
              <w:ind w:left="178"/>
              <w:rPr>
                <w:sz w:val="18"/>
                <w:szCs w:val="18"/>
              </w:rPr>
            </w:pPr>
            <w:r>
              <w:rPr>
                <w:spacing w:val="-2"/>
                <w:sz w:val="18"/>
                <w:szCs w:val="18"/>
              </w:rPr>
              <w:t>0.17</w:t>
            </w:r>
          </w:p>
        </w:tc>
        <w:tc>
          <w:tcPr>
            <w:tcW w:w="745" w:type="dxa"/>
            <w:vAlign w:val="top"/>
          </w:tcPr>
          <w:p w14:paraId="477CBB2F">
            <w:pPr>
              <w:pStyle w:val="6"/>
              <w:spacing w:before="92" w:line="217" w:lineRule="auto"/>
              <w:ind w:left="116"/>
              <w:rPr>
                <w:sz w:val="18"/>
                <w:szCs w:val="18"/>
              </w:rPr>
            </w:pPr>
            <w:r>
              <w:rPr>
                <w:spacing w:val="-1"/>
                <w:sz w:val="18"/>
                <w:szCs w:val="18"/>
              </w:rPr>
              <w:t>0.003L</w:t>
            </w:r>
          </w:p>
        </w:tc>
        <w:tc>
          <w:tcPr>
            <w:tcW w:w="455" w:type="dxa"/>
            <w:vAlign w:val="top"/>
          </w:tcPr>
          <w:p w14:paraId="0D702FAD">
            <w:pPr>
              <w:pStyle w:val="6"/>
              <w:spacing w:before="92" w:line="217" w:lineRule="auto"/>
              <w:ind w:left="27"/>
              <w:rPr>
                <w:sz w:val="18"/>
                <w:szCs w:val="18"/>
              </w:rPr>
            </w:pPr>
            <w:r>
              <w:rPr>
                <w:spacing w:val="-2"/>
                <w:sz w:val="18"/>
                <w:szCs w:val="18"/>
              </w:rPr>
              <w:t>0.151</w:t>
            </w:r>
          </w:p>
        </w:tc>
        <w:tc>
          <w:tcPr>
            <w:tcW w:w="579" w:type="dxa"/>
            <w:vAlign w:val="top"/>
          </w:tcPr>
          <w:p w14:paraId="0945AA49">
            <w:pPr>
              <w:pStyle w:val="6"/>
              <w:spacing w:before="92" w:line="217" w:lineRule="auto"/>
              <w:ind w:left="136"/>
              <w:rPr>
                <w:sz w:val="18"/>
                <w:szCs w:val="18"/>
              </w:rPr>
            </w:pPr>
            <w:r>
              <w:rPr>
                <w:spacing w:val="-2"/>
                <w:sz w:val="18"/>
                <w:szCs w:val="18"/>
              </w:rPr>
              <w:t>0.10</w:t>
            </w:r>
          </w:p>
        </w:tc>
        <w:tc>
          <w:tcPr>
            <w:tcW w:w="623" w:type="dxa"/>
            <w:vAlign w:val="top"/>
          </w:tcPr>
          <w:p w14:paraId="61A3319E">
            <w:pPr>
              <w:pStyle w:val="6"/>
              <w:spacing w:before="92" w:line="217" w:lineRule="auto"/>
              <w:ind w:left="58"/>
              <w:rPr>
                <w:sz w:val="18"/>
                <w:szCs w:val="18"/>
              </w:rPr>
            </w:pPr>
            <w:r>
              <w:rPr>
                <w:spacing w:val="-2"/>
                <w:sz w:val="18"/>
                <w:szCs w:val="18"/>
              </w:rPr>
              <w:t>0.004L</w:t>
            </w:r>
          </w:p>
        </w:tc>
        <w:tc>
          <w:tcPr>
            <w:tcW w:w="737" w:type="dxa"/>
            <w:vAlign w:val="top"/>
          </w:tcPr>
          <w:p w14:paraId="7D200E8E">
            <w:pPr>
              <w:pStyle w:val="6"/>
              <w:spacing w:before="92" w:line="217" w:lineRule="auto"/>
              <w:ind w:left="80"/>
              <w:rPr>
                <w:sz w:val="18"/>
                <w:szCs w:val="18"/>
              </w:rPr>
            </w:pPr>
            <w:r>
              <w:rPr>
                <w:spacing w:val="-1"/>
                <w:sz w:val="18"/>
                <w:szCs w:val="18"/>
              </w:rPr>
              <w:t>0.00009</w:t>
            </w:r>
          </w:p>
        </w:tc>
        <w:tc>
          <w:tcPr>
            <w:tcW w:w="577" w:type="dxa"/>
            <w:vAlign w:val="top"/>
          </w:tcPr>
          <w:p w14:paraId="62DA4DD7">
            <w:pPr>
              <w:pStyle w:val="6"/>
              <w:spacing w:before="92" w:line="217" w:lineRule="auto"/>
              <w:ind w:left="48"/>
              <w:rPr>
                <w:sz w:val="18"/>
                <w:szCs w:val="18"/>
              </w:rPr>
            </w:pPr>
            <w:r>
              <w:rPr>
                <w:spacing w:val="-2"/>
                <w:sz w:val="18"/>
                <w:szCs w:val="18"/>
              </w:rPr>
              <w:t>0.0019</w:t>
            </w:r>
          </w:p>
        </w:tc>
        <w:tc>
          <w:tcPr>
            <w:tcW w:w="708" w:type="dxa"/>
            <w:vAlign w:val="top"/>
          </w:tcPr>
          <w:p w14:paraId="712EE20F">
            <w:pPr>
              <w:pStyle w:val="6"/>
              <w:spacing w:before="92" w:line="217" w:lineRule="auto"/>
              <w:ind w:left="60"/>
              <w:rPr>
                <w:sz w:val="18"/>
                <w:szCs w:val="18"/>
              </w:rPr>
            </w:pPr>
            <w:r>
              <w:rPr>
                <w:spacing w:val="-1"/>
                <w:sz w:val="18"/>
                <w:szCs w:val="18"/>
              </w:rPr>
              <w:t>0.0004L</w:t>
            </w:r>
          </w:p>
        </w:tc>
        <w:tc>
          <w:tcPr>
            <w:tcW w:w="567" w:type="dxa"/>
            <w:vAlign w:val="top"/>
          </w:tcPr>
          <w:p w14:paraId="1EC76B65">
            <w:pPr>
              <w:pStyle w:val="6"/>
              <w:spacing w:before="92" w:line="217" w:lineRule="auto"/>
              <w:ind w:left="35"/>
              <w:rPr>
                <w:sz w:val="18"/>
                <w:szCs w:val="18"/>
              </w:rPr>
            </w:pPr>
            <w:r>
              <w:rPr>
                <w:spacing w:val="-2"/>
                <w:sz w:val="18"/>
                <w:szCs w:val="18"/>
              </w:rPr>
              <w:t>0.001L</w:t>
            </w:r>
          </w:p>
        </w:tc>
        <w:tc>
          <w:tcPr>
            <w:tcW w:w="566" w:type="dxa"/>
            <w:vAlign w:val="top"/>
          </w:tcPr>
          <w:p w14:paraId="7BCCB7DE">
            <w:pPr>
              <w:pStyle w:val="6"/>
              <w:spacing w:before="92" w:line="217" w:lineRule="auto"/>
              <w:ind w:left="34"/>
              <w:rPr>
                <w:sz w:val="18"/>
                <w:szCs w:val="18"/>
              </w:rPr>
            </w:pPr>
            <w:r>
              <w:rPr>
                <w:spacing w:val="-2"/>
                <w:sz w:val="18"/>
                <w:szCs w:val="18"/>
              </w:rPr>
              <w:t>0.004L</w:t>
            </w:r>
          </w:p>
        </w:tc>
        <w:tc>
          <w:tcPr>
            <w:tcW w:w="567" w:type="dxa"/>
            <w:vAlign w:val="top"/>
          </w:tcPr>
          <w:p w14:paraId="4F651B63">
            <w:pPr>
              <w:pStyle w:val="6"/>
              <w:spacing w:before="92" w:line="217" w:lineRule="auto"/>
              <w:ind w:left="81"/>
              <w:rPr>
                <w:sz w:val="18"/>
                <w:szCs w:val="18"/>
              </w:rPr>
            </w:pPr>
            <w:r>
              <w:rPr>
                <w:spacing w:val="-2"/>
                <w:sz w:val="18"/>
                <w:szCs w:val="18"/>
              </w:rPr>
              <w:t>0.01L</w:t>
            </w:r>
          </w:p>
        </w:tc>
        <w:tc>
          <w:tcPr>
            <w:tcW w:w="708" w:type="dxa"/>
            <w:vAlign w:val="top"/>
          </w:tcPr>
          <w:p w14:paraId="102C8159">
            <w:pPr>
              <w:pStyle w:val="6"/>
              <w:spacing w:before="92" w:line="217" w:lineRule="auto"/>
              <w:ind w:left="106"/>
              <w:rPr>
                <w:sz w:val="18"/>
                <w:szCs w:val="18"/>
              </w:rPr>
            </w:pPr>
            <w:r>
              <w:rPr>
                <w:spacing w:val="-2"/>
                <w:sz w:val="18"/>
                <w:szCs w:val="18"/>
              </w:rPr>
              <w:t>0.009L</w:t>
            </w:r>
          </w:p>
        </w:tc>
        <w:tc>
          <w:tcPr>
            <w:tcW w:w="566" w:type="dxa"/>
            <w:vAlign w:val="top"/>
          </w:tcPr>
          <w:p w14:paraId="40FFECEC">
            <w:pPr>
              <w:pStyle w:val="6"/>
              <w:spacing w:before="92" w:line="217" w:lineRule="auto"/>
              <w:ind w:left="246"/>
              <w:rPr>
                <w:sz w:val="18"/>
                <w:szCs w:val="18"/>
              </w:rPr>
            </w:pPr>
            <w:r>
              <w:rPr>
                <w:sz w:val="18"/>
                <w:szCs w:val="18"/>
              </w:rPr>
              <w:t>2</w:t>
            </w:r>
          </w:p>
        </w:tc>
        <w:tc>
          <w:tcPr>
            <w:tcW w:w="579" w:type="dxa"/>
            <w:vAlign w:val="top"/>
          </w:tcPr>
          <w:p w14:paraId="728663A7">
            <w:pPr>
              <w:pStyle w:val="6"/>
              <w:spacing w:before="92" w:line="217" w:lineRule="auto"/>
              <w:ind w:left="162"/>
              <w:rPr>
                <w:sz w:val="18"/>
                <w:szCs w:val="18"/>
              </w:rPr>
            </w:pPr>
            <w:r>
              <w:rPr>
                <w:spacing w:val="-1"/>
                <w:sz w:val="18"/>
                <w:szCs w:val="18"/>
              </w:rPr>
              <w:t>471</w:t>
            </w:r>
          </w:p>
        </w:tc>
        <w:tc>
          <w:tcPr>
            <w:tcW w:w="411" w:type="dxa"/>
            <w:vAlign w:val="top"/>
          </w:tcPr>
          <w:p w14:paraId="73E658F8">
            <w:pPr>
              <w:pStyle w:val="6"/>
              <w:spacing w:before="92" w:line="217" w:lineRule="auto"/>
              <w:ind w:left="51"/>
              <w:rPr>
                <w:sz w:val="18"/>
                <w:szCs w:val="18"/>
              </w:rPr>
            </w:pPr>
            <w:r>
              <w:rPr>
                <w:spacing w:val="-2"/>
                <w:sz w:val="18"/>
                <w:szCs w:val="18"/>
              </w:rPr>
              <w:t>0.5L</w:t>
            </w:r>
          </w:p>
        </w:tc>
        <w:tc>
          <w:tcPr>
            <w:tcW w:w="428" w:type="dxa"/>
            <w:vAlign w:val="top"/>
          </w:tcPr>
          <w:p w14:paraId="5036852F">
            <w:pPr>
              <w:pStyle w:val="6"/>
              <w:spacing w:before="92" w:line="217" w:lineRule="auto"/>
              <w:ind w:left="84"/>
              <w:rPr>
                <w:sz w:val="18"/>
                <w:szCs w:val="18"/>
              </w:rPr>
            </w:pPr>
            <w:r>
              <w:rPr>
                <w:spacing w:val="-6"/>
                <w:sz w:val="18"/>
                <w:szCs w:val="18"/>
              </w:rPr>
              <w:t>11.7</w:t>
            </w:r>
          </w:p>
        </w:tc>
        <w:tc>
          <w:tcPr>
            <w:tcW w:w="427" w:type="dxa"/>
            <w:vAlign w:val="top"/>
          </w:tcPr>
          <w:p w14:paraId="3068FA75">
            <w:pPr>
              <w:pStyle w:val="6"/>
              <w:spacing w:before="92" w:line="217" w:lineRule="auto"/>
              <w:ind w:left="85"/>
              <w:rPr>
                <w:sz w:val="18"/>
                <w:szCs w:val="18"/>
              </w:rPr>
            </w:pPr>
            <w:r>
              <w:rPr>
                <w:spacing w:val="-6"/>
                <w:sz w:val="18"/>
                <w:szCs w:val="18"/>
              </w:rPr>
              <w:t>11.1</w:t>
            </w:r>
          </w:p>
        </w:tc>
        <w:tc>
          <w:tcPr>
            <w:tcW w:w="341" w:type="dxa"/>
            <w:vAlign w:val="top"/>
          </w:tcPr>
          <w:p w14:paraId="7A1401D7">
            <w:pPr>
              <w:pStyle w:val="6"/>
              <w:spacing w:before="92" w:line="217" w:lineRule="auto"/>
              <w:jc w:val="right"/>
              <w:rPr>
                <w:sz w:val="18"/>
                <w:szCs w:val="18"/>
              </w:rPr>
            </w:pPr>
            <w:r>
              <w:rPr>
                <w:spacing w:val="-4"/>
                <w:sz w:val="18"/>
                <w:szCs w:val="18"/>
              </w:rPr>
              <w:t>34.3</w:t>
            </w:r>
          </w:p>
        </w:tc>
        <w:tc>
          <w:tcPr>
            <w:tcW w:w="361" w:type="dxa"/>
            <w:tcBorders>
              <w:right w:val="single" w:color="000000" w:sz="12" w:space="0"/>
            </w:tcBorders>
            <w:vAlign w:val="top"/>
          </w:tcPr>
          <w:p w14:paraId="237CE555">
            <w:pPr>
              <w:pStyle w:val="6"/>
              <w:spacing w:before="92" w:line="217" w:lineRule="auto"/>
              <w:ind w:right="3"/>
              <w:jc w:val="right"/>
              <w:rPr>
                <w:sz w:val="18"/>
                <w:szCs w:val="18"/>
              </w:rPr>
            </w:pPr>
            <w:r>
              <w:rPr>
                <w:spacing w:val="-1"/>
                <w:sz w:val="18"/>
                <w:szCs w:val="18"/>
              </w:rPr>
              <w:t>29.4</w:t>
            </w:r>
          </w:p>
        </w:tc>
      </w:tr>
      <w:tr w14:paraId="17675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04BE405E">
            <w:pPr>
              <w:rPr>
                <w:rFonts w:ascii="Arial"/>
                <w:sz w:val="21"/>
              </w:rPr>
            </w:pPr>
          </w:p>
        </w:tc>
        <w:tc>
          <w:tcPr>
            <w:tcW w:w="284" w:type="dxa"/>
            <w:vMerge w:val="continue"/>
            <w:tcBorders>
              <w:top w:val="nil"/>
            </w:tcBorders>
            <w:vAlign w:val="top"/>
          </w:tcPr>
          <w:p w14:paraId="6F693ED2">
            <w:pPr>
              <w:rPr>
                <w:rFonts w:ascii="Arial"/>
                <w:sz w:val="21"/>
              </w:rPr>
            </w:pPr>
          </w:p>
        </w:tc>
        <w:tc>
          <w:tcPr>
            <w:tcW w:w="1249" w:type="dxa"/>
            <w:vAlign w:val="top"/>
          </w:tcPr>
          <w:p w14:paraId="37153619">
            <w:pPr>
              <w:pStyle w:val="6"/>
              <w:spacing w:before="93" w:line="218" w:lineRule="auto"/>
              <w:ind w:left="288"/>
              <w:rPr>
                <w:sz w:val="18"/>
                <w:szCs w:val="18"/>
              </w:rPr>
            </w:pPr>
            <w:r>
              <w:rPr>
                <w:spacing w:val="-1"/>
                <w:sz w:val="18"/>
                <w:szCs w:val="18"/>
              </w:rPr>
              <w:t>2021/6/5</w:t>
            </w:r>
          </w:p>
        </w:tc>
        <w:tc>
          <w:tcPr>
            <w:tcW w:w="733" w:type="dxa"/>
            <w:vAlign w:val="top"/>
          </w:tcPr>
          <w:p w14:paraId="3F3C1056">
            <w:pPr>
              <w:pStyle w:val="6"/>
              <w:spacing w:before="93" w:line="218" w:lineRule="auto"/>
              <w:ind w:left="244"/>
              <w:rPr>
                <w:sz w:val="18"/>
                <w:szCs w:val="18"/>
              </w:rPr>
            </w:pPr>
            <w:r>
              <w:rPr>
                <w:spacing w:val="-3"/>
                <w:sz w:val="18"/>
                <w:szCs w:val="18"/>
              </w:rPr>
              <w:t>7.4</w:t>
            </w:r>
          </w:p>
        </w:tc>
        <w:tc>
          <w:tcPr>
            <w:tcW w:w="565" w:type="dxa"/>
            <w:vAlign w:val="top"/>
          </w:tcPr>
          <w:p w14:paraId="0B0C1D5B">
            <w:pPr>
              <w:pStyle w:val="6"/>
              <w:spacing w:before="93" w:line="218" w:lineRule="auto"/>
              <w:ind w:left="134"/>
              <w:rPr>
                <w:sz w:val="18"/>
                <w:szCs w:val="18"/>
              </w:rPr>
            </w:pPr>
            <w:r>
              <w:rPr>
                <w:spacing w:val="-1"/>
                <w:sz w:val="18"/>
                <w:szCs w:val="18"/>
              </w:rPr>
              <w:t>250</w:t>
            </w:r>
          </w:p>
        </w:tc>
        <w:tc>
          <w:tcPr>
            <w:tcW w:w="708" w:type="dxa"/>
            <w:vAlign w:val="top"/>
          </w:tcPr>
          <w:p w14:paraId="1FCC21A8">
            <w:pPr>
              <w:pStyle w:val="6"/>
              <w:spacing w:before="93" w:line="218" w:lineRule="auto"/>
              <w:ind w:left="207"/>
              <w:rPr>
                <w:sz w:val="18"/>
                <w:szCs w:val="18"/>
              </w:rPr>
            </w:pPr>
            <w:r>
              <w:rPr>
                <w:spacing w:val="-1"/>
                <w:sz w:val="18"/>
                <w:szCs w:val="18"/>
              </w:rPr>
              <w:t>423</w:t>
            </w:r>
          </w:p>
        </w:tc>
        <w:tc>
          <w:tcPr>
            <w:tcW w:w="567" w:type="dxa"/>
            <w:vAlign w:val="top"/>
          </w:tcPr>
          <w:p w14:paraId="7EAC6C48">
            <w:pPr>
              <w:pStyle w:val="6"/>
              <w:spacing w:before="93" w:line="218" w:lineRule="auto"/>
              <w:ind w:left="187"/>
              <w:rPr>
                <w:sz w:val="18"/>
                <w:szCs w:val="18"/>
              </w:rPr>
            </w:pPr>
            <w:r>
              <w:rPr>
                <w:spacing w:val="-2"/>
                <w:sz w:val="18"/>
                <w:szCs w:val="18"/>
              </w:rPr>
              <w:t>95</w:t>
            </w:r>
          </w:p>
        </w:tc>
        <w:tc>
          <w:tcPr>
            <w:tcW w:w="566" w:type="dxa"/>
            <w:vAlign w:val="top"/>
          </w:tcPr>
          <w:p w14:paraId="0EA1E858">
            <w:pPr>
              <w:pStyle w:val="6"/>
              <w:spacing w:before="96" w:line="186" w:lineRule="auto"/>
              <w:ind w:left="145"/>
              <w:rPr>
                <w:sz w:val="18"/>
                <w:szCs w:val="18"/>
              </w:rPr>
            </w:pPr>
            <w:r>
              <w:rPr>
                <w:spacing w:val="-5"/>
                <w:sz w:val="18"/>
                <w:szCs w:val="18"/>
              </w:rPr>
              <w:t>10L</w:t>
            </w:r>
          </w:p>
        </w:tc>
        <w:tc>
          <w:tcPr>
            <w:tcW w:w="567" w:type="dxa"/>
            <w:vAlign w:val="top"/>
          </w:tcPr>
          <w:p w14:paraId="5DD53D53">
            <w:pPr>
              <w:pStyle w:val="6"/>
              <w:spacing w:before="93" w:line="218" w:lineRule="auto"/>
              <w:ind w:left="65"/>
              <w:rPr>
                <w:sz w:val="18"/>
                <w:szCs w:val="18"/>
              </w:rPr>
            </w:pPr>
            <w:r>
              <w:rPr>
                <w:spacing w:val="-2"/>
                <w:sz w:val="18"/>
                <w:szCs w:val="18"/>
              </w:rPr>
              <w:t>0.01L</w:t>
            </w:r>
          </w:p>
        </w:tc>
        <w:tc>
          <w:tcPr>
            <w:tcW w:w="557" w:type="dxa"/>
            <w:vAlign w:val="top"/>
          </w:tcPr>
          <w:p w14:paraId="4EC8E902">
            <w:pPr>
              <w:pStyle w:val="6"/>
              <w:spacing w:before="93" w:line="218" w:lineRule="auto"/>
              <w:ind w:left="60"/>
              <w:rPr>
                <w:sz w:val="18"/>
                <w:szCs w:val="18"/>
              </w:rPr>
            </w:pPr>
            <w:r>
              <w:rPr>
                <w:spacing w:val="-2"/>
                <w:sz w:val="18"/>
                <w:szCs w:val="18"/>
              </w:rPr>
              <w:t>0.01L</w:t>
            </w:r>
          </w:p>
        </w:tc>
        <w:tc>
          <w:tcPr>
            <w:tcW w:w="715" w:type="dxa"/>
            <w:vAlign w:val="top"/>
          </w:tcPr>
          <w:p w14:paraId="101D5E68">
            <w:pPr>
              <w:pStyle w:val="6"/>
              <w:spacing w:before="93" w:line="218" w:lineRule="auto"/>
              <w:ind w:left="140"/>
              <w:rPr>
                <w:sz w:val="18"/>
                <w:szCs w:val="18"/>
              </w:rPr>
            </w:pPr>
            <w:r>
              <w:rPr>
                <w:spacing w:val="-2"/>
                <w:sz w:val="18"/>
                <w:szCs w:val="18"/>
              </w:rPr>
              <w:t>0.04L</w:t>
            </w:r>
          </w:p>
        </w:tc>
        <w:tc>
          <w:tcPr>
            <w:tcW w:w="567" w:type="dxa"/>
            <w:vAlign w:val="top"/>
          </w:tcPr>
          <w:p w14:paraId="71CF1964">
            <w:pPr>
              <w:pStyle w:val="6"/>
              <w:spacing w:before="93" w:line="218" w:lineRule="auto"/>
              <w:ind w:left="22"/>
              <w:rPr>
                <w:sz w:val="18"/>
                <w:szCs w:val="18"/>
              </w:rPr>
            </w:pPr>
            <w:r>
              <w:rPr>
                <w:spacing w:val="-2"/>
                <w:sz w:val="18"/>
                <w:szCs w:val="18"/>
              </w:rPr>
              <w:t>0.009L</w:t>
            </w:r>
          </w:p>
        </w:tc>
        <w:tc>
          <w:tcPr>
            <w:tcW w:w="708" w:type="dxa"/>
            <w:vAlign w:val="top"/>
          </w:tcPr>
          <w:p w14:paraId="530B14A8">
            <w:pPr>
              <w:pStyle w:val="6"/>
              <w:spacing w:before="93" w:line="218" w:lineRule="auto"/>
              <w:ind w:left="48"/>
              <w:rPr>
                <w:sz w:val="18"/>
                <w:szCs w:val="18"/>
              </w:rPr>
            </w:pPr>
            <w:r>
              <w:rPr>
                <w:spacing w:val="-1"/>
                <w:sz w:val="18"/>
                <w:szCs w:val="18"/>
              </w:rPr>
              <w:t>0.0003L</w:t>
            </w:r>
          </w:p>
        </w:tc>
        <w:tc>
          <w:tcPr>
            <w:tcW w:w="851" w:type="dxa"/>
            <w:vAlign w:val="top"/>
          </w:tcPr>
          <w:p w14:paraId="597AC39E">
            <w:pPr>
              <w:pStyle w:val="6"/>
              <w:spacing w:before="93" w:line="218" w:lineRule="auto"/>
              <w:ind w:left="211"/>
              <w:rPr>
                <w:sz w:val="18"/>
                <w:szCs w:val="18"/>
              </w:rPr>
            </w:pPr>
            <w:r>
              <w:rPr>
                <w:spacing w:val="-2"/>
                <w:sz w:val="18"/>
                <w:szCs w:val="18"/>
              </w:rPr>
              <w:t>0.05L</w:t>
            </w:r>
          </w:p>
        </w:tc>
        <w:tc>
          <w:tcPr>
            <w:tcW w:w="566" w:type="dxa"/>
            <w:vAlign w:val="top"/>
          </w:tcPr>
          <w:p w14:paraId="2A36CE83">
            <w:pPr>
              <w:pStyle w:val="6"/>
              <w:spacing w:before="93" w:line="218" w:lineRule="auto"/>
              <w:ind w:left="125"/>
              <w:rPr>
                <w:sz w:val="18"/>
                <w:szCs w:val="18"/>
              </w:rPr>
            </w:pPr>
            <w:r>
              <w:rPr>
                <w:spacing w:val="-2"/>
                <w:sz w:val="18"/>
                <w:szCs w:val="18"/>
              </w:rPr>
              <w:t>0.02</w:t>
            </w:r>
          </w:p>
        </w:tc>
        <w:tc>
          <w:tcPr>
            <w:tcW w:w="672" w:type="dxa"/>
            <w:vAlign w:val="top"/>
          </w:tcPr>
          <w:p w14:paraId="07F309A5">
            <w:pPr>
              <w:pStyle w:val="6"/>
              <w:spacing w:before="93" w:line="218" w:lineRule="auto"/>
              <w:ind w:left="178"/>
              <w:rPr>
                <w:sz w:val="18"/>
                <w:szCs w:val="18"/>
              </w:rPr>
            </w:pPr>
            <w:r>
              <w:rPr>
                <w:spacing w:val="-2"/>
                <w:sz w:val="18"/>
                <w:szCs w:val="18"/>
              </w:rPr>
              <w:t>0.18</w:t>
            </w:r>
          </w:p>
        </w:tc>
        <w:tc>
          <w:tcPr>
            <w:tcW w:w="745" w:type="dxa"/>
            <w:vAlign w:val="top"/>
          </w:tcPr>
          <w:p w14:paraId="50E733AA">
            <w:pPr>
              <w:pStyle w:val="6"/>
              <w:spacing w:before="93" w:line="218" w:lineRule="auto"/>
              <w:ind w:left="116"/>
              <w:rPr>
                <w:sz w:val="18"/>
                <w:szCs w:val="18"/>
              </w:rPr>
            </w:pPr>
            <w:r>
              <w:rPr>
                <w:spacing w:val="-2"/>
                <w:sz w:val="18"/>
                <w:szCs w:val="18"/>
              </w:rPr>
              <w:t>0.003L</w:t>
            </w:r>
          </w:p>
        </w:tc>
        <w:tc>
          <w:tcPr>
            <w:tcW w:w="455" w:type="dxa"/>
            <w:vAlign w:val="top"/>
          </w:tcPr>
          <w:p w14:paraId="6E6EE117">
            <w:pPr>
              <w:pStyle w:val="6"/>
              <w:spacing w:before="93" w:line="218" w:lineRule="auto"/>
              <w:ind w:left="27"/>
              <w:rPr>
                <w:sz w:val="18"/>
                <w:szCs w:val="18"/>
              </w:rPr>
            </w:pPr>
            <w:r>
              <w:rPr>
                <w:spacing w:val="-2"/>
                <w:sz w:val="18"/>
                <w:szCs w:val="18"/>
              </w:rPr>
              <w:t>0.160</w:t>
            </w:r>
          </w:p>
        </w:tc>
        <w:tc>
          <w:tcPr>
            <w:tcW w:w="579" w:type="dxa"/>
            <w:vAlign w:val="top"/>
          </w:tcPr>
          <w:p w14:paraId="425D8F8E">
            <w:pPr>
              <w:pStyle w:val="6"/>
              <w:spacing w:before="93" w:line="218" w:lineRule="auto"/>
              <w:ind w:left="136"/>
              <w:rPr>
                <w:sz w:val="18"/>
                <w:szCs w:val="18"/>
              </w:rPr>
            </w:pPr>
            <w:r>
              <w:rPr>
                <w:spacing w:val="-2"/>
                <w:sz w:val="18"/>
                <w:szCs w:val="18"/>
              </w:rPr>
              <w:t>0.09</w:t>
            </w:r>
          </w:p>
        </w:tc>
        <w:tc>
          <w:tcPr>
            <w:tcW w:w="623" w:type="dxa"/>
            <w:vAlign w:val="top"/>
          </w:tcPr>
          <w:p w14:paraId="3F00B6FF">
            <w:pPr>
              <w:pStyle w:val="6"/>
              <w:spacing w:before="93" w:line="218" w:lineRule="auto"/>
              <w:ind w:left="58"/>
              <w:rPr>
                <w:sz w:val="18"/>
                <w:szCs w:val="18"/>
              </w:rPr>
            </w:pPr>
            <w:r>
              <w:rPr>
                <w:spacing w:val="-2"/>
                <w:sz w:val="18"/>
                <w:szCs w:val="18"/>
              </w:rPr>
              <w:t>0.004L</w:t>
            </w:r>
          </w:p>
        </w:tc>
        <w:tc>
          <w:tcPr>
            <w:tcW w:w="737" w:type="dxa"/>
            <w:vAlign w:val="top"/>
          </w:tcPr>
          <w:p w14:paraId="1AA5EA27">
            <w:pPr>
              <w:pStyle w:val="6"/>
              <w:spacing w:before="93" w:line="218" w:lineRule="auto"/>
              <w:ind w:left="80"/>
              <w:rPr>
                <w:sz w:val="18"/>
                <w:szCs w:val="18"/>
              </w:rPr>
            </w:pPr>
            <w:r>
              <w:rPr>
                <w:spacing w:val="-1"/>
                <w:sz w:val="18"/>
                <w:szCs w:val="18"/>
              </w:rPr>
              <w:t>0.00009</w:t>
            </w:r>
          </w:p>
        </w:tc>
        <w:tc>
          <w:tcPr>
            <w:tcW w:w="577" w:type="dxa"/>
            <w:vAlign w:val="top"/>
          </w:tcPr>
          <w:p w14:paraId="3FCDB557">
            <w:pPr>
              <w:pStyle w:val="6"/>
              <w:spacing w:before="93" w:line="218" w:lineRule="auto"/>
              <w:ind w:left="48"/>
              <w:rPr>
                <w:sz w:val="18"/>
                <w:szCs w:val="18"/>
              </w:rPr>
            </w:pPr>
            <w:r>
              <w:rPr>
                <w:spacing w:val="-2"/>
                <w:sz w:val="18"/>
                <w:szCs w:val="18"/>
              </w:rPr>
              <w:t>0.0019</w:t>
            </w:r>
          </w:p>
        </w:tc>
        <w:tc>
          <w:tcPr>
            <w:tcW w:w="708" w:type="dxa"/>
            <w:vAlign w:val="top"/>
          </w:tcPr>
          <w:p w14:paraId="75C9F723">
            <w:pPr>
              <w:pStyle w:val="6"/>
              <w:spacing w:before="93" w:line="218" w:lineRule="auto"/>
              <w:ind w:left="60"/>
              <w:rPr>
                <w:sz w:val="18"/>
                <w:szCs w:val="18"/>
              </w:rPr>
            </w:pPr>
            <w:r>
              <w:rPr>
                <w:spacing w:val="-1"/>
                <w:sz w:val="18"/>
                <w:szCs w:val="18"/>
              </w:rPr>
              <w:t>0.0004L</w:t>
            </w:r>
          </w:p>
        </w:tc>
        <w:tc>
          <w:tcPr>
            <w:tcW w:w="567" w:type="dxa"/>
            <w:vAlign w:val="top"/>
          </w:tcPr>
          <w:p w14:paraId="33D4CA85">
            <w:pPr>
              <w:pStyle w:val="6"/>
              <w:spacing w:before="93" w:line="218" w:lineRule="auto"/>
              <w:ind w:left="35"/>
              <w:rPr>
                <w:sz w:val="18"/>
                <w:szCs w:val="18"/>
              </w:rPr>
            </w:pPr>
            <w:r>
              <w:rPr>
                <w:spacing w:val="-2"/>
                <w:sz w:val="18"/>
                <w:szCs w:val="18"/>
              </w:rPr>
              <w:t>0.001L</w:t>
            </w:r>
          </w:p>
        </w:tc>
        <w:tc>
          <w:tcPr>
            <w:tcW w:w="566" w:type="dxa"/>
            <w:vAlign w:val="top"/>
          </w:tcPr>
          <w:p w14:paraId="75C2205F">
            <w:pPr>
              <w:pStyle w:val="6"/>
              <w:spacing w:before="93" w:line="218" w:lineRule="auto"/>
              <w:ind w:left="34"/>
              <w:rPr>
                <w:sz w:val="18"/>
                <w:szCs w:val="18"/>
              </w:rPr>
            </w:pPr>
            <w:r>
              <w:rPr>
                <w:spacing w:val="-2"/>
                <w:sz w:val="18"/>
                <w:szCs w:val="18"/>
              </w:rPr>
              <w:t>0.004L</w:t>
            </w:r>
          </w:p>
        </w:tc>
        <w:tc>
          <w:tcPr>
            <w:tcW w:w="567" w:type="dxa"/>
            <w:vAlign w:val="top"/>
          </w:tcPr>
          <w:p w14:paraId="75D654FA">
            <w:pPr>
              <w:pStyle w:val="6"/>
              <w:spacing w:before="93" w:line="218" w:lineRule="auto"/>
              <w:ind w:left="81"/>
              <w:rPr>
                <w:sz w:val="18"/>
                <w:szCs w:val="18"/>
              </w:rPr>
            </w:pPr>
            <w:r>
              <w:rPr>
                <w:spacing w:val="-2"/>
                <w:sz w:val="18"/>
                <w:szCs w:val="18"/>
              </w:rPr>
              <w:t>0.01L</w:t>
            </w:r>
          </w:p>
        </w:tc>
        <w:tc>
          <w:tcPr>
            <w:tcW w:w="708" w:type="dxa"/>
            <w:vAlign w:val="top"/>
          </w:tcPr>
          <w:p w14:paraId="5CB555D9">
            <w:pPr>
              <w:pStyle w:val="6"/>
              <w:spacing w:before="93" w:line="218" w:lineRule="auto"/>
              <w:ind w:left="106"/>
              <w:rPr>
                <w:sz w:val="18"/>
                <w:szCs w:val="18"/>
              </w:rPr>
            </w:pPr>
            <w:r>
              <w:rPr>
                <w:spacing w:val="-1"/>
                <w:sz w:val="18"/>
                <w:szCs w:val="18"/>
              </w:rPr>
              <w:t>0.009L</w:t>
            </w:r>
          </w:p>
        </w:tc>
        <w:tc>
          <w:tcPr>
            <w:tcW w:w="566" w:type="dxa"/>
            <w:vAlign w:val="top"/>
          </w:tcPr>
          <w:p w14:paraId="33F7D43B">
            <w:pPr>
              <w:pStyle w:val="6"/>
              <w:spacing w:before="93" w:line="218" w:lineRule="auto"/>
              <w:ind w:left="246"/>
              <w:rPr>
                <w:sz w:val="18"/>
                <w:szCs w:val="18"/>
              </w:rPr>
            </w:pPr>
            <w:r>
              <w:rPr>
                <w:sz w:val="18"/>
                <w:szCs w:val="18"/>
              </w:rPr>
              <w:t>2</w:t>
            </w:r>
          </w:p>
        </w:tc>
        <w:tc>
          <w:tcPr>
            <w:tcW w:w="579" w:type="dxa"/>
            <w:vAlign w:val="top"/>
          </w:tcPr>
          <w:p w14:paraId="3833DCC8">
            <w:pPr>
              <w:pStyle w:val="6"/>
              <w:spacing w:before="93" w:line="218" w:lineRule="auto"/>
              <w:ind w:left="162"/>
              <w:rPr>
                <w:sz w:val="18"/>
                <w:szCs w:val="18"/>
              </w:rPr>
            </w:pPr>
            <w:r>
              <w:rPr>
                <w:spacing w:val="-1"/>
                <w:sz w:val="18"/>
                <w:szCs w:val="18"/>
              </w:rPr>
              <w:t>468</w:t>
            </w:r>
          </w:p>
        </w:tc>
        <w:tc>
          <w:tcPr>
            <w:tcW w:w="411" w:type="dxa"/>
            <w:vAlign w:val="top"/>
          </w:tcPr>
          <w:p w14:paraId="5E4170DC">
            <w:pPr>
              <w:pStyle w:val="6"/>
              <w:spacing w:before="93" w:line="218" w:lineRule="auto"/>
              <w:ind w:left="51"/>
              <w:rPr>
                <w:sz w:val="18"/>
                <w:szCs w:val="18"/>
              </w:rPr>
            </w:pPr>
            <w:r>
              <w:rPr>
                <w:spacing w:val="-2"/>
                <w:sz w:val="18"/>
                <w:szCs w:val="18"/>
              </w:rPr>
              <w:t>0.5L</w:t>
            </w:r>
          </w:p>
        </w:tc>
        <w:tc>
          <w:tcPr>
            <w:tcW w:w="428" w:type="dxa"/>
            <w:vAlign w:val="top"/>
          </w:tcPr>
          <w:p w14:paraId="33614499">
            <w:pPr>
              <w:pStyle w:val="6"/>
              <w:spacing w:before="93" w:line="218" w:lineRule="auto"/>
              <w:ind w:left="84"/>
              <w:rPr>
                <w:sz w:val="18"/>
                <w:szCs w:val="18"/>
              </w:rPr>
            </w:pPr>
            <w:r>
              <w:rPr>
                <w:spacing w:val="-6"/>
                <w:sz w:val="18"/>
                <w:szCs w:val="18"/>
              </w:rPr>
              <w:t>11.8</w:t>
            </w:r>
          </w:p>
        </w:tc>
        <w:tc>
          <w:tcPr>
            <w:tcW w:w="427" w:type="dxa"/>
            <w:vAlign w:val="top"/>
          </w:tcPr>
          <w:p w14:paraId="1815BB62">
            <w:pPr>
              <w:pStyle w:val="6"/>
              <w:spacing w:before="93" w:line="218" w:lineRule="auto"/>
              <w:ind w:left="85"/>
              <w:rPr>
                <w:sz w:val="18"/>
                <w:szCs w:val="18"/>
              </w:rPr>
            </w:pPr>
            <w:r>
              <w:rPr>
                <w:spacing w:val="-6"/>
                <w:sz w:val="18"/>
                <w:szCs w:val="18"/>
              </w:rPr>
              <w:t>11.6</w:t>
            </w:r>
          </w:p>
        </w:tc>
        <w:tc>
          <w:tcPr>
            <w:tcW w:w="341" w:type="dxa"/>
            <w:vAlign w:val="top"/>
          </w:tcPr>
          <w:p w14:paraId="21B170DD">
            <w:pPr>
              <w:pStyle w:val="6"/>
              <w:spacing w:before="93" w:line="218" w:lineRule="auto"/>
              <w:jc w:val="right"/>
              <w:rPr>
                <w:sz w:val="18"/>
                <w:szCs w:val="18"/>
              </w:rPr>
            </w:pPr>
            <w:r>
              <w:rPr>
                <w:spacing w:val="-4"/>
                <w:sz w:val="18"/>
                <w:szCs w:val="18"/>
              </w:rPr>
              <w:t>33.7</w:t>
            </w:r>
          </w:p>
        </w:tc>
        <w:tc>
          <w:tcPr>
            <w:tcW w:w="361" w:type="dxa"/>
            <w:tcBorders>
              <w:right w:val="single" w:color="000000" w:sz="12" w:space="0"/>
            </w:tcBorders>
            <w:vAlign w:val="top"/>
          </w:tcPr>
          <w:p w14:paraId="07F56C46">
            <w:pPr>
              <w:pStyle w:val="6"/>
              <w:spacing w:before="93" w:line="218" w:lineRule="auto"/>
              <w:ind w:right="3"/>
              <w:jc w:val="right"/>
              <w:rPr>
                <w:sz w:val="18"/>
                <w:szCs w:val="18"/>
              </w:rPr>
            </w:pPr>
            <w:r>
              <w:rPr>
                <w:spacing w:val="-1"/>
                <w:sz w:val="18"/>
                <w:szCs w:val="18"/>
              </w:rPr>
              <w:t>29.1</w:t>
            </w:r>
          </w:p>
        </w:tc>
      </w:tr>
      <w:tr w14:paraId="28A1C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2AF49FFE">
            <w:pPr>
              <w:rPr>
                <w:rFonts w:ascii="Arial"/>
                <w:sz w:val="21"/>
              </w:rPr>
            </w:pPr>
          </w:p>
        </w:tc>
        <w:tc>
          <w:tcPr>
            <w:tcW w:w="284" w:type="dxa"/>
            <w:vMerge w:val="restart"/>
            <w:tcBorders>
              <w:bottom w:val="nil"/>
            </w:tcBorders>
            <w:vAlign w:val="top"/>
          </w:tcPr>
          <w:p w14:paraId="3D12ED0D">
            <w:pPr>
              <w:pStyle w:val="6"/>
              <w:spacing w:before="162" w:line="226" w:lineRule="auto"/>
              <w:ind w:left="83"/>
              <w:rPr>
                <w:sz w:val="18"/>
                <w:szCs w:val="18"/>
              </w:rPr>
            </w:pPr>
            <w:r>
              <w:rPr>
                <w:sz w:val="18"/>
                <w:szCs w:val="18"/>
              </w:rPr>
              <w:t>3</w:t>
            </w:r>
          </w:p>
          <w:p w14:paraId="207DFEE1">
            <w:pPr>
              <w:spacing w:line="219" w:lineRule="auto"/>
              <w:ind w:left="39"/>
              <w:rPr>
                <w:rFonts w:ascii="宋体" w:hAnsi="宋体" w:eastAsia="宋体" w:cs="宋体"/>
                <w:sz w:val="18"/>
                <w:szCs w:val="18"/>
              </w:rPr>
            </w:pPr>
            <w:r>
              <w:rPr>
                <w:rFonts w:ascii="宋体" w:hAnsi="宋体" w:eastAsia="宋体" w:cs="宋体"/>
                <w:sz w:val="18"/>
                <w:szCs w:val="18"/>
              </w:rPr>
              <w:t>季</w:t>
            </w:r>
          </w:p>
          <w:p w14:paraId="7C87F5F0">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6A54E8DB">
            <w:pPr>
              <w:pStyle w:val="6"/>
              <w:spacing w:before="93" w:line="218" w:lineRule="auto"/>
              <w:ind w:left="244"/>
              <w:rPr>
                <w:sz w:val="18"/>
                <w:szCs w:val="18"/>
              </w:rPr>
            </w:pPr>
            <w:r>
              <w:rPr>
                <w:spacing w:val="-1"/>
                <w:sz w:val="18"/>
                <w:szCs w:val="18"/>
              </w:rPr>
              <w:t>2021/7/19</w:t>
            </w:r>
          </w:p>
        </w:tc>
        <w:tc>
          <w:tcPr>
            <w:tcW w:w="733" w:type="dxa"/>
            <w:vAlign w:val="top"/>
          </w:tcPr>
          <w:p w14:paraId="49EBD39A">
            <w:pPr>
              <w:pStyle w:val="6"/>
              <w:spacing w:before="93" w:line="218" w:lineRule="auto"/>
              <w:ind w:left="244"/>
              <w:rPr>
                <w:sz w:val="18"/>
                <w:szCs w:val="18"/>
              </w:rPr>
            </w:pPr>
            <w:r>
              <w:rPr>
                <w:spacing w:val="-3"/>
                <w:sz w:val="18"/>
                <w:szCs w:val="18"/>
              </w:rPr>
              <w:t>7.2</w:t>
            </w:r>
          </w:p>
        </w:tc>
        <w:tc>
          <w:tcPr>
            <w:tcW w:w="565" w:type="dxa"/>
            <w:vAlign w:val="top"/>
          </w:tcPr>
          <w:p w14:paraId="1C5BD484">
            <w:pPr>
              <w:pStyle w:val="6"/>
              <w:spacing w:before="93" w:line="218" w:lineRule="auto"/>
              <w:ind w:left="134"/>
              <w:rPr>
                <w:sz w:val="18"/>
                <w:szCs w:val="18"/>
              </w:rPr>
            </w:pPr>
            <w:r>
              <w:rPr>
                <w:spacing w:val="-1"/>
                <w:sz w:val="18"/>
                <w:szCs w:val="18"/>
              </w:rPr>
              <w:t>244</w:t>
            </w:r>
          </w:p>
        </w:tc>
        <w:tc>
          <w:tcPr>
            <w:tcW w:w="708" w:type="dxa"/>
            <w:vAlign w:val="top"/>
          </w:tcPr>
          <w:p w14:paraId="22DBDC0F">
            <w:pPr>
              <w:pStyle w:val="6"/>
              <w:spacing w:before="93" w:line="218" w:lineRule="auto"/>
              <w:ind w:left="211"/>
              <w:rPr>
                <w:sz w:val="18"/>
                <w:szCs w:val="18"/>
              </w:rPr>
            </w:pPr>
            <w:r>
              <w:rPr>
                <w:spacing w:val="-2"/>
                <w:sz w:val="18"/>
                <w:szCs w:val="18"/>
              </w:rPr>
              <w:t>383</w:t>
            </w:r>
          </w:p>
        </w:tc>
        <w:tc>
          <w:tcPr>
            <w:tcW w:w="567" w:type="dxa"/>
            <w:vAlign w:val="top"/>
          </w:tcPr>
          <w:p w14:paraId="5674F722">
            <w:pPr>
              <w:pStyle w:val="6"/>
              <w:spacing w:before="93" w:line="218" w:lineRule="auto"/>
              <w:ind w:left="155"/>
              <w:rPr>
                <w:sz w:val="18"/>
                <w:szCs w:val="18"/>
              </w:rPr>
            </w:pPr>
            <w:r>
              <w:rPr>
                <w:spacing w:val="-5"/>
                <w:sz w:val="18"/>
                <w:szCs w:val="18"/>
              </w:rPr>
              <w:t>102</w:t>
            </w:r>
          </w:p>
        </w:tc>
        <w:tc>
          <w:tcPr>
            <w:tcW w:w="566" w:type="dxa"/>
            <w:vAlign w:val="top"/>
          </w:tcPr>
          <w:p w14:paraId="5759FD67">
            <w:pPr>
              <w:pStyle w:val="6"/>
              <w:spacing w:before="97" w:line="186" w:lineRule="auto"/>
              <w:ind w:left="145"/>
              <w:rPr>
                <w:sz w:val="18"/>
                <w:szCs w:val="18"/>
              </w:rPr>
            </w:pPr>
            <w:r>
              <w:rPr>
                <w:spacing w:val="-5"/>
                <w:sz w:val="18"/>
                <w:szCs w:val="18"/>
              </w:rPr>
              <w:t>10L</w:t>
            </w:r>
          </w:p>
        </w:tc>
        <w:tc>
          <w:tcPr>
            <w:tcW w:w="567" w:type="dxa"/>
            <w:vAlign w:val="top"/>
          </w:tcPr>
          <w:p w14:paraId="4EFD2295">
            <w:pPr>
              <w:pStyle w:val="6"/>
              <w:spacing w:before="93" w:line="218" w:lineRule="auto"/>
              <w:ind w:left="65"/>
              <w:rPr>
                <w:sz w:val="18"/>
                <w:szCs w:val="18"/>
              </w:rPr>
            </w:pPr>
            <w:r>
              <w:rPr>
                <w:spacing w:val="-2"/>
                <w:sz w:val="18"/>
                <w:szCs w:val="18"/>
              </w:rPr>
              <w:t>0.01L</w:t>
            </w:r>
          </w:p>
        </w:tc>
        <w:tc>
          <w:tcPr>
            <w:tcW w:w="557" w:type="dxa"/>
            <w:vAlign w:val="top"/>
          </w:tcPr>
          <w:p w14:paraId="22223B49">
            <w:pPr>
              <w:pStyle w:val="6"/>
              <w:spacing w:before="93" w:line="218" w:lineRule="auto"/>
              <w:ind w:left="60"/>
              <w:rPr>
                <w:sz w:val="18"/>
                <w:szCs w:val="18"/>
              </w:rPr>
            </w:pPr>
            <w:r>
              <w:rPr>
                <w:spacing w:val="-2"/>
                <w:sz w:val="18"/>
                <w:szCs w:val="18"/>
              </w:rPr>
              <w:t>0.01L</w:t>
            </w:r>
          </w:p>
        </w:tc>
        <w:tc>
          <w:tcPr>
            <w:tcW w:w="715" w:type="dxa"/>
            <w:vAlign w:val="top"/>
          </w:tcPr>
          <w:p w14:paraId="54C9F015">
            <w:pPr>
              <w:pStyle w:val="6"/>
              <w:spacing w:before="93" w:line="218" w:lineRule="auto"/>
              <w:ind w:left="140"/>
              <w:rPr>
                <w:sz w:val="18"/>
                <w:szCs w:val="18"/>
              </w:rPr>
            </w:pPr>
            <w:r>
              <w:rPr>
                <w:spacing w:val="-2"/>
                <w:sz w:val="18"/>
                <w:szCs w:val="18"/>
              </w:rPr>
              <w:t>0.04L</w:t>
            </w:r>
          </w:p>
        </w:tc>
        <w:tc>
          <w:tcPr>
            <w:tcW w:w="567" w:type="dxa"/>
            <w:vAlign w:val="top"/>
          </w:tcPr>
          <w:p w14:paraId="31535454">
            <w:pPr>
              <w:pStyle w:val="6"/>
              <w:spacing w:before="93" w:line="218" w:lineRule="auto"/>
              <w:ind w:left="22"/>
              <w:rPr>
                <w:sz w:val="18"/>
                <w:szCs w:val="18"/>
              </w:rPr>
            </w:pPr>
            <w:r>
              <w:rPr>
                <w:spacing w:val="-2"/>
                <w:sz w:val="18"/>
                <w:szCs w:val="18"/>
              </w:rPr>
              <w:t>0.009L</w:t>
            </w:r>
          </w:p>
        </w:tc>
        <w:tc>
          <w:tcPr>
            <w:tcW w:w="708" w:type="dxa"/>
            <w:vAlign w:val="top"/>
          </w:tcPr>
          <w:p w14:paraId="11D96C5B">
            <w:pPr>
              <w:pStyle w:val="6"/>
              <w:spacing w:before="93" w:line="218" w:lineRule="auto"/>
              <w:ind w:left="48"/>
              <w:rPr>
                <w:sz w:val="18"/>
                <w:szCs w:val="18"/>
              </w:rPr>
            </w:pPr>
            <w:r>
              <w:rPr>
                <w:spacing w:val="-1"/>
                <w:sz w:val="18"/>
                <w:szCs w:val="18"/>
              </w:rPr>
              <w:t>0.0003L</w:t>
            </w:r>
          </w:p>
        </w:tc>
        <w:tc>
          <w:tcPr>
            <w:tcW w:w="851" w:type="dxa"/>
            <w:vAlign w:val="top"/>
          </w:tcPr>
          <w:p w14:paraId="6655297E">
            <w:pPr>
              <w:pStyle w:val="6"/>
              <w:spacing w:before="93" w:line="218" w:lineRule="auto"/>
              <w:ind w:left="211"/>
              <w:rPr>
                <w:sz w:val="18"/>
                <w:szCs w:val="18"/>
              </w:rPr>
            </w:pPr>
            <w:r>
              <w:rPr>
                <w:spacing w:val="-2"/>
                <w:sz w:val="18"/>
                <w:szCs w:val="18"/>
              </w:rPr>
              <w:t>0.05L</w:t>
            </w:r>
          </w:p>
        </w:tc>
        <w:tc>
          <w:tcPr>
            <w:tcW w:w="566" w:type="dxa"/>
            <w:vAlign w:val="top"/>
          </w:tcPr>
          <w:p w14:paraId="726F54FC">
            <w:pPr>
              <w:pStyle w:val="6"/>
              <w:spacing w:before="93" w:line="218" w:lineRule="auto"/>
              <w:ind w:left="125"/>
              <w:rPr>
                <w:sz w:val="18"/>
                <w:szCs w:val="18"/>
              </w:rPr>
            </w:pPr>
            <w:r>
              <w:rPr>
                <w:spacing w:val="-2"/>
                <w:sz w:val="18"/>
                <w:szCs w:val="18"/>
              </w:rPr>
              <w:t>0.02</w:t>
            </w:r>
          </w:p>
        </w:tc>
        <w:tc>
          <w:tcPr>
            <w:tcW w:w="672" w:type="dxa"/>
            <w:vAlign w:val="top"/>
          </w:tcPr>
          <w:p w14:paraId="5D4A01D5">
            <w:pPr>
              <w:pStyle w:val="6"/>
              <w:spacing w:before="93" w:line="218" w:lineRule="auto"/>
              <w:ind w:left="178"/>
              <w:rPr>
                <w:sz w:val="18"/>
                <w:szCs w:val="18"/>
              </w:rPr>
            </w:pPr>
            <w:r>
              <w:rPr>
                <w:spacing w:val="-2"/>
                <w:sz w:val="18"/>
                <w:szCs w:val="18"/>
              </w:rPr>
              <w:t>0.37</w:t>
            </w:r>
          </w:p>
        </w:tc>
        <w:tc>
          <w:tcPr>
            <w:tcW w:w="745" w:type="dxa"/>
            <w:vAlign w:val="top"/>
          </w:tcPr>
          <w:p w14:paraId="1C06F742">
            <w:pPr>
              <w:pStyle w:val="6"/>
              <w:spacing w:before="93" w:line="218" w:lineRule="auto"/>
              <w:ind w:left="116"/>
              <w:rPr>
                <w:sz w:val="18"/>
                <w:szCs w:val="18"/>
              </w:rPr>
            </w:pPr>
            <w:r>
              <w:rPr>
                <w:spacing w:val="-2"/>
                <w:sz w:val="18"/>
                <w:szCs w:val="18"/>
              </w:rPr>
              <w:t>0.003L</w:t>
            </w:r>
          </w:p>
        </w:tc>
        <w:tc>
          <w:tcPr>
            <w:tcW w:w="455" w:type="dxa"/>
            <w:vAlign w:val="top"/>
          </w:tcPr>
          <w:p w14:paraId="3E412895">
            <w:pPr>
              <w:pStyle w:val="6"/>
              <w:spacing w:before="93" w:line="218" w:lineRule="auto"/>
              <w:ind w:left="27"/>
              <w:rPr>
                <w:sz w:val="18"/>
                <w:szCs w:val="18"/>
              </w:rPr>
            </w:pPr>
            <w:r>
              <w:rPr>
                <w:spacing w:val="-2"/>
                <w:sz w:val="18"/>
                <w:szCs w:val="18"/>
              </w:rPr>
              <w:t>0.115</w:t>
            </w:r>
          </w:p>
        </w:tc>
        <w:tc>
          <w:tcPr>
            <w:tcW w:w="579" w:type="dxa"/>
            <w:vAlign w:val="top"/>
          </w:tcPr>
          <w:p w14:paraId="21BEEB3B">
            <w:pPr>
              <w:pStyle w:val="6"/>
              <w:spacing w:before="93" w:line="218" w:lineRule="auto"/>
              <w:ind w:left="136"/>
              <w:rPr>
                <w:sz w:val="18"/>
                <w:szCs w:val="18"/>
              </w:rPr>
            </w:pPr>
            <w:r>
              <w:rPr>
                <w:spacing w:val="-2"/>
                <w:sz w:val="18"/>
                <w:szCs w:val="18"/>
              </w:rPr>
              <w:t>0.06</w:t>
            </w:r>
          </w:p>
        </w:tc>
        <w:tc>
          <w:tcPr>
            <w:tcW w:w="623" w:type="dxa"/>
            <w:vAlign w:val="top"/>
          </w:tcPr>
          <w:p w14:paraId="2E1D1586">
            <w:pPr>
              <w:pStyle w:val="6"/>
              <w:spacing w:before="93" w:line="218" w:lineRule="auto"/>
              <w:ind w:left="58"/>
              <w:rPr>
                <w:sz w:val="18"/>
                <w:szCs w:val="18"/>
              </w:rPr>
            </w:pPr>
            <w:r>
              <w:rPr>
                <w:spacing w:val="-2"/>
                <w:sz w:val="18"/>
                <w:szCs w:val="18"/>
              </w:rPr>
              <w:t>0.004L</w:t>
            </w:r>
          </w:p>
        </w:tc>
        <w:tc>
          <w:tcPr>
            <w:tcW w:w="737" w:type="dxa"/>
            <w:vAlign w:val="top"/>
          </w:tcPr>
          <w:p w14:paraId="3F585DC6">
            <w:pPr>
              <w:pStyle w:val="6"/>
              <w:spacing w:before="93" w:line="218" w:lineRule="auto"/>
              <w:ind w:left="25"/>
              <w:rPr>
                <w:sz w:val="18"/>
                <w:szCs w:val="18"/>
              </w:rPr>
            </w:pPr>
            <w:r>
              <w:rPr>
                <w:spacing w:val="-1"/>
                <w:sz w:val="18"/>
                <w:szCs w:val="18"/>
              </w:rPr>
              <w:t>0.00004L</w:t>
            </w:r>
          </w:p>
        </w:tc>
        <w:tc>
          <w:tcPr>
            <w:tcW w:w="577" w:type="dxa"/>
            <w:vAlign w:val="top"/>
          </w:tcPr>
          <w:p w14:paraId="374C8971">
            <w:pPr>
              <w:pStyle w:val="6"/>
              <w:spacing w:before="93" w:line="218" w:lineRule="auto"/>
              <w:ind w:left="48"/>
              <w:rPr>
                <w:sz w:val="18"/>
                <w:szCs w:val="18"/>
              </w:rPr>
            </w:pPr>
            <w:r>
              <w:rPr>
                <w:spacing w:val="-2"/>
                <w:sz w:val="18"/>
                <w:szCs w:val="18"/>
              </w:rPr>
              <w:t>0.0017</w:t>
            </w:r>
          </w:p>
        </w:tc>
        <w:tc>
          <w:tcPr>
            <w:tcW w:w="708" w:type="dxa"/>
            <w:vAlign w:val="top"/>
          </w:tcPr>
          <w:p w14:paraId="59040791">
            <w:pPr>
              <w:pStyle w:val="6"/>
              <w:spacing w:before="93" w:line="218" w:lineRule="auto"/>
              <w:ind w:left="60"/>
              <w:rPr>
                <w:sz w:val="18"/>
                <w:szCs w:val="18"/>
              </w:rPr>
            </w:pPr>
            <w:r>
              <w:rPr>
                <w:spacing w:val="-1"/>
                <w:sz w:val="18"/>
                <w:szCs w:val="18"/>
              </w:rPr>
              <w:t>0.0004L</w:t>
            </w:r>
          </w:p>
        </w:tc>
        <w:tc>
          <w:tcPr>
            <w:tcW w:w="567" w:type="dxa"/>
            <w:vAlign w:val="top"/>
          </w:tcPr>
          <w:p w14:paraId="72DFEB5A">
            <w:pPr>
              <w:pStyle w:val="6"/>
              <w:spacing w:before="93" w:line="218" w:lineRule="auto"/>
              <w:ind w:left="35"/>
              <w:rPr>
                <w:sz w:val="18"/>
                <w:szCs w:val="18"/>
              </w:rPr>
            </w:pPr>
            <w:r>
              <w:rPr>
                <w:spacing w:val="-2"/>
                <w:sz w:val="18"/>
                <w:szCs w:val="18"/>
              </w:rPr>
              <w:t>0.001L</w:t>
            </w:r>
          </w:p>
        </w:tc>
        <w:tc>
          <w:tcPr>
            <w:tcW w:w="566" w:type="dxa"/>
            <w:vAlign w:val="top"/>
          </w:tcPr>
          <w:p w14:paraId="2F53832B">
            <w:pPr>
              <w:pStyle w:val="6"/>
              <w:spacing w:before="93" w:line="218" w:lineRule="auto"/>
              <w:ind w:left="34"/>
              <w:rPr>
                <w:sz w:val="18"/>
                <w:szCs w:val="18"/>
              </w:rPr>
            </w:pPr>
            <w:r>
              <w:rPr>
                <w:spacing w:val="-2"/>
                <w:sz w:val="18"/>
                <w:szCs w:val="18"/>
              </w:rPr>
              <w:t>0.004L</w:t>
            </w:r>
          </w:p>
        </w:tc>
        <w:tc>
          <w:tcPr>
            <w:tcW w:w="567" w:type="dxa"/>
            <w:vAlign w:val="top"/>
          </w:tcPr>
          <w:p w14:paraId="20F66AFB">
            <w:pPr>
              <w:pStyle w:val="6"/>
              <w:spacing w:before="93" w:line="218" w:lineRule="auto"/>
              <w:ind w:left="81"/>
              <w:rPr>
                <w:sz w:val="18"/>
                <w:szCs w:val="18"/>
              </w:rPr>
            </w:pPr>
            <w:r>
              <w:rPr>
                <w:spacing w:val="-2"/>
                <w:sz w:val="18"/>
                <w:szCs w:val="18"/>
              </w:rPr>
              <w:t>0.01L</w:t>
            </w:r>
          </w:p>
        </w:tc>
        <w:tc>
          <w:tcPr>
            <w:tcW w:w="708" w:type="dxa"/>
            <w:vAlign w:val="top"/>
          </w:tcPr>
          <w:p w14:paraId="106E208E">
            <w:pPr>
              <w:pStyle w:val="6"/>
              <w:spacing w:before="93" w:line="218" w:lineRule="auto"/>
              <w:ind w:left="106"/>
              <w:rPr>
                <w:sz w:val="18"/>
                <w:szCs w:val="18"/>
              </w:rPr>
            </w:pPr>
            <w:r>
              <w:rPr>
                <w:spacing w:val="-2"/>
                <w:sz w:val="18"/>
                <w:szCs w:val="18"/>
              </w:rPr>
              <w:t>0.009L</w:t>
            </w:r>
          </w:p>
        </w:tc>
        <w:tc>
          <w:tcPr>
            <w:tcW w:w="566" w:type="dxa"/>
            <w:vAlign w:val="top"/>
          </w:tcPr>
          <w:p w14:paraId="3A790E53">
            <w:pPr>
              <w:pStyle w:val="6"/>
              <w:spacing w:before="172" w:line="85" w:lineRule="exact"/>
              <w:ind w:left="236"/>
              <w:rPr>
                <w:sz w:val="18"/>
                <w:szCs w:val="18"/>
              </w:rPr>
            </w:pPr>
            <w:r>
              <w:rPr>
                <w:spacing w:val="-2"/>
                <w:position w:val="-5"/>
                <w:sz w:val="18"/>
                <w:szCs w:val="18"/>
              </w:rPr>
              <w:t>--</w:t>
            </w:r>
          </w:p>
        </w:tc>
        <w:tc>
          <w:tcPr>
            <w:tcW w:w="579" w:type="dxa"/>
            <w:vAlign w:val="top"/>
          </w:tcPr>
          <w:p w14:paraId="7FC94D42">
            <w:pPr>
              <w:pStyle w:val="6"/>
              <w:spacing w:before="93" w:line="218" w:lineRule="auto"/>
              <w:ind w:left="166"/>
              <w:rPr>
                <w:sz w:val="18"/>
                <w:szCs w:val="18"/>
              </w:rPr>
            </w:pPr>
            <w:r>
              <w:rPr>
                <w:spacing w:val="-2"/>
                <w:sz w:val="18"/>
                <w:szCs w:val="18"/>
              </w:rPr>
              <w:t>381</w:t>
            </w:r>
          </w:p>
        </w:tc>
        <w:tc>
          <w:tcPr>
            <w:tcW w:w="411" w:type="dxa"/>
            <w:vAlign w:val="top"/>
          </w:tcPr>
          <w:p w14:paraId="3015DDA7">
            <w:pPr>
              <w:pStyle w:val="6"/>
              <w:spacing w:before="93" w:line="218" w:lineRule="auto"/>
              <w:ind w:left="106"/>
              <w:rPr>
                <w:sz w:val="18"/>
                <w:szCs w:val="18"/>
              </w:rPr>
            </w:pPr>
            <w:r>
              <w:rPr>
                <w:spacing w:val="-3"/>
                <w:sz w:val="18"/>
                <w:szCs w:val="18"/>
              </w:rPr>
              <w:t>0.7</w:t>
            </w:r>
          </w:p>
        </w:tc>
        <w:tc>
          <w:tcPr>
            <w:tcW w:w="428" w:type="dxa"/>
            <w:vAlign w:val="top"/>
          </w:tcPr>
          <w:p w14:paraId="214081F1">
            <w:pPr>
              <w:pStyle w:val="6"/>
              <w:spacing w:before="93" w:line="218" w:lineRule="auto"/>
              <w:ind w:left="70"/>
              <w:rPr>
                <w:sz w:val="18"/>
                <w:szCs w:val="18"/>
              </w:rPr>
            </w:pPr>
            <w:r>
              <w:rPr>
                <w:spacing w:val="-2"/>
                <w:sz w:val="18"/>
                <w:szCs w:val="18"/>
              </w:rPr>
              <w:t>3.74</w:t>
            </w:r>
          </w:p>
        </w:tc>
        <w:tc>
          <w:tcPr>
            <w:tcW w:w="427" w:type="dxa"/>
            <w:vAlign w:val="top"/>
          </w:tcPr>
          <w:p w14:paraId="44427771">
            <w:pPr>
              <w:pStyle w:val="6"/>
              <w:spacing w:before="93" w:line="218" w:lineRule="auto"/>
              <w:ind w:left="71"/>
              <w:rPr>
                <w:sz w:val="18"/>
                <w:szCs w:val="18"/>
              </w:rPr>
            </w:pPr>
            <w:r>
              <w:rPr>
                <w:spacing w:val="-2"/>
                <w:sz w:val="18"/>
                <w:szCs w:val="18"/>
              </w:rPr>
              <w:t>32.2</w:t>
            </w:r>
          </w:p>
        </w:tc>
        <w:tc>
          <w:tcPr>
            <w:tcW w:w="341" w:type="dxa"/>
            <w:vAlign w:val="top"/>
          </w:tcPr>
          <w:p w14:paraId="11967668">
            <w:pPr>
              <w:pStyle w:val="6"/>
              <w:spacing w:before="93" w:line="218" w:lineRule="auto"/>
              <w:jc w:val="right"/>
              <w:rPr>
                <w:sz w:val="18"/>
                <w:szCs w:val="18"/>
              </w:rPr>
            </w:pPr>
            <w:r>
              <w:rPr>
                <w:spacing w:val="-4"/>
                <w:sz w:val="18"/>
                <w:szCs w:val="18"/>
              </w:rPr>
              <w:t>34.6</w:t>
            </w:r>
          </w:p>
        </w:tc>
        <w:tc>
          <w:tcPr>
            <w:tcW w:w="361" w:type="dxa"/>
            <w:tcBorders>
              <w:right w:val="single" w:color="000000" w:sz="12" w:space="0"/>
            </w:tcBorders>
            <w:vAlign w:val="top"/>
          </w:tcPr>
          <w:p w14:paraId="36B2A7B4">
            <w:pPr>
              <w:pStyle w:val="6"/>
              <w:spacing w:before="93" w:line="218" w:lineRule="auto"/>
              <w:ind w:right="3"/>
              <w:jc w:val="right"/>
              <w:rPr>
                <w:sz w:val="18"/>
                <w:szCs w:val="18"/>
              </w:rPr>
            </w:pPr>
            <w:r>
              <w:rPr>
                <w:spacing w:val="-2"/>
                <w:sz w:val="18"/>
                <w:szCs w:val="18"/>
              </w:rPr>
              <w:t>32.3</w:t>
            </w:r>
          </w:p>
        </w:tc>
      </w:tr>
      <w:tr w14:paraId="27E84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77EA371C">
            <w:pPr>
              <w:rPr>
                <w:rFonts w:ascii="Arial"/>
                <w:sz w:val="21"/>
              </w:rPr>
            </w:pPr>
          </w:p>
        </w:tc>
        <w:tc>
          <w:tcPr>
            <w:tcW w:w="284" w:type="dxa"/>
            <w:vMerge w:val="continue"/>
            <w:tcBorders>
              <w:top w:val="nil"/>
              <w:bottom w:val="nil"/>
            </w:tcBorders>
            <w:vAlign w:val="top"/>
          </w:tcPr>
          <w:p w14:paraId="2BF0E772">
            <w:pPr>
              <w:rPr>
                <w:rFonts w:ascii="Arial"/>
                <w:sz w:val="21"/>
              </w:rPr>
            </w:pPr>
          </w:p>
        </w:tc>
        <w:tc>
          <w:tcPr>
            <w:tcW w:w="1249" w:type="dxa"/>
            <w:vAlign w:val="top"/>
          </w:tcPr>
          <w:p w14:paraId="0636F8F7">
            <w:pPr>
              <w:pStyle w:val="6"/>
              <w:spacing w:before="94" w:line="215" w:lineRule="auto"/>
              <w:ind w:left="244"/>
              <w:rPr>
                <w:sz w:val="18"/>
                <w:szCs w:val="18"/>
              </w:rPr>
            </w:pPr>
            <w:r>
              <w:rPr>
                <w:spacing w:val="-1"/>
                <w:sz w:val="18"/>
                <w:szCs w:val="18"/>
              </w:rPr>
              <w:t>2021/7/20</w:t>
            </w:r>
          </w:p>
        </w:tc>
        <w:tc>
          <w:tcPr>
            <w:tcW w:w="733" w:type="dxa"/>
            <w:vAlign w:val="top"/>
          </w:tcPr>
          <w:p w14:paraId="40E50B53">
            <w:pPr>
              <w:pStyle w:val="6"/>
              <w:spacing w:before="94" w:line="215" w:lineRule="auto"/>
              <w:ind w:left="244"/>
              <w:rPr>
                <w:sz w:val="18"/>
                <w:szCs w:val="18"/>
              </w:rPr>
            </w:pPr>
            <w:r>
              <w:rPr>
                <w:spacing w:val="-3"/>
                <w:sz w:val="18"/>
                <w:szCs w:val="18"/>
              </w:rPr>
              <w:t>7.2</w:t>
            </w:r>
          </w:p>
        </w:tc>
        <w:tc>
          <w:tcPr>
            <w:tcW w:w="565" w:type="dxa"/>
            <w:vAlign w:val="top"/>
          </w:tcPr>
          <w:p w14:paraId="2A22270D">
            <w:pPr>
              <w:pStyle w:val="6"/>
              <w:spacing w:before="94" w:line="215" w:lineRule="auto"/>
              <w:ind w:left="134"/>
              <w:rPr>
                <w:sz w:val="18"/>
                <w:szCs w:val="18"/>
              </w:rPr>
            </w:pPr>
            <w:r>
              <w:rPr>
                <w:spacing w:val="-1"/>
                <w:sz w:val="18"/>
                <w:szCs w:val="18"/>
              </w:rPr>
              <w:t>235</w:t>
            </w:r>
          </w:p>
        </w:tc>
        <w:tc>
          <w:tcPr>
            <w:tcW w:w="708" w:type="dxa"/>
            <w:vAlign w:val="top"/>
          </w:tcPr>
          <w:p w14:paraId="4FB7D2DF">
            <w:pPr>
              <w:pStyle w:val="6"/>
              <w:spacing w:before="94" w:line="215" w:lineRule="auto"/>
              <w:ind w:left="211"/>
              <w:rPr>
                <w:sz w:val="18"/>
                <w:szCs w:val="18"/>
              </w:rPr>
            </w:pPr>
            <w:r>
              <w:rPr>
                <w:spacing w:val="-2"/>
                <w:sz w:val="18"/>
                <w:szCs w:val="18"/>
              </w:rPr>
              <w:t>381</w:t>
            </w:r>
          </w:p>
        </w:tc>
        <w:tc>
          <w:tcPr>
            <w:tcW w:w="567" w:type="dxa"/>
            <w:vAlign w:val="top"/>
          </w:tcPr>
          <w:p w14:paraId="62F03AB5">
            <w:pPr>
              <w:pStyle w:val="6"/>
              <w:spacing w:before="94" w:line="215" w:lineRule="auto"/>
              <w:ind w:left="155"/>
              <w:rPr>
                <w:sz w:val="18"/>
                <w:szCs w:val="18"/>
              </w:rPr>
            </w:pPr>
            <w:r>
              <w:rPr>
                <w:spacing w:val="-5"/>
                <w:sz w:val="18"/>
                <w:szCs w:val="18"/>
              </w:rPr>
              <w:t>100</w:t>
            </w:r>
          </w:p>
        </w:tc>
        <w:tc>
          <w:tcPr>
            <w:tcW w:w="566" w:type="dxa"/>
            <w:vAlign w:val="top"/>
          </w:tcPr>
          <w:p w14:paraId="29EE1CBA">
            <w:pPr>
              <w:pStyle w:val="6"/>
              <w:spacing w:before="97" w:line="186" w:lineRule="auto"/>
              <w:ind w:left="145"/>
              <w:rPr>
                <w:sz w:val="18"/>
                <w:szCs w:val="18"/>
              </w:rPr>
            </w:pPr>
            <w:r>
              <w:rPr>
                <w:spacing w:val="-5"/>
                <w:sz w:val="18"/>
                <w:szCs w:val="18"/>
              </w:rPr>
              <w:t>10L</w:t>
            </w:r>
          </w:p>
        </w:tc>
        <w:tc>
          <w:tcPr>
            <w:tcW w:w="567" w:type="dxa"/>
            <w:vAlign w:val="top"/>
          </w:tcPr>
          <w:p w14:paraId="4B8EB098">
            <w:pPr>
              <w:pStyle w:val="6"/>
              <w:spacing w:before="94" w:line="215" w:lineRule="auto"/>
              <w:ind w:left="65"/>
              <w:rPr>
                <w:sz w:val="18"/>
                <w:szCs w:val="18"/>
              </w:rPr>
            </w:pPr>
            <w:r>
              <w:rPr>
                <w:spacing w:val="-2"/>
                <w:sz w:val="18"/>
                <w:szCs w:val="18"/>
              </w:rPr>
              <w:t>0.01L</w:t>
            </w:r>
          </w:p>
        </w:tc>
        <w:tc>
          <w:tcPr>
            <w:tcW w:w="557" w:type="dxa"/>
            <w:vAlign w:val="top"/>
          </w:tcPr>
          <w:p w14:paraId="2BA9679A">
            <w:pPr>
              <w:pStyle w:val="6"/>
              <w:spacing w:before="94" w:line="215" w:lineRule="auto"/>
              <w:ind w:left="60"/>
              <w:rPr>
                <w:sz w:val="18"/>
                <w:szCs w:val="18"/>
              </w:rPr>
            </w:pPr>
            <w:r>
              <w:rPr>
                <w:spacing w:val="-2"/>
                <w:sz w:val="18"/>
                <w:szCs w:val="18"/>
              </w:rPr>
              <w:t>0.01L</w:t>
            </w:r>
          </w:p>
        </w:tc>
        <w:tc>
          <w:tcPr>
            <w:tcW w:w="715" w:type="dxa"/>
            <w:vAlign w:val="top"/>
          </w:tcPr>
          <w:p w14:paraId="0BDCF386">
            <w:pPr>
              <w:pStyle w:val="6"/>
              <w:spacing w:before="94" w:line="215" w:lineRule="auto"/>
              <w:ind w:left="140"/>
              <w:rPr>
                <w:sz w:val="18"/>
                <w:szCs w:val="18"/>
              </w:rPr>
            </w:pPr>
            <w:r>
              <w:rPr>
                <w:spacing w:val="-2"/>
                <w:sz w:val="18"/>
                <w:szCs w:val="18"/>
              </w:rPr>
              <w:t>0.04L</w:t>
            </w:r>
          </w:p>
        </w:tc>
        <w:tc>
          <w:tcPr>
            <w:tcW w:w="567" w:type="dxa"/>
            <w:vAlign w:val="top"/>
          </w:tcPr>
          <w:p w14:paraId="57488D17">
            <w:pPr>
              <w:pStyle w:val="6"/>
              <w:spacing w:before="94" w:line="215" w:lineRule="auto"/>
              <w:ind w:left="22"/>
              <w:rPr>
                <w:sz w:val="18"/>
                <w:szCs w:val="18"/>
              </w:rPr>
            </w:pPr>
            <w:r>
              <w:rPr>
                <w:spacing w:val="-2"/>
                <w:sz w:val="18"/>
                <w:szCs w:val="18"/>
              </w:rPr>
              <w:t>0.009L</w:t>
            </w:r>
          </w:p>
        </w:tc>
        <w:tc>
          <w:tcPr>
            <w:tcW w:w="708" w:type="dxa"/>
            <w:vAlign w:val="top"/>
          </w:tcPr>
          <w:p w14:paraId="6C902A21">
            <w:pPr>
              <w:pStyle w:val="6"/>
              <w:spacing w:before="94" w:line="215" w:lineRule="auto"/>
              <w:ind w:left="48"/>
              <w:rPr>
                <w:sz w:val="18"/>
                <w:szCs w:val="18"/>
              </w:rPr>
            </w:pPr>
            <w:r>
              <w:rPr>
                <w:spacing w:val="-1"/>
                <w:sz w:val="18"/>
                <w:szCs w:val="18"/>
              </w:rPr>
              <w:t>0.0003L</w:t>
            </w:r>
          </w:p>
        </w:tc>
        <w:tc>
          <w:tcPr>
            <w:tcW w:w="851" w:type="dxa"/>
            <w:vAlign w:val="top"/>
          </w:tcPr>
          <w:p w14:paraId="027F8491">
            <w:pPr>
              <w:pStyle w:val="6"/>
              <w:spacing w:before="94" w:line="215" w:lineRule="auto"/>
              <w:ind w:left="211"/>
              <w:rPr>
                <w:sz w:val="18"/>
                <w:szCs w:val="18"/>
              </w:rPr>
            </w:pPr>
            <w:r>
              <w:rPr>
                <w:spacing w:val="-2"/>
                <w:sz w:val="18"/>
                <w:szCs w:val="18"/>
              </w:rPr>
              <w:t>0.05L</w:t>
            </w:r>
          </w:p>
        </w:tc>
        <w:tc>
          <w:tcPr>
            <w:tcW w:w="566" w:type="dxa"/>
            <w:vAlign w:val="top"/>
          </w:tcPr>
          <w:p w14:paraId="3EC8FF0B">
            <w:pPr>
              <w:pStyle w:val="6"/>
              <w:spacing w:before="94" w:line="215" w:lineRule="auto"/>
              <w:ind w:left="125"/>
              <w:rPr>
                <w:sz w:val="18"/>
                <w:szCs w:val="18"/>
              </w:rPr>
            </w:pPr>
            <w:r>
              <w:rPr>
                <w:spacing w:val="-2"/>
                <w:sz w:val="18"/>
                <w:szCs w:val="18"/>
              </w:rPr>
              <w:t>0.01</w:t>
            </w:r>
          </w:p>
        </w:tc>
        <w:tc>
          <w:tcPr>
            <w:tcW w:w="672" w:type="dxa"/>
            <w:vAlign w:val="top"/>
          </w:tcPr>
          <w:p w14:paraId="298223F2">
            <w:pPr>
              <w:pStyle w:val="6"/>
              <w:spacing w:before="94" w:line="215" w:lineRule="auto"/>
              <w:ind w:left="178"/>
              <w:rPr>
                <w:sz w:val="18"/>
                <w:szCs w:val="18"/>
              </w:rPr>
            </w:pPr>
            <w:r>
              <w:rPr>
                <w:spacing w:val="-2"/>
                <w:sz w:val="18"/>
                <w:szCs w:val="18"/>
              </w:rPr>
              <w:t>0.35</w:t>
            </w:r>
          </w:p>
        </w:tc>
        <w:tc>
          <w:tcPr>
            <w:tcW w:w="745" w:type="dxa"/>
            <w:vAlign w:val="top"/>
          </w:tcPr>
          <w:p w14:paraId="12DF6829">
            <w:pPr>
              <w:pStyle w:val="6"/>
              <w:spacing w:before="94" w:line="215" w:lineRule="auto"/>
              <w:ind w:left="116"/>
              <w:rPr>
                <w:sz w:val="18"/>
                <w:szCs w:val="18"/>
              </w:rPr>
            </w:pPr>
            <w:r>
              <w:rPr>
                <w:spacing w:val="-2"/>
                <w:sz w:val="18"/>
                <w:szCs w:val="18"/>
              </w:rPr>
              <w:t>0.003L</w:t>
            </w:r>
          </w:p>
        </w:tc>
        <w:tc>
          <w:tcPr>
            <w:tcW w:w="455" w:type="dxa"/>
            <w:vAlign w:val="top"/>
          </w:tcPr>
          <w:p w14:paraId="28BDDD66">
            <w:pPr>
              <w:pStyle w:val="6"/>
              <w:spacing w:before="94" w:line="215" w:lineRule="auto"/>
              <w:ind w:left="27"/>
              <w:rPr>
                <w:sz w:val="18"/>
                <w:szCs w:val="18"/>
              </w:rPr>
            </w:pPr>
            <w:r>
              <w:rPr>
                <w:spacing w:val="-2"/>
                <w:sz w:val="18"/>
                <w:szCs w:val="18"/>
              </w:rPr>
              <w:t>0.107</w:t>
            </w:r>
          </w:p>
        </w:tc>
        <w:tc>
          <w:tcPr>
            <w:tcW w:w="579" w:type="dxa"/>
            <w:vAlign w:val="top"/>
          </w:tcPr>
          <w:p w14:paraId="1C9BDA1D">
            <w:pPr>
              <w:pStyle w:val="6"/>
              <w:spacing w:before="94" w:line="215" w:lineRule="auto"/>
              <w:ind w:left="136"/>
              <w:rPr>
                <w:sz w:val="18"/>
                <w:szCs w:val="18"/>
              </w:rPr>
            </w:pPr>
            <w:r>
              <w:rPr>
                <w:spacing w:val="-2"/>
                <w:sz w:val="18"/>
                <w:szCs w:val="18"/>
              </w:rPr>
              <w:t>0.05</w:t>
            </w:r>
          </w:p>
        </w:tc>
        <w:tc>
          <w:tcPr>
            <w:tcW w:w="623" w:type="dxa"/>
            <w:vAlign w:val="top"/>
          </w:tcPr>
          <w:p w14:paraId="0BEF3058">
            <w:pPr>
              <w:pStyle w:val="6"/>
              <w:spacing w:before="94" w:line="215" w:lineRule="auto"/>
              <w:ind w:left="58"/>
              <w:rPr>
                <w:sz w:val="18"/>
                <w:szCs w:val="18"/>
              </w:rPr>
            </w:pPr>
            <w:r>
              <w:rPr>
                <w:spacing w:val="-2"/>
                <w:sz w:val="18"/>
                <w:szCs w:val="18"/>
              </w:rPr>
              <w:t>0.004L</w:t>
            </w:r>
          </w:p>
        </w:tc>
        <w:tc>
          <w:tcPr>
            <w:tcW w:w="737" w:type="dxa"/>
            <w:vAlign w:val="top"/>
          </w:tcPr>
          <w:p w14:paraId="59695CBF">
            <w:pPr>
              <w:pStyle w:val="6"/>
              <w:spacing w:before="94" w:line="215" w:lineRule="auto"/>
              <w:ind w:left="25"/>
              <w:rPr>
                <w:sz w:val="18"/>
                <w:szCs w:val="18"/>
              </w:rPr>
            </w:pPr>
            <w:r>
              <w:rPr>
                <w:spacing w:val="-1"/>
                <w:sz w:val="18"/>
                <w:szCs w:val="18"/>
              </w:rPr>
              <w:t>0.00004L</w:t>
            </w:r>
          </w:p>
        </w:tc>
        <w:tc>
          <w:tcPr>
            <w:tcW w:w="577" w:type="dxa"/>
            <w:vAlign w:val="top"/>
          </w:tcPr>
          <w:p w14:paraId="687A7ED2">
            <w:pPr>
              <w:pStyle w:val="6"/>
              <w:spacing w:before="94" w:line="215" w:lineRule="auto"/>
              <w:ind w:left="48"/>
              <w:rPr>
                <w:sz w:val="18"/>
                <w:szCs w:val="18"/>
              </w:rPr>
            </w:pPr>
            <w:r>
              <w:rPr>
                <w:spacing w:val="-2"/>
                <w:sz w:val="18"/>
                <w:szCs w:val="18"/>
              </w:rPr>
              <w:t>0.0017</w:t>
            </w:r>
          </w:p>
        </w:tc>
        <w:tc>
          <w:tcPr>
            <w:tcW w:w="708" w:type="dxa"/>
            <w:vAlign w:val="top"/>
          </w:tcPr>
          <w:p w14:paraId="6E5762D8">
            <w:pPr>
              <w:pStyle w:val="6"/>
              <w:spacing w:before="94" w:line="215" w:lineRule="auto"/>
              <w:ind w:left="60"/>
              <w:rPr>
                <w:sz w:val="18"/>
                <w:szCs w:val="18"/>
              </w:rPr>
            </w:pPr>
            <w:r>
              <w:rPr>
                <w:spacing w:val="-1"/>
                <w:sz w:val="18"/>
                <w:szCs w:val="18"/>
              </w:rPr>
              <w:t>0.0004L</w:t>
            </w:r>
          </w:p>
        </w:tc>
        <w:tc>
          <w:tcPr>
            <w:tcW w:w="567" w:type="dxa"/>
            <w:vAlign w:val="top"/>
          </w:tcPr>
          <w:p w14:paraId="2ED9D76D">
            <w:pPr>
              <w:pStyle w:val="6"/>
              <w:spacing w:before="94" w:line="215" w:lineRule="auto"/>
              <w:ind w:left="35"/>
              <w:rPr>
                <w:sz w:val="18"/>
                <w:szCs w:val="18"/>
              </w:rPr>
            </w:pPr>
            <w:r>
              <w:rPr>
                <w:spacing w:val="-2"/>
                <w:sz w:val="18"/>
                <w:szCs w:val="18"/>
              </w:rPr>
              <w:t>0.001L</w:t>
            </w:r>
          </w:p>
        </w:tc>
        <w:tc>
          <w:tcPr>
            <w:tcW w:w="566" w:type="dxa"/>
            <w:vAlign w:val="top"/>
          </w:tcPr>
          <w:p w14:paraId="6DF4BB2C">
            <w:pPr>
              <w:pStyle w:val="6"/>
              <w:spacing w:before="94" w:line="215" w:lineRule="auto"/>
              <w:ind w:left="34"/>
              <w:rPr>
                <w:sz w:val="18"/>
                <w:szCs w:val="18"/>
              </w:rPr>
            </w:pPr>
            <w:r>
              <w:rPr>
                <w:spacing w:val="-2"/>
                <w:sz w:val="18"/>
                <w:szCs w:val="18"/>
              </w:rPr>
              <w:t>0.004L</w:t>
            </w:r>
          </w:p>
        </w:tc>
        <w:tc>
          <w:tcPr>
            <w:tcW w:w="567" w:type="dxa"/>
            <w:vAlign w:val="top"/>
          </w:tcPr>
          <w:p w14:paraId="744FBE44">
            <w:pPr>
              <w:pStyle w:val="6"/>
              <w:spacing w:before="94" w:line="215" w:lineRule="auto"/>
              <w:ind w:left="81"/>
              <w:rPr>
                <w:sz w:val="18"/>
                <w:szCs w:val="18"/>
              </w:rPr>
            </w:pPr>
            <w:r>
              <w:rPr>
                <w:spacing w:val="-2"/>
                <w:sz w:val="18"/>
                <w:szCs w:val="18"/>
              </w:rPr>
              <w:t>0.01L</w:t>
            </w:r>
          </w:p>
        </w:tc>
        <w:tc>
          <w:tcPr>
            <w:tcW w:w="708" w:type="dxa"/>
            <w:vAlign w:val="top"/>
          </w:tcPr>
          <w:p w14:paraId="04A64DBF">
            <w:pPr>
              <w:pStyle w:val="6"/>
              <w:spacing w:before="94" w:line="215" w:lineRule="auto"/>
              <w:ind w:left="106"/>
              <w:rPr>
                <w:sz w:val="18"/>
                <w:szCs w:val="18"/>
              </w:rPr>
            </w:pPr>
            <w:r>
              <w:rPr>
                <w:spacing w:val="-2"/>
                <w:sz w:val="18"/>
                <w:szCs w:val="18"/>
              </w:rPr>
              <w:t>0.009L</w:t>
            </w:r>
          </w:p>
        </w:tc>
        <w:tc>
          <w:tcPr>
            <w:tcW w:w="566" w:type="dxa"/>
            <w:vAlign w:val="top"/>
          </w:tcPr>
          <w:p w14:paraId="5D2B9F64">
            <w:pPr>
              <w:pStyle w:val="6"/>
              <w:spacing w:before="172" w:line="86" w:lineRule="exact"/>
              <w:ind w:left="236"/>
              <w:rPr>
                <w:sz w:val="18"/>
                <w:szCs w:val="18"/>
              </w:rPr>
            </w:pPr>
            <w:r>
              <w:rPr>
                <w:spacing w:val="-2"/>
                <w:position w:val="-5"/>
                <w:sz w:val="18"/>
                <w:szCs w:val="18"/>
              </w:rPr>
              <w:t>--</w:t>
            </w:r>
          </w:p>
        </w:tc>
        <w:tc>
          <w:tcPr>
            <w:tcW w:w="579" w:type="dxa"/>
            <w:vAlign w:val="top"/>
          </w:tcPr>
          <w:p w14:paraId="20F45555">
            <w:pPr>
              <w:pStyle w:val="6"/>
              <w:spacing w:before="94" w:line="215" w:lineRule="auto"/>
              <w:ind w:left="166"/>
              <w:rPr>
                <w:sz w:val="18"/>
                <w:szCs w:val="18"/>
              </w:rPr>
            </w:pPr>
            <w:r>
              <w:rPr>
                <w:spacing w:val="-2"/>
                <w:sz w:val="18"/>
                <w:szCs w:val="18"/>
              </w:rPr>
              <w:t>377</w:t>
            </w:r>
          </w:p>
        </w:tc>
        <w:tc>
          <w:tcPr>
            <w:tcW w:w="411" w:type="dxa"/>
            <w:vAlign w:val="top"/>
          </w:tcPr>
          <w:p w14:paraId="411415CC">
            <w:pPr>
              <w:pStyle w:val="6"/>
              <w:spacing w:before="94" w:line="215" w:lineRule="auto"/>
              <w:ind w:left="106"/>
              <w:rPr>
                <w:sz w:val="18"/>
                <w:szCs w:val="18"/>
              </w:rPr>
            </w:pPr>
            <w:r>
              <w:rPr>
                <w:spacing w:val="-3"/>
                <w:sz w:val="18"/>
                <w:szCs w:val="18"/>
              </w:rPr>
              <w:t>0.6</w:t>
            </w:r>
          </w:p>
        </w:tc>
        <w:tc>
          <w:tcPr>
            <w:tcW w:w="428" w:type="dxa"/>
            <w:vAlign w:val="top"/>
          </w:tcPr>
          <w:p w14:paraId="406E0FEE">
            <w:pPr>
              <w:pStyle w:val="6"/>
              <w:spacing w:before="94" w:line="215" w:lineRule="auto"/>
              <w:ind w:left="70"/>
              <w:rPr>
                <w:sz w:val="18"/>
                <w:szCs w:val="18"/>
              </w:rPr>
            </w:pPr>
            <w:r>
              <w:rPr>
                <w:spacing w:val="-2"/>
                <w:sz w:val="18"/>
                <w:szCs w:val="18"/>
              </w:rPr>
              <w:t>3.90</w:t>
            </w:r>
          </w:p>
        </w:tc>
        <w:tc>
          <w:tcPr>
            <w:tcW w:w="427" w:type="dxa"/>
            <w:vAlign w:val="top"/>
          </w:tcPr>
          <w:p w14:paraId="02EA3731">
            <w:pPr>
              <w:pStyle w:val="6"/>
              <w:spacing w:before="94" w:line="215" w:lineRule="auto"/>
              <w:ind w:left="71"/>
              <w:rPr>
                <w:sz w:val="18"/>
                <w:szCs w:val="18"/>
              </w:rPr>
            </w:pPr>
            <w:r>
              <w:rPr>
                <w:spacing w:val="-2"/>
                <w:sz w:val="18"/>
                <w:szCs w:val="18"/>
              </w:rPr>
              <w:t>33.6</w:t>
            </w:r>
          </w:p>
        </w:tc>
        <w:tc>
          <w:tcPr>
            <w:tcW w:w="341" w:type="dxa"/>
            <w:vAlign w:val="top"/>
          </w:tcPr>
          <w:p w14:paraId="7B949EA1">
            <w:pPr>
              <w:pStyle w:val="6"/>
              <w:spacing w:before="94" w:line="215" w:lineRule="auto"/>
              <w:jc w:val="right"/>
              <w:rPr>
                <w:sz w:val="18"/>
                <w:szCs w:val="18"/>
              </w:rPr>
            </w:pPr>
            <w:r>
              <w:rPr>
                <w:spacing w:val="-4"/>
                <w:sz w:val="18"/>
                <w:szCs w:val="18"/>
              </w:rPr>
              <w:t>33.5</w:t>
            </w:r>
          </w:p>
        </w:tc>
        <w:tc>
          <w:tcPr>
            <w:tcW w:w="361" w:type="dxa"/>
            <w:tcBorders>
              <w:right w:val="single" w:color="000000" w:sz="12" w:space="0"/>
            </w:tcBorders>
            <w:vAlign w:val="top"/>
          </w:tcPr>
          <w:p w14:paraId="68C0DF1A">
            <w:pPr>
              <w:pStyle w:val="6"/>
              <w:spacing w:before="94" w:line="215" w:lineRule="auto"/>
              <w:ind w:right="3"/>
              <w:jc w:val="right"/>
              <w:rPr>
                <w:sz w:val="18"/>
                <w:szCs w:val="18"/>
              </w:rPr>
            </w:pPr>
            <w:r>
              <w:rPr>
                <w:spacing w:val="-2"/>
                <w:sz w:val="18"/>
                <w:szCs w:val="18"/>
              </w:rPr>
              <w:t>32.4</w:t>
            </w:r>
          </w:p>
        </w:tc>
      </w:tr>
      <w:tr w14:paraId="18405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48CBF6EB">
            <w:pPr>
              <w:rPr>
                <w:rFonts w:ascii="Arial"/>
                <w:sz w:val="21"/>
              </w:rPr>
            </w:pPr>
          </w:p>
        </w:tc>
        <w:tc>
          <w:tcPr>
            <w:tcW w:w="284" w:type="dxa"/>
            <w:vMerge w:val="continue"/>
            <w:tcBorders>
              <w:top w:val="nil"/>
            </w:tcBorders>
            <w:vAlign w:val="top"/>
          </w:tcPr>
          <w:p w14:paraId="70F1E884">
            <w:pPr>
              <w:rPr>
                <w:rFonts w:ascii="Arial"/>
                <w:sz w:val="21"/>
              </w:rPr>
            </w:pPr>
          </w:p>
        </w:tc>
        <w:tc>
          <w:tcPr>
            <w:tcW w:w="1249" w:type="dxa"/>
            <w:vAlign w:val="top"/>
          </w:tcPr>
          <w:p w14:paraId="20D9260C">
            <w:pPr>
              <w:pStyle w:val="6"/>
              <w:spacing w:before="95" w:line="216" w:lineRule="auto"/>
              <w:ind w:left="244"/>
              <w:rPr>
                <w:sz w:val="18"/>
                <w:szCs w:val="18"/>
              </w:rPr>
            </w:pPr>
            <w:r>
              <w:rPr>
                <w:spacing w:val="-1"/>
                <w:sz w:val="18"/>
                <w:szCs w:val="18"/>
              </w:rPr>
              <w:t>2021/7/21</w:t>
            </w:r>
          </w:p>
        </w:tc>
        <w:tc>
          <w:tcPr>
            <w:tcW w:w="733" w:type="dxa"/>
            <w:vAlign w:val="top"/>
          </w:tcPr>
          <w:p w14:paraId="42967337">
            <w:pPr>
              <w:pStyle w:val="6"/>
              <w:spacing w:before="95" w:line="216" w:lineRule="auto"/>
              <w:ind w:left="244"/>
              <w:rPr>
                <w:sz w:val="18"/>
                <w:szCs w:val="18"/>
              </w:rPr>
            </w:pPr>
            <w:r>
              <w:rPr>
                <w:spacing w:val="-3"/>
                <w:sz w:val="18"/>
                <w:szCs w:val="18"/>
              </w:rPr>
              <w:t>7.3</w:t>
            </w:r>
          </w:p>
        </w:tc>
        <w:tc>
          <w:tcPr>
            <w:tcW w:w="565" w:type="dxa"/>
            <w:vAlign w:val="top"/>
          </w:tcPr>
          <w:p w14:paraId="13CE9DAE">
            <w:pPr>
              <w:pStyle w:val="6"/>
              <w:spacing w:before="95" w:line="216" w:lineRule="auto"/>
              <w:ind w:left="134"/>
              <w:rPr>
                <w:sz w:val="18"/>
                <w:szCs w:val="18"/>
              </w:rPr>
            </w:pPr>
            <w:r>
              <w:rPr>
                <w:spacing w:val="-1"/>
                <w:sz w:val="18"/>
                <w:szCs w:val="18"/>
              </w:rPr>
              <w:t>248</w:t>
            </w:r>
          </w:p>
        </w:tc>
        <w:tc>
          <w:tcPr>
            <w:tcW w:w="708" w:type="dxa"/>
            <w:vAlign w:val="top"/>
          </w:tcPr>
          <w:p w14:paraId="1E92EBBD">
            <w:pPr>
              <w:pStyle w:val="6"/>
              <w:spacing w:before="95" w:line="216" w:lineRule="auto"/>
              <w:ind w:left="211"/>
              <w:rPr>
                <w:sz w:val="18"/>
                <w:szCs w:val="18"/>
              </w:rPr>
            </w:pPr>
            <w:r>
              <w:rPr>
                <w:spacing w:val="-2"/>
                <w:sz w:val="18"/>
                <w:szCs w:val="18"/>
              </w:rPr>
              <w:t>369</w:t>
            </w:r>
          </w:p>
        </w:tc>
        <w:tc>
          <w:tcPr>
            <w:tcW w:w="567" w:type="dxa"/>
            <w:vAlign w:val="top"/>
          </w:tcPr>
          <w:p w14:paraId="312497E1">
            <w:pPr>
              <w:pStyle w:val="6"/>
              <w:spacing w:before="95" w:line="216" w:lineRule="auto"/>
              <w:ind w:left="155"/>
              <w:rPr>
                <w:sz w:val="18"/>
                <w:szCs w:val="18"/>
              </w:rPr>
            </w:pPr>
            <w:r>
              <w:rPr>
                <w:spacing w:val="-5"/>
                <w:sz w:val="18"/>
                <w:szCs w:val="18"/>
              </w:rPr>
              <w:t>104</w:t>
            </w:r>
          </w:p>
        </w:tc>
        <w:tc>
          <w:tcPr>
            <w:tcW w:w="566" w:type="dxa"/>
            <w:vAlign w:val="top"/>
          </w:tcPr>
          <w:p w14:paraId="40AE339B">
            <w:pPr>
              <w:pStyle w:val="6"/>
              <w:spacing w:before="98" w:line="186" w:lineRule="auto"/>
              <w:ind w:left="145"/>
              <w:rPr>
                <w:sz w:val="18"/>
                <w:szCs w:val="18"/>
              </w:rPr>
            </w:pPr>
            <w:r>
              <w:rPr>
                <w:spacing w:val="-5"/>
                <w:sz w:val="18"/>
                <w:szCs w:val="18"/>
              </w:rPr>
              <w:t>10L</w:t>
            </w:r>
          </w:p>
        </w:tc>
        <w:tc>
          <w:tcPr>
            <w:tcW w:w="567" w:type="dxa"/>
            <w:vAlign w:val="top"/>
          </w:tcPr>
          <w:p w14:paraId="4DB9ED62">
            <w:pPr>
              <w:pStyle w:val="6"/>
              <w:spacing w:before="95" w:line="216" w:lineRule="auto"/>
              <w:ind w:left="65"/>
              <w:rPr>
                <w:sz w:val="18"/>
                <w:szCs w:val="18"/>
              </w:rPr>
            </w:pPr>
            <w:r>
              <w:rPr>
                <w:spacing w:val="-2"/>
                <w:sz w:val="18"/>
                <w:szCs w:val="18"/>
              </w:rPr>
              <w:t>0.01L</w:t>
            </w:r>
          </w:p>
        </w:tc>
        <w:tc>
          <w:tcPr>
            <w:tcW w:w="557" w:type="dxa"/>
            <w:vAlign w:val="top"/>
          </w:tcPr>
          <w:p w14:paraId="152AE4C1">
            <w:pPr>
              <w:pStyle w:val="6"/>
              <w:spacing w:before="95" w:line="216" w:lineRule="auto"/>
              <w:ind w:left="60"/>
              <w:rPr>
                <w:sz w:val="18"/>
                <w:szCs w:val="18"/>
              </w:rPr>
            </w:pPr>
            <w:r>
              <w:rPr>
                <w:spacing w:val="-2"/>
                <w:sz w:val="18"/>
                <w:szCs w:val="18"/>
              </w:rPr>
              <w:t>0.01L</w:t>
            </w:r>
          </w:p>
        </w:tc>
        <w:tc>
          <w:tcPr>
            <w:tcW w:w="715" w:type="dxa"/>
            <w:vAlign w:val="top"/>
          </w:tcPr>
          <w:p w14:paraId="7095EEDF">
            <w:pPr>
              <w:pStyle w:val="6"/>
              <w:spacing w:before="95" w:line="216" w:lineRule="auto"/>
              <w:ind w:left="140"/>
              <w:rPr>
                <w:sz w:val="18"/>
                <w:szCs w:val="18"/>
              </w:rPr>
            </w:pPr>
            <w:r>
              <w:rPr>
                <w:spacing w:val="-2"/>
                <w:sz w:val="18"/>
                <w:szCs w:val="18"/>
              </w:rPr>
              <w:t>0.04L</w:t>
            </w:r>
          </w:p>
        </w:tc>
        <w:tc>
          <w:tcPr>
            <w:tcW w:w="567" w:type="dxa"/>
            <w:vAlign w:val="top"/>
          </w:tcPr>
          <w:p w14:paraId="73DE98B5">
            <w:pPr>
              <w:pStyle w:val="6"/>
              <w:spacing w:before="95" w:line="216" w:lineRule="auto"/>
              <w:ind w:left="22"/>
              <w:rPr>
                <w:sz w:val="18"/>
                <w:szCs w:val="18"/>
              </w:rPr>
            </w:pPr>
            <w:r>
              <w:rPr>
                <w:spacing w:val="-2"/>
                <w:sz w:val="18"/>
                <w:szCs w:val="18"/>
              </w:rPr>
              <w:t>0.009L</w:t>
            </w:r>
          </w:p>
        </w:tc>
        <w:tc>
          <w:tcPr>
            <w:tcW w:w="708" w:type="dxa"/>
            <w:vAlign w:val="top"/>
          </w:tcPr>
          <w:p w14:paraId="24F3603E">
            <w:pPr>
              <w:pStyle w:val="6"/>
              <w:spacing w:before="95" w:line="216" w:lineRule="auto"/>
              <w:ind w:left="48"/>
              <w:rPr>
                <w:sz w:val="18"/>
                <w:szCs w:val="18"/>
              </w:rPr>
            </w:pPr>
            <w:r>
              <w:rPr>
                <w:spacing w:val="-1"/>
                <w:sz w:val="18"/>
                <w:szCs w:val="18"/>
              </w:rPr>
              <w:t>0.0003L</w:t>
            </w:r>
          </w:p>
        </w:tc>
        <w:tc>
          <w:tcPr>
            <w:tcW w:w="851" w:type="dxa"/>
            <w:vAlign w:val="top"/>
          </w:tcPr>
          <w:p w14:paraId="11093F46">
            <w:pPr>
              <w:pStyle w:val="6"/>
              <w:spacing w:before="95" w:line="216" w:lineRule="auto"/>
              <w:ind w:left="211"/>
              <w:rPr>
                <w:sz w:val="18"/>
                <w:szCs w:val="18"/>
              </w:rPr>
            </w:pPr>
            <w:r>
              <w:rPr>
                <w:spacing w:val="-2"/>
                <w:sz w:val="18"/>
                <w:szCs w:val="18"/>
              </w:rPr>
              <w:t>0.05L</w:t>
            </w:r>
          </w:p>
        </w:tc>
        <w:tc>
          <w:tcPr>
            <w:tcW w:w="566" w:type="dxa"/>
            <w:vAlign w:val="top"/>
          </w:tcPr>
          <w:p w14:paraId="7023CE74">
            <w:pPr>
              <w:pStyle w:val="6"/>
              <w:spacing w:before="95" w:line="216" w:lineRule="auto"/>
              <w:ind w:left="125"/>
              <w:rPr>
                <w:sz w:val="18"/>
                <w:szCs w:val="18"/>
              </w:rPr>
            </w:pPr>
            <w:r>
              <w:rPr>
                <w:spacing w:val="-2"/>
                <w:sz w:val="18"/>
                <w:szCs w:val="18"/>
              </w:rPr>
              <w:t>0.02</w:t>
            </w:r>
          </w:p>
        </w:tc>
        <w:tc>
          <w:tcPr>
            <w:tcW w:w="672" w:type="dxa"/>
            <w:vAlign w:val="top"/>
          </w:tcPr>
          <w:p w14:paraId="1E2CA856">
            <w:pPr>
              <w:pStyle w:val="6"/>
              <w:spacing w:before="95" w:line="216" w:lineRule="auto"/>
              <w:ind w:left="178"/>
              <w:rPr>
                <w:sz w:val="18"/>
                <w:szCs w:val="18"/>
              </w:rPr>
            </w:pPr>
            <w:r>
              <w:rPr>
                <w:spacing w:val="-2"/>
                <w:sz w:val="18"/>
                <w:szCs w:val="18"/>
              </w:rPr>
              <w:t>0.38</w:t>
            </w:r>
          </w:p>
        </w:tc>
        <w:tc>
          <w:tcPr>
            <w:tcW w:w="745" w:type="dxa"/>
            <w:vAlign w:val="top"/>
          </w:tcPr>
          <w:p w14:paraId="00AB07F1">
            <w:pPr>
              <w:pStyle w:val="6"/>
              <w:spacing w:before="95" w:line="216" w:lineRule="auto"/>
              <w:ind w:left="116"/>
              <w:rPr>
                <w:sz w:val="18"/>
                <w:szCs w:val="18"/>
              </w:rPr>
            </w:pPr>
            <w:r>
              <w:rPr>
                <w:spacing w:val="-2"/>
                <w:sz w:val="18"/>
                <w:szCs w:val="18"/>
              </w:rPr>
              <w:t>0.003L</w:t>
            </w:r>
          </w:p>
        </w:tc>
        <w:tc>
          <w:tcPr>
            <w:tcW w:w="455" w:type="dxa"/>
            <w:vAlign w:val="top"/>
          </w:tcPr>
          <w:p w14:paraId="2B99F69B">
            <w:pPr>
              <w:pStyle w:val="6"/>
              <w:spacing w:before="95" w:line="216" w:lineRule="auto"/>
              <w:ind w:left="27"/>
              <w:rPr>
                <w:sz w:val="18"/>
                <w:szCs w:val="18"/>
              </w:rPr>
            </w:pPr>
            <w:r>
              <w:rPr>
                <w:spacing w:val="-2"/>
                <w:sz w:val="18"/>
                <w:szCs w:val="18"/>
              </w:rPr>
              <w:t>0.119</w:t>
            </w:r>
          </w:p>
        </w:tc>
        <w:tc>
          <w:tcPr>
            <w:tcW w:w="579" w:type="dxa"/>
            <w:vAlign w:val="top"/>
          </w:tcPr>
          <w:p w14:paraId="0405C934">
            <w:pPr>
              <w:pStyle w:val="6"/>
              <w:spacing w:before="95" w:line="216" w:lineRule="auto"/>
              <w:ind w:left="136"/>
              <w:rPr>
                <w:sz w:val="18"/>
                <w:szCs w:val="18"/>
              </w:rPr>
            </w:pPr>
            <w:r>
              <w:rPr>
                <w:spacing w:val="-2"/>
                <w:sz w:val="18"/>
                <w:szCs w:val="18"/>
              </w:rPr>
              <w:t>0.07</w:t>
            </w:r>
          </w:p>
        </w:tc>
        <w:tc>
          <w:tcPr>
            <w:tcW w:w="623" w:type="dxa"/>
            <w:vAlign w:val="top"/>
          </w:tcPr>
          <w:p w14:paraId="199EC20F">
            <w:pPr>
              <w:pStyle w:val="6"/>
              <w:spacing w:before="95" w:line="216" w:lineRule="auto"/>
              <w:ind w:left="58"/>
              <w:rPr>
                <w:sz w:val="18"/>
                <w:szCs w:val="18"/>
              </w:rPr>
            </w:pPr>
            <w:r>
              <w:rPr>
                <w:spacing w:val="-2"/>
                <w:sz w:val="18"/>
                <w:szCs w:val="18"/>
              </w:rPr>
              <w:t>0.004L</w:t>
            </w:r>
          </w:p>
        </w:tc>
        <w:tc>
          <w:tcPr>
            <w:tcW w:w="737" w:type="dxa"/>
            <w:vAlign w:val="top"/>
          </w:tcPr>
          <w:p w14:paraId="621A6FC3">
            <w:pPr>
              <w:pStyle w:val="6"/>
              <w:spacing w:before="95" w:line="216" w:lineRule="auto"/>
              <w:ind w:left="25"/>
              <w:rPr>
                <w:sz w:val="18"/>
                <w:szCs w:val="18"/>
              </w:rPr>
            </w:pPr>
            <w:r>
              <w:rPr>
                <w:spacing w:val="-1"/>
                <w:sz w:val="18"/>
                <w:szCs w:val="18"/>
              </w:rPr>
              <w:t>0.00004L</w:t>
            </w:r>
          </w:p>
        </w:tc>
        <w:tc>
          <w:tcPr>
            <w:tcW w:w="577" w:type="dxa"/>
            <w:vAlign w:val="top"/>
          </w:tcPr>
          <w:p w14:paraId="53D522A7">
            <w:pPr>
              <w:pStyle w:val="6"/>
              <w:spacing w:before="95" w:line="216" w:lineRule="auto"/>
              <w:ind w:left="48"/>
              <w:rPr>
                <w:sz w:val="18"/>
                <w:szCs w:val="18"/>
              </w:rPr>
            </w:pPr>
            <w:r>
              <w:rPr>
                <w:spacing w:val="-2"/>
                <w:sz w:val="18"/>
                <w:szCs w:val="18"/>
              </w:rPr>
              <w:t>0.0017</w:t>
            </w:r>
          </w:p>
        </w:tc>
        <w:tc>
          <w:tcPr>
            <w:tcW w:w="708" w:type="dxa"/>
            <w:vAlign w:val="top"/>
          </w:tcPr>
          <w:p w14:paraId="259AA3DB">
            <w:pPr>
              <w:pStyle w:val="6"/>
              <w:spacing w:before="95" w:line="216" w:lineRule="auto"/>
              <w:ind w:left="60"/>
              <w:rPr>
                <w:sz w:val="18"/>
                <w:szCs w:val="18"/>
              </w:rPr>
            </w:pPr>
            <w:r>
              <w:rPr>
                <w:spacing w:val="-1"/>
                <w:sz w:val="18"/>
                <w:szCs w:val="18"/>
              </w:rPr>
              <w:t>0.0004L</w:t>
            </w:r>
          </w:p>
        </w:tc>
        <w:tc>
          <w:tcPr>
            <w:tcW w:w="567" w:type="dxa"/>
            <w:vAlign w:val="top"/>
          </w:tcPr>
          <w:p w14:paraId="2243D40B">
            <w:pPr>
              <w:pStyle w:val="6"/>
              <w:spacing w:before="95" w:line="216" w:lineRule="auto"/>
              <w:ind w:left="35"/>
              <w:rPr>
                <w:sz w:val="18"/>
                <w:szCs w:val="18"/>
              </w:rPr>
            </w:pPr>
            <w:r>
              <w:rPr>
                <w:spacing w:val="-2"/>
                <w:sz w:val="18"/>
                <w:szCs w:val="18"/>
              </w:rPr>
              <w:t>0.001L</w:t>
            </w:r>
          </w:p>
        </w:tc>
        <w:tc>
          <w:tcPr>
            <w:tcW w:w="566" w:type="dxa"/>
            <w:vAlign w:val="top"/>
          </w:tcPr>
          <w:p w14:paraId="2FAF3597">
            <w:pPr>
              <w:pStyle w:val="6"/>
              <w:spacing w:before="95" w:line="216" w:lineRule="auto"/>
              <w:ind w:left="34"/>
              <w:rPr>
                <w:sz w:val="18"/>
                <w:szCs w:val="18"/>
              </w:rPr>
            </w:pPr>
            <w:r>
              <w:rPr>
                <w:spacing w:val="-2"/>
                <w:sz w:val="18"/>
                <w:szCs w:val="18"/>
              </w:rPr>
              <w:t>0.004L</w:t>
            </w:r>
          </w:p>
        </w:tc>
        <w:tc>
          <w:tcPr>
            <w:tcW w:w="567" w:type="dxa"/>
            <w:vAlign w:val="top"/>
          </w:tcPr>
          <w:p w14:paraId="2756D382">
            <w:pPr>
              <w:pStyle w:val="6"/>
              <w:spacing w:before="95" w:line="216" w:lineRule="auto"/>
              <w:ind w:left="81"/>
              <w:rPr>
                <w:sz w:val="18"/>
                <w:szCs w:val="18"/>
              </w:rPr>
            </w:pPr>
            <w:r>
              <w:rPr>
                <w:spacing w:val="-2"/>
                <w:sz w:val="18"/>
                <w:szCs w:val="18"/>
              </w:rPr>
              <w:t>0.01L</w:t>
            </w:r>
          </w:p>
        </w:tc>
        <w:tc>
          <w:tcPr>
            <w:tcW w:w="708" w:type="dxa"/>
            <w:vAlign w:val="top"/>
          </w:tcPr>
          <w:p w14:paraId="5E9080D1">
            <w:pPr>
              <w:pStyle w:val="6"/>
              <w:spacing w:before="95" w:line="216" w:lineRule="auto"/>
              <w:ind w:left="106"/>
              <w:rPr>
                <w:sz w:val="18"/>
                <w:szCs w:val="18"/>
              </w:rPr>
            </w:pPr>
            <w:r>
              <w:rPr>
                <w:spacing w:val="-2"/>
                <w:sz w:val="18"/>
                <w:szCs w:val="18"/>
              </w:rPr>
              <w:t>0.009L</w:t>
            </w:r>
          </w:p>
        </w:tc>
        <w:tc>
          <w:tcPr>
            <w:tcW w:w="566" w:type="dxa"/>
            <w:vAlign w:val="top"/>
          </w:tcPr>
          <w:p w14:paraId="5BB7BAA2">
            <w:pPr>
              <w:pStyle w:val="6"/>
              <w:spacing w:before="173" w:line="86" w:lineRule="exact"/>
              <w:ind w:left="236"/>
              <w:rPr>
                <w:sz w:val="18"/>
                <w:szCs w:val="18"/>
              </w:rPr>
            </w:pPr>
            <w:r>
              <w:rPr>
                <w:spacing w:val="-2"/>
                <w:position w:val="-5"/>
                <w:sz w:val="18"/>
                <w:szCs w:val="18"/>
              </w:rPr>
              <w:t>--</w:t>
            </w:r>
          </w:p>
        </w:tc>
        <w:tc>
          <w:tcPr>
            <w:tcW w:w="579" w:type="dxa"/>
            <w:vAlign w:val="top"/>
          </w:tcPr>
          <w:p w14:paraId="0013032B">
            <w:pPr>
              <w:pStyle w:val="6"/>
              <w:spacing w:before="95" w:line="216" w:lineRule="auto"/>
              <w:ind w:left="166"/>
              <w:rPr>
                <w:sz w:val="18"/>
                <w:szCs w:val="18"/>
              </w:rPr>
            </w:pPr>
            <w:r>
              <w:rPr>
                <w:spacing w:val="-2"/>
                <w:sz w:val="18"/>
                <w:szCs w:val="18"/>
              </w:rPr>
              <w:t>390</w:t>
            </w:r>
          </w:p>
        </w:tc>
        <w:tc>
          <w:tcPr>
            <w:tcW w:w="411" w:type="dxa"/>
            <w:vAlign w:val="top"/>
          </w:tcPr>
          <w:p w14:paraId="58BA1A9F">
            <w:pPr>
              <w:pStyle w:val="6"/>
              <w:spacing w:before="95" w:line="216" w:lineRule="auto"/>
              <w:ind w:left="106"/>
              <w:rPr>
                <w:sz w:val="18"/>
                <w:szCs w:val="18"/>
              </w:rPr>
            </w:pPr>
            <w:r>
              <w:rPr>
                <w:spacing w:val="-3"/>
                <w:sz w:val="18"/>
                <w:szCs w:val="18"/>
              </w:rPr>
              <w:t>0.8</w:t>
            </w:r>
          </w:p>
        </w:tc>
        <w:tc>
          <w:tcPr>
            <w:tcW w:w="428" w:type="dxa"/>
            <w:vAlign w:val="top"/>
          </w:tcPr>
          <w:p w14:paraId="063CD028">
            <w:pPr>
              <w:pStyle w:val="6"/>
              <w:spacing w:before="95" w:line="216" w:lineRule="auto"/>
              <w:ind w:left="70"/>
              <w:rPr>
                <w:sz w:val="18"/>
                <w:szCs w:val="18"/>
              </w:rPr>
            </w:pPr>
            <w:r>
              <w:rPr>
                <w:spacing w:val="-2"/>
                <w:sz w:val="18"/>
                <w:szCs w:val="18"/>
              </w:rPr>
              <w:t>3.93</w:t>
            </w:r>
          </w:p>
        </w:tc>
        <w:tc>
          <w:tcPr>
            <w:tcW w:w="427" w:type="dxa"/>
            <w:vAlign w:val="top"/>
          </w:tcPr>
          <w:p w14:paraId="7AB85A9D">
            <w:pPr>
              <w:pStyle w:val="6"/>
              <w:spacing w:before="95" w:line="216" w:lineRule="auto"/>
              <w:ind w:left="71"/>
              <w:rPr>
                <w:sz w:val="18"/>
                <w:szCs w:val="18"/>
              </w:rPr>
            </w:pPr>
            <w:r>
              <w:rPr>
                <w:spacing w:val="-2"/>
                <w:sz w:val="18"/>
                <w:szCs w:val="18"/>
              </w:rPr>
              <w:t>36.1</w:t>
            </w:r>
          </w:p>
        </w:tc>
        <w:tc>
          <w:tcPr>
            <w:tcW w:w="341" w:type="dxa"/>
            <w:vAlign w:val="top"/>
          </w:tcPr>
          <w:p w14:paraId="59B713F5">
            <w:pPr>
              <w:pStyle w:val="6"/>
              <w:spacing w:before="95" w:line="216" w:lineRule="auto"/>
              <w:jc w:val="right"/>
              <w:rPr>
                <w:sz w:val="18"/>
                <w:szCs w:val="18"/>
              </w:rPr>
            </w:pPr>
            <w:r>
              <w:rPr>
                <w:spacing w:val="-4"/>
                <w:sz w:val="18"/>
                <w:szCs w:val="18"/>
              </w:rPr>
              <w:t>33.2</w:t>
            </w:r>
          </w:p>
        </w:tc>
        <w:tc>
          <w:tcPr>
            <w:tcW w:w="361" w:type="dxa"/>
            <w:tcBorders>
              <w:right w:val="single" w:color="000000" w:sz="12" w:space="0"/>
            </w:tcBorders>
            <w:vAlign w:val="top"/>
          </w:tcPr>
          <w:p w14:paraId="3ED6496D">
            <w:pPr>
              <w:pStyle w:val="6"/>
              <w:spacing w:before="95" w:line="216" w:lineRule="auto"/>
              <w:ind w:right="3"/>
              <w:jc w:val="right"/>
              <w:rPr>
                <w:sz w:val="18"/>
                <w:szCs w:val="18"/>
              </w:rPr>
            </w:pPr>
            <w:r>
              <w:rPr>
                <w:spacing w:val="-2"/>
                <w:sz w:val="18"/>
                <w:szCs w:val="18"/>
              </w:rPr>
              <w:t>32.6</w:t>
            </w:r>
          </w:p>
        </w:tc>
      </w:tr>
      <w:tr w14:paraId="31401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6E8D4D43">
            <w:pPr>
              <w:rPr>
                <w:rFonts w:ascii="Arial"/>
                <w:sz w:val="21"/>
              </w:rPr>
            </w:pPr>
          </w:p>
        </w:tc>
        <w:tc>
          <w:tcPr>
            <w:tcW w:w="284" w:type="dxa"/>
            <w:vMerge w:val="restart"/>
            <w:tcBorders>
              <w:bottom w:val="nil"/>
            </w:tcBorders>
            <w:vAlign w:val="top"/>
          </w:tcPr>
          <w:p w14:paraId="0AB2E921">
            <w:pPr>
              <w:pStyle w:val="6"/>
              <w:spacing w:before="164" w:line="226" w:lineRule="auto"/>
              <w:ind w:left="78"/>
              <w:rPr>
                <w:sz w:val="18"/>
                <w:szCs w:val="18"/>
              </w:rPr>
            </w:pPr>
            <w:r>
              <w:rPr>
                <w:sz w:val="18"/>
                <w:szCs w:val="18"/>
              </w:rPr>
              <w:t>4</w:t>
            </w:r>
          </w:p>
          <w:p w14:paraId="38C38FB9">
            <w:pPr>
              <w:spacing w:line="219" w:lineRule="auto"/>
              <w:ind w:left="39"/>
              <w:rPr>
                <w:rFonts w:ascii="宋体" w:hAnsi="宋体" w:eastAsia="宋体" w:cs="宋体"/>
                <w:sz w:val="18"/>
                <w:szCs w:val="18"/>
              </w:rPr>
            </w:pPr>
            <w:r>
              <w:rPr>
                <w:rFonts w:ascii="宋体" w:hAnsi="宋体" w:eastAsia="宋体" w:cs="宋体"/>
                <w:sz w:val="18"/>
                <w:szCs w:val="18"/>
              </w:rPr>
              <w:t>季</w:t>
            </w:r>
          </w:p>
          <w:p w14:paraId="11DE7499">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4473F18B">
            <w:pPr>
              <w:pStyle w:val="6"/>
              <w:spacing w:before="96" w:line="215" w:lineRule="auto"/>
              <w:ind w:left="198"/>
              <w:rPr>
                <w:sz w:val="18"/>
                <w:szCs w:val="18"/>
              </w:rPr>
            </w:pPr>
            <w:r>
              <w:rPr>
                <w:spacing w:val="-1"/>
                <w:sz w:val="18"/>
                <w:szCs w:val="18"/>
              </w:rPr>
              <w:t>2021/11/28</w:t>
            </w:r>
          </w:p>
        </w:tc>
        <w:tc>
          <w:tcPr>
            <w:tcW w:w="733" w:type="dxa"/>
            <w:vAlign w:val="top"/>
          </w:tcPr>
          <w:p w14:paraId="17700DFE">
            <w:pPr>
              <w:pStyle w:val="6"/>
              <w:spacing w:before="96" w:line="215" w:lineRule="auto"/>
              <w:ind w:left="244"/>
              <w:rPr>
                <w:sz w:val="18"/>
                <w:szCs w:val="18"/>
              </w:rPr>
            </w:pPr>
            <w:r>
              <w:rPr>
                <w:spacing w:val="-3"/>
                <w:sz w:val="18"/>
                <w:szCs w:val="18"/>
              </w:rPr>
              <w:t>7.2</w:t>
            </w:r>
          </w:p>
        </w:tc>
        <w:tc>
          <w:tcPr>
            <w:tcW w:w="565" w:type="dxa"/>
            <w:vAlign w:val="top"/>
          </w:tcPr>
          <w:p w14:paraId="3C3E4D38">
            <w:pPr>
              <w:pStyle w:val="6"/>
              <w:spacing w:before="96" w:line="215" w:lineRule="auto"/>
              <w:ind w:left="134"/>
              <w:rPr>
                <w:sz w:val="18"/>
                <w:szCs w:val="18"/>
              </w:rPr>
            </w:pPr>
            <w:r>
              <w:rPr>
                <w:spacing w:val="-1"/>
                <w:sz w:val="18"/>
                <w:szCs w:val="18"/>
              </w:rPr>
              <w:t>270</w:t>
            </w:r>
          </w:p>
        </w:tc>
        <w:tc>
          <w:tcPr>
            <w:tcW w:w="708" w:type="dxa"/>
            <w:vAlign w:val="top"/>
          </w:tcPr>
          <w:p w14:paraId="7CE8C0A5">
            <w:pPr>
              <w:pStyle w:val="6"/>
              <w:spacing w:before="96" w:line="215" w:lineRule="auto"/>
              <w:ind w:left="207"/>
              <w:rPr>
                <w:sz w:val="18"/>
                <w:szCs w:val="18"/>
              </w:rPr>
            </w:pPr>
            <w:r>
              <w:rPr>
                <w:spacing w:val="-1"/>
                <w:sz w:val="18"/>
                <w:szCs w:val="18"/>
              </w:rPr>
              <w:t>426</w:t>
            </w:r>
          </w:p>
        </w:tc>
        <w:tc>
          <w:tcPr>
            <w:tcW w:w="567" w:type="dxa"/>
            <w:vAlign w:val="top"/>
          </w:tcPr>
          <w:p w14:paraId="4F18B538">
            <w:pPr>
              <w:pStyle w:val="6"/>
              <w:spacing w:before="96" w:line="215" w:lineRule="auto"/>
              <w:ind w:left="155"/>
              <w:rPr>
                <w:sz w:val="18"/>
                <w:szCs w:val="18"/>
              </w:rPr>
            </w:pPr>
            <w:r>
              <w:rPr>
                <w:spacing w:val="-5"/>
                <w:sz w:val="18"/>
                <w:szCs w:val="18"/>
              </w:rPr>
              <w:t>113</w:t>
            </w:r>
          </w:p>
        </w:tc>
        <w:tc>
          <w:tcPr>
            <w:tcW w:w="566" w:type="dxa"/>
            <w:vAlign w:val="top"/>
          </w:tcPr>
          <w:p w14:paraId="5E1D55FB">
            <w:pPr>
              <w:pStyle w:val="6"/>
              <w:spacing w:before="99" w:line="186" w:lineRule="auto"/>
              <w:ind w:left="145"/>
              <w:rPr>
                <w:sz w:val="18"/>
                <w:szCs w:val="18"/>
              </w:rPr>
            </w:pPr>
            <w:r>
              <w:rPr>
                <w:spacing w:val="-5"/>
                <w:sz w:val="18"/>
                <w:szCs w:val="18"/>
              </w:rPr>
              <w:t>10L</w:t>
            </w:r>
          </w:p>
        </w:tc>
        <w:tc>
          <w:tcPr>
            <w:tcW w:w="567" w:type="dxa"/>
            <w:vAlign w:val="top"/>
          </w:tcPr>
          <w:p w14:paraId="79B0B18B">
            <w:pPr>
              <w:pStyle w:val="6"/>
              <w:spacing w:before="96" w:line="215" w:lineRule="auto"/>
              <w:ind w:left="65"/>
              <w:rPr>
                <w:sz w:val="18"/>
                <w:szCs w:val="18"/>
              </w:rPr>
            </w:pPr>
            <w:r>
              <w:rPr>
                <w:spacing w:val="-2"/>
                <w:sz w:val="18"/>
                <w:szCs w:val="18"/>
              </w:rPr>
              <w:t>0.01L</w:t>
            </w:r>
          </w:p>
        </w:tc>
        <w:tc>
          <w:tcPr>
            <w:tcW w:w="557" w:type="dxa"/>
            <w:vAlign w:val="top"/>
          </w:tcPr>
          <w:p w14:paraId="2024DD75">
            <w:pPr>
              <w:pStyle w:val="6"/>
              <w:spacing w:before="96" w:line="215" w:lineRule="auto"/>
              <w:ind w:left="60"/>
              <w:rPr>
                <w:sz w:val="18"/>
                <w:szCs w:val="18"/>
              </w:rPr>
            </w:pPr>
            <w:r>
              <w:rPr>
                <w:spacing w:val="-2"/>
                <w:sz w:val="18"/>
                <w:szCs w:val="18"/>
              </w:rPr>
              <w:t>0.01L</w:t>
            </w:r>
          </w:p>
        </w:tc>
        <w:tc>
          <w:tcPr>
            <w:tcW w:w="715" w:type="dxa"/>
            <w:vAlign w:val="top"/>
          </w:tcPr>
          <w:p w14:paraId="1E5ED5F3">
            <w:pPr>
              <w:pStyle w:val="6"/>
              <w:spacing w:before="96" w:line="215" w:lineRule="auto"/>
              <w:ind w:left="140"/>
              <w:rPr>
                <w:sz w:val="18"/>
                <w:szCs w:val="18"/>
              </w:rPr>
            </w:pPr>
            <w:r>
              <w:rPr>
                <w:spacing w:val="-2"/>
                <w:sz w:val="18"/>
                <w:szCs w:val="18"/>
              </w:rPr>
              <w:t>0.04L</w:t>
            </w:r>
          </w:p>
        </w:tc>
        <w:tc>
          <w:tcPr>
            <w:tcW w:w="567" w:type="dxa"/>
            <w:vAlign w:val="top"/>
          </w:tcPr>
          <w:p w14:paraId="6AAF3D79">
            <w:pPr>
              <w:pStyle w:val="6"/>
              <w:spacing w:before="96" w:line="215" w:lineRule="auto"/>
              <w:ind w:left="78"/>
              <w:rPr>
                <w:sz w:val="18"/>
                <w:szCs w:val="18"/>
              </w:rPr>
            </w:pPr>
            <w:r>
              <w:rPr>
                <w:spacing w:val="-2"/>
                <w:sz w:val="18"/>
                <w:szCs w:val="18"/>
              </w:rPr>
              <w:t>0.016</w:t>
            </w:r>
          </w:p>
        </w:tc>
        <w:tc>
          <w:tcPr>
            <w:tcW w:w="708" w:type="dxa"/>
            <w:vAlign w:val="top"/>
          </w:tcPr>
          <w:p w14:paraId="013326D1">
            <w:pPr>
              <w:pStyle w:val="6"/>
              <w:spacing w:before="96" w:line="215" w:lineRule="auto"/>
              <w:ind w:left="48"/>
              <w:rPr>
                <w:sz w:val="18"/>
                <w:szCs w:val="18"/>
              </w:rPr>
            </w:pPr>
            <w:r>
              <w:rPr>
                <w:spacing w:val="-1"/>
                <w:sz w:val="18"/>
                <w:szCs w:val="18"/>
              </w:rPr>
              <w:t>0.0003L</w:t>
            </w:r>
          </w:p>
        </w:tc>
        <w:tc>
          <w:tcPr>
            <w:tcW w:w="851" w:type="dxa"/>
            <w:vAlign w:val="top"/>
          </w:tcPr>
          <w:p w14:paraId="180B4F19">
            <w:pPr>
              <w:pStyle w:val="6"/>
              <w:spacing w:before="96" w:line="215" w:lineRule="auto"/>
              <w:ind w:left="211"/>
              <w:rPr>
                <w:sz w:val="18"/>
                <w:szCs w:val="18"/>
              </w:rPr>
            </w:pPr>
            <w:r>
              <w:rPr>
                <w:spacing w:val="-2"/>
                <w:sz w:val="18"/>
                <w:szCs w:val="18"/>
              </w:rPr>
              <w:t>0.05L</w:t>
            </w:r>
          </w:p>
        </w:tc>
        <w:tc>
          <w:tcPr>
            <w:tcW w:w="566" w:type="dxa"/>
            <w:vAlign w:val="top"/>
          </w:tcPr>
          <w:p w14:paraId="59D42CD4">
            <w:pPr>
              <w:pStyle w:val="6"/>
              <w:spacing w:before="96" w:line="215" w:lineRule="auto"/>
              <w:ind w:left="125"/>
              <w:rPr>
                <w:sz w:val="18"/>
                <w:szCs w:val="18"/>
              </w:rPr>
            </w:pPr>
            <w:r>
              <w:rPr>
                <w:spacing w:val="-2"/>
                <w:sz w:val="18"/>
                <w:szCs w:val="18"/>
              </w:rPr>
              <w:t>0.01</w:t>
            </w:r>
          </w:p>
        </w:tc>
        <w:tc>
          <w:tcPr>
            <w:tcW w:w="672" w:type="dxa"/>
            <w:vAlign w:val="top"/>
          </w:tcPr>
          <w:p w14:paraId="793876EA">
            <w:pPr>
              <w:pStyle w:val="6"/>
              <w:spacing w:before="96" w:line="215" w:lineRule="auto"/>
              <w:ind w:left="178"/>
              <w:rPr>
                <w:sz w:val="18"/>
                <w:szCs w:val="18"/>
              </w:rPr>
            </w:pPr>
            <w:r>
              <w:rPr>
                <w:spacing w:val="-2"/>
                <w:sz w:val="18"/>
                <w:szCs w:val="18"/>
              </w:rPr>
              <w:t>0.46</w:t>
            </w:r>
          </w:p>
        </w:tc>
        <w:tc>
          <w:tcPr>
            <w:tcW w:w="745" w:type="dxa"/>
            <w:vAlign w:val="top"/>
          </w:tcPr>
          <w:p w14:paraId="112CED8F">
            <w:pPr>
              <w:pStyle w:val="6"/>
              <w:spacing w:before="96" w:line="215" w:lineRule="auto"/>
              <w:ind w:left="116"/>
              <w:rPr>
                <w:sz w:val="18"/>
                <w:szCs w:val="18"/>
              </w:rPr>
            </w:pPr>
            <w:r>
              <w:rPr>
                <w:spacing w:val="-2"/>
                <w:sz w:val="18"/>
                <w:szCs w:val="18"/>
              </w:rPr>
              <w:t>0.003L</w:t>
            </w:r>
          </w:p>
        </w:tc>
        <w:tc>
          <w:tcPr>
            <w:tcW w:w="455" w:type="dxa"/>
            <w:vAlign w:val="top"/>
          </w:tcPr>
          <w:p w14:paraId="094A9792">
            <w:pPr>
              <w:pStyle w:val="6"/>
              <w:spacing w:before="96" w:line="215" w:lineRule="auto"/>
              <w:ind w:left="27"/>
              <w:rPr>
                <w:sz w:val="18"/>
                <w:szCs w:val="18"/>
              </w:rPr>
            </w:pPr>
            <w:r>
              <w:rPr>
                <w:spacing w:val="-2"/>
                <w:sz w:val="18"/>
                <w:szCs w:val="18"/>
              </w:rPr>
              <w:t>0.046</w:t>
            </w:r>
          </w:p>
        </w:tc>
        <w:tc>
          <w:tcPr>
            <w:tcW w:w="579" w:type="dxa"/>
            <w:vAlign w:val="top"/>
          </w:tcPr>
          <w:p w14:paraId="64713BA3">
            <w:pPr>
              <w:pStyle w:val="6"/>
              <w:spacing w:before="96" w:line="215" w:lineRule="auto"/>
              <w:ind w:left="136"/>
              <w:rPr>
                <w:sz w:val="18"/>
                <w:szCs w:val="18"/>
              </w:rPr>
            </w:pPr>
            <w:r>
              <w:rPr>
                <w:spacing w:val="-2"/>
                <w:sz w:val="18"/>
                <w:szCs w:val="18"/>
              </w:rPr>
              <w:t>0.16</w:t>
            </w:r>
          </w:p>
        </w:tc>
        <w:tc>
          <w:tcPr>
            <w:tcW w:w="623" w:type="dxa"/>
            <w:vAlign w:val="top"/>
          </w:tcPr>
          <w:p w14:paraId="728FB344">
            <w:pPr>
              <w:pStyle w:val="6"/>
              <w:spacing w:before="96" w:line="215" w:lineRule="auto"/>
              <w:ind w:left="58"/>
              <w:rPr>
                <w:sz w:val="18"/>
                <w:szCs w:val="18"/>
              </w:rPr>
            </w:pPr>
            <w:r>
              <w:rPr>
                <w:spacing w:val="-2"/>
                <w:sz w:val="18"/>
                <w:szCs w:val="18"/>
              </w:rPr>
              <w:t>0.004L</w:t>
            </w:r>
          </w:p>
        </w:tc>
        <w:tc>
          <w:tcPr>
            <w:tcW w:w="737" w:type="dxa"/>
            <w:vAlign w:val="top"/>
          </w:tcPr>
          <w:p w14:paraId="7836D5D1">
            <w:pPr>
              <w:pStyle w:val="6"/>
              <w:spacing w:before="96" w:line="215" w:lineRule="auto"/>
              <w:ind w:left="80"/>
              <w:rPr>
                <w:sz w:val="18"/>
                <w:szCs w:val="18"/>
              </w:rPr>
            </w:pPr>
            <w:r>
              <w:rPr>
                <w:spacing w:val="-1"/>
                <w:sz w:val="18"/>
                <w:szCs w:val="18"/>
              </w:rPr>
              <w:t>0.00043</w:t>
            </w:r>
          </w:p>
        </w:tc>
        <w:tc>
          <w:tcPr>
            <w:tcW w:w="577" w:type="dxa"/>
            <w:vAlign w:val="top"/>
          </w:tcPr>
          <w:p w14:paraId="7FB06FC7">
            <w:pPr>
              <w:pStyle w:val="6"/>
              <w:spacing w:before="96" w:line="215" w:lineRule="auto"/>
              <w:ind w:left="48"/>
              <w:rPr>
                <w:sz w:val="18"/>
                <w:szCs w:val="18"/>
              </w:rPr>
            </w:pPr>
            <w:r>
              <w:rPr>
                <w:spacing w:val="-2"/>
                <w:sz w:val="18"/>
                <w:szCs w:val="18"/>
              </w:rPr>
              <w:t>0.0013</w:t>
            </w:r>
          </w:p>
        </w:tc>
        <w:tc>
          <w:tcPr>
            <w:tcW w:w="708" w:type="dxa"/>
            <w:vAlign w:val="top"/>
          </w:tcPr>
          <w:p w14:paraId="3C2DC360">
            <w:pPr>
              <w:pStyle w:val="6"/>
              <w:spacing w:before="96" w:line="215" w:lineRule="auto"/>
              <w:ind w:left="60"/>
              <w:rPr>
                <w:sz w:val="18"/>
                <w:szCs w:val="18"/>
              </w:rPr>
            </w:pPr>
            <w:r>
              <w:rPr>
                <w:spacing w:val="-1"/>
                <w:sz w:val="18"/>
                <w:szCs w:val="18"/>
              </w:rPr>
              <w:t>0.0004L</w:t>
            </w:r>
          </w:p>
        </w:tc>
        <w:tc>
          <w:tcPr>
            <w:tcW w:w="567" w:type="dxa"/>
            <w:vAlign w:val="top"/>
          </w:tcPr>
          <w:p w14:paraId="5B7A0608">
            <w:pPr>
              <w:pStyle w:val="6"/>
              <w:spacing w:before="96" w:line="215" w:lineRule="auto"/>
              <w:ind w:left="35"/>
              <w:rPr>
                <w:sz w:val="18"/>
                <w:szCs w:val="18"/>
              </w:rPr>
            </w:pPr>
            <w:r>
              <w:rPr>
                <w:spacing w:val="-2"/>
                <w:sz w:val="18"/>
                <w:szCs w:val="18"/>
              </w:rPr>
              <w:t>0.001L</w:t>
            </w:r>
          </w:p>
        </w:tc>
        <w:tc>
          <w:tcPr>
            <w:tcW w:w="566" w:type="dxa"/>
            <w:vAlign w:val="top"/>
          </w:tcPr>
          <w:p w14:paraId="77CE304C">
            <w:pPr>
              <w:pStyle w:val="6"/>
              <w:spacing w:before="96" w:line="215" w:lineRule="auto"/>
              <w:ind w:left="34"/>
              <w:rPr>
                <w:sz w:val="18"/>
                <w:szCs w:val="18"/>
              </w:rPr>
            </w:pPr>
            <w:r>
              <w:rPr>
                <w:spacing w:val="-2"/>
                <w:sz w:val="18"/>
                <w:szCs w:val="18"/>
              </w:rPr>
              <w:t>0.004L</w:t>
            </w:r>
          </w:p>
        </w:tc>
        <w:tc>
          <w:tcPr>
            <w:tcW w:w="567" w:type="dxa"/>
            <w:vAlign w:val="top"/>
          </w:tcPr>
          <w:p w14:paraId="6343D806">
            <w:pPr>
              <w:pStyle w:val="6"/>
              <w:spacing w:before="96" w:line="215" w:lineRule="auto"/>
              <w:ind w:left="81"/>
              <w:rPr>
                <w:sz w:val="18"/>
                <w:szCs w:val="18"/>
              </w:rPr>
            </w:pPr>
            <w:r>
              <w:rPr>
                <w:spacing w:val="-2"/>
                <w:sz w:val="18"/>
                <w:szCs w:val="18"/>
              </w:rPr>
              <w:t>0.01L</w:t>
            </w:r>
          </w:p>
        </w:tc>
        <w:tc>
          <w:tcPr>
            <w:tcW w:w="708" w:type="dxa"/>
            <w:vAlign w:val="top"/>
          </w:tcPr>
          <w:p w14:paraId="098B633F">
            <w:pPr>
              <w:pStyle w:val="6"/>
              <w:spacing w:before="96" w:line="215" w:lineRule="auto"/>
              <w:ind w:left="106"/>
              <w:rPr>
                <w:sz w:val="18"/>
                <w:szCs w:val="18"/>
              </w:rPr>
            </w:pPr>
            <w:r>
              <w:rPr>
                <w:spacing w:val="-2"/>
                <w:sz w:val="18"/>
                <w:szCs w:val="18"/>
              </w:rPr>
              <w:t>0.009L</w:t>
            </w:r>
          </w:p>
        </w:tc>
        <w:tc>
          <w:tcPr>
            <w:tcW w:w="566" w:type="dxa"/>
            <w:vAlign w:val="top"/>
          </w:tcPr>
          <w:p w14:paraId="06B6760B">
            <w:pPr>
              <w:pStyle w:val="6"/>
              <w:spacing w:before="174" w:line="85" w:lineRule="exact"/>
              <w:ind w:left="236"/>
              <w:rPr>
                <w:sz w:val="18"/>
                <w:szCs w:val="18"/>
              </w:rPr>
            </w:pPr>
            <w:r>
              <w:rPr>
                <w:spacing w:val="-2"/>
                <w:position w:val="-5"/>
                <w:sz w:val="18"/>
                <w:szCs w:val="18"/>
              </w:rPr>
              <w:t>--</w:t>
            </w:r>
          </w:p>
        </w:tc>
        <w:tc>
          <w:tcPr>
            <w:tcW w:w="579" w:type="dxa"/>
            <w:vAlign w:val="top"/>
          </w:tcPr>
          <w:p w14:paraId="6FCD5164">
            <w:pPr>
              <w:pStyle w:val="6"/>
              <w:spacing w:before="96" w:line="215" w:lineRule="auto"/>
              <w:ind w:left="162"/>
              <w:rPr>
                <w:sz w:val="18"/>
                <w:szCs w:val="18"/>
              </w:rPr>
            </w:pPr>
            <w:r>
              <w:rPr>
                <w:spacing w:val="-1"/>
                <w:sz w:val="18"/>
                <w:szCs w:val="18"/>
              </w:rPr>
              <w:t>427</w:t>
            </w:r>
          </w:p>
        </w:tc>
        <w:tc>
          <w:tcPr>
            <w:tcW w:w="411" w:type="dxa"/>
            <w:vAlign w:val="top"/>
          </w:tcPr>
          <w:p w14:paraId="65E561C3">
            <w:pPr>
              <w:pStyle w:val="6"/>
              <w:spacing w:before="96" w:line="215" w:lineRule="auto"/>
              <w:ind w:left="61"/>
              <w:rPr>
                <w:sz w:val="18"/>
                <w:szCs w:val="18"/>
              </w:rPr>
            </w:pPr>
            <w:r>
              <w:rPr>
                <w:spacing w:val="-2"/>
                <w:sz w:val="18"/>
                <w:szCs w:val="18"/>
              </w:rPr>
              <w:t>0.48</w:t>
            </w:r>
          </w:p>
        </w:tc>
        <w:tc>
          <w:tcPr>
            <w:tcW w:w="428" w:type="dxa"/>
            <w:vAlign w:val="top"/>
          </w:tcPr>
          <w:p w14:paraId="0955A168">
            <w:pPr>
              <w:pStyle w:val="6"/>
              <w:spacing w:before="96" w:line="215" w:lineRule="auto"/>
              <w:ind w:left="84"/>
              <w:rPr>
                <w:sz w:val="18"/>
                <w:szCs w:val="18"/>
              </w:rPr>
            </w:pPr>
            <w:r>
              <w:rPr>
                <w:spacing w:val="-6"/>
                <w:sz w:val="18"/>
                <w:szCs w:val="18"/>
              </w:rPr>
              <w:t>14.1</w:t>
            </w:r>
          </w:p>
        </w:tc>
        <w:tc>
          <w:tcPr>
            <w:tcW w:w="427" w:type="dxa"/>
            <w:vAlign w:val="top"/>
          </w:tcPr>
          <w:p w14:paraId="613C3C01">
            <w:pPr>
              <w:pStyle w:val="6"/>
              <w:spacing w:before="96" w:line="215" w:lineRule="auto"/>
              <w:ind w:left="70"/>
              <w:rPr>
                <w:sz w:val="18"/>
                <w:szCs w:val="18"/>
              </w:rPr>
            </w:pPr>
            <w:r>
              <w:rPr>
                <w:spacing w:val="-2"/>
                <w:sz w:val="18"/>
                <w:szCs w:val="18"/>
              </w:rPr>
              <w:t>0.87</w:t>
            </w:r>
          </w:p>
        </w:tc>
        <w:tc>
          <w:tcPr>
            <w:tcW w:w="341" w:type="dxa"/>
            <w:vAlign w:val="top"/>
          </w:tcPr>
          <w:p w14:paraId="1A6FBE6B">
            <w:pPr>
              <w:pStyle w:val="6"/>
              <w:spacing w:before="96" w:line="215" w:lineRule="auto"/>
              <w:jc w:val="right"/>
              <w:rPr>
                <w:sz w:val="18"/>
                <w:szCs w:val="18"/>
              </w:rPr>
            </w:pPr>
            <w:r>
              <w:rPr>
                <w:spacing w:val="-4"/>
                <w:sz w:val="18"/>
                <w:szCs w:val="18"/>
              </w:rPr>
              <w:t>38.6</w:t>
            </w:r>
          </w:p>
        </w:tc>
        <w:tc>
          <w:tcPr>
            <w:tcW w:w="361" w:type="dxa"/>
            <w:tcBorders>
              <w:right w:val="single" w:color="000000" w:sz="12" w:space="0"/>
            </w:tcBorders>
            <w:vAlign w:val="top"/>
          </w:tcPr>
          <w:p w14:paraId="33044B96">
            <w:pPr>
              <w:pStyle w:val="6"/>
              <w:spacing w:before="96" w:line="215" w:lineRule="auto"/>
              <w:ind w:right="3"/>
              <w:jc w:val="right"/>
              <w:rPr>
                <w:sz w:val="18"/>
                <w:szCs w:val="18"/>
              </w:rPr>
            </w:pPr>
            <w:r>
              <w:rPr>
                <w:spacing w:val="-1"/>
                <w:sz w:val="18"/>
                <w:szCs w:val="18"/>
              </w:rPr>
              <w:t>21.1</w:t>
            </w:r>
          </w:p>
        </w:tc>
      </w:tr>
      <w:tr w14:paraId="235C3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588E1967">
            <w:pPr>
              <w:rPr>
                <w:rFonts w:ascii="Arial"/>
                <w:sz w:val="21"/>
              </w:rPr>
            </w:pPr>
          </w:p>
        </w:tc>
        <w:tc>
          <w:tcPr>
            <w:tcW w:w="284" w:type="dxa"/>
            <w:vMerge w:val="continue"/>
            <w:tcBorders>
              <w:top w:val="nil"/>
              <w:bottom w:val="nil"/>
            </w:tcBorders>
            <w:vAlign w:val="top"/>
          </w:tcPr>
          <w:p w14:paraId="34CD88B8">
            <w:pPr>
              <w:rPr>
                <w:rFonts w:ascii="Arial"/>
                <w:sz w:val="21"/>
              </w:rPr>
            </w:pPr>
          </w:p>
        </w:tc>
        <w:tc>
          <w:tcPr>
            <w:tcW w:w="1249" w:type="dxa"/>
            <w:vAlign w:val="top"/>
          </w:tcPr>
          <w:p w14:paraId="52EB2F28">
            <w:pPr>
              <w:pStyle w:val="6"/>
              <w:spacing w:before="96" w:line="213" w:lineRule="auto"/>
              <w:ind w:left="198"/>
              <w:rPr>
                <w:sz w:val="18"/>
                <w:szCs w:val="18"/>
              </w:rPr>
            </w:pPr>
            <w:r>
              <w:rPr>
                <w:spacing w:val="-1"/>
                <w:sz w:val="18"/>
                <w:szCs w:val="18"/>
              </w:rPr>
              <w:t>2021/11/29</w:t>
            </w:r>
          </w:p>
        </w:tc>
        <w:tc>
          <w:tcPr>
            <w:tcW w:w="733" w:type="dxa"/>
            <w:vAlign w:val="top"/>
          </w:tcPr>
          <w:p w14:paraId="55FBEC97">
            <w:pPr>
              <w:pStyle w:val="6"/>
              <w:spacing w:before="96" w:line="213" w:lineRule="auto"/>
              <w:ind w:left="244"/>
              <w:rPr>
                <w:sz w:val="18"/>
                <w:szCs w:val="18"/>
              </w:rPr>
            </w:pPr>
            <w:r>
              <w:rPr>
                <w:spacing w:val="-3"/>
                <w:sz w:val="18"/>
                <w:szCs w:val="18"/>
              </w:rPr>
              <w:t>7.3</w:t>
            </w:r>
          </w:p>
        </w:tc>
        <w:tc>
          <w:tcPr>
            <w:tcW w:w="565" w:type="dxa"/>
            <w:vAlign w:val="top"/>
          </w:tcPr>
          <w:p w14:paraId="62F3D078">
            <w:pPr>
              <w:pStyle w:val="6"/>
              <w:spacing w:before="96" w:line="213" w:lineRule="auto"/>
              <w:ind w:left="134"/>
              <w:rPr>
                <w:sz w:val="18"/>
                <w:szCs w:val="18"/>
              </w:rPr>
            </w:pPr>
            <w:r>
              <w:rPr>
                <w:spacing w:val="-1"/>
                <w:sz w:val="18"/>
                <w:szCs w:val="18"/>
              </w:rPr>
              <w:t>266</w:t>
            </w:r>
          </w:p>
        </w:tc>
        <w:tc>
          <w:tcPr>
            <w:tcW w:w="708" w:type="dxa"/>
            <w:vAlign w:val="top"/>
          </w:tcPr>
          <w:p w14:paraId="0DD44FE1">
            <w:pPr>
              <w:pStyle w:val="6"/>
              <w:spacing w:before="96" w:line="213" w:lineRule="auto"/>
              <w:ind w:left="207"/>
              <w:rPr>
                <w:sz w:val="18"/>
                <w:szCs w:val="18"/>
              </w:rPr>
            </w:pPr>
            <w:r>
              <w:rPr>
                <w:spacing w:val="-1"/>
                <w:sz w:val="18"/>
                <w:szCs w:val="18"/>
              </w:rPr>
              <w:t>421</w:t>
            </w:r>
          </w:p>
        </w:tc>
        <w:tc>
          <w:tcPr>
            <w:tcW w:w="567" w:type="dxa"/>
            <w:vAlign w:val="top"/>
          </w:tcPr>
          <w:p w14:paraId="6865C6E4">
            <w:pPr>
              <w:pStyle w:val="6"/>
              <w:spacing w:before="96" w:line="213" w:lineRule="auto"/>
              <w:ind w:left="155"/>
              <w:rPr>
                <w:sz w:val="18"/>
                <w:szCs w:val="18"/>
              </w:rPr>
            </w:pPr>
            <w:r>
              <w:rPr>
                <w:spacing w:val="-5"/>
                <w:sz w:val="18"/>
                <w:szCs w:val="18"/>
              </w:rPr>
              <w:t>110</w:t>
            </w:r>
          </w:p>
        </w:tc>
        <w:tc>
          <w:tcPr>
            <w:tcW w:w="566" w:type="dxa"/>
            <w:vAlign w:val="top"/>
          </w:tcPr>
          <w:p w14:paraId="7E009FB0">
            <w:pPr>
              <w:pStyle w:val="6"/>
              <w:spacing w:before="99" w:line="186" w:lineRule="auto"/>
              <w:ind w:left="145"/>
              <w:rPr>
                <w:sz w:val="18"/>
                <w:szCs w:val="18"/>
              </w:rPr>
            </w:pPr>
            <w:r>
              <w:rPr>
                <w:spacing w:val="-5"/>
                <w:sz w:val="18"/>
                <w:szCs w:val="18"/>
              </w:rPr>
              <w:t>10L</w:t>
            </w:r>
          </w:p>
        </w:tc>
        <w:tc>
          <w:tcPr>
            <w:tcW w:w="567" w:type="dxa"/>
            <w:vAlign w:val="top"/>
          </w:tcPr>
          <w:p w14:paraId="2FC4A3C4">
            <w:pPr>
              <w:pStyle w:val="6"/>
              <w:spacing w:before="96" w:line="213" w:lineRule="auto"/>
              <w:ind w:left="65"/>
              <w:rPr>
                <w:sz w:val="18"/>
                <w:szCs w:val="18"/>
              </w:rPr>
            </w:pPr>
            <w:r>
              <w:rPr>
                <w:spacing w:val="-2"/>
                <w:sz w:val="18"/>
                <w:szCs w:val="18"/>
              </w:rPr>
              <w:t>0.01L</w:t>
            </w:r>
          </w:p>
        </w:tc>
        <w:tc>
          <w:tcPr>
            <w:tcW w:w="557" w:type="dxa"/>
            <w:vAlign w:val="top"/>
          </w:tcPr>
          <w:p w14:paraId="09F5AD32">
            <w:pPr>
              <w:pStyle w:val="6"/>
              <w:spacing w:before="96" w:line="213" w:lineRule="auto"/>
              <w:ind w:left="60"/>
              <w:rPr>
                <w:sz w:val="18"/>
                <w:szCs w:val="18"/>
              </w:rPr>
            </w:pPr>
            <w:r>
              <w:rPr>
                <w:spacing w:val="-2"/>
                <w:sz w:val="18"/>
                <w:szCs w:val="18"/>
              </w:rPr>
              <w:t>0.01L</w:t>
            </w:r>
          </w:p>
        </w:tc>
        <w:tc>
          <w:tcPr>
            <w:tcW w:w="715" w:type="dxa"/>
            <w:vAlign w:val="top"/>
          </w:tcPr>
          <w:p w14:paraId="3228BC11">
            <w:pPr>
              <w:pStyle w:val="6"/>
              <w:spacing w:before="96" w:line="213" w:lineRule="auto"/>
              <w:ind w:left="140"/>
              <w:rPr>
                <w:sz w:val="18"/>
                <w:szCs w:val="18"/>
              </w:rPr>
            </w:pPr>
            <w:r>
              <w:rPr>
                <w:spacing w:val="-2"/>
                <w:sz w:val="18"/>
                <w:szCs w:val="18"/>
              </w:rPr>
              <w:t>0.04L</w:t>
            </w:r>
          </w:p>
        </w:tc>
        <w:tc>
          <w:tcPr>
            <w:tcW w:w="567" w:type="dxa"/>
            <w:vAlign w:val="top"/>
          </w:tcPr>
          <w:p w14:paraId="0B76AF44">
            <w:pPr>
              <w:pStyle w:val="6"/>
              <w:spacing w:before="96" w:line="213" w:lineRule="auto"/>
              <w:ind w:left="78"/>
              <w:rPr>
                <w:sz w:val="18"/>
                <w:szCs w:val="18"/>
              </w:rPr>
            </w:pPr>
            <w:r>
              <w:rPr>
                <w:spacing w:val="-2"/>
                <w:sz w:val="18"/>
                <w:szCs w:val="18"/>
              </w:rPr>
              <w:t>0.016</w:t>
            </w:r>
          </w:p>
        </w:tc>
        <w:tc>
          <w:tcPr>
            <w:tcW w:w="708" w:type="dxa"/>
            <w:vAlign w:val="top"/>
          </w:tcPr>
          <w:p w14:paraId="4C26B617">
            <w:pPr>
              <w:pStyle w:val="6"/>
              <w:spacing w:before="96" w:line="213" w:lineRule="auto"/>
              <w:ind w:left="48"/>
              <w:rPr>
                <w:sz w:val="18"/>
                <w:szCs w:val="18"/>
              </w:rPr>
            </w:pPr>
            <w:r>
              <w:rPr>
                <w:spacing w:val="-1"/>
                <w:sz w:val="18"/>
                <w:szCs w:val="18"/>
              </w:rPr>
              <w:t>0.0003L</w:t>
            </w:r>
          </w:p>
        </w:tc>
        <w:tc>
          <w:tcPr>
            <w:tcW w:w="851" w:type="dxa"/>
            <w:vAlign w:val="top"/>
          </w:tcPr>
          <w:p w14:paraId="03414E18">
            <w:pPr>
              <w:pStyle w:val="6"/>
              <w:spacing w:before="96" w:line="213" w:lineRule="auto"/>
              <w:ind w:left="211"/>
              <w:rPr>
                <w:sz w:val="18"/>
                <w:szCs w:val="18"/>
              </w:rPr>
            </w:pPr>
            <w:r>
              <w:rPr>
                <w:spacing w:val="-2"/>
                <w:sz w:val="18"/>
                <w:szCs w:val="18"/>
              </w:rPr>
              <w:t>0.05L</w:t>
            </w:r>
          </w:p>
        </w:tc>
        <w:tc>
          <w:tcPr>
            <w:tcW w:w="566" w:type="dxa"/>
            <w:vAlign w:val="top"/>
          </w:tcPr>
          <w:p w14:paraId="10CE4FEC">
            <w:pPr>
              <w:pStyle w:val="6"/>
              <w:spacing w:before="96" w:line="213" w:lineRule="auto"/>
              <w:ind w:left="125"/>
              <w:rPr>
                <w:sz w:val="18"/>
                <w:szCs w:val="18"/>
              </w:rPr>
            </w:pPr>
            <w:r>
              <w:rPr>
                <w:spacing w:val="-2"/>
                <w:sz w:val="18"/>
                <w:szCs w:val="18"/>
              </w:rPr>
              <w:t>0.01</w:t>
            </w:r>
          </w:p>
        </w:tc>
        <w:tc>
          <w:tcPr>
            <w:tcW w:w="672" w:type="dxa"/>
            <w:vAlign w:val="top"/>
          </w:tcPr>
          <w:p w14:paraId="262056D2">
            <w:pPr>
              <w:pStyle w:val="6"/>
              <w:spacing w:before="96" w:line="213" w:lineRule="auto"/>
              <w:ind w:left="178"/>
              <w:rPr>
                <w:sz w:val="18"/>
                <w:szCs w:val="18"/>
              </w:rPr>
            </w:pPr>
            <w:r>
              <w:rPr>
                <w:spacing w:val="-2"/>
                <w:sz w:val="18"/>
                <w:szCs w:val="18"/>
              </w:rPr>
              <w:t>0.44</w:t>
            </w:r>
          </w:p>
        </w:tc>
        <w:tc>
          <w:tcPr>
            <w:tcW w:w="745" w:type="dxa"/>
            <w:vAlign w:val="top"/>
          </w:tcPr>
          <w:p w14:paraId="1FDB96DA">
            <w:pPr>
              <w:pStyle w:val="6"/>
              <w:spacing w:before="96" w:line="213" w:lineRule="auto"/>
              <w:ind w:left="116"/>
              <w:rPr>
                <w:sz w:val="18"/>
                <w:szCs w:val="18"/>
              </w:rPr>
            </w:pPr>
            <w:r>
              <w:rPr>
                <w:spacing w:val="-2"/>
                <w:sz w:val="18"/>
                <w:szCs w:val="18"/>
              </w:rPr>
              <w:t>0.003L</w:t>
            </w:r>
          </w:p>
        </w:tc>
        <w:tc>
          <w:tcPr>
            <w:tcW w:w="455" w:type="dxa"/>
            <w:vAlign w:val="top"/>
          </w:tcPr>
          <w:p w14:paraId="344101F6">
            <w:pPr>
              <w:pStyle w:val="6"/>
              <w:spacing w:before="96" w:line="213" w:lineRule="auto"/>
              <w:ind w:left="27"/>
              <w:rPr>
                <w:sz w:val="18"/>
                <w:szCs w:val="18"/>
              </w:rPr>
            </w:pPr>
            <w:r>
              <w:rPr>
                <w:spacing w:val="-2"/>
                <w:sz w:val="18"/>
                <w:szCs w:val="18"/>
              </w:rPr>
              <w:t>0.051</w:t>
            </w:r>
          </w:p>
        </w:tc>
        <w:tc>
          <w:tcPr>
            <w:tcW w:w="579" w:type="dxa"/>
            <w:vAlign w:val="top"/>
          </w:tcPr>
          <w:p w14:paraId="5FC330BC">
            <w:pPr>
              <w:pStyle w:val="6"/>
              <w:spacing w:before="96" w:line="213" w:lineRule="auto"/>
              <w:ind w:left="136"/>
              <w:rPr>
                <w:sz w:val="18"/>
                <w:szCs w:val="18"/>
              </w:rPr>
            </w:pPr>
            <w:r>
              <w:rPr>
                <w:spacing w:val="-2"/>
                <w:sz w:val="18"/>
                <w:szCs w:val="18"/>
              </w:rPr>
              <w:t>0.14</w:t>
            </w:r>
          </w:p>
        </w:tc>
        <w:tc>
          <w:tcPr>
            <w:tcW w:w="623" w:type="dxa"/>
            <w:vAlign w:val="top"/>
          </w:tcPr>
          <w:p w14:paraId="48E1A2CD">
            <w:pPr>
              <w:pStyle w:val="6"/>
              <w:spacing w:before="96" w:line="213" w:lineRule="auto"/>
              <w:ind w:left="58"/>
              <w:rPr>
                <w:sz w:val="18"/>
                <w:szCs w:val="18"/>
              </w:rPr>
            </w:pPr>
            <w:r>
              <w:rPr>
                <w:spacing w:val="-2"/>
                <w:sz w:val="18"/>
                <w:szCs w:val="18"/>
              </w:rPr>
              <w:t>0.004L</w:t>
            </w:r>
          </w:p>
        </w:tc>
        <w:tc>
          <w:tcPr>
            <w:tcW w:w="737" w:type="dxa"/>
            <w:vAlign w:val="top"/>
          </w:tcPr>
          <w:p w14:paraId="1F34A970">
            <w:pPr>
              <w:pStyle w:val="6"/>
              <w:spacing w:before="96" w:line="213" w:lineRule="auto"/>
              <w:ind w:left="80"/>
              <w:rPr>
                <w:sz w:val="18"/>
                <w:szCs w:val="18"/>
              </w:rPr>
            </w:pPr>
            <w:r>
              <w:rPr>
                <w:spacing w:val="-1"/>
                <w:sz w:val="18"/>
                <w:szCs w:val="18"/>
              </w:rPr>
              <w:t>0.00046</w:t>
            </w:r>
          </w:p>
        </w:tc>
        <w:tc>
          <w:tcPr>
            <w:tcW w:w="577" w:type="dxa"/>
            <w:vAlign w:val="top"/>
          </w:tcPr>
          <w:p w14:paraId="73D7EC46">
            <w:pPr>
              <w:pStyle w:val="6"/>
              <w:spacing w:before="96" w:line="213" w:lineRule="auto"/>
              <w:ind w:left="48"/>
              <w:rPr>
                <w:sz w:val="18"/>
                <w:szCs w:val="18"/>
              </w:rPr>
            </w:pPr>
            <w:r>
              <w:rPr>
                <w:spacing w:val="-2"/>
                <w:sz w:val="18"/>
                <w:szCs w:val="18"/>
              </w:rPr>
              <w:t>0.0013</w:t>
            </w:r>
          </w:p>
        </w:tc>
        <w:tc>
          <w:tcPr>
            <w:tcW w:w="708" w:type="dxa"/>
            <w:vAlign w:val="top"/>
          </w:tcPr>
          <w:p w14:paraId="29F5E012">
            <w:pPr>
              <w:pStyle w:val="6"/>
              <w:spacing w:before="96" w:line="213" w:lineRule="auto"/>
              <w:ind w:left="60"/>
              <w:rPr>
                <w:sz w:val="18"/>
                <w:szCs w:val="18"/>
              </w:rPr>
            </w:pPr>
            <w:r>
              <w:rPr>
                <w:spacing w:val="-1"/>
                <w:sz w:val="18"/>
                <w:szCs w:val="18"/>
              </w:rPr>
              <w:t>0.0004L</w:t>
            </w:r>
          </w:p>
        </w:tc>
        <w:tc>
          <w:tcPr>
            <w:tcW w:w="567" w:type="dxa"/>
            <w:vAlign w:val="top"/>
          </w:tcPr>
          <w:p w14:paraId="1E312183">
            <w:pPr>
              <w:pStyle w:val="6"/>
              <w:spacing w:before="96" w:line="213" w:lineRule="auto"/>
              <w:ind w:left="35"/>
              <w:rPr>
                <w:sz w:val="18"/>
                <w:szCs w:val="18"/>
              </w:rPr>
            </w:pPr>
            <w:r>
              <w:rPr>
                <w:spacing w:val="-2"/>
                <w:sz w:val="18"/>
                <w:szCs w:val="18"/>
              </w:rPr>
              <w:t>0.001L</w:t>
            </w:r>
          </w:p>
        </w:tc>
        <w:tc>
          <w:tcPr>
            <w:tcW w:w="566" w:type="dxa"/>
            <w:vAlign w:val="top"/>
          </w:tcPr>
          <w:p w14:paraId="3CD6B8D5">
            <w:pPr>
              <w:pStyle w:val="6"/>
              <w:spacing w:before="96" w:line="213" w:lineRule="auto"/>
              <w:ind w:left="34"/>
              <w:rPr>
                <w:sz w:val="18"/>
                <w:szCs w:val="18"/>
              </w:rPr>
            </w:pPr>
            <w:r>
              <w:rPr>
                <w:spacing w:val="-2"/>
                <w:sz w:val="18"/>
                <w:szCs w:val="18"/>
              </w:rPr>
              <w:t>0.004L</w:t>
            </w:r>
          </w:p>
        </w:tc>
        <w:tc>
          <w:tcPr>
            <w:tcW w:w="567" w:type="dxa"/>
            <w:vAlign w:val="top"/>
          </w:tcPr>
          <w:p w14:paraId="27571E08">
            <w:pPr>
              <w:pStyle w:val="6"/>
              <w:spacing w:before="96" w:line="213" w:lineRule="auto"/>
              <w:ind w:left="81"/>
              <w:rPr>
                <w:sz w:val="18"/>
                <w:szCs w:val="18"/>
              </w:rPr>
            </w:pPr>
            <w:r>
              <w:rPr>
                <w:spacing w:val="-2"/>
                <w:sz w:val="18"/>
                <w:szCs w:val="18"/>
              </w:rPr>
              <w:t>0.01L</w:t>
            </w:r>
          </w:p>
        </w:tc>
        <w:tc>
          <w:tcPr>
            <w:tcW w:w="708" w:type="dxa"/>
            <w:vAlign w:val="top"/>
          </w:tcPr>
          <w:p w14:paraId="7EA15469">
            <w:pPr>
              <w:pStyle w:val="6"/>
              <w:spacing w:before="96" w:line="213" w:lineRule="auto"/>
              <w:ind w:left="106"/>
              <w:rPr>
                <w:sz w:val="18"/>
                <w:szCs w:val="18"/>
              </w:rPr>
            </w:pPr>
            <w:r>
              <w:rPr>
                <w:spacing w:val="-2"/>
                <w:sz w:val="18"/>
                <w:szCs w:val="18"/>
              </w:rPr>
              <w:t>0.009L</w:t>
            </w:r>
          </w:p>
        </w:tc>
        <w:tc>
          <w:tcPr>
            <w:tcW w:w="566" w:type="dxa"/>
            <w:vAlign w:val="top"/>
          </w:tcPr>
          <w:p w14:paraId="1D48CE18">
            <w:pPr>
              <w:pStyle w:val="6"/>
              <w:spacing w:before="174" w:line="86" w:lineRule="exact"/>
              <w:ind w:left="236"/>
              <w:rPr>
                <w:sz w:val="18"/>
                <w:szCs w:val="18"/>
              </w:rPr>
            </w:pPr>
            <w:r>
              <w:rPr>
                <w:spacing w:val="-2"/>
                <w:position w:val="-5"/>
                <w:sz w:val="18"/>
                <w:szCs w:val="18"/>
              </w:rPr>
              <w:t>--</w:t>
            </w:r>
          </w:p>
        </w:tc>
        <w:tc>
          <w:tcPr>
            <w:tcW w:w="579" w:type="dxa"/>
            <w:vAlign w:val="top"/>
          </w:tcPr>
          <w:p w14:paraId="4C7DB116">
            <w:pPr>
              <w:pStyle w:val="6"/>
              <w:spacing w:before="96" w:line="213" w:lineRule="auto"/>
              <w:ind w:left="162"/>
              <w:rPr>
                <w:sz w:val="18"/>
                <w:szCs w:val="18"/>
              </w:rPr>
            </w:pPr>
            <w:r>
              <w:rPr>
                <w:spacing w:val="-1"/>
                <w:sz w:val="18"/>
                <w:szCs w:val="18"/>
              </w:rPr>
              <w:t>431</w:t>
            </w:r>
          </w:p>
        </w:tc>
        <w:tc>
          <w:tcPr>
            <w:tcW w:w="411" w:type="dxa"/>
            <w:vAlign w:val="top"/>
          </w:tcPr>
          <w:p w14:paraId="59C68522">
            <w:pPr>
              <w:pStyle w:val="6"/>
              <w:spacing w:before="96" w:line="213" w:lineRule="auto"/>
              <w:ind w:left="106"/>
              <w:rPr>
                <w:sz w:val="18"/>
                <w:szCs w:val="18"/>
              </w:rPr>
            </w:pPr>
            <w:r>
              <w:rPr>
                <w:spacing w:val="-3"/>
                <w:sz w:val="18"/>
                <w:szCs w:val="18"/>
              </w:rPr>
              <w:t>0.5</w:t>
            </w:r>
          </w:p>
        </w:tc>
        <w:tc>
          <w:tcPr>
            <w:tcW w:w="428" w:type="dxa"/>
            <w:vAlign w:val="top"/>
          </w:tcPr>
          <w:p w14:paraId="1B39583D">
            <w:pPr>
              <w:pStyle w:val="6"/>
              <w:spacing w:before="96" w:line="213" w:lineRule="auto"/>
              <w:ind w:left="84"/>
              <w:rPr>
                <w:sz w:val="18"/>
                <w:szCs w:val="18"/>
              </w:rPr>
            </w:pPr>
            <w:r>
              <w:rPr>
                <w:spacing w:val="-6"/>
                <w:sz w:val="18"/>
                <w:szCs w:val="18"/>
              </w:rPr>
              <w:t>14.2</w:t>
            </w:r>
          </w:p>
        </w:tc>
        <w:tc>
          <w:tcPr>
            <w:tcW w:w="427" w:type="dxa"/>
            <w:vAlign w:val="top"/>
          </w:tcPr>
          <w:p w14:paraId="781D8E40">
            <w:pPr>
              <w:pStyle w:val="6"/>
              <w:spacing w:before="96" w:line="213" w:lineRule="auto"/>
              <w:ind w:left="70"/>
              <w:rPr>
                <w:sz w:val="18"/>
                <w:szCs w:val="18"/>
              </w:rPr>
            </w:pPr>
            <w:r>
              <w:rPr>
                <w:spacing w:val="-2"/>
                <w:sz w:val="18"/>
                <w:szCs w:val="18"/>
              </w:rPr>
              <w:t>0.87</w:t>
            </w:r>
          </w:p>
        </w:tc>
        <w:tc>
          <w:tcPr>
            <w:tcW w:w="341" w:type="dxa"/>
            <w:vAlign w:val="top"/>
          </w:tcPr>
          <w:p w14:paraId="6B3222F5">
            <w:pPr>
              <w:pStyle w:val="6"/>
              <w:spacing w:before="96" w:line="213" w:lineRule="auto"/>
              <w:jc w:val="right"/>
              <w:rPr>
                <w:sz w:val="18"/>
                <w:szCs w:val="18"/>
              </w:rPr>
            </w:pPr>
            <w:r>
              <w:rPr>
                <w:spacing w:val="-4"/>
                <w:sz w:val="18"/>
                <w:szCs w:val="18"/>
              </w:rPr>
              <w:t>38.1</w:t>
            </w:r>
          </w:p>
        </w:tc>
        <w:tc>
          <w:tcPr>
            <w:tcW w:w="361" w:type="dxa"/>
            <w:tcBorders>
              <w:right w:val="single" w:color="000000" w:sz="12" w:space="0"/>
            </w:tcBorders>
            <w:vAlign w:val="top"/>
          </w:tcPr>
          <w:p w14:paraId="6217E935">
            <w:pPr>
              <w:pStyle w:val="6"/>
              <w:spacing w:before="96" w:line="213" w:lineRule="auto"/>
              <w:ind w:right="3"/>
              <w:jc w:val="right"/>
              <w:rPr>
                <w:sz w:val="18"/>
                <w:szCs w:val="18"/>
              </w:rPr>
            </w:pPr>
            <w:r>
              <w:rPr>
                <w:spacing w:val="-1"/>
                <w:sz w:val="18"/>
                <w:szCs w:val="18"/>
              </w:rPr>
              <w:t>20.9</w:t>
            </w:r>
          </w:p>
        </w:tc>
      </w:tr>
      <w:tr w14:paraId="497B2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tcBorders>
            <w:vAlign w:val="top"/>
          </w:tcPr>
          <w:p w14:paraId="176F16BD">
            <w:pPr>
              <w:rPr>
                <w:rFonts w:ascii="Arial"/>
                <w:sz w:val="21"/>
              </w:rPr>
            </w:pPr>
          </w:p>
        </w:tc>
        <w:tc>
          <w:tcPr>
            <w:tcW w:w="284" w:type="dxa"/>
            <w:vMerge w:val="continue"/>
            <w:tcBorders>
              <w:top w:val="nil"/>
            </w:tcBorders>
            <w:vAlign w:val="top"/>
          </w:tcPr>
          <w:p w14:paraId="6630C7C0">
            <w:pPr>
              <w:rPr>
                <w:rFonts w:ascii="Arial"/>
                <w:sz w:val="21"/>
              </w:rPr>
            </w:pPr>
          </w:p>
        </w:tc>
        <w:tc>
          <w:tcPr>
            <w:tcW w:w="1249" w:type="dxa"/>
            <w:vAlign w:val="top"/>
          </w:tcPr>
          <w:p w14:paraId="2F125F2A">
            <w:pPr>
              <w:pStyle w:val="6"/>
              <w:spacing w:before="97" w:line="214" w:lineRule="auto"/>
              <w:ind w:left="198"/>
              <w:rPr>
                <w:sz w:val="18"/>
                <w:szCs w:val="18"/>
              </w:rPr>
            </w:pPr>
            <w:r>
              <w:rPr>
                <w:spacing w:val="-1"/>
                <w:sz w:val="18"/>
                <w:szCs w:val="18"/>
              </w:rPr>
              <w:t>2021/11/30</w:t>
            </w:r>
          </w:p>
        </w:tc>
        <w:tc>
          <w:tcPr>
            <w:tcW w:w="733" w:type="dxa"/>
            <w:vAlign w:val="top"/>
          </w:tcPr>
          <w:p w14:paraId="7AAB8C66">
            <w:pPr>
              <w:pStyle w:val="6"/>
              <w:spacing w:before="97" w:line="214" w:lineRule="auto"/>
              <w:ind w:left="244"/>
              <w:rPr>
                <w:sz w:val="18"/>
                <w:szCs w:val="18"/>
              </w:rPr>
            </w:pPr>
            <w:r>
              <w:rPr>
                <w:spacing w:val="-3"/>
                <w:sz w:val="18"/>
                <w:szCs w:val="18"/>
              </w:rPr>
              <w:t>7.1</w:t>
            </w:r>
          </w:p>
        </w:tc>
        <w:tc>
          <w:tcPr>
            <w:tcW w:w="565" w:type="dxa"/>
            <w:vAlign w:val="top"/>
          </w:tcPr>
          <w:p w14:paraId="4DBC3C96">
            <w:pPr>
              <w:pStyle w:val="6"/>
              <w:spacing w:before="97" w:line="214" w:lineRule="auto"/>
              <w:ind w:left="134"/>
              <w:rPr>
                <w:sz w:val="18"/>
                <w:szCs w:val="18"/>
              </w:rPr>
            </w:pPr>
            <w:r>
              <w:rPr>
                <w:spacing w:val="-1"/>
                <w:sz w:val="18"/>
                <w:szCs w:val="18"/>
              </w:rPr>
              <w:t>274</w:t>
            </w:r>
          </w:p>
        </w:tc>
        <w:tc>
          <w:tcPr>
            <w:tcW w:w="708" w:type="dxa"/>
            <w:vAlign w:val="top"/>
          </w:tcPr>
          <w:p w14:paraId="12569BDF">
            <w:pPr>
              <w:pStyle w:val="6"/>
              <w:spacing w:before="97" w:line="214" w:lineRule="auto"/>
              <w:ind w:left="207"/>
              <w:rPr>
                <w:sz w:val="18"/>
                <w:szCs w:val="18"/>
              </w:rPr>
            </w:pPr>
            <w:r>
              <w:rPr>
                <w:spacing w:val="-1"/>
                <w:sz w:val="18"/>
                <w:szCs w:val="18"/>
              </w:rPr>
              <w:t>418</w:t>
            </w:r>
          </w:p>
        </w:tc>
        <w:tc>
          <w:tcPr>
            <w:tcW w:w="567" w:type="dxa"/>
            <w:vAlign w:val="top"/>
          </w:tcPr>
          <w:p w14:paraId="2A0027F4">
            <w:pPr>
              <w:pStyle w:val="6"/>
              <w:spacing w:before="97" w:line="214" w:lineRule="auto"/>
              <w:ind w:left="155"/>
              <w:rPr>
                <w:sz w:val="18"/>
                <w:szCs w:val="18"/>
              </w:rPr>
            </w:pPr>
            <w:r>
              <w:rPr>
                <w:spacing w:val="-5"/>
                <w:sz w:val="18"/>
                <w:szCs w:val="18"/>
              </w:rPr>
              <w:t>117</w:t>
            </w:r>
          </w:p>
        </w:tc>
        <w:tc>
          <w:tcPr>
            <w:tcW w:w="566" w:type="dxa"/>
            <w:vAlign w:val="top"/>
          </w:tcPr>
          <w:p w14:paraId="3444AF3F">
            <w:pPr>
              <w:pStyle w:val="6"/>
              <w:spacing w:before="100" w:line="186" w:lineRule="auto"/>
              <w:ind w:left="145"/>
              <w:rPr>
                <w:sz w:val="18"/>
                <w:szCs w:val="18"/>
              </w:rPr>
            </w:pPr>
            <w:r>
              <w:rPr>
                <w:spacing w:val="-5"/>
                <w:sz w:val="18"/>
                <w:szCs w:val="18"/>
              </w:rPr>
              <w:t>10L</w:t>
            </w:r>
          </w:p>
        </w:tc>
        <w:tc>
          <w:tcPr>
            <w:tcW w:w="567" w:type="dxa"/>
            <w:vAlign w:val="top"/>
          </w:tcPr>
          <w:p w14:paraId="782579E6">
            <w:pPr>
              <w:pStyle w:val="6"/>
              <w:spacing w:before="97" w:line="214" w:lineRule="auto"/>
              <w:ind w:left="65"/>
              <w:rPr>
                <w:sz w:val="18"/>
                <w:szCs w:val="18"/>
              </w:rPr>
            </w:pPr>
            <w:r>
              <w:rPr>
                <w:spacing w:val="-2"/>
                <w:sz w:val="18"/>
                <w:szCs w:val="18"/>
              </w:rPr>
              <w:t>0.01L</w:t>
            </w:r>
          </w:p>
        </w:tc>
        <w:tc>
          <w:tcPr>
            <w:tcW w:w="557" w:type="dxa"/>
            <w:vAlign w:val="top"/>
          </w:tcPr>
          <w:p w14:paraId="1D1D9B10">
            <w:pPr>
              <w:pStyle w:val="6"/>
              <w:spacing w:before="97" w:line="214" w:lineRule="auto"/>
              <w:ind w:left="60"/>
              <w:rPr>
                <w:sz w:val="18"/>
                <w:szCs w:val="18"/>
              </w:rPr>
            </w:pPr>
            <w:r>
              <w:rPr>
                <w:spacing w:val="-2"/>
                <w:sz w:val="18"/>
                <w:szCs w:val="18"/>
              </w:rPr>
              <w:t>0.01L</w:t>
            </w:r>
          </w:p>
        </w:tc>
        <w:tc>
          <w:tcPr>
            <w:tcW w:w="715" w:type="dxa"/>
            <w:vAlign w:val="top"/>
          </w:tcPr>
          <w:p w14:paraId="5CAF43B8">
            <w:pPr>
              <w:pStyle w:val="6"/>
              <w:spacing w:before="97" w:line="214" w:lineRule="auto"/>
              <w:ind w:left="140"/>
              <w:rPr>
                <w:sz w:val="18"/>
                <w:szCs w:val="18"/>
              </w:rPr>
            </w:pPr>
            <w:r>
              <w:rPr>
                <w:spacing w:val="-2"/>
                <w:sz w:val="18"/>
                <w:szCs w:val="18"/>
              </w:rPr>
              <w:t>0.04L</w:t>
            </w:r>
          </w:p>
        </w:tc>
        <w:tc>
          <w:tcPr>
            <w:tcW w:w="567" w:type="dxa"/>
            <w:vAlign w:val="top"/>
          </w:tcPr>
          <w:p w14:paraId="36130350">
            <w:pPr>
              <w:pStyle w:val="6"/>
              <w:spacing w:before="97" w:line="214" w:lineRule="auto"/>
              <w:ind w:left="78"/>
              <w:rPr>
                <w:sz w:val="18"/>
                <w:szCs w:val="18"/>
              </w:rPr>
            </w:pPr>
            <w:r>
              <w:rPr>
                <w:spacing w:val="-2"/>
                <w:sz w:val="18"/>
                <w:szCs w:val="18"/>
              </w:rPr>
              <w:t>0.016</w:t>
            </w:r>
          </w:p>
        </w:tc>
        <w:tc>
          <w:tcPr>
            <w:tcW w:w="708" w:type="dxa"/>
            <w:vAlign w:val="top"/>
          </w:tcPr>
          <w:p w14:paraId="1742E390">
            <w:pPr>
              <w:pStyle w:val="6"/>
              <w:spacing w:before="97" w:line="214" w:lineRule="auto"/>
              <w:ind w:left="48"/>
              <w:rPr>
                <w:sz w:val="18"/>
                <w:szCs w:val="18"/>
              </w:rPr>
            </w:pPr>
            <w:r>
              <w:rPr>
                <w:spacing w:val="-1"/>
                <w:sz w:val="18"/>
                <w:szCs w:val="18"/>
              </w:rPr>
              <w:t>0.0003L</w:t>
            </w:r>
          </w:p>
        </w:tc>
        <w:tc>
          <w:tcPr>
            <w:tcW w:w="851" w:type="dxa"/>
            <w:vAlign w:val="top"/>
          </w:tcPr>
          <w:p w14:paraId="24C6806C">
            <w:pPr>
              <w:pStyle w:val="6"/>
              <w:spacing w:before="97" w:line="214" w:lineRule="auto"/>
              <w:ind w:left="211"/>
              <w:rPr>
                <w:sz w:val="18"/>
                <w:szCs w:val="18"/>
              </w:rPr>
            </w:pPr>
            <w:r>
              <w:rPr>
                <w:spacing w:val="-2"/>
                <w:sz w:val="18"/>
                <w:szCs w:val="18"/>
              </w:rPr>
              <w:t>0.05L</w:t>
            </w:r>
          </w:p>
        </w:tc>
        <w:tc>
          <w:tcPr>
            <w:tcW w:w="566" w:type="dxa"/>
            <w:vAlign w:val="top"/>
          </w:tcPr>
          <w:p w14:paraId="0960C9D3">
            <w:pPr>
              <w:pStyle w:val="6"/>
              <w:spacing w:before="97" w:line="214" w:lineRule="auto"/>
              <w:ind w:left="125"/>
              <w:rPr>
                <w:sz w:val="18"/>
                <w:szCs w:val="18"/>
              </w:rPr>
            </w:pPr>
            <w:r>
              <w:rPr>
                <w:spacing w:val="-2"/>
                <w:sz w:val="18"/>
                <w:szCs w:val="18"/>
              </w:rPr>
              <w:t>0.01</w:t>
            </w:r>
          </w:p>
        </w:tc>
        <w:tc>
          <w:tcPr>
            <w:tcW w:w="672" w:type="dxa"/>
            <w:vAlign w:val="top"/>
          </w:tcPr>
          <w:p w14:paraId="464892B0">
            <w:pPr>
              <w:pStyle w:val="6"/>
              <w:spacing w:before="97" w:line="214" w:lineRule="auto"/>
              <w:ind w:left="178"/>
              <w:rPr>
                <w:sz w:val="18"/>
                <w:szCs w:val="18"/>
              </w:rPr>
            </w:pPr>
            <w:r>
              <w:rPr>
                <w:spacing w:val="-2"/>
                <w:sz w:val="18"/>
                <w:szCs w:val="18"/>
              </w:rPr>
              <w:t>0.42</w:t>
            </w:r>
          </w:p>
        </w:tc>
        <w:tc>
          <w:tcPr>
            <w:tcW w:w="745" w:type="dxa"/>
            <w:vAlign w:val="top"/>
          </w:tcPr>
          <w:p w14:paraId="22F9A3CA">
            <w:pPr>
              <w:pStyle w:val="6"/>
              <w:spacing w:before="97" w:line="214" w:lineRule="auto"/>
              <w:ind w:left="116"/>
              <w:rPr>
                <w:sz w:val="18"/>
                <w:szCs w:val="18"/>
              </w:rPr>
            </w:pPr>
            <w:r>
              <w:rPr>
                <w:spacing w:val="-2"/>
                <w:sz w:val="18"/>
                <w:szCs w:val="18"/>
              </w:rPr>
              <w:t>0.003L</w:t>
            </w:r>
          </w:p>
        </w:tc>
        <w:tc>
          <w:tcPr>
            <w:tcW w:w="455" w:type="dxa"/>
            <w:vAlign w:val="top"/>
          </w:tcPr>
          <w:p w14:paraId="04A47F60">
            <w:pPr>
              <w:pStyle w:val="6"/>
              <w:spacing w:before="97" w:line="214" w:lineRule="auto"/>
              <w:ind w:left="27"/>
              <w:rPr>
                <w:sz w:val="18"/>
                <w:szCs w:val="18"/>
              </w:rPr>
            </w:pPr>
            <w:r>
              <w:rPr>
                <w:spacing w:val="-2"/>
                <w:sz w:val="18"/>
                <w:szCs w:val="18"/>
              </w:rPr>
              <w:t>0.056</w:t>
            </w:r>
          </w:p>
        </w:tc>
        <w:tc>
          <w:tcPr>
            <w:tcW w:w="579" w:type="dxa"/>
            <w:vAlign w:val="top"/>
          </w:tcPr>
          <w:p w14:paraId="53C12FCA">
            <w:pPr>
              <w:pStyle w:val="6"/>
              <w:spacing w:before="97" w:line="214" w:lineRule="auto"/>
              <w:ind w:left="136"/>
              <w:rPr>
                <w:sz w:val="18"/>
                <w:szCs w:val="18"/>
              </w:rPr>
            </w:pPr>
            <w:r>
              <w:rPr>
                <w:spacing w:val="-2"/>
                <w:sz w:val="18"/>
                <w:szCs w:val="18"/>
              </w:rPr>
              <w:t>0.18</w:t>
            </w:r>
          </w:p>
        </w:tc>
        <w:tc>
          <w:tcPr>
            <w:tcW w:w="623" w:type="dxa"/>
            <w:vAlign w:val="top"/>
          </w:tcPr>
          <w:p w14:paraId="0CBE6B4E">
            <w:pPr>
              <w:pStyle w:val="6"/>
              <w:spacing w:before="97" w:line="214" w:lineRule="auto"/>
              <w:ind w:left="58"/>
              <w:rPr>
                <w:sz w:val="18"/>
                <w:szCs w:val="18"/>
              </w:rPr>
            </w:pPr>
            <w:r>
              <w:rPr>
                <w:spacing w:val="-2"/>
                <w:sz w:val="18"/>
                <w:szCs w:val="18"/>
              </w:rPr>
              <w:t>0.004L</w:t>
            </w:r>
          </w:p>
        </w:tc>
        <w:tc>
          <w:tcPr>
            <w:tcW w:w="737" w:type="dxa"/>
            <w:vAlign w:val="top"/>
          </w:tcPr>
          <w:p w14:paraId="055AF624">
            <w:pPr>
              <w:pStyle w:val="6"/>
              <w:spacing w:before="97" w:line="214" w:lineRule="auto"/>
              <w:ind w:left="80"/>
              <w:rPr>
                <w:sz w:val="18"/>
                <w:szCs w:val="18"/>
              </w:rPr>
            </w:pPr>
            <w:r>
              <w:rPr>
                <w:spacing w:val="-1"/>
                <w:sz w:val="18"/>
                <w:szCs w:val="18"/>
              </w:rPr>
              <w:t>0.00043</w:t>
            </w:r>
          </w:p>
        </w:tc>
        <w:tc>
          <w:tcPr>
            <w:tcW w:w="577" w:type="dxa"/>
            <w:vAlign w:val="top"/>
          </w:tcPr>
          <w:p w14:paraId="6273A3D2">
            <w:pPr>
              <w:pStyle w:val="6"/>
              <w:spacing w:before="97" w:line="214" w:lineRule="auto"/>
              <w:ind w:left="48"/>
              <w:rPr>
                <w:sz w:val="18"/>
                <w:szCs w:val="18"/>
              </w:rPr>
            </w:pPr>
            <w:r>
              <w:rPr>
                <w:spacing w:val="-2"/>
                <w:sz w:val="18"/>
                <w:szCs w:val="18"/>
              </w:rPr>
              <w:t>0.0013</w:t>
            </w:r>
          </w:p>
        </w:tc>
        <w:tc>
          <w:tcPr>
            <w:tcW w:w="708" w:type="dxa"/>
            <w:vAlign w:val="top"/>
          </w:tcPr>
          <w:p w14:paraId="4644204A">
            <w:pPr>
              <w:pStyle w:val="6"/>
              <w:spacing w:before="97" w:line="214" w:lineRule="auto"/>
              <w:ind w:left="60"/>
              <w:rPr>
                <w:sz w:val="18"/>
                <w:szCs w:val="18"/>
              </w:rPr>
            </w:pPr>
            <w:r>
              <w:rPr>
                <w:spacing w:val="-1"/>
                <w:sz w:val="18"/>
                <w:szCs w:val="18"/>
              </w:rPr>
              <w:t>0.0004L</w:t>
            </w:r>
          </w:p>
        </w:tc>
        <w:tc>
          <w:tcPr>
            <w:tcW w:w="567" w:type="dxa"/>
            <w:vAlign w:val="top"/>
          </w:tcPr>
          <w:p w14:paraId="6E311E6C">
            <w:pPr>
              <w:pStyle w:val="6"/>
              <w:spacing w:before="97" w:line="214" w:lineRule="auto"/>
              <w:ind w:left="35"/>
              <w:rPr>
                <w:sz w:val="18"/>
                <w:szCs w:val="18"/>
              </w:rPr>
            </w:pPr>
            <w:r>
              <w:rPr>
                <w:spacing w:val="-2"/>
                <w:sz w:val="18"/>
                <w:szCs w:val="18"/>
              </w:rPr>
              <w:t>0.001L</w:t>
            </w:r>
          </w:p>
        </w:tc>
        <w:tc>
          <w:tcPr>
            <w:tcW w:w="566" w:type="dxa"/>
            <w:vAlign w:val="top"/>
          </w:tcPr>
          <w:p w14:paraId="76B5624C">
            <w:pPr>
              <w:pStyle w:val="6"/>
              <w:spacing w:before="97" w:line="214" w:lineRule="auto"/>
              <w:ind w:left="34"/>
              <w:rPr>
                <w:sz w:val="18"/>
                <w:szCs w:val="18"/>
              </w:rPr>
            </w:pPr>
            <w:r>
              <w:rPr>
                <w:spacing w:val="-2"/>
                <w:sz w:val="18"/>
                <w:szCs w:val="18"/>
              </w:rPr>
              <w:t>0.004L</w:t>
            </w:r>
          </w:p>
        </w:tc>
        <w:tc>
          <w:tcPr>
            <w:tcW w:w="567" w:type="dxa"/>
            <w:vAlign w:val="top"/>
          </w:tcPr>
          <w:p w14:paraId="0888AF10">
            <w:pPr>
              <w:pStyle w:val="6"/>
              <w:spacing w:before="97" w:line="214" w:lineRule="auto"/>
              <w:ind w:left="81"/>
              <w:rPr>
                <w:sz w:val="18"/>
                <w:szCs w:val="18"/>
              </w:rPr>
            </w:pPr>
            <w:r>
              <w:rPr>
                <w:spacing w:val="-2"/>
                <w:sz w:val="18"/>
                <w:szCs w:val="18"/>
              </w:rPr>
              <w:t>0.01L</w:t>
            </w:r>
          </w:p>
        </w:tc>
        <w:tc>
          <w:tcPr>
            <w:tcW w:w="708" w:type="dxa"/>
            <w:vAlign w:val="top"/>
          </w:tcPr>
          <w:p w14:paraId="019D1CD7">
            <w:pPr>
              <w:pStyle w:val="6"/>
              <w:spacing w:before="97" w:line="214" w:lineRule="auto"/>
              <w:ind w:left="106"/>
              <w:rPr>
                <w:sz w:val="18"/>
                <w:szCs w:val="18"/>
              </w:rPr>
            </w:pPr>
            <w:r>
              <w:rPr>
                <w:spacing w:val="-2"/>
                <w:sz w:val="18"/>
                <w:szCs w:val="18"/>
              </w:rPr>
              <w:t>0.009L</w:t>
            </w:r>
          </w:p>
        </w:tc>
        <w:tc>
          <w:tcPr>
            <w:tcW w:w="566" w:type="dxa"/>
            <w:vAlign w:val="top"/>
          </w:tcPr>
          <w:p w14:paraId="02669AAF">
            <w:pPr>
              <w:pStyle w:val="6"/>
              <w:spacing w:before="175" w:line="86" w:lineRule="exact"/>
              <w:ind w:left="236"/>
              <w:rPr>
                <w:sz w:val="18"/>
                <w:szCs w:val="18"/>
              </w:rPr>
            </w:pPr>
            <w:r>
              <w:rPr>
                <w:spacing w:val="-2"/>
                <w:position w:val="-5"/>
                <w:sz w:val="18"/>
                <w:szCs w:val="18"/>
              </w:rPr>
              <w:t>--</w:t>
            </w:r>
          </w:p>
        </w:tc>
        <w:tc>
          <w:tcPr>
            <w:tcW w:w="579" w:type="dxa"/>
            <w:vAlign w:val="top"/>
          </w:tcPr>
          <w:p w14:paraId="2D72009C">
            <w:pPr>
              <w:pStyle w:val="6"/>
              <w:spacing w:before="97" w:line="214" w:lineRule="auto"/>
              <w:ind w:left="162"/>
              <w:rPr>
                <w:sz w:val="18"/>
                <w:szCs w:val="18"/>
              </w:rPr>
            </w:pPr>
            <w:r>
              <w:rPr>
                <w:spacing w:val="-1"/>
                <w:sz w:val="18"/>
                <w:szCs w:val="18"/>
              </w:rPr>
              <w:t>449</w:t>
            </w:r>
          </w:p>
        </w:tc>
        <w:tc>
          <w:tcPr>
            <w:tcW w:w="411" w:type="dxa"/>
            <w:vAlign w:val="top"/>
          </w:tcPr>
          <w:p w14:paraId="40BECDDE">
            <w:pPr>
              <w:pStyle w:val="6"/>
              <w:spacing w:before="97" w:line="214" w:lineRule="auto"/>
              <w:ind w:left="61"/>
              <w:rPr>
                <w:sz w:val="18"/>
                <w:szCs w:val="18"/>
              </w:rPr>
            </w:pPr>
            <w:r>
              <w:rPr>
                <w:spacing w:val="-2"/>
                <w:sz w:val="18"/>
                <w:szCs w:val="18"/>
              </w:rPr>
              <w:t>0.46</w:t>
            </w:r>
          </w:p>
        </w:tc>
        <w:tc>
          <w:tcPr>
            <w:tcW w:w="428" w:type="dxa"/>
            <w:vAlign w:val="top"/>
          </w:tcPr>
          <w:p w14:paraId="1AADB2E5">
            <w:pPr>
              <w:pStyle w:val="6"/>
              <w:spacing w:before="97" w:line="214" w:lineRule="auto"/>
              <w:ind w:left="151"/>
              <w:rPr>
                <w:sz w:val="18"/>
                <w:szCs w:val="18"/>
              </w:rPr>
            </w:pPr>
            <w:r>
              <w:rPr>
                <w:spacing w:val="-6"/>
                <w:sz w:val="18"/>
                <w:szCs w:val="18"/>
              </w:rPr>
              <w:t>14</w:t>
            </w:r>
          </w:p>
        </w:tc>
        <w:tc>
          <w:tcPr>
            <w:tcW w:w="427" w:type="dxa"/>
            <w:vAlign w:val="top"/>
          </w:tcPr>
          <w:p w14:paraId="35AFC3AB">
            <w:pPr>
              <w:pStyle w:val="6"/>
              <w:spacing w:before="97" w:line="214" w:lineRule="auto"/>
              <w:ind w:left="70"/>
              <w:rPr>
                <w:sz w:val="18"/>
                <w:szCs w:val="18"/>
              </w:rPr>
            </w:pPr>
            <w:r>
              <w:rPr>
                <w:spacing w:val="-2"/>
                <w:sz w:val="18"/>
                <w:szCs w:val="18"/>
              </w:rPr>
              <w:t>0.86</w:t>
            </w:r>
          </w:p>
        </w:tc>
        <w:tc>
          <w:tcPr>
            <w:tcW w:w="341" w:type="dxa"/>
            <w:vAlign w:val="top"/>
          </w:tcPr>
          <w:p w14:paraId="790D3DEE">
            <w:pPr>
              <w:pStyle w:val="6"/>
              <w:spacing w:before="97" w:line="214" w:lineRule="auto"/>
              <w:jc w:val="right"/>
              <w:rPr>
                <w:sz w:val="18"/>
                <w:szCs w:val="18"/>
              </w:rPr>
            </w:pPr>
            <w:r>
              <w:rPr>
                <w:spacing w:val="-4"/>
                <w:sz w:val="18"/>
                <w:szCs w:val="18"/>
              </w:rPr>
              <w:t>37.1</w:t>
            </w:r>
          </w:p>
        </w:tc>
        <w:tc>
          <w:tcPr>
            <w:tcW w:w="361" w:type="dxa"/>
            <w:tcBorders>
              <w:right w:val="single" w:color="000000" w:sz="12" w:space="0"/>
            </w:tcBorders>
            <w:vAlign w:val="top"/>
          </w:tcPr>
          <w:p w14:paraId="380C9B71">
            <w:pPr>
              <w:pStyle w:val="6"/>
              <w:spacing w:before="97" w:line="214" w:lineRule="auto"/>
              <w:ind w:right="3"/>
              <w:jc w:val="right"/>
              <w:rPr>
                <w:sz w:val="18"/>
                <w:szCs w:val="18"/>
              </w:rPr>
            </w:pPr>
            <w:r>
              <w:rPr>
                <w:spacing w:val="-1"/>
                <w:sz w:val="18"/>
                <w:szCs w:val="18"/>
              </w:rPr>
              <w:t>21.3</w:t>
            </w:r>
          </w:p>
        </w:tc>
      </w:tr>
      <w:tr w14:paraId="53B15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restart"/>
            <w:tcBorders>
              <w:left w:val="single" w:color="000000" w:sz="12" w:space="0"/>
              <w:bottom w:val="nil"/>
            </w:tcBorders>
            <w:vAlign w:val="top"/>
          </w:tcPr>
          <w:p w14:paraId="1EC13B1A">
            <w:pPr>
              <w:spacing w:line="257" w:lineRule="auto"/>
              <w:rPr>
                <w:rFonts w:ascii="Arial"/>
                <w:sz w:val="21"/>
              </w:rPr>
            </w:pPr>
          </w:p>
          <w:p w14:paraId="7AB8F239">
            <w:pPr>
              <w:spacing w:line="258" w:lineRule="auto"/>
              <w:rPr>
                <w:rFonts w:ascii="Arial"/>
                <w:sz w:val="21"/>
              </w:rPr>
            </w:pPr>
          </w:p>
          <w:p w14:paraId="3FB18090">
            <w:pPr>
              <w:spacing w:line="258" w:lineRule="auto"/>
              <w:rPr>
                <w:rFonts w:ascii="Arial"/>
                <w:sz w:val="21"/>
              </w:rPr>
            </w:pPr>
          </w:p>
          <w:p w14:paraId="110402C2">
            <w:pPr>
              <w:spacing w:line="258" w:lineRule="auto"/>
              <w:rPr>
                <w:rFonts w:ascii="Arial"/>
                <w:sz w:val="21"/>
              </w:rPr>
            </w:pPr>
          </w:p>
          <w:p w14:paraId="3C33074B">
            <w:pPr>
              <w:spacing w:line="258" w:lineRule="auto"/>
              <w:rPr>
                <w:rFonts w:ascii="Arial"/>
                <w:sz w:val="21"/>
              </w:rPr>
            </w:pPr>
          </w:p>
          <w:p w14:paraId="0EF02DA9">
            <w:pPr>
              <w:spacing w:line="258" w:lineRule="auto"/>
              <w:rPr>
                <w:rFonts w:ascii="Arial"/>
                <w:sz w:val="21"/>
              </w:rPr>
            </w:pPr>
          </w:p>
          <w:p w14:paraId="266BDE2A">
            <w:pPr>
              <w:spacing w:before="59" w:line="242" w:lineRule="auto"/>
              <w:ind w:left="180" w:right="100" w:hanging="90"/>
              <w:rPr>
                <w:rFonts w:ascii="宋体" w:hAnsi="宋体" w:eastAsia="宋体" w:cs="宋体"/>
                <w:sz w:val="18"/>
                <w:szCs w:val="18"/>
              </w:rPr>
            </w:pPr>
            <w:r>
              <w:rPr>
                <w:rFonts w:ascii="宋体" w:hAnsi="宋体" w:eastAsia="宋体" w:cs="宋体"/>
                <w:spacing w:val="-4"/>
                <w:sz w:val="18"/>
                <w:szCs w:val="18"/>
              </w:rPr>
              <w:t>木龙</w:t>
            </w:r>
            <w:r>
              <w:rPr>
                <w:rFonts w:ascii="宋体" w:hAnsi="宋体" w:eastAsia="宋体" w:cs="宋体"/>
                <w:sz w:val="18"/>
                <w:szCs w:val="18"/>
              </w:rPr>
              <w:t>村</w:t>
            </w:r>
          </w:p>
        </w:tc>
        <w:tc>
          <w:tcPr>
            <w:tcW w:w="284" w:type="dxa"/>
            <w:vMerge w:val="restart"/>
            <w:tcBorders>
              <w:bottom w:val="nil"/>
            </w:tcBorders>
            <w:vAlign w:val="top"/>
          </w:tcPr>
          <w:p w14:paraId="0FE50C11">
            <w:pPr>
              <w:pStyle w:val="6"/>
              <w:spacing w:before="166" w:line="226" w:lineRule="auto"/>
              <w:ind w:left="96"/>
              <w:rPr>
                <w:sz w:val="18"/>
                <w:szCs w:val="18"/>
              </w:rPr>
            </w:pPr>
            <w:r>
              <w:rPr>
                <w:sz w:val="18"/>
                <w:szCs w:val="18"/>
              </w:rPr>
              <w:t>1</w:t>
            </w:r>
          </w:p>
          <w:p w14:paraId="5B4C698F">
            <w:pPr>
              <w:spacing w:line="219" w:lineRule="auto"/>
              <w:ind w:left="39"/>
              <w:rPr>
                <w:rFonts w:ascii="宋体" w:hAnsi="宋体" w:eastAsia="宋体" w:cs="宋体"/>
                <w:sz w:val="18"/>
                <w:szCs w:val="18"/>
              </w:rPr>
            </w:pPr>
            <w:r>
              <w:rPr>
                <w:rFonts w:ascii="宋体" w:hAnsi="宋体" w:eastAsia="宋体" w:cs="宋体"/>
                <w:sz w:val="18"/>
                <w:szCs w:val="18"/>
              </w:rPr>
              <w:t>季</w:t>
            </w:r>
          </w:p>
          <w:p w14:paraId="068E3D85">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734323FA">
            <w:pPr>
              <w:pStyle w:val="6"/>
              <w:spacing w:before="98" w:line="213" w:lineRule="auto"/>
              <w:ind w:left="244"/>
              <w:rPr>
                <w:sz w:val="18"/>
                <w:szCs w:val="18"/>
              </w:rPr>
            </w:pPr>
            <w:r>
              <w:rPr>
                <w:spacing w:val="-1"/>
                <w:sz w:val="18"/>
                <w:szCs w:val="18"/>
              </w:rPr>
              <w:t>2021/3/18</w:t>
            </w:r>
          </w:p>
        </w:tc>
        <w:tc>
          <w:tcPr>
            <w:tcW w:w="733" w:type="dxa"/>
            <w:vAlign w:val="top"/>
          </w:tcPr>
          <w:p w14:paraId="005CF5EC">
            <w:pPr>
              <w:pStyle w:val="6"/>
              <w:spacing w:before="98" w:line="213" w:lineRule="auto"/>
              <w:ind w:left="199"/>
              <w:rPr>
                <w:sz w:val="18"/>
                <w:szCs w:val="18"/>
              </w:rPr>
            </w:pPr>
            <w:r>
              <w:rPr>
                <w:spacing w:val="-2"/>
                <w:sz w:val="18"/>
                <w:szCs w:val="18"/>
              </w:rPr>
              <w:t>6.83</w:t>
            </w:r>
          </w:p>
        </w:tc>
        <w:tc>
          <w:tcPr>
            <w:tcW w:w="565" w:type="dxa"/>
            <w:vAlign w:val="top"/>
          </w:tcPr>
          <w:p w14:paraId="017DEE51">
            <w:pPr>
              <w:pStyle w:val="6"/>
              <w:spacing w:before="98" w:line="213" w:lineRule="auto"/>
              <w:ind w:left="134"/>
              <w:rPr>
                <w:sz w:val="18"/>
                <w:szCs w:val="18"/>
              </w:rPr>
            </w:pPr>
            <w:r>
              <w:rPr>
                <w:spacing w:val="-1"/>
                <w:sz w:val="18"/>
                <w:szCs w:val="18"/>
              </w:rPr>
              <w:t>296</w:t>
            </w:r>
          </w:p>
        </w:tc>
        <w:tc>
          <w:tcPr>
            <w:tcW w:w="708" w:type="dxa"/>
            <w:vAlign w:val="top"/>
          </w:tcPr>
          <w:p w14:paraId="7CD0592B">
            <w:pPr>
              <w:pStyle w:val="6"/>
              <w:spacing w:before="98" w:line="213" w:lineRule="auto"/>
              <w:ind w:left="207"/>
              <w:rPr>
                <w:sz w:val="18"/>
                <w:szCs w:val="18"/>
              </w:rPr>
            </w:pPr>
            <w:r>
              <w:rPr>
                <w:spacing w:val="-1"/>
                <w:sz w:val="18"/>
                <w:szCs w:val="18"/>
              </w:rPr>
              <w:t>403</w:t>
            </w:r>
          </w:p>
        </w:tc>
        <w:tc>
          <w:tcPr>
            <w:tcW w:w="567" w:type="dxa"/>
            <w:vAlign w:val="top"/>
          </w:tcPr>
          <w:p w14:paraId="2A54C74B">
            <w:pPr>
              <w:pStyle w:val="6"/>
              <w:spacing w:before="98" w:line="213" w:lineRule="auto"/>
              <w:ind w:left="235"/>
              <w:rPr>
                <w:sz w:val="18"/>
                <w:szCs w:val="18"/>
              </w:rPr>
            </w:pPr>
            <w:r>
              <w:rPr>
                <w:sz w:val="18"/>
                <w:szCs w:val="18"/>
              </w:rPr>
              <w:t>8</w:t>
            </w:r>
          </w:p>
        </w:tc>
        <w:tc>
          <w:tcPr>
            <w:tcW w:w="566" w:type="dxa"/>
            <w:vAlign w:val="top"/>
          </w:tcPr>
          <w:p w14:paraId="06C3BA08">
            <w:pPr>
              <w:pStyle w:val="6"/>
              <w:spacing w:before="101" w:line="186" w:lineRule="auto"/>
              <w:ind w:left="145"/>
              <w:rPr>
                <w:sz w:val="18"/>
                <w:szCs w:val="18"/>
              </w:rPr>
            </w:pPr>
            <w:r>
              <w:rPr>
                <w:spacing w:val="-5"/>
                <w:sz w:val="18"/>
                <w:szCs w:val="18"/>
              </w:rPr>
              <w:t>10L</w:t>
            </w:r>
          </w:p>
        </w:tc>
        <w:tc>
          <w:tcPr>
            <w:tcW w:w="567" w:type="dxa"/>
            <w:vAlign w:val="top"/>
          </w:tcPr>
          <w:p w14:paraId="4CAC6AAC">
            <w:pPr>
              <w:pStyle w:val="6"/>
              <w:spacing w:before="98" w:line="213" w:lineRule="auto"/>
              <w:ind w:left="65"/>
              <w:rPr>
                <w:sz w:val="18"/>
                <w:szCs w:val="18"/>
              </w:rPr>
            </w:pPr>
            <w:r>
              <w:rPr>
                <w:spacing w:val="-2"/>
                <w:sz w:val="18"/>
                <w:szCs w:val="18"/>
              </w:rPr>
              <w:t>0.01L</w:t>
            </w:r>
          </w:p>
        </w:tc>
        <w:tc>
          <w:tcPr>
            <w:tcW w:w="557" w:type="dxa"/>
            <w:vAlign w:val="top"/>
          </w:tcPr>
          <w:p w14:paraId="79E2C9EC">
            <w:pPr>
              <w:pStyle w:val="6"/>
              <w:spacing w:before="98" w:line="213" w:lineRule="auto"/>
              <w:ind w:left="60"/>
              <w:rPr>
                <w:sz w:val="18"/>
                <w:szCs w:val="18"/>
              </w:rPr>
            </w:pPr>
            <w:r>
              <w:rPr>
                <w:spacing w:val="-2"/>
                <w:sz w:val="18"/>
                <w:szCs w:val="18"/>
              </w:rPr>
              <w:t>0.01L</w:t>
            </w:r>
          </w:p>
        </w:tc>
        <w:tc>
          <w:tcPr>
            <w:tcW w:w="715" w:type="dxa"/>
            <w:vAlign w:val="top"/>
          </w:tcPr>
          <w:p w14:paraId="1E3FE2AF">
            <w:pPr>
              <w:pStyle w:val="6"/>
              <w:spacing w:before="98" w:line="213" w:lineRule="auto"/>
              <w:ind w:left="140"/>
              <w:rPr>
                <w:sz w:val="18"/>
                <w:szCs w:val="18"/>
              </w:rPr>
            </w:pPr>
            <w:r>
              <w:rPr>
                <w:spacing w:val="-2"/>
                <w:sz w:val="18"/>
                <w:szCs w:val="18"/>
              </w:rPr>
              <w:t>0.04L</w:t>
            </w:r>
          </w:p>
        </w:tc>
        <w:tc>
          <w:tcPr>
            <w:tcW w:w="567" w:type="dxa"/>
            <w:vAlign w:val="top"/>
          </w:tcPr>
          <w:p w14:paraId="49830079">
            <w:pPr>
              <w:pStyle w:val="6"/>
              <w:spacing w:before="98" w:line="213" w:lineRule="auto"/>
              <w:ind w:left="78"/>
              <w:rPr>
                <w:sz w:val="18"/>
                <w:szCs w:val="18"/>
              </w:rPr>
            </w:pPr>
            <w:r>
              <w:rPr>
                <w:spacing w:val="-2"/>
                <w:sz w:val="18"/>
                <w:szCs w:val="18"/>
              </w:rPr>
              <w:t>0.012</w:t>
            </w:r>
          </w:p>
        </w:tc>
        <w:tc>
          <w:tcPr>
            <w:tcW w:w="708" w:type="dxa"/>
            <w:vAlign w:val="top"/>
          </w:tcPr>
          <w:p w14:paraId="0BA12EA7">
            <w:pPr>
              <w:pStyle w:val="6"/>
              <w:spacing w:before="98" w:line="213" w:lineRule="auto"/>
              <w:ind w:left="48"/>
              <w:rPr>
                <w:sz w:val="18"/>
                <w:szCs w:val="18"/>
              </w:rPr>
            </w:pPr>
            <w:r>
              <w:rPr>
                <w:spacing w:val="-1"/>
                <w:sz w:val="18"/>
                <w:szCs w:val="18"/>
              </w:rPr>
              <w:t>0.0003L</w:t>
            </w:r>
          </w:p>
        </w:tc>
        <w:tc>
          <w:tcPr>
            <w:tcW w:w="851" w:type="dxa"/>
            <w:vAlign w:val="top"/>
          </w:tcPr>
          <w:p w14:paraId="199D8BCD">
            <w:pPr>
              <w:pStyle w:val="6"/>
              <w:spacing w:before="98" w:line="213" w:lineRule="auto"/>
              <w:ind w:left="211"/>
              <w:rPr>
                <w:sz w:val="18"/>
                <w:szCs w:val="18"/>
              </w:rPr>
            </w:pPr>
            <w:r>
              <w:rPr>
                <w:spacing w:val="-2"/>
                <w:sz w:val="18"/>
                <w:szCs w:val="18"/>
              </w:rPr>
              <w:t>0.05L</w:t>
            </w:r>
          </w:p>
        </w:tc>
        <w:tc>
          <w:tcPr>
            <w:tcW w:w="566" w:type="dxa"/>
            <w:vAlign w:val="top"/>
          </w:tcPr>
          <w:p w14:paraId="1285DAB2">
            <w:pPr>
              <w:pStyle w:val="6"/>
              <w:spacing w:before="98" w:line="213" w:lineRule="auto"/>
              <w:ind w:left="125"/>
              <w:rPr>
                <w:sz w:val="18"/>
                <w:szCs w:val="18"/>
              </w:rPr>
            </w:pPr>
            <w:r>
              <w:rPr>
                <w:spacing w:val="-2"/>
                <w:sz w:val="18"/>
                <w:szCs w:val="18"/>
              </w:rPr>
              <w:t>0.01</w:t>
            </w:r>
          </w:p>
        </w:tc>
        <w:tc>
          <w:tcPr>
            <w:tcW w:w="672" w:type="dxa"/>
            <w:vAlign w:val="top"/>
          </w:tcPr>
          <w:p w14:paraId="5A81341D">
            <w:pPr>
              <w:pStyle w:val="6"/>
              <w:spacing w:before="98" w:line="213" w:lineRule="auto"/>
              <w:ind w:left="193"/>
              <w:rPr>
                <w:sz w:val="18"/>
                <w:szCs w:val="18"/>
              </w:rPr>
            </w:pPr>
            <w:r>
              <w:rPr>
                <w:spacing w:val="-6"/>
                <w:sz w:val="18"/>
                <w:szCs w:val="18"/>
              </w:rPr>
              <w:t>1.18</w:t>
            </w:r>
          </w:p>
        </w:tc>
        <w:tc>
          <w:tcPr>
            <w:tcW w:w="745" w:type="dxa"/>
            <w:vAlign w:val="top"/>
          </w:tcPr>
          <w:p w14:paraId="3D40BE85">
            <w:pPr>
              <w:pStyle w:val="6"/>
              <w:spacing w:before="98" w:line="213" w:lineRule="auto"/>
              <w:ind w:left="116"/>
              <w:rPr>
                <w:sz w:val="18"/>
                <w:szCs w:val="18"/>
              </w:rPr>
            </w:pPr>
            <w:r>
              <w:rPr>
                <w:spacing w:val="-2"/>
                <w:sz w:val="18"/>
                <w:szCs w:val="18"/>
              </w:rPr>
              <w:t>0.003L</w:t>
            </w:r>
          </w:p>
        </w:tc>
        <w:tc>
          <w:tcPr>
            <w:tcW w:w="455" w:type="dxa"/>
            <w:vAlign w:val="top"/>
          </w:tcPr>
          <w:p w14:paraId="545237C7">
            <w:pPr>
              <w:pStyle w:val="6"/>
              <w:spacing w:before="98" w:line="213" w:lineRule="auto"/>
              <w:ind w:left="27"/>
              <w:rPr>
                <w:sz w:val="18"/>
                <w:szCs w:val="18"/>
              </w:rPr>
            </w:pPr>
            <w:r>
              <w:rPr>
                <w:spacing w:val="-2"/>
                <w:sz w:val="18"/>
                <w:szCs w:val="18"/>
              </w:rPr>
              <w:t>0.039</w:t>
            </w:r>
          </w:p>
        </w:tc>
        <w:tc>
          <w:tcPr>
            <w:tcW w:w="579" w:type="dxa"/>
            <w:vAlign w:val="top"/>
          </w:tcPr>
          <w:p w14:paraId="4D4D7AEF">
            <w:pPr>
              <w:pStyle w:val="6"/>
              <w:spacing w:before="98" w:line="213" w:lineRule="auto"/>
              <w:ind w:left="136"/>
              <w:rPr>
                <w:sz w:val="18"/>
                <w:szCs w:val="18"/>
              </w:rPr>
            </w:pPr>
            <w:r>
              <w:rPr>
                <w:spacing w:val="-2"/>
                <w:sz w:val="18"/>
                <w:szCs w:val="18"/>
              </w:rPr>
              <w:t>0.48</w:t>
            </w:r>
          </w:p>
        </w:tc>
        <w:tc>
          <w:tcPr>
            <w:tcW w:w="623" w:type="dxa"/>
            <w:vAlign w:val="top"/>
          </w:tcPr>
          <w:p w14:paraId="7FF01E2B">
            <w:pPr>
              <w:pStyle w:val="6"/>
              <w:spacing w:before="98" w:line="213" w:lineRule="auto"/>
              <w:ind w:left="23"/>
              <w:rPr>
                <w:sz w:val="18"/>
                <w:szCs w:val="18"/>
              </w:rPr>
            </w:pPr>
            <w:r>
              <w:rPr>
                <w:spacing w:val="-1"/>
                <w:sz w:val="18"/>
                <w:szCs w:val="18"/>
              </w:rPr>
              <w:t>0.00026</w:t>
            </w:r>
          </w:p>
        </w:tc>
        <w:tc>
          <w:tcPr>
            <w:tcW w:w="737" w:type="dxa"/>
            <w:vAlign w:val="top"/>
          </w:tcPr>
          <w:p w14:paraId="5E58A710">
            <w:pPr>
              <w:pStyle w:val="6"/>
              <w:spacing w:before="98" w:line="213" w:lineRule="auto"/>
              <w:ind w:left="80"/>
              <w:rPr>
                <w:sz w:val="18"/>
                <w:szCs w:val="18"/>
              </w:rPr>
            </w:pPr>
            <w:r>
              <w:rPr>
                <w:spacing w:val="-1"/>
                <w:sz w:val="18"/>
                <w:szCs w:val="18"/>
              </w:rPr>
              <w:t>0.00026</w:t>
            </w:r>
          </w:p>
        </w:tc>
        <w:tc>
          <w:tcPr>
            <w:tcW w:w="577" w:type="dxa"/>
            <w:vAlign w:val="top"/>
          </w:tcPr>
          <w:p w14:paraId="1B9511B8">
            <w:pPr>
              <w:pStyle w:val="6"/>
              <w:spacing w:before="98" w:line="213" w:lineRule="auto"/>
              <w:ind w:left="48"/>
              <w:rPr>
                <w:sz w:val="18"/>
                <w:szCs w:val="18"/>
              </w:rPr>
            </w:pPr>
            <w:r>
              <w:rPr>
                <w:spacing w:val="-2"/>
                <w:sz w:val="18"/>
                <w:szCs w:val="18"/>
              </w:rPr>
              <w:t>0.0020</w:t>
            </w:r>
          </w:p>
        </w:tc>
        <w:tc>
          <w:tcPr>
            <w:tcW w:w="708" w:type="dxa"/>
            <w:vAlign w:val="top"/>
          </w:tcPr>
          <w:p w14:paraId="40A2065A">
            <w:pPr>
              <w:pStyle w:val="6"/>
              <w:spacing w:before="98" w:line="213" w:lineRule="auto"/>
              <w:ind w:left="115"/>
              <w:rPr>
                <w:sz w:val="18"/>
                <w:szCs w:val="18"/>
              </w:rPr>
            </w:pPr>
            <w:r>
              <w:rPr>
                <w:spacing w:val="-2"/>
                <w:sz w:val="18"/>
                <w:szCs w:val="18"/>
              </w:rPr>
              <w:t>0.0012</w:t>
            </w:r>
          </w:p>
        </w:tc>
        <w:tc>
          <w:tcPr>
            <w:tcW w:w="567" w:type="dxa"/>
            <w:vAlign w:val="top"/>
          </w:tcPr>
          <w:p w14:paraId="2D431206">
            <w:pPr>
              <w:pStyle w:val="6"/>
              <w:spacing w:before="98" w:line="213" w:lineRule="auto"/>
              <w:ind w:left="35"/>
              <w:rPr>
                <w:sz w:val="18"/>
                <w:szCs w:val="18"/>
              </w:rPr>
            </w:pPr>
            <w:r>
              <w:rPr>
                <w:spacing w:val="-2"/>
                <w:sz w:val="18"/>
                <w:szCs w:val="18"/>
              </w:rPr>
              <w:t>0.001L</w:t>
            </w:r>
          </w:p>
        </w:tc>
        <w:tc>
          <w:tcPr>
            <w:tcW w:w="566" w:type="dxa"/>
            <w:vAlign w:val="top"/>
          </w:tcPr>
          <w:p w14:paraId="628F91BF">
            <w:pPr>
              <w:pStyle w:val="6"/>
              <w:spacing w:before="98" w:line="213" w:lineRule="auto"/>
              <w:ind w:left="34"/>
              <w:rPr>
                <w:sz w:val="18"/>
                <w:szCs w:val="18"/>
              </w:rPr>
            </w:pPr>
            <w:r>
              <w:rPr>
                <w:spacing w:val="-2"/>
                <w:sz w:val="18"/>
                <w:szCs w:val="18"/>
              </w:rPr>
              <w:t>0.004L</w:t>
            </w:r>
          </w:p>
        </w:tc>
        <w:tc>
          <w:tcPr>
            <w:tcW w:w="567" w:type="dxa"/>
            <w:vAlign w:val="top"/>
          </w:tcPr>
          <w:p w14:paraId="78C17617">
            <w:pPr>
              <w:pStyle w:val="6"/>
              <w:spacing w:before="98" w:line="213" w:lineRule="auto"/>
              <w:ind w:left="81"/>
              <w:rPr>
                <w:sz w:val="18"/>
                <w:szCs w:val="18"/>
              </w:rPr>
            </w:pPr>
            <w:r>
              <w:rPr>
                <w:spacing w:val="-2"/>
                <w:sz w:val="18"/>
                <w:szCs w:val="18"/>
              </w:rPr>
              <w:t>0.01L</w:t>
            </w:r>
          </w:p>
        </w:tc>
        <w:tc>
          <w:tcPr>
            <w:tcW w:w="708" w:type="dxa"/>
            <w:vAlign w:val="top"/>
          </w:tcPr>
          <w:p w14:paraId="0590C54E">
            <w:pPr>
              <w:pStyle w:val="6"/>
              <w:spacing w:before="98" w:line="213" w:lineRule="auto"/>
              <w:ind w:left="161"/>
              <w:rPr>
                <w:sz w:val="18"/>
                <w:szCs w:val="18"/>
              </w:rPr>
            </w:pPr>
            <w:r>
              <w:rPr>
                <w:spacing w:val="-2"/>
                <w:sz w:val="18"/>
                <w:szCs w:val="18"/>
              </w:rPr>
              <w:t>0.084</w:t>
            </w:r>
          </w:p>
        </w:tc>
        <w:tc>
          <w:tcPr>
            <w:tcW w:w="566" w:type="dxa"/>
            <w:vAlign w:val="top"/>
          </w:tcPr>
          <w:p w14:paraId="1A970570">
            <w:pPr>
              <w:pStyle w:val="6"/>
              <w:spacing w:before="98" w:line="213" w:lineRule="auto"/>
              <w:ind w:left="246"/>
              <w:rPr>
                <w:sz w:val="18"/>
                <w:szCs w:val="18"/>
              </w:rPr>
            </w:pPr>
            <w:r>
              <w:rPr>
                <w:sz w:val="18"/>
                <w:szCs w:val="18"/>
              </w:rPr>
              <w:t>2</w:t>
            </w:r>
          </w:p>
        </w:tc>
        <w:tc>
          <w:tcPr>
            <w:tcW w:w="579" w:type="dxa"/>
            <w:vAlign w:val="top"/>
          </w:tcPr>
          <w:p w14:paraId="5D60EC6F">
            <w:pPr>
              <w:pStyle w:val="6"/>
              <w:spacing w:before="98" w:line="213" w:lineRule="auto"/>
              <w:ind w:left="162"/>
              <w:rPr>
                <w:sz w:val="18"/>
                <w:szCs w:val="18"/>
              </w:rPr>
            </w:pPr>
            <w:r>
              <w:rPr>
                <w:spacing w:val="-1"/>
                <w:sz w:val="18"/>
                <w:szCs w:val="18"/>
              </w:rPr>
              <w:t>465</w:t>
            </w:r>
          </w:p>
        </w:tc>
        <w:tc>
          <w:tcPr>
            <w:tcW w:w="411" w:type="dxa"/>
            <w:vAlign w:val="top"/>
          </w:tcPr>
          <w:p w14:paraId="130A8D23">
            <w:pPr>
              <w:pStyle w:val="6"/>
              <w:spacing w:before="98" w:line="213" w:lineRule="auto"/>
              <w:ind w:left="106"/>
              <w:rPr>
                <w:sz w:val="18"/>
                <w:szCs w:val="18"/>
              </w:rPr>
            </w:pPr>
            <w:r>
              <w:rPr>
                <w:spacing w:val="-3"/>
                <w:sz w:val="18"/>
                <w:szCs w:val="18"/>
              </w:rPr>
              <w:t>0.5</w:t>
            </w:r>
          </w:p>
        </w:tc>
        <w:tc>
          <w:tcPr>
            <w:tcW w:w="428" w:type="dxa"/>
            <w:vAlign w:val="top"/>
          </w:tcPr>
          <w:p w14:paraId="1DA4C65C">
            <w:pPr>
              <w:pStyle w:val="6"/>
              <w:spacing w:before="98" w:line="213" w:lineRule="auto"/>
              <w:ind w:left="67"/>
              <w:rPr>
                <w:sz w:val="18"/>
                <w:szCs w:val="18"/>
              </w:rPr>
            </w:pPr>
            <w:r>
              <w:rPr>
                <w:spacing w:val="-1"/>
                <w:sz w:val="18"/>
                <w:szCs w:val="18"/>
              </w:rPr>
              <w:t>2.38</w:t>
            </w:r>
          </w:p>
        </w:tc>
        <w:tc>
          <w:tcPr>
            <w:tcW w:w="427" w:type="dxa"/>
            <w:vAlign w:val="top"/>
          </w:tcPr>
          <w:p w14:paraId="12B2E9E6">
            <w:pPr>
              <w:pStyle w:val="6"/>
              <w:spacing w:before="98" w:line="213" w:lineRule="auto"/>
              <w:ind w:left="67"/>
              <w:rPr>
                <w:sz w:val="18"/>
                <w:szCs w:val="18"/>
              </w:rPr>
            </w:pPr>
            <w:r>
              <w:rPr>
                <w:spacing w:val="-1"/>
                <w:sz w:val="18"/>
                <w:szCs w:val="18"/>
              </w:rPr>
              <w:t>2.68</w:t>
            </w:r>
          </w:p>
        </w:tc>
        <w:tc>
          <w:tcPr>
            <w:tcW w:w="341" w:type="dxa"/>
            <w:vAlign w:val="top"/>
          </w:tcPr>
          <w:p w14:paraId="784F1C88">
            <w:pPr>
              <w:pStyle w:val="6"/>
              <w:spacing w:before="98" w:line="213" w:lineRule="auto"/>
              <w:jc w:val="right"/>
              <w:rPr>
                <w:sz w:val="18"/>
                <w:szCs w:val="18"/>
              </w:rPr>
            </w:pPr>
            <w:r>
              <w:rPr>
                <w:spacing w:val="-4"/>
                <w:sz w:val="18"/>
                <w:szCs w:val="18"/>
              </w:rPr>
              <w:t>35.5</w:t>
            </w:r>
          </w:p>
        </w:tc>
        <w:tc>
          <w:tcPr>
            <w:tcW w:w="361" w:type="dxa"/>
            <w:tcBorders>
              <w:right w:val="single" w:color="000000" w:sz="12" w:space="0"/>
            </w:tcBorders>
            <w:vAlign w:val="top"/>
          </w:tcPr>
          <w:p w14:paraId="0DBFD0C3">
            <w:pPr>
              <w:pStyle w:val="6"/>
              <w:spacing w:before="98" w:line="213" w:lineRule="auto"/>
              <w:ind w:right="3"/>
              <w:jc w:val="right"/>
              <w:rPr>
                <w:sz w:val="18"/>
                <w:szCs w:val="18"/>
              </w:rPr>
            </w:pPr>
            <w:r>
              <w:rPr>
                <w:spacing w:val="-1"/>
                <w:sz w:val="18"/>
                <w:szCs w:val="18"/>
              </w:rPr>
              <w:t>29.0</w:t>
            </w:r>
          </w:p>
        </w:tc>
      </w:tr>
      <w:tr w14:paraId="0854A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126EBCA1">
            <w:pPr>
              <w:rPr>
                <w:rFonts w:ascii="Arial"/>
                <w:sz w:val="21"/>
              </w:rPr>
            </w:pPr>
          </w:p>
        </w:tc>
        <w:tc>
          <w:tcPr>
            <w:tcW w:w="284" w:type="dxa"/>
            <w:vMerge w:val="continue"/>
            <w:tcBorders>
              <w:top w:val="nil"/>
              <w:bottom w:val="nil"/>
            </w:tcBorders>
            <w:vAlign w:val="top"/>
          </w:tcPr>
          <w:p w14:paraId="5B9E43E8">
            <w:pPr>
              <w:rPr>
                <w:rFonts w:ascii="Arial"/>
                <w:sz w:val="21"/>
              </w:rPr>
            </w:pPr>
          </w:p>
        </w:tc>
        <w:tc>
          <w:tcPr>
            <w:tcW w:w="1249" w:type="dxa"/>
            <w:vAlign w:val="top"/>
          </w:tcPr>
          <w:p w14:paraId="230A6185">
            <w:pPr>
              <w:pStyle w:val="6"/>
              <w:spacing w:before="98" w:line="210" w:lineRule="auto"/>
              <w:ind w:left="244"/>
              <w:rPr>
                <w:sz w:val="18"/>
                <w:szCs w:val="18"/>
              </w:rPr>
            </w:pPr>
            <w:r>
              <w:rPr>
                <w:spacing w:val="-1"/>
                <w:sz w:val="18"/>
                <w:szCs w:val="18"/>
              </w:rPr>
              <w:t>2021/3/19</w:t>
            </w:r>
          </w:p>
        </w:tc>
        <w:tc>
          <w:tcPr>
            <w:tcW w:w="733" w:type="dxa"/>
            <w:vAlign w:val="top"/>
          </w:tcPr>
          <w:p w14:paraId="43BD2EA2">
            <w:pPr>
              <w:pStyle w:val="6"/>
              <w:spacing w:before="98" w:line="210" w:lineRule="auto"/>
              <w:ind w:left="199"/>
              <w:rPr>
                <w:sz w:val="18"/>
                <w:szCs w:val="18"/>
              </w:rPr>
            </w:pPr>
            <w:r>
              <w:rPr>
                <w:spacing w:val="-2"/>
                <w:sz w:val="18"/>
                <w:szCs w:val="18"/>
              </w:rPr>
              <w:t>6.87</w:t>
            </w:r>
          </w:p>
        </w:tc>
        <w:tc>
          <w:tcPr>
            <w:tcW w:w="565" w:type="dxa"/>
            <w:vAlign w:val="top"/>
          </w:tcPr>
          <w:p w14:paraId="347C0DC1">
            <w:pPr>
              <w:pStyle w:val="6"/>
              <w:spacing w:before="98" w:line="210" w:lineRule="auto"/>
              <w:ind w:left="134"/>
              <w:rPr>
                <w:sz w:val="18"/>
                <w:szCs w:val="18"/>
              </w:rPr>
            </w:pPr>
            <w:r>
              <w:rPr>
                <w:spacing w:val="-1"/>
                <w:sz w:val="18"/>
                <w:szCs w:val="18"/>
              </w:rPr>
              <w:t>280</w:t>
            </w:r>
          </w:p>
        </w:tc>
        <w:tc>
          <w:tcPr>
            <w:tcW w:w="708" w:type="dxa"/>
            <w:vAlign w:val="top"/>
          </w:tcPr>
          <w:p w14:paraId="52A8713E">
            <w:pPr>
              <w:pStyle w:val="6"/>
              <w:spacing w:before="98" w:line="210" w:lineRule="auto"/>
              <w:ind w:left="211"/>
              <w:rPr>
                <w:sz w:val="18"/>
                <w:szCs w:val="18"/>
              </w:rPr>
            </w:pPr>
            <w:r>
              <w:rPr>
                <w:spacing w:val="-2"/>
                <w:sz w:val="18"/>
                <w:szCs w:val="18"/>
              </w:rPr>
              <w:t>395</w:t>
            </w:r>
          </w:p>
        </w:tc>
        <w:tc>
          <w:tcPr>
            <w:tcW w:w="567" w:type="dxa"/>
            <w:vAlign w:val="top"/>
          </w:tcPr>
          <w:p w14:paraId="7C76A41F">
            <w:pPr>
              <w:pStyle w:val="6"/>
              <w:spacing w:before="98" w:line="210" w:lineRule="auto"/>
              <w:ind w:left="231"/>
              <w:rPr>
                <w:sz w:val="18"/>
                <w:szCs w:val="18"/>
              </w:rPr>
            </w:pPr>
            <w:r>
              <w:rPr>
                <w:sz w:val="18"/>
                <w:szCs w:val="18"/>
              </w:rPr>
              <w:t>9</w:t>
            </w:r>
          </w:p>
        </w:tc>
        <w:tc>
          <w:tcPr>
            <w:tcW w:w="566" w:type="dxa"/>
            <w:vAlign w:val="top"/>
          </w:tcPr>
          <w:p w14:paraId="5556D9BC">
            <w:pPr>
              <w:pStyle w:val="6"/>
              <w:spacing w:before="101" w:line="186" w:lineRule="auto"/>
              <w:ind w:left="145"/>
              <w:rPr>
                <w:sz w:val="18"/>
                <w:szCs w:val="18"/>
              </w:rPr>
            </w:pPr>
            <w:r>
              <w:rPr>
                <w:spacing w:val="-5"/>
                <w:sz w:val="18"/>
                <w:szCs w:val="18"/>
              </w:rPr>
              <w:t>10L</w:t>
            </w:r>
          </w:p>
        </w:tc>
        <w:tc>
          <w:tcPr>
            <w:tcW w:w="567" w:type="dxa"/>
            <w:vAlign w:val="top"/>
          </w:tcPr>
          <w:p w14:paraId="0AB612D4">
            <w:pPr>
              <w:pStyle w:val="6"/>
              <w:spacing w:before="98" w:line="210" w:lineRule="auto"/>
              <w:ind w:left="65"/>
              <w:rPr>
                <w:sz w:val="18"/>
                <w:szCs w:val="18"/>
              </w:rPr>
            </w:pPr>
            <w:r>
              <w:rPr>
                <w:spacing w:val="-2"/>
                <w:sz w:val="18"/>
                <w:szCs w:val="18"/>
              </w:rPr>
              <w:t>0.01L</w:t>
            </w:r>
          </w:p>
        </w:tc>
        <w:tc>
          <w:tcPr>
            <w:tcW w:w="557" w:type="dxa"/>
            <w:vAlign w:val="top"/>
          </w:tcPr>
          <w:p w14:paraId="35A74E3F">
            <w:pPr>
              <w:pStyle w:val="6"/>
              <w:spacing w:before="98" w:line="210" w:lineRule="auto"/>
              <w:ind w:left="60"/>
              <w:rPr>
                <w:sz w:val="18"/>
                <w:szCs w:val="18"/>
              </w:rPr>
            </w:pPr>
            <w:r>
              <w:rPr>
                <w:spacing w:val="-2"/>
                <w:sz w:val="18"/>
                <w:szCs w:val="18"/>
              </w:rPr>
              <w:t>0.01L</w:t>
            </w:r>
          </w:p>
        </w:tc>
        <w:tc>
          <w:tcPr>
            <w:tcW w:w="715" w:type="dxa"/>
            <w:vAlign w:val="top"/>
          </w:tcPr>
          <w:p w14:paraId="11B1E339">
            <w:pPr>
              <w:pStyle w:val="6"/>
              <w:spacing w:before="98" w:line="210" w:lineRule="auto"/>
              <w:ind w:left="140"/>
              <w:rPr>
                <w:sz w:val="18"/>
                <w:szCs w:val="18"/>
              </w:rPr>
            </w:pPr>
            <w:r>
              <w:rPr>
                <w:spacing w:val="-2"/>
                <w:sz w:val="18"/>
                <w:szCs w:val="18"/>
              </w:rPr>
              <w:t>0.04L</w:t>
            </w:r>
          </w:p>
        </w:tc>
        <w:tc>
          <w:tcPr>
            <w:tcW w:w="567" w:type="dxa"/>
            <w:vAlign w:val="top"/>
          </w:tcPr>
          <w:p w14:paraId="1D85D9F9">
            <w:pPr>
              <w:pStyle w:val="6"/>
              <w:spacing w:before="98" w:line="210" w:lineRule="auto"/>
              <w:ind w:left="78"/>
              <w:rPr>
                <w:sz w:val="18"/>
                <w:szCs w:val="18"/>
              </w:rPr>
            </w:pPr>
            <w:r>
              <w:rPr>
                <w:spacing w:val="-2"/>
                <w:sz w:val="18"/>
                <w:szCs w:val="18"/>
              </w:rPr>
              <w:t>0.012</w:t>
            </w:r>
          </w:p>
        </w:tc>
        <w:tc>
          <w:tcPr>
            <w:tcW w:w="708" w:type="dxa"/>
            <w:vAlign w:val="top"/>
          </w:tcPr>
          <w:p w14:paraId="210B4E2A">
            <w:pPr>
              <w:pStyle w:val="6"/>
              <w:spacing w:before="98" w:line="210" w:lineRule="auto"/>
              <w:ind w:left="48"/>
              <w:rPr>
                <w:sz w:val="18"/>
                <w:szCs w:val="18"/>
              </w:rPr>
            </w:pPr>
            <w:r>
              <w:rPr>
                <w:spacing w:val="-1"/>
                <w:sz w:val="18"/>
                <w:szCs w:val="18"/>
              </w:rPr>
              <w:t>0.0003L</w:t>
            </w:r>
          </w:p>
        </w:tc>
        <w:tc>
          <w:tcPr>
            <w:tcW w:w="851" w:type="dxa"/>
            <w:vAlign w:val="top"/>
          </w:tcPr>
          <w:p w14:paraId="02CD54A5">
            <w:pPr>
              <w:pStyle w:val="6"/>
              <w:spacing w:before="98" w:line="210" w:lineRule="auto"/>
              <w:ind w:left="211"/>
              <w:rPr>
                <w:sz w:val="18"/>
                <w:szCs w:val="18"/>
              </w:rPr>
            </w:pPr>
            <w:r>
              <w:rPr>
                <w:spacing w:val="-2"/>
                <w:sz w:val="18"/>
                <w:szCs w:val="18"/>
              </w:rPr>
              <w:t>0.05L</w:t>
            </w:r>
          </w:p>
        </w:tc>
        <w:tc>
          <w:tcPr>
            <w:tcW w:w="566" w:type="dxa"/>
            <w:vAlign w:val="top"/>
          </w:tcPr>
          <w:p w14:paraId="22E4D6AC">
            <w:pPr>
              <w:pStyle w:val="6"/>
              <w:spacing w:before="98" w:line="210" w:lineRule="auto"/>
              <w:ind w:left="125"/>
              <w:rPr>
                <w:sz w:val="18"/>
                <w:szCs w:val="18"/>
              </w:rPr>
            </w:pPr>
            <w:r>
              <w:rPr>
                <w:spacing w:val="-2"/>
                <w:sz w:val="18"/>
                <w:szCs w:val="18"/>
              </w:rPr>
              <w:t>0.01</w:t>
            </w:r>
          </w:p>
        </w:tc>
        <w:tc>
          <w:tcPr>
            <w:tcW w:w="672" w:type="dxa"/>
            <w:vAlign w:val="top"/>
          </w:tcPr>
          <w:p w14:paraId="35AD49AF">
            <w:pPr>
              <w:pStyle w:val="6"/>
              <w:spacing w:before="98" w:line="210" w:lineRule="auto"/>
              <w:ind w:left="193"/>
              <w:rPr>
                <w:sz w:val="18"/>
                <w:szCs w:val="18"/>
              </w:rPr>
            </w:pPr>
            <w:r>
              <w:rPr>
                <w:spacing w:val="-6"/>
                <w:sz w:val="18"/>
                <w:szCs w:val="18"/>
              </w:rPr>
              <w:t>1.15</w:t>
            </w:r>
          </w:p>
        </w:tc>
        <w:tc>
          <w:tcPr>
            <w:tcW w:w="745" w:type="dxa"/>
            <w:vAlign w:val="top"/>
          </w:tcPr>
          <w:p w14:paraId="7F6ED3AF">
            <w:pPr>
              <w:pStyle w:val="6"/>
              <w:spacing w:before="98" w:line="210" w:lineRule="auto"/>
              <w:ind w:left="116"/>
              <w:rPr>
                <w:sz w:val="18"/>
                <w:szCs w:val="18"/>
              </w:rPr>
            </w:pPr>
            <w:r>
              <w:rPr>
                <w:spacing w:val="-2"/>
                <w:sz w:val="18"/>
                <w:szCs w:val="18"/>
              </w:rPr>
              <w:t>0.003L</w:t>
            </w:r>
          </w:p>
        </w:tc>
        <w:tc>
          <w:tcPr>
            <w:tcW w:w="455" w:type="dxa"/>
            <w:vAlign w:val="top"/>
          </w:tcPr>
          <w:p w14:paraId="13B46D61">
            <w:pPr>
              <w:pStyle w:val="6"/>
              <w:spacing w:before="98" w:line="210" w:lineRule="auto"/>
              <w:ind w:left="27"/>
              <w:rPr>
                <w:sz w:val="18"/>
                <w:szCs w:val="18"/>
              </w:rPr>
            </w:pPr>
            <w:r>
              <w:rPr>
                <w:spacing w:val="-2"/>
                <w:sz w:val="18"/>
                <w:szCs w:val="18"/>
              </w:rPr>
              <w:t>0.035</w:t>
            </w:r>
          </w:p>
        </w:tc>
        <w:tc>
          <w:tcPr>
            <w:tcW w:w="579" w:type="dxa"/>
            <w:vAlign w:val="top"/>
          </w:tcPr>
          <w:p w14:paraId="734672F0">
            <w:pPr>
              <w:pStyle w:val="6"/>
              <w:spacing w:before="98" w:line="210" w:lineRule="auto"/>
              <w:ind w:left="136"/>
              <w:rPr>
                <w:sz w:val="18"/>
                <w:szCs w:val="18"/>
              </w:rPr>
            </w:pPr>
            <w:r>
              <w:rPr>
                <w:spacing w:val="-2"/>
                <w:sz w:val="18"/>
                <w:szCs w:val="18"/>
              </w:rPr>
              <w:t>0.50</w:t>
            </w:r>
          </w:p>
        </w:tc>
        <w:tc>
          <w:tcPr>
            <w:tcW w:w="623" w:type="dxa"/>
            <w:vAlign w:val="top"/>
          </w:tcPr>
          <w:p w14:paraId="09929AD0">
            <w:pPr>
              <w:pStyle w:val="6"/>
              <w:spacing w:before="98" w:line="210" w:lineRule="auto"/>
              <w:ind w:left="23"/>
              <w:rPr>
                <w:sz w:val="18"/>
                <w:szCs w:val="18"/>
              </w:rPr>
            </w:pPr>
            <w:r>
              <w:rPr>
                <w:spacing w:val="-1"/>
                <w:sz w:val="18"/>
                <w:szCs w:val="18"/>
              </w:rPr>
              <w:t>0.00028</w:t>
            </w:r>
          </w:p>
        </w:tc>
        <w:tc>
          <w:tcPr>
            <w:tcW w:w="737" w:type="dxa"/>
            <w:vAlign w:val="top"/>
          </w:tcPr>
          <w:p w14:paraId="426B5889">
            <w:pPr>
              <w:pStyle w:val="6"/>
              <w:spacing w:before="98" w:line="210" w:lineRule="auto"/>
              <w:ind w:left="80"/>
              <w:rPr>
                <w:sz w:val="18"/>
                <w:szCs w:val="18"/>
              </w:rPr>
            </w:pPr>
            <w:r>
              <w:rPr>
                <w:spacing w:val="-1"/>
                <w:sz w:val="18"/>
                <w:szCs w:val="18"/>
              </w:rPr>
              <w:t>0.00028</w:t>
            </w:r>
          </w:p>
        </w:tc>
        <w:tc>
          <w:tcPr>
            <w:tcW w:w="577" w:type="dxa"/>
            <w:vAlign w:val="top"/>
          </w:tcPr>
          <w:p w14:paraId="28E0DF87">
            <w:pPr>
              <w:pStyle w:val="6"/>
              <w:spacing w:before="98" w:line="210" w:lineRule="auto"/>
              <w:ind w:left="48"/>
              <w:rPr>
                <w:sz w:val="18"/>
                <w:szCs w:val="18"/>
              </w:rPr>
            </w:pPr>
            <w:r>
              <w:rPr>
                <w:spacing w:val="-2"/>
                <w:sz w:val="18"/>
                <w:szCs w:val="18"/>
              </w:rPr>
              <w:t>0.0017</w:t>
            </w:r>
          </w:p>
        </w:tc>
        <w:tc>
          <w:tcPr>
            <w:tcW w:w="708" w:type="dxa"/>
            <w:vAlign w:val="top"/>
          </w:tcPr>
          <w:p w14:paraId="3D173D81">
            <w:pPr>
              <w:pStyle w:val="6"/>
              <w:spacing w:before="98" w:line="210" w:lineRule="auto"/>
              <w:ind w:left="115"/>
              <w:rPr>
                <w:sz w:val="18"/>
                <w:szCs w:val="18"/>
              </w:rPr>
            </w:pPr>
            <w:r>
              <w:rPr>
                <w:spacing w:val="-2"/>
                <w:sz w:val="18"/>
                <w:szCs w:val="18"/>
              </w:rPr>
              <w:t>0.0012</w:t>
            </w:r>
          </w:p>
        </w:tc>
        <w:tc>
          <w:tcPr>
            <w:tcW w:w="567" w:type="dxa"/>
            <w:vAlign w:val="top"/>
          </w:tcPr>
          <w:p w14:paraId="51E9443E">
            <w:pPr>
              <w:pStyle w:val="6"/>
              <w:spacing w:before="98" w:line="210" w:lineRule="auto"/>
              <w:ind w:left="35"/>
              <w:rPr>
                <w:sz w:val="18"/>
                <w:szCs w:val="18"/>
              </w:rPr>
            </w:pPr>
            <w:r>
              <w:rPr>
                <w:spacing w:val="-2"/>
                <w:sz w:val="18"/>
                <w:szCs w:val="18"/>
              </w:rPr>
              <w:t>0.001L</w:t>
            </w:r>
          </w:p>
        </w:tc>
        <w:tc>
          <w:tcPr>
            <w:tcW w:w="566" w:type="dxa"/>
            <w:vAlign w:val="top"/>
          </w:tcPr>
          <w:p w14:paraId="189FE2B2">
            <w:pPr>
              <w:pStyle w:val="6"/>
              <w:spacing w:before="98" w:line="210" w:lineRule="auto"/>
              <w:ind w:left="34"/>
              <w:rPr>
                <w:sz w:val="18"/>
                <w:szCs w:val="18"/>
              </w:rPr>
            </w:pPr>
            <w:r>
              <w:rPr>
                <w:spacing w:val="-2"/>
                <w:sz w:val="18"/>
                <w:szCs w:val="18"/>
              </w:rPr>
              <w:t>0.004L</w:t>
            </w:r>
          </w:p>
        </w:tc>
        <w:tc>
          <w:tcPr>
            <w:tcW w:w="567" w:type="dxa"/>
            <w:vAlign w:val="top"/>
          </w:tcPr>
          <w:p w14:paraId="68C3AD41">
            <w:pPr>
              <w:pStyle w:val="6"/>
              <w:spacing w:before="98" w:line="210" w:lineRule="auto"/>
              <w:ind w:left="81"/>
              <w:rPr>
                <w:sz w:val="18"/>
                <w:szCs w:val="18"/>
              </w:rPr>
            </w:pPr>
            <w:r>
              <w:rPr>
                <w:spacing w:val="-2"/>
                <w:sz w:val="18"/>
                <w:szCs w:val="18"/>
              </w:rPr>
              <w:t>0.01L</w:t>
            </w:r>
          </w:p>
        </w:tc>
        <w:tc>
          <w:tcPr>
            <w:tcW w:w="708" w:type="dxa"/>
            <w:vAlign w:val="top"/>
          </w:tcPr>
          <w:p w14:paraId="1609EB7D">
            <w:pPr>
              <w:pStyle w:val="6"/>
              <w:spacing w:before="98" w:line="210" w:lineRule="auto"/>
              <w:ind w:left="161"/>
              <w:rPr>
                <w:sz w:val="18"/>
                <w:szCs w:val="18"/>
              </w:rPr>
            </w:pPr>
            <w:r>
              <w:rPr>
                <w:spacing w:val="-2"/>
                <w:sz w:val="18"/>
                <w:szCs w:val="18"/>
              </w:rPr>
              <w:t>0.085</w:t>
            </w:r>
          </w:p>
        </w:tc>
        <w:tc>
          <w:tcPr>
            <w:tcW w:w="566" w:type="dxa"/>
            <w:vAlign w:val="top"/>
          </w:tcPr>
          <w:p w14:paraId="61809DCA">
            <w:pPr>
              <w:pStyle w:val="6"/>
              <w:spacing w:before="98" w:line="210" w:lineRule="auto"/>
              <w:ind w:left="246"/>
              <w:rPr>
                <w:sz w:val="18"/>
                <w:szCs w:val="18"/>
              </w:rPr>
            </w:pPr>
            <w:r>
              <w:rPr>
                <w:sz w:val="18"/>
                <w:szCs w:val="18"/>
              </w:rPr>
              <w:t>2</w:t>
            </w:r>
          </w:p>
        </w:tc>
        <w:tc>
          <w:tcPr>
            <w:tcW w:w="579" w:type="dxa"/>
            <w:vAlign w:val="top"/>
          </w:tcPr>
          <w:p w14:paraId="10CF52E7">
            <w:pPr>
              <w:pStyle w:val="6"/>
              <w:spacing w:before="98" w:line="210" w:lineRule="auto"/>
              <w:ind w:left="162"/>
              <w:rPr>
                <w:sz w:val="18"/>
                <w:szCs w:val="18"/>
              </w:rPr>
            </w:pPr>
            <w:r>
              <w:rPr>
                <w:spacing w:val="-1"/>
                <w:sz w:val="18"/>
                <w:szCs w:val="18"/>
              </w:rPr>
              <w:t>474</w:t>
            </w:r>
          </w:p>
        </w:tc>
        <w:tc>
          <w:tcPr>
            <w:tcW w:w="411" w:type="dxa"/>
            <w:vAlign w:val="top"/>
          </w:tcPr>
          <w:p w14:paraId="3E42DCC5">
            <w:pPr>
              <w:pStyle w:val="6"/>
              <w:spacing w:before="98" w:line="210" w:lineRule="auto"/>
              <w:ind w:left="106"/>
              <w:rPr>
                <w:sz w:val="18"/>
                <w:szCs w:val="18"/>
              </w:rPr>
            </w:pPr>
            <w:r>
              <w:rPr>
                <w:spacing w:val="-3"/>
                <w:sz w:val="18"/>
                <w:szCs w:val="18"/>
              </w:rPr>
              <w:t>0.6</w:t>
            </w:r>
          </w:p>
        </w:tc>
        <w:tc>
          <w:tcPr>
            <w:tcW w:w="428" w:type="dxa"/>
            <w:vAlign w:val="top"/>
          </w:tcPr>
          <w:p w14:paraId="3C743D86">
            <w:pPr>
              <w:pStyle w:val="6"/>
              <w:spacing w:before="98" w:line="210" w:lineRule="auto"/>
              <w:ind w:left="67"/>
              <w:rPr>
                <w:sz w:val="18"/>
                <w:szCs w:val="18"/>
              </w:rPr>
            </w:pPr>
            <w:r>
              <w:rPr>
                <w:spacing w:val="-1"/>
                <w:sz w:val="18"/>
                <w:szCs w:val="18"/>
              </w:rPr>
              <w:t>2.39</w:t>
            </w:r>
          </w:p>
        </w:tc>
        <w:tc>
          <w:tcPr>
            <w:tcW w:w="427" w:type="dxa"/>
            <w:vAlign w:val="top"/>
          </w:tcPr>
          <w:p w14:paraId="2D4CAFFE">
            <w:pPr>
              <w:pStyle w:val="6"/>
              <w:spacing w:before="98" w:line="210" w:lineRule="auto"/>
              <w:ind w:left="67"/>
              <w:rPr>
                <w:sz w:val="18"/>
                <w:szCs w:val="18"/>
              </w:rPr>
            </w:pPr>
            <w:r>
              <w:rPr>
                <w:spacing w:val="-1"/>
                <w:sz w:val="18"/>
                <w:szCs w:val="18"/>
              </w:rPr>
              <w:t>2.66</w:t>
            </w:r>
          </w:p>
        </w:tc>
        <w:tc>
          <w:tcPr>
            <w:tcW w:w="341" w:type="dxa"/>
            <w:vAlign w:val="top"/>
          </w:tcPr>
          <w:p w14:paraId="2A34539D">
            <w:pPr>
              <w:pStyle w:val="6"/>
              <w:spacing w:before="98" w:line="210" w:lineRule="auto"/>
              <w:jc w:val="right"/>
              <w:rPr>
                <w:sz w:val="18"/>
                <w:szCs w:val="18"/>
              </w:rPr>
            </w:pPr>
            <w:r>
              <w:rPr>
                <w:spacing w:val="-4"/>
                <w:sz w:val="18"/>
                <w:szCs w:val="18"/>
              </w:rPr>
              <w:t>35.5</w:t>
            </w:r>
          </w:p>
        </w:tc>
        <w:tc>
          <w:tcPr>
            <w:tcW w:w="361" w:type="dxa"/>
            <w:tcBorders>
              <w:right w:val="single" w:color="000000" w:sz="12" w:space="0"/>
            </w:tcBorders>
            <w:vAlign w:val="top"/>
          </w:tcPr>
          <w:p w14:paraId="68BD43DA">
            <w:pPr>
              <w:pStyle w:val="6"/>
              <w:spacing w:before="98" w:line="210" w:lineRule="auto"/>
              <w:ind w:right="3"/>
              <w:jc w:val="right"/>
              <w:rPr>
                <w:sz w:val="18"/>
                <w:szCs w:val="18"/>
              </w:rPr>
            </w:pPr>
            <w:r>
              <w:rPr>
                <w:spacing w:val="-1"/>
                <w:sz w:val="18"/>
                <w:szCs w:val="18"/>
              </w:rPr>
              <w:t>28.8</w:t>
            </w:r>
          </w:p>
        </w:tc>
      </w:tr>
      <w:tr w14:paraId="2885D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5BF47688">
            <w:pPr>
              <w:rPr>
                <w:rFonts w:ascii="Arial"/>
                <w:sz w:val="21"/>
              </w:rPr>
            </w:pPr>
          </w:p>
        </w:tc>
        <w:tc>
          <w:tcPr>
            <w:tcW w:w="284" w:type="dxa"/>
            <w:vMerge w:val="continue"/>
            <w:tcBorders>
              <w:top w:val="nil"/>
            </w:tcBorders>
            <w:vAlign w:val="top"/>
          </w:tcPr>
          <w:p w14:paraId="07AB5F65">
            <w:pPr>
              <w:rPr>
                <w:rFonts w:ascii="Arial"/>
                <w:sz w:val="21"/>
              </w:rPr>
            </w:pPr>
          </w:p>
        </w:tc>
        <w:tc>
          <w:tcPr>
            <w:tcW w:w="1249" w:type="dxa"/>
            <w:vAlign w:val="top"/>
          </w:tcPr>
          <w:p w14:paraId="20841B43">
            <w:pPr>
              <w:pStyle w:val="6"/>
              <w:spacing w:before="100" w:line="211" w:lineRule="auto"/>
              <w:ind w:left="244"/>
              <w:rPr>
                <w:sz w:val="18"/>
                <w:szCs w:val="18"/>
              </w:rPr>
            </w:pPr>
            <w:r>
              <w:rPr>
                <w:spacing w:val="-1"/>
                <w:sz w:val="18"/>
                <w:szCs w:val="18"/>
              </w:rPr>
              <w:t>2021/3/20</w:t>
            </w:r>
          </w:p>
        </w:tc>
        <w:tc>
          <w:tcPr>
            <w:tcW w:w="733" w:type="dxa"/>
            <w:vAlign w:val="top"/>
          </w:tcPr>
          <w:p w14:paraId="5280E1E2">
            <w:pPr>
              <w:pStyle w:val="6"/>
              <w:spacing w:before="100" w:line="211" w:lineRule="auto"/>
              <w:ind w:left="199"/>
              <w:rPr>
                <w:sz w:val="18"/>
                <w:szCs w:val="18"/>
              </w:rPr>
            </w:pPr>
            <w:r>
              <w:rPr>
                <w:spacing w:val="-2"/>
                <w:sz w:val="18"/>
                <w:szCs w:val="18"/>
              </w:rPr>
              <w:t>6.85</w:t>
            </w:r>
          </w:p>
        </w:tc>
        <w:tc>
          <w:tcPr>
            <w:tcW w:w="565" w:type="dxa"/>
            <w:vAlign w:val="top"/>
          </w:tcPr>
          <w:p w14:paraId="444A3A2D">
            <w:pPr>
              <w:pStyle w:val="6"/>
              <w:spacing w:before="100" w:line="211" w:lineRule="auto"/>
              <w:ind w:left="134"/>
              <w:rPr>
                <w:sz w:val="18"/>
                <w:szCs w:val="18"/>
              </w:rPr>
            </w:pPr>
            <w:r>
              <w:rPr>
                <w:spacing w:val="-1"/>
                <w:sz w:val="18"/>
                <w:szCs w:val="18"/>
              </w:rPr>
              <w:t>285</w:t>
            </w:r>
          </w:p>
        </w:tc>
        <w:tc>
          <w:tcPr>
            <w:tcW w:w="708" w:type="dxa"/>
            <w:vAlign w:val="top"/>
          </w:tcPr>
          <w:p w14:paraId="646A842F">
            <w:pPr>
              <w:pStyle w:val="6"/>
              <w:spacing w:before="100" w:line="211" w:lineRule="auto"/>
              <w:ind w:left="207"/>
              <w:rPr>
                <w:sz w:val="18"/>
                <w:szCs w:val="18"/>
              </w:rPr>
            </w:pPr>
            <w:r>
              <w:rPr>
                <w:spacing w:val="-1"/>
                <w:sz w:val="18"/>
                <w:szCs w:val="18"/>
              </w:rPr>
              <w:t>411</w:t>
            </w:r>
          </w:p>
        </w:tc>
        <w:tc>
          <w:tcPr>
            <w:tcW w:w="567" w:type="dxa"/>
            <w:vAlign w:val="top"/>
          </w:tcPr>
          <w:p w14:paraId="0C600702">
            <w:pPr>
              <w:pStyle w:val="6"/>
              <w:spacing w:before="100" w:line="211" w:lineRule="auto"/>
              <w:ind w:left="201"/>
              <w:rPr>
                <w:sz w:val="18"/>
                <w:szCs w:val="18"/>
              </w:rPr>
            </w:pPr>
            <w:r>
              <w:rPr>
                <w:spacing w:val="-6"/>
                <w:sz w:val="18"/>
                <w:szCs w:val="18"/>
              </w:rPr>
              <w:t>10</w:t>
            </w:r>
          </w:p>
        </w:tc>
        <w:tc>
          <w:tcPr>
            <w:tcW w:w="566" w:type="dxa"/>
            <w:vAlign w:val="top"/>
          </w:tcPr>
          <w:p w14:paraId="2265229C">
            <w:pPr>
              <w:pStyle w:val="6"/>
              <w:spacing w:before="102" w:line="186" w:lineRule="auto"/>
              <w:ind w:left="145"/>
              <w:rPr>
                <w:sz w:val="18"/>
                <w:szCs w:val="18"/>
              </w:rPr>
            </w:pPr>
            <w:r>
              <w:rPr>
                <w:spacing w:val="-5"/>
                <w:sz w:val="18"/>
                <w:szCs w:val="18"/>
              </w:rPr>
              <w:t>10L</w:t>
            </w:r>
          </w:p>
        </w:tc>
        <w:tc>
          <w:tcPr>
            <w:tcW w:w="567" w:type="dxa"/>
            <w:vAlign w:val="top"/>
          </w:tcPr>
          <w:p w14:paraId="6358E955">
            <w:pPr>
              <w:pStyle w:val="6"/>
              <w:spacing w:before="100" w:line="211" w:lineRule="auto"/>
              <w:ind w:left="65"/>
              <w:rPr>
                <w:sz w:val="18"/>
                <w:szCs w:val="18"/>
              </w:rPr>
            </w:pPr>
            <w:r>
              <w:rPr>
                <w:spacing w:val="-2"/>
                <w:sz w:val="18"/>
                <w:szCs w:val="18"/>
              </w:rPr>
              <w:t>0.01L</w:t>
            </w:r>
          </w:p>
        </w:tc>
        <w:tc>
          <w:tcPr>
            <w:tcW w:w="557" w:type="dxa"/>
            <w:vAlign w:val="top"/>
          </w:tcPr>
          <w:p w14:paraId="5F17FA1B">
            <w:pPr>
              <w:pStyle w:val="6"/>
              <w:spacing w:before="100" w:line="211" w:lineRule="auto"/>
              <w:ind w:left="60"/>
              <w:rPr>
                <w:sz w:val="18"/>
                <w:szCs w:val="18"/>
              </w:rPr>
            </w:pPr>
            <w:r>
              <w:rPr>
                <w:spacing w:val="-2"/>
                <w:sz w:val="18"/>
                <w:szCs w:val="18"/>
              </w:rPr>
              <w:t>0.01L</w:t>
            </w:r>
          </w:p>
        </w:tc>
        <w:tc>
          <w:tcPr>
            <w:tcW w:w="715" w:type="dxa"/>
            <w:vAlign w:val="top"/>
          </w:tcPr>
          <w:p w14:paraId="1A9AB4AF">
            <w:pPr>
              <w:pStyle w:val="6"/>
              <w:spacing w:before="100" w:line="211" w:lineRule="auto"/>
              <w:ind w:left="140"/>
              <w:rPr>
                <w:sz w:val="18"/>
                <w:szCs w:val="18"/>
              </w:rPr>
            </w:pPr>
            <w:r>
              <w:rPr>
                <w:spacing w:val="-2"/>
                <w:sz w:val="18"/>
                <w:szCs w:val="18"/>
              </w:rPr>
              <w:t>0.04L</w:t>
            </w:r>
          </w:p>
        </w:tc>
        <w:tc>
          <w:tcPr>
            <w:tcW w:w="567" w:type="dxa"/>
            <w:vAlign w:val="top"/>
          </w:tcPr>
          <w:p w14:paraId="770ECCE6">
            <w:pPr>
              <w:pStyle w:val="6"/>
              <w:spacing w:before="100" w:line="211" w:lineRule="auto"/>
              <w:ind w:left="78"/>
              <w:rPr>
                <w:sz w:val="18"/>
                <w:szCs w:val="18"/>
              </w:rPr>
            </w:pPr>
            <w:r>
              <w:rPr>
                <w:spacing w:val="-2"/>
                <w:sz w:val="18"/>
                <w:szCs w:val="18"/>
              </w:rPr>
              <w:t>0.011</w:t>
            </w:r>
          </w:p>
        </w:tc>
        <w:tc>
          <w:tcPr>
            <w:tcW w:w="708" w:type="dxa"/>
            <w:vAlign w:val="top"/>
          </w:tcPr>
          <w:p w14:paraId="3739B1B5">
            <w:pPr>
              <w:pStyle w:val="6"/>
              <w:spacing w:before="100" w:line="211" w:lineRule="auto"/>
              <w:ind w:left="48"/>
              <w:rPr>
                <w:sz w:val="18"/>
                <w:szCs w:val="18"/>
              </w:rPr>
            </w:pPr>
            <w:r>
              <w:rPr>
                <w:spacing w:val="-1"/>
                <w:sz w:val="18"/>
                <w:szCs w:val="18"/>
              </w:rPr>
              <w:t>0.0003L</w:t>
            </w:r>
          </w:p>
        </w:tc>
        <w:tc>
          <w:tcPr>
            <w:tcW w:w="851" w:type="dxa"/>
            <w:vAlign w:val="top"/>
          </w:tcPr>
          <w:p w14:paraId="6356940D">
            <w:pPr>
              <w:pStyle w:val="6"/>
              <w:spacing w:before="100" w:line="211" w:lineRule="auto"/>
              <w:ind w:left="211"/>
              <w:rPr>
                <w:sz w:val="18"/>
                <w:szCs w:val="18"/>
              </w:rPr>
            </w:pPr>
            <w:r>
              <w:rPr>
                <w:spacing w:val="-2"/>
                <w:sz w:val="18"/>
                <w:szCs w:val="18"/>
              </w:rPr>
              <w:t>0.05L</w:t>
            </w:r>
          </w:p>
        </w:tc>
        <w:tc>
          <w:tcPr>
            <w:tcW w:w="566" w:type="dxa"/>
            <w:vAlign w:val="top"/>
          </w:tcPr>
          <w:p w14:paraId="2CB612D1">
            <w:pPr>
              <w:pStyle w:val="6"/>
              <w:spacing w:before="100" w:line="211" w:lineRule="auto"/>
              <w:ind w:left="125"/>
              <w:rPr>
                <w:sz w:val="18"/>
                <w:szCs w:val="18"/>
              </w:rPr>
            </w:pPr>
            <w:r>
              <w:rPr>
                <w:spacing w:val="-2"/>
                <w:sz w:val="18"/>
                <w:szCs w:val="18"/>
              </w:rPr>
              <w:t>0.02</w:t>
            </w:r>
          </w:p>
        </w:tc>
        <w:tc>
          <w:tcPr>
            <w:tcW w:w="672" w:type="dxa"/>
            <w:vAlign w:val="top"/>
          </w:tcPr>
          <w:p w14:paraId="04D8C3CC">
            <w:pPr>
              <w:pStyle w:val="6"/>
              <w:spacing w:before="100" w:line="211" w:lineRule="auto"/>
              <w:ind w:left="193"/>
              <w:rPr>
                <w:sz w:val="18"/>
                <w:szCs w:val="18"/>
              </w:rPr>
            </w:pPr>
            <w:r>
              <w:rPr>
                <w:spacing w:val="-6"/>
                <w:sz w:val="18"/>
                <w:szCs w:val="18"/>
              </w:rPr>
              <w:t>1.14</w:t>
            </w:r>
          </w:p>
        </w:tc>
        <w:tc>
          <w:tcPr>
            <w:tcW w:w="745" w:type="dxa"/>
            <w:vAlign w:val="top"/>
          </w:tcPr>
          <w:p w14:paraId="16B9A21F">
            <w:pPr>
              <w:pStyle w:val="6"/>
              <w:spacing w:before="100" w:line="211" w:lineRule="auto"/>
              <w:ind w:left="116"/>
              <w:rPr>
                <w:sz w:val="18"/>
                <w:szCs w:val="18"/>
              </w:rPr>
            </w:pPr>
            <w:r>
              <w:rPr>
                <w:spacing w:val="-2"/>
                <w:sz w:val="18"/>
                <w:szCs w:val="18"/>
              </w:rPr>
              <w:t>0.003L</w:t>
            </w:r>
          </w:p>
        </w:tc>
        <w:tc>
          <w:tcPr>
            <w:tcW w:w="455" w:type="dxa"/>
            <w:vAlign w:val="top"/>
          </w:tcPr>
          <w:p w14:paraId="0DBF2AB7">
            <w:pPr>
              <w:pStyle w:val="6"/>
              <w:spacing w:before="100" w:line="211" w:lineRule="auto"/>
              <w:ind w:left="27"/>
              <w:rPr>
                <w:sz w:val="18"/>
                <w:szCs w:val="18"/>
              </w:rPr>
            </w:pPr>
            <w:r>
              <w:rPr>
                <w:spacing w:val="-2"/>
                <w:sz w:val="18"/>
                <w:szCs w:val="18"/>
              </w:rPr>
              <w:t>0.042</w:t>
            </w:r>
          </w:p>
        </w:tc>
        <w:tc>
          <w:tcPr>
            <w:tcW w:w="579" w:type="dxa"/>
            <w:vAlign w:val="top"/>
          </w:tcPr>
          <w:p w14:paraId="049A9754">
            <w:pPr>
              <w:pStyle w:val="6"/>
              <w:spacing w:before="100" w:line="211" w:lineRule="auto"/>
              <w:ind w:left="136"/>
              <w:rPr>
                <w:sz w:val="18"/>
                <w:szCs w:val="18"/>
              </w:rPr>
            </w:pPr>
            <w:r>
              <w:rPr>
                <w:spacing w:val="-2"/>
                <w:sz w:val="18"/>
                <w:szCs w:val="18"/>
              </w:rPr>
              <w:t>0.47</w:t>
            </w:r>
          </w:p>
        </w:tc>
        <w:tc>
          <w:tcPr>
            <w:tcW w:w="623" w:type="dxa"/>
            <w:vAlign w:val="top"/>
          </w:tcPr>
          <w:p w14:paraId="349482AE">
            <w:pPr>
              <w:pStyle w:val="6"/>
              <w:spacing w:before="100" w:line="211" w:lineRule="auto"/>
              <w:ind w:left="23"/>
              <w:rPr>
                <w:sz w:val="18"/>
                <w:szCs w:val="18"/>
              </w:rPr>
            </w:pPr>
            <w:r>
              <w:rPr>
                <w:spacing w:val="-1"/>
                <w:sz w:val="18"/>
                <w:szCs w:val="18"/>
              </w:rPr>
              <w:t>0.00021</w:t>
            </w:r>
          </w:p>
        </w:tc>
        <w:tc>
          <w:tcPr>
            <w:tcW w:w="737" w:type="dxa"/>
            <w:vAlign w:val="top"/>
          </w:tcPr>
          <w:p w14:paraId="66C69CDF">
            <w:pPr>
              <w:pStyle w:val="6"/>
              <w:spacing w:before="100" w:line="211" w:lineRule="auto"/>
              <w:ind w:left="80"/>
              <w:rPr>
                <w:sz w:val="18"/>
                <w:szCs w:val="18"/>
              </w:rPr>
            </w:pPr>
            <w:r>
              <w:rPr>
                <w:spacing w:val="-1"/>
                <w:sz w:val="18"/>
                <w:szCs w:val="18"/>
              </w:rPr>
              <w:t>0.00021</w:t>
            </w:r>
          </w:p>
        </w:tc>
        <w:tc>
          <w:tcPr>
            <w:tcW w:w="577" w:type="dxa"/>
            <w:vAlign w:val="top"/>
          </w:tcPr>
          <w:p w14:paraId="53E159E1">
            <w:pPr>
              <w:pStyle w:val="6"/>
              <w:spacing w:before="100" w:line="211" w:lineRule="auto"/>
              <w:ind w:left="48"/>
              <w:rPr>
                <w:sz w:val="18"/>
                <w:szCs w:val="18"/>
              </w:rPr>
            </w:pPr>
            <w:r>
              <w:rPr>
                <w:spacing w:val="-2"/>
                <w:sz w:val="18"/>
                <w:szCs w:val="18"/>
              </w:rPr>
              <w:t>0.0017</w:t>
            </w:r>
          </w:p>
        </w:tc>
        <w:tc>
          <w:tcPr>
            <w:tcW w:w="708" w:type="dxa"/>
            <w:vAlign w:val="top"/>
          </w:tcPr>
          <w:p w14:paraId="65BE509D">
            <w:pPr>
              <w:pStyle w:val="6"/>
              <w:spacing w:before="100" w:line="211" w:lineRule="auto"/>
              <w:ind w:left="115"/>
              <w:rPr>
                <w:sz w:val="18"/>
                <w:szCs w:val="18"/>
              </w:rPr>
            </w:pPr>
            <w:r>
              <w:rPr>
                <w:spacing w:val="-2"/>
                <w:sz w:val="18"/>
                <w:szCs w:val="18"/>
              </w:rPr>
              <w:t>0.0011</w:t>
            </w:r>
          </w:p>
        </w:tc>
        <w:tc>
          <w:tcPr>
            <w:tcW w:w="567" w:type="dxa"/>
            <w:vAlign w:val="top"/>
          </w:tcPr>
          <w:p w14:paraId="15D0B527">
            <w:pPr>
              <w:pStyle w:val="6"/>
              <w:spacing w:before="100" w:line="211" w:lineRule="auto"/>
              <w:ind w:left="35"/>
              <w:rPr>
                <w:sz w:val="18"/>
                <w:szCs w:val="18"/>
              </w:rPr>
            </w:pPr>
            <w:r>
              <w:rPr>
                <w:spacing w:val="-2"/>
                <w:sz w:val="18"/>
                <w:szCs w:val="18"/>
              </w:rPr>
              <w:t>0.001L</w:t>
            </w:r>
          </w:p>
        </w:tc>
        <w:tc>
          <w:tcPr>
            <w:tcW w:w="566" w:type="dxa"/>
            <w:vAlign w:val="top"/>
          </w:tcPr>
          <w:p w14:paraId="7E0F87FC">
            <w:pPr>
              <w:pStyle w:val="6"/>
              <w:spacing w:before="100" w:line="211" w:lineRule="auto"/>
              <w:ind w:left="34"/>
              <w:rPr>
                <w:sz w:val="18"/>
                <w:szCs w:val="18"/>
              </w:rPr>
            </w:pPr>
            <w:r>
              <w:rPr>
                <w:spacing w:val="-2"/>
                <w:sz w:val="18"/>
                <w:szCs w:val="18"/>
              </w:rPr>
              <w:t>0.004L</w:t>
            </w:r>
          </w:p>
        </w:tc>
        <w:tc>
          <w:tcPr>
            <w:tcW w:w="567" w:type="dxa"/>
            <w:vAlign w:val="top"/>
          </w:tcPr>
          <w:p w14:paraId="2446C7B9">
            <w:pPr>
              <w:pStyle w:val="6"/>
              <w:spacing w:before="100" w:line="211" w:lineRule="auto"/>
              <w:ind w:left="81"/>
              <w:rPr>
                <w:sz w:val="18"/>
                <w:szCs w:val="18"/>
              </w:rPr>
            </w:pPr>
            <w:r>
              <w:rPr>
                <w:spacing w:val="-2"/>
                <w:sz w:val="18"/>
                <w:szCs w:val="18"/>
              </w:rPr>
              <w:t>0.01L</w:t>
            </w:r>
          </w:p>
        </w:tc>
        <w:tc>
          <w:tcPr>
            <w:tcW w:w="708" w:type="dxa"/>
            <w:vAlign w:val="top"/>
          </w:tcPr>
          <w:p w14:paraId="49C26E68">
            <w:pPr>
              <w:pStyle w:val="6"/>
              <w:spacing w:before="100" w:line="211" w:lineRule="auto"/>
              <w:ind w:left="161"/>
              <w:rPr>
                <w:sz w:val="18"/>
                <w:szCs w:val="18"/>
              </w:rPr>
            </w:pPr>
            <w:r>
              <w:rPr>
                <w:spacing w:val="-2"/>
                <w:sz w:val="18"/>
                <w:szCs w:val="18"/>
              </w:rPr>
              <w:t>0.083</w:t>
            </w:r>
          </w:p>
        </w:tc>
        <w:tc>
          <w:tcPr>
            <w:tcW w:w="566" w:type="dxa"/>
            <w:vAlign w:val="top"/>
          </w:tcPr>
          <w:p w14:paraId="25293396">
            <w:pPr>
              <w:pStyle w:val="6"/>
              <w:spacing w:before="100" w:line="211" w:lineRule="auto"/>
              <w:ind w:left="246"/>
              <w:rPr>
                <w:sz w:val="18"/>
                <w:szCs w:val="18"/>
              </w:rPr>
            </w:pPr>
            <w:r>
              <w:rPr>
                <w:sz w:val="18"/>
                <w:szCs w:val="18"/>
              </w:rPr>
              <w:t>2</w:t>
            </w:r>
          </w:p>
        </w:tc>
        <w:tc>
          <w:tcPr>
            <w:tcW w:w="579" w:type="dxa"/>
            <w:vAlign w:val="top"/>
          </w:tcPr>
          <w:p w14:paraId="1C3268A7">
            <w:pPr>
              <w:pStyle w:val="6"/>
              <w:spacing w:before="100" w:line="211" w:lineRule="auto"/>
              <w:ind w:left="162"/>
              <w:rPr>
                <w:sz w:val="18"/>
                <w:szCs w:val="18"/>
              </w:rPr>
            </w:pPr>
            <w:r>
              <w:rPr>
                <w:spacing w:val="-1"/>
                <w:sz w:val="18"/>
                <w:szCs w:val="18"/>
              </w:rPr>
              <w:t>481</w:t>
            </w:r>
          </w:p>
        </w:tc>
        <w:tc>
          <w:tcPr>
            <w:tcW w:w="411" w:type="dxa"/>
            <w:vAlign w:val="top"/>
          </w:tcPr>
          <w:p w14:paraId="7E12EECB">
            <w:pPr>
              <w:pStyle w:val="6"/>
              <w:spacing w:before="100" w:line="211" w:lineRule="auto"/>
              <w:ind w:left="106"/>
              <w:rPr>
                <w:sz w:val="18"/>
                <w:szCs w:val="18"/>
              </w:rPr>
            </w:pPr>
            <w:r>
              <w:rPr>
                <w:spacing w:val="-3"/>
                <w:sz w:val="18"/>
                <w:szCs w:val="18"/>
              </w:rPr>
              <w:t>0.8</w:t>
            </w:r>
          </w:p>
        </w:tc>
        <w:tc>
          <w:tcPr>
            <w:tcW w:w="428" w:type="dxa"/>
            <w:vAlign w:val="top"/>
          </w:tcPr>
          <w:p w14:paraId="03C7AFA0">
            <w:pPr>
              <w:pStyle w:val="6"/>
              <w:spacing w:before="100" w:line="211" w:lineRule="auto"/>
              <w:ind w:left="67"/>
              <w:rPr>
                <w:sz w:val="18"/>
                <w:szCs w:val="18"/>
              </w:rPr>
            </w:pPr>
            <w:r>
              <w:rPr>
                <w:spacing w:val="-1"/>
                <w:sz w:val="18"/>
                <w:szCs w:val="18"/>
              </w:rPr>
              <w:t>2.36</w:t>
            </w:r>
          </w:p>
        </w:tc>
        <w:tc>
          <w:tcPr>
            <w:tcW w:w="427" w:type="dxa"/>
            <w:vAlign w:val="top"/>
          </w:tcPr>
          <w:p w14:paraId="4E25BA42">
            <w:pPr>
              <w:pStyle w:val="6"/>
              <w:spacing w:before="100" w:line="211" w:lineRule="auto"/>
              <w:ind w:left="67"/>
              <w:rPr>
                <w:sz w:val="18"/>
                <w:szCs w:val="18"/>
              </w:rPr>
            </w:pPr>
            <w:r>
              <w:rPr>
                <w:spacing w:val="-1"/>
                <w:sz w:val="18"/>
                <w:szCs w:val="18"/>
              </w:rPr>
              <w:t>2.69</w:t>
            </w:r>
          </w:p>
        </w:tc>
        <w:tc>
          <w:tcPr>
            <w:tcW w:w="341" w:type="dxa"/>
            <w:vAlign w:val="top"/>
          </w:tcPr>
          <w:p w14:paraId="2AF642B6">
            <w:pPr>
              <w:pStyle w:val="6"/>
              <w:spacing w:before="100" w:line="211" w:lineRule="auto"/>
              <w:jc w:val="right"/>
              <w:rPr>
                <w:sz w:val="18"/>
                <w:szCs w:val="18"/>
              </w:rPr>
            </w:pPr>
            <w:r>
              <w:rPr>
                <w:spacing w:val="-4"/>
                <w:sz w:val="18"/>
                <w:szCs w:val="18"/>
              </w:rPr>
              <w:t>35.3</w:t>
            </w:r>
          </w:p>
        </w:tc>
        <w:tc>
          <w:tcPr>
            <w:tcW w:w="361" w:type="dxa"/>
            <w:tcBorders>
              <w:right w:val="single" w:color="000000" w:sz="12" w:space="0"/>
            </w:tcBorders>
            <w:vAlign w:val="top"/>
          </w:tcPr>
          <w:p w14:paraId="789737AB">
            <w:pPr>
              <w:pStyle w:val="6"/>
              <w:spacing w:before="100" w:line="211" w:lineRule="auto"/>
              <w:ind w:right="3"/>
              <w:jc w:val="right"/>
              <w:rPr>
                <w:sz w:val="18"/>
                <w:szCs w:val="18"/>
              </w:rPr>
            </w:pPr>
            <w:r>
              <w:rPr>
                <w:spacing w:val="-1"/>
                <w:sz w:val="18"/>
                <w:szCs w:val="18"/>
              </w:rPr>
              <w:t>29.2</w:t>
            </w:r>
          </w:p>
        </w:tc>
      </w:tr>
      <w:tr w14:paraId="76971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5D6A0E58">
            <w:pPr>
              <w:rPr>
                <w:rFonts w:ascii="Arial"/>
                <w:sz w:val="21"/>
              </w:rPr>
            </w:pPr>
          </w:p>
        </w:tc>
        <w:tc>
          <w:tcPr>
            <w:tcW w:w="284" w:type="dxa"/>
            <w:vMerge w:val="restart"/>
            <w:tcBorders>
              <w:bottom w:val="nil"/>
            </w:tcBorders>
            <w:vAlign w:val="top"/>
          </w:tcPr>
          <w:p w14:paraId="6C078AA1">
            <w:pPr>
              <w:pStyle w:val="6"/>
              <w:spacing w:before="168" w:line="226" w:lineRule="auto"/>
              <w:ind w:left="79"/>
              <w:rPr>
                <w:sz w:val="18"/>
                <w:szCs w:val="18"/>
              </w:rPr>
            </w:pPr>
            <w:r>
              <w:rPr>
                <w:sz w:val="18"/>
                <w:szCs w:val="18"/>
              </w:rPr>
              <w:t>2</w:t>
            </w:r>
          </w:p>
          <w:p w14:paraId="0FED7700">
            <w:pPr>
              <w:spacing w:line="219" w:lineRule="auto"/>
              <w:ind w:left="39"/>
              <w:rPr>
                <w:rFonts w:ascii="宋体" w:hAnsi="宋体" w:eastAsia="宋体" w:cs="宋体"/>
                <w:sz w:val="18"/>
                <w:szCs w:val="18"/>
              </w:rPr>
            </w:pPr>
            <w:r>
              <w:rPr>
                <w:rFonts w:ascii="宋体" w:hAnsi="宋体" w:eastAsia="宋体" w:cs="宋体"/>
                <w:sz w:val="18"/>
                <w:szCs w:val="18"/>
              </w:rPr>
              <w:t>季</w:t>
            </w:r>
          </w:p>
          <w:p w14:paraId="1EE1B869">
            <w:pPr>
              <w:spacing w:before="20"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7A43166A">
            <w:pPr>
              <w:pStyle w:val="6"/>
              <w:spacing w:before="100" w:line="211" w:lineRule="auto"/>
              <w:ind w:left="288"/>
              <w:rPr>
                <w:sz w:val="18"/>
                <w:szCs w:val="18"/>
              </w:rPr>
            </w:pPr>
            <w:r>
              <w:rPr>
                <w:spacing w:val="-1"/>
                <w:sz w:val="18"/>
                <w:szCs w:val="18"/>
              </w:rPr>
              <w:t>2021/6/3</w:t>
            </w:r>
          </w:p>
        </w:tc>
        <w:tc>
          <w:tcPr>
            <w:tcW w:w="733" w:type="dxa"/>
            <w:vAlign w:val="top"/>
          </w:tcPr>
          <w:p w14:paraId="653D76AF">
            <w:pPr>
              <w:pStyle w:val="6"/>
              <w:spacing w:before="100" w:line="211" w:lineRule="auto"/>
              <w:ind w:left="245"/>
              <w:rPr>
                <w:sz w:val="18"/>
                <w:szCs w:val="18"/>
              </w:rPr>
            </w:pPr>
            <w:r>
              <w:rPr>
                <w:spacing w:val="-3"/>
                <w:sz w:val="18"/>
                <w:szCs w:val="18"/>
              </w:rPr>
              <w:t>6.8</w:t>
            </w:r>
          </w:p>
        </w:tc>
        <w:tc>
          <w:tcPr>
            <w:tcW w:w="565" w:type="dxa"/>
            <w:vAlign w:val="top"/>
          </w:tcPr>
          <w:p w14:paraId="2CE679E5">
            <w:pPr>
              <w:pStyle w:val="6"/>
              <w:spacing w:before="100" w:line="211" w:lineRule="auto"/>
              <w:ind w:left="134"/>
              <w:rPr>
                <w:sz w:val="18"/>
                <w:szCs w:val="18"/>
              </w:rPr>
            </w:pPr>
            <w:r>
              <w:rPr>
                <w:spacing w:val="-1"/>
                <w:sz w:val="18"/>
                <w:szCs w:val="18"/>
              </w:rPr>
              <w:t>286</w:t>
            </w:r>
          </w:p>
        </w:tc>
        <w:tc>
          <w:tcPr>
            <w:tcW w:w="708" w:type="dxa"/>
            <w:vAlign w:val="top"/>
          </w:tcPr>
          <w:p w14:paraId="47E90623">
            <w:pPr>
              <w:pStyle w:val="6"/>
              <w:spacing w:before="100" w:line="211" w:lineRule="auto"/>
              <w:ind w:left="211"/>
              <w:rPr>
                <w:sz w:val="18"/>
                <w:szCs w:val="18"/>
              </w:rPr>
            </w:pPr>
            <w:r>
              <w:rPr>
                <w:spacing w:val="-2"/>
                <w:sz w:val="18"/>
                <w:szCs w:val="18"/>
              </w:rPr>
              <w:t>318</w:t>
            </w:r>
          </w:p>
        </w:tc>
        <w:tc>
          <w:tcPr>
            <w:tcW w:w="567" w:type="dxa"/>
            <w:vAlign w:val="top"/>
          </w:tcPr>
          <w:p w14:paraId="676998FD">
            <w:pPr>
              <w:pStyle w:val="6"/>
              <w:spacing w:before="103" w:line="186" w:lineRule="auto"/>
              <w:ind w:left="180"/>
              <w:rPr>
                <w:sz w:val="18"/>
                <w:szCs w:val="18"/>
              </w:rPr>
            </w:pPr>
            <w:r>
              <w:rPr>
                <w:spacing w:val="-3"/>
                <w:sz w:val="18"/>
                <w:szCs w:val="18"/>
              </w:rPr>
              <w:t>8L</w:t>
            </w:r>
          </w:p>
        </w:tc>
        <w:tc>
          <w:tcPr>
            <w:tcW w:w="566" w:type="dxa"/>
            <w:vAlign w:val="top"/>
          </w:tcPr>
          <w:p w14:paraId="14BBC048">
            <w:pPr>
              <w:pStyle w:val="6"/>
              <w:spacing w:before="103" w:line="186" w:lineRule="auto"/>
              <w:ind w:left="145"/>
              <w:rPr>
                <w:sz w:val="18"/>
                <w:szCs w:val="18"/>
              </w:rPr>
            </w:pPr>
            <w:r>
              <w:rPr>
                <w:spacing w:val="-5"/>
                <w:sz w:val="18"/>
                <w:szCs w:val="18"/>
              </w:rPr>
              <w:t>10L</w:t>
            </w:r>
          </w:p>
        </w:tc>
        <w:tc>
          <w:tcPr>
            <w:tcW w:w="567" w:type="dxa"/>
            <w:vAlign w:val="top"/>
          </w:tcPr>
          <w:p w14:paraId="4D9983D6">
            <w:pPr>
              <w:pStyle w:val="6"/>
              <w:spacing w:before="100" w:line="211" w:lineRule="auto"/>
              <w:ind w:left="120"/>
              <w:rPr>
                <w:sz w:val="18"/>
                <w:szCs w:val="18"/>
              </w:rPr>
            </w:pPr>
            <w:r>
              <w:rPr>
                <w:spacing w:val="-2"/>
                <w:sz w:val="18"/>
                <w:szCs w:val="18"/>
              </w:rPr>
              <w:t>0.02</w:t>
            </w:r>
          </w:p>
        </w:tc>
        <w:tc>
          <w:tcPr>
            <w:tcW w:w="557" w:type="dxa"/>
            <w:vAlign w:val="top"/>
          </w:tcPr>
          <w:p w14:paraId="75F91819">
            <w:pPr>
              <w:pStyle w:val="6"/>
              <w:spacing w:before="100" w:line="211" w:lineRule="auto"/>
              <w:ind w:left="60"/>
              <w:rPr>
                <w:sz w:val="18"/>
                <w:szCs w:val="18"/>
              </w:rPr>
            </w:pPr>
            <w:r>
              <w:rPr>
                <w:spacing w:val="-2"/>
                <w:sz w:val="18"/>
                <w:szCs w:val="18"/>
              </w:rPr>
              <w:t>0.01L</w:t>
            </w:r>
          </w:p>
        </w:tc>
        <w:tc>
          <w:tcPr>
            <w:tcW w:w="715" w:type="dxa"/>
            <w:vAlign w:val="top"/>
          </w:tcPr>
          <w:p w14:paraId="7D651A8B">
            <w:pPr>
              <w:pStyle w:val="6"/>
              <w:spacing w:before="100" w:line="211" w:lineRule="auto"/>
              <w:ind w:left="140"/>
              <w:rPr>
                <w:sz w:val="18"/>
                <w:szCs w:val="18"/>
              </w:rPr>
            </w:pPr>
            <w:r>
              <w:rPr>
                <w:spacing w:val="-2"/>
                <w:sz w:val="18"/>
                <w:szCs w:val="18"/>
              </w:rPr>
              <w:t>0.04L</w:t>
            </w:r>
          </w:p>
        </w:tc>
        <w:tc>
          <w:tcPr>
            <w:tcW w:w="567" w:type="dxa"/>
            <w:vAlign w:val="top"/>
          </w:tcPr>
          <w:p w14:paraId="0FF251A9">
            <w:pPr>
              <w:pStyle w:val="6"/>
              <w:spacing w:before="100" w:line="211" w:lineRule="auto"/>
              <w:ind w:left="78"/>
              <w:rPr>
                <w:sz w:val="18"/>
                <w:szCs w:val="18"/>
              </w:rPr>
            </w:pPr>
            <w:r>
              <w:rPr>
                <w:spacing w:val="-2"/>
                <w:sz w:val="18"/>
                <w:szCs w:val="18"/>
              </w:rPr>
              <w:t>0.040</w:t>
            </w:r>
          </w:p>
        </w:tc>
        <w:tc>
          <w:tcPr>
            <w:tcW w:w="708" w:type="dxa"/>
            <w:vAlign w:val="top"/>
          </w:tcPr>
          <w:p w14:paraId="14F12029">
            <w:pPr>
              <w:pStyle w:val="6"/>
              <w:spacing w:before="100" w:line="211" w:lineRule="auto"/>
              <w:ind w:left="48"/>
              <w:rPr>
                <w:sz w:val="18"/>
                <w:szCs w:val="18"/>
              </w:rPr>
            </w:pPr>
            <w:r>
              <w:rPr>
                <w:spacing w:val="-1"/>
                <w:sz w:val="18"/>
                <w:szCs w:val="18"/>
              </w:rPr>
              <w:t>0.0003L</w:t>
            </w:r>
          </w:p>
        </w:tc>
        <w:tc>
          <w:tcPr>
            <w:tcW w:w="851" w:type="dxa"/>
            <w:vAlign w:val="top"/>
          </w:tcPr>
          <w:p w14:paraId="639656E8">
            <w:pPr>
              <w:pStyle w:val="6"/>
              <w:spacing w:before="100" w:line="211" w:lineRule="auto"/>
              <w:ind w:left="211"/>
              <w:rPr>
                <w:sz w:val="18"/>
                <w:szCs w:val="18"/>
              </w:rPr>
            </w:pPr>
            <w:r>
              <w:rPr>
                <w:spacing w:val="-2"/>
                <w:sz w:val="18"/>
                <w:szCs w:val="18"/>
              </w:rPr>
              <w:t>0.05L</w:t>
            </w:r>
          </w:p>
        </w:tc>
        <w:tc>
          <w:tcPr>
            <w:tcW w:w="566" w:type="dxa"/>
            <w:vAlign w:val="top"/>
          </w:tcPr>
          <w:p w14:paraId="446AB40D">
            <w:pPr>
              <w:pStyle w:val="6"/>
              <w:spacing w:before="100" w:line="211" w:lineRule="auto"/>
              <w:ind w:left="125"/>
              <w:rPr>
                <w:sz w:val="18"/>
                <w:szCs w:val="18"/>
              </w:rPr>
            </w:pPr>
            <w:r>
              <w:rPr>
                <w:spacing w:val="-2"/>
                <w:sz w:val="18"/>
                <w:szCs w:val="18"/>
              </w:rPr>
              <w:t>0.01</w:t>
            </w:r>
          </w:p>
        </w:tc>
        <w:tc>
          <w:tcPr>
            <w:tcW w:w="672" w:type="dxa"/>
            <w:vAlign w:val="top"/>
          </w:tcPr>
          <w:p w14:paraId="14C8FB1A">
            <w:pPr>
              <w:pStyle w:val="6"/>
              <w:spacing w:before="100" w:line="211" w:lineRule="auto"/>
              <w:ind w:left="193"/>
              <w:rPr>
                <w:sz w:val="18"/>
                <w:szCs w:val="18"/>
              </w:rPr>
            </w:pPr>
            <w:r>
              <w:rPr>
                <w:spacing w:val="-6"/>
                <w:sz w:val="18"/>
                <w:szCs w:val="18"/>
              </w:rPr>
              <w:t>1.16</w:t>
            </w:r>
          </w:p>
        </w:tc>
        <w:tc>
          <w:tcPr>
            <w:tcW w:w="745" w:type="dxa"/>
            <w:vAlign w:val="top"/>
          </w:tcPr>
          <w:p w14:paraId="6AF9BFFD">
            <w:pPr>
              <w:pStyle w:val="6"/>
              <w:spacing w:before="100" w:line="211" w:lineRule="auto"/>
              <w:ind w:left="171"/>
              <w:rPr>
                <w:sz w:val="18"/>
                <w:szCs w:val="18"/>
              </w:rPr>
            </w:pPr>
            <w:r>
              <w:rPr>
                <w:spacing w:val="-2"/>
                <w:sz w:val="18"/>
                <w:szCs w:val="18"/>
              </w:rPr>
              <w:t>0.004</w:t>
            </w:r>
          </w:p>
        </w:tc>
        <w:tc>
          <w:tcPr>
            <w:tcW w:w="455" w:type="dxa"/>
            <w:vAlign w:val="top"/>
          </w:tcPr>
          <w:p w14:paraId="5CFC795C">
            <w:pPr>
              <w:pStyle w:val="6"/>
              <w:spacing w:before="100" w:line="211" w:lineRule="auto"/>
              <w:ind w:left="27"/>
              <w:rPr>
                <w:sz w:val="18"/>
                <w:szCs w:val="18"/>
              </w:rPr>
            </w:pPr>
            <w:r>
              <w:rPr>
                <w:spacing w:val="-2"/>
                <w:sz w:val="18"/>
                <w:szCs w:val="18"/>
              </w:rPr>
              <w:t>0.172</w:t>
            </w:r>
          </w:p>
        </w:tc>
        <w:tc>
          <w:tcPr>
            <w:tcW w:w="579" w:type="dxa"/>
            <w:vAlign w:val="top"/>
          </w:tcPr>
          <w:p w14:paraId="03BEC8FA">
            <w:pPr>
              <w:pStyle w:val="6"/>
              <w:spacing w:before="100" w:line="211" w:lineRule="auto"/>
              <w:ind w:left="136"/>
              <w:rPr>
                <w:sz w:val="18"/>
                <w:szCs w:val="18"/>
              </w:rPr>
            </w:pPr>
            <w:r>
              <w:rPr>
                <w:spacing w:val="-2"/>
                <w:sz w:val="18"/>
                <w:szCs w:val="18"/>
              </w:rPr>
              <w:t>0.41</w:t>
            </w:r>
          </w:p>
        </w:tc>
        <w:tc>
          <w:tcPr>
            <w:tcW w:w="623" w:type="dxa"/>
            <w:vAlign w:val="top"/>
          </w:tcPr>
          <w:p w14:paraId="3295D9AB">
            <w:pPr>
              <w:pStyle w:val="6"/>
              <w:spacing w:before="100" w:line="211" w:lineRule="auto"/>
              <w:ind w:left="58"/>
              <w:rPr>
                <w:sz w:val="18"/>
                <w:szCs w:val="18"/>
              </w:rPr>
            </w:pPr>
            <w:r>
              <w:rPr>
                <w:spacing w:val="-2"/>
                <w:sz w:val="18"/>
                <w:szCs w:val="18"/>
              </w:rPr>
              <w:t>0.004L</w:t>
            </w:r>
          </w:p>
        </w:tc>
        <w:tc>
          <w:tcPr>
            <w:tcW w:w="737" w:type="dxa"/>
            <w:vAlign w:val="top"/>
          </w:tcPr>
          <w:p w14:paraId="63D88593">
            <w:pPr>
              <w:pStyle w:val="6"/>
              <w:spacing w:before="100" w:line="211" w:lineRule="auto"/>
              <w:ind w:left="80"/>
              <w:rPr>
                <w:sz w:val="18"/>
                <w:szCs w:val="18"/>
              </w:rPr>
            </w:pPr>
            <w:r>
              <w:rPr>
                <w:spacing w:val="-1"/>
                <w:sz w:val="18"/>
                <w:szCs w:val="18"/>
              </w:rPr>
              <w:t>0.00018</w:t>
            </w:r>
          </w:p>
        </w:tc>
        <w:tc>
          <w:tcPr>
            <w:tcW w:w="577" w:type="dxa"/>
            <w:vAlign w:val="top"/>
          </w:tcPr>
          <w:p w14:paraId="20B98765">
            <w:pPr>
              <w:pStyle w:val="6"/>
              <w:spacing w:before="100" w:line="211" w:lineRule="auto"/>
              <w:ind w:left="48"/>
              <w:rPr>
                <w:sz w:val="18"/>
                <w:szCs w:val="18"/>
              </w:rPr>
            </w:pPr>
            <w:r>
              <w:rPr>
                <w:spacing w:val="-2"/>
                <w:sz w:val="18"/>
                <w:szCs w:val="18"/>
              </w:rPr>
              <w:t>0.0013</w:t>
            </w:r>
          </w:p>
        </w:tc>
        <w:tc>
          <w:tcPr>
            <w:tcW w:w="708" w:type="dxa"/>
            <w:vAlign w:val="top"/>
          </w:tcPr>
          <w:p w14:paraId="5F3F7284">
            <w:pPr>
              <w:pStyle w:val="6"/>
              <w:spacing w:before="100" w:line="211" w:lineRule="auto"/>
              <w:ind w:left="60"/>
              <w:rPr>
                <w:sz w:val="18"/>
                <w:szCs w:val="18"/>
              </w:rPr>
            </w:pPr>
            <w:r>
              <w:rPr>
                <w:spacing w:val="-1"/>
                <w:sz w:val="18"/>
                <w:szCs w:val="18"/>
              </w:rPr>
              <w:t>0.0004L</w:t>
            </w:r>
          </w:p>
        </w:tc>
        <w:tc>
          <w:tcPr>
            <w:tcW w:w="567" w:type="dxa"/>
            <w:vAlign w:val="top"/>
          </w:tcPr>
          <w:p w14:paraId="5AEAF52E">
            <w:pPr>
              <w:pStyle w:val="6"/>
              <w:spacing w:before="100" w:line="211" w:lineRule="auto"/>
              <w:ind w:left="35"/>
              <w:rPr>
                <w:sz w:val="18"/>
                <w:szCs w:val="18"/>
              </w:rPr>
            </w:pPr>
            <w:r>
              <w:rPr>
                <w:spacing w:val="-2"/>
                <w:sz w:val="18"/>
                <w:szCs w:val="18"/>
              </w:rPr>
              <w:t>0.001L</w:t>
            </w:r>
          </w:p>
        </w:tc>
        <w:tc>
          <w:tcPr>
            <w:tcW w:w="566" w:type="dxa"/>
            <w:vAlign w:val="top"/>
          </w:tcPr>
          <w:p w14:paraId="3E6B3625">
            <w:pPr>
              <w:pStyle w:val="6"/>
              <w:spacing w:before="100" w:line="211" w:lineRule="auto"/>
              <w:ind w:left="34"/>
              <w:rPr>
                <w:sz w:val="18"/>
                <w:szCs w:val="18"/>
              </w:rPr>
            </w:pPr>
            <w:r>
              <w:rPr>
                <w:spacing w:val="-2"/>
                <w:sz w:val="18"/>
                <w:szCs w:val="18"/>
              </w:rPr>
              <w:t>0.004L</w:t>
            </w:r>
          </w:p>
        </w:tc>
        <w:tc>
          <w:tcPr>
            <w:tcW w:w="567" w:type="dxa"/>
            <w:vAlign w:val="top"/>
          </w:tcPr>
          <w:p w14:paraId="41B55F14">
            <w:pPr>
              <w:pStyle w:val="6"/>
              <w:spacing w:before="100" w:line="211" w:lineRule="auto"/>
              <w:ind w:left="81"/>
              <w:rPr>
                <w:sz w:val="18"/>
                <w:szCs w:val="18"/>
              </w:rPr>
            </w:pPr>
            <w:r>
              <w:rPr>
                <w:spacing w:val="-2"/>
                <w:sz w:val="18"/>
                <w:szCs w:val="18"/>
              </w:rPr>
              <w:t>0.01L</w:t>
            </w:r>
          </w:p>
        </w:tc>
        <w:tc>
          <w:tcPr>
            <w:tcW w:w="708" w:type="dxa"/>
            <w:vAlign w:val="top"/>
          </w:tcPr>
          <w:p w14:paraId="4BB2E1CA">
            <w:pPr>
              <w:pStyle w:val="6"/>
              <w:spacing w:before="100" w:line="211" w:lineRule="auto"/>
              <w:ind w:left="161"/>
              <w:rPr>
                <w:sz w:val="18"/>
                <w:szCs w:val="18"/>
              </w:rPr>
            </w:pPr>
            <w:r>
              <w:rPr>
                <w:spacing w:val="-2"/>
                <w:sz w:val="18"/>
                <w:szCs w:val="18"/>
              </w:rPr>
              <w:t>0.014</w:t>
            </w:r>
          </w:p>
        </w:tc>
        <w:tc>
          <w:tcPr>
            <w:tcW w:w="566" w:type="dxa"/>
            <w:vAlign w:val="top"/>
          </w:tcPr>
          <w:p w14:paraId="730A01D2">
            <w:pPr>
              <w:pStyle w:val="6"/>
              <w:spacing w:before="178" w:line="85" w:lineRule="exact"/>
              <w:ind w:left="236"/>
              <w:rPr>
                <w:sz w:val="18"/>
                <w:szCs w:val="18"/>
              </w:rPr>
            </w:pPr>
            <w:r>
              <w:rPr>
                <w:spacing w:val="-2"/>
                <w:position w:val="-5"/>
                <w:sz w:val="18"/>
                <w:szCs w:val="18"/>
              </w:rPr>
              <w:t>--</w:t>
            </w:r>
          </w:p>
        </w:tc>
        <w:tc>
          <w:tcPr>
            <w:tcW w:w="579" w:type="dxa"/>
            <w:vAlign w:val="top"/>
          </w:tcPr>
          <w:p w14:paraId="6695937E">
            <w:pPr>
              <w:pStyle w:val="6"/>
              <w:spacing w:before="100" w:line="211" w:lineRule="auto"/>
              <w:ind w:left="166"/>
              <w:rPr>
                <w:sz w:val="18"/>
                <w:szCs w:val="18"/>
              </w:rPr>
            </w:pPr>
            <w:r>
              <w:rPr>
                <w:spacing w:val="-2"/>
                <w:sz w:val="18"/>
                <w:szCs w:val="18"/>
              </w:rPr>
              <w:t>335</w:t>
            </w:r>
          </w:p>
        </w:tc>
        <w:tc>
          <w:tcPr>
            <w:tcW w:w="411" w:type="dxa"/>
            <w:vAlign w:val="top"/>
          </w:tcPr>
          <w:p w14:paraId="61E246E8">
            <w:pPr>
              <w:pStyle w:val="6"/>
              <w:spacing w:before="100" w:line="211" w:lineRule="auto"/>
              <w:ind w:left="106"/>
              <w:rPr>
                <w:sz w:val="18"/>
                <w:szCs w:val="18"/>
              </w:rPr>
            </w:pPr>
            <w:r>
              <w:rPr>
                <w:spacing w:val="-3"/>
                <w:sz w:val="18"/>
                <w:szCs w:val="18"/>
              </w:rPr>
              <w:t>0.7</w:t>
            </w:r>
          </w:p>
        </w:tc>
        <w:tc>
          <w:tcPr>
            <w:tcW w:w="428" w:type="dxa"/>
            <w:vAlign w:val="top"/>
          </w:tcPr>
          <w:p w14:paraId="6A2A05A8">
            <w:pPr>
              <w:pStyle w:val="6"/>
              <w:spacing w:before="100" w:line="211" w:lineRule="auto"/>
              <w:ind w:left="67"/>
              <w:rPr>
                <w:sz w:val="18"/>
                <w:szCs w:val="18"/>
              </w:rPr>
            </w:pPr>
            <w:r>
              <w:rPr>
                <w:spacing w:val="-1"/>
                <w:sz w:val="18"/>
                <w:szCs w:val="18"/>
              </w:rPr>
              <w:t>24.1</w:t>
            </w:r>
          </w:p>
        </w:tc>
        <w:tc>
          <w:tcPr>
            <w:tcW w:w="427" w:type="dxa"/>
            <w:vAlign w:val="top"/>
          </w:tcPr>
          <w:p w14:paraId="46C3C8E8">
            <w:pPr>
              <w:pStyle w:val="6"/>
              <w:spacing w:before="100" w:line="211" w:lineRule="auto"/>
              <w:ind w:left="85"/>
              <w:rPr>
                <w:sz w:val="18"/>
                <w:szCs w:val="18"/>
              </w:rPr>
            </w:pPr>
            <w:r>
              <w:rPr>
                <w:spacing w:val="-6"/>
                <w:sz w:val="18"/>
                <w:szCs w:val="18"/>
              </w:rPr>
              <w:t>11.9</w:t>
            </w:r>
          </w:p>
        </w:tc>
        <w:tc>
          <w:tcPr>
            <w:tcW w:w="341" w:type="dxa"/>
            <w:vAlign w:val="top"/>
          </w:tcPr>
          <w:p w14:paraId="40DBE033">
            <w:pPr>
              <w:pStyle w:val="6"/>
              <w:spacing w:before="100" w:line="211" w:lineRule="auto"/>
              <w:jc w:val="right"/>
              <w:rPr>
                <w:sz w:val="18"/>
                <w:szCs w:val="18"/>
              </w:rPr>
            </w:pPr>
            <w:r>
              <w:rPr>
                <w:spacing w:val="-3"/>
                <w:sz w:val="18"/>
                <w:szCs w:val="18"/>
              </w:rPr>
              <w:t>47.9</w:t>
            </w:r>
          </w:p>
        </w:tc>
        <w:tc>
          <w:tcPr>
            <w:tcW w:w="361" w:type="dxa"/>
            <w:tcBorders>
              <w:right w:val="single" w:color="000000" w:sz="12" w:space="0"/>
            </w:tcBorders>
            <w:vAlign w:val="top"/>
          </w:tcPr>
          <w:p w14:paraId="3D9E6152">
            <w:pPr>
              <w:pStyle w:val="6"/>
              <w:spacing w:before="100" w:line="211" w:lineRule="auto"/>
              <w:ind w:right="3"/>
              <w:jc w:val="right"/>
              <w:rPr>
                <w:sz w:val="18"/>
                <w:szCs w:val="18"/>
              </w:rPr>
            </w:pPr>
            <w:r>
              <w:rPr>
                <w:spacing w:val="-1"/>
                <w:sz w:val="18"/>
                <w:szCs w:val="18"/>
              </w:rPr>
              <w:t>28.8</w:t>
            </w:r>
          </w:p>
        </w:tc>
      </w:tr>
      <w:tr w14:paraId="73C14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4A9C9B37">
            <w:pPr>
              <w:rPr>
                <w:rFonts w:ascii="Arial"/>
                <w:sz w:val="21"/>
              </w:rPr>
            </w:pPr>
          </w:p>
        </w:tc>
        <w:tc>
          <w:tcPr>
            <w:tcW w:w="284" w:type="dxa"/>
            <w:vMerge w:val="continue"/>
            <w:tcBorders>
              <w:top w:val="nil"/>
              <w:bottom w:val="nil"/>
            </w:tcBorders>
            <w:vAlign w:val="top"/>
          </w:tcPr>
          <w:p w14:paraId="3AB1FF81">
            <w:pPr>
              <w:rPr>
                <w:rFonts w:ascii="Arial"/>
                <w:sz w:val="21"/>
              </w:rPr>
            </w:pPr>
          </w:p>
        </w:tc>
        <w:tc>
          <w:tcPr>
            <w:tcW w:w="1249" w:type="dxa"/>
            <w:vAlign w:val="top"/>
          </w:tcPr>
          <w:p w14:paraId="4F2EDE17">
            <w:pPr>
              <w:pStyle w:val="6"/>
              <w:spacing w:before="99" w:line="209" w:lineRule="auto"/>
              <w:ind w:left="288"/>
              <w:rPr>
                <w:sz w:val="18"/>
                <w:szCs w:val="18"/>
              </w:rPr>
            </w:pPr>
            <w:r>
              <w:rPr>
                <w:spacing w:val="-1"/>
                <w:sz w:val="18"/>
                <w:szCs w:val="18"/>
              </w:rPr>
              <w:t>2021/6/4</w:t>
            </w:r>
          </w:p>
        </w:tc>
        <w:tc>
          <w:tcPr>
            <w:tcW w:w="733" w:type="dxa"/>
            <w:vAlign w:val="top"/>
          </w:tcPr>
          <w:p w14:paraId="77B4656B">
            <w:pPr>
              <w:pStyle w:val="6"/>
              <w:spacing w:before="99" w:line="209" w:lineRule="auto"/>
              <w:ind w:left="245"/>
              <w:rPr>
                <w:sz w:val="18"/>
                <w:szCs w:val="18"/>
              </w:rPr>
            </w:pPr>
            <w:r>
              <w:rPr>
                <w:spacing w:val="-3"/>
                <w:sz w:val="18"/>
                <w:szCs w:val="18"/>
              </w:rPr>
              <w:t>6.7</w:t>
            </w:r>
          </w:p>
        </w:tc>
        <w:tc>
          <w:tcPr>
            <w:tcW w:w="565" w:type="dxa"/>
            <w:vAlign w:val="top"/>
          </w:tcPr>
          <w:p w14:paraId="7915D49F">
            <w:pPr>
              <w:pStyle w:val="6"/>
              <w:spacing w:before="99" w:line="209" w:lineRule="auto"/>
              <w:ind w:left="134"/>
              <w:rPr>
                <w:sz w:val="18"/>
                <w:szCs w:val="18"/>
              </w:rPr>
            </w:pPr>
            <w:r>
              <w:rPr>
                <w:spacing w:val="-1"/>
                <w:sz w:val="18"/>
                <w:szCs w:val="18"/>
              </w:rPr>
              <w:t>280</w:t>
            </w:r>
          </w:p>
        </w:tc>
        <w:tc>
          <w:tcPr>
            <w:tcW w:w="708" w:type="dxa"/>
            <w:vAlign w:val="top"/>
          </w:tcPr>
          <w:p w14:paraId="1E5368A0">
            <w:pPr>
              <w:pStyle w:val="6"/>
              <w:spacing w:before="99" w:line="209" w:lineRule="auto"/>
              <w:ind w:left="211"/>
              <w:rPr>
                <w:sz w:val="18"/>
                <w:szCs w:val="18"/>
              </w:rPr>
            </w:pPr>
            <w:r>
              <w:rPr>
                <w:spacing w:val="-2"/>
                <w:sz w:val="18"/>
                <w:szCs w:val="18"/>
              </w:rPr>
              <w:t>321</w:t>
            </w:r>
          </w:p>
        </w:tc>
        <w:tc>
          <w:tcPr>
            <w:tcW w:w="567" w:type="dxa"/>
            <w:vAlign w:val="top"/>
          </w:tcPr>
          <w:p w14:paraId="21DEA777">
            <w:pPr>
              <w:pStyle w:val="6"/>
              <w:spacing w:before="102" w:line="186" w:lineRule="auto"/>
              <w:ind w:left="180"/>
              <w:rPr>
                <w:sz w:val="18"/>
                <w:szCs w:val="18"/>
              </w:rPr>
            </w:pPr>
            <w:r>
              <w:rPr>
                <w:spacing w:val="-3"/>
                <w:sz w:val="18"/>
                <w:szCs w:val="18"/>
              </w:rPr>
              <w:t>8L</w:t>
            </w:r>
          </w:p>
        </w:tc>
        <w:tc>
          <w:tcPr>
            <w:tcW w:w="566" w:type="dxa"/>
            <w:vAlign w:val="top"/>
          </w:tcPr>
          <w:p w14:paraId="3012BE2B">
            <w:pPr>
              <w:pStyle w:val="6"/>
              <w:spacing w:before="102" w:line="186" w:lineRule="auto"/>
              <w:ind w:left="145"/>
              <w:rPr>
                <w:sz w:val="18"/>
                <w:szCs w:val="18"/>
              </w:rPr>
            </w:pPr>
            <w:r>
              <w:rPr>
                <w:spacing w:val="-5"/>
                <w:sz w:val="18"/>
                <w:szCs w:val="18"/>
              </w:rPr>
              <w:t>10L</w:t>
            </w:r>
          </w:p>
        </w:tc>
        <w:tc>
          <w:tcPr>
            <w:tcW w:w="567" w:type="dxa"/>
            <w:vAlign w:val="top"/>
          </w:tcPr>
          <w:p w14:paraId="2F6CAC55">
            <w:pPr>
              <w:pStyle w:val="6"/>
              <w:spacing w:before="99" w:line="209" w:lineRule="auto"/>
              <w:ind w:left="120"/>
              <w:rPr>
                <w:sz w:val="18"/>
                <w:szCs w:val="18"/>
              </w:rPr>
            </w:pPr>
            <w:r>
              <w:rPr>
                <w:spacing w:val="-2"/>
                <w:sz w:val="18"/>
                <w:szCs w:val="18"/>
              </w:rPr>
              <w:t>0.02</w:t>
            </w:r>
          </w:p>
        </w:tc>
        <w:tc>
          <w:tcPr>
            <w:tcW w:w="557" w:type="dxa"/>
            <w:vAlign w:val="top"/>
          </w:tcPr>
          <w:p w14:paraId="36599AC6">
            <w:pPr>
              <w:pStyle w:val="6"/>
              <w:spacing w:before="99" w:line="209" w:lineRule="auto"/>
              <w:ind w:left="60"/>
              <w:rPr>
                <w:sz w:val="18"/>
                <w:szCs w:val="18"/>
              </w:rPr>
            </w:pPr>
            <w:r>
              <w:rPr>
                <w:spacing w:val="-2"/>
                <w:sz w:val="18"/>
                <w:szCs w:val="18"/>
              </w:rPr>
              <w:t>0.01L</w:t>
            </w:r>
          </w:p>
        </w:tc>
        <w:tc>
          <w:tcPr>
            <w:tcW w:w="715" w:type="dxa"/>
            <w:vAlign w:val="top"/>
          </w:tcPr>
          <w:p w14:paraId="34795897">
            <w:pPr>
              <w:pStyle w:val="6"/>
              <w:spacing w:before="99" w:line="209" w:lineRule="auto"/>
              <w:ind w:left="140"/>
              <w:rPr>
                <w:sz w:val="18"/>
                <w:szCs w:val="18"/>
              </w:rPr>
            </w:pPr>
            <w:r>
              <w:rPr>
                <w:spacing w:val="-2"/>
                <w:sz w:val="18"/>
                <w:szCs w:val="18"/>
              </w:rPr>
              <w:t>0.04L</w:t>
            </w:r>
          </w:p>
        </w:tc>
        <w:tc>
          <w:tcPr>
            <w:tcW w:w="567" w:type="dxa"/>
            <w:vAlign w:val="top"/>
          </w:tcPr>
          <w:p w14:paraId="70CE96FC">
            <w:pPr>
              <w:pStyle w:val="6"/>
              <w:spacing w:before="99" w:line="209" w:lineRule="auto"/>
              <w:ind w:left="78"/>
              <w:rPr>
                <w:sz w:val="18"/>
                <w:szCs w:val="18"/>
              </w:rPr>
            </w:pPr>
            <w:r>
              <w:rPr>
                <w:spacing w:val="-2"/>
                <w:sz w:val="18"/>
                <w:szCs w:val="18"/>
              </w:rPr>
              <w:t>0.038</w:t>
            </w:r>
          </w:p>
        </w:tc>
        <w:tc>
          <w:tcPr>
            <w:tcW w:w="708" w:type="dxa"/>
            <w:vAlign w:val="top"/>
          </w:tcPr>
          <w:p w14:paraId="17491249">
            <w:pPr>
              <w:pStyle w:val="6"/>
              <w:spacing w:before="99" w:line="209" w:lineRule="auto"/>
              <w:ind w:left="48"/>
              <w:rPr>
                <w:sz w:val="18"/>
                <w:szCs w:val="18"/>
              </w:rPr>
            </w:pPr>
            <w:r>
              <w:rPr>
                <w:spacing w:val="-1"/>
                <w:sz w:val="18"/>
                <w:szCs w:val="18"/>
              </w:rPr>
              <w:t>0.0003L</w:t>
            </w:r>
          </w:p>
        </w:tc>
        <w:tc>
          <w:tcPr>
            <w:tcW w:w="851" w:type="dxa"/>
            <w:vAlign w:val="top"/>
          </w:tcPr>
          <w:p w14:paraId="5E0960AB">
            <w:pPr>
              <w:pStyle w:val="6"/>
              <w:spacing w:before="99" w:line="209" w:lineRule="auto"/>
              <w:ind w:left="211"/>
              <w:rPr>
                <w:sz w:val="18"/>
                <w:szCs w:val="18"/>
              </w:rPr>
            </w:pPr>
            <w:r>
              <w:rPr>
                <w:spacing w:val="-2"/>
                <w:sz w:val="18"/>
                <w:szCs w:val="18"/>
              </w:rPr>
              <w:t>0.05L</w:t>
            </w:r>
          </w:p>
        </w:tc>
        <w:tc>
          <w:tcPr>
            <w:tcW w:w="566" w:type="dxa"/>
            <w:vAlign w:val="top"/>
          </w:tcPr>
          <w:p w14:paraId="1F9DAA1F">
            <w:pPr>
              <w:pStyle w:val="6"/>
              <w:spacing w:before="99" w:line="209" w:lineRule="auto"/>
              <w:ind w:left="125"/>
              <w:rPr>
                <w:sz w:val="18"/>
                <w:szCs w:val="18"/>
              </w:rPr>
            </w:pPr>
            <w:r>
              <w:rPr>
                <w:spacing w:val="-2"/>
                <w:sz w:val="18"/>
                <w:szCs w:val="18"/>
              </w:rPr>
              <w:t>0.02</w:t>
            </w:r>
          </w:p>
        </w:tc>
        <w:tc>
          <w:tcPr>
            <w:tcW w:w="672" w:type="dxa"/>
            <w:vAlign w:val="top"/>
          </w:tcPr>
          <w:p w14:paraId="235EF8EA">
            <w:pPr>
              <w:pStyle w:val="6"/>
              <w:spacing w:before="99" w:line="209" w:lineRule="auto"/>
              <w:ind w:left="193"/>
              <w:rPr>
                <w:sz w:val="18"/>
                <w:szCs w:val="18"/>
              </w:rPr>
            </w:pPr>
            <w:r>
              <w:rPr>
                <w:spacing w:val="-6"/>
                <w:sz w:val="18"/>
                <w:szCs w:val="18"/>
              </w:rPr>
              <w:t>1.14</w:t>
            </w:r>
          </w:p>
        </w:tc>
        <w:tc>
          <w:tcPr>
            <w:tcW w:w="745" w:type="dxa"/>
            <w:vAlign w:val="top"/>
          </w:tcPr>
          <w:p w14:paraId="38CBED77">
            <w:pPr>
              <w:pStyle w:val="6"/>
              <w:spacing w:before="99" w:line="209" w:lineRule="auto"/>
              <w:ind w:left="171"/>
              <w:rPr>
                <w:sz w:val="18"/>
                <w:szCs w:val="18"/>
              </w:rPr>
            </w:pPr>
            <w:r>
              <w:rPr>
                <w:spacing w:val="-2"/>
                <w:sz w:val="18"/>
                <w:szCs w:val="18"/>
              </w:rPr>
              <w:t>0.003</w:t>
            </w:r>
          </w:p>
        </w:tc>
        <w:tc>
          <w:tcPr>
            <w:tcW w:w="455" w:type="dxa"/>
            <w:vAlign w:val="top"/>
          </w:tcPr>
          <w:p w14:paraId="10AF419C">
            <w:pPr>
              <w:pStyle w:val="6"/>
              <w:spacing w:before="99" w:line="209" w:lineRule="auto"/>
              <w:ind w:left="27"/>
              <w:rPr>
                <w:sz w:val="18"/>
                <w:szCs w:val="18"/>
              </w:rPr>
            </w:pPr>
            <w:r>
              <w:rPr>
                <w:spacing w:val="-2"/>
                <w:sz w:val="18"/>
                <w:szCs w:val="18"/>
              </w:rPr>
              <w:t>0.167</w:t>
            </w:r>
          </w:p>
        </w:tc>
        <w:tc>
          <w:tcPr>
            <w:tcW w:w="579" w:type="dxa"/>
            <w:vAlign w:val="top"/>
          </w:tcPr>
          <w:p w14:paraId="7A4EB25B">
            <w:pPr>
              <w:pStyle w:val="6"/>
              <w:spacing w:before="99" w:line="209" w:lineRule="auto"/>
              <w:ind w:left="136"/>
              <w:rPr>
                <w:sz w:val="18"/>
                <w:szCs w:val="18"/>
              </w:rPr>
            </w:pPr>
            <w:r>
              <w:rPr>
                <w:spacing w:val="-2"/>
                <w:sz w:val="18"/>
                <w:szCs w:val="18"/>
              </w:rPr>
              <w:t>0.43</w:t>
            </w:r>
          </w:p>
        </w:tc>
        <w:tc>
          <w:tcPr>
            <w:tcW w:w="623" w:type="dxa"/>
            <w:vAlign w:val="top"/>
          </w:tcPr>
          <w:p w14:paraId="5EC6B5CA">
            <w:pPr>
              <w:pStyle w:val="6"/>
              <w:spacing w:before="99" w:line="209" w:lineRule="auto"/>
              <w:ind w:left="58"/>
              <w:rPr>
                <w:sz w:val="18"/>
                <w:szCs w:val="18"/>
              </w:rPr>
            </w:pPr>
            <w:r>
              <w:rPr>
                <w:spacing w:val="-2"/>
                <w:sz w:val="18"/>
                <w:szCs w:val="18"/>
              </w:rPr>
              <w:t>0.004L</w:t>
            </w:r>
          </w:p>
        </w:tc>
        <w:tc>
          <w:tcPr>
            <w:tcW w:w="737" w:type="dxa"/>
            <w:vAlign w:val="top"/>
          </w:tcPr>
          <w:p w14:paraId="7D1C1B52">
            <w:pPr>
              <w:pStyle w:val="6"/>
              <w:spacing w:before="99" w:line="209" w:lineRule="auto"/>
              <w:ind w:left="80"/>
              <w:rPr>
                <w:sz w:val="18"/>
                <w:szCs w:val="18"/>
              </w:rPr>
            </w:pPr>
            <w:r>
              <w:rPr>
                <w:spacing w:val="-1"/>
                <w:sz w:val="18"/>
                <w:szCs w:val="18"/>
              </w:rPr>
              <w:t>0.00017</w:t>
            </w:r>
          </w:p>
        </w:tc>
        <w:tc>
          <w:tcPr>
            <w:tcW w:w="577" w:type="dxa"/>
            <w:vAlign w:val="top"/>
          </w:tcPr>
          <w:p w14:paraId="7D91317A">
            <w:pPr>
              <w:pStyle w:val="6"/>
              <w:spacing w:before="99" w:line="209" w:lineRule="auto"/>
              <w:ind w:left="48"/>
              <w:rPr>
                <w:sz w:val="18"/>
                <w:szCs w:val="18"/>
              </w:rPr>
            </w:pPr>
            <w:r>
              <w:rPr>
                <w:spacing w:val="-2"/>
                <w:sz w:val="18"/>
                <w:szCs w:val="18"/>
              </w:rPr>
              <w:t>0.0013</w:t>
            </w:r>
          </w:p>
        </w:tc>
        <w:tc>
          <w:tcPr>
            <w:tcW w:w="708" w:type="dxa"/>
            <w:vAlign w:val="top"/>
          </w:tcPr>
          <w:p w14:paraId="3D71EDF4">
            <w:pPr>
              <w:pStyle w:val="6"/>
              <w:spacing w:before="99" w:line="209" w:lineRule="auto"/>
              <w:ind w:left="60"/>
              <w:rPr>
                <w:sz w:val="18"/>
                <w:szCs w:val="18"/>
              </w:rPr>
            </w:pPr>
            <w:r>
              <w:rPr>
                <w:spacing w:val="-1"/>
                <w:sz w:val="18"/>
                <w:szCs w:val="18"/>
              </w:rPr>
              <w:t>0.0004L</w:t>
            </w:r>
          </w:p>
        </w:tc>
        <w:tc>
          <w:tcPr>
            <w:tcW w:w="567" w:type="dxa"/>
            <w:vAlign w:val="top"/>
          </w:tcPr>
          <w:p w14:paraId="1D0489C0">
            <w:pPr>
              <w:pStyle w:val="6"/>
              <w:spacing w:before="99" w:line="209" w:lineRule="auto"/>
              <w:ind w:left="35"/>
              <w:rPr>
                <w:sz w:val="18"/>
                <w:szCs w:val="18"/>
              </w:rPr>
            </w:pPr>
            <w:r>
              <w:rPr>
                <w:spacing w:val="-2"/>
                <w:sz w:val="18"/>
                <w:szCs w:val="18"/>
              </w:rPr>
              <w:t>0.001L</w:t>
            </w:r>
          </w:p>
        </w:tc>
        <w:tc>
          <w:tcPr>
            <w:tcW w:w="566" w:type="dxa"/>
            <w:vAlign w:val="top"/>
          </w:tcPr>
          <w:p w14:paraId="44F1F23E">
            <w:pPr>
              <w:pStyle w:val="6"/>
              <w:spacing w:before="99" w:line="209" w:lineRule="auto"/>
              <w:ind w:left="34"/>
              <w:rPr>
                <w:sz w:val="18"/>
                <w:szCs w:val="18"/>
              </w:rPr>
            </w:pPr>
            <w:r>
              <w:rPr>
                <w:spacing w:val="-2"/>
                <w:sz w:val="18"/>
                <w:szCs w:val="18"/>
              </w:rPr>
              <w:t>0.004L</w:t>
            </w:r>
          </w:p>
        </w:tc>
        <w:tc>
          <w:tcPr>
            <w:tcW w:w="567" w:type="dxa"/>
            <w:vAlign w:val="top"/>
          </w:tcPr>
          <w:p w14:paraId="47C6A024">
            <w:pPr>
              <w:pStyle w:val="6"/>
              <w:spacing w:before="99" w:line="209" w:lineRule="auto"/>
              <w:ind w:left="81"/>
              <w:rPr>
                <w:sz w:val="18"/>
                <w:szCs w:val="18"/>
              </w:rPr>
            </w:pPr>
            <w:r>
              <w:rPr>
                <w:spacing w:val="-2"/>
                <w:sz w:val="18"/>
                <w:szCs w:val="18"/>
              </w:rPr>
              <w:t>0.01L</w:t>
            </w:r>
          </w:p>
        </w:tc>
        <w:tc>
          <w:tcPr>
            <w:tcW w:w="708" w:type="dxa"/>
            <w:vAlign w:val="top"/>
          </w:tcPr>
          <w:p w14:paraId="4D3138D4">
            <w:pPr>
              <w:pStyle w:val="6"/>
              <w:spacing w:before="99" w:line="209" w:lineRule="auto"/>
              <w:ind w:left="161"/>
              <w:rPr>
                <w:sz w:val="18"/>
                <w:szCs w:val="18"/>
              </w:rPr>
            </w:pPr>
            <w:r>
              <w:rPr>
                <w:spacing w:val="-2"/>
                <w:sz w:val="18"/>
                <w:szCs w:val="18"/>
              </w:rPr>
              <w:t>0.016</w:t>
            </w:r>
          </w:p>
        </w:tc>
        <w:tc>
          <w:tcPr>
            <w:tcW w:w="566" w:type="dxa"/>
            <w:vAlign w:val="top"/>
          </w:tcPr>
          <w:p w14:paraId="37476533">
            <w:pPr>
              <w:pStyle w:val="6"/>
              <w:spacing w:before="177" w:line="86" w:lineRule="exact"/>
              <w:ind w:left="236"/>
              <w:rPr>
                <w:sz w:val="18"/>
                <w:szCs w:val="18"/>
              </w:rPr>
            </w:pPr>
            <w:r>
              <w:rPr>
                <w:spacing w:val="-2"/>
                <w:position w:val="-5"/>
                <w:sz w:val="18"/>
                <w:szCs w:val="18"/>
              </w:rPr>
              <w:t>--</w:t>
            </w:r>
          </w:p>
        </w:tc>
        <w:tc>
          <w:tcPr>
            <w:tcW w:w="579" w:type="dxa"/>
            <w:vAlign w:val="top"/>
          </w:tcPr>
          <w:p w14:paraId="6B48F931">
            <w:pPr>
              <w:pStyle w:val="6"/>
              <w:spacing w:before="99" w:line="209" w:lineRule="auto"/>
              <w:ind w:left="166"/>
              <w:rPr>
                <w:sz w:val="18"/>
                <w:szCs w:val="18"/>
              </w:rPr>
            </w:pPr>
            <w:r>
              <w:rPr>
                <w:spacing w:val="-2"/>
                <w:sz w:val="18"/>
                <w:szCs w:val="18"/>
              </w:rPr>
              <w:t>351</w:t>
            </w:r>
          </w:p>
        </w:tc>
        <w:tc>
          <w:tcPr>
            <w:tcW w:w="411" w:type="dxa"/>
            <w:vAlign w:val="top"/>
          </w:tcPr>
          <w:p w14:paraId="4538E175">
            <w:pPr>
              <w:pStyle w:val="6"/>
              <w:spacing w:before="99" w:line="209" w:lineRule="auto"/>
              <w:ind w:left="106"/>
              <w:rPr>
                <w:sz w:val="18"/>
                <w:szCs w:val="18"/>
              </w:rPr>
            </w:pPr>
            <w:r>
              <w:rPr>
                <w:spacing w:val="-3"/>
                <w:sz w:val="18"/>
                <w:szCs w:val="18"/>
              </w:rPr>
              <w:t>0.7</w:t>
            </w:r>
          </w:p>
        </w:tc>
        <w:tc>
          <w:tcPr>
            <w:tcW w:w="428" w:type="dxa"/>
            <w:vAlign w:val="top"/>
          </w:tcPr>
          <w:p w14:paraId="3F5D28A6">
            <w:pPr>
              <w:pStyle w:val="6"/>
              <w:spacing w:before="99" w:line="209" w:lineRule="auto"/>
              <w:ind w:left="67"/>
              <w:rPr>
                <w:sz w:val="18"/>
                <w:szCs w:val="18"/>
              </w:rPr>
            </w:pPr>
            <w:r>
              <w:rPr>
                <w:spacing w:val="-1"/>
                <w:sz w:val="18"/>
                <w:szCs w:val="18"/>
              </w:rPr>
              <w:t>25.7</w:t>
            </w:r>
          </w:p>
        </w:tc>
        <w:tc>
          <w:tcPr>
            <w:tcW w:w="427" w:type="dxa"/>
            <w:vAlign w:val="top"/>
          </w:tcPr>
          <w:p w14:paraId="07B0C11E">
            <w:pPr>
              <w:pStyle w:val="6"/>
              <w:spacing w:before="99" w:line="209" w:lineRule="auto"/>
              <w:ind w:left="85"/>
              <w:rPr>
                <w:sz w:val="18"/>
                <w:szCs w:val="18"/>
              </w:rPr>
            </w:pPr>
            <w:r>
              <w:rPr>
                <w:spacing w:val="-6"/>
                <w:sz w:val="18"/>
                <w:szCs w:val="18"/>
              </w:rPr>
              <w:t>11.4</w:t>
            </w:r>
          </w:p>
        </w:tc>
        <w:tc>
          <w:tcPr>
            <w:tcW w:w="341" w:type="dxa"/>
            <w:vAlign w:val="top"/>
          </w:tcPr>
          <w:p w14:paraId="69C287FF">
            <w:pPr>
              <w:pStyle w:val="6"/>
              <w:spacing w:before="99" w:line="209" w:lineRule="auto"/>
              <w:jc w:val="right"/>
              <w:rPr>
                <w:sz w:val="18"/>
                <w:szCs w:val="18"/>
              </w:rPr>
            </w:pPr>
            <w:r>
              <w:rPr>
                <w:spacing w:val="-3"/>
                <w:sz w:val="18"/>
                <w:szCs w:val="18"/>
              </w:rPr>
              <w:t>47.3</w:t>
            </w:r>
          </w:p>
        </w:tc>
        <w:tc>
          <w:tcPr>
            <w:tcW w:w="361" w:type="dxa"/>
            <w:tcBorders>
              <w:right w:val="single" w:color="000000" w:sz="12" w:space="0"/>
            </w:tcBorders>
            <w:vAlign w:val="top"/>
          </w:tcPr>
          <w:p w14:paraId="641FE2DA">
            <w:pPr>
              <w:pStyle w:val="6"/>
              <w:spacing w:before="99" w:line="209" w:lineRule="auto"/>
              <w:ind w:right="3"/>
              <w:jc w:val="right"/>
              <w:rPr>
                <w:sz w:val="18"/>
                <w:szCs w:val="18"/>
              </w:rPr>
            </w:pPr>
            <w:r>
              <w:rPr>
                <w:spacing w:val="-1"/>
                <w:sz w:val="18"/>
                <w:szCs w:val="18"/>
              </w:rPr>
              <w:t>28.3</w:t>
            </w:r>
          </w:p>
        </w:tc>
      </w:tr>
      <w:tr w14:paraId="12084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5C9D9D50">
            <w:pPr>
              <w:rPr>
                <w:rFonts w:ascii="Arial"/>
                <w:sz w:val="21"/>
              </w:rPr>
            </w:pPr>
          </w:p>
        </w:tc>
        <w:tc>
          <w:tcPr>
            <w:tcW w:w="284" w:type="dxa"/>
            <w:vMerge w:val="continue"/>
            <w:tcBorders>
              <w:top w:val="nil"/>
            </w:tcBorders>
            <w:vAlign w:val="top"/>
          </w:tcPr>
          <w:p w14:paraId="69F2C47B">
            <w:pPr>
              <w:rPr>
                <w:rFonts w:ascii="Arial"/>
                <w:sz w:val="21"/>
              </w:rPr>
            </w:pPr>
          </w:p>
        </w:tc>
        <w:tc>
          <w:tcPr>
            <w:tcW w:w="1249" w:type="dxa"/>
            <w:vAlign w:val="top"/>
          </w:tcPr>
          <w:p w14:paraId="5199BD90">
            <w:pPr>
              <w:pStyle w:val="6"/>
              <w:spacing w:before="101" w:line="209" w:lineRule="auto"/>
              <w:ind w:left="288"/>
              <w:rPr>
                <w:sz w:val="18"/>
                <w:szCs w:val="18"/>
              </w:rPr>
            </w:pPr>
            <w:r>
              <w:rPr>
                <w:spacing w:val="-1"/>
                <w:sz w:val="18"/>
                <w:szCs w:val="18"/>
              </w:rPr>
              <w:t>2021/6/5</w:t>
            </w:r>
          </w:p>
        </w:tc>
        <w:tc>
          <w:tcPr>
            <w:tcW w:w="733" w:type="dxa"/>
            <w:vAlign w:val="top"/>
          </w:tcPr>
          <w:p w14:paraId="640FF381">
            <w:pPr>
              <w:pStyle w:val="6"/>
              <w:spacing w:before="101" w:line="209" w:lineRule="auto"/>
              <w:ind w:left="245"/>
              <w:rPr>
                <w:sz w:val="18"/>
                <w:szCs w:val="18"/>
              </w:rPr>
            </w:pPr>
            <w:r>
              <w:rPr>
                <w:spacing w:val="-3"/>
                <w:sz w:val="18"/>
                <w:szCs w:val="18"/>
              </w:rPr>
              <w:t>6.7</w:t>
            </w:r>
          </w:p>
        </w:tc>
        <w:tc>
          <w:tcPr>
            <w:tcW w:w="565" w:type="dxa"/>
            <w:vAlign w:val="top"/>
          </w:tcPr>
          <w:p w14:paraId="4418FF6C">
            <w:pPr>
              <w:pStyle w:val="6"/>
              <w:spacing w:before="101" w:line="209" w:lineRule="auto"/>
              <w:ind w:left="134"/>
              <w:rPr>
                <w:sz w:val="18"/>
                <w:szCs w:val="18"/>
              </w:rPr>
            </w:pPr>
            <w:r>
              <w:rPr>
                <w:spacing w:val="-1"/>
                <w:sz w:val="18"/>
                <w:szCs w:val="18"/>
              </w:rPr>
              <w:t>292</w:t>
            </w:r>
          </w:p>
        </w:tc>
        <w:tc>
          <w:tcPr>
            <w:tcW w:w="708" w:type="dxa"/>
            <w:vAlign w:val="top"/>
          </w:tcPr>
          <w:p w14:paraId="37819EBB">
            <w:pPr>
              <w:pStyle w:val="6"/>
              <w:spacing w:before="101" w:line="209" w:lineRule="auto"/>
              <w:ind w:left="211"/>
              <w:rPr>
                <w:sz w:val="18"/>
                <w:szCs w:val="18"/>
              </w:rPr>
            </w:pPr>
            <w:r>
              <w:rPr>
                <w:spacing w:val="-2"/>
                <w:sz w:val="18"/>
                <w:szCs w:val="18"/>
              </w:rPr>
              <w:t>314</w:t>
            </w:r>
          </w:p>
        </w:tc>
        <w:tc>
          <w:tcPr>
            <w:tcW w:w="567" w:type="dxa"/>
            <w:vAlign w:val="top"/>
          </w:tcPr>
          <w:p w14:paraId="1E93BBB1">
            <w:pPr>
              <w:pStyle w:val="6"/>
              <w:spacing w:before="104" w:line="186" w:lineRule="auto"/>
              <w:ind w:left="180"/>
              <w:rPr>
                <w:sz w:val="18"/>
                <w:szCs w:val="18"/>
              </w:rPr>
            </w:pPr>
            <w:r>
              <w:rPr>
                <w:spacing w:val="-3"/>
                <w:sz w:val="18"/>
                <w:szCs w:val="18"/>
              </w:rPr>
              <w:t>8L</w:t>
            </w:r>
          </w:p>
        </w:tc>
        <w:tc>
          <w:tcPr>
            <w:tcW w:w="566" w:type="dxa"/>
            <w:vAlign w:val="top"/>
          </w:tcPr>
          <w:p w14:paraId="224F3057">
            <w:pPr>
              <w:pStyle w:val="6"/>
              <w:spacing w:before="104" w:line="186" w:lineRule="auto"/>
              <w:ind w:left="145"/>
              <w:rPr>
                <w:sz w:val="18"/>
                <w:szCs w:val="18"/>
              </w:rPr>
            </w:pPr>
            <w:r>
              <w:rPr>
                <w:spacing w:val="-5"/>
                <w:sz w:val="18"/>
                <w:szCs w:val="18"/>
              </w:rPr>
              <w:t>10L</w:t>
            </w:r>
          </w:p>
        </w:tc>
        <w:tc>
          <w:tcPr>
            <w:tcW w:w="567" w:type="dxa"/>
            <w:vAlign w:val="top"/>
          </w:tcPr>
          <w:p w14:paraId="0576364E">
            <w:pPr>
              <w:pStyle w:val="6"/>
              <w:spacing w:before="101" w:line="209" w:lineRule="auto"/>
              <w:ind w:left="120"/>
              <w:rPr>
                <w:sz w:val="18"/>
                <w:szCs w:val="18"/>
              </w:rPr>
            </w:pPr>
            <w:r>
              <w:rPr>
                <w:spacing w:val="-2"/>
                <w:sz w:val="18"/>
                <w:szCs w:val="18"/>
              </w:rPr>
              <w:t>0.02</w:t>
            </w:r>
          </w:p>
        </w:tc>
        <w:tc>
          <w:tcPr>
            <w:tcW w:w="557" w:type="dxa"/>
            <w:vAlign w:val="top"/>
          </w:tcPr>
          <w:p w14:paraId="4BEEECB0">
            <w:pPr>
              <w:pStyle w:val="6"/>
              <w:spacing w:before="101" w:line="209" w:lineRule="auto"/>
              <w:ind w:left="60"/>
              <w:rPr>
                <w:sz w:val="18"/>
                <w:szCs w:val="18"/>
              </w:rPr>
            </w:pPr>
            <w:r>
              <w:rPr>
                <w:spacing w:val="-2"/>
                <w:sz w:val="18"/>
                <w:szCs w:val="18"/>
              </w:rPr>
              <w:t>0.01L</w:t>
            </w:r>
          </w:p>
        </w:tc>
        <w:tc>
          <w:tcPr>
            <w:tcW w:w="715" w:type="dxa"/>
            <w:vAlign w:val="top"/>
          </w:tcPr>
          <w:p w14:paraId="063459CB">
            <w:pPr>
              <w:pStyle w:val="6"/>
              <w:spacing w:before="101" w:line="209" w:lineRule="auto"/>
              <w:ind w:left="140"/>
              <w:rPr>
                <w:sz w:val="18"/>
                <w:szCs w:val="18"/>
              </w:rPr>
            </w:pPr>
            <w:r>
              <w:rPr>
                <w:spacing w:val="-2"/>
                <w:sz w:val="18"/>
                <w:szCs w:val="18"/>
              </w:rPr>
              <w:t>0.04L</w:t>
            </w:r>
          </w:p>
        </w:tc>
        <w:tc>
          <w:tcPr>
            <w:tcW w:w="567" w:type="dxa"/>
            <w:vAlign w:val="top"/>
          </w:tcPr>
          <w:p w14:paraId="3FC0D519">
            <w:pPr>
              <w:pStyle w:val="6"/>
              <w:spacing w:before="101" w:line="209" w:lineRule="auto"/>
              <w:ind w:left="78"/>
              <w:rPr>
                <w:sz w:val="18"/>
                <w:szCs w:val="18"/>
              </w:rPr>
            </w:pPr>
            <w:r>
              <w:rPr>
                <w:spacing w:val="-2"/>
                <w:sz w:val="18"/>
                <w:szCs w:val="18"/>
              </w:rPr>
              <w:t>0.039</w:t>
            </w:r>
          </w:p>
        </w:tc>
        <w:tc>
          <w:tcPr>
            <w:tcW w:w="708" w:type="dxa"/>
            <w:vAlign w:val="top"/>
          </w:tcPr>
          <w:p w14:paraId="330BAC4B">
            <w:pPr>
              <w:pStyle w:val="6"/>
              <w:spacing w:before="101" w:line="209" w:lineRule="auto"/>
              <w:ind w:left="48"/>
              <w:rPr>
                <w:sz w:val="18"/>
                <w:szCs w:val="18"/>
              </w:rPr>
            </w:pPr>
            <w:r>
              <w:rPr>
                <w:spacing w:val="-1"/>
                <w:sz w:val="18"/>
                <w:szCs w:val="18"/>
              </w:rPr>
              <w:t>0.0003L</w:t>
            </w:r>
          </w:p>
        </w:tc>
        <w:tc>
          <w:tcPr>
            <w:tcW w:w="851" w:type="dxa"/>
            <w:vAlign w:val="top"/>
          </w:tcPr>
          <w:p w14:paraId="7A7FCF62">
            <w:pPr>
              <w:pStyle w:val="6"/>
              <w:spacing w:before="101" w:line="209" w:lineRule="auto"/>
              <w:ind w:left="211"/>
              <w:rPr>
                <w:sz w:val="18"/>
                <w:szCs w:val="18"/>
              </w:rPr>
            </w:pPr>
            <w:r>
              <w:rPr>
                <w:spacing w:val="-2"/>
                <w:sz w:val="18"/>
                <w:szCs w:val="18"/>
              </w:rPr>
              <w:t>0.05L</w:t>
            </w:r>
          </w:p>
        </w:tc>
        <w:tc>
          <w:tcPr>
            <w:tcW w:w="566" w:type="dxa"/>
            <w:vAlign w:val="top"/>
          </w:tcPr>
          <w:p w14:paraId="1A18FE72">
            <w:pPr>
              <w:pStyle w:val="6"/>
              <w:spacing w:before="101" w:line="209" w:lineRule="auto"/>
              <w:ind w:left="125"/>
              <w:rPr>
                <w:sz w:val="18"/>
                <w:szCs w:val="18"/>
              </w:rPr>
            </w:pPr>
            <w:r>
              <w:rPr>
                <w:spacing w:val="-2"/>
                <w:sz w:val="18"/>
                <w:szCs w:val="18"/>
              </w:rPr>
              <w:t>0.01</w:t>
            </w:r>
          </w:p>
        </w:tc>
        <w:tc>
          <w:tcPr>
            <w:tcW w:w="672" w:type="dxa"/>
            <w:vAlign w:val="top"/>
          </w:tcPr>
          <w:p w14:paraId="3E699A4E">
            <w:pPr>
              <w:pStyle w:val="6"/>
              <w:spacing w:before="101" w:line="209" w:lineRule="auto"/>
              <w:ind w:left="193"/>
              <w:rPr>
                <w:sz w:val="18"/>
                <w:szCs w:val="18"/>
              </w:rPr>
            </w:pPr>
            <w:r>
              <w:rPr>
                <w:spacing w:val="-6"/>
                <w:sz w:val="18"/>
                <w:szCs w:val="18"/>
              </w:rPr>
              <w:t>1.13</w:t>
            </w:r>
          </w:p>
        </w:tc>
        <w:tc>
          <w:tcPr>
            <w:tcW w:w="745" w:type="dxa"/>
            <w:vAlign w:val="top"/>
          </w:tcPr>
          <w:p w14:paraId="015AE6AB">
            <w:pPr>
              <w:pStyle w:val="6"/>
              <w:spacing w:before="101" w:line="209" w:lineRule="auto"/>
              <w:ind w:left="171"/>
              <w:rPr>
                <w:sz w:val="18"/>
                <w:szCs w:val="18"/>
              </w:rPr>
            </w:pPr>
            <w:r>
              <w:rPr>
                <w:spacing w:val="-2"/>
                <w:sz w:val="18"/>
                <w:szCs w:val="18"/>
              </w:rPr>
              <w:t>0.004</w:t>
            </w:r>
          </w:p>
        </w:tc>
        <w:tc>
          <w:tcPr>
            <w:tcW w:w="455" w:type="dxa"/>
            <w:vAlign w:val="top"/>
          </w:tcPr>
          <w:p w14:paraId="0B6DA2E6">
            <w:pPr>
              <w:pStyle w:val="6"/>
              <w:spacing w:before="101" w:line="209" w:lineRule="auto"/>
              <w:ind w:left="27"/>
              <w:rPr>
                <w:sz w:val="18"/>
                <w:szCs w:val="18"/>
              </w:rPr>
            </w:pPr>
            <w:r>
              <w:rPr>
                <w:spacing w:val="-2"/>
                <w:sz w:val="18"/>
                <w:szCs w:val="18"/>
              </w:rPr>
              <w:t>0.177</w:t>
            </w:r>
          </w:p>
        </w:tc>
        <w:tc>
          <w:tcPr>
            <w:tcW w:w="579" w:type="dxa"/>
            <w:vAlign w:val="top"/>
          </w:tcPr>
          <w:p w14:paraId="7CD30D6E">
            <w:pPr>
              <w:pStyle w:val="6"/>
              <w:spacing w:before="101" w:line="209" w:lineRule="auto"/>
              <w:ind w:left="136"/>
              <w:rPr>
                <w:sz w:val="18"/>
                <w:szCs w:val="18"/>
              </w:rPr>
            </w:pPr>
            <w:r>
              <w:rPr>
                <w:spacing w:val="-2"/>
                <w:sz w:val="18"/>
                <w:szCs w:val="18"/>
              </w:rPr>
              <w:t>0.39</w:t>
            </w:r>
          </w:p>
        </w:tc>
        <w:tc>
          <w:tcPr>
            <w:tcW w:w="623" w:type="dxa"/>
            <w:vAlign w:val="top"/>
          </w:tcPr>
          <w:p w14:paraId="3ABA3413">
            <w:pPr>
              <w:pStyle w:val="6"/>
              <w:spacing w:before="101" w:line="209" w:lineRule="auto"/>
              <w:ind w:left="58"/>
              <w:rPr>
                <w:sz w:val="18"/>
                <w:szCs w:val="18"/>
              </w:rPr>
            </w:pPr>
            <w:r>
              <w:rPr>
                <w:spacing w:val="-2"/>
                <w:sz w:val="18"/>
                <w:szCs w:val="18"/>
              </w:rPr>
              <w:t>0.004L</w:t>
            </w:r>
          </w:p>
        </w:tc>
        <w:tc>
          <w:tcPr>
            <w:tcW w:w="737" w:type="dxa"/>
            <w:vAlign w:val="top"/>
          </w:tcPr>
          <w:p w14:paraId="54D88620">
            <w:pPr>
              <w:pStyle w:val="6"/>
              <w:spacing w:before="101" w:line="209" w:lineRule="auto"/>
              <w:ind w:left="80"/>
              <w:rPr>
                <w:sz w:val="18"/>
                <w:szCs w:val="18"/>
              </w:rPr>
            </w:pPr>
            <w:r>
              <w:rPr>
                <w:spacing w:val="-1"/>
                <w:sz w:val="18"/>
                <w:szCs w:val="18"/>
              </w:rPr>
              <w:t>0.00017</w:t>
            </w:r>
          </w:p>
        </w:tc>
        <w:tc>
          <w:tcPr>
            <w:tcW w:w="577" w:type="dxa"/>
            <w:vAlign w:val="top"/>
          </w:tcPr>
          <w:p w14:paraId="3544FDF1">
            <w:pPr>
              <w:pStyle w:val="6"/>
              <w:spacing w:before="101" w:line="209" w:lineRule="auto"/>
              <w:ind w:left="48"/>
              <w:rPr>
                <w:sz w:val="18"/>
                <w:szCs w:val="18"/>
              </w:rPr>
            </w:pPr>
            <w:r>
              <w:rPr>
                <w:spacing w:val="-2"/>
                <w:sz w:val="18"/>
                <w:szCs w:val="18"/>
              </w:rPr>
              <w:t>0.0013</w:t>
            </w:r>
          </w:p>
        </w:tc>
        <w:tc>
          <w:tcPr>
            <w:tcW w:w="708" w:type="dxa"/>
            <w:vAlign w:val="top"/>
          </w:tcPr>
          <w:p w14:paraId="231988EF">
            <w:pPr>
              <w:pStyle w:val="6"/>
              <w:spacing w:before="101" w:line="209" w:lineRule="auto"/>
              <w:ind w:left="60"/>
              <w:rPr>
                <w:sz w:val="18"/>
                <w:szCs w:val="18"/>
              </w:rPr>
            </w:pPr>
            <w:r>
              <w:rPr>
                <w:spacing w:val="-1"/>
                <w:sz w:val="18"/>
                <w:szCs w:val="18"/>
              </w:rPr>
              <w:t>0.0004L</w:t>
            </w:r>
          </w:p>
        </w:tc>
        <w:tc>
          <w:tcPr>
            <w:tcW w:w="567" w:type="dxa"/>
            <w:vAlign w:val="top"/>
          </w:tcPr>
          <w:p w14:paraId="4E0F9CD4">
            <w:pPr>
              <w:pStyle w:val="6"/>
              <w:spacing w:before="101" w:line="209" w:lineRule="auto"/>
              <w:ind w:left="35"/>
              <w:rPr>
                <w:sz w:val="18"/>
                <w:szCs w:val="18"/>
              </w:rPr>
            </w:pPr>
            <w:r>
              <w:rPr>
                <w:spacing w:val="-2"/>
                <w:sz w:val="18"/>
                <w:szCs w:val="18"/>
              </w:rPr>
              <w:t>0.001L</w:t>
            </w:r>
          </w:p>
        </w:tc>
        <w:tc>
          <w:tcPr>
            <w:tcW w:w="566" w:type="dxa"/>
            <w:vAlign w:val="top"/>
          </w:tcPr>
          <w:p w14:paraId="13F38EF2">
            <w:pPr>
              <w:pStyle w:val="6"/>
              <w:spacing w:before="101" w:line="209" w:lineRule="auto"/>
              <w:ind w:left="34"/>
              <w:rPr>
                <w:sz w:val="18"/>
                <w:szCs w:val="18"/>
              </w:rPr>
            </w:pPr>
            <w:r>
              <w:rPr>
                <w:spacing w:val="-2"/>
                <w:sz w:val="18"/>
                <w:szCs w:val="18"/>
              </w:rPr>
              <w:t>0.004L</w:t>
            </w:r>
          </w:p>
        </w:tc>
        <w:tc>
          <w:tcPr>
            <w:tcW w:w="567" w:type="dxa"/>
            <w:vAlign w:val="top"/>
          </w:tcPr>
          <w:p w14:paraId="19B015F5">
            <w:pPr>
              <w:pStyle w:val="6"/>
              <w:spacing w:before="101" w:line="209" w:lineRule="auto"/>
              <w:ind w:left="81"/>
              <w:rPr>
                <w:sz w:val="18"/>
                <w:szCs w:val="18"/>
              </w:rPr>
            </w:pPr>
            <w:r>
              <w:rPr>
                <w:spacing w:val="-2"/>
                <w:sz w:val="18"/>
                <w:szCs w:val="18"/>
              </w:rPr>
              <w:t>0.01L</w:t>
            </w:r>
          </w:p>
        </w:tc>
        <w:tc>
          <w:tcPr>
            <w:tcW w:w="708" w:type="dxa"/>
            <w:vAlign w:val="top"/>
          </w:tcPr>
          <w:p w14:paraId="3C2A66C9">
            <w:pPr>
              <w:pStyle w:val="6"/>
              <w:spacing w:before="101" w:line="209" w:lineRule="auto"/>
              <w:ind w:left="161"/>
              <w:rPr>
                <w:sz w:val="18"/>
                <w:szCs w:val="18"/>
              </w:rPr>
            </w:pPr>
            <w:r>
              <w:rPr>
                <w:spacing w:val="-2"/>
                <w:sz w:val="18"/>
                <w:szCs w:val="18"/>
              </w:rPr>
              <w:t>0.016</w:t>
            </w:r>
          </w:p>
        </w:tc>
        <w:tc>
          <w:tcPr>
            <w:tcW w:w="566" w:type="dxa"/>
            <w:vAlign w:val="top"/>
          </w:tcPr>
          <w:p w14:paraId="43BFC2A9">
            <w:pPr>
              <w:pStyle w:val="6"/>
              <w:spacing w:before="179" w:line="86" w:lineRule="exact"/>
              <w:ind w:left="236"/>
              <w:rPr>
                <w:sz w:val="18"/>
                <w:szCs w:val="18"/>
              </w:rPr>
            </w:pPr>
            <w:r>
              <w:rPr>
                <w:spacing w:val="-2"/>
                <w:position w:val="-5"/>
                <w:sz w:val="18"/>
                <w:szCs w:val="18"/>
              </w:rPr>
              <w:t>--</w:t>
            </w:r>
          </w:p>
        </w:tc>
        <w:tc>
          <w:tcPr>
            <w:tcW w:w="579" w:type="dxa"/>
            <w:vAlign w:val="top"/>
          </w:tcPr>
          <w:p w14:paraId="6EE823DB">
            <w:pPr>
              <w:pStyle w:val="6"/>
              <w:spacing w:before="101" w:line="209" w:lineRule="auto"/>
              <w:ind w:left="166"/>
              <w:rPr>
                <w:sz w:val="18"/>
                <w:szCs w:val="18"/>
              </w:rPr>
            </w:pPr>
            <w:r>
              <w:rPr>
                <w:spacing w:val="-2"/>
                <w:sz w:val="18"/>
                <w:szCs w:val="18"/>
              </w:rPr>
              <w:t>344</w:t>
            </w:r>
          </w:p>
        </w:tc>
        <w:tc>
          <w:tcPr>
            <w:tcW w:w="411" w:type="dxa"/>
            <w:vAlign w:val="top"/>
          </w:tcPr>
          <w:p w14:paraId="48AE4938">
            <w:pPr>
              <w:pStyle w:val="6"/>
              <w:spacing w:before="101" w:line="209" w:lineRule="auto"/>
              <w:ind w:left="106"/>
              <w:rPr>
                <w:sz w:val="18"/>
                <w:szCs w:val="18"/>
              </w:rPr>
            </w:pPr>
            <w:r>
              <w:rPr>
                <w:spacing w:val="-3"/>
                <w:sz w:val="18"/>
                <w:szCs w:val="18"/>
              </w:rPr>
              <w:t>0.8</w:t>
            </w:r>
          </w:p>
        </w:tc>
        <w:tc>
          <w:tcPr>
            <w:tcW w:w="428" w:type="dxa"/>
            <w:vAlign w:val="top"/>
          </w:tcPr>
          <w:p w14:paraId="4A004728">
            <w:pPr>
              <w:pStyle w:val="6"/>
              <w:spacing w:before="101" w:line="209" w:lineRule="auto"/>
              <w:ind w:left="67"/>
              <w:rPr>
                <w:sz w:val="18"/>
                <w:szCs w:val="18"/>
              </w:rPr>
            </w:pPr>
            <w:r>
              <w:rPr>
                <w:spacing w:val="-1"/>
                <w:sz w:val="18"/>
                <w:szCs w:val="18"/>
              </w:rPr>
              <w:t>27.0</w:t>
            </w:r>
          </w:p>
        </w:tc>
        <w:tc>
          <w:tcPr>
            <w:tcW w:w="427" w:type="dxa"/>
            <w:vAlign w:val="top"/>
          </w:tcPr>
          <w:p w14:paraId="07960B92">
            <w:pPr>
              <w:pStyle w:val="6"/>
              <w:spacing w:before="101" w:line="209" w:lineRule="auto"/>
              <w:ind w:left="85"/>
              <w:rPr>
                <w:sz w:val="18"/>
                <w:szCs w:val="18"/>
              </w:rPr>
            </w:pPr>
            <w:r>
              <w:rPr>
                <w:spacing w:val="-6"/>
                <w:sz w:val="18"/>
                <w:szCs w:val="18"/>
              </w:rPr>
              <w:t>12.5</w:t>
            </w:r>
          </w:p>
        </w:tc>
        <w:tc>
          <w:tcPr>
            <w:tcW w:w="341" w:type="dxa"/>
            <w:vAlign w:val="top"/>
          </w:tcPr>
          <w:p w14:paraId="4F2B09CE">
            <w:pPr>
              <w:pStyle w:val="6"/>
              <w:spacing w:before="101" w:line="209" w:lineRule="auto"/>
              <w:jc w:val="right"/>
              <w:rPr>
                <w:sz w:val="18"/>
                <w:szCs w:val="18"/>
              </w:rPr>
            </w:pPr>
            <w:r>
              <w:rPr>
                <w:spacing w:val="-3"/>
                <w:sz w:val="18"/>
                <w:szCs w:val="18"/>
              </w:rPr>
              <w:t>47.5</w:t>
            </w:r>
          </w:p>
        </w:tc>
        <w:tc>
          <w:tcPr>
            <w:tcW w:w="361" w:type="dxa"/>
            <w:tcBorders>
              <w:right w:val="single" w:color="000000" w:sz="12" w:space="0"/>
            </w:tcBorders>
            <w:vAlign w:val="top"/>
          </w:tcPr>
          <w:p w14:paraId="496420BD">
            <w:pPr>
              <w:pStyle w:val="6"/>
              <w:spacing w:before="101" w:line="209" w:lineRule="auto"/>
              <w:ind w:right="3"/>
              <w:jc w:val="right"/>
              <w:rPr>
                <w:sz w:val="18"/>
                <w:szCs w:val="18"/>
              </w:rPr>
            </w:pPr>
            <w:r>
              <w:rPr>
                <w:spacing w:val="-1"/>
                <w:sz w:val="18"/>
                <w:szCs w:val="18"/>
              </w:rPr>
              <w:t>28.4</w:t>
            </w:r>
          </w:p>
        </w:tc>
      </w:tr>
      <w:tr w14:paraId="4CF73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3E5D7C34">
            <w:pPr>
              <w:rPr>
                <w:rFonts w:ascii="Arial"/>
                <w:sz w:val="21"/>
              </w:rPr>
            </w:pPr>
          </w:p>
        </w:tc>
        <w:tc>
          <w:tcPr>
            <w:tcW w:w="284" w:type="dxa"/>
            <w:vMerge w:val="restart"/>
            <w:tcBorders>
              <w:bottom w:val="nil"/>
            </w:tcBorders>
            <w:vAlign w:val="top"/>
          </w:tcPr>
          <w:p w14:paraId="00B753B7">
            <w:pPr>
              <w:pStyle w:val="6"/>
              <w:spacing w:before="170" w:line="226" w:lineRule="auto"/>
              <w:ind w:left="83"/>
              <w:rPr>
                <w:sz w:val="18"/>
                <w:szCs w:val="18"/>
              </w:rPr>
            </w:pPr>
            <w:r>
              <w:rPr>
                <w:sz w:val="18"/>
                <w:szCs w:val="18"/>
              </w:rPr>
              <w:t>3</w:t>
            </w:r>
          </w:p>
          <w:p w14:paraId="2F112F7C">
            <w:pPr>
              <w:spacing w:line="219" w:lineRule="auto"/>
              <w:ind w:left="39"/>
              <w:rPr>
                <w:rFonts w:ascii="宋体" w:hAnsi="宋体" w:eastAsia="宋体" w:cs="宋体"/>
                <w:sz w:val="18"/>
                <w:szCs w:val="18"/>
              </w:rPr>
            </w:pPr>
            <w:r>
              <w:rPr>
                <w:rFonts w:ascii="宋体" w:hAnsi="宋体" w:eastAsia="宋体" w:cs="宋体"/>
                <w:sz w:val="18"/>
                <w:szCs w:val="18"/>
              </w:rPr>
              <w:t>季</w:t>
            </w:r>
          </w:p>
          <w:p w14:paraId="30A8E7A6">
            <w:pPr>
              <w:spacing w:before="19"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1A8AE8C4">
            <w:pPr>
              <w:pStyle w:val="6"/>
              <w:spacing w:before="102" w:line="208" w:lineRule="auto"/>
              <w:ind w:left="244"/>
              <w:rPr>
                <w:sz w:val="18"/>
                <w:szCs w:val="18"/>
              </w:rPr>
            </w:pPr>
            <w:r>
              <w:rPr>
                <w:spacing w:val="-1"/>
                <w:sz w:val="18"/>
                <w:szCs w:val="18"/>
              </w:rPr>
              <w:t>2021/7/19</w:t>
            </w:r>
          </w:p>
        </w:tc>
        <w:tc>
          <w:tcPr>
            <w:tcW w:w="733" w:type="dxa"/>
            <w:vAlign w:val="top"/>
          </w:tcPr>
          <w:p w14:paraId="21B93EDA">
            <w:pPr>
              <w:pStyle w:val="6"/>
              <w:spacing w:before="102" w:line="208" w:lineRule="auto"/>
              <w:ind w:left="245"/>
              <w:rPr>
                <w:sz w:val="18"/>
                <w:szCs w:val="18"/>
              </w:rPr>
            </w:pPr>
            <w:r>
              <w:rPr>
                <w:spacing w:val="-3"/>
                <w:sz w:val="18"/>
                <w:szCs w:val="18"/>
              </w:rPr>
              <w:t>6.6</w:t>
            </w:r>
          </w:p>
        </w:tc>
        <w:tc>
          <w:tcPr>
            <w:tcW w:w="565" w:type="dxa"/>
            <w:vAlign w:val="top"/>
          </w:tcPr>
          <w:p w14:paraId="6991953B">
            <w:pPr>
              <w:pStyle w:val="6"/>
              <w:spacing w:before="102" w:line="208" w:lineRule="auto"/>
              <w:ind w:left="134"/>
              <w:rPr>
                <w:sz w:val="18"/>
                <w:szCs w:val="18"/>
              </w:rPr>
            </w:pPr>
            <w:r>
              <w:rPr>
                <w:spacing w:val="-1"/>
                <w:sz w:val="18"/>
                <w:szCs w:val="18"/>
              </w:rPr>
              <w:t>270</w:t>
            </w:r>
          </w:p>
        </w:tc>
        <w:tc>
          <w:tcPr>
            <w:tcW w:w="708" w:type="dxa"/>
            <w:vAlign w:val="top"/>
          </w:tcPr>
          <w:p w14:paraId="23E883C8">
            <w:pPr>
              <w:pStyle w:val="6"/>
              <w:spacing w:before="102" w:line="208" w:lineRule="auto"/>
              <w:ind w:left="211"/>
              <w:rPr>
                <w:sz w:val="18"/>
                <w:szCs w:val="18"/>
              </w:rPr>
            </w:pPr>
            <w:r>
              <w:rPr>
                <w:spacing w:val="-2"/>
                <w:sz w:val="18"/>
                <w:szCs w:val="18"/>
              </w:rPr>
              <w:t>301</w:t>
            </w:r>
          </w:p>
        </w:tc>
        <w:tc>
          <w:tcPr>
            <w:tcW w:w="567" w:type="dxa"/>
            <w:vAlign w:val="top"/>
          </w:tcPr>
          <w:p w14:paraId="1B9EEE89">
            <w:pPr>
              <w:pStyle w:val="6"/>
              <w:spacing w:before="102" w:line="208" w:lineRule="auto"/>
              <w:ind w:left="201"/>
              <w:rPr>
                <w:sz w:val="18"/>
                <w:szCs w:val="18"/>
              </w:rPr>
            </w:pPr>
            <w:r>
              <w:rPr>
                <w:spacing w:val="-6"/>
                <w:sz w:val="18"/>
                <w:szCs w:val="18"/>
              </w:rPr>
              <w:t>18</w:t>
            </w:r>
          </w:p>
        </w:tc>
        <w:tc>
          <w:tcPr>
            <w:tcW w:w="566" w:type="dxa"/>
            <w:vAlign w:val="top"/>
          </w:tcPr>
          <w:p w14:paraId="5DCC2E4B">
            <w:pPr>
              <w:pStyle w:val="6"/>
              <w:spacing w:before="105" w:line="186" w:lineRule="auto"/>
              <w:ind w:left="145"/>
              <w:rPr>
                <w:sz w:val="18"/>
                <w:szCs w:val="18"/>
              </w:rPr>
            </w:pPr>
            <w:r>
              <w:rPr>
                <w:spacing w:val="-5"/>
                <w:sz w:val="18"/>
                <w:szCs w:val="18"/>
              </w:rPr>
              <w:t>10L</w:t>
            </w:r>
          </w:p>
        </w:tc>
        <w:tc>
          <w:tcPr>
            <w:tcW w:w="567" w:type="dxa"/>
            <w:vAlign w:val="top"/>
          </w:tcPr>
          <w:p w14:paraId="6E9D45E6">
            <w:pPr>
              <w:pStyle w:val="6"/>
              <w:spacing w:before="102" w:line="208" w:lineRule="auto"/>
              <w:ind w:left="65"/>
              <w:rPr>
                <w:sz w:val="18"/>
                <w:szCs w:val="18"/>
              </w:rPr>
            </w:pPr>
            <w:r>
              <w:rPr>
                <w:spacing w:val="-2"/>
                <w:sz w:val="18"/>
                <w:szCs w:val="18"/>
              </w:rPr>
              <w:t>0.01L</w:t>
            </w:r>
          </w:p>
        </w:tc>
        <w:tc>
          <w:tcPr>
            <w:tcW w:w="557" w:type="dxa"/>
            <w:vAlign w:val="top"/>
          </w:tcPr>
          <w:p w14:paraId="1A16081A">
            <w:pPr>
              <w:pStyle w:val="6"/>
              <w:spacing w:before="102" w:line="208" w:lineRule="auto"/>
              <w:ind w:left="115"/>
              <w:rPr>
                <w:sz w:val="18"/>
                <w:szCs w:val="18"/>
              </w:rPr>
            </w:pPr>
            <w:r>
              <w:rPr>
                <w:spacing w:val="-2"/>
                <w:sz w:val="18"/>
                <w:szCs w:val="18"/>
              </w:rPr>
              <w:t>0.01</w:t>
            </w:r>
          </w:p>
        </w:tc>
        <w:tc>
          <w:tcPr>
            <w:tcW w:w="715" w:type="dxa"/>
            <w:vAlign w:val="top"/>
          </w:tcPr>
          <w:p w14:paraId="024EA125">
            <w:pPr>
              <w:pStyle w:val="6"/>
              <w:spacing w:before="102" w:line="208" w:lineRule="auto"/>
              <w:ind w:left="140"/>
              <w:rPr>
                <w:sz w:val="18"/>
                <w:szCs w:val="18"/>
              </w:rPr>
            </w:pPr>
            <w:r>
              <w:rPr>
                <w:spacing w:val="-2"/>
                <w:sz w:val="18"/>
                <w:szCs w:val="18"/>
              </w:rPr>
              <w:t>0.04L</w:t>
            </w:r>
          </w:p>
        </w:tc>
        <w:tc>
          <w:tcPr>
            <w:tcW w:w="567" w:type="dxa"/>
            <w:vAlign w:val="top"/>
          </w:tcPr>
          <w:p w14:paraId="41A9674B">
            <w:pPr>
              <w:pStyle w:val="6"/>
              <w:spacing w:before="102" w:line="208" w:lineRule="auto"/>
              <w:ind w:left="22"/>
              <w:rPr>
                <w:sz w:val="18"/>
                <w:szCs w:val="18"/>
              </w:rPr>
            </w:pPr>
            <w:r>
              <w:rPr>
                <w:spacing w:val="-2"/>
                <w:sz w:val="18"/>
                <w:szCs w:val="18"/>
              </w:rPr>
              <w:t>0.009L</w:t>
            </w:r>
          </w:p>
        </w:tc>
        <w:tc>
          <w:tcPr>
            <w:tcW w:w="708" w:type="dxa"/>
            <w:vAlign w:val="top"/>
          </w:tcPr>
          <w:p w14:paraId="160D9926">
            <w:pPr>
              <w:pStyle w:val="6"/>
              <w:spacing w:before="102" w:line="208" w:lineRule="auto"/>
              <w:ind w:left="48"/>
              <w:rPr>
                <w:sz w:val="18"/>
                <w:szCs w:val="18"/>
              </w:rPr>
            </w:pPr>
            <w:r>
              <w:rPr>
                <w:spacing w:val="-1"/>
                <w:sz w:val="18"/>
                <w:szCs w:val="18"/>
              </w:rPr>
              <w:t>0.0003L</w:t>
            </w:r>
          </w:p>
        </w:tc>
        <w:tc>
          <w:tcPr>
            <w:tcW w:w="851" w:type="dxa"/>
            <w:vAlign w:val="top"/>
          </w:tcPr>
          <w:p w14:paraId="4DE0A5FF">
            <w:pPr>
              <w:pStyle w:val="6"/>
              <w:spacing w:before="102" w:line="208" w:lineRule="auto"/>
              <w:ind w:left="211"/>
              <w:rPr>
                <w:sz w:val="18"/>
                <w:szCs w:val="18"/>
              </w:rPr>
            </w:pPr>
            <w:r>
              <w:rPr>
                <w:spacing w:val="-2"/>
                <w:sz w:val="18"/>
                <w:szCs w:val="18"/>
              </w:rPr>
              <w:t>0.05L</w:t>
            </w:r>
          </w:p>
        </w:tc>
        <w:tc>
          <w:tcPr>
            <w:tcW w:w="566" w:type="dxa"/>
            <w:vAlign w:val="top"/>
          </w:tcPr>
          <w:p w14:paraId="4CE6A3D9">
            <w:pPr>
              <w:pStyle w:val="6"/>
              <w:spacing w:before="102" w:line="208" w:lineRule="auto"/>
              <w:ind w:left="125"/>
              <w:rPr>
                <w:sz w:val="18"/>
                <w:szCs w:val="18"/>
              </w:rPr>
            </w:pPr>
            <w:r>
              <w:rPr>
                <w:spacing w:val="-2"/>
                <w:sz w:val="18"/>
                <w:szCs w:val="18"/>
              </w:rPr>
              <w:t>0.02</w:t>
            </w:r>
          </w:p>
        </w:tc>
        <w:tc>
          <w:tcPr>
            <w:tcW w:w="672" w:type="dxa"/>
            <w:vAlign w:val="top"/>
          </w:tcPr>
          <w:p w14:paraId="2810723E">
            <w:pPr>
              <w:pStyle w:val="6"/>
              <w:spacing w:before="102" w:line="208" w:lineRule="auto"/>
              <w:ind w:left="178"/>
              <w:rPr>
                <w:sz w:val="18"/>
                <w:szCs w:val="18"/>
              </w:rPr>
            </w:pPr>
            <w:r>
              <w:rPr>
                <w:spacing w:val="-2"/>
                <w:sz w:val="18"/>
                <w:szCs w:val="18"/>
              </w:rPr>
              <w:t>0.04</w:t>
            </w:r>
          </w:p>
        </w:tc>
        <w:tc>
          <w:tcPr>
            <w:tcW w:w="745" w:type="dxa"/>
            <w:vAlign w:val="top"/>
          </w:tcPr>
          <w:p w14:paraId="77506877">
            <w:pPr>
              <w:pStyle w:val="6"/>
              <w:spacing w:before="102" w:line="208" w:lineRule="auto"/>
              <w:ind w:left="171"/>
              <w:rPr>
                <w:sz w:val="18"/>
                <w:szCs w:val="18"/>
              </w:rPr>
            </w:pPr>
            <w:r>
              <w:rPr>
                <w:spacing w:val="-2"/>
                <w:sz w:val="18"/>
                <w:szCs w:val="18"/>
              </w:rPr>
              <w:t>0.003</w:t>
            </w:r>
          </w:p>
        </w:tc>
        <w:tc>
          <w:tcPr>
            <w:tcW w:w="455" w:type="dxa"/>
            <w:vAlign w:val="top"/>
          </w:tcPr>
          <w:p w14:paraId="55FCE717">
            <w:pPr>
              <w:pStyle w:val="6"/>
              <w:spacing w:before="102" w:line="208" w:lineRule="auto"/>
              <w:ind w:left="27"/>
              <w:rPr>
                <w:sz w:val="18"/>
                <w:szCs w:val="18"/>
              </w:rPr>
            </w:pPr>
            <w:r>
              <w:rPr>
                <w:spacing w:val="-2"/>
                <w:sz w:val="18"/>
                <w:szCs w:val="18"/>
              </w:rPr>
              <w:t>0.091</w:t>
            </w:r>
          </w:p>
        </w:tc>
        <w:tc>
          <w:tcPr>
            <w:tcW w:w="579" w:type="dxa"/>
            <w:vAlign w:val="top"/>
          </w:tcPr>
          <w:p w14:paraId="10E962FF">
            <w:pPr>
              <w:pStyle w:val="6"/>
              <w:spacing w:before="102" w:line="208" w:lineRule="auto"/>
              <w:ind w:left="81"/>
              <w:rPr>
                <w:sz w:val="18"/>
                <w:szCs w:val="18"/>
              </w:rPr>
            </w:pPr>
            <w:r>
              <w:rPr>
                <w:spacing w:val="-2"/>
                <w:sz w:val="18"/>
                <w:szCs w:val="18"/>
              </w:rPr>
              <w:t>0.05L</w:t>
            </w:r>
          </w:p>
        </w:tc>
        <w:tc>
          <w:tcPr>
            <w:tcW w:w="623" w:type="dxa"/>
            <w:vAlign w:val="top"/>
          </w:tcPr>
          <w:p w14:paraId="2B30E8AD">
            <w:pPr>
              <w:pStyle w:val="6"/>
              <w:spacing w:before="102" w:line="208" w:lineRule="auto"/>
              <w:ind w:left="58"/>
              <w:rPr>
                <w:sz w:val="18"/>
                <w:szCs w:val="18"/>
              </w:rPr>
            </w:pPr>
            <w:r>
              <w:rPr>
                <w:spacing w:val="-2"/>
                <w:sz w:val="18"/>
                <w:szCs w:val="18"/>
              </w:rPr>
              <w:t>0.004L</w:t>
            </w:r>
          </w:p>
        </w:tc>
        <w:tc>
          <w:tcPr>
            <w:tcW w:w="737" w:type="dxa"/>
            <w:vAlign w:val="top"/>
          </w:tcPr>
          <w:p w14:paraId="55C702E2">
            <w:pPr>
              <w:pStyle w:val="6"/>
              <w:spacing w:before="102" w:line="208" w:lineRule="auto"/>
              <w:ind w:left="25"/>
              <w:rPr>
                <w:sz w:val="18"/>
                <w:szCs w:val="18"/>
              </w:rPr>
            </w:pPr>
            <w:r>
              <w:rPr>
                <w:spacing w:val="-1"/>
                <w:sz w:val="18"/>
                <w:szCs w:val="18"/>
              </w:rPr>
              <w:t>0.00004L</w:t>
            </w:r>
          </w:p>
        </w:tc>
        <w:tc>
          <w:tcPr>
            <w:tcW w:w="577" w:type="dxa"/>
            <w:vAlign w:val="top"/>
          </w:tcPr>
          <w:p w14:paraId="0E7D0AFC">
            <w:pPr>
              <w:pStyle w:val="6"/>
              <w:spacing w:before="102" w:line="208" w:lineRule="auto"/>
              <w:ind w:left="48"/>
              <w:rPr>
                <w:sz w:val="18"/>
                <w:szCs w:val="18"/>
              </w:rPr>
            </w:pPr>
            <w:r>
              <w:rPr>
                <w:spacing w:val="-2"/>
                <w:sz w:val="18"/>
                <w:szCs w:val="18"/>
              </w:rPr>
              <w:t>0.0009</w:t>
            </w:r>
          </w:p>
        </w:tc>
        <w:tc>
          <w:tcPr>
            <w:tcW w:w="708" w:type="dxa"/>
            <w:vAlign w:val="top"/>
          </w:tcPr>
          <w:p w14:paraId="48D5597B">
            <w:pPr>
              <w:pStyle w:val="6"/>
              <w:spacing w:before="102" w:line="208" w:lineRule="auto"/>
              <w:ind w:left="60"/>
              <w:rPr>
                <w:sz w:val="18"/>
                <w:szCs w:val="18"/>
              </w:rPr>
            </w:pPr>
            <w:r>
              <w:rPr>
                <w:spacing w:val="-1"/>
                <w:sz w:val="18"/>
                <w:szCs w:val="18"/>
              </w:rPr>
              <w:t>0.0004L</w:t>
            </w:r>
          </w:p>
        </w:tc>
        <w:tc>
          <w:tcPr>
            <w:tcW w:w="567" w:type="dxa"/>
            <w:vAlign w:val="top"/>
          </w:tcPr>
          <w:p w14:paraId="30364EB5">
            <w:pPr>
              <w:pStyle w:val="6"/>
              <w:spacing w:before="102" w:line="208" w:lineRule="auto"/>
              <w:ind w:left="35"/>
              <w:rPr>
                <w:sz w:val="18"/>
                <w:szCs w:val="18"/>
              </w:rPr>
            </w:pPr>
            <w:r>
              <w:rPr>
                <w:spacing w:val="-2"/>
                <w:sz w:val="18"/>
                <w:szCs w:val="18"/>
              </w:rPr>
              <w:t>0.001L</w:t>
            </w:r>
          </w:p>
        </w:tc>
        <w:tc>
          <w:tcPr>
            <w:tcW w:w="566" w:type="dxa"/>
            <w:vAlign w:val="top"/>
          </w:tcPr>
          <w:p w14:paraId="75A466B3">
            <w:pPr>
              <w:pStyle w:val="6"/>
              <w:spacing w:before="102" w:line="208" w:lineRule="auto"/>
              <w:ind w:left="34"/>
              <w:rPr>
                <w:sz w:val="18"/>
                <w:szCs w:val="18"/>
              </w:rPr>
            </w:pPr>
            <w:r>
              <w:rPr>
                <w:spacing w:val="-2"/>
                <w:sz w:val="18"/>
                <w:szCs w:val="18"/>
              </w:rPr>
              <w:t>0.004L</w:t>
            </w:r>
          </w:p>
        </w:tc>
        <w:tc>
          <w:tcPr>
            <w:tcW w:w="567" w:type="dxa"/>
            <w:vAlign w:val="top"/>
          </w:tcPr>
          <w:p w14:paraId="72B0A0D0">
            <w:pPr>
              <w:pStyle w:val="6"/>
              <w:spacing w:before="102" w:line="208" w:lineRule="auto"/>
              <w:ind w:left="81"/>
              <w:rPr>
                <w:sz w:val="18"/>
                <w:szCs w:val="18"/>
              </w:rPr>
            </w:pPr>
            <w:r>
              <w:rPr>
                <w:spacing w:val="-2"/>
                <w:sz w:val="18"/>
                <w:szCs w:val="18"/>
              </w:rPr>
              <w:t>0.01L</w:t>
            </w:r>
          </w:p>
        </w:tc>
        <w:tc>
          <w:tcPr>
            <w:tcW w:w="708" w:type="dxa"/>
            <w:vAlign w:val="top"/>
          </w:tcPr>
          <w:p w14:paraId="3AB0550D">
            <w:pPr>
              <w:pStyle w:val="6"/>
              <w:spacing w:before="102" w:line="208" w:lineRule="auto"/>
              <w:ind w:left="106"/>
              <w:rPr>
                <w:sz w:val="18"/>
                <w:szCs w:val="18"/>
              </w:rPr>
            </w:pPr>
            <w:r>
              <w:rPr>
                <w:spacing w:val="-2"/>
                <w:sz w:val="18"/>
                <w:szCs w:val="18"/>
              </w:rPr>
              <w:t>0.009L</w:t>
            </w:r>
          </w:p>
        </w:tc>
        <w:tc>
          <w:tcPr>
            <w:tcW w:w="566" w:type="dxa"/>
            <w:vAlign w:val="top"/>
          </w:tcPr>
          <w:p w14:paraId="16C6CBC6">
            <w:pPr>
              <w:pStyle w:val="6"/>
              <w:spacing w:before="102" w:line="208" w:lineRule="auto"/>
              <w:ind w:left="246"/>
              <w:rPr>
                <w:sz w:val="18"/>
                <w:szCs w:val="18"/>
              </w:rPr>
            </w:pPr>
            <w:r>
              <w:rPr>
                <w:sz w:val="18"/>
                <w:szCs w:val="18"/>
              </w:rPr>
              <w:t>2</w:t>
            </w:r>
          </w:p>
        </w:tc>
        <w:tc>
          <w:tcPr>
            <w:tcW w:w="579" w:type="dxa"/>
            <w:vAlign w:val="top"/>
          </w:tcPr>
          <w:p w14:paraId="21AB3C26">
            <w:pPr>
              <w:pStyle w:val="6"/>
              <w:spacing w:before="102" w:line="208" w:lineRule="auto"/>
              <w:ind w:left="166"/>
              <w:rPr>
                <w:sz w:val="18"/>
                <w:szCs w:val="18"/>
              </w:rPr>
            </w:pPr>
            <w:r>
              <w:rPr>
                <w:spacing w:val="-2"/>
                <w:sz w:val="18"/>
                <w:szCs w:val="18"/>
              </w:rPr>
              <w:t>340</w:t>
            </w:r>
          </w:p>
        </w:tc>
        <w:tc>
          <w:tcPr>
            <w:tcW w:w="411" w:type="dxa"/>
            <w:vAlign w:val="top"/>
          </w:tcPr>
          <w:p w14:paraId="66F28D43">
            <w:pPr>
              <w:pStyle w:val="6"/>
              <w:spacing w:before="102" w:line="208" w:lineRule="auto"/>
              <w:ind w:left="106"/>
              <w:rPr>
                <w:sz w:val="18"/>
                <w:szCs w:val="18"/>
              </w:rPr>
            </w:pPr>
            <w:r>
              <w:rPr>
                <w:spacing w:val="-3"/>
                <w:sz w:val="18"/>
                <w:szCs w:val="18"/>
              </w:rPr>
              <w:t>0.8</w:t>
            </w:r>
          </w:p>
        </w:tc>
        <w:tc>
          <w:tcPr>
            <w:tcW w:w="428" w:type="dxa"/>
            <w:vAlign w:val="top"/>
          </w:tcPr>
          <w:p w14:paraId="2F84F6A2">
            <w:pPr>
              <w:pStyle w:val="6"/>
              <w:spacing w:before="102" w:line="208" w:lineRule="auto"/>
              <w:ind w:left="66"/>
              <w:rPr>
                <w:sz w:val="18"/>
                <w:szCs w:val="18"/>
              </w:rPr>
            </w:pPr>
            <w:r>
              <w:rPr>
                <w:spacing w:val="-1"/>
                <w:sz w:val="18"/>
                <w:szCs w:val="18"/>
              </w:rPr>
              <w:t>4.34</w:t>
            </w:r>
          </w:p>
        </w:tc>
        <w:tc>
          <w:tcPr>
            <w:tcW w:w="427" w:type="dxa"/>
            <w:vAlign w:val="top"/>
          </w:tcPr>
          <w:p w14:paraId="6E0243CF">
            <w:pPr>
              <w:pStyle w:val="6"/>
              <w:spacing w:before="102" w:line="208" w:lineRule="auto"/>
              <w:ind w:left="85"/>
              <w:rPr>
                <w:sz w:val="18"/>
                <w:szCs w:val="18"/>
              </w:rPr>
            </w:pPr>
            <w:r>
              <w:rPr>
                <w:spacing w:val="-6"/>
                <w:sz w:val="18"/>
                <w:szCs w:val="18"/>
              </w:rPr>
              <w:t>19.5</w:t>
            </w:r>
          </w:p>
        </w:tc>
        <w:tc>
          <w:tcPr>
            <w:tcW w:w="341" w:type="dxa"/>
            <w:vAlign w:val="top"/>
          </w:tcPr>
          <w:p w14:paraId="53F8A5B9">
            <w:pPr>
              <w:pStyle w:val="6"/>
              <w:spacing w:before="102" w:line="208" w:lineRule="auto"/>
              <w:jc w:val="right"/>
              <w:rPr>
                <w:sz w:val="18"/>
                <w:szCs w:val="18"/>
              </w:rPr>
            </w:pPr>
            <w:r>
              <w:rPr>
                <w:spacing w:val="-4"/>
                <w:sz w:val="18"/>
                <w:szCs w:val="18"/>
              </w:rPr>
              <w:t>56.1</w:t>
            </w:r>
          </w:p>
        </w:tc>
        <w:tc>
          <w:tcPr>
            <w:tcW w:w="361" w:type="dxa"/>
            <w:tcBorders>
              <w:right w:val="single" w:color="000000" w:sz="12" w:space="0"/>
            </w:tcBorders>
            <w:vAlign w:val="top"/>
          </w:tcPr>
          <w:p w14:paraId="4207F26C">
            <w:pPr>
              <w:pStyle w:val="6"/>
              <w:spacing w:before="102" w:line="208" w:lineRule="auto"/>
              <w:ind w:right="3"/>
              <w:jc w:val="right"/>
              <w:rPr>
                <w:sz w:val="18"/>
                <w:szCs w:val="18"/>
              </w:rPr>
            </w:pPr>
            <w:r>
              <w:rPr>
                <w:spacing w:val="-6"/>
                <w:sz w:val="18"/>
                <w:szCs w:val="18"/>
              </w:rPr>
              <w:t>15.1</w:t>
            </w:r>
          </w:p>
        </w:tc>
      </w:tr>
      <w:tr w14:paraId="38C51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4E17D8E6">
            <w:pPr>
              <w:rPr>
                <w:rFonts w:ascii="Arial"/>
                <w:sz w:val="21"/>
              </w:rPr>
            </w:pPr>
          </w:p>
        </w:tc>
        <w:tc>
          <w:tcPr>
            <w:tcW w:w="284" w:type="dxa"/>
            <w:vMerge w:val="continue"/>
            <w:tcBorders>
              <w:top w:val="nil"/>
              <w:bottom w:val="nil"/>
            </w:tcBorders>
            <w:vAlign w:val="top"/>
          </w:tcPr>
          <w:p w14:paraId="623E6C9B">
            <w:pPr>
              <w:rPr>
                <w:rFonts w:ascii="Arial"/>
                <w:sz w:val="21"/>
              </w:rPr>
            </w:pPr>
          </w:p>
        </w:tc>
        <w:tc>
          <w:tcPr>
            <w:tcW w:w="1249" w:type="dxa"/>
            <w:vAlign w:val="top"/>
          </w:tcPr>
          <w:p w14:paraId="326F00F7">
            <w:pPr>
              <w:pStyle w:val="6"/>
              <w:spacing w:before="101" w:line="207" w:lineRule="auto"/>
              <w:ind w:left="244"/>
              <w:rPr>
                <w:sz w:val="18"/>
                <w:szCs w:val="18"/>
              </w:rPr>
            </w:pPr>
            <w:r>
              <w:rPr>
                <w:spacing w:val="-1"/>
                <w:sz w:val="18"/>
                <w:szCs w:val="18"/>
              </w:rPr>
              <w:t>2021/7/20</w:t>
            </w:r>
          </w:p>
        </w:tc>
        <w:tc>
          <w:tcPr>
            <w:tcW w:w="733" w:type="dxa"/>
            <w:vAlign w:val="top"/>
          </w:tcPr>
          <w:p w14:paraId="0CA6E4AA">
            <w:pPr>
              <w:pStyle w:val="6"/>
              <w:spacing w:before="101" w:line="207" w:lineRule="auto"/>
              <w:ind w:left="245"/>
              <w:rPr>
                <w:sz w:val="18"/>
                <w:szCs w:val="18"/>
              </w:rPr>
            </w:pPr>
            <w:r>
              <w:rPr>
                <w:spacing w:val="-3"/>
                <w:sz w:val="18"/>
                <w:szCs w:val="18"/>
              </w:rPr>
              <w:t>6.7</w:t>
            </w:r>
          </w:p>
        </w:tc>
        <w:tc>
          <w:tcPr>
            <w:tcW w:w="565" w:type="dxa"/>
            <w:vAlign w:val="top"/>
          </w:tcPr>
          <w:p w14:paraId="63166E60">
            <w:pPr>
              <w:pStyle w:val="6"/>
              <w:spacing w:before="101" w:line="207" w:lineRule="auto"/>
              <w:ind w:left="134"/>
              <w:rPr>
                <w:sz w:val="18"/>
                <w:szCs w:val="18"/>
              </w:rPr>
            </w:pPr>
            <w:r>
              <w:rPr>
                <w:spacing w:val="-1"/>
                <w:sz w:val="18"/>
                <w:szCs w:val="18"/>
              </w:rPr>
              <w:t>262</w:t>
            </w:r>
          </w:p>
        </w:tc>
        <w:tc>
          <w:tcPr>
            <w:tcW w:w="708" w:type="dxa"/>
            <w:vAlign w:val="top"/>
          </w:tcPr>
          <w:p w14:paraId="4332054C">
            <w:pPr>
              <w:pStyle w:val="6"/>
              <w:spacing w:before="101" w:line="207" w:lineRule="auto"/>
              <w:ind w:left="211"/>
              <w:rPr>
                <w:sz w:val="18"/>
                <w:szCs w:val="18"/>
              </w:rPr>
            </w:pPr>
            <w:r>
              <w:rPr>
                <w:spacing w:val="-2"/>
                <w:sz w:val="18"/>
                <w:szCs w:val="18"/>
              </w:rPr>
              <w:t>321</w:t>
            </w:r>
          </w:p>
        </w:tc>
        <w:tc>
          <w:tcPr>
            <w:tcW w:w="567" w:type="dxa"/>
            <w:vAlign w:val="top"/>
          </w:tcPr>
          <w:p w14:paraId="3E8430F4">
            <w:pPr>
              <w:pStyle w:val="6"/>
              <w:spacing w:before="101" w:line="207" w:lineRule="auto"/>
              <w:ind w:left="184"/>
              <w:rPr>
                <w:sz w:val="18"/>
                <w:szCs w:val="18"/>
              </w:rPr>
            </w:pPr>
            <w:r>
              <w:rPr>
                <w:spacing w:val="-1"/>
                <w:sz w:val="18"/>
                <w:szCs w:val="18"/>
              </w:rPr>
              <w:t>20</w:t>
            </w:r>
          </w:p>
        </w:tc>
        <w:tc>
          <w:tcPr>
            <w:tcW w:w="566" w:type="dxa"/>
            <w:vAlign w:val="top"/>
          </w:tcPr>
          <w:p w14:paraId="4C0F1AD6">
            <w:pPr>
              <w:pStyle w:val="6"/>
              <w:spacing w:before="104" w:line="186" w:lineRule="auto"/>
              <w:ind w:left="145"/>
              <w:rPr>
                <w:sz w:val="18"/>
                <w:szCs w:val="18"/>
              </w:rPr>
            </w:pPr>
            <w:r>
              <w:rPr>
                <w:spacing w:val="-5"/>
                <w:sz w:val="18"/>
                <w:szCs w:val="18"/>
              </w:rPr>
              <w:t>10L</w:t>
            </w:r>
          </w:p>
        </w:tc>
        <w:tc>
          <w:tcPr>
            <w:tcW w:w="567" w:type="dxa"/>
            <w:vAlign w:val="top"/>
          </w:tcPr>
          <w:p w14:paraId="46BFB04D">
            <w:pPr>
              <w:pStyle w:val="6"/>
              <w:spacing w:before="101" w:line="207" w:lineRule="auto"/>
              <w:ind w:left="65"/>
              <w:rPr>
                <w:sz w:val="18"/>
                <w:szCs w:val="18"/>
              </w:rPr>
            </w:pPr>
            <w:r>
              <w:rPr>
                <w:spacing w:val="-2"/>
                <w:sz w:val="18"/>
                <w:szCs w:val="18"/>
              </w:rPr>
              <w:t>0.01L</w:t>
            </w:r>
          </w:p>
        </w:tc>
        <w:tc>
          <w:tcPr>
            <w:tcW w:w="557" w:type="dxa"/>
            <w:vAlign w:val="top"/>
          </w:tcPr>
          <w:p w14:paraId="4DE07C90">
            <w:pPr>
              <w:pStyle w:val="6"/>
              <w:spacing w:before="101" w:line="207" w:lineRule="auto"/>
              <w:ind w:left="115"/>
              <w:rPr>
                <w:sz w:val="18"/>
                <w:szCs w:val="18"/>
              </w:rPr>
            </w:pPr>
            <w:r>
              <w:rPr>
                <w:spacing w:val="-2"/>
                <w:sz w:val="18"/>
                <w:szCs w:val="18"/>
              </w:rPr>
              <w:t>0.01</w:t>
            </w:r>
          </w:p>
        </w:tc>
        <w:tc>
          <w:tcPr>
            <w:tcW w:w="715" w:type="dxa"/>
            <w:vAlign w:val="top"/>
          </w:tcPr>
          <w:p w14:paraId="1A4580B7">
            <w:pPr>
              <w:pStyle w:val="6"/>
              <w:spacing w:before="101" w:line="207" w:lineRule="auto"/>
              <w:ind w:left="140"/>
              <w:rPr>
                <w:sz w:val="18"/>
                <w:szCs w:val="18"/>
              </w:rPr>
            </w:pPr>
            <w:r>
              <w:rPr>
                <w:spacing w:val="-2"/>
                <w:sz w:val="18"/>
                <w:szCs w:val="18"/>
              </w:rPr>
              <w:t>0.04L</w:t>
            </w:r>
          </w:p>
        </w:tc>
        <w:tc>
          <w:tcPr>
            <w:tcW w:w="567" w:type="dxa"/>
            <w:vAlign w:val="top"/>
          </w:tcPr>
          <w:p w14:paraId="7A407167">
            <w:pPr>
              <w:pStyle w:val="6"/>
              <w:spacing w:before="101" w:line="207" w:lineRule="auto"/>
              <w:ind w:left="22"/>
              <w:rPr>
                <w:sz w:val="18"/>
                <w:szCs w:val="18"/>
              </w:rPr>
            </w:pPr>
            <w:r>
              <w:rPr>
                <w:spacing w:val="-2"/>
                <w:sz w:val="18"/>
                <w:szCs w:val="18"/>
              </w:rPr>
              <w:t>0.009L</w:t>
            </w:r>
          </w:p>
        </w:tc>
        <w:tc>
          <w:tcPr>
            <w:tcW w:w="708" w:type="dxa"/>
            <w:vAlign w:val="top"/>
          </w:tcPr>
          <w:p w14:paraId="6DEE43C8">
            <w:pPr>
              <w:pStyle w:val="6"/>
              <w:spacing w:before="101" w:line="207" w:lineRule="auto"/>
              <w:ind w:left="48"/>
              <w:rPr>
                <w:sz w:val="18"/>
                <w:szCs w:val="18"/>
              </w:rPr>
            </w:pPr>
            <w:r>
              <w:rPr>
                <w:spacing w:val="-1"/>
                <w:sz w:val="18"/>
                <w:szCs w:val="18"/>
              </w:rPr>
              <w:t>0.0003L</w:t>
            </w:r>
          </w:p>
        </w:tc>
        <w:tc>
          <w:tcPr>
            <w:tcW w:w="851" w:type="dxa"/>
            <w:vAlign w:val="top"/>
          </w:tcPr>
          <w:p w14:paraId="109CDC57">
            <w:pPr>
              <w:pStyle w:val="6"/>
              <w:spacing w:before="101" w:line="207" w:lineRule="auto"/>
              <w:ind w:left="211"/>
              <w:rPr>
                <w:sz w:val="18"/>
                <w:szCs w:val="18"/>
              </w:rPr>
            </w:pPr>
            <w:r>
              <w:rPr>
                <w:spacing w:val="-2"/>
                <w:sz w:val="18"/>
                <w:szCs w:val="18"/>
              </w:rPr>
              <w:t>0.05L</w:t>
            </w:r>
          </w:p>
        </w:tc>
        <w:tc>
          <w:tcPr>
            <w:tcW w:w="566" w:type="dxa"/>
            <w:vAlign w:val="top"/>
          </w:tcPr>
          <w:p w14:paraId="49046337">
            <w:pPr>
              <w:pStyle w:val="6"/>
              <w:spacing w:before="101" w:line="207" w:lineRule="auto"/>
              <w:ind w:left="125"/>
              <w:rPr>
                <w:sz w:val="18"/>
                <w:szCs w:val="18"/>
              </w:rPr>
            </w:pPr>
            <w:r>
              <w:rPr>
                <w:spacing w:val="-2"/>
                <w:sz w:val="18"/>
                <w:szCs w:val="18"/>
              </w:rPr>
              <w:t>0.02</w:t>
            </w:r>
          </w:p>
        </w:tc>
        <w:tc>
          <w:tcPr>
            <w:tcW w:w="672" w:type="dxa"/>
            <w:vAlign w:val="top"/>
          </w:tcPr>
          <w:p w14:paraId="74F5DFB8">
            <w:pPr>
              <w:pStyle w:val="6"/>
              <w:spacing w:before="101" w:line="207" w:lineRule="auto"/>
              <w:ind w:left="178"/>
              <w:rPr>
                <w:sz w:val="18"/>
                <w:szCs w:val="18"/>
              </w:rPr>
            </w:pPr>
            <w:r>
              <w:rPr>
                <w:spacing w:val="-2"/>
                <w:sz w:val="18"/>
                <w:szCs w:val="18"/>
              </w:rPr>
              <w:t>0.03</w:t>
            </w:r>
          </w:p>
        </w:tc>
        <w:tc>
          <w:tcPr>
            <w:tcW w:w="745" w:type="dxa"/>
            <w:vAlign w:val="top"/>
          </w:tcPr>
          <w:p w14:paraId="3E0FCF48">
            <w:pPr>
              <w:pStyle w:val="6"/>
              <w:spacing w:before="101" w:line="207" w:lineRule="auto"/>
              <w:ind w:left="171"/>
              <w:rPr>
                <w:sz w:val="18"/>
                <w:szCs w:val="18"/>
              </w:rPr>
            </w:pPr>
            <w:r>
              <w:rPr>
                <w:spacing w:val="-2"/>
                <w:sz w:val="18"/>
                <w:szCs w:val="18"/>
              </w:rPr>
              <w:t>0.004</w:t>
            </w:r>
          </w:p>
        </w:tc>
        <w:tc>
          <w:tcPr>
            <w:tcW w:w="455" w:type="dxa"/>
            <w:vAlign w:val="top"/>
          </w:tcPr>
          <w:p w14:paraId="57E49EFC">
            <w:pPr>
              <w:pStyle w:val="6"/>
              <w:spacing w:before="101" w:line="207" w:lineRule="auto"/>
              <w:ind w:left="27"/>
              <w:rPr>
                <w:sz w:val="18"/>
                <w:szCs w:val="18"/>
              </w:rPr>
            </w:pPr>
            <w:r>
              <w:rPr>
                <w:spacing w:val="-2"/>
                <w:sz w:val="18"/>
                <w:szCs w:val="18"/>
              </w:rPr>
              <w:t>0.087</w:t>
            </w:r>
          </w:p>
        </w:tc>
        <w:tc>
          <w:tcPr>
            <w:tcW w:w="579" w:type="dxa"/>
            <w:vAlign w:val="top"/>
          </w:tcPr>
          <w:p w14:paraId="457F4F32">
            <w:pPr>
              <w:pStyle w:val="6"/>
              <w:spacing w:before="101" w:line="207" w:lineRule="auto"/>
              <w:ind w:left="81"/>
              <w:rPr>
                <w:sz w:val="18"/>
                <w:szCs w:val="18"/>
              </w:rPr>
            </w:pPr>
            <w:r>
              <w:rPr>
                <w:spacing w:val="-2"/>
                <w:sz w:val="18"/>
                <w:szCs w:val="18"/>
              </w:rPr>
              <w:t>0.05L</w:t>
            </w:r>
          </w:p>
        </w:tc>
        <w:tc>
          <w:tcPr>
            <w:tcW w:w="623" w:type="dxa"/>
            <w:vAlign w:val="top"/>
          </w:tcPr>
          <w:p w14:paraId="32C3E352">
            <w:pPr>
              <w:pStyle w:val="6"/>
              <w:spacing w:before="101" w:line="207" w:lineRule="auto"/>
              <w:ind w:left="58"/>
              <w:rPr>
                <w:sz w:val="18"/>
                <w:szCs w:val="18"/>
              </w:rPr>
            </w:pPr>
            <w:r>
              <w:rPr>
                <w:spacing w:val="-2"/>
                <w:sz w:val="18"/>
                <w:szCs w:val="18"/>
              </w:rPr>
              <w:t>0.004L</w:t>
            </w:r>
          </w:p>
        </w:tc>
        <w:tc>
          <w:tcPr>
            <w:tcW w:w="737" w:type="dxa"/>
            <w:vAlign w:val="top"/>
          </w:tcPr>
          <w:p w14:paraId="30AB7019">
            <w:pPr>
              <w:pStyle w:val="6"/>
              <w:spacing w:before="101" w:line="207" w:lineRule="auto"/>
              <w:ind w:left="25"/>
              <w:rPr>
                <w:sz w:val="18"/>
                <w:szCs w:val="18"/>
              </w:rPr>
            </w:pPr>
            <w:r>
              <w:rPr>
                <w:spacing w:val="-1"/>
                <w:sz w:val="18"/>
                <w:szCs w:val="18"/>
              </w:rPr>
              <w:t>0.00004L</w:t>
            </w:r>
          </w:p>
        </w:tc>
        <w:tc>
          <w:tcPr>
            <w:tcW w:w="577" w:type="dxa"/>
            <w:vAlign w:val="top"/>
          </w:tcPr>
          <w:p w14:paraId="21995EA7">
            <w:pPr>
              <w:pStyle w:val="6"/>
              <w:spacing w:before="101" w:line="207" w:lineRule="auto"/>
              <w:ind w:left="48"/>
              <w:rPr>
                <w:sz w:val="18"/>
                <w:szCs w:val="18"/>
              </w:rPr>
            </w:pPr>
            <w:r>
              <w:rPr>
                <w:spacing w:val="-2"/>
                <w:sz w:val="18"/>
                <w:szCs w:val="18"/>
              </w:rPr>
              <w:t>0.0008</w:t>
            </w:r>
          </w:p>
        </w:tc>
        <w:tc>
          <w:tcPr>
            <w:tcW w:w="708" w:type="dxa"/>
            <w:vAlign w:val="top"/>
          </w:tcPr>
          <w:p w14:paraId="0D3FC831">
            <w:pPr>
              <w:pStyle w:val="6"/>
              <w:spacing w:before="101" w:line="207" w:lineRule="auto"/>
              <w:ind w:left="60"/>
              <w:rPr>
                <w:sz w:val="18"/>
                <w:szCs w:val="18"/>
              </w:rPr>
            </w:pPr>
            <w:r>
              <w:rPr>
                <w:spacing w:val="-1"/>
                <w:sz w:val="18"/>
                <w:szCs w:val="18"/>
              </w:rPr>
              <w:t>0.0004L</w:t>
            </w:r>
          </w:p>
        </w:tc>
        <w:tc>
          <w:tcPr>
            <w:tcW w:w="567" w:type="dxa"/>
            <w:vAlign w:val="top"/>
          </w:tcPr>
          <w:p w14:paraId="0A6C679B">
            <w:pPr>
              <w:pStyle w:val="6"/>
              <w:spacing w:before="101" w:line="207" w:lineRule="auto"/>
              <w:ind w:left="35"/>
              <w:rPr>
                <w:sz w:val="18"/>
                <w:szCs w:val="18"/>
              </w:rPr>
            </w:pPr>
            <w:r>
              <w:rPr>
                <w:spacing w:val="-2"/>
                <w:sz w:val="18"/>
                <w:szCs w:val="18"/>
              </w:rPr>
              <w:t>0.001L</w:t>
            </w:r>
          </w:p>
        </w:tc>
        <w:tc>
          <w:tcPr>
            <w:tcW w:w="566" w:type="dxa"/>
            <w:vAlign w:val="top"/>
          </w:tcPr>
          <w:p w14:paraId="634B2761">
            <w:pPr>
              <w:pStyle w:val="6"/>
              <w:spacing w:before="101" w:line="207" w:lineRule="auto"/>
              <w:ind w:left="34"/>
              <w:rPr>
                <w:sz w:val="18"/>
                <w:szCs w:val="18"/>
              </w:rPr>
            </w:pPr>
            <w:r>
              <w:rPr>
                <w:spacing w:val="-2"/>
                <w:sz w:val="18"/>
                <w:szCs w:val="18"/>
              </w:rPr>
              <w:t>0.004L</w:t>
            </w:r>
          </w:p>
        </w:tc>
        <w:tc>
          <w:tcPr>
            <w:tcW w:w="567" w:type="dxa"/>
            <w:vAlign w:val="top"/>
          </w:tcPr>
          <w:p w14:paraId="097128F4">
            <w:pPr>
              <w:pStyle w:val="6"/>
              <w:spacing w:before="101" w:line="207" w:lineRule="auto"/>
              <w:ind w:left="81"/>
              <w:rPr>
                <w:sz w:val="18"/>
                <w:szCs w:val="18"/>
              </w:rPr>
            </w:pPr>
            <w:r>
              <w:rPr>
                <w:spacing w:val="-2"/>
                <w:sz w:val="18"/>
                <w:szCs w:val="18"/>
              </w:rPr>
              <w:t>0.01L</w:t>
            </w:r>
          </w:p>
        </w:tc>
        <w:tc>
          <w:tcPr>
            <w:tcW w:w="708" w:type="dxa"/>
            <w:vAlign w:val="top"/>
          </w:tcPr>
          <w:p w14:paraId="1832099D">
            <w:pPr>
              <w:pStyle w:val="6"/>
              <w:spacing w:before="101" w:line="207" w:lineRule="auto"/>
              <w:ind w:left="106"/>
              <w:rPr>
                <w:sz w:val="18"/>
                <w:szCs w:val="18"/>
              </w:rPr>
            </w:pPr>
            <w:r>
              <w:rPr>
                <w:spacing w:val="-2"/>
                <w:sz w:val="18"/>
                <w:szCs w:val="18"/>
              </w:rPr>
              <w:t>0.009L</w:t>
            </w:r>
          </w:p>
        </w:tc>
        <w:tc>
          <w:tcPr>
            <w:tcW w:w="566" w:type="dxa"/>
            <w:vAlign w:val="top"/>
          </w:tcPr>
          <w:p w14:paraId="2B2A1EF7">
            <w:pPr>
              <w:pStyle w:val="6"/>
              <w:spacing w:before="101" w:line="207" w:lineRule="auto"/>
              <w:ind w:left="246"/>
              <w:rPr>
                <w:sz w:val="18"/>
                <w:szCs w:val="18"/>
              </w:rPr>
            </w:pPr>
            <w:r>
              <w:rPr>
                <w:sz w:val="18"/>
                <w:szCs w:val="18"/>
              </w:rPr>
              <w:t>2</w:t>
            </w:r>
          </w:p>
        </w:tc>
        <w:tc>
          <w:tcPr>
            <w:tcW w:w="579" w:type="dxa"/>
            <w:vAlign w:val="top"/>
          </w:tcPr>
          <w:p w14:paraId="50AC3F0C">
            <w:pPr>
              <w:pStyle w:val="6"/>
              <w:spacing w:before="101" w:line="207" w:lineRule="auto"/>
              <w:ind w:left="166"/>
              <w:rPr>
                <w:sz w:val="18"/>
                <w:szCs w:val="18"/>
              </w:rPr>
            </w:pPr>
            <w:r>
              <w:rPr>
                <w:spacing w:val="-2"/>
                <w:sz w:val="18"/>
                <w:szCs w:val="18"/>
              </w:rPr>
              <w:t>351</w:t>
            </w:r>
          </w:p>
        </w:tc>
        <w:tc>
          <w:tcPr>
            <w:tcW w:w="411" w:type="dxa"/>
            <w:vAlign w:val="top"/>
          </w:tcPr>
          <w:p w14:paraId="201323C2">
            <w:pPr>
              <w:pStyle w:val="6"/>
              <w:spacing w:before="101" w:line="207" w:lineRule="auto"/>
              <w:ind w:left="106"/>
              <w:rPr>
                <w:sz w:val="18"/>
                <w:szCs w:val="18"/>
              </w:rPr>
            </w:pPr>
            <w:r>
              <w:rPr>
                <w:spacing w:val="-3"/>
                <w:sz w:val="18"/>
                <w:szCs w:val="18"/>
              </w:rPr>
              <w:t>0.9</w:t>
            </w:r>
          </w:p>
        </w:tc>
        <w:tc>
          <w:tcPr>
            <w:tcW w:w="428" w:type="dxa"/>
            <w:vAlign w:val="top"/>
          </w:tcPr>
          <w:p w14:paraId="4FE1CE38">
            <w:pPr>
              <w:pStyle w:val="6"/>
              <w:spacing w:before="101" w:line="207" w:lineRule="auto"/>
              <w:ind w:left="66"/>
              <w:rPr>
                <w:sz w:val="18"/>
                <w:szCs w:val="18"/>
              </w:rPr>
            </w:pPr>
            <w:r>
              <w:rPr>
                <w:spacing w:val="-1"/>
                <w:sz w:val="18"/>
                <w:szCs w:val="18"/>
              </w:rPr>
              <w:t>4.38</w:t>
            </w:r>
          </w:p>
        </w:tc>
        <w:tc>
          <w:tcPr>
            <w:tcW w:w="427" w:type="dxa"/>
            <w:vAlign w:val="top"/>
          </w:tcPr>
          <w:p w14:paraId="705FC18C">
            <w:pPr>
              <w:pStyle w:val="6"/>
              <w:spacing w:before="101" w:line="207" w:lineRule="auto"/>
              <w:ind w:left="67"/>
              <w:rPr>
                <w:sz w:val="18"/>
                <w:szCs w:val="18"/>
              </w:rPr>
            </w:pPr>
            <w:r>
              <w:rPr>
                <w:spacing w:val="-1"/>
                <w:sz w:val="18"/>
                <w:szCs w:val="18"/>
              </w:rPr>
              <w:t>20.0</w:t>
            </w:r>
          </w:p>
        </w:tc>
        <w:tc>
          <w:tcPr>
            <w:tcW w:w="341" w:type="dxa"/>
            <w:vAlign w:val="top"/>
          </w:tcPr>
          <w:p w14:paraId="6DE290BB">
            <w:pPr>
              <w:pStyle w:val="6"/>
              <w:spacing w:before="101" w:line="207" w:lineRule="auto"/>
              <w:jc w:val="right"/>
              <w:rPr>
                <w:sz w:val="18"/>
                <w:szCs w:val="18"/>
              </w:rPr>
            </w:pPr>
            <w:r>
              <w:rPr>
                <w:spacing w:val="-4"/>
                <w:sz w:val="18"/>
                <w:szCs w:val="18"/>
              </w:rPr>
              <w:t>55.0</w:t>
            </w:r>
          </w:p>
        </w:tc>
        <w:tc>
          <w:tcPr>
            <w:tcW w:w="361" w:type="dxa"/>
            <w:tcBorders>
              <w:right w:val="single" w:color="000000" w:sz="12" w:space="0"/>
            </w:tcBorders>
            <w:vAlign w:val="top"/>
          </w:tcPr>
          <w:p w14:paraId="6B308FB4">
            <w:pPr>
              <w:pStyle w:val="6"/>
              <w:spacing w:before="101" w:line="207" w:lineRule="auto"/>
              <w:ind w:right="3"/>
              <w:jc w:val="right"/>
              <w:rPr>
                <w:sz w:val="18"/>
                <w:szCs w:val="18"/>
              </w:rPr>
            </w:pPr>
            <w:r>
              <w:rPr>
                <w:spacing w:val="-6"/>
                <w:sz w:val="18"/>
                <w:szCs w:val="18"/>
              </w:rPr>
              <w:t>14.8</w:t>
            </w:r>
          </w:p>
        </w:tc>
      </w:tr>
      <w:tr w14:paraId="0B482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46FB1B17">
            <w:pPr>
              <w:rPr>
                <w:rFonts w:ascii="Arial"/>
                <w:sz w:val="21"/>
              </w:rPr>
            </w:pPr>
          </w:p>
        </w:tc>
        <w:tc>
          <w:tcPr>
            <w:tcW w:w="284" w:type="dxa"/>
            <w:vMerge w:val="continue"/>
            <w:tcBorders>
              <w:top w:val="nil"/>
            </w:tcBorders>
            <w:vAlign w:val="top"/>
          </w:tcPr>
          <w:p w14:paraId="0AD7B2AE">
            <w:pPr>
              <w:rPr>
                <w:rFonts w:ascii="Arial"/>
                <w:sz w:val="21"/>
              </w:rPr>
            </w:pPr>
          </w:p>
        </w:tc>
        <w:tc>
          <w:tcPr>
            <w:tcW w:w="1249" w:type="dxa"/>
            <w:vAlign w:val="top"/>
          </w:tcPr>
          <w:p w14:paraId="329EFEC4">
            <w:pPr>
              <w:pStyle w:val="6"/>
              <w:spacing w:before="103" w:line="207" w:lineRule="auto"/>
              <w:ind w:left="244"/>
              <w:rPr>
                <w:sz w:val="18"/>
                <w:szCs w:val="18"/>
              </w:rPr>
            </w:pPr>
            <w:r>
              <w:rPr>
                <w:spacing w:val="-1"/>
                <w:sz w:val="18"/>
                <w:szCs w:val="18"/>
              </w:rPr>
              <w:t>2021/7/21</w:t>
            </w:r>
          </w:p>
        </w:tc>
        <w:tc>
          <w:tcPr>
            <w:tcW w:w="733" w:type="dxa"/>
            <w:vAlign w:val="top"/>
          </w:tcPr>
          <w:p w14:paraId="5EECB7D9">
            <w:pPr>
              <w:pStyle w:val="6"/>
              <w:spacing w:before="103" w:line="207" w:lineRule="auto"/>
              <w:ind w:left="245"/>
              <w:rPr>
                <w:sz w:val="18"/>
                <w:szCs w:val="18"/>
              </w:rPr>
            </w:pPr>
            <w:r>
              <w:rPr>
                <w:spacing w:val="-3"/>
                <w:sz w:val="18"/>
                <w:szCs w:val="18"/>
              </w:rPr>
              <w:t>6.7</w:t>
            </w:r>
          </w:p>
        </w:tc>
        <w:tc>
          <w:tcPr>
            <w:tcW w:w="565" w:type="dxa"/>
            <w:vAlign w:val="top"/>
          </w:tcPr>
          <w:p w14:paraId="4C04741C">
            <w:pPr>
              <w:pStyle w:val="6"/>
              <w:spacing w:before="103" w:line="207" w:lineRule="auto"/>
              <w:ind w:left="134"/>
              <w:rPr>
                <w:sz w:val="18"/>
                <w:szCs w:val="18"/>
              </w:rPr>
            </w:pPr>
            <w:r>
              <w:rPr>
                <w:spacing w:val="-1"/>
                <w:sz w:val="18"/>
                <w:szCs w:val="18"/>
              </w:rPr>
              <w:t>275</w:t>
            </w:r>
          </w:p>
        </w:tc>
        <w:tc>
          <w:tcPr>
            <w:tcW w:w="708" w:type="dxa"/>
            <w:vAlign w:val="top"/>
          </w:tcPr>
          <w:p w14:paraId="4BA2A724">
            <w:pPr>
              <w:pStyle w:val="6"/>
              <w:spacing w:before="103" w:line="207" w:lineRule="auto"/>
              <w:ind w:left="211"/>
              <w:rPr>
                <w:sz w:val="18"/>
                <w:szCs w:val="18"/>
              </w:rPr>
            </w:pPr>
            <w:r>
              <w:rPr>
                <w:spacing w:val="-2"/>
                <w:sz w:val="18"/>
                <w:szCs w:val="18"/>
              </w:rPr>
              <w:t>315</w:t>
            </w:r>
          </w:p>
        </w:tc>
        <w:tc>
          <w:tcPr>
            <w:tcW w:w="567" w:type="dxa"/>
            <w:vAlign w:val="top"/>
          </w:tcPr>
          <w:p w14:paraId="6B1E22DA">
            <w:pPr>
              <w:pStyle w:val="6"/>
              <w:spacing w:before="103" w:line="207" w:lineRule="auto"/>
              <w:ind w:left="184"/>
              <w:rPr>
                <w:sz w:val="18"/>
                <w:szCs w:val="18"/>
              </w:rPr>
            </w:pPr>
            <w:r>
              <w:rPr>
                <w:spacing w:val="-1"/>
                <w:sz w:val="18"/>
                <w:szCs w:val="18"/>
              </w:rPr>
              <w:t>22</w:t>
            </w:r>
          </w:p>
        </w:tc>
        <w:tc>
          <w:tcPr>
            <w:tcW w:w="566" w:type="dxa"/>
            <w:vAlign w:val="top"/>
          </w:tcPr>
          <w:p w14:paraId="67C12EFA">
            <w:pPr>
              <w:pStyle w:val="6"/>
              <w:spacing w:before="106" w:line="186" w:lineRule="auto"/>
              <w:ind w:left="145"/>
              <w:rPr>
                <w:sz w:val="18"/>
                <w:szCs w:val="18"/>
              </w:rPr>
            </w:pPr>
            <w:r>
              <w:rPr>
                <w:spacing w:val="-5"/>
                <w:sz w:val="18"/>
                <w:szCs w:val="18"/>
              </w:rPr>
              <w:t>10L</w:t>
            </w:r>
          </w:p>
        </w:tc>
        <w:tc>
          <w:tcPr>
            <w:tcW w:w="567" w:type="dxa"/>
            <w:vAlign w:val="top"/>
          </w:tcPr>
          <w:p w14:paraId="5548FD5F">
            <w:pPr>
              <w:pStyle w:val="6"/>
              <w:spacing w:before="103" w:line="207" w:lineRule="auto"/>
              <w:ind w:left="65"/>
              <w:rPr>
                <w:sz w:val="18"/>
                <w:szCs w:val="18"/>
              </w:rPr>
            </w:pPr>
            <w:r>
              <w:rPr>
                <w:spacing w:val="-2"/>
                <w:sz w:val="18"/>
                <w:szCs w:val="18"/>
              </w:rPr>
              <w:t>0.01L</w:t>
            </w:r>
          </w:p>
        </w:tc>
        <w:tc>
          <w:tcPr>
            <w:tcW w:w="557" w:type="dxa"/>
            <w:vAlign w:val="top"/>
          </w:tcPr>
          <w:p w14:paraId="091A1FF6">
            <w:pPr>
              <w:pStyle w:val="6"/>
              <w:spacing w:before="103" w:line="207" w:lineRule="auto"/>
              <w:ind w:left="115"/>
              <w:rPr>
                <w:sz w:val="18"/>
                <w:szCs w:val="18"/>
              </w:rPr>
            </w:pPr>
            <w:r>
              <w:rPr>
                <w:spacing w:val="-2"/>
                <w:sz w:val="18"/>
                <w:szCs w:val="18"/>
              </w:rPr>
              <w:t>0.01</w:t>
            </w:r>
          </w:p>
        </w:tc>
        <w:tc>
          <w:tcPr>
            <w:tcW w:w="715" w:type="dxa"/>
            <w:vAlign w:val="top"/>
          </w:tcPr>
          <w:p w14:paraId="0DC5E30F">
            <w:pPr>
              <w:pStyle w:val="6"/>
              <w:spacing w:before="103" w:line="207" w:lineRule="auto"/>
              <w:ind w:left="140"/>
              <w:rPr>
                <w:sz w:val="18"/>
                <w:szCs w:val="18"/>
              </w:rPr>
            </w:pPr>
            <w:r>
              <w:rPr>
                <w:spacing w:val="-2"/>
                <w:sz w:val="18"/>
                <w:szCs w:val="18"/>
              </w:rPr>
              <w:t>0.04L</w:t>
            </w:r>
          </w:p>
        </w:tc>
        <w:tc>
          <w:tcPr>
            <w:tcW w:w="567" w:type="dxa"/>
            <w:vAlign w:val="top"/>
          </w:tcPr>
          <w:p w14:paraId="24C6FA67">
            <w:pPr>
              <w:pStyle w:val="6"/>
              <w:spacing w:before="103" w:line="207" w:lineRule="auto"/>
              <w:ind w:left="22"/>
              <w:rPr>
                <w:sz w:val="18"/>
                <w:szCs w:val="18"/>
              </w:rPr>
            </w:pPr>
            <w:r>
              <w:rPr>
                <w:spacing w:val="-2"/>
                <w:sz w:val="18"/>
                <w:szCs w:val="18"/>
              </w:rPr>
              <w:t>0.009L</w:t>
            </w:r>
          </w:p>
        </w:tc>
        <w:tc>
          <w:tcPr>
            <w:tcW w:w="708" w:type="dxa"/>
            <w:vAlign w:val="top"/>
          </w:tcPr>
          <w:p w14:paraId="44BBD228">
            <w:pPr>
              <w:pStyle w:val="6"/>
              <w:spacing w:before="103" w:line="207" w:lineRule="auto"/>
              <w:ind w:left="48"/>
              <w:rPr>
                <w:sz w:val="18"/>
                <w:szCs w:val="18"/>
              </w:rPr>
            </w:pPr>
            <w:r>
              <w:rPr>
                <w:spacing w:val="-1"/>
                <w:sz w:val="18"/>
                <w:szCs w:val="18"/>
              </w:rPr>
              <w:t>0.0003L</w:t>
            </w:r>
          </w:p>
        </w:tc>
        <w:tc>
          <w:tcPr>
            <w:tcW w:w="851" w:type="dxa"/>
            <w:vAlign w:val="top"/>
          </w:tcPr>
          <w:p w14:paraId="66DE9BE4">
            <w:pPr>
              <w:pStyle w:val="6"/>
              <w:spacing w:before="103" w:line="207" w:lineRule="auto"/>
              <w:ind w:left="211"/>
              <w:rPr>
                <w:sz w:val="18"/>
                <w:szCs w:val="18"/>
              </w:rPr>
            </w:pPr>
            <w:r>
              <w:rPr>
                <w:spacing w:val="-2"/>
                <w:sz w:val="18"/>
                <w:szCs w:val="18"/>
              </w:rPr>
              <w:t>0.05L</w:t>
            </w:r>
          </w:p>
        </w:tc>
        <w:tc>
          <w:tcPr>
            <w:tcW w:w="566" w:type="dxa"/>
            <w:vAlign w:val="top"/>
          </w:tcPr>
          <w:p w14:paraId="2F49FA65">
            <w:pPr>
              <w:pStyle w:val="6"/>
              <w:spacing w:before="103" w:line="207" w:lineRule="auto"/>
              <w:ind w:left="125"/>
              <w:rPr>
                <w:sz w:val="18"/>
                <w:szCs w:val="18"/>
              </w:rPr>
            </w:pPr>
            <w:r>
              <w:rPr>
                <w:spacing w:val="-2"/>
                <w:sz w:val="18"/>
                <w:szCs w:val="18"/>
              </w:rPr>
              <w:t>0.03</w:t>
            </w:r>
          </w:p>
        </w:tc>
        <w:tc>
          <w:tcPr>
            <w:tcW w:w="672" w:type="dxa"/>
            <w:vAlign w:val="top"/>
          </w:tcPr>
          <w:p w14:paraId="52172ADE">
            <w:pPr>
              <w:pStyle w:val="6"/>
              <w:spacing w:before="103" w:line="207" w:lineRule="auto"/>
              <w:ind w:left="178"/>
              <w:rPr>
                <w:sz w:val="18"/>
                <w:szCs w:val="18"/>
              </w:rPr>
            </w:pPr>
            <w:r>
              <w:rPr>
                <w:spacing w:val="-2"/>
                <w:sz w:val="18"/>
                <w:szCs w:val="18"/>
              </w:rPr>
              <w:t>0.03</w:t>
            </w:r>
          </w:p>
        </w:tc>
        <w:tc>
          <w:tcPr>
            <w:tcW w:w="745" w:type="dxa"/>
            <w:vAlign w:val="top"/>
          </w:tcPr>
          <w:p w14:paraId="24B6CCB2">
            <w:pPr>
              <w:pStyle w:val="6"/>
              <w:spacing w:before="103" w:line="207" w:lineRule="auto"/>
              <w:ind w:left="171"/>
              <w:rPr>
                <w:sz w:val="18"/>
                <w:szCs w:val="18"/>
              </w:rPr>
            </w:pPr>
            <w:r>
              <w:rPr>
                <w:spacing w:val="-2"/>
                <w:sz w:val="18"/>
                <w:szCs w:val="18"/>
              </w:rPr>
              <w:t>0.003</w:t>
            </w:r>
          </w:p>
        </w:tc>
        <w:tc>
          <w:tcPr>
            <w:tcW w:w="455" w:type="dxa"/>
            <w:vAlign w:val="top"/>
          </w:tcPr>
          <w:p w14:paraId="29A2D6F6">
            <w:pPr>
              <w:pStyle w:val="6"/>
              <w:spacing w:before="103" w:line="207" w:lineRule="auto"/>
              <w:ind w:left="27"/>
              <w:rPr>
                <w:sz w:val="18"/>
                <w:szCs w:val="18"/>
              </w:rPr>
            </w:pPr>
            <w:r>
              <w:rPr>
                <w:spacing w:val="-2"/>
                <w:sz w:val="18"/>
                <w:szCs w:val="18"/>
              </w:rPr>
              <w:t>0.093</w:t>
            </w:r>
          </w:p>
        </w:tc>
        <w:tc>
          <w:tcPr>
            <w:tcW w:w="579" w:type="dxa"/>
            <w:vAlign w:val="top"/>
          </w:tcPr>
          <w:p w14:paraId="39E6106E">
            <w:pPr>
              <w:pStyle w:val="6"/>
              <w:spacing w:before="103" w:line="207" w:lineRule="auto"/>
              <w:ind w:left="81"/>
              <w:rPr>
                <w:sz w:val="18"/>
                <w:szCs w:val="18"/>
              </w:rPr>
            </w:pPr>
            <w:r>
              <w:rPr>
                <w:spacing w:val="-2"/>
                <w:sz w:val="18"/>
                <w:szCs w:val="18"/>
              </w:rPr>
              <w:t>0.05L</w:t>
            </w:r>
          </w:p>
        </w:tc>
        <w:tc>
          <w:tcPr>
            <w:tcW w:w="623" w:type="dxa"/>
            <w:vAlign w:val="top"/>
          </w:tcPr>
          <w:p w14:paraId="6E0D03F5">
            <w:pPr>
              <w:pStyle w:val="6"/>
              <w:spacing w:before="103" w:line="207" w:lineRule="auto"/>
              <w:ind w:left="58"/>
              <w:rPr>
                <w:sz w:val="18"/>
                <w:szCs w:val="18"/>
              </w:rPr>
            </w:pPr>
            <w:r>
              <w:rPr>
                <w:spacing w:val="-2"/>
                <w:sz w:val="18"/>
                <w:szCs w:val="18"/>
              </w:rPr>
              <w:t>0.004L</w:t>
            </w:r>
          </w:p>
        </w:tc>
        <w:tc>
          <w:tcPr>
            <w:tcW w:w="737" w:type="dxa"/>
            <w:vAlign w:val="top"/>
          </w:tcPr>
          <w:p w14:paraId="1405E997">
            <w:pPr>
              <w:pStyle w:val="6"/>
              <w:spacing w:before="103" w:line="207" w:lineRule="auto"/>
              <w:ind w:left="25"/>
              <w:rPr>
                <w:sz w:val="18"/>
                <w:szCs w:val="18"/>
              </w:rPr>
            </w:pPr>
            <w:r>
              <w:rPr>
                <w:spacing w:val="-1"/>
                <w:sz w:val="18"/>
                <w:szCs w:val="18"/>
              </w:rPr>
              <w:t>0.00004L</w:t>
            </w:r>
          </w:p>
        </w:tc>
        <w:tc>
          <w:tcPr>
            <w:tcW w:w="577" w:type="dxa"/>
            <w:vAlign w:val="top"/>
          </w:tcPr>
          <w:p w14:paraId="0E4F5ACC">
            <w:pPr>
              <w:pStyle w:val="6"/>
              <w:spacing w:before="103" w:line="207" w:lineRule="auto"/>
              <w:ind w:left="48"/>
              <w:rPr>
                <w:sz w:val="18"/>
                <w:szCs w:val="18"/>
              </w:rPr>
            </w:pPr>
            <w:r>
              <w:rPr>
                <w:spacing w:val="-2"/>
                <w:sz w:val="18"/>
                <w:szCs w:val="18"/>
              </w:rPr>
              <w:t>0.0008</w:t>
            </w:r>
          </w:p>
        </w:tc>
        <w:tc>
          <w:tcPr>
            <w:tcW w:w="708" w:type="dxa"/>
            <w:vAlign w:val="top"/>
          </w:tcPr>
          <w:p w14:paraId="40EA7C8E">
            <w:pPr>
              <w:pStyle w:val="6"/>
              <w:spacing w:before="103" w:line="207" w:lineRule="auto"/>
              <w:ind w:left="60"/>
              <w:rPr>
                <w:sz w:val="18"/>
                <w:szCs w:val="18"/>
              </w:rPr>
            </w:pPr>
            <w:r>
              <w:rPr>
                <w:spacing w:val="-1"/>
                <w:sz w:val="18"/>
                <w:szCs w:val="18"/>
              </w:rPr>
              <w:t>0.0004L</w:t>
            </w:r>
          </w:p>
        </w:tc>
        <w:tc>
          <w:tcPr>
            <w:tcW w:w="567" w:type="dxa"/>
            <w:vAlign w:val="top"/>
          </w:tcPr>
          <w:p w14:paraId="10F5562F">
            <w:pPr>
              <w:pStyle w:val="6"/>
              <w:spacing w:before="103" w:line="207" w:lineRule="auto"/>
              <w:ind w:left="35"/>
              <w:rPr>
                <w:sz w:val="18"/>
                <w:szCs w:val="18"/>
              </w:rPr>
            </w:pPr>
            <w:r>
              <w:rPr>
                <w:spacing w:val="-2"/>
                <w:sz w:val="18"/>
                <w:szCs w:val="18"/>
              </w:rPr>
              <w:t>0.001L</w:t>
            </w:r>
          </w:p>
        </w:tc>
        <w:tc>
          <w:tcPr>
            <w:tcW w:w="566" w:type="dxa"/>
            <w:vAlign w:val="top"/>
          </w:tcPr>
          <w:p w14:paraId="59C4B942">
            <w:pPr>
              <w:pStyle w:val="6"/>
              <w:spacing w:before="103" w:line="207" w:lineRule="auto"/>
              <w:ind w:left="34"/>
              <w:rPr>
                <w:sz w:val="18"/>
                <w:szCs w:val="18"/>
              </w:rPr>
            </w:pPr>
            <w:r>
              <w:rPr>
                <w:spacing w:val="-2"/>
                <w:sz w:val="18"/>
                <w:szCs w:val="18"/>
              </w:rPr>
              <w:t>0.004L</w:t>
            </w:r>
          </w:p>
        </w:tc>
        <w:tc>
          <w:tcPr>
            <w:tcW w:w="567" w:type="dxa"/>
            <w:vAlign w:val="top"/>
          </w:tcPr>
          <w:p w14:paraId="7875D517">
            <w:pPr>
              <w:pStyle w:val="6"/>
              <w:spacing w:before="103" w:line="207" w:lineRule="auto"/>
              <w:ind w:left="81"/>
              <w:rPr>
                <w:sz w:val="18"/>
                <w:szCs w:val="18"/>
              </w:rPr>
            </w:pPr>
            <w:r>
              <w:rPr>
                <w:spacing w:val="-2"/>
                <w:sz w:val="18"/>
                <w:szCs w:val="18"/>
              </w:rPr>
              <w:t>0.01L</w:t>
            </w:r>
          </w:p>
        </w:tc>
        <w:tc>
          <w:tcPr>
            <w:tcW w:w="708" w:type="dxa"/>
            <w:vAlign w:val="top"/>
          </w:tcPr>
          <w:p w14:paraId="1BBBDA30">
            <w:pPr>
              <w:pStyle w:val="6"/>
              <w:spacing w:before="103" w:line="207" w:lineRule="auto"/>
              <w:ind w:left="106"/>
              <w:rPr>
                <w:sz w:val="18"/>
                <w:szCs w:val="18"/>
              </w:rPr>
            </w:pPr>
            <w:r>
              <w:rPr>
                <w:spacing w:val="-2"/>
                <w:sz w:val="18"/>
                <w:szCs w:val="18"/>
              </w:rPr>
              <w:t>0.009L</w:t>
            </w:r>
          </w:p>
        </w:tc>
        <w:tc>
          <w:tcPr>
            <w:tcW w:w="566" w:type="dxa"/>
            <w:vAlign w:val="top"/>
          </w:tcPr>
          <w:p w14:paraId="5537F1EE">
            <w:pPr>
              <w:pStyle w:val="6"/>
              <w:spacing w:before="103" w:line="207" w:lineRule="auto"/>
              <w:ind w:left="246"/>
              <w:rPr>
                <w:sz w:val="18"/>
                <w:szCs w:val="18"/>
              </w:rPr>
            </w:pPr>
            <w:r>
              <w:rPr>
                <w:sz w:val="18"/>
                <w:szCs w:val="18"/>
              </w:rPr>
              <w:t>2</w:t>
            </w:r>
          </w:p>
        </w:tc>
        <w:tc>
          <w:tcPr>
            <w:tcW w:w="579" w:type="dxa"/>
            <w:vAlign w:val="top"/>
          </w:tcPr>
          <w:p w14:paraId="4112E3F4">
            <w:pPr>
              <w:pStyle w:val="6"/>
              <w:spacing w:before="103" w:line="207" w:lineRule="auto"/>
              <w:ind w:left="166"/>
              <w:rPr>
                <w:sz w:val="18"/>
                <w:szCs w:val="18"/>
              </w:rPr>
            </w:pPr>
            <w:r>
              <w:rPr>
                <w:spacing w:val="-2"/>
                <w:sz w:val="18"/>
                <w:szCs w:val="18"/>
              </w:rPr>
              <w:t>339</w:t>
            </w:r>
          </w:p>
        </w:tc>
        <w:tc>
          <w:tcPr>
            <w:tcW w:w="411" w:type="dxa"/>
            <w:vAlign w:val="top"/>
          </w:tcPr>
          <w:p w14:paraId="2375781B">
            <w:pPr>
              <w:pStyle w:val="6"/>
              <w:spacing w:before="103" w:line="207" w:lineRule="auto"/>
              <w:ind w:left="106"/>
              <w:rPr>
                <w:sz w:val="18"/>
                <w:szCs w:val="18"/>
              </w:rPr>
            </w:pPr>
            <w:r>
              <w:rPr>
                <w:spacing w:val="-3"/>
                <w:sz w:val="18"/>
                <w:szCs w:val="18"/>
              </w:rPr>
              <w:t>0.8</w:t>
            </w:r>
          </w:p>
        </w:tc>
        <w:tc>
          <w:tcPr>
            <w:tcW w:w="428" w:type="dxa"/>
            <w:vAlign w:val="top"/>
          </w:tcPr>
          <w:p w14:paraId="46E7F981">
            <w:pPr>
              <w:pStyle w:val="6"/>
              <w:spacing w:before="103" w:line="207" w:lineRule="auto"/>
              <w:ind w:left="66"/>
              <w:rPr>
                <w:sz w:val="18"/>
                <w:szCs w:val="18"/>
              </w:rPr>
            </w:pPr>
            <w:r>
              <w:rPr>
                <w:spacing w:val="-1"/>
                <w:sz w:val="18"/>
                <w:szCs w:val="18"/>
              </w:rPr>
              <w:t>4.55</w:t>
            </w:r>
          </w:p>
        </w:tc>
        <w:tc>
          <w:tcPr>
            <w:tcW w:w="427" w:type="dxa"/>
            <w:vAlign w:val="top"/>
          </w:tcPr>
          <w:p w14:paraId="089FFA61">
            <w:pPr>
              <w:pStyle w:val="6"/>
              <w:spacing w:before="103" w:line="207" w:lineRule="auto"/>
              <w:ind w:left="67"/>
              <w:rPr>
                <w:sz w:val="18"/>
                <w:szCs w:val="18"/>
              </w:rPr>
            </w:pPr>
            <w:r>
              <w:rPr>
                <w:spacing w:val="-1"/>
                <w:sz w:val="18"/>
                <w:szCs w:val="18"/>
              </w:rPr>
              <w:t>20.0</w:t>
            </w:r>
          </w:p>
        </w:tc>
        <w:tc>
          <w:tcPr>
            <w:tcW w:w="341" w:type="dxa"/>
            <w:vAlign w:val="top"/>
          </w:tcPr>
          <w:p w14:paraId="79929E5F">
            <w:pPr>
              <w:pStyle w:val="6"/>
              <w:spacing w:before="103" w:line="207" w:lineRule="auto"/>
              <w:jc w:val="right"/>
              <w:rPr>
                <w:sz w:val="18"/>
                <w:szCs w:val="18"/>
              </w:rPr>
            </w:pPr>
            <w:r>
              <w:rPr>
                <w:spacing w:val="-4"/>
                <w:sz w:val="18"/>
                <w:szCs w:val="18"/>
              </w:rPr>
              <w:t>56.3</w:t>
            </w:r>
          </w:p>
        </w:tc>
        <w:tc>
          <w:tcPr>
            <w:tcW w:w="361" w:type="dxa"/>
            <w:tcBorders>
              <w:right w:val="single" w:color="000000" w:sz="12" w:space="0"/>
            </w:tcBorders>
            <w:vAlign w:val="top"/>
          </w:tcPr>
          <w:p w14:paraId="41D946B4">
            <w:pPr>
              <w:pStyle w:val="6"/>
              <w:spacing w:before="103" w:line="207" w:lineRule="auto"/>
              <w:ind w:right="3"/>
              <w:jc w:val="right"/>
              <w:rPr>
                <w:sz w:val="18"/>
                <w:szCs w:val="18"/>
              </w:rPr>
            </w:pPr>
            <w:r>
              <w:rPr>
                <w:spacing w:val="-6"/>
                <w:sz w:val="18"/>
                <w:szCs w:val="18"/>
              </w:rPr>
              <w:t>15.0</w:t>
            </w:r>
          </w:p>
        </w:tc>
      </w:tr>
      <w:tr w14:paraId="7A195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bottom w:val="nil"/>
            </w:tcBorders>
            <w:vAlign w:val="top"/>
          </w:tcPr>
          <w:p w14:paraId="19E6E56C">
            <w:pPr>
              <w:rPr>
                <w:rFonts w:ascii="Arial"/>
                <w:sz w:val="21"/>
              </w:rPr>
            </w:pPr>
          </w:p>
        </w:tc>
        <w:tc>
          <w:tcPr>
            <w:tcW w:w="284" w:type="dxa"/>
            <w:vMerge w:val="restart"/>
            <w:tcBorders>
              <w:bottom w:val="nil"/>
            </w:tcBorders>
            <w:vAlign w:val="top"/>
          </w:tcPr>
          <w:p w14:paraId="5ECD0ECA">
            <w:pPr>
              <w:pStyle w:val="6"/>
              <w:spacing w:before="172" w:line="226" w:lineRule="auto"/>
              <w:ind w:left="78"/>
              <w:rPr>
                <w:sz w:val="18"/>
                <w:szCs w:val="18"/>
              </w:rPr>
            </w:pPr>
            <w:r>
              <w:rPr>
                <w:sz w:val="18"/>
                <w:szCs w:val="18"/>
              </w:rPr>
              <w:t>4</w:t>
            </w:r>
          </w:p>
          <w:p w14:paraId="2472964A">
            <w:pPr>
              <w:spacing w:line="219" w:lineRule="auto"/>
              <w:ind w:left="39"/>
              <w:rPr>
                <w:rFonts w:ascii="宋体" w:hAnsi="宋体" w:eastAsia="宋体" w:cs="宋体"/>
                <w:sz w:val="18"/>
                <w:szCs w:val="18"/>
              </w:rPr>
            </w:pPr>
            <w:r>
              <w:rPr>
                <w:rFonts w:ascii="宋体" w:hAnsi="宋体" w:eastAsia="宋体" w:cs="宋体"/>
                <w:sz w:val="18"/>
                <w:szCs w:val="18"/>
              </w:rPr>
              <w:t>季</w:t>
            </w:r>
          </w:p>
          <w:p w14:paraId="446840DB">
            <w:pPr>
              <w:spacing w:before="19" w:line="220" w:lineRule="auto"/>
              <w:ind w:left="37"/>
              <w:rPr>
                <w:rFonts w:ascii="宋体" w:hAnsi="宋体" w:eastAsia="宋体" w:cs="宋体"/>
                <w:sz w:val="18"/>
                <w:szCs w:val="18"/>
              </w:rPr>
            </w:pPr>
            <w:r>
              <w:rPr>
                <w:rFonts w:ascii="宋体" w:hAnsi="宋体" w:eastAsia="宋体" w:cs="宋体"/>
                <w:sz w:val="18"/>
                <w:szCs w:val="18"/>
              </w:rPr>
              <w:t>度</w:t>
            </w:r>
          </w:p>
        </w:tc>
        <w:tc>
          <w:tcPr>
            <w:tcW w:w="1249" w:type="dxa"/>
            <w:vAlign w:val="top"/>
          </w:tcPr>
          <w:p w14:paraId="20713C72">
            <w:pPr>
              <w:pStyle w:val="6"/>
              <w:spacing w:before="104" w:line="206" w:lineRule="auto"/>
              <w:ind w:left="198"/>
              <w:rPr>
                <w:sz w:val="18"/>
                <w:szCs w:val="18"/>
              </w:rPr>
            </w:pPr>
            <w:r>
              <w:rPr>
                <w:spacing w:val="-1"/>
                <w:sz w:val="18"/>
                <w:szCs w:val="18"/>
              </w:rPr>
              <w:t>2021/11/28</w:t>
            </w:r>
          </w:p>
        </w:tc>
        <w:tc>
          <w:tcPr>
            <w:tcW w:w="733" w:type="dxa"/>
            <w:vAlign w:val="top"/>
          </w:tcPr>
          <w:p w14:paraId="0ABD38AF">
            <w:pPr>
              <w:pStyle w:val="6"/>
              <w:spacing w:before="104" w:line="206" w:lineRule="auto"/>
              <w:ind w:left="244"/>
              <w:rPr>
                <w:sz w:val="18"/>
                <w:szCs w:val="18"/>
              </w:rPr>
            </w:pPr>
            <w:r>
              <w:rPr>
                <w:spacing w:val="-3"/>
                <w:sz w:val="18"/>
                <w:szCs w:val="18"/>
              </w:rPr>
              <w:t>7.1</w:t>
            </w:r>
          </w:p>
        </w:tc>
        <w:tc>
          <w:tcPr>
            <w:tcW w:w="565" w:type="dxa"/>
            <w:vAlign w:val="top"/>
          </w:tcPr>
          <w:p w14:paraId="29E56D94">
            <w:pPr>
              <w:pStyle w:val="6"/>
              <w:spacing w:before="104" w:line="206" w:lineRule="auto"/>
              <w:ind w:left="134"/>
              <w:rPr>
                <w:sz w:val="18"/>
                <w:szCs w:val="18"/>
              </w:rPr>
            </w:pPr>
            <w:r>
              <w:rPr>
                <w:spacing w:val="-1"/>
                <w:sz w:val="18"/>
                <w:szCs w:val="18"/>
              </w:rPr>
              <w:t>260</w:t>
            </w:r>
          </w:p>
        </w:tc>
        <w:tc>
          <w:tcPr>
            <w:tcW w:w="708" w:type="dxa"/>
            <w:vAlign w:val="top"/>
          </w:tcPr>
          <w:p w14:paraId="303A8B2B">
            <w:pPr>
              <w:pStyle w:val="6"/>
              <w:spacing w:before="104" w:line="206" w:lineRule="auto"/>
              <w:ind w:left="208"/>
              <w:rPr>
                <w:sz w:val="18"/>
                <w:szCs w:val="18"/>
              </w:rPr>
            </w:pPr>
            <w:r>
              <w:rPr>
                <w:spacing w:val="-1"/>
                <w:sz w:val="18"/>
                <w:szCs w:val="18"/>
              </w:rPr>
              <w:t>296</w:t>
            </w:r>
          </w:p>
        </w:tc>
        <w:tc>
          <w:tcPr>
            <w:tcW w:w="567" w:type="dxa"/>
            <w:vAlign w:val="top"/>
          </w:tcPr>
          <w:p w14:paraId="0418FB1F">
            <w:pPr>
              <w:pStyle w:val="6"/>
              <w:spacing w:before="104" w:line="206" w:lineRule="auto"/>
              <w:ind w:left="201"/>
              <w:rPr>
                <w:sz w:val="18"/>
                <w:szCs w:val="18"/>
              </w:rPr>
            </w:pPr>
            <w:r>
              <w:rPr>
                <w:spacing w:val="-6"/>
                <w:sz w:val="18"/>
                <w:szCs w:val="18"/>
              </w:rPr>
              <w:t>10</w:t>
            </w:r>
          </w:p>
        </w:tc>
        <w:tc>
          <w:tcPr>
            <w:tcW w:w="566" w:type="dxa"/>
            <w:vAlign w:val="top"/>
          </w:tcPr>
          <w:p w14:paraId="5BE373A5">
            <w:pPr>
              <w:pStyle w:val="6"/>
              <w:spacing w:before="107" w:line="186" w:lineRule="auto"/>
              <w:ind w:left="145"/>
              <w:rPr>
                <w:sz w:val="18"/>
                <w:szCs w:val="18"/>
              </w:rPr>
            </w:pPr>
            <w:r>
              <w:rPr>
                <w:spacing w:val="-5"/>
                <w:sz w:val="18"/>
                <w:szCs w:val="18"/>
              </w:rPr>
              <w:t>10L</w:t>
            </w:r>
          </w:p>
        </w:tc>
        <w:tc>
          <w:tcPr>
            <w:tcW w:w="567" w:type="dxa"/>
            <w:vAlign w:val="top"/>
          </w:tcPr>
          <w:p w14:paraId="7D2C1E56">
            <w:pPr>
              <w:pStyle w:val="6"/>
              <w:spacing w:before="104" w:line="206" w:lineRule="auto"/>
              <w:ind w:left="65"/>
              <w:rPr>
                <w:sz w:val="18"/>
                <w:szCs w:val="18"/>
              </w:rPr>
            </w:pPr>
            <w:r>
              <w:rPr>
                <w:spacing w:val="-2"/>
                <w:sz w:val="18"/>
                <w:szCs w:val="18"/>
              </w:rPr>
              <w:t>0.01L</w:t>
            </w:r>
          </w:p>
        </w:tc>
        <w:tc>
          <w:tcPr>
            <w:tcW w:w="557" w:type="dxa"/>
            <w:vAlign w:val="top"/>
          </w:tcPr>
          <w:p w14:paraId="44102C05">
            <w:pPr>
              <w:pStyle w:val="6"/>
              <w:spacing w:before="104" w:line="206" w:lineRule="auto"/>
              <w:ind w:left="60"/>
              <w:rPr>
                <w:sz w:val="18"/>
                <w:szCs w:val="18"/>
              </w:rPr>
            </w:pPr>
            <w:r>
              <w:rPr>
                <w:spacing w:val="-2"/>
                <w:sz w:val="18"/>
                <w:szCs w:val="18"/>
              </w:rPr>
              <w:t>0.01L</w:t>
            </w:r>
          </w:p>
        </w:tc>
        <w:tc>
          <w:tcPr>
            <w:tcW w:w="715" w:type="dxa"/>
            <w:vAlign w:val="top"/>
          </w:tcPr>
          <w:p w14:paraId="59F0DF77">
            <w:pPr>
              <w:pStyle w:val="6"/>
              <w:spacing w:before="104" w:line="206" w:lineRule="auto"/>
              <w:ind w:left="140"/>
              <w:rPr>
                <w:sz w:val="18"/>
                <w:szCs w:val="18"/>
              </w:rPr>
            </w:pPr>
            <w:r>
              <w:rPr>
                <w:spacing w:val="-2"/>
                <w:sz w:val="18"/>
                <w:szCs w:val="18"/>
              </w:rPr>
              <w:t>0.04L</w:t>
            </w:r>
          </w:p>
        </w:tc>
        <w:tc>
          <w:tcPr>
            <w:tcW w:w="567" w:type="dxa"/>
            <w:vAlign w:val="top"/>
          </w:tcPr>
          <w:p w14:paraId="5F52052A">
            <w:pPr>
              <w:pStyle w:val="6"/>
              <w:spacing w:before="104" w:line="206" w:lineRule="auto"/>
              <w:ind w:left="78"/>
              <w:rPr>
                <w:sz w:val="18"/>
                <w:szCs w:val="18"/>
              </w:rPr>
            </w:pPr>
            <w:r>
              <w:rPr>
                <w:spacing w:val="-2"/>
                <w:sz w:val="18"/>
                <w:szCs w:val="18"/>
              </w:rPr>
              <w:t>0.022</w:t>
            </w:r>
          </w:p>
        </w:tc>
        <w:tc>
          <w:tcPr>
            <w:tcW w:w="708" w:type="dxa"/>
            <w:vAlign w:val="top"/>
          </w:tcPr>
          <w:p w14:paraId="726A7883">
            <w:pPr>
              <w:pStyle w:val="6"/>
              <w:spacing w:before="104" w:line="206" w:lineRule="auto"/>
              <w:ind w:left="48"/>
              <w:rPr>
                <w:sz w:val="18"/>
                <w:szCs w:val="18"/>
              </w:rPr>
            </w:pPr>
            <w:r>
              <w:rPr>
                <w:spacing w:val="-1"/>
                <w:sz w:val="18"/>
                <w:szCs w:val="18"/>
              </w:rPr>
              <w:t>0.0003L</w:t>
            </w:r>
          </w:p>
        </w:tc>
        <w:tc>
          <w:tcPr>
            <w:tcW w:w="851" w:type="dxa"/>
            <w:vAlign w:val="top"/>
          </w:tcPr>
          <w:p w14:paraId="52091A5C">
            <w:pPr>
              <w:pStyle w:val="6"/>
              <w:spacing w:before="104" w:line="206" w:lineRule="auto"/>
              <w:ind w:left="211"/>
              <w:rPr>
                <w:sz w:val="18"/>
                <w:szCs w:val="18"/>
              </w:rPr>
            </w:pPr>
            <w:r>
              <w:rPr>
                <w:spacing w:val="-2"/>
                <w:sz w:val="18"/>
                <w:szCs w:val="18"/>
              </w:rPr>
              <w:t>0.05L</w:t>
            </w:r>
          </w:p>
        </w:tc>
        <w:tc>
          <w:tcPr>
            <w:tcW w:w="566" w:type="dxa"/>
            <w:vAlign w:val="top"/>
          </w:tcPr>
          <w:p w14:paraId="2EC606A6">
            <w:pPr>
              <w:pStyle w:val="6"/>
              <w:spacing w:before="104" w:line="206" w:lineRule="auto"/>
              <w:ind w:left="125"/>
              <w:rPr>
                <w:sz w:val="18"/>
                <w:szCs w:val="18"/>
              </w:rPr>
            </w:pPr>
            <w:r>
              <w:rPr>
                <w:spacing w:val="-2"/>
                <w:sz w:val="18"/>
                <w:szCs w:val="18"/>
              </w:rPr>
              <w:t>0.01</w:t>
            </w:r>
          </w:p>
        </w:tc>
        <w:tc>
          <w:tcPr>
            <w:tcW w:w="672" w:type="dxa"/>
            <w:vAlign w:val="top"/>
          </w:tcPr>
          <w:p w14:paraId="7726A344">
            <w:pPr>
              <w:pStyle w:val="6"/>
              <w:spacing w:before="104" w:line="206" w:lineRule="auto"/>
              <w:ind w:left="178"/>
              <w:rPr>
                <w:sz w:val="18"/>
                <w:szCs w:val="18"/>
              </w:rPr>
            </w:pPr>
            <w:r>
              <w:rPr>
                <w:spacing w:val="-2"/>
                <w:sz w:val="18"/>
                <w:szCs w:val="18"/>
              </w:rPr>
              <w:t>0.85</w:t>
            </w:r>
          </w:p>
        </w:tc>
        <w:tc>
          <w:tcPr>
            <w:tcW w:w="745" w:type="dxa"/>
            <w:vAlign w:val="top"/>
          </w:tcPr>
          <w:p w14:paraId="6267D256">
            <w:pPr>
              <w:pStyle w:val="6"/>
              <w:spacing w:before="104" w:line="206" w:lineRule="auto"/>
              <w:ind w:left="116"/>
              <w:rPr>
                <w:sz w:val="18"/>
                <w:szCs w:val="18"/>
              </w:rPr>
            </w:pPr>
            <w:r>
              <w:rPr>
                <w:spacing w:val="-2"/>
                <w:sz w:val="18"/>
                <w:szCs w:val="18"/>
              </w:rPr>
              <w:t>0.003L</w:t>
            </w:r>
          </w:p>
        </w:tc>
        <w:tc>
          <w:tcPr>
            <w:tcW w:w="455" w:type="dxa"/>
            <w:vAlign w:val="top"/>
          </w:tcPr>
          <w:p w14:paraId="27F05624">
            <w:pPr>
              <w:pStyle w:val="6"/>
              <w:spacing w:before="104" w:line="206" w:lineRule="auto"/>
              <w:ind w:left="27"/>
              <w:rPr>
                <w:sz w:val="18"/>
                <w:szCs w:val="18"/>
              </w:rPr>
            </w:pPr>
            <w:r>
              <w:rPr>
                <w:spacing w:val="-2"/>
                <w:sz w:val="18"/>
                <w:szCs w:val="18"/>
              </w:rPr>
              <w:t>0.033</w:t>
            </w:r>
          </w:p>
        </w:tc>
        <w:tc>
          <w:tcPr>
            <w:tcW w:w="579" w:type="dxa"/>
            <w:vAlign w:val="top"/>
          </w:tcPr>
          <w:p w14:paraId="536FC31A">
            <w:pPr>
              <w:pStyle w:val="6"/>
              <w:spacing w:before="104" w:line="206" w:lineRule="auto"/>
              <w:ind w:left="136"/>
              <w:rPr>
                <w:sz w:val="18"/>
                <w:szCs w:val="18"/>
              </w:rPr>
            </w:pPr>
            <w:r>
              <w:rPr>
                <w:spacing w:val="-2"/>
                <w:sz w:val="18"/>
                <w:szCs w:val="18"/>
              </w:rPr>
              <w:t>0.12</w:t>
            </w:r>
          </w:p>
        </w:tc>
        <w:tc>
          <w:tcPr>
            <w:tcW w:w="623" w:type="dxa"/>
            <w:vAlign w:val="top"/>
          </w:tcPr>
          <w:p w14:paraId="1D07A8D4">
            <w:pPr>
              <w:pStyle w:val="6"/>
              <w:spacing w:before="104" w:line="206" w:lineRule="auto"/>
              <w:ind w:left="58"/>
              <w:rPr>
                <w:sz w:val="18"/>
                <w:szCs w:val="18"/>
              </w:rPr>
            </w:pPr>
            <w:r>
              <w:rPr>
                <w:spacing w:val="-2"/>
                <w:sz w:val="18"/>
                <w:szCs w:val="18"/>
              </w:rPr>
              <w:t>0.004L</w:t>
            </w:r>
          </w:p>
        </w:tc>
        <w:tc>
          <w:tcPr>
            <w:tcW w:w="737" w:type="dxa"/>
            <w:vAlign w:val="top"/>
          </w:tcPr>
          <w:p w14:paraId="25E033BE">
            <w:pPr>
              <w:pStyle w:val="6"/>
              <w:spacing w:before="104" w:line="206" w:lineRule="auto"/>
              <w:ind w:left="80"/>
              <w:rPr>
                <w:sz w:val="18"/>
                <w:szCs w:val="18"/>
              </w:rPr>
            </w:pPr>
            <w:r>
              <w:rPr>
                <w:spacing w:val="-1"/>
                <w:sz w:val="18"/>
                <w:szCs w:val="18"/>
              </w:rPr>
              <w:t>0.00056</w:t>
            </w:r>
          </w:p>
        </w:tc>
        <w:tc>
          <w:tcPr>
            <w:tcW w:w="577" w:type="dxa"/>
            <w:vAlign w:val="top"/>
          </w:tcPr>
          <w:p w14:paraId="3C654884">
            <w:pPr>
              <w:pStyle w:val="6"/>
              <w:spacing w:before="104" w:line="206" w:lineRule="auto"/>
              <w:ind w:left="48"/>
              <w:rPr>
                <w:sz w:val="18"/>
                <w:szCs w:val="18"/>
              </w:rPr>
            </w:pPr>
            <w:r>
              <w:rPr>
                <w:spacing w:val="-2"/>
                <w:sz w:val="18"/>
                <w:szCs w:val="18"/>
              </w:rPr>
              <w:t>0.0006</w:t>
            </w:r>
          </w:p>
        </w:tc>
        <w:tc>
          <w:tcPr>
            <w:tcW w:w="708" w:type="dxa"/>
            <w:vAlign w:val="top"/>
          </w:tcPr>
          <w:p w14:paraId="259546F5">
            <w:pPr>
              <w:pStyle w:val="6"/>
              <w:spacing w:before="104" w:line="206" w:lineRule="auto"/>
              <w:ind w:left="60"/>
              <w:rPr>
                <w:sz w:val="18"/>
                <w:szCs w:val="18"/>
              </w:rPr>
            </w:pPr>
            <w:r>
              <w:rPr>
                <w:spacing w:val="-1"/>
                <w:sz w:val="18"/>
                <w:szCs w:val="18"/>
              </w:rPr>
              <w:t>0.0004L</w:t>
            </w:r>
          </w:p>
        </w:tc>
        <w:tc>
          <w:tcPr>
            <w:tcW w:w="567" w:type="dxa"/>
            <w:vAlign w:val="top"/>
          </w:tcPr>
          <w:p w14:paraId="7C2B74D7">
            <w:pPr>
              <w:pStyle w:val="6"/>
              <w:spacing w:before="104" w:line="206" w:lineRule="auto"/>
              <w:ind w:left="35"/>
              <w:rPr>
                <w:sz w:val="18"/>
                <w:szCs w:val="18"/>
              </w:rPr>
            </w:pPr>
            <w:r>
              <w:rPr>
                <w:spacing w:val="-2"/>
                <w:sz w:val="18"/>
                <w:szCs w:val="18"/>
              </w:rPr>
              <w:t>0.001L</w:t>
            </w:r>
          </w:p>
        </w:tc>
        <w:tc>
          <w:tcPr>
            <w:tcW w:w="566" w:type="dxa"/>
            <w:vAlign w:val="top"/>
          </w:tcPr>
          <w:p w14:paraId="4A0CF2D8">
            <w:pPr>
              <w:pStyle w:val="6"/>
              <w:spacing w:before="104" w:line="206" w:lineRule="auto"/>
              <w:ind w:left="34"/>
              <w:rPr>
                <w:sz w:val="18"/>
                <w:szCs w:val="18"/>
              </w:rPr>
            </w:pPr>
            <w:r>
              <w:rPr>
                <w:spacing w:val="-2"/>
                <w:sz w:val="18"/>
                <w:szCs w:val="18"/>
              </w:rPr>
              <w:t>0.004L</w:t>
            </w:r>
          </w:p>
        </w:tc>
        <w:tc>
          <w:tcPr>
            <w:tcW w:w="567" w:type="dxa"/>
            <w:vAlign w:val="top"/>
          </w:tcPr>
          <w:p w14:paraId="127E6478">
            <w:pPr>
              <w:pStyle w:val="6"/>
              <w:spacing w:before="104" w:line="206" w:lineRule="auto"/>
              <w:ind w:left="81"/>
              <w:rPr>
                <w:sz w:val="18"/>
                <w:szCs w:val="18"/>
              </w:rPr>
            </w:pPr>
            <w:r>
              <w:rPr>
                <w:spacing w:val="-2"/>
                <w:sz w:val="18"/>
                <w:szCs w:val="18"/>
              </w:rPr>
              <w:t>0.01L</w:t>
            </w:r>
          </w:p>
        </w:tc>
        <w:tc>
          <w:tcPr>
            <w:tcW w:w="708" w:type="dxa"/>
            <w:vAlign w:val="top"/>
          </w:tcPr>
          <w:p w14:paraId="463312F8">
            <w:pPr>
              <w:pStyle w:val="6"/>
              <w:spacing w:before="104" w:line="206" w:lineRule="auto"/>
              <w:ind w:left="161"/>
              <w:rPr>
                <w:sz w:val="18"/>
                <w:szCs w:val="18"/>
              </w:rPr>
            </w:pPr>
            <w:r>
              <w:rPr>
                <w:spacing w:val="-2"/>
                <w:sz w:val="18"/>
                <w:szCs w:val="18"/>
              </w:rPr>
              <w:t>0.018</w:t>
            </w:r>
          </w:p>
        </w:tc>
        <w:tc>
          <w:tcPr>
            <w:tcW w:w="566" w:type="dxa"/>
            <w:vAlign w:val="top"/>
          </w:tcPr>
          <w:p w14:paraId="76D78A4E">
            <w:pPr>
              <w:pStyle w:val="6"/>
              <w:spacing w:before="104" w:line="206" w:lineRule="auto"/>
              <w:ind w:left="246"/>
              <w:rPr>
                <w:sz w:val="18"/>
                <w:szCs w:val="18"/>
              </w:rPr>
            </w:pPr>
            <w:r>
              <w:rPr>
                <w:sz w:val="18"/>
                <w:szCs w:val="18"/>
              </w:rPr>
              <w:t>2</w:t>
            </w:r>
          </w:p>
        </w:tc>
        <w:tc>
          <w:tcPr>
            <w:tcW w:w="579" w:type="dxa"/>
            <w:vAlign w:val="top"/>
          </w:tcPr>
          <w:p w14:paraId="484EBA76">
            <w:pPr>
              <w:pStyle w:val="6"/>
              <w:spacing w:before="104" w:line="206" w:lineRule="auto"/>
              <w:ind w:left="166"/>
              <w:rPr>
                <w:sz w:val="18"/>
                <w:szCs w:val="18"/>
              </w:rPr>
            </w:pPr>
            <w:r>
              <w:rPr>
                <w:spacing w:val="-2"/>
                <w:sz w:val="18"/>
                <w:szCs w:val="18"/>
              </w:rPr>
              <w:t>305</w:t>
            </w:r>
          </w:p>
        </w:tc>
        <w:tc>
          <w:tcPr>
            <w:tcW w:w="411" w:type="dxa"/>
            <w:vAlign w:val="top"/>
          </w:tcPr>
          <w:p w14:paraId="2BFF3067">
            <w:pPr>
              <w:pStyle w:val="6"/>
              <w:spacing w:before="104" w:line="206" w:lineRule="auto"/>
              <w:ind w:left="61"/>
              <w:rPr>
                <w:sz w:val="18"/>
                <w:szCs w:val="18"/>
              </w:rPr>
            </w:pPr>
            <w:r>
              <w:rPr>
                <w:spacing w:val="-2"/>
                <w:sz w:val="18"/>
                <w:szCs w:val="18"/>
              </w:rPr>
              <w:t>0.82</w:t>
            </w:r>
          </w:p>
        </w:tc>
        <w:tc>
          <w:tcPr>
            <w:tcW w:w="428" w:type="dxa"/>
            <w:vAlign w:val="top"/>
          </w:tcPr>
          <w:p w14:paraId="597B90DC">
            <w:pPr>
              <w:pStyle w:val="6"/>
              <w:spacing w:before="104" w:line="206" w:lineRule="auto"/>
              <w:ind w:left="84"/>
              <w:rPr>
                <w:sz w:val="18"/>
                <w:szCs w:val="18"/>
              </w:rPr>
            </w:pPr>
            <w:r>
              <w:rPr>
                <w:spacing w:val="-6"/>
                <w:sz w:val="18"/>
                <w:szCs w:val="18"/>
              </w:rPr>
              <w:t>15.4</w:t>
            </w:r>
          </w:p>
        </w:tc>
        <w:tc>
          <w:tcPr>
            <w:tcW w:w="427" w:type="dxa"/>
            <w:vAlign w:val="top"/>
          </w:tcPr>
          <w:p w14:paraId="48C7EAD1">
            <w:pPr>
              <w:pStyle w:val="6"/>
              <w:spacing w:before="104" w:line="206" w:lineRule="auto"/>
              <w:ind w:left="70"/>
              <w:rPr>
                <w:sz w:val="18"/>
                <w:szCs w:val="18"/>
              </w:rPr>
            </w:pPr>
            <w:r>
              <w:rPr>
                <w:spacing w:val="-2"/>
                <w:sz w:val="18"/>
                <w:szCs w:val="18"/>
              </w:rPr>
              <w:t>0.72</w:t>
            </w:r>
          </w:p>
        </w:tc>
        <w:tc>
          <w:tcPr>
            <w:tcW w:w="341" w:type="dxa"/>
            <w:vAlign w:val="top"/>
          </w:tcPr>
          <w:p w14:paraId="64FE13BE">
            <w:pPr>
              <w:pStyle w:val="6"/>
              <w:spacing w:before="104" w:line="206" w:lineRule="auto"/>
              <w:jc w:val="right"/>
              <w:rPr>
                <w:sz w:val="18"/>
                <w:szCs w:val="18"/>
              </w:rPr>
            </w:pPr>
            <w:r>
              <w:rPr>
                <w:spacing w:val="-4"/>
                <w:sz w:val="18"/>
                <w:szCs w:val="18"/>
              </w:rPr>
              <w:t>71.4</w:t>
            </w:r>
          </w:p>
        </w:tc>
        <w:tc>
          <w:tcPr>
            <w:tcW w:w="361" w:type="dxa"/>
            <w:tcBorders>
              <w:right w:val="single" w:color="000000" w:sz="12" w:space="0"/>
            </w:tcBorders>
            <w:vAlign w:val="top"/>
          </w:tcPr>
          <w:p w14:paraId="6B75277A">
            <w:pPr>
              <w:pStyle w:val="6"/>
              <w:spacing w:before="104" w:line="206" w:lineRule="auto"/>
              <w:ind w:right="3"/>
              <w:jc w:val="right"/>
              <w:rPr>
                <w:sz w:val="18"/>
                <w:szCs w:val="18"/>
              </w:rPr>
            </w:pPr>
            <w:r>
              <w:rPr>
                <w:spacing w:val="-1"/>
                <w:sz w:val="18"/>
                <w:szCs w:val="18"/>
              </w:rPr>
              <w:t>23.8</w:t>
            </w:r>
          </w:p>
        </w:tc>
      </w:tr>
      <w:tr w14:paraId="75D66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63" w:type="dxa"/>
            <w:vMerge w:val="continue"/>
            <w:tcBorders>
              <w:top w:val="nil"/>
              <w:left w:val="single" w:color="000000" w:sz="12" w:space="0"/>
              <w:bottom w:val="nil"/>
            </w:tcBorders>
            <w:vAlign w:val="top"/>
          </w:tcPr>
          <w:p w14:paraId="4A383D47">
            <w:pPr>
              <w:rPr>
                <w:rFonts w:ascii="Arial"/>
                <w:sz w:val="21"/>
              </w:rPr>
            </w:pPr>
          </w:p>
        </w:tc>
        <w:tc>
          <w:tcPr>
            <w:tcW w:w="284" w:type="dxa"/>
            <w:vMerge w:val="continue"/>
            <w:tcBorders>
              <w:top w:val="nil"/>
              <w:bottom w:val="nil"/>
            </w:tcBorders>
            <w:vAlign w:val="top"/>
          </w:tcPr>
          <w:p w14:paraId="15CFE645">
            <w:pPr>
              <w:rPr>
                <w:rFonts w:ascii="Arial"/>
                <w:sz w:val="21"/>
              </w:rPr>
            </w:pPr>
          </w:p>
        </w:tc>
        <w:tc>
          <w:tcPr>
            <w:tcW w:w="1249" w:type="dxa"/>
            <w:vAlign w:val="top"/>
          </w:tcPr>
          <w:p w14:paraId="114CB5D7">
            <w:pPr>
              <w:pStyle w:val="6"/>
              <w:spacing w:before="104" w:line="204" w:lineRule="auto"/>
              <w:ind w:left="198"/>
              <w:rPr>
                <w:sz w:val="18"/>
                <w:szCs w:val="18"/>
              </w:rPr>
            </w:pPr>
            <w:r>
              <w:rPr>
                <w:spacing w:val="-1"/>
                <w:sz w:val="18"/>
                <w:szCs w:val="18"/>
              </w:rPr>
              <w:t>2021/11/29</w:t>
            </w:r>
          </w:p>
        </w:tc>
        <w:tc>
          <w:tcPr>
            <w:tcW w:w="733" w:type="dxa"/>
            <w:vAlign w:val="top"/>
          </w:tcPr>
          <w:p w14:paraId="395308C8">
            <w:pPr>
              <w:pStyle w:val="6"/>
              <w:spacing w:before="104" w:line="204" w:lineRule="auto"/>
              <w:ind w:left="311"/>
              <w:rPr>
                <w:sz w:val="18"/>
                <w:szCs w:val="18"/>
              </w:rPr>
            </w:pPr>
            <w:r>
              <w:rPr>
                <w:sz w:val="18"/>
                <w:szCs w:val="18"/>
              </w:rPr>
              <w:t>7</w:t>
            </w:r>
          </w:p>
        </w:tc>
        <w:tc>
          <w:tcPr>
            <w:tcW w:w="565" w:type="dxa"/>
            <w:vAlign w:val="top"/>
          </w:tcPr>
          <w:p w14:paraId="313256F1">
            <w:pPr>
              <w:pStyle w:val="6"/>
              <w:spacing w:before="104" w:line="204" w:lineRule="auto"/>
              <w:ind w:left="134"/>
              <w:rPr>
                <w:sz w:val="18"/>
                <w:szCs w:val="18"/>
              </w:rPr>
            </w:pPr>
            <w:r>
              <w:rPr>
                <w:spacing w:val="-1"/>
                <w:sz w:val="18"/>
                <w:szCs w:val="18"/>
              </w:rPr>
              <w:t>265</w:t>
            </w:r>
          </w:p>
        </w:tc>
        <w:tc>
          <w:tcPr>
            <w:tcW w:w="708" w:type="dxa"/>
            <w:vAlign w:val="top"/>
          </w:tcPr>
          <w:p w14:paraId="4EDC8D6E">
            <w:pPr>
              <w:pStyle w:val="6"/>
              <w:spacing w:before="104" w:line="204" w:lineRule="auto"/>
              <w:ind w:left="208"/>
              <w:rPr>
                <w:sz w:val="18"/>
                <w:szCs w:val="18"/>
              </w:rPr>
            </w:pPr>
            <w:r>
              <w:rPr>
                <w:spacing w:val="-1"/>
                <w:sz w:val="18"/>
                <w:szCs w:val="18"/>
              </w:rPr>
              <w:t>299</w:t>
            </w:r>
          </w:p>
        </w:tc>
        <w:tc>
          <w:tcPr>
            <w:tcW w:w="567" w:type="dxa"/>
            <w:vAlign w:val="top"/>
          </w:tcPr>
          <w:p w14:paraId="6EBDEC74">
            <w:pPr>
              <w:pStyle w:val="6"/>
              <w:spacing w:before="104" w:line="204" w:lineRule="auto"/>
              <w:ind w:left="201"/>
              <w:rPr>
                <w:sz w:val="18"/>
                <w:szCs w:val="18"/>
              </w:rPr>
            </w:pPr>
            <w:r>
              <w:rPr>
                <w:spacing w:val="-6"/>
                <w:sz w:val="18"/>
                <w:szCs w:val="18"/>
              </w:rPr>
              <w:t>12</w:t>
            </w:r>
          </w:p>
        </w:tc>
        <w:tc>
          <w:tcPr>
            <w:tcW w:w="566" w:type="dxa"/>
            <w:vAlign w:val="top"/>
          </w:tcPr>
          <w:p w14:paraId="61827E0D">
            <w:pPr>
              <w:pStyle w:val="6"/>
              <w:spacing w:before="106" w:line="186" w:lineRule="auto"/>
              <w:ind w:left="145"/>
              <w:rPr>
                <w:sz w:val="18"/>
                <w:szCs w:val="18"/>
              </w:rPr>
            </w:pPr>
            <w:r>
              <w:rPr>
                <w:spacing w:val="-5"/>
                <w:sz w:val="18"/>
                <w:szCs w:val="18"/>
              </w:rPr>
              <w:t>10L</w:t>
            </w:r>
          </w:p>
        </w:tc>
        <w:tc>
          <w:tcPr>
            <w:tcW w:w="567" w:type="dxa"/>
            <w:vAlign w:val="top"/>
          </w:tcPr>
          <w:p w14:paraId="1705DC00">
            <w:pPr>
              <w:pStyle w:val="6"/>
              <w:spacing w:before="104" w:line="204" w:lineRule="auto"/>
              <w:ind w:left="65"/>
              <w:rPr>
                <w:sz w:val="18"/>
                <w:szCs w:val="18"/>
              </w:rPr>
            </w:pPr>
            <w:r>
              <w:rPr>
                <w:spacing w:val="-2"/>
                <w:sz w:val="18"/>
                <w:szCs w:val="18"/>
              </w:rPr>
              <w:t>0.01L</w:t>
            </w:r>
          </w:p>
        </w:tc>
        <w:tc>
          <w:tcPr>
            <w:tcW w:w="557" w:type="dxa"/>
            <w:vAlign w:val="top"/>
          </w:tcPr>
          <w:p w14:paraId="3ADF2292">
            <w:pPr>
              <w:pStyle w:val="6"/>
              <w:spacing w:before="104" w:line="204" w:lineRule="auto"/>
              <w:ind w:left="60"/>
              <w:rPr>
                <w:sz w:val="18"/>
                <w:szCs w:val="18"/>
              </w:rPr>
            </w:pPr>
            <w:r>
              <w:rPr>
                <w:spacing w:val="-2"/>
                <w:sz w:val="18"/>
                <w:szCs w:val="18"/>
              </w:rPr>
              <w:t>0.01L</w:t>
            </w:r>
          </w:p>
        </w:tc>
        <w:tc>
          <w:tcPr>
            <w:tcW w:w="715" w:type="dxa"/>
            <w:vAlign w:val="top"/>
          </w:tcPr>
          <w:p w14:paraId="0881739E">
            <w:pPr>
              <w:pStyle w:val="6"/>
              <w:spacing w:before="104" w:line="204" w:lineRule="auto"/>
              <w:ind w:left="140"/>
              <w:rPr>
                <w:sz w:val="18"/>
                <w:szCs w:val="18"/>
              </w:rPr>
            </w:pPr>
            <w:r>
              <w:rPr>
                <w:spacing w:val="-2"/>
                <w:sz w:val="18"/>
                <w:szCs w:val="18"/>
              </w:rPr>
              <w:t>0.04L</w:t>
            </w:r>
          </w:p>
        </w:tc>
        <w:tc>
          <w:tcPr>
            <w:tcW w:w="567" w:type="dxa"/>
            <w:vAlign w:val="top"/>
          </w:tcPr>
          <w:p w14:paraId="4C0435C9">
            <w:pPr>
              <w:pStyle w:val="6"/>
              <w:spacing w:before="104" w:line="204" w:lineRule="auto"/>
              <w:ind w:left="78"/>
              <w:rPr>
                <w:sz w:val="18"/>
                <w:szCs w:val="18"/>
              </w:rPr>
            </w:pPr>
            <w:r>
              <w:rPr>
                <w:spacing w:val="-2"/>
                <w:sz w:val="18"/>
                <w:szCs w:val="18"/>
              </w:rPr>
              <w:t>0.022</w:t>
            </w:r>
          </w:p>
        </w:tc>
        <w:tc>
          <w:tcPr>
            <w:tcW w:w="708" w:type="dxa"/>
            <w:vAlign w:val="top"/>
          </w:tcPr>
          <w:p w14:paraId="22CAF885">
            <w:pPr>
              <w:pStyle w:val="6"/>
              <w:spacing w:before="104" w:line="204" w:lineRule="auto"/>
              <w:ind w:left="48"/>
              <w:rPr>
                <w:sz w:val="18"/>
                <w:szCs w:val="18"/>
              </w:rPr>
            </w:pPr>
            <w:r>
              <w:rPr>
                <w:spacing w:val="-1"/>
                <w:sz w:val="18"/>
                <w:szCs w:val="18"/>
              </w:rPr>
              <w:t>0.0003L</w:t>
            </w:r>
          </w:p>
        </w:tc>
        <w:tc>
          <w:tcPr>
            <w:tcW w:w="851" w:type="dxa"/>
            <w:vAlign w:val="top"/>
          </w:tcPr>
          <w:p w14:paraId="00CDCD90">
            <w:pPr>
              <w:pStyle w:val="6"/>
              <w:spacing w:before="104" w:line="204" w:lineRule="auto"/>
              <w:ind w:left="211"/>
              <w:rPr>
                <w:sz w:val="18"/>
                <w:szCs w:val="18"/>
              </w:rPr>
            </w:pPr>
            <w:r>
              <w:rPr>
                <w:spacing w:val="-2"/>
                <w:sz w:val="18"/>
                <w:szCs w:val="18"/>
              </w:rPr>
              <w:t>0.05L</w:t>
            </w:r>
          </w:p>
        </w:tc>
        <w:tc>
          <w:tcPr>
            <w:tcW w:w="566" w:type="dxa"/>
            <w:vAlign w:val="top"/>
          </w:tcPr>
          <w:p w14:paraId="7E82A65A">
            <w:pPr>
              <w:pStyle w:val="6"/>
              <w:spacing w:before="104" w:line="204" w:lineRule="auto"/>
              <w:ind w:left="125"/>
              <w:rPr>
                <w:sz w:val="18"/>
                <w:szCs w:val="18"/>
              </w:rPr>
            </w:pPr>
            <w:r>
              <w:rPr>
                <w:spacing w:val="-2"/>
                <w:sz w:val="18"/>
                <w:szCs w:val="18"/>
              </w:rPr>
              <w:t>0.01</w:t>
            </w:r>
          </w:p>
        </w:tc>
        <w:tc>
          <w:tcPr>
            <w:tcW w:w="672" w:type="dxa"/>
            <w:vAlign w:val="top"/>
          </w:tcPr>
          <w:p w14:paraId="3CA900C9">
            <w:pPr>
              <w:pStyle w:val="6"/>
              <w:spacing w:before="104" w:line="204" w:lineRule="auto"/>
              <w:ind w:left="178"/>
              <w:rPr>
                <w:sz w:val="18"/>
                <w:szCs w:val="18"/>
              </w:rPr>
            </w:pPr>
            <w:r>
              <w:rPr>
                <w:spacing w:val="-2"/>
                <w:sz w:val="18"/>
                <w:szCs w:val="18"/>
              </w:rPr>
              <w:t>0.82</w:t>
            </w:r>
          </w:p>
        </w:tc>
        <w:tc>
          <w:tcPr>
            <w:tcW w:w="745" w:type="dxa"/>
            <w:vAlign w:val="top"/>
          </w:tcPr>
          <w:p w14:paraId="656C26E7">
            <w:pPr>
              <w:pStyle w:val="6"/>
              <w:spacing w:before="104" w:line="204" w:lineRule="auto"/>
              <w:ind w:left="116"/>
              <w:rPr>
                <w:sz w:val="18"/>
                <w:szCs w:val="18"/>
              </w:rPr>
            </w:pPr>
            <w:r>
              <w:rPr>
                <w:spacing w:val="-2"/>
                <w:sz w:val="18"/>
                <w:szCs w:val="18"/>
              </w:rPr>
              <w:t>0.003L</w:t>
            </w:r>
          </w:p>
        </w:tc>
        <w:tc>
          <w:tcPr>
            <w:tcW w:w="455" w:type="dxa"/>
            <w:vAlign w:val="top"/>
          </w:tcPr>
          <w:p w14:paraId="736E1168">
            <w:pPr>
              <w:pStyle w:val="6"/>
              <w:spacing w:before="104" w:line="204" w:lineRule="auto"/>
              <w:ind w:left="27"/>
              <w:rPr>
                <w:sz w:val="18"/>
                <w:szCs w:val="18"/>
              </w:rPr>
            </w:pPr>
            <w:r>
              <w:rPr>
                <w:spacing w:val="-2"/>
                <w:sz w:val="18"/>
                <w:szCs w:val="18"/>
              </w:rPr>
              <w:t>0.039</w:t>
            </w:r>
          </w:p>
        </w:tc>
        <w:tc>
          <w:tcPr>
            <w:tcW w:w="579" w:type="dxa"/>
            <w:vAlign w:val="top"/>
          </w:tcPr>
          <w:p w14:paraId="68FB1A0D">
            <w:pPr>
              <w:pStyle w:val="6"/>
              <w:spacing w:before="104" w:line="204" w:lineRule="auto"/>
              <w:ind w:left="181"/>
              <w:rPr>
                <w:sz w:val="18"/>
                <w:szCs w:val="18"/>
              </w:rPr>
            </w:pPr>
            <w:r>
              <w:rPr>
                <w:spacing w:val="-3"/>
                <w:sz w:val="18"/>
                <w:szCs w:val="18"/>
              </w:rPr>
              <w:t>0.1</w:t>
            </w:r>
          </w:p>
        </w:tc>
        <w:tc>
          <w:tcPr>
            <w:tcW w:w="623" w:type="dxa"/>
            <w:vAlign w:val="top"/>
          </w:tcPr>
          <w:p w14:paraId="5A5D5A0A">
            <w:pPr>
              <w:pStyle w:val="6"/>
              <w:spacing w:before="104" w:line="204" w:lineRule="auto"/>
              <w:ind w:left="58"/>
              <w:rPr>
                <w:sz w:val="18"/>
                <w:szCs w:val="18"/>
              </w:rPr>
            </w:pPr>
            <w:r>
              <w:rPr>
                <w:spacing w:val="-2"/>
                <w:sz w:val="18"/>
                <w:szCs w:val="18"/>
              </w:rPr>
              <w:t>0.004L</w:t>
            </w:r>
          </w:p>
        </w:tc>
        <w:tc>
          <w:tcPr>
            <w:tcW w:w="737" w:type="dxa"/>
            <w:vAlign w:val="top"/>
          </w:tcPr>
          <w:p w14:paraId="0FAC81EC">
            <w:pPr>
              <w:pStyle w:val="6"/>
              <w:spacing w:before="104" w:line="204" w:lineRule="auto"/>
              <w:ind w:left="126"/>
              <w:rPr>
                <w:sz w:val="18"/>
                <w:szCs w:val="18"/>
              </w:rPr>
            </w:pPr>
            <w:r>
              <w:rPr>
                <w:spacing w:val="-2"/>
                <w:sz w:val="18"/>
                <w:szCs w:val="18"/>
              </w:rPr>
              <w:t>0.0005</w:t>
            </w:r>
          </w:p>
        </w:tc>
        <w:tc>
          <w:tcPr>
            <w:tcW w:w="577" w:type="dxa"/>
            <w:vAlign w:val="top"/>
          </w:tcPr>
          <w:p w14:paraId="01C4EBD4">
            <w:pPr>
              <w:pStyle w:val="6"/>
              <w:spacing w:before="104" w:line="204" w:lineRule="auto"/>
              <w:ind w:left="48"/>
              <w:rPr>
                <w:sz w:val="18"/>
                <w:szCs w:val="18"/>
              </w:rPr>
            </w:pPr>
            <w:r>
              <w:rPr>
                <w:spacing w:val="-2"/>
                <w:sz w:val="18"/>
                <w:szCs w:val="18"/>
              </w:rPr>
              <w:t>0.0007</w:t>
            </w:r>
          </w:p>
        </w:tc>
        <w:tc>
          <w:tcPr>
            <w:tcW w:w="708" w:type="dxa"/>
            <w:vAlign w:val="top"/>
          </w:tcPr>
          <w:p w14:paraId="4757E469">
            <w:pPr>
              <w:pStyle w:val="6"/>
              <w:spacing w:before="104" w:line="204" w:lineRule="auto"/>
              <w:ind w:left="60"/>
              <w:rPr>
                <w:sz w:val="18"/>
                <w:szCs w:val="18"/>
              </w:rPr>
            </w:pPr>
            <w:r>
              <w:rPr>
                <w:spacing w:val="-1"/>
                <w:sz w:val="18"/>
                <w:szCs w:val="18"/>
              </w:rPr>
              <w:t>0.0004L</w:t>
            </w:r>
          </w:p>
        </w:tc>
        <w:tc>
          <w:tcPr>
            <w:tcW w:w="567" w:type="dxa"/>
            <w:vAlign w:val="top"/>
          </w:tcPr>
          <w:p w14:paraId="041B18C1">
            <w:pPr>
              <w:pStyle w:val="6"/>
              <w:spacing w:before="104" w:line="204" w:lineRule="auto"/>
              <w:ind w:left="35"/>
              <w:rPr>
                <w:sz w:val="18"/>
                <w:szCs w:val="18"/>
              </w:rPr>
            </w:pPr>
            <w:r>
              <w:rPr>
                <w:spacing w:val="-2"/>
                <w:sz w:val="18"/>
                <w:szCs w:val="18"/>
              </w:rPr>
              <w:t>0.001L</w:t>
            </w:r>
          </w:p>
        </w:tc>
        <w:tc>
          <w:tcPr>
            <w:tcW w:w="566" w:type="dxa"/>
            <w:vAlign w:val="top"/>
          </w:tcPr>
          <w:p w14:paraId="4535B6FF">
            <w:pPr>
              <w:pStyle w:val="6"/>
              <w:spacing w:before="104" w:line="204" w:lineRule="auto"/>
              <w:ind w:left="34"/>
              <w:rPr>
                <w:sz w:val="18"/>
                <w:szCs w:val="18"/>
              </w:rPr>
            </w:pPr>
            <w:r>
              <w:rPr>
                <w:spacing w:val="-2"/>
                <w:sz w:val="18"/>
                <w:szCs w:val="18"/>
              </w:rPr>
              <w:t>0.004L</w:t>
            </w:r>
          </w:p>
        </w:tc>
        <w:tc>
          <w:tcPr>
            <w:tcW w:w="567" w:type="dxa"/>
            <w:vAlign w:val="top"/>
          </w:tcPr>
          <w:p w14:paraId="6F7A208E">
            <w:pPr>
              <w:pStyle w:val="6"/>
              <w:spacing w:before="104" w:line="204" w:lineRule="auto"/>
              <w:ind w:left="81"/>
              <w:rPr>
                <w:sz w:val="18"/>
                <w:szCs w:val="18"/>
              </w:rPr>
            </w:pPr>
            <w:r>
              <w:rPr>
                <w:spacing w:val="-2"/>
                <w:sz w:val="18"/>
                <w:szCs w:val="18"/>
              </w:rPr>
              <w:t>0.01L</w:t>
            </w:r>
          </w:p>
        </w:tc>
        <w:tc>
          <w:tcPr>
            <w:tcW w:w="708" w:type="dxa"/>
            <w:vAlign w:val="top"/>
          </w:tcPr>
          <w:p w14:paraId="2C6FF883">
            <w:pPr>
              <w:pStyle w:val="6"/>
              <w:spacing w:before="104" w:line="204" w:lineRule="auto"/>
              <w:ind w:left="207"/>
              <w:rPr>
                <w:sz w:val="18"/>
                <w:szCs w:val="18"/>
              </w:rPr>
            </w:pPr>
            <w:r>
              <w:rPr>
                <w:spacing w:val="-2"/>
                <w:sz w:val="18"/>
                <w:szCs w:val="18"/>
              </w:rPr>
              <w:t>0.02</w:t>
            </w:r>
          </w:p>
        </w:tc>
        <w:tc>
          <w:tcPr>
            <w:tcW w:w="566" w:type="dxa"/>
            <w:vAlign w:val="top"/>
          </w:tcPr>
          <w:p w14:paraId="7A6CA4AB">
            <w:pPr>
              <w:pStyle w:val="6"/>
              <w:spacing w:before="104" w:line="204" w:lineRule="auto"/>
              <w:ind w:left="246"/>
              <w:rPr>
                <w:sz w:val="18"/>
                <w:szCs w:val="18"/>
              </w:rPr>
            </w:pPr>
            <w:r>
              <w:rPr>
                <w:sz w:val="18"/>
                <w:szCs w:val="18"/>
              </w:rPr>
              <w:t>2</w:t>
            </w:r>
          </w:p>
        </w:tc>
        <w:tc>
          <w:tcPr>
            <w:tcW w:w="579" w:type="dxa"/>
            <w:vAlign w:val="top"/>
          </w:tcPr>
          <w:p w14:paraId="7593AF16">
            <w:pPr>
              <w:pStyle w:val="6"/>
              <w:spacing w:before="104" w:line="204" w:lineRule="auto"/>
              <w:ind w:left="166"/>
              <w:rPr>
                <w:sz w:val="18"/>
                <w:szCs w:val="18"/>
              </w:rPr>
            </w:pPr>
            <w:r>
              <w:rPr>
                <w:spacing w:val="-2"/>
                <w:sz w:val="18"/>
                <w:szCs w:val="18"/>
              </w:rPr>
              <w:t>307</w:t>
            </w:r>
          </w:p>
        </w:tc>
        <w:tc>
          <w:tcPr>
            <w:tcW w:w="411" w:type="dxa"/>
            <w:vAlign w:val="top"/>
          </w:tcPr>
          <w:p w14:paraId="5693835B">
            <w:pPr>
              <w:pStyle w:val="6"/>
              <w:spacing w:before="104" w:line="204" w:lineRule="auto"/>
              <w:ind w:left="106"/>
              <w:rPr>
                <w:sz w:val="18"/>
                <w:szCs w:val="18"/>
              </w:rPr>
            </w:pPr>
            <w:r>
              <w:rPr>
                <w:spacing w:val="-3"/>
                <w:sz w:val="18"/>
                <w:szCs w:val="18"/>
              </w:rPr>
              <w:t>0.8</w:t>
            </w:r>
          </w:p>
        </w:tc>
        <w:tc>
          <w:tcPr>
            <w:tcW w:w="428" w:type="dxa"/>
            <w:vAlign w:val="top"/>
          </w:tcPr>
          <w:p w14:paraId="5C154615">
            <w:pPr>
              <w:pStyle w:val="6"/>
              <w:spacing w:before="104" w:line="204" w:lineRule="auto"/>
              <w:ind w:left="151"/>
              <w:rPr>
                <w:sz w:val="18"/>
                <w:szCs w:val="18"/>
              </w:rPr>
            </w:pPr>
            <w:r>
              <w:rPr>
                <w:spacing w:val="-6"/>
                <w:sz w:val="18"/>
                <w:szCs w:val="18"/>
              </w:rPr>
              <w:t>15</w:t>
            </w:r>
          </w:p>
        </w:tc>
        <w:tc>
          <w:tcPr>
            <w:tcW w:w="427" w:type="dxa"/>
            <w:vAlign w:val="top"/>
          </w:tcPr>
          <w:p w14:paraId="486401B0">
            <w:pPr>
              <w:pStyle w:val="6"/>
              <w:spacing w:before="104" w:line="204" w:lineRule="auto"/>
              <w:ind w:left="114"/>
              <w:rPr>
                <w:sz w:val="18"/>
                <w:szCs w:val="18"/>
              </w:rPr>
            </w:pPr>
            <w:r>
              <w:rPr>
                <w:spacing w:val="-3"/>
                <w:sz w:val="18"/>
                <w:szCs w:val="18"/>
              </w:rPr>
              <w:t>0.7</w:t>
            </w:r>
          </w:p>
        </w:tc>
        <w:tc>
          <w:tcPr>
            <w:tcW w:w="341" w:type="dxa"/>
            <w:vAlign w:val="top"/>
          </w:tcPr>
          <w:p w14:paraId="6E6299B0">
            <w:pPr>
              <w:pStyle w:val="6"/>
              <w:spacing w:before="104" w:line="204" w:lineRule="auto"/>
              <w:ind w:left="97"/>
              <w:rPr>
                <w:sz w:val="18"/>
                <w:szCs w:val="18"/>
              </w:rPr>
            </w:pPr>
            <w:r>
              <w:rPr>
                <w:spacing w:val="-2"/>
                <w:sz w:val="18"/>
                <w:szCs w:val="18"/>
              </w:rPr>
              <w:t>68</w:t>
            </w:r>
          </w:p>
        </w:tc>
        <w:tc>
          <w:tcPr>
            <w:tcW w:w="361" w:type="dxa"/>
            <w:tcBorders>
              <w:right w:val="single" w:color="000000" w:sz="12" w:space="0"/>
            </w:tcBorders>
            <w:vAlign w:val="top"/>
          </w:tcPr>
          <w:p w14:paraId="31829EF7">
            <w:pPr>
              <w:pStyle w:val="6"/>
              <w:spacing w:before="104" w:line="204" w:lineRule="auto"/>
              <w:ind w:right="3"/>
              <w:jc w:val="right"/>
              <w:rPr>
                <w:sz w:val="18"/>
                <w:szCs w:val="18"/>
              </w:rPr>
            </w:pPr>
            <w:r>
              <w:rPr>
                <w:spacing w:val="-1"/>
                <w:sz w:val="18"/>
                <w:szCs w:val="18"/>
              </w:rPr>
              <w:t>23.6</w:t>
            </w:r>
          </w:p>
        </w:tc>
      </w:tr>
      <w:tr w14:paraId="2DC52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3" w:type="dxa"/>
            <w:vMerge w:val="continue"/>
            <w:tcBorders>
              <w:top w:val="nil"/>
              <w:left w:val="single" w:color="000000" w:sz="12" w:space="0"/>
            </w:tcBorders>
            <w:vAlign w:val="top"/>
          </w:tcPr>
          <w:p w14:paraId="4EBD2A8F">
            <w:pPr>
              <w:rPr>
                <w:rFonts w:ascii="Arial"/>
                <w:sz w:val="21"/>
              </w:rPr>
            </w:pPr>
          </w:p>
        </w:tc>
        <w:tc>
          <w:tcPr>
            <w:tcW w:w="284" w:type="dxa"/>
            <w:vMerge w:val="continue"/>
            <w:tcBorders>
              <w:top w:val="nil"/>
            </w:tcBorders>
            <w:vAlign w:val="top"/>
          </w:tcPr>
          <w:p w14:paraId="6DE5B57A">
            <w:pPr>
              <w:rPr>
                <w:rFonts w:ascii="Arial"/>
                <w:sz w:val="21"/>
              </w:rPr>
            </w:pPr>
          </w:p>
        </w:tc>
        <w:tc>
          <w:tcPr>
            <w:tcW w:w="1249" w:type="dxa"/>
            <w:vAlign w:val="top"/>
          </w:tcPr>
          <w:p w14:paraId="559CDE16">
            <w:pPr>
              <w:pStyle w:val="6"/>
              <w:spacing w:before="106" w:line="204" w:lineRule="auto"/>
              <w:ind w:left="198"/>
              <w:rPr>
                <w:sz w:val="18"/>
                <w:szCs w:val="18"/>
              </w:rPr>
            </w:pPr>
            <w:r>
              <w:rPr>
                <w:spacing w:val="-1"/>
                <w:sz w:val="18"/>
                <w:szCs w:val="18"/>
              </w:rPr>
              <w:t>2021/11/30</w:t>
            </w:r>
          </w:p>
        </w:tc>
        <w:tc>
          <w:tcPr>
            <w:tcW w:w="733" w:type="dxa"/>
            <w:vAlign w:val="top"/>
          </w:tcPr>
          <w:p w14:paraId="3C663E5E">
            <w:pPr>
              <w:pStyle w:val="6"/>
              <w:spacing w:before="106" w:line="204" w:lineRule="auto"/>
              <w:ind w:left="244"/>
              <w:rPr>
                <w:sz w:val="18"/>
                <w:szCs w:val="18"/>
              </w:rPr>
            </w:pPr>
            <w:r>
              <w:rPr>
                <w:spacing w:val="-3"/>
                <w:sz w:val="18"/>
                <w:szCs w:val="18"/>
              </w:rPr>
              <w:t>7.1</w:t>
            </w:r>
          </w:p>
        </w:tc>
        <w:tc>
          <w:tcPr>
            <w:tcW w:w="565" w:type="dxa"/>
            <w:vAlign w:val="top"/>
          </w:tcPr>
          <w:p w14:paraId="2152BBED">
            <w:pPr>
              <w:pStyle w:val="6"/>
              <w:spacing w:before="106" w:line="204" w:lineRule="auto"/>
              <w:ind w:left="134"/>
              <w:rPr>
                <w:sz w:val="18"/>
                <w:szCs w:val="18"/>
              </w:rPr>
            </w:pPr>
            <w:r>
              <w:rPr>
                <w:spacing w:val="-1"/>
                <w:sz w:val="18"/>
                <w:szCs w:val="18"/>
              </w:rPr>
              <w:t>272</w:t>
            </w:r>
          </w:p>
        </w:tc>
        <w:tc>
          <w:tcPr>
            <w:tcW w:w="708" w:type="dxa"/>
            <w:vAlign w:val="top"/>
          </w:tcPr>
          <w:p w14:paraId="6C82C72C">
            <w:pPr>
              <w:pStyle w:val="6"/>
              <w:spacing w:before="106" w:line="204" w:lineRule="auto"/>
              <w:ind w:left="211"/>
              <w:rPr>
                <w:sz w:val="18"/>
                <w:szCs w:val="18"/>
              </w:rPr>
            </w:pPr>
            <w:r>
              <w:rPr>
                <w:spacing w:val="-2"/>
                <w:sz w:val="18"/>
                <w:szCs w:val="18"/>
              </w:rPr>
              <w:t>301</w:t>
            </w:r>
          </w:p>
        </w:tc>
        <w:tc>
          <w:tcPr>
            <w:tcW w:w="567" w:type="dxa"/>
            <w:vAlign w:val="top"/>
          </w:tcPr>
          <w:p w14:paraId="64D52F9F">
            <w:pPr>
              <w:pStyle w:val="6"/>
              <w:spacing w:before="106" w:line="204" w:lineRule="auto"/>
              <w:ind w:left="231"/>
              <w:rPr>
                <w:sz w:val="18"/>
                <w:szCs w:val="18"/>
              </w:rPr>
            </w:pPr>
            <w:r>
              <w:rPr>
                <w:sz w:val="18"/>
                <w:szCs w:val="18"/>
              </w:rPr>
              <w:t>9</w:t>
            </w:r>
          </w:p>
        </w:tc>
        <w:tc>
          <w:tcPr>
            <w:tcW w:w="566" w:type="dxa"/>
            <w:vAlign w:val="top"/>
          </w:tcPr>
          <w:p w14:paraId="49AD7316">
            <w:pPr>
              <w:pStyle w:val="6"/>
              <w:spacing w:before="109" w:line="186" w:lineRule="auto"/>
              <w:ind w:left="145"/>
              <w:rPr>
                <w:sz w:val="18"/>
                <w:szCs w:val="18"/>
              </w:rPr>
            </w:pPr>
            <w:r>
              <w:rPr>
                <w:spacing w:val="-5"/>
                <w:sz w:val="18"/>
                <w:szCs w:val="18"/>
              </w:rPr>
              <w:t>10L</w:t>
            </w:r>
          </w:p>
        </w:tc>
        <w:tc>
          <w:tcPr>
            <w:tcW w:w="567" w:type="dxa"/>
            <w:vAlign w:val="top"/>
          </w:tcPr>
          <w:p w14:paraId="0506D0DF">
            <w:pPr>
              <w:pStyle w:val="6"/>
              <w:spacing w:before="106" w:line="204" w:lineRule="auto"/>
              <w:ind w:left="65"/>
              <w:rPr>
                <w:sz w:val="18"/>
                <w:szCs w:val="18"/>
              </w:rPr>
            </w:pPr>
            <w:r>
              <w:rPr>
                <w:spacing w:val="-2"/>
                <w:sz w:val="18"/>
                <w:szCs w:val="18"/>
              </w:rPr>
              <w:t>0.01L</w:t>
            </w:r>
          </w:p>
        </w:tc>
        <w:tc>
          <w:tcPr>
            <w:tcW w:w="557" w:type="dxa"/>
            <w:vAlign w:val="top"/>
          </w:tcPr>
          <w:p w14:paraId="50C098EE">
            <w:pPr>
              <w:pStyle w:val="6"/>
              <w:spacing w:before="106" w:line="204" w:lineRule="auto"/>
              <w:ind w:left="60"/>
              <w:rPr>
                <w:sz w:val="18"/>
                <w:szCs w:val="18"/>
              </w:rPr>
            </w:pPr>
            <w:r>
              <w:rPr>
                <w:spacing w:val="-2"/>
                <w:sz w:val="18"/>
                <w:szCs w:val="18"/>
              </w:rPr>
              <w:t>0.01L</w:t>
            </w:r>
          </w:p>
        </w:tc>
        <w:tc>
          <w:tcPr>
            <w:tcW w:w="715" w:type="dxa"/>
            <w:vAlign w:val="top"/>
          </w:tcPr>
          <w:p w14:paraId="6A07ACF4">
            <w:pPr>
              <w:pStyle w:val="6"/>
              <w:spacing w:before="106" w:line="204" w:lineRule="auto"/>
              <w:ind w:left="140"/>
              <w:rPr>
                <w:sz w:val="18"/>
                <w:szCs w:val="18"/>
              </w:rPr>
            </w:pPr>
            <w:r>
              <w:rPr>
                <w:spacing w:val="-2"/>
                <w:sz w:val="18"/>
                <w:szCs w:val="18"/>
              </w:rPr>
              <w:t>0.04L</w:t>
            </w:r>
          </w:p>
        </w:tc>
        <w:tc>
          <w:tcPr>
            <w:tcW w:w="567" w:type="dxa"/>
            <w:vAlign w:val="top"/>
          </w:tcPr>
          <w:p w14:paraId="40C3FA3F">
            <w:pPr>
              <w:pStyle w:val="6"/>
              <w:spacing w:before="106" w:line="204" w:lineRule="auto"/>
              <w:ind w:left="78"/>
              <w:rPr>
                <w:sz w:val="18"/>
                <w:szCs w:val="18"/>
              </w:rPr>
            </w:pPr>
            <w:r>
              <w:rPr>
                <w:spacing w:val="-2"/>
                <w:sz w:val="18"/>
                <w:szCs w:val="18"/>
              </w:rPr>
              <w:t>0.023</w:t>
            </w:r>
          </w:p>
        </w:tc>
        <w:tc>
          <w:tcPr>
            <w:tcW w:w="708" w:type="dxa"/>
            <w:vAlign w:val="top"/>
          </w:tcPr>
          <w:p w14:paraId="51CB2143">
            <w:pPr>
              <w:pStyle w:val="6"/>
              <w:spacing w:before="106" w:line="204" w:lineRule="auto"/>
              <w:ind w:left="48"/>
              <w:rPr>
                <w:sz w:val="18"/>
                <w:szCs w:val="18"/>
              </w:rPr>
            </w:pPr>
            <w:r>
              <w:rPr>
                <w:spacing w:val="-1"/>
                <w:sz w:val="18"/>
                <w:szCs w:val="18"/>
              </w:rPr>
              <w:t>0.0003L</w:t>
            </w:r>
          </w:p>
        </w:tc>
        <w:tc>
          <w:tcPr>
            <w:tcW w:w="851" w:type="dxa"/>
            <w:vAlign w:val="top"/>
          </w:tcPr>
          <w:p w14:paraId="0FB5691C">
            <w:pPr>
              <w:pStyle w:val="6"/>
              <w:spacing w:before="106" w:line="204" w:lineRule="auto"/>
              <w:ind w:left="211"/>
              <w:rPr>
                <w:sz w:val="18"/>
                <w:szCs w:val="18"/>
              </w:rPr>
            </w:pPr>
            <w:r>
              <w:rPr>
                <w:spacing w:val="-2"/>
                <w:sz w:val="18"/>
                <w:szCs w:val="18"/>
              </w:rPr>
              <w:t>0.05L</w:t>
            </w:r>
          </w:p>
        </w:tc>
        <w:tc>
          <w:tcPr>
            <w:tcW w:w="566" w:type="dxa"/>
            <w:vAlign w:val="top"/>
          </w:tcPr>
          <w:p w14:paraId="26B9B142">
            <w:pPr>
              <w:pStyle w:val="6"/>
              <w:spacing w:before="106" w:line="204" w:lineRule="auto"/>
              <w:ind w:left="125"/>
              <w:rPr>
                <w:sz w:val="18"/>
                <w:szCs w:val="18"/>
              </w:rPr>
            </w:pPr>
            <w:r>
              <w:rPr>
                <w:spacing w:val="-2"/>
                <w:sz w:val="18"/>
                <w:szCs w:val="18"/>
              </w:rPr>
              <w:t>0.02</w:t>
            </w:r>
          </w:p>
        </w:tc>
        <w:tc>
          <w:tcPr>
            <w:tcW w:w="672" w:type="dxa"/>
            <w:vAlign w:val="top"/>
          </w:tcPr>
          <w:p w14:paraId="7397D5C8">
            <w:pPr>
              <w:pStyle w:val="6"/>
              <w:spacing w:before="106" w:line="204" w:lineRule="auto"/>
              <w:ind w:left="178"/>
              <w:rPr>
                <w:sz w:val="18"/>
                <w:szCs w:val="18"/>
              </w:rPr>
            </w:pPr>
            <w:r>
              <w:rPr>
                <w:spacing w:val="-2"/>
                <w:sz w:val="18"/>
                <w:szCs w:val="18"/>
              </w:rPr>
              <w:t>0.87</w:t>
            </w:r>
          </w:p>
        </w:tc>
        <w:tc>
          <w:tcPr>
            <w:tcW w:w="745" w:type="dxa"/>
            <w:vAlign w:val="top"/>
          </w:tcPr>
          <w:p w14:paraId="41E7A55D">
            <w:pPr>
              <w:pStyle w:val="6"/>
              <w:spacing w:before="106" w:line="204" w:lineRule="auto"/>
              <w:ind w:left="116"/>
              <w:rPr>
                <w:sz w:val="18"/>
                <w:szCs w:val="18"/>
              </w:rPr>
            </w:pPr>
            <w:r>
              <w:rPr>
                <w:spacing w:val="-2"/>
                <w:sz w:val="18"/>
                <w:szCs w:val="18"/>
              </w:rPr>
              <w:t>0.003L</w:t>
            </w:r>
          </w:p>
        </w:tc>
        <w:tc>
          <w:tcPr>
            <w:tcW w:w="455" w:type="dxa"/>
            <w:vAlign w:val="top"/>
          </w:tcPr>
          <w:p w14:paraId="67CFAC7E">
            <w:pPr>
              <w:pStyle w:val="6"/>
              <w:spacing w:before="106" w:line="204" w:lineRule="auto"/>
              <w:ind w:left="27"/>
              <w:rPr>
                <w:sz w:val="18"/>
                <w:szCs w:val="18"/>
              </w:rPr>
            </w:pPr>
            <w:r>
              <w:rPr>
                <w:spacing w:val="-2"/>
                <w:sz w:val="18"/>
                <w:szCs w:val="18"/>
              </w:rPr>
              <w:t>0.042</w:t>
            </w:r>
          </w:p>
        </w:tc>
        <w:tc>
          <w:tcPr>
            <w:tcW w:w="579" w:type="dxa"/>
            <w:vAlign w:val="top"/>
          </w:tcPr>
          <w:p w14:paraId="6AF49066">
            <w:pPr>
              <w:pStyle w:val="6"/>
              <w:spacing w:before="106" w:line="204" w:lineRule="auto"/>
              <w:ind w:left="136"/>
              <w:rPr>
                <w:sz w:val="18"/>
                <w:szCs w:val="18"/>
              </w:rPr>
            </w:pPr>
            <w:r>
              <w:rPr>
                <w:spacing w:val="-2"/>
                <w:sz w:val="18"/>
                <w:szCs w:val="18"/>
              </w:rPr>
              <w:t>0.14</w:t>
            </w:r>
          </w:p>
        </w:tc>
        <w:tc>
          <w:tcPr>
            <w:tcW w:w="623" w:type="dxa"/>
            <w:vAlign w:val="top"/>
          </w:tcPr>
          <w:p w14:paraId="0CEE9572">
            <w:pPr>
              <w:pStyle w:val="6"/>
              <w:spacing w:before="106" w:line="204" w:lineRule="auto"/>
              <w:ind w:left="58"/>
              <w:rPr>
                <w:sz w:val="18"/>
                <w:szCs w:val="18"/>
              </w:rPr>
            </w:pPr>
            <w:r>
              <w:rPr>
                <w:spacing w:val="-2"/>
                <w:sz w:val="18"/>
                <w:szCs w:val="18"/>
              </w:rPr>
              <w:t>0.004L</w:t>
            </w:r>
          </w:p>
        </w:tc>
        <w:tc>
          <w:tcPr>
            <w:tcW w:w="737" w:type="dxa"/>
            <w:vAlign w:val="top"/>
          </w:tcPr>
          <w:p w14:paraId="79815E5C">
            <w:pPr>
              <w:pStyle w:val="6"/>
              <w:spacing w:before="106" w:line="204" w:lineRule="auto"/>
              <w:ind w:left="80"/>
              <w:rPr>
                <w:sz w:val="18"/>
                <w:szCs w:val="18"/>
              </w:rPr>
            </w:pPr>
            <w:r>
              <w:rPr>
                <w:spacing w:val="-1"/>
                <w:sz w:val="18"/>
                <w:szCs w:val="18"/>
              </w:rPr>
              <w:t>0.00056</w:t>
            </w:r>
          </w:p>
        </w:tc>
        <w:tc>
          <w:tcPr>
            <w:tcW w:w="577" w:type="dxa"/>
            <w:vAlign w:val="top"/>
          </w:tcPr>
          <w:p w14:paraId="62F7FFAA">
            <w:pPr>
              <w:pStyle w:val="6"/>
              <w:spacing w:before="106" w:line="204" w:lineRule="auto"/>
              <w:ind w:left="48"/>
              <w:rPr>
                <w:sz w:val="18"/>
                <w:szCs w:val="18"/>
              </w:rPr>
            </w:pPr>
            <w:r>
              <w:rPr>
                <w:spacing w:val="-2"/>
                <w:sz w:val="18"/>
                <w:szCs w:val="18"/>
              </w:rPr>
              <w:t>0.0005</w:t>
            </w:r>
          </w:p>
        </w:tc>
        <w:tc>
          <w:tcPr>
            <w:tcW w:w="708" w:type="dxa"/>
            <w:vAlign w:val="top"/>
          </w:tcPr>
          <w:p w14:paraId="0627775F">
            <w:pPr>
              <w:pStyle w:val="6"/>
              <w:spacing w:before="106" w:line="204" w:lineRule="auto"/>
              <w:ind w:left="60"/>
              <w:rPr>
                <w:sz w:val="18"/>
                <w:szCs w:val="18"/>
              </w:rPr>
            </w:pPr>
            <w:r>
              <w:rPr>
                <w:spacing w:val="-1"/>
                <w:sz w:val="18"/>
                <w:szCs w:val="18"/>
              </w:rPr>
              <w:t>0.0004L</w:t>
            </w:r>
          </w:p>
        </w:tc>
        <w:tc>
          <w:tcPr>
            <w:tcW w:w="567" w:type="dxa"/>
            <w:vAlign w:val="top"/>
          </w:tcPr>
          <w:p w14:paraId="42D5044D">
            <w:pPr>
              <w:pStyle w:val="6"/>
              <w:spacing w:before="106" w:line="204" w:lineRule="auto"/>
              <w:ind w:left="35"/>
              <w:rPr>
                <w:sz w:val="18"/>
                <w:szCs w:val="18"/>
              </w:rPr>
            </w:pPr>
            <w:r>
              <w:rPr>
                <w:spacing w:val="-2"/>
                <w:sz w:val="18"/>
                <w:szCs w:val="18"/>
              </w:rPr>
              <w:t>0.001L</w:t>
            </w:r>
          </w:p>
        </w:tc>
        <w:tc>
          <w:tcPr>
            <w:tcW w:w="566" w:type="dxa"/>
            <w:vAlign w:val="top"/>
          </w:tcPr>
          <w:p w14:paraId="1E85E57D">
            <w:pPr>
              <w:pStyle w:val="6"/>
              <w:spacing w:before="106" w:line="204" w:lineRule="auto"/>
              <w:ind w:left="34"/>
              <w:rPr>
                <w:sz w:val="18"/>
                <w:szCs w:val="18"/>
              </w:rPr>
            </w:pPr>
            <w:r>
              <w:rPr>
                <w:spacing w:val="-2"/>
                <w:sz w:val="18"/>
                <w:szCs w:val="18"/>
              </w:rPr>
              <w:t>0.004L</w:t>
            </w:r>
          </w:p>
        </w:tc>
        <w:tc>
          <w:tcPr>
            <w:tcW w:w="567" w:type="dxa"/>
            <w:vAlign w:val="top"/>
          </w:tcPr>
          <w:p w14:paraId="339AB808">
            <w:pPr>
              <w:pStyle w:val="6"/>
              <w:spacing w:before="106" w:line="204" w:lineRule="auto"/>
              <w:ind w:left="81"/>
              <w:rPr>
                <w:sz w:val="18"/>
                <w:szCs w:val="18"/>
              </w:rPr>
            </w:pPr>
            <w:r>
              <w:rPr>
                <w:spacing w:val="-2"/>
                <w:sz w:val="18"/>
                <w:szCs w:val="18"/>
              </w:rPr>
              <w:t>0.01L</w:t>
            </w:r>
          </w:p>
        </w:tc>
        <w:tc>
          <w:tcPr>
            <w:tcW w:w="708" w:type="dxa"/>
            <w:vAlign w:val="top"/>
          </w:tcPr>
          <w:p w14:paraId="71AAF177">
            <w:pPr>
              <w:pStyle w:val="6"/>
              <w:spacing w:before="106" w:line="204" w:lineRule="auto"/>
              <w:ind w:left="161"/>
              <w:rPr>
                <w:sz w:val="18"/>
                <w:szCs w:val="18"/>
              </w:rPr>
            </w:pPr>
            <w:r>
              <w:rPr>
                <w:spacing w:val="-2"/>
                <w:sz w:val="18"/>
                <w:szCs w:val="18"/>
              </w:rPr>
              <w:t>0.019</w:t>
            </w:r>
          </w:p>
        </w:tc>
        <w:tc>
          <w:tcPr>
            <w:tcW w:w="566" w:type="dxa"/>
            <w:vAlign w:val="top"/>
          </w:tcPr>
          <w:p w14:paraId="699929D0">
            <w:pPr>
              <w:pStyle w:val="6"/>
              <w:spacing w:before="106" w:line="204" w:lineRule="auto"/>
              <w:ind w:left="246"/>
              <w:rPr>
                <w:sz w:val="18"/>
                <w:szCs w:val="18"/>
              </w:rPr>
            </w:pPr>
            <w:r>
              <w:rPr>
                <w:sz w:val="18"/>
                <w:szCs w:val="18"/>
              </w:rPr>
              <w:t>2</w:t>
            </w:r>
          </w:p>
        </w:tc>
        <w:tc>
          <w:tcPr>
            <w:tcW w:w="579" w:type="dxa"/>
            <w:vAlign w:val="top"/>
          </w:tcPr>
          <w:p w14:paraId="70C2CFDE">
            <w:pPr>
              <w:pStyle w:val="6"/>
              <w:spacing w:before="106" w:line="204" w:lineRule="auto"/>
              <w:ind w:left="166"/>
              <w:rPr>
                <w:sz w:val="18"/>
                <w:szCs w:val="18"/>
              </w:rPr>
            </w:pPr>
            <w:r>
              <w:rPr>
                <w:spacing w:val="-2"/>
                <w:sz w:val="18"/>
                <w:szCs w:val="18"/>
              </w:rPr>
              <w:t>314</w:t>
            </w:r>
          </w:p>
        </w:tc>
        <w:tc>
          <w:tcPr>
            <w:tcW w:w="411" w:type="dxa"/>
            <w:vAlign w:val="top"/>
          </w:tcPr>
          <w:p w14:paraId="43E46C3F">
            <w:pPr>
              <w:pStyle w:val="6"/>
              <w:spacing w:before="106" w:line="204" w:lineRule="auto"/>
              <w:ind w:left="61"/>
              <w:rPr>
                <w:sz w:val="18"/>
                <w:szCs w:val="18"/>
              </w:rPr>
            </w:pPr>
            <w:r>
              <w:rPr>
                <w:spacing w:val="-2"/>
                <w:sz w:val="18"/>
                <w:szCs w:val="18"/>
              </w:rPr>
              <w:t>0.84</w:t>
            </w:r>
          </w:p>
        </w:tc>
        <w:tc>
          <w:tcPr>
            <w:tcW w:w="428" w:type="dxa"/>
            <w:vAlign w:val="top"/>
          </w:tcPr>
          <w:p w14:paraId="2C0C4E7D">
            <w:pPr>
              <w:pStyle w:val="6"/>
              <w:spacing w:before="106" w:line="204" w:lineRule="auto"/>
              <w:ind w:left="84"/>
              <w:rPr>
                <w:sz w:val="18"/>
                <w:szCs w:val="18"/>
              </w:rPr>
            </w:pPr>
            <w:r>
              <w:rPr>
                <w:spacing w:val="-6"/>
                <w:sz w:val="18"/>
                <w:szCs w:val="18"/>
              </w:rPr>
              <w:t>15.2</w:t>
            </w:r>
          </w:p>
        </w:tc>
        <w:tc>
          <w:tcPr>
            <w:tcW w:w="427" w:type="dxa"/>
            <w:vAlign w:val="top"/>
          </w:tcPr>
          <w:p w14:paraId="399936F5">
            <w:pPr>
              <w:pStyle w:val="6"/>
              <w:spacing w:before="106" w:line="204" w:lineRule="auto"/>
              <w:ind w:left="114"/>
              <w:rPr>
                <w:sz w:val="18"/>
                <w:szCs w:val="18"/>
              </w:rPr>
            </w:pPr>
            <w:r>
              <w:rPr>
                <w:spacing w:val="-3"/>
                <w:sz w:val="18"/>
                <w:szCs w:val="18"/>
              </w:rPr>
              <w:t>0.7</w:t>
            </w:r>
          </w:p>
        </w:tc>
        <w:tc>
          <w:tcPr>
            <w:tcW w:w="341" w:type="dxa"/>
            <w:vAlign w:val="top"/>
          </w:tcPr>
          <w:p w14:paraId="3E63CB97">
            <w:pPr>
              <w:pStyle w:val="6"/>
              <w:spacing w:before="106" w:line="204" w:lineRule="auto"/>
              <w:jc w:val="right"/>
              <w:rPr>
                <w:sz w:val="18"/>
                <w:szCs w:val="18"/>
              </w:rPr>
            </w:pPr>
            <w:r>
              <w:rPr>
                <w:spacing w:val="-4"/>
                <w:sz w:val="18"/>
                <w:szCs w:val="18"/>
              </w:rPr>
              <w:t>66.9</w:t>
            </w:r>
          </w:p>
        </w:tc>
        <w:tc>
          <w:tcPr>
            <w:tcW w:w="361" w:type="dxa"/>
            <w:tcBorders>
              <w:right w:val="single" w:color="000000" w:sz="12" w:space="0"/>
            </w:tcBorders>
            <w:vAlign w:val="top"/>
          </w:tcPr>
          <w:p w14:paraId="0CBB7D1A">
            <w:pPr>
              <w:pStyle w:val="6"/>
              <w:spacing w:before="106" w:line="204" w:lineRule="auto"/>
              <w:ind w:right="3"/>
              <w:jc w:val="right"/>
              <w:rPr>
                <w:sz w:val="18"/>
                <w:szCs w:val="18"/>
              </w:rPr>
            </w:pPr>
            <w:r>
              <w:rPr>
                <w:spacing w:val="-1"/>
                <w:sz w:val="18"/>
                <w:szCs w:val="18"/>
              </w:rPr>
              <w:t>23.1</w:t>
            </w:r>
          </w:p>
        </w:tc>
      </w:tr>
      <w:tr w14:paraId="288A5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2096" w:type="dxa"/>
            <w:gridSpan w:val="3"/>
            <w:tcBorders>
              <w:left w:val="single" w:color="000000" w:sz="12" w:space="0"/>
              <w:bottom w:val="single" w:color="000000" w:sz="12" w:space="0"/>
            </w:tcBorders>
            <w:shd w:val="clear" w:color="auto" w:fill="DBE5F1"/>
            <w:vAlign w:val="top"/>
          </w:tcPr>
          <w:p w14:paraId="4D2AB1DA">
            <w:pPr>
              <w:pStyle w:val="6"/>
              <w:spacing w:before="93" w:line="220" w:lineRule="auto"/>
              <w:ind w:left="314"/>
              <w:rPr>
                <w:rFonts w:ascii="宋体" w:hAnsi="宋体" w:eastAsia="宋体" w:cs="宋体"/>
                <w:sz w:val="18"/>
                <w:szCs w:val="18"/>
              </w:rPr>
            </w:pPr>
            <w:r>
              <w:rPr>
                <w:spacing w:val="-2"/>
                <w:sz w:val="18"/>
                <w:szCs w:val="18"/>
              </w:rPr>
              <w:t>GB/T14848</w:t>
            </w:r>
            <w:r>
              <w:rPr>
                <w:spacing w:val="24"/>
                <w:w w:val="101"/>
                <w:sz w:val="18"/>
                <w:szCs w:val="18"/>
              </w:rPr>
              <w:t xml:space="preserve"> </w:t>
            </w:r>
            <w:r>
              <w:rPr>
                <w:rFonts w:ascii="宋体" w:hAnsi="宋体" w:eastAsia="宋体" w:cs="宋体"/>
                <w:spacing w:val="-2"/>
                <w:sz w:val="18"/>
                <w:szCs w:val="18"/>
              </w:rPr>
              <w:t>中Ⅲ类</w:t>
            </w:r>
          </w:p>
        </w:tc>
        <w:tc>
          <w:tcPr>
            <w:tcW w:w="733" w:type="dxa"/>
            <w:tcBorders>
              <w:bottom w:val="single" w:color="000000" w:sz="12" w:space="0"/>
            </w:tcBorders>
            <w:shd w:val="clear" w:color="auto" w:fill="DBE5F1"/>
            <w:vAlign w:val="top"/>
          </w:tcPr>
          <w:p w14:paraId="6857542E">
            <w:pPr>
              <w:pStyle w:val="6"/>
              <w:spacing w:before="119" w:line="232" w:lineRule="auto"/>
              <w:ind w:left="102"/>
              <w:rPr>
                <w:sz w:val="18"/>
                <w:szCs w:val="18"/>
              </w:rPr>
            </w:pPr>
            <w:r>
              <w:rPr>
                <w:spacing w:val="-1"/>
                <w:sz w:val="18"/>
                <w:szCs w:val="18"/>
              </w:rPr>
              <w:t>6.5-8.5</w:t>
            </w:r>
          </w:p>
        </w:tc>
        <w:tc>
          <w:tcPr>
            <w:tcW w:w="565" w:type="dxa"/>
            <w:tcBorders>
              <w:bottom w:val="single" w:color="000000" w:sz="12" w:space="0"/>
            </w:tcBorders>
            <w:shd w:val="clear" w:color="auto" w:fill="DBE5F1"/>
            <w:vAlign w:val="top"/>
          </w:tcPr>
          <w:p w14:paraId="69B2A75A">
            <w:pPr>
              <w:pStyle w:val="6"/>
              <w:spacing w:before="120" w:line="232" w:lineRule="auto"/>
              <w:ind w:left="133"/>
              <w:rPr>
                <w:sz w:val="18"/>
                <w:szCs w:val="18"/>
              </w:rPr>
            </w:pPr>
            <w:r>
              <w:rPr>
                <w:spacing w:val="-1"/>
                <w:sz w:val="18"/>
                <w:szCs w:val="18"/>
              </w:rPr>
              <w:t>450</w:t>
            </w:r>
          </w:p>
        </w:tc>
        <w:tc>
          <w:tcPr>
            <w:tcW w:w="708" w:type="dxa"/>
            <w:tcBorders>
              <w:bottom w:val="single" w:color="000000" w:sz="12" w:space="0"/>
            </w:tcBorders>
            <w:shd w:val="clear" w:color="auto" w:fill="DBE5F1"/>
            <w:vAlign w:val="top"/>
          </w:tcPr>
          <w:p w14:paraId="4E6285F2">
            <w:pPr>
              <w:pStyle w:val="6"/>
              <w:spacing w:before="120" w:line="232" w:lineRule="auto"/>
              <w:ind w:left="181"/>
              <w:rPr>
                <w:sz w:val="18"/>
                <w:szCs w:val="18"/>
              </w:rPr>
            </w:pPr>
            <w:r>
              <w:rPr>
                <w:spacing w:val="-4"/>
                <w:sz w:val="18"/>
                <w:szCs w:val="18"/>
              </w:rPr>
              <w:t>1000</w:t>
            </w:r>
          </w:p>
        </w:tc>
        <w:tc>
          <w:tcPr>
            <w:tcW w:w="567" w:type="dxa"/>
            <w:tcBorders>
              <w:bottom w:val="single" w:color="000000" w:sz="12" w:space="0"/>
            </w:tcBorders>
            <w:shd w:val="clear" w:color="auto" w:fill="DBE5F1"/>
            <w:vAlign w:val="top"/>
          </w:tcPr>
          <w:p w14:paraId="6D7C9709">
            <w:pPr>
              <w:pStyle w:val="6"/>
              <w:spacing w:before="120" w:line="232" w:lineRule="auto"/>
              <w:ind w:left="138"/>
              <w:rPr>
                <w:sz w:val="18"/>
                <w:szCs w:val="18"/>
              </w:rPr>
            </w:pPr>
            <w:r>
              <w:rPr>
                <w:spacing w:val="-1"/>
                <w:sz w:val="18"/>
                <w:szCs w:val="18"/>
              </w:rPr>
              <w:t>250</w:t>
            </w:r>
          </w:p>
        </w:tc>
        <w:tc>
          <w:tcPr>
            <w:tcW w:w="566" w:type="dxa"/>
            <w:tcBorders>
              <w:bottom w:val="single" w:color="000000" w:sz="12" w:space="0"/>
            </w:tcBorders>
            <w:shd w:val="clear" w:color="auto" w:fill="DBE5F1"/>
            <w:vAlign w:val="top"/>
          </w:tcPr>
          <w:p w14:paraId="5EAF59FA">
            <w:pPr>
              <w:pStyle w:val="6"/>
              <w:spacing w:before="120" w:line="232" w:lineRule="auto"/>
              <w:ind w:left="137"/>
              <w:rPr>
                <w:sz w:val="18"/>
                <w:szCs w:val="18"/>
              </w:rPr>
            </w:pPr>
            <w:r>
              <w:rPr>
                <w:spacing w:val="-1"/>
                <w:sz w:val="18"/>
                <w:szCs w:val="18"/>
              </w:rPr>
              <w:t>250</w:t>
            </w:r>
          </w:p>
        </w:tc>
        <w:tc>
          <w:tcPr>
            <w:tcW w:w="567" w:type="dxa"/>
            <w:tcBorders>
              <w:bottom w:val="single" w:color="000000" w:sz="12" w:space="0"/>
            </w:tcBorders>
            <w:shd w:val="clear" w:color="auto" w:fill="DBE5F1"/>
            <w:vAlign w:val="top"/>
          </w:tcPr>
          <w:p w14:paraId="6341B2B4">
            <w:pPr>
              <w:pStyle w:val="6"/>
              <w:spacing w:before="119" w:line="232" w:lineRule="auto"/>
              <w:ind w:left="165"/>
              <w:rPr>
                <w:sz w:val="18"/>
                <w:szCs w:val="18"/>
              </w:rPr>
            </w:pPr>
            <w:r>
              <w:rPr>
                <w:spacing w:val="-3"/>
                <w:sz w:val="18"/>
                <w:szCs w:val="18"/>
              </w:rPr>
              <w:t>0.3</w:t>
            </w:r>
          </w:p>
        </w:tc>
        <w:tc>
          <w:tcPr>
            <w:tcW w:w="557" w:type="dxa"/>
            <w:tcBorders>
              <w:bottom w:val="single" w:color="000000" w:sz="12" w:space="0"/>
            </w:tcBorders>
            <w:shd w:val="clear" w:color="auto" w:fill="DBE5F1"/>
            <w:vAlign w:val="top"/>
          </w:tcPr>
          <w:p w14:paraId="1C08E756">
            <w:pPr>
              <w:pStyle w:val="6"/>
              <w:spacing w:before="119" w:line="232" w:lineRule="auto"/>
              <w:ind w:left="159"/>
              <w:rPr>
                <w:sz w:val="18"/>
                <w:szCs w:val="18"/>
              </w:rPr>
            </w:pPr>
            <w:r>
              <w:rPr>
                <w:spacing w:val="-3"/>
                <w:sz w:val="18"/>
                <w:szCs w:val="18"/>
              </w:rPr>
              <w:t>0.1</w:t>
            </w:r>
          </w:p>
        </w:tc>
        <w:tc>
          <w:tcPr>
            <w:tcW w:w="715" w:type="dxa"/>
            <w:tcBorders>
              <w:bottom w:val="single" w:color="000000" w:sz="12" w:space="0"/>
            </w:tcBorders>
            <w:shd w:val="clear" w:color="auto" w:fill="DBE5F1"/>
            <w:vAlign w:val="top"/>
          </w:tcPr>
          <w:p w14:paraId="44259453">
            <w:pPr>
              <w:pStyle w:val="6"/>
              <w:spacing w:before="119" w:line="232" w:lineRule="auto"/>
              <w:ind w:left="255"/>
              <w:rPr>
                <w:sz w:val="18"/>
                <w:szCs w:val="18"/>
              </w:rPr>
            </w:pPr>
            <w:r>
              <w:rPr>
                <w:spacing w:val="-7"/>
                <w:sz w:val="18"/>
                <w:szCs w:val="18"/>
              </w:rPr>
              <w:t>1.0</w:t>
            </w:r>
          </w:p>
        </w:tc>
        <w:tc>
          <w:tcPr>
            <w:tcW w:w="567" w:type="dxa"/>
            <w:tcBorders>
              <w:bottom w:val="single" w:color="000000" w:sz="12" w:space="0"/>
            </w:tcBorders>
            <w:shd w:val="clear" w:color="auto" w:fill="DBE5F1"/>
            <w:vAlign w:val="top"/>
          </w:tcPr>
          <w:p w14:paraId="48E2A48B">
            <w:pPr>
              <w:pStyle w:val="6"/>
              <w:spacing w:before="119" w:line="232" w:lineRule="auto"/>
              <w:ind w:left="182"/>
              <w:rPr>
                <w:sz w:val="18"/>
                <w:szCs w:val="18"/>
              </w:rPr>
            </w:pPr>
            <w:r>
              <w:rPr>
                <w:spacing w:val="-7"/>
                <w:sz w:val="18"/>
                <w:szCs w:val="18"/>
              </w:rPr>
              <w:t>1.0</w:t>
            </w:r>
          </w:p>
        </w:tc>
        <w:tc>
          <w:tcPr>
            <w:tcW w:w="708" w:type="dxa"/>
            <w:tcBorders>
              <w:bottom w:val="single" w:color="000000" w:sz="12" w:space="0"/>
            </w:tcBorders>
            <w:shd w:val="clear" w:color="auto" w:fill="DBE5F1"/>
            <w:vAlign w:val="top"/>
          </w:tcPr>
          <w:p w14:paraId="279269A0">
            <w:pPr>
              <w:pStyle w:val="6"/>
              <w:spacing w:before="119" w:line="232" w:lineRule="auto"/>
              <w:ind w:left="148"/>
              <w:rPr>
                <w:sz w:val="18"/>
                <w:szCs w:val="18"/>
              </w:rPr>
            </w:pPr>
            <w:r>
              <w:rPr>
                <w:spacing w:val="-2"/>
                <w:sz w:val="18"/>
                <w:szCs w:val="18"/>
              </w:rPr>
              <w:t>0.002</w:t>
            </w:r>
          </w:p>
        </w:tc>
        <w:tc>
          <w:tcPr>
            <w:tcW w:w="851" w:type="dxa"/>
            <w:tcBorders>
              <w:bottom w:val="single" w:color="000000" w:sz="12" w:space="0"/>
            </w:tcBorders>
            <w:shd w:val="clear" w:color="auto" w:fill="DBE5F1"/>
            <w:vAlign w:val="top"/>
          </w:tcPr>
          <w:p w14:paraId="1DB04115">
            <w:pPr>
              <w:pStyle w:val="6"/>
              <w:spacing w:before="119" w:line="232" w:lineRule="auto"/>
              <w:ind w:left="311"/>
              <w:rPr>
                <w:sz w:val="18"/>
                <w:szCs w:val="18"/>
              </w:rPr>
            </w:pPr>
            <w:r>
              <w:rPr>
                <w:spacing w:val="-3"/>
                <w:sz w:val="18"/>
                <w:szCs w:val="18"/>
              </w:rPr>
              <w:t>0.3</w:t>
            </w:r>
          </w:p>
        </w:tc>
        <w:tc>
          <w:tcPr>
            <w:tcW w:w="566" w:type="dxa"/>
            <w:tcBorders>
              <w:bottom w:val="single" w:color="000000" w:sz="12" w:space="0"/>
            </w:tcBorders>
            <w:shd w:val="clear" w:color="auto" w:fill="DBE5F1"/>
            <w:vAlign w:val="top"/>
          </w:tcPr>
          <w:p w14:paraId="04FCDDA2">
            <w:pPr>
              <w:pStyle w:val="6"/>
              <w:spacing w:before="197" w:line="86" w:lineRule="exact"/>
              <w:ind w:left="223"/>
              <w:rPr>
                <w:sz w:val="18"/>
                <w:szCs w:val="18"/>
              </w:rPr>
            </w:pPr>
            <w:r>
              <w:rPr>
                <w:spacing w:val="-2"/>
                <w:position w:val="-5"/>
                <w:sz w:val="18"/>
                <w:szCs w:val="18"/>
              </w:rPr>
              <w:t>--</w:t>
            </w:r>
          </w:p>
        </w:tc>
        <w:tc>
          <w:tcPr>
            <w:tcW w:w="672" w:type="dxa"/>
            <w:tcBorders>
              <w:bottom w:val="single" w:color="000000" w:sz="12" w:space="0"/>
            </w:tcBorders>
            <w:shd w:val="clear" w:color="auto" w:fill="DBE5F1"/>
            <w:vAlign w:val="top"/>
          </w:tcPr>
          <w:p w14:paraId="4FD3548C">
            <w:pPr>
              <w:pStyle w:val="6"/>
              <w:spacing w:before="120" w:line="232" w:lineRule="auto"/>
              <w:ind w:left="243"/>
              <w:rPr>
                <w:sz w:val="18"/>
                <w:szCs w:val="18"/>
              </w:rPr>
            </w:pPr>
            <w:r>
              <w:rPr>
                <w:spacing w:val="-1"/>
                <w:sz w:val="18"/>
                <w:szCs w:val="18"/>
              </w:rPr>
              <w:t>20</w:t>
            </w:r>
          </w:p>
        </w:tc>
        <w:tc>
          <w:tcPr>
            <w:tcW w:w="745" w:type="dxa"/>
            <w:tcBorders>
              <w:bottom w:val="single" w:color="000000" w:sz="12" w:space="0"/>
            </w:tcBorders>
            <w:shd w:val="clear" w:color="auto" w:fill="DBE5F1"/>
            <w:vAlign w:val="top"/>
          </w:tcPr>
          <w:p w14:paraId="277F1449">
            <w:pPr>
              <w:pStyle w:val="6"/>
              <w:spacing w:before="119" w:line="232" w:lineRule="auto"/>
              <w:ind w:left="216"/>
              <w:rPr>
                <w:sz w:val="18"/>
                <w:szCs w:val="18"/>
              </w:rPr>
            </w:pPr>
            <w:r>
              <w:rPr>
                <w:spacing w:val="-2"/>
                <w:sz w:val="18"/>
                <w:szCs w:val="18"/>
              </w:rPr>
              <w:t>0.02</w:t>
            </w:r>
          </w:p>
        </w:tc>
        <w:tc>
          <w:tcPr>
            <w:tcW w:w="455" w:type="dxa"/>
            <w:tcBorders>
              <w:bottom w:val="single" w:color="000000" w:sz="12" w:space="0"/>
            </w:tcBorders>
            <w:shd w:val="clear" w:color="auto" w:fill="DBE5F1"/>
            <w:vAlign w:val="top"/>
          </w:tcPr>
          <w:p w14:paraId="7467C6DE">
            <w:pPr>
              <w:pStyle w:val="6"/>
              <w:spacing w:before="119" w:line="232" w:lineRule="auto"/>
              <w:ind w:left="117"/>
              <w:rPr>
                <w:sz w:val="18"/>
                <w:szCs w:val="18"/>
              </w:rPr>
            </w:pPr>
            <w:r>
              <w:rPr>
                <w:spacing w:val="-3"/>
                <w:sz w:val="18"/>
                <w:szCs w:val="18"/>
              </w:rPr>
              <w:t>0.5</w:t>
            </w:r>
          </w:p>
        </w:tc>
        <w:tc>
          <w:tcPr>
            <w:tcW w:w="579" w:type="dxa"/>
            <w:tcBorders>
              <w:bottom w:val="single" w:color="000000" w:sz="12" w:space="0"/>
            </w:tcBorders>
            <w:shd w:val="clear" w:color="auto" w:fill="DBE5F1"/>
            <w:vAlign w:val="top"/>
          </w:tcPr>
          <w:p w14:paraId="5700C242">
            <w:pPr>
              <w:pStyle w:val="6"/>
              <w:spacing w:before="119" w:line="232" w:lineRule="auto"/>
              <w:ind w:left="195"/>
              <w:rPr>
                <w:sz w:val="18"/>
                <w:szCs w:val="18"/>
              </w:rPr>
            </w:pPr>
            <w:r>
              <w:rPr>
                <w:spacing w:val="-7"/>
                <w:sz w:val="18"/>
                <w:szCs w:val="18"/>
              </w:rPr>
              <w:t>1.0</w:t>
            </w:r>
          </w:p>
        </w:tc>
        <w:tc>
          <w:tcPr>
            <w:tcW w:w="623" w:type="dxa"/>
            <w:tcBorders>
              <w:bottom w:val="single" w:color="000000" w:sz="12" w:space="0"/>
            </w:tcBorders>
            <w:shd w:val="clear" w:color="auto" w:fill="DBE5F1"/>
            <w:vAlign w:val="top"/>
          </w:tcPr>
          <w:p w14:paraId="52D11069">
            <w:pPr>
              <w:pStyle w:val="6"/>
              <w:spacing w:before="119" w:line="232" w:lineRule="auto"/>
              <w:ind w:left="157"/>
              <w:rPr>
                <w:sz w:val="18"/>
                <w:szCs w:val="18"/>
              </w:rPr>
            </w:pPr>
            <w:r>
              <w:rPr>
                <w:spacing w:val="-2"/>
                <w:sz w:val="18"/>
                <w:szCs w:val="18"/>
              </w:rPr>
              <w:t>0.05</w:t>
            </w:r>
          </w:p>
        </w:tc>
        <w:tc>
          <w:tcPr>
            <w:tcW w:w="737" w:type="dxa"/>
            <w:tcBorders>
              <w:bottom w:val="single" w:color="000000" w:sz="12" w:space="0"/>
            </w:tcBorders>
            <w:shd w:val="clear" w:color="auto" w:fill="DBE5F1"/>
            <w:vAlign w:val="top"/>
          </w:tcPr>
          <w:p w14:paraId="0021134E">
            <w:pPr>
              <w:pStyle w:val="6"/>
              <w:spacing w:before="119" w:line="232" w:lineRule="auto"/>
              <w:ind w:left="170"/>
              <w:rPr>
                <w:sz w:val="18"/>
                <w:szCs w:val="18"/>
              </w:rPr>
            </w:pPr>
            <w:r>
              <w:rPr>
                <w:spacing w:val="-2"/>
                <w:sz w:val="18"/>
                <w:szCs w:val="18"/>
              </w:rPr>
              <w:t>0.001</w:t>
            </w:r>
          </w:p>
        </w:tc>
        <w:tc>
          <w:tcPr>
            <w:tcW w:w="577" w:type="dxa"/>
            <w:tcBorders>
              <w:bottom w:val="single" w:color="000000" w:sz="12" w:space="0"/>
            </w:tcBorders>
            <w:shd w:val="clear" w:color="auto" w:fill="DBE5F1"/>
            <w:vAlign w:val="top"/>
          </w:tcPr>
          <w:p w14:paraId="43A62DC3">
            <w:pPr>
              <w:pStyle w:val="6"/>
              <w:spacing w:before="119" w:line="232" w:lineRule="auto"/>
              <w:ind w:left="138"/>
              <w:rPr>
                <w:sz w:val="18"/>
                <w:szCs w:val="18"/>
              </w:rPr>
            </w:pPr>
            <w:r>
              <w:rPr>
                <w:spacing w:val="-2"/>
                <w:sz w:val="18"/>
                <w:szCs w:val="18"/>
              </w:rPr>
              <w:t>0.01</w:t>
            </w:r>
          </w:p>
        </w:tc>
        <w:tc>
          <w:tcPr>
            <w:tcW w:w="708" w:type="dxa"/>
            <w:tcBorders>
              <w:bottom w:val="single" w:color="000000" w:sz="12" w:space="0"/>
            </w:tcBorders>
            <w:shd w:val="clear" w:color="auto" w:fill="DBE5F1"/>
            <w:vAlign w:val="top"/>
          </w:tcPr>
          <w:p w14:paraId="53D74202">
            <w:pPr>
              <w:pStyle w:val="6"/>
              <w:spacing w:before="119" w:line="232" w:lineRule="auto"/>
              <w:ind w:left="205"/>
              <w:rPr>
                <w:sz w:val="18"/>
                <w:szCs w:val="18"/>
              </w:rPr>
            </w:pPr>
            <w:r>
              <w:rPr>
                <w:spacing w:val="-2"/>
                <w:sz w:val="18"/>
                <w:szCs w:val="18"/>
              </w:rPr>
              <w:t>0.01</w:t>
            </w:r>
          </w:p>
        </w:tc>
        <w:tc>
          <w:tcPr>
            <w:tcW w:w="567" w:type="dxa"/>
            <w:tcBorders>
              <w:bottom w:val="single" w:color="000000" w:sz="12" w:space="0"/>
            </w:tcBorders>
            <w:shd w:val="clear" w:color="auto" w:fill="DBE5F1"/>
            <w:vAlign w:val="top"/>
          </w:tcPr>
          <w:p w14:paraId="508D78AE">
            <w:pPr>
              <w:pStyle w:val="6"/>
              <w:spacing w:before="119" w:line="232" w:lineRule="auto"/>
              <w:ind w:left="90"/>
              <w:rPr>
                <w:sz w:val="18"/>
                <w:szCs w:val="18"/>
              </w:rPr>
            </w:pPr>
            <w:r>
              <w:rPr>
                <w:spacing w:val="-2"/>
                <w:sz w:val="18"/>
                <w:szCs w:val="18"/>
              </w:rPr>
              <w:t>0.005</w:t>
            </w:r>
          </w:p>
        </w:tc>
        <w:tc>
          <w:tcPr>
            <w:tcW w:w="566" w:type="dxa"/>
            <w:tcBorders>
              <w:bottom w:val="single" w:color="000000" w:sz="12" w:space="0"/>
            </w:tcBorders>
            <w:shd w:val="clear" w:color="auto" w:fill="DBE5F1"/>
            <w:vAlign w:val="top"/>
          </w:tcPr>
          <w:p w14:paraId="41074A11">
            <w:pPr>
              <w:pStyle w:val="6"/>
              <w:spacing w:before="119" w:line="232" w:lineRule="auto"/>
              <w:ind w:left="135"/>
              <w:rPr>
                <w:sz w:val="18"/>
                <w:szCs w:val="18"/>
              </w:rPr>
            </w:pPr>
            <w:r>
              <w:rPr>
                <w:spacing w:val="-2"/>
                <w:sz w:val="18"/>
                <w:szCs w:val="18"/>
              </w:rPr>
              <w:t>0.05</w:t>
            </w:r>
          </w:p>
        </w:tc>
        <w:tc>
          <w:tcPr>
            <w:tcW w:w="567" w:type="dxa"/>
            <w:tcBorders>
              <w:bottom w:val="single" w:color="000000" w:sz="12" w:space="0"/>
            </w:tcBorders>
            <w:shd w:val="clear" w:color="auto" w:fill="DBE5F1"/>
            <w:vAlign w:val="top"/>
          </w:tcPr>
          <w:p w14:paraId="1BF80B5F">
            <w:pPr>
              <w:pStyle w:val="6"/>
              <w:spacing w:before="119" w:line="232" w:lineRule="auto"/>
              <w:ind w:left="137"/>
              <w:rPr>
                <w:sz w:val="18"/>
                <w:szCs w:val="18"/>
              </w:rPr>
            </w:pPr>
            <w:r>
              <w:rPr>
                <w:spacing w:val="-2"/>
                <w:sz w:val="18"/>
                <w:szCs w:val="18"/>
              </w:rPr>
              <w:t>0.05</w:t>
            </w:r>
          </w:p>
        </w:tc>
        <w:tc>
          <w:tcPr>
            <w:tcW w:w="708" w:type="dxa"/>
            <w:tcBorders>
              <w:bottom w:val="single" w:color="000000" w:sz="12" w:space="0"/>
            </w:tcBorders>
            <w:shd w:val="clear" w:color="auto" w:fill="DBE5F1"/>
            <w:vAlign w:val="top"/>
          </w:tcPr>
          <w:p w14:paraId="0FAE5E95">
            <w:pPr>
              <w:pStyle w:val="6"/>
              <w:spacing w:before="119" w:line="232" w:lineRule="auto"/>
              <w:ind w:left="251"/>
              <w:rPr>
                <w:sz w:val="18"/>
                <w:szCs w:val="18"/>
              </w:rPr>
            </w:pPr>
            <w:r>
              <w:rPr>
                <w:spacing w:val="-3"/>
                <w:sz w:val="18"/>
                <w:szCs w:val="18"/>
              </w:rPr>
              <w:t>0.2</w:t>
            </w:r>
          </w:p>
        </w:tc>
        <w:tc>
          <w:tcPr>
            <w:tcW w:w="566" w:type="dxa"/>
            <w:tcBorders>
              <w:bottom w:val="single" w:color="000000" w:sz="12" w:space="0"/>
            </w:tcBorders>
            <w:shd w:val="clear" w:color="auto" w:fill="DBE5F1"/>
            <w:vAlign w:val="top"/>
          </w:tcPr>
          <w:p w14:paraId="0CE8EC90">
            <w:pPr>
              <w:pStyle w:val="6"/>
              <w:spacing w:before="119" w:line="232" w:lineRule="auto"/>
              <w:ind w:left="183"/>
              <w:rPr>
                <w:sz w:val="18"/>
                <w:szCs w:val="18"/>
              </w:rPr>
            </w:pPr>
            <w:r>
              <w:rPr>
                <w:spacing w:val="-3"/>
                <w:sz w:val="18"/>
                <w:szCs w:val="18"/>
              </w:rPr>
              <w:t>3.0</w:t>
            </w:r>
          </w:p>
        </w:tc>
        <w:tc>
          <w:tcPr>
            <w:tcW w:w="579" w:type="dxa"/>
            <w:tcBorders>
              <w:bottom w:val="single" w:color="000000" w:sz="12" w:space="0"/>
            </w:tcBorders>
            <w:shd w:val="clear" w:color="auto" w:fill="DBE5F1"/>
            <w:vAlign w:val="top"/>
          </w:tcPr>
          <w:p w14:paraId="43114D64">
            <w:pPr>
              <w:pStyle w:val="6"/>
              <w:spacing w:before="197" w:line="86" w:lineRule="exact"/>
              <w:ind w:left="242"/>
              <w:rPr>
                <w:sz w:val="18"/>
                <w:szCs w:val="18"/>
              </w:rPr>
            </w:pPr>
            <w:r>
              <w:rPr>
                <w:spacing w:val="-2"/>
                <w:position w:val="-5"/>
                <w:sz w:val="18"/>
                <w:szCs w:val="18"/>
              </w:rPr>
              <w:t>--</w:t>
            </w:r>
          </w:p>
        </w:tc>
        <w:tc>
          <w:tcPr>
            <w:tcW w:w="411" w:type="dxa"/>
            <w:tcBorders>
              <w:bottom w:val="single" w:color="000000" w:sz="12" w:space="0"/>
            </w:tcBorders>
            <w:shd w:val="clear" w:color="auto" w:fill="DBE5F1"/>
            <w:vAlign w:val="top"/>
          </w:tcPr>
          <w:p w14:paraId="0C8CADFC">
            <w:pPr>
              <w:pStyle w:val="6"/>
              <w:spacing w:before="119" w:line="232" w:lineRule="auto"/>
              <w:ind w:left="107"/>
              <w:rPr>
                <w:sz w:val="18"/>
                <w:szCs w:val="18"/>
              </w:rPr>
            </w:pPr>
            <w:r>
              <w:rPr>
                <w:spacing w:val="-3"/>
                <w:sz w:val="18"/>
                <w:szCs w:val="18"/>
              </w:rPr>
              <w:t>3.0</w:t>
            </w:r>
          </w:p>
        </w:tc>
        <w:tc>
          <w:tcPr>
            <w:tcW w:w="428" w:type="dxa"/>
            <w:tcBorders>
              <w:bottom w:val="single" w:color="000000" w:sz="12" w:space="0"/>
            </w:tcBorders>
            <w:shd w:val="clear" w:color="auto" w:fill="DBE5F1"/>
            <w:vAlign w:val="top"/>
          </w:tcPr>
          <w:p w14:paraId="39BA9889">
            <w:pPr>
              <w:pStyle w:val="6"/>
              <w:spacing w:before="197" w:line="86" w:lineRule="exact"/>
              <w:ind w:left="168"/>
              <w:rPr>
                <w:sz w:val="18"/>
                <w:szCs w:val="18"/>
              </w:rPr>
            </w:pPr>
            <w:r>
              <w:rPr>
                <w:spacing w:val="-2"/>
                <w:position w:val="-5"/>
                <w:sz w:val="18"/>
                <w:szCs w:val="18"/>
              </w:rPr>
              <w:t>--</w:t>
            </w:r>
          </w:p>
        </w:tc>
        <w:tc>
          <w:tcPr>
            <w:tcW w:w="427" w:type="dxa"/>
            <w:tcBorders>
              <w:bottom w:val="single" w:color="000000" w:sz="12" w:space="0"/>
            </w:tcBorders>
            <w:shd w:val="clear" w:color="auto" w:fill="DBE5F1"/>
            <w:vAlign w:val="top"/>
          </w:tcPr>
          <w:p w14:paraId="3FE08896">
            <w:pPr>
              <w:pStyle w:val="6"/>
              <w:spacing w:before="120" w:line="232" w:lineRule="auto"/>
              <w:ind w:left="89"/>
              <w:rPr>
                <w:sz w:val="18"/>
                <w:szCs w:val="18"/>
              </w:rPr>
            </w:pPr>
            <w:r>
              <w:rPr>
                <w:spacing w:val="-1"/>
                <w:sz w:val="18"/>
                <w:szCs w:val="18"/>
              </w:rPr>
              <w:t>200</w:t>
            </w:r>
          </w:p>
        </w:tc>
        <w:tc>
          <w:tcPr>
            <w:tcW w:w="341" w:type="dxa"/>
            <w:tcBorders>
              <w:bottom w:val="single" w:color="000000" w:sz="12" w:space="0"/>
            </w:tcBorders>
            <w:shd w:val="clear" w:color="auto" w:fill="DBE5F1"/>
            <w:vAlign w:val="top"/>
          </w:tcPr>
          <w:p w14:paraId="64B46C66">
            <w:pPr>
              <w:pStyle w:val="6"/>
              <w:spacing w:before="197" w:line="86" w:lineRule="exact"/>
              <w:ind w:left="126"/>
              <w:rPr>
                <w:sz w:val="18"/>
                <w:szCs w:val="18"/>
              </w:rPr>
            </w:pPr>
            <w:r>
              <w:rPr>
                <w:spacing w:val="-2"/>
                <w:position w:val="-5"/>
                <w:sz w:val="18"/>
                <w:szCs w:val="18"/>
              </w:rPr>
              <w:t>--</w:t>
            </w:r>
          </w:p>
        </w:tc>
        <w:tc>
          <w:tcPr>
            <w:tcW w:w="361" w:type="dxa"/>
            <w:tcBorders>
              <w:bottom w:val="single" w:color="000000" w:sz="12" w:space="0"/>
              <w:right w:val="single" w:color="000000" w:sz="12" w:space="0"/>
            </w:tcBorders>
            <w:shd w:val="clear" w:color="auto" w:fill="DBE5F1"/>
            <w:vAlign w:val="top"/>
          </w:tcPr>
          <w:p w14:paraId="589B48A3">
            <w:pPr>
              <w:pStyle w:val="6"/>
              <w:spacing w:before="197" w:line="86" w:lineRule="exact"/>
              <w:ind w:left="126"/>
              <w:rPr>
                <w:sz w:val="18"/>
                <w:szCs w:val="18"/>
              </w:rPr>
            </w:pPr>
            <w:r>
              <w:pict>
                <v:shape id="_x0000_s1200" o:spid="_x0000_s1200" o:spt="202" type="#_x0000_t202" style="position:absolute;left:0pt;margin-left:0.15pt;margin-top:-7.95pt;height:14.1pt;width:18.2pt;mso-position-horizontal-relative:page;mso-position-vertical-relative:page;z-index:251725824;mso-width-relative:page;mso-height-relative:page;" filled="f" stroked="f" coordsize="21600,21600">
                  <v:path/>
                  <v:fill on="f" focussize="0,0"/>
                  <v:stroke on="f"/>
                  <v:imagedata o:title=""/>
                  <o:lock v:ext="edit" aspectratio="f"/>
                  <v:textbox inset="0mm,0mm,0mm,0mm">
                    <w:txbxContent>
                      <w:p w14:paraId="71A41FBB">
                        <w:pPr>
                          <w:tabs>
                            <w:tab w:val="left" w:pos="342"/>
                          </w:tabs>
                          <w:spacing w:before="19"/>
                          <w:ind w:left="20"/>
                          <w:rPr>
                            <w:rFonts w:ascii="Arial"/>
                            <w:sz w:val="21"/>
                          </w:rPr>
                        </w:pPr>
                        <w:r>
                          <w:rPr>
                            <w:rFonts w:ascii="Arial" w:hAnsi="Arial" w:eastAsia="Arial" w:cs="Arial"/>
                            <w:sz w:val="21"/>
                            <w:szCs w:val="21"/>
                            <w:u w:val="single" w:color="DBE5F1"/>
                          </w:rPr>
                          <w:tab/>
                        </w:r>
                      </w:p>
                    </w:txbxContent>
                  </v:textbox>
                </v:shape>
              </w:pict>
            </w:r>
            <w:r>
              <w:rPr>
                <w:spacing w:val="-2"/>
                <w:position w:val="-5"/>
                <w:sz w:val="18"/>
                <w:szCs w:val="18"/>
              </w:rPr>
              <w:t>--</w:t>
            </w:r>
          </w:p>
        </w:tc>
      </w:tr>
    </w:tbl>
    <w:p w14:paraId="3139DC8C">
      <w:pPr>
        <w:pStyle w:val="2"/>
        <w:spacing w:before="35"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l</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2</w:t>
      </w:r>
      <w:r>
        <w:rPr>
          <w:spacing w:val="1"/>
          <w:sz w:val="24"/>
          <w:szCs w:val="24"/>
        </w:rPr>
        <w:t>、加</w:t>
      </w:r>
      <w:r>
        <w:rPr>
          <w:sz w:val="24"/>
          <w:szCs w:val="24"/>
        </w:rPr>
        <w:t>粗字体表示监测结果超标。</w:t>
      </w:r>
    </w:p>
    <w:p w14:paraId="7452A1DA">
      <w:pPr>
        <w:spacing w:line="233" w:lineRule="auto"/>
        <w:rPr>
          <w:sz w:val="24"/>
          <w:szCs w:val="24"/>
        </w:rPr>
        <w:sectPr>
          <w:footerReference r:id="rId262" w:type="default"/>
          <w:pgSz w:w="23814" w:h="16840"/>
          <w:pgMar w:top="1376" w:right="1669" w:bottom="1061" w:left="1671" w:header="999" w:footer="861" w:gutter="0"/>
          <w:cols w:space="720" w:num="1"/>
        </w:sectPr>
      </w:pPr>
    </w:p>
    <w:p w14:paraId="786C8CCD">
      <w:pPr>
        <w:spacing w:line="266" w:lineRule="auto"/>
        <w:rPr>
          <w:rFonts w:ascii="Arial"/>
          <w:sz w:val="21"/>
        </w:rPr>
      </w:pPr>
    </w:p>
    <w:p w14:paraId="0165AF12">
      <w:pPr>
        <w:spacing w:line="266" w:lineRule="auto"/>
        <w:rPr>
          <w:rFonts w:ascii="Arial"/>
          <w:sz w:val="21"/>
        </w:rPr>
      </w:pPr>
    </w:p>
    <w:p w14:paraId="64FB19B9">
      <w:pPr>
        <w:pStyle w:val="2"/>
        <w:spacing w:before="87" w:line="226" w:lineRule="auto"/>
        <w:ind w:left="36"/>
        <w:rPr>
          <w:sz w:val="27"/>
          <w:szCs w:val="27"/>
        </w:rPr>
      </w:pPr>
      <w:r>
        <w:rPr>
          <w:rFonts w:ascii="Arial" w:hAnsi="Arial" w:eastAsia="Arial" w:cs="Arial"/>
          <w:spacing w:val="-1"/>
          <w:position w:val="1"/>
          <w:sz w:val="27"/>
          <w:szCs w:val="27"/>
        </w:rPr>
        <w:t xml:space="preserve">6.2.3    </w:t>
      </w:r>
      <w:r>
        <w:rPr>
          <w:b/>
          <w:bCs/>
          <w:spacing w:val="-1"/>
          <w:position w:val="-1"/>
          <w:sz w:val="27"/>
          <w:szCs w:val="27"/>
        </w:rPr>
        <w:t>环境空气质量影响</w:t>
      </w:r>
    </w:p>
    <w:p w14:paraId="299C4CAF">
      <w:pPr>
        <w:pStyle w:val="2"/>
        <w:spacing w:before="262" w:line="220" w:lineRule="auto"/>
        <w:ind w:left="35"/>
        <w:rPr>
          <w:sz w:val="24"/>
          <w:szCs w:val="24"/>
        </w:rPr>
      </w:pPr>
      <w:r>
        <w:rPr>
          <w:rFonts w:ascii="Arial" w:hAnsi="Arial" w:eastAsia="Arial" w:cs="Arial"/>
          <w:spacing w:val="3"/>
          <w:position w:val="1"/>
          <w:sz w:val="18"/>
          <w:szCs w:val="18"/>
        </w:rPr>
        <w:t>6.2.3.1</w:t>
      </w:r>
      <w:r>
        <w:rPr>
          <w:rFonts w:ascii="Arial" w:hAnsi="Arial" w:eastAsia="Arial" w:cs="Arial"/>
          <w:spacing w:val="48"/>
          <w:position w:val="1"/>
          <w:sz w:val="18"/>
          <w:szCs w:val="18"/>
        </w:rPr>
        <w:t xml:space="preserve"> </w:t>
      </w:r>
      <w:r>
        <w:rPr>
          <w:b/>
          <w:bCs/>
          <w:spacing w:val="3"/>
          <w:position w:val="-1"/>
          <w:sz w:val="24"/>
          <w:szCs w:val="24"/>
        </w:rPr>
        <w:t>工程建设前环境空气质量</w:t>
      </w:r>
    </w:p>
    <w:p w14:paraId="54A45C4C">
      <w:pPr>
        <w:pStyle w:val="2"/>
        <w:spacing w:before="275" w:line="338" w:lineRule="auto"/>
        <w:ind w:left="40" w:right="31" w:firstLine="479"/>
        <w:jc w:val="both"/>
        <w:rPr>
          <w:sz w:val="24"/>
          <w:szCs w:val="24"/>
        </w:rPr>
      </w:pPr>
      <w:r>
        <w:rPr>
          <w:spacing w:val="-5"/>
          <w:sz w:val="24"/>
          <w:szCs w:val="24"/>
        </w:rPr>
        <w:t>环评阶段，于</w:t>
      </w:r>
      <w:r>
        <w:rPr>
          <w:spacing w:val="-34"/>
          <w:sz w:val="24"/>
          <w:szCs w:val="24"/>
        </w:rPr>
        <w:t xml:space="preserve"> </w:t>
      </w:r>
      <w:r>
        <w:rPr>
          <w:rFonts w:ascii="Times New Roman" w:hAnsi="Times New Roman" w:eastAsia="Times New Roman" w:cs="Times New Roman"/>
          <w:spacing w:val="-5"/>
          <w:sz w:val="24"/>
          <w:szCs w:val="24"/>
        </w:rPr>
        <w:t>2015</w:t>
      </w:r>
      <w:r>
        <w:rPr>
          <w:rFonts w:ascii="Times New Roman" w:hAnsi="Times New Roman" w:eastAsia="Times New Roman" w:cs="Times New Roman"/>
          <w:spacing w:val="16"/>
          <w:w w:val="101"/>
          <w:sz w:val="24"/>
          <w:szCs w:val="24"/>
        </w:rPr>
        <w:t xml:space="preserve"> </w:t>
      </w:r>
      <w:r>
        <w:rPr>
          <w:spacing w:val="-5"/>
          <w:sz w:val="24"/>
          <w:szCs w:val="24"/>
        </w:rPr>
        <w:t>年</w:t>
      </w:r>
      <w:r>
        <w:rPr>
          <w:spacing w:val="-44"/>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21"/>
          <w:w w:val="101"/>
          <w:sz w:val="24"/>
          <w:szCs w:val="24"/>
        </w:rPr>
        <w:t xml:space="preserve"> </w:t>
      </w:r>
      <w:r>
        <w:rPr>
          <w:spacing w:val="-5"/>
          <w:sz w:val="24"/>
          <w:szCs w:val="24"/>
        </w:rPr>
        <w:t>月</w:t>
      </w:r>
      <w:r>
        <w:rPr>
          <w:spacing w:val="-50"/>
          <w:sz w:val="24"/>
          <w:szCs w:val="24"/>
        </w:rPr>
        <w:t xml:space="preserve">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56"/>
          <w:w w:val="101"/>
          <w:sz w:val="24"/>
          <w:szCs w:val="24"/>
        </w:rPr>
        <w:t xml:space="preserve"> </w:t>
      </w:r>
      <w:r>
        <w:rPr>
          <w:spacing w:val="-5"/>
          <w:sz w:val="24"/>
          <w:szCs w:val="24"/>
        </w:rPr>
        <w:t>日</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56"/>
          <w:w w:val="101"/>
          <w:sz w:val="24"/>
          <w:szCs w:val="24"/>
        </w:rPr>
        <w:t xml:space="preserve"> </w:t>
      </w:r>
      <w:r>
        <w:rPr>
          <w:spacing w:val="-5"/>
          <w:sz w:val="24"/>
          <w:szCs w:val="24"/>
        </w:rPr>
        <w:t>日对车马碧村、下罗贵村、土官寨村、王</w:t>
      </w:r>
      <w:r>
        <w:rPr>
          <w:spacing w:val="-2"/>
          <w:sz w:val="24"/>
          <w:szCs w:val="24"/>
        </w:rPr>
        <w:t>大屯村和西山乡</w:t>
      </w:r>
      <w:r>
        <w:rPr>
          <w:spacing w:val="-9"/>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6"/>
          <w:sz w:val="24"/>
          <w:szCs w:val="24"/>
        </w:rPr>
        <w:t xml:space="preserve"> </w:t>
      </w:r>
      <w:r>
        <w:rPr>
          <w:spacing w:val="-2"/>
          <w:sz w:val="24"/>
          <w:szCs w:val="24"/>
        </w:rPr>
        <w:t>个监测点位环境空气质量进行了</w:t>
      </w:r>
      <w:r>
        <w:rPr>
          <w:spacing w:val="-25"/>
          <w:sz w:val="24"/>
          <w:szCs w:val="24"/>
        </w:rPr>
        <w:t xml:space="preserve"> </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40"/>
          <w:sz w:val="24"/>
          <w:szCs w:val="24"/>
        </w:rPr>
        <w:t xml:space="preserve"> </w:t>
      </w:r>
      <w:r>
        <w:rPr>
          <w:spacing w:val="-2"/>
          <w:sz w:val="24"/>
          <w:szCs w:val="24"/>
        </w:rPr>
        <w:t>天连续监测，各监测点位环境空气质量见表</w:t>
      </w:r>
      <w:r>
        <w:rPr>
          <w:spacing w:val="-43"/>
          <w:sz w:val="24"/>
          <w:szCs w:val="24"/>
        </w:rPr>
        <w:t xml:space="preserve"> </w:t>
      </w:r>
      <w:r>
        <w:rPr>
          <w:rFonts w:ascii="Times New Roman" w:hAnsi="Times New Roman" w:eastAsia="Times New Roman" w:cs="Times New Roman"/>
          <w:spacing w:val="-2"/>
          <w:sz w:val="24"/>
          <w:szCs w:val="24"/>
        </w:rPr>
        <w:t>6.2-13</w:t>
      </w:r>
      <w:r>
        <w:rPr>
          <w:spacing w:val="-2"/>
          <w:sz w:val="24"/>
          <w:szCs w:val="24"/>
        </w:rPr>
        <w:t>。</w:t>
      </w:r>
    </w:p>
    <w:p w14:paraId="2729BD70">
      <w:pPr>
        <w:pStyle w:val="2"/>
        <w:spacing w:line="212" w:lineRule="auto"/>
        <w:ind w:left="279"/>
        <w:rPr>
          <w:rFonts w:ascii="Times New Roman" w:hAnsi="Times New Roman" w:eastAsia="Times New Roman" w:cs="Times New Roman"/>
          <w:sz w:val="15"/>
          <w:szCs w:val="15"/>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6.2-13                 </w:t>
      </w:r>
      <w:r>
        <w:rPr>
          <w:rFonts w:ascii="Times New Roman" w:hAnsi="Times New Roman" w:eastAsia="Times New Roman" w:cs="Times New Roman"/>
          <w:b/>
          <w:bCs/>
          <w:spacing w:val="-1"/>
          <w:sz w:val="24"/>
          <w:szCs w:val="24"/>
        </w:rPr>
        <w:t xml:space="preserve">   </w:t>
      </w:r>
      <w:r>
        <w:rPr>
          <w:b/>
          <w:bCs/>
          <w:spacing w:val="-1"/>
          <w:sz w:val="24"/>
          <w:szCs w:val="24"/>
        </w:rPr>
        <w:t>环评阶段工程区环境空气质量现状</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μg/m</w:t>
      </w:r>
      <w:r>
        <w:rPr>
          <w:rFonts w:ascii="Times New Roman" w:hAnsi="Times New Roman" w:eastAsia="Times New Roman" w:cs="Times New Roman"/>
          <w:b/>
          <w:bCs/>
          <w:spacing w:val="-1"/>
          <w:position w:val="7"/>
          <w:sz w:val="15"/>
          <w:szCs w:val="15"/>
        </w:rPr>
        <w:t>3</w:t>
      </w:r>
    </w:p>
    <w:p w14:paraId="7D025660">
      <w:pPr>
        <w:spacing w:line="18" w:lineRule="exact"/>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9"/>
        <w:gridCol w:w="973"/>
        <w:gridCol w:w="992"/>
        <w:gridCol w:w="994"/>
        <w:gridCol w:w="994"/>
        <w:gridCol w:w="992"/>
        <w:gridCol w:w="995"/>
        <w:gridCol w:w="838"/>
        <w:gridCol w:w="646"/>
      </w:tblGrid>
      <w:tr w14:paraId="2BBD1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022" w:type="dxa"/>
            <w:gridSpan w:val="2"/>
            <w:vMerge w:val="restart"/>
            <w:tcBorders>
              <w:top w:val="single" w:color="000000" w:sz="12" w:space="0"/>
              <w:left w:val="single" w:color="000000" w:sz="12" w:space="0"/>
              <w:bottom w:val="nil"/>
            </w:tcBorders>
            <w:vAlign w:val="top"/>
          </w:tcPr>
          <w:p w14:paraId="2C3D9CC8">
            <w:pPr>
              <w:spacing w:before="220" w:line="220" w:lineRule="auto"/>
              <w:ind w:left="580"/>
              <w:rPr>
                <w:rFonts w:ascii="宋体" w:hAnsi="宋体" w:eastAsia="宋体" w:cs="宋体"/>
                <w:sz w:val="21"/>
                <w:szCs w:val="21"/>
              </w:rPr>
            </w:pPr>
            <w:r>
              <w:rPr>
                <w:rFonts w:ascii="宋体" w:hAnsi="宋体" w:eastAsia="宋体" w:cs="宋体"/>
                <w:spacing w:val="-2"/>
                <w:sz w:val="21"/>
                <w:szCs w:val="21"/>
              </w:rPr>
              <w:t>监测项目</w:t>
            </w:r>
          </w:p>
        </w:tc>
        <w:tc>
          <w:tcPr>
            <w:tcW w:w="4967" w:type="dxa"/>
            <w:gridSpan w:val="5"/>
            <w:tcBorders>
              <w:top w:val="single" w:color="000000" w:sz="12" w:space="0"/>
            </w:tcBorders>
            <w:vAlign w:val="top"/>
          </w:tcPr>
          <w:p w14:paraId="6F159B9D">
            <w:pPr>
              <w:spacing w:before="87" w:line="191" w:lineRule="auto"/>
              <w:ind w:left="2067"/>
              <w:rPr>
                <w:rFonts w:ascii="宋体" w:hAnsi="宋体" w:eastAsia="宋体" w:cs="宋体"/>
                <w:sz w:val="21"/>
                <w:szCs w:val="21"/>
              </w:rPr>
            </w:pPr>
            <w:r>
              <w:rPr>
                <w:rFonts w:ascii="宋体" w:hAnsi="宋体" w:eastAsia="宋体" w:cs="宋体"/>
                <w:spacing w:val="-3"/>
                <w:sz w:val="21"/>
                <w:szCs w:val="21"/>
              </w:rPr>
              <w:t>监测点位</w:t>
            </w:r>
          </w:p>
        </w:tc>
        <w:tc>
          <w:tcPr>
            <w:tcW w:w="1484" w:type="dxa"/>
            <w:gridSpan w:val="2"/>
            <w:tcBorders>
              <w:top w:val="single" w:color="000000" w:sz="12" w:space="0"/>
              <w:right w:val="single" w:color="000000" w:sz="12" w:space="0"/>
            </w:tcBorders>
            <w:vAlign w:val="top"/>
          </w:tcPr>
          <w:p w14:paraId="09BCE56B">
            <w:pPr>
              <w:spacing w:before="87" w:line="191" w:lineRule="auto"/>
              <w:ind w:left="330"/>
              <w:rPr>
                <w:rFonts w:ascii="宋体" w:hAnsi="宋体" w:eastAsia="宋体" w:cs="宋体"/>
                <w:sz w:val="21"/>
                <w:szCs w:val="21"/>
              </w:rPr>
            </w:pPr>
            <w:r>
              <w:rPr>
                <w:rFonts w:ascii="宋体" w:hAnsi="宋体" w:eastAsia="宋体" w:cs="宋体"/>
                <w:spacing w:val="-2"/>
                <w:sz w:val="21"/>
                <w:szCs w:val="21"/>
              </w:rPr>
              <w:t>浓度限值</w:t>
            </w:r>
          </w:p>
        </w:tc>
      </w:tr>
      <w:tr w14:paraId="57150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022" w:type="dxa"/>
            <w:gridSpan w:val="2"/>
            <w:vMerge w:val="continue"/>
            <w:tcBorders>
              <w:top w:val="nil"/>
              <w:left w:val="single" w:color="000000" w:sz="12" w:space="0"/>
            </w:tcBorders>
            <w:vAlign w:val="top"/>
          </w:tcPr>
          <w:p w14:paraId="7A9CC79A">
            <w:pPr>
              <w:rPr>
                <w:rFonts w:ascii="Arial"/>
                <w:sz w:val="21"/>
              </w:rPr>
            </w:pPr>
          </w:p>
        </w:tc>
        <w:tc>
          <w:tcPr>
            <w:tcW w:w="992" w:type="dxa"/>
            <w:vAlign w:val="top"/>
          </w:tcPr>
          <w:p w14:paraId="519473AD">
            <w:pPr>
              <w:spacing w:before="88" w:line="202" w:lineRule="auto"/>
              <w:ind w:left="73"/>
              <w:rPr>
                <w:rFonts w:ascii="宋体" w:hAnsi="宋体" w:eastAsia="宋体" w:cs="宋体"/>
                <w:sz w:val="21"/>
                <w:szCs w:val="21"/>
              </w:rPr>
            </w:pPr>
            <w:r>
              <w:rPr>
                <w:rFonts w:ascii="宋体" w:hAnsi="宋体" w:eastAsia="宋体" w:cs="宋体"/>
                <w:spacing w:val="-2"/>
                <w:sz w:val="21"/>
                <w:szCs w:val="21"/>
              </w:rPr>
              <w:t>车马碧村</w:t>
            </w:r>
          </w:p>
        </w:tc>
        <w:tc>
          <w:tcPr>
            <w:tcW w:w="994" w:type="dxa"/>
            <w:vAlign w:val="top"/>
          </w:tcPr>
          <w:p w14:paraId="1F0F2E55">
            <w:pPr>
              <w:spacing w:before="88" w:line="202" w:lineRule="auto"/>
              <w:ind w:left="84"/>
              <w:rPr>
                <w:rFonts w:ascii="宋体" w:hAnsi="宋体" w:eastAsia="宋体" w:cs="宋体"/>
                <w:sz w:val="21"/>
                <w:szCs w:val="21"/>
              </w:rPr>
            </w:pPr>
            <w:r>
              <w:rPr>
                <w:rFonts w:ascii="宋体" w:hAnsi="宋体" w:eastAsia="宋体" w:cs="宋体"/>
                <w:spacing w:val="-3"/>
                <w:sz w:val="21"/>
                <w:szCs w:val="21"/>
              </w:rPr>
              <w:t>下罗贵村</w:t>
            </w:r>
          </w:p>
        </w:tc>
        <w:tc>
          <w:tcPr>
            <w:tcW w:w="994" w:type="dxa"/>
            <w:vAlign w:val="top"/>
          </w:tcPr>
          <w:p w14:paraId="095B6186">
            <w:pPr>
              <w:spacing w:before="88" w:line="202" w:lineRule="auto"/>
              <w:ind w:left="81"/>
              <w:rPr>
                <w:rFonts w:ascii="宋体" w:hAnsi="宋体" w:eastAsia="宋体" w:cs="宋体"/>
                <w:sz w:val="21"/>
                <w:szCs w:val="21"/>
              </w:rPr>
            </w:pPr>
            <w:r>
              <w:rPr>
                <w:rFonts w:ascii="宋体" w:hAnsi="宋体" w:eastAsia="宋体" w:cs="宋体"/>
                <w:spacing w:val="-2"/>
                <w:sz w:val="21"/>
                <w:szCs w:val="21"/>
              </w:rPr>
              <w:t>土官寨村</w:t>
            </w:r>
          </w:p>
        </w:tc>
        <w:tc>
          <w:tcPr>
            <w:tcW w:w="992" w:type="dxa"/>
            <w:vAlign w:val="top"/>
          </w:tcPr>
          <w:p w14:paraId="781FF8F4">
            <w:pPr>
              <w:spacing w:before="88" w:line="202" w:lineRule="auto"/>
              <w:ind w:left="84"/>
              <w:rPr>
                <w:rFonts w:ascii="宋体" w:hAnsi="宋体" w:eastAsia="宋体" w:cs="宋体"/>
                <w:sz w:val="21"/>
                <w:szCs w:val="21"/>
              </w:rPr>
            </w:pPr>
            <w:r>
              <w:rPr>
                <w:rFonts w:ascii="宋体" w:hAnsi="宋体" w:eastAsia="宋体" w:cs="宋体"/>
                <w:spacing w:val="-2"/>
                <w:sz w:val="21"/>
                <w:szCs w:val="21"/>
              </w:rPr>
              <w:t>王大屯村</w:t>
            </w:r>
          </w:p>
        </w:tc>
        <w:tc>
          <w:tcPr>
            <w:tcW w:w="995" w:type="dxa"/>
            <w:vAlign w:val="top"/>
          </w:tcPr>
          <w:p w14:paraId="188CDFA9">
            <w:pPr>
              <w:spacing w:before="88" w:line="202" w:lineRule="auto"/>
              <w:ind w:left="198"/>
              <w:rPr>
                <w:rFonts w:ascii="宋体" w:hAnsi="宋体" w:eastAsia="宋体" w:cs="宋体"/>
                <w:sz w:val="21"/>
                <w:szCs w:val="21"/>
              </w:rPr>
            </w:pPr>
            <w:r>
              <w:rPr>
                <w:rFonts w:ascii="宋体" w:hAnsi="宋体" w:eastAsia="宋体" w:cs="宋体"/>
                <w:spacing w:val="-3"/>
                <w:sz w:val="21"/>
                <w:szCs w:val="21"/>
              </w:rPr>
              <w:t>西山乡</w:t>
            </w:r>
          </w:p>
        </w:tc>
        <w:tc>
          <w:tcPr>
            <w:tcW w:w="838" w:type="dxa"/>
            <w:vAlign w:val="top"/>
          </w:tcPr>
          <w:p w14:paraId="05321D52">
            <w:pPr>
              <w:spacing w:before="88" w:line="202" w:lineRule="auto"/>
              <w:ind w:left="227"/>
              <w:rPr>
                <w:rFonts w:ascii="宋体" w:hAnsi="宋体" w:eastAsia="宋体" w:cs="宋体"/>
                <w:sz w:val="21"/>
                <w:szCs w:val="21"/>
              </w:rPr>
            </w:pPr>
            <w:r>
              <w:rPr>
                <w:rFonts w:ascii="宋体" w:hAnsi="宋体" w:eastAsia="宋体" w:cs="宋体"/>
                <w:spacing w:val="-6"/>
                <w:sz w:val="21"/>
                <w:szCs w:val="21"/>
              </w:rPr>
              <w:t>一级</w:t>
            </w:r>
          </w:p>
        </w:tc>
        <w:tc>
          <w:tcPr>
            <w:tcW w:w="646" w:type="dxa"/>
            <w:tcBorders>
              <w:right w:val="single" w:color="000000" w:sz="12" w:space="0"/>
            </w:tcBorders>
            <w:vAlign w:val="top"/>
          </w:tcPr>
          <w:p w14:paraId="15F68822">
            <w:pPr>
              <w:spacing w:before="88" w:line="202" w:lineRule="auto"/>
              <w:ind w:left="127"/>
              <w:rPr>
                <w:rFonts w:ascii="宋体" w:hAnsi="宋体" w:eastAsia="宋体" w:cs="宋体"/>
                <w:sz w:val="21"/>
                <w:szCs w:val="21"/>
              </w:rPr>
            </w:pPr>
            <w:r>
              <w:rPr>
                <w:rFonts w:ascii="宋体" w:hAnsi="宋体" w:eastAsia="宋体" w:cs="宋体"/>
                <w:spacing w:val="-3"/>
                <w:sz w:val="21"/>
                <w:szCs w:val="21"/>
              </w:rPr>
              <w:t>二级</w:t>
            </w:r>
          </w:p>
        </w:tc>
      </w:tr>
      <w:tr w14:paraId="10D01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tcBorders>
              <w:left w:val="single" w:color="000000" w:sz="12" w:space="0"/>
            </w:tcBorders>
            <w:vAlign w:val="top"/>
          </w:tcPr>
          <w:p w14:paraId="0C29085A">
            <w:pPr>
              <w:pStyle w:val="6"/>
              <w:spacing w:before="113" w:line="186" w:lineRule="auto"/>
              <w:ind w:left="327"/>
            </w:pPr>
            <w:r>
              <w:rPr>
                <w:spacing w:val="-2"/>
              </w:rPr>
              <w:t>TSP</w:t>
            </w:r>
          </w:p>
        </w:tc>
        <w:tc>
          <w:tcPr>
            <w:tcW w:w="973" w:type="dxa"/>
            <w:vAlign w:val="top"/>
          </w:tcPr>
          <w:p w14:paraId="666944B1">
            <w:pPr>
              <w:pStyle w:val="6"/>
              <w:spacing w:before="91" w:line="199"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vAlign w:val="top"/>
          </w:tcPr>
          <w:p w14:paraId="32142D4C">
            <w:pPr>
              <w:pStyle w:val="6"/>
              <w:spacing w:before="109" w:line="207" w:lineRule="auto"/>
              <w:ind w:left="208"/>
            </w:pPr>
            <w:r>
              <w:rPr>
                <w:spacing w:val="-3"/>
              </w:rPr>
              <w:t>87.714</w:t>
            </w:r>
          </w:p>
        </w:tc>
        <w:tc>
          <w:tcPr>
            <w:tcW w:w="994" w:type="dxa"/>
            <w:vAlign w:val="top"/>
          </w:tcPr>
          <w:p w14:paraId="4CA2E784">
            <w:pPr>
              <w:pStyle w:val="6"/>
              <w:spacing w:before="109" w:line="207" w:lineRule="auto"/>
              <w:ind w:left="208"/>
            </w:pPr>
            <w:r>
              <w:rPr>
                <w:spacing w:val="-2"/>
              </w:rPr>
              <w:t>96.857</w:t>
            </w:r>
          </w:p>
        </w:tc>
        <w:tc>
          <w:tcPr>
            <w:tcW w:w="994" w:type="dxa"/>
            <w:vAlign w:val="top"/>
          </w:tcPr>
          <w:p w14:paraId="0A8A0ABF">
            <w:pPr>
              <w:pStyle w:val="6"/>
              <w:spacing w:before="109" w:line="207" w:lineRule="auto"/>
              <w:ind w:left="216"/>
            </w:pPr>
            <w:r>
              <w:rPr>
                <w:spacing w:val="-3"/>
              </w:rPr>
              <w:t>80.571</w:t>
            </w:r>
          </w:p>
        </w:tc>
        <w:tc>
          <w:tcPr>
            <w:tcW w:w="992" w:type="dxa"/>
            <w:vAlign w:val="top"/>
          </w:tcPr>
          <w:p w14:paraId="7A829C73">
            <w:pPr>
              <w:pStyle w:val="6"/>
              <w:spacing w:before="109" w:line="207" w:lineRule="auto"/>
              <w:ind w:left="218"/>
            </w:pPr>
            <w:r>
              <w:rPr>
                <w:spacing w:val="-3"/>
              </w:rPr>
              <w:t>86.714</w:t>
            </w:r>
          </w:p>
        </w:tc>
        <w:tc>
          <w:tcPr>
            <w:tcW w:w="995" w:type="dxa"/>
            <w:vAlign w:val="top"/>
          </w:tcPr>
          <w:p w14:paraId="16849FA8">
            <w:pPr>
              <w:pStyle w:val="6"/>
              <w:spacing w:before="109" w:line="207" w:lineRule="auto"/>
              <w:ind w:left="224"/>
            </w:pPr>
            <w:r>
              <w:rPr>
                <w:spacing w:val="-3"/>
              </w:rPr>
              <w:t>86.857</w:t>
            </w:r>
          </w:p>
        </w:tc>
        <w:tc>
          <w:tcPr>
            <w:tcW w:w="838" w:type="dxa"/>
            <w:vAlign w:val="top"/>
          </w:tcPr>
          <w:p w14:paraId="3E254462">
            <w:pPr>
              <w:pStyle w:val="6"/>
              <w:spacing w:before="109" w:line="207" w:lineRule="auto"/>
              <w:ind w:left="293"/>
            </w:pPr>
            <w:r>
              <w:rPr>
                <w:spacing w:val="-9"/>
              </w:rPr>
              <w:t>120</w:t>
            </w:r>
          </w:p>
        </w:tc>
        <w:tc>
          <w:tcPr>
            <w:tcW w:w="646" w:type="dxa"/>
            <w:tcBorders>
              <w:right w:val="single" w:color="000000" w:sz="12" w:space="0"/>
            </w:tcBorders>
            <w:vAlign w:val="top"/>
          </w:tcPr>
          <w:p w14:paraId="1925C783">
            <w:pPr>
              <w:pStyle w:val="6"/>
              <w:spacing w:before="109" w:line="207" w:lineRule="auto"/>
              <w:ind w:left="177"/>
            </w:pPr>
            <w:r>
              <w:rPr>
                <w:spacing w:val="-3"/>
              </w:rPr>
              <w:t>300</w:t>
            </w:r>
          </w:p>
        </w:tc>
      </w:tr>
      <w:tr w14:paraId="09FAF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tcBorders>
              <w:left w:val="single" w:color="000000" w:sz="12" w:space="0"/>
            </w:tcBorders>
            <w:vAlign w:val="top"/>
          </w:tcPr>
          <w:p w14:paraId="7EF17CC4">
            <w:pPr>
              <w:pStyle w:val="6"/>
              <w:spacing w:before="118" w:line="198" w:lineRule="auto"/>
              <w:ind w:left="284"/>
              <w:rPr>
                <w:sz w:val="14"/>
                <w:szCs w:val="14"/>
              </w:rPr>
            </w:pPr>
            <w:r>
              <w:t>PM</w:t>
            </w:r>
            <w:r>
              <w:rPr>
                <w:spacing w:val="2"/>
                <w:position w:val="-1"/>
                <w:sz w:val="14"/>
                <w:szCs w:val="14"/>
              </w:rPr>
              <w:t>10</w:t>
            </w:r>
          </w:p>
        </w:tc>
        <w:tc>
          <w:tcPr>
            <w:tcW w:w="973" w:type="dxa"/>
            <w:vAlign w:val="top"/>
          </w:tcPr>
          <w:p w14:paraId="4CB63625">
            <w:pPr>
              <w:pStyle w:val="6"/>
              <w:spacing w:before="93" w:line="197"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vAlign w:val="top"/>
          </w:tcPr>
          <w:p w14:paraId="5A679676">
            <w:pPr>
              <w:pStyle w:val="6"/>
              <w:spacing w:before="112" w:line="204" w:lineRule="auto"/>
              <w:ind w:left="204"/>
            </w:pPr>
            <w:r>
              <w:rPr>
                <w:spacing w:val="-2"/>
              </w:rPr>
              <w:t>37.000</w:t>
            </w:r>
          </w:p>
        </w:tc>
        <w:tc>
          <w:tcPr>
            <w:tcW w:w="994" w:type="dxa"/>
            <w:vAlign w:val="top"/>
          </w:tcPr>
          <w:p w14:paraId="0454C1A5">
            <w:pPr>
              <w:pStyle w:val="6"/>
              <w:spacing w:before="112" w:line="204" w:lineRule="auto"/>
              <w:ind w:left="209"/>
            </w:pPr>
            <w:r>
              <w:rPr>
                <w:spacing w:val="-2"/>
              </w:rPr>
              <w:t>34.857</w:t>
            </w:r>
          </w:p>
        </w:tc>
        <w:tc>
          <w:tcPr>
            <w:tcW w:w="994" w:type="dxa"/>
            <w:vAlign w:val="top"/>
          </w:tcPr>
          <w:p w14:paraId="732C5E78">
            <w:pPr>
              <w:pStyle w:val="6"/>
              <w:spacing w:before="112" w:line="204" w:lineRule="auto"/>
              <w:ind w:left="212"/>
            </w:pPr>
            <w:r>
              <w:rPr>
                <w:spacing w:val="-2"/>
              </w:rPr>
              <w:t>37.429</w:t>
            </w:r>
          </w:p>
        </w:tc>
        <w:tc>
          <w:tcPr>
            <w:tcW w:w="992" w:type="dxa"/>
            <w:vAlign w:val="top"/>
          </w:tcPr>
          <w:p w14:paraId="6CEAEEA3">
            <w:pPr>
              <w:pStyle w:val="6"/>
              <w:spacing w:before="112" w:line="204" w:lineRule="auto"/>
              <w:ind w:left="215"/>
            </w:pPr>
            <w:r>
              <w:rPr>
                <w:spacing w:val="-2"/>
              </w:rPr>
              <w:t>51.857</w:t>
            </w:r>
          </w:p>
        </w:tc>
        <w:tc>
          <w:tcPr>
            <w:tcW w:w="995" w:type="dxa"/>
            <w:vAlign w:val="top"/>
          </w:tcPr>
          <w:p w14:paraId="6979FCFB">
            <w:pPr>
              <w:pStyle w:val="6"/>
              <w:spacing w:before="112" w:line="204" w:lineRule="auto"/>
              <w:ind w:left="222"/>
            </w:pPr>
            <w:r>
              <w:rPr>
                <w:spacing w:val="-2"/>
              </w:rPr>
              <w:t>51.286</w:t>
            </w:r>
          </w:p>
        </w:tc>
        <w:tc>
          <w:tcPr>
            <w:tcW w:w="838" w:type="dxa"/>
            <w:vAlign w:val="top"/>
          </w:tcPr>
          <w:p w14:paraId="7F47084A">
            <w:pPr>
              <w:pStyle w:val="6"/>
              <w:spacing w:before="112" w:line="204" w:lineRule="auto"/>
              <w:ind w:left="330"/>
            </w:pPr>
            <w:r>
              <w:rPr>
                <w:spacing w:val="-5"/>
              </w:rPr>
              <w:t>50</w:t>
            </w:r>
          </w:p>
        </w:tc>
        <w:tc>
          <w:tcPr>
            <w:tcW w:w="646" w:type="dxa"/>
            <w:tcBorders>
              <w:right w:val="single" w:color="000000" w:sz="12" w:space="0"/>
            </w:tcBorders>
            <w:vAlign w:val="top"/>
          </w:tcPr>
          <w:p w14:paraId="54F9B390">
            <w:pPr>
              <w:pStyle w:val="6"/>
              <w:spacing w:before="112" w:line="204" w:lineRule="auto"/>
              <w:ind w:left="193"/>
            </w:pPr>
            <w:r>
              <w:rPr>
                <w:spacing w:val="-9"/>
              </w:rPr>
              <w:t>150</w:t>
            </w:r>
          </w:p>
        </w:tc>
      </w:tr>
      <w:tr w14:paraId="155B5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049" w:type="dxa"/>
            <w:vMerge w:val="restart"/>
            <w:tcBorders>
              <w:left w:val="single" w:color="000000" w:sz="12" w:space="0"/>
              <w:bottom w:val="nil"/>
            </w:tcBorders>
            <w:vAlign w:val="top"/>
          </w:tcPr>
          <w:p w14:paraId="27AFCD0A">
            <w:pPr>
              <w:pStyle w:val="6"/>
              <w:spacing w:before="274" w:line="227" w:lineRule="auto"/>
              <w:ind w:left="346"/>
              <w:rPr>
                <w:sz w:val="14"/>
                <w:szCs w:val="14"/>
              </w:rPr>
            </w:pPr>
            <w:r>
              <w:rPr>
                <w:spacing w:val="-5"/>
              </w:rPr>
              <w:t>SO</w:t>
            </w:r>
            <w:r>
              <w:rPr>
                <w:spacing w:val="-5"/>
                <w:position w:val="-1"/>
                <w:sz w:val="14"/>
                <w:szCs w:val="14"/>
              </w:rPr>
              <w:t>2</w:t>
            </w:r>
          </w:p>
        </w:tc>
        <w:tc>
          <w:tcPr>
            <w:tcW w:w="973" w:type="dxa"/>
            <w:vAlign w:val="top"/>
          </w:tcPr>
          <w:p w14:paraId="497DF326">
            <w:pPr>
              <w:pStyle w:val="6"/>
              <w:spacing w:before="97" w:line="195"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vAlign w:val="top"/>
          </w:tcPr>
          <w:p w14:paraId="158BA7A5">
            <w:pPr>
              <w:pStyle w:val="6"/>
              <w:spacing w:before="114" w:line="203" w:lineRule="auto"/>
              <w:ind w:left="204"/>
            </w:pPr>
            <w:r>
              <w:rPr>
                <w:spacing w:val="-2"/>
              </w:rPr>
              <w:t>33.714</w:t>
            </w:r>
          </w:p>
        </w:tc>
        <w:tc>
          <w:tcPr>
            <w:tcW w:w="994" w:type="dxa"/>
            <w:vAlign w:val="top"/>
          </w:tcPr>
          <w:p w14:paraId="73FDA0B1">
            <w:pPr>
              <w:pStyle w:val="6"/>
              <w:spacing w:before="114" w:line="203" w:lineRule="auto"/>
              <w:ind w:left="209"/>
            </w:pPr>
            <w:r>
              <w:rPr>
                <w:spacing w:val="-2"/>
              </w:rPr>
              <w:t>32.857</w:t>
            </w:r>
          </w:p>
        </w:tc>
        <w:tc>
          <w:tcPr>
            <w:tcW w:w="994" w:type="dxa"/>
            <w:vAlign w:val="top"/>
          </w:tcPr>
          <w:p w14:paraId="0AC9C104">
            <w:pPr>
              <w:pStyle w:val="6"/>
              <w:spacing w:before="114" w:line="203" w:lineRule="auto"/>
              <w:ind w:left="212"/>
            </w:pPr>
            <w:r>
              <w:rPr>
                <w:spacing w:val="-2"/>
              </w:rPr>
              <w:t>34.143</w:t>
            </w:r>
          </w:p>
        </w:tc>
        <w:tc>
          <w:tcPr>
            <w:tcW w:w="992" w:type="dxa"/>
            <w:vAlign w:val="top"/>
          </w:tcPr>
          <w:p w14:paraId="79EFD62C">
            <w:pPr>
              <w:pStyle w:val="6"/>
              <w:spacing w:before="114" w:line="203" w:lineRule="auto"/>
              <w:ind w:left="214"/>
            </w:pPr>
            <w:r>
              <w:rPr>
                <w:spacing w:val="-2"/>
              </w:rPr>
              <w:t>31.857</w:t>
            </w:r>
          </w:p>
        </w:tc>
        <w:tc>
          <w:tcPr>
            <w:tcW w:w="995" w:type="dxa"/>
            <w:vAlign w:val="top"/>
          </w:tcPr>
          <w:p w14:paraId="45211F90">
            <w:pPr>
              <w:pStyle w:val="6"/>
              <w:spacing w:before="114" w:line="203" w:lineRule="auto"/>
              <w:ind w:left="220"/>
            </w:pPr>
            <w:r>
              <w:rPr>
                <w:spacing w:val="-2"/>
              </w:rPr>
              <w:t>33.857</w:t>
            </w:r>
          </w:p>
        </w:tc>
        <w:tc>
          <w:tcPr>
            <w:tcW w:w="838" w:type="dxa"/>
            <w:vAlign w:val="top"/>
          </w:tcPr>
          <w:p w14:paraId="209B737B">
            <w:pPr>
              <w:pStyle w:val="6"/>
              <w:spacing w:before="114" w:line="203" w:lineRule="auto"/>
              <w:ind w:left="330"/>
            </w:pPr>
            <w:r>
              <w:rPr>
                <w:spacing w:val="-3"/>
              </w:rPr>
              <w:t>50</w:t>
            </w:r>
          </w:p>
        </w:tc>
        <w:tc>
          <w:tcPr>
            <w:tcW w:w="646" w:type="dxa"/>
            <w:tcBorders>
              <w:right w:val="single" w:color="000000" w:sz="12" w:space="0"/>
            </w:tcBorders>
            <w:vAlign w:val="top"/>
          </w:tcPr>
          <w:p w14:paraId="0A6D4AE6">
            <w:pPr>
              <w:pStyle w:val="6"/>
              <w:spacing w:before="114" w:line="203" w:lineRule="auto"/>
              <w:ind w:left="193"/>
            </w:pPr>
            <w:r>
              <w:rPr>
                <w:spacing w:val="-9"/>
              </w:rPr>
              <w:t>150</w:t>
            </w:r>
          </w:p>
        </w:tc>
      </w:tr>
      <w:tr w14:paraId="7E232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vMerge w:val="continue"/>
            <w:tcBorders>
              <w:top w:val="nil"/>
              <w:left w:val="single" w:color="000000" w:sz="12" w:space="0"/>
            </w:tcBorders>
            <w:vAlign w:val="top"/>
          </w:tcPr>
          <w:p w14:paraId="08E745C6">
            <w:pPr>
              <w:rPr>
                <w:rFonts w:ascii="Arial"/>
                <w:sz w:val="21"/>
              </w:rPr>
            </w:pPr>
          </w:p>
        </w:tc>
        <w:tc>
          <w:tcPr>
            <w:tcW w:w="973" w:type="dxa"/>
            <w:vAlign w:val="top"/>
          </w:tcPr>
          <w:p w14:paraId="44FEA8A3">
            <w:pPr>
              <w:pStyle w:val="6"/>
              <w:spacing w:before="98" w:line="193" w:lineRule="auto"/>
              <w:ind w:left="154"/>
              <w:rPr>
                <w:rFonts w:ascii="宋体" w:hAnsi="宋体" w:eastAsia="宋体" w:cs="宋体"/>
              </w:rPr>
            </w:pPr>
            <w:r>
              <w:rPr>
                <w:spacing w:val="-7"/>
              </w:rPr>
              <w:t>1h</w:t>
            </w:r>
            <w:r>
              <w:rPr>
                <w:spacing w:val="8"/>
              </w:rPr>
              <w:t xml:space="preserve"> </w:t>
            </w:r>
            <w:r>
              <w:rPr>
                <w:rFonts w:ascii="宋体" w:hAnsi="宋体" w:eastAsia="宋体" w:cs="宋体"/>
                <w:spacing w:val="-7"/>
              </w:rPr>
              <w:t>平均</w:t>
            </w:r>
          </w:p>
        </w:tc>
        <w:tc>
          <w:tcPr>
            <w:tcW w:w="992" w:type="dxa"/>
            <w:vAlign w:val="top"/>
          </w:tcPr>
          <w:p w14:paraId="56BF58D1">
            <w:pPr>
              <w:pStyle w:val="6"/>
              <w:spacing w:before="117" w:line="199" w:lineRule="auto"/>
              <w:ind w:left="204"/>
            </w:pPr>
            <w:r>
              <w:rPr>
                <w:spacing w:val="-2"/>
              </w:rPr>
              <w:t>33.571</w:t>
            </w:r>
          </w:p>
        </w:tc>
        <w:tc>
          <w:tcPr>
            <w:tcW w:w="994" w:type="dxa"/>
            <w:vAlign w:val="top"/>
          </w:tcPr>
          <w:p w14:paraId="041E958D">
            <w:pPr>
              <w:pStyle w:val="6"/>
              <w:spacing w:before="117" w:line="199" w:lineRule="auto"/>
              <w:ind w:left="209"/>
            </w:pPr>
            <w:r>
              <w:rPr>
                <w:spacing w:val="-2"/>
              </w:rPr>
              <w:t>32.500</w:t>
            </w:r>
          </w:p>
        </w:tc>
        <w:tc>
          <w:tcPr>
            <w:tcW w:w="994" w:type="dxa"/>
            <w:vAlign w:val="top"/>
          </w:tcPr>
          <w:p w14:paraId="0BC92C2E">
            <w:pPr>
              <w:pStyle w:val="6"/>
              <w:spacing w:before="117" w:line="199" w:lineRule="auto"/>
              <w:ind w:left="212"/>
            </w:pPr>
            <w:r>
              <w:rPr>
                <w:spacing w:val="-2"/>
              </w:rPr>
              <w:t>34.107</w:t>
            </w:r>
          </w:p>
        </w:tc>
        <w:tc>
          <w:tcPr>
            <w:tcW w:w="992" w:type="dxa"/>
            <w:vAlign w:val="top"/>
          </w:tcPr>
          <w:p w14:paraId="38F37198">
            <w:pPr>
              <w:pStyle w:val="6"/>
              <w:spacing w:before="117" w:line="199" w:lineRule="auto"/>
              <w:ind w:left="214"/>
            </w:pPr>
            <w:r>
              <w:rPr>
                <w:spacing w:val="-2"/>
              </w:rPr>
              <w:t>34.143</w:t>
            </w:r>
          </w:p>
        </w:tc>
        <w:tc>
          <w:tcPr>
            <w:tcW w:w="995" w:type="dxa"/>
            <w:vAlign w:val="top"/>
          </w:tcPr>
          <w:p w14:paraId="7DE3BB84">
            <w:pPr>
              <w:pStyle w:val="6"/>
              <w:spacing w:before="117" w:line="199" w:lineRule="auto"/>
              <w:ind w:left="220"/>
            </w:pPr>
            <w:r>
              <w:rPr>
                <w:spacing w:val="-2"/>
              </w:rPr>
              <w:t>33.714</w:t>
            </w:r>
          </w:p>
        </w:tc>
        <w:tc>
          <w:tcPr>
            <w:tcW w:w="838" w:type="dxa"/>
            <w:vAlign w:val="top"/>
          </w:tcPr>
          <w:p w14:paraId="0A75CF44">
            <w:pPr>
              <w:pStyle w:val="6"/>
              <w:spacing w:before="117" w:line="199" w:lineRule="auto"/>
              <w:ind w:left="293"/>
            </w:pPr>
            <w:r>
              <w:rPr>
                <w:spacing w:val="-6"/>
              </w:rPr>
              <w:t>150</w:t>
            </w:r>
          </w:p>
        </w:tc>
        <w:tc>
          <w:tcPr>
            <w:tcW w:w="646" w:type="dxa"/>
            <w:tcBorders>
              <w:right w:val="single" w:color="000000" w:sz="12" w:space="0"/>
            </w:tcBorders>
            <w:vAlign w:val="top"/>
          </w:tcPr>
          <w:p w14:paraId="44EDCD27">
            <w:pPr>
              <w:pStyle w:val="6"/>
              <w:spacing w:before="117" w:line="199" w:lineRule="auto"/>
              <w:ind w:left="178"/>
            </w:pPr>
            <w:r>
              <w:rPr>
                <w:spacing w:val="-4"/>
              </w:rPr>
              <w:t>500</w:t>
            </w:r>
          </w:p>
        </w:tc>
      </w:tr>
      <w:tr w14:paraId="68992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vMerge w:val="restart"/>
            <w:tcBorders>
              <w:left w:val="single" w:color="000000" w:sz="12" w:space="0"/>
              <w:bottom w:val="nil"/>
            </w:tcBorders>
            <w:vAlign w:val="top"/>
          </w:tcPr>
          <w:p w14:paraId="30ADF711">
            <w:pPr>
              <w:pStyle w:val="6"/>
              <w:spacing w:before="278" w:line="227" w:lineRule="auto"/>
              <w:ind w:left="313"/>
              <w:rPr>
                <w:sz w:val="14"/>
                <w:szCs w:val="14"/>
              </w:rPr>
            </w:pPr>
            <w:r>
              <w:t>NO</w:t>
            </w:r>
            <w:r>
              <w:rPr>
                <w:spacing w:val="2"/>
                <w:position w:val="-1"/>
                <w:sz w:val="14"/>
                <w:szCs w:val="14"/>
              </w:rPr>
              <w:t>2</w:t>
            </w:r>
          </w:p>
        </w:tc>
        <w:tc>
          <w:tcPr>
            <w:tcW w:w="973" w:type="dxa"/>
            <w:vAlign w:val="top"/>
          </w:tcPr>
          <w:p w14:paraId="2F3CEDC8">
            <w:pPr>
              <w:pStyle w:val="6"/>
              <w:spacing w:before="103" w:line="189"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vAlign w:val="top"/>
          </w:tcPr>
          <w:p w14:paraId="2E4362DB">
            <w:pPr>
              <w:pStyle w:val="6"/>
              <w:spacing w:before="120" w:line="196" w:lineRule="auto"/>
              <w:ind w:left="204"/>
            </w:pPr>
            <w:r>
              <w:rPr>
                <w:spacing w:val="-2"/>
              </w:rPr>
              <w:t>35.429</w:t>
            </w:r>
          </w:p>
        </w:tc>
        <w:tc>
          <w:tcPr>
            <w:tcW w:w="994" w:type="dxa"/>
            <w:vAlign w:val="top"/>
          </w:tcPr>
          <w:p w14:paraId="5C4130A9">
            <w:pPr>
              <w:pStyle w:val="6"/>
              <w:spacing w:before="120" w:line="196" w:lineRule="auto"/>
              <w:ind w:left="209"/>
            </w:pPr>
            <w:r>
              <w:rPr>
                <w:spacing w:val="-2"/>
              </w:rPr>
              <w:t>34.143</w:t>
            </w:r>
          </w:p>
        </w:tc>
        <w:tc>
          <w:tcPr>
            <w:tcW w:w="994" w:type="dxa"/>
            <w:vAlign w:val="top"/>
          </w:tcPr>
          <w:p w14:paraId="5608EF70">
            <w:pPr>
              <w:pStyle w:val="6"/>
              <w:spacing w:before="120" w:line="196" w:lineRule="auto"/>
              <w:ind w:left="212"/>
            </w:pPr>
            <w:r>
              <w:rPr>
                <w:spacing w:val="-2"/>
              </w:rPr>
              <w:t>32.571</w:t>
            </w:r>
          </w:p>
        </w:tc>
        <w:tc>
          <w:tcPr>
            <w:tcW w:w="992" w:type="dxa"/>
            <w:vAlign w:val="top"/>
          </w:tcPr>
          <w:p w14:paraId="24BE97E4">
            <w:pPr>
              <w:pStyle w:val="6"/>
              <w:spacing w:before="120" w:line="196" w:lineRule="auto"/>
              <w:ind w:left="214"/>
            </w:pPr>
            <w:r>
              <w:rPr>
                <w:spacing w:val="-2"/>
              </w:rPr>
              <w:t>36.429</w:t>
            </w:r>
          </w:p>
        </w:tc>
        <w:tc>
          <w:tcPr>
            <w:tcW w:w="995" w:type="dxa"/>
            <w:vAlign w:val="top"/>
          </w:tcPr>
          <w:p w14:paraId="40AE7710">
            <w:pPr>
              <w:pStyle w:val="6"/>
              <w:spacing w:before="120" w:line="196" w:lineRule="auto"/>
              <w:ind w:left="220"/>
            </w:pPr>
            <w:r>
              <w:rPr>
                <w:spacing w:val="-2"/>
              </w:rPr>
              <w:t>36.143</w:t>
            </w:r>
          </w:p>
        </w:tc>
        <w:tc>
          <w:tcPr>
            <w:tcW w:w="838" w:type="dxa"/>
            <w:vAlign w:val="top"/>
          </w:tcPr>
          <w:p w14:paraId="252E6F51">
            <w:pPr>
              <w:pStyle w:val="6"/>
              <w:spacing w:before="120" w:line="196" w:lineRule="auto"/>
              <w:ind w:left="333"/>
            </w:pPr>
            <w:r>
              <w:rPr>
                <w:spacing w:val="-4"/>
              </w:rPr>
              <w:t>80</w:t>
            </w:r>
          </w:p>
        </w:tc>
        <w:tc>
          <w:tcPr>
            <w:tcW w:w="646" w:type="dxa"/>
            <w:tcBorders>
              <w:right w:val="single" w:color="000000" w:sz="12" w:space="0"/>
            </w:tcBorders>
            <w:vAlign w:val="top"/>
          </w:tcPr>
          <w:p w14:paraId="62D71BD9">
            <w:pPr>
              <w:pStyle w:val="6"/>
              <w:spacing w:before="120" w:line="196" w:lineRule="auto"/>
              <w:ind w:left="233"/>
            </w:pPr>
            <w:r>
              <w:rPr>
                <w:spacing w:val="-7"/>
              </w:rPr>
              <w:t>80</w:t>
            </w:r>
          </w:p>
        </w:tc>
      </w:tr>
      <w:tr w14:paraId="51F0D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vMerge w:val="continue"/>
            <w:tcBorders>
              <w:top w:val="nil"/>
              <w:left w:val="single" w:color="000000" w:sz="12" w:space="0"/>
            </w:tcBorders>
            <w:vAlign w:val="top"/>
          </w:tcPr>
          <w:p w14:paraId="26FE0750">
            <w:pPr>
              <w:rPr>
                <w:rFonts w:ascii="Arial"/>
                <w:sz w:val="21"/>
              </w:rPr>
            </w:pPr>
          </w:p>
        </w:tc>
        <w:tc>
          <w:tcPr>
            <w:tcW w:w="973" w:type="dxa"/>
            <w:vAlign w:val="top"/>
          </w:tcPr>
          <w:p w14:paraId="540E88D4">
            <w:pPr>
              <w:pStyle w:val="6"/>
              <w:spacing w:before="105" w:line="187" w:lineRule="auto"/>
              <w:ind w:left="154"/>
              <w:rPr>
                <w:rFonts w:ascii="宋体" w:hAnsi="宋体" w:eastAsia="宋体" w:cs="宋体"/>
              </w:rPr>
            </w:pPr>
            <w:r>
              <w:rPr>
                <w:spacing w:val="-7"/>
              </w:rPr>
              <w:t>1h</w:t>
            </w:r>
            <w:r>
              <w:rPr>
                <w:spacing w:val="8"/>
              </w:rPr>
              <w:t xml:space="preserve"> </w:t>
            </w:r>
            <w:r>
              <w:rPr>
                <w:rFonts w:ascii="宋体" w:hAnsi="宋体" w:eastAsia="宋体" w:cs="宋体"/>
                <w:spacing w:val="-7"/>
              </w:rPr>
              <w:t>平均</w:t>
            </w:r>
          </w:p>
        </w:tc>
        <w:tc>
          <w:tcPr>
            <w:tcW w:w="992" w:type="dxa"/>
            <w:vAlign w:val="top"/>
          </w:tcPr>
          <w:p w14:paraId="5634C202">
            <w:pPr>
              <w:pStyle w:val="6"/>
              <w:spacing w:before="123" w:line="193" w:lineRule="auto"/>
              <w:ind w:left="204"/>
            </w:pPr>
            <w:r>
              <w:rPr>
                <w:spacing w:val="-2"/>
              </w:rPr>
              <w:t>34.929</w:t>
            </w:r>
          </w:p>
        </w:tc>
        <w:tc>
          <w:tcPr>
            <w:tcW w:w="994" w:type="dxa"/>
            <w:vAlign w:val="top"/>
          </w:tcPr>
          <w:p w14:paraId="7EF1E783">
            <w:pPr>
              <w:pStyle w:val="6"/>
              <w:spacing w:before="123" w:line="193" w:lineRule="auto"/>
              <w:ind w:left="209"/>
            </w:pPr>
            <w:r>
              <w:rPr>
                <w:spacing w:val="-2"/>
              </w:rPr>
              <w:t>34.286</w:t>
            </w:r>
          </w:p>
        </w:tc>
        <w:tc>
          <w:tcPr>
            <w:tcW w:w="994" w:type="dxa"/>
            <w:vAlign w:val="top"/>
          </w:tcPr>
          <w:p w14:paraId="2F43B79C">
            <w:pPr>
              <w:pStyle w:val="6"/>
              <w:spacing w:before="123" w:line="193" w:lineRule="auto"/>
              <w:ind w:left="212"/>
            </w:pPr>
            <w:r>
              <w:rPr>
                <w:spacing w:val="-2"/>
              </w:rPr>
              <w:t>32.071</w:t>
            </w:r>
          </w:p>
        </w:tc>
        <w:tc>
          <w:tcPr>
            <w:tcW w:w="992" w:type="dxa"/>
            <w:vAlign w:val="top"/>
          </w:tcPr>
          <w:p w14:paraId="1C66EEDC">
            <w:pPr>
              <w:pStyle w:val="6"/>
              <w:spacing w:before="123" w:line="193" w:lineRule="auto"/>
              <w:ind w:left="214"/>
            </w:pPr>
            <w:r>
              <w:rPr>
                <w:spacing w:val="-2"/>
              </w:rPr>
              <w:t>34.464</w:t>
            </w:r>
          </w:p>
        </w:tc>
        <w:tc>
          <w:tcPr>
            <w:tcW w:w="995" w:type="dxa"/>
            <w:vAlign w:val="top"/>
          </w:tcPr>
          <w:p w14:paraId="2EDE3421">
            <w:pPr>
              <w:pStyle w:val="6"/>
              <w:spacing w:before="123" w:line="193" w:lineRule="auto"/>
              <w:ind w:left="220"/>
            </w:pPr>
            <w:r>
              <w:rPr>
                <w:spacing w:val="-2"/>
              </w:rPr>
              <w:t>36.464</w:t>
            </w:r>
          </w:p>
        </w:tc>
        <w:tc>
          <w:tcPr>
            <w:tcW w:w="838" w:type="dxa"/>
            <w:vAlign w:val="top"/>
          </w:tcPr>
          <w:p w14:paraId="03B8F142">
            <w:pPr>
              <w:pStyle w:val="6"/>
              <w:spacing w:before="123" w:line="193" w:lineRule="auto"/>
              <w:ind w:left="273"/>
            </w:pPr>
            <w:r>
              <w:rPr>
                <w:spacing w:val="-1"/>
              </w:rPr>
              <w:t>200</w:t>
            </w:r>
          </w:p>
        </w:tc>
        <w:tc>
          <w:tcPr>
            <w:tcW w:w="646" w:type="dxa"/>
            <w:tcBorders>
              <w:right w:val="single" w:color="000000" w:sz="12" w:space="0"/>
            </w:tcBorders>
            <w:vAlign w:val="top"/>
          </w:tcPr>
          <w:p w14:paraId="4A2E8177">
            <w:pPr>
              <w:pStyle w:val="6"/>
              <w:spacing w:before="123" w:line="193" w:lineRule="auto"/>
              <w:ind w:left="173"/>
            </w:pPr>
            <w:r>
              <w:rPr>
                <w:spacing w:val="-2"/>
              </w:rPr>
              <w:t>200</w:t>
            </w:r>
          </w:p>
        </w:tc>
      </w:tr>
      <w:tr w14:paraId="44E84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vMerge w:val="restart"/>
            <w:tcBorders>
              <w:left w:val="single" w:color="000000" w:sz="12" w:space="0"/>
              <w:bottom w:val="nil"/>
            </w:tcBorders>
            <w:vAlign w:val="top"/>
          </w:tcPr>
          <w:p w14:paraId="69974B6D">
            <w:pPr>
              <w:pStyle w:val="6"/>
              <w:spacing w:before="149" w:line="186" w:lineRule="auto"/>
              <w:ind w:left="363"/>
            </w:pPr>
            <w:r>
              <w:rPr>
                <w:spacing w:val="-2"/>
              </w:rPr>
              <w:t>CO</w:t>
            </w:r>
          </w:p>
          <w:p w14:paraId="298F908D">
            <w:pPr>
              <w:pStyle w:val="6"/>
              <w:spacing w:before="34" w:line="203" w:lineRule="auto"/>
              <w:ind w:left="25"/>
              <w:rPr>
                <w:rFonts w:ascii="宋体" w:hAnsi="宋体" w:eastAsia="宋体" w:cs="宋体"/>
              </w:rPr>
            </w:pPr>
            <w:r>
              <w:rPr>
                <w:rFonts w:ascii="宋体" w:hAnsi="宋体" w:eastAsia="宋体" w:cs="宋体"/>
                <w:spacing w:val="-3"/>
              </w:rPr>
              <w:t>（</w:t>
            </w:r>
            <w:r>
              <w:rPr>
                <w:spacing w:val="-3"/>
              </w:rPr>
              <w:t>mg/m</w:t>
            </w:r>
            <w:r>
              <w:rPr>
                <w:spacing w:val="-3"/>
                <w:position w:val="1"/>
                <w:sz w:val="14"/>
                <w:szCs w:val="14"/>
              </w:rPr>
              <w:t>3</w:t>
            </w:r>
            <w:r>
              <w:rPr>
                <w:rFonts w:ascii="宋体" w:hAnsi="宋体" w:eastAsia="宋体" w:cs="宋体"/>
                <w:spacing w:val="-3"/>
                <w:position w:val="1"/>
              </w:rPr>
              <w:t>）</w:t>
            </w:r>
          </w:p>
        </w:tc>
        <w:tc>
          <w:tcPr>
            <w:tcW w:w="973" w:type="dxa"/>
            <w:vAlign w:val="top"/>
          </w:tcPr>
          <w:p w14:paraId="79B513D5">
            <w:pPr>
              <w:pStyle w:val="6"/>
              <w:spacing w:before="108" w:line="184"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vAlign w:val="top"/>
          </w:tcPr>
          <w:p w14:paraId="0F2CB9D4">
            <w:pPr>
              <w:pStyle w:val="6"/>
              <w:spacing w:before="126" w:line="190" w:lineRule="auto"/>
              <w:ind w:left="455"/>
            </w:pPr>
            <w:r>
              <w:t>/</w:t>
            </w:r>
          </w:p>
        </w:tc>
        <w:tc>
          <w:tcPr>
            <w:tcW w:w="994" w:type="dxa"/>
            <w:vAlign w:val="top"/>
          </w:tcPr>
          <w:p w14:paraId="1C0B2E67">
            <w:pPr>
              <w:pStyle w:val="6"/>
              <w:spacing w:before="126" w:line="190" w:lineRule="auto"/>
              <w:ind w:left="459"/>
            </w:pPr>
            <w:r>
              <w:t>/</w:t>
            </w:r>
          </w:p>
        </w:tc>
        <w:tc>
          <w:tcPr>
            <w:tcW w:w="994" w:type="dxa"/>
            <w:vAlign w:val="top"/>
          </w:tcPr>
          <w:p w14:paraId="2862ECDA">
            <w:pPr>
              <w:pStyle w:val="6"/>
              <w:spacing w:before="126" w:line="190" w:lineRule="auto"/>
              <w:ind w:left="463"/>
            </w:pPr>
            <w:r>
              <w:t>/</w:t>
            </w:r>
          </w:p>
        </w:tc>
        <w:tc>
          <w:tcPr>
            <w:tcW w:w="992" w:type="dxa"/>
            <w:vAlign w:val="top"/>
          </w:tcPr>
          <w:p w14:paraId="1573A0E4">
            <w:pPr>
              <w:pStyle w:val="6"/>
              <w:spacing w:before="126" w:line="190" w:lineRule="auto"/>
              <w:ind w:left="465"/>
            </w:pPr>
            <w:r>
              <w:t>/</w:t>
            </w:r>
          </w:p>
        </w:tc>
        <w:tc>
          <w:tcPr>
            <w:tcW w:w="995" w:type="dxa"/>
            <w:vAlign w:val="top"/>
          </w:tcPr>
          <w:p w14:paraId="704475C0">
            <w:pPr>
              <w:pStyle w:val="6"/>
              <w:spacing w:before="126" w:line="190" w:lineRule="auto"/>
              <w:ind w:left="288"/>
            </w:pPr>
            <w:r>
              <w:rPr>
                <w:spacing w:val="-5"/>
              </w:rPr>
              <w:t>1.231</w:t>
            </w:r>
          </w:p>
        </w:tc>
        <w:tc>
          <w:tcPr>
            <w:tcW w:w="838" w:type="dxa"/>
            <w:vAlign w:val="top"/>
          </w:tcPr>
          <w:p w14:paraId="05FD5B42">
            <w:pPr>
              <w:pStyle w:val="6"/>
              <w:spacing w:before="126" w:line="190" w:lineRule="auto"/>
              <w:ind w:left="376"/>
            </w:pPr>
            <w:r>
              <w:t>4</w:t>
            </w:r>
          </w:p>
        </w:tc>
        <w:tc>
          <w:tcPr>
            <w:tcW w:w="646" w:type="dxa"/>
            <w:tcBorders>
              <w:right w:val="single" w:color="000000" w:sz="12" w:space="0"/>
            </w:tcBorders>
            <w:vAlign w:val="top"/>
          </w:tcPr>
          <w:p w14:paraId="6D80733B">
            <w:pPr>
              <w:pStyle w:val="6"/>
              <w:spacing w:before="126" w:line="190" w:lineRule="auto"/>
              <w:ind w:left="276"/>
            </w:pPr>
            <w:r>
              <w:t>4</w:t>
            </w:r>
          </w:p>
        </w:tc>
      </w:tr>
      <w:tr w14:paraId="74A7A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49" w:type="dxa"/>
            <w:vMerge w:val="continue"/>
            <w:tcBorders>
              <w:top w:val="nil"/>
              <w:left w:val="single" w:color="000000" w:sz="12" w:space="0"/>
            </w:tcBorders>
            <w:vAlign w:val="top"/>
          </w:tcPr>
          <w:p w14:paraId="49D13BBB">
            <w:pPr>
              <w:rPr>
                <w:rFonts w:ascii="Arial"/>
                <w:sz w:val="21"/>
              </w:rPr>
            </w:pPr>
          </w:p>
        </w:tc>
        <w:tc>
          <w:tcPr>
            <w:tcW w:w="973" w:type="dxa"/>
            <w:vAlign w:val="top"/>
          </w:tcPr>
          <w:p w14:paraId="3996054C">
            <w:pPr>
              <w:pStyle w:val="6"/>
              <w:spacing w:before="110" w:line="182" w:lineRule="auto"/>
              <w:ind w:left="154"/>
              <w:rPr>
                <w:rFonts w:ascii="宋体" w:hAnsi="宋体" w:eastAsia="宋体" w:cs="宋体"/>
              </w:rPr>
            </w:pPr>
            <w:r>
              <w:rPr>
                <w:spacing w:val="-7"/>
              </w:rPr>
              <w:t>1h</w:t>
            </w:r>
            <w:r>
              <w:rPr>
                <w:spacing w:val="8"/>
              </w:rPr>
              <w:t xml:space="preserve"> </w:t>
            </w:r>
            <w:r>
              <w:rPr>
                <w:rFonts w:ascii="宋体" w:hAnsi="宋体" w:eastAsia="宋体" w:cs="宋体"/>
                <w:spacing w:val="-7"/>
              </w:rPr>
              <w:t>平均</w:t>
            </w:r>
          </w:p>
        </w:tc>
        <w:tc>
          <w:tcPr>
            <w:tcW w:w="992" w:type="dxa"/>
            <w:vAlign w:val="top"/>
          </w:tcPr>
          <w:p w14:paraId="13078E73">
            <w:pPr>
              <w:pStyle w:val="6"/>
              <w:spacing w:before="128" w:line="188" w:lineRule="auto"/>
              <w:ind w:left="455"/>
            </w:pPr>
            <w:r>
              <w:t>/</w:t>
            </w:r>
          </w:p>
        </w:tc>
        <w:tc>
          <w:tcPr>
            <w:tcW w:w="994" w:type="dxa"/>
            <w:vAlign w:val="top"/>
          </w:tcPr>
          <w:p w14:paraId="0080FCBB">
            <w:pPr>
              <w:pStyle w:val="6"/>
              <w:spacing w:before="128" w:line="188" w:lineRule="auto"/>
              <w:ind w:left="459"/>
            </w:pPr>
            <w:r>
              <w:t>/</w:t>
            </w:r>
          </w:p>
        </w:tc>
        <w:tc>
          <w:tcPr>
            <w:tcW w:w="994" w:type="dxa"/>
            <w:vAlign w:val="top"/>
          </w:tcPr>
          <w:p w14:paraId="4C05838B">
            <w:pPr>
              <w:pStyle w:val="6"/>
              <w:spacing w:before="128" w:line="188" w:lineRule="auto"/>
              <w:ind w:left="463"/>
            </w:pPr>
            <w:r>
              <w:t>/</w:t>
            </w:r>
          </w:p>
        </w:tc>
        <w:tc>
          <w:tcPr>
            <w:tcW w:w="992" w:type="dxa"/>
            <w:vAlign w:val="top"/>
          </w:tcPr>
          <w:p w14:paraId="3A79CBBB">
            <w:pPr>
              <w:pStyle w:val="6"/>
              <w:spacing w:before="128" w:line="188" w:lineRule="auto"/>
              <w:ind w:left="465"/>
            </w:pPr>
            <w:r>
              <w:t>/</w:t>
            </w:r>
          </w:p>
        </w:tc>
        <w:tc>
          <w:tcPr>
            <w:tcW w:w="995" w:type="dxa"/>
            <w:vAlign w:val="top"/>
          </w:tcPr>
          <w:p w14:paraId="0EAFAF15">
            <w:pPr>
              <w:pStyle w:val="6"/>
              <w:spacing w:before="128" w:line="188" w:lineRule="auto"/>
              <w:ind w:left="288"/>
            </w:pPr>
            <w:r>
              <w:rPr>
                <w:spacing w:val="-5"/>
              </w:rPr>
              <w:t>1.250</w:t>
            </w:r>
          </w:p>
        </w:tc>
        <w:tc>
          <w:tcPr>
            <w:tcW w:w="838" w:type="dxa"/>
            <w:vAlign w:val="top"/>
          </w:tcPr>
          <w:p w14:paraId="308DCD1A">
            <w:pPr>
              <w:pStyle w:val="6"/>
              <w:spacing w:before="128" w:line="188" w:lineRule="auto"/>
              <w:ind w:left="344"/>
            </w:pPr>
            <w:r>
              <w:rPr>
                <w:spacing w:val="-6"/>
              </w:rPr>
              <w:t>10</w:t>
            </w:r>
          </w:p>
        </w:tc>
        <w:tc>
          <w:tcPr>
            <w:tcW w:w="646" w:type="dxa"/>
            <w:tcBorders>
              <w:right w:val="single" w:color="000000" w:sz="12" w:space="0"/>
            </w:tcBorders>
            <w:vAlign w:val="top"/>
          </w:tcPr>
          <w:p w14:paraId="0E61D850">
            <w:pPr>
              <w:pStyle w:val="6"/>
              <w:spacing w:before="128" w:line="188" w:lineRule="auto"/>
              <w:ind w:left="244"/>
            </w:pPr>
            <w:r>
              <w:rPr>
                <w:spacing w:val="-12"/>
              </w:rPr>
              <w:t>10</w:t>
            </w:r>
          </w:p>
        </w:tc>
      </w:tr>
      <w:tr w14:paraId="04DD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049" w:type="dxa"/>
            <w:tcBorders>
              <w:left w:val="single" w:color="000000" w:sz="12" w:space="0"/>
              <w:bottom w:val="single" w:color="000000" w:sz="12" w:space="0"/>
            </w:tcBorders>
            <w:vAlign w:val="top"/>
          </w:tcPr>
          <w:p w14:paraId="0B9A5665">
            <w:pPr>
              <w:spacing w:before="114" w:line="201" w:lineRule="auto"/>
              <w:ind w:left="197"/>
              <w:rPr>
                <w:rFonts w:ascii="宋体" w:hAnsi="宋体" w:eastAsia="宋体" w:cs="宋体"/>
                <w:sz w:val="21"/>
                <w:szCs w:val="21"/>
              </w:rPr>
            </w:pPr>
            <w:r>
              <w:rPr>
                <w:rFonts w:ascii="宋体" w:hAnsi="宋体" w:eastAsia="宋体" w:cs="宋体"/>
                <w:spacing w:val="-3"/>
                <w:sz w:val="21"/>
                <w:szCs w:val="21"/>
              </w:rPr>
              <w:t>苯并芘</w:t>
            </w:r>
          </w:p>
        </w:tc>
        <w:tc>
          <w:tcPr>
            <w:tcW w:w="973" w:type="dxa"/>
            <w:tcBorders>
              <w:bottom w:val="single" w:color="000000" w:sz="12" w:space="0"/>
            </w:tcBorders>
            <w:vAlign w:val="top"/>
          </w:tcPr>
          <w:p w14:paraId="26B274AE">
            <w:pPr>
              <w:pStyle w:val="6"/>
              <w:spacing w:before="114" w:line="201" w:lineRule="auto"/>
              <w:ind w:left="82"/>
              <w:rPr>
                <w:rFonts w:ascii="宋体" w:hAnsi="宋体" w:eastAsia="宋体" w:cs="宋体"/>
              </w:rPr>
            </w:pPr>
            <w:r>
              <w:rPr>
                <w:spacing w:val="-2"/>
              </w:rPr>
              <w:t>24h</w:t>
            </w:r>
            <w:r>
              <w:rPr>
                <w:spacing w:val="9"/>
              </w:rPr>
              <w:t xml:space="preserve"> </w:t>
            </w:r>
            <w:r>
              <w:rPr>
                <w:rFonts w:ascii="宋体" w:hAnsi="宋体" w:eastAsia="宋体" w:cs="宋体"/>
                <w:spacing w:val="-2"/>
              </w:rPr>
              <w:t>平均</w:t>
            </w:r>
          </w:p>
        </w:tc>
        <w:tc>
          <w:tcPr>
            <w:tcW w:w="992" w:type="dxa"/>
            <w:tcBorders>
              <w:bottom w:val="single" w:color="000000" w:sz="12" w:space="0"/>
            </w:tcBorders>
            <w:vAlign w:val="top"/>
          </w:tcPr>
          <w:p w14:paraId="07F6490B">
            <w:pPr>
              <w:pStyle w:val="6"/>
              <w:spacing w:before="132" w:line="209" w:lineRule="auto"/>
              <w:ind w:left="455"/>
            </w:pPr>
            <w:r>
              <w:t>/</w:t>
            </w:r>
          </w:p>
        </w:tc>
        <w:tc>
          <w:tcPr>
            <w:tcW w:w="994" w:type="dxa"/>
            <w:tcBorders>
              <w:bottom w:val="single" w:color="000000" w:sz="12" w:space="0"/>
            </w:tcBorders>
            <w:vAlign w:val="top"/>
          </w:tcPr>
          <w:p w14:paraId="0926C568">
            <w:pPr>
              <w:pStyle w:val="6"/>
              <w:spacing w:before="132" w:line="209" w:lineRule="auto"/>
              <w:ind w:left="459"/>
            </w:pPr>
            <w:r>
              <w:t>/</w:t>
            </w:r>
          </w:p>
        </w:tc>
        <w:tc>
          <w:tcPr>
            <w:tcW w:w="994" w:type="dxa"/>
            <w:tcBorders>
              <w:bottom w:val="single" w:color="000000" w:sz="12" w:space="0"/>
            </w:tcBorders>
            <w:vAlign w:val="top"/>
          </w:tcPr>
          <w:p w14:paraId="40137540">
            <w:pPr>
              <w:pStyle w:val="6"/>
              <w:spacing w:before="132" w:line="209" w:lineRule="auto"/>
              <w:ind w:left="463"/>
            </w:pPr>
            <w:r>
              <w:t>/</w:t>
            </w:r>
          </w:p>
        </w:tc>
        <w:tc>
          <w:tcPr>
            <w:tcW w:w="992" w:type="dxa"/>
            <w:tcBorders>
              <w:bottom w:val="single" w:color="000000" w:sz="12" w:space="0"/>
            </w:tcBorders>
            <w:vAlign w:val="top"/>
          </w:tcPr>
          <w:p w14:paraId="1A8A3782">
            <w:pPr>
              <w:pStyle w:val="6"/>
              <w:spacing w:before="132" w:line="209" w:lineRule="auto"/>
              <w:ind w:left="465"/>
            </w:pPr>
            <w:r>
              <w:t>/</w:t>
            </w:r>
          </w:p>
        </w:tc>
        <w:tc>
          <w:tcPr>
            <w:tcW w:w="995" w:type="dxa"/>
            <w:tcBorders>
              <w:bottom w:val="single" w:color="000000" w:sz="12" w:space="0"/>
            </w:tcBorders>
            <w:vAlign w:val="top"/>
          </w:tcPr>
          <w:p w14:paraId="2AF388B4">
            <w:pPr>
              <w:pStyle w:val="6"/>
              <w:spacing w:before="114" w:line="201" w:lineRule="auto"/>
              <w:ind w:left="65"/>
              <w:rPr>
                <w:sz w:val="14"/>
                <w:szCs w:val="14"/>
              </w:rPr>
            </w:pPr>
            <w:r>
              <w:rPr>
                <w:rFonts w:ascii="宋体" w:hAnsi="宋体" w:eastAsia="宋体" w:cs="宋体"/>
                <w:spacing w:val="9"/>
              </w:rPr>
              <w:t>&lt;</w:t>
            </w:r>
            <w:r>
              <w:rPr>
                <w:spacing w:val="9"/>
              </w:rPr>
              <w:t>2.7×10</w:t>
            </w:r>
            <w:r>
              <w:rPr>
                <w:spacing w:val="9"/>
                <w:position w:val="7"/>
                <w:sz w:val="14"/>
                <w:szCs w:val="14"/>
              </w:rPr>
              <w:t>-4</w:t>
            </w:r>
          </w:p>
        </w:tc>
        <w:tc>
          <w:tcPr>
            <w:tcW w:w="838" w:type="dxa"/>
            <w:tcBorders>
              <w:bottom w:val="single" w:color="000000" w:sz="12" w:space="0"/>
            </w:tcBorders>
            <w:vAlign w:val="top"/>
          </w:tcPr>
          <w:p w14:paraId="64403D64">
            <w:pPr>
              <w:pStyle w:val="6"/>
              <w:spacing w:before="132" w:line="209" w:lineRule="auto"/>
              <w:ind w:left="144"/>
            </w:pPr>
            <w:r>
              <w:rPr>
                <w:spacing w:val="-2"/>
              </w:rPr>
              <w:t>0.0025</w:t>
            </w:r>
          </w:p>
        </w:tc>
        <w:tc>
          <w:tcPr>
            <w:tcW w:w="646" w:type="dxa"/>
            <w:tcBorders>
              <w:bottom w:val="single" w:color="000000" w:sz="12" w:space="0"/>
              <w:right w:val="single" w:color="000000" w:sz="12" w:space="0"/>
            </w:tcBorders>
            <w:vAlign w:val="top"/>
          </w:tcPr>
          <w:p w14:paraId="50F1383C">
            <w:pPr>
              <w:pStyle w:val="6"/>
              <w:spacing w:before="132" w:line="209" w:lineRule="auto"/>
              <w:ind w:left="44"/>
            </w:pPr>
            <w:r>
              <w:rPr>
                <w:spacing w:val="-2"/>
              </w:rPr>
              <w:t>0.0025</w:t>
            </w:r>
          </w:p>
        </w:tc>
      </w:tr>
    </w:tbl>
    <w:p w14:paraId="4CE9BBFD">
      <w:pPr>
        <w:pStyle w:val="2"/>
        <w:spacing w:before="29" w:line="219" w:lineRule="auto"/>
        <w:ind w:left="40"/>
        <w:rPr>
          <w:sz w:val="21"/>
          <w:szCs w:val="21"/>
        </w:rPr>
      </w:pPr>
      <w:r>
        <w:rPr>
          <w:spacing w:val="-2"/>
          <w:sz w:val="21"/>
          <w:szCs w:val="21"/>
        </w:rPr>
        <w:t>备注：西山乡靠近西城工业园区，监测因子增加了</w:t>
      </w:r>
      <w:r>
        <w:rPr>
          <w:spacing w:val="-26"/>
          <w:sz w:val="21"/>
          <w:szCs w:val="21"/>
        </w:rPr>
        <w:t xml:space="preserve"> </w:t>
      </w:r>
      <w:r>
        <w:rPr>
          <w:rFonts w:ascii="Times New Roman" w:hAnsi="Times New Roman" w:eastAsia="Times New Roman" w:cs="Times New Roman"/>
          <w:spacing w:val="-2"/>
          <w:sz w:val="21"/>
          <w:szCs w:val="21"/>
        </w:rPr>
        <w:t xml:space="preserve">CO </w:t>
      </w:r>
      <w:r>
        <w:rPr>
          <w:spacing w:val="-2"/>
          <w:sz w:val="21"/>
          <w:szCs w:val="21"/>
        </w:rPr>
        <w:t>和苯并芘。</w:t>
      </w:r>
    </w:p>
    <w:p w14:paraId="2EDA92CA">
      <w:pPr>
        <w:spacing w:line="302" w:lineRule="auto"/>
        <w:rPr>
          <w:rFonts w:ascii="Arial"/>
          <w:sz w:val="21"/>
        </w:rPr>
      </w:pPr>
    </w:p>
    <w:p w14:paraId="377868BA">
      <w:pPr>
        <w:pStyle w:val="2"/>
        <w:spacing w:before="78" w:line="333" w:lineRule="auto"/>
        <w:ind w:left="38" w:right="39" w:firstLine="510"/>
        <w:jc w:val="both"/>
        <w:rPr>
          <w:sz w:val="24"/>
          <w:szCs w:val="24"/>
        </w:rPr>
      </w:pPr>
      <w:r>
        <w:rPr>
          <w:spacing w:val="-3"/>
          <w:sz w:val="24"/>
          <w:szCs w:val="24"/>
        </w:rPr>
        <w:t>由表</w:t>
      </w:r>
      <w:r>
        <w:rPr>
          <w:spacing w:val="-42"/>
          <w:sz w:val="24"/>
          <w:szCs w:val="24"/>
        </w:rPr>
        <w:t xml:space="preserve"> </w:t>
      </w:r>
      <w:r>
        <w:rPr>
          <w:rFonts w:ascii="Times New Roman" w:hAnsi="Times New Roman" w:eastAsia="Times New Roman" w:cs="Times New Roman"/>
          <w:spacing w:val="-3"/>
          <w:sz w:val="24"/>
          <w:szCs w:val="24"/>
        </w:rPr>
        <w:t xml:space="preserve">6.2-13 </w:t>
      </w:r>
      <w:r>
        <w:rPr>
          <w:spacing w:val="-3"/>
          <w:sz w:val="24"/>
          <w:szCs w:val="24"/>
        </w:rPr>
        <w:t>可知，</w:t>
      </w:r>
      <w:r>
        <w:rPr>
          <w:rFonts w:ascii="Times New Roman" w:hAnsi="Times New Roman" w:eastAsia="Times New Roman" w:cs="Times New Roman"/>
          <w:spacing w:val="-3"/>
          <w:sz w:val="24"/>
          <w:szCs w:val="24"/>
        </w:rPr>
        <w:t xml:space="preserve">5 </w:t>
      </w:r>
      <w:r>
        <w:rPr>
          <w:spacing w:val="-3"/>
          <w:sz w:val="24"/>
          <w:szCs w:val="24"/>
        </w:rPr>
        <w:t>个监测点位的</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15"/>
          <w:sz w:val="24"/>
          <w:szCs w:val="24"/>
        </w:rPr>
        <w:t xml:space="preserve"> </w:t>
      </w:r>
      <w:r>
        <w:rPr>
          <w:spacing w:val="-3"/>
          <w:sz w:val="24"/>
          <w:szCs w:val="24"/>
        </w:rPr>
        <w:t>天连续监测结果均满足《环境空气质量标</w:t>
      </w:r>
      <w:r>
        <w:rPr>
          <w:spacing w:val="-5"/>
          <w:sz w:val="24"/>
          <w:szCs w:val="24"/>
        </w:rPr>
        <w:t>准》（</w:t>
      </w:r>
      <w:r>
        <w:rPr>
          <w:rFonts w:ascii="Times New Roman" w:hAnsi="Times New Roman" w:eastAsia="Times New Roman" w:cs="Times New Roman"/>
          <w:spacing w:val="-5"/>
          <w:sz w:val="24"/>
          <w:szCs w:val="24"/>
        </w:rPr>
        <w:t>GB3095-2012</w:t>
      </w:r>
      <w:r>
        <w:rPr>
          <w:spacing w:val="-5"/>
          <w:sz w:val="24"/>
          <w:szCs w:val="24"/>
        </w:rPr>
        <w:t>）二级标准，除</w:t>
      </w:r>
      <w:r>
        <w:rPr>
          <w:spacing w:val="-56"/>
          <w:sz w:val="24"/>
          <w:szCs w:val="24"/>
        </w:rPr>
        <w:t xml:space="preserve"> </w:t>
      </w:r>
      <w:r>
        <w:rPr>
          <w:rFonts w:ascii="Times New Roman" w:hAnsi="Times New Roman" w:eastAsia="Times New Roman" w:cs="Times New Roman"/>
          <w:spacing w:val="-5"/>
          <w:sz w:val="24"/>
          <w:szCs w:val="24"/>
        </w:rPr>
        <w:t>PM</w:t>
      </w:r>
      <w:r>
        <w:rPr>
          <w:rFonts w:ascii="Times New Roman" w:hAnsi="Times New Roman" w:eastAsia="Times New Roman" w:cs="Times New Roman"/>
          <w:spacing w:val="-5"/>
          <w:sz w:val="15"/>
          <w:szCs w:val="15"/>
        </w:rPr>
        <w:t>10</w:t>
      </w:r>
      <w:r>
        <w:rPr>
          <w:rFonts w:ascii="Times New Roman" w:hAnsi="Times New Roman" w:eastAsia="Times New Roman" w:cs="Times New Roman"/>
          <w:spacing w:val="17"/>
          <w:w w:val="101"/>
          <w:sz w:val="15"/>
          <w:szCs w:val="15"/>
        </w:rPr>
        <w:t xml:space="preserve"> </w:t>
      </w:r>
      <w:r>
        <w:rPr>
          <w:spacing w:val="-5"/>
          <w:sz w:val="24"/>
          <w:szCs w:val="24"/>
        </w:rPr>
        <w:t>外，其它监测</w:t>
      </w:r>
      <w:r>
        <w:rPr>
          <w:spacing w:val="-6"/>
          <w:sz w:val="24"/>
          <w:szCs w:val="24"/>
        </w:rPr>
        <w:t>因子甚可达到一级标准，环</w:t>
      </w:r>
      <w:r>
        <w:rPr>
          <w:spacing w:val="-1"/>
          <w:sz w:val="24"/>
          <w:szCs w:val="24"/>
        </w:rPr>
        <w:t>评阶段工程所在区域环境空气质量良好。</w:t>
      </w:r>
    </w:p>
    <w:p w14:paraId="6C38AA70">
      <w:pPr>
        <w:pStyle w:val="2"/>
        <w:spacing w:before="142" w:line="220" w:lineRule="auto"/>
        <w:ind w:left="35"/>
        <w:rPr>
          <w:sz w:val="24"/>
          <w:szCs w:val="24"/>
        </w:rPr>
      </w:pPr>
      <w:r>
        <w:rPr>
          <w:rFonts w:ascii="Arial" w:hAnsi="Arial" w:eastAsia="Arial" w:cs="Arial"/>
          <w:spacing w:val="3"/>
          <w:position w:val="1"/>
          <w:sz w:val="18"/>
          <w:szCs w:val="18"/>
        </w:rPr>
        <w:t>6.2.3.2</w:t>
      </w:r>
      <w:r>
        <w:rPr>
          <w:rFonts w:ascii="Arial" w:hAnsi="Arial" w:eastAsia="Arial" w:cs="Arial"/>
          <w:spacing w:val="46"/>
          <w:position w:val="1"/>
          <w:sz w:val="18"/>
          <w:szCs w:val="18"/>
        </w:rPr>
        <w:t xml:space="preserve"> </w:t>
      </w:r>
      <w:r>
        <w:rPr>
          <w:b/>
          <w:bCs/>
          <w:spacing w:val="3"/>
          <w:sz w:val="24"/>
          <w:szCs w:val="24"/>
        </w:rPr>
        <w:t>工程施工期环境空气质量</w:t>
      </w:r>
    </w:p>
    <w:p w14:paraId="09DF9928">
      <w:pPr>
        <w:pStyle w:val="2"/>
        <w:spacing w:before="274" w:line="338" w:lineRule="auto"/>
        <w:ind w:left="38" w:right="30" w:firstLine="483"/>
        <w:jc w:val="both"/>
        <w:rPr>
          <w:sz w:val="24"/>
          <w:szCs w:val="24"/>
        </w:rPr>
      </w:pPr>
      <w:r>
        <w:rPr>
          <w:spacing w:val="-2"/>
          <w:sz w:val="24"/>
          <w:szCs w:val="24"/>
        </w:rPr>
        <w:t>工程施工期共设置</w:t>
      </w:r>
      <w:r>
        <w:rPr>
          <w:spacing w:val="-23"/>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35"/>
          <w:sz w:val="24"/>
          <w:szCs w:val="24"/>
        </w:rPr>
        <w:t xml:space="preserve"> </w:t>
      </w:r>
      <w:r>
        <w:rPr>
          <w:spacing w:val="-2"/>
          <w:sz w:val="24"/>
          <w:szCs w:val="24"/>
        </w:rPr>
        <w:t>个大气环境监测点位，较环评阶段增</w:t>
      </w:r>
      <w:r>
        <w:rPr>
          <w:spacing w:val="-3"/>
          <w:sz w:val="24"/>
          <w:szCs w:val="24"/>
        </w:rPr>
        <w:t xml:space="preserve">加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5"/>
          <w:w w:val="101"/>
          <w:sz w:val="24"/>
          <w:szCs w:val="24"/>
        </w:rPr>
        <w:t xml:space="preserve"> </w:t>
      </w:r>
      <w:r>
        <w:rPr>
          <w:spacing w:val="-3"/>
          <w:sz w:val="24"/>
          <w:szCs w:val="24"/>
        </w:rPr>
        <w:t>个点位，其中</w:t>
      </w:r>
      <w:r>
        <w:rPr>
          <w:spacing w:val="-4"/>
          <w:sz w:val="24"/>
          <w:szCs w:val="24"/>
        </w:rPr>
        <w:t>车马碧村（坝址）、土官寨村（库尾）和王大屯村（隧洞出口）</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59"/>
          <w:w w:val="101"/>
          <w:sz w:val="24"/>
          <w:szCs w:val="24"/>
        </w:rPr>
        <w:t xml:space="preserve"> </w:t>
      </w:r>
      <w:r>
        <w:rPr>
          <w:spacing w:val="-4"/>
          <w:sz w:val="24"/>
          <w:szCs w:val="24"/>
        </w:rPr>
        <w:t>个监测点位和环</w:t>
      </w:r>
      <w:r>
        <w:rPr>
          <w:spacing w:val="-1"/>
          <w:sz w:val="24"/>
          <w:szCs w:val="24"/>
        </w:rPr>
        <w:t>评阶段一致。环境空气质量监测点位图见图</w:t>
      </w:r>
      <w:r>
        <w:rPr>
          <w:spacing w:val="-44"/>
          <w:sz w:val="24"/>
          <w:szCs w:val="24"/>
        </w:rPr>
        <w:t xml:space="preserve"> </w:t>
      </w:r>
      <w:r>
        <w:rPr>
          <w:rFonts w:ascii="Times New Roman" w:hAnsi="Times New Roman" w:eastAsia="Times New Roman" w:cs="Times New Roman"/>
          <w:spacing w:val="-1"/>
          <w:sz w:val="24"/>
          <w:szCs w:val="24"/>
        </w:rPr>
        <w:t>6.2-3</w:t>
      </w:r>
      <w:r>
        <w:rPr>
          <w:spacing w:val="-1"/>
          <w:sz w:val="24"/>
          <w:szCs w:val="24"/>
        </w:rPr>
        <w:t>。</w:t>
      </w:r>
    </w:p>
    <w:p w14:paraId="2A348911">
      <w:pPr>
        <w:pStyle w:val="2"/>
        <w:spacing w:before="1" w:line="335" w:lineRule="auto"/>
        <w:ind w:left="40" w:right="28" w:firstLine="479"/>
        <w:rPr>
          <w:sz w:val="24"/>
          <w:szCs w:val="24"/>
        </w:rPr>
      </w:pPr>
      <w:r>
        <w:rPr>
          <w:spacing w:val="-2"/>
          <w:sz w:val="24"/>
          <w:szCs w:val="24"/>
        </w:rPr>
        <w:t>根据工程施工期污染物排放特点，施工期监测因子为</w:t>
      </w:r>
      <w:r>
        <w:rPr>
          <w:spacing w:val="-35"/>
          <w:sz w:val="24"/>
          <w:szCs w:val="24"/>
        </w:rPr>
        <w:t xml:space="preserve"> </w:t>
      </w:r>
      <w:r>
        <w:rPr>
          <w:rFonts w:ascii="Times New Roman" w:hAnsi="Times New Roman" w:eastAsia="Times New Roman" w:cs="Times New Roman"/>
          <w:spacing w:val="-2"/>
          <w:sz w:val="24"/>
          <w:szCs w:val="24"/>
        </w:rPr>
        <w:t>TSP</w:t>
      </w:r>
      <w:r>
        <w:rPr>
          <w:rFonts w:ascii="Times New Roman" w:hAnsi="Times New Roman" w:eastAsia="Times New Roman" w:cs="Times New Roman"/>
          <w:spacing w:val="-32"/>
          <w:sz w:val="24"/>
          <w:szCs w:val="24"/>
        </w:rPr>
        <w:t xml:space="preserve"> </w:t>
      </w:r>
      <w:r>
        <w:rPr>
          <w:spacing w:val="-2"/>
          <w:sz w:val="24"/>
          <w:szCs w:val="24"/>
        </w:rPr>
        <w:t>、</w:t>
      </w:r>
      <w:r>
        <w:rPr>
          <w:rFonts w:ascii="Times New Roman" w:hAnsi="Times New Roman" w:eastAsia="Times New Roman" w:cs="Times New Roman"/>
          <w:spacing w:val="-2"/>
          <w:sz w:val="24"/>
          <w:szCs w:val="24"/>
        </w:rPr>
        <w:t>PM</w:t>
      </w:r>
      <w:r>
        <w:rPr>
          <w:rFonts w:ascii="Times New Roman" w:hAnsi="Times New Roman" w:eastAsia="Times New Roman" w:cs="Times New Roman"/>
          <w:spacing w:val="-2"/>
          <w:sz w:val="15"/>
          <w:szCs w:val="15"/>
        </w:rPr>
        <w:t>10</w:t>
      </w:r>
      <w:r>
        <w:rPr>
          <w:rFonts w:ascii="Times New Roman" w:hAnsi="Times New Roman" w:eastAsia="Times New Roman" w:cs="Times New Roman"/>
          <w:spacing w:val="-11"/>
          <w:sz w:val="15"/>
          <w:szCs w:val="15"/>
        </w:rPr>
        <w:t xml:space="preserve"> </w:t>
      </w:r>
      <w:r>
        <w:rPr>
          <w:spacing w:val="-2"/>
          <w:sz w:val="24"/>
          <w:szCs w:val="24"/>
        </w:rPr>
        <w:t>、</w:t>
      </w:r>
      <w:r>
        <w:rPr>
          <w:rFonts w:ascii="Times New Roman" w:hAnsi="Times New Roman" w:eastAsia="Times New Roman" w:cs="Times New Roman"/>
          <w:spacing w:val="-2"/>
          <w:sz w:val="24"/>
          <w:szCs w:val="24"/>
        </w:rPr>
        <w:t>PM</w:t>
      </w:r>
      <w:r>
        <w:rPr>
          <w:rFonts w:ascii="Times New Roman" w:hAnsi="Times New Roman" w:eastAsia="Times New Roman" w:cs="Times New Roman"/>
          <w:spacing w:val="-2"/>
          <w:sz w:val="15"/>
          <w:szCs w:val="15"/>
        </w:rPr>
        <w:t>2.5</w:t>
      </w:r>
      <w:r>
        <w:rPr>
          <w:rFonts w:ascii="Times New Roman" w:hAnsi="Times New Roman" w:eastAsia="Times New Roman" w:cs="Times New Roman"/>
          <w:spacing w:val="-8"/>
          <w:sz w:val="15"/>
          <w:szCs w:val="15"/>
        </w:rPr>
        <w:t xml:space="preserve"> </w:t>
      </w:r>
      <w:r>
        <w:rPr>
          <w:spacing w:val="-2"/>
          <w:sz w:val="24"/>
          <w:szCs w:val="24"/>
        </w:rPr>
        <w:t>，监</w:t>
      </w:r>
      <w:r>
        <w:rPr>
          <w:spacing w:val="-1"/>
          <w:sz w:val="24"/>
          <w:szCs w:val="24"/>
        </w:rPr>
        <w:t>测频次为每半年监测一次。</w:t>
      </w:r>
    </w:p>
    <w:p w14:paraId="1466D7D9">
      <w:pPr>
        <w:pStyle w:val="2"/>
        <w:spacing w:before="8" w:line="233" w:lineRule="auto"/>
        <w:ind w:left="515"/>
        <w:rPr>
          <w:sz w:val="24"/>
          <w:szCs w:val="24"/>
        </w:rPr>
      </w:pPr>
      <w:r>
        <w:rPr>
          <w:rFonts w:ascii="Times New Roman" w:hAnsi="Times New Roman" w:eastAsia="Times New Roman" w:cs="Times New Roman"/>
          <w:sz w:val="24"/>
          <w:szCs w:val="24"/>
        </w:rPr>
        <w:t xml:space="preserve">2019 </w:t>
      </w:r>
      <w:r>
        <w:rPr>
          <w:sz w:val="24"/>
          <w:szCs w:val="24"/>
        </w:rPr>
        <w:t>年</w:t>
      </w:r>
      <w:r>
        <w:rPr>
          <w:rFonts w:ascii="Times New Roman" w:hAnsi="Times New Roman" w:eastAsia="Times New Roman" w:cs="Times New Roman"/>
          <w:sz w:val="24"/>
          <w:szCs w:val="24"/>
        </w:rPr>
        <w:t xml:space="preserve">~2021 </w:t>
      </w:r>
      <w:r>
        <w:rPr>
          <w:sz w:val="24"/>
          <w:szCs w:val="24"/>
        </w:rPr>
        <w:t>年施工期环境空</w:t>
      </w:r>
      <w:r>
        <w:rPr>
          <w:spacing w:val="-1"/>
          <w:sz w:val="24"/>
          <w:szCs w:val="24"/>
        </w:rPr>
        <w:t>气质量监测结果见表</w:t>
      </w:r>
      <w:r>
        <w:rPr>
          <w:spacing w:val="-50"/>
          <w:sz w:val="24"/>
          <w:szCs w:val="24"/>
        </w:rPr>
        <w:t xml:space="preserve"> </w:t>
      </w:r>
      <w:r>
        <w:rPr>
          <w:rFonts w:ascii="Times New Roman" w:hAnsi="Times New Roman" w:eastAsia="Times New Roman" w:cs="Times New Roman"/>
          <w:spacing w:val="-1"/>
          <w:sz w:val="24"/>
          <w:szCs w:val="24"/>
        </w:rPr>
        <w:t>6.2-14</w:t>
      </w:r>
      <w:r>
        <w:rPr>
          <w:spacing w:val="-1"/>
          <w:sz w:val="24"/>
          <w:szCs w:val="24"/>
        </w:rPr>
        <w:t>。</w:t>
      </w:r>
    </w:p>
    <w:p w14:paraId="0E500151">
      <w:pPr>
        <w:spacing w:line="233" w:lineRule="auto"/>
        <w:rPr>
          <w:sz w:val="24"/>
          <w:szCs w:val="24"/>
        </w:rPr>
        <w:sectPr>
          <w:headerReference r:id="rId263" w:type="default"/>
          <w:footerReference r:id="rId264" w:type="default"/>
          <w:pgSz w:w="11907" w:h="16839"/>
          <w:pgMar w:top="1376" w:right="1669" w:bottom="1061" w:left="1671" w:header="999" w:footer="861" w:gutter="0"/>
          <w:cols w:space="720" w:num="1"/>
        </w:sectPr>
      </w:pPr>
    </w:p>
    <w:p w14:paraId="60E74D7D">
      <w:pPr>
        <w:spacing w:line="454" w:lineRule="auto"/>
        <w:rPr>
          <w:rFonts w:ascii="Arial"/>
          <w:sz w:val="21"/>
        </w:rPr>
      </w:pPr>
    </w:p>
    <w:p w14:paraId="4C7B6CF2">
      <w:pPr>
        <w:pStyle w:val="2"/>
        <w:spacing w:before="78" w:line="226" w:lineRule="auto"/>
        <w:ind w:left="279"/>
        <w:rPr>
          <w:sz w:val="24"/>
          <w:szCs w:val="24"/>
        </w:rPr>
      </w:pPr>
      <w:r>
        <w:rPr>
          <w:b/>
          <w:bCs/>
          <w:sz w:val="24"/>
          <w:szCs w:val="24"/>
        </w:rPr>
        <w:t>表</w:t>
      </w:r>
      <w:r>
        <w:rPr>
          <w:spacing w:val="-33"/>
          <w:sz w:val="24"/>
          <w:szCs w:val="24"/>
        </w:rPr>
        <w:t xml:space="preserve"> </w:t>
      </w:r>
      <w:r>
        <w:rPr>
          <w:rFonts w:ascii="Times New Roman" w:hAnsi="Times New Roman" w:eastAsia="Times New Roman" w:cs="Times New Roman"/>
          <w:b/>
          <w:bCs/>
          <w:sz w:val="24"/>
          <w:szCs w:val="24"/>
        </w:rPr>
        <w:t xml:space="preserve">6.2-14                  2019 </w:t>
      </w:r>
      <w:r>
        <w:rPr>
          <w:b/>
          <w:bCs/>
          <w:sz w:val="24"/>
          <w:szCs w:val="24"/>
        </w:rPr>
        <w:t>年</w:t>
      </w:r>
      <w:r>
        <w:rPr>
          <w:rFonts w:ascii="Times New Roman" w:hAnsi="Times New Roman" w:eastAsia="Times New Roman" w:cs="Times New Roman"/>
          <w:b/>
          <w:bCs/>
          <w:sz w:val="24"/>
          <w:szCs w:val="24"/>
        </w:rPr>
        <w:t>-2021</w:t>
      </w:r>
      <w:r>
        <w:rPr>
          <w:b/>
          <w:bCs/>
          <w:sz w:val="24"/>
          <w:szCs w:val="24"/>
        </w:rPr>
        <w:t>年施工期环境空气质量监测结果统计</w:t>
      </w:r>
    </w:p>
    <w:tbl>
      <w:tblPr>
        <w:tblStyle w:val="5"/>
        <w:tblW w:w="8474"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988"/>
        <w:gridCol w:w="988"/>
        <w:gridCol w:w="1689"/>
        <w:gridCol w:w="1690"/>
        <w:gridCol w:w="1704"/>
      </w:tblGrid>
      <w:tr w14:paraId="64A30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415" w:type="dxa"/>
            <w:vMerge w:val="restart"/>
            <w:tcBorders>
              <w:top w:val="single" w:color="000000" w:sz="12" w:space="0"/>
              <w:left w:val="single" w:color="000000" w:sz="12" w:space="0"/>
              <w:bottom w:val="nil"/>
            </w:tcBorders>
            <w:vAlign w:val="top"/>
          </w:tcPr>
          <w:p w14:paraId="531DD7FF">
            <w:pPr>
              <w:spacing w:before="159" w:line="221" w:lineRule="auto"/>
              <w:ind w:left="274"/>
              <w:rPr>
                <w:rFonts w:ascii="宋体" w:hAnsi="宋体" w:eastAsia="宋体" w:cs="宋体"/>
                <w:sz w:val="21"/>
                <w:szCs w:val="21"/>
              </w:rPr>
            </w:pPr>
            <w:r>
              <w:rPr>
                <w:rFonts w:ascii="宋体" w:hAnsi="宋体" w:eastAsia="宋体" w:cs="宋体"/>
                <w:spacing w:val="-2"/>
                <w:sz w:val="21"/>
                <w:szCs w:val="21"/>
              </w:rPr>
              <w:t>监测点位</w:t>
            </w:r>
          </w:p>
        </w:tc>
        <w:tc>
          <w:tcPr>
            <w:tcW w:w="1976" w:type="dxa"/>
            <w:gridSpan w:val="2"/>
            <w:vMerge w:val="restart"/>
            <w:tcBorders>
              <w:top w:val="single" w:color="000000" w:sz="12" w:space="0"/>
              <w:bottom w:val="nil"/>
            </w:tcBorders>
            <w:vAlign w:val="top"/>
          </w:tcPr>
          <w:p w14:paraId="36F36531">
            <w:pPr>
              <w:spacing w:before="159" w:line="221" w:lineRule="auto"/>
              <w:ind w:left="563"/>
              <w:rPr>
                <w:rFonts w:ascii="宋体" w:hAnsi="宋体" w:eastAsia="宋体" w:cs="宋体"/>
                <w:sz w:val="21"/>
                <w:szCs w:val="21"/>
              </w:rPr>
            </w:pPr>
            <w:r>
              <w:rPr>
                <w:rFonts w:ascii="宋体" w:hAnsi="宋体" w:eastAsia="宋体" w:cs="宋体"/>
                <w:spacing w:val="-2"/>
                <w:sz w:val="21"/>
                <w:szCs w:val="21"/>
              </w:rPr>
              <w:t>监测时间</w:t>
            </w:r>
          </w:p>
        </w:tc>
        <w:tc>
          <w:tcPr>
            <w:tcW w:w="5083" w:type="dxa"/>
            <w:gridSpan w:val="3"/>
            <w:tcBorders>
              <w:top w:val="single" w:color="000000" w:sz="12" w:space="0"/>
              <w:right w:val="single" w:color="000000" w:sz="12" w:space="0"/>
            </w:tcBorders>
            <w:vAlign w:val="top"/>
          </w:tcPr>
          <w:p w14:paraId="418A1EAB">
            <w:pPr>
              <w:pStyle w:val="6"/>
              <w:spacing w:before="30" w:line="201" w:lineRule="auto"/>
              <w:ind w:left="1527"/>
              <w:rPr>
                <w:rFonts w:ascii="宋体" w:hAnsi="宋体" w:eastAsia="宋体" w:cs="宋体"/>
              </w:rPr>
            </w:pPr>
            <w:r>
              <w:rPr>
                <w:spacing w:val="-1"/>
              </w:rPr>
              <w:t xml:space="preserve">24h </w:t>
            </w:r>
            <w:r>
              <w:rPr>
                <w:rFonts w:ascii="宋体" w:hAnsi="宋体" w:eastAsia="宋体" w:cs="宋体"/>
                <w:spacing w:val="-1"/>
              </w:rPr>
              <w:t>平均值( μ</w:t>
            </w:r>
            <w:r>
              <w:rPr>
                <w:spacing w:val="-1"/>
              </w:rPr>
              <w:t>g/m</w:t>
            </w:r>
            <w:r>
              <w:rPr>
                <w:spacing w:val="-1"/>
                <w:position w:val="1"/>
                <w:sz w:val="14"/>
                <w:szCs w:val="14"/>
              </w:rPr>
              <w:t>3</w:t>
            </w:r>
            <w:r>
              <w:rPr>
                <w:rFonts w:ascii="宋体" w:hAnsi="宋体" w:eastAsia="宋体" w:cs="宋体"/>
                <w:spacing w:val="-1"/>
                <w:position w:val="1"/>
              </w:rPr>
              <w:t>）</w:t>
            </w:r>
          </w:p>
        </w:tc>
      </w:tr>
      <w:tr w14:paraId="3A933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415" w:type="dxa"/>
            <w:vMerge w:val="continue"/>
            <w:tcBorders>
              <w:top w:val="nil"/>
              <w:left w:val="single" w:color="000000" w:sz="12" w:space="0"/>
            </w:tcBorders>
            <w:vAlign w:val="top"/>
          </w:tcPr>
          <w:p w14:paraId="67D0FAAC">
            <w:pPr>
              <w:rPr>
                <w:rFonts w:ascii="Arial"/>
                <w:sz w:val="21"/>
              </w:rPr>
            </w:pPr>
          </w:p>
        </w:tc>
        <w:tc>
          <w:tcPr>
            <w:tcW w:w="1976" w:type="dxa"/>
            <w:gridSpan w:val="2"/>
            <w:vMerge w:val="continue"/>
            <w:tcBorders>
              <w:top w:val="nil"/>
            </w:tcBorders>
            <w:vAlign w:val="top"/>
          </w:tcPr>
          <w:p w14:paraId="1387B161">
            <w:pPr>
              <w:rPr>
                <w:rFonts w:ascii="Arial"/>
                <w:sz w:val="21"/>
              </w:rPr>
            </w:pPr>
          </w:p>
        </w:tc>
        <w:tc>
          <w:tcPr>
            <w:tcW w:w="1689" w:type="dxa"/>
            <w:vAlign w:val="top"/>
          </w:tcPr>
          <w:p w14:paraId="2D9B041E">
            <w:pPr>
              <w:pStyle w:val="6"/>
              <w:spacing w:before="54" w:line="181" w:lineRule="auto"/>
              <w:ind w:left="620"/>
              <w:rPr>
                <w:sz w:val="14"/>
                <w:szCs w:val="14"/>
              </w:rPr>
            </w:pPr>
            <w:r>
              <w:rPr>
                <w:spacing w:val="-1"/>
              </w:rPr>
              <w:t>PM</w:t>
            </w:r>
            <w:r>
              <w:rPr>
                <w:spacing w:val="-1"/>
                <w:position w:val="-1"/>
                <w:sz w:val="14"/>
                <w:szCs w:val="14"/>
              </w:rPr>
              <w:t>10</w:t>
            </w:r>
          </w:p>
        </w:tc>
        <w:tc>
          <w:tcPr>
            <w:tcW w:w="1690" w:type="dxa"/>
            <w:vAlign w:val="top"/>
          </w:tcPr>
          <w:p w14:paraId="7BCC4F2C">
            <w:pPr>
              <w:pStyle w:val="6"/>
              <w:spacing w:before="51" w:line="184" w:lineRule="auto"/>
              <w:ind w:left="669"/>
            </w:pPr>
            <w:r>
              <w:rPr>
                <w:spacing w:val="-3"/>
              </w:rPr>
              <w:t>TSP</w:t>
            </w:r>
          </w:p>
        </w:tc>
        <w:tc>
          <w:tcPr>
            <w:tcW w:w="1704" w:type="dxa"/>
            <w:tcBorders>
              <w:right w:val="single" w:color="000000" w:sz="12" w:space="0"/>
            </w:tcBorders>
            <w:vAlign w:val="top"/>
          </w:tcPr>
          <w:p w14:paraId="24F9EBDF">
            <w:pPr>
              <w:pStyle w:val="6"/>
              <w:spacing w:before="54" w:line="181" w:lineRule="auto"/>
              <w:ind w:left="615"/>
              <w:rPr>
                <w:sz w:val="14"/>
                <w:szCs w:val="14"/>
              </w:rPr>
            </w:pPr>
            <w:r>
              <w:rPr>
                <w:spacing w:val="-1"/>
                <w:position w:val="1"/>
              </w:rPr>
              <w:t>PM</w:t>
            </w:r>
            <w:r>
              <w:rPr>
                <w:spacing w:val="-1"/>
                <w:sz w:val="14"/>
                <w:szCs w:val="14"/>
              </w:rPr>
              <w:t>2.5</w:t>
            </w:r>
          </w:p>
        </w:tc>
      </w:tr>
      <w:tr w14:paraId="2158E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restart"/>
            <w:tcBorders>
              <w:left w:val="single" w:color="000000" w:sz="12" w:space="0"/>
              <w:bottom w:val="nil"/>
            </w:tcBorders>
            <w:vAlign w:val="top"/>
          </w:tcPr>
          <w:p w14:paraId="4AF08049">
            <w:pPr>
              <w:spacing w:line="341" w:lineRule="auto"/>
              <w:rPr>
                <w:rFonts w:ascii="Arial"/>
                <w:sz w:val="21"/>
              </w:rPr>
            </w:pPr>
          </w:p>
          <w:p w14:paraId="25A30BCE">
            <w:pPr>
              <w:spacing w:line="341" w:lineRule="auto"/>
              <w:rPr>
                <w:rFonts w:ascii="Arial"/>
                <w:sz w:val="21"/>
              </w:rPr>
            </w:pPr>
          </w:p>
          <w:p w14:paraId="0AD83908">
            <w:pPr>
              <w:spacing w:before="68" w:line="242" w:lineRule="auto"/>
              <w:ind w:left="69" w:right="93" w:firstLine="206"/>
              <w:rPr>
                <w:rFonts w:ascii="宋体" w:hAnsi="宋体" w:eastAsia="宋体" w:cs="宋体"/>
                <w:sz w:val="21"/>
                <w:szCs w:val="21"/>
              </w:rPr>
            </w:pPr>
            <w:r>
              <w:rPr>
                <w:rFonts w:ascii="宋体" w:hAnsi="宋体" w:eastAsia="宋体" w:cs="宋体"/>
                <w:spacing w:val="-3"/>
                <w:sz w:val="21"/>
                <w:szCs w:val="21"/>
              </w:rPr>
              <w:t>车马碧村</w:t>
            </w:r>
            <w:r>
              <w:rPr>
                <w:rFonts w:ascii="宋体" w:hAnsi="宋体" w:eastAsia="宋体" w:cs="宋体"/>
                <w:spacing w:val="-5"/>
                <w:sz w:val="21"/>
                <w:szCs w:val="21"/>
              </w:rPr>
              <w:t>（同环评期）</w:t>
            </w:r>
          </w:p>
        </w:tc>
        <w:tc>
          <w:tcPr>
            <w:tcW w:w="988" w:type="dxa"/>
            <w:vMerge w:val="restart"/>
            <w:tcBorders>
              <w:bottom w:val="nil"/>
            </w:tcBorders>
            <w:vAlign w:val="top"/>
          </w:tcPr>
          <w:p w14:paraId="0C8A592E">
            <w:pPr>
              <w:spacing w:line="247" w:lineRule="auto"/>
              <w:rPr>
                <w:rFonts w:ascii="Arial"/>
                <w:sz w:val="21"/>
              </w:rPr>
            </w:pPr>
          </w:p>
          <w:p w14:paraId="12B37B75">
            <w:pPr>
              <w:pStyle w:val="6"/>
              <w:spacing w:before="68"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7353A342">
            <w:pPr>
              <w:pStyle w:val="6"/>
              <w:spacing w:before="28" w:line="209"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6F4CC068">
            <w:pPr>
              <w:pStyle w:val="6"/>
              <w:spacing w:before="62" w:line="202" w:lineRule="auto"/>
              <w:ind w:left="579"/>
            </w:pPr>
            <w:r>
              <w:rPr>
                <w:spacing w:val="-2"/>
              </w:rPr>
              <w:t>38~62</w:t>
            </w:r>
          </w:p>
        </w:tc>
        <w:tc>
          <w:tcPr>
            <w:tcW w:w="1690" w:type="dxa"/>
            <w:vAlign w:val="top"/>
          </w:tcPr>
          <w:p w14:paraId="77D9D64B">
            <w:pPr>
              <w:pStyle w:val="6"/>
              <w:spacing w:before="62" w:line="202" w:lineRule="auto"/>
              <w:ind w:left="533"/>
            </w:pPr>
            <w:r>
              <w:rPr>
                <w:spacing w:val="-5"/>
              </w:rPr>
              <w:t>69~</w:t>
            </w:r>
            <w:r>
              <w:rPr>
                <w:spacing w:val="-24"/>
              </w:rPr>
              <w:t xml:space="preserve"> </w:t>
            </w:r>
            <w:r>
              <w:rPr>
                <w:spacing w:val="-5"/>
              </w:rPr>
              <w:t>116</w:t>
            </w:r>
          </w:p>
        </w:tc>
        <w:tc>
          <w:tcPr>
            <w:tcW w:w="1704" w:type="dxa"/>
            <w:tcBorders>
              <w:right w:val="single" w:color="000000" w:sz="12" w:space="0"/>
            </w:tcBorders>
            <w:vAlign w:val="top"/>
          </w:tcPr>
          <w:p w14:paraId="4FEC17EF">
            <w:pPr>
              <w:pStyle w:val="6"/>
              <w:spacing w:before="62" w:line="202" w:lineRule="auto"/>
              <w:ind w:left="589"/>
            </w:pPr>
            <w:r>
              <w:rPr>
                <w:spacing w:val="-1"/>
              </w:rPr>
              <w:t>26~36</w:t>
            </w:r>
          </w:p>
        </w:tc>
      </w:tr>
      <w:tr w14:paraId="04A62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0597FF3D">
            <w:pPr>
              <w:rPr>
                <w:rFonts w:ascii="Arial"/>
                <w:sz w:val="21"/>
              </w:rPr>
            </w:pPr>
          </w:p>
        </w:tc>
        <w:tc>
          <w:tcPr>
            <w:tcW w:w="988" w:type="dxa"/>
            <w:vMerge w:val="continue"/>
            <w:tcBorders>
              <w:top w:val="nil"/>
              <w:bottom w:val="nil"/>
            </w:tcBorders>
            <w:vAlign w:val="top"/>
          </w:tcPr>
          <w:p w14:paraId="25C7DE98">
            <w:pPr>
              <w:rPr>
                <w:rFonts w:ascii="Arial"/>
                <w:sz w:val="21"/>
              </w:rPr>
            </w:pPr>
          </w:p>
        </w:tc>
        <w:tc>
          <w:tcPr>
            <w:tcW w:w="988" w:type="dxa"/>
            <w:vAlign w:val="top"/>
          </w:tcPr>
          <w:p w14:paraId="019746A7">
            <w:pPr>
              <w:pStyle w:val="6"/>
              <w:spacing w:before="30" w:line="208"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41AD3979">
            <w:pPr>
              <w:pStyle w:val="6"/>
              <w:spacing w:before="64" w:line="201" w:lineRule="auto"/>
              <w:ind w:left="580"/>
            </w:pPr>
            <w:r>
              <w:rPr>
                <w:spacing w:val="-2"/>
              </w:rPr>
              <w:t>66~80</w:t>
            </w:r>
          </w:p>
        </w:tc>
        <w:tc>
          <w:tcPr>
            <w:tcW w:w="1690" w:type="dxa"/>
            <w:vAlign w:val="top"/>
          </w:tcPr>
          <w:p w14:paraId="3F2254C6">
            <w:pPr>
              <w:pStyle w:val="6"/>
              <w:spacing w:before="64" w:line="201" w:lineRule="auto"/>
              <w:ind w:left="496"/>
            </w:pPr>
            <w:r>
              <w:rPr>
                <w:spacing w:val="-4"/>
              </w:rPr>
              <w:t>108~118</w:t>
            </w:r>
          </w:p>
        </w:tc>
        <w:tc>
          <w:tcPr>
            <w:tcW w:w="1704" w:type="dxa"/>
            <w:tcBorders>
              <w:right w:val="single" w:color="000000" w:sz="12" w:space="0"/>
            </w:tcBorders>
            <w:vAlign w:val="top"/>
          </w:tcPr>
          <w:p w14:paraId="4D092A0A">
            <w:pPr>
              <w:pStyle w:val="6"/>
              <w:spacing w:before="64" w:line="201" w:lineRule="auto"/>
              <w:ind w:left="593"/>
            </w:pPr>
            <w:r>
              <w:rPr>
                <w:spacing w:val="-2"/>
              </w:rPr>
              <w:t>31~40</w:t>
            </w:r>
          </w:p>
        </w:tc>
      </w:tr>
      <w:tr w14:paraId="7A451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76F713AE">
            <w:pPr>
              <w:rPr>
                <w:rFonts w:ascii="Arial"/>
                <w:sz w:val="21"/>
              </w:rPr>
            </w:pPr>
          </w:p>
        </w:tc>
        <w:tc>
          <w:tcPr>
            <w:tcW w:w="988" w:type="dxa"/>
            <w:vMerge w:val="continue"/>
            <w:tcBorders>
              <w:top w:val="nil"/>
            </w:tcBorders>
            <w:vAlign w:val="top"/>
          </w:tcPr>
          <w:p w14:paraId="438444A8">
            <w:pPr>
              <w:rPr>
                <w:rFonts w:ascii="Arial"/>
                <w:sz w:val="21"/>
              </w:rPr>
            </w:pPr>
          </w:p>
        </w:tc>
        <w:tc>
          <w:tcPr>
            <w:tcW w:w="988" w:type="dxa"/>
            <w:vAlign w:val="top"/>
          </w:tcPr>
          <w:p w14:paraId="5BD0D4A9">
            <w:pPr>
              <w:pStyle w:val="6"/>
              <w:spacing w:before="30" w:line="207"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3323853E">
            <w:pPr>
              <w:pStyle w:val="6"/>
              <w:spacing w:before="64" w:line="200" w:lineRule="auto"/>
              <w:ind w:left="574"/>
            </w:pPr>
            <w:r>
              <w:rPr>
                <w:spacing w:val="-1"/>
              </w:rPr>
              <w:t>48~63</w:t>
            </w:r>
          </w:p>
        </w:tc>
        <w:tc>
          <w:tcPr>
            <w:tcW w:w="1690" w:type="dxa"/>
            <w:vAlign w:val="top"/>
          </w:tcPr>
          <w:p w14:paraId="13344953">
            <w:pPr>
              <w:pStyle w:val="6"/>
              <w:spacing w:before="64" w:line="200" w:lineRule="auto"/>
              <w:ind w:left="537"/>
            </w:pPr>
            <w:r>
              <w:rPr>
                <w:spacing w:val="-3"/>
              </w:rPr>
              <w:t>87~118</w:t>
            </w:r>
          </w:p>
        </w:tc>
        <w:tc>
          <w:tcPr>
            <w:tcW w:w="1704" w:type="dxa"/>
            <w:tcBorders>
              <w:right w:val="single" w:color="000000" w:sz="12" w:space="0"/>
            </w:tcBorders>
            <w:vAlign w:val="top"/>
          </w:tcPr>
          <w:p w14:paraId="1D3A7B22">
            <w:pPr>
              <w:pStyle w:val="6"/>
              <w:spacing w:before="64" w:line="200" w:lineRule="auto"/>
              <w:ind w:left="589"/>
            </w:pPr>
            <w:r>
              <w:rPr>
                <w:spacing w:val="-1"/>
              </w:rPr>
              <w:t>25~34</w:t>
            </w:r>
          </w:p>
        </w:tc>
      </w:tr>
      <w:tr w14:paraId="78E24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27970750">
            <w:pPr>
              <w:rPr>
                <w:rFonts w:ascii="Arial"/>
                <w:sz w:val="21"/>
              </w:rPr>
            </w:pPr>
          </w:p>
        </w:tc>
        <w:tc>
          <w:tcPr>
            <w:tcW w:w="988" w:type="dxa"/>
            <w:vMerge w:val="restart"/>
            <w:tcBorders>
              <w:bottom w:val="nil"/>
            </w:tcBorders>
            <w:vAlign w:val="top"/>
          </w:tcPr>
          <w:p w14:paraId="53B2016F">
            <w:pPr>
              <w:pStyle w:val="6"/>
              <w:spacing w:before="177" w:line="233" w:lineRule="auto"/>
              <w:ind w:left="141"/>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988" w:type="dxa"/>
            <w:vAlign w:val="top"/>
          </w:tcPr>
          <w:p w14:paraId="75F04BE7">
            <w:pPr>
              <w:pStyle w:val="6"/>
              <w:spacing w:before="32" w:line="206"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7018115B">
            <w:pPr>
              <w:pStyle w:val="6"/>
              <w:spacing w:before="66" w:line="199" w:lineRule="auto"/>
              <w:ind w:left="581"/>
            </w:pPr>
            <w:r>
              <w:rPr>
                <w:spacing w:val="-2"/>
              </w:rPr>
              <w:t>54~63</w:t>
            </w:r>
          </w:p>
        </w:tc>
        <w:tc>
          <w:tcPr>
            <w:tcW w:w="1690" w:type="dxa"/>
            <w:vAlign w:val="top"/>
          </w:tcPr>
          <w:p w14:paraId="0174B27B">
            <w:pPr>
              <w:pStyle w:val="6"/>
              <w:spacing w:before="66" w:line="199" w:lineRule="auto"/>
              <w:ind w:left="533"/>
            </w:pPr>
            <w:r>
              <w:rPr>
                <w:spacing w:val="-2"/>
              </w:rPr>
              <w:t>98~113</w:t>
            </w:r>
          </w:p>
        </w:tc>
        <w:tc>
          <w:tcPr>
            <w:tcW w:w="1704" w:type="dxa"/>
            <w:tcBorders>
              <w:right w:val="single" w:color="000000" w:sz="12" w:space="0"/>
            </w:tcBorders>
            <w:vAlign w:val="top"/>
          </w:tcPr>
          <w:p w14:paraId="42E5364E">
            <w:pPr>
              <w:pStyle w:val="6"/>
              <w:spacing w:before="66" w:line="199" w:lineRule="auto"/>
              <w:ind w:left="589"/>
            </w:pPr>
            <w:r>
              <w:rPr>
                <w:spacing w:val="-1"/>
              </w:rPr>
              <w:t>29~35</w:t>
            </w:r>
          </w:p>
        </w:tc>
      </w:tr>
      <w:tr w14:paraId="25990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1DB444D4">
            <w:pPr>
              <w:rPr>
                <w:rFonts w:ascii="Arial"/>
                <w:sz w:val="21"/>
              </w:rPr>
            </w:pPr>
          </w:p>
        </w:tc>
        <w:tc>
          <w:tcPr>
            <w:tcW w:w="988" w:type="dxa"/>
            <w:vMerge w:val="continue"/>
            <w:tcBorders>
              <w:top w:val="nil"/>
            </w:tcBorders>
            <w:vAlign w:val="top"/>
          </w:tcPr>
          <w:p w14:paraId="6D1FD2D3">
            <w:pPr>
              <w:rPr>
                <w:rFonts w:ascii="Arial"/>
                <w:sz w:val="21"/>
              </w:rPr>
            </w:pPr>
          </w:p>
        </w:tc>
        <w:tc>
          <w:tcPr>
            <w:tcW w:w="988" w:type="dxa"/>
            <w:vAlign w:val="top"/>
          </w:tcPr>
          <w:p w14:paraId="436F315E">
            <w:pPr>
              <w:pStyle w:val="6"/>
              <w:spacing w:before="32" w:line="205"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75DCA2D4">
            <w:pPr>
              <w:pStyle w:val="6"/>
              <w:spacing w:before="65" w:line="199" w:lineRule="auto"/>
              <w:ind w:left="579"/>
            </w:pPr>
            <w:r>
              <w:rPr>
                <w:spacing w:val="-2"/>
              </w:rPr>
              <w:t>36~49</w:t>
            </w:r>
          </w:p>
        </w:tc>
        <w:tc>
          <w:tcPr>
            <w:tcW w:w="1690" w:type="dxa"/>
            <w:vAlign w:val="top"/>
          </w:tcPr>
          <w:p w14:paraId="6A397389">
            <w:pPr>
              <w:pStyle w:val="6"/>
              <w:spacing w:before="65" w:line="199" w:lineRule="auto"/>
              <w:ind w:left="585"/>
            </w:pPr>
            <w:r>
              <w:rPr>
                <w:spacing w:val="-2"/>
              </w:rPr>
              <w:t>71~84</w:t>
            </w:r>
          </w:p>
        </w:tc>
        <w:tc>
          <w:tcPr>
            <w:tcW w:w="1704" w:type="dxa"/>
            <w:tcBorders>
              <w:right w:val="single" w:color="000000" w:sz="12" w:space="0"/>
            </w:tcBorders>
            <w:vAlign w:val="top"/>
          </w:tcPr>
          <w:p w14:paraId="2A12A9EE">
            <w:pPr>
              <w:pStyle w:val="6"/>
              <w:spacing w:before="65" w:line="199" w:lineRule="auto"/>
              <w:ind w:left="589"/>
            </w:pPr>
            <w:r>
              <w:rPr>
                <w:spacing w:val="-1"/>
              </w:rPr>
              <w:t>22~30</w:t>
            </w:r>
          </w:p>
        </w:tc>
      </w:tr>
      <w:tr w14:paraId="1363A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7FBF70F3">
            <w:pPr>
              <w:rPr>
                <w:rFonts w:ascii="Arial"/>
                <w:sz w:val="21"/>
              </w:rPr>
            </w:pPr>
          </w:p>
        </w:tc>
        <w:tc>
          <w:tcPr>
            <w:tcW w:w="988" w:type="dxa"/>
            <w:vMerge w:val="restart"/>
            <w:tcBorders>
              <w:bottom w:val="nil"/>
            </w:tcBorders>
            <w:vAlign w:val="top"/>
          </w:tcPr>
          <w:p w14:paraId="5A8884A4">
            <w:pPr>
              <w:pStyle w:val="6"/>
              <w:spacing w:before="177" w:line="233" w:lineRule="auto"/>
              <w:ind w:left="141"/>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988" w:type="dxa"/>
            <w:vAlign w:val="top"/>
          </w:tcPr>
          <w:p w14:paraId="05231B71">
            <w:pPr>
              <w:pStyle w:val="6"/>
              <w:spacing w:before="34" w:line="204"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5C5AE6C1">
            <w:pPr>
              <w:pStyle w:val="6"/>
              <w:spacing w:before="67" w:line="198" w:lineRule="auto"/>
              <w:ind w:left="491"/>
            </w:pPr>
            <w:r>
              <w:rPr>
                <w:spacing w:val="-4"/>
              </w:rPr>
              <w:t>115~127</w:t>
            </w:r>
          </w:p>
        </w:tc>
        <w:tc>
          <w:tcPr>
            <w:tcW w:w="1690" w:type="dxa"/>
            <w:vAlign w:val="top"/>
          </w:tcPr>
          <w:p w14:paraId="464F8643">
            <w:pPr>
              <w:pStyle w:val="6"/>
              <w:spacing w:before="67" w:line="198" w:lineRule="auto"/>
              <w:ind w:left="496"/>
            </w:pPr>
            <w:r>
              <w:rPr>
                <w:spacing w:val="-4"/>
              </w:rPr>
              <w:t>155~165</w:t>
            </w:r>
          </w:p>
        </w:tc>
        <w:tc>
          <w:tcPr>
            <w:tcW w:w="1704" w:type="dxa"/>
            <w:tcBorders>
              <w:right w:val="single" w:color="000000" w:sz="12" w:space="0"/>
            </w:tcBorders>
            <w:vAlign w:val="top"/>
          </w:tcPr>
          <w:p w14:paraId="145AB842">
            <w:pPr>
              <w:pStyle w:val="6"/>
              <w:spacing w:before="67" w:line="198" w:lineRule="auto"/>
              <w:ind w:left="594"/>
            </w:pPr>
            <w:r>
              <w:rPr>
                <w:spacing w:val="-2"/>
              </w:rPr>
              <w:t>55~69</w:t>
            </w:r>
          </w:p>
        </w:tc>
      </w:tr>
      <w:tr w14:paraId="73D24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tcBorders>
            <w:vAlign w:val="top"/>
          </w:tcPr>
          <w:p w14:paraId="6852638C">
            <w:pPr>
              <w:rPr>
                <w:rFonts w:ascii="Arial"/>
                <w:sz w:val="21"/>
              </w:rPr>
            </w:pPr>
          </w:p>
        </w:tc>
        <w:tc>
          <w:tcPr>
            <w:tcW w:w="988" w:type="dxa"/>
            <w:vMerge w:val="continue"/>
            <w:tcBorders>
              <w:top w:val="nil"/>
            </w:tcBorders>
            <w:vAlign w:val="top"/>
          </w:tcPr>
          <w:p w14:paraId="2DDE510C">
            <w:pPr>
              <w:rPr>
                <w:rFonts w:ascii="Arial"/>
                <w:sz w:val="21"/>
              </w:rPr>
            </w:pPr>
          </w:p>
        </w:tc>
        <w:tc>
          <w:tcPr>
            <w:tcW w:w="988" w:type="dxa"/>
            <w:vAlign w:val="top"/>
          </w:tcPr>
          <w:p w14:paraId="40E6A4D3">
            <w:pPr>
              <w:pStyle w:val="6"/>
              <w:spacing w:before="33" w:line="204" w:lineRule="auto"/>
              <w:ind w:left="306"/>
              <w:rPr>
                <w:rFonts w:ascii="宋体" w:hAnsi="宋体" w:eastAsia="宋体" w:cs="宋体"/>
              </w:rPr>
            </w:pPr>
            <w:r>
              <w:rPr>
                <w:spacing w:val="-4"/>
              </w:rPr>
              <w:t>7</w:t>
            </w:r>
            <w:r>
              <w:rPr>
                <w:spacing w:val="14"/>
              </w:rPr>
              <w:t xml:space="preserve"> </w:t>
            </w:r>
            <w:r>
              <w:rPr>
                <w:rFonts w:ascii="宋体" w:hAnsi="宋体" w:eastAsia="宋体" w:cs="宋体"/>
                <w:spacing w:val="-4"/>
              </w:rPr>
              <w:t>月</w:t>
            </w:r>
          </w:p>
        </w:tc>
        <w:tc>
          <w:tcPr>
            <w:tcW w:w="1689" w:type="dxa"/>
            <w:vAlign w:val="top"/>
          </w:tcPr>
          <w:p w14:paraId="59103B6C">
            <w:pPr>
              <w:pStyle w:val="6"/>
              <w:spacing w:before="67" w:line="197" w:lineRule="auto"/>
              <w:ind w:left="581"/>
            </w:pPr>
            <w:r>
              <w:rPr>
                <w:spacing w:val="-2"/>
              </w:rPr>
              <w:t>56~62</w:t>
            </w:r>
          </w:p>
        </w:tc>
        <w:tc>
          <w:tcPr>
            <w:tcW w:w="1690" w:type="dxa"/>
            <w:vAlign w:val="top"/>
          </w:tcPr>
          <w:p w14:paraId="27A7E3E9">
            <w:pPr>
              <w:pStyle w:val="6"/>
              <w:spacing w:before="67" w:line="197" w:lineRule="auto"/>
              <w:ind w:left="590"/>
            </w:pPr>
            <w:r>
              <w:rPr>
                <w:spacing w:val="-3"/>
              </w:rPr>
              <w:t>85~97</w:t>
            </w:r>
          </w:p>
        </w:tc>
        <w:tc>
          <w:tcPr>
            <w:tcW w:w="1704" w:type="dxa"/>
            <w:tcBorders>
              <w:right w:val="single" w:color="000000" w:sz="12" w:space="0"/>
            </w:tcBorders>
            <w:vAlign w:val="top"/>
          </w:tcPr>
          <w:p w14:paraId="02011688">
            <w:pPr>
              <w:pStyle w:val="6"/>
              <w:spacing w:before="67" w:line="197" w:lineRule="auto"/>
              <w:ind w:left="593"/>
            </w:pPr>
            <w:r>
              <w:rPr>
                <w:spacing w:val="-2"/>
              </w:rPr>
              <w:t>31~35</w:t>
            </w:r>
          </w:p>
        </w:tc>
      </w:tr>
      <w:tr w14:paraId="3EB34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restart"/>
            <w:tcBorders>
              <w:left w:val="single" w:color="000000" w:sz="12" w:space="0"/>
              <w:bottom w:val="nil"/>
            </w:tcBorders>
            <w:vAlign w:val="top"/>
          </w:tcPr>
          <w:p w14:paraId="291638B5">
            <w:pPr>
              <w:spacing w:line="344" w:lineRule="auto"/>
              <w:rPr>
                <w:rFonts w:ascii="Arial"/>
                <w:sz w:val="21"/>
              </w:rPr>
            </w:pPr>
          </w:p>
          <w:p w14:paraId="77B0CDB8">
            <w:pPr>
              <w:spacing w:line="345" w:lineRule="auto"/>
              <w:rPr>
                <w:rFonts w:ascii="Arial"/>
                <w:sz w:val="21"/>
              </w:rPr>
            </w:pPr>
          </w:p>
          <w:p w14:paraId="689475B1">
            <w:pPr>
              <w:spacing w:before="68" w:line="241" w:lineRule="auto"/>
              <w:ind w:left="69" w:right="93" w:firstLine="205"/>
              <w:rPr>
                <w:rFonts w:ascii="宋体" w:hAnsi="宋体" w:eastAsia="宋体" w:cs="宋体"/>
                <w:sz w:val="21"/>
                <w:szCs w:val="21"/>
              </w:rPr>
            </w:pPr>
            <w:r>
              <w:rPr>
                <w:rFonts w:ascii="宋体" w:hAnsi="宋体" w:eastAsia="宋体" w:cs="宋体"/>
                <w:spacing w:val="-3"/>
                <w:sz w:val="21"/>
                <w:szCs w:val="21"/>
              </w:rPr>
              <w:t>土官寨村</w:t>
            </w:r>
            <w:r>
              <w:rPr>
                <w:rFonts w:ascii="宋体" w:hAnsi="宋体" w:eastAsia="宋体" w:cs="宋体"/>
                <w:spacing w:val="-5"/>
                <w:sz w:val="21"/>
                <w:szCs w:val="21"/>
              </w:rPr>
              <w:t>（同环评期）</w:t>
            </w:r>
          </w:p>
        </w:tc>
        <w:tc>
          <w:tcPr>
            <w:tcW w:w="988" w:type="dxa"/>
            <w:vMerge w:val="restart"/>
            <w:tcBorders>
              <w:bottom w:val="nil"/>
            </w:tcBorders>
            <w:vAlign w:val="top"/>
          </w:tcPr>
          <w:p w14:paraId="7CD01DD8">
            <w:pPr>
              <w:spacing w:line="253" w:lineRule="auto"/>
              <w:rPr>
                <w:rFonts w:ascii="Arial"/>
                <w:sz w:val="21"/>
              </w:rPr>
            </w:pPr>
          </w:p>
          <w:p w14:paraId="11EA97A2">
            <w:pPr>
              <w:pStyle w:val="6"/>
              <w:spacing w:before="68"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701954D1">
            <w:pPr>
              <w:pStyle w:val="6"/>
              <w:spacing w:before="36" w:line="203"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7858D5EF">
            <w:pPr>
              <w:pStyle w:val="6"/>
              <w:spacing w:before="69" w:line="196" w:lineRule="auto"/>
              <w:ind w:left="574"/>
            </w:pPr>
            <w:r>
              <w:rPr>
                <w:spacing w:val="-1"/>
              </w:rPr>
              <w:t>48~66</w:t>
            </w:r>
          </w:p>
        </w:tc>
        <w:tc>
          <w:tcPr>
            <w:tcW w:w="1690" w:type="dxa"/>
            <w:vAlign w:val="top"/>
          </w:tcPr>
          <w:p w14:paraId="7805C7AF">
            <w:pPr>
              <w:pStyle w:val="6"/>
              <w:spacing w:before="69" w:line="196" w:lineRule="auto"/>
              <w:ind w:left="537"/>
            </w:pPr>
            <w:r>
              <w:rPr>
                <w:spacing w:val="-5"/>
              </w:rPr>
              <w:t>89~</w:t>
            </w:r>
            <w:r>
              <w:rPr>
                <w:spacing w:val="-28"/>
              </w:rPr>
              <w:t xml:space="preserve"> </w:t>
            </w:r>
            <w:r>
              <w:rPr>
                <w:spacing w:val="-5"/>
              </w:rPr>
              <w:t>122</w:t>
            </w:r>
          </w:p>
        </w:tc>
        <w:tc>
          <w:tcPr>
            <w:tcW w:w="1704" w:type="dxa"/>
            <w:tcBorders>
              <w:right w:val="single" w:color="000000" w:sz="12" w:space="0"/>
            </w:tcBorders>
            <w:vAlign w:val="top"/>
          </w:tcPr>
          <w:p w14:paraId="7CCE4591">
            <w:pPr>
              <w:pStyle w:val="6"/>
              <w:spacing w:before="69" w:line="196" w:lineRule="auto"/>
              <w:ind w:left="589"/>
            </w:pPr>
            <w:r>
              <w:rPr>
                <w:spacing w:val="-1"/>
              </w:rPr>
              <w:t>26~40</w:t>
            </w:r>
          </w:p>
        </w:tc>
      </w:tr>
      <w:tr w14:paraId="331AD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08E6D19B">
            <w:pPr>
              <w:rPr>
                <w:rFonts w:ascii="Arial"/>
                <w:sz w:val="21"/>
              </w:rPr>
            </w:pPr>
          </w:p>
        </w:tc>
        <w:tc>
          <w:tcPr>
            <w:tcW w:w="988" w:type="dxa"/>
            <w:vMerge w:val="continue"/>
            <w:tcBorders>
              <w:top w:val="nil"/>
              <w:bottom w:val="nil"/>
            </w:tcBorders>
            <w:vAlign w:val="top"/>
          </w:tcPr>
          <w:p w14:paraId="7BF855DF">
            <w:pPr>
              <w:rPr>
                <w:rFonts w:ascii="Arial"/>
                <w:sz w:val="21"/>
              </w:rPr>
            </w:pPr>
          </w:p>
        </w:tc>
        <w:tc>
          <w:tcPr>
            <w:tcW w:w="988" w:type="dxa"/>
            <w:vAlign w:val="top"/>
          </w:tcPr>
          <w:p w14:paraId="23AF4673">
            <w:pPr>
              <w:pStyle w:val="6"/>
              <w:spacing w:before="36" w:line="202"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0C389036">
            <w:pPr>
              <w:pStyle w:val="6"/>
              <w:spacing w:before="69" w:line="195" w:lineRule="auto"/>
              <w:ind w:left="580"/>
            </w:pPr>
            <w:r>
              <w:rPr>
                <w:spacing w:val="-2"/>
              </w:rPr>
              <w:t>60~67</w:t>
            </w:r>
          </w:p>
        </w:tc>
        <w:tc>
          <w:tcPr>
            <w:tcW w:w="1690" w:type="dxa"/>
            <w:vAlign w:val="top"/>
          </w:tcPr>
          <w:p w14:paraId="0E014DE4">
            <w:pPr>
              <w:pStyle w:val="6"/>
              <w:spacing w:before="69" w:line="195" w:lineRule="auto"/>
              <w:ind w:left="533"/>
            </w:pPr>
            <w:r>
              <w:rPr>
                <w:spacing w:val="-2"/>
              </w:rPr>
              <w:t>95~113</w:t>
            </w:r>
          </w:p>
        </w:tc>
        <w:tc>
          <w:tcPr>
            <w:tcW w:w="1704" w:type="dxa"/>
            <w:tcBorders>
              <w:right w:val="single" w:color="000000" w:sz="12" w:space="0"/>
            </w:tcBorders>
            <w:vAlign w:val="top"/>
          </w:tcPr>
          <w:p w14:paraId="42F44882">
            <w:pPr>
              <w:pStyle w:val="6"/>
              <w:spacing w:before="69" w:line="195" w:lineRule="auto"/>
              <w:ind w:left="589"/>
            </w:pPr>
            <w:r>
              <w:rPr>
                <w:spacing w:val="-1"/>
              </w:rPr>
              <w:t>24~29</w:t>
            </w:r>
          </w:p>
        </w:tc>
      </w:tr>
      <w:tr w14:paraId="2832F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bottom w:val="nil"/>
            </w:tcBorders>
            <w:vAlign w:val="top"/>
          </w:tcPr>
          <w:p w14:paraId="400E76A1">
            <w:pPr>
              <w:rPr>
                <w:rFonts w:ascii="Arial"/>
                <w:sz w:val="21"/>
              </w:rPr>
            </w:pPr>
          </w:p>
        </w:tc>
        <w:tc>
          <w:tcPr>
            <w:tcW w:w="988" w:type="dxa"/>
            <w:vMerge w:val="continue"/>
            <w:tcBorders>
              <w:top w:val="nil"/>
            </w:tcBorders>
            <w:vAlign w:val="top"/>
          </w:tcPr>
          <w:p w14:paraId="0DB6AC9A">
            <w:pPr>
              <w:rPr>
                <w:rFonts w:ascii="Arial"/>
                <w:sz w:val="21"/>
              </w:rPr>
            </w:pPr>
          </w:p>
        </w:tc>
        <w:tc>
          <w:tcPr>
            <w:tcW w:w="988" w:type="dxa"/>
            <w:vAlign w:val="top"/>
          </w:tcPr>
          <w:p w14:paraId="1CC1A8A7">
            <w:pPr>
              <w:pStyle w:val="6"/>
              <w:spacing w:before="38" w:line="202"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0DB263AC">
            <w:pPr>
              <w:pStyle w:val="6"/>
              <w:spacing w:before="70" w:line="196" w:lineRule="auto"/>
              <w:ind w:left="574"/>
            </w:pPr>
            <w:r>
              <w:rPr>
                <w:spacing w:val="-1"/>
              </w:rPr>
              <w:t>46~58</w:t>
            </w:r>
          </w:p>
        </w:tc>
        <w:tc>
          <w:tcPr>
            <w:tcW w:w="1690" w:type="dxa"/>
            <w:vAlign w:val="top"/>
          </w:tcPr>
          <w:p w14:paraId="0B8DABB0">
            <w:pPr>
              <w:pStyle w:val="6"/>
              <w:spacing w:before="70" w:line="196" w:lineRule="auto"/>
              <w:ind w:left="537"/>
            </w:pPr>
            <w:r>
              <w:rPr>
                <w:spacing w:val="-3"/>
              </w:rPr>
              <w:t>84~105</w:t>
            </w:r>
          </w:p>
        </w:tc>
        <w:tc>
          <w:tcPr>
            <w:tcW w:w="1704" w:type="dxa"/>
            <w:tcBorders>
              <w:right w:val="single" w:color="000000" w:sz="12" w:space="0"/>
            </w:tcBorders>
            <w:vAlign w:val="top"/>
          </w:tcPr>
          <w:p w14:paraId="345AB271">
            <w:pPr>
              <w:pStyle w:val="6"/>
              <w:spacing w:before="70" w:line="196" w:lineRule="auto"/>
              <w:ind w:left="589"/>
            </w:pPr>
            <w:r>
              <w:rPr>
                <w:spacing w:val="-1"/>
              </w:rPr>
              <w:t>23~30</w:t>
            </w:r>
          </w:p>
        </w:tc>
      </w:tr>
      <w:tr w14:paraId="4AC2F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72FC397D">
            <w:pPr>
              <w:rPr>
                <w:rFonts w:ascii="Arial"/>
                <w:sz w:val="21"/>
              </w:rPr>
            </w:pPr>
          </w:p>
        </w:tc>
        <w:tc>
          <w:tcPr>
            <w:tcW w:w="988" w:type="dxa"/>
            <w:vMerge w:val="restart"/>
            <w:tcBorders>
              <w:bottom w:val="nil"/>
            </w:tcBorders>
            <w:vAlign w:val="top"/>
          </w:tcPr>
          <w:p w14:paraId="052BDCBD">
            <w:pPr>
              <w:pStyle w:val="6"/>
              <w:spacing w:before="181" w:line="233" w:lineRule="auto"/>
              <w:ind w:left="141"/>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988" w:type="dxa"/>
            <w:vAlign w:val="top"/>
          </w:tcPr>
          <w:p w14:paraId="2D7EF423">
            <w:pPr>
              <w:pStyle w:val="6"/>
              <w:spacing w:before="37" w:line="201"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715E7929">
            <w:pPr>
              <w:pStyle w:val="6"/>
              <w:spacing w:before="70" w:line="194" w:lineRule="auto"/>
              <w:ind w:left="574"/>
            </w:pPr>
            <w:r>
              <w:rPr>
                <w:spacing w:val="-1"/>
              </w:rPr>
              <w:t>46~55</w:t>
            </w:r>
          </w:p>
        </w:tc>
        <w:tc>
          <w:tcPr>
            <w:tcW w:w="1690" w:type="dxa"/>
            <w:vAlign w:val="top"/>
          </w:tcPr>
          <w:p w14:paraId="5F542DC3">
            <w:pPr>
              <w:pStyle w:val="6"/>
              <w:spacing w:before="70" w:line="194" w:lineRule="auto"/>
              <w:ind w:left="537"/>
            </w:pPr>
            <w:r>
              <w:rPr>
                <w:spacing w:val="-3"/>
              </w:rPr>
              <w:t>84~100</w:t>
            </w:r>
          </w:p>
        </w:tc>
        <w:tc>
          <w:tcPr>
            <w:tcW w:w="1704" w:type="dxa"/>
            <w:tcBorders>
              <w:right w:val="single" w:color="000000" w:sz="12" w:space="0"/>
            </w:tcBorders>
            <w:vAlign w:val="top"/>
          </w:tcPr>
          <w:p w14:paraId="4635D1FE">
            <w:pPr>
              <w:pStyle w:val="6"/>
              <w:spacing w:before="70" w:line="194" w:lineRule="auto"/>
              <w:ind w:left="589"/>
            </w:pPr>
            <w:r>
              <w:rPr>
                <w:spacing w:val="-1"/>
              </w:rPr>
              <w:t>25~31</w:t>
            </w:r>
          </w:p>
        </w:tc>
      </w:tr>
      <w:tr w14:paraId="70075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70A3B440">
            <w:pPr>
              <w:rPr>
                <w:rFonts w:ascii="Arial"/>
                <w:sz w:val="21"/>
              </w:rPr>
            </w:pPr>
          </w:p>
        </w:tc>
        <w:tc>
          <w:tcPr>
            <w:tcW w:w="988" w:type="dxa"/>
            <w:vMerge w:val="continue"/>
            <w:tcBorders>
              <w:top w:val="nil"/>
            </w:tcBorders>
            <w:vAlign w:val="top"/>
          </w:tcPr>
          <w:p w14:paraId="3597807E">
            <w:pPr>
              <w:rPr>
                <w:rFonts w:ascii="Arial"/>
                <w:sz w:val="21"/>
              </w:rPr>
            </w:pPr>
          </w:p>
        </w:tc>
        <w:tc>
          <w:tcPr>
            <w:tcW w:w="988" w:type="dxa"/>
            <w:vAlign w:val="top"/>
          </w:tcPr>
          <w:p w14:paraId="08B20239">
            <w:pPr>
              <w:pStyle w:val="6"/>
              <w:spacing w:before="37" w:line="201"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1C33ABE6">
            <w:pPr>
              <w:pStyle w:val="6"/>
              <w:spacing w:before="70" w:line="194" w:lineRule="auto"/>
              <w:ind w:left="575"/>
            </w:pPr>
            <w:r>
              <w:rPr>
                <w:spacing w:val="-1"/>
              </w:rPr>
              <w:t>23~35</w:t>
            </w:r>
          </w:p>
        </w:tc>
        <w:tc>
          <w:tcPr>
            <w:tcW w:w="1690" w:type="dxa"/>
            <w:vAlign w:val="top"/>
          </w:tcPr>
          <w:p w14:paraId="6E6387C8">
            <w:pPr>
              <w:pStyle w:val="6"/>
              <w:spacing w:before="70" w:line="194" w:lineRule="auto"/>
              <w:ind w:left="587"/>
            </w:pPr>
            <w:r>
              <w:rPr>
                <w:spacing w:val="-2"/>
              </w:rPr>
              <w:t>51~63</w:t>
            </w:r>
          </w:p>
        </w:tc>
        <w:tc>
          <w:tcPr>
            <w:tcW w:w="1704" w:type="dxa"/>
            <w:tcBorders>
              <w:right w:val="single" w:color="000000" w:sz="12" w:space="0"/>
            </w:tcBorders>
            <w:vAlign w:val="top"/>
          </w:tcPr>
          <w:p w14:paraId="1752D2FD">
            <w:pPr>
              <w:pStyle w:val="6"/>
              <w:spacing w:before="70" w:line="194" w:lineRule="auto"/>
              <w:ind w:left="609"/>
            </w:pPr>
            <w:r>
              <w:rPr>
                <w:spacing w:val="-5"/>
              </w:rPr>
              <w:t>13~25</w:t>
            </w:r>
          </w:p>
        </w:tc>
      </w:tr>
      <w:tr w14:paraId="7B66C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464D6530">
            <w:pPr>
              <w:rPr>
                <w:rFonts w:ascii="Arial"/>
                <w:sz w:val="21"/>
              </w:rPr>
            </w:pPr>
          </w:p>
        </w:tc>
        <w:tc>
          <w:tcPr>
            <w:tcW w:w="988" w:type="dxa"/>
            <w:vMerge w:val="restart"/>
            <w:tcBorders>
              <w:bottom w:val="nil"/>
            </w:tcBorders>
            <w:vAlign w:val="top"/>
          </w:tcPr>
          <w:p w14:paraId="2F184FD7">
            <w:pPr>
              <w:pStyle w:val="6"/>
              <w:spacing w:before="184" w:line="233" w:lineRule="auto"/>
              <w:ind w:left="141"/>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988" w:type="dxa"/>
            <w:vAlign w:val="top"/>
          </w:tcPr>
          <w:p w14:paraId="60DF3CA9">
            <w:pPr>
              <w:pStyle w:val="6"/>
              <w:spacing w:before="39" w:line="200"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30FADDF0">
            <w:pPr>
              <w:pStyle w:val="6"/>
              <w:spacing w:before="72" w:line="193" w:lineRule="auto"/>
              <w:ind w:left="491"/>
            </w:pPr>
            <w:r>
              <w:rPr>
                <w:spacing w:val="-4"/>
              </w:rPr>
              <w:t>132~148</w:t>
            </w:r>
          </w:p>
        </w:tc>
        <w:tc>
          <w:tcPr>
            <w:tcW w:w="1690" w:type="dxa"/>
            <w:vAlign w:val="top"/>
          </w:tcPr>
          <w:p w14:paraId="6E5E8756">
            <w:pPr>
              <w:pStyle w:val="6"/>
              <w:spacing w:before="72" w:line="193" w:lineRule="auto"/>
              <w:ind w:left="496"/>
            </w:pPr>
            <w:r>
              <w:rPr>
                <w:spacing w:val="-4"/>
              </w:rPr>
              <w:t>183~198</w:t>
            </w:r>
          </w:p>
        </w:tc>
        <w:tc>
          <w:tcPr>
            <w:tcW w:w="1704" w:type="dxa"/>
            <w:tcBorders>
              <w:right w:val="single" w:color="000000" w:sz="12" w:space="0"/>
            </w:tcBorders>
            <w:vAlign w:val="top"/>
          </w:tcPr>
          <w:p w14:paraId="6F8C2462">
            <w:pPr>
              <w:pStyle w:val="6"/>
              <w:spacing w:before="72" w:line="193" w:lineRule="auto"/>
              <w:ind w:left="593"/>
            </w:pPr>
            <w:r>
              <w:rPr>
                <w:spacing w:val="-2"/>
              </w:rPr>
              <w:t>62~</w:t>
            </w:r>
            <w:r>
              <w:rPr>
                <w:b/>
                <w:bCs/>
                <w:spacing w:val="-2"/>
              </w:rPr>
              <w:t>78</w:t>
            </w:r>
          </w:p>
        </w:tc>
      </w:tr>
      <w:tr w14:paraId="5C12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tcBorders>
            <w:vAlign w:val="top"/>
          </w:tcPr>
          <w:p w14:paraId="3B072AE2">
            <w:pPr>
              <w:rPr>
                <w:rFonts w:ascii="Arial"/>
                <w:sz w:val="21"/>
              </w:rPr>
            </w:pPr>
          </w:p>
        </w:tc>
        <w:tc>
          <w:tcPr>
            <w:tcW w:w="988" w:type="dxa"/>
            <w:vMerge w:val="continue"/>
            <w:tcBorders>
              <w:top w:val="nil"/>
            </w:tcBorders>
            <w:vAlign w:val="top"/>
          </w:tcPr>
          <w:p w14:paraId="32B146A5">
            <w:pPr>
              <w:rPr>
                <w:rFonts w:ascii="Arial"/>
                <w:sz w:val="21"/>
              </w:rPr>
            </w:pPr>
          </w:p>
        </w:tc>
        <w:tc>
          <w:tcPr>
            <w:tcW w:w="988" w:type="dxa"/>
            <w:vAlign w:val="top"/>
          </w:tcPr>
          <w:p w14:paraId="2DDFB5A1">
            <w:pPr>
              <w:pStyle w:val="6"/>
              <w:spacing w:before="39" w:line="199" w:lineRule="auto"/>
              <w:ind w:left="306"/>
              <w:rPr>
                <w:rFonts w:ascii="宋体" w:hAnsi="宋体" w:eastAsia="宋体" w:cs="宋体"/>
              </w:rPr>
            </w:pPr>
            <w:r>
              <w:rPr>
                <w:spacing w:val="-4"/>
              </w:rPr>
              <w:t>7</w:t>
            </w:r>
            <w:r>
              <w:rPr>
                <w:spacing w:val="14"/>
              </w:rPr>
              <w:t xml:space="preserve"> </w:t>
            </w:r>
            <w:r>
              <w:rPr>
                <w:rFonts w:ascii="宋体" w:hAnsi="宋体" w:eastAsia="宋体" w:cs="宋体"/>
                <w:spacing w:val="-4"/>
              </w:rPr>
              <w:t>月</w:t>
            </w:r>
          </w:p>
        </w:tc>
        <w:tc>
          <w:tcPr>
            <w:tcW w:w="1689" w:type="dxa"/>
            <w:vAlign w:val="top"/>
          </w:tcPr>
          <w:p w14:paraId="7454AED8">
            <w:pPr>
              <w:pStyle w:val="6"/>
              <w:spacing w:before="72" w:line="192" w:lineRule="auto"/>
              <w:ind w:left="574"/>
            </w:pPr>
            <w:r>
              <w:rPr>
                <w:spacing w:val="-1"/>
              </w:rPr>
              <w:t>42~48</w:t>
            </w:r>
          </w:p>
        </w:tc>
        <w:tc>
          <w:tcPr>
            <w:tcW w:w="1690" w:type="dxa"/>
            <w:vAlign w:val="top"/>
          </w:tcPr>
          <w:p w14:paraId="331345B2">
            <w:pPr>
              <w:pStyle w:val="6"/>
              <w:spacing w:before="72" w:line="192" w:lineRule="auto"/>
              <w:ind w:left="585"/>
            </w:pPr>
            <w:r>
              <w:rPr>
                <w:spacing w:val="-2"/>
              </w:rPr>
              <w:t>75~85</w:t>
            </w:r>
          </w:p>
        </w:tc>
        <w:tc>
          <w:tcPr>
            <w:tcW w:w="1704" w:type="dxa"/>
            <w:tcBorders>
              <w:right w:val="single" w:color="000000" w:sz="12" w:space="0"/>
            </w:tcBorders>
            <w:vAlign w:val="top"/>
          </w:tcPr>
          <w:p w14:paraId="54FE3BF4">
            <w:pPr>
              <w:pStyle w:val="6"/>
              <w:spacing w:before="72" w:line="192" w:lineRule="auto"/>
              <w:ind w:left="589"/>
            </w:pPr>
            <w:r>
              <w:rPr>
                <w:spacing w:val="-1"/>
              </w:rPr>
              <w:t>24~27</w:t>
            </w:r>
          </w:p>
        </w:tc>
      </w:tr>
      <w:tr w14:paraId="3D098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restart"/>
            <w:tcBorders>
              <w:left w:val="single" w:color="000000" w:sz="12" w:space="0"/>
              <w:bottom w:val="nil"/>
            </w:tcBorders>
            <w:vAlign w:val="top"/>
          </w:tcPr>
          <w:p w14:paraId="1A8170B6">
            <w:pPr>
              <w:spacing w:line="408" w:lineRule="auto"/>
              <w:rPr>
                <w:rFonts w:ascii="Arial"/>
                <w:sz w:val="21"/>
              </w:rPr>
            </w:pPr>
          </w:p>
          <w:p w14:paraId="77816CC6">
            <w:pPr>
              <w:spacing w:before="68" w:line="242" w:lineRule="auto"/>
              <w:ind w:left="69" w:right="93" w:firstLine="206"/>
              <w:rPr>
                <w:rFonts w:ascii="宋体" w:hAnsi="宋体" w:eastAsia="宋体" w:cs="宋体"/>
                <w:sz w:val="21"/>
                <w:szCs w:val="21"/>
              </w:rPr>
            </w:pPr>
            <w:r>
              <w:rPr>
                <w:rFonts w:ascii="宋体" w:hAnsi="宋体" w:eastAsia="宋体" w:cs="宋体"/>
                <w:spacing w:val="-3"/>
                <w:sz w:val="21"/>
                <w:szCs w:val="21"/>
              </w:rPr>
              <w:t>王大屯村</w:t>
            </w:r>
            <w:r>
              <w:rPr>
                <w:rFonts w:ascii="宋体" w:hAnsi="宋体" w:eastAsia="宋体" w:cs="宋体"/>
                <w:spacing w:val="-5"/>
                <w:sz w:val="21"/>
                <w:szCs w:val="21"/>
              </w:rPr>
              <w:t>（同环评期）</w:t>
            </w:r>
          </w:p>
        </w:tc>
        <w:tc>
          <w:tcPr>
            <w:tcW w:w="988" w:type="dxa"/>
            <w:vMerge w:val="restart"/>
            <w:tcBorders>
              <w:bottom w:val="nil"/>
            </w:tcBorders>
            <w:vAlign w:val="top"/>
          </w:tcPr>
          <w:p w14:paraId="66A20EF7">
            <w:pPr>
              <w:spacing w:line="258" w:lineRule="auto"/>
              <w:rPr>
                <w:rFonts w:ascii="Arial"/>
                <w:sz w:val="21"/>
              </w:rPr>
            </w:pPr>
          </w:p>
          <w:p w14:paraId="632F8C0B">
            <w:pPr>
              <w:pStyle w:val="6"/>
              <w:spacing w:before="69"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6783C822">
            <w:pPr>
              <w:pStyle w:val="6"/>
              <w:spacing w:before="41" w:line="198"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1788D97F">
            <w:pPr>
              <w:pStyle w:val="6"/>
              <w:spacing w:before="74" w:line="191" w:lineRule="auto"/>
              <w:ind w:left="581"/>
            </w:pPr>
            <w:r>
              <w:rPr>
                <w:spacing w:val="-2"/>
              </w:rPr>
              <w:t>51~78</w:t>
            </w:r>
          </w:p>
        </w:tc>
        <w:tc>
          <w:tcPr>
            <w:tcW w:w="1690" w:type="dxa"/>
            <w:vAlign w:val="top"/>
          </w:tcPr>
          <w:p w14:paraId="6B5EE36C">
            <w:pPr>
              <w:pStyle w:val="6"/>
              <w:spacing w:before="74" w:line="191" w:lineRule="auto"/>
              <w:ind w:left="533"/>
            </w:pPr>
            <w:r>
              <w:rPr>
                <w:spacing w:val="-4"/>
              </w:rPr>
              <w:t>96~</w:t>
            </w:r>
            <w:r>
              <w:rPr>
                <w:spacing w:val="-29"/>
              </w:rPr>
              <w:t xml:space="preserve"> </w:t>
            </w:r>
            <w:r>
              <w:rPr>
                <w:spacing w:val="-4"/>
              </w:rPr>
              <w:t>146</w:t>
            </w:r>
          </w:p>
        </w:tc>
        <w:tc>
          <w:tcPr>
            <w:tcW w:w="1704" w:type="dxa"/>
            <w:tcBorders>
              <w:right w:val="single" w:color="000000" w:sz="12" w:space="0"/>
            </w:tcBorders>
            <w:vAlign w:val="top"/>
          </w:tcPr>
          <w:p w14:paraId="729B9E7B">
            <w:pPr>
              <w:pStyle w:val="6"/>
              <w:spacing w:before="74" w:line="191" w:lineRule="auto"/>
              <w:ind w:left="593"/>
            </w:pPr>
            <w:r>
              <w:rPr>
                <w:spacing w:val="-2"/>
              </w:rPr>
              <w:t>30~44</w:t>
            </w:r>
          </w:p>
        </w:tc>
      </w:tr>
      <w:tr w14:paraId="71236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55C6077E">
            <w:pPr>
              <w:rPr>
                <w:rFonts w:ascii="Arial"/>
                <w:sz w:val="21"/>
              </w:rPr>
            </w:pPr>
          </w:p>
        </w:tc>
        <w:tc>
          <w:tcPr>
            <w:tcW w:w="988" w:type="dxa"/>
            <w:vMerge w:val="continue"/>
            <w:tcBorders>
              <w:top w:val="nil"/>
              <w:bottom w:val="nil"/>
            </w:tcBorders>
            <w:vAlign w:val="top"/>
          </w:tcPr>
          <w:p w14:paraId="15849931">
            <w:pPr>
              <w:rPr>
                <w:rFonts w:ascii="Arial"/>
                <w:sz w:val="21"/>
              </w:rPr>
            </w:pPr>
          </w:p>
        </w:tc>
        <w:tc>
          <w:tcPr>
            <w:tcW w:w="988" w:type="dxa"/>
            <w:vAlign w:val="top"/>
          </w:tcPr>
          <w:p w14:paraId="414ACF71">
            <w:pPr>
              <w:pStyle w:val="6"/>
              <w:spacing w:before="40" w:line="198"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0E70FF74">
            <w:pPr>
              <w:pStyle w:val="6"/>
              <w:spacing w:before="74" w:line="190" w:lineRule="auto"/>
              <w:ind w:left="574"/>
            </w:pPr>
            <w:r>
              <w:rPr>
                <w:spacing w:val="-1"/>
              </w:rPr>
              <w:t>40~62</w:t>
            </w:r>
          </w:p>
        </w:tc>
        <w:tc>
          <w:tcPr>
            <w:tcW w:w="1690" w:type="dxa"/>
            <w:vAlign w:val="top"/>
          </w:tcPr>
          <w:p w14:paraId="26D2F905">
            <w:pPr>
              <w:pStyle w:val="6"/>
              <w:spacing w:before="74" w:line="190" w:lineRule="auto"/>
              <w:ind w:left="537"/>
            </w:pPr>
            <w:r>
              <w:rPr>
                <w:spacing w:val="-3"/>
              </w:rPr>
              <w:t>81~111</w:t>
            </w:r>
          </w:p>
        </w:tc>
        <w:tc>
          <w:tcPr>
            <w:tcW w:w="1704" w:type="dxa"/>
            <w:tcBorders>
              <w:right w:val="single" w:color="000000" w:sz="12" w:space="0"/>
            </w:tcBorders>
            <w:vAlign w:val="top"/>
          </w:tcPr>
          <w:p w14:paraId="3BE6C1F4">
            <w:pPr>
              <w:pStyle w:val="6"/>
              <w:spacing w:before="74" w:line="190" w:lineRule="auto"/>
              <w:ind w:left="589"/>
            </w:pPr>
            <w:r>
              <w:rPr>
                <w:spacing w:val="-1"/>
              </w:rPr>
              <w:t>24~28</w:t>
            </w:r>
          </w:p>
        </w:tc>
      </w:tr>
      <w:tr w14:paraId="3F747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bottom w:val="nil"/>
            </w:tcBorders>
            <w:vAlign w:val="top"/>
          </w:tcPr>
          <w:p w14:paraId="7B372CD5">
            <w:pPr>
              <w:rPr>
                <w:rFonts w:ascii="Arial"/>
                <w:sz w:val="21"/>
              </w:rPr>
            </w:pPr>
          </w:p>
        </w:tc>
        <w:tc>
          <w:tcPr>
            <w:tcW w:w="988" w:type="dxa"/>
            <w:vMerge w:val="continue"/>
            <w:tcBorders>
              <w:top w:val="nil"/>
            </w:tcBorders>
            <w:vAlign w:val="top"/>
          </w:tcPr>
          <w:p w14:paraId="0B5E7F59">
            <w:pPr>
              <w:rPr>
                <w:rFonts w:ascii="Arial"/>
                <w:sz w:val="21"/>
              </w:rPr>
            </w:pPr>
          </w:p>
        </w:tc>
        <w:tc>
          <w:tcPr>
            <w:tcW w:w="988" w:type="dxa"/>
            <w:vAlign w:val="top"/>
          </w:tcPr>
          <w:p w14:paraId="18920E40">
            <w:pPr>
              <w:pStyle w:val="6"/>
              <w:spacing w:before="42" w:line="198"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79388299">
            <w:pPr>
              <w:pStyle w:val="6"/>
              <w:spacing w:before="76" w:line="190" w:lineRule="auto"/>
              <w:ind w:left="574"/>
            </w:pPr>
            <w:r>
              <w:rPr>
                <w:spacing w:val="-1"/>
              </w:rPr>
              <w:t>42~60</w:t>
            </w:r>
          </w:p>
        </w:tc>
        <w:tc>
          <w:tcPr>
            <w:tcW w:w="1690" w:type="dxa"/>
            <w:vAlign w:val="top"/>
          </w:tcPr>
          <w:p w14:paraId="0878E018">
            <w:pPr>
              <w:pStyle w:val="6"/>
              <w:spacing w:before="76" w:line="190" w:lineRule="auto"/>
              <w:ind w:left="537"/>
            </w:pPr>
            <w:r>
              <w:rPr>
                <w:spacing w:val="-3"/>
              </w:rPr>
              <w:t>80~109</w:t>
            </w:r>
          </w:p>
        </w:tc>
        <w:tc>
          <w:tcPr>
            <w:tcW w:w="1704" w:type="dxa"/>
            <w:tcBorders>
              <w:right w:val="single" w:color="000000" w:sz="12" w:space="0"/>
            </w:tcBorders>
            <w:vAlign w:val="top"/>
          </w:tcPr>
          <w:p w14:paraId="597463FF">
            <w:pPr>
              <w:pStyle w:val="6"/>
              <w:spacing w:before="76" w:line="190" w:lineRule="auto"/>
              <w:ind w:left="589"/>
            </w:pPr>
            <w:r>
              <w:rPr>
                <w:spacing w:val="-1"/>
              </w:rPr>
              <w:t>22~31</w:t>
            </w:r>
          </w:p>
        </w:tc>
      </w:tr>
      <w:tr w14:paraId="391EC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7B716CD7">
            <w:pPr>
              <w:rPr>
                <w:rFonts w:ascii="Arial"/>
                <w:sz w:val="21"/>
              </w:rPr>
            </w:pPr>
          </w:p>
        </w:tc>
        <w:tc>
          <w:tcPr>
            <w:tcW w:w="988" w:type="dxa"/>
            <w:vMerge w:val="restart"/>
            <w:tcBorders>
              <w:bottom w:val="nil"/>
            </w:tcBorders>
            <w:vAlign w:val="top"/>
          </w:tcPr>
          <w:p w14:paraId="46778F69">
            <w:pPr>
              <w:pStyle w:val="6"/>
              <w:spacing w:before="186" w:line="233" w:lineRule="auto"/>
              <w:ind w:left="141"/>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988" w:type="dxa"/>
            <w:vAlign w:val="top"/>
          </w:tcPr>
          <w:p w14:paraId="64CFCF52">
            <w:pPr>
              <w:pStyle w:val="6"/>
              <w:spacing w:before="41" w:line="197"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22DCE3C9">
            <w:pPr>
              <w:pStyle w:val="6"/>
              <w:spacing w:before="75" w:line="189" w:lineRule="auto"/>
              <w:ind w:left="579"/>
            </w:pPr>
            <w:r>
              <w:rPr>
                <w:spacing w:val="-2"/>
              </w:rPr>
              <w:t>36~44</w:t>
            </w:r>
          </w:p>
        </w:tc>
        <w:tc>
          <w:tcPr>
            <w:tcW w:w="1690" w:type="dxa"/>
            <w:vAlign w:val="top"/>
          </w:tcPr>
          <w:p w14:paraId="3594FEFD">
            <w:pPr>
              <w:pStyle w:val="6"/>
              <w:spacing w:before="75" w:line="189" w:lineRule="auto"/>
              <w:ind w:left="586"/>
            </w:pPr>
            <w:r>
              <w:rPr>
                <w:spacing w:val="-2"/>
              </w:rPr>
              <w:t>65~80</w:t>
            </w:r>
          </w:p>
        </w:tc>
        <w:tc>
          <w:tcPr>
            <w:tcW w:w="1704" w:type="dxa"/>
            <w:tcBorders>
              <w:right w:val="single" w:color="000000" w:sz="12" w:space="0"/>
            </w:tcBorders>
            <w:vAlign w:val="top"/>
          </w:tcPr>
          <w:p w14:paraId="49A8D1C3">
            <w:pPr>
              <w:pStyle w:val="6"/>
              <w:spacing w:before="75" w:line="189" w:lineRule="auto"/>
              <w:ind w:left="589"/>
            </w:pPr>
            <w:r>
              <w:rPr>
                <w:spacing w:val="-1"/>
              </w:rPr>
              <w:t>20~26</w:t>
            </w:r>
          </w:p>
        </w:tc>
      </w:tr>
      <w:tr w14:paraId="00344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tcBorders>
            <w:vAlign w:val="top"/>
          </w:tcPr>
          <w:p w14:paraId="22D3FDF6">
            <w:pPr>
              <w:rPr>
                <w:rFonts w:ascii="Arial"/>
                <w:sz w:val="21"/>
              </w:rPr>
            </w:pPr>
          </w:p>
        </w:tc>
        <w:tc>
          <w:tcPr>
            <w:tcW w:w="988" w:type="dxa"/>
            <w:vMerge w:val="continue"/>
            <w:tcBorders>
              <w:top w:val="nil"/>
            </w:tcBorders>
            <w:vAlign w:val="top"/>
          </w:tcPr>
          <w:p w14:paraId="1B477464">
            <w:pPr>
              <w:rPr>
                <w:rFonts w:ascii="Arial"/>
                <w:sz w:val="21"/>
              </w:rPr>
            </w:pPr>
          </w:p>
        </w:tc>
        <w:tc>
          <w:tcPr>
            <w:tcW w:w="988" w:type="dxa"/>
            <w:vAlign w:val="top"/>
          </w:tcPr>
          <w:p w14:paraId="5A89FFB8">
            <w:pPr>
              <w:pStyle w:val="6"/>
              <w:spacing w:before="43" w:line="197"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5DFB7884">
            <w:pPr>
              <w:pStyle w:val="6"/>
              <w:spacing w:before="77" w:line="189" w:lineRule="auto"/>
              <w:ind w:left="575"/>
            </w:pPr>
            <w:r>
              <w:rPr>
                <w:spacing w:val="-1"/>
              </w:rPr>
              <w:t>22~33</w:t>
            </w:r>
          </w:p>
        </w:tc>
        <w:tc>
          <w:tcPr>
            <w:tcW w:w="1690" w:type="dxa"/>
            <w:vAlign w:val="top"/>
          </w:tcPr>
          <w:p w14:paraId="551C9377">
            <w:pPr>
              <w:pStyle w:val="6"/>
              <w:spacing w:before="77" w:line="189" w:lineRule="auto"/>
              <w:ind w:left="580"/>
            </w:pPr>
            <w:r>
              <w:rPr>
                <w:spacing w:val="-1"/>
              </w:rPr>
              <w:t>43~52</w:t>
            </w:r>
          </w:p>
        </w:tc>
        <w:tc>
          <w:tcPr>
            <w:tcW w:w="1704" w:type="dxa"/>
            <w:tcBorders>
              <w:right w:val="single" w:color="000000" w:sz="12" w:space="0"/>
            </w:tcBorders>
            <w:vAlign w:val="top"/>
          </w:tcPr>
          <w:p w14:paraId="401711A0">
            <w:pPr>
              <w:pStyle w:val="6"/>
              <w:spacing w:before="77" w:line="189" w:lineRule="auto"/>
              <w:ind w:left="609"/>
            </w:pPr>
            <w:r>
              <w:rPr>
                <w:spacing w:val="-5"/>
              </w:rPr>
              <w:t>12~21</w:t>
            </w:r>
          </w:p>
        </w:tc>
      </w:tr>
      <w:tr w14:paraId="27037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restart"/>
            <w:tcBorders>
              <w:left w:val="single" w:color="000000" w:sz="12" w:space="0"/>
              <w:bottom w:val="nil"/>
            </w:tcBorders>
            <w:vAlign w:val="top"/>
          </w:tcPr>
          <w:p w14:paraId="3FA50A47">
            <w:pPr>
              <w:spacing w:line="261" w:lineRule="auto"/>
              <w:rPr>
                <w:rFonts w:ascii="Arial"/>
                <w:sz w:val="21"/>
              </w:rPr>
            </w:pPr>
          </w:p>
          <w:p w14:paraId="7F236449">
            <w:pPr>
              <w:spacing w:before="68" w:line="219" w:lineRule="auto"/>
              <w:ind w:left="275"/>
              <w:rPr>
                <w:rFonts w:ascii="宋体" w:hAnsi="宋体" w:eastAsia="宋体" w:cs="宋体"/>
                <w:sz w:val="21"/>
                <w:szCs w:val="21"/>
              </w:rPr>
            </w:pPr>
            <w:r>
              <w:rPr>
                <w:rFonts w:ascii="宋体" w:hAnsi="宋体" w:eastAsia="宋体" w:cs="宋体"/>
                <w:spacing w:val="-3"/>
                <w:sz w:val="21"/>
                <w:szCs w:val="21"/>
              </w:rPr>
              <w:t>大罗贵村</w:t>
            </w:r>
          </w:p>
        </w:tc>
        <w:tc>
          <w:tcPr>
            <w:tcW w:w="988" w:type="dxa"/>
            <w:vMerge w:val="restart"/>
            <w:tcBorders>
              <w:bottom w:val="nil"/>
            </w:tcBorders>
            <w:vAlign w:val="top"/>
          </w:tcPr>
          <w:p w14:paraId="0A201769">
            <w:pPr>
              <w:spacing w:line="261" w:lineRule="auto"/>
              <w:rPr>
                <w:rFonts w:ascii="Arial"/>
                <w:sz w:val="21"/>
              </w:rPr>
            </w:pPr>
          </w:p>
          <w:p w14:paraId="0C9DC974">
            <w:pPr>
              <w:pStyle w:val="6"/>
              <w:spacing w:before="69"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7CC757AC">
            <w:pPr>
              <w:pStyle w:val="6"/>
              <w:spacing w:before="42" w:line="197"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49A98A26">
            <w:pPr>
              <w:pStyle w:val="6"/>
              <w:spacing w:before="76" w:line="189" w:lineRule="auto"/>
              <w:ind w:left="581"/>
            </w:pPr>
            <w:r>
              <w:rPr>
                <w:spacing w:val="-2"/>
              </w:rPr>
              <w:t>58~74</w:t>
            </w:r>
          </w:p>
        </w:tc>
        <w:tc>
          <w:tcPr>
            <w:tcW w:w="1690" w:type="dxa"/>
            <w:vAlign w:val="top"/>
          </w:tcPr>
          <w:p w14:paraId="39E22BB1">
            <w:pPr>
              <w:pStyle w:val="6"/>
              <w:spacing w:before="76" w:line="189" w:lineRule="auto"/>
              <w:ind w:left="496"/>
            </w:pPr>
            <w:r>
              <w:rPr>
                <w:spacing w:val="-4"/>
              </w:rPr>
              <w:t>103~138</w:t>
            </w:r>
          </w:p>
        </w:tc>
        <w:tc>
          <w:tcPr>
            <w:tcW w:w="1704" w:type="dxa"/>
            <w:tcBorders>
              <w:right w:val="single" w:color="000000" w:sz="12" w:space="0"/>
            </w:tcBorders>
            <w:vAlign w:val="top"/>
          </w:tcPr>
          <w:p w14:paraId="6EE40AE0">
            <w:pPr>
              <w:pStyle w:val="6"/>
              <w:spacing w:before="76" w:line="189" w:lineRule="auto"/>
              <w:ind w:left="593"/>
            </w:pPr>
            <w:r>
              <w:rPr>
                <w:spacing w:val="-2"/>
              </w:rPr>
              <w:t>30~42</w:t>
            </w:r>
          </w:p>
        </w:tc>
      </w:tr>
      <w:tr w14:paraId="20250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3BB6D8F3">
            <w:pPr>
              <w:rPr>
                <w:rFonts w:ascii="Arial"/>
                <w:sz w:val="21"/>
              </w:rPr>
            </w:pPr>
          </w:p>
        </w:tc>
        <w:tc>
          <w:tcPr>
            <w:tcW w:w="988" w:type="dxa"/>
            <w:vMerge w:val="continue"/>
            <w:tcBorders>
              <w:top w:val="nil"/>
              <w:bottom w:val="nil"/>
            </w:tcBorders>
            <w:vAlign w:val="top"/>
          </w:tcPr>
          <w:p w14:paraId="1F8191FC">
            <w:pPr>
              <w:rPr>
                <w:rFonts w:ascii="Arial"/>
                <w:sz w:val="21"/>
              </w:rPr>
            </w:pPr>
          </w:p>
        </w:tc>
        <w:tc>
          <w:tcPr>
            <w:tcW w:w="988" w:type="dxa"/>
            <w:vAlign w:val="top"/>
          </w:tcPr>
          <w:p w14:paraId="58A1DB9A">
            <w:pPr>
              <w:pStyle w:val="6"/>
              <w:spacing w:before="44" w:line="196"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28CA870A">
            <w:pPr>
              <w:pStyle w:val="6"/>
              <w:spacing w:before="76" w:line="189" w:lineRule="auto"/>
              <w:ind w:left="581"/>
            </w:pPr>
            <w:r>
              <w:rPr>
                <w:spacing w:val="-2"/>
              </w:rPr>
              <w:t>59~75</w:t>
            </w:r>
          </w:p>
        </w:tc>
        <w:tc>
          <w:tcPr>
            <w:tcW w:w="1690" w:type="dxa"/>
            <w:vAlign w:val="top"/>
          </w:tcPr>
          <w:p w14:paraId="1C57A45D">
            <w:pPr>
              <w:pStyle w:val="6"/>
              <w:spacing w:before="76" w:line="189" w:lineRule="auto"/>
              <w:ind w:left="533"/>
            </w:pPr>
            <w:r>
              <w:rPr>
                <w:spacing w:val="-2"/>
              </w:rPr>
              <w:t>97~115</w:t>
            </w:r>
          </w:p>
        </w:tc>
        <w:tc>
          <w:tcPr>
            <w:tcW w:w="1704" w:type="dxa"/>
            <w:tcBorders>
              <w:right w:val="single" w:color="000000" w:sz="12" w:space="0"/>
            </w:tcBorders>
            <w:vAlign w:val="top"/>
          </w:tcPr>
          <w:p w14:paraId="2E919342">
            <w:pPr>
              <w:pStyle w:val="6"/>
              <w:spacing w:before="76" w:line="189" w:lineRule="auto"/>
              <w:ind w:left="593"/>
            </w:pPr>
            <w:r>
              <w:rPr>
                <w:spacing w:val="-2"/>
              </w:rPr>
              <w:t>31~38</w:t>
            </w:r>
          </w:p>
        </w:tc>
      </w:tr>
      <w:tr w14:paraId="00EA5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tcBorders>
            <w:vAlign w:val="top"/>
          </w:tcPr>
          <w:p w14:paraId="17993011">
            <w:pPr>
              <w:rPr>
                <w:rFonts w:ascii="Arial"/>
                <w:sz w:val="21"/>
              </w:rPr>
            </w:pPr>
          </w:p>
        </w:tc>
        <w:tc>
          <w:tcPr>
            <w:tcW w:w="988" w:type="dxa"/>
            <w:vMerge w:val="continue"/>
            <w:tcBorders>
              <w:top w:val="nil"/>
            </w:tcBorders>
            <w:vAlign w:val="top"/>
          </w:tcPr>
          <w:p w14:paraId="5115A02F">
            <w:pPr>
              <w:rPr>
                <w:rFonts w:ascii="Arial"/>
                <w:sz w:val="21"/>
              </w:rPr>
            </w:pPr>
          </w:p>
        </w:tc>
        <w:tc>
          <w:tcPr>
            <w:tcW w:w="988" w:type="dxa"/>
            <w:vAlign w:val="top"/>
          </w:tcPr>
          <w:p w14:paraId="00FC249E">
            <w:pPr>
              <w:pStyle w:val="6"/>
              <w:spacing w:before="44" w:line="195"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7215F3D1">
            <w:pPr>
              <w:pStyle w:val="6"/>
              <w:spacing w:before="77" w:line="187" w:lineRule="auto"/>
              <w:ind w:left="581"/>
            </w:pPr>
            <w:r>
              <w:rPr>
                <w:spacing w:val="-2"/>
              </w:rPr>
              <w:t>54~69</w:t>
            </w:r>
          </w:p>
        </w:tc>
        <w:tc>
          <w:tcPr>
            <w:tcW w:w="1690" w:type="dxa"/>
            <w:vAlign w:val="top"/>
          </w:tcPr>
          <w:p w14:paraId="24671BC9">
            <w:pPr>
              <w:pStyle w:val="6"/>
              <w:spacing w:before="77" w:line="187" w:lineRule="auto"/>
              <w:ind w:left="533"/>
            </w:pPr>
            <w:r>
              <w:rPr>
                <w:spacing w:val="-2"/>
              </w:rPr>
              <w:t>98~125</w:t>
            </w:r>
          </w:p>
        </w:tc>
        <w:tc>
          <w:tcPr>
            <w:tcW w:w="1704" w:type="dxa"/>
            <w:tcBorders>
              <w:right w:val="single" w:color="000000" w:sz="12" w:space="0"/>
            </w:tcBorders>
            <w:vAlign w:val="top"/>
          </w:tcPr>
          <w:p w14:paraId="41B82FD8">
            <w:pPr>
              <w:pStyle w:val="6"/>
              <w:spacing w:before="77" w:line="187" w:lineRule="auto"/>
              <w:ind w:left="589"/>
            </w:pPr>
            <w:r>
              <w:rPr>
                <w:spacing w:val="-1"/>
              </w:rPr>
              <w:t>28~36</w:t>
            </w:r>
          </w:p>
        </w:tc>
      </w:tr>
      <w:tr w14:paraId="263D1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restart"/>
            <w:tcBorders>
              <w:left w:val="single" w:color="000000" w:sz="12" w:space="0"/>
              <w:bottom w:val="nil"/>
            </w:tcBorders>
            <w:vAlign w:val="top"/>
          </w:tcPr>
          <w:p w14:paraId="5C9C73A5">
            <w:pPr>
              <w:spacing w:line="262" w:lineRule="auto"/>
              <w:rPr>
                <w:rFonts w:ascii="Arial"/>
                <w:sz w:val="21"/>
              </w:rPr>
            </w:pPr>
          </w:p>
          <w:p w14:paraId="215A429E">
            <w:pPr>
              <w:spacing w:before="68" w:line="219" w:lineRule="auto"/>
              <w:ind w:left="384"/>
              <w:rPr>
                <w:rFonts w:ascii="宋体" w:hAnsi="宋体" w:eastAsia="宋体" w:cs="宋体"/>
                <w:sz w:val="21"/>
                <w:szCs w:val="21"/>
              </w:rPr>
            </w:pPr>
            <w:r>
              <w:rPr>
                <w:rFonts w:ascii="宋体" w:hAnsi="宋体" w:eastAsia="宋体" w:cs="宋体"/>
                <w:spacing w:val="-5"/>
                <w:sz w:val="21"/>
                <w:szCs w:val="21"/>
              </w:rPr>
              <w:t>川硐村</w:t>
            </w:r>
          </w:p>
        </w:tc>
        <w:tc>
          <w:tcPr>
            <w:tcW w:w="988" w:type="dxa"/>
            <w:vMerge w:val="restart"/>
            <w:tcBorders>
              <w:bottom w:val="nil"/>
            </w:tcBorders>
            <w:vAlign w:val="top"/>
          </w:tcPr>
          <w:p w14:paraId="773136A3">
            <w:pPr>
              <w:spacing w:line="263" w:lineRule="auto"/>
              <w:rPr>
                <w:rFonts w:ascii="Arial"/>
                <w:sz w:val="21"/>
              </w:rPr>
            </w:pPr>
          </w:p>
          <w:p w14:paraId="0750C4F8">
            <w:pPr>
              <w:pStyle w:val="6"/>
              <w:spacing w:before="68"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061EF0CC">
            <w:pPr>
              <w:pStyle w:val="6"/>
              <w:spacing w:before="45" w:line="194"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2CCF0AB3">
            <w:pPr>
              <w:pStyle w:val="6"/>
              <w:spacing w:before="78" w:line="186" w:lineRule="auto"/>
              <w:ind w:left="580"/>
            </w:pPr>
            <w:r>
              <w:rPr>
                <w:spacing w:val="-2"/>
              </w:rPr>
              <w:t>63~76</w:t>
            </w:r>
          </w:p>
        </w:tc>
        <w:tc>
          <w:tcPr>
            <w:tcW w:w="1690" w:type="dxa"/>
            <w:vAlign w:val="top"/>
          </w:tcPr>
          <w:p w14:paraId="43DEF768">
            <w:pPr>
              <w:pStyle w:val="6"/>
              <w:spacing w:before="78" w:line="186" w:lineRule="auto"/>
              <w:ind w:left="496"/>
            </w:pPr>
            <w:r>
              <w:rPr>
                <w:spacing w:val="-6"/>
              </w:rPr>
              <w:t>113~</w:t>
            </w:r>
            <w:r>
              <w:rPr>
                <w:spacing w:val="-27"/>
              </w:rPr>
              <w:t xml:space="preserve"> </w:t>
            </w:r>
            <w:r>
              <w:rPr>
                <w:spacing w:val="-6"/>
              </w:rPr>
              <w:t>136</w:t>
            </w:r>
          </w:p>
        </w:tc>
        <w:tc>
          <w:tcPr>
            <w:tcW w:w="1704" w:type="dxa"/>
            <w:tcBorders>
              <w:right w:val="single" w:color="000000" w:sz="12" w:space="0"/>
            </w:tcBorders>
            <w:vAlign w:val="top"/>
          </w:tcPr>
          <w:p w14:paraId="1AE7ECDF">
            <w:pPr>
              <w:pStyle w:val="6"/>
              <w:spacing w:before="78" w:line="186" w:lineRule="auto"/>
              <w:ind w:left="593"/>
            </w:pPr>
            <w:r>
              <w:rPr>
                <w:spacing w:val="-2"/>
              </w:rPr>
              <w:t>38~43</w:t>
            </w:r>
          </w:p>
        </w:tc>
      </w:tr>
      <w:tr w14:paraId="0B89E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15" w:type="dxa"/>
            <w:vMerge w:val="continue"/>
            <w:tcBorders>
              <w:top w:val="nil"/>
              <w:left w:val="single" w:color="000000" w:sz="12" w:space="0"/>
              <w:bottom w:val="nil"/>
            </w:tcBorders>
            <w:vAlign w:val="top"/>
          </w:tcPr>
          <w:p w14:paraId="144C6639">
            <w:pPr>
              <w:rPr>
                <w:rFonts w:ascii="Arial"/>
                <w:sz w:val="21"/>
              </w:rPr>
            </w:pPr>
          </w:p>
        </w:tc>
        <w:tc>
          <w:tcPr>
            <w:tcW w:w="988" w:type="dxa"/>
            <w:vMerge w:val="continue"/>
            <w:tcBorders>
              <w:top w:val="nil"/>
              <w:bottom w:val="nil"/>
            </w:tcBorders>
            <w:vAlign w:val="top"/>
          </w:tcPr>
          <w:p w14:paraId="14222FB6">
            <w:pPr>
              <w:rPr>
                <w:rFonts w:ascii="Arial"/>
                <w:sz w:val="21"/>
              </w:rPr>
            </w:pPr>
          </w:p>
        </w:tc>
        <w:tc>
          <w:tcPr>
            <w:tcW w:w="988" w:type="dxa"/>
            <w:vAlign w:val="top"/>
          </w:tcPr>
          <w:p w14:paraId="5EEE16BC">
            <w:pPr>
              <w:pStyle w:val="6"/>
              <w:spacing w:before="46" w:line="194"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4C45E2F1">
            <w:pPr>
              <w:pStyle w:val="6"/>
              <w:spacing w:before="80" w:line="185" w:lineRule="auto"/>
              <w:ind w:left="581"/>
            </w:pPr>
            <w:r>
              <w:rPr>
                <w:spacing w:val="-2"/>
              </w:rPr>
              <w:t>51~60</w:t>
            </w:r>
          </w:p>
        </w:tc>
        <w:tc>
          <w:tcPr>
            <w:tcW w:w="1690" w:type="dxa"/>
            <w:vAlign w:val="top"/>
          </w:tcPr>
          <w:p w14:paraId="04D15511">
            <w:pPr>
              <w:pStyle w:val="6"/>
              <w:spacing w:before="80" w:line="185" w:lineRule="auto"/>
              <w:ind w:left="537"/>
            </w:pPr>
            <w:r>
              <w:rPr>
                <w:spacing w:val="-3"/>
              </w:rPr>
              <w:t>82~100</w:t>
            </w:r>
          </w:p>
        </w:tc>
        <w:tc>
          <w:tcPr>
            <w:tcW w:w="1704" w:type="dxa"/>
            <w:tcBorders>
              <w:right w:val="single" w:color="000000" w:sz="12" w:space="0"/>
            </w:tcBorders>
            <w:vAlign w:val="top"/>
          </w:tcPr>
          <w:p w14:paraId="5219A485">
            <w:pPr>
              <w:pStyle w:val="6"/>
              <w:spacing w:before="80" w:line="185" w:lineRule="auto"/>
              <w:ind w:left="593"/>
            </w:pPr>
            <w:r>
              <w:rPr>
                <w:spacing w:val="-2"/>
              </w:rPr>
              <w:t>30~36</w:t>
            </w:r>
          </w:p>
        </w:tc>
      </w:tr>
      <w:tr w14:paraId="20EF1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tcBorders>
            <w:vAlign w:val="top"/>
          </w:tcPr>
          <w:p w14:paraId="7EA2C237">
            <w:pPr>
              <w:rPr>
                <w:rFonts w:ascii="Arial"/>
                <w:sz w:val="21"/>
              </w:rPr>
            </w:pPr>
          </w:p>
        </w:tc>
        <w:tc>
          <w:tcPr>
            <w:tcW w:w="988" w:type="dxa"/>
            <w:vMerge w:val="continue"/>
            <w:tcBorders>
              <w:top w:val="nil"/>
            </w:tcBorders>
            <w:vAlign w:val="top"/>
          </w:tcPr>
          <w:p w14:paraId="51A50165">
            <w:pPr>
              <w:rPr>
                <w:rFonts w:ascii="Arial"/>
                <w:sz w:val="21"/>
              </w:rPr>
            </w:pPr>
          </w:p>
        </w:tc>
        <w:tc>
          <w:tcPr>
            <w:tcW w:w="988" w:type="dxa"/>
            <w:vAlign w:val="top"/>
          </w:tcPr>
          <w:p w14:paraId="2DF82A39">
            <w:pPr>
              <w:pStyle w:val="6"/>
              <w:spacing w:before="46" w:line="193"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092AF920">
            <w:pPr>
              <w:pStyle w:val="6"/>
              <w:spacing w:before="79" w:line="185" w:lineRule="auto"/>
              <w:ind w:left="574"/>
            </w:pPr>
            <w:r>
              <w:rPr>
                <w:spacing w:val="-1"/>
              </w:rPr>
              <w:t>46~63</w:t>
            </w:r>
          </w:p>
        </w:tc>
        <w:tc>
          <w:tcPr>
            <w:tcW w:w="1690" w:type="dxa"/>
            <w:vAlign w:val="top"/>
          </w:tcPr>
          <w:p w14:paraId="0965524A">
            <w:pPr>
              <w:pStyle w:val="6"/>
              <w:spacing w:before="79" w:line="185" w:lineRule="auto"/>
              <w:ind w:left="537"/>
            </w:pPr>
            <w:r>
              <w:rPr>
                <w:spacing w:val="-3"/>
              </w:rPr>
              <w:t>84~115</w:t>
            </w:r>
          </w:p>
        </w:tc>
        <w:tc>
          <w:tcPr>
            <w:tcW w:w="1704" w:type="dxa"/>
            <w:tcBorders>
              <w:right w:val="single" w:color="000000" w:sz="12" w:space="0"/>
            </w:tcBorders>
            <w:vAlign w:val="top"/>
          </w:tcPr>
          <w:p w14:paraId="377E6D57">
            <w:pPr>
              <w:pStyle w:val="6"/>
              <w:spacing w:before="79" w:line="185" w:lineRule="auto"/>
              <w:ind w:left="589"/>
            </w:pPr>
            <w:r>
              <w:rPr>
                <w:spacing w:val="-1"/>
              </w:rPr>
              <w:t>24~33</w:t>
            </w:r>
          </w:p>
        </w:tc>
      </w:tr>
      <w:tr w14:paraId="1B59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restart"/>
            <w:tcBorders>
              <w:left w:val="single" w:color="000000" w:sz="12" w:space="0"/>
              <w:bottom w:val="nil"/>
            </w:tcBorders>
            <w:vAlign w:val="top"/>
          </w:tcPr>
          <w:p w14:paraId="0934A48E">
            <w:pPr>
              <w:spacing w:line="278" w:lineRule="auto"/>
              <w:rPr>
                <w:rFonts w:ascii="Arial"/>
                <w:sz w:val="21"/>
              </w:rPr>
            </w:pPr>
          </w:p>
          <w:p w14:paraId="1B12B2D7">
            <w:pPr>
              <w:spacing w:line="279" w:lineRule="auto"/>
              <w:rPr>
                <w:rFonts w:ascii="Arial"/>
                <w:sz w:val="21"/>
              </w:rPr>
            </w:pPr>
          </w:p>
          <w:p w14:paraId="6365464C">
            <w:pPr>
              <w:spacing w:line="279" w:lineRule="auto"/>
              <w:rPr>
                <w:rFonts w:ascii="Arial"/>
                <w:sz w:val="21"/>
              </w:rPr>
            </w:pPr>
          </w:p>
          <w:p w14:paraId="686FAFB8">
            <w:pPr>
              <w:spacing w:before="68" w:line="219" w:lineRule="auto"/>
              <w:ind w:left="275"/>
              <w:rPr>
                <w:rFonts w:ascii="宋体" w:hAnsi="宋体" w:eastAsia="宋体" w:cs="宋体"/>
                <w:sz w:val="21"/>
                <w:szCs w:val="21"/>
              </w:rPr>
            </w:pPr>
            <w:r>
              <w:rPr>
                <w:rFonts w:ascii="宋体" w:hAnsi="宋体" w:eastAsia="宋体" w:cs="宋体"/>
                <w:spacing w:val="-2"/>
                <w:sz w:val="21"/>
                <w:szCs w:val="21"/>
              </w:rPr>
              <w:t>上罗贵村</w:t>
            </w:r>
          </w:p>
        </w:tc>
        <w:tc>
          <w:tcPr>
            <w:tcW w:w="988" w:type="dxa"/>
            <w:vMerge w:val="restart"/>
            <w:tcBorders>
              <w:bottom w:val="nil"/>
            </w:tcBorders>
            <w:vAlign w:val="top"/>
          </w:tcPr>
          <w:p w14:paraId="421AA588">
            <w:pPr>
              <w:spacing w:line="265" w:lineRule="auto"/>
              <w:rPr>
                <w:rFonts w:ascii="Arial"/>
                <w:sz w:val="21"/>
              </w:rPr>
            </w:pPr>
          </w:p>
          <w:p w14:paraId="3822F7DC">
            <w:pPr>
              <w:pStyle w:val="6"/>
              <w:spacing w:before="69" w:line="233" w:lineRule="auto"/>
              <w:ind w:left="141"/>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988" w:type="dxa"/>
            <w:vAlign w:val="top"/>
          </w:tcPr>
          <w:p w14:paraId="3326F81E">
            <w:pPr>
              <w:pStyle w:val="6"/>
              <w:spacing w:before="48" w:line="193" w:lineRule="auto"/>
              <w:ind w:left="323"/>
              <w:rPr>
                <w:rFonts w:ascii="宋体" w:hAnsi="宋体" w:eastAsia="宋体" w:cs="宋体"/>
              </w:rPr>
            </w:pPr>
            <w:r>
              <w:rPr>
                <w:spacing w:val="-13"/>
              </w:rPr>
              <w:t>1</w:t>
            </w:r>
            <w:r>
              <w:rPr>
                <w:spacing w:val="14"/>
                <w:w w:val="101"/>
              </w:rPr>
              <w:t xml:space="preserve"> </w:t>
            </w:r>
            <w:r>
              <w:rPr>
                <w:rFonts w:ascii="宋体" w:hAnsi="宋体" w:eastAsia="宋体" w:cs="宋体"/>
                <w:spacing w:val="-13"/>
              </w:rPr>
              <w:t>月</w:t>
            </w:r>
          </w:p>
        </w:tc>
        <w:tc>
          <w:tcPr>
            <w:tcW w:w="1689" w:type="dxa"/>
            <w:vAlign w:val="top"/>
          </w:tcPr>
          <w:p w14:paraId="58F85E30">
            <w:pPr>
              <w:pStyle w:val="6"/>
              <w:spacing w:before="81" w:line="185" w:lineRule="auto"/>
              <w:ind w:left="581"/>
            </w:pPr>
            <w:r>
              <w:rPr>
                <w:spacing w:val="-2"/>
              </w:rPr>
              <w:t>52~79</w:t>
            </w:r>
          </w:p>
        </w:tc>
        <w:tc>
          <w:tcPr>
            <w:tcW w:w="1690" w:type="dxa"/>
            <w:vAlign w:val="top"/>
          </w:tcPr>
          <w:p w14:paraId="34BBE087">
            <w:pPr>
              <w:pStyle w:val="6"/>
              <w:spacing w:before="81" w:line="185" w:lineRule="auto"/>
              <w:ind w:left="533"/>
            </w:pPr>
            <w:r>
              <w:rPr>
                <w:spacing w:val="-2"/>
              </w:rPr>
              <w:t>96~146</w:t>
            </w:r>
          </w:p>
        </w:tc>
        <w:tc>
          <w:tcPr>
            <w:tcW w:w="1704" w:type="dxa"/>
            <w:tcBorders>
              <w:right w:val="single" w:color="000000" w:sz="12" w:space="0"/>
            </w:tcBorders>
            <w:vAlign w:val="top"/>
          </w:tcPr>
          <w:p w14:paraId="1A144410">
            <w:pPr>
              <w:pStyle w:val="6"/>
              <w:spacing w:before="81" w:line="185" w:lineRule="auto"/>
              <w:ind w:left="589"/>
            </w:pPr>
            <w:r>
              <w:rPr>
                <w:spacing w:val="-1"/>
              </w:rPr>
              <w:t>26~44</w:t>
            </w:r>
          </w:p>
        </w:tc>
      </w:tr>
      <w:tr w14:paraId="7FCA3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1EC49E8B">
            <w:pPr>
              <w:rPr>
                <w:rFonts w:ascii="Arial"/>
                <w:sz w:val="21"/>
              </w:rPr>
            </w:pPr>
          </w:p>
        </w:tc>
        <w:tc>
          <w:tcPr>
            <w:tcW w:w="988" w:type="dxa"/>
            <w:vMerge w:val="continue"/>
            <w:tcBorders>
              <w:top w:val="nil"/>
              <w:bottom w:val="nil"/>
            </w:tcBorders>
            <w:vAlign w:val="top"/>
          </w:tcPr>
          <w:p w14:paraId="1B62B267">
            <w:pPr>
              <w:rPr>
                <w:rFonts w:ascii="Arial"/>
                <w:sz w:val="21"/>
              </w:rPr>
            </w:pPr>
          </w:p>
        </w:tc>
        <w:tc>
          <w:tcPr>
            <w:tcW w:w="988" w:type="dxa"/>
            <w:vAlign w:val="top"/>
          </w:tcPr>
          <w:p w14:paraId="67199F7B">
            <w:pPr>
              <w:pStyle w:val="6"/>
              <w:spacing w:before="47" w:line="192" w:lineRule="auto"/>
              <w:ind w:left="308"/>
              <w:rPr>
                <w:rFonts w:ascii="宋体" w:hAnsi="宋体" w:eastAsia="宋体" w:cs="宋体"/>
              </w:rPr>
            </w:pPr>
            <w:r>
              <w:rPr>
                <w:spacing w:val="-6"/>
              </w:rPr>
              <w:t>5</w:t>
            </w:r>
            <w:r>
              <w:rPr>
                <w:spacing w:val="15"/>
              </w:rPr>
              <w:t xml:space="preserve"> </w:t>
            </w:r>
            <w:r>
              <w:rPr>
                <w:rFonts w:ascii="宋体" w:hAnsi="宋体" w:eastAsia="宋体" w:cs="宋体"/>
                <w:spacing w:val="-6"/>
              </w:rPr>
              <w:t>月</w:t>
            </w:r>
          </w:p>
        </w:tc>
        <w:tc>
          <w:tcPr>
            <w:tcW w:w="1689" w:type="dxa"/>
            <w:vAlign w:val="top"/>
          </w:tcPr>
          <w:p w14:paraId="0D9830FD">
            <w:pPr>
              <w:pStyle w:val="6"/>
              <w:spacing w:before="80" w:line="184" w:lineRule="auto"/>
              <w:ind w:left="578"/>
            </w:pPr>
            <w:r>
              <w:rPr>
                <w:spacing w:val="-2"/>
              </w:rPr>
              <w:t>71~83</w:t>
            </w:r>
          </w:p>
        </w:tc>
        <w:tc>
          <w:tcPr>
            <w:tcW w:w="1690" w:type="dxa"/>
            <w:vAlign w:val="top"/>
          </w:tcPr>
          <w:p w14:paraId="6A16CE9F">
            <w:pPr>
              <w:pStyle w:val="6"/>
              <w:spacing w:before="80" w:line="184" w:lineRule="auto"/>
              <w:ind w:left="537"/>
            </w:pPr>
            <w:r>
              <w:rPr>
                <w:spacing w:val="-3"/>
              </w:rPr>
              <w:t>85~105</w:t>
            </w:r>
          </w:p>
        </w:tc>
        <w:tc>
          <w:tcPr>
            <w:tcW w:w="1704" w:type="dxa"/>
            <w:tcBorders>
              <w:right w:val="single" w:color="000000" w:sz="12" w:space="0"/>
            </w:tcBorders>
            <w:vAlign w:val="top"/>
          </w:tcPr>
          <w:p w14:paraId="599B14E6">
            <w:pPr>
              <w:pStyle w:val="6"/>
              <w:spacing w:before="80" w:line="184" w:lineRule="auto"/>
              <w:ind w:left="589"/>
            </w:pPr>
            <w:r>
              <w:rPr>
                <w:spacing w:val="-1"/>
              </w:rPr>
              <w:t>24~28</w:t>
            </w:r>
          </w:p>
        </w:tc>
      </w:tr>
      <w:tr w14:paraId="38E6A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bottom w:val="nil"/>
            </w:tcBorders>
            <w:vAlign w:val="top"/>
          </w:tcPr>
          <w:p w14:paraId="3A46EDD8">
            <w:pPr>
              <w:rPr>
                <w:rFonts w:ascii="Arial"/>
                <w:sz w:val="21"/>
              </w:rPr>
            </w:pPr>
          </w:p>
        </w:tc>
        <w:tc>
          <w:tcPr>
            <w:tcW w:w="988" w:type="dxa"/>
            <w:vMerge w:val="continue"/>
            <w:tcBorders>
              <w:top w:val="nil"/>
            </w:tcBorders>
            <w:vAlign w:val="top"/>
          </w:tcPr>
          <w:p w14:paraId="72F85467">
            <w:pPr>
              <w:rPr>
                <w:rFonts w:ascii="Arial"/>
                <w:sz w:val="21"/>
              </w:rPr>
            </w:pPr>
          </w:p>
        </w:tc>
        <w:tc>
          <w:tcPr>
            <w:tcW w:w="988" w:type="dxa"/>
            <w:vAlign w:val="top"/>
          </w:tcPr>
          <w:p w14:paraId="28571D93">
            <w:pPr>
              <w:pStyle w:val="6"/>
              <w:spacing w:before="49" w:line="192"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5F4E772C">
            <w:pPr>
              <w:pStyle w:val="6"/>
              <w:spacing w:before="82" w:line="184" w:lineRule="auto"/>
              <w:ind w:left="580"/>
            </w:pPr>
            <w:r>
              <w:rPr>
                <w:spacing w:val="-2"/>
              </w:rPr>
              <w:t>63~75</w:t>
            </w:r>
          </w:p>
        </w:tc>
        <w:tc>
          <w:tcPr>
            <w:tcW w:w="1690" w:type="dxa"/>
            <w:vAlign w:val="top"/>
          </w:tcPr>
          <w:p w14:paraId="766EE62C">
            <w:pPr>
              <w:pStyle w:val="6"/>
              <w:spacing w:before="82" w:line="184" w:lineRule="auto"/>
              <w:ind w:left="496"/>
            </w:pPr>
            <w:r>
              <w:rPr>
                <w:spacing w:val="-4"/>
              </w:rPr>
              <w:t>115~136</w:t>
            </w:r>
          </w:p>
        </w:tc>
        <w:tc>
          <w:tcPr>
            <w:tcW w:w="1704" w:type="dxa"/>
            <w:tcBorders>
              <w:right w:val="single" w:color="000000" w:sz="12" w:space="0"/>
            </w:tcBorders>
            <w:vAlign w:val="top"/>
          </w:tcPr>
          <w:p w14:paraId="0E7B89DF">
            <w:pPr>
              <w:pStyle w:val="6"/>
              <w:spacing w:before="82" w:line="184" w:lineRule="auto"/>
              <w:ind w:left="593"/>
            </w:pPr>
            <w:r>
              <w:rPr>
                <w:spacing w:val="-2"/>
              </w:rPr>
              <w:t>33~39</w:t>
            </w:r>
          </w:p>
        </w:tc>
      </w:tr>
      <w:tr w14:paraId="5EE2E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04C8D604">
            <w:pPr>
              <w:rPr>
                <w:rFonts w:ascii="Arial"/>
                <w:sz w:val="21"/>
              </w:rPr>
            </w:pPr>
          </w:p>
        </w:tc>
        <w:tc>
          <w:tcPr>
            <w:tcW w:w="988" w:type="dxa"/>
            <w:vMerge w:val="restart"/>
            <w:tcBorders>
              <w:bottom w:val="nil"/>
            </w:tcBorders>
            <w:vAlign w:val="top"/>
          </w:tcPr>
          <w:p w14:paraId="7621A61D">
            <w:pPr>
              <w:pStyle w:val="6"/>
              <w:spacing w:before="192" w:line="233" w:lineRule="auto"/>
              <w:ind w:left="141"/>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988" w:type="dxa"/>
            <w:vAlign w:val="top"/>
          </w:tcPr>
          <w:p w14:paraId="7C6C5584">
            <w:pPr>
              <w:pStyle w:val="6"/>
              <w:spacing w:before="48" w:line="191"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3B7F7BF7">
            <w:pPr>
              <w:pStyle w:val="6"/>
              <w:spacing w:before="81" w:line="183" w:lineRule="auto"/>
              <w:ind w:left="581"/>
            </w:pPr>
            <w:r>
              <w:rPr>
                <w:spacing w:val="-2"/>
              </w:rPr>
              <w:t>57~66</w:t>
            </w:r>
          </w:p>
        </w:tc>
        <w:tc>
          <w:tcPr>
            <w:tcW w:w="1690" w:type="dxa"/>
            <w:vAlign w:val="top"/>
          </w:tcPr>
          <w:p w14:paraId="7CBEEB0C">
            <w:pPr>
              <w:pStyle w:val="6"/>
              <w:spacing w:before="81" w:line="183" w:lineRule="auto"/>
              <w:ind w:left="496"/>
            </w:pPr>
            <w:r>
              <w:rPr>
                <w:spacing w:val="-4"/>
              </w:rPr>
              <w:t>105~120</w:t>
            </w:r>
          </w:p>
        </w:tc>
        <w:tc>
          <w:tcPr>
            <w:tcW w:w="1704" w:type="dxa"/>
            <w:tcBorders>
              <w:right w:val="single" w:color="000000" w:sz="12" w:space="0"/>
            </w:tcBorders>
            <w:vAlign w:val="top"/>
          </w:tcPr>
          <w:p w14:paraId="7184B548">
            <w:pPr>
              <w:pStyle w:val="6"/>
              <w:spacing w:before="81" w:line="183" w:lineRule="auto"/>
              <w:ind w:left="593"/>
            </w:pPr>
            <w:r>
              <w:rPr>
                <w:spacing w:val="-2"/>
              </w:rPr>
              <w:t>30~37</w:t>
            </w:r>
          </w:p>
        </w:tc>
      </w:tr>
      <w:tr w14:paraId="7CB33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bottom w:val="nil"/>
            </w:tcBorders>
            <w:vAlign w:val="top"/>
          </w:tcPr>
          <w:p w14:paraId="2512547F">
            <w:pPr>
              <w:rPr>
                <w:rFonts w:ascii="Arial"/>
                <w:sz w:val="21"/>
              </w:rPr>
            </w:pPr>
          </w:p>
        </w:tc>
        <w:tc>
          <w:tcPr>
            <w:tcW w:w="988" w:type="dxa"/>
            <w:vMerge w:val="continue"/>
            <w:tcBorders>
              <w:top w:val="nil"/>
            </w:tcBorders>
            <w:vAlign w:val="top"/>
          </w:tcPr>
          <w:p w14:paraId="1A5E4C91">
            <w:pPr>
              <w:rPr>
                <w:rFonts w:ascii="Arial"/>
                <w:sz w:val="21"/>
              </w:rPr>
            </w:pPr>
          </w:p>
        </w:tc>
        <w:tc>
          <w:tcPr>
            <w:tcW w:w="988" w:type="dxa"/>
            <w:vAlign w:val="top"/>
          </w:tcPr>
          <w:p w14:paraId="05FF5DAE">
            <w:pPr>
              <w:pStyle w:val="6"/>
              <w:spacing w:before="50" w:line="191"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401502E1">
            <w:pPr>
              <w:pStyle w:val="6"/>
              <w:spacing w:before="83" w:line="183" w:lineRule="auto"/>
              <w:ind w:left="579"/>
            </w:pPr>
            <w:r>
              <w:rPr>
                <w:spacing w:val="-2"/>
              </w:rPr>
              <w:t>30~44</w:t>
            </w:r>
          </w:p>
        </w:tc>
        <w:tc>
          <w:tcPr>
            <w:tcW w:w="1690" w:type="dxa"/>
            <w:vAlign w:val="top"/>
          </w:tcPr>
          <w:p w14:paraId="1CEB0456">
            <w:pPr>
              <w:pStyle w:val="6"/>
              <w:spacing w:before="83" w:line="183" w:lineRule="auto"/>
              <w:ind w:left="586"/>
            </w:pPr>
            <w:r>
              <w:rPr>
                <w:spacing w:val="-2"/>
              </w:rPr>
              <w:t>65~78</w:t>
            </w:r>
          </w:p>
        </w:tc>
        <w:tc>
          <w:tcPr>
            <w:tcW w:w="1704" w:type="dxa"/>
            <w:tcBorders>
              <w:right w:val="single" w:color="000000" w:sz="12" w:space="0"/>
            </w:tcBorders>
            <w:vAlign w:val="top"/>
          </w:tcPr>
          <w:p w14:paraId="411880D4">
            <w:pPr>
              <w:pStyle w:val="6"/>
              <w:spacing w:before="83" w:line="183" w:lineRule="auto"/>
              <w:ind w:left="589"/>
            </w:pPr>
            <w:r>
              <w:rPr>
                <w:spacing w:val="-1"/>
              </w:rPr>
              <w:t>20~27</w:t>
            </w:r>
          </w:p>
        </w:tc>
      </w:tr>
      <w:tr w14:paraId="4F1DF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15" w:type="dxa"/>
            <w:vMerge w:val="continue"/>
            <w:tcBorders>
              <w:top w:val="nil"/>
              <w:left w:val="single" w:color="000000" w:sz="12" w:space="0"/>
              <w:bottom w:val="nil"/>
            </w:tcBorders>
            <w:vAlign w:val="top"/>
          </w:tcPr>
          <w:p w14:paraId="73635ED7">
            <w:pPr>
              <w:rPr>
                <w:rFonts w:ascii="Arial"/>
                <w:sz w:val="21"/>
              </w:rPr>
            </w:pPr>
          </w:p>
        </w:tc>
        <w:tc>
          <w:tcPr>
            <w:tcW w:w="988" w:type="dxa"/>
            <w:vMerge w:val="restart"/>
            <w:tcBorders>
              <w:bottom w:val="nil"/>
            </w:tcBorders>
            <w:vAlign w:val="top"/>
          </w:tcPr>
          <w:p w14:paraId="6B998808">
            <w:pPr>
              <w:pStyle w:val="6"/>
              <w:spacing w:before="193" w:line="233" w:lineRule="auto"/>
              <w:ind w:left="141"/>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988" w:type="dxa"/>
            <w:vAlign w:val="top"/>
          </w:tcPr>
          <w:p w14:paraId="3808DB8D">
            <w:pPr>
              <w:pStyle w:val="6"/>
              <w:spacing w:before="48" w:line="191" w:lineRule="auto"/>
              <w:ind w:left="307"/>
              <w:rPr>
                <w:rFonts w:ascii="宋体" w:hAnsi="宋体" w:eastAsia="宋体" w:cs="宋体"/>
              </w:rPr>
            </w:pPr>
            <w:r>
              <w:rPr>
                <w:spacing w:val="-5"/>
              </w:rPr>
              <w:t>3</w:t>
            </w:r>
            <w:r>
              <w:rPr>
                <w:spacing w:val="14"/>
              </w:rPr>
              <w:t xml:space="preserve"> </w:t>
            </w:r>
            <w:r>
              <w:rPr>
                <w:rFonts w:ascii="宋体" w:hAnsi="宋体" w:eastAsia="宋体" w:cs="宋体"/>
                <w:spacing w:val="-5"/>
              </w:rPr>
              <w:t>月</w:t>
            </w:r>
          </w:p>
        </w:tc>
        <w:tc>
          <w:tcPr>
            <w:tcW w:w="1689" w:type="dxa"/>
            <w:vAlign w:val="top"/>
          </w:tcPr>
          <w:p w14:paraId="4124708C">
            <w:pPr>
              <w:pStyle w:val="6"/>
              <w:spacing w:before="82" w:line="182" w:lineRule="auto"/>
              <w:ind w:left="579"/>
            </w:pPr>
            <w:r>
              <w:rPr>
                <w:spacing w:val="-2"/>
              </w:rPr>
              <w:t>36~44</w:t>
            </w:r>
          </w:p>
        </w:tc>
        <w:tc>
          <w:tcPr>
            <w:tcW w:w="1690" w:type="dxa"/>
            <w:vAlign w:val="top"/>
          </w:tcPr>
          <w:p w14:paraId="287CD50A">
            <w:pPr>
              <w:pStyle w:val="6"/>
              <w:spacing w:before="82" w:line="182" w:lineRule="auto"/>
              <w:ind w:left="586"/>
            </w:pPr>
            <w:r>
              <w:rPr>
                <w:spacing w:val="-2"/>
              </w:rPr>
              <w:t>65~80</w:t>
            </w:r>
          </w:p>
        </w:tc>
        <w:tc>
          <w:tcPr>
            <w:tcW w:w="1704" w:type="dxa"/>
            <w:tcBorders>
              <w:right w:val="single" w:color="000000" w:sz="12" w:space="0"/>
            </w:tcBorders>
            <w:vAlign w:val="top"/>
          </w:tcPr>
          <w:p w14:paraId="2DA6BAC1">
            <w:pPr>
              <w:pStyle w:val="6"/>
              <w:spacing w:before="82" w:line="182" w:lineRule="auto"/>
              <w:ind w:left="589"/>
            </w:pPr>
            <w:r>
              <w:rPr>
                <w:spacing w:val="-1"/>
              </w:rPr>
              <w:t>20~26</w:t>
            </w:r>
          </w:p>
        </w:tc>
      </w:tr>
      <w:tr w14:paraId="5540F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5" w:type="dxa"/>
            <w:vMerge w:val="continue"/>
            <w:tcBorders>
              <w:top w:val="nil"/>
              <w:left w:val="single" w:color="000000" w:sz="12" w:space="0"/>
            </w:tcBorders>
            <w:vAlign w:val="top"/>
          </w:tcPr>
          <w:p w14:paraId="058A7C2B">
            <w:pPr>
              <w:rPr>
                <w:rFonts w:ascii="Arial"/>
                <w:sz w:val="21"/>
              </w:rPr>
            </w:pPr>
          </w:p>
        </w:tc>
        <w:tc>
          <w:tcPr>
            <w:tcW w:w="988" w:type="dxa"/>
            <w:vMerge w:val="continue"/>
            <w:tcBorders>
              <w:top w:val="nil"/>
            </w:tcBorders>
            <w:vAlign w:val="top"/>
          </w:tcPr>
          <w:p w14:paraId="4E3D0C99">
            <w:pPr>
              <w:rPr>
                <w:rFonts w:ascii="Arial"/>
                <w:sz w:val="21"/>
              </w:rPr>
            </w:pPr>
          </w:p>
        </w:tc>
        <w:tc>
          <w:tcPr>
            <w:tcW w:w="988" w:type="dxa"/>
            <w:vAlign w:val="top"/>
          </w:tcPr>
          <w:p w14:paraId="4463FF74">
            <w:pPr>
              <w:pStyle w:val="6"/>
              <w:spacing w:before="50" w:line="191" w:lineRule="auto"/>
              <w:ind w:left="311"/>
              <w:rPr>
                <w:rFonts w:ascii="宋体" w:hAnsi="宋体" w:eastAsia="宋体" w:cs="宋体"/>
              </w:rPr>
            </w:pPr>
            <w:r>
              <w:rPr>
                <w:spacing w:val="-7"/>
              </w:rPr>
              <w:t>8</w:t>
            </w:r>
            <w:r>
              <w:rPr>
                <w:spacing w:val="14"/>
              </w:rPr>
              <w:t xml:space="preserve"> </w:t>
            </w:r>
            <w:r>
              <w:rPr>
                <w:rFonts w:ascii="宋体" w:hAnsi="宋体" w:eastAsia="宋体" w:cs="宋体"/>
                <w:spacing w:val="-7"/>
              </w:rPr>
              <w:t>月</w:t>
            </w:r>
          </w:p>
        </w:tc>
        <w:tc>
          <w:tcPr>
            <w:tcW w:w="1689" w:type="dxa"/>
            <w:vAlign w:val="top"/>
          </w:tcPr>
          <w:p w14:paraId="2DF60CE3">
            <w:pPr>
              <w:pStyle w:val="6"/>
              <w:spacing w:before="83" w:line="183" w:lineRule="auto"/>
              <w:ind w:left="575"/>
            </w:pPr>
            <w:r>
              <w:rPr>
                <w:spacing w:val="-1"/>
              </w:rPr>
              <w:t>22~33</w:t>
            </w:r>
          </w:p>
        </w:tc>
        <w:tc>
          <w:tcPr>
            <w:tcW w:w="1690" w:type="dxa"/>
            <w:vAlign w:val="top"/>
          </w:tcPr>
          <w:p w14:paraId="2860E6E8">
            <w:pPr>
              <w:pStyle w:val="6"/>
              <w:spacing w:before="83" w:line="183" w:lineRule="auto"/>
              <w:ind w:left="580"/>
            </w:pPr>
            <w:r>
              <w:rPr>
                <w:spacing w:val="-1"/>
              </w:rPr>
              <w:t>43~52</w:t>
            </w:r>
          </w:p>
        </w:tc>
        <w:tc>
          <w:tcPr>
            <w:tcW w:w="1704" w:type="dxa"/>
            <w:tcBorders>
              <w:right w:val="single" w:color="000000" w:sz="12" w:space="0"/>
            </w:tcBorders>
            <w:vAlign w:val="top"/>
          </w:tcPr>
          <w:p w14:paraId="0F87CA30">
            <w:pPr>
              <w:pStyle w:val="6"/>
              <w:spacing w:before="83" w:line="183" w:lineRule="auto"/>
              <w:ind w:left="609"/>
            </w:pPr>
            <w:r>
              <w:rPr>
                <w:spacing w:val="-5"/>
              </w:rPr>
              <w:t>12~21</w:t>
            </w:r>
          </w:p>
        </w:tc>
      </w:tr>
      <w:tr w14:paraId="2AE99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391" w:type="dxa"/>
            <w:gridSpan w:val="3"/>
            <w:tcBorders>
              <w:top w:val="single" w:color="DBE5F1" w:sz="2" w:space="0"/>
              <w:left w:val="single" w:color="000000" w:sz="12" w:space="0"/>
              <w:bottom w:val="single" w:color="000000" w:sz="12" w:space="0"/>
            </w:tcBorders>
            <w:shd w:val="clear" w:color="auto" w:fill="DBE5F1"/>
            <w:vAlign w:val="top"/>
          </w:tcPr>
          <w:p w14:paraId="3AE51A7A">
            <w:pPr>
              <w:pStyle w:val="6"/>
              <w:spacing w:before="50" w:line="194" w:lineRule="auto"/>
              <w:ind w:left="545"/>
              <w:rPr>
                <w:rFonts w:ascii="宋体" w:hAnsi="宋体" w:eastAsia="宋体" w:cs="宋体"/>
              </w:rPr>
            </w:pPr>
            <w:r>
              <w:rPr>
                <w:rFonts w:ascii="宋体" w:hAnsi="宋体" w:eastAsia="宋体" w:cs="宋体"/>
                <w:spacing w:val="-8"/>
              </w:rPr>
              <w:t>二级标准限值 ( μ</w:t>
            </w:r>
            <w:r>
              <w:rPr>
                <w:spacing w:val="-8"/>
              </w:rPr>
              <w:t>g/m</w:t>
            </w:r>
            <w:r>
              <w:rPr>
                <w:spacing w:val="-8"/>
                <w:position w:val="1"/>
                <w:sz w:val="14"/>
                <w:szCs w:val="14"/>
              </w:rPr>
              <w:t>3</w:t>
            </w:r>
            <w:r>
              <w:rPr>
                <w:rFonts w:ascii="宋体" w:hAnsi="宋体" w:eastAsia="宋体" w:cs="宋体"/>
                <w:spacing w:val="-8"/>
                <w:position w:val="1"/>
              </w:rPr>
              <w:t>）</w:t>
            </w:r>
          </w:p>
        </w:tc>
        <w:tc>
          <w:tcPr>
            <w:tcW w:w="1689" w:type="dxa"/>
            <w:tcBorders>
              <w:top w:val="single" w:color="DBE5F1" w:sz="2" w:space="0"/>
              <w:bottom w:val="single" w:color="000000" w:sz="12" w:space="0"/>
            </w:tcBorders>
            <w:shd w:val="clear" w:color="auto" w:fill="DBE5F1"/>
            <w:vAlign w:val="top"/>
          </w:tcPr>
          <w:p w14:paraId="594A9198">
            <w:pPr>
              <w:pStyle w:val="6"/>
              <w:spacing w:before="83" w:line="196" w:lineRule="auto"/>
              <w:ind w:left="705"/>
            </w:pPr>
            <w:r>
              <w:rPr>
                <w:spacing w:val="-9"/>
              </w:rPr>
              <w:t>150</w:t>
            </w:r>
          </w:p>
        </w:tc>
        <w:tc>
          <w:tcPr>
            <w:tcW w:w="1690" w:type="dxa"/>
            <w:tcBorders>
              <w:top w:val="single" w:color="DBE5F1" w:sz="2" w:space="0"/>
              <w:bottom w:val="single" w:color="000000" w:sz="12" w:space="0"/>
            </w:tcBorders>
            <w:shd w:val="clear" w:color="auto" w:fill="DBE5F1"/>
            <w:vAlign w:val="top"/>
          </w:tcPr>
          <w:p w14:paraId="7D4DF241">
            <w:pPr>
              <w:pStyle w:val="6"/>
              <w:spacing w:before="83" w:line="196" w:lineRule="auto"/>
              <w:ind w:left="695"/>
            </w:pPr>
            <w:r>
              <w:rPr>
                <w:spacing w:val="-3"/>
              </w:rPr>
              <w:t>300</w:t>
            </w:r>
          </w:p>
        </w:tc>
        <w:tc>
          <w:tcPr>
            <w:tcW w:w="1704" w:type="dxa"/>
            <w:tcBorders>
              <w:top w:val="single" w:color="DBE5F1" w:sz="2" w:space="0"/>
              <w:bottom w:val="single" w:color="000000" w:sz="12" w:space="0"/>
              <w:right w:val="single" w:color="000000" w:sz="12" w:space="0"/>
            </w:tcBorders>
            <w:shd w:val="clear" w:color="auto" w:fill="DBE5F1"/>
            <w:vAlign w:val="top"/>
          </w:tcPr>
          <w:p w14:paraId="27E3847C">
            <w:pPr>
              <w:pStyle w:val="6"/>
              <w:spacing w:before="83" w:line="196" w:lineRule="auto"/>
              <w:ind w:left="754"/>
            </w:pPr>
            <w:r>
              <w:rPr>
                <w:spacing w:val="-4"/>
              </w:rPr>
              <w:t>75</w:t>
            </w:r>
          </w:p>
        </w:tc>
      </w:tr>
    </w:tbl>
    <w:p w14:paraId="0F2ABA0D">
      <w:pPr>
        <w:pStyle w:val="2"/>
        <w:spacing w:before="30" w:line="233" w:lineRule="auto"/>
        <w:ind w:left="40"/>
        <w:rPr>
          <w:sz w:val="21"/>
          <w:szCs w:val="21"/>
        </w:rPr>
      </w:pPr>
      <w:r>
        <w:rPr>
          <w:sz w:val="21"/>
          <w:szCs w:val="21"/>
        </w:rPr>
        <w:t>备注：大罗贵村和川洞村</w:t>
      </w:r>
      <w:r>
        <w:rPr>
          <w:spacing w:val="-37"/>
          <w:sz w:val="21"/>
          <w:szCs w:val="21"/>
        </w:rPr>
        <w:t xml:space="preserve"> </w:t>
      </w:r>
      <w:r>
        <w:rPr>
          <w:rFonts w:ascii="Times New Roman" w:hAnsi="Times New Roman" w:eastAsia="Times New Roman" w:cs="Times New Roman"/>
          <w:sz w:val="21"/>
          <w:szCs w:val="21"/>
        </w:rPr>
        <w:t xml:space="preserve">2020 </w:t>
      </w:r>
      <w:r>
        <w:rPr>
          <w:sz w:val="21"/>
          <w:szCs w:val="21"/>
        </w:rPr>
        <w:t>年和</w:t>
      </w:r>
      <w:r>
        <w:rPr>
          <w:rFonts w:ascii="Times New Roman" w:hAnsi="Times New Roman" w:eastAsia="Times New Roman" w:cs="Times New Roman"/>
          <w:sz w:val="21"/>
          <w:szCs w:val="21"/>
        </w:rPr>
        <w:t xml:space="preserve">2021 </w:t>
      </w:r>
      <w:r>
        <w:rPr>
          <w:sz w:val="21"/>
          <w:szCs w:val="21"/>
        </w:rPr>
        <w:t>年未监测，王大屯村</w:t>
      </w:r>
      <w:r>
        <w:rPr>
          <w:spacing w:val="-48"/>
          <w:sz w:val="21"/>
          <w:szCs w:val="21"/>
        </w:rPr>
        <w:t xml:space="preserve"> </w:t>
      </w:r>
      <w:r>
        <w:rPr>
          <w:rFonts w:ascii="Times New Roman" w:hAnsi="Times New Roman" w:eastAsia="Times New Roman" w:cs="Times New Roman"/>
          <w:sz w:val="21"/>
          <w:szCs w:val="21"/>
        </w:rPr>
        <w:t xml:space="preserve">2021 </w:t>
      </w:r>
      <w:r>
        <w:rPr>
          <w:sz w:val="21"/>
          <w:szCs w:val="21"/>
        </w:rPr>
        <w:t>年未监测。</w:t>
      </w:r>
    </w:p>
    <w:p w14:paraId="73B0BC29">
      <w:pPr>
        <w:spacing w:line="300" w:lineRule="auto"/>
        <w:rPr>
          <w:rFonts w:ascii="Arial"/>
          <w:sz w:val="21"/>
        </w:rPr>
      </w:pPr>
    </w:p>
    <w:p w14:paraId="19789530">
      <w:pPr>
        <w:spacing w:line="301" w:lineRule="auto"/>
        <w:rPr>
          <w:rFonts w:ascii="Arial"/>
          <w:sz w:val="21"/>
        </w:rPr>
      </w:pPr>
    </w:p>
    <w:p w14:paraId="049F4B26">
      <w:pPr>
        <w:pStyle w:val="2"/>
        <w:spacing w:before="78" w:line="220" w:lineRule="auto"/>
        <w:ind w:left="35"/>
        <w:rPr>
          <w:sz w:val="24"/>
          <w:szCs w:val="24"/>
        </w:rPr>
      </w:pPr>
      <w:r>
        <w:rPr>
          <w:rFonts w:ascii="Arial" w:hAnsi="Arial" w:eastAsia="Arial" w:cs="Arial"/>
          <w:spacing w:val="2"/>
          <w:position w:val="1"/>
          <w:sz w:val="18"/>
          <w:szCs w:val="18"/>
        </w:rPr>
        <w:t>6.2.3.3</w:t>
      </w:r>
      <w:r>
        <w:rPr>
          <w:rFonts w:ascii="Arial" w:hAnsi="Arial" w:eastAsia="Arial" w:cs="Arial"/>
          <w:spacing w:val="41"/>
          <w:w w:val="101"/>
          <w:position w:val="1"/>
          <w:sz w:val="18"/>
          <w:szCs w:val="18"/>
        </w:rPr>
        <w:t xml:space="preserve"> </w:t>
      </w:r>
      <w:r>
        <w:rPr>
          <w:b/>
          <w:bCs/>
          <w:spacing w:val="2"/>
          <w:sz w:val="24"/>
          <w:szCs w:val="24"/>
        </w:rPr>
        <w:t>工程建设对敏感目标环境空气质量影响</w:t>
      </w:r>
    </w:p>
    <w:p w14:paraId="0B4D6FC2">
      <w:pPr>
        <w:pStyle w:val="2"/>
        <w:spacing w:before="273" w:line="339" w:lineRule="auto"/>
        <w:ind w:left="40" w:right="28" w:firstLine="508"/>
        <w:jc w:val="both"/>
        <w:rPr>
          <w:sz w:val="24"/>
          <w:szCs w:val="24"/>
        </w:rPr>
      </w:pPr>
      <w:r>
        <w:rPr>
          <w:spacing w:val="-3"/>
          <w:sz w:val="24"/>
          <w:szCs w:val="24"/>
        </w:rPr>
        <w:t>由表</w:t>
      </w:r>
      <w:r>
        <w:rPr>
          <w:spacing w:val="-50"/>
          <w:sz w:val="24"/>
          <w:szCs w:val="24"/>
        </w:rPr>
        <w:t xml:space="preserve"> </w:t>
      </w:r>
      <w:r>
        <w:rPr>
          <w:rFonts w:ascii="Times New Roman" w:hAnsi="Times New Roman" w:eastAsia="Times New Roman" w:cs="Times New Roman"/>
          <w:spacing w:val="-3"/>
          <w:sz w:val="24"/>
          <w:szCs w:val="24"/>
        </w:rPr>
        <w:t xml:space="preserve">6.2-14 </w:t>
      </w:r>
      <w:r>
        <w:rPr>
          <w:spacing w:val="-3"/>
          <w:sz w:val="24"/>
          <w:szCs w:val="24"/>
        </w:rPr>
        <w:t>可知，工程施工期各监测点</w:t>
      </w:r>
      <w:r>
        <w:rPr>
          <w:spacing w:val="-52"/>
          <w:sz w:val="24"/>
          <w:szCs w:val="24"/>
        </w:rPr>
        <w:t xml:space="preserve"> </w:t>
      </w:r>
      <w:r>
        <w:rPr>
          <w:rFonts w:ascii="Times New Roman" w:hAnsi="Times New Roman" w:eastAsia="Times New Roman" w:cs="Times New Roman"/>
          <w:spacing w:val="-3"/>
          <w:sz w:val="24"/>
          <w:szCs w:val="24"/>
        </w:rPr>
        <w:t>TSP</w:t>
      </w:r>
      <w:r>
        <w:rPr>
          <w:rFonts w:ascii="Times New Roman" w:hAnsi="Times New Roman" w:eastAsia="Times New Roman" w:cs="Times New Roman"/>
          <w:spacing w:val="-34"/>
          <w:sz w:val="24"/>
          <w:szCs w:val="24"/>
        </w:rPr>
        <w:t xml:space="preserve"> </w:t>
      </w:r>
      <w:r>
        <w:rPr>
          <w:spacing w:val="-3"/>
          <w:sz w:val="24"/>
          <w:szCs w:val="24"/>
        </w:rPr>
        <w:t>、</w:t>
      </w:r>
      <w:r>
        <w:rPr>
          <w:rFonts w:ascii="Times New Roman" w:hAnsi="Times New Roman" w:eastAsia="Times New Roman" w:cs="Times New Roman"/>
          <w:spacing w:val="-3"/>
          <w:sz w:val="24"/>
          <w:szCs w:val="24"/>
        </w:rPr>
        <w:t>PM</w:t>
      </w:r>
      <w:r>
        <w:rPr>
          <w:rFonts w:ascii="Times New Roman" w:hAnsi="Times New Roman" w:eastAsia="Times New Roman" w:cs="Times New Roman"/>
          <w:spacing w:val="-3"/>
          <w:sz w:val="15"/>
          <w:szCs w:val="15"/>
        </w:rPr>
        <w:t>10</w:t>
      </w:r>
      <w:r>
        <w:rPr>
          <w:spacing w:val="-3"/>
          <w:sz w:val="24"/>
          <w:szCs w:val="24"/>
        </w:rPr>
        <w:t>、</w:t>
      </w:r>
      <w:r>
        <w:rPr>
          <w:rFonts w:ascii="Times New Roman" w:hAnsi="Times New Roman" w:eastAsia="Times New Roman" w:cs="Times New Roman"/>
          <w:spacing w:val="-3"/>
          <w:sz w:val="24"/>
          <w:szCs w:val="24"/>
        </w:rPr>
        <w:t>PM</w:t>
      </w:r>
      <w:r>
        <w:rPr>
          <w:rFonts w:ascii="Times New Roman" w:hAnsi="Times New Roman" w:eastAsia="Times New Roman" w:cs="Times New Roman"/>
          <w:spacing w:val="-3"/>
          <w:sz w:val="15"/>
          <w:szCs w:val="15"/>
        </w:rPr>
        <w:t xml:space="preserve">2.5  </w:t>
      </w:r>
      <w:r>
        <w:rPr>
          <w:spacing w:val="-3"/>
          <w:sz w:val="24"/>
          <w:szCs w:val="24"/>
        </w:rPr>
        <w:t>日均浓度基</w:t>
      </w:r>
      <w:r>
        <w:rPr>
          <w:spacing w:val="-4"/>
          <w:sz w:val="24"/>
          <w:szCs w:val="24"/>
        </w:rPr>
        <w:t>本满足</w:t>
      </w:r>
      <w:r>
        <w:rPr>
          <w:spacing w:val="-8"/>
          <w:sz w:val="24"/>
          <w:szCs w:val="24"/>
        </w:rPr>
        <w:t>《环境空气质量标准》（</w:t>
      </w:r>
      <w:r>
        <w:rPr>
          <w:rFonts w:ascii="Times New Roman" w:hAnsi="Times New Roman" w:eastAsia="Times New Roman" w:cs="Times New Roman"/>
          <w:spacing w:val="-8"/>
          <w:sz w:val="24"/>
          <w:szCs w:val="24"/>
        </w:rPr>
        <w:t>GB3095-2012</w:t>
      </w:r>
      <w:r>
        <w:rPr>
          <w:spacing w:val="-8"/>
          <w:sz w:val="24"/>
          <w:szCs w:val="24"/>
        </w:rPr>
        <w:t>）二级标准，土官寨村</w:t>
      </w:r>
      <w:r>
        <w:rPr>
          <w:spacing w:val="-43"/>
          <w:sz w:val="24"/>
          <w:szCs w:val="24"/>
        </w:rPr>
        <w:t xml:space="preserve"> </w:t>
      </w:r>
      <w:r>
        <w:rPr>
          <w:rFonts w:ascii="Times New Roman" w:hAnsi="Times New Roman" w:eastAsia="Times New Roman" w:cs="Times New Roman"/>
          <w:spacing w:val="-8"/>
          <w:sz w:val="24"/>
          <w:szCs w:val="24"/>
        </w:rPr>
        <w:t>PM</w:t>
      </w:r>
      <w:r>
        <w:rPr>
          <w:rFonts w:ascii="Times New Roman" w:hAnsi="Times New Roman" w:eastAsia="Times New Roman" w:cs="Times New Roman"/>
          <w:spacing w:val="-8"/>
          <w:sz w:val="15"/>
          <w:szCs w:val="15"/>
        </w:rPr>
        <w:t>2.5</w:t>
      </w:r>
      <w:r>
        <w:rPr>
          <w:rFonts w:ascii="Times New Roman" w:hAnsi="Times New Roman" w:eastAsia="Times New Roman" w:cs="Times New Roman"/>
          <w:spacing w:val="7"/>
          <w:sz w:val="15"/>
          <w:szCs w:val="15"/>
        </w:rPr>
        <w:t xml:space="preserve">  </w:t>
      </w:r>
      <w:r>
        <w:rPr>
          <w:spacing w:val="-8"/>
          <w:sz w:val="24"/>
          <w:szCs w:val="24"/>
        </w:rPr>
        <w:t>日均浓度在</w:t>
      </w:r>
      <w:r>
        <w:rPr>
          <w:spacing w:val="-54"/>
          <w:sz w:val="24"/>
          <w:szCs w:val="24"/>
        </w:rPr>
        <w:t xml:space="preserve"> </w:t>
      </w:r>
      <w:r>
        <w:rPr>
          <w:rFonts w:ascii="Times New Roman" w:hAnsi="Times New Roman" w:eastAsia="Times New Roman" w:cs="Times New Roman"/>
          <w:spacing w:val="-8"/>
          <w:sz w:val="24"/>
          <w:szCs w:val="24"/>
        </w:rPr>
        <w:t>2021</w:t>
      </w:r>
      <w:r>
        <w:rPr>
          <w:spacing w:val="-7"/>
          <w:sz w:val="24"/>
          <w:szCs w:val="24"/>
        </w:rPr>
        <w:t>年</w:t>
      </w:r>
      <w:r>
        <w:rPr>
          <w:spacing w:val="-51"/>
          <w:sz w:val="24"/>
          <w:szCs w:val="24"/>
        </w:rPr>
        <w:t xml:space="preserve"> </w:t>
      </w:r>
      <w:r>
        <w:rPr>
          <w:rFonts w:ascii="Times New Roman" w:hAnsi="Times New Roman" w:eastAsia="Times New Roman" w:cs="Times New Roman"/>
          <w:spacing w:val="-7"/>
          <w:sz w:val="24"/>
          <w:szCs w:val="24"/>
        </w:rPr>
        <w:t>3</w:t>
      </w:r>
      <w:r>
        <w:rPr>
          <w:rFonts w:ascii="Times New Roman" w:hAnsi="Times New Roman" w:eastAsia="Times New Roman" w:cs="Times New Roman"/>
          <w:spacing w:val="16"/>
          <w:sz w:val="24"/>
          <w:szCs w:val="24"/>
        </w:rPr>
        <w:t xml:space="preserve"> </w:t>
      </w:r>
      <w:r>
        <w:rPr>
          <w:spacing w:val="-7"/>
          <w:sz w:val="24"/>
          <w:szCs w:val="24"/>
        </w:rPr>
        <w:t>月略有超标，与春季大风天气、地面裸露有关</w:t>
      </w:r>
      <w:r>
        <w:rPr>
          <w:spacing w:val="-8"/>
          <w:sz w:val="24"/>
          <w:szCs w:val="24"/>
        </w:rPr>
        <w:t>。总的来看，</w:t>
      </w:r>
      <w:r>
        <w:rPr>
          <w:spacing w:val="-24"/>
          <w:sz w:val="24"/>
          <w:szCs w:val="24"/>
        </w:rPr>
        <w:t xml:space="preserve"> </w:t>
      </w:r>
      <w:r>
        <w:rPr>
          <w:spacing w:val="-8"/>
          <w:sz w:val="24"/>
          <w:szCs w:val="24"/>
        </w:rPr>
        <w:t>施工期粉尘浓度局</w:t>
      </w:r>
    </w:p>
    <w:p w14:paraId="1AB7F620">
      <w:pPr>
        <w:spacing w:line="339" w:lineRule="auto"/>
        <w:rPr>
          <w:sz w:val="24"/>
          <w:szCs w:val="24"/>
        </w:rPr>
        <w:sectPr>
          <w:footerReference r:id="rId265" w:type="default"/>
          <w:pgSz w:w="11907" w:h="16839"/>
          <w:pgMar w:top="1376" w:right="1669" w:bottom="1061" w:left="1671" w:header="999" w:footer="861" w:gutter="0"/>
          <w:cols w:space="720" w:num="1"/>
        </w:sectPr>
      </w:pPr>
    </w:p>
    <w:p w14:paraId="463482C7">
      <w:pPr>
        <w:spacing w:line="455" w:lineRule="auto"/>
        <w:rPr>
          <w:rFonts w:ascii="Arial"/>
          <w:sz w:val="21"/>
        </w:rPr>
      </w:pPr>
    </w:p>
    <w:p w14:paraId="6F4CD63B">
      <w:pPr>
        <w:pStyle w:val="2"/>
        <w:spacing w:before="78" w:line="340" w:lineRule="auto"/>
        <w:ind w:left="37" w:firstLine="4"/>
        <w:jc w:val="both"/>
        <w:rPr>
          <w:sz w:val="24"/>
          <w:szCs w:val="24"/>
        </w:rPr>
      </w:pPr>
      <w:r>
        <w:rPr>
          <w:spacing w:val="-2"/>
          <w:sz w:val="24"/>
          <w:szCs w:val="24"/>
        </w:rPr>
        <w:t>部时段较环评阶段略有升高，表明工程施工活动对区域环境</w:t>
      </w:r>
      <w:r>
        <w:rPr>
          <w:spacing w:val="-3"/>
          <w:sz w:val="24"/>
          <w:szCs w:val="24"/>
        </w:rPr>
        <w:t>空气质量有一定影响，</w:t>
      </w:r>
      <w:r>
        <w:rPr>
          <w:spacing w:val="-4"/>
          <w:sz w:val="24"/>
          <w:szCs w:val="24"/>
        </w:rPr>
        <w:t>但未出现明显下降。非下雨天和大风天气应加强洒水频次，对裸露地表及时覆盖，</w:t>
      </w:r>
      <w:r>
        <w:rPr>
          <w:spacing w:val="-1"/>
          <w:sz w:val="24"/>
          <w:szCs w:val="24"/>
        </w:rPr>
        <w:t>待施工结束后，该扬尘影响将随之消失。</w:t>
      </w:r>
    </w:p>
    <w:p w14:paraId="19B73B12">
      <w:pPr>
        <w:pStyle w:val="2"/>
        <w:spacing w:before="80" w:line="227" w:lineRule="auto"/>
        <w:ind w:left="36"/>
        <w:rPr>
          <w:sz w:val="27"/>
          <w:szCs w:val="27"/>
        </w:rPr>
      </w:pPr>
      <w:r>
        <w:rPr>
          <w:rFonts w:ascii="Arial" w:hAnsi="Arial" w:eastAsia="Arial" w:cs="Arial"/>
          <w:spacing w:val="9"/>
          <w:position w:val="1"/>
          <w:sz w:val="21"/>
          <w:szCs w:val="21"/>
        </w:rPr>
        <w:t>6.2.4</w:t>
      </w:r>
      <w:r>
        <w:rPr>
          <w:rFonts w:ascii="Arial" w:hAnsi="Arial" w:eastAsia="Arial" w:cs="Arial"/>
          <w:spacing w:val="4"/>
          <w:position w:val="1"/>
          <w:sz w:val="21"/>
          <w:szCs w:val="21"/>
        </w:rPr>
        <w:t xml:space="preserve">     </w:t>
      </w:r>
      <w:r>
        <w:rPr>
          <w:b/>
          <w:bCs/>
          <w:spacing w:val="9"/>
          <w:position w:val="-1"/>
          <w:sz w:val="27"/>
          <w:szCs w:val="27"/>
        </w:rPr>
        <w:t>声环境影响</w:t>
      </w:r>
    </w:p>
    <w:p w14:paraId="236B00F3">
      <w:pPr>
        <w:pStyle w:val="2"/>
        <w:spacing w:before="261" w:line="220" w:lineRule="auto"/>
        <w:ind w:left="35"/>
        <w:rPr>
          <w:sz w:val="24"/>
          <w:szCs w:val="24"/>
        </w:rPr>
      </w:pPr>
      <w:r>
        <w:rPr>
          <w:rFonts w:ascii="Arial" w:hAnsi="Arial" w:eastAsia="Arial" w:cs="Arial"/>
          <w:spacing w:val="3"/>
          <w:position w:val="1"/>
          <w:sz w:val="18"/>
          <w:szCs w:val="18"/>
        </w:rPr>
        <w:t>6.2.4.1</w:t>
      </w:r>
      <w:r>
        <w:rPr>
          <w:rFonts w:ascii="Arial" w:hAnsi="Arial" w:eastAsia="Arial" w:cs="Arial"/>
          <w:spacing w:val="53"/>
          <w:w w:val="101"/>
          <w:position w:val="1"/>
          <w:sz w:val="18"/>
          <w:szCs w:val="18"/>
        </w:rPr>
        <w:t xml:space="preserve"> </w:t>
      </w:r>
      <w:r>
        <w:rPr>
          <w:b/>
          <w:bCs/>
          <w:spacing w:val="3"/>
          <w:position w:val="-1"/>
          <w:sz w:val="24"/>
          <w:szCs w:val="24"/>
        </w:rPr>
        <w:t>工程建设前声环境质量</w:t>
      </w:r>
    </w:p>
    <w:p w14:paraId="56E7248A">
      <w:pPr>
        <w:pStyle w:val="2"/>
        <w:spacing w:before="274" w:line="338" w:lineRule="auto"/>
        <w:ind w:left="39" w:right="66" w:firstLine="480"/>
        <w:rPr>
          <w:sz w:val="24"/>
          <w:szCs w:val="24"/>
        </w:rPr>
      </w:pPr>
      <w:r>
        <w:rPr>
          <w:spacing w:val="-5"/>
          <w:sz w:val="24"/>
          <w:szCs w:val="24"/>
        </w:rPr>
        <w:t>环评阶段，于</w:t>
      </w:r>
      <w:r>
        <w:rPr>
          <w:spacing w:val="-55"/>
          <w:sz w:val="24"/>
          <w:szCs w:val="24"/>
        </w:rPr>
        <w:t xml:space="preserve"> </w:t>
      </w:r>
      <w:r>
        <w:rPr>
          <w:rFonts w:ascii="Times New Roman" w:hAnsi="Times New Roman" w:eastAsia="Times New Roman" w:cs="Times New Roman"/>
          <w:spacing w:val="-5"/>
          <w:sz w:val="24"/>
          <w:szCs w:val="24"/>
        </w:rPr>
        <w:t xml:space="preserve">2015 </w:t>
      </w:r>
      <w:r>
        <w:rPr>
          <w:spacing w:val="-5"/>
          <w:sz w:val="24"/>
          <w:szCs w:val="24"/>
        </w:rPr>
        <w:t>年</w:t>
      </w:r>
      <w:r>
        <w:rPr>
          <w:spacing w:val="-49"/>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15"/>
          <w:sz w:val="24"/>
          <w:szCs w:val="24"/>
        </w:rPr>
        <w:t xml:space="preserve"> </w:t>
      </w:r>
      <w:r>
        <w:rPr>
          <w:spacing w:val="-5"/>
          <w:sz w:val="24"/>
          <w:szCs w:val="24"/>
        </w:rPr>
        <w:t>月</w:t>
      </w:r>
      <w:r>
        <w:rPr>
          <w:spacing w:val="-56"/>
          <w:sz w:val="24"/>
          <w:szCs w:val="24"/>
        </w:rPr>
        <w:t xml:space="preserve"> </w:t>
      </w:r>
      <w:r>
        <w:rPr>
          <w:rFonts w:ascii="Times New Roman" w:hAnsi="Times New Roman" w:eastAsia="Times New Roman" w:cs="Times New Roman"/>
          <w:spacing w:val="-5"/>
          <w:sz w:val="24"/>
          <w:szCs w:val="24"/>
        </w:rPr>
        <w:t xml:space="preserve">4  </w:t>
      </w:r>
      <w:r>
        <w:rPr>
          <w:spacing w:val="-5"/>
          <w:sz w:val="24"/>
          <w:szCs w:val="24"/>
        </w:rPr>
        <w:t>日</w:t>
      </w:r>
      <w:r>
        <w:rPr>
          <w:rFonts w:ascii="Times New Roman" w:hAnsi="Times New Roman" w:eastAsia="Times New Roman" w:cs="Times New Roman"/>
          <w:spacing w:val="-5"/>
          <w:sz w:val="24"/>
          <w:szCs w:val="24"/>
        </w:rPr>
        <w:t xml:space="preserve">-5  </w:t>
      </w:r>
      <w:r>
        <w:rPr>
          <w:spacing w:val="-5"/>
          <w:sz w:val="24"/>
          <w:szCs w:val="24"/>
        </w:rPr>
        <w:t>日对工程区</w:t>
      </w:r>
      <w:r>
        <w:rPr>
          <w:spacing w:val="-49"/>
          <w:sz w:val="24"/>
          <w:szCs w:val="24"/>
        </w:rPr>
        <w:t xml:space="preserve"> </w:t>
      </w:r>
      <w:r>
        <w:rPr>
          <w:rFonts w:ascii="Times New Roman" w:hAnsi="Times New Roman" w:eastAsia="Times New Roman" w:cs="Times New Roman"/>
          <w:spacing w:val="-5"/>
          <w:sz w:val="24"/>
          <w:szCs w:val="24"/>
        </w:rPr>
        <w:t xml:space="preserve">5 </w:t>
      </w:r>
      <w:r>
        <w:rPr>
          <w:spacing w:val="-5"/>
          <w:sz w:val="24"/>
          <w:szCs w:val="24"/>
        </w:rPr>
        <w:t>个监测点声环境质量进行</w:t>
      </w:r>
      <w:r>
        <w:rPr>
          <w:spacing w:val="-6"/>
          <w:sz w:val="24"/>
          <w:szCs w:val="24"/>
        </w:rPr>
        <w:t>了现</w:t>
      </w:r>
      <w:r>
        <w:rPr>
          <w:spacing w:val="-1"/>
          <w:sz w:val="24"/>
          <w:szCs w:val="24"/>
        </w:rPr>
        <w:t>状监测。各监测点声环境质量监测结果见表</w:t>
      </w:r>
      <w:r>
        <w:rPr>
          <w:spacing w:val="-44"/>
          <w:sz w:val="24"/>
          <w:szCs w:val="24"/>
        </w:rPr>
        <w:t xml:space="preserve"> </w:t>
      </w:r>
      <w:r>
        <w:rPr>
          <w:rFonts w:ascii="Times New Roman" w:hAnsi="Times New Roman" w:eastAsia="Times New Roman" w:cs="Times New Roman"/>
          <w:spacing w:val="-1"/>
          <w:sz w:val="24"/>
          <w:szCs w:val="24"/>
        </w:rPr>
        <w:t>6.2-15</w:t>
      </w:r>
      <w:r>
        <w:rPr>
          <w:spacing w:val="-1"/>
          <w:sz w:val="24"/>
          <w:szCs w:val="24"/>
        </w:rPr>
        <w:t>。</w:t>
      </w:r>
    </w:p>
    <w:p w14:paraId="0BA4A874">
      <w:pPr>
        <w:pStyle w:val="2"/>
        <w:spacing w:line="215"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 xml:space="preserve">6.2-15                              </w:t>
      </w:r>
      <w:r>
        <w:rPr>
          <w:b/>
          <w:bCs/>
          <w:spacing w:val="-1"/>
          <w:sz w:val="24"/>
          <w:szCs w:val="24"/>
        </w:rPr>
        <w:t>环评阶段声环境达标情况</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dB(A)</w:t>
      </w:r>
    </w:p>
    <w:p w14:paraId="13DBD51A">
      <w:pPr>
        <w:spacing w:line="14" w:lineRule="exact"/>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2"/>
        <w:gridCol w:w="954"/>
        <w:gridCol w:w="1207"/>
        <w:gridCol w:w="1619"/>
        <w:gridCol w:w="1696"/>
        <w:gridCol w:w="1975"/>
      </w:tblGrid>
      <w:tr w14:paraId="21C99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1022" w:type="dxa"/>
            <w:tcBorders>
              <w:top w:val="single" w:color="000000" w:sz="12" w:space="0"/>
              <w:left w:val="single" w:color="000000" w:sz="12" w:space="0"/>
            </w:tcBorders>
            <w:vAlign w:val="top"/>
          </w:tcPr>
          <w:p w14:paraId="00B1166B">
            <w:pPr>
              <w:spacing w:before="82" w:line="221" w:lineRule="auto"/>
              <w:ind w:left="78"/>
              <w:rPr>
                <w:rFonts w:ascii="宋体" w:hAnsi="宋体" w:eastAsia="宋体" w:cs="宋体"/>
                <w:sz w:val="21"/>
                <w:szCs w:val="21"/>
              </w:rPr>
            </w:pPr>
            <w:r>
              <w:rPr>
                <w:rFonts w:ascii="宋体" w:hAnsi="宋体" w:eastAsia="宋体" w:cs="宋体"/>
                <w:spacing w:val="-2"/>
                <w:sz w:val="21"/>
                <w:szCs w:val="21"/>
              </w:rPr>
              <w:t>测点点位</w:t>
            </w:r>
          </w:p>
        </w:tc>
        <w:tc>
          <w:tcPr>
            <w:tcW w:w="2161" w:type="dxa"/>
            <w:gridSpan w:val="2"/>
            <w:tcBorders>
              <w:top w:val="single" w:color="000000" w:sz="12" w:space="0"/>
            </w:tcBorders>
            <w:vAlign w:val="top"/>
          </w:tcPr>
          <w:p w14:paraId="761EB171">
            <w:pPr>
              <w:spacing w:before="82" w:line="221" w:lineRule="auto"/>
              <w:ind w:left="655"/>
              <w:rPr>
                <w:rFonts w:ascii="宋体" w:hAnsi="宋体" w:eastAsia="宋体" w:cs="宋体"/>
                <w:sz w:val="21"/>
                <w:szCs w:val="21"/>
              </w:rPr>
            </w:pPr>
            <w:r>
              <w:rPr>
                <w:rFonts w:ascii="宋体" w:hAnsi="宋体" w:eastAsia="宋体" w:cs="宋体"/>
                <w:spacing w:val="-2"/>
                <w:sz w:val="21"/>
                <w:szCs w:val="21"/>
              </w:rPr>
              <w:t>监测时间</w:t>
            </w:r>
          </w:p>
        </w:tc>
        <w:tc>
          <w:tcPr>
            <w:tcW w:w="1619" w:type="dxa"/>
            <w:tcBorders>
              <w:top w:val="single" w:color="000000" w:sz="12" w:space="0"/>
            </w:tcBorders>
            <w:vAlign w:val="top"/>
          </w:tcPr>
          <w:p w14:paraId="17092447">
            <w:pPr>
              <w:pStyle w:val="6"/>
              <w:spacing w:before="116" w:line="190" w:lineRule="auto"/>
              <w:ind w:left="644"/>
            </w:pPr>
            <w:r>
              <w:rPr>
                <w:spacing w:val="-2"/>
              </w:rPr>
              <w:t>Leq</w:t>
            </w:r>
          </w:p>
        </w:tc>
        <w:tc>
          <w:tcPr>
            <w:tcW w:w="1696" w:type="dxa"/>
            <w:tcBorders>
              <w:top w:val="single" w:color="000000" w:sz="12" w:space="0"/>
            </w:tcBorders>
            <w:vAlign w:val="top"/>
          </w:tcPr>
          <w:p w14:paraId="22324952">
            <w:pPr>
              <w:pStyle w:val="6"/>
              <w:spacing w:before="82" w:line="233" w:lineRule="auto"/>
              <w:ind w:left="478"/>
              <w:rPr>
                <w:rFonts w:ascii="宋体" w:hAnsi="宋体" w:eastAsia="宋体" w:cs="宋体"/>
              </w:rPr>
            </w:pPr>
            <w:r>
              <w:rPr>
                <w:spacing w:val="-8"/>
              </w:rPr>
              <w:t>1</w:t>
            </w:r>
            <w:r>
              <w:rPr>
                <w:spacing w:val="10"/>
              </w:rPr>
              <w:t xml:space="preserve"> </w:t>
            </w:r>
            <w:r>
              <w:rPr>
                <w:rFonts w:ascii="宋体" w:hAnsi="宋体" w:eastAsia="宋体" w:cs="宋体"/>
                <w:spacing w:val="-8"/>
              </w:rPr>
              <w:t>类标准</w:t>
            </w:r>
          </w:p>
        </w:tc>
        <w:tc>
          <w:tcPr>
            <w:tcW w:w="1975" w:type="dxa"/>
            <w:tcBorders>
              <w:top w:val="single" w:color="000000" w:sz="12" w:space="0"/>
              <w:right w:val="single" w:color="000000" w:sz="12" w:space="0"/>
            </w:tcBorders>
            <w:vAlign w:val="top"/>
          </w:tcPr>
          <w:p w14:paraId="45D23920">
            <w:pPr>
              <w:spacing w:before="82" w:line="220" w:lineRule="auto"/>
              <w:ind w:left="574"/>
              <w:rPr>
                <w:rFonts w:ascii="宋体" w:hAnsi="宋体" w:eastAsia="宋体" w:cs="宋体"/>
                <w:sz w:val="21"/>
                <w:szCs w:val="21"/>
              </w:rPr>
            </w:pPr>
            <w:r>
              <w:rPr>
                <w:rFonts w:ascii="宋体" w:hAnsi="宋体" w:eastAsia="宋体" w:cs="宋体"/>
                <w:spacing w:val="-2"/>
                <w:sz w:val="21"/>
                <w:szCs w:val="21"/>
              </w:rPr>
              <w:t>达标情况</w:t>
            </w:r>
          </w:p>
        </w:tc>
      </w:tr>
      <w:tr w14:paraId="6B29E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restart"/>
            <w:tcBorders>
              <w:left w:val="single" w:color="000000" w:sz="12" w:space="0"/>
              <w:bottom w:val="nil"/>
            </w:tcBorders>
            <w:vAlign w:val="top"/>
          </w:tcPr>
          <w:p w14:paraId="2A1FCF55">
            <w:pPr>
              <w:spacing w:line="462" w:lineRule="auto"/>
              <w:rPr>
                <w:rFonts w:ascii="Arial"/>
                <w:sz w:val="21"/>
              </w:rPr>
            </w:pPr>
          </w:p>
          <w:p w14:paraId="5E45E02F">
            <w:pPr>
              <w:spacing w:before="68" w:line="219" w:lineRule="auto"/>
              <w:ind w:left="79"/>
              <w:rPr>
                <w:rFonts w:ascii="宋体" w:hAnsi="宋体" w:eastAsia="宋体" w:cs="宋体"/>
                <w:sz w:val="21"/>
                <w:szCs w:val="21"/>
              </w:rPr>
            </w:pPr>
            <w:r>
              <w:rPr>
                <w:rFonts w:ascii="宋体" w:hAnsi="宋体" w:eastAsia="宋体" w:cs="宋体"/>
                <w:spacing w:val="-2"/>
                <w:sz w:val="21"/>
                <w:szCs w:val="21"/>
              </w:rPr>
              <w:t>王大屯村</w:t>
            </w:r>
          </w:p>
        </w:tc>
        <w:tc>
          <w:tcPr>
            <w:tcW w:w="954" w:type="dxa"/>
            <w:vMerge w:val="restart"/>
            <w:tcBorders>
              <w:bottom w:val="nil"/>
            </w:tcBorders>
            <w:vAlign w:val="top"/>
          </w:tcPr>
          <w:p w14:paraId="00CAE4DE">
            <w:pPr>
              <w:pStyle w:val="6"/>
              <w:spacing w:before="210" w:line="233" w:lineRule="auto"/>
              <w:ind w:left="77"/>
              <w:rPr>
                <w:rFonts w:ascii="宋体" w:hAnsi="宋体" w:eastAsia="宋体" w:cs="宋体"/>
              </w:rPr>
            </w:pPr>
            <w:r>
              <w:rPr>
                <w:spacing w:val="-7"/>
              </w:rPr>
              <w:t>6</w:t>
            </w:r>
            <w:r>
              <w:rPr>
                <w:spacing w:val="15"/>
              </w:rPr>
              <w:t xml:space="preserve"> </w:t>
            </w:r>
            <w:r>
              <w:rPr>
                <w:rFonts w:ascii="宋体" w:hAnsi="宋体" w:eastAsia="宋体" w:cs="宋体"/>
                <w:spacing w:val="-7"/>
              </w:rPr>
              <w:t>月</w:t>
            </w:r>
            <w:r>
              <w:rPr>
                <w:rFonts w:ascii="宋体" w:hAnsi="宋体" w:eastAsia="宋体" w:cs="宋体"/>
                <w:spacing w:val="-50"/>
              </w:rPr>
              <w:t xml:space="preserve"> </w:t>
            </w:r>
            <w:r>
              <w:rPr>
                <w:spacing w:val="-7"/>
              </w:rPr>
              <w:t>4</w:t>
            </w:r>
            <w:r>
              <w:rPr>
                <w:spacing w:val="45"/>
                <w:w w:val="101"/>
              </w:rPr>
              <w:t xml:space="preserve"> </w:t>
            </w:r>
            <w:r>
              <w:rPr>
                <w:rFonts w:ascii="宋体" w:hAnsi="宋体" w:eastAsia="宋体" w:cs="宋体"/>
                <w:spacing w:val="-7"/>
              </w:rPr>
              <w:t>日</w:t>
            </w:r>
          </w:p>
        </w:tc>
        <w:tc>
          <w:tcPr>
            <w:tcW w:w="1207" w:type="dxa"/>
            <w:vAlign w:val="top"/>
          </w:tcPr>
          <w:p w14:paraId="1B7681BB">
            <w:pPr>
              <w:spacing w:before="69" w:line="204"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5250A685">
            <w:pPr>
              <w:pStyle w:val="6"/>
              <w:spacing w:before="87" w:line="213" w:lineRule="auto"/>
              <w:ind w:left="622"/>
            </w:pPr>
            <w:r>
              <w:rPr>
                <w:spacing w:val="-1"/>
              </w:rPr>
              <w:t>46.4</w:t>
            </w:r>
          </w:p>
        </w:tc>
        <w:tc>
          <w:tcPr>
            <w:tcW w:w="1696" w:type="dxa"/>
            <w:vAlign w:val="top"/>
          </w:tcPr>
          <w:p w14:paraId="4BB3C32E">
            <w:pPr>
              <w:pStyle w:val="6"/>
              <w:spacing w:before="87" w:line="213" w:lineRule="auto"/>
              <w:ind w:left="752"/>
            </w:pPr>
            <w:r>
              <w:rPr>
                <w:spacing w:val="-5"/>
              </w:rPr>
              <w:t>55</w:t>
            </w:r>
          </w:p>
        </w:tc>
        <w:tc>
          <w:tcPr>
            <w:tcW w:w="1975" w:type="dxa"/>
            <w:tcBorders>
              <w:right w:val="single" w:color="000000" w:sz="12" w:space="0"/>
            </w:tcBorders>
            <w:vAlign w:val="top"/>
          </w:tcPr>
          <w:p w14:paraId="29D83203">
            <w:pPr>
              <w:spacing w:before="69" w:line="204" w:lineRule="auto"/>
              <w:ind w:left="784"/>
              <w:rPr>
                <w:rFonts w:ascii="宋体" w:hAnsi="宋体" w:eastAsia="宋体" w:cs="宋体"/>
                <w:sz w:val="21"/>
                <w:szCs w:val="21"/>
              </w:rPr>
            </w:pPr>
            <w:r>
              <w:rPr>
                <w:rFonts w:ascii="宋体" w:hAnsi="宋体" w:eastAsia="宋体" w:cs="宋体"/>
                <w:spacing w:val="-2"/>
                <w:sz w:val="21"/>
                <w:szCs w:val="21"/>
              </w:rPr>
              <w:t>达标</w:t>
            </w:r>
          </w:p>
        </w:tc>
      </w:tr>
      <w:tr w14:paraId="7BCD5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22" w:type="dxa"/>
            <w:vMerge w:val="continue"/>
            <w:tcBorders>
              <w:top w:val="nil"/>
              <w:left w:val="single" w:color="000000" w:sz="12" w:space="0"/>
              <w:bottom w:val="nil"/>
            </w:tcBorders>
            <w:vAlign w:val="top"/>
          </w:tcPr>
          <w:p w14:paraId="3365BDE6">
            <w:pPr>
              <w:rPr>
                <w:rFonts w:ascii="Arial"/>
                <w:sz w:val="21"/>
              </w:rPr>
            </w:pPr>
          </w:p>
        </w:tc>
        <w:tc>
          <w:tcPr>
            <w:tcW w:w="954" w:type="dxa"/>
            <w:vMerge w:val="continue"/>
            <w:tcBorders>
              <w:top w:val="nil"/>
            </w:tcBorders>
            <w:vAlign w:val="top"/>
          </w:tcPr>
          <w:p w14:paraId="0956B90B">
            <w:pPr>
              <w:rPr>
                <w:rFonts w:ascii="Arial"/>
                <w:sz w:val="21"/>
              </w:rPr>
            </w:pPr>
          </w:p>
        </w:tc>
        <w:tc>
          <w:tcPr>
            <w:tcW w:w="1207" w:type="dxa"/>
            <w:vAlign w:val="top"/>
          </w:tcPr>
          <w:p w14:paraId="442F1666">
            <w:pPr>
              <w:spacing w:before="71" w:line="202"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28A50D81">
            <w:pPr>
              <w:pStyle w:val="6"/>
              <w:spacing w:before="89" w:line="210" w:lineRule="auto"/>
              <w:ind w:left="622"/>
            </w:pPr>
            <w:r>
              <w:rPr>
                <w:spacing w:val="-1"/>
              </w:rPr>
              <w:t>45.5</w:t>
            </w:r>
          </w:p>
        </w:tc>
        <w:tc>
          <w:tcPr>
            <w:tcW w:w="1696" w:type="dxa"/>
            <w:vAlign w:val="top"/>
          </w:tcPr>
          <w:p w14:paraId="403B8B3E">
            <w:pPr>
              <w:pStyle w:val="6"/>
              <w:spacing w:before="89" w:line="210" w:lineRule="auto"/>
              <w:ind w:left="746"/>
            </w:pPr>
            <w:r>
              <w:rPr>
                <w:spacing w:val="-2"/>
              </w:rPr>
              <w:t>45</w:t>
            </w:r>
          </w:p>
        </w:tc>
        <w:tc>
          <w:tcPr>
            <w:tcW w:w="1975" w:type="dxa"/>
            <w:tcBorders>
              <w:right w:val="single" w:color="000000" w:sz="12" w:space="0"/>
            </w:tcBorders>
            <w:vAlign w:val="top"/>
          </w:tcPr>
          <w:p w14:paraId="6AC8054C">
            <w:pPr>
              <w:pStyle w:val="6"/>
              <w:spacing w:before="71" w:line="202" w:lineRule="auto"/>
              <w:ind w:left="627"/>
            </w:pPr>
            <w:r>
              <w:rPr>
                <w:rFonts w:ascii="宋体" w:hAnsi="宋体" w:eastAsia="宋体" w:cs="宋体"/>
                <w:spacing w:val="-4"/>
              </w:rPr>
              <w:t>超标</w:t>
            </w:r>
            <w:r>
              <w:rPr>
                <w:rFonts w:ascii="宋体" w:hAnsi="宋体" w:eastAsia="宋体" w:cs="宋体"/>
                <w:spacing w:val="-41"/>
              </w:rPr>
              <w:t xml:space="preserve"> </w:t>
            </w:r>
            <w:r>
              <w:rPr>
                <w:spacing w:val="-4"/>
              </w:rPr>
              <w:t>0.5</w:t>
            </w:r>
          </w:p>
        </w:tc>
      </w:tr>
      <w:tr w14:paraId="62101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continue"/>
            <w:tcBorders>
              <w:top w:val="nil"/>
              <w:left w:val="single" w:color="000000" w:sz="12" w:space="0"/>
              <w:bottom w:val="nil"/>
            </w:tcBorders>
            <w:vAlign w:val="top"/>
          </w:tcPr>
          <w:p w14:paraId="6B20BACF">
            <w:pPr>
              <w:rPr>
                <w:rFonts w:ascii="Arial"/>
                <w:sz w:val="21"/>
              </w:rPr>
            </w:pPr>
          </w:p>
        </w:tc>
        <w:tc>
          <w:tcPr>
            <w:tcW w:w="954" w:type="dxa"/>
            <w:vMerge w:val="restart"/>
            <w:tcBorders>
              <w:bottom w:val="nil"/>
            </w:tcBorders>
            <w:vAlign w:val="top"/>
          </w:tcPr>
          <w:p w14:paraId="264A6E9A">
            <w:pPr>
              <w:pStyle w:val="6"/>
              <w:spacing w:before="215" w:line="233" w:lineRule="auto"/>
              <w:ind w:left="77"/>
              <w:rPr>
                <w:rFonts w:ascii="宋体" w:hAnsi="宋体" w:eastAsia="宋体" w:cs="宋体"/>
              </w:rPr>
            </w:pPr>
            <w:r>
              <w:rPr>
                <w:spacing w:val="-9"/>
              </w:rPr>
              <w:t>6</w:t>
            </w:r>
            <w:r>
              <w:rPr>
                <w:spacing w:val="16"/>
                <w:w w:val="101"/>
              </w:rPr>
              <w:t xml:space="preserve"> </w:t>
            </w:r>
            <w:r>
              <w:rPr>
                <w:rFonts w:ascii="宋体" w:hAnsi="宋体" w:eastAsia="宋体" w:cs="宋体"/>
                <w:spacing w:val="-9"/>
              </w:rPr>
              <w:t>月</w:t>
            </w:r>
            <w:r>
              <w:rPr>
                <w:rFonts w:ascii="宋体" w:hAnsi="宋体" w:eastAsia="宋体" w:cs="宋体"/>
                <w:spacing w:val="-44"/>
              </w:rPr>
              <w:t xml:space="preserve"> </w:t>
            </w:r>
            <w:r>
              <w:rPr>
                <w:spacing w:val="-9"/>
              </w:rPr>
              <w:t>5</w:t>
            </w:r>
            <w:r>
              <w:rPr>
                <w:spacing w:val="46"/>
              </w:rPr>
              <w:t xml:space="preserve"> </w:t>
            </w:r>
            <w:r>
              <w:rPr>
                <w:rFonts w:ascii="宋体" w:hAnsi="宋体" w:eastAsia="宋体" w:cs="宋体"/>
                <w:spacing w:val="-9"/>
              </w:rPr>
              <w:t>日</w:t>
            </w:r>
          </w:p>
        </w:tc>
        <w:tc>
          <w:tcPr>
            <w:tcW w:w="1207" w:type="dxa"/>
            <w:vAlign w:val="top"/>
          </w:tcPr>
          <w:p w14:paraId="3E23A7F3">
            <w:pPr>
              <w:spacing w:before="74" w:line="200"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3064ED1E">
            <w:pPr>
              <w:pStyle w:val="6"/>
              <w:spacing w:before="92" w:line="208" w:lineRule="auto"/>
              <w:ind w:left="622"/>
            </w:pPr>
            <w:r>
              <w:rPr>
                <w:spacing w:val="-1"/>
              </w:rPr>
              <w:t>45.6</w:t>
            </w:r>
          </w:p>
        </w:tc>
        <w:tc>
          <w:tcPr>
            <w:tcW w:w="1696" w:type="dxa"/>
            <w:vAlign w:val="top"/>
          </w:tcPr>
          <w:p w14:paraId="0719F58A">
            <w:pPr>
              <w:pStyle w:val="6"/>
              <w:spacing w:before="92" w:line="208" w:lineRule="auto"/>
              <w:ind w:left="752"/>
            </w:pPr>
            <w:r>
              <w:rPr>
                <w:spacing w:val="-5"/>
              </w:rPr>
              <w:t>55</w:t>
            </w:r>
          </w:p>
        </w:tc>
        <w:tc>
          <w:tcPr>
            <w:tcW w:w="1975" w:type="dxa"/>
            <w:tcBorders>
              <w:right w:val="single" w:color="000000" w:sz="12" w:space="0"/>
            </w:tcBorders>
            <w:vAlign w:val="top"/>
          </w:tcPr>
          <w:p w14:paraId="19692925">
            <w:pPr>
              <w:spacing w:before="74" w:line="200" w:lineRule="auto"/>
              <w:ind w:left="784"/>
              <w:rPr>
                <w:rFonts w:ascii="宋体" w:hAnsi="宋体" w:eastAsia="宋体" w:cs="宋体"/>
                <w:sz w:val="21"/>
                <w:szCs w:val="21"/>
              </w:rPr>
            </w:pPr>
            <w:r>
              <w:rPr>
                <w:rFonts w:ascii="宋体" w:hAnsi="宋体" w:eastAsia="宋体" w:cs="宋体"/>
                <w:spacing w:val="-2"/>
                <w:sz w:val="21"/>
                <w:szCs w:val="21"/>
              </w:rPr>
              <w:t>达标</w:t>
            </w:r>
          </w:p>
        </w:tc>
      </w:tr>
      <w:tr w14:paraId="351B4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continue"/>
            <w:tcBorders>
              <w:top w:val="nil"/>
              <w:left w:val="single" w:color="000000" w:sz="12" w:space="0"/>
            </w:tcBorders>
            <w:vAlign w:val="top"/>
          </w:tcPr>
          <w:p w14:paraId="4CF52DE7">
            <w:pPr>
              <w:rPr>
                <w:rFonts w:ascii="Arial"/>
                <w:sz w:val="21"/>
              </w:rPr>
            </w:pPr>
          </w:p>
        </w:tc>
        <w:tc>
          <w:tcPr>
            <w:tcW w:w="954" w:type="dxa"/>
            <w:vMerge w:val="continue"/>
            <w:tcBorders>
              <w:top w:val="nil"/>
            </w:tcBorders>
            <w:vAlign w:val="top"/>
          </w:tcPr>
          <w:p w14:paraId="02F2D8D9">
            <w:pPr>
              <w:rPr>
                <w:rFonts w:ascii="Arial"/>
                <w:sz w:val="21"/>
              </w:rPr>
            </w:pPr>
          </w:p>
        </w:tc>
        <w:tc>
          <w:tcPr>
            <w:tcW w:w="1207" w:type="dxa"/>
            <w:vAlign w:val="top"/>
          </w:tcPr>
          <w:p w14:paraId="31430106">
            <w:pPr>
              <w:spacing w:before="76" w:line="198"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67824424">
            <w:pPr>
              <w:pStyle w:val="6"/>
              <w:spacing w:before="94" w:line="206" w:lineRule="auto"/>
              <w:ind w:left="622"/>
            </w:pPr>
            <w:r>
              <w:rPr>
                <w:spacing w:val="-1"/>
              </w:rPr>
              <w:t>46.4</w:t>
            </w:r>
          </w:p>
        </w:tc>
        <w:tc>
          <w:tcPr>
            <w:tcW w:w="1696" w:type="dxa"/>
            <w:vAlign w:val="top"/>
          </w:tcPr>
          <w:p w14:paraId="31E4A7FC">
            <w:pPr>
              <w:pStyle w:val="6"/>
              <w:spacing w:before="94" w:line="206" w:lineRule="auto"/>
              <w:ind w:left="746"/>
            </w:pPr>
            <w:r>
              <w:rPr>
                <w:spacing w:val="-2"/>
              </w:rPr>
              <w:t>45</w:t>
            </w:r>
          </w:p>
        </w:tc>
        <w:tc>
          <w:tcPr>
            <w:tcW w:w="1975" w:type="dxa"/>
            <w:tcBorders>
              <w:right w:val="single" w:color="000000" w:sz="12" w:space="0"/>
            </w:tcBorders>
            <w:vAlign w:val="top"/>
          </w:tcPr>
          <w:p w14:paraId="4D6FDAAD">
            <w:pPr>
              <w:pStyle w:val="6"/>
              <w:spacing w:before="76" w:line="198" w:lineRule="auto"/>
              <w:ind w:left="627"/>
            </w:pPr>
            <w:r>
              <w:rPr>
                <w:rFonts w:ascii="宋体" w:hAnsi="宋体" w:eastAsia="宋体" w:cs="宋体"/>
                <w:spacing w:val="-7"/>
              </w:rPr>
              <w:t>超标</w:t>
            </w:r>
            <w:r>
              <w:rPr>
                <w:rFonts w:ascii="宋体" w:hAnsi="宋体" w:eastAsia="宋体" w:cs="宋体"/>
                <w:spacing w:val="-26"/>
              </w:rPr>
              <w:t xml:space="preserve"> </w:t>
            </w:r>
            <w:r>
              <w:rPr>
                <w:spacing w:val="-7"/>
              </w:rPr>
              <w:t>1.4</w:t>
            </w:r>
          </w:p>
        </w:tc>
      </w:tr>
      <w:tr w14:paraId="7F5AC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restart"/>
            <w:tcBorders>
              <w:left w:val="single" w:color="000000" w:sz="12" w:space="0"/>
              <w:bottom w:val="nil"/>
            </w:tcBorders>
            <w:vAlign w:val="top"/>
          </w:tcPr>
          <w:p w14:paraId="3A44A378">
            <w:pPr>
              <w:spacing w:line="471" w:lineRule="auto"/>
              <w:rPr>
                <w:rFonts w:ascii="Arial"/>
                <w:sz w:val="21"/>
              </w:rPr>
            </w:pPr>
          </w:p>
          <w:p w14:paraId="5D8EF187">
            <w:pPr>
              <w:spacing w:before="68" w:line="219" w:lineRule="auto"/>
              <w:ind w:left="82"/>
              <w:rPr>
                <w:rFonts w:ascii="宋体" w:hAnsi="宋体" w:eastAsia="宋体" w:cs="宋体"/>
                <w:sz w:val="21"/>
                <w:szCs w:val="21"/>
              </w:rPr>
            </w:pPr>
            <w:r>
              <w:rPr>
                <w:rFonts w:ascii="宋体" w:hAnsi="宋体" w:eastAsia="宋体" w:cs="宋体"/>
                <w:spacing w:val="-3"/>
                <w:sz w:val="21"/>
                <w:szCs w:val="21"/>
              </w:rPr>
              <w:t>西山乡村</w:t>
            </w:r>
          </w:p>
        </w:tc>
        <w:tc>
          <w:tcPr>
            <w:tcW w:w="954" w:type="dxa"/>
            <w:vMerge w:val="restart"/>
            <w:tcBorders>
              <w:bottom w:val="nil"/>
            </w:tcBorders>
            <w:vAlign w:val="top"/>
          </w:tcPr>
          <w:p w14:paraId="0F6A9265">
            <w:pPr>
              <w:pStyle w:val="6"/>
              <w:spacing w:before="219" w:line="233" w:lineRule="auto"/>
              <w:ind w:left="77"/>
              <w:rPr>
                <w:rFonts w:ascii="宋体" w:hAnsi="宋体" w:eastAsia="宋体" w:cs="宋体"/>
              </w:rPr>
            </w:pPr>
            <w:r>
              <w:rPr>
                <w:spacing w:val="-7"/>
              </w:rPr>
              <w:t>6</w:t>
            </w:r>
            <w:r>
              <w:rPr>
                <w:spacing w:val="15"/>
              </w:rPr>
              <w:t xml:space="preserve"> </w:t>
            </w:r>
            <w:r>
              <w:rPr>
                <w:rFonts w:ascii="宋体" w:hAnsi="宋体" w:eastAsia="宋体" w:cs="宋体"/>
                <w:spacing w:val="-7"/>
              </w:rPr>
              <w:t>月</w:t>
            </w:r>
            <w:r>
              <w:rPr>
                <w:rFonts w:ascii="宋体" w:hAnsi="宋体" w:eastAsia="宋体" w:cs="宋体"/>
                <w:spacing w:val="-50"/>
              </w:rPr>
              <w:t xml:space="preserve"> </w:t>
            </w:r>
            <w:r>
              <w:rPr>
                <w:spacing w:val="-7"/>
              </w:rPr>
              <w:t>4</w:t>
            </w:r>
            <w:r>
              <w:rPr>
                <w:spacing w:val="45"/>
                <w:w w:val="101"/>
              </w:rPr>
              <w:t xml:space="preserve"> </w:t>
            </w:r>
            <w:r>
              <w:rPr>
                <w:rFonts w:ascii="宋体" w:hAnsi="宋体" w:eastAsia="宋体" w:cs="宋体"/>
                <w:spacing w:val="-7"/>
              </w:rPr>
              <w:t>日</w:t>
            </w:r>
          </w:p>
        </w:tc>
        <w:tc>
          <w:tcPr>
            <w:tcW w:w="1207" w:type="dxa"/>
            <w:vAlign w:val="top"/>
          </w:tcPr>
          <w:p w14:paraId="2391698E">
            <w:pPr>
              <w:spacing w:before="77" w:line="197"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424EEF65">
            <w:pPr>
              <w:pStyle w:val="6"/>
              <w:spacing w:before="96" w:line="204" w:lineRule="auto"/>
              <w:ind w:left="622"/>
            </w:pPr>
            <w:r>
              <w:rPr>
                <w:spacing w:val="-1"/>
              </w:rPr>
              <w:t>44.8</w:t>
            </w:r>
          </w:p>
        </w:tc>
        <w:tc>
          <w:tcPr>
            <w:tcW w:w="1696" w:type="dxa"/>
            <w:vAlign w:val="top"/>
          </w:tcPr>
          <w:p w14:paraId="30B8F7F7">
            <w:pPr>
              <w:pStyle w:val="6"/>
              <w:spacing w:before="96" w:line="204" w:lineRule="auto"/>
              <w:ind w:left="752"/>
            </w:pPr>
            <w:r>
              <w:rPr>
                <w:spacing w:val="-5"/>
              </w:rPr>
              <w:t>55</w:t>
            </w:r>
          </w:p>
        </w:tc>
        <w:tc>
          <w:tcPr>
            <w:tcW w:w="1975" w:type="dxa"/>
            <w:tcBorders>
              <w:right w:val="single" w:color="000000" w:sz="12" w:space="0"/>
            </w:tcBorders>
            <w:vAlign w:val="top"/>
          </w:tcPr>
          <w:p w14:paraId="7E8F068B">
            <w:pPr>
              <w:spacing w:before="77" w:line="197" w:lineRule="auto"/>
              <w:ind w:left="784"/>
              <w:rPr>
                <w:rFonts w:ascii="宋体" w:hAnsi="宋体" w:eastAsia="宋体" w:cs="宋体"/>
                <w:sz w:val="21"/>
                <w:szCs w:val="21"/>
              </w:rPr>
            </w:pPr>
            <w:r>
              <w:rPr>
                <w:rFonts w:ascii="宋体" w:hAnsi="宋体" w:eastAsia="宋体" w:cs="宋体"/>
                <w:spacing w:val="-2"/>
                <w:sz w:val="21"/>
                <w:szCs w:val="21"/>
              </w:rPr>
              <w:t>达标</w:t>
            </w:r>
          </w:p>
        </w:tc>
      </w:tr>
      <w:tr w14:paraId="28FD5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continue"/>
            <w:tcBorders>
              <w:top w:val="nil"/>
              <w:left w:val="single" w:color="000000" w:sz="12" w:space="0"/>
              <w:bottom w:val="nil"/>
            </w:tcBorders>
            <w:vAlign w:val="top"/>
          </w:tcPr>
          <w:p w14:paraId="4FD7C092">
            <w:pPr>
              <w:rPr>
                <w:rFonts w:ascii="Arial"/>
                <w:sz w:val="21"/>
              </w:rPr>
            </w:pPr>
          </w:p>
        </w:tc>
        <w:tc>
          <w:tcPr>
            <w:tcW w:w="954" w:type="dxa"/>
            <w:vMerge w:val="continue"/>
            <w:tcBorders>
              <w:top w:val="nil"/>
            </w:tcBorders>
            <w:vAlign w:val="top"/>
          </w:tcPr>
          <w:p w14:paraId="5A4B0BF3">
            <w:pPr>
              <w:rPr>
                <w:rFonts w:ascii="Arial"/>
                <w:sz w:val="21"/>
              </w:rPr>
            </w:pPr>
          </w:p>
        </w:tc>
        <w:tc>
          <w:tcPr>
            <w:tcW w:w="1207" w:type="dxa"/>
            <w:vAlign w:val="top"/>
          </w:tcPr>
          <w:p w14:paraId="2379F451">
            <w:pPr>
              <w:spacing w:before="80" w:line="195"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64496636">
            <w:pPr>
              <w:pStyle w:val="6"/>
              <w:spacing w:before="98" w:line="202" w:lineRule="auto"/>
              <w:ind w:left="622"/>
            </w:pPr>
            <w:r>
              <w:rPr>
                <w:spacing w:val="-1"/>
              </w:rPr>
              <w:t>45.1</w:t>
            </w:r>
          </w:p>
        </w:tc>
        <w:tc>
          <w:tcPr>
            <w:tcW w:w="1696" w:type="dxa"/>
            <w:vAlign w:val="top"/>
          </w:tcPr>
          <w:p w14:paraId="4DAC7AB0">
            <w:pPr>
              <w:pStyle w:val="6"/>
              <w:spacing w:before="98" w:line="202" w:lineRule="auto"/>
              <w:ind w:left="746"/>
            </w:pPr>
            <w:r>
              <w:rPr>
                <w:spacing w:val="-2"/>
              </w:rPr>
              <w:t>45</w:t>
            </w:r>
          </w:p>
        </w:tc>
        <w:tc>
          <w:tcPr>
            <w:tcW w:w="1975" w:type="dxa"/>
            <w:tcBorders>
              <w:right w:val="single" w:color="000000" w:sz="12" w:space="0"/>
            </w:tcBorders>
            <w:vAlign w:val="top"/>
          </w:tcPr>
          <w:p w14:paraId="2E8C8902">
            <w:pPr>
              <w:pStyle w:val="6"/>
              <w:spacing w:before="80" w:line="195" w:lineRule="auto"/>
              <w:ind w:left="627"/>
            </w:pPr>
            <w:r>
              <w:rPr>
                <w:rFonts w:ascii="宋体" w:hAnsi="宋体" w:eastAsia="宋体" w:cs="宋体"/>
                <w:spacing w:val="-4"/>
              </w:rPr>
              <w:t>超标</w:t>
            </w:r>
            <w:r>
              <w:rPr>
                <w:rFonts w:ascii="宋体" w:hAnsi="宋体" w:eastAsia="宋体" w:cs="宋体"/>
                <w:spacing w:val="-41"/>
              </w:rPr>
              <w:t xml:space="preserve"> </w:t>
            </w:r>
            <w:r>
              <w:rPr>
                <w:spacing w:val="-4"/>
              </w:rPr>
              <w:t>0.1</w:t>
            </w:r>
          </w:p>
        </w:tc>
      </w:tr>
      <w:tr w14:paraId="0D161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509D46DC">
            <w:pPr>
              <w:rPr>
                <w:rFonts w:ascii="Arial"/>
                <w:sz w:val="21"/>
              </w:rPr>
            </w:pPr>
          </w:p>
        </w:tc>
        <w:tc>
          <w:tcPr>
            <w:tcW w:w="954" w:type="dxa"/>
            <w:vMerge w:val="restart"/>
            <w:tcBorders>
              <w:bottom w:val="nil"/>
            </w:tcBorders>
            <w:vAlign w:val="top"/>
          </w:tcPr>
          <w:p w14:paraId="49CF9889">
            <w:pPr>
              <w:pStyle w:val="6"/>
              <w:spacing w:before="223" w:line="233" w:lineRule="auto"/>
              <w:ind w:left="77"/>
              <w:rPr>
                <w:rFonts w:ascii="宋体" w:hAnsi="宋体" w:eastAsia="宋体" w:cs="宋体"/>
              </w:rPr>
            </w:pPr>
            <w:r>
              <w:rPr>
                <w:spacing w:val="-9"/>
              </w:rPr>
              <w:t>6</w:t>
            </w:r>
            <w:r>
              <w:rPr>
                <w:spacing w:val="16"/>
                <w:w w:val="101"/>
              </w:rPr>
              <w:t xml:space="preserve"> </w:t>
            </w:r>
            <w:r>
              <w:rPr>
                <w:rFonts w:ascii="宋体" w:hAnsi="宋体" w:eastAsia="宋体" w:cs="宋体"/>
                <w:spacing w:val="-9"/>
              </w:rPr>
              <w:t>月</w:t>
            </w:r>
            <w:r>
              <w:rPr>
                <w:rFonts w:ascii="宋体" w:hAnsi="宋体" w:eastAsia="宋体" w:cs="宋体"/>
                <w:spacing w:val="-44"/>
              </w:rPr>
              <w:t xml:space="preserve"> </w:t>
            </w:r>
            <w:r>
              <w:rPr>
                <w:spacing w:val="-9"/>
              </w:rPr>
              <w:t>5</w:t>
            </w:r>
            <w:r>
              <w:rPr>
                <w:spacing w:val="46"/>
              </w:rPr>
              <w:t xml:space="preserve"> </w:t>
            </w:r>
            <w:r>
              <w:rPr>
                <w:rFonts w:ascii="宋体" w:hAnsi="宋体" w:eastAsia="宋体" w:cs="宋体"/>
                <w:spacing w:val="-9"/>
              </w:rPr>
              <w:t>日</w:t>
            </w:r>
          </w:p>
        </w:tc>
        <w:tc>
          <w:tcPr>
            <w:tcW w:w="1207" w:type="dxa"/>
            <w:vAlign w:val="top"/>
          </w:tcPr>
          <w:p w14:paraId="413C904A">
            <w:pPr>
              <w:spacing w:before="82" w:line="194"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44F82CAD">
            <w:pPr>
              <w:pStyle w:val="6"/>
              <w:spacing w:before="100" w:line="201" w:lineRule="auto"/>
              <w:ind w:left="622"/>
            </w:pPr>
            <w:r>
              <w:rPr>
                <w:spacing w:val="-1"/>
              </w:rPr>
              <w:t>45.2</w:t>
            </w:r>
          </w:p>
        </w:tc>
        <w:tc>
          <w:tcPr>
            <w:tcW w:w="1696" w:type="dxa"/>
            <w:vAlign w:val="top"/>
          </w:tcPr>
          <w:p w14:paraId="737A0F76">
            <w:pPr>
              <w:pStyle w:val="6"/>
              <w:spacing w:before="100" w:line="201" w:lineRule="auto"/>
              <w:ind w:left="752"/>
            </w:pPr>
            <w:r>
              <w:rPr>
                <w:spacing w:val="-5"/>
              </w:rPr>
              <w:t>55</w:t>
            </w:r>
          </w:p>
        </w:tc>
        <w:tc>
          <w:tcPr>
            <w:tcW w:w="1975" w:type="dxa"/>
            <w:tcBorders>
              <w:right w:val="single" w:color="000000" w:sz="12" w:space="0"/>
            </w:tcBorders>
            <w:vAlign w:val="top"/>
          </w:tcPr>
          <w:p w14:paraId="0800A4EC">
            <w:pPr>
              <w:spacing w:before="82" w:line="194" w:lineRule="auto"/>
              <w:ind w:left="784"/>
              <w:rPr>
                <w:rFonts w:ascii="宋体" w:hAnsi="宋体" w:eastAsia="宋体" w:cs="宋体"/>
                <w:sz w:val="21"/>
                <w:szCs w:val="21"/>
              </w:rPr>
            </w:pPr>
            <w:r>
              <w:rPr>
                <w:rFonts w:ascii="宋体" w:hAnsi="宋体" w:eastAsia="宋体" w:cs="宋体"/>
                <w:spacing w:val="-2"/>
                <w:sz w:val="21"/>
                <w:szCs w:val="21"/>
              </w:rPr>
              <w:t>达标</w:t>
            </w:r>
          </w:p>
        </w:tc>
      </w:tr>
      <w:tr w14:paraId="42333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tcBorders>
            <w:vAlign w:val="top"/>
          </w:tcPr>
          <w:p w14:paraId="0CE18B02">
            <w:pPr>
              <w:rPr>
                <w:rFonts w:ascii="Arial"/>
                <w:sz w:val="21"/>
              </w:rPr>
            </w:pPr>
          </w:p>
        </w:tc>
        <w:tc>
          <w:tcPr>
            <w:tcW w:w="954" w:type="dxa"/>
            <w:vMerge w:val="continue"/>
            <w:tcBorders>
              <w:top w:val="nil"/>
            </w:tcBorders>
            <w:vAlign w:val="top"/>
          </w:tcPr>
          <w:p w14:paraId="32BDA6D7">
            <w:pPr>
              <w:rPr>
                <w:rFonts w:ascii="Arial"/>
                <w:sz w:val="21"/>
              </w:rPr>
            </w:pPr>
          </w:p>
        </w:tc>
        <w:tc>
          <w:tcPr>
            <w:tcW w:w="1207" w:type="dxa"/>
            <w:vAlign w:val="top"/>
          </w:tcPr>
          <w:p w14:paraId="184B5F03">
            <w:pPr>
              <w:spacing w:before="83" w:line="193"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33324AF1">
            <w:pPr>
              <w:pStyle w:val="6"/>
              <w:spacing w:before="101" w:line="200" w:lineRule="auto"/>
              <w:ind w:left="622"/>
            </w:pPr>
            <w:r>
              <w:rPr>
                <w:spacing w:val="-1"/>
              </w:rPr>
              <w:t>44.4</w:t>
            </w:r>
          </w:p>
        </w:tc>
        <w:tc>
          <w:tcPr>
            <w:tcW w:w="1696" w:type="dxa"/>
            <w:vAlign w:val="top"/>
          </w:tcPr>
          <w:p w14:paraId="65FF67E2">
            <w:pPr>
              <w:pStyle w:val="6"/>
              <w:spacing w:before="101" w:line="200" w:lineRule="auto"/>
              <w:ind w:left="746"/>
            </w:pPr>
            <w:r>
              <w:rPr>
                <w:spacing w:val="-2"/>
              </w:rPr>
              <w:t>45</w:t>
            </w:r>
          </w:p>
        </w:tc>
        <w:tc>
          <w:tcPr>
            <w:tcW w:w="1975" w:type="dxa"/>
            <w:tcBorders>
              <w:right w:val="single" w:color="000000" w:sz="12" w:space="0"/>
            </w:tcBorders>
            <w:vAlign w:val="top"/>
          </w:tcPr>
          <w:p w14:paraId="66109462">
            <w:pPr>
              <w:spacing w:before="83" w:line="193" w:lineRule="auto"/>
              <w:ind w:left="784"/>
              <w:rPr>
                <w:rFonts w:ascii="宋体" w:hAnsi="宋体" w:eastAsia="宋体" w:cs="宋体"/>
                <w:sz w:val="21"/>
                <w:szCs w:val="21"/>
              </w:rPr>
            </w:pPr>
            <w:r>
              <w:rPr>
                <w:rFonts w:ascii="宋体" w:hAnsi="宋体" w:eastAsia="宋体" w:cs="宋体"/>
                <w:spacing w:val="-2"/>
                <w:sz w:val="21"/>
                <w:szCs w:val="21"/>
              </w:rPr>
              <w:t>达标</w:t>
            </w:r>
          </w:p>
        </w:tc>
      </w:tr>
      <w:tr w14:paraId="32723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restart"/>
            <w:tcBorders>
              <w:left w:val="single" w:color="000000" w:sz="12" w:space="0"/>
              <w:bottom w:val="nil"/>
            </w:tcBorders>
            <w:vAlign w:val="top"/>
          </w:tcPr>
          <w:p w14:paraId="117C9D6D">
            <w:pPr>
              <w:spacing w:line="477" w:lineRule="auto"/>
              <w:rPr>
                <w:rFonts w:ascii="Arial"/>
                <w:sz w:val="21"/>
              </w:rPr>
            </w:pPr>
          </w:p>
          <w:p w14:paraId="54BBE0B7">
            <w:pPr>
              <w:spacing w:before="69" w:line="219" w:lineRule="auto"/>
              <w:ind w:left="79"/>
              <w:rPr>
                <w:rFonts w:ascii="宋体" w:hAnsi="宋体" w:eastAsia="宋体" w:cs="宋体"/>
                <w:sz w:val="21"/>
                <w:szCs w:val="21"/>
              </w:rPr>
            </w:pPr>
            <w:r>
              <w:rPr>
                <w:rFonts w:ascii="宋体" w:hAnsi="宋体" w:eastAsia="宋体" w:cs="宋体"/>
                <w:spacing w:val="-2"/>
                <w:sz w:val="21"/>
                <w:szCs w:val="21"/>
              </w:rPr>
              <w:t>车马碧村</w:t>
            </w:r>
          </w:p>
        </w:tc>
        <w:tc>
          <w:tcPr>
            <w:tcW w:w="954" w:type="dxa"/>
            <w:vMerge w:val="restart"/>
            <w:tcBorders>
              <w:bottom w:val="nil"/>
            </w:tcBorders>
            <w:vAlign w:val="top"/>
          </w:tcPr>
          <w:p w14:paraId="4F6EA5B9">
            <w:pPr>
              <w:pStyle w:val="6"/>
              <w:spacing w:before="225" w:line="233" w:lineRule="auto"/>
              <w:ind w:left="77"/>
              <w:rPr>
                <w:rFonts w:ascii="宋体" w:hAnsi="宋体" w:eastAsia="宋体" w:cs="宋体"/>
              </w:rPr>
            </w:pPr>
            <w:r>
              <w:rPr>
                <w:spacing w:val="-7"/>
              </w:rPr>
              <w:t>6</w:t>
            </w:r>
            <w:r>
              <w:rPr>
                <w:spacing w:val="15"/>
              </w:rPr>
              <w:t xml:space="preserve"> </w:t>
            </w:r>
            <w:r>
              <w:rPr>
                <w:rFonts w:ascii="宋体" w:hAnsi="宋体" w:eastAsia="宋体" w:cs="宋体"/>
                <w:spacing w:val="-7"/>
              </w:rPr>
              <w:t>月</w:t>
            </w:r>
            <w:r>
              <w:rPr>
                <w:rFonts w:ascii="宋体" w:hAnsi="宋体" w:eastAsia="宋体" w:cs="宋体"/>
                <w:spacing w:val="-50"/>
              </w:rPr>
              <w:t xml:space="preserve"> </w:t>
            </w:r>
            <w:r>
              <w:rPr>
                <w:spacing w:val="-7"/>
              </w:rPr>
              <w:t>4</w:t>
            </w:r>
            <w:r>
              <w:rPr>
                <w:spacing w:val="45"/>
                <w:w w:val="101"/>
              </w:rPr>
              <w:t xml:space="preserve"> </w:t>
            </w:r>
            <w:r>
              <w:rPr>
                <w:rFonts w:ascii="宋体" w:hAnsi="宋体" w:eastAsia="宋体" w:cs="宋体"/>
                <w:spacing w:val="-7"/>
              </w:rPr>
              <w:t>日</w:t>
            </w:r>
          </w:p>
        </w:tc>
        <w:tc>
          <w:tcPr>
            <w:tcW w:w="1207" w:type="dxa"/>
            <w:vAlign w:val="top"/>
          </w:tcPr>
          <w:p w14:paraId="78D5A170">
            <w:pPr>
              <w:spacing w:before="84" w:line="192"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24C26CD7">
            <w:pPr>
              <w:pStyle w:val="6"/>
              <w:spacing w:before="102" w:line="199" w:lineRule="auto"/>
              <w:ind w:left="622"/>
            </w:pPr>
            <w:r>
              <w:rPr>
                <w:spacing w:val="-1"/>
              </w:rPr>
              <w:t>44.2</w:t>
            </w:r>
          </w:p>
        </w:tc>
        <w:tc>
          <w:tcPr>
            <w:tcW w:w="1696" w:type="dxa"/>
            <w:vAlign w:val="top"/>
          </w:tcPr>
          <w:p w14:paraId="345060F9">
            <w:pPr>
              <w:pStyle w:val="6"/>
              <w:spacing w:before="102" w:line="199" w:lineRule="auto"/>
              <w:ind w:left="752"/>
            </w:pPr>
            <w:r>
              <w:rPr>
                <w:spacing w:val="-5"/>
              </w:rPr>
              <w:t>55</w:t>
            </w:r>
          </w:p>
        </w:tc>
        <w:tc>
          <w:tcPr>
            <w:tcW w:w="1975" w:type="dxa"/>
            <w:tcBorders>
              <w:right w:val="single" w:color="000000" w:sz="12" w:space="0"/>
            </w:tcBorders>
            <w:vAlign w:val="top"/>
          </w:tcPr>
          <w:p w14:paraId="69839ECD">
            <w:pPr>
              <w:spacing w:before="84" w:line="192" w:lineRule="auto"/>
              <w:ind w:left="784"/>
              <w:rPr>
                <w:rFonts w:ascii="宋体" w:hAnsi="宋体" w:eastAsia="宋体" w:cs="宋体"/>
                <w:sz w:val="21"/>
                <w:szCs w:val="21"/>
              </w:rPr>
            </w:pPr>
            <w:r>
              <w:rPr>
                <w:rFonts w:ascii="宋体" w:hAnsi="宋体" w:eastAsia="宋体" w:cs="宋体"/>
                <w:spacing w:val="-2"/>
                <w:sz w:val="21"/>
                <w:szCs w:val="21"/>
              </w:rPr>
              <w:t>达标</w:t>
            </w:r>
          </w:p>
        </w:tc>
      </w:tr>
      <w:tr w14:paraId="7B731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24ECFB83">
            <w:pPr>
              <w:rPr>
                <w:rFonts w:ascii="Arial"/>
                <w:sz w:val="21"/>
              </w:rPr>
            </w:pPr>
          </w:p>
        </w:tc>
        <w:tc>
          <w:tcPr>
            <w:tcW w:w="954" w:type="dxa"/>
            <w:vMerge w:val="continue"/>
            <w:tcBorders>
              <w:top w:val="nil"/>
            </w:tcBorders>
            <w:vAlign w:val="top"/>
          </w:tcPr>
          <w:p w14:paraId="6C06B40A">
            <w:pPr>
              <w:rPr>
                <w:rFonts w:ascii="Arial"/>
                <w:sz w:val="21"/>
              </w:rPr>
            </w:pPr>
          </w:p>
        </w:tc>
        <w:tc>
          <w:tcPr>
            <w:tcW w:w="1207" w:type="dxa"/>
            <w:vAlign w:val="top"/>
          </w:tcPr>
          <w:p w14:paraId="4EAC6E07">
            <w:pPr>
              <w:spacing w:before="85" w:line="191"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56F81F3C">
            <w:pPr>
              <w:pStyle w:val="6"/>
              <w:spacing w:before="103" w:line="198" w:lineRule="auto"/>
              <w:ind w:left="628"/>
            </w:pPr>
            <w:r>
              <w:rPr>
                <w:spacing w:val="-2"/>
              </w:rPr>
              <w:t>37.7</w:t>
            </w:r>
          </w:p>
        </w:tc>
        <w:tc>
          <w:tcPr>
            <w:tcW w:w="1696" w:type="dxa"/>
            <w:vAlign w:val="top"/>
          </w:tcPr>
          <w:p w14:paraId="0177E759">
            <w:pPr>
              <w:pStyle w:val="6"/>
              <w:spacing w:before="103" w:line="198" w:lineRule="auto"/>
              <w:ind w:left="746"/>
            </w:pPr>
            <w:r>
              <w:rPr>
                <w:spacing w:val="-2"/>
              </w:rPr>
              <w:t>45</w:t>
            </w:r>
          </w:p>
        </w:tc>
        <w:tc>
          <w:tcPr>
            <w:tcW w:w="1975" w:type="dxa"/>
            <w:tcBorders>
              <w:right w:val="single" w:color="000000" w:sz="12" w:space="0"/>
            </w:tcBorders>
            <w:vAlign w:val="top"/>
          </w:tcPr>
          <w:p w14:paraId="58F17AD3">
            <w:pPr>
              <w:spacing w:before="85" w:line="191" w:lineRule="auto"/>
              <w:ind w:left="784"/>
              <w:rPr>
                <w:rFonts w:ascii="宋体" w:hAnsi="宋体" w:eastAsia="宋体" w:cs="宋体"/>
                <w:sz w:val="21"/>
                <w:szCs w:val="21"/>
              </w:rPr>
            </w:pPr>
            <w:r>
              <w:rPr>
                <w:rFonts w:ascii="宋体" w:hAnsi="宋体" w:eastAsia="宋体" w:cs="宋体"/>
                <w:spacing w:val="-2"/>
                <w:sz w:val="21"/>
                <w:szCs w:val="21"/>
              </w:rPr>
              <w:t>达标</w:t>
            </w:r>
          </w:p>
        </w:tc>
      </w:tr>
      <w:tr w14:paraId="7EA76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550124B7">
            <w:pPr>
              <w:rPr>
                <w:rFonts w:ascii="Arial"/>
                <w:sz w:val="21"/>
              </w:rPr>
            </w:pPr>
          </w:p>
        </w:tc>
        <w:tc>
          <w:tcPr>
            <w:tcW w:w="954" w:type="dxa"/>
            <w:vMerge w:val="restart"/>
            <w:tcBorders>
              <w:bottom w:val="nil"/>
            </w:tcBorders>
            <w:vAlign w:val="top"/>
          </w:tcPr>
          <w:p w14:paraId="43828935">
            <w:pPr>
              <w:pStyle w:val="6"/>
              <w:spacing w:before="227" w:line="233" w:lineRule="auto"/>
              <w:ind w:left="77"/>
              <w:rPr>
                <w:rFonts w:ascii="宋体" w:hAnsi="宋体" w:eastAsia="宋体" w:cs="宋体"/>
              </w:rPr>
            </w:pPr>
            <w:r>
              <w:rPr>
                <w:spacing w:val="-9"/>
              </w:rPr>
              <w:t>6</w:t>
            </w:r>
            <w:r>
              <w:rPr>
                <w:spacing w:val="16"/>
                <w:w w:val="101"/>
              </w:rPr>
              <w:t xml:space="preserve"> </w:t>
            </w:r>
            <w:r>
              <w:rPr>
                <w:rFonts w:ascii="宋体" w:hAnsi="宋体" w:eastAsia="宋体" w:cs="宋体"/>
                <w:spacing w:val="-9"/>
              </w:rPr>
              <w:t>月</w:t>
            </w:r>
            <w:r>
              <w:rPr>
                <w:rFonts w:ascii="宋体" w:hAnsi="宋体" w:eastAsia="宋体" w:cs="宋体"/>
                <w:spacing w:val="-44"/>
              </w:rPr>
              <w:t xml:space="preserve"> </w:t>
            </w:r>
            <w:r>
              <w:rPr>
                <w:spacing w:val="-9"/>
              </w:rPr>
              <w:t>5</w:t>
            </w:r>
            <w:r>
              <w:rPr>
                <w:spacing w:val="46"/>
              </w:rPr>
              <w:t xml:space="preserve"> </w:t>
            </w:r>
            <w:r>
              <w:rPr>
                <w:rFonts w:ascii="宋体" w:hAnsi="宋体" w:eastAsia="宋体" w:cs="宋体"/>
                <w:spacing w:val="-9"/>
              </w:rPr>
              <w:t>日</w:t>
            </w:r>
          </w:p>
        </w:tc>
        <w:tc>
          <w:tcPr>
            <w:tcW w:w="1207" w:type="dxa"/>
            <w:vAlign w:val="top"/>
          </w:tcPr>
          <w:p w14:paraId="56735CCA">
            <w:pPr>
              <w:spacing w:before="86" w:line="190"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121EE09C">
            <w:pPr>
              <w:pStyle w:val="6"/>
              <w:spacing w:before="104" w:line="197" w:lineRule="auto"/>
              <w:ind w:left="622"/>
            </w:pPr>
            <w:r>
              <w:rPr>
                <w:spacing w:val="-1"/>
              </w:rPr>
              <w:t>45.2</w:t>
            </w:r>
          </w:p>
        </w:tc>
        <w:tc>
          <w:tcPr>
            <w:tcW w:w="1696" w:type="dxa"/>
            <w:vAlign w:val="top"/>
          </w:tcPr>
          <w:p w14:paraId="1EE3523E">
            <w:pPr>
              <w:pStyle w:val="6"/>
              <w:spacing w:before="104" w:line="197" w:lineRule="auto"/>
              <w:ind w:left="752"/>
            </w:pPr>
            <w:r>
              <w:rPr>
                <w:spacing w:val="-5"/>
              </w:rPr>
              <w:t>55</w:t>
            </w:r>
          </w:p>
        </w:tc>
        <w:tc>
          <w:tcPr>
            <w:tcW w:w="1975" w:type="dxa"/>
            <w:tcBorders>
              <w:right w:val="single" w:color="000000" w:sz="12" w:space="0"/>
            </w:tcBorders>
            <w:vAlign w:val="top"/>
          </w:tcPr>
          <w:p w14:paraId="7F22EC99">
            <w:pPr>
              <w:spacing w:before="86" w:line="190" w:lineRule="auto"/>
              <w:ind w:left="784"/>
              <w:rPr>
                <w:rFonts w:ascii="宋体" w:hAnsi="宋体" w:eastAsia="宋体" w:cs="宋体"/>
                <w:sz w:val="21"/>
                <w:szCs w:val="21"/>
              </w:rPr>
            </w:pPr>
            <w:r>
              <w:rPr>
                <w:rFonts w:ascii="宋体" w:hAnsi="宋体" w:eastAsia="宋体" w:cs="宋体"/>
                <w:spacing w:val="-2"/>
                <w:sz w:val="21"/>
                <w:szCs w:val="21"/>
              </w:rPr>
              <w:t>达标</w:t>
            </w:r>
          </w:p>
        </w:tc>
      </w:tr>
      <w:tr w14:paraId="2F1B6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continue"/>
            <w:tcBorders>
              <w:top w:val="nil"/>
              <w:left w:val="single" w:color="000000" w:sz="12" w:space="0"/>
            </w:tcBorders>
            <w:vAlign w:val="top"/>
          </w:tcPr>
          <w:p w14:paraId="22F2CBF9">
            <w:pPr>
              <w:rPr>
                <w:rFonts w:ascii="Arial"/>
                <w:sz w:val="21"/>
              </w:rPr>
            </w:pPr>
          </w:p>
        </w:tc>
        <w:tc>
          <w:tcPr>
            <w:tcW w:w="954" w:type="dxa"/>
            <w:vMerge w:val="continue"/>
            <w:tcBorders>
              <w:top w:val="nil"/>
            </w:tcBorders>
            <w:vAlign w:val="top"/>
          </w:tcPr>
          <w:p w14:paraId="22B7588F">
            <w:pPr>
              <w:rPr>
                <w:rFonts w:ascii="Arial"/>
                <w:sz w:val="21"/>
              </w:rPr>
            </w:pPr>
          </w:p>
        </w:tc>
        <w:tc>
          <w:tcPr>
            <w:tcW w:w="1207" w:type="dxa"/>
            <w:vAlign w:val="top"/>
          </w:tcPr>
          <w:p w14:paraId="5C42265A">
            <w:pPr>
              <w:spacing w:before="88" w:line="188"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1AEC8DF2">
            <w:pPr>
              <w:pStyle w:val="6"/>
              <w:spacing w:before="105" w:line="195" w:lineRule="auto"/>
              <w:ind w:left="628"/>
            </w:pPr>
            <w:r>
              <w:rPr>
                <w:spacing w:val="-2"/>
              </w:rPr>
              <w:t>39.2</w:t>
            </w:r>
          </w:p>
        </w:tc>
        <w:tc>
          <w:tcPr>
            <w:tcW w:w="1696" w:type="dxa"/>
            <w:vAlign w:val="top"/>
          </w:tcPr>
          <w:p w14:paraId="10D98487">
            <w:pPr>
              <w:pStyle w:val="6"/>
              <w:spacing w:before="105" w:line="195" w:lineRule="auto"/>
              <w:ind w:left="746"/>
            </w:pPr>
            <w:r>
              <w:rPr>
                <w:spacing w:val="-2"/>
              </w:rPr>
              <w:t>45</w:t>
            </w:r>
          </w:p>
        </w:tc>
        <w:tc>
          <w:tcPr>
            <w:tcW w:w="1975" w:type="dxa"/>
            <w:tcBorders>
              <w:right w:val="single" w:color="000000" w:sz="12" w:space="0"/>
            </w:tcBorders>
            <w:vAlign w:val="top"/>
          </w:tcPr>
          <w:p w14:paraId="1354DD6B">
            <w:pPr>
              <w:spacing w:before="88" w:line="188" w:lineRule="auto"/>
              <w:ind w:left="784"/>
              <w:rPr>
                <w:rFonts w:ascii="宋体" w:hAnsi="宋体" w:eastAsia="宋体" w:cs="宋体"/>
                <w:sz w:val="21"/>
                <w:szCs w:val="21"/>
              </w:rPr>
            </w:pPr>
            <w:r>
              <w:rPr>
                <w:rFonts w:ascii="宋体" w:hAnsi="宋体" w:eastAsia="宋体" w:cs="宋体"/>
                <w:spacing w:val="-2"/>
                <w:sz w:val="21"/>
                <w:szCs w:val="21"/>
              </w:rPr>
              <w:t>达标</w:t>
            </w:r>
          </w:p>
        </w:tc>
      </w:tr>
      <w:tr w14:paraId="5A53A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restart"/>
            <w:tcBorders>
              <w:left w:val="single" w:color="000000" w:sz="12" w:space="0"/>
              <w:bottom w:val="nil"/>
            </w:tcBorders>
            <w:vAlign w:val="top"/>
          </w:tcPr>
          <w:p w14:paraId="2F20B102">
            <w:pPr>
              <w:spacing w:line="241" w:lineRule="auto"/>
              <w:rPr>
                <w:rFonts w:ascii="Arial"/>
                <w:sz w:val="21"/>
              </w:rPr>
            </w:pPr>
          </w:p>
          <w:p w14:paraId="03A8A91F">
            <w:pPr>
              <w:spacing w:line="241" w:lineRule="auto"/>
              <w:rPr>
                <w:rFonts w:ascii="Arial"/>
                <w:sz w:val="21"/>
              </w:rPr>
            </w:pPr>
          </w:p>
          <w:p w14:paraId="06E2E38F">
            <w:pPr>
              <w:spacing w:before="69" w:line="219" w:lineRule="auto"/>
              <w:ind w:left="84"/>
              <w:rPr>
                <w:rFonts w:ascii="宋体" w:hAnsi="宋体" w:eastAsia="宋体" w:cs="宋体"/>
                <w:sz w:val="21"/>
                <w:szCs w:val="21"/>
              </w:rPr>
            </w:pPr>
            <w:r>
              <w:rPr>
                <w:rFonts w:ascii="宋体" w:hAnsi="宋体" w:eastAsia="宋体" w:cs="宋体"/>
                <w:spacing w:val="-3"/>
                <w:sz w:val="21"/>
                <w:szCs w:val="21"/>
              </w:rPr>
              <w:t>下罗贵村</w:t>
            </w:r>
          </w:p>
        </w:tc>
        <w:tc>
          <w:tcPr>
            <w:tcW w:w="954" w:type="dxa"/>
            <w:vMerge w:val="restart"/>
            <w:tcBorders>
              <w:bottom w:val="nil"/>
            </w:tcBorders>
            <w:vAlign w:val="top"/>
          </w:tcPr>
          <w:p w14:paraId="448B5276">
            <w:pPr>
              <w:pStyle w:val="6"/>
              <w:spacing w:before="230" w:line="233" w:lineRule="auto"/>
              <w:ind w:left="77"/>
              <w:rPr>
                <w:rFonts w:ascii="宋体" w:hAnsi="宋体" w:eastAsia="宋体" w:cs="宋体"/>
              </w:rPr>
            </w:pPr>
            <w:r>
              <w:rPr>
                <w:spacing w:val="-7"/>
              </w:rPr>
              <w:t>6</w:t>
            </w:r>
            <w:r>
              <w:rPr>
                <w:spacing w:val="15"/>
              </w:rPr>
              <w:t xml:space="preserve"> </w:t>
            </w:r>
            <w:r>
              <w:rPr>
                <w:rFonts w:ascii="宋体" w:hAnsi="宋体" w:eastAsia="宋体" w:cs="宋体"/>
                <w:spacing w:val="-7"/>
              </w:rPr>
              <w:t>月</w:t>
            </w:r>
            <w:r>
              <w:rPr>
                <w:rFonts w:ascii="宋体" w:hAnsi="宋体" w:eastAsia="宋体" w:cs="宋体"/>
                <w:spacing w:val="-50"/>
              </w:rPr>
              <w:t xml:space="preserve"> </w:t>
            </w:r>
            <w:r>
              <w:rPr>
                <w:spacing w:val="-7"/>
              </w:rPr>
              <w:t>4</w:t>
            </w:r>
            <w:r>
              <w:rPr>
                <w:spacing w:val="45"/>
                <w:w w:val="101"/>
              </w:rPr>
              <w:t xml:space="preserve"> </w:t>
            </w:r>
            <w:r>
              <w:rPr>
                <w:rFonts w:ascii="宋体" w:hAnsi="宋体" w:eastAsia="宋体" w:cs="宋体"/>
                <w:spacing w:val="-7"/>
              </w:rPr>
              <w:t>日</w:t>
            </w:r>
          </w:p>
        </w:tc>
        <w:tc>
          <w:tcPr>
            <w:tcW w:w="1207" w:type="dxa"/>
            <w:vAlign w:val="top"/>
          </w:tcPr>
          <w:p w14:paraId="0231E887">
            <w:pPr>
              <w:spacing w:before="90" w:line="187"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205D1B81">
            <w:pPr>
              <w:pStyle w:val="6"/>
              <w:spacing w:before="107" w:line="194" w:lineRule="auto"/>
              <w:ind w:left="628"/>
            </w:pPr>
            <w:r>
              <w:rPr>
                <w:spacing w:val="-2"/>
              </w:rPr>
              <w:t>39.6</w:t>
            </w:r>
          </w:p>
        </w:tc>
        <w:tc>
          <w:tcPr>
            <w:tcW w:w="1696" w:type="dxa"/>
            <w:vAlign w:val="top"/>
          </w:tcPr>
          <w:p w14:paraId="47010FF4">
            <w:pPr>
              <w:pStyle w:val="6"/>
              <w:spacing w:before="107" w:line="194" w:lineRule="auto"/>
              <w:ind w:left="752"/>
            </w:pPr>
            <w:r>
              <w:rPr>
                <w:spacing w:val="-5"/>
              </w:rPr>
              <w:t>55</w:t>
            </w:r>
          </w:p>
        </w:tc>
        <w:tc>
          <w:tcPr>
            <w:tcW w:w="1975" w:type="dxa"/>
            <w:tcBorders>
              <w:right w:val="single" w:color="000000" w:sz="12" w:space="0"/>
            </w:tcBorders>
            <w:vAlign w:val="top"/>
          </w:tcPr>
          <w:p w14:paraId="677FFF8F">
            <w:pPr>
              <w:spacing w:before="90" w:line="187" w:lineRule="auto"/>
              <w:ind w:left="784"/>
              <w:rPr>
                <w:rFonts w:ascii="宋体" w:hAnsi="宋体" w:eastAsia="宋体" w:cs="宋体"/>
                <w:sz w:val="21"/>
                <w:szCs w:val="21"/>
              </w:rPr>
            </w:pPr>
            <w:r>
              <w:rPr>
                <w:rFonts w:ascii="宋体" w:hAnsi="宋体" w:eastAsia="宋体" w:cs="宋体"/>
                <w:spacing w:val="-2"/>
                <w:sz w:val="21"/>
                <w:szCs w:val="21"/>
              </w:rPr>
              <w:t>达标</w:t>
            </w:r>
          </w:p>
        </w:tc>
      </w:tr>
      <w:tr w14:paraId="0A8B1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5B7BA15C">
            <w:pPr>
              <w:rPr>
                <w:rFonts w:ascii="Arial"/>
                <w:sz w:val="21"/>
              </w:rPr>
            </w:pPr>
          </w:p>
        </w:tc>
        <w:tc>
          <w:tcPr>
            <w:tcW w:w="954" w:type="dxa"/>
            <w:vMerge w:val="continue"/>
            <w:tcBorders>
              <w:top w:val="nil"/>
            </w:tcBorders>
            <w:vAlign w:val="top"/>
          </w:tcPr>
          <w:p w14:paraId="7C0F534D">
            <w:pPr>
              <w:rPr>
                <w:rFonts w:ascii="Arial"/>
                <w:sz w:val="21"/>
              </w:rPr>
            </w:pPr>
          </w:p>
        </w:tc>
        <w:tc>
          <w:tcPr>
            <w:tcW w:w="1207" w:type="dxa"/>
            <w:vAlign w:val="top"/>
          </w:tcPr>
          <w:p w14:paraId="23E28038">
            <w:pPr>
              <w:spacing w:before="90" w:line="187"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04F36166">
            <w:pPr>
              <w:pStyle w:val="6"/>
              <w:spacing w:before="108" w:line="193" w:lineRule="auto"/>
              <w:ind w:left="628"/>
            </w:pPr>
            <w:r>
              <w:rPr>
                <w:spacing w:val="-2"/>
              </w:rPr>
              <w:t>38.8</w:t>
            </w:r>
          </w:p>
        </w:tc>
        <w:tc>
          <w:tcPr>
            <w:tcW w:w="1696" w:type="dxa"/>
            <w:vAlign w:val="top"/>
          </w:tcPr>
          <w:p w14:paraId="5A9C4CB9">
            <w:pPr>
              <w:pStyle w:val="6"/>
              <w:spacing w:before="108" w:line="193" w:lineRule="auto"/>
              <w:ind w:left="746"/>
            </w:pPr>
            <w:r>
              <w:rPr>
                <w:spacing w:val="-2"/>
              </w:rPr>
              <w:t>45</w:t>
            </w:r>
          </w:p>
        </w:tc>
        <w:tc>
          <w:tcPr>
            <w:tcW w:w="1975" w:type="dxa"/>
            <w:tcBorders>
              <w:right w:val="single" w:color="000000" w:sz="12" w:space="0"/>
            </w:tcBorders>
            <w:vAlign w:val="top"/>
          </w:tcPr>
          <w:p w14:paraId="55B67345">
            <w:pPr>
              <w:spacing w:before="90" w:line="187" w:lineRule="auto"/>
              <w:ind w:left="784"/>
              <w:rPr>
                <w:rFonts w:ascii="宋体" w:hAnsi="宋体" w:eastAsia="宋体" w:cs="宋体"/>
                <w:sz w:val="21"/>
                <w:szCs w:val="21"/>
              </w:rPr>
            </w:pPr>
            <w:r>
              <w:rPr>
                <w:rFonts w:ascii="宋体" w:hAnsi="宋体" w:eastAsia="宋体" w:cs="宋体"/>
                <w:spacing w:val="-2"/>
                <w:sz w:val="21"/>
                <w:szCs w:val="21"/>
              </w:rPr>
              <w:t>达标</w:t>
            </w:r>
          </w:p>
        </w:tc>
      </w:tr>
      <w:tr w14:paraId="08602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4F43CA90">
            <w:pPr>
              <w:rPr>
                <w:rFonts w:ascii="Arial"/>
                <w:sz w:val="21"/>
              </w:rPr>
            </w:pPr>
          </w:p>
        </w:tc>
        <w:tc>
          <w:tcPr>
            <w:tcW w:w="954" w:type="dxa"/>
            <w:vMerge w:val="restart"/>
            <w:tcBorders>
              <w:bottom w:val="nil"/>
            </w:tcBorders>
            <w:vAlign w:val="top"/>
          </w:tcPr>
          <w:p w14:paraId="50983A17">
            <w:pPr>
              <w:pStyle w:val="6"/>
              <w:spacing w:before="232" w:line="233" w:lineRule="auto"/>
              <w:ind w:left="77"/>
              <w:rPr>
                <w:rFonts w:ascii="宋体" w:hAnsi="宋体" w:eastAsia="宋体" w:cs="宋体"/>
              </w:rPr>
            </w:pPr>
            <w:r>
              <w:rPr>
                <w:spacing w:val="-9"/>
              </w:rPr>
              <w:t>6</w:t>
            </w:r>
            <w:r>
              <w:rPr>
                <w:spacing w:val="16"/>
                <w:w w:val="101"/>
              </w:rPr>
              <w:t xml:space="preserve"> </w:t>
            </w:r>
            <w:r>
              <w:rPr>
                <w:rFonts w:ascii="宋体" w:hAnsi="宋体" w:eastAsia="宋体" w:cs="宋体"/>
                <w:spacing w:val="-9"/>
              </w:rPr>
              <w:t>月</w:t>
            </w:r>
            <w:r>
              <w:rPr>
                <w:rFonts w:ascii="宋体" w:hAnsi="宋体" w:eastAsia="宋体" w:cs="宋体"/>
                <w:spacing w:val="-44"/>
              </w:rPr>
              <w:t xml:space="preserve"> </w:t>
            </w:r>
            <w:r>
              <w:rPr>
                <w:spacing w:val="-9"/>
              </w:rPr>
              <w:t>5</w:t>
            </w:r>
            <w:r>
              <w:rPr>
                <w:spacing w:val="46"/>
              </w:rPr>
              <w:t xml:space="preserve"> </w:t>
            </w:r>
            <w:r>
              <w:rPr>
                <w:rFonts w:ascii="宋体" w:hAnsi="宋体" w:eastAsia="宋体" w:cs="宋体"/>
                <w:spacing w:val="-9"/>
              </w:rPr>
              <w:t>日</w:t>
            </w:r>
          </w:p>
        </w:tc>
        <w:tc>
          <w:tcPr>
            <w:tcW w:w="1207" w:type="dxa"/>
            <w:vAlign w:val="top"/>
          </w:tcPr>
          <w:p w14:paraId="6F521726">
            <w:pPr>
              <w:spacing w:before="91" w:line="186"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7B9A88F9">
            <w:pPr>
              <w:pStyle w:val="6"/>
              <w:spacing w:before="109" w:line="192" w:lineRule="auto"/>
              <w:ind w:left="628"/>
            </w:pPr>
            <w:r>
              <w:rPr>
                <w:spacing w:val="-2"/>
              </w:rPr>
              <w:t>38.5</w:t>
            </w:r>
          </w:p>
        </w:tc>
        <w:tc>
          <w:tcPr>
            <w:tcW w:w="1696" w:type="dxa"/>
            <w:vAlign w:val="top"/>
          </w:tcPr>
          <w:p w14:paraId="020067E4">
            <w:pPr>
              <w:pStyle w:val="6"/>
              <w:spacing w:before="109" w:line="192" w:lineRule="auto"/>
              <w:ind w:left="752"/>
            </w:pPr>
            <w:r>
              <w:rPr>
                <w:spacing w:val="-5"/>
              </w:rPr>
              <w:t>55</w:t>
            </w:r>
          </w:p>
        </w:tc>
        <w:tc>
          <w:tcPr>
            <w:tcW w:w="1975" w:type="dxa"/>
            <w:tcBorders>
              <w:right w:val="single" w:color="000000" w:sz="12" w:space="0"/>
            </w:tcBorders>
            <w:vAlign w:val="top"/>
          </w:tcPr>
          <w:p w14:paraId="3A00ED05">
            <w:pPr>
              <w:spacing w:before="91" w:line="186" w:lineRule="auto"/>
              <w:ind w:left="784"/>
              <w:rPr>
                <w:rFonts w:ascii="宋体" w:hAnsi="宋体" w:eastAsia="宋体" w:cs="宋体"/>
                <w:sz w:val="21"/>
                <w:szCs w:val="21"/>
              </w:rPr>
            </w:pPr>
            <w:r>
              <w:rPr>
                <w:rFonts w:ascii="宋体" w:hAnsi="宋体" w:eastAsia="宋体" w:cs="宋体"/>
                <w:spacing w:val="-2"/>
                <w:sz w:val="21"/>
                <w:szCs w:val="21"/>
              </w:rPr>
              <w:t>达标</w:t>
            </w:r>
          </w:p>
        </w:tc>
      </w:tr>
      <w:tr w14:paraId="29D93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tcBorders>
            <w:vAlign w:val="top"/>
          </w:tcPr>
          <w:p w14:paraId="0E27CB54">
            <w:pPr>
              <w:rPr>
                <w:rFonts w:ascii="Arial"/>
                <w:sz w:val="21"/>
              </w:rPr>
            </w:pPr>
          </w:p>
        </w:tc>
        <w:tc>
          <w:tcPr>
            <w:tcW w:w="954" w:type="dxa"/>
            <w:vMerge w:val="continue"/>
            <w:tcBorders>
              <w:top w:val="nil"/>
            </w:tcBorders>
            <w:vAlign w:val="top"/>
          </w:tcPr>
          <w:p w14:paraId="5A64882F">
            <w:pPr>
              <w:rPr>
                <w:rFonts w:ascii="Arial"/>
                <w:sz w:val="21"/>
              </w:rPr>
            </w:pPr>
          </w:p>
        </w:tc>
        <w:tc>
          <w:tcPr>
            <w:tcW w:w="1207" w:type="dxa"/>
            <w:vAlign w:val="top"/>
          </w:tcPr>
          <w:p w14:paraId="7D28C24D">
            <w:pPr>
              <w:spacing w:before="92" w:line="185"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25BBC9B7">
            <w:pPr>
              <w:pStyle w:val="6"/>
              <w:spacing w:before="110" w:line="191" w:lineRule="auto"/>
              <w:ind w:left="628"/>
            </w:pPr>
            <w:r>
              <w:rPr>
                <w:spacing w:val="-2"/>
              </w:rPr>
              <w:t>39.3</w:t>
            </w:r>
          </w:p>
        </w:tc>
        <w:tc>
          <w:tcPr>
            <w:tcW w:w="1696" w:type="dxa"/>
            <w:vAlign w:val="top"/>
          </w:tcPr>
          <w:p w14:paraId="38C733CA">
            <w:pPr>
              <w:pStyle w:val="6"/>
              <w:spacing w:before="110" w:line="191" w:lineRule="auto"/>
              <w:ind w:left="746"/>
            </w:pPr>
            <w:r>
              <w:rPr>
                <w:spacing w:val="-2"/>
              </w:rPr>
              <w:t>45</w:t>
            </w:r>
          </w:p>
        </w:tc>
        <w:tc>
          <w:tcPr>
            <w:tcW w:w="1975" w:type="dxa"/>
            <w:tcBorders>
              <w:right w:val="single" w:color="000000" w:sz="12" w:space="0"/>
            </w:tcBorders>
            <w:vAlign w:val="top"/>
          </w:tcPr>
          <w:p w14:paraId="67BF6B7C">
            <w:pPr>
              <w:spacing w:before="92" w:line="185" w:lineRule="auto"/>
              <w:ind w:left="784"/>
              <w:rPr>
                <w:rFonts w:ascii="宋体" w:hAnsi="宋体" w:eastAsia="宋体" w:cs="宋体"/>
                <w:sz w:val="21"/>
                <w:szCs w:val="21"/>
              </w:rPr>
            </w:pPr>
            <w:r>
              <w:rPr>
                <w:rFonts w:ascii="宋体" w:hAnsi="宋体" w:eastAsia="宋体" w:cs="宋体"/>
                <w:spacing w:val="-2"/>
                <w:sz w:val="21"/>
                <w:szCs w:val="21"/>
              </w:rPr>
              <w:t>达标</w:t>
            </w:r>
          </w:p>
        </w:tc>
      </w:tr>
      <w:tr w14:paraId="2F312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22" w:type="dxa"/>
            <w:vMerge w:val="restart"/>
            <w:tcBorders>
              <w:left w:val="single" w:color="000000" w:sz="12" w:space="0"/>
              <w:bottom w:val="nil"/>
            </w:tcBorders>
            <w:vAlign w:val="top"/>
          </w:tcPr>
          <w:p w14:paraId="66C524F9">
            <w:pPr>
              <w:spacing w:line="243" w:lineRule="auto"/>
              <w:rPr>
                <w:rFonts w:ascii="Arial"/>
                <w:sz w:val="21"/>
              </w:rPr>
            </w:pPr>
          </w:p>
          <w:p w14:paraId="56C2E974">
            <w:pPr>
              <w:spacing w:line="243" w:lineRule="auto"/>
              <w:rPr>
                <w:rFonts w:ascii="Arial"/>
                <w:sz w:val="21"/>
              </w:rPr>
            </w:pPr>
          </w:p>
          <w:p w14:paraId="1BE3123E">
            <w:pPr>
              <w:spacing w:before="68" w:line="219" w:lineRule="auto"/>
              <w:ind w:left="78"/>
              <w:rPr>
                <w:rFonts w:ascii="宋体" w:hAnsi="宋体" w:eastAsia="宋体" w:cs="宋体"/>
                <w:sz w:val="21"/>
                <w:szCs w:val="21"/>
              </w:rPr>
            </w:pPr>
            <w:r>
              <w:rPr>
                <w:rFonts w:ascii="宋体" w:hAnsi="宋体" w:eastAsia="宋体" w:cs="宋体"/>
                <w:spacing w:val="-2"/>
                <w:sz w:val="21"/>
                <w:szCs w:val="21"/>
              </w:rPr>
              <w:t>土官寨村</w:t>
            </w:r>
          </w:p>
        </w:tc>
        <w:tc>
          <w:tcPr>
            <w:tcW w:w="954" w:type="dxa"/>
            <w:vMerge w:val="restart"/>
            <w:tcBorders>
              <w:bottom w:val="nil"/>
            </w:tcBorders>
            <w:vAlign w:val="top"/>
          </w:tcPr>
          <w:p w14:paraId="1F39C5BC">
            <w:pPr>
              <w:pStyle w:val="6"/>
              <w:spacing w:before="234" w:line="233" w:lineRule="auto"/>
              <w:ind w:left="77"/>
              <w:rPr>
                <w:rFonts w:ascii="宋体" w:hAnsi="宋体" w:eastAsia="宋体" w:cs="宋体"/>
              </w:rPr>
            </w:pPr>
            <w:r>
              <w:rPr>
                <w:spacing w:val="-7"/>
              </w:rPr>
              <w:t>6</w:t>
            </w:r>
            <w:r>
              <w:rPr>
                <w:spacing w:val="15"/>
              </w:rPr>
              <w:t xml:space="preserve"> </w:t>
            </w:r>
            <w:r>
              <w:rPr>
                <w:rFonts w:ascii="宋体" w:hAnsi="宋体" w:eastAsia="宋体" w:cs="宋体"/>
                <w:spacing w:val="-7"/>
              </w:rPr>
              <w:t>月</w:t>
            </w:r>
            <w:r>
              <w:rPr>
                <w:rFonts w:ascii="宋体" w:hAnsi="宋体" w:eastAsia="宋体" w:cs="宋体"/>
                <w:spacing w:val="-50"/>
              </w:rPr>
              <w:t xml:space="preserve"> </w:t>
            </w:r>
            <w:r>
              <w:rPr>
                <w:spacing w:val="-7"/>
              </w:rPr>
              <w:t>4</w:t>
            </w:r>
            <w:r>
              <w:rPr>
                <w:spacing w:val="45"/>
                <w:w w:val="101"/>
              </w:rPr>
              <w:t xml:space="preserve"> </w:t>
            </w:r>
            <w:r>
              <w:rPr>
                <w:rFonts w:ascii="宋体" w:hAnsi="宋体" w:eastAsia="宋体" w:cs="宋体"/>
                <w:spacing w:val="-7"/>
              </w:rPr>
              <w:t>日</w:t>
            </w:r>
          </w:p>
        </w:tc>
        <w:tc>
          <w:tcPr>
            <w:tcW w:w="1207" w:type="dxa"/>
            <w:vAlign w:val="top"/>
          </w:tcPr>
          <w:p w14:paraId="7056E415">
            <w:pPr>
              <w:spacing w:before="93" w:line="183"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3403BB1C">
            <w:pPr>
              <w:pStyle w:val="6"/>
              <w:spacing w:before="111" w:line="189" w:lineRule="auto"/>
              <w:ind w:left="628"/>
            </w:pPr>
            <w:r>
              <w:rPr>
                <w:spacing w:val="-2"/>
              </w:rPr>
              <w:t>38.7</w:t>
            </w:r>
          </w:p>
        </w:tc>
        <w:tc>
          <w:tcPr>
            <w:tcW w:w="1696" w:type="dxa"/>
            <w:vAlign w:val="top"/>
          </w:tcPr>
          <w:p w14:paraId="13D4222C">
            <w:pPr>
              <w:pStyle w:val="6"/>
              <w:spacing w:before="111" w:line="189" w:lineRule="auto"/>
              <w:ind w:left="752"/>
            </w:pPr>
            <w:r>
              <w:rPr>
                <w:spacing w:val="-5"/>
              </w:rPr>
              <w:t>55</w:t>
            </w:r>
          </w:p>
        </w:tc>
        <w:tc>
          <w:tcPr>
            <w:tcW w:w="1975" w:type="dxa"/>
            <w:tcBorders>
              <w:right w:val="single" w:color="000000" w:sz="12" w:space="0"/>
            </w:tcBorders>
            <w:vAlign w:val="top"/>
          </w:tcPr>
          <w:p w14:paraId="51A58ABC">
            <w:pPr>
              <w:spacing w:before="93" w:line="183" w:lineRule="auto"/>
              <w:ind w:left="784"/>
              <w:rPr>
                <w:rFonts w:ascii="宋体" w:hAnsi="宋体" w:eastAsia="宋体" w:cs="宋体"/>
                <w:sz w:val="21"/>
                <w:szCs w:val="21"/>
              </w:rPr>
            </w:pPr>
            <w:r>
              <w:rPr>
                <w:rFonts w:ascii="宋体" w:hAnsi="宋体" w:eastAsia="宋体" w:cs="宋体"/>
                <w:spacing w:val="-2"/>
                <w:sz w:val="21"/>
                <w:szCs w:val="21"/>
              </w:rPr>
              <w:t>达标</w:t>
            </w:r>
          </w:p>
        </w:tc>
      </w:tr>
      <w:tr w14:paraId="1A820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287B40EF">
            <w:pPr>
              <w:rPr>
                <w:rFonts w:ascii="Arial"/>
                <w:sz w:val="21"/>
              </w:rPr>
            </w:pPr>
          </w:p>
        </w:tc>
        <w:tc>
          <w:tcPr>
            <w:tcW w:w="954" w:type="dxa"/>
            <w:vMerge w:val="continue"/>
            <w:tcBorders>
              <w:top w:val="nil"/>
            </w:tcBorders>
            <w:vAlign w:val="top"/>
          </w:tcPr>
          <w:p w14:paraId="78914A87">
            <w:pPr>
              <w:rPr>
                <w:rFonts w:ascii="Arial"/>
                <w:sz w:val="21"/>
              </w:rPr>
            </w:pPr>
          </w:p>
        </w:tc>
        <w:tc>
          <w:tcPr>
            <w:tcW w:w="1207" w:type="dxa"/>
            <w:vAlign w:val="top"/>
          </w:tcPr>
          <w:p w14:paraId="101C42C1">
            <w:pPr>
              <w:spacing w:before="95" w:line="182"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vAlign w:val="top"/>
          </w:tcPr>
          <w:p w14:paraId="20C5F5E4">
            <w:pPr>
              <w:pStyle w:val="6"/>
              <w:spacing w:before="113" w:line="188" w:lineRule="auto"/>
              <w:ind w:left="628"/>
            </w:pPr>
            <w:r>
              <w:rPr>
                <w:spacing w:val="-2"/>
              </w:rPr>
              <w:t>39.2</w:t>
            </w:r>
          </w:p>
        </w:tc>
        <w:tc>
          <w:tcPr>
            <w:tcW w:w="1696" w:type="dxa"/>
            <w:vAlign w:val="top"/>
          </w:tcPr>
          <w:p w14:paraId="130E7831">
            <w:pPr>
              <w:pStyle w:val="6"/>
              <w:spacing w:before="113" w:line="188" w:lineRule="auto"/>
              <w:ind w:left="746"/>
            </w:pPr>
            <w:r>
              <w:rPr>
                <w:spacing w:val="-2"/>
              </w:rPr>
              <w:t>45</w:t>
            </w:r>
          </w:p>
        </w:tc>
        <w:tc>
          <w:tcPr>
            <w:tcW w:w="1975" w:type="dxa"/>
            <w:tcBorders>
              <w:right w:val="single" w:color="000000" w:sz="12" w:space="0"/>
            </w:tcBorders>
            <w:vAlign w:val="top"/>
          </w:tcPr>
          <w:p w14:paraId="20973269">
            <w:pPr>
              <w:spacing w:before="95" w:line="182" w:lineRule="auto"/>
              <w:ind w:left="784"/>
              <w:rPr>
                <w:rFonts w:ascii="宋体" w:hAnsi="宋体" w:eastAsia="宋体" w:cs="宋体"/>
                <w:sz w:val="21"/>
                <w:szCs w:val="21"/>
              </w:rPr>
            </w:pPr>
            <w:r>
              <w:rPr>
                <w:rFonts w:ascii="宋体" w:hAnsi="宋体" w:eastAsia="宋体" w:cs="宋体"/>
                <w:spacing w:val="-2"/>
                <w:sz w:val="21"/>
                <w:szCs w:val="21"/>
              </w:rPr>
              <w:t>达标</w:t>
            </w:r>
          </w:p>
        </w:tc>
      </w:tr>
      <w:tr w14:paraId="5024C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22" w:type="dxa"/>
            <w:vMerge w:val="continue"/>
            <w:tcBorders>
              <w:top w:val="nil"/>
              <w:left w:val="single" w:color="000000" w:sz="12" w:space="0"/>
              <w:bottom w:val="nil"/>
            </w:tcBorders>
            <w:vAlign w:val="top"/>
          </w:tcPr>
          <w:p w14:paraId="75B29AB5">
            <w:pPr>
              <w:rPr>
                <w:rFonts w:ascii="Arial"/>
                <w:sz w:val="21"/>
              </w:rPr>
            </w:pPr>
          </w:p>
        </w:tc>
        <w:tc>
          <w:tcPr>
            <w:tcW w:w="954" w:type="dxa"/>
            <w:vMerge w:val="restart"/>
            <w:tcBorders>
              <w:bottom w:val="nil"/>
            </w:tcBorders>
            <w:vAlign w:val="top"/>
          </w:tcPr>
          <w:p w14:paraId="3C03A082">
            <w:pPr>
              <w:pStyle w:val="6"/>
              <w:spacing w:before="237" w:line="233" w:lineRule="auto"/>
              <w:ind w:left="77"/>
              <w:rPr>
                <w:rFonts w:ascii="宋体" w:hAnsi="宋体" w:eastAsia="宋体" w:cs="宋体"/>
              </w:rPr>
            </w:pPr>
            <w:r>
              <w:rPr>
                <w:spacing w:val="-9"/>
              </w:rPr>
              <w:t>6</w:t>
            </w:r>
            <w:r>
              <w:rPr>
                <w:spacing w:val="16"/>
                <w:w w:val="101"/>
              </w:rPr>
              <w:t xml:space="preserve"> </w:t>
            </w:r>
            <w:r>
              <w:rPr>
                <w:rFonts w:ascii="宋体" w:hAnsi="宋体" w:eastAsia="宋体" w:cs="宋体"/>
                <w:spacing w:val="-9"/>
              </w:rPr>
              <w:t>月</w:t>
            </w:r>
            <w:r>
              <w:rPr>
                <w:rFonts w:ascii="宋体" w:hAnsi="宋体" w:eastAsia="宋体" w:cs="宋体"/>
                <w:spacing w:val="-44"/>
              </w:rPr>
              <w:t xml:space="preserve"> </w:t>
            </w:r>
            <w:r>
              <w:rPr>
                <w:spacing w:val="-9"/>
              </w:rPr>
              <w:t>5</w:t>
            </w:r>
            <w:r>
              <w:rPr>
                <w:spacing w:val="46"/>
              </w:rPr>
              <w:t xml:space="preserve"> </w:t>
            </w:r>
            <w:r>
              <w:rPr>
                <w:rFonts w:ascii="宋体" w:hAnsi="宋体" w:eastAsia="宋体" w:cs="宋体"/>
                <w:spacing w:val="-9"/>
              </w:rPr>
              <w:t>日</w:t>
            </w:r>
          </w:p>
        </w:tc>
        <w:tc>
          <w:tcPr>
            <w:tcW w:w="1207" w:type="dxa"/>
            <w:vAlign w:val="top"/>
          </w:tcPr>
          <w:p w14:paraId="75956850">
            <w:pPr>
              <w:spacing w:before="97" w:line="181" w:lineRule="auto"/>
              <w:ind w:left="389"/>
              <w:rPr>
                <w:rFonts w:ascii="宋体" w:hAnsi="宋体" w:eastAsia="宋体" w:cs="宋体"/>
                <w:sz w:val="21"/>
                <w:szCs w:val="21"/>
              </w:rPr>
            </w:pPr>
            <w:r>
              <w:rPr>
                <w:rFonts w:ascii="宋体" w:hAnsi="宋体" w:eastAsia="宋体" w:cs="宋体"/>
                <w:spacing w:val="-2"/>
                <w:sz w:val="21"/>
                <w:szCs w:val="21"/>
              </w:rPr>
              <w:t>昼间</w:t>
            </w:r>
          </w:p>
        </w:tc>
        <w:tc>
          <w:tcPr>
            <w:tcW w:w="1619" w:type="dxa"/>
            <w:vAlign w:val="top"/>
          </w:tcPr>
          <w:p w14:paraId="17A67045">
            <w:pPr>
              <w:pStyle w:val="6"/>
              <w:spacing w:before="114" w:line="187" w:lineRule="auto"/>
              <w:ind w:left="628"/>
            </w:pPr>
            <w:r>
              <w:rPr>
                <w:spacing w:val="-2"/>
              </w:rPr>
              <w:t>38.5</w:t>
            </w:r>
          </w:p>
        </w:tc>
        <w:tc>
          <w:tcPr>
            <w:tcW w:w="1696" w:type="dxa"/>
            <w:vAlign w:val="top"/>
          </w:tcPr>
          <w:p w14:paraId="517BCC5C">
            <w:pPr>
              <w:pStyle w:val="6"/>
              <w:spacing w:before="114" w:line="187" w:lineRule="auto"/>
              <w:ind w:left="752"/>
            </w:pPr>
            <w:r>
              <w:rPr>
                <w:spacing w:val="-5"/>
              </w:rPr>
              <w:t>55</w:t>
            </w:r>
          </w:p>
        </w:tc>
        <w:tc>
          <w:tcPr>
            <w:tcW w:w="1975" w:type="dxa"/>
            <w:tcBorders>
              <w:right w:val="single" w:color="000000" w:sz="12" w:space="0"/>
            </w:tcBorders>
            <w:vAlign w:val="top"/>
          </w:tcPr>
          <w:p w14:paraId="6BBF6EA7">
            <w:pPr>
              <w:spacing w:before="97" w:line="181" w:lineRule="auto"/>
              <w:ind w:left="784"/>
              <w:rPr>
                <w:rFonts w:ascii="宋体" w:hAnsi="宋体" w:eastAsia="宋体" w:cs="宋体"/>
                <w:sz w:val="21"/>
                <w:szCs w:val="21"/>
              </w:rPr>
            </w:pPr>
            <w:r>
              <w:rPr>
                <w:rFonts w:ascii="宋体" w:hAnsi="宋体" w:eastAsia="宋体" w:cs="宋体"/>
                <w:spacing w:val="-2"/>
                <w:sz w:val="21"/>
                <w:szCs w:val="21"/>
              </w:rPr>
              <w:t>达标</w:t>
            </w:r>
          </w:p>
        </w:tc>
      </w:tr>
      <w:tr w14:paraId="4D260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22" w:type="dxa"/>
            <w:vMerge w:val="continue"/>
            <w:tcBorders>
              <w:top w:val="nil"/>
              <w:left w:val="single" w:color="000000" w:sz="12" w:space="0"/>
              <w:bottom w:val="single" w:color="000000" w:sz="12" w:space="0"/>
            </w:tcBorders>
            <w:vAlign w:val="top"/>
          </w:tcPr>
          <w:p w14:paraId="4A83E3F6">
            <w:pPr>
              <w:rPr>
                <w:rFonts w:ascii="Arial"/>
                <w:sz w:val="21"/>
              </w:rPr>
            </w:pPr>
          </w:p>
        </w:tc>
        <w:tc>
          <w:tcPr>
            <w:tcW w:w="954" w:type="dxa"/>
            <w:vMerge w:val="continue"/>
            <w:tcBorders>
              <w:top w:val="nil"/>
              <w:bottom w:val="single" w:color="000000" w:sz="12" w:space="0"/>
            </w:tcBorders>
            <w:vAlign w:val="top"/>
          </w:tcPr>
          <w:p w14:paraId="41A21F04">
            <w:pPr>
              <w:rPr>
                <w:rFonts w:ascii="Arial"/>
                <w:sz w:val="21"/>
              </w:rPr>
            </w:pPr>
          </w:p>
        </w:tc>
        <w:tc>
          <w:tcPr>
            <w:tcW w:w="1207" w:type="dxa"/>
            <w:tcBorders>
              <w:bottom w:val="single" w:color="000000" w:sz="12" w:space="0"/>
            </w:tcBorders>
            <w:vAlign w:val="top"/>
          </w:tcPr>
          <w:p w14:paraId="2327EBD3">
            <w:pPr>
              <w:spacing w:before="97" w:line="200" w:lineRule="auto"/>
              <w:ind w:left="393"/>
              <w:rPr>
                <w:rFonts w:ascii="宋体" w:hAnsi="宋体" w:eastAsia="宋体" w:cs="宋体"/>
                <w:sz w:val="21"/>
                <w:szCs w:val="21"/>
              </w:rPr>
            </w:pPr>
            <w:r>
              <w:rPr>
                <w:rFonts w:ascii="宋体" w:hAnsi="宋体" w:eastAsia="宋体" w:cs="宋体"/>
                <w:spacing w:val="-3"/>
                <w:sz w:val="21"/>
                <w:szCs w:val="21"/>
              </w:rPr>
              <w:t>夜间</w:t>
            </w:r>
          </w:p>
        </w:tc>
        <w:tc>
          <w:tcPr>
            <w:tcW w:w="1619" w:type="dxa"/>
            <w:tcBorders>
              <w:bottom w:val="single" w:color="000000" w:sz="12" w:space="0"/>
            </w:tcBorders>
            <w:vAlign w:val="top"/>
          </w:tcPr>
          <w:p w14:paraId="1D6F8242">
            <w:pPr>
              <w:pStyle w:val="6"/>
              <w:spacing w:before="115" w:line="208" w:lineRule="auto"/>
              <w:ind w:left="628"/>
            </w:pPr>
            <w:r>
              <w:rPr>
                <w:spacing w:val="-2"/>
              </w:rPr>
              <w:t>39.0</w:t>
            </w:r>
          </w:p>
        </w:tc>
        <w:tc>
          <w:tcPr>
            <w:tcW w:w="1696" w:type="dxa"/>
            <w:tcBorders>
              <w:bottom w:val="single" w:color="000000" w:sz="12" w:space="0"/>
            </w:tcBorders>
            <w:vAlign w:val="top"/>
          </w:tcPr>
          <w:p w14:paraId="0138CDB2">
            <w:pPr>
              <w:pStyle w:val="6"/>
              <w:spacing w:before="115" w:line="208" w:lineRule="auto"/>
              <w:ind w:left="746"/>
            </w:pPr>
            <w:r>
              <w:rPr>
                <w:spacing w:val="-2"/>
              </w:rPr>
              <w:t>45</w:t>
            </w:r>
          </w:p>
        </w:tc>
        <w:tc>
          <w:tcPr>
            <w:tcW w:w="1975" w:type="dxa"/>
            <w:tcBorders>
              <w:bottom w:val="single" w:color="000000" w:sz="12" w:space="0"/>
              <w:right w:val="single" w:color="000000" w:sz="12" w:space="0"/>
            </w:tcBorders>
            <w:vAlign w:val="top"/>
          </w:tcPr>
          <w:p w14:paraId="5DD6C514">
            <w:pPr>
              <w:spacing w:before="97" w:line="200" w:lineRule="auto"/>
              <w:ind w:left="784"/>
              <w:rPr>
                <w:rFonts w:ascii="宋体" w:hAnsi="宋体" w:eastAsia="宋体" w:cs="宋体"/>
                <w:sz w:val="21"/>
                <w:szCs w:val="21"/>
              </w:rPr>
            </w:pPr>
            <w:r>
              <w:rPr>
                <w:rFonts w:ascii="宋体" w:hAnsi="宋体" w:eastAsia="宋体" w:cs="宋体"/>
                <w:spacing w:val="-2"/>
                <w:sz w:val="21"/>
                <w:szCs w:val="21"/>
              </w:rPr>
              <w:t>达标</w:t>
            </w:r>
          </w:p>
        </w:tc>
      </w:tr>
    </w:tbl>
    <w:p w14:paraId="5B73ECD9">
      <w:pPr>
        <w:spacing w:line="344" w:lineRule="auto"/>
        <w:rPr>
          <w:rFonts w:ascii="Arial"/>
          <w:sz w:val="21"/>
        </w:rPr>
      </w:pPr>
    </w:p>
    <w:p w14:paraId="5E8EF3C6">
      <w:pPr>
        <w:pStyle w:val="2"/>
        <w:spacing w:before="79" w:line="334" w:lineRule="auto"/>
        <w:ind w:left="40" w:right="66" w:firstLine="508"/>
        <w:jc w:val="both"/>
        <w:rPr>
          <w:sz w:val="24"/>
          <w:szCs w:val="24"/>
        </w:rPr>
      </w:pPr>
      <w:r>
        <w:rPr>
          <w:spacing w:val="-4"/>
          <w:sz w:val="24"/>
          <w:szCs w:val="24"/>
        </w:rPr>
        <w:t>由表</w:t>
      </w:r>
      <w:r>
        <w:rPr>
          <w:spacing w:val="-39"/>
          <w:sz w:val="24"/>
          <w:szCs w:val="24"/>
        </w:rPr>
        <w:t xml:space="preserve"> </w:t>
      </w:r>
      <w:r>
        <w:rPr>
          <w:rFonts w:ascii="Times New Roman" w:hAnsi="Times New Roman" w:eastAsia="Times New Roman" w:cs="Times New Roman"/>
          <w:spacing w:val="-4"/>
          <w:sz w:val="24"/>
          <w:szCs w:val="24"/>
        </w:rPr>
        <w:t xml:space="preserve">6.2-15 </w:t>
      </w:r>
      <w:r>
        <w:rPr>
          <w:spacing w:val="-4"/>
          <w:sz w:val="24"/>
          <w:szCs w:val="24"/>
        </w:rPr>
        <w:t>可知，</w:t>
      </w:r>
      <w:r>
        <w:rPr>
          <w:rFonts w:ascii="Times New Roman" w:hAnsi="Times New Roman" w:eastAsia="Times New Roman" w:cs="Times New Roman"/>
          <w:spacing w:val="-4"/>
          <w:sz w:val="24"/>
          <w:szCs w:val="24"/>
        </w:rPr>
        <w:t xml:space="preserve">5 </w:t>
      </w:r>
      <w:r>
        <w:rPr>
          <w:spacing w:val="-4"/>
          <w:sz w:val="24"/>
          <w:szCs w:val="24"/>
        </w:rPr>
        <w:t>个监测点位中，车马碧村、下罗贵村、上官寨村的昼、夜</w:t>
      </w:r>
      <w:r>
        <w:rPr>
          <w:spacing w:val="-6"/>
          <w:sz w:val="24"/>
          <w:szCs w:val="24"/>
        </w:rPr>
        <w:t>等效声级均优于《声环境质量标准》（</w:t>
      </w:r>
      <w:r>
        <w:rPr>
          <w:rFonts w:ascii="Times New Roman" w:hAnsi="Times New Roman" w:eastAsia="Times New Roman" w:cs="Times New Roman"/>
          <w:spacing w:val="-6"/>
          <w:sz w:val="24"/>
          <w:szCs w:val="24"/>
        </w:rPr>
        <w:t>GB3096-2008</w:t>
      </w:r>
      <w:r>
        <w:rPr>
          <w:spacing w:val="-6"/>
          <w:sz w:val="24"/>
          <w:szCs w:val="24"/>
        </w:rPr>
        <w:t>）</w:t>
      </w:r>
      <w:r>
        <w:rPr>
          <w:rFonts w:ascii="Times New Roman" w:hAnsi="Times New Roman" w:eastAsia="Times New Roman" w:cs="Times New Roman"/>
          <w:spacing w:val="-6"/>
          <w:sz w:val="24"/>
          <w:szCs w:val="24"/>
        </w:rPr>
        <w:t xml:space="preserve">1 </w:t>
      </w:r>
      <w:r>
        <w:rPr>
          <w:spacing w:val="-6"/>
          <w:sz w:val="24"/>
          <w:szCs w:val="24"/>
        </w:rPr>
        <w:t>类标准；王大屯村和</w:t>
      </w:r>
      <w:r>
        <w:rPr>
          <w:spacing w:val="-7"/>
          <w:sz w:val="24"/>
          <w:szCs w:val="24"/>
        </w:rPr>
        <w:t>西山乡</w:t>
      </w:r>
      <w:r>
        <w:rPr>
          <w:spacing w:val="-3"/>
          <w:sz w:val="24"/>
          <w:szCs w:val="24"/>
        </w:rPr>
        <w:t>村昼间均满足</w:t>
      </w:r>
      <w:r>
        <w:rPr>
          <w:spacing w:val="-32"/>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类标准，夜间略有超标，超标</w:t>
      </w:r>
      <w:r>
        <w:rPr>
          <w:spacing w:val="-51"/>
          <w:sz w:val="24"/>
          <w:szCs w:val="24"/>
        </w:rPr>
        <w:t xml:space="preserve"> </w:t>
      </w:r>
      <w:r>
        <w:rPr>
          <w:rFonts w:ascii="Times New Roman" w:hAnsi="Times New Roman" w:eastAsia="Times New Roman" w:cs="Times New Roman"/>
          <w:spacing w:val="-3"/>
          <w:sz w:val="24"/>
          <w:szCs w:val="24"/>
        </w:rPr>
        <w:t>0.1</w:t>
      </w:r>
      <w:r>
        <w:rPr>
          <w:rFonts w:ascii="Times New Roman" w:hAnsi="Times New Roman" w:eastAsia="Times New Roman" w:cs="Times New Roman"/>
          <w:spacing w:val="-4"/>
          <w:sz w:val="24"/>
          <w:szCs w:val="24"/>
        </w:rPr>
        <w:t>~1.4dB(A)</w:t>
      </w:r>
      <w:r>
        <w:rPr>
          <w:spacing w:val="-4"/>
          <w:sz w:val="24"/>
          <w:szCs w:val="24"/>
        </w:rPr>
        <w:t>，可能受附近道路交通</w:t>
      </w:r>
      <w:r>
        <w:rPr>
          <w:spacing w:val="-1"/>
          <w:sz w:val="24"/>
          <w:szCs w:val="24"/>
        </w:rPr>
        <w:t>噪声和河内水流声影响，总体来看，工程建设前区域</w:t>
      </w:r>
      <w:r>
        <w:rPr>
          <w:spacing w:val="-2"/>
          <w:sz w:val="24"/>
          <w:szCs w:val="24"/>
        </w:rPr>
        <w:t>声环境质量总体较好。</w:t>
      </w:r>
    </w:p>
    <w:p w14:paraId="6381FC30">
      <w:pPr>
        <w:spacing w:line="334" w:lineRule="auto"/>
        <w:rPr>
          <w:sz w:val="24"/>
          <w:szCs w:val="24"/>
        </w:rPr>
        <w:sectPr>
          <w:headerReference r:id="rId266" w:type="default"/>
          <w:footerReference r:id="rId267" w:type="default"/>
          <w:pgSz w:w="11907" w:h="16839"/>
          <w:pgMar w:top="1376" w:right="1632" w:bottom="1061" w:left="1671" w:header="999" w:footer="861" w:gutter="0"/>
          <w:cols w:space="720" w:num="1"/>
        </w:sectPr>
      </w:pPr>
    </w:p>
    <w:p w14:paraId="319A1040">
      <w:pPr>
        <w:spacing w:line="456" w:lineRule="auto"/>
        <w:rPr>
          <w:rFonts w:ascii="Arial"/>
          <w:sz w:val="21"/>
        </w:rPr>
      </w:pPr>
    </w:p>
    <w:p w14:paraId="269E5056">
      <w:pPr>
        <w:pStyle w:val="2"/>
        <w:spacing w:before="78" w:line="220" w:lineRule="auto"/>
        <w:ind w:left="35"/>
        <w:rPr>
          <w:sz w:val="24"/>
          <w:szCs w:val="24"/>
        </w:rPr>
      </w:pPr>
      <w:r>
        <w:rPr>
          <w:rFonts w:ascii="Arial" w:hAnsi="Arial" w:eastAsia="Arial" w:cs="Arial"/>
          <w:spacing w:val="3"/>
          <w:position w:val="1"/>
          <w:sz w:val="18"/>
          <w:szCs w:val="18"/>
        </w:rPr>
        <w:t>6.2.4.2</w:t>
      </w:r>
      <w:r>
        <w:rPr>
          <w:rFonts w:ascii="Arial" w:hAnsi="Arial" w:eastAsia="Arial" w:cs="Arial"/>
          <w:spacing w:val="53"/>
          <w:w w:val="101"/>
          <w:position w:val="1"/>
          <w:sz w:val="18"/>
          <w:szCs w:val="18"/>
        </w:rPr>
        <w:t xml:space="preserve"> </w:t>
      </w:r>
      <w:r>
        <w:rPr>
          <w:b/>
          <w:bCs/>
          <w:spacing w:val="3"/>
          <w:position w:val="-1"/>
          <w:sz w:val="24"/>
          <w:szCs w:val="24"/>
        </w:rPr>
        <w:t>工程施工期声环境质量</w:t>
      </w:r>
    </w:p>
    <w:p w14:paraId="56F51DA4">
      <w:pPr>
        <w:pStyle w:val="2"/>
        <w:spacing w:before="270" w:line="339" w:lineRule="auto"/>
        <w:ind w:left="38" w:right="28" w:firstLine="480"/>
        <w:jc w:val="both"/>
        <w:rPr>
          <w:sz w:val="24"/>
          <w:szCs w:val="24"/>
        </w:rPr>
      </w:pPr>
      <w:r>
        <w:rPr>
          <w:spacing w:val="-1"/>
          <w:sz w:val="24"/>
          <w:szCs w:val="24"/>
        </w:rPr>
        <w:t xml:space="preserve">根据施工期环境监测报告，工程区共设置 </w:t>
      </w:r>
      <w:r>
        <w:rPr>
          <w:rFonts w:ascii="Times New Roman" w:hAnsi="Times New Roman" w:eastAsia="Times New Roman" w:cs="Times New Roman"/>
          <w:spacing w:val="-1"/>
          <w:sz w:val="24"/>
          <w:szCs w:val="24"/>
        </w:rPr>
        <w:t xml:space="preserve">8  </w:t>
      </w:r>
      <w:r>
        <w:rPr>
          <w:spacing w:val="-1"/>
          <w:sz w:val="24"/>
          <w:szCs w:val="24"/>
        </w:rPr>
        <w:t>个声环境监测点位，较环评阶段</w:t>
      </w:r>
      <w:r>
        <w:rPr>
          <w:spacing w:val="-4"/>
          <w:sz w:val="24"/>
          <w:szCs w:val="24"/>
        </w:rPr>
        <w:t>增加</w:t>
      </w:r>
      <w:r>
        <w:rPr>
          <w:spacing w:val="-50"/>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个，其中车马碧村、土官寨村、王大屯村和环评阶段点位一致。</w:t>
      </w:r>
      <w:r>
        <w:rPr>
          <w:spacing w:val="-5"/>
          <w:sz w:val="24"/>
          <w:szCs w:val="24"/>
        </w:rPr>
        <w:t>施工期监测</w:t>
      </w:r>
      <w:r>
        <w:rPr>
          <w:spacing w:val="-2"/>
          <w:sz w:val="24"/>
          <w:szCs w:val="24"/>
        </w:rPr>
        <w:t>频次为：每半年监测一次，每次监测一天，</w:t>
      </w:r>
      <w:r>
        <w:rPr>
          <w:rFonts w:ascii="Times New Roman" w:hAnsi="Times New Roman" w:eastAsia="Times New Roman" w:cs="Times New Roman"/>
          <w:spacing w:val="-2"/>
          <w:sz w:val="24"/>
          <w:szCs w:val="24"/>
        </w:rPr>
        <w:t xml:space="preserve">2019 </w:t>
      </w:r>
      <w:r>
        <w:rPr>
          <w:spacing w:val="-2"/>
          <w:sz w:val="24"/>
          <w:szCs w:val="24"/>
        </w:rPr>
        <w:t>年</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3"/>
          <w:sz w:val="24"/>
          <w:szCs w:val="24"/>
        </w:rPr>
        <w:t>021</w:t>
      </w:r>
      <w:r>
        <w:rPr>
          <w:spacing w:val="-3"/>
          <w:sz w:val="24"/>
          <w:szCs w:val="24"/>
        </w:rPr>
        <w:t>年声环境质量监测结果见表</w:t>
      </w:r>
      <w:r>
        <w:rPr>
          <w:spacing w:val="-45"/>
          <w:sz w:val="24"/>
          <w:szCs w:val="24"/>
        </w:rPr>
        <w:t xml:space="preserve"> </w:t>
      </w:r>
      <w:r>
        <w:rPr>
          <w:rFonts w:ascii="Times New Roman" w:hAnsi="Times New Roman" w:eastAsia="Times New Roman" w:cs="Times New Roman"/>
          <w:spacing w:val="-3"/>
          <w:sz w:val="24"/>
          <w:szCs w:val="24"/>
        </w:rPr>
        <w:t>6.2-16</w:t>
      </w:r>
      <w:r>
        <w:rPr>
          <w:spacing w:val="-3"/>
          <w:sz w:val="24"/>
          <w:szCs w:val="24"/>
        </w:rPr>
        <w:t>。</w:t>
      </w:r>
    </w:p>
    <w:p w14:paraId="0C9641DC">
      <w:pPr>
        <w:pStyle w:val="2"/>
        <w:spacing w:before="1" w:line="225" w:lineRule="auto"/>
        <w:ind w:left="279"/>
        <w:rPr>
          <w:sz w:val="24"/>
          <w:szCs w:val="24"/>
        </w:rPr>
      </w:pPr>
      <w:r>
        <w:rPr>
          <w:b/>
          <w:bCs/>
          <w:spacing w:val="1"/>
          <w:sz w:val="24"/>
          <w:szCs w:val="24"/>
        </w:rPr>
        <w:t>表</w:t>
      </w:r>
      <w:r>
        <w:rPr>
          <w:spacing w:val="-33"/>
          <w:sz w:val="24"/>
          <w:szCs w:val="24"/>
        </w:rPr>
        <w:t xml:space="preserve"> </w:t>
      </w:r>
      <w:r>
        <w:rPr>
          <w:rFonts w:ascii="Times New Roman" w:hAnsi="Times New Roman" w:eastAsia="Times New Roman" w:cs="Times New Roman"/>
          <w:b/>
          <w:bCs/>
          <w:spacing w:val="1"/>
          <w:sz w:val="24"/>
          <w:szCs w:val="24"/>
        </w:rPr>
        <w:t>6.2-16                   2019</w:t>
      </w:r>
      <w:r>
        <w:rPr>
          <w:rFonts w:ascii="Times New Roman" w:hAnsi="Times New Roman" w:eastAsia="Times New Roman" w:cs="Times New Roman"/>
          <w:b/>
          <w:bCs/>
          <w:spacing w:val="11"/>
          <w:sz w:val="24"/>
          <w:szCs w:val="24"/>
        </w:rPr>
        <w:t xml:space="preserve"> </w:t>
      </w:r>
      <w:r>
        <w:rPr>
          <w:b/>
          <w:bCs/>
          <w:spacing w:val="1"/>
          <w:sz w:val="24"/>
          <w:szCs w:val="24"/>
        </w:rPr>
        <w:t>年</w:t>
      </w:r>
      <w:r>
        <w:rPr>
          <w:rFonts w:ascii="Times New Roman" w:hAnsi="Times New Roman" w:eastAsia="Times New Roman" w:cs="Times New Roman"/>
          <w:b/>
          <w:bCs/>
          <w:spacing w:val="1"/>
          <w:sz w:val="24"/>
          <w:szCs w:val="24"/>
        </w:rPr>
        <w:t>~2021</w:t>
      </w:r>
      <w:r>
        <w:rPr>
          <w:b/>
          <w:bCs/>
          <w:spacing w:val="1"/>
          <w:sz w:val="24"/>
          <w:szCs w:val="24"/>
        </w:rPr>
        <w:t>年施工期声环境质量监测结果评价</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4"/>
        <w:gridCol w:w="1270"/>
        <w:gridCol w:w="1414"/>
        <w:gridCol w:w="1414"/>
        <w:gridCol w:w="1414"/>
        <w:gridCol w:w="1407"/>
      </w:tblGrid>
      <w:tr w14:paraId="55E3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554" w:type="dxa"/>
            <w:vMerge w:val="restart"/>
            <w:tcBorders>
              <w:top w:val="single" w:color="000000" w:sz="12" w:space="0"/>
              <w:left w:val="single" w:color="000000" w:sz="12" w:space="0"/>
              <w:bottom w:val="nil"/>
            </w:tcBorders>
            <w:vAlign w:val="top"/>
          </w:tcPr>
          <w:p w14:paraId="7B19A1C1">
            <w:pPr>
              <w:spacing w:before="253" w:line="221" w:lineRule="auto"/>
              <w:ind w:left="346"/>
              <w:rPr>
                <w:rFonts w:ascii="宋体" w:hAnsi="宋体" w:eastAsia="宋体" w:cs="宋体"/>
                <w:sz w:val="21"/>
                <w:szCs w:val="21"/>
              </w:rPr>
            </w:pPr>
            <w:r>
              <w:rPr>
                <w:rFonts w:ascii="宋体" w:hAnsi="宋体" w:eastAsia="宋体" w:cs="宋体"/>
                <w:spacing w:val="-3"/>
                <w:sz w:val="21"/>
                <w:szCs w:val="21"/>
              </w:rPr>
              <w:t>监测点位</w:t>
            </w:r>
          </w:p>
        </w:tc>
        <w:tc>
          <w:tcPr>
            <w:tcW w:w="2684" w:type="dxa"/>
            <w:gridSpan w:val="2"/>
            <w:vMerge w:val="restart"/>
            <w:tcBorders>
              <w:top w:val="single" w:color="000000" w:sz="12" w:space="0"/>
              <w:bottom w:val="nil"/>
            </w:tcBorders>
            <w:vAlign w:val="top"/>
          </w:tcPr>
          <w:p w14:paraId="0A9112C7">
            <w:pPr>
              <w:spacing w:before="253" w:line="221" w:lineRule="auto"/>
              <w:ind w:left="920"/>
              <w:rPr>
                <w:rFonts w:ascii="宋体" w:hAnsi="宋体" w:eastAsia="宋体" w:cs="宋体"/>
                <w:sz w:val="21"/>
                <w:szCs w:val="21"/>
              </w:rPr>
            </w:pPr>
            <w:r>
              <w:rPr>
                <w:rFonts w:ascii="宋体" w:hAnsi="宋体" w:eastAsia="宋体" w:cs="宋体"/>
                <w:spacing w:val="-2"/>
                <w:sz w:val="21"/>
                <w:szCs w:val="21"/>
              </w:rPr>
              <w:t>监测时间</w:t>
            </w:r>
          </w:p>
        </w:tc>
        <w:tc>
          <w:tcPr>
            <w:tcW w:w="2828" w:type="dxa"/>
            <w:gridSpan w:val="2"/>
            <w:tcBorders>
              <w:top w:val="single" w:color="000000" w:sz="12" w:space="0"/>
            </w:tcBorders>
            <w:vAlign w:val="top"/>
          </w:tcPr>
          <w:p w14:paraId="33F7D8C6">
            <w:pPr>
              <w:pStyle w:val="6"/>
              <w:spacing w:before="104" w:line="190" w:lineRule="auto"/>
              <w:ind w:left="959"/>
            </w:pPr>
            <w:r>
              <w:rPr>
                <w:spacing w:val="-1"/>
              </w:rPr>
              <w:t>Leq dB(A)</w:t>
            </w:r>
          </w:p>
        </w:tc>
        <w:tc>
          <w:tcPr>
            <w:tcW w:w="1407" w:type="dxa"/>
            <w:vMerge w:val="restart"/>
            <w:tcBorders>
              <w:top w:val="single" w:color="000000" w:sz="12" w:space="0"/>
              <w:bottom w:val="nil"/>
              <w:right w:val="single" w:color="000000" w:sz="12" w:space="0"/>
            </w:tcBorders>
            <w:vAlign w:val="top"/>
          </w:tcPr>
          <w:p w14:paraId="6E15839B">
            <w:pPr>
              <w:spacing w:before="254" w:line="218" w:lineRule="auto"/>
              <w:ind w:left="291"/>
              <w:rPr>
                <w:rFonts w:ascii="宋体" w:hAnsi="宋体" w:eastAsia="宋体" w:cs="宋体"/>
                <w:sz w:val="21"/>
                <w:szCs w:val="21"/>
              </w:rPr>
            </w:pPr>
            <w:r>
              <w:rPr>
                <w:rFonts w:ascii="宋体" w:hAnsi="宋体" w:eastAsia="宋体" w:cs="宋体"/>
                <w:spacing w:val="-2"/>
                <w:sz w:val="21"/>
                <w:szCs w:val="21"/>
              </w:rPr>
              <w:t>评价结果</w:t>
            </w:r>
          </w:p>
        </w:tc>
      </w:tr>
      <w:tr w14:paraId="2C605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tcBorders>
            <w:vAlign w:val="top"/>
          </w:tcPr>
          <w:p w14:paraId="04B7B05D">
            <w:pPr>
              <w:rPr>
                <w:rFonts w:ascii="Arial"/>
                <w:sz w:val="21"/>
              </w:rPr>
            </w:pPr>
          </w:p>
        </w:tc>
        <w:tc>
          <w:tcPr>
            <w:tcW w:w="2684" w:type="dxa"/>
            <w:gridSpan w:val="2"/>
            <w:vMerge w:val="continue"/>
            <w:tcBorders>
              <w:top w:val="nil"/>
            </w:tcBorders>
            <w:vAlign w:val="top"/>
          </w:tcPr>
          <w:p w14:paraId="0C47EEAB">
            <w:pPr>
              <w:rPr>
                <w:rFonts w:ascii="Arial"/>
                <w:sz w:val="21"/>
              </w:rPr>
            </w:pPr>
          </w:p>
        </w:tc>
        <w:tc>
          <w:tcPr>
            <w:tcW w:w="1414" w:type="dxa"/>
            <w:vAlign w:val="top"/>
          </w:tcPr>
          <w:p w14:paraId="0C3E2A6D">
            <w:pPr>
              <w:spacing w:before="70" w:line="222" w:lineRule="auto"/>
              <w:ind w:left="501"/>
              <w:rPr>
                <w:rFonts w:ascii="宋体" w:hAnsi="宋体" w:eastAsia="宋体" w:cs="宋体"/>
                <w:sz w:val="21"/>
                <w:szCs w:val="21"/>
              </w:rPr>
            </w:pPr>
            <w:r>
              <w:rPr>
                <w:rFonts w:ascii="宋体" w:hAnsi="宋体" w:eastAsia="宋体" w:cs="宋体"/>
                <w:spacing w:val="-2"/>
                <w:sz w:val="21"/>
                <w:szCs w:val="21"/>
              </w:rPr>
              <w:t>昼间</w:t>
            </w:r>
          </w:p>
        </w:tc>
        <w:tc>
          <w:tcPr>
            <w:tcW w:w="1414" w:type="dxa"/>
            <w:vAlign w:val="top"/>
          </w:tcPr>
          <w:p w14:paraId="62144B77">
            <w:pPr>
              <w:spacing w:before="69" w:line="220" w:lineRule="auto"/>
              <w:ind w:left="511"/>
              <w:rPr>
                <w:rFonts w:ascii="宋体" w:hAnsi="宋体" w:eastAsia="宋体" w:cs="宋体"/>
                <w:sz w:val="21"/>
                <w:szCs w:val="21"/>
              </w:rPr>
            </w:pPr>
            <w:r>
              <w:rPr>
                <w:rFonts w:ascii="宋体" w:hAnsi="宋体" w:eastAsia="宋体" w:cs="宋体"/>
                <w:spacing w:val="-3"/>
                <w:sz w:val="21"/>
                <w:szCs w:val="21"/>
              </w:rPr>
              <w:t>夜间</w:t>
            </w:r>
          </w:p>
        </w:tc>
        <w:tc>
          <w:tcPr>
            <w:tcW w:w="1407" w:type="dxa"/>
            <w:vMerge w:val="continue"/>
            <w:tcBorders>
              <w:top w:val="nil"/>
              <w:right w:val="single" w:color="000000" w:sz="12" w:space="0"/>
            </w:tcBorders>
            <w:vAlign w:val="top"/>
          </w:tcPr>
          <w:p w14:paraId="5222F119">
            <w:pPr>
              <w:rPr>
                <w:rFonts w:ascii="Arial"/>
                <w:sz w:val="21"/>
              </w:rPr>
            </w:pPr>
          </w:p>
        </w:tc>
      </w:tr>
      <w:tr w14:paraId="150E4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554" w:type="dxa"/>
            <w:vMerge w:val="restart"/>
            <w:tcBorders>
              <w:left w:val="single" w:color="000000" w:sz="12" w:space="0"/>
              <w:bottom w:val="nil"/>
            </w:tcBorders>
            <w:vAlign w:val="top"/>
          </w:tcPr>
          <w:p w14:paraId="0D88CDE6">
            <w:pPr>
              <w:spacing w:line="259" w:lineRule="auto"/>
              <w:rPr>
                <w:rFonts w:ascii="Arial"/>
                <w:sz w:val="21"/>
              </w:rPr>
            </w:pPr>
          </w:p>
          <w:p w14:paraId="27A34002">
            <w:pPr>
              <w:spacing w:line="260" w:lineRule="auto"/>
              <w:rPr>
                <w:rFonts w:ascii="Arial"/>
                <w:sz w:val="21"/>
              </w:rPr>
            </w:pPr>
          </w:p>
          <w:p w14:paraId="098E4A09">
            <w:pPr>
              <w:spacing w:line="260" w:lineRule="auto"/>
              <w:rPr>
                <w:rFonts w:ascii="Arial"/>
                <w:sz w:val="21"/>
              </w:rPr>
            </w:pPr>
          </w:p>
          <w:p w14:paraId="56B0E2AB">
            <w:pPr>
              <w:spacing w:before="69" w:line="242" w:lineRule="auto"/>
              <w:ind w:left="141" w:right="160" w:firstLine="206"/>
              <w:rPr>
                <w:rFonts w:ascii="宋体" w:hAnsi="宋体" w:eastAsia="宋体" w:cs="宋体"/>
                <w:sz w:val="21"/>
                <w:szCs w:val="21"/>
              </w:rPr>
            </w:pPr>
            <w:r>
              <w:rPr>
                <w:rFonts w:ascii="宋体" w:hAnsi="宋体" w:eastAsia="宋体" w:cs="宋体"/>
                <w:spacing w:val="-3"/>
                <w:sz w:val="21"/>
                <w:szCs w:val="21"/>
              </w:rPr>
              <w:t>车马碧村</w:t>
            </w:r>
            <w:r>
              <w:rPr>
                <w:rFonts w:ascii="宋体" w:hAnsi="宋体" w:eastAsia="宋体" w:cs="宋体"/>
                <w:spacing w:val="-5"/>
                <w:sz w:val="21"/>
                <w:szCs w:val="21"/>
              </w:rPr>
              <w:t>（同环评期）</w:t>
            </w:r>
          </w:p>
        </w:tc>
        <w:tc>
          <w:tcPr>
            <w:tcW w:w="1270" w:type="dxa"/>
            <w:vMerge w:val="restart"/>
            <w:tcBorders>
              <w:bottom w:val="nil"/>
            </w:tcBorders>
            <w:vAlign w:val="top"/>
          </w:tcPr>
          <w:p w14:paraId="7E22D071">
            <w:pPr>
              <w:pStyle w:val="6"/>
              <w:spacing w:before="254"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18C04B76">
            <w:pPr>
              <w:pStyle w:val="6"/>
              <w:spacing w:before="71" w:line="233"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0188C208">
            <w:pPr>
              <w:pStyle w:val="6"/>
              <w:spacing w:before="104" w:line="235" w:lineRule="auto"/>
              <w:ind w:left="602"/>
            </w:pPr>
            <w:r>
              <w:rPr>
                <w:spacing w:val="-1"/>
              </w:rPr>
              <w:t>44</w:t>
            </w:r>
          </w:p>
        </w:tc>
        <w:tc>
          <w:tcPr>
            <w:tcW w:w="1414" w:type="dxa"/>
            <w:vAlign w:val="top"/>
          </w:tcPr>
          <w:p w14:paraId="647FB158">
            <w:pPr>
              <w:pStyle w:val="6"/>
              <w:spacing w:before="104" w:line="232" w:lineRule="auto"/>
              <w:ind w:left="613"/>
            </w:pPr>
            <w:r>
              <w:rPr>
                <w:spacing w:val="-3"/>
              </w:rPr>
              <w:t>39</w:t>
            </w:r>
          </w:p>
        </w:tc>
        <w:tc>
          <w:tcPr>
            <w:tcW w:w="1407" w:type="dxa"/>
            <w:tcBorders>
              <w:right w:val="single" w:color="000000" w:sz="12" w:space="0"/>
            </w:tcBorders>
            <w:vAlign w:val="top"/>
          </w:tcPr>
          <w:p w14:paraId="60353D0D">
            <w:pPr>
              <w:spacing w:before="71"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7F212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44100190">
            <w:pPr>
              <w:rPr>
                <w:rFonts w:ascii="Arial"/>
                <w:sz w:val="21"/>
              </w:rPr>
            </w:pPr>
          </w:p>
        </w:tc>
        <w:tc>
          <w:tcPr>
            <w:tcW w:w="1270" w:type="dxa"/>
            <w:vMerge w:val="continue"/>
            <w:tcBorders>
              <w:top w:val="nil"/>
            </w:tcBorders>
            <w:vAlign w:val="top"/>
          </w:tcPr>
          <w:p w14:paraId="4C663479">
            <w:pPr>
              <w:rPr>
                <w:rFonts w:ascii="Arial"/>
                <w:sz w:val="21"/>
              </w:rPr>
            </w:pPr>
          </w:p>
        </w:tc>
        <w:tc>
          <w:tcPr>
            <w:tcW w:w="1414" w:type="dxa"/>
            <w:vAlign w:val="top"/>
          </w:tcPr>
          <w:p w14:paraId="342024CB">
            <w:pPr>
              <w:pStyle w:val="6"/>
              <w:spacing w:before="71" w:line="233"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27F2EE40">
            <w:pPr>
              <w:pStyle w:val="6"/>
              <w:spacing w:before="104" w:line="232" w:lineRule="auto"/>
              <w:ind w:left="602"/>
            </w:pPr>
            <w:r>
              <w:rPr>
                <w:spacing w:val="-1"/>
              </w:rPr>
              <w:t>43</w:t>
            </w:r>
          </w:p>
        </w:tc>
        <w:tc>
          <w:tcPr>
            <w:tcW w:w="1414" w:type="dxa"/>
            <w:vAlign w:val="top"/>
          </w:tcPr>
          <w:p w14:paraId="7C4F4B1C">
            <w:pPr>
              <w:pStyle w:val="6"/>
              <w:spacing w:before="103" w:line="232" w:lineRule="auto"/>
              <w:ind w:left="613"/>
            </w:pPr>
            <w:r>
              <w:rPr>
                <w:spacing w:val="-3"/>
              </w:rPr>
              <w:t>39</w:t>
            </w:r>
          </w:p>
        </w:tc>
        <w:tc>
          <w:tcPr>
            <w:tcW w:w="1407" w:type="dxa"/>
            <w:tcBorders>
              <w:right w:val="single" w:color="000000" w:sz="12" w:space="0"/>
            </w:tcBorders>
            <w:vAlign w:val="top"/>
          </w:tcPr>
          <w:p w14:paraId="0FCFBEF5">
            <w:pPr>
              <w:spacing w:before="71"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0E19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07DE4FB8">
            <w:pPr>
              <w:rPr>
                <w:rFonts w:ascii="Arial"/>
                <w:sz w:val="21"/>
              </w:rPr>
            </w:pPr>
          </w:p>
        </w:tc>
        <w:tc>
          <w:tcPr>
            <w:tcW w:w="1270" w:type="dxa"/>
            <w:vMerge w:val="restart"/>
            <w:tcBorders>
              <w:bottom w:val="nil"/>
            </w:tcBorders>
            <w:vAlign w:val="top"/>
          </w:tcPr>
          <w:p w14:paraId="48D316EA">
            <w:pPr>
              <w:pStyle w:val="6"/>
              <w:spacing w:before="256"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315C3A9A">
            <w:pPr>
              <w:pStyle w:val="6"/>
              <w:spacing w:before="72" w:line="233"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62A3E0DD">
            <w:pPr>
              <w:pStyle w:val="6"/>
              <w:spacing w:before="105" w:line="235" w:lineRule="auto"/>
              <w:ind w:left="602"/>
            </w:pPr>
            <w:r>
              <w:rPr>
                <w:spacing w:val="-1"/>
              </w:rPr>
              <w:t>44</w:t>
            </w:r>
          </w:p>
        </w:tc>
        <w:tc>
          <w:tcPr>
            <w:tcW w:w="1414" w:type="dxa"/>
            <w:vAlign w:val="top"/>
          </w:tcPr>
          <w:p w14:paraId="238C035B">
            <w:pPr>
              <w:pStyle w:val="6"/>
              <w:spacing w:before="106" w:line="232" w:lineRule="auto"/>
              <w:ind w:left="613"/>
            </w:pPr>
            <w:r>
              <w:rPr>
                <w:spacing w:val="-3"/>
              </w:rPr>
              <w:t>37</w:t>
            </w:r>
          </w:p>
        </w:tc>
        <w:tc>
          <w:tcPr>
            <w:tcW w:w="1407" w:type="dxa"/>
            <w:tcBorders>
              <w:right w:val="single" w:color="000000" w:sz="12" w:space="0"/>
            </w:tcBorders>
            <w:vAlign w:val="top"/>
          </w:tcPr>
          <w:p w14:paraId="29E30048">
            <w:pPr>
              <w:spacing w:before="72"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30106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554" w:type="dxa"/>
            <w:vMerge w:val="continue"/>
            <w:tcBorders>
              <w:top w:val="nil"/>
              <w:left w:val="single" w:color="000000" w:sz="12" w:space="0"/>
              <w:bottom w:val="nil"/>
            </w:tcBorders>
            <w:vAlign w:val="top"/>
          </w:tcPr>
          <w:p w14:paraId="32989D3E">
            <w:pPr>
              <w:rPr>
                <w:rFonts w:ascii="Arial"/>
                <w:sz w:val="21"/>
              </w:rPr>
            </w:pPr>
          </w:p>
        </w:tc>
        <w:tc>
          <w:tcPr>
            <w:tcW w:w="1270" w:type="dxa"/>
            <w:vMerge w:val="continue"/>
            <w:tcBorders>
              <w:top w:val="nil"/>
            </w:tcBorders>
            <w:vAlign w:val="top"/>
          </w:tcPr>
          <w:p w14:paraId="2F0819FB">
            <w:pPr>
              <w:rPr>
                <w:rFonts w:ascii="Arial"/>
                <w:sz w:val="21"/>
              </w:rPr>
            </w:pPr>
          </w:p>
        </w:tc>
        <w:tc>
          <w:tcPr>
            <w:tcW w:w="1414" w:type="dxa"/>
            <w:vAlign w:val="top"/>
          </w:tcPr>
          <w:p w14:paraId="552C3890">
            <w:pPr>
              <w:pStyle w:val="6"/>
              <w:spacing w:before="74" w:line="233"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7963F52C">
            <w:pPr>
              <w:pStyle w:val="6"/>
              <w:spacing w:before="107" w:line="232" w:lineRule="auto"/>
              <w:ind w:left="602"/>
            </w:pPr>
            <w:r>
              <w:rPr>
                <w:spacing w:val="-1"/>
              </w:rPr>
              <w:t>49</w:t>
            </w:r>
          </w:p>
        </w:tc>
        <w:tc>
          <w:tcPr>
            <w:tcW w:w="1414" w:type="dxa"/>
            <w:vAlign w:val="top"/>
          </w:tcPr>
          <w:p w14:paraId="66DD0208">
            <w:pPr>
              <w:pStyle w:val="6"/>
              <w:spacing w:before="107" w:line="232" w:lineRule="auto"/>
              <w:ind w:left="607"/>
            </w:pPr>
            <w:r>
              <w:rPr>
                <w:spacing w:val="-1"/>
              </w:rPr>
              <w:t>40</w:t>
            </w:r>
          </w:p>
        </w:tc>
        <w:tc>
          <w:tcPr>
            <w:tcW w:w="1407" w:type="dxa"/>
            <w:tcBorders>
              <w:right w:val="single" w:color="000000" w:sz="12" w:space="0"/>
            </w:tcBorders>
            <w:vAlign w:val="top"/>
          </w:tcPr>
          <w:p w14:paraId="76B8880E">
            <w:pPr>
              <w:spacing w:before="7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1122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17DF8BFE">
            <w:pPr>
              <w:rPr>
                <w:rFonts w:ascii="Arial"/>
                <w:sz w:val="21"/>
              </w:rPr>
            </w:pPr>
          </w:p>
        </w:tc>
        <w:tc>
          <w:tcPr>
            <w:tcW w:w="1270" w:type="dxa"/>
            <w:vMerge w:val="restart"/>
            <w:tcBorders>
              <w:bottom w:val="nil"/>
            </w:tcBorders>
            <w:vAlign w:val="top"/>
          </w:tcPr>
          <w:p w14:paraId="77FE6990">
            <w:pPr>
              <w:pStyle w:val="6"/>
              <w:spacing w:before="258" w:line="233" w:lineRule="auto"/>
              <w:ind w:left="285"/>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1414" w:type="dxa"/>
            <w:vAlign w:val="top"/>
          </w:tcPr>
          <w:p w14:paraId="6EA554F3">
            <w:pPr>
              <w:pStyle w:val="6"/>
              <w:spacing w:before="73" w:line="233" w:lineRule="auto"/>
              <w:ind w:left="262"/>
              <w:rPr>
                <w:rFonts w:ascii="宋体" w:hAnsi="宋体" w:eastAsia="宋体" w:cs="宋体"/>
              </w:rPr>
            </w:pPr>
            <w:r>
              <w:rPr>
                <w:spacing w:val="-6"/>
              </w:rPr>
              <w:t>3</w:t>
            </w:r>
            <w:r>
              <w:rPr>
                <w:spacing w:val="17"/>
              </w:rPr>
              <w:t xml:space="preserve"> </w:t>
            </w:r>
            <w:r>
              <w:rPr>
                <w:rFonts w:ascii="宋体" w:hAnsi="宋体" w:eastAsia="宋体" w:cs="宋体"/>
                <w:spacing w:val="-6"/>
              </w:rPr>
              <w:t>月</w:t>
            </w:r>
            <w:r>
              <w:rPr>
                <w:rFonts w:ascii="宋体" w:hAnsi="宋体" w:eastAsia="宋体" w:cs="宋体"/>
                <w:spacing w:val="-49"/>
              </w:rPr>
              <w:t xml:space="preserve"> </w:t>
            </w:r>
            <w:r>
              <w:rPr>
                <w:spacing w:val="-6"/>
              </w:rPr>
              <w:t>22</w:t>
            </w:r>
            <w:r>
              <w:rPr>
                <w:spacing w:val="45"/>
                <w:w w:val="101"/>
              </w:rPr>
              <w:t xml:space="preserve"> </w:t>
            </w:r>
            <w:r>
              <w:rPr>
                <w:rFonts w:ascii="宋体" w:hAnsi="宋体" w:eastAsia="宋体" w:cs="宋体"/>
                <w:spacing w:val="-6"/>
              </w:rPr>
              <w:t>日</w:t>
            </w:r>
          </w:p>
        </w:tc>
        <w:tc>
          <w:tcPr>
            <w:tcW w:w="1414" w:type="dxa"/>
            <w:vAlign w:val="top"/>
          </w:tcPr>
          <w:p w14:paraId="6DB149F3">
            <w:pPr>
              <w:pStyle w:val="6"/>
              <w:spacing w:before="106" w:line="232" w:lineRule="auto"/>
              <w:ind w:left="602"/>
            </w:pPr>
            <w:r>
              <w:rPr>
                <w:spacing w:val="-2"/>
              </w:rPr>
              <w:t>47</w:t>
            </w:r>
          </w:p>
        </w:tc>
        <w:tc>
          <w:tcPr>
            <w:tcW w:w="1414" w:type="dxa"/>
            <w:vAlign w:val="top"/>
          </w:tcPr>
          <w:p w14:paraId="3B0D2A5F">
            <w:pPr>
              <w:pStyle w:val="6"/>
              <w:spacing w:before="106" w:line="232" w:lineRule="auto"/>
              <w:ind w:left="613"/>
            </w:pPr>
            <w:r>
              <w:rPr>
                <w:spacing w:val="-4"/>
              </w:rPr>
              <w:t>38</w:t>
            </w:r>
          </w:p>
        </w:tc>
        <w:tc>
          <w:tcPr>
            <w:tcW w:w="1407" w:type="dxa"/>
            <w:tcBorders>
              <w:right w:val="single" w:color="000000" w:sz="12" w:space="0"/>
            </w:tcBorders>
            <w:vAlign w:val="top"/>
          </w:tcPr>
          <w:p w14:paraId="334AFC56">
            <w:pPr>
              <w:spacing w:before="7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1C7D4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tcBorders>
            <w:vAlign w:val="top"/>
          </w:tcPr>
          <w:p w14:paraId="2DCDD6FC">
            <w:pPr>
              <w:rPr>
                <w:rFonts w:ascii="Arial"/>
                <w:sz w:val="21"/>
              </w:rPr>
            </w:pPr>
          </w:p>
        </w:tc>
        <w:tc>
          <w:tcPr>
            <w:tcW w:w="1270" w:type="dxa"/>
            <w:vMerge w:val="continue"/>
            <w:tcBorders>
              <w:top w:val="nil"/>
            </w:tcBorders>
            <w:vAlign w:val="top"/>
          </w:tcPr>
          <w:p w14:paraId="6284E4EB">
            <w:pPr>
              <w:rPr>
                <w:rFonts w:ascii="Arial"/>
                <w:sz w:val="21"/>
              </w:rPr>
            </w:pPr>
          </w:p>
        </w:tc>
        <w:tc>
          <w:tcPr>
            <w:tcW w:w="1414" w:type="dxa"/>
            <w:vAlign w:val="top"/>
          </w:tcPr>
          <w:p w14:paraId="49AECB59">
            <w:pPr>
              <w:pStyle w:val="6"/>
              <w:spacing w:before="75" w:line="233" w:lineRule="auto"/>
              <w:ind w:left="261"/>
              <w:rPr>
                <w:rFonts w:ascii="宋体" w:hAnsi="宋体" w:eastAsia="宋体" w:cs="宋体"/>
              </w:rPr>
            </w:pPr>
            <w:r>
              <w:rPr>
                <w:spacing w:val="-9"/>
              </w:rPr>
              <w:t>7</w:t>
            </w:r>
            <w:r>
              <w:rPr>
                <w:spacing w:val="14"/>
              </w:rPr>
              <w:t xml:space="preserve"> </w:t>
            </w:r>
            <w:r>
              <w:rPr>
                <w:rFonts w:ascii="宋体" w:hAnsi="宋体" w:eastAsia="宋体" w:cs="宋体"/>
                <w:spacing w:val="-9"/>
              </w:rPr>
              <w:t>月</w:t>
            </w:r>
            <w:r>
              <w:rPr>
                <w:rFonts w:ascii="宋体" w:hAnsi="宋体" w:eastAsia="宋体" w:cs="宋体"/>
                <w:spacing w:val="-29"/>
              </w:rPr>
              <w:t xml:space="preserve"> </w:t>
            </w:r>
            <w:r>
              <w:rPr>
                <w:spacing w:val="-9"/>
              </w:rPr>
              <w:t>19</w:t>
            </w:r>
            <w:r>
              <w:rPr>
                <w:spacing w:val="45"/>
              </w:rPr>
              <w:t xml:space="preserve"> </w:t>
            </w:r>
            <w:r>
              <w:rPr>
                <w:rFonts w:ascii="宋体" w:hAnsi="宋体" w:eastAsia="宋体" w:cs="宋体"/>
                <w:spacing w:val="-9"/>
              </w:rPr>
              <w:t>日</w:t>
            </w:r>
          </w:p>
        </w:tc>
        <w:tc>
          <w:tcPr>
            <w:tcW w:w="1414" w:type="dxa"/>
            <w:vAlign w:val="top"/>
          </w:tcPr>
          <w:p w14:paraId="0D638610">
            <w:pPr>
              <w:pStyle w:val="6"/>
              <w:spacing w:before="108" w:line="232" w:lineRule="auto"/>
              <w:ind w:left="524"/>
            </w:pPr>
            <w:r>
              <w:rPr>
                <w:spacing w:val="-1"/>
              </w:rPr>
              <w:t>46.8</w:t>
            </w:r>
          </w:p>
        </w:tc>
        <w:tc>
          <w:tcPr>
            <w:tcW w:w="1414" w:type="dxa"/>
            <w:vAlign w:val="top"/>
          </w:tcPr>
          <w:p w14:paraId="0DA78EBC">
            <w:pPr>
              <w:pStyle w:val="6"/>
              <w:spacing w:before="108" w:line="232" w:lineRule="auto"/>
              <w:ind w:left="535"/>
            </w:pPr>
            <w:r>
              <w:rPr>
                <w:spacing w:val="-3"/>
              </w:rPr>
              <w:t>37.9</w:t>
            </w:r>
          </w:p>
        </w:tc>
        <w:tc>
          <w:tcPr>
            <w:tcW w:w="1407" w:type="dxa"/>
            <w:tcBorders>
              <w:right w:val="single" w:color="000000" w:sz="12" w:space="0"/>
            </w:tcBorders>
            <w:vAlign w:val="top"/>
          </w:tcPr>
          <w:p w14:paraId="4FC93A5A">
            <w:pPr>
              <w:spacing w:before="75"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44736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restart"/>
            <w:tcBorders>
              <w:left w:val="single" w:color="000000" w:sz="12" w:space="0"/>
              <w:bottom w:val="nil"/>
            </w:tcBorders>
            <w:vAlign w:val="top"/>
          </w:tcPr>
          <w:p w14:paraId="06BD0343">
            <w:pPr>
              <w:spacing w:line="261" w:lineRule="auto"/>
              <w:rPr>
                <w:rFonts w:ascii="Arial"/>
                <w:sz w:val="21"/>
              </w:rPr>
            </w:pPr>
          </w:p>
          <w:p w14:paraId="19A7BD86">
            <w:pPr>
              <w:spacing w:line="262" w:lineRule="auto"/>
              <w:rPr>
                <w:rFonts w:ascii="Arial"/>
                <w:sz w:val="21"/>
              </w:rPr>
            </w:pPr>
          </w:p>
          <w:p w14:paraId="0D7ECF7F">
            <w:pPr>
              <w:spacing w:line="262" w:lineRule="auto"/>
              <w:rPr>
                <w:rFonts w:ascii="Arial"/>
                <w:sz w:val="21"/>
              </w:rPr>
            </w:pPr>
          </w:p>
          <w:p w14:paraId="4A994DF6">
            <w:pPr>
              <w:spacing w:before="69" w:line="242" w:lineRule="auto"/>
              <w:ind w:left="141" w:right="160" w:firstLine="205"/>
              <w:rPr>
                <w:rFonts w:ascii="宋体" w:hAnsi="宋体" w:eastAsia="宋体" w:cs="宋体"/>
                <w:sz w:val="21"/>
                <w:szCs w:val="21"/>
              </w:rPr>
            </w:pPr>
            <w:r>
              <w:rPr>
                <w:rFonts w:ascii="宋体" w:hAnsi="宋体" w:eastAsia="宋体" w:cs="宋体"/>
                <w:spacing w:val="-3"/>
                <w:sz w:val="21"/>
                <w:szCs w:val="21"/>
              </w:rPr>
              <w:t>土官寨村</w:t>
            </w:r>
            <w:r>
              <w:rPr>
                <w:rFonts w:ascii="宋体" w:hAnsi="宋体" w:eastAsia="宋体" w:cs="宋体"/>
                <w:spacing w:val="-5"/>
                <w:sz w:val="21"/>
                <w:szCs w:val="21"/>
              </w:rPr>
              <w:t>（同环评期）</w:t>
            </w:r>
          </w:p>
        </w:tc>
        <w:tc>
          <w:tcPr>
            <w:tcW w:w="1270" w:type="dxa"/>
            <w:vMerge w:val="restart"/>
            <w:tcBorders>
              <w:bottom w:val="nil"/>
            </w:tcBorders>
            <w:vAlign w:val="top"/>
          </w:tcPr>
          <w:p w14:paraId="5FB10D24">
            <w:pPr>
              <w:pStyle w:val="6"/>
              <w:spacing w:before="260"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064951EA">
            <w:pPr>
              <w:pStyle w:val="6"/>
              <w:spacing w:before="76" w:line="233"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7819A93E">
            <w:pPr>
              <w:pStyle w:val="6"/>
              <w:spacing w:before="109" w:line="235" w:lineRule="auto"/>
              <w:ind w:left="602"/>
            </w:pPr>
            <w:r>
              <w:rPr>
                <w:spacing w:val="-1"/>
              </w:rPr>
              <w:t>44</w:t>
            </w:r>
          </w:p>
        </w:tc>
        <w:tc>
          <w:tcPr>
            <w:tcW w:w="1414" w:type="dxa"/>
            <w:vAlign w:val="top"/>
          </w:tcPr>
          <w:p w14:paraId="10DFD704">
            <w:pPr>
              <w:pStyle w:val="6"/>
              <w:spacing w:before="110" w:line="232" w:lineRule="auto"/>
              <w:ind w:left="613"/>
            </w:pPr>
            <w:r>
              <w:rPr>
                <w:spacing w:val="-3"/>
              </w:rPr>
              <w:t>37</w:t>
            </w:r>
          </w:p>
        </w:tc>
        <w:tc>
          <w:tcPr>
            <w:tcW w:w="1407" w:type="dxa"/>
            <w:tcBorders>
              <w:right w:val="single" w:color="000000" w:sz="12" w:space="0"/>
            </w:tcBorders>
            <w:vAlign w:val="top"/>
          </w:tcPr>
          <w:p w14:paraId="4F648D3A">
            <w:pPr>
              <w:spacing w:before="76"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3722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333AB6C8">
            <w:pPr>
              <w:rPr>
                <w:rFonts w:ascii="Arial"/>
                <w:sz w:val="21"/>
              </w:rPr>
            </w:pPr>
          </w:p>
        </w:tc>
        <w:tc>
          <w:tcPr>
            <w:tcW w:w="1270" w:type="dxa"/>
            <w:vMerge w:val="continue"/>
            <w:tcBorders>
              <w:top w:val="nil"/>
            </w:tcBorders>
            <w:vAlign w:val="top"/>
          </w:tcPr>
          <w:p w14:paraId="56866AC6">
            <w:pPr>
              <w:rPr>
                <w:rFonts w:ascii="Arial"/>
                <w:sz w:val="21"/>
              </w:rPr>
            </w:pPr>
          </w:p>
        </w:tc>
        <w:tc>
          <w:tcPr>
            <w:tcW w:w="1414" w:type="dxa"/>
            <w:vAlign w:val="top"/>
          </w:tcPr>
          <w:p w14:paraId="43C7F281">
            <w:pPr>
              <w:pStyle w:val="6"/>
              <w:spacing w:before="77" w:line="233"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236732AD">
            <w:pPr>
              <w:pStyle w:val="6"/>
              <w:spacing w:before="110" w:line="232" w:lineRule="auto"/>
              <w:ind w:left="602"/>
            </w:pPr>
            <w:r>
              <w:rPr>
                <w:spacing w:val="-1"/>
              </w:rPr>
              <w:t>43</w:t>
            </w:r>
          </w:p>
        </w:tc>
        <w:tc>
          <w:tcPr>
            <w:tcW w:w="1414" w:type="dxa"/>
            <w:vAlign w:val="top"/>
          </w:tcPr>
          <w:p w14:paraId="5B8F5F8F">
            <w:pPr>
              <w:pStyle w:val="6"/>
              <w:spacing w:before="110" w:line="232" w:lineRule="auto"/>
              <w:ind w:left="613"/>
            </w:pPr>
            <w:r>
              <w:rPr>
                <w:spacing w:val="-3"/>
              </w:rPr>
              <w:t>38</w:t>
            </w:r>
          </w:p>
        </w:tc>
        <w:tc>
          <w:tcPr>
            <w:tcW w:w="1407" w:type="dxa"/>
            <w:tcBorders>
              <w:right w:val="single" w:color="000000" w:sz="12" w:space="0"/>
            </w:tcBorders>
            <w:vAlign w:val="top"/>
          </w:tcPr>
          <w:p w14:paraId="6123C78D">
            <w:pPr>
              <w:spacing w:before="76"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35633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358B22C7">
            <w:pPr>
              <w:rPr>
                <w:rFonts w:ascii="Arial"/>
                <w:sz w:val="21"/>
              </w:rPr>
            </w:pPr>
          </w:p>
        </w:tc>
        <w:tc>
          <w:tcPr>
            <w:tcW w:w="1270" w:type="dxa"/>
            <w:vMerge w:val="restart"/>
            <w:tcBorders>
              <w:bottom w:val="nil"/>
            </w:tcBorders>
            <w:vAlign w:val="top"/>
          </w:tcPr>
          <w:p w14:paraId="629D72E0">
            <w:pPr>
              <w:pStyle w:val="6"/>
              <w:spacing w:before="263"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657DA954">
            <w:pPr>
              <w:pStyle w:val="6"/>
              <w:spacing w:before="79" w:line="233"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61F74D5F">
            <w:pPr>
              <w:pStyle w:val="6"/>
              <w:spacing w:before="111" w:line="234" w:lineRule="auto"/>
              <w:ind w:left="602"/>
            </w:pPr>
            <w:r>
              <w:rPr>
                <w:spacing w:val="-1"/>
              </w:rPr>
              <w:t>44</w:t>
            </w:r>
          </w:p>
        </w:tc>
        <w:tc>
          <w:tcPr>
            <w:tcW w:w="1414" w:type="dxa"/>
            <w:vAlign w:val="top"/>
          </w:tcPr>
          <w:p w14:paraId="54DFA592">
            <w:pPr>
              <w:pStyle w:val="6"/>
              <w:spacing w:before="112" w:line="232" w:lineRule="auto"/>
              <w:ind w:left="607"/>
            </w:pPr>
            <w:r>
              <w:rPr>
                <w:spacing w:val="-1"/>
              </w:rPr>
              <w:t>40</w:t>
            </w:r>
          </w:p>
        </w:tc>
        <w:tc>
          <w:tcPr>
            <w:tcW w:w="1407" w:type="dxa"/>
            <w:tcBorders>
              <w:right w:val="single" w:color="000000" w:sz="12" w:space="0"/>
            </w:tcBorders>
            <w:vAlign w:val="top"/>
          </w:tcPr>
          <w:p w14:paraId="15DA578F">
            <w:pPr>
              <w:spacing w:before="79"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C508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2098A464">
            <w:pPr>
              <w:rPr>
                <w:rFonts w:ascii="Arial"/>
                <w:sz w:val="21"/>
              </w:rPr>
            </w:pPr>
          </w:p>
        </w:tc>
        <w:tc>
          <w:tcPr>
            <w:tcW w:w="1270" w:type="dxa"/>
            <w:vMerge w:val="continue"/>
            <w:tcBorders>
              <w:top w:val="nil"/>
            </w:tcBorders>
            <w:vAlign w:val="top"/>
          </w:tcPr>
          <w:p w14:paraId="2EA9B3C9">
            <w:pPr>
              <w:rPr>
                <w:rFonts w:ascii="Arial"/>
                <w:sz w:val="21"/>
              </w:rPr>
            </w:pPr>
          </w:p>
        </w:tc>
        <w:tc>
          <w:tcPr>
            <w:tcW w:w="1414" w:type="dxa"/>
            <w:vAlign w:val="top"/>
          </w:tcPr>
          <w:p w14:paraId="0713AC0F">
            <w:pPr>
              <w:pStyle w:val="6"/>
              <w:spacing w:before="80" w:line="233"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2EE73A56">
            <w:pPr>
              <w:pStyle w:val="6"/>
              <w:spacing w:before="113" w:line="232" w:lineRule="auto"/>
              <w:ind w:left="602"/>
            </w:pPr>
            <w:r>
              <w:rPr>
                <w:spacing w:val="-1"/>
              </w:rPr>
              <w:t>44</w:t>
            </w:r>
          </w:p>
        </w:tc>
        <w:tc>
          <w:tcPr>
            <w:tcW w:w="1414" w:type="dxa"/>
            <w:vAlign w:val="top"/>
          </w:tcPr>
          <w:p w14:paraId="0489C311">
            <w:pPr>
              <w:pStyle w:val="6"/>
              <w:spacing w:before="113" w:line="232" w:lineRule="auto"/>
              <w:ind w:left="607"/>
            </w:pPr>
            <w:r>
              <w:rPr>
                <w:spacing w:val="-1"/>
              </w:rPr>
              <w:t>42</w:t>
            </w:r>
          </w:p>
        </w:tc>
        <w:tc>
          <w:tcPr>
            <w:tcW w:w="1407" w:type="dxa"/>
            <w:tcBorders>
              <w:right w:val="single" w:color="000000" w:sz="12" w:space="0"/>
            </w:tcBorders>
            <w:vAlign w:val="top"/>
          </w:tcPr>
          <w:p w14:paraId="422C2DC4">
            <w:pPr>
              <w:spacing w:before="79"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47513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684064D1">
            <w:pPr>
              <w:rPr>
                <w:rFonts w:ascii="Arial"/>
                <w:sz w:val="21"/>
              </w:rPr>
            </w:pPr>
          </w:p>
        </w:tc>
        <w:tc>
          <w:tcPr>
            <w:tcW w:w="1270" w:type="dxa"/>
            <w:vMerge w:val="restart"/>
            <w:tcBorders>
              <w:bottom w:val="nil"/>
            </w:tcBorders>
            <w:vAlign w:val="top"/>
          </w:tcPr>
          <w:p w14:paraId="0A213BCB">
            <w:pPr>
              <w:pStyle w:val="6"/>
              <w:spacing w:before="263" w:line="233" w:lineRule="auto"/>
              <w:ind w:left="285"/>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1414" w:type="dxa"/>
            <w:vAlign w:val="top"/>
          </w:tcPr>
          <w:p w14:paraId="11BADD19">
            <w:pPr>
              <w:pStyle w:val="6"/>
              <w:spacing w:before="80" w:line="233" w:lineRule="auto"/>
              <w:ind w:left="262"/>
              <w:rPr>
                <w:rFonts w:ascii="宋体" w:hAnsi="宋体" w:eastAsia="宋体" w:cs="宋体"/>
              </w:rPr>
            </w:pPr>
            <w:r>
              <w:rPr>
                <w:spacing w:val="-6"/>
              </w:rPr>
              <w:t>3</w:t>
            </w:r>
            <w:r>
              <w:rPr>
                <w:spacing w:val="17"/>
              </w:rPr>
              <w:t xml:space="preserve"> </w:t>
            </w:r>
            <w:r>
              <w:rPr>
                <w:rFonts w:ascii="宋体" w:hAnsi="宋体" w:eastAsia="宋体" w:cs="宋体"/>
                <w:spacing w:val="-6"/>
              </w:rPr>
              <w:t>月</w:t>
            </w:r>
            <w:r>
              <w:rPr>
                <w:rFonts w:ascii="宋体" w:hAnsi="宋体" w:eastAsia="宋体" w:cs="宋体"/>
                <w:spacing w:val="-49"/>
              </w:rPr>
              <w:t xml:space="preserve"> </w:t>
            </w:r>
            <w:r>
              <w:rPr>
                <w:spacing w:val="-6"/>
              </w:rPr>
              <w:t>22</w:t>
            </w:r>
            <w:r>
              <w:rPr>
                <w:spacing w:val="45"/>
                <w:w w:val="101"/>
              </w:rPr>
              <w:t xml:space="preserve"> </w:t>
            </w:r>
            <w:r>
              <w:rPr>
                <w:rFonts w:ascii="宋体" w:hAnsi="宋体" w:eastAsia="宋体" w:cs="宋体"/>
                <w:spacing w:val="-6"/>
              </w:rPr>
              <w:t>日</w:t>
            </w:r>
          </w:p>
        </w:tc>
        <w:tc>
          <w:tcPr>
            <w:tcW w:w="1414" w:type="dxa"/>
            <w:vAlign w:val="top"/>
          </w:tcPr>
          <w:p w14:paraId="56BACED8">
            <w:pPr>
              <w:pStyle w:val="6"/>
              <w:spacing w:before="113" w:line="231" w:lineRule="auto"/>
              <w:ind w:left="602"/>
            </w:pPr>
            <w:r>
              <w:rPr>
                <w:spacing w:val="-1"/>
              </w:rPr>
              <w:t>44</w:t>
            </w:r>
          </w:p>
        </w:tc>
        <w:tc>
          <w:tcPr>
            <w:tcW w:w="1414" w:type="dxa"/>
            <w:vAlign w:val="top"/>
          </w:tcPr>
          <w:p w14:paraId="19C91B76">
            <w:pPr>
              <w:pStyle w:val="6"/>
              <w:spacing w:before="113" w:line="231" w:lineRule="auto"/>
              <w:ind w:left="613"/>
            </w:pPr>
            <w:r>
              <w:rPr>
                <w:spacing w:val="-3"/>
              </w:rPr>
              <w:t>37</w:t>
            </w:r>
          </w:p>
        </w:tc>
        <w:tc>
          <w:tcPr>
            <w:tcW w:w="1407" w:type="dxa"/>
            <w:tcBorders>
              <w:right w:val="single" w:color="000000" w:sz="12" w:space="0"/>
            </w:tcBorders>
            <w:vAlign w:val="top"/>
          </w:tcPr>
          <w:p w14:paraId="3E108777">
            <w:pPr>
              <w:spacing w:before="80"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4858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tcBorders>
            <w:vAlign w:val="top"/>
          </w:tcPr>
          <w:p w14:paraId="1D4B4F28">
            <w:pPr>
              <w:rPr>
                <w:rFonts w:ascii="Arial"/>
                <w:sz w:val="21"/>
              </w:rPr>
            </w:pPr>
          </w:p>
        </w:tc>
        <w:tc>
          <w:tcPr>
            <w:tcW w:w="1270" w:type="dxa"/>
            <w:vMerge w:val="continue"/>
            <w:tcBorders>
              <w:top w:val="nil"/>
            </w:tcBorders>
            <w:vAlign w:val="top"/>
          </w:tcPr>
          <w:p w14:paraId="019F8549">
            <w:pPr>
              <w:rPr>
                <w:rFonts w:ascii="Arial"/>
                <w:sz w:val="21"/>
              </w:rPr>
            </w:pPr>
          </w:p>
        </w:tc>
        <w:tc>
          <w:tcPr>
            <w:tcW w:w="1414" w:type="dxa"/>
            <w:vAlign w:val="top"/>
          </w:tcPr>
          <w:p w14:paraId="640FECCD">
            <w:pPr>
              <w:pStyle w:val="6"/>
              <w:spacing w:before="80" w:line="233" w:lineRule="auto"/>
              <w:ind w:left="261"/>
              <w:rPr>
                <w:rFonts w:ascii="宋体" w:hAnsi="宋体" w:eastAsia="宋体" w:cs="宋体"/>
              </w:rPr>
            </w:pPr>
            <w:r>
              <w:rPr>
                <w:spacing w:val="-9"/>
              </w:rPr>
              <w:t>7</w:t>
            </w:r>
            <w:r>
              <w:rPr>
                <w:spacing w:val="14"/>
              </w:rPr>
              <w:t xml:space="preserve"> </w:t>
            </w:r>
            <w:r>
              <w:rPr>
                <w:rFonts w:ascii="宋体" w:hAnsi="宋体" w:eastAsia="宋体" w:cs="宋体"/>
                <w:spacing w:val="-9"/>
              </w:rPr>
              <w:t>月</w:t>
            </w:r>
            <w:r>
              <w:rPr>
                <w:rFonts w:ascii="宋体" w:hAnsi="宋体" w:eastAsia="宋体" w:cs="宋体"/>
                <w:spacing w:val="-29"/>
              </w:rPr>
              <w:t xml:space="preserve"> </w:t>
            </w:r>
            <w:r>
              <w:rPr>
                <w:spacing w:val="-9"/>
              </w:rPr>
              <w:t>19</w:t>
            </w:r>
            <w:r>
              <w:rPr>
                <w:spacing w:val="45"/>
              </w:rPr>
              <w:t xml:space="preserve"> </w:t>
            </w:r>
            <w:r>
              <w:rPr>
                <w:rFonts w:ascii="宋体" w:hAnsi="宋体" w:eastAsia="宋体" w:cs="宋体"/>
                <w:spacing w:val="-9"/>
              </w:rPr>
              <w:t>日</w:t>
            </w:r>
          </w:p>
        </w:tc>
        <w:tc>
          <w:tcPr>
            <w:tcW w:w="1414" w:type="dxa"/>
            <w:vAlign w:val="top"/>
          </w:tcPr>
          <w:p w14:paraId="0CD04617">
            <w:pPr>
              <w:pStyle w:val="6"/>
              <w:spacing w:before="114" w:line="230" w:lineRule="auto"/>
              <w:ind w:left="524"/>
            </w:pPr>
            <w:r>
              <w:rPr>
                <w:spacing w:val="-1"/>
              </w:rPr>
              <w:t>44.3</w:t>
            </w:r>
          </w:p>
        </w:tc>
        <w:tc>
          <w:tcPr>
            <w:tcW w:w="1414" w:type="dxa"/>
            <w:vAlign w:val="top"/>
          </w:tcPr>
          <w:p w14:paraId="41EC913B">
            <w:pPr>
              <w:pStyle w:val="6"/>
              <w:spacing w:before="114" w:line="230" w:lineRule="auto"/>
              <w:ind w:left="535"/>
            </w:pPr>
            <w:r>
              <w:rPr>
                <w:spacing w:val="-2"/>
              </w:rPr>
              <w:t>37.6</w:t>
            </w:r>
          </w:p>
        </w:tc>
        <w:tc>
          <w:tcPr>
            <w:tcW w:w="1407" w:type="dxa"/>
            <w:tcBorders>
              <w:right w:val="single" w:color="000000" w:sz="12" w:space="0"/>
            </w:tcBorders>
            <w:vAlign w:val="top"/>
          </w:tcPr>
          <w:p w14:paraId="0A606C8F">
            <w:pPr>
              <w:spacing w:before="81"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AC9A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restart"/>
            <w:tcBorders>
              <w:left w:val="single" w:color="000000" w:sz="12" w:space="0"/>
              <w:bottom w:val="nil"/>
            </w:tcBorders>
            <w:vAlign w:val="top"/>
          </w:tcPr>
          <w:p w14:paraId="44389591">
            <w:pPr>
              <w:spacing w:line="427" w:lineRule="auto"/>
              <w:rPr>
                <w:rFonts w:ascii="Arial"/>
                <w:sz w:val="21"/>
              </w:rPr>
            </w:pPr>
          </w:p>
          <w:p w14:paraId="7A5E6C1A">
            <w:pPr>
              <w:spacing w:before="68" w:line="242" w:lineRule="auto"/>
              <w:ind w:left="141" w:right="160" w:firstLine="206"/>
              <w:rPr>
                <w:rFonts w:ascii="宋体" w:hAnsi="宋体" w:eastAsia="宋体" w:cs="宋体"/>
                <w:sz w:val="21"/>
                <w:szCs w:val="21"/>
              </w:rPr>
            </w:pPr>
            <w:r>
              <w:rPr>
                <w:rFonts w:ascii="宋体" w:hAnsi="宋体" w:eastAsia="宋体" w:cs="宋体"/>
                <w:spacing w:val="-3"/>
                <w:sz w:val="21"/>
                <w:szCs w:val="21"/>
              </w:rPr>
              <w:t>王大屯村</w:t>
            </w:r>
            <w:r>
              <w:rPr>
                <w:rFonts w:ascii="宋体" w:hAnsi="宋体" w:eastAsia="宋体" w:cs="宋体"/>
                <w:spacing w:val="-5"/>
                <w:sz w:val="21"/>
                <w:szCs w:val="21"/>
              </w:rPr>
              <w:t>（同环评期）</w:t>
            </w:r>
          </w:p>
        </w:tc>
        <w:tc>
          <w:tcPr>
            <w:tcW w:w="1270" w:type="dxa"/>
            <w:vMerge w:val="restart"/>
            <w:tcBorders>
              <w:bottom w:val="nil"/>
            </w:tcBorders>
            <w:vAlign w:val="top"/>
          </w:tcPr>
          <w:p w14:paraId="08690D23">
            <w:pPr>
              <w:pStyle w:val="6"/>
              <w:spacing w:before="267"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6430A0B7">
            <w:pPr>
              <w:pStyle w:val="6"/>
              <w:spacing w:before="83" w:line="231"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3910DF17">
            <w:pPr>
              <w:pStyle w:val="6"/>
              <w:spacing w:before="116" w:line="228" w:lineRule="auto"/>
              <w:ind w:left="602"/>
            </w:pPr>
            <w:r>
              <w:rPr>
                <w:spacing w:val="-1"/>
              </w:rPr>
              <w:t>46</w:t>
            </w:r>
          </w:p>
        </w:tc>
        <w:tc>
          <w:tcPr>
            <w:tcW w:w="1414" w:type="dxa"/>
            <w:vAlign w:val="top"/>
          </w:tcPr>
          <w:p w14:paraId="6FD6837A">
            <w:pPr>
              <w:pStyle w:val="6"/>
              <w:spacing w:before="116" w:line="228" w:lineRule="auto"/>
              <w:ind w:left="613"/>
            </w:pPr>
            <w:r>
              <w:rPr>
                <w:spacing w:val="-3"/>
              </w:rPr>
              <w:t>39</w:t>
            </w:r>
          </w:p>
        </w:tc>
        <w:tc>
          <w:tcPr>
            <w:tcW w:w="1407" w:type="dxa"/>
            <w:tcBorders>
              <w:right w:val="single" w:color="000000" w:sz="12" w:space="0"/>
            </w:tcBorders>
            <w:vAlign w:val="top"/>
          </w:tcPr>
          <w:p w14:paraId="3D957C41">
            <w:pPr>
              <w:spacing w:before="8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9E50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0E5520FC">
            <w:pPr>
              <w:rPr>
                <w:rFonts w:ascii="Arial"/>
                <w:sz w:val="21"/>
              </w:rPr>
            </w:pPr>
          </w:p>
        </w:tc>
        <w:tc>
          <w:tcPr>
            <w:tcW w:w="1270" w:type="dxa"/>
            <w:vMerge w:val="continue"/>
            <w:tcBorders>
              <w:top w:val="nil"/>
            </w:tcBorders>
            <w:vAlign w:val="top"/>
          </w:tcPr>
          <w:p w14:paraId="15B45585">
            <w:pPr>
              <w:rPr>
                <w:rFonts w:ascii="Arial"/>
                <w:sz w:val="21"/>
              </w:rPr>
            </w:pPr>
          </w:p>
        </w:tc>
        <w:tc>
          <w:tcPr>
            <w:tcW w:w="1414" w:type="dxa"/>
            <w:vAlign w:val="top"/>
          </w:tcPr>
          <w:p w14:paraId="5D98A33A">
            <w:pPr>
              <w:pStyle w:val="6"/>
              <w:spacing w:before="84" w:line="231"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7859B317">
            <w:pPr>
              <w:pStyle w:val="6"/>
              <w:spacing w:before="118" w:line="227" w:lineRule="auto"/>
              <w:ind w:left="602"/>
            </w:pPr>
            <w:r>
              <w:rPr>
                <w:spacing w:val="-1"/>
              </w:rPr>
              <w:t>40</w:t>
            </w:r>
          </w:p>
        </w:tc>
        <w:tc>
          <w:tcPr>
            <w:tcW w:w="1414" w:type="dxa"/>
            <w:vAlign w:val="top"/>
          </w:tcPr>
          <w:p w14:paraId="7DC7312F">
            <w:pPr>
              <w:pStyle w:val="6"/>
              <w:spacing w:before="118" w:line="227" w:lineRule="auto"/>
              <w:ind w:left="613"/>
            </w:pPr>
            <w:r>
              <w:rPr>
                <w:spacing w:val="-3"/>
              </w:rPr>
              <w:t>37</w:t>
            </w:r>
          </w:p>
        </w:tc>
        <w:tc>
          <w:tcPr>
            <w:tcW w:w="1407" w:type="dxa"/>
            <w:tcBorders>
              <w:right w:val="single" w:color="000000" w:sz="12" w:space="0"/>
            </w:tcBorders>
            <w:vAlign w:val="top"/>
          </w:tcPr>
          <w:p w14:paraId="4202A723">
            <w:pPr>
              <w:spacing w:before="84"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C196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59C14E5B">
            <w:pPr>
              <w:rPr>
                <w:rFonts w:ascii="Arial"/>
                <w:sz w:val="21"/>
              </w:rPr>
            </w:pPr>
          </w:p>
        </w:tc>
        <w:tc>
          <w:tcPr>
            <w:tcW w:w="1270" w:type="dxa"/>
            <w:vMerge w:val="restart"/>
            <w:tcBorders>
              <w:bottom w:val="nil"/>
            </w:tcBorders>
            <w:vAlign w:val="top"/>
          </w:tcPr>
          <w:p w14:paraId="09A00038">
            <w:pPr>
              <w:pStyle w:val="6"/>
              <w:spacing w:before="270"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33EAB7B7">
            <w:pPr>
              <w:pStyle w:val="6"/>
              <w:spacing w:before="84" w:line="230"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26FD3154">
            <w:pPr>
              <w:pStyle w:val="6"/>
              <w:spacing w:before="118" w:line="226" w:lineRule="auto"/>
              <w:ind w:left="602"/>
            </w:pPr>
            <w:r>
              <w:rPr>
                <w:spacing w:val="-1"/>
              </w:rPr>
              <w:t>42</w:t>
            </w:r>
          </w:p>
        </w:tc>
        <w:tc>
          <w:tcPr>
            <w:tcW w:w="1414" w:type="dxa"/>
            <w:vAlign w:val="top"/>
          </w:tcPr>
          <w:p w14:paraId="79DC9B8B">
            <w:pPr>
              <w:pStyle w:val="6"/>
              <w:spacing w:before="118" w:line="226" w:lineRule="auto"/>
              <w:ind w:left="613"/>
            </w:pPr>
            <w:r>
              <w:rPr>
                <w:spacing w:val="-3"/>
              </w:rPr>
              <w:t>39</w:t>
            </w:r>
          </w:p>
        </w:tc>
        <w:tc>
          <w:tcPr>
            <w:tcW w:w="1407" w:type="dxa"/>
            <w:tcBorders>
              <w:right w:val="single" w:color="000000" w:sz="12" w:space="0"/>
            </w:tcBorders>
            <w:vAlign w:val="top"/>
          </w:tcPr>
          <w:p w14:paraId="1A66EE18">
            <w:pPr>
              <w:spacing w:before="85"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4A5BB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tcBorders>
            <w:vAlign w:val="top"/>
          </w:tcPr>
          <w:p w14:paraId="06808324">
            <w:pPr>
              <w:rPr>
                <w:rFonts w:ascii="Arial"/>
                <w:sz w:val="21"/>
              </w:rPr>
            </w:pPr>
          </w:p>
        </w:tc>
        <w:tc>
          <w:tcPr>
            <w:tcW w:w="1270" w:type="dxa"/>
            <w:vMerge w:val="continue"/>
            <w:tcBorders>
              <w:top w:val="nil"/>
            </w:tcBorders>
            <w:vAlign w:val="top"/>
          </w:tcPr>
          <w:p w14:paraId="3F858179">
            <w:pPr>
              <w:rPr>
                <w:rFonts w:ascii="Arial"/>
                <w:sz w:val="21"/>
              </w:rPr>
            </w:pPr>
          </w:p>
        </w:tc>
        <w:tc>
          <w:tcPr>
            <w:tcW w:w="1414" w:type="dxa"/>
            <w:vAlign w:val="top"/>
          </w:tcPr>
          <w:p w14:paraId="4A30CF96">
            <w:pPr>
              <w:pStyle w:val="6"/>
              <w:spacing w:before="86" w:line="228"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3D6D93BF">
            <w:pPr>
              <w:pStyle w:val="6"/>
              <w:spacing w:before="120" w:line="224" w:lineRule="auto"/>
              <w:ind w:left="602"/>
            </w:pPr>
            <w:r>
              <w:rPr>
                <w:spacing w:val="-1"/>
              </w:rPr>
              <w:t>47</w:t>
            </w:r>
          </w:p>
        </w:tc>
        <w:tc>
          <w:tcPr>
            <w:tcW w:w="1414" w:type="dxa"/>
            <w:vAlign w:val="top"/>
          </w:tcPr>
          <w:p w14:paraId="374895CB">
            <w:pPr>
              <w:pStyle w:val="6"/>
              <w:spacing w:before="120" w:line="224" w:lineRule="auto"/>
              <w:ind w:left="607"/>
            </w:pPr>
            <w:r>
              <w:rPr>
                <w:spacing w:val="-1"/>
              </w:rPr>
              <w:t>41</w:t>
            </w:r>
          </w:p>
        </w:tc>
        <w:tc>
          <w:tcPr>
            <w:tcW w:w="1407" w:type="dxa"/>
            <w:tcBorders>
              <w:right w:val="single" w:color="000000" w:sz="12" w:space="0"/>
            </w:tcBorders>
            <w:vAlign w:val="top"/>
          </w:tcPr>
          <w:p w14:paraId="1DA5C67B">
            <w:pPr>
              <w:spacing w:before="87"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71F61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restart"/>
            <w:tcBorders>
              <w:left w:val="single" w:color="000000" w:sz="12" w:space="0"/>
              <w:bottom w:val="nil"/>
            </w:tcBorders>
            <w:vAlign w:val="top"/>
          </w:tcPr>
          <w:p w14:paraId="349E1241">
            <w:pPr>
              <w:spacing w:before="271" w:line="219" w:lineRule="auto"/>
              <w:ind w:left="347"/>
              <w:rPr>
                <w:rFonts w:ascii="宋体" w:hAnsi="宋体" w:eastAsia="宋体" w:cs="宋体"/>
                <w:sz w:val="21"/>
                <w:szCs w:val="21"/>
              </w:rPr>
            </w:pPr>
            <w:r>
              <w:rPr>
                <w:rFonts w:ascii="宋体" w:hAnsi="宋体" w:eastAsia="宋体" w:cs="宋体"/>
                <w:spacing w:val="-3"/>
                <w:sz w:val="21"/>
                <w:szCs w:val="21"/>
              </w:rPr>
              <w:t>大罗贵村</w:t>
            </w:r>
          </w:p>
        </w:tc>
        <w:tc>
          <w:tcPr>
            <w:tcW w:w="1270" w:type="dxa"/>
            <w:vMerge w:val="restart"/>
            <w:tcBorders>
              <w:bottom w:val="nil"/>
            </w:tcBorders>
            <w:vAlign w:val="top"/>
          </w:tcPr>
          <w:p w14:paraId="59EE2CE6">
            <w:pPr>
              <w:pStyle w:val="6"/>
              <w:spacing w:before="272"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08BD48A2">
            <w:pPr>
              <w:pStyle w:val="6"/>
              <w:spacing w:before="88" w:line="226"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2E8424A3">
            <w:pPr>
              <w:pStyle w:val="6"/>
              <w:spacing w:before="121" w:line="223" w:lineRule="auto"/>
              <w:ind w:left="602"/>
            </w:pPr>
            <w:r>
              <w:rPr>
                <w:spacing w:val="-1"/>
              </w:rPr>
              <w:t>48</w:t>
            </w:r>
          </w:p>
        </w:tc>
        <w:tc>
          <w:tcPr>
            <w:tcW w:w="1414" w:type="dxa"/>
            <w:vAlign w:val="top"/>
          </w:tcPr>
          <w:p w14:paraId="15D3FA97">
            <w:pPr>
              <w:pStyle w:val="6"/>
              <w:spacing w:before="121" w:line="223" w:lineRule="auto"/>
              <w:ind w:left="613"/>
            </w:pPr>
            <w:r>
              <w:rPr>
                <w:spacing w:val="-3"/>
              </w:rPr>
              <w:t>38</w:t>
            </w:r>
          </w:p>
        </w:tc>
        <w:tc>
          <w:tcPr>
            <w:tcW w:w="1407" w:type="dxa"/>
            <w:tcBorders>
              <w:right w:val="single" w:color="000000" w:sz="12" w:space="0"/>
            </w:tcBorders>
            <w:vAlign w:val="top"/>
          </w:tcPr>
          <w:p w14:paraId="6E751FA4">
            <w:pPr>
              <w:spacing w:before="88"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5CD4C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tcBorders>
            <w:vAlign w:val="top"/>
          </w:tcPr>
          <w:p w14:paraId="224FF210">
            <w:pPr>
              <w:rPr>
                <w:rFonts w:ascii="Arial"/>
                <w:sz w:val="21"/>
              </w:rPr>
            </w:pPr>
          </w:p>
        </w:tc>
        <w:tc>
          <w:tcPr>
            <w:tcW w:w="1270" w:type="dxa"/>
            <w:vMerge w:val="continue"/>
            <w:tcBorders>
              <w:top w:val="nil"/>
            </w:tcBorders>
            <w:vAlign w:val="top"/>
          </w:tcPr>
          <w:p w14:paraId="25A93CAB">
            <w:pPr>
              <w:rPr>
                <w:rFonts w:ascii="Arial"/>
                <w:sz w:val="21"/>
              </w:rPr>
            </w:pPr>
          </w:p>
        </w:tc>
        <w:tc>
          <w:tcPr>
            <w:tcW w:w="1414" w:type="dxa"/>
            <w:vAlign w:val="top"/>
          </w:tcPr>
          <w:p w14:paraId="43CD480D">
            <w:pPr>
              <w:pStyle w:val="6"/>
              <w:spacing w:before="89" w:line="226"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6C768B30">
            <w:pPr>
              <w:pStyle w:val="6"/>
              <w:spacing w:before="123" w:line="222" w:lineRule="auto"/>
              <w:ind w:left="602"/>
            </w:pPr>
            <w:r>
              <w:rPr>
                <w:spacing w:val="-1"/>
              </w:rPr>
              <w:t>42</w:t>
            </w:r>
          </w:p>
        </w:tc>
        <w:tc>
          <w:tcPr>
            <w:tcW w:w="1414" w:type="dxa"/>
            <w:vAlign w:val="top"/>
          </w:tcPr>
          <w:p w14:paraId="0343B9A9">
            <w:pPr>
              <w:pStyle w:val="6"/>
              <w:spacing w:before="123" w:line="222" w:lineRule="auto"/>
              <w:ind w:left="613"/>
            </w:pPr>
            <w:r>
              <w:rPr>
                <w:spacing w:val="-3"/>
              </w:rPr>
              <w:t>37</w:t>
            </w:r>
          </w:p>
        </w:tc>
        <w:tc>
          <w:tcPr>
            <w:tcW w:w="1407" w:type="dxa"/>
            <w:tcBorders>
              <w:right w:val="single" w:color="000000" w:sz="12" w:space="0"/>
            </w:tcBorders>
            <w:vAlign w:val="top"/>
          </w:tcPr>
          <w:p w14:paraId="7F709146">
            <w:pPr>
              <w:spacing w:before="89"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4BFF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restart"/>
            <w:tcBorders>
              <w:left w:val="single" w:color="000000" w:sz="12" w:space="0"/>
              <w:bottom w:val="nil"/>
            </w:tcBorders>
            <w:vAlign w:val="top"/>
          </w:tcPr>
          <w:p w14:paraId="68C63062">
            <w:pPr>
              <w:spacing w:before="274" w:line="219" w:lineRule="auto"/>
              <w:ind w:left="456"/>
              <w:rPr>
                <w:rFonts w:ascii="宋体" w:hAnsi="宋体" w:eastAsia="宋体" w:cs="宋体"/>
                <w:sz w:val="21"/>
                <w:szCs w:val="21"/>
              </w:rPr>
            </w:pPr>
            <w:r>
              <w:rPr>
                <w:rFonts w:ascii="宋体" w:hAnsi="宋体" w:eastAsia="宋体" w:cs="宋体"/>
                <w:spacing w:val="-5"/>
                <w:sz w:val="21"/>
                <w:szCs w:val="21"/>
              </w:rPr>
              <w:t>川硐村</w:t>
            </w:r>
          </w:p>
        </w:tc>
        <w:tc>
          <w:tcPr>
            <w:tcW w:w="1270" w:type="dxa"/>
            <w:vMerge w:val="restart"/>
            <w:tcBorders>
              <w:bottom w:val="nil"/>
            </w:tcBorders>
            <w:vAlign w:val="top"/>
          </w:tcPr>
          <w:p w14:paraId="47CD3E56">
            <w:pPr>
              <w:pStyle w:val="6"/>
              <w:spacing w:before="275"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68633710">
            <w:pPr>
              <w:pStyle w:val="6"/>
              <w:spacing w:before="91" w:line="224"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54403CB7">
            <w:pPr>
              <w:pStyle w:val="6"/>
              <w:spacing w:before="124" w:line="220" w:lineRule="auto"/>
              <w:ind w:left="608"/>
            </w:pPr>
            <w:r>
              <w:rPr>
                <w:spacing w:val="-3"/>
              </w:rPr>
              <w:t>54</w:t>
            </w:r>
          </w:p>
        </w:tc>
        <w:tc>
          <w:tcPr>
            <w:tcW w:w="1414" w:type="dxa"/>
            <w:vAlign w:val="top"/>
          </w:tcPr>
          <w:p w14:paraId="4C1D3509">
            <w:pPr>
              <w:pStyle w:val="6"/>
              <w:spacing w:before="124" w:line="220" w:lineRule="auto"/>
              <w:ind w:left="607"/>
            </w:pPr>
            <w:r>
              <w:rPr>
                <w:spacing w:val="-1"/>
              </w:rPr>
              <w:t>40</w:t>
            </w:r>
          </w:p>
        </w:tc>
        <w:tc>
          <w:tcPr>
            <w:tcW w:w="1407" w:type="dxa"/>
            <w:tcBorders>
              <w:right w:val="single" w:color="000000" w:sz="12" w:space="0"/>
            </w:tcBorders>
            <w:vAlign w:val="top"/>
          </w:tcPr>
          <w:p w14:paraId="7CC54DA8">
            <w:pPr>
              <w:spacing w:before="91"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8C30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tcBorders>
            <w:vAlign w:val="top"/>
          </w:tcPr>
          <w:p w14:paraId="4BE81744">
            <w:pPr>
              <w:rPr>
                <w:rFonts w:ascii="Arial"/>
                <w:sz w:val="21"/>
              </w:rPr>
            </w:pPr>
          </w:p>
        </w:tc>
        <w:tc>
          <w:tcPr>
            <w:tcW w:w="1270" w:type="dxa"/>
            <w:vMerge w:val="continue"/>
            <w:tcBorders>
              <w:top w:val="nil"/>
            </w:tcBorders>
            <w:vAlign w:val="top"/>
          </w:tcPr>
          <w:p w14:paraId="177C38CF">
            <w:pPr>
              <w:rPr>
                <w:rFonts w:ascii="Arial"/>
                <w:sz w:val="21"/>
              </w:rPr>
            </w:pPr>
          </w:p>
        </w:tc>
        <w:tc>
          <w:tcPr>
            <w:tcW w:w="1414" w:type="dxa"/>
            <w:vAlign w:val="top"/>
          </w:tcPr>
          <w:p w14:paraId="0AAD484B">
            <w:pPr>
              <w:pStyle w:val="6"/>
              <w:spacing w:before="92" w:line="223"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03610E20">
            <w:pPr>
              <w:pStyle w:val="6"/>
              <w:spacing w:before="125" w:line="219" w:lineRule="auto"/>
              <w:ind w:left="602"/>
            </w:pPr>
            <w:r>
              <w:rPr>
                <w:spacing w:val="-1"/>
              </w:rPr>
              <w:t>43</w:t>
            </w:r>
          </w:p>
        </w:tc>
        <w:tc>
          <w:tcPr>
            <w:tcW w:w="1414" w:type="dxa"/>
            <w:vAlign w:val="top"/>
          </w:tcPr>
          <w:p w14:paraId="4D6F25F6">
            <w:pPr>
              <w:pStyle w:val="6"/>
              <w:spacing w:before="125" w:line="219" w:lineRule="auto"/>
              <w:ind w:left="613"/>
            </w:pPr>
            <w:r>
              <w:rPr>
                <w:spacing w:val="-3"/>
              </w:rPr>
              <w:t>38</w:t>
            </w:r>
          </w:p>
        </w:tc>
        <w:tc>
          <w:tcPr>
            <w:tcW w:w="1407" w:type="dxa"/>
            <w:tcBorders>
              <w:right w:val="single" w:color="000000" w:sz="12" w:space="0"/>
            </w:tcBorders>
            <w:vAlign w:val="top"/>
          </w:tcPr>
          <w:p w14:paraId="4A920519">
            <w:pPr>
              <w:spacing w:before="92"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4456C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restart"/>
            <w:tcBorders>
              <w:left w:val="single" w:color="000000" w:sz="12" w:space="0"/>
              <w:bottom w:val="nil"/>
            </w:tcBorders>
            <w:vAlign w:val="top"/>
          </w:tcPr>
          <w:p w14:paraId="708F7DB5">
            <w:pPr>
              <w:spacing w:line="312" w:lineRule="auto"/>
              <w:rPr>
                <w:rFonts w:ascii="Arial"/>
                <w:sz w:val="21"/>
              </w:rPr>
            </w:pPr>
          </w:p>
          <w:p w14:paraId="5785040B">
            <w:pPr>
              <w:spacing w:line="313" w:lineRule="auto"/>
              <w:rPr>
                <w:rFonts w:ascii="Arial"/>
                <w:sz w:val="21"/>
              </w:rPr>
            </w:pPr>
          </w:p>
          <w:p w14:paraId="464D02B3">
            <w:pPr>
              <w:spacing w:line="313" w:lineRule="auto"/>
              <w:rPr>
                <w:rFonts w:ascii="Arial"/>
                <w:sz w:val="21"/>
              </w:rPr>
            </w:pPr>
          </w:p>
          <w:p w14:paraId="1152D095">
            <w:pPr>
              <w:spacing w:before="68" w:line="219" w:lineRule="auto"/>
              <w:ind w:left="347"/>
              <w:rPr>
                <w:rFonts w:ascii="宋体" w:hAnsi="宋体" w:eastAsia="宋体" w:cs="宋体"/>
                <w:sz w:val="21"/>
                <w:szCs w:val="21"/>
              </w:rPr>
            </w:pPr>
            <w:r>
              <w:rPr>
                <w:rFonts w:ascii="宋体" w:hAnsi="宋体" w:eastAsia="宋体" w:cs="宋体"/>
                <w:spacing w:val="-2"/>
                <w:sz w:val="21"/>
                <w:szCs w:val="21"/>
              </w:rPr>
              <w:t>上罗贵村</w:t>
            </w:r>
          </w:p>
        </w:tc>
        <w:tc>
          <w:tcPr>
            <w:tcW w:w="1270" w:type="dxa"/>
            <w:vMerge w:val="restart"/>
            <w:tcBorders>
              <w:bottom w:val="nil"/>
            </w:tcBorders>
            <w:vAlign w:val="top"/>
          </w:tcPr>
          <w:p w14:paraId="17A0F16A">
            <w:pPr>
              <w:pStyle w:val="6"/>
              <w:spacing w:before="277"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50EFFA32">
            <w:pPr>
              <w:pStyle w:val="6"/>
              <w:spacing w:before="93" w:line="222"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5468D89D">
            <w:pPr>
              <w:pStyle w:val="6"/>
              <w:spacing w:before="126" w:line="218" w:lineRule="auto"/>
              <w:ind w:left="602"/>
            </w:pPr>
            <w:r>
              <w:rPr>
                <w:spacing w:val="-1"/>
              </w:rPr>
              <w:t>47</w:t>
            </w:r>
          </w:p>
        </w:tc>
        <w:tc>
          <w:tcPr>
            <w:tcW w:w="1414" w:type="dxa"/>
            <w:vAlign w:val="top"/>
          </w:tcPr>
          <w:p w14:paraId="7B8B5322">
            <w:pPr>
              <w:pStyle w:val="6"/>
              <w:spacing w:before="126" w:line="218" w:lineRule="auto"/>
              <w:ind w:left="607"/>
            </w:pPr>
            <w:r>
              <w:rPr>
                <w:spacing w:val="-1"/>
              </w:rPr>
              <w:t>40</w:t>
            </w:r>
          </w:p>
        </w:tc>
        <w:tc>
          <w:tcPr>
            <w:tcW w:w="1407" w:type="dxa"/>
            <w:tcBorders>
              <w:right w:val="single" w:color="000000" w:sz="12" w:space="0"/>
            </w:tcBorders>
            <w:vAlign w:val="top"/>
          </w:tcPr>
          <w:p w14:paraId="773744C2">
            <w:pPr>
              <w:spacing w:before="9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6065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554" w:type="dxa"/>
            <w:vMerge w:val="continue"/>
            <w:tcBorders>
              <w:top w:val="nil"/>
              <w:left w:val="single" w:color="000000" w:sz="12" w:space="0"/>
              <w:bottom w:val="nil"/>
            </w:tcBorders>
            <w:vAlign w:val="top"/>
          </w:tcPr>
          <w:p w14:paraId="369FC038">
            <w:pPr>
              <w:rPr>
                <w:rFonts w:ascii="Arial"/>
                <w:sz w:val="21"/>
              </w:rPr>
            </w:pPr>
          </w:p>
        </w:tc>
        <w:tc>
          <w:tcPr>
            <w:tcW w:w="1270" w:type="dxa"/>
            <w:vMerge w:val="continue"/>
            <w:tcBorders>
              <w:top w:val="nil"/>
            </w:tcBorders>
            <w:vAlign w:val="top"/>
          </w:tcPr>
          <w:p w14:paraId="0B5C565E">
            <w:pPr>
              <w:rPr>
                <w:rFonts w:ascii="Arial"/>
                <w:sz w:val="21"/>
              </w:rPr>
            </w:pPr>
          </w:p>
        </w:tc>
        <w:tc>
          <w:tcPr>
            <w:tcW w:w="1414" w:type="dxa"/>
            <w:vAlign w:val="top"/>
          </w:tcPr>
          <w:p w14:paraId="0023C141">
            <w:pPr>
              <w:pStyle w:val="6"/>
              <w:spacing w:before="95" w:line="222"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31DA5AAB">
            <w:pPr>
              <w:pStyle w:val="6"/>
              <w:spacing w:before="128" w:line="218" w:lineRule="auto"/>
              <w:ind w:left="602"/>
            </w:pPr>
            <w:r>
              <w:rPr>
                <w:spacing w:val="-1"/>
              </w:rPr>
              <w:t>42</w:t>
            </w:r>
          </w:p>
        </w:tc>
        <w:tc>
          <w:tcPr>
            <w:tcW w:w="1414" w:type="dxa"/>
            <w:vAlign w:val="top"/>
          </w:tcPr>
          <w:p w14:paraId="261733B9">
            <w:pPr>
              <w:pStyle w:val="6"/>
              <w:spacing w:before="128" w:line="218" w:lineRule="auto"/>
              <w:ind w:left="613"/>
            </w:pPr>
            <w:r>
              <w:rPr>
                <w:spacing w:val="-3"/>
              </w:rPr>
              <w:t>35</w:t>
            </w:r>
          </w:p>
        </w:tc>
        <w:tc>
          <w:tcPr>
            <w:tcW w:w="1407" w:type="dxa"/>
            <w:tcBorders>
              <w:right w:val="single" w:color="000000" w:sz="12" w:space="0"/>
            </w:tcBorders>
            <w:vAlign w:val="top"/>
          </w:tcPr>
          <w:p w14:paraId="1526FC27">
            <w:pPr>
              <w:spacing w:before="96"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77E2A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3DC95DDB">
            <w:pPr>
              <w:rPr>
                <w:rFonts w:ascii="Arial"/>
                <w:sz w:val="21"/>
              </w:rPr>
            </w:pPr>
          </w:p>
        </w:tc>
        <w:tc>
          <w:tcPr>
            <w:tcW w:w="1270" w:type="dxa"/>
            <w:vMerge w:val="restart"/>
            <w:tcBorders>
              <w:bottom w:val="nil"/>
            </w:tcBorders>
            <w:vAlign w:val="top"/>
          </w:tcPr>
          <w:p w14:paraId="29C6CFBD">
            <w:pPr>
              <w:pStyle w:val="6"/>
              <w:spacing w:before="279"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601C9E8F">
            <w:pPr>
              <w:pStyle w:val="6"/>
              <w:spacing w:before="94" w:line="221"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4096C282">
            <w:pPr>
              <w:pStyle w:val="6"/>
              <w:spacing w:before="128" w:line="216" w:lineRule="auto"/>
              <w:ind w:left="602"/>
            </w:pPr>
            <w:r>
              <w:rPr>
                <w:spacing w:val="-1"/>
              </w:rPr>
              <w:t>43</w:t>
            </w:r>
          </w:p>
        </w:tc>
        <w:tc>
          <w:tcPr>
            <w:tcW w:w="1414" w:type="dxa"/>
            <w:vAlign w:val="top"/>
          </w:tcPr>
          <w:p w14:paraId="71EE86C7">
            <w:pPr>
              <w:pStyle w:val="6"/>
              <w:spacing w:before="128" w:line="216" w:lineRule="auto"/>
              <w:ind w:left="613"/>
            </w:pPr>
            <w:r>
              <w:rPr>
                <w:spacing w:val="-3"/>
              </w:rPr>
              <w:t>38</w:t>
            </w:r>
          </w:p>
        </w:tc>
        <w:tc>
          <w:tcPr>
            <w:tcW w:w="1407" w:type="dxa"/>
            <w:tcBorders>
              <w:right w:val="single" w:color="000000" w:sz="12" w:space="0"/>
            </w:tcBorders>
            <w:vAlign w:val="top"/>
          </w:tcPr>
          <w:p w14:paraId="619A69FD">
            <w:pPr>
              <w:spacing w:before="95"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2328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4CF07859">
            <w:pPr>
              <w:rPr>
                <w:rFonts w:ascii="Arial"/>
                <w:sz w:val="21"/>
              </w:rPr>
            </w:pPr>
          </w:p>
        </w:tc>
        <w:tc>
          <w:tcPr>
            <w:tcW w:w="1270" w:type="dxa"/>
            <w:vMerge w:val="continue"/>
            <w:tcBorders>
              <w:top w:val="nil"/>
            </w:tcBorders>
            <w:vAlign w:val="top"/>
          </w:tcPr>
          <w:p w14:paraId="2E9FDB66">
            <w:pPr>
              <w:rPr>
                <w:rFonts w:ascii="Arial"/>
                <w:sz w:val="21"/>
              </w:rPr>
            </w:pPr>
          </w:p>
        </w:tc>
        <w:tc>
          <w:tcPr>
            <w:tcW w:w="1414" w:type="dxa"/>
            <w:vAlign w:val="top"/>
          </w:tcPr>
          <w:p w14:paraId="28F288EE">
            <w:pPr>
              <w:pStyle w:val="6"/>
              <w:spacing w:before="96" w:line="220"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6EE3B534">
            <w:pPr>
              <w:pStyle w:val="6"/>
              <w:spacing w:before="130" w:line="215" w:lineRule="auto"/>
              <w:ind w:left="602"/>
            </w:pPr>
            <w:r>
              <w:rPr>
                <w:spacing w:val="-1"/>
              </w:rPr>
              <w:t>45</w:t>
            </w:r>
          </w:p>
        </w:tc>
        <w:tc>
          <w:tcPr>
            <w:tcW w:w="1414" w:type="dxa"/>
            <w:vAlign w:val="top"/>
          </w:tcPr>
          <w:p w14:paraId="57A852A4">
            <w:pPr>
              <w:pStyle w:val="6"/>
              <w:spacing w:before="130" w:line="215" w:lineRule="auto"/>
              <w:ind w:left="613"/>
            </w:pPr>
            <w:r>
              <w:rPr>
                <w:spacing w:val="-3"/>
              </w:rPr>
              <w:t>39</w:t>
            </w:r>
          </w:p>
        </w:tc>
        <w:tc>
          <w:tcPr>
            <w:tcW w:w="1407" w:type="dxa"/>
            <w:tcBorders>
              <w:right w:val="single" w:color="000000" w:sz="12" w:space="0"/>
            </w:tcBorders>
            <w:vAlign w:val="top"/>
          </w:tcPr>
          <w:p w14:paraId="6F04E8C7">
            <w:pPr>
              <w:spacing w:before="96"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7B751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57AF8456">
            <w:pPr>
              <w:rPr>
                <w:rFonts w:ascii="Arial"/>
                <w:sz w:val="21"/>
              </w:rPr>
            </w:pPr>
          </w:p>
        </w:tc>
        <w:tc>
          <w:tcPr>
            <w:tcW w:w="1270" w:type="dxa"/>
            <w:vMerge w:val="restart"/>
            <w:tcBorders>
              <w:bottom w:val="nil"/>
            </w:tcBorders>
            <w:vAlign w:val="top"/>
          </w:tcPr>
          <w:p w14:paraId="5E4A1C35">
            <w:pPr>
              <w:pStyle w:val="6"/>
              <w:spacing w:before="280" w:line="233" w:lineRule="auto"/>
              <w:ind w:left="285"/>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1414" w:type="dxa"/>
            <w:vAlign w:val="top"/>
          </w:tcPr>
          <w:p w14:paraId="3B8FEF35">
            <w:pPr>
              <w:pStyle w:val="6"/>
              <w:spacing w:before="96" w:line="220" w:lineRule="auto"/>
              <w:ind w:left="262"/>
              <w:rPr>
                <w:rFonts w:ascii="宋体" w:hAnsi="宋体" w:eastAsia="宋体" w:cs="宋体"/>
              </w:rPr>
            </w:pPr>
            <w:r>
              <w:rPr>
                <w:spacing w:val="-6"/>
              </w:rPr>
              <w:t>3</w:t>
            </w:r>
            <w:r>
              <w:rPr>
                <w:spacing w:val="17"/>
              </w:rPr>
              <w:t xml:space="preserve"> </w:t>
            </w:r>
            <w:r>
              <w:rPr>
                <w:rFonts w:ascii="宋体" w:hAnsi="宋体" w:eastAsia="宋体" w:cs="宋体"/>
                <w:spacing w:val="-6"/>
              </w:rPr>
              <w:t>月</w:t>
            </w:r>
            <w:r>
              <w:rPr>
                <w:rFonts w:ascii="宋体" w:hAnsi="宋体" w:eastAsia="宋体" w:cs="宋体"/>
                <w:spacing w:val="-49"/>
              </w:rPr>
              <w:t xml:space="preserve"> </w:t>
            </w:r>
            <w:r>
              <w:rPr>
                <w:spacing w:val="-6"/>
              </w:rPr>
              <w:t>22</w:t>
            </w:r>
            <w:r>
              <w:rPr>
                <w:spacing w:val="45"/>
                <w:w w:val="101"/>
              </w:rPr>
              <w:t xml:space="preserve"> </w:t>
            </w:r>
            <w:r>
              <w:rPr>
                <w:rFonts w:ascii="宋体" w:hAnsi="宋体" w:eastAsia="宋体" w:cs="宋体"/>
                <w:spacing w:val="-6"/>
              </w:rPr>
              <w:t>日</w:t>
            </w:r>
          </w:p>
        </w:tc>
        <w:tc>
          <w:tcPr>
            <w:tcW w:w="1414" w:type="dxa"/>
            <w:vAlign w:val="top"/>
          </w:tcPr>
          <w:p w14:paraId="6AA3A4BD">
            <w:pPr>
              <w:pStyle w:val="6"/>
              <w:spacing w:before="130" w:line="215" w:lineRule="auto"/>
              <w:ind w:left="602"/>
            </w:pPr>
            <w:r>
              <w:rPr>
                <w:spacing w:val="-2"/>
              </w:rPr>
              <w:t>44</w:t>
            </w:r>
          </w:p>
        </w:tc>
        <w:tc>
          <w:tcPr>
            <w:tcW w:w="1414" w:type="dxa"/>
            <w:vAlign w:val="top"/>
          </w:tcPr>
          <w:p w14:paraId="241398D6">
            <w:pPr>
              <w:pStyle w:val="6"/>
              <w:spacing w:before="130" w:line="215" w:lineRule="auto"/>
              <w:ind w:left="607"/>
            </w:pPr>
            <w:r>
              <w:rPr>
                <w:spacing w:val="-2"/>
              </w:rPr>
              <w:t>41</w:t>
            </w:r>
          </w:p>
        </w:tc>
        <w:tc>
          <w:tcPr>
            <w:tcW w:w="1407" w:type="dxa"/>
            <w:tcBorders>
              <w:right w:val="single" w:color="000000" w:sz="12" w:space="0"/>
            </w:tcBorders>
            <w:vAlign w:val="top"/>
          </w:tcPr>
          <w:p w14:paraId="2F192138">
            <w:pPr>
              <w:spacing w:before="96"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F583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554" w:type="dxa"/>
            <w:vMerge w:val="continue"/>
            <w:tcBorders>
              <w:top w:val="nil"/>
              <w:left w:val="single" w:color="000000" w:sz="12" w:space="0"/>
              <w:bottom w:val="single" w:color="000000" w:sz="12" w:space="0"/>
            </w:tcBorders>
            <w:vAlign w:val="top"/>
          </w:tcPr>
          <w:p w14:paraId="20D03247">
            <w:pPr>
              <w:rPr>
                <w:rFonts w:ascii="Arial"/>
                <w:sz w:val="21"/>
              </w:rPr>
            </w:pPr>
          </w:p>
        </w:tc>
        <w:tc>
          <w:tcPr>
            <w:tcW w:w="1270" w:type="dxa"/>
            <w:vMerge w:val="continue"/>
            <w:tcBorders>
              <w:top w:val="nil"/>
              <w:bottom w:val="single" w:color="000000" w:sz="12" w:space="0"/>
            </w:tcBorders>
            <w:vAlign w:val="top"/>
          </w:tcPr>
          <w:p w14:paraId="3333645E">
            <w:pPr>
              <w:rPr>
                <w:rFonts w:ascii="Arial"/>
                <w:sz w:val="21"/>
              </w:rPr>
            </w:pPr>
          </w:p>
        </w:tc>
        <w:tc>
          <w:tcPr>
            <w:tcW w:w="1414" w:type="dxa"/>
            <w:tcBorders>
              <w:bottom w:val="single" w:color="000000" w:sz="12" w:space="0"/>
            </w:tcBorders>
            <w:vAlign w:val="top"/>
          </w:tcPr>
          <w:p w14:paraId="160F2C70">
            <w:pPr>
              <w:pStyle w:val="6"/>
              <w:spacing w:before="98" w:line="233" w:lineRule="auto"/>
              <w:ind w:left="261"/>
              <w:rPr>
                <w:rFonts w:ascii="宋体" w:hAnsi="宋体" w:eastAsia="宋体" w:cs="宋体"/>
              </w:rPr>
            </w:pPr>
            <w:r>
              <w:rPr>
                <w:spacing w:val="-9"/>
              </w:rPr>
              <w:t>7</w:t>
            </w:r>
            <w:r>
              <w:rPr>
                <w:spacing w:val="14"/>
              </w:rPr>
              <w:t xml:space="preserve"> </w:t>
            </w:r>
            <w:r>
              <w:rPr>
                <w:rFonts w:ascii="宋体" w:hAnsi="宋体" w:eastAsia="宋体" w:cs="宋体"/>
                <w:spacing w:val="-9"/>
              </w:rPr>
              <w:t>月</w:t>
            </w:r>
            <w:r>
              <w:rPr>
                <w:rFonts w:ascii="宋体" w:hAnsi="宋体" w:eastAsia="宋体" w:cs="宋体"/>
                <w:spacing w:val="-29"/>
              </w:rPr>
              <w:t xml:space="preserve"> </w:t>
            </w:r>
            <w:r>
              <w:rPr>
                <w:spacing w:val="-9"/>
              </w:rPr>
              <w:t>19</w:t>
            </w:r>
            <w:r>
              <w:rPr>
                <w:spacing w:val="45"/>
              </w:rPr>
              <w:t xml:space="preserve"> </w:t>
            </w:r>
            <w:r>
              <w:rPr>
                <w:rFonts w:ascii="宋体" w:hAnsi="宋体" w:eastAsia="宋体" w:cs="宋体"/>
                <w:spacing w:val="-9"/>
              </w:rPr>
              <w:t>日</w:t>
            </w:r>
          </w:p>
        </w:tc>
        <w:tc>
          <w:tcPr>
            <w:tcW w:w="1414" w:type="dxa"/>
            <w:tcBorders>
              <w:bottom w:val="single" w:color="000000" w:sz="12" w:space="0"/>
            </w:tcBorders>
            <w:vAlign w:val="top"/>
          </w:tcPr>
          <w:p w14:paraId="5AD297DB">
            <w:pPr>
              <w:pStyle w:val="6"/>
              <w:spacing w:before="131" w:line="232" w:lineRule="auto"/>
              <w:ind w:left="524"/>
            </w:pPr>
            <w:r>
              <w:rPr>
                <w:spacing w:val="-1"/>
              </w:rPr>
              <w:t>43.6</w:t>
            </w:r>
          </w:p>
        </w:tc>
        <w:tc>
          <w:tcPr>
            <w:tcW w:w="1414" w:type="dxa"/>
            <w:tcBorders>
              <w:bottom w:val="single" w:color="000000" w:sz="12" w:space="0"/>
            </w:tcBorders>
            <w:vAlign w:val="top"/>
          </w:tcPr>
          <w:p w14:paraId="22A34DC2">
            <w:pPr>
              <w:pStyle w:val="6"/>
              <w:spacing w:before="131" w:line="232" w:lineRule="auto"/>
              <w:ind w:left="529"/>
            </w:pPr>
            <w:r>
              <w:rPr>
                <w:spacing w:val="-1"/>
              </w:rPr>
              <w:t>41.4</w:t>
            </w:r>
          </w:p>
        </w:tc>
        <w:tc>
          <w:tcPr>
            <w:tcW w:w="1407" w:type="dxa"/>
            <w:tcBorders>
              <w:bottom w:val="single" w:color="000000" w:sz="12" w:space="0"/>
              <w:right w:val="single" w:color="000000" w:sz="12" w:space="0"/>
            </w:tcBorders>
            <w:vAlign w:val="top"/>
          </w:tcPr>
          <w:p w14:paraId="361C66D5">
            <w:pPr>
              <w:spacing w:before="98" w:line="220" w:lineRule="auto"/>
              <w:ind w:left="501"/>
              <w:rPr>
                <w:rFonts w:ascii="宋体" w:hAnsi="宋体" w:eastAsia="宋体" w:cs="宋体"/>
                <w:sz w:val="21"/>
                <w:szCs w:val="21"/>
              </w:rPr>
            </w:pPr>
            <w:r>
              <w:rPr>
                <w:rFonts w:ascii="宋体" w:hAnsi="宋体" w:eastAsia="宋体" w:cs="宋体"/>
                <w:spacing w:val="-2"/>
                <w:sz w:val="21"/>
                <w:szCs w:val="21"/>
              </w:rPr>
              <w:t>达标</w:t>
            </w:r>
          </w:p>
        </w:tc>
      </w:tr>
    </w:tbl>
    <w:p w14:paraId="12DBF72F">
      <w:pPr>
        <w:rPr>
          <w:rFonts w:ascii="Arial"/>
          <w:sz w:val="21"/>
        </w:rPr>
      </w:pPr>
    </w:p>
    <w:p w14:paraId="33C643D1">
      <w:pPr>
        <w:rPr>
          <w:rFonts w:ascii="Arial" w:hAnsi="Arial" w:eastAsia="Arial" w:cs="Arial"/>
          <w:sz w:val="21"/>
          <w:szCs w:val="21"/>
        </w:rPr>
        <w:sectPr>
          <w:headerReference r:id="rId268" w:type="default"/>
          <w:footerReference r:id="rId269" w:type="default"/>
          <w:pgSz w:w="11907" w:h="16839"/>
          <w:pgMar w:top="1376" w:right="1669" w:bottom="1061" w:left="1671" w:header="999" w:footer="861" w:gutter="0"/>
          <w:cols w:space="720" w:num="1"/>
        </w:sectPr>
      </w:pPr>
    </w:p>
    <w:p w14:paraId="01DE7A33">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4"/>
        <w:gridCol w:w="1270"/>
        <w:gridCol w:w="1414"/>
        <w:gridCol w:w="1414"/>
        <w:gridCol w:w="1414"/>
        <w:gridCol w:w="1407"/>
      </w:tblGrid>
      <w:tr w14:paraId="449F7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restart"/>
            <w:tcBorders>
              <w:top w:val="single" w:color="000000" w:sz="12" w:space="0"/>
              <w:left w:val="single" w:color="000000" w:sz="12" w:space="0"/>
              <w:bottom w:val="nil"/>
            </w:tcBorders>
            <w:vAlign w:val="top"/>
          </w:tcPr>
          <w:p w14:paraId="79A9BBDC">
            <w:pPr>
              <w:spacing w:before="253" w:line="221" w:lineRule="auto"/>
              <w:ind w:left="346"/>
              <w:rPr>
                <w:rFonts w:ascii="宋体" w:hAnsi="宋体" w:eastAsia="宋体" w:cs="宋体"/>
                <w:sz w:val="21"/>
                <w:szCs w:val="21"/>
              </w:rPr>
            </w:pPr>
            <w:r>
              <w:rPr>
                <w:rFonts w:ascii="宋体" w:hAnsi="宋体" w:eastAsia="宋体" w:cs="宋体"/>
                <w:spacing w:val="-3"/>
                <w:sz w:val="21"/>
                <w:szCs w:val="21"/>
              </w:rPr>
              <w:t>监测点位</w:t>
            </w:r>
          </w:p>
        </w:tc>
        <w:tc>
          <w:tcPr>
            <w:tcW w:w="2684" w:type="dxa"/>
            <w:gridSpan w:val="2"/>
            <w:vMerge w:val="restart"/>
            <w:tcBorders>
              <w:top w:val="single" w:color="000000" w:sz="12" w:space="0"/>
              <w:bottom w:val="nil"/>
            </w:tcBorders>
            <w:vAlign w:val="top"/>
          </w:tcPr>
          <w:p w14:paraId="327DB580">
            <w:pPr>
              <w:spacing w:before="253" w:line="221" w:lineRule="auto"/>
              <w:ind w:left="920"/>
              <w:rPr>
                <w:rFonts w:ascii="宋体" w:hAnsi="宋体" w:eastAsia="宋体" w:cs="宋体"/>
                <w:sz w:val="21"/>
                <w:szCs w:val="21"/>
              </w:rPr>
            </w:pPr>
            <w:r>
              <w:rPr>
                <w:rFonts w:ascii="宋体" w:hAnsi="宋体" w:eastAsia="宋体" w:cs="宋体"/>
                <w:spacing w:val="-2"/>
                <w:sz w:val="21"/>
                <w:szCs w:val="21"/>
              </w:rPr>
              <w:t>监测时间</w:t>
            </w:r>
          </w:p>
        </w:tc>
        <w:tc>
          <w:tcPr>
            <w:tcW w:w="2828" w:type="dxa"/>
            <w:gridSpan w:val="2"/>
            <w:tcBorders>
              <w:top w:val="single" w:color="000000" w:sz="12" w:space="0"/>
            </w:tcBorders>
            <w:vAlign w:val="top"/>
          </w:tcPr>
          <w:p w14:paraId="6682B38C">
            <w:pPr>
              <w:pStyle w:val="6"/>
              <w:spacing w:before="104" w:line="190" w:lineRule="auto"/>
              <w:ind w:left="959"/>
            </w:pPr>
            <w:r>
              <w:rPr>
                <w:spacing w:val="-1"/>
              </w:rPr>
              <w:t>Leq dB(A)</w:t>
            </w:r>
          </w:p>
        </w:tc>
        <w:tc>
          <w:tcPr>
            <w:tcW w:w="1407" w:type="dxa"/>
            <w:vMerge w:val="restart"/>
            <w:tcBorders>
              <w:top w:val="single" w:color="000000" w:sz="12" w:space="0"/>
              <w:bottom w:val="nil"/>
              <w:right w:val="single" w:color="000000" w:sz="12" w:space="0"/>
            </w:tcBorders>
            <w:vAlign w:val="top"/>
          </w:tcPr>
          <w:p w14:paraId="66F193DB">
            <w:pPr>
              <w:spacing w:before="254" w:line="218" w:lineRule="auto"/>
              <w:ind w:left="291"/>
              <w:rPr>
                <w:rFonts w:ascii="宋体" w:hAnsi="宋体" w:eastAsia="宋体" w:cs="宋体"/>
                <w:sz w:val="21"/>
                <w:szCs w:val="21"/>
              </w:rPr>
            </w:pPr>
            <w:r>
              <w:rPr>
                <w:rFonts w:ascii="宋体" w:hAnsi="宋体" w:eastAsia="宋体" w:cs="宋体"/>
                <w:spacing w:val="-2"/>
                <w:sz w:val="21"/>
                <w:szCs w:val="21"/>
              </w:rPr>
              <w:t>评价结果</w:t>
            </w:r>
          </w:p>
        </w:tc>
      </w:tr>
      <w:tr w14:paraId="79753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tcBorders>
            <w:vAlign w:val="top"/>
          </w:tcPr>
          <w:p w14:paraId="50CE88F1">
            <w:pPr>
              <w:rPr>
                <w:rFonts w:ascii="Arial"/>
                <w:sz w:val="21"/>
              </w:rPr>
            </w:pPr>
          </w:p>
        </w:tc>
        <w:tc>
          <w:tcPr>
            <w:tcW w:w="2684" w:type="dxa"/>
            <w:gridSpan w:val="2"/>
            <w:vMerge w:val="continue"/>
            <w:tcBorders>
              <w:top w:val="nil"/>
            </w:tcBorders>
            <w:vAlign w:val="top"/>
          </w:tcPr>
          <w:p w14:paraId="04DF6784">
            <w:pPr>
              <w:rPr>
                <w:rFonts w:ascii="Arial"/>
                <w:sz w:val="21"/>
              </w:rPr>
            </w:pPr>
          </w:p>
        </w:tc>
        <w:tc>
          <w:tcPr>
            <w:tcW w:w="1414" w:type="dxa"/>
            <w:vAlign w:val="top"/>
          </w:tcPr>
          <w:p w14:paraId="3F255085">
            <w:pPr>
              <w:spacing w:before="71" w:line="222" w:lineRule="auto"/>
              <w:ind w:left="501"/>
              <w:rPr>
                <w:rFonts w:ascii="宋体" w:hAnsi="宋体" w:eastAsia="宋体" w:cs="宋体"/>
                <w:sz w:val="21"/>
                <w:szCs w:val="21"/>
              </w:rPr>
            </w:pPr>
            <w:r>
              <w:rPr>
                <w:rFonts w:ascii="宋体" w:hAnsi="宋体" w:eastAsia="宋体" w:cs="宋体"/>
                <w:spacing w:val="-2"/>
                <w:sz w:val="21"/>
                <w:szCs w:val="21"/>
              </w:rPr>
              <w:t>昼间</w:t>
            </w:r>
          </w:p>
        </w:tc>
        <w:tc>
          <w:tcPr>
            <w:tcW w:w="1414" w:type="dxa"/>
            <w:vAlign w:val="top"/>
          </w:tcPr>
          <w:p w14:paraId="0463EB1F">
            <w:pPr>
              <w:spacing w:before="70" w:line="220" w:lineRule="auto"/>
              <w:ind w:left="511"/>
              <w:rPr>
                <w:rFonts w:ascii="宋体" w:hAnsi="宋体" w:eastAsia="宋体" w:cs="宋体"/>
                <w:sz w:val="21"/>
                <w:szCs w:val="21"/>
              </w:rPr>
            </w:pPr>
            <w:r>
              <w:rPr>
                <w:rFonts w:ascii="宋体" w:hAnsi="宋体" w:eastAsia="宋体" w:cs="宋体"/>
                <w:spacing w:val="-3"/>
                <w:sz w:val="21"/>
                <w:szCs w:val="21"/>
              </w:rPr>
              <w:t>夜间</w:t>
            </w:r>
          </w:p>
        </w:tc>
        <w:tc>
          <w:tcPr>
            <w:tcW w:w="1407" w:type="dxa"/>
            <w:vMerge w:val="continue"/>
            <w:tcBorders>
              <w:top w:val="nil"/>
              <w:right w:val="single" w:color="000000" w:sz="12" w:space="0"/>
            </w:tcBorders>
            <w:vAlign w:val="top"/>
          </w:tcPr>
          <w:p w14:paraId="0C59B660">
            <w:pPr>
              <w:rPr>
                <w:rFonts w:ascii="Arial"/>
                <w:sz w:val="21"/>
              </w:rPr>
            </w:pPr>
          </w:p>
        </w:tc>
      </w:tr>
      <w:tr w14:paraId="19A1E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restart"/>
            <w:tcBorders>
              <w:left w:val="single" w:color="000000" w:sz="12" w:space="0"/>
              <w:bottom w:val="nil"/>
            </w:tcBorders>
            <w:vAlign w:val="top"/>
          </w:tcPr>
          <w:p w14:paraId="332C1544">
            <w:pPr>
              <w:spacing w:line="305" w:lineRule="auto"/>
              <w:rPr>
                <w:rFonts w:ascii="Arial"/>
                <w:sz w:val="21"/>
              </w:rPr>
            </w:pPr>
          </w:p>
          <w:p w14:paraId="06E85C65">
            <w:pPr>
              <w:spacing w:line="306" w:lineRule="auto"/>
              <w:rPr>
                <w:rFonts w:ascii="Arial"/>
                <w:sz w:val="21"/>
              </w:rPr>
            </w:pPr>
          </w:p>
          <w:p w14:paraId="6561E9E5">
            <w:pPr>
              <w:spacing w:line="306" w:lineRule="auto"/>
              <w:rPr>
                <w:rFonts w:ascii="Arial"/>
                <w:sz w:val="21"/>
              </w:rPr>
            </w:pPr>
          </w:p>
          <w:p w14:paraId="79A3D234">
            <w:pPr>
              <w:spacing w:before="69" w:line="220" w:lineRule="auto"/>
              <w:ind w:left="141"/>
              <w:rPr>
                <w:rFonts w:ascii="宋体" w:hAnsi="宋体" w:eastAsia="宋体" w:cs="宋体"/>
                <w:sz w:val="21"/>
                <w:szCs w:val="21"/>
              </w:rPr>
            </w:pPr>
            <w:r>
              <w:rPr>
                <w:rFonts w:ascii="宋体" w:hAnsi="宋体" w:eastAsia="宋体" w:cs="宋体"/>
                <w:spacing w:val="-3"/>
                <w:sz w:val="21"/>
                <w:szCs w:val="21"/>
              </w:rPr>
              <w:t>马龙县气象局</w:t>
            </w:r>
          </w:p>
        </w:tc>
        <w:tc>
          <w:tcPr>
            <w:tcW w:w="1270" w:type="dxa"/>
            <w:vMerge w:val="restart"/>
            <w:tcBorders>
              <w:bottom w:val="nil"/>
            </w:tcBorders>
            <w:vAlign w:val="top"/>
          </w:tcPr>
          <w:p w14:paraId="37444531">
            <w:pPr>
              <w:pStyle w:val="6"/>
              <w:spacing w:before="257"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135BDE71">
            <w:pPr>
              <w:pStyle w:val="6"/>
              <w:spacing w:before="73" w:line="233"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5CFDED30">
            <w:pPr>
              <w:pStyle w:val="6"/>
              <w:spacing w:before="106" w:line="232" w:lineRule="auto"/>
              <w:ind w:left="602"/>
            </w:pPr>
            <w:r>
              <w:rPr>
                <w:spacing w:val="-1"/>
              </w:rPr>
              <w:t>49</w:t>
            </w:r>
          </w:p>
        </w:tc>
        <w:tc>
          <w:tcPr>
            <w:tcW w:w="1414" w:type="dxa"/>
            <w:vAlign w:val="top"/>
          </w:tcPr>
          <w:p w14:paraId="1FE2799F">
            <w:pPr>
              <w:pStyle w:val="6"/>
              <w:spacing w:before="107" w:line="232" w:lineRule="auto"/>
              <w:ind w:left="607"/>
            </w:pPr>
            <w:r>
              <w:rPr>
                <w:spacing w:val="-2"/>
              </w:rPr>
              <w:t>40</w:t>
            </w:r>
          </w:p>
        </w:tc>
        <w:tc>
          <w:tcPr>
            <w:tcW w:w="1407" w:type="dxa"/>
            <w:tcBorders>
              <w:right w:val="single" w:color="000000" w:sz="12" w:space="0"/>
            </w:tcBorders>
            <w:vAlign w:val="top"/>
          </w:tcPr>
          <w:p w14:paraId="391E70BF">
            <w:pPr>
              <w:spacing w:before="7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5B86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4AB3B113">
            <w:pPr>
              <w:rPr>
                <w:rFonts w:ascii="Arial"/>
                <w:sz w:val="21"/>
              </w:rPr>
            </w:pPr>
          </w:p>
        </w:tc>
        <w:tc>
          <w:tcPr>
            <w:tcW w:w="1270" w:type="dxa"/>
            <w:vMerge w:val="continue"/>
            <w:tcBorders>
              <w:top w:val="nil"/>
            </w:tcBorders>
            <w:vAlign w:val="top"/>
          </w:tcPr>
          <w:p w14:paraId="780F0157">
            <w:pPr>
              <w:rPr>
                <w:rFonts w:ascii="Arial"/>
                <w:sz w:val="21"/>
              </w:rPr>
            </w:pPr>
          </w:p>
        </w:tc>
        <w:tc>
          <w:tcPr>
            <w:tcW w:w="1414" w:type="dxa"/>
            <w:vAlign w:val="top"/>
          </w:tcPr>
          <w:p w14:paraId="72BDE8EF">
            <w:pPr>
              <w:pStyle w:val="6"/>
              <w:spacing w:before="74" w:line="233"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287C1542">
            <w:pPr>
              <w:pStyle w:val="6"/>
              <w:spacing w:before="108" w:line="232" w:lineRule="auto"/>
              <w:ind w:left="602"/>
            </w:pPr>
            <w:r>
              <w:rPr>
                <w:spacing w:val="-1"/>
              </w:rPr>
              <w:t>49</w:t>
            </w:r>
          </w:p>
        </w:tc>
        <w:tc>
          <w:tcPr>
            <w:tcW w:w="1414" w:type="dxa"/>
            <w:vAlign w:val="top"/>
          </w:tcPr>
          <w:p w14:paraId="76BBF358">
            <w:pPr>
              <w:pStyle w:val="6"/>
              <w:spacing w:before="108" w:line="232" w:lineRule="auto"/>
              <w:ind w:left="613"/>
            </w:pPr>
            <w:r>
              <w:rPr>
                <w:spacing w:val="-3"/>
              </w:rPr>
              <w:t>37</w:t>
            </w:r>
          </w:p>
        </w:tc>
        <w:tc>
          <w:tcPr>
            <w:tcW w:w="1407" w:type="dxa"/>
            <w:tcBorders>
              <w:right w:val="single" w:color="000000" w:sz="12" w:space="0"/>
            </w:tcBorders>
            <w:vAlign w:val="top"/>
          </w:tcPr>
          <w:p w14:paraId="3725F00C">
            <w:pPr>
              <w:spacing w:before="74"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F5CB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bottom w:val="nil"/>
            </w:tcBorders>
            <w:vAlign w:val="top"/>
          </w:tcPr>
          <w:p w14:paraId="4CC139F2">
            <w:pPr>
              <w:rPr>
                <w:rFonts w:ascii="Arial"/>
                <w:sz w:val="21"/>
              </w:rPr>
            </w:pPr>
          </w:p>
        </w:tc>
        <w:tc>
          <w:tcPr>
            <w:tcW w:w="1270" w:type="dxa"/>
            <w:vMerge w:val="restart"/>
            <w:tcBorders>
              <w:bottom w:val="nil"/>
            </w:tcBorders>
            <w:vAlign w:val="top"/>
          </w:tcPr>
          <w:p w14:paraId="6FA3BF61">
            <w:pPr>
              <w:pStyle w:val="6"/>
              <w:spacing w:before="260"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73F01C75">
            <w:pPr>
              <w:pStyle w:val="6"/>
              <w:spacing w:before="77" w:line="233"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2F069B0E">
            <w:pPr>
              <w:pStyle w:val="6"/>
              <w:spacing w:before="110" w:line="233" w:lineRule="auto"/>
              <w:ind w:left="602"/>
            </w:pPr>
            <w:r>
              <w:rPr>
                <w:spacing w:val="-1"/>
              </w:rPr>
              <w:t>42</w:t>
            </w:r>
          </w:p>
        </w:tc>
        <w:tc>
          <w:tcPr>
            <w:tcW w:w="1414" w:type="dxa"/>
            <w:vAlign w:val="top"/>
          </w:tcPr>
          <w:p w14:paraId="5E9C8ED4">
            <w:pPr>
              <w:pStyle w:val="6"/>
              <w:spacing w:before="110" w:line="233" w:lineRule="auto"/>
              <w:ind w:left="607"/>
            </w:pPr>
            <w:r>
              <w:rPr>
                <w:spacing w:val="-1"/>
              </w:rPr>
              <w:t>41</w:t>
            </w:r>
          </w:p>
        </w:tc>
        <w:tc>
          <w:tcPr>
            <w:tcW w:w="1407" w:type="dxa"/>
            <w:tcBorders>
              <w:right w:val="single" w:color="000000" w:sz="12" w:space="0"/>
            </w:tcBorders>
            <w:vAlign w:val="top"/>
          </w:tcPr>
          <w:p w14:paraId="61681DA8">
            <w:pPr>
              <w:spacing w:before="77"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24D64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bottom w:val="nil"/>
            </w:tcBorders>
            <w:vAlign w:val="top"/>
          </w:tcPr>
          <w:p w14:paraId="78E73E64">
            <w:pPr>
              <w:rPr>
                <w:rFonts w:ascii="Arial"/>
                <w:sz w:val="21"/>
              </w:rPr>
            </w:pPr>
          </w:p>
        </w:tc>
        <w:tc>
          <w:tcPr>
            <w:tcW w:w="1270" w:type="dxa"/>
            <w:vMerge w:val="continue"/>
            <w:tcBorders>
              <w:top w:val="nil"/>
            </w:tcBorders>
            <w:vAlign w:val="top"/>
          </w:tcPr>
          <w:p w14:paraId="3DE66C5D">
            <w:pPr>
              <w:rPr>
                <w:rFonts w:ascii="Arial"/>
                <w:sz w:val="21"/>
              </w:rPr>
            </w:pPr>
          </w:p>
        </w:tc>
        <w:tc>
          <w:tcPr>
            <w:tcW w:w="1414" w:type="dxa"/>
            <w:vAlign w:val="top"/>
          </w:tcPr>
          <w:p w14:paraId="1DF0EE64">
            <w:pPr>
              <w:pStyle w:val="6"/>
              <w:spacing w:before="79" w:line="233"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034AA38C">
            <w:pPr>
              <w:pStyle w:val="6"/>
              <w:spacing w:before="112" w:line="231" w:lineRule="auto"/>
              <w:ind w:left="602"/>
            </w:pPr>
            <w:r>
              <w:rPr>
                <w:spacing w:val="-1"/>
              </w:rPr>
              <w:t>48</w:t>
            </w:r>
          </w:p>
        </w:tc>
        <w:tc>
          <w:tcPr>
            <w:tcW w:w="1414" w:type="dxa"/>
            <w:vAlign w:val="top"/>
          </w:tcPr>
          <w:p w14:paraId="05A075C7">
            <w:pPr>
              <w:pStyle w:val="6"/>
              <w:spacing w:before="112" w:line="231" w:lineRule="auto"/>
              <w:ind w:left="613"/>
            </w:pPr>
            <w:r>
              <w:rPr>
                <w:spacing w:val="-3"/>
              </w:rPr>
              <w:t>39</w:t>
            </w:r>
          </w:p>
        </w:tc>
        <w:tc>
          <w:tcPr>
            <w:tcW w:w="1407" w:type="dxa"/>
            <w:tcBorders>
              <w:right w:val="single" w:color="000000" w:sz="12" w:space="0"/>
            </w:tcBorders>
            <w:vAlign w:val="top"/>
          </w:tcPr>
          <w:p w14:paraId="01CF693A">
            <w:pPr>
              <w:spacing w:before="79"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5677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1A10AD38">
            <w:pPr>
              <w:rPr>
                <w:rFonts w:ascii="Arial"/>
                <w:sz w:val="21"/>
              </w:rPr>
            </w:pPr>
          </w:p>
        </w:tc>
        <w:tc>
          <w:tcPr>
            <w:tcW w:w="1270" w:type="dxa"/>
            <w:vMerge w:val="restart"/>
            <w:tcBorders>
              <w:bottom w:val="nil"/>
            </w:tcBorders>
            <w:vAlign w:val="top"/>
          </w:tcPr>
          <w:p w14:paraId="08D8FB57">
            <w:pPr>
              <w:pStyle w:val="6"/>
              <w:spacing w:before="265" w:line="233" w:lineRule="auto"/>
              <w:ind w:left="285"/>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1414" w:type="dxa"/>
            <w:vAlign w:val="top"/>
          </w:tcPr>
          <w:p w14:paraId="29F598BB">
            <w:pPr>
              <w:pStyle w:val="6"/>
              <w:spacing w:before="81" w:line="233" w:lineRule="auto"/>
              <w:ind w:left="262"/>
              <w:rPr>
                <w:rFonts w:ascii="宋体" w:hAnsi="宋体" w:eastAsia="宋体" w:cs="宋体"/>
              </w:rPr>
            </w:pPr>
            <w:r>
              <w:rPr>
                <w:spacing w:val="-6"/>
              </w:rPr>
              <w:t>3</w:t>
            </w:r>
            <w:r>
              <w:rPr>
                <w:spacing w:val="17"/>
              </w:rPr>
              <w:t xml:space="preserve"> </w:t>
            </w:r>
            <w:r>
              <w:rPr>
                <w:rFonts w:ascii="宋体" w:hAnsi="宋体" w:eastAsia="宋体" w:cs="宋体"/>
                <w:spacing w:val="-6"/>
              </w:rPr>
              <w:t>月</w:t>
            </w:r>
            <w:r>
              <w:rPr>
                <w:rFonts w:ascii="宋体" w:hAnsi="宋体" w:eastAsia="宋体" w:cs="宋体"/>
                <w:spacing w:val="-49"/>
              </w:rPr>
              <w:t xml:space="preserve"> </w:t>
            </w:r>
            <w:r>
              <w:rPr>
                <w:spacing w:val="-6"/>
              </w:rPr>
              <w:t>22</w:t>
            </w:r>
            <w:r>
              <w:rPr>
                <w:spacing w:val="45"/>
                <w:w w:val="101"/>
              </w:rPr>
              <w:t xml:space="preserve"> </w:t>
            </w:r>
            <w:r>
              <w:rPr>
                <w:rFonts w:ascii="宋体" w:hAnsi="宋体" w:eastAsia="宋体" w:cs="宋体"/>
                <w:spacing w:val="-6"/>
              </w:rPr>
              <w:t>日</w:t>
            </w:r>
          </w:p>
        </w:tc>
        <w:tc>
          <w:tcPr>
            <w:tcW w:w="1414" w:type="dxa"/>
            <w:vAlign w:val="top"/>
          </w:tcPr>
          <w:p w14:paraId="3843AD9C">
            <w:pPr>
              <w:pStyle w:val="6"/>
              <w:spacing w:before="114" w:line="231" w:lineRule="auto"/>
              <w:ind w:left="602"/>
            </w:pPr>
            <w:r>
              <w:rPr>
                <w:spacing w:val="-2"/>
              </w:rPr>
              <w:t>42</w:t>
            </w:r>
          </w:p>
        </w:tc>
        <w:tc>
          <w:tcPr>
            <w:tcW w:w="1414" w:type="dxa"/>
            <w:vAlign w:val="top"/>
          </w:tcPr>
          <w:p w14:paraId="0301B640">
            <w:pPr>
              <w:pStyle w:val="6"/>
              <w:spacing w:before="114" w:line="231" w:lineRule="auto"/>
              <w:ind w:left="613"/>
            </w:pPr>
            <w:r>
              <w:rPr>
                <w:spacing w:val="-4"/>
              </w:rPr>
              <w:t>39</w:t>
            </w:r>
          </w:p>
        </w:tc>
        <w:tc>
          <w:tcPr>
            <w:tcW w:w="1407" w:type="dxa"/>
            <w:tcBorders>
              <w:right w:val="single" w:color="000000" w:sz="12" w:space="0"/>
            </w:tcBorders>
            <w:vAlign w:val="top"/>
          </w:tcPr>
          <w:p w14:paraId="79E6B64F">
            <w:pPr>
              <w:spacing w:before="81"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5CD64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tcBorders>
            <w:vAlign w:val="top"/>
          </w:tcPr>
          <w:p w14:paraId="46F6BC30">
            <w:pPr>
              <w:rPr>
                <w:rFonts w:ascii="Arial"/>
                <w:sz w:val="21"/>
              </w:rPr>
            </w:pPr>
          </w:p>
        </w:tc>
        <w:tc>
          <w:tcPr>
            <w:tcW w:w="1270" w:type="dxa"/>
            <w:vMerge w:val="continue"/>
            <w:tcBorders>
              <w:top w:val="nil"/>
            </w:tcBorders>
            <w:vAlign w:val="top"/>
          </w:tcPr>
          <w:p w14:paraId="424344FE">
            <w:pPr>
              <w:rPr>
                <w:rFonts w:ascii="Arial"/>
                <w:sz w:val="21"/>
              </w:rPr>
            </w:pPr>
          </w:p>
        </w:tc>
        <w:tc>
          <w:tcPr>
            <w:tcW w:w="1414" w:type="dxa"/>
            <w:vAlign w:val="top"/>
          </w:tcPr>
          <w:p w14:paraId="4F90B82A">
            <w:pPr>
              <w:pStyle w:val="6"/>
              <w:spacing w:before="82" w:line="231" w:lineRule="auto"/>
              <w:ind w:left="261"/>
              <w:rPr>
                <w:rFonts w:ascii="宋体" w:hAnsi="宋体" w:eastAsia="宋体" w:cs="宋体"/>
              </w:rPr>
            </w:pPr>
            <w:r>
              <w:rPr>
                <w:spacing w:val="-9"/>
              </w:rPr>
              <w:t>7</w:t>
            </w:r>
            <w:r>
              <w:rPr>
                <w:spacing w:val="14"/>
              </w:rPr>
              <w:t xml:space="preserve"> </w:t>
            </w:r>
            <w:r>
              <w:rPr>
                <w:rFonts w:ascii="宋体" w:hAnsi="宋体" w:eastAsia="宋体" w:cs="宋体"/>
                <w:spacing w:val="-9"/>
              </w:rPr>
              <w:t>月</w:t>
            </w:r>
            <w:r>
              <w:rPr>
                <w:rFonts w:ascii="宋体" w:hAnsi="宋体" w:eastAsia="宋体" w:cs="宋体"/>
                <w:spacing w:val="-29"/>
              </w:rPr>
              <w:t xml:space="preserve"> </w:t>
            </w:r>
            <w:r>
              <w:rPr>
                <w:spacing w:val="-9"/>
              </w:rPr>
              <w:t>19</w:t>
            </w:r>
            <w:r>
              <w:rPr>
                <w:spacing w:val="45"/>
              </w:rPr>
              <w:t xml:space="preserve"> </w:t>
            </w:r>
            <w:r>
              <w:rPr>
                <w:rFonts w:ascii="宋体" w:hAnsi="宋体" w:eastAsia="宋体" w:cs="宋体"/>
                <w:spacing w:val="-9"/>
              </w:rPr>
              <w:t>日</w:t>
            </w:r>
          </w:p>
        </w:tc>
        <w:tc>
          <w:tcPr>
            <w:tcW w:w="1414" w:type="dxa"/>
            <w:vAlign w:val="top"/>
          </w:tcPr>
          <w:p w14:paraId="6FB35A40">
            <w:pPr>
              <w:pStyle w:val="6"/>
              <w:spacing w:before="116" w:line="227" w:lineRule="auto"/>
              <w:ind w:left="602"/>
            </w:pPr>
            <w:r>
              <w:rPr>
                <w:spacing w:val="-2"/>
              </w:rPr>
              <w:t>42</w:t>
            </w:r>
          </w:p>
        </w:tc>
        <w:tc>
          <w:tcPr>
            <w:tcW w:w="1414" w:type="dxa"/>
            <w:vAlign w:val="top"/>
          </w:tcPr>
          <w:p w14:paraId="5040A869">
            <w:pPr>
              <w:pStyle w:val="6"/>
              <w:spacing w:before="116" w:line="227" w:lineRule="auto"/>
              <w:ind w:left="535"/>
            </w:pPr>
            <w:r>
              <w:rPr>
                <w:spacing w:val="-3"/>
              </w:rPr>
              <w:t>39.7</w:t>
            </w:r>
          </w:p>
        </w:tc>
        <w:tc>
          <w:tcPr>
            <w:tcW w:w="1407" w:type="dxa"/>
            <w:tcBorders>
              <w:right w:val="single" w:color="000000" w:sz="12" w:space="0"/>
            </w:tcBorders>
            <w:vAlign w:val="top"/>
          </w:tcPr>
          <w:p w14:paraId="08026B53">
            <w:pPr>
              <w:spacing w:before="82"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3FBCC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restart"/>
            <w:tcBorders>
              <w:left w:val="single" w:color="000000" w:sz="12" w:space="0"/>
              <w:bottom w:val="nil"/>
            </w:tcBorders>
            <w:vAlign w:val="top"/>
          </w:tcPr>
          <w:p w14:paraId="2E7902B0">
            <w:pPr>
              <w:spacing w:line="309" w:lineRule="auto"/>
              <w:rPr>
                <w:rFonts w:ascii="Arial"/>
                <w:sz w:val="21"/>
              </w:rPr>
            </w:pPr>
          </w:p>
          <w:p w14:paraId="70175E20">
            <w:pPr>
              <w:spacing w:line="310" w:lineRule="auto"/>
              <w:rPr>
                <w:rFonts w:ascii="Arial"/>
                <w:sz w:val="21"/>
              </w:rPr>
            </w:pPr>
          </w:p>
          <w:p w14:paraId="6A5B77E9">
            <w:pPr>
              <w:spacing w:line="310" w:lineRule="auto"/>
              <w:rPr>
                <w:rFonts w:ascii="Arial"/>
                <w:sz w:val="21"/>
              </w:rPr>
            </w:pPr>
          </w:p>
          <w:p w14:paraId="5DA8378F">
            <w:pPr>
              <w:spacing w:before="69" w:line="219" w:lineRule="auto"/>
              <w:ind w:left="141"/>
              <w:rPr>
                <w:rFonts w:ascii="宋体" w:hAnsi="宋体" w:eastAsia="宋体" w:cs="宋体"/>
                <w:sz w:val="21"/>
                <w:szCs w:val="21"/>
              </w:rPr>
            </w:pPr>
            <w:r>
              <w:rPr>
                <w:rFonts w:ascii="宋体" w:hAnsi="宋体" w:eastAsia="宋体" w:cs="宋体"/>
                <w:spacing w:val="-3"/>
                <w:sz w:val="21"/>
                <w:szCs w:val="21"/>
              </w:rPr>
              <w:t>马龙县让田村</w:t>
            </w:r>
          </w:p>
        </w:tc>
        <w:tc>
          <w:tcPr>
            <w:tcW w:w="1270" w:type="dxa"/>
            <w:vMerge w:val="restart"/>
            <w:tcBorders>
              <w:bottom w:val="nil"/>
            </w:tcBorders>
            <w:vAlign w:val="top"/>
          </w:tcPr>
          <w:p w14:paraId="180C347B">
            <w:pPr>
              <w:pStyle w:val="6"/>
              <w:spacing w:before="268" w:line="233" w:lineRule="auto"/>
              <w:ind w:left="285"/>
              <w:rPr>
                <w:rFonts w:ascii="宋体" w:hAnsi="宋体" w:eastAsia="宋体" w:cs="宋体"/>
              </w:rPr>
            </w:pPr>
            <w:r>
              <w:rPr>
                <w:spacing w:val="-1"/>
              </w:rPr>
              <w:t>2019</w:t>
            </w:r>
            <w:r>
              <w:rPr>
                <w:spacing w:val="10"/>
              </w:rPr>
              <w:t xml:space="preserve"> </w:t>
            </w:r>
            <w:r>
              <w:rPr>
                <w:rFonts w:ascii="宋体" w:hAnsi="宋体" w:eastAsia="宋体" w:cs="宋体"/>
                <w:spacing w:val="-1"/>
              </w:rPr>
              <w:t>年</w:t>
            </w:r>
          </w:p>
        </w:tc>
        <w:tc>
          <w:tcPr>
            <w:tcW w:w="1414" w:type="dxa"/>
            <w:vAlign w:val="top"/>
          </w:tcPr>
          <w:p w14:paraId="68490A05">
            <w:pPr>
              <w:pStyle w:val="6"/>
              <w:spacing w:before="84" w:line="229" w:lineRule="auto"/>
              <w:ind w:left="278"/>
              <w:rPr>
                <w:rFonts w:ascii="宋体" w:hAnsi="宋体" w:eastAsia="宋体" w:cs="宋体"/>
              </w:rPr>
            </w:pPr>
            <w:r>
              <w:rPr>
                <w:spacing w:val="-10"/>
              </w:rPr>
              <w:t>1</w:t>
            </w:r>
            <w:r>
              <w:rPr>
                <w:spacing w:val="14"/>
              </w:rPr>
              <w:t xml:space="preserve"> </w:t>
            </w:r>
            <w:r>
              <w:rPr>
                <w:rFonts w:ascii="宋体" w:hAnsi="宋体" w:eastAsia="宋体" w:cs="宋体"/>
                <w:spacing w:val="-10"/>
              </w:rPr>
              <w:t>月</w:t>
            </w:r>
            <w:r>
              <w:rPr>
                <w:rFonts w:ascii="宋体" w:hAnsi="宋体" w:eastAsia="宋体" w:cs="宋体"/>
                <w:spacing w:val="-29"/>
              </w:rPr>
              <w:t xml:space="preserve"> </w:t>
            </w:r>
            <w:r>
              <w:rPr>
                <w:spacing w:val="-10"/>
              </w:rPr>
              <w:t xml:space="preserve">12  </w:t>
            </w:r>
            <w:r>
              <w:rPr>
                <w:rFonts w:ascii="宋体" w:hAnsi="宋体" w:eastAsia="宋体" w:cs="宋体"/>
                <w:spacing w:val="-10"/>
              </w:rPr>
              <w:t>日</w:t>
            </w:r>
          </w:p>
        </w:tc>
        <w:tc>
          <w:tcPr>
            <w:tcW w:w="1414" w:type="dxa"/>
            <w:vAlign w:val="top"/>
          </w:tcPr>
          <w:p w14:paraId="43017F7A">
            <w:pPr>
              <w:pStyle w:val="6"/>
              <w:spacing w:before="118" w:line="225" w:lineRule="auto"/>
              <w:ind w:left="602"/>
            </w:pPr>
            <w:r>
              <w:rPr>
                <w:spacing w:val="-1"/>
              </w:rPr>
              <w:t>49</w:t>
            </w:r>
          </w:p>
        </w:tc>
        <w:tc>
          <w:tcPr>
            <w:tcW w:w="1414" w:type="dxa"/>
            <w:vAlign w:val="top"/>
          </w:tcPr>
          <w:p w14:paraId="0669AFD6">
            <w:pPr>
              <w:pStyle w:val="6"/>
              <w:spacing w:before="118" w:line="225" w:lineRule="auto"/>
              <w:ind w:left="607"/>
            </w:pPr>
            <w:r>
              <w:rPr>
                <w:spacing w:val="-1"/>
              </w:rPr>
              <w:t>41</w:t>
            </w:r>
          </w:p>
        </w:tc>
        <w:tc>
          <w:tcPr>
            <w:tcW w:w="1407" w:type="dxa"/>
            <w:tcBorders>
              <w:right w:val="single" w:color="000000" w:sz="12" w:space="0"/>
            </w:tcBorders>
            <w:vAlign w:val="top"/>
          </w:tcPr>
          <w:p w14:paraId="2230D23A">
            <w:pPr>
              <w:spacing w:before="85"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79F17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1554" w:type="dxa"/>
            <w:vMerge w:val="continue"/>
            <w:tcBorders>
              <w:top w:val="nil"/>
              <w:left w:val="single" w:color="000000" w:sz="12" w:space="0"/>
              <w:bottom w:val="nil"/>
            </w:tcBorders>
            <w:vAlign w:val="top"/>
          </w:tcPr>
          <w:p w14:paraId="61FD93C2">
            <w:pPr>
              <w:rPr>
                <w:rFonts w:ascii="Arial"/>
                <w:sz w:val="21"/>
              </w:rPr>
            </w:pPr>
          </w:p>
        </w:tc>
        <w:tc>
          <w:tcPr>
            <w:tcW w:w="1270" w:type="dxa"/>
            <w:vMerge w:val="continue"/>
            <w:tcBorders>
              <w:top w:val="nil"/>
            </w:tcBorders>
            <w:vAlign w:val="top"/>
          </w:tcPr>
          <w:p w14:paraId="43510F2D">
            <w:pPr>
              <w:rPr>
                <w:rFonts w:ascii="Arial"/>
                <w:sz w:val="21"/>
              </w:rPr>
            </w:pPr>
          </w:p>
        </w:tc>
        <w:tc>
          <w:tcPr>
            <w:tcW w:w="1414" w:type="dxa"/>
            <w:vAlign w:val="top"/>
          </w:tcPr>
          <w:p w14:paraId="585A0814">
            <w:pPr>
              <w:pStyle w:val="6"/>
              <w:spacing w:before="86" w:line="229" w:lineRule="auto"/>
              <w:ind w:left="319"/>
              <w:rPr>
                <w:rFonts w:ascii="宋体" w:hAnsi="宋体" w:eastAsia="宋体" w:cs="宋体"/>
              </w:rPr>
            </w:pPr>
            <w:r>
              <w:rPr>
                <w:spacing w:val="-9"/>
              </w:rPr>
              <w:t>8</w:t>
            </w:r>
            <w:r>
              <w:rPr>
                <w:spacing w:val="15"/>
              </w:rPr>
              <w:t xml:space="preserve"> </w:t>
            </w:r>
            <w:r>
              <w:rPr>
                <w:rFonts w:ascii="宋体" w:hAnsi="宋体" w:eastAsia="宋体" w:cs="宋体"/>
                <w:spacing w:val="-9"/>
              </w:rPr>
              <w:t>月</w:t>
            </w:r>
            <w:r>
              <w:rPr>
                <w:rFonts w:ascii="宋体" w:hAnsi="宋体" w:eastAsia="宋体" w:cs="宋体"/>
                <w:spacing w:val="-46"/>
              </w:rPr>
              <w:t xml:space="preserve"> </w:t>
            </w:r>
            <w:r>
              <w:rPr>
                <w:spacing w:val="-9"/>
              </w:rPr>
              <w:t>7</w:t>
            </w:r>
            <w:r>
              <w:rPr>
                <w:spacing w:val="45"/>
                <w:w w:val="101"/>
              </w:rPr>
              <w:t xml:space="preserve"> </w:t>
            </w:r>
            <w:r>
              <w:rPr>
                <w:rFonts w:ascii="宋体" w:hAnsi="宋体" w:eastAsia="宋体" w:cs="宋体"/>
                <w:spacing w:val="-9"/>
              </w:rPr>
              <w:t>日</w:t>
            </w:r>
          </w:p>
        </w:tc>
        <w:tc>
          <w:tcPr>
            <w:tcW w:w="1414" w:type="dxa"/>
            <w:vAlign w:val="top"/>
          </w:tcPr>
          <w:p w14:paraId="612D7677">
            <w:pPr>
              <w:pStyle w:val="6"/>
              <w:spacing w:before="120" w:line="225" w:lineRule="auto"/>
              <w:ind w:left="602"/>
            </w:pPr>
            <w:r>
              <w:rPr>
                <w:spacing w:val="-1"/>
              </w:rPr>
              <w:t>43</w:t>
            </w:r>
          </w:p>
        </w:tc>
        <w:tc>
          <w:tcPr>
            <w:tcW w:w="1414" w:type="dxa"/>
            <w:vAlign w:val="top"/>
          </w:tcPr>
          <w:p w14:paraId="5850DF37">
            <w:pPr>
              <w:pStyle w:val="6"/>
              <w:spacing w:before="120" w:line="225" w:lineRule="auto"/>
              <w:ind w:left="613"/>
            </w:pPr>
            <w:r>
              <w:rPr>
                <w:spacing w:val="-3"/>
              </w:rPr>
              <w:t>36</w:t>
            </w:r>
          </w:p>
        </w:tc>
        <w:tc>
          <w:tcPr>
            <w:tcW w:w="1407" w:type="dxa"/>
            <w:tcBorders>
              <w:right w:val="single" w:color="000000" w:sz="12" w:space="0"/>
            </w:tcBorders>
            <w:vAlign w:val="top"/>
          </w:tcPr>
          <w:p w14:paraId="45DCC75A">
            <w:pPr>
              <w:spacing w:before="87"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4802B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bottom w:val="nil"/>
            </w:tcBorders>
            <w:vAlign w:val="top"/>
          </w:tcPr>
          <w:p w14:paraId="3C397B3C">
            <w:pPr>
              <w:rPr>
                <w:rFonts w:ascii="Arial"/>
                <w:sz w:val="21"/>
              </w:rPr>
            </w:pPr>
          </w:p>
        </w:tc>
        <w:tc>
          <w:tcPr>
            <w:tcW w:w="1270" w:type="dxa"/>
            <w:vMerge w:val="restart"/>
            <w:tcBorders>
              <w:bottom w:val="nil"/>
            </w:tcBorders>
            <w:vAlign w:val="top"/>
          </w:tcPr>
          <w:p w14:paraId="69F5545E">
            <w:pPr>
              <w:pStyle w:val="6"/>
              <w:spacing w:before="272" w:line="233" w:lineRule="auto"/>
              <w:ind w:left="285"/>
              <w:rPr>
                <w:rFonts w:ascii="宋体" w:hAnsi="宋体" w:eastAsia="宋体" w:cs="宋体"/>
              </w:rPr>
            </w:pPr>
            <w:r>
              <w:rPr>
                <w:spacing w:val="-1"/>
              </w:rPr>
              <w:t>2020</w:t>
            </w:r>
            <w:r>
              <w:rPr>
                <w:spacing w:val="10"/>
              </w:rPr>
              <w:t xml:space="preserve"> </w:t>
            </w:r>
            <w:r>
              <w:rPr>
                <w:rFonts w:ascii="宋体" w:hAnsi="宋体" w:eastAsia="宋体" w:cs="宋体"/>
                <w:spacing w:val="-1"/>
              </w:rPr>
              <w:t>年</w:t>
            </w:r>
          </w:p>
        </w:tc>
        <w:tc>
          <w:tcPr>
            <w:tcW w:w="1414" w:type="dxa"/>
            <w:vAlign w:val="top"/>
          </w:tcPr>
          <w:p w14:paraId="69A50715">
            <w:pPr>
              <w:pStyle w:val="6"/>
              <w:spacing w:before="87" w:line="226" w:lineRule="auto"/>
              <w:ind w:left="315"/>
              <w:rPr>
                <w:rFonts w:ascii="宋体" w:hAnsi="宋体" w:eastAsia="宋体" w:cs="宋体"/>
              </w:rPr>
            </w:pPr>
            <w:r>
              <w:rPr>
                <w:spacing w:val="-8"/>
              </w:rPr>
              <w:t>3</w:t>
            </w:r>
            <w:r>
              <w:rPr>
                <w:spacing w:val="14"/>
              </w:rPr>
              <w:t xml:space="preserve"> </w:t>
            </w:r>
            <w:r>
              <w:rPr>
                <w:rFonts w:ascii="宋体" w:hAnsi="宋体" w:eastAsia="宋体" w:cs="宋体"/>
                <w:spacing w:val="-8"/>
              </w:rPr>
              <w:t>月</w:t>
            </w:r>
            <w:r>
              <w:rPr>
                <w:rFonts w:ascii="宋体" w:hAnsi="宋体" w:eastAsia="宋体" w:cs="宋体"/>
                <w:spacing w:val="-45"/>
              </w:rPr>
              <w:t xml:space="preserve"> </w:t>
            </w:r>
            <w:r>
              <w:rPr>
                <w:spacing w:val="-8"/>
              </w:rPr>
              <w:t>6</w:t>
            </w:r>
            <w:r>
              <w:rPr>
                <w:spacing w:val="46"/>
              </w:rPr>
              <w:t xml:space="preserve"> </w:t>
            </w:r>
            <w:r>
              <w:rPr>
                <w:rFonts w:ascii="宋体" w:hAnsi="宋体" w:eastAsia="宋体" w:cs="宋体"/>
                <w:spacing w:val="-8"/>
              </w:rPr>
              <w:t>日</w:t>
            </w:r>
          </w:p>
        </w:tc>
        <w:tc>
          <w:tcPr>
            <w:tcW w:w="1414" w:type="dxa"/>
            <w:vAlign w:val="top"/>
          </w:tcPr>
          <w:p w14:paraId="065B53FC">
            <w:pPr>
              <w:pStyle w:val="6"/>
              <w:spacing w:before="120" w:line="223" w:lineRule="auto"/>
              <w:ind w:left="608"/>
            </w:pPr>
            <w:r>
              <w:rPr>
                <w:spacing w:val="-5"/>
              </w:rPr>
              <w:t>52</w:t>
            </w:r>
          </w:p>
        </w:tc>
        <w:tc>
          <w:tcPr>
            <w:tcW w:w="1414" w:type="dxa"/>
            <w:vAlign w:val="top"/>
          </w:tcPr>
          <w:p w14:paraId="740365BF">
            <w:pPr>
              <w:pStyle w:val="6"/>
              <w:spacing w:before="120" w:line="223" w:lineRule="auto"/>
              <w:ind w:left="607"/>
            </w:pPr>
            <w:r>
              <w:rPr>
                <w:spacing w:val="-2"/>
              </w:rPr>
              <w:t>40</w:t>
            </w:r>
          </w:p>
        </w:tc>
        <w:tc>
          <w:tcPr>
            <w:tcW w:w="1407" w:type="dxa"/>
            <w:tcBorders>
              <w:right w:val="single" w:color="000000" w:sz="12" w:space="0"/>
            </w:tcBorders>
            <w:vAlign w:val="top"/>
          </w:tcPr>
          <w:p w14:paraId="4767153F">
            <w:pPr>
              <w:spacing w:before="88"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B7E3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bottom w:val="nil"/>
            </w:tcBorders>
            <w:vAlign w:val="top"/>
          </w:tcPr>
          <w:p w14:paraId="11DD16EB">
            <w:pPr>
              <w:rPr>
                <w:rFonts w:ascii="Arial"/>
                <w:sz w:val="21"/>
              </w:rPr>
            </w:pPr>
          </w:p>
        </w:tc>
        <w:tc>
          <w:tcPr>
            <w:tcW w:w="1270" w:type="dxa"/>
            <w:vMerge w:val="continue"/>
            <w:tcBorders>
              <w:top w:val="nil"/>
            </w:tcBorders>
            <w:vAlign w:val="top"/>
          </w:tcPr>
          <w:p w14:paraId="5094068B">
            <w:pPr>
              <w:rPr>
                <w:rFonts w:ascii="Arial"/>
                <w:sz w:val="21"/>
              </w:rPr>
            </w:pPr>
          </w:p>
        </w:tc>
        <w:tc>
          <w:tcPr>
            <w:tcW w:w="1414" w:type="dxa"/>
            <w:vAlign w:val="top"/>
          </w:tcPr>
          <w:p w14:paraId="7513D836">
            <w:pPr>
              <w:pStyle w:val="6"/>
              <w:spacing w:before="90" w:line="224" w:lineRule="auto"/>
              <w:ind w:left="266"/>
              <w:rPr>
                <w:rFonts w:ascii="宋体" w:hAnsi="宋体" w:eastAsia="宋体" w:cs="宋体"/>
              </w:rPr>
            </w:pPr>
            <w:r>
              <w:rPr>
                <w:spacing w:val="-6"/>
              </w:rPr>
              <w:t>8</w:t>
            </w:r>
            <w:r>
              <w:rPr>
                <w:spacing w:val="14"/>
              </w:rPr>
              <w:t xml:space="preserve"> </w:t>
            </w:r>
            <w:r>
              <w:rPr>
                <w:rFonts w:ascii="宋体" w:hAnsi="宋体" w:eastAsia="宋体" w:cs="宋体"/>
                <w:spacing w:val="-6"/>
              </w:rPr>
              <w:t>月</w:t>
            </w:r>
            <w:r>
              <w:rPr>
                <w:rFonts w:ascii="宋体" w:hAnsi="宋体" w:eastAsia="宋体" w:cs="宋体"/>
                <w:spacing w:val="-49"/>
              </w:rPr>
              <w:t xml:space="preserve"> </w:t>
            </w:r>
            <w:r>
              <w:rPr>
                <w:spacing w:val="-6"/>
              </w:rPr>
              <w:t>20</w:t>
            </w:r>
            <w:r>
              <w:rPr>
                <w:spacing w:val="45"/>
              </w:rPr>
              <w:t xml:space="preserve"> </w:t>
            </w:r>
            <w:r>
              <w:rPr>
                <w:rFonts w:ascii="宋体" w:hAnsi="宋体" w:eastAsia="宋体" w:cs="宋体"/>
                <w:spacing w:val="-6"/>
              </w:rPr>
              <w:t>日</w:t>
            </w:r>
          </w:p>
        </w:tc>
        <w:tc>
          <w:tcPr>
            <w:tcW w:w="1414" w:type="dxa"/>
            <w:vAlign w:val="top"/>
          </w:tcPr>
          <w:p w14:paraId="29100E6B">
            <w:pPr>
              <w:pStyle w:val="6"/>
              <w:spacing w:before="124" w:line="219" w:lineRule="auto"/>
              <w:ind w:left="602"/>
            </w:pPr>
            <w:r>
              <w:rPr>
                <w:spacing w:val="-2"/>
              </w:rPr>
              <w:t>45</w:t>
            </w:r>
          </w:p>
        </w:tc>
        <w:tc>
          <w:tcPr>
            <w:tcW w:w="1414" w:type="dxa"/>
            <w:vAlign w:val="top"/>
          </w:tcPr>
          <w:p w14:paraId="7963903E">
            <w:pPr>
              <w:pStyle w:val="6"/>
              <w:spacing w:before="124" w:line="219" w:lineRule="auto"/>
              <w:ind w:left="607"/>
            </w:pPr>
            <w:r>
              <w:rPr>
                <w:spacing w:val="-2"/>
              </w:rPr>
              <w:t>41</w:t>
            </w:r>
          </w:p>
        </w:tc>
        <w:tc>
          <w:tcPr>
            <w:tcW w:w="1407" w:type="dxa"/>
            <w:tcBorders>
              <w:right w:val="single" w:color="000000" w:sz="12" w:space="0"/>
            </w:tcBorders>
            <w:vAlign w:val="top"/>
          </w:tcPr>
          <w:p w14:paraId="33877C6B">
            <w:pPr>
              <w:spacing w:before="90"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00156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554" w:type="dxa"/>
            <w:vMerge w:val="continue"/>
            <w:tcBorders>
              <w:top w:val="nil"/>
              <w:left w:val="single" w:color="000000" w:sz="12" w:space="0"/>
              <w:bottom w:val="nil"/>
            </w:tcBorders>
            <w:vAlign w:val="top"/>
          </w:tcPr>
          <w:p w14:paraId="4B31945F">
            <w:pPr>
              <w:rPr>
                <w:rFonts w:ascii="Arial"/>
                <w:sz w:val="21"/>
              </w:rPr>
            </w:pPr>
          </w:p>
        </w:tc>
        <w:tc>
          <w:tcPr>
            <w:tcW w:w="1270" w:type="dxa"/>
            <w:vMerge w:val="restart"/>
            <w:tcBorders>
              <w:bottom w:val="nil"/>
            </w:tcBorders>
            <w:vAlign w:val="top"/>
          </w:tcPr>
          <w:p w14:paraId="68FD964B">
            <w:pPr>
              <w:pStyle w:val="6"/>
              <w:spacing w:before="276" w:line="233" w:lineRule="auto"/>
              <w:ind w:left="285"/>
              <w:rPr>
                <w:rFonts w:ascii="宋体" w:hAnsi="宋体" w:eastAsia="宋体" w:cs="宋体"/>
              </w:rPr>
            </w:pPr>
            <w:r>
              <w:rPr>
                <w:spacing w:val="-1"/>
              </w:rPr>
              <w:t>2021</w:t>
            </w:r>
            <w:r>
              <w:rPr>
                <w:spacing w:val="10"/>
              </w:rPr>
              <w:t xml:space="preserve"> </w:t>
            </w:r>
            <w:r>
              <w:rPr>
                <w:rFonts w:ascii="宋体" w:hAnsi="宋体" w:eastAsia="宋体" w:cs="宋体"/>
                <w:spacing w:val="-1"/>
              </w:rPr>
              <w:t>年</w:t>
            </w:r>
          </w:p>
        </w:tc>
        <w:tc>
          <w:tcPr>
            <w:tcW w:w="1414" w:type="dxa"/>
            <w:vAlign w:val="top"/>
          </w:tcPr>
          <w:p w14:paraId="521F5E86">
            <w:pPr>
              <w:pStyle w:val="6"/>
              <w:spacing w:before="92" w:line="223" w:lineRule="auto"/>
              <w:ind w:left="262"/>
              <w:rPr>
                <w:rFonts w:ascii="宋体" w:hAnsi="宋体" w:eastAsia="宋体" w:cs="宋体"/>
              </w:rPr>
            </w:pPr>
            <w:r>
              <w:rPr>
                <w:spacing w:val="-6"/>
              </w:rPr>
              <w:t>3</w:t>
            </w:r>
            <w:r>
              <w:rPr>
                <w:spacing w:val="17"/>
              </w:rPr>
              <w:t xml:space="preserve"> </w:t>
            </w:r>
            <w:r>
              <w:rPr>
                <w:rFonts w:ascii="宋体" w:hAnsi="宋体" w:eastAsia="宋体" w:cs="宋体"/>
                <w:spacing w:val="-6"/>
              </w:rPr>
              <w:t>月</w:t>
            </w:r>
            <w:r>
              <w:rPr>
                <w:rFonts w:ascii="宋体" w:hAnsi="宋体" w:eastAsia="宋体" w:cs="宋体"/>
                <w:spacing w:val="-49"/>
              </w:rPr>
              <w:t xml:space="preserve"> </w:t>
            </w:r>
            <w:r>
              <w:rPr>
                <w:spacing w:val="-6"/>
              </w:rPr>
              <w:t>22</w:t>
            </w:r>
            <w:r>
              <w:rPr>
                <w:spacing w:val="45"/>
                <w:w w:val="101"/>
              </w:rPr>
              <w:t xml:space="preserve"> </w:t>
            </w:r>
            <w:r>
              <w:rPr>
                <w:rFonts w:ascii="宋体" w:hAnsi="宋体" w:eastAsia="宋体" w:cs="宋体"/>
                <w:spacing w:val="-6"/>
              </w:rPr>
              <w:t>日</w:t>
            </w:r>
          </w:p>
        </w:tc>
        <w:tc>
          <w:tcPr>
            <w:tcW w:w="1414" w:type="dxa"/>
            <w:vAlign w:val="top"/>
          </w:tcPr>
          <w:p w14:paraId="3F1BAC49">
            <w:pPr>
              <w:pStyle w:val="6"/>
              <w:spacing w:before="126" w:line="218" w:lineRule="auto"/>
              <w:ind w:left="602"/>
            </w:pPr>
            <w:r>
              <w:rPr>
                <w:spacing w:val="-2"/>
              </w:rPr>
              <w:t>44</w:t>
            </w:r>
          </w:p>
        </w:tc>
        <w:tc>
          <w:tcPr>
            <w:tcW w:w="1414" w:type="dxa"/>
            <w:vAlign w:val="top"/>
          </w:tcPr>
          <w:p w14:paraId="2970E995">
            <w:pPr>
              <w:pStyle w:val="6"/>
              <w:spacing w:before="126" w:line="218" w:lineRule="auto"/>
              <w:ind w:left="613"/>
            </w:pPr>
            <w:r>
              <w:rPr>
                <w:spacing w:val="-4"/>
              </w:rPr>
              <w:t>38</w:t>
            </w:r>
          </w:p>
        </w:tc>
        <w:tc>
          <w:tcPr>
            <w:tcW w:w="1407" w:type="dxa"/>
            <w:tcBorders>
              <w:right w:val="single" w:color="000000" w:sz="12" w:space="0"/>
            </w:tcBorders>
            <w:vAlign w:val="top"/>
          </w:tcPr>
          <w:p w14:paraId="5B143964">
            <w:pPr>
              <w:spacing w:before="93"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3EFCF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554" w:type="dxa"/>
            <w:vMerge w:val="continue"/>
            <w:tcBorders>
              <w:top w:val="nil"/>
              <w:left w:val="single" w:color="000000" w:sz="12" w:space="0"/>
            </w:tcBorders>
            <w:vAlign w:val="top"/>
          </w:tcPr>
          <w:p w14:paraId="6B3D3483">
            <w:pPr>
              <w:rPr>
                <w:rFonts w:ascii="Arial"/>
                <w:sz w:val="21"/>
              </w:rPr>
            </w:pPr>
          </w:p>
        </w:tc>
        <w:tc>
          <w:tcPr>
            <w:tcW w:w="1270" w:type="dxa"/>
            <w:vMerge w:val="continue"/>
            <w:tcBorders>
              <w:top w:val="nil"/>
            </w:tcBorders>
            <w:vAlign w:val="top"/>
          </w:tcPr>
          <w:p w14:paraId="57A0DE6F">
            <w:pPr>
              <w:rPr>
                <w:rFonts w:ascii="Arial"/>
                <w:sz w:val="21"/>
              </w:rPr>
            </w:pPr>
          </w:p>
        </w:tc>
        <w:tc>
          <w:tcPr>
            <w:tcW w:w="1414" w:type="dxa"/>
            <w:vAlign w:val="top"/>
          </w:tcPr>
          <w:p w14:paraId="376E69B2">
            <w:pPr>
              <w:pStyle w:val="6"/>
              <w:spacing w:before="93" w:line="221" w:lineRule="auto"/>
              <w:ind w:left="261"/>
              <w:rPr>
                <w:rFonts w:ascii="宋体" w:hAnsi="宋体" w:eastAsia="宋体" w:cs="宋体"/>
              </w:rPr>
            </w:pPr>
            <w:r>
              <w:rPr>
                <w:spacing w:val="-9"/>
              </w:rPr>
              <w:t>7</w:t>
            </w:r>
            <w:r>
              <w:rPr>
                <w:spacing w:val="14"/>
              </w:rPr>
              <w:t xml:space="preserve"> </w:t>
            </w:r>
            <w:r>
              <w:rPr>
                <w:rFonts w:ascii="宋体" w:hAnsi="宋体" w:eastAsia="宋体" w:cs="宋体"/>
                <w:spacing w:val="-9"/>
              </w:rPr>
              <w:t>月</w:t>
            </w:r>
            <w:r>
              <w:rPr>
                <w:rFonts w:ascii="宋体" w:hAnsi="宋体" w:eastAsia="宋体" w:cs="宋体"/>
                <w:spacing w:val="-29"/>
              </w:rPr>
              <w:t xml:space="preserve"> </w:t>
            </w:r>
            <w:r>
              <w:rPr>
                <w:spacing w:val="-9"/>
              </w:rPr>
              <w:t>19</w:t>
            </w:r>
            <w:r>
              <w:rPr>
                <w:spacing w:val="45"/>
              </w:rPr>
              <w:t xml:space="preserve"> </w:t>
            </w:r>
            <w:r>
              <w:rPr>
                <w:rFonts w:ascii="宋体" w:hAnsi="宋体" w:eastAsia="宋体" w:cs="宋体"/>
                <w:spacing w:val="-9"/>
              </w:rPr>
              <w:t>日</w:t>
            </w:r>
          </w:p>
        </w:tc>
        <w:tc>
          <w:tcPr>
            <w:tcW w:w="1414" w:type="dxa"/>
            <w:vAlign w:val="top"/>
          </w:tcPr>
          <w:p w14:paraId="79E6F174">
            <w:pPr>
              <w:pStyle w:val="6"/>
              <w:spacing w:before="127" w:line="216" w:lineRule="auto"/>
              <w:ind w:left="524"/>
            </w:pPr>
            <w:r>
              <w:rPr>
                <w:spacing w:val="-1"/>
              </w:rPr>
              <w:t>44.5</w:t>
            </w:r>
          </w:p>
        </w:tc>
        <w:tc>
          <w:tcPr>
            <w:tcW w:w="1414" w:type="dxa"/>
            <w:vAlign w:val="top"/>
          </w:tcPr>
          <w:p w14:paraId="6263F644">
            <w:pPr>
              <w:pStyle w:val="6"/>
              <w:spacing w:before="127" w:line="216" w:lineRule="auto"/>
              <w:ind w:left="535"/>
            </w:pPr>
            <w:r>
              <w:rPr>
                <w:spacing w:val="-3"/>
              </w:rPr>
              <w:t>38.3</w:t>
            </w:r>
          </w:p>
        </w:tc>
        <w:tc>
          <w:tcPr>
            <w:tcW w:w="1407" w:type="dxa"/>
            <w:tcBorders>
              <w:right w:val="single" w:color="000000" w:sz="12" w:space="0"/>
            </w:tcBorders>
            <w:vAlign w:val="top"/>
          </w:tcPr>
          <w:p w14:paraId="77297F57">
            <w:pPr>
              <w:spacing w:before="94" w:line="220" w:lineRule="auto"/>
              <w:ind w:left="501"/>
              <w:rPr>
                <w:rFonts w:ascii="宋体" w:hAnsi="宋体" w:eastAsia="宋体" w:cs="宋体"/>
                <w:sz w:val="21"/>
                <w:szCs w:val="21"/>
              </w:rPr>
            </w:pPr>
            <w:r>
              <w:rPr>
                <w:rFonts w:ascii="宋体" w:hAnsi="宋体" w:eastAsia="宋体" w:cs="宋体"/>
                <w:spacing w:val="-2"/>
                <w:sz w:val="21"/>
                <w:szCs w:val="21"/>
              </w:rPr>
              <w:t>达标</w:t>
            </w:r>
          </w:p>
        </w:tc>
      </w:tr>
      <w:tr w14:paraId="6898B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4238" w:type="dxa"/>
            <w:gridSpan w:val="3"/>
            <w:tcBorders>
              <w:left w:val="single" w:color="000000" w:sz="12" w:space="0"/>
              <w:bottom w:val="single" w:color="000000" w:sz="12" w:space="0"/>
            </w:tcBorders>
            <w:shd w:val="clear" w:color="auto" w:fill="DBE5F1"/>
            <w:vAlign w:val="top"/>
          </w:tcPr>
          <w:p w14:paraId="7EE9E881">
            <w:pPr>
              <w:pStyle w:val="6"/>
              <w:spacing w:before="97" w:line="233" w:lineRule="auto"/>
              <w:ind w:left="1090"/>
              <w:rPr>
                <w:rFonts w:ascii="宋体" w:hAnsi="宋体" w:eastAsia="宋体" w:cs="宋体"/>
              </w:rPr>
            </w:pPr>
            <w:r>
              <w:rPr>
                <w:spacing w:val="-3"/>
              </w:rPr>
              <w:t xml:space="preserve">1 </w:t>
            </w:r>
            <w:r>
              <w:rPr>
                <w:rFonts w:ascii="宋体" w:hAnsi="宋体" w:eastAsia="宋体" w:cs="宋体"/>
                <w:spacing w:val="-3"/>
              </w:rPr>
              <w:t>类标准限值</w:t>
            </w:r>
            <w:r>
              <w:rPr>
                <w:rFonts w:ascii="宋体" w:hAnsi="宋体" w:eastAsia="宋体" w:cs="宋体"/>
                <w:spacing w:val="-42"/>
              </w:rPr>
              <w:t xml:space="preserve"> </w:t>
            </w:r>
            <w:r>
              <w:rPr>
                <w:spacing w:val="-3"/>
              </w:rPr>
              <w:t>dB</w:t>
            </w:r>
            <w:r>
              <w:rPr>
                <w:rFonts w:ascii="宋体" w:hAnsi="宋体" w:eastAsia="宋体" w:cs="宋体"/>
                <w:spacing w:val="-3"/>
              </w:rPr>
              <w:t>（</w:t>
            </w:r>
            <w:r>
              <w:rPr>
                <w:spacing w:val="-3"/>
              </w:rPr>
              <w:t>A</w:t>
            </w:r>
            <w:r>
              <w:rPr>
                <w:rFonts w:ascii="宋体" w:hAnsi="宋体" w:eastAsia="宋体" w:cs="宋体"/>
                <w:spacing w:val="-3"/>
              </w:rPr>
              <w:t>）</w:t>
            </w:r>
          </w:p>
        </w:tc>
        <w:tc>
          <w:tcPr>
            <w:tcW w:w="1414" w:type="dxa"/>
            <w:tcBorders>
              <w:bottom w:val="single" w:color="000000" w:sz="12" w:space="0"/>
            </w:tcBorders>
            <w:shd w:val="clear" w:color="auto" w:fill="DBE5F1"/>
            <w:vAlign w:val="top"/>
          </w:tcPr>
          <w:p w14:paraId="62D41DDC">
            <w:pPr>
              <w:pStyle w:val="6"/>
              <w:spacing w:before="131" w:line="232" w:lineRule="auto"/>
              <w:ind w:left="608"/>
            </w:pPr>
            <w:r>
              <w:rPr>
                <w:spacing w:val="-5"/>
              </w:rPr>
              <w:t>55</w:t>
            </w:r>
          </w:p>
        </w:tc>
        <w:tc>
          <w:tcPr>
            <w:tcW w:w="1414" w:type="dxa"/>
            <w:tcBorders>
              <w:bottom w:val="single" w:color="000000" w:sz="12" w:space="0"/>
            </w:tcBorders>
            <w:shd w:val="clear" w:color="auto" w:fill="DBE5F1"/>
            <w:vAlign w:val="top"/>
          </w:tcPr>
          <w:p w14:paraId="19B551ED">
            <w:pPr>
              <w:pStyle w:val="6"/>
              <w:spacing w:before="131" w:line="232" w:lineRule="auto"/>
              <w:ind w:left="607"/>
            </w:pPr>
            <w:r>
              <w:rPr>
                <w:spacing w:val="-2"/>
              </w:rPr>
              <w:t>45</w:t>
            </w:r>
          </w:p>
        </w:tc>
        <w:tc>
          <w:tcPr>
            <w:tcW w:w="1407" w:type="dxa"/>
            <w:tcBorders>
              <w:bottom w:val="single" w:color="000000" w:sz="12" w:space="0"/>
              <w:right w:val="single" w:color="000000" w:sz="12" w:space="0"/>
            </w:tcBorders>
            <w:shd w:val="clear" w:color="auto" w:fill="DBE5F1"/>
            <w:vAlign w:val="top"/>
          </w:tcPr>
          <w:p w14:paraId="7AD99C2B">
            <w:pPr>
              <w:rPr>
                <w:rFonts w:ascii="Arial"/>
                <w:sz w:val="21"/>
              </w:rPr>
            </w:pPr>
          </w:p>
        </w:tc>
      </w:tr>
    </w:tbl>
    <w:p w14:paraId="350A08AB">
      <w:pPr>
        <w:pStyle w:val="2"/>
        <w:spacing w:before="30" w:line="233" w:lineRule="auto"/>
        <w:ind w:left="40"/>
        <w:rPr>
          <w:sz w:val="21"/>
          <w:szCs w:val="21"/>
        </w:rPr>
      </w:pPr>
      <w:r>
        <w:rPr>
          <w:sz w:val="21"/>
          <w:szCs w:val="21"/>
        </w:rPr>
        <w:t>备注：大罗贵村和川硐村</w:t>
      </w:r>
      <w:r>
        <w:rPr>
          <w:spacing w:val="-37"/>
          <w:sz w:val="21"/>
          <w:szCs w:val="21"/>
        </w:rPr>
        <w:t xml:space="preserve"> </w:t>
      </w:r>
      <w:r>
        <w:rPr>
          <w:rFonts w:ascii="Times New Roman" w:hAnsi="Times New Roman" w:eastAsia="Times New Roman" w:cs="Times New Roman"/>
          <w:sz w:val="21"/>
          <w:szCs w:val="21"/>
        </w:rPr>
        <w:t xml:space="preserve">2020 </w:t>
      </w:r>
      <w:r>
        <w:rPr>
          <w:sz w:val="21"/>
          <w:szCs w:val="21"/>
        </w:rPr>
        <w:t>年和</w:t>
      </w:r>
      <w:r>
        <w:rPr>
          <w:rFonts w:ascii="Times New Roman" w:hAnsi="Times New Roman" w:eastAsia="Times New Roman" w:cs="Times New Roman"/>
          <w:sz w:val="21"/>
          <w:szCs w:val="21"/>
        </w:rPr>
        <w:t xml:space="preserve">2021 </w:t>
      </w:r>
      <w:r>
        <w:rPr>
          <w:sz w:val="21"/>
          <w:szCs w:val="21"/>
        </w:rPr>
        <w:t>年未监测，王大屯村</w:t>
      </w:r>
      <w:r>
        <w:rPr>
          <w:spacing w:val="-48"/>
          <w:sz w:val="21"/>
          <w:szCs w:val="21"/>
        </w:rPr>
        <w:t xml:space="preserve"> </w:t>
      </w:r>
      <w:r>
        <w:rPr>
          <w:rFonts w:ascii="Times New Roman" w:hAnsi="Times New Roman" w:eastAsia="Times New Roman" w:cs="Times New Roman"/>
          <w:sz w:val="21"/>
          <w:szCs w:val="21"/>
        </w:rPr>
        <w:t xml:space="preserve">2021 </w:t>
      </w:r>
      <w:r>
        <w:rPr>
          <w:sz w:val="21"/>
          <w:szCs w:val="21"/>
        </w:rPr>
        <w:t>年未监测。</w:t>
      </w:r>
    </w:p>
    <w:p w14:paraId="765351F3">
      <w:pPr>
        <w:spacing w:line="405" w:lineRule="auto"/>
        <w:rPr>
          <w:rFonts w:ascii="Arial"/>
          <w:sz w:val="21"/>
        </w:rPr>
      </w:pPr>
    </w:p>
    <w:p w14:paraId="5FC8393B">
      <w:pPr>
        <w:pStyle w:val="2"/>
        <w:spacing w:before="78" w:line="220" w:lineRule="auto"/>
        <w:ind w:left="35"/>
        <w:rPr>
          <w:sz w:val="24"/>
          <w:szCs w:val="24"/>
        </w:rPr>
      </w:pPr>
      <w:r>
        <w:rPr>
          <w:rFonts w:ascii="Arial" w:hAnsi="Arial" w:eastAsia="Arial" w:cs="Arial"/>
          <w:spacing w:val="2"/>
          <w:position w:val="1"/>
          <w:sz w:val="18"/>
          <w:szCs w:val="18"/>
        </w:rPr>
        <w:t>6.2.4.3</w:t>
      </w:r>
      <w:r>
        <w:rPr>
          <w:rFonts w:ascii="Arial" w:hAnsi="Arial" w:eastAsia="Arial" w:cs="Arial"/>
          <w:spacing w:val="45"/>
          <w:position w:val="1"/>
          <w:sz w:val="18"/>
          <w:szCs w:val="18"/>
        </w:rPr>
        <w:t xml:space="preserve"> </w:t>
      </w:r>
      <w:r>
        <w:rPr>
          <w:b/>
          <w:bCs/>
          <w:spacing w:val="2"/>
          <w:sz w:val="24"/>
          <w:szCs w:val="24"/>
        </w:rPr>
        <w:t>工程建设对敏感目标声环境质量影响</w:t>
      </w:r>
    </w:p>
    <w:p w14:paraId="75747E88">
      <w:pPr>
        <w:pStyle w:val="2"/>
        <w:spacing w:before="273" w:line="333" w:lineRule="auto"/>
        <w:ind w:left="42" w:right="29" w:firstLine="506"/>
        <w:jc w:val="both"/>
        <w:rPr>
          <w:sz w:val="24"/>
          <w:szCs w:val="24"/>
        </w:rPr>
      </w:pPr>
      <w:r>
        <w:rPr>
          <w:spacing w:val="-2"/>
          <w:sz w:val="24"/>
          <w:szCs w:val="24"/>
        </w:rPr>
        <w:t>由表</w:t>
      </w:r>
      <w:r>
        <w:rPr>
          <w:spacing w:val="-50"/>
          <w:sz w:val="24"/>
          <w:szCs w:val="24"/>
        </w:rPr>
        <w:t xml:space="preserve"> </w:t>
      </w:r>
      <w:r>
        <w:rPr>
          <w:rFonts w:ascii="Times New Roman" w:hAnsi="Times New Roman" w:eastAsia="Times New Roman" w:cs="Times New Roman"/>
          <w:spacing w:val="-2"/>
          <w:sz w:val="24"/>
          <w:szCs w:val="24"/>
        </w:rPr>
        <w:t xml:space="preserve">6.2-16 </w:t>
      </w:r>
      <w:r>
        <w:rPr>
          <w:spacing w:val="-2"/>
          <w:sz w:val="24"/>
          <w:szCs w:val="24"/>
        </w:rPr>
        <w:t>可知，</w:t>
      </w:r>
      <w:r>
        <w:rPr>
          <w:rFonts w:ascii="Times New Roman" w:hAnsi="Times New Roman" w:eastAsia="Times New Roman" w:cs="Times New Roman"/>
          <w:spacing w:val="-2"/>
          <w:sz w:val="24"/>
          <w:szCs w:val="24"/>
        </w:rPr>
        <w:t xml:space="preserve">2019 </w:t>
      </w:r>
      <w:r>
        <w:rPr>
          <w:spacing w:val="-2"/>
          <w:sz w:val="24"/>
          <w:szCs w:val="24"/>
        </w:rPr>
        <w:t>年</w:t>
      </w:r>
      <w:r>
        <w:rPr>
          <w:rFonts w:ascii="Times New Roman" w:hAnsi="Times New Roman" w:eastAsia="Times New Roman" w:cs="Times New Roman"/>
          <w:spacing w:val="-2"/>
          <w:sz w:val="24"/>
          <w:szCs w:val="24"/>
        </w:rPr>
        <w:t>-2021</w:t>
      </w:r>
      <w:r>
        <w:rPr>
          <w:spacing w:val="-2"/>
          <w:sz w:val="24"/>
          <w:szCs w:val="24"/>
        </w:rPr>
        <w:t>年施</w:t>
      </w:r>
      <w:r>
        <w:rPr>
          <w:spacing w:val="-3"/>
          <w:sz w:val="24"/>
          <w:szCs w:val="24"/>
        </w:rPr>
        <w:t>工期间，工程所在地环境敏感目标均能满</w:t>
      </w:r>
      <w:r>
        <w:rPr>
          <w:spacing w:val="-9"/>
          <w:sz w:val="24"/>
          <w:szCs w:val="24"/>
        </w:rPr>
        <w:t>足《声环境质量标准》（</w:t>
      </w:r>
      <w:r>
        <w:rPr>
          <w:rFonts w:ascii="Times New Roman" w:hAnsi="Times New Roman" w:eastAsia="Times New Roman" w:cs="Times New Roman"/>
          <w:spacing w:val="-9"/>
          <w:sz w:val="24"/>
          <w:szCs w:val="24"/>
        </w:rPr>
        <w:t>GB3096-2008</w:t>
      </w:r>
      <w:r>
        <w:rPr>
          <w:spacing w:val="-9"/>
          <w:sz w:val="24"/>
          <w:szCs w:val="24"/>
        </w:rPr>
        <w:t>）</w:t>
      </w:r>
      <w:r>
        <w:rPr>
          <w:rFonts w:ascii="Times New Roman" w:hAnsi="Times New Roman" w:eastAsia="Times New Roman" w:cs="Times New Roman"/>
          <w:spacing w:val="-9"/>
          <w:sz w:val="24"/>
          <w:szCs w:val="24"/>
        </w:rPr>
        <w:t xml:space="preserve">1 </w:t>
      </w:r>
      <w:r>
        <w:rPr>
          <w:spacing w:val="-9"/>
          <w:sz w:val="24"/>
          <w:szCs w:val="24"/>
        </w:rPr>
        <w:t>类标准要求。因此， 车马碧水库工程施工</w:t>
      </w:r>
      <w:r>
        <w:rPr>
          <w:spacing w:val="-1"/>
          <w:sz w:val="24"/>
          <w:szCs w:val="24"/>
        </w:rPr>
        <w:t>期活动未对各环境敏感目标的声环境造成明显影响。</w:t>
      </w:r>
    </w:p>
    <w:p w14:paraId="5C84969F">
      <w:pPr>
        <w:pStyle w:val="2"/>
        <w:spacing w:before="107" w:line="226" w:lineRule="auto"/>
        <w:ind w:left="36"/>
        <w:rPr>
          <w:sz w:val="27"/>
          <w:szCs w:val="27"/>
        </w:rPr>
      </w:pPr>
      <w:r>
        <w:rPr>
          <w:rFonts w:ascii="Arial" w:hAnsi="Arial" w:eastAsia="Arial" w:cs="Arial"/>
          <w:spacing w:val="10"/>
          <w:position w:val="1"/>
          <w:sz w:val="21"/>
          <w:szCs w:val="21"/>
        </w:rPr>
        <w:t>6.2.5</w:t>
      </w:r>
      <w:r>
        <w:rPr>
          <w:rFonts w:ascii="Arial" w:hAnsi="Arial" w:eastAsia="Arial" w:cs="Arial"/>
          <w:spacing w:val="2"/>
          <w:position w:val="1"/>
          <w:sz w:val="21"/>
          <w:szCs w:val="21"/>
        </w:rPr>
        <w:t xml:space="preserve">     </w:t>
      </w:r>
      <w:r>
        <w:rPr>
          <w:b/>
          <w:bCs/>
          <w:spacing w:val="10"/>
          <w:position w:val="-1"/>
          <w:sz w:val="27"/>
          <w:szCs w:val="27"/>
        </w:rPr>
        <w:t>人群健康影响</w:t>
      </w:r>
    </w:p>
    <w:p w14:paraId="4FE23871">
      <w:pPr>
        <w:pStyle w:val="2"/>
        <w:spacing w:before="263" w:line="220" w:lineRule="auto"/>
        <w:ind w:left="35"/>
        <w:rPr>
          <w:sz w:val="24"/>
          <w:szCs w:val="24"/>
        </w:rPr>
      </w:pPr>
      <w:r>
        <w:rPr>
          <w:rFonts w:ascii="Arial" w:hAnsi="Arial" w:eastAsia="Arial" w:cs="Arial"/>
          <w:spacing w:val="3"/>
          <w:position w:val="1"/>
          <w:sz w:val="18"/>
          <w:szCs w:val="18"/>
        </w:rPr>
        <w:t>6.2.5.1</w:t>
      </w:r>
      <w:r>
        <w:rPr>
          <w:rFonts w:ascii="Arial" w:hAnsi="Arial" w:eastAsia="Arial" w:cs="Arial"/>
          <w:spacing w:val="46"/>
          <w:position w:val="1"/>
          <w:sz w:val="18"/>
          <w:szCs w:val="18"/>
        </w:rPr>
        <w:t xml:space="preserve"> </w:t>
      </w:r>
      <w:r>
        <w:rPr>
          <w:b/>
          <w:bCs/>
          <w:spacing w:val="3"/>
          <w:position w:val="-1"/>
          <w:sz w:val="24"/>
          <w:szCs w:val="24"/>
        </w:rPr>
        <w:t>施工人员生活饮用水水质</w:t>
      </w:r>
    </w:p>
    <w:p w14:paraId="29438620">
      <w:pPr>
        <w:pStyle w:val="2"/>
        <w:spacing w:before="271" w:line="339" w:lineRule="auto"/>
        <w:ind w:left="39" w:right="27" w:firstLine="481"/>
        <w:jc w:val="both"/>
        <w:rPr>
          <w:sz w:val="24"/>
          <w:szCs w:val="24"/>
        </w:rPr>
      </w:pPr>
      <w:r>
        <w:rPr>
          <w:spacing w:val="3"/>
          <w:sz w:val="24"/>
          <w:szCs w:val="24"/>
        </w:rPr>
        <w:t>车马碧水库工程建设期间对施工营地生活用水供水点定期开展水质</w:t>
      </w:r>
      <w:r>
        <w:rPr>
          <w:spacing w:val="2"/>
          <w:sz w:val="24"/>
          <w:szCs w:val="24"/>
        </w:rPr>
        <w:t>监测，共</w:t>
      </w:r>
      <w:r>
        <w:rPr>
          <w:spacing w:val="-4"/>
          <w:sz w:val="24"/>
          <w:szCs w:val="24"/>
        </w:rPr>
        <w:t>设置</w:t>
      </w:r>
      <w:r>
        <w:rPr>
          <w:spacing w:val="-51"/>
          <w:sz w:val="24"/>
          <w:szCs w:val="24"/>
        </w:rPr>
        <w:t xml:space="preserve"> </w:t>
      </w:r>
      <w:r>
        <w:rPr>
          <w:rFonts w:ascii="Times New Roman" w:hAnsi="Times New Roman" w:eastAsia="Times New Roman" w:cs="Times New Roman"/>
          <w:spacing w:val="-4"/>
          <w:sz w:val="24"/>
          <w:szCs w:val="24"/>
        </w:rPr>
        <w:t xml:space="preserve">4 </w:t>
      </w:r>
      <w:r>
        <w:rPr>
          <w:spacing w:val="-4"/>
          <w:sz w:val="24"/>
          <w:szCs w:val="24"/>
        </w:rPr>
        <w:t>个施工饮用水供水监测点位，分别为：枢纽工程、</w:t>
      </w:r>
      <w:r>
        <w:rPr>
          <w:rFonts w:ascii="Times New Roman" w:hAnsi="Times New Roman" w:eastAsia="Times New Roman" w:cs="Times New Roman"/>
          <w:spacing w:val="-4"/>
          <w:sz w:val="24"/>
          <w:szCs w:val="24"/>
        </w:rPr>
        <w:t>5#</w:t>
      </w:r>
      <w:r>
        <w:rPr>
          <w:spacing w:val="-4"/>
          <w:sz w:val="24"/>
          <w:szCs w:val="24"/>
        </w:rPr>
        <w:t>支洞、</w:t>
      </w:r>
      <w:r>
        <w:rPr>
          <w:rFonts w:ascii="Times New Roman" w:hAnsi="Times New Roman" w:eastAsia="Times New Roman" w:cs="Times New Roman"/>
          <w:spacing w:val="-4"/>
          <w:sz w:val="24"/>
          <w:szCs w:val="24"/>
        </w:rPr>
        <w:t>8#</w:t>
      </w:r>
      <w:r>
        <w:rPr>
          <w:spacing w:val="-4"/>
          <w:sz w:val="24"/>
          <w:szCs w:val="24"/>
        </w:rPr>
        <w:t>支洞，以及输</w:t>
      </w:r>
      <w:r>
        <w:rPr>
          <w:spacing w:val="-2"/>
          <w:sz w:val="24"/>
          <w:szCs w:val="24"/>
        </w:rPr>
        <w:t>水隧洞出口生产区。每季度（</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15"/>
          <w:w w:val="101"/>
          <w:sz w:val="24"/>
          <w:szCs w:val="24"/>
        </w:rPr>
        <w:t xml:space="preserve"> </w:t>
      </w:r>
      <w:r>
        <w:rPr>
          <w:spacing w:val="-2"/>
          <w:sz w:val="24"/>
          <w:szCs w:val="24"/>
        </w:rPr>
        <w:t>月、</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15"/>
          <w:sz w:val="24"/>
          <w:szCs w:val="24"/>
        </w:rPr>
        <w:t xml:space="preserve"> </w:t>
      </w:r>
      <w:r>
        <w:rPr>
          <w:spacing w:val="-2"/>
          <w:sz w:val="24"/>
          <w:szCs w:val="24"/>
        </w:rPr>
        <w:t>月、</w:t>
      </w:r>
      <w:r>
        <w:rPr>
          <w:rFonts w:ascii="Times New Roman" w:hAnsi="Times New Roman" w:eastAsia="Times New Roman" w:cs="Times New Roman"/>
          <w:spacing w:val="-2"/>
          <w:sz w:val="24"/>
          <w:szCs w:val="24"/>
        </w:rPr>
        <w:t>8</w:t>
      </w:r>
      <w:r>
        <w:rPr>
          <w:rFonts w:ascii="Times New Roman" w:hAnsi="Times New Roman" w:eastAsia="Times New Roman" w:cs="Times New Roman"/>
          <w:spacing w:val="15"/>
          <w:sz w:val="24"/>
          <w:szCs w:val="24"/>
        </w:rPr>
        <w:t xml:space="preserve"> </w:t>
      </w:r>
      <w:r>
        <w:rPr>
          <w:spacing w:val="-2"/>
          <w:sz w:val="24"/>
          <w:szCs w:val="24"/>
        </w:rPr>
        <w:t>月、</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w w:val="101"/>
          <w:sz w:val="24"/>
          <w:szCs w:val="24"/>
        </w:rPr>
        <w:t xml:space="preserve"> </w:t>
      </w:r>
      <w:r>
        <w:rPr>
          <w:spacing w:val="-3"/>
          <w:sz w:val="24"/>
          <w:szCs w:val="24"/>
        </w:rPr>
        <w:t>月）采样分析化验一次，每次</w:t>
      </w:r>
      <w:r>
        <w:rPr>
          <w:spacing w:val="-1"/>
          <w:sz w:val="24"/>
          <w:szCs w:val="24"/>
        </w:rPr>
        <w:t>三天，每天采样一次。</w:t>
      </w:r>
      <w:r>
        <w:rPr>
          <w:rFonts w:ascii="Times New Roman" w:hAnsi="Times New Roman" w:eastAsia="Times New Roman" w:cs="Times New Roman"/>
          <w:spacing w:val="-1"/>
          <w:sz w:val="24"/>
          <w:szCs w:val="24"/>
        </w:rPr>
        <w:t xml:space="preserve">2019 </w:t>
      </w:r>
      <w:r>
        <w:rPr>
          <w:spacing w:val="-1"/>
          <w:sz w:val="24"/>
          <w:szCs w:val="24"/>
        </w:rPr>
        <w:t>年</w:t>
      </w:r>
      <w:r>
        <w:rPr>
          <w:rFonts w:ascii="Times New Roman" w:hAnsi="Times New Roman" w:eastAsia="Times New Roman" w:cs="Times New Roman"/>
          <w:spacing w:val="-1"/>
          <w:sz w:val="24"/>
          <w:szCs w:val="24"/>
        </w:rPr>
        <w:t>~202</w:t>
      </w:r>
      <w:r>
        <w:rPr>
          <w:rFonts w:ascii="Times New Roman" w:hAnsi="Times New Roman" w:eastAsia="Times New Roman" w:cs="Times New Roman"/>
          <w:spacing w:val="-2"/>
          <w:sz w:val="24"/>
          <w:szCs w:val="24"/>
        </w:rPr>
        <w:t>1</w:t>
      </w:r>
      <w:r>
        <w:rPr>
          <w:spacing w:val="-2"/>
          <w:sz w:val="24"/>
          <w:szCs w:val="24"/>
        </w:rPr>
        <w:t>年施工期饮用水供水点水质监测结果见表</w:t>
      </w:r>
      <w:r>
        <w:rPr>
          <w:spacing w:val="-50"/>
          <w:sz w:val="24"/>
          <w:szCs w:val="24"/>
        </w:rPr>
        <w:t xml:space="preserve"> </w:t>
      </w:r>
      <w:r>
        <w:rPr>
          <w:rFonts w:ascii="Times New Roman" w:hAnsi="Times New Roman" w:eastAsia="Times New Roman" w:cs="Times New Roman"/>
          <w:spacing w:val="-2"/>
          <w:sz w:val="24"/>
          <w:szCs w:val="24"/>
        </w:rPr>
        <w:t>6.2-</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17~</w:t>
      </w:r>
      <w:r>
        <w:rPr>
          <w:spacing w:val="-2"/>
          <w:sz w:val="24"/>
          <w:szCs w:val="24"/>
        </w:rPr>
        <w:t>表</w:t>
      </w:r>
      <w:r>
        <w:rPr>
          <w:spacing w:val="-49"/>
          <w:sz w:val="24"/>
          <w:szCs w:val="24"/>
        </w:rPr>
        <w:t xml:space="preserve"> </w:t>
      </w:r>
      <w:r>
        <w:rPr>
          <w:rFonts w:ascii="Times New Roman" w:hAnsi="Times New Roman" w:eastAsia="Times New Roman" w:cs="Times New Roman"/>
          <w:spacing w:val="-2"/>
          <w:sz w:val="24"/>
          <w:szCs w:val="24"/>
        </w:rPr>
        <w:t>6.2-19</w:t>
      </w:r>
      <w:r>
        <w:rPr>
          <w:spacing w:val="-2"/>
          <w:sz w:val="24"/>
          <w:szCs w:val="24"/>
        </w:rPr>
        <w:t>。</w:t>
      </w:r>
    </w:p>
    <w:p w14:paraId="2C332C3C">
      <w:pPr>
        <w:pStyle w:val="2"/>
        <w:spacing w:line="339" w:lineRule="auto"/>
        <w:ind w:left="35" w:right="31" w:firstLine="484"/>
        <w:jc w:val="both"/>
        <w:rPr>
          <w:sz w:val="24"/>
          <w:szCs w:val="24"/>
        </w:rPr>
      </w:pPr>
      <w:r>
        <w:rPr>
          <w:spacing w:val="-1"/>
          <w:sz w:val="24"/>
          <w:szCs w:val="24"/>
        </w:rPr>
        <w:t>根据监测结果，</w:t>
      </w:r>
      <w:r>
        <w:rPr>
          <w:rFonts w:ascii="Times New Roman" w:hAnsi="Times New Roman" w:eastAsia="Times New Roman" w:cs="Times New Roman"/>
          <w:spacing w:val="-1"/>
          <w:sz w:val="24"/>
          <w:szCs w:val="24"/>
        </w:rPr>
        <w:t>2019</w:t>
      </w:r>
      <w:r>
        <w:rPr>
          <w:rFonts w:ascii="Times New Roman" w:hAnsi="Times New Roman" w:eastAsia="Times New Roman" w:cs="Times New Roman"/>
          <w:spacing w:val="25"/>
          <w:w w:val="101"/>
          <w:sz w:val="24"/>
          <w:szCs w:val="24"/>
        </w:rPr>
        <w:t xml:space="preserve"> </w:t>
      </w:r>
      <w:r>
        <w:rPr>
          <w:spacing w:val="-1"/>
          <w:sz w:val="24"/>
          <w:szCs w:val="24"/>
        </w:rPr>
        <w:t>年</w:t>
      </w:r>
      <w:r>
        <w:rPr>
          <w:spacing w:val="-41"/>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5"/>
          <w:w w:val="101"/>
          <w:sz w:val="24"/>
          <w:szCs w:val="24"/>
        </w:rPr>
        <w:t xml:space="preserve"> </w:t>
      </w:r>
      <w:r>
        <w:rPr>
          <w:spacing w:val="-1"/>
          <w:sz w:val="24"/>
          <w:szCs w:val="24"/>
        </w:rPr>
        <w:t>季度水质较差，枢纽区工程区生活饮用水铝、</w:t>
      </w:r>
      <w:r>
        <w:rPr>
          <w:spacing w:val="-2"/>
          <w:sz w:val="24"/>
          <w:szCs w:val="24"/>
        </w:rPr>
        <w:t>铁超标，</w:t>
      </w:r>
      <w:r>
        <w:rPr>
          <w:rFonts w:ascii="Times New Roman" w:hAnsi="Times New Roman" w:eastAsia="Times New Roman" w:cs="Times New Roman"/>
          <w:spacing w:val="-2"/>
          <w:sz w:val="24"/>
          <w:szCs w:val="24"/>
        </w:rPr>
        <w:t>5#</w:t>
      </w:r>
      <w:r>
        <w:rPr>
          <w:spacing w:val="-2"/>
          <w:sz w:val="24"/>
          <w:szCs w:val="24"/>
        </w:rPr>
        <w:t>支洞生活饮用水</w:t>
      </w:r>
      <w:r>
        <w:rPr>
          <w:spacing w:val="-60"/>
          <w:sz w:val="24"/>
          <w:szCs w:val="24"/>
        </w:rPr>
        <w:t xml:space="preserve"> </w:t>
      </w:r>
      <w:r>
        <w:rPr>
          <w:rFonts w:ascii="Times New Roman" w:hAnsi="Times New Roman" w:eastAsia="Times New Roman" w:cs="Times New Roman"/>
          <w:spacing w:val="-2"/>
          <w:sz w:val="24"/>
          <w:szCs w:val="24"/>
        </w:rPr>
        <w:t xml:space="preserve">pH </w:t>
      </w:r>
      <w:r>
        <w:rPr>
          <w:spacing w:val="-2"/>
          <w:sz w:val="24"/>
          <w:szCs w:val="24"/>
        </w:rPr>
        <w:t>值、铝、总大肠菌群、菌落总数出现超标，输水隧洞出</w:t>
      </w:r>
      <w:r>
        <w:rPr>
          <w:spacing w:val="-3"/>
          <w:sz w:val="24"/>
          <w:szCs w:val="24"/>
        </w:rPr>
        <w:t>口生产区生活饮用水</w:t>
      </w:r>
      <w:r>
        <w:rPr>
          <w:spacing w:val="-60"/>
          <w:sz w:val="24"/>
          <w:szCs w:val="24"/>
        </w:rPr>
        <w:t xml:space="preserve"> </w:t>
      </w:r>
      <w:r>
        <w:rPr>
          <w:rFonts w:ascii="Times New Roman" w:hAnsi="Times New Roman" w:eastAsia="Times New Roman" w:cs="Times New Roman"/>
          <w:spacing w:val="-3"/>
          <w:sz w:val="24"/>
          <w:szCs w:val="24"/>
        </w:rPr>
        <w:t>pH</w:t>
      </w:r>
      <w:r>
        <w:rPr>
          <w:spacing w:val="-3"/>
          <w:sz w:val="24"/>
          <w:szCs w:val="24"/>
        </w:rPr>
        <w:t>、总大肠菌群出现超标。</w:t>
      </w:r>
      <w:r>
        <w:rPr>
          <w:rFonts w:ascii="Times New Roman" w:hAnsi="Times New Roman" w:eastAsia="Times New Roman" w:cs="Times New Roman"/>
          <w:spacing w:val="-3"/>
          <w:sz w:val="24"/>
          <w:szCs w:val="24"/>
        </w:rPr>
        <w:t xml:space="preserve">2020 </w:t>
      </w:r>
      <w:r>
        <w:rPr>
          <w:spacing w:val="-3"/>
          <w:sz w:val="24"/>
          <w:szCs w:val="24"/>
        </w:rPr>
        <w:t>年和</w:t>
      </w:r>
      <w:r>
        <w:rPr>
          <w:rFonts w:ascii="Times New Roman" w:hAnsi="Times New Roman" w:eastAsia="Times New Roman" w:cs="Times New Roman"/>
          <w:spacing w:val="-3"/>
          <w:sz w:val="24"/>
          <w:szCs w:val="24"/>
        </w:rPr>
        <w:t>202</w:t>
      </w:r>
      <w:r>
        <w:rPr>
          <w:rFonts w:ascii="Times New Roman" w:hAnsi="Times New Roman" w:eastAsia="Times New Roman" w:cs="Times New Roman"/>
          <w:spacing w:val="-4"/>
          <w:sz w:val="24"/>
          <w:szCs w:val="24"/>
        </w:rPr>
        <w:t xml:space="preserve">1 </w:t>
      </w:r>
      <w:r>
        <w:rPr>
          <w:spacing w:val="-4"/>
          <w:sz w:val="24"/>
          <w:szCs w:val="24"/>
        </w:rPr>
        <w:t>年水质明显好转，</w:t>
      </w:r>
      <w:r>
        <w:rPr>
          <w:sz w:val="24"/>
          <w:szCs w:val="24"/>
        </w:rPr>
        <w:t xml:space="preserve"> </w:t>
      </w:r>
      <w:r>
        <w:rPr>
          <w:rFonts w:ascii="Times New Roman" w:hAnsi="Times New Roman" w:eastAsia="Times New Roman" w:cs="Times New Roman"/>
          <w:sz w:val="24"/>
          <w:szCs w:val="24"/>
        </w:rPr>
        <w:t xml:space="preserve">2 </w:t>
      </w:r>
      <w:r>
        <w:rPr>
          <w:sz w:val="24"/>
          <w:szCs w:val="24"/>
        </w:rPr>
        <w:t>季度</w:t>
      </w:r>
      <w:r>
        <w:rPr>
          <w:rFonts w:ascii="Times New Roman" w:hAnsi="Times New Roman" w:eastAsia="Times New Roman" w:cs="Times New Roman"/>
          <w:sz w:val="24"/>
          <w:szCs w:val="24"/>
        </w:rPr>
        <w:t xml:space="preserve">~4 </w:t>
      </w:r>
      <w:r>
        <w:rPr>
          <w:sz w:val="24"/>
          <w:szCs w:val="24"/>
        </w:rPr>
        <w:t>季度除</w:t>
      </w:r>
      <w:r>
        <w:rPr>
          <w:spacing w:val="-31"/>
          <w:sz w:val="24"/>
          <w:szCs w:val="24"/>
        </w:rPr>
        <w:t xml:space="preserve"> </w:t>
      </w:r>
      <w:r>
        <w:rPr>
          <w:rFonts w:ascii="Times New Roman" w:hAnsi="Times New Roman" w:eastAsia="Times New Roman" w:cs="Times New Roman"/>
          <w:sz w:val="24"/>
          <w:szCs w:val="24"/>
        </w:rPr>
        <w:t>5#</w:t>
      </w:r>
      <w:r>
        <w:rPr>
          <w:sz w:val="24"/>
          <w:szCs w:val="24"/>
        </w:rPr>
        <w:t>支洞和</w:t>
      </w:r>
      <w:r>
        <w:rPr>
          <w:rFonts w:ascii="Times New Roman" w:hAnsi="Times New Roman" w:eastAsia="Times New Roman" w:cs="Times New Roman"/>
          <w:sz w:val="24"/>
          <w:szCs w:val="24"/>
        </w:rPr>
        <w:t>8#</w:t>
      </w:r>
      <w:r>
        <w:rPr>
          <w:sz w:val="24"/>
          <w:szCs w:val="24"/>
        </w:rPr>
        <w:t>支洞出现总大肠菌群和菌落总数超标外，其余指标均</w:t>
      </w:r>
    </w:p>
    <w:p w14:paraId="31574C9A">
      <w:pPr>
        <w:spacing w:line="339" w:lineRule="auto"/>
        <w:rPr>
          <w:sz w:val="24"/>
          <w:szCs w:val="24"/>
        </w:rPr>
        <w:sectPr>
          <w:footerReference r:id="rId270" w:type="default"/>
          <w:pgSz w:w="11907" w:h="16839"/>
          <w:pgMar w:top="1376" w:right="1669" w:bottom="1061" w:left="1671" w:header="999" w:footer="861" w:gutter="0"/>
          <w:cols w:space="720" w:num="1"/>
        </w:sectPr>
      </w:pPr>
    </w:p>
    <w:p w14:paraId="7D02DDC9">
      <w:pPr>
        <w:spacing w:line="455" w:lineRule="auto"/>
        <w:rPr>
          <w:rFonts w:ascii="Arial"/>
          <w:sz w:val="21"/>
        </w:rPr>
      </w:pPr>
    </w:p>
    <w:p w14:paraId="2418D93B">
      <w:pPr>
        <w:pStyle w:val="2"/>
        <w:spacing w:before="78" w:line="233" w:lineRule="auto"/>
        <w:ind w:left="48"/>
        <w:rPr>
          <w:sz w:val="24"/>
          <w:szCs w:val="24"/>
        </w:rPr>
      </w:pPr>
      <w:r>
        <w:rPr>
          <w:spacing w:val="-5"/>
          <w:sz w:val="24"/>
          <w:szCs w:val="24"/>
        </w:rPr>
        <w:t>能满足《生活饮用水卫生标准》（</w:t>
      </w:r>
      <w:r>
        <w:rPr>
          <w:rFonts w:ascii="Times New Roman" w:hAnsi="Times New Roman" w:eastAsia="Times New Roman" w:cs="Times New Roman"/>
          <w:spacing w:val="-5"/>
          <w:sz w:val="24"/>
          <w:szCs w:val="24"/>
        </w:rPr>
        <w:t>GB5749-2006</w:t>
      </w:r>
      <w:r>
        <w:rPr>
          <w:spacing w:val="-5"/>
          <w:sz w:val="24"/>
          <w:szCs w:val="24"/>
        </w:rPr>
        <w:t>）标准限值要求。</w:t>
      </w:r>
    </w:p>
    <w:p w14:paraId="6F05E1E1">
      <w:pPr>
        <w:pStyle w:val="2"/>
        <w:spacing w:before="256" w:line="220" w:lineRule="auto"/>
        <w:ind w:left="35"/>
        <w:rPr>
          <w:sz w:val="24"/>
          <w:szCs w:val="24"/>
        </w:rPr>
      </w:pPr>
      <w:r>
        <w:rPr>
          <w:rFonts w:ascii="Arial" w:hAnsi="Arial" w:eastAsia="Arial" w:cs="Arial"/>
          <w:spacing w:val="5"/>
          <w:position w:val="1"/>
          <w:sz w:val="18"/>
          <w:szCs w:val="18"/>
        </w:rPr>
        <w:t>6.2.5.2</w:t>
      </w:r>
      <w:r>
        <w:rPr>
          <w:rFonts w:ascii="Arial" w:hAnsi="Arial" w:eastAsia="Arial" w:cs="Arial"/>
          <w:spacing w:val="43"/>
          <w:w w:val="101"/>
          <w:position w:val="1"/>
          <w:sz w:val="18"/>
          <w:szCs w:val="18"/>
        </w:rPr>
        <w:t xml:space="preserve"> </w:t>
      </w:r>
      <w:r>
        <w:rPr>
          <w:b/>
          <w:bCs/>
          <w:spacing w:val="5"/>
          <w:position w:val="-1"/>
          <w:sz w:val="24"/>
          <w:szCs w:val="24"/>
        </w:rPr>
        <w:t>人群健康监测</w:t>
      </w:r>
    </w:p>
    <w:p w14:paraId="15F06FC7">
      <w:pPr>
        <w:pStyle w:val="2"/>
        <w:spacing w:before="276" w:line="338" w:lineRule="auto"/>
        <w:ind w:left="38" w:right="31" w:firstLine="483"/>
        <w:jc w:val="both"/>
        <w:rPr>
          <w:sz w:val="24"/>
          <w:szCs w:val="24"/>
        </w:rPr>
      </w:pPr>
      <w:r>
        <w:rPr>
          <w:spacing w:val="3"/>
          <w:sz w:val="24"/>
          <w:szCs w:val="24"/>
        </w:rPr>
        <w:t>各施工单位按施工需要向现场工作人员发放</w:t>
      </w:r>
      <w:r>
        <w:rPr>
          <w:spacing w:val="2"/>
          <w:sz w:val="24"/>
          <w:szCs w:val="24"/>
        </w:rPr>
        <w:t>劳动防护用品，并且每年按比例</w:t>
      </w:r>
      <w:r>
        <w:rPr>
          <w:spacing w:val="-4"/>
          <w:sz w:val="24"/>
          <w:szCs w:val="24"/>
        </w:rPr>
        <w:t>对施工人员及所有食堂人员进行体检。特别是在新冠疫情形势严峻之下，高度</w:t>
      </w:r>
      <w:r>
        <w:rPr>
          <w:spacing w:val="-5"/>
          <w:sz w:val="24"/>
          <w:szCs w:val="24"/>
        </w:rPr>
        <w:t>重视</w:t>
      </w:r>
      <w:r>
        <w:rPr>
          <w:spacing w:val="-2"/>
          <w:sz w:val="24"/>
          <w:szCs w:val="24"/>
        </w:rPr>
        <w:t>各生活区食堂卫生工作，保障全体员工身体健康。</w:t>
      </w:r>
    </w:p>
    <w:p w14:paraId="26C11948">
      <w:pPr>
        <w:pStyle w:val="2"/>
        <w:spacing w:line="219" w:lineRule="auto"/>
        <w:ind w:left="518"/>
        <w:rPr>
          <w:sz w:val="24"/>
          <w:szCs w:val="24"/>
        </w:rPr>
      </w:pPr>
      <w:r>
        <w:rPr>
          <w:spacing w:val="-2"/>
          <w:sz w:val="24"/>
          <w:szCs w:val="24"/>
        </w:rPr>
        <w:t>施工期间未发生人群健康影响事件。</w:t>
      </w:r>
    </w:p>
    <w:p w14:paraId="5D579CA0">
      <w:pPr>
        <w:spacing w:line="219" w:lineRule="auto"/>
        <w:rPr>
          <w:sz w:val="24"/>
          <w:szCs w:val="24"/>
        </w:rPr>
        <w:sectPr>
          <w:footerReference r:id="rId271" w:type="default"/>
          <w:pgSz w:w="11907" w:h="16839"/>
          <w:pgMar w:top="1376" w:right="1669" w:bottom="1061" w:left="1671" w:header="999" w:footer="861" w:gutter="0"/>
          <w:cols w:space="720" w:num="1"/>
        </w:sectPr>
      </w:pPr>
    </w:p>
    <w:p w14:paraId="485F38B6">
      <w:pPr>
        <w:spacing w:line="455" w:lineRule="auto"/>
        <w:rPr>
          <w:rFonts w:ascii="Arial"/>
          <w:sz w:val="21"/>
        </w:rPr>
      </w:pPr>
    </w:p>
    <w:p w14:paraId="20F05C6F">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6.2-27                                                                                                                2019</w:t>
      </w:r>
      <w:r>
        <w:rPr>
          <w:rFonts w:ascii="Times New Roman" w:hAnsi="Times New Roman" w:eastAsia="Times New Roman" w:cs="Times New Roman"/>
          <w:b/>
          <w:bCs/>
          <w:spacing w:val="12"/>
          <w:sz w:val="24"/>
          <w:szCs w:val="24"/>
        </w:rPr>
        <w:t xml:space="preserve"> </w:t>
      </w:r>
      <w:r>
        <w:rPr>
          <w:b/>
          <w:bCs/>
          <w:sz w:val="24"/>
          <w:szCs w:val="24"/>
        </w:rPr>
        <w:t>年施工营地饮用水供水处水质监测结果</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2F4D1965">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272"/>
        <w:gridCol w:w="1004"/>
        <w:gridCol w:w="686"/>
        <w:gridCol w:w="923"/>
        <w:gridCol w:w="708"/>
        <w:gridCol w:w="850"/>
        <w:gridCol w:w="761"/>
        <w:gridCol w:w="654"/>
        <w:gridCol w:w="708"/>
        <w:gridCol w:w="707"/>
        <w:gridCol w:w="766"/>
        <w:gridCol w:w="595"/>
        <w:gridCol w:w="955"/>
        <w:gridCol w:w="506"/>
        <w:gridCol w:w="707"/>
        <w:gridCol w:w="708"/>
        <w:gridCol w:w="663"/>
        <w:gridCol w:w="664"/>
        <w:gridCol w:w="782"/>
        <w:gridCol w:w="663"/>
        <w:gridCol w:w="737"/>
        <w:gridCol w:w="737"/>
        <w:gridCol w:w="754"/>
        <w:gridCol w:w="667"/>
        <w:gridCol w:w="544"/>
        <w:gridCol w:w="434"/>
        <w:gridCol w:w="1015"/>
        <w:gridCol w:w="721"/>
      </w:tblGrid>
      <w:tr w14:paraId="39DE2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492" w:type="dxa"/>
            <w:tcBorders>
              <w:top w:val="single" w:color="000000" w:sz="12" w:space="0"/>
              <w:left w:val="single" w:color="000000" w:sz="12" w:space="0"/>
            </w:tcBorders>
            <w:vAlign w:val="top"/>
          </w:tcPr>
          <w:p w14:paraId="63AB96B5">
            <w:pPr>
              <w:spacing w:line="85" w:lineRule="exact"/>
            </w:pPr>
            <w:r>
              <w:rPr>
                <w:position w:val="-1"/>
              </w:rPr>
              <w:pict>
                <v:shape id="_x0000_s1201" o:spid="_x0000_s1201" style="height:5.8pt;width:1.5pt;" fillcolor="#000000" filled="t" stroked="f" coordsize="30,116" path="m0,115l30,115,30,0,0,0,0,115xe">
                  <v:path/>
                  <v:fill on="t" focussize="0,0"/>
                  <v:stroke on="f"/>
                  <v:imagedata o:title=""/>
                  <o:lock v:ext="edit"/>
                  <w10:wrap type="none"/>
                  <w10:anchorlock/>
                </v:shape>
              </w:pict>
            </w:r>
          </w:p>
          <w:p w14:paraId="4C8887D9">
            <w:pPr>
              <w:spacing w:before="158" w:line="242" w:lineRule="auto"/>
              <w:ind w:left="58" w:right="68" w:hanging="8"/>
              <w:rPr>
                <w:rFonts w:ascii="宋体" w:hAnsi="宋体" w:eastAsia="宋体" w:cs="宋体"/>
                <w:sz w:val="18"/>
                <w:szCs w:val="18"/>
              </w:rPr>
            </w:pPr>
            <w:r>
              <w:rPr>
                <w:rFonts w:ascii="宋体" w:hAnsi="宋体" w:eastAsia="宋体" w:cs="宋体"/>
                <w:spacing w:val="-4"/>
                <w:sz w:val="18"/>
                <w:szCs w:val="18"/>
              </w:rPr>
              <w:t>监测</w:t>
            </w:r>
            <w:r>
              <w:rPr>
                <w:rFonts w:ascii="宋体" w:hAnsi="宋体" w:eastAsia="宋体" w:cs="宋体"/>
                <w:spacing w:val="-9"/>
                <w:sz w:val="18"/>
                <w:szCs w:val="18"/>
              </w:rPr>
              <w:t>点位</w:t>
            </w:r>
          </w:p>
        </w:tc>
        <w:tc>
          <w:tcPr>
            <w:tcW w:w="1276" w:type="dxa"/>
            <w:gridSpan w:val="2"/>
            <w:tcBorders>
              <w:top w:val="single" w:color="000000" w:sz="12" w:space="0"/>
            </w:tcBorders>
            <w:vAlign w:val="top"/>
          </w:tcPr>
          <w:p w14:paraId="33CA3C2A">
            <w:pPr>
              <w:spacing w:line="300" w:lineRule="auto"/>
              <w:rPr>
                <w:rFonts w:ascii="Arial"/>
                <w:sz w:val="21"/>
              </w:rPr>
            </w:pPr>
          </w:p>
          <w:p w14:paraId="55C338F1">
            <w:pPr>
              <w:spacing w:before="58" w:line="221" w:lineRule="auto"/>
              <w:ind w:left="267"/>
              <w:rPr>
                <w:rFonts w:ascii="宋体" w:hAnsi="宋体" w:eastAsia="宋体" w:cs="宋体"/>
                <w:sz w:val="18"/>
                <w:szCs w:val="18"/>
              </w:rPr>
            </w:pPr>
            <w:r>
              <w:rPr>
                <w:rFonts w:ascii="宋体" w:hAnsi="宋体" w:eastAsia="宋体" w:cs="宋体"/>
                <w:spacing w:val="-2"/>
                <w:sz w:val="18"/>
                <w:szCs w:val="18"/>
              </w:rPr>
              <w:t>监测时间</w:t>
            </w:r>
          </w:p>
        </w:tc>
        <w:tc>
          <w:tcPr>
            <w:tcW w:w="686" w:type="dxa"/>
            <w:tcBorders>
              <w:top w:val="single" w:color="000000" w:sz="12" w:space="0"/>
            </w:tcBorders>
            <w:vAlign w:val="top"/>
          </w:tcPr>
          <w:p w14:paraId="5F7156D1">
            <w:pPr>
              <w:spacing w:before="234" w:line="244" w:lineRule="auto"/>
              <w:ind w:left="90" w:right="115" w:firstLine="63"/>
              <w:rPr>
                <w:rFonts w:ascii="等线" w:hAnsi="等线" w:eastAsia="等线" w:cs="等线"/>
                <w:sz w:val="18"/>
                <w:szCs w:val="18"/>
              </w:rPr>
            </w:pPr>
            <w:r>
              <w:rPr>
                <w:rFonts w:ascii="等线" w:hAnsi="等线" w:eastAsia="等线" w:cs="等线"/>
                <w:spacing w:val="-5"/>
                <w:sz w:val="18"/>
                <w:szCs w:val="18"/>
              </w:rPr>
              <w:t>色度</w:t>
            </w:r>
            <w:r>
              <w:rPr>
                <w:rFonts w:ascii="等线" w:hAnsi="等线" w:eastAsia="等线" w:cs="等线"/>
                <w:spacing w:val="-24"/>
                <w:sz w:val="18"/>
                <w:szCs w:val="18"/>
              </w:rPr>
              <w:t>（度）</w:t>
            </w:r>
          </w:p>
        </w:tc>
        <w:tc>
          <w:tcPr>
            <w:tcW w:w="923" w:type="dxa"/>
            <w:tcBorders>
              <w:top w:val="single" w:color="000000" w:sz="12" w:space="0"/>
            </w:tcBorders>
            <w:vAlign w:val="top"/>
          </w:tcPr>
          <w:p w14:paraId="4640CEDE">
            <w:pPr>
              <w:pStyle w:val="6"/>
              <w:spacing w:before="252" w:line="247" w:lineRule="auto"/>
              <w:ind w:left="256" w:right="198" w:hanging="74"/>
              <w:rPr>
                <w:sz w:val="18"/>
                <w:szCs w:val="18"/>
              </w:rPr>
            </w:pPr>
            <w:r>
              <w:rPr>
                <w:rFonts w:ascii="等线" w:hAnsi="等线" w:eastAsia="等线" w:cs="等线"/>
                <w:spacing w:val="-3"/>
                <w:sz w:val="18"/>
                <w:szCs w:val="18"/>
              </w:rPr>
              <w:t>浑浊度</w:t>
            </w:r>
            <w:r>
              <w:rPr>
                <w:sz w:val="18"/>
                <w:szCs w:val="18"/>
              </w:rPr>
              <w:t>NTU</w:t>
            </w:r>
          </w:p>
        </w:tc>
        <w:tc>
          <w:tcPr>
            <w:tcW w:w="708" w:type="dxa"/>
            <w:tcBorders>
              <w:top w:val="single" w:color="000000" w:sz="12" w:space="0"/>
            </w:tcBorders>
            <w:vAlign w:val="top"/>
          </w:tcPr>
          <w:p w14:paraId="72821A82">
            <w:pPr>
              <w:pStyle w:val="6"/>
              <w:spacing w:before="111" w:line="216" w:lineRule="auto"/>
              <w:ind w:left="115"/>
              <w:rPr>
                <w:rFonts w:ascii="等线" w:hAnsi="等线" w:eastAsia="等线" w:cs="等线"/>
                <w:sz w:val="18"/>
                <w:szCs w:val="18"/>
              </w:rPr>
            </w:pPr>
            <w:r>
              <w:rPr>
                <w:sz w:val="18"/>
                <w:szCs w:val="18"/>
              </w:rPr>
              <w:t>pH</w:t>
            </w:r>
            <w:r>
              <w:rPr>
                <w:spacing w:val="1"/>
                <w:sz w:val="18"/>
                <w:szCs w:val="18"/>
              </w:rPr>
              <w:t xml:space="preserve"> </w:t>
            </w:r>
            <w:r>
              <w:rPr>
                <w:rFonts w:ascii="等线" w:hAnsi="等线" w:eastAsia="等线" w:cs="等线"/>
                <w:spacing w:val="1"/>
                <w:sz w:val="18"/>
                <w:szCs w:val="18"/>
              </w:rPr>
              <w:t>值</w:t>
            </w:r>
          </w:p>
          <w:p w14:paraId="107021A6">
            <w:pPr>
              <w:spacing w:before="24" w:line="245" w:lineRule="auto"/>
              <w:ind w:left="164" w:right="97" w:hanging="61"/>
              <w:rPr>
                <w:rFonts w:ascii="等线" w:hAnsi="等线" w:eastAsia="等线" w:cs="等线"/>
                <w:sz w:val="18"/>
                <w:szCs w:val="18"/>
              </w:rPr>
            </w:pPr>
            <w:r>
              <w:rPr>
                <w:rFonts w:ascii="等线" w:hAnsi="等线" w:eastAsia="等线" w:cs="等线"/>
                <w:spacing w:val="-15"/>
                <w:sz w:val="18"/>
                <w:szCs w:val="18"/>
              </w:rPr>
              <w:t>（无量</w:t>
            </w:r>
            <w:r>
              <w:rPr>
                <w:rFonts w:ascii="等线" w:hAnsi="等线" w:eastAsia="等线" w:cs="等线"/>
                <w:spacing w:val="-11"/>
                <w:sz w:val="18"/>
                <w:szCs w:val="18"/>
              </w:rPr>
              <w:t>纲）</w:t>
            </w:r>
          </w:p>
        </w:tc>
        <w:tc>
          <w:tcPr>
            <w:tcW w:w="850" w:type="dxa"/>
            <w:tcBorders>
              <w:top w:val="single" w:color="000000" w:sz="12" w:space="0"/>
            </w:tcBorders>
            <w:vAlign w:val="top"/>
          </w:tcPr>
          <w:p w14:paraId="58933BDE">
            <w:pPr>
              <w:spacing w:line="293" w:lineRule="auto"/>
              <w:rPr>
                <w:rFonts w:ascii="Arial"/>
                <w:sz w:val="21"/>
              </w:rPr>
            </w:pPr>
          </w:p>
          <w:p w14:paraId="5CD1CB2B">
            <w:pPr>
              <w:spacing w:before="61" w:line="227" w:lineRule="auto"/>
              <w:ind w:left="326"/>
              <w:rPr>
                <w:rFonts w:ascii="等线" w:hAnsi="等线" w:eastAsia="等线" w:cs="等线"/>
                <w:sz w:val="18"/>
                <w:szCs w:val="18"/>
              </w:rPr>
            </w:pPr>
            <w:r>
              <w:rPr>
                <w:rFonts w:ascii="等线" w:hAnsi="等线" w:eastAsia="等线" w:cs="等线"/>
                <w:sz w:val="18"/>
                <w:szCs w:val="18"/>
              </w:rPr>
              <w:t>铝</w:t>
            </w:r>
          </w:p>
        </w:tc>
        <w:tc>
          <w:tcPr>
            <w:tcW w:w="761" w:type="dxa"/>
            <w:tcBorders>
              <w:top w:val="single" w:color="000000" w:sz="12" w:space="0"/>
            </w:tcBorders>
            <w:vAlign w:val="top"/>
          </w:tcPr>
          <w:p w14:paraId="013EAFD4">
            <w:pPr>
              <w:spacing w:line="292" w:lineRule="auto"/>
              <w:rPr>
                <w:rFonts w:ascii="Arial"/>
                <w:sz w:val="21"/>
              </w:rPr>
            </w:pPr>
          </w:p>
          <w:p w14:paraId="62B4B7C0">
            <w:pPr>
              <w:spacing w:before="61" w:line="226" w:lineRule="auto"/>
              <w:ind w:left="279"/>
              <w:rPr>
                <w:rFonts w:ascii="等线" w:hAnsi="等线" w:eastAsia="等线" w:cs="等线"/>
                <w:sz w:val="18"/>
                <w:szCs w:val="18"/>
              </w:rPr>
            </w:pPr>
            <w:r>
              <w:rPr>
                <w:rFonts w:ascii="等线" w:hAnsi="等线" w:eastAsia="等线" w:cs="等线"/>
                <w:sz w:val="18"/>
                <w:szCs w:val="18"/>
              </w:rPr>
              <w:t>铁</w:t>
            </w:r>
          </w:p>
        </w:tc>
        <w:tc>
          <w:tcPr>
            <w:tcW w:w="654" w:type="dxa"/>
            <w:tcBorders>
              <w:top w:val="single" w:color="000000" w:sz="12" w:space="0"/>
            </w:tcBorders>
            <w:vAlign w:val="top"/>
          </w:tcPr>
          <w:p w14:paraId="100F0DF4">
            <w:pPr>
              <w:spacing w:line="293" w:lineRule="auto"/>
              <w:rPr>
                <w:rFonts w:ascii="Arial"/>
                <w:sz w:val="21"/>
              </w:rPr>
            </w:pPr>
          </w:p>
          <w:p w14:paraId="4368D5C7">
            <w:pPr>
              <w:spacing w:before="60" w:line="234" w:lineRule="auto"/>
              <w:ind w:left="229"/>
              <w:rPr>
                <w:rFonts w:ascii="等线" w:hAnsi="等线" w:eastAsia="等线" w:cs="等线"/>
                <w:sz w:val="18"/>
                <w:szCs w:val="18"/>
              </w:rPr>
            </w:pPr>
            <w:r>
              <w:rPr>
                <w:rFonts w:ascii="等线" w:hAnsi="等线" w:eastAsia="等线" w:cs="等线"/>
                <w:sz w:val="18"/>
                <w:szCs w:val="18"/>
              </w:rPr>
              <w:t>锰</w:t>
            </w:r>
          </w:p>
        </w:tc>
        <w:tc>
          <w:tcPr>
            <w:tcW w:w="708" w:type="dxa"/>
            <w:tcBorders>
              <w:top w:val="single" w:color="000000" w:sz="12" w:space="0"/>
            </w:tcBorders>
            <w:vAlign w:val="top"/>
          </w:tcPr>
          <w:p w14:paraId="2019E5F4">
            <w:pPr>
              <w:spacing w:line="293" w:lineRule="auto"/>
              <w:rPr>
                <w:rFonts w:ascii="Arial"/>
                <w:sz w:val="21"/>
              </w:rPr>
            </w:pPr>
          </w:p>
          <w:p w14:paraId="2ED50F0D">
            <w:pPr>
              <w:spacing w:before="61" w:line="228" w:lineRule="auto"/>
              <w:ind w:left="259"/>
              <w:rPr>
                <w:rFonts w:ascii="等线" w:hAnsi="等线" w:eastAsia="等线" w:cs="等线"/>
                <w:sz w:val="18"/>
                <w:szCs w:val="18"/>
              </w:rPr>
            </w:pPr>
            <w:r>
              <w:rPr>
                <w:rFonts w:ascii="等线" w:hAnsi="等线" w:eastAsia="等线" w:cs="等线"/>
                <w:sz w:val="18"/>
                <w:szCs w:val="18"/>
              </w:rPr>
              <w:t>铜</w:t>
            </w:r>
          </w:p>
        </w:tc>
        <w:tc>
          <w:tcPr>
            <w:tcW w:w="707" w:type="dxa"/>
            <w:tcBorders>
              <w:top w:val="single" w:color="000000" w:sz="12" w:space="0"/>
            </w:tcBorders>
            <w:vAlign w:val="top"/>
          </w:tcPr>
          <w:p w14:paraId="036E8E1C">
            <w:pPr>
              <w:spacing w:line="293" w:lineRule="auto"/>
              <w:rPr>
                <w:rFonts w:ascii="Arial"/>
                <w:sz w:val="21"/>
              </w:rPr>
            </w:pPr>
          </w:p>
          <w:p w14:paraId="2AAD03CF">
            <w:pPr>
              <w:spacing w:before="61" w:line="226" w:lineRule="auto"/>
              <w:ind w:left="259"/>
              <w:rPr>
                <w:rFonts w:ascii="等线" w:hAnsi="等线" w:eastAsia="等线" w:cs="等线"/>
                <w:sz w:val="18"/>
                <w:szCs w:val="18"/>
              </w:rPr>
            </w:pPr>
            <w:r>
              <w:rPr>
                <w:rFonts w:ascii="等线" w:hAnsi="等线" w:eastAsia="等线" w:cs="等线"/>
                <w:sz w:val="18"/>
                <w:szCs w:val="18"/>
              </w:rPr>
              <w:t>锌</w:t>
            </w:r>
          </w:p>
        </w:tc>
        <w:tc>
          <w:tcPr>
            <w:tcW w:w="766" w:type="dxa"/>
            <w:tcBorders>
              <w:top w:val="single" w:color="000000" w:sz="12" w:space="0"/>
            </w:tcBorders>
            <w:vAlign w:val="top"/>
          </w:tcPr>
          <w:p w14:paraId="59076F31">
            <w:pPr>
              <w:spacing w:line="293" w:lineRule="auto"/>
              <w:rPr>
                <w:rFonts w:ascii="Arial"/>
                <w:sz w:val="21"/>
              </w:rPr>
            </w:pPr>
          </w:p>
          <w:p w14:paraId="5D21BF63">
            <w:pPr>
              <w:spacing w:before="61" w:line="228" w:lineRule="auto"/>
              <w:ind w:left="109"/>
              <w:rPr>
                <w:rFonts w:ascii="等线" w:hAnsi="等线" w:eastAsia="等线" w:cs="等线"/>
                <w:sz w:val="18"/>
                <w:szCs w:val="18"/>
              </w:rPr>
            </w:pPr>
            <w:r>
              <w:rPr>
                <w:rFonts w:ascii="等线" w:hAnsi="等线" w:eastAsia="等线" w:cs="等线"/>
                <w:spacing w:val="-2"/>
                <w:sz w:val="18"/>
                <w:szCs w:val="18"/>
              </w:rPr>
              <w:t>氯化物</w:t>
            </w:r>
          </w:p>
        </w:tc>
        <w:tc>
          <w:tcPr>
            <w:tcW w:w="595" w:type="dxa"/>
            <w:tcBorders>
              <w:top w:val="single" w:color="000000" w:sz="12" w:space="0"/>
            </w:tcBorders>
            <w:vAlign w:val="top"/>
          </w:tcPr>
          <w:p w14:paraId="369AB4F6">
            <w:pPr>
              <w:spacing w:line="293" w:lineRule="auto"/>
              <w:rPr>
                <w:rFonts w:ascii="Arial"/>
                <w:sz w:val="21"/>
              </w:rPr>
            </w:pPr>
          </w:p>
          <w:p w14:paraId="061B733D">
            <w:pPr>
              <w:spacing w:before="61" w:line="226" w:lineRule="auto"/>
              <w:ind w:left="25"/>
              <w:rPr>
                <w:rFonts w:ascii="等线" w:hAnsi="等线" w:eastAsia="等线" w:cs="等线"/>
                <w:sz w:val="18"/>
                <w:szCs w:val="18"/>
              </w:rPr>
            </w:pPr>
            <w:r>
              <w:rPr>
                <w:rFonts w:ascii="等线" w:hAnsi="等线" w:eastAsia="等线" w:cs="等线"/>
                <w:spacing w:val="-2"/>
                <w:sz w:val="18"/>
                <w:szCs w:val="18"/>
              </w:rPr>
              <w:t>硫酸盐</w:t>
            </w:r>
          </w:p>
        </w:tc>
        <w:tc>
          <w:tcPr>
            <w:tcW w:w="955" w:type="dxa"/>
            <w:tcBorders>
              <w:top w:val="single" w:color="000000" w:sz="12" w:space="0"/>
            </w:tcBorders>
            <w:vAlign w:val="top"/>
          </w:tcPr>
          <w:p w14:paraId="48F37498">
            <w:pPr>
              <w:spacing w:before="235" w:line="246" w:lineRule="auto"/>
              <w:ind w:left="382" w:right="23" w:hanging="352"/>
              <w:rPr>
                <w:rFonts w:ascii="等线" w:hAnsi="等线" w:eastAsia="等线" w:cs="等线"/>
                <w:sz w:val="18"/>
                <w:szCs w:val="18"/>
              </w:rPr>
            </w:pPr>
            <w:r>
              <w:rPr>
                <w:rFonts w:ascii="等线" w:hAnsi="等线" w:eastAsia="等线" w:cs="等线"/>
                <w:spacing w:val="-2"/>
                <w:sz w:val="18"/>
                <w:szCs w:val="18"/>
              </w:rPr>
              <w:t>溶解性总固</w:t>
            </w:r>
            <w:r>
              <w:rPr>
                <w:rFonts w:ascii="等线" w:hAnsi="等线" w:eastAsia="等线" w:cs="等线"/>
                <w:sz w:val="18"/>
                <w:szCs w:val="18"/>
              </w:rPr>
              <w:t>体</w:t>
            </w:r>
          </w:p>
        </w:tc>
        <w:tc>
          <w:tcPr>
            <w:tcW w:w="506" w:type="dxa"/>
            <w:tcBorders>
              <w:top w:val="single" w:color="000000" w:sz="12" w:space="0"/>
            </w:tcBorders>
            <w:vAlign w:val="top"/>
          </w:tcPr>
          <w:p w14:paraId="2805FFD9">
            <w:pPr>
              <w:spacing w:before="235" w:line="245" w:lineRule="auto"/>
              <w:ind w:left="164" w:right="68" w:hanging="84"/>
              <w:rPr>
                <w:rFonts w:ascii="等线" w:hAnsi="等线" w:eastAsia="等线" w:cs="等线"/>
                <w:sz w:val="18"/>
                <w:szCs w:val="18"/>
              </w:rPr>
            </w:pPr>
            <w:r>
              <w:rPr>
                <w:rFonts w:ascii="等线" w:hAnsi="等线" w:eastAsia="等线" w:cs="等线"/>
                <w:spacing w:val="-7"/>
                <w:sz w:val="18"/>
                <w:szCs w:val="18"/>
              </w:rPr>
              <w:t>总硬</w:t>
            </w:r>
            <w:r>
              <w:rPr>
                <w:rFonts w:ascii="等线" w:hAnsi="等线" w:eastAsia="等线" w:cs="等线"/>
                <w:sz w:val="18"/>
                <w:szCs w:val="18"/>
              </w:rPr>
              <w:t>度</w:t>
            </w:r>
          </w:p>
        </w:tc>
        <w:tc>
          <w:tcPr>
            <w:tcW w:w="707" w:type="dxa"/>
            <w:tcBorders>
              <w:top w:val="single" w:color="000000" w:sz="12" w:space="0"/>
            </w:tcBorders>
            <w:vAlign w:val="top"/>
          </w:tcPr>
          <w:p w14:paraId="0FC00ECF">
            <w:pPr>
              <w:spacing w:line="293" w:lineRule="auto"/>
              <w:rPr>
                <w:rFonts w:ascii="Arial"/>
                <w:sz w:val="21"/>
              </w:rPr>
            </w:pPr>
          </w:p>
          <w:p w14:paraId="6FE3F14F">
            <w:pPr>
              <w:spacing w:before="61" w:line="225" w:lineRule="auto"/>
              <w:ind w:left="81"/>
              <w:rPr>
                <w:rFonts w:ascii="等线" w:hAnsi="等线" w:eastAsia="等线" w:cs="等线"/>
                <w:sz w:val="18"/>
                <w:szCs w:val="18"/>
              </w:rPr>
            </w:pPr>
            <w:r>
              <w:rPr>
                <w:rFonts w:ascii="等线" w:hAnsi="等线" w:eastAsia="等线" w:cs="等线"/>
                <w:spacing w:val="-1"/>
                <w:sz w:val="18"/>
                <w:szCs w:val="18"/>
              </w:rPr>
              <w:t>耗氧量</w:t>
            </w:r>
          </w:p>
        </w:tc>
        <w:tc>
          <w:tcPr>
            <w:tcW w:w="708" w:type="dxa"/>
            <w:tcBorders>
              <w:top w:val="single" w:color="000000" w:sz="12" w:space="0"/>
            </w:tcBorders>
            <w:vAlign w:val="top"/>
          </w:tcPr>
          <w:p w14:paraId="2ACD619B">
            <w:pPr>
              <w:spacing w:line="293" w:lineRule="auto"/>
              <w:rPr>
                <w:rFonts w:ascii="Arial"/>
                <w:sz w:val="21"/>
              </w:rPr>
            </w:pPr>
          </w:p>
          <w:p w14:paraId="26DC6014">
            <w:pPr>
              <w:spacing w:before="61" w:line="227" w:lineRule="auto"/>
              <w:ind w:left="88"/>
              <w:rPr>
                <w:rFonts w:ascii="等线" w:hAnsi="等线" w:eastAsia="等线" w:cs="等线"/>
                <w:sz w:val="18"/>
                <w:szCs w:val="18"/>
              </w:rPr>
            </w:pPr>
            <w:r>
              <w:rPr>
                <w:rFonts w:ascii="等线" w:hAnsi="等线" w:eastAsia="等线" w:cs="等线"/>
                <w:spacing w:val="-2"/>
                <w:sz w:val="18"/>
                <w:szCs w:val="18"/>
              </w:rPr>
              <w:t>挥发酚</w:t>
            </w:r>
          </w:p>
        </w:tc>
        <w:tc>
          <w:tcPr>
            <w:tcW w:w="663" w:type="dxa"/>
            <w:tcBorders>
              <w:top w:val="single" w:color="000000" w:sz="12" w:space="0"/>
            </w:tcBorders>
            <w:vAlign w:val="top"/>
          </w:tcPr>
          <w:p w14:paraId="3C1ECC78">
            <w:pPr>
              <w:spacing w:before="112" w:line="226" w:lineRule="auto"/>
              <w:ind w:left="82"/>
              <w:rPr>
                <w:rFonts w:ascii="等线" w:hAnsi="等线" w:eastAsia="等线" w:cs="等线"/>
                <w:sz w:val="18"/>
                <w:szCs w:val="18"/>
              </w:rPr>
            </w:pPr>
            <w:r>
              <w:rPr>
                <w:rFonts w:ascii="等线" w:hAnsi="等线" w:eastAsia="等线" w:cs="等线"/>
                <w:spacing w:val="-6"/>
                <w:sz w:val="18"/>
                <w:szCs w:val="18"/>
              </w:rPr>
              <w:t>阴离子</w:t>
            </w:r>
          </w:p>
          <w:p w14:paraId="1E2CD8B6">
            <w:pPr>
              <w:spacing w:before="13" w:line="247" w:lineRule="auto"/>
              <w:ind w:left="159" w:right="53" w:hanging="93"/>
              <w:rPr>
                <w:rFonts w:ascii="等线" w:hAnsi="等线" w:eastAsia="等线" w:cs="等线"/>
                <w:sz w:val="18"/>
                <w:szCs w:val="18"/>
              </w:rPr>
            </w:pPr>
            <w:r>
              <w:rPr>
                <w:rFonts w:ascii="等线" w:hAnsi="等线" w:eastAsia="等线" w:cs="等线"/>
                <w:spacing w:val="-3"/>
                <w:sz w:val="18"/>
                <w:szCs w:val="18"/>
              </w:rPr>
              <w:t>表面活性剂</w:t>
            </w:r>
          </w:p>
        </w:tc>
        <w:tc>
          <w:tcPr>
            <w:tcW w:w="664" w:type="dxa"/>
            <w:tcBorders>
              <w:top w:val="single" w:color="000000" w:sz="12" w:space="0"/>
            </w:tcBorders>
            <w:vAlign w:val="top"/>
          </w:tcPr>
          <w:p w14:paraId="02DA02C6">
            <w:pPr>
              <w:spacing w:line="293" w:lineRule="auto"/>
              <w:rPr>
                <w:rFonts w:ascii="Arial"/>
                <w:sz w:val="21"/>
              </w:rPr>
            </w:pPr>
          </w:p>
          <w:p w14:paraId="155A20D2">
            <w:pPr>
              <w:spacing w:before="61" w:line="226" w:lineRule="auto"/>
              <w:ind w:left="246"/>
              <w:rPr>
                <w:rFonts w:ascii="等线" w:hAnsi="等线" w:eastAsia="等线" w:cs="等线"/>
                <w:sz w:val="18"/>
                <w:szCs w:val="18"/>
              </w:rPr>
            </w:pPr>
            <w:r>
              <w:rPr>
                <w:rFonts w:ascii="等线" w:hAnsi="等线" w:eastAsia="等线" w:cs="等线"/>
                <w:sz w:val="18"/>
                <w:szCs w:val="18"/>
              </w:rPr>
              <w:t>砷</w:t>
            </w:r>
          </w:p>
        </w:tc>
        <w:tc>
          <w:tcPr>
            <w:tcW w:w="782" w:type="dxa"/>
            <w:tcBorders>
              <w:top w:val="single" w:color="000000" w:sz="12" w:space="0"/>
            </w:tcBorders>
            <w:vAlign w:val="top"/>
          </w:tcPr>
          <w:p w14:paraId="62AE21E6">
            <w:pPr>
              <w:spacing w:line="293" w:lineRule="auto"/>
              <w:rPr>
                <w:rFonts w:ascii="Arial"/>
                <w:sz w:val="21"/>
              </w:rPr>
            </w:pPr>
          </w:p>
          <w:p w14:paraId="54ABA31E">
            <w:pPr>
              <w:spacing w:before="61" w:line="228" w:lineRule="auto"/>
              <w:ind w:left="305"/>
              <w:rPr>
                <w:rFonts w:ascii="等线" w:hAnsi="等线" w:eastAsia="等线" w:cs="等线"/>
                <w:sz w:val="18"/>
                <w:szCs w:val="18"/>
              </w:rPr>
            </w:pPr>
            <w:r>
              <w:rPr>
                <w:rFonts w:ascii="等线" w:hAnsi="等线" w:eastAsia="等线" w:cs="等线"/>
                <w:sz w:val="18"/>
                <w:szCs w:val="18"/>
              </w:rPr>
              <w:t>镉</w:t>
            </w:r>
          </w:p>
        </w:tc>
        <w:tc>
          <w:tcPr>
            <w:tcW w:w="663" w:type="dxa"/>
            <w:tcBorders>
              <w:top w:val="single" w:color="000000" w:sz="12" w:space="0"/>
            </w:tcBorders>
            <w:vAlign w:val="top"/>
          </w:tcPr>
          <w:p w14:paraId="278BB851">
            <w:pPr>
              <w:spacing w:line="293" w:lineRule="auto"/>
              <w:rPr>
                <w:rFonts w:ascii="Arial"/>
                <w:sz w:val="21"/>
              </w:rPr>
            </w:pPr>
          </w:p>
          <w:p w14:paraId="5CBB7B91">
            <w:pPr>
              <w:spacing w:before="61" w:line="226" w:lineRule="auto"/>
              <w:ind w:left="73"/>
              <w:rPr>
                <w:rFonts w:ascii="等线" w:hAnsi="等线" w:eastAsia="等线" w:cs="等线"/>
                <w:sz w:val="18"/>
                <w:szCs w:val="18"/>
              </w:rPr>
            </w:pPr>
            <w:r>
              <w:rPr>
                <w:rFonts w:ascii="等线" w:hAnsi="等线" w:eastAsia="等线" w:cs="等线"/>
                <w:spacing w:val="-3"/>
                <w:sz w:val="18"/>
                <w:szCs w:val="18"/>
              </w:rPr>
              <w:t>六价铬</w:t>
            </w:r>
          </w:p>
        </w:tc>
        <w:tc>
          <w:tcPr>
            <w:tcW w:w="737" w:type="dxa"/>
            <w:tcBorders>
              <w:top w:val="single" w:color="000000" w:sz="12" w:space="0"/>
            </w:tcBorders>
            <w:vAlign w:val="top"/>
          </w:tcPr>
          <w:p w14:paraId="235E54B2">
            <w:pPr>
              <w:spacing w:line="293" w:lineRule="auto"/>
              <w:rPr>
                <w:rFonts w:ascii="Arial"/>
                <w:sz w:val="21"/>
              </w:rPr>
            </w:pPr>
          </w:p>
          <w:p w14:paraId="59505C82">
            <w:pPr>
              <w:spacing w:before="61" w:line="227" w:lineRule="auto"/>
              <w:ind w:left="285"/>
              <w:rPr>
                <w:rFonts w:ascii="等线" w:hAnsi="等线" w:eastAsia="等线" w:cs="等线"/>
                <w:sz w:val="18"/>
                <w:szCs w:val="18"/>
              </w:rPr>
            </w:pPr>
            <w:r>
              <w:rPr>
                <w:rFonts w:ascii="等线" w:hAnsi="等线" w:eastAsia="等线" w:cs="等线"/>
                <w:sz w:val="18"/>
                <w:szCs w:val="18"/>
              </w:rPr>
              <w:t>铅</w:t>
            </w:r>
          </w:p>
        </w:tc>
        <w:tc>
          <w:tcPr>
            <w:tcW w:w="737" w:type="dxa"/>
            <w:tcBorders>
              <w:top w:val="single" w:color="000000" w:sz="12" w:space="0"/>
            </w:tcBorders>
            <w:vAlign w:val="top"/>
          </w:tcPr>
          <w:p w14:paraId="2FD3F336">
            <w:pPr>
              <w:spacing w:line="293" w:lineRule="auto"/>
              <w:rPr>
                <w:rFonts w:ascii="Arial"/>
                <w:sz w:val="21"/>
              </w:rPr>
            </w:pPr>
          </w:p>
          <w:p w14:paraId="4DD7E6D1">
            <w:pPr>
              <w:spacing w:before="61" w:line="228" w:lineRule="auto"/>
              <w:ind w:left="288"/>
              <w:rPr>
                <w:rFonts w:ascii="等线" w:hAnsi="等线" w:eastAsia="等线" w:cs="等线"/>
                <w:sz w:val="18"/>
                <w:szCs w:val="18"/>
              </w:rPr>
            </w:pPr>
            <w:r>
              <w:rPr>
                <w:rFonts w:ascii="等线" w:hAnsi="等线" w:eastAsia="等线" w:cs="等线"/>
                <w:sz w:val="18"/>
                <w:szCs w:val="18"/>
              </w:rPr>
              <w:t>汞</w:t>
            </w:r>
          </w:p>
        </w:tc>
        <w:tc>
          <w:tcPr>
            <w:tcW w:w="754" w:type="dxa"/>
            <w:tcBorders>
              <w:top w:val="single" w:color="000000" w:sz="12" w:space="0"/>
            </w:tcBorders>
            <w:vAlign w:val="top"/>
          </w:tcPr>
          <w:p w14:paraId="2FD79C5D">
            <w:pPr>
              <w:spacing w:line="293" w:lineRule="auto"/>
              <w:rPr>
                <w:rFonts w:ascii="Arial"/>
                <w:sz w:val="21"/>
              </w:rPr>
            </w:pPr>
          </w:p>
          <w:p w14:paraId="2A0E77A6">
            <w:pPr>
              <w:spacing w:before="61" w:line="230" w:lineRule="auto"/>
              <w:ind w:left="297"/>
              <w:rPr>
                <w:rFonts w:ascii="等线" w:hAnsi="等线" w:eastAsia="等线" w:cs="等线"/>
                <w:sz w:val="18"/>
                <w:szCs w:val="18"/>
              </w:rPr>
            </w:pPr>
            <w:r>
              <w:rPr>
                <w:rFonts w:ascii="等线" w:hAnsi="等线" w:eastAsia="等线" w:cs="等线"/>
                <w:sz w:val="18"/>
                <w:szCs w:val="18"/>
              </w:rPr>
              <w:t>硒</w:t>
            </w:r>
          </w:p>
        </w:tc>
        <w:tc>
          <w:tcPr>
            <w:tcW w:w="667" w:type="dxa"/>
            <w:tcBorders>
              <w:top w:val="single" w:color="000000" w:sz="12" w:space="0"/>
            </w:tcBorders>
            <w:vAlign w:val="top"/>
          </w:tcPr>
          <w:p w14:paraId="632B7302">
            <w:pPr>
              <w:spacing w:line="293" w:lineRule="auto"/>
              <w:rPr>
                <w:rFonts w:ascii="Arial"/>
                <w:sz w:val="21"/>
              </w:rPr>
            </w:pPr>
          </w:p>
          <w:p w14:paraId="2CCE4E77">
            <w:pPr>
              <w:spacing w:before="61" w:line="227" w:lineRule="auto"/>
              <w:ind w:left="74"/>
              <w:rPr>
                <w:rFonts w:ascii="等线" w:hAnsi="等线" w:eastAsia="等线" w:cs="等线"/>
                <w:sz w:val="18"/>
                <w:szCs w:val="18"/>
              </w:rPr>
            </w:pPr>
            <w:r>
              <w:rPr>
                <w:rFonts w:ascii="等线" w:hAnsi="等线" w:eastAsia="等线" w:cs="等线"/>
                <w:spacing w:val="-2"/>
                <w:sz w:val="18"/>
                <w:szCs w:val="18"/>
              </w:rPr>
              <w:t>氰化物</w:t>
            </w:r>
          </w:p>
        </w:tc>
        <w:tc>
          <w:tcPr>
            <w:tcW w:w="544" w:type="dxa"/>
            <w:tcBorders>
              <w:top w:val="single" w:color="000000" w:sz="12" w:space="0"/>
            </w:tcBorders>
            <w:vAlign w:val="top"/>
          </w:tcPr>
          <w:p w14:paraId="130CE5AB">
            <w:pPr>
              <w:spacing w:before="235" w:line="246" w:lineRule="auto"/>
              <w:ind w:left="194" w:right="76" w:hanging="90"/>
              <w:rPr>
                <w:rFonts w:ascii="等线" w:hAnsi="等线" w:eastAsia="等线" w:cs="等线"/>
                <w:sz w:val="18"/>
                <w:szCs w:val="18"/>
              </w:rPr>
            </w:pPr>
            <w:r>
              <w:rPr>
                <w:rFonts w:ascii="等线" w:hAnsi="等线" w:eastAsia="等线" w:cs="等线"/>
                <w:spacing w:val="-4"/>
                <w:sz w:val="18"/>
                <w:szCs w:val="18"/>
              </w:rPr>
              <w:t>氟化</w:t>
            </w:r>
            <w:r>
              <w:rPr>
                <w:rFonts w:ascii="等线" w:hAnsi="等线" w:eastAsia="等线" w:cs="等线"/>
                <w:sz w:val="18"/>
                <w:szCs w:val="18"/>
              </w:rPr>
              <w:t>物</w:t>
            </w:r>
          </w:p>
        </w:tc>
        <w:tc>
          <w:tcPr>
            <w:tcW w:w="434" w:type="dxa"/>
            <w:tcBorders>
              <w:top w:val="single" w:color="000000" w:sz="12" w:space="0"/>
            </w:tcBorders>
            <w:vAlign w:val="top"/>
          </w:tcPr>
          <w:p w14:paraId="1F2383DC">
            <w:pPr>
              <w:spacing w:before="235" w:line="248" w:lineRule="auto"/>
              <w:ind w:left="142" w:right="20" w:hanging="94"/>
              <w:rPr>
                <w:rFonts w:ascii="等线" w:hAnsi="等线" w:eastAsia="等线" w:cs="等线"/>
                <w:sz w:val="18"/>
                <w:szCs w:val="18"/>
              </w:rPr>
            </w:pPr>
            <w:r>
              <w:rPr>
                <w:rFonts w:ascii="等线" w:hAnsi="等线" w:eastAsia="等线" w:cs="等线"/>
                <w:spacing w:val="-3"/>
                <w:sz w:val="18"/>
                <w:szCs w:val="18"/>
              </w:rPr>
              <w:t>硝酸</w:t>
            </w:r>
            <w:r>
              <w:rPr>
                <w:rFonts w:ascii="等线" w:hAnsi="等线" w:eastAsia="等线" w:cs="等线"/>
                <w:sz w:val="18"/>
                <w:szCs w:val="18"/>
              </w:rPr>
              <w:t>盐</w:t>
            </w:r>
          </w:p>
        </w:tc>
        <w:tc>
          <w:tcPr>
            <w:tcW w:w="1015" w:type="dxa"/>
            <w:tcBorders>
              <w:top w:val="single" w:color="000000" w:sz="12" w:space="0"/>
            </w:tcBorders>
            <w:vAlign w:val="top"/>
          </w:tcPr>
          <w:p w14:paraId="42365BF9">
            <w:pPr>
              <w:pStyle w:val="6"/>
              <w:spacing w:before="253" w:line="263" w:lineRule="auto"/>
              <w:ind w:left="38" w:right="11" w:firstLine="40"/>
              <w:rPr>
                <w:sz w:val="18"/>
                <w:szCs w:val="18"/>
              </w:rPr>
            </w:pPr>
            <w:r>
              <w:rPr>
                <w:rFonts w:ascii="等线" w:hAnsi="等线" w:eastAsia="等线" w:cs="等线"/>
                <w:spacing w:val="-3"/>
                <w:sz w:val="18"/>
                <w:szCs w:val="18"/>
              </w:rPr>
              <w:t>总大肠菌群</w:t>
            </w:r>
            <w:r>
              <w:rPr>
                <w:spacing w:val="-1"/>
                <w:sz w:val="18"/>
                <w:szCs w:val="18"/>
              </w:rPr>
              <w:t>MPN/100mL</w:t>
            </w:r>
          </w:p>
        </w:tc>
        <w:tc>
          <w:tcPr>
            <w:tcW w:w="721" w:type="dxa"/>
            <w:tcBorders>
              <w:top w:val="single" w:color="000000" w:sz="12" w:space="0"/>
              <w:right w:val="single" w:color="000000" w:sz="12" w:space="0"/>
            </w:tcBorders>
            <w:vAlign w:val="top"/>
          </w:tcPr>
          <w:p w14:paraId="69270358">
            <w:pPr>
              <w:spacing w:before="132" w:line="245" w:lineRule="auto"/>
              <w:ind w:left="281" w:right="69" w:hanging="180"/>
              <w:rPr>
                <w:rFonts w:ascii="等线" w:hAnsi="等线" w:eastAsia="等线" w:cs="等线"/>
                <w:sz w:val="18"/>
                <w:szCs w:val="18"/>
              </w:rPr>
            </w:pPr>
            <w:r>
              <w:rPr>
                <w:rFonts w:ascii="等线" w:hAnsi="等线" w:eastAsia="等线" w:cs="等线"/>
                <w:spacing w:val="-4"/>
                <w:sz w:val="18"/>
                <w:szCs w:val="18"/>
              </w:rPr>
              <w:t>菌落总</w:t>
            </w:r>
            <w:r>
              <w:rPr>
                <w:rFonts w:ascii="等线" w:hAnsi="等线" w:eastAsia="等线" w:cs="等线"/>
                <w:sz w:val="18"/>
                <w:szCs w:val="18"/>
              </w:rPr>
              <w:t>数</w:t>
            </w:r>
          </w:p>
          <w:p w14:paraId="72965016">
            <w:pPr>
              <w:pStyle w:val="6"/>
              <w:spacing w:line="231" w:lineRule="auto"/>
              <w:ind w:left="42"/>
              <w:rPr>
                <w:sz w:val="18"/>
                <w:szCs w:val="18"/>
              </w:rPr>
            </w:pPr>
            <w:r>
              <w:rPr>
                <w:spacing w:val="-2"/>
                <w:sz w:val="18"/>
                <w:szCs w:val="18"/>
              </w:rPr>
              <w:t>CFU/mL</w:t>
            </w:r>
          </w:p>
        </w:tc>
      </w:tr>
      <w:tr w14:paraId="67D6A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restart"/>
            <w:tcBorders>
              <w:left w:val="single" w:color="000000" w:sz="12" w:space="0"/>
              <w:bottom w:val="nil"/>
            </w:tcBorders>
            <w:vAlign w:val="top"/>
          </w:tcPr>
          <w:p w14:paraId="48E182AF">
            <w:pPr>
              <w:spacing w:line="249" w:lineRule="auto"/>
              <w:rPr>
                <w:rFonts w:ascii="Arial"/>
                <w:sz w:val="21"/>
              </w:rPr>
            </w:pPr>
          </w:p>
          <w:p w14:paraId="0A20F362">
            <w:pPr>
              <w:spacing w:line="249" w:lineRule="auto"/>
              <w:rPr>
                <w:rFonts w:ascii="Arial"/>
                <w:sz w:val="21"/>
              </w:rPr>
            </w:pPr>
          </w:p>
          <w:p w14:paraId="725EC32D">
            <w:pPr>
              <w:spacing w:line="250" w:lineRule="auto"/>
              <w:rPr>
                <w:rFonts w:ascii="Arial"/>
                <w:sz w:val="21"/>
              </w:rPr>
            </w:pPr>
          </w:p>
          <w:p w14:paraId="2365EB78">
            <w:pPr>
              <w:spacing w:line="250" w:lineRule="auto"/>
              <w:rPr>
                <w:rFonts w:ascii="Arial"/>
                <w:sz w:val="21"/>
              </w:rPr>
            </w:pPr>
          </w:p>
          <w:p w14:paraId="453E1511">
            <w:pPr>
              <w:spacing w:line="250" w:lineRule="auto"/>
              <w:rPr>
                <w:rFonts w:ascii="Arial"/>
                <w:sz w:val="21"/>
              </w:rPr>
            </w:pPr>
          </w:p>
          <w:p w14:paraId="17456DE2">
            <w:pPr>
              <w:spacing w:line="250" w:lineRule="auto"/>
              <w:rPr>
                <w:rFonts w:ascii="Arial"/>
                <w:sz w:val="21"/>
              </w:rPr>
            </w:pPr>
          </w:p>
          <w:p w14:paraId="0E21C1D7">
            <w:pPr>
              <w:spacing w:line="250" w:lineRule="auto"/>
              <w:rPr>
                <w:rFonts w:ascii="Arial"/>
                <w:sz w:val="21"/>
              </w:rPr>
            </w:pPr>
          </w:p>
          <w:p w14:paraId="76C816A7">
            <w:pPr>
              <w:spacing w:line="250" w:lineRule="auto"/>
              <w:rPr>
                <w:rFonts w:ascii="Arial"/>
                <w:sz w:val="21"/>
              </w:rPr>
            </w:pPr>
          </w:p>
          <w:p w14:paraId="61D2D48E">
            <w:pPr>
              <w:spacing w:line="250" w:lineRule="auto"/>
              <w:rPr>
                <w:rFonts w:ascii="Arial"/>
                <w:sz w:val="21"/>
              </w:rPr>
            </w:pPr>
          </w:p>
          <w:p w14:paraId="57410DF6">
            <w:pPr>
              <w:spacing w:before="61" w:line="226" w:lineRule="auto"/>
              <w:ind w:left="49"/>
              <w:rPr>
                <w:rFonts w:ascii="等线" w:hAnsi="等线" w:eastAsia="等线" w:cs="等线"/>
                <w:sz w:val="18"/>
                <w:szCs w:val="18"/>
              </w:rPr>
            </w:pPr>
            <w:r>
              <w:rPr>
                <w:rFonts w:ascii="等线" w:hAnsi="等线" w:eastAsia="等线" w:cs="等线"/>
                <w:spacing w:val="-2"/>
                <w:sz w:val="18"/>
                <w:szCs w:val="18"/>
              </w:rPr>
              <w:t>枢纽</w:t>
            </w:r>
          </w:p>
          <w:p w14:paraId="14C6D94A">
            <w:pPr>
              <w:spacing w:before="13" w:line="230" w:lineRule="auto"/>
              <w:ind w:left="56"/>
              <w:outlineLvl w:val="1"/>
              <w:rPr>
                <w:rFonts w:ascii="等线" w:hAnsi="等线" w:eastAsia="等线" w:cs="等线"/>
                <w:sz w:val="18"/>
                <w:szCs w:val="18"/>
              </w:rPr>
            </w:pPr>
            <w:bookmarkStart w:id="31" w:name="bookmark38"/>
            <w:bookmarkEnd w:id="31"/>
            <w:r>
              <w:rPr>
                <w:rFonts w:ascii="等线" w:hAnsi="等线" w:eastAsia="等线" w:cs="等线"/>
                <w:spacing w:val="-4"/>
                <w:sz w:val="18"/>
                <w:szCs w:val="18"/>
              </w:rPr>
              <w:t>工程</w:t>
            </w:r>
          </w:p>
          <w:p w14:paraId="7D36DE33">
            <w:pPr>
              <w:spacing w:before="10" w:line="243" w:lineRule="auto"/>
              <w:ind w:left="47" w:right="68" w:firstLine="5"/>
              <w:jc w:val="both"/>
              <w:rPr>
                <w:rFonts w:ascii="等线" w:hAnsi="等线" w:eastAsia="等线" w:cs="等线"/>
                <w:sz w:val="18"/>
                <w:szCs w:val="18"/>
              </w:rPr>
            </w:pPr>
            <w:r>
              <w:rPr>
                <w:rFonts w:ascii="等线" w:hAnsi="等线" w:eastAsia="等线" w:cs="等线"/>
                <w:spacing w:val="-6"/>
                <w:sz w:val="18"/>
                <w:szCs w:val="18"/>
              </w:rPr>
              <w:t>生活</w:t>
            </w:r>
            <w:r>
              <w:rPr>
                <w:rFonts w:ascii="等线" w:hAnsi="等线" w:eastAsia="等线" w:cs="等线"/>
                <w:spacing w:val="-3"/>
                <w:sz w:val="18"/>
                <w:szCs w:val="18"/>
              </w:rPr>
              <w:t>饮用水供水处</w:t>
            </w:r>
          </w:p>
        </w:tc>
        <w:tc>
          <w:tcPr>
            <w:tcW w:w="272" w:type="dxa"/>
            <w:vMerge w:val="restart"/>
            <w:tcBorders>
              <w:bottom w:val="nil"/>
            </w:tcBorders>
            <w:vAlign w:val="top"/>
          </w:tcPr>
          <w:p w14:paraId="4153028B">
            <w:pPr>
              <w:spacing w:line="386" w:lineRule="auto"/>
              <w:rPr>
                <w:rFonts w:ascii="Arial"/>
                <w:sz w:val="21"/>
              </w:rPr>
            </w:pPr>
          </w:p>
          <w:p w14:paraId="3E553970">
            <w:pPr>
              <w:pStyle w:val="6"/>
              <w:spacing w:before="52" w:line="235" w:lineRule="auto"/>
              <w:ind w:left="33" w:right="55"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004" w:type="dxa"/>
            <w:vAlign w:val="top"/>
          </w:tcPr>
          <w:p w14:paraId="2B657555">
            <w:pPr>
              <w:pStyle w:val="6"/>
              <w:spacing w:before="179" w:line="232" w:lineRule="auto"/>
              <w:ind w:left="122"/>
              <w:rPr>
                <w:sz w:val="18"/>
                <w:szCs w:val="18"/>
              </w:rPr>
            </w:pPr>
            <w:r>
              <w:rPr>
                <w:spacing w:val="-1"/>
                <w:sz w:val="18"/>
                <w:szCs w:val="18"/>
              </w:rPr>
              <w:t>2019/1/15</w:t>
            </w:r>
          </w:p>
        </w:tc>
        <w:tc>
          <w:tcPr>
            <w:tcW w:w="686" w:type="dxa"/>
            <w:vAlign w:val="top"/>
          </w:tcPr>
          <w:p w14:paraId="1A3843AF">
            <w:pPr>
              <w:pStyle w:val="6"/>
              <w:spacing w:before="184" w:line="183" w:lineRule="auto"/>
              <w:ind w:left="234"/>
              <w:rPr>
                <w:sz w:val="18"/>
                <w:szCs w:val="18"/>
              </w:rPr>
            </w:pPr>
            <w:r>
              <w:rPr>
                <w:spacing w:val="-2"/>
                <w:sz w:val="18"/>
                <w:szCs w:val="18"/>
              </w:rPr>
              <w:t>5L</w:t>
            </w:r>
          </w:p>
        </w:tc>
        <w:tc>
          <w:tcPr>
            <w:tcW w:w="923" w:type="dxa"/>
            <w:vAlign w:val="top"/>
          </w:tcPr>
          <w:p w14:paraId="70D3B0C5">
            <w:pPr>
              <w:pStyle w:val="6"/>
              <w:spacing w:before="179" w:line="232" w:lineRule="auto"/>
              <w:ind w:left="283"/>
              <w:rPr>
                <w:sz w:val="18"/>
                <w:szCs w:val="18"/>
              </w:rPr>
            </w:pPr>
            <w:r>
              <w:rPr>
                <w:spacing w:val="-2"/>
                <w:sz w:val="18"/>
                <w:szCs w:val="18"/>
              </w:rPr>
              <w:t>0.5L</w:t>
            </w:r>
          </w:p>
        </w:tc>
        <w:tc>
          <w:tcPr>
            <w:tcW w:w="708" w:type="dxa"/>
            <w:vAlign w:val="top"/>
          </w:tcPr>
          <w:p w14:paraId="34D3FF09">
            <w:pPr>
              <w:pStyle w:val="6"/>
              <w:spacing w:before="179" w:line="232" w:lineRule="auto"/>
              <w:ind w:left="189"/>
              <w:rPr>
                <w:sz w:val="18"/>
                <w:szCs w:val="18"/>
              </w:rPr>
            </w:pPr>
            <w:r>
              <w:rPr>
                <w:spacing w:val="-2"/>
                <w:sz w:val="18"/>
                <w:szCs w:val="18"/>
              </w:rPr>
              <w:t>6.75</w:t>
            </w:r>
          </w:p>
        </w:tc>
        <w:tc>
          <w:tcPr>
            <w:tcW w:w="850" w:type="dxa"/>
            <w:vAlign w:val="top"/>
          </w:tcPr>
          <w:p w14:paraId="4B4BC419">
            <w:pPr>
              <w:pStyle w:val="6"/>
              <w:spacing w:before="179" w:line="232" w:lineRule="auto"/>
              <w:ind w:left="159"/>
              <w:rPr>
                <w:sz w:val="18"/>
                <w:szCs w:val="18"/>
              </w:rPr>
            </w:pPr>
            <w:r>
              <w:rPr>
                <w:spacing w:val="-2"/>
                <w:sz w:val="18"/>
                <w:szCs w:val="18"/>
              </w:rPr>
              <w:t>0.040L</w:t>
            </w:r>
          </w:p>
        </w:tc>
        <w:tc>
          <w:tcPr>
            <w:tcW w:w="761" w:type="dxa"/>
            <w:vAlign w:val="top"/>
          </w:tcPr>
          <w:p w14:paraId="289B4A66">
            <w:pPr>
              <w:pStyle w:val="6"/>
              <w:spacing w:before="179" w:line="232" w:lineRule="auto"/>
              <w:ind w:left="125"/>
              <w:rPr>
                <w:sz w:val="18"/>
                <w:szCs w:val="18"/>
              </w:rPr>
            </w:pPr>
            <w:r>
              <w:rPr>
                <w:spacing w:val="-2"/>
                <w:sz w:val="18"/>
                <w:szCs w:val="18"/>
              </w:rPr>
              <w:t>0.0344</w:t>
            </w:r>
          </w:p>
        </w:tc>
        <w:tc>
          <w:tcPr>
            <w:tcW w:w="654" w:type="dxa"/>
            <w:vAlign w:val="top"/>
          </w:tcPr>
          <w:p w14:paraId="39EBE727">
            <w:pPr>
              <w:pStyle w:val="6"/>
              <w:spacing w:before="179" w:line="232" w:lineRule="auto"/>
              <w:ind w:left="73"/>
              <w:rPr>
                <w:sz w:val="18"/>
                <w:szCs w:val="18"/>
              </w:rPr>
            </w:pPr>
            <w:r>
              <w:rPr>
                <w:spacing w:val="-2"/>
                <w:sz w:val="18"/>
                <w:szCs w:val="18"/>
              </w:rPr>
              <w:t>0.0162</w:t>
            </w:r>
          </w:p>
        </w:tc>
        <w:tc>
          <w:tcPr>
            <w:tcW w:w="708" w:type="dxa"/>
            <w:vAlign w:val="top"/>
          </w:tcPr>
          <w:p w14:paraId="1C7C8DC7">
            <w:pPr>
              <w:pStyle w:val="6"/>
              <w:spacing w:before="179" w:line="232" w:lineRule="auto"/>
              <w:ind w:left="91"/>
              <w:rPr>
                <w:sz w:val="18"/>
                <w:szCs w:val="18"/>
              </w:rPr>
            </w:pPr>
            <w:r>
              <w:rPr>
                <w:spacing w:val="-2"/>
                <w:sz w:val="18"/>
                <w:szCs w:val="18"/>
              </w:rPr>
              <w:t>0.009L</w:t>
            </w:r>
          </w:p>
        </w:tc>
        <w:tc>
          <w:tcPr>
            <w:tcW w:w="707" w:type="dxa"/>
            <w:vAlign w:val="top"/>
          </w:tcPr>
          <w:p w14:paraId="0F3CAFB4">
            <w:pPr>
              <w:pStyle w:val="6"/>
              <w:spacing w:before="179" w:line="232" w:lineRule="auto"/>
              <w:ind w:left="148"/>
              <w:rPr>
                <w:sz w:val="18"/>
                <w:szCs w:val="18"/>
              </w:rPr>
            </w:pPr>
            <w:r>
              <w:rPr>
                <w:spacing w:val="-2"/>
                <w:sz w:val="18"/>
                <w:szCs w:val="18"/>
              </w:rPr>
              <w:t>0.014</w:t>
            </w:r>
          </w:p>
        </w:tc>
        <w:tc>
          <w:tcPr>
            <w:tcW w:w="766" w:type="dxa"/>
            <w:vAlign w:val="top"/>
          </w:tcPr>
          <w:p w14:paraId="507A75D7">
            <w:pPr>
              <w:pStyle w:val="6"/>
              <w:spacing w:before="179" w:line="232" w:lineRule="auto"/>
              <w:ind w:left="265"/>
              <w:rPr>
                <w:sz w:val="18"/>
                <w:szCs w:val="18"/>
              </w:rPr>
            </w:pPr>
            <w:r>
              <w:rPr>
                <w:spacing w:val="-1"/>
                <w:sz w:val="18"/>
                <w:szCs w:val="18"/>
              </w:rPr>
              <w:t>4.0</w:t>
            </w:r>
          </w:p>
        </w:tc>
        <w:tc>
          <w:tcPr>
            <w:tcW w:w="595" w:type="dxa"/>
            <w:vAlign w:val="top"/>
          </w:tcPr>
          <w:p w14:paraId="0B2AC12C">
            <w:pPr>
              <w:pStyle w:val="6"/>
              <w:spacing w:before="179" w:line="232" w:lineRule="auto"/>
              <w:ind w:left="141"/>
              <w:rPr>
                <w:sz w:val="18"/>
                <w:szCs w:val="18"/>
              </w:rPr>
            </w:pPr>
            <w:r>
              <w:rPr>
                <w:spacing w:val="-3"/>
                <w:sz w:val="18"/>
                <w:szCs w:val="18"/>
              </w:rPr>
              <w:t>50.3</w:t>
            </w:r>
          </w:p>
        </w:tc>
        <w:tc>
          <w:tcPr>
            <w:tcW w:w="955" w:type="dxa"/>
            <w:vAlign w:val="top"/>
          </w:tcPr>
          <w:p w14:paraId="3AE246DF">
            <w:pPr>
              <w:pStyle w:val="6"/>
              <w:spacing w:before="179" w:line="232" w:lineRule="auto"/>
              <w:ind w:left="344"/>
              <w:rPr>
                <w:sz w:val="18"/>
                <w:szCs w:val="18"/>
              </w:rPr>
            </w:pPr>
            <w:r>
              <w:rPr>
                <w:spacing w:val="-2"/>
                <w:sz w:val="18"/>
                <w:szCs w:val="18"/>
              </w:rPr>
              <w:t>380</w:t>
            </w:r>
          </w:p>
        </w:tc>
        <w:tc>
          <w:tcPr>
            <w:tcW w:w="506" w:type="dxa"/>
            <w:vAlign w:val="top"/>
          </w:tcPr>
          <w:p w14:paraId="7F623F24">
            <w:pPr>
              <w:pStyle w:val="6"/>
              <w:spacing w:before="179" w:line="232" w:lineRule="auto"/>
              <w:ind w:left="120"/>
              <w:rPr>
                <w:sz w:val="18"/>
                <w:szCs w:val="18"/>
              </w:rPr>
            </w:pPr>
            <w:r>
              <w:rPr>
                <w:spacing w:val="-2"/>
                <w:sz w:val="18"/>
                <w:szCs w:val="18"/>
              </w:rPr>
              <w:t>308</w:t>
            </w:r>
          </w:p>
        </w:tc>
        <w:tc>
          <w:tcPr>
            <w:tcW w:w="707" w:type="dxa"/>
            <w:vAlign w:val="top"/>
          </w:tcPr>
          <w:p w14:paraId="52C2F8C3">
            <w:pPr>
              <w:pStyle w:val="6"/>
              <w:spacing w:before="179" w:line="232" w:lineRule="auto"/>
              <w:ind w:left="197"/>
              <w:rPr>
                <w:sz w:val="18"/>
                <w:szCs w:val="18"/>
              </w:rPr>
            </w:pPr>
            <w:r>
              <w:rPr>
                <w:spacing w:val="-2"/>
                <w:sz w:val="18"/>
                <w:szCs w:val="18"/>
              </w:rPr>
              <w:t>0.50</w:t>
            </w:r>
          </w:p>
        </w:tc>
        <w:tc>
          <w:tcPr>
            <w:tcW w:w="708" w:type="dxa"/>
            <w:vAlign w:val="top"/>
          </w:tcPr>
          <w:p w14:paraId="369474F3">
            <w:pPr>
              <w:pStyle w:val="6"/>
              <w:spacing w:before="179" w:line="232" w:lineRule="auto"/>
              <w:ind w:left="99"/>
              <w:rPr>
                <w:sz w:val="18"/>
                <w:szCs w:val="18"/>
              </w:rPr>
            </w:pPr>
            <w:r>
              <w:rPr>
                <w:spacing w:val="-2"/>
                <w:sz w:val="18"/>
                <w:szCs w:val="18"/>
              </w:rPr>
              <w:t>0.002L</w:t>
            </w:r>
          </w:p>
        </w:tc>
        <w:tc>
          <w:tcPr>
            <w:tcW w:w="663" w:type="dxa"/>
            <w:vAlign w:val="top"/>
          </w:tcPr>
          <w:p w14:paraId="4BEEDDB7">
            <w:pPr>
              <w:pStyle w:val="6"/>
              <w:spacing w:before="179" w:line="232" w:lineRule="auto"/>
              <w:ind w:left="123"/>
              <w:rPr>
                <w:sz w:val="18"/>
                <w:szCs w:val="18"/>
              </w:rPr>
            </w:pPr>
            <w:r>
              <w:rPr>
                <w:spacing w:val="-2"/>
                <w:sz w:val="18"/>
                <w:szCs w:val="18"/>
              </w:rPr>
              <w:t>0.05L</w:t>
            </w:r>
          </w:p>
        </w:tc>
        <w:tc>
          <w:tcPr>
            <w:tcW w:w="664" w:type="dxa"/>
            <w:vAlign w:val="top"/>
          </w:tcPr>
          <w:p w14:paraId="674CEA23">
            <w:pPr>
              <w:pStyle w:val="6"/>
              <w:spacing w:before="179" w:line="232" w:lineRule="auto"/>
              <w:ind w:left="134"/>
              <w:rPr>
                <w:sz w:val="18"/>
                <w:szCs w:val="18"/>
              </w:rPr>
            </w:pPr>
            <w:r>
              <w:rPr>
                <w:spacing w:val="-2"/>
                <w:sz w:val="18"/>
                <w:szCs w:val="18"/>
              </w:rPr>
              <w:t>0.002</w:t>
            </w:r>
          </w:p>
        </w:tc>
        <w:tc>
          <w:tcPr>
            <w:tcW w:w="782" w:type="dxa"/>
            <w:vAlign w:val="top"/>
          </w:tcPr>
          <w:p w14:paraId="6E1F2819">
            <w:pPr>
              <w:pStyle w:val="6"/>
              <w:spacing w:before="179" w:line="232" w:lineRule="auto"/>
              <w:ind w:left="93"/>
              <w:rPr>
                <w:sz w:val="18"/>
                <w:szCs w:val="18"/>
              </w:rPr>
            </w:pPr>
            <w:r>
              <w:rPr>
                <w:spacing w:val="-1"/>
                <w:sz w:val="18"/>
                <w:szCs w:val="18"/>
              </w:rPr>
              <w:t>0.0005L</w:t>
            </w:r>
          </w:p>
        </w:tc>
        <w:tc>
          <w:tcPr>
            <w:tcW w:w="663" w:type="dxa"/>
            <w:vAlign w:val="top"/>
          </w:tcPr>
          <w:p w14:paraId="3D059095">
            <w:pPr>
              <w:pStyle w:val="6"/>
              <w:spacing w:before="179" w:line="232" w:lineRule="auto"/>
              <w:ind w:left="137"/>
              <w:rPr>
                <w:sz w:val="18"/>
                <w:szCs w:val="18"/>
              </w:rPr>
            </w:pPr>
            <w:r>
              <w:rPr>
                <w:spacing w:val="-2"/>
                <w:sz w:val="18"/>
                <w:szCs w:val="18"/>
              </w:rPr>
              <w:t>0.008</w:t>
            </w:r>
          </w:p>
        </w:tc>
        <w:tc>
          <w:tcPr>
            <w:tcW w:w="737" w:type="dxa"/>
            <w:vAlign w:val="top"/>
          </w:tcPr>
          <w:p w14:paraId="7F5EC946">
            <w:pPr>
              <w:pStyle w:val="6"/>
              <w:spacing w:before="179" w:line="232" w:lineRule="auto"/>
              <w:ind w:left="74"/>
              <w:rPr>
                <w:sz w:val="18"/>
                <w:szCs w:val="18"/>
              </w:rPr>
            </w:pPr>
            <w:r>
              <w:rPr>
                <w:spacing w:val="-1"/>
                <w:sz w:val="18"/>
                <w:szCs w:val="18"/>
              </w:rPr>
              <w:t>0.0025L</w:t>
            </w:r>
          </w:p>
        </w:tc>
        <w:tc>
          <w:tcPr>
            <w:tcW w:w="737" w:type="dxa"/>
            <w:vAlign w:val="top"/>
          </w:tcPr>
          <w:p w14:paraId="4A1786FD">
            <w:pPr>
              <w:pStyle w:val="6"/>
              <w:spacing w:before="179" w:line="232" w:lineRule="auto"/>
              <w:ind w:left="130"/>
              <w:rPr>
                <w:sz w:val="18"/>
                <w:szCs w:val="18"/>
              </w:rPr>
            </w:pPr>
            <w:r>
              <w:rPr>
                <w:spacing w:val="-2"/>
                <w:sz w:val="18"/>
                <w:szCs w:val="18"/>
              </w:rPr>
              <w:t>0.0002</w:t>
            </w:r>
          </w:p>
        </w:tc>
        <w:tc>
          <w:tcPr>
            <w:tcW w:w="754" w:type="dxa"/>
            <w:vAlign w:val="top"/>
          </w:tcPr>
          <w:p w14:paraId="29F65462">
            <w:pPr>
              <w:pStyle w:val="6"/>
              <w:spacing w:before="179" w:line="232" w:lineRule="auto"/>
              <w:ind w:left="139"/>
              <w:rPr>
                <w:sz w:val="18"/>
                <w:szCs w:val="18"/>
              </w:rPr>
            </w:pPr>
            <w:r>
              <w:rPr>
                <w:spacing w:val="-2"/>
                <w:sz w:val="18"/>
                <w:szCs w:val="18"/>
              </w:rPr>
              <w:t>0.0014</w:t>
            </w:r>
          </w:p>
        </w:tc>
        <w:tc>
          <w:tcPr>
            <w:tcW w:w="667" w:type="dxa"/>
            <w:vAlign w:val="top"/>
          </w:tcPr>
          <w:p w14:paraId="38FB75BF">
            <w:pPr>
              <w:pStyle w:val="6"/>
              <w:spacing w:before="179" w:line="232" w:lineRule="auto"/>
              <w:ind w:left="86"/>
              <w:rPr>
                <w:sz w:val="18"/>
                <w:szCs w:val="18"/>
              </w:rPr>
            </w:pPr>
            <w:r>
              <w:rPr>
                <w:spacing w:val="-2"/>
                <w:sz w:val="18"/>
                <w:szCs w:val="18"/>
              </w:rPr>
              <w:t>0.002L</w:t>
            </w:r>
          </w:p>
        </w:tc>
        <w:tc>
          <w:tcPr>
            <w:tcW w:w="544" w:type="dxa"/>
            <w:vAlign w:val="top"/>
          </w:tcPr>
          <w:p w14:paraId="12B02B5A">
            <w:pPr>
              <w:pStyle w:val="6"/>
              <w:spacing w:before="179" w:line="232" w:lineRule="auto"/>
              <w:ind w:left="126"/>
              <w:rPr>
                <w:sz w:val="18"/>
                <w:szCs w:val="18"/>
              </w:rPr>
            </w:pPr>
            <w:r>
              <w:rPr>
                <w:spacing w:val="-2"/>
                <w:sz w:val="18"/>
                <w:szCs w:val="18"/>
              </w:rPr>
              <w:t>0.05</w:t>
            </w:r>
          </w:p>
        </w:tc>
        <w:tc>
          <w:tcPr>
            <w:tcW w:w="434" w:type="dxa"/>
            <w:vAlign w:val="top"/>
          </w:tcPr>
          <w:p w14:paraId="6B361C6F">
            <w:pPr>
              <w:pStyle w:val="6"/>
              <w:spacing w:before="179" w:line="232" w:lineRule="auto"/>
              <w:ind w:left="62"/>
              <w:rPr>
                <w:sz w:val="18"/>
                <w:szCs w:val="18"/>
              </w:rPr>
            </w:pPr>
            <w:r>
              <w:rPr>
                <w:spacing w:val="-2"/>
                <w:sz w:val="18"/>
                <w:szCs w:val="18"/>
              </w:rPr>
              <w:t>0.5L</w:t>
            </w:r>
          </w:p>
        </w:tc>
        <w:tc>
          <w:tcPr>
            <w:tcW w:w="1015" w:type="dxa"/>
            <w:vAlign w:val="top"/>
          </w:tcPr>
          <w:p w14:paraId="3F7E5D61">
            <w:pPr>
              <w:pStyle w:val="6"/>
              <w:spacing w:before="179" w:line="232" w:lineRule="auto"/>
              <w:ind w:left="489"/>
              <w:rPr>
                <w:sz w:val="18"/>
                <w:szCs w:val="18"/>
              </w:rPr>
            </w:pPr>
            <w:r>
              <w:rPr>
                <w:sz w:val="18"/>
                <w:szCs w:val="18"/>
              </w:rPr>
              <w:t>/</w:t>
            </w:r>
          </w:p>
        </w:tc>
        <w:tc>
          <w:tcPr>
            <w:tcW w:w="721" w:type="dxa"/>
            <w:tcBorders>
              <w:right w:val="single" w:color="000000" w:sz="12" w:space="0"/>
            </w:tcBorders>
            <w:vAlign w:val="top"/>
          </w:tcPr>
          <w:p w14:paraId="4330A08C">
            <w:pPr>
              <w:pStyle w:val="6"/>
              <w:spacing w:before="179" w:line="232" w:lineRule="auto"/>
              <w:ind w:left="278"/>
              <w:rPr>
                <w:sz w:val="18"/>
                <w:szCs w:val="18"/>
              </w:rPr>
            </w:pPr>
            <w:r>
              <w:rPr>
                <w:spacing w:val="-2"/>
                <w:sz w:val="18"/>
                <w:szCs w:val="18"/>
              </w:rPr>
              <w:t>90</w:t>
            </w:r>
          </w:p>
        </w:tc>
      </w:tr>
      <w:tr w14:paraId="4D07D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2A5E33C7">
            <w:pPr>
              <w:rPr>
                <w:rFonts w:ascii="Arial"/>
                <w:sz w:val="21"/>
              </w:rPr>
            </w:pPr>
          </w:p>
        </w:tc>
        <w:tc>
          <w:tcPr>
            <w:tcW w:w="272" w:type="dxa"/>
            <w:vMerge w:val="continue"/>
            <w:tcBorders>
              <w:top w:val="nil"/>
              <w:bottom w:val="nil"/>
            </w:tcBorders>
            <w:vAlign w:val="top"/>
          </w:tcPr>
          <w:p w14:paraId="058C80FC">
            <w:pPr>
              <w:rPr>
                <w:rFonts w:ascii="Arial"/>
                <w:sz w:val="21"/>
              </w:rPr>
            </w:pPr>
          </w:p>
        </w:tc>
        <w:tc>
          <w:tcPr>
            <w:tcW w:w="1004" w:type="dxa"/>
            <w:vAlign w:val="top"/>
          </w:tcPr>
          <w:p w14:paraId="0E212CC1">
            <w:pPr>
              <w:pStyle w:val="6"/>
              <w:spacing w:before="181" w:line="232" w:lineRule="auto"/>
              <w:ind w:left="122"/>
              <w:rPr>
                <w:sz w:val="18"/>
                <w:szCs w:val="18"/>
              </w:rPr>
            </w:pPr>
            <w:r>
              <w:rPr>
                <w:spacing w:val="-1"/>
                <w:sz w:val="18"/>
                <w:szCs w:val="18"/>
              </w:rPr>
              <w:t>2019/1/16</w:t>
            </w:r>
          </w:p>
        </w:tc>
        <w:tc>
          <w:tcPr>
            <w:tcW w:w="686" w:type="dxa"/>
            <w:vAlign w:val="top"/>
          </w:tcPr>
          <w:p w14:paraId="0DBE1D5D">
            <w:pPr>
              <w:pStyle w:val="6"/>
              <w:spacing w:before="187" w:line="183" w:lineRule="auto"/>
              <w:ind w:left="234"/>
              <w:rPr>
                <w:sz w:val="18"/>
                <w:szCs w:val="18"/>
              </w:rPr>
            </w:pPr>
            <w:r>
              <w:rPr>
                <w:spacing w:val="-2"/>
                <w:sz w:val="18"/>
                <w:szCs w:val="18"/>
              </w:rPr>
              <w:t>5L</w:t>
            </w:r>
          </w:p>
        </w:tc>
        <w:tc>
          <w:tcPr>
            <w:tcW w:w="923" w:type="dxa"/>
            <w:vAlign w:val="top"/>
          </w:tcPr>
          <w:p w14:paraId="18EC06C9">
            <w:pPr>
              <w:pStyle w:val="6"/>
              <w:spacing w:before="181" w:line="232" w:lineRule="auto"/>
              <w:ind w:left="338"/>
              <w:rPr>
                <w:sz w:val="18"/>
                <w:szCs w:val="18"/>
              </w:rPr>
            </w:pPr>
            <w:r>
              <w:rPr>
                <w:spacing w:val="-3"/>
                <w:sz w:val="18"/>
                <w:szCs w:val="18"/>
              </w:rPr>
              <w:t>0.5</w:t>
            </w:r>
          </w:p>
        </w:tc>
        <w:tc>
          <w:tcPr>
            <w:tcW w:w="708" w:type="dxa"/>
            <w:vAlign w:val="top"/>
          </w:tcPr>
          <w:p w14:paraId="20BA6689">
            <w:pPr>
              <w:pStyle w:val="6"/>
              <w:spacing w:before="181" w:line="232" w:lineRule="auto"/>
              <w:ind w:left="189"/>
              <w:rPr>
                <w:sz w:val="18"/>
                <w:szCs w:val="18"/>
              </w:rPr>
            </w:pPr>
            <w:r>
              <w:rPr>
                <w:spacing w:val="-2"/>
                <w:sz w:val="18"/>
                <w:szCs w:val="18"/>
              </w:rPr>
              <w:t>6.84</w:t>
            </w:r>
          </w:p>
        </w:tc>
        <w:tc>
          <w:tcPr>
            <w:tcW w:w="850" w:type="dxa"/>
            <w:vAlign w:val="top"/>
          </w:tcPr>
          <w:p w14:paraId="122431B2">
            <w:pPr>
              <w:pStyle w:val="6"/>
              <w:spacing w:before="181" w:line="232" w:lineRule="auto"/>
              <w:ind w:left="159"/>
              <w:rPr>
                <w:sz w:val="18"/>
                <w:szCs w:val="18"/>
              </w:rPr>
            </w:pPr>
            <w:r>
              <w:rPr>
                <w:spacing w:val="-2"/>
                <w:sz w:val="18"/>
                <w:szCs w:val="18"/>
              </w:rPr>
              <w:t>0.040L</w:t>
            </w:r>
          </w:p>
        </w:tc>
        <w:tc>
          <w:tcPr>
            <w:tcW w:w="761" w:type="dxa"/>
            <w:vAlign w:val="top"/>
          </w:tcPr>
          <w:p w14:paraId="67F130F7">
            <w:pPr>
              <w:pStyle w:val="6"/>
              <w:spacing w:before="181" w:line="232" w:lineRule="auto"/>
              <w:ind w:left="125"/>
              <w:rPr>
                <w:sz w:val="18"/>
                <w:szCs w:val="18"/>
              </w:rPr>
            </w:pPr>
            <w:r>
              <w:rPr>
                <w:spacing w:val="-2"/>
                <w:sz w:val="18"/>
                <w:szCs w:val="18"/>
              </w:rPr>
              <w:t>0.0336</w:t>
            </w:r>
          </w:p>
        </w:tc>
        <w:tc>
          <w:tcPr>
            <w:tcW w:w="654" w:type="dxa"/>
            <w:vAlign w:val="top"/>
          </w:tcPr>
          <w:p w14:paraId="0FF88601">
            <w:pPr>
              <w:pStyle w:val="6"/>
              <w:spacing w:before="181" w:line="232" w:lineRule="auto"/>
              <w:ind w:left="73"/>
              <w:rPr>
                <w:sz w:val="18"/>
                <w:szCs w:val="18"/>
              </w:rPr>
            </w:pPr>
            <w:r>
              <w:rPr>
                <w:spacing w:val="-2"/>
                <w:sz w:val="18"/>
                <w:szCs w:val="18"/>
              </w:rPr>
              <w:t>0.0159</w:t>
            </w:r>
          </w:p>
        </w:tc>
        <w:tc>
          <w:tcPr>
            <w:tcW w:w="708" w:type="dxa"/>
            <w:vAlign w:val="top"/>
          </w:tcPr>
          <w:p w14:paraId="34122047">
            <w:pPr>
              <w:pStyle w:val="6"/>
              <w:spacing w:before="181" w:line="232" w:lineRule="auto"/>
              <w:ind w:left="91"/>
              <w:rPr>
                <w:sz w:val="18"/>
                <w:szCs w:val="18"/>
              </w:rPr>
            </w:pPr>
            <w:r>
              <w:rPr>
                <w:spacing w:val="-2"/>
                <w:sz w:val="18"/>
                <w:szCs w:val="18"/>
              </w:rPr>
              <w:t>0.009L</w:t>
            </w:r>
          </w:p>
        </w:tc>
        <w:tc>
          <w:tcPr>
            <w:tcW w:w="707" w:type="dxa"/>
            <w:vAlign w:val="top"/>
          </w:tcPr>
          <w:p w14:paraId="72CD2633">
            <w:pPr>
              <w:pStyle w:val="6"/>
              <w:spacing w:before="181" w:line="232" w:lineRule="auto"/>
              <w:ind w:left="148"/>
              <w:rPr>
                <w:sz w:val="18"/>
                <w:szCs w:val="18"/>
              </w:rPr>
            </w:pPr>
            <w:r>
              <w:rPr>
                <w:spacing w:val="-2"/>
                <w:sz w:val="18"/>
                <w:szCs w:val="18"/>
              </w:rPr>
              <w:t>0.013</w:t>
            </w:r>
          </w:p>
        </w:tc>
        <w:tc>
          <w:tcPr>
            <w:tcW w:w="766" w:type="dxa"/>
            <w:vAlign w:val="top"/>
          </w:tcPr>
          <w:p w14:paraId="18717A85">
            <w:pPr>
              <w:pStyle w:val="6"/>
              <w:spacing w:before="181" w:line="232" w:lineRule="auto"/>
              <w:ind w:left="269"/>
              <w:rPr>
                <w:sz w:val="18"/>
                <w:szCs w:val="18"/>
              </w:rPr>
            </w:pPr>
            <w:r>
              <w:rPr>
                <w:spacing w:val="-3"/>
                <w:sz w:val="18"/>
                <w:szCs w:val="18"/>
              </w:rPr>
              <w:t>3.7</w:t>
            </w:r>
          </w:p>
        </w:tc>
        <w:tc>
          <w:tcPr>
            <w:tcW w:w="595" w:type="dxa"/>
            <w:vAlign w:val="top"/>
          </w:tcPr>
          <w:p w14:paraId="7D3FCFA8">
            <w:pPr>
              <w:pStyle w:val="6"/>
              <w:spacing w:before="181" w:line="232" w:lineRule="auto"/>
              <w:ind w:left="135"/>
              <w:rPr>
                <w:sz w:val="18"/>
                <w:szCs w:val="18"/>
              </w:rPr>
            </w:pPr>
            <w:r>
              <w:rPr>
                <w:spacing w:val="-1"/>
                <w:sz w:val="18"/>
                <w:szCs w:val="18"/>
              </w:rPr>
              <w:t>47.5</w:t>
            </w:r>
          </w:p>
        </w:tc>
        <w:tc>
          <w:tcPr>
            <w:tcW w:w="955" w:type="dxa"/>
            <w:vAlign w:val="top"/>
          </w:tcPr>
          <w:p w14:paraId="6258876E">
            <w:pPr>
              <w:pStyle w:val="6"/>
              <w:spacing w:before="182" w:line="232" w:lineRule="auto"/>
              <w:ind w:left="340"/>
              <w:rPr>
                <w:sz w:val="18"/>
                <w:szCs w:val="18"/>
              </w:rPr>
            </w:pPr>
            <w:r>
              <w:rPr>
                <w:spacing w:val="-1"/>
                <w:sz w:val="18"/>
                <w:szCs w:val="18"/>
              </w:rPr>
              <w:t>402</w:t>
            </w:r>
          </w:p>
        </w:tc>
        <w:tc>
          <w:tcPr>
            <w:tcW w:w="506" w:type="dxa"/>
            <w:vAlign w:val="top"/>
          </w:tcPr>
          <w:p w14:paraId="5B691158">
            <w:pPr>
              <w:pStyle w:val="6"/>
              <w:spacing w:before="181" w:line="232" w:lineRule="auto"/>
              <w:ind w:left="116"/>
              <w:rPr>
                <w:sz w:val="18"/>
                <w:szCs w:val="18"/>
              </w:rPr>
            </w:pPr>
            <w:r>
              <w:rPr>
                <w:spacing w:val="-1"/>
                <w:sz w:val="18"/>
                <w:szCs w:val="18"/>
              </w:rPr>
              <w:t>296</w:t>
            </w:r>
          </w:p>
        </w:tc>
        <w:tc>
          <w:tcPr>
            <w:tcW w:w="707" w:type="dxa"/>
            <w:vAlign w:val="top"/>
          </w:tcPr>
          <w:p w14:paraId="017B514F">
            <w:pPr>
              <w:pStyle w:val="6"/>
              <w:spacing w:before="181" w:line="232" w:lineRule="auto"/>
              <w:ind w:left="197"/>
              <w:rPr>
                <w:sz w:val="18"/>
                <w:szCs w:val="18"/>
              </w:rPr>
            </w:pPr>
            <w:r>
              <w:rPr>
                <w:spacing w:val="-2"/>
                <w:sz w:val="18"/>
                <w:szCs w:val="18"/>
              </w:rPr>
              <w:t>0.48</w:t>
            </w:r>
          </w:p>
        </w:tc>
        <w:tc>
          <w:tcPr>
            <w:tcW w:w="708" w:type="dxa"/>
            <w:vAlign w:val="top"/>
          </w:tcPr>
          <w:p w14:paraId="6159A0AF">
            <w:pPr>
              <w:pStyle w:val="6"/>
              <w:spacing w:before="181" w:line="232" w:lineRule="auto"/>
              <w:ind w:left="99"/>
              <w:rPr>
                <w:sz w:val="18"/>
                <w:szCs w:val="18"/>
              </w:rPr>
            </w:pPr>
            <w:r>
              <w:rPr>
                <w:spacing w:val="-2"/>
                <w:sz w:val="18"/>
                <w:szCs w:val="18"/>
              </w:rPr>
              <w:t>0.002L</w:t>
            </w:r>
          </w:p>
        </w:tc>
        <w:tc>
          <w:tcPr>
            <w:tcW w:w="663" w:type="dxa"/>
            <w:vAlign w:val="top"/>
          </w:tcPr>
          <w:p w14:paraId="0C3DA95E">
            <w:pPr>
              <w:pStyle w:val="6"/>
              <w:spacing w:before="181" w:line="232" w:lineRule="auto"/>
              <w:ind w:left="123"/>
              <w:rPr>
                <w:sz w:val="18"/>
                <w:szCs w:val="18"/>
              </w:rPr>
            </w:pPr>
            <w:r>
              <w:rPr>
                <w:spacing w:val="-2"/>
                <w:sz w:val="18"/>
                <w:szCs w:val="18"/>
              </w:rPr>
              <w:t>0.05L</w:t>
            </w:r>
          </w:p>
        </w:tc>
        <w:tc>
          <w:tcPr>
            <w:tcW w:w="664" w:type="dxa"/>
            <w:vAlign w:val="top"/>
          </w:tcPr>
          <w:p w14:paraId="1EDFEAF9">
            <w:pPr>
              <w:pStyle w:val="6"/>
              <w:spacing w:before="181" w:line="232" w:lineRule="auto"/>
              <w:ind w:left="134"/>
              <w:rPr>
                <w:sz w:val="18"/>
                <w:szCs w:val="18"/>
              </w:rPr>
            </w:pPr>
            <w:r>
              <w:rPr>
                <w:spacing w:val="-2"/>
                <w:sz w:val="18"/>
                <w:szCs w:val="18"/>
              </w:rPr>
              <w:t>0.001</w:t>
            </w:r>
          </w:p>
        </w:tc>
        <w:tc>
          <w:tcPr>
            <w:tcW w:w="782" w:type="dxa"/>
            <w:vAlign w:val="top"/>
          </w:tcPr>
          <w:p w14:paraId="51AD23E5">
            <w:pPr>
              <w:pStyle w:val="6"/>
              <w:spacing w:before="181" w:line="232" w:lineRule="auto"/>
              <w:ind w:left="93"/>
              <w:rPr>
                <w:sz w:val="18"/>
                <w:szCs w:val="18"/>
              </w:rPr>
            </w:pPr>
            <w:r>
              <w:rPr>
                <w:spacing w:val="-1"/>
                <w:sz w:val="18"/>
                <w:szCs w:val="18"/>
              </w:rPr>
              <w:t>0.0005L</w:t>
            </w:r>
          </w:p>
        </w:tc>
        <w:tc>
          <w:tcPr>
            <w:tcW w:w="663" w:type="dxa"/>
            <w:vAlign w:val="top"/>
          </w:tcPr>
          <w:p w14:paraId="5F5E599F">
            <w:pPr>
              <w:pStyle w:val="6"/>
              <w:spacing w:before="181" w:line="232" w:lineRule="auto"/>
              <w:ind w:left="137"/>
              <w:rPr>
                <w:sz w:val="18"/>
                <w:szCs w:val="18"/>
              </w:rPr>
            </w:pPr>
            <w:r>
              <w:rPr>
                <w:spacing w:val="-2"/>
                <w:sz w:val="18"/>
                <w:szCs w:val="18"/>
              </w:rPr>
              <w:t>0.005</w:t>
            </w:r>
          </w:p>
        </w:tc>
        <w:tc>
          <w:tcPr>
            <w:tcW w:w="737" w:type="dxa"/>
            <w:vAlign w:val="top"/>
          </w:tcPr>
          <w:p w14:paraId="5C3BA512">
            <w:pPr>
              <w:pStyle w:val="6"/>
              <w:spacing w:before="181" w:line="232" w:lineRule="auto"/>
              <w:ind w:left="74"/>
              <w:rPr>
                <w:sz w:val="18"/>
                <w:szCs w:val="18"/>
              </w:rPr>
            </w:pPr>
            <w:r>
              <w:rPr>
                <w:spacing w:val="-1"/>
                <w:sz w:val="18"/>
                <w:szCs w:val="18"/>
              </w:rPr>
              <w:t>0.0025L</w:t>
            </w:r>
          </w:p>
        </w:tc>
        <w:tc>
          <w:tcPr>
            <w:tcW w:w="737" w:type="dxa"/>
            <w:vAlign w:val="top"/>
          </w:tcPr>
          <w:p w14:paraId="30F42FF8">
            <w:pPr>
              <w:pStyle w:val="6"/>
              <w:spacing w:before="181" w:line="232" w:lineRule="auto"/>
              <w:ind w:left="130"/>
              <w:rPr>
                <w:sz w:val="18"/>
                <w:szCs w:val="18"/>
              </w:rPr>
            </w:pPr>
            <w:r>
              <w:rPr>
                <w:spacing w:val="-2"/>
                <w:sz w:val="18"/>
                <w:szCs w:val="18"/>
              </w:rPr>
              <w:t>0.0002</w:t>
            </w:r>
          </w:p>
        </w:tc>
        <w:tc>
          <w:tcPr>
            <w:tcW w:w="754" w:type="dxa"/>
            <w:vAlign w:val="top"/>
          </w:tcPr>
          <w:p w14:paraId="200E5265">
            <w:pPr>
              <w:pStyle w:val="6"/>
              <w:spacing w:before="181" w:line="232" w:lineRule="auto"/>
              <w:ind w:left="139"/>
              <w:rPr>
                <w:sz w:val="18"/>
                <w:szCs w:val="18"/>
              </w:rPr>
            </w:pPr>
            <w:r>
              <w:rPr>
                <w:spacing w:val="-2"/>
                <w:sz w:val="18"/>
                <w:szCs w:val="18"/>
              </w:rPr>
              <w:t>0.0013</w:t>
            </w:r>
          </w:p>
        </w:tc>
        <w:tc>
          <w:tcPr>
            <w:tcW w:w="667" w:type="dxa"/>
            <w:vAlign w:val="top"/>
          </w:tcPr>
          <w:p w14:paraId="523982A4">
            <w:pPr>
              <w:pStyle w:val="6"/>
              <w:spacing w:before="181" w:line="232" w:lineRule="auto"/>
              <w:ind w:left="86"/>
              <w:rPr>
                <w:sz w:val="18"/>
                <w:szCs w:val="18"/>
              </w:rPr>
            </w:pPr>
            <w:r>
              <w:rPr>
                <w:spacing w:val="-2"/>
                <w:sz w:val="18"/>
                <w:szCs w:val="18"/>
              </w:rPr>
              <w:t>0.002L</w:t>
            </w:r>
          </w:p>
        </w:tc>
        <w:tc>
          <w:tcPr>
            <w:tcW w:w="544" w:type="dxa"/>
            <w:vAlign w:val="top"/>
          </w:tcPr>
          <w:p w14:paraId="24681DE6">
            <w:pPr>
              <w:pStyle w:val="6"/>
              <w:spacing w:before="181" w:line="232" w:lineRule="auto"/>
              <w:ind w:left="126"/>
              <w:rPr>
                <w:sz w:val="18"/>
                <w:szCs w:val="18"/>
              </w:rPr>
            </w:pPr>
            <w:r>
              <w:rPr>
                <w:spacing w:val="-2"/>
                <w:sz w:val="18"/>
                <w:szCs w:val="18"/>
              </w:rPr>
              <w:t>0.08</w:t>
            </w:r>
          </w:p>
        </w:tc>
        <w:tc>
          <w:tcPr>
            <w:tcW w:w="434" w:type="dxa"/>
            <w:vAlign w:val="top"/>
          </w:tcPr>
          <w:p w14:paraId="35BB79F9">
            <w:pPr>
              <w:pStyle w:val="6"/>
              <w:spacing w:before="181" w:line="232" w:lineRule="auto"/>
              <w:ind w:left="62"/>
              <w:rPr>
                <w:sz w:val="18"/>
                <w:szCs w:val="18"/>
              </w:rPr>
            </w:pPr>
            <w:r>
              <w:rPr>
                <w:spacing w:val="-2"/>
                <w:sz w:val="18"/>
                <w:szCs w:val="18"/>
              </w:rPr>
              <w:t>0.5L</w:t>
            </w:r>
          </w:p>
        </w:tc>
        <w:tc>
          <w:tcPr>
            <w:tcW w:w="1015" w:type="dxa"/>
            <w:vAlign w:val="top"/>
          </w:tcPr>
          <w:p w14:paraId="21710A99">
            <w:pPr>
              <w:pStyle w:val="6"/>
              <w:spacing w:before="181" w:line="232" w:lineRule="auto"/>
              <w:ind w:left="489"/>
              <w:rPr>
                <w:sz w:val="18"/>
                <w:szCs w:val="18"/>
              </w:rPr>
            </w:pPr>
            <w:r>
              <w:rPr>
                <w:sz w:val="18"/>
                <w:szCs w:val="18"/>
              </w:rPr>
              <w:t>/</w:t>
            </w:r>
          </w:p>
        </w:tc>
        <w:tc>
          <w:tcPr>
            <w:tcW w:w="721" w:type="dxa"/>
            <w:tcBorders>
              <w:right w:val="single" w:color="000000" w:sz="12" w:space="0"/>
            </w:tcBorders>
            <w:vAlign w:val="top"/>
          </w:tcPr>
          <w:p w14:paraId="5BEAE77F">
            <w:pPr>
              <w:pStyle w:val="6"/>
              <w:spacing w:before="182" w:line="232" w:lineRule="auto"/>
              <w:ind w:left="282"/>
              <w:rPr>
                <w:sz w:val="18"/>
                <w:szCs w:val="18"/>
              </w:rPr>
            </w:pPr>
            <w:r>
              <w:rPr>
                <w:spacing w:val="-3"/>
                <w:sz w:val="18"/>
                <w:szCs w:val="18"/>
              </w:rPr>
              <w:t>80</w:t>
            </w:r>
          </w:p>
        </w:tc>
      </w:tr>
      <w:tr w14:paraId="7CCB9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757A3DF6">
            <w:pPr>
              <w:rPr>
                <w:rFonts w:ascii="Arial"/>
                <w:sz w:val="21"/>
              </w:rPr>
            </w:pPr>
          </w:p>
        </w:tc>
        <w:tc>
          <w:tcPr>
            <w:tcW w:w="272" w:type="dxa"/>
            <w:vMerge w:val="continue"/>
            <w:tcBorders>
              <w:top w:val="nil"/>
            </w:tcBorders>
            <w:vAlign w:val="top"/>
          </w:tcPr>
          <w:p w14:paraId="1B0637E3">
            <w:pPr>
              <w:rPr>
                <w:rFonts w:ascii="Arial"/>
                <w:sz w:val="21"/>
              </w:rPr>
            </w:pPr>
          </w:p>
        </w:tc>
        <w:tc>
          <w:tcPr>
            <w:tcW w:w="1004" w:type="dxa"/>
            <w:vAlign w:val="top"/>
          </w:tcPr>
          <w:p w14:paraId="6F1117BD">
            <w:pPr>
              <w:pStyle w:val="6"/>
              <w:spacing w:before="183" w:line="232" w:lineRule="auto"/>
              <w:ind w:left="122"/>
              <w:rPr>
                <w:sz w:val="18"/>
                <w:szCs w:val="18"/>
              </w:rPr>
            </w:pPr>
            <w:r>
              <w:rPr>
                <w:spacing w:val="-1"/>
                <w:sz w:val="18"/>
                <w:szCs w:val="18"/>
              </w:rPr>
              <w:t>2019/1/17</w:t>
            </w:r>
          </w:p>
        </w:tc>
        <w:tc>
          <w:tcPr>
            <w:tcW w:w="686" w:type="dxa"/>
            <w:vAlign w:val="top"/>
          </w:tcPr>
          <w:p w14:paraId="56B66DDB">
            <w:pPr>
              <w:pStyle w:val="6"/>
              <w:spacing w:before="188" w:line="183" w:lineRule="auto"/>
              <w:ind w:left="234"/>
              <w:rPr>
                <w:sz w:val="18"/>
                <w:szCs w:val="18"/>
              </w:rPr>
            </w:pPr>
            <w:r>
              <w:rPr>
                <w:spacing w:val="-2"/>
                <w:sz w:val="18"/>
                <w:szCs w:val="18"/>
              </w:rPr>
              <w:t>5L</w:t>
            </w:r>
          </w:p>
        </w:tc>
        <w:tc>
          <w:tcPr>
            <w:tcW w:w="923" w:type="dxa"/>
            <w:vAlign w:val="top"/>
          </w:tcPr>
          <w:p w14:paraId="657624D7">
            <w:pPr>
              <w:pStyle w:val="6"/>
              <w:spacing w:before="183" w:line="232" w:lineRule="auto"/>
              <w:ind w:left="338"/>
              <w:rPr>
                <w:sz w:val="18"/>
                <w:szCs w:val="18"/>
              </w:rPr>
            </w:pPr>
            <w:r>
              <w:rPr>
                <w:spacing w:val="-3"/>
                <w:sz w:val="18"/>
                <w:szCs w:val="18"/>
              </w:rPr>
              <w:t>0.6</w:t>
            </w:r>
          </w:p>
        </w:tc>
        <w:tc>
          <w:tcPr>
            <w:tcW w:w="708" w:type="dxa"/>
            <w:vAlign w:val="top"/>
          </w:tcPr>
          <w:p w14:paraId="1D7ECC07">
            <w:pPr>
              <w:pStyle w:val="6"/>
              <w:spacing w:before="183" w:line="232" w:lineRule="auto"/>
              <w:ind w:left="189"/>
              <w:rPr>
                <w:sz w:val="18"/>
                <w:szCs w:val="18"/>
              </w:rPr>
            </w:pPr>
            <w:r>
              <w:rPr>
                <w:spacing w:val="-2"/>
                <w:sz w:val="18"/>
                <w:szCs w:val="18"/>
              </w:rPr>
              <w:t>6.94</w:t>
            </w:r>
          </w:p>
        </w:tc>
        <w:tc>
          <w:tcPr>
            <w:tcW w:w="850" w:type="dxa"/>
            <w:vAlign w:val="top"/>
          </w:tcPr>
          <w:p w14:paraId="7EA4369C">
            <w:pPr>
              <w:pStyle w:val="6"/>
              <w:spacing w:before="183" w:line="232" w:lineRule="auto"/>
              <w:ind w:left="159"/>
              <w:rPr>
                <w:sz w:val="18"/>
                <w:szCs w:val="18"/>
              </w:rPr>
            </w:pPr>
            <w:r>
              <w:rPr>
                <w:spacing w:val="-2"/>
                <w:sz w:val="18"/>
                <w:szCs w:val="18"/>
              </w:rPr>
              <w:t>0.040L</w:t>
            </w:r>
          </w:p>
        </w:tc>
        <w:tc>
          <w:tcPr>
            <w:tcW w:w="761" w:type="dxa"/>
            <w:vAlign w:val="top"/>
          </w:tcPr>
          <w:p w14:paraId="567D3A09">
            <w:pPr>
              <w:pStyle w:val="6"/>
              <w:spacing w:before="183" w:line="232" w:lineRule="auto"/>
              <w:ind w:left="125"/>
              <w:rPr>
                <w:sz w:val="18"/>
                <w:szCs w:val="18"/>
              </w:rPr>
            </w:pPr>
            <w:r>
              <w:rPr>
                <w:spacing w:val="-2"/>
                <w:sz w:val="18"/>
                <w:szCs w:val="18"/>
              </w:rPr>
              <w:t>0.0349</w:t>
            </w:r>
          </w:p>
        </w:tc>
        <w:tc>
          <w:tcPr>
            <w:tcW w:w="654" w:type="dxa"/>
            <w:vAlign w:val="top"/>
          </w:tcPr>
          <w:p w14:paraId="69631651">
            <w:pPr>
              <w:pStyle w:val="6"/>
              <w:spacing w:before="183" w:line="232" w:lineRule="auto"/>
              <w:ind w:left="73"/>
              <w:rPr>
                <w:sz w:val="18"/>
                <w:szCs w:val="18"/>
              </w:rPr>
            </w:pPr>
            <w:r>
              <w:rPr>
                <w:spacing w:val="-2"/>
                <w:sz w:val="18"/>
                <w:szCs w:val="18"/>
              </w:rPr>
              <w:t>0.0164</w:t>
            </w:r>
          </w:p>
        </w:tc>
        <w:tc>
          <w:tcPr>
            <w:tcW w:w="708" w:type="dxa"/>
            <w:vAlign w:val="top"/>
          </w:tcPr>
          <w:p w14:paraId="6CAFE5AC">
            <w:pPr>
              <w:pStyle w:val="6"/>
              <w:spacing w:before="183" w:line="232" w:lineRule="auto"/>
              <w:ind w:left="91"/>
              <w:rPr>
                <w:sz w:val="18"/>
                <w:szCs w:val="18"/>
              </w:rPr>
            </w:pPr>
            <w:r>
              <w:rPr>
                <w:spacing w:val="-2"/>
                <w:sz w:val="18"/>
                <w:szCs w:val="18"/>
              </w:rPr>
              <w:t>0.009L</w:t>
            </w:r>
          </w:p>
        </w:tc>
        <w:tc>
          <w:tcPr>
            <w:tcW w:w="707" w:type="dxa"/>
            <w:vAlign w:val="top"/>
          </w:tcPr>
          <w:p w14:paraId="1E3B5542">
            <w:pPr>
              <w:pStyle w:val="6"/>
              <w:spacing w:before="183" w:line="232" w:lineRule="auto"/>
              <w:ind w:left="148"/>
              <w:rPr>
                <w:sz w:val="18"/>
                <w:szCs w:val="18"/>
              </w:rPr>
            </w:pPr>
            <w:r>
              <w:rPr>
                <w:spacing w:val="-2"/>
                <w:sz w:val="18"/>
                <w:szCs w:val="18"/>
              </w:rPr>
              <w:t>0.014</w:t>
            </w:r>
          </w:p>
        </w:tc>
        <w:tc>
          <w:tcPr>
            <w:tcW w:w="766" w:type="dxa"/>
            <w:vAlign w:val="top"/>
          </w:tcPr>
          <w:p w14:paraId="0BDA8F11">
            <w:pPr>
              <w:pStyle w:val="6"/>
              <w:spacing w:before="183" w:line="232" w:lineRule="auto"/>
              <w:ind w:left="265"/>
              <w:rPr>
                <w:sz w:val="18"/>
                <w:szCs w:val="18"/>
              </w:rPr>
            </w:pPr>
            <w:r>
              <w:rPr>
                <w:spacing w:val="-1"/>
                <w:sz w:val="18"/>
                <w:szCs w:val="18"/>
              </w:rPr>
              <w:t>4.2</w:t>
            </w:r>
          </w:p>
        </w:tc>
        <w:tc>
          <w:tcPr>
            <w:tcW w:w="595" w:type="dxa"/>
            <w:vAlign w:val="top"/>
          </w:tcPr>
          <w:p w14:paraId="18217F9B">
            <w:pPr>
              <w:pStyle w:val="6"/>
              <w:spacing w:before="183" w:line="232" w:lineRule="auto"/>
              <w:ind w:left="141"/>
              <w:rPr>
                <w:sz w:val="18"/>
                <w:szCs w:val="18"/>
              </w:rPr>
            </w:pPr>
            <w:r>
              <w:rPr>
                <w:spacing w:val="-3"/>
                <w:sz w:val="18"/>
                <w:szCs w:val="18"/>
              </w:rPr>
              <w:t>54.1</w:t>
            </w:r>
          </w:p>
        </w:tc>
        <w:tc>
          <w:tcPr>
            <w:tcW w:w="955" w:type="dxa"/>
            <w:vAlign w:val="top"/>
          </w:tcPr>
          <w:p w14:paraId="055C75A2">
            <w:pPr>
              <w:pStyle w:val="6"/>
              <w:spacing w:before="183" w:line="232" w:lineRule="auto"/>
              <w:ind w:left="344"/>
              <w:rPr>
                <w:sz w:val="18"/>
                <w:szCs w:val="18"/>
              </w:rPr>
            </w:pPr>
            <w:r>
              <w:rPr>
                <w:spacing w:val="-2"/>
                <w:sz w:val="18"/>
                <w:szCs w:val="18"/>
              </w:rPr>
              <w:t>398</w:t>
            </w:r>
          </w:p>
        </w:tc>
        <w:tc>
          <w:tcPr>
            <w:tcW w:w="506" w:type="dxa"/>
            <w:vAlign w:val="top"/>
          </w:tcPr>
          <w:p w14:paraId="0A8FB4D4">
            <w:pPr>
              <w:pStyle w:val="6"/>
              <w:spacing w:before="183" w:line="232" w:lineRule="auto"/>
              <w:ind w:left="120"/>
              <w:rPr>
                <w:sz w:val="18"/>
                <w:szCs w:val="18"/>
              </w:rPr>
            </w:pPr>
            <w:r>
              <w:rPr>
                <w:spacing w:val="-2"/>
                <w:sz w:val="18"/>
                <w:szCs w:val="18"/>
              </w:rPr>
              <w:t>321</w:t>
            </w:r>
          </w:p>
        </w:tc>
        <w:tc>
          <w:tcPr>
            <w:tcW w:w="707" w:type="dxa"/>
            <w:vAlign w:val="top"/>
          </w:tcPr>
          <w:p w14:paraId="6227DCAC">
            <w:pPr>
              <w:pStyle w:val="6"/>
              <w:spacing w:before="183" w:line="232" w:lineRule="auto"/>
              <w:ind w:left="197"/>
              <w:rPr>
                <w:sz w:val="18"/>
                <w:szCs w:val="18"/>
              </w:rPr>
            </w:pPr>
            <w:r>
              <w:rPr>
                <w:spacing w:val="-2"/>
                <w:sz w:val="18"/>
                <w:szCs w:val="18"/>
              </w:rPr>
              <w:t>0.46</w:t>
            </w:r>
          </w:p>
        </w:tc>
        <w:tc>
          <w:tcPr>
            <w:tcW w:w="708" w:type="dxa"/>
            <w:vAlign w:val="top"/>
          </w:tcPr>
          <w:p w14:paraId="77C0AB12">
            <w:pPr>
              <w:pStyle w:val="6"/>
              <w:spacing w:before="183" w:line="232" w:lineRule="auto"/>
              <w:ind w:left="99"/>
              <w:rPr>
                <w:sz w:val="18"/>
                <w:szCs w:val="18"/>
              </w:rPr>
            </w:pPr>
            <w:r>
              <w:rPr>
                <w:spacing w:val="-2"/>
                <w:sz w:val="18"/>
                <w:szCs w:val="18"/>
              </w:rPr>
              <w:t>0.002L</w:t>
            </w:r>
          </w:p>
        </w:tc>
        <w:tc>
          <w:tcPr>
            <w:tcW w:w="663" w:type="dxa"/>
            <w:vAlign w:val="top"/>
          </w:tcPr>
          <w:p w14:paraId="6D6B48F2">
            <w:pPr>
              <w:pStyle w:val="6"/>
              <w:spacing w:before="183" w:line="232" w:lineRule="auto"/>
              <w:ind w:left="123"/>
              <w:rPr>
                <w:sz w:val="18"/>
                <w:szCs w:val="18"/>
              </w:rPr>
            </w:pPr>
            <w:r>
              <w:rPr>
                <w:spacing w:val="-2"/>
                <w:sz w:val="18"/>
                <w:szCs w:val="18"/>
              </w:rPr>
              <w:t>0.05L</w:t>
            </w:r>
          </w:p>
        </w:tc>
        <w:tc>
          <w:tcPr>
            <w:tcW w:w="664" w:type="dxa"/>
            <w:vAlign w:val="top"/>
          </w:tcPr>
          <w:p w14:paraId="6DA30D90">
            <w:pPr>
              <w:pStyle w:val="6"/>
              <w:spacing w:before="183" w:line="232" w:lineRule="auto"/>
              <w:ind w:left="134"/>
              <w:rPr>
                <w:sz w:val="18"/>
                <w:szCs w:val="18"/>
              </w:rPr>
            </w:pPr>
            <w:r>
              <w:rPr>
                <w:spacing w:val="-2"/>
                <w:sz w:val="18"/>
                <w:szCs w:val="18"/>
              </w:rPr>
              <w:t>0.001</w:t>
            </w:r>
          </w:p>
        </w:tc>
        <w:tc>
          <w:tcPr>
            <w:tcW w:w="782" w:type="dxa"/>
            <w:vAlign w:val="top"/>
          </w:tcPr>
          <w:p w14:paraId="715F0E89">
            <w:pPr>
              <w:pStyle w:val="6"/>
              <w:spacing w:before="183" w:line="232" w:lineRule="auto"/>
              <w:ind w:left="93"/>
              <w:rPr>
                <w:sz w:val="18"/>
                <w:szCs w:val="18"/>
              </w:rPr>
            </w:pPr>
            <w:r>
              <w:rPr>
                <w:spacing w:val="-1"/>
                <w:sz w:val="18"/>
                <w:szCs w:val="18"/>
              </w:rPr>
              <w:t>0.0005L</w:t>
            </w:r>
          </w:p>
        </w:tc>
        <w:tc>
          <w:tcPr>
            <w:tcW w:w="663" w:type="dxa"/>
            <w:vAlign w:val="top"/>
          </w:tcPr>
          <w:p w14:paraId="18027A15">
            <w:pPr>
              <w:pStyle w:val="6"/>
              <w:spacing w:before="183" w:line="232" w:lineRule="auto"/>
              <w:ind w:left="137"/>
              <w:rPr>
                <w:sz w:val="18"/>
                <w:szCs w:val="18"/>
              </w:rPr>
            </w:pPr>
            <w:r>
              <w:rPr>
                <w:spacing w:val="-2"/>
                <w:sz w:val="18"/>
                <w:szCs w:val="18"/>
              </w:rPr>
              <w:t>0.007</w:t>
            </w:r>
          </w:p>
        </w:tc>
        <w:tc>
          <w:tcPr>
            <w:tcW w:w="737" w:type="dxa"/>
            <w:vAlign w:val="top"/>
          </w:tcPr>
          <w:p w14:paraId="1C2071CD">
            <w:pPr>
              <w:pStyle w:val="6"/>
              <w:spacing w:before="183" w:line="232" w:lineRule="auto"/>
              <w:ind w:left="74"/>
              <w:rPr>
                <w:sz w:val="18"/>
                <w:szCs w:val="18"/>
              </w:rPr>
            </w:pPr>
            <w:r>
              <w:rPr>
                <w:spacing w:val="-1"/>
                <w:sz w:val="18"/>
                <w:szCs w:val="18"/>
              </w:rPr>
              <w:t>0.0025L</w:t>
            </w:r>
          </w:p>
        </w:tc>
        <w:tc>
          <w:tcPr>
            <w:tcW w:w="737" w:type="dxa"/>
            <w:vAlign w:val="top"/>
          </w:tcPr>
          <w:p w14:paraId="7634A646">
            <w:pPr>
              <w:pStyle w:val="6"/>
              <w:spacing w:before="183" w:line="232" w:lineRule="auto"/>
              <w:ind w:left="130"/>
              <w:rPr>
                <w:sz w:val="18"/>
                <w:szCs w:val="18"/>
              </w:rPr>
            </w:pPr>
            <w:r>
              <w:rPr>
                <w:spacing w:val="-2"/>
                <w:sz w:val="18"/>
                <w:szCs w:val="18"/>
              </w:rPr>
              <w:t>0.0002</w:t>
            </w:r>
          </w:p>
        </w:tc>
        <w:tc>
          <w:tcPr>
            <w:tcW w:w="754" w:type="dxa"/>
            <w:vAlign w:val="top"/>
          </w:tcPr>
          <w:p w14:paraId="194789D8">
            <w:pPr>
              <w:pStyle w:val="6"/>
              <w:spacing w:before="183" w:line="232" w:lineRule="auto"/>
              <w:ind w:left="139"/>
              <w:rPr>
                <w:sz w:val="18"/>
                <w:szCs w:val="18"/>
              </w:rPr>
            </w:pPr>
            <w:r>
              <w:rPr>
                <w:spacing w:val="-2"/>
                <w:sz w:val="18"/>
                <w:szCs w:val="18"/>
              </w:rPr>
              <w:t>0.0015</w:t>
            </w:r>
          </w:p>
        </w:tc>
        <w:tc>
          <w:tcPr>
            <w:tcW w:w="667" w:type="dxa"/>
            <w:vAlign w:val="top"/>
          </w:tcPr>
          <w:p w14:paraId="09F56DB9">
            <w:pPr>
              <w:pStyle w:val="6"/>
              <w:spacing w:before="183" w:line="232" w:lineRule="auto"/>
              <w:ind w:left="86"/>
              <w:rPr>
                <w:sz w:val="18"/>
                <w:szCs w:val="18"/>
              </w:rPr>
            </w:pPr>
            <w:r>
              <w:rPr>
                <w:spacing w:val="-2"/>
                <w:sz w:val="18"/>
                <w:szCs w:val="18"/>
              </w:rPr>
              <w:t>0.002L</w:t>
            </w:r>
          </w:p>
        </w:tc>
        <w:tc>
          <w:tcPr>
            <w:tcW w:w="544" w:type="dxa"/>
            <w:vAlign w:val="top"/>
          </w:tcPr>
          <w:p w14:paraId="2C791307">
            <w:pPr>
              <w:pStyle w:val="6"/>
              <w:spacing w:before="183" w:line="232" w:lineRule="auto"/>
              <w:ind w:left="126"/>
              <w:rPr>
                <w:sz w:val="18"/>
                <w:szCs w:val="18"/>
              </w:rPr>
            </w:pPr>
            <w:r>
              <w:rPr>
                <w:spacing w:val="-2"/>
                <w:sz w:val="18"/>
                <w:szCs w:val="18"/>
              </w:rPr>
              <w:t>0.06</w:t>
            </w:r>
          </w:p>
        </w:tc>
        <w:tc>
          <w:tcPr>
            <w:tcW w:w="434" w:type="dxa"/>
            <w:vAlign w:val="top"/>
          </w:tcPr>
          <w:p w14:paraId="5E2F4845">
            <w:pPr>
              <w:pStyle w:val="6"/>
              <w:spacing w:before="183" w:line="232" w:lineRule="auto"/>
              <w:ind w:left="62"/>
              <w:rPr>
                <w:sz w:val="18"/>
                <w:szCs w:val="18"/>
              </w:rPr>
            </w:pPr>
            <w:r>
              <w:rPr>
                <w:spacing w:val="-2"/>
                <w:sz w:val="18"/>
                <w:szCs w:val="18"/>
              </w:rPr>
              <w:t>0.5L</w:t>
            </w:r>
          </w:p>
        </w:tc>
        <w:tc>
          <w:tcPr>
            <w:tcW w:w="1015" w:type="dxa"/>
            <w:vAlign w:val="top"/>
          </w:tcPr>
          <w:p w14:paraId="62768BB4">
            <w:pPr>
              <w:pStyle w:val="6"/>
              <w:spacing w:before="183" w:line="232" w:lineRule="auto"/>
              <w:ind w:left="489"/>
              <w:rPr>
                <w:sz w:val="18"/>
                <w:szCs w:val="18"/>
              </w:rPr>
            </w:pPr>
            <w:r>
              <w:rPr>
                <w:sz w:val="18"/>
                <w:szCs w:val="18"/>
              </w:rPr>
              <w:t>/</w:t>
            </w:r>
          </w:p>
        </w:tc>
        <w:tc>
          <w:tcPr>
            <w:tcW w:w="721" w:type="dxa"/>
            <w:tcBorders>
              <w:right w:val="single" w:color="000000" w:sz="12" w:space="0"/>
            </w:tcBorders>
            <w:vAlign w:val="top"/>
          </w:tcPr>
          <w:p w14:paraId="7F5FA776">
            <w:pPr>
              <w:pStyle w:val="6"/>
              <w:spacing w:before="183" w:line="232" w:lineRule="auto"/>
              <w:ind w:left="278"/>
              <w:rPr>
                <w:sz w:val="18"/>
                <w:szCs w:val="18"/>
              </w:rPr>
            </w:pPr>
            <w:r>
              <w:rPr>
                <w:spacing w:val="-2"/>
                <w:sz w:val="18"/>
                <w:szCs w:val="18"/>
              </w:rPr>
              <w:t>70</w:t>
            </w:r>
          </w:p>
        </w:tc>
      </w:tr>
      <w:tr w14:paraId="6AD08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continue"/>
            <w:tcBorders>
              <w:top w:val="nil"/>
              <w:left w:val="single" w:color="000000" w:sz="12" w:space="0"/>
              <w:bottom w:val="nil"/>
            </w:tcBorders>
            <w:vAlign w:val="top"/>
          </w:tcPr>
          <w:p w14:paraId="78EDB82A">
            <w:pPr>
              <w:rPr>
                <w:rFonts w:ascii="Arial"/>
                <w:sz w:val="21"/>
              </w:rPr>
            </w:pPr>
          </w:p>
        </w:tc>
        <w:tc>
          <w:tcPr>
            <w:tcW w:w="272" w:type="dxa"/>
            <w:vMerge w:val="restart"/>
            <w:tcBorders>
              <w:bottom w:val="nil"/>
            </w:tcBorders>
            <w:vAlign w:val="top"/>
          </w:tcPr>
          <w:p w14:paraId="702CDD4A">
            <w:pPr>
              <w:spacing w:line="390" w:lineRule="auto"/>
              <w:rPr>
                <w:rFonts w:ascii="Arial"/>
                <w:sz w:val="21"/>
              </w:rPr>
            </w:pPr>
          </w:p>
          <w:p w14:paraId="2958B50D">
            <w:pPr>
              <w:pStyle w:val="6"/>
              <w:spacing w:before="52" w:line="235" w:lineRule="auto"/>
              <w:ind w:left="33" w:right="55"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004" w:type="dxa"/>
            <w:vAlign w:val="top"/>
          </w:tcPr>
          <w:p w14:paraId="79BAA586">
            <w:pPr>
              <w:pStyle w:val="6"/>
              <w:spacing w:before="183" w:line="232" w:lineRule="auto"/>
              <w:ind w:left="122"/>
              <w:rPr>
                <w:sz w:val="18"/>
                <w:szCs w:val="18"/>
              </w:rPr>
            </w:pPr>
            <w:r>
              <w:rPr>
                <w:spacing w:val="-1"/>
                <w:sz w:val="18"/>
                <w:szCs w:val="18"/>
              </w:rPr>
              <w:t>2019/5/10</w:t>
            </w:r>
          </w:p>
        </w:tc>
        <w:tc>
          <w:tcPr>
            <w:tcW w:w="686" w:type="dxa"/>
            <w:vAlign w:val="top"/>
          </w:tcPr>
          <w:p w14:paraId="1B3D5467">
            <w:pPr>
              <w:pStyle w:val="6"/>
              <w:spacing w:before="188" w:line="183" w:lineRule="auto"/>
              <w:ind w:left="234"/>
              <w:rPr>
                <w:sz w:val="18"/>
                <w:szCs w:val="18"/>
              </w:rPr>
            </w:pPr>
            <w:r>
              <w:rPr>
                <w:spacing w:val="-2"/>
                <w:sz w:val="18"/>
                <w:szCs w:val="18"/>
              </w:rPr>
              <w:t>5L</w:t>
            </w:r>
          </w:p>
        </w:tc>
        <w:tc>
          <w:tcPr>
            <w:tcW w:w="923" w:type="dxa"/>
            <w:vAlign w:val="top"/>
          </w:tcPr>
          <w:p w14:paraId="556A7483">
            <w:pPr>
              <w:pStyle w:val="6"/>
              <w:spacing w:before="183" w:line="232" w:lineRule="auto"/>
              <w:ind w:left="338"/>
              <w:rPr>
                <w:sz w:val="18"/>
                <w:szCs w:val="18"/>
              </w:rPr>
            </w:pPr>
            <w:r>
              <w:rPr>
                <w:spacing w:val="-3"/>
                <w:sz w:val="18"/>
                <w:szCs w:val="18"/>
              </w:rPr>
              <w:t>0.5</w:t>
            </w:r>
          </w:p>
        </w:tc>
        <w:tc>
          <w:tcPr>
            <w:tcW w:w="708" w:type="dxa"/>
            <w:vAlign w:val="top"/>
          </w:tcPr>
          <w:p w14:paraId="5D508EFB">
            <w:pPr>
              <w:pStyle w:val="6"/>
              <w:spacing w:before="183" w:line="232" w:lineRule="auto"/>
              <w:ind w:left="189"/>
              <w:rPr>
                <w:sz w:val="18"/>
                <w:szCs w:val="18"/>
              </w:rPr>
            </w:pPr>
            <w:r>
              <w:rPr>
                <w:spacing w:val="-2"/>
                <w:sz w:val="18"/>
                <w:szCs w:val="18"/>
              </w:rPr>
              <w:t>6.76</w:t>
            </w:r>
          </w:p>
        </w:tc>
        <w:tc>
          <w:tcPr>
            <w:tcW w:w="850" w:type="dxa"/>
            <w:vAlign w:val="top"/>
          </w:tcPr>
          <w:p w14:paraId="251F9818">
            <w:pPr>
              <w:pStyle w:val="6"/>
              <w:spacing w:before="189" w:line="229" w:lineRule="auto"/>
              <w:ind w:left="214"/>
              <w:rPr>
                <w:sz w:val="18"/>
                <w:szCs w:val="18"/>
              </w:rPr>
            </w:pPr>
            <w:r>
              <w:rPr>
                <w:b/>
                <w:bCs/>
                <w:spacing w:val="-2"/>
                <w:sz w:val="18"/>
                <w:szCs w:val="18"/>
              </w:rPr>
              <w:t>0.859</w:t>
            </w:r>
          </w:p>
        </w:tc>
        <w:tc>
          <w:tcPr>
            <w:tcW w:w="761" w:type="dxa"/>
            <w:vAlign w:val="top"/>
          </w:tcPr>
          <w:p w14:paraId="48923F36">
            <w:pPr>
              <w:pStyle w:val="6"/>
              <w:spacing w:before="189" w:line="229" w:lineRule="auto"/>
              <w:ind w:left="169"/>
              <w:rPr>
                <w:sz w:val="18"/>
                <w:szCs w:val="18"/>
              </w:rPr>
            </w:pPr>
            <w:r>
              <w:rPr>
                <w:b/>
                <w:bCs/>
                <w:spacing w:val="-2"/>
                <w:sz w:val="18"/>
                <w:szCs w:val="18"/>
              </w:rPr>
              <w:t>0.544</w:t>
            </w:r>
          </w:p>
        </w:tc>
        <w:tc>
          <w:tcPr>
            <w:tcW w:w="654" w:type="dxa"/>
            <w:vAlign w:val="top"/>
          </w:tcPr>
          <w:p w14:paraId="0740944B">
            <w:pPr>
              <w:pStyle w:val="6"/>
              <w:spacing w:before="183" w:line="232" w:lineRule="auto"/>
              <w:ind w:left="73"/>
              <w:rPr>
                <w:sz w:val="18"/>
                <w:szCs w:val="18"/>
              </w:rPr>
            </w:pPr>
            <w:r>
              <w:rPr>
                <w:spacing w:val="-2"/>
                <w:sz w:val="18"/>
                <w:szCs w:val="18"/>
              </w:rPr>
              <w:t>0.0221</w:t>
            </w:r>
          </w:p>
        </w:tc>
        <w:tc>
          <w:tcPr>
            <w:tcW w:w="708" w:type="dxa"/>
            <w:vAlign w:val="top"/>
          </w:tcPr>
          <w:p w14:paraId="3F863CAF">
            <w:pPr>
              <w:pStyle w:val="6"/>
              <w:spacing w:before="183" w:line="232" w:lineRule="auto"/>
              <w:ind w:left="91"/>
              <w:rPr>
                <w:sz w:val="18"/>
                <w:szCs w:val="18"/>
              </w:rPr>
            </w:pPr>
            <w:r>
              <w:rPr>
                <w:spacing w:val="-2"/>
                <w:sz w:val="18"/>
                <w:szCs w:val="18"/>
              </w:rPr>
              <w:t>0.009L</w:t>
            </w:r>
          </w:p>
        </w:tc>
        <w:tc>
          <w:tcPr>
            <w:tcW w:w="707" w:type="dxa"/>
            <w:vAlign w:val="top"/>
          </w:tcPr>
          <w:p w14:paraId="2BB0029E">
            <w:pPr>
              <w:pStyle w:val="6"/>
              <w:spacing w:before="183" w:line="232" w:lineRule="auto"/>
              <w:ind w:left="148"/>
              <w:rPr>
                <w:sz w:val="18"/>
                <w:szCs w:val="18"/>
              </w:rPr>
            </w:pPr>
            <w:r>
              <w:rPr>
                <w:spacing w:val="-2"/>
                <w:sz w:val="18"/>
                <w:szCs w:val="18"/>
              </w:rPr>
              <w:t>0.014</w:t>
            </w:r>
          </w:p>
        </w:tc>
        <w:tc>
          <w:tcPr>
            <w:tcW w:w="766" w:type="dxa"/>
            <w:vAlign w:val="top"/>
          </w:tcPr>
          <w:p w14:paraId="64DD3682">
            <w:pPr>
              <w:pStyle w:val="6"/>
              <w:spacing w:before="183" w:line="232" w:lineRule="auto"/>
              <w:ind w:left="228"/>
              <w:rPr>
                <w:sz w:val="18"/>
                <w:szCs w:val="18"/>
              </w:rPr>
            </w:pPr>
            <w:r>
              <w:rPr>
                <w:spacing w:val="-6"/>
                <w:sz w:val="18"/>
                <w:szCs w:val="18"/>
              </w:rPr>
              <w:t>1.0L</w:t>
            </w:r>
          </w:p>
        </w:tc>
        <w:tc>
          <w:tcPr>
            <w:tcW w:w="595" w:type="dxa"/>
            <w:vAlign w:val="top"/>
          </w:tcPr>
          <w:p w14:paraId="103C863D">
            <w:pPr>
              <w:pStyle w:val="6"/>
              <w:spacing w:before="183" w:line="232" w:lineRule="auto"/>
              <w:ind w:left="136"/>
              <w:rPr>
                <w:sz w:val="18"/>
                <w:szCs w:val="18"/>
              </w:rPr>
            </w:pPr>
            <w:r>
              <w:rPr>
                <w:spacing w:val="-1"/>
                <w:sz w:val="18"/>
                <w:szCs w:val="18"/>
              </w:rPr>
              <w:t>26.3</w:t>
            </w:r>
          </w:p>
        </w:tc>
        <w:tc>
          <w:tcPr>
            <w:tcW w:w="955" w:type="dxa"/>
            <w:vAlign w:val="top"/>
          </w:tcPr>
          <w:p w14:paraId="37320971">
            <w:pPr>
              <w:pStyle w:val="6"/>
              <w:spacing w:before="183" w:line="232" w:lineRule="auto"/>
              <w:ind w:left="390"/>
              <w:rPr>
                <w:sz w:val="18"/>
                <w:szCs w:val="18"/>
              </w:rPr>
            </w:pPr>
            <w:r>
              <w:rPr>
                <w:spacing w:val="-3"/>
                <w:sz w:val="18"/>
                <w:szCs w:val="18"/>
              </w:rPr>
              <w:t>57</w:t>
            </w:r>
          </w:p>
        </w:tc>
        <w:tc>
          <w:tcPr>
            <w:tcW w:w="506" w:type="dxa"/>
            <w:vAlign w:val="top"/>
          </w:tcPr>
          <w:p w14:paraId="649817D3">
            <w:pPr>
              <w:pStyle w:val="6"/>
              <w:spacing w:before="183" w:line="232" w:lineRule="auto"/>
              <w:ind w:left="166"/>
              <w:rPr>
                <w:sz w:val="18"/>
                <w:szCs w:val="18"/>
              </w:rPr>
            </w:pPr>
            <w:r>
              <w:rPr>
                <w:spacing w:val="-3"/>
                <w:sz w:val="18"/>
                <w:szCs w:val="18"/>
              </w:rPr>
              <w:t>50</w:t>
            </w:r>
          </w:p>
        </w:tc>
        <w:tc>
          <w:tcPr>
            <w:tcW w:w="707" w:type="dxa"/>
            <w:vAlign w:val="top"/>
          </w:tcPr>
          <w:p w14:paraId="55375CE5">
            <w:pPr>
              <w:pStyle w:val="6"/>
              <w:spacing w:before="183" w:line="232" w:lineRule="auto"/>
              <w:ind w:left="212"/>
              <w:rPr>
                <w:sz w:val="18"/>
                <w:szCs w:val="18"/>
              </w:rPr>
            </w:pPr>
            <w:r>
              <w:rPr>
                <w:spacing w:val="-6"/>
                <w:sz w:val="18"/>
                <w:szCs w:val="18"/>
              </w:rPr>
              <w:t>1.22</w:t>
            </w:r>
          </w:p>
        </w:tc>
        <w:tc>
          <w:tcPr>
            <w:tcW w:w="708" w:type="dxa"/>
            <w:vAlign w:val="top"/>
          </w:tcPr>
          <w:p w14:paraId="4941CBB9">
            <w:pPr>
              <w:pStyle w:val="6"/>
              <w:spacing w:before="183" w:line="232" w:lineRule="auto"/>
              <w:ind w:left="99"/>
              <w:rPr>
                <w:sz w:val="18"/>
                <w:szCs w:val="18"/>
              </w:rPr>
            </w:pPr>
            <w:r>
              <w:rPr>
                <w:spacing w:val="-2"/>
                <w:sz w:val="18"/>
                <w:szCs w:val="18"/>
              </w:rPr>
              <w:t>0.002L</w:t>
            </w:r>
          </w:p>
        </w:tc>
        <w:tc>
          <w:tcPr>
            <w:tcW w:w="663" w:type="dxa"/>
            <w:vAlign w:val="top"/>
          </w:tcPr>
          <w:p w14:paraId="1CBEDCA4">
            <w:pPr>
              <w:pStyle w:val="6"/>
              <w:spacing w:before="183" w:line="232" w:lineRule="auto"/>
              <w:ind w:left="134"/>
              <w:rPr>
                <w:sz w:val="18"/>
                <w:szCs w:val="18"/>
              </w:rPr>
            </w:pPr>
            <w:r>
              <w:rPr>
                <w:spacing w:val="-2"/>
                <w:sz w:val="18"/>
                <w:szCs w:val="18"/>
              </w:rPr>
              <w:t>0.109</w:t>
            </w:r>
          </w:p>
        </w:tc>
        <w:tc>
          <w:tcPr>
            <w:tcW w:w="664" w:type="dxa"/>
            <w:vAlign w:val="top"/>
          </w:tcPr>
          <w:p w14:paraId="65689AB3">
            <w:pPr>
              <w:pStyle w:val="6"/>
              <w:spacing w:before="183" w:line="232" w:lineRule="auto"/>
              <w:ind w:left="134"/>
              <w:rPr>
                <w:sz w:val="18"/>
                <w:szCs w:val="18"/>
              </w:rPr>
            </w:pPr>
            <w:r>
              <w:rPr>
                <w:spacing w:val="-2"/>
                <w:sz w:val="18"/>
                <w:szCs w:val="18"/>
              </w:rPr>
              <w:t>0.005</w:t>
            </w:r>
          </w:p>
        </w:tc>
        <w:tc>
          <w:tcPr>
            <w:tcW w:w="782" w:type="dxa"/>
            <w:vAlign w:val="top"/>
          </w:tcPr>
          <w:p w14:paraId="58C5CC20">
            <w:pPr>
              <w:pStyle w:val="6"/>
              <w:spacing w:before="183" w:line="232" w:lineRule="auto"/>
              <w:ind w:left="93"/>
              <w:rPr>
                <w:sz w:val="18"/>
                <w:szCs w:val="18"/>
              </w:rPr>
            </w:pPr>
            <w:r>
              <w:rPr>
                <w:spacing w:val="-1"/>
                <w:sz w:val="18"/>
                <w:szCs w:val="18"/>
              </w:rPr>
              <w:t>0.0005L</w:t>
            </w:r>
          </w:p>
        </w:tc>
        <w:tc>
          <w:tcPr>
            <w:tcW w:w="663" w:type="dxa"/>
            <w:vAlign w:val="top"/>
          </w:tcPr>
          <w:p w14:paraId="1620E527">
            <w:pPr>
              <w:pStyle w:val="6"/>
              <w:spacing w:before="183" w:line="232" w:lineRule="auto"/>
              <w:ind w:left="81"/>
              <w:rPr>
                <w:sz w:val="18"/>
                <w:szCs w:val="18"/>
              </w:rPr>
            </w:pPr>
            <w:r>
              <w:rPr>
                <w:spacing w:val="-2"/>
                <w:sz w:val="18"/>
                <w:szCs w:val="18"/>
              </w:rPr>
              <w:t>0.004L</w:t>
            </w:r>
          </w:p>
        </w:tc>
        <w:tc>
          <w:tcPr>
            <w:tcW w:w="737" w:type="dxa"/>
            <w:vAlign w:val="top"/>
          </w:tcPr>
          <w:p w14:paraId="0143DFCF">
            <w:pPr>
              <w:pStyle w:val="6"/>
              <w:spacing w:before="183" w:line="232" w:lineRule="auto"/>
              <w:ind w:left="74"/>
              <w:rPr>
                <w:sz w:val="18"/>
                <w:szCs w:val="18"/>
              </w:rPr>
            </w:pPr>
            <w:r>
              <w:rPr>
                <w:spacing w:val="-1"/>
                <w:sz w:val="18"/>
                <w:szCs w:val="18"/>
              </w:rPr>
              <w:t>0.0025L</w:t>
            </w:r>
          </w:p>
        </w:tc>
        <w:tc>
          <w:tcPr>
            <w:tcW w:w="737" w:type="dxa"/>
            <w:vAlign w:val="top"/>
          </w:tcPr>
          <w:p w14:paraId="180845C2">
            <w:pPr>
              <w:pStyle w:val="6"/>
              <w:spacing w:before="183" w:line="232" w:lineRule="auto"/>
              <w:ind w:left="130"/>
              <w:rPr>
                <w:sz w:val="18"/>
                <w:szCs w:val="18"/>
              </w:rPr>
            </w:pPr>
            <w:r>
              <w:rPr>
                <w:spacing w:val="-2"/>
                <w:sz w:val="18"/>
                <w:szCs w:val="18"/>
              </w:rPr>
              <w:t>0.0003</w:t>
            </w:r>
          </w:p>
        </w:tc>
        <w:tc>
          <w:tcPr>
            <w:tcW w:w="754" w:type="dxa"/>
            <w:vAlign w:val="top"/>
          </w:tcPr>
          <w:p w14:paraId="7A39827E">
            <w:pPr>
              <w:pStyle w:val="6"/>
              <w:spacing w:before="183" w:line="232" w:lineRule="auto"/>
              <w:ind w:left="139"/>
              <w:rPr>
                <w:sz w:val="18"/>
                <w:szCs w:val="18"/>
              </w:rPr>
            </w:pPr>
            <w:r>
              <w:rPr>
                <w:spacing w:val="-2"/>
                <w:sz w:val="18"/>
                <w:szCs w:val="18"/>
              </w:rPr>
              <w:t>0.0018</w:t>
            </w:r>
          </w:p>
        </w:tc>
        <w:tc>
          <w:tcPr>
            <w:tcW w:w="667" w:type="dxa"/>
            <w:vAlign w:val="top"/>
          </w:tcPr>
          <w:p w14:paraId="412D120A">
            <w:pPr>
              <w:pStyle w:val="6"/>
              <w:spacing w:before="183" w:line="232" w:lineRule="auto"/>
              <w:ind w:left="86"/>
              <w:rPr>
                <w:sz w:val="18"/>
                <w:szCs w:val="18"/>
              </w:rPr>
            </w:pPr>
            <w:r>
              <w:rPr>
                <w:spacing w:val="-2"/>
                <w:sz w:val="18"/>
                <w:szCs w:val="18"/>
              </w:rPr>
              <w:t>0.002L</w:t>
            </w:r>
          </w:p>
        </w:tc>
        <w:tc>
          <w:tcPr>
            <w:tcW w:w="544" w:type="dxa"/>
            <w:vAlign w:val="top"/>
          </w:tcPr>
          <w:p w14:paraId="14C21D87">
            <w:pPr>
              <w:pStyle w:val="6"/>
              <w:spacing w:before="183" w:line="232" w:lineRule="auto"/>
              <w:ind w:left="117"/>
              <w:rPr>
                <w:sz w:val="18"/>
                <w:szCs w:val="18"/>
              </w:rPr>
            </w:pPr>
            <w:r>
              <w:rPr>
                <w:spacing w:val="-2"/>
                <w:sz w:val="18"/>
                <w:szCs w:val="18"/>
              </w:rPr>
              <w:t>0.2L</w:t>
            </w:r>
          </w:p>
        </w:tc>
        <w:tc>
          <w:tcPr>
            <w:tcW w:w="434" w:type="dxa"/>
            <w:vAlign w:val="top"/>
          </w:tcPr>
          <w:p w14:paraId="280B577A">
            <w:pPr>
              <w:pStyle w:val="6"/>
              <w:spacing w:before="183" w:line="232" w:lineRule="auto"/>
              <w:ind w:left="62"/>
              <w:rPr>
                <w:sz w:val="18"/>
                <w:szCs w:val="18"/>
              </w:rPr>
            </w:pPr>
            <w:r>
              <w:rPr>
                <w:spacing w:val="-2"/>
                <w:sz w:val="18"/>
                <w:szCs w:val="18"/>
              </w:rPr>
              <w:t>0.5L</w:t>
            </w:r>
          </w:p>
        </w:tc>
        <w:tc>
          <w:tcPr>
            <w:tcW w:w="1015" w:type="dxa"/>
            <w:vAlign w:val="top"/>
          </w:tcPr>
          <w:p w14:paraId="386A6923">
            <w:pPr>
              <w:pStyle w:val="6"/>
              <w:spacing w:before="183" w:line="232" w:lineRule="auto"/>
              <w:ind w:left="489"/>
              <w:rPr>
                <w:sz w:val="18"/>
                <w:szCs w:val="18"/>
              </w:rPr>
            </w:pPr>
            <w:r>
              <w:rPr>
                <w:sz w:val="18"/>
                <w:szCs w:val="18"/>
              </w:rPr>
              <w:t>/</w:t>
            </w:r>
          </w:p>
        </w:tc>
        <w:tc>
          <w:tcPr>
            <w:tcW w:w="721" w:type="dxa"/>
            <w:tcBorders>
              <w:right w:val="single" w:color="000000" w:sz="12" w:space="0"/>
            </w:tcBorders>
            <w:vAlign w:val="top"/>
          </w:tcPr>
          <w:p w14:paraId="63E66D40">
            <w:pPr>
              <w:pStyle w:val="6"/>
              <w:spacing w:before="183" w:line="232" w:lineRule="auto"/>
              <w:ind w:left="274"/>
              <w:rPr>
                <w:sz w:val="18"/>
                <w:szCs w:val="18"/>
              </w:rPr>
            </w:pPr>
            <w:r>
              <w:rPr>
                <w:spacing w:val="-1"/>
                <w:sz w:val="18"/>
                <w:szCs w:val="18"/>
              </w:rPr>
              <w:t>45</w:t>
            </w:r>
          </w:p>
        </w:tc>
      </w:tr>
      <w:tr w14:paraId="6CEA8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62847E48">
            <w:pPr>
              <w:rPr>
                <w:rFonts w:ascii="Arial"/>
                <w:sz w:val="21"/>
              </w:rPr>
            </w:pPr>
          </w:p>
        </w:tc>
        <w:tc>
          <w:tcPr>
            <w:tcW w:w="272" w:type="dxa"/>
            <w:vMerge w:val="continue"/>
            <w:tcBorders>
              <w:top w:val="nil"/>
              <w:bottom w:val="nil"/>
            </w:tcBorders>
            <w:vAlign w:val="top"/>
          </w:tcPr>
          <w:p w14:paraId="35F866A2">
            <w:pPr>
              <w:rPr>
                <w:rFonts w:ascii="Arial"/>
                <w:sz w:val="21"/>
              </w:rPr>
            </w:pPr>
          </w:p>
        </w:tc>
        <w:tc>
          <w:tcPr>
            <w:tcW w:w="1004" w:type="dxa"/>
            <w:vAlign w:val="top"/>
          </w:tcPr>
          <w:p w14:paraId="5C094A0C">
            <w:pPr>
              <w:pStyle w:val="6"/>
              <w:spacing w:before="185" w:line="232" w:lineRule="auto"/>
              <w:ind w:left="122"/>
              <w:rPr>
                <w:sz w:val="18"/>
                <w:szCs w:val="18"/>
              </w:rPr>
            </w:pPr>
            <w:r>
              <w:rPr>
                <w:spacing w:val="-1"/>
                <w:sz w:val="18"/>
                <w:szCs w:val="18"/>
              </w:rPr>
              <w:t>2019/5/11</w:t>
            </w:r>
          </w:p>
        </w:tc>
        <w:tc>
          <w:tcPr>
            <w:tcW w:w="686" w:type="dxa"/>
            <w:vAlign w:val="top"/>
          </w:tcPr>
          <w:p w14:paraId="263A8CE0">
            <w:pPr>
              <w:pStyle w:val="6"/>
              <w:spacing w:before="191" w:line="183" w:lineRule="auto"/>
              <w:ind w:left="234"/>
              <w:rPr>
                <w:sz w:val="18"/>
                <w:szCs w:val="18"/>
              </w:rPr>
            </w:pPr>
            <w:r>
              <w:rPr>
                <w:spacing w:val="-2"/>
                <w:sz w:val="18"/>
                <w:szCs w:val="18"/>
              </w:rPr>
              <w:t>5L</w:t>
            </w:r>
          </w:p>
        </w:tc>
        <w:tc>
          <w:tcPr>
            <w:tcW w:w="923" w:type="dxa"/>
            <w:vAlign w:val="top"/>
          </w:tcPr>
          <w:p w14:paraId="19666EC8">
            <w:pPr>
              <w:pStyle w:val="6"/>
              <w:spacing w:before="185" w:line="232" w:lineRule="auto"/>
              <w:ind w:left="338"/>
              <w:rPr>
                <w:sz w:val="18"/>
                <w:szCs w:val="18"/>
              </w:rPr>
            </w:pPr>
            <w:r>
              <w:rPr>
                <w:spacing w:val="-3"/>
                <w:sz w:val="18"/>
                <w:szCs w:val="18"/>
              </w:rPr>
              <w:t>0.5</w:t>
            </w:r>
          </w:p>
        </w:tc>
        <w:tc>
          <w:tcPr>
            <w:tcW w:w="708" w:type="dxa"/>
            <w:vAlign w:val="top"/>
          </w:tcPr>
          <w:p w14:paraId="3022412D">
            <w:pPr>
              <w:pStyle w:val="6"/>
              <w:spacing w:before="185" w:line="232" w:lineRule="auto"/>
              <w:ind w:left="189"/>
              <w:rPr>
                <w:sz w:val="18"/>
                <w:szCs w:val="18"/>
              </w:rPr>
            </w:pPr>
            <w:r>
              <w:rPr>
                <w:spacing w:val="-2"/>
                <w:sz w:val="18"/>
                <w:szCs w:val="18"/>
              </w:rPr>
              <w:t>6.82</w:t>
            </w:r>
          </w:p>
        </w:tc>
        <w:tc>
          <w:tcPr>
            <w:tcW w:w="850" w:type="dxa"/>
            <w:vAlign w:val="top"/>
          </w:tcPr>
          <w:p w14:paraId="64267CDD">
            <w:pPr>
              <w:pStyle w:val="6"/>
              <w:spacing w:before="191" w:line="229" w:lineRule="auto"/>
              <w:ind w:left="214"/>
              <w:rPr>
                <w:sz w:val="18"/>
                <w:szCs w:val="18"/>
              </w:rPr>
            </w:pPr>
            <w:r>
              <w:rPr>
                <w:b/>
                <w:bCs/>
                <w:spacing w:val="-2"/>
                <w:sz w:val="18"/>
                <w:szCs w:val="18"/>
              </w:rPr>
              <w:t>0.856</w:t>
            </w:r>
          </w:p>
        </w:tc>
        <w:tc>
          <w:tcPr>
            <w:tcW w:w="761" w:type="dxa"/>
            <w:vAlign w:val="top"/>
          </w:tcPr>
          <w:p w14:paraId="715551FC">
            <w:pPr>
              <w:pStyle w:val="6"/>
              <w:spacing w:before="191" w:line="229" w:lineRule="auto"/>
              <w:ind w:left="169"/>
              <w:rPr>
                <w:sz w:val="18"/>
                <w:szCs w:val="18"/>
              </w:rPr>
            </w:pPr>
            <w:r>
              <w:rPr>
                <w:b/>
                <w:bCs/>
                <w:spacing w:val="-2"/>
                <w:sz w:val="18"/>
                <w:szCs w:val="18"/>
              </w:rPr>
              <w:t>0.538</w:t>
            </w:r>
          </w:p>
        </w:tc>
        <w:tc>
          <w:tcPr>
            <w:tcW w:w="654" w:type="dxa"/>
            <w:vAlign w:val="top"/>
          </w:tcPr>
          <w:p w14:paraId="1F4FD428">
            <w:pPr>
              <w:pStyle w:val="6"/>
              <w:spacing w:before="185" w:line="232" w:lineRule="auto"/>
              <w:ind w:left="73"/>
              <w:rPr>
                <w:sz w:val="18"/>
                <w:szCs w:val="18"/>
              </w:rPr>
            </w:pPr>
            <w:r>
              <w:rPr>
                <w:spacing w:val="-2"/>
                <w:sz w:val="18"/>
                <w:szCs w:val="18"/>
              </w:rPr>
              <w:t>0.0220</w:t>
            </w:r>
          </w:p>
        </w:tc>
        <w:tc>
          <w:tcPr>
            <w:tcW w:w="708" w:type="dxa"/>
            <w:vAlign w:val="top"/>
          </w:tcPr>
          <w:p w14:paraId="4AE5EEE2">
            <w:pPr>
              <w:pStyle w:val="6"/>
              <w:spacing w:before="185" w:line="232" w:lineRule="auto"/>
              <w:ind w:left="91"/>
              <w:rPr>
                <w:sz w:val="18"/>
                <w:szCs w:val="18"/>
              </w:rPr>
            </w:pPr>
            <w:r>
              <w:rPr>
                <w:spacing w:val="-2"/>
                <w:sz w:val="18"/>
                <w:szCs w:val="18"/>
              </w:rPr>
              <w:t>0.009L</w:t>
            </w:r>
          </w:p>
        </w:tc>
        <w:tc>
          <w:tcPr>
            <w:tcW w:w="707" w:type="dxa"/>
            <w:vAlign w:val="top"/>
          </w:tcPr>
          <w:p w14:paraId="315D5D4D">
            <w:pPr>
              <w:pStyle w:val="6"/>
              <w:spacing w:before="185" w:line="232" w:lineRule="auto"/>
              <w:ind w:left="148"/>
              <w:rPr>
                <w:sz w:val="18"/>
                <w:szCs w:val="18"/>
              </w:rPr>
            </w:pPr>
            <w:r>
              <w:rPr>
                <w:spacing w:val="-2"/>
                <w:sz w:val="18"/>
                <w:szCs w:val="18"/>
              </w:rPr>
              <w:t>0.015</w:t>
            </w:r>
          </w:p>
        </w:tc>
        <w:tc>
          <w:tcPr>
            <w:tcW w:w="766" w:type="dxa"/>
            <w:vAlign w:val="top"/>
          </w:tcPr>
          <w:p w14:paraId="0FF0D631">
            <w:pPr>
              <w:pStyle w:val="6"/>
              <w:spacing w:before="185" w:line="232" w:lineRule="auto"/>
              <w:ind w:left="228"/>
              <w:rPr>
                <w:sz w:val="18"/>
                <w:szCs w:val="18"/>
              </w:rPr>
            </w:pPr>
            <w:r>
              <w:rPr>
                <w:spacing w:val="-6"/>
                <w:sz w:val="18"/>
                <w:szCs w:val="18"/>
              </w:rPr>
              <w:t>1.0L</w:t>
            </w:r>
          </w:p>
        </w:tc>
        <w:tc>
          <w:tcPr>
            <w:tcW w:w="595" w:type="dxa"/>
            <w:vAlign w:val="top"/>
          </w:tcPr>
          <w:p w14:paraId="69BD905D">
            <w:pPr>
              <w:pStyle w:val="6"/>
              <w:spacing w:before="185" w:line="232" w:lineRule="auto"/>
              <w:ind w:left="136"/>
              <w:rPr>
                <w:sz w:val="18"/>
                <w:szCs w:val="18"/>
              </w:rPr>
            </w:pPr>
            <w:r>
              <w:rPr>
                <w:spacing w:val="-1"/>
                <w:sz w:val="18"/>
                <w:szCs w:val="18"/>
              </w:rPr>
              <w:t>25.1</w:t>
            </w:r>
          </w:p>
        </w:tc>
        <w:tc>
          <w:tcPr>
            <w:tcW w:w="955" w:type="dxa"/>
            <w:vAlign w:val="top"/>
          </w:tcPr>
          <w:p w14:paraId="1478F9B1">
            <w:pPr>
              <w:pStyle w:val="6"/>
              <w:spacing w:before="186" w:line="232" w:lineRule="auto"/>
              <w:ind w:left="389"/>
              <w:rPr>
                <w:sz w:val="18"/>
                <w:szCs w:val="18"/>
              </w:rPr>
            </w:pPr>
            <w:r>
              <w:rPr>
                <w:spacing w:val="-2"/>
                <w:sz w:val="18"/>
                <w:szCs w:val="18"/>
              </w:rPr>
              <w:t>62</w:t>
            </w:r>
          </w:p>
        </w:tc>
        <w:tc>
          <w:tcPr>
            <w:tcW w:w="506" w:type="dxa"/>
            <w:vAlign w:val="top"/>
          </w:tcPr>
          <w:p w14:paraId="71EBB249">
            <w:pPr>
              <w:pStyle w:val="6"/>
              <w:spacing w:before="185" w:line="232" w:lineRule="auto"/>
              <w:ind w:left="160"/>
              <w:rPr>
                <w:sz w:val="18"/>
                <w:szCs w:val="18"/>
              </w:rPr>
            </w:pPr>
            <w:r>
              <w:rPr>
                <w:spacing w:val="-1"/>
                <w:sz w:val="18"/>
                <w:szCs w:val="18"/>
              </w:rPr>
              <w:t>47</w:t>
            </w:r>
          </w:p>
        </w:tc>
        <w:tc>
          <w:tcPr>
            <w:tcW w:w="707" w:type="dxa"/>
            <w:vAlign w:val="top"/>
          </w:tcPr>
          <w:p w14:paraId="4A208941">
            <w:pPr>
              <w:pStyle w:val="6"/>
              <w:spacing w:before="185" w:line="232" w:lineRule="auto"/>
              <w:ind w:left="212"/>
              <w:rPr>
                <w:sz w:val="18"/>
                <w:szCs w:val="18"/>
              </w:rPr>
            </w:pPr>
            <w:r>
              <w:rPr>
                <w:spacing w:val="-6"/>
                <w:sz w:val="18"/>
                <w:szCs w:val="18"/>
              </w:rPr>
              <w:t>1.18</w:t>
            </w:r>
          </w:p>
        </w:tc>
        <w:tc>
          <w:tcPr>
            <w:tcW w:w="708" w:type="dxa"/>
            <w:vAlign w:val="top"/>
          </w:tcPr>
          <w:p w14:paraId="5DA4AB0B">
            <w:pPr>
              <w:pStyle w:val="6"/>
              <w:spacing w:before="185" w:line="232" w:lineRule="auto"/>
              <w:ind w:left="99"/>
              <w:rPr>
                <w:sz w:val="18"/>
                <w:szCs w:val="18"/>
              </w:rPr>
            </w:pPr>
            <w:r>
              <w:rPr>
                <w:spacing w:val="-2"/>
                <w:sz w:val="18"/>
                <w:szCs w:val="18"/>
              </w:rPr>
              <w:t>0.002L</w:t>
            </w:r>
          </w:p>
        </w:tc>
        <w:tc>
          <w:tcPr>
            <w:tcW w:w="663" w:type="dxa"/>
            <w:vAlign w:val="top"/>
          </w:tcPr>
          <w:p w14:paraId="77B21786">
            <w:pPr>
              <w:pStyle w:val="6"/>
              <w:spacing w:before="185" w:line="232" w:lineRule="auto"/>
              <w:ind w:left="134"/>
              <w:rPr>
                <w:sz w:val="18"/>
                <w:szCs w:val="18"/>
              </w:rPr>
            </w:pPr>
            <w:r>
              <w:rPr>
                <w:spacing w:val="-2"/>
                <w:sz w:val="18"/>
                <w:szCs w:val="18"/>
              </w:rPr>
              <w:t>0.101</w:t>
            </w:r>
          </w:p>
        </w:tc>
        <w:tc>
          <w:tcPr>
            <w:tcW w:w="664" w:type="dxa"/>
            <w:vAlign w:val="top"/>
          </w:tcPr>
          <w:p w14:paraId="592F10FC">
            <w:pPr>
              <w:pStyle w:val="6"/>
              <w:spacing w:before="185" w:line="232" w:lineRule="auto"/>
              <w:ind w:left="134"/>
              <w:rPr>
                <w:sz w:val="18"/>
                <w:szCs w:val="18"/>
              </w:rPr>
            </w:pPr>
            <w:r>
              <w:rPr>
                <w:spacing w:val="-2"/>
                <w:sz w:val="18"/>
                <w:szCs w:val="18"/>
              </w:rPr>
              <w:t>0.005</w:t>
            </w:r>
          </w:p>
        </w:tc>
        <w:tc>
          <w:tcPr>
            <w:tcW w:w="782" w:type="dxa"/>
            <w:vAlign w:val="top"/>
          </w:tcPr>
          <w:p w14:paraId="2B8F96BD">
            <w:pPr>
              <w:pStyle w:val="6"/>
              <w:spacing w:before="185" w:line="232" w:lineRule="auto"/>
              <w:ind w:left="93"/>
              <w:rPr>
                <w:sz w:val="18"/>
                <w:szCs w:val="18"/>
              </w:rPr>
            </w:pPr>
            <w:r>
              <w:rPr>
                <w:spacing w:val="-1"/>
                <w:sz w:val="18"/>
                <w:szCs w:val="18"/>
              </w:rPr>
              <w:t>0.0005L</w:t>
            </w:r>
          </w:p>
        </w:tc>
        <w:tc>
          <w:tcPr>
            <w:tcW w:w="663" w:type="dxa"/>
            <w:vAlign w:val="top"/>
          </w:tcPr>
          <w:p w14:paraId="65C8621F">
            <w:pPr>
              <w:pStyle w:val="6"/>
              <w:spacing w:before="185" w:line="232" w:lineRule="auto"/>
              <w:ind w:left="81"/>
              <w:rPr>
                <w:sz w:val="18"/>
                <w:szCs w:val="18"/>
              </w:rPr>
            </w:pPr>
            <w:r>
              <w:rPr>
                <w:spacing w:val="-2"/>
                <w:sz w:val="18"/>
                <w:szCs w:val="18"/>
              </w:rPr>
              <w:t>0.004L</w:t>
            </w:r>
          </w:p>
        </w:tc>
        <w:tc>
          <w:tcPr>
            <w:tcW w:w="737" w:type="dxa"/>
            <w:vAlign w:val="top"/>
          </w:tcPr>
          <w:p w14:paraId="4B9C1685">
            <w:pPr>
              <w:pStyle w:val="6"/>
              <w:spacing w:before="185" w:line="232" w:lineRule="auto"/>
              <w:ind w:left="74"/>
              <w:rPr>
                <w:sz w:val="18"/>
                <w:szCs w:val="18"/>
              </w:rPr>
            </w:pPr>
            <w:r>
              <w:rPr>
                <w:spacing w:val="-1"/>
                <w:sz w:val="18"/>
                <w:szCs w:val="18"/>
              </w:rPr>
              <w:t>0.0025L</w:t>
            </w:r>
          </w:p>
        </w:tc>
        <w:tc>
          <w:tcPr>
            <w:tcW w:w="737" w:type="dxa"/>
            <w:vAlign w:val="top"/>
          </w:tcPr>
          <w:p w14:paraId="10346EB8">
            <w:pPr>
              <w:pStyle w:val="6"/>
              <w:spacing w:before="185" w:line="232" w:lineRule="auto"/>
              <w:ind w:left="130"/>
              <w:rPr>
                <w:sz w:val="18"/>
                <w:szCs w:val="18"/>
              </w:rPr>
            </w:pPr>
            <w:r>
              <w:rPr>
                <w:spacing w:val="-2"/>
                <w:sz w:val="18"/>
                <w:szCs w:val="18"/>
              </w:rPr>
              <w:t>0.0003</w:t>
            </w:r>
          </w:p>
        </w:tc>
        <w:tc>
          <w:tcPr>
            <w:tcW w:w="754" w:type="dxa"/>
            <w:vAlign w:val="top"/>
          </w:tcPr>
          <w:p w14:paraId="4EE5FAEF">
            <w:pPr>
              <w:pStyle w:val="6"/>
              <w:spacing w:before="185" w:line="232" w:lineRule="auto"/>
              <w:ind w:left="139"/>
              <w:rPr>
                <w:sz w:val="18"/>
                <w:szCs w:val="18"/>
              </w:rPr>
            </w:pPr>
            <w:r>
              <w:rPr>
                <w:spacing w:val="-2"/>
                <w:sz w:val="18"/>
                <w:szCs w:val="18"/>
              </w:rPr>
              <w:t>0.0010</w:t>
            </w:r>
          </w:p>
        </w:tc>
        <w:tc>
          <w:tcPr>
            <w:tcW w:w="667" w:type="dxa"/>
            <w:vAlign w:val="top"/>
          </w:tcPr>
          <w:p w14:paraId="38214C18">
            <w:pPr>
              <w:pStyle w:val="6"/>
              <w:spacing w:before="185" w:line="232" w:lineRule="auto"/>
              <w:ind w:left="86"/>
              <w:rPr>
                <w:sz w:val="18"/>
                <w:szCs w:val="18"/>
              </w:rPr>
            </w:pPr>
            <w:r>
              <w:rPr>
                <w:spacing w:val="-2"/>
                <w:sz w:val="18"/>
                <w:szCs w:val="18"/>
              </w:rPr>
              <w:t>0.002L</w:t>
            </w:r>
          </w:p>
        </w:tc>
        <w:tc>
          <w:tcPr>
            <w:tcW w:w="544" w:type="dxa"/>
            <w:vAlign w:val="top"/>
          </w:tcPr>
          <w:p w14:paraId="76AA5ACF">
            <w:pPr>
              <w:pStyle w:val="6"/>
              <w:spacing w:before="185" w:line="232" w:lineRule="auto"/>
              <w:ind w:left="117"/>
              <w:rPr>
                <w:sz w:val="18"/>
                <w:szCs w:val="18"/>
              </w:rPr>
            </w:pPr>
            <w:r>
              <w:rPr>
                <w:spacing w:val="-2"/>
                <w:sz w:val="18"/>
                <w:szCs w:val="18"/>
              </w:rPr>
              <w:t>0.2L</w:t>
            </w:r>
          </w:p>
        </w:tc>
        <w:tc>
          <w:tcPr>
            <w:tcW w:w="434" w:type="dxa"/>
            <w:vAlign w:val="top"/>
          </w:tcPr>
          <w:p w14:paraId="76FC80D5">
            <w:pPr>
              <w:pStyle w:val="6"/>
              <w:spacing w:before="185" w:line="232" w:lineRule="auto"/>
              <w:ind w:left="62"/>
              <w:rPr>
                <w:sz w:val="18"/>
                <w:szCs w:val="18"/>
              </w:rPr>
            </w:pPr>
            <w:r>
              <w:rPr>
                <w:spacing w:val="-2"/>
                <w:sz w:val="18"/>
                <w:szCs w:val="18"/>
              </w:rPr>
              <w:t>0.5L</w:t>
            </w:r>
          </w:p>
        </w:tc>
        <w:tc>
          <w:tcPr>
            <w:tcW w:w="1015" w:type="dxa"/>
            <w:vAlign w:val="top"/>
          </w:tcPr>
          <w:p w14:paraId="0D97DA26">
            <w:pPr>
              <w:pStyle w:val="6"/>
              <w:spacing w:before="185" w:line="232" w:lineRule="auto"/>
              <w:ind w:left="489"/>
              <w:rPr>
                <w:sz w:val="18"/>
                <w:szCs w:val="18"/>
              </w:rPr>
            </w:pPr>
            <w:r>
              <w:rPr>
                <w:sz w:val="18"/>
                <w:szCs w:val="18"/>
              </w:rPr>
              <w:t>/</w:t>
            </w:r>
          </w:p>
        </w:tc>
        <w:tc>
          <w:tcPr>
            <w:tcW w:w="721" w:type="dxa"/>
            <w:tcBorders>
              <w:right w:val="single" w:color="000000" w:sz="12" w:space="0"/>
            </w:tcBorders>
            <w:vAlign w:val="top"/>
          </w:tcPr>
          <w:p w14:paraId="74ED9213">
            <w:pPr>
              <w:pStyle w:val="6"/>
              <w:spacing w:before="186" w:line="232" w:lineRule="auto"/>
              <w:ind w:left="274"/>
              <w:rPr>
                <w:sz w:val="18"/>
                <w:szCs w:val="18"/>
              </w:rPr>
            </w:pPr>
            <w:r>
              <w:rPr>
                <w:spacing w:val="-1"/>
                <w:sz w:val="18"/>
                <w:szCs w:val="18"/>
              </w:rPr>
              <w:t>40</w:t>
            </w:r>
          </w:p>
        </w:tc>
      </w:tr>
      <w:tr w14:paraId="7F8CC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48931697">
            <w:pPr>
              <w:rPr>
                <w:rFonts w:ascii="Arial"/>
                <w:sz w:val="21"/>
              </w:rPr>
            </w:pPr>
          </w:p>
        </w:tc>
        <w:tc>
          <w:tcPr>
            <w:tcW w:w="272" w:type="dxa"/>
            <w:vMerge w:val="continue"/>
            <w:tcBorders>
              <w:top w:val="nil"/>
            </w:tcBorders>
            <w:vAlign w:val="top"/>
          </w:tcPr>
          <w:p w14:paraId="1E860CD5">
            <w:pPr>
              <w:rPr>
                <w:rFonts w:ascii="Arial"/>
                <w:sz w:val="21"/>
              </w:rPr>
            </w:pPr>
          </w:p>
        </w:tc>
        <w:tc>
          <w:tcPr>
            <w:tcW w:w="1004" w:type="dxa"/>
            <w:vAlign w:val="top"/>
          </w:tcPr>
          <w:p w14:paraId="0AE12AE8">
            <w:pPr>
              <w:pStyle w:val="6"/>
              <w:spacing w:before="187" w:line="232" w:lineRule="auto"/>
              <w:ind w:left="122"/>
              <w:rPr>
                <w:sz w:val="18"/>
                <w:szCs w:val="18"/>
              </w:rPr>
            </w:pPr>
            <w:r>
              <w:rPr>
                <w:spacing w:val="-1"/>
                <w:sz w:val="18"/>
                <w:szCs w:val="18"/>
              </w:rPr>
              <w:t>2019/5/12</w:t>
            </w:r>
          </w:p>
        </w:tc>
        <w:tc>
          <w:tcPr>
            <w:tcW w:w="686" w:type="dxa"/>
            <w:vAlign w:val="top"/>
          </w:tcPr>
          <w:p w14:paraId="15B22B95">
            <w:pPr>
              <w:pStyle w:val="6"/>
              <w:spacing w:before="192" w:line="183" w:lineRule="auto"/>
              <w:ind w:left="234"/>
              <w:rPr>
                <w:sz w:val="18"/>
                <w:szCs w:val="18"/>
              </w:rPr>
            </w:pPr>
            <w:r>
              <w:rPr>
                <w:spacing w:val="-2"/>
                <w:sz w:val="18"/>
                <w:szCs w:val="18"/>
              </w:rPr>
              <w:t>5L</w:t>
            </w:r>
          </w:p>
        </w:tc>
        <w:tc>
          <w:tcPr>
            <w:tcW w:w="923" w:type="dxa"/>
            <w:vAlign w:val="top"/>
          </w:tcPr>
          <w:p w14:paraId="55390171">
            <w:pPr>
              <w:pStyle w:val="6"/>
              <w:spacing w:before="187" w:line="232" w:lineRule="auto"/>
              <w:ind w:left="338"/>
              <w:rPr>
                <w:sz w:val="18"/>
                <w:szCs w:val="18"/>
              </w:rPr>
            </w:pPr>
            <w:r>
              <w:rPr>
                <w:spacing w:val="-3"/>
                <w:sz w:val="18"/>
                <w:szCs w:val="18"/>
              </w:rPr>
              <w:t>0.6</w:t>
            </w:r>
          </w:p>
        </w:tc>
        <w:tc>
          <w:tcPr>
            <w:tcW w:w="708" w:type="dxa"/>
            <w:vAlign w:val="top"/>
          </w:tcPr>
          <w:p w14:paraId="1336B2EB">
            <w:pPr>
              <w:pStyle w:val="6"/>
              <w:spacing w:before="187" w:line="232" w:lineRule="auto"/>
              <w:ind w:left="189"/>
              <w:rPr>
                <w:sz w:val="18"/>
                <w:szCs w:val="18"/>
              </w:rPr>
            </w:pPr>
            <w:r>
              <w:rPr>
                <w:spacing w:val="-2"/>
                <w:sz w:val="18"/>
                <w:szCs w:val="18"/>
              </w:rPr>
              <w:t>6.85</w:t>
            </w:r>
          </w:p>
        </w:tc>
        <w:tc>
          <w:tcPr>
            <w:tcW w:w="850" w:type="dxa"/>
            <w:vAlign w:val="top"/>
          </w:tcPr>
          <w:p w14:paraId="5FCEC33C">
            <w:pPr>
              <w:pStyle w:val="6"/>
              <w:spacing w:before="193" w:line="229" w:lineRule="auto"/>
              <w:ind w:left="214"/>
              <w:rPr>
                <w:sz w:val="18"/>
                <w:szCs w:val="18"/>
              </w:rPr>
            </w:pPr>
            <w:r>
              <w:rPr>
                <w:b/>
                <w:bCs/>
                <w:spacing w:val="-2"/>
                <w:sz w:val="18"/>
                <w:szCs w:val="18"/>
              </w:rPr>
              <w:t>0.862</w:t>
            </w:r>
          </w:p>
        </w:tc>
        <w:tc>
          <w:tcPr>
            <w:tcW w:w="761" w:type="dxa"/>
            <w:vAlign w:val="top"/>
          </w:tcPr>
          <w:p w14:paraId="2F977E1E">
            <w:pPr>
              <w:pStyle w:val="6"/>
              <w:spacing w:before="193" w:line="229" w:lineRule="auto"/>
              <w:ind w:left="169"/>
              <w:rPr>
                <w:sz w:val="18"/>
                <w:szCs w:val="18"/>
              </w:rPr>
            </w:pPr>
            <w:r>
              <w:rPr>
                <w:b/>
                <w:bCs/>
                <w:spacing w:val="-2"/>
                <w:sz w:val="18"/>
                <w:szCs w:val="18"/>
              </w:rPr>
              <w:t>0.538</w:t>
            </w:r>
          </w:p>
        </w:tc>
        <w:tc>
          <w:tcPr>
            <w:tcW w:w="654" w:type="dxa"/>
            <w:vAlign w:val="top"/>
          </w:tcPr>
          <w:p w14:paraId="1E7EE7C3">
            <w:pPr>
              <w:pStyle w:val="6"/>
              <w:spacing w:before="187" w:line="232" w:lineRule="auto"/>
              <w:ind w:left="73"/>
              <w:rPr>
                <w:sz w:val="18"/>
                <w:szCs w:val="18"/>
              </w:rPr>
            </w:pPr>
            <w:r>
              <w:rPr>
                <w:spacing w:val="-2"/>
                <w:sz w:val="18"/>
                <w:szCs w:val="18"/>
              </w:rPr>
              <w:t>0.0217</w:t>
            </w:r>
          </w:p>
        </w:tc>
        <w:tc>
          <w:tcPr>
            <w:tcW w:w="708" w:type="dxa"/>
            <w:vAlign w:val="top"/>
          </w:tcPr>
          <w:p w14:paraId="0392A677">
            <w:pPr>
              <w:pStyle w:val="6"/>
              <w:spacing w:before="187" w:line="232" w:lineRule="auto"/>
              <w:ind w:left="91"/>
              <w:rPr>
                <w:sz w:val="18"/>
                <w:szCs w:val="18"/>
              </w:rPr>
            </w:pPr>
            <w:r>
              <w:rPr>
                <w:spacing w:val="-2"/>
                <w:sz w:val="18"/>
                <w:szCs w:val="18"/>
              </w:rPr>
              <w:t>0.009L</w:t>
            </w:r>
          </w:p>
        </w:tc>
        <w:tc>
          <w:tcPr>
            <w:tcW w:w="707" w:type="dxa"/>
            <w:vAlign w:val="top"/>
          </w:tcPr>
          <w:p w14:paraId="033620CF">
            <w:pPr>
              <w:pStyle w:val="6"/>
              <w:spacing w:before="187" w:line="232" w:lineRule="auto"/>
              <w:ind w:left="148"/>
              <w:rPr>
                <w:sz w:val="18"/>
                <w:szCs w:val="18"/>
              </w:rPr>
            </w:pPr>
            <w:r>
              <w:rPr>
                <w:spacing w:val="-2"/>
                <w:sz w:val="18"/>
                <w:szCs w:val="18"/>
              </w:rPr>
              <w:t>0.014</w:t>
            </w:r>
          </w:p>
        </w:tc>
        <w:tc>
          <w:tcPr>
            <w:tcW w:w="766" w:type="dxa"/>
            <w:vAlign w:val="top"/>
          </w:tcPr>
          <w:p w14:paraId="79C81522">
            <w:pPr>
              <w:pStyle w:val="6"/>
              <w:spacing w:before="187" w:line="232" w:lineRule="auto"/>
              <w:ind w:left="228"/>
              <w:rPr>
                <w:sz w:val="18"/>
                <w:szCs w:val="18"/>
              </w:rPr>
            </w:pPr>
            <w:r>
              <w:rPr>
                <w:spacing w:val="-6"/>
                <w:sz w:val="18"/>
                <w:szCs w:val="18"/>
              </w:rPr>
              <w:t>1.0L</w:t>
            </w:r>
          </w:p>
        </w:tc>
        <w:tc>
          <w:tcPr>
            <w:tcW w:w="595" w:type="dxa"/>
            <w:vAlign w:val="top"/>
          </w:tcPr>
          <w:p w14:paraId="3346F0B5">
            <w:pPr>
              <w:pStyle w:val="6"/>
              <w:spacing w:before="187" w:line="232" w:lineRule="auto"/>
              <w:ind w:left="136"/>
              <w:rPr>
                <w:sz w:val="18"/>
                <w:szCs w:val="18"/>
              </w:rPr>
            </w:pPr>
            <w:r>
              <w:rPr>
                <w:spacing w:val="-1"/>
                <w:sz w:val="18"/>
                <w:szCs w:val="18"/>
              </w:rPr>
              <w:t>25.5</w:t>
            </w:r>
          </w:p>
        </w:tc>
        <w:tc>
          <w:tcPr>
            <w:tcW w:w="955" w:type="dxa"/>
            <w:vAlign w:val="top"/>
          </w:tcPr>
          <w:p w14:paraId="581ED6BC">
            <w:pPr>
              <w:pStyle w:val="6"/>
              <w:spacing w:before="187" w:line="232" w:lineRule="auto"/>
              <w:ind w:left="389"/>
              <w:rPr>
                <w:sz w:val="18"/>
                <w:szCs w:val="18"/>
              </w:rPr>
            </w:pPr>
            <w:r>
              <w:rPr>
                <w:spacing w:val="-2"/>
                <w:sz w:val="18"/>
                <w:szCs w:val="18"/>
              </w:rPr>
              <w:t>66</w:t>
            </w:r>
          </w:p>
        </w:tc>
        <w:tc>
          <w:tcPr>
            <w:tcW w:w="506" w:type="dxa"/>
            <w:vAlign w:val="top"/>
          </w:tcPr>
          <w:p w14:paraId="5AAD4678">
            <w:pPr>
              <w:pStyle w:val="6"/>
              <w:spacing w:before="187" w:line="232" w:lineRule="auto"/>
              <w:ind w:left="166"/>
              <w:rPr>
                <w:sz w:val="18"/>
                <w:szCs w:val="18"/>
              </w:rPr>
            </w:pPr>
            <w:r>
              <w:rPr>
                <w:spacing w:val="-3"/>
                <w:sz w:val="18"/>
                <w:szCs w:val="18"/>
              </w:rPr>
              <w:t>55</w:t>
            </w:r>
          </w:p>
        </w:tc>
        <w:tc>
          <w:tcPr>
            <w:tcW w:w="707" w:type="dxa"/>
            <w:vAlign w:val="top"/>
          </w:tcPr>
          <w:p w14:paraId="58288BFD">
            <w:pPr>
              <w:pStyle w:val="6"/>
              <w:spacing w:before="187" w:line="232" w:lineRule="auto"/>
              <w:ind w:left="212"/>
              <w:rPr>
                <w:sz w:val="18"/>
                <w:szCs w:val="18"/>
              </w:rPr>
            </w:pPr>
            <w:r>
              <w:rPr>
                <w:spacing w:val="-6"/>
                <w:sz w:val="18"/>
                <w:szCs w:val="18"/>
              </w:rPr>
              <w:t>1.16</w:t>
            </w:r>
          </w:p>
        </w:tc>
        <w:tc>
          <w:tcPr>
            <w:tcW w:w="708" w:type="dxa"/>
            <w:vAlign w:val="top"/>
          </w:tcPr>
          <w:p w14:paraId="550C54FE">
            <w:pPr>
              <w:pStyle w:val="6"/>
              <w:spacing w:before="187" w:line="232" w:lineRule="auto"/>
              <w:ind w:left="99"/>
              <w:rPr>
                <w:sz w:val="18"/>
                <w:szCs w:val="18"/>
              </w:rPr>
            </w:pPr>
            <w:r>
              <w:rPr>
                <w:spacing w:val="-2"/>
                <w:sz w:val="18"/>
                <w:szCs w:val="18"/>
              </w:rPr>
              <w:t>0.002L</w:t>
            </w:r>
          </w:p>
        </w:tc>
        <w:tc>
          <w:tcPr>
            <w:tcW w:w="663" w:type="dxa"/>
            <w:vAlign w:val="top"/>
          </w:tcPr>
          <w:p w14:paraId="55BF9264">
            <w:pPr>
              <w:pStyle w:val="6"/>
              <w:spacing w:before="187" w:line="232" w:lineRule="auto"/>
              <w:ind w:left="134"/>
              <w:rPr>
                <w:sz w:val="18"/>
                <w:szCs w:val="18"/>
              </w:rPr>
            </w:pPr>
            <w:r>
              <w:rPr>
                <w:spacing w:val="-2"/>
                <w:sz w:val="18"/>
                <w:szCs w:val="18"/>
              </w:rPr>
              <w:t>0.106</w:t>
            </w:r>
          </w:p>
        </w:tc>
        <w:tc>
          <w:tcPr>
            <w:tcW w:w="664" w:type="dxa"/>
            <w:vAlign w:val="top"/>
          </w:tcPr>
          <w:p w14:paraId="0426E1E9">
            <w:pPr>
              <w:pStyle w:val="6"/>
              <w:spacing w:before="187" w:line="232" w:lineRule="auto"/>
              <w:ind w:left="134"/>
              <w:rPr>
                <w:sz w:val="18"/>
                <w:szCs w:val="18"/>
              </w:rPr>
            </w:pPr>
            <w:r>
              <w:rPr>
                <w:spacing w:val="-2"/>
                <w:sz w:val="18"/>
                <w:szCs w:val="18"/>
              </w:rPr>
              <w:t>0.004</w:t>
            </w:r>
          </w:p>
        </w:tc>
        <w:tc>
          <w:tcPr>
            <w:tcW w:w="782" w:type="dxa"/>
            <w:vAlign w:val="top"/>
          </w:tcPr>
          <w:p w14:paraId="08C7BD73">
            <w:pPr>
              <w:pStyle w:val="6"/>
              <w:spacing w:before="187" w:line="232" w:lineRule="auto"/>
              <w:ind w:left="93"/>
              <w:rPr>
                <w:sz w:val="18"/>
                <w:szCs w:val="18"/>
              </w:rPr>
            </w:pPr>
            <w:r>
              <w:rPr>
                <w:spacing w:val="-1"/>
                <w:sz w:val="18"/>
                <w:szCs w:val="18"/>
              </w:rPr>
              <w:t>0.0005L</w:t>
            </w:r>
          </w:p>
        </w:tc>
        <w:tc>
          <w:tcPr>
            <w:tcW w:w="663" w:type="dxa"/>
            <w:vAlign w:val="top"/>
          </w:tcPr>
          <w:p w14:paraId="5DB1F94A">
            <w:pPr>
              <w:pStyle w:val="6"/>
              <w:spacing w:before="187" w:line="232" w:lineRule="auto"/>
              <w:ind w:left="81"/>
              <w:rPr>
                <w:sz w:val="18"/>
                <w:szCs w:val="18"/>
              </w:rPr>
            </w:pPr>
            <w:r>
              <w:rPr>
                <w:spacing w:val="-2"/>
                <w:sz w:val="18"/>
                <w:szCs w:val="18"/>
              </w:rPr>
              <w:t>0.004L</w:t>
            </w:r>
          </w:p>
        </w:tc>
        <w:tc>
          <w:tcPr>
            <w:tcW w:w="737" w:type="dxa"/>
            <w:vAlign w:val="top"/>
          </w:tcPr>
          <w:p w14:paraId="7D26223F">
            <w:pPr>
              <w:pStyle w:val="6"/>
              <w:spacing w:before="187" w:line="232" w:lineRule="auto"/>
              <w:ind w:left="74"/>
              <w:rPr>
                <w:sz w:val="18"/>
                <w:szCs w:val="18"/>
              </w:rPr>
            </w:pPr>
            <w:r>
              <w:rPr>
                <w:spacing w:val="-1"/>
                <w:sz w:val="18"/>
                <w:szCs w:val="18"/>
              </w:rPr>
              <w:t>0.0025L</w:t>
            </w:r>
          </w:p>
        </w:tc>
        <w:tc>
          <w:tcPr>
            <w:tcW w:w="737" w:type="dxa"/>
            <w:vAlign w:val="top"/>
          </w:tcPr>
          <w:p w14:paraId="4F1A9B74">
            <w:pPr>
              <w:pStyle w:val="6"/>
              <w:spacing w:before="187" w:line="232" w:lineRule="auto"/>
              <w:ind w:left="130"/>
              <w:rPr>
                <w:sz w:val="18"/>
                <w:szCs w:val="18"/>
              </w:rPr>
            </w:pPr>
            <w:r>
              <w:rPr>
                <w:spacing w:val="-2"/>
                <w:sz w:val="18"/>
                <w:szCs w:val="18"/>
              </w:rPr>
              <w:t>0.0002</w:t>
            </w:r>
          </w:p>
        </w:tc>
        <w:tc>
          <w:tcPr>
            <w:tcW w:w="754" w:type="dxa"/>
            <w:vAlign w:val="top"/>
          </w:tcPr>
          <w:p w14:paraId="702CAD45">
            <w:pPr>
              <w:pStyle w:val="6"/>
              <w:spacing w:before="187" w:line="232" w:lineRule="auto"/>
              <w:ind w:left="139"/>
              <w:rPr>
                <w:sz w:val="18"/>
                <w:szCs w:val="18"/>
              </w:rPr>
            </w:pPr>
            <w:r>
              <w:rPr>
                <w:spacing w:val="-2"/>
                <w:sz w:val="18"/>
                <w:szCs w:val="18"/>
              </w:rPr>
              <w:t>0.0014</w:t>
            </w:r>
          </w:p>
        </w:tc>
        <w:tc>
          <w:tcPr>
            <w:tcW w:w="667" w:type="dxa"/>
            <w:vAlign w:val="top"/>
          </w:tcPr>
          <w:p w14:paraId="32E7FC9E">
            <w:pPr>
              <w:pStyle w:val="6"/>
              <w:spacing w:before="187" w:line="232" w:lineRule="auto"/>
              <w:ind w:left="86"/>
              <w:rPr>
                <w:sz w:val="18"/>
                <w:szCs w:val="18"/>
              </w:rPr>
            </w:pPr>
            <w:r>
              <w:rPr>
                <w:spacing w:val="-2"/>
                <w:sz w:val="18"/>
                <w:szCs w:val="18"/>
              </w:rPr>
              <w:t>0.002L</w:t>
            </w:r>
          </w:p>
        </w:tc>
        <w:tc>
          <w:tcPr>
            <w:tcW w:w="544" w:type="dxa"/>
            <w:vAlign w:val="top"/>
          </w:tcPr>
          <w:p w14:paraId="4613302A">
            <w:pPr>
              <w:pStyle w:val="6"/>
              <w:spacing w:before="187" w:line="232" w:lineRule="auto"/>
              <w:ind w:left="117"/>
              <w:rPr>
                <w:sz w:val="18"/>
                <w:szCs w:val="18"/>
              </w:rPr>
            </w:pPr>
            <w:r>
              <w:rPr>
                <w:spacing w:val="-2"/>
                <w:sz w:val="18"/>
                <w:szCs w:val="18"/>
              </w:rPr>
              <w:t>0.2L</w:t>
            </w:r>
          </w:p>
        </w:tc>
        <w:tc>
          <w:tcPr>
            <w:tcW w:w="434" w:type="dxa"/>
            <w:vAlign w:val="top"/>
          </w:tcPr>
          <w:p w14:paraId="00747F72">
            <w:pPr>
              <w:pStyle w:val="6"/>
              <w:spacing w:before="187" w:line="232" w:lineRule="auto"/>
              <w:ind w:left="62"/>
              <w:rPr>
                <w:sz w:val="18"/>
                <w:szCs w:val="18"/>
              </w:rPr>
            </w:pPr>
            <w:r>
              <w:rPr>
                <w:spacing w:val="-2"/>
                <w:sz w:val="18"/>
                <w:szCs w:val="18"/>
              </w:rPr>
              <w:t>0.5L</w:t>
            </w:r>
          </w:p>
        </w:tc>
        <w:tc>
          <w:tcPr>
            <w:tcW w:w="1015" w:type="dxa"/>
            <w:vAlign w:val="top"/>
          </w:tcPr>
          <w:p w14:paraId="5E7B8C9E">
            <w:pPr>
              <w:pStyle w:val="6"/>
              <w:spacing w:before="187" w:line="232" w:lineRule="auto"/>
              <w:ind w:left="489"/>
              <w:rPr>
                <w:sz w:val="18"/>
                <w:szCs w:val="18"/>
              </w:rPr>
            </w:pPr>
            <w:r>
              <w:rPr>
                <w:sz w:val="18"/>
                <w:szCs w:val="18"/>
              </w:rPr>
              <w:t>/</w:t>
            </w:r>
          </w:p>
        </w:tc>
        <w:tc>
          <w:tcPr>
            <w:tcW w:w="721" w:type="dxa"/>
            <w:tcBorders>
              <w:right w:val="single" w:color="000000" w:sz="12" w:space="0"/>
            </w:tcBorders>
            <w:vAlign w:val="top"/>
          </w:tcPr>
          <w:p w14:paraId="7779F53F">
            <w:pPr>
              <w:pStyle w:val="6"/>
              <w:spacing w:before="187" w:line="232" w:lineRule="auto"/>
              <w:ind w:left="280"/>
              <w:rPr>
                <w:sz w:val="18"/>
                <w:szCs w:val="18"/>
              </w:rPr>
            </w:pPr>
            <w:r>
              <w:rPr>
                <w:spacing w:val="-3"/>
                <w:sz w:val="18"/>
                <w:szCs w:val="18"/>
              </w:rPr>
              <w:t>51</w:t>
            </w:r>
          </w:p>
        </w:tc>
      </w:tr>
      <w:tr w14:paraId="1F157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continue"/>
            <w:tcBorders>
              <w:top w:val="nil"/>
              <w:left w:val="single" w:color="000000" w:sz="12" w:space="0"/>
              <w:bottom w:val="nil"/>
            </w:tcBorders>
            <w:vAlign w:val="top"/>
          </w:tcPr>
          <w:p w14:paraId="37339DE6">
            <w:pPr>
              <w:rPr>
                <w:rFonts w:ascii="Arial"/>
                <w:sz w:val="21"/>
              </w:rPr>
            </w:pPr>
          </w:p>
        </w:tc>
        <w:tc>
          <w:tcPr>
            <w:tcW w:w="272" w:type="dxa"/>
            <w:vMerge w:val="restart"/>
            <w:tcBorders>
              <w:bottom w:val="nil"/>
            </w:tcBorders>
            <w:vAlign w:val="top"/>
          </w:tcPr>
          <w:p w14:paraId="7101767E">
            <w:pPr>
              <w:spacing w:line="394" w:lineRule="auto"/>
              <w:rPr>
                <w:rFonts w:ascii="Arial"/>
                <w:sz w:val="21"/>
              </w:rPr>
            </w:pPr>
          </w:p>
          <w:p w14:paraId="666ED0C6">
            <w:pPr>
              <w:pStyle w:val="6"/>
              <w:spacing w:before="52" w:line="235" w:lineRule="auto"/>
              <w:ind w:left="33" w:right="55"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004" w:type="dxa"/>
            <w:vAlign w:val="top"/>
          </w:tcPr>
          <w:p w14:paraId="05F22333">
            <w:pPr>
              <w:pStyle w:val="6"/>
              <w:spacing w:before="187" w:line="232" w:lineRule="auto"/>
              <w:ind w:left="167"/>
              <w:rPr>
                <w:sz w:val="18"/>
                <w:szCs w:val="18"/>
              </w:rPr>
            </w:pPr>
            <w:r>
              <w:rPr>
                <w:spacing w:val="-1"/>
                <w:sz w:val="18"/>
                <w:szCs w:val="18"/>
              </w:rPr>
              <w:t>2019/8/6</w:t>
            </w:r>
          </w:p>
        </w:tc>
        <w:tc>
          <w:tcPr>
            <w:tcW w:w="686" w:type="dxa"/>
            <w:vAlign w:val="top"/>
          </w:tcPr>
          <w:p w14:paraId="6E6CE799">
            <w:pPr>
              <w:pStyle w:val="6"/>
              <w:spacing w:before="192" w:line="183" w:lineRule="auto"/>
              <w:ind w:left="234"/>
              <w:rPr>
                <w:sz w:val="18"/>
                <w:szCs w:val="18"/>
              </w:rPr>
            </w:pPr>
            <w:r>
              <w:rPr>
                <w:spacing w:val="-2"/>
                <w:sz w:val="18"/>
                <w:szCs w:val="18"/>
              </w:rPr>
              <w:t>5L</w:t>
            </w:r>
          </w:p>
        </w:tc>
        <w:tc>
          <w:tcPr>
            <w:tcW w:w="923" w:type="dxa"/>
            <w:vAlign w:val="top"/>
          </w:tcPr>
          <w:p w14:paraId="387F3EE1">
            <w:pPr>
              <w:pStyle w:val="6"/>
              <w:spacing w:before="187" w:line="232" w:lineRule="auto"/>
              <w:ind w:left="283"/>
              <w:rPr>
                <w:sz w:val="18"/>
                <w:szCs w:val="18"/>
              </w:rPr>
            </w:pPr>
            <w:r>
              <w:rPr>
                <w:spacing w:val="-2"/>
                <w:sz w:val="18"/>
                <w:szCs w:val="18"/>
              </w:rPr>
              <w:t>0.5L</w:t>
            </w:r>
          </w:p>
        </w:tc>
        <w:tc>
          <w:tcPr>
            <w:tcW w:w="708" w:type="dxa"/>
            <w:vAlign w:val="top"/>
          </w:tcPr>
          <w:p w14:paraId="3AEBC161">
            <w:pPr>
              <w:pStyle w:val="6"/>
              <w:spacing w:before="187" w:line="232" w:lineRule="auto"/>
              <w:ind w:left="189"/>
              <w:rPr>
                <w:sz w:val="18"/>
                <w:szCs w:val="18"/>
              </w:rPr>
            </w:pPr>
            <w:r>
              <w:rPr>
                <w:spacing w:val="-2"/>
                <w:sz w:val="18"/>
                <w:szCs w:val="18"/>
              </w:rPr>
              <w:t>6.85</w:t>
            </w:r>
          </w:p>
        </w:tc>
        <w:tc>
          <w:tcPr>
            <w:tcW w:w="850" w:type="dxa"/>
            <w:vAlign w:val="top"/>
          </w:tcPr>
          <w:p w14:paraId="2B146C85">
            <w:pPr>
              <w:pStyle w:val="6"/>
              <w:spacing w:before="187" w:line="232" w:lineRule="auto"/>
              <w:ind w:left="159"/>
              <w:rPr>
                <w:sz w:val="18"/>
                <w:szCs w:val="18"/>
              </w:rPr>
            </w:pPr>
            <w:r>
              <w:rPr>
                <w:spacing w:val="-2"/>
                <w:sz w:val="18"/>
                <w:szCs w:val="18"/>
              </w:rPr>
              <w:t>0.040L</w:t>
            </w:r>
          </w:p>
        </w:tc>
        <w:tc>
          <w:tcPr>
            <w:tcW w:w="761" w:type="dxa"/>
            <w:vAlign w:val="top"/>
          </w:tcPr>
          <w:p w14:paraId="7FD1B95A">
            <w:pPr>
              <w:pStyle w:val="6"/>
              <w:spacing w:before="187" w:line="232" w:lineRule="auto"/>
              <w:ind w:left="70"/>
              <w:rPr>
                <w:sz w:val="18"/>
                <w:szCs w:val="18"/>
              </w:rPr>
            </w:pPr>
            <w:r>
              <w:rPr>
                <w:spacing w:val="-1"/>
                <w:sz w:val="18"/>
                <w:szCs w:val="18"/>
              </w:rPr>
              <w:t>0.0045L</w:t>
            </w:r>
          </w:p>
        </w:tc>
        <w:tc>
          <w:tcPr>
            <w:tcW w:w="654" w:type="dxa"/>
            <w:vAlign w:val="top"/>
          </w:tcPr>
          <w:p w14:paraId="0B138F98">
            <w:pPr>
              <w:pStyle w:val="6"/>
              <w:spacing w:before="187" w:line="232" w:lineRule="auto"/>
              <w:ind w:left="73"/>
              <w:rPr>
                <w:sz w:val="18"/>
                <w:szCs w:val="18"/>
              </w:rPr>
            </w:pPr>
            <w:r>
              <w:rPr>
                <w:spacing w:val="-2"/>
                <w:sz w:val="18"/>
                <w:szCs w:val="18"/>
              </w:rPr>
              <w:t>0.0035</w:t>
            </w:r>
          </w:p>
        </w:tc>
        <w:tc>
          <w:tcPr>
            <w:tcW w:w="708" w:type="dxa"/>
            <w:vAlign w:val="top"/>
          </w:tcPr>
          <w:p w14:paraId="56291DE6">
            <w:pPr>
              <w:pStyle w:val="6"/>
              <w:spacing w:before="187" w:line="232" w:lineRule="auto"/>
              <w:ind w:left="91"/>
              <w:rPr>
                <w:sz w:val="18"/>
                <w:szCs w:val="18"/>
              </w:rPr>
            </w:pPr>
            <w:r>
              <w:rPr>
                <w:spacing w:val="-2"/>
                <w:sz w:val="18"/>
                <w:szCs w:val="18"/>
              </w:rPr>
              <w:t>0.009L</w:t>
            </w:r>
          </w:p>
        </w:tc>
        <w:tc>
          <w:tcPr>
            <w:tcW w:w="707" w:type="dxa"/>
            <w:vAlign w:val="top"/>
          </w:tcPr>
          <w:p w14:paraId="4BF74FF9">
            <w:pPr>
              <w:pStyle w:val="6"/>
              <w:spacing w:before="187" w:line="232" w:lineRule="auto"/>
              <w:ind w:left="148"/>
              <w:rPr>
                <w:sz w:val="18"/>
                <w:szCs w:val="18"/>
              </w:rPr>
            </w:pPr>
            <w:r>
              <w:rPr>
                <w:spacing w:val="-2"/>
                <w:sz w:val="18"/>
                <w:szCs w:val="18"/>
              </w:rPr>
              <w:t>0.017</w:t>
            </w:r>
          </w:p>
        </w:tc>
        <w:tc>
          <w:tcPr>
            <w:tcW w:w="766" w:type="dxa"/>
            <w:vAlign w:val="top"/>
          </w:tcPr>
          <w:p w14:paraId="0626FB24">
            <w:pPr>
              <w:pStyle w:val="6"/>
              <w:spacing w:before="187" w:line="232" w:lineRule="auto"/>
              <w:ind w:left="228"/>
              <w:rPr>
                <w:sz w:val="18"/>
                <w:szCs w:val="18"/>
              </w:rPr>
            </w:pPr>
            <w:r>
              <w:rPr>
                <w:spacing w:val="-6"/>
                <w:sz w:val="18"/>
                <w:szCs w:val="18"/>
              </w:rPr>
              <w:t>1.0L</w:t>
            </w:r>
          </w:p>
        </w:tc>
        <w:tc>
          <w:tcPr>
            <w:tcW w:w="595" w:type="dxa"/>
            <w:vAlign w:val="top"/>
          </w:tcPr>
          <w:p w14:paraId="2A897AC8">
            <w:pPr>
              <w:pStyle w:val="6"/>
              <w:spacing w:before="187" w:line="232" w:lineRule="auto"/>
              <w:ind w:left="139"/>
              <w:rPr>
                <w:sz w:val="18"/>
                <w:szCs w:val="18"/>
              </w:rPr>
            </w:pPr>
            <w:r>
              <w:rPr>
                <w:spacing w:val="-2"/>
                <w:sz w:val="18"/>
                <w:szCs w:val="18"/>
              </w:rPr>
              <w:t>77.2</w:t>
            </w:r>
          </w:p>
        </w:tc>
        <w:tc>
          <w:tcPr>
            <w:tcW w:w="955" w:type="dxa"/>
            <w:vAlign w:val="top"/>
          </w:tcPr>
          <w:p w14:paraId="312B59DE">
            <w:pPr>
              <w:pStyle w:val="6"/>
              <w:spacing w:before="187" w:line="232" w:lineRule="auto"/>
              <w:ind w:left="340"/>
              <w:rPr>
                <w:sz w:val="18"/>
                <w:szCs w:val="18"/>
              </w:rPr>
            </w:pPr>
            <w:r>
              <w:rPr>
                <w:spacing w:val="-1"/>
                <w:sz w:val="18"/>
                <w:szCs w:val="18"/>
              </w:rPr>
              <w:t>216</w:t>
            </w:r>
          </w:p>
        </w:tc>
        <w:tc>
          <w:tcPr>
            <w:tcW w:w="506" w:type="dxa"/>
            <w:vAlign w:val="top"/>
          </w:tcPr>
          <w:p w14:paraId="154B974E">
            <w:pPr>
              <w:pStyle w:val="6"/>
              <w:spacing w:before="187" w:line="232" w:lineRule="auto"/>
              <w:ind w:left="168"/>
              <w:rPr>
                <w:sz w:val="18"/>
                <w:szCs w:val="18"/>
              </w:rPr>
            </w:pPr>
            <w:r>
              <w:rPr>
                <w:spacing w:val="-3"/>
                <w:sz w:val="18"/>
                <w:szCs w:val="18"/>
              </w:rPr>
              <w:t>84</w:t>
            </w:r>
          </w:p>
        </w:tc>
        <w:tc>
          <w:tcPr>
            <w:tcW w:w="707" w:type="dxa"/>
            <w:vAlign w:val="top"/>
          </w:tcPr>
          <w:p w14:paraId="7239ED88">
            <w:pPr>
              <w:pStyle w:val="6"/>
              <w:spacing w:before="187" w:line="232" w:lineRule="auto"/>
              <w:ind w:left="212"/>
              <w:rPr>
                <w:sz w:val="18"/>
                <w:szCs w:val="18"/>
              </w:rPr>
            </w:pPr>
            <w:r>
              <w:rPr>
                <w:spacing w:val="-6"/>
                <w:sz w:val="18"/>
                <w:szCs w:val="18"/>
              </w:rPr>
              <w:t>1.20</w:t>
            </w:r>
          </w:p>
        </w:tc>
        <w:tc>
          <w:tcPr>
            <w:tcW w:w="708" w:type="dxa"/>
            <w:vAlign w:val="top"/>
          </w:tcPr>
          <w:p w14:paraId="7B167DAA">
            <w:pPr>
              <w:pStyle w:val="6"/>
              <w:spacing w:before="187" w:line="232" w:lineRule="auto"/>
              <w:ind w:left="99"/>
              <w:rPr>
                <w:sz w:val="18"/>
                <w:szCs w:val="18"/>
              </w:rPr>
            </w:pPr>
            <w:r>
              <w:rPr>
                <w:spacing w:val="-2"/>
                <w:sz w:val="18"/>
                <w:szCs w:val="18"/>
              </w:rPr>
              <w:t>0.002L</w:t>
            </w:r>
          </w:p>
        </w:tc>
        <w:tc>
          <w:tcPr>
            <w:tcW w:w="663" w:type="dxa"/>
            <w:vAlign w:val="top"/>
          </w:tcPr>
          <w:p w14:paraId="063D9823">
            <w:pPr>
              <w:pStyle w:val="6"/>
              <w:spacing w:before="187" w:line="232" w:lineRule="auto"/>
              <w:ind w:left="78"/>
              <w:rPr>
                <w:sz w:val="18"/>
                <w:szCs w:val="18"/>
              </w:rPr>
            </w:pPr>
            <w:r>
              <w:rPr>
                <w:spacing w:val="-2"/>
                <w:sz w:val="18"/>
                <w:szCs w:val="18"/>
              </w:rPr>
              <w:t>0.050L</w:t>
            </w:r>
          </w:p>
        </w:tc>
        <w:tc>
          <w:tcPr>
            <w:tcW w:w="664" w:type="dxa"/>
            <w:vAlign w:val="top"/>
          </w:tcPr>
          <w:p w14:paraId="2926CAF6">
            <w:pPr>
              <w:pStyle w:val="6"/>
              <w:spacing w:before="187" w:line="232" w:lineRule="auto"/>
              <w:ind w:left="134"/>
              <w:rPr>
                <w:sz w:val="18"/>
                <w:szCs w:val="18"/>
              </w:rPr>
            </w:pPr>
            <w:r>
              <w:rPr>
                <w:spacing w:val="-2"/>
                <w:sz w:val="18"/>
                <w:szCs w:val="18"/>
              </w:rPr>
              <w:t>0.003</w:t>
            </w:r>
          </w:p>
        </w:tc>
        <w:tc>
          <w:tcPr>
            <w:tcW w:w="782" w:type="dxa"/>
            <w:vAlign w:val="top"/>
          </w:tcPr>
          <w:p w14:paraId="02DF6367">
            <w:pPr>
              <w:pStyle w:val="6"/>
              <w:spacing w:before="187" w:line="232" w:lineRule="auto"/>
              <w:ind w:left="93"/>
              <w:rPr>
                <w:sz w:val="18"/>
                <w:szCs w:val="18"/>
              </w:rPr>
            </w:pPr>
            <w:r>
              <w:rPr>
                <w:spacing w:val="-1"/>
                <w:sz w:val="18"/>
                <w:szCs w:val="18"/>
              </w:rPr>
              <w:t>0.0005L</w:t>
            </w:r>
          </w:p>
        </w:tc>
        <w:tc>
          <w:tcPr>
            <w:tcW w:w="663" w:type="dxa"/>
            <w:vAlign w:val="top"/>
          </w:tcPr>
          <w:p w14:paraId="47832EBA">
            <w:pPr>
              <w:pStyle w:val="6"/>
              <w:spacing w:before="187" w:line="232" w:lineRule="auto"/>
              <w:ind w:left="81"/>
              <w:rPr>
                <w:sz w:val="18"/>
                <w:szCs w:val="18"/>
              </w:rPr>
            </w:pPr>
            <w:r>
              <w:rPr>
                <w:spacing w:val="-2"/>
                <w:sz w:val="18"/>
                <w:szCs w:val="18"/>
              </w:rPr>
              <w:t>0.004L</w:t>
            </w:r>
          </w:p>
        </w:tc>
        <w:tc>
          <w:tcPr>
            <w:tcW w:w="737" w:type="dxa"/>
            <w:vAlign w:val="top"/>
          </w:tcPr>
          <w:p w14:paraId="24575155">
            <w:pPr>
              <w:pStyle w:val="6"/>
              <w:spacing w:before="187" w:line="232" w:lineRule="auto"/>
              <w:ind w:left="74"/>
              <w:rPr>
                <w:sz w:val="18"/>
                <w:szCs w:val="18"/>
              </w:rPr>
            </w:pPr>
            <w:r>
              <w:rPr>
                <w:spacing w:val="-1"/>
                <w:sz w:val="18"/>
                <w:szCs w:val="18"/>
              </w:rPr>
              <w:t>0.0025L</w:t>
            </w:r>
          </w:p>
        </w:tc>
        <w:tc>
          <w:tcPr>
            <w:tcW w:w="737" w:type="dxa"/>
            <w:vAlign w:val="top"/>
          </w:tcPr>
          <w:p w14:paraId="4BE3E20A">
            <w:pPr>
              <w:pStyle w:val="6"/>
              <w:spacing w:before="187" w:line="232" w:lineRule="auto"/>
              <w:ind w:left="130"/>
              <w:rPr>
                <w:sz w:val="18"/>
                <w:szCs w:val="18"/>
              </w:rPr>
            </w:pPr>
            <w:r>
              <w:rPr>
                <w:spacing w:val="-2"/>
                <w:sz w:val="18"/>
                <w:szCs w:val="18"/>
              </w:rPr>
              <w:t>0.0005</w:t>
            </w:r>
          </w:p>
        </w:tc>
        <w:tc>
          <w:tcPr>
            <w:tcW w:w="754" w:type="dxa"/>
            <w:vAlign w:val="top"/>
          </w:tcPr>
          <w:p w14:paraId="5098D618">
            <w:pPr>
              <w:pStyle w:val="6"/>
              <w:spacing w:before="187" w:line="232" w:lineRule="auto"/>
              <w:ind w:left="84"/>
              <w:rPr>
                <w:sz w:val="18"/>
                <w:szCs w:val="18"/>
              </w:rPr>
            </w:pPr>
            <w:r>
              <w:rPr>
                <w:spacing w:val="-1"/>
                <w:sz w:val="18"/>
                <w:szCs w:val="18"/>
              </w:rPr>
              <w:t>0.0004L</w:t>
            </w:r>
          </w:p>
        </w:tc>
        <w:tc>
          <w:tcPr>
            <w:tcW w:w="667" w:type="dxa"/>
            <w:vAlign w:val="top"/>
          </w:tcPr>
          <w:p w14:paraId="5E6539E0">
            <w:pPr>
              <w:pStyle w:val="6"/>
              <w:spacing w:before="187" w:line="232" w:lineRule="auto"/>
              <w:ind w:left="86"/>
              <w:rPr>
                <w:sz w:val="18"/>
                <w:szCs w:val="18"/>
              </w:rPr>
            </w:pPr>
            <w:r>
              <w:rPr>
                <w:spacing w:val="-2"/>
                <w:sz w:val="18"/>
                <w:szCs w:val="18"/>
              </w:rPr>
              <w:t>0.002L</w:t>
            </w:r>
          </w:p>
        </w:tc>
        <w:tc>
          <w:tcPr>
            <w:tcW w:w="544" w:type="dxa"/>
            <w:vAlign w:val="top"/>
          </w:tcPr>
          <w:p w14:paraId="007B3490">
            <w:pPr>
              <w:pStyle w:val="6"/>
              <w:spacing w:before="187" w:line="232" w:lineRule="auto"/>
              <w:ind w:left="117"/>
              <w:rPr>
                <w:sz w:val="18"/>
                <w:szCs w:val="18"/>
              </w:rPr>
            </w:pPr>
            <w:r>
              <w:rPr>
                <w:spacing w:val="-2"/>
                <w:sz w:val="18"/>
                <w:szCs w:val="18"/>
              </w:rPr>
              <w:t>0.2L</w:t>
            </w:r>
          </w:p>
        </w:tc>
        <w:tc>
          <w:tcPr>
            <w:tcW w:w="434" w:type="dxa"/>
            <w:vAlign w:val="top"/>
          </w:tcPr>
          <w:p w14:paraId="6AFBEDE6">
            <w:pPr>
              <w:pStyle w:val="6"/>
              <w:spacing w:before="187" w:line="232" w:lineRule="auto"/>
              <w:ind w:left="62"/>
              <w:rPr>
                <w:sz w:val="18"/>
                <w:szCs w:val="18"/>
              </w:rPr>
            </w:pPr>
            <w:r>
              <w:rPr>
                <w:spacing w:val="-2"/>
                <w:sz w:val="18"/>
                <w:szCs w:val="18"/>
              </w:rPr>
              <w:t>0.5L</w:t>
            </w:r>
          </w:p>
        </w:tc>
        <w:tc>
          <w:tcPr>
            <w:tcW w:w="1015" w:type="dxa"/>
            <w:vAlign w:val="top"/>
          </w:tcPr>
          <w:p w14:paraId="103BD80B">
            <w:pPr>
              <w:pStyle w:val="6"/>
              <w:spacing w:before="187" w:line="232" w:lineRule="auto"/>
              <w:ind w:left="489"/>
              <w:rPr>
                <w:sz w:val="18"/>
                <w:szCs w:val="18"/>
              </w:rPr>
            </w:pPr>
            <w:r>
              <w:rPr>
                <w:sz w:val="18"/>
                <w:szCs w:val="18"/>
              </w:rPr>
              <w:t>/</w:t>
            </w:r>
          </w:p>
        </w:tc>
        <w:tc>
          <w:tcPr>
            <w:tcW w:w="721" w:type="dxa"/>
            <w:tcBorders>
              <w:right w:val="single" w:color="000000" w:sz="12" w:space="0"/>
            </w:tcBorders>
            <w:vAlign w:val="top"/>
          </w:tcPr>
          <w:p w14:paraId="1B378B07">
            <w:pPr>
              <w:pStyle w:val="6"/>
              <w:spacing w:before="187" w:line="232" w:lineRule="auto"/>
              <w:ind w:left="274"/>
              <w:rPr>
                <w:sz w:val="18"/>
                <w:szCs w:val="18"/>
              </w:rPr>
            </w:pPr>
            <w:r>
              <w:rPr>
                <w:spacing w:val="-1"/>
                <w:sz w:val="18"/>
                <w:szCs w:val="18"/>
              </w:rPr>
              <w:t>40</w:t>
            </w:r>
          </w:p>
        </w:tc>
      </w:tr>
      <w:tr w14:paraId="5D5DF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4C9FF416">
            <w:pPr>
              <w:rPr>
                <w:rFonts w:ascii="Arial"/>
                <w:sz w:val="21"/>
              </w:rPr>
            </w:pPr>
          </w:p>
        </w:tc>
        <w:tc>
          <w:tcPr>
            <w:tcW w:w="272" w:type="dxa"/>
            <w:vMerge w:val="continue"/>
            <w:tcBorders>
              <w:top w:val="nil"/>
              <w:bottom w:val="nil"/>
            </w:tcBorders>
            <w:vAlign w:val="top"/>
          </w:tcPr>
          <w:p w14:paraId="72A09016">
            <w:pPr>
              <w:rPr>
                <w:rFonts w:ascii="Arial"/>
                <w:sz w:val="21"/>
              </w:rPr>
            </w:pPr>
          </w:p>
        </w:tc>
        <w:tc>
          <w:tcPr>
            <w:tcW w:w="1004" w:type="dxa"/>
            <w:vAlign w:val="top"/>
          </w:tcPr>
          <w:p w14:paraId="4C809AC8">
            <w:pPr>
              <w:pStyle w:val="6"/>
              <w:spacing w:before="189" w:line="232" w:lineRule="auto"/>
              <w:ind w:left="167"/>
              <w:rPr>
                <w:sz w:val="18"/>
                <w:szCs w:val="18"/>
              </w:rPr>
            </w:pPr>
            <w:r>
              <w:rPr>
                <w:spacing w:val="-1"/>
                <w:sz w:val="18"/>
                <w:szCs w:val="18"/>
              </w:rPr>
              <w:t>2019/8/7</w:t>
            </w:r>
          </w:p>
        </w:tc>
        <w:tc>
          <w:tcPr>
            <w:tcW w:w="686" w:type="dxa"/>
            <w:vAlign w:val="top"/>
          </w:tcPr>
          <w:p w14:paraId="35132D9C">
            <w:pPr>
              <w:pStyle w:val="6"/>
              <w:spacing w:before="195" w:line="183" w:lineRule="auto"/>
              <w:ind w:left="234"/>
              <w:rPr>
                <w:sz w:val="18"/>
                <w:szCs w:val="18"/>
              </w:rPr>
            </w:pPr>
            <w:r>
              <w:rPr>
                <w:spacing w:val="-2"/>
                <w:sz w:val="18"/>
                <w:szCs w:val="18"/>
              </w:rPr>
              <w:t>5L</w:t>
            </w:r>
          </w:p>
        </w:tc>
        <w:tc>
          <w:tcPr>
            <w:tcW w:w="923" w:type="dxa"/>
            <w:vAlign w:val="top"/>
          </w:tcPr>
          <w:p w14:paraId="3876FA79">
            <w:pPr>
              <w:pStyle w:val="6"/>
              <w:spacing w:before="189" w:line="232" w:lineRule="auto"/>
              <w:ind w:left="283"/>
              <w:rPr>
                <w:sz w:val="18"/>
                <w:szCs w:val="18"/>
              </w:rPr>
            </w:pPr>
            <w:r>
              <w:rPr>
                <w:spacing w:val="-2"/>
                <w:sz w:val="18"/>
                <w:szCs w:val="18"/>
              </w:rPr>
              <w:t>0.5L</w:t>
            </w:r>
          </w:p>
        </w:tc>
        <w:tc>
          <w:tcPr>
            <w:tcW w:w="708" w:type="dxa"/>
            <w:vAlign w:val="top"/>
          </w:tcPr>
          <w:p w14:paraId="6D16AC91">
            <w:pPr>
              <w:pStyle w:val="6"/>
              <w:spacing w:before="189" w:line="232" w:lineRule="auto"/>
              <w:ind w:left="189"/>
              <w:rPr>
                <w:sz w:val="18"/>
                <w:szCs w:val="18"/>
              </w:rPr>
            </w:pPr>
            <w:r>
              <w:rPr>
                <w:spacing w:val="-2"/>
                <w:sz w:val="18"/>
                <w:szCs w:val="18"/>
              </w:rPr>
              <w:t>6.81</w:t>
            </w:r>
          </w:p>
        </w:tc>
        <w:tc>
          <w:tcPr>
            <w:tcW w:w="850" w:type="dxa"/>
            <w:vAlign w:val="top"/>
          </w:tcPr>
          <w:p w14:paraId="20656C47">
            <w:pPr>
              <w:pStyle w:val="6"/>
              <w:spacing w:before="189" w:line="232" w:lineRule="auto"/>
              <w:ind w:left="159"/>
              <w:rPr>
                <w:sz w:val="18"/>
                <w:szCs w:val="18"/>
              </w:rPr>
            </w:pPr>
            <w:r>
              <w:rPr>
                <w:spacing w:val="-2"/>
                <w:sz w:val="18"/>
                <w:szCs w:val="18"/>
              </w:rPr>
              <w:t>0.040L</w:t>
            </w:r>
          </w:p>
        </w:tc>
        <w:tc>
          <w:tcPr>
            <w:tcW w:w="761" w:type="dxa"/>
            <w:vAlign w:val="top"/>
          </w:tcPr>
          <w:p w14:paraId="3F6D07B4">
            <w:pPr>
              <w:pStyle w:val="6"/>
              <w:spacing w:before="189" w:line="232" w:lineRule="auto"/>
              <w:ind w:left="70"/>
              <w:rPr>
                <w:sz w:val="18"/>
                <w:szCs w:val="18"/>
              </w:rPr>
            </w:pPr>
            <w:r>
              <w:rPr>
                <w:spacing w:val="-1"/>
                <w:sz w:val="18"/>
                <w:szCs w:val="18"/>
              </w:rPr>
              <w:t>0.0045L</w:t>
            </w:r>
          </w:p>
        </w:tc>
        <w:tc>
          <w:tcPr>
            <w:tcW w:w="654" w:type="dxa"/>
            <w:vAlign w:val="top"/>
          </w:tcPr>
          <w:p w14:paraId="6675890D">
            <w:pPr>
              <w:pStyle w:val="6"/>
              <w:spacing w:before="189" w:line="232" w:lineRule="auto"/>
              <w:ind w:left="73"/>
              <w:rPr>
                <w:sz w:val="18"/>
                <w:szCs w:val="18"/>
              </w:rPr>
            </w:pPr>
            <w:r>
              <w:rPr>
                <w:spacing w:val="-2"/>
                <w:sz w:val="18"/>
                <w:szCs w:val="18"/>
              </w:rPr>
              <w:t>0.0034</w:t>
            </w:r>
          </w:p>
        </w:tc>
        <w:tc>
          <w:tcPr>
            <w:tcW w:w="708" w:type="dxa"/>
            <w:vAlign w:val="top"/>
          </w:tcPr>
          <w:p w14:paraId="204B22B4">
            <w:pPr>
              <w:pStyle w:val="6"/>
              <w:spacing w:before="189" w:line="232" w:lineRule="auto"/>
              <w:ind w:left="91"/>
              <w:rPr>
                <w:sz w:val="18"/>
                <w:szCs w:val="18"/>
              </w:rPr>
            </w:pPr>
            <w:r>
              <w:rPr>
                <w:spacing w:val="-2"/>
                <w:sz w:val="18"/>
                <w:szCs w:val="18"/>
              </w:rPr>
              <w:t>0.009L</w:t>
            </w:r>
          </w:p>
        </w:tc>
        <w:tc>
          <w:tcPr>
            <w:tcW w:w="707" w:type="dxa"/>
            <w:vAlign w:val="top"/>
          </w:tcPr>
          <w:p w14:paraId="4A3B689F">
            <w:pPr>
              <w:pStyle w:val="6"/>
              <w:spacing w:before="189" w:line="232" w:lineRule="auto"/>
              <w:ind w:left="148"/>
              <w:rPr>
                <w:sz w:val="18"/>
                <w:szCs w:val="18"/>
              </w:rPr>
            </w:pPr>
            <w:r>
              <w:rPr>
                <w:spacing w:val="-2"/>
                <w:sz w:val="18"/>
                <w:szCs w:val="18"/>
              </w:rPr>
              <w:t>0.018</w:t>
            </w:r>
          </w:p>
        </w:tc>
        <w:tc>
          <w:tcPr>
            <w:tcW w:w="766" w:type="dxa"/>
            <w:vAlign w:val="top"/>
          </w:tcPr>
          <w:p w14:paraId="106EC988">
            <w:pPr>
              <w:pStyle w:val="6"/>
              <w:spacing w:before="189" w:line="232" w:lineRule="auto"/>
              <w:ind w:left="228"/>
              <w:rPr>
                <w:sz w:val="18"/>
                <w:szCs w:val="18"/>
              </w:rPr>
            </w:pPr>
            <w:r>
              <w:rPr>
                <w:spacing w:val="-6"/>
                <w:sz w:val="18"/>
                <w:szCs w:val="18"/>
              </w:rPr>
              <w:t>1.0L</w:t>
            </w:r>
          </w:p>
        </w:tc>
        <w:tc>
          <w:tcPr>
            <w:tcW w:w="595" w:type="dxa"/>
            <w:vAlign w:val="top"/>
          </w:tcPr>
          <w:p w14:paraId="3013F61A">
            <w:pPr>
              <w:pStyle w:val="6"/>
              <w:spacing w:before="189" w:line="232" w:lineRule="auto"/>
              <w:ind w:left="139"/>
              <w:rPr>
                <w:sz w:val="18"/>
                <w:szCs w:val="18"/>
              </w:rPr>
            </w:pPr>
            <w:r>
              <w:rPr>
                <w:spacing w:val="-2"/>
                <w:sz w:val="18"/>
                <w:szCs w:val="18"/>
              </w:rPr>
              <w:t>74.7</w:t>
            </w:r>
          </w:p>
        </w:tc>
        <w:tc>
          <w:tcPr>
            <w:tcW w:w="955" w:type="dxa"/>
            <w:vAlign w:val="top"/>
          </w:tcPr>
          <w:p w14:paraId="3DEAFA42">
            <w:pPr>
              <w:pStyle w:val="6"/>
              <w:spacing w:before="190" w:line="232" w:lineRule="auto"/>
              <w:ind w:left="340"/>
              <w:rPr>
                <w:sz w:val="18"/>
                <w:szCs w:val="18"/>
              </w:rPr>
            </w:pPr>
            <w:r>
              <w:rPr>
                <w:spacing w:val="-1"/>
                <w:sz w:val="18"/>
                <w:szCs w:val="18"/>
              </w:rPr>
              <w:t>228</w:t>
            </w:r>
          </w:p>
        </w:tc>
        <w:tc>
          <w:tcPr>
            <w:tcW w:w="506" w:type="dxa"/>
            <w:vAlign w:val="top"/>
          </w:tcPr>
          <w:p w14:paraId="3B9E936E">
            <w:pPr>
              <w:pStyle w:val="6"/>
              <w:spacing w:before="189" w:line="232" w:lineRule="auto"/>
              <w:ind w:left="164"/>
              <w:rPr>
                <w:sz w:val="18"/>
                <w:szCs w:val="18"/>
              </w:rPr>
            </w:pPr>
            <w:r>
              <w:rPr>
                <w:spacing w:val="-2"/>
                <w:sz w:val="18"/>
                <w:szCs w:val="18"/>
              </w:rPr>
              <w:t>98</w:t>
            </w:r>
          </w:p>
        </w:tc>
        <w:tc>
          <w:tcPr>
            <w:tcW w:w="707" w:type="dxa"/>
            <w:vAlign w:val="top"/>
          </w:tcPr>
          <w:p w14:paraId="5F592F5F">
            <w:pPr>
              <w:pStyle w:val="6"/>
              <w:spacing w:before="189" w:line="232" w:lineRule="auto"/>
              <w:ind w:left="212"/>
              <w:rPr>
                <w:sz w:val="18"/>
                <w:szCs w:val="18"/>
              </w:rPr>
            </w:pPr>
            <w:r>
              <w:rPr>
                <w:spacing w:val="-6"/>
                <w:sz w:val="18"/>
                <w:szCs w:val="18"/>
              </w:rPr>
              <w:t>1.15</w:t>
            </w:r>
          </w:p>
        </w:tc>
        <w:tc>
          <w:tcPr>
            <w:tcW w:w="708" w:type="dxa"/>
            <w:vAlign w:val="top"/>
          </w:tcPr>
          <w:p w14:paraId="110E237C">
            <w:pPr>
              <w:pStyle w:val="6"/>
              <w:spacing w:before="189" w:line="232" w:lineRule="auto"/>
              <w:ind w:left="99"/>
              <w:rPr>
                <w:sz w:val="18"/>
                <w:szCs w:val="18"/>
              </w:rPr>
            </w:pPr>
            <w:r>
              <w:rPr>
                <w:spacing w:val="-2"/>
                <w:sz w:val="18"/>
                <w:szCs w:val="18"/>
              </w:rPr>
              <w:t>0.002L</w:t>
            </w:r>
          </w:p>
        </w:tc>
        <w:tc>
          <w:tcPr>
            <w:tcW w:w="663" w:type="dxa"/>
            <w:vAlign w:val="top"/>
          </w:tcPr>
          <w:p w14:paraId="6F2A6131">
            <w:pPr>
              <w:pStyle w:val="6"/>
              <w:spacing w:before="189" w:line="232" w:lineRule="auto"/>
              <w:ind w:left="78"/>
              <w:rPr>
                <w:sz w:val="18"/>
                <w:szCs w:val="18"/>
              </w:rPr>
            </w:pPr>
            <w:r>
              <w:rPr>
                <w:spacing w:val="-2"/>
                <w:sz w:val="18"/>
                <w:szCs w:val="18"/>
              </w:rPr>
              <w:t>0.050L</w:t>
            </w:r>
          </w:p>
        </w:tc>
        <w:tc>
          <w:tcPr>
            <w:tcW w:w="664" w:type="dxa"/>
            <w:vAlign w:val="top"/>
          </w:tcPr>
          <w:p w14:paraId="11CE7E02">
            <w:pPr>
              <w:pStyle w:val="6"/>
              <w:spacing w:before="189" w:line="232" w:lineRule="auto"/>
              <w:ind w:left="134"/>
              <w:rPr>
                <w:sz w:val="18"/>
                <w:szCs w:val="18"/>
              </w:rPr>
            </w:pPr>
            <w:r>
              <w:rPr>
                <w:spacing w:val="-2"/>
                <w:sz w:val="18"/>
                <w:szCs w:val="18"/>
              </w:rPr>
              <w:t>0.003</w:t>
            </w:r>
          </w:p>
        </w:tc>
        <w:tc>
          <w:tcPr>
            <w:tcW w:w="782" w:type="dxa"/>
            <w:vAlign w:val="top"/>
          </w:tcPr>
          <w:p w14:paraId="7BD2902A">
            <w:pPr>
              <w:pStyle w:val="6"/>
              <w:spacing w:before="189" w:line="232" w:lineRule="auto"/>
              <w:ind w:left="93"/>
              <w:rPr>
                <w:sz w:val="18"/>
                <w:szCs w:val="18"/>
              </w:rPr>
            </w:pPr>
            <w:r>
              <w:rPr>
                <w:spacing w:val="-1"/>
                <w:sz w:val="18"/>
                <w:szCs w:val="18"/>
              </w:rPr>
              <w:t>0.0005L</w:t>
            </w:r>
          </w:p>
        </w:tc>
        <w:tc>
          <w:tcPr>
            <w:tcW w:w="663" w:type="dxa"/>
            <w:vAlign w:val="top"/>
          </w:tcPr>
          <w:p w14:paraId="03C2E159">
            <w:pPr>
              <w:pStyle w:val="6"/>
              <w:spacing w:before="189" w:line="232" w:lineRule="auto"/>
              <w:ind w:left="81"/>
              <w:rPr>
                <w:sz w:val="18"/>
                <w:szCs w:val="18"/>
              </w:rPr>
            </w:pPr>
            <w:r>
              <w:rPr>
                <w:spacing w:val="-2"/>
                <w:sz w:val="18"/>
                <w:szCs w:val="18"/>
              </w:rPr>
              <w:t>0.004L</w:t>
            </w:r>
          </w:p>
        </w:tc>
        <w:tc>
          <w:tcPr>
            <w:tcW w:w="737" w:type="dxa"/>
            <w:vAlign w:val="top"/>
          </w:tcPr>
          <w:p w14:paraId="4A4C03F5">
            <w:pPr>
              <w:pStyle w:val="6"/>
              <w:spacing w:before="189" w:line="232" w:lineRule="auto"/>
              <w:ind w:left="74"/>
              <w:rPr>
                <w:sz w:val="18"/>
                <w:szCs w:val="18"/>
              </w:rPr>
            </w:pPr>
            <w:r>
              <w:rPr>
                <w:spacing w:val="-1"/>
                <w:sz w:val="18"/>
                <w:szCs w:val="18"/>
              </w:rPr>
              <w:t>0.0025L</w:t>
            </w:r>
          </w:p>
        </w:tc>
        <w:tc>
          <w:tcPr>
            <w:tcW w:w="737" w:type="dxa"/>
            <w:vAlign w:val="top"/>
          </w:tcPr>
          <w:p w14:paraId="1342042A">
            <w:pPr>
              <w:pStyle w:val="6"/>
              <w:spacing w:before="189" w:line="232" w:lineRule="auto"/>
              <w:ind w:left="130"/>
              <w:rPr>
                <w:sz w:val="18"/>
                <w:szCs w:val="18"/>
              </w:rPr>
            </w:pPr>
            <w:r>
              <w:rPr>
                <w:spacing w:val="-2"/>
                <w:sz w:val="18"/>
                <w:szCs w:val="18"/>
              </w:rPr>
              <w:t>0.0005</w:t>
            </w:r>
          </w:p>
        </w:tc>
        <w:tc>
          <w:tcPr>
            <w:tcW w:w="754" w:type="dxa"/>
            <w:vAlign w:val="top"/>
          </w:tcPr>
          <w:p w14:paraId="42776833">
            <w:pPr>
              <w:pStyle w:val="6"/>
              <w:spacing w:before="189" w:line="232" w:lineRule="auto"/>
              <w:ind w:left="84"/>
              <w:rPr>
                <w:sz w:val="18"/>
                <w:szCs w:val="18"/>
              </w:rPr>
            </w:pPr>
            <w:r>
              <w:rPr>
                <w:spacing w:val="-1"/>
                <w:sz w:val="18"/>
                <w:szCs w:val="18"/>
              </w:rPr>
              <w:t>0.0004L</w:t>
            </w:r>
          </w:p>
        </w:tc>
        <w:tc>
          <w:tcPr>
            <w:tcW w:w="667" w:type="dxa"/>
            <w:vAlign w:val="top"/>
          </w:tcPr>
          <w:p w14:paraId="3AD8FC21">
            <w:pPr>
              <w:pStyle w:val="6"/>
              <w:spacing w:before="189" w:line="232" w:lineRule="auto"/>
              <w:ind w:left="86"/>
              <w:rPr>
                <w:sz w:val="18"/>
                <w:szCs w:val="18"/>
              </w:rPr>
            </w:pPr>
            <w:r>
              <w:rPr>
                <w:spacing w:val="-2"/>
                <w:sz w:val="18"/>
                <w:szCs w:val="18"/>
              </w:rPr>
              <w:t>0.002L</w:t>
            </w:r>
          </w:p>
        </w:tc>
        <w:tc>
          <w:tcPr>
            <w:tcW w:w="544" w:type="dxa"/>
            <w:vAlign w:val="top"/>
          </w:tcPr>
          <w:p w14:paraId="7C1A970D">
            <w:pPr>
              <w:pStyle w:val="6"/>
              <w:spacing w:before="189" w:line="232" w:lineRule="auto"/>
              <w:ind w:left="117"/>
              <w:rPr>
                <w:sz w:val="18"/>
                <w:szCs w:val="18"/>
              </w:rPr>
            </w:pPr>
            <w:r>
              <w:rPr>
                <w:spacing w:val="-2"/>
                <w:sz w:val="18"/>
                <w:szCs w:val="18"/>
              </w:rPr>
              <w:t>0.2L</w:t>
            </w:r>
          </w:p>
        </w:tc>
        <w:tc>
          <w:tcPr>
            <w:tcW w:w="434" w:type="dxa"/>
            <w:vAlign w:val="top"/>
          </w:tcPr>
          <w:p w14:paraId="6803B172">
            <w:pPr>
              <w:pStyle w:val="6"/>
              <w:spacing w:before="189" w:line="232" w:lineRule="auto"/>
              <w:ind w:left="62"/>
              <w:rPr>
                <w:sz w:val="18"/>
                <w:szCs w:val="18"/>
              </w:rPr>
            </w:pPr>
            <w:r>
              <w:rPr>
                <w:spacing w:val="-2"/>
                <w:sz w:val="18"/>
                <w:szCs w:val="18"/>
              </w:rPr>
              <w:t>0.5L</w:t>
            </w:r>
          </w:p>
        </w:tc>
        <w:tc>
          <w:tcPr>
            <w:tcW w:w="1015" w:type="dxa"/>
            <w:vAlign w:val="top"/>
          </w:tcPr>
          <w:p w14:paraId="50E73A2E">
            <w:pPr>
              <w:pStyle w:val="6"/>
              <w:spacing w:before="189" w:line="232" w:lineRule="auto"/>
              <w:ind w:left="489"/>
              <w:rPr>
                <w:sz w:val="18"/>
                <w:szCs w:val="18"/>
              </w:rPr>
            </w:pPr>
            <w:r>
              <w:rPr>
                <w:sz w:val="18"/>
                <w:szCs w:val="18"/>
              </w:rPr>
              <w:t>/</w:t>
            </w:r>
          </w:p>
        </w:tc>
        <w:tc>
          <w:tcPr>
            <w:tcW w:w="721" w:type="dxa"/>
            <w:tcBorders>
              <w:right w:val="single" w:color="000000" w:sz="12" w:space="0"/>
            </w:tcBorders>
            <w:vAlign w:val="top"/>
          </w:tcPr>
          <w:p w14:paraId="23A6ECD2">
            <w:pPr>
              <w:pStyle w:val="6"/>
              <w:spacing w:before="190" w:line="232" w:lineRule="auto"/>
              <w:ind w:left="280"/>
              <w:rPr>
                <w:sz w:val="18"/>
                <w:szCs w:val="18"/>
              </w:rPr>
            </w:pPr>
            <w:r>
              <w:rPr>
                <w:spacing w:val="-3"/>
                <w:sz w:val="18"/>
                <w:szCs w:val="18"/>
              </w:rPr>
              <w:t>50</w:t>
            </w:r>
          </w:p>
        </w:tc>
      </w:tr>
      <w:tr w14:paraId="37832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059727C6">
            <w:pPr>
              <w:rPr>
                <w:rFonts w:ascii="Arial"/>
                <w:sz w:val="21"/>
              </w:rPr>
            </w:pPr>
          </w:p>
        </w:tc>
        <w:tc>
          <w:tcPr>
            <w:tcW w:w="272" w:type="dxa"/>
            <w:vMerge w:val="continue"/>
            <w:tcBorders>
              <w:top w:val="nil"/>
            </w:tcBorders>
            <w:vAlign w:val="top"/>
          </w:tcPr>
          <w:p w14:paraId="3B967451">
            <w:pPr>
              <w:rPr>
                <w:rFonts w:ascii="Arial"/>
                <w:sz w:val="21"/>
              </w:rPr>
            </w:pPr>
          </w:p>
        </w:tc>
        <w:tc>
          <w:tcPr>
            <w:tcW w:w="1004" w:type="dxa"/>
            <w:vAlign w:val="top"/>
          </w:tcPr>
          <w:p w14:paraId="4E8EA226">
            <w:pPr>
              <w:pStyle w:val="6"/>
              <w:spacing w:before="191" w:line="232" w:lineRule="auto"/>
              <w:ind w:left="167"/>
              <w:rPr>
                <w:sz w:val="18"/>
                <w:szCs w:val="18"/>
              </w:rPr>
            </w:pPr>
            <w:r>
              <w:rPr>
                <w:spacing w:val="-1"/>
                <w:sz w:val="18"/>
                <w:szCs w:val="18"/>
              </w:rPr>
              <w:t>2019/8/8</w:t>
            </w:r>
          </w:p>
        </w:tc>
        <w:tc>
          <w:tcPr>
            <w:tcW w:w="686" w:type="dxa"/>
            <w:vAlign w:val="top"/>
          </w:tcPr>
          <w:p w14:paraId="24309068">
            <w:pPr>
              <w:pStyle w:val="6"/>
              <w:spacing w:before="196" w:line="183" w:lineRule="auto"/>
              <w:ind w:left="234"/>
              <w:rPr>
                <w:sz w:val="18"/>
                <w:szCs w:val="18"/>
              </w:rPr>
            </w:pPr>
            <w:r>
              <w:rPr>
                <w:spacing w:val="-2"/>
                <w:sz w:val="18"/>
                <w:szCs w:val="18"/>
              </w:rPr>
              <w:t>5L</w:t>
            </w:r>
          </w:p>
        </w:tc>
        <w:tc>
          <w:tcPr>
            <w:tcW w:w="923" w:type="dxa"/>
            <w:vAlign w:val="top"/>
          </w:tcPr>
          <w:p w14:paraId="35FC47B3">
            <w:pPr>
              <w:pStyle w:val="6"/>
              <w:spacing w:before="191" w:line="232" w:lineRule="auto"/>
              <w:ind w:left="283"/>
              <w:rPr>
                <w:sz w:val="18"/>
                <w:szCs w:val="18"/>
              </w:rPr>
            </w:pPr>
            <w:r>
              <w:rPr>
                <w:spacing w:val="-2"/>
                <w:sz w:val="18"/>
                <w:szCs w:val="18"/>
              </w:rPr>
              <w:t>0.5L</w:t>
            </w:r>
          </w:p>
        </w:tc>
        <w:tc>
          <w:tcPr>
            <w:tcW w:w="708" w:type="dxa"/>
            <w:vAlign w:val="top"/>
          </w:tcPr>
          <w:p w14:paraId="146F59CE">
            <w:pPr>
              <w:pStyle w:val="6"/>
              <w:spacing w:before="191" w:line="232" w:lineRule="auto"/>
              <w:ind w:left="189"/>
              <w:rPr>
                <w:sz w:val="18"/>
                <w:szCs w:val="18"/>
              </w:rPr>
            </w:pPr>
            <w:r>
              <w:rPr>
                <w:spacing w:val="-2"/>
                <w:sz w:val="18"/>
                <w:szCs w:val="18"/>
              </w:rPr>
              <w:t>6.89</w:t>
            </w:r>
          </w:p>
        </w:tc>
        <w:tc>
          <w:tcPr>
            <w:tcW w:w="850" w:type="dxa"/>
            <w:vAlign w:val="top"/>
          </w:tcPr>
          <w:p w14:paraId="3DC15C6A">
            <w:pPr>
              <w:pStyle w:val="6"/>
              <w:spacing w:before="191" w:line="232" w:lineRule="auto"/>
              <w:ind w:left="159"/>
              <w:rPr>
                <w:sz w:val="18"/>
                <w:szCs w:val="18"/>
              </w:rPr>
            </w:pPr>
            <w:r>
              <w:rPr>
                <w:spacing w:val="-2"/>
                <w:sz w:val="18"/>
                <w:szCs w:val="18"/>
              </w:rPr>
              <w:t>0.040L</w:t>
            </w:r>
          </w:p>
        </w:tc>
        <w:tc>
          <w:tcPr>
            <w:tcW w:w="761" w:type="dxa"/>
            <w:vAlign w:val="top"/>
          </w:tcPr>
          <w:p w14:paraId="15CE68BD">
            <w:pPr>
              <w:pStyle w:val="6"/>
              <w:spacing w:before="191" w:line="232" w:lineRule="auto"/>
              <w:ind w:left="70"/>
              <w:rPr>
                <w:sz w:val="18"/>
                <w:szCs w:val="18"/>
              </w:rPr>
            </w:pPr>
            <w:r>
              <w:rPr>
                <w:spacing w:val="-1"/>
                <w:sz w:val="18"/>
                <w:szCs w:val="18"/>
              </w:rPr>
              <w:t>0.0045L</w:t>
            </w:r>
          </w:p>
        </w:tc>
        <w:tc>
          <w:tcPr>
            <w:tcW w:w="654" w:type="dxa"/>
            <w:vAlign w:val="top"/>
          </w:tcPr>
          <w:p w14:paraId="348E647B">
            <w:pPr>
              <w:pStyle w:val="6"/>
              <w:spacing w:before="191" w:line="232" w:lineRule="auto"/>
              <w:ind w:left="73"/>
              <w:rPr>
                <w:sz w:val="18"/>
                <w:szCs w:val="18"/>
              </w:rPr>
            </w:pPr>
            <w:r>
              <w:rPr>
                <w:spacing w:val="-2"/>
                <w:sz w:val="18"/>
                <w:szCs w:val="18"/>
              </w:rPr>
              <w:t>0.0036</w:t>
            </w:r>
          </w:p>
        </w:tc>
        <w:tc>
          <w:tcPr>
            <w:tcW w:w="708" w:type="dxa"/>
            <w:vAlign w:val="top"/>
          </w:tcPr>
          <w:p w14:paraId="34FB4928">
            <w:pPr>
              <w:pStyle w:val="6"/>
              <w:spacing w:before="191" w:line="232" w:lineRule="auto"/>
              <w:ind w:left="91"/>
              <w:rPr>
                <w:sz w:val="18"/>
                <w:szCs w:val="18"/>
              </w:rPr>
            </w:pPr>
            <w:r>
              <w:rPr>
                <w:spacing w:val="-2"/>
                <w:sz w:val="18"/>
                <w:szCs w:val="18"/>
              </w:rPr>
              <w:t>0.009L</w:t>
            </w:r>
          </w:p>
        </w:tc>
        <w:tc>
          <w:tcPr>
            <w:tcW w:w="707" w:type="dxa"/>
            <w:vAlign w:val="top"/>
          </w:tcPr>
          <w:p w14:paraId="2B7F4790">
            <w:pPr>
              <w:pStyle w:val="6"/>
              <w:spacing w:before="191" w:line="232" w:lineRule="auto"/>
              <w:ind w:left="148"/>
              <w:rPr>
                <w:sz w:val="18"/>
                <w:szCs w:val="18"/>
              </w:rPr>
            </w:pPr>
            <w:r>
              <w:rPr>
                <w:spacing w:val="-2"/>
                <w:sz w:val="18"/>
                <w:szCs w:val="18"/>
              </w:rPr>
              <w:t>0.017</w:t>
            </w:r>
          </w:p>
        </w:tc>
        <w:tc>
          <w:tcPr>
            <w:tcW w:w="766" w:type="dxa"/>
            <w:vAlign w:val="top"/>
          </w:tcPr>
          <w:p w14:paraId="5636A6A4">
            <w:pPr>
              <w:pStyle w:val="6"/>
              <w:spacing w:before="191" w:line="232" w:lineRule="auto"/>
              <w:ind w:left="228"/>
              <w:rPr>
                <w:sz w:val="18"/>
                <w:szCs w:val="18"/>
              </w:rPr>
            </w:pPr>
            <w:r>
              <w:rPr>
                <w:spacing w:val="-6"/>
                <w:sz w:val="18"/>
                <w:szCs w:val="18"/>
              </w:rPr>
              <w:t>1.0L</w:t>
            </w:r>
          </w:p>
        </w:tc>
        <w:tc>
          <w:tcPr>
            <w:tcW w:w="595" w:type="dxa"/>
            <w:vAlign w:val="top"/>
          </w:tcPr>
          <w:p w14:paraId="13B78A4D">
            <w:pPr>
              <w:pStyle w:val="6"/>
              <w:spacing w:before="191" w:line="232" w:lineRule="auto"/>
              <w:ind w:left="139"/>
              <w:rPr>
                <w:sz w:val="18"/>
                <w:szCs w:val="18"/>
              </w:rPr>
            </w:pPr>
            <w:r>
              <w:rPr>
                <w:spacing w:val="-2"/>
                <w:sz w:val="18"/>
                <w:szCs w:val="18"/>
              </w:rPr>
              <w:t>78.2</w:t>
            </w:r>
          </w:p>
        </w:tc>
        <w:tc>
          <w:tcPr>
            <w:tcW w:w="955" w:type="dxa"/>
            <w:vAlign w:val="top"/>
          </w:tcPr>
          <w:p w14:paraId="2A28922C">
            <w:pPr>
              <w:pStyle w:val="6"/>
              <w:spacing w:before="191" w:line="232" w:lineRule="auto"/>
              <w:ind w:left="340"/>
              <w:rPr>
                <w:sz w:val="18"/>
                <w:szCs w:val="18"/>
              </w:rPr>
            </w:pPr>
            <w:r>
              <w:rPr>
                <w:spacing w:val="-1"/>
                <w:sz w:val="18"/>
                <w:szCs w:val="18"/>
              </w:rPr>
              <w:t>203</w:t>
            </w:r>
          </w:p>
        </w:tc>
        <w:tc>
          <w:tcPr>
            <w:tcW w:w="506" w:type="dxa"/>
            <w:vAlign w:val="top"/>
          </w:tcPr>
          <w:p w14:paraId="37632506">
            <w:pPr>
              <w:pStyle w:val="6"/>
              <w:spacing w:before="191" w:line="232" w:lineRule="auto"/>
              <w:ind w:left="164"/>
              <w:rPr>
                <w:sz w:val="18"/>
                <w:szCs w:val="18"/>
              </w:rPr>
            </w:pPr>
            <w:r>
              <w:rPr>
                <w:spacing w:val="-2"/>
                <w:sz w:val="18"/>
                <w:szCs w:val="18"/>
              </w:rPr>
              <w:t>77</w:t>
            </w:r>
          </w:p>
        </w:tc>
        <w:tc>
          <w:tcPr>
            <w:tcW w:w="707" w:type="dxa"/>
            <w:vAlign w:val="top"/>
          </w:tcPr>
          <w:p w14:paraId="3EDF83A7">
            <w:pPr>
              <w:pStyle w:val="6"/>
              <w:spacing w:before="191" w:line="232" w:lineRule="auto"/>
              <w:ind w:left="212"/>
              <w:rPr>
                <w:sz w:val="18"/>
                <w:szCs w:val="18"/>
              </w:rPr>
            </w:pPr>
            <w:r>
              <w:rPr>
                <w:spacing w:val="-6"/>
                <w:sz w:val="18"/>
                <w:szCs w:val="18"/>
              </w:rPr>
              <w:t>1.24</w:t>
            </w:r>
          </w:p>
        </w:tc>
        <w:tc>
          <w:tcPr>
            <w:tcW w:w="708" w:type="dxa"/>
            <w:vAlign w:val="top"/>
          </w:tcPr>
          <w:p w14:paraId="79C64D3A">
            <w:pPr>
              <w:pStyle w:val="6"/>
              <w:spacing w:before="191" w:line="232" w:lineRule="auto"/>
              <w:ind w:left="99"/>
              <w:rPr>
                <w:sz w:val="18"/>
                <w:szCs w:val="18"/>
              </w:rPr>
            </w:pPr>
            <w:r>
              <w:rPr>
                <w:spacing w:val="-2"/>
                <w:sz w:val="18"/>
                <w:szCs w:val="18"/>
              </w:rPr>
              <w:t>0.002L</w:t>
            </w:r>
          </w:p>
        </w:tc>
        <w:tc>
          <w:tcPr>
            <w:tcW w:w="663" w:type="dxa"/>
            <w:vAlign w:val="top"/>
          </w:tcPr>
          <w:p w14:paraId="673F7131">
            <w:pPr>
              <w:pStyle w:val="6"/>
              <w:spacing w:before="191" w:line="232" w:lineRule="auto"/>
              <w:ind w:left="78"/>
              <w:rPr>
                <w:sz w:val="18"/>
                <w:szCs w:val="18"/>
              </w:rPr>
            </w:pPr>
            <w:r>
              <w:rPr>
                <w:spacing w:val="-2"/>
                <w:sz w:val="18"/>
                <w:szCs w:val="18"/>
              </w:rPr>
              <w:t>0.050L</w:t>
            </w:r>
          </w:p>
        </w:tc>
        <w:tc>
          <w:tcPr>
            <w:tcW w:w="664" w:type="dxa"/>
            <w:vAlign w:val="top"/>
          </w:tcPr>
          <w:p w14:paraId="760B5056">
            <w:pPr>
              <w:pStyle w:val="6"/>
              <w:spacing w:before="191" w:line="232" w:lineRule="auto"/>
              <w:ind w:left="134"/>
              <w:rPr>
                <w:sz w:val="18"/>
                <w:szCs w:val="18"/>
              </w:rPr>
            </w:pPr>
            <w:r>
              <w:rPr>
                <w:spacing w:val="-2"/>
                <w:sz w:val="18"/>
                <w:szCs w:val="18"/>
              </w:rPr>
              <w:t>0.003</w:t>
            </w:r>
          </w:p>
        </w:tc>
        <w:tc>
          <w:tcPr>
            <w:tcW w:w="782" w:type="dxa"/>
            <w:vAlign w:val="top"/>
          </w:tcPr>
          <w:p w14:paraId="74EF7B82">
            <w:pPr>
              <w:pStyle w:val="6"/>
              <w:spacing w:before="191" w:line="232" w:lineRule="auto"/>
              <w:ind w:left="93"/>
              <w:rPr>
                <w:sz w:val="18"/>
                <w:szCs w:val="18"/>
              </w:rPr>
            </w:pPr>
            <w:r>
              <w:rPr>
                <w:spacing w:val="-1"/>
                <w:sz w:val="18"/>
                <w:szCs w:val="18"/>
              </w:rPr>
              <w:t>0.0005L</w:t>
            </w:r>
          </w:p>
        </w:tc>
        <w:tc>
          <w:tcPr>
            <w:tcW w:w="663" w:type="dxa"/>
            <w:vAlign w:val="top"/>
          </w:tcPr>
          <w:p w14:paraId="6BABB781">
            <w:pPr>
              <w:pStyle w:val="6"/>
              <w:spacing w:before="191" w:line="232" w:lineRule="auto"/>
              <w:ind w:left="81"/>
              <w:rPr>
                <w:sz w:val="18"/>
                <w:szCs w:val="18"/>
              </w:rPr>
            </w:pPr>
            <w:r>
              <w:rPr>
                <w:spacing w:val="-2"/>
                <w:sz w:val="18"/>
                <w:szCs w:val="18"/>
              </w:rPr>
              <w:t>0.004L</w:t>
            </w:r>
          </w:p>
        </w:tc>
        <w:tc>
          <w:tcPr>
            <w:tcW w:w="737" w:type="dxa"/>
            <w:vAlign w:val="top"/>
          </w:tcPr>
          <w:p w14:paraId="2E8E5AD7">
            <w:pPr>
              <w:pStyle w:val="6"/>
              <w:spacing w:before="191" w:line="232" w:lineRule="auto"/>
              <w:ind w:left="74"/>
              <w:rPr>
                <w:sz w:val="18"/>
                <w:szCs w:val="18"/>
              </w:rPr>
            </w:pPr>
            <w:r>
              <w:rPr>
                <w:spacing w:val="-1"/>
                <w:sz w:val="18"/>
                <w:szCs w:val="18"/>
              </w:rPr>
              <w:t>0.0025L</w:t>
            </w:r>
          </w:p>
        </w:tc>
        <w:tc>
          <w:tcPr>
            <w:tcW w:w="737" w:type="dxa"/>
            <w:vAlign w:val="top"/>
          </w:tcPr>
          <w:p w14:paraId="12684CA3">
            <w:pPr>
              <w:pStyle w:val="6"/>
              <w:spacing w:before="191" w:line="232" w:lineRule="auto"/>
              <w:ind w:left="130"/>
              <w:rPr>
                <w:sz w:val="18"/>
                <w:szCs w:val="18"/>
              </w:rPr>
            </w:pPr>
            <w:r>
              <w:rPr>
                <w:spacing w:val="-1"/>
                <w:sz w:val="18"/>
                <w:szCs w:val="18"/>
              </w:rPr>
              <w:t>0.0005</w:t>
            </w:r>
          </w:p>
        </w:tc>
        <w:tc>
          <w:tcPr>
            <w:tcW w:w="754" w:type="dxa"/>
            <w:vAlign w:val="top"/>
          </w:tcPr>
          <w:p w14:paraId="32BC3D49">
            <w:pPr>
              <w:pStyle w:val="6"/>
              <w:spacing w:before="191" w:line="232" w:lineRule="auto"/>
              <w:ind w:left="84"/>
              <w:rPr>
                <w:sz w:val="18"/>
                <w:szCs w:val="18"/>
              </w:rPr>
            </w:pPr>
            <w:r>
              <w:rPr>
                <w:spacing w:val="-1"/>
                <w:sz w:val="18"/>
                <w:szCs w:val="18"/>
              </w:rPr>
              <w:t>0.0004L</w:t>
            </w:r>
          </w:p>
        </w:tc>
        <w:tc>
          <w:tcPr>
            <w:tcW w:w="667" w:type="dxa"/>
            <w:vAlign w:val="top"/>
          </w:tcPr>
          <w:p w14:paraId="79177B1E">
            <w:pPr>
              <w:pStyle w:val="6"/>
              <w:spacing w:before="191" w:line="232" w:lineRule="auto"/>
              <w:ind w:left="86"/>
              <w:rPr>
                <w:sz w:val="18"/>
                <w:szCs w:val="18"/>
              </w:rPr>
            </w:pPr>
            <w:r>
              <w:rPr>
                <w:spacing w:val="-2"/>
                <w:sz w:val="18"/>
                <w:szCs w:val="18"/>
              </w:rPr>
              <w:t>0.002L</w:t>
            </w:r>
          </w:p>
        </w:tc>
        <w:tc>
          <w:tcPr>
            <w:tcW w:w="544" w:type="dxa"/>
            <w:vAlign w:val="top"/>
          </w:tcPr>
          <w:p w14:paraId="039B1296">
            <w:pPr>
              <w:pStyle w:val="6"/>
              <w:spacing w:before="191" w:line="232" w:lineRule="auto"/>
              <w:ind w:left="117"/>
              <w:rPr>
                <w:sz w:val="18"/>
                <w:szCs w:val="18"/>
              </w:rPr>
            </w:pPr>
            <w:r>
              <w:rPr>
                <w:spacing w:val="-2"/>
                <w:sz w:val="18"/>
                <w:szCs w:val="18"/>
              </w:rPr>
              <w:t>0.2L</w:t>
            </w:r>
          </w:p>
        </w:tc>
        <w:tc>
          <w:tcPr>
            <w:tcW w:w="434" w:type="dxa"/>
            <w:vAlign w:val="top"/>
          </w:tcPr>
          <w:p w14:paraId="2641513D">
            <w:pPr>
              <w:pStyle w:val="6"/>
              <w:spacing w:before="191" w:line="232" w:lineRule="auto"/>
              <w:ind w:left="62"/>
              <w:rPr>
                <w:sz w:val="18"/>
                <w:szCs w:val="18"/>
              </w:rPr>
            </w:pPr>
            <w:r>
              <w:rPr>
                <w:spacing w:val="-2"/>
                <w:sz w:val="18"/>
                <w:szCs w:val="18"/>
              </w:rPr>
              <w:t>0.5L</w:t>
            </w:r>
          </w:p>
        </w:tc>
        <w:tc>
          <w:tcPr>
            <w:tcW w:w="1015" w:type="dxa"/>
            <w:vAlign w:val="top"/>
          </w:tcPr>
          <w:p w14:paraId="4B8F98D5">
            <w:pPr>
              <w:pStyle w:val="6"/>
              <w:spacing w:before="191" w:line="232" w:lineRule="auto"/>
              <w:ind w:left="489"/>
              <w:rPr>
                <w:sz w:val="18"/>
                <w:szCs w:val="18"/>
              </w:rPr>
            </w:pPr>
            <w:r>
              <w:rPr>
                <w:sz w:val="18"/>
                <w:szCs w:val="18"/>
              </w:rPr>
              <w:t>/</w:t>
            </w:r>
          </w:p>
        </w:tc>
        <w:tc>
          <w:tcPr>
            <w:tcW w:w="721" w:type="dxa"/>
            <w:tcBorders>
              <w:right w:val="single" w:color="000000" w:sz="12" w:space="0"/>
            </w:tcBorders>
            <w:vAlign w:val="top"/>
          </w:tcPr>
          <w:p w14:paraId="1B1101D4">
            <w:pPr>
              <w:pStyle w:val="6"/>
              <w:spacing w:before="191" w:line="232" w:lineRule="auto"/>
              <w:ind w:left="279"/>
              <w:rPr>
                <w:sz w:val="18"/>
                <w:szCs w:val="18"/>
              </w:rPr>
            </w:pPr>
            <w:r>
              <w:rPr>
                <w:spacing w:val="-2"/>
                <w:sz w:val="18"/>
                <w:szCs w:val="18"/>
              </w:rPr>
              <w:t>60</w:t>
            </w:r>
          </w:p>
        </w:tc>
      </w:tr>
      <w:tr w14:paraId="74928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1779FE02">
            <w:pPr>
              <w:rPr>
                <w:rFonts w:ascii="Arial"/>
                <w:sz w:val="21"/>
              </w:rPr>
            </w:pPr>
          </w:p>
        </w:tc>
        <w:tc>
          <w:tcPr>
            <w:tcW w:w="272" w:type="dxa"/>
            <w:vMerge w:val="restart"/>
            <w:tcBorders>
              <w:bottom w:val="nil"/>
            </w:tcBorders>
            <w:vAlign w:val="top"/>
          </w:tcPr>
          <w:p w14:paraId="14C535B0">
            <w:pPr>
              <w:spacing w:line="398" w:lineRule="auto"/>
              <w:rPr>
                <w:rFonts w:ascii="Arial"/>
                <w:sz w:val="21"/>
              </w:rPr>
            </w:pPr>
          </w:p>
          <w:p w14:paraId="28FA18B6">
            <w:pPr>
              <w:pStyle w:val="6"/>
              <w:spacing w:before="52" w:line="235" w:lineRule="auto"/>
              <w:ind w:left="33" w:right="55" w:firstLine="41"/>
              <w:jc w:val="both"/>
              <w:rPr>
                <w:rFonts w:ascii="等线" w:hAnsi="等线" w:eastAsia="等线" w:cs="等线"/>
                <w:sz w:val="18"/>
                <w:szCs w:val="18"/>
              </w:rPr>
            </w:pPr>
            <w:r>
              <w:rPr>
                <w:spacing w:val="-3"/>
                <w:sz w:val="18"/>
                <w:szCs w:val="18"/>
              </w:rPr>
              <w:t>4</w:t>
            </w:r>
            <w:r>
              <w:rPr>
                <w:rFonts w:ascii="等线" w:hAnsi="等线" w:eastAsia="等线" w:cs="等线"/>
                <w:spacing w:val="-7"/>
                <w:sz w:val="18"/>
                <w:szCs w:val="18"/>
              </w:rPr>
              <w:t>季度</w:t>
            </w:r>
          </w:p>
        </w:tc>
        <w:tc>
          <w:tcPr>
            <w:tcW w:w="1004" w:type="dxa"/>
            <w:vAlign w:val="top"/>
          </w:tcPr>
          <w:p w14:paraId="00CAB2EF">
            <w:pPr>
              <w:pStyle w:val="6"/>
              <w:spacing w:before="191" w:line="232" w:lineRule="auto"/>
              <w:ind w:left="122"/>
              <w:rPr>
                <w:sz w:val="18"/>
                <w:szCs w:val="18"/>
              </w:rPr>
            </w:pPr>
            <w:r>
              <w:rPr>
                <w:spacing w:val="-1"/>
                <w:sz w:val="18"/>
                <w:szCs w:val="18"/>
              </w:rPr>
              <w:t>2019/11/9</w:t>
            </w:r>
          </w:p>
        </w:tc>
        <w:tc>
          <w:tcPr>
            <w:tcW w:w="686" w:type="dxa"/>
            <w:vAlign w:val="top"/>
          </w:tcPr>
          <w:p w14:paraId="0A0DA1CA">
            <w:pPr>
              <w:pStyle w:val="6"/>
              <w:spacing w:before="197" w:line="183" w:lineRule="auto"/>
              <w:ind w:left="234"/>
              <w:rPr>
                <w:sz w:val="18"/>
                <w:szCs w:val="18"/>
              </w:rPr>
            </w:pPr>
            <w:r>
              <w:rPr>
                <w:spacing w:val="-2"/>
                <w:sz w:val="18"/>
                <w:szCs w:val="18"/>
              </w:rPr>
              <w:t>5L</w:t>
            </w:r>
          </w:p>
        </w:tc>
        <w:tc>
          <w:tcPr>
            <w:tcW w:w="923" w:type="dxa"/>
            <w:vAlign w:val="top"/>
          </w:tcPr>
          <w:p w14:paraId="05C3964F">
            <w:pPr>
              <w:pStyle w:val="6"/>
              <w:spacing w:before="191" w:line="232" w:lineRule="auto"/>
              <w:ind w:left="338"/>
              <w:rPr>
                <w:sz w:val="18"/>
                <w:szCs w:val="18"/>
              </w:rPr>
            </w:pPr>
            <w:r>
              <w:rPr>
                <w:spacing w:val="-3"/>
                <w:sz w:val="18"/>
                <w:szCs w:val="18"/>
              </w:rPr>
              <w:t>0.5</w:t>
            </w:r>
          </w:p>
        </w:tc>
        <w:tc>
          <w:tcPr>
            <w:tcW w:w="708" w:type="dxa"/>
            <w:vAlign w:val="top"/>
          </w:tcPr>
          <w:p w14:paraId="5035CA81">
            <w:pPr>
              <w:pStyle w:val="6"/>
              <w:spacing w:before="191" w:line="232" w:lineRule="auto"/>
              <w:ind w:left="189"/>
              <w:rPr>
                <w:sz w:val="18"/>
                <w:szCs w:val="18"/>
              </w:rPr>
            </w:pPr>
            <w:r>
              <w:rPr>
                <w:spacing w:val="-2"/>
                <w:sz w:val="18"/>
                <w:szCs w:val="18"/>
              </w:rPr>
              <w:t>6.79</w:t>
            </w:r>
          </w:p>
        </w:tc>
        <w:tc>
          <w:tcPr>
            <w:tcW w:w="850" w:type="dxa"/>
            <w:vAlign w:val="top"/>
          </w:tcPr>
          <w:p w14:paraId="3DB6CA42">
            <w:pPr>
              <w:pStyle w:val="6"/>
              <w:spacing w:before="191" w:line="232" w:lineRule="auto"/>
              <w:ind w:left="159"/>
              <w:rPr>
                <w:sz w:val="18"/>
                <w:szCs w:val="18"/>
              </w:rPr>
            </w:pPr>
            <w:r>
              <w:rPr>
                <w:spacing w:val="-2"/>
                <w:sz w:val="18"/>
                <w:szCs w:val="18"/>
              </w:rPr>
              <w:t>0.040L</w:t>
            </w:r>
          </w:p>
        </w:tc>
        <w:tc>
          <w:tcPr>
            <w:tcW w:w="761" w:type="dxa"/>
            <w:vAlign w:val="top"/>
          </w:tcPr>
          <w:p w14:paraId="17E5F196">
            <w:pPr>
              <w:pStyle w:val="6"/>
              <w:spacing w:before="191" w:line="232" w:lineRule="auto"/>
              <w:ind w:left="125"/>
              <w:rPr>
                <w:sz w:val="18"/>
                <w:szCs w:val="18"/>
              </w:rPr>
            </w:pPr>
            <w:r>
              <w:rPr>
                <w:spacing w:val="-2"/>
                <w:sz w:val="18"/>
                <w:szCs w:val="18"/>
              </w:rPr>
              <w:t>0.2221</w:t>
            </w:r>
          </w:p>
        </w:tc>
        <w:tc>
          <w:tcPr>
            <w:tcW w:w="654" w:type="dxa"/>
            <w:vAlign w:val="top"/>
          </w:tcPr>
          <w:p w14:paraId="34B4A069">
            <w:pPr>
              <w:pStyle w:val="6"/>
              <w:spacing w:before="191" w:line="232" w:lineRule="auto"/>
              <w:ind w:left="73"/>
              <w:rPr>
                <w:sz w:val="18"/>
                <w:szCs w:val="18"/>
              </w:rPr>
            </w:pPr>
            <w:r>
              <w:rPr>
                <w:spacing w:val="-2"/>
                <w:sz w:val="18"/>
                <w:szCs w:val="18"/>
              </w:rPr>
              <w:t>0.0050</w:t>
            </w:r>
          </w:p>
        </w:tc>
        <w:tc>
          <w:tcPr>
            <w:tcW w:w="708" w:type="dxa"/>
            <w:vAlign w:val="top"/>
          </w:tcPr>
          <w:p w14:paraId="3D61FEA6">
            <w:pPr>
              <w:pStyle w:val="6"/>
              <w:spacing w:before="191" w:line="232" w:lineRule="auto"/>
              <w:ind w:left="91"/>
              <w:rPr>
                <w:sz w:val="18"/>
                <w:szCs w:val="18"/>
              </w:rPr>
            </w:pPr>
            <w:r>
              <w:rPr>
                <w:spacing w:val="-2"/>
                <w:sz w:val="18"/>
                <w:szCs w:val="18"/>
              </w:rPr>
              <w:t>0.009L</w:t>
            </w:r>
          </w:p>
        </w:tc>
        <w:tc>
          <w:tcPr>
            <w:tcW w:w="707" w:type="dxa"/>
            <w:vAlign w:val="top"/>
          </w:tcPr>
          <w:p w14:paraId="54939D57">
            <w:pPr>
              <w:pStyle w:val="6"/>
              <w:spacing w:before="191" w:line="232" w:lineRule="auto"/>
              <w:ind w:left="148"/>
              <w:rPr>
                <w:sz w:val="18"/>
                <w:szCs w:val="18"/>
              </w:rPr>
            </w:pPr>
            <w:r>
              <w:rPr>
                <w:spacing w:val="-2"/>
                <w:sz w:val="18"/>
                <w:szCs w:val="18"/>
              </w:rPr>
              <w:t>0.002</w:t>
            </w:r>
          </w:p>
        </w:tc>
        <w:tc>
          <w:tcPr>
            <w:tcW w:w="766" w:type="dxa"/>
            <w:vAlign w:val="top"/>
          </w:tcPr>
          <w:p w14:paraId="6FEAD147">
            <w:pPr>
              <w:pStyle w:val="6"/>
              <w:spacing w:before="191" w:line="232" w:lineRule="auto"/>
              <w:ind w:left="228"/>
              <w:rPr>
                <w:sz w:val="18"/>
                <w:szCs w:val="18"/>
              </w:rPr>
            </w:pPr>
            <w:r>
              <w:rPr>
                <w:spacing w:val="-6"/>
                <w:sz w:val="18"/>
                <w:szCs w:val="18"/>
              </w:rPr>
              <w:t>1.0L</w:t>
            </w:r>
          </w:p>
        </w:tc>
        <w:tc>
          <w:tcPr>
            <w:tcW w:w="595" w:type="dxa"/>
            <w:vAlign w:val="top"/>
          </w:tcPr>
          <w:p w14:paraId="5ACA8F4B">
            <w:pPr>
              <w:pStyle w:val="6"/>
              <w:spacing w:before="191" w:line="232" w:lineRule="auto"/>
              <w:ind w:left="187"/>
              <w:rPr>
                <w:sz w:val="18"/>
                <w:szCs w:val="18"/>
              </w:rPr>
            </w:pPr>
            <w:r>
              <w:rPr>
                <w:spacing w:val="-4"/>
                <w:sz w:val="18"/>
                <w:szCs w:val="18"/>
              </w:rPr>
              <w:t>8.0</w:t>
            </w:r>
          </w:p>
        </w:tc>
        <w:tc>
          <w:tcPr>
            <w:tcW w:w="955" w:type="dxa"/>
            <w:vAlign w:val="top"/>
          </w:tcPr>
          <w:p w14:paraId="6A9B21E8">
            <w:pPr>
              <w:pStyle w:val="6"/>
              <w:spacing w:before="192" w:line="232" w:lineRule="auto"/>
              <w:ind w:left="392"/>
              <w:rPr>
                <w:sz w:val="18"/>
                <w:szCs w:val="18"/>
              </w:rPr>
            </w:pPr>
            <w:r>
              <w:rPr>
                <w:spacing w:val="-3"/>
                <w:sz w:val="18"/>
                <w:szCs w:val="18"/>
              </w:rPr>
              <w:t>81</w:t>
            </w:r>
          </w:p>
        </w:tc>
        <w:tc>
          <w:tcPr>
            <w:tcW w:w="506" w:type="dxa"/>
            <w:vAlign w:val="top"/>
          </w:tcPr>
          <w:p w14:paraId="0DB2D32F">
            <w:pPr>
              <w:pStyle w:val="6"/>
              <w:spacing w:before="192" w:line="232" w:lineRule="auto"/>
              <w:ind w:left="161"/>
              <w:rPr>
                <w:sz w:val="18"/>
                <w:szCs w:val="18"/>
              </w:rPr>
            </w:pPr>
            <w:r>
              <w:rPr>
                <w:spacing w:val="-1"/>
                <w:sz w:val="18"/>
                <w:szCs w:val="18"/>
              </w:rPr>
              <w:t>28</w:t>
            </w:r>
          </w:p>
        </w:tc>
        <w:tc>
          <w:tcPr>
            <w:tcW w:w="707" w:type="dxa"/>
            <w:vAlign w:val="top"/>
          </w:tcPr>
          <w:p w14:paraId="6D4B83E3">
            <w:pPr>
              <w:pStyle w:val="6"/>
              <w:spacing w:before="191" w:line="232" w:lineRule="auto"/>
              <w:ind w:left="212"/>
              <w:rPr>
                <w:sz w:val="18"/>
                <w:szCs w:val="18"/>
              </w:rPr>
            </w:pPr>
            <w:r>
              <w:rPr>
                <w:spacing w:val="-6"/>
                <w:sz w:val="18"/>
                <w:szCs w:val="18"/>
              </w:rPr>
              <w:t>1.04</w:t>
            </w:r>
          </w:p>
        </w:tc>
        <w:tc>
          <w:tcPr>
            <w:tcW w:w="708" w:type="dxa"/>
            <w:vAlign w:val="top"/>
          </w:tcPr>
          <w:p w14:paraId="627ECD73">
            <w:pPr>
              <w:pStyle w:val="6"/>
              <w:spacing w:before="191" w:line="232" w:lineRule="auto"/>
              <w:ind w:left="99"/>
              <w:rPr>
                <w:sz w:val="18"/>
                <w:szCs w:val="18"/>
              </w:rPr>
            </w:pPr>
            <w:r>
              <w:rPr>
                <w:spacing w:val="-2"/>
                <w:sz w:val="18"/>
                <w:szCs w:val="18"/>
              </w:rPr>
              <w:t>0.002L</w:t>
            </w:r>
          </w:p>
        </w:tc>
        <w:tc>
          <w:tcPr>
            <w:tcW w:w="663" w:type="dxa"/>
            <w:vAlign w:val="top"/>
          </w:tcPr>
          <w:p w14:paraId="6C9F2739">
            <w:pPr>
              <w:pStyle w:val="6"/>
              <w:spacing w:before="191" w:line="232" w:lineRule="auto"/>
              <w:ind w:left="78"/>
              <w:rPr>
                <w:sz w:val="18"/>
                <w:szCs w:val="18"/>
              </w:rPr>
            </w:pPr>
            <w:r>
              <w:rPr>
                <w:spacing w:val="-2"/>
                <w:sz w:val="18"/>
                <w:szCs w:val="18"/>
              </w:rPr>
              <w:t>0.050L</w:t>
            </w:r>
          </w:p>
        </w:tc>
        <w:tc>
          <w:tcPr>
            <w:tcW w:w="664" w:type="dxa"/>
            <w:vAlign w:val="top"/>
          </w:tcPr>
          <w:p w14:paraId="08C6E67C">
            <w:pPr>
              <w:pStyle w:val="6"/>
              <w:spacing w:before="191" w:line="232" w:lineRule="auto"/>
              <w:ind w:left="79"/>
              <w:rPr>
                <w:sz w:val="18"/>
                <w:szCs w:val="18"/>
              </w:rPr>
            </w:pPr>
            <w:r>
              <w:rPr>
                <w:spacing w:val="-2"/>
                <w:sz w:val="18"/>
                <w:szCs w:val="18"/>
              </w:rPr>
              <w:t>0.001L</w:t>
            </w:r>
          </w:p>
        </w:tc>
        <w:tc>
          <w:tcPr>
            <w:tcW w:w="782" w:type="dxa"/>
            <w:vAlign w:val="top"/>
          </w:tcPr>
          <w:p w14:paraId="76576459">
            <w:pPr>
              <w:pStyle w:val="6"/>
              <w:spacing w:before="191" w:line="232" w:lineRule="auto"/>
              <w:ind w:left="93"/>
              <w:rPr>
                <w:sz w:val="18"/>
                <w:szCs w:val="18"/>
              </w:rPr>
            </w:pPr>
            <w:r>
              <w:rPr>
                <w:spacing w:val="-1"/>
                <w:sz w:val="18"/>
                <w:szCs w:val="18"/>
              </w:rPr>
              <w:t>0.0005L</w:t>
            </w:r>
          </w:p>
        </w:tc>
        <w:tc>
          <w:tcPr>
            <w:tcW w:w="663" w:type="dxa"/>
            <w:vAlign w:val="top"/>
          </w:tcPr>
          <w:p w14:paraId="4CB24C40">
            <w:pPr>
              <w:pStyle w:val="6"/>
              <w:spacing w:before="191" w:line="232" w:lineRule="auto"/>
              <w:ind w:left="81"/>
              <w:rPr>
                <w:sz w:val="18"/>
                <w:szCs w:val="18"/>
              </w:rPr>
            </w:pPr>
            <w:r>
              <w:rPr>
                <w:spacing w:val="-2"/>
                <w:sz w:val="18"/>
                <w:szCs w:val="18"/>
              </w:rPr>
              <w:t>0.004L</w:t>
            </w:r>
          </w:p>
        </w:tc>
        <w:tc>
          <w:tcPr>
            <w:tcW w:w="737" w:type="dxa"/>
            <w:vAlign w:val="top"/>
          </w:tcPr>
          <w:p w14:paraId="2F41ED33">
            <w:pPr>
              <w:pStyle w:val="6"/>
              <w:spacing w:before="191" w:line="232" w:lineRule="auto"/>
              <w:ind w:left="74"/>
              <w:rPr>
                <w:sz w:val="18"/>
                <w:szCs w:val="18"/>
              </w:rPr>
            </w:pPr>
            <w:r>
              <w:rPr>
                <w:spacing w:val="-1"/>
                <w:sz w:val="18"/>
                <w:szCs w:val="18"/>
              </w:rPr>
              <w:t>0.0025L</w:t>
            </w:r>
          </w:p>
        </w:tc>
        <w:tc>
          <w:tcPr>
            <w:tcW w:w="737" w:type="dxa"/>
            <w:vAlign w:val="top"/>
          </w:tcPr>
          <w:p w14:paraId="521D5A40">
            <w:pPr>
              <w:pStyle w:val="6"/>
              <w:spacing w:before="191" w:line="232" w:lineRule="auto"/>
              <w:ind w:left="75"/>
              <w:rPr>
                <w:sz w:val="18"/>
                <w:szCs w:val="18"/>
              </w:rPr>
            </w:pPr>
            <w:r>
              <w:rPr>
                <w:spacing w:val="-1"/>
                <w:sz w:val="18"/>
                <w:szCs w:val="18"/>
              </w:rPr>
              <w:t>0.0001L</w:t>
            </w:r>
          </w:p>
        </w:tc>
        <w:tc>
          <w:tcPr>
            <w:tcW w:w="754" w:type="dxa"/>
            <w:vAlign w:val="top"/>
          </w:tcPr>
          <w:p w14:paraId="663D3F4A">
            <w:pPr>
              <w:pStyle w:val="6"/>
              <w:spacing w:before="191" w:line="232" w:lineRule="auto"/>
              <w:ind w:left="84"/>
              <w:rPr>
                <w:sz w:val="18"/>
                <w:szCs w:val="18"/>
              </w:rPr>
            </w:pPr>
            <w:r>
              <w:rPr>
                <w:spacing w:val="-1"/>
                <w:sz w:val="18"/>
                <w:szCs w:val="18"/>
              </w:rPr>
              <w:t>0.0004L</w:t>
            </w:r>
          </w:p>
        </w:tc>
        <w:tc>
          <w:tcPr>
            <w:tcW w:w="667" w:type="dxa"/>
            <w:vAlign w:val="top"/>
          </w:tcPr>
          <w:p w14:paraId="0EC749DE">
            <w:pPr>
              <w:pStyle w:val="6"/>
              <w:spacing w:before="191" w:line="232" w:lineRule="auto"/>
              <w:ind w:left="86"/>
              <w:rPr>
                <w:sz w:val="18"/>
                <w:szCs w:val="18"/>
              </w:rPr>
            </w:pPr>
            <w:r>
              <w:rPr>
                <w:spacing w:val="-2"/>
                <w:sz w:val="18"/>
                <w:szCs w:val="18"/>
              </w:rPr>
              <w:t>0.002L</w:t>
            </w:r>
          </w:p>
        </w:tc>
        <w:tc>
          <w:tcPr>
            <w:tcW w:w="544" w:type="dxa"/>
            <w:vAlign w:val="top"/>
          </w:tcPr>
          <w:p w14:paraId="21573E46">
            <w:pPr>
              <w:pStyle w:val="6"/>
              <w:spacing w:before="191" w:line="232" w:lineRule="auto"/>
              <w:ind w:left="117"/>
              <w:rPr>
                <w:sz w:val="18"/>
                <w:szCs w:val="18"/>
              </w:rPr>
            </w:pPr>
            <w:r>
              <w:rPr>
                <w:spacing w:val="-2"/>
                <w:sz w:val="18"/>
                <w:szCs w:val="18"/>
              </w:rPr>
              <w:t>0.2L</w:t>
            </w:r>
          </w:p>
        </w:tc>
        <w:tc>
          <w:tcPr>
            <w:tcW w:w="434" w:type="dxa"/>
            <w:vAlign w:val="top"/>
          </w:tcPr>
          <w:p w14:paraId="07EF6F2F">
            <w:pPr>
              <w:pStyle w:val="6"/>
              <w:spacing w:before="191" w:line="232" w:lineRule="auto"/>
              <w:ind w:left="62"/>
              <w:rPr>
                <w:sz w:val="18"/>
                <w:szCs w:val="18"/>
              </w:rPr>
            </w:pPr>
            <w:r>
              <w:rPr>
                <w:spacing w:val="-2"/>
                <w:sz w:val="18"/>
                <w:szCs w:val="18"/>
              </w:rPr>
              <w:t>0.5L</w:t>
            </w:r>
          </w:p>
        </w:tc>
        <w:tc>
          <w:tcPr>
            <w:tcW w:w="1015" w:type="dxa"/>
            <w:vAlign w:val="top"/>
          </w:tcPr>
          <w:p w14:paraId="100D73A7">
            <w:pPr>
              <w:pStyle w:val="6"/>
              <w:spacing w:before="191" w:line="232" w:lineRule="auto"/>
              <w:ind w:left="489"/>
              <w:rPr>
                <w:sz w:val="18"/>
                <w:szCs w:val="18"/>
              </w:rPr>
            </w:pPr>
            <w:r>
              <w:rPr>
                <w:sz w:val="18"/>
                <w:szCs w:val="18"/>
              </w:rPr>
              <w:t>/</w:t>
            </w:r>
          </w:p>
        </w:tc>
        <w:tc>
          <w:tcPr>
            <w:tcW w:w="721" w:type="dxa"/>
            <w:tcBorders>
              <w:right w:val="single" w:color="000000" w:sz="12" w:space="0"/>
            </w:tcBorders>
            <w:vAlign w:val="top"/>
          </w:tcPr>
          <w:p w14:paraId="1B608910">
            <w:pPr>
              <w:pStyle w:val="6"/>
              <w:spacing w:before="192" w:line="232" w:lineRule="auto"/>
              <w:ind w:left="278"/>
              <w:rPr>
                <w:sz w:val="18"/>
                <w:szCs w:val="18"/>
              </w:rPr>
            </w:pPr>
            <w:r>
              <w:rPr>
                <w:spacing w:val="-2"/>
                <w:sz w:val="18"/>
                <w:szCs w:val="18"/>
              </w:rPr>
              <w:t>30</w:t>
            </w:r>
          </w:p>
        </w:tc>
      </w:tr>
      <w:tr w14:paraId="66C93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1BC9D953">
            <w:pPr>
              <w:rPr>
                <w:rFonts w:ascii="Arial"/>
                <w:sz w:val="21"/>
              </w:rPr>
            </w:pPr>
          </w:p>
        </w:tc>
        <w:tc>
          <w:tcPr>
            <w:tcW w:w="272" w:type="dxa"/>
            <w:vMerge w:val="continue"/>
            <w:tcBorders>
              <w:top w:val="nil"/>
              <w:bottom w:val="nil"/>
            </w:tcBorders>
            <w:vAlign w:val="top"/>
          </w:tcPr>
          <w:p w14:paraId="0A2ACC9F">
            <w:pPr>
              <w:rPr>
                <w:rFonts w:ascii="Arial"/>
                <w:sz w:val="21"/>
              </w:rPr>
            </w:pPr>
          </w:p>
        </w:tc>
        <w:tc>
          <w:tcPr>
            <w:tcW w:w="1004" w:type="dxa"/>
            <w:vAlign w:val="top"/>
          </w:tcPr>
          <w:p w14:paraId="7DC8A543">
            <w:pPr>
              <w:pStyle w:val="6"/>
              <w:spacing w:before="193" w:line="232" w:lineRule="auto"/>
              <w:ind w:left="77"/>
              <w:rPr>
                <w:sz w:val="18"/>
                <w:szCs w:val="18"/>
              </w:rPr>
            </w:pPr>
            <w:r>
              <w:rPr>
                <w:spacing w:val="-1"/>
                <w:sz w:val="18"/>
                <w:szCs w:val="18"/>
              </w:rPr>
              <w:t>2019/11/10</w:t>
            </w:r>
          </w:p>
        </w:tc>
        <w:tc>
          <w:tcPr>
            <w:tcW w:w="686" w:type="dxa"/>
            <w:vAlign w:val="top"/>
          </w:tcPr>
          <w:p w14:paraId="60A3FC71">
            <w:pPr>
              <w:pStyle w:val="6"/>
              <w:spacing w:before="198" w:line="183" w:lineRule="auto"/>
              <w:ind w:left="234"/>
              <w:rPr>
                <w:sz w:val="18"/>
                <w:szCs w:val="18"/>
              </w:rPr>
            </w:pPr>
            <w:r>
              <w:rPr>
                <w:spacing w:val="-2"/>
                <w:sz w:val="18"/>
                <w:szCs w:val="18"/>
              </w:rPr>
              <w:t>5L</w:t>
            </w:r>
          </w:p>
        </w:tc>
        <w:tc>
          <w:tcPr>
            <w:tcW w:w="923" w:type="dxa"/>
            <w:vAlign w:val="top"/>
          </w:tcPr>
          <w:p w14:paraId="435BC2FD">
            <w:pPr>
              <w:pStyle w:val="6"/>
              <w:spacing w:before="193" w:line="232" w:lineRule="auto"/>
              <w:ind w:left="338"/>
              <w:rPr>
                <w:sz w:val="18"/>
                <w:szCs w:val="18"/>
              </w:rPr>
            </w:pPr>
            <w:r>
              <w:rPr>
                <w:spacing w:val="-3"/>
                <w:sz w:val="18"/>
                <w:szCs w:val="18"/>
              </w:rPr>
              <w:t>0.5</w:t>
            </w:r>
          </w:p>
        </w:tc>
        <w:tc>
          <w:tcPr>
            <w:tcW w:w="708" w:type="dxa"/>
            <w:vAlign w:val="top"/>
          </w:tcPr>
          <w:p w14:paraId="35B145B6">
            <w:pPr>
              <w:pStyle w:val="6"/>
              <w:spacing w:before="193" w:line="232" w:lineRule="auto"/>
              <w:ind w:left="188"/>
              <w:rPr>
                <w:sz w:val="18"/>
                <w:szCs w:val="18"/>
              </w:rPr>
            </w:pPr>
            <w:r>
              <w:rPr>
                <w:spacing w:val="-2"/>
                <w:sz w:val="18"/>
                <w:szCs w:val="18"/>
              </w:rPr>
              <w:t>7.77</w:t>
            </w:r>
          </w:p>
        </w:tc>
        <w:tc>
          <w:tcPr>
            <w:tcW w:w="850" w:type="dxa"/>
            <w:vAlign w:val="top"/>
          </w:tcPr>
          <w:p w14:paraId="12214EC1">
            <w:pPr>
              <w:pStyle w:val="6"/>
              <w:spacing w:before="193" w:line="232" w:lineRule="auto"/>
              <w:ind w:left="159"/>
              <w:rPr>
                <w:sz w:val="18"/>
                <w:szCs w:val="18"/>
              </w:rPr>
            </w:pPr>
            <w:r>
              <w:rPr>
                <w:spacing w:val="-2"/>
                <w:sz w:val="18"/>
                <w:szCs w:val="18"/>
              </w:rPr>
              <w:t>0.040L</w:t>
            </w:r>
          </w:p>
        </w:tc>
        <w:tc>
          <w:tcPr>
            <w:tcW w:w="761" w:type="dxa"/>
            <w:vAlign w:val="top"/>
          </w:tcPr>
          <w:p w14:paraId="49E4ADFD">
            <w:pPr>
              <w:pStyle w:val="6"/>
              <w:spacing w:before="193" w:line="232" w:lineRule="auto"/>
              <w:ind w:left="125"/>
              <w:rPr>
                <w:sz w:val="18"/>
                <w:szCs w:val="18"/>
              </w:rPr>
            </w:pPr>
            <w:r>
              <w:rPr>
                <w:spacing w:val="-2"/>
                <w:sz w:val="18"/>
                <w:szCs w:val="18"/>
              </w:rPr>
              <w:t>0.2216</w:t>
            </w:r>
          </w:p>
        </w:tc>
        <w:tc>
          <w:tcPr>
            <w:tcW w:w="654" w:type="dxa"/>
            <w:vAlign w:val="top"/>
          </w:tcPr>
          <w:p w14:paraId="16DEC25E">
            <w:pPr>
              <w:pStyle w:val="6"/>
              <w:spacing w:before="193" w:line="232" w:lineRule="auto"/>
              <w:ind w:left="73"/>
              <w:rPr>
                <w:sz w:val="18"/>
                <w:szCs w:val="18"/>
              </w:rPr>
            </w:pPr>
            <w:r>
              <w:rPr>
                <w:spacing w:val="-2"/>
                <w:sz w:val="18"/>
                <w:szCs w:val="18"/>
              </w:rPr>
              <w:t>0.0050</w:t>
            </w:r>
          </w:p>
        </w:tc>
        <w:tc>
          <w:tcPr>
            <w:tcW w:w="708" w:type="dxa"/>
            <w:vAlign w:val="top"/>
          </w:tcPr>
          <w:p w14:paraId="2941F0F7">
            <w:pPr>
              <w:pStyle w:val="6"/>
              <w:spacing w:before="193" w:line="232" w:lineRule="auto"/>
              <w:ind w:left="91"/>
              <w:rPr>
                <w:sz w:val="18"/>
                <w:szCs w:val="18"/>
              </w:rPr>
            </w:pPr>
            <w:r>
              <w:rPr>
                <w:spacing w:val="-2"/>
                <w:sz w:val="18"/>
                <w:szCs w:val="18"/>
              </w:rPr>
              <w:t>0.009L</w:t>
            </w:r>
          </w:p>
        </w:tc>
        <w:tc>
          <w:tcPr>
            <w:tcW w:w="707" w:type="dxa"/>
            <w:vAlign w:val="top"/>
          </w:tcPr>
          <w:p w14:paraId="6FF6480C">
            <w:pPr>
              <w:pStyle w:val="6"/>
              <w:spacing w:before="193" w:line="232" w:lineRule="auto"/>
              <w:ind w:left="148"/>
              <w:rPr>
                <w:sz w:val="18"/>
                <w:szCs w:val="18"/>
              </w:rPr>
            </w:pPr>
            <w:r>
              <w:rPr>
                <w:spacing w:val="-2"/>
                <w:sz w:val="18"/>
                <w:szCs w:val="18"/>
              </w:rPr>
              <w:t>0.002</w:t>
            </w:r>
          </w:p>
        </w:tc>
        <w:tc>
          <w:tcPr>
            <w:tcW w:w="766" w:type="dxa"/>
            <w:vAlign w:val="top"/>
          </w:tcPr>
          <w:p w14:paraId="21CE486D">
            <w:pPr>
              <w:pStyle w:val="6"/>
              <w:spacing w:before="193" w:line="232" w:lineRule="auto"/>
              <w:ind w:left="228"/>
              <w:rPr>
                <w:sz w:val="18"/>
                <w:szCs w:val="18"/>
              </w:rPr>
            </w:pPr>
            <w:r>
              <w:rPr>
                <w:spacing w:val="-6"/>
                <w:sz w:val="18"/>
                <w:szCs w:val="18"/>
              </w:rPr>
              <w:t>1.0L</w:t>
            </w:r>
          </w:p>
        </w:tc>
        <w:tc>
          <w:tcPr>
            <w:tcW w:w="595" w:type="dxa"/>
            <w:vAlign w:val="top"/>
          </w:tcPr>
          <w:p w14:paraId="069936C2">
            <w:pPr>
              <w:pStyle w:val="6"/>
              <w:spacing w:before="193" w:line="232" w:lineRule="auto"/>
              <w:ind w:left="183"/>
              <w:rPr>
                <w:sz w:val="18"/>
                <w:szCs w:val="18"/>
              </w:rPr>
            </w:pPr>
            <w:r>
              <w:rPr>
                <w:spacing w:val="-3"/>
                <w:sz w:val="18"/>
                <w:szCs w:val="18"/>
              </w:rPr>
              <w:t>7.2</w:t>
            </w:r>
          </w:p>
        </w:tc>
        <w:tc>
          <w:tcPr>
            <w:tcW w:w="955" w:type="dxa"/>
            <w:vAlign w:val="top"/>
          </w:tcPr>
          <w:p w14:paraId="6EEA4B5A">
            <w:pPr>
              <w:pStyle w:val="6"/>
              <w:spacing w:before="193" w:line="232" w:lineRule="auto"/>
              <w:ind w:left="388"/>
              <w:rPr>
                <w:sz w:val="18"/>
                <w:szCs w:val="18"/>
              </w:rPr>
            </w:pPr>
            <w:r>
              <w:rPr>
                <w:spacing w:val="-2"/>
                <w:sz w:val="18"/>
                <w:szCs w:val="18"/>
              </w:rPr>
              <w:t>98</w:t>
            </w:r>
          </w:p>
        </w:tc>
        <w:tc>
          <w:tcPr>
            <w:tcW w:w="506" w:type="dxa"/>
            <w:vAlign w:val="top"/>
          </w:tcPr>
          <w:p w14:paraId="5B4308D2">
            <w:pPr>
              <w:pStyle w:val="6"/>
              <w:spacing w:before="193" w:line="232" w:lineRule="auto"/>
              <w:ind w:left="161"/>
              <w:rPr>
                <w:sz w:val="18"/>
                <w:szCs w:val="18"/>
              </w:rPr>
            </w:pPr>
            <w:r>
              <w:rPr>
                <w:spacing w:val="-1"/>
                <w:sz w:val="18"/>
                <w:szCs w:val="18"/>
              </w:rPr>
              <w:t>26</w:t>
            </w:r>
          </w:p>
        </w:tc>
        <w:tc>
          <w:tcPr>
            <w:tcW w:w="707" w:type="dxa"/>
            <w:vAlign w:val="top"/>
          </w:tcPr>
          <w:p w14:paraId="18BC98A9">
            <w:pPr>
              <w:pStyle w:val="6"/>
              <w:spacing w:before="193" w:line="232" w:lineRule="auto"/>
              <w:ind w:left="212"/>
              <w:rPr>
                <w:sz w:val="18"/>
                <w:szCs w:val="18"/>
              </w:rPr>
            </w:pPr>
            <w:r>
              <w:rPr>
                <w:spacing w:val="-6"/>
                <w:sz w:val="18"/>
                <w:szCs w:val="18"/>
              </w:rPr>
              <w:t>1.00</w:t>
            </w:r>
          </w:p>
        </w:tc>
        <w:tc>
          <w:tcPr>
            <w:tcW w:w="708" w:type="dxa"/>
            <w:vAlign w:val="top"/>
          </w:tcPr>
          <w:p w14:paraId="18E37F77">
            <w:pPr>
              <w:pStyle w:val="6"/>
              <w:spacing w:before="193" w:line="232" w:lineRule="auto"/>
              <w:ind w:left="99"/>
              <w:rPr>
                <w:sz w:val="18"/>
                <w:szCs w:val="18"/>
              </w:rPr>
            </w:pPr>
            <w:r>
              <w:rPr>
                <w:spacing w:val="-2"/>
                <w:sz w:val="18"/>
                <w:szCs w:val="18"/>
              </w:rPr>
              <w:t>0.002L</w:t>
            </w:r>
          </w:p>
        </w:tc>
        <w:tc>
          <w:tcPr>
            <w:tcW w:w="663" w:type="dxa"/>
            <w:vAlign w:val="top"/>
          </w:tcPr>
          <w:p w14:paraId="0293D8E3">
            <w:pPr>
              <w:pStyle w:val="6"/>
              <w:spacing w:before="193" w:line="232" w:lineRule="auto"/>
              <w:ind w:left="78"/>
              <w:rPr>
                <w:sz w:val="18"/>
                <w:szCs w:val="18"/>
              </w:rPr>
            </w:pPr>
            <w:r>
              <w:rPr>
                <w:spacing w:val="-2"/>
                <w:sz w:val="18"/>
                <w:szCs w:val="18"/>
              </w:rPr>
              <w:t>0.050L</w:t>
            </w:r>
          </w:p>
        </w:tc>
        <w:tc>
          <w:tcPr>
            <w:tcW w:w="664" w:type="dxa"/>
            <w:vAlign w:val="top"/>
          </w:tcPr>
          <w:p w14:paraId="78647E7D">
            <w:pPr>
              <w:pStyle w:val="6"/>
              <w:spacing w:before="193" w:line="232" w:lineRule="auto"/>
              <w:ind w:left="79"/>
              <w:rPr>
                <w:sz w:val="18"/>
                <w:szCs w:val="18"/>
              </w:rPr>
            </w:pPr>
            <w:r>
              <w:rPr>
                <w:spacing w:val="-2"/>
                <w:sz w:val="18"/>
                <w:szCs w:val="18"/>
              </w:rPr>
              <w:t>0.001L</w:t>
            </w:r>
          </w:p>
        </w:tc>
        <w:tc>
          <w:tcPr>
            <w:tcW w:w="782" w:type="dxa"/>
            <w:vAlign w:val="top"/>
          </w:tcPr>
          <w:p w14:paraId="2173A597">
            <w:pPr>
              <w:pStyle w:val="6"/>
              <w:spacing w:before="193" w:line="232" w:lineRule="auto"/>
              <w:ind w:left="93"/>
              <w:rPr>
                <w:sz w:val="18"/>
                <w:szCs w:val="18"/>
              </w:rPr>
            </w:pPr>
            <w:r>
              <w:rPr>
                <w:spacing w:val="-1"/>
                <w:sz w:val="18"/>
                <w:szCs w:val="18"/>
              </w:rPr>
              <w:t>0.0005L</w:t>
            </w:r>
          </w:p>
        </w:tc>
        <w:tc>
          <w:tcPr>
            <w:tcW w:w="663" w:type="dxa"/>
            <w:vAlign w:val="top"/>
          </w:tcPr>
          <w:p w14:paraId="473680C3">
            <w:pPr>
              <w:pStyle w:val="6"/>
              <w:spacing w:before="193" w:line="232" w:lineRule="auto"/>
              <w:ind w:left="81"/>
              <w:rPr>
                <w:sz w:val="18"/>
                <w:szCs w:val="18"/>
              </w:rPr>
            </w:pPr>
            <w:r>
              <w:rPr>
                <w:spacing w:val="-2"/>
                <w:sz w:val="18"/>
                <w:szCs w:val="18"/>
              </w:rPr>
              <w:t>0.004L</w:t>
            </w:r>
          </w:p>
        </w:tc>
        <w:tc>
          <w:tcPr>
            <w:tcW w:w="737" w:type="dxa"/>
            <w:vAlign w:val="top"/>
          </w:tcPr>
          <w:p w14:paraId="78298FE7">
            <w:pPr>
              <w:pStyle w:val="6"/>
              <w:spacing w:before="193" w:line="232" w:lineRule="auto"/>
              <w:ind w:left="74"/>
              <w:rPr>
                <w:sz w:val="18"/>
                <w:szCs w:val="18"/>
              </w:rPr>
            </w:pPr>
            <w:r>
              <w:rPr>
                <w:spacing w:val="-1"/>
                <w:sz w:val="18"/>
                <w:szCs w:val="18"/>
              </w:rPr>
              <w:t>0.0025L</w:t>
            </w:r>
          </w:p>
        </w:tc>
        <w:tc>
          <w:tcPr>
            <w:tcW w:w="737" w:type="dxa"/>
            <w:vAlign w:val="top"/>
          </w:tcPr>
          <w:p w14:paraId="1EE41A5C">
            <w:pPr>
              <w:pStyle w:val="6"/>
              <w:spacing w:before="193" w:line="232" w:lineRule="auto"/>
              <w:ind w:left="75"/>
              <w:rPr>
                <w:sz w:val="18"/>
                <w:szCs w:val="18"/>
              </w:rPr>
            </w:pPr>
            <w:r>
              <w:rPr>
                <w:spacing w:val="-1"/>
                <w:sz w:val="18"/>
                <w:szCs w:val="18"/>
              </w:rPr>
              <w:t>0.0001L</w:t>
            </w:r>
          </w:p>
        </w:tc>
        <w:tc>
          <w:tcPr>
            <w:tcW w:w="754" w:type="dxa"/>
            <w:vAlign w:val="top"/>
          </w:tcPr>
          <w:p w14:paraId="266F0CA9">
            <w:pPr>
              <w:pStyle w:val="6"/>
              <w:spacing w:before="193" w:line="232" w:lineRule="auto"/>
              <w:ind w:left="84"/>
              <w:rPr>
                <w:sz w:val="18"/>
                <w:szCs w:val="18"/>
              </w:rPr>
            </w:pPr>
            <w:r>
              <w:rPr>
                <w:spacing w:val="-1"/>
                <w:sz w:val="18"/>
                <w:szCs w:val="18"/>
              </w:rPr>
              <w:t>0.0004L</w:t>
            </w:r>
          </w:p>
        </w:tc>
        <w:tc>
          <w:tcPr>
            <w:tcW w:w="667" w:type="dxa"/>
            <w:vAlign w:val="top"/>
          </w:tcPr>
          <w:p w14:paraId="61204C05">
            <w:pPr>
              <w:pStyle w:val="6"/>
              <w:spacing w:before="193" w:line="232" w:lineRule="auto"/>
              <w:ind w:left="86"/>
              <w:rPr>
                <w:sz w:val="18"/>
                <w:szCs w:val="18"/>
              </w:rPr>
            </w:pPr>
            <w:r>
              <w:rPr>
                <w:spacing w:val="-2"/>
                <w:sz w:val="18"/>
                <w:szCs w:val="18"/>
              </w:rPr>
              <w:t>0.002L</w:t>
            </w:r>
          </w:p>
        </w:tc>
        <w:tc>
          <w:tcPr>
            <w:tcW w:w="544" w:type="dxa"/>
            <w:vAlign w:val="top"/>
          </w:tcPr>
          <w:p w14:paraId="0095F5F8">
            <w:pPr>
              <w:pStyle w:val="6"/>
              <w:spacing w:before="193" w:line="232" w:lineRule="auto"/>
              <w:ind w:left="117"/>
              <w:rPr>
                <w:sz w:val="18"/>
                <w:szCs w:val="18"/>
              </w:rPr>
            </w:pPr>
            <w:r>
              <w:rPr>
                <w:spacing w:val="-2"/>
                <w:sz w:val="18"/>
                <w:szCs w:val="18"/>
              </w:rPr>
              <w:t>0.2L</w:t>
            </w:r>
          </w:p>
        </w:tc>
        <w:tc>
          <w:tcPr>
            <w:tcW w:w="434" w:type="dxa"/>
            <w:vAlign w:val="top"/>
          </w:tcPr>
          <w:p w14:paraId="567CC266">
            <w:pPr>
              <w:pStyle w:val="6"/>
              <w:spacing w:before="193" w:line="232" w:lineRule="auto"/>
              <w:ind w:left="62"/>
              <w:rPr>
                <w:sz w:val="18"/>
                <w:szCs w:val="18"/>
              </w:rPr>
            </w:pPr>
            <w:r>
              <w:rPr>
                <w:spacing w:val="-2"/>
                <w:sz w:val="18"/>
                <w:szCs w:val="18"/>
              </w:rPr>
              <w:t>0.5L</w:t>
            </w:r>
          </w:p>
        </w:tc>
        <w:tc>
          <w:tcPr>
            <w:tcW w:w="1015" w:type="dxa"/>
            <w:vAlign w:val="top"/>
          </w:tcPr>
          <w:p w14:paraId="602B7988">
            <w:pPr>
              <w:pStyle w:val="6"/>
              <w:spacing w:before="193" w:line="232" w:lineRule="auto"/>
              <w:ind w:left="489"/>
              <w:rPr>
                <w:sz w:val="18"/>
                <w:szCs w:val="18"/>
              </w:rPr>
            </w:pPr>
            <w:r>
              <w:rPr>
                <w:sz w:val="18"/>
                <w:szCs w:val="18"/>
              </w:rPr>
              <w:t>/</w:t>
            </w:r>
          </w:p>
        </w:tc>
        <w:tc>
          <w:tcPr>
            <w:tcW w:w="721" w:type="dxa"/>
            <w:tcBorders>
              <w:right w:val="single" w:color="000000" w:sz="12" w:space="0"/>
            </w:tcBorders>
            <w:vAlign w:val="top"/>
          </w:tcPr>
          <w:p w14:paraId="71049BBB">
            <w:pPr>
              <w:pStyle w:val="6"/>
              <w:spacing w:before="193" w:line="232" w:lineRule="auto"/>
              <w:ind w:left="275"/>
              <w:rPr>
                <w:sz w:val="18"/>
                <w:szCs w:val="18"/>
              </w:rPr>
            </w:pPr>
            <w:r>
              <w:rPr>
                <w:spacing w:val="-1"/>
                <w:sz w:val="18"/>
                <w:szCs w:val="18"/>
              </w:rPr>
              <w:t>20</w:t>
            </w:r>
          </w:p>
        </w:tc>
      </w:tr>
      <w:tr w14:paraId="4BA9F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tcBorders>
            <w:vAlign w:val="top"/>
          </w:tcPr>
          <w:p w14:paraId="401F31A5">
            <w:pPr>
              <w:rPr>
                <w:rFonts w:ascii="Arial"/>
                <w:sz w:val="21"/>
              </w:rPr>
            </w:pPr>
          </w:p>
        </w:tc>
        <w:tc>
          <w:tcPr>
            <w:tcW w:w="272" w:type="dxa"/>
            <w:vMerge w:val="continue"/>
            <w:tcBorders>
              <w:top w:val="nil"/>
            </w:tcBorders>
            <w:vAlign w:val="top"/>
          </w:tcPr>
          <w:p w14:paraId="37E7ED4E">
            <w:pPr>
              <w:rPr>
                <w:rFonts w:ascii="Arial"/>
                <w:sz w:val="21"/>
              </w:rPr>
            </w:pPr>
          </w:p>
        </w:tc>
        <w:tc>
          <w:tcPr>
            <w:tcW w:w="1004" w:type="dxa"/>
            <w:vAlign w:val="top"/>
          </w:tcPr>
          <w:p w14:paraId="51925207">
            <w:pPr>
              <w:pStyle w:val="6"/>
              <w:spacing w:before="194" w:line="232" w:lineRule="auto"/>
              <w:ind w:left="77"/>
              <w:rPr>
                <w:sz w:val="18"/>
                <w:szCs w:val="18"/>
              </w:rPr>
            </w:pPr>
            <w:r>
              <w:rPr>
                <w:spacing w:val="-1"/>
                <w:sz w:val="18"/>
                <w:szCs w:val="18"/>
              </w:rPr>
              <w:t>2019/11/11</w:t>
            </w:r>
          </w:p>
        </w:tc>
        <w:tc>
          <w:tcPr>
            <w:tcW w:w="686" w:type="dxa"/>
            <w:vAlign w:val="top"/>
          </w:tcPr>
          <w:p w14:paraId="7368829E">
            <w:pPr>
              <w:pStyle w:val="6"/>
              <w:spacing w:before="200" w:line="183" w:lineRule="auto"/>
              <w:ind w:left="234"/>
              <w:rPr>
                <w:sz w:val="18"/>
                <w:szCs w:val="18"/>
              </w:rPr>
            </w:pPr>
            <w:r>
              <w:rPr>
                <w:spacing w:val="-2"/>
                <w:sz w:val="18"/>
                <w:szCs w:val="18"/>
              </w:rPr>
              <w:t>5L</w:t>
            </w:r>
          </w:p>
        </w:tc>
        <w:tc>
          <w:tcPr>
            <w:tcW w:w="923" w:type="dxa"/>
            <w:vAlign w:val="top"/>
          </w:tcPr>
          <w:p w14:paraId="4E0B96E9">
            <w:pPr>
              <w:pStyle w:val="6"/>
              <w:spacing w:before="194" w:line="232" w:lineRule="auto"/>
              <w:ind w:left="338"/>
              <w:rPr>
                <w:sz w:val="18"/>
                <w:szCs w:val="18"/>
              </w:rPr>
            </w:pPr>
            <w:r>
              <w:rPr>
                <w:spacing w:val="-3"/>
                <w:sz w:val="18"/>
                <w:szCs w:val="18"/>
              </w:rPr>
              <w:t>0.6</w:t>
            </w:r>
          </w:p>
        </w:tc>
        <w:tc>
          <w:tcPr>
            <w:tcW w:w="708" w:type="dxa"/>
            <w:vAlign w:val="top"/>
          </w:tcPr>
          <w:p w14:paraId="258009CD">
            <w:pPr>
              <w:pStyle w:val="6"/>
              <w:spacing w:before="194" w:line="232" w:lineRule="auto"/>
              <w:ind w:left="189"/>
              <w:rPr>
                <w:sz w:val="18"/>
                <w:szCs w:val="18"/>
              </w:rPr>
            </w:pPr>
            <w:r>
              <w:rPr>
                <w:spacing w:val="-2"/>
                <w:sz w:val="18"/>
                <w:szCs w:val="18"/>
              </w:rPr>
              <w:t>6.82</w:t>
            </w:r>
          </w:p>
        </w:tc>
        <w:tc>
          <w:tcPr>
            <w:tcW w:w="850" w:type="dxa"/>
            <w:vAlign w:val="top"/>
          </w:tcPr>
          <w:p w14:paraId="38691B2D">
            <w:pPr>
              <w:pStyle w:val="6"/>
              <w:spacing w:before="194" w:line="232" w:lineRule="auto"/>
              <w:ind w:left="159"/>
              <w:rPr>
                <w:sz w:val="18"/>
                <w:szCs w:val="18"/>
              </w:rPr>
            </w:pPr>
            <w:r>
              <w:rPr>
                <w:spacing w:val="-2"/>
                <w:sz w:val="18"/>
                <w:szCs w:val="18"/>
              </w:rPr>
              <w:t>0.040L</w:t>
            </w:r>
          </w:p>
        </w:tc>
        <w:tc>
          <w:tcPr>
            <w:tcW w:w="761" w:type="dxa"/>
            <w:vAlign w:val="top"/>
          </w:tcPr>
          <w:p w14:paraId="182F1D4D">
            <w:pPr>
              <w:pStyle w:val="6"/>
              <w:spacing w:before="194" w:line="232" w:lineRule="auto"/>
              <w:ind w:left="125"/>
              <w:rPr>
                <w:sz w:val="18"/>
                <w:szCs w:val="18"/>
              </w:rPr>
            </w:pPr>
            <w:r>
              <w:rPr>
                <w:spacing w:val="-2"/>
                <w:sz w:val="18"/>
                <w:szCs w:val="18"/>
              </w:rPr>
              <w:t>0.2208</w:t>
            </w:r>
          </w:p>
        </w:tc>
        <w:tc>
          <w:tcPr>
            <w:tcW w:w="654" w:type="dxa"/>
            <w:vAlign w:val="top"/>
          </w:tcPr>
          <w:p w14:paraId="5831B182">
            <w:pPr>
              <w:pStyle w:val="6"/>
              <w:spacing w:before="194" w:line="232" w:lineRule="auto"/>
              <w:ind w:left="73"/>
              <w:rPr>
                <w:sz w:val="18"/>
                <w:szCs w:val="18"/>
              </w:rPr>
            </w:pPr>
            <w:r>
              <w:rPr>
                <w:spacing w:val="-2"/>
                <w:sz w:val="18"/>
                <w:szCs w:val="18"/>
              </w:rPr>
              <w:t>0.0050</w:t>
            </w:r>
          </w:p>
        </w:tc>
        <w:tc>
          <w:tcPr>
            <w:tcW w:w="708" w:type="dxa"/>
            <w:vAlign w:val="top"/>
          </w:tcPr>
          <w:p w14:paraId="35432820">
            <w:pPr>
              <w:pStyle w:val="6"/>
              <w:spacing w:before="194" w:line="232" w:lineRule="auto"/>
              <w:ind w:left="91"/>
              <w:rPr>
                <w:sz w:val="18"/>
                <w:szCs w:val="18"/>
              </w:rPr>
            </w:pPr>
            <w:r>
              <w:rPr>
                <w:spacing w:val="-2"/>
                <w:sz w:val="18"/>
                <w:szCs w:val="18"/>
              </w:rPr>
              <w:t>0.009L</w:t>
            </w:r>
          </w:p>
        </w:tc>
        <w:tc>
          <w:tcPr>
            <w:tcW w:w="707" w:type="dxa"/>
            <w:vAlign w:val="top"/>
          </w:tcPr>
          <w:p w14:paraId="2B46006C">
            <w:pPr>
              <w:pStyle w:val="6"/>
              <w:spacing w:before="194" w:line="232" w:lineRule="auto"/>
              <w:ind w:left="148"/>
              <w:rPr>
                <w:sz w:val="18"/>
                <w:szCs w:val="18"/>
              </w:rPr>
            </w:pPr>
            <w:r>
              <w:rPr>
                <w:spacing w:val="-2"/>
                <w:sz w:val="18"/>
                <w:szCs w:val="18"/>
              </w:rPr>
              <w:t>0.002</w:t>
            </w:r>
          </w:p>
        </w:tc>
        <w:tc>
          <w:tcPr>
            <w:tcW w:w="766" w:type="dxa"/>
            <w:vAlign w:val="top"/>
          </w:tcPr>
          <w:p w14:paraId="214554AB">
            <w:pPr>
              <w:pStyle w:val="6"/>
              <w:spacing w:before="194" w:line="232" w:lineRule="auto"/>
              <w:ind w:left="228"/>
              <w:rPr>
                <w:sz w:val="18"/>
                <w:szCs w:val="18"/>
              </w:rPr>
            </w:pPr>
            <w:r>
              <w:rPr>
                <w:spacing w:val="-6"/>
                <w:sz w:val="18"/>
                <w:szCs w:val="18"/>
              </w:rPr>
              <w:t>1.0L</w:t>
            </w:r>
          </w:p>
        </w:tc>
        <w:tc>
          <w:tcPr>
            <w:tcW w:w="595" w:type="dxa"/>
            <w:vAlign w:val="top"/>
          </w:tcPr>
          <w:p w14:paraId="78B3B788">
            <w:pPr>
              <w:pStyle w:val="6"/>
              <w:spacing w:before="194" w:line="232" w:lineRule="auto"/>
              <w:ind w:left="187"/>
              <w:rPr>
                <w:sz w:val="18"/>
                <w:szCs w:val="18"/>
              </w:rPr>
            </w:pPr>
            <w:r>
              <w:rPr>
                <w:spacing w:val="-4"/>
                <w:sz w:val="18"/>
                <w:szCs w:val="18"/>
              </w:rPr>
              <w:t>8.6</w:t>
            </w:r>
          </w:p>
        </w:tc>
        <w:tc>
          <w:tcPr>
            <w:tcW w:w="955" w:type="dxa"/>
            <w:vAlign w:val="top"/>
          </w:tcPr>
          <w:p w14:paraId="28505217">
            <w:pPr>
              <w:pStyle w:val="6"/>
              <w:spacing w:before="194" w:line="232" w:lineRule="auto"/>
              <w:ind w:left="388"/>
              <w:rPr>
                <w:sz w:val="18"/>
                <w:szCs w:val="18"/>
              </w:rPr>
            </w:pPr>
            <w:r>
              <w:rPr>
                <w:spacing w:val="-2"/>
                <w:sz w:val="18"/>
                <w:szCs w:val="18"/>
              </w:rPr>
              <w:t>75</w:t>
            </w:r>
          </w:p>
        </w:tc>
        <w:tc>
          <w:tcPr>
            <w:tcW w:w="506" w:type="dxa"/>
            <w:vAlign w:val="top"/>
          </w:tcPr>
          <w:p w14:paraId="44E538EB">
            <w:pPr>
              <w:pStyle w:val="6"/>
              <w:spacing w:before="194" w:line="232" w:lineRule="auto"/>
              <w:ind w:left="161"/>
              <w:rPr>
                <w:sz w:val="18"/>
                <w:szCs w:val="18"/>
              </w:rPr>
            </w:pPr>
            <w:r>
              <w:rPr>
                <w:spacing w:val="-1"/>
                <w:sz w:val="18"/>
                <w:szCs w:val="18"/>
              </w:rPr>
              <w:t>25</w:t>
            </w:r>
          </w:p>
        </w:tc>
        <w:tc>
          <w:tcPr>
            <w:tcW w:w="707" w:type="dxa"/>
            <w:vAlign w:val="top"/>
          </w:tcPr>
          <w:p w14:paraId="72AC88DD">
            <w:pPr>
              <w:pStyle w:val="6"/>
              <w:spacing w:before="194" w:line="232" w:lineRule="auto"/>
              <w:ind w:left="212"/>
              <w:rPr>
                <w:sz w:val="18"/>
                <w:szCs w:val="18"/>
              </w:rPr>
            </w:pPr>
            <w:r>
              <w:rPr>
                <w:spacing w:val="-6"/>
                <w:sz w:val="18"/>
                <w:szCs w:val="18"/>
              </w:rPr>
              <w:t>1.06</w:t>
            </w:r>
          </w:p>
        </w:tc>
        <w:tc>
          <w:tcPr>
            <w:tcW w:w="708" w:type="dxa"/>
            <w:vAlign w:val="top"/>
          </w:tcPr>
          <w:p w14:paraId="5F6553E7">
            <w:pPr>
              <w:pStyle w:val="6"/>
              <w:spacing w:before="194" w:line="232" w:lineRule="auto"/>
              <w:ind w:left="99"/>
              <w:rPr>
                <w:sz w:val="18"/>
                <w:szCs w:val="18"/>
              </w:rPr>
            </w:pPr>
            <w:r>
              <w:rPr>
                <w:spacing w:val="-2"/>
                <w:sz w:val="18"/>
                <w:szCs w:val="18"/>
              </w:rPr>
              <w:t>0.002L</w:t>
            </w:r>
          </w:p>
        </w:tc>
        <w:tc>
          <w:tcPr>
            <w:tcW w:w="663" w:type="dxa"/>
            <w:vAlign w:val="top"/>
          </w:tcPr>
          <w:p w14:paraId="271C0420">
            <w:pPr>
              <w:pStyle w:val="6"/>
              <w:spacing w:before="194" w:line="232" w:lineRule="auto"/>
              <w:ind w:left="78"/>
              <w:rPr>
                <w:sz w:val="18"/>
                <w:szCs w:val="18"/>
              </w:rPr>
            </w:pPr>
            <w:r>
              <w:rPr>
                <w:spacing w:val="-2"/>
                <w:sz w:val="18"/>
                <w:szCs w:val="18"/>
              </w:rPr>
              <w:t>0.050L</w:t>
            </w:r>
          </w:p>
        </w:tc>
        <w:tc>
          <w:tcPr>
            <w:tcW w:w="664" w:type="dxa"/>
            <w:vAlign w:val="top"/>
          </w:tcPr>
          <w:p w14:paraId="3440805E">
            <w:pPr>
              <w:pStyle w:val="6"/>
              <w:spacing w:before="194" w:line="232" w:lineRule="auto"/>
              <w:ind w:left="79"/>
              <w:rPr>
                <w:sz w:val="18"/>
                <w:szCs w:val="18"/>
              </w:rPr>
            </w:pPr>
            <w:r>
              <w:rPr>
                <w:spacing w:val="-2"/>
                <w:sz w:val="18"/>
                <w:szCs w:val="18"/>
              </w:rPr>
              <w:t>0.001L</w:t>
            </w:r>
          </w:p>
        </w:tc>
        <w:tc>
          <w:tcPr>
            <w:tcW w:w="782" w:type="dxa"/>
            <w:vAlign w:val="top"/>
          </w:tcPr>
          <w:p w14:paraId="1052BE21">
            <w:pPr>
              <w:pStyle w:val="6"/>
              <w:spacing w:before="194" w:line="232" w:lineRule="auto"/>
              <w:ind w:left="93"/>
              <w:rPr>
                <w:sz w:val="18"/>
                <w:szCs w:val="18"/>
              </w:rPr>
            </w:pPr>
            <w:r>
              <w:rPr>
                <w:spacing w:val="-1"/>
                <w:sz w:val="18"/>
                <w:szCs w:val="18"/>
              </w:rPr>
              <w:t>0.0005L</w:t>
            </w:r>
          </w:p>
        </w:tc>
        <w:tc>
          <w:tcPr>
            <w:tcW w:w="663" w:type="dxa"/>
            <w:vAlign w:val="top"/>
          </w:tcPr>
          <w:p w14:paraId="79F95BB2">
            <w:pPr>
              <w:pStyle w:val="6"/>
              <w:spacing w:before="194" w:line="232" w:lineRule="auto"/>
              <w:ind w:left="81"/>
              <w:rPr>
                <w:sz w:val="18"/>
                <w:szCs w:val="18"/>
              </w:rPr>
            </w:pPr>
            <w:r>
              <w:rPr>
                <w:spacing w:val="-2"/>
                <w:sz w:val="18"/>
                <w:szCs w:val="18"/>
              </w:rPr>
              <w:t>0.004L</w:t>
            </w:r>
          </w:p>
        </w:tc>
        <w:tc>
          <w:tcPr>
            <w:tcW w:w="737" w:type="dxa"/>
            <w:vAlign w:val="top"/>
          </w:tcPr>
          <w:p w14:paraId="5495FC53">
            <w:pPr>
              <w:pStyle w:val="6"/>
              <w:spacing w:before="194" w:line="232" w:lineRule="auto"/>
              <w:ind w:left="74"/>
              <w:rPr>
                <w:sz w:val="18"/>
                <w:szCs w:val="18"/>
              </w:rPr>
            </w:pPr>
            <w:r>
              <w:rPr>
                <w:spacing w:val="-1"/>
                <w:sz w:val="18"/>
                <w:szCs w:val="18"/>
              </w:rPr>
              <w:t>0.0025L</w:t>
            </w:r>
          </w:p>
        </w:tc>
        <w:tc>
          <w:tcPr>
            <w:tcW w:w="737" w:type="dxa"/>
            <w:vAlign w:val="top"/>
          </w:tcPr>
          <w:p w14:paraId="22ACED5D">
            <w:pPr>
              <w:pStyle w:val="6"/>
              <w:spacing w:before="194" w:line="232" w:lineRule="auto"/>
              <w:ind w:left="75"/>
              <w:rPr>
                <w:sz w:val="18"/>
                <w:szCs w:val="18"/>
              </w:rPr>
            </w:pPr>
            <w:r>
              <w:rPr>
                <w:spacing w:val="-1"/>
                <w:sz w:val="18"/>
                <w:szCs w:val="18"/>
              </w:rPr>
              <w:t>0.0001L</w:t>
            </w:r>
          </w:p>
        </w:tc>
        <w:tc>
          <w:tcPr>
            <w:tcW w:w="754" w:type="dxa"/>
            <w:vAlign w:val="top"/>
          </w:tcPr>
          <w:p w14:paraId="2C02556E">
            <w:pPr>
              <w:pStyle w:val="6"/>
              <w:spacing w:before="194" w:line="232" w:lineRule="auto"/>
              <w:ind w:left="84"/>
              <w:rPr>
                <w:sz w:val="18"/>
                <w:szCs w:val="18"/>
              </w:rPr>
            </w:pPr>
            <w:r>
              <w:rPr>
                <w:spacing w:val="-1"/>
                <w:sz w:val="18"/>
                <w:szCs w:val="18"/>
              </w:rPr>
              <w:t>0.0004L</w:t>
            </w:r>
          </w:p>
        </w:tc>
        <w:tc>
          <w:tcPr>
            <w:tcW w:w="667" w:type="dxa"/>
            <w:vAlign w:val="top"/>
          </w:tcPr>
          <w:p w14:paraId="6071D71B">
            <w:pPr>
              <w:pStyle w:val="6"/>
              <w:spacing w:before="194" w:line="232" w:lineRule="auto"/>
              <w:ind w:left="86"/>
              <w:rPr>
                <w:sz w:val="18"/>
                <w:szCs w:val="18"/>
              </w:rPr>
            </w:pPr>
            <w:r>
              <w:rPr>
                <w:spacing w:val="-2"/>
                <w:sz w:val="18"/>
                <w:szCs w:val="18"/>
              </w:rPr>
              <w:t>0.002L</w:t>
            </w:r>
          </w:p>
        </w:tc>
        <w:tc>
          <w:tcPr>
            <w:tcW w:w="544" w:type="dxa"/>
            <w:vAlign w:val="top"/>
          </w:tcPr>
          <w:p w14:paraId="34592CD8">
            <w:pPr>
              <w:pStyle w:val="6"/>
              <w:spacing w:before="194" w:line="232" w:lineRule="auto"/>
              <w:ind w:left="117"/>
              <w:rPr>
                <w:sz w:val="18"/>
                <w:szCs w:val="18"/>
              </w:rPr>
            </w:pPr>
            <w:r>
              <w:rPr>
                <w:spacing w:val="-2"/>
                <w:sz w:val="18"/>
                <w:szCs w:val="18"/>
              </w:rPr>
              <w:t>0.2L</w:t>
            </w:r>
          </w:p>
        </w:tc>
        <w:tc>
          <w:tcPr>
            <w:tcW w:w="434" w:type="dxa"/>
            <w:vAlign w:val="top"/>
          </w:tcPr>
          <w:p w14:paraId="048E4941">
            <w:pPr>
              <w:pStyle w:val="6"/>
              <w:spacing w:before="194" w:line="232" w:lineRule="auto"/>
              <w:ind w:left="62"/>
              <w:rPr>
                <w:sz w:val="18"/>
                <w:szCs w:val="18"/>
              </w:rPr>
            </w:pPr>
            <w:r>
              <w:rPr>
                <w:spacing w:val="-1"/>
                <w:sz w:val="18"/>
                <w:szCs w:val="18"/>
              </w:rPr>
              <w:t>0.5L</w:t>
            </w:r>
          </w:p>
        </w:tc>
        <w:tc>
          <w:tcPr>
            <w:tcW w:w="1015" w:type="dxa"/>
            <w:vAlign w:val="top"/>
          </w:tcPr>
          <w:p w14:paraId="642598AB">
            <w:pPr>
              <w:pStyle w:val="6"/>
              <w:spacing w:before="194" w:line="232" w:lineRule="auto"/>
              <w:ind w:left="489"/>
              <w:rPr>
                <w:sz w:val="18"/>
                <w:szCs w:val="18"/>
              </w:rPr>
            </w:pPr>
            <w:r>
              <w:rPr>
                <w:sz w:val="18"/>
                <w:szCs w:val="18"/>
              </w:rPr>
              <w:t>/</w:t>
            </w:r>
          </w:p>
        </w:tc>
        <w:tc>
          <w:tcPr>
            <w:tcW w:w="721" w:type="dxa"/>
            <w:tcBorders>
              <w:right w:val="single" w:color="000000" w:sz="12" w:space="0"/>
            </w:tcBorders>
            <w:vAlign w:val="top"/>
          </w:tcPr>
          <w:p w14:paraId="0CBA2D57">
            <w:pPr>
              <w:pStyle w:val="6"/>
              <w:spacing w:before="194" w:line="232" w:lineRule="auto"/>
              <w:ind w:left="278"/>
              <w:rPr>
                <w:sz w:val="18"/>
                <w:szCs w:val="18"/>
              </w:rPr>
            </w:pPr>
            <w:r>
              <w:rPr>
                <w:spacing w:val="-2"/>
                <w:sz w:val="18"/>
                <w:szCs w:val="18"/>
              </w:rPr>
              <w:t>30</w:t>
            </w:r>
          </w:p>
        </w:tc>
      </w:tr>
      <w:tr w14:paraId="6CEF8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492" w:type="dxa"/>
            <w:vMerge w:val="restart"/>
            <w:tcBorders>
              <w:left w:val="single" w:color="000000" w:sz="12" w:space="0"/>
              <w:bottom w:val="nil"/>
            </w:tcBorders>
            <w:vAlign w:val="top"/>
          </w:tcPr>
          <w:p w14:paraId="2FE8B71F">
            <w:pPr>
              <w:spacing w:line="255" w:lineRule="auto"/>
              <w:rPr>
                <w:rFonts w:ascii="Arial"/>
                <w:sz w:val="21"/>
              </w:rPr>
            </w:pPr>
          </w:p>
          <w:p w14:paraId="57B07EF8">
            <w:pPr>
              <w:spacing w:line="255" w:lineRule="auto"/>
              <w:rPr>
                <w:rFonts w:ascii="Arial"/>
                <w:sz w:val="21"/>
              </w:rPr>
            </w:pPr>
          </w:p>
          <w:p w14:paraId="744A5C9C">
            <w:pPr>
              <w:spacing w:line="255" w:lineRule="auto"/>
              <w:rPr>
                <w:rFonts w:ascii="Arial"/>
                <w:sz w:val="21"/>
              </w:rPr>
            </w:pPr>
          </w:p>
          <w:p w14:paraId="418D4B7C">
            <w:pPr>
              <w:spacing w:line="256" w:lineRule="auto"/>
              <w:rPr>
                <w:rFonts w:ascii="Arial"/>
                <w:sz w:val="21"/>
              </w:rPr>
            </w:pPr>
          </w:p>
          <w:p w14:paraId="29D952FA">
            <w:pPr>
              <w:spacing w:line="256" w:lineRule="auto"/>
              <w:rPr>
                <w:rFonts w:ascii="Arial"/>
                <w:sz w:val="21"/>
              </w:rPr>
            </w:pPr>
          </w:p>
          <w:p w14:paraId="14472B70">
            <w:pPr>
              <w:spacing w:line="256" w:lineRule="auto"/>
              <w:rPr>
                <w:rFonts w:ascii="Arial"/>
                <w:sz w:val="21"/>
              </w:rPr>
            </w:pPr>
          </w:p>
          <w:p w14:paraId="1006DE67">
            <w:pPr>
              <w:spacing w:line="256" w:lineRule="auto"/>
              <w:rPr>
                <w:rFonts w:ascii="Arial"/>
                <w:sz w:val="21"/>
              </w:rPr>
            </w:pPr>
          </w:p>
          <w:p w14:paraId="383754C7">
            <w:pPr>
              <w:spacing w:line="256" w:lineRule="auto"/>
              <w:rPr>
                <w:rFonts w:ascii="Arial"/>
                <w:sz w:val="21"/>
              </w:rPr>
            </w:pPr>
          </w:p>
          <w:p w14:paraId="040DC07C">
            <w:pPr>
              <w:pStyle w:val="6"/>
              <w:spacing w:before="61"/>
              <w:ind w:left="51" w:right="68"/>
              <w:jc w:val="both"/>
              <w:rPr>
                <w:rFonts w:ascii="等线" w:hAnsi="等线" w:eastAsia="等线" w:cs="等线"/>
                <w:sz w:val="18"/>
                <w:szCs w:val="18"/>
              </w:rPr>
            </w:pPr>
            <w:r>
              <w:rPr>
                <w:spacing w:val="-3"/>
                <w:sz w:val="18"/>
                <w:szCs w:val="18"/>
              </w:rPr>
              <w:t>5#</w:t>
            </w:r>
            <w:r>
              <w:rPr>
                <w:rFonts w:ascii="等线" w:hAnsi="等线" w:eastAsia="等线" w:cs="等线"/>
                <w:spacing w:val="-3"/>
                <w:sz w:val="18"/>
                <w:szCs w:val="18"/>
              </w:rPr>
              <w:t>支</w:t>
            </w:r>
            <w:r>
              <w:rPr>
                <w:rFonts w:ascii="等线" w:hAnsi="等线" w:eastAsia="等线" w:cs="等线"/>
                <w:spacing w:val="-5"/>
                <w:sz w:val="18"/>
                <w:szCs w:val="18"/>
              </w:rPr>
              <w:t>洞生活饮用水</w:t>
            </w:r>
          </w:p>
          <w:p w14:paraId="78BBEA86">
            <w:pPr>
              <w:spacing w:before="1" w:line="245" w:lineRule="auto"/>
              <w:ind w:left="140" w:right="68" w:hanging="93"/>
              <w:rPr>
                <w:rFonts w:ascii="等线" w:hAnsi="等线" w:eastAsia="等线" w:cs="等线"/>
                <w:sz w:val="18"/>
                <w:szCs w:val="18"/>
              </w:rPr>
            </w:pPr>
            <w:r>
              <w:rPr>
                <w:rFonts w:ascii="等线" w:hAnsi="等线" w:eastAsia="等线" w:cs="等线"/>
                <w:spacing w:val="-3"/>
                <w:sz w:val="18"/>
                <w:szCs w:val="18"/>
              </w:rPr>
              <w:t>供水</w:t>
            </w:r>
            <w:r>
              <w:rPr>
                <w:rFonts w:ascii="等线" w:hAnsi="等线" w:eastAsia="等线" w:cs="等线"/>
                <w:sz w:val="18"/>
                <w:szCs w:val="18"/>
              </w:rPr>
              <w:t>处</w:t>
            </w:r>
          </w:p>
        </w:tc>
        <w:tc>
          <w:tcPr>
            <w:tcW w:w="272" w:type="dxa"/>
            <w:vMerge w:val="restart"/>
            <w:tcBorders>
              <w:bottom w:val="nil"/>
            </w:tcBorders>
            <w:vAlign w:val="top"/>
          </w:tcPr>
          <w:p w14:paraId="7CFADC30">
            <w:pPr>
              <w:spacing w:line="298" w:lineRule="auto"/>
              <w:rPr>
                <w:rFonts w:ascii="Arial"/>
                <w:sz w:val="21"/>
              </w:rPr>
            </w:pPr>
          </w:p>
          <w:p w14:paraId="62A1C25E">
            <w:pPr>
              <w:pStyle w:val="6"/>
              <w:spacing w:before="51" w:line="234" w:lineRule="auto"/>
              <w:ind w:left="33" w:right="55"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004" w:type="dxa"/>
            <w:vAlign w:val="top"/>
          </w:tcPr>
          <w:p w14:paraId="54BB5832">
            <w:pPr>
              <w:pStyle w:val="6"/>
              <w:spacing w:before="140" w:line="232" w:lineRule="auto"/>
              <w:ind w:left="122"/>
              <w:rPr>
                <w:sz w:val="18"/>
                <w:szCs w:val="18"/>
              </w:rPr>
            </w:pPr>
            <w:r>
              <w:rPr>
                <w:spacing w:val="-1"/>
                <w:sz w:val="18"/>
                <w:szCs w:val="18"/>
              </w:rPr>
              <w:t>2019/1/15</w:t>
            </w:r>
          </w:p>
        </w:tc>
        <w:tc>
          <w:tcPr>
            <w:tcW w:w="686" w:type="dxa"/>
            <w:vAlign w:val="top"/>
          </w:tcPr>
          <w:p w14:paraId="7CE78093">
            <w:pPr>
              <w:pStyle w:val="6"/>
              <w:spacing w:before="146" w:line="183" w:lineRule="auto"/>
              <w:ind w:left="234"/>
              <w:rPr>
                <w:sz w:val="18"/>
                <w:szCs w:val="18"/>
              </w:rPr>
            </w:pPr>
            <w:r>
              <w:rPr>
                <w:spacing w:val="-2"/>
                <w:sz w:val="18"/>
                <w:szCs w:val="18"/>
              </w:rPr>
              <w:t>5L</w:t>
            </w:r>
          </w:p>
        </w:tc>
        <w:tc>
          <w:tcPr>
            <w:tcW w:w="923" w:type="dxa"/>
            <w:vAlign w:val="top"/>
          </w:tcPr>
          <w:p w14:paraId="7FA03261">
            <w:pPr>
              <w:pStyle w:val="6"/>
              <w:spacing w:before="140" w:line="232" w:lineRule="auto"/>
              <w:ind w:left="338"/>
              <w:rPr>
                <w:sz w:val="18"/>
                <w:szCs w:val="18"/>
              </w:rPr>
            </w:pPr>
            <w:r>
              <w:rPr>
                <w:spacing w:val="-3"/>
                <w:sz w:val="18"/>
                <w:szCs w:val="18"/>
              </w:rPr>
              <w:t>0.7</w:t>
            </w:r>
          </w:p>
        </w:tc>
        <w:tc>
          <w:tcPr>
            <w:tcW w:w="708" w:type="dxa"/>
            <w:vAlign w:val="top"/>
          </w:tcPr>
          <w:p w14:paraId="12CDB76E">
            <w:pPr>
              <w:pStyle w:val="6"/>
              <w:spacing w:before="140" w:line="232" w:lineRule="auto"/>
              <w:ind w:left="188"/>
              <w:rPr>
                <w:sz w:val="18"/>
                <w:szCs w:val="18"/>
              </w:rPr>
            </w:pPr>
            <w:r>
              <w:rPr>
                <w:spacing w:val="-2"/>
                <w:sz w:val="18"/>
                <w:szCs w:val="18"/>
              </w:rPr>
              <w:t>7.03</w:t>
            </w:r>
          </w:p>
        </w:tc>
        <w:tc>
          <w:tcPr>
            <w:tcW w:w="850" w:type="dxa"/>
            <w:vAlign w:val="top"/>
          </w:tcPr>
          <w:p w14:paraId="4C97E867">
            <w:pPr>
              <w:pStyle w:val="6"/>
              <w:spacing w:before="140" w:line="232" w:lineRule="auto"/>
              <w:ind w:left="159"/>
              <w:rPr>
                <w:sz w:val="18"/>
                <w:szCs w:val="18"/>
              </w:rPr>
            </w:pPr>
            <w:r>
              <w:rPr>
                <w:spacing w:val="-2"/>
                <w:sz w:val="18"/>
                <w:szCs w:val="18"/>
              </w:rPr>
              <w:t>0.040L</w:t>
            </w:r>
          </w:p>
        </w:tc>
        <w:tc>
          <w:tcPr>
            <w:tcW w:w="761" w:type="dxa"/>
            <w:vAlign w:val="top"/>
          </w:tcPr>
          <w:p w14:paraId="34A2E054">
            <w:pPr>
              <w:pStyle w:val="6"/>
              <w:spacing w:before="140" w:line="232" w:lineRule="auto"/>
              <w:ind w:left="125"/>
              <w:rPr>
                <w:sz w:val="18"/>
                <w:szCs w:val="18"/>
              </w:rPr>
            </w:pPr>
            <w:r>
              <w:rPr>
                <w:spacing w:val="-2"/>
                <w:sz w:val="18"/>
                <w:szCs w:val="18"/>
              </w:rPr>
              <w:t>0.0369</w:t>
            </w:r>
          </w:p>
        </w:tc>
        <w:tc>
          <w:tcPr>
            <w:tcW w:w="654" w:type="dxa"/>
            <w:vAlign w:val="top"/>
          </w:tcPr>
          <w:p w14:paraId="54D7AB78">
            <w:pPr>
              <w:pStyle w:val="6"/>
              <w:spacing w:before="140" w:line="232" w:lineRule="auto"/>
              <w:ind w:left="73"/>
              <w:rPr>
                <w:sz w:val="18"/>
                <w:szCs w:val="18"/>
              </w:rPr>
            </w:pPr>
            <w:r>
              <w:rPr>
                <w:spacing w:val="-2"/>
                <w:sz w:val="18"/>
                <w:szCs w:val="18"/>
              </w:rPr>
              <w:t>0.0062</w:t>
            </w:r>
          </w:p>
        </w:tc>
        <w:tc>
          <w:tcPr>
            <w:tcW w:w="708" w:type="dxa"/>
            <w:vAlign w:val="top"/>
          </w:tcPr>
          <w:p w14:paraId="2BB6477F">
            <w:pPr>
              <w:pStyle w:val="6"/>
              <w:spacing w:before="140" w:line="232" w:lineRule="auto"/>
              <w:ind w:left="91"/>
              <w:rPr>
                <w:sz w:val="18"/>
                <w:szCs w:val="18"/>
              </w:rPr>
            </w:pPr>
            <w:r>
              <w:rPr>
                <w:spacing w:val="-2"/>
                <w:sz w:val="18"/>
                <w:szCs w:val="18"/>
              </w:rPr>
              <w:t>0.009L</w:t>
            </w:r>
          </w:p>
        </w:tc>
        <w:tc>
          <w:tcPr>
            <w:tcW w:w="707" w:type="dxa"/>
            <w:vAlign w:val="top"/>
          </w:tcPr>
          <w:p w14:paraId="3AE109E3">
            <w:pPr>
              <w:pStyle w:val="6"/>
              <w:spacing w:before="140" w:line="232" w:lineRule="auto"/>
              <w:ind w:left="148"/>
              <w:rPr>
                <w:sz w:val="18"/>
                <w:szCs w:val="18"/>
              </w:rPr>
            </w:pPr>
            <w:r>
              <w:rPr>
                <w:spacing w:val="-2"/>
                <w:sz w:val="18"/>
                <w:szCs w:val="18"/>
              </w:rPr>
              <w:t>0.043</w:t>
            </w:r>
          </w:p>
        </w:tc>
        <w:tc>
          <w:tcPr>
            <w:tcW w:w="766" w:type="dxa"/>
            <w:vAlign w:val="top"/>
          </w:tcPr>
          <w:p w14:paraId="6DA3720B">
            <w:pPr>
              <w:pStyle w:val="6"/>
              <w:spacing w:before="140" w:line="232" w:lineRule="auto"/>
              <w:ind w:left="266"/>
              <w:rPr>
                <w:sz w:val="18"/>
                <w:szCs w:val="18"/>
              </w:rPr>
            </w:pPr>
            <w:r>
              <w:rPr>
                <w:spacing w:val="-2"/>
                <w:sz w:val="18"/>
                <w:szCs w:val="18"/>
              </w:rPr>
              <w:t>2.2</w:t>
            </w:r>
          </w:p>
        </w:tc>
        <w:tc>
          <w:tcPr>
            <w:tcW w:w="595" w:type="dxa"/>
            <w:vAlign w:val="top"/>
          </w:tcPr>
          <w:p w14:paraId="2D4211CE">
            <w:pPr>
              <w:pStyle w:val="6"/>
              <w:spacing w:before="140" w:line="232" w:lineRule="auto"/>
              <w:ind w:left="184"/>
              <w:rPr>
                <w:sz w:val="18"/>
                <w:szCs w:val="18"/>
              </w:rPr>
            </w:pPr>
            <w:r>
              <w:rPr>
                <w:spacing w:val="-3"/>
                <w:sz w:val="18"/>
                <w:szCs w:val="18"/>
              </w:rPr>
              <w:t>9.6</w:t>
            </w:r>
          </w:p>
        </w:tc>
        <w:tc>
          <w:tcPr>
            <w:tcW w:w="955" w:type="dxa"/>
            <w:vAlign w:val="top"/>
          </w:tcPr>
          <w:p w14:paraId="3D9AAAF4">
            <w:pPr>
              <w:pStyle w:val="6"/>
              <w:spacing w:before="141" w:line="232" w:lineRule="auto"/>
              <w:ind w:left="384"/>
              <w:rPr>
                <w:sz w:val="18"/>
                <w:szCs w:val="18"/>
              </w:rPr>
            </w:pPr>
            <w:r>
              <w:rPr>
                <w:spacing w:val="-1"/>
                <w:sz w:val="18"/>
                <w:szCs w:val="18"/>
              </w:rPr>
              <w:t>46</w:t>
            </w:r>
          </w:p>
        </w:tc>
        <w:tc>
          <w:tcPr>
            <w:tcW w:w="506" w:type="dxa"/>
            <w:vAlign w:val="top"/>
          </w:tcPr>
          <w:p w14:paraId="7416B0A0">
            <w:pPr>
              <w:pStyle w:val="6"/>
              <w:spacing w:before="140" w:line="235" w:lineRule="auto"/>
              <w:ind w:left="161"/>
              <w:rPr>
                <w:sz w:val="18"/>
                <w:szCs w:val="18"/>
              </w:rPr>
            </w:pPr>
            <w:r>
              <w:rPr>
                <w:spacing w:val="-1"/>
                <w:sz w:val="18"/>
                <w:szCs w:val="18"/>
              </w:rPr>
              <w:t>22</w:t>
            </w:r>
          </w:p>
        </w:tc>
        <w:tc>
          <w:tcPr>
            <w:tcW w:w="707" w:type="dxa"/>
            <w:vAlign w:val="top"/>
          </w:tcPr>
          <w:p w14:paraId="683C7909">
            <w:pPr>
              <w:pStyle w:val="6"/>
              <w:spacing w:before="140" w:line="232" w:lineRule="auto"/>
              <w:ind w:left="212"/>
              <w:rPr>
                <w:sz w:val="18"/>
                <w:szCs w:val="18"/>
              </w:rPr>
            </w:pPr>
            <w:r>
              <w:rPr>
                <w:spacing w:val="-6"/>
                <w:sz w:val="18"/>
                <w:szCs w:val="18"/>
              </w:rPr>
              <w:t>1.20</w:t>
            </w:r>
          </w:p>
        </w:tc>
        <w:tc>
          <w:tcPr>
            <w:tcW w:w="708" w:type="dxa"/>
            <w:vAlign w:val="top"/>
          </w:tcPr>
          <w:p w14:paraId="6B05546E">
            <w:pPr>
              <w:pStyle w:val="6"/>
              <w:spacing w:before="140" w:line="232" w:lineRule="auto"/>
              <w:ind w:left="99"/>
              <w:rPr>
                <w:sz w:val="18"/>
                <w:szCs w:val="18"/>
              </w:rPr>
            </w:pPr>
            <w:r>
              <w:rPr>
                <w:spacing w:val="-2"/>
                <w:sz w:val="18"/>
                <w:szCs w:val="18"/>
              </w:rPr>
              <w:t>0.002L</w:t>
            </w:r>
          </w:p>
        </w:tc>
        <w:tc>
          <w:tcPr>
            <w:tcW w:w="663" w:type="dxa"/>
            <w:vAlign w:val="top"/>
          </w:tcPr>
          <w:p w14:paraId="2CBB3C0B">
            <w:pPr>
              <w:pStyle w:val="6"/>
              <w:spacing w:before="140" w:line="232" w:lineRule="auto"/>
              <w:ind w:left="134"/>
              <w:rPr>
                <w:sz w:val="18"/>
                <w:szCs w:val="18"/>
              </w:rPr>
            </w:pPr>
            <w:r>
              <w:rPr>
                <w:spacing w:val="-2"/>
                <w:sz w:val="18"/>
                <w:szCs w:val="18"/>
              </w:rPr>
              <w:t>0.075</w:t>
            </w:r>
          </w:p>
        </w:tc>
        <w:tc>
          <w:tcPr>
            <w:tcW w:w="664" w:type="dxa"/>
            <w:vAlign w:val="top"/>
          </w:tcPr>
          <w:p w14:paraId="68917806">
            <w:pPr>
              <w:pStyle w:val="6"/>
              <w:spacing w:before="140" w:line="232" w:lineRule="auto"/>
              <w:ind w:left="79"/>
              <w:rPr>
                <w:sz w:val="18"/>
                <w:szCs w:val="18"/>
              </w:rPr>
            </w:pPr>
            <w:r>
              <w:rPr>
                <w:spacing w:val="-2"/>
                <w:sz w:val="18"/>
                <w:szCs w:val="18"/>
              </w:rPr>
              <w:t>0.001L</w:t>
            </w:r>
          </w:p>
        </w:tc>
        <w:tc>
          <w:tcPr>
            <w:tcW w:w="782" w:type="dxa"/>
            <w:vAlign w:val="top"/>
          </w:tcPr>
          <w:p w14:paraId="74E3DB09">
            <w:pPr>
              <w:pStyle w:val="6"/>
              <w:spacing w:before="140" w:line="232" w:lineRule="auto"/>
              <w:ind w:left="93"/>
              <w:rPr>
                <w:sz w:val="18"/>
                <w:szCs w:val="18"/>
              </w:rPr>
            </w:pPr>
            <w:r>
              <w:rPr>
                <w:spacing w:val="-1"/>
                <w:sz w:val="18"/>
                <w:szCs w:val="18"/>
              </w:rPr>
              <w:t>0.0005L</w:t>
            </w:r>
          </w:p>
        </w:tc>
        <w:tc>
          <w:tcPr>
            <w:tcW w:w="663" w:type="dxa"/>
            <w:vAlign w:val="top"/>
          </w:tcPr>
          <w:p w14:paraId="21EB1DFB">
            <w:pPr>
              <w:pStyle w:val="6"/>
              <w:spacing w:before="140" w:line="232" w:lineRule="auto"/>
              <w:ind w:left="137"/>
              <w:rPr>
                <w:sz w:val="18"/>
                <w:szCs w:val="18"/>
              </w:rPr>
            </w:pPr>
            <w:r>
              <w:rPr>
                <w:spacing w:val="-2"/>
                <w:sz w:val="18"/>
                <w:szCs w:val="18"/>
              </w:rPr>
              <w:t>0.009</w:t>
            </w:r>
          </w:p>
        </w:tc>
        <w:tc>
          <w:tcPr>
            <w:tcW w:w="737" w:type="dxa"/>
            <w:vAlign w:val="top"/>
          </w:tcPr>
          <w:p w14:paraId="17E805A2">
            <w:pPr>
              <w:pStyle w:val="6"/>
              <w:spacing w:before="140" w:line="232" w:lineRule="auto"/>
              <w:ind w:left="74"/>
              <w:rPr>
                <w:sz w:val="18"/>
                <w:szCs w:val="18"/>
              </w:rPr>
            </w:pPr>
            <w:r>
              <w:rPr>
                <w:spacing w:val="-1"/>
                <w:sz w:val="18"/>
                <w:szCs w:val="18"/>
              </w:rPr>
              <w:t>0.0025L</w:t>
            </w:r>
          </w:p>
        </w:tc>
        <w:tc>
          <w:tcPr>
            <w:tcW w:w="737" w:type="dxa"/>
            <w:vAlign w:val="top"/>
          </w:tcPr>
          <w:p w14:paraId="4A2C183B">
            <w:pPr>
              <w:pStyle w:val="6"/>
              <w:spacing w:before="140" w:line="232" w:lineRule="auto"/>
              <w:ind w:left="130"/>
              <w:rPr>
                <w:sz w:val="18"/>
                <w:szCs w:val="18"/>
              </w:rPr>
            </w:pPr>
            <w:r>
              <w:rPr>
                <w:spacing w:val="-2"/>
                <w:sz w:val="18"/>
                <w:szCs w:val="18"/>
              </w:rPr>
              <w:t>0.0002</w:t>
            </w:r>
          </w:p>
        </w:tc>
        <w:tc>
          <w:tcPr>
            <w:tcW w:w="754" w:type="dxa"/>
            <w:vAlign w:val="top"/>
          </w:tcPr>
          <w:p w14:paraId="46B13FC0">
            <w:pPr>
              <w:pStyle w:val="6"/>
              <w:spacing w:before="140" w:line="232" w:lineRule="auto"/>
              <w:ind w:left="139"/>
              <w:rPr>
                <w:sz w:val="18"/>
                <w:szCs w:val="18"/>
              </w:rPr>
            </w:pPr>
            <w:r>
              <w:rPr>
                <w:spacing w:val="-2"/>
                <w:sz w:val="18"/>
                <w:szCs w:val="18"/>
              </w:rPr>
              <w:t>0.0014</w:t>
            </w:r>
          </w:p>
        </w:tc>
        <w:tc>
          <w:tcPr>
            <w:tcW w:w="667" w:type="dxa"/>
            <w:vAlign w:val="top"/>
          </w:tcPr>
          <w:p w14:paraId="1DA3FAA6">
            <w:pPr>
              <w:pStyle w:val="6"/>
              <w:spacing w:before="140" w:line="232" w:lineRule="auto"/>
              <w:ind w:left="86"/>
              <w:rPr>
                <w:sz w:val="18"/>
                <w:szCs w:val="18"/>
              </w:rPr>
            </w:pPr>
            <w:r>
              <w:rPr>
                <w:spacing w:val="-2"/>
                <w:sz w:val="18"/>
                <w:szCs w:val="18"/>
              </w:rPr>
              <w:t>0.002L</w:t>
            </w:r>
          </w:p>
        </w:tc>
        <w:tc>
          <w:tcPr>
            <w:tcW w:w="544" w:type="dxa"/>
            <w:vAlign w:val="top"/>
          </w:tcPr>
          <w:p w14:paraId="247D49A1">
            <w:pPr>
              <w:pStyle w:val="6"/>
              <w:spacing w:before="140" w:line="232" w:lineRule="auto"/>
              <w:ind w:left="71"/>
              <w:rPr>
                <w:sz w:val="18"/>
                <w:szCs w:val="18"/>
              </w:rPr>
            </w:pPr>
            <w:r>
              <w:rPr>
                <w:spacing w:val="-2"/>
                <w:sz w:val="18"/>
                <w:szCs w:val="18"/>
              </w:rPr>
              <w:t>0.05L</w:t>
            </w:r>
          </w:p>
        </w:tc>
        <w:tc>
          <w:tcPr>
            <w:tcW w:w="434" w:type="dxa"/>
            <w:vAlign w:val="top"/>
          </w:tcPr>
          <w:p w14:paraId="122D152B">
            <w:pPr>
              <w:pStyle w:val="6"/>
              <w:spacing w:before="140" w:line="232" w:lineRule="auto"/>
              <w:ind w:left="62"/>
              <w:rPr>
                <w:sz w:val="18"/>
                <w:szCs w:val="18"/>
              </w:rPr>
            </w:pPr>
            <w:r>
              <w:rPr>
                <w:spacing w:val="-2"/>
                <w:sz w:val="18"/>
                <w:szCs w:val="18"/>
              </w:rPr>
              <w:t>0.5L</w:t>
            </w:r>
          </w:p>
        </w:tc>
        <w:tc>
          <w:tcPr>
            <w:tcW w:w="1015" w:type="dxa"/>
            <w:vAlign w:val="top"/>
          </w:tcPr>
          <w:p w14:paraId="7BC9CD6D">
            <w:pPr>
              <w:pStyle w:val="6"/>
              <w:spacing w:before="140" w:line="232" w:lineRule="auto"/>
              <w:ind w:left="489"/>
              <w:rPr>
                <w:sz w:val="18"/>
                <w:szCs w:val="18"/>
              </w:rPr>
            </w:pPr>
            <w:r>
              <w:rPr>
                <w:sz w:val="18"/>
                <w:szCs w:val="18"/>
              </w:rPr>
              <w:t>/</w:t>
            </w:r>
          </w:p>
        </w:tc>
        <w:tc>
          <w:tcPr>
            <w:tcW w:w="721" w:type="dxa"/>
            <w:tcBorders>
              <w:right w:val="single" w:color="000000" w:sz="12" w:space="0"/>
            </w:tcBorders>
            <w:vAlign w:val="top"/>
          </w:tcPr>
          <w:p w14:paraId="0D089D92">
            <w:pPr>
              <w:pStyle w:val="6"/>
              <w:spacing w:before="141" w:line="232" w:lineRule="auto"/>
              <w:ind w:left="282"/>
              <w:rPr>
                <w:sz w:val="18"/>
                <w:szCs w:val="18"/>
              </w:rPr>
            </w:pPr>
            <w:r>
              <w:rPr>
                <w:spacing w:val="-3"/>
                <w:sz w:val="18"/>
                <w:szCs w:val="18"/>
              </w:rPr>
              <w:t>80</w:t>
            </w:r>
          </w:p>
        </w:tc>
      </w:tr>
      <w:tr w14:paraId="5C20A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492" w:type="dxa"/>
            <w:vMerge w:val="continue"/>
            <w:tcBorders>
              <w:top w:val="nil"/>
              <w:left w:val="single" w:color="000000" w:sz="12" w:space="0"/>
              <w:bottom w:val="nil"/>
            </w:tcBorders>
            <w:vAlign w:val="top"/>
          </w:tcPr>
          <w:p w14:paraId="06EA0692">
            <w:pPr>
              <w:rPr>
                <w:rFonts w:ascii="Arial"/>
                <w:sz w:val="21"/>
              </w:rPr>
            </w:pPr>
          </w:p>
        </w:tc>
        <w:tc>
          <w:tcPr>
            <w:tcW w:w="272" w:type="dxa"/>
            <w:vMerge w:val="continue"/>
            <w:tcBorders>
              <w:top w:val="nil"/>
              <w:bottom w:val="nil"/>
            </w:tcBorders>
            <w:vAlign w:val="top"/>
          </w:tcPr>
          <w:p w14:paraId="227BBFAE">
            <w:pPr>
              <w:rPr>
                <w:rFonts w:ascii="Arial"/>
                <w:sz w:val="21"/>
              </w:rPr>
            </w:pPr>
          </w:p>
        </w:tc>
        <w:tc>
          <w:tcPr>
            <w:tcW w:w="1004" w:type="dxa"/>
            <w:vAlign w:val="top"/>
          </w:tcPr>
          <w:p w14:paraId="054F6B80">
            <w:pPr>
              <w:pStyle w:val="6"/>
              <w:spacing w:before="145" w:line="232" w:lineRule="auto"/>
              <w:ind w:left="122"/>
              <w:rPr>
                <w:sz w:val="18"/>
                <w:szCs w:val="18"/>
              </w:rPr>
            </w:pPr>
            <w:r>
              <w:rPr>
                <w:spacing w:val="-1"/>
                <w:sz w:val="18"/>
                <w:szCs w:val="18"/>
              </w:rPr>
              <w:t>2019/1/16</w:t>
            </w:r>
          </w:p>
        </w:tc>
        <w:tc>
          <w:tcPr>
            <w:tcW w:w="686" w:type="dxa"/>
            <w:vAlign w:val="top"/>
          </w:tcPr>
          <w:p w14:paraId="19A9601B">
            <w:pPr>
              <w:pStyle w:val="6"/>
              <w:spacing w:before="150" w:line="183" w:lineRule="auto"/>
              <w:ind w:left="234"/>
              <w:rPr>
                <w:sz w:val="18"/>
                <w:szCs w:val="18"/>
              </w:rPr>
            </w:pPr>
            <w:r>
              <w:rPr>
                <w:spacing w:val="-2"/>
                <w:sz w:val="18"/>
                <w:szCs w:val="18"/>
              </w:rPr>
              <w:t>5L</w:t>
            </w:r>
          </w:p>
        </w:tc>
        <w:tc>
          <w:tcPr>
            <w:tcW w:w="923" w:type="dxa"/>
            <w:vAlign w:val="top"/>
          </w:tcPr>
          <w:p w14:paraId="7F5DCC76">
            <w:pPr>
              <w:pStyle w:val="6"/>
              <w:spacing w:before="145" w:line="232" w:lineRule="auto"/>
              <w:ind w:left="338"/>
              <w:rPr>
                <w:sz w:val="18"/>
                <w:szCs w:val="18"/>
              </w:rPr>
            </w:pPr>
            <w:r>
              <w:rPr>
                <w:spacing w:val="-3"/>
                <w:sz w:val="18"/>
                <w:szCs w:val="18"/>
              </w:rPr>
              <w:t>0.8</w:t>
            </w:r>
          </w:p>
        </w:tc>
        <w:tc>
          <w:tcPr>
            <w:tcW w:w="708" w:type="dxa"/>
            <w:vAlign w:val="top"/>
          </w:tcPr>
          <w:p w14:paraId="3604E23F">
            <w:pPr>
              <w:pStyle w:val="6"/>
              <w:spacing w:before="145" w:line="232" w:lineRule="auto"/>
              <w:ind w:left="188"/>
              <w:rPr>
                <w:sz w:val="18"/>
                <w:szCs w:val="18"/>
              </w:rPr>
            </w:pPr>
            <w:r>
              <w:rPr>
                <w:spacing w:val="-2"/>
                <w:sz w:val="18"/>
                <w:szCs w:val="18"/>
              </w:rPr>
              <w:t>7.11</w:t>
            </w:r>
          </w:p>
        </w:tc>
        <w:tc>
          <w:tcPr>
            <w:tcW w:w="850" w:type="dxa"/>
            <w:vAlign w:val="top"/>
          </w:tcPr>
          <w:p w14:paraId="52B58F85">
            <w:pPr>
              <w:pStyle w:val="6"/>
              <w:spacing w:before="145" w:line="232" w:lineRule="auto"/>
              <w:ind w:left="159"/>
              <w:rPr>
                <w:sz w:val="18"/>
                <w:szCs w:val="18"/>
              </w:rPr>
            </w:pPr>
            <w:r>
              <w:rPr>
                <w:spacing w:val="-2"/>
                <w:sz w:val="18"/>
                <w:szCs w:val="18"/>
              </w:rPr>
              <w:t>0.040L</w:t>
            </w:r>
          </w:p>
        </w:tc>
        <w:tc>
          <w:tcPr>
            <w:tcW w:w="761" w:type="dxa"/>
            <w:vAlign w:val="top"/>
          </w:tcPr>
          <w:p w14:paraId="2260EDEE">
            <w:pPr>
              <w:pStyle w:val="6"/>
              <w:spacing w:before="145" w:line="232" w:lineRule="auto"/>
              <w:ind w:left="125"/>
              <w:rPr>
                <w:sz w:val="18"/>
                <w:szCs w:val="18"/>
              </w:rPr>
            </w:pPr>
            <w:r>
              <w:rPr>
                <w:spacing w:val="-2"/>
                <w:sz w:val="18"/>
                <w:szCs w:val="18"/>
              </w:rPr>
              <w:t>0.0352</w:t>
            </w:r>
          </w:p>
        </w:tc>
        <w:tc>
          <w:tcPr>
            <w:tcW w:w="654" w:type="dxa"/>
            <w:vAlign w:val="top"/>
          </w:tcPr>
          <w:p w14:paraId="06DFBE0E">
            <w:pPr>
              <w:pStyle w:val="6"/>
              <w:spacing w:before="145" w:line="232" w:lineRule="auto"/>
              <w:ind w:left="73"/>
              <w:rPr>
                <w:sz w:val="18"/>
                <w:szCs w:val="18"/>
              </w:rPr>
            </w:pPr>
            <w:r>
              <w:rPr>
                <w:spacing w:val="-2"/>
                <w:sz w:val="18"/>
                <w:szCs w:val="18"/>
              </w:rPr>
              <w:t>0.0058</w:t>
            </w:r>
          </w:p>
        </w:tc>
        <w:tc>
          <w:tcPr>
            <w:tcW w:w="708" w:type="dxa"/>
            <w:vAlign w:val="top"/>
          </w:tcPr>
          <w:p w14:paraId="4006DC87">
            <w:pPr>
              <w:pStyle w:val="6"/>
              <w:spacing w:before="145" w:line="232" w:lineRule="auto"/>
              <w:ind w:left="91"/>
              <w:rPr>
                <w:sz w:val="18"/>
                <w:szCs w:val="18"/>
              </w:rPr>
            </w:pPr>
            <w:r>
              <w:rPr>
                <w:spacing w:val="-2"/>
                <w:sz w:val="18"/>
                <w:szCs w:val="18"/>
              </w:rPr>
              <w:t>0.009L</w:t>
            </w:r>
          </w:p>
        </w:tc>
        <w:tc>
          <w:tcPr>
            <w:tcW w:w="707" w:type="dxa"/>
            <w:vAlign w:val="top"/>
          </w:tcPr>
          <w:p w14:paraId="374905B3">
            <w:pPr>
              <w:pStyle w:val="6"/>
              <w:spacing w:before="145" w:line="232" w:lineRule="auto"/>
              <w:ind w:left="148"/>
              <w:rPr>
                <w:sz w:val="18"/>
                <w:szCs w:val="18"/>
              </w:rPr>
            </w:pPr>
            <w:r>
              <w:rPr>
                <w:spacing w:val="-2"/>
                <w:sz w:val="18"/>
                <w:szCs w:val="18"/>
              </w:rPr>
              <w:t>0.041</w:t>
            </w:r>
          </w:p>
        </w:tc>
        <w:tc>
          <w:tcPr>
            <w:tcW w:w="766" w:type="dxa"/>
            <w:vAlign w:val="top"/>
          </w:tcPr>
          <w:p w14:paraId="0F6A982E">
            <w:pPr>
              <w:pStyle w:val="6"/>
              <w:spacing w:before="145" w:line="232" w:lineRule="auto"/>
              <w:ind w:left="283"/>
              <w:rPr>
                <w:sz w:val="18"/>
                <w:szCs w:val="18"/>
              </w:rPr>
            </w:pPr>
            <w:r>
              <w:rPr>
                <w:spacing w:val="-7"/>
                <w:sz w:val="18"/>
                <w:szCs w:val="18"/>
              </w:rPr>
              <w:t>1.8</w:t>
            </w:r>
          </w:p>
        </w:tc>
        <w:tc>
          <w:tcPr>
            <w:tcW w:w="595" w:type="dxa"/>
            <w:vAlign w:val="top"/>
          </w:tcPr>
          <w:p w14:paraId="3B76F7AE">
            <w:pPr>
              <w:pStyle w:val="6"/>
              <w:spacing w:before="145" w:line="232" w:lineRule="auto"/>
              <w:ind w:left="153"/>
              <w:rPr>
                <w:sz w:val="18"/>
                <w:szCs w:val="18"/>
              </w:rPr>
            </w:pPr>
            <w:r>
              <w:rPr>
                <w:spacing w:val="-6"/>
                <w:sz w:val="18"/>
                <w:szCs w:val="18"/>
              </w:rPr>
              <w:t>11.1</w:t>
            </w:r>
          </w:p>
        </w:tc>
        <w:tc>
          <w:tcPr>
            <w:tcW w:w="955" w:type="dxa"/>
            <w:vAlign w:val="top"/>
          </w:tcPr>
          <w:p w14:paraId="5B036297">
            <w:pPr>
              <w:pStyle w:val="6"/>
              <w:spacing w:before="145" w:line="232" w:lineRule="auto"/>
              <w:ind w:left="390"/>
              <w:rPr>
                <w:sz w:val="18"/>
                <w:szCs w:val="18"/>
              </w:rPr>
            </w:pPr>
            <w:r>
              <w:rPr>
                <w:spacing w:val="-3"/>
                <w:sz w:val="18"/>
                <w:szCs w:val="18"/>
              </w:rPr>
              <w:t>51</w:t>
            </w:r>
          </w:p>
        </w:tc>
        <w:tc>
          <w:tcPr>
            <w:tcW w:w="506" w:type="dxa"/>
            <w:vAlign w:val="top"/>
          </w:tcPr>
          <w:p w14:paraId="369047C1">
            <w:pPr>
              <w:pStyle w:val="6"/>
              <w:spacing w:before="145" w:line="232" w:lineRule="auto"/>
              <w:ind w:left="178"/>
              <w:rPr>
                <w:sz w:val="18"/>
                <w:szCs w:val="18"/>
              </w:rPr>
            </w:pPr>
            <w:r>
              <w:rPr>
                <w:spacing w:val="-6"/>
                <w:sz w:val="18"/>
                <w:szCs w:val="18"/>
              </w:rPr>
              <w:t>16</w:t>
            </w:r>
          </w:p>
        </w:tc>
        <w:tc>
          <w:tcPr>
            <w:tcW w:w="707" w:type="dxa"/>
            <w:vAlign w:val="top"/>
          </w:tcPr>
          <w:p w14:paraId="644619DF">
            <w:pPr>
              <w:pStyle w:val="6"/>
              <w:spacing w:before="145" w:line="232" w:lineRule="auto"/>
              <w:ind w:left="212"/>
              <w:rPr>
                <w:sz w:val="18"/>
                <w:szCs w:val="18"/>
              </w:rPr>
            </w:pPr>
            <w:r>
              <w:rPr>
                <w:spacing w:val="-6"/>
                <w:sz w:val="18"/>
                <w:szCs w:val="18"/>
              </w:rPr>
              <w:t>1.18</w:t>
            </w:r>
          </w:p>
        </w:tc>
        <w:tc>
          <w:tcPr>
            <w:tcW w:w="708" w:type="dxa"/>
            <w:vAlign w:val="top"/>
          </w:tcPr>
          <w:p w14:paraId="590D1062">
            <w:pPr>
              <w:pStyle w:val="6"/>
              <w:spacing w:before="145" w:line="232" w:lineRule="auto"/>
              <w:ind w:left="99"/>
              <w:rPr>
                <w:sz w:val="18"/>
                <w:szCs w:val="18"/>
              </w:rPr>
            </w:pPr>
            <w:r>
              <w:rPr>
                <w:spacing w:val="-2"/>
                <w:sz w:val="18"/>
                <w:szCs w:val="18"/>
              </w:rPr>
              <w:t>0.002L</w:t>
            </w:r>
          </w:p>
        </w:tc>
        <w:tc>
          <w:tcPr>
            <w:tcW w:w="663" w:type="dxa"/>
            <w:vAlign w:val="top"/>
          </w:tcPr>
          <w:p w14:paraId="5314EC19">
            <w:pPr>
              <w:pStyle w:val="6"/>
              <w:spacing w:before="145" w:line="232" w:lineRule="auto"/>
              <w:ind w:left="134"/>
              <w:rPr>
                <w:sz w:val="18"/>
                <w:szCs w:val="18"/>
              </w:rPr>
            </w:pPr>
            <w:r>
              <w:rPr>
                <w:spacing w:val="-2"/>
                <w:sz w:val="18"/>
                <w:szCs w:val="18"/>
              </w:rPr>
              <w:t>0.085</w:t>
            </w:r>
          </w:p>
        </w:tc>
        <w:tc>
          <w:tcPr>
            <w:tcW w:w="664" w:type="dxa"/>
            <w:vAlign w:val="top"/>
          </w:tcPr>
          <w:p w14:paraId="4759E602">
            <w:pPr>
              <w:pStyle w:val="6"/>
              <w:spacing w:before="145" w:line="232" w:lineRule="auto"/>
              <w:ind w:left="79"/>
              <w:rPr>
                <w:sz w:val="18"/>
                <w:szCs w:val="18"/>
              </w:rPr>
            </w:pPr>
            <w:r>
              <w:rPr>
                <w:spacing w:val="-2"/>
                <w:sz w:val="18"/>
                <w:szCs w:val="18"/>
              </w:rPr>
              <w:t>0.001L</w:t>
            </w:r>
          </w:p>
        </w:tc>
        <w:tc>
          <w:tcPr>
            <w:tcW w:w="782" w:type="dxa"/>
            <w:vAlign w:val="top"/>
          </w:tcPr>
          <w:p w14:paraId="7379DCFB">
            <w:pPr>
              <w:pStyle w:val="6"/>
              <w:spacing w:before="145" w:line="232" w:lineRule="auto"/>
              <w:ind w:left="93"/>
              <w:rPr>
                <w:sz w:val="18"/>
                <w:szCs w:val="18"/>
              </w:rPr>
            </w:pPr>
            <w:r>
              <w:rPr>
                <w:spacing w:val="-1"/>
                <w:sz w:val="18"/>
                <w:szCs w:val="18"/>
              </w:rPr>
              <w:t>0.0005L</w:t>
            </w:r>
          </w:p>
        </w:tc>
        <w:tc>
          <w:tcPr>
            <w:tcW w:w="663" w:type="dxa"/>
            <w:vAlign w:val="top"/>
          </w:tcPr>
          <w:p w14:paraId="6C61E21E">
            <w:pPr>
              <w:pStyle w:val="6"/>
              <w:spacing w:before="145" w:line="232" w:lineRule="auto"/>
              <w:ind w:left="137"/>
              <w:rPr>
                <w:sz w:val="18"/>
                <w:szCs w:val="18"/>
              </w:rPr>
            </w:pPr>
            <w:r>
              <w:rPr>
                <w:spacing w:val="-2"/>
                <w:sz w:val="18"/>
                <w:szCs w:val="18"/>
              </w:rPr>
              <w:t>0.007</w:t>
            </w:r>
          </w:p>
        </w:tc>
        <w:tc>
          <w:tcPr>
            <w:tcW w:w="737" w:type="dxa"/>
            <w:vAlign w:val="top"/>
          </w:tcPr>
          <w:p w14:paraId="201DB362">
            <w:pPr>
              <w:pStyle w:val="6"/>
              <w:spacing w:before="145" w:line="232" w:lineRule="auto"/>
              <w:ind w:left="74"/>
              <w:rPr>
                <w:sz w:val="18"/>
                <w:szCs w:val="18"/>
              </w:rPr>
            </w:pPr>
            <w:r>
              <w:rPr>
                <w:spacing w:val="-1"/>
                <w:sz w:val="18"/>
                <w:szCs w:val="18"/>
              </w:rPr>
              <w:t>0.0025L</w:t>
            </w:r>
          </w:p>
        </w:tc>
        <w:tc>
          <w:tcPr>
            <w:tcW w:w="737" w:type="dxa"/>
            <w:vAlign w:val="top"/>
          </w:tcPr>
          <w:p w14:paraId="3E91FAF8">
            <w:pPr>
              <w:pStyle w:val="6"/>
              <w:spacing w:before="145" w:line="232" w:lineRule="auto"/>
              <w:ind w:left="130"/>
              <w:rPr>
                <w:sz w:val="18"/>
                <w:szCs w:val="18"/>
              </w:rPr>
            </w:pPr>
            <w:r>
              <w:rPr>
                <w:spacing w:val="-2"/>
                <w:sz w:val="18"/>
                <w:szCs w:val="18"/>
              </w:rPr>
              <w:t>0.0001</w:t>
            </w:r>
          </w:p>
        </w:tc>
        <w:tc>
          <w:tcPr>
            <w:tcW w:w="754" w:type="dxa"/>
            <w:vAlign w:val="top"/>
          </w:tcPr>
          <w:p w14:paraId="5986BD8C">
            <w:pPr>
              <w:pStyle w:val="6"/>
              <w:spacing w:before="145" w:line="232" w:lineRule="auto"/>
              <w:ind w:left="139"/>
              <w:rPr>
                <w:sz w:val="18"/>
                <w:szCs w:val="18"/>
              </w:rPr>
            </w:pPr>
            <w:r>
              <w:rPr>
                <w:spacing w:val="-2"/>
                <w:sz w:val="18"/>
                <w:szCs w:val="18"/>
              </w:rPr>
              <w:t>0.0012</w:t>
            </w:r>
          </w:p>
        </w:tc>
        <w:tc>
          <w:tcPr>
            <w:tcW w:w="667" w:type="dxa"/>
            <w:vAlign w:val="top"/>
          </w:tcPr>
          <w:p w14:paraId="528C32B7">
            <w:pPr>
              <w:pStyle w:val="6"/>
              <w:spacing w:before="145" w:line="232" w:lineRule="auto"/>
              <w:ind w:left="86"/>
              <w:rPr>
                <w:sz w:val="18"/>
                <w:szCs w:val="18"/>
              </w:rPr>
            </w:pPr>
            <w:r>
              <w:rPr>
                <w:spacing w:val="-2"/>
                <w:sz w:val="18"/>
                <w:szCs w:val="18"/>
              </w:rPr>
              <w:t>0.002L</w:t>
            </w:r>
          </w:p>
        </w:tc>
        <w:tc>
          <w:tcPr>
            <w:tcW w:w="544" w:type="dxa"/>
            <w:vAlign w:val="top"/>
          </w:tcPr>
          <w:p w14:paraId="2F116A4D">
            <w:pPr>
              <w:pStyle w:val="6"/>
              <w:spacing w:before="145" w:line="232" w:lineRule="auto"/>
              <w:ind w:left="71"/>
              <w:rPr>
                <w:sz w:val="18"/>
                <w:szCs w:val="18"/>
              </w:rPr>
            </w:pPr>
            <w:r>
              <w:rPr>
                <w:spacing w:val="-2"/>
                <w:sz w:val="18"/>
                <w:szCs w:val="18"/>
              </w:rPr>
              <w:t>0.05L</w:t>
            </w:r>
          </w:p>
        </w:tc>
        <w:tc>
          <w:tcPr>
            <w:tcW w:w="434" w:type="dxa"/>
            <w:vAlign w:val="top"/>
          </w:tcPr>
          <w:p w14:paraId="6095821C">
            <w:pPr>
              <w:pStyle w:val="6"/>
              <w:spacing w:before="145" w:line="232" w:lineRule="auto"/>
              <w:ind w:left="117"/>
              <w:rPr>
                <w:sz w:val="18"/>
                <w:szCs w:val="18"/>
              </w:rPr>
            </w:pPr>
            <w:r>
              <w:rPr>
                <w:spacing w:val="-3"/>
                <w:sz w:val="18"/>
                <w:szCs w:val="18"/>
              </w:rPr>
              <w:t>0.6</w:t>
            </w:r>
          </w:p>
        </w:tc>
        <w:tc>
          <w:tcPr>
            <w:tcW w:w="1015" w:type="dxa"/>
            <w:vAlign w:val="top"/>
          </w:tcPr>
          <w:p w14:paraId="09CDBD4B">
            <w:pPr>
              <w:pStyle w:val="6"/>
              <w:spacing w:before="145" w:line="232" w:lineRule="auto"/>
              <w:ind w:left="489"/>
              <w:rPr>
                <w:sz w:val="18"/>
                <w:szCs w:val="18"/>
              </w:rPr>
            </w:pPr>
            <w:r>
              <w:rPr>
                <w:sz w:val="18"/>
                <w:szCs w:val="18"/>
              </w:rPr>
              <w:t>/</w:t>
            </w:r>
          </w:p>
        </w:tc>
        <w:tc>
          <w:tcPr>
            <w:tcW w:w="721" w:type="dxa"/>
            <w:tcBorders>
              <w:right w:val="single" w:color="000000" w:sz="12" w:space="0"/>
            </w:tcBorders>
            <w:vAlign w:val="top"/>
          </w:tcPr>
          <w:p w14:paraId="6C3BD73E">
            <w:pPr>
              <w:pStyle w:val="6"/>
              <w:spacing w:before="145" w:line="232" w:lineRule="auto"/>
              <w:ind w:left="278"/>
              <w:rPr>
                <w:sz w:val="18"/>
                <w:szCs w:val="18"/>
              </w:rPr>
            </w:pPr>
            <w:r>
              <w:rPr>
                <w:spacing w:val="-2"/>
                <w:sz w:val="18"/>
                <w:szCs w:val="18"/>
              </w:rPr>
              <w:t>70</w:t>
            </w:r>
          </w:p>
        </w:tc>
      </w:tr>
      <w:tr w14:paraId="6D5D7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031CDE6B">
            <w:pPr>
              <w:rPr>
                <w:rFonts w:ascii="Arial"/>
                <w:sz w:val="21"/>
              </w:rPr>
            </w:pPr>
          </w:p>
        </w:tc>
        <w:tc>
          <w:tcPr>
            <w:tcW w:w="272" w:type="dxa"/>
            <w:vMerge w:val="continue"/>
            <w:tcBorders>
              <w:top w:val="nil"/>
            </w:tcBorders>
            <w:vAlign w:val="top"/>
          </w:tcPr>
          <w:p w14:paraId="2E39C1CB">
            <w:pPr>
              <w:rPr>
                <w:rFonts w:ascii="Arial"/>
                <w:sz w:val="21"/>
              </w:rPr>
            </w:pPr>
          </w:p>
        </w:tc>
        <w:tc>
          <w:tcPr>
            <w:tcW w:w="1004" w:type="dxa"/>
            <w:vAlign w:val="top"/>
          </w:tcPr>
          <w:p w14:paraId="4C8BAC9F">
            <w:pPr>
              <w:pStyle w:val="6"/>
              <w:spacing w:before="198" w:line="232" w:lineRule="auto"/>
              <w:ind w:left="122"/>
              <w:rPr>
                <w:sz w:val="18"/>
                <w:szCs w:val="18"/>
              </w:rPr>
            </w:pPr>
            <w:r>
              <w:rPr>
                <w:spacing w:val="-1"/>
                <w:sz w:val="18"/>
                <w:szCs w:val="18"/>
              </w:rPr>
              <w:t>2019/1/17</w:t>
            </w:r>
          </w:p>
        </w:tc>
        <w:tc>
          <w:tcPr>
            <w:tcW w:w="686" w:type="dxa"/>
            <w:vAlign w:val="top"/>
          </w:tcPr>
          <w:p w14:paraId="766EF060">
            <w:pPr>
              <w:pStyle w:val="6"/>
              <w:spacing w:before="203" w:line="183" w:lineRule="auto"/>
              <w:ind w:left="234"/>
              <w:rPr>
                <w:sz w:val="18"/>
                <w:szCs w:val="18"/>
              </w:rPr>
            </w:pPr>
            <w:r>
              <w:rPr>
                <w:spacing w:val="-2"/>
                <w:sz w:val="18"/>
                <w:szCs w:val="18"/>
              </w:rPr>
              <w:t>5L</w:t>
            </w:r>
          </w:p>
        </w:tc>
        <w:tc>
          <w:tcPr>
            <w:tcW w:w="923" w:type="dxa"/>
            <w:vAlign w:val="top"/>
          </w:tcPr>
          <w:p w14:paraId="710ECCBA">
            <w:pPr>
              <w:pStyle w:val="6"/>
              <w:spacing w:before="198" w:line="232" w:lineRule="auto"/>
              <w:ind w:left="338"/>
              <w:rPr>
                <w:sz w:val="18"/>
                <w:szCs w:val="18"/>
              </w:rPr>
            </w:pPr>
            <w:r>
              <w:rPr>
                <w:spacing w:val="-3"/>
                <w:sz w:val="18"/>
                <w:szCs w:val="18"/>
              </w:rPr>
              <w:t>0.7</w:t>
            </w:r>
          </w:p>
        </w:tc>
        <w:tc>
          <w:tcPr>
            <w:tcW w:w="708" w:type="dxa"/>
            <w:vAlign w:val="top"/>
          </w:tcPr>
          <w:p w14:paraId="5E427E0D">
            <w:pPr>
              <w:pStyle w:val="6"/>
              <w:spacing w:before="198" w:line="232" w:lineRule="auto"/>
              <w:ind w:left="188"/>
              <w:rPr>
                <w:sz w:val="18"/>
                <w:szCs w:val="18"/>
              </w:rPr>
            </w:pPr>
            <w:r>
              <w:rPr>
                <w:spacing w:val="-2"/>
                <w:sz w:val="18"/>
                <w:szCs w:val="18"/>
              </w:rPr>
              <w:t>7.20</w:t>
            </w:r>
          </w:p>
        </w:tc>
        <w:tc>
          <w:tcPr>
            <w:tcW w:w="850" w:type="dxa"/>
            <w:vAlign w:val="top"/>
          </w:tcPr>
          <w:p w14:paraId="04D43402">
            <w:pPr>
              <w:pStyle w:val="6"/>
              <w:spacing w:before="198" w:line="232" w:lineRule="auto"/>
              <w:ind w:left="159"/>
              <w:rPr>
                <w:sz w:val="18"/>
                <w:szCs w:val="18"/>
              </w:rPr>
            </w:pPr>
            <w:r>
              <w:rPr>
                <w:spacing w:val="-2"/>
                <w:sz w:val="18"/>
                <w:szCs w:val="18"/>
              </w:rPr>
              <w:t>0.040L</w:t>
            </w:r>
          </w:p>
        </w:tc>
        <w:tc>
          <w:tcPr>
            <w:tcW w:w="761" w:type="dxa"/>
            <w:vAlign w:val="top"/>
          </w:tcPr>
          <w:p w14:paraId="0C026947">
            <w:pPr>
              <w:pStyle w:val="6"/>
              <w:spacing w:before="198" w:line="232" w:lineRule="auto"/>
              <w:ind w:left="125"/>
              <w:rPr>
                <w:sz w:val="18"/>
                <w:szCs w:val="18"/>
              </w:rPr>
            </w:pPr>
            <w:r>
              <w:rPr>
                <w:spacing w:val="-2"/>
                <w:sz w:val="18"/>
                <w:szCs w:val="18"/>
              </w:rPr>
              <w:t>0.0358</w:t>
            </w:r>
          </w:p>
        </w:tc>
        <w:tc>
          <w:tcPr>
            <w:tcW w:w="654" w:type="dxa"/>
            <w:vAlign w:val="top"/>
          </w:tcPr>
          <w:p w14:paraId="39130234">
            <w:pPr>
              <w:pStyle w:val="6"/>
              <w:spacing w:before="198" w:line="232" w:lineRule="auto"/>
              <w:ind w:left="73"/>
              <w:rPr>
                <w:sz w:val="18"/>
                <w:szCs w:val="18"/>
              </w:rPr>
            </w:pPr>
            <w:r>
              <w:rPr>
                <w:spacing w:val="-2"/>
                <w:sz w:val="18"/>
                <w:szCs w:val="18"/>
              </w:rPr>
              <w:t>0.0064</w:t>
            </w:r>
          </w:p>
        </w:tc>
        <w:tc>
          <w:tcPr>
            <w:tcW w:w="708" w:type="dxa"/>
            <w:vAlign w:val="top"/>
          </w:tcPr>
          <w:p w14:paraId="3389CB67">
            <w:pPr>
              <w:pStyle w:val="6"/>
              <w:spacing w:before="198" w:line="232" w:lineRule="auto"/>
              <w:ind w:left="91"/>
              <w:rPr>
                <w:sz w:val="18"/>
                <w:szCs w:val="18"/>
              </w:rPr>
            </w:pPr>
            <w:r>
              <w:rPr>
                <w:spacing w:val="-2"/>
                <w:sz w:val="18"/>
                <w:szCs w:val="18"/>
              </w:rPr>
              <w:t>0.009L</w:t>
            </w:r>
          </w:p>
        </w:tc>
        <w:tc>
          <w:tcPr>
            <w:tcW w:w="707" w:type="dxa"/>
            <w:vAlign w:val="top"/>
          </w:tcPr>
          <w:p w14:paraId="39FB198E">
            <w:pPr>
              <w:pStyle w:val="6"/>
              <w:spacing w:before="198" w:line="232" w:lineRule="auto"/>
              <w:ind w:left="148"/>
              <w:rPr>
                <w:sz w:val="18"/>
                <w:szCs w:val="18"/>
              </w:rPr>
            </w:pPr>
            <w:r>
              <w:rPr>
                <w:spacing w:val="-2"/>
                <w:sz w:val="18"/>
                <w:szCs w:val="18"/>
              </w:rPr>
              <w:t>0.046</w:t>
            </w:r>
          </w:p>
        </w:tc>
        <w:tc>
          <w:tcPr>
            <w:tcW w:w="766" w:type="dxa"/>
            <w:vAlign w:val="top"/>
          </w:tcPr>
          <w:p w14:paraId="28BF7ED5">
            <w:pPr>
              <w:pStyle w:val="6"/>
              <w:spacing w:before="198" w:line="232" w:lineRule="auto"/>
              <w:ind w:left="283"/>
              <w:rPr>
                <w:sz w:val="18"/>
                <w:szCs w:val="18"/>
              </w:rPr>
            </w:pPr>
            <w:r>
              <w:rPr>
                <w:spacing w:val="-7"/>
                <w:sz w:val="18"/>
                <w:szCs w:val="18"/>
              </w:rPr>
              <w:t>1.6</w:t>
            </w:r>
          </w:p>
        </w:tc>
        <w:tc>
          <w:tcPr>
            <w:tcW w:w="595" w:type="dxa"/>
            <w:vAlign w:val="top"/>
          </w:tcPr>
          <w:p w14:paraId="048BBF09">
            <w:pPr>
              <w:pStyle w:val="6"/>
              <w:spacing w:before="198" w:line="232" w:lineRule="auto"/>
              <w:ind w:left="153"/>
              <w:rPr>
                <w:sz w:val="18"/>
                <w:szCs w:val="18"/>
              </w:rPr>
            </w:pPr>
            <w:r>
              <w:rPr>
                <w:spacing w:val="-6"/>
                <w:sz w:val="18"/>
                <w:szCs w:val="18"/>
              </w:rPr>
              <w:t>10.8</w:t>
            </w:r>
          </w:p>
        </w:tc>
        <w:tc>
          <w:tcPr>
            <w:tcW w:w="955" w:type="dxa"/>
            <w:vAlign w:val="top"/>
          </w:tcPr>
          <w:p w14:paraId="32F60867">
            <w:pPr>
              <w:pStyle w:val="6"/>
              <w:spacing w:before="198" w:line="232" w:lineRule="auto"/>
              <w:ind w:left="384"/>
              <w:rPr>
                <w:sz w:val="18"/>
                <w:szCs w:val="18"/>
              </w:rPr>
            </w:pPr>
            <w:r>
              <w:rPr>
                <w:spacing w:val="-1"/>
                <w:sz w:val="18"/>
                <w:szCs w:val="18"/>
              </w:rPr>
              <w:t>43</w:t>
            </w:r>
          </w:p>
        </w:tc>
        <w:tc>
          <w:tcPr>
            <w:tcW w:w="506" w:type="dxa"/>
            <w:vAlign w:val="top"/>
          </w:tcPr>
          <w:p w14:paraId="0438AC53">
            <w:pPr>
              <w:pStyle w:val="6"/>
              <w:spacing w:before="198" w:line="232" w:lineRule="auto"/>
              <w:ind w:left="161"/>
              <w:rPr>
                <w:sz w:val="18"/>
                <w:szCs w:val="18"/>
              </w:rPr>
            </w:pPr>
            <w:r>
              <w:rPr>
                <w:spacing w:val="-1"/>
                <w:sz w:val="18"/>
                <w:szCs w:val="18"/>
              </w:rPr>
              <w:t>28</w:t>
            </w:r>
          </w:p>
        </w:tc>
        <w:tc>
          <w:tcPr>
            <w:tcW w:w="707" w:type="dxa"/>
            <w:vAlign w:val="top"/>
          </w:tcPr>
          <w:p w14:paraId="5CD8C729">
            <w:pPr>
              <w:pStyle w:val="6"/>
              <w:spacing w:before="198" w:line="232" w:lineRule="auto"/>
              <w:ind w:left="212"/>
              <w:rPr>
                <w:sz w:val="18"/>
                <w:szCs w:val="18"/>
              </w:rPr>
            </w:pPr>
            <w:r>
              <w:rPr>
                <w:spacing w:val="-6"/>
                <w:sz w:val="18"/>
                <w:szCs w:val="18"/>
              </w:rPr>
              <w:t>1.15</w:t>
            </w:r>
          </w:p>
        </w:tc>
        <w:tc>
          <w:tcPr>
            <w:tcW w:w="708" w:type="dxa"/>
            <w:vAlign w:val="top"/>
          </w:tcPr>
          <w:p w14:paraId="2C8F8CCF">
            <w:pPr>
              <w:pStyle w:val="6"/>
              <w:spacing w:before="198" w:line="232" w:lineRule="auto"/>
              <w:ind w:left="99"/>
              <w:rPr>
                <w:sz w:val="18"/>
                <w:szCs w:val="18"/>
              </w:rPr>
            </w:pPr>
            <w:r>
              <w:rPr>
                <w:spacing w:val="-2"/>
                <w:sz w:val="18"/>
                <w:szCs w:val="18"/>
              </w:rPr>
              <w:t>0.002L</w:t>
            </w:r>
          </w:p>
        </w:tc>
        <w:tc>
          <w:tcPr>
            <w:tcW w:w="663" w:type="dxa"/>
            <w:vAlign w:val="top"/>
          </w:tcPr>
          <w:p w14:paraId="18D917AA">
            <w:pPr>
              <w:pStyle w:val="6"/>
              <w:spacing w:before="198" w:line="232" w:lineRule="auto"/>
              <w:ind w:left="134"/>
              <w:rPr>
                <w:sz w:val="18"/>
                <w:szCs w:val="18"/>
              </w:rPr>
            </w:pPr>
            <w:r>
              <w:rPr>
                <w:spacing w:val="-2"/>
                <w:sz w:val="18"/>
                <w:szCs w:val="18"/>
              </w:rPr>
              <w:t>0.081</w:t>
            </w:r>
          </w:p>
        </w:tc>
        <w:tc>
          <w:tcPr>
            <w:tcW w:w="664" w:type="dxa"/>
            <w:vAlign w:val="top"/>
          </w:tcPr>
          <w:p w14:paraId="15620898">
            <w:pPr>
              <w:pStyle w:val="6"/>
              <w:spacing w:before="198" w:line="232" w:lineRule="auto"/>
              <w:ind w:left="79"/>
              <w:rPr>
                <w:sz w:val="18"/>
                <w:szCs w:val="18"/>
              </w:rPr>
            </w:pPr>
            <w:r>
              <w:rPr>
                <w:spacing w:val="-2"/>
                <w:sz w:val="18"/>
                <w:szCs w:val="18"/>
              </w:rPr>
              <w:t>0.001L</w:t>
            </w:r>
          </w:p>
        </w:tc>
        <w:tc>
          <w:tcPr>
            <w:tcW w:w="782" w:type="dxa"/>
            <w:vAlign w:val="top"/>
          </w:tcPr>
          <w:p w14:paraId="3D73CC02">
            <w:pPr>
              <w:pStyle w:val="6"/>
              <w:spacing w:before="198" w:line="232" w:lineRule="auto"/>
              <w:ind w:left="93"/>
              <w:rPr>
                <w:sz w:val="18"/>
                <w:szCs w:val="18"/>
              </w:rPr>
            </w:pPr>
            <w:r>
              <w:rPr>
                <w:spacing w:val="-1"/>
                <w:sz w:val="18"/>
                <w:szCs w:val="18"/>
              </w:rPr>
              <w:t>0.0005L</w:t>
            </w:r>
          </w:p>
        </w:tc>
        <w:tc>
          <w:tcPr>
            <w:tcW w:w="663" w:type="dxa"/>
            <w:vAlign w:val="top"/>
          </w:tcPr>
          <w:p w14:paraId="1EF1D270">
            <w:pPr>
              <w:pStyle w:val="6"/>
              <w:spacing w:before="198" w:line="232" w:lineRule="auto"/>
              <w:ind w:left="137"/>
              <w:rPr>
                <w:sz w:val="18"/>
                <w:szCs w:val="18"/>
              </w:rPr>
            </w:pPr>
            <w:r>
              <w:rPr>
                <w:spacing w:val="-2"/>
                <w:sz w:val="18"/>
                <w:szCs w:val="18"/>
              </w:rPr>
              <w:t>0.010</w:t>
            </w:r>
          </w:p>
        </w:tc>
        <w:tc>
          <w:tcPr>
            <w:tcW w:w="737" w:type="dxa"/>
            <w:vAlign w:val="top"/>
          </w:tcPr>
          <w:p w14:paraId="040494B1">
            <w:pPr>
              <w:pStyle w:val="6"/>
              <w:spacing w:before="198" w:line="232" w:lineRule="auto"/>
              <w:ind w:left="74"/>
              <w:rPr>
                <w:sz w:val="18"/>
                <w:szCs w:val="18"/>
              </w:rPr>
            </w:pPr>
            <w:r>
              <w:rPr>
                <w:spacing w:val="-1"/>
                <w:sz w:val="18"/>
                <w:szCs w:val="18"/>
              </w:rPr>
              <w:t>0.0025L</w:t>
            </w:r>
          </w:p>
        </w:tc>
        <w:tc>
          <w:tcPr>
            <w:tcW w:w="737" w:type="dxa"/>
            <w:vAlign w:val="top"/>
          </w:tcPr>
          <w:p w14:paraId="3E4C208B">
            <w:pPr>
              <w:pStyle w:val="6"/>
              <w:spacing w:before="198" w:line="232" w:lineRule="auto"/>
              <w:ind w:left="130"/>
              <w:rPr>
                <w:sz w:val="18"/>
                <w:szCs w:val="18"/>
              </w:rPr>
            </w:pPr>
            <w:r>
              <w:rPr>
                <w:spacing w:val="-2"/>
                <w:sz w:val="18"/>
                <w:szCs w:val="18"/>
              </w:rPr>
              <w:t>0.0002</w:t>
            </w:r>
          </w:p>
        </w:tc>
        <w:tc>
          <w:tcPr>
            <w:tcW w:w="754" w:type="dxa"/>
            <w:vAlign w:val="top"/>
          </w:tcPr>
          <w:p w14:paraId="46D55F7D">
            <w:pPr>
              <w:pStyle w:val="6"/>
              <w:spacing w:before="198" w:line="232" w:lineRule="auto"/>
              <w:ind w:left="139"/>
              <w:rPr>
                <w:sz w:val="18"/>
                <w:szCs w:val="18"/>
              </w:rPr>
            </w:pPr>
            <w:r>
              <w:rPr>
                <w:spacing w:val="-2"/>
                <w:sz w:val="18"/>
                <w:szCs w:val="18"/>
              </w:rPr>
              <w:t>0.0013</w:t>
            </w:r>
          </w:p>
        </w:tc>
        <w:tc>
          <w:tcPr>
            <w:tcW w:w="667" w:type="dxa"/>
            <w:vAlign w:val="top"/>
          </w:tcPr>
          <w:p w14:paraId="67E85485">
            <w:pPr>
              <w:pStyle w:val="6"/>
              <w:spacing w:before="198" w:line="232" w:lineRule="auto"/>
              <w:ind w:left="86"/>
              <w:rPr>
                <w:sz w:val="18"/>
                <w:szCs w:val="18"/>
              </w:rPr>
            </w:pPr>
            <w:r>
              <w:rPr>
                <w:spacing w:val="-2"/>
                <w:sz w:val="18"/>
                <w:szCs w:val="18"/>
              </w:rPr>
              <w:t>0.002L</w:t>
            </w:r>
          </w:p>
        </w:tc>
        <w:tc>
          <w:tcPr>
            <w:tcW w:w="544" w:type="dxa"/>
            <w:vAlign w:val="top"/>
          </w:tcPr>
          <w:p w14:paraId="40660000">
            <w:pPr>
              <w:pStyle w:val="6"/>
              <w:spacing w:before="198" w:line="232" w:lineRule="auto"/>
              <w:ind w:left="71"/>
              <w:rPr>
                <w:sz w:val="18"/>
                <w:szCs w:val="18"/>
              </w:rPr>
            </w:pPr>
            <w:r>
              <w:rPr>
                <w:spacing w:val="-2"/>
                <w:sz w:val="18"/>
                <w:szCs w:val="18"/>
              </w:rPr>
              <w:t>0.05L</w:t>
            </w:r>
          </w:p>
        </w:tc>
        <w:tc>
          <w:tcPr>
            <w:tcW w:w="434" w:type="dxa"/>
            <w:vAlign w:val="top"/>
          </w:tcPr>
          <w:p w14:paraId="7C7A870C">
            <w:pPr>
              <w:pStyle w:val="6"/>
              <w:spacing w:before="198" w:line="232" w:lineRule="auto"/>
              <w:ind w:left="117"/>
              <w:rPr>
                <w:sz w:val="18"/>
                <w:szCs w:val="18"/>
              </w:rPr>
            </w:pPr>
            <w:r>
              <w:rPr>
                <w:spacing w:val="-3"/>
                <w:sz w:val="18"/>
                <w:szCs w:val="18"/>
              </w:rPr>
              <w:t>0.8</w:t>
            </w:r>
          </w:p>
        </w:tc>
        <w:tc>
          <w:tcPr>
            <w:tcW w:w="1015" w:type="dxa"/>
            <w:vAlign w:val="top"/>
          </w:tcPr>
          <w:p w14:paraId="5F4412D7">
            <w:pPr>
              <w:pStyle w:val="6"/>
              <w:spacing w:before="198" w:line="232" w:lineRule="auto"/>
              <w:ind w:left="489"/>
              <w:rPr>
                <w:sz w:val="18"/>
                <w:szCs w:val="18"/>
              </w:rPr>
            </w:pPr>
            <w:r>
              <w:rPr>
                <w:sz w:val="18"/>
                <w:szCs w:val="18"/>
              </w:rPr>
              <w:t>/</w:t>
            </w:r>
          </w:p>
        </w:tc>
        <w:tc>
          <w:tcPr>
            <w:tcW w:w="721" w:type="dxa"/>
            <w:tcBorders>
              <w:right w:val="single" w:color="000000" w:sz="12" w:space="0"/>
            </w:tcBorders>
            <w:vAlign w:val="top"/>
          </w:tcPr>
          <w:p w14:paraId="4011F4DD">
            <w:pPr>
              <w:pStyle w:val="6"/>
              <w:spacing w:before="198" w:line="232" w:lineRule="auto"/>
              <w:ind w:left="279"/>
              <w:rPr>
                <w:sz w:val="18"/>
                <w:szCs w:val="18"/>
              </w:rPr>
            </w:pPr>
            <w:r>
              <w:rPr>
                <w:spacing w:val="-2"/>
                <w:sz w:val="18"/>
                <w:szCs w:val="18"/>
              </w:rPr>
              <w:t>60</w:t>
            </w:r>
          </w:p>
        </w:tc>
      </w:tr>
      <w:tr w14:paraId="4AB09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5C785576">
            <w:pPr>
              <w:rPr>
                <w:rFonts w:ascii="Arial"/>
                <w:sz w:val="21"/>
              </w:rPr>
            </w:pPr>
          </w:p>
        </w:tc>
        <w:tc>
          <w:tcPr>
            <w:tcW w:w="272" w:type="dxa"/>
            <w:vMerge w:val="restart"/>
            <w:tcBorders>
              <w:bottom w:val="nil"/>
            </w:tcBorders>
            <w:vAlign w:val="top"/>
          </w:tcPr>
          <w:p w14:paraId="12B01729">
            <w:pPr>
              <w:spacing w:line="405" w:lineRule="auto"/>
              <w:rPr>
                <w:rFonts w:ascii="Arial"/>
                <w:sz w:val="21"/>
              </w:rPr>
            </w:pPr>
          </w:p>
          <w:p w14:paraId="577391D3">
            <w:pPr>
              <w:pStyle w:val="6"/>
              <w:spacing w:before="52" w:line="235" w:lineRule="auto"/>
              <w:ind w:left="33" w:right="55"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004" w:type="dxa"/>
            <w:vAlign w:val="top"/>
          </w:tcPr>
          <w:p w14:paraId="768EB4EB">
            <w:pPr>
              <w:pStyle w:val="6"/>
              <w:spacing w:before="199" w:line="232" w:lineRule="auto"/>
              <w:ind w:left="122"/>
              <w:rPr>
                <w:sz w:val="18"/>
                <w:szCs w:val="18"/>
              </w:rPr>
            </w:pPr>
            <w:r>
              <w:rPr>
                <w:spacing w:val="-1"/>
                <w:sz w:val="18"/>
                <w:szCs w:val="18"/>
              </w:rPr>
              <w:t>2019/5/10</w:t>
            </w:r>
          </w:p>
        </w:tc>
        <w:tc>
          <w:tcPr>
            <w:tcW w:w="686" w:type="dxa"/>
            <w:vAlign w:val="top"/>
          </w:tcPr>
          <w:p w14:paraId="49930FB2">
            <w:pPr>
              <w:pStyle w:val="6"/>
              <w:spacing w:before="199" w:line="232" w:lineRule="auto"/>
              <w:ind w:left="234"/>
              <w:rPr>
                <w:sz w:val="18"/>
                <w:szCs w:val="18"/>
              </w:rPr>
            </w:pPr>
            <w:r>
              <w:rPr>
                <w:spacing w:val="-5"/>
                <w:sz w:val="18"/>
                <w:szCs w:val="18"/>
              </w:rPr>
              <w:t>5L</w:t>
            </w:r>
          </w:p>
        </w:tc>
        <w:tc>
          <w:tcPr>
            <w:tcW w:w="923" w:type="dxa"/>
            <w:vAlign w:val="top"/>
          </w:tcPr>
          <w:p w14:paraId="61D78729">
            <w:pPr>
              <w:pStyle w:val="6"/>
              <w:spacing w:before="199" w:line="232" w:lineRule="auto"/>
              <w:ind w:left="338"/>
              <w:rPr>
                <w:sz w:val="18"/>
                <w:szCs w:val="18"/>
              </w:rPr>
            </w:pPr>
            <w:r>
              <w:rPr>
                <w:spacing w:val="-3"/>
                <w:sz w:val="18"/>
                <w:szCs w:val="18"/>
              </w:rPr>
              <w:t>0.7</w:t>
            </w:r>
          </w:p>
        </w:tc>
        <w:tc>
          <w:tcPr>
            <w:tcW w:w="708" w:type="dxa"/>
            <w:vAlign w:val="top"/>
          </w:tcPr>
          <w:p w14:paraId="5FB59566">
            <w:pPr>
              <w:pStyle w:val="6"/>
              <w:spacing w:before="199" w:line="232" w:lineRule="auto"/>
              <w:ind w:left="188"/>
              <w:rPr>
                <w:sz w:val="18"/>
                <w:szCs w:val="18"/>
              </w:rPr>
            </w:pPr>
            <w:r>
              <w:rPr>
                <w:spacing w:val="-2"/>
                <w:sz w:val="18"/>
                <w:szCs w:val="18"/>
              </w:rPr>
              <w:t>7.06</w:t>
            </w:r>
          </w:p>
        </w:tc>
        <w:tc>
          <w:tcPr>
            <w:tcW w:w="850" w:type="dxa"/>
            <w:vAlign w:val="top"/>
          </w:tcPr>
          <w:p w14:paraId="72D4A1F4">
            <w:pPr>
              <w:pStyle w:val="6"/>
              <w:spacing w:before="199" w:line="232" w:lineRule="auto"/>
              <w:ind w:left="159"/>
              <w:rPr>
                <w:sz w:val="18"/>
                <w:szCs w:val="18"/>
              </w:rPr>
            </w:pPr>
            <w:r>
              <w:rPr>
                <w:spacing w:val="-2"/>
                <w:sz w:val="18"/>
                <w:szCs w:val="18"/>
              </w:rPr>
              <w:t>0.040L</w:t>
            </w:r>
          </w:p>
        </w:tc>
        <w:tc>
          <w:tcPr>
            <w:tcW w:w="761" w:type="dxa"/>
            <w:vAlign w:val="top"/>
          </w:tcPr>
          <w:p w14:paraId="2CE37DE7">
            <w:pPr>
              <w:pStyle w:val="6"/>
              <w:spacing w:before="199" w:line="232" w:lineRule="auto"/>
              <w:ind w:left="125"/>
              <w:rPr>
                <w:sz w:val="18"/>
                <w:szCs w:val="18"/>
              </w:rPr>
            </w:pPr>
            <w:r>
              <w:rPr>
                <w:spacing w:val="-2"/>
                <w:sz w:val="18"/>
                <w:szCs w:val="18"/>
              </w:rPr>
              <w:t>0.0420</w:t>
            </w:r>
          </w:p>
        </w:tc>
        <w:tc>
          <w:tcPr>
            <w:tcW w:w="654" w:type="dxa"/>
            <w:vAlign w:val="top"/>
          </w:tcPr>
          <w:p w14:paraId="36B030E3">
            <w:pPr>
              <w:pStyle w:val="6"/>
              <w:spacing w:before="199" w:line="232" w:lineRule="auto"/>
              <w:ind w:left="73"/>
              <w:rPr>
                <w:sz w:val="18"/>
                <w:szCs w:val="18"/>
              </w:rPr>
            </w:pPr>
            <w:r>
              <w:rPr>
                <w:spacing w:val="-2"/>
                <w:sz w:val="18"/>
                <w:szCs w:val="18"/>
              </w:rPr>
              <w:t>0.0058</w:t>
            </w:r>
          </w:p>
        </w:tc>
        <w:tc>
          <w:tcPr>
            <w:tcW w:w="708" w:type="dxa"/>
            <w:vAlign w:val="top"/>
          </w:tcPr>
          <w:p w14:paraId="17FEC251">
            <w:pPr>
              <w:pStyle w:val="6"/>
              <w:spacing w:before="199" w:line="232" w:lineRule="auto"/>
              <w:ind w:left="91"/>
              <w:rPr>
                <w:sz w:val="18"/>
                <w:szCs w:val="18"/>
              </w:rPr>
            </w:pPr>
            <w:r>
              <w:rPr>
                <w:spacing w:val="-2"/>
                <w:sz w:val="18"/>
                <w:szCs w:val="18"/>
              </w:rPr>
              <w:t>0.009L</w:t>
            </w:r>
          </w:p>
        </w:tc>
        <w:tc>
          <w:tcPr>
            <w:tcW w:w="707" w:type="dxa"/>
            <w:vAlign w:val="top"/>
          </w:tcPr>
          <w:p w14:paraId="1385BB1E">
            <w:pPr>
              <w:pStyle w:val="6"/>
              <w:spacing w:before="199" w:line="232" w:lineRule="auto"/>
              <w:ind w:left="148"/>
              <w:rPr>
                <w:sz w:val="18"/>
                <w:szCs w:val="18"/>
              </w:rPr>
            </w:pPr>
            <w:r>
              <w:rPr>
                <w:spacing w:val="-2"/>
                <w:sz w:val="18"/>
                <w:szCs w:val="18"/>
              </w:rPr>
              <w:t>0.041</w:t>
            </w:r>
          </w:p>
        </w:tc>
        <w:tc>
          <w:tcPr>
            <w:tcW w:w="766" w:type="dxa"/>
            <w:vAlign w:val="top"/>
          </w:tcPr>
          <w:p w14:paraId="366037D2">
            <w:pPr>
              <w:pStyle w:val="6"/>
              <w:spacing w:before="199" w:line="232" w:lineRule="auto"/>
              <w:ind w:left="266"/>
              <w:rPr>
                <w:sz w:val="18"/>
                <w:szCs w:val="18"/>
              </w:rPr>
            </w:pPr>
            <w:r>
              <w:rPr>
                <w:spacing w:val="-2"/>
                <w:sz w:val="18"/>
                <w:szCs w:val="18"/>
              </w:rPr>
              <w:t>2.0</w:t>
            </w:r>
          </w:p>
        </w:tc>
        <w:tc>
          <w:tcPr>
            <w:tcW w:w="595" w:type="dxa"/>
            <w:vAlign w:val="top"/>
          </w:tcPr>
          <w:p w14:paraId="2ECB7998">
            <w:pPr>
              <w:pStyle w:val="6"/>
              <w:spacing w:before="199" w:line="232" w:lineRule="auto"/>
              <w:ind w:left="153"/>
              <w:rPr>
                <w:sz w:val="18"/>
                <w:szCs w:val="18"/>
              </w:rPr>
            </w:pPr>
            <w:r>
              <w:rPr>
                <w:spacing w:val="-6"/>
                <w:sz w:val="18"/>
                <w:szCs w:val="18"/>
              </w:rPr>
              <w:t>19.0</w:t>
            </w:r>
          </w:p>
        </w:tc>
        <w:tc>
          <w:tcPr>
            <w:tcW w:w="955" w:type="dxa"/>
            <w:vAlign w:val="top"/>
          </w:tcPr>
          <w:p w14:paraId="31A51403">
            <w:pPr>
              <w:pStyle w:val="6"/>
              <w:spacing w:before="199" w:line="232" w:lineRule="auto"/>
              <w:ind w:left="389"/>
              <w:rPr>
                <w:sz w:val="18"/>
                <w:szCs w:val="18"/>
              </w:rPr>
            </w:pPr>
            <w:r>
              <w:rPr>
                <w:spacing w:val="-2"/>
                <w:sz w:val="18"/>
                <w:szCs w:val="18"/>
              </w:rPr>
              <w:t>64</w:t>
            </w:r>
          </w:p>
        </w:tc>
        <w:tc>
          <w:tcPr>
            <w:tcW w:w="506" w:type="dxa"/>
            <w:vAlign w:val="top"/>
          </w:tcPr>
          <w:p w14:paraId="73A19900">
            <w:pPr>
              <w:pStyle w:val="6"/>
              <w:spacing w:before="199" w:line="232" w:lineRule="auto"/>
              <w:ind w:left="164"/>
              <w:rPr>
                <w:sz w:val="18"/>
                <w:szCs w:val="18"/>
              </w:rPr>
            </w:pPr>
            <w:r>
              <w:rPr>
                <w:spacing w:val="-2"/>
                <w:sz w:val="18"/>
                <w:szCs w:val="18"/>
              </w:rPr>
              <w:t>34</w:t>
            </w:r>
          </w:p>
        </w:tc>
        <w:tc>
          <w:tcPr>
            <w:tcW w:w="707" w:type="dxa"/>
            <w:vAlign w:val="top"/>
          </w:tcPr>
          <w:p w14:paraId="3A6D1C9B">
            <w:pPr>
              <w:pStyle w:val="6"/>
              <w:spacing w:before="199" w:line="232" w:lineRule="auto"/>
              <w:ind w:left="212"/>
              <w:rPr>
                <w:sz w:val="18"/>
                <w:szCs w:val="18"/>
              </w:rPr>
            </w:pPr>
            <w:r>
              <w:rPr>
                <w:spacing w:val="-6"/>
                <w:sz w:val="18"/>
                <w:szCs w:val="18"/>
              </w:rPr>
              <w:t>1.12</w:t>
            </w:r>
          </w:p>
        </w:tc>
        <w:tc>
          <w:tcPr>
            <w:tcW w:w="708" w:type="dxa"/>
            <w:vAlign w:val="top"/>
          </w:tcPr>
          <w:p w14:paraId="72FA5FDC">
            <w:pPr>
              <w:pStyle w:val="6"/>
              <w:spacing w:before="199" w:line="232" w:lineRule="auto"/>
              <w:ind w:left="99"/>
              <w:rPr>
                <w:sz w:val="18"/>
                <w:szCs w:val="18"/>
              </w:rPr>
            </w:pPr>
            <w:r>
              <w:rPr>
                <w:spacing w:val="-2"/>
                <w:sz w:val="18"/>
                <w:szCs w:val="18"/>
              </w:rPr>
              <w:t>0.002L</w:t>
            </w:r>
          </w:p>
        </w:tc>
        <w:tc>
          <w:tcPr>
            <w:tcW w:w="663" w:type="dxa"/>
            <w:vAlign w:val="top"/>
          </w:tcPr>
          <w:p w14:paraId="6BFE81EF">
            <w:pPr>
              <w:pStyle w:val="6"/>
              <w:spacing w:before="199" w:line="232" w:lineRule="auto"/>
              <w:ind w:left="123"/>
              <w:rPr>
                <w:sz w:val="18"/>
                <w:szCs w:val="18"/>
              </w:rPr>
            </w:pPr>
            <w:r>
              <w:rPr>
                <w:spacing w:val="-2"/>
                <w:sz w:val="18"/>
                <w:szCs w:val="18"/>
              </w:rPr>
              <w:t>0.05L</w:t>
            </w:r>
          </w:p>
        </w:tc>
        <w:tc>
          <w:tcPr>
            <w:tcW w:w="664" w:type="dxa"/>
            <w:vAlign w:val="top"/>
          </w:tcPr>
          <w:p w14:paraId="6806662B">
            <w:pPr>
              <w:pStyle w:val="6"/>
              <w:spacing w:before="199" w:line="232" w:lineRule="auto"/>
              <w:ind w:left="134"/>
              <w:rPr>
                <w:sz w:val="18"/>
                <w:szCs w:val="18"/>
              </w:rPr>
            </w:pPr>
            <w:r>
              <w:rPr>
                <w:spacing w:val="-2"/>
                <w:sz w:val="18"/>
                <w:szCs w:val="18"/>
              </w:rPr>
              <w:t>0.003</w:t>
            </w:r>
          </w:p>
        </w:tc>
        <w:tc>
          <w:tcPr>
            <w:tcW w:w="782" w:type="dxa"/>
            <w:vAlign w:val="top"/>
          </w:tcPr>
          <w:p w14:paraId="594EED02">
            <w:pPr>
              <w:pStyle w:val="6"/>
              <w:spacing w:before="199" w:line="232" w:lineRule="auto"/>
              <w:ind w:left="93"/>
              <w:rPr>
                <w:sz w:val="18"/>
                <w:szCs w:val="18"/>
              </w:rPr>
            </w:pPr>
            <w:r>
              <w:rPr>
                <w:spacing w:val="-1"/>
                <w:sz w:val="18"/>
                <w:szCs w:val="18"/>
              </w:rPr>
              <w:t>0.0005L</w:t>
            </w:r>
          </w:p>
        </w:tc>
        <w:tc>
          <w:tcPr>
            <w:tcW w:w="663" w:type="dxa"/>
            <w:vAlign w:val="top"/>
          </w:tcPr>
          <w:p w14:paraId="45E157F9">
            <w:pPr>
              <w:pStyle w:val="6"/>
              <w:spacing w:before="199" w:line="232" w:lineRule="auto"/>
              <w:ind w:left="81"/>
              <w:rPr>
                <w:sz w:val="18"/>
                <w:szCs w:val="18"/>
              </w:rPr>
            </w:pPr>
            <w:r>
              <w:rPr>
                <w:spacing w:val="-2"/>
                <w:sz w:val="18"/>
                <w:szCs w:val="18"/>
              </w:rPr>
              <w:t>0.004L</w:t>
            </w:r>
          </w:p>
        </w:tc>
        <w:tc>
          <w:tcPr>
            <w:tcW w:w="737" w:type="dxa"/>
            <w:vAlign w:val="top"/>
          </w:tcPr>
          <w:p w14:paraId="3BD8F6F9">
            <w:pPr>
              <w:pStyle w:val="6"/>
              <w:spacing w:before="199" w:line="232" w:lineRule="auto"/>
              <w:ind w:left="74"/>
              <w:rPr>
                <w:sz w:val="18"/>
                <w:szCs w:val="18"/>
              </w:rPr>
            </w:pPr>
            <w:r>
              <w:rPr>
                <w:spacing w:val="-1"/>
                <w:sz w:val="18"/>
                <w:szCs w:val="18"/>
              </w:rPr>
              <w:t>0.0025L</w:t>
            </w:r>
          </w:p>
        </w:tc>
        <w:tc>
          <w:tcPr>
            <w:tcW w:w="737" w:type="dxa"/>
            <w:vAlign w:val="top"/>
          </w:tcPr>
          <w:p w14:paraId="5637F383">
            <w:pPr>
              <w:pStyle w:val="6"/>
              <w:spacing w:before="199" w:line="232" w:lineRule="auto"/>
              <w:ind w:left="130"/>
              <w:rPr>
                <w:sz w:val="18"/>
                <w:szCs w:val="18"/>
              </w:rPr>
            </w:pPr>
            <w:r>
              <w:rPr>
                <w:spacing w:val="-2"/>
                <w:sz w:val="18"/>
                <w:szCs w:val="18"/>
              </w:rPr>
              <w:t>0.0001</w:t>
            </w:r>
          </w:p>
        </w:tc>
        <w:tc>
          <w:tcPr>
            <w:tcW w:w="754" w:type="dxa"/>
            <w:vAlign w:val="top"/>
          </w:tcPr>
          <w:p w14:paraId="067A43D6">
            <w:pPr>
              <w:pStyle w:val="6"/>
              <w:spacing w:before="199" w:line="232" w:lineRule="auto"/>
              <w:ind w:left="84"/>
              <w:rPr>
                <w:sz w:val="18"/>
                <w:szCs w:val="18"/>
              </w:rPr>
            </w:pPr>
            <w:r>
              <w:rPr>
                <w:spacing w:val="-1"/>
                <w:sz w:val="18"/>
                <w:szCs w:val="18"/>
              </w:rPr>
              <w:t>0.0003L</w:t>
            </w:r>
          </w:p>
        </w:tc>
        <w:tc>
          <w:tcPr>
            <w:tcW w:w="667" w:type="dxa"/>
            <w:vAlign w:val="top"/>
          </w:tcPr>
          <w:p w14:paraId="14E0D592">
            <w:pPr>
              <w:pStyle w:val="6"/>
              <w:spacing w:before="199" w:line="232" w:lineRule="auto"/>
              <w:ind w:left="86"/>
              <w:rPr>
                <w:sz w:val="18"/>
                <w:szCs w:val="18"/>
              </w:rPr>
            </w:pPr>
            <w:r>
              <w:rPr>
                <w:spacing w:val="-2"/>
                <w:sz w:val="18"/>
                <w:szCs w:val="18"/>
              </w:rPr>
              <w:t>0.002L</w:t>
            </w:r>
          </w:p>
        </w:tc>
        <w:tc>
          <w:tcPr>
            <w:tcW w:w="544" w:type="dxa"/>
            <w:vAlign w:val="top"/>
          </w:tcPr>
          <w:p w14:paraId="089962BF">
            <w:pPr>
              <w:pStyle w:val="6"/>
              <w:spacing w:before="199" w:line="232" w:lineRule="auto"/>
              <w:ind w:left="117"/>
              <w:rPr>
                <w:sz w:val="18"/>
                <w:szCs w:val="18"/>
              </w:rPr>
            </w:pPr>
            <w:r>
              <w:rPr>
                <w:spacing w:val="-2"/>
                <w:sz w:val="18"/>
                <w:szCs w:val="18"/>
              </w:rPr>
              <w:t>0.2L</w:t>
            </w:r>
          </w:p>
        </w:tc>
        <w:tc>
          <w:tcPr>
            <w:tcW w:w="434" w:type="dxa"/>
            <w:vAlign w:val="top"/>
          </w:tcPr>
          <w:p w14:paraId="11218FEC">
            <w:pPr>
              <w:pStyle w:val="6"/>
              <w:spacing w:before="199" w:line="232" w:lineRule="auto"/>
              <w:ind w:left="62"/>
              <w:rPr>
                <w:sz w:val="18"/>
                <w:szCs w:val="18"/>
              </w:rPr>
            </w:pPr>
            <w:r>
              <w:rPr>
                <w:spacing w:val="-2"/>
                <w:sz w:val="18"/>
                <w:szCs w:val="18"/>
              </w:rPr>
              <w:t>0.5L</w:t>
            </w:r>
          </w:p>
        </w:tc>
        <w:tc>
          <w:tcPr>
            <w:tcW w:w="1015" w:type="dxa"/>
            <w:vAlign w:val="top"/>
          </w:tcPr>
          <w:p w14:paraId="5A83BD95">
            <w:pPr>
              <w:pStyle w:val="6"/>
              <w:spacing w:before="205" w:line="229" w:lineRule="auto"/>
              <w:ind w:left="392"/>
              <w:rPr>
                <w:sz w:val="18"/>
                <w:szCs w:val="18"/>
              </w:rPr>
            </w:pPr>
            <w:r>
              <w:rPr>
                <w:b/>
                <w:bCs/>
                <w:spacing w:val="-3"/>
                <w:sz w:val="18"/>
                <w:szCs w:val="18"/>
              </w:rPr>
              <w:t>130</w:t>
            </w:r>
          </w:p>
        </w:tc>
        <w:tc>
          <w:tcPr>
            <w:tcW w:w="721" w:type="dxa"/>
            <w:tcBorders>
              <w:right w:val="single" w:color="000000" w:sz="12" w:space="0"/>
            </w:tcBorders>
            <w:vAlign w:val="top"/>
          </w:tcPr>
          <w:p w14:paraId="64693C57">
            <w:pPr>
              <w:pStyle w:val="6"/>
              <w:spacing w:before="205" w:line="229" w:lineRule="auto"/>
              <w:ind w:left="239"/>
              <w:rPr>
                <w:sz w:val="18"/>
                <w:szCs w:val="18"/>
              </w:rPr>
            </w:pPr>
            <w:r>
              <w:rPr>
                <w:b/>
                <w:bCs/>
                <w:spacing w:val="-3"/>
                <w:sz w:val="18"/>
                <w:szCs w:val="18"/>
              </w:rPr>
              <w:t>120</w:t>
            </w:r>
          </w:p>
        </w:tc>
      </w:tr>
      <w:tr w14:paraId="11559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continue"/>
            <w:tcBorders>
              <w:top w:val="nil"/>
              <w:left w:val="single" w:color="000000" w:sz="12" w:space="0"/>
              <w:bottom w:val="nil"/>
            </w:tcBorders>
            <w:vAlign w:val="top"/>
          </w:tcPr>
          <w:p w14:paraId="666FCFE7">
            <w:pPr>
              <w:rPr>
                <w:rFonts w:ascii="Arial"/>
                <w:sz w:val="21"/>
              </w:rPr>
            </w:pPr>
          </w:p>
        </w:tc>
        <w:tc>
          <w:tcPr>
            <w:tcW w:w="272" w:type="dxa"/>
            <w:vMerge w:val="continue"/>
            <w:tcBorders>
              <w:top w:val="nil"/>
              <w:bottom w:val="nil"/>
            </w:tcBorders>
            <w:vAlign w:val="top"/>
          </w:tcPr>
          <w:p w14:paraId="209C0819">
            <w:pPr>
              <w:rPr>
                <w:rFonts w:ascii="Arial"/>
                <w:sz w:val="21"/>
              </w:rPr>
            </w:pPr>
          </w:p>
        </w:tc>
        <w:tc>
          <w:tcPr>
            <w:tcW w:w="1004" w:type="dxa"/>
            <w:vAlign w:val="top"/>
          </w:tcPr>
          <w:p w14:paraId="3DFB086A">
            <w:pPr>
              <w:pStyle w:val="6"/>
              <w:spacing w:before="199" w:line="232" w:lineRule="auto"/>
              <w:ind w:left="122"/>
              <w:rPr>
                <w:sz w:val="18"/>
                <w:szCs w:val="18"/>
              </w:rPr>
            </w:pPr>
            <w:r>
              <w:rPr>
                <w:spacing w:val="-1"/>
                <w:sz w:val="18"/>
                <w:szCs w:val="18"/>
              </w:rPr>
              <w:t>2019/5/11</w:t>
            </w:r>
          </w:p>
        </w:tc>
        <w:tc>
          <w:tcPr>
            <w:tcW w:w="686" w:type="dxa"/>
            <w:vAlign w:val="top"/>
          </w:tcPr>
          <w:p w14:paraId="7A4A3189">
            <w:pPr>
              <w:pStyle w:val="6"/>
              <w:spacing w:before="205" w:line="183" w:lineRule="auto"/>
              <w:ind w:left="234"/>
              <w:rPr>
                <w:sz w:val="18"/>
                <w:szCs w:val="18"/>
              </w:rPr>
            </w:pPr>
            <w:r>
              <w:rPr>
                <w:spacing w:val="-2"/>
                <w:sz w:val="18"/>
                <w:szCs w:val="18"/>
              </w:rPr>
              <w:t>5L</w:t>
            </w:r>
          </w:p>
        </w:tc>
        <w:tc>
          <w:tcPr>
            <w:tcW w:w="923" w:type="dxa"/>
            <w:vAlign w:val="top"/>
          </w:tcPr>
          <w:p w14:paraId="1EE866BC">
            <w:pPr>
              <w:pStyle w:val="6"/>
              <w:spacing w:before="199" w:line="232" w:lineRule="auto"/>
              <w:ind w:left="338"/>
              <w:rPr>
                <w:sz w:val="18"/>
                <w:szCs w:val="18"/>
              </w:rPr>
            </w:pPr>
            <w:r>
              <w:rPr>
                <w:spacing w:val="-3"/>
                <w:sz w:val="18"/>
                <w:szCs w:val="18"/>
              </w:rPr>
              <w:t>0.6</w:t>
            </w:r>
          </w:p>
        </w:tc>
        <w:tc>
          <w:tcPr>
            <w:tcW w:w="708" w:type="dxa"/>
            <w:vAlign w:val="top"/>
          </w:tcPr>
          <w:p w14:paraId="06A2D445">
            <w:pPr>
              <w:pStyle w:val="6"/>
              <w:spacing w:before="199" w:line="232" w:lineRule="auto"/>
              <w:ind w:left="188"/>
              <w:rPr>
                <w:sz w:val="18"/>
                <w:szCs w:val="18"/>
              </w:rPr>
            </w:pPr>
            <w:r>
              <w:rPr>
                <w:spacing w:val="-2"/>
                <w:sz w:val="18"/>
                <w:szCs w:val="18"/>
              </w:rPr>
              <w:t>7.11</w:t>
            </w:r>
          </w:p>
        </w:tc>
        <w:tc>
          <w:tcPr>
            <w:tcW w:w="850" w:type="dxa"/>
            <w:vAlign w:val="top"/>
          </w:tcPr>
          <w:p w14:paraId="102C1836">
            <w:pPr>
              <w:pStyle w:val="6"/>
              <w:spacing w:before="199" w:line="232" w:lineRule="auto"/>
              <w:ind w:left="159"/>
              <w:rPr>
                <w:sz w:val="18"/>
                <w:szCs w:val="18"/>
              </w:rPr>
            </w:pPr>
            <w:r>
              <w:rPr>
                <w:spacing w:val="-2"/>
                <w:sz w:val="18"/>
                <w:szCs w:val="18"/>
              </w:rPr>
              <w:t>0.040L</w:t>
            </w:r>
          </w:p>
        </w:tc>
        <w:tc>
          <w:tcPr>
            <w:tcW w:w="761" w:type="dxa"/>
            <w:vAlign w:val="top"/>
          </w:tcPr>
          <w:p w14:paraId="5F068F7F">
            <w:pPr>
              <w:pStyle w:val="6"/>
              <w:spacing w:before="199" w:line="232" w:lineRule="auto"/>
              <w:ind w:left="125"/>
              <w:rPr>
                <w:sz w:val="18"/>
                <w:szCs w:val="18"/>
              </w:rPr>
            </w:pPr>
            <w:r>
              <w:rPr>
                <w:spacing w:val="-2"/>
                <w:sz w:val="18"/>
                <w:szCs w:val="18"/>
              </w:rPr>
              <w:t>0.0387</w:t>
            </w:r>
          </w:p>
        </w:tc>
        <w:tc>
          <w:tcPr>
            <w:tcW w:w="654" w:type="dxa"/>
            <w:vAlign w:val="top"/>
          </w:tcPr>
          <w:p w14:paraId="0E65E736">
            <w:pPr>
              <w:pStyle w:val="6"/>
              <w:spacing w:before="199" w:line="232" w:lineRule="auto"/>
              <w:ind w:left="73"/>
              <w:rPr>
                <w:sz w:val="18"/>
                <w:szCs w:val="18"/>
              </w:rPr>
            </w:pPr>
            <w:r>
              <w:rPr>
                <w:spacing w:val="-2"/>
                <w:sz w:val="18"/>
                <w:szCs w:val="18"/>
              </w:rPr>
              <w:t>0.0051</w:t>
            </w:r>
          </w:p>
        </w:tc>
        <w:tc>
          <w:tcPr>
            <w:tcW w:w="708" w:type="dxa"/>
            <w:vAlign w:val="top"/>
          </w:tcPr>
          <w:p w14:paraId="564E3152">
            <w:pPr>
              <w:pStyle w:val="6"/>
              <w:spacing w:before="199" w:line="232" w:lineRule="auto"/>
              <w:ind w:left="91"/>
              <w:rPr>
                <w:sz w:val="18"/>
                <w:szCs w:val="18"/>
              </w:rPr>
            </w:pPr>
            <w:r>
              <w:rPr>
                <w:spacing w:val="-2"/>
                <w:sz w:val="18"/>
                <w:szCs w:val="18"/>
              </w:rPr>
              <w:t>0.009L</w:t>
            </w:r>
          </w:p>
        </w:tc>
        <w:tc>
          <w:tcPr>
            <w:tcW w:w="707" w:type="dxa"/>
            <w:vAlign w:val="top"/>
          </w:tcPr>
          <w:p w14:paraId="6773E4DF">
            <w:pPr>
              <w:pStyle w:val="6"/>
              <w:spacing w:before="199" w:line="232" w:lineRule="auto"/>
              <w:ind w:left="148"/>
              <w:rPr>
                <w:sz w:val="18"/>
                <w:szCs w:val="18"/>
              </w:rPr>
            </w:pPr>
            <w:r>
              <w:rPr>
                <w:spacing w:val="-2"/>
                <w:sz w:val="18"/>
                <w:szCs w:val="18"/>
              </w:rPr>
              <w:t>0.045</w:t>
            </w:r>
          </w:p>
        </w:tc>
        <w:tc>
          <w:tcPr>
            <w:tcW w:w="766" w:type="dxa"/>
            <w:vAlign w:val="top"/>
          </w:tcPr>
          <w:p w14:paraId="7E8C88DF">
            <w:pPr>
              <w:pStyle w:val="6"/>
              <w:spacing w:before="199" w:line="232" w:lineRule="auto"/>
              <w:ind w:left="283"/>
              <w:rPr>
                <w:sz w:val="18"/>
                <w:szCs w:val="18"/>
              </w:rPr>
            </w:pPr>
            <w:r>
              <w:rPr>
                <w:spacing w:val="-7"/>
                <w:sz w:val="18"/>
                <w:szCs w:val="18"/>
              </w:rPr>
              <w:t>1.8</w:t>
            </w:r>
          </w:p>
        </w:tc>
        <w:tc>
          <w:tcPr>
            <w:tcW w:w="595" w:type="dxa"/>
            <w:vAlign w:val="top"/>
          </w:tcPr>
          <w:p w14:paraId="6AB2BD4A">
            <w:pPr>
              <w:pStyle w:val="6"/>
              <w:spacing w:before="199" w:line="232" w:lineRule="auto"/>
              <w:ind w:left="153"/>
              <w:rPr>
                <w:sz w:val="18"/>
                <w:szCs w:val="18"/>
              </w:rPr>
            </w:pPr>
            <w:r>
              <w:rPr>
                <w:spacing w:val="-6"/>
                <w:sz w:val="18"/>
                <w:szCs w:val="18"/>
              </w:rPr>
              <w:t>18.0</w:t>
            </w:r>
          </w:p>
        </w:tc>
        <w:tc>
          <w:tcPr>
            <w:tcW w:w="955" w:type="dxa"/>
            <w:vAlign w:val="top"/>
          </w:tcPr>
          <w:p w14:paraId="4EC41E2E">
            <w:pPr>
              <w:pStyle w:val="6"/>
              <w:spacing w:before="199" w:line="232" w:lineRule="auto"/>
              <w:ind w:left="390"/>
              <w:rPr>
                <w:sz w:val="18"/>
                <w:szCs w:val="18"/>
              </w:rPr>
            </w:pPr>
            <w:r>
              <w:rPr>
                <w:spacing w:val="-3"/>
                <w:sz w:val="18"/>
                <w:szCs w:val="18"/>
              </w:rPr>
              <w:t>59</w:t>
            </w:r>
          </w:p>
        </w:tc>
        <w:tc>
          <w:tcPr>
            <w:tcW w:w="506" w:type="dxa"/>
            <w:vAlign w:val="top"/>
          </w:tcPr>
          <w:p w14:paraId="511FDB04">
            <w:pPr>
              <w:pStyle w:val="6"/>
              <w:spacing w:before="200" w:line="232" w:lineRule="auto"/>
              <w:ind w:left="164"/>
              <w:rPr>
                <w:sz w:val="18"/>
                <w:szCs w:val="18"/>
              </w:rPr>
            </w:pPr>
            <w:r>
              <w:rPr>
                <w:spacing w:val="-2"/>
                <w:sz w:val="18"/>
                <w:szCs w:val="18"/>
              </w:rPr>
              <w:t>38</w:t>
            </w:r>
          </w:p>
        </w:tc>
        <w:tc>
          <w:tcPr>
            <w:tcW w:w="707" w:type="dxa"/>
            <w:vAlign w:val="top"/>
          </w:tcPr>
          <w:p w14:paraId="62B957FC">
            <w:pPr>
              <w:pStyle w:val="6"/>
              <w:spacing w:before="199" w:line="232" w:lineRule="auto"/>
              <w:ind w:left="212"/>
              <w:rPr>
                <w:sz w:val="18"/>
                <w:szCs w:val="18"/>
              </w:rPr>
            </w:pPr>
            <w:r>
              <w:rPr>
                <w:spacing w:val="-6"/>
                <w:sz w:val="18"/>
                <w:szCs w:val="18"/>
              </w:rPr>
              <w:t>1.10</w:t>
            </w:r>
          </w:p>
        </w:tc>
        <w:tc>
          <w:tcPr>
            <w:tcW w:w="708" w:type="dxa"/>
            <w:vAlign w:val="top"/>
          </w:tcPr>
          <w:p w14:paraId="48263B28">
            <w:pPr>
              <w:pStyle w:val="6"/>
              <w:spacing w:before="199" w:line="232" w:lineRule="auto"/>
              <w:ind w:left="99"/>
              <w:rPr>
                <w:sz w:val="18"/>
                <w:szCs w:val="18"/>
              </w:rPr>
            </w:pPr>
            <w:r>
              <w:rPr>
                <w:spacing w:val="-2"/>
                <w:sz w:val="18"/>
                <w:szCs w:val="18"/>
              </w:rPr>
              <w:t>0.002L</w:t>
            </w:r>
          </w:p>
        </w:tc>
        <w:tc>
          <w:tcPr>
            <w:tcW w:w="663" w:type="dxa"/>
            <w:vAlign w:val="top"/>
          </w:tcPr>
          <w:p w14:paraId="0EB9A293">
            <w:pPr>
              <w:pStyle w:val="6"/>
              <w:spacing w:before="199" w:line="232" w:lineRule="auto"/>
              <w:ind w:left="123"/>
              <w:rPr>
                <w:sz w:val="18"/>
                <w:szCs w:val="18"/>
              </w:rPr>
            </w:pPr>
            <w:r>
              <w:rPr>
                <w:spacing w:val="-2"/>
                <w:sz w:val="18"/>
                <w:szCs w:val="18"/>
              </w:rPr>
              <w:t>0.05L</w:t>
            </w:r>
          </w:p>
        </w:tc>
        <w:tc>
          <w:tcPr>
            <w:tcW w:w="664" w:type="dxa"/>
            <w:vAlign w:val="top"/>
          </w:tcPr>
          <w:p w14:paraId="7C40BD6E">
            <w:pPr>
              <w:pStyle w:val="6"/>
              <w:spacing w:before="199" w:line="232" w:lineRule="auto"/>
              <w:ind w:left="134"/>
              <w:rPr>
                <w:sz w:val="18"/>
                <w:szCs w:val="18"/>
              </w:rPr>
            </w:pPr>
            <w:r>
              <w:rPr>
                <w:spacing w:val="-2"/>
                <w:sz w:val="18"/>
                <w:szCs w:val="18"/>
              </w:rPr>
              <w:t>0.003</w:t>
            </w:r>
          </w:p>
        </w:tc>
        <w:tc>
          <w:tcPr>
            <w:tcW w:w="782" w:type="dxa"/>
            <w:vAlign w:val="top"/>
          </w:tcPr>
          <w:p w14:paraId="4BC67FBE">
            <w:pPr>
              <w:pStyle w:val="6"/>
              <w:spacing w:before="199" w:line="232" w:lineRule="auto"/>
              <w:ind w:left="93"/>
              <w:rPr>
                <w:sz w:val="18"/>
                <w:szCs w:val="18"/>
              </w:rPr>
            </w:pPr>
            <w:r>
              <w:rPr>
                <w:spacing w:val="-1"/>
                <w:sz w:val="18"/>
                <w:szCs w:val="18"/>
              </w:rPr>
              <w:t>0.0005L</w:t>
            </w:r>
          </w:p>
        </w:tc>
        <w:tc>
          <w:tcPr>
            <w:tcW w:w="663" w:type="dxa"/>
            <w:vAlign w:val="top"/>
          </w:tcPr>
          <w:p w14:paraId="40143FB5">
            <w:pPr>
              <w:pStyle w:val="6"/>
              <w:spacing w:before="199" w:line="232" w:lineRule="auto"/>
              <w:ind w:left="81"/>
              <w:rPr>
                <w:sz w:val="18"/>
                <w:szCs w:val="18"/>
              </w:rPr>
            </w:pPr>
            <w:r>
              <w:rPr>
                <w:spacing w:val="-1"/>
                <w:sz w:val="18"/>
                <w:szCs w:val="18"/>
              </w:rPr>
              <w:t>0.004L</w:t>
            </w:r>
          </w:p>
        </w:tc>
        <w:tc>
          <w:tcPr>
            <w:tcW w:w="737" w:type="dxa"/>
            <w:vAlign w:val="top"/>
          </w:tcPr>
          <w:p w14:paraId="6B435D70">
            <w:pPr>
              <w:pStyle w:val="6"/>
              <w:spacing w:before="199" w:line="232" w:lineRule="auto"/>
              <w:ind w:left="74"/>
              <w:rPr>
                <w:sz w:val="18"/>
                <w:szCs w:val="18"/>
              </w:rPr>
            </w:pPr>
            <w:r>
              <w:rPr>
                <w:spacing w:val="-1"/>
                <w:sz w:val="18"/>
                <w:szCs w:val="18"/>
              </w:rPr>
              <w:t>0.0025L</w:t>
            </w:r>
          </w:p>
        </w:tc>
        <w:tc>
          <w:tcPr>
            <w:tcW w:w="737" w:type="dxa"/>
            <w:vAlign w:val="top"/>
          </w:tcPr>
          <w:p w14:paraId="0DA45757">
            <w:pPr>
              <w:pStyle w:val="6"/>
              <w:spacing w:before="199" w:line="232" w:lineRule="auto"/>
              <w:ind w:left="130"/>
              <w:rPr>
                <w:sz w:val="18"/>
                <w:szCs w:val="18"/>
              </w:rPr>
            </w:pPr>
            <w:r>
              <w:rPr>
                <w:spacing w:val="-2"/>
                <w:sz w:val="18"/>
                <w:szCs w:val="18"/>
              </w:rPr>
              <w:t>0.0001</w:t>
            </w:r>
          </w:p>
        </w:tc>
        <w:tc>
          <w:tcPr>
            <w:tcW w:w="754" w:type="dxa"/>
            <w:vAlign w:val="top"/>
          </w:tcPr>
          <w:p w14:paraId="4C58E868">
            <w:pPr>
              <w:pStyle w:val="6"/>
              <w:spacing w:before="199" w:line="232" w:lineRule="auto"/>
              <w:ind w:left="84"/>
              <w:rPr>
                <w:sz w:val="18"/>
                <w:szCs w:val="18"/>
              </w:rPr>
            </w:pPr>
            <w:r>
              <w:rPr>
                <w:spacing w:val="-1"/>
                <w:sz w:val="18"/>
                <w:szCs w:val="18"/>
              </w:rPr>
              <w:t>0.0003L</w:t>
            </w:r>
          </w:p>
        </w:tc>
        <w:tc>
          <w:tcPr>
            <w:tcW w:w="667" w:type="dxa"/>
            <w:vAlign w:val="top"/>
          </w:tcPr>
          <w:p w14:paraId="1C7E291D">
            <w:pPr>
              <w:pStyle w:val="6"/>
              <w:spacing w:before="199" w:line="232" w:lineRule="auto"/>
              <w:ind w:left="86"/>
              <w:rPr>
                <w:sz w:val="18"/>
                <w:szCs w:val="18"/>
              </w:rPr>
            </w:pPr>
            <w:r>
              <w:rPr>
                <w:spacing w:val="-2"/>
                <w:sz w:val="18"/>
                <w:szCs w:val="18"/>
              </w:rPr>
              <w:t>0.002L</w:t>
            </w:r>
          </w:p>
        </w:tc>
        <w:tc>
          <w:tcPr>
            <w:tcW w:w="544" w:type="dxa"/>
            <w:vAlign w:val="top"/>
          </w:tcPr>
          <w:p w14:paraId="2DF8652A">
            <w:pPr>
              <w:pStyle w:val="6"/>
              <w:spacing w:before="199" w:line="232" w:lineRule="auto"/>
              <w:ind w:left="117"/>
              <w:rPr>
                <w:sz w:val="18"/>
                <w:szCs w:val="18"/>
              </w:rPr>
            </w:pPr>
            <w:r>
              <w:rPr>
                <w:spacing w:val="-2"/>
                <w:sz w:val="18"/>
                <w:szCs w:val="18"/>
              </w:rPr>
              <w:t>0.2L</w:t>
            </w:r>
          </w:p>
        </w:tc>
        <w:tc>
          <w:tcPr>
            <w:tcW w:w="434" w:type="dxa"/>
            <w:vAlign w:val="top"/>
          </w:tcPr>
          <w:p w14:paraId="1498D6DB">
            <w:pPr>
              <w:pStyle w:val="6"/>
              <w:spacing w:before="199" w:line="232" w:lineRule="auto"/>
              <w:ind w:left="62"/>
              <w:rPr>
                <w:sz w:val="18"/>
                <w:szCs w:val="18"/>
              </w:rPr>
            </w:pPr>
            <w:r>
              <w:rPr>
                <w:spacing w:val="-2"/>
                <w:sz w:val="18"/>
                <w:szCs w:val="18"/>
              </w:rPr>
              <w:t>0.5L</w:t>
            </w:r>
          </w:p>
        </w:tc>
        <w:tc>
          <w:tcPr>
            <w:tcW w:w="1015" w:type="dxa"/>
            <w:vAlign w:val="top"/>
          </w:tcPr>
          <w:p w14:paraId="1A407BCA">
            <w:pPr>
              <w:pStyle w:val="6"/>
              <w:spacing w:before="205" w:line="229" w:lineRule="auto"/>
              <w:ind w:left="392"/>
              <w:rPr>
                <w:sz w:val="18"/>
                <w:szCs w:val="18"/>
              </w:rPr>
            </w:pPr>
            <w:r>
              <w:rPr>
                <w:b/>
                <w:bCs/>
                <w:spacing w:val="-3"/>
                <w:sz w:val="18"/>
                <w:szCs w:val="18"/>
              </w:rPr>
              <w:t>120</w:t>
            </w:r>
          </w:p>
        </w:tc>
        <w:tc>
          <w:tcPr>
            <w:tcW w:w="721" w:type="dxa"/>
            <w:tcBorders>
              <w:right w:val="single" w:color="000000" w:sz="12" w:space="0"/>
            </w:tcBorders>
            <w:vAlign w:val="top"/>
          </w:tcPr>
          <w:p w14:paraId="6680D1DF">
            <w:pPr>
              <w:pStyle w:val="6"/>
              <w:spacing w:before="205" w:line="229" w:lineRule="auto"/>
              <w:ind w:left="239"/>
              <w:rPr>
                <w:sz w:val="18"/>
                <w:szCs w:val="18"/>
              </w:rPr>
            </w:pPr>
            <w:r>
              <w:rPr>
                <w:b/>
                <w:bCs/>
                <w:spacing w:val="-3"/>
                <w:sz w:val="18"/>
                <w:szCs w:val="18"/>
              </w:rPr>
              <w:t>136</w:t>
            </w:r>
          </w:p>
        </w:tc>
      </w:tr>
      <w:tr w14:paraId="30A27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43ED3E0A">
            <w:pPr>
              <w:rPr>
                <w:rFonts w:ascii="Arial"/>
                <w:sz w:val="21"/>
              </w:rPr>
            </w:pPr>
          </w:p>
        </w:tc>
        <w:tc>
          <w:tcPr>
            <w:tcW w:w="272" w:type="dxa"/>
            <w:vMerge w:val="continue"/>
            <w:tcBorders>
              <w:top w:val="nil"/>
            </w:tcBorders>
            <w:vAlign w:val="top"/>
          </w:tcPr>
          <w:p w14:paraId="249E09C4">
            <w:pPr>
              <w:rPr>
                <w:rFonts w:ascii="Arial"/>
                <w:sz w:val="21"/>
              </w:rPr>
            </w:pPr>
          </w:p>
        </w:tc>
        <w:tc>
          <w:tcPr>
            <w:tcW w:w="1004" w:type="dxa"/>
            <w:vAlign w:val="top"/>
          </w:tcPr>
          <w:p w14:paraId="2D1CE631">
            <w:pPr>
              <w:pStyle w:val="6"/>
              <w:spacing w:before="202" w:line="232" w:lineRule="auto"/>
              <w:ind w:left="122"/>
              <w:rPr>
                <w:sz w:val="18"/>
                <w:szCs w:val="18"/>
              </w:rPr>
            </w:pPr>
            <w:r>
              <w:rPr>
                <w:spacing w:val="-1"/>
                <w:sz w:val="18"/>
                <w:szCs w:val="18"/>
              </w:rPr>
              <w:t>2019/5/12</w:t>
            </w:r>
          </w:p>
        </w:tc>
        <w:tc>
          <w:tcPr>
            <w:tcW w:w="686" w:type="dxa"/>
            <w:vAlign w:val="top"/>
          </w:tcPr>
          <w:p w14:paraId="0C9B1D6D">
            <w:pPr>
              <w:pStyle w:val="6"/>
              <w:spacing w:before="207" w:line="183" w:lineRule="auto"/>
              <w:ind w:left="234"/>
              <w:rPr>
                <w:sz w:val="18"/>
                <w:szCs w:val="18"/>
              </w:rPr>
            </w:pPr>
            <w:r>
              <w:rPr>
                <w:spacing w:val="-2"/>
                <w:sz w:val="18"/>
                <w:szCs w:val="18"/>
              </w:rPr>
              <w:t>5L</w:t>
            </w:r>
          </w:p>
        </w:tc>
        <w:tc>
          <w:tcPr>
            <w:tcW w:w="923" w:type="dxa"/>
            <w:vAlign w:val="top"/>
          </w:tcPr>
          <w:p w14:paraId="5D32E5C4">
            <w:pPr>
              <w:pStyle w:val="6"/>
              <w:spacing w:before="202" w:line="232" w:lineRule="auto"/>
              <w:ind w:left="338"/>
              <w:rPr>
                <w:sz w:val="18"/>
                <w:szCs w:val="18"/>
              </w:rPr>
            </w:pPr>
            <w:r>
              <w:rPr>
                <w:spacing w:val="-3"/>
                <w:sz w:val="18"/>
                <w:szCs w:val="18"/>
              </w:rPr>
              <w:t>0.8</w:t>
            </w:r>
          </w:p>
        </w:tc>
        <w:tc>
          <w:tcPr>
            <w:tcW w:w="708" w:type="dxa"/>
            <w:vAlign w:val="top"/>
          </w:tcPr>
          <w:p w14:paraId="04F5972A">
            <w:pPr>
              <w:pStyle w:val="6"/>
              <w:spacing w:before="202" w:line="232" w:lineRule="auto"/>
              <w:ind w:left="188"/>
              <w:rPr>
                <w:sz w:val="18"/>
                <w:szCs w:val="18"/>
              </w:rPr>
            </w:pPr>
            <w:r>
              <w:rPr>
                <w:spacing w:val="-2"/>
                <w:sz w:val="18"/>
                <w:szCs w:val="18"/>
              </w:rPr>
              <w:t>7.18</w:t>
            </w:r>
          </w:p>
        </w:tc>
        <w:tc>
          <w:tcPr>
            <w:tcW w:w="850" w:type="dxa"/>
            <w:vAlign w:val="top"/>
          </w:tcPr>
          <w:p w14:paraId="58906CED">
            <w:pPr>
              <w:pStyle w:val="6"/>
              <w:spacing w:before="202" w:line="232" w:lineRule="auto"/>
              <w:ind w:left="159"/>
              <w:rPr>
                <w:sz w:val="18"/>
                <w:szCs w:val="18"/>
              </w:rPr>
            </w:pPr>
            <w:r>
              <w:rPr>
                <w:spacing w:val="-2"/>
                <w:sz w:val="18"/>
                <w:szCs w:val="18"/>
              </w:rPr>
              <w:t>0.040L</w:t>
            </w:r>
          </w:p>
        </w:tc>
        <w:tc>
          <w:tcPr>
            <w:tcW w:w="761" w:type="dxa"/>
            <w:vAlign w:val="top"/>
          </w:tcPr>
          <w:p w14:paraId="5C45F6A6">
            <w:pPr>
              <w:pStyle w:val="6"/>
              <w:spacing w:before="202" w:line="232" w:lineRule="auto"/>
              <w:ind w:left="125"/>
              <w:rPr>
                <w:sz w:val="18"/>
                <w:szCs w:val="18"/>
              </w:rPr>
            </w:pPr>
            <w:r>
              <w:rPr>
                <w:spacing w:val="-2"/>
                <w:sz w:val="18"/>
                <w:szCs w:val="18"/>
              </w:rPr>
              <w:t>0.0398</w:t>
            </w:r>
          </w:p>
        </w:tc>
        <w:tc>
          <w:tcPr>
            <w:tcW w:w="654" w:type="dxa"/>
            <w:vAlign w:val="top"/>
          </w:tcPr>
          <w:p w14:paraId="6DB84C83">
            <w:pPr>
              <w:pStyle w:val="6"/>
              <w:spacing w:before="202" w:line="232" w:lineRule="auto"/>
              <w:ind w:left="73"/>
              <w:rPr>
                <w:sz w:val="18"/>
                <w:szCs w:val="18"/>
              </w:rPr>
            </w:pPr>
            <w:r>
              <w:rPr>
                <w:spacing w:val="-2"/>
                <w:sz w:val="18"/>
                <w:szCs w:val="18"/>
              </w:rPr>
              <w:t>0.0059</w:t>
            </w:r>
          </w:p>
        </w:tc>
        <w:tc>
          <w:tcPr>
            <w:tcW w:w="708" w:type="dxa"/>
            <w:vAlign w:val="top"/>
          </w:tcPr>
          <w:p w14:paraId="630F2D7D">
            <w:pPr>
              <w:pStyle w:val="6"/>
              <w:spacing w:before="202" w:line="232" w:lineRule="auto"/>
              <w:ind w:left="91"/>
              <w:rPr>
                <w:sz w:val="18"/>
                <w:szCs w:val="18"/>
              </w:rPr>
            </w:pPr>
            <w:r>
              <w:rPr>
                <w:spacing w:val="-2"/>
                <w:sz w:val="18"/>
                <w:szCs w:val="18"/>
              </w:rPr>
              <w:t>0.009L</w:t>
            </w:r>
          </w:p>
        </w:tc>
        <w:tc>
          <w:tcPr>
            <w:tcW w:w="707" w:type="dxa"/>
            <w:vAlign w:val="top"/>
          </w:tcPr>
          <w:p w14:paraId="58AFF4F0">
            <w:pPr>
              <w:pStyle w:val="6"/>
              <w:spacing w:before="202" w:line="232" w:lineRule="auto"/>
              <w:ind w:left="148"/>
              <w:rPr>
                <w:sz w:val="18"/>
                <w:szCs w:val="18"/>
              </w:rPr>
            </w:pPr>
            <w:r>
              <w:rPr>
                <w:spacing w:val="-2"/>
                <w:sz w:val="18"/>
                <w:szCs w:val="18"/>
              </w:rPr>
              <w:t>0.043</w:t>
            </w:r>
          </w:p>
        </w:tc>
        <w:tc>
          <w:tcPr>
            <w:tcW w:w="766" w:type="dxa"/>
            <w:vAlign w:val="top"/>
          </w:tcPr>
          <w:p w14:paraId="3583861E">
            <w:pPr>
              <w:pStyle w:val="6"/>
              <w:spacing w:before="202" w:line="232" w:lineRule="auto"/>
              <w:ind w:left="266"/>
              <w:rPr>
                <w:sz w:val="18"/>
                <w:szCs w:val="18"/>
              </w:rPr>
            </w:pPr>
            <w:r>
              <w:rPr>
                <w:spacing w:val="-2"/>
                <w:sz w:val="18"/>
                <w:szCs w:val="18"/>
              </w:rPr>
              <w:t>2.0</w:t>
            </w:r>
          </w:p>
        </w:tc>
        <w:tc>
          <w:tcPr>
            <w:tcW w:w="595" w:type="dxa"/>
            <w:vAlign w:val="top"/>
          </w:tcPr>
          <w:p w14:paraId="45909CF4">
            <w:pPr>
              <w:pStyle w:val="6"/>
              <w:spacing w:before="202" w:line="232" w:lineRule="auto"/>
              <w:ind w:left="153"/>
              <w:rPr>
                <w:sz w:val="18"/>
                <w:szCs w:val="18"/>
              </w:rPr>
            </w:pPr>
            <w:r>
              <w:rPr>
                <w:spacing w:val="-6"/>
                <w:sz w:val="18"/>
                <w:szCs w:val="18"/>
              </w:rPr>
              <w:t>19.4</w:t>
            </w:r>
          </w:p>
        </w:tc>
        <w:tc>
          <w:tcPr>
            <w:tcW w:w="955" w:type="dxa"/>
            <w:vAlign w:val="top"/>
          </w:tcPr>
          <w:p w14:paraId="00C5DB10">
            <w:pPr>
              <w:pStyle w:val="6"/>
              <w:spacing w:before="202" w:line="232" w:lineRule="auto"/>
              <w:ind w:left="389"/>
              <w:rPr>
                <w:sz w:val="18"/>
                <w:szCs w:val="18"/>
              </w:rPr>
            </w:pPr>
            <w:r>
              <w:rPr>
                <w:spacing w:val="-2"/>
                <w:sz w:val="18"/>
                <w:szCs w:val="18"/>
              </w:rPr>
              <w:t>68</w:t>
            </w:r>
          </w:p>
        </w:tc>
        <w:tc>
          <w:tcPr>
            <w:tcW w:w="506" w:type="dxa"/>
            <w:vAlign w:val="top"/>
          </w:tcPr>
          <w:p w14:paraId="10A4451A">
            <w:pPr>
              <w:pStyle w:val="6"/>
              <w:spacing w:before="201" w:line="235" w:lineRule="auto"/>
              <w:ind w:left="160"/>
              <w:rPr>
                <w:sz w:val="18"/>
                <w:szCs w:val="18"/>
              </w:rPr>
            </w:pPr>
            <w:r>
              <w:rPr>
                <w:spacing w:val="-1"/>
                <w:sz w:val="18"/>
                <w:szCs w:val="18"/>
              </w:rPr>
              <w:t>42</w:t>
            </w:r>
          </w:p>
        </w:tc>
        <w:tc>
          <w:tcPr>
            <w:tcW w:w="707" w:type="dxa"/>
            <w:vAlign w:val="top"/>
          </w:tcPr>
          <w:p w14:paraId="38FC3FEB">
            <w:pPr>
              <w:pStyle w:val="6"/>
              <w:spacing w:before="202" w:line="232" w:lineRule="auto"/>
              <w:ind w:left="212"/>
              <w:rPr>
                <w:sz w:val="18"/>
                <w:szCs w:val="18"/>
              </w:rPr>
            </w:pPr>
            <w:r>
              <w:rPr>
                <w:spacing w:val="-6"/>
                <w:sz w:val="18"/>
                <w:szCs w:val="18"/>
              </w:rPr>
              <w:t>1.14</w:t>
            </w:r>
          </w:p>
        </w:tc>
        <w:tc>
          <w:tcPr>
            <w:tcW w:w="708" w:type="dxa"/>
            <w:vAlign w:val="top"/>
          </w:tcPr>
          <w:p w14:paraId="43678FE8">
            <w:pPr>
              <w:pStyle w:val="6"/>
              <w:spacing w:before="202" w:line="232" w:lineRule="auto"/>
              <w:ind w:left="99"/>
              <w:rPr>
                <w:sz w:val="18"/>
                <w:szCs w:val="18"/>
              </w:rPr>
            </w:pPr>
            <w:r>
              <w:rPr>
                <w:spacing w:val="-2"/>
                <w:sz w:val="18"/>
                <w:szCs w:val="18"/>
              </w:rPr>
              <w:t>0.002L</w:t>
            </w:r>
          </w:p>
        </w:tc>
        <w:tc>
          <w:tcPr>
            <w:tcW w:w="663" w:type="dxa"/>
            <w:vAlign w:val="top"/>
          </w:tcPr>
          <w:p w14:paraId="50AD6B41">
            <w:pPr>
              <w:pStyle w:val="6"/>
              <w:spacing w:before="202" w:line="232" w:lineRule="auto"/>
              <w:ind w:left="123"/>
              <w:rPr>
                <w:sz w:val="18"/>
                <w:szCs w:val="18"/>
              </w:rPr>
            </w:pPr>
            <w:r>
              <w:rPr>
                <w:spacing w:val="-2"/>
                <w:sz w:val="18"/>
                <w:szCs w:val="18"/>
              </w:rPr>
              <w:t>0.05L</w:t>
            </w:r>
          </w:p>
        </w:tc>
        <w:tc>
          <w:tcPr>
            <w:tcW w:w="664" w:type="dxa"/>
            <w:vAlign w:val="top"/>
          </w:tcPr>
          <w:p w14:paraId="21F63AE3">
            <w:pPr>
              <w:pStyle w:val="6"/>
              <w:spacing w:before="202" w:line="232" w:lineRule="auto"/>
              <w:ind w:left="134"/>
              <w:rPr>
                <w:sz w:val="18"/>
                <w:szCs w:val="18"/>
              </w:rPr>
            </w:pPr>
            <w:r>
              <w:rPr>
                <w:spacing w:val="-2"/>
                <w:sz w:val="18"/>
                <w:szCs w:val="18"/>
              </w:rPr>
              <w:t>0.003</w:t>
            </w:r>
          </w:p>
        </w:tc>
        <w:tc>
          <w:tcPr>
            <w:tcW w:w="782" w:type="dxa"/>
            <w:vAlign w:val="top"/>
          </w:tcPr>
          <w:p w14:paraId="07EA794B">
            <w:pPr>
              <w:pStyle w:val="6"/>
              <w:spacing w:before="202" w:line="232" w:lineRule="auto"/>
              <w:ind w:left="93"/>
              <w:rPr>
                <w:sz w:val="18"/>
                <w:szCs w:val="18"/>
              </w:rPr>
            </w:pPr>
            <w:r>
              <w:rPr>
                <w:spacing w:val="-1"/>
                <w:sz w:val="18"/>
                <w:szCs w:val="18"/>
              </w:rPr>
              <w:t>0.0005L</w:t>
            </w:r>
          </w:p>
        </w:tc>
        <w:tc>
          <w:tcPr>
            <w:tcW w:w="663" w:type="dxa"/>
            <w:vAlign w:val="top"/>
          </w:tcPr>
          <w:p w14:paraId="69FD610B">
            <w:pPr>
              <w:pStyle w:val="6"/>
              <w:spacing w:before="202" w:line="232" w:lineRule="auto"/>
              <w:ind w:left="81"/>
              <w:rPr>
                <w:sz w:val="18"/>
                <w:szCs w:val="18"/>
              </w:rPr>
            </w:pPr>
            <w:r>
              <w:rPr>
                <w:spacing w:val="-2"/>
                <w:sz w:val="18"/>
                <w:szCs w:val="18"/>
              </w:rPr>
              <w:t>0.004L</w:t>
            </w:r>
          </w:p>
        </w:tc>
        <w:tc>
          <w:tcPr>
            <w:tcW w:w="737" w:type="dxa"/>
            <w:vAlign w:val="top"/>
          </w:tcPr>
          <w:p w14:paraId="762264A4">
            <w:pPr>
              <w:pStyle w:val="6"/>
              <w:spacing w:before="202" w:line="232" w:lineRule="auto"/>
              <w:ind w:left="74"/>
              <w:rPr>
                <w:sz w:val="18"/>
                <w:szCs w:val="18"/>
              </w:rPr>
            </w:pPr>
            <w:r>
              <w:rPr>
                <w:spacing w:val="-1"/>
                <w:sz w:val="18"/>
                <w:szCs w:val="18"/>
              </w:rPr>
              <w:t>0.0025L</w:t>
            </w:r>
          </w:p>
        </w:tc>
        <w:tc>
          <w:tcPr>
            <w:tcW w:w="737" w:type="dxa"/>
            <w:vAlign w:val="top"/>
          </w:tcPr>
          <w:p w14:paraId="6854320D">
            <w:pPr>
              <w:pStyle w:val="6"/>
              <w:spacing w:before="202" w:line="232" w:lineRule="auto"/>
              <w:ind w:left="130"/>
              <w:rPr>
                <w:sz w:val="18"/>
                <w:szCs w:val="18"/>
              </w:rPr>
            </w:pPr>
            <w:r>
              <w:rPr>
                <w:spacing w:val="-2"/>
                <w:sz w:val="18"/>
                <w:szCs w:val="18"/>
              </w:rPr>
              <w:t>0.0001</w:t>
            </w:r>
          </w:p>
        </w:tc>
        <w:tc>
          <w:tcPr>
            <w:tcW w:w="754" w:type="dxa"/>
            <w:vAlign w:val="top"/>
          </w:tcPr>
          <w:p w14:paraId="10A7FE28">
            <w:pPr>
              <w:pStyle w:val="6"/>
              <w:spacing w:before="202" w:line="232" w:lineRule="auto"/>
              <w:ind w:left="84"/>
              <w:rPr>
                <w:sz w:val="18"/>
                <w:szCs w:val="18"/>
              </w:rPr>
            </w:pPr>
            <w:r>
              <w:rPr>
                <w:spacing w:val="-1"/>
                <w:sz w:val="18"/>
                <w:szCs w:val="18"/>
              </w:rPr>
              <w:t>0.0003L</w:t>
            </w:r>
          </w:p>
        </w:tc>
        <w:tc>
          <w:tcPr>
            <w:tcW w:w="667" w:type="dxa"/>
            <w:vAlign w:val="top"/>
          </w:tcPr>
          <w:p w14:paraId="125E65E3">
            <w:pPr>
              <w:pStyle w:val="6"/>
              <w:spacing w:before="202" w:line="232" w:lineRule="auto"/>
              <w:ind w:left="86"/>
              <w:rPr>
                <w:sz w:val="18"/>
                <w:szCs w:val="18"/>
              </w:rPr>
            </w:pPr>
            <w:r>
              <w:rPr>
                <w:spacing w:val="-2"/>
                <w:sz w:val="18"/>
                <w:szCs w:val="18"/>
              </w:rPr>
              <w:t>0.002L</w:t>
            </w:r>
          </w:p>
        </w:tc>
        <w:tc>
          <w:tcPr>
            <w:tcW w:w="544" w:type="dxa"/>
            <w:vAlign w:val="top"/>
          </w:tcPr>
          <w:p w14:paraId="08829045">
            <w:pPr>
              <w:pStyle w:val="6"/>
              <w:spacing w:before="202" w:line="232" w:lineRule="auto"/>
              <w:ind w:left="117"/>
              <w:rPr>
                <w:sz w:val="18"/>
                <w:szCs w:val="18"/>
              </w:rPr>
            </w:pPr>
            <w:r>
              <w:rPr>
                <w:spacing w:val="-2"/>
                <w:sz w:val="18"/>
                <w:szCs w:val="18"/>
              </w:rPr>
              <w:t>0.2L</w:t>
            </w:r>
          </w:p>
        </w:tc>
        <w:tc>
          <w:tcPr>
            <w:tcW w:w="434" w:type="dxa"/>
            <w:vAlign w:val="top"/>
          </w:tcPr>
          <w:p w14:paraId="2AFCEE27">
            <w:pPr>
              <w:pStyle w:val="6"/>
              <w:spacing w:before="202" w:line="232" w:lineRule="auto"/>
              <w:ind w:left="62"/>
              <w:rPr>
                <w:sz w:val="18"/>
                <w:szCs w:val="18"/>
              </w:rPr>
            </w:pPr>
            <w:r>
              <w:rPr>
                <w:spacing w:val="-2"/>
                <w:sz w:val="18"/>
                <w:szCs w:val="18"/>
              </w:rPr>
              <w:t>0.5L</w:t>
            </w:r>
          </w:p>
        </w:tc>
        <w:tc>
          <w:tcPr>
            <w:tcW w:w="1015" w:type="dxa"/>
            <w:vAlign w:val="top"/>
          </w:tcPr>
          <w:p w14:paraId="11CA40EC">
            <w:pPr>
              <w:pStyle w:val="6"/>
              <w:spacing w:before="208" w:line="229" w:lineRule="auto"/>
              <w:ind w:left="392"/>
              <w:rPr>
                <w:sz w:val="18"/>
                <w:szCs w:val="18"/>
              </w:rPr>
            </w:pPr>
            <w:r>
              <w:rPr>
                <w:b/>
                <w:bCs/>
                <w:spacing w:val="-3"/>
                <w:sz w:val="18"/>
                <w:szCs w:val="18"/>
              </w:rPr>
              <w:t>120</w:t>
            </w:r>
          </w:p>
        </w:tc>
        <w:tc>
          <w:tcPr>
            <w:tcW w:w="721" w:type="dxa"/>
            <w:tcBorders>
              <w:right w:val="single" w:color="000000" w:sz="12" w:space="0"/>
            </w:tcBorders>
            <w:vAlign w:val="top"/>
          </w:tcPr>
          <w:p w14:paraId="7FF3C263">
            <w:pPr>
              <w:pStyle w:val="6"/>
              <w:spacing w:before="208" w:line="229" w:lineRule="auto"/>
              <w:ind w:left="239"/>
              <w:rPr>
                <w:sz w:val="18"/>
                <w:szCs w:val="18"/>
              </w:rPr>
            </w:pPr>
            <w:r>
              <w:rPr>
                <w:b/>
                <w:bCs/>
                <w:spacing w:val="-3"/>
                <w:sz w:val="18"/>
                <w:szCs w:val="18"/>
              </w:rPr>
              <w:t>130</w:t>
            </w:r>
          </w:p>
        </w:tc>
      </w:tr>
      <w:tr w14:paraId="25E29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92" w:type="dxa"/>
            <w:vMerge w:val="continue"/>
            <w:tcBorders>
              <w:top w:val="nil"/>
              <w:left w:val="single" w:color="000000" w:sz="12" w:space="0"/>
              <w:bottom w:val="nil"/>
            </w:tcBorders>
            <w:vAlign w:val="top"/>
          </w:tcPr>
          <w:p w14:paraId="3E6D8290">
            <w:pPr>
              <w:rPr>
                <w:rFonts w:ascii="Arial"/>
                <w:sz w:val="21"/>
              </w:rPr>
            </w:pPr>
          </w:p>
        </w:tc>
        <w:tc>
          <w:tcPr>
            <w:tcW w:w="272" w:type="dxa"/>
            <w:vMerge w:val="restart"/>
            <w:tcBorders>
              <w:bottom w:val="nil"/>
            </w:tcBorders>
            <w:vAlign w:val="top"/>
          </w:tcPr>
          <w:p w14:paraId="33356C21">
            <w:pPr>
              <w:spacing w:line="409" w:lineRule="auto"/>
              <w:rPr>
                <w:rFonts w:ascii="Arial"/>
                <w:sz w:val="21"/>
              </w:rPr>
            </w:pPr>
          </w:p>
          <w:p w14:paraId="74643074">
            <w:pPr>
              <w:pStyle w:val="6"/>
              <w:spacing w:before="52" w:line="235" w:lineRule="auto"/>
              <w:ind w:left="33" w:right="55"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004" w:type="dxa"/>
            <w:vAlign w:val="top"/>
          </w:tcPr>
          <w:p w14:paraId="16F83ED2">
            <w:pPr>
              <w:pStyle w:val="6"/>
              <w:spacing w:before="203" w:line="232" w:lineRule="auto"/>
              <w:ind w:left="167"/>
              <w:rPr>
                <w:sz w:val="18"/>
                <w:szCs w:val="18"/>
              </w:rPr>
            </w:pPr>
            <w:r>
              <w:rPr>
                <w:spacing w:val="-1"/>
                <w:sz w:val="18"/>
                <w:szCs w:val="18"/>
              </w:rPr>
              <w:t>2019/8/6</w:t>
            </w:r>
          </w:p>
        </w:tc>
        <w:tc>
          <w:tcPr>
            <w:tcW w:w="686" w:type="dxa"/>
            <w:vAlign w:val="top"/>
          </w:tcPr>
          <w:p w14:paraId="1A869D91">
            <w:pPr>
              <w:pStyle w:val="6"/>
              <w:spacing w:before="209" w:line="183" w:lineRule="auto"/>
              <w:ind w:left="234"/>
              <w:rPr>
                <w:sz w:val="18"/>
                <w:szCs w:val="18"/>
              </w:rPr>
            </w:pPr>
            <w:r>
              <w:rPr>
                <w:spacing w:val="-2"/>
                <w:sz w:val="18"/>
                <w:szCs w:val="18"/>
              </w:rPr>
              <w:t>5L</w:t>
            </w:r>
          </w:p>
        </w:tc>
        <w:tc>
          <w:tcPr>
            <w:tcW w:w="923" w:type="dxa"/>
            <w:vAlign w:val="top"/>
          </w:tcPr>
          <w:p w14:paraId="22A5E5EC">
            <w:pPr>
              <w:pStyle w:val="6"/>
              <w:spacing w:before="203" w:line="232" w:lineRule="auto"/>
              <w:ind w:left="338"/>
              <w:rPr>
                <w:sz w:val="18"/>
                <w:szCs w:val="18"/>
              </w:rPr>
            </w:pPr>
            <w:r>
              <w:rPr>
                <w:spacing w:val="-3"/>
                <w:sz w:val="18"/>
                <w:szCs w:val="18"/>
              </w:rPr>
              <w:t>0.7</w:t>
            </w:r>
          </w:p>
        </w:tc>
        <w:tc>
          <w:tcPr>
            <w:tcW w:w="708" w:type="dxa"/>
            <w:vAlign w:val="top"/>
          </w:tcPr>
          <w:p w14:paraId="3A0BE2AD">
            <w:pPr>
              <w:pStyle w:val="6"/>
              <w:spacing w:before="203" w:line="232" w:lineRule="auto"/>
              <w:ind w:left="189"/>
              <w:rPr>
                <w:sz w:val="18"/>
                <w:szCs w:val="18"/>
              </w:rPr>
            </w:pPr>
            <w:r>
              <w:rPr>
                <w:spacing w:val="-2"/>
                <w:sz w:val="18"/>
                <w:szCs w:val="18"/>
              </w:rPr>
              <w:t>6.69</w:t>
            </w:r>
          </w:p>
        </w:tc>
        <w:tc>
          <w:tcPr>
            <w:tcW w:w="850" w:type="dxa"/>
            <w:vAlign w:val="top"/>
          </w:tcPr>
          <w:p w14:paraId="46822F56">
            <w:pPr>
              <w:pStyle w:val="6"/>
              <w:spacing w:before="203" w:line="232" w:lineRule="auto"/>
              <w:ind w:left="159"/>
              <w:rPr>
                <w:sz w:val="18"/>
                <w:szCs w:val="18"/>
              </w:rPr>
            </w:pPr>
            <w:r>
              <w:rPr>
                <w:spacing w:val="-2"/>
                <w:sz w:val="18"/>
                <w:szCs w:val="18"/>
              </w:rPr>
              <w:t>0.040L</w:t>
            </w:r>
          </w:p>
        </w:tc>
        <w:tc>
          <w:tcPr>
            <w:tcW w:w="761" w:type="dxa"/>
            <w:vAlign w:val="top"/>
          </w:tcPr>
          <w:p w14:paraId="234A9C87">
            <w:pPr>
              <w:pStyle w:val="6"/>
              <w:spacing w:before="203" w:line="232" w:lineRule="auto"/>
              <w:ind w:left="70"/>
              <w:rPr>
                <w:sz w:val="18"/>
                <w:szCs w:val="18"/>
              </w:rPr>
            </w:pPr>
            <w:r>
              <w:rPr>
                <w:spacing w:val="-1"/>
                <w:sz w:val="18"/>
                <w:szCs w:val="18"/>
              </w:rPr>
              <w:t>0.0045L</w:t>
            </w:r>
          </w:p>
        </w:tc>
        <w:tc>
          <w:tcPr>
            <w:tcW w:w="654" w:type="dxa"/>
            <w:vAlign w:val="top"/>
          </w:tcPr>
          <w:p w14:paraId="44CC3DA0">
            <w:pPr>
              <w:pStyle w:val="6"/>
              <w:spacing w:before="203" w:line="232" w:lineRule="auto"/>
              <w:ind w:left="73"/>
              <w:rPr>
                <w:sz w:val="18"/>
                <w:szCs w:val="18"/>
              </w:rPr>
            </w:pPr>
            <w:r>
              <w:rPr>
                <w:spacing w:val="-2"/>
                <w:sz w:val="18"/>
                <w:szCs w:val="18"/>
              </w:rPr>
              <w:t>0.0033</w:t>
            </w:r>
          </w:p>
        </w:tc>
        <w:tc>
          <w:tcPr>
            <w:tcW w:w="708" w:type="dxa"/>
            <w:vAlign w:val="top"/>
          </w:tcPr>
          <w:p w14:paraId="1DDA80DE">
            <w:pPr>
              <w:pStyle w:val="6"/>
              <w:spacing w:before="203" w:line="232" w:lineRule="auto"/>
              <w:ind w:left="91"/>
              <w:rPr>
                <w:sz w:val="18"/>
                <w:szCs w:val="18"/>
              </w:rPr>
            </w:pPr>
            <w:r>
              <w:rPr>
                <w:spacing w:val="-2"/>
                <w:sz w:val="18"/>
                <w:szCs w:val="18"/>
              </w:rPr>
              <w:t>0.009L</w:t>
            </w:r>
          </w:p>
        </w:tc>
        <w:tc>
          <w:tcPr>
            <w:tcW w:w="707" w:type="dxa"/>
            <w:vAlign w:val="top"/>
          </w:tcPr>
          <w:p w14:paraId="2A250C46">
            <w:pPr>
              <w:pStyle w:val="6"/>
              <w:spacing w:before="203" w:line="232" w:lineRule="auto"/>
              <w:ind w:left="148"/>
              <w:rPr>
                <w:sz w:val="18"/>
                <w:szCs w:val="18"/>
              </w:rPr>
            </w:pPr>
            <w:r>
              <w:rPr>
                <w:spacing w:val="-2"/>
                <w:sz w:val="18"/>
                <w:szCs w:val="18"/>
              </w:rPr>
              <w:t>0.024</w:t>
            </w:r>
          </w:p>
        </w:tc>
        <w:tc>
          <w:tcPr>
            <w:tcW w:w="766" w:type="dxa"/>
            <w:vAlign w:val="top"/>
          </w:tcPr>
          <w:p w14:paraId="587244E0">
            <w:pPr>
              <w:pStyle w:val="6"/>
              <w:spacing w:before="203" w:line="232" w:lineRule="auto"/>
              <w:ind w:left="265"/>
              <w:rPr>
                <w:sz w:val="18"/>
                <w:szCs w:val="18"/>
              </w:rPr>
            </w:pPr>
            <w:r>
              <w:rPr>
                <w:spacing w:val="-1"/>
                <w:sz w:val="18"/>
                <w:szCs w:val="18"/>
              </w:rPr>
              <w:t>4.8</w:t>
            </w:r>
          </w:p>
        </w:tc>
        <w:tc>
          <w:tcPr>
            <w:tcW w:w="595" w:type="dxa"/>
            <w:vAlign w:val="top"/>
          </w:tcPr>
          <w:p w14:paraId="0A55910A">
            <w:pPr>
              <w:pStyle w:val="6"/>
              <w:spacing w:before="203" w:line="232" w:lineRule="auto"/>
              <w:ind w:left="140"/>
              <w:rPr>
                <w:sz w:val="18"/>
                <w:szCs w:val="18"/>
              </w:rPr>
            </w:pPr>
            <w:r>
              <w:rPr>
                <w:spacing w:val="-2"/>
                <w:sz w:val="18"/>
                <w:szCs w:val="18"/>
              </w:rPr>
              <w:t>69.3</w:t>
            </w:r>
          </w:p>
        </w:tc>
        <w:tc>
          <w:tcPr>
            <w:tcW w:w="955" w:type="dxa"/>
            <w:vAlign w:val="top"/>
          </w:tcPr>
          <w:p w14:paraId="350204F9">
            <w:pPr>
              <w:pStyle w:val="6"/>
              <w:spacing w:before="203" w:line="232" w:lineRule="auto"/>
              <w:ind w:left="358"/>
              <w:rPr>
                <w:sz w:val="18"/>
                <w:szCs w:val="18"/>
              </w:rPr>
            </w:pPr>
            <w:r>
              <w:rPr>
                <w:spacing w:val="-5"/>
                <w:sz w:val="18"/>
                <w:szCs w:val="18"/>
              </w:rPr>
              <w:t>198</w:t>
            </w:r>
          </w:p>
        </w:tc>
        <w:tc>
          <w:tcPr>
            <w:tcW w:w="506" w:type="dxa"/>
            <w:vAlign w:val="top"/>
          </w:tcPr>
          <w:p w14:paraId="04ED3580">
            <w:pPr>
              <w:pStyle w:val="6"/>
              <w:spacing w:before="203" w:line="232" w:lineRule="auto"/>
              <w:ind w:left="164"/>
              <w:rPr>
                <w:sz w:val="18"/>
                <w:szCs w:val="18"/>
              </w:rPr>
            </w:pPr>
            <w:r>
              <w:rPr>
                <w:spacing w:val="-2"/>
                <w:sz w:val="18"/>
                <w:szCs w:val="18"/>
              </w:rPr>
              <w:t>79</w:t>
            </w:r>
          </w:p>
        </w:tc>
        <w:tc>
          <w:tcPr>
            <w:tcW w:w="707" w:type="dxa"/>
            <w:vAlign w:val="top"/>
          </w:tcPr>
          <w:p w14:paraId="2380739C">
            <w:pPr>
              <w:pStyle w:val="6"/>
              <w:spacing w:before="203" w:line="232" w:lineRule="auto"/>
              <w:ind w:left="212"/>
              <w:rPr>
                <w:sz w:val="18"/>
                <w:szCs w:val="18"/>
              </w:rPr>
            </w:pPr>
            <w:r>
              <w:rPr>
                <w:spacing w:val="-6"/>
                <w:sz w:val="18"/>
                <w:szCs w:val="18"/>
              </w:rPr>
              <w:t>1.44</w:t>
            </w:r>
          </w:p>
        </w:tc>
        <w:tc>
          <w:tcPr>
            <w:tcW w:w="708" w:type="dxa"/>
            <w:vAlign w:val="top"/>
          </w:tcPr>
          <w:p w14:paraId="68998741">
            <w:pPr>
              <w:pStyle w:val="6"/>
              <w:spacing w:before="203" w:line="232" w:lineRule="auto"/>
              <w:ind w:left="99"/>
              <w:rPr>
                <w:sz w:val="18"/>
                <w:szCs w:val="18"/>
              </w:rPr>
            </w:pPr>
            <w:r>
              <w:rPr>
                <w:spacing w:val="-2"/>
                <w:sz w:val="18"/>
                <w:szCs w:val="18"/>
              </w:rPr>
              <w:t>0.002L</w:t>
            </w:r>
          </w:p>
        </w:tc>
        <w:tc>
          <w:tcPr>
            <w:tcW w:w="663" w:type="dxa"/>
            <w:vAlign w:val="top"/>
          </w:tcPr>
          <w:p w14:paraId="7F1A1578">
            <w:pPr>
              <w:pStyle w:val="6"/>
              <w:spacing w:before="203" w:line="232" w:lineRule="auto"/>
              <w:ind w:left="123"/>
              <w:rPr>
                <w:sz w:val="18"/>
                <w:szCs w:val="18"/>
              </w:rPr>
            </w:pPr>
            <w:r>
              <w:rPr>
                <w:spacing w:val="-2"/>
                <w:sz w:val="18"/>
                <w:szCs w:val="18"/>
              </w:rPr>
              <w:t>0.05L</w:t>
            </w:r>
          </w:p>
        </w:tc>
        <w:tc>
          <w:tcPr>
            <w:tcW w:w="664" w:type="dxa"/>
            <w:vAlign w:val="top"/>
          </w:tcPr>
          <w:p w14:paraId="2308F168">
            <w:pPr>
              <w:pStyle w:val="6"/>
              <w:spacing w:before="203" w:line="232" w:lineRule="auto"/>
              <w:ind w:left="134"/>
              <w:rPr>
                <w:sz w:val="18"/>
                <w:szCs w:val="18"/>
              </w:rPr>
            </w:pPr>
            <w:r>
              <w:rPr>
                <w:spacing w:val="-2"/>
                <w:sz w:val="18"/>
                <w:szCs w:val="18"/>
              </w:rPr>
              <w:t>0.003</w:t>
            </w:r>
          </w:p>
        </w:tc>
        <w:tc>
          <w:tcPr>
            <w:tcW w:w="782" w:type="dxa"/>
            <w:vAlign w:val="top"/>
          </w:tcPr>
          <w:p w14:paraId="31398D06">
            <w:pPr>
              <w:pStyle w:val="6"/>
              <w:spacing w:before="203" w:line="232" w:lineRule="auto"/>
              <w:ind w:left="93"/>
              <w:rPr>
                <w:sz w:val="18"/>
                <w:szCs w:val="18"/>
              </w:rPr>
            </w:pPr>
            <w:r>
              <w:rPr>
                <w:spacing w:val="-1"/>
                <w:sz w:val="18"/>
                <w:szCs w:val="18"/>
              </w:rPr>
              <w:t>0.0005L</w:t>
            </w:r>
          </w:p>
        </w:tc>
        <w:tc>
          <w:tcPr>
            <w:tcW w:w="663" w:type="dxa"/>
            <w:vAlign w:val="top"/>
          </w:tcPr>
          <w:p w14:paraId="6896BF0E">
            <w:pPr>
              <w:pStyle w:val="6"/>
              <w:spacing w:before="203" w:line="232" w:lineRule="auto"/>
              <w:ind w:left="81"/>
              <w:rPr>
                <w:sz w:val="18"/>
                <w:szCs w:val="18"/>
              </w:rPr>
            </w:pPr>
            <w:r>
              <w:rPr>
                <w:spacing w:val="-2"/>
                <w:sz w:val="18"/>
                <w:szCs w:val="18"/>
              </w:rPr>
              <w:t>0.004L</w:t>
            </w:r>
          </w:p>
        </w:tc>
        <w:tc>
          <w:tcPr>
            <w:tcW w:w="737" w:type="dxa"/>
            <w:vAlign w:val="top"/>
          </w:tcPr>
          <w:p w14:paraId="17DB268A">
            <w:pPr>
              <w:pStyle w:val="6"/>
              <w:spacing w:before="203" w:line="232" w:lineRule="auto"/>
              <w:ind w:left="74"/>
              <w:rPr>
                <w:sz w:val="18"/>
                <w:szCs w:val="18"/>
              </w:rPr>
            </w:pPr>
            <w:r>
              <w:rPr>
                <w:spacing w:val="-1"/>
                <w:sz w:val="18"/>
                <w:szCs w:val="18"/>
              </w:rPr>
              <w:t>0.0025L</w:t>
            </w:r>
          </w:p>
        </w:tc>
        <w:tc>
          <w:tcPr>
            <w:tcW w:w="737" w:type="dxa"/>
            <w:vAlign w:val="top"/>
          </w:tcPr>
          <w:p w14:paraId="56C47E98">
            <w:pPr>
              <w:pStyle w:val="6"/>
              <w:spacing w:before="203" w:line="232" w:lineRule="auto"/>
              <w:ind w:left="130"/>
              <w:rPr>
                <w:sz w:val="18"/>
                <w:szCs w:val="18"/>
              </w:rPr>
            </w:pPr>
            <w:r>
              <w:rPr>
                <w:spacing w:val="-2"/>
                <w:sz w:val="18"/>
                <w:szCs w:val="18"/>
              </w:rPr>
              <w:t>0.0001</w:t>
            </w:r>
          </w:p>
        </w:tc>
        <w:tc>
          <w:tcPr>
            <w:tcW w:w="754" w:type="dxa"/>
            <w:vAlign w:val="top"/>
          </w:tcPr>
          <w:p w14:paraId="60C781DE">
            <w:pPr>
              <w:pStyle w:val="6"/>
              <w:spacing w:before="203" w:line="232" w:lineRule="auto"/>
              <w:ind w:left="84"/>
              <w:rPr>
                <w:sz w:val="18"/>
                <w:szCs w:val="18"/>
              </w:rPr>
            </w:pPr>
            <w:r>
              <w:rPr>
                <w:spacing w:val="-1"/>
                <w:sz w:val="18"/>
                <w:szCs w:val="18"/>
              </w:rPr>
              <w:t>0.0003L</w:t>
            </w:r>
          </w:p>
        </w:tc>
        <w:tc>
          <w:tcPr>
            <w:tcW w:w="667" w:type="dxa"/>
            <w:vAlign w:val="top"/>
          </w:tcPr>
          <w:p w14:paraId="66B126B0">
            <w:pPr>
              <w:pStyle w:val="6"/>
              <w:spacing w:before="203" w:line="232" w:lineRule="auto"/>
              <w:ind w:left="86"/>
              <w:rPr>
                <w:sz w:val="18"/>
                <w:szCs w:val="18"/>
              </w:rPr>
            </w:pPr>
            <w:r>
              <w:rPr>
                <w:spacing w:val="-2"/>
                <w:sz w:val="18"/>
                <w:szCs w:val="18"/>
              </w:rPr>
              <w:t>0.002L</w:t>
            </w:r>
          </w:p>
        </w:tc>
        <w:tc>
          <w:tcPr>
            <w:tcW w:w="544" w:type="dxa"/>
            <w:vAlign w:val="top"/>
          </w:tcPr>
          <w:p w14:paraId="54F60782">
            <w:pPr>
              <w:pStyle w:val="6"/>
              <w:spacing w:before="203" w:line="232" w:lineRule="auto"/>
              <w:ind w:left="117"/>
              <w:rPr>
                <w:sz w:val="18"/>
                <w:szCs w:val="18"/>
              </w:rPr>
            </w:pPr>
            <w:r>
              <w:rPr>
                <w:spacing w:val="-2"/>
                <w:sz w:val="18"/>
                <w:szCs w:val="18"/>
              </w:rPr>
              <w:t>0.2L</w:t>
            </w:r>
          </w:p>
        </w:tc>
        <w:tc>
          <w:tcPr>
            <w:tcW w:w="434" w:type="dxa"/>
            <w:vAlign w:val="top"/>
          </w:tcPr>
          <w:p w14:paraId="525846CF">
            <w:pPr>
              <w:pStyle w:val="6"/>
              <w:spacing w:before="203" w:line="232" w:lineRule="auto"/>
              <w:ind w:left="62"/>
              <w:rPr>
                <w:sz w:val="18"/>
                <w:szCs w:val="18"/>
              </w:rPr>
            </w:pPr>
            <w:r>
              <w:rPr>
                <w:spacing w:val="-2"/>
                <w:sz w:val="18"/>
                <w:szCs w:val="18"/>
              </w:rPr>
              <w:t>0.5L</w:t>
            </w:r>
          </w:p>
        </w:tc>
        <w:tc>
          <w:tcPr>
            <w:tcW w:w="1015" w:type="dxa"/>
            <w:vAlign w:val="top"/>
          </w:tcPr>
          <w:p w14:paraId="5E579339">
            <w:pPr>
              <w:pStyle w:val="6"/>
              <w:spacing w:before="203" w:line="232" w:lineRule="auto"/>
              <w:ind w:left="489"/>
              <w:rPr>
                <w:sz w:val="18"/>
                <w:szCs w:val="18"/>
              </w:rPr>
            </w:pPr>
            <w:r>
              <w:rPr>
                <w:sz w:val="18"/>
                <w:szCs w:val="18"/>
              </w:rPr>
              <w:t>/</w:t>
            </w:r>
          </w:p>
        </w:tc>
        <w:tc>
          <w:tcPr>
            <w:tcW w:w="721" w:type="dxa"/>
            <w:tcBorders>
              <w:right w:val="single" w:color="000000" w:sz="12" w:space="0"/>
            </w:tcBorders>
            <w:vAlign w:val="top"/>
          </w:tcPr>
          <w:p w14:paraId="50B3BFCE">
            <w:pPr>
              <w:pStyle w:val="6"/>
              <w:spacing w:before="203" w:line="232" w:lineRule="auto"/>
              <w:ind w:left="279"/>
              <w:rPr>
                <w:sz w:val="18"/>
                <w:szCs w:val="18"/>
              </w:rPr>
            </w:pPr>
            <w:r>
              <w:rPr>
                <w:spacing w:val="-2"/>
                <w:sz w:val="18"/>
                <w:szCs w:val="18"/>
              </w:rPr>
              <w:t>60</w:t>
            </w:r>
          </w:p>
        </w:tc>
      </w:tr>
      <w:tr w14:paraId="7B8F2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continue"/>
            <w:tcBorders>
              <w:top w:val="nil"/>
              <w:left w:val="single" w:color="000000" w:sz="12" w:space="0"/>
              <w:bottom w:val="nil"/>
            </w:tcBorders>
            <w:vAlign w:val="top"/>
          </w:tcPr>
          <w:p w14:paraId="03859675">
            <w:pPr>
              <w:rPr>
                <w:rFonts w:ascii="Arial"/>
                <w:sz w:val="21"/>
              </w:rPr>
            </w:pPr>
          </w:p>
        </w:tc>
        <w:tc>
          <w:tcPr>
            <w:tcW w:w="272" w:type="dxa"/>
            <w:vMerge w:val="continue"/>
            <w:tcBorders>
              <w:top w:val="nil"/>
              <w:bottom w:val="nil"/>
            </w:tcBorders>
            <w:vAlign w:val="top"/>
          </w:tcPr>
          <w:p w14:paraId="59501A19">
            <w:pPr>
              <w:rPr>
                <w:rFonts w:ascii="Arial"/>
                <w:sz w:val="21"/>
              </w:rPr>
            </w:pPr>
          </w:p>
        </w:tc>
        <w:tc>
          <w:tcPr>
            <w:tcW w:w="1004" w:type="dxa"/>
            <w:vAlign w:val="top"/>
          </w:tcPr>
          <w:p w14:paraId="2A975DC3">
            <w:pPr>
              <w:pStyle w:val="6"/>
              <w:spacing w:before="203" w:line="232" w:lineRule="auto"/>
              <w:ind w:left="167"/>
              <w:rPr>
                <w:sz w:val="18"/>
                <w:szCs w:val="18"/>
              </w:rPr>
            </w:pPr>
            <w:r>
              <w:rPr>
                <w:spacing w:val="-1"/>
                <w:sz w:val="18"/>
                <w:szCs w:val="18"/>
              </w:rPr>
              <w:t>2019/8/7</w:t>
            </w:r>
          </w:p>
        </w:tc>
        <w:tc>
          <w:tcPr>
            <w:tcW w:w="686" w:type="dxa"/>
            <w:vAlign w:val="top"/>
          </w:tcPr>
          <w:p w14:paraId="03D33734">
            <w:pPr>
              <w:pStyle w:val="6"/>
              <w:spacing w:before="209" w:line="183" w:lineRule="auto"/>
              <w:ind w:left="234"/>
              <w:rPr>
                <w:sz w:val="18"/>
                <w:szCs w:val="18"/>
              </w:rPr>
            </w:pPr>
            <w:r>
              <w:rPr>
                <w:spacing w:val="-2"/>
                <w:sz w:val="18"/>
                <w:szCs w:val="18"/>
              </w:rPr>
              <w:t>5L</w:t>
            </w:r>
          </w:p>
        </w:tc>
        <w:tc>
          <w:tcPr>
            <w:tcW w:w="923" w:type="dxa"/>
            <w:vAlign w:val="top"/>
          </w:tcPr>
          <w:p w14:paraId="32FCB4F4">
            <w:pPr>
              <w:pStyle w:val="6"/>
              <w:spacing w:before="203" w:line="232" w:lineRule="auto"/>
              <w:ind w:left="338"/>
              <w:rPr>
                <w:sz w:val="18"/>
                <w:szCs w:val="18"/>
              </w:rPr>
            </w:pPr>
            <w:r>
              <w:rPr>
                <w:spacing w:val="-3"/>
                <w:sz w:val="18"/>
                <w:szCs w:val="18"/>
              </w:rPr>
              <w:t>0.7</w:t>
            </w:r>
          </w:p>
        </w:tc>
        <w:tc>
          <w:tcPr>
            <w:tcW w:w="708" w:type="dxa"/>
            <w:vAlign w:val="top"/>
          </w:tcPr>
          <w:p w14:paraId="5AD12ADC">
            <w:pPr>
              <w:pStyle w:val="6"/>
              <w:spacing w:before="203" w:line="232" w:lineRule="auto"/>
              <w:ind w:left="189"/>
              <w:rPr>
                <w:sz w:val="18"/>
                <w:szCs w:val="18"/>
              </w:rPr>
            </w:pPr>
            <w:r>
              <w:rPr>
                <w:spacing w:val="-2"/>
                <w:sz w:val="18"/>
                <w:szCs w:val="18"/>
              </w:rPr>
              <w:t>6.65</w:t>
            </w:r>
          </w:p>
        </w:tc>
        <w:tc>
          <w:tcPr>
            <w:tcW w:w="850" w:type="dxa"/>
            <w:vAlign w:val="top"/>
          </w:tcPr>
          <w:p w14:paraId="321A98F5">
            <w:pPr>
              <w:pStyle w:val="6"/>
              <w:spacing w:before="203" w:line="232" w:lineRule="auto"/>
              <w:ind w:left="159"/>
              <w:rPr>
                <w:sz w:val="18"/>
                <w:szCs w:val="18"/>
              </w:rPr>
            </w:pPr>
            <w:r>
              <w:rPr>
                <w:spacing w:val="-2"/>
                <w:sz w:val="18"/>
                <w:szCs w:val="18"/>
              </w:rPr>
              <w:t>0.040L</w:t>
            </w:r>
          </w:p>
        </w:tc>
        <w:tc>
          <w:tcPr>
            <w:tcW w:w="761" w:type="dxa"/>
            <w:vAlign w:val="top"/>
          </w:tcPr>
          <w:p w14:paraId="55EABBAA">
            <w:pPr>
              <w:pStyle w:val="6"/>
              <w:spacing w:before="203" w:line="232" w:lineRule="auto"/>
              <w:ind w:left="70"/>
              <w:rPr>
                <w:sz w:val="18"/>
                <w:szCs w:val="18"/>
              </w:rPr>
            </w:pPr>
            <w:r>
              <w:rPr>
                <w:spacing w:val="-1"/>
                <w:sz w:val="18"/>
                <w:szCs w:val="18"/>
              </w:rPr>
              <w:t>0.0045L</w:t>
            </w:r>
          </w:p>
        </w:tc>
        <w:tc>
          <w:tcPr>
            <w:tcW w:w="654" w:type="dxa"/>
            <w:vAlign w:val="top"/>
          </w:tcPr>
          <w:p w14:paraId="1363240A">
            <w:pPr>
              <w:pStyle w:val="6"/>
              <w:spacing w:before="203" w:line="232" w:lineRule="auto"/>
              <w:ind w:left="73"/>
              <w:rPr>
                <w:sz w:val="18"/>
                <w:szCs w:val="18"/>
              </w:rPr>
            </w:pPr>
            <w:r>
              <w:rPr>
                <w:spacing w:val="-2"/>
                <w:sz w:val="18"/>
                <w:szCs w:val="18"/>
              </w:rPr>
              <w:t>0.0034</w:t>
            </w:r>
          </w:p>
        </w:tc>
        <w:tc>
          <w:tcPr>
            <w:tcW w:w="708" w:type="dxa"/>
            <w:vAlign w:val="top"/>
          </w:tcPr>
          <w:p w14:paraId="1862469F">
            <w:pPr>
              <w:pStyle w:val="6"/>
              <w:spacing w:before="203" w:line="232" w:lineRule="auto"/>
              <w:ind w:left="91"/>
              <w:rPr>
                <w:sz w:val="18"/>
                <w:szCs w:val="18"/>
              </w:rPr>
            </w:pPr>
            <w:r>
              <w:rPr>
                <w:spacing w:val="-2"/>
                <w:sz w:val="18"/>
                <w:szCs w:val="18"/>
              </w:rPr>
              <w:t>0.009L</w:t>
            </w:r>
          </w:p>
        </w:tc>
        <w:tc>
          <w:tcPr>
            <w:tcW w:w="707" w:type="dxa"/>
            <w:vAlign w:val="top"/>
          </w:tcPr>
          <w:p w14:paraId="2FC317B0">
            <w:pPr>
              <w:pStyle w:val="6"/>
              <w:spacing w:before="203" w:line="232" w:lineRule="auto"/>
              <w:ind w:left="148"/>
              <w:rPr>
                <w:sz w:val="18"/>
                <w:szCs w:val="18"/>
              </w:rPr>
            </w:pPr>
            <w:r>
              <w:rPr>
                <w:spacing w:val="-2"/>
                <w:sz w:val="18"/>
                <w:szCs w:val="18"/>
              </w:rPr>
              <w:t>0.024</w:t>
            </w:r>
          </w:p>
        </w:tc>
        <w:tc>
          <w:tcPr>
            <w:tcW w:w="766" w:type="dxa"/>
            <w:vAlign w:val="top"/>
          </w:tcPr>
          <w:p w14:paraId="497E4C93">
            <w:pPr>
              <w:pStyle w:val="6"/>
              <w:spacing w:before="203" w:line="232" w:lineRule="auto"/>
              <w:ind w:left="265"/>
              <w:rPr>
                <w:sz w:val="18"/>
                <w:szCs w:val="18"/>
              </w:rPr>
            </w:pPr>
            <w:r>
              <w:rPr>
                <w:spacing w:val="-1"/>
                <w:sz w:val="18"/>
                <w:szCs w:val="18"/>
              </w:rPr>
              <w:t>4.6</w:t>
            </w:r>
          </w:p>
        </w:tc>
        <w:tc>
          <w:tcPr>
            <w:tcW w:w="595" w:type="dxa"/>
            <w:vAlign w:val="top"/>
          </w:tcPr>
          <w:p w14:paraId="69BCC899">
            <w:pPr>
              <w:pStyle w:val="6"/>
              <w:spacing w:before="203" w:line="232" w:lineRule="auto"/>
              <w:ind w:left="140"/>
              <w:rPr>
                <w:sz w:val="18"/>
                <w:szCs w:val="18"/>
              </w:rPr>
            </w:pPr>
            <w:r>
              <w:rPr>
                <w:spacing w:val="-2"/>
                <w:sz w:val="18"/>
                <w:szCs w:val="18"/>
              </w:rPr>
              <w:t>67.7</w:t>
            </w:r>
          </w:p>
        </w:tc>
        <w:tc>
          <w:tcPr>
            <w:tcW w:w="955" w:type="dxa"/>
            <w:vAlign w:val="top"/>
          </w:tcPr>
          <w:p w14:paraId="5664DF05">
            <w:pPr>
              <w:pStyle w:val="6"/>
              <w:spacing w:before="204" w:line="232" w:lineRule="auto"/>
              <w:ind w:left="358"/>
              <w:rPr>
                <w:sz w:val="18"/>
                <w:szCs w:val="18"/>
              </w:rPr>
            </w:pPr>
            <w:r>
              <w:rPr>
                <w:spacing w:val="-5"/>
                <w:sz w:val="18"/>
                <w:szCs w:val="18"/>
              </w:rPr>
              <w:t>186</w:t>
            </w:r>
          </w:p>
        </w:tc>
        <w:tc>
          <w:tcPr>
            <w:tcW w:w="506" w:type="dxa"/>
            <w:vAlign w:val="top"/>
          </w:tcPr>
          <w:p w14:paraId="1DD3037A">
            <w:pPr>
              <w:pStyle w:val="6"/>
              <w:spacing w:before="204" w:line="232" w:lineRule="auto"/>
              <w:ind w:left="165"/>
              <w:rPr>
                <w:sz w:val="18"/>
                <w:szCs w:val="18"/>
              </w:rPr>
            </w:pPr>
            <w:r>
              <w:rPr>
                <w:spacing w:val="-2"/>
                <w:sz w:val="18"/>
                <w:szCs w:val="18"/>
              </w:rPr>
              <w:t>68</w:t>
            </w:r>
          </w:p>
        </w:tc>
        <w:tc>
          <w:tcPr>
            <w:tcW w:w="707" w:type="dxa"/>
            <w:vAlign w:val="top"/>
          </w:tcPr>
          <w:p w14:paraId="1CC9F7CE">
            <w:pPr>
              <w:pStyle w:val="6"/>
              <w:spacing w:before="203" w:line="232" w:lineRule="auto"/>
              <w:ind w:left="212"/>
              <w:rPr>
                <w:sz w:val="18"/>
                <w:szCs w:val="18"/>
              </w:rPr>
            </w:pPr>
            <w:r>
              <w:rPr>
                <w:spacing w:val="-6"/>
                <w:sz w:val="18"/>
                <w:szCs w:val="18"/>
              </w:rPr>
              <w:t>1.38</w:t>
            </w:r>
          </w:p>
        </w:tc>
        <w:tc>
          <w:tcPr>
            <w:tcW w:w="708" w:type="dxa"/>
            <w:vAlign w:val="top"/>
          </w:tcPr>
          <w:p w14:paraId="3B900E14">
            <w:pPr>
              <w:pStyle w:val="6"/>
              <w:spacing w:before="203" w:line="232" w:lineRule="auto"/>
              <w:ind w:left="99"/>
              <w:rPr>
                <w:sz w:val="18"/>
                <w:szCs w:val="18"/>
              </w:rPr>
            </w:pPr>
            <w:r>
              <w:rPr>
                <w:spacing w:val="-2"/>
                <w:sz w:val="18"/>
                <w:szCs w:val="18"/>
              </w:rPr>
              <w:t>0.002L</w:t>
            </w:r>
          </w:p>
        </w:tc>
        <w:tc>
          <w:tcPr>
            <w:tcW w:w="663" w:type="dxa"/>
            <w:vAlign w:val="top"/>
          </w:tcPr>
          <w:p w14:paraId="0DCC11EC">
            <w:pPr>
              <w:pStyle w:val="6"/>
              <w:spacing w:before="203" w:line="232" w:lineRule="auto"/>
              <w:ind w:left="123"/>
              <w:rPr>
                <w:sz w:val="18"/>
                <w:szCs w:val="18"/>
              </w:rPr>
            </w:pPr>
            <w:r>
              <w:rPr>
                <w:spacing w:val="-2"/>
                <w:sz w:val="18"/>
                <w:szCs w:val="18"/>
              </w:rPr>
              <w:t>0.05L</w:t>
            </w:r>
          </w:p>
        </w:tc>
        <w:tc>
          <w:tcPr>
            <w:tcW w:w="664" w:type="dxa"/>
            <w:vAlign w:val="top"/>
          </w:tcPr>
          <w:p w14:paraId="701DA7FF">
            <w:pPr>
              <w:pStyle w:val="6"/>
              <w:spacing w:before="203" w:line="232" w:lineRule="auto"/>
              <w:ind w:left="134"/>
              <w:rPr>
                <w:sz w:val="18"/>
                <w:szCs w:val="18"/>
              </w:rPr>
            </w:pPr>
            <w:r>
              <w:rPr>
                <w:spacing w:val="-2"/>
                <w:sz w:val="18"/>
                <w:szCs w:val="18"/>
              </w:rPr>
              <w:t>0.003</w:t>
            </w:r>
          </w:p>
        </w:tc>
        <w:tc>
          <w:tcPr>
            <w:tcW w:w="782" w:type="dxa"/>
            <w:vAlign w:val="top"/>
          </w:tcPr>
          <w:p w14:paraId="2C4EB93F">
            <w:pPr>
              <w:pStyle w:val="6"/>
              <w:spacing w:before="203" w:line="232" w:lineRule="auto"/>
              <w:ind w:left="93"/>
              <w:rPr>
                <w:sz w:val="18"/>
                <w:szCs w:val="18"/>
              </w:rPr>
            </w:pPr>
            <w:r>
              <w:rPr>
                <w:spacing w:val="-1"/>
                <w:sz w:val="18"/>
                <w:szCs w:val="18"/>
              </w:rPr>
              <w:t>0.0005L</w:t>
            </w:r>
          </w:p>
        </w:tc>
        <w:tc>
          <w:tcPr>
            <w:tcW w:w="663" w:type="dxa"/>
            <w:vAlign w:val="top"/>
          </w:tcPr>
          <w:p w14:paraId="394C6BDE">
            <w:pPr>
              <w:pStyle w:val="6"/>
              <w:spacing w:before="203" w:line="232" w:lineRule="auto"/>
              <w:ind w:left="81"/>
              <w:rPr>
                <w:sz w:val="18"/>
                <w:szCs w:val="18"/>
              </w:rPr>
            </w:pPr>
            <w:r>
              <w:rPr>
                <w:spacing w:val="-2"/>
                <w:sz w:val="18"/>
                <w:szCs w:val="18"/>
              </w:rPr>
              <w:t>0.004L</w:t>
            </w:r>
          </w:p>
        </w:tc>
        <w:tc>
          <w:tcPr>
            <w:tcW w:w="737" w:type="dxa"/>
            <w:vAlign w:val="top"/>
          </w:tcPr>
          <w:p w14:paraId="7BFB4F22">
            <w:pPr>
              <w:pStyle w:val="6"/>
              <w:spacing w:before="203" w:line="232" w:lineRule="auto"/>
              <w:ind w:left="74"/>
              <w:rPr>
                <w:sz w:val="18"/>
                <w:szCs w:val="18"/>
              </w:rPr>
            </w:pPr>
            <w:r>
              <w:rPr>
                <w:spacing w:val="-1"/>
                <w:sz w:val="18"/>
                <w:szCs w:val="18"/>
              </w:rPr>
              <w:t>0.0025L</w:t>
            </w:r>
          </w:p>
        </w:tc>
        <w:tc>
          <w:tcPr>
            <w:tcW w:w="737" w:type="dxa"/>
            <w:vAlign w:val="top"/>
          </w:tcPr>
          <w:p w14:paraId="195A0B9A">
            <w:pPr>
              <w:pStyle w:val="6"/>
              <w:spacing w:before="203" w:line="232" w:lineRule="auto"/>
              <w:ind w:left="130"/>
              <w:rPr>
                <w:sz w:val="18"/>
                <w:szCs w:val="18"/>
              </w:rPr>
            </w:pPr>
            <w:r>
              <w:rPr>
                <w:spacing w:val="-2"/>
                <w:sz w:val="18"/>
                <w:szCs w:val="18"/>
              </w:rPr>
              <w:t>0.0001</w:t>
            </w:r>
          </w:p>
        </w:tc>
        <w:tc>
          <w:tcPr>
            <w:tcW w:w="754" w:type="dxa"/>
            <w:vAlign w:val="top"/>
          </w:tcPr>
          <w:p w14:paraId="73BDC722">
            <w:pPr>
              <w:pStyle w:val="6"/>
              <w:spacing w:before="203" w:line="232" w:lineRule="auto"/>
              <w:ind w:left="84"/>
              <w:rPr>
                <w:sz w:val="18"/>
                <w:szCs w:val="18"/>
              </w:rPr>
            </w:pPr>
            <w:r>
              <w:rPr>
                <w:spacing w:val="-1"/>
                <w:sz w:val="18"/>
                <w:szCs w:val="18"/>
              </w:rPr>
              <w:t>0.0003L</w:t>
            </w:r>
          </w:p>
        </w:tc>
        <w:tc>
          <w:tcPr>
            <w:tcW w:w="667" w:type="dxa"/>
            <w:vAlign w:val="top"/>
          </w:tcPr>
          <w:p w14:paraId="5A517254">
            <w:pPr>
              <w:pStyle w:val="6"/>
              <w:spacing w:before="203" w:line="232" w:lineRule="auto"/>
              <w:ind w:left="86"/>
              <w:rPr>
                <w:sz w:val="18"/>
                <w:szCs w:val="18"/>
              </w:rPr>
            </w:pPr>
            <w:r>
              <w:rPr>
                <w:spacing w:val="-2"/>
                <w:sz w:val="18"/>
                <w:szCs w:val="18"/>
              </w:rPr>
              <w:t>0.002L</w:t>
            </w:r>
          </w:p>
        </w:tc>
        <w:tc>
          <w:tcPr>
            <w:tcW w:w="544" w:type="dxa"/>
            <w:vAlign w:val="top"/>
          </w:tcPr>
          <w:p w14:paraId="61411986">
            <w:pPr>
              <w:pStyle w:val="6"/>
              <w:spacing w:before="203" w:line="232" w:lineRule="auto"/>
              <w:ind w:left="117"/>
              <w:rPr>
                <w:sz w:val="18"/>
                <w:szCs w:val="18"/>
              </w:rPr>
            </w:pPr>
            <w:r>
              <w:rPr>
                <w:spacing w:val="-2"/>
                <w:sz w:val="18"/>
                <w:szCs w:val="18"/>
              </w:rPr>
              <w:t>0.2L</w:t>
            </w:r>
          </w:p>
        </w:tc>
        <w:tc>
          <w:tcPr>
            <w:tcW w:w="434" w:type="dxa"/>
            <w:vAlign w:val="top"/>
          </w:tcPr>
          <w:p w14:paraId="24FFD838">
            <w:pPr>
              <w:pStyle w:val="6"/>
              <w:spacing w:before="203" w:line="232" w:lineRule="auto"/>
              <w:ind w:left="62"/>
              <w:rPr>
                <w:sz w:val="18"/>
                <w:szCs w:val="18"/>
              </w:rPr>
            </w:pPr>
            <w:r>
              <w:rPr>
                <w:spacing w:val="-2"/>
                <w:sz w:val="18"/>
                <w:szCs w:val="18"/>
              </w:rPr>
              <w:t>0.5L</w:t>
            </w:r>
          </w:p>
        </w:tc>
        <w:tc>
          <w:tcPr>
            <w:tcW w:w="1015" w:type="dxa"/>
            <w:vAlign w:val="top"/>
          </w:tcPr>
          <w:p w14:paraId="5C537F6E">
            <w:pPr>
              <w:pStyle w:val="6"/>
              <w:spacing w:before="203" w:line="232" w:lineRule="auto"/>
              <w:ind w:left="489"/>
              <w:rPr>
                <w:sz w:val="18"/>
                <w:szCs w:val="18"/>
              </w:rPr>
            </w:pPr>
            <w:r>
              <w:rPr>
                <w:sz w:val="18"/>
                <w:szCs w:val="18"/>
              </w:rPr>
              <w:t>/</w:t>
            </w:r>
          </w:p>
        </w:tc>
        <w:tc>
          <w:tcPr>
            <w:tcW w:w="721" w:type="dxa"/>
            <w:tcBorders>
              <w:right w:val="single" w:color="000000" w:sz="12" w:space="0"/>
            </w:tcBorders>
            <w:vAlign w:val="top"/>
          </w:tcPr>
          <w:p w14:paraId="00DEA77C">
            <w:pPr>
              <w:pStyle w:val="6"/>
              <w:spacing w:before="204" w:line="232" w:lineRule="auto"/>
              <w:ind w:left="282"/>
              <w:rPr>
                <w:sz w:val="18"/>
                <w:szCs w:val="18"/>
              </w:rPr>
            </w:pPr>
            <w:r>
              <w:rPr>
                <w:spacing w:val="-3"/>
                <w:sz w:val="18"/>
                <w:szCs w:val="18"/>
              </w:rPr>
              <w:t>80</w:t>
            </w:r>
          </w:p>
        </w:tc>
      </w:tr>
      <w:tr w14:paraId="3C6F7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492" w:type="dxa"/>
            <w:vMerge w:val="continue"/>
            <w:tcBorders>
              <w:top w:val="nil"/>
              <w:left w:val="single" w:color="000000" w:sz="12" w:space="0"/>
              <w:bottom w:val="nil"/>
            </w:tcBorders>
            <w:vAlign w:val="top"/>
          </w:tcPr>
          <w:p w14:paraId="195D6544">
            <w:pPr>
              <w:rPr>
                <w:rFonts w:ascii="Arial"/>
                <w:sz w:val="21"/>
              </w:rPr>
            </w:pPr>
          </w:p>
        </w:tc>
        <w:tc>
          <w:tcPr>
            <w:tcW w:w="272" w:type="dxa"/>
            <w:vMerge w:val="continue"/>
            <w:tcBorders>
              <w:top w:val="nil"/>
            </w:tcBorders>
            <w:vAlign w:val="top"/>
          </w:tcPr>
          <w:p w14:paraId="79818DCD">
            <w:pPr>
              <w:rPr>
                <w:rFonts w:ascii="Arial"/>
                <w:sz w:val="21"/>
              </w:rPr>
            </w:pPr>
          </w:p>
        </w:tc>
        <w:tc>
          <w:tcPr>
            <w:tcW w:w="1004" w:type="dxa"/>
            <w:vAlign w:val="top"/>
          </w:tcPr>
          <w:p w14:paraId="1B040E6C">
            <w:pPr>
              <w:pStyle w:val="6"/>
              <w:spacing w:before="206" w:line="232" w:lineRule="auto"/>
              <w:ind w:left="167"/>
              <w:rPr>
                <w:sz w:val="18"/>
                <w:szCs w:val="18"/>
              </w:rPr>
            </w:pPr>
            <w:r>
              <w:rPr>
                <w:spacing w:val="-1"/>
                <w:sz w:val="18"/>
                <w:szCs w:val="18"/>
              </w:rPr>
              <w:t>2019/8/8</w:t>
            </w:r>
          </w:p>
        </w:tc>
        <w:tc>
          <w:tcPr>
            <w:tcW w:w="686" w:type="dxa"/>
            <w:vAlign w:val="top"/>
          </w:tcPr>
          <w:p w14:paraId="0501544E">
            <w:pPr>
              <w:pStyle w:val="6"/>
              <w:spacing w:before="212" w:line="183" w:lineRule="auto"/>
              <w:ind w:left="234"/>
              <w:rPr>
                <w:sz w:val="18"/>
                <w:szCs w:val="18"/>
              </w:rPr>
            </w:pPr>
            <w:r>
              <w:rPr>
                <w:spacing w:val="-2"/>
                <w:sz w:val="18"/>
                <w:szCs w:val="18"/>
              </w:rPr>
              <w:t>5L</w:t>
            </w:r>
          </w:p>
        </w:tc>
        <w:tc>
          <w:tcPr>
            <w:tcW w:w="923" w:type="dxa"/>
            <w:vAlign w:val="top"/>
          </w:tcPr>
          <w:p w14:paraId="475E5A75">
            <w:pPr>
              <w:pStyle w:val="6"/>
              <w:spacing w:before="206" w:line="232" w:lineRule="auto"/>
              <w:ind w:left="338"/>
              <w:rPr>
                <w:sz w:val="18"/>
                <w:szCs w:val="18"/>
              </w:rPr>
            </w:pPr>
            <w:r>
              <w:rPr>
                <w:spacing w:val="-3"/>
                <w:sz w:val="18"/>
                <w:szCs w:val="18"/>
              </w:rPr>
              <w:t>0.7</w:t>
            </w:r>
          </w:p>
        </w:tc>
        <w:tc>
          <w:tcPr>
            <w:tcW w:w="708" w:type="dxa"/>
            <w:vAlign w:val="top"/>
          </w:tcPr>
          <w:p w14:paraId="09AEEB7F">
            <w:pPr>
              <w:pStyle w:val="6"/>
              <w:spacing w:before="206" w:line="232" w:lineRule="auto"/>
              <w:ind w:left="189"/>
              <w:rPr>
                <w:sz w:val="18"/>
                <w:szCs w:val="18"/>
              </w:rPr>
            </w:pPr>
            <w:r>
              <w:rPr>
                <w:spacing w:val="-2"/>
                <w:sz w:val="18"/>
                <w:szCs w:val="18"/>
              </w:rPr>
              <w:t>6.71</w:t>
            </w:r>
          </w:p>
        </w:tc>
        <w:tc>
          <w:tcPr>
            <w:tcW w:w="850" w:type="dxa"/>
            <w:vAlign w:val="top"/>
          </w:tcPr>
          <w:p w14:paraId="6F00EA7A">
            <w:pPr>
              <w:pStyle w:val="6"/>
              <w:spacing w:before="206" w:line="232" w:lineRule="auto"/>
              <w:ind w:left="159"/>
              <w:rPr>
                <w:sz w:val="18"/>
                <w:szCs w:val="18"/>
              </w:rPr>
            </w:pPr>
            <w:r>
              <w:rPr>
                <w:spacing w:val="-2"/>
                <w:sz w:val="18"/>
                <w:szCs w:val="18"/>
              </w:rPr>
              <w:t>0.040L</w:t>
            </w:r>
          </w:p>
        </w:tc>
        <w:tc>
          <w:tcPr>
            <w:tcW w:w="761" w:type="dxa"/>
            <w:vAlign w:val="top"/>
          </w:tcPr>
          <w:p w14:paraId="71BE4848">
            <w:pPr>
              <w:pStyle w:val="6"/>
              <w:spacing w:before="206" w:line="232" w:lineRule="auto"/>
              <w:ind w:left="70"/>
              <w:rPr>
                <w:sz w:val="18"/>
                <w:szCs w:val="18"/>
              </w:rPr>
            </w:pPr>
            <w:r>
              <w:rPr>
                <w:spacing w:val="-1"/>
                <w:sz w:val="18"/>
                <w:szCs w:val="18"/>
              </w:rPr>
              <w:t>0.0045L</w:t>
            </w:r>
          </w:p>
        </w:tc>
        <w:tc>
          <w:tcPr>
            <w:tcW w:w="654" w:type="dxa"/>
            <w:vAlign w:val="top"/>
          </w:tcPr>
          <w:p w14:paraId="5ED00B78">
            <w:pPr>
              <w:pStyle w:val="6"/>
              <w:spacing w:before="206" w:line="232" w:lineRule="auto"/>
              <w:ind w:left="73"/>
              <w:rPr>
                <w:sz w:val="18"/>
                <w:szCs w:val="18"/>
              </w:rPr>
            </w:pPr>
            <w:r>
              <w:rPr>
                <w:spacing w:val="-2"/>
                <w:sz w:val="18"/>
                <w:szCs w:val="18"/>
              </w:rPr>
              <w:t>0.0034</w:t>
            </w:r>
          </w:p>
        </w:tc>
        <w:tc>
          <w:tcPr>
            <w:tcW w:w="708" w:type="dxa"/>
            <w:vAlign w:val="top"/>
          </w:tcPr>
          <w:p w14:paraId="29CC3DA8">
            <w:pPr>
              <w:pStyle w:val="6"/>
              <w:spacing w:before="206" w:line="232" w:lineRule="auto"/>
              <w:ind w:left="91"/>
              <w:rPr>
                <w:sz w:val="18"/>
                <w:szCs w:val="18"/>
              </w:rPr>
            </w:pPr>
            <w:r>
              <w:rPr>
                <w:spacing w:val="-2"/>
                <w:sz w:val="18"/>
                <w:szCs w:val="18"/>
              </w:rPr>
              <w:t>0.009L</w:t>
            </w:r>
          </w:p>
        </w:tc>
        <w:tc>
          <w:tcPr>
            <w:tcW w:w="707" w:type="dxa"/>
            <w:vAlign w:val="top"/>
          </w:tcPr>
          <w:p w14:paraId="52EDCFE4">
            <w:pPr>
              <w:pStyle w:val="6"/>
              <w:spacing w:before="206" w:line="232" w:lineRule="auto"/>
              <w:ind w:left="148"/>
              <w:rPr>
                <w:sz w:val="18"/>
                <w:szCs w:val="18"/>
              </w:rPr>
            </w:pPr>
            <w:r>
              <w:rPr>
                <w:spacing w:val="-2"/>
                <w:sz w:val="18"/>
                <w:szCs w:val="18"/>
              </w:rPr>
              <w:t>0.023</w:t>
            </w:r>
          </w:p>
        </w:tc>
        <w:tc>
          <w:tcPr>
            <w:tcW w:w="766" w:type="dxa"/>
            <w:vAlign w:val="top"/>
          </w:tcPr>
          <w:p w14:paraId="59CDC26C">
            <w:pPr>
              <w:pStyle w:val="6"/>
              <w:spacing w:before="206" w:line="232" w:lineRule="auto"/>
              <w:ind w:left="265"/>
              <w:rPr>
                <w:sz w:val="18"/>
                <w:szCs w:val="18"/>
              </w:rPr>
            </w:pPr>
            <w:r>
              <w:rPr>
                <w:spacing w:val="-1"/>
                <w:sz w:val="18"/>
                <w:szCs w:val="18"/>
              </w:rPr>
              <w:t>4.5</w:t>
            </w:r>
          </w:p>
        </w:tc>
        <w:tc>
          <w:tcPr>
            <w:tcW w:w="595" w:type="dxa"/>
            <w:vAlign w:val="top"/>
          </w:tcPr>
          <w:p w14:paraId="707DDFC2">
            <w:pPr>
              <w:pStyle w:val="6"/>
              <w:spacing w:before="206" w:line="232" w:lineRule="auto"/>
              <w:ind w:left="139"/>
              <w:rPr>
                <w:sz w:val="18"/>
                <w:szCs w:val="18"/>
              </w:rPr>
            </w:pPr>
            <w:r>
              <w:rPr>
                <w:spacing w:val="-2"/>
                <w:sz w:val="18"/>
                <w:szCs w:val="18"/>
              </w:rPr>
              <w:t>71.0</w:t>
            </w:r>
          </w:p>
        </w:tc>
        <w:tc>
          <w:tcPr>
            <w:tcW w:w="955" w:type="dxa"/>
            <w:vAlign w:val="top"/>
          </w:tcPr>
          <w:p w14:paraId="64BDAA28">
            <w:pPr>
              <w:pStyle w:val="6"/>
              <w:spacing w:before="206" w:line="232" w:lineRule="auto"/>
              <w:ind w:left="340"/>
              <w:rPr>
                <w:sz w:val="18"/>
                <w:szCs w:val="18"/>
              </w:rPr>
            </w:pPr>
            <w:r>
              <w:rPr>
                <w:spacing w:val="-1"/>
                <w:sz w:val="18"/>
                <w:szCs w:val="18"/>
              </w:rPr>
              <w:t>207</w:t>
            </w:r>
          </w:p>
        </w:tc>
        <w:tc>
          <w:tcPr>
            <w:tcW w:w="506" w:type="dxa"/>
            <w:vAlign w:val="top"/>
          </w:tcPr>
          <w:p w14:paraId="63BD3077">
            <w:pPr>
              <w:pStyle w:val="6"/>
              <w:spacing w:before="206" w:line="232" w:lineRule="auto"/>
              <w:ind w:left="168"/>
              <w:rPr>
                <w:sz w:val="18"/>
                <w:szCs w:val="18"/>
              </w:rPr>
            </w:pPr>
            <w:r>
              <w:rPr>
                <w:spacing w:val="-3"/>
                <w:sz w:val="18"/>
                <w:szCs w:val="18"/>
              </w:rPr>
              <w:t>81</w:t>
            </w:r>
          </w:p>
        </w:tc>
        <w:tc>
          <w:tcPr>
            <w:tcW w:w="707" w:type="dxa"/>
            <w:vAlign w:val="top"/>
          </w:tcPr>
          <w:p w14:paraId="3675DD9E">
            <w:pPr>
              <w:pStyle w:val="6"/>
              <w:spacing w:before="206" w:line="232" w:lineRule="auto"/>
              <w:ind w:left="212"/>
              <w:rPr>
                <w:sz w:val="18"/>
                <w:szCs w:val="18"/>
              </w:rPr>
            </w:pPr>
            <w:r>
              <w:rPr>
                <w:spacing w:val="-6"/>
                <w:sz w:val="18"/>
                <w:szCs w:val="18"/>
              </w:rPr>
              <w:t>1.46</w:t>
            </w:r>
          </w:p>
        </w:tc>
        <w:tc>
          <w:tcPr>
            <w:tcW w:w="708" w:type="dxa"/>
            <w:vAlign w:val="top"/>
          </w:tcPr>
          <w:p w14:paraId="022926AF">
            <w:pPr>
              <w:pStyle w:val="6"/>
              <w:spacing w:before="206" w:line="232" w:lineRule="auto"/>
              <w:ind w:left="99"/>
              <w:rPr>
                <w:sz w:val="18"/>
                <w:szCs w:val="18"/>
              </w:rPr>
            </w:pPr>
            <w:r>
              <w:rPr>
                <w:spacing w:val="-2"/>
                <w:sz w:val="18"/>
                <w:szCs w:val="18"/>
              </w:rPr>
              <w:t>0.002L</w:t>
            </w:r>
          </w:p>
        </w:tc>
        <w:tc>
          <w:tcPr>
            <w:tcW w:w="663" w:type="dxa"/>
            <w:vAlign w:val="top"/>
          </w:tcPr>
          <w:p w14:paraId="2F4382A7">
            <w:pPr>
              <w:pStyle w:val="6"/>
              <w:spacing w:before="206" w:line="232" w:lineRule="auto"/>
              <w:ind w:left="123"/>
              <w:rPr>
                <w:sz w:val="18"/>
                <w:szCs w:val="18"/>
              </w:rPr>
            </w:pPr>
            <w:r>
              <w:rPr>
                <w:spacing w:val="-2"/>
                <w:sz w:val="18"/>
                <w:szCs w:val="18"/>
              </w:rPr>
              <w:t>0.05L</w:t>
            </w:r>
          </w:p>
        </w:tc>
        <w:tc>
          <w:tcPr>
            <w:tcW w:w="664" w:type="dxa"/>
            <w:vAlign w:val="top"/>
          </w:tcPr>
          <w:p w14:paraId="30BB29F4">
            <w:pPr>
              <w:pStyle w:val="6"/>
              <w:spacing w:before="206" w:line="232" w:lineRule="auto"/>
              <w:ind w:left="134"/>
              <w:rPr>
                <w:sz w:val="18"/>
                <w:szCs w:val="18"/>
              </w:rPr>
            </w:pPr>
            <w:r>
              <w:rPr>
                <w:spacing w:val="-2"/>
                <w:sz w:val="18"/>
                <w:szCs w:val="18"/>
              </w:rPr>
              <w:t>0.003</w:t>
            </w:r>
          </w:p>
        </w:tc>
        <w:tc>
          <w:tcPr>
            <w:tcW w:w="782" w:type="dxa"/>
            <w:vAlign w:val="top"/>
          </w:tcPr>
          <w:p w14:paraId="634646A4">
            <w:pPr>
              <w:pStyle w:val="6"/>
              <w:spacing w:before="206" w:line="232" w:lineRule="auto"/>
              <w:ind w:left="93"/>
              <w:rPr>
                <w:sz w:val="18"/>
                <w:szCs w:val="18"/>
              </w:rPr>
            </w:pPr>
            <w:r>
              <w:rPr>
                <w:spacing w:val="-1"/>
                <w:sz w:val="18"/>
                <w:szCs w:val="18"/>
              </w:rPr>
              <w:t>0.0005L</w:t>
            </w:r>
          </w:p>
        </w:tc>
        <w:tc>
          <w:tcPr>
            <w:tcW w:w="663" w:type="dxa"/>
            <w:vAlign w:val="top"/>
          </w:tcPr>
          <w:p w14:paraId="0A2A8C6B">
            <w:pPr>
              <w:pStyle w:val="6"/>
              <w:spacing w:before="206" w:line="232" w:lineRule="auto"/>
              <w:ind w:left="81"/>
              <w:rPr>
                <w:sz w:val="18"/>
                <w:szCs w:val="18"/>
              </w:rPr>
            </w:pPr>
            <w:r>
              <w:rPr>
                <w:spacing w:val="-2"/>
                <w:sz w:val="18"/>
                <w:szCs w:val="18"/>
              </w:rPr>
              <w:t>0.004L</w:t>
            </w:r>
          </w:p>
        </w:tc>
        <w:tc>
          <w:tcPr>
            <w:tcW w:w="737" w:type="dxa"/>
            <w:vAlign w:val="top"/>
          </w:tcPr>
          <w:p w14:paraId="4735F740">
            <w:pPr>
              <w:pStyle w:val="6"/>
              <w:spacing w:before="206" w:line="232" w:lineRule="auto"/>
              <w:ind w:left="74"/>
              <w:rPr>
                <w:sz w:val="18"/>
                <w:szCs w:val="18"/>
              </w:rPr>
            </w:pPr>
            <w:r>
              <w:rPr>
                <w:spacing w:val="-1"/>
                <w:sz w:val="18"/>
                <w:szCs w:val="18"/>
              </w:rPr>
              <w:t>0.0025L</w:t>
            </w:r>
          </w:p>
        </w:tc>
        <w:tc>
          <w:tcPr>
            <w:tcW w:w="737" w:type="dxa"/>
            <w:vAlign w:val="top"/>
          </w:tcPr>
          <w:p w14:paraId="448E936A">
            <w:pPr>
              <w:pStyle w:val="6"/>
              <w:spacing w:before="206" w:line="232" w:lineRule="auto"/>
              <w:ind w:left="130"/>
              <w:rPr>
                <w:sz w:val="18"/>
                <w:szCs w:val="18"/>
              </w:rPr>
            </w:pPr>
            <w:r>
              <w:rPr>
                <w:spacing w:val="-2"/>
                <w:sz w:val="18"/>
                <w:szCs w:val="18"/>
              </w:rPr>
              <w:t>0.0001</w:t>
            </w:r>
          </w:p>
        </w:tc>
        <w:tc>
          <w:tcPr>
            <w:tcW w:w="754" w:type="dxa"/>
            <w:vAlign w:val="top"/>
          </w:tcPr>
          <w:p w14:paraId="3C5EEE6F">
            <w:pPr>
              <w:pStyle w:val="6"/>
              <w:spacing w:before="206" w:line="232" w:lineRule="auto"/>
              <w:ind w:left="84"/>
              <w:rPr>
                <w:sz w:val="18"/>
                <w:szCs w:val="18"/>
              </w:rPr>
            </w:pPr>
            <w:r>
              <w:rPr>
                <w:spacing w:val="-1"/>
                <w:sz w:val="18"/>
                <w:szCs w:val="18"/>
              </w:rPr>
              <w:t>0.0003L</w:t>
            </w:r>
          </w:p>
        </w:tc>
        <w:tc>
          <w:tcPr>
            <w:tcW w:w="667" w:type="dxa"/>
            <w:vAlign w:val="top"/>
          </w:tcPr>
          <w:p w14:paraId="2C5A2E27">
            <w:pPr>
              <w:pStyle w:val="6"/>
              <w:spacing w:before="206" w:line="232" w:lineRule="auto"/>
              <w:ind w:left="86"/>
              <w:rPr>
                <w:sz w:val="18"/>
                <w:szCs w:val="18"/>
              </w:rPr>
            </w:pPr>
            <w:r>
              <w:rPr>
                <w:spacing w:val="-2"/>
                <w:sz w:val="18"/>
                <w:szCs w:val="18"/>
              </w:rPr>
              <w:t>0.002L</w:t>
            </w:r>
          </w:p>
        </w:tc>
        <w:tc>
          <w:tcPr>
            <w:tcW w:w="544" w:type="dxa"/>
            <w:vAlign w:val="top"/>
          </w:tcPr>
          <w:p w14:paraId="5BB27B07">
            <w:pPr>
              <w:pStyle w:val="6"/>
              <w:spacing w:before="206" w:line="232" w:lineRule="auto"/>
              <w:ind w:left="117"/>
              <w:rPr>
                <w:sz w:val="18"/>
                <w:szCs w:val="18"/>
              </w:rPr>
            </w:pPr>
            <w:r>
              <w:rPr>
                <w:spacing w:val="-2"/>
                <w:sz w:val="18"/>
                <w:szCs w:val="18"/>
              </w:rPr>
              <w:t>0.2L</w:t>
            </w:r>
          </w:p>
        </w:tc>
        <w:tc>
          <w:tcPr>
            <w:tcW w:w="434" w:type="dxa"/>
            <w:vAlign w:val="top"/>
          </w:tcPr>
          <w:p w14:paraId="4360E60D">
            <w:pPr>
              <w:pStyle w:val="6"/>
              <w:spacing w:before="206" w:line="232" w:lineRule="auto"/>
              <w:ind w:left="62"/>
              <w:rPr>
                <w:sz w:val="18"/>
                <w:szCs w:val="18"/>
              </w:rPr>
            </w:pPr>
            <w:r>
              <w:rPr>
                <w:spacing w:val="-2"/>
                <w:sz w:val="18"/>
                <w:szCs w:val="18"/>
              </w:rPr>
              <w:t>0.5L</w:t>
            </w:r>
          </w:p>
        </w:tc>
        <w:tc>
          <w:tcPr>
            <w:tcW w:w="1015" w:type="dxa"/>
            <w:vAlign w:val="top"/>
          </w:tcPr>
          <w:p w14:paraId="694682C6">
            <w:pPr>
              <w:pStyle w:val="6"/>
              <w:spacing w:before="206" w:line="232" w:lineRule="auto"/>
              <w:ind w:left="489"/>
              <w:rPr>
                <w:sz w:val="18"/>
                <w:szCs w:val="18"/>
              </w:rPr>
            </w:pPr>
            <w:r>
              <w:rPr>
                <w:sz w:val="18"/>
                <w:szCs w:val="18"/>
              </w:rPr>
              <w:t>/</w:t>
            </w:r>
          </w:p>
        </w:tc>
        <w:tc>
          <w:tcPr>
            <w:tcW w:w="721" w:type="dxa"/>
            <w:tcBorders>
              <w:right w:val="single" w:color="000000" w:sz="12" w:space="0"/>
            </w:tcBorders>
            <w:vAlign w:val="top"/>
          </w:tcPr>
          <w:p w14:paraId="2E90BC0B">
            <w:pPr>
              <w:pStyle w:val="6"/>
              <w:spacing w:before="206" w:line="232" w:lineRule="auto"/>
              <w:ind w:left="278"/>
              <w:rPr>
                <w:sz w:val="18"/>
                <w:szCs w:val="18"/>
              </w:rPr>
            </w:pPr>
            <w:r>
              <w:rPr>
                <w:spacing w:val="-2"/>
                <w:sz w:val="18"/>
                <w:szCs w:val="18"/>
              </w:rPr>
              <w:t>70</w:t>
            </w:r>
          </w:p>
        </w:tc>
      </w:tr>
      <w:tr w14:paraId="3C97C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2CB5FA12">
            <w:pPr>
              <w:rPr>
                <w:rFonts w:ascii="Arial"/>
                <w:sz w:val="21"/>
              </w:rPr>
            </w:pPr>
          </w:p>
        </w:tc>
        <w:tc>
          <w:tcPr>
            <w:tcW w:w="272" w:type="dxa"/>
            <w:vMerge w:val="restart"/>
            <w:tcBorders>
              <w:bottom w:val="nil"/>
            </w:tcBorders>
            <w:vAlign w:val="top"/>
          </w:tcPr>
          <w:p w14:paraId="4E0B3A0C">
            <w:pPr>
              <w:spacing w:line="299" w:lineRule="auto"/>
              <w:rPr>
                <w:rFonts w:ascii="Arial"/>
                <w:sz w:val="21"/>
              </w:rPr>
            </w:pPr>
          </w:p>
          <w:p w14:paraId="3BED8A3D">
            <w:pPr>
              <w:pStyle w:val="6"/>
              <w:spacing w:before="52" w:line="235" w:lineRule="auto"/>
              <w:ind w:left="33" w:right="55" w:firstLine="41"/>
              <w:jc w:val="both"/>
              <w:rPr>
                <w:rFonts w:ascii="等线" w:hAnsi="等线" w:eastAsia="等线" w:cs="等线"/>
                <w:sz w:val="18"/>
                <w:szCs w:val="18"/>
              </w:rPr>
            </w:pPr>
            <w:r>
              <w:rPr>
                <w:spacing w:val="-3"/>
                <w:sz w:val="18"/>
                <w:szCs w:val="18"/>
              </w:rPr>
              <w:t>4</w:t>
            </w:r>
            <w:r>
              <w:rPr>
                <w:rFonts w:ascii="等线" w:hAnsi="等线" w:eastAsia="等线" w:cs="等线"/>
                <w:spacing w:val="-7"/>
                <w:sz w:val="18"/>
                <w:szCs w:val="18"/>
              </w:rPr>
              <w:t>季度</w:t>
            </w:r>
          </w:p>
        </w:tc>
        <w:tc>
          <w:tcPr>
            <w:tcW w:w="1004" w:type="dxa"/>
            <w:vAlign w:val="top"/>
          </w:tcPr>
          <w:p w14:paraId="443794FC">
            <w:pPr>
              <w:pStyle w:val="6"/>
              <w:spacing w:before="149" w:line="232" w:lineRule="auto"/>
              <w:ind w:left="122"/>
              <w:rPr>
                <w:sz w:val="18"/>
                <w:szCs w:val="18"/>
              </w:rPr>
            </w:pPr>
            <w:r>
              <w:rPr>
                <w:spacing w:val="-1"/>
                <w:sz w:val="18"/>
                <w:szCs w:val="18"/>
              </w:rPr>
              <w:t>2019/11/9</w:t>
            </w:r>
          </w:p>
        </w:tc>
        <w:tc>
          <w:tcPr>
            <w:tcW w:w="686" w:type="dxa"/>
            <w:vAlign w:val="top"/>
          </w:tcPr>
          <w:p w14:paraId="2E285E0A">
            <w:pPr>
              <w:pStyle w:val="6"/>
              <w:spacing w:before="154" w:line="183" w:lineRule="auto"/>
              <w:ind w:left="234"/>
              <w:rPr>
                <w:sz w:val="18"/>
                <w:szCs w:val="18"/>
              </w:rPr>
            </w:pPr>
            <w:r>
              <w:rPr>
                <w:spacing w:val="-2"/>
                <w:sz w:val="18"/>
                <w:szCs w:val="18"/>
              </w:rPr>
              <w:t>5L</w:t>
            </w:r>
          </w:p>
        </w:tc>
        <w:tc>
          <w:tcPr>
            <w:tcW w:w="923" w:type="dxa"/>
            <w:vAlign w:val="top"/>
          </w:tcPr>
          <w:p w14:paraId="060229E7">
            <w:pPr>
              <w:pStyle w:val="6"/>
              <w:spacing w:before="149" w:line="232" w:lineRule="auto"/>
              <w:ind w:left="338"/>
              <w:rPr>
                <w:sz w:val="18"/>
                <w:szCs w:val="18"/>
              </w:rPr>
            </w:pPr>
            <w:r>
              <w:rPr>
                <w:spacing w:val="-3"/>
                <w:sz w:val="18"/>
                <w:szCs w:val="18"/>
              </w:rPr>
              <w:t>0.7</w:t>
            </w:r>
          </w:p>
        </w:tc>
        <w:tc>
          <w:tcPr>
            <w:tcW w:w="708" w:type="dxa"/>
            <w:vAlign w:val="top"/>
          </w:tcPr>
          <w:p w14:paraId="3C17A7B4">
            <w:pPr>
              <w:pStyle w:val="6"/>
              <w:spacing w:before="149" w:line="232" w:lineRule="auto"/>
              <w:ind w:left="188"/>
              <w:rPr>
                <w:sz w:val="18"/>
                <w:szCs w:val="18"/>
              </w:rPr>
            </w:pPr>
            <w:r>
              <w:rPr>
                <w:spacing w:val="-2"/>
                <w:sz w:val="18"/>
                <w:szCs w:val="18"/>
              </w:rPr>
              <w:t>7.05</w:t>
            </w:r>
          </w:p>
        </w:tc>
        <w:tc>
          <w:tcPr>
            <w:tcW w:w="850" w:type="dxa"/>
            <w:vAlign w:val="top"/>
          </w:tcPr>
          <w:p w14:paraId="71D0E077">
            <w:pPr>
              <w:pStyle w:val="6"/>
              <w:spacing w:before="149" w:line="232" w:lineRule="auto"/>
              <w:ind w:left="214"/>
              <w:rPr>
                <w:sz w:val="18"/>
                <w:szCs w:val="18"/>
              </w:rPr>
            </w:pPr>
            <w:r>
              <w:rPr>
                <w:spacing w:val="-2"/>
                <w:sz w:val="18"/>
                <w:szCs w:val="18"/>
              </w:rPr>
              <w:t>0.040</w:t>
            </w:r>
          </w:p>
        </w:tc>
        <w:tc>
          <w:tcPr>
            <w:tcW w:w="761" w:type="dxa"/>
            <w:vAlign w:val="top"/>
          </w:tcPr>
          <w:p w14:paraId="62F4BD3F">
            <w:pPr>
              <w:pStyle w:val="6"/>
              <w:spacing w:before="149" w:line="232" w:lineRule="auto"/>
              <w:ind w:left="70"/>
              <w:rPr>
                <w:sz w:val="18"/>
                <w:szCs w:val="18"/>
              </w:rPr>
            </w:pPr>
            <w:r>
              <w:rPr>
                <w:spacing w:val="-1"/>
                <w:sz w:val="18"/>
                <w:szCs w:val="18"/>
              </w:rPr>
              <w:t>0.0045L</w:t>
            </w:r>
          </w:p>
        </w:tc>
        <w:tc>
          <w:tcPr>
            <w:tcW w:w="654" w:type="dxa"/>
            <w:vAlign w:val="top"/>
          </w:tcPr>
          <w:p w14:paraId="753CDA99">
            <w:pPr>
              <w:pStyle w:val="6"/>
              <w:spacing w:before="149" w:line="232" w:lineRule="auto"/>
              <w:ind w:left="73"/>
              <w:rPr>
                <w:sz w:val="18"/>
                <w:szCs w:val="18"/>
              </w:rPr>
            </w:pPr>
            <w:r>
              <w:rPr>
                <w:spacing w:val="-2"/>
                <w:sz w:val="18"/>
                <w:szCs w:val="18"/>
              </w:rPr>
              <w:t>0.0022</w:t>
            </w:r>
          </w:p>
        </w:tc>
        <w:tc>
          <w:tcPr>
            <w:tcW w:w="708" w:type="dxa"/>
            <w:vAlign w:val="top"/>
          </w:tcPr>
          <w:p w14:paraId="1D5EE4C7">
            <w:pPr>
              <w:pStyle w:val="6"/>
              <w:spacing w:before="149" w:line="232" w:lineRule="auto"/>
              <w:ind w:left="91"/>
              <w:rPr>
                <w:sz w:val="18"/>
                <w:szCs w:val="18"/>
              </w:rPr>
            </w:pPr>
            <w:r>
              <w:rPr>
                <w:spacing w:val="-2"/>
                <w:sz w:val="18"/>
                <w:szCs w:val="18"/>
              </w:rPr>
              <w:t>0.009L</w:t>
            </w:r>
          </w:p>
        </w:tc>
        <w:tc>
          <w:tcPr>
            <w:tcW w:w="707" w:type="dxa"/>
            <w:vAlign w:val="top"/>
          </w:tcPr>
          <w:p w14:paraId="2F5A4B0E">
            <w:pPr>
              <w:pStyle w:val="6"/>
              <w:spacing w:before="149" w:line="232" w:lineRule="auto"/>
              <w:ind w:left="148"/>
              <w:rPr>
                <w:sz w:val="18"/>
                <w:szCs w:val="18"/>
              </w:rPr>
            </w:pPr>
            <w:r>
              <w:rPr>
                <w:spacing w:val="-2"/>
                <w:sz w:val="18"/>
                <w:szCs w:val="18"/>
              </w:rPr>
              <w:t>0.012</w:t>
            </w:r>
          </w:p>
        </w:tc>
        <w:tc>
          <w:tcPr>
            <w:tcW w:w="766" w:type="dxa"/>
            <w:vAlign w:val="top"/>
          </w:tcPr>
          <w:p w14:paraId="555DE138">
            <w:pPr>
              <w:pStyle w:val="6"/>
              <w:spacing w:before="149" w:line="232" w:lineRule="auto"/>
              <w:ind w:left="265"/>
              <w:rPr>
                <w:sz w:val="18"/>
                <w:szCs w:val="18"/>
              </w:rPr>
            </w:pPr>
            <w:r>
              <w:rPr>
                <w:spacing w:val="-1"/>
                <w:sz w:val="18"/>
                <w:szCs w:val="18"/>
              </w:rPr>
              <w:t>4.2</w:t>
            </w:r>
          </w:p>
        </w:tc>
        <w:tc>
          <w:tcPr>
            <w:tcW w:w="595" w:type="dxa"/>
            <w:vAlign w:val="top"/>
          </w:tcPr>
          <w:p w14:paraId="251ED741">
            <w:pPr>
              <w:pStyle w:val="6"/>
              <w:spacing w:before="149" w:line="232" w:lineRule="auto"/>
              <w:ind w:left="184"/>
              <w:rPr>
                <w:sz w:val="18"/>
                <w:szCs w:val="18"/>
              </w:rPr>
            </w:pPr>
            <w:r>
              <w:rPr>
                <w:spacing w:val="-3"/>
                <w:sz w:val="18"/>
                <w:szCs w:val="18"/>
              </w:rPr>
              <w:t>9.1</w:t>
            </w:r>
          </w:p>
        </w:tc>
        <w:tc>
          <w:tcPr>
            <w:tcW w:w="955" w:type="dxa"/>
            <w:vAlign w:val="top"/>
          </w:tcPr>
          <w:p w14:paraId="56D250BE">
            <w:pPr>
              <w:pStyle w:val="6"/>
              <w:spacing w:before="149" w:line="232" w:lineRule="auto"/>
              <w:ind w:left="358"/>
              <w:rPr>
                <w:sz w:val="18"/>
                <w:szCs w:val="18"/>
              </w:rPr>
            </w:pPr>
            <w:r>
              <w:rPr>
                <w:spacing w:val="-5"/>
                <w:sz w:val="18"/>
                <w:szCs w:val="18"/>
              </w:rPr>
              <w:t>109</w:t>
            </w:r>
          </w:p>
        </w:tc>
        <w:tc>
          <w:tcPr>
            <w:tcW w:w="506" w:type="dxa"/>
            <w:vAlign w:val="top"/>
          </w:tcPr>
          <w:p w14:paraId="4AA68FD3">
            <w:pPr>
              <w:pStyle w:val="6"/>
              <w:spacing w:before="149" w:line="235" w:lineRule="auto"/>
              <w:ind w:left="160"/>
              <w:rPr>
                <w:sz w:val="18"/>
                <w:szCs w:val="18"/>
              </w:rPr>
            </w:pPr>
            <w:r>
              <w:rPr>
                <w:spacing w:val="-2"/>
                <w:sz w:val="18"/>
                <w:szCs w:val="18"/>
              </w:rPr>
              <w:t>44</w:t>
            </w:r>
          </w:p>
        </w:tc>
        <w:tc>
          <w:tcPr>
            <w:tcW w:w="707" w:type="dxa"/>
            <w:vAlign w:val="top"/>
          </w:tcPr>
          <w:p w14:paraId="47D59A2E">
            <w:pPr>
              <w:pStyle w:val="6"/>
              <w:spacing w:before="149" w:line="232" w:lineRule="auto"/>
              <w:ind w:left="212"/>
              <w:rPr>
                <w:sz w:val="18"/>
                <w:szCs w:val="18"/>
              </w:rPr>
            </w:pPr>
            <w:r>
              <w:rPr>
                <w:spacing w:val="-6"/>
                <w:sz w:val="18"/>
                <w:szCs w:val="18"/>
              </w:rPr>
              <w:t>1.20</w:t>
            </w:r>
          </w:p>
        </w:tc>
        <w:tc>
          <w:tcPr>
            <w:tcW w:w="708" w:type="dxa"/>
            <w:vAlign w:val="top"/>
          </w:tcPr>
          <w:p w14:paraId="6FAF3380">
            <w:pPr>
              <w:pStyle w:val="6"/>
              <w:spacing w:before="149" w:line="232" w:lineRule="auto"/>
              <w:ind w:left="99"/>
              <w:rPr>
                <w:sz w:val="18"/>
                <w:szCs w:val="18"/>
              </w:rPr>
            </w:pPr>
            <w:r>
              <w:rPr>
                <w:spacing w:val="-2"/>
                <w:sz w:val="18"/>
                <w:szCs w:val="18"/>
              </w:rPr>
              <w:t>0.002L</w:t>
            </w:r>
          </w:p>
        </w:tc>
        <w:tc>
          <w:tcPr>
            <w:tcW w:w="663" w:type="dxa"/>
            <w:vAlign w:val="top"/>
          </w:tcPr>
          <w:p w14:paraId="53BE9F68">
            <w:pPr>
              <w:pStyle w:val="6"/>
              <w:spacing w:before="149" w:line="232" w:lineRule="auto"/>
              <w:ind w:left="78"/>
              <w:rPr>
                <w:sz w:val="18"/>
                <w:szCs w:val="18"/>
              </w:rPr>
            </w:pPr>
            <w:r>
              <w:rPr>
                <w:spacing w:val="-2"/>
                <w:sz w:val="18"/>
                <w:szCs w:val="18"/>
              </w:rPr>
              <w:t>0.050L</w:t>
            </w:r>
          </w:p>
        </w:tc>
        <w:tc>
          <w:tcPr>
            <w:tcW w:w="664" w:type="dxa"/>
            <w:vAlign w:val="top"/>
          </w:tcPr>
          <w:p w14:paraId="4EEAC9ED">
            <w:pPr>
              <w:pStyle w:val="6"/>
              <w:spacing w:before="149" w:line="232" w:lineRule="auto"/>
              <w:ind w:left="79"/>
              <w:rPr>
                <w:sz w:val="18"/>
                <w:szCs w:val="18"/>
              </w:rPr>
            </w:pPr>
            <w:r>
              <w:rPr>
                <w:spacing w:val="-2"/>
                <w:sz w:val="18"/>
                <w:szCs w:val="18"/>
              </w:rPr>
              <w:t>0.001L</w:t>
            </w:r>
          </w:p>
        </w:tc>
        <w:tc>
          <w:tcPr>
            <w:tcW w:w="782" w:type="dxa"/>
            <w:vAlign w:val="top"/>
          </w:tcPr>
          <w:p w14:paraId="64709335">
            <w:pPr>
              <w:pStyle w:val="6"/>
              <w:spacing w:before="149" w:line="232" w:lineRule="auto"/>
              <w:ind w:left="93"/>
              <w:rPr>
                <w:sz w:val="18"/>
                <w:szCs w:val="18"/>
              </w:rPr>
            </w:pPr>
            <w:r>
              <w:rPr>
                <w:spacing w:val="-1"/>
                <w:sz w:val="18"/>
                <w:szCs w:val="18"/>
              </w:rPr>
              <w:t>0.0005L</w:t>
            </w:r>
          </w:p>
        </w:tc>
        <w:tc>
          <w:tcPr>
            <w:tcW w:w="663" w:type="dxa"/>
            <w:vAlign w:val="top"/>
          </w:tcPr>
          <w:p w14:paraId="54B3DD23">
            <w:pPr>
              <w:pStyle w:val="6"/>
              <w:spacing w:before="149" w:line="232" w:lineRule="auto"/>
              <w:ind w:left="81"/>
              <w:rPr>
                <w:sz w:val="18"/>
                <w:szCs w:val="18"/>
              </w:rPr>
            </w:pPr>
            <w:r>
              <w:rPr>
                <w:spacing w:val="-2"/>
                <w:sz w:val="18"/>
                <w:szCs w:val="18"/>
              </w:rPr>
              <w:t>0.004L</w:t>
            </w:r>
          </w:p>
        </w:tc>
        <w:tc>
          <w:tcPr>
            <w:tcW w:w="737" w:type="dxa"/>
            <w:vAlign w:val="top"/>
          </w:tcPr>
          <w:p w14:paraId="6D15F355">
            <w:pPr>
              <w:pStyle w:val="6"/>
              <w:spacing w:before="149" w:line="232" w:lineRule="auto"/>
              <w:ind w:left="74"/>
              <w:rPr>
                <w:sz w:val="18"/>
                <w:szCs w:val="18"/>
              </w:rPr>
            </w:pPr>
            <w:r>
              <w:rPr>
                <w:spacing w:val="-1"/>
                <w:sz w:val="18"/>
                <w:szCs w:val="18"/>
              </w:rPr>
              <w:t>0.0025L</w:t>
            </w:r>
          </w:p>
        </w:tc>
        <w:tc>
          <w:tcPr>
            <w:tcW w:w="737" w:type="dxa"/>
            <w:vAlign w:val="top"/>
          </w:tcPr>
          <w:p w14:paraId="61461427">
            <w:pPr>
              <w:pStyle w:val="6"/>
              <w:spacing w:before="149" w:line="232" w:lineRule="auto"/>
              <w:ind w:left="75"/>
              <w:rPr>
                <w:sz w:val="18"/>
                <w:szCs w:val="18"/>
              </w:rPr>
            </w:pPr>
            <w:r>
              <w:rPr>
                <w:spacing w:val="-1"/>
                <w:sz w:val="18"/>
                <w:szCs w:val="18"/>
              </w:rPr>
              <w:t>0.0001L</w:t>
            </w:r>
          </w:p>
        </w:tc>
        <w:tc>
          <w:tcPr>
            <w:tcW w:w="754" w:type="dxa"/>
            <w:vAlign w:val="top"/>
          </w:tcPr>
          <w:p w14:paraId="26E6F331">
            <w:pPr>
              <w:pStyle w:val="6"/>
              <w:spacing w:before="149" w:line="232" w:lineRule="auto"/>
              <w:ind w:left="84"/>
              <w:rPr>
                <w:sz w:val="18"/>
                <w:szCs w:val="18"/>
              </w:rPr>
            </w:pPr>
            <w:r>
              <w:rPr>
                <w:spacing w:val="-1"/>
                <w:sz w:val="18"/>
                <w:szCs w:val="18"/>
              </w:rPr>
              <w:t>0.0004L</w:t>
            </w:r>
          </w:p>
        </w:tc>
        <w:tc>
          <w:tcPr>
            <w:tcW w:w="667" w:type="dxa"/>
            <w:vAlign w:val="top"/>
          </w:tcPr>
          <w:p w14:paraId="06DA66FF">
            <w:pPr>
              <w:pStyle w:val="6"/>
              <w:spacing w:before="149" w:line="232" w:lineRule="auto"/>
              <w:ind w:left="86"/>
              <w:rPr>
                <w:sz w:val="18"/>
                <w:szCs w:val="18"/>
              </w:rPr>
            </w:pPr>
            <w:r>
              <w:rPr>
                <w:spacing w:val="-2"/>
                <w:sz w:val="18"/>
                <w:szCs w:val="18"/>
              </w:rPr>
              <w:t>0.002L</w:t>
            </w:r>
          </w:p>
        </w:tc>
        <w:tc>
          <w:tcPr>
            <w:tcW w:w="544" w:type="dxa"/>
            <w:vAlign w:val="top"/>
          </w:tcPr>
          <w:p w14:paraId="751F2D18">
            <w:pPr>
              <w:pStyle w:val="6"/>
              <w:spacing w:before="149" w:line="232" w:lineRule="auto"/>
              <w:ind w:left="126"/>
              <w:rPr>
                <w:sz w:val="18"/>
                <w:szCs w:val="18"/>
              </w:rPr>
            </w:pPr>
            <w:r>
              <w:rPr>
                <w:spacing w:val="-2"/>
                <w:sz w:val="18"/>
                <w:szCs w:val="18"/>
              </w:rPr>
              <w:t>0.39</w:t>
            </w:r>
          </w:p>
        </w:tc>
        <w:tc>
          <w:tcPr>
            <w:tcW w:w="434" w:type="dxa"/>
            <w:vAlign w:val="top"/>
          </w:tcPr>
          <w:p w14:paraId="7D4CECCB">
            <w:pPr>
              <w:pStyle w:val="6"/>
              <w:spacing w:before="149" w:line="232" w:lineRule="auto"/>
              <w:ind w:left="62"/>
              <w:rPr>
                <w:sz w:val="18"/>
                <w:szCs w:val="18"/>
              </w:rPr>
            </w:pPr>
            <w:r>
              <w:rPr>
                <w:spacing w:val="-2"/>
                <w:sz w:val="18"/>
                <w:szCs w:val="18"/>
              </w:rPr>
              <w:t>0.5L</w:t>
            </w:r>
          </w:p>
        </w:tc>
        <w:tc>
          <w:tcPr>
            <w:tcW w:w="1015" w:type="dxa"/>
            <w:vAlign w:val="top"/>
          </w:tcPr>
          <w:p w14:paraId="096385C9">
            <w:pPr>
              <w:pStyle w:val="6"/>
              <w:spacing w:before="149" w:line="232" w:lineRule="auto"/>
              <w:ind w:left="489"/>
              <w:rPr>
                <w:sz w:val="18"/>
                <w:szCs w:val="18"/>
              </w:rPr>
            </w:pPr>
            <w:r>
              <w:rPr>
                <w:sz w:val="18"/>
                <w:szCs w:val="18"/>
              </w:rPr>
              <w:t>/</w:t>
            </w:r>
          </w:p>
        </w:tc>
        <w:tc>
          <w:tcPr>
            <w:tcW w:w="721" w:type="dxa"/>
            <w:tcBorders>
              <w:right w:val="single" w:color="000000" w:sz="12" w:space="0"/>
            </w:tcBorders>
            <w:vAlign w:val="top"/>
          </w:tcPr>
          <w:p w14:paraId="6CB6FECC">
            <w:pPr>
              <w:pStyle w:val="6"/>
              <w:spacing w:before="149" w:line="232" w:lineRule="auto"/>
              <w:ind w:left="278"/>
              <w:rPr>
                <w:sz w:val="18"/>
                <w:szCs w:val="18"/>
              </w:rPr>
            </w:pPr>
            <w:r>
              <w:rPr>
                <w:spacing w:val="-2"/>
                <w:sz w:val="18"/>
                <w:szCs w:val="18"/>
              </w:rPr>
              <w:t>90</w:t>
            </w:r>
          </w:p>
        </w:tc>
      </w:tr>
      <w:tr w14:paraId="5FA37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492" w:type="dxa"/>
            <w:vMerge w:val="continue"/>
            <w:tcBorders>
              <w:top w:val="nil"/>
              <w:left w:val="single" w:color="000000" w:sz="12" w:space="0"/>
              <w:bottom w:val="nil"/>
            </w:tcBorders>
            <w:vAlign w:val="top"/>
          </w:tcPr>
          <w:p w14:paraId="2AC347C3">
            <w:pPr>
              <w:rPr>
                <w:rFonts w:ascii="Arial"/>
                <w:sz w:val="21"/>
              </w:rPr>
            </w:pPr>
          </w:p>
        </w:tc>
        <w:tc>
          <w:tcPr>
            <w:tcW w:w="272" w:type="dxa"/>
            <w:vMerge w:val="continue"/>
            <w:tcBorders>
              <w:top w:val="nil"/>
              <w:bottom w:val="nil"/>
            </w:tcBorders>
            <w:vAlign w:val="top"/>
          </w:tcPr>
          <w:p w14:paraId="5B30F863">
            <w:pPr>
              <w:rPr>
                <w:rFonts w:ascii="Arial"/>
                <w:sz w:val="21"/>
              </w:rPr>
            </w:pPr>
          </w:p>
        </w:tc>
        <w:tc>
          <w:tcPr>
            <w:tcW w:w="1004" w:type="dxa"/>
            <w:vAlign w:val="top"/>
          </w:tcPr>
          <w:p w14:paraId="3B4A442A">
            <w:pPr>
              <w:pStyle w:val="6"/>
              <w:spacing w:before="206" w:line="232" w:lineRule="auto"/>
              <w:ind w:left="77"/>
              <w:rPr>
                <w:sz w:val="18"/>
                <w:szCs w:val="18"/>
              </w:rPr>
            </w:pPr>
            <w:r>
              <w:rPr>
                <w:spacing w:val="-1"/>
                <w:sz w:val="18"/>
                <w:szCs w:val="18"/>
              </w:rPr>
              <w:t>2019/11/10</w:t>
            </w:r>
          </w:p>
        </w:tc>
        <w:tc>
          <w:tcPr>
            <w:tcW w:w="686" w:type="dxa"/>
            <w:vAlign w:val="top"/>
          </w:tcPr>
          <w:p w14:paraId="40EA360B">
            <w:pPr>
              <w:pStyle w:val="6"/>
              <w:spacing w:before="211" w:line="183" w:lineRule="auto"/>
              <w:ind w:left="234"/>
              <w:rPr>
                <w:sz w:val="18"/>
                <w:szCs w:val="18"/>
              </w:rPr>
            </w:pPr>
            <w:r>
              <w:rPr>
                <w:spacing w:val="-2"/>
                <w:sz w:val="18"/>
                <w:szCs w:val="18"/>
              </w:rPr>
              <w:t>5L</w:t>
            </w:r>
          </w:p>
        </w:tc>
        <w:tc>
          <w:tcPr>
            <w:tcW w:w="923" w:type="dxa"/>
            <w:vAlign w:val="top"/>
          </w:tcPr>
          <w:p w14:paraId="5FB55ACC">
            <w:pPr>
              <w:pStyle w:val="6"/>
              <w:spacing w:before="206" w:line="232" w:lineRule="auto"/>
              <w:ind w:left="338"/>
              <w:rPr>
                <w:sz w:val="18"/>
                <w:szCs w:val="18"/>
              </w:rPr>
            </w:pPr>
            <w:r>
              <w:rPr>
                <w:spacing w:val="-3"/>
                <w:sz w:val="18"/>
                <w:szCs w:val="18"/>
              </w:rPr>
              <w:t>0.8</w:t>
            </w:r>
          </w:p>
        </w:tc>
        <w:tc>
          <w:tcPr>
            <w:tcW w:w="708" w:type="dxa"/>
            <w:vAlign w:val="top"/>
          </w:tcPr>
          <w:p w14:paraId="14643AE4">
            <w:pPr>
              <w:pStyle w:val="6"/>
              <w:spacing w:before="206" w:line="232" w:lineRule="auto"/>
              <w:ind w:left="188"/>
              <w:rPr>
                <w:sz w:val="18"/>
                <w:szCs w:val="18"/>
              </w:rPr>
            </w:pPr>
            <w:r>
              <w:rPr>
                <w:spacing w:val="-2"/>
                <w:sz w:val="18"/>
                <w:szCs w:val="18"/>
              </w:rPr>
              <w:t>7.11</w:t>
            </w:r>
          </w:p>
        </w:tc>
        <w:tc>
          <w:tcPr>
            <w:tcW w:w="850" w:type="dxa"/>
            <w:vAlign w:val="top"/>
          </w:tcPr>
          <w:p w14:paraId="13342A94">
            <w:pPr>
              <w:pStyle w:val="6"/>
              <w:spacing w:before="206" w:line="232" w:lineRule="auto"/>
              <w:ind w:left="214"/>
              <w:rPr>
                <w:sz w:val="18"/>
                <w:szCs w:val="18"/>
              </w:rPr>
            </w:pPr>
            <w:r>
              <w:rPr>
                <w:spacing w:val="-2"/>
                <w:sz w:val="18"/>
                <w:szCs w:val="18"/>
              </w:rPr>
              <w:t>0.041</w:t>
            </w:r>
          </w:p>
        </w:tc>
        <w:tc>
          <w:tcPr>
            <w:tcW w:w="761" w:type="dxa"/>
            <w:vAlign w:val="top"/>
          </w:tcPr>
          <w:p w14:paraId="66EBF222">
            <w:pPr>
              <w:pStyle w:val="6"/>
              <w:spacing w:before="206" w:line="232" w:lineRule="auto"/>
              <w:ind w:left="70"/>
              <w:rPr>
                <w:sz w:val="18"/>
                <w:szCs w:val="18"/>
              </w:rPr>
            </w:pPr>
            <w:r>
              <w:rPr>
                <w:spacing w:val="-1"/>
                <w:sz w:val="18"/>
                <w:szCs w:val="18"/>
              </w:rPr>
              <w:t>0.0045L</w:t>
            </w:r>
          </w:p>
        </w:tc>
        <w:tc>
          <w:tcPr>
            <w:tcW w:w="654" w:type="dxa"/>
            <w:vAlign w:val="top"/>
          </w:tcPr>
          <w:p w14:paraId="05C8C764">
            <w:pPr>
              <w:pStyle w:val="6"/>
              <w:spacing w:before="206" w:line="232" w:lineRule="auto"/>
              <w:ind w:left="73"/>
              <w:rPr>
                <w:sz w:val="18"/>
                <w:szCs w:val="18"/>
              </w:rPr>
            </w:pPr>
            <w:r>
              <w:rPr>
                <w:spacing w:val="-2"/>
                <w:sz w:val="18"/>
                <w:szCs w:val="18"/>
              </w:rPr>
              <w:t>0.0020</w:t>
            </w:r>
          </w:p>
        </w:tc>
        <w:tc>
          <w:tcPr>
            <w:tcW w:w="708" w:type="dxa"/>
            <w:vAlign w:val="top"/>
          </w:tcPr>
          <w:p w14:paraId="1F434CDC">
            <w:pPr>
              <w:pStyle w:val="6"/>
              <w:spacing w:before="206" w:line="232" w:lineRule="auto"/>
              <w:ind w:left="91"/>
              <w:rPr>
                <w:sz w:val="18"/>
                <w:szCs w:val="18"/>
              </w:rPr>
            </w:pPr>
            <w:r>
              <w:rPr>
                <w:spacing w:val="-2"/>
                <w:sz w:val="18"/>
                <w:szCs w:val="18"/>
              </w:rPr>
              <w:t>0.009L</w:t>
            </w:r>
          </w:p>
        </w:tc>
        <w:tc>
          <w:tcPr>
            <w:tcW w:w="707" w:type="dxa"/>
            <w:vAlign w:val="top"/>
          </w:tcPr>
          <w:p w14:paraId="630F6994">
            <w:pPr>
              <w:pStyle w:val="6"/>
              <w:spacing w:before="206" w:line="232" w:lineRule="auto"/>
              <w:ind w:left="148"/>
              <w:rPr>
                <w:sz w:val="18"/>
                <w:szCs w:val="18"/>
              </w:rPr>
            </w:pPr>
            <w:r>
              <w:rPr>
                <w:spacing w:val="-2"/>
                <w:sz w:val="18"/>
                <w:szCs w:val="18"/>
              </w:rPr>
              <w:t>0.012</w:t>
            </w:r>
          </w:p>
        </w:tc>
        <w:tc>
          <w:tcPr>
            <w:tcW w:w="766" w:type="dxa"/>
            <w:vAlign w:val="top"/>
          </w:tcPr>
          <w:p w14:paraId="70015456">
            <w:pPr>
              <w:pStyle w:val="6"/>
              <w:spacing w:before="206" w:line="232" w:lineRule="auto"/>
              <w:ind w:left="265"/>
              <w:rPr>
                <w:sz w:val="18"/>
                <w:szCs w:val="18"/>
              </w:rPr>
            </w:pPr>
            <w:r>
              <w:rPr>
                <w:spacing w:val="-1"/>
                <w:sz w:val="18"/>
                <w:szCs w:val="18"/>
              </w:rPr>
              <w:t>4.8</w:t>
            </w:r>
          </w:p>
        </w:tc>
        <w:tc>
          <w:tcPr>
            <w:tcW w:w="595" w:type="dxa"/>
            <w:vAlign w:val="top"/>
          </w:tcPr>
          <w:p w14:paraId="368C4D26">
            <w:pPr>
              <w:pStyle w:val="6"/>
              <w:spacing w:before="206" w:line="232" w:lineRule="auto"/>
              <w:ind w:left="187"/>
              <w:rPr>
                <w:sz w:val="18"/>
                <w:szCs w:val="18"/>
              </w:rPr>
            </w:pPr>
            <w:r>
              <w:rPr>
                <w:spacing w:val="-4"/>
                <w:sz w:val="18"/>
                <w:szCs w:val="18"/>
              </w:rPr>
              <w:t>8.4</w:t>
            </w:r>
          </w:p>
        </w:tc>
        <w:tc>
          <w:tcPr>
            <w:tcW w:w="955" w:type="dxa"/>
            <w:vAlign w:val="top"/>
          </w:tcPr>
          <w:p w14:paraId="375A91C6">
            <w:pPr>
              <w:pStyle w:val="6"/>
              <w:spacing w:before="205" w:line="235" w:lineRule="auto"/>
              <w:ind w:left="358"/>
              <w:rPr>
                <w:sz w:val="18"/>
                <w:szCs w:val="18"/>
              </w:rPr>
            </w:pPr>
            <w:r>
              <w:rPr>
                <w:spacing w:val="-5"/>
                <w:sz w:val="18"/>
                <w:szCs w:val="18"/>
              </w:rPr>
              <w:t>114</w:t>
            </w:r>
          </w:p>
        </w:tc>
        <w:tc>
          <w:tcPr>
            <w:tcW w:w="506" w:type="dxa"/>
            <w:vAlign w:val="top"/>
          </w:tcPr>
          <w:p w14:paraId="3124C180">
            <w:pPr>
              <w:pStyle w:val="6"/>
              <w:spacing w:before="206" w:line="232" w:lineRule="auto"/>
              <w:ind w:left="160"/>
              <w:rPr>
                <w:sz w:val="18"/>
                <w:szCs w:val="18"/>
              </w:rPr>
            </w:pPr>
            <w:r>
              <w:rPr>
                <w:spacing w:val="-1"/>
                <w:sz w:val="18"/>
                <w:szCs w:val="18"/>
              </w:rPr>
              <w:t>40</w:t>
            </w:r>
          </w:p>
        </w:tc>
        <w:tc>
          <w:tcPr>
            <w:tcW w:w="707" w:type="dxa"/>
            <w:vAlign w:val="top"/>
          </w:tcPr>
          <w:p w14:paraId="21BA6553">
            <w:pPr>
              <w:pStyle w:val="6"/>
              <w:spacing w:before="206" w:line="232" w:lineRule="auto"/>
              <w:ind w:left="212"/>
              <w:rPr>
                <w:sz w:val="18"/>
                <w:szCs w:val="18"/>
              </w:rPr>
            </w:pPr>
            <w:r>
              <w:rPr>
                <w:spacing w:val="-6"/>
                <w:sz w:val="18"/>
                <w:szCs w:val="18"/>
              </w:rPr>
              <w:t>1.15</w:t>
            </w:r>
          </w:p>
        </w:tc>
        <w:tc>
          <w:tcPr>
            <w:tcW w:w="708" w:type="dxa"/>
            <w:vAlign w:val="top"/>
          </w:tcPr>
          <w:p w14:paraId="02F9B570">
            <w:pPr>
              <w:pStyle w:val="6"/>
              <w:spacing w:before="206" w:line="232" w:lineRule="auto"/>
              <w:ind w:left="99"/>
              <w:rPr>
                <w:sz w:val="18"/>
                <w:szCs w:val="18"/>
              </w:rPr>
            </w:pPr>
            <w:r>
              <w:rPr>
                <w:spacing w:val="-2"/>
                <w:sz w:val="18"/>
                <w:szCs w:val="18"/>
              </w:rPr>
              <w:t>0.002L</w:t>
            </w:r>
          </w:p>
        </w:tc>
        <w:tc>
          <w:tcPr>
            <w:tcW w:w="663" w:type="dxa"/>
            <w:vAlign w:val="top"/>
          </w:tcPr>
          <w:p w14:paraId="46640D95">
            <w:pPr>
              <w:pStyle w:val="6"/>
              <w:spacing w:before="206" w:line="232" w:lineRule="auto"/>
              <w:ind w:left="78"/>
              <w:rPr>
                <w:sz w:val="18"/>
                <w:szCs w:val="18"/>
              </w:rPr>
            </w:pPr>
            <w:r>
              <w:rPr>
                <w:spacing w:val="-2"/>
                <w:sz w:val="18"/>
                <w:szCs w:val="18"/>
              </w:rPr>
              <w:t>0.050L</w:t>
            </w:r>
          </w:p>
        </w:tc>
        <w:tc>
          <w:tcPr>
            <w:tcW w:w="664" w:type="dxa"/>
            <w:vAlign w:val="top"/>
          </w:tcPr>
          <w:p w14:paraId="78185AEF">
            <w:pPr>
              <w:pStyle w:val="6"/>
              <w:spacing w:before="206" w:line="232" w:lineRule="auto"/>
              <w:ind w:left="79"/>
              <w:rPr>
                <w:sz w:val="18"/>
                <w:szCs w:val="18"/>
              </w:rPr>
            </w:pPr>
            <w:r>
              <w:rPr>
                <w:spacing w:val="-2"/>
                <w:sz w:val="18"/>
                <w:szCs w:val="18"/>
              </w:rPr>
              <w:t>0.001L</w:t>
            </w:r>
          </w:p>
        </w:tc>
        <w:tc>
          <w:tcPr>
            <w:tcW w:w="782" w:type="dxa"/>
            <w:vAlign w:val="top"/>
          </w:tcPr>
          <w:p w14:paraId="750A37CD">
            <w:pPr>
              <w:pStyle w:val="6"/>
              <w:spacing w:before="206" w:line="232" w:lineRule="auto"/>
              <w:ind w:left="93"/>
              <w:rPr>
                <w:sz w:val="18"/>
                <w:szCs w:val="18"/>
              </w:rPr>
            </w:pPr>
            <w:r>
              <w:rPr>
                <w:spacing w:val="-1"/>
                <w:sz w:val="18"/>
                <w:szCs w:val="18"/>
              </w:rPr>
              <w:t>0.0005L</w:t>
            </w:r>
          </w:p>
        </w:tc>
        <w:tc>
          <w:tcPr>
            <w:tcW w:w="663" w:type="dxa"/>
            <w:vAlign w:val="top"/>
          </w:tcPr>
          <w:p w14:paraId="226F48A1">
            <w:pPr>
              <w:pStyle w:val="6"/>
              <w:spacing w:before="206" w:line="232" w:lineRule="auto"/>
              <w:ind w:left="81"/>
              <w:rPr>
                <w:sz w:val="18"/>
                <w:szCs w:val="18"/>
              </w:rPr>
            </w:pPr>
            <w:r>
              <w:rPr>
                <w:spacing w:val="-2"/>
                <w:sz w:val="18"/>
                <w:szCs w:val="18"/>
              </w:rPr>
              <w:t>0.004L</w:t>
            </w:r>
          </w:p>
        </w:tc>
        <w:tc>
          <w:tcPr>
            <w:tcW w:w="737" w:type="dxa"/>
            <w:vAlign w:val="top"/>
          </w:tcPr>
          <w:p w14:paraId="4AE47175">
            <w:pPr>
              <w:pStyle w:val="6"/>
              <w:spacing w:before="206" w:line="232" w:lineRule="auto"/>
              <w:ind w:left="74"/>
              <w:rPr>
                <w:sz w:val="18"/>
                <w:szCs w:val="18"/>
              </w:rPr>
            </w:pPr>
            <w:r>
              <w:rPr>
                <w:spacing w:val="-1"/>
                <w:sz w:val="18"/>
                <w:szCs w:val="18"/>
              </w:rPr>
              <w:t>0.0025L</w:t>
            </w:r>
          </w:p>
        </w:tc>
        <w:tc>
          <w:tcPr>
            <w:tcW w:w="737" w:type="dxa"/>
            <w:vAlign w:val="top"/>
          </w:tcPr>
          <w:p w14:paraId="474366E8">
            <w:pPr>
              <w:pStyle w:val="6"/>
              <w:spacing w:before="206" w:line="232" w:lineRule="auto"/>
              <w:ind w:left="75"/>
              <w:rPr>
                <w:sz w:val="18"/>
                <w:szCs w:val="18"/>
              </w:rPr>
            </w:pPr>
            <w:r>
              <w:rPr>
                <w:spacing w:val="-1"/>
                <w:sz w:val="18"/>
                <w:szCs w:val="18"/>
              </w:rPr>
              <w:t>0.0001L</w:t>
            </w:r>
          </w:p>
        </w:tc>
        <w:tc>
          <w:tcPr>
            <w:tcW w:w="754" w:type="dxa"/>
            <w:vAlign w:val="top"/>
          </w:tcPr>
          <w:p w14:paraId="52F28468">
            <w:pPr>
              <w:pStyle w:val="6"/>
              <w:spacing w:before="206" w:line="232" w:lineRule="auto"/>
              <w:ind w:left="84"/>
              <w:rPr>
                <w:sz w:val="18"/>
                <w:szCs w:val="18"/>
              </w:rPr>
            </w:pPr>
            <w:r>
              <w:rPr>
                <w:spacing w:val="-1"/>
                <w:sz w:val="18"/>
                <w:szCs w:val="18"/>
              </w:rPr>
              <w:t>0.0004L</w:t>
            </w:r>
          </w:p>
        </w:tc>
        <w:tc>
          <w:tcPr>
            <w:tcW w:w="667" w:type="dxa"/>
            <w:vAlign w:val="top"/>
          </w:tcPr>
          <w:p w14:paraId="34B12B1A">
            <w:pPr>
              <w:pStyle w:val="6"/>
              <w:spacing w:before="206" w:line="232" w:lineRule="auto"/>
              <w:ind w:left="86"/>
              <w:rPr>
                <w:sz w:val="18"/>
                <w:szCs w:val="18"/>
              </w:rPr>
            </w:pPr>
            <w:r>
              <w:rPr>
                <w:spacing w:val="-2"/>
                <w:sz w:val="18"/>
                <w:szCs w:val="18"/>
              </w:rPr>
              <w:t>0.002L</w:t>
            </w:r>
          </w:p>
        </w:tc>
        <w:tc>
          <w:tcPr>
            <w:tcW w:w="544" w:type="dxa"/>
            <w:vAlign w:val="top"/>
          </w:tcPr>
          <w:p w14:paraId="2B1D18BF">
            <w:pPr>
              <w:pStyle w:val="6"/>
              <w:spacing w:before="206" w:line="232" w:lineRule="auto"/>
              <w:ind w:left="126"/>
              <w:rPr>
                <w:sz w:val="18"/>
                <w:szCs w:val="18"/>
              </w:rPr>
            </w:pPr>
            <w:r>
              <w:rPr>
                <w:spacing w:val="-2"/>
                <w:sz w:val="18"/>
                <w:szCs w:val="18"/>
              </w:rPr>
              <w:t>0.37</w:t>
            </w:r>
          </w:p>
        </w:tc>
        <w:tc>
          <w:tcPr>
            <w:tcW w:w="434" w:type="dxa"/>
            <w:vAlign w:val="top"/>
          </w:tcPr>
          <w:p w14:paraId="58D194C4">
            <w:pPr>
              <w:pStyle w:val="6"/>
              <w:spacing w:before="206" w:line="232" w:lineRule="auto"/>
              <w:ind w:left="62"/>
              <w:rPr>
                <w:sz w:val="18"/>
                <w:szCs w:val="18"/>
              </w:rPr>
            </w:pPr>
            <w:r>
              <w:rPr>
                <w:spacing w:val="-2"/>
                <w:sz w:val="18"/>
                <w:szCs w:val="18"/>
              </w:rPr>
              <w:t>0.5L</w:t>
            </w:r>
          </w:p>
        </w:tc>
        <w:tc>
          <w:tcPr>
            <w:tcW w:w="1015" w:type="dxa"/>
            <w:vAlign w:val="top"/>
          </w:tcPr>
          <w:p w14:paraId="0CE05064">
            <w:pPr>
              <w:pStyle w:val="6"/>
              <w:spacing w:before="206" w:line="232" w:lineRule="auto"/>
              <w:ind w:left="489"/>
              <w:rPr>
                <w:sz w:val="18"/>
                <w:szCs w:val="18"/>
              </w:rPr>
            </w:pPr>
            <w:r>
              <w:rPr>
                <w:sz w:val="18"/>
                <w:szCs w:val="18"/>
              </w:rPr>
              <w:t>/</w:t>
            </w:r>
          </w:p>
        </w:tc>
        <w:tc>
          <w:tcPr>
            <w:tcW w:w="721" w:type="dxa"/>
            <w:tcBorders>
              <w:right w:val="single" w:color="000000" w:sz="12" w:space="0"/>
            </w:tcBorders>
            <w:vAlign w:val="top"/>
          </w:tcPr>
          <w:p w14:paraId="5FF27B39">
            <w:pPr>
              <w:pStyle w:val="6"/>
              <w:spacing w:before="206" w:line="232" w:lineRule="auto"/>
              <w:ind w:left="278"/>
              <w:rPr>
                <w:sz w:val="18"/>
                <w:szCs w:val="18"/>
              </w:rPr>
            </w:pPr>
            <w:r>
              <w:rPr>
                <w:spacing w:val="-2"/>
                <w:sz w:val="18"/>
                <w:szCs w:val="18"/>
              </w:rPr>
              <w:t>70</w:t>
            </w:r>
          </w:p>
        </w:tc>
      </w:tr>
      <w:tr w14:paraId="2B8B4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92" w:type="dxa"/>
            <w:vMerge w:val="continue"/>
            <w:tcBorders>
              <w:top w:val="nil"/>
              <w:left w:val="single" w:color="000000" w:sz="12" w:space="0"/>
              <w:bottom w:val="single" w:color="000000" w:sz="12" w:space="0"/>
            </w:tcBorders>
            <w:vAlign w:val="top"/>
          </w:tcPr>
          <w:p w14:paraId="03E5E722">
            <w:pPr>
              <w:rPr>
                <w:rFonts w:ascii="Arial"/>
                <w:sz w:val="21"/>
              </w:rPr>
            </w:pPr>
          </w:p>
        </w:tc>
        <w:tc>
          <w:tcPr>
            <w:tcW w:w="272" w:type="dxa"/>
            <w:vMerge w:val="continue"/>
            <w:tcBorders>
              <w:top w:val="nil"/>
              <w:bottom w:val="single" w:color="000000" w:sz="12" w:space="0"/>
            </w:tcBorders>
            <w:vAlign w:val="top"/>
          </w:tcPr>
          <w:p w14:paraId="6EC2BB19">
            <w:pPr>
              <w:rPr>
                <w:rFonts w:ascii="Arial"/>
                <w:sz w:val="21"/>
              </w:rPr>
            </w:pPr>
          </w:p>
        </w:tc>
        <w:tc>
          <w:tcPr>
            <w:tcW w:w="1004" w:type="dxa"/>
            <w:tcBorders>
              <w:bottom w:val="single" w:color="000000" w:sz="12" w:space="0"/>
            </w:tcBorders>
            <w:vAlign w:val="top"/>
          </w:tcPr>
          <w:p w14:paraId="2EF92FCE">
            <w:pPr>
              <w:pStyle w:val="6"/>
              <w:spacing w:before="152" w:line="232" w:lineRule="auto"/>
              <w:ind w:left="77"/>
              <w:rPr>
                <w:sz w:val="18"/>
                <w:szCs w:val="18"/>
              </w:rPr>
            </w:pPr>
            <w:r>
              <w:rPr>
                <w:spacing w:val="-1"/>
                <w:sz w:val="18"/>
                <w:szCs w:val="18"/>
              </w:rPr>
              <w:t>2019/11/11</w:t>
            </w:r>
          </w:p>
        </w:tc>
        <w:tc>
          <w:tcPr>
            <w:tcW w:w="686" w:type="dxa"/>
            <w:tcBorders>
              <w:bottom w:val="single" w:color="000000" w:sz="12" w:space="0"/>
            </w:tcBorders>
            <w:vAlign w:val="top"/>
          </w:tcPr>
          <w:p w14:paraId="0E20EE52">
            <w:pPr>
              <w:pStyle w:val="6"/>
              <w:spacing w:before="157" w:line="183" w:lineRule="auto"/>
              <w:ind w:left="234"/>
              <w:rPr>
                <w:sz w:val="18"/>
                <w:szCs w:val="18"/>
              </w:rPr>
            </w:pPr>
            <w:r>
              <w:rPr>
                <w:spacing w:val="-2"/>
                <w:sz w:val="18"/>
                <w:szCs w:val="18"/>
              </w:rPr>
              <w:t>5L</w:t>
            </w:r>
          </w:p>
        </w:tc>
        <w:tc>
          <w:tcPr>
            <w:tcW w:w="923" w:type="dxa"/>
            <w:tcBorders>
              <w:bottom w:val="single" w:color="000000" w:sz="12" w:space="0"/>
            </w:tcBorders>
            <w:vAlign w:val="top"/>
          </w:tcPr>
          <w:p w14:paraId="3A34E407">
            <w:pPr>
              <w:pStyle w:val="6"/>
              <w:spacing w:before="152" w:line="232" w:lineRule="auto"/>
              <w:ind w:left="338"/>
              <w:rPr>
                <w:sz w:val="18"/>
                <w:szCs w:val="18"/>
              </w:rPr>
            </w:pPr>
            <w:r>
              <w:rPr>
                <w:spacing w:val="-3"/>
                <w:sz w:val="18"/>
                <w:szCs w:val="18"/>
              </w:rPr>
              <w:t>0.6</w:t>
            </w:r>
          </w:p>
        </w:tc>
        <w:tc>
          <w:tcPr>
            <w:tcW w:w="708" w:type="dxa"/>
            <w:tcBorders>
              <w:bottom w:val="single" w:color="000000" w:sz="12" w:space="0"/>
            </w:tcBorders>
            <w:vAlign w:val="top"/>
          </w:tcPr>
          <w:p w14:paraId="3AB52B2A">
            <w:pPr>
              <w:pStyle w:val="6"/>
              <w:spacing w:before="152" w:line="232" w:lineRule="auto"/>
              <w:ind w:left="188"/>
              <w:rPr>
                <w:sz w:val="18"/>
                <w:szCs w:val="18"/>
              </w:rPr>
            </w:pPr>
            <w:r>
              <w:rPr>
                <w:spacing w:val="-2"/>
                <w:sz w:val="18"/>
                <w:szCs w:val="18"/>
              </w:rPr>
              <w:t>7.13</w:t>
            </w:r>
          </w:p>
        </w:tc>
        <w:tc>
          <w:tcPr>
            <w:tcW w:w="850" w:type="dxa"/>
            <w:tcBorders>
              <w:bottom w:val="single" w:color="000000" w:sz="12" w:space="0"/>
            </w:tcBorders>
            <w:vAlign w:val="top"/>
          </w:tcPr>
          <w:p w14:paraId="31E80FB5">
            <w:pPr>
              <w:pStyle w:val="6"/>
              <w:spacing w:before="152" w:line="232" w:lineRule="auto"/>
              <w:ind w:left="214"/>
              <w:rPr>
                <w:sz w:val="18"/>
                <w:szCs w:val="18"/>
              </w:rPr>
            </w:pPr>
            <w:r>
              <w:rPr>
                <w:spacing w:val="-2"/>
                <w:sz w:val="18"/>
                <w:szCs w:val="18"/>
              </w:rPr>
              <w:t>0.040</w:t>
            </w:r>
          </w:p>
        </w:tc>
        <w:tc>
          <w:tcPr>
            <w:tcW w:w="761" w:type="dxa"/>
            <w:tcBorders>
              <w:bottom w:val="single" w:color="000000" w:sz="12" w:space="0"/>
            </w:tcBorders>
            <w:vAlign w:val="top"/>
          </w:tcPr>
          <w:p w14:paraId="2859A81B">
            <w:pPr>
              <w:pStyle w:val="6"/>
              <w:spacing w:before="152" w:line="232" w:lineRule="auto"/>
              <w:ind w:left="70"/>
              <w:rPr>
                <w:sz w:val="18"/>
                <w:szCs w:val="18"/>
              </w:rPr>
            </w:pPr>
            <w:r>
              <w:rPr>
                <w:spacing w:val="-1"/>
                <w:sz w:val="18"/>
                <w:szCs w:val="18"/>
              </w:rPr>
              <w:t>0.0045L</w:t>
            </w:r>
          </w:p>
        </w:tc>
        <w:tc>
          <w:tcPr>
            <w:tcW w:w="654" w:type="dxa"/>
            <w:tcBorders>
              <w:bottom w:val="single" w:color="000000" w:sz="12" w:space="0"/>
            </w:tcBorders>
            <w:vAlign w:val="top"/>
          </w:tcPr>
          <w:p w14:paraId="7F0C9A3B">
            <w:pPr>
              <w:pStyle w:val="6"/>
              <w:spacing w:before="152" w:line="232" w:lineRule="auto"/>
              <w:ind w:left="73"/>
              <w:rPr>
                <w:sz w:val="18"/>
                <w:szCs w:val="18"/>
              </w:rPr>
            </w:pPr>
            <w:r>
              <w:rPr>
                <w:spacing w:val="-2"/>
                <w:sz w:val="18"/>
                <w:szCs w:val="18"/>
              </w:rPr>
              <w:t>0.0021</w:t>
            </w:r>
          </w:p>
        </w:tc>
        <w:tc>
          <w:tcPr>
            <w:tcW w:w="708" w:type="dxa"/>
            <w:tcBorders>
              <w:bottom w:val="single" w:color="000000" w:sz="12" w:space="0"/>
            </w:tcBorders>
            <w:vAlign w:val="top"/>
          </w:tcPr>
          <w:p w14:paraId="1BBB43EE">
            <w:pPr>
              <w:pStyle w:val="6"/>
              <w:spacing w:before="152" w:line="232" w:lineRule="auto"/>
              <w:ind w:left="91"/>
              <w:rPr>
                <w:sz w:val="18"/>
                <w:szCs w:val="18"/>
              </w:rPr>
            </w:pPr>
            <w:r>
              <w:rPr>
                <w:spacing w:val="-2"/>
                <w:sz w:val="18"/>
                <w:szCs w:val="18"/>
              </w:rPr>
              <w:t>0.009L</w:t>
            </w:r>
          </w:p>
        </w:tc>
        <w:tc>
          <w:tcPr>
            <w:tcW w:w="707" w:type="dxa"/>
            <w:tcBorders>
              <w:bottom w:val="single" w:color="000000" w:sz="12" w:space="0"/>
            </w:tcBorders>
            <w:vAlign w:val="top"/>
          </w:tcPr>
          <w:p w14:paraId="25155FFF">
            <w:pPr>
              <w:pStyle w:val="6"/>
              <w:spacing w:before="152" w:line="232" w:lineRule="auto"/>
              <w:ind w:left="148"/>
              <w:rPr>
                <w:sz w:val="18"/>
                <w:szCs w:val="18"/>
              </w:rPr>
            </w:pPr>
            <w:r>
              <w:rPr>
                <w:spacing w:val="-2"/>
                <w:sz w:val="18"/>
                <w:szCs w:val="18"/>
              </w:rPr>
              <w:t>0.012</w:t>
            </w:r>
          </w:p>
        </w:tc>
        <w:tc>
          <w:tcPr>
            <w:tcW w:w="766" w:type="dxa"/>
            <w:tcBorders>
              <w:bottom w:val="single" w:color="000000" w:sz="12" w:space="0"/>
            </w:tcBorders>
            <w:vAlign w:val="top"/>
          </w:tcPr>
          <w:p w14:paraId="6A3898BA">
            <w:pPr>
              <w:pStyle w:val="6"/>
              <w:spacing w:before="152" w:line="232" w:lineRule="auto"/>
              <w:ind w:left="265"/>
              <w:rPr>
                <w:sz w:val="18"/>
                <w:szCs w:val="18"/>
              </w:rPr>
            </w:pPr>
            <w:r>
              <w:rPr>
                <w:spacing w:val="-1"/>
                <w:sz w:val="18"/>
                <w:szCs w:val="18"/>
              </w:rPr>
              <w:t>4.0</w:t>
            </w:r>
          </w:p>
        </w:tc>
        <w:tc>
          <w:tcPr>
            <w:tcW w:w="595" w:type="dxa"/>
            <w:tcBorders>
              <w:bottom w:val="single" w:color="000000" w:sz="12" w:space="0"/>
            </w:tcBorders>
            <w:vAlign w:val="top"/>
          </w:tcPr>
          <w:p w14:paraId="3C963C49">
            <w:pPr>
              <w:pStyle w:val="6"/>
              <w:spacing w:before="152" w:line="232" w:lineRule="auto"/>
              <w:ind w:left="153"/>
              <w:rPr>
                <w:sz w:val="18"/>
                <w:szCs w:val="18"/>
              </w:rPr>
            </w:pPr>
            <w:r>
              <w:rPr>
                <w:spacing w:val="-6"/>
                <w:sz w:val="18"/>
                <w:szCs w:val="18"/>
              </w:rPr>
              <w:t>10.1</w:t>
            </w:r>
          </w:p>
        </w:tc>
        <w:tc>
          <w:tcPr>
            <w:tcW w:w="955" w:type="dxa"/>
            <w:tcBorders>
              <w:bottom w:val="single" w:color="000000" w:sz="12" w:space="0"/>
            </w:tcBorders>
            <w:vAlign w:val="top"/>
          </w:tcPr>
          <w:p w14:paraId="67BA690A">
            <w:pPr>
              <w:pStyle w:val="6"/>
              <w:spacing w:before="152" w:line="232" w:lineRule="auto"/>
              <w:ind w:left="358"/>
              <w:rPr>
                <w:sz w:val="18"/>
                <w:szCs w:val="18"/>
              </w:rPr>
            </w:pPr>
            <w:r>
              <w:rPr>
                <w:spacing w:val="-5"/>
                <w:sz w:val="18"/>
                <w:szCs w:val="18"/>
              </w:rPr>
              <w:t>101</w:t>
            </w:r>
          </w:p>
        </w:tc>
        <w:tc>
          <w:tcPr>
            <w:tcW w:w="506" w:type="dxa"/>
            <w:tcBorders>
              <w:bottom w:val="single" w:color="000000" w:sz="12" w:space="0"/>
            </w:tcBorders>
            <w:vAlign w:val="top"/>
          </w:tcPr>
          <w:p w14:paraId="417606EE">
            <w:pPr>
              <w:pStyle w:val="6"/>
              <w:spacing w:before="152" w:line="232" w:lineRule="auto"/>
              <w:ind w:left="160"/>
              <w:rPr>
                <w:sz w:val="18"/>
                <w:szCs w:val="18"/>
              </w:rPr>
            </w:pPr>
            <w:r>
              <w:rPr>
                <w:spacing w:val="-1"/>
                <w:sz w:val="18"/>
                <w:szCs w:val="18"/>
              </w:rPr>
              <w:t>46</w:t>
            </w:r>
          </w:p>
        </w:tc>
        <w:tc>
          <w:tcPr>
            <w:tcW w:w="707" w:type="dxa"/>
            <w:tcBorders>
              <w:bottom w:val="single" w:color="000000" w:sz="12" w:space="0"/>
            </w:tcBorders>
            <w:vAlign w:val="top"/>
          </w:tcPr>
          <w:p w14:paraId="557C1415">
            <w:pPr>
              <w:pStyle w:val="6"/>
              <w:spacing w:before="152" w:line="232" w:lineRule="auto"/>
              <w:ind w:left="212"/>
              <w:rPr>
                <w:sz w:val="18"/>
                <w:szCs w:val="18"/>
              </w:rPr>
            </w:pPr>
            <w:r>
              <w:rPr>
                <w:spacing w:val="-6"/>
                <w:sz w:val="18"/>
                <w:szCs w:val="18"/>
              </w:rPr>
              <w:t>1.22</w:t>
            </w:r>
          </w:p>
        </w:tc>
        <w:tc>
          <w:tcPr>
            <w:tcW w:w="708" w:type="dxa"/>
            <w:tcBorders>
              <w:bottom w:val="single" w:color="000000" w:sz="12" w:space="0"/>
            </w:tcBorders>
            <w:vAlign w:val="top"/>
          </w:tcPr>
          <w:p w14:paraId="53F21BE5">
            <w:pPr>
              <w:pStyle w:val="6"/>
              <w:spacing w:before="152" w:line="232" w:lineRule="auto"/>
              <w:ind w:left="99"/>
              <w:rPr>
                <w:sz w:val="18"/>
                <w:szCs w:val="18"/>
              </w:rPr>
            </w:pPr>
            <w:r>
              <w:rPr>
                <w:spacing w:val="-2"/>
                <w:sz w:val="18"/>
                <w:szCs w:val="18"/>
              </w:rPr>
              <w:t>0.002L</w:t>
            </w:r>
          </w:p>
        </w:tc>
        <w:tc>
          <w:tcPr>
            <w:tcW w:w="663" w:type="dxa"/>
            <w:tcBorders>
              <w:bottom w:val="single" w:color="000000" w:sz="12" w:space="0"/>
            </w:tcBorders>
            <w:vAlign w:val="top"/>
          </w:tcPr>
          <w:p w14:paraId="19C84C1E">
            <w:pPr>
              <w:pStyle w:val="6"/>
              <w:spacing w:before="152" w:line="232" w:lineRule="auto"/>
              <w:ind w:left="78"/>
              <w:rPr>
                <w:sz w:val="18"/>
                <w:szCs w:val="18"/>
              </w:rPr>
            </w:pPr>
            <w:r>
              <w:rPr>
                <w:spacing w:val="-2"/>
                <w:sz w:val="18"/>
                <w:szCs w:val="18"/>
              </w:rPr>
              <w:t>0.050L</w:t>
            </w:r>
          </w:p>
        </w:tc>
        <w:tc>
          <w:tcPr>
            <w:tcW w:w="664" w:type="dxa"/>
            <w:tcBorders>
              <w:bottom w:val="single" w:color="000000" w:sz="12" w:space="0"/>
            </w:tcBorders>
            <w:vAlign w:val="top"/>
          </w:tcPr>
          <w:p w14:paraId="7535687D">
            <w:pPr>
              <w:pStyle w:val="6"/>
              <w:spacing w:before="152" w:line="232" w:lineRule="auto"/>
              <w:ind w:left="79"/>
              <w:rPr>
                <w:sz w:val="18"/>
                <w:szCs w:val="18"/>
              </w:rPr>
            </w:pPr>
            <w:r>
              <w:rPr>
                <w:spacing w:val="-2"/>
                <w:sz w:val="18"/>
                <w:szCs w:val="18"/>
              </w:rPr>
              <w:t>0.001L</w:t>
            </w:r>
          </w:p>
        </w:tc>
        <w:tc>
          <w:tcPr>
            <w:tcW w:w="782" w:type="dxa"/>
            <w:tcBorders>
              <w:bottom w:val="single" w:color="000000" w:sz="12" w:space="0"/>
            </w:tcBorders>
            <w:vAlign w:val="top"/>
          </w:tcPr>
          <w:p w14:paraId="6E8E9C75">
            <w:pPr>
              <w:pStyle w:val="6"/>
              <w:spacing w:before="152" w:line="232" w:lineRule="auto"/>
              <w:ind w:left="93"/>
              <w:rPr>
                <w:sz w:val="18"/>
                <w:szCs w:val="18"/>
              </w:rPr>
            </w:pPr>
            <w:r>
              <w:rPr>
                <w:spacing w:val="-1"/>
                <w:sz w:val="18"/>
                <w:szCs w:val="18"/>
              </w:rPr>
              <w:t>0.0005L</w:t>
            </w:r>
          </w:p>
        </w:tc>
        <w:tc>
          <w:tcPr>
            <w:tcW w:w="663" w:type="dxa"/>
            <w:tcBorders>
              <w:bottom w:val="single" w:color="000000" w:sz="12" w:space="0"/>
            </w:tcBorders>
            <w:vAlign w:val="top"/>
          </w:tcPr>
          <w:p w14:paraId="3B25DD46">
            <w:pPr>
              <w:pStyle w:val="6"/>
              <w:spacing w:before="152" w:line="232" w:lineRule="auto"/>
              <w:ind w:left="81"/>
              <w:rPr>
                <w:sz w:val="18"/>
                <w:szCs w:val="18"/>
              </w:rPr>
            </w:pPr>
            <w:r>
              <w:rPr>
                <w:spacing w:val="-2"/>
                <w:sz w:val="18"/>
                <w:szCs w:val="18"/>
              </w:rPr>
              <w:t>0.004L</w:t>
            </w:r>
          </w:p>
        </w:tc>
        <w:tc>
          <w:tcPr>
            <w:tcW w:w="737" w:type="dxa"/>
            <w:tcBorders>
              <w:bottom w:val="single" w:color="000000" w:sz="12" w:space="0"/>
            </w:tcBorders>
            <w:vAlign w:val="top"/>
          </w:tcPr>
          <w:p w14:paraId="220C2421">
            <w:pPr>
              <w:pStyle w:val="6"/>
              <w:spacing w:before="152" w:line="232" w:lineRule="auto"/>
              <w:ind w:left="74"/>
              <w:rPr>
                <w:sz w:val="18"/>
                <w:szCs w:val="18"/>
              </w:rPr>
            </w:pPr>
            <w:r>
              <w:rPr>
                <w:spacing w:val="-1"/>
                <w:sz w:val="18"/>
                <w:szCs w:val="18"/>
              </w:rPr>
              <w:t>0.0025L</w:t>
            </w:r>
          </w:p>
        </w:tc>
        <w:tc>
          <w:tcPr>
            <w:tcW w:w="737" w:type="dxa"/>
            <w:tcBorders>
              <w:bottom w:val="single" w:color="000000" w:sz="12" w:space="0"/>
            </w:tcBorders>
            <w:vAlign w:val="top"/>
          </w:tcPr>
          <w:p w14:paraId="0CBEED32">
            <w:pPr>
              <w:pStyle w:val="6"/>
              <w:spacing w:before="152" w:line="232" w:lineRule="auto"/>
              <w:ind w:left="75"/>
              <w:rPr>
                <w:sz w:val="18"/>
                <w:szCs w:val="18"/>
              </w:rPr>
            </w:pPr>
            <w:r>
              <w:rPr>
                <w:spacing w:val="-1"/>
                <w:sz w:val="18"/>
                <w:szCs w:val="18"/>
              </w:rPr>
              <w:t>0.0001L</w:t>
            </w:r>
          </w:p>
        </w:tc>
        <w:tc>
          <w:tcPr>
            <w:tcW w:w="754" w:type="dxa"/>
            <w:tcBorders>
              <w:bottom w:val="single" w:color="000000" w:sz="12" w:space="0"/>
            </w:tcBorders>
            <w:vAlign w:val="top"/>
          </w:tcPr>
          <w:p w14:paraId="6A361172">
            <w:pPr>
              <w:pStyle w:val="6"/>
              <w:spacing w:before="152" w:line="232" w:lineRule="auto"/>
              <w:ind w:left="84"/>
              <w:rPr>
                <w:sz w:val="18"/>
                <w:szCs w:val="18"/>
              </w:rPr>
            </w:pPr>
            <w:r>
              <w:rPr>
                <w:spacing w:val="-1"/>
                <w:sz w:val="18"/>
                <w:szCs w:val="18"/>
              </w:rPr>
              <w:t>0.0004L</w:t>
            </w:r>
          </w:p>
        </w:tc>
        <w:tc>
          <w:tcPr>
            <w:tcW w:w="667" w:type="dxa"/>
            <w:tcBorders>
              <w:bottom w:val="single" w:color="000000" w:sz="12" w:space="0"/>
            </w:tcBorders>
            <w:vAlign w:val="top"/>
          </w:tcPr>
          <w:p w14:paraId="172B218A">
            <w:pPr>
              <w:pStyle w:val="6"/>
              <w:spacing w:before="152" w:line="232" w:lineRule="auto"/>
              <w:ind w:left="86"/>
              <w:rPr>
                <w:sz w:val="18"/>
                <w:szCs w:val="18"/>
              </w:rPr>
            </w:pPr>
            <w:r>
              <w:rPr>
                <w:spacing w:val="-2"/>
                <w:sz w:val="18"/>
                <w:szCs w:val="18"/>
              </w:rPr>
              <w:t>0.002L</w:t>
            </w:r>
          </w:p>
        </w:tc>
        <w:tc>
          <w:tcPr>
            <w:tcW w:w="544" w:type="dxa"/>
            <w:tcBorders>
              <w:bottom w:val="single" w:color="000000" w:sz="12" w:space="0"/>
            </w:tcBorders>
            <w:vAlign w:val="top"/>
          </w:tcPr>
          <w:p w14:paraId="6F944DC9">
            <w:pPr>
              <w:pStyle w:val="6"/>
              <w:spacing w:before="152" w:line="232" w:lineRule="auto"/>
              <w:ind w:left="126"/>
              <w:rPr>
                <w:sz w:val="18"/>
                <w:szCs w:val="18"/>
              </w:rPr>
            </w:pPr>
            <w:r>
              <w:rPr>
                <w:spacing w:val="-2"/>
                <w:sz w:val="18"/>
                <w:szCs w:val="18"/>
              </w:rPr>
              <w:t>0.38</w:t>
            </w:r>
          </w:p>
        </w:tc>
        <w:tc>
          <w:tcPr>
            <w:tcW w:w="434" w:type="dxa"/>
            <w:tcBorders>
              <w:bottom w:val="single" w:color="000000" w:sz="12" w:space="0"/>
            </w:tcBorders>
            <w:vAlign w:val="top"/>
          </w:tcPr>
          <w:p w14:paraId="0A4DAF03">
            <w:pPr>
              <w:pStyle w:val="6"/>
              <w:spacing w:before="152" w:line="232" w:lineRule="auto"/>
              <w:ind w:left="62"/>
              <w:rPr>
                <w:sz w:val="18"/>
                <w:szCs w:val="18"/>
              </w:rPr>
            </w:pPr>
            <w:r>
              <w:rPr>
                <w:spacing w:val="-2"/>
                <w:sz w:val="18"/>
                <w:szCs w:val="18"/>
              </w:rPr>
              <w:t>0.5L</w:t>
            </w:r>
          </w:p>
        </w:tc>
        <w:tc>
          <w:tcPr>
            <w:tcW w:w="1015" w:type="dxa"/>
            <w:tcBorders>
              <w:bottom w:val="single" w:color="000000" w:sz="12" w:space="0"/>
            </w:tcBorders>
            <w:vAlign w:val="top"/>
          </w:tcPr>
          <w:p w14:paraId="78F723DD">
            <w:pPr>
              <w:pStyle w:val="6"/>
              <w:spacing w:before="152" w:line="232" w:lineRule="auto"/>
              <w:ind w:left="489"/>
              <w:rPr>
                <w:sz w:val="18"/>
                <w:szCs w:val="18"/>
              </w:rPr>
            </w:pPr>
            <w:r>
              <w:rPr>
                <w:sz w:val="18"/>
                <w:szCs w:val="18"/>
              </w:rPr>
              <w:t>/</w:t>
            </w:r>
          </w:p>
        </w:tc>
        <w:tc>
          <w:tcPr>
            <w:tcW w:w="721" w:type="dxa"/>
            <w:tcBorders>
              <w:bottom w:val="single" w:color="000000" w:sz="12" w:space="0"/>
              <w:right w:val="single" w:color="000000" w:sz="12" w:space="0"/>
            </w:tcBorders>
            <w:vAlign w:val="top"/>
          </w:tcPr>
          <w:p w14:paraId="063BB075">
            <w:pPr>
              <w:pStyle w:val="6"/>
              <w:spacing w:before="152" w:line="232" w:lineRule="auto"/>
              <w:ind w:left="282"/>
              <w:rPr>
                <w:sz w:val="18"/>
                <w:szCs w:val="18"/>
              </w:rPr>
            </w:pPr>
            <w:r>
              <w:rPr>
                <w:spacing w:val="-3"/>
                <w:sz w:val="18"/>
                <w:szCs w:val="18"/>
              </w:rPr>
              <w:t>80</w:t>
            </w:r>
          </w:p>
        </w:tc>
      </w:tr>
    </w:tbl>
    <w:p w14:paraId="2042E7CF">
      <w:pPr>
        <w:rPr>
          <w:rFonts w:ascii="Arial"/>
          <w:sz w:val="21"/>
        </w:rPr>
      </w:pPr>
    </w:p>
    <w:p w14:paraId="7EB63834">
      <w:pPr>
        <w:rPr>
          <w:rFonts w:ascii="Arial" w:hAnsi="Arial" w:eastAsia="Arial" w:cs="Arial"/>
          <w:sz w:val="21"/>
          <w:szCs w:val="21"/>
        </w:rPr>
        <w:sectPr>
          <w:headerReference r:id="rId272" w:type="default"/>
          <w:footerReference r:id="rId273" w:type="default"/>
          <w:pgSz w:w="23814" w:h="16840"/>
          <w:pgMar w:top="1376" w:right="1669" w:bottom="1061" w:left="1671" w:header="999" w:footer="861" w:gutter="0"/>
          <w:cols w:space="720" w:num="1"/>
        </w:sectPr>
      </w:pPr>
    </w:p>
    <w:p w14:paraId="4B66F1B8">
      <w:pPr>
        <w:spacing w:before="148"/>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272"/>
        <w:gridCol w:w="1004"/>
        <w:gridCol w:w="686"/>
        <w:gridCol w:w="923"/>
        <w:gridCol w:w="708"/>
        <w:gridCol w:w="850"/>
        <w:gridCol w:w="761"/>
        <w:gridCol w:w="654"/>
        <w:gridCol w:w="708"/>
        <w:gridCol w:w="707"/>
        <w:gridCol w:w="766"/>
        <w:gridCol w:w="595"/>
        <w:gridCol w:w="955"/>
        <w:gridCol w:w="506"/>
        <w:gridCol w:w="707"/>
        <w:gridCol w:w="708"/>
        <w:gridCol w:w="663"/>
        <w:gridCol w:w="664"/>
        <w:gridCol w:w="782"/>
        <w:gridCol w:w="663"/>
        <w:gridCol w:w="737"/>
        <w:gridCol w:w="737"/>
        <w:gridCol w:w="754"/>
        <w:gridCol w:w="667"/>
        <w:gridCol w:w="544"/>
        <w:gridCol w:w="434"/>
        <w:gridCol w:w="1015"/>
        <w:gridCol w:w="721"/>
      </w:tblGrid>
      <w:tr w14:paraId="74CD2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trPr>
        <w:tc>
          <w:tcPr>
            <w:tcW w:w="492" w:type="dxa"/>
            <w:tcBorders>
              <w:top w:val="single" w:color="000000" w:sz="12" w:space="0"/>
              <w:left w:val="single" w:color="000000" w:sz="12" w:space="0"/>
            </w:tcBorders>
            <w:vAlign w:val="top"/>
          </w:tcPr>
          <w:p w14:paraId="490C7436">
            <w:pPr>
              <w:spacing w:line="85" w:lineRule="exact"/>
            </w:pPr>
            <w:r>
              <w:rPr>
                <w:position w:val="-1"/>
              </w:rPr>
              <w:pict>
                <v:shape id="_x0000_s1202" o:spid="_x0000_s1202" style="height:5.8pt;width:1.5pt;" fillcolor="#000000" filled="t" stroked="f" coordsize="30,116" path="m0,115l30,115,30,0,0,0,0,115xe">
                  <v:path/>
                  <v:fill on="t" focussize="0,0"/>
                  <v:stroke on="f"/>
                  <v:imagedata o:title=""/>
                  <o:lock v:ext="edit"/>
                  <w10:wrap type="none"/>
                  <w10:anchorlock/>
                </v:shape>
              </w:pict>
            </w:r>
          </w:p>
          <w:p w14:paraId="013277B4">
            <w:pPr>
              <w:spacing w:before="156" w:line="243" w:lineRule="auto"/>
              <w:ind w:left="58" w:right="68" w:hanging="8"/>
              <w:rPr>
                <w:rFonts w:ascii="宋体" w:hAnsi="宋体" w:eastAsia="宋体" w:cs="宋体"/>
                <w:sz w:val="18"/>
                <w:szCs w:val="18"/>
              </w:rPr>
            </w:pPr>
            <w:r>
              <w:rPr>
                <w:rFonts w:ascii="宋体" w:hAnsi="宋体" w:eastAsia="宋体" w:cs="宋体"/>
                <w:spacing w:val="-4"/>
                <w:sz w:val="18"/>
                <w:szCs w:val="18"/>
              </w:rPr>
              <w:t>监测</w:t>
            </w:r>
            <w:r>
              <w:rPr>
                <w:rFonts w:ascii="宋体" w:hAnsi="宋体" w:eastAsia="宋体" w:cs="宋体"/>
                <w:spacing w:val="-9"/>
                <w:sz w:val="18"/>
                <w:szCs w:val="18"/>
              </w:rPr>
              <w:t>点位</w:t>
            </w:r>
          </w:p>
        </w:tc>
        <w:tc>
          <w:tcPr>
            <w:tcW w:w="1276" w:type="dxa"/>
            <w:gridSpan w:val="2"/>
            <w:tcBorders>
              <w:top w:val="single" w:color="000000" w:sz="12" w:space="0"/>
            </w:tcBorders>
            <w:vAlign w:val="top"/>
          </w:tcPr>
          <w:p w14:paraId="19BFBD28">
            <w:pPr>
              <w:spacing w:line="299" w:lineRule="auto"/>
              <w:rPr>
                <w:rFonts w:ascii="Arial"/>
                <w:sz w:val="21"/>
              </w:rPr>
            </w:pPr>
          </w:p>
          <w:p w14:paraId="15876EF5">
            <w:pPr>
              <w:spacing w:before="59" w:line="221" w:lineRule="auto"/>
              <w:ind w:left="267"/>
              <w:rPr>
                <w:rFonts w:ascii="宋体" w:hAnsi="宋体" w:eastAsia="宋体" w:cs="宋体"/>
                <w:sz w:val="18"/>
                <w:szCs w:val="18"/>
              </w:rPr>
            </w:pPr>
            <w:r>
              <w:rPr>
                <w:rFonts w:ascii="宋体" w:hAnsi="宋体" w:eastAsia="宋体" w:cs="宋体"/>
                <w:spacing w:val="-2"/>
                <w:sz w:val="18"/>
                <w:szCs w:val="18"/>
              </w:rPr>
              <w:t>监测时间</w:t>
            </w:r>
          </w:p>
        </w:tc>
        <w:tc>
          <w:tcPr>
            <w:tcW w:w="686" w:type="dxa"/>
            <w:tcBorders>
              <w:top w:val="single" w:color="000000" w:sz="12" w:space="0"/>
            </w:tcBorders>
            <w:vAlign w:val="top"/>
          </w:tcPr>
          <w:p w14:paraId="4BB8893A">
            <w:pPr>
              <w:spacing w:before="232" w:line="244" w:lineRule="auto"/>
              <w:ind w:left="90" w:right="115" w:firstLine="63"/>
              <w:rPr>
                <w:rFonts w:ascii="等线" w:hAnsi="等线" w:eastAsia="等线" w:cs="等线"/>
                <w:sz w:val="18"/>
                <w:szCs w:val="18"/>
              </w:rPr>
            </w:pPr>
            <w:r>
              <w:rPr>
                <w:rFonts w:ascii="等线" w:hAnsi="等线" w:eastAsia="等线" w:cs="等线"/>
                <w:spacing w:val="-5"/>
                <w:sz w:val="18"/>
                <w:szCs w:val="18"/>
              </w:rPr>
              <w:t>色度</w:t>
            </w:r>
            <w:r>
              <w:rPr>
                <w:rFonts w:ascii="等线" w:hAnsi="等线" w:eastAsia="等线" w:cs="等线"/>
                <w:spacing w:val="-24"/>
                <w:sz w:val="18"/>
                <w:szCs w:val="18"/>
              </w:rPr>
              <w:t>（度）</w:t>
            </w:r>
          </w:p>
        </w:tc>
        <w:tc>
          <w:tcPr>
            <w:tcW w:w="923" w:type="dxa"/>
            <w:tcBorders>
              <w:top w:val="single" w:color="000000" w:sz="12" w:space="0"/>
            </w:tcBorders>
            <w:vAlign w:val="top"/>
          </w:tcPr>
          <w:p w14:paraId="363A0922">
            <w:pPr>
              <w:pStyle w:val="6"/>
              <w:spacing w:before="251" w:line="248" w:lineRule="auto"/>
              <w:ind w:left="256" w:right="198" w:hanging="74"/>
              <w:rPr>
                <w:sz w:val="18"/>
                <w:szCs w:val="18"/>
              </w:rPr>
            </w:pPr>
            <w:r>
              <w:rPr>
                <w:rFonts w:ascii="等线" w:hAnsi="等线" w:eastAsia="等线" w:cs="等线"/>
                <w:spacing w:val="-3"/>
                <w:sz w:val="18"/>
                <w:szCs w:val="18"/>
              </w:rPr>
              <w:t>浑浊度</w:t>
            </w:r>
            <w:r>
              <w:rPr>
                <w:sz w:val="18"/>
                <w:szCs w:val="18"/>
              </w:rPr>
              <w:t>NTU</w:t>
            </w:r>
          </w:p>
        </w:tc>
        <w:tc>
          <w:tcPr>
            <w:tcW w:w="708" w:type="dxa"/>
            <w:tcBorders>
              <w:top w:val="single" w:color="000000" w:sz="12" w:space="0"/>
            </w:tcBorders>
            <w:vAlign w:val="top"/>
          </w:tcPr>
          <w:p w14:paraId="4F35949D">
            <w:pPr>
              <w:pStyle w:val="6"/>
              <w:spacing w:before="111" w:line="216" w:lineRule="auto"/>
              <w:ind w:left="115"/>
              <w:rPr>
                <w:rFonts w:ascii="等线" w:hAnsi="等线" w:eastAsia="等线" w:cs="等线"/>
                <w:sz w:val="18"/>
                <w:szCs w:val="18"/>
              </w:rPr>
            </w:pPr>
            <w:r>
              <w:rPr>
                <w:sz w:val="18"/>
                <w:szCs w:val="18"/>
              </w:rPr>
              <w:t>pH</w:t>
            </w:r>
            <w:r>
              <w:rPr>
                <w:spacing w:val="1"/>
                <w:sz w:val="18"/>
                <w:szCs w:val="18"/>
              </w:rPr>
              <w:t xml:space="preserve"> </w:t>
            </w:r>
            <w:r>
              <w:rPr>
                <w:rFonts w:ascii="等线" w:hAnsi="等线" w:eastAsia="等线" w:cs="等线"/>
                <w:spacing w:val="1"/>
                <w:sz w:val="18"/>
                <w:szCs w:val="18"/>
              </w:rPr>
              <w:t>值</w:t>
            </w:r>
          </w:p>
          <w:p w14:paraId="2F8ECD24">
            <w:pPr>
              <w:spacing w:before="24" w:line="244" w:lineRule="auto"/>
              <w:ind w:left="164" w:right="97" w:hanging="61"/>
              <w:rPr>
                <w:rFonts w:ascii="等线" w:hAnsi="等线" w:eastAsia="等线" w:cs="等线"/>
                <w:sz w:val="18"/>
                <w:szCs w:val="18"/>
              </w:rPr>
            </w:pPr>
            <w:r>
              <w:rPr>
                <w:rFonts w:ascii="等线" w:hAnsi="等线" w:eastAsia="等线" w:cs="等线"/>
                <w:spacing w:val="-15"/>
                <w:sz w:val="18"/>
                <w:szCs w:val="18"/>
              </w:rPr>
              <w:t>（无量</w:t>
            </w:r>
            <w:r>
              <w:rPr>
                <w:rFonts w:ascii="等线" w:hAnsi="等线" w:eastAsia="等线" w:cs="等线"/>
                <w:spacing w:val="-11"/>
                <w:sz w:val="18"/>
                <w:szCs w:val="18"/>
              </w:rPr>
              <w:t>纲）</w:t>
            </w:r>
          </w:p>
        </w:tc>
        <w:tc>
          <w:tcPr>
            <w:tcW w:w="850" w:type="dxa"/>
            <w:tcBorders>
              <w:top w:val="single" w:color="000000" w:sz="12" w:space="0"/>
            </w:tcBorders>
            <w:vAlign w:val="top"/>
          </w:tcPr>
          <w:p w14:paraId="637C8601">
            <w:pPr>
              <w:spacing w:line="292" w:lineRule="auto"/>
              <w:rPr>
                <w:rFonts w:ascii="Arial"/>
                <w:sz w:val="21"/>
              </w:rPr>
            </w:pPr>
          </w:p>
          <w:p w14:paraId="5581D1B3">
            <w:pPr>
              <w:spacing w:before="61" w:line="227" w:lineRule="auto"/>
              <w:ind w:left="326"/>
              <w:rPr>
                <w:rFonts w:ascii="等线" w:hAnsi="等线" w:eastAsia="等线" w:cs="等线"/>
                <w:sz w:val="18"/>
                <w:szCs w:val="18"/>
              </w:rPr>
            </w:pPr>
            <w:r>
              <w:rPr>
                <w:rFonts w:ascii="等线" w:hAnsi="等线" w:eastAsia="等线" w:cs="等线"/>
                <w:sz w:val="18"/>
                <w:szCs w:val="18"/>
              </w:rPr>
              <w:t>铝</w:t>
            </w:r>
          </w:p>
        </w:tc>
        <w:tc>
          <w:tcPr>
            <w:tcW w:w="761" w:type="dxa"/>
            <w:tcBorders>
              <w:top w:val="single" w:color="000000" w:sz="12" w:space="0"/>
            </w:tcBorders>
            <w:vAlign w:val="top"/>
          </w:tcPr>
          <w:p w14:paraId="6C49431E">
            <w:pPr>
              <w:spacing w:line="292" w:lineRule="auto"/>
              <w:rPr>
                <w:rFonts w:ascii="Arial"/>
                <w:sz w:val="21"/>
              </w:rPr>
            </w:pPr>
          </w:p>
          <w:p w14:paraId="33E2F1B0">
            <w:pPr>
              <w:spacing w:before="61" w:line="226" w:lineRule="auto"/>
              <w:ind w:left="279"/>
              <w:rPr>
                <w:rFonts w:ascii="等线" w:hAnsi="等线" w:eastAsia="等线" w:cs="等线"/>
                <w:sz w:val="18"/>
                <w:szCs w:val="18"/>
              </w:rPr>
            </w:pPr>
            <w:r>
              <w:rPr>
                <w:rFonts w:ascii="等线" w:hAnsi="等线" w:eastAsia="等线" w:cs="等线"/>
                <w:sz w:val="18"/>
                <w:szCs w:val="18"/>
              </w:rPr>
              <w:t>铁</w:t>
            </w:r>
          </w:p>
        </w:tc>
        <w:tc>
          <w:tcPr>
            <w:tcW w:w="654" w:type="dxa"/>
            <w:tcBorders>
              <w:top w:val="single" w:color="000000" w:sz="12" w:space="0"/>
            </w:tcBorders>
            <w:vAlign w:val="top"/>
          </w:tcPr>
          <w:p w14:paraId="299C9D6B">
            <w:pPr>
              <w:spacing w:line="292" w:lineRule="auto"/>
              <w:rPr>
                <w:rFonts w:ascii="Arial"/>
                <w:sz w:val="21"/>
              </w:rPr>
            </w:pPr>
          </w:p>
          <w:p w14:paraId="76FB8358">
            <w:pPr>
              <w:spacing w:before="61" w:line="234" w:lineRule="auto"/>
              <w:ind w:left="229"/>
              <w:rPr>
                <w:rFonts w:ascii="等线" w:hAnsi="等线" w:eastAsia="等线" w:cs="等线"/>
                <w:sz w:val="18"/>
                <w:szCs w:val="18"/>
              </w:rPr>
            </w:pPr>
            <w:r>
              <w:rPr>
                <w:rFonts w:ascii="等线" w:hAnsi="等线" w:eastAsia="等线" w:cs="等线"/>
                <w:sz w:val="18"/>
                <w:szCs w:val="18"/>
              </w:rPr>
              <w:t>锰</w:t>
            </w:r>
          </w:p>
        </w:tc>
        <w:tc>
          <w:tcPr>
            <w:tcW w:w="708" w:type="dxa"/>
            <w:tcBorders>
              <w:top w:val="single" w:color="000000" w:sz="12" w:space="0"/>
            </w:tcBorders>
            <w:vAlign w:val="top"/>
          </w:tcPr>
          <w:p w14:paraId="4139699F">
            <w:pPr>
              <w:spacing w:line="293" w:lineRule="auto"/>
              <w:rPr>
                <w:rFonts w:ascii="Arial"/>
                <w:sz w:val="21"/>
              </w:rPr>
            </w:pPr>
          </w:p>
          <w:p w14:paraId="0A349595">
            <w:pPr>
              <w:spacing w:before="61" w:line="228" w:lineRule="auto"/>
              <w:ind w:left="259"/>
              <w:rPr>
                <w:rFonts w:ascii="等线" w:hAnsi="等线" w:eastAsia="等线" w:cs="等线"/>
                <w:sz w:val="18"/>
                <w:szCs w:val="18"/>
              </w:rPr>
            </w:pPr>
            <w:r>
              <w:rPr>
                <w:rFonts w:ascii="等线" w:hAnsi="等线" w:eastAsia="等线" w:cs="等线"/>
                <w:sz w:val="18"/>
                <w:szCs w:val="18"/>
              </w:rPr>
              <w:t>铜</w:t>
            </w:r>
          </w:p>
        </w:tc>
        <w:tc>
          <w:tcPr>
            <w:tcW w:w="707" w:type="dxa"/>
            <w:tcBorders>
              <w:top w:val="single" w:color="000000" w:sz="12" w:space="0"/>
            </w:tcBorders>
            <w:vAlign w:val="top"/>
          </w:tcPr>
          <w:p w14:paraId="23E9D5D1">
            <w:pPr>
              <w:spacing w:line="293" w:lineRule="auto"/>
              <w:rPr>
                <w:rFonts w:ascii="Arial"/>
                <w:sz w:val="21"/>
              </w:rPr>
            </w:pPr>
          </w:p>
          <w:p w14:paraId="54F46126">
            <w:pPr>
              <w:spacing w:before="60" w:line="226" w:lineRule="auto"/>
              <w:ind w:left="259"/>
              <w:rPr>
                <w:rFonts w:ascii="等线" w:hAnsi="等线" w:eastAsia="等线" w:cs="等线"/>
                <w:sz w:val="18"/>
                <w:szCs w:val="18"/>
              </w:rPr>
            </w:pPr>
            <w:r>
              <w:rPr>
                <w:rFonts w:ascii="等线" w:hAnsi="等线" w:eastAsia="等线" w:cs="等线"/>
                <w:sz w:val="18"/>
                <w:szCs w:val="18"/>
              </w:rPr>
              <w:t>锌</w:t>
            </w:r>
          </w:p>
        </w:tc>
        <w:tc>
          <w:tcPr>
            <w:tcW w:w="766" w:type="dxa"/>
            <w:tcBorders>
              <w:top w:val="single" w:color="000000" w:sz="12" w:space="0"/>
            </w:tcBorders>
            <w:vAlign w:val="top"/>
          </w:tcPr>
          <w:p w14:paraId="07E2BE72">
            <w:pPr>
              <w:spacing w:line="292" w:lineRule="auto"/>
              <w:rPr>
                <w:rFonts w:ascii="Arial"/>
                <w:sz w:val="21"/>
              </w:rPr>
            </w:pPr>
          </w:p>
          <w:p w14:paraId="7E8FC753">
            <w:pPr>
              <w:spacing w:before="61" w:line="228" w:lineRule="auto"/>
              <w:ind w:left="109"/>
              <w:rPr>
                <w:rFonts w:ascii="等线" w:hAnsi="等线" w:eastAsia="等线" w:cs="等线"/>
                <w:sz w:val="18"/>
                <w:szCs w:val="18"/>
              </w:rPr>
            </w:pPr>
            <w:r>
              <w:rPr>
                <w:rFonts w:ascii="等线" w:hAnsi="等线" w:eastAsia="等线" w:cs="等线"/>
                <w:spacing w:val="-2"/>
                <w:sz w:val="18"/>
                <w:szCs w:val="18"/>
              </w:rPr>
              <w:t>氯化物</w:t>
            </w:r>
          </w:p>
        </w:tc>
        <w:tc>
          <w:tcPr>
            <w:tcW w:w="595" w:type="dxa"/>
            <w:tcBorders>
              <w:top w:val="single" w:color="000000" w:sz="12" w:space="0"/>
            </w:tcBorders>
            <w:vAlign w:val="top"/>
          </w:tcPr>
          <w:p w14:paraId="6925C3F7">
            <w:pPr>
              <w:spacing w:line="293" w:lineRule="auto"/>
              <w:rPr>
                <w:rFonts w:ascii="Arial"/>
                <w:sz w:val="21"/>
              </w:rPr>
            </w:pPr>
          </w:p>
          <w:p w14:paraId="45578179">
            <w:pPr>
              <w:spacing w:before="61" w:line="226" w:lineRule="auto"/>
              <w:ind w:left="25"/>
              <w:rPr>
                <w:rFonts w:ascii="等线" w:hAnsi="等线" w:eastAsia="等线" w:cs="等线"/>
                <w:sz w:val="18"/>
                <w:szCs w:val="18"/>
              </w:rPr>
            </w:pPr>
            <w:r>
              <w:rPr>
                <w:rFonts w:ascii="等线" w:hAnsi="等线" w:eastAsia="等线" w:cs="等线"/>
                <w:spacing w:val="-2"/>
                <w:sz w:val="18"/>
                <w:szCs w:val="18"/>
              </w:rPr>
              <w:t>硫酸盐</w:t>
            </w:r>
          </w:p>
        </w:tc>
        <w:tc>
          <w:tcPr>
            <w:tcW w:w="955" w:type="dxa"/>
            <w:tcBorders>
              <w:top w:val="single" w:color="000000" w:sz="12" w:space="0"/>
            </w:tcBorders>
            <w:vAlign w:val="top"/>
          </w:tcPr>
          <w:p w14:paraId="78E4CA14">
            <w:pPr>
              <w:spacing w:before="233" w:line="246" w:lineRule="auto"/>
              <w:ind w:left="382" w:right="23" w:hanging="352"/>
              <w:rPr>
                <w:rFonts w:ascii="等线" w:hAnsi="等线" w:eastAsia="等线" w:cs="等线"/>
                <w:sz w:val="18"/>
                <w:szCs w:val="18"/>
              </w:rPr>
            </w:pPr>
            <w:r>
              <w:rPr>
                <w:rFonts w:ascii="等线" w:hAnsi="等线" w:eastAsia="等线" w:cs="等线"/>
                <w:spacing w:val="-2"/>
                <w:sz w:val="18"/>
                <w:szCs w:val="18"/>
              </w:rPr>
              <w:t>溶解性总固</w:t>
            </w:r>
            <w:r>
              <w:rPr>
                <w:rFonts w:ascii="等线" w:hAnsi="等线" w:eastAsia="等线" w:cs="等线"/>
                <w:sz w:val="18"/>
                <w:szCs w:val="18"/>
              </w:rPr>
              <w:t>体</w:t>
            </w:r>
          </w:p>
        </w:tc>
        <w:tc>
          <w:tcPr>
            <w:tcW w:w="506" w:type="dxa"/>
            <w:tcBorders>
              <w:top w:val="single" w:color="000000" w:sz="12" w:space="0"/>
            </w:tcBorders>
            <w:vAlign w:val="top"/>
          </w:tcPr>
          <w:p w14:paraId="62CAFC05">
            <w:pPr>
              <w:spacing w:before="234" w:line="245" w:lineRule="auto"/>
              <w:ind w:left="164" w:right="68" w:hanging="84"/>
              <w:rPr>
                <w:rFonts w:ascii="等线" w:hAnsi="等线" w:eastAsia="等线" w:cs="等线"/>
                <w:sz w:val="18"/>
                <w:szCs w:val="18"/>
              </w:rPr>
            </w:pPr>
            <w:r>
              <w:rPr>
                <w:rFonts w:ascii="等线" w:hAnsi="等线" w:eastAsia="等线" w:cs="等线"/>
                <w:spacing w:val="-7"/>
                <w:sz w:val="18"/>
                <w:szCs w:val="18"/>
              </w:rPr>
              <w:t>总硬</w:t>
            </w:r>
            <w:r>
              <w:rPr>
                <w:rFonts w:ascii="等线" w:hAnsi="等线" w:eastAsia="等线" w:cs="等线"/>
                <w:sz w:val="18"/>
                <w:szCs w:val="18"/>
              </w:rPr>
              <w:t>度</w:t>
            </w:r>
          </w:p>
        </w:tc>
        <w:tc>
          <w:tcPr>
            <w:tcW w:w="707" w:type="dxa"/>
            <w:tcBorders>
              <w:top w:val="single" w:color="000000" w:sz="12" w:space="0"/>
            </w:tcBorders>
            <w:vAlign w:val="top"/>
          </w:tcPr>
          <w:p w14:paraId="7997222B">
            <w:pPr>
              <w:spacing w:line="293" w:lineRule="auto"/>
              <w:rPr>
                <w:rFonts w:ascii="Arial"/>
                <w:sz w:val="21"/>
              </w:rPr>
            </w:pPr>
          </w:p>
          <w:p w14:paraId="55B08CC3">
            <w:pPr>
              <w:spacing w:before="61" w:line="225" w:lineRule="auto"/>
              <w:ind w:left="81"/>
              <w:rPr>
                <w:rFonts w:ascii="等线" w:hAnsi="等线" w:eastAsia="等线" w:cs="等线"/>
                <w:sz w:val="18"/>
                <w:szCs w:val="18"/>
              </w:rPr>
            </w:pPr>
            <w:r>
              <w:rPr>
                <w:rFonts w:ascii="等线" w:hAnsi="等线" w:eastAsia="等线" w:cs="等线"/>
                <w:spacing w:val="-1"/>
                <w:sz w:val="18"/>
                <w:szCs w:val="18"/>
              </w:rPr>
              <w:t>耗氧量</w:t>
            </w:r>
          </w:p>
        </w:tc>
        <w:tc>
          <w:tcPr>
            <w:tcW w:w="708" w:type="dxa"/>
            <w:tcBorders>
              <w:top w:val="single" w:color="000000" w:sz="12" w:space="0"/>
            </w:tcBorders>
            <w:vAlign w:val="top"/>
          </w:tcPr>
          <w:p w14:paraId="308CB5EA">
            <w:pPr>
              <w:spacing w:line="293" w:lineRule="auto"/>
              <w:rPr>
                <w:rFonts w:ascii="Arial"/>
                <w:sz w:val="21"/>
              </w:rPr>
            </w:pPr>
          </w:p>
          <w:p w14:paraId="0FD94003">
            <w:pPr>
              <w:spacing w:before="61" w:line="227" w:lineRule="auto"/>
              <w:ind w:left="88"/>
              <w:rPr>
                <w:rFonts w:ascii="等线" w:hAnsi="等线" w:eastAsia="等线" w:cs="等线"/>
                <w:sz w:val="18"/>
                <w:szCs w:val="18"/>
              </w:rPr>
            </w:pPr>
            <w:r>
              <w:rPr>
                <w:rFonts w:ascii="等线" w:hAnsi="等线" w:eastAsia="等线" w:cs="等线"/>
                <w:spacing w:val="-2"/>
                <w:sz w:val="18"/>
                <w:szCs w:val="18"/>
              </w:rPr>
              <w:t>挥发酚</w:t>
            </w:r>
          </w:p>
        </w:tc>
        <w:tc>
          <w:tcPr>
            <w:tcW w:w="663" w:type="dxa"/>
            <w:tcBorders>
              <w:top w:val="single" w:color="000000" w:sz="12" w:space="0"/>
            </w:tcBorders>
            <w:vAlign w:val="top"/>
          </w:tcPr>
          <w:p w14:paraId="3A919D2A">
            <w:pPr>
              <w:spacing w:before="112" w:line="226" w:lineRule="auto"/>
              <w:ind w:left="82"/>
              <w:rPr>
                <w:rFonts w:ascii="等线" w:hAnsi="等线" w:eastAsia="等线" w:cs="等线"/>
                <w:sz w:val="18"/>
                <w:szCs w:val="18"/>
              </w:rPr>
            </w:pPr>
            <w:r>
              <w:rPr>
                <w:rFonts w:ascii="等线" w:hAnsi="等线" w:eastAsia="等线" w:cs="等线"/>
                <w:spacing w:val="-6"/>
                <w:sz w:val="18"/>
                <w:szCs w:val="18"/>
              </w:rPr>
              <w:t>阴离子</w:t>
            </w:r>
          </w:p>
          <w:p w14:paraId="794C812D">
            <w:pPr>
              <w:spacing w:before="13" w:line="246" w:lineRule="auto"/>
              <w:ind w:left="159" w:right="53" w:hanging="93"/>
              <w:rPr>
                <w:rFonts w:ascii="等线" w:hAnsi="等线" w:eastAsia="等线" w:cs="等线"/>
                <w:sz w:val="18"/>
                <w:szCs w:val="18"/>
              </w:rPr>
            </w:pPr>
            <w:r>
              <w:rPr>
                <w:rFonts w:ascii="等线" w:hAnsi="等线" w:eastAsia="等线" w:cs="等线"/>
                <w:spacing w:val="-3"/>
                <w:sz w:val="18"/>
                <w:szCs w:val="18"/>
              </w:rPr>
              <w:t>表面活性剂</w:t>
            </w:r>
          </w:p>
        </w:tc>
        <w:tc>
          <w:tcPr>
            <w:tcW w:w="664" w:type="dxa"/>
            <w:tcBorders>
              <w:top w:val="single" w:color="000000" w:sz="12" w:space="0"/>
            </w:tcBorders>
            <w:vAlign w:val="top"/>
          </w:tcPr>
          <w:p w14:paraId="12C8C3C8">
            <w:pPr>
              <w:spacing w:line="293" w:lineRule="auto"/>
              <w:rPr>
                <w:rFonts w:ascii="Arial"/>
                <w:sz w:val="21"/>
              </w:rPr>
            </w:pPr>
          </w:p>
          <w:p w14:paraId="5B39509A">
            <w:pPr>
              <w:spacing w:before="61" w:line="226" w:lineRule="auto"/>
              <w:ind w:left="246"/>
              <w:rPr>
                <w:rFonts w:ascii="等线" w:hAnsi="等线" w:eastAsia="等线" w:cs="等线"/>
                <w:sz w:val="18"/>
                <w:szCs w:val="18"/>
              </w:rPr>
            </w:pPr>
            <w:r>
              <w:rPr>
                <w:rFonts w:ascii="等线" w:hAnsi="等线" w:eastAsia="等线" w:cs="等线"/>
                <w:sz w:val="18"/>
                <w:szCs w:val="18"/>
              </w:rPr>
              <w:t>砷</w:t>
            </w:r>
          </w:p>
        </w:tc>
        <w:tc>
          <w:tcPr>
            <w:tcW w:w="782" w:type="dxa"/>
            <w:tcBorders>
              <w:top w:val="single" w:color="000000" w:sz="12" w:space="0"/>
            </w:tcBorders>
            <w:vAlign w:val="top"/>
          </w:tcPr>
          <w:p w14:paraId="71115328">
            <w:pPr>
              <w:spacing w:line="292" w:lineRule="auto"/>
              <w:rPr>
                <w:rFonts w:ascii="Arial"/>
                <w:sz w:val="21"/>
              </w:rPr>
            </w:pPr>
          </w:p>
          <w:p w14:paraId="34650A9A">
            <w:pPr>
              <w:spacing w:before="61" w:line="228" w:lineRule="auto"/>
              <w:ind w:left="305"/>
              <w:rPr>
                <w:rFonts w:ascii="等线" w:hAnsi="等线" w:eastAsia="等线" w:cs="等线"/>
                <w:sz w:val="18"/>
                <w:szCs w:val="18"/>
              </w:rPr>
            </w:pPr>
            <w:r>
              <w:rPr>
                <w:rFonts w:ascii="等线" w:hAnsi="等线" w:eastAsia="等线" w:cs="等线"/>
                <w:sz w:val="18"/>
                <w:szCs w:val="18"/>
              </w:rPr>
              <w:t>镉</w:t>
            </w:r>
          </w:p>
        </w:tc>
        <w:tc>
          <w:tcPr>
            <w:tcW w:w="663" w:type="dxa"/>
            <w:tcBorders>
              <w:top w:val="single" w:color="000000" w:sz="12" w:space="0"/>
            </w:tcBorders>
            <w:vAlign w:val="top"/>
          </w:tcPr>
          <w:p w14:paraId="53ADE0B0">
            <w:pPr>
              <w:spacing w:line="293" w:lineRule="auto"/>
              <w:rPr>
                <w:rFonts w:ascii="Arial"/>
                <w:sz w:val="21"/>
              </w:rPr>
            </w:pPr>
          </w:p>
          <w:p w14:paraId="58D776F4">
            <w:pPr>
              <w:spacing w:before="61" w:line="226" w:lineRule="auto"/>
              <w:ind w:left="73"/>
              <w:rPr>
                <w:rFonts w:ascii="等线" w:hAnsi="等线" w:eastAsia="等线" w:cs="等线"/>
                <w:sz w:val="18"/>
                <w:szCs w:val="18"/>
              </w:rPr>
            </w:pPr>
            <w:r>
              <w:rPr>
                <w:rFonts w:ascii="等线" w:hAnsi="等线" w:eastAsia="等线" w:cs="等线"/>
                <w:spacing w:val="-3"/>
                <w:sz w:val="18"/>
                <w:szCs w:val="18"/>
              </w:rPr>
              <w:t>六价铬</w:t>
            </w:r>
          </w:p>
        </w:tc>
        <w:tc>
          <w:tcPr>
            <w:tcW w:w="737" w:type="dxa"/>
            <w:tcBorders>
              <w:top w:val="single" w:color="000000" w:sz="12" w:space="0"/>
            </w:tcBorders>
            <w:vAlign w:val="top"/>
          </w:tcPr>
          <w:p w14:paraId="5D124945">
            <w:pPr>
              <w:spacing w:line="293" w:lineRule="auto"/>
              <w:rPr>
                <w:rFonts w:ascii="Arial"/>
                <w:sz w:val="21"/>
              </w:rPr>
            </w:pPr>
          </w:p>
          <w:p w14:paraId="3F9340A0">
            <w:pPr>
              <w:spacing w:before="61" w:line="227" w:lineRule="auto"/>
              <w:ind w:left="285"/>
              <w:rPr>
                <w:rFonts w:ascii="等线" w:hAnsi="等线" w:eastAsia="等线" w:cs="等线"/>
                <w:sz w:val="18"/>
                <w:szCs w:val="18"/>
              </w:rPr>
            </w:pPr>
            <w:r>
              <w:rPr>
                <w:rFonts w:ascii="等线" w:hAnsi="等线" w:eastAsia="等线" w:cs="等线"/>
                <w:sz w:val="18"/>
                <w:szCs w:val="18"/>
              </w:rPr>
              <w:t>铅</w:t>
            </w:r>
          </w:p>
        </w:tc>
        <w:tc>
          <w:tcPr>
            <w:tcW w:w="737" w:type="dxa"/>
            <w:tcBorders>
              <w:top w:val="single" w:color="000000" w:sz="12" w:space="0"/>
            </w:tcBorders>
            <w:vAlign w:val="top"/>
          </w:tcPr>
          <w:p w14:paraId="6D49B59A">
            <w:pPr>
              <w:spacing w:line="293" w:lineRule="auto"/>
              <w:rPr>
                <w:rFonts w:ascii="Arial"/>
                <w:sz w:val="21"/>
              </w:rPr>
            </w:pPr>
          </w:p>
          <w:p w14:paraId="6ADA9FD2">
            <w:pPr>
              <w:spacing w:before="61" w:line="228" w:lineRule="auto"/>
              <w:ind w:left="288"/>
              <w:rPr>
                <w:rFonts w:ascii="等线" w:hAnsi="等线" w:eastAsia="等线" w:cs="等线"/>
                <w:sz w:val="18"/>
                <w:szCs w:val="18"/>
              </w:rPr>
            </w:pPr>
            <w:r>
              <w:rPr>
                <w:rFonts w:ascii="等线" w:hAnsi="等线" w:eastAsia="等线" w:cs="等线"/>
                <w:sz w:val="18"/>
                <w:szCs w:val="18"/>
              </w:rPr>
              <w:t>汞</w:t>
            </w:r>
          </w:p>
        </w:tc>
        <w:tc>
          <w:tcPr>
            <w:tcW w:w="754" w:type="dxa"/>
            <w:tcBorders>
              <w:top w:val="single" w:color="000000" w:sz="12" w:space="0"/>
            </w:tcBorders>
            <w:vAlign w:val="top"/>
          </w:tcPr>
          <w:p w14:paraId="72A4E62F">
            <w:pPr>
              <w:spacing w:line="293" w:lineRule="auto"/>
              <w:rPr>
                <w:rFonts w:ascii="Arial"/>
                <w:sz w:val="21"/>
              </w:rPr>
            </w:pPr>
          </w:p>
          <w:p w14:paraId="27AA37B1">
            <w:pPr>
              <w:spacing w:before="61" w:line="230" w:lineRule="auto"/>
              <w:ind w:left="297"/>
              <w:rPr>
                <w:rFonts w:ascii="等线" w:hAnsi="等线" w:eastAsia="等线" w:cs="等线"/>
                <w:sz w:val="18"/>
                <w:szCs w:val="18"/>
              </w:rPr>
            </w:pPr>
            <w:r>
              <w:rPr>
                <w:rFonts w:ascii="等线" w:hAnsi="等线" w:eastAsia="等线" w:cs="等线"/>
                <w:sz w:val="18"/>
                <w:szCs w:val="18"/>
              </w:rPr>
              <w:t>硒</w:t>
            </w:r>
          </w:p>
        </w:tc>
        <w:tc>
          <w:tcPr>
            <w:tcW w:w="667" w:type="dxa"/>
            <w:tcBorders>
              <w:top w:val="single" w:color="000000" w:sz="12" w:space="0"/>
            </w:tcBorders>
            <w:vAlign w:val="top"/>
          </w:tcPr>
          <w:p w14:paraId="3ADBD2E8">
            <w:pPr>
              <w:spacing w:line="292" w:lineRule="auto"/>
              <w:rPr>
                <w:rFonts w:ascii="Arial"/>
                <w:sz w:val="21"/>
              </w:rPr>
            </w:pPr>
          </w:p>
          <w:p w14:paraId="6529DC0C">
            <w:pPr>
              <w:spacing w:before="61" w:line="227" w:lineRule="auto"/>
              <w:ind w:left="74"/>
              <w:rPr>
                <w:rFonts w:ascii="等线" w:hAnsi="等线" w:eastAsia="等线" w:cs="等线"/>
                <w:sz w:val="18"/>
                <w:szCs w:val="18"/>
              </w:rPr>
            </w:pPr>
            <w:r>
              <w:rPr>
                <w:rFonts w:ascii="等线" w:hAnsi="等线" w:eastAsia="等线" w:cs="等线"/>
                <w:spacing w:val="-2"/>
                <w:sz w:val="18"/>
                <w:szCs w:val="18"/>
              </w:rPr>
              <w:t>氰化物</w:t>
            </w:r>
          </w:p>
        </w:tc>
        <w:tc>
          <w:tcPr>
            <w:tcW w:w="544" w:type="dxa"/>
            <w:tcBorders>
              <w:top w:val="single" w:color="000000" w:sz="12" w:space="0"/>
            </w:tcBorders>
            <w:vAlign w:val="top"/>
          </w:tcPr>
          <w:p w14:paraId="35F025CC">
            <w:pPr>
              <w:spacing w:before="233" w:line="246" w:lineRule="auto"/>
              <w:ind w:left="194" w:right="76" w:hanging="90"/>
              <w:rPr>
                <w:rFonts w:ascii="等线" w:hAnsi="等线" w:eastAsia="等线" w:cs="等线"/>
                <w:sz w:val="18"/>
                <w:szCs w:val="18"/>
              </w:rPr>
            </w:pPr>
            <w:r>
              <w:rPr>
                <w:rFonts w:ascii="等线" w:hAnsi="等线" w:eastAsia="等线" w:cs="等线"/>
                <w:spacing w:val="-4"/>
                <w:sz w:val="18"/>
                <w:szCs w:val="18"/>
              </w:rPr>
              <w:t>氟化</w:t>
            </w:r>
            <w:r>
              <w:rPr>
                <w:rFonts w:ascii="等线" w:hAnsi="等线" w:eastAsia="等线" w:cs="等线"/>
                <w:sz w:val="18"/>
                <w:szCs w:val="18"/>
              </w:rPr>
              <w:t>物</w:t>
            </w:r>
          </w:p>
        </w:tc>
        <w:tc>
          <w:tcPr>
            <w:tcW w:w="434" w:type="dxa"/>
            <w:tcBorders>
              <w:top w:val="single" w:color="000000" w:sz="12" w:space="0"/>
            </w:tcBorders>
            <w:vAlign w:val="top"/>
          </w:tcPr>
          <w:p w14:paraId="40B10A46">
            <w:pPr>
              <w:spacing w:before="234" w:line="248" w:lineRule="auto"/>
              <w:ind w:left="142" w:right="20" w:hanging="94"/>
              <w:rPr>
                <w:rFonts w:ascii="等线" w:hAnsi="等线" w:eastAsia="等线" w:cs="等线"/>
                <w:sz w:val="18"/>
                <w:szCs w:val="18"/>
              </w:rPr>
            </w:pPr>
            <w:r>
              <w:rPr>
                <w:rFonts w:ascii="等线" w:hAnsi="等线" w:eastAsia="等线" w:cs="等线"/>
                <w:spacing w:val="-3"/>
                <w:sz w:val="18"/>
                <w:szCs w:val="18"/>
              </w:rPr>
              <w:t>硝酸</w:t>
            </w:r>
            <w:r>
              <w:rPr>
                <w:rFonts w:ascii="等线" w:hAnsi="等线" w:eastAsia="等线" w:cs="等线"/>
                <w:sz w:val="18"/>
                <w:szCs w:val="18"/>
              </w:rPr>
              <w:t>盐</w:t>
            </w:r>
          </w:p>
        </w:tc>
        <w:tc>
          <w:tcPr>
            <w:tcW w:w="1015" w:type="dxa"/>
            <w:tcBorders>
              <w:top w:val="single" w:color="000000" w:sz="12" w:space="0"/>
            </w:tcBorders>
            <w:vAlign w:val="top"/>
          </w:tcPr>
          <w:p w14:paraId="27BCCED4">
            <w:pPr>
              <w:pStyle w:val="6"/>
              <w:spacing w:before="251" w:line="264" w:lineRule="auto"/>
              <w:ind w:left="38" w:right="11" w:firstLine="40"/>
              <w:rPr>
                <w:sz w:val="18"/>
                <w:szCs w:val="18"/>
              </w:rPr>
            </w:pPr>
            <w:r>
              <w:rPr>
                <w:rFonts w:ascii="等线" w:hAnsi="等线" w:eastAsia="等线" w:cs="等线"/>
                <w:spacing w:val="-3"/>
                <w:sz w:val="18"/>
                <w:szCs w:val="18"/>
              </w:rPr>
              <w:t>总大肠菌群</w:t>
            </w:r>
            <w:r>
              <w:rPr>
                <w:spacing w:val="-1"/>
                <w:sz w:val="18"/>
                <w:szCs w:val="18"/>
              </w:rPr>
              <w:t>MPN/100mL</w:t>
            </w:r>
          </w:p>
        </w:tc>
        <w:tc>
          <w:tcPr>
            <w:tcW w:w="721" w:type="dxa"/>
            <w:tcBorders>
              <w:top w:val="single" w:color="000000" w:sz="12" w:space="0"/>
              <w:right w:val="single" w:color="000000" w:sz="12" w:space="0"/>
            </w:tcBorders>
            <w:vAlign w:val="top"/>
          </w:tcPr>
          <w:p w14:paraId="3A85412B">
            <w:pPr>
              <w:spacing w:before="130" w:line="245" w:lineRule="auto"/>
              <w:ind w:left="281" w:right="69" w:hanging="180"/>
              <w:rPr>
                <w:rFonts w:ascii="等线" w:hAnsi="等线" w:eastAsia="等线" w:cs="等线"/>
                <w:sz w:val="18"/>
                <w:szCs w:val="18"/>
              </w:rPr>
            </w:pPr>
            <w:r>
              <w:rPr>
                <w:rFonts w:ascii="等线" w:hAnsi="等线" w:eastAsia="等线" w:cs="等线"/>
                <w:spacing w:val="-4"/>
                <w:sz w:val="18"/>
                <w:szCs w:val="18"/>
              </w:rPr>
              <w:t>菌落总</w:t>
            </w:r>
            <w:r>
              <w:rPr>
                <w:rFonts w:ascii="等线" w:hAnsi="等线" w:eastAsia="等线" w:cs="等线"/>
                <w:sz w:val="18"/>
                <w:szCs w:val="18"/>
              </w:rPr>
              <w:t>数</w:t>
            </w:r>
          </w:p>
          <w:p w14:paraId="44185D2D">
            <w:pPr>
              <w:pStyle w:val="6"/>
              <w:spacing w:line="232" w:lineRule="auto"/>
              <w:ind w:left="42"/>
              <w:rPr>
                <w:sz w:val="18"/>
                <w:szCs w:val="18"/>
              </w:rPr>
            </w:pPr>
            <w:r>
              <w:rPr>
                <w:spacing w:val="-2"/>
                <w:sz w:val="18"/>
                <w:szCs w:val="18"/>
              </w:rPr>
              <w:t>CFU/mL</w:t>
            </w:r>
          </w:p>
        </w:tc>
      </w:tr>
      <w:tr w14:paraId="2DE32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restart"/>
            <w:tcBorders>
              <w:left w:val="single" w:color="000000" w:sz="12" w:space="0"/>
              <w:bottom w:val="nil"/>
            </w:tcBorders>
            <w:vAlign w:val="top"/>
          </w:tcPr>
          <w:p w14:paraId="00FB3EC1">
            <w:pPr>
              <w:spacing w:line="261" w:lineRule="auto"/>
              <w:rPr>
                <w:rFonts w:ascii="Arial"/>
                <w:sz w:val="21"/>
              </w:rPr>
            </w:pPr>
          </w:p>
          <w:p w14:paraId="34034474">
            <w:pPr>
              <w:spacing w:line="261" w:lineRule="auto"/>
              <w:rPr>
                <w:rFonts w:ascii="Arial"/>
                <w:sz w:val="21"/>
              </w:rPr>
            </w:pPr>
          </w:p>
          <w:p w14:paraId="56ACCCBF">
            <w:pPr>
              <w:spacing w:line="261" w:lineRule="auto"/>
              <w:rPr>
                <w:rFonts w:ascii="Arial"/>
                <w:sz w:val="21"/>
              </w:rPr>
            </w:pPr>
          </w:p>
          <w:p w14:paraId="227199A1">
            <w:pPr>
              <w:spacing w:line="262" w:lineRule="auto"/>
              <w:rPr>
                <w:rFonts w:ascii="Arial"/>
                <w:sz w:val="21"/>
              </w:rPr>
            </w:pPr>
          </w:p>
          <w:p w14:paraId="58362135">
            <w:pPr>
              <w:spacing w:line="262" w:lineRule="auto"/>
              <w:rPr>
                <w:rFonts w:ascii="Arial"/>
                <w:sz w:val="21"/>
              </w:rPr>
            </w:pPr>
          </w:p>
          <w:p w14:paraId="57402C84">
            <w:pPr>
              <w:spacing w:line="262" w:lineRule="auto"/>
              <w:rPr>
                <w:rFonts w:ascii="Arial"/>
                <w:sz w:val="21"/>
              </w:rPr>
            </w:pPr>
          </w:p>
          <w:p w14:paraId="24477CC5">
            <w:pPr>
              <w:pStyle w:val="6"/>
              <w:spacing w:before="61"/>
              <w:ind w:left="52" w:right="68" w:firstLine="1"/>
              <w:jc w:val="both"/>
              <w:rPr>
                <w:rFonts w:ascii="等线" w:hAnsi="等线" w:eastAsia="等线" w:cs="等线"/>
                <w:sz w:val="18"/>
                <w:szCs w:val="18"/>
              </w:rPr>
            </w:pPr>
            <w:r>
              <w:rPr>
                <w:spacing w:val="-4"/>
                <w:sz w:val="18"/>
                <w:szCs w:val="18"/>
              </w:rPr>
              <w:t>8#</w:t>
            </w:r>
            <w:r>
              <w:rPr>
                <w:rFonts w:ascii="等线" w:hAnsi="等线" w:eastAsia="等线" w:cs="等线"/>
                <w:spacing w:val="-4"/>
                <w:sz w:val="18"/>
                <w:szCs w:val="18"/>
              </w:rPr>
              <w:t>支</w:t>
            </w:r>
            <w:r>
              <w:rPr>
                <w:rFonts w:ascii="等线" w:hAnsi="等线" w:eastAsia="等线" w:cs="等线"/>
                <w:spacing w:val="-5"/>
                <w:sz w:val="18"/>
                <w:szCs w:val="18"/>
              </w:rPr>
              <w:t>洞生活饮用水</w:t>
            </w:r>
          </w:p>
          <w:p w14:paraId="05D9CA5C">
            <w:pPr>
              <w:spacing w:before="1" w:line="245" w:lineRule="auto"/>
              <w:ind w:left="140" w:right="68" w:hanging="93"/>
              <w:rPr>
                <w:rFonts w:ascii="等线" w:hAnsi="等线" w:eastAsia="等线" w:cs="等线"/>
                <w:sz w:val="18"/>
                <w:szCs w:val="18"/>
              </w:rPr>
            </w:pPr>
            <w:r>
              <w:rPr>
                <w:rFonts w:ascii="等线" w:hAnsi="等线" w:eastAsia="等线" w:cs="等线"/>
                <w:spacing w:val="-3"/>
                <w:sz w:val="18"/>
                <w:szCs w:val="18"/>
              </w:rPr>
              <w:t>供水</w:t>
            </w:r>
            <w:r>
              <w:rPr>
                <w:rFonts w:ascii="等线" w:hAnsi="等线" w:eastAsia="等线" w:cs="等线"/>
                <w:sz w:val="18"/>
                <w:szCs w:val="18"/>
              </w:rPr>
              <w:t>处</w:t>
            </w:r>
          </w:p>
        </w:tc>
        <w:tc>
          <w:tcPr>
            <w:tcW w:w="272" w:type="dxa"/>
            <w:vMerge w:val="restart"/>
            <w:tcBorders>
              <w:bottom w:val="nil"/>
            </w:tcBorders>
            <w:vAlign w:val="top"/>
          </w:tcPr>
          <w:p w14:paraId="7C066C15">
            <w:pPr>
              <w:pStyle w:val="6"/>
              <w:spacing w:before="272" w:line="234" w:lineRule="auto"/>
              <w:ind w:left="33" w:right="55"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004" w:type="dxa"/>
            <w:vAlign w:val="top"/>
          </w:tcPr>
          <w:p w14:paraId="49927646">
            <w:pPr>
              <w:pStyle w:val="6"/>
              <w:spacing w:before="123" w:line="232" w:lineRule="auto"/>
              <w:ind w:left="122"/>
              <w:rPr>
                <w:sz w:val="18"/>
                <w:szCs w:val="18"/>
              </w:rPr>
            </w:pPr>
            <w:r>
              <w:rPr>
                <w:spacing w:val="-1"/>
                <w:sz w:val="18"/>
                <w:szCs w:val="18"/>
              </w:rPr>
              <w:t>2019/1/15</w:t>
            </w:r>
          </w:p>
        </w:tc>
        <w:tc>
          <w:tcPr>
            <w:tcW w:w="686" w:type="dxa"/>
            <w:vAlign w:val="top"/>
          </w:tcPr>
          <w:p w14:paraId="1E00DC67">
            <w:pPr>
              <w:pStyle w:val="6"/>
              <w:spacing w:before="129" w:line="183" w:lineRule="auto"/>
              <w:ind w:left="234"/>
              <w:rPr>
                <w:sz w:val="18"/>
                <w:szCs w:val="18"/>
              </w:rPr>
            </w:pPr>
            <w:r>
              <w:rPr>
                <w:spacing w:val="-2"/>
                <w:sz w:val="18"/>
                <w:szCs w:val="18"/>
              </w:rPr>
              <w:t>5L</w:t>
            </w:r>
          </w:p>
        </w:tc>
        <w:tc>
          <w:tcPr>
            <w:tcW w:w="923" w:type="dxa"/>
            <w:vAlign w:val="top"/>
          </w:tcPr>
          <w:p w14:paraId="3A6BAA32">
            <w:pPr>
              <w:pStyle w:val="6"/>
              <w:spacing w:before="123" w:line="232" w:lineRule="auto"/>
              <w:ind w:left="338"/>
              <w:rPr>
                <w:sz w:val="18"/>
                <w:szCs w:val="18"/>
              </w:rPr>
            </w:pPr>
            <w:r>
              <w:rPr>
                <w:spacing w:val="-3"/>
                <w:sz w:val="18"/>
                <w:szCs w:val="18"/>
              </w:rPr>
              <w:t>0.8</w:t>
            </w:r>
          </w:p>
        </w:tc>
        <w:tc>
          <w:tcPr>
            <w:tcW w:w="708" w:type="dxa"/>
            <w:vAlign w:val="top"/>
          </w:tcPr>
          <w:p w14:paraId="008C7166">
            <w:pPr>
              <w:pStyle w:val="6"/>
              <w:spacing w:before="123" w:line="232" w:lineRule="auto"/>
              <w:ind w:left="189"/>
              <w:rPr>
                <w:sz w:val="18"/>
                <w:szCs w:val="18"/>
              </w:rPr>
            </w:pPr>
            <w:r>
              <w:rPr>
                <w:spacing w:val="-2"/>
                <w:sz w:val="18"/>
                <w:szCs w:val="18"/>
              </w:rPr>
              <w:t>6.57</w:t>
            </w:r>
          </w:p>
        </w:tc>
        <w:tc>
          <w:tcPr>
            <w:tcW w:w="850" w:type="dxa"/>
            <w:vAlign w:val="top"/>
          </w:tcPr>
          <w:p w14:paraId="10522127">
            <w:pPr>
              <w:pStyle w:val="6"/>
              <w:spacing w:before="123" w:line="232" w:lineRule="auto"/>
              <w:ind w:left="159"/>
              <w:rPr>
                <w:sz w:val="18"/>
                <w:szCs w:val="18"/>
              </w:rPr>
            </w:pPr>
            <w:r>
              <w:rPr>
                <w:spacing w:val="-2"/>
                <w:sz w:val="18"/>
                <w:szCs w:val="18"/>
              </w:rPr>
              <w:t>0.040L</w:t>
            </w:r>
          </w:p>
        </w:tc>
        <w:tc>
          <w:tcPr>
            <w:tcW w:w="761" w:type="dxa"/>
            <w:vAlign w:val="top"/>
          </w:tcPr>
          <w:p w14:paraId="6EB6B319">
            <w:pPr>
              <w:pStyle w:val="6"/>
              <w:spacing w:before="123" w:line="232" w:lineRule="auto"/>
              <w:ind w:left="125"/>
              <w:rPr>
                <w:sz w:val="18"/>
                <w:szCs w:val="18"/>
              </w:rPr>
            </w:pPr>
            <w:r>
              <w:rPr>
                <w:spacing w:val="-2"/>
                <w:sz w:val="18"/>
                <w:szCs w:val="18"/>
              </w:rPr>
              <w:t>0.0102</w:t>
            </w:r>
          </w:p>
        </w:tc>
        <w:tc>
          <w:tcPr>
            <w:tcW w:w="654" w:type="dxa"/>
            <w:vAlign w:val="top"/>
          </w:tcPr>
          <w:p w14:paraId="548C5D5B">
            <w:pPr>
              <w:pStyle w:val="6"/>
              <w:spacing w:before="123" w:line="232" w:lineRule="auto"/>
              <w:ind w:left="73"/>
              <w:rPr>
                <w:sz w:val="18"/>
                <w:szCs w:val="18"/>
              </w:rPr>
            </w:pPr>
            <w:r>
              <w:rPr>
                <w:spacing w:val="-2"/>
                <w:sz w:val="18"/>
                <w:szCs w:val="18"/>
              </w:rPr>
              <w:t>0.0057</w:t>
            </w:r>
          </w:p>
        </w:tc>
        <w:tc>
          <w:tcPr>
            <w:tcW w:w="708" w:type="dxa"/>
            <w:vAlign w:val="top"/>
          </w:tcPr>
          <w:p w14:paraId="51B534CF">
            <w:pPr>
              <w:pStyle w:val="6"/>
              <w:spacing w:before="123" w:line="232" w:lineRule="auto"/>
              <w:ind w:left="91"/>
              <w:rPr>
                <w:sz w:val="18"/>
                <w:szCs w:val="18"/>
              </w:rPr>
            </w:pPr>
            <w:r>
              <w:rPr>
                <w:spacing w:val="-2"/>
                <w:sz w:val="18"/>
                <w:szCs w:val="18"/>
              </w:rPr>
              <w:t>0.009L</w:t>
            </w:r>
          </w:p>
        </w:tc>
        <w:tc>
          <w:tcPr>
            <w:tcW w:w="707" w:type="dxa"/>
            <w:vAlign w:val="top"/>
          </w:tcPr>
          <w:p w14:paraId="356CAD06">
            <w:pPr>
              <w:pStyle w:val="6"/>
              <w:spacing w:before="123" w:line="232" w:lineRule="auto"/>
              <w:ind w:left="148"/>
              <w:rPr>
                <w:sz w:val="18"/>
                <w:szCs w:val="18"/>
              </w:rPr>
            </w:pPr>
            <w:r>
              <w:rPr>
                <w:spacing w:val="-2"/>
                <w:sz w:val="18"/>
                <w:szCs w:val="18"/>
              </w:rPr>
              <w:t>0.006</w:t>
            </w:r>
          </w:p>
        </w:tc>
        <w:tc>
          <w:tcPr>
            <w:tcW w:w="766" w:type="dxa"/>
            <w:vAlign w:val="top"/>
          </w:tcPr>
          <w:p w14:paraId="031157B9">
            <w:pPr>
              <w:pStyle w:val="6"/>
              <w:spacing w:before="123" w:line="232" w:lineRule="auto"/>
              <w:ind w:left="238"/>
              <w:rPr>
                <w:sz w:val="18"/>
                <w:szCs w:val="18"/>
              </w:rPr>
            </w:pPr>
            <w:r>
              <w:rPr>
                <w:spacing w:val="-6"/>
                <w:sz w:val="18"/>
                <w:szCs w:val="18"/>
              </w:rPr>
              <w:t>12.9</w:t>
            </w:r>
          </w:p>
        </w:tc>
        <w:tc>
          <w:tcPr>
            <w:tcW w:w="595" w:type="dxa"/>
            <w:vAlign w:val="top"/>
          </w:tcPr>
          <w:p w14:paraId="67D309D7">
            <w:pPr>
              <w:pStyle w:val="6"/>
              <w:spacing w:before="123" w:line="232" w:lineRule="auto"/>
              <w:ind w:left="153"/>
              <w:rPr>
                <w:sz w:val="18"/>
                <w:szCs w:val="18"/>
              </w:rPr>
            </w:pPr>
            <w:r>
              <w:rPr>
                <w:spacing w:val="-6"/>
                <w:sz w:val="18"/>
                <w:szCs w:val="18"/>
              </w:rPr>
              <w:t>11.3</w:t>
            </w:r>
          </w:p>
        </w:tc>
        <w:tc>
          <w:tcPr>
            <w:tcW w:w="955" w:type="dxa"/>
            <w:vAlign w:val="top"/>
          </w:tcPr>
          <w:p w14:paraId="42D8B1B8">
            <w:pPr>
              <w:pStyle w:val="6"/>
              <w:spacing w:before="123" w:line="232" w:lineRule="auto"/>
              <w:ind w:left="358"/>
              <w:rPr>
                <w:sz w:val="18"/>
                <w:szCs w:val="18"/>
              </w:rPr>
            </w:pPr>
            <w:r>
              <w:rPr>
                <w:spacing w:val="-5"/>
                <w:sz w:val="18"/>
                <w:szCs w:val="18"/>
              </w:rPr>
              <w:t>176</w:t>
            </w:r>
          </w:p>
        </w:tc>
        <w:tc>
          <w:tcPr>
            <w:tcW w:w="506" w:type="dxa"/>
            <w:vAlign w:val="top"/>
          </w:tcPr>
          <w:p w14:paraId="6B73639E">
            <w:pPr>
              <w:pStyle w:val="6"/>
              <w:spacing w:before="124" w:line="232" w:lineRule="auto"/>
              <w:ind w:left="134"/>
              <w:rPr>
                <w:sz w:val="18"/>
                <w:szCs w:val="18"/>
              </w:rPr>
            </w:pPr>
            <w:r>
              <w:rPr>
                <w:spacing w:val="-5"/>
                <w:sz w:val="18"/>
                <w:szCs w:val="18"/>
              </w:rPr>
              <w:t>120</w:t>
            </w:r>
          </w:p>
        </w:tc>
        <w:tc>
          <w:tcPr>
            <w:tcW w:w="707" w:type="dxa"/>
            <w:vAlign w:val="top"/>
          </w:tcPr>
          <w:p w14:paraId="2D0C79B1">
            <w:pPr>
              <w:pStyle w:val="6"/>
              <w:spacing w:before="123" w:line="232" w:lineRule="auto"/>
              <w:ind w:left="197"/>
              <w:rPr>
                <w:sz w:val="18"/>
                <w:szCs w:val="18"/>
              </w:rPr>
            </w:pPr>
            <w:r>
              <w:rPr>
                <w:spacing w:val="-2"/>
                <w:sz w:val="18"/>
                <w:szCs w:val="18"/>
              </w:rPr>
              <w:t>0.56</w:t>
            </w:r>
          </w:p>
        </w:tc>
        <w:tc>
          <w:tcPr>
            <w:tcW w:w="708" w:type="dxa"/>
            <w:vAlign w:val="top"/>
          </w:tcPr>
          <w:p w14:paraId="4EFB4426">
            <w:pPr>
              <w:pStyle w:val="6"/>
              <w:spacing w:before="123" w:line="232" w:lineRule="auto"/>
              <w:ind w:left="99"/>
              <w:rPr>
                <w:sz w:val="18"/>
                <w:szCs w:val="18"/>
              </w:rPr>
            </w:pPr>
            <w:r>
              <w:rPr>
                <w:spacing w:val="-1"/>
                <w:sz w:val="18"/>
                <w:szCs w:val="18"/>
              </w:rPr>
              <w:t>0.002L</w:t>
            </w:r>
          </w:p>
        </w:tc>
        <w:tc>
          <w:tcPr>
            <w:tcW w:w="663" w:type="dxa"/>
            <w:vAlign w:val="top"/>
          </w:tcPr>
          <w:p w14:paraId="6CB52FB7">
            <w:pPr>
              <w:pStyle w:val="6"/>
              <w:spacing w:before="123" w:line="232" w:lineRule="auto"/>
              <w:ind w:left="134"/>
              <w:rPr>
                <w:sz w:val="18"/>
                <w:szCs w:val="18"/>
              </w:rPr>
            </w:pPr>
            <w:r>
              <w:rPr>
                <w:spacing w:val="-2"/>
                <w:sz w:val="18"/>
                <w:szCs w:val="18"/>
              </w:rPr>
              <w:t>0.077</w:t>
            </w:r>
          </w:p>
        </w:tc>
        <w:tc>
          <w:tcPr>
            <w:tcW w:w="664" w:type="dxa"/>
            <w:vAlign w:val="top"/>
          </w:tcPr>
          <w:p w14:paraId="22CB6E59">
            <w:pPr>
              <w:pStyle w:val="6"/>
              <w:spacing w:before="123" w:line="232" w:lineRule="auto"/>
              <w:ind w:left="79"/>
              <w:rPr>
                <w:sz w:val="18"/>
                <w:szCs w:val="18"/>
              </w:rPr>
            </w:pPr>
            <w:r>
              <w:rPr>
                <w:spacing w:val="-2"/>
                <w:sz w:val="18"/>
                <w:szCs w:val="18"/>
              </w:rPr>
              <w:t>0.001L</w:t>
            </w:r>
          </w:p>
        </w:tc>
        <w:tc>
          <w:tcPr>
            <w:tcW w:w="782" w:type="dxa"/>
            <w:vAlign w:val="top"/>
          </w:tcPr>
          <w:p w14:paraId="25247F29">
            <w:pPr>
              <w:pStyle w:val="6"/>
              <w:spacing w:before="123" w:line="232" w:lineRule="auto"/>
              <w:ind w:left="93"/>
              <w:rPr>
                <w:sz w:val="18"/>
                <w:szCs w:val="18"/>
              </w:rPr>
            </w:pPr>
            <w:r>
              <w:rPr>
                <w:spacing w:val="-1"/>
                <w:sz w:val="18"/>
                <w:szCs w:val="18"/>
              </w:rPr>
              <w:t>0.0005L</w:t>
            </w:r>
          </w:p>
        </w:tc>
        <w:tc>
          <w:tcPr>
            <w:tcW w:w="663" w:type="dxa"/>
            <w:vAlign w:val="top"/>
          </w:tcPr>
          <w:p w14:paraId="452BA08D">
            <w:pPr>
              <w:pStyle w:val="6"/>
              <w:spacing w:before="123" w:line="232" w:lineRule="auto"/>
              <w:ind w:left="137"/>
              <w:rPr>
                <w:sz w:val="18"/>
                <w:szCs w:val="18"/>
              </w:rPr>
            </w:pPr>
            <w:r>
              <w:rPr>
                <w:spacing w:val="-2"/>
                <w:sz w:val="18"/>
                <w:szCs w:val="18"/>
              </w:rPr>
              <w:t>0.004</w:t>
            </w:r>
          </w:p>
        </w:tc>
        <w:tc>
          <w:tcPr>
            <w:tcW w:w="737" w:type="dxa"/>
            <w:vAlign w:val="top"/>
          </w:tcPr>
          <w:p w14:paraId="03BCF320">
            <w:pPr>
              <w:pStyle w:val="6"/>
              <w:spacing w:before="123" w:line="232" w:lineRule="auto"/>
              <w:ind w:left="74"/>
              <w:rPr>
                <w:sz w:val="18"/>
                <w:szCs w:val="18"/>
              </w:rPr>
            </w:pPr>
            <w:r>
              <w:rPr>
                <w:spacing w:val="-1"/>
                <w:sz w:val="18"/>
                <w:szCs w:val="18"/>
              </w:rPr>
              <w:t>0.0025L</w:t>
            </w:r>
          </w:p>
        </w:tc>
        <w:tc>
          <w:tcPr>
            <w:tcW w:w="737" w:type="dxa"/>
            <w:vAlign w:val="top"/>
          </w:tcPr>
          <w:p w14:paraId="0E677B32">
            <w:pPr>
              <w:pStyle w:val="6"/>
              <w:spacing w:before="123" w:line="232" w:lineRule="auto"/>
              <w:ind w:left="130"/>
              <w:rPr>
                <w:sz w:val="18"/>
                <w:szCs w:val="18"/>
              </w:rPr>
            </w:pPr>
            <w:r>
              <w:rPr>
                <w:spacing w:val="-2"/>
                <w:sz w:val="18"/>
                <w:szCs w:val="18"/>
              </w:rPr>
              <w:t>0.0001</w:t>
            </w:r>
          </w:p>
        </w:tc>
        <w:tc>
          <w:tcPr>
            <w:tcW w:w="754" w:type="dxa"/>
            <w:vAlign w:val="top"/>
          </w:tcPr>
          <w:p w14:paraId="1A88C2A9">
            <w:pPr>
              <w:pStyle w:val="6"/>
              <w:spacing w:before="123" w:line="232" w:lineRule="auto"/>
              <w:ind w:left="139"/>
              <w:rPr>
                <w:sz w:val="18"/>
                <w:szCs w:val="18"/>
              </w:rPr>
            </w:pPr>
            <w:r>
              <w:rPr>
                <w:spacing w:val="-2"/>
                <w:sz w:val="18"/>
                <w:szCs w:val="18"/>
              </w:rPr>
              <w:t>0.0013</w:t>
            </w:r>
          </w:p>
        </w:tc>
        <w:tc>
          <w:tcPr>
            <w:tcW w:w="667" w:type="dxa"/>
            <w:vAlign w:val="top"/>
          </w:tcPr>
          <w:p w14:paraId="770F6BC4">
            <w:pPr>
              <w:pStyle w:val="6"/>
              <w:spacing w:before="123" w:line="232" w:lineRule="auto"/>
              <w:ind w:left="86"/>
              <w:rPr>
                <w:sz w:val="18"/>
                <w:szCs w:val="18"/>
              </w:rPr>
            </w:pPr>
            <w:r>
              <w:rPr>
                <w:spacing w:val="-2"/>
                <w:sz w:val="18"/>
                <w:szCs w:val="18"/>
              </w:rPr>
              <w:t>0.002L</w:t>
            </w:r>
          </w:p>
        </w:tc>
        <w:tc>
          <w:tcPr>
            <w:tcW w:w="544" w:type="dxa"/>
            <w:vAlign w:val="top"/>
          </w:tcPr>
          <w:p w14:paraId="3FC593C2">
            <w:pPr>
              <w:pStyle w:val="6"/>
              <w:spacing w:before="123" w:line="232" w:lineRule="auto"/>
              <w:ind w:left="126"/>
              <w:rPr>
                <w:sz w:val="18"/>
                <w:szCs w:val="18"/>
              </w:rPr>
            </w:pPr>
            <w:r>
              <w:rPr>
                <w:spacing w:val="-2"/>
                <w:sz w:val="18"/>
                <w:szCs w:val="18"/>
              </w:rPr>
              <w:t>0.07</w:t>
            </w:r>
          </w:p>
        </w:tc>
        <w:tc>
          <w:tcPr>
            <w:tcW w:w="434" w:type="dxa"/>
            <w:vAlign w:val="top"/>
          </w:tcPr>
          <w:p w14:paraId="6D09FB71">
            <w:pPr>
              <w:pStyle w:val="6"/>
              <w:spacing w:before="123" w:line="232" w:lineRule="auto"/>
              <w:ind w:left="117"/>
              <w:rPr>
                <w:sz w:val="18"/>
                <w:szCs w:val="18"/>
              </w:rPr>
            </w:pPr>
            <w:r>
              <w:rPr>
                <w:spacing w:val="-3"/>
                <w:sz w:val="18"/>
                <w:szCs w:val="18"/>
              </w:rPr>
              <w:t>0.6</w:t>
            </w:r>
          </w:p>
        </w:tc>
        <w:tc>
          <w:tcPr>
            <w:tcW w:w="1015" w:type="dxa"/>
            <w:vAlign w:val="top"/>
          </w:tcPr>
          <w:p w14:paraId="2A3C0CE6">
            <w:pPr>
              <w:pStyle w:val="6"/>
              <w:spacing w:before="123" w:line="232" w:lineRule="auto"/>
              <w:ind w:left="489"/>
              <w:rPr>
                <w:sz w:val="18"/>
                <w:szCs w:val="18"/>
              </w:rPr>
            </w:pPr>
            <w:r>
              <w:rPr>
                <w:sz w:val="18"/>
                <w:szCs w:val="18"/>
              </w:rPr>
              <w:t>/</w:t>
            </w:r>
          </w:p>
        </w:tc>
        <w:tc>
          <w:tcPr>
            <w:tcW w:w="721" w:type="dxa"/>
            <w:tcBorders>
              <w:right w:val="single" w:color="000000" w:sz="12" w:space="0"/>
            </w:tcBorders>
            <w:vAlign w:val="top"/>
          </w:tcPr>
          <w:p w14:paraId="23A68A7F">
            <w:pPr>
              <w:pStyle w:val="6"/>
              <w:spacing w:before="124" w:line="232" w:lineRule="auto"/>
              <w:ind w:left="282"/>
              <w:rPr>
                <w:sz w:val="18"/>
                <w:szCs w:val="18"/>
              </w:rPr>
            </w:pPr>
            <w:r>
              <w:rPr>
                <w:spacing w:val="-3"/>
                <w:sz w:val="18"/>
                <w:szCs w:val="18"/>
              </w:rPr>
              <w:t>80</w:t>
            </w:r>
          </w:p>
        </w:tc>
      </w:tr>
      <w:tr w14:paraId="6264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53364294">
            <w:pPr>
              <w:rPr>
                <w:rFonts w:ascii="Arial"/>
                <w:sz w:val="21"/>
              </w:rPr>
            </w:pPr>
          </w:p>
        </w:tc>
        <w:tc>
          <w:tcPr>
            <w:tcW w:w="272" w:type="dxa"/>
            <w:vMerge w:val="continue"/>
            <w:tcBorders>
              <w:top w:val="nil"/>
              <w:bottom w:val="nil"/>
            </w:tcBorders>
            <w:vAlign w:val="top"/>
          </w:tcPr>
          <w:p w14:paraId="2495C05D">
            <w:pPr>
              <w:rPr>
                <w:rFonts w:ascii="Arial"/>
                <w:sz w:val="21"/>
              </w:rPr>
            </w:pPr>
          </w:p>
        </w:tc>
        <w:tc>
          <w:tcPr>
            <w:tcW w:w="1004" w:type="dxa"/>
            <w:vAlign w:val="top"/>
          </w:tcPr>
          <w:p w14:paraId="5B90705B">
            <w:pPr>
              <w:pStyle w:val="6"/>
              <w:spacing w:before="125" w:line="232" w:lineRule="auto"/>
              <w:ind w:left="122"/>
              <w:rPr>
                <w:sz w:val="18"/>
                <w:szCs w:val="18"/>
              </w:rPr>
            </w:pPr>
            <w:r>
              <w:rPr>
                <w:spacing w:val="-1"/>
                <w:sz w:val="18"/>
                <w:szCs w:val="18"/>
              </w:rPr>
              <w:t>2019/1/16</w:t>
            </w:r>
          </w:p>
        </w:tc>
        <w:tc>
          <w:tcPr>
            <w:tcW w:w="686" w:type="dxa"/>
            <w:vAlign w:val="top"/>
          </w:tcPr>
          <w:p w14:paraId="2A94107C">
            <w:pPr>
              <w:pStyle w:val="6"/>
              <w:spacing w:before="130" w:line="183" w:lineRule="auto"/>
              <w:ind w:left="234"/>
              <w:rPr>
                <w:sz w:val="18"/>
                <w:szCs w:val="18"/>
              </w:rPr>
            </w:pPr>
            <w:r>
              <w:rPr>
                <w:spacing w:val="-2"/>
                <w:sz w:val="18"/>
                <w:szCs w:val="18"/>
              </w:rPr>
              <w:t>5L</w:t>
            </w:r>
          </w:p>
        </w:tc>
        <w:tc>
          <w:tcPr>
            <w:tcW w:w="923" w:type="dxa"/>
            <w:vAlign w:val="top"/>
          </w:tcPr>
          <w:p w14:paraId="417E6C48">
            <w:pPr>
              <w:pStyle w:val="6"/>
              <w:spacing w:before="125" w:line="232" w:lineRule="auto"/>
              <w:ind w:left="338"/>
              <w:rPr>
                <w:sz w:val="18"/>
                <w:szCs w:val="18"/>
              </w:rPr>
            </w:pPr>
            <w:r>
              <w:rPr>
                <w:spacing w:val="-3"/>
                <w:sz w:val="18"/>
                <w:szCs w:val="18"/>
              </w:rPr>
              <w:t>0.8</w:t>
            </w:r>
          </w:p>
        </w:tc>
        <w:tc>
          <w:tcPr>
            <w:tcW w:w="708" w:type="dxa"/>
            <w:vAlign w:val="top"/>
          </w:tcPr>
          <w:p w14:paraId="0AD75A2B">
            <w:pPr>
              <w:pStyle w:val="6"/>
              <w:spacing w:before="125" w:line="232" w:lineRule="auto"/>
              <w:ind w:left="189"/>
              <w:rPr>
                <w:sz w:val="18"/>
                <w:szCs w:val="18"/>
              </w:rPr>
            </w:pPr>
            <w:r>
              <w:rPr>
                <w:spacing w:val="-2"/>
                <w:sz w:val="18"/>
                <w:szCs w:val="18"/>
              </w:rPr>
              <w:t>6.53</w:t>
            </w:r>
          </w:p>
        </w:tc>
        <w:tc>
          <w:tcPr>
            <w:tcW w:w="850" w:type="dxa"/>
            <w:vAlign w:val="top"/>
          </w:tcPr>
          <w:p w14:paraId="1FE47C8E">
            <w:pPr>
              <w:pStyle w:val="6"/>
              <w:spacing w:before="125" w:line="232" w:lineRule="auto"/>
              <w:ind w:left="159"/>
              <w:rPr>
                <w:sz w:val="18"/>
                <w:szCs w:val="18"/>
              </w:rPr>
            </w:pPr>
            <w:r>
              <w:rPr>
                <w:spacing w:val="-2"/>
                <w:sz w:val="18"/>
                <w:szCs w:val="18"/>
              </w:rPr>
              <w:t>0.040L</w:t>
            </w:r>
          </w:p>
        </w:tc>
        <w:tc>
          <w:tcPr>
            <w:tcW w:w="761" w:type="dxa"/>
            <w:vAlign w:val="top"/>
          </w:tcPr>
          <w:p w14:paraId="108C8CD6">
            <w:pPr>
              <w:pStyle w:val="6"/>
              <w:spacing w:before="125" w:line="232" w:lineRule="auto"/>
              <w:ind w:left="125"/>
              <w:rPr>
                <w:sz w:val="18"/>
                <w:szCs w:val="18"/>
              </w:rPr>
            </w:pPr>
            <w:r>
              <w:rPr>
                <w:spacing w:val="-2"/>
                <w:sz w:val="18"/>
                <w:szCs w:val="18"/>
              </w:rPr>
              <w:t>0.0109</w:t>
            </w:r>
          </w:p>
        </w:tc>
        <w:tc>
          <w:tcPr>
            <w:tcW w:w="654" w:type="dxa"/>
            <w:vAlign w:val="top"/>
          </w:tcPr>
          <w:p w14:paraId="1A32B06F">
            <w:pPr>
              <w:pStyle w:val="6"/>
              <w:spacing w:before="125" w:line="232" w:lineRule="auto"/>
              <w:ind w:left="73"/>
              <w:rPr>
                <w:sz w:val="18"/>
                <w:szCs w:val="18"/>
              </w:rPr>
            </w:pPr>
            <w:r>
              <w:rPr>
                <w:spacing w:val="-2"/>
                <w:sz w:val="18"/>
                <w:szCs w:val="18"/>
              </w:rPr>
              <w:t>0.0060</w:t>
            </w:r>
          </w:p>
        </w:tc>
        <w:tc>
          <w:tcPr>
            <w:tcW w:w="708" w:type="dxa"/>
            <w:vAlign w:val="top"/>
          </w:tcPr>
          <w:p w14:paraId="625E376B">
            <w:pPr>
              <w:pStyle w:val="6"/>
              <w:spacing w:before="125" w:line="232" w:lineRule="auto"/>
              <w:ind w:left="91"/>
              <w:rPr>
                <w:sz w:val="18"/>
                <w:szCs w:val="18"/>
              </w:rPr>
            </w:pPr>
            <w:r>
              <w:rPr>
                <w:spacing w:val="-2"/>
                <w:sz w:val="18"/>
                <w:szCs w:val="18"/>
              </w:rPr>
              <w:t>0.009L</w:t>
            </w:r>
          </w:p>
        </w:tc>
        <w:tc>
          <w:tcPr>
            <w:tcW w:w="707" w:type="dxa"/>
            <w:vAlign w:val="top"/>
          </w:tcPr>
          <w:p w14:paraId="657C51D2">
            <w:pPr>
              <w:pStyle w:val="6"/>
              <w:spacing w:before="125" w:line="232" w:lineRule="auto"/>
              <w:ind w:left="148"/>
              <w:rPr>
                <w:sz w:val="18"/>
                <w:szCs w:val="18"/>
              </w:rPr>
            </w:pPr>
            <w:r>
              <w:rPr>
                <w:spacing w:val="-2"/>
                <w:sz w:val="18"/>
                <w:szCs w:val="18"/>
              </w:rPr>
              <w:t>0.006</w:t>
            </w:r>
          </w:p>
        </w:tc>
        <w:tc>
          <w:tcPr>
            <w:tcW w:w="766" w:type="dxa"/>
            <w:vAlign w:val="top"/>
          </w:tcPr>
          <w:p w14:paraId="07669D8C">
            <w:pPr>
              <w:pStyle w:val="6"/>
              <w:spacing w:before="125" w:line="232" w:lineRule="auto"/>
              <w:ind w:left="238"/>
              <w:rPr>
                <w:sz w:val="18"/>
                <w:szCs w:val="18"/>
              </w:rPr>
            </w:pPr>
            <w:r>
              <w:rPr>
                <w:spacing w:val="-6"/>
                <w:sz w:val="18"/>
                <w:szCs w:val="18"/>
              </w:rPr>
              <w:t>13.9</w:t>
            </w:r>
          </w:p>
        </w:tc>
        <w:tc>
          <w:tcPr>
            <w:tcW w:w="595" w:type="dxa"/>
            <w:vAlign w:val="top"/>
          </w:tcPr>
          <w:p w14:paraId="5928CC04">
            <w:pPr>
              <w:pStyle w:val="6"/>
              <w:spacing w:before="125" w:line="232" w:lineRule="auto"/>
              <w:ind w:left="184"/>
              <w:rPr>
                <w:sz w:val="18"/>
                <w:szCs w:val="18"/>
              </w:rPr>
            </w:pPr>
            <w:r>
              <w:rPr>
                <w:spacing w:val="-3"/>
                <w:sz w:val="18"/>
                <w:szCs w:val="18"/>
              </w:rPr>
              <w:t>9.5</w:t>
            </w:r>
          </w:p>
        </w:tc>
        <w:tc>
          <w:tcPr>
            <w:tcW w:w="955" w:type="dxa"/>
            <w:vAlign w:val="top"/>
          </w:tcPr>
          <w:p w14:paraId="3D145EC9">
            <w:pPr>
              <w:pStyle w:val="6"/>
              <w:spacing w:before="125" w:line="232" w:lineRule="auto"/>
              <w:ind w:left="358"/>
              <w:rPr>
                <w:sz w:val="18"/>
                <w:szCs w:val="18"/>
              </w:rPr>
            </w:pPr>
            <w:r>
              <w:rPr>
                <w:spacing w:val="-5"/>
                <w:sz w:val="18"/>
                <w:szCs w:val="18"/>
              </w:rPr>
              <w:t>189</w:t>
            </w:r>
          </w:p>
        </w:tc>
        <w:tc>
          <w:tcPr>
            <w:tcW w:w="506" w:type="dxa"/>
            <w:vAlign w:val="top"/>
          </w:tcPr>
          <w:p w14:paraId="75B8DA8B">
            <w:pPr>
              <w:pStyle w:val="6"/>
              <w:spacing w:before="125" w:line="232" w:lineRule="auto"/>
              <w:ind w:left="134"/>
              <w:rPr>
                <w:sz w:val="18"/>
                <w:szCs w:val="18"/>
              </w:rPr>
            </w:pPr>
            <w:r>
              <w:rPr>
                <w:spacing w:val="-5"/>
                <w:sz w:val="18"/>
                <w:szCs w:val="18"/>
              </w:rPr>
              <w:t>109</w:t>
            </w:r>
          </w:p>
        </w:tc>
        <w:tc>
          <w:tcPr>
            <w:tcW w:w="707" w:type="dxa"/>
            <w:vAlign w:val="top"/>
          </w:tcPr>
          <w:p w14:paraId="22138C0F">
            <w:pPr>
              <w:pStyle w:val="6"/>
              <w:spacing w:before="125" w:line="232" w:lineRule="auto"/>
              <w:ind w:left="197"/>
              <w:rPr>
                <w:sz w:val="18"/>
                <w:szCs w:val="18"/>
              </w:rPr>
            </w:pPr>
            <w:r>
              <w:rPr>
                <w:spacing w:val="-2"/>
                <w:sz w:val="18"/>
                <w:szCs w:val="18"/>
              </w:rPr>
              <w:t>0.54</w:t>
            </w:r>
          </w:p>
        </w:tc>
        <w:tc>
          <w:tcPr>
            <w:tcW w:w="708" w:type="dxa"/>
            <w:vAlign w:val="top"/>
          </w:tcPr>
          <w:p w14:paraId="41C8CCB7">
            <w:pPr>
              <w:pStyle w:val="6"/>
              <w:spacing w:before="125" w:line="232" w:lineRule="auto"/>
              <w:ind w:left="99"/>
              <w:rPr>
                <w:sz w:val="18"/>
                <w:szCs w:val="18"/>
              </w:rPr>
            </w:pPr>
            <w:r>
              <w:rPr>
                <w:spacing w:val="-2"/>
                <w:sz w:val="18"/>
                <w:szCs w:val="18"/>
              </w:rPr>
              <w:t>0.002L</w:t>
            </w:r>
          </w:p>
        </w:tc>
        <w:tc>
          <w:tcPr>
            <w:tcW w:w="663" w:type="dxa"/>
            <w:vAlign w:val="top"/>
          </w:tcPr>
          <w:p w14:paraId="2B9BDFD5">
            <w:pPr>
              <w:pStyle w:val="6"/>
              <w:spacing w:before="125" w:line="232" w:lineRule="auto"/>
              <w:ind w:left="134"/>
              <w:rPr>
                <w:sz w:val="18"/>
                <w:szCs w:val="18"/>
              </w:rPr>
            </w:pPr>
            <w:r>
              <w:rPr>
                <w:spacing w:val="-2"/>
                <w:sz w:val="18"/>
                <w:szCs w:val="18"/>
              </w:rPr>
              <w:t>0.087</w:t>
            </w:r>
          </w:p>
        </w:tc>
        <w:tc>
          <w:tcPr>
            <w:tcW w:w="664" w:type="dxa"/>
            <w:vAlign w:val="top"/>
          </w:tcPr>
          <w:p w14:paraId="120A4CF1">
            <w:pPr>
              <w:pStyle w:val="6"/>
              <w:spacing w:before="125" w:line="232" w:lineRule="auto"/>
              <w:ind w:left="79"/>
              <w:rPr>
                <w:sz w:val="18"/>
                <w:szCs w:val="18"/>
              </w:rPr>
            </w:pPr>
            <w:r>
              <w:rPr>
                <w:spacing w:val="-2"/>
                <w:sz w:val="18"/>
                <w:szCs w:val="18"/>
              </w:rPr>
              <w:t>0.001L</w:t>
            </w:r>
          </w:p>
        </w:tc>
        <w:tc>
          <w:tcPr>
            <w:tcW w:w="782" w:type="dxa"/>
            <w:vAlign w:val="top"/>
          </w:tcPr>
          <w:p w14:paraId="26473655">
            <w:pPr>
              <w:pStyle w:val="6"/>
              <w:spacing w:before="125" w:line="232" w:lineRule="auto"/>
              <w:ind w:left="93"/>
              <w:rPr>
                <w:sz w:val="18"/>
                <w:szCs w:val="18"/>
              </w:rPr>
            </w:pPr>
            <w:r>
              <w:rPr>
                <w:spacing w:val="-1"/>
                <w:sz w:val="18"/>
                <w:szCs w:val="18"/>
              </w:rPr>
              <w:t>0.0005L</w:t>
            </w:r>
          </w:p>
        </w:tc>
        <w:tc>
          <w:tcPr>
            <w:tcW w:w="663" w:type="dxa"/>
            <w:vAlign w:val="top"/>
          </w:tcPr>
          <w:p w14:paraId="1FDCB923">
            <w:pPr>
              <w:pStyle w:val="6"/>
              <w:spacing w:before="125" w:line="232" w:lineRule="auto"/>
              <w:ind w:left="137"/>
              <w:rPr>
                <w:sz w:val="18"/>
                <w:szCs w:val="18"/>
              </w:rPr>
            </w:pPr>
            <w:r>
              <w:rPr>
                <w:spacing w:val="-2"/>
                <w:sz w:val="18"/>
                <w:szCs w:val="18"/>
              </w:rPr>
              <w:t>0.005</w:t>
            </w:r>
          </w:p>
        </w:tc>
        <w:tc>
          <w:tcPr>
            <w:tcW w:w="737" w:type="dxa"/>
            <w:vAlign w:val="top"/>
          </w:tcPr>
          <w:p w14:paraId="25A34DCB">
            <w:pPr>
              <w:pStyle w:val="6"/>
              <w:spacing w:before="125" w:line="232" w:lineRule="auto"/>
              <w:ind w:left="74"/>
              <w:rPr>
                <w:sz w:val="18"/>
                <w:szCs w:val="18"/>
              </w:rPr>
            </w:pPr>
            <w:r>
              <w:rPr>
                <w:spacing w:val="-1"/>
                <w:sz w:val="18"/>
                <w:szCs w:val="18"/>
              </w:rPr>
              <w:t>0.0025L</w:t>
            </w:r>
          </w:p>
        </w:tc>
        <w:tc>
          <w:tcPr>
            <w:tcW w:w="737" w:type="dxa"/>
            <w:vAlign w:val="top"/>
          </w:tcPr>
          <w:p w14:paraId="5B1C85D3">
            <w:pPr>
              <w:pStyle w:val="6"/>
              <w:spacing w:before="125" w:line="232" w:lineRule="auto"/>
              <w:ind w:left="130"/>
              <w:rPr>
                <w:sz w:val="18"/>
                <w:szCs w:val="18"/>
              </w:rPr>
            </w:pPr>
            <w:r>
              <w:rPr>
                <w:spacing w:val="-2"/>
                <w:sz w:val="18"/>
                <w:szCs w:val="18"/>
              </w:rPr>
              <w:t>0.0001</w:t>
            </w:r>
          </w:p>
        </w:tc>
        <w:tc>
          <w:tcPr>
            <w:tcW w:w="754" w:type="dxa"/>
            <w:vAlign w:val="top"/>
          </w:tcPr>
          <w:p w14:paraId="0BD15A9C">
            <w:pPr>
              <w:pStyle w:val="6"/>
              <w:spacing w:before="125" w:line="232" w:lineRule="auto"/>
              <w:ind w:left="139"/>
              <w:rPr>
                <w:sz w:val="18"/>
                <w:szCs w:val="18"/>
              </w:rPr>
            </w:pPr>
            <w:r>
              <w:rPr>
                <w:spacing w:val="-2"/>
                <w:sz w:val="18"/>
                <w:szCs w:val="18"/>
              </w:rPr>
              <w:t>0.0012</w:t>
            </w:r>
          </w:p>
        </w:tc>
        <w:tc>
          <w:tcPr>
            <w:tcW w:w="667" w:type="dxa"/>
            <w:vAlign w:val="top"/>
          </w:tcPr>
          <w:p w14:paraId="0BD644FC">
            <w:pPr>
              <w:pStyle w:val="6"/>
              <w:spacing w:before="125" w:line="232" w:lineRule="auto"/>
              <w:ind w:left="86"/>
              <w:rPr>
                <w:sz w:val="18"/>
                <w:szCs w:val="18"/>
              </w:rPr>
            </w:pPr>
            <w:r>
              <w:rPr>
                <w:spacing w:val="-2"/>
                <w:sz w:val="18"/>
                <w:szCs w:val="18"/>
              </w:rPr>
              <w:t>0.002L</w:t>
            </w:r>
          </w:p>
        </w:tc>
        <w:tc>
          <w:tcPr>
            <w:tcW w:w="544" w:type="dxa"/>
            <w:vAlign w:val="top"/>
          </w:tcPr>
          <w:p w14:paraId="26CC47E9">
            <w:pPr>
              <w:pStyle w:val="6"/>
              <w:spacing w:before="125" w:line="232" w:lineRule="auto"/>
              <w:ind w:left="126"/>
              <w:rPr>
                <w:sz w:val="18"/>
                <w:szCs w:val="18"/>
              </w:rPr>
            </w:pPr>
            <w:r>
              <w:rPr>
                <w:spacing w:val="-2"/>
                <w:sz w:val="18"/>
                <w:szCs w:val="18"/>
              </w:rPr>
              <w:t>0.09</w:t>
            </w:r>
          </w:p>
        </w:tc>
        <w:tc>
          <w:tcPr>
            <w:tcW w:w="434" w:type="dxa"/>
            <w:vAlign w:val="top"/>
          </w:tcPr>
          <w:p w14:paraId="48D7CA0F">
            <w:pPr>
              <w:pStyle w:val="6"/>
              <w:spacing w:before="125" w:line="232" w:lineRule="auto"/>
              <w:ind w:left="117"/>
              <w:rPr>
                <w:sz w:val="18"/>
                <w:szCs w:val="18"/>
              </w:rPr>
            </w:pPr>
            <w:r>
              <w:rPr>
                <w:spacing w:val="-3"/>
                <w:sz w:val="18"/>
                <w:szCs w:val="18"/>
              </w:rPr>
              <w:t>0.8</w:t>
            </w:r>
          </w:p>
        </w:tc>
        <w:tc>
          <w:tcPr>
            <w:tcW w:w="1015" w:type="dxa"/>
            <w:vAlign w:val="top"/>
          </w:tcPr>
          <w:p w14:paraId="648B30E1">
            <w:pPr>
              <w:pStyle w:val="6"/>
              <w:spacing w:before="125" w:line="232" w:lineRule="auto"/>
              <w:ind w:left="489"/>
              <w:rPr>
                <w:sz w:val="18"/>
                <w:szCs w:val="18"/>
              </w:rPr>
            </w:pPr>
            <w:r>
              <w:rPr>
                <w:sz w:val="18"/>
                <w:szCs w:val="18"/>
              </w:rPr>
              <w:t>/</w:t>
            </w:r>
          </w:p>
        </w:tc>
        <w:tc>
          <w:tcPr>
            <w:tcW w:w="721" w:type="dxa"/>
            <w:tcBorders>
              <w:right w:val="single" w:color="000000" w:sz="12" w:space="0"/>
            </w:tcBorders>
            <w:vAlign w:val="top"/>
          </w:tcPr>
          <w:p w14:paraId="03A16FA9">
            <w:pPr>
              <w:pStyle w:val="6"/>
              <w:spacing w:before="125" w:line="232" w:lineRule="auto"/>
              <w:ind w:left="279"/>
              <w:rPr>
                <w:sz w:val="18"/>
                <w:szCs w:val="18"/>
              </w:rPr>
            </w:pPr>
            <w:r>
              <w:rPr>
                <w:spacing w:val="-2"/>
                <w:sz w:val="18"/>
                <w:szCs w:val="18"/>
              </w:rPr>
              <w:t>60</w:t>
            </w:r>
          </w:p>
        </w:tc>
      </w:tr>
      <w:tr w14:paraId="76D8C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7D6B0694">
            <w:pPr>
              <w:rPr>
                <w:rFonts w:ascii="Arial"/>
                <w:sz w:val="21"/>
              </w:rPr>
            </w:pPr>
          </w:p>
        </w:tc>
        <w:tc>
          <w:tcPr>
            <w:tcW w:w="272" w:type="dxa"/>
            <w:vMerge w:val="continue"/>
            <w:tcBorders>
              <w:top w:val="nil"/>
            </w:tcBorders>
            <w:vAlign w:val="top"/>
          </w:tcPr>
          <w:p w14:paraId="66A2DCE8">
            <w:pPr>
              <w:rPr>
                <w:rFonts w:ascii="Arial"/>
                <w:sz w:val="21"/>
              </w:rPr>
            </w:pPr>
          </w:p>
        </w:tc>
        <w:tc>
          <w:tcPr>
            <w:tcW w:w="1004" w:type="dxa"/>
            <w:vAlign w:val="top"/>
          </w:tcPr>
          <w:p w14:paraId="5C7B4DC7">
            <w:pPr>
              <w:pStyle w:val="6"/>
              <w:spacing w:before="126" w:line="232" w:lineRule="auto"/>
              <w:ind w:left="122"/>
              <w:rPr>
                <w:sz w:val="18"/>
                <w:szCs w:val="18"/>
              </w:rPr>
            </w:pPr>
            <w:r>
              <w:rPr>
                <w:spacing w:val="-1"/>
                <w:sz w:val="18"/>
                <w:szCs w:val="18"/>
              </w:rPr>
              <w:t>2019/1/17</w:t>
            </w:r>
          </w:p>
        </w:tc>
        <w:tc>
          <w:tcPr>
            <w:tcW w:w="686" w:type="dxa"/>
            <w:vAlign w:val="top"/>
          </w:tcPr>
          <w:p w14:paraId="452C5004">
            <w:pPr>
              <w:pStyle w:val="6"/>
              <w:spacing w:before="131" w:line="183" w:lineRule="auto"/>
              <w:ind w:left="234"/>
              <w:rPr>
                <w:sz w:val="18"/>
                <w:szCs w:val="18"/>
              </w:rPr>
            </w:pPr>
            <w:r>
              <w:rPr>
                <w:spacing w:val="-2"/>
                <w:sz w:val="18"/>
                <w:szCs w:val="18"/>
              </w:rPr>
              <w:t>5L</w:t>
            </w:r>
          </w:p>
        </w:tc>
        <w:tc>
          <w:tcPr>
            <w:tcW w:w="923" w:type="dxa"/>
            <w:vAlign w:val="top"/>
          </w:tcPr>
          <w:p w14:paraId="69B68086">
            <w:pPr>
              <w:pStyle w:val="6"/>
              <w:spacing w:before="126" w:line="232" w:lineRule="auto"/>
              <w:ind w:left="338"/>
              <w:rPr>
                <w:sz w:val="18"/>
                <w:szCs w:val="18"/>
              </w:rPr>
            </w:pPr>
            <w:r>
              <w:rPr>
                <w:spacing w:val="-3"/>
                <w:sz w:val="18"/>
                <w:szCs w:val="18"/>
              </w:rPr>
              <w:t>0.9</w:t>
            </w:r>
          </w:p>
        </w:tc>
        <w:tc>
          <w:tcPr>
            <w:tcW w:w="708" w:type="dxa"/>
            <w:vAlign w:val="top"/>
          </w:tcPr>
          <w:p w14:paraId="57A92657">
            <w:pPr>
              <w:pStyle w:val="6"/>
              <w:spacing w:before="126" w:line="232" w:lineRule="auto"/>
              <w:ind w:left="189"/>
              <w:rPr>
                <w:sz w:val="18"/>
                <w:szCs w:val="18"/>
              </w:rPr>
            </w:pPr>
            <w:r>
              <w:rPr>
                <w:spacing w:val="-2"/>
                <w:sz w:val="18"/>
                <w:szCs w:val="18"/>
              </w:rPr>
              <w:t>6.54</w:t>
            </w:r>
          </w:p>
        </w:tc>
        <w:tc>
          <w:tcPr>
            <w:tcW w:w="850" w:type="dxa"/>
            <w:vAlign w:val="top"/>
          </w:tcPr>
          <w:p w14:paraId="50A5CF9C">
            <w:pPr>
              <w:pStyle w:val="6"/>
              <w:spacing w:before="126" w:line="232" w:lineRule="auto"/>
              <w:ind w:left="159"/>
              <w:rPr>
                <w:sz w:val="18"/>
                <w:szCs w:val="18"/>
              </w:rPr>
            </w:pPr>
            <w:r>
              <w:rPr>
                <w:spacing w:val="-2"/>
                <w:sz w:val="18"/>
                <w:szCs w:val="18"/>
              </w:rPr>
              <w:t>0.040L</w:t>
            </w:r>
          </w:p>
        </w:tc>
        <w:tc>
          <w:tcPr>
            <w:tcW w:w="761" w:type="dxa"/>
            <w:vAlign w:val="top"/>
          </w:tcPr>
          <w:p w14:paraId="6678C324">
            <w:pPr>
              <w:pStyle w:val="6"/>
              <w:spacing w:before="126" w:line="232" w:lineRule="auto"/>
              <w:ind w:left="125"/>
              <w:rPr>
                <w:sz w:val="18"/>
                <w:szCs w:val="18"/>
              </w:rPr>
            </w:pPr>
            <w:r>
              <w:rPr>
                <w:spacing w:val="-2"/>
                <w:sz w:val="18"/>
                <w:szCs w:val="18"/>
              </w:rPr>
              <w:t>0.0105</w:t>
            </w:r>
          </w:p>
        </w:tc>
        <w:tc>
          <w:tcPr>
            <w:tcW w:w="654" w:type="dxa"/>
            <w:vAlign w:val="top"/>
          </w:tcPr>
          <w:p w14:paraId="0D82F110">
            <w:pPr>
              <w:pStyle w:val="6"/>
              <w:spacing w:before="126" w:line="232" w:lineRule="auto"/>
              <w:ind w:left="73"/>
              <w:rPr>
                <w:sz w:val="18"/>
                <w:szCs w:val="18"/>
              </w:rPr>
            </w:pPr>
            <w:r>
              <w:rPr>
                <w:spacing w:val="-2"/>
                <w:sz w:val="18"/>
                <w:szCs w:val="18"/>
              </w:rPr>
              <w:t>0.0062</w:t>
            </w:r>
          </w:p>
        </w:tc>
        <w:tc>
          <w:tcPr>
            <w:tcW w:w="708" w:type="dxa"/>
            <w:vAlign w:val="top"/>
          </w:tcPr>
          <w:p w14:paraId="777A96F6">
            <w:pPr>
              <w:pStyle w:val="6"/>
              <w:spacing w:before="126" w:line="232" w:lineRule="auto"/>
              <w:ind w:left="91"/>
              <w:rPr>
                <w:sz w:val="18"/>
                <w:szCs w:val="18"/>
              </w:rPr>
            </w:pPr>
            <w:r>
              <w:rPr>
                <w:spacing w:val="-2"/>
                <w:sz w:val="18"/>
                <w:szCs w:val="18"/>
              </w:rPr>
              <w:t>0.009L</w:t>
            </w:r>
          </w:p>
        </w:tc>
        <w:tc>
          <w:tcPr>
            <w:tcW w:w="707" w:type="dxa"/>
            <w:vAlign w:val="top"/>
          </w:tcPr>
          <w:p w14:paraId="37B922ED">
            <w:pPr>
              <w:pStyle w:val="6"/>
              <w:spacing w:before="126" w:line="232" w:lineRule="auto"/>
              <w:ind w:left="148"/>
              <w:rPr>
                <w:sz w:val="18"/>
                <w:szCs w:val="18"/>
              </w:rPr>
            </w:pPr>
            <w:r>
              <w:rPr>
                <w:spacing w:val="-2"/>
                <w:sz w:val="18"/>
                <w:szCs w:val="18"/>
              </w:rPr>
              <w:t>0.005</w:t>
            </w:r>
          </w:p>
        </w:tc>
        <w:tc>
          <w:tcPr>
            <w:tcW w:w="766" w:type="dxa"/>
            <w:vAlign w:val="top"/>
          </w:tcPr>
          <w:p w14:paraId="0BA9A597">
            <w:pPr>
              <w:pStyle w:val="6"/>
              <w:spacing w:before="126" w:line="232" w:lineRule="auto"/>
              <w:ind w:left="238"/>
              <w:rPr>
                <w:sz w:val="18"/>
                <w:szCs w:val="18"/>
              </w:rPr>
            </w:pPr>
            <w:r>
              <w:rPr>
                <w:spacing w:val="-6"/>
                <w:sz w:val="18"/>
                <w:szCs w:val="18"/>
              </w:rPr>
              <w:t>13.4</w:t>
            </w:r>
          </w:p>
        </w:tc>
        <w:tc>
          <w:tcPr>
            <w:tcW w:w="595" w:type="dxa"/>
            <w:vAlign w:val="top"/>
          </w:tcPr>
          <w:p w14:paraId="1EBB3E66">
            <w:pPr>
              <w:pStyle w:val="6"/>
              <w:spacing w:before="126" w:line="232" w:lineRule="auto"/>
              <w:ind w:left="153"/>
              <w:rPr>
                <w:sz w:val="18"/>
                <w:szCs w:val="18"/>
              </w:rPr>
            </w:pPr>
            <w:r>
              <w:rPr>
                <w:spacing w:val="-6"/>
                <w:sz w:val="18"/>
                <w:szCs w:val="18"/>
              </w:rPr>
              <w:t>13.5</w:t>
            </w:r>
          </w:p>
        </w:tc>
        <w:tc>
          <w:tcPr>
            <w:tcW w:w="955" w:type="dxa"/>
            <w:vAlign w:val="top"/>
          </w:tcPr>
          <w:p w14:paraId="3D65507F">
            <w:pPr>
              <w:pStyle w:val="6"/>
              <w:spacing w:before="126" w:line="232" w:lineRule="auto"/>
              <w:ind w:left="358"/>
              <w:rPr>
                <w:sz w:val="18"/>
                <w:szCs w:val="18"/>
              </w:rPr>
            </w:pPr>
            <w:r>
              <w:rPr>
                <w:spacing w:val="-5"/>
                <w:sz w:val="18"/>
                <w:szCs w:val="18"/>
              </w:rPr>
              <w:t>174</w:t>
            </w:r>
          </w:p>
        </w:tc>
        <w:tc>
          <w:tcPr>
            <w:tcW w:w="506" w:type="dxa"/>
            <w:vAlign w:val="top"/>
          </w:tcPr>
          <w:p w14:paraId="74647994">
            <w:pPr>
              <w:pStyle w:val="6"/>
              <w:spacing w:before="126" w:line="235" w:lineRule="auto"/>
              <w:ind w:left="134"/>
              <w:rPr>
                <w:sz w:val="18"/>
                <w:szCs w:val="18"/>
              </w:rPr>
            </w:pPr>
            <w:r>
              <w:rPr>
                <w:spacing w:val="-5"/>
                <w:sz w:val="18"/>
                <w:szCs w:val="18"/>
              </w:rPr>
              <w:t>114</w:t>
            </w:r>
          </w:p>
        </w:tc>
        <w:tc>
          <w:tcPr>
            <w:tcW w:w="707" w:type="dxa"/>
            <w:vAlign w:val="top"/>
          </w:tcPr>
          <w:p w14:paraId="3C9289DE">
            <w:pPr>
              <w:pStyle w:val="6"/>
              <w:spacing w:before="126" w:line="232" w:lineRule="auto"/>
              <w:ind w:left="197"/>
              <w:rPr>
                <w:sz w:val="18"/>
                <w:szCs w:val="18"/>
              </w:rPr>
            </w:pPr>
            <w:r>
              <w:rPr>
                <w:spacing w:val="-2"/>
                <w:sz w:val="18"/>
                <w:szCs w:val="18"/>
              </w:rPr>
              <w:t>0.55</w:t>
            </w:r>
          </w:p>
        </w:tc>
        <w:tc>
          <w:tcPr>
            <w:tcW w:w="708" w:type="dxa"/>
            <w:vAlign w:val="top"/>
          </w:tcPr>
          <w:p w14:paraId="51F03496">
            <w:pPr>
              <w:pStyle w:val="6"/>
              <w:spacing w:before="126" w:line="232" w:lineRule="auto"/>
              <w:ind w:left="99"/>
              <w:rPr>
                <w:sz w:val="18"/>
                <w:szCs w:val="18"/>
              </w:rPr>
            </w:pPr>
            <w:r>
              <w:rPr>
                <w:spacing w:val="-2"/>
                <w:sz w:val="18"/>
                <w:szCs w:val="18"/>
              </w:rPr>
              <w:t>0.002L</w:t>
            </w:r>
          </w:p>
        </w:tc>
        <w:tc>
          <w:tcPr>
            <w:tcW w:w="663" w:type="dxa"/>
            <w:vAlign w:val="top"/>
          </w:tcPr>
          <w:p w14:paraId="21A3C515">
            <w:pPr>
              <w:pStyle w:val="6"/>
              <w:spacing w:before="126" w:line="232" w:lineRule="auto"/>
              <w:ind w:left="134"/>
              <w:rPr>
                <w:sz w:val="18"/>
                <w:szCs w:val="18"/>
              </w:rPr>
            </w:pPr>
            <w:r>
              <w:rPr>
                <w:spacing w:val="-2"/>
                <w:sz w:val="18"/>
                <w:szCs w:val="18"/>
              </w:rPr>
              <w:t>0.068</w:t>
            </w:r>
          </w:p>
        </w:tc>
        <w:tc>
          <w:tcPr>
            <w:tcW w:w="664" w:type="dxa"/>
            <w:vAlign w:val="top"/>
          </w:tcPr>
          <w:p w14:paraId="782D576D">
            <w:pPr>
              <w:pStyle w:val="6"/>
              <w:spacing w:before="126" w:line="232" w:lineRule="auto"/>
              <w:ind w:left="79"/>
              <w:rPr>
                <w:sz w:val="18"/>
                <w:szCs w:val="18"/>
              </w:rPr>
            </w:pPr>
            <w:r>
              <w:rPr>
                <w:spacing w:val="-2"/>
                <w:sz w:val="18"/>
                <w:szCs w:val="18"/>
              </w:rPr>
              <w:t>0.001L</w:t>
            </w:r>
          </w:p>
        </w:tc>
        <w:tc>
          <w:tcPr>
            <w:tcW w:w="782" w:type="dxa"/>
            <w:vAlign w:val="top"/>
          </w:tcPr>
          <w:p w14:paraId="69832C3A">
            <w:pPr>
              <w:pStyle w:val="6"/>
              <w:spacing w:before="126" w:line="232" w:lineRule="auto"/>
              <w:ind w:left="93"/>
              <w:rPr>
                <w:sz w:val="18"/>
                <w:szCs w:val="18"/>
              </w:rPr>
            </w:pPr>
            <w:r>
              <w:rPr>
                <w:spacing w:val="-1"/>
                <w:sz w:val="18"/>
                <w:szCs w:val="18"/>
              </w:rPr>
              <w:t>0.0005L</w:t>
            </w:r>
          </w:p>
        </w:tc>
        <w:tc>
          <w:tcPr>
            <w:tcW w:w="663" w:type="dxa"/>
            <w:vAlign w:val="top"/>
          </w:tcPr>
          <w:p w14:paraId="3D657484">
            <w:pPr>
              <w:pStyle w:val="6"/>
              <w:spacing w:before="126" w:line="232" w:lineRule="auto"/>
              <w:ind w:left="137"/>
              <w:rPr>
                <w:sz w:val="18"/>
                <w:szCs w:val="18"/>
              </w:rPr>
            </w:pPr>
            <w:r>
              <w:rPr>
                <w:spacing w:val="-2"/>
                <w:sz w:val="18"/>
                <w:szCs w:val="18"/>
              </w:rPr>
              <w:t>0.007</w:t>
            </w:r>
          </w:p>
        </w:tc>
        <w:tc>
          <w:tcPr>
            <w:tcW w:w="737" w:type="dxa"/>
            <w:vAlign w:val="top"/>
          </w:tcPr>
          <w:p w14:paraId="461D2776">
            <w:pPr>
              <w:pStyle w:val="6"/>
              <w:spacing w:before="126" w:line="232" w:lineRule="auto"/>
              <w:ind w:left="74"/>
              <w:rPr>
                <w:sz w:val="18"/>
                <w:szCs w:val="18"/>
              </w:rPr>
            </w:pPr>
            <w:r>
              <w:rPr>
                <w:spacing w:val="-1"/>
                <w:sz w:val="18"/>
                <w:szCs w:val="18"/>
              </w:rPr>
              <w:t>0.0025L</w:t>
            </w:r>
          </w:p>
        </w:tc>
        <w:tc>
          <w:tcPr>
            <w:tcW w:w="737" w:type="dxa"/>
            <w:vAlign w:val="top"/>
          </w:tcPr>
          <w:p w14:paraId="6AFFBB35">
            <w:pPr>
              <w:pStyle w:val="6"/>
              <w:spacing w:before="126" w:line="232" w:lineRule="auto"/>
              <w:ind w:left="130"/>
              <w:rPr>
                <w:sz w:val="18"/>
                <w:szCs w:val="18"/>
              </w:rPr>
            </w:pPr>
            <w:r>
              <w:rPr>
                <w:spacing w:val="-2"/>
                <w:sz w:val="18"/>
                <w:szCs w:val="18"/>
              </w:rPr>
              <w:t>0.0001</w:t>
            </w:r>
          </w:p>
        </w:tc>
        <w:tc>
          <w:tcPr>
            <w:tcW w:w="754" w:type="dxa"/>
            <w:vAlign w:val="top"/>
          </w:tcPr>
          <w:p w14:paraId="18F49B15">
            <w:pPr>
              <w:pStyle w:val="6"/>
              <w:spacing w:before="126" w:line="232" w:lineRule="auto"/>
              <w:ind w:left="139"/>
              <w:rPr>
                <w:sz w:val="18"/>
                <w:szCs w:val="18"/>
              </w:rPr>
            </w:pPr>
            <w:r>
              <w:rPr>
                <w:spacing w:val="-2"/>
                <w:sz w:val="18"/>
                <w:szCs w:val="18"/>
              </w:rPr>
              <w:t>0.0015</w:t>
            </w:r>
          </w:p>
        </w:tc>
        <w:tc>
          <w:tcPr>
            <w:tcW w:w="667" w:type="dxa"/>
            <w:vAlign w:val="top"/>
          </w:tcPr>
          <w:p w14:paraId="7659C15D">
            <w:pPr>
              <w:pStyle w:val="6"/>
              <w:spacing w:before="126" w:line="232" w:lineRule="auto"/>
              <w:ind w:left="86"/>
              <w:rPr>
                <w:sz w:val="18"/>
                <w:szCs w:val="18"/>
              </w:rPr>
            </w:pPr>
            <w:r>
              <w:rPr>
                <w:spacing w:val="-2"/>
                <w:sz w:val="18"/>
                <w:szCs w:val="18"/>
              </w:rPr>
              <w:t>0.002L</w:t>
            </w:r>
          </w:p>
        </w:tc>
        <w:tc>
          <w:tcPr>
            <w:tcW w:w="544" w:type="dxa"/>
            <w:vAlign w:val="top"/>
          </w:tcPr>
          <w:p w14:paraId="498BAC2B">
            <w:pPr>
              <w:pStyle w:val="6"/>
              <w:spacing w:before="126" w:line="232" w:lineRule="auto"/>
              <w:ind w:left="126"/>
              <w:rPr>
                <w:sz w:val="18"/>
                <w:szCs w:val="18"/>
              </w:rPr>
            </w:pPr>
            <w:r>
              <w:rPr>
                <w:spacing w:val="-2"/>
                <w:sz w:val="18"/>
                <w:szCs w:val="18"/>
              </w:rPr>
              <w:t>0.08</w:t>
            </w:r>
          </w:p>
        </w:tc>
        <w:tc>
          <w:tcPr>
            <w:tcW w:w="434" w:type="dxa"/>
            <w:vAlign w:val="top"/>
          </w:tcPr>
          <w:p w14:paraId="0D966BF3">
            <w:pPr>
              <w:pStyle w:val="6"/>
              <w:spacing w:before="126" w:line="232" w:lineRule="auto"/>
              <w:ind w:left="132"/>
              <w:rPr>
                <w:sz w:val="18"/>
                <w:szCs w:val="18"/>
              </w:rPr>
            </w:pPr>
            <w:r>
              <w:rPr>
                <w:spacing w:val="-7"/>
                <w:sz w:val="18"/>
                <w:szCs w:val="18"/>
              </w:rPr>
              <w:t>1.0</w:t>
            </w:r>
          </w:p>
        </w:tc>
        <w:tc>
          <w:tcPr>
            <w:tcW w:w="1015" w:type="dxa"/>
            <w:vAlign w:val="top"/>
          </w:tcPr>
          <w:p w14:paraId="108ED8DC">
            <w:pPr>
              <w:pStyle w:val="6"/>
              <w:spacing w:before="126" w:line="232" w:lineRule="auto"/>
              <w:ind w:left="489"/>
              <w:rPr>
                <w:sz w:val="18"/>
                <w:szCs w:val="18"/>
              </w:rPr>
            </w:pPr>
            <w:r>
              <w:rPr>
                <w:sz w:val="18"/>
                <w:szCs w:val="18"/>
              </w:rPr>
              <w:t>/</w:t>
            </w:r>
          </w:p>
        </w:tc>
        <w:tc>
          <w:tcPr>
            <w:tcW w:w="721" w:type="dxa"/>
            <w:tcBorders>
              <w:right w:val="single" w:color="000000" w:sz="12" w:space="0"/>
            </w:tcBorders>
            <w:vAlign w:val="top"/>
          </w:tcPr>
          <w:p w14:paraId="24E5D1D2">
            <w:pPr>
              <w:pStyle w:val="6"/>
              <w:spacing w:before="126" w:line="232" w:lineRule="auto"/>
              <w:ind w:left="278"/>
              <w:rPr>
                <w:sz w:val="18"/>
                <w:szCs w:val="18"/>
              </w:rPr>
            </w:pPr>
            <w:r>
              <w:rPr>
                <w:spacing w:val="-2"/>
                <w:sz w:val="18"/>
                <w:szCs w:val="18"/>
              </w:rPr>
              <w:t>70</w:t>
            </w:r>
          </w:p>
        </w:tc>
      </w:tr>
      <w:tr w14:paraId="6440A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43D6B36E">
            <w:pPr>
              <w:rPr>
                <w:rFonts w:ascii="Arial"/>
                <w:sz w:val="21"/>
              </w:rPr>
            </w:pPr>
          </w:p>
        </w:tc>
        <w:tc>
          <w:tcPr>
            <w:tcW w:w="272" w:type="dxa"/>
            <w:vMerge w:val="restart"/>
            <w:tcBorders>
              <w:bottom w:val="nil"/>
            </w:tcBorders>
            <w:vAlign w:val="top"/>
          </w:tcPr>
          <w:p w14:paraId="67D2C302">
            <w:pPr>
              <w:pStyle w:val="6"/>
              <w:spacing w:before="276" w:line="234" w:lineRule="auto"/>
              <w:ind w:left="33" w:right="55"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004" w:type="dxa"/>
            <w:vAlign w:val="top"/>
          </w:tcPr>
          <w:p w14:paraId="37A998CB">
            <w:pPr>
              <w:pStyle w:val="6"/>
              <w:spacing w:before="127" w:line="232" w:lineRule="auto"/>
              <w:ind w:left="122"/>
              <w:rPr>
                <w:sz w:val="18"/>
                <w:szCs w:val="18"/>
              </w:rPr>
            </w:pPr>
            <w:r>
              <w:rPr>
                <w:spacing w:val="-1"/>
                <w:sz w:val="18"/>
                <w:szCs w:val="18"/>
              </w:rPr>
              <w:t>2019/5/10</w:t>
            </w:r>
          </w:p>
        </w:tc>
        <w:tc>
          <w:tcPr>
            <w:tcW w:w="686" w:type="dxa"/>
            <w:vAlign w:val="top"/>
          </w:tcPr>
          <w:p w14:paraId="633F80AA">
            <w:pPr>
              <w:pStyle w:val="6"/>
              <w:spacing w:before="133" w:line="183" w:lineRule="auto"/>
              <w:ind w:left="234"/>
              <w:rPr>
                <w:sz w:val="18"/>
                <w:szCs w:val="18"/>
              </w:rPr>
            </w:pPr>
            <w:r>
              <w:rPr>
                <w:spacing w:val="-2"/>
                <w:sz w:val="18"/>
                <w:szCs w:val="18"/>
              </w:rPr>
              <w:t>5L</w:t>
            </w:r>
          </w:p>
        </w:tc>
        <w:tc>
          <w:tcPr>
            <w:tcW w:w="923" w:type="dxa"/>
            <w:vAlign w:val="top"/>
          </w:tcPr>
          <w:p w14:paraId="25D27E5B">
            <w:pPr>
              <w:pStyle w:val="6"/>
              <w:spacing w:before="127" w:line="232" w:lineRule="auto"/>
              <w:ind w:left="338"/>
              <w:rPr>
                <w:sz w:val="18"/>
                <w:szCs w:val="18"/>
              </w:rPr>
            </w:pPr>
            <w:r>
              <w:rPr>
                <w:spacing w:val="-3"/>
                <w:sz w:val="18"/>
                <w:szCs w:val="18"/>
              </w:rPr>
              <w:t>0.7</w:t>
            </w:r>
          </w:p>
        </w:tc>
        <w:tc>
          <w:tcPr>
            <w:tcW w:w="708" w:type="dxa"/>
            <w:vAlign w:val="top"/>
          </w:tcPr>
          <w:p w14:paraId="526A03FC">
            <w:pPr>
              <w:pStyle w:val="6"/>
              <w:spacing w:before="133" w:line="229" w:lineRule="auto"/>
              <w:ind w:left="188"/>
              <w:rPr>
                <w:sz w:val="18"/>
                <w:szCs w:val="18"/>
              </w:rPr>
            </w:pPr>
            <w:r>
              <w:rPr>
                <w:b/>
                <w:bCs/>
                <w:spacing w:val="-2"/>
                <w:sz w:val="18"/>
                <w:szCs w:val="18"/>
              </w:rPr>
              <w:t>6.38</w:t>
            </w:r>
          </w:p>
        </w:tc>
        <w:tc>
          <w:tcPr>
            <w:tcW w:w="850" w:type="dxa"/>
            <w:vAlign w:val="top"/>
          </w:tcPr>
          <w:p w14:paraId="3FE8D58B">
            <w:pPr>
              <w:pStyle w:val="6"/>
              <w:spacing w:before="133" w:line="229" w:lineRule="auto"/>
              <w:ind w:left="214"/>
              <w:rPr>
                <w:sz w:val="18"/>
                <w:szCs w:val="18"/>
              </w:rPr>
            </w:pPr>
            <w:r>
              <w:rPr>
                <w:b/>
                <w:bCs/>
                <w:spacing w:val="-2"/>
                <w:sz w:val="18"/>
                <w:szCs w:val="18"/>
              </w:rPr>
              <w:t>0.227</w:t>
            </w:r>
          </w:p>
        </w:tc>
        <w:tc>
          <w:tcPr>
            <w:tcW w:w="761" w:type="dxa"/>
            <w:vAlign w:val="top"/>
          </w:tcPr>
          <w:p w14:paraId="537F78A1">
            <w:pPr>
              <w:pStyle w:val="6"/>
              <w:spacing w:before="127" w:line="232" w:lineRule="auto"/>
              <w:ind w:left="169"/>
              <w:rPr>
                <w:sz w:val="18"/>
                <w:szCs w:val="18"/>
              </w:rPr>
            </w:pPr>
            <w:r>
              <w:rPr>
                <w:spacing w:val="-2"/>
                <w:sz w:val="18"/>
                <w:szCs w:val="18"/>
              </w:rPr>
              <w:t>0.163</w:t>
            </w:r>
          </w:p>
        </w:tc>
        <w:tc>
          <w:tcPr>
            <w:tcW w:w="654" w:type="dxa"/>
            <w:vAlign w:val="top"/>
          </w:tcPr>
          <w:p w14:paraId="71DB1483">
            <w:pPr>
              <w:pStyle w:val="6"/>
              <w:spacing w:before="127" w:line="232" w:lineRule="auto"/>
              <w:ind w:left="73"/>
              <w:rPr>
                <w:sz w:val="18"/>
                <w:szCs w:val="18"/>
              </w:rPr>
            </w:pPr>
            <w:r>
              <w:rPr>
                <w:spacing w:val="-2"/>
                <w:sz w:val="18"/>
                <w:szCs w:val="18"/>
              </w:rPr>
              <w:t>0.0051</w:t>
            </w:r>
          </w:p>
        </w:tc>
        <w:tc>
          <w:tcPr>
            <w:tcW w:w="708" w:type="dxa"/>
            <w:vAlign w:val="top"/>
          </w:tcPr>
          <w:p w14:paraId="7C4A2BBF">
            <w:pPr>
              <w:pStyle w:val="6"/>
              <w:spacing w:before="127" w:line="232" w:lineRule="auto"/>
              <w:ind w:left="91"/>
              <w:rPr>
                <w:sz w:val="18"/>
                <w:szCs w:val="18"/>
              </w:rPr>
            </w:pPr>
            <w:r>
              <w:rPr>
                <w:spacing w:val="-2"/>
                <w:sz w:val="18"/>
                <w:szCs w:val="18"/>
              </w:rPr>
              <w:t>0.009L</w:t>
            </w:r>
          </w:p>
        </w:tc>
        <w:tc>
          <w:tcPr>
            <w:tcW w:w="707" w:type="dxa"/>
            <w:vAlign w:val="top"/>
          </w:tcPr>
          <w:p w14:paraId="663FED4B">
            <w:pPr>
              <w:pStyle w:val="6"/>
              <w:spacing w:before="127" w:line="232" w:lineRule="auto"/>
              <w:ind w:left="148"/>
              <w:rPr>
                <w:sz w:val="18"/>
                <w:szCs w:val="18"/>
              </w:rPr>
            </w:pPr>
            <w:r>
              <w:rPr>
                <w:spacing w:val="-2"/>
                <w:sz w:val="18"/>
                <w:szCs w:val="18"/>
              </w:rPr>
              <w:t>0.012</w:t>
            </w:r>
          </w:p>
        </w:tc>
        <w:tc>
          <w:tcPr>
            <w:tcW w:w="766" w:type="dxa"/>
            <w:vAlign w:val="top"/>
          </w:tcPr>
          <w:p w14:paraId="6092239B">
            <w:pPr>
              <w:pStyle w:val="6"/>
              <w:spacing w:before="127" w:line="232" w:lineRule="auto"/>
              <w:ind w:left="269"/>
              <w:rPr>
                <w:sz w:val="18"/>
                <w:szCs w:val="18"/>
              </w:rPr>
            </w:pPr>
            <w:r>
              <w:rPr>
                <w:spacing w:val="-3"/>
                <w:sz w:val="18"/>
                <w:szCs w:val="18"/>
              </w:rPr>
              <w:t>9.8</w:t>
            </w:r>
          </w:p>
        </w:tc>
        <w:tc>
          <w:tcPr>
            <w:tcW w:w="595" w:type="dxa"/>
            <w:vAlign w:val="top"/>
          </w:tcPr>
          <w:p w14:paraId="71A51861">
            <w:pPr>
              <w:pStyle w:val="6"/>
              <w:spacing w:before="127" w:line="232" w:lineRule="auto"/>
              <w:ind w:left="153"/>
              <w:rPr>
                <w:sz w:val="18"/>
                <w:szCs w:val="18"/>
              </w:rPr>
            </w:pPr>
            <w:r>
              <w:rPr>
                <w:spacing w:val="-6"/>
                <w:sz w:val="18"/>
                <w:szCs w:val="18"/>
              </w:rPr>
              <w:t>11.8</w:t>
            </w:r>
          </w:p>
        </w:tc>
        <w:tc>
          <w:tcPr>
            <w:tcW w:w="955" w:type="dxa"/>
            <w:vAlign w:val="top"/>
          </w:tcPr>
          <w:p w14:paraId="3401BE29">
            <w:pPr>
              <w:pStyle w:val="6"/>
              <w:spacing w:before="128" w:line="232" w:lineRule="auto"/>
              <w:ind w:left="340"/>
              <w:rPr>
                <w:sz w:val="18"/>
                <w:szCs w:val="18"/>
              </w:rPr>
            </w:pPr>
            <w:r>
              <w:rPr>
                <w:spacing w:val="-1"/>
                <w:sz w:val="18"/>
                <w:szCs w:val="18"/>
              </w:rPr>
              <w:t>213</w:t>
            </w:r>
          </w:p>
        </w:tc>
        <w:tc>
          <w:tcPr>
            <w:tcW w:w="506" w:type="dxa"/>
            <w:vAlign w:val="top"/>
          </w:tcPr>
          <w:p w14:paraId="35445C54">
            <w:pPr>
              <w:pStyle w:val="6"/>
              <w:spacing w:before="128" w:line="232" w:lineRule="auto"/>
              <w:ind w:left="134"/>
              <w:rPr>
                <w:sz w:val="18"/>
                <w:szCs w:val="18"/>
              </w:rPr>
            </w:pPr>
            <w:r>
              <w:rPr>
                <w:spacing w:val="-5"/>
                <w:sz w:val="18"/>
                <w:szCs w:val="18"/>
              </w:rPr>
              <w:t>152</w:t>
            </w:r>
          </w:p>
        </w:tc>
        <w:tc>
          <w:tcPr>
            <w:tcW w:w="707" w:type="dxa"/>
            <w:vAlign w:val="top"/>
          </w:tcPr>
          <w:p w14:paraId="1801E9A8">
            <w:pPr>
              <w:pStyle w:val="6"/>
              <w:spacing w:before="127" w:line="232" w:lineRule="auto"/>
              <w:ind w:left="212"/>
              <w:rPr>
                <w:sz w:val="18"/>
                <w:szCs w:val="18"/>
              </w:rPr>
            </w:pPr>
            <w:r>
              <w:rPr>
                <w:spacing w:val="-6"/>
                <w:sz w:val="18"/>
                <w:szCs w:val="18"/>
              </w:rPr>
              <w:t>1.62</w:t>
            </w:r>
          </w:p>
        </w:tc>
        <w:tc>
          <w:tcPr>
            <w:tcW w:w="708" w:type="dxa"/>
            <w:vAlign w:val="top"/>
          </w:tcPr>
          <w:p w14:paraId="026142EF">
            <w:pPr>
              <w:pStyle w:val="6"/>
              <w:spacing w:before="127" w:line="232" w:lineRule="auto"/>
              <w:ind w:left="99"/>
              <w:rPr>
                <w:sz w:val="18"/>
                <w:szCs w:val="18"/>
              </w:rPr>
            </w:pPr>
            <w:r>
              <w:rPr>
                <w:spacing w:val="-2"/>
                <w:sz w:val="18"/>
                <w:szCs w:val="18"/>
              </w:rPr>
              <w:t>0.002L</w:t>
            </w:r>
          </w:p>
        </w:tc>
        <w:tc>
          <w:tcPr>
            <w:tcW w:w="663" w:type="dxa"/>
            <w:vAlign w:val="top"/>
          </w:tcPr>
          <w:p w14:paraId="1F7EE7C5">
            <w:pPr>
              <w:pStyle w:val="6"/>
              <w:spacing w:before="127" w:line="232" w:lineRule="auto"/>
              <w:ind w:left="134"/>
              <w:rPr>
                <w:sz w:val="18"/>
                <w:szCs w:val="18"/>
              </w:rPr>
            </w:pPr>
            <w:r>
              <w:rPr>
                <w:spacing w:val="-2"/>
                <w:sz w:val="18"/>
                <w:szCs w:val="18"/>
              </w:rPr>
              <w:t>0.083</w:t>
            </w:r>
          </w:p>
        </w:tc>
        <w:tc>
          <w:tcPr>
            <w:tcW w:w="664" w:type="dxa"/>
            <w:vAlign w:val="top"/>
          </w:tcPr>
          <w:p w14:paraId="6869E72B">
            <w:pPr>
              <w:pStyle w:val="6"/>
              <w:spacing w:before="127" w:line="232" w:lineRule="auto"/>
              <w:ind w:left="134"/>
              <w:rPr>
                <w:sz w:val="18"/>
                <w:szCs w:val="18"/>
              </w:rPr>
            </w:pPr>
            <w:r>
              <w:rPr>
                <w:spacing w:val="-2"/>
                <w:sz w:val="18"/>
                <w:szCs w:val="18"/>
              </w:rPr>
              <w:t>0.004</w:t>
            </w:r>
          </w:p>
        </w:tc>
        <w:tc>
          <w:tcPr>
            <w:tcW w:w="782" w:type="dxa"/>
            <w:vAlign w:val="top"/>
          </w:tcPr>
          <w:p w14:paraId="4895466D">
            <w:pPr>
              <w:pStyle w:val="6"/>
              <w:spacing w:before="127" w:line="232" w:lineRule="auto"/>
              <w:ind w:left="93"/>
              <w:rPr>
                <w:sz w:val="18"/>
                <w:szCs w:val="18"/>
              </w:rPr>
            </w:pPr>
            <w:r>
              <w:rPr>
                <w:spacing w:val="-1"/>
                <w:sz w:val="18"/>
                <w:szCs w:val="18"/>
              </w:rPr>
              <w:t>0.0005L</w:t>
            </w:r>
          </w:p>
        </w:tc>
        <w:tc>
          <w:tcPr>
            <w:tcW w:w="663" w:type="dxa"/>
            <w:vAlign w:val="top"/>
          </w:tcPr>
          <w:p w14:paraId="07F33495">
            <w:pPr>
              <w:pStyle w:val="6"/>
              <w:spacing w:before="127" w:line="232" w:lineRule="auto"/>
              <w:ind w:left="81"/>
              <w:rPr>
                <w:sz w:val="18"/>
                <w:szCs w:val="18"/>
              </w:rPr>
            </w:pPr>
            <w:r>
              <w:rPr>
                <w:spacing w:val="-2"/>
                <w:sz w:val="18"/>
                <w:szCs w:val="18"/>
              </w:rPr>
              <w:t>0.004L</w:t>
            </w:r>
          </w:p>
        </w:tc>
        <w:tc>
          <w:tcPr>
            <w:tcW w:w="737" w:type="dxa"/>
            <w:vAlign w:val="top"/>
          </w:tcPr>
          <w:p w14:paraId="63F63E28">
            <w:pPr>
              <w:pStyle w:val="6"/>
              <w:spacing w:before="127" w:line="232" w:lineRule="auto"/>
              <w:ind w:left="74"/>
              <w:rPr>
                <w:sz w:val="18"/>
                <w:szCs w:val="18"/>
              </w:rPr>
            </w:pPr>
            <w:r>
              <w:rPr>
                <w:spacing w:val="-1"/>
                <w:sz w:val="18"/>
                <w:szCs w:val="18"/>
              </w:rPr>
              <w:t>0.0025L</w:t>
            </w:r>
          </w:p>
        </w:tc>
        <w:tc>
          <w:tcPr>
            <w:tcW w:w="737" w:type="dxa"/>
            <w:vAlign w:val="top"/>
          </w:tcPr>
          <w:p w14:paraId="47E929EB">
            <w:pPr>
              <w:pStyle w:val="6"/>
              <w:spacing w:before="127" w:line="232" w:lineRule="auto"/>
              <w:ind w:left="130"/>
              <w:rPr>
                <w:sz w:val="18"/>
                <w:szCs w:val="18"/>
              </w:rPr>
            </w:pPr>
            <w:r>
              <w:rPr>
                <w:spacing w:val="-2"/>
                <w:sz w:val="18"/>
                <w:szCs w:val="18"/>
              </w:rPr>
              <w:t>0.0003</w:t>
            </w:r>
          </w:p>
        </w:tc>
        <w:tc>
          <w:tcPr>
            <w:tcW w:w="754" w:type="dxa"/>
            <w:vAlign w:val="top"/>
          </w:tcPr>
          <w:p w14:paraId="76BCEAEE">
            <w:pPr>
              <w:pStyle w:val="6"/>
              <w:spacing w:before="127" w:line="232" w:lineRule="auto"/>
              <w:ind w:left="139"/>
              <w:rPr>
                <w:sz w:val="18"/>
                <w:szCs w:val="18"/>
              </w:rPr>
            </w:pPr>
            <w:r>
              <w:rPr>
                <w:spacing w:val="-2"/>
                <w:sz w:val="18"/>
                <w:szCs w:val="18"/>
              </w:rPr>
              <w:t>0.0009</w:t>
            </w:r>
          </w:p>
        </w:tc>
        <w:tc>
          <w:tcPr>
            <w:tcW w:w="667" w:type="dxa"/>
            <w:vAlign w:val="top"/>
          </w:tcPr>
          <w:p w14:paraId="6A7C29DE">
            <w:pPr>
              <w:pStyle w:val="6"/>
              <w:spacing w:before="127" w:line="232" w:lineRule="auto"/>
              <w:ind w:left="86"/>
              <w:rPr>
                <w:sz w:val="18"/>
                <w:szCs w:val="18"/>
              </w:rPr>
            </w:pPr>
            <w:r>
              <w:rPr>
                <w:spacing w:val="-2"/>
                <w:sz w:val="18"/>
                <w:szCs w:val="18"/>
              </w:rPr>
              <w:t>0.002L</w:t>
            </w:r>
          </w:p>
        </w:tc>
        <w:tc>
          <w:tcPr>
            <w:tcW w:w="544" w:type="dxa"/>
            <w:vAlign w:val="top"/>
          </w:tcPr>
          <w:p w14:paraId="06CF4144">
            <w:pPr>
              <w:pStyle w:val="6"/>
              <w:spacing w:before="127" w:line="232" w:lineRule="auto"/>
              <w:ind w:left="117"/>
              <w:rPr>
                <w:sz w:val="18"/>
                <w:szCs w:val="18"/>
              </w:rPr>
            </w:pPr>
            <w:r>
              <w:rPr>
                <w:spacing w:val="-2"/>
                <w:sz w:val="18"/>
                <w:szCs w:val="18"/>
              </w:rPr>
              <w:t>0.2L</w:t>
            </w:r>
          </w:p>
        </w:tc>
        <w:tc>
          <w:tcPr>
            <w:tcW w:w="434" w:type="dxa"/>
            <w:vAlign w:val="top"/>
          </w:tcPr>
          <w:p w14:paraId="29B0DDC6">
            <w:pPr>
              <w:pStyle w:val="6"/>
              <w:spacing w:before="127" w:line="232" w:lineRule="auto"/>
              <w:ind w:left="62"/>
              <w:rPr>
                <w:sz w:val="18"/>
                <w:szCs w:val="18"/>
              </w:rPr>
            </w:pPr>
            <w:r>
              <w:rPr>
                <w:spacing w:val="-2"/>
                <w:sz w:val="18"/>
                <w:szCs w:val="18"/>
              </w:rPr>
              <w:t>0.5L</w:t>
            </w:r>
          </w:p>
        </w:tc>
        <w:tc>
          <w:tcPr>
            <w:tcW w:w="1015" w:type="dxa"/>
            <w:vAlign w:val="top"/>
          </w:tcPr>
          <w:p w14:paraId="02A191F9">
            <w:pPr>
              <w:pStyle w:val="6"/>
              <w:spacing w:before="133" w:line="229" w:lineRule="auto"/>
              <w:ind w:left="392"/>
              <w:rPr>
                <w:sz w:val="18"/>
                <w:szCs w:val="18"/>
              </w:rPr>
            </w:pPr>
            <w:r>
              <w:rPr>
                <w:b/>
                <w:bCs/>
                <w:spacing w:val="-3"/>
                <w:sz w:val="18"/>
                <w:szCs w:val="18"/>
              </w:rPr>
              <w:t>130</w:t>
            </w:r>
          </w:p>
        </w:tc>
        <w:tc>
          <w:tcPr>
            <w:tcW w:w="721" w:type="dxa"/>
            <w:tcBorders>
              <w:right w:val="single" w:color="000000" w:sz="12" w:space="0"/>
            </w:tcBorders>
            <w:vAlign w:val="top"/>
          </w:tcPr>
          <w:p w14:paraId="1F383ECB">
            <w:pPr>
              <w:pStyle w:val="6"/>
              <w:spacing w:before="133" w:line="229" w:lineRule="auto"/>
              <w:ind w:left="239"/>
              <w:rPr>
                <w:sz w:val="18"/>
                <w:szCs w:val="18"/>
              </w:rPr>
            </w:pPr>
            <w:r>
              <w:rPr>
                <w:b/>
                <w:bCs/>
                <w:spacing w:val="-3"/>
                <w:sz w:val="18"/>
                <w:szCs w:val="18"/>
              </w:rPr>
              <w:t>178</w:t>
            </w:r>
          </w:p>
        </w:tc>
      </w:tr>
      <w:tr w14:paraId="25A88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6517A91A">
            <w:pPr>
              <w:rPr>
                <w:rFonts w:ascii="Arial"/>
                <w:sz w:val="21"/>
              </w:rPr>
            </w:pPr>
          </w:p>
        </w:tc>
        <w:tc>
          <w:tcPr>
            <w:tcW w:w="272" w:type="dxa"/>
            <w:vMerge w:val="continue"/>
            <w:tcBorders>
              <w:top w:val="nil"/>
              <w:bottom w:val="nil"/>
            </w:tcBorders>
            <w:vAlign w:val="top"/>
          </w:tcPr>
          <w:p w14:paraId="2C376E58">
            <w:pPr>
              <w:rPr>
                <w:rFonts w:ascii="Arial"/>
                <w:sz w:val="21"/>
              </w:rPr>
            </w:pPr>
          </w:p>
        </w:tc>
        <w:tc>
          <w:tcPr>
            <w:tcW w:w="1004" w:type="dxa"/>
            <w:vAlign w:val="top"/>
          </w:tcPr>
          <w:p w14:paraId="34D850F7">
            <w:pPr>
              <w:pStyle w:val="6"/>
              <w:spacing w:before="130" w:line="232" w:lineRule="auto"/>
              <w:ind w:left="122"/>
              <w:rPr>
                <w:sz w:val="18"/>
                <w:szCs w:val="18"/>
              </w:rPr>
            </w:pPr>
            <w:r>
              <w:rPr>
                <w:spacing w:val="-1"/>
                <w:sz w:val="18"/>
                <w:szCs w:val="18"/>
              </w:rPr>
              <w:t>2019/5/11</w:t>
            </w:r>
          </w:p>
        </w:tc>
        <w:tc>
          <w:tcPr>
            <w:tcW w:w="686" w:type="dxa"/>
            <w:vAlign w:val="top"/>
          </w:tcPr>
          <w:p w14:paraId="43B927A9">
            <w:pPr>
              <w:pStyle w:val="6"/>
              <w:spacing w:before="135" w:line="183" w:lineRule="auto"/>
              <w:ind w:left="234"/>
              <w:rPr>
                <w:sz w:val="18"/>
                <w:szCs w:val="18"/>
              </w:rPr>
            </w:pPr>
            <w:r>
              <w:rPr>
                <w:spacing w:val="-2"/>
                <w:sz w:val="18"/>
                <w:szCs w:val="18"/>
              </w:rPr>
              <w:t>5L</w:t>
            </w:r>
          </w:p>
        </w:tc>
        <w:tc>
          <w:tcPr>
            <w:tcW w:w="923" w:type="dxa"/>
            <w:vAlign w:val="top"/>
          </w:tcPr>
          <w:p w14:paraId="5081AAB5">
            <w:pPr>
              <w:pStyle w:val="6"/>
              <w:spacing w:before="130" w:line="232" w:lineRule="auto"/>
              <w:ind w:left="338"/>
              <w:rPr>
                <w:sz w:val="18"/>
                <w:szCs w:val="18"/>
              </w:rPr>
            </w:pPr>
            <w:r>
              <w:rPr>
                <w:spacing w:val="-3"/>
                <w:sz w:val="18"/>
                <w:szCs w:val="18"/>
              </w:rPr>
              <w:t>0.8</w:t>
            </w:r>
          </w:p>
        </w:tc>
        <w:tc>
          <w:tcPr>
            <w:tcW w:w="708" w:type="dxa"/>
            <w:vAlign w:val="top"/>
          </w:tcPr>
          <w:p w14:paraId="7415E8B6">
            <w:pPr>
              <w:pStyle w:val="6"/>
              <w:spacing w:before="136" w:line="229" w:lineRule="auto"/>
              <w:ind w:left="188"/>
              <w:rPr>
                <w:sz w:val="18"/>
                <w:szCs w:val="18"/>
              </w:rPr>
            </w:pPr>
            <w:r>
              <w:rPr>
                <w:b/>
                <w:bCs/>
                <w:spacing w:val="-2"/>
                <w:sz w:val="18"/>
                <w:szCs w:val="18"/>
              </w:rPr>
              <w:t>6.45</w:t>
            </w:r>
          </w:p>
        </w:tc>
        <w:tc>
          <w:tcPr>
            <w:tcW w:w="850" w:type="dxa"/>
            <w:vAlign w:val="top"/>
          </w:tcPr>
          <w:p w14:paraId="7085BBB4">
            <w:pPr>
              <w:pStyle w:val="6"/>
              <w:spacing w:before="136" w:line="229" w:lineRule="auto"/>
              <w:ind w:left="214"/>
              <w:rPr>
                <w:sz w:val="18"/>
                <w:szCs w:val="18"/>
              </w:rPr>
            </w:pPr>
            <w:r>
              <w:rPr>
                <w:b/>
                <w:bCs/>
                <w:spacing w:val="-2"/>
                <w:sz w:val="18"/>
                <w:szCs w:val="18"/>
              </w:rPr>
              <w:t>0.225</w:t>
            </w:r>
          </w:p>
        </w:tc>
        <w:tc>
          <w:tcPr>
            <w:tcW w:w="761" w:type="dxa"/>
            <w:vAlign w:val="top"/>
          </w:tcPr>
          <w:p w14:paraId="11CD873E">
            <w:pPr>
              <w:pStyle w:val="6"/>
              <w:spacing w:before="130" w:line="232" w:lineRule="auto"/>
              <w:ind w:left="169"/>
              <w:rPr>
                <w:sz w:val="18"/>
                <w:szCs w:val="18"/>
              </w:rPr>
            </w:pPr>
            <w:r>
              <w:rPr>
                <w:spacing w:val="-2"/>
                <w:sz w:val="18"/>
                <w:szCs w:val="18"/>
              </w:rPr>
              <w:t>0.158</w:t>
            </w:r>
          </w:p>
        </w:tc>
        <w:tc>
          <w:tcPr>
            <w:tcW w:w="654" w:type="dxa"/>
            <w:vAlign w:val="top"/>
          </w:tcPr>
          <w:p w14:paraId="07006804">
            <w:pPr>
              <w:pStyle w:val="6"/>
              <w:spacing w:before="130" w:line="232" w:lineRule="auto"/>
              <w:ind w:left="73"/>
              <w:rPr>
                <w:sz w:val="18"/>
                <w:szCs w:val="18"/>
              </w:rPr>
            </w:pPr>
            <w:r>
              <w:rPr>
                <w:spacing w:val="-2"/>
                <w:sz w:val="18"/>
                <w:szCs w:val="18"/>
              </w:rPr>
              <w:t>0.0051</w:t>
            </w:r>
          </w:p>
        </w:tc>
        <w:tc>
          <w:tcPr>
            <w:tcW w:w="708" w:type="dxa"/>
            <w:vAlign w:val="top"/>
          </w:tcPr>
          <w:p w14:paraId="7EFA84A6">
            <w:pPr>
              <w:pStyle w:val="6"/>
              <w:spacing w:before="130" w:line="232" w:lineRule="auto"/>
              <w:ind w:left="91"/>
              <w:rPr>
                <w:sz w:val="18"/>
                <w:szCs w:val="18"/>
              </w:rPr>
            </w:pPr>
            <w:r>
              <w:rPr>
                <w:spacing w:val="-2"/>
                <w:sz w:val="18"/>
                <w:szCs w:val="18"/>
              </w:rPr>
              <w:t>0.009L</w:t>
            </w:r>
          </w:p>
        </w:tc>
        <w:tc>
          <w:tcPr>
            <w:tcW w:w="707" w:type="dxa"/>
            <w:vAlign w:val="top"/>
          </w:tcPr>
          <w:p w14:paraId="35E48F37">
            <w:pPr>
              <w:pStyle w:val="6"/>
              <w:spacing w:before="130" w:line="232" w:lineRule="auto"/>
              <w:ind w:left="148"/>
              <w:rPr>
                <w:sz w:val="18"/>
                <w:szCs w:val="18"/>
              </w:rPr>
            </w:pPr>
            <w:r>
              <w:rPr>
                <w:spacing w:val="-2"/>
                <w:sz w:val="18"/>
                <w:szCs w:val="18"/>
              </w:rPr>
              <w:t>0.013</w:t>
            </w:r>
          </w:p>
        </w:tc>
        <w:tc>
          <w:tcPr>
            <w:tcW w:w="766" w:type="dxa"/>
            <w:vAlign w:val="top"/>
          </w:tcPr>
          <w:p w14:paraId="58662B6A">
            <w:pPr>
              <w:pStyle w:val="6"/>
              <w:spacing w:before="130" w:line="232" w:lineRule="auto"/>
              <w:ind w:left="238"/>
              <w:rPr>
                <w:sz w:val="18"/>
                <w:szCs w:val="18"/>
              </w:rPr>
            </w:pPr>
            <w:r>
              <w:rPr>
                <w:spacing w:val="-6"/>
                <w:sz w:val="18"/>
                <w:szCs w:val="18"/>
              </w:rPr>
              <w:t>10.0</w:t>
            </w:r>
          </w:p>
        </w:tc>
        <w:tc>
          <w:tcPr>
            <w:tcW w:w="595" w:type="dxa"/>
            <w:vAlign w:val="top"/>
          </w:tcPr>
          <w:p w14:paraId="6DC68EA4">
            <w:pPr>
              <w:pStyle w:val="6"/>
              <w:spacing w:before="130" w:line="232" w:lineRule="auto"/>
              <w:ind w:left="153"/>
              <w:rPr>
                <w:sz w:val="18"/>
                <w:szCs w:val="18"/>
              </w:rPr>
            </w:pPr>
            <w:r>
              <w:rPr>
                <w:spacing w:val="-6"/>
                <w:sz w:val="18"/>
                <w:szCs w:val="18"/>
              </w:rPr>
              <w:t>12.4</w:t>
            </w:r>
          </w:p>
        </w:tc>
        <w:tc>
          <w:tcPr>
            <w:tcW w:w="955" w:type="dxa"/>
            <w:vAlign w:val="top"/>
          </w:tcPr>
          <w:p w14:paraId="431E33B8">
            <w:pPr>
              <w:pStyle w:val="6"/>
              <w:spacing w:before="130" w:line="232" w:lineRule="auto"/>
              <w:ind w:left="340"/>
              <w:rPr>
                <w:sz w:val="18"/>
                <w:szCs w:val="18"/>
              </w:rPr>
            </w:pPr>
            <w:r>
              <w:rPr>
                <w:spacing w:val="-1"/>
                <w:sz w:val="18"/>
                <w:szCs w:val="18"/>
              </w:rPr>
              <w:t>208</w:t>
            </w:r>
          </w:p>
        </w:tc>
        <w:tc>
          <w:tcPr>
            <w:tcW w:w="506" w:type="dxa"/>
            <w:vAlign w:val="top"/>
          </w:tcPr>
          <w:p w14:paraId="655878F8">
            <w:pPr>
              <w:pStyle w:val="6"/>
              <w:spacing w:before="130" w:line="232" w:lineRule="auto"/>
              <w:ind w:left="134"/>
              <w:rPr>
                <w:sz w:val="18"/>
                <w:szCs w:val="18"/>
              </w:rPr>
            </w:pPr>
            <w:r>
              <w:rPr>
                <w:spacing w:val="-5"/>
                <w:sz w:val="18"/>
                <w:szCs w:val="18"/>
              </w:rPr>
              <w:t>156</w:t>
            </w:r>
          </w:p>
        </w:tc>
        <w:tc>
          <w:tcPr>
            <w:tcW w:w="707" w:type="dxa"/>
            <w:vAlign w:val="top"/>
          </w:tcPr>
          <w:p w14:paraId="19ACF33C">
            <w:pPr>
              <w:pStyle w:val="6"/>
              <w:spacing w:before="130" w:line="232" w:lineRule="auto"/>
              <w:ind w:left="212"/>
              <w:rPr>
                <w:sz w:val="18"/>
                <w:szCs w:val="18"/>
              </w:rPr>
            </w:pPr>
            <w:r>
              <w:rPr>
                <w:spacing w:val="-6"/>
                <w:sz w:val="18"/>
                <w:szCs w:val="18"/>
              </w:rPr>
              <w:t>1.70</w:t>
            </w:r>
          </w:p>
        </w:tc>
        <w:tc>
          <w:tcPr>
            <w:tcW w:w="708" w:type="dxa"/>
            <w:vAlign w:val="top"/>
          </w:tcPr>
          <w:p w14:paraId="6498BCBC">
            <w:pPr>
              <w:pStyle w:val="6"/>
              <w:spacing w:before="130" w:line="232" w:lineRule="auto"/>
              <w:ind w:left="99"/>
              <w:rPr>
                <w:sz w:val="18"/>
                <w:szCs w:val="18"/>
              </w:rPr>
            </w:pPr>
            <w:r>
              <w:rPr>
                <w:spacing w:val="-2"/>
                <w:sz w:val="18"/>
                <w:szCs w:val="18"/>
              </w:rPr>
              <w:t>0.002L</w:t>
            </w:r>
          </w:p>
        </w:tc>
        <w:tc>
          <w:tcPr>
            <w:tcW w:w="663" w:type="dxa"/>
            <w:vAlign w:val="top"/>
          </w:tcPr>
          <w:p w14:paraId="304C97E1">
            <w:pPr>
              <w:pStyle w:val="6"/>
              <w:spacing w:before="130" w:line="232" w:lineRule="auto"/>
              <w:ind w:left="134"/>
              <w:rPr>
                <w:sz w:val="18"/>
                <w:szCs w:val="18"/>
              </w:rPr>
            </w:pPr>
            <w:r>
              <w:rPr>
                <w:spacing w:val="-2"/>
                <w:sz w:val="18"/>
                <w:szCs w:val="18"/>
              </w:rPr>
              <w:t>0.091</w:t>
            </w:r>
          </w:p>
        </w:tc>
        <w:tc>
          <w:tcPr>
            <w:tcW w:w="664" w:type="dxa"/>
            <w:vAlign w:val="top"/>
          </w:tcPr>
          <w:p w14:paraId="6AA4C308">
            <w:pPr>
              <w:pStyle w:val="6"/>
              <w:spacing w:before="130" w:line="232" w:lineRule="auto"/>
              <w:ind w:left="134"/>
              <w:rPr>
                <w:sz w:val="18"/>
                <w:szCs w:val="18"/>
              </w:rPr>
            </w:pPr>
            <w:r>
              <w:rPr>
                <w:spacing w:val="-2"/>
                <w:sz w:val="18"/>
                <w:szCs w:val="18"/>
              </w:rPr>
              <w:t>0.004</w:t>
            </w:r>
          </w:p>
        </w:tc>
        <w:tc>
          <w:tcPr>
            <w:tcW w:w="782" w:type="dxa"/>
            <w:vAlign w:val="top"/>
          </w:tcPr>
          <w:p w14:paraId="74FEFBD6">
            <w:pPr>
              <w:pStyle w:val="6"/>
              <w:spacing w:before="130" w:line="232" w:lineRule="auto"/>
              <w:ind w:left="93"/>
              <w:rPr>
                <w:sz w:val="18"/>
                <w:szCs w:val="18"/>
              </w:rPr>
            </w:pPr>
            <w:r>
              <w:rPr>
                <w:spacing w:val="-1"/>
                <w:sz w:val="18"/>
                <w:szCs w:val="18"/>
              </w:rPr>
              <w:t>0.0005L</w:t>
            </w:r>
          </w:p>
        </w:tc>
        <w:tc>
          <w:tcPr>
            <w:tcW w:w="663" w:type="dxa"/>
            <w:vAlign w:val="top"/>
          </w:tcPr>
          <w:p w14:paraId="37D6A8C5">
            <w:pPr>
              <w:pStyle w:val="6"/>
              <w:spacing w:before="130" w:line="232" w:lineRule="auto"/>
              <w:ind w:left="81"/>
              <w:rPr>
                <w:sz w:val="18"/>
                <w:szCs w:val="18"/>
              </w:rPr>
            </w:pPr>
            <w:r>
              <w:rPr>
                <w:spacing w:val="-2"/>
                <w:sz w:val="18"/>
                <w:szCs w:val="18"/>
              </w:rPr>
              <w:t>0.004L</w:t>
            </w:r>
          </w:p>
        </w:tc>
        <w:tc>
          <w:tcPr>
            <w:tcW w:w="737" w:type="dxa"/>
            <w:vAlign w:val="top"/>
          </w:tcPr>
          <w:p w14:paraId="09E1DE38">
            <w:pPr>
              <w:pStyle w:val="6"/>
              <w:spacing w:before="130" w:line="232" w:lineRule="auto"/>
              <w:ind w:left="74"/>
              <w:rPr>
                <w:sz w:val="18"/>
                <w:szCs w:val="18"/>
              </w:rPr>
            </w:pPr>
            <w:r>
              <w:rPr>
                <w:spacing w:val="-1"/>
                <w:sz w:val="18"/>
                <w:szCs w:val="18"/>
              </w:rPr>
              <w:t>0.0025L</w:t>
            </w:r>
          </w:p>
        </w:tc>
        <w:tc>
          <w:tcPr>
            <w:tcW w:w="737" w:type="dxa"/>
            <w:vAlign w:val="top"/>
          </w:tcPr>
          <w:p w14:paraId="30A60050">
            <w:pPr>
              <w:pStyle w:val="6"/>
              <w:spacing w:before="130" w:line="232" w:lineRule="auto"/>
              <w:ind w:left="130"/>
              <w:rPr>
                <w:sz w:val="18"/>
                <w:szCs w:val="18"/>
              </w:rPr>
            </w:pPr>
            <w:r>
              <w:rPr>
                <w:spacing w:val="-2"/>
                <w:sz w:val="18"/>
                <w:szCs w:val="18"/>
              </w:rPr>
              <w:t>0.0003</w:t>
            </w:r>
          </w:p>
        </w:tc>
        <w:tc>
          <w:tcPr>
            <w:tcW w:w="754" w:type="dxa"/>
            <w:vAlign w:val="top"/>
          </w:tcPr>
          <w:p w14:paraId="4754BE45">
            <w:pPr>
              <w:pStyle w:val="6"/>
              <w:spacing w:before="130" w:line="232" w:lineRule="auto"/>
              <w:ind w:left="139"/>
              <w:rPr>
                <w:sz w:val="18"/>
                <w:szCs w:val="18"/>
              </w:rPr>
            </w:pPr>
            <w:r>
              <w:rPr>
                <w:spacing w:val="-2"/>
                <w:sz w:val="18"/>
                <w:szCs w:val="18"/>
              </w:rPr>
              <w:t>0.0012</w:t>
            </w:r>
          </w:p>
        </w:tc>
        <w:tc>
          <w:tcPr>
            <w:tcW w:w="667" w:type="dxa"/>
            <w:vAlign w:val="top"/>
          </w:tcPr>
          <w:p w14:paraId="6946D354">
            <w:pPr>
              <w:pStyle w:val="6"/>
              <w:spacing w:before="130" w:line="232" w:lineRule="auto"/>
              <w:ind w:left="86"/>
              <w:rPr>
                <w:sz w:val="18"/>
                <w:szCs w:val="18"/>
              </w:rPr>
            </w:pPr>
            <w:r>
              <w:rPr>
                <w:spacing w:val="-2"/>
                <w:sz w:val="18"/>
                <w:szCs w:val="18"/>
              </w:rPr>
              <w:t>0.002L</w:t>
            </w:r>
          </w:p>
        </w:tc>
        <w:tc>
          <w:tcPr>
            <w:tcW w:w="544" w:type="dxa"/>
            <w:vAlign w:val="top"/>
          </w:tcPr>
          <w:p w14:paraId="0A989132">
            <w:pPr>
              <w:pStyle w:val="6"/>
              <w:spacing w:before="130" w:line="232" w:lineRule="auto"/>
              <w:ind w:left="117"/>
              <w:rPr>
                <w:sz w:val="18"/>
                <w:szCs w:val="18"/>
              </w:rPr>
            </w:pPr>
            <w:r>
              <w:rPr>
                <w:spacing w:val="-2"/>
                <w:sz w:val="18"/>
                <w:szCs w:val="18"/>
              </w:rPr>
              <w:t>0.2L</w:t>
            </w:r>
          </w:p>
        </w:tc>
        <w:tc>
          <w:tcPr>
            <w:tcW w:w="434" w:type="dxa"/>
            <w:vAlign w:val="top"/>
          </w:tcPr>
          <w:p w14:paraId="5C229F0C">
            <w:pPr>
              <w:pStyle w:val="6"/>
              <w:spacing w:before="130" w:line="232" w:lineRule="auto"/>
              <w:ind w:left="62"/>
              <w:rPr>
                <w:sz w:val="18"/>
                <w:szCs w:val="18"/>
              </w:rPr>
            </w:pPr>
            <w:r>
              <w:rPr>
                <w:spacing w:val="-2"/>
                <w:sz w:val="18"/>
                <w:szCs w:val="18"/>
              </w:rPr>
              <w:t>0.5L</w:t>
            </w:r>
          </w:p>
        </w:tc>
        <w:tc>
          <w:tcPr>
            <w:tcW w:w="1015" w:type="dxa"/>
            <w:vAlign w:val="top"/>
          </w:tcPr>
          <w:p w14:paraId="5C064CFC">
            <w:pPr>
              <w:pStyle w:val="6"/>
              <w:spacing w:before="136" w:line="229" w:lineRule="auto"/>
              <w:ind w:left="392"/>
              <w:rPr>
                <w:sz w:val="18"/>
                <w:szCs w:val="18"/>
              </w:rPr>
            </w:pPr>
            <w:r>
              <w:rPr>
                <w:b/>
                <w:bCs/>
                <w:spacing w:val="-3"/>
                <w:sz w:val="18"/>
                <w:szCs w:val="18"/>
              </w:rPr>
              <w:t>120</w:t>
            </w:r>
          </w:p>
        </w:tc>
        <w:tc>
          <w:tcPr>
            <w:tcW w:w="721" w:type="dxa"/>
            <w:tcBorders>
              <w:right w:val="single" w:color="000000" w:sz="12" w:space="0"/>
            </w:tcBorders>
            <w:vAlign w:val="top"/>
          </w:tcPr>
          <w:p w14:paraId="18C950D3">
            <w:pPr>
              <w:pStyle w:val="6"/>
              <w:spacing w:before="136" w:line="229" w:lineRule="auto"/>
              <w:ind w:left="239"/>
              <w:rPr>
                <w:sz w:val="18"/>
                <w:szCs w:val="18"/>
              </w:rPr>
            </w:pPr>
            <w:r>
              <w:rPr>
                <w:b/>
                <w:bCs/>
                <w:spacing w:val="-3"/>
                <w:sz w:val="18"/>
                <w:szCs w:val="18"/>
              </w:rPr>
              <w:t>190</w:t>
            </w:r>
          </w:p>
        </w:tc>
      </w:tr>
      <w:tr w14:paraId="216E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7FB89FFE">
            <w:pPr>
              <w:rPr>
                <w:rFonts w:ascii="Arial"/>
                <w:sz w:val="21"/>
              </w:rPr>
            </w:pPr>
          </w:p>
        </w:tc>
        <w:tc>
          <w:tcPr>
            <w:tcW w:w="272" w:type="dxa"/>
            <w:vMerge w:val="continue"/>
            <w:tcBorders>
              <w:top w:val="nil"/>
            </w:tcBorders>
            <w:vAlign w:val="top"/>
          </w:tcPr>
          <w:p w14:paraId="6264B449">
            <w:pPr>
              <w:rPr>
                <w:rFonts w:ascii="Arial"/>
                <w:sz w:val="21"/>
              </w:rPr>
            </w:pPr>
          </w:p>
        </w:tc>
        <w:tc>
          <w:tcPr>
            <w:tcW w:w="1004" w:type="dxa"/>
            <w:vAlign w:val="top"/>
          </w:tcPr>
          <w:p w14:paraId="737E85A4">
            <w:pPr>
              <w:pStyle w:val="6"/>
              <w:spacing w:before="129" w:line="232" w:lineRule="auto"/>
              <w:ind w:left="122"/>
              <w:rPr>
                <w:sz w:val="18"/>
                <w:szCs w:val="18"/>
              </w:rPr>
            </w:pPr>
            <w:r>
              <w:rPr>
                <w:spacing w:val="-1"/>
                <w:sz w:val="18"/>
                <w:szCs w:val="18"/>
              </w:rPr>
              <w:t>2019/5/12</w:t>
            </w:r>
          </w:p>
        </w:tc>
        <w:tc>
          <w:tcPr>
            <w:tcW w:w="686" w:type="dxa"/>
            <w:vAlign w:val="top"/>
          </w:tcPr>
          <w:p w14:paraId="551EC852">
            <w:pPr>
              <w:pStyle w:val="6"/>
              <w:spacing w:before="134" w:line="183" w:lineRule="auto"/>
              <w:ind w:left="234"/>
              <w:rPr>
                <w:sz w:val="18"/>
                <w:szCs w:val="18"/>
              </w:rPr>
            </w:pPr>
            <w:r>
              <w:rPr>
                <w:spacing w:val="-2"/>
                <w:sz w:val="18"/>
                <w:szCs w:val="18"/>
              </w:rPr>
              <w:t>5L</w:t>
            </w:r>
          </w:p>
        </w:tc>
        <w:tc>
          <w:tcPr>
            <w:tcW w:w="923" w:type="dxa"/>
            <w:vAlign w:val="top"/>
          </w:tcPr>
          <w:p w14:paraId="4B660E2C">
            <w:pPr>
              <w:pStyle w:val="6"/>
              <w:spacing w:before="129" w:line="232" w:lineRule="auto"/>
              <w:ind w:left="338"/>
              <w:rPr>
                <w:sz w:val="18"/>
                <w:szCs w:val="18"/>
              </w:rPr>
            </w:pPr>
            <w:r>
              <w:rPr>
                <w:spacing w:val="-3"/>
                <w:sz w:val="18"/>
                <w:szCs w:val="18"/>
              </w:rPr>
              <w:t>0.8</w:t>
            </w:r>
          </w:p>
        </w:tc>
        <w:tc>
          <w:tcPr>
            <w:tcW w:w="708" w:type="dxa"/>
            <w:vAlign w:val="top"/>
          </w:tcPr>
          <w:p w14:paraId="675CDC1E">
            <w:pPr>
              <w:pStyle w:val="6"/>
              <w:spacing w:before="129" w:line="232" w:lineRule="auto"/>
              <w:ind w:left="189"/>
              <w:rPr>
                <w:sz w:val="18"/>
                <w:szCs w:val="18"/>
              </w:rPr>
            </w:pPr>
            <w:r>
              <w:rPr>
                <w:spacing w:val="-2"/>
                <w:sz w:val="18"/>
                <w:szCs w:val="18"/>
              </w:rPr>
              <w:t>6.58</w:t>
            </w:r>
          </w:p>
        </w:tc>
        <w:tc>
          <w:tcPr>
            <w:tcW w:w="850" w:type="dxa"/>
            <w:vAlign w:val="top"/>
          </w:tcPr>
          <w:p w14:paraId="10160E03">
            <w:pPr>
              <w:pStyle w:val="6"/>
              <w:spacing w:before="135" w:line="229" w:lineRule="auto"/>
              <w:ind w:left="214"/>
              <w:rPr>
                <w:sz w:val="18"/>
                <w:szCs w:val="18"/>
              </w:rPr>
            </w:pPr>
            <w:r>
              <w:rPr>
                <w:b/>
                <w:bCs/>
                <w:spacing w:val="-2"/>
                <w:sz w:val="18"/>
                <w:szCs w:val="18"/>
              </w:rPr>
              <w:t>0.223</w:t>
            </w:r>
          </w:p>
        </w:tc>
        <w:tc>
          <w:tcPr>
            <w:tcW w:w="761" w:type="dxa"/>
            <w:vAlign w:val="top"/>
          </w:tcPr>
          <w:p w14:paraId="0FB13816">
            <w:pPr>
              <w:pStyle w:val="6"/>
              <w:spacing w:before="129" w:line="232" w:lineRule="auto"/>
              <w:ind w:left="169"/>
              <w:rPr>
                <w:sz w:val="18"/>
                <w:szCs w:val="18"/>
              </w:rPr>
            </w:pPr>
            <w:r>
              <w:rPr>
                <w:spacing w:val="-2"/>
                <w:sz w:val="18"/>
                <w:szCs w:val="18"/>
              </w:rPr>
              <w:t>0.157</w:t>
            </w:r>
          </w:p>
        </w:tc>
        <w:tc>
          <w:tcPr>
            <w:tcW w:w="654" w:type="dxa"/>
            <w:vAlign w:val="top"/>
          </w:tcPr>
          <w:p w14:paraId="36F76982">
            <w:pPr>
              <w:pStyle w:val="6"/>
              <w:spacing w:before="129" w:line="232" w:lineRule="auto"/>
              <w:ind w:left="73"/>
              <w:rPr>
                <w:sz w:val="18"/>
                <w:szCs w:val="18"/>
              </w:rPr>
            </w:pPr>
            <w:r>
              <w:rPr>
                <w:spacing w:val="-2"/>
                <w:sz w:val="18"/>
                <w:szCs w:val="18"/>
              </w:rPr>
              <w:t>0.0050</w:t>
            </w:r>
          </w:p>
        </w:tc>
        <w:tc>
          <w:tcPr>
            <w:tcW w:w="708" w:type="dxa"/>
            <w:vAlign w:val="top"/>
          </w:tcPr>
          <w:p w14:paraId="549973EB">
            <w:pPr>
              <w:pStyle w:val="6"/>
              <w:spacing w:before="129" w:line="232" w:lineRule="auto"/>
              <w:ind w:left="91"/>
              <w:rPr>
                <w:sz w:val="18"/>
                <w:szCs w:val="18"/>
              </w:rPr>
            </w:pPr>
            <w:r>
              <w:rPr>
                <w:spacing w:val="-2"/>
                <w:sz w:val="18"/>
                <w:szCs w:val="18"/>
              </w:rPr>
              <w:t>0.009L</w:t>
            </w:r>
          </w:p>
        </w:tc>
        <w:tc>
          <w:tcPr>
            <w:tcW w:w="707" w:type="dxa"/>
            <w:vAlign w:val="top"/>
          </w:tcPr>
          <w:p w14:paraId="1B15C798">
            <w:pPr>
              <w:pStyle w:val="6"/>
              <w:spacing w:before="129" w:line="232" w:lineRule="auto"/>
              <w:ind w:left="148"/>
              <w:rPr>
                <w:sz w:val="18"/>
                <w:szCs w:val="18"/>
              </w:rPr>
            </w:pPr>
            <w:r>
              <w:rPr>
                <w:spacing w:val="-2"/>
                <w:sz w:val="18"/>
                <w:szCs w:val="18"/>
              </w:rPr>
              <w:t>0.012</w:t>
            </w:r>
          </w:p>
        </w:tc>
        <w:tc>
          <w:tcPr>
            <w:tcW w:w="766" w:type="dxa"/>
            <w:vAlign w:val="top"/>
          </w:tcPr>
          <w:p w14:paraId="1E39CF5D">
            <w:pPr>
              <w:pStyle w:val="6"/>
              <w:spacing w:before="129" w:line="232" w:lineRule="auto"/>
              <w:ind w:left="238"/>
              <w:rPr>
                <w:sz w:val="18"/>
                <w:szCs w:val="18"/>
              </w:rPr>
            </w:pPr>
            <w:r>
              <w:rPr>
                <w:spacing w:val="-6"/>
                <w:sz w:val="18"/>
                <w:szCs w:val="18"/>
              </w:rPr>
              <w:t>10.2</w:t>
            </w:r>
          </w:p>
        </w:tc>
        <w:tc>
          <w:tcPr>
            <w:tcW w:w="595" w:type="dxa"/>
            <w:vAlign w:val="top"/>
          </w:tcPr>
          <w:p w14:paraId="760646EA">
            <w:pPr>
              <w:pStyle w:val="6"/>
              <w:spacing w:before="129" w:line="232" w:lineRule="auto"/>
              <w:ind w:left="153"/>
              <w:rPr>
                <w:sz w:val="18"/>
                <w:szCs w:val="18"/>
              </w:rPr>
            </w:pPr>
            <w:r>
              <w:rPr>
                <w:spacing w:val="-6"/>
                <w:sz w:val="18"/>
                <w:szCs w:val="18"/>
              </w:rPr>
              <w:t>10.4</w:t>
            </w:r>
          </w:p>
        </w:tc>
        <w:tc>
          <w:tcPr>
            <w:tcW w:w="955" w:type="dxa"/>
            <w:vAlign w:val="top"/>
          </w:tcPr>
          <w:p w14:paraId="6B2FD126">
            <w:pPr>
              <w:pStyle w:val="6"/>
              <w:spacing w:before="129" w:line="232" w:lineRule="auto"/>
              <w:ind w:left="340"/>
              <w:rPr>
                <w:sz w:val="18"/>
                <w:szCs w:val="18"/>
              </w:rPr>
            </w:pPr>
            <w:r>
              <w:rPr>
                <w:spacing w:val="-1"/>
                <w:sz w:val="18"/>
                <w:szCs w:val="18"/>
              </w:rPr>
              <w:t>218</w:t>
            </w:r>
          </w:p>
        </w:tc>
        <w:tc>
          <w:tcPr>
            <w:tcW w:w="506" w:type="dxa"/>
            <w:vAlign w:val="top"/>
          </w:tcPr>
          <w:p w14:paraId="39A9A508">
            <w:pPr>
              <w:pStyle w:val="6"/>
              <w:spacing w:before="129" w:line="232" w:lineRule="auto"/>
              <w:ind w:left="134"/>
              <w:rPr>
                <w:sz w:val="18"/>
                <w:szCs w:val="18"/>
              </w:rPr>
            </w:pPr>
            <w:r>
              <w:rPr>
                <w:spacing w:val="-5"/>
                <w:sz w:val="18"/>
                <w:szCs w:val="18"/>
              </w:rPr>
              <w:t>149</w:t>
            </w:r>
          </w:p>
        </w:tc>
        <w:tc>
          <w:tcPr>
            <w:tcW w:w="707" w:type="dxa"/>
            <w:vAlign w:val="top"/>
          </w:tcPr>
          <w:p w14:paraId="74B5A66B">
            <w:pPr>
              <w:pStyle w:val="6"/>
              <w:spacing w:before="129" w:line="232" w:lineRule="auto"/>
              <w:ind w:left="212"/>
              <w:rPr>
                <w:sz w:val="18"/>
                <w:szCs w:val="18"/>
              </w:rPr>
            </w:pPr>
            <w:r>
              <w:rPr>
                <w:spacing w:val="-6"/>
                <w:sz w:val="18"/>
                <w:szCs w:val="18"/>
              </w:rPr>
              <w:t>1.65</w:t>
            </w:r>
          </w:p>
        </w:tc>
        <w:tc>
          <w:tcPr>
            <w:tcW w:w="708" w:type="dxa"/>
            <w:vAlign w:val="top"/>
          </w:tcPr>
          <w:p w14:paraId="076C4BD7">
            <w:pPr>
              <w:pStyle w:val="6"/>
              <w:spacing w:before="129" w:line="232" w:lineRule="auto"/>
              <w:ind w:left="99"/>
              <w:rPr>
                <w:sz w:val="18"/>
                <w:szCs w:val="18"/>
              </w:rPr>
            </w:pPr>
            <w:r>
              <w:rPr>
                <w:spacing w:val="-2"/>
                <w:sz w:val="18"/>
                <w:szCs w:val="18"/>
              </w:rPr>
              <w:t>0.002L</w:t>
            </w:r>
          </w:p>
        </w:tc>
        <w:tc>
          <w:tcPr>
            <w:tcW w:w="663" w:type="dxa"/>
            <w:vAlign w:val="top"/>
          </w:tcPr>
          <w:p w14:paraId="16081B85">
            <w:pPr>
              <w:pStyle w:val="6"/>
              <w:spacing w:before="129" w:line="232" w:lineRule="auto"/>
              <w:ind w:left="134"/>
              <w:rPr>
                <w:sz w:val="18"/>
                <w:szCs w:val="18"/>
              </w:rPr>
            </w:pPr>
            <w:r>
              <w:rPr>
                <w:spacing w:val="-2"/>
                <w:sz w:val="18"/>
                <w:szCs w:val="18"/>
              </w:rPr>
              <w:t>0.075</w:t>
            </w:r>
          </w:p>
        </w:tc>
        <w:tc>
          <w:tcPr>
            <w:tcW w:w="664" w:type="dxa"/>
            <w:vAlign w:val="top"/>
          </w:tcPr>
          <w:p w14:paraId="3DEBE715">
            <w:pPr>
              <w:pStyle w:val="6"/>
              <w:spacing w:before="129" w:line="232" w:lineRule="auto"/>
              <w:ind w:left="134"/>
              <w:rPr>
                <w:sz w:val="18"/>
                <w:szCs w:val="18"/>
              </w:rPr>
            </w:pPr>
            <w:r>
              <w:rPr>
                <w:spacing w:val="-2"/>
                <w:sz w:val="18"/>
                <w:szCs w:val="18"/>
              </w:rPr>
              <w:t>0.005</w:t>
            </w:r>
          </w:p>
        </w:tc>
        <w:tc>
          <w:tcPr>
            <w:tcW w:w="782" w:type="dxa"/>
            <w:vAlign w:val="top"/>
          </w:tcPr>
          <w:p w14:paraId="51019D1C">
            <w:pPr>
              <w:pStyle w:val="6"/>
              <w:spacing w:before="129" w:line="232" w:lineRule="auto"/>
              <w:ind w:left="93"/>
              <w:rPr>
                <w:sz w:val="18"/>
                <w:szCs w:val="18"/>
              </w:rPr>
            </w:pPr>
            <w:r>
              <w:rPr>
                <w:spacing w:val="-1"/>
                <w:sz w:val="18"/>
                <w:szCs w:val="18"/>
              </w:rPr>
              <w:t>0.0005L</w:t>
            </w:r>
          </w:p>
        </w:tc>
        <w:tc>
          <w:tcPr>
            <w:tcW w:w="663" w:type="dxa"/>
            <w:vAlign w:val="top"/>
          </w:tcPr>
          <w:p w14:paraId="34F9CBCA">
            <w:pPr>
              <w:pStyle w:val="6"/>
              <w:spacing w:before="129" w:line="232" w:lineRule="auto"/>
              <w:ind w:left="81"/>
              <w:rPr>
                <w:sz w:val="18"/>
                <w:szCs w:val="18"/>
              </w:rPr>
            </w:pPr>
            <w:r>
              <w:rPr>
                <w:spacing w:val="-2"/>
                <w:sz w:val="18"/>
                <w:szCs w:val="18"/>
              </w:rPr>
              <w:t>0.004L</w:t>
            </w:r>
          </w:p>
        </w:tc>
        <w:tc>
          <w:tcPr>
            <w:tcW w:w="737" w:type="dxa"/>
            <w:vAlign w:val="top"/>
          </w:tcPr>
          <w:p w14:paraId="2B1B83DA">
            <w:pPr>
              <w:pStyle w:val="6"/>
              <w:spacing w:before="129" w:line="232" w:lineRule="auto"/>
              <w:ind w:left="74"/>
              <w:rPr>
                <w:sz w:val="18"/>
                <w:szCs w:val="18"/>
              </w:rPr>
            </w:pPr>
            <w:r>
              <w:rPr>
                <w:spacing w:val="-1"/>
                <w:sz w:val="18"/>
                <w:szCs w:val="18"/>
              </w:rPr>
              <w:t>0.0025L</w:t>
            </w:r>
          </w:p>
        </w:tc>
        <w:tc>
          <w:tcPr>
            <w:tcW w:w="737" w:type="dxa"/>
            <w:vAlign w:val="top"/>
          </w:tcPr>
          <w:p w14:paraId="16F821FB">
            <w:pPr>
              <w:pStyle w:val="6"/>
              <w:spacing w:before="129" w:line="232" w:lineRule="auto"/>
              <w:ind w:left="130"/>
              <w:rPr>
                <w:sz w:val="18"/>
                <w:szCs w:val="18"/>
              </w:rPr>
            </w:pPr>
            <w:r>
              <w:rPr>
                <w:spacing w:val="-2"/>
                <w:sz w:val="18"/>
                <w:szCs w:val="18"/>
              </w:rPr>
              <w:t>0.0004</w:t>
            </w:r>
          </w:p>
        </w:tc>
        <w:tc>
          <w:tcPr>
            <w:tcW w:w="754" w:type="dxa"/>
            <w:vAlign w:val="top"/>
          </w:tcPr>
          <w:p w14:paraId="288E77DB">
            <w:pPr>
              <w:pStyle w:val="6"/>
              <w:spacing w:before="129" w:line="232" w:lineRule="auto"/>
              <w:ind w:left="139"/>
              <w:rPr>
                <w:sz w:val="18"/>
                <w:szCs w:val="18"/>
              </w:rPr>
            </w:pPr>
            <w:r>
              <w:rPr>
                <w:spacing w:val="-2"/>
                <w:sz w:val="18"/>
                <w:szCs w:val="18"/>
              </w:rPr>
              <w:t>0.0010</w:t>
            </w:r>
          </w:p>
        </w:tc>
        <w:tc>
          <w:tcPr>
            <w:tcW w:w="667" w:type="dxa"/>
            <w:vAlign w:val="top"/>
          </w:tcPr>
          <w:p w14:paraId="68FD2F80">
            <w:pPr>
              <w:pStyle w:val="6"/>
              <w:spacing w:before="129" w:line="232" w:lineRule="auto"/>
              <w:ind w:left="86"/>
              <w:rPr>
                <w:sz w:val="18"/>
                <w:szCs w:val="18"/>
              </w:rPr>
            </w:pPr>
            <w:r>
              <w:rPr>
                <w:spacing w:val="-2"/>
                <w:sz w:val="18"/>
                <w:szCs w:val="18"/>
              </w:rPr>
              <w:t>0.002L</w:t>
            </w:r>
          </w:p>
        </w:tc>
        <w:tc>
          <w:tcPr>
            <w:tcW w:w="544" w:type="dxa"/>
            <w:vAlign w:val="top"/>
          </w:tcPr>
          <w:p w14:paraId="6AD009D2">
            <w:pPr>
              <w:pStyle w:val="6"/>
              <w:spacing w:before="129" w:line="232" w:lineRule="auto"/>
              <w:ind w:left="117"/>
              <w:rPr>
                <w:sz w:val="18"/>
                <w:szCs w:val="18"/>
              </w:rPr>
            </w:pPr>
            <w:r>
              <w:rPr>
                <w:spacing w:val="-2"/>
                <w:sz w:val="18"/>
                <w:szCs w:val="18"/>
              </w:rPr>
              <w:t>0.2L</w:t>
            </w:r>
          </w:p>
        </w:tc>
        <w:tc>
          <w:tcPr>
            <w:tcW w:w="434" w:type="dxa"/>
            <w:vAlign w:val="top"/>
          </w:tcPr>
          <w:p w14:paraId="2335AB8D">
            <w:pPr>
              <w:pStyle w:val="6"/>
              <w:spacing w:before="129" w:line="232" w:lineRule="auto"/>
              <w:ind w:left="62"/>
              <w:rPr>
                <w:sz w:val="18"/>
                <w:szCs w:val="18"/>
              </w:rPr>
            </w:pPr>
            <w:r>
              <w:rPr>
                <w:spacing w:val="-2"/>
                <w:sz w:val="18"/>
                <w:szCs w:val="18"/>
              </w:rPr>
              <w:t>0.5L</w:t>
            </w:r>
          </w:p>
        </w:tc>
        <w:tc>
          <w:tcPr>
            <w:tcW w:w="1015" w:type="dxa"/>
            <w:vAlign w:val="top"/>
          </w:tcPr>
          <w:p w14:paraId="1560BFFA">
            <w:pPr>
              <w:pStyle w:val="6"/>
              <w:spacing w:before="135" w:line="229" w:lineRule="auto"/>
              <w:ind w:left="392"/>
              <w:rPr>
                <w:sz w:val="18"/>
                <w:szCs w:val="18"/>
              </w:rPr>
            </w:pPr>
            <w:r>
              <w:rPr>
                <w:b/>
                <w:bCs/>
                <w:spacing w:val="-3"/>
                <w:sz w:val="18"/>
                <w:szCs w:val="18"/>
              </w:rPr>
              <w:t>120</w:t>
            </w:r>
          </w:p>
        </w:tc>
        <w:tc>
          <w:tcPr>
            <w:tcW w:w="721" w:type="dxa"/>
            <w:tcBorders>
              <w:right w:val="single" w:color="000000" w:sz="12" w:space="0"/>
            </w:tcBorders>
            <w:vAlign w:val="top"/>
          </w:tcPr>
          <w:p w14:paraId="0E9EB794">
            <w:pPr>
              <w:pStyle w:val="6"/>
              <w:spacing w:before="135" w:line="229" w:lineRule="auto"/>
              <w:ind w:left="239"/>
              <w:rPr>
                <w:sz w:val="18"/>
                <w:szCs w:val="18"/>
              </w:rPr>
            </w:pPr>
            <w:r>
              <w:rPr>
                <w:b/>
                <w:bCs/>
                <w:spacing w:val="-3"/>
                <w:sz w:val="18"/>
                <w:szCs w:val="18"/>
              </w:rPr>
              <w:t>184</w:t>
            </w:r>
          </w:p>
        </w:tc>
      </w:tr>
      <w:tr w14:paraId="130FB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07C9BED9">
            <w:pPr>
              <w:rPr>
                <w:rFonts w:ascii="Arial"/>
                <w:sz w:val="21"/>
              </w:rPr>
            </w:pPr>
          </w:p>
        </w:tc>
        <w:tc>
          <w:tcPr>
            <w:tcW w:w="272" w:type="dxa"/>
            <w:vMerge w:val="restart"/>
            <w:tcBorders>
              <w:bottom w:val="nil"/>
            </w:tcBorders>
            <w:vAlign w:val="top"/>
          </w:tcPr>
          <w:p w14:paraId="222D7D0D">
            <w:pPr>
              <w:pStyle w:val="6"/>
              <w:spacing w:before="279" w:line="234" w:lineRule="auto"/>
              <w:ind w:left="33" w:right="55"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004" w:type="dxa"/>
            <w:vAlign w:val="top"/>
          </w:tcPr>
          <w:p w14:paraId="4E645449">
            <w:pPr>
              <w:pStyle w:val="6"/>
              <w:spacing w:before="130" w:line="232" w:lineRule="auto"/>
              <w:ind w:left="167"/>
              <w:rPr>
                <w:sz w:val="18"/>
                <w:szCs w:val="18"/>
              </w:rPr>
            </w:pPr>
            <w:r>
              <w:rPr>
                <w:spacing w:val="-1"/>
                <w:sz w:val="18"/>
                <w:szCs w:val="18"/>
              </w:rPr>
              <w:t>2019/8/6</w:t>
            </w:r>
          </w:p>
        </w:tc>
        <w:tc>
          <w:tcPr>
            <w:tcW w:w="686" w:type="dxa"/>
            <w:vAlign w:val="top"/>
          </w:tcPr>
          <w:p w14:paraId="3059223B">
            <w:pPr>
              <w:pStyle w:val="6"/>
              <w:spacing w:before="136" w:line="183" w:lineRule="auto"/>
              <w:ind w:left="234"/>
              <w:rPr>
                <w:sz w:val="18"/>
                <w:szCs w:val="18"/>
              </w:rPr>
            </w:pPr>
            <w:r>
              <w:rPr>
                <w:spacing w:val="-2"/>
                <w:sz w:val="18"/>
                <w:szCs w:val="18"/>
              </w:rPr>
              <w:t>5L</w:t>
            </w:r>
          </w:p>
        </w:tc>
        <w:tc>
          <w:tcPr>
            <w:tcW w:w="923" w:type="dxa"/>
            <w:vAlign w:val="top"/>
          </w:tcPr>
          <w:p w14:paraId="2AFBE50E">
            <w:pPr>
              <w:pStyle w:val="6"/>
              <w:spacing w:before="130" w:line="232" w:lineRule="auto"/>
              <w:ind w:left="338"/>
              <w:rPr>
                <w:sz w:val="18"/>
                <w:szCs w:val="18"/>
              </w:rPr>
            </w:pPr>
            <w:r>
              <w:rPr>
                <w:spacing w:val="-3"/>
                <w:sz w:val="18"/>
                <w:szCs w:val="18"/>
              </w:rPr>
              <w:t>0.8</w:t>
            </w:r>
          </w:p>
        </w:tc>
        <w:tc>
          <w:tcPr>
            <w:tcW w:w="708" w:type="dxa"/>
            <w:vAlign w:val="top"/>
          </w:tcPr>
          <w:p w14:paraId="07996654">
            <w:pPr>
              <w:pStyle w:val="6"/>
              <w:spacing w:before="130" w:line="232" w:lineRule="auto"/>
              <w:ind w:left="189"/>
              <w:rPr>
                <w:sz w:val="18"/>
                <w:szCs w:val="18"/>
              </w:rPr>
            </w:pPr>
            <w:r>
              <w:rPr>
                <w:spacing w:val="-2"/>
                <w:sz w:val="18"/>
                <w:szCs w:val="18"/>
              </w:rPr>
              <w:t>6.73</w:t>
            </w:r>
          </w:p>
        </w:tc>
        <w:tc>
          <w:tcPr>
            <w:tcW w:w="850" w:type="dxa"/>
            <w:vAlign w:val="top"/>
          </w:tcPr>
          <w:p w14:paraId="14C6A83C">
            <w:pPr>
              <w:pStyle w:val="6"/>
              <w:spacing w:before="130" w:line="232" w:lineRule="auto"/>
              <w:ind w:left="159"/>
              <w:rPr>
                <w:sz w:val="18"/>
                <w:szCs w:val="18"/>
              </w:rPr>
            </w:pPr>
            <w:r>
              <w:rPr>
                <w:spacing w:val="-2"/>
                <w:sz w:val="18"/>
                <w:szCs w:val="18"/>
              </w:rPr>
              <w:t>0.040L</w:t>
            </w:r>
          </w:p>
        </w:tc>
        <w:tc>
          <w:tcPr>
            <w:tcW w:w="761" w:type="dxa"/>
            <w:vAlign w:val="top"/>
          </w:tcPr>
          <w:p w14:paraId="6DD1052E">
            <w:pPr>
              <w:pStyle w:val="6"/>
              <w:spacing w:before="130" w:line="232" w:lineRule="auto"/>
              <w:ind w:left="70"/>
              <w:rPr>
                <w:sz w:val="18"/>
                <w:szCs w:val="18"/>
              </w:rPr>
            </w:pPr>
            <w:r>
              <w:rPr>
                <w:spacing w:val="-1"/>
                <w:sz w:val="18"/>
                <w:szCs w:val="18"/>
              </w:rPr>
              <w:t>0.0045L</w:t>
            </w:r>
          </w:p>
        </w:tc>
        <w:tc>
          <w:tcPr>
            <w:tcW w:w="654" w:type="dxa"/>
            <w:vAlign w:val="top"/>
          </w:tcPr>
          <w:p w14:paraId="20EE4356">
            <w:pPr>
              <w:pStyle w:val="6"/>
              <w:spacing w:before="130" w:line="232" w:lineRule="auto"/>
              <w:ind w:left="73"/>
              <w:rPr>
                <w:sz w:val="18"/>
                <w:szCs w:val="18"/>
              </w:rPr>
            </w:pPr>
            <w:r>
              <w:rPr>
                <w:spacing w:val="-2"/>
                <w:sz w:val="18"/>
                <w:szCs w:val="18"/>
              </w:rPr>
              <w:t>0.0037</w:t>
            </w:r>
          </w:p>
        </w:tc>
        <w:tc>
          <w:tcPr>
            <w:tcW w:w="708" w:type="dxa"/>
            <w:vAlign w:val="top"/>
          </w:tcPr>
          <w:p w14:paraId="6948AFFD">
            <w:pPr>
              <w:pStyle w:val="6"/>
              <w:spacing w:before="130" w:line="232" w:lineRule="auto"/>
              <w:ind w:left="91"/>
              <w:rPr>
                <w:sz w:val="18"/>
                <w:szCs w:val="18"/>
              </w:rPr>
            </w:pPr>
            <w:r>
              <w:rPr>
                <w:spacing w:val="-2"/>
                <w:sz w:val="18"/>
                <w:szCs w:val="18"/>
              </w:rPr>
              <w:t>0.009L</w:t>
            </w:r>
          </w:p>
        </w:tc>
        <w:tc>
          <w:tcPr>
            <w:tcW w:w="707" w:type="dxa"/>
            <w:vAlign w:val="top"/>
          </w:tcPr>
          <w:p w14:paraId="5EDEE601">
            <w:pPr>
              <w:pStyle w:val="6"/>
              <w:spacing w:before="130" w:line="232" w:lineRule="auto"/>
              <w:ind w:left="92"/>
              <w:rPr>
                <w:sz w:val="18"/>
                <w:szCs w:val="18"/>
              </w:rPr>
            </w:pPr>
            <w:r>
              <w:rPr>
                <w:spacing w:val="-2"/>
                <w:sz w:val="18"/>
                <w:szCs w:val="18"/>
              </w:rPr>
              <w:t>0.001L</w:t>
            </w:r>
          </w:p>
        </w:tc>
        <w:tc>
          <w:tcPr>
            <w:tcW w:w="766" w:type="dxa"/>
            <w:vAlign w:val="top"/>
          </w:tcPr>
          <w:p w14:paraId="33EF6BC5">
            <w:pPr>
              <w:pStyle w:val="6"/>
              <w:spacing w:before="130" w:line="232" w:lineRule="auto"/>
              <w:ind w:left="238"/>
              <w:rPr>
                <w:sz w:val="18"/>
                <w:szCs w:val="18"/>
              </w:rPr>
            </w:pPr>
            <w:r>
              <w:rPr>
                <w:spacing w:val="-6"/>
                <w:sz w:val="18"/>
                <w:szCs w:val="18"/>
              </w:rPr>
              <w:t>16.8</w:t>
            </w:r>
          </w:p>
        </w:tc>
        <w:tc>
          <w:tcPr>
            <w:tcW w:w="595" w:type="dxa"/>
            <w:vAlign w:val="top"/>
          </w:tcPr>
          <w:p w14:paraId="3BC82906">
            <w:pPr>
              <w:pStyle w:val="6"/>
              <w:spacing w:before="130" w:line="232" w:lineRule="auto"/>
              <w:ind w:left="183"/>
              <w:rPr>
                <w:sz w:val="18"/>
                <w:szCs w:val="18"/>
              </w:rPr>
            </w:pPr>
            <w:r>
              <w:rPr>
                <w:spacing w:val="-3"/>
                <w:sz w:val="18"/>
                <w:szCs w:val="18"/>
              </w:rPr>
              <w:t>7.2</w:t>
            </w:r>
          </w:p>
        </w:tc>
        <w:tc>
          <w:tcPr>
            <w:tcW w:w="955" w:type="dxa"/>
            <w:vAlign w:val="top"/>
          </w:tcPr>
          <w:p w14:paraId="0182357F">
            <w:pPr>
              <w:pStyle w:val="6"/>
              <w:spacing w:before="130" w:line="232" w:lineRule="auto"/>
              <w:ind w:left="340"/>
              <w:rPr>
                <w:sz w:val="18"/>
                <w:szCs w:val="18"/>
              </w:rPr>
            </w:pPr>
            <w:r>
              <w:rPr>
                <w:spacing w:val="-1"/>
                <w:sz w:val="18"/>
                <w:szCs w:val="18"/>
              </w:rPr>
              <w:t>274</w:t>
            </w:r>
          </w:p>
        </w:tc>
        <w:tc>
          <w:tcPr>
            <w:tcW w:w="506" w:type="dxa"/>
            <w:vAlign w:val="top"/>
          </w:tcPr>
          <w:p w14:paraId="055C90C2">
            <w:pPr>
              <w:pStyle w:val="6"/>
              <w:spacing w:before="131" w:line="232" w:lineRule="auto"/>
              <w:ind w:left="134"/>
              <w:rPr>
                <w:sz w:val="18"/>
                <w:szCs w:val="18"/>
              </w:rPr>
            </w:pPr>
            <w:r>
              <w:rPr>
                <w:spacing w:val="-5"/>
                <w:sz w:val="18"/>
                <w:szCs w:val="18"/>
              </w:rPr>
              <w:t>164</w:t>
            </w:r>
          </w:p>
        </w:tc>
        <w:tc>
          <w:tcPr>
            <w:tcW w:w="707" w:type="dxa"/>
            <w:vAlign w:val="top"/>
          </w:tcPr>
          <w:p w14:paraId="23190D88">
            <w:pPr>
              <w:pStyle w:val="6"/>
              <w:spacing w:before="130" w:line="232" w:lineRule="auto"/>
              <w:ind w:left="197"/>
              <w:rPr>
                <w:sz w:val="18"/>
                <w:szCs w:val="18"/>
              </w:rPr>
            </w:pPr>
            <w:r>
              <w:rPr>
                <w:spacing w:val="-2"/>
                <w:sz w:val="18"/>
                <w:szCs w:val="18"/>
              </w:rPr>
              <w:t>0.80</w:t>
            </w:r>
          </w:p>
        </w:tc>
        <w:tc>
          <w:tcPr>
            <w:tcW w:w="708" w:type="dxa"/>
            <w:vAlign w:val="top"/>
          </w:tcPr>
          <w:p w14:paraId="053A7379">
            <w:pPr>
              <w:pStyle w:val="6"/>
              <w:spacing w:before="130" w:line="232" w:lineRule="auto"/>
              <w:ind w:left="99"/>
              <w:rPr>
                <w:sz w:val="18"/>
                <w:szCs w:val="18"/>
              </w:rPr>
            </w:pPr>
            <w:r>
              <w:rPr>
                <w:spacing w:val="-2"/>
                <w:sz w:val="18"/>
                <w:szCs w:val="18"/>
              </w:rPr>
              <w:t>0.002L</w:t>
            </w:r>
          </w:p>
        </w:tc>
        <w:tc>
          <w:tcPr>
            <w:tcW w:w="663" w:type="dxa"/>
            <w:vAlign w:val="top"/>
          </w:tcPr>
          <w:p w14:paraId="38F70981">
            <w:pPr>
              <w:pStyle w:val="6"/>
              <w:spacing w:before="130" w:line="232" w:lineRule="auto"/>
              <w:ind w:left="78"/>
              <w:rPr>
                <w:sz w:val="18"/>
                <w:szCs w:val="18"/>
              </w:rPr>
            </w:pPr>
            <w:r>
              <w:rPr>
                <w:spacing w:val="-2"/>
                <w:sz w:val="18"/>
                <w:szCs w:val="18"/>
              </w:rPr>
              <w:t>0.050L</w:t>
            </w:r>
          </w:p>
        </w:tc>
        <w:tc>
          <w:tcPr>
            <w:tcW w:w="664" w:type="dxa"/>
            <w:vAlign w:val="top"/>
          </w:tcPr>
          <w:p w14:paraId="753E0D43">
            <w:pPr>
              <w:pStyle w:val="6"/>
              <w:spacing w:before="130" w:line="232" w:lineRule="auto"/>
              <w:ind w:left="134"/>
              <w:rPr>
                <w:sz w:val="18"/>
                <w:szCs w:val="18"/>
              </w:rPr>
            </w:pPr>
            <w:r>
              <w:rPr>
                <w:spacing w:val="-2"/>
                <w:sz w:val="18"/>
                <w:szCs w:val="18"/>
              </w:rPr>
              <w:t>0.004</w:t>
            </w:r>
          </w:p>
        </w:tc>
        <w:tc>
          <w:tcPr>
            <w:tcW w:w="782" w:type="dxa"/>
            <w:vAlign w:val="top"/>
          </w:tcPr>
          <w:p w14:paraId="00C435DB">
            <w:pPr>
              <w:pStyle w:val="6"/>
              <w:spacing w:before="130" w:line="232" w:lineRule="auto"/>
              <w:ind w:left="93"/>
              <w:rPr>
                <w:sz w:val="18"/>
                <w:szCs w:val="18"/>
              </w:rPr>
            </w:pPr>
            <w:r>
              <w:rPr>
                <w:spacing w:val="-1"/>
                <w:sz w:val="18"/>
                <w:szCs w:val="18"/>
              </w:rPr>
              <w:t>0.0005L</w:t>
            </w:r>
          </w:p>
        </w:tc>
        <w:tc>
          <w:tcPr>
            <w:tcW w:w="663" w:type="dxa"/>
            <w:vAlign w:val="top"/>
          </w:tcPr>
          <w:p w14:paraId="11D2DDAC">
            <w:pPr>
              <w:pStyle w:val="6"/>
              <w:spacing w:before="130" w:line="232" w:lineRule="auto"/>
              <w:ind w:left="81"/>
              <w:rPr>
                <w:sz w:val="18"/>
                <w:szCs w:val="18"/>
              </w:rPr>
            </w:pPr>
            <w:r>
              <w:rPr>
                <w:spacing w:val="-2"/>
                <w:sz w:val="18"/>
                <w:szCs w:val="18"/>
              </w:rPr>
              <w:t>0.004L</w:t>
            </w:r>
          </w:p>
        </w:tc>
        <w:tc>
          <w:tcPr>
            <w:tcW w:w="737" w:type="dxa"/>
            <w:vAlign w:val="top"/>
          </w:tcPr>
          <w:p w14:paraId="2A10BD32">
            <w:pPr>
              <w:pStyle w:val="6"/>
              <w:spacing w:before="130" w:line="232" w:lineRule="auto"/>
              <w:ind w:left="74"/>
              <w:rPr>
                <w:sz w:val="18"/>
                <w:szCs w:val="18"/>
              </w:rPr>
            </w:pPr>
            <w:r>
              <w:rPr>
                <w:spacing w:val="-1"/>
                <w:sz w:val="18"/>
                <w:szCs w:val="18"/>
              </w:rPr>
              <w:t>0.0025L</w:t>
            </w:r>
          </w:p>
        </w:tc>
        <w:tc>
          <w:tcPr>
            <w:tcW w:w="737" w:type="dxa"/>
            <w:vAlign w:val="top"/>
          </w:tcPr>
          <w:p w14:paraId="680238E0">
            <w:pPr>
              <w:pStyle w:val="6"/>
              <w:spacing w:before="130" w:line="232" w:lineRule="auto"/>
              <w:ind w:left="130"/>
              <w:rPr>
                <w:sz w:val="18"/>
                <w:szCs w:val="18"/>
              </w:rPr>
            </w:pPr>
            <w:r>
              <w:rPr>
                <w:spacing w:val="-2"/>
                <w:sz w:val="18"/>
                <w:szCs w:val="18"/>
              </w:rPr>
              <w:t>0.0002</w:t>
            </w:r>
          </w:p>
        </w:tc>
        <w:tc>
          <w:tcPr>
            <w:tcW w:w="754" w:type="dxa"/>
            <w:vAlign w:val="top"/>
          </w:tcPr>
          <w:p w14:paraId="77613E0E">
            <w:pPr>
              <w:pStyle w:val="6"/>
              <w:spacing w:before="130" w:line="232" w:lineRule="auto"/>
              <w:ind w:left="84"/>
              <w:rPr>
                <w:sz w:val="18"/>
                <w:szCs w:val="18"/>
              </w:rPr>
            </w:pPr>
            <w:r>
              <w:rPr>
                <w:spacing w:val="-1"/>
                <w:sz w:val="18"/>
                <w:szCs w:val="18"/>
              </w:rPr>
              <w:t>0.0004L</w:t>
            </w:r>
          </w:p>
        </w:tc>
        <w:tc>
          <w:tcPr>
            <w:tcW w:w="667" w:type="dxa"/>
            <w:vAlign w:val="top"/>
          </w:tcPr>
          <w:p w14:paraId="047689C0">
            <w:pPr>
              <w:pStyle w:val="6"/>
              <w:spacing w:before="130" w:line="232" w:lineRule="auto"/>
              <w:ind w:left="86"/>
              <w:rPr>
                <w:sz w:val="18"/>
                <w:szCs w:val="18"/>
              </w:rPr>
            </w:pPr>
            <w:r>
              <w:rPr>
                <w:spacing w:val="-1"/>
                <w:sz w:val="18"/>
                <w:szCs w:val="18"/>
              </w:rPr>
              <w:t>0.002L</w:t>
            </w:r>
          </w:p>
        </w:tc>
        <w:tc>
          <w:tcPr>
            <w:tcW w:w="544" w:type="dxa"/>
            <w:vAlign w:val="top"/>
          </w:tcPr>
          <w:p w14:paraId="2AEEB0C6">
            <w:pPr>
              <w:pStyle w:val="6"/>
              <w:spacing w:before="130" w:line="232" w:lineRule="auto"/>
              <w:ind w:left="117"/>
              <w:rPr>
                <w:sz w:val="18"/>
                <w:szCs w:val="18"/>
              </w:rPr>
            </w:pPr>
            <w:r>
              <w:rPr>
                <w:spacing w:val="-2"/>
                <w:sz w:val="18"/>
                <w:szCs w:val="18"/>
              </w:rPr>
              <w:t>0.2L</w:t>
            </w:r>
          </w:p>
        </w:tc>
        <w:tc>
          <w:tcPr>
            <w:tcW w:w="434" w:type="dxa"/>
            <w:vAlign w:val="top"/>
          </w:tcPr>
          <w:p w14:paraId="1863453F">
            <w:pPr>
              <w:pStyle w:val="6"/>
              <w:spacing w:before="130" w:line="232" w:lineRule="auto"/>
              <w:ind w:left="62"/>
              <w:rPr>
                <w:sz w:val="18"/>
                <w:szCs w:val="18"/>
              </w:rPr>
            </w:pPr>
            <w:r>
              <w:rPr>
                <w:spacing w:val="-2"/>
                <w:sz w:val="18"/>
                <w:szCs w:val="18"/>
              </w:rPr>
              <w:t>0.5L</w:t>
            </w:r>
          </w:p>
        </w:tc>
        <w:tc>
          <w:tcPr>
            <w:tcW w:w="1015" w:type="dxa"/>
            <w:vAlign w:val="top"/>
          </w:tcPr>
          <w:p w14:paraId="137202A8">
            <w:pPr>
              <w:pStyle w:val="6"/>
              <w:spacing w:before="130" w:line="232" w:lineRule="auto"/>
              <w:ind w:left="489"/>
              <w:rPr>
                <w:sz w:val="18"/>
                <w:szCs w:val="18"/>
              </w:rPr>
            </w:pPr>
            <w:r>
              <w:rPr>
                <w:sz w:val="18"/>
                <w:szCs w:val="18"/>
              </w:rPr>
              <w:t>/</w:t>
            </w:r>
          </w:p>
        </w:tc>
        <w:tc>
          <w:tcPr>
            <w:tcW w:w="721" w:type="dxa"/>
            <w:tcBorders>
              <w:right w:val="single" w:color="000000" w:sz="12" w:space="0"/>
            </w:tcBorders>
            <w:vAlign w:val="top"/>
          </w:tcPr>
          <w:p w14:paraId="33379DFD">
            <w:pPr>
              <w:pStyle w:val="6"/>
              <w:spacing w:before="131" w:line="232" w:lineRule="auto"/>
              <w:ind w:left="278"/>
              <w:rPr>
                <w:sz w:val="18"/>
                <w:szCs w:val="18"/>
              </w:rPr>
            </w:pPr>
            <w:r>
              <w:rPr>
                <w:spacing w:val="-2"/>
                <w:sz w:val="18"/>
                <w:szCs w:val="18"/>
              </w:rPr>
              <w:t>30</w:t>
            </w:r>
          </w:p>
        </w:tc>
      </w:tr>
      <w:tr w14:paraId="4696E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6614323E">
            <w:pPr>
              <w:rPr>
                <w:rFonts w:ascii="Arial"/>
                <w:sz w:val="21"/>
              </w:rPr>
            </w:pPr>
          </w:p>
        </w:tc>
        <w:tc>
          <w:tcPr>
            <w:tcW w:w="272" w:type="dxa"/>
            <w:vMerge w:val="continue"/>
            <w:tcBorders>
              <w:top w:val="nil"/>
              <w:bottom w:val="nil"/>
            </w:tcBorders>
            <w:vAlign w:val="top"/>
          </w:tcPr>
          <w:p w14:paraId="5CC6FD6B">
            <w:pPr>
              <w:rPr>
                <w:rFonts w:ascii="Arial"/>
                <w:sz w:val="21"/>
              </w:rPr>
            </w:pPr>
          </w:p>
        </w:tc>
        <w:tc>
          <w:tcPr>
            <w:tcW w:w="1004" w:type="dxa"/>
            <w:vAlign w:val="top"/>
          </w:tcPr>
          <w:p w14:paraId="51F189E3">
            <w:pPr>
              <w:pStyle w:val="6"/>
              <w:spacing w:before="133" w:line="232" w:lineRule="auto"/>
              <w:ind w:left="167"/>
              <w:rPr>
                <w:sz w:val="18"/>
                <w:szCs w:val="18"/>
              </w:rPr>
            </w:pPr>
            <w:r>
              <w:rPr>
                <w:spacing w:val="-1"/>
                <w:sz w:val="18"/>
                <w:szCs w:val="18"/>
              </w:rPr>
              <w:t>2019/8/7</w:t>
            </w:r>
          </w:p>
        </w:tc>
        <w:tc>
          <w:tcPr>
            <w:tcW w:w="686" w:type="dxa"/>
            <w:vAlign w:val="top"/>
          </w:tcPr>
          <w:p w14:paraId="565655F2">
            <w:pPr>
              <w:pStyle w:val="6"/>
              <w:spacing w:before="138" w:line="183" w:lineRule="auto"/>
              <w:ind w:left="234"/>
              <w:rPr>
                <w:sz w:val="18"/>
                <w:szCs w:val="18"/>
              </w:rPr>
            </w:pPr>
            <w:r>
              <w:rPr>
                <w:spacing w:val="-2"/>
                <w:sz w:val="18"/>
                <w:szCs w:val="18"/>
              </w:rPr>
              <w:t>5L</w:t>
            </w:r>
          </w:p>
        </w:tc>
        <w:tc>
          <w:tcPr>
            <w:tcW w:w="923" w:type="dxa"/>
            <w:vAlign w:val="top"/>
          </w:tcPr>
          <w:p w14:paraId="52CB4151">
            <w:pPr>
              <w:pStyle w:val="6"/>
              <w:spacing w:before="133" w:line="232" w:lineRule="auto"/>
              <w:ind w:left="338"/>
              <w:rPr>
                <w:sz w:val="18"/>
                <w:szCs w:val="18"/>
              </w:rPr>
            </w:pPr>
            <w:r>
              <w:rPr>
                <w:spacing w:val="-3"/>
                <w:sz w:val="18"/>
                <w:szCs w:val="18"/>
              </w:rPr>
              <w:t>0.8</w:t>
            </w:r>
          </w:p>
        </w:tc>
        <w:tc>
          <w:tcPr>
            <w:tcW w:w="708" w:type="dxa"/>
            <w:vAlign w:val="top"/>
          </w:tcPr>
          <w:p w14:paraId="4310DE7D">
            <w:pPr>
              <w:pStyle w:val="6"/>
              <w:spacing w:before="133" w:line="232" w:lineRule="auto"/>
              <w:ind w:left="189"/>
              <w:rPr>
                <w:sz w:val="18"/>
                <w:szCs w:val="18"/>
              </w:rPr>
            </w:pPr>
            <w:r>
              <w:rPr>
                <w:spacing w:val="-2"/>
                <w:sz w:val="18"/>
                <w:szCs w:val="18"/>
              </w:rPr>
              <w:t>6.69</w:t>
            </w:r>
          </w:p>
        </w:tc>
        <w:tc>
          <w:tcPr>
            <w:tcW w:w="850" w:type="dxa"/>
            <w:vAlign w:val="top"/>
          </w:tcPr>
          <w:p w14:paraId="54E8AD84">
            <w:pPr>
              <w:pStyle w:val="6"/>
              <w:spacing w:before="133" w:line="232" w:lineRule="auto"/>
              <w:ind w:left="159"/>
              <w:rPr>
                <w:sz w:val="18"/>
                <w:szCs w:val="18"/>
              </w:rPr>
            </w:pPr>
            <w:r>
              <w:rPr>
                <w:spacing w:val="-2"/>
                <w:sz w:val="18"/>
                <w:szCs w:val="18"/>
              </w:rPr>
              <w:t>0.040L</w:t>
            </w:r>
          </w:p>
        </w:tc>
        <w:tc>
          <w:tcPr>
            <w:tcW w:w="761" w:type="dxa"/>
            <w:vAlign w:val="top"/>
          </w:tcPr>
          <w:p w14:paraId="3C668E2A">
            <w:pPr>
              <w:pStyle w:val="6"/>
              <w:spacing w:before="133" w:line="232" w:lineRule="auto"/>
              <w:ind w:left="70"/>
              <w:rPr>
                <w:sz w:val="18"/>
                <w:szCs w:val="18"/>
              </w:rPr>
            </w:pPr>
            <w:r>
              <w:rPr>
                <w:spacing w:val="-1"/>
                <w:sz w:val="18"/>
                <w:szCs w:val="18"/>
              </w:rPr>
              <w:t>0.0045L</w:t>
            </w:r>
          </w:p>
        </w:tc>
        <w:tc>
          <w:tcPr>
            <w:tcW w:w="654" w:type="dxa"/>
            <w:vAlign w:val="top"/>
          </w:tcPr>
          <w:p w14:paraId="19519C91">
            <w:pPr>
              <w:pStyle w:val="6"/>
              <w:spacing w:before="133" w:line="232" w:lineRule="auto"/>
              <w:ind w:left="73"/>
              <w:rPr>
                <w:sz w:val="18"/>
                <w:szCs w:val="18"/>
              </w:rPr>
            </w:pPr>
            <w:r>
              <w:rPr>
                <w:spacing w:val="-2"/>
                <w:sz w:val="18"/>
                <w:szCs w:val="18"/>
              </w:rPr>
              <w:t>0.0038</w:t>
            </w:r>
          </w:p>
        </w:tc>
        <w:tc>
          <w:tcPr>
            <w:tcW w:w="708" w:type="dxa"/>
            <w:vAlign w:val="top"/>
          </w:tcPr>
          <w:p w14:paraId="463637A8">
            <w:pPr>
              <w:pStyle w:val="6"/>
              <w:spacing w:before="133" w:line="232" w:lineRule="auto"/>
              <w:ind w:left="91"/>
              <w:rPr>
                <w:sz w:val="18"/>
                <w:szCs w:val="18"/>
              </w:rPr>
            </w:pPr>
            <w:r>
              <w:rPr>
                <w:spacing w:val="-2"/>
                <w:sz w:val="18"/>
                <w:szCs w:val="18"/>
              </w:rPr>
              <w:t>0.009L</w:t>
            </w:r>
          </w:p>
        </w:tc>
        <w:tc>
          <w:tcPr>
            <w:tcW w:w="707" w:type="dxa"/>
            <w:vAlign w:val="top"/>
          </w:tcPr>
          <w:p w14:paraId="41B5D48B">
            <w:pPr>
              <w:pStyle w:val="6"/>
              <w:spacing w:before="133" w:line="232" w:lineRule="auto"/>
              <w:ind w:left="92"/>
              <w:rPr>
                <w:sz w:val="18"/>
                <w:szCs w:val="18"/>
              </w:rPr>
            </w:pPr>
            <w:r>
              <w:rPr>
                <w:spacing w:val="-2"/>
                <w:sz w:val="18"/>
                <w:szCs w:val="18"/>
              </w:rPr>
              <w:t>0.001L</w:t>
            </w:r>
          </w:p>
        </w:tc>
        <w:tc>
          <w:tcPr>
            <w:tcW w:w="766" w:type="dxa"/>
            <w:vAlign w:val="top"/>
          </w:tcPr>
          <w:p w14:paraId="27554CB2">
            <w:pPr>
              <w:pStyle w:val="6"/>
              <w:spacing w:before="133" w:line="232" w:lineRule="auto"/>
              <w:ind w:left="238"/>
              <w:rPr>
                <w:sz w:val="18"/>
                <w:szCs w:val="18"/>
              </w:rPr>
            </w:pPr>
            <w:r>
              <w:rPr>
                <w:spacing w:val="-6"/>
                <w:sz w:val="18"/>
                <w:szCs w:val="18"/>
              </w:rPr>
              <w:t>16.3</w:t>
            </w:r>
          </w:p>
        </w:tc>
        <w:tc>
          <w:tcPr>
            <w:tcW w:w="595" w:type="dxa"/>
            <w:vAlign w:val="top"/>
          </w:tcPr>
          <w:p w14:paraId="6C4FB961">
            <w:pPr>
              <w:pStyle w:val="6"/>
              <w:spacing w:before="133" w:line="232" w:lineRule="auto"/>
              <w:ind w:left="183"/>
              <w:rPr>
                <w:sz w:val="18"/>
                <w:szCs w:val="18"/>
              </w:rPr>
            </w:pPr>
            <w:r>
              <w:rPr>
                <w:spacing w:val="-3"/>
                <w:sz w:val="18"/>
                <w:szCs w:val="18"/>
              </w:rPr>
              <w:t>7.8</w:t>
            </w:r>
          </w:p>
        </w:tc>
        <w:tc>
          <w:tcPr>
            <w:tcW w:w="955" w:type="dxa"/>
            <w:vAlign w:val="top"/>
          </w:tcPr>
          <w:p w14:paraId="5C65E013">
            <w:pPr>
              <w:pStyle w:val="6"/>
              <w:spacing w:before="133" w:line="232" w:lineRule="auto"/>
              <w:ind w:left="340"/>
              <w:rPr>
                <w:sz w:val="18"/>
                <w:szCs w:val="18"/>
              </w:rPr>
            </w:pPr>
            <w:r>
              <w:rPr>
                <w:spacing w:val="-1"/>
                <w:sz w:val="18"/>
                <w:szCs w:val="18"/>
              </w:rPr>
              <w:t>251</w:t>
            </w:r>
          </w:p>
        </w:tc>
        <w:tc>
          <w:tcPr>
            <w:tcW w:w="506" w:type="dxa"/>
            <w:vAlign w:val="top"/>
          </w:tcPr>
          <w:p w14:paraId="2283FAF9">
            <w:pPr>
              <w:pStyle w:val="6"/>
              <w:spacing w:before="133" w:line="232" w:lineRule="auto"/>
              <w:ind w:left="134"/>
              <w:rPr>
                <w:sz w:val="18"/>
                <w:szCs w:val="18"/>
              </w:rPr>
            </w:pPr>
            <w:r>
              <w:rPr>
                <w:spacing w:val="-5"/>
                <w:sz w:val="18"/>
                <w:szCs w:val="18"/>
              </w:rPr>
              <w:t>139</w:t>
            </w:r>
          </w:p>
        </w:tc>
        <w:tc>
          <w:tcPr>
            <w:tcW w:w="707" w:type="dxa"/>
            <w:vAlign w:val="top"/>
          </w:tcPr>
          <w:p w14:paraId="4AA04596">
            <w:pPr>
              <w:pStyle w:val="6"/>
              <w:spacing w:before="133" w:line="232" w:lineRule="auto"/>
              <w:ind w:left="197"/>
              <w:rPr>
                <w:sz w:val="18"/>
                <w:szCs w:val="18"/>
              </w:rPr>
            </w:pPr>
            <w:r>
              <w:rPr>
                <w:spacing w:val="-2"/>
                <w:sz w:val="18"/>
                <w:szCs w:val="18"/>
              </w:rPr>
              <w:t>0.75</w:t>
            </w:r>
          </w:p>
        </w:tc>
        <w:tc>
          <w:tcPr>
            <w:tcW w:w="708" w:type="dxa"/>
            <w:vAlign w:val="top"/>
          </w:tcPr>
          <w:p w14:paraId="0EB5DA5A">
            <w:pPr>
              <w:pStyle w:val="6"/>
              <w:spacing w:before="133" w:line="232" w:lineRule="auto"/>
              <w:ind w:left="99"/>
              <w:rPr>
                <w:sz w:val="18"/>
                <w:szCs w:val="18"/>
              </w:rPr>
            </w:pPr>
            <w:r>
              <w:rPr>
                <w:spacing w:val="-2"/>
                <w:sz w:val="18"/>
                <w:szCs w:val="18"/>
              </w:rPr>
              <w:t>0.002L</w:t>
            </w:r>
          </w:p>
        </w:tc>
        <w:tc>
          <w:tcPr>
            <w:tcW w:w="663" w:type="dxa"/>
            <w:vAlign w:val="top"/>
          </w:tcPr>
          <w:p w14:paraId="6378EC81">
            <w:pPr>
              <w:pStyle w:val="6"/>
              <w:spacing w:before="133" w:line="232" w:lineRule="auto"/>
              <w:ind w:left="78"/>
              <w:rPr>
                <w:sz w:val="18"/>
                <w:szCs w:val="18"/>
              </w:rPr>
            </w:pPr>
            <w:r>
              <w:rPr>
                <w:spacing w:val="-2"/>
                <w:sz w:val="18"/>
                <w:szCs w:val="18"/>
              </w:rPr>
              <w:t>0.050L</w:t>
            </w:r>
          </w:p>
        </w:tc>
        <w:tc>
          <w:tcPr>
            <w:tcW w:w="664" w:type="dxa"/>
            <w:vAlign w:val="top"/>
          </w:tcPr>
          <w:p w14:paraId="3A572594">
            <w:pPr>
              <w:pStyle w:val="6"/>
              <w:spacing w:before="133" w:line="232" w:lineRule="auto"/>
              <w:ind w:left="134"/>
              <w:rPr>
                <w:sz w:val="18"/>
                <w:szCs w:val="18"/>
              </w:rPr>
            </w:pPr>
            <w:r>
              <w:rPr>
                <w:spacing w:val="-2"/>
                <w:sz w:val="18"/>
                <w:szCs w:val="18"/>
              </w:rPr>
              <w:t>0.004</w:t>
            </w:r>
          </w:p>
        </w:tc>
        <w:tc>
          <w:tcPr>
            <w:tcW w:w="782" w:type="dxa"/>
            <w:vAlign w:val="top"/>
          </w:tcPr>
          <w:p w14:paraId="445BC2A7">
            <w:pPr>
              <w:pStyle w:val="6"/>
              <w:spacing w:before="133" w:line="232" w:lineRule="auto"/>
              <w:ind w:left="93"/>
              <w:rPr>
                <w:sz w:val="18"/>
                <w:szCs w:val="18"/>
              </w:rPr>
            </w:pPr>
            <w:r>
              <w:rPr>
                <w:spacing w:val="-1"/>
                <w:sz w:val="18"/>
                <w:szCs w:val="18"/>
              </w:rPr>
              <w:t>0.0005L</w:t>
            </w:r>
          </w:p>
        </w:tc>
        <w:tc>
          <w:tcPr>
            <w:tcW w:w="663" w:type="dxa"/>
            <w:vAlign w:val="top"/>
          </w:tcPr>
          <w:p w14:paraId="4CFF74A4">
            <w:pPr>
              <w:pStyle w:val="6"/>
              <w:spacing w:before="133" w:line="232" w:lineRule="auto"/>
              <w:ind w:left="81"/>
              <w:rPr>
                <w:sz w:val="18"/>
                <w:szCs w:val="18"/>
              </w:rPr>
            </w:pPr>
            <w:r>
              <w:rPr>
                <w:spacing w:val="-2"/>
                <w:sz w:val="18"/>
                <w:szCs w:val="18"/>
              </w:rPr>
              <w:t>0.004L</w:t>
            </w:r>
          </w:p>
        </w:tc>
        <w:tc>
          <w:tcPr>
            <w:tcW w:w="737" w:type="dxa"/>
            <w:vAlign w:val="top"/>
          </w:tcPr>
          <w:p w14:paraId="402C9F0C">
            <w:pPr>
              <w:pStyle w:val="6"/>
              <w:spacing w:before="133" w:line="232" w:lineRule="auto"/>
              <w:ind w:left="74"/>
              <w:rPr>
                <w:sz w:val="18"/>
                <w:szCs w:val="18"/>
              </w:rPr>
            </w:pPr>
            <w:r>
              <w:rPr>
                <w:spacing w:val="-1"/>
                <w:sz w:val="18"/>
                <w:szCs w:val="18"/>
              </w:rPr>
              <w:t>0.0025L</w:t>
            </w:r>
          </w:p>
        </w:tc>
        <w:tc>
          <w:tcPr>
            <w:tcW w:w="737" w:type="dxa"/>
            <w:vAlign w:val="top"/>
          </w:tcPr>
          <w:p w14:paraId="7B230C22">
            <w:pPr>
              <w:pStyle w:val="6"/>
              <w:spacing w:before="133" w:line="232" w:lineRule="auto"/>
              <w:ind w:left="130"/>
              <w:rPr>
                <w:sz w:val="18"/>
                <w:szCs w:val="18"/>
              </w:rPr>
            </w:pPr>
            <w:r>
              <w:rPr>
                <w:spacing w:val="-2"/>
                <w:sz w:val="18"/>
                <w:szCs w:val="18"/>
              </w:rPr>
              <w:t>0.0002</w:t>
            </w:r>
          </w:p>
        </w:tc>
        <w:tc>
          <w:tcPr>
            <w:tcW w:w="754" w:type="dxa"/>
            <w:vAlign w:val="top"/>
          </w:tcPr>
          <w:p w14:paraId="424E4276">
            <w:pPr>
              <w:pStyle w:val="6"/>
              <w:spacing w:before="133" w:line="232" w:lineRule="auto"/>
              <w:ind w:left="84"/>
              <w:rPr>
                <w:sz w:val="18"/>
                <w:szCs w:val="18"/>
              </w:rPr>
            </w:pPr>
            <w:r>
              <w:rPr>
                <w:spacing w:val="-1"/>
                <w:sz w:val="18"/>
                <w:szCs w:val="18"/>
              </w:rPr>
              <w:t>0.0004L</w:t>
            </w:r>
          </w:p>
        </w:tc>
        <w:tc>
          <w:tcPr>
            <w:tcW w:w="667" w:type="dxa"/>
            <w:vAlign w:val="top"/>
          </w:tcPr>
          <w:p w14:paraId="1692B850">
            <w:pPr>
              <w:pStyle w:val="6"/>
              <w:spacing w:before="133" w:line="232" w:lineRule="auto"/>
              <w:ind w:left="86"/>
              <w:rPr>
                <w:sz w:val="18"/>
                <w:szCs w:val="18"/>
              </w:rPr>
            </w:pPr>
            <w:r>
              <w:rPr>
                <w:spacing w:val="-2"/>
                <w:sz w:val="18"/>
                <w:szCs w:val="18"/>
              </w:rPr>
              <w:t>0.002L</w:t>
            </w:r>
          </w:p>
        </w:tc>
        <w:tc>
          <w:tcPr>
            <w:tcW w:w="544" w:type="dxa"/>
            <w:vAlign w:val="top"/>
          </w:tcPr>
          <w:p w14:paraId="531657FE">
            <w:pPr>
              <w:pStyle w:val="6"/>
              <w:spacing w:before="133" w:line="232" w:lineRule="auto"/>
              <w:ind w:left="117"/>
              <w:rPr>
                <w:sz w:val="18"/>
                <w:szCs w:val="18"/>
              </w:rPr>
            </w:pPr>
            <w:r>
              <w:rPr>
                <w:spacing w:val="-2"/>
                <w:sz w:val="18"/>
                <w:szCs w:val="18"/>
              </w:rPr>
              <w:t>0.2L</w:t>
            </w:r>
          </w:p>
        </w:tc>
        <w:tc>
          <w:tcPr>
            <w:tcW w:w="434" w:type="dxa"/>
            <w:vAlign w:val="top"/>
          </w:tcPr>
          <w:p w14:paraId="1E64BBA3">
            <w:pPr>
              <w:pStyle w:val="6"/>
              <w:spacing w:before="133" w:line="232" w:lineRule="auto"/>
              <w:ind w:left="62"/>
              <w:rPr>
                <w:sz w:val="18"/>
                <w:szCs w:val="18"/>
              </w:rPr>
            </w:pPr>
            <w:r>
              <w:rPr>
                <w:spacing w:val="-2"/>
                <w:sz w:val="18"/>
                <w:szCs w:val="18"/>
              </w:rPr>
              <w:t>0.5L</w:t>
            </w:r>
          </w:p>
        </w:tc>
        <w:tc>
          <w:tcPr>
            <w:tcW w:w="1015" w:type="dxa"/>
            <w:vAlign w:val="top"/>
          </w:tcPr>
          <w:p w14:paraId="121F025D">
            <w:pPr>
              <w:pStyle w:val="6"/>
              <w:spacing w:before="133" w:line="232" w:lineRule="auto"/>
              <w:ind w:left="489"/>
              <w:rPr>
                <w:sz w:val="18"/>
                <w:szCs w:val="18"/>
              </w:rPr>
            </w:pPr>
            <w:r>
              <w:rPr>
                <w:sz w:val="18"/>
                <w:szCs w:val="18"/>
              </w:rPr>
              <w:t>/</w:t>
            </w:r>
          </w:p>
        </w:tc>
        <w:tc>
          <w:tcPr>
            <w:tcW w:w="721" w:type="dxa"/>
            <w:tcBorders>
              <w:right w:val="single" w:color="000000" w:sz="12" w:space="0"/>
            </w:tcBorders>
            <w:vAlign w:val="top"/>
          </w:tcPr>
          <w:p w14:paraId="25D6094A">
            <w:pPr>
              <w:pStyle w:val="6"/>
              <w:spacing w:before="133" w:line="232" w:lineRule="auto"/>
              <w:ind w:left="280"/>
              <w:rPr>
                <w:sz w:val="18"/>
                <w:szCs w:val="18"/>
              </w:rPr>
            </w:pPr>
            <w:r>
              <w:rPr>
                <w:spacing w:val="-3"/>
                <w:sz w:val="18"/>
                <w:szCs w:val="18"/>
              </w:rPr>
              <w:t>50</w:t>
            </w:r>
          </w:p>
        </w:tc>
      </w:tr>
      <w:tr w14:paraId="2BD1C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6F46E6A5">
            <w:pPr>
              <w:rPr>
                <w:rFonts w:ascii="Arial"/>
                <w:sz w:val="21"/>
              </w:rPr>
            </w:pPr>
          </w:p>
        </w:tc>
        <w:tc>
          <w:tcPr>
            <w:tcW w:w="272" w:type="dxa"/>
            <w:vMerge w:val="continue"/>
            <w:tcBorders>
              <w:top w:val="nil"/>
            </w:tcBorders>
            <w:vAlign w:val="top"/>
          </w:tcPr>
          <w:p w14:paraId="6314FD60">
            <w:pPr>
              <w:rPr>
                <w:rFonts w:ascii="Arial"/>
                <w:sz w:val="21"/>
              </w:rPr>
            </w:pPr>
          </w:p>
        </w:tc>
        <w:tc>
          <w:tcPr>
            <w:tcW w:w="1004" w:type="dxa"/>
            <w:vAlign w:val="top"/>
          </w:tcPr>
          <w:p w14:paraId="752C98BF">
            <w:pPr>
              <w:pStyle w:val="6"/>
              <w:spacing w:before="132" w:line="232" w:lineRule="auto"/>
              <w:ind w:left="167"/>
              <w:rPr>
                <w:sz w:val="18"/>
                <w:szCs w:val="18"/>
              </w:rPr>
            </w:pPr>
            <w:r>
              <w:rPr>
                <w:spacing w:val="-1"/>
                <w:sz w:val="18"/>
                <w:szCs w:val="18"/>
              </w:rPr>
              <w:t>2019/8/8</w:t>
            </w:r>
          </w:p>
        </w:tc>
        <w:tc>
          <w:tcPr>
            <w:tcW w:w="686" w:type="dxa"/>
            <w:vAlign w:val="top"/>
          </w:tcPr>
          <w:p w14:paraId="42935EA4">
            <w:pPr>
              <w:pStyle w:val="6"/>
              <w:spacing w:before="137" w:line="183" w:lineRule="auto"/>
              <w:ind w:left="234"/>
              <w:rPr>
                <w:sz w:val="18"/>
                <w:szCs w:val="18"/>
              </w:rPr>
            </w:pPr>
            <w:r>
              <w:rPr>
                <w:spacing w:val="-2"/>
                <w:sz w:val="18"/>
                <w:szCs w:val="18"/>
              </w:rPr>
              <w:t>5L</w:t>
            </w:r>
          </w:p>
        </w:tc>
        <w:tc>
          <w:tcPr>
            <w:tcW w:w="923" w:type="dxa"/>
            <w:vAlign w:val="top"/>
          </w:tcPr>
          <w:p w14:paraId="68BAFABC">
            <w:pPr>
              <w:pStyle w:val="6"/>
              <w:spacing w:before="132" w:line="232" w:lineRule="auto"/>
              <w:ind w:left="338"/>
              <w:rPr>
                <w:sz w:val="18"/>
                <w:szCs w:val="18"/>
              </w:rPr>
            </w:pPr>
            <w:r>
              <w:rPr>
                <w:spacing w:val="-3"/>
                <w:sz w:val="18"/>
                <w:szCs w:val="18"/>
              </w:rPr>
              <w:t>0.8</w:t>
            </w:r>
          </w:p>
        </w:tc>
        <w:tc>
          <w:tcPr>
            <w:tcW w:w="708" w:type="dxa"/>
            <w:vAlign w:val="top"/>
          </w:tcPr>
          <w:p w14:paraId="5451817C">
            <w:pPr>
              <w:pStyle w:val="6"/>
              <w:spacing w:before="132" w:line="232" w:lineRule="auto"/>
              <w:ind w:left="189"/>
              <w:rPr>
                <w:sz w:val="18"/>
                <w:szCs w:val="18"/>
              </w:rPr>
            </w:pPr>
            <w:r>
              <w:rPr>
                <w:spacing w:val="-2"/>
                <w:sz w:val="18"/>
                <w:szCs w:val="18"/>
              </w:rPr>
              <w:t>6.78</w:t>
            </w:r>
          </w:p>
        </w:tc>
        <w:tc>
          <w:tcPr>
            <w:tcW w:w="850" w:type="dxa"/>
            <w:vAlign w:val="top"/>
          </w:tcPr>
          <w:p w14:paraId="2EBA1AF6">
            <w:pPr>
              <w:pStyle w:val="6"/>
              <w:spacing w:before="132" w:line="232" w:lineRule="auto"/>
              <w:ind w:left="159"/>
              <w:rPr>
                <w:sz w:val="18"/>
                <w:szCs w:val="18"/>
              </w:rPr>
            </w:pPr>
            <w:r>
              <w:rPr>
                <w:spacing w:val="-2"/>
                <w:sz w:val="18"/>
                <w:szCs w:val="18"/>
              </w:rPr>
              <w:t>0.040L</w:t>
            </w:r>
          </w:p>
        </w:tc>
        <w:tc>
          <w:tcPr>
            <w:tcW w:w="761" w:type="dxa"/>
            <w:vAlign w:val="top"/>
          </w:tcPr>
          <w:p w14:paraId="718D3572">
            <w:pPr>
              <w:pStyle w:val="6"/>
              <w:spacing w:before="132" w:line="232" w:lineRule="auto"/>
              <w:ind w:left="70"/>
              <w:rPr>
                <w:sz w:val="18"/>
                <w:szCs w:val="18"/>
              </w:rPr>
            </w:pPr>
            <w:r>
              <w:rPr>
                <w:spacing w:val="-1"/>
                <w:sz w:val="18"/>
                <w:szCs w:val="18"/>
              </w:rPr>
              <w:t>0.0045L</w:t>
            </w:r>
          </w:p>
        </w:tc>
        <w:tc>
          <w:tcPr>
            <w:tcW w:w="654" w:type="dxa"/>
            <w:vAlign w:val="top"/>
          </w:tcPr>
          <w:p w14:paraId="5DF20ADB">
            <w:pPr>
              <w:pStyle w:val="6"/>
              <w:spacing w:before="132" w:line="232" w:lineRule="auto"/>
              <w:ind w:left="73"/>
              <w:rPr>
                <w:sz w:val="18"/>
                <w:szCs w:val="18"/>
              </w:rPr>
            </w:pPr>
            <w:r>
              <w:rPr>
                <w:spacing w:val="-2"/>
                <w:sz w:val="18"/>
                <w:szCs w:val="18"/>
              </w:rPr>
              <w:t>0.0037</w:t>
            </w:r>
          </w:p>
        </w:tc>
        <w:tc>
          <w:tcPr>
            <w:tcW w:w="708" w:type="dxa"/>
            <w:vAlign w:val="top"/>
          </w:tcPr>
          <w:p w14:paraId="6A27A690">
            <w:pPr>
              <w:pStyle w:val="6"/>
              <w:spacing w:before="132" w:line="232" w:lineRule="auto"/>
              <w:ind w:left="91"/>
              <w:rPr>
                <w:sz w:val="18"/>
                <w:szCs w:val="18"/>
              </w:rPr>
            </w:pPr>
            <w:r>
              <w:rPr>
                <w:spacing w:val="-2"/>
                <w:sz w:val="18"/>
                <w:szCs w:val="18"/>
              </w:rPr>
              <w:t>0.009L</w:t>
            </w:r>
          </w:p>
        </w:tc>
        <w:tc>
          <w:tcPr>
            <w:tcW w:w="707" w:type="dxa"/>
            <w:vAlign w:val="top"/>
          </w:tcPr>
          <w:p w14:paraId="5F3526D2">
            <w:pPr>
              <w:pStyle w:val="6"/>
              <w:spacing w:before="132" w:line="232" w:lineRule="auto"/>
              <w:ind w:left="92"/>
              <w:rPr>
                <w:sz w:val="18"/>
                <w:szCs w:val="18"/>
              </w:rPr>
            </w:pPr>
            <w:r>
              <w:rPr>
                <w:spacing w:val="-2"/>
                <w:sz w:val="18"/>
                <w:szCs w:val="18"/>
              </w:rPr>
              <w:t>0.001L</w:t>
            </w:r>
          </w:p>
        </w:tc>
        <w:tc>
          <w:tcPr>
            <w:tcW w:w="766" w:type="dxa"/>
            <w:vAlign w:val="top"/>
          </w:tcPr>
          <w:p w14:paraId="1CB420C9">
            <w:pPr>
              <w:pStyle w:val="6"/>
              <w:spacing w:before="132" w:line="232" w:lineRule="auto"/>
              <w:ind w:left="238"/>
              <w:rPr>
                <w:sz w:val="18"/>
                <w:szCs w:val="18"/>
              </w:rPr>
            </w:pPr>
            <w:r>
              <w:rPr>
                <w:spacing w:val="-6"/>
                <w:sz w:val="18"/>
                <w:szCs w:val="18"/>
              </w:rPr>
              <w:t>15.5</w:t>
            </w:r>
          </w:p>
        </w:tc>
        <w:tc>
          <w:tcPr>
            <w:tcW w:w="595" w:type="dxa"/>
            <w:vAlign w:val="top"/>
          </w:tcPr>
          <w:p w14:paraId="44528553">
            <w:pPr>
              <w:pStyle w:val="6"/>
              <w:spacing w:before="132" w:line="232" w:lineRule="auto"/>
              <w:ind w:left="183"/>
              <w:rPr>
                <w:sz w:val="18"/>
                <w:szCs w:val="18"/>
              </w:rPr>
            </w:pPr>
            <w:r>
              <w:rPr>
                <w:spacing w:val="-3"/>
                <w:sz w:val="18"/>
                <w:szCs w:val="18"/>
              </w:rPr>
              <w:t>7.6</w:t>
            </w:r>
          </w:p>
        </w:tc>
        <w:tc>
          <w:tcPr>
            <w:tcW w:w="955" w:type="dxa"/>
            <w:vAlign w:val="top"/>
          </w:tcPr>
          <w:p w14:paraId="10A2B2A5">
            <w:pPr>
              <w:pStyle w:val="6"/>
              <w:spacing w:before="132" w:line="232" w:lineRule="auto"/>
              <w:ind w:left="340"/>
              <w:rPr>
                <w:sz w:val="18"/>
                <w:szCs w:val="18"/>
              </w:rPr>
            </w:pPr>
            <w:r>
              <w:rPr>
                <w:spacing w:val="-1"/>
                <w:sz w:val="18"/>
                <w:szCs w:val="18"/>
              </w:rPr>
              <w:t>268</w:t>
            </w:r>
          </w:p>
        </w:tc>
        <w:tc>
          <w:tcPr>
            <w:tcW w:w="506" w:type="dxa"/>
            <w:vAlign w:val="top"/>
          </w:tcPr>
          <w:p w14:paraId="4B0CDA5D">
            <w:pPr>
              <w:pStyle w:val="6"/>
              <w:spacing w:before="132" w:line="232" w:lineRule="auto"/>
              <w:ind w:left="134"/>
              <w:rPr>
                <w:sz w:val="18"/>
                <w:szCs w:val="18"/>
              </w:rPr>
            </w:pPr>
            <w:r>
              <w:rPr>
                <w:spacing w:val="-8"/>
                <w:sz w:val="18"/>
                <w:szCs w:val="18"/>
              </w:rPr>
              <w:t>152</w:t>
            </w:r>
          </w:p>
        </w:tc>
        <w:tc>
          <w:tcPr>
            <w:tcW w:w="707" w:type="dxa"/>
            <w:vAlign w:val="top"/>
          </w:tcPr>
          <w:p w14:paraId="35D84923">
            <w:pPr>
              <w:pStyle w:val="6"/>
              <w:spacing w:before="132" w:line="232" w:lineRule="auto"/>
              <w:ind w:left="197"/>
              <w:rPr>
                <w:sz w:val="18"/>
                <w:szCs w:val="18"/>
              </w:rPr>
            </w:pPr>
            <w:r>
              <w:rPr>
                <w:spacing w:val="-2"/>
                <w:sz w:val="18"/>
                <w:szCs w:val="18"/>
              </w:rPr>
              <w:t>0.84</w:t>
            </w:r>
          </w:p>
        </w:tc>
        <w:tc>
          <w:tcPr>
            <w:tcW w:w="708" w:type="dxa"/>
            <w:vAlign w:val="top"/>
          </w:tcPr>
          <w:p w14:paraId="46A11FB7">
            <w:pPr>
              <w:pStyle w:val="6"/>
              <w:spacing w:before="132" w:line="232" w:lineRule="auto"/>
              <w:ind w:left="99"/>
              <w:rPr>
                <w:sz w:val="18"/>
                <w:szCs w:val="18"/>
              </w:rPr>
            </w:pPr>
            <w:r>
              <w:rPr>
                <w:spacing w:val="-2"/>
                <w:sz w:val="18"/>
                <w:szCs w:val="18"/>
              </w:rPr>
              <w:t>0.002L</w:t>
            </w:r>
          </w:p>
        </w:tc>
        <w:tc>
          <w:tcPr>
            <w:tcW w:w="663" w:type="dxa"/>
            <w:vAlign w:val="top"/>
          </w:tcPr>
          <w:p w14:paraId="6685E0E8">
            <w:pPr>
              <w:pStyle w:val="6"/>
              <w:spacing w:before="132" w:line="232" w:lineRule="auto"/>
              <w:ind w:left="78"/>
              <w:rPr>
                <w:sz w:val="18"/>
                <w:szCs w:val="18"/>
              </w:rPr>
            </w:pPr>
            <w:r>
              <w:rPr>
                <w:spacing w:val="-2"/>
                <w:sz w:val="18"/>
                <w:szCs w:val="18"/>
              </w:rPr>
              <w:t>0.050L</w:t>
            </w:r>
          </w:p>
        </w:tc>
        <w:tc>
          <w:tcPr>
            <w:tcW w:w="664" w:type="dxa"/>
            <w:vAlign w:val="top"/>
          </w:tcPr>
          <w:p w14:paraId="4121CCEB">
            <w:pPr>
              <w:pStyle w:val="6"/>
              <w:spacing w:before="132" w:line="232" w:lineRule="auto"/>
              <w:ind w:left="134"/>
              <w:rPr>
                <w:sz w:val="18"/>
                <w:szCs w:val="18"/>
              </w:rPr>
            </w:pPr>
            <w:r>
              <w:rPr>
                <w:spacing w:val="-2"/>
                <w:sz w:val="18"/>
                <w:szCs w:val="18"/>
              </w:rPr>
              <w:t>0.004</w:t>
            </w:r>
          </w:p>
        </w:tc>
        <w:tc>
          <w:tcPr>
            <w:tcW w:w="782" w:type="dxa"/>
            <w:vAlign w:val="top"/>
          </w:tcPr>
          <w:p w14:paraId="4BBF1BDF">
            <w:pPr>
              <w:pStyle w:val="6"/>
              <w:spacing w:before="132" w:line="232" w:lineRule="auto"/>
              <w:ind w:left="93"/>
              <w:rPr>
                <w:sz w:val="18"/>
                <w:szCs w:val="18"/>
              </w:rPr>
            </w:pPr>
            <w:r>
              <w:rPr>
                <w:spacing w:val="-1"/>
                <w:sz w:val="18"/>
                <w:szCs w:val="18"/>
              </w:rPr>
              <w:t>0.0005L</w:t>
            </w:r>
          </w:p>
        </w:tc>
        <w:tc>
          <w:tcPr>
            <w:tcW w:w="663" w:type="dxa"/>
            <w:vAlign w:val="top"/>
          </w:tcPr>
          <w:p w14:paraId="309A6E2F">
            <w:pPr>
              <w:pStyle w:val="6"/>
              <w:spacing w:before="132" w:line="232" w:lineRule="auto"/>
              <w:ind w:left="81"/>
              <w:rPr>
                <w:sz w:val="18"/>
                <w:szCs w:val="18"/>
              </w:rPr>
            </w:pPr>
            <w:r>
              <w:rPr>
                <w:spacing w:val="-2"/>
                <w:sz w:val="18"/>
                <w:szCs w:val="18"/>
              </w:rPr>
              <w:t>0.004L</w:t>
            </w:r>
          </w:p>
        </w:tc>
        <w:tc>
          <w:tcPr>
            <w:tcW w:w="737" w:type="dxa"/>
            <w:vAlign w:val="top"/>
          </w:tcPr>
          <w:p w14:paraId="51FDD592">
            <w:pPr>
              <w:pStyle w:val="6"/>
              <w:spacing w:before="132" w:line="232" w:lineRule="auto"/>
              <w:ind w:left="74"/>
              <w:rPr>
                <w:sz w:val="18"/>
                <w:szCs w:val="18"/>
              </w:rPr>
            </w:pPr>
            <w:r>
              <w:rPr>
                <w:spacing w:val="-1"/>
                <w:sz w:val="18"/>
                <w:szCs w:val="18"/>
              </w:rPr>
              <w:t>0.0025L</w:t>
            </w:r>
          </w:p>
        </w:tc>
        <w:tc>
          <w:tcPr>
            <w:tcW w:w="737" w:type="dxa"/>
            <w:vAlign w:val="top"/>
          </w:tcPr>
          <w:p w14:paraId="47D98E29">
            <w:pPr>
              <w:pStyle w:val="6"/>
              <w:spacing w:before="132" w:line="232" w:lineRule="auto"/>
              <w:ind w:left="130"/>
              <w:rPr>
                <w:sz w:val="18"/>
                <w:szCs w:val="18"/>
              </w:rPr>
            </w:pPr>
            <w:r>
              <w:rPr>
                <w:spacing w:val="-2"/>
                <w:sz w:val="18"/>
                <w:szCs w:val="18"/>
              </w:rPr>
              <w:t>0.0002</w:t>
            </w:r>
          </w:p>
        </w:tc>
        <w:tc>
          <w:tcPr>
            <w:tcW w:w="754" w:type="dxa"/>
            <w:vAlign w:val="top"/>
          </w:tcPr>
          <w:p w14:paraId="09A1AE24">
            <w:pPr>
              <w:pStyle w:val="6"/>
              <w:spacing w:before="132" w:line="232" w:lineRule="auto"/>
              <w:ind w:left="84"/>
              <w:rPr>
                <w:sz w:val="18"/>
                <w:szCs w:val="18"/>
              </w:rPr>
            </w:pPr>
            <w:r>
              <w:rPr>
                <w:spacing w:val="-1"/>
                <w:sz w:val="18"/>
                <w:szCs w:val="18"/>
              </w:rPr>
              <w:t>0.0004L</w:t>
            </w:r>
          </w:p>
        </w:tc>
        <w:tc>
          <w:tcPr>
            <w:tcW w:w="667" w:type="dxa"/>
            <w:vAlign w:val="top"/>
          </w:tcPr>
          <w:p w14:paraId="04A10BA8">
            <w:pPr>
              <w:pStyle w:val="6"/>
              <w:spacing w:before="132" w:line="232" w:lineRule="auto"/>
              <w:ind w:left="86"/>
              <w:rPr>
                <w:sz w:val="18"/>
                <w:szCs w:val="18"/>
              </w:rPr>
            </w:pPr>
            <w:r>
              <w:rPr>
                <w:spacing w:val="-2"/>
                <w:sz w:val="18"/>
                <w:szCs w:val="18"/>
              </w:rPr>
              <w:t>0.002L</w:t>
            </w:r>
          </w:p>
        </w:tc>
        <w:tc>
          <w:tcPr>
            <w:tcW w:w="544" w:type="dxa"/>
            <w:vAlign w:val="top"/>
          </w:tcPr>
          <w:p w14:paraId="08470A79">
            <w:pPr>
              <w:pStyle w:val="6"/>
              <w:spacing w:before="132" w:line="232" w:lineRule="auto"/>
              <w:ind w:left="117"/>
              <w:rPr>
                <w:sz w:val="18"/>
                <w:szCs w:val="18"/>
              </w:rPr>
            </w:pPr>
            <w:r>
              <w:rPr>
                <w:spacing w:val="-2"/>
                <w:sz w:val="18"/>
                <w:szCs w:val="18"/>
              </w:rPr>
              <w:t>0.2L</w:t>
            </w:r>
          </w:p>
        </w:tc>
        <w:tc>
          <w:tcPr>
            <w:tcW w:w="434" w:type="dxa"/>
            <w:vAlign w:val="top"/>
          </w:tcPr>
          <w:p w14:paraId="7CCD1F55">
            <w:pPr>
              <w:pStyle w:val="6"/>
              <w:spacing w:before="132" w:line="232" w:lineRule="auto"/>
              <w:ind w:left="62"/>
              <w:rPr>
                <w:sz w:val="18"/>
                <w:szCs w:val="18"/>
              </w:rPr>
            </w:pPr>
            <w:r>
              <w:rPr>
                <w:spacing w:val="-2"/>
                <w:sz w:val="18"/>
                <w:szCs w:val="18"/>
              </w:rPr>
              <w:t>0.5L</w:t>
            </w:r>
          </w:p>
        </w:tc>
        <w:tc>
          <w:tcPr>
            <w:tcW w:w="1015" w:type="dxa"/>
            <w:vAlign w:val="top"/>
          </w:tcPr>
          <w:p w14:paraId="28C5E905">
            <w:pPr>
              <w:pStyle w:val="6"/>
              <w:spacing w:before="132" w:line="232" w:lineRule="auto"/>
              <w:ind w:left="489"/>
              <w:rPr>
                <w:sz w:val="18"/>
                <w:szCs w:val="18"/>
              </w:rPr>
            </w:pPr>
            <w:r>
              <w:rPr>
                <w:sz w:val="18"/>
                <w:szCs w:val="18"/>
              </w:rPr>
              <w:t>/</w:t>
            </w:r>
          </w:p>
        </w:tc>
        <w:tc>
          <w:tcPr>
            <w:tcW w:w="721" w:type="dxa"/>
            <w:tcBorders>
              <w:right w:val="single" w:color="000000" w:sz="12" w:space="0"/>
            </w:tcBorders>
            <w:vAlign w:val="top"/>
          </w:tcPr>
          <w:p w14:paraId="543799EC">
            <w:pPr>
              <w:pStyle w:val="6"/>
              <w:spacing w:before="132" w:line="232" w:lineRule="auto"/>
              <w:ind w:left="274"/>
              <w:rPr>
                <w:sz w:val="18"/>
                <w:szCs w:val="18"/>
              </w:rPr>
            </w:pPr>
            <w:r>
              <w:rPr>
                <w:spacing w:val="-1"/>
                <w:sz w:val="18"/>
                <w:szCs w:val="18"/>
              </w:rPr>
              <w:t>40</w:t>
            </w:r>
          </w:p>
        </w:tc>
      </w:tr>
      <w:tr w14:paraId="5D2D9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5C3B7D4F">
            <w:pPr>
              <w:rPr>
                <w:rFonts w:ascii="Arial"/>
                <w:sz w:val="21"/>
              </w:rPr>
            </w:pPr>
          </w:p>
        </w:tc>
        <w:tc>
          <w:tcPr>
            <w:tcW w:w="272" w:type="dxa"/>
            <w:vMerge w:val="restart"/>
            <w:tcBorders>
              <w:bottom w:val="nil"/>
            </w:tcBorders>
            <w:vAlign w:val="top"/>
          </w:tcPr>
          <w:p w14:paraId="367D302B">
            <w:pPr>
              <w:pStyle w:val="6"/>
              <w:spacing w:before="282" w:line="234" w:lineRule="auto"/>
              <w:ind w:left="33" w:right="55" w:firstLine="41"/>
              <w:jc w:val="both"/>
              <w:rPr>
                <w:rFonts w:ascii="等线" w:hAnsi="等线" w:eastAsia="等线" w:cs="等线"/>
                <w:sz w:val="18"/>
                <w:szCs w:val="18"/>
              </w:rPr>
            </w:pPr>
            <w:r>
              <w:rPr>
                <w:spacing w:val="-3"/>
                <w:sz w:val="18"/>
                <w:szCs w:val="18"/>
              </w:rPr>
              <w:t>4</w:t>
            </w:r>
            <w:r>
              <w:rPr>
                <w:rFonts w:ascii="等线" w:hAnsi="等线" w:eastAsia="等线" w:cs="等线"/>
                <w:spacing w:val="-7"/>
                <w:sz w:val="18"/>
                <w:szCs w:val="18"/>
              </w:rPr>
              <w:t>季度</w:t>
            </w:r>
          </w:p>
        </w:tc>
        <w:tc>
          <w:tcPr>
            <w:tcW w:w="1004" w:type="dxa"/>
            <w:vAlign w:val="top"/>
          </w:tcPr>
          <w:p w14:paraId="12C91879">
            <w:pPr>
              <w:pStyle w:val="6"/>
              <w:spacing w:before="133" w:line="232" w:lineRule="auto"/>
              <w:ind w:left="122"/>
              <w:rPr>
                <w:sz w:val="18"/>
                <w:szCs w:val="18"/>
              </w:rPr>
            </w:pPr>
            <w:r>
              <w:rPr>
                <w:spacing w:val="-1"/>
                <w:sz w:val="18"/>
                <w:szCs w:val="18"/>
              </w:rPr>
              <w:t>2019/11/9</w:t>
            </w:r>
          </w:p>
        </w:tc>
        <w:tc>
          <w:tcPr>
            <w:tcW w:w="686" w:type="dxa"/>
            <w:vAlign w:val="top"/>
          </w:tcPr>
          <w:p w14:paraId="09C1A370">
            <w:pPr>
              <w:pStyle w:val="6"/>
              <w:spacing w:before="139" w:line="183" w:lineRule="auto"/>
              <w:ind w:left="234"/>
              <w:rPr>
                <w:sz w:val="18"/>
                <w:szCs w:val="18"/>
              </w:rPr>
            </w:pPr>
            <w:r>
              <w:rPr>
                <w:spacing w:val="-2"/>
                <w:sz w:val="18"/>
                <w:szCs w:val="18"/>
              </w:rPr>
              <w:t>5L</w:t>
            </w:r>
          </w:p>
        </w:tc>
        <w:tc>
          <w:tcPr>
            <w:tcW w:w="923" w:type="dxa"/>
            <w:vAlign w:val="top"/>
          </w:tcPr>
          <w:p w14:paraId="4F52CDF3">
            <w:pPr>
              <w:pStyle w:val="6"/>
              <w:spacing w:before="133" w:line="232" w:lineRule="auto"/>
              <w:ind w:left="338"/>
              <w:rPr>
                <w:sz w:val="18"/>
                <w:szCs w:val="18"/>
              </w:rPr>
            </w:pPr>
            <w:r>
              <w:rPr>
                <w:spacing w:val="-3"/>
                <w:sz w:val="18"/>
                <w:szCs w:val="18"/>
              </w:rPr>
              <w:t>0.8</w:t>
            </w:r>
          </w:p>
        </w:tc>
        <w:tc>
          <w:tcPr>
            <w:tcW w:w="708" w:type="dxa"/>
            <w:vAlign w:val="top"/>
          </w:tcPr>
          <w:p w14:paraId="59506C73">
            <w:pPr>
              <w:pStyle w:val="6"/>
              <w:spacing w:before="133" w:line="232" w:lineRule="auto"/>
              <w:ind w:left="189"/>
              <w:rPr>
                <w:sz w:val="18"/>
                <w:szCs w:val="18"/>
              </w:rPr>
            </w:pPr>
            <w:r>
              <w:rPr>
                <w:spacing w:val="-2"/>
                <w:sz w:val="18"/>
                <w:szCs w:val="18"/>
              </w:rPr>
              <w:t>6.84</w:t>
            </w:r>
          </w:p>
        </w:tc>
        <w:tc>
          <w:tcPr>
            <w:tcW w:w="850" w:type="dxa"/>
            <w:vAlign w:val="top"/>
          </w:tcPr>
          <w:p w14:paraId="5E3F4AA6">
            <w:pPr>
              <w:pStyle w:val="6"/>
              <w:spacing w:before="133" w:line="232" w:lineRule="auto"/>
              <w:ind w:left="214"/>
              <w:rPr>
                <w:sz w:val="18"/>
                <w:szCs w:val="18"/>
              </w:rPr>
            </w:pPr>
            <w:r>
              <w:rPr>
                <w:spacing w:val="-2"/>
                <w:sz w:val="18"/>
                <w:szCs w:val="18"/>
              </w:rPr>
              <w:t>0.105</w:t>
            </w:r>
          </w:p>
        </w:tc>
        <w:tc>
          <w:tcPr>
            <w:tcW w:w="761" w:type="dxa"/>
            <w:vAlign w:val="top"/>
          </w:tcPr>
          <w:p w14:paraId="4B6D6C4E">
            <w:pPr>
              <w:pStyle w:val="6"/>
              <w:spacing w:before="133" w:line="232" w:lineRule="auto"/>
              <w:ind w:left="125"/>
              <w:rPr>
                <w:sz w:val="18"/>
                <w:szCs w:val="18"/>
              </w:rPr>
            </w:pPr>
            <w:r>
              <w:rPr>
                <w:spacing w:val="-2"/>
                <w:sz w:val="18"/>
                <w:szCs w:val="18"/>
              </w:rPr>
              <w:t>0.0718</w:t>
            </w:r>
          </w:p>
        </w:tc>
        <w:tc>
          <w:tcPr>
            <w:tcW w:w="654" w:type="dxa"/>
            <w:vAlign w:val="top"/>
          </w:tcPr>
          <w:p w14:paraId="2DDE3A8D">
            <w:pPr>
              <w:pStyle w:val="6"/>
              <w:spacing w:before="133" w:line="232" w:lineRule="auto"/>
              <w:ind w:left="73"/>
              <w:rPr>
                <w:sz w:val="18"/>
                <w:szCs w:val="18"/>
              </w:rPr>
            </w:pPr>
            <w:r>
              <w:rPr>
                <w:spacing w:val="-2"/>
                <w:sz w:val="18"/>
                <w:szCs w:val="18"/>
              </w:rPr>
              <w:t>0.0027</w:t>
            </w:r>
          </w:p>
        </w:tc>
        <w:tc>
          <w:tcPr>
            <w:tcW w:w="708" w:type="dxa"/>
            <w:vAlign w:val="top"/>
          </w:tcPr>
          <w:p w14:paraId="350CEE99">
            <w:pPr>
              <w:pStyle w:val="6"/>
              <w:spacing w:before="133" w:line="232" w:lineRule="auto"/>
              <w:ind w:left="91"/>
              <w:rPr>
                <w:sz w:val="18"/>
                <w:szCs w:val="18"/>
              </w:rPr>
            </w:pPr>
            <w:r>
              <w:rPr>
                <w:spacing w:val="-2"/>
                <w:sz w:val="18"/>
                <w:szCs w:val="18"/>
              </w:rPr>
              <w:t>0.009L</w:t>
            </w:r>
          </w:p>
        </w:tc>
        <w:tc>
          <w:tcPr>
            <w:tcW w:w="707" w:type="dxa"/>
            <w:vAlign w:val="top"/>
          </w:tcPr>
          <w:p w14:paraId="6B587B2D">
            <w:pPr>
              <w:pStyle w:val="6"/>
              <w:spacing w:before="133" w:line="232" w:lineRule="auto"/>
              <w:ind w:left="148"/>
              <w:rPr>
                <w:sz w:val="18"/>
                <w:szCs w:val="18"/>
              </w:rPr>
            </w:pPr>
            <w:r>
              <w:rPr>
                <w:spacing w:val="-2"/>
                <w:sz w:val="18"/>
                <w:szCs w:val="18"/>
              </w:rPr>
              <w:t>0.010</w:t>
            </w:r>
          </w:p>
        </w:tc>
        <w:tc>
          <w:tcPr>
            <w:tcW w:w="766" w:type="dxa"/>
            <w:vAlign w:val="top"/>
          </w:tcPr>
          <w:p w14:paraId="1AF216A4">
            <w:pPr>
              <w:pStyle w:val="6"/>
              <w:spacing w:before="133" w:line="232" w:lineRule="auto"/>
              <w:ind w:left="238"/>
              <w:rPr>
                <w:sz w:val="18"/>
                <w:szCs w:val="18"/>
              </w:rPr>
            </w:pPr>
            <w:r>
              <w:rPr>
                <w:spacing w:val="-6"/>
                <w:sz w:val="18"/>
                <w:szCs w:val="18"/>
              </w:rPr>
              <w:t>19.0</w:t>
            </w:r>
          </w:p>
        </w:tc>
        <w:tc>
          <w:tcPr>
            <w:tcW w:w="595" w:type="dxa"/>
            <w:vAlign w:val="top"/>
          </w:tcPr>
          <w:p w14:paraId="438F2DEB">
            <w:pPr>
              <w:pStyle w:val="6"/>
              <w:spacing w:before="133" w:line="232" w:lineRule="auto"/>
              <w:ind w:left="183"/>
              <w:rPr>
                <w:sz w:val="18"/>
                <w:szCs w:val="18"/>
              </w:rPr>
            </w:pPr>
            <w:r>
              <w:rPr>
                <w:spacing w:val="-3"/>
                <w:sz w:val="18"/>
                <w:szCs w:val="18"/>
              </w:rPr>
              <w:t>7.4</w:t>
            </w:r>
          </w:p>
        </w:tc>
        <w:tc>
          <w:tcPr>
            <w:tcW w:w="955" w:type="dxa"/>
            <w:vAlign w:val="top"/>
          </w:tcPr>
          <w:p w14:paraId="4B62C74A">
            <w:pPr>
              <w:pStyle w:val="6"/>
              <w:spacing w:before="133" w:line="232" w:lineRule="auto"/>
              <w:ind w:left="340"/>
              <w:rPr>
                <w:sz w:val="18"/>
                <w:szCs w:val="18"/>
              </w:rPr>
            </w:pPr>
            <w:r>
              <w:rPr>
                <w:spacing w:val="-1"/>
                <w:sz w:val="18"/>
                <w:szCs w:val="18"/>
              </w:rPr>
              <w:t>296</w:t>
            </w:r>
          </w:p>
        </w:tc>
        <w:tc>
          <w:tcPr>
            <w:tcW w:w="506" w:type="dxa"/>
            <w:vAlign w:val="top"/>
          </w:tcPr>
          <w:p w14:paraId="253F43C8">
            <w:pPr>
              <w:pStyle w:val="6"/>
              <w:spacing w:before="133" w:line="232" w:lineRule="auto"/>
              <w:ind w:left="134"/>
              <w:rPr>
                <w:sz w:val="18"/>
                <w:szCs w:val="18"/>
              </w:rPr>
            </w:pPr>
            <w:r>
              <w:rPr>
                <w:spacing w:val="-5"/>
                <w:sz w:val="18"/>
                <w:szCs w:val="18"/>
              </w:rPr>
              <w:t>172</w:t>
            </w:r>
          </w:p>
        </w:tc>
        <w:tc>
          <w:tcPr>
            <w:tcW w:w="707" w:type="dxa"/>
            <w:vAlign w:val="top"/>
          </w:tcPr>
          <w:p w14:paraId="18FF7CC8">
            <w:pPr>
              <w:pStyle w:val="6"/>
              <w:spacing w:before="133" w:line="232" w:lineRule="auto"/>
              <w:ind w:left="197"/>
              <w:rPr>
                <w:sz w:val="18"/>
                <w:szCs w:val="18"/>
              </w:rPr>
            </w:pPr>
            <w:r>
              <w:rPr>
                <w:spacing w:val="-2"/>
                <w:sz w:val="18"/>
                <w:szCs w:val="18"/>
              </w:rPr>
              <w:t>0.72</w:t>
            </w:r>
          </w:p>
        </w:tc>
        <w:tc>
          <w:tcPr>
            <w:tcW w:w="708" w:type="dxa"/>
            <w:vAlign w:val="top"/>
          </w:tcPr>
          <w:p w14:paraId="204A5254">
            <w:pPr>
              <w:pStyle w:val="6"/>
              <w:spacing w:before="133" w:line="232" w:lineRule="auto"/>
              <w:ind w:left="99"/>
              <w:rPr>
                <w:sz w:val="18"/>
                <w:szCs w:val="18"/>
              </w:rPr>
            </w:pPr>
            <w:r>
              <w:rPr>
                <w:spacing w:val="-2"/>
                <w:sz w:val="18"/>
                <w:szCs w:val="18"/>
              </w:rPr>
              <w:t>0.002L</w:t>
            </w:r>
          </w:p>
        </w:tc>
        <w:tc>
          <w:tcPr>
            <w:tcW w:w="663" w:type="dxa"/>
            <w:vAlign w:val="top"/>
          </w:tcPr>
          <w:p w14:paraId="2580CDFD">
            <w:pPr>
              <w:pStyle w:val="6"/>
              <w:spacing w:before="133" w:line="232" w:lineRule="auto"/>
              <w:ind w:left="78"/>
              <w:rPr>
                <w:sz w:val="18"/>
                <w:szCs w:val="18"/>
              </w:rPr>
            </w:pPr>
            <w:r>
              <w:rPr>
                <w:spacing w:val="-2"/>
                <w:sz w:val="18"/>
                <w:szCs w:val="18"/>
              </w:rPr>
              <w:t>0.050L</w:t>
            </w:r>
          </w:p>
        </w:tc>
        <w:tc>
          <w:tcPr>
            <w:tcW w:w="664" w:type="dxa"/>
            <w:vAlign w:val="top"/>
          </w:tcPr>
          <w:p w14:paraId="6A017F95">
            <w:pPr>
              <w:pStyle w:val="6"/>
              <w:spacing w:before="133" w:line="232" w:lineRule="auto"/>
              <w:ind w:left="79"/>
              <w:rPr>
                <w:sz w:val="18"/>
                <w:szCs w:val="18"/>
              </w:rPr>
            </w:pPr>
            <w:r>
              <w:rPr>
                <w:spacing w:val="-2"/>
                <w:sz w:val="18"/>
                <w:szCs w:val="18"/>
              </w:rPr>
              <w:t>0.001L</w:t>
            </w:r>
          </w:p>
        </w:tc>
        <w:tc>
          <w:tcPr>
            <w:tcW w:w="782" w:type="dxa"/>
            <w:vAlign w:val="top"/>
          </w:tcPr>
          <w:p w14:paraId="6814B07F">
            <w:pPr>
              <w:pStyle w:val="6"/>
              <w:spacing w:before="133" w:line="232" w:lineRule="auto"/>
              <w:ind w:left="93"/>
              <w:rPr>
                <w:sz w:val="18"/>
                <w:szCs w:val="18"/>
              </w:rPr>
            </w:pPr>
            <w:r>
              <w:rPr>
                <w:spacing w:val="-1"/>
                <w:sz w:val="18"/>
                <w:szCs w:val="18"/>
              </w:rPr>
              <w:t>0.0005L</w:t>
            </w:r>
          </w:p>
        </w:tc>
        <w:tc>
          <w:tcPr>
            <w:tcW w:w="663" w:type="dxa"/>
            <w:vAlign w:val="top"/>
          </w:tcPr>
          <w:p w14:paraId="070B26C2">
            <w:pPr>
              <w:pStyle w:val="6"/>
              <w:spacing w:before="133" w:line="232" w:lineRule="auto"/>
              <w:ind w:left="81"/>
              <w:rPr>
                <w:sz w:val="18"/>
                <w:szCs w:val="18"/>
              </w:rPr>
            </w:pPr>
            <w:r>
              <w:rPr>
                <w:spacing w:val="-2"/>
                <w:sz w:val="18"/>
                <w:szCs w:val="18"/>
              </w:rPr>
              <w:t>0.004L</w:t>
            </w:r>
          </w:p>
        </w:tc>
        <w:tc>
          <w:tcPr>
            <w:tcW w:w="737" w:type="dxa"/>
            <w:vAlign w:val="top"/>
          </w:tcPr>
          <w:p w14:paraId="47A4CBB5">
            <w:pPr>
              <w:pStyle w:val="6"/>
              <w:spacing w:before="133" w:line="232" w:lineRule="auto"/>
              <w:ind w:left="74"/>
              <w:rPr>
                <w:sz w:val="18"/>
                <w:szCs w:val="18"/>
              </w:rPr>
            </w:pPr>
            <w:r>
              <w:rPr>
                <w:spacing w:val="-1"/>
                <w:sz w:val="18"/>
                <w:szCs w:val="18"/>
              </w:rPr>
              <w:t>0.0025L</w:t>
            </w:r>
          </w:p>
        </w:tc>
        <w:tc>
          <w:tcPr>
            <w:tcW w:w="737" w:type="dxa"/>
            <w:vAlign w:val="top"/>
          </w:tcPr>
          <w:p w14:paraId="12E43BE5">
            <w:pPr>
              <w:pStyle w:val="6"/>
              <w:spacing w:before="133" w:line="232" w:lineRule="auto"/>
              <w:ind w:left="75"/>
              <w:rPr>
                <w:sz w:val="18"/>
                <w:szCs w:val="18"/>
              </w:rPr>
            </w:pPr>
            <w:r>
              <w:rPr>
                <w:spacing w:val="-1"/>
                <w:sz w:val="18"/>
                <w:szCs w:val="18"/>
              </w:rPr>
              <w:t>0.0001L</w:t>
            </w:r>
          </w:p>
        </w:tc>
        <w:tc>
          <w:tcPr>
            <w:tcW w:w="754" w:type="dxa"/>
            <w:vAlign w:val="top"/>
          </w:tcPr>
          <w:p w14:paraId="50047D35">
            <w:pPr>
              <w:pStyle w:val="6"/>
              <w:spacing w:before="133" w:line="232" w:lineRule="auto"/>
              <w:ind w:left="84"/>
              <w:rPr>
                <w:sz w:val="18"/>
                <w:szCs w:val="18"/>
              </w:rPr>
            </w:pPr>
            <w:r>
              <w:rPr>
                <w:spacing w:val="-1"/>
                <w:sz w:val="18"/>
                <w:szCs w:val="18"/>
              </w:rPr>
              <w:t>0.0004L</w:t>
            </w:r>
          </w:p>
        </w:tc>
        <w:tc>
          <w:tcPr>
            <w:tcW w:w="667" w:type="dxa"/>
            <w:vAlign w:val="top"/>
          </w:tcPr>
          <w:p w14:paraId="5A96A139">
            <w:pPr>
              <w:pStyle w:val="6"/>
              <w:spacing w:before="133" w:line="232" w:lineRule="auto"/>
              <w:ind w:left="86"/>
              <w:rPr>
                <w:sz w:val="18"/>
                <w:szCs w:val="18"/>
              </w:rPr>
            </w:pPr>
            <w:r>
              <w:rPr>
                <w:spacing w:val="-2"/>
                <w:sz w:val="18"/>
                <w:szCs w:val="18"/>
              </w:rPr>
              <w:t>0.002L</w:t>
            </w:r>
          </w:p>
        </w:tc>
        <w:tc>
          <w:tcPr>
            <w:tcW w:w="544" w:type="dxa"/>
            <w:vAlign w:val="top"/>
          </w:tcPr>
          <w:p w14:paraId="6DB6688E">
            <w:pPr>
              <w:pStyle w:val="6"/>
              <w:spacing w:before="133" w:line="232" w:lineRule="auto"/>
              <w:ind w:left="126"/>
              <w:rPr>
                <w:sz w:val="18"/>
                <w:szCs w:val="18"/>
              </w:rPr>
            </w:pPr>
            <w:r>
              <w:rPr>
                <w:spacing w:val="-2"/>
                <w:sz w:val="18"/>
                <w:szCs w:val="18"/>
              </w:rPr>
              <w:t>0.21</w:t>
            </w:r>
          </w:p>
        </w:tc>
        <w:tc>
          <w:tcPr>
            <w:tcW w:w="434" w:type="dxa"/>
            <w:vAlign w:val="top"/>
          </w:tcPr>
          <w:p w14:paraId="1CD12D2C">
            <w:pPr>
              <w:pStyle w:val="6"/>
              <w:spacing w:before="133" w:line="232" w:lineRule="auto"/>
              <w:ind w:left="62"/>
              <w:rPr>
                <w:sz w:val="18"/>
                <w:szCs w:val="18"/>
              </w:rPr>
            </w:pPr>
            <w:r>
              <w:rPr>
                <w:spacing w:val="-2"/>
                <w:sz w:val="18"/>
                <w:szCs w:val="18"/>
              </w:rPr>
              <w:t>0.5L</w:t>
            </w:r>
          </w:p>
        </w:tc>
        <w:tc>
          <w:tcPr>
            <w:tcW w:w="1015" w:type="dxa"/>
            <w:vAlign w:val="top"/>
          </w:tcPr>
          <w:p w14:paraId="1E105436">
            <w:pPr>
              <w:pStyle w:val="6"/>
              <w:spacing w:before="133" w:line="232" w:lineRule="auto"/>
              <w:ind w:left="489"/>
              <w:rPr>
                <w:sz w:val="18"/>
                <w:szCs w:val="18"/>
              </w:rPr>
            </w:pPr>
            <w:r>
              <w:rPr>
                <w:sz w:val="18"/>
                <w:szCs w:val="18"/>
              </w:rPr>
              <w:t>/</w:t>
            </w:r>
          </w:p>
        </w:tc>
        <w:tc>
          <w:tcPr>
            <w:tcW w:w="721" w:type="dxa"/>
            <w:tcBorders>
              <w:right w:val="single" w:color="000000" w:sz="12" w:space="0"/>
            </w:tcBorders>
            <w:vAlign w:val="top"/>
          </w:tcPr>
          <w:p w14:paraId="2A0595EE">
            <w:pPr>
              <w:pStyle w:val="6"/>
              <w:spacing w:before="134" w:line="232" w:lineRule="auto"/>
              <w:ind w:left="275"/>
              <w:rPr>
                <w:sz w:val="18"/>
                <w:szCs w:val="18"/>
              </w:rPr>
            </w:pPr>
            <w:r>
              <w:rPr>
                <w:spacing w:val="-1"/>
                <w:sz w:val="18"/>
                <w:szCs w:val="18"/>
              </w:rPr>
              <w:t>20</w:t>
            </w:r>
          </w:p>
        </w:tc>
      </w:tr>
      <w:tr w14:paraId="10846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03D7BD6B">
            <w:pPr>
              <w:rPr>
                <w:rFonts w:ascii="Arial"/>
                <w:sz w:val="21"/>
              </w:rPr>
            </w:pPr>
          </w:p>
        </w:tc>
        <w:tc>
          <w:tcPr>
            <w:tcW w:w="272" w:type="dxa"/>
            <w:vMerge w:val="continue"/>
            <w:tcBorders>
              <w:top w:val="nil"/>
              <w:bottom w:val="nil"/>
            </w:tcBorders>
            <w:vAlign w:val="top"/>
          </w:tcPr>
          <w:p w14:paraId="7DB42B9D">
            <w:pPr>
              <w:rPr>
                <w:rFonts w:ascii="Arial"/>
                <w:sz w:val="21"/>
              </w:rPr>
            </w:pPr>
          </w:p>
        </w:tc>
        <w:tc>
          <w:tcPr>
            <w:tcW w:w="1004" w:type="dxa"/>
            <w:vAlign w:val="top"/>
          </w:tcPr>
          <w:p w14:paraId="7B2380EF">
            <w:pPr>
              <w:pStyle w:val="6"/>
              <w:spacing w:before="136" w:line="232" w:lineRule="auto"/>
              <w:ind w:left="77"/>
              <w:rPr>
                <w:sz w:val="18"/>
                <w:szCs w:val="18"/>
              </w:rPr>
            </w:pPr>
            <w:r>
              <w:rPr>
                <w:spacing w:val="-1"/>
                <w:sz w:val="18"/>
                <w:szCs w:val="18"/>
              </w:rPr>
              <w:t>2019/11/10</w:t>
            </w:r>
          </w:p>
        </w:tc>
        <w:tc>
          <w:tcPr>
            <w:tcW w:w="686" w:type="dxa"/>
            <w:vAlign w:val="top"/>
          </w:tcPr>
          <w:p w14:paraId="326A12E0">
            <w:pPr>
              <w:pStyle w:val="6"/>
              <w:spacing w:before="141" w:line="183" w:lineRule="auto"/>
              <w:ind w:left="234"/>
              <w:rPr>
                <w:sz w:val="18"/>
                <w:szCs w:val="18"/>
              </w:rPr>
            </w:pPr>
            <w:r>
              <w:rPr>
                <w:spacing w:val="-2"/>
                <w:sz w:val="18"/>
                <w:szCs w:val="18"/>
              </w:rPr>
              <w:t>5L</w:t>
            </w:r>
          </w:p>
        </w:tc>
        <w:tc>
          <w:tcPr>
            <w:tcW w:w="923" w:type="dxa"/>
            <w:vAlign w:val="top"/>
          </w:tcPr>
          <w:p w14:paraId="7FFD09C2">
            <w:pPr>
              <w:pStyle w:val="6"/>
              <w:spacing w:before="136" w:line="232" w:lineRule="auto"/>
              <w:ind w:left="338"/>
              <w:rPr>
                <w:sz w:val="18"/>
                <w:szCs w:val="18"/>
              </w:rPr>
            </w:pPr>
            <w:r>
              <w:rPr>
                <w:spacing w:val="-3"/>
                <w:sz w:val="18"/>
                <w:szCs w:val="18"/>
              </w:rPr>
              <w:t>0.7</w:t>
            </w:r>
          </w:p>
        </w:tc>
        <w:tc>
          <w:tcPr>
            <w:tcW w:w="708" w:type="dxa"/>
            <w:vAlign w:val="top"/>
          </w:tcPr>
          <w:p w14:paraId="4D243E29">
            <w:pPr>
              <w:pStyle w:val="6"/>
              <w:spacing w:before="136" w:line="232" w:lineRule="auto"/>
              <w:ind w:left="189"/>
              <w:rPr>
                <w:sz w:val="18"/>
                <w:szCs w:val="18"/>
              </w:rPr>
            </w:pPr>
            <w:r>
              <w:rPr>
                <w:spacing w:val="-2"/>
                <w:sz w:val="18"/>
                <w:szCs w:val="18"/>
              </w:rPr>
              <w:t>6.92</w:t>
            </w:r>
          </w:p>
        </w:tc>
        <w:tc>
          <w:tcPr>
            <w:tcW w:w="850" w:type="dxa"/>
            <w:vAlign w:val="top"/>
          </w:tcPr>
          <w:p w14:paraId="57B40B74">
            <w:pPr>
              <w:pStyle w:val="6"/>
              <w:spacing w:before="136" w:line="232" w:lineRule="auto"/>
              <w:ind w:left="214"/>
              <w:rPr>
                <w:sz w:val="18"/>
                <w:szCs w:val="18"/>
              </w:rPr>
            </w:pPr>
            <w:r>
              <w:rPr>
                <w:spacing w:val="-2"/>
                <w:sz w:val="18"/>
                <w:szCs w:val="18"/>
              </w:rPr>
              <w:t>0.107</w:t>
            </w:r>
          </w:p>
        </w:tc>
        <w:tc>
          <w:tcPr>
            <w:tcW w:w="761" w:type="dxa"/>
            <w:vAlign w:val="top"/>
          </w:tcPr>
          <w:p w14:paraId="1F3088F8">
            <w:pPr>
              <w:pStyle w:val="6"/>
              <w:spacing w:before="136" w:line="232" w:lineRule="auto"/>
              <w:ind w:left="125"/>
              <w:rPr>
                <w:sz w:val="18"/>
                <w:szCs w:val="18"/>
              </w:rPr>
            </w:pPr>
            <w:r>
              <w:rPr>
                <w:spacing w:val="-2"/>
                <w:sz w:val="18"/>
                <w:szCs w:val="18"/>
              </w:rPr>
              <w:t>0.0717</w:t>
            </w:r>
          </w:p>
        </w:tc>
        <w:tc>
          <w:tcPr>
            <w:tcW w:w="654" w:type="dxa"/>
            <w:vAlign w:val="top"/>
          </w:tcPr>
          <w:p w14:paraId="5D984793">
            <w:pPr>
              <w:pStyle w:val="6"/>
              <w:spacing w:before="136" w:line="232" w:lineRule="auto"/>
              <w:ind w:left="73"/>
              <w:rPr>
                <w:sz w:val="18"/>
                <w:szCs w:val="18"/>
              </w:rPr>
            </w:pPr>
            <w:r>
              <w:rPr>
                <w:spacing w:val="-2"/>
                <w:sz w:val="18"/>
                <w:szCs w:val="18"/>
              </w:rPr>
              <w:t>0.0027</w:t>
            </w:r>
          </w:p>
        </w:tc>
        <w:tc>
          <w:tcPr>
            <w:tcW w:w="708" w:type="dxa"/>
            <w:vAlign w:val="top"/>
          </w:tcPr>
          <w:p w14:paraId="0DE05302">
            <w:pPr>
              <w:pStyle w:val="6"/>
              <w:spacing w:before="136" w:line="232" w:lineRule="auto"/>
              <w:ind w:left="91"/>
              <w:rPr>
                <w:sz w:val="18"/>
                <w:szCs w:val="18"/>
              </w:rPr>
            </w:pPr>
            <w:r>
              <w:rPr>
                <w:spacing w:val="-2"/>
                <w:sz w:val="18"/>
                <w:szCs w:val="18"/>
              </w:rPr>
              <w:t>0.009L</w:t>
            </w:r>
          </w:p>
        </w:tc>
        <w:tc>
          <w:tcPr>
            <w:tcW w:w="707" w:type="dxa"/>
            <w:vAlign w:val="top"/>
          </w:tcPr>
          <w:p w14:paraId="2427F111">
            <w:pPr>
              <w:pStyle w:val="6"/>
              <w:spacing w:before="136" w:line="232" w:lineRule="auto"/>
              <w:ind w:left="148"/>
              <w:rPr>
                <w:sz w:val="18"/>
                <w:szCs w:val="18"/>
              </w:rPr>
            </w:pPr>
            <w:r>
              <w:rPr>
                <w:spacing w:val="-2"/>
                <w:sz w:val="18"/>
                <w:szCs w:val="18"/>
              </w:rPr>
              <w:t>0.010</w:t>
            </w:r>
          </w:p>
        </w:tc>
        <w:tc>
          <w:tcPr>
            <w:tcW w:w="766" w:type="dxa"/>
            <w:vAlign w:val="top"/>
          </w:tcPr>
          <w:p w14:paraId="48C6883C">
            <w:pPr>
              <w:pStyle w:val="6"/>
              <w:spacing w:before="136" w:line="232" w:lineRule="auto"/>
              <w:ind w:left="238"/>
              <w:rPr>
                <w:sz w:val="18"/>
                <w:szCs w:val="18"/>
              </w:rPr>
            </w:pPr>
            <w:r>
              <w:rPr>
                <w:spacing w:val="-6"/>
                <w:sz w:val="18"/>
                <w:szCs w:val="18"/>
              </w:rPr>
              <w:t>19.6</w:t>
            </w:r>
          </w:p>
        </w:tc>
        <w:tc>
          <w:tcPr>
            <w:tcW w:w="595" w:type="dxa"/>
            <w:vAlign w:val="top"/>
          </w:tcPr>
          <w:p w14:paraId="3B80C0DF">
            <w:pPr>
              <w:pStyle w:val="6"/>
              <w:spacing w:before="136" w:line="232" w:lineRule="auto"/>
              <w:ind w:left="187"/>
              <w:rPr>
                <w:sz w:val="18"/>
                <w:szCs w:val="18"/>
              </w:rPr>
            </w:pPr>
            <w:r>
              <w:rPr>
                <w:spacing w:val="-4"/>
                <w:sz w:val="18"/>
                <w:szCs w:val="18"/>
              </w:rPr>
              <w:t>8.4</w:t>
            </w:r>
          </w:p>
        </w:tc>
        <w:tc>
          <w:tcPr>
            <w:tcW w:w="955" w:type="dxa"/>
            <w:vAlign w:val="top"/>
          </w:tcPr>
          <w:p w14:paraId="676EC28A">
            <w:pPr>
              <w:pStyle w:val="6"/>
              <w:spacing w:before="136" w:line="232" w:lineRule="auto"/>
              <w:ind w:left="340"/>
              <w:rPr>
                <w:sz w:val="18"/>
                <w:szCs w:val="18"/>
              </w:rPr>
            </w:pPr>
            <w:r>
              <w:rPr>
                <w:spacing w:val="-1"/>
                <w:sz w:val="18"/>
                <w:szCs w:val="18"/>
              </w:rPr>
              <w:t>283</w:t>
            </w:r>
          </w:p>
        </w:tc>
        <w:tc>
          <w:tcPr>
            <w:tcW w:w="506" w:type="dxa"/>
            <w:vAlign w:val="top"/>
          </w:tcPr>
          <w:p w14:paraId="61EBA605">
            <w:pPr>
              <w:pStyle w:val="6"/>
              <w:spacing w:before="136" w:line="232" w:lineRule="auto"/>
              <w:ind w:left="134"/>
              <w:rPr>
                <w:sz w:val="18"/>
                <w:szCs w:val="18"/>
              </w:rPr>
            </w:pPr>
            <w:r>
              <w:rPr>
                <w:spacing w:val="-5"/>
                <w:sz w:val="18"/>
                <w:szCs w:val="18"/>
              </w:rPr>
              <w:t>167</w:t>
            </w:r>
          </w:p>
        </w:tc>
        <w:tc>
          <w:tcPr>
            <w:tcW w:w="707" w:type="dxa"/>
            <w:vAlign w:val="top"/>
          </w:tcPr>
          <w:p w14:paraId="18761123">
            <w:pPr>
              <w:pStyle w:val="6"/>
              <w:spacing w:before="136" w:line="232" w:lineRule="auto"/>
              <w:ind w:left="197"/>
              <w:rPr>
                <w:sz w:val="18"/>
                <w:szCs w:val="18"/>
              </w:rPr>
            </w:pPr>
            <w:r>
              <w:rPr>
                <w:spacing w:val="-2"/>
                <w:sz w:val="18"/>
                <w:szCs w:val="18"/>
              </w:rPr>
              <w:t>0.68</w:t>
            </w:r>
          </w:p>
        </w:tc>
        <w:tc>
          <w:tcPr>
            <w:tcW w:w="708" w:type="dxa"/>
            <w:vAlign w:val="top"/>
          </w:tcPr>
          <w:p w14:paraId="24BC7138">
            <w:pPr>
              <w:pStyle w:val="6"/>
              <w:spacing w:before="136" w:line="232" w:lineRule="auto"/>
              <w:ind w:left="99"/>
              <w:rPr>
                <w:sz w:val="18"/>
                <w:szCs w:val="18"/>
              </w:rPr>
            </w:pPr>
            <w:r>
              <w:rPr>
                <w:spacing w:val="-2"/>
                <w:sz w:val="18"/>
                <w:szCs w:val="18"/>
              </w:rPr>
              <w:t>0.002L</w:t>
            </w:r>
          </w:p>
        </w:tc>
        <w:tc>
          <w:tcPr>
            <w:tcW w:w="663" w:type="dxa"/>
            <w:vAlign w:val="top"/>
          </w:tcPr>
          <w:p w14:paraId="6815ACAE">
            <w:pPr>
              <w:pStyle w:val="6"/>
              <w:spacing w:before="136" w:line="232" w:lineRule="auto"/>
              <w:ind w:left="78"/>
              <w:rPr>
                <w:sz w:val="18"/>
                <w:szCs w:val="18"/>
              </w:rPr>
            </w:pPr>
            <w:r>
              <w:rPr>
                <w:spacing w:val="-2"/>
                <w:sz w:val="18"/>
                <w:szCs w:val="18"/>
              </w:rPr>
              <w:t>0.050L</w:t>
            </w:r>
          </w:p>
        </w:tc>
        <w:tc>
          <w:tcPr>
            <w:tcW w:w="664" w:type="dxa"/>
            <w:vAlign w:val="top"/>
          </w:tcPr>
          <w:p w14:paraId="480292B8">
            <w:pPr>
              <w:pStyle w:val="6"/>
              <w:spacing w:before="136" w:line="232" w:lineRule="auto"/>
              <w:ind w:left="79"/>
              <w:rPr>
                <w:sz w:val="18"/>
                <w:szCs w:val="18"/>
              </w:rPr>
            </w:pPr>
            <w:r>
              <w:rPr>
                <w:spacing w:val="-2"/>
                <w:sz w:val="18"/>
                <w:szCs w:val="18"/>
              </w:rPr>
              <w:t>0.001L</w:t>
            </w:r>
          </w:p>
        </w:tc>
        <w:tc>
          <w:tcPr>
            <w:tcW w:w="782" w:type="dxa"/>
            <w:vAlign w:val="top"/>
          </w:tcPr>
          <w:p w14:paraId="7B014372">
            <w:pPr>
              <w:pStyle w:val="6"/>
              <w:spacing w:before="136" w:line="232" w:lineRule="auto"/>
              <w:ind w:left="93"/>
              <w:rPr>
                <w:sz w:val="18"/>
                <w:szCs w:val="18"/>
              </w:rPr>
            </w:pPr>
            <w:r>
              <w:rPr>
                <w:spacing w:val="-1"/>
                <w:sz w:val="18"/>
                <w:szCs w:val="18"/>
              </w:rPr>
              <w:t>0.0005L</w:t>
            </w:r>
          </w:p>
        </w:tc>
        <w:tc>
          <w:tcPr>
            <w:tcW w:w="663" w:type="dxa"/>
            <w:vAlign w:val="top"/>
          </w:tcPr>
          <w:p w14:paraId="4B134934">
            <w:pPr>
              <w:pStyle w:val="6"/>
              <w:spacing w:before="136" w:line="232" w:lineRule="auto"/>
              <w:ind w:left="81"/>
              <w:rPr>
                <w:sz w:val="18"/>
                <w:szCs w:val="18"/>
              </w:rPr>
            </w:pPr>
            <w:r>
              <w:rPr>
                <w:spacing w:val="-2"/>
                <w:sz w:val="18"/>
                <w:szCs w:val="18"/>
              </w:rPr>
              <w:t>0.004L</w:t>
            </w:r>
          </w:p>
        </w:tc>
        <w:tc>
          <w:tcPr>
            <w:tcW w:w="737" w:type="dxa"/>
            <w:vAlign w:val="top"/>
          </w:tcPr>
          <w:p w14:paraId="3BAD8053">
            <w:pPr>
              <w:pStyle w:val="6"/>
              <w:spacing w:before="136" w:line="232" w:lineRule="auto"/>
              <w:ind w:left="74"/>
              <w:rPr>
                <w:sz w:val="18"/>
                <w:szCs w:val="18"/>
              </w:rPr>
            </w:pPr>
            <w:r>
              <w:rPr>
                <w:spacing w:val="-1"/>
                <w:sz w:val="18"/>
                <w:szCs w:val="18"/>
              </w:rPr>
              <w:t>0.0025L</w:t>
            </w:r>
          </w:p>
        </w:tc>
        <w:tc>
          <w:tcPr>
            <w:tcW w:w="737" w:type="dxa"/>
            <w:vAlign w:val="top"/>
          </w:tcPr>
          <w:p w14:paraId="2CD0B928">
            <w:pPr>
              <w:pStyle w:val="6"/>
              <w:spacing w:before="136" w:line="232" w:lineRule="auto"/>
              <w:ind w:left="75"/>
              <w:rPr>
                <w:sz w:val="18"/>
                <w:szCs w:val="18"/>
              </w:rPr>
            </w:pPr>
            <w:r>
              <w:rPr>
                <w:spacing w:val="-1"/>
                <w:sz w:val="18"/>
                <w:szCs w:val="18"/>
              </w:rPr>
              <w:t>0.0001L</w:t>
            </w:r>
          </w:p>
        </w:tc>
        <w:tc>
          <w:tcPr>
            <w:tcW w:w="754" w:type="dxa"/>
            <w:vAlign w:val="top"/>
          </w:tcPr>
          <w:p w14:paraId="5EB8BA95">
            <w:pPr>
              <w:pStyle w:val="6"/>
              <w:spacing w:before="136" w:line="232" w:lineRule="auto"/>
              <w:ind w:left="84"/>
              <w:rPr>
                <w:sz w:val="18"/>
                <w:szCs w:val="18"/>
              </w:rPr>
            </w:pPr>
            <w:r>
              <w:rPr>
                <w:spacing w:val="-1"/>
                <w:sz w:val="18"/>
                <w:szCs w:val="18"/>
              </w:rPr>
              <w:t>0.0004L</w:t>
            </w:r>
          </w:p>
        </w:tc>
        <w:tc>
          <w:tcPr>
            <w:tcW w:w="667" w:type="dxa"/>
            <w:vAlign w:val="top"/>
          </w:tcPr>
          <w:p w14:paraId="29A3C82E">
            <w:pPr>
              <w:pStyle w:val="6"/>
              <w:spacing w:before="136" w:line="232" w:lineRule="auto"/>
              <w:ind w:left="86"/>
              <w:rPr>
                <w:sz w:val="18"/>
                <w:szCs w:val="18"/>
              </w:rPr>
            </w:pPr>
            <w:r>
              <w:rPr>
                <w:spacing w:val="-2"/>
                <w:sz w:val="18"/>
                <w:szCs w:val="18"/>
              </w:rPr>
              <w:t>0.002L</w:t>
            </w:r>
          </w:p>
        </w:tc>
        <w:tc>
          <w:tcPr>
            <w:tcW w:w="544" w:type="dxa"/>
            <w:vAlign w:val="top"/>
          </w:tcPr>
          <w:p w14:paraId="47F71980">
            <w:pPr>
              <w:pStyle w:val="6"/>
              <w:spacing w:before="136" w:line="232" w:lineRule="auto"/>
              <w:ind w:left="126"/>
              <w:rPr>
                <w:sz w:val="18"/>
                <w:szCs w:val="18"/>
              </w:rPr>
            </w:pPr>
            <w:r>
              <w:rPr>
                <w:spacing w:val="-2"/>
                <w:sz w:val="18"/>
                <w:szCs w:val="18"/>
              </w:rPr>
              <w:t>0.24</w:t>
            </w:r>
          </w:p>
        </w:tc>
        <w:tc>
          <w:tcPr>
            <w:tcW w:w="434" w:type="dxa"/>
            <w:vAlign w:val="top"/>
          </w:tcPr>
          <w:p w14:paraId="5290BF11">
            <w:pPr>
              <w:pStyle w:val="6"/>
              <w:spacing w:before="136" w:line="232" w:lineRule="auto"/>
              <w:ind w:left="62"/>
              <w:rPr>
                <w:sz w:val="18"/>
                <w:szCs w:val="18"/>
              </w:rPr>
            </w:pPr>
            <w:r>
              <w:rPr>
                <w:spacing w:val="-2"/>
                <w:sz w:val="18"/>
                <w:szCs w:val="18"/>
              </w:rPr>
              <w:t>0.5L</w:t>
            </w:r>
          </w:p>
        </w:tc>
        <w:tc>
          <w:tcPr>
            <w:tcW w:w="1015" w:type="dxa"/>
            <w:vAlign w:val="top"/>
          </w:tcPr>
          <w:p w14:paraId="6CE50E97">
            <w:pPr>
              <w:pStyle w:val="6"/>
              <w:spacing w:before="136" w:line="232" w:lineRule="auto"/>
              <w:ind w:left="489"/>
              <w:rPr>
                <w:sz w:val="18"/>
                <w:szCs w:val="18"/>
              </w:rPr>
            </w:pPr>
            <w:r>
              <w:rPr>
                <w:sz w:val="18"/>
                <w:szCs w:val="18"/>
              </w:rPr>
              <w:t>/</w:t>
            </w:r>
          </w:p>
        </w:tc>
        <w:tc>
          <w:tcPr>
            <w:tcW w:w="721" w:type="dxa"/>
            <w:tcBorders>
              <w:right w:val="single" w:color="000000" w:sz="12" w:space="0"/>
            </w:tcBorders>
            <w:vAlign w:val="top"/>
          </w:tcPr>
          <w:p w14:paraId="5EC3A4B7">
            <w:pPr>
              <w:pStyle w:val="6"/>
              <w:spacing w:before="136" w:line="232" w:lineRule="auto"/>
              <w:ind w:left="278"/>
              <w:rPr>
                <w:sz w:val="18"/>
                <w:szCs w:val="18"/>
              </w:rPr>
            </w:pPr>
            <w:r>
              <w:rPr>
                <w:spacing w:val="-2"/>
                <w:sz w:val="18"/>
                <w:szCs w:val="18"/>
              </w:rPr>
              <w:t>30</w:t>
            </w:r>
          </w:p>
        </w:tc>
      </w:tr>
      <w:tr w14:paraId="67A16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tcBorders>
            <w:vAlign w:val="top"/>
          </w:tcPr>
          <w:p w14:paraId="7C2E3DC4">
            <w:pPr>
              <w:rPr>
                <w:rFonts w:ascii="Arial"/>
                <w:sz w:val="21"/>
              </w:rPr>
            </w:pPr>
          </w:p>
        </w:tc>
        <w:tc>
          <w:tcPr>
            <w:tcW w:w="272" w:type="dxa"/>
            <w:vMerge w:val="continue"/>
            <w:tcBorders>
              <w:top w:val="nil"/>
            </w:tcBorders>
            <w:vAlign w:val="top"/>
          </w:tcPr>
          <w:p w14:paraId="5E0C9BB2">
            <w:pPr>
              <w:rPr>
                <w:rFonts w:ascii="Arial"/>
                <w:sz w:val="21"/>
              </w:rPr>
            </w:pPr>
          </w:p>
        </w:tc>
        <w:tc>
          <w:tcPr>
            <w:tcW w:w="1004" w:type="dxa"/>
            <w:vAlign w:val="top"/>
          </w:tcPr>
          <w:p w14:paraId="412BB0DE">
            <w:pPr>
              <w:pStyle w:val="6"/>
              <w:spacing w:before="135" w:line="232" w:lineRule="auto"/>
              <w:ind w:left="77"/>
              <w:rPr>
                <w:sz w:val="18"/>
                <w:szCs w:val="18"/>
              </w:rPr>
            </w:pPr>
            <w:r>
              <w:rPr>
                <w:spacing w:val="-1"/>
                <w:sz w:val="18"/>
                <w:szCs w:val="18"/>
              </w:rPr>
              <w:t>2019/11/11</w:t>
            </w:r>
          </w:p>
        </w:tc>
        <w:tc>
          <w:tcPr>
            <w:tcW w:w="686" w:type="dxa"/>
            <w:vAlign w:val="top"/>
          </w:tcPr>
          <w:p w14:paraId="292CCABA">
            <w:pPr>
              <w:pStyle w:val="6"/>
              <w:spacing w:before="140" w:line="183" w:lineRule="auto"/>
              <w:ind w:left="234"/>
              <w:rPr>
                <w:sz w:val="18"/>
                <w:szCs w:val="18"/>
              </w:rPr>
            </w:pPr>
            <w:r>
              <w:rPr>
                <w:spacing w:val="-2"/>
                <w:sz w:val="18"/>
                <w:szCs w:val="18"/>
              </w:rPr>
              <w:t>5L</w:t>
            </w:r>
          </w:p>
        </w:tc>
        <w:tc>
          <w:tcPr>
            <w:tcW w:w="923" w:type="dxa"/>
            <w:vAlign w:val="top"/>
          </w:tcPr>
          <w:p w14:paraId="575B6C6B">
            <w:pPr>
              <w:pStyle w:val="6"/>
              <w:spacing w:before="135" w:line="232" w:lineRule="auto"/>
              <w:ind w:left="338"/>
              <w:rPr>
                <w:sz w:val="18"/>
                <w:szCs w:val="18"/>
              </w:rPr>
            </w:pPr>
            <w:r>
              <w:rPr>
                <w:spacing w:val="-3"/>
                <w:sz w:val="18"/>
                <w:szCs w:val="18"/>
              </w:rPr>
              <w:t>0.6</w:t>
            </w:r>
          </w:p>
        </w:tc>
        <w:tc>
          <w:tcPr>
            <w:tcW w:w="708" w:type="dxa"/>
            <w:vAlign w:val="top"/>
          </w:tcPr>
          <w:p w14:paraId="4D8590F5">
            <w:pPr>
              <w:pStyle w:val="6"/>
              <w:spacing w:before="135" w:line="232" w:lineRule="auto"/>
              <w:ind w:left="189"/>
              <w:rPr>
                <w:sz w:val="18"/>
                <w:szCs w:val="18"/>
              </w:rPr>
            </w:pPr>
            <w:r>
              <w:rPr>
                <w:spacing w:val="-2"/>
                <w:sz w:val="18"/>
                <w:szCs w:val="18"/>
              </w:rPr>
              <w:t>6.77</w:t>
            </w:r>
          </w:p>
        </w:tc>
        <w:tc>
          <w:tcPr>
            <w:tcW w:w="850" w:type="dxa"/>
            <w:vAlign w:val="top"/>
          </w:tcPr>
          <w:p w14:paraId="0E6A7333">
            <w:pPr>
              <w:pStyle w:val="6"/>
              <w:spacing w:before="135" w:line="232" w:lineRule="auto"/>
              <w:ind w:left="214"/>
              <w:rPr>
                <w:sz w:val="18"/>
                <w:szCs w:val="18"/>
              </w:rPr>
            </w:pPr>
            <w:r>
              <w:rPr>
                <w:spacing w:val="-2"/>
                <w:sz w:val="18"/>
                <w:szCs w:val="18"/>
              </w:rPr>
              <w:t>0.106</w:t>
            </w:r>
          </w:p>
        </w:tc>
        <w:tc>
          <w:tcPr>
            <w:tcW w:w="761" w:type="dxa"/>
            <w:vAlign w:val="top"/>
          </w:tcPr>
          <w:p w14:paraId="5BB14D0E">
            <w:pPr>
              <w:pStyle w:val="6"/>
              <w:spacing w:before="135" w:line="232" w:lineRule="auto"/>
              <w:ind w:left="125"/>
              <w:rPr>
                <w:sz w:val="18"/>
                <w:szCs w:val="18"/>
              </w:rPr>
            </w:pPr>
            <w:r>
              <w:rPr>
                <w:spacing w:val="-2"/>
                <w:sz w:val="18"/>
                <w:szCs w:val="18"/>
              </w:rPr>
              <w:t>0.0735</w:t>
            </w:r>
          </w:p>
        </w:tc>
        <w:tc>
          <w:tcPr>
            <w:tcW w:w="654" w:type="dxa"/>
            <w:vAlign w:val="top"/>
          </w:tcPr>
          <w:p w14:paraId="1AFD4257">
            <w:pPr>
              <w:pStyle w:val="6"/>
              <w:spacing w:before="135" w:line="232" w:lineRule="auto"/>
              <w:ind w:left="73"/>
              <w:rPr>
                <w:sz w:val="18"/>
                <w:szCs w:val="18"/>
              </w:rPr>
            </w:pPr>
            <w:r>
              <w:rPr>
                <w:spacing w:val="-2"/>
                <w:sz w:val="18"/>
                <w:szCs w:val="18"/>
              </w:rPr>
              <w:t>0.0028</w:t>
            </w:r>
          </w:p>
        </w:tc>
        <w:tc>
          <w:tcPr>
            <w:tcW w:w="708" w:type="dxa"/>
            <w:vAlign w:val="top"/>
          </w:tcPr>
          <w:p w14:paraId="3EE611CE">
            <w:pPr>
              <w:pStyle w:val="6"/>
              <w:spacing w:before="135" w:line="232" w:lineRule="auto"/>
              <w:ind w:left="91"/>
              <w:rPr>
                <w:sz w:val="18"/>
                <w:szCs w:val="18"/>
              </w:rPr>
            </w:pPr>
            <w:r>
              <w:rPr>
                <w:spacing w:val="-2"/>
                <w:sz w:val="18"/>
                <w:szCs w:val="18"/>
              </w:rPr>
              <w:t>0.009L</w:t>
            </w:r>
          </w:p>
        </w:tc>
        <w:tc>
          <w:tcPr>
            <w:tcW w:w="707" w:type="dxa"/>
            <w:vAlign w:val="top"/>
          </w:tcPr>
          <w:p w14:paraId="2FCDA902">
            <w:pPr>
              <w:pStyle w:val="6"/>
              <w:spacing w:before="135" w:line="232" w:lineRule="auto"/>
              <w:ind w:left="148"/>
              <w:rPr>
                <w:sz w:val="18"/>
                <w:szCs w:val="18"/>
              </w:rPr>
            </w:pPr>
            <w:r>
              <w:rPr>
                <w:spacing w:val="-2"/>
                <w:sz w:val="18"/>
                <w:szCs w:val="18"/>
              </w:rPr>
              <w:t>0.010</w:t>
            </w:r>
          </w:p>
        </w:tc>
        <w:tc>
          <w:tcPr>
            <w:tcW w:w="766" w:type="dxa"/>
            <w:vAlign w:val="top"/>
          </w:tcPr>
          <w:p w14:paraId="15E03808">
            <w:pPr>
              <w:pStyle w:val="6"/>
              <w:spacing w:before="135" w:line="232" w:lineRule="auto"/>
              <w:ind w:left="238"/>
              <w:rPr>
                <w:sz w:val="18"/>
                <w:szCs w:val="18"/>
              </w:rPr>
            </w:pPr>
            <w:r>
              <w:rPr>
                <w:spacing w:val="-6"/>
                <w:sz w:val="18"/>
                <w:szCs w:val="18"/>
              </w:rPr>
              <w:t>18.2</w:t>
            </w:r>
          </w:p>
        </w:tc>
        <w:tc>
          <w:tcPr>
            <w:tcW w:w="595" w:type="dxa"/>
            <w:vAlign w:val="top"/>
          </w:tcPr>
          <w:p w14:paraId="7F82431B">
            <w:pPr>
              <w:pStyle w:val="6"/>
              <w:spacing w:before="135" w:line="232" w:lineRule="auto"/>
              <w:ind w:left="187"/>
              <w:rPr>
                <w:sz w:val="18"/>
                <w:szCs w:val="18"/>
              </w:rPr>
            </w:pPr>
            <w:r>
              <w:rPr>
                <w:spacing w:val="-4"/>
                <w:sz w:val="18"/>
                <w:szCs w:val="18"/>
              </w:rPr>
              <w:t>8.6</w:t>
            </w:r>
          </w:p>
        </w:tc>
        <w:tc>
          <w:tcPr>
            <w:tcW w:w="955" w:type="dxa"/>
            <w:vAlign w:val="top"/>
          </w:tcPr>
          <w:p w14:paraId="0BF2A0C3">
            <w:pPr>
              <w:pStyle w:val="6"/>
              <w:spacing w:before="135" w:line="232" w:lineRule="auto"/>
              <w:ind w:left="344"/>
              <w:rPr>
                <w:sz w:val="18"/>
                <w:szCs w:val="18"/>
              </w:rPr>
            </w:pPr>
            <w:r>
              <w:rPr>
                <w:spacing w:val="-2"/>
                <w:sz w:val="18"/>
                <w:szCs w:val="18"/>
              </w:rPr>
              <w:t>302</w:t>
            </w:r>
          </w:p>
        </w:tc>
        <w:tc>
          <w:tcPr>
            <w:tcW w:w="506" w:type="dxa"/>
            <w:vAlign w:val="top"/>
          </w:tcPr>
          <w:p w14:paraId="50650FDA">
            <w:pPr>
              <w:pStyle w:val="6"/>
              <w:spacing w:before="135" w:line="232" w:lineRule="auto"/>
              <w:ind w:left="134"/>
              <w:rPr>
                <w:sz w:val="18"/>
                <w:szCs w:val="18"/>
              </w:rPr>
            </w:pPr>
            <w:r>
              <w:rPr>
                <w:spacing w:val="-5"/>
                <w:sz w:val="18"/>
                <w:szCs w:val="18"/>
              </w:rPr>
              <w:t>179</w:t>
            </w:r>
          </w:p>
        </w:tc>
        <w:tc>
          <w:tcPr>
            <w:tcW w:w="707" w:type="dxa"/>
            <w:vAlign w:val="top"/>
          </w:tcPr>
          <w:p w14:paraId="3B491054">
            <w:pPr>
              <w:pStyle w:val="6"/>
              <w:spacing w:before="135" w:line="232" w:lineRule="auto"/>
              <w:ind w:left="197"/>
              <w:rPr>
                <w:sz w:val="18"/>
                <w:szCs w:val="18"/>
              </w:rPr>
            </w:pPr>
            <w:r>
              <w:rPr>
                <w:spacing w:val="-2"/>
                <w:sz w:val="18"/>
                <w:szCs w:val="18"/>
              </w:rPr>
              <w:t>0.74</w:t>
            </w:r>
          </w:p>
        </w:tc>
        <w:tc>
          <w:tcPr>
            <w:tcW w:w="708" w:type="dxa"/>
            <w:vAlign w:val="top"/>
          </w:tcPr>
          <w:p w14:paraId="717744D5">
            <w:pPr>
              <w:pStyle w:val="6"/>
              <w:spacing w:before="135" w:line="232" w:lineRule="auto"/>
              <w:ind w:left="99"/>
              <w:rPr>
                <w:sz w:val="18"/>
                <w:szCs w:val="18"/>
              </w:rPr>
            </w:pPr>
            <w:r>
              <w:rPr>
                <w:spacing w:val="-2"/>
                <w:sz w:val="18"/>
                <w:szCs w:val="18"/>
              </w:rPr>
              <w:t>0.002L</w:t>
            </w:r>
          </w:p>
        </w:tc>
        <w:tc>
          <w:tcPr>
            <w:tcW w:w="663" w:type="dxa"/>
            <w:vAlign w:val="top"/>
          </w:tcPr>
          <w:p w14:paraId="2C39A3FB">
            <w:pPr>
              <w:pStyle w:val="6"/>
              <w:spacing w:before="135" w:line="232" w:lineRule="auto"/>
              <w:ind w:left="78"/>
              <w:rPr>
                <w:sz w:val="18"/>
                <w:szCs w:val="18"/>
              </w:rPr>
            </w:pPr>
            <w:r>
              <w:rPr>
                <w:spacing w:val="-2"/>
                <w:sz w:val="18"/>
                <w:szCs w:val="18"/>
              </w:rPr>
              <w:t>0.050L</w:t>
            </w:r>
          </w:p>
        </w:tc>
        <w:tc>
          <w:tcPr>
            <w:tcW w:w="664" w:type="dxa"/>
            <w:vAlign w:val="top"/>
          </w:tcPr>
          <w:p w14:paraId="063EFEE1">
            <w:pPr>
              <w:pStyle w:val="6"/>
              <w:spacing w:before="135" w:line="232" w:lineRule="auto"/>
              <w:ind w:left="79"/>
              <w:rPr>
                <w:sz w:val="18"/>
                <w:szCs w:val="18"/>
              </w:rPr>
            </w:pPr>
            <w:r>
              <w:rPr>
                <w:spacing w:val="-1"/>
                <w:sz w:val="18"/>
                <w:szCs w:val="18"/>
              </w:rPr>
              <w:t>0.001L</w:t>
            </w:r>
          </w:p>
        </w:tc>
        <w:tc>
          <w:tcPr>
            <w:tcW w:w="782" w:type="dxa"/>
            <w:vAlign w:val="top"/>
          </w:tcPr>
          <w:p w14:paraId="0888AB98">
            <w:pPr>
              <w:pStyle w:val="6"/>
              <w:spacing w:before="135" w:line="232" w:lineRule="auto"/>
              <w:ind w:left="93"/>
              <w:rPr>
                <w:sz w:val="18"/>
                <w:szCs w:val="18"/>
              </w:rPr>
            </w:pPr>
            <w:r>
              <w:rPr>
                <w:spacing w:val="-1"/>
                <w:sz w:val="18"/>
                <w:szCs w:val="18"/>
              </w:rPr>
              <w:t>0.0005L</w:t>
            </w:r>
          </w:p>
        </w:tc>
        <w:tc>
          <w:tcPr>
            <w:tcW w:w="663" w:type="dxa"/>
            <w:vAlign w:val="top"/>
          </w:tcPr>
          <w:p w14:paraId="02397B27">
            <w:pPr>
              <w:pStyle w:val="6"/>
              <w:spacing w:before="135" w:line="232" w:lineRule="auto"/>
              <w:ind w:left="81"/>
              <w:rPr>
                <w:sz w:val="18"/>
                <w:szCs w:val="18"/>
              </w:rPr>
            </w:pPr>
            <w:r>
              <w:rPr>
                <w:spacing w:val="-2"/>
                <w:sz w:val="18"/>
                <w:szCs w:val="18"/>
              </w:rPr>
              <w:t>0.004L</w:t>
            </w:r>
          </w:p>
        </w:tc>
        <w:tc>
          <w:tcPr>
            <w:tcW w:w="737" w:type="dxa"/>
            <w:vAlign w:val="top"/>
          </w:tcPr>
          <w:p w14:paraId="348EFA46">
            <w:pPr>
              <w:pStyle w:val="6"/>
              <w:spacing w:before="135" w:line="232" w:lineRule="auto"/>
              <w:ind w:left="74"/>
              <w:rPr>
                <w:sz w:val="18"/>
                <w:szCs w:val="18"/>
              </w:rPr>
            </w:pPr>
            <w:r>
              <w:rPr>
                <w:spacing w:val="-1"/>
                <w:sz w:val="18"/>
                <w:szCs w:val="18"/>
              </w:rPr>
              <w:t>0.0025L</w:t>
            </w:r>
          </w:p>
        </w:tc>
        <w:tc>
          <w:tcPr>
            <w:tcW w:w="737" w:type="dxa"/>
            <w:vAlign w:val="top"/>
          </w:tcPr>
          <w:p w14:paraId="328B3E69">
            <w:pPr>
              <w:pStyle w:val="6"/>
              <w:spacing w:before="135" w:line="232" w:lineRule="auto"/>
              <w:ind w:left="75"/>
              <w:rPr>
                <w:sz w:val="18"/>
                <w:szCs w:val="18"/>
              </w:rPr>
            </w:pPr>
            <w:r>
              <w:rPr>
                <w:spacing w:val="-1"/>
                <w:sz w:val="18"/>
                <w:szCs w:val="18"/>
              </w:rPr>
              <w:t>0.0001L</w:t>
            </w:r>
          </w:p>
        </w:tc>
        <w:tc>
          <w:tcPr>
            <w:tcW w:w="754" w:type="dxa"/>
            <w:vAlign w:val="top"/>
          </w:tcPr>
          <w:p w14:paraId="3EFF8091">
            <w:pPr>
              <w:pStyle w:val="6"/>
              <w:spacing w:before="135" w:line="232" w:lineRule="auto"/>
              <w:ind w:left="84"/>
              <w:rPr>
                <w:sz w:val="18"/>
                <w:szCs w:val="18"/>
              </w:rPr>
            </w:pPr>
            <w:r>
              <w:rPr>
                <w:spacing w:val="-1"/>
                <w:sz w:val="18"/>
                <w:szCs w:val="18"/>
              </w:rPr>
              <w:t>0.0004L</w:t>
            </w:r>
          </w:p>
        </w:tc>
        <w:tc>
          <w:tcPr>
            <w:tcW w:w="667" w:type="dxa"/>
            <w:vAlign w:val="top"/>
          </w:tcPr>
          <w:p w14:paraId="6FFD93A4">
            <w:pPr>
              <w:pStyle w:val="6"/>
              <w:spacing w:before="135" w:line="232" w:lineRule="auto"/>
              <w:ind w:left="86"/>
              <w:rPr>
                <w:sz w:val="18"/>
                <w:szCs w:val="18"/>
              </w:rPr>
            </w:pPr>
            <w:r>
              <w:rPr>
                <w:spacing w:val="-2"/>
                <w:sz w:val="18"/>
                <w:szCs w:val="18"/>
              </w:rPr>
              <w:t>0.002L</w:t>
            </w:r>
          </w:p>
        </w:tc>
        <w:tc>
          <w:tcPr>
            <w:tcW w:w="544" w:type="dxa"/>
            <w:vAlign w:val="top"/>
          </w:tcPr>
          <w:p w14:paraId="3C1EA94A">
            <w:pPr>
              <w:pStyle w:val="6"/>
              <w:spacing w:before="135" w:line="232" w:lineRule="auto"/>
              <w:ind w:left="126"/>
              <w:rPr>
                <w:sz w:val="18"/>
                <w:szCs w:val="18"/>
              </w:rPr>
            </w:pPr>
            <w:r>
              <w:rPr>
                <w:spacing w:val="-2"/>
                <w:sz w:val="18"/>
                <w:szCs w:val="18"/>
              </w:rPr>
              <w:t>0.25</w:t>
            </w:r>
          </w:p>
        </w:tc>
        <w:tc>
          <w:tcPr>
            <w:tcW w:w="434" w:type="dxa"/>
            <w:vAlign w:val="top"/>
          </w:tcPr>
          <w:p w14:paraId="176FC5AD">
            <w:pPr>
              <w:pStyle w:val="6"/>
              <w:spacing w:before="135" w:line="232" w:lineRule="auto"/>
              <w:ind w:left="62"/>
              <w:rPr>
                <w:sz w:val="18"/>
                <w:szCs w:val="18"/>
              </w:rPr>
            </w:pPr>
            <w:r>
              <w:rPr>
                <w:spacing w:val="-2"/>
                <w:sz w:val="18"/>
                <w:szCs w:val="18"/>
              </w:rPr>
              <w:t>0.5L</w:t>
            </w:r>
          </w:p>
        </w:tc>
        <w:tc>
          <w:tcPr>
            <w:tcW w:w="1015" w:type="dxa"/>
            <w:vAlign w:val="top"/>
          </w:tcPr>
          <w:p w14:paraId="47BC8C15">
            <w:pPr>
              <w:pStyle w:val="6"/>
              <w:spacing w:before="135" w:line="232" w:lineRule="auto"/>
              <w:ind w:left="489"/>
              <w:rPr>
                <w:sz w:val="18"/>
                <w:szCs w:val="18"/>
              </w:rPr>
            </w:pPr>
            <w:r>
              <w:rPr>
                <w:sz w:val="18"/>
                <w:szCs w:val="18"/>
              </w:rPr>
              <w:t>/</w:t>
            </w:r>
          </w:p>
        </w:tc>
        <w:tc>
          <w:tcPr>
            <w:tcW w:w="721" w:type="dxa"/>
            <w:tcBorders>
              <w:right w:val="single" w:color="000000" w:sz="12" w:space="0"/>
            </w:tcBorders>
            <w:vAlign w:val="top"/>
          </w:tcPr>
          <w:p w14:paraId="6E9185F0">
            <w:pPr>
              <w:pStyle w:val="6"/>
              <w:spacing w:before="135" w:line="232" w:lineRule="auto"/>
              <w:ind w:left="275"/>
              <w:rPr>
                <w:sz w:val="18"/>
                <w:szCs w:val="18"/>
              </w:rPr>
            </w:pPr>
            <w:r>
              <w:rPr>
                <w:spacing w:val="-1"/>
                <w:sz w:val="18"/>
                <w:szCs w:val="18"/>
              </w:rPr>
              <w:t>20</w:t>
            </w:r>
          </w:p>
        </w:tc>
      </w:tr>
      <w:tr w14:paraId="3A4D5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restart"/>
            <w:tcBorders>
              <w:left w:val="single" w:color="000000" w:sz="12" w:space="0"/>
              <w:bottom w:val="nil"/>
            </w:tcBorders>
            <w:vAlign w:val="top"/>
          </w:tcPr>
          <w:p w14:paraId="692616A7">
            <w:pPr>
              <w:spacing w:line="253" w:lineRule="auto"/>
              <w:rPr>
                <w:rFonts w:ascii="Arial"/>
                <w:sz w:val="21"/>
              </w:rPr>
            </w:pPr>
          </w:p>
          <w:p w14:paraId="14EB9CB1">
            <w:pPr>
              <w:spacing w:line="253" w:lineRule="auto"/>
              <w:rPr>
                <w:rFonts w:ascii="Arial"/>
                <w:sz w:val="21"/>
              </w:rPr>
            </w:pPr>
          </w:p>
          <w:p w14:paraId="0E66C4D6">
            <w:pPr>
              <w:spacing w:line="253" w:lineRule="auto"/>
              <w:rPr>
                <w:rFonts w:ascii="Arial"/>
                <w:sz w:val="21"/>
              </w:rPr>
            </w:pPr>
          </w:p>
          <w:p w14:paraId="5C8796E6">
            <w:pPr>
              <w:spacing w:line="253" w:lineRule="auto"/>
              <w:rPr>
                <w:rFonts w:ascii="Arial"/>
                <w:sz w:val="21"/>
              </w:rPr>
            </w:pPr>
          </w:p>
          <w:p w14:paraId="0E7BF9C5">
            <w:pPr>
              <w:spacing w:line="254" w:lineRule="auto"/>
              <w:rPr>
                <w:rFonts w:ascii="Arial"/>
                <w:sz w:val="21"/>
              </w:rPr>
            </w:pPr>
          </w:p>
          <w:p w14:paraId="5A5B4740">
            <w:pPr>
              <w:spacing w:before="61"/>
              <w:ind w:left="51" w:right="68" w:hanging="2"/>
              <w:jc w:val="both"/>
              <w:rPr>
                <w:rFonts w:ascii="等线" w:hAnsi="等线" w:eastAsia="等线" w:cs="等线"/>
                <w:sz w:val="18"/>
                <w:szCs w:val="18"/>
              </w:rPr>
            </w:pPr>
            <w:r>
              <w:rPr>
                <w:rFonts w:ascii="等线" w:hAnsi="等线" w:eastAsia="等线" w:cs="等线"/>
                <w:spacing w:val="-4"/>
                <w:sz w:val="18"/>
                <w:szCs w:val="18"/>
              </w:rPr>
              <w:t>输水</w:t>
            </w:r>
            <w:r>
              <w:rPr>
                <w:rFonts w:ascii="等线" w:hAnsi="等线" w:eastAsia="等线" w:cs="等线"/>
                <w:spacing w:val="-5"/>
                <w:sz w:val="18"/>
                <w:szCs w:val="18"/>
              </w:rPr>
              <w:t>隧洞出口生产区生活饮用水</w:t>
            </w:r>
          </w:p>
          <w:p w14:paraId="72F1E182">
            <w:pPr>
              <w:spacing w:before="1" w:line="245" w:lineRule="auto"/>
              <w:ind w:left="140" w:right="68" w:hanging="93"/>
              <w:rPr>
                <w:rFonts w:ascii="等线" w:hAnsi="等线" w:eastAsia="等线" w:cs="等线"/>
                <w:sz w:val="18"/>
                <w:szCs w:val="18"/>
              </w:rPr>
            </w:pPr>
            <w:r>
              <w:rPr>
                <w:rFonts w:ascii="等线" w:hAnsi="等线" w:eastAsia="等线" w:cs="等线"/>
                <w:spacing w:val="-3"/>
                <w:sz w:val="18"/>
                <w:szCs w:val="18"/>
              </w:rPr>
              <w:t>供水</w:t>
            </w:r>
            <w:r>
              <w:rPr>
                <w:rFonts w:ascii="等线" w:hAnsi="等线" w:eastAsia="等线" w:cs="等线"/>
                <w:sz w:val="18"/>
                <w:szCs w:val="18"/>
              </w:rPr>
              <w:t>处</w:t>
            </w:r>
          </w:p>
        </w:tc>
        <w:tc>
          <w:tcPr>
            <w:tcW w:w="272" w:type="dxa"/>
            <w:vMerge w:val="restart"/>
            <w:tcBorders>
              <w:bottom w:val="nil"/>
            </w:tcBorders>
            <w:vAlign w:val="top"/>
          </w:tcPr>
          <w:p w14:paraId="16CCC019">
            <w:pPr>
              <w:pStyle w:val="6"/>
              <w:spacing w:before="283" w:line="235" w:lineRule="auto"/>
              <w:ind w:left="33" w:right="55"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004" w:type="dxa"/>
            <w:vAlign w:val="top"/>
          </w:tcPr>
          <w:p w14:paraId="72158081">
            <w:pPr>
              <w:pStyle w:val="6"/>
              <w:spacing w:before="136" w:line="232" w:lineRule="auto"/>
              <w:ind w:left="122"/>
              <w:rPr>
                <w:sz w:val="18"/>
                <w:szCs w:val="18"/>
              </w:rPr>
            </w:pPr>
            <w:r>
              <w:rPr>
                <w:spacing w:val="-1"/>
                <w:sz w:val="18"/>
                <w:szCs w:val="18"/>
              </w:rPr>
              <w:t>2019/1/15</w:t>
            </w:r>
          </w:p>
        </w:tc>
        <w:tc>
          <w:tcPr>
            <w:tcW w:w="686" w:type="dxa"/>
            <w:vAlign w:val="top"/>
          </w:tcPr>
          <w:p w14:paraId="24A6A45A">
            <w:pPr>
              <w:pStyle w:val="6"/>
              <w:spacing w:before="142" w:line="183" w:lineRule="auto"/>
              <w:ind w:left="234"/>
              <w:rPr>
                <w:sz w:val="18"/>
                <w:szCs w:val="18"/>
              </w:rPr>
            </w:pPr>
            <w:r>
              <w:rPr>
                <w:spacing w:val="-2"/>
                <w:sz w:val="18"/>
                <w:szCs w:val="18"/>
              </w:rPr>
              <w:t>5L</w:t>
            </w:r>
          </w:p>
        </w:tc>
        <w:tc>
          <w:tcPr>
            <w:tcW w:w="923" w:type="dxa"/>
            <w:vAlign w:val="top"/>
          </w:tcPr>
          <w:p w14:paraId="6D538E81">
            <w:pPr>
              <w:pStyle w:val="6"/>
              <w:spacing w:before="136" w:line="232" w:lineRule="auto"/>
              <w:ind w:left="283"/>
              <w:rPr>
                <w:sz w:val="18"/>
                <w:szCs w:val="18"/>
              </w:rPr>
            </w:pPr>
            <w:r>
              <w:rPr>
                <w:spacing w:val="-2"/>
                <w:sz w:val="18"/>
                <w:szCs w:val="18"/>
              </w:rPr>
              <w:t>0.5L</w:t>
            </w:r>
          </w:p>
        </w:tc>
        <w:tc>
          <w:tcPr>
            <w:tcW w:w="708" w:type="dxa"/>
            <w:vAlign w:val="top"/>
          </w:tcPr>
          <w:p w14:paraId="4A4CF129">
            <w:pPr>
              <w:pStyle w:val="6"/>
              <w:spacing w:before="136" w:line="232" w:lineRule="auto"/>
              <w:ind w:left="189"/>
              <w:rPr>
                <w:sz w:val="18"/>
                <w:szCs w:val="18"/>
              </w:rPr>
            </w:pPr>
            <w:r>
              <w:rPr>
                <w:spacing w:val="-2"/>
                <w:sz w:val="18"/>
                <w:szCs w:val="18"/>
              </w:rPr>
              <w:t>6.54</w:t>
            </w:r>
          </w:p>
        </w:tc>
        <w:tc>
          <w:tcPr>
            <w:tcW w:w="850" w:type="dxa"/>
            <w:vAlign w:val="top"/>
          </w:tcPr>
          <w:p w14:paraId="07580E18">
            <w:pPr>
              <w:pStyle w:val="6"/>
              <w:spacing w:before="136" w:line="232" w:lineRule="auto"/>
              <w:ind w:left="214"/>
              <w:rPr>
                <w:sz w:val="18"/>
                <w:szCs w:val="18"/>
              </w:rPr>
            </w:pPr>
            <w:r>
              <w:rPr>
                <w:spacing w:val="-2"/>
                <w:sz w:val="18"/>
                <w:szCs w:val="18"/>
              </w:rPr>
              <w:t>0.064</w:t>
            </w:r>
          </w:p>
        </w:tc>
        <w:tc>
          <w:tcPr>
            <w:tcW w:w="761" w:type="dxa"/>
            <w:vAlign w:val="top"/>
          </w:tcPr>
          <w:p w14:paraId="00AFDAB4">
            <w:pPr>
              <w:pStyle w:val="6"/>
              <w:spacing w:before="136" w:line="232" w:lineRule="auto"/>
              <w:ind w:left="125"/>
              <w:rPr>
                <w:sz w:val="18"/>
                <w:szCs w:val="18"/>
              </w:rPr>
            </w:pPr>
            <w:r>
              <w:rPr>
                <w:spacing w:val="-2"/>
                <w:sz w:val="18"/>
                <w:szCs w:val="18"/>
              </w:rPr>
              <w:t>0.0302</w:t>
            </w:r>
          </w:p>
        </w:tc>
        <w:tc>
          <w:tcPr>
            <w:tcW w:w="654" w:type="dxa"/>
            <w:vAlign w:val="top"/>
          </w:tcPr>
          <w:p w14:paraId="73F9F633">
            <w:pPr>
              <w:pStyle w:val="6"/>
              <w:spacing w:before="136" w:line="232" w:lineRule="auto"/>
              <w:ind w:left="73"/>
              <w:rPr>
                <w:sz w:val="18"/>
                <w:szCs w:val="18"/>
              </w:rPr>
            </w:pPr>
            <w:r>
              <w:rPr>
                <w:spacing w:val="-2"/>
                <w:sz w:val="18"/>
                <w:szCs w:val="18"/>
              </w:rPr>
              <w:t>0.0035</w:t>
            </w:r>
          </w:p>
        </w:tc>
        <w:tc>
          <w:tcPr>
            <w:tcW w:w="708" w:type="dxa"/>
            <w:vAlign w:val="top"/>
          </w:tcPr>
          <w:p w14:paraId="07DAC9F0">
            <w:pPr>
              <w:pStyle w:val="6"/>
              <w:spacing w:before="136" w:line="232" w:lineRule="auto"/>
              <w:ind w:left="91"/>
              <w:rPr>
                <w:sz w:val="18"/>
                <w:szCs w:val="18"/>
              </w:rPr>
            </w:pPr>
            <w:r>
              <w:rPr>
                <w:spacing w:val="-2"/>
                <w:sz w:val="18"/>
                <w:szCs w:val="18"/>
              </w:rPr>
              <w:t>0.009L</w:t>
            </w:r>
          </w:p>
        </w:tc>
        <w:tc>
          <w:tcPr>
            <w:tcW w:w="707" w:type="dxa"/>
            <w:vAlign w:val="top"/>
          </w:tcPr>
          <w:p w14:paraId="637F93A8">
            <w:pPr>
              <w:pStyle w:val="6"/>
              <w:spacing w:before="136" w:line="232" w:lineRule="auto"/>
              <w:ind w:left="148"/>
              <w:rPr>
                <w:sz w:val="18"/>
                <w:szCs w:val="18"/>
              </w:rPr>
            </w:pPr>
            <w:r>
              <w:rPr>
                <w:spacing w:val="-2"/>
                <w:sz w:val="18"/>
                <w:szCs w:val="18"/>
              </w:rPr>
              <w:t>0.017</w:t>
            </w:r>
          </w:p>
        </w:tc>
        <w:tc>
          <w:tcPr>
            <w:tcW w:w="766" w:type="dxa"/>
            <w:vAlign w:val="top"/>
          </w:tcPr>
          <w:p w14:paraId="17A9D708">
            <w:pPr>
              <w:pStyle w:val="6"/>
              <w:spacing w:before="136" w:line="232" w:lineRule="auto"/>
              <w:ind w:left="238"/>
              <w:rPr>
                <w:sz w:val="18"/>
                <w:szCs w:val="18"/>
              </w:rPr>
            </w:pPr>
            <w:r>
              <w:rPr>
                <w:spacing w:val="-6"/>
                <w:sz w:val="18"/>
                <w:szCs w:val="18"/>
              </w:rPr>
              <w:t>13.0</w:t>
            </w:r>
          </w:p>
        </w:tc>
        <w:tc>
          <w:tcPr>
            <w:tcW w:w="595" w:type="dxa"/>
            <w:vAlign w:val="top"/>
          </w:tcPr>
          <w:p w14:paraId="04787DAA">
            <w:pPr>
              <w:pStyle w:val="6"/>
              <w:spacing w:before="136" w:line="232" w:lineRule="auto"/>
              <w:ind w:left="143"/>
              <w:rPr>
                <w:sz w:val="18"/>
                <w:szCs w:val="18"/>
              </w:rPr>
            </w:pPr>
            <w:r>
              <w:rPr>
                <w:spacing w:val="-3"/>
                <w:sz w:val="18"/>
                <w:szCs w:val="18"/>
              </w:rPr>
              <w:t>81.1</w:t>
            </w:r>
          </w:p>
        </w:tc>
        <w:tc>
          <w:tcPr>
            <w:tcW w:w="955" w:type="dxa"/>
            <w:vAlign w:val="top"/>
          </w:tcPr>
          <w:p w14:paraId="3D33EF11">
            <w:pPr>
              <w:pStyle w:val="6"/>
              <w:spacing w:before="137" w:line="232" w:lineRule="auto"/>
              <w:ind w:left="344"/>
              <w:rPr>
                <w:sz w:val="18"/>
                <w:szCs w:val="18"/>
              </w:rPr>
            </w:pPr>
            <w:r>
              <w:rPr>
                <w:spacing w:val="-2"/>
                <w:sz w:val="18"/>
                <w:szCs w:val="18"/>
              </w:rPr>
              <w:t>385</w:t>
            </w:r>
          </w:p>
        </w:tc>
        <w:tc>
          <w:tcPr>
            <w:tcW w:w="506" w:type="dxa"/>
            <w:vAlign w:val="top"/>
          </w:tcPr>
          <w:p w14:paraId="62F186BC">
            <w:pPr>
              <w:pStyle w:val="6"/>
              <w:spacing w:before="137" w:line="232" w:lineRule="auto"/>
              <w:ind w:left="116"/>
              <w:rPr>
                <w:sz w:val="18"/>
                <w:szCs w:val="18"/>
              </w:rPr>
            </w:pPr>
            <w:r>
              <w:rPr>
                <w:spacing w:val="-1"/>
                <w:sz w:val="18"/>
                <w:szCs w:val="18"/>
              </w:rPr>
              <w:t>252</w:t>
            </w:r>
          </w:p>
        </w:tc>
        <w:tc>
          <w:tcPr>
            <w:tcW w:w="707" w:type="dxa"/>
            <w:vAlign w:val="top"/>
          </w:tcPr>
          <w:p w14:paraId="4026F450">
            <w:pPr>
              <w:pStyle w:val="6"/>
              <w:spacing w:before="136" w:line="232" w:lineRule="auto"/>
              <w:ind w:left="195"/>
              <w:rPr>
                <w:sz w:val="18"/>
                <w:szCs w:val="18"/>
              </w:rPr>
            </w:pPr>
            <w:r>
              <w:rPr>
                <w:spacing w:val="-1"/>
                <w:sz w:val="18"/>
                <w:szCs w:val="18"/>
              </w:rPr>
              <w:t>2.56</w:t>
            </w:r>
          </w:p>
        </w:tc>
        <w:tc>
          <w:tcPr>
            <w:tcW w:w="708" w:type="dxa"/>
            <w:vAlign w:val="top"/>
          </w:tcPr>
          <w:p w14:paraId="0D735973">
            <w:pPr>
              <w:pStyle w:val="6"/>
              <w:spacing w:before="136" w:line="232" w:lineRule="auto"/>
              <w:ind w:left="99"/>
              <w:rPr>
                <w:sz w:val="18"/>
                <w:szCs w:val="18"/>
              </w:rPr>
            </w:pPr>
            <w:r>
              <w:rPr>
                <w:spacing w:val="-2"/>
                <w:sz w:val="18"/>
                <w:szCs w:val="18"/>
              </w:rPr>
              <w:t>0.002L</w:t>
            </w:r>
          </w:p>
        </w:tc>
        <w:tc>
          <w:tcPr>
            <w:tcW w:w="663" w:type="dxa"/>
            <w:vAlign w:val="top"/>
          </w:tcPr>
          <w:p w14:paraId="7E3CA6CC">
            <w:pPr>
              <w:pStyle w:val="6"/>
              <w:spacing w:before="136" w:line="232" w:lineRule="auto"/>
              <w:ind w:left="123"/>
              <w:rPr>
                <w:sz w:val="18"/>
                <w:szCs w:val="18"/>
              </w:rPr>
            </w:pPr>
            <w:r>
              <w:rPr>
                <w:spacing w:val="-2"/>
                <w:sz w:val="18"/>
                <w:szCs w:val="18"/>
              </w:rPr>
              <w:t>0.05L</w:t>
            </w:r>
          </w:p>
        </w:tc>
        <w:tc>
          <w:tcPr>
            <w:tcW w:w="664" w:type="dxa"/>
            <w:vAlign w:val="top"/>
          </w:tcPr>
          <w:p w14:paraId="7AAD7478">
            <w:pPr>
              <w:pStyle w:val="6"/>
              <w:spacing w:before="136" w:line="232" w:lineRule="auto"/>
              <w:ind w:left="134"/>
              <w:rPr>
                <w:sz w:val="18"/>
                <w:szCs w:val="18"/>
              </w:rPr>
            </w:pPr>
            <w:r>
              <w:rPr>
                <w:spacing w:val="-2"/>
                <w:sz w:val="18"/>
                <w:szCs w:val="18"/>
              </w:rPr>
              <w:t>0.008</w:t>
            </w:r>
          </w:p>
        </w:tc>
        <w:tc>
          <w:tcPr>
            <w:tcW w:w="782" w:type="dxa"/>
            <w:vAlign w:val="top"/>
          </w:tcPr>
          <w:p w14:paraId="142F2BD9">
            <w:pPr>
              <w:pStyle w:val="6"/>
              <w:spacing w:before="136" w:line="232" w:lineRule="auto"/>
              <w:ind w:left="93"/>
              <w:rPr>
                <w:sz w:val="18"/>
                <w:szCs w:val="18"/>
              </w:rPr>
            </w:pPr>
            <w:r>
              <w:rPr>
                <w:spacing w:val="-1"/>
                <w:sz w:val="18"/>
                <w:szCs w:val="18"/>
              </w:rPr>
              <w:t>0.0005L</w:t>
            </w:r>
          </w:p>
        </w:tc>
        <w:tc>
          <w:tcPr>
            <w:tcW w:w="663" w:type="dxa"/>
            <w:vAlign w:val="top"/>
          </w:tcPr>
          <w:p w14:paraId="1E9CC73A">
            <w:pPr>
              <w:pStyle w:val="6"/>
              <w:spacing w:before="136" w:line="232" w:lineRule="auto"/>
              <w:ind w:left="81"/>
              <w:rPr>
                <w:sz w:val="18"/>
                <w:szCs w:val="18"/>
              </w:rPr>
            </w:pPr>
            <w:r>
              <w:rPr>
                <w:spacing w:val="-2"/>
                <w:sz w:val="18"/>
                <w:szCs w:val="18"/>
              </w:rPr>
              <w:t>0.004L</w:t>
            </w:r>
          </w:p>
        </w:tc>
        <w:tc>
          <w:tcPr>
            <w:tcW w:w="737" w:type="dxa"/>
            <w:vAlign w:val="top"/>
          </w:tcPr>
          <w:p w14:paraId="3B38335F">
            <w:pPr>
              <w:pStyle w:val="6"/>
              <w:spacing w:before="136" w:line="232" w:lineRule="auto"/>
              <w:ind w:left="74"/>
              <w:rPr>
                <w:sz w:val="18"/>
                <w:szCs w:val="18"/>
              </w:rPr>
            </w:pPr>
            <w:r>
              <w:rPr>
                <w:spacing w:val="-1"/>
                <w:sz w:val="18"/>
                <w:szCs w:val="18"/>
              </w:rPr>
              <w:t>0.0025L</w:t>
            </w:r>
          </w:p>
        </w:tc>
        <w:tc>
          <w:tcPr>
            <w:tcW w:w="737" w:type="dxa"/>
            <w:vAlign w:val="top"/>
          </w:tcPr>
          <w:p w14:paraId="6888EF2E">
            <w:pPr>
              <w:pStyle w:val="6"/>
              <w:spacing w:before="136" w:line="232" w:lineRule="auto"/>
              <w:ind w:left="130"/>
              <w:rPr>
                <w:sz w:val="18"/>
                <w:szCs w:val="18"/>
              </w:rPr>
            </w:pPr>
            <w:r>
              <w:rPr>
                <w:spacing w:val="-2"/>
                <w:sz w:val="18"/>
                <w:szCs w:val="18"/>
              </w:rPr>
              <w:t>0.0004</w:t>
            </w:r>
          </w:p>
        </w:tc>
        <w:tc>
          <w:tcPr>
            <w:tcW w:w="754" w:type="dxa"/>
            <w:vAlign w:val="top"/>
          </w:tcPr>
          <w:p w14:paraId="060023F6">
            <w:pPr>
              <w:pStyle w:val="6"/>
              <w:spacing w:before="136" w:line="232" w:lineRule="auto"/>
              <w:ind w:left="139"/>
              <w:rPr>
                <w:sz w:val="18"/>
                <w:szCs w:val="18"/>
              </w:rPr>
            </w:pPr>
            <w:r>
              <w:rPr>
                <w:spacing w:val="-2"/>
                <w:sz w:val="18"/>
                <w:szCs w:val="18"/>
              </w:rPr>
              <w:t>0.0015</w:t>
            </w:r>
          </w:p>
        </w:tc>
        <w:tc>
          <w:tcPr>
            <w:tcW w:w="667" w:type="dxa"/>
            <w:vAlign w:val="top"/>
          </w:tcPr>
          <w:p w14:paraId="6BD51511">
            <w:pPr>
              <w:pStyle w:val="6"/>
              <w:spacing w:before="136" w:line="232" w:lineRule="auto"/>
              <w:ind w:left="86"/>
              <w:rPr>
                <w:sz w:val="18"/>
                <w:szCs w:val="18"/>
              </w:rPr>
            </w:pPr>
            <w:r>
              <w:rPr>
                <w:spacing w:val="-2"/>
                <w:sz w:val="18"/>
                <w:szCs w:val="18"/>
              </w:rPr>
              <w:t>0.002L</w:t>
            </w:r>
          </w:p>
        </w:tc>
        <w:tc>
          <w:tcPr>
            <w:tcW w:w="544" w:type="dxa"/>
            <w:vAlign w:val="top"/>
          </w:tcPr>
          <w:p w14:paraId="56EBE01B">
            <w:pPr>
              <w:pStyle w:val="6"/>
              <w:spacing w:before="136" w:line="232" w:lineRule="auto"/>
              <w:ind w:left="126"/>
              <w:rPr>
                <w:sz w:val="18"/>
                <w:szCs w:val="18"/>
              </w:rPr>
            </w:pPr>
            <w:r>
              <w:rPr>
                <w:spacing w:val="-2"/>
                <w:sz w:val="18"/>
                <w:szCs w:val="18"/>
              </w:rPr>
              <w:t>0.27</w:t>
            </w:r>
          </w:p>
        </w:tc>
        <w:tc>
          <w:tcPr>
            <w:tcW w:w="434" w:type="dxa"/>
            <w:vAlign w:val="top"/>
          </w:tcPr>
          <w:p w14:paraId="51C250FF">
            <w:pPr>
              <w:pStyle w:val="6"/>
              <w:spacing w:before="136" w:line="232" w:lineRule="auto"/>
              <w:ind w:left="115"/>
              <w:rPr>
                <w:sz w:val="18"/>
                <w:szCs w:val="18"/>
              </w:rPr>
            </w:pPr>
            <w:r>
              <w:rPr>
                <w:spacing w:val="-2"/>
                <w:sz w:val="18"/>
                <w:szCs w:val="18"/>
              </w:rPr>
              <w:t>2.9</w:t>
            </w:r>
          </w:p>
        </w:tc>
        <w:tc>
          <w:tcPr>
            <w:tcW w:w="1015" w:type="dxa"/>
            <w:vAlign w:val="top"/>
          </w:tcPr>
          <w:p w14:paraId="1E9024E7">
            <w:pPr>
              <w:pStyle w:val="6"/>
              <w:spacing w:before="136" w:line="232" w:lineRule="auto"/>
              <w:ind w:left="489"/>
              <w:rPr>
                <w:sz w:val="18"/>
                <w:szCs w:val="18"/>
              </w:rPr>
            </w:pPr>
            <w:r>
              <w:rPr>
                <w:sz w:val="18"/>
                <w:szCs w:val="18"/>
              </w:rPr>
              <w:t>/</w:t>
            </w:r>
          </w:p>
        </w:tc>
        <w:tc>
          <w:tcPr>
            <w:tcW w:w="721" w:type="dxa"/>
            <w:tcBorders>
              <w:right w:val="single" w:color="000000" w:sz="12" w:space="0"/>
            </w:tcBorders>
            <w:vAlign w:val="top"/>
          </w:tcPr>
          <w:p w14:paraId="0AC4F94E">
            <w:pPr>
              <w:pStyle w:val="6"/>
              <w:spacing w:before="137" w:line="232" w:lineRule="auto"/>
              <w:ind w:left="282"/>
              <w:rPr>
                <w:sz w:val="18"/>
                <w:szCs w:val="18"/>
              </w:rPr>
            </w:pPr>
            <w:r>
              <w:rPr>
                <w:spacing w:val="-3"/>
                <w:sz w:val="18"/>
                <w:szCs w:val="18"/>
              </w:rPr>
              <w:t>80</w:t>
            </w:r>
          </w:p>
        </w:tc>
      </w:tr>
      <w:tr w14:paraId="64B39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2E86D4D1">
            <w:pPr>
              <w:rPr>
                <w:rFonts w:ascii="Arial"/>
                <w:sz w:val="21"/>
              </w:rPr>
            </w:pPr>
          </w:p>
        </w:tc>
        <w:tc>
          <w:tcPr>
            <w:tcW w:w="272" w:type="dxa"/>
            <w:vMerge w:val="continue"/>
            <w:tcBorders>
              <w:top w:val="nil"/>
              <w:bottom w:val="nil"/>
            </w:tcBorders>
            <w:vAlign w:val="top"/>
          </w:tcPr>
          <w:p w14:paraId="29AB0679">
            <w:pPr>
              <w:rPr>
                <w:rFonts w:ascii="Arial"/>
                <w:sz w:val="21"/>
              </w:rPr>
            </w:pPr>
          </w:p>
        </w:tc>
        <w:tc>
          <w:tcPr>
            <w:tcW w:w="1004" w:type="dxa"/>
            <w:vAlign w:val="top"/>
          </w:tcPr>
          <w:p w14:paraId="39A8F675">
            <w:pPr>
              <w:pStyle w:val="6"/>
              <w:spacing w:before="139" w:line="232" w:lineRule="auto"/>
              <w:ind w:left="122"/>
              <w:rPr>
                <w:sz w:val="18"/>
                <w:szCs w:val="18"/>
              </w:rPr>
            </w:pPr>
            <w:r>
              <w:rPr>
                <w:spacing w:val="-1"/>
                <w:sz w:val="18"/>
                <w:szCs w:val="18"/>
              </w:rPr>
              <w:t>2019/1/16</w:t>
            </w:r>
          </w:p>
        </w:tc>
        <w:tc>
          <w:tcPr>
            <w:tcW w:w="686" w:type="dxa"/>
            <w:vAlign w:val="top"/>
          </w:tcPr>
          <w:p w14:paraId="6D394132">
            <w:pPr>
              <w:pStyle w:val="6"/>
              <w:spacing w:before="145" w:line="183" w:lineRule="auto"/>
              <w:ind w:left="234"/>
              <w:rPr>
                <w:sz w:val="18"/>
                <w:szCs w:val="18"/>
              </w:rPr>
            </w:pPr>
            <w:r>
              <w:rPr>
                <w:spacing w:val="-2"/>
                <w:sz w:val="18"/>
                <w:szCs w:val="18"/>
              </w:rPr>
              <w:t>5L</w:t>
            </w:r>
          </w:p>
        </w:tc>
        <w:tc>
          <w:tcPr>
            <w:tcW w:w="923" w:type="dxa"/>
            <w:vAlign w:val="top"/>
          </w:tcPr>
          <w:p w14:paraId="5C186291">
            <w:pPr>
              <w:pStyle w:val="6"/>
              <w:spacing w:before="139" w:line="232" w:lineRule="auto"/>
              <w:ind w:left="338"/>
              <w:rPr>
                <w:sz w:val="18"/>
                <w:szCs w:val="18"/>
              </w:rPr>
            </w:pPr>
            <w:r>
              <w:rPr>
                <w:spacing w:val="-3"/>
                <w:sz w:val="18"/>
                <w:szCs w:val="18"/>
              </w:rPr>
              <w:t>0.5</w:t>
            </w:r>
          </w:p>
        </w:tc>
        <w:tc>
          <w:tcPr>
            <w:tcW w:w="708" w:type="dxa"/>
            <w:vAlign w:val="top"/>
          </w:tcPr>
          <w:p w14:paraId="2D301D39">
            <w:pPr>
              <w:pStyle w:val="6"/>
              <w:spacing w:before="139" w:line="232" w:lineRule="auto"/>
              <w:ind w:left="189"/>
              <w:rPr>
                <w:sz w:val="18"/>
                <w:szCs w:val="18"/>
              </w:rPr>
            </w:pPr>
            <w:r>
              <w:rPr>
                <w:spacing w:val="-2"/>
                <w:sz w:val="18"/>
                <w:szCs w:val="18"/>
              </w:rPr>
              <w:t>6.51</w:t>
            </w:r>
          </w:p>
        </w:tc>
        <w:tc>
          <w:tcPr>
            <w:tcW w:w="850" w:type="dxa"/>
            <w:vAlign w:val="top"/>
          </w:tcPr>
          <w:p w14:paraId="47C4CDAD">
            <w:pPr>
              <w:pStyle w:val="6"/>
              <w:spacing w:before="139" w:line="232" w:lineRule="auto"/>
              <w:ind w:left="214"/>
              <w:rPr>
                <w:sz w:val="18"/>
                <w:szCs w:val="18"/>
              </w:rPr>
            </w:pPr>
            <w:r>
              <w:rPr>
                <w:spacing w:val="-2"/>
                <w:sz w:val="18"/>
                <w:szCs w:val="18"/>
              </w:rPr>
              <w:t>0.062</w:t>
            </w:r>
          </w:p>
        </w:tc>
        <w:tc>
          <w:tcPr>
            <w:tcW w:w="761" w:type="dxa"/>
            <w:vAlign w:val="top"/>
          </w:tcPr>
          <w:p w14:paraId="1B240BF8">
            <w:pPr>
              <w:pStyle w:val="6"/>
              <w:spacing w:before="139" w:line="232" w:lineRule="auto"/>
              <w:ind w:left="125"/>
              <w:rPr>
                <w:sz w:val="18"/>
                <w:szCs w:val="18"/>
              </w:rPr>
            </w:pPr>
            <w:r>
              <w:rPr>
                <w:spacing w:val="-2"/>
                <w:sz w:val="18"/>
                <w:szCs w:val="18"/>
              </w:rPr>
              <w:t>0.0311</w:t>
            </w:r>
          </w:p>
        </w:tc>
        <w:tc>
          <w:tcPr>
            <w:tcW w:w="654" w:type="dxa"/>
            <w:vAlign w:val="top"/>
          </w:tcPr>
          <w:p w14:paraId="30CF1C63">
            <w:pPr>
              <w:pStyle w:val="6"/>
              <w:spacing w:before="139" w:line="232" w:lineRule="auto"/>
              <w:ind w:left="73"/>
              <w:rPr>
                <w:sz w:val="18"/>
                <w:szCs w:val="18"/>
              </w:rPr>
            </w:pPr>
            <w:r>
              <w:rPr>
                <w:spacing w:val="-2"/>
                <w:sz w:val="18"/>
                <w:szCs w:val="18"/>
              </w:rPr>
              <w:t>0.0032</w:t>
            </w:r>
          </w:p>
        </w:tc>
        <w:tc>
          <w:tcPr>
            <w:tcW w:w="708" w:type="dxa"/>
            <w:vAlign w:val="top"/>
          </w:tcPr>
          <w:p w14:paraId="524BE6C2">
            <w:pPr>
              <w:pStyle w:val="6"/>
              <w:spacing w:before="139" w:line="232" w:lineRule="auto"/>
              <w:ind w:left="91"/>
              <w:rPr>
                <w:sz w:val="18"/>
                <w:szCs w:val="18"/>
              </w:rPr>
            </w:pPr>
            <w:r>
              <w:rPr>
                <w:spacing w:val="-2"/>
                <w:sz w:val="18"/>
                <w:szCs w:val="18"/>
              </w:rPr>
              <w:t>0.009L</w:t>
            </w:r>
          </w:p>
        </w:tc>
        <w:tc>
          <w:tcPr>
            <w:tcW w:w="707" w:type="dxa"/>
            <w:vAlign w:val="top"/>
          </w:tcPr>
          <w:p w14:paraId="6CA354DA">
            <w:pPr>
              <w:pStyle w:val="6"/>
              <w:spacing w:before="139" w:line="232" w:lineRule="auto"/>
              <w:ind w:left="148"/>
              <w:rPr>
                <w:sz w:val="18"/>
                <w:szCs w:val="18"/>
              </w:rPr>
            </w:pPr>
            <w:r>
              <w:rPr>
                <w:spacing w:val="-2"/>
                <w:sz w:val="18"/>
                <w:szCs w:val="18"/>
              </w:rPr>
              <w:t>0.015</w:t>
            </w:r>
          </w:p>
        </w:tc>
        <w:tc>
          <w:tcPr>
            <w:tcW w:w="766" w:type="dxa"/>
            <w:vAlign w:val="top"/>
          </w:tcPr>
          <w:p w14:paraId="09AA4F51">
            <w:pPr>
              <w:pStyle w:val="6"/>
              <w:spacing w:before="139" w:line="232" w:lineRule="auto"/>
              <w:ind w:left="238"/>
              <w:rPr>
                <w:sz w:val="18"/>
                <w:szCs w:val="18"/>
              </w:rPr>
            </w:pPr>
            <w:r>
              <w:rPr>
                <w:spacing w:val="-6"/>
                <w:sz w:val="18"/>
                <w:szCs w:val="18"/>
              </w:rPr>
              <w:t>12.7</w:t>
            </w:r>
          </w:p>
        </w:tc>
        <w:tc>
          <w:tcPr>
            <w:tcW w:w="595" w:type="dxa"/>
            <w:vAlign w:val="top"/>
          </w:tcPr>
          <w:p w14:paraId="42153005">
            <w:pPr>
              <w:pStyle w:val="6"/>
              <w:spacing w:before="139" w:line="232" w:lineRule="auto"/>
              <w:ind w:left="143"/>
              <w:rPr>
                <w:sz w:val="18"/>
                <w:szCs w:val="18"/>
              </w:rPr>
            </w:pPr>
            <w:r>
              <w:rPr>
                <w:spacing w:val="-3"/>
                <w:sz w:val="18"/>
                <w:szCs w:val="18"/>
              </w:rPr>
              <w:t>84.5</w:t>
            </w:r>
          </w:p>
        </w:tc>
        <w:tc>
          <w:tcPr>
            <w:tcW w:w="955" w:type="dxa"/>
            <w:vAlign w:val="top"/>
          </w:tcPr>
          <w:p w14:paraId="383C67BB">
            <w:pPr>
              <w:pStyle w:val="6"/>
              <w:spacing w:before="139" w:line="232" w:lineRule="auto"/>
              <w:ind w:left="344"/>
              <w:rPr>
                <w:sz w:val="18"/>
                <w:szCs w:val="18"/>
              </w:rPr>
            </w:pPr>
            <w:r>
              <w:rPr>
                <w:spacing w:val="-2"/>
                <w:sz w:val="18"/>
                <w:szCs w:val="18"/>
              </w:rPr>
              <w:t>368</w:t>
            </w:r>
          </w:p>
        </w:tc>
        <w:tc>
          <w:tcPr>
            <w:tcW w:w="506" w:type="dxa"/>
            <w:vAlign w:val="top"/>
          </w:tcPr>
          <w:p w14:paraId="11FE0360">
            <w:pPr>
              <w:pStyle w:val="6"/>
              <w:spacing w:before="139" w:line="232" w:lineRule="auto"/>
              <w:ind w:left="116"/>
              <w:rPr>
                <w:sz w:val="18"/>
                <w:szCs w:val="18"/>
              </w:rPr>
            </w:pPr>
            <w:r>
              <w:rPr>
                <w:spacing w:val="-1"/>
                <w:sz w:val="18"/>
                <w:szCs w:val="18"/>
              </w:rPr>
              <w:t>245</w:t>
            </w:r>
          </w:p>
        </w:tc>
        <w:tc>
          <w:tcPr>
            <w:tcW w:w="707" w:type="dxa"/>
            <w:vAlign w:val="top"/>
          </w:tcPr>
          <w:p w14:paraId="7ED6CDA5">
            <w:pPr>
              <w:pStyle w:val="6"/>
              <w:spacing w:before="139" w:line="232" w:lineRule="auto"/>
              <w:ind w:left="195"/>
              <w:rPr>
                <w:sz w:val="18"/>
                <w:szCs w:val="18"/>
              </w:rPr>
            </w:pPr>
            <w:r>
              <w:rPr>
                <w:spacing w:val="-1"/>
                <w:sz w:val="18"/>
                <w:szCs w:val="18"/>
              </w:rPr>
              <w:t>2.54</w:t>
            </w:r>
          </w:p>
        </w:tc>
        <w:tc>
          <w:tcPr>
            <w:tcW w:w="708" w:type="dxa"/>
            <w:vAlign w:val="top"/>
          </w:tcPr>
          <w:p w14:paraId="24CFDD1F">
            <w:pPr>
              <w:pStyle w:val="6"/>
              <w:spacing w:before="139" w:line="232" w:lineRule="auto"/>
              <w:ind w:left="99"/>
              <w:rPr>
                <w:sz w:val="18"/>
                <w:szCs w:val="18"/>
              </w:rPr>
            </w:pPr>
            <w:r>
              <w:rPr>
                <w:spacing w:val="-2"/>
                <w:sz w:val="18"/>
                <w:szCs w:val="18"/>
              </w:rPr>
              <w:t>0.002L</w:t>
            </w:r>
          </w:p>
        </w:tc>
        <w:tc>
          <w:tcPr>
            <w:tcW w:w="663" w:type="dxa"/>
            <w:vAlign w:val="top"/>
          </w:tcPr>
          <w:p w14:paraId="00B4368C">
            <w:pPr>
              <w:pStyle w:val="6"/>
              <w:spacing w:before="139" w:line="232" w:lineRule="auto"/>
              <w:ind w:left="123"/>
              <w:rPr>
                <w:sz w:val="18"/>
                <w:szCs w:val="18"/>
              </w:rPr>
            </w:pPr>
            <w:r>
              <w:rPr>
                <w:spacing w:val="-2"/>
                <w:sz w:val="18"/>
                <w:szCs w:val="18"/>
              </w:rPr>
              <w:t>0.05L</w:t>
            </w:r>
          </w:p>
        </w:tc>
        <w:tc>
          <w:tcPr>
            <w:tcW w:w="664" w:type="dxa"/>
            <w:vAlign w:val="top"/>
          </w:tcPr>
          <w:p w14:paraId="30EC0042">
            <w:pPr>
              <w:pStyle w:val="6"/>
              <w:spacing w:before="139" w:line="232" w:lineRule="auto"/>
              <w:ind w:left="134"/>
              <w:rPr>
                <w:sz w:val="18"/>
                <w:szCs w:val="18"/>
              </w:rPr>
            </w:pPr>
            <w:r>
              <w:rPr>
                <w:spacing w:val="-2"/>
                <w:sz w:val="18"/>
                <w:szCs w:val="18"/>
              </w:rPr>
              <w:t>0.009</w:t>
            </w:r>
          </w:p>
        </w:tc>
        <w:tc>
          <w:tcPr>
            <w:tcW w:w="782" w:type="dxa"/>
            <w:vAlign w:val="top"/>
          </w:tcPr>
          <w:p w14:paraId="4A6197AA">
            <w:pPr>
              <w:pStyle w:val="6"/>
              <w:spacing w:before="139" w:line="232" w:lineRule="auto"/>
              <w:ind w:left="93"/>
              <w:rPr>
                <w:sz w:val="18"/>
                <w:szCs w:val="18"/>
              </w:rPr>
            </w:pPr>
            <w:r>
              <w:rPr>
                <w:spacing w:val="-1"/>
                <w:sz w:val="18"/>
                <w:szCs w:val="18"/>
              </w:rPr>
              <w:t>0.0005L</w:t>
            </w:r>
          </w:p>
        </w:tc>
        <w:tc>
          <w:tcPr>
            <w:tcW w:w="663" w:type="dxa"/>
            <w:vAlign w:val="top"/>
          </w:tcPr>
          <w:p w14:paraId="00CD047A">
            <w:pPr>
              <w:pStyle w:val="6"/>
              <w:spacing w:before="139" w:line="232" w:lineRule="auto"/>
              <w:ind w:left="81"/>
              <w:rPr>
                <w:sz w:val="18"/>
                <w:szCs w:val="18"/>
              </w:rPr>
            </w:pPr>
            <w:r>
              <w:rPr>
                <w:spacing w:val="-2"/>
                <w:sz w:val="18"/>
                <w:szCs w:val="18"/>
              </w:rPr>
              <w:t>0.004L</w:t>
            </w:r>
          </w:p>
        </w:tc>
        <w:tc>
          <w:tcPr>
            <w:tcW w:w="737" w:type="dxa"/>
            <w:vAlign w:val="top"/>
          </w:tcPr>
          <w:p w14:paraId="267C9552">
            <w:pPr>
              <w:pStyle w:val="6"/>
              <w:spacing w:before="139" w:line="232" w:lineRule="auto"/>
              <w:ind w:left="74"/>
              <w:rPr>
                <w:sz w:val="18"/>
                <w:szCs w:val="18"/>
              </w:rPr>
            </w:pPr>
            <w:r>
              <w:rPr>
                <w:spacing w:val="-1"/>
                <w:sz w:val="18"/>
                <w:szCs w:val="18"/>
              </w:rPr>
              <w:t>0.0025L</w:t>
            </w:r>
          </w:p>
        </w:tc>
        <w:tc>
          <w:tcPr>
            <w:tcW w:w="737" w:type="dxa"/>
            <w:vAlign w:val="top"/>
          </w:tcPr>
          <w:p w14:paraId="67825B84">
            <w:pPr>
              <w:pStyle w:val="6"/>
              <w:spacing w:before="139" w:line="232" w:lineRule="auto"/>
              <w:ind w:left="130"/>
              <w:rPr>
                <w:sz w:val="18"/>
                <w:szCs w:val="18"/>
              </w:rPr>
            </w:pPr>
            <w:r>
              <w:rPr>
                <w:spacing w:val="-2"/>
                <w:sz w:val="18"/>
                <w:szCs w:val="18"/>
              </w:rPr>
              <w:t>0.0004</w:t>
            </w:r>
          </w:p>
        </w:tc>
        <w:tc>
          <w:tcPr>
            <w:tcW w:w="754" w:type="dxa"/>
            <w:vAlign w:val="top"/>
          </w:tcPr>
          <w:p w14:paraId="3E2939EA">
            <w:pPr>
              <w:pStyle w:val="6"/>
              <w:spacing w:before="139" w:line="232" w:lineRule="auto"/>
              <w:ind w:left="139"/>
              <w:rPr>
                <w:sz w:val="18"/>
                <w:szCs w:val="18"/>
              </w:rPr>
            </w:pPr>
            <w:r>
              <w:rPr>
                <w:spacing w:val="-2"/>
                <w:sz w:val="18"/>
                <w:szCs w:val="18"/>
              </w:rPr>
              <w:t>0.0016</w:t>
            </w:r>
          </w:p>
        </w:tc>
        <w:tc>
          <w:tcPr>
            <w:tcW w:w="667" w:type="dxa"/>
            <w:vAlign w:val="top"/>
          </w:tcPr>
          <w:p w14:paraId="1906444D">
            <w:pPr>
              <w:pStyle w:val="6"/>
              <w:spacing w:before="139" w:line="232" w:lineRule="auto"/>
              <w:ind w:left="86"/>
              <w:rPr>
                <w:sz w:val="18"/>
                <w:szCs w:val="18"/>
              </w:rPr>
            </w:pPr>
            <w:r>
              <w:rPr>
                <w:spacing w:val="-2"/>
                <w:sz w:val="18"/>
                <w:szCs w:val="18"/>
              </w:rPr>
              <w:t>0.002L</w:t>
            </w:r>
          </w:p>
        </w:tc>
        <w:tc>
          <w:tcPr>
            <w:tcW w:w="544" w:type="dxa"/>
            <w:vAlign w:val="top"/>
          </w:tcPr>
          <w:p w14:paraId="3B2BD66F">
            <w:pPr>
              <w:pStyle w:val="6"/>
              <w:spacing w:before="139" w:line="232" w:lineRule="auto"/>
              <w:ind w:left="126"/>
              <w:rPr>
                <w:sz w:val="18"/>
                <w:szCs w:val="18"/>
              </w:rPr>
            </w:pPr>
            <w:r>
              <w:rPr>
                <w:spacing w:val="-2"/>
                <w:sz w:val="18"/>
                <w:szCs w:val="18"/>
              </w:rPr>
              <w:t>0.25</w:t>
            </w:r>
          </w:p>
        </w:tc>
        <w:tc>
          <w:tcPr>
            <w:tcW w:w="434" w:type="dxa"/>
            <w:vAlign w:val="top"/>
          </w:tcPr>
          <w:p w14:paraId="1C5FA3A7">
            <w:pPr>
              <w:pStyle w:val="6"/>
              <w:spacing w:before="139" w:line="232" w:lineRule="auto"/>
              <w:ind w:left="118"/>
              <w:rPr>
                <w:sz w:val="18"/>
                <w:szCs w:val="18"/>
              </w:rPr>
            </w:pPr>
            <w:r>
              <w:rPr>
                <w:spacing w:val="-3"/>
                <w:sz w:val="18"/>
                <w:szCs w:val="18"/>
              </w:rPr>
              <w:t>3.2</w:t>
            </w:r>
          </w:p>
        </w:tc>
        <w:tc>
          <w:tcPr>
            <w:tcW w:w="1015" w:type="dxa"/>
            <w:vAlign w:val="top"/>
          </w:tcPr>
          <w:p w14:paraId="1D86C0D2">
            <w:pPr>
              <w:pStyle w:val="6"/>
              <w:spacing w:before="139" w:line="232" w:lineRule="auto"/>
              <w:ind w:left="489"/>
              <w:rPr>
                <w:sz w:val="18"/>
                <w:szCs w:val="18"/>
              </w:rPr>
            </w:pPr>
            <w:r>
              <w:rPr>
                <w:sz w:val="18"/>
                <w:szCs w:val="18"/>
              </w:rPr>
              <w:t>/</w:t>
            </w:r>
          </w:p>
        </w:tc>
        <w:tc>
          <w:tcPr>
            <w:tcW w:w="721" w:type="dxa"/>
            <w:tcBorders>
              <w:right w:val="single" w:color="000000" w:sz="12" w:space="0"/>
            </w:tcBorders>
            <w:vAlign w:val="top"/>
          </w:tcPr>
          <w:p w14:paraId="5CAB855C">
            <w:pPr>
              <w:pStyle w:val="6"/>
              <w:spacing w:before="139" w:line="232" w:lineRule="auto"/>
              <w:ind w:left="278"/>
              <w:rPr>
                <w:sz w:val="18"/>
                <w:szCs w:val="18"/>
              </w:rPr>
            </w:pPr>
            <w:r>
              <w:rPr>
                <w:spacing w:val="-2"/>
                <w:sz w:val="18"/>
                <w:szCs w:val="18"/>
              </w:rPr>
              <w:t>70</w:t>
            </w:r>
          </w:p>
        </w:tc>
      </w:tr>
      <w:tr w14:paraId="29696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028A0664">
            <w:pPr>
              <w:rPr>
                <w:rFonts w:ascii="Arial"/>
                <w:sz w:val="21"/>
              </w:rPr>
            </w:pPr>
          </w:p>
        </w:tc>
        <w:tc>
          <w:tcPr>
            <w:tcW w:w="272" w:type="dxa"/>
            <w:vMerge w:val="continue"/>
            <w:tcBorders>
              <w:top w:val="nil"/>
            </w:tcBorders>
            <w:vAlign w:val="top"/>
          </w:tcPr>
          <w:p w14:paraId="59CDE0D6">
            <w:pPr>
              <w:rPr>
                <w:rFonts w:ascii="Arial"/>
                <w:sz w:val="21"/>
              </w:rPr>
            </w:pPr>
          </w:p>
        </w:tc>
        <w:tc>
          <w:tcPr>
            <w:tcW w:w="1004" w:type="dxa"/>
            <w:vAlign w:val="top"/>
          </w:tcPr>
          <w:p w14:paraId="017A0422">
            <w:pPr>
              <w:pStyle w:val="6"/>
              <w:spacing w:before="138" w:line="232" w:lineRule="auto"/>
              <w:ind w:left="122"/>
              <w:rPr>
                <w:sz w:val="18"/>
                <w:szCs w:val="18"/>
              </w:rPr>
            </w:pPr>
            <w:r>
              <w:rPr>
                <w:spacing w:val="-1"/>
                <w:sz w:val="18"/>
                <w:szCs w:val="18"/>
              </w:rPr>
              <w:t>2019/1/17</w:t>
            </w:r>
          </w:p>
        </w:tc>
        <w:tc>
          <w:tcPr>
            <w:tcW w:w="686" w:type="dxa"/>
            <w:vAlign w:val="top"/>
          </w:tcPr>
          <w:p w14:paraId="0872AE11">
            <w:pPr>
              <w:pStyle w:val="6"/>
              <w:spacing w:before="144" w:line="183" w:lineRule="auto"/>
              <w:ind w:left="234"/>
              <w:rPr>
                <w:sz w:val="18"/>
                <w:szCs w:val="18"/>
              </w:rPr>
            </w:pPr>
            <w:r>
              <w:rPr>
                <w:spacing w:val="-2"/>
                <w:sz w:val="18"/>
                <w:szCs w:val="18"/>
              </w:rPr>
              <w:t>5L</w:t>
            </w:r>
          </w:p>
        </w:tc>
        <w:tc>
          <w:tcPr>
            <w:tcW w:w="923" w:type="dxa"/>
            <w:vAlign w:val="top"/>
          </w:tcPr>
          <w:p w14:paraId="1DA09318">
            <w:pPr>
              <w:pStyle w:val="6"/>
              <w:spacing w:before="138" w:line="232" w:lineRule="auto"/>
              <w:ind w:left="338"/>
              <w:rPr>
                <w:sz w:val="18"/>
                <w:szCs w:val="18"/>
              </w:rPr>
            </w:pPr>
            <w:r>
              <w:rPr>
                <w:spacing w:val="-3"/>
                <w:sz w:val="18"/>
                <w:szCs w:val="18"/>
              </w:rPr>
              <w:t>0.6</w:t>
            </w:r>
          </w:p>
        </w:tc>
        <w:tc>
          <w:tcPr>
            <w:tcW w:w="708" w:type="dxa"/>
            <w:vAlign w:val="top"/>
          </w:tcPr>
          <w:p w14:paraId="65DFD9F7">
            <w:pPr>
              <w:pStyle w:val="6"/>
              <w:spacing w:before="138" w:line="232" w:lineRule="auto"/>
              <w:ind w:left="189"/>
              <w:rPr>
                <w:sz w:val="18"/>
                <w:szCs w:val="18"/>
              </w:rPr>
            </w:pPr>
            <w:r>
              <w:rPr>
                <w:spacing w:val="-2"/>
                <w:sz w:val="18"/>
                <w:szCs w:val="18"/>
              </w:rPr>
              <w:t>6.58</w:t>
            </w:r>
          </w:p>
        </w:tc>
        <w:tc>
          <w:tcPr>
            <w:tcW w:w="850" w:type="dxa"/>
            <w:vAlign w:val="top"/>
          </w:tcPr>
          <w:p w14:paraId="539E37F4">
            <w:pPr>
              <w:pStyle w:val="6"/>
              <w:spacing w:before="138" w:line="232" w:lineRule="auto"/>
              <w:ind w:left="214"/>
              <w:rPr>
                <w:sz w:val="18"/>
                <w:szCs w:val="18"/>
              </w:rPr>
            </w:pPr>
            <w:r>
              <w:rPr>
                <w:spacing w:val="-2"/>
                <w:sz w:val="18"/>
                <w:szCs w:val="18"/>
              </w:rPr>
              <w:t>0.063</w:t>
            </w:r>
          </w:p>
        </w:tc>
        <w:tc>
          <w:tcPr>
            <w:tcW w:w="761" w:type="dxa"/>
            <w:vAlign w:val="top"/>
          </w:tcPr>
          <w:p w14:paraId="42F9166C">
            <w:pPr>
              <w:pStyle w:val="6"/>
              <w:spacing w:before="138" w:line="232" w:lineRule="auto"/>
              <w:ind w:left="125"/>
              <w:rPr>
                <w:sz w:val="18"/>
                <w:szCs w:val="18"/>
              </w:rPr>
            </w:pPr>
            <w:r>
              <w:rPr>
                <w:spacing w:val="-2"/>
                <w:sz w:val="18"/>
                <w:szCs w:val="18"/>
              </w:rPr>
              <w:t>0.0295</w:t>
            </w:r>
          </w:p>
        </w:tc>
        <w:tc>
          <w:tcPr>
            <w:tcW w:w="654" w:type="dxa"/>
            <w:vAlign w:val="top"/>
          </w:tcPr>
          <w:p w14:paraId="39BE6560">
            <w:pPr>
              <w:pStyle w:val="6"/>
              <w:spacing w:before="138" w:line="232" w:lineRule="auto"/>
              <w:ind w:left="73"/>
              <w:rPr>
                <w:sz w:val="18"/>
                <w:szCs w:val="18"/>
              </w:rPr>
            </w:pPr>
            <w:r>
              <w:rPr>
                <w:spacing w:val="-2"/>
                <w:sz w:val="18"/>
                <w:szCs w:val="18"/>
              </w:rPr>
              <w:t>0.0034</w:t>
            </w:r>
          </w:p>
        </w:tc>
        <w:tc>
          <w:tcPr>
            <w:tcW w:w="708" w:type="dxa"/>
            <w:vAlign w:val="top"/>
          </w:tcPr>
          <w:p w14:paraId="58094DDF">
            <w:pPr>
              <w:pStyle w:val="6"/>
              <w:spacing w:before="138" w:line="232" w:lineRule="auto"/>
              <w:ind w:left="91"/>
              <w:rPr>
                <w:sz w:val="18"/>
                <w:szCs w:val="18"/>
              </w:rPr>
            </w:pPr>
            <w:r>
              <w:rPr>
                <w:spacing w:val="-2"/>
                <w:sz w:val="18"/>
                <w:szCs w:val="18"/>
              </w:rPr>
              <w:t>0.009L</w:t>
            </w:r>
          </w:p>
        </w:tc>
        <w:tc>
          <w:tcPr>
            <w:tcW w:w="707" w:type="dxa"/>
            <w:vAlign w:val="top"/>
          </w:tcPr>
          <w:p w14:paraId="019426B7">
            <w:pPr>
              <w:pStyle w:val="6"/>
              <w:spacing w:before="138" w:line="232" w:lineRule="auto"/>
              <w:ind w:left="148"/>
              <w:rPr>
                <w:sz w:val="18"/>
                <w:szCs w:val="18"/>
              </w:rPr>
            </w:pPr>
            <w:r>
              <w:rPr>
                <w:spacing w:val="-2"/>
                <w:sz w:val="18"/>
                <w:szCs w:val="18"/>
              </w:rPr>
              <w:t>0.016</w:t>
            </w:r>
          </w:p>
        </w:tc>
        <w:tc>
          <w:tcPr>
            <w:tcW w:w="766" w:type="dxa"/>
            <w:vAlign w:val="top"/>
          </w:tcPr>
          <w:p w14:paraId="61B4E0A6">
            <w:pPr>
              <w:pStyle w:val="6"/>
              <w:spacing w:before="138" w:line="232" w:lineRule="auto"/>
              <w:ind w:left="238"/>
              <w:rPr>
                <w:sz w:val="18"/>
                <w:szCs w:val="18"/>
              </w:rPr>
            </w:pPr>
            <w:r>
              <w:rPr>
                <w:spacing w:val="-6"/>
                <w:sz w:val="18"/>
                <w:szCs w:val="18"/>
              </w:rPr>
              <w:t>12.3</w:t>
            </w:r>
          </w:p>
        </w:tc>
        <w:tc>
          <w:tcPr>
            <w:tcW w:w="595" w:type="dxa"/>
            <w:vAlign w:val="top"/>
          </w:tcPr>
          <w:p w14:paraId="32DE243B">
            <w:pPr>
              <w:pStyle w:val="6"/>
              <w:spacing w:before="138" w:line="232" w:lineRule="auto"/>
              <w:ind w:left="139"/>
              <w:rPr>
                <w:sz w:val="18"/>
                <w:szCs w:val="18"/>
              </w:rPr>
            </w:pPr>
            <w:r>
              <w:rPr>
                <w:spacing w:val="-2"/>
                <w:sz w:val="18"/>
                <w:szCs w:val="18"/>
              </w:rPr>
              <w:t>77.9</w:t>
            </w:r>
          </w:p>
        </w:tc>
        <w:tc>
          <w:tcPr>
            <w:tcW w:w="955" w:type="dxa"/>
            <w:vAlign w:val="top"/>
          </w:tcPr>
          <w:p w14:paraId="1AA90BFF">
            <w:pPr>
              <w:pStyle w:val="6"/>
              <w:spacing w:before="138" w:line="232" w:lineRule="auto"/>
              <w:ind w:left="344"/>
              <w:rPr>
                <w:sz w:val="18"/>
                <w:szCs w:val="18"/>
              </w:rPr>
            </w:pPr>
            <w:r>
              <w:rPr>
                <w:spacing w:val="-2"/>
                <w:sz w:val="18"/>
                <w:szCs w:val="18"/>
              </w:rPr>
              <w:t>394</w:t>
            </w:r>
          </w:p>
        </w:tc>
        <w:tc>
          <w:tcPr>
            <w:tcW w:w="506" w:type="dxa"/>
            <w:vAlign w:val="top"/>
          </w:tcPr>
          <w:p w14:paraId="66FBD46E">
            <w:pPr>
              <w:pStyle w:val="6"/>
              <w:spacing w:before="139" w:line="232" w:lineRule="auto"/>
              <w:ind w:left="116"/>
              <w:rPr>
                <w:sz w:val="18"/>
                <w:szCs w:val="18"/>
              </w:rPr>
            </w:pPr>
            <w:r>
              <w:rPr>
                <w:spacing w:val="-1"/>
                <w:sz w:val="18"/>
                <w:szCs w:val="18"/>
              </w:rPr>
              <w:t>258</w:t>
            </w:r>
          </w:p>
        </w:tc>
        <w:tc>
          <w:tcPr>
            <w:tcW w:w="707" w:type="dxa"/>
            <w:vAlign w:val="top"/>
          </w:tcPr>
          <w:p w14:paraId="2BC60893">
            <w:pPr>
              <w:pStyle w:val="6"/>
              <w:spacing w:before="138" w:line="232" w:lineRule="auto"/>
              <w:ind w:left="195"/>
              <w:rPr>
                <w:sz w:val="18"/>
                <w:szCs w:val="18"/>
              </w:rPr>
            </w:pPr>
            <w:r>
              <w:rPr>
                <w:spacing w:val="-1"/>
                <w:sz w:val="18"/>
                <w:szCs w:val="18"/>
              </w:rPr>
              <w:t>2.50</w:t>
            </w:r>
          </w:p>
        </w:tc>
        <w:tc>
          <w:tcPr>
            <w:tcW w:w="708" w:type="dxa"/>
            <w:vAlign w:val="top"/>
          </w:tcPr>
          <w:p w14:paraId="79E1A04C">
            <w:pPr>
              <w:pStyle w:val="6"/>
              <w:spacing w:before="138" w:line="232" w:lineRule="auto"/>
              <w:ind w:left="99"/>
              <w:rPr>
                <w:sz w:val="18"/>
                <w:szCs w:val="18"/>
              </w:rPr>
            </w:pPr>
            <w:r>
              <w:rPr>
                <w:spacing w:val="-2"/>
                <w:sz w:val="18"/>
                <w:szCs w:val="18"/>
              </w:rPr>
              <w:t>0.002L</w:t>
            </w:r>
          </w:p>
        </w:tc>
        <w:tc>
          <w:tcPr>
            <w:tcW w:w="663" w:type="dxa"/>
            <w:vAlign w:val="top"/>
          </w:tcPr>
          <w:p w14:paraId="4B7935CC">
            <w:pPr>
              <w:pStyle w:val="6"/>
              <w:spacing w:before="138" w:line="232" w:lineRule="auto"/>
              <w:ind w:left="123"/>
              <w:rPr>
                <w:sz w:val="18"/>
                <w:szCs w:val="18"/>
              </w:rPr>
            </w:pPr>
            <w:r>
              <w:rPr>
                <w:spacing w:val="-2"/>
                <w:sz w:val="18"/>
                <w:szCs w:val="18"/>
              </w:rPr>
              <w:t>0.05L</w:t>
            </w:r>
          </w:p>
        </w:tc>
        <w:tc>
          <w:tcPr>
            <w:tcW w:w="664" w:type="dxa"/>
            <w:vAlign w:val="top"/>
          </w:tcPr>
          <w:p w14:paraId="70D0D527">
            <w:pPr>
              <w:pStyle w:val="6"/>
              <w:spacing w:before="138" w:line="232" w:lineRule="auto"/>
              <w:ind w:left="134"/>
              <w:rPr>
                <w:sz w:val="18"/>
                <w:szCs w:val="18"/>
              </w:rPr>
            </w:pPr>
            <w:r>
              <w:rPr>
                <w:spacing w:val="-2"/>
                <w:sz w:val="18"/>
                <w:szCs w:val="18"/>
              </w:rPr>
              <w:t>0.009</w:t>
            </w:r>
          </w:p>
        </w:tc>
        <w:tc>
          <w:tcPr>
            <w:tcW w:w="782" w:type="dxa"/>
            <w:vAlign w:val="top"/>
          </w:tcPr>
          <w:p w14:paraId="02BB586A">
            <w:pPr>
              <w:pStyle w:val="6"/>
              <w:spacing w:before="138" w:line="232" w:lineRule="auto"/>
              <w:ind w:left="93"/>
              <w:rPr>
                <w:sz w:val="18"/>
                <w:szCs w:val="18"/>
              </w:rPr>
            </w:pPr>
            <w:r>
              <w:rPr>
                <w:spacing w:val="-1"/>
                <w:sz w:val="18"/>
                <w:szCs w:val="18"/>
              </w:rPr>
              <w:t>0.0005L</w:t>
            </w:r>
          </w:p>
        </w:tc>
        <w:tc>
          <w:tcPr>
            <w:tcW w:w="663" w:type="dxa"/>
            <w:vAlign w:val="top"/>
          </w:tcPr>
          <w:p w14:paraId="1B95E24A">
            <w:pPr>
              <w:pStyle w:val="6"/>
              <w:spacing w:before="138" w:line="232" w:lineRule="auto"/>
              <w:ind w:left="81"/>
              <w:rPr>
                <w:sz w:val="18"/>
                <w:szCs w:val="18"/>
              </w:rPr>
            </w:pPr>
            <w:r>
              <w:rPr>
                <w:spacing w:val="-1"/>
                <w:sz w:val="18"/>
                <w:szCs w:val="18"/>
              </w:rPr>
              <w:t>0.004L</w:t>
            </w:r>
          </w:p>
        </w:tc>
        <w:tc>
          <w:tcPr>
            <w:tcW w:w="737" w:type="dxa"/>
            <w:vAlign w:val="top"/>
          </w:tcPr>
          <w:p w14:paraId="6DCBD4B3">
            <w:pPr>
              <w:pStyle w:val="6"/>
              <w:spacing w:before="138" w:line="232" w:lineRule="auto"/>
              <w:ind w:left="74"/>
              <w:rPr>
                <w:sz w:val="18"/>
                <w:szCs w:val="18"/>
              </w:rPr>
            </w:pPr>
            <w:r>
              <w:rPr>
                <w:spacing w:val="-1"/>
                <w:sz w:val="18"/>
                <w:szCs w:val="18"/>
              </w:rPr>
              <w:t>0.0025L</w:t>
            </w:r>
          </w:p>
        </w:tc>
        <w:tc>
          <w:tcPr>
            <w:tcW w:w="737" w:type="dxa"/>
            <w:vAlign w:val="top"/>
          </w:tcPr>
          <w:p w14:paraId="151000BC">
            <w:pPr>
              <w:pStyle w:val="6"/>
              <w:spacing w:before="138" w:line="232" w:lineRule="auto"/>
              <w:ind w:left="130"/>
              <w:rPr>
                <w:sz w:val="18"/>
                <w:szCs w:val="18"/>
              </w:rPr>
            </w:pPr>
            <w:r>
              <w:rPr>
                <w:spacing w:val="-2"/>
                <w:sz w:val="18"/>
                <w:szCs w:val="18"/>
              </w:rPr>
              <w:t>0.0005</w:t>
            </w:r>
          </w:p>
        </w:tc>
        <w:tc>
          <w:tcPr>
            <w:tcW w:w="754" w:type="dxa"/>
            <w:vAlign w:val="top"/>
          </w:tcPr>
          <w:p w14:paraId="7D4993C6">
            <w:pPr>
              <w:pStyle w:val="6"/>
              <w:spacing w:before="138" w:line="232" w:lineRule="auto"/>
              <w:ind w:left="139"/>
              <w:rPr>
                <w:sz w:val="18"/>
                <w:szCs w:val="18"/>
              </w:rPr>
            </w:pPr>
            <w:r>
              <w:rPr>
                <w:spacing w:val="-2"/>
                <w:sz w:val="18"/>
                <w:szCs w:val="18"/>
              </w:rPr>
              <w:t>0.0014</w:t>
            </w:r>
          </w:p>
        </w:tc>
        <w:tc>
          <w:tcPr>
            <w:tcW w:w="667" w:type="dxa"/>
            <w:vAlign w:val="top"/>
          </w:tcPr>
          <w:p w14:paraId="1046A417">
            <w:pPr>
              <w:pStyle w:val="6"/>
              <w:spacing w:before="138" w:line="232" w:lineRule="auto"/>
              <w:ind w:left="86"/>
              <w:rPr>
                <w:sz w:val="18"/>
                <w:szCs w:val="18"/>
              </w:rPr>
            </w:pPr>
            <w:r>
              <w:rPr>
                <w:spacing w:val="-2"/>
                <w:sz w:val="18"/>
                <w:szCs w:val="18"/>
              </w:rPr>
              <w:t>0.002L</w:t>
            </w:r>
          </w:p>
        </w:tc>
        <w:tc>
          <w:tcPr>
            <w:tcW w:w="544" w:type="dxa"/>
            <w:vAlign w:val="top"/>
          </w:tcPr>
          <w:p w14:paraId="68D524A7">
            <w:pPr>
              <w:pStyle w:val="6"/>
              <w:spacing w:before="138" w:line="232" w:lineRule="auto"/>
              <w:ind w:left="126"/>
              <w:rPr>
                <w:sz w:val="18"/>
                <w:szCs w:val="18"/>
              </w:rPr>
            </w:pPr>
            <w:r>
              <w:rPr>
                <w:spacing w:val="-2"/>
                <w:sz w:val="18"/>
                <w:szCs w:val="18"/>
              </w:rPr>
              <w:t>0.28</w:t>
            </w:r>
          </w:p>
        </w:tc>
        <w:tc>
          <w:tcPr>
            <w:tcW w:w="434" w:type="dxa"/>
            <w:vAlign w:val="top"/>
          </w:tcPr>
          <w:p w14:paraId="19987555">
            <w:pPr>
              <w:pStyle w:val="6"/>
              <w:spacing w:before="138" w:line="232" w:lineRule="auto"/>
              <w:ind w:left="118"/>
              <w:rPr>
                <w:sz w:val="18"/>
                <w:szCs w:val="18"/>
              </w:rPr>
            </w:pPr>
            <w:r>
              <w:rPr>
                <w:spacing w:val="-3"/>
                <w:sz w:val="18"/>
                <w:szCs w:val="18"/>
              </w:rPr>
              <w:t>3.5</w:t>
            </w:r>
          </w:p>
        </w:tc>
        <w:tc>
          <w:tcPr>
            <w:tcW w:w="1015" w:type="dxa"/>
            <w:vAlign w:val="top"/>
          </w:tcPr>
          <w:p w14:paraId="18A82D7F">
            <w:pPr>
              <w:pStyle w:val="6"/>
              <w:spacing w:before="138" w:line="232" w:lineRule="auto"/>
              <w:ind w:left="489"/>
              <w:rPr>
                <w:sz w:val="18"/>
                <w:szCs w:val="18"/>
              </w:rPr>
            </w:pPr>
            <w:r>
              <w:rPr>
                <w:sz w:val="18"/>
                <w:szCs w:val="18"/>
              </w:rPr>
              <w:t>/</w:t>
            </w:r>
          </w:p>
        </w:tc>
        <w:tc>
          <w:tcPr>
            <w:tcW w:w="721" w:type="dxa"/>
            <w:tcBorders>
              <w:right w:val="single" w:color="000000" w:sz="12" w:space="0"/>
            </w:tcBorders>
            <w:vAlign w:val="top"/>
          </w:tcPr>
          <w:p w14:paraId="74315262">
            <w:pPr>
              <w:pStyle w:val="6"/>
              <w:spacing w:before="138" w:line="232" w:lineRule="auto"/>
              <w:ind w:left="278"/>
              <w:rPr>
                <w:sz w:val="18"/>
                <w:szCs w:val="18"/>
              </w:rPr>
            </w:pPr>
            <w:r>
              <w:rPr>
                <w:spacing w:val="-2"/>
                <w:sz w:val="18"/>
                <w:szCs w:val="18"/>
              </w:rPr>
              <w:t>90</w:t>
            </w:r>
          </w:p>
        </w:tc>
      </w:tr>
      <w:tr w14:paraId="194BB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57D26330">
            <w:pPr>
              <w:rPr>
                <w:rFonts w:ascii="Arial"/>
                <w:sz w:val="21"/>
              </w:rPr>
            </w:pPr>
          </w:p>
        </w:tc>
        <w:tc>
          <w:tcPr>
            <w:tcW w:w="272" w:type="dxa"/>
            <w:vMerge w:val="restart"/>
            <w:tcBorders>
              <w:bottom w:val="nil"/>
            </w:tcBorders>
            <w:vAlign w:val="top"/>
          </w:tcPr>
          <w:p w14:paraId="118E1287">
            <w:pPr>
              <w:pStyle w:val="6"/>
              <w:spacing w:before="286" w:line="235" w:lineRule="auto"/>
              <w:ind w:left="33" w:right="55"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004" w:type="dxa"/>
            <w:vAlign w:val="top"/>
          </w:tcPr>
          <w:p w14:paraId="78E20917">
            <w:pPr>
              <w:pStyle w:val="6"/>
              <w:spacing w:before="140" w:line="232" w:lineRule="auto"/>
              <w:ind w:left="122"/>
              <w:rPr>
                <w:sz w:val="18"/>
                <w:szCs w:val="18"/>
              </w:rPr>
            </w:pPr>
            <w:r>
              <w:rPr>
                <w:spacing w:val="-1"/>
                <w:sz w:val="18"/>
                <w:szCs w:val="18"/>
              </w:rPr>
              <w:t>2019/5/10</w:t>
            </w:r>
          </w:p>
        </w:tc>
        <w:tc>
          <w:tcPr>
            <w:tcW w:w="686" w:type="dxa"/>
            <w:vAlign w:val="top"/>
          </w:tcPr>
          <w:p w14:paraId="2884E378">
            <w:pPr>
              <w:pStyle w:val="6"/>
              <w:spacing w:before="145" w:line="183" w:lineRule="auto"/>
              <w:ind w:left="234"/>
              <w:rPr>
                <w:sz w:val="18"/>
                <w:szCs w:val="18"/>
              </w:rPr>
            </w:pPr>
            <w:r>
              <w:rPr>
                <w:spacing w:val="-2"/>
                <w:sz w:val="18"/>
                <w:szCs w:val="18"/>
              </w:rPr>
              <w:t>5L</w:t>
            </w:r>
          </w:p>
        </w:tc>
        <w:tc>
          <w:tcPr>
            <w:tcW w:w="923" w:type="dxa"/>
            <w:vAlign w:val="top"/>
          </w:tcPr>
          <w:p w14:paraId="5C9A2384">
            <w:pPr>
              <w:pStyle w:val="6"/>
              <w:spacing w:before="140" w:line="232" w:lineRule="auto"/>
              <w:ind w:left="283"/>
              <w:rPr>
                <w:sz w:val="18"/>
                <w:szCs w:val="18"/>
              </w:rPr>
            </w:pPr>
            <w:r>
              <w:rPr>
                <w:spacing w:val="-2"/>
                <w:sz w:val="18"/>
                <w:szCs w:val="18"/>
              </w:rPr>
              <w:t>0.5L</w:t>
            </w:r>
          </w:p>
        </w:tc>
        <w:tc>
          <w:tcPr>
            <w:tcW w:w="708" w:type="dxa"/>
            <w:vAlign w:val="top"/>
          </w:tcPr>
          <w:p w14:paraId="5060D7D7">
            <w:pPr>
              <w:pStyle w:val="6"/>
              <w:spacing w:before="146" w:line="229" w:lineRule="auto"/>
              <w:ind w:left="188"/>
              <w:rPr>
                <w:sz w:val="18"/>
                <w:szCs w:val="18"/>
              </w:rPr>
            </w:pPr>
            <w:r>
              <w:rPr>
                <w:b/>
                <w:bCs/>
                <w:spacing w:val="-2"/>
                <w:sz w:val="18"/>
                <w:szCs w:val="18"/>
              </w:rPr>
              <w:t>6.44</w:t>
            </w:r>
          </w:p>
        </w:tc>
        <w:tc>
          <w:tcPr>
            <w:tcW w:w="850" w:type="dxa"/>
            <w:vAlign w:val="top"/>
          </w:tcPr>
          <w:p w14:paraId="59BAA317">
            <w:pPr>
              <w:pStyle w:val="6"/>
              <w:spacing w:before="140" w:line="232" w:lineRule="auto"/>
              <w:ind w:left="159"/>
              <w:rPr>
                <w:sz w:val="18"/>
                <w:szCs w:val="18"/>
              </w:rPr>
            </w:pPr>
            <w:r>
              <w:rPr>
                <w:spacing w:val="-2"/>
                <w:sz w:val="18"/>
                <w:szCs w:val="18"/>
              </w:rPr>
              <w:t>0.040L</w:t>
            </w:r>
          </w:p>
        </w:tc>
        <w:tc>
          <w:tcPr>
            <w:tcW w:w="761" w:type="dxa"/>
            <w:vAlign w:val="top"/>
          </w:tcPr>
          <w:p w14:paraId="21BB0E12">
            <w:pPr>
              <w:pStyle w:val="6"/>
              <w:spacing w:before="140" w:line="232" w:lineRule="auto"/>
              <w:ind w:left="125"/>
              <w:rPr>
                <w:sz w:val="18"/>
                <w:szCs w:val="18"/>
              </w:rPr>
            </w:pPr>
            <w:r>
              <w:rPr>
                <w:spacing w:val="-2"/>
                <w:sz w:val="18"/>
                <w:szCs w:val="18"/>
              </w:rPr>
              <w:t>0.0443</w:t>
            </w:r>
          </w:p>
        </w:tc>
        <w:tc>
          <w:tcPr>
            <w:tcW w:w="654" w:type="dxa"/>
            <w:vAlign w:val="top"/>
          </w:tcPr>
          <w:p w14:paraId="543B5FE7">
            <w:pPr>
              <w:pStyle w:val="6"/>
              <w:spacing w:before="140" w:line="232" w:lineRule="auto"/>
              <w:ind w:left="73"/>
              <w:rPr>
                <w:sz w:val="18"/>
                <w:szCs w:val="18"/>
              </w:rPr>
            </w:pPr>
            <w:r>
              <w:rPr>
                <w:spacing w:val="-2"/>
                <w:sz w:val="18"/>
                <w:szCs w:val="18"/>
              </w:rPr>
              <w:t>0.0047</w:t>
            </w:r>
          </w:p>
        </w:tc>
        <w:tc>
          <w:tcPr>
            <w:tcW w:w="708" w:type="dxa"/>
            <w:vAlign w:val="top"/>
          </w:tcPr>
          <w:p w14:paraId="231DB478">
            <w:pPr>
              <w:pStyle w:val="6"/>
              <w:spacing w:before="140" w:line="232" w:lineRule="auto"/>
              <w:ind w:left="91"/>
              <w:rPr>
                <w:sz w:val="18"/>
                <w:szCs w:val="18"/>
              </w:rPr>
            </w:pPr>
            <w:r>
              <w:rPr>
                <w:spacing w:val="-2"/>
                <w:sz w:val="18"/>
                <w:szCs w:val="18"/>
              </w:rPr>
              <w:t>0.009L</w:t>
            </w:r>
          </w:p>
        </w:tc>
        <w:tc>
          <w:tcPr>
            <w:tcW w:w="707" w:type="dxa"/>
            <w:vAlign w:val="top"/>
          </w:tcPr>
          <w:p w14:paraId="133ACEE2">
            <w:pPr>
              <w:pStyle w:val="6"/>
              <w:spacing w:before="140" w:line="232" w:lineRule="auto"/>
              <w:ind w:left="148"/>
              <w:rPr>
                <w:sz w:val="18"/>
                <w:szCs w:val="18"/>
              </w:rPr>
            </w:pPr>
            <w:r>
              <w:rPr>
                <w:spacing w:val="-2"/>
                <w:sz w:val="18"/>
                <w:szCs w:val="18"/>
              </w:rPr>
              <w:t>0.023</w:t>
            </w:r>
          </w:p>
        </w:tc>
        <w:tc>
          <w:tcPr>
            <w:tcW w:w="766" w:type="dxa"/>
            <w:vAlign w:val="top"/>
          </w:tcPr>
          <w:p w14:paraId="3FCF1E38">
            <w:pPr>
              <w:pStyle w:val="6"/>
              <w:spacing w:before="140" w:line="232" w:lineRule="auto"/>
              <w:ind w:left="238"/>
              <w:rPr>
                <w:sz w:val="18"/>
                <w:szCs w:val="18"/>
              </w:rPr>
            </w:pPr>
            <w:r>
              <w:rPr>
                <w:spacing w:val="-6"/>
                <w:sz w:val="18"/>
                <w:szCs w:val="18"/>
              </w:rPr>
              <w:t>13.8</w:t>
            </w:r>
          </w:p>
        </w:tc>
        <w:tc>
          <w:tcPr>
            <w:tcW w:w="595" w:type="dxa"/>
            <w:vAlign w:val="top"/>
          </w:tcPr>
          <w:p w14:paraId="248194B5">
            <w:pPr>
              <w:pStyle w:val="6"/>
              <w:spacing w:before="140" w:line="232" w:lineRule="auto"/>
              <w:ind w:left="153"/>
              <w:rPr>
                <w:sz w:val="18"/>
                <w:szCs w:val="18"/>
              </w:rPr>
            </w:pPr>
            <w:r>
              <w:rPr>
                <w:spacing w:val="-6"/>
                <w:sz w:val="18"/>
                <w:szCs w:val="18"/>
              </w:rPr>
              <w:t>14.6</w:t>
            </w:r>
          </w:p>
        </w:tc>
        <w:tc>
          <w:tcPr>
            <w:tcW w:w="955" w:type="dxa"/>
            <w:vAlign w:val="top"/>
          </w:tcPr>
          <w:p w14:paraId="0A65792E">
            <w:pPr>
              <w:pStyle w:val="6"/>
              <w:spacing w:before="140" w:line="232" w:lineRule="auto"/>
              <w:ind w:left="344"/>
              <w:rPr>
                <w:sz w:val="18"/>
                <w:szCs w:val="18"/>
              </w:rPr>
            </w:pPr>
            <w:r>
              <w:rPr>
                <w:spacing w:val="-2"/>
                <w:sz w:val="18"/>
                <w:szCs w:val="18"/>
              </w:rPr>
              <w:t>305</w:t>
            </w:r>
          </w:p>
        </w:tc>
        <w:tc>
          <w:tcPr>
            <w:tcW w:w="506" w:type="dxa"/>
            <w:vAlign w:val="top"/>
          </w:tcPr>
          <w:p w14:paraId="7BFE6E60">
            <w:pPr>
              <w:pStyle w:val="6"/>
              <w:spacing w:before="139" w:line="235" w:lineRule="auto"/>
              <w:ind w:left="116"/>
              <w:rPr>
                <w:sz w:val="18"/>
                <w:szCs w:val="18"/>
              </w:rPr>
            </w:pPr>
            <w:r>
              <w:rPr>
                <w:spacing w:val="-1"/>
                <w:sz w:val="18"/>
                <w:szCs w:val="18"/>
              </w:rPr>
              <w:t>214</w:t>
            </w:r>
          </w:p>
        </w:tc>
        <w:tc>
          <w:tcPr>
            <w:tcW w:w="707" w:type="dxa"/>
            <w:vAlign w:val="top"/>
          </w:tcPr>
          <w:p w14:paraId="0B653051">
            <w:pPr>
              <w:pStyle w:val="6"/>
              <w:spacing w:before="140" w:line="232" w:lineRule="auto"/>
              <w:ind w:left="212"/>
              <w:rPr>
                <w:sz w:val="18"/>
                <w:szCs w:val="18"/>
              </w:rPr>
            </w:pPr>
            <w:r>
              <w:rPr>
                <w:spacing w:val="-6"/>
                <w:sz w:val="18"/>
                <w:szCs w:val="18"/>
              </w:rPr>
              <w:t>1.28</w:t>
            </w:r>
          </w:p>
        </w:tc>
        <w:tc>
          <w:tcPr>
            <w:tcW w:w="708" w:type="dxa"/>
            <w:vAlign w:val="top"/>
          </w:tcPr>
          <w:p w14:paraId="5F1CB16C">
            <w:pPr>
              <w:pStyle w:val="6"/>
              <w:spacing w:before="140" w:line="232" w:lineRule="auto"/>
              <w:ind w:left="99"/>
              <w:rPr>
                <w:sz w:val="18"/>
                <w:szCs w:val="18"/>
              </w:rPr>
            </w:pPr>
            <w:r>
              <w:rPr>
                <w:spacing w:val="-2"/>
                <w:sz w:val="18"/>
                <w:szCs w:val="18"/>
              </w:rPr>
              <w:t>0.002L</w:t>
            </w:r>
          </w:p>
        </w:tc>
        <w:tc>
          <w:tcPr>
            <w:tcW w:w="663" w:type="dxa"/>
            <w:vAlign w:val="top"/>
          </w:tcPr>
          <w:p w14:paraId="17CF80B1">
            <w:pPr>
              <w:pStyle w:val="6"/>
              <w:spacing w:before="140" w:line="232" w:lineRule="auto"/>
              <w:ind w:left="134"/>
              <w:rPr>
                <w:sz w:val="18"/>
                <w:szCs w:val="18"/>
              </w:rPr>
            </w:pPr>
            <w:r>
              <w:rPr>
                <w:spacing w:val="-2"/>
                <w:sz w:val="18"/>
                <w:szCs w:val="18"/>
              </w:rPr>
              <w:t>0.068</w:t>
            </w:r>
          </w:p>
        </w:tc>
        <w:tc>
          <w:tcPr>
            <w:tcW w:w="664" w:type="dxa"/>
            <w:vAlign w:val="top"/>
          </w:tcPr>
          <w:p w14:paraId="51E4BD34">
            <w:pPr>
              <w:pStyle w:val="6"/>
              <w:spacing w:before="140" w:line="232" w:lineRule="auto"/>
              <w:ind w:left="134"/>
              <w:rPr>
                <w:sz w:val="18"/>
                <w:szCs w:val="18"/>
              </w:rPr>
            </w:pPr>
            <w:r>
              <w:rPr>
                <w:spacing w:val="-2"/>
                <w:sz w:val="18"/>
                <w:szCs w:val="18"/>
              </w:rPr>
              <w:t>0.002</w:t>
            </w:r>
          </w:p>
        </w:tc>
        <w:tc>
          <w:tcPr>
            <w:tcW w:w="782" w:type="dxa"/>
            <w:vAlign w:val="top"/>
          </w:tcPr>
          <w:p w14:paraId="09969DBF">
            <w:pPr>
              <w:pStyle w:val="6"/>
              <w:spacing w:before="140" w:line="232" w:lineRule="auto"/>
              <w:ind w:left="93"/>
              <w:rPr>
                <w:sz w:val="18"/>
                <w:szCs w:val="18"/>
              </w:rPr>
            </w:pPr>
            <w:r>
              <w:rPr>
                <w:spacing w:val="-1"/>
                <w:sz w:val="18"/>
                <w:szCs w:val="18"/>
              </w:rPr>
              <w:t>0.0005L</w:t>
            </w:r>
          </w:p>
        </w:tc>
        <w:tc>
          <w:tcPr>
            <w:tcW w:w="663" w:type="dxa"/>
            <w:vAlign w:val="top"/>
          </w:tcPr>
          <w:p w14:paraId="5667AD29">
            <w:pPr>
              <w:pStyle w:val="6"/>
              <w:spacing w:before="140" w:line="232" w:lineRule="auto"/>
              <w:ind w:left="81"/>
              <w:rPr>
                <w:sz w:val="18"/>
                <w:szCs w:val="18"/>
              </w:rPr>
            </w:pPr>
            <w:r>
              <w:rPr>
                <w:spacing w:val="-2"/>
                <w:sz w:val="18"/>
                <w:szCs w:val="18"/>
              </w:rPr>
              <w:t>0.004L</w:t>
            </w:r>
          </w:p>
        </w:tc>
        <w:tc>
          <w:tcPr>
            <w:tcW w:w="737" w:type="dxa"/>
            <w:vAlign w:val="top"/>
          </w:tcPr>
          <w:p w14:paraId="1C579563">
            <w:pPr>
              <w:pStyle w:val="6"/>
              <w:spacing w:before="140" w:line="232" w:lineRule="auto"/>
              <w:ind w:left="74"/>
              <w:rPr>
                <w:sz w:val="18"/>
                <w:szCs w:val="18"/>
              </w:rPr>
            </w:pPr>
            <w:r>
              <w:rPr>
                <w:spacing w:val="-1"/>
                <w:sz w:val="18"/>
                <w:szCs w:val="18"/>
              </w:rPr>
              <w:t>0.0025L</w:t>
            </w:r>
          </w:p>
        </w:tc>
        <w:tc>
          <w:tcPr>
            <w:tcW w:w="737" w:type="dxa"/>
            <w:vAlign w:val="top"/>
          </w:tcPr>
          <w:p w14:paraId="636E5EE4">
            <w:pPr>
              <w:pStyle w:val="6"/>
              <w:spacing w:before="140" w:line="232" w:lineRule="auto"/>
              <w:ind w:left="75"/>
              <w:rPr>
                <w:sz w:val="18"/>
                <w:szCs w:val="18"/>
              </w:rPr>
            </w:pPr>
            <w:r>
              <w:rPr>
                <w:spacing w:val="-1"/>
                <w:sz w:val="18"/>
                <w:szCs w:val="18"/>
              </w:rPr>
              <w:t>0.0001L</w:t>
            </w:r>
          </w:p>
        </w:tc>
        <w:tc>
          <w:tcPr>
            <w:tcW w:w="754" w:type="dxa"/>
            <w:vAlign w:val="top"/>
          </w:tcPr>
          <w:p w14:paraId="7512D2AC">
            <w:pPr>
              <w:pStyle w:val="6"/>
              <w:spacing w:before="140" w:line="232" w:lineRule="auto"/>
              <w:ind w:left="84"/>
              <w:rPr>
                <w:sz w:val="18"/>
                <w:szCs w:val="18"/>
              </w:rPr>
            </w:pPr>
            <w:r>
              <w:rPr>
                <w:spacing w:val="-1"/>
                <w:sz w:val="18"/>
                <w:szCs w:val="18"/>
              </w:rPr>
              <w:t>0.0003L</w:t>
            </w:r>
          </w:p>
        </w:tc>
        <w:tc>
          <w:tcPr>
            <w:tcW w:w="667" w:type="dxa"/>
            <w:vAlign w:val="top"/>
          </w:tcPr>
          <w:p w14:paraId="0EA7C8C0">
            <w:pPr>
              <w:pStyle w:val="6"/>
              <w:spacing w:before="140" w:line="232" w:lineRule="auto"/>
              <w:ind w:left="86"/>
              <w:rPr>
                <w:sz w:val="18"/>
                <w:szCs w:val="18"/>
              </w:rPr>
            </w:pPr>
            <w:r>
              <w:rPr>
                <w:spacing w:val="-2"/>
                <w:sz w:val="18"/>
                <w:szCs w:val="18"/>
              </w:rPr>
              <w:t>0.002L</w:t>
            </w:r>
          </w:p>
        </w:tc>
        <w:tc>
          <w:tcPr>
            <w:tcW w:w="544" w:type="dxa"/>
            <w:vAlign w:val="top"/>
          </w:tcPr>
          <w:p w14:paraId="6F50DF12">
            <w:pPr>
              <w:pStyle w:val="6"/>
              <w:spacing w:before="140" w:line="232" w:lineRule="auto"/>
              <w:ind w:left="117"/>
              <w:rPr>
                <w:sz w:val="18"/>
                <w:szCs w:val="18"/>
              </w:rPr>
            </w:pPr>
            <w:r>
              <w:rPr>
                <w:spacing w:val="-2"/>
                <w:sz w:val="18"/>
                <w:szCs w:val="18"/>
              </w:rPr>
              <w:t>0.2L</w:t>
            </w:r>
          </w:p>
        </w:tc>
        <w:tc>
          <w:tcPr>
            <w:tcW w:w="434" w:type="dxa"/>
            <w:vAlign w:val="top"/>
          </w:tcPr>
          <w:p w14:paraId="5D867A36">
            <w:pPr>
              <w:pStyle w:val="6"/>
              <w:spacing w:before="140" w:line="232" w:lineRule="auto"/>
              <w:ind w:left="62"/>
              <w:rPr>
                <w:sz w:val="18"/>
                <w:szCs w:val="18"/>
              </w:rPr>
            </w:pPr>
            <w:r>
              <w:rPr>
                <w:spacing w:val="-2"/>
                <w:sz w:val="18"/>
                <w:szCs w:val="18"/>
              </w:rPr>
              <w:t>0.5L</w:t>
            </w:r>
          </w:p>
        </w:tc>
        <w:tc>
          <w:tcPr>
            <w:tcW w:w="1015" w:type="dxa"/>
            <w:vAlign w:val="top"/>
          </w:tcPr>
          <w:p w14:paraId="25ADCBA7">
            <w:pPr>
              <w:pStyle w:val="6"/>
              <w:spacing w:before="140" w:line="232" w:lineRule="auto"/>
              <w:ind w:left="489"/>
              <w:rPr>
                <w:sz w:val="18"/>
                <w:szCs w:val="18"/>
              </w:rPr>
            </w:pPr>
            <w:r>
              <w:rPr>
                <w:sz w:val="18"/>
                <w:szCs w:val="18"/>
              </w:rPr>
              <w:t>/</w:t>
            </w:r>
          </w:p>
        </w:tc>
        <w:tc>
          <w:tcPr>
            <w:tcW w:w="721" w:type="dxa"/>
            <w:tcBorders>
              <w:right w:val="single" w:color="000000" w:sz="12" w:space="0"/>
            </w:tcBorders>
            <w:vAlign w:val="top"/>
          </w:tcPr>
          <w:p w14:paraId="51176581">
            <w:pPr>
              <w:pStyle w:val="6"/>
              <w:spacing w:before="146" w:line="229" w:lineRule="auto"/>
              <w:ind w:left="239"/>
              <w:rPr>
                <w:sz w:val="18"/>
                <w:szCs w:val="18"/>
              </w:rPr>
            </w:pPr>
            <w:r>
              <w:rPr>
                <w:b/>
                <w:bCs/>
                <w:spacing w:val="-3"/>
                <w:sz w:val="18"/>
                <w:szCs w:val="18"/>
              </w:rPr>
              <w:t>184</w:t>
            </w:r>
          </w:p>
        </w:tc>
      </w:tr>
      <w:tr w14:paraId="3E867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492" w:type="dxa"/>
            <w:vMerge w:val="continue"/>
            <w:tcBorders>
              <w:top w:val="nil"/>
              <w:left w:val="single" w:color="000000" w:sz="12" w:space="0"/>
              <w:bottom w:val="nil"/>
            </w:tcBorders>
            <w:vAlign w:val="top"/>
          </w:tcPr>
          <w:p w14:paraId="6302EE69">
            <w:pPr>
              <w:rPr>
                <w:rFonts w:ascii="Arial"/>
                <w:sz w:val="21"/>
              </w:rPr>
            </w:pPr>
          </w:p>
        </w:tc>
        <w:tc>
          <w:tcPr>
            <w:tcW w:w="272" w:type="dxa"/>
            <w:vMerge w:val="continue"/>
            <w:tcBorders>
              <w:top w:val="nil"/>
              <w:bottom w:val="nil"/>
            </w:tcBorders>
            <w:vAlign w:val="top"/>
          </w:tcPr>
          <w:p w14:paraId="6588E149">
            <w:pPr>
              <w:rPr>
                <w:rFonts w:ascii="Arial"/>
                <w:sz w:val="21"/>
              </w:rPr>
            </w:pPr>
          </w:p>
        </w:tc>
        <w:tc>
          <w:tcPr>
            <w:tcW w:w="1004" w:type="dxa"/>
            <w:vAlign w:val="top"/>
          </w:tcPr>
          <w:p w14:paraId="13823C3B">
            <w:pPr>
              <w:pStyle w:val="6"/>
              <w:spacing w:before="142" w:line="232" w:lineRule="auto"/>
              <w:ind w:left="122"/>
              <w:rPr>
                <w:sz w:val="18"/>
                <w:szCs w:val="18"/>
              </w:rPr>
            </w:pPr>
            <w:r>
              <w:rPr>
                <w:spacing w:val="-1"/>
                <w:sz w:val="18"/>
                <w:szCs w:val="18"/>
              </w:rPr>
              <w:t>2019/5/11</w:t>
            </w:r>
          </w:p>
        </w:tc>
        <w:tc>
          <w:tcPr>
            <w:tcW w:w="686" w:type="dxa"/>
            <w:vAlign w:val="top"/>
          </w:tcPr>
          <w:p w14:paraId="220CFFE1">
            <w:pPr>
              <w:pStyle w:val="6"/>
              <w:spacing w:before="148" w:line="183" w:lineRule="auto"/>
              <w:ind w:left="234"/>
              <w:rPr>
                <w:sz w:val="18"/>
                <w:szCs w:val="18"/>
              </w:rPr>
            </w:pPr>
            <w:r>
              <w:rPr>
                <w:spacing w:val="-2"/>
                <w:sz w:val="18"/>
                <w:szCs w:val="18"/>
              </w:rPr>
              <w:t>5L</w:t>
            </w:r>
          </w:p>
        </w:tc>
        <w:tc>
          <w:tcPr>
            <w:tcW w:w="923" w:type="dxa"/>
            <w:vAlign w:val="top"/>
          </w:tcPr>
          <w:p w14:paraId="09CB4EB0">
            <w:pPr>
              <w:pStyle w:val="6"/>
              <w:spacing w:before="142" w:line="232" w:lineRule="auto"/>
              <w:ind w:left="283"/>
              <w:rPr>
                <w:sz w:val="18"/>
                <w:szCs w:val="18"/>
              </w:rPr>
            </w:pPr>
            <w:r>
              <w:rPr>
                <w:spacing w:val="-2"/>
                <w:sz w:val="18"/>
                <w:szCs w:val="18"/>
              </w:rPr>
              <w:t>0.5L</w:t>
            </w:r>
          </w:p>
        </w:tc>
        <w:tc>
          <w:tcPr>
            <w:tcW w:w="708" w:type="dxa"/>
            <w:vAlign w:val="top"/>
          </w:tcPr>
          <w:p w14:paraId="3A1DB5A9">
            <w:pPr>
              <w:pStyle w:val="6"/>
              <w:spacing w:before="142" w:line="232" w:lineRule="auto"/>
              <w:ind w:left="189"/>
              <w:rPr>
                <w:sz w:val="18"/>
                <w:szCs w:val="18"/>
              </w:rPr>
            </w:pPr>
            <w:r>
              <w:rPr>
                <w:spacing w:val="-2"/>
                <w:sz w:val="18"/>
                <w:szCs w:val="18"/>
              </w:rPr>
              <w:t>6.51</w:t>
            </w:r>
          </w:p>
        </w:tc>
        <w:tc>
          <w:tcPr>
            <w:tcW w:w="850" w:type="dxa"/>
            <w:vAlign w:val="top"/>
          </w:tcPr>
          <w:p w14:paraId="078DDC01">
            <w:pPr>
              <w:pStyle w:val="6"/>
              <w:spacing w:before="142" w:line="232" w:lineRule="auto"/>
              <w:ind w:left="159"/>
              <w:rPr>
                <w:sz w:val="18"/>
                <w:szCs w:val="18"/>
              </w:rPr>
            </w:pPr>
            <w:r>
              <w:rPr>
                <w:spacing w:val="-2"/>
                <w:sz w:val="18"/>
                <w:szCs w:val="18"/>
              </w:rPr>
              <w:t>0.040L</w:t>
            </w:r>
          </w:p>
        </w:tc>
        <w:tc>
          <w:tcPr>
            <w:tcW w:w="761" w:type="dxa"/>
            <w:vAlign w:val="top"/>
          </w:tcPr>
          <w:p w14:paraId="40AFE956">
            <w:pPr>
              <w:pStyle w:val="6"/>
              <w:spacing w:before="142" w:line="232" w:lineRule="auto"/>
              <w:ind w:left="125"/>
              <w:rPr>
                <w:sz w:val="18"/>
                <w:szCs w:val="18"/>
              </w:rPr>
            </w:pPr>
            <w:r>
              <w:rPr>
                <w:spacing w:val="-2"/>
                <w:sz w:val="18"/>
                <w:szCs w:val="18"/>
              </w:rPr>
              <w:t>0.0441</w:t>
            </w:r>
          </w:p>
        </w:tc>
        <w:tc>
          <w:tcPr>
            <w:tcW w:w="654" w:type="dxa"/>
            <w:vAlign w:val="top"/>
          </w:tcPr>
          <w:p w14:paraId="6627E74B">
            <w:pPr>
              <w:pStyle w:val="6"/>
              <w:spacing w:before="142" w:line="232" w:lineRule="auto"/>
              <w:ind w:left="73"/>
              <w:rPr>
                <w:sz w:val="18"/>
                <w:szCs w:val="18"/>
              </w:rPr>
            </w:pPr>
            <w:r>
              <w:rPr>
                <w:spacing w:val="-2"/>
                <w:sz w:val="18"/>
                <w:szCs w:val="18"/>
              </w:rPr>
              <w:t>0.0042</w:t>
            </w:r>
          </w:p>
        </w:tc>
        <w:tc>
          <w:tcPr>
            <w:tcW w:w="708" w:type="dxa"/>
            <w:vAlign w:val="top"/>
          </w:tcPr>
          <w:p w14:paraId="5822601A">
            <w:pPr>
              <w:pStyle w:val="6"/>
              <w:spacing w:before="142" w:line="232" w:lineRule="auto"/>
              <w:ind w:left="91"/>
              <w:rPr>
                <w:sz w:val="18"/>
                <w:szCs w:val="18"/>
              </w:rPr>
            </w:pPr>
            <w:r>
              <w:rPr>
                <w:spacing w:val="-2"/>
                <w:sz w:val="18"/>
                <w:szCs w:val="18"/>
              </w:rPr>
              <w:t>0.009L</w:t>
            </w:r>
          </w:p>
        </w:tc>
        <w:tc>
          <w:tcPr>
            <w:tcW w:w="707" w:type="dxa"/>
            <w:vAlign w:val="top"/>
          </w:tcPr>
          <w:p w14:paraId="1AE50301">
            <w:pPr>
              <w:pStyle w:val="6"/>
              <w:spacing w:before="142" w:line="232" w:lineRule="auto"/>
              <w:ind w:left="148"/>
              <w:rPr>
                <w:sz w:val="18"/>
                <w:szCs w:val="18"/>
              </w:rPr>
            </w:pPr>
            <w:r>
              <w:rPr>
                <w:spacing w:val="-2"/>
                <w:sz w:val="18"/>
                <w:szCs w:val="18"/>
              </w:rPr>
              <w:t>0.021</w:t>
            </w:r>
          </w:p>
        </w:tc>
        <w:tc>
          <w:tcPr>
            <w:tcW w:w="766" w:type="dxa"/>
            <w:vAlign w:val="top"/>
          </w:tcPr>
          <w:p w14:paraId="4FC0380C">
            <w:pPr>
              <w:pStyle w:val="6"/>
              <w:spacing w:before="142" w:line="232" w:lineRule="auto"/>
              <w:ind w:left="238"/>
              <w:rPr>
                <w:sz w:val="18"/>
                <w:szCs w:val="18"/>
              </w:rPr>
            </w:pPr>
            <w:r>
              <w:rPr>
                <w:spacing w:val="-6"/>
                <w:sz w:val="18"/>
                <w:szCs w:val="18"/>
              </w:rPr>
              <w:t>14.2</w:t>
            </w:r>
          </w:p>
        </w:tc>
        <w:tc>
          <w:tcPr>
            <w:tcW w:w="595" w:type="dxa"/>
            <w:vAlign w:val="top"/>
          </w:tcPr>
          <w:p w14:paraId="7FD99489">
            <w:pPr>
              <w:pStyle w:val="6"/>
              <w:spacing w:before="142" w:line="232" w:lineRule="auto"/>
              <w:ind w:left="153"/>
              <w:rPr>
                <w:sz w:val="18"/>
                <w:szCs w:val="18"/>
              </w:rPr>
            </w:pPr>
            <w:r>
              <w:rPr>
                <w:spacing w:val="-6"/>
                <w:sz w:val="18"/>
                <w:szCs w:val="18"/>
              </w:rPr>
              <w:t>15.4</w:t>
            </w:r>
          </w:p>
        </w:tc>
        <w:tc>
          <w:tcPr>
            <w:tcW w:w="955" w:type="dxa"/>
            <w:vAlign w:val="top"/>
          </w:tcPr>
          <w:p w14:paraId="43C5EC65">
            <w:pPr>
              <w:pStyle w:val="6"/>
              <w:spacing w:before="142" w:line="232" w:lineRule="auto"/>
              <w:ind w:left="340"/>
              <w:rPr>
                <w:sz w:val="18"/>
                <w:szCs w:val="18"/>
              </w:rPr>
            </w:pPr>
            <w:r>
              <w:rPr>
                <w:spacing w:val="-1"/>
                <w:sz w:val="18"/>
                <w:szCs w:val="18"/>
              </w:rPr>
              <w:t>294</w:t>
            </w:r>
          </w:p>
        </w:tc>
        <w:tc>
          <w:tcPr>
            <w:tcW w:w="506" w:type="dxa"/>
            <w:vAlign w:val="top"/>
          </w:tcPr>
          <w:p w14:paraId="64035131">
            <w:pPr>
              <w:pStyle w:val="6"/>
              <w:spacing w:before="142" w:line="232" w:lineRule="auto"/>
              <w:ind w:left="134"/>
              <w:rPr>
                <w:sz w:val="18"/>
                <w:szCs w:val="18"/>
              </w:rPr>
            </w:pPr>
            <w:r>
              <w:rPr>
                <w:spacing w:val="-5"/>
                <w:sz w:val="18"/>
                <w:szCs w:val="18"/>
              </w:rPr>
              <w:t>195</w:t>
            </w:r>
          </w:p>
        </w:tc>
        <w:tc>
          <w:tcPr>
            <w:tcW w:w="707" w:type="dxa"/>
            <w:vAlign w:val="top"/>
          </w:tcPr>
          <w:p w14:paraId="5015DA1A">
            <w:pPr>
              <w:pStyle w:val="6"/>
              <w:spacing w:before="142" w:line="232" w:lineRule="auto"/>
              <w:ind w:left="212"/>
              <w:rPr>
                <w:sz w:val="18"/>
                <w:szCs w:val="18"/>
              </w:rPr>
            </w:pPr>
            <w:r>
              <w:rPr>
                <w:spacing w:val="-6"/>
                <w:sz w:val="18"/>
                <w:szCs w:val="18"/>
              </w:rPr>
              <w:t>1.24</w:t>
            </w:r>
          </w:p>
        </w:tc>
        <w:tc>
          <w:tcPr>
            <w:tcW w:w="708" w:type="dxa"/>
            <w:vAlign w:val="top"/>
          </w:tcPr>
          <w:p w14:paraId="1CAD88D7">
            <w:pPr>
              <w:pStyle w:val="6"/>
              <w:spacing w:before="142" w:line="232" w:lineRule="auto"/>
              <w:ind w:left="99"/>
              <w:rPr>
                <w:sz w:val="18"/>
                <w:szCs w:val="18"/>
              </w:rPr>
            </w:pPr>
            <w:r>
              <w:rPr>
                <w:spacing w:val="-2"/>
                <w:sz w:val="18"/>
                <w:szCs w:val="18"/>
              </w:rPr>
              <w:t>0.002L</w:t>
            </w:r>
          </w:p>
        </w:tc>
        <w:tc>
          <w:tcPr>
            <w:tcW w:w="663" w:type="dxa"/>
            <w:vAlign w:val="top"/>
          </w:tcPr>
          <w:p w14:paraId="40966176">
            <w:pPr>
              <w:pStyle w:val="6"/>
              <w:spacing w:before="142" w:line="232" w:lineRule="auto"/>
              <w:ind w:left="134"/>
              <w:rPr>
                <w:sz w:val="18"/>
                <w:szCs w:val="18"/>
              </w:rPr>
            </w:pPr>
            <w:r>
              <w:rPr>
                <w:spacing w:val="-2"/>
                <w:sz w:val="18"/>
                <w:szCs w:val="18"/>
              </w:rPr>
              <w:t>0.075</w:t>
            </w:r>
          </w:p>
        </w:tc>
        <w:tc>
          <w:tcPr>
            <w:tcW w:w="664" w:type="dxa"/>
            <w:vAlign w:val="top"/>
          </w:tcPr>
          <w:p w14:paraId="7CA34947">
            <w:pPr>
              <w:pStyle w:val="6"/>
              <w:spacing w:before="142" w:line="232" w:lineRule="auto"/>
              <w:ind w:left="134"/>
              <w:rPr>
                <w:sz w:val="18"/>
                <w:szCs w:val="18"/>
              </w:rPr>
            </w:pPr>
            <w:r>
              <w:rPr>
                <w:spacing w:val="-2"/>
                <w:sz w:val="18"/>
                <w:szCs w:val="18"/>
              </w:rPr>
              <w:t>0.003</w:t>
            </w:r>
          </w:p>
        </w:tc>
        <w:tc>
          <w:tcPr>
            <w:tcW w:w="782" w:type="dxa"/>
            <w:vAlign w:val="top"/>
          </w:tcPr>
          <w:p w14:paraId="065B81EB">
            <w:pPr>
              <w:pStyle w:val="6"/>
              <w:spacing w:before="142" w:line="232" w:lineRule="auto"/>
              <w:ind w:left="93"/>
              <w:rPr>
                <w:sz w:val="18"/>
                <w:szCs w:val="18"/>
              </w:rPr>
            </w:pPr>
            <w:r>
              <w:rPr>
                <w:spacing w:val="-1"/>
                <w:sz w:val="18"/>
                <w:szCs w:val="18"/>
              </w:rPr>
              <w:t>0.0005L</w:t>
            </w:r>
          </w:p>
        </w:tc>
        <w:tc>
          <w:tcPr>
            <w:tcW w:w="663" w:type="dxa"/>
            <w:vAlign w:val="top"/>
          </w:tcPr>
          <w:p w14:paraId="2C823F8E">
            <w:pPr>
              <w:pStyle w:val="6"/>
              <w:spacing w:before="142" w:line="232" w:lineRule="auto"/>
              <w:ind w:left="81"/>
              <w:rPr>
                <w:sz w:val="18"/>
                <w:szCs w:val="18"/>
              </w:rPr>
            </w:pPr>
            <w:r>
              <w:rPr>
                <w:spacing w:val="-2"/>
                <w:sz w:val="18"/>
                <w:szCs w:val="18"/>
              </w:rPr>
              <w:t>0.004L</w:t>
            </w:r>
          </w:p>
        </w:tc>
        <w:tc>
          <w:tcPr>
            <w:tcW w:w="737" w:type="dxa"/>
            <w:vAlign w:val="top"/>
          </w:tcPr>
          <w:p w14:paraId="28445C99">
            <w:pPr>
              <w:pStyle w:val="6"/>
              <w:spacing w:before="142" w:line="232" w:lineRule="auto"/>
              <w:ind w:left="74"/>
              <w:rPr>
                <w:sz w:val="18"/>
                <w:szCs w:val="18"/>
              </w:rPr>
            </w:pPr>
            <w:r>
              <w:rPr>
                <w:spacing w:val="-1"/>
                <w:sz w:val="18"/>
                <w:szCs w:val="18"/>
              </w:rPr>
              <w:t>0.0025L</w:t>
            </w:r>
          </w:p>
        </w:tc>
        <w:tc>
          <w:tcPr>
            <w:tcW w:w="737" w:type="dxa"/>
            <w:vAlign w:val="top"/>
          </w:tcPr>
          <w:p w14:paraId="20E66DA3">
            <w:pPr>
              <w:pStyle w:val="6"/>
              <w:spacing w:before="142" w:line="232" w:lineRule="auto"/>
              <w:ind w:left="75"/>
              <w:rPr>
                <w:sz w:val="18"/>
                <w:szCs w:val="18"/>
              </w:rPr>
            </w:pPr>
            <w:r>
              <w:rPr>
                <w:spacing w:val="-1"/>
                <w:sz w:val="18"/>
                <w:szCs w:val="18"/>
              </w:rPr>
              <w:t>0.0001L</w:t>
            </w:r>
          </w:p>
        </w:tc>
        <w:tc>
          <w:tcPr>
            <w:tcW w:w="754" w:type="dxa"/>
            <w:vAlign w:val="top"/>
          </w:tcPr>
          <w:p w14:paraId="7D95BD13">
            <w:pPr>
              <w:pStyle w:val="6"/>
              <w:spacing w:before="142" w:line="232" w:lineRule="auto"/>
              <w:ind w:left="84"/>
              <w:rPr>
                <w:sz w:val="18"/>
                <w:szCs w:val="18"/>
              </w:rPr>
            </w:pPr>
            <w:r>
              <w:rPr>
                <w:spacing w:val="-1"/>
                <w:sz w:val="18"/>
                <w:szCs w:val="18"/>
              </w:rPr>
              <w:t>0.0003L</w:t>
            </w:r>
          </w:p>
        </w:tc>
        <w:tc>
          <w:tcPr>
            <w:tcW w:w="667" w:type="dxa"/>
            <w:vAlign w:val="top"/>
          </w:tcPr>
          <w:p w14:paraId="689BB650">
            <w:pPr>
              <w:pStyle w:val="6"/>
              <w:spacing w:before="142" w:line="232" w:lineRule="auto"/>
              <w:ind w:left="86"/>
              <w:rPr>
                <w:sz w:val="18"/>
                <w:szCs w:val="18"/>
              </w:rPr>
            </w:pPr>
            <w:r>
              <w:rPr>
                <w:spacing w:val="-2"/>
                <w:sz w:val="18"/>
                <w:szCs w:val="18"/>
              </w:rPr>
              <w:t>0.002L</w:t>
            </w:r>
          </w:p>
        </w:tc>
        <w:tc>
          <w:tcPr>
            <w:tcW w:w="544" w:type="dxa"/>
            <w:vAlign w:val="top"/>
          </w:tcPr>
          <w:p w14:paraId="2D327E99">
            <w:pPr>
              <w:pStyle w:val="6"/>
              <w:spacing w:before="142" w:line="232" w:lineRule="auto"/>
              <w:ind w:left="117"/>
              <w:rPr>
                <w:sz w:val="18"/>
                <w:szCs w:val="18"/>
              </w:rPr>
            </w:pPr>
            <w:r>
              <w:rPr>
                <w:spacing w:val="-2"/>
                <w:sz w:val="18"/>
                <w:szCs w:val="18"/>
              </w:rPr>
              <w:t>0.2L</w:t>
            </w:r>
          </w:p>
        </w:tc>
        <w:tc>
          <w:tcPr>
            <w:tcW w:w="434" w:type="dxa"/>
            <w:vAlign w:val="top"/>
          </w:tcPr>
          <w:p w14:paraId="46F4E8FC">
            <w:pPr>
              <w:pStyle w:val="6"/>
              <w:spacing w:before="142" w:line="232" w:lineRule="auto"/>
              <w:ind w:left="62"/>
              <w:rPr>
                <w:sz w:val="18"/>
                <w:szCs w:val="18"/>
              </w:rPr>
            </w:pPr>
            <w:r>
              <w:rPr>
                <w:spacing w:val="-2"/>
                <w:sz w:val="18"/>
                <w:szCs w:val="18"/>
              </w:rPr>
              <w:t>0.5L</w:t>
            </w:r>
          </w:p>
        </w:tc>
        <w:tc>
          <w:tcPr>
            <w:tcW w:w="1015" w:type="dxa"/>
            <w:vAlign w:val="top"/>
          </w:tcPr>
          <w:p w14:paraId="559210CD">
            <w:pPr>
              <w:pStyle w:val="6"/>
              <w:spacing w:before="142" w:line="232" w:lineRule="auto"/>
              <w:ind w:left="489"/>
              <w:rPr>
                <w:sz w:val="18"/>
                <w:szCs w:val="18"/>
              </w:rPr>
            </w:pPr>
            <w:r>
              <w:rPr>
                <w:sz w:val="18"/>
                <w:szCs w:val="18"/>
              </w:rPr>
              <w:t>/</w:t>
            </w:r>
          </w:p>
        </w:tc>
        <w:tc>
          <w:tcPr>
            <w:tcW w:w="721" w:type="dxa"/>
            <w:tcBorders>
              <w:right w:val="single" w:color="000000" w:sz="12" w:space="0"/>
            </w:tcBorders>
            <w:vAlign w:val="top"/>
          </w:tcPr>
          <w:p w14:paraId="23E3F130">
            <w:pPr>
              <w:pStyle w:val="6"/>
              <w:spacing w:before="148" w:line="229" w:lineRule="auto"/>
              <w:ind w:left="239"/>
              <w:rPr>
                <w:sz w:val="18"/>
                <w:szCs w:val="18"/>
              </w:rPr>
            </w:pPr>
            <w:r>
              <w:rPr>
                <w:b/>
                <w:bCs/>
                <w:spacing w:val="-3"/>
                <w:sz w:val="18"/>
                <w:szCs w:val="18"/>
              </w:rPr>
              <w:t>190</w:t>
            </w:r>
          </w:p>
        </w:tc>
      </w:tr>
      <w:tr w14:paraId="62B22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155C7E25">
            <w:pPr>
              <w:rPr>
                <w:rFonts w:ascii="Arial"/>
                <w:sz w:val="21"/>
              </w:rPr>
            </w:pPr>
          </w:p>
        </w:tc>
        <w:tc>
          <w:tcPr>
            <w:tcW w:w="272" w:type="dxa"/>
            <w:vMerge w:val="continue"/>
            <w:tcBorders>
              <w:top w:val="nil"/>
            </w:tcBorders>
            <w:vAlign w:val="top"/>
          </w:tcPr>
          <w:p w14:paraId="4CBA68BE">
            <w:pPr>
              <w:rPr>
                <w:rFonts w:ascii="Arial"/>
                <w:sz w:val="21"/>
              </w:rPr>
            </w:pPr>
          </w:p>
        </w:tc>
        <w:tc>
          <w:tcPr>
            <w:tcW w:w="1004" w:type="dxa"/>
            <w:vAlign w:val="top"/>
          </w:tcPr>
          <w:p w14:paraId="0D47E516">
            <w:pPr>
              <w:pStyle w:val="6"/>
              <w:spacing w:before="141" w:line="232" w:lineRule="auto"/>
              <w:ind w:left="122"/>
              <w:rPr>
                <w:sz w:val="18"/>
                <w:szCs w:val="18"/>
              </w:rPr>
            </w:pPr>
            <w:r>
              <w:rPr>
                <w:spacing w:val="-1"/>
                <w:sz w:val="18"/>
                <w:szCs w:val="18"/>
              </w:rPr>
              <w:t>2019/5/12</w:t>
            </w:r>
          </w:p>
        </w:tc>
        <w:tc>
          <w:tcPr>
            <w:tcW w:w="686" w:type="dxa"/>
            <w:vAlign w:val="top"/>
          </w:tcPr>
          <w:p w14:paraId="07E113BF">
            <w:pPr>
              <w:pStyle w:val="6"/>
              <w:spacing w:before="147" w:line="183" w:lineRule="auto"/>
              <w:ind w:left="234"/>
              <w:rPr>
                <w:sz w:val="18"/>
                <w:szCs w:val="18"/>
              </w:rPr>
            </w:pPr>
            <w:r>
              <w:rPr>
                <w:spacing w:val="-2"/>
                <w:sz w:val="18"/>
                <w:szCs w:val="18"/>
              </w:rPr>
              <w:t>5L</w:t>
            </w:r>
          </w:p>
        </w:tc>
        <w:tc>
          <w:tcPr>
            <w:tcW w:w="923" w:type="dxa"/>
            <w:vAlign w:val="top"/>
          </w:tcPr>
          <w:p w14:paraId="4ED88F6B">
            <w:pPr>
              <w:pStyle w:val="6"/>
              <w:spacing w:before="141" w:line="232" w:lineRule="auto"/>
              <w:ind w:left="283"/>
              <w:rPr>
                <w:sz w:val="18"/>
                <w:szCs w:val="18"/>
              </w:rPr>
            </w:pPr>
            <w:r>
              <w:rPr>
                <w:spacing w:val="-2"/>
                <w:sz w:val="18"/>
                <w:szCs w:val="18"/>
              </w:rPr>
              <w:t>0.5L</w:t>
            </w:r>
          </w:p>
        </w:tc>
        <w:tc>
          <w:tcPr>
            <w:tcW w:w="708" w:type="dxa"/>
            <w:vAlign w:val="top"/>
          </w:tcPr>
          <w:p w14:paraId="7D907E91">
            <w:pPr>
              <w:pStyle w:val="6"/>
              <w:spacing w:before="141" w:line="232" w:lineRule="auto"/>
              <w:ind w:left="189"/>
              <w:rPr>
                <w:sz w:val="18"/>
                <w:szCs w:val="18"/>
              </w:rPr>
            </w:pPr>
            <w:r>
              <w:rPr>
                <w:spacing w:val="-2"/>
                <w:sz w:val="18"/>
                <w:szCs w:val="18"/>
              </w:rPr>
              <w:t>6.58</w:t>
            </w:r>
          </w:p>
        </w:tc>
        <w:tc>
          <w:tcPr>
            <w:tcW w:w="850" w:type="dxa"/>
            <w:vAlign w:val="top"/>
          </w:tcPr>
          <w:p w14:paraId="49526FAA">
            <w:pPr>
              <w:pStyle w:val="6"/>
              <w:spacing w:before="141" w:line="232" w:lineRule="auto"/>
              <w:ind w:left="159"/>
              <w:rPr>
                <w:sz w:val="18"/>
                <w:szCs w:val="18"/>
              </w:rPr>
            </w:pPr>
            <w:r>
              <w:rPr>
                <w:spacing w:val="-2"/>
                <w:sz w:val="18"/>
                <w:szCs w:val="18"/>
              </w:rPr>
              <w:t>0.040L</w:t>
            </w:r>
          </w:p>
        </w:tc>
        <w:tc>
          <w:tcPr>
            <w:tcW w:w="761" w:type="dxa"/>
            <w:vAlign w:val="top"/>
          </w:tcPr>
          <w:p w14:paraId="42059E61">
            <w:pPr>
              <w:pStyle w:val="6"/>
              <w:spacing w:before="141" w:line="232" w:lineRule="auto"/>
              <w:ind w:left="125"/>
              <w:rPr>
                <w:sz w:val="18"/>
                <w:szCs w:val="18"/>
              </w:rPr>
            </w:pPr>
            <w:r>
              <w:rPr>
                <w:spacing w:val="-2"/>
                <w:sz w:val="18"/>
                <w:szCs w:val="18"/>
              </w:rPr>
              <w:t>0.0449</w:t>
            </w:r>
          </w:p>
        </w:tc>
        <w:tc>
          <w:tcPr>
            <w:tcW w:w="654" w:type="dxa"/>
            <w:vAlign w:val="top"/>
          </w:tcPr>
          <w:p w14:paraId="5F8E2656">
            <w:pPr>
              <w:pStyle w:val="6"/>
              <w:spacing w:before="141" w:line="232" w:lineRule="auto"/>
              <w:ind w:left="73"/>
              <w:rPr>
                <w:sz w:val="18"/>
                <w:szCs w:val="18"/>
              </w:rPr>
            </w:pPr>
            <w:r>
              <w:rPr>
                <w:spacing w:val="-2"/>
                <w:sz w:val="18"/>
                <w:szCs w:val="18"/>
              </w:rPr>
              <w:t>0.0045</w:t>
            </w:r>
          </w:p>
        </w:tc>
        <w:tc>
          <w:tcPr>
            <w:tcW w:w="708" w:type="dxa"/>
            <w:vAlign w:val="top"/>
          </w:tcPr>
          <w:p w14:paraId="5AE4AA45">
            <w:pPr>
              <w:pStyle w:val="6"/>
              <w:spacing w:before="141" w:line="232" w:lineRule="auto"/>
              <w:ind w:left="91"/>
              <w:rPr>
                <w:sz w:val="18"/>
                <w:szCs w:val="18"/>
              </w:rPr>
            </w:pPr>
            <w:r>
              <w:rPr>
                <w:spacing w:val="-2"/>
                <w:sz w:val="18"/>
                <w:szCs w:val="18"/>
              </w:rPr>
              <w:t>0.009L</w:t>
            </w:r>
          </w:p>
        </w:tc>
        <w:tc>
          <w:tcPr>
            <w:tcW w:w="707" w:type="dxa"/>
            <w:vAlign w:val="top"/>
          </w:tcPr>
          <w:p w14:paraId="4B4C3FEA">
            <w:pPr>
              <w:pStyle w:val="6"/>
              <w:spacing w:before="141" w:line="232" w:lineRule="auto"/>
              <w:ind w:left="148"/>
              <w:rPr>
                <w:sz w:val="18"/>
                <w:szCs w:val="18"/>
              </w:rPr>
            </w:pPr>
            <w:r>
              <w:rPr>
                <w:spacing w:val="-2"/>
                <w:sz w:val="18"/>
                <w:szCs w:val="18"/>
              </w:rPr>
              <w:t>0.024</w:t>
            </w:r>
          </w:p>
        </w:tc>
        <w:tc>
          <w:tcPr>
            <w:tcW w:w="766" w:type="dxa"/>
            <w:vAlign w:val="top"/>
          </w:tcPr>
          <w:p w14:paraId="535AF304">
            <w:pPr>
              <w:pStyle w:val="6"/>
              <w:spacing w:before="141" w:line="232" w:lineRule="auto"/>
              <w:ind w:left="238"/>
              <w:rPr>
                <w:sz w:val="18"/>
                <w:szCs w:val="18"/>
              </w:rPr>
            </w:pPr>
            <w:r>
              <w:rPr>
                <w:spacing w:val="-6"/>
                <w:sz w:val="18"/>
                <w:szCs w:val="18"/>
              </w:rPr>
              <w:t>14.6</w:t>
            </w:r>
          </w:p>
        </w:tc>
        <w:tc>
          <w:tcPr>
            <w:tcW w:w="595" w:type="dxa"/>
            <w:vAlign w:val="top"/>
          </w:tcPr>
          <w:p w14:paraId="006D24C4">
            <w:pPr>
              <w:pStyle w:val="6"/>
              <w:spacing w:before="141" w:line="232" w:lineRule="auto"/>
              <w:ind w:left="153"/>
              <w:rPr>
                <w:sz w:val="18"/>
                <w:szCs w:val="18"/>
              </w:rPr>
            </w:pPr>
            <w:r>
              <w:rPr>
                <w:spacing w:val="-6"/>
                <w:sz w:val="18"/>
                <w:szCs w:val="18"/>
              </w:rPr>
              <w:t>14.0</w:t>
            </w:r>
          </w:p>
        </w:tc>
        <w:tc>
          <w:tcPr>
            <w:tcW w:w="955" w:type="dxa"/>
            <w:vAlign w:val="top"/>
          </w:tcPr>
          <w:p w14:paraId="606BC6B6">
            <w:pPr>
              <w:pStyle w:val="6"/>
              <w:spacing w:before="142" w:line="232" w:lineRule="auto"/>
              <w:ind w:left="344"/>
              <w:rPr>
                <w:sz w:val="18"/>
                <w:szCs w:val="18"/>
              </w:rPr>
            </w:pPr>
            <w:r>
              <w:rPr>
                <w:spacing w:val="-2"/>
                <w:sz w:val="18"/>
                <w:szCs w:val="18"/>
              </w:rPr>
              <w:t>310</w:t>
            </w:r>
          </w:p>
        </w:tc>
        <w:tc>
          <w:tcPr>
            <w:tcW w:w="506" w:type="dxa"/>
            <w:vAlign w:val="top"/>
          </w:tcPr>
          <w:p w14:paraId="7AD5D5B8">
            <w:pPr>
              <w:pStyle w:val="6"/>
              <w:spacing w:before="142" w:line="232" w:lineRule="auto"/>
              <w:ind w:left="116"/>
              <w:rPr>
                <w:sz w:val="18"/>
                <w:szCs w:val="18"/>
              </w:rPr>
            </w:pPr>
            <w:r>
              <w:rPr>
                <w:spacing w:val="-1"/>
                <w:sz w:val="18"/>
                <w:szCs w:val="18"/>
              </w:rPr>
              <w:t>223</w:t>
            </w:r>
          </w:p>
        </w:tc>
        <w:tc>
          <w:tcPr>
            <w:tcW w:w="707" w:type="dxa"/>
            <w:vAlign w:val="top"/>
          </w:tcPr>
          <w:p w14:paraId="5DBCB3CC">
            <w:pPr>
              <w:pStyle w:val="6"/>
              <w:spacing w:before="141" w:line="232" w:lineRule="auto"/>
              <w:ind w:left="212"/>
              <w:rPr>
                <w:sz w:val="18"/>
                <w:szCs w:val="18"/>
              </w:rPr>
            </w:pPr>
            <w:r>
              <w:rPr>
                <w:spacing w:val="-6"/>
                <w:sz w:val="18"/>
                <w:szCs w:val="18"/>
              </w:rPr>
              <w:t>1.25</w:t>
            </w:r>
          </w:p>
        </w:tc>
        <w:tc>
          <w:tcPr>
            <w:tcW w:w="708" w:type="dxa"/>
            <w:vAlign w:val="top"/>
          </w:tcPr>
          <w:p w14:paraId="73EA975C">
            <w:pPr>
              <w:pStyle w:val="6"/>
              <w:spacing w:before="141" w:line="232" w:lineRule="auto"/>
              <w:ind w:left="99"/>
              <w:rPr>
                <w:sz w:val="18"/>
                <w:szCs w:val="18"/>
              </w:rPr>
            </w:pPr>
            <w:r>
              <w:rPr>
                <w:spacing w:val="-2"/>
                <w:sz w:val="18"/>
                <w:szCs w:val="18"/>
              </w:rPr>
              <w:t>0.002L</w:t>
            </w:r>
          </w:p>
        </w:tc>
        <w:tc>
          <w:tcPr>
            <w:tcW w:w="663" w:type="dxa"/>
            <w:vAlign w:val="top"/>
          </w:tcPr>
          <w:p w14:paraId="5283EFFC">
            <w:pPr>
              <w:pStyle w:val="6"/>
              <w:spacing w:before="141" w:line="232" w:lineRule="auto"/>
              <w:ind w:left="134"/>
              <w:rPr>
                <w:sz w:val="18"/>
                <w:szCs w:val="18"/>
              </w:rPr>
            </w:pPr>
            <w:r>
              <w:rPr>
                <w:spacing w:val="-2"/>
                <w:sz w:val="18"/>
                <w:szCs w:val="18"/>
              </w:rPr>
              <w:t>0.063</w:t>
            </w:r>
          </w:p>
        </w:tc>
        <w:tc>
          <w:tcPr>
            <w:tcW w:w="664" w:type="dxa"/>
            <w:vAlign w:val="top"/>
          </w:tcPr>
          <w:p w14:paraId="55231FF5">
            <w:pPr>
              <w:pStyle w:val="6"/>
              <w:spacing w:before="141" w:line="232" w:lineRule="auto"/>
              <w:ind w:left="134"/>
              <w:rPr>
                <w:sz w:val="18"/>
                <w:szCs w:val="18"/>
              </w:rPr>
            </w:pPr>
            <w:r>
              <w:rPr>
                <w:spacing w:val="-2"/>
                <w:sz w:val="18"/>
                <w:szCs w:val="18"/>
              </w:rPr>
              <w:t>0.003</w:t>
            </w:r>
          </w:p>
        </w:tc>
        <w:tc>
          <w:tcPr>
            <w:tcW w:w="782" w:type="dxa"/>
            <w:vAlign w:val="top"/>
          </w:tcPr>
          <w:p w14:paraId="5F92C1BA">
            <w:pPr>
              <w:pStyle w:val="6"/>
              <w:spacing w:before="141" w:line="232" w:lineRule="auto"/>
              <w:ind w:left="93"/>
              <w:rPr>
                <w:sz w:val="18"/>
                <w:szCs w:val="18"/>
              </w:rPr>
            </w:pPr>
            <w:r>
              <w:rPr>
                <w:spacing w:val="-1"/>
                <w:sz w:val="18"/>
                <w:szCs w:val="18"/>
              </w:rPr>
              <w:t>0.0005L</w:t>
            </w:r>
          </w:p>
        </w:tc>
        <w:tc>
          <w:tcPr>
            <w:tcW w:w="663" w:type="dxa"/>
            <w:vAlign w:val="top"/>
          </w:tcPr>
          <w:p w14:paraId="6CC65039">
            <w:pPr>
              <w:pStyle w:val="6"/>
              <w:spacing w:before="141" w:line="232" w:lineRule="auto"/>
              <w:ind w:left="81"/>
              <w:rPr>
                <w:sz w:val="18"/>
                <w:szCs w:val="18"/>
              </w:rPr>
            </w:pPr>
            <w:r>
              <w:rPr>
                <w:spacing w:val="-2"/>
                <w:sz w:val="18"/>
                <w:szCs w:val="18"/>
              </w:rPr>
              <w:t>0.004L</w:t>
            </w:r>
          </w:p>
        </w:tc>
        <w:tc>
          <w:tcPr>
            <w:tcW w:w="737" w:type="dxa"/>
            <w:vAlign w:val="top"/>
          </w:tcPr>
          <w:p w14:paraId="65319C7E">
            <w:pPr>
              <w:pStyle w:val="6"/>
              <w:spacing w:before="141" w:line="232" w:lineRule="auto"/>
              <w:ind w:left="74"/>
              <w:rPr>
                <w:sz w:val="18"/>
                <w:szCs w:val="18"/>
              </w:rPr>
            </w:pPr>
            <w:r>
              <w:rPr>
                <w:spacing w:val="-1"/>
                <w:sz w:val="18"/>
                <w:szCs w:val="18"/>
              </w:rPr>
              <w:t>0.0025L</w:t>
            </w:r>
          </w:p>
        </w:tc>
        <w:tc>
          <w:tcPr>
            <w:tcW w:w="737" w:type="dxa"/>
            <w:vAlign w:val="top"/>
          </w:tcPr>
          <w:p w14:paraId="3686897D">
            <w:pPr>
              <w:pStyle w:val="6"/>
              <w:spacing w:before="141" w:line="232" w:lineRule="auto"/>
              <w:ind w:left="75"/>
              <w:rPr>
                <w:sz w:val="18"/>
                <w:szCs w:val="18"/>
              </w:rPr>
            </w:pPr>
            <w:r>
              <w:rPr>
                <w:spacing w:val="-1"/>
                <w:sz w:val="18"/>
                <w:szCs w:val="18"/>
              </w:rPr>
              <w:t>0.0001L</w:t>
            </w:r>
          </w:p>
        </w:tc>
        <w:tc>
          <w:tcPr>
            <w:tcW w:w="754" w:type="dxa"/>
            <w:vAlign w:val="top"/>
          </w:tcPr>
          <w:p w14:paraId="05CCA1B0">
            <w:pPr>
              <w:pStyle w:val="6"/>
              <w:spacing w:before="141" w:line="232" w:lineRule="auto"/>
              <w:ind w:left="84"/>
              <w:rPr>
                <w:sz w:val="18"/>
                <w:szCs w:val="18"/>
              </w:rPr>
            </w:pPr>
            <w:r>
              <w:rPr>
                <w:spacing w:val="-1"/>
                <w:sz w:val="18"/>
                <w:szCs w:val="18"/>
              </w:rPr>
              <w:t>0.0003L</w:t>
            </w:r>
          </w:p>
        </w:tc>
        <w:tc>
          <w:tcPr>
            <w:tcW w:w="667" w:type="dxa"/>
            <w:vAlign w:val="top"/>
          </w:tcPr>
          <w:p w14:paraId="5856EDE3">
            <w:pPr>
              <w:pStyle w:val="6"/>
              <w:spacing w:before="141" w:line="232" w:lineRule="auto"/>
              <w:ind w:left="86"/>
              <w:rPr>
                <w:sz w:val="18"/>
                <w:szCs w:val="18"/>
              </w:rPr>
            </w:pPr>
            <w:r>
              <w:rPr>
                <w:spacing w:val="-2"/>
                <w:sz w:val="18"/>
                <w:szCs w:val="18"/>
              </w:rPr>
              <w:t>0.002L</w:t>
            </w:r>
          </w:p>
        </w:tc>
        <w:tc>
          <w:tcPr>
            <w:tcW w:w="544" w:type="dxa"/>
            <w:vAlign w:val="top"/>
          </w:tcPr>
          <w:p w14:paraId="7B743FA7">
            <w:pPr>
              <w:pStyle w:val="6"/>
              <w:spacing w:before="141" w:line="232" w:lineRule="auto"/>
              <w:ind w:left="117"/>
              <w:rPr>
                <w:sz w:val="18"/>
                <w:szCs w:val="18"/>
              </w:rPr>
            </w:pPr>
            <w:r>
              <w:rPr>
                <w:spacing w:val="-2"/>
                <w:sz w:val="18"/>
                <w:szCs w:val="18"/>
              </w:rPr>
              <w:t>0.2L</w:t>
            </w:r>
          </w:p>
        </w:tc>
        <w:tc>
          <w:tcPr>
            <w:tcW w:w="434" w:type="dxa"/>
            <w:vAlign w:val="top"/>
          </w:tcPr>
          <w:p w14:paraId="0027537E">
            <w:pPr>
              <w:pStyle w:val="6"/>
              <w:spacing w:before="141" w:line="232" w:lineRule="auto"/>
              <w:ind w:left="62"/>
              <w:rPr>
                <w:sz w:val="18"/>
                <w:szCs w:val="18"/>
              </w:rPr>
            </w:pPr>
            <w:r>
              <w:rPr>
                <w:spacing w:val="-2"/>
                <w:sz w:val="18"/>
                <w:szCs w:val="18"/>
              </w:rPr>
              <w:t>0.5L</w:t>
            </w:r>
          </w:p>
        </w:tc>
        <w:tc>
          <w:tcPr>
            <w:tcW w:w="1015" w:type="dxa"/>
            <w:vAlign w:val="top"/>
          </w:tcPr>
          <w:p w14:paraId="219FCDC0">
            <w:pPr>
              <w:pStyle w:val="6"/>
              <w:spacing w:before="141" w:line="232" w:lineRule="auto"/>
              <w:ind w:left="489"/>
              <w:rPr>
                <w:sz w:val="18"/>
                <w:szCs w:val="18"/>
              </w:rPr>
            </w:pPr>
            <w:r>
              <w:rPr>
                <w:sz w:val="18"/>
                <w:szCs w:val="18"/>
              </w:rPr>
              <w:t>/</w:t>
            </w:r>
          </w:p>
        </w:tc>
        <w:tc>
          <w:tcPr>
            <w:tcW w:w="721" w:type="dxa"/>
            <w:tcBorders>
              <w:right w:val="single" w:color="000000" w:sz="12" w:space="0"/>
            </w:tcBorders>
            <w:vAlign w:val="top"/>
          </w:tcPr>
          <w:p w14:paraId="2997B135">
            <w:pPr>
              <w:pStyle w:val="6"/>
              <w:spacing w:before="147" w:line="229" w:lineRule="auto"/>
              <w:ind w:left="239"/>
              <w:rPr>
                <w:sz w:val="18"/>
                <w:szCs w:val="18"/>
              </w:rPr>
            </w:pPr>
            <w:r>
              <w:rPr>
                <w:b/>
                <w:bCs/>
                <w:spacing w:val="-3"/>
                <w:sz w:val="18"/>
                <w:szCs w:val="18"/>
              </w:rPr>
              <w:t>197</w:t>
            </w:r>
          </w:p>
        </w:tc>
      </w:tr>
      <w:tr w14:paraId="42699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50742D92">
            <w:pPr>
              <w:rPr>
                <w:rFonts w:ascii="Arial"/>
                <w:sz w:val="21"/>
              </w:rPr>
            </w:pPr>
          </w:p>
        </w:tc>
        <w:tc>
          <w:tcPr>
            <w:tcW w:w="272" w:type="dxa"/>
            <w:vMerge w:val="restart"/>
            <w:tcBorders>
              <w:bottom w:val="nil"/>
            </w:tcBorders>
            <w:vAlign w:val="top"/>
          </w:tcPr>
          <w:p w14:paraId="6CDA4EC6">
            <w:pPr>
              <w:pStyle w:val="6"/>
              <w:spacing w:before="289" w:line="235" w:lineRule="auto"/>
              <w:ind w:left="33" w:right="55"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004" w:type="dxa"/>
            <w:vAlign w:val="top"/>
          </w:tcPr>
          <w:p w14:paraId="68A81E9D">
            <w:pPr>
              <w:pStyle w:val="6"/>
              <w:spacing w:before="143" w:line="232" w:lineRule="auto"/>
              <w:ind w:left="167"/>
              <w:rPr>
                <w:sz w:val="18"/>
                <w:szCs w:val="18"/>
              </w:rPr>
            </w:pPr>
            <w:r>
              <w:rPr>
                <w:spacing w:val="-1"/>
                <w:sz w:val="18"/>
                <w:szCs w:val="18"/>
              </w:rPr>
              <w:t>2019/8/6</w:t>
            </w:r>
          </w:p>
        </w:tc>
        <w:tc>
          <w:tcPr>
            <w:tcW w:w="686" w:type="dxa"/>
            <w:vAlign w:val="top"/>
          </w:tcPr>
          <w:p w14:paraId="20D28A20">
            <w:pPr>
              <w:pStyle w:val="6"/>
              <w:spacing w:before="148" w:line="183" w:lineRule="auto"/>
              <w:ind w:left="234"/>
              <w:rPr>
                <w:sz w:val="18"/>
                <w:szCs w:val="18"/>
              </w:rPr>
            </w:pPr>
            <w:r>
              <w:rPr>
                <w:spacing w:val="-2"/>
                <w:sz w:val="18"/>
                <w:szCs w:val="18"/>
              </w:rPr>
              <w:t>5L</w:t>
            </w:r>
          </w:p>
        </w:tc>
        <w:tc>
          <w:tcPr>
            <w:tcW w:w="923" w:type="dxa"/>
            <w:vAlign w:val="top"/>
          </w:tcPr>
          <w:p w14:paraId="4707F7F6">
            <w:pPr>
              <w:pStyle w:val="6"/>
              <w:spacing w:before="143" w:line="232" w:lineRule="auto"/>
              <w:ind w:left="283"/>
              <w:rPr>
                <w:sz w:val="18"/>
                <w:szCs w:val="18"/>
              </w:rPr>
            </w:pPr>
            <w:r>
              <w:rPr>
                <w:spacing w:val="-2"/>
                <w:sz w:val="18"/>
                <w:szCs w:val="18"/>
              </w:rPr>
              <w:t>0.5L</w:t>
            </w:r>
          </w:p>
        </w:tc>
        <w:tc>
          <w:tcPr>
            <w:tcW w:w="708" w:type="dxa"/>
            <w:vAlign w:val="top"/>
          </w:tcPr>
          <w:p w14:paraId="5526096E">
            <w:pPr>
              <w:pStyle w:val="6"/>
              <w:spacing w:before="149" w:line="229" w:lineRule="auto"/>
              <w:ind w:left="188"/>
              <w:rPr>
                <w:sz w:val="18"/>
                <w:szCs w:val="18"/>
              </w:rPr>
            </w:pPr>
            <w:r>
              <w:rPr>
                <w:b/>
                <w:bCs/>
                <w:spacing w:val="-2"/>
                <w:sz w:val="18"/>
                <w:szCs w:val="18"/>
              </w:rPr>
              <w:t>6.34</w:t>
            </w:r>
          </w:p>
        </w:tc>
        <w:tc>
          <w:tcPr>
            <w:tcW w:w="850" w:type="dxa"/>
            <w:vAlign w:val="top"/>
          </w:tcPr>
          <w:p w14:paraId="1FCFFCCC">
            <w:pPr>
              <w:pStyle w:val="6"/>
              <w:spacing w:before="143" w:line="232" w:lineRule="auto"/>
              <w:ind w:left="159"/>
              <w:rPr>
                <w:sz w:val="18"/>
                <w:szCs w:val="18"/>
              </w:rPr>
            </w:pPr>
            <w:r>
              <w:rPr>
                <w:spacing w:val="-2"/>
                <w:sz w:val="18"/>
                <w:szCs w:val="18"/>
              </w:rPr>
              <w:t>0.040L</w:t>
            </w:r>
          </w:p>
        </w:tc>
        <w:tc>
          <w:tcPr>
            <w:tcW w:w="761" w:type="dxa"/>
            <w:vAlign w:val="top"/>
          </w:tcPr>
          <w:p w14:paraId="68C6092B">
            <w:pPr>
              <w:pStyle w:val="6"/>
              <w:spacing w:before="143" w:line="232" w:lineRule="auto"/>
              <w:ind w:left="70"/>
              <w:rPr>
                <w:sz w:val="18"/>
                <w:szCs w:val="18"/>
              </w:rPr>
            </w:pPr>
            <w:r>
              <w:rPr>
                <w:spacing w:val="-1"/>
                <w:sz w:val="18"/>
                <w:szCs w:val="18"/>
              </w:rPr>
              <w:t>0.0045L</w:t>
            </w:r>
          </w:p>
        </w:tc>
        <w:tc>
          <w:tcPr>
            <w:tcW w:w="654" w:type="dxa"/>
            <w:vAlign w:val="top"/>
          </w:tcPr>
          <w:p w14:paraId="0F336F23">
            <w:pPr>
              <w:pStyle w:val="6"/>
              <w:spacing w:before="143" w:line="232" w:lineRule="auto"/>
              <w:ind w:left="73"/>
              <w:rPr>
                <w:sz w:val="18"/>
                <w:szCs w:val="18"/>
              </w:rPr>
            </w:pPr>
            <w:r>
              <w:rPr>
                <w:spacing w:val="-2"/>
                <w:sz w:val="18"/>
                <w:szCs w:val="18"/>
              </w:rPr>
              <w:t>0.0038</w:t>
            </w:r>
          </w:p>
        </w:tc>
        <w:tc>
          <w:tcPr>
            <w:tcW w:w="708" w:type="dxa"/>
            <w:vAlign w:val="top"/>
          </w:tcPr>
          <w:p w14:paraId="5452D99F">
            <w:pPr>
              <w:pStyle w:val="6"/>
              <w:spacing w:before="143" w:line="232" w:lineRule="auto"/>
              <w:ind w:left="91"/>
              <w:rPr>
                <w:sz w:val="18"/>
                <w:szCs w:val="18"/>
              </w:rPr>
            </w:pPr>
            <w:r>
              <w:rPr>
                <w:spacing w:val="-2"/>
                <w:sz w:val="18"/>
                <w:szCs w:val="18"/>
              </w:rPr>
              <w:t>0.009L</w:t>
            </w:r>
          </w:p>
        </w:tc>
        <w:tc>
          <w:tcPr>
            <w:tcW w:w="707" w:type="dxa"/>
            <w:vAlign w:val="top"/>
          </w:tcPr>
          <w:p w14:paraId="08B8078F">
            <w:pPr>
              <w:pStyle w:val="6"/>
              <w:spacing w:before="143" w:line="232" w:lineRule="auto"/>
              <w:ind w:left="148"/>
              <w:rPr>
                <w:sz w:val="18"/>
                <w:szCs w:val="18"/>
              </w:rPr>
            </w:pPr>
            <w:r>
              <w:rPr>
                <w:spacing w:val="-2"/>
                <w:sz w:val="18"/>
                <w:szCs w:val="18"/>
              </w:rPr>
              <w:t>0.023</w:t>
            </w:r>
          </w:p>
        </w:tc>
        <w:tc>
          <w:tcPr>
            <w:tcW w:w="766" w:type="dxa"/>
            <w:vAlign w:val="top"/>
          </w:tcPr>
          <w:p w14:paraId="01072E24">
            <w:pPr>
              <w:pStyle w:val="6"/>
              <w:spacing w:before="143" w:line="232" w:lineRule="auto"/>
              <w:ind w:left="238"/>
              <w:rPr>
                <w:sz w:val="18"/>
                <w:szCs w:val="18"/>
              </w:rPr>
            </w:pPr>
            <w:r>
              <w:rPr>
                <w:spacing w:val="-6"/>
                <w:sz w:val="18"/>
                <w:szCs w:val="18"/>
              </w:rPr>
              <w:t>14.3</w:t>
            </w:r>
          </w:p>
        </w:tc>
        <w:tc>
          <w:tcPr>
            <w:tcW w:w="595" w:type="dxa"/>
            <w:vAlign w:val="top"/>
          </w:tcPr>
          <w:p w14:paraId="5A508F21">
            <w:pPr>
              <w:pStyle w:val="6"/>
              <w:spacing w:before="143" w:line="232" w:lineRule="auto"/>
              <w:ind w:left="143"/>
              <w:rPr>
                <w:sz w:val="18"/>
                <w:szCs w:val="18"/>
              </w:rPr>
            </w:pPr>
            <w:r>
              <w:rPr>
                <w:spacing w:val="-3"/>
                <w:sz w:val="18"/>
                <w:szCs w:val="18"/>
              </w:rPr>
              <w:t>83.4</w:t>
            </w:r>
          </w:p>
        </w:tc>
        <w:tc>
          <w:tcPr>
            <w:tcW w:w="955" w:type="dxa"/>
            <w:vAlign w:val="top"/>
          </w:tcPr>
          <w:p w14:paraId="0BC88C9A">
            <w:pPr>
              <w:pStyle w:val="6"/>
              <w:spacing w:before="143" w:line="232" w:lineRule="auto"/>
              <w:ind w:left="340"/>
              <w:rPr>
                <w:sz w:val="18"/>
                <w:szCs w:val="18"/>
              </w:rPr>
            </w:pPr>
            <w:r>
              <w:rPr>
                <w:spacing w:val="-1"/>
                <w:sz w:val="18"/>
                <w:szCs w:val="18"/>
              </w:rPr>
              <w:t>489</w:t>
            </w:r>
          </w:p>
        </w:tc>
        <w:tc>
          <w:tcPr>
            <w:tcW w:w="506" w:type="dxa"/>
            <w:vAlign w:val="top"/>
          </w:tcPr>
          <w:p w14:paraId="7F5D8871">
            <w:pPr>
              <w:pStyle w:val="6"/>
              <w:spacing w:before="143" w:line="232" w:lineRule="auto"/>
              <w:ind w:left="120"/>
              <w:rPr>
                <w:sz w:val="18"/>
                <w:szCs w:val="18"/>
              </w:rPr>
            </w:pPr>
            <w:r>
              <w:rPr>
                <w:spacing w:val="-2"/>
                <w:sz w:val="18"/>
                <w:szCs w:val="18"/>
              </w:rPr>
              <w:t>307</w:t>
            </w:r>
          </w:p>
        </w:tc>
        <w:tc>
          <w:tcPr>
            <w:tcW w:w="707" w:type="dxa"/>
            <w:vAlign w:val="top"/>
          </w:tcPr>
          <w:p w14:paraId="10BB2663">
            <w:pPr>
              <w:pStyle w:val="6"/>
              <w:spacing w:before="143" w:line="232" w:lineRule="auto"/>
              <w:ind w:left="195"/>
              <w:rPr>
                <w:sz w:val="18"/>
                <w:szCs w:val="18"/>
              </w:rPr>
            </w:pPr>
            <w:r>
              <w:rPr>
                <w:spacing w:val="-1"/>
                <w:sz w:val="18"/>
                <w:szCs w:val="18"/>
              </w:rPr>
              <w:t>2.38</w:t>
            </w:r>
          </w:p>
        </w:tc>
        <w:tc>
          <w:tcPr>
            <w:tcW w:w="708" w:type="dxa"/>
            <w:vAlign w:val="top"/>
          </w:tcPr>
          <w:p w14:paraId="0736CB4F">
            <w:pPr>
              <w:pStyle w:val="6"/>
              <w:spacing w:before="143" w:line="232" w:lineRule="auto"/>
              <w:ind w:left="99"/>
              <w:rPr>
                <w:sz w:val="18"/>
                <w:szCs w:val="18"/>
              </w:rPr>
            </w:pPr>
            <w:r>
              <w:rPr>
                <w:spacing w:val="-2"/>
                <w:sz w:val="18"/>
                <w:szCs w:val="18"/>
              </w:rPr>
              <w:t>0.002L</w:t>
            </w:r>
          </w:p>
        </w:tc>
        <w:tc>
          <w:tcPr>
            <w:tcW w:w="663" w:type="dxa"/>
            <w:vAlign w:val="top"/>
          </w:tcPr>
          <w:p w14:paraId="7D4A91DA">
            <w:pPr>
              <w:pStyle w:val="6"/>
              <w:spacing w:before="143" w:line="232" w:lineRule="auto"/>
              <w:ind w:left="78"/>
              <w:rPr>
                <w:sz w:val="18"/>
                <w:szCs w:val="18"/>
              </w:rPr>
            </w:pPr>
            <w:r>
              <w:rPr>
                <w:spacing w:val="-2"/>
                <w:sz w:val="18"/>
                <w:szCs w:val="18"/>
              </w:rPr>
              <w:t>0.050L</w:t>
            </w:r>
          </w:p>
        </w:tc>
        <w:tc>
          <w:tcPr>
            <w:tcW w:w="664" w:type="dxa"/>
            <w:vAlign w:val="top"/>
          </w:tcPr>
          <w:p w14:paraId="483DA1FF">
            <w:pPr>
              <w:pStyle w:val="6"/>
              <w:spacing w:before="143" w:line="232" w:lineRule="auto"/>
              <w:ind w:left="134"/>
              <w:rPr>
                <w:sz w:val="18"/>
                <w:szCs w:val="18"/>
              </w:rPr>
            </w:pPr>
            <w:r>
              <w:rPr>
                <w:spacing w:val="-2"/>
                <w:sz w:val="18"/>
                <w:szCs w:val="18"/>
              </w:rPr>
              <w:t>0.002</w:t>
            </w:r>
          </w:p>
        </w:tc>
        <w:tc>
          <w:tcPr>
            <w:tcW w:w="782" w:type="dxa"/>
            <w:vAlign w:val="top"/>
          </w:tcPr>
          <w:p w14:paraId="0E461FEB">
            <w:pPr>
              <w:pStyle w:val="6"/>
              <w:spacing w:before="143" w:line="232" w:lineRule="auto"/>
              <w:ind w:left="93"/>
              <w:rPr>
                <w:sz w:val="18"/>
                <w:szCs w:val="18"/>
              </w:rPr>
            </w:pPr>
            <w:r>
              <w:rPr>
                <w:spacing w:val="-1"/>
                <w:sz w:val="18"/>
                <w:szCs w:val="18"/>
              </w:rPr>
              <w:t>0.0005L</w:t>
            </w:r>
          </w:p>
        </w:tc>
        <w:tc>
          <w:tcPr>
            <w:tcW w:w="663" w:type="dxa"/>
            <w:vAlign w:val="top"/>
          </w:tcPr>
          <w:p w14:paraId="7A1706B5">
            <w:pPr>
              <w:pStyle w:val="6"/>
              <w:spacing w:before="143" w:line="232" w:lineRule="auto"/>
              <w:ind w:left="137"/>
              <w:rPr>
                <w:sz w:val="18"/>
                <w:szCs w:val="18"/>
              </w:rPr>
            </w:pPr>
            <w:r>
              <w:rPr>
                <w:spacing w:val="-2"/>
                <w:sz w:val="18"/>
                <w:szCs w:val="18"/>
              </w:rPr>
              <w:t>0.008</w:t>
            </w:r>
          </w:p>
        </w:tc>
        <w:tc>
          <w:tcPr>
            <w:tcW w:w="737" w:type="dxa"/>
            <w:vAlign w:val="top"/>
          </w:tcPr>
          <w:p w14:paraId="4E9A1F02">
            <w:pPr>
              <w:pStyle w:val="6"/>
              <w:spacing w:before="143" w:line="232" w:lineRule="auto"/>
              <w:ind w:left="74"/>
              <w:rPr>
                <w:sz w:val="18"/>
                <w:szCs w:val="18"/>
              </w:rPr>
            </w:pPr>
            <w:r>
              <w:rPr>
                <w:spacing w:val="-1"/>
                <w:sz w:val="18"/>
                <w:szCs w:val="18"/>
              </w:rPr>
              <w:t>0.0025L</w:t>
            </w:r>
          </w:p>
        </w:tc>
        <w:tc>
          <w:tcPr>
            <w:tcW w:w="737" w:type="dxa"/>
            <w:vAlign w:val="top"/>
          </w:tcPr>
          <w:p w14:paraId="6CA234F3">
            <w:pPr>
              <w:pStyle w:val="6"/>
              <w:spacing w:before="143" w:line="232" w:lineRule="auto"/>
              <w:ind w:left="130"/>
              <w:rPr>
                <w:sz w:val="18"/>
                <w:szCs w:val="18"/>
              </w:rPr>
            </w:pPr>
            <w:r>
              <w:rPr>
                <w:spacing w:val="-2"/>
                <w:sz w:val="18"/>
                <w:szCs w:val="18"/>
              </w:rPr>
              <w:t>0.0001</w:t>
            </w:r>
          </w:p>
        </w:tc>
        <w:tc>
          <w:tcPr>
            <w:tcW w:w="754" w:type="dxa"/>
            <w:vAlign w:val="top"/>
          </w:tcPr>
          <w:p w14:paraId="1231A983">
            <w:pPr>
              <w:pStyle w:val="6"/>
              <w:spacing w:before="143" w:line="232" w:lineRule="auto"/>
              <w:ind w:left="84"/>
              <w:rPr>
                <w:sz w:val="18"/>
                <w:szCs w:val="18"/>
              </w:rPr>
            </w:pPr>
            <w:r>
              <w:rPr>
                <w:spacing w:val="-1"/>
                <w:sz w:val="18"/>
                <w:szCs w:val="18"/>
              </w:rPr>
              <w:t>0.0004L</w:t>
            </w:r>
          </w:p>
        </w:tc>
        <w:tc>
          <w:tcPr>
            <w:tcW w:w="667" w:type="dxa"/>
            <w:vAlign w:val="top"/>
          </w:tcPr>
          <w:p w14:paraId="3C5E72B2">
            <w:pPr>
              <w:pStyle w:val="6"/>
              <w:spacing w:before="143" w:line="232" w:lineRule="auto"/>
              <w:ind w:left="86"/>
              <w:rPr>
                <w:sz w:val="18"/>
                <w:szCs w:val="18"/>
              </w:rPr>
            </w:pPr>
            <w:r>
              <w:rPr>
                <w:spacing w:val="-2"/>
                <w:sz w:val="18"/>
                <w:szCs w:val="18"/>
              </w:rPr>
              <w:t>0.002L</w:t>
            </w:r>
          </w:p>
        </w:tc>
        <w:tc>
          <w:tcPr>
            <w:tcW w:w="544" w:type="dxa"/>
            <w:vAlign w:val="top"/>
          </w:tcPr>
          <w:p w14:paraId="7A5B5D9E">
            <w:pPr>
              <w:pStyle w:val="6"/>
              <w:spacing w:before="143" w:line="232" w:lineRule="auto"/>
              <w:ind w:left="117"/>
              <w:rPr>
                <w:sz w:val="18"/>
                <w:szCs w:val="18"/>
              </w:rPr>
            </w:pPr>
            <w:r>
              <w:rPr>
                <w:spacing w:val="-2"/>
                <w:sz w:val="18"/>
                <w:szCs w:val="18"/>
              </w:rPr>
              <w:t>0.2L</w:t>
            </w:r>
          </w:p>
        </w:tc>
        <w:tc>
          <w:tcPr>
            <w:tcW w:w="434" w:type="dxa"/>
            <w:vAlign w:val="top"/>
          </w:tcPr>
          <w:p w14:paraId="2DF5C2E3">
            <w:pPr>
              <w:pStyle w:val="6"/>
              <w:spacing w:before="143" w:line="232" w:lineRule="auto"/>
              <w:ind w:left="62"/>
              <w:rPr>
                <w:sz w:val="18"/>
                <w:szCs w:val="18"/>
              </w:rPr>
            </w:pPr>
            <w:r>
              <w:rPr>
                <w:spacing w:val="-2"/>
                <w:sz w:val="18"/>
                <w:szCs w:val="18"/>
              </w:rPr>
              <w:t>0.5L</w:t>
            </w:r>
          </w:p>
        </w:tc>
        <w:tc>
          <w:tcPr>
            <w:tcW w:w="1015" w:type="dxa"/>
            <w:vAlign w:val="top"/>
          </w:tcPr>
          <w:p w14:paraId="7DB841E3">
            <w:pPr>
              <w:pStyle w:val="6"/>
              <w:spacing w:before="143" w:line="232" w:lineRule="auto"/>
              <w:ind w:left="489"/>
              <w:rPr>
                <w:sz w:val="18"/>
                <w:szCs w:val="18"/>
              </w:rPr>
            </w:pPr>
            <w:r>
              <w:rPr>
                <w:sz w:val="18"/>
                <w:szCs w:val="18"/>
              </w:rPr>
              <w:t>/</w:t>
            </w:r>
          </w:p>
        </w:tc>
        <w:tc>
          <w:tcPr>
            <w:tcW w:w="721" w:type="dxa"/>
            <w:tcBorders>
              <w:right w:val="single" w:color="000000" w:sz="12" w:space="0"/>
            </w:tcBorders>
            <w:vAlign w:val="top"/>
          </w:tcPr>
          <w:p w14:paraId="012B29C2">
            <w:pPr>
              <w:pStyle w:val="6"/>
              <w:spacing w:before="143" w:line="232" w:lineRule="auto"/>
              <w:ind w:left="336"/>
              <w:rPr>
                <w:sz w:val="18"/>
                <w:szCs w:val="18"/>
              </w:rPr>
            </w:pPr>
            <w:r>
              <w:rPr>
                <w:sz w:val="18"/>
                <w:szCs w:val="18"/>
              </w:rPr>
              <w:t>/</w:t>
            </w:r>
          </w:p>
        </w:tc>
      </w:tr>
      <w:tr w14:paraId="522DA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4DA903B3">
            <w:pPr>
              <w:rPr>
                <w:rFonts w:ascii="Arial"/>
                <w:sz w:val="21"/>
              </w:rPr>
            </w:pPr>
          </w:p>
        </w:tc>
        <w:tc>
          <w:tcPr>
            <w:tcW w:w="272" w:type="dxa"/>
            <w:vMerge w:val="continue"/>
            <w:tcBorders>
              <w:top w:val="nil"/>
              <w:bottom w:val="nil"/>
            </w:tcBorders>
            <w:vAlign w:val="top"/>
          </w:tcPr>
          <w:p w14:paraId="78E66010">
            <w:pPr>
              <w:rPr>
                <w:rFonts w:ascii="Arial"/>
                <w:sz w:val="21"/>
              </w:rPr>
            </w:pPr>
          </w:p>
        </w:tc>
        <w:tc>
          <w:tcPr>
            <w:tcW w:w="1004" w:type="dxa"/>
            <w:vAlign w:val="top"/>
          </w:tcPr>
          <w:p w14:paraId="5CB29F82">
            <w:pPr>
              <w:pStyle w:val="6"/>
              <w:spacing w:before="145" w:line="232" w:lineRule="auto"/>
              <w:ind w:left="167"/>
              <w:rPr>
                <w:sz w:val="18"/>
                <w:szCs w:val="18"/>
              </w:rPr>
            </w:pPr>
            <w:r>
              <w:rPr>
                <w:spacing w:val="-1"/>
                <w:sz w:val="18"/>
                <w:szCs w:val="18"/>
              </w:rPr>
              <w:t>2019/8/7</w:t>
            </w:r>
          </w:p>
        </w:tc>
        <w:tc>
          <w:tcPr>
            <w:tcW w:w="686" w:type="dxa"/>
            <w:vAlign w:val="top"/>
          </w:tcPr>
          <w:p w14:paraId="6F44EF8C">
            <w:pPr>
              <w:pStyle w:val="6"/>
              <w:spacing w:before="151" w:line="183" w:lineRule="auto"/>
              <w:ind w:left="234"/>
              <w:rPr>
                <w:sz w:val="18"/>
                <w:szCs w:val="18"/>
              </w:rPr>
            </w:pPr>
            <w:r>
              <w:rPr>
                <w:spacing w:val="-2"/>
                <w:sz w:val="18"/>
                <w:szCs w:val="18"/>
              </w:rPr>
              <w:t>5L</w:t>
            </w:r>
          </w:p>
        </w:tc>
        <w:tc>
          <w:tcPr>
            <w:tcW w:w="923" w:type="dxa"/>
            <w:vAlign w:val="top"/>
          </w:tcPr>
          <w:p w14:paraId="47D0B89F">
            <w:pPr>
              <w:pStyle w:val="6"/>
              <w:spacing w:before="145" w:line="232" w:lineRule="auto"/>
              <w:ind w:left="283"/>
              <w:rPr>
                <w:sz w:val="18"/>
                <w:szCs w:val="18"/>
              </w:rPr>
            </w:pPr>
            <w:r>
              <w:rPr>
                <w:spacing w:val="-2"/>
                <w:sz w:val="18"/>
                <w:szCs w:val="18"/>
              </w:rPr>
              <w:t>0.5L</w:t>
            </w:r>
          </w:p>
        </w:tc>
        <w:tc>
          <w:tcPr>
            <w:tcW w:w="708" w:type="dxa"/>
            <w:vAlign w:val="top"/>
          </w:tcPr>
          <w:p w14:paraId="507E9CB5">
            <w:pPr>
              <w:pStyle w:val="6"/>
              <w:spacing w:before="151" w:line="229" w:lineRule="auto"/>
              <w:ind w:left="188"/>
              <w:rPr>
                <w:sz w:val="18"/>
                <w:szCs w:val="18"/>
              </w:rPr>
            </w:pPr>
            <w:r>
              <w:rPr>
                <w:b/>
                <w:bCs/>
                <w:spacing w:val="-2"/>
                <w:sz w:val="18"/>
                <w:szCs w:val="18"/>
              </w:rPr>
              <w:t>6.39</w:t>
            </w:r>
          </w:p>
        </w:tc>
        <w:tc>
          <w:tcPr>
            <w:tcW w:w="850" w:type="dxa"/>
            <w:vAlign w:val="top"/>
          </w:tcPr>
          <w:p w14:paraId="6EF0E801">
            <w:pPr>
              <w:pStyle w:val="6"/>
              <w:spacing w:before="145" w:line="232" w:lineRule="auto"/>
              <w:ind w:left="159"/>
              <w:rPr>
                <w:sz w:val="18"/>
                <w:szCs w:val="18"/>
              </w:rPr>
            </w:pPr>
            <w:r>
              <w:rPr>
                <w:spacing w:val="-2"/>
                <w:sz w:val="18"/>
                <w:szCs w:val="18"/>
              </w:rPr>
              <w:t>0.040L</w:t>
            </w:r>
          </w:p>
        </w:tc>
        <w:tc>
          <w:tcPr>
            <w:tcW w:w="761" w:type="dxa"/>
            <w:vAlign w:val="top"/>
          </w:tcPr>
          <w:p w14:paraId="65EF7C5A">
            <w:pPr>
              <w:pStyle w:val="6"/>
              <w:spacing w:before="145" w:line="232" w:lineRule="auto"/>
              <w:ind w:left="70"/>
              <w:rPr>
                <w:sz w:val="18"/>
                <w:szCs w:val="18"/>
              </w:rPr>
            </w:pPr>
            <w:r>
              <w:rPr>
                <w:spacing w:val="-1"/>
                <w:sz w:val="18"/>
                <w:szCs w:val="18"/>
              </w:rPr>
              <w:t>0.0045L</w:t>
            </w:r>
          </w:p>
        </w:tc>
        <w:tc>
          <w:tcPr>
            <w:tcW w:w="654" w:type="dxa"/>
            <w:vAlign w:val="top"/>
          </w:tcPr>
          <w:p w14:paraId="585E4490">
            <w:pPr>
              <w:pStyle w:val="6"/>
              <w:spacing w:before="145" w:line="232" w:lineRule="auto"/>
              <w:ind w:left="73"/>
              <w:rPr>
                <w:sz w:val="18"/>
                <w:szCs w:val="18"/>
              </w:rPr>
            </w:pPr>
            <w:r>
              <w:rPr>
                <w:spacing w:val="-2"/>
                <w:sz w:val="18"/>
                <w:szCs w:val="18"/>
              </w:rPr>
              <w:t>0.0032</w:t>
            </w:r>
          </w:p>
        </w:tc>
        <w:tc>
          <w:tcPr>
            <w:tcW w:w="708" w:type="dxa"/>
            <w:vAlign w:val="top"/>
          </w:tcPr>
          <w:p w14:paraId="0E4FB817">
            <w:pPr>
              <w:pStyle w:val="6"/>
              <w:spacing w:before="145" w:line="232" w:lineRule="auto"/>
              <w:ind w:left="91"/>
              <w:rPr>
                <w:sz w:val="18"/>
                <w:szCs w:val="18"/>
              </w:rPr>
            </w:pPr>
            <w:r>
              <w:rPr>
                <w:spacing w:val="-2"/>
                <w:sz w:val="18"/>
                <w:szCs w:val="18"/>
              </w:rPr>
              <w:t>0.009L</w:t>
            </w:r>
          </w:p>
        </w:tc>
        <w:tc>
          <w:tcPr>
            <w:tcW w:w="707" w:type="dxa"/>
            <w:vAlign w:val="top"/>
          </w:tcPr>
          <w:p w14:paraId="565EAF54">
            <w:pPr>
              <w:pStyle w:val="6"/>
              <w:spacing w:before="145" w:line="232" w:lineRule="auto"/>
              <w:ind w:left="148"/>
              <w:rPr>
                <w:sz w:val="18"/>
                <w:szCs w:val="18"/>
              </w:rPr>
            </w:pPr>
            <w:r>
              <w:rPr>
                <w:spacing w:val="-2"/>
                <w:sz w:val="18"/>
                <w:szCs w:val="18"/>
              </w:rPr>
              <w:t>0.023</w:t>
            </w:r>
          </w:p>
        </w:tc>
        <w:tc>
          <w:tcPr>
            <w:tcW w:w="766" w:type="dxa"/>
            <w:vAlign w:val="top"/>
          </w:tcPr>
          <w:p w14:paraId="41A59C45">
            <w:pPr>
              <w:pStyle w:val="6"/>
              <w:spacing w:before="145" w:line="232" w:lineRule="auto"/>
              <w:ind w:left="238"/>
              <w:rPr>
                <w:sz w:val="18"/>
                <w:szCs w:val="18"/>
              </w:rPr>
            </w:pPr>
            <w:r>
              <w:rPr>
                <w:spacing w:val="-6"/>
                <w:sz w:val="18"/>
                <w:szCs w:val="18"/>
              </w:rPr>
              <w:t>13.4</w:t>
            </w:r>
          </w:p>
        </w:tc>
        <w:tc>
          <w:tcPr>
            <w:tcW w:w="595" w:type="dxa"/>
            <w:vAlign w:val="top"/>
          </w:tcPr>
          <w:p w14:paraId="7FAD9137">
            <w:pPr>
              <w:pStyle w:val="6"/>
              <w:spacing w:before="145" w:line="232" w:lineRule="auto"/>
              <w:ind w:left="143"/>
              <w:rPr>
                <w:sz w:val="18"/>
                <w:szCs w:val="18"/>
              </w:rPr>
            </w:pPr>
            <w:r>
              <w:rPr>
                <w:spacing w:val="-3"/>
                <w:sz w:val="18"/>
                <w:szCs w:val="18"/>
              </w:rPr>
              <w:t>82.6</w:t>
            </w:r>
          </w:p>
        </w:tc>
        <w:tc>
          <w:tcPr>
            <w:tcW w:w="955" w:type="dxa"/>
            <w:vAlign w:val="top"/>
          </w:tcPr>
          <w:p w14:paraId="67E92EB0">
            <w:pPr>
              <w:pStyle w:val="6"/>
              <w:spacing w:before="145" w:line="232" w:lineRule="auto"/>
              <w:ind w:left="340"/>
              <w:rPr>
                <w:sz w:val="18"/>
                <w:szCs w:val="18"/>
              </w:rPr>
            </w:pPr>
            <w:r>
              <w:rPr>
                <w:spacing w:val="-1"/>
                <w:sz w:val="18"/>
                <w:szCs w:val="18"/>
              </w:rPr>
              <w:t>465</w:t>
            </w:r>
          </w:p>
        </w:tc>
        <w:tc>
          <w:tcPr>
            <w:tcW w:w="506" w:type="dxa"/>
            <w:vAlign w:val="top"/>
          </w:tcPr>
          <w:p w14:paraId="3B762A61">
            <w:pPr>
              <w:pStyle w:val="6"/>
              <w:spacing w:before="145" w:line="232" w:lineRule="auto"/>
              <w:ind w:left="116"/>
              <w:rPr>
                <w:sz w:val="18"/>
                <w:szCs w:val="18"/>
              </w:rPr>
            </w:pPr>
            <w:r>
              <w:rPr>
                <w:spacing w:val="-1"/>
                <w:sz w:val="18"/>
                <w:szCs w:val="18"/>
              </w:rPr>
              <w:t>288</w:t>
            </w:r>
          </w:p>
        </w:tc>
        <w:tc>
          <w:tcPr>
            <w:tcW w:w="707" w:type="dxa"/>
            <w:vAlign w:val="top"/>
          </w:tcPr>
          <w:p w14:paraId="1B49697A">
            <w:pPr>
              <w:pStyle w:val="6"/>
              <w:spacing w:before="145" w:line="232" w:lineRule="auto"/>
              <w:ind w:left="195"/>
              <w:rPr>
                <w:sz w:val="18"/>
                <w:szCs w:val="18"/>
              </w:rPr>
            </w:pPr>
            <w:r>
              <w:rPr>
                <w:spacing w:val="-1"/>
                <w:sz w:val="18"/>
                <w:szCs w:val="18"/>
              </w:rPr>
              <w:t>2.30</w:t>
            </w:r>
          </w:p>
        </w:tc>
        <w:tc>
          <w:tcPr>
            <w:tcW w:w="708" w:type="dxa"/>
            <w:vAlign w:val="top"/>
          </w:tcPr>
          <w:p w14:paraId="68839AC5">
            <w:pPr>
              <w:pStyle w:val="6"/>
              <w:spacing w:before="145" w:line="232" w:lineRule="auto"/>
              <w:ind w:left="99"/>
              <w:rPr>
                <w:sz w:val="18"/>
                <w:szCs w:val="18"/>
              </w:rPr>
            </w:pPr>
            <w:r>
              <w:rPr>
                <w:spacing w:val="-2"/>
                <w:sz w:val="18"/>
                <w:szCs w:val="18"/>
              </w:rPr>
              <w:t>0.002L</w:t>
            </w:r>
          </w:p>
        </w:tc>
        <w:tc>
          <w:tcPr>
            <w:tcW w:w="663" w:type="dxa"/>
            <w:vAlign w:val="top"/>
          </w:tcPr>
          <w:p w14:paraId="02063A7D">
            <w:pPr>
              <w:pStyle w:val="6"/>
              <w:spacing w:before="145" w:line="232" w:lineRule="auto"/>
              <w:ind w:left="78"/>
              <w:rPr>
                <w:sz w:val="18"/>
                <w:szCs w:val="18"/>
              </w:rPr>
            </w:pPr>
            <w:r>
              <w:rPr>
                <w:spacing w:val="-2"/>
                <w:sz w:val="18"/>
                <w:szCs w:val="18"/>
              </w:rPr>
              <w:t>0.050L</w:t>
            </w:r>
          </w:p>
        </w:tc>
        <w:tc>
          <w:tcPr>
            <w:tcW w:w="664" w:type="dxa"/>
            <w:vAlign w:val="top"/>
          </w:tcPr>
          <w:p w14:paraId="38034BDD">
            <w:pPr>
              <w:pStyle w:val="6"/>
              <w:spacing w:before="145" w:line="232" w:lineRule="auto"/>
              <w:ind w:left="134"/>
              <w:rPr>
                <w:sz w:val="18"/>
                <w:szCs w:val="18"/>
              </w:rPr>
            </w:pPr>
            <w:r>
              <w:rPr>
                <w:spacing w:val="-2"/>
                <w:sz w:val="18"/>
                <w:szCs w:val="18"/>
              </w:rPr>
              <w:t>0.002</w:t>
            </w:r>
          </w:p>
        </w:tc>
        <w:tc>
          <w:tcPr>
            <w:tcW w:w="782" w:type="dxa"/>
            <w:vAlign w:val="top"/>
          </w:tcPr>
          <w:p w14:paraId="6E8150C9">
            <w:pPr>
              <w:pStyle w:val="6"/>
              <w:spacing w:before="145" w:line="232" w:lineRule="auto"/>
              <w:ind w:left="93"/>
              <w:rPr>
                <w:sz w:val="18"/>
                <w:szCs w:val="18"/>
              </w:rPr>
            </w:pPr>
            <w:r>
              <w:rPr>
                <w:spacing w:val="-1"/>
                <w:sz w:val="18"/>
                <w:szCs w:val="18"/>
              </w:rPr>
              <w:t>0.0005L</w:t>
            </w:r>
          </w:p>
        </w:tc>
        <w:tc>
          <w:tcPr>
            <w:tcW w:w="663" w:type="dxa"/>
            <w:vAlign w:val="top"/>
          </w:tcPr>
          <w:p w14:paraId="2226E588">
            <w:pPr>
              <w:pStyle w:val="6"/>
              <w:spacing w:before="145" w:line="232" w:lineRule="auto"/>
              <w:ind w:left="137"/>
              <w:rPr>
                <w:sz w:val="18"/>
                <w:szCs w:val="18"/>
              </w:rPr>
            </w:pPr>
            <w:r>
              <w:rPr>
                <w:spacing w:val="-2"/>
                <w:sz w:val="18"/>
                <w:szCs w:val="18"/>
              </w:rPr>
              <w:t>0.006</w:t>
            </w:r>
          </w:p>
        </w:tc>
        <w:tc>
          <w:tcPr>
            <w:tcW w:w="737" w:type="dxa"/>
            <w:vAlign w:val="top"/>
          </w:tcPr>
          <w:p w14:paraId="0927BD8F">
            <w:pPr>
              <w:pStyle w:val="6"/>
              <w:spacing w:before="145" w:line="232" w:lineRule="auto"/>
              <w:ind w:left="74"/>
              <w:rPr>
                <w:sz w:val="18"/>
                <w:szCs w:val="18"/>
              </w:rPr>
            </w:pPr>
            <w:r>
              <w:rPr>
                <w:spacing w:val="-1"/>
                <w:sz w:val="18"/>
                <w:szCs w:val="18"/>
              </w:rPr>
              <w:t>0.0025L</w:t>
            </w:r>
          </w:p>
        </w:tc>
        <w:tc>
          <w:tcPr>
            <w:tcW w:w="737" w:type="dxa"/>
            <w:vAlign w:val="top"/>
          </w:tcPr>
          <w:p w14:paraId="62D8DA6D">
            <w:pPr>
              <w:pStyle w:val="6"/>
              <w:spacing w:before="145" w:line="232" w:lineRule="auto"/>
              <w:ind w:left="130"/>
              <w:rPr>
                <w:sz w:val="18"/>
                <w:szCs w:val="18"/>
              </w:rPr>
            </w:pPr>
            <w:r>
              <w:rPr>
                <w:spacing w:val="-2"/>
                <w:sz w:val="18"/>
                <w:szCs w:val="18"/>
              </w:rPr>
              <w:t>0.0001</w:t>
            </w:r>
          </w:p>
        </w:tc>
        <w:tc>
          <w:tcPr>
            <w:tcW w:w="754" w:type="dxa"/>
            <w:vAlign w:val="top"/>
          </w:tcPr>
          <w:p w14:paraId="17B11329">
            <w:pPr>
              <w:pStyle w:val="6"/>
              <w:spacing w:before="145" w:line="232" w:lineRule="auto"/>
              <w:ind w:left="84"/>
              <w:rPr>
                <w:sz w:val="18"/>
                <w:szCs w:val="18"/>
              </w:rPr>
            </w:pPr>
            <w:r>
              <w:rPr>
                <w:spacing w:val="-1"/>
                <w:sz w:val="18"/>
                <w:szCs w:val="18"/>
              </w:rPr>
              <w:t>0.0004L</w:t>
            </w:r>
          </w:p>
        </w:tc>
        <w:tc>
          <w:tcPr>
            <w:tcW w:w="667" w:type="dxa"/>
            <w:vAlign w:val="top"/>
          </w:tcPr>
          <w:p w14:paraId="741C8642">
            <w:pPr>
              <w:pStyle w:val="6"/>
              <w:spacing w:before="145" w:line="232" w:lineRule="auto"/>
              <w:ind w:left="86"/>
              <w:rPr>
                <w:sz w:val="18"/>
                <w:szCs w:val="18"/>
              </w:rPr>
            </w:pPr>
            <w:r>
              <w:rPr>
                <w:spacing w:val="-2"/>
                <w:sz w:val="18"/>
                <w:szCs w:val="18"/>
              </w:rPr>
              <w:t>0.002L</w:t>
            </w:r>
          </w:p>
        </w:tc>
        <w:tc>
          <w:tcPr>
            <w:tcW w:w="544" w:type="dxa"/>
            <w:vAlign w:val="top"/>
          </w:tcPr>
          <w:p w14:paraId="174EACA7">
            <w:pPr>
              <w:pStyle w:val="6"/>
              <w:spacing w:before="145" w:line="232" w:lineRule="auto"/>
              <w:ind w:left="117"/>
              <w:rPr>
                <w:sz w:val="18"/>
                <w:szCs w:val="18"/>
              </w:rPr>
            </w:pPr>
            <w:r>
              <w:rPr>
                <w:spacing w:val="-2"/>
                <w:sz w:val="18"/>
                <w:szCs w:val="18"/>
              </w:rPr>
              <w:t>0.2L</w:t>
            </w:r>
          </w:p>
        </w:tc>
        <w:tc>
          <w:tcPr>
            <w:tcW w:w="434" w:type="dxa"/>
            <w:vAlign w:val="top"/>
          </w:tcPr>
          <w:p w14:paraId="1249D61C">
            <w:pPr>
              <w:pStyle w:val="6"/>
              <w:spacing w:before="145" w:line="232" w:lineRule="auto"/>
              <w:ind w:left="62"/>
              <w:rPr>
                <w:sz w:val="18"/>
                <w:szCs w:val="18"/>
              </w:rPr>
            </w:pPr>
            <w:r>
              <w:rPr>
                <w:spacing w:val="-2"/>
                <w:sz w:val="18"/>
                <w:szCs w:val="18"/>
              </w:rPr>
              <w:t>0.5L</w:t>
            </w:r>
          </w:p>
        </w:tc>
        <w:tc>
          <w:tcPr>
            <w:tcW w:w="1015" w:type="dxa"/>
            <w:vAlign w:val="top"/>
          </w:tcPr>
          <w:p w14:paraId="2D9770C8">
            <w:pPr>
              <w:pStyle w:val="6"/>
              <w:spacing w:before="145" w:line="232" w:lineRule="auto"/>
              <w:ind w:left="489"/>
              <w:rPr>
                <w:sz w:val="18"/>
                <w:szCs w:val="18"/>
              </w:rPr>
            </w:pPr>
            <w:r>
              <w:rPr>
                <w:sz w:val="18"/>
                <w:szCs w:val="18"/>
              </w:rPr>
              <w:t>/</w:t>
            </w:r>
          </w:p>
        </w:tc>
        <w:tc>
          <w:tcPr>
            <w:tcW w:w="721" w:type="dxa"/>
            <w:tcBorders>
              <w:right w:val="single" w:color="000000" w:sz="12" w:space="0"/>
            </w:tcBorders>
            <w:vAlign w:val="top"/>
          </w:tcPr>
          <w:p w14:paraId="0D276B7F">
            <w:pPr>
              <w:pStyle w:val="6"/>
              <w:spacing w:before="145" w:line="232" w:lineRule="auto"/>
              <w:ind w:left="279"/>
              <w:rPr>
                <w:sz w:val="18"/>
                <w:szCs w:val="18"/>
              </w:rPr>
            </w:pPr>
            <w:r>
              <w:rPr>
                <w:spacing w:val="-2"/>
                <w:sz w:val="18"/>
                <w:szCs w:val="18"/>
              </w:rPr>
              <w:t>60</w:t>
            </w:r>
          </w:p>
        </w:tc>
      </w:tr>
      <w:tr w14:paraId="20A15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bottom w:val="nil"/>
            </w:tcBorders>
            <w:vAlign w:val="top"/>
          </w:tcPr>
          <w:p w14:paraId="6ADB9D27">
            <w:pPr>
              <w:rPr>
                <w:rFonts w:ascii="Arial"/>
                <w:sz w:val="21"/>
              </w:rPr>
            </w:pPr>
          </w:p>
        </w:tc>
        <w:tc>
          <w:tcPr>
            <w:tcW w:w="272" w:type="dxa"/>
            <w:vMerge w:val="continue"/>
            <w:tcBorders>
              <w:top w:val="nil"/>
            </w:tcBorders>
            <w:vAlign w:val="top"/>
          </w:tcPr>
          <w:p w14:paraId="535BC2FC">
            <w:pPr>
              <w:rPr>
                <w:rFonts w:ascii="Arial"/>
                <w:sz w:val="21"/>
              </w:rPr>
            </w:pPr>
          </w:p>
        </w:tc>
        <w:tc>
          <w:tcPr>
            <w:tcW w:w="1004" w:type="dxa"/>
            <w:vAlign w:val="top"/>
          </w:tcPr>
          <w:p w14:paraId="0B1BB320">
            <w:pPr>
              <w:pStyle w:val="6"/>
              <w:spacing w:before="145" w:line="232" w:lineRule="auto"/>
              <w:ind w:left="167"/>
              <w:rPr>
                <w:sz w:val="18"/>
                <w:szCs w:val="18"/>
              </w:rPr>
            </w:pPr>
            <w:r>
              <w:rPr>
                <w:spacing w:val="-1"/>
                <w:sz w:val="18"/>
                <w:szCs w:val="18"/>
              </w:rPr>
              <w:t>2019/8/8</w:t>
            </w:r>
          </w:p>
        </w:tc>
        <w:tc>
          <w:tcPr>
            <w:tcW w:w="686" w:type="dxa"/>
            <w:vAlign w:val="top"/>
          </w:tcPr>
          <w:p w14:paraId="787328EA">
            <w:pPr>
              <w:pStyle w:val="6"/>
              <w:spacing w:before="151" w:line="183" w:lineRule="auto"/>
              <w:ind w:left="234"/>
              <w:rPr>
                <w:sz w:val="18"/>
                <w:szCs w:val="18"/>
              </w:rPr>
            </w:pPr>
            <w:r>
              <w:rPr>
                <w:spacing w:val="-2"/>
                <w:sz w:val="18"/>
                <w:szCs w:val="18"/>
              </w:rPr>
              <w:t>5L</w:t>
            </w:r>
          </w:p>
        </w:tc>
        <w:tc>
          <w:tcPr>
            <w:tcW w:w="923" w:type="dxa"/>
            <w:vAlign w:val="top"/>
          </w:tcPr>
          <w:p w14:paraId="1D5F86CA">
            <w:pPr>
              <w:pStyle w:val="6"/>
              <w:spacing w:before="145" w:line="232" w:lineRule="auto"/>
              <w:ind w:left="283"/>
              <w:rPr>
                <w:sz w:val="18"/>
                <w:szCs w:val="18"/>
              </w:rPr>
            </w:pPr>
            <w:r>
              <w:rPr>
                <w:spacing w:val="-2"/>
                <w:sz w:val="18"/>
                <w:szCs w:val="18"/>
              </w:rPr>
              <w:t>0.5L</w:t>
            </w:r>
          </w:p>
        </w:tc>
        <w:tc>
          <w:tcPr>
            <w:tcW w:w="708" w:type="dxa"/>
            <w:vAlign w:val="top"/>
          </w:tcPr>
          <w:p w14:paraId="51578AF8">
            <w:pPr>
              <w:pStyle w:val="6"/>
              <w:spacing w:before="151" w:line="229" w:lineRule="auto"/>
              <w:ind w:left="188"/>
              <w:rPr>
                <w:sz w:val="18"/>
                <w:szCs w:val="18"/>
              </w:rPr>
            </w:pPr>
            <w:r>
              <w:rPr>
                <w:b/>
                <w:bCs/>
                <w:spacing w:val="-2"/>
                <w:sz w:val="18"/>
                <w:szCs w:val="18"/>
              </w:rPr>
              <w:t>6.43</w:t>
            </w:r>
          </w:p>
        </w:tc>
        <w:tc>
          <w:tcPr>
            <w:tcW w:w="850" w:type="dxa"/>
            <w:vAlign w:val="top"/>
          </w:tcPr>
          <w:p w14:paraId="3124D98B">
            <w:pPr>
              <w:pStyle w:val="6"/>
              <w:spacing w:before="145" w:line="232" w:lineRule="auto"/>
              <w:ind w:left="159"/>
              <w:rPr>
                <w:sz w:val="18"/>
                <w:szCs w:val="18"/>
              </w:rPr>
            </w:pPr>
            <w:r>
              <w:rPr>
                <w:spacing w:val="-2"/>
                <w:sz w:val="18"/>
                <w:szCs w:val="18"/>
              </w:rPr>
              <w:t>0.040L</w:t>
            </w:r>
          </w:p>
        </w:tc>
        <w:tc>
          <w:tcPr>
            <w:tcW w:w="761" w:type="dxa"/>
            <w:vAlign w:val="top"/>
          </w:tcPr>
          <w:p w14:paraId="672C39F6">
            <w:pPr>
              <w:pStyle w:val="6"/>
              <w:spacing w:before="145" w:line="232" w:lineRule="auto"/>
              <w:ind w:left="70"/>
              <w:rPr>
                <w:sz w:val="18"/>
                <w:szCs w:val="18"/>
              </w:rPr>
            </w:pPr>
            <w:r>
              <w:rPr>
                <w:spacing w:val="-1"/>
                <w:sz w:val="18"/>
                <w:szCs w:val="18"/>
              </w:rPr>
              <w:t>0.0045L</w:t>
            </w:r>
          </w:p>
        </w:tc>
        <w:tc>
          <w:tcPr>
            <w:tcW w:w="654" w:type="dxa"/>
            <w:vAlign w:val="top"/>
          </w:tcPr>
          <w:p w14:paraId="7E724B3D">
            <w:pPr>
              <w:pStyle w:val="6"/>
              <w:spacing w:before="145" w:line="232" w:lineRule="auto"/>
              <w:ind w:left="73"/>
              <w:rPr>
                <w:sz w:val="18"/>
                <w:szCs w:val="18"/>
              </w:rPr>
            </w:pPr>
            <w:r>
              <w:rPr>
                <w:spacing w:val="-2"/>
                <w:sz w:val="18"/>
                <w:szCs w:val="18"/>
              </w:rPr>
              <w:t>0.0031</w:t>
            </w:r>
          </w:p>
        </w:tc>
        <w:tc>
          <w:tcPr>
            <w:tcW w:w="708" w:type="dxa"/>
            <w:vAlign w:val="top"/>
          </w:tcPr>
          <w:p w14:paraId="3A9093E2">
            <w:pPr>
              <w:pStyle w:val="6"/>
              <w:spacing w:before="145" w:line="232" w:lineRule="auto"/>
              <w:ind w:left="91"/>
              <w:rPr>
                <w:sz w:val="18"/>
                <w:szCs w:val="18"/>
              </w:rPr>
            </w:pPr>
            <w:r>
              <w:rPr>
                <w:spacing w:val="-2"/>
                <w:sz w:val="18"/>
                <w:szCs w:val="18"/>
              </w:rPr>
              <w:t>0.009L</w:t>
            </w:r>
          </w:p>
        </w:tc>
        <w:tc>
          <w:tcPr>
            <w:tcW w:w="707" w:type="dxa"/>
            <w:vAlign w:val="top"/>
          </w:tcPr>
          <w:p w14:paraId="2706852B">
            <w:pPr>
              <w:pStyle w:val="6"/>
              <w:spacing w:before="145" w:line="232" w:lineRule="auto"/>
              <w:ind w:left="148"/>
              <w:rPr>
                <w:sz w:val="18"/>
                <w:szCs w:val="18"/>
              </w:rPr>
            </w:pPr>
            <w:r>
              <w:rPr>
                <w:spacing w:val="-2"/>
                <w:sz w:val="18"/>
                <w:szCs w:val="18"/>
              </w:rPr>
              <w:t>0.023</w:t>
            </w:r>
          </w:p>
        </w:tc>
        <w:tc>
          <w:tcPr>
            <w:tcW w:w="766" w:type="dxa"/>
            <w:vAlign w:val="top"/>
          </w:tcPr>
          <w:p w14:paraId="011FEB86">
            <w:pPr>
              <w:pStyle w:val="6"/>
              <w:spacing w:before="145" w:line="232" w:lineRule="auto"/>
              <w:ind w:left="238"/>
              <w:rPr>
                <w:sz w:val="18"/>
                <w:szCs w:val="18"/>
              </w:rPr>
            </w:pPr>
            <w:r>
              <w:rPr>
                <w:spacing w:val="-6"/>
                <w:sz w:val="18"/>
                <w:szCs w:val="18"/>
              </w:rPr>
              <w:t>13.9</w:t>
            </w:r>
          </w:p>
        </w:tc>
        <w:tc>
          <w:tcPr>
            <w:tcW w:w="595" w:type="dxa"/>
            <w:vAlign w:val="top"/>
          </w:tcPr>
          <w:p w14:paraId="5A4DD6E3">
            <w:pPr>
              <w:pStyle w:val="6"/>
              <w:spacing w:before="145" w:line="232" w:lineRule="auto"/>
              <w:ind w:left="143"/>
              <w:rPr>
                <w:sz w:val="18"/>
                <w:szCs w:val="18"/>
              </w:rPr>
            </w:pPr>
            <w:r>
              <w:rPr>
                <w:spacing w:val="-3"/>
                <w:sz w:val="18"/>
                <w:szCs w:val="18"/>
              </w:rPr>
              <w:t>83.2</w:t>
            </w:r>
          </w:p>
        </w:tc>
        <w:tc>
          <w:tcPr>
            <w:tcW w:w="955" w:type="dxa"/>
            <w:vAlign w:val="top"/>
          </w:tcPr>
          <w:p w14:paraId="55501A0E">
            <w:pPr>
              <w:pStyle w:val="6"/>
              <w:spacing w:before="145" w:line="232" w:lineRule="auto"/>
              <w:ind w:left="340"/>
              <w:rPr>
                <w:sz w:val="18"/>
                <w:szCs w:val="18"/>
              </w:rPr>
            </w:pPr>
            <w:r>
              <w:rPr>
                <w:spacing w:val="-1"/>
                <w:sz w:val="18"/>
                <w:szCs w:val="18"/>
              </w:rPr>
              <w:t>491</w:t>
            </w:r>
          </w:p>
        </w:tc>
        <w:tc>
          <w:tcPr>
            <w:tcW w:w="506" w:type="dxa"/>
            <w:vAlign w:val="top"/>
          </w:tcPr>
          <w:p w14:paraId="4C4EFA06">
            <w:pPr>
              <w:pStyle w:val="6"/>
              <w:spacing w:before="146" w:line="232" w:lineRule="auto"/>
              <w:ind w:left="120"/>
              <w:rPr>
                <w:sz w:val="18"/>
                <w:szCs w:val="18"/>
              </w:rPr>
            </w:pPr>
            <w:r>
              <w:rPr>
                <w:spacing w:val="-2"/>
                <w:sz w:val="18"/>
                <w:szCs w:val="18"/>
              </w:rPr>
              <w:t>302</w:t>
            </w:r>
          </w:p>
        </w:tc>
        <w:tc>
          <w:tcPr>
            <w:tcW w:w="707" w:type="dxa"/>
            <w:vAlign w:val="top"/>
          </w:tcPr>
          <w:p w14:paraId="71F13831">
            <w:pPr>
              <w:pStyle w:val="6"/>
              <w:spacing w:before="145" w:line="232" w:lineRule="auto"/>
              <w:ind w:left="195"/>
              <w:rPr>
                <w:sz w:val="18"/>
                <w:szCs w:val="18"/>
              </w:rPr>
            </w:pPr>
            <w:r>
              <w:rPr>
                <w:spacing w:val="-1"/>
                <w:sz w:val="18"/>
                <w:szCs w:val="18"/>
              </w:rPr>
              <w:t>2.45</w:t>
            </w:r>
          </w:p>
        </w:tc>
        <w:tc>
          <w:tcPr>
            <w:tcW w:w="708" w:type="dxa"/>
            <w:vAlign w:val="top"/>
          </w:tcPr>
          <w:p w14:paraId="7A376312">
            <w:pPr>
              <w:pStyle w:val="6"/>
              <w:spacing w:before="145" w:line="232" w:lineRule="auto"/>
              <w:ind w:left="99"/>
              <w:rPr>
                <w:sz w:val="18"/>
                <w:szCs w:val="18"/>
              </w:rPr>
            </w:pPr>
            <w:r>
              <w:rPr>
                <w:spacing w:val="-2"/>
                <w:sz w:val="18"/>
                <w:szCs w:val="18"/>
              </w:rPr>
              <w:t>0.002L</w:t>
            </w:r>
          </w:p>
        </w:tc>
        <w:tc>
          <w:tcPr>
            <w:tcW w:w="663" w:type="dxa"/>
            <w:vAlign w:val="top"/>
          </w:tcPr>
          <w:p w14:paraId="68F2F7F2">
            <w:pPr>
              <w:pStyle w:val="6"/>
              <w:spacing w:before="145" w:line="232" w:lineRule="auto"/>
              <w:ind w:left="78"/>
              <w:rPr>
                <w:sz w:val="18"/>
                <w:szCs w:val="18"/>
              </w:rPr>
            </w:pPr>
            <w:r>
              <w:rPr>
                <w:spacing w:val="-2"/>
                <w:sz w:val="18"/>
                <w:szCs w:val="18"/>
              </w:rPr>
              <w:t>0.050L</w:t>
            </w:r>
          </w:p>
        </w:tc>
        <w:tc>
          <w:tcPr>
            <w:tcW w:w="664" w:type="dxa"/>
            <w:vAlign w:val="top"/>
          </w:tcPr>
          <w:p w14:paraId="6750C144">
            <w:pPr>
              <w:pStyle w:val="6"/>
              <w:spacing w:before="145" w:line="232" w:lineRule="auto"/>
              <w:ind w:left="134"/>
              <w:rPr>
                <w:sz w:val="18"/>
                <w:szCs w:val="18"/>
              </w:rPr>
            </w:pPr>
            <w:r>
              <w:rPr>
                <w:spacing w:val="-2"/>
                <w:sz w:val="18"/>
                <w:szCs w:val="18"/>
              </w:rPr>
              <w:t>0.002</w:t>
            </w:r>
          </w:p>
        </w:tc>
        <w:tc>
          <w:tcPr>
            <w:tcW w:w="782" w:type="dxa"/>
            <w:vAlign w:val="top"/>
          </w:tcPr>
          <w:p w14:paraId="770E4D00">
            <w:pPr>
              <w:pStyle w:val="6"/>
              <w:spacing w:before="145" w:line="232" w:lineRule="auto"/>
              <w:ind w:left="93"/>
              <w:rPr>
                <w:sz w:val="18"/>
                <w:szCs w:val="18"/>
              </w:rPr>
            </w:pPr>
            <w:r>
              <w:rPr>
                <w:spacing w:val="-1"/>
                <w:sz w:val="18"/>
                <w:szCs w:val="18"/>
              </w:rPr>
              <w:t>0.0005L</w:t>
            </w:r>
          </w:p>
        </w:tc>
        <w:tc>
          <w:tcPr>
            <w:tcW w:w="663" w:type="dxa"/>
            <w:vAlign w:val="top"/>
          </w:tcPr>
          <w:p w14:paraId="10950D29">
            <w:pPr>
              <w:pStyle w:val="6"/>
              <w:spacing w:before="145" w:line="232" w:lineRule="auto"/>
              <w:ind w:left="137"/>
              <w:rPr>
                <w:sz w:val="18"/>
                <w:szCs w:val="18"/>
              </w:rPr>
            </w:pPr>
            <w:r>
              <w:rPr>
                <w:spacing w:val="-2"/>
                <w:sz w:val="18"/>
                <w:szCs w:val="18"/>
              </w:rPr>
              <w:t>0.009</w:t>
            </w:r>
          </w:p>
        </w:tc>
        <w:tc>
          <w:tcPr>
            <w:tcW w:w="737" w:type="dxa"/>
            <w:vAlign w:val="top"/>
          </w:tcPr>
          <w:p w14:paraId="37DA5590">
            <w:pPr>
              <w:pStyle w:val="6"/>
              <w:spacing w:before="145" w:line="232" w:lineRule="auto"/>
              <w:ind w:left="74"/>
              <w:rPr>
                <w:sz w:val="18"/>
                <w:szCs w:val="18"/>
              </w:rPr>
            </w:pPr>
            <w:r>
              <w:rPr>
                <w:spacing w:val="-1"/>
                <w:sz w:val="18"/>
                <w:szCs w:val="18"/>
              </w:rPr>
              <w:t>0.0025L</w:t>
            </w:r>
          </w:p>
        </w:tc>
        <w:tc>
          <w:tcPr>
            <w:tcW w:w="737" w:type="dxa"/>
            <w:vAlign w:val="top"/>
          </w:tcPr>
          <w:p w14:paraId="0B683B15">
            <w:pPr>
              <w:pStyle w:val="6"/>
              <w:spacing w:before="145" w:line="232" w:lineRule="auto"/>
              <w:ind w:left="130"/>
              <w:rPr>
                <w:sz w:val="18"/>
                <w:szCs w:val="18"/>
              </w:rPr>
            </w:pPr>
            <w:r>
              <w:rPr>
                <w:spacing w:val="-2"/>
                <w:sz w:val="18"/>
                <w:szCs w:val="18"/>
              </w:rPr>
              <w:t>0.0001</w:t>
            </w:r>
          </w:p>
        </w:tc>
        <w:tc>
          <w:tcPr>
            <w:tcW w:w="754" w:type="dxa"/>
            <w:vAlign w:val="top"/>
          </w:tcPr>
          <w:p w14:paraId="4BE6DF62">
            <w:pPr>
              <w:pStyle w:val="6"/>
              <w:spacing w:before="145" w:line="232" w:lineRule="auto"/>
              <w:ind w:left="84"/>
              <w:rPr>
                <w:sz w:val="18"/>
                <w:szCs w:val="18"/>
              </w:rPr>
            </w:pPr>
            <w:r>
              <w:rPr>
                <w:spacing w:val="-1"/>
                <w:sz w:val="18"/>
                <w:szCs w:val="18"/>
              </w:rPr>
              <w:t>0.0004L</w:t>
            </w:r>
          </w:p>
        </w:tc>
        <w:tc>
          <w:tcPr>
            <w:tcW w:w="667" w:type="dxa"/>
            <w:vAlign w:val="top"/>
          </w:tcPr>
          <w:p w14:paraId="1A0EF2D5">
            <w:pPr>
              <w:pStyle w:val="6"/>
              <w:spacing w:before="145" w:line="232" w:lineRule="auto"/>
              <w:ind w:left="86"/>
              <w:rPr>
                <w:sz w:val="18"/>
                <w:szCs w:val="18"/>
              </w:rPr>
            </w:pPr>
            <w:r>
              <w:rPr>
                <w:spacing w:val="-2"/>
                <w:sz w:val="18"/>
                <w:szCs w:val="18"/>
              </w:rPr>
              <w:t>0.002L</w:t>
            </w:r>
          </w:p>
        </w:tc>
        <w:tc>
          <w:tcPr>
            <w:tcW w:w="544" w:type="dxa"/>
            <w:vAlign w:val="top"/>
          </w:tcPr>
          <w:p w14:paraId="6B223143">
            <w:pPr>
              <w:pStyle w:val="6"/>
              <w:spacing w:before="145" w:line="232" w:lineRule="auto"/>
              <w:ind w:left="117"/>
              <w:rPr>
                <w:sz w:val="18"/>
                <w:szCs w:val="18"/>
              </w:rPr>
            </w:pPr>
            <w:r>
              <w:rPr>
                <w:spacing w:val="-2"/>
                <w:sz w:val="18"/>
                <w:szCs w:val="18"/>
              </w:rPr>
              <w:t>0.2L</w:t>
            </w:r>
          </w:p>
        </w:tc>
        <w:tc>
          <w:tcPr>
            <w:tcW w:w="434" w:type="dxa"/>
            <w:vAlign w:val="top"/>
          </w:tcPr>
          <w:p w14:paraId="2693D672">
            <w:pPr>
              <w:pStyle w:val="6"/>
              <w:spacing w:before="145" w:line="232" w:lineRule="auto"/>
              <w:ind w:left="62"/>
              <w:rPr>
                <w:sz w:val="18"/>
                <w:szCs w:val="18"/>
              </w:rPr>
            </w:pPr>
            <w:r>
              <w:rPr>
                <w:spacing w:val="-2"/>
                <w:sz w:val="18"/>
                <w:szCs w:val="18"/>
              </w:rPr>
              <w:t>0.5L</w:t>
            </w:r>
          </w:p>
        </w:tc>
        <w:tc>
          <w:tcPr>
            <w:tcW w:w="1015" w:type="dxa"/>
            <w:vAlign w:val="top"/>
          </w:tcPr>
          <w:p w14:paraId="371D1831">
            <w:pPr>
              <w:pStyle w:val="6"/>
              <w:spacing w:before="145" w:line="232" w:lineRule="auto"/>
              <w:ind w:left="489"/>
              <w:rPr>
                <w:sz w:val="18"/>
                <w:szCs w:val="18"/>
              </w:rPr>
            </w:pPr>
            <w:r>
              <w:rPr>
                <w:sz w:val="18"/>
                <w:szCs w:val="18"/>
              </w:rPr>
              <w:t>/</w:t>
            </w:r>
          </w:p>
        </w:tc>
        <w:tc>
          <w:tcPr>
            <w:tcW w:w="721" w:type="dxa"/>
            <w:tcBorders>
              <w:right w:val="single" w:color="000000" w:sz="12" w:space="0"/>
            </w:tcBorders>
            <w:vAlign w:val="top"/>
          </w:tcPr>
          <w:p w14:paraId="2AE9F267">
            <w:pPr>
              <w:pStyle w:val="6"/>
              <w:spacing w:before="146" w:line="232" w:lineRule="auto"/>
              <w:ind w:left="280"/>
              <w:rPr>
                <w:sz w:val="18"/>
                <w:szCs w:val="18"/>
              </w:rPr>
            </w:pPr>
            <w:r>
              <w:rPr>
                <w:spacing w:val="-3"/>
                <w:sz w:val="18"/>
                <w:szCs w:val="18"/>
              </w:rPr>
              <w:t>50</w:t>
            </w:r>
          </w:p>
        </w:tc>
      </w:tr>
      <w:tr w14:paraId="60245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492" w:type="dxa"/>
            <w:vMerge w:val="continue"/>
            <w:tcBorders>
              <w:top w:val="nil"/>
              <w:left w:val="single" w:color="000000" w:sz="12" w:space="0"/>
              <w:bottom w:val="nil"/>
            </w:tcBorders>
            <w:vAlign w:val="top"/>
          </w:tcPr>
          <w:p w14:paraId="68214B2F">
            <w:pPr>
              <w:rPr>
                <w:rFonts w:ascii="Arial"/>
                <w:sz w:val="21"/>
              </w:rPr>
            </w:pPr>
          </w:p>
        </w:tc>
        <w:tc>
          <w:tcPr>
            <w:tcW w:w="272" w:type="dxa"/>
            <w:vMerge w:val="restart"/>
            <w:tcBorders>
              <w:bottom w:val="nil"/>
            </w:tcBorders>
            <w:vAlign w:val="top"/>
          </w:tcPr>
          <w:p w14:paraId="24F610A0">
            <w:pPr>
              <w:spacing w:line="286" w:lineRule="auto"/>
              <w:rPr>
                <w:rFonts w:ascii="Arial"/>
                <w:sz w:val="21"/>
              </w:rPr>
            </w:pPr>
          </w:p>
          <w:p w14:paraId="738FC140">
            <w:pPr>
              <w:pStyle w:val="6"/>
              <w:spacing w:before="52" w:line="235" w:lineRule="auto"/>
              <w:ind w:left="33" w:right="55" w:firstLine="41"/>
              <w:jc w:val="both"/>
              <w:rPr>
                <w:rFonts w:ascii="等线" w:hAnsi="等线" w:eastAsia="等线" w:cs="等线"/>
                <w:sz w:val="18"/>
                <w:szCs w:val="18"/>
              </w:rPr>
            </w:pPr>
            <w:r>
              <w:rPr>
                <w:spacing w:val="-3"/>
                <w:sz w:val="18"/>
                <w:szCs w:val="18"/>
              </w:rPr>
              <w:t>4</w:t>
            </w:r>
            <w:r>
              <w:rPr>
                <w:rFonts w:ascii="等线" w:hAnsi="等线" w:eastAsia="等线" w:cs="等线"/>
                <w:spacing w:val="-7"/>
                <w:sz w:val="18"/>
                <w:szCs w:val="18"/>
              </w:rPr>
              <w:t>季度</w:t>
            </w:r>
          </w:p>
        </w:tc>
        <w:tc>
          <w:tcPr>
            <w:tcW w:w="1004" w:type="dxa"/>
            <w:vAlign w:val="top"/>
          </w:tcPr>
          <w:p w14:paraId="73EBCC38">
            <w:pPr>
              <w:pStyle w:val="6"/>
              <w:spacing w:before="193" w:line="232" w:lineRule="auto"/>
              <w:ind w:left="122"/>
              <w:rPr>
                <w:sz w:val="18"/>
                <w:szCs w:val="18"/>
              </w:rPr>
            </w:pPr>
            <w:r>
              <w:rPr>
                <w:spacing w:val="-1"/>
                <w:sz w:val="18"/>
                <w:szCs w:val="18"/>
              </w:rPr>
              <w:t>2019/11/9</w:t>
            </w:r>
          </w:p>
        </w:tc>
        <w:tc>
          <w:tcPr>
            <w:tcW w:w="686" w:type="dxa"/>
            <w:vAlign w:val="top"/>
          </w:tcPr>
          <w:p w14:paraId="172B5FCD">
            <w:pPr>
              <w:pStyle w:val="6"/>
              <w:spacing w:before="199" w:line="183" w:lineRule="auto"/>
              <w:ind w:left="234"/>
              <w:rPr>
                <w:sz w:val="18"/>
                <w:szCs w:val="18"/>
              </w:rPr>
            </w:pPr>
            <w:r>
              <w:rPr>
                <w:spacing w:val="-2"/>
                <w:sz w:val="18"/>
                <w:szCs w:val="18"/>
              </w:rPr>
              <w:t>5L</w:t>
            </w:r>
          </w:p>
        </w:tc>
        <w:tc>
          <w:tcPr>
            <w:tcW w:w="923" w:type="dxa"/>
            <w:vAlign w:val="top"/>
          </w:tcPr>
          <w:p w14:paraId="24D99913">
            <w:pPr>
              <w:pStyle w:val="6"/>
              <w:spacing w:before="193" w:line="232" w:lineRule="auto"/>
              <w:ind w:left="338"/>
              <w:rPr>
                <w:sz w:val="18"/>
                <w:szCs w:val="18"/>
              </w:rPr>
            </w:pPr>
            <w:r>
              <w:rPr>
                <w:spacing w:val="-3"/>
                <w:sz w:val="18"/>
                <w:szCs w:val="18"/>
              </w:rPr>
              <w:t>0.5</w:t>
            </w:r>
          </w:p>
        </w:tc>
        <w:tc>
          <w:tcPr>
            <w:tcW w:w="708" w:type="dxa"/>
            <w:vAlign w:val="top"/>
          </w:tcPr>
          <w:p w14:paraId="6E0BD563">
            <w:pPr>
              <w:pStyle w:val="6"/>
              <w:spacing w:before="193" w:line="232" w:lineRule="auto"/>
              <w:ind w:left="189"/>
              <w:rPr>
                <w:sz w:val="18"/>
                <w:szCs w:val="18"/>
              </w:rPr>
            </w:pPr>
            <w:r>
              <w:rPr>
                <w:spacing w:val="-2"/>
                <w:sz w:val="18"/>
                <w:szCs w:val="18"/>
              </w:rPr>
              <w:t>6.54</w:t>
            </w:r>
          </w:p>
        </w:tc>
        <w:tc>
          <w:tcPr>
            <w:tcW w:w="850" w:type="dxa"/>
            <w:vAlign w:val="top"/>
          </w:tcPr>
          <w:p w14:paraId="71BEB72A">
            <w:pPr>
              <w:pStyle w:val="6"/>
              <w:spacing w:before="193" w:line="232" w:lineRule="auto"/>
              <w:ind w:left="214"/>
              <w:rPr>
                <w:sz w:val="18"/>
                <w:szCs w:val="18"/>
              </w:rPr>
            </w:pPr>
            <w:r>
              <w:rPr>
                <w:spacing w:val="-2"/>
                <w:sz w:val="18"/>
                <w:szCs w:val="18"/>
              </w:rPr>
              <w:t>0.062</w:t>
            </w:r>
          </w:p>
        </w:tc>
        <w:tc>
          <w:tcPr>
            <w:tcW w:w="761" w:type="dxa"/>
            <w:vAlign w:val="top"/>
          </w:tcPr>
          <w:p w14:paraId="36EBE09B">
            <w:pPr>
              <w:pStyle w:val="6"/>
              <w:spacing w:before="193" w:line="232" w:lineRule="auto"/>
              <w:ind w:left="125"/>
              <w:rPr>
                <w:sz w:val="18"/>
                <w:szCs w:val="18"/>
              </w:rPr>
            </w:pPr>
            <w:r>
              <w:rPr>
                <w:spacing w:val="-2"/>
                <w:sz w:val="18"/>
                <w:szCs w:val="18"/>
              </w:rPr>
              <w:t>0.0224</w:t>
            </w:r>
          </w:p>
        </w:tc>
        <w:tc>
          <w:tcPr>
            <w:tcW w:w="654" w:type="dxa"/>
            <w:vAlign w:val="top"/>
          </w:tcPr>
          <w:p w14:paraId="73FC9404">
            <w:pPr>
              <w:pStyle w:val="6"/>
              <w:spacing w:before="193" w:line="232" w:lineRule="auto"/>
              <w:ind w:left="73"/>
              <w:rPr>
                <w:sz w:val="18"/>
                <w:szCs w:val="18"/>
              </w:rPr>
            </w:pPr>
            <w:r>
              <w:rPr>
                <w:spacing w:val="-2"/>
                <w:sz w:val="18"/>
                <w:szCs w:val="18"/>
              </w:rPr>
              <w:t>0.0009</w:t>
            </w:r>
          </w:p>
        </w:tc>
        <w:tc>
          <w:tcPr>
            <w:tcW w:w="708" w:type="dxa"/>
            <w:vAlign w:val="top"/>
          </w:tcPr>
          <w:p w14:paraId="5EF89B87">
            <w:pPr>
              <w:pStyle w:val="6"/>
              <w:spacing w:before="193" w:line="232" w:lineRule="auto"/>
              <w:ind w:left="91"/>
              <w:rPr>
                <w:sz w:val="18"/>
                <w:szCs w:val="18"/>
              </w:rPr>
            </w:pPr>
            <w:r>
              <w:rPr>
                <w:spacing w:val="-2"/>
                <w:sz w:val="18"/>
                <w:szCs w:val="18"/>
              </w:rPr>
              <w:t>0.009L</w:t>
            </w:r>
          </w:p>
        </w:tc>
        <w:tc>
          <w:tcPr>
            <w:tcW w:w="707" w:type="dxa"/>
            <w:vAlign w:val="top"/>
          </w:tcPr>
          <w:p w14:paraId="1D6F12B0">
            <w:pPr>
              <w:pStyle w:val="6"/>
              <w:spacing w:before="193" w:line="232" w:lineRule="auto"/>
              <w:ind w:left="148"/>
              <w:rPr>
                <w:sz w:val="18"/>
                <w:szCs w:val="18"/>
              </w:rPr>
            </w:pPr>
            <w:r>
              <w:rPr>
                <w:spacing w:val="-2"/>
                <w:sz w:val="18"/>
                <w:szCs w:val="18"/>
              </w:rPr>
              <w:t>0.015</w:t>
            </w:r>
          </w:p>
        </w:tc>
        <w:tc>
          <w:tcPr>
            <w:tcW w:w="766" w:type="dxa"/>
            <w:vAlign w:val="top"/>
          </w:tcPr>
          <w:p w14:paraId="214990FD">
            <w:pPr>
              <w:pStyle w:val="6"/>
              <w:spacing w:before="193" w:line="232" w:lineRule="auto"/>
              <w:ind w:left="238"/>
              <w:rPr>
                <w:sz w:val="18"/>
                <w:szCs w:val="18"/>
              </w:rPr>
            </w:pPr>
            <w:r>
              <w:rPr>
                <w:spacing w:val="-6"/>
                <w:sz w:val="18"/>
                <w:szCs w:val="18"/>
              </w:rPr>
              <w:t>13.8</w:t>
            </w:r>
          </w:p>
        </w:tc>
        <w:tc>
          <w:tcPr>
            <w:tcW w:w="595" w:type="dxa"/>
            <w:vAlign w:val="top"/>
          </w:tcPr>
          <w:p w14:paraId="0F1A5E4D">
            <w:pPr>
              <w:pStyle w:val="6"/>
              <w:spacing w:before="193" w:line="232" w:lineRule="auto"/>
              <w:ind w:left="139"/>
              <w:rPr>
                <w:sz w:val="18"/>
                <w:szCs w:val="18"/>
              </w:rPr>
            </w:pPr>
            <w:r>
              <w:rPr>
                <w:spacing w:val="-2"/>
                <w:sz w:val="18"/>
                <w:szCs w:val="18"/>
              </w:rPr>
              <w:t>91.9</w:t>
            </w:r>
          </w:p>
        </w:tc>
        <w:tc>
          <w:tcPr>
            <w:tcW w:w="955" w:type="dxa"/>
            <w:vAlign w:val="top"/>
          </w:tcPr>
          <w:p w14:paraId="42836EE8">
            <w:pPr>
              <w:pStyle w:val="6"/>
              <w:spacing w:before="194" w:line="232" w:lineRule="auto"/>
              <w:ind w:left="340"/>
              <w:rPr>
                <w:sz w:val="18"/>
                <w:szCs w:val="18"/>
              </w:rPr>
            </w:pPr>
            <w:r>
              <w:rPr>
                <w:spacing w:val="-1"/>
                <w:sz w:val="18"/>
                <w:szCs w:val="18"/>
              </w:rPr>
              <w:t>440</w:t>
            </w:r>
          </w:p>
        </w:tc>
        <w:tc>
          <w:tcPr>
            <w:tcW w:w="506" w:type="dxa"/>
            <w:vAlign w:val="top"/>
          </w:tcPr>
          <w:p w14:paraId="7811FB93">
            <w:pPr>
              <w:pStyle w:val="6"/>
              <w:spacing w:before="193" w:line="232" w:lineRule="auto"/>
              <w:ind w:left="116"/>
              <w:rPr>
                <w:sz w:val="18"/>
                <w:szCs w:val="18"/>
              </w:rPr>
            </w:pPr>
            <w:r>
              <w:rPr>
                <w:spacing w:val="-1"/>
                <w:sz w:val="18"/>
                <w:szCs w:val="18"/>
              </w:rPr>
              <w:t>298</w:t>
            </w:r>
          </w:p>
        </w:tc>
        <w:tc>
          <w:tcPr>
            <w:tcW w:w="707" w:type="dxa"/>
            <w:vAlign w:val="top"/>
          </w:tcPr>
          <w:p w14:paraId="1A834969">
            <w:pPr>
              <w:pStyle w:val="6"/>
              <w:spacing w:before="193" w:line="232" w:lineRule="auto"/>
              <w:ind w:left="195"/>
              <w:rPr>
                <w:sz w:val="18"/>
                <w:szCs w:val="18"/>
              </w:rPr>
            </w:pPr>
            <w:r>
              <w:rPr>
                <w:spacing w:val="-1"/>
                <w:sz w:val="18"/>
                <w:szCs w:val="18"/>
              </w:rPr>
              <w:t>2.16</w:t>
            </w:r>
          </w:p>
        </w:tc>
        <w:tc>
          <w:tcPr>
            <w:tcW w:w="708" w:type="dxa"/>
            <w:vAlign w:val="top"/>
          </w:tcPr>
          <w:p w14:paraId="70CC4BAB">
            <w:pPr>
              <w:pStyle w:val="6"/>
              <w:spacing w:before="193" w:line="232" w:lineRule="auto"/>
              <w:ind w:left="99"/>
              <w:rPr>
                <w:sz w:val="18"/>
                <w:szCs w:val="18"/>
              </w:rPr>
            </w:pPr>
            <w:r>
              <w:rPr>
                <w:spacing w:val="-2"/>
                <w:sz w:val="18"/>
                <w:szCs w:val="18"/>
              </w:rPr>
              <w:t>0.002L</w:t>
            </w:r>
          </w:p>
        </w:tc>
        <w:tc>
          <w:tcPr>
            <w:tcW w:w="663" w:type="dxa"/>
            <w:vAlign w:val="top"/>
          </w:tcPr>
          <w:p w14:paraId="3EA8EC85">
            <w:pPr>
              <w:pStyle w:val="6"/>
              <w:spacing w:before="193" w:line="232" w:lineRule="auto"/>
              <w:ind w:left="78"/>
              <w:rPr>
                <w:sz w:val="18"/>
                <w:szCs w:val="18"/>
              </w:rPr>
            </w:pPr>
            <w:r>
              <w:rPr>
                <w:spacing w:val="-2"/>
                <w:sz w:val="18"/>
                <w:szCs w:val="18"/>
              </w:rPr>
              <w:t>0.050L</w:t>
            </w:r>
          </w:p>
        </w:tc>
        <w:tc>
          <w:tcPr>
            <w:tcW w:w="664" w:type="dxa"/>
            <w:vAlign w:val="top"/>
          </w:tcPr>
          <w:p w14:paraId="2FAA65FD">
            <w:pPr>
              <w:pStyle w:val="6"/>
              <w:spacing w:before="193" w:line="232" w:lineRule="auto"/>
              <w:ind w:left="134"/>
              <w:rPr>
                <w:sz w:val="18"/>
                <w:szCs w:val="18"/>
              </w:rPr>
            </w:pPr>
            <w:r>
              <w:rPr>
                <w:spacing w:val="-2"/>
                <w:sz w:val="18"/>
                <w:szCs w:val="18"/>
              </w:rPr>
              <w:t>0.002</w:t>
            </w:r>
          </w:p>
        </w:tc>
        <w:tc>
          <w:tcPr>
            <w:tcW w:w="782" w:type="dxa"/>
            <w:vAlign w:val="top"/>
          </w:tcPr>
          <w:p w14:paraId="6ADBBD2B">
            <w:pPr>
              <w:pStyle w:val="6"/>
              <w:spacing w:before="193" w:line="232" w:lineRule="auto"/>
              <w:ind w:left="93"/>
              <w:rPr>
                <w:sz w:val="18"/>
                <w:szCs w:val="18"/>
              </w:rPr>
            </w:pPr>
            <w:r>
              <w:rPr>
                <w:spacing w:val="-1"/>
                <w:sz w:val="18"/>
                <w:szCs w:val="18"/>
              </w:rPr>
              <w:t>0.0005L</w:t>
            </w:r>
          </w:p>
        </w:tc>
        <w:tc>
          <w:tcPr>
            <w:tcW w:w="663" w:type="dxa"/>
            <w:vAlign w:val="top"/>
          </w:tcPr>
          <w:p w14:paraId="0B222A40">
            <w:pPr>
              <w:pStyle w:val="6"/>
              <w:spacing w:before="193" w:line="232" w:lineRule="auto"/>
              <w:ind w:left="137"/>
              <w:rPr>
                <w:sz w:val="18"/>
                <w:szCs w:val="18"/>
              </w:rPr>
            </w:pPr>
            <w:r>
              <w:rPr>
                <w:spacing w:val="-2"/>
                <w:sz w:val="18"/>
                <w:szCs w:val="18"/>
              </w:rPr>
              <w:t>0.005</w:t>
            </w:r>
          </w:p>
        </w:tc>
        <w:tc>
          <w:tcPr>
            <w:tcW w:w="737" w:type="dxa"/>
            <w:vAlign w:val="top"/>
          </w:tcPr>
          <w:p w14:paraId="6E38A2AF">
            <w:pPr>
              <w:pStyle w:val="6"/>
              <w:spacing w:before="193" w:line="232" w:lineRule="auto"/>
              <w:ind w:left="74"/>
              <w:rPr>
                <w:sz w:val="18"/>
                <w:szCs w:val="18"/>
              </w:rPr>
            </w:pPr>
            <w:r>
              <w:rPr>
                <w:spacing w:val="-1"/>
                <w:sz w:val="18"/>
                <w:szCs w:val="18"/>
              </w:rPr>
              <w:t>0.0025L</w:t>
            </w:r>
          </w:p>
        </w:tc>
        <w:tc>
          <w:tcPr>
            <w:tcW w:w="737" w:type="dxa"/>
            <w:vAlign w:val="top"/>
          </w:tcPr>
          <w:p w14:paraId="7F28FA08">
            <w:pPr>
              <w:pStyle w:val="6"/>
              <w:spacing w:before="193" w:line="232" w:lineRule="auto"/>
              <w:ind w:left="75"/>
              <w:rPr>
                <w:sz w:val="18"/>
                <w:szCs w:val="18"/>
              </w:rPr>
            </w:pPr>
            <w:r>
              <w:rPr>
                <w:spacing w:val="-1"/>
                <w:sz w:val="18"/>
                <w:szCs w:val="18"/>
              </w:rPr>
              <w:t>0.0001L</w:t>
            </w:r>
          </w:p>
        </w:tc>
        <w:tc>
          <w:tcPr>
            <w:tcW w:w="754" w:type="dxa"/>
            <w:vAlign w:val="top"/>
          </w:tcPr>
          <w:p w14:paraId="738CD407">
            <w:pPr>
              <w:pStyle w:val="6"/>
              <w:spacing w:before="193" w:line="232" w:lineRule="auto"/>
              <w:ind w:left="84"/>
              <w:rPr>
                <w:sz w:val="18"/>
                <w:szCs w:val="18"/>
              </w:rPr>
            </w:pPr>
            <w:r>
              <w:rPr>
                <w:spacing w:val="-1"/>
                <w:sz w:val="18"/>
                <w:szCs w:val="18"/>
              </w:rPr>
              <w:t>0.0004L</w:t>
            </w:r>
          </w:p>
        </w:tc>
        <w:tc>
          <w:tcPr>
            <w:tcW w:w="667" w:type="dxa"/>
            <w:vAlign w:val="top"/>
          </w:tcPr>
          <w:p w14:paraId="6E23548C">
            <w:pPr>
              <w:pStyle w:val="6"/>
              <w:spacing w:before="193" w:line="232" w:lineRule="auto"/>
              <w:ind w:left="86"/>
              <w:rPr>
                <w:sz w:val="18"/>
                <w:szCs w:val="18"/>
              </w:rPr>
            </w:pPr>
            <w:r>
              <w:rPr>
                <w:spacing w:val="-2"/>
                <w:sz w:val="18"/>
                <w:szCs w:val="18"/>
              </w:rPr>
              <w:t>0.002L</w:t>
            </w:r>
          </w:p>
        </w:tc>
        <w:tc>
          <w:tcPr>
            <w:tcW w:w="544" w:type="dxa"/>
            <w:vAlign w:val="top"/>
          </w:tcPr>
          <w:p w14:paraId="029DA7F1">
            <w:pPr>
              <w:pStyle w:val="6"/>
              <w:spacing w:before="193" w:line="232" w:lineRule="auto"/>
              <w:ind w:left="126"/>
              <w:rPr>
                <w:sz w:val="18"/>
                <w:szCs w:val="18"/>
              </w:rPr>
            </w:pPr>
            <w:r>
              <w:rPr>
                <w:spacing w:val="-2"/>
                <w:sz w:val="18"/>
                <w:szCs w:val="18"/>
              </w:rPr>
              <w:t>0.49</w:t>
            </w:r>
          </w:p>
        </w:tc>
        <w:tc>
          <w:tcPr>
            <w:tcW w:w="434" w:type="dxa"/>
            <w:vAlign w:val="top"/>
          </w:tcPr>
          <w:p w14:paraId="7D53CB75">
            <w:pPr>
              <w:pStyle w:val="6"/>
              <w:spacing w:before="193" w:line="232" w:lineRule="auto"/>
              <w:ind w:left="86"/>
              <w:rPr>
                <w:sz w:val="18"/>
                <w:szCs w:val="18"/>
              </w:rPr>
            </w:pPr>
            <w:r>
              <w:rPr>
                <w:spacing w:val="-6"/>
                <w:sz w:val="18"/>
                <w:szCs w:val="18"/>
              </w:rPr>
              <w:t>1.36</w:t>
            </w:r>
          </w:p>
        </w:tc>
        <w:tc>
          <w:tcPr>
            <w:tcW w:w="1015" w:type="dxa"/>
            <w:vAlign w:val="top"/>
          </w:tcPr>
          <w:p w14:paraId="3A3394C5">
            <w:pPr>
              <w:pStyle w:val="6"/>
              <w:spacing w:before="199" w:line="232" w:lineRule="auto"/>
              <w:ind w:left="474"/>
              <w:rPr>
                <w:sz w:val="18"/>
                <w:szCs w:val="18"/>
              </w:rPr>
            </w:pPr>
            <w:r>
              <w:rPr>
                <w:b/>
                <w:bCs/>
                <w:sz w:val="18"/>
                <w:szCs w:val="18"/>
              </w:rPr>
              <w:t>2</w:t>
            </w:r>
          </w:p>
        </w:tc>
        <w:tc>
          <w:tcPr>
            <w:tcW w:w="721" w:type="dxa"/>
            <w:tcBorders>
              <w:right w:val="single" w:color="000000" w:sz="12" w:space="0"/>
            </w:tcBorders>
            <w:vAlign w:val="top"/>
          </w:tcPr>
          <w:p w14:paraId="0314A0A9">
            <w:pPr>
              <w:pStyle w:val="6"/>
              <w:spacing w:before="194" w:line="232" w:lineRule="auto"/>
              <w:ind w:left="278"/>
              <w:rPr>
                <w:sz w:val="18"/>
                <w:szCs w:val="18"/>
              </w:rPr>
            </w:pPr>
            <w:r>
              <w:rPr>
                <w:spacing w:val="-2"/>
                <w:sz w:val="18"/>
                <w:szCs w:val="18"/>
              </w:rPr>
              <w:t>30</w:t>
            </w:r>
          </w:p>
        </w:tc>
      </w:tr>
      <w:tr w14:paraId="23E26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92" w:type="dxa"/>
            <w:vMerge w:val="continue"/>
            <w:tcBorders>
              <w:top w:val="nil"/>
              <w:left w:val="single" w:color="000000" w:sz="12" w:space="0"/>
              <w:bottom w:val="nil"/>
            </w:tcBorders>
            <w:vAlign w:val="top"/>
          </w:tcPr>
          <w:p w14:paraId="09DB0221">
            <w:pPr>
              <w:rPr>
                <w:rFonts w:ascii="Arial"/>
                <w:sz w:val="21"/>
              </w:rPr>
            </w:pPr>
          </w:p>
        </w:tc>
        <w:tc>
          <w:tcPr>
            <w:tcW w:w="272" w:type="dxa"/>
            <w:vMerge w:val="continue"/>
            <w:tcBorders>
              <w:top w:val="nil"/>
              <w:bottom w:val="nil"/>
            </w:tcBorders>
            <w:vAlign w:val="top"/>
          </w:tcPr>
          <w:p w14:paraId="2691C243">
            <w:pPr>
              <w:rPr>
                <w:rFonts w:ascii="Arial"/>
                <w:sz w:val="21"/>
              </w:rPr>
            </w:pPr>
          </w:p>
        </w:tc>
        <w:tc>
          <w:tcPr>
            <w:tcW w:w="1004" w:type="dxa"/>
            <w:vAlign w:val="top"/>
          </w:tcPr>
          <w:p w14:paraId="74669BB9">
            <w:pPr>
              <w:pStyle w:val="6"/>
              <w:spacing w:before="147" w:line="232" w:lineRule="auto"/>
              <w:ind w:left="77"/>
              <w:rPr>
                <w:sz w:val="18"/>
                <w:szCs w:val="18"/>
              </w:rPr>
            </w:pPr>
            <w:r>
              <w:rPr>
                <w:spacing w:val="-1"/>
                <w:sz w:val="18"/>
                <w:szCs w:val="18"/>
              </w:rPr>
              <w:t>2019/11/10</w:t>
            </w:r>
          </w:p>
        </w:tc>
        <w:tc>
          <w:tcPr>
            <w:tcW w:w="686" w:type="dxa"/>
            <w:vAlign w:val="top"/>
          </w:tcPr>
          <w:p w14:paraId="17AD6079">
            <w:pPr>
              <w:pStyle w:val="6"/>
              <w:spacing w:before="153" w:line="183" w:lineRule="auto"/>
              <w:ind w:left="234"/>
              <w:rPr>
                <w:sz w:val="18"/>
                <w:szCs w:val="18"/>
              </w:rPr>
            </w:pPr>
            <w:r>
              <w:rPr>
                <w:spacing w:val="-2"/>
                <w:sz w:val="18"/>
                <w:szCs w:val="18"/>
              </w:rPr>
              <w:t>5L</w:t>
            </w:r>
          </w:p>
        </w:tc>
        <w:tc>
          <w:tcPr>
            <w:tcW w:w="923" w:type="dxa"/>
            <w:vAlign w:val="top"/>
          </w:tcPr>
          <w:p w14:paraId="35E2AB93">
            <w:pPr>
              <w:pStyle w:val="6"/>
              <w:spacing w:before="147" w:line="232" w:lineRule="auto"/>
              <w:ind w:left="338"/>
              <w:rPr>
                <w:sz w:val="18"/>
                <w:szCs w:val="18"/>
              </w:rPr>
            </w:pPr>
            <w:r>
              <w:rPr>
                <w:spacing w:val="-3"/>
                <w:sz w:val="18"/>
                <w:szCs w:val="18"/>
              </w:rPr>
              <w:t>0.5</w:t>
            </w:r>
          </w:p>
        </w:tc>
        <w:tc>
          <w:tcPr>
            <w:tcW w:w="708" w:type="dxa"/>
            <w:vAlign w:val="top"/>
          </w:tcPr>
          <w:p w14:paraId="245B95A4">
            <w:pPr>
              <w:pStyle w:val="6"/>
              <w:spacing w:before="147" w:line="232" w:lineRule="auto"/>
              <w:ind w:left="189"/>
              <w:rPr>
                <w:sz w:val="18"/>
                <w:szCs w:val="18"/>
              </w:rPr>
            </w:pPr>
            <w:r>
              <w:rPr>
                <w:spacing w:val="-2"/>
                <w:sz w:val="18"/>
                <w:szCs w:val="18"/>
              </w:rPr>
              <w:t>6.56</w:t>
            </w:r>
          </w:p>
        </w:tc>
        <w:tc>
          <w:tcPr>
            <w:tcW w:w="850" w:type="dxa"/>
            <w:vAlign w:val="top"/>
          </w:tcPr>
          <w:p w14:paraId="3E1413BF">
            <w:pPr>
              <w:pStyle w:val="6"/>
              <w:spacing w:before="147" w:line="232" w:lineRule="auto"/>
              <w:ind w:left="214"/>
              <w:rPr>
                <w:sz w:val="18"/>
                <w:szCs w:val="18"/>
              </w:rPr>
            </w:pPr>
            <w:r>
              <w:rPr>
                <w:spacing w:val="-2"/>
                <w:sz w:val="18"/>
                <w:szCs w:val="18"/>
              </w:rPr>
              <w:t>0.062</w:t>
            </w:r>
          </w:p>
        </w:tc>
        <w:tc>
          <w:tcPr>
            <w:tcW w:w="761" w:type="dxa"/>
            <w:vAlign w:val="top"/>
          </w:tcPr>
          <w:p w14:paraId="0C28B75F">
            <w:pPr>
              <w:pStyle w:val="6"/>
              <w:spacing w:before="147" w:line="232" w:lineRule="auto"/>
              <w:ind w:left="125"/>
              <w:rPr>
                <w:sz w:val="18"/>
                <w:szCs w:val="18"/>
              </w:rPr>
            </w:pPr>
            <w:r>
              <w:rPr>
                <w:spacing w:val="-2"/>
                <w:sz w:val="18"/>
                <w:szCs w:val="18"/>
              </w:rPr>
              <w:t>0.0230</w:t>
            </w:r>
          </w:p>
        </w:tc>
        <w:tc>
          <w:tcPr>
            <w:tcW w:w="654" w:type="dxa"/>
            <w:vAlign w:val="top"/>
          </w:tcPr>
          <w:p w14:paraId="247D9C21">
            <w:pPr>
              <w:pStyle w:val="6"/>
              <w:spacing w:before="147" w:line="232" w:lineRule="auto"/>
              <w:ind w:left="73"/>
              <w:rPr>
                <w:sz w:val="18"/>
                <w:szCs w:val="18"/>
              </w:rPr>
            </w:pPr>
            <w:r>
              <w:rPr>
                <w:spacing w:val="-2"/>
                <w:sz w:val="18"/>
                <w:szCs w:val="18"/>
              </w:rPr>
              <w:t>0.0009</w:t>
            </w:r>
          </w:p>
        </w:tc>
        <w:tc>
          <w:tcPr>
            <w:tcW w:w="708" w:type="dxa"/>
            <w:vAlign w:val="top"/>
          </w:tcPr>
          <w:p w14:paraId="5BF43B85">
            <w:pPr>
              <w:pStyle w:val="6"/>
              <w:spacing w:before="147" w:line="232" w:lineRule="auto"/>
              <w:ind w:left="91"/>
              <w:rPr>
                <w:sz w:val="18"/>
                <w:szCs w:val="18"/>
              </w:rPr>
            </w:pPr>
            <w:r>
              <w:rPr>
                <w:spacing w:val="-2"/>
                <w:sz w:val="18"/>
                <w:szCs w:val="18"/>
              </w:rPr>
              <w:t>0.009L</w:t>
            </w:r>
          </w:p>
        </w:tc>
        <w:tc>
          <w:tcPr>
            <w:tcW w:w="707" w:type="dxa"/>
            <w:vAlign w:val="top"/>
          </w:tcPr>
          <w:p w14:paraId="067CC07D">
            <w:pPr>
              <w:pStyle w:val="6"/>
              <w:spacing w:before="147" w:line="232" w:lineRule="auto"/>
              <w:ind w:left="148"/>
              <w:rPr>
                <w:sz w:val="18"/>
                <w:szCs w:val="18"/>
              </w:rPr>
            </w:pPr>
            <w:r>
              <w:rPr>
                <w:spacing w:val="-2"/>
                <w:sz w:val="18"/>
                <w:szCs w:val="18"/>
              </w:rPr>
              <w:t>0.015</w:t>
            </w:r>
          </w:p>
        </w:tc>
        <w:tc>
          <w:tcPr>
            <w:tcW w:w="766" w:type="dxa"/>
            <w:vAlign w:val="top"/>
          </w:tcPr>
          <w:p w14:paraId="6524295E">
            <w:pPr>
              <w:pStyle w:val="6"/>
              <w:spacing w:before="147" w:line="232" w:lineRule="auto"/>
              <w:ind w:left="238"/>
              <w:rPr>
                <w:sz w:val="18"/>
                <w:szCs w:val="18"/>
              </w:rPr>
            </w:pPr>
            <w:r>
              <w:rPr>
                <w:spacing w:val="-6"/>
                <w:sz w:val="18"/>
                <w:szCs w:val="18"/>
              </w:rPr>
              <w:t>14.3</w:t>
            </w:r>
          </w:p>
        </w:tc>
        <w:tc>
          <w:tcPr>
            <w:tcW w:w="595" w:type="dxa"/>
            <w:vAlign w:val="top"/>
          </w:tcPr>
          <w:p w14:paraId="47940FFD">
            <w:pPr>
              <w:pStyle w:val="6"/>
              <w:spacing w:before="147" w:line="232" w:lineRule="auto"/>
              <w:ind w:left="139"/>
              <w:rPr>
                <w:sz w:val="18"/>
                <w:szCs w:val="18"/>
              </w:rPr>
            </w:pPr>
            <w:r>
              <w:rPr>
                <w:spacing w:val="-2"/>
                <w:sz w:val="18"/>
                <w:szCs w:val="18"/>
              </w:rPr>
              <w:t>91.3</w:t>
            </w:r>
          </w:p>
        </w:tc>
        <w:tc>
          <w:tcPr>
            <w:tcW w:w="955" w:type="dxa"/>
            <w:vAlign w:val="top"/>
          </w:tcPr>
          <w:p w14:paraId="2934266C">
            <w:pPr>
              <w:pStyle w:val="6"/>
              <w:spacing w:before="148" w:line="232" w:lineRule="auto"/>
              <w:ind w:left="340"/>
              <w:rPr>
                <w:sz w:val="18"/>
                <w:szCs w:val="18"/>
              </w:rPr>
            </w:pPr>
            <w:r>
              <w:rPr>
                <w:spacing w:val="-1"/>
                <w:sz w:val="18"/>
                <w:szCs w:val="18"/>
              </w:rPr>
              <w:t>431</w:t>
            </w:r>
          </w:p>
        </w:tc>
        <w:tc>
          <w:tcPr>
            <w:tcW w:w="506" w:type="dxa"/>
            <w:vAlign w:val="top"/>
          </w:tcPr>
          <w:p w14:paraId="39CEF007">
            <w:pPr>
              <w:pStyle w:val="6"/>
              <w:spacing w:before="148" w:line="232" w:lineRule="auto"/>
              <w:ind w:left="116"/>
              <w:rPr>
                <w:sz w:val="18"/>
                <w:szCs w:val="18"/>
              </w:rPr>
            </w:pPr>
            <w:r>
              <w:rPr>
                <w:spacing w:val="-1"/>
                <w:sz w:val="18"/>
                <w:szCs w:val="18"/>
              </w:rPr>
              <w:t>286</w:t>
            </w:r>
          </w:p>
        </w:tc>
        <w:tc>
          <w:tcPr>
            <w:tcW w:w="707" w:type="dxa"/>
            <w:vAlign w:val="top"/>
          </w:tcPr>
          <w:p w14:paraId="2F8E75E6">
            <w:pPr>
              <w:pStyle w:val="6"/>
              <w:spacing w:before="147" w:line="232" w:lineRule="auto"/>
              <w:ind w:left="195"/>
              <w:rPr>
                <w:sz w:val="18"/>
                <w:szCs w:val="18"/>
              </w:rPr>
            </w:pPr>
            <w:r>
              <w:rPr>
                <w:spacing w:val="-1"/>
                <w:sz w:val="18"/>
                <w:szCs w:val="18"/>
              </w:rPr>
              <w:t>2.10</w:t>
            </w:r>
          </w:p>
        </w:tc>
        <w:tc>
          <w:tcPr>
            <w:tcW w:w="708" w:type="dxa"/>
            <w:vAlign w:val="top"/>
          </w:tcPr>
          <w:p w14:paraId="1AE42231">
            <w:pPr>
              <w:pStyle w:val="6"/>
              <w:spacing w:before="147" w:line="232" w:lineRule="auto"/>
              <w:ind w:left="99"/>
              <w:rPr>
                <w:sz w:val="18"/>
                <w:szCs w:val="18"/>
              </w:rPr>
            </w:pPr>
            <w:r>
              <w:rPr>
                <w:spacing w:val="-1"/>
                <w:sz w:val="18"/>
                <w:szCs w:val="18"/>
              </w:rPr>
              <w:t>0.002L</w:t>
            </w:r>
          </w:p>
        </w:tc>
        <w:tc>
          <w:tcPr>
            <w:tcW w:w="663" w:type="dxa"/>
            <w:vAlign w:val="top"/>
          </w:tcPr>
          <w:p w14:paraId="42A99511">
            <w:pPr>
              <w:pStyle w:val="6"/>
              <w:spacing w:before="147" w:line="232" w:lineRule="auto"/>
              <w:ind w:left="78"/>
              <w:rPr>
                <w:sz w:val="18"/>
                <w:szCs w:val="18"/>
              </w:rPr>
            </w:pPr>
            <w:r>
              <w:rPr>
                <w:spacing w:val="-2"/>
                <w:sz w:val="18"/>
                <w:szCs w:val="18"/>
              </w:rPr>
              <w:t>0.050L</w:t>
            </w:r>
          </w:p>
        </w:tc>
        <w:tc>
          <w:tcPr>
            <w:tcW w:w="664" w:type="dxa"/>
            <w:vAlign w:val="top"/>
          </w:tcPr>
          <w:p w14:paraId="26C97C5C">
            <w:pPr>
              <w:pStyle w:val="6"/>
              <w:spacing w:before="147" w:line="232" w:lineRule="auto"/>
              <w:ind w:left="134"/>
              <w:rPr>
                <w:sz w:val="18"/>
                <w:szCs w:val="18"/>
              </w:rPr>
            </w:pPr>
            <w:r>
              <w:rPr>
                <w:spacing w:val="-2"/>
                <w:sz w:val="18"/>
                <w:szCs w:val="18"/>
              </w:rPr>
              <w:t>0.002</w:t>
            </w:r>
          </w:p>
        </w:tc>
        <w:tc>
          <w:tcPr>
            <w:tcW w:w="782" w:type="dxa"/>
            <w:vAlign w:val="top"/>
          </w:tcPr>
          <w:p w14:paraId="4441E8BE">
            <w:pPr>
              <w:pStyle w:val="6"/>
              <w:spacing w:before="147" w:line="232" w:lineRule="auto"/>
              <w:ind w:left="93"/>
              <w:rPr>
                <w:sz w:val="18"/>
                <w:szCs w:val="18"/>
              </w:rPr>
            </w:pPr>
            <w:r>
              <w:rPr>
                <w:spacing w:val="-1"/>
                <w:sz w:val="18"/>
                <w:szCs w:val="18"/>
              </w:rPr>
              <w:t>0.0005L</w:t>
            </w:r>
          </w:p>
        </w:tc>
        <w:tc>
          <w:tcPr>
            <w:tcW w:w="663" w:type="dxa"/>
            <w:vAlign w:val="top"/>
          </w:tcPr>
          <w:p w14:paraId="39D1F6FE">
            <w:pPr>
              <w:pStyle w:val="6"/>
              <w:spacing w:before="147" w:line="232" w:lineRule="auto"/>
              <w:ind w:left="137"/>
              <w:rPr>
                <w:sz w:val="18"/>
                <w:szCs w:val="18"/>
              </w:rPr>
            </w:pPr>
            <w:r>
              <w:rPr>
                <w:spacing w:val="-2"/>
                <w:sz w:val="18"/>
                <w:szCs w:val="18"/>
              </w:rPr>
              <w:t>0.006</w:t>
            </w:r>
          </w:p>
        </w:tc>
        <w:tc>
          <w:tcPr>
            <w:tcW w:w="737" w:type="dxa"/>
            <w:vAlign w:val="top"/>
          </w:tcPr>
          <w:p w14:paraId="38D659CD">
            <w:pPr>
              <w:pStyle w:val="6"/>
              <w:spacing w:before="147" w:line="232" w:lineRule="auto"/>
              <w:ind w:left="74"/>
              <w:rPr>
                <w:sz w:val="18"/>
                <w:szCs w:val="18"/>
              </w:rPr>
            </w:pPr>
            <w:r>
              <w:rPr>
                <w:spacing w:val="-1"/>
                <w:sz w:val="18"/>
                <w:szCs w:val="18"/>
              </w:rPr>
              <w:t>0.0025L</w:t>
            </w:r>
          </w:p>
        </w:tc>
        <w:tc>
          <w:tcPr>
            <w:tcW w:w="737" w:type="dxa"/>
            <w:vAlign w:val="top"/>
          </w:tcPr>
          <w:p w14:paraId="36CDB5BD">
            <w:pPr>
              <w:pStyle w:val="6"/>
              <w:spacing w:before="147" w:line="232" w:lineRule="auto"/>
              <w:ind w:left="75"/>
              <w:rPr>
                <w:sz w:val="18"/>
                <w:szCs w:val="18"/>
              </w:rPr>
            </w:pPr>
            <w:r>
              <w:rPr>
                <w:spacing w:val="-1"/>
                <w:sz w:val="18"/>
                <w:szCs w:val="18"/>
              </w:rPr>
              <w:t>0.0001L</w:t>
            </w:r>
          </w:p>
        </w:tc>
        <w:tc>
          <w:tcPr>
            <w:tcW w:w="754" w:type="dxa"/>
            <w:vAlign w:val="top"/>
          </w:tcPr>
          <w:p w14:paraId="451CC8ED">
            <w:pPr>
              <w:pStyle w:val="6"/>
              <w:spacing w:before="147" w:line="232" w:lineRule="auto"/>
              <w:ind w:left="84"/>
              <w:rPr>
                <w:sz w:val="18"/>
                <w:szCs w:val="18"/>
              </w:rPr>
            </w:pPr>
            <w:r>
              <w:rPr>
                <w:spacing w:val="-1"/>
                <w:sz w:val="18"/>
                <w:szCs w:val="18"/>
              </w:rPr>
              <w:t>0.0004L</w:t>
            </w:r>
          </w:p>
        </w:tc>
        <w:tc>
          <w:tcPr>
            <w:tcW w:w="667" w:type="dxa"/>
            <w:vAlign w:val="top"/>
          </w:tcPr>
          <w:p w14:paraId="2811F44A">
            <w:pPr>
              <w:pStyle w:val="6"/>
              <w:spacing w:before="147" w:line="232" w:lineRule="auto"/>
              <w:ind w:left="86"/>
              <w:rPr>
                <w:sz w:val="18"/>
                <w:szCs w:val="18"/>
              </w:rPr>
            </w:pPr>
            <w:r>
              <w:rPr>
                <w:spacing w:val="-2"/>
                <w:sz w:val="18"/>
                <w:szCs w:val="18"/>
              </w:rPr>
              <w:t>0.002L</w:t>
            </w:r>
          </w:p>
        </w:tc>
        <w:tc>
          <w:tcPr>
            <w:tcW w:w="544" w:type="dxa"/>
            <w:vAlign w:val="top"/>
          </w:tcPr>
          <w:p w14:paraId="6187EE4D">
            <w:pPr>
              <w:pStyle w:val="6"/>
              <w:spacing w:before="147" w:line="232" w:lineRule="auto"/>
              <w:ind w:left="126"/>
              <w:rPr>
                <w:sz w:val="18"/>
                <w:szCs w:val="18"/>
              </w:rPr>
            </w:pPr>
            <w:r>
              <w:rPr>
                <w:spacing w:val="-2"/>
                <w:sz w:val="18"/>
                <w:szCs w:val="18"/>
              </w:rPr>
              <w:t>0.47</w:t>
            </w:r>
          </w:p>
        </w:tc>
        <w:tc>
          <w:tcPr>
            <w:tcW w:w="434" w:type="dxa"/>
            <w:vAlign w:val="top"/>
          </w:tcPr>
          <w:p w14:paraId="612AEEAD">
            <w:pPr>
              <w:pStyle w:val="6"/>
              <w:spacing w:before="147" w:line="232" w:lineRule="auto"/>
              <w:ind w:left="86"/>
              <w:rPr>
                <w:sz w:val="18"/>
                <w:szCs w:val="18"/>
              </w:rPr>
            </w:pPr>
            <w:r>
              <w:rPr>
                <w:spacing w:val="-6"/>
                <w:sz w:val="18"/>
                <w:szCs w:val="18"/>
              </w:rPr>
              <w:t>1.41</w:t>
            </w:r>
          </w:p>
        </w:tc>
        <w:tc>
          <w:tcPr>
            <w:tcW w:w="1015" w:type="dxa"/>
            <w:vAlign w:val="top"/>
          </w:tcPr>
          <w:p w14:paraId="7ECCF220">
            <w:pPr>
              <w:pStyle w:val="6"/>
              <w:spacing w:before="153" w:line="232" w:lineRule="auto"/>
              <w:ind w:left="474"/>
              <w:rPr>
                <w:sz w:val="18"/>
                <w:szCs w:val="18"/>
              </w:rPr>
            </w:pPr>
            <w:r>
              <w:rPr>
                <w:b/>
                <w:bCs/>
                <w:sz w:val="18"/>
                <w:szCs w:val="18"/>
              </w:rPr>
              <w:t>2</w:t>
            </w:r>
          </w:p>
        </w:tc>
        <w:tc>
          <w:tcPr>
            <w:tcW w:w="721" w:type="dxa"/>
            <w:tcBorders>
              <w:right w:val="single" w:color="000000" w:sz="12" w:space="0"/>
            </w:tcBorders>
            <w:vAlign w:val="top"/>
          </w:tcPr>
          <w:p w14:paraId="7EACBC7C">
            <w:pPr>
              <w:pStyle w:val="6"/>
              <w:spacing w:before="148" w:line="232" w:lineRule="auto"/>
              <w:ind w:left="278"/>
              <w:rPr>
                <w:sz w:val="18"/>
                <w:szCs w:val="18"/>
              </w:rPr>
            </w:pPr>
            <w:r>
              <w:rPr>
                <w:spacing w:val="-2"/>
                <w:sz w:val="18"/>
                <w:szCs w:val="18"/>
              </w:rPr>
              <w:t>30</w:t>
            </w:r>
          </w:p>
        </w:tc>
      </w:tr>
      <w:tr w14:paraId="67F32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492" w:type="dxa"/>
            <w:vMerge w:val="continue"/>
            <w:tcBorders>
              <w:top w:val="nil"/>
              <w:left w:val="single" w:color="000000" w:sz="12" w:space="0"/>
            </w:tcBorders>
            <w:vAlign w:val="top"/>
          </w:tcPr>
          <w:p w14:paraId="71363272">
            <w:pPr>
              <w:rPr>
                <w:rFonts w:ascii="Arial"/>
                <w:sz w:val="21"/>
              </w:rPr>
            </w:pPr>
          </w:p>
        </w:tc>
        <w:tc>
          <w:tcPr>
            <w:tcW w:w="272" w:type="dxa"/>
            <w:vMerge w:val="continue"/>
            <w:tcBorders>
              <w:top w:val="nil"/>
            </w:tcBorders>
            <w:vAlign w:val="top"/>
          </w:tcPr>
          <w:p w14:paraId="7289538A">
            <w:pPr>
              <w:rPr>
                <w:rFonts w:ascii="Arial"/>
                <w:sz w:val="21"/>
              </w:rPr>
            </w:pPr>
          </w:p>
        </w:tc>
        <w:tc>
          <w:tcPr>
            <w:tcW w:w="1004" w:type="dxa"/>
            <w:vAlign w:val="top"/>
          </w:tcPr>
          <w:p w14:paraId="2B097019">
            <w:pPr>
              <w:pStyle w:val="6"/>
              <w:spacing w:before="150" w:line="232" w:lineRule="auto"/>
              <w:ind w:left="77"/>
              <w:rPr>
                <w:sz w:val="18"/>
                <w:szCs w:val="18"/>
              </w:rPr>
            </w:pPr>
            <w:r>
              <w:rPr>
                <w:spacing w:val="-1"/>
                <w:sz w:val="18"/>
                <w:szCs w:val="18"/>
              </w:rPr>
              <w:t>2019/11/11</w:t>
            </w:r>
          </w:p>
        </w:tc>
        <w:tc>
          <w:tcPr>
            <w:tcW w:w="686" w:type="dxa"/>
            <w:vAlign w:val="top"/>
          </w:tcPr>
          <w:p w14:paraId="0EBB0A34">
            <w:pPr>
              <w:pStyle w:val="6"/>
              <w:spacing w:before="155" w:line="183" w:lineRule="auto"/>
              <w:ind w:left="234"/>
              <w:rPr>
                <w:sz w:val="18"/>
                <w:szCs w:val="18"/>
              </w:rPr>
            </w:pPr>
            <w:r>
              <w:rPr>
                <w:spacing w:val="-2"/>
                <w:sz w:val="18"/>
                <w:szCs w:val="18"/>
              </w:rPr>
              <w:t>5L</w:t>
            </w:r>
          </w:p>
        </w:tc>
        <w:tc>
          <w:tcPr>
            <w:tcW w:w="923" w:type="dxa"/>
            <w:vAlign w:val="top"/>
          </w:tcPr>
          <w:p w14:paraId="65332BDC">
            <w:pPr>
              <w:pStyle w:val="6"/>
              <w:spacing w:before="150" w:line="232" w:lineRule="auto"/>
              <w:ind w:left="338"/>
              <w:rPr>
                <w:sz w:val="18"/>
                <w:szCs w:val="18"/>
              </w:rPr>
            </w:pPr>
            <w:r>
              <w:rPr>
                <w:spacing w:val="-3"/>
                <w:sz w:val="18"/>
                <w:szCs w:val="18"/>
              </w:rPr>
              <w:t>0.6</w:t>
            </w:r>
          </w:p>
        </w:tc>
        <w:tc>
          <w:tcPr>
            <w:tcW w:w="708" w:type="dxa"/>
            <w:vAlign w:val="top"/>
          </w:tcPr>
          <w:p w14:paraId="4C297BE6">
            <w:pPr>
              <w:pStyle w:val="6"/>
              <w:spacing w:before="150" w:line="232" w:lineRule="auto"/>
              <w:ind w:left="189"/>
              <w:rPr>
                <w:sz w:val="18"/>
                <w:szCs w:val="18"/>
              </w:rPr>
            </w:pPr>
            <w:r>
              <w:rPr>
                <w:spacing w:val="-2"/>
                <w:sz w:val="18"/>
                <w:szCs w:val="18"/>
              </w:rPr>
              <w:t>6.51</w:t>
            </w:r>
          </w:p>
        </w:tc>
        <w:tc>
          <w:tcPr>
            <w:tcW w:w="850" w:type="dxa"/>
            <w:vAlign w:val="top"/>
          </w:tcPr>
          <w:p w14:paraId="7A91754A">
            <w:pPr>
              <w:pStyle w:val="6"/>
              <w:spacing w:before="150" w:line="232" w:lineRule="auto"/>
              <w:ind w:left="214"/>
              <w:rPr>
                <w:sz w:val="18"/>
                <w:szCs w:val="18"/>
              </w:rPr>
            </w:pPr>
            <w:r>
              <w:rPr>
                <w:spacing w:val="-2"/>
                <w:sz w:val="18"/>
                <w:szCs w:val="18"/>
              </w:rPr>
              <w:t>0.062</w:t>
            </w:r>
          </w:p>
        </w:tc>
        <w:tc>
          <w:tcPr>
            <w:tcW w:w="761" w:type="dxa"/>
            <w:vAlign w:val="top"/>
          </w:tcPr>
          <w:p w14:paraId="2DF1EE2B">
            <w:pPr>
              <w:pStyle w:val="6"/>
              <w:spacing w:before="150" w:line="232" w:lineRule="auto"/>
              <w:ind w:left="125"/>
              <w:rPr>
                <w:sz w:val="18"/>
                <w:szCs w:val="18"/>
              </w:rPr>
            </w:pPr>
            <w:r>
              <w:rPr>
                <w:spacing w:val="-2"/>
                <w:sz w:val="18"/>
                <w:szCs w:val="18"/>
              </w:rPr>
              <w:t>0.0216</w:t>
            </w:r>
          </w:p>
        </w:tc>
        <w:tc>
          <w:tcPr>
            <w:tcW w:w="654" w:type="dxa"/>
            <w:vAlign w:val="top"/>
          </w:tcPr>
          <w:p w14:paraId="0584EC97">
            <w:pPr>
              <w:pStyle w:val="6"/>
              <w:spacing w:before="150" w:line="232" w:lineRule="auto"/>
              <w:ind w:left="73"/>
              <w:rPr>
                <w:sz w:val="18"/>
                <w:szCs w:val="18"/>
              </w:rPr>
            </w:pPr>
            <w:r>
              <w:rPr>
                <w:spacing w:val="-2"/>
                <w:sz w:val="18"/>
                <w:szCs w:val="18"/>
              </w:rPr>
              <w:t>0.0010</w:t>
            </w:r>
          </w:p>
        </w:tc>
        <w:tc>
          <w:tcPr>
            <w:tcW w:w="708" w:type="dxa"/>
            <w:vAlign w:val="top"/>
          </w:tcPr>
          <w:p w14:paraId="262F72ED">
            <w:pPr>
              <w:pStyle w:val="6"/>
              <w:spacing w:before="150" w:line="232" w:lineRule="auto"/>
              <w:ind w:left="91"/>
              <w:rPr>
                <w:sz w:val="18"/>
                <w:szCs w:val="18"/>
              </w:rPr>
            </w:pPr>
            <w:r>
              <w:rPr>
                <w:spacing w:val="-2"/>
                <w:sz w:val="18"/>
                <w:szCs w:val="18"/>
              </w:rPr>
              <w:t>0.009L</w:t>
            </w:r>
          </w:p>
        </w:tc>
        <w:tc>
          <w:tcPr>
            <w:tcW w:w="707" w:type="dxa"/>
            <w:vAlign w:val="top"/>
          </w:tcPr>
          <w:p w14:paraId="7BF7FCB5">
            <w:pPr>
              <w:pStyle w:val="6"/>
              <w:spacing w:before="150" w:line="232" w:lineRule="auto"/>
              <w:ind w:left="148"/>
              <w:rPr>
                <w:sz w:val="18"/>
                <w:szCs w:val="18"/>
              </w:rPr>
            </w:pPr>
            <w:r>
              <w:rPr>
                <w:spacing w:val="-2"/>
                <w:sz w:val="18"/>
                <w:szCs w:val="18"/>
              </w:rPr>
              <w:t>0.015</w:t>
            </w:r>
          </w:p>
        </w:tc>
        <w:tc>
          <w:tcPr>
            <w:tcW w:w="766" w:type="dxa"/>
            <w:vAlign w:val="top"/>
          </w:tcPr>
          <w:p w14:paraId="4B64BEEC">
            <w:pPr>
              <w:pStyle w:val="6"/>
              <w:spacing w:before="150" w:line="232" w:lineRule="auto"/>
              <w:ind w:left="238"/>
              <w:rPr>
                <w:sz w:val="18"/>
                <w:szCs w:val="18"/>
              </w:rPr>
            </w:pPr>
            <w:r>
              <w:rPr>
                <w:spacing w:val="-6"/>
                <w:sz w:val="18"/>
                <w:szCs w:val="18"/>
              </w:rPr>
              <w:t>13.0</w:t>
            </w:r>
          </w:p>
        </w:tc>
        <w:tc>
          <w:tcPr>
            <w:tcW w:w="595" w:type="dxa"/>
            <w:vAlign w:val="top"/>
          </w:tcPr>
          <w:p w14:paraId="41433412">
            <w:pPr>
              <w:pStyle w:val="6"/>
              <w:spacing w:before="150" w:line="232" w:lineRule="auto"/>
              <w:ind w:left="143"/>
              <w:rPr>
                <w:sz w:val="18"/>
                <w:szCs w:val="18"/>
              </w:rPr>
            </w:pPr>
            <w:r>
              <w:rPr>
                <w:spacing w:val="-3"/>
                <w:sz w:val="18"/>
                <w:szCs w:val="18"/>
              </w:rPr>
              <w:t>89.7</w:t>
            </w:r>
          </w:p>
        </w:tc>
        <w:tc>
          <w:tcPr>
            <w:tcW w:w="955" w:type="dxa"/>
            <w:vAlign w:val="top"/>
          </w:tcPr>
          <w:p w14:paraId="4A2254B9">
            <w:pPr>
              <w:pStyle w:val="6"/>
              <w:spacing w:before="150" w:line="232" w:lineRule="auto"/>
              <w:ind w:left="340"/>
              <w:rPr>
                <w:sz w:val="18"/>
                <w:szCs w:val="18"/>
              </w:rPr>
            </w:pPr>
            <w:r>
              <w:rPr>
                <w:spacing w:val="-1"/>
                <w:sz w:val="18"/>
                <w:szCs w:val="18"/>
              </w:rPr>
              <w:t>427</w:t>
            </w:r>
          </w:p>
        </w:tc>
        <w:tc>
          <w:tcPr>
            <w:tcW w:w="506" w:type="dxa"/>
            <w:vAlign w:val="top"/>
          </w:tcPr>
          <w:p w14:paraId="15BD3D13">
            <w:pPr>
              <w:pStyle w:val="6"/>
              <w:spacing w:before="150" w:line="232" w:lineRule="auto"/>
              <w:ind w:left="116"/>
              <w:rPr>
                <w:sz w:val="18"/>
                <w:szCs w:val="18"/>
              </w:rPr>
            </w:pPr>
            <w:r>
              <w:rPr>
                <w:spacing w:val="-1"/>
                <w:sz w:val="18"/>
                <w:szCs w:val="18"/>
              </w:rPr>
              <w:t>278</w:t>
            </w:r>
          </w:p>
        </w:tc>
        <w:tc>
          <w:tcPr>
            <w:tcW w:w="707" w:type="dxa"/>
            <w:vAlign w:val="top"/>
          </w:tcPr>
          <w:p w14:paraId="375B8B55">
            <w:pPr>
              <w:pStyle w:val="6"/>
              <w:spacing w:before="150" w:line="232" w:lineRule="auto"/>
              <w:ind w:left="195"/>
              <w:rPr>
                <w:sz w:val="18"/>
                <w:szCs w:val="18"/>
              </w:rPr>
            </w:pPr>
            <w:r>
              <w:rPr>
                <w:spacing w:val="-1"/>
                <w:sz w:val="18"/>
                <w:szCs w:val="18"/>
              </w:rPr>
              <w:t>2.14</w:t>
            </w:r>
          </w:p>
        </w:tc>
        <w:tc>
          <w:tcPr>
            <w:tcW w:w="708" w:type="dxa"/>
            <w:vAlign w:val="top"/>
          </w:tcPr>
          <w:p w14:paraId="798E94EF">
            <w:pPr>
              <w:pStyle w:val="6"/>
              <w:spacing w:before="150" w:line="232" w:lineRule="auto"/>
              <w:ind w:left="99"/>
              <w:rPr>
                <w:sz w:val="18"/>
                <w:szCs w:val="18"/>
              </w:rPr>
            </w:pPr>
            <w:r>
              <w:rPr>
                <w:spacing w:val="-2"/>
                <w:sz w:val="18"/>
                <w:szCs w:val="18"/>
              </w:rPr>
              <w:t>0.002L</w:t>
            </w:r>
          </w:p>
        </w:tc>
        <w:tc>
          <w:tcPr>
            <w:tcW w:w="663" w:type="dxa"/>
            <w:vAlign w:val="top"/>
          </w:tcPr>
          <w:p w14:paraId="3D6CB9B0">
            <w:pPr>
              <w:pStyle w:val="6"/>
              <w:spacing w:before="150" w:line="232" w:lineRule="auto"/>
              <w:ind w:left="78"/>
              <w:rPr>
                <w:sz w:val="18"/>
                <w:szCs w:val="18"/>
              </w:rPr>
            </w:pPr>
            <w:r>
              <w:rPr>
                <w:spacing w:val="-2"/>
                <w:sz w:val="18"/>
                <w:szCs w:val="18"/>
              </w:rPr>
              <w:t>0.050L</w:t>
            </w:r>
          </w:p>
        </w:tc>
        <w:tc>
          <w:tcPr>
            <w:tcW w:w="664" w:type="dxa"/>
            <w:vAlign w:val="top"/>
          </w:tcPr>
          <w:p w14:paraId="500420C5">
            <w:pPr>
              <w:pStyle w:val="6"/>
              <w:spacing w:before="150" w:line="232" w:lineRule="auto"/>
              <w:ind w:left="134"/>
              <w:rPr>
                <w:sz w:val="18"/>
                <w:szCs w:val="18"/>
              </w:rPr>
            </w:pPr>
            <w:r>
              <w:rPr>
                <w:spacing w:val="-2"/>
                <w:sz w:val="18"/>
                <w:szCs w:val="18"/>
              </w:rPr>
              <w:t>0.002</w:t>
            </w:r>
          </w:p>
        </w:tc>
        <w:tc>
          <w:tcPr>
            <w:tcW w:w="782" w:type="dxa"/>
            <w:vAlign w:val="top"/>
          </w:tcPr>
          <w:p w14:paraId="126EF7D6">
            <w:pPr>
              <w:pStyle w:val="6"/>
              <w:spacing w:before="150" w:line="232" w:lineRule="auto"/>
              <w:ind w:left="93"/>
              <w:rPr>
                <w:sz w:val="18"/>
                <w:szCs w:val="18"/>
              </w:rPr>
            </w:pPr>
            <w:r>
              <w:rPr>
                <w:spacing w:val="-1"/>
                <w:sz w:val="18"/>
                <w:szCs w:val="18"/>
              </w:rPr>
              <w:t>0.0005L</w:t>
            </w:r>
          </w:p>
        </w:tc>
        <w:tc>
          <w:tcPr>
            <w:tcW w:w="663" w:type="dxa"/>
            <w:vAlign w:val="top"/>
          </w:tcPr>
          <w:p w14:paraId="1A3722AD">
            <w:pPr>
              <w:pStyle w:val="6"/>
              <w:spacing w:before="150" w:line="232" w:lineRule="auto"/>
              <w:ind w:left="137"/>
              <w:rPr>
                <w:sz w:val="18"/>
                <w:szCs w:val="18"/>
              </w:rPr>
            </w:pPr>
            <w:r>
              <w:rPr>
                <w:spacing w:val="-2"/>
                <w:sz w:val="18"/>
                <w:szCs w:val="18"/>
              </w:rPr>
              <w:t>0.005</w:t>
            </w:r>
          </w:p>
        </w:tc>
        <w:tc>
          <w:tcPr>
            <w:tcW w:w="737" w:type="dxa"/>
            <w:vAlign w:val="top"/>
          </w:tcPr>
          <w:p w14:paraId="0745BD4E">
            <w:pPr>
              <w:pStyle w:val="6"/>
              <w:spacing w:before="150" w:line="232" w:lineRule="auto"/>
              <w:ind w:left="74"/>
              <w:rPr>
                <w:sz w:val="18"/>
                <w:szCs w:val="18"/>
              </w:rPr>
            </w:pPr>
            <w:r>
              <w:rPr>
                <w:spacing w:val="-1"/>
                <w:sz w:val="18"/>
                <w:szCs w:val="18"/>
              </w:rPr>
              <w:t>0.0025L</w:t>
            </w:r>
          </w:p>
        </w:tc>
        <w:tc>
          <w:tcPr>
            <w:tcW w:w="737" w:type="dxa"/>
            <w:vAlign w:val="top"/>
          </w:tcPr>
          <w:p w14:paraId="6B18FCAD">
            <w:pPr>
              <w:pStyle w:val="6"/>
              <w:spacing w:before="150" w:line="232" w:lineRule="auto"/>
              <w:ind w:left="75"/>
              <w:rPr>
                <w:sz w:val="18"/>
                <w:szCs w:val="18"/>
              </w:rPr>
            </w:pPr>
            <w:r>
              <w:rPr>
                <w:spacing w:val="-1"/>
                <w:sz w:val="18"/>
                <w:szCs w:val="18"/>
              </w:rPr>
              <w:t>0.0001L</w:t>
            </w:r>
          </w:p>
        </w:tc>
        <w:tc>
          <w:tcPr>
            <w:tcW w:w="754" w:type="dxa"/>
            <w:vAlign w:val="top"/>
          </w:tcPr>
          <w:p w14:paraId="0F10D0EB">
            <w:pPr>
              <w:pStyle w:val="6"/>
              <w:spacing w:before="150" w:line="232" w:lineRule="auto"/>
              <w:ind w:left="84"/>
              <w:rPr>
                <w:sz w:val="18"/>
                <w:szCs w:val="18"/>
              </w:rPr>
            </w:pPr>
            <w:r>
              <w:rPr>
                <w:spacing w:val="-1"/>
                <w:sz w:val="18"/>
                <w:szCs w:val="18"/>
              </w:rPr>
              <w:t>0.0004L</w:t>
            </w:r>
          </w:p>
        </w:tc>
        <w:tc>
          <w:tcPr>
            <w:tcW w:w="667" w:type="dxa"/>
            <w:vAlign w:val="top"/>
          </w:tcPr>
          <w:p w14:paraId="65AD031F">
            <w:pPr>
              <w:pStyle w:val="6"/>
              <w:spacing w:before="150" w:line="232" w:lineRule="auto"/>
              <w:ind w:left="86"/>
              <w:rPr>
                <w:sz w:val="18"/>
                <w:szCs w:val="18"/>
              </w:rPr>
            </w:pPr>
            <w:r>
              <w:rPr>
                <w:spacing w:val="-2"/>
                <w:sz w:val="18"/>
                <w:szCs w:val="18"/>
              </w:rPr>
              <w:t>0.002L</w:t>
            </w:r>
          </w:p>
        </w:tc>
        <w:tc>
          <w:tcPr>
            <w:tcW w:w="544" w:type="dxa"/>
            <w:vAlign w:val="top"/>
          </w:tcPr>
          <w:p w14:paraId="664F0125">
            <w:pPr>
              <w:pStyle w:val="6"/>
              <w:spacing w:before="150" w:line="232" w:lineRule="auto"/>
              <w:ind w:left="126"/>
              <w:rPr>
                <w:sz w:val="18"/>
                <w:szCs w:val="18"/>
              </w:rPr>
            </w:pPr>
            <w:r>
              <w:rPr>
                <w:spacing w:val="-2"/>
                <w:sz w:val="18"/>
                <w:szCs w:val="18"/>
              </w:rPr>
              <w:t>0.46</w:t>
            </w:r>
          </w:p>
        </w:tc>
        <w:tc>
          <w:tcPr>
            <w:tcW w:w="434" w:type="dxa"/>
            <w:vAlign w:val="top"/>
          </w:tcPr>
          <w:p w14:paraId="44E995C3">
            <w:pPr>
              <w:pStyle w:val="6"/>
              <w:spacing w:before="150" w:line="232" w:lineRule="auto"/>
              <w:ind w:left="86"/>
              <w:rPr>
                <w:sz w:val="18"/>
                <w:szCs w:val="18"/>
              </w:rPr>
            </w:pPr>
            <w:r>
              <w:rPr>
                <w:spacing w:val="-6"/>
                <w:sz w:val="18"/>
                <w:szCs w:val="18"/>
              </w:rPr>
              <w:t>1.31</w:t>
            </w:r>
          </w:p>
        </w:tc>
        <w:tc>
          <w:tcPr>
            <w:tcW w:w="1015" w:type="dxa"/>
            <w:vAlign w:val="top"/>
          </w:tcPr>
          <w:p w14:paraId="57DB09B9">
            <w:pPr>
              <w:pStyle w:val="6"/>
              <w:spacing w:before="156" w:line="232" w:lineRule="auto"/>
              <w:ind w:left="474"/>
              <w:rPr>
                <w:sz w:val="18"/>
                <w:szCs w:val="18"/>
              </w:rPr>
            </w:pPr>
            <w:r>
              <w:rPr>
                <w:b/>
                <w:bCs/>
                <w:sz w:val="18"/>
                <w:szCs w:val="18"/>
              </w:rPr>
              <w:t>2</w:t>
            </w:r>
          </w:p>
        </w:tc>
        <w:tc>
          <w:tcPr>
            <w:tcW w:w="721" w:type="dxa"/>
            <w:tcBorders>
              <w:right w:val="single" w:color="000000" w:sz="12" w:space="0"/>
            </w:tcBorders>
            <w:vAlign w:val="top"/>
          </w:tcPr>
          <w:p w14:paraId="783CBB1B">
            <w:pPr>
              <w:pStyle w:val="6"/>
              <w:spacing w:before="150" w:line="232" w:lineRule="auto"/>
              <w:ind w:left="274"/>
              <w:rPr>
                <w:sz w:val="18"/>
                <w:szCs w:val="18"/>
              </w:rPr>
            </w:pPr>
            <w:r>
              <w:rPr>
                <w:spacing w:val="-1"/>
                <w:sz w:val="18"/>
                <w:szCs w:val="18"/>
              </w:rPr>
              <w:t>40</w:t>
            </w:r>
          </w:p>
        </w:tc>
      </w:tr>
      <w:tr w14:paraId="2F025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1768" w:type="dxa"/>
            <w:gridSpan w:val="3"/>
            <w:tcBorders>
              <w:left w:val="single" w:color="000000" w:sz="12" w:space="0"/>
              <w:bottom w:val="single" w:color="000000" w:sz="12" w:space="0"/>
            </w:tcBorders>
            <w:shd w:val="clear" w:color="auto" w:fill="DBE5F1"/>
            <w:vAlign w:val="top"/>
          </w:tcPr>
          <w:p w14:paraId="46FE1971">
            <w:pPr>
              <w:pStyle w:val="6"/>
              <w:spacing w:before="163" w:line="232" w:lineRule="auto"/>
              <w:ind w:left="353"/>
              <w:rPr>
                <w:sz w:val="18"/>
                <w:szCs w:val="18"/>
              </w:rPr>
            </w:pPr>
            <w:r>
              <w:rPr>
                <w:spacing w:val="-1"/>
                <w:sz w:val="18"/>
                <w:szCs w:val="18"/>
              </w:rPr>
              <w:t>GB5749-2006</w:t>
            </w:r>
          </w:p>
        </w:tc>
        <w:tc>
          <w:tcPr>
            <w:tcW w:w="686" w:type="dxa"/>
            <w:tcBorders>
              <w:bottom w:val="single" w:color="000000" w:sz="12" w:space="0"/>
            </w:tcBorders>
            <w:shd w:val="clear" w:color="auto" w:fill="DBE5F1"/>
            <w:vAlign w:val="top"/>
          </w:tcPr>
          <w:p w14:paraId="6CB869E2">
            <w:pPr>
              <w:pStyle w:val="6"/>
              <w:spacing w:before="164" w:line="232" w:lineRule="auto"/>
              <w:ind w:left="256"/>
              <w:rPr>
                <w:sz w:val="18"/>
                <w:szCs w:val="18"/>
              </w:rPr>
            </w:pPr>
            <w:r>
              <w:rPr>
                <w:spacing w:val="-11"/>
                <w:sz w:val="18"/>
                <w:szCs w:val="18"/>
              </w:rPr>
              <w:t>15</w:t>
            </w:r>
          </w:p>
        </w:tc>
        <w:tc>
          <w:tcPr>
            <w:tcW w:w="923" w:type="dxa"/>
            <w:tcBorders>
              <w:bottom w:val="single" w:color="000000" w:sz="12" w:space="0"/>
            </w:tcBorders>
            <w:shd w:val="clear" w:color="auto" w:fill="DBE5F1"/>
            <w:vAlign w:val="top"/>
          </w:tcPr>
          <w:p w14:paraId="7B338186">
            <w:pPr>
              <w:pStyle w:val="6"/>
              <w:spacing w:before="163" w:line="235" w:lineRule="auto"/>
              <w:ind w:left="420"/>
              <w:rPr>
                <w:sz w:val="18"/>
                <w:szCs w:val="18"/>
              </w:rPr>
            </w:pPr>
            <w:r>
              <w:rPr>
                <w:sz w:val="18"/>
                <w:szCs w:val="18"/>
              </w:rPr>
              <w:t>1</w:t>
            </w:r>
          </w:p>
        </w:tc>
        <w:tc>
          <w:tcPr>
            <w:tcW w:w="708" w:type="dxa"/>
            <w:tcBorders>
              <w:bottom w:val="single" w:color="000000" w:sz="12" w:space="0"/>
            </w:tcBorders>
            <w:shd w:val="clear" w:color="auto" w:fill="DBE5F1"/>
            <w:vAlign w:val="top"/>
          </w:tcPr>
          <w:p w14:paraId="2C400026">
            <w:pPr>
              <w:pStyle w:val="6"/>
              <w:spacing w:before="163" w:line="232" w:lineRule="auto"/>
              <w:ind w:left="91"/>
              <w:rPr>
                <w:sz w:val="18"/>
                <w:szCs w:val="18"/>
              </w:rPr>
            </w:pPr>
            <w:r>
              <w:rPr>
                <w:spacing w:val="-1"/>
                <w:sz w:val="18"/>
                <w:szCs w:val="18"/>
              </w:rPr>
              <w:t>6.5-8.5</w:t>
            </w:r>
          </w:p>
        </w:tc>
        <w:tc>
          <w:tcPr>
            <w:tcW w:w="850" w:type="dxa"/>
            <w:tcBorders>
              <w:bottom w:val="single" w:color="000000" w:sz="12" w:space="0"/>
            </w:tcBorders>
            <w:shd w:val="clear" w:color="auto" w:fill="DBE5F1"/>
            <w:vAlign w:val="top"/>
          </w:tcPr>
          <w:p w14:paraId="7F28C074">
            <w:pPr>
              <w:pStyle w:val="6"/>
              <w:spacing w:before="163" w:line="232" w:lineRule="auto"/>
              <w:ind w:left="304"/>
              <w:rPr>
                <w:sz w:val="18"/>
                <w:szCs w:val="18"/>
              </w:rPr>
            </w:pPr>
            <w:r>
              <w:rPr>
                <w:spacing w:val="-2"/>
                <w:sz w:val="18"/>
                <w:szCs w:val="18"/>
              </w:rPr>
              <w:t>0.2</w:t>
            </w:r>
          </w:p>
        </w:tc>
        <w:tc>
          <w:tcPr>
            <w:tcW w:w="761" w:type="dxa"/>
            <w:tcBorders>
              <w:bottom w:val="single" w:color="000000" w:sz="12" w:space="0"/>
            </w:tcBorders>
            <w:shd w:val="clear" w:color="auto" w:fill="DBE5F1"/>
            <w:vAlign w:val="top"/>
          </w:tcPr>
          <w:p w14:paraId="387A98F4">
            <w:pPr>
              <w:pStyle w:val="6"/>
              <w:spacing w:before="163" w:line="232" w:lineRule="auto"/>
              <w:ind w:left="259"/>
              <w:rPr>
                <w:sz w:val="18"/>
                <w:szCs w:val="18"/>
              </w:rPr>
            </w:pPr>
            <w:r>
              <w:rPr>
                <w:spacing w:val="-2"/>
                <w:sz w:val="18"/>
                <w:szCs w:val="18"/>
              </w:rPr>
              <w:t>0.3</w:t>
            </w:r>
          </w:p>
        </w:tc>
        <w:tc>
          <w:tcPr>
            <w:tcW w:w="654" w:type="dxa"/>
            <w:tcBorders>
              <w:bottom w:val="single" w:color="000000" w:sz="12" w:space="0"/>
            </w:tcBorders>
            <w:shd w:val="clear" w:color="auto" w:fill="DBE5F1"/>
            <w:vAlign w:val="top"/>
          </w:tcPr>
          <w:p w14:paraId="501EC6E4">
            <w:pPr>
              <w:pStyle w:val="6"/>
              <w:spacing w:before="163" w:line="232" w:lineRule="auto"/>
              <w:ind w:left="208"/>
              <w:rPr>
                <w:sz w:val="18"/>
                <w:szCs w:val="18"/>
              </w:rPr>
            </w:pPr>
            <w:r>
              <w:rPr>
                <w:spacing w:val="-2"/>
                <w:sz w:val="18"/>
                <w:szCs w:val="18"/>
              </w:rPr>
              <w:t>0.1</w:t>
            </w:r>
          </w:p>
        </w:tc>
        <w:tc>
          <w:tcPr>
            <w:tcW w:w="708" w:type="dxa"/>
            <w:tcBorders>
              <w:bottom w:val="single" w:color="000000" w:sz="12" w:space="0"/>
            </w:tcBorders>
            <w:shd w:val="clear" w:color="auto" w:fill="DBE5F1"/>
            <w:vAlign w:val="top"/>
          </w:tcPr>
          <w:p w14:paraId="4334A62E">
            <w:pPr>
              <w:pStyle w:val="6"/>
              <w:spacing w:before="163" w:line="232" w:lineRule="auto"/>
              <w:ind w:left="251"/>
              <w:rPr>
                <w:sz w:val="18"/>
                <w:szCs w:val="18"/>
              </w:rPr>
            </w:pPr>
            <w:r>
              <w:rPr>
                <w:spacing w:val="-7"/>
                <w:sz w:val="18"/>
                <w:szCs w:val="18"/>
              </w:rPr>
              <w:t>1.0</w:t>
            </w:r>
          </w:p>
        </w:tc>
        <w:tc>
          <w:tcPr>
            <w:tcW w:w="707" w:type="dxa"/>
            <w:tcBorders>
              <w:bottom w:val="single" w:color="000000" w:sz="12" w:space="0"/>
            </w:tcBorders>
            <w:shd w:val="clear" w:color="auto" w:fill="DBE5F1"/>
            <w:vAlign w:val="top"/>
          </w:tcPr>
          <w:p w14:paraId="74BB95B4">
            <w:pPr>
              <w:pStyle w:val="6"/>
              <w:spacing w:before="163" w:line="232" w:lineRule="auto"/>
              <w:ind w:left="252"/>
              <w:rPr>
                <w:sz w:val="18"/>
                <w:szCs w:val="18"/>
              </w:rPr>
            </w:pPr>
            <w:r>
              <w:rPr>
                <w:spacing w:val="-7"/>
                <w:sz w:val="18"/>
                <w:szCs w:val="18"/>
              </w:rPr>
              <w:t>1.0</w:t>
            </w:r>
          </w:p>
        </w:tc>
        <w:tc>
          <w:tcPr>
            <w:tcW w:w="766" w:type="dxa"/>
            <w:tcBorders>
              <w:bottom w:val="single" w:color="000000" w:sz="12" w:space="0"/>
            </w:tcBorders>
            <w:shd w:val="clear" w:color="auto" w:fill="DBE5F1"/>
            <w:vAlign w:val="top"/>
          </w:tcPr>
          <w:p w14:paraId="506EE74D">
            <w:pPr>
              <w:pStyle w:val="6"/>
              <w:spacing w:before="164" w:line="232" w:lineRule="auto"/>
              <w:ind w:left="243"/>
              <w:rPr>
                <w:sz w:val="18"/>
                <w:szCs w:val="18"/>
              </w:rPr>
            </w:pPr>
            <w:r>
              <w:rPr>
                <w:spacing w:val="-2"/>
                <w:sz w:val="18"/>
                <w:szCs w:val="18"/>
              </w:rPr>
              <w:t>250</w:t>
            </w:r>
          </w:p>
        </w:tc>
        <w:tc>
          <w:tcPr>
            <w:tcW w:w="595" w:type="dxa"/>
            <w:tcBorders>
              <w:bottom w:val="single" w:color="000000" w:sz="12" w:space="0"/>
            </w:tcBorders>
            <w:shd w:val="clear" w:color="auto" w:fill="DBE5F1"/>
            <w:vAlign w:val="top"/>
          </w:tcPr>
          <w:p w14:paraId="2CC6194D">
            <w:pPr>
              <w:pStyle w:val="6"/>
              <w:spacing w:before="164" w:line="232" w:lineRule="auto"/>
              <w:ind w:left="157"/>
              <w:rPr>
                <w:sz w:val="18"/>
                <w:szCs w:val="18"/>
              </w:rPr>
            </w:pPr>
            <w:r>
              <w:rPr>
                <w:spacing w:val="-2"/>
                <w:sz w:val="18"/>
                <w:szCs w:val="18"/>
              </w:rPr>
              <w:t>250</w:t>
            </w:r>
          </w:p>
        </w:tc>
        <w:tc>
          <w:tcPr>
            <w:tcW w:w="955" w:type="dxa"/>
            <w:tcBorders>
              <w:bottom w:val="single" w:color="000000" w:sz="12" w:space="0"/>
            </w:tcBorders>
            <w:shd w:val="clear" w:color="auto" w:fill="DBE5F1"/>
            <w:vAlign w:val="top"/>
          </w:tcPr>
          <w:p w14:paraId="24B9FF94">
            <w:pPr>
              <w:pStyle w:val="6"/>
              <w:spacing w:before="164" w:line="232" w:lineRule="auto"/>
              <w:ind w:left="312"/>
              <w:rPr>
                <w:sz w:val="18"/>
                <w:szCs w:val="18"/>
              </w:rPr>
            </w:pPr>
            <w:r>
              <w:rPr>
                <w:spacing w:val="-6"/>
                <w:sz w:val="18"/>
                <w:szCs w:val="18"/>
              </w:rPr>
              <w:t>1000</w:t>
            </w:r>
          </w:p>
        </w:tc>
        <w:tc>
          <w:tcPr>
            <w:tcW w:w="506" w:type="dxa"/>
            <w:tcBorders>
              <w:bottom w:val="single" w:color="000000" w:sz="12" w:space="0"/>
            </w:tcBorders>
            <w:shd w:val="clear" w:color="auto" w:fill="DBE5F1"/>
            <w:vAlign w:val="top"/>
          </w:tcPr>
          <w:p w14:paraId="0244BD1B">
            <w:pPr>
              <w:pStyle w:val="6"/>
              <w:spacing w:before="164" w:line="232" w:lineRule="auto"/>
              <w:ind w:left="115"/>
              <w:rPr>
                <w:sz w:val="18"/>
                <w:szCs w:val="18"/>
              </w:rPr>
            </w:pPr>
            <w:r>
              <w:rPr>
                <w:spacing w:val="-1"/>
                <w:sz w:val="18"/>
                <w:szCs w:val="18"/>
              </w:rPr>
              <w:t>450</w:t>
            </w:r>
          </w:p>
        </w:tc>
        <w:tc>
          <w:tcPr>
            <w:tcW w:w="707" w:type="dxa"/>
            <w:tcBorders>
              <w:bottom w:val="single" w:color="000000" w:sz="12" w:space="0"/>
            </w:tcBorders>
            <w:shd w:val="clear" w:color="auto" w:fill="DBE5F1"/>
            <w:vAlign w:val="top"/>
          </w:tcPr>
          <w:p w14:paraId="449A9D90">
            <w:pPr>
              <w:pStyle w:val="6"/>
              <w:spacing w:before="164" w:line="232" w:lineRule="auto"/>
              <w:ind w:left="311"/>
              <w:rPr>
                <w:sz w:val="18"/>
                <w:szCs w:val="18"/>
              </w:rPr>
            </w:pPr>
            <w:r>
              <w:rPr>
                <w:sz w:val="18"/>
                <w:szCs w:val="18"/>
              </w:rPr>
              <w:t>3</w:t>
            </w:r>
          </w:p>
        </w:tc>
        <w:tc>
          <w:tcPr>
            <w:tcW w:w="708" w:type="dxa"/>
            <w:tcBorders>
              <w:bottom w:val="single" w:color="000000" w:sz="12" w:space="0"/>
            </w:tcBorders>
            <w:shd w:val="clear" w:color="auto" w:fill="DBE5F1"/>
            <w:vAlign w:val="top"/>
          </w:tcPr>
          <w:p w14:paraId="788E1B26">
            <w:pPr>
              <w:pStyle w:val="6"/>
              <w:spacing w:before="163" w:line="232" w:lineRule="auto"/>
              <w:ind w:left="154"/>
              <w:rPr>
                <w:sz w:val="18"/>
                <w:szCs w:val="18"/>
              </w:rPr>
            </w:pPr>
            <w:r>
              <w:rPr>
                <w:spacing w:val="-2"/>
                <w:sz w:val="18"/>
                <w:szCs w:val="18"/>
              </w:rPr>
              <w:t>0.002</w:t>
            </w:r>
          </w:p>
        </w:tc>
        <w:tc>
          <w:tcPr>
            <w:tcW w:w="663" w:type="dxa"/>
            <w:tcBorders>
              <w:bottom w:val="single" w:color="000000" w:sz="12" w:space="0"/>
            </w:tcBorders>
            <w:shd w:val="clear" w:color="auto" w:fill="DBE5F1"/>
            <w:vAlign w:val="top"/>
          </w:tcPr>
          <w:p w14:paraId="0029B573">
            <w:pPr>
              <w:pStyle w:val="6"/>
              <w:spacing w:before="163" w:line="232" w:lineRule="auto"/>
              <w:ind w:left="224"/>
              <w:rPr>
                <w:sz w:val="18"/>
                <w:szCs w:val="18"/>
              </w:rPr>
            </w:pPr>
            <w:r>
              <w:rPr>
                <w:spacing w:val="-2"/>
                <w:sz w:val="18"/>
                <w:szCs w:val="18"/>
              </w:rPr>
              <w:t>0.3</w:t>
            </w:r>
          </w:p>
        </w:tc>
        <w:tc>
          <w:tcPr>
            <w:tcW w:w="664" w:type="dxa"/>
            <w:tcBorders>
              <w:bottom w:val="single" w:color="000000" w:sz="12" w:space="0"/>
            </w:tcBorders>
            <w:shd w:val="clear" w:color="auto" w:fill="DBE5F1"/>
            <w:vAlign w:val="top"/>
          </w:tcPr>
          <w:p w14:paraId="2750B7B2">
            <w:pPr>
              <w:pStyle w:val="6"/>
              <w:spacing w:before="163" w:line="232" w:lineRule="auto"/>
              <w:ind w:left="179"/>
              <w:rPr>
                <w:sz w:val="18"/>
                <w:szCs w:val="18"/>
              </w:rPr>
            </w:pPr>
            <w:r>
              <w:rPr>
                <w:spacing w:val="-2"/>
                <w:sz w:val="18"/>
                <w:szCs w:val="18"/>
              </w:rPr>
              <w:t>0.01</w:t>
            </w:r>
          </w:p>
        </w:tc>
        <w:tc>
          <w:tcPr>
            <w:tcW w:w="782" w:type="dxa"/>
            <w:tcBorders>
              <w:bottom w:val="single" w:color="000000" w:sz="12" w:space="0"/>
            </w:tcBorders>
            <w:shd w:val="clear" w:color="auto" w:fill="DBE5F1"/>
            <w:vAlign w:val="top"/>
          </w:tcPr>
          <w:p w14:paraId="733991F6">
            <w:pPr>
              <w:pStyle w:val="6"/>
              <w:spacing w:before="163" w:line="232" w:lineRule="auto"/>
              <w:ind w:left="194"/>
              <w:rPr>
                <w:sz w:val="18"/>
                <w:szCs w:val="18"/>
              </w:rPr>
            </w:pPr>
            <w:r>
              <w:rPr>
                <w:spacing w:val="-2"/>
                <w:sz w:val="18"/>
                <w:szCs w:val="18"/>
              </w:rPr>
              <w:t>0.005</w:t>
            </w:r>
          </w:p>
        </w:tc>
        <w:tc>
          <w:tcPr>
            <w:tcW w:w="663" w:type="dxa"/>
            <w:tcBorders>
              <w:bottom w:val="single" w:color="000000" w:sz="12" w:space="0"/>
            </w:tcBorders>
            <w:shd w:val="clear" w:color="auto" w:fill="DBE5F1"/>
            <w:vAlign w:val="top"/>
          </w:tcPr>
          <w:p w14:paraId="5A1CC1D4">
            <w:pPr>
              <w:pStyle w:val="6"/>
              <w:spacing w:before="163" w:line="232" w:lineRule="auto"/>
              <w:ind w:left="181"/>
              <w:rPr>
                <w:sz w:val="18"/>
                <w:szCs w:val="18"/>
              </w:rPr>
            </w:pPr>
            <w:r>
              <w:rPr>
                <w:spacing w:val="-2"/>
                <w:sz w:val="18"/>
                <w:szCs w:val="18"/>
              </w:rPr>
              <w:t>0.05</w:t>
            </w:r>
          </w:p>
        </w:tc>
        <w:tc>
          <w:tcPr>
            <w:tcW w:w="737" w:type="dxa"/>
            <w:tcBorders>
              <w:bottom w:val="single" w:color="000000" w:sz="12" w:space="0"/>
            </w:tcBorders>
            <w:shd w:val="clear" w:color="auto" w:fill="DBE5F1"/>
            <w:vAlign w:val="top"/>
          </w:tcPr>
          <w:p w14:paraId="22D391C1">
            <w:pPr>
              <w:pStyle w:val="6"/>
              <w:spacing w:before="163" w:line="232" w:lineRule="auto"/>
              <w:ind w:left="219"/>
              <w:rPr>
                <w:sz w:val="18"/>
                <w:szCs w:val="18"/>
              </w:rPr>
            </w:pPr>
            <w:r>
              <w:rPr>
                <w:spacing w:val="-2"/>
                <w:sz w:val="18"/>
                <w:szCs w:val="18"/>
              </w:rPr>
              <w:t>0.01</w:t>
            </w:r>
          </w:p>
        </w:tc>
        <w:tc>
          <w:tcPr>
            <w:tcW w:w="737" w:type="dxa"/>
            <w:tcBorders>
              <w:bottom w:val="single" w:color="000000" w:sz="12" w:space="0"/>
            </w:tcBorders>
            <w:shd w:val="clear" w:color="auto" w:fill="DBE5F1"/>
            <w:vAlign w:val="top"/>
          </w:tcPr>
          <w:p w14:paraId="4EE5FA8A">
            <w:pPr>
              <w:pStyle w:val="6"/>
              <w:spacing w:before="163" w:line="232" w:lineRule="auto"/>
              <w:ind w:left="174"/>
              <w:rPr>
                <w:sz w:val="18"/>
                <w:szCs w:val="18"/>
              </w:rPr>
            </w:pPr>
            <w:r>
              <w:rPr>
                <w:spacing w:val="-2"/>
                <w:sz w:val="18"/>
                <w:szCs w:val="18"/>
              </w:rPr>
              <w:t>0.001</w:t>
            </w:r>
          </w:p>
        </w:tc>
        <w:tc>
          <w:tcPr>
            <w:tcW w:w="754" w:type="dxa"/>
            <w:tcBorders>
              <w:bottom w:val="single" w:color="000000" w:sz="12" w:space="0"/>
            </w:tcBorders>
            <w:shd w:val="clear" w:color="auto" w:fill="DBE5F1"/>
            <w:vAlign w:val="top"/>
          </w:tcPr>
          <w:p w14:paraId="5547FE41">
            <w:pPr>
              <w:pStyle w:val="6"/>
              <w:spacing w:before="163" w:line="232" w:lineRule="auto"/>
              <w:ind w:left="229"/>
              <w:rPr>
                <w:sz w:val="18"/>
                <w:szCs w:val="18"/>
              </w:rPr>
            </w:pPr>
            <w:r>
              <w:rPr>
                <w:spacing w:val="-2"/>
                <w:sz w:val="18"/>
                <w:szCs w:val="18"/>
              </w:rPr>
              <w:t>0.01</w:t>
            </w:r>
          </w:p>
        </w:tc>
        <w:tc>
          <w:tcPr>
            <w:tcW w:w="667" w:type="dxa"/>
            <w:tcBorders>
              <w:bottom w:val="single" w:color="000000" w:sz="12" w:space="0"/>
            </w:tcBorders>
            <w:shd w:val="clear" w:color="auto" w:fill="DBE5F1"/>
            <w:vAlign w:val="top"/>
          </w:tcPr>
          <w:p w14:paraId="774F7077">
            <w:pPr>
              <w:pStyle w:val="6"/>
              <w:spacing w:before="163" w:line="232" w:lineRule="auto"/>
              <w:ind w:left="187"/>
              <w:rPr>
                <w:sz w:val="18"/>
                <w:szCs w:val="18"/>
              </w:rPr>
            </w:pPr>
            <w:r>
              <w:rPr>
                <w:spacing w:val="-2"/>
                <w:sz w:val="18"/>
                <w:szCs w:val="18"/>
              </w:rPr>
              <w:t>0.05</w:t>
            </w:r>
          </w:p>
        </w:tc>
        <w:tc>
          <w:tcPr>
            <w:tcW w:w="544" w:type="dxa"/>
            <w:tcBorders>
              <w:bottom w:val="single" w:color="000000" w:sz="12" w:space="0"/>
            </w:tcBorders>
            <w:shd w:val="clear" w:color="auto" w:fill="DBE5F1"/>
            <w:vAlign w:val="top"/>
          </w:tcPr>
          <w:p w14:paraId="0B16C937">
            <w:pPr>
              <w:pStyle w:val="6"/>
              <w:spacing w:before="163" w:line="232" w:lineRule="auto"/>
              <w:ind w:left="186"/>
              <w:rPr>
                <w:sz w:val="18"/>
                <w:szCs w:val="18"/>
              </w:rPr>
            </w:pPr>
            <w:r>
              <w:rPr>
                <w:spacing w:val="-7"/>
                <w:sz w:val="18"/>
                <w:szCs w:val="18"/>
              </w:rPr>
              <w:t>1.0</w:t>
            </w:r>
          </w:p>
        </w:tc>
        <w:tc>
          <w:tcPr>
            <w:tcW w:w="434" w:type="dxa"/>
            <w:tcBorders>
              <w:bottom w:val="single" w:color="000000" w:sz="12" w:space="0"/>
            </w:tcBorders>
            <w:shd w:val="clear" w:color="auto" w:fill="DBE5F1"/>
            <w:vAlign w:val="top"/>
          </w:tcPr>
          <w:p w14:paraId="33CE7019">
            <w:pPr>
              <w:pStyle w:val="6"/>
              <w:spacing w:before="164" w:line="232" w:lineRule="auto"/>
              <w:ind w:left="154"/>
              <w:rPr>
                <w:sz w:val="18"/>
                <w:szCs w:val="18"/>
              </w:rPr>
            </w:pPr>
            <w:r>
              <w:rPr>
                <w:spacing w:val="-11"/>
                <w:sz w:val="18"/>
                <w:szCs w:val="18"/>
              </w:rPr>
              <w:t>10</w:t>
            </w:r>
          </w:p>
        </w:tc>
        <w:tc>
          <w:tcPr>
            <w:tcW w:w="1015" w:type="dxa"/>
            <w:tcBorders>
              <w:bottom w:val="single" w:color="000000" w:sz="12" w:space="0"/>
            </w:tcBorders>
            <w:shd w:val="clear" w:color="auto" w:fill="DBE5F1"/>
            <w:vAlign w:val="top"/>
          </w:tcPr>
          <w:p w14:paraId="5060558E">
            <w:pPr>
              <w:spacing w:before="138" w:line="220" w:lineRule="auto"/>
              <w:ind w:left="164"/>
              <w:rPr>
                <w:rFonts w:ascii="宋体" w:hAnsi="宋体" w:eastAsia="宋体" w:cs="宋体"/>
                <w:sz w:val="18"/>
                <w:szCs w:val="18"/>
              </w:rPr>
            </w:pPr>
            <w:r>
              <w:rPr>
                <w:rFonts w:ascii="宋体" w:hAnsi="宋体" w:eastAsia="宋体" w:cs="宋体"/>
                <w:spacing w:val="-2"/>
                <w:sz w:val="18"/>
                <w:szCs w:val="18"/>
              </w:rPr>
              <w:t>不得检出</w:t>
            </w:r>
          </w:p>
        </w:tc>
        <w:tc>
          <w:tcPr>
            <w:tcW w:w="721" w:type="dxa"/>
            <w:tcBorders>
              <w:bottom w:val="single" w:color="000000" w:sz="12" w:space="0"/>
              <w:right w:val="single" w:color="000000" w:sz="12" w:space="0"/>
            </w:tcBorders>
            <w:shd w:val="clear" w:color="auto" w:fill="DBE5F1"/>
            <w:vAlign w:val="top"/>
          </w:tcPr>
          <w:p w14:paraId="203E4AEF">
            <w:pPr>
              <w:pStyle w:val="6"/>
              <w:spacing w:before="164" w:line="232" w:lineRule="auto"/>
              <w:ind w:left="248"/>
              <w:rPr>
                <w:sz w:val="18"/>
                <w:szCs w:val="18"/>
              </w:rPr>
            </w:pPr>
            <w:r>
              <w:rPr>
                <w:spacing w:val="-8"/>
                <w:sz w:val="18"/>
                <w:szCs w:val="18"/>
              </w:rPr>
              <w:t>100</w:t>
            </w:r>
          </w:p>
        </w:tc>
      </w:tr>
    </w:tbl>
    <w:p w14:paraId="70563ABB">
      <w:pPr>
        <w:pStyle w:val="2"/>
        <w:spacing w:before="145"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l</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2</w:t>
      </w:r>
      <w:r>
        <w:rPr>
          <w:spacing w:val="1"/>
          <w:sz w:val="24"/>
          <w:szCs w:val="24"/>
        </w:rPr>
        <w:t>、加</w:t>
      </w:r>
      <w:r>
        <w:rPr>
          <w:sz w:val="24"/>
          <w:szCs w:val="24"/>
        </w:rPr>
        <w:t>粗字体表示监测结果超标。</w:t>
      </w:r>
    </w:p>
    <w:p w14:paraId="74C6E0FD">
      <w:pPr>
        <w:spacing w:line="233" w:lineRule="auto"/>
        <w:rPr>
          <w:sz w:val="24"/>
          <w:szCs w:val="24"/>
        </w:rPr>
        <w:sectPr>
          <w:footerReference r:id="rId274" w:type="default"/>
          <w:pgSz w:w="23814" w:h="16840"/>
          <w:pgMar w:top="1376" w:right="1669" w:bottom="1061" w:left="1671" w:header="999" w:footer="861" w:gutter="0"/>
          <w:cols w:space="720" w:num="1"/>
        </w:sectPr>
      </w:pPr>
    </w:p>
    <w:p w14:paraId="2AFA5C3D">
      <w:pPr>
        <w:spacing w:line="455" w:lineRule="auto"/>
        <w:rPr>
          <w:rFonts w:ascii="Arial"/>
          <w:sz w:val="21"/>
        </w:rPr>
      </w:pPr>
    </w:p>
    <w:p w14:paraId="767F3852">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6.2-18                                                                                                          2020</w:t>
      </w:r>
      <w:r>
        <w:rPr>
          <w:rFonts w:ascii="Times New Roman" w:hAnsi="Times New Roman" w:eastAsia="Times New Roman" w:cs="Times New Roman"/>
          <w:b/>
          <w:bCs/>
          <w:spacing w:val="11"/>
          <w:sz w:val="24"/>
          <w:szCs w:val="24"/>
        </w:rPr>
        <w:t xml:space="preserve"> </w:t>
      </w:r>
      <w:r>
        <w:rPr>
          <w:b/>
          <w:bCs/>
          <w:sz w:val="24"/>
          <w:szCs w:val="24"/>
        </w:rPr>
        <w:t>年施工营地饮用水供水处水质监测结果</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35EEEC91">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1"/>
        <w:gridCol w:w="265"/>
        <w:gridCol w:w="1014"/>
        <w:gridCol w:w="737"/>
        <w:gridCol w:w="708"/>
        <w:gridCol w:w="851"/>
        <w:gridCol w:w="708"/>
        <w:gridCol w:w="842"/>
        <w:gridCol w:w="851"/>
        <w:gridCol w:w="708"/>
        <w:gridCol w:w="847"/>
        <w:gridCol w:w="565"/>
        <w:gridCol w:w="567"/>
        <w:gridCol w:w="851"/>
        <w:gridCol w:w="566"/>
        <w:gridCol w:w="567"/>
        <w:gridCol w:w="851"/>
        <w:gridCol w:w="707"/>
        <w:gridCol w:w="708"/>
        <w:gridCol w:w="851"/>
        <w:gridCol w:w="708"/>
        <w:gridCol w:w="851"/>
        <w:gridCol w:w="851"/>
        <w:gridCol w:w="847"/>
        <w:gridCol w:w="708"/>
        <w:gridCol w:w="566"/>
        <w:gridCol w:w="428"/>
        <w:gridCol w:w="570"/>
        <w:gridCol w:w="498"/>
        <w:gridCol w:w="61"/>
      </w:tblGrid>
      <w:tr w14:paraId="66CDD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trPr>
        <w:tc>
          <w:tcPr>
            <w:tcW w:w="531" w:type="dxa"/>
            <w:tcBorders>
              <w:top w:val="single" w:color="000000" w:sz="12" w:space="0"/>
              <w:left w:val="single" w:color="000000" w:sz="12" w:space="0"/>
            </w:tcBorders>
            <w:vAlign w:val="top"/>
          </w:tcPr>
          <w:p w14:paraId="477C55EA">
            <w:pPr>
              <w:spacing w:line="85" w:lineRule="exact"/>
            </w:pPr>
            <w:r>
              <w:rPr>
                <w:position w:val="-1"/>
              </w:rPr>
              <w:pict>
                <v:shape id="_x0000_s1203" o:spid="_x0000_s1203" style="height:5.8pt;width:1.5pt;" fillcolor="#000000" filled="t" stroked="f" coordsize="30,116" path="m0,115l30,115,30,0,0,0,0,115xe">
                  <v:path/>
                  <v:fill on="t" focussize="0,0"/>
                  <v:stroke on="f"/>
                  <v:imagedata o:title=""/>
                  <o:lock v:ext="edit"/>
                  <w10:wrap type="none"/>
                  <w10:anchorlock/>
                </v:shape>
              </w:pict>
            </w:r>
          </w:p>
          <w:p w14:paraId="145EBB82">
            <w:pPr>
              <w:spacing w:before="210" w:line="242" w:lineRule="auto"/>
              <w:ind w:left="55" w:right="53" w:hanging="9"/>
              <w:rPr>
                <w:rFonts w:ascii="宋体" w:hAnsi="宋体" w:eastAsia="宋体" w:cs="宋体"/>
                <w:sz w:val="21"/>
                <w:szCs w:val="21"/>
              </w:rPr>
            </w:pPr>
            <w:r>
              <w:rPr>
                <w:rFonts w:ascii="宋体" w:hAnsi="宋体" w:eastAsia="宋体" w:cs="宋体"/>
                <w:spacing w:val="-5"/>
                <w:sz w:val="21"/>
                <w:szCs w:val="21"/>
              </w:rPr>
              <w:t>监测</w:t>
            </w:r>
            <w:r>
              <w:rPr>
                <w:rFonts w:ascii="宋体" w:hAnsi="宋体" w:eastAsia="宋体" w:cs="宋体"/>
                <w:spacing w:val="-10"/>
                <w:sz w:val="21"/>
                <w:szCs w:val="21"/>
              </w:rPr>
              <w:t>点位</w:t>
            </w:r>
          </w:p>
        </w:tc>
        <w:tc>
          <w:tcPr>
            <w:tcW w:w="1279" w:type="dxa"/>
            <w:gridSpan w:val="2"/>
            <w:tcBorders>
              <w:top w:val="single" w:color="000000" w:sz="12" w:space="0"/>
            </w:tcBorders>
            <w:vAlign w:val="top"/>
          </w:tcPr>
          <w:p w14:paraId="3BBDA044">
            <w:pPr>
              <w:spacing w:line="360" w:lineRule="auto"/>
              <w:rPr>
                <w:rFonts w:ascii="Arial"/>
                <w:sz w:val="21"/>
              </w:rPr>
            </w:pPr>
          </w:p>
          <w:p w14:paraId="37875485">
            <w:pPr>
              <w:spacing w:before="68" w:line="221" w:lineRule="auto"/>
              <w:ind w:left="209"/>
              <w:rPr>
                <w:rFonts w:ascii="宋体" w:hAnsi="宋体" w:eastAsia="宋体" w:cs="宋体"/>
                <w:sz w:val="21"/>
                <w:szCs w:val="21"/>
              </w:rPr>
            </w:pPr>
            <w:r>
              <w:rPr>
                <w:rFonts w:ascii="宋体" w:hAnsi="宋体" w:eastAsia="宋体" w:cs="宋体"/>
                <w:spacing w:val="-2"/>
                <w:sz w:val="21"/>
                <w:szCs w:val="21"/>
              </w:rPr>
              <w:t>监测时间</w:t>
            </w:r>
          </w:p>
        </w:tc>
        <w:tc>
          <w:tcPr>
            <w:tcW w:w="737" w:type="dxa"/>
            <w:tcBorders>
              <w:top w:val="single" w:color="000000" w:sz="12" w:space="0"/>
            </w:tcBorders>
            <w:vAlign w:val="top"/>
          </w:tcPr>
          <w:p w14:paraId="1B9C154E">
            <w:pPr>
              <w:spacing w:before="284" w:line="244" w:lineRule="auto"/>
              <w:ind w:left="74" w:right="103" w:firstLine="74"/>
              <w:rPr>
                <w:rFonts w:ascii="等线" w:hAnsi="等线" w:eastAsia="等线" w:cs="等线"/>
                <w:sz w:val="21"/>
                <w:szCs w:val="21"/>
              </w:rPr>
            </w:pPr>
            <w:r>
              <w:rPr>
                <w:rFonts w:ascii="等线" w:hAnsi="等线" w:eastAsia="等线" w:cs="等线"/>
                <w:spacing w:val="-5"/>
                <w:sz w:val="21"/>
                <w:szCs w:val="21"/>
              </w:rPr>
              <w:t>色度</w:t>
            </w:r>
            <w:r>
              <w:rPr>
                <w:rFonts w:ascii="等线" w:hAnsi="等线" w:eastAsia="等线" w:cs="等线"/>
                <w:spacing w:val="-28"/>
                <w:sz w:val="21"/>
                <w:szCs w:val="21"/>
              </w:rPr>
              <w:t>（度）</w:t>
            </w:r>
          </w:p>
        </w:tc>
        <w:tc>
          <w:tcPr>
            <w:tcW w:w="708" w:type="dxa"/>
            <w:tcBorders>
              <w:top w:val="single" w:color="000000" w:sz="12" w:space="0"/>
            </w:tcBorders>
            <w:vAlign w:val="top"/>
          </w:tcPr>
          <w:p w14:paraId="3ED07A93">
            <w:pPr>
              <w:pStyle w:val="6"/>
              <w:spacing w:before="307" w:line="249" w:lineRule="auto"/>
              <w:ind w:left="117" w:right="47" w:hanging="87"/>
            </w:pPr>
            <w:r>
              <w:rPr>
                <w:rFonts w:ascii="等线" w:hAnsi="等线" w:eastAsia="等线" w:cs="等线"/>
                <w:spacing w:val="-4"/>
              </w:rPr>
              <w:t>浑浊度</w:t>
            </w:r>
            <w:r>
              <w:t>NTU</w:t>
            </w:r>
          </w:p>
        </w:tc>
        <w:tc>
          <w:tcPr>
            <w:tcW w:w="851" w:type="dxa"/>
            <w:tcBorders>
              <w:top w:val="single" w:color="000000" w:sz="12" w:space="0"/>
            </w:tcBorders>
            <w:vAlign w:val="top"/>
          </w:tcPr>
          <w:p w14:paraId="70D59490">
            <w:pPr>
              <w:pStyle w:val="6"/>
              <w:spacing w:before="141" w:line="216" w:lineRule="auto"/>
              <w:ind w:left="148"/>
              <w:rPr>
                <w:rFonts w:ascii="等线" w:hAnsi="等线" w:eastAsia="等线" w:cs="等线"/>
              </w:rPr>
            </w:pPr>
            <w:r>
              <w:t>pH</w:t>
            </w:r>
            <w:r>
              <w:rPr>
                <w:spacing w:val="2"/>
              </w:rPr>
              <w:t xml:space="preserve"> </w:t>
            </w:r>
            <w:r>
              <w:rPr>
                <w:rFonts w:ascii="等线" w:hAnsi="等线" w:eastAsia="等线" w:cs="等线"/>
                <w:spacing w:val="2"/>
              </w:rPr>
              <w:t>值</w:t>
            </w:r>
          </w:p>
          <w:p w14:paraId="564AA48B">
            <w:pPr>
              <w:spacing w:before="28" w:line="244" w:lineRule="auto"/>
              <w:ind w:left="206" w:right="126" w:hanging="72"/>
              <w:rPr>
                <w:rFonts w:ascii="等线" w:hAnsi="等线" w:eastAsia="等线" w:cs="等线"/>
                <w:sz w:val="21"/>
                <w:szCs w:val="21"/>
              </w:rPr>
            </w:pPr>
            <w:r>
              <w:rPr>
                <w:rFonts w:ascii="等线" w:hAnsi="等线" w:eastAsia="等线" w:cs="等线"/>
                <w:spacing w:val="-17"/>
                <w:sz w:val="21"/>
                <w:szCs w:val="21"/>
              </w:rPr>
              <w:t>（无量</w:t>
            </w:r>
            <w:r>
              <w:rPr>
                <w:rFonts w:ascii="等线" w:hAnsi="等线" w:eastAsia="等线" w:cs="等线"/>
                <w:spacing w:val="-13"/>
                <w:sz w:val="21"/>
                <w:szCs w:val="21"/>
              </w:rPr>
              <w:t>纲）</w:t>
            </w:r>
          </w:p>
        </w:tc>
        <w:tc>
          <w:tcPr>
            <w:tcW w:w="708" w:type="dxa"/>
            <w:tcBorders>
              <w:top w:val="single" w:color="000000" w:sz="12" w:space="0"/>
            </w:tcBorders>
            <w:vAlign w:val="top"/>
          </w:tcPr>
          <w:p w14:paraId="1CFDDEA6">
            <w:pPr>
              <w:spacing w:line="353" w:lineRule="auto"/>
              <w:rPr>
                <w:rFonts w:ascii="Arial"/>
                <w:sz w:val="21"/>
              </w:rPr>
            </w:pPr>
          </w:p>
          <w:p w14:paraId="36670682">
            <w:pPr>
              <w:spacing w:before="71" w:line="227" w:lineRule="auto"/>
              <w:ind w:left="239"/>
              <w:rPr>
                <w:rFonts w:ascii="等线" w:hAnsi="等线" w:eastAsia="等线" w:cs="等线"/>
                <w:sz w:val="21"/>
                <w:szCs w:val="21"/>
              </w:rPr>
            </w:pPr>
            <w:r>
              <w:rPr>
                <w:rFonts w:ascii="等线" w:hAnsi="等线" w:eastAsia="等线" w:cs="等线"/>
                <w:sz w:val="21"/>
                <w:szCs w:val="21"/>
              </w:rPr>
              <w:t>铝</w:t>
            </w:r>
          </w:p>
        </w:tc>
        <w:tc>
          <w:tcPr>
            <w:tcW w:w="842" w:type="dxa"/>
            <w:tcBorders>
              <w:top w:val="single" w:color="000000" w:sz="12" w:space="0"/>
            </w:tcBorders>
            <w:vAlign w:val="top"/>
          </w:tcPr>
          <w:p w14:paraId="4657D5D2">
            <w:pPr>
              <w:spacing w:line="352" w:lineRule="auto"/>
              <w:rPr>
                <w:rFonts w:ascii="Arial"/>
                <w:sz w:val="21"/>
              </w:rPr>
            </w:pPr>
          </w:p>
          <w:p w14:paraId="46DE30C6">
            <w:pPr>
              <w:spacing w:before="71" w:line="226" w:lineRule="auto"/>
              <w:ind w:left="306"/>
              <w:rPr>
                <w:rFonts w:ascii="等线" w:hAnsi="等线" w:eastAsia="等线" w:cs="等线"/>
                <w:sz w:val="21"/>
                <w:szCs w:val="21"/>
              </w:rPr>
            </w:pPr>
            <w:r>
              <w:rPr>
                <w:rFonts w:ascii="等线" w:hAnsi="等线" w:eastAsia="等线" w:cs="等线"/>
                <w:sz w:val="21"/>
                <w:szCs w:val="21"/>
              </w:rPr>
              <w:t>铁</w:t>
            </w:r>
          </w:p>
        </w:tc>
        <w:tc>
          <w:tcPr>
            <w:tcW w:w="851" w:type="dxa"/>
            <w:tcBorders>
              <w:top w:val="single" w:color="000000" w:sz="12" w:space="0"/>
            </w:tcBorders>
            <w:vAlign w:val="top"/>
          </w:tcPr>
          <w:p w14:paraId="44499B32">
            <w:pPr>
              <w:spacing w:line="352" w:lineRule="auto"/>
              <w:rPr>
                <w:rFonts w:ascii="Arial"/>
                <w:sz w:val="21"/>
              </w:rPr>
            </w:pPr>
          </w:p>
          <w:p w14:paraId="799E0048">
            <w:pPr>
              <w:spacing w:before="72" w:line="234" w:lineRule="auto"/>
              <w:ind w:left="313"/>
              <w:rPr>
                <w:rFonts w:ascii="等线" w:hAnsi="等线" w:eastAsia="等线" w:cs="等线"/>
                <w:sz w:val="21"/>
                <w:szCs w:val="21"/>
              </w:rPr>
            </w:pPr>
            <w:r>
              <w:rPr>
                <w:rFonts w:ascii="等线" w:hAnsi="等线" w:eastAsia="等线" w:cs="等线"/>
                <w:sz w:val="21"/>
                <w:szCs w:val="21"/>
              </w:rPr>
              <w:t>锰</w:t>
            </w:r>
          </w:p>
        </w:tc>
        <w:tc>
          <w:tcPr>
            <w:tcW w:w="708" w:type="dxa"/>
            <w:tcBorders>
              <w:top w:val="single" w:color="000000" w:sz="12" w:space="0"/>
            </w:tcBorders>
            <w:vAlign w:val="top"/>
          </w:tcPr>
          <w:p w14:paraId="2EAE4BA4">
            <w:pPr>
              <w:spacing w:line="353" w:lineRule="auto"/>
              <w:rPr>
                <w:rFonts w:ascii="Arial"/>
                <w:sz w:val="21"/>
              </w:rPr>
            </w:pPr>
          </w:p>
          <w:p w14:paraId="13EA1396">
            <w:pPr>
              <w:spacing w:before="71" w:line="228" w:lineRule="auto"/>
              <w:ind w:left="243"/>
              <w:rPr>
                <w:rFonts w:ascii="等线" w:hAnsi="等线" w:eastAsia="等线" w:cs="等线"/>
                <w:sz w:val="21"/>
                <w:szCs w:val="21"/>
              </w:rPr>
            </w:pPr>
            <w:r>
              <w:rPr>
                <w:rFonts w:ascii="等线" w:hAnsi="等线" w:eastAsia="等线" w:cs="等线"/>
                <w:sz w:val="21"/>
                <w:szCs w:val="21"/>
              </w:rPr>
              <w:t>铜</w:t>
            </w:r>
          </w:p>
        </w:tc>
        <w:tc>
          <w:tcPr>
            <w:tcW w:w="847" w:type="dxa"/>
            <w:tcBorders>
              <w:top w:val="single" w:color="000000" w:sz="12" w:space="0"/>
            </w:tcBorders>
            <w:vAlign w:val="top"/>
          </w:tcPr>
          <w:p w14:paraId="67DF3564">
            <w:pPr>
              <w:spacing w:line="353" w:lineRule="auto"/>
              <w:rPr>
                <w:rFonts w:ascii="Arial"/>
                <w:sz w:val="21"/>
              </w:rPr>
            </w:pPr>
          </w:p>
          <w:p w14:paraId="39E64354">
            <w:pPr>
              <w:spacing w:before="71" w:line="226" w:lineRule="auto"/>
              <w:ind w:left="314"/>
              <w:rPr>
                <w:rFonts w:ascii="等线" w:hAnsi="等线" w:eastAsia="等线" w:cs="等线"/>
                <w:sz w:val="21"/>
                <w:szCs w:val="21"/>
              </w:rPr>
            </w:pPr>
            <w:r>
              <w:rPr>
                <w:rFonts w:ascii="等线" w:hAnsi="等线" w:eastAsia="等线" w:cs="等线"/>
                <w:sz w:val="21"/>
                <w:szCs w:val="21"/>
              </w:rPr>
              <w:t>锌</w:t>
            </w:r>
          </w:p>
        </w:tc>
        <w:tc>
          <w:tcPr>
            <w:tcW w:w="565" w:type="dxa"/>
            <w:tcBorders>
              <w:top w:val="single" w:color="000000" w:sz="12" w:space="0"/>
            </w:tcBorders>
            <w:vAlign w:val="top"/>
          </w:tcPr>
          <w:p w14:paraId="2E599A6B">
            <w:pPr>
              <w:spacing w:before="286" w:line="246" w:lineRule="auto"/>
              <w:ind w:left="176" w:right="70" w:hanging="107"/>
              <w:rPr>
                <w:rFonts w:ascii="等线" w:hAnsi="等线" w:eastAsia="等线" w:cs="等线"/>
                <w:sz w:val="21"/>
                <w:szCs w:val="21"/>
              </w:rPr>
            </w:pPr>
            <w:r>
              <w:rPr>
                <w:rFonts w:ascii="等线" w:hAnsi="等线" w:eastAsia="等线" w:cs="等线"/>
                <w:spacing w:val="-3"/>
                <w:sz w:val="21"/>
                <w:szCs w:val="21"/>
              </w:rPr>
              <w:t>氯化</w:t>
            </w:r>
            <w:r>
              <w:rPr>
                <w:rFonts w:ascii="等线" w:hAnsi="等线" w:eastAsia="等线" w:cs="等线"/>
                <w:sz w:val="21"/>
                <w:szCs w:val="21"/>
              </w:rPr>
              <w:t>物</w:t>
            </w:r>
          </w:p>
        </w:tc>
        <w:tc>
          <w:tcPr>
            <w:tcW w:w="567" w:type="dxa"/>
            <w:tcBorders>
              <w:top w:val="single" w:color="000000" w:sz="12" w:space="0"/>
            </w:tcBorders>
            <w:vAlign w:val="top"/>
          </w:tcPr>
          <w:p w14:paraId="2FDACF16">
            <w:pPr>
              <w:spacing w:before="284" w:line="249" w:lineRule="auto"/>
              <w:ind w:left="180" w:right="71" w:hanging="108"/>
              <w:rPr>
                <w:rFonts w:ascii="等线" w:hAnsi="等线" w:eastAsia="等线" w:cs="等线"/>
                <w:sz w:val="21"/>
                <w:szCs w:val="21"/>
              </w:rPr>
            </w:pPr>
            <w:r>
              <w:rPr>
                <w:rFonts w:ascii="等线" w:hAnsi="等线" w:eastAsia="等线" w:cs="等线"/>
                <w:spacing w:val="-4"/>
                <w:sz w:val="21"/>
                <w:szCs w:val="21"/>
              </w:rPr>
              <w:t>硫酸</w:t>
            </w:r>
            <w:r>
              <w:rPr>
                <w:rFonts w:ascii="等线" w:hAnsi="等线" w:eastAsia="等线" w:cs="等线"/>
                <w:sz w:val="21"/>
                <w:szCs w:val="21"/>
              </w:rPr>
              <w:t>盐</w:t>
            </w:r>
          </w:p>
        </w:tc>
        <w:tc>
          <w:tcPr>
            <w:tcW w:w="851" w:type="dxa"/>
            <w:tcBorders>
              <w:top w:val="single" w:color="000000" w:sz="12" w:space="0"/>
            </w:tcBorders>
            <w:vAlign w:val="top"/>
          </w:tcPr>
          <w:p w14:paraId="3A2AA939">
            <w:pPr>
              <w:spacing w:before="285" w:line="246" w:lineRule="auto"/>
              <w:ind w:left="118" w:right="107" w:hanging="4"/>
              <w:rPr>
                <w:rFonts w:ascii="等线" w:hAnsi="等线" w:eastAsia="等线" w:cs="等线"/>
                <w:sz w:val="21"/>
                <w:szCs w:val="21"/>
              </w:rPr>
            </w:pPr>
            <w:r>
              <w:rPr>
                <w:rFonts w:ascii="等线" w:hAnsi="等线" w:eastAsia="等线" w:cs="等线"/>
                <w:spacing w:val="-4"/>
                <w:sz w:val="21"/>
                <w:szCs w:val="21"/>
              </w:rPr>
              <w:t>溶解性</w:t>
            </w:r>
            <w:r>
              <w:rPr>
                <w:rFonts w:ascii="等线" w:hAnsi="等线" w:eastAsia="等线" w:cs="等线"/>
                <w:spacing w:val="-6"/>
                <w:sz w:val="21"/>
                <w:szCs w:val="21"/>
              </w:rPr>
              <w:t>总固体</w:t>
            </w:r>
          </w:p>
        </w:tc>
        <w:tc>
          <w:tcPr>
            <w:tcW w:w="566" w:type="dxa"/>
            <w:tcBorders>
              <w:top w:val="single" w:color="000000" w:sz="12" w:space="0"/>
            </w:tcBorders>
            <w:vAlign w:val="top"/>
          </w:tcPr>
          <w:p w14:paraId="35C06794">
            <w:pPr>
              <w:spacing w:before="283" w:line="246" w:lineRule="auto"/>
              <w:ind w:left="179" w:right="68" w:hanging="97"/>
              <w:rPr>
                <w:rFonts w:ascii="等线" w:hAnsi="等线" w:eastAsia="等线" w:cs="等线"/>
                <w:sz w:val="21"/>
                <w:szCs w:val="21"/>
              </w:rPr>
            </w:pPr>
            <w:r>
              <w:rPr>
                <w:rFonts w:ascii="等线" w:hAnsi="等线" w:eastAsia="等线" w:cs="等线"/>
                <w:spacing w:val="-8"/>
                <w:sz w:val="21"/>
                <w:szCs w:val="21"/>
              </w:rPr>
              <w:t>总硬</w:t>
            </w:r>
            <w:r>
              <w:rPr>
                <w:rFonts w:ascii="等线" w:hAnsi="等线" w:eastAsia="等线" w:cs="等线"/>
                <w:sz w:val="21"/>
                <w:szCs w:val="21"/>
              </w:rPr>
              <w:t>度</w:t>
            </w:r>
          </w:p>
        </w:tc>
        <w:tc>
          <w:tcPr>
            <w:tcW w:w="567" w:type="dxa"/>
            <w:tcBorders>
              <w:top w:val="single" w:color="000000" w:sz="12" w:space="0"/>
            </w:tcBorders>
            <w:vAlign w:val="top"/>
          </w:tcPr>
          <w:p w14:paraId="6A189469">
            <w:pPr>
              <w:spacing w:before="285" w:line="248" w:lineRule="auto"/>
              <w:ind w:left="182" w:right="69" w:hanging="111"/>
              <w:rPr>
                <w:rFonts w:ascii="等线" w:hAnsi="等线" w:eastAsia="等线" w:cs="等线"/>
                <w:sz w:val="21"/>
                <w:szCs w:val="21"/>
              </w:rPr>
            </w:pPr>
            <w:r>
              <w:rPr>
                <w:rFonts w:ascii="等线" w:hAnsi="等线" w:eastAsia="等线" w:cs="等线"/>
                <w:spacing w:val="-2"/>
                <w:sz w:val="21"/>
                <w:szCs w:val="21"/>
              </w:rPr>
              <w:t>耗氧</w:t>
            </w:r>
            <w:r>
              <w:rPr>
                <w:rFonts w:ascii="等线" w:hAnsi="等线" w:eastAsia="等线" w:cs="等线"/>
                <w:sz w:val="21"/>
                <w:szCs w:val="21"/>
              </w:rPr>
              <w:t>量</w:t>
            </w:r>
          </w:p>
        </w:tc>
        <w:tc>
          <w:tcPr>
            <w:tcW w:w="851" w:type="dxa"/>
            <w:tcBorders>
              <w:top w:val="single" w:color="000000" w:sz="12" w:space="0"/>
            </w:tcBorders>
            <w:vAlign w:val="top"/>
          </w:tcPr>
          <w:p w14:paraId="45B885E8">
            <w:pPr>
              <w:spacing w:line="353" w:lineRule="auto"/>
              <w:rPr>
                <w:rFonts w:ascii="Arial"/>
                <w:sz w:val="21"/>
              </w:rPr>
            </w:pPr>
          </w:p>
          <w:p w14:paraId="7F919351">
            <w:pPr>
              <w:spacing w:before="71" w:line="227" w:lineRule="auto"/>
              <w:ind w:left="114"/>
              <w:rPr>
                <w:rFonts w:ascii="等线" w:hAnsi="等线" w:eastAsia="等线" w:cs="等线"/>
                <w:sz w:val="21"/>
                <w:szCs w:val="21"/>
              </w:rPr>
            </w:pPr>
            <w:r>
              <w:rPr>
                <w:rFonts w:ascii="等线" w:hAnsi="等线" w:eastAsia="等线" w:cs="等线"/>
                <w:spacing w:val="-3"/>
                <w:sz w:val="21"/>
                <w:szCs w:val="21"/>
              </w:rPr>
              <w:t>挥发酚</w:t>
            </w:r>
          </w:p>
        </w:tc>
        <w:tc>
          <w:tcPr>
            <w:tcW w:w="707" w:type="dxa"/>
            <w:tcBorders>
              <w:top w:val="single" w:color="000000" w:sz="12" w:space="0"/>
            </w:tcBorders>
            <w:vAlign w:val="top"/>
          </w:tcPr>
          <w:p w14:paraId="32D44261">
            <w:pPr>
              <w:spacing w:before="142" w:line="226" w:lineRule="auto"/>
              <w:ind w:left="61"/>
              <w:rPr>
                <w:rFonts w:ascii="等线" w:hAnsi="等线" w:eastAsia="等线" w:cs="等线"/>
                <w:sz w:val="21"/>
                <w:szCs w:val="21"/>
              </w:rPr>
            </w:pPr>
            <w:r>
              <w:rPr>
                <w:rFonts w:ascii="等线" w:hAnsi="等线" w:eastAsia="等线" w:cs="等线"/>
                <w:spacing w:val="-6"/>
                <w:sz w:val="21"/>
                <w:szCs w:val="21"/>
              </w:rPr>
              <w:t>阴离子</w:t>
            </w:r>
          </w:p>
          <w:p w14:paraId="06B3747C">
            <w:pPr>
              <w:spacing w:before="15" w:line="246" w:lineRule="auto"/>
              <w:ind w:left="153" w:right="32" w:hanging="110"/>
              <w:rPr>
                <w:rFonts w:ascii="等线" w:hAnsi="等线" w:eastAsia="等线" w:cs="等线"/>
                <w:sz w:val="21"/>
                <w:szCs w:val="21"/>
              </w:rPr>
            </w:pPr>
            <w:r>
              <w:rPr>
                <w:rFonts w:ascii="等线" w:hAnsi="等线" w:eastAsia="等线" w:cs="等线"/>
                <w:spacing w:val="-4"/>
                <w:sz w:val="21"/>
                <w:szCs w:val="21"/>
              </w:rPr>
              <w:t>表面活性剂</w:t>
            </w:r>
          </w:p>
        </w:tc>
        <w:tc>
          <w:tcPr>
            <w:tcW w:w="708" w:type="dxa"/>
            <w:tcBorders>
              <w:top w:val="single" w:color="000000" w:sz="12" w:space="0"/>
            </w:tcBorders>
            <w:vAlign w:val="top"/>
          </w:tcPr>
          <w:p w14:paraId="2503D072">
            <w:pPr>
              <w:spacing w:line="353" w:lineRule="auto"/>
              <w:rPr>
                <w:rFonts w:ascii="Arial"/>
                <w:sz w:val="21"/>
              </w:rPr>
            </w:pPr>
          </w:p>
          <w:p w14:paraId="33145352">
            <w:pPr>
              <w:spacing w:before="71" w:line="226" w:lineRule="auto"/>
              <w:ind w:left="255"/>
              <w:rPr>
                <w:rFonts w:ascii="等线" w:hAnsi="等线" w:eastAsia="等线" w:cs="等线"/>
                <w:sz w:val="21"/>
                <w:szCs w:val="21"/>
              </w:rPr>
            </w:pPr>
            <w:r>
              <w:rPr>
                <w:rFonts w:ascii="等线" w:hAnsi="等线" w:eastAsia="等线" w:cs="等线"/>
                <w:sz w:val="21"/>
                <w:szCs w:val="21"/>
              </w:rPr>
              <w:t>砷</w:t>
            </w:r>
          </w:p>
        </w:tc>
        <w:tc>
          <w:tcPr>
            <w:tcW w:w="851" w:type="dxa"/>
            <w:tcBorders>
              <w:top w:val="single" w:color="000000" w:sz="12" w:space="0"/>
            </w:tcBorders>
            <w:vAlign w:val="top"/>
          </w:tcPr>
          <w:p w14:paraId="76E61492">
            <w:pPr>
              <w:spacing w:line="353" w:lineRule="auto"/>
              <w:rPr>
                <w:rFonts w:ascii="Arial"/>
                <w:sz w:val="21"/>
              </w:rPr>
            </w:pPr>
          </w:p>
          <w:p w14:paraId="43D4F0CC">
            <w:pPr>
              <w:spacing w:before="71" w:line="228" w:lineRule="auto"/>
              <w:ind w:left="327"/>
              <w:rPr>
                <w:rFonts w:ascii="等线" w:hAnsi="等线" w:eastAsia="等线" w:cs="等线"/>
                <w:sz w:val="21"/>
                <w:szCs w:val="21"/>
              </w:rPr>
            </w:pPr>
            <w:r>
              <w:rPr>
                <w:rFonts w:ascii="等线" w:hAnsi="等线" w:eastAsia="等线" w:cs="等线"/>
                <w:sz w:val="21"/>
                <w:szCs w:val="21"/>
              </w:rPr>
              <w:t>镉</w:t>
            </w:r>
          </w:p>
        </w:tc>
        <w:tc>
          <w:tcPr>
            <w:tcW w:w="708" w:type="dxa"/>
            <w:tcBorders>
              <w:top w:val="single" w:color="000000" w:sz="12" w:space="0"/>
            </w:tcBorders>
            <w:vAlign w:val="top"/>
          </w:tcPr>
          <w:p w14:paraId="4059631B">
            <w:pPr>
              <w:spacing w:line="353" w:lineRule="auto"/>
              <w:rPr>
                <w:rFonts w:ascii="Arial"/>
                <w:sz w:val="21"/>
              </w:rPr>
            </w:pPr>
          </w:p>
          <w:p w14:paraId="448075AD">
            <w:pPr>
              <w:spacing w:before="71" w:line="226" w:lineRule="auto"/>
              <w:ind w:left="52"/>
              <w:rPr>
                <w:rFonts w:ascii="等线" w:hAnsi="等线" w:eastAsia="等线" w:cs="等线"/>
                <w:sz w:val="21"/>
                <w:szCs w:val="21"/>
              </w:rPr>
            </w:pPr>
            <w:r>
              <w:rPr>
                <w:rFonts w:ascii="等线" w:hAnsi="等线" w:eastAsia="等线" w:cs="等线"/>
                <w:spacing w:val="-4"/>
                <w:sz w:val="21"/>
                <w:szCs w:val="21"/>
              </w:rPr>
              <w:t>六价铬</w:t>
            </w:r>
          </w:p>
        </w:tc>
        <w:tc>
          <w:tcPr>
            <w:tcW w:w="851" w:type="dxa"/>
            <w:tcBorders>
              <w:top w:val="single" w:color="000000" w:sz="12" w:space="0"/>
            </w:tcBorders>
            <w:vAlign w:val="top"/>
          </w:tcPr>
          <w:p w14:paraId="12A2C96E">
            <w:pPr>
              <w:spacing w:line="353" w:lineRule="auto"/>
              <w:rPr>
                <w:rFonts w:ascii="Arial"/>
                <w:sz w:val="21"/>
              </w:rPr>
            </w:pPr>
          </w:p>
          <w:p w14:paraId="7D43F0EC">
            <w:pPr>
              <w:spacing w:before="71" w:line="227" w:lineRule="auto"/>
              <w:ind w:left="327"/>
              <w:rPr>
                <w:rFonts w:ascii="等线" w:hAnsi="等线" w:eastAsia="等线" w:cs="等线"/>
                <w:sz w:val="21"/>
                <w:szCs w:val="21"/>
              </w:rPr>
            </w:pPr>
            <w:r>
              <w:rPr>
                <w:rFonts w:ascii="等线" w:hAnsi="等线" w:eastAsia="等线" w:cs="等线"/>
                <w:sz w:val="21"/>
                <w:szCs w:val="21"/>
              </w:rPr>
              <w:t>铅</w:t>
            </w:r>
          </w:p>
        </w:tc>
        <w:tc>
          <w:tcPr>
            <w:tcW w:w="851" w:type="dxa"/>
            <w:tcBorders>
              <w:top w:val="single" w:color="000000" w:sz="12" w:space="0"/>
            </w:tcBorders>
            <w:vAlign w:val="top"/>
          </w:tcPr>
          <w:p w14:paraId="20C3CA64">
            <w:pPr>
              <w:spacing w:line="353" w:lineRule="auto"/>
              <w:rPr>
                <w:rFonts w:ascii="Arial"/>
                <w:sz w:val="21"/>
              </w:rPr>
            </w:pPr>
          </w:p>
          <w:p w14:paraId="06056287">
            <w:pPr>
              <w:spacing w:before="71" w:line="228" w:lineRule="auto"/>
              <w:ind w:left="330"/>
              <w:rPr>
                <w:rFonts w:ascii="等线" w:hAnsi="等线" w:eastAsia="等线" w:cs="等线"/>
                <w:sz w:val="21"/>
                <w:szCs w:val="21"/>
              </w:rPr>
            </w:pPr>
            <w:r>
              <w:rPr>
                <w:rFonts w:ascii="等线" w:hAnsi="等线" w:eastAsia="等线" w:cs="等线"/>
                <w:sz w:val="21"/>
                <w:szCs w:val="21"/>
              </w:rPr>
              <w:t>汞</w:t>
            </w:r>
          </w:p>
        </w:tc>
        <w:tc>
          <w:tcPr>
            <w:tcW w:w="847" w:type="dxa"/>
            <w:tcBorders>
              <w:top w:val="single" w:color="000000" w:sz="12" w:space="0"/>
            </w:tcBorders>
            <w:vAlign w:val="top"/>
          </w:tcPr>
          <w:p w14:paraId="0273666C">
            <w:pPr>
              <w:spacing w:line="353" w:lineRule="auto"/>
              <w:rPr>
                <w:rFonts w:ascii="Arial"/>
                <w:sz w:val="21"/>
              </w:rPr>
            </w:pPr>
          </w:p>
          <w:p w14:paraId="22F15E60">
            <w:pPr>
              <w:spacing w:before="71" w:line="230" w:lineRule="auto"/>
              <w:ind w:left="329"/>
              <w:rPr>
                <w:rFonts w:ascii="等线" w:hAnsi="等线" w:eastAsia="等线" w:cs="等线"/>
                <w:sz w:val="21"/>
                <w:szCs w:val="21"/>
              </w:rPr>
            </w:pPr>
            <w:r>
              <w:rPr>
                <w:rFonts w:ascii="等线" w:hAnsi="等线" w:eastAsia="等线" w:cs="等线"/>
                <w:sz w:val="21"/>
                <w:szCs w:val="21"/>
              </w:rPr>
              <w:t>硒</w:t>
            </w:r>
          </w:p>
        </w:tc>
        <w:tc>
          <w:tcPr>
            <w:tcW w:w="708" w:type="dxa"/>
            <w:tcBorders>
              <w:top w:val="single" w:color="000000" w:sz="12" w:space="0"/>
            </w:tcBorders>
            <w:vAlign w:val="top"/>
          </w:tcPr>
          <w:p w14:paraId="63882679">
            <w:pPr>
              <w:spacing w:line="353" w:lineRule="auto"/>
              <w:rPr>
                <w:rFonts w:ascii="Arial"/>
                <w:sz w:val="21"/>
              </w:rPr>
            </w:pPr>
          </w:p>
          <w:p w14:paraId="75ADE4A3">
            <w:pPr>
              <w:spacing w:before="71" w:line="227" w:lineRule="auto"/>
              <w:ind w:left="49"/>
              <w:rPr>
                <w:rFonts w:ascii="等线" w:hAnsi="等线" w:eastAsia="等线" w:cs="等线"/>
                <w:sz w:val="21"/>
                <w:szCs w:val="21"/>
              </w:rPr>
            </w:pPr>
            <w:r>
              <w:rPr>
                <w:rFonts w:ascii="等线" w:hAnsi="等线" w:eastAsia="等线" w:cs="等线"/>
                <w:spacing w:val="-2"/>
                <w:sz w:val="21"/>
                <w:szCs w:val="21"/>
              </w:rPr>
              <w:t>氰化物</w:t>
            </w:r>
          </w:p>
        </w:tc>
        <w:tc>
          <w:tcPr>
            <w:tcW w:w="566" w:type="dxa"/>
            <w:tcBorders>
              <w:top w:val="single" w:color="000000" w:sz="12" w:space="0"/>
            </w:tcBorders>
            <w:vAlign w:val="top"/>
          </w:tcPr>
          <w:p w14:paraId="157CA3DF">
            <w:pPr>
              <w:spacing w:before="286" w:line="246" w:lineRule="auto"/>
              <w:ind w:left="192" w:right="57" w:hanging="105"/>
              <w:rPr>
                <w:rFonts w:ascii="等线" w:hAnsi="等线" w:eastAsia="等线" w:cs="等线"/>
                <w:sz w:val="21"/>
                <w:szCs w:val="21"/>
              </w:rPr>
            </w:pPr>
            <w:r>
              <w:rPr>
                <w:rFonts w:ascii="等线" w:hAnsi="等线" w:eastAsia="等线" w:cs="等线"/>
                <w:spacing w:val="-5"/>
                <w:sz w:val="21"/>
                <w:szCs w:val="21"/>
              </w:rPr>
              <w:t>氟化</w:t>
            </w:r>
            <w:r>
              <w:rPr>
                <w:rFonts w:ascii="等线" w:hAnsi="等线" w:eastAsia="等线" w:cs="等线"/>
                <w:sz w:val="21"/>
                <w:szCs w:val="21"/>
              </w:rPr>
              <w:t>物</w:t>
            </w:r>
          </w:p>
        </w:tc>
        <w:tc>
          <w:tcPr>
            <w:tcW w:w="428" w:type="dxa"/>
            <w:tcBorders>
              <w:top w:val="single" w:color="000000" w:sz="12" w:space="0"/>
            </w:tcBorders>
            <w:textDirection w:val="tbRlV"/>
            <w:vAlign w:val="top"/>
          </w:tcPr>
          <w:p w14:paraId="4D7BD797">
            <w:pPr>
              <w:spacing w:before="93" w:line="210" w:lineRule="auto"/>
              <w:ind w:left="142"/>
              <w:rPr>
                <w:rFonts w:ascii="等线" w:hAnsi="等线" w:eastAsia="等线" w:cs="等线"/>
                <w:sz w:val="21"/>
                <w:szCs w:val="21"/>
              </w:rPr>
            </w:pPr>
            <w:r>
              <w:rPr>
                <w:rFonts w:ascii="等线" w:hAnsi="等线" w:eastAsia="等线" w:cs="等线"/>
                <w:spacing w:val="8"/>
                <w:sz w:val="21"/>
                <w:szCs w:val="21"/>
              </w:rPr>
              <w:t>硝 酸</w:t>
            </w:r>
            <w:r>
              <w:rPr>
                <w:rFonts w:ascii="等线" w:hAnsi="等线" w:eastAsia="等线" w:cs="等线"/>
                <w:spacing w:val="9"/>
                <w:sz w:val="21"/>
                <w:szCs w:val="21"/>
              </w:rPr>
              <w:t xml:space="preserve"> </w:t>
            </w:r>
            <w:r>
              <w:rPr>
                <w:rFonts w:ascii="等线" w:hAnsi="等线" w:eastAsia="等线" w:cs="等线"/>
                <w:spacing w:val="8"/>
                <w:sz w:val="21"/>
                <w:szCs w:val="21"/>
              </w:rPr>
              <w:t>盐</w:t>
            </w:r>
          </w:p>
        </w:tc>
        <w:tc>
          <w:tcPr>
            <w:tcW w:w="570" w:type="dxa"/>
            <w:tcBorders>
              <w:top w:val="single" w:color="000000" w:sz="12" w:space="0"/>
            </w:tcBorders>
            <w:vAlign w:val="top"/>
          </w:tcPr>
          <w:p w14:paraId="1E90781B">
            <w:pPr>
              <w:pStyle w:val="6"/>
              <w:spacing w:before="113" w:line="241" w:lineRule="auto"/>
              <w:ind w:left="28" w:firstLine="5"/>
              <w:jc w:val="both"/>
              <w:rPr>
                <w:sz w:val="18"/>
                <w:szCs w:val="18"/>
              </w:rPr>
            </w:pPr>
            <w:r>
              <w:rPr>
                <w:rFonts w:ascii="等线" w:hAnsi="等线" w:eastAsia="等线" w:cs="等线"/>
                <w:spacing w:val="-5"/>
                <w:sz w:val="18"/>
                <w:szCs w:val="18"/>
              </w:rPr>
              <w:t>总大肠</w:t>
            </w:r>
            <w:r>
              <w:rPr>
                <w:rFonts w:ascii="等线" w:hAnsi="等线" w:eastAsia="等线" w:cs="等线"/>
                <w:spacing w:val="40"/>
                <w:sz w:val="18"/>
                <w:szCs w:val="18"/>
              </w:rPr>
              <w:t>菌群</w:t>
            </w:r>
            <w:r>
              <w:rPr>
                <w:spacing w:val="-1"/>
                <w:sz w:val="18"/>
                <w:szCs w:val="18"/>
              </w:rPr>
              <w:t>MPN/1</w:t>
            </w:r>
          </w:p>
          <w:p w14:paraId="6A0F349E">
            <w:pPr>
              <w:pStyle w:val="6"/>
              <w:spacing w:before="8" w:line="232" w:lineRule="auto"/>
              <w:ind w:left="82"/>
              <w:rPr>
                <w:sz w:val="18"/>
                <w:szCs w:val="18"/>
              </w:rPr>
            </w:pPr>
            <w:r>
              <w:rPr>
                <w:spacing w:val="-2"/>
                <w:sz w:val="18"/>
                <w:szCs w:val="18"/>
              </w:rPr>
              <w:t>00mL</w:t>
            </w:r>
          </w:p>
        </w:tc>
        <w:tc>
          <w:tcPr>
            <w:tcW w:w="498" w:type="dxa"/>
            <w:tcBorders>
              <w:top w:val="single" w:color="000000" w:sz="12" w:space="0"/>
              <w:right w:val="nil"/>
            </w:tcBorders>
            <w:vAlign w:val="top"/>
          </w:tcPr>
          <w:p w14:paraId="6326EABD">
            <w:pPr>
              <w:spacing w:before="112" w:line="226" w:lineRule="auto"/>
              <w:ind w:left="106"/>
              <w:rPr>
                <w:rFonts w:ascii="等线" w:hAnsi="等线" w:eastAsia="等线" w:cs="等线"/>
                <w:sz w:val="18"/>
                <w:szCs w:val="18"/>
              </w:rPr>
            </w:pPr>
            <w:r>
              <w:rPr>
                <w:rFonts w:ascii="等线" w:hAnsi="等线" w:eastAsia="等线" w:cs="等线"/>
                <w:spacing w:val="-3"/>
                <w:sz w:val="18"/>
                <w:szCs w:val="18"/>
              </w:rPr>
              <w:t>菌落</w:t>
            </w:r>
          </w:p>
          <w:p w14:paraId="45B9D152">
            <w:pPr>
              <w:pStyle w:val="6"/>
              <w:spacing w:before="13" w:line="246" w:lineRule="auto"/>
              <w:ind w:left="83" w:right="16" w:firstLine="26"/>
              <w:rPr>
                <w:sz w:val="18"/>
                <w:szCs w:val="18"/>
              </w:rPr>
            </w:pPr>
            <w:r>
              <w:rPr>
                <w:rFonts w:ascii="等线" w:hAnsi="等线" w:eastAsia="等线" w:cs="等线"/>
                <w:spacing w:val="-7"/>
                <w:sz w:val="18"/>
                <w:szCs w:val="18"/>
              </w:rPr>
              <w:t>总数</w:t>
            </w:r>
            <w:r>
              <w:rPr>
                <w:spacing w:val="-2"/>
                <w:sz w:val="18"/>
                <w:szCs w:val="18"/>
              </w:rPr>
              <w:t>CFU/</w:t>
            </w:r>
          </w:p>
          <w:p w14:paraId="14B45DF8">
            <w:pPr>
              <w:pStyle w:val="6"/>
              <w:spacing w:line="235" w:lineRule="auto"/>
              <w:ind w:left="153"/>
              <w:rPr>
                <w:sz w:val="18"/>
                <w:szCs w:val="18"/>
              </w:rPr>
            </w:pPr>
            <w:r>
              <w:rPr>
                <w:spacing w:val="-1"/>
                <w:sz w:val="18"/>
                <w:szCs w:val="18"/>
              </w:rPr>
              <w:t>mL</w:t>
            </w:r>
          </w:p>
        </w:tc>
        <w:tc>
          <w:tcPr>
            <w:tcW w:w="61" w:type="dxa"/>
            <w:tcBorders>
              <w:top w:val="single" w:color="000000" w:sz="12" w:space="0"/>
              <w:left w:val="nil"/>
              <w:right w:val="single" w:color="000000" w:sz="12" w:space="0"/>
            </w:tcBorders>
            <w:vAlign w:val="top"/>
          </w:tcPr>
          <w:p w14:paraId="03B73BB9">
            <w:pPr>
              <w:rPr>
                <w:rFonts w:ascii="Arial"/>
                <w:sz w:val="21"/>
              </w:rPr>
            </w:pPr>
          </w:p>
        </w:tc>
      </w:tr>
      <w:tr w14:paraId="32273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restart"/>
            <w:tcBorders>
              <w:left w:val="single" w:color="000000" w:sz="12" w:space="0"/>
              <w:bottom w:val="nil"/>
            </w:tcBorders>
            <w:vAlign w:val="top"/>
          </w:tcPr>
          <w:p w14:paraId="3383A5DA">
            <w:pPr>
              <w:spacing w:line="265" w:lineRule="auto"/>
              <w:rPr>
                <w:rFonts w:ascii="Arial"/>
                <w:sz w:val="21"/>
              </w:rPr>
            </w:pPr>
          </w:p>
          <w:p w14:paraId="5EFBD42C">
            <w:pPr>
              <w:spacing w:line="265" w:lineRule="auto"/>
              <w:rPr>
                <w:rFonts w:ascii="Arial"/>
                <w:sz w:val="21"/>
              </w:rPr>
            </w:pPr>
          </w:p>
          <w:p w14:paraId="5577C43C">
            <w:pPr>
              <w:spacing w:line="265" w:lineRule="auto"/>
              <w:rPr>
                <w:rFonts w:ascii="Arial"/>
                <w:sz w:val="21"/>
              </w:rPr>
            </w:pPr>
          </w:p>
          <w:p w14:paraId="2E4D8513">
            <w:pPr>
              <w:spacing w:line="265" w:lineRule="auto"/>
              <w:rPr>
                <w:rFonts w:ascii="Arial"/>
                <w:sz w:val="21"/>
              </w:rPr>
            </w:pPr>
          </w:p>
          <w:p w14:paraId="5B2D1FC3">
            <w:pPr>
              <w:spacing w:line="266" w:lineRule="auto"/>
              <w:rPr>
                <w:rFonts w:ascii="Arial"/>
                <w:sz w:val="21"/>
              </w:rPr>
            </w:pPr>
          </w:p>
          <w:p w14:paraId="14E8E8D8">
            <w:pPr>
              <w:spacing w:line="266" w:lineRule="auto"/>
              <w:rPr>
                <w:rFonts w:ascii="Arial"/>
                <w:sz w:val="21"/>
              </w:rPr>
            </w:pPr>
          </w:p>
          <w:p w14:paraId="385583E1">
            <w:pPr>
              <w:spacing w:line="266" w:lineRule="auto"/>
              <w:rPr>
                <w:rFonts w:ascii="Arial"/>
                <w:sz w:val="21"/>
              </w:rPr>
            </w:pPr>
          </w:p>
          <w:p w14:paraId="25367A1D">
            <w:pPr>
              <w:spacing w:line="266" w:lineRule="auto"/>
              <w:rPr>
                <w:rFonts w:ascii="Arial"/>
                <w:sz w:val="21"/>
              </w:rPr>
            </w:pPr>
          </w:p>
          <w:p w14:paraId="3088423B">
            <w:pPr>
              <w:spacing w:before="71" w:line="242" w:lineRule="auto"/>
              <w:ind w:left="42" w:right="53" w:firstLine="1"/>
              <w:jc w:val="both"/>
              <w:rPr>
                <w:rFonts w:ascii="等线" w:hAnsi="等线" w:eastAsia="等线" w:cs="等线"/>
                <w:sz w:val="21"/>
                <w:szCs w:val="21"/>
              </w:rPr>
            </w:pPr>
            <w:r>
              <w:rPr>
                <w:rFonts w:ascii="等线" w:hAnsi="等线" w:eastAsia="等线" w:cs="等线"/>
                <w:spacing w:val="-4"/>
                <w:sz w:val="21"/>
                <w:szCs w:val="21"/>
              </w:rPr>
              <w:t>枢纽</w:t>
            </w:r>
            <w:r>
              <w:rPr>
                <w:rFonts w:ascii="等线" w:hAnsi="等线" w:eastAsia="等线" w:cs="等线"/>
                <w:spacing w:val="-3"/>
                <w:sz w:val="21"/>
                <w:szCs w:val="21"/>
              </w:rPr>
              <w:t>工程生活饮用水供水处</w:t>
            </w:r>
          </w:p>
        </w:tc>
        <w:tc>
          <w:tcPr>
            <w:tcW w:w="265" w:type="dxa"/>
            <w:vMerge w:val="restart"/>
            <w:tcBorders>
              <w:bottom w:val="nil"/>
            </w:tcBorders>
            <w:vAlign w:val="top"/>
          </w:tcPr>
          <w:p w14:paraId="73D98929">
            <w:pPr>
              <w:spacing w:line="334" w:lineRule="auto"/>
              <w:rPr>
                <w:rFonts w:ascii="Arial"/>
                <w:sz w:val="21"/>
              </w:rPr>
            </w:pPr>
          </w:p>
          <w:p w14:paraId="7BCC38E2">
            <w:pPr>
              <w:pStyle w:val="6"/>
              <w:spacing w:before="60" w:line="233" w:lineRule="auto"/>
              <w:ind w:left="14" w:right="38" w:firstLine="69"/>
              <w:jc w:val="both"/>
              <w:rPr>
                <w:rFonts w:ascii="等线" w:hAnsi="等线" w:eastAsia="等线" w:cs="等线"/>
              </w:rPr>
            </w:pPr>
            <w:r>
              <w:rPr>
                <w:spacing w:val="-25"/>
              </w:rPr>
              <w:t>1</w:t>
            </w:r>
            <w:r>
              <w:rPr>
                <w:rFonts w:ascii="等线" w:hAnsi="等线" w:eastAsia="等线" w:cs="等线"/>
                <w:spacing w:val="-8"/>
              </w:rPr>
              <w:t>季度</w:t>
            </w:r>
          </w:p>
        </w:tc>
        <w:tc>
          <w:tcPr>
            <w:tcW w:w="1014" w:type="dxa"/>
            <w:vAlign w:val="top"/>
          </w:tcPr>
          <w:p w14:paraId="7460C467">
            <w:pPr>
              <w:pStyle w:val="6"/>
              <w:spacing w:before="174" w:line="232" w:lineRule="auto"/>
              <w:ind w:left="118"/>
            </w:pPr>
            <w:r>
              <w:rPr>
                <w:spacing w:val="-1"/>
              </w:rPr>
              <w:t>2020/3/7</w:t>
            </w:r>
          </w:p>
        </w:tc>
        <w:tc>
          <w:tcPr>
            <w:tcW w:w="737" w:type="dxa"/>
            <w:vAlign w:val="top"/>
          </w:tcPr>
          <w:p w14:paraId="3D788EBC">
            <w:pPr>
              <w:pStyle w:val="6"/>
              <w:spacing w:before="180" w:line="183" w:lineRule="auto"/>
              <w:ind w:left="243"/>
            </w:pPr>
            <w:r>
              <w:rPr>
                <w:spacing w:val="-3"/>
              </w:rPr>
              <w:t>5L</w:t>
            </w:r>
          </w:p>
        </w:tc>
        <w:tc>
          <w:tcPr>
            <w:tcW w:w="708" w:type="dxa"/>
            <w:vAlign w:val="top"/>
          </w:tcPr>
          <w:p w14:paraId="7E91216E">
            <w:pPr>
              <w:pStyle w:val="6"/>
              <w:spacing w:before="174" w:line="232" w:lineRule="auto"/>
              <w:ind w:left="148"/>
            </w:pPr>
            <w:r>
              <w:rPr>
                <w:spacing w:val="-2"/>
              </w:rPr>
              <w:t>0.5L</w:t>
            </w:r>
          </w:p>
        </w:tc>
        <w:tc>
          <w:tcPr>
            <w:tcW w:w="851" w:type="dxa"/>
            <w:vAlign w:val="top"/>
          </w:tcPr>
          <w:p w14:paraId="01240814">
            <w:pPr>
              <w:pStyle w:val="6"/>
              <w:spacing w:before="174" w:line="232" w:lineRule="auto"/>
              <w:ind w:left="234"/>
            </w:pPr>
            <w:r>
              <w:rPr>
                <w:spacing w:val="-3"/>
              </w:rPr>
              <w:t>6.98</w:t>
            </w:r>
          </w:p>
        </w:tc>
        <w:tc>
          <w:tcPr>
            <w:tcW w:w="708" w:type="dxa"/>
            <w:vAlign w:val="top"/>
          </w:tcPr>
          <w:p w14:paraId="7061CA17">
            <w:pPr>
              <w:pStyle w:val="6"/>
              <w:spacing w:before="174" w:line="232" w:lineRule="auto"/>
              <w:ind w:left="109"/>
            </w:pPr>
            <w:r>
              <w:rPr>
                <w:spacing w:val="-2"/>
              </w:rPr>
              <w:t>0.182</w:t>
            </w:r>
          </w:p>
        </w:tc>
        <w:tc>
          <w:tcPr>
            <w:tcW w:w="842" w:type="dxa"/>
            <w:vAlign w:val="top"/>
          </w:tcPr>
          <w:p w14:paraId="44B6091A">
            <w:pPr>
              <w:pStyle w:val="6"/>
              <w:spacing w:before="174" w:line="232" w:lineRule="auto"/>
              <w:ind w:left="126"/>
            </w:pPr>
            <w:r>
              <w:rPr>
                <w:spacing w:val="-2"/>
              </w:rPr>
              <w:t>0.0192</w:t>
            </w:r>
          </w:p>
        </w:tc>
        <w:tc>
          <w:tcPr>
            <w:tcW w:w="851" w:type="dxa"/>
            <w:vAlign w:val="top"/>
          </w:tcPr>
          <w:p w14:paraId="2F5AA908">
            <w:pPr>
              <w:pStyle w:val="6"/>
              <w:spacing w:before="174" w:line="232" w:lineRule="auto"/>
              <w:ind w:left="131"/>
            </w:pPr>
            <w:r>
              <w:rPr>
                <w:spacing w:val="-2"/>
              </w:rPr>
              <w:t>0.0013</w:t>
            </w:r>
          </w:p>
        </w:tc>
        <w:tc>
          <w:tcPr>
            <w:tcW w:w="708" w:type="dxa"/>
            <w:vAlign w:val="top"/>
          </w:tcPr>
          <w:p w14:paraId="22171342">
            <w:pPr>
              <w:pStyle w:val="6"/>
              <w:spacing w:before="174" w:line="232" w:lineRule="auto"/>
              <w:ind w:left="48"/>
            </w:pPr>
            <w:r>
              <w:rPr>
                <w:spacing w:val="-2"/>
              </w:rPr>
              <w:t>0.009L</w:t>
            </w:r>
          </w:p>
        </w:tc>
        <w:tc>
          <w:tcPr>
            <w:tcW w:w="847" w:type="dxa"/>
            <w:vAlign w:val="top"/>
          </w:tcPr>
          <w:p w14:paraId="79428D27">
            <w:pPr>
              <w:pStyle w:val="6"/>
              <w:spacing w:before="174" w:line="232" w:lineRule="auto"/>
              <w:ind w:left="184"/>
            </w:pPr>
            <w:r>
              <w:rPr>
                <w:spacing w:val="-2"/>
              </w:rPr>
              <w:t>0.005</w:t>
            </w:r>
          </w:p>
        </w:tc>
        <w:tc>
          <w:tcPr>
            <w:tcW w:w="565" w:type="dxa"/>
            <w:vAlign w:val="top"/>
          </w:tcPr>
          <w:p w14:paraId="0541ED38">
            <w:pPr>
              <w:pStyle w:val="6"/>
              <w:spacing w:before="174" w:line="232" w:lineRule="auto"/>
              <w:ind w:left="102"/>
            </w:pPr>
            <w:r>
              <w:rPr>
                <w:spacing w:val="-6"/>
              </w:rPr>
              <w:t>1.0L</w:t>
            </w:r>
          </w:p>
        </w:tc>
        <w:tc>
          <w:tcPr>
            <w:tcW w:w="567" w:type="dxa"/>
            <w:vAlign w:val="top"/>
          </w:tcPr>
          <w:p w14:paraId="6A3D631D">
            <w:pPr>
              <w:pStyle w:val="6"/>
              <w:spacing w:before="174" w:line="232" w:lineRule="auto"/>
              <w:ind w:left="89"/>
            </w:pPr>
            <w:r>
              <w:rPr>
                <w:spacing w:val="-3"/>
              </w:rPr>
              <w:t>5.0L</w:t>
            </w:r>
          </w:p>
        </w:tc>
        <w:tc>
          <w:tcPr>
            <w:tcW w:w="851" w:type="dxa"/>
            <w:vAlign w:val="top"/>
          </w:tcPr>
          <w:p w14:paraId="32E3D933">
            <w:pPr>
              <w:pStyle w:val="6"/>
              <w:spacing w:before="174" w:line="232" w:lineRule="auto"/>
              <w:ind w:left="323"/>
            </w:pPr>
            <w:r>
              <w:rPr>
                <w:spacing w:val="-3"/>
              </w:rPr>
              <w:t>57</w:t>
            </w:r>
          </w:p>
        </w:tc>
        <w:tc>
          <w:tcPr>
            <w:tcW w:w="566" w:type="dxa"/>
            <w:vAlign w:val="top"/>
          </w:tcPr>
          <w:p w14:paraId="23E44965">
            <w:pPr>
              <w:pStyle w:val="6"/>
              <w:spacing w:before="174" w:line="232" w:lineRule="auto"/>
              <w:ind w:left="180"/>
            </w:pPr>
            <w:r>
              <w:rPr>
                <w:spacing w:val="-3"/>
              </w:rPr>
              <w:t>30</w:t>
            </w:r>
          </w:p>
        </w:tc>
        <w:tc>
          <w:tcPr>
            <w:tcW w:w="567" w:type="dxa"/>
            <w:vAlign w:val="top"/>
          </w:tcPr>
          <w:p w14:paraId="2C9847A6">
            <w:pPr>
              <w:pStyle w:val="6"/>
              <w:spacing w:before="174" w:line="232" w:lineRule="auto"/>
              <w:ind w:left="118"/>
            </w:pPr>
            <w:r>
              <w:rPr>
                <w:spacing w:val="-6"/>
              </w:rPr>
              <w:t>1.10</w:t>
            </w:r>
          </w:p>
        </w:tc>
        <w:tc>
          <w:tcPr>
            <w:tcW w:w="851" w:type="dxa"/>
            <w:vAlign w:val="top"/>
          </w:tcPr>
          <w:p w14:paraId="35224F27">
            <w:pPr>
              <w:pStyle w:val="6"/>
              <w:spacing w:before="174" w:line="232" w:lineRule="auto"/>
              <w:ind w:left="127"/>
            </w:pPr>
            <w:r>
              <w:rPr>
                <w:spacing w:val="-2"/>
              </w:rPr>
              <w:t>0.002L</w:t>
            </w:r>
          </w:p>
        </w:tc>
        <w:tc>
          <w:tcPr>
            <w:tcW w:w="707" w:type="dxa"/>
            <w:vAlign w:val="top"/>
          </w:tcPr>
          <w:p w14:paraId="270CF97F">
            <w:pPr>
              <w:pStyle w:val="6"/>
              <w:spacing w:before="174" w:line="232" w:lineRule="auto"/>
              <w:ind w:left="56"/>
            </w:pPr>
            <w:r>
              <w:rPr>
                <w:spacing w:val="-2"/>
              </w:rPr>
              <w:t>0.050L</w:t>
            </w:r>
          </w:p>
        </w:tc>
        <w:tc>
          <w:tcPr>
            <w:tcW w:w="708" w:type="dxa"/>
            <w:vAlign w:val="top"/>
          </w:tcPr>
          <w:p w14:paraId="2E518979">
            <w:pPr>
              <w:pStyle w:val="6"/>
              <w:spacing w:before="174" w:line="232" w:lineRule="auto"/>
              <w:ind w:left="58"/>
            </w:pPr>
            <w:r>
              <w:rPr>
                <w:spacing w:val="-2"/>
              </w:rPr>
              <w:t>0.001L</w:t>
            </w:r>
          </w:p>
        </w:tc>
        <w:tc>
          <w:tcPr>
            <w:tcW w:w="851" w:type="dxa"/>
            <w:vAlign w:val="top"/>
          </w:tcPr>
          <w:p w14:paraId="5D380743">
            <w:pPr>
              <w:pStyle w:val="6"/>
              <w:spacing w:before="174" w:line="232" w:lineRule="auto"/>
              <w:ind w:left="80"/>
            </w:pPr>
            <w:r>
              <w:rPr>
                <w:spacing w:val="-1"/>
              </w:rPr>
              <w:t>0.0005L</w:t>
            </w:r>
          </w:p>
        </w:tc>
        <w:tc>
          <w:tcPr>
            <w:tcW w:w="708" w:type="dxa"/>
            <w:vAlign w:val="top"/>
          </w:tcPr>
          <w:p w14:paraId="6FE0C5B8">
            <w:pPr>
              <w:pStyle w:val="6"/>
              <w:spacing w:before="174" w:line="232" w:lineRule="auto"/>
              <w:ind w:left="60"/>
            </w:pPr>
            <w:r>
              <w:rPr>
                <w:spacing w:val="-2"/>
              </w:rPr>
              <w:t>0.004L</w:t>
            </w:r>
          </w:p>
        </w:tc>
        <w:tc>
          <w:tcPr>
            <w:tcW w:w="851" w:type="dxa"/>
            <w:vAlign w:val="top"/>
          </w:tcPr>
          <w:p w14:paraId="254BBCB3">
            <w:pPr>
              <w:pStyle w:val="6"/>
              <w:spacing w:before="174" w:line="232" w:lineRule="auto"/>
              <w:ind w:left="81"/>
            </w:pPr>
            <w:r>
              <w:rPr>
                <w:spacing w:val="-1"/>
              </w:rPr>
              <w:t>0.0025L</w:t>
            </w:r>
          </w:p>
        </w:tc>
        <w:tc>
          <w:tcPr>
            <w:tcW w:w="851" w:type="dxa"/>
            <w:vAlign w:val="top"/>
          </w:tcPr>
          <w:p w14:paraId="53F8E2E4">
            <w:pPr>
              <w:pStyle w:val="6"/>
              <w:spacing w:before="174" w:line="232" w:lineRule="auto"/>
              <w:ind w:left="82"/>
            </w:pPr>
            <w:r>
              <w:rPr>
                <w:spacing w:val="-1"/>
              </w:rPr>
              <w:t>0.0001L</w:t>
            </w:r>
          </w:p>
        </w:tc>
        <w:tc>
          <w:tcPr>
            <w:tcW w:w="847" w:type="dxa"/>
            <w:vAlign w:val="top"/>
          </w:tcPr>
          <w:p w14:paraId="16D304C5">
            <w:pPr>
              <w:pStyle w:val="6"/>
              <w:spacing w:before="174" w:line="232" w:lineRule="auto"/>
              <w:ind w:left="80"/>
            </w:pPr>
            <w:r>
              <w:rPr>
                <w:spacing w:val="-1"/>
              </w:rPr>
              <w:t>0.0004L</w:t>
            </w:r>
          </w:p>
        </w:tc>
        <w:tc>
          <w:tcPr>
            <w:tcW w:w="708" w:type="dxa"/>
            <w:vAlign w:val="top"/>
          </w:tcPr>
          <w:p w14:paraId="3523ED6E">
            <w:pPr>
              <w:pStyle w:val="6"/>
              <w:spacing w:before="174" w:line="232" w:lineRule="auto"/>
              <w:ind w:left="64"/>
            </w:pPr>
            <w:r>
              <w:rPr>
                <w:spacing w:val="-2"/>
              </w:rPr>
              <w:t>0.002L</w:t>
            </w:r>
          </w:p>
        </w:tc>
        <w:tc>
          <w:tcPr>
            <w:tcW w:w="566" w:type="dxa"/>
            <w:vAlign w:val="top"/>
          </w:tcPr>
          <w:p w14:paraId="78DF0316">
            <w:pPr>
              <w:pStyle w:val="6"/>
              <w:spacing w:before="174" w:line="232" w:lineRule="auto"/>
              <w:ind w:left="100"/>
            </w:pPr>
            <w:r>
              <w:rPr>
                <w:spacing w:val="-2"/>
              </w:rPr>
              <w:t>0.2L</w:t>
            </w:r>
          </w:p>
        </w:tc>
        <w:tc>
          <w:tcPr>
            <w:tcW w:w="428" w:type="dxa"/>
            <w:vAlign w:val="top"/>
          </w:tcPr>
          <w:p w14:paraId="76537273">
            <w:pPr>
              <w:pStyle w:val="6"/>
              <w:spacing w:before="174" w:line="232" w:lineRule="auto"/>
              <w:ind w:right="2"/>
              <w:jc w:val="right"/>
            </w:pPr>
            <w:r>
              <w:rPr>
                <w:spacing w:val="-2"/>
              </w:rPr>
              <w:t>0.5L</w:t>
            </w:r>
          </w:p>
        </w:tc>
        <w:tc>
          <w:tcPr>
            <w:tcW w:w="570" w:type="dxa"/>
            <w:vAlign w:val="top"/>
          </w:tcPr>
          <w:p w14:paraId="7DA6C423">
            <w:pPr>
              <w:pStyle w:val="6"/>
              <w:spacing w:before="174" w:line="232" w:lineRule="auto"/>
              <w:ind w:left="262"/>
            </w:pPr>
            <w:r>
              <w:t>/</w:t>
            </w:r>
          </w:p>
        </w:tc>
        <w:tc>
          <w:tcPr>
            <w:tcW w:w="559" w:type="dxa"/>
            <w:gridSpan w:val="2"/>
            <w:tcBorders>
              <w:right w:val="single" w:color="000000" w:sz="12" w:space="0"/>
            </w:tcBorders>
            <w:vAlign w:val="top"/>
          </w:tcPr>
          <w:p w14:paraId="1C1698BD">
            <w:pPr>
              <w:pStyle w:val="6"/>
              <w:spacing w:before="174" w:line="232" w:lineRule="auto"/>
              <w:ind w:left="180"/>
            </w:pPr>
            <w:r>
              <w:rPr>
                <w:spacing w:val="-2"/>
              </w:rPr>
              <w:t>90</w:t>
            </w:r>
          </w:p>
        </w:tc>
      </w:tr>
      <w:tr w14:paraId="577FB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7E0D9A93">
            <w:pPr>
              <w:rPr>
                <w:rFonts w:ascii="Arial"/>
                <w:sz w:val="21"/>
              </w:rPr>
            </w:pPr>
          </w:p>
        </w:tc>
        <w:tc>
          <w:tcPr>
            <w:tcW w:w="265" w:type="dxa"/>
            <w:vMerge w:val="continue"/>
            <w:tcBorders>
              <w:top w:val="nil"/>
              <w:bottom w:val="nil"/>
            </w:tcBorders>
            <w:vAlign w:val="top"/>
          </w:tcPr>
          <w:p w14:paraId="7F368301">
            <w:pPr>
              <w:rPr>
                <w:rFonts w:ascii="Arial"/>
                <w:sz w:val="21"/>
              </w:rPr>
            </w:pPr>
          </w:p>
        </w:tc>
        <w:tc>
          <w:tcPr>
            <w:tcW w:w="1014" w:type="dxa"/>
            <w:vAlign w:val="top"/>
          </w:tcPr>
          <w:p w14:paraId="1E34912E">
            <w:pPr>
              <w:pStyle w:val="6"/>
              <w:spacing w:before="174" w:line="232" w:lineRule="auto"/>
              <w:ind w:left="118"/>
            </w:pPr>
            <w:r>
              <w:rPr>
                <w:spacing w:val="-1"/>
              </w:rPr>
              <w:t>2020/3/8</w:t>
            </w:r>
          </w:p>
        </w:tc>
        <w:tc>
          <w:tcPr>
            <w:tcW w:w="737" w:type="dxa"/>
            <w:vAlign w:val="top"/>
          </w:tcPr>
          <w:p w14:paraId="71B77158">
            <w:pPr>
              <w:pStyle w:val="6"/>
              <w:spacing w:before="181" w:line="183" w:lineRule="auto"/>
              <w:ind w:left="243"/>
            </w:pPr>
            <w:r>
              <w:rPr>
                <w:spacing w:val="-3"/>
              </w:rPr>
              <w:t>5L</w:t>
            </w:r>
          </w:p>
        </w:tc>
        <w:tc>
          <w:tcPr>
            <w:tcW w:w="708" w:type="dxa"/>
            <w:vAlign w:val="top"/>
          </w:tcPr>
          <w:p w14:paraId="41953591">
            <w:pPr>
              <w:pStyle w:val="6"/>
              <w:spacing w:before="174" w:line="232" w:lineRule="auto"/>
              <w:ind w:left="148"/>
            </w:pPr>
            <w:r>
              <w:rPr>
                <w:spacing w:val="-2"/>
              </w:rPr>
              <w:t>0.5L</w:t>
            </w:r>
          </w:p>
        </w:tc>
        <w:tc>
          <w:tcPr>
            <w:tcW w:w="851" w:type="dxa"/>
            <w:vAlign w:val="top"/>
          </w:tcPr>
          <w:p w14:paraId="78FCD4E1">
            <w:pPr>
              <w:pStyle w:val="6"/>
              <w:spacing w:before="174" w:line="232" w:lineRule="auto"/>
              <w:ind w:left="234"/>
            </w:pPr>
            <w:r>
              <w:rPr>
                <w:spacing w:val="-3"/>
              </w:rPr>
              <w:t>6.91</w:t>
            </w:r>
          </w:p>
        </w:tc>
        <w:tc>
          <w:tcPr>
            <w:tcW w:w="708" w:type="dxa"/>
            <w:vAlign w:val="top"/>
          </w:tcPr>
          <w:p w14:paraId="4EADBA75">
            <w:pPr>
              <w:pStyle w:val="6"/>
              <w:spacing w:before="174" w:line="232" w:lineRule="auto"/>
              <w:ind w:left="109"/>
            </w:pPr>
            <w:r>
              <w:rPr>
                <w:spacing w:val="-2"/>
              </w:rPr>
              <w:t>0.182</w:t>
            </w:r>
          </w:p>
        </w:tc>
        <w:tc>
          <w:tcPr>
            <w:tcW w:w="842" w:type="dxa"/>
            <w:vAlign w:val="top"/>
          </w:tcPr>
          <w:p w14:paraId="1446BF56">
            <w:pPr>
              <w:pStyle w:val="6"/>
              <w:spacing w:before="174" w:line="232" w:lineRule="auto"/>
              <w:ind w:left="126"/>
            </w:pPr>
            <w:r>
              <w:rPr>
                <w:spacing w:val="-2"/>
              </w:rPr>
              <w:t>0.0210</w:t>
            </w:r>
          </w:p>
        </w:tc>
        <w:tc>
          <w:tcPr>
            <w:tcW w:w="851" w:type="dxa"/>
            <w:vAlign w:val="top"/>
          </w:tcPr>
          <w:p w14:paraId="6856DF55">
            <w:pPr>
              <w:pStyle w:val="6"/>
              <w:spacing w:before="174" w:line="232" w:lineRule="auto"/>
              <w:ind w:left="131"/>
            </w:pPr>
            <w:r>
              <w:rPr>
                <w:spacing w:val="-2"/>
              </w:rPr>
              <w:t>0.0013</w:t>
            </w:r>
          </w:p>
        </w:tc>
        <w:tc>
          <w:tcPr>
            <w:tcW w:w="708" w:type="dxa"/>
            <w:vAlign w:val="top"/>
          </w:tcPr>
          <w:p w14:paraId="2F3882D7">
            <w:pPr>
              <w:pStyle w:val="6"/>
              <w:spacing w:before="174" w:line="232" w:lineRule="auto"/>
              <w:ind w:left="48"/>
            </w:pPr>
            <w:r>
              <w:rPr>
                <w:spacing w:val="-2"/>
              </w:rPr>
              <w:t>0.009L</w:t>
            </w:r>
          </w:p>
        </w:tc>
        <w:tc>
          <w:tcPr>
            <w:tcW w:w="847" w:type="dxa"/>
            <w:vAlign w:val="top"/>
          </w:tcPr>
          <w:p w14:paraId="67CBBDE5">
            <w:pPr>
              <w:pStyle w:val="6"/>
              <w:spacing w:before="174" w:line="232" w:lineRule="auto"/>
              <w:ind w:left="184"/>
            </w:pPr>
            <w:r>
              <w:rPr>
                <w:spacing w:val="-2"/>
              </w:rPr>
              <w:t>0.005</w:t>
            </w:r>
          </w:p>
        </w:tc>
        <w:tc>
          <w:tcPr>
            <w:tcW w:w="565" w:type="dxa"/>
            <w:vAlign w:val="top"/>
          </w:tcPr>
          <w:p w14:paraId="58C1BD1A">
            <w:pPr>
              <w:pStyle w:val="6"/>
              <w:spacing w:before="174" w:line="232" w:lineRule="auto"/>
              <w:ind w:left="102"/>
            </w:pPr>
            <w:r>
              <w:rPr>
                <w:spacing w:val="-6"/>
              </w:rPr>
              <w:t>1.0L</w:t>
            </w:r>
          </w:p>
        </w:tc>
        <w:tc>
          <w:tcPr>
            <w:tcW w:w="567" w:type="dxa"/>
            <w:vAlign w:val="top"/>
          </w:tcPr>
          <w:p w14:paraId="3EA10AD2">
            <w:pPr>
              <w:pStyle w:val="6"/>
              <w:spacing w:before="174" w:line="232" w:lineRule="auto"/>
              <w:ind w:left="89"/>
            </w:pPr>
            <w:r>
              <w:rPr>
                <w:spacing w:val="-3"/>
              </w:rPr>
              <w:t>5.0L</w:t>
            </w:r>
          </w:p>
        </w:tc>
        <w:tc>
          <w:tcPr>
            <w:tcW w:w="851" w:type="dxa"/>
            <w:vAlign w:val="top"/>
          </w:tcPr>
          <w:p w14:paraId="6B75D4BA">
            <w:pPr>
              <w:pStyle w:val="6"/>
              <w:spacing w:before="174" w:line="232" w:lineRule="auto"/>
              <w:ind w:left="322"/>
            </w:pPr>
            <w:r>
              <w:rPr>
                <w:spacing w:val="-3"/>
              </w:rPr>
              <w:t>65</w:t>
            </w:r>
          </w:p>
        </w:tc>
        <w:tc>
          <w:tcPr>
            <w:tcW w:w="566" w:type="dxa"/>
            <w:vAlign w:val="top"/>
          </w:tcPr>
          <w:p w14:paraId="7BCB8139">
            <w:pPr>
              <w:pStyle w:val="6"/>
              <w:spacing w:before="174" w:line="232" w:lineRule="auto"/>
              <w:ind w:left="180"/>
            </w:pPr>
            <w:r>
              <w:rPr>
                <w:spacing w:val="-3"/>
              </w:rPr>
              <w:t>35</w:t>
            </w:r>
          </w:p>
        </w:tc>
        <w:tc>
          <w:tcPr>
            <w:tcW w:w="567" w:type="dxa"/>
            <w:vAlign w:val="top"/>
          </w:tcPr>
          <w:p w14:paraId="3B419168">
            <w:pPr>
              <w:pStyle w:val="6"/>
              <w:spacing w:before="174" w:line="232" w:lineRule="auto"/>
              <w:ind w:left="118"/>
            </w:pPr>
            <w:r>
              <w:rPr>
                <w:spacing w:val="-6"/>
              </w:rPr>
              <w:t>1.05</w:t>
            </w:r>
          </w:p>
        </w:tc>
        <w:tc>
          <w:tcPr>
            <w:tcW w:w="851" w:type="dxa"/>
            <w:vAlign w:val="top"/>
          </w:tcPr>
          <w:p w14:paraId="27ABCC44">
            <w:pPr>
              <w:pStyle w:val="6"/>
              <w:spacing w:before="174" w:line="232" w:lineRule="auto"/>
              <w:ind w:left="127"/>
            </w:pPr>
            <w:r>
              <w:rPr>
                <w:spacing w:val="-2"/>
              </w:rPr>
              <w:t>0.002L</w:t>
            </w:r>
          </w:p>
        </w:tc>
        <w:tc>
          <w:tcPr>
            <w:tcW w:w="707" w:type="dxa"/>
            <w:vAlign w:val="top"/>
          </w:tcPr>
          <w:p w14:paraId="1A8E0990">
            <w:pPr>
              <w:pStyle w:val="6"/>
              <w:spacing w:before="174" w:line="232" w:lineRule="auto"/>
              <w:ind w:left="56"/>
            </w:pPr>
            <w:r>
              <w:rPr>
                <w:spacing w:val="-2"/>
              </w:rPr>
              <w:t>0.050L</w:t>
            </w:r>
          </w:p>
        </w:tc>
        <w:tc>
          <w:tcPr>
            <w:tcW w:w="708" w:type="dxa"/>
            <w:vAlign w:val="top"/>
          </w:tcPr>
          <w:p w14:paraId="5B901EE2">
            <w:pPr>
              <w:pStyle w:val="6"/>
              <w:spacing w:before="174" w:line="232" w:lineRule="auto"/>
              <w:ind w:left="58"/>
            </w:pPr>
            <w:r>
              <w:rPr>
                <w:spacing w:val="-2"/>
              </w:rPr>
              <w:t>0.001L</w:t>
            </w:r>
          </w:p>
        </w:tc>
        <w:tc>
          <w:tcPr>
            <w:tcW w:w="851" w:type="dxa"/>
            <w:vAlign w:val="top"/>
          </w:tcPr>
          <w:p w14:paraId="31E51439">
            <w:pPr>
              <w:pStyle w:val="6"/>
              <w:spacing w:before="174" w:line="232" w:lineRule="auto"/>
              <w:ind w:left="80"/>
            </w:pPr>
            <w:r>
              <w:rPr>
                <w:spacing w:val="-1"/>
              </w:rPr>
              <w:t>0.0005L</w:t>
            </w:r>
          </w:p>
        </w:tc>
        <w:tc>
          <w:tcPr>
            <w:tcW w:w="708" w:type="dxa"/>
            <w:vAlign w:val="top"/>
          </w:tcPr>
          <w:p w14:paraId="682C525E">
            <w:pPr>
              <w:pStyle w:val="6"/>
              <w:spacing w:before="174" w:line="232" w:lineRule="auto"/>
              <w:ind w:left="60"/>
            </w:pPr>
            <w:r>
              <w:rPr>
                <w:spacing w:val="-2"/>
              </w:rPr>
              <w:t>0.004L</w:t>
            </w:r>
          </w:p>
        </w:tc>
        <w:tc>
          <w:tcPr>
            <w:tcW w:w="851" w:type="dxa"/>
            <w:vAlign w:val="top"/>
          </w:tcPr>
          <w:p w14:paraId="64A13C53">
            <w:pPr>
              <w:pStyle w:val="6"/>
              <w:spacing w:before="174" w:line="232" w:lineRule="auto"/>
              <w:ind w:left="81"/>
            </w:pPr>
            <w:r>
              <w:rPr>
                <w:spacing w:val="-1"/>
              </w:rPr>
              <w:t>0.0025L</w:t>
            </w:r>
          </w:p>
        </w:tc>
        <w:tc>
          <w:tcPr>
            <w:tcW w:w="851" w:type="dxa"/>
            <w:vAlign w:val="top"/>
          </w:tcPr>
          <w:p w14:paraId="6D07F8DD">
            <w:pPr>
              <w:pStyle w:val="6"/>
              <w:spacing w:before="174" w:line="232" w:lineRule="auto"/>
              <w:ind w:left="82"/>
            </w:pPr>
            <w:r>
              <w:rPr>
                <w:spacing w:val="-1"/>
              </w:rPr>
              <w:t>0.0001L</w:t>
            </w:r>
          </w:p>
        </w:tc>
        <w:tc>
          <w:tcPr>
            <w:tcW w:w="847" w:type="dxa"/>
            <w:vAlign w:val="top"/>
          </w:tcPr>
          <w:p w14:paraId="366EBDFD">
            <w:pPr>
              <w:pStyle w:val="6"/>
              <w:spacing w:before="174" w:line="232" w:lineRule="auto"/>
              <w:ind w:left="80"/>
            </w:pPr>
            <w:r>
              <w:rPr>
                <w:spacing w:val="-1"/>
              </w:rPr>
              <w:t>0.0004L</w:t>
            </w:r>
          </w:p>
        </w:tc>
        <w:tc>
          <w:tcPr>
            <w:tcW w:w="708" w:type="dxa"/>
            <w:vAlign w:val="top"/>
          </w:tcPr>
          <w:p w14:paraId="2B5098AC">
            <w:pPr>
              <w:pStyle w:val="6"/>
              <w:spacing w:before="174" w:line="232" w:lineRule="auto"/>
              <w:ind w:left="64"/>
            </w:pPr>
            <w:r>
              <w:rPr>
                <w:spacing w:val="-2"/>
              </w:rPr>
              <w:t>0.002L</w:t>
            </w:r>
          </w:p>
        </w:tc>
        <w:tc>
          <w:tcPr>
            <w:tcW w:w="566" w:type="dxa"/>
            <w:vAlign w:val="top"/>
          </w:tcPr>
          <w:p w14:paraId="52F3A258">
            <w:pPr>
              <w:pStyle w:val="6"/>
              <w:spacing w:before="174" w:line="232" w:lineRule="auto"/>
              <w:ind w:left="100"/>
            </w:pPr>
            <w:r>
              <w:rPr>
                <w:spacing w:val="-2"/>
              </w:rPr>
              <w:t>0.2L</w:t>
            </w:r>
          </w:p>
        </w:tc>
        <w:tc>
          <w:tcPr>
            <w:tcW w:w="428" w:type="dxa"/>
            <w:vAlign w:val="top"/>
          </w:tcPr>
          <w:p w14:paraId="7B19068C">
            <w:pPr>
              <w:pStyle w:val="6"/>
              <w:spacing w:before="174" w:line="232" w:lineRule="auto"/>
              <w:ind w:right="2"/>
              <w:jc w:val="right"/>
            </w:pPr>
            <w:r>
              <w:rPr>
                <w:spacing w:val="-2"/>
              </w:rPr>
              <w:t>0.5L</w:t>
            </w:r>
          </w:p>
        </w:tc>
        <w:tc>
          <w:tcPr>
            <w:tcW w:w="570" w:type="dxa"/>
            <w:vAlign w:val="top"/>
          </w:tcPr>
          <w:p w14:paraId="1B280151">
            <w:pPr>
              <w:pStyle w:val="6"/>
              <w:spacing w:before="174" w:line="232" w:lineRule="auto"/>
              <w:ind w:left="262"/>
            </w:pPr>
            <w:r>
              <w:t>/</w:t>
            </w:r>
          </w:p>
        </w:tc>
        <w:tc>
          <w:tcPr>
            <w:tcW w:w="559" w:type="dxa"/>
            <w:gridSpan w:val="2"/>
            <w:tcBorders>
              <w:right w:val="single" w:color="000000" w:sz="12" w:space="0"/>
            </w:tcBorders>
            <w:vAlign w:val="top"/>
          </w:tcPr>
          <w:p w14:paraId="04ADF0E9">
            <w:pPr>
              <w:pStyle w:val="6"/>
              <w:spacing w:before="174" w:line="232" w:lineRule="auto"/>
              <w:ind w:left="184"/>
            </w:pPr>
            <w:r>
              <w:rPr>
                <w:spacing w:val="-4"/>
              </w:rPr>
              <w:t>80</w:t>
            </w:r>
          </w:p>
        </w:tc>
      </w:tr>
      <w:tr w14:paraId="0FF0F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31" w:type="dxa"/>
            <w:vMerge w:val="continue"/>
            <w:tcBorders>
              <w:top w:val="nil"/>
              <w:left w:val="single" w:color="000000" w:sz="12" w:space="0"/>
              <w:bottom w:val="nil"/>
            </w:tcBorders>
            <w:vAlign w:val="top"/>
          </w:tcPr>
          <w:p w14:paraId="0F910B33">
            <w:pPr>
              <w:rPr>
                <w:rFonts w:ascii="Arial"/>
                <w:sz w:val="21"/>
              </w:rPr>
            </w:pPr>
          </w:p>
        </w:tc>
        <w:tc>
          <w:tcPr>
            <w:tcW w:w="265" w:type="dxa"/>
            <w:vMerge w:val="continue"/>
            <w:tcBorders>
              <w:top w:val="nil"/>
            </w:tcBorders>
            <w:vAlign w:val="top"/>
          </w:tcPr>
          <w:p w14:paraId="782FD913">
            <w:pPr>
              <w:rPr>
                <w:rFonts w:ascii="Arial"/>
                <w:sz w:val="21"/>
              </w:rPr>
            </w:pPr>
          </w:p>
        </w:tc>
        <w:tc>
          <w:tcPr>
            <w:tcW w:w="1014" w:type="dxa"/>
            <w:vAlign w:val="top"/>
          </w:tcPr>
          <w:p w14:paraId="732833C2">
            <w:pPr>
              <w:pStyle w:val="6"/>
              <w:spacing w:before="175" w:line="232" w:lineRule="auto"/>
              <w:ind w:left="118"/>
            </w:pPr>
            <w:r>
              <w:rPr>
                <w:spacing w:val="-1"/>
              </w:rPr>
              <w:t>2020/3/9</w:t>
            </w:r>
          </w:p>
        </w:tc>
        <w:tc>
          <w:tcPr>
            <w:tcW w:w="737" w:type="dxa"/>
            <w:vAlign w:val="top"/>
          </w:tcPr>
          <w:p w14:paraId="10FF8EA0">
            <w:pPr>
              <w:pStyle w:val="6"/>
              <w:spacing w:before="182" w:line="183" w:lineRule="auto"/>
              <w:ind w:left="243"/>
            </w:pPr>
            <w:r>
              <w:rPr>
                <w:spacing w:val="-3"/>
              </w:rPr>
              <w:t>5L</w:t>
            </w:r>
          </w:p>
        </w:tc>
        <w:tc>
          <w:tcPr>
            <w:tcW w:w="708" w:type="dxa"/>
            <w:vAlign w:val="top"/>
          </w:tcPr>
          <w:p w14:paraId="4F109205">
            <w:pPr>
              <w:pStyle w:val="6"/>
              <w:spacing w:before="175" w:line="232" w:lineRule="auto"/>
              <w:ind w:left="148"/>
            </w:pPr>
            <w:r>
              <w:rPr>
                <w:spacing w:val="-2"/>
              </w:rPr>
              <w:t>0.5L</w:t>
            </w:r>
          </w:p>
        </w:tc>
        <w:tc>
          <w:tcPr>
            <w:tcW w:w="851" w:type="dxa"/>
            <w:vAlign w:val="top"/>
          </w:tcPr>
          <w:p w14:paraId="2159713A">
            <w:pPr>
              <w:pStyle w:val="6"/>
              <w:spacing w:before="175" w:line="232" w:lineRule="auto"/>
              <w:ind w:left="234"/>
            </w:pPr>
            <w:r>
              <w:rPr>
                <w:spacing w:val="-3"/>
              </w:rPr>
              <w:t>6.95</w:t>
            </w:r>
          </w:p>
        </w:tc>
        <w:tc>
          <w:tcPr>
            <w:tcW w:w="708" w:type="dxa"/>
            <w:vAlign w:val="top"/>
          </w:tcPr>
          <w:p w14:paraId="11D6D097">
            <w:pPr>
              <w:pStyle w:val="6"/>
              <w:spacing w:before="175" w:line="232" w:lineRule="auto"/>
              <w:ind w:left="109"/>
            </w:pPr>
            <w:r>
              <w:rPr>
                <w:spacing w:val="-2"/>
              </w:rPr>
              <w:t>0.180</w:t>
            </w:r>
          </w:p>
        </w:tc>
        <w:tc>
          <w:tcPr>
            <w:tcW w:w="842" w:type="dxa"/>
            <w:vAlign w:val="top"/>
          </w:tcPr>
          <w:p w14:paraId="00D0C80F">
            <w:pPr>
              <w:pStyle w:val="6"/>
              <w:spacing w:before="175" w:line="232" w:lineRule="auto"/>
              <w:ind w:left="126"/>
            </w:pPr>
            <w:r>
              <w:rPr>
                <w:spacing w:val="-2"/>
              </w:rPr>
              <w:t>0.0192</w:t>
            </w:r>
          </w:p>
        </w:tc>
        <w:tc>
          <w:tcPr>
            <w:tcW w:w="851" w:type="dxa"/>
            <w:vAlign w:val="top"/>
          </w:tcPr>
          <w:p w14:paraId="208BB734">
            <w:pPr>
              <w:pStyle w:val="6"/>
              <w:spacing w:before="175" w:line="232" w:lineRule="auto"/>
              <w:ind w:left="131"/>
            </w:pPr>
            <w:r>
              <w:rPr>
                <w:spacing w:val="-2"/>
              </w:rPr>
              <w:t>0.0014</w:t>
            </w:r>
          </w:p>
        </w:tc>
        <w:tc>
          <w:tcPr>
            <w:tcW w:w="708" w:type="dxa"/>
            <w:vAlign w:val="top"/>
          </w:tcPr>
          <w:p w14:paraId="6A16C645">
            <w:pPr>
              <w:pStyle w:val="6"/>
              <w:spacing w:before="175" w:line="232" w:lineRule="auto"/>
              <w:ind w:left="48"/>
            </w:pPr>
            <w:r>
              <w:rPr>
                <w:spacing w:val="-2"/>
              </w:rPr>
              <w:t>0.009L</w:t>
            </w:r>
          </w:p>
        </w:tc>
        <w:tc>
          <w:tcPr>
            <w:tcW w:w="847" w:type="dxa"/>
            <w:vAlign w:val="top"/>
          </w:tcPr>
          <w:p w14:paraId="7C7A36B6">
            <w:pPr>
              <w:pStyle w:val="6"/>
              <w:spacing w:before="175" w:line="232" w:lineRule="auto"/>
              <w:ind w:left="184"/>
            </w:pPr>
            <w:r>
              <w:rPr>
                <w:spacing w:val="-2"/>
              </w:rPr>
              <w:t>0.005</w:t>
            </w:r>
          </w:p>
        </w:tc>
        <w:tc>
          <w:tcPr>
            <w:tcW w:w="565" w:type="dxa"/>
            <w:vAlign w:val="top"/>
          </w:tcPr>
          <w:p w14:paraId="0C3DC1F6">
            <w:pPr>
              <w:pStyle w:val="6"/>
              <w:spacing w:before="175" w:line="232" w:lineRule="auto"/>
              <w:ind w:left="102"/>
            </w:pPr>
            <w:r>
              <w:rPr>
                <w:spacing w:val="-6"/>
              </w:rPr>
              <w:t>1.0L</w:t>
            </w:r>
          </w:p>
        </w:tc>
        <w:tc>
          <w:tcPr>
            <w:tcW w:w="567" w:type="dxa"/>
            <w:vAlign w:val="top"/>
          </w:tcPr>
          <w:p w14:paraId="18F13F45">
            <w:pPr>
              <w:pStyle w:val="6"/>
              <w:spacing w:before="175" w:line="232" w:lineRule="auto"/>
              <w:ind w:left="89"/>
            </w:pPr>
            <w:r>
              <w:rPr>
                <w:spacing w:val="-3"/>
              </w:rPr>
              <w:t>5.0L</w:t>
            </w:r>
          </w:p>
        </w:tc>
        <w:tc>
          <w:tcPr>
            <w:tcW w:w="851" w:type="dxa"/>
            <w:vAlign w:val="top"/>
          </w:tcPr>
          <w:p w14:paraId="3A45219C">
            <w:pPr>
              <w:pStyle w:val="6"/>
              <w:spacing w:before="176" w:line="232" w:lineRule="auto"/>
              <w:ind w:left="322"/>
            </w:pPr>
            <w:r>
              <w:rPr>
                <w:spacing w:val="-3"/>
              </w:rPr>
              <w:t>61</w:t>
            </w:r>
          </w:p>
        </w:tc>
        <w:tc>
          <w:tcPr>
            <w:tcW w:w="566" w:type="dxa"/>
            <w:vAlign w:val="top"/>
          </w:tcPr>
          <w:p w14:paraId="531BD4E6">
            <w:pPr>
              <w:pStyle w:val="6"/>
              <w:spacing w:before="176" w:line="232" w:lineRule="auto"/>
              <w:ind w:left="176"/>
            </w:pPr>
            <w:r>
              <w:rPr>
                <w:spacing w:val="-1"/>
              </w:rPr>
              <w:t>28</w:t>
            </w:r>
          </w:p>
        </w:tc>
        <w:tc>
          <w:tcPr>
            <w:tcW w:w="567" w:type="dxa"/>
            <w:vAlign w:val="top"/>
          </w:tcPr>
          <w:p w14:paraId="5C65A168">
            <w:pPr>
              <w:pStyle w:val="6"/>
              <w:spacing w:before="175" w:line="232" w:lineRule="auto"/>
              <w:ind w:left="118"/>
            </w:pPr>
            <w:r>
              <w:rPr>
                <w:spacing w:val="-6"/>
              </w:rPr>
              <w:t>1.12</w:t>
            </w:r>
          </w:p>
        </w:tc>
        <w:tc>
          <w:tcPr>
            <w:tcW w:w="851" w:type="dxa"/>
            <w:vAlign w:val="top"/>
          </w:tcPr>
          <w:p w14:paraId="258E610F">
            <w:pPr>
              <w:pStyle w:val="6"/>
              <w:spacing w:before="175" w:line="232" w:lineRule="auto"/>
              <w:ind w:left="127"/>
            </w:pPr>
            <w:r>
              <w:rPr>
                <w:spacing w:val="-2"/>
              </w:rPr>
              <w:t>0.002L</w:t>
            </w:r>
          </w:p>
        </w:tc>
        <w:tc>
          <w:tcPr>
            <w:tcW w:w="707" w:type="dxa"/>
            <w:vAlign w:val="top"/>
          </w:tcPr>
          <w:p w14:paraId="405A1BF0">
            <w:pPr>
              <w:pStyle w:val="6"/>
              <w:spacing w:before="175" w:line="232" w:lineRule="auto"/>
              <w:ind w:left="56"/>
            </w:pPr>
            <w:r>
              <w:rPr>
                <w:spacing w:val="-2"/>
              </w:rPr>
              <w:t>0.050L</w:t>
            </w:r>
          </w:p>
        </w:tc>
        <w:tc>
          <w:tcPr>
            <w:tcW w:w="708" w:type="dxa"/>
            <w:vAlign w:val="top"/>
          </w:tcPr>
          <w:p w14:paraId="7DD83B5C">
            <w:pPr>
              <w:pStyle w:val="6"/>
              <w:spacing w:before="175" w:line="232" w:lineRule="auto"/>
              <w:ind w:left="58"/>
            </w:pPr>
            <w:r>
              <w:rPr>
                <w:spacing w:val="-2"/>
              </w:rPr>
              <w:t>0.001L</w:t>
            </w:r>
          </w:p>
        </w:tc>
        <w:tc>
          <w:tcPr>
            <w:tcW w:w="851" w:type="dxa"/>
            <w:vAlign w:val="top"/>
          </w:tcPr>
          <w:p w14:paraId="5B8FAFF8">
            <w:pPr>
              <w:pStyle w:val="6"/>
              <w:spacing w:before="175" w:line="232" w:lineRule="auto"/>
              <w:ind w:left="80"/>
            </w:pPr>
            <w:r>
              <w:rPr>
                <w:spacing w:val="-1"/>
              </w:rPr>
              <w:t>0.0005L</w:t>
            </w:r>
          </w:p>
        </w:tc>
        <w:tc>
          <w:tcPr>
            <w:tcW w:w="708" w:type="dxa"/>
            <w:vAlign w:val="top"/>
          </w:tcPr>
          <w:p w14:paraId="3B47A54E">
            <w:pPr>
              <w:pStyle w:val="6"/>
              <w:spacing w:before="175" w:line="232" w:lineRule="auto"/>
              <w:ind w:left="60"/>
            </w:pPr>
            <w:r>
              <w:rPr>
                <w:spacing w:val="-2"/>
              </w:rPr>
              <w:t>0.004L</w:t>
            </w:r>
          </w:p>
        </w:tc>
        <w:tc>
          <w:tcPr>
            <w:tcW w:w="851" w:type="dxa"/>
            <w:vAlign w:val="top"/>
          </w:tcPr>
          <w:p w14:paraId="78E7A0E5">
            <w:pPr>
              <w:pStyle w:val="6"/>
              <w:spacing w:before="175" w:line="232" w:lineRule="auto"/>
              <w:ind w:left="81"/>
            </w:pPr>
            <w:r>
              <w:rPr>
                <w:spacing w:val="-1"/>
              </w:rPr>
              <w:t>0.0025L</w:t>
            </w:r>
          </w:p>
        </w:tc>
        <w:tc>
          <w:tcPr>
            <w:tcW w:w="851" w:type="dxa"/>
            <w:vAlign w:val="top"/>
          </w:tcPr>
          <w:p w14:paraId="5FD04470">
            <w:pPr>
              <w:pStyle w:val="6"/>
              <w:spacing w:before="175" w:line="232" w:lineRule="auto"/>
              <w:ind w:left="82"/>
            </w:pPr>
            <w:r>
              <w:rPr>
                <w:spacing w:val="-1"/>
              </w:rPr>
              <w:t>0.0001L</w:t>
            </w:r>
          </w:p>
        </w:tc>
        <w:tc>
          <w:tcPr>
            <w:tcW w:w="847" w:type="dxa"/>
            <w:vAlign w:val="top"/>
          </w:tcPr>
          <w:p w14:paraId="2B1FB0CA">
            <w:pPr>
              <w:pStyle w:val="6"/>
              <w:spacing w:before="175" w:line="232" w:lineRule="auto"/>
              <w:ind w:left="80"/>
            </w:pPr>
            <w:r>
              <w:rPr>
                <w:spacing w:val="-1"/>
              </w:rPr>
              <w:t>0.0004L</w:t>
            </w:r>
          </w:p>
        </w:tc>
        <w:tc>
          <w:tcPr>
            <w:tcW w:w="708" w:type="dxa"/>
            <w:vAlign w:val="top"/>
          </w:tcPr>
          <w:p w14:paraId="2715B9ED">
            <w:pPr>
              <w:pStyle w:val="6"/>
              <w:spacing w:before="175" w:line="232" w:lineRule="auto"/>
              <w:ind w:left="64"/>
            </w:pPr>
            <w:r>
              <w:rPr>
                <w:spacing w:val="-2"/>
              </w:rPr>
              <w:t>0.002L</w:t>
            </w:r>
          </w:p>
        </w:tc>
        <w:tc>
          <w:tcPr>
            <w:tcW w:w="566" w:type="dxa"/>
            <w:vAlign w:val="top"/>
          </w:tcPr>
          <w:p w14:paraId="5CFFF8B6">
            <w:pPr>
              <w:pStyle w:val="6"/>
              <w:spacing w:before="175" w:line="232" w:lineRule="auto"/>
              <w:ind w:left="100"/>
            </w:pPr>
            <w:r>
              <w:rPr>
                <w:spacing w:val="-2"/>
              </w:rPr>
              <w:t>0.2L</w:t>
            </w:r>
          </w:p>
        </w:tc>
        <w:tc>
          <w:tcPr>
            <w:tcW w:w="428" w:type="dxa"/>
            <w:vAlign w:val="top"/>
          </w:tcPr>
          <w:p w14:paraId="79D703B9">
            <w:pPr>
              <w:pStyle w:val="6"/>
              <w:spacing w:before="175" w:line="232" w:lineRule="auto"/>
              <w:ind w:right="2"/>
              <w:jc w:val="right"/>
            </w:pPr>
            <w:r>
              <w:rPr>
                <w:spacing w:val="-2"/>
              </w:rPr>
              <w:t>0.5L</w:t>
            </w:r>
          </w:p>
        </w:tc>
        <w:tc>
          <w:tcPr>
            <w:tcW w:w="570" w:type="dxa"/>
            <w:vAlign w:val="top"/>
          </w:tcPr>
          <w:p w14:paraId="2E7F41E8">
            <w:pPr>
              <w:pStyle w:val="6"/>
              <w:spacing w:before="175" w:line="232" w:lineRule="auto"/>
              <w:ind w:left="262"/>
            </w:pPr>
            <w:r>
              <w:t>/</w:t>
            </w:r>
          </w:p>
        </w:tc>
        <w:tc>
          <w:tcPr>
            <w:tcW w:w="559" w:type="dxa"/>
            <w:gridSpan w:val="2"/>
            <w:tcBorders>
              <w:right w:val="single" w:color="000000" w:sz="12" w:space="0"/>
            </w:tcBorders>
            <w:vAlign w:val="top"/>
          </w:tcPr>
          <w:p w14:paraId="283D93E1">
            <w:pPr>
              <w:pStyle w:val="6"/>
              <w:spacing w:before="175" w:line="232" w:lineRule="auto"/>
              <w:ind w:left="180"/>
            </w:pPr>
            <w:r>
              <w:rPr>
                <w:spacing w:val="-2"/>
              </w:rPr>
              <w:t>90</w:t>
            </w:r>
          </w:p>
        </w:tc>
      </w:tr>
      <w:tr w14:paraId="42471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5CC679F7">
            <w:pPr>
              <w:rPr>
                <w:rFonts w:ascii="Arial"/>
                <w:sz w:val="21"/>
              </w:rPr>
            </w:pPr>
          </w:p>
        </w:tc>
        <w:tc>
          <w:tcPr>
            <w:tcW w:w="265" w:type="dxa"/>
            <w:vMerge w:val="restart"/>
            <w:tcBorders>
              <w:bottom w:val="nil"/>
            </w:tcBorders>
            <w:vAlign w:val="top"/>
          </w:tcPr>
          <w:p w14:paraId="120C3C27">
            <w:pPr>
              <w:spacing w:line="338" w:lineRule="auto"/>
              <w:rPr>
                <w:rFonts w:ascii="Arial"/>
                <w:sz w:val="21"/>
              </w:rPr>
            </w:pPr>
          </w:p>
          <w:p w14:paraId="6FD8D8AD">
            <w:pPr>
              <w:pStyle w:val="6"/>
              <w:spacing w:before="60" w:line="233" w:lineRule="auto"/>
              <w:ind w:left="14" w:right="38" w:firstLine="49"/>
              <w:jc w:val="both"/>
              <w:rPr>
                <w:rFonts w:ascii="等线" w:hAnsi="等线" w:eastAsia="等线" w:cs="等线"/>
              </w:rPr>
            </w:pPr>
            <w:r>
              <w:rPr>
                <w:spacing w:val="-5"/>
              </w:rPr>
              <w:t>2</w:t>
            </w:r>
            <w:r>
              <w:rPr>
                <w:rFonts w:ascii="等线" w:hAnsi="等线" w:eastAsia="等线" w:cs="等线"/>
                <w:spacing w:val="-8"/>
              </w:rPr>
              <w:t>季度</w:t>
            </w:r>
          </w:p>
        </w:tc>
        <w:tc>
          <w:tcPr>
            <w:tcW w:w="1014" w:type="dxa"/>
            <w:vAlign w:val="top"/>
          </w:tcPr>
          <w:p w14:paraId="0B6236E1">
            <w:pPr>
              <w:pStyle w:val="6"/>
              <w:spacing w:before="178" w:line="232" w:lineRule="auto"/>
              <w:ind w:left="65"/>
            </w:pPr>
            <w:r>
              <w:rPr>
                <w:spacing w:val="-1"/>
              </w:rPr>
              <w:t>2020/5/20</w:t>
            </w:r>
          </w:p>
        </w:tc>
        <w:tc>
          <w:tcPr>
            <w:tcW w:w="737" w:type="dxa"/>
            <w:vAlign w:val="top"/>
          </w:tcPr>
          <w:p w14:paraId="65C8F6D9">
            <w:pPr>
              <w:pStyle w:val="6"/>
              <w:spacing w:before="184" w:line="183" w:lineRule="auto"/>
              <w:ind w:left="243"/>
            </w:pPr>
            <w:r>
              <w:rPr>
                <w:spacing w:val="-3"/>
              </w:rPr>
              <w:t>5L</w:t>
            </w:r>
          </w:p>
        </w:tc>
        <w:tc>
          <w:tcPr>
            <w:tcW w:w="708" w:type="dxa"/>
            <w:vAlign w:val="top"/>
          </w:tcPr>
          <w:p w14:paraId="44D46216">
            <w:pPr>
              <w:pStyle w:val="6"/>
              <w:spacing w:before="178" w:line="232" w:lineRule="auto"/>
              <w:ind w:left="148"/>
            </w:pPr>
            <w:r>
              <w:rPr>
                <w:spacing w:val="-2"/>
              </w:rPr>
              <w:t>0.5L</w:t>
            </w:r>
          </w:p>
        </w:tc>
        <w:tc>
          <w:tcPr>
            <w:tcW w:w="851" w:type="dxa"/>
            <w:vAlign w:val="top"/>
          </w:tcPr>
          <w:p w14:paraId="236A7162">
            <w:pPr>
              <w:pStyle w:val="6"/>
              <w:spacing w:before="178" w:line="232" w:lineRule="auto"/>
              <w:ind w:left="233"/>
            </w:pPr>
            <w:r>
              <w:rPr>
                <w:spacing w:val="-2"/>
              </w:rPr>
              <w:t>7.81</w:t>
            </w:r>
          </w:p>
        </w:tc>
        <w:tc>
          <w:tcPr>
            <w:tcW w:w="708" w:type="dxa"/>
            <w:vAlign w:val="top"/>
          </w:tcPr>
          <w:p w14:paraId="4009E491">
            <w:pPr>
              <w:pStyle w:val="6"/>
              <w:spacing w:before="178" w:line="232" w:lineRule="auto"/>
              <w:ind w:left="109"/>
            </w:pPr>
            <w:r>
              <w:rPr>
                <w:spacing w:val="-2"/>
              </w:rPr>
              <w:t>0.090</w:t>
            </w:r>
          </w:p>
        </w:tc>
        <w:tc>
          <w:tcPr>
            <w:tcW w:w="842" w:type="dxa"/>
            <w:vAlign w:val="top"/>
          </w:tcPr>
          <w:p w14:paraId="3C496EB8">
            <w:pPr>
              <w:pStyle w:val="6"/>
              <w:spacing w:before="178" w:line="232" w:lineRule="auto"/>
              <w:ind w:left="126"/>
            </w:pPr>
            <w:r>
              <w:rPr>
                <w:spacing w:val="-2"/>
              </w:rPr>
              <w:t>0.0295</w:t>
            </w:r>
          </w:p>
        </w:tc>
        <w:tc>
          <w:tcPr>
            <w:tcW w:w="851" w:type="dxa"/>
            <w:vAlign w:val="top"/>
          </w:tcPr>
          <w:p w14:paraId="11565C3D">
            <w:pPr>
              <w:pStyle w:val="6"/>
              <w:spacing w:before="178" w:line="232" w:lineRule="auto"/>
              <w:ind w:left="131"/>
            </w:pPr>
            <w:r>
              <w:rPr>
                <w:spacing w:val="-2"/>
              </w:rPr>
              <w:t>0.0039</w:t>
            </w:r>
          </w:p>
        </w:tc>
        <w:tc>
          <w:tcPr>
            <w:tcW w:w="708" w:type="dxa"/>
            <w:vAlign w:val="top"/>
          </w:tcPr>
          <w:p w14:paraId="51072742">
            <w:pPr>
              <w:pStyle w:val="6"/>
              <w:spacing w:before="178" w:line="232" w:lineRule="auto"/>
              <w:ind w:left="48"/>
            </w:pPr>
            <w:r>
              <w:rPr>
                <w:spacing w:val="-2"/>
              </w:rPr>
              <w:t>0.009L</w:t>
            </w:r>
          </w:p>
        </w:tc>
        <w:tc>
          <w:tcPr>
            <w:tcW w:w="847" w:type="dxa"/>
            <w:vAlign w:val="top"/>
          </w:tcPr>
          <w:p w14:paraId="40F7815E">
            <w:pPr>
              <w:pStyle w:val="6"/>
              <w:spacing w:before="178" w:line="232" w:lineRule="auto"/>
              <w:ind w:left="119"/>
            </w:pPr>
            <w:r>
              <w:rPr>
                <w:spacing w:val="-2"/>
              </w:rPr>
              <w:t>0.001L</w:t>
            </w:r>
          </w:p>
        </w:tc>
        <w:tc>
          <w:tcPr>
            <w:tcW w:w="565" w:type="dxa"/>
            <w:vAlign w:val="top"/>
          </w:tcPr>
          <w:p w14:paraId="33B3D295">
            <w:pPr>
              <w:pStyle w:val="6"/>
              <w:spacing w:before="178" w:line="232" w:lineRule="auto"/>
              <w:ind w:left="102"/>
            </w:pPr>
            <w:r>
              <w:rPr>
                <w:spacing w:val="-6"/>
              </w:rPr>
              <w:t>1.0L</w:t>
            </w:r>
          </w:p>
        </w:tc>
        <w:tc>
          <w:tcPr>
            <w:tcW w:w="567" w:type="dxa"/>
            <w:vAlign w:val="top"/>
          </w:tcPr>
          <w:p w14:paraId="28063703">
            <w:pPr>
              <w:pStyle w:val="6"/>
              <w:spacing w:before="178" w:line="232" w:lineRule="auto"/>
              <w:ind w:left="153"/>
            </w:pPr>
            <w:r>
              <w:rPr>
                <w:spacing w:val="-4"/>
              </w:rPr>
              <w:t>5.1</w:t>
            </w:r>
          </w:p>
        </w:tc>
        <w:tc>
          <w:tcPr>
            <w:tcW w:w="851" w:type="dxa"/>
            <w:vAlign w:val="top"/>
          </w:tcPr>
          <w:p w14:paraId="79BF6290">
            <w:pPr>
              <w:pStyle w:val="6"/>
              <w:spacing w:before="178" w:line="232" w:lineRule="auto"/>
              <w:ind w:left="322"/>
            </w:pPr>
            <w:r>
              <w:rPr>
                <w:spacing w:val="-3"/>
              </w:rPr>
              <w:t>61</w:t>
            </w:r>
          </w:p>
        </w:tc>
        <w:tc>
          <w:tcPr>
            <w:tcW w:w="566" w:type="dxa"/>
            <w:vAlign w:val="top"/>
          </w:tcPr>
          <w:p w14:paraId="5887E58C">
            <w:pPr>
              <w:pStyle w:val="6"/>
              <w:spacing w:before="178" w:line="232" w:lineRule="auto"/>
              <w:ind w:left="180"/>
            </w:pPr>
            <w:r>
              <w:rPr>
                <w:spacing w:val="-3"/>
              </w:rPr>
              <w:t>34</w:t>
            </w:r>
          </w:p>
        </w:tc>
        <w:tc>
          <w:tcPr>
            <w:tcW w:w="567" w:type="dxa"/>
            <w:vAlign w:val="top"/>
          </w:tcPr>
          <w:p w14:paraId="5D1E2994">
            <w:pPr>
              <w:pStyle w:val="6"/>
              <w:spacing w:before="178" w:line="232" w:lineRule="auto"/>
              <w:ind w:left="98"/>
            </w:pPr>
            <w:r>
              <w:rPr>
                <w:spacing w:val="-1"/>
              </w:rPr>
              <w:t>2.32</w:t>
            </w:r>
          </w:p>
        </w:tc>
        <w:tc>
          <w:tcPr>
            <w:tcW w:w="851" w:type="dxa"/>
            <w:vAlign w:val="top"/>
          </w:tcPr>
          <w:p w14:paraId="031CAC27">
            <w:pPr>
              <w:pStyle w:val="6"/>
              <w:spacing w:before="178" w:line="232" w:lineRule="auto"/>
              <w:ind w:left="127"/>
            </w:pPr>
            <w:r>
              <w:rPr>
                <w:spacing w:val="-2"/>
              </w:rPr>
              <w:t>0.002L</w:t>
            </w:r>
          </w:p>
        </w:tc>
        <w:tc>
          <w:tcPr>
            <w:tcW w:w="707" w:type="dxa"/>
            <w:vAlign w:val="top"/>
          </w:tcPr>
          <w:p w14:paraId="400D98F8">
            <w:pPr>
              <w:pStyle w:val="6"/>
              <w:spacing w:before="178" w:line="232" w:lineRule="auto"/>
              <w:ind w:left="56"/>
            </w:pPr>
            <w:r>
              <w:rPr>
                <w:spacing w:val="-2"/>
              </w:rPr>
              <w:t>0.050L</w:t>
            </w:r>
          </w:p>
        </w:tc>
        <w:tc>
          <w:tcPr>
            <w:tcW w:w="708" w:type="dxa"/>
            <w:vAlign w:val="top"/>
          </w:tcPr>
          <w:p w14:paraId="029C44AE">
            <w:pPr>
              <w:pStyle w:val="6"/>
              <w:spacing w:before="178" w:line="232" w:lineRule="auto"/>
              <w:ind w:left="123"/>
            </w:pPr>
            <w:r>
              <w:rPr>
                <w:spacing w:val="-2"/>
              </w:rPr>
              <w:t>0.001</w:t>
            </w:r>
          </w:p>
        </w:tc>
        <w:tc>
          <w:tcPr>
            <w:tcW w:w="851" w:type="dxa"/>
            <w:vAlign w:val="top"/>
          </w:tcPr>
          <w:p w14:paraId="72AA43A8">
            <w:pPr>
              <w:pStyle w:val="6"/>
              <w:spacing w:before="178" w:line="232" w:lineRule="auto"/>
              <w:ind w:left="80"/>
            </w:pPr>
            <w:r>
              <w:rPr>
                <w:spacing w:val="-1"/>
              </w:rPr>
              <w:t>0.0005L</w:t>
            </w:r>
          </w:p>
        </w:tc>
        <w:tc>
          <w:tcPr>
            <w:tcW w:w="708" w:type="dxa"/>
            <w:vAlign w:val="top"/>
          </w:tcPr>
          <w:p w14:paraId="10FEDD83">
            <w:pPr>
              <w:pStyle w:val="6"/>
              <w:spacing w:before="178" w:line="232" w:lineRule="auto"/>
              <w:ind w:left="60"/>
            </w:pPr>
            <w:r>
              <w:rPr>
                <w:spacing w:val="-2"/>
              </w:rPr>
              <w:t>0.004L</w:t>
            </w:r>
          </w:p>
        </w:tc>
        <w:tc>
          <w:tcPr>
            <w:tcW w:w="851" w:type="dxa"/>
            <w:vAlign w:val="top"/>
          </w:tcPr>
          <w:p w14:paraId="1241E944">
            <w:pPr>
              <w:pStyle w:val="6"/>
              <w:spacing w:before="178" w:line="232" w:lineRule="auto"/>
              <w:ind w:left="81"/>
            </w:pPr>
            <w:r>
              <w:rPr>
                <w:spacing w:val="-1"/>
              </w:rPr>
              <w:t>0.0025L</w:t>
            </w:r>
          </w:p>
        </w:tc>
        <w:tc>
          <w:tcPr>
            <w:tcW w:w="851" w:type="dxa"/>
            <w:vAlign w:val="top"/>
          </w:tcPr>
          <w:p w14:paraId="0CD832DA">
            <w:pPr>
              <w:pStyle w:val="6"/>
              <w:spacing w:before="178" w:line="232" w:lineRule="auto"/>
              <w:ind w:left="145"/>
            </w:pPr>
            <w:r>
              <w:rPr>
                <w:spacing w:val="-2"/>
              </w:rPr>
              <w:t>0.0001</w:t>
            </w:r>
          </w:p>
        </w:tc>
        <w:tc>
          <w:tcPr>
            <w:tcW w:w="847" w:type="dxa"/>
            <w:vAlign w:val="top"/>
          </w:tcPr>
          <w:p w14:paraId="5F2CC8D6">
            <w:pPr>
              <w:pStyle w:val="6"/>
              <w:spacing w:before="178" w:line="232" w:lineRule="auto"/>
              <w:ind w:left="80"/>
            </w:pPr>
            <w:r>
              <w:rPr>
                <w:spacing w:val="-1"/>
              </w:rPr>
              <w:t>0.0004L</w:t>
            </w:r>
          </w:p>
        </w:tc>
        <w:tc>
          <w:tcPr>
            <w:tcW w:w="708" w:type="dxa"/>
            <w:vAlign w:val="top"/>
          </w:tcPr>
          <w:p w14:paraId="09C6ED5C">
            <w:pPr>
              <w:pStyle w:val="6"/>
              <w:spacing w:before="178" w:line="232" w:lineRule="auto"/>
              <w:ind w:left="64"/>
            </w:pPr>
            <w:r>
              <w:rPr>
                <w:spacing w:val="-2"/>
              </w:rPr>
              <w:t>0.002L</w:t>
            </w:r>
          </w:p>
        </w:tc>
        <w:tc>
          <w:tcPr>
            <w:tcW w:w="566" w:type="dxa"/>
            <w:vAlign w:val="top"/>
          </w:tcPr>
          <w:p w14:paraId="3F8189FC">
            <w:pPr>
              <w:pStyle w:val="6"/>
              <w:spacing w:before="178" w:line="232" w:lineRule="auto"/>
              <w:ind w:left="164"/>
            </w:pPr>
            <w:r>
              <w:rPr>
                <w:spacing w:val="-3"/>
              </w:rPr>
              <w:t>0.2</w:t>
            </w:r>
          </w:p>
        </w:tc>
        <w:tc>
          <w:tcPr>
            <w:tcW w:w="428" w:type="dxa"/>
            <w:vAlign w:val="top"/>
          </w:tcPr>
          <w:p w14:paraId="06839A18">
            <w:pPr>
              <w:pStyle w:val="6"/>
              <w:spacing w:before="178" w:line="232" w:lineRule="auto"/>
              <w:ind w:right="2"/>
              <w:jc w:val="right"/>
            </w:pPr>
            <w:r>
              <w:rPr>
                <w:spacing w:val="-2"/>
              </w:rPr>
              <w:t>0.5L</w:t>
            </w:r>
          </w:p>
        </w:tc>
        <w:tc>
          <w:tcPr>
            <w:tcW w:w="570" w:type="dxa"/>
            <w:vAlign w:val="top"/>
          </w:tcPr>
          <w:p w14:paraId="62E3F7EA">
            <w:pPr>
              <w:pStyle w:val="6"/>
              <w:spacing w:before="182" w:line="229" w:lineRule="auto"/>
              <w:ind w:left="138"/>
            </w:pPr>
            <w:r>
              <w:rPr>
                <w:b/>
                <w:bCs/>
                <w:spacing w:val="-2"/>
              </w:rPr>
              <w:t>240</w:t>
            </w:r>
          </w:p>
        </w:tc>
        <w:tc>
          <w:tcPr>
            <w:tcW w:w="559" w:type="dxa"/>
            <w:gridSpan w:val="2"/>
            <w:tcBorders>
              <w:right w:val="single" w:color="000000" w:sz="12" w:space="0"/>
            </w:tcBorders>
            <w:vAlign w:val="top"/>
          </w:tcPr>
          <w:p w14:paraId="08F8DA48">
            <w:pPr>
              <w:pStyle w:val="6"/>
              <w:spacing w:before="178" w:line="232" w:lineRule="auto"/>
              <w:ind w:left="180"/>
            </w:pPr>
            <w:r>
              <w:rPr>
                <w:spacing w:val="-2"/>
              </w:rPr>
              <w:t>90</w:t>
            </w:r>
          </w:p>
        </w:tc>
      </w:tr>
      <w:tr w14:paraId="6353D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5DFB30BC">
            <w:pPr>
              <w:rPr>
                <w:rFonts w:ascii="Arial"/>
                <w:sz w:val="21"/>
              </w:rPr>
            </w:pPr>
          </w:p>
        </w:tc>
        <w:tc>
          <w:tcPr>
            <w:tcW w:w="265" w:type="dxa"/>
            <w:vMerge w:val="continue"/>
            <w:tcBorders>
              <w:top w:val="nil"/>
              <w:bottom w:val="nil"/>
            </w:tcBorders>
            <w:vAlign w:val="top"/>
          </w:tcPr>
          <w:p w14:paraId="162D3F98">
            <w:pPr>
              <w:rPr>
                <w:rFonts w:ascii="Arial"/>
                <w:sz w:val="21"/>
              </w:rPr>
            </w:pPr>
          </w:p>
        </w:tc>
        <w:tc>
          <w:tcPr>
            <w:tcW w:w="1014" w:type="dxa"/>
            <w:vAlign w:val="top"/>
          </w:tcPr>
          <w:p w14:paraId="36A3714A">
            <w:pPr>
              <w:pStyle w:val="6"/>
              <w:spacing w:before="178" w:line="232" w:lineRule="auto"/>
              <w:ind w:left="65"/>
            </w:pPr>
            <w:r>
              <w:rPr>
                <w:spacing w:val="-1"/>
              </w:rPr>
              <w:t>2020/5/21</w:t>
            </w:r>
          </w:p>
        </w:tc>
        <w:tc>
          <w:tcPr>
            <w:tcW w:w="737" w:type="dxa"/>
            <w:vAlign w:val="top"/>
          </w:tcPr>
          <w:p w14:paraId="3BE313F3">
            <w:pPr>
              <w:pStyle w:val="6"/>
              <w:spacing w:before="185" w:line="183" w:lineRule="auto"/>
              <w:ind w:left="243"/>
            </w:pPr>
            <w:r>
              <w:rPr>
                <w:spacing w:val="-3"/>
              </w:rPr>
              <w:t>5L</w:t>
            </w:r>
          </w:p>
        </w:tc>
        <w:tc>
          <w:tcPr>
            <w:tcW w:w="708" w:type="dxa"/>
            <w:vAlign w:val="top"/>
          </w:tcPr>
          <w:p w14:paraId="00F5FD51">
            <w:pPr>
              <w:pStyle w:val="6"/>
              <w:spacing w:before="178" w:line="232" w:lineRule="auto"/>
              <w:ind w:left="148"/>
            </w:pPr>
            <w:r>
              <w:rPr>
                <w:spacing w:val="-2"/>
              </w:rPr>
              <w:t>0.5L</w:t>
            </w:r>
          </w:p>
        </w:tc>
        <w:tc>
          <w:tcPr>
            <w:tcW w:w="851" w:type="dxa"/>
            <w:vAlign w:val="top"/>
          </w:tcPr>
          <w:p w14:paraId="3A5D0CA2">
            <w:pPr>
              <w:pStyle w:val="6"/>
              <w:spacing w:before="178" w:line="232" w:lineRule="auto"/>
              <w:ind w:left="233"/>
            </w:pPr>
            <w:r>
              <w:rPr>
                <w:spacing w:val="-2"/>
              </w:rPr>
              <w:t>7.79</w:t>
            </w:r>
          </w:p>
        </w:tc>
        <w:tc>
          <w:tcPr>
            <w:tcW w:w="708" w:type="dxa"/>
            <w:vAlign w:val="top"/>
          </w:tcPr>
          <w:p w14:paraId="648FE084">
            <w:pPr>
              <w:pStyle w:val="6"/>
              <w:spacing w:before="178" w:line="232" w:lineRule="auto"/>
              <w:ind w:left="109"/>
            </w:pPr>
            <w:r>
              <w:rPr>
                <w:spacing w:val="-2"/>
              </w:rPr>
              <w:t>0.088</w:t>
            </w:r>
          </w:p>
        </w:tc>
        <w:tc>
          <w:tcPr>
            <w:tcW w:w="842" w:type="dxa"/>
            <w:vAlign w:val="top"/>
          </w:tcPr>
          <w:p w14:paraId="726A2E87">
            <w:pPr>
              <w:pStyle w:val="6"/>
              <w:spacing w:before="178" w:line="232" w:lineRule="auto"/>
              <w:ind w:left="126"/>
            </w:pPr>
            <w:r>
              <w:rPr>
                <w:spacing w:val="-2"/>
              </w:rPr>
              <w:t>0.0316</w:t>
            </w:r>
          </w:p>
        </w:tc>
        <w:tc>
          <w:tcPr>
            <w:tcW w:w="851" w:type="dxa"/>
            <w:vAlign w:val="top"/>
          </w:tcPr>
          <w:p w14:paraId="1EBE9158">
            <w:pPr>
              <w:pStyle w:val="6"/>
              <w:spacing w:before="178" w:line="232" w:lineRule="auto"/>
              <w:ind w:left="131"/>
            </w:pPr>
            <w:r>
              <w:rPr>
                <w:spacing w:val="-2"/>
              </w:rPr>
              <w:t>0.0041</w:t>
            </w:r>
          </w:p>
        </w:tc>
        <w:tc>
          <w:tcPr>
            <w:tcW w:w="708" w:type="dxa"/>
            <w:vAlign w:val="top"/>
          </w:tcPr>
          <w:p w14:paraId="7E05AE8D">
            <w:pPr>
              <w:pStyle w:val="6"/>
              <w:spacing w:before="178" w:line="232" w:lineRule="auto"/>
              <w:ind w:left="48"/>
            </w:pPr>
            <w:r>
              <w:rPr>
                <w:spacing w:val="-2"/>
              </w:rPr>
              <w:t>0.009L</w:t>
            </w:r>
          </w:p>
        </w:tc>
        <w:tc>
          <w:tcPr>
            <w:tcW w:w="847" w:type="dxa"/>
            <w:vAlign w:val="top"/>
          </w:tcPr>
          <w:p w14:paraId="48FC8D65">
            <w:pPr>
              <w:pStyle w:val="6"/>
              <w:spacing w:before="178" w:line="232" w:lineRule="auto"/>
              <w:ind w:left="119"/>
            </w:pPr>
            <w:r>
              <w:rPr>
                <w:spacing w:val="-2"/>
              </w:rPr>
              <w:t>0.001L</w:t>
            </w:r>
          </w:p>
        </w:tc>
        <w:tc>
          <w:tcPr>
            <w:tcW w:w="565" w:type="dxa"/>
            <w:vAlign w:val="top"/>
          </w:tcPr>
          <w:p w14:paraId="4B128B62">
            <w:pPr>
              <w:pStyle w:val="6"/>
              <w:spacing w:before="178" w:line="232" w:lineRule="auto"/>
              <w:ind w:left="102"/>
            </w:pPr>
            <w:r>
              <w:rPr>
                <w:spacing w:val="-6"/>
              </w:rPr>
              <w:t>1.0L</w:t>
            </w:r>
          </w:p>
        </w:tc>
        <w:tc>
          <w:tcPr>
            <w:tcW w:w="567" w:type="dxa"/>
            <w:vAlign w:val="top"/>
          </w:tcPr>
          <w:p w14:paraId="223F4B01">
            <w:pPr>
              <w:pStyle w:val="6"/>
              <w:spacing w:before="178" w:line="232" w:lineRule="auto"/>
              <w:ind w:left="153"/>
            </w:pPr>
            <w:r>
              <w:rPr>
                <w:spacing w:val="-4"/>
              </w:rPr>
              <w:t>5.3</w:t>
            </w:r>
          </w:p>
        </w:tc>
        <w:tc>
          <w:tcPr>
            <w:tcW w:w="851" w:type="dxa"/>
            <w:vAlign w:val="top"/>
          </w:tcPr>
          <w:p w14:paraId="741266F6">
            <w:pPr>
              <w:pStyle w:val="6"/>
              <w:spacing w:before="178" w:line="232" w:lineRule="auto"/>
              <w:ind w:left="323"/>
            </w:pPr>
            <w:r>
              <w:rPr>
                <w:spacing w:val="-3"/>
              </w:rPr>
              <w:t>55</w:t>
            </w:r>
          </w:p>
        </w:tc>
        <w:tc>
          <w:tcPr>
            <w:tcW w:w="566" w:type="dxa"/>
            <w:vAlign w:val="top"/>
          </w:tcPr>
          <w:p w14:paraId="064E2590">
            <w:pPr>
              <w:pStyle w:val="6"/>
              <w:spacing w:before="178" w:line="232" w:lineRule="auto"/>
              <w:ind w:left="175"/>
            </w:pPr>
            <w:r>
              <w:rPr>
                <w:spacing w:val="-1"/>
              </w:rPr>
              <w:t>47</w:t>
            </w:r>
          </w:p>
        </w:tc>
        <w:tc>
          <w:tcPr>
            <w:tcW w:w="567" w:type="dxa"/>
            <w:vAlign w:val="top"/>
          </w:tcPr>
          <w:p w14:paraId="4C722B35">
            <w:pPr>
              <w:pStyle w:val="6"/>
              <w:spacing w:before="178" w:line="232" w:lineRule="auto"/>
              <w:ind w:left="98"/>
            </w:pPr>
            <w:r>
              <w:rPr>
                <w:spacing w:val="-1"/>
              </w:rPr>
              <w:t>2.26</w:t>
            </w:r>
          </w:p>
        </w:tc>
        <w:tc>
          <w:tcPr>
            <w:tcW w:w="851" w:type="dxa"/>
            <w:vAlign w:val="top"/>
          </w:tcPr>
          <w:p w14:paraId="3519E448">
            <w:pPr>
              <w:pStyle w:val="6"/>
              <w:spacing w:before="178" w:line="232" w:lineRule="auto"/>
              <w:ind w:left="127"/>
            </w:pPr>
            <w:r>
              <w:rPr>
                <w:spacing w:val="-2"/>
              </w:rPr>
              <w:t>0.002L</w:t>
            </w:r>
          </w:p>
        </w:tc>
        <w:tc>
          <w:tcPr>
            <w:tcW w:w="707" w:type="dxa"/>
            <w:vAlign w:val="top"/>
          </w:tcPr>
          <w:p w14:paraId="5253F0BE">
            <w:pPr>
              <w:pStyle w:val="6"/>
              <w:spacing w:before="178" w:line="232" w:lineRule="auto"/>
              <w:ind w:left="56"/>
            </w:pPr>
            <w:r>
              <w:rPr>
                <w:spacing w:val="-2"/>
              </w:rPr>
              <w:t>0.050L</w:t>
            </w:r>
          </w:p>
        </w:tc>
        <w:tc>
          <w:tcPr>
            <w:tcW w:w="708" w:type="dxa"/>
            <w:vAlign w:val="top"/>
          </w:tcPr>
          <w:p w14:paraId="30909865">
            <w:pPr>
              <w:pStyle w:val="6"/>
              <w:spacing w:before="178" w:line="232" w:lineRule="auto"/>
              <w:ind w:left="123"/>
            </w:pPr>
            <w:r>
              <w:rPr>
                <w:spacing w:val="-2"/>
              </w:rPr>
              <w:t>0.001</w:t>
            </w:r>
          </w:p>
        </w:tc>
        <w:tc>
          <w:tcPr>
            <w:tcW w:w="851" w:type="dxa"/>
            <w:vAlign w:val="top"/>
          </w:tcPr>
          <w:p w14:paraId="300C3956">
            <w:pPr>
              <w:pStyle w:val="6"/>
              <w:spacing w:before="178" w:line="232" w:lineRule="auto"/>
              <w:ind w:left="80"/>
            </w:pPr>
            <w:r>
              <w:rPr>
                <w:spacing w:val="-1"/>
              </w:rPr>
              <w:t>0.0005L</w:t>
            </w:r>
          </w:p>
        </w:tc>
        <w:tc>
          <w:tcPr>
            <w:tcW w:w="708" w:type="dxa"/>
            <w:vAlign w:val="top"/>
          </w:tcPr>
          <w:p w14:paraId="709525A6">
            <w:pPr>
              <w:pStyle w:val="6"/>
              <w:spacing w:before="178" w:line="232" w:lineRule="auto"/>
              <w:ind w:left="60"/>
            </w:pPr>
            <w:r>
              <w:rPr>
                <w:spacing w:val="-2"/>
              </w:rPr>
              <w:t>0.004L</w:t>
            </w:r>
          </w:p>
        </w:tc>
        <w:tc>
          <w:tcPr>
            <w:tcW w:w="851" w:type="dxa"/>
            <w:vAlign w:val="top"/>
          </w:tcPr>
          <w:p w14:paraId="67C1CD75">
            <w:pPr>
              <w:pStyle w:val="6"/>
              <w:spacing w:before="178" w:line="232" w:lineRule="auto"/>
              <w:ind w:left="81"/>
            </w:pPr>
            <w:r>
              <w:rPr>
                <w:spacing w:val="-1"/>
              </w:rPr>
              <w:t>0.0025L</w:t>
            </w:r>
          </w:p>
        </w:tc>
        <w:tc>
          <w:tcPr>
            <w:tcW w:w="851" w:type="dxa"/>
            <w:vAlign w:val="top"/>
          </w:tcPr>
          <w:p w14:paraId="4661EC03">
            <w:pPr>
              <w:pStyle w:val="6"/>
              <w:spacing w:before="178" w:line="232" w:lineRule="auto"/>
              <w:ind w:left="145"/>
            </w:pPr>
            <w:r>
              <w:rPr>
                <w:spacing w:val="-2"/>
              </w:rPr>
              <w:t>0.0001</w:t>
            </w:r>
          </w:p>
        </w:tc>
        <w:tc>
          <w:tcPr>
            <w:tcW w:w="847" w:type="dxa"/>
            <w:vAlign w:val="top"/>
          </w:tcPr>
          <w:p w14:paraId="72DE2EAD">
            <w:pPr>
              <w:pStyle w:val="6"/>
              <w:spacing w:before="178" w:line="232" w:lineRule="auto"/>
              <w:ind w:left="80"/>
            </w:pPr>
            <w:r>
              <w:rPr>
                <w:spacing w:val="-1"/>
              </w:rPr>
              <w:t>0.0004L</w:t>
            </w:r>
          </w:p>
        </w:tc>
        <w:tc>
          <w:tcPr>
            <w:tcW w:w="708" w:type="dxa"/>
            <w:vAlign w:val="top"/>
          </w:tcPr>
          <w:p w14:paraId="10EA3A44">
            <w:pPr>
              <w:pStyle w:val="6"/>
              <w:spacing w:before="178" w:line="232" w:lineRule="auto"/>
              <w:ind w:left="64"/>
            </w:pPr>
            <w:r>
              <w:rPr>
                <w:spacing w:val="-2"/>
              </w:rPr>
              <w:t>0.002L</w:t>
            </w:r>
          </w:p>
        </w:tc>
        <w:tc>
          <w:tcPr>
            <w:tcW w:w="566" w:type="dxa"/>
            <w:vAlign w:val="top"/>
          </w:tcPr>
          <w:p w14:paraId="74403901">
            <w:pPr>
              <w:pStyle w:val="6"/>
              <w:spacing w:before="178" w:line="232" w:lineRule="auto"/>
              <w:ind w:left="164"/>
            </w:pPr>
            <w:r>
              <w:rPr>
                <w:spacing w:val="-3"/>
              </w:rPr>
              <w:t>0.3</w:t>
            </w:r>
          </w:p>
        </w:tc>
        <w:tc>
          <w:tcPr>
            <w:tcW w:w="428" w:type="dxa"/>
            <w:vAlign w:val="top"/>
          </w:tcPr>
          <w:p w14:paraId="688F31BA">
            <w:pPr>
              <w:pStyle w:val="6"/>
              <w:spacing w:before="178" w:line="232" w:lineRule="auto"/>
              <w:ind w:right="2"/>
              <w:jc w:val="right"/>
            </w:pPr>
            <w:r>
              <w:rPr>
                <w:spacing w:val="-2"/>
              </w:rPr>
              <w:t>0.5L</w:t>
            </w:r>
          </w:p>
        </w:tc>
        <w:tc>
          <w:tcPr>
            <w:tcW w:w="570" w:type="dxa"/>
            <w:vAlign w:val="top"/>
          </w:tcPr>
          <w:p w14:paraId="0CA542DC">
            <w:pPr>
              <w:pStyle w:val="6"/>
              <w:spacing w:before="182" w:line="229" w:lineRule="auto"/>
              <w:ind w:left="138"/>
            </w:pPr>
            <w:r>
              <w:rPr>
                <w:b/>
                <w:bCs/>
                <w:spacing w:val="-2"/>
              </w:rPr>
              <w:t>230</w:t>
            </w:r>
          </w:p>
        </w:tc>
        <w:tc>
          <w:tcPr>
            <w:tcW w:w="559" w:type="dxa"/>
            <w:gridSpan w:val="2"/>
            <w:tcBorders>
              <w:right w:val="single" w:color="000000" w:sz="12" w:space="0"/>
            </w:tcBorders>
            <w:vAlign w:val="top"/>
          </w:tcPr>
          <w:p w14:paraId="3CDACA4E">
            <w:pPr>
              <w:pStyle w:val="6"/>
              <w:spacing w:before="178" w:line="232" w:lineRule="auto"/>
              <w:ind w:left="180"/>
            </w:pPr>
            <w:r>
              <w:rPr>
                <w:spacing w:val="-2"/>
              </w:rPr>
              <w:t>95</w:t>
            </w:r>
          </w:p>
        </w:tc>
      </w:tr>
      <w:tr w14:paraId="69A93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31" w:type="dxa"/>
            <w:vMerge w:val="continue"/>
            <w:tcBorders>
              <w:top w:val="nil"/>
              <w:left w:val="single" w:color="000000" w:sz="12" w:space="0"/>
              <w:bottom w:val="nil"/>
            </w:tcBorders>
            <w:vAlign w:val="top"/>
          </w:tcPr>
          <w:p w14:paraId="0CD453C2">
            <w:pPr>
              <w:rPr>
                <w:rFonts w:ascii="Arial"/>
                <w:sz w:val="21"/>
              </w:rPr>
            </w:pPr>
          </w:p>
        </w:tc>
        <w:tc>
          <w:tcPr>
            <w:tcW w:w="265" w:type="dxa"/>
            <w:vMerge w:val="continue"/>
            <w:tcBorders>
              <w:top w:val="nil"/>
            </w:tcBorders>
            <w:vAlign w:val="top"/>
          </w:tcPr>
          <w:p w14:paraId="14223EAD">
            <w:pPr>
              <w:rPr>
                <w:rFonts w:ascii="Arial"/>
                <w:sz w:val="21"/>
              </w:rPr>
            </w:pPr>
          </w:p>
        </w:tc>
        <w:tc>
          <w:tcPr>
            <w:tcW w:w="1014" w:type="dxa"/>
            <w:vAlign w:val="top"/>
          </w:tcPr>
          <w:p w14:paraId="6FBBB3C8">
            <w:pPr>
              <w:pStyle w:val="6"/>
              <w:spacing w:before="179" w:line="232" w:lineRule="auto"/>
              <w:ind w:left="65"/>
            </w:pPr>
            <w:r>
              <w:rPr>
                <w:spacing w:val="-1"/>
              </w:rPr>
              <w:t>2020/5/22</w:t>
            </w:r>
          </w:p>
        </w:tc>
        <w:tc>
          <w:tcPr>
            <w:tcW w:w="737" w:type="dxa"/>
            <w:vAlign w:val="top"/>
          </w:tcPr>
          <w:p w14:paraId="557915ED">
            <w:pPr>
              <w:pStyle w:val="6"/>
              <w:spacing w:before="186" w:line="183" w:lineRule="auto"/>
              <w:ind w:left="243"/>
            </w:pPr>
            <w:r>
              <w:rPr>
                <w:spacing w:val="-3"/>
              </w:rPr>
              <w:t>5L</w:t>
            </w:r>
          </w:p>
        </w:tc>
        <w:tc>
          <w:tcPr>
            <w:tcW w:w="708" w:type="dxa"/>
            <w:vAlign w:val="top"/>
          </w:tcPr>
          <w:p w14:paraId="3F5DC1E9">
            <w:pPr>
              <w:pStyle w:val="6"/>
              <w:spacing w:before="179" w:line="232" w:lineRule="auto"/>
              <w:ind w:left="148"/>
            </w:pPr>
            <w:r>
              <w:rPr>
                <w:spacing w:val="-2"/>
              </w:rPr>
              <w:t>0.5L</w:t>
            </w:r>
          </w:p>
        </w:tc>
        <w:tc>
          <w:tcPr>
            <w:tcW w:w="851" w:type="dxa"/>
            <w:vAlign w:val="top"/>
          </w:tcPr>
          <w:p w14:paraId="20E035AA">
            <w:pPr>
              <w:pStyle w:val="6"/>
              <w:spacing w:before="179" w:line="232" w:lineRule="auto"/>
              <w:ind w:left="233"/>
            </w:pPr>
            <w:r>
              <w:rPr>
                <w:spacing w:val="-2"/>
              </w:rPr>
              <w:t>7.86</w:t>
            </w:r>
          </w:p>
        </w:tc>
        <w:tc>
          <w:tcPr>
            <w:tcW w:w="708" w:type="dxa"/>
            <w:vAlign w:val="top"/>
          </w:tcPr>
          <w:p w14:paraId="12E4A94C">
            <w:pPr>
              <w:pStyle w:val="6"/>
              <w:spacing w:before="179" w:line="232" w:lineRule="auto"/>
              <w:ind w:left="109"/>
            </w:pPr>
            <w:r>
              <w:rPr>
                <w:spacing w:val="-2"/>
              </w:rPr>
              <w:t>0.089</w:t>
            </w:r>
          </w:p>
        </w:tc>
        <w:tc>
          <w:tcPr>
            <w:tcW w:w="842" w:type="dxa"/>
            <w:vAlign w:val="top"/>
          </w:tcPr>
          <w:p w14:paraId="660CFB17">
            <w:pPr>
              <w:pStyle w:val="6"/>
              <w:spacing w:before="179" w:line="232" w:lineRule="auto"/>
              <w:ind w:left="126"/>
            </w:pPr>
            <w:r>
              <w:rPr>
                <w:spacing w:val="-2"/>
              </w:rPr>
              <w:t>0.0305</w:t>
            </w:r>
          </w:p>
        </w:tc>
        <w:tc>
          <w:tcPr>
            <w:tcW w:w="851" w:type="dxa"/>
            <w:vAlign w:val="top"/>
          </w:tcPr>
          <w:p w14:paraId="3763ADB4">
            <w:pPr>
              <w:pStyle w:val="6"/>
              <w:spacing w:before="179" w:line="232" w:lineRule="auto"/>
              <w:ind w:left="131"/>
            </w:pPr>
            <w:r>
              <w:rPr>
                <w:spacing w:val="-2"/>
              </w:rPr>
              <w:t>0.0033</w:t>
            </w:r>
          </w:p>
        </w:tc>
        <w:tc>
          <w:tcPr>
            <w:tcW w:w="708" w:type="dxa"/>
            <w:vAlign w:val="top"/>
          </w:tcPr>
          <w:p w14:paraId="37BB6FE8">
            <w:pPr>
              <w:pStyle w:val="6"/>
              <w:spacing w:before="179" w:line="232" w:lineRule="auto"/>
              <w:ind w:left="48"/>
            </w:pPr>
            <w:r>
              <w:rPr>
                <w:spacing w:val="-2"/>
              </w:rPr>
              <w:t>0.009L</w:t>
            </w:r>
          </w:p>
        </w:tc>
        <w:tc>
          <w:tcPr>
            <w:tcW w:w="847" w:type="dxa"/>
            <w:vAlign w:val="top"/>
          </w:tcPr>
          <w:p w14:paraId="360AACEA">
            <w:pPr>
              <w:pStyle w:val="6"/>
              <w:spacing w:before="179" w:line="232" w:lineRule="auto"/>
              <w:ind w:left="119"/>
            </w:pPr>
            <w:r>
              <w:rPr>
                <w:spacing w:val="-2"/>
              </w:rPr>
              <w:t>0.001L</w:t>
            </w:r>
          </w:p>
        </w:tc>
        <w:tc>
          <w:tcPr>
            <w:tcW w:w="565" w:type="dxa"/>
            <w:vAlign w:val="top"/>
          </w:tcPr>
          <w:p w14:paraId="0B4AD9B5">
            <w:pPr>
              <w:pStyle w:val="6"/>
              <w:spacing w:before="179" w:line="232" w:lineRule="auto"/>
              <w:ind w:left="102"/>
            </w:pPr>
            <w:r>
              <w:rPr>
                <w:spacing w:val="-6"/>
              </w:rPr>
              <w:t>1.0L</w:t>
            </w:r>
          </w:p>
        </w:tc>
        <w:tc>
          <w:tcPr>
            <w:tcW w:w="567" w:type="dxa"/>
            <w:vAlign w:val="top"/>
          </w:tcPr>
          <w:p w14:paraId="30281343">
            <w:pPr>
              <w:pStyle w:val="6"/>
              <w:spacing w:before="179" w:line="232" w:lineRule="auto"/>
              <w:ind w:left="153"/>
            </w:pPr>
            <w:r>
              <w:rPr>
                <w:spacing w:val="-4"/>
              </w:rPr>
              <w:t>5.5</w:t>
            </w:r>
          </w:p>
        </w:tc>
        <w:tc>
          <w:tcPr>
            <w:tcW w:w="851" w:type="dxa"/>
            <w:vAlign w:val="top"/>
          </w:tcPr>
          <w:p w14:paraId="6D16848B">
            <w:pPr>
              <w:pStyle w:val="6"/>
              <w:spacing w:before="179" w:line="232" w:lineRule="auto"/>
              <w:ind w:left="323"/>
            </w:pPr>
            <w:r>
              <w:rPr>
                <w:spacing w:val="-3"/>
              </w:rPr>
              <w:t>57</w:t>
            </w:r>
          </w:p>
        </w:tc>
        <w:tc>
          <w:tcPr>
            <w:tcW w:w="566" w:type="dxa"/>
            <w:vAlign w:val="top"/>
          </w:tcPr>
          <w:p w14:paraId="6AEC5068">
            <w:pPr>
              <w:pStyle w:val="6"/>
              <w:spacing w:before="180" w:line="232" w:lineRule="auto"/>
              <w:ind w:left="180"/>
            </w:pPr>
            <w:r>
              <w:rPr>
                <w:spacing w:val="-3"/>
              </w:rPr>
              <w:t>38</w:t>
            </w:r>
          </w:p>
        </w:tc>
        <w:tc>
          <w:tcPr>
            <w:tcW w:w="567" w:type="dxa"/>
            <w:vAlign w:val="top"/>
          </w:tcPr>
          <w:p w14:paraId="5BE9C525">
            <w:pPr>
              <w:pStyle w:val="6"/>
              <w:spacing w:before="179" w:line="232" w:lineRule="auto"/>
              <w:ind w:left="98"/>
            </w:pPr>
            <w:r>
              <w:rPr>
                <w:spacing w:val="-1"/>
              </w:rPr>
              <w:t>2.36</w:t>
            </w:r>
          </w:p>
        </w:tc>
        <w:tc>
          <w:tcPr>
            <w:tcW w:w="851" w:type="dxa"/>
            <w:vAlign w:val="top"/>
          </w:tcPr>
          <w:p w14:paraId="47175D15">
            <w:pPr>
              <w:pStyle w:val="6"/>
              <w:spacing w:before="179" w:line="232" w:lineRule="auto"/>
              <w:ind w:left="127"/>
            </w:pPr>
            <w:r>
              <w:rPr>
                <w:spacing w:val="-2"/>
              </w:rPr>
              <w:t>0.002L</w:t>
            </w:r>
          </w:p>
        </w:tc>
        <w:tc>
          <w:tcPr>
            <w:tcW w:w="707" w:type="dxa"/>
            <w:vAlign w:val="top"/>
          </w:tcPr>
          <w:p w14:paraId="30D129CE">
            <w:pPr>
              <w:pStyle w:val="6"/>
              <w:spacing w:before="179" w:line="232" w:lineRule="auto"/>
              <w:ind w:left="56"/>
            </w:pPr>
            <w:r>
              <w:rPr>
                <w:spacing w:val="-2"/>
              </w:rPr>
              <w:t>0.050L</w:t>
            </w:r>
          </w:p>
        </w:tc>
        <w:tc>
          <w:tcPr>
            <w:tcW w:w="708" w:type="dxa"/>
            <w:vAlign w:val="top"/>
          </w:tcPr>
          <w:p w14:paraId="63EE9E41">
            <w:pPr>
              <w:pStyle w:val="6"/>
              <w:spacing w:before="179" w:line="232" w:lineRule="auto"/>
              <w:ind w:left="123"/>
            </w:pPr>
            <w:r>
              <w:rPr>
                <w:spacing w:val="-2"/>
              </w:rPr>
              <w:t>0.001</w:t>
            </w:r>
          </w:p>
        </w:tc>
        <w:tc>
          <w:tcPr>
            <w:tcW w:w="851" w:type="dxa"/>
            <w:vAlign w:val="top"/>
          </w:tcPr>
          <w:p w14:paraId="367BA324">
            <w:pPr>
              <w:pStyle w:val="6"/>
              <w:spacing w:before="179" w:line="232" w:lineRule="auto"/>
              <w:ind w:left="80"/>
            </w:pPr>
            <w:r>
              <w:rPr>
                <w:spacing w:val="-1"/>
              </w:rPr>
              <w:t>0.0005L</w:t>
            </w:r>
          </w:p>
        </w:tc>
        <w:tc>
          <w:tcPr>
            <w:tcW w:w="708" w:type="dxa"/>
            <w:vAlign w:val="top"/>
          </w:tcPr>
          <w:p w14:paraId="447A2DDF">
            <w:pPr>
              <w:pStyle w:val="6"/>
              <w:spacing w:before="179" w:line="232" w:lineRule="auto"/>
              <w:ind w:left="60"/>
            </w:pPr>
            <w:r>
              <w:rPr>
                <w:spacing w:val="-2"/>
              </w:rPr>
              <w:t>0.004L</w:t>
            </w:r>
          </w:p>
        </w:tc>
        <w:tc>
          <w:tcPr>
            <w:tcW w:w="851" w:type="dxa"/>
            <w:vAlign w:val="top"/>
          </w:tcPr>
          <w:p w14:paraId="616A5F48">
            <w:pPr>
              <w:pStyle w:val="6"/>
              <w:spacing w:before="179" w:line="232" w:lineRule="auto"/>
              <w:ind w:left="81"/>
            </w:pPr>
            <w:r>
              <w:rPr>
                <w:spacing w:val="-1"/>
              </w:rPr>
              <w:t>0.0025L</w:t>
            </w:r>
          </w:p>
        </w:tc>
        <w:tc>
          <w:tcPr>
            <w:tcW w:w="851" w:type="dxa"/>
            <w:vAlign w:val="top"/>
          </w:tcPr>
          <w:p w14:paraId="67635646">
            <w:pPr>
              <w:pStyle w:val="6"/>
              <w:spacing w:before="179" w:line="232" w:lineRule="auto"/>
              <w:ind w:left="145"/>
            </w:pPr>
            <w:r>
              <w:rPr>
                <w:spacing w:val="-2"/>
              </w:rPr>
              <w:t>0.0001</w:t>
            </w:r>
          </w:p>
        </w:tc>
        <w:tc>
          <w:tcPr>
            <w:tcW w:w="847" w:type="dxa"/>
            <w:vAlign w:val="top"/>
          </w:tcPr>
          <w:p w14:paraId="7DCEE415">
            <w:pPr>
              <w:pStyle w:val="6"/>
              <w:spacing w:before="179" w:line="232" w:lineRule="auto"/>
              <w:ind w:left="80"/>
            </w:pPr>
            <w:r>
              <w:rPr>
                <w:spacing w:val="-1"/>
              </w:rPr>
              <w:t>0.0004L</w:t>
            </w:r>
          </w:p>
        </w:tc>
        <w:tc>
          <w:tcPr>
            <w:tcW w:w="708" w:type="dxa"/>
            <w:vAlign w:val="top"/>
          </w:tcPr>
          <w:p w14:paraId="2A2DAFA5">
            <w:pPr>
              <w:pStyle w:val="6"/>
              <w:spacing w:before="179" w:line="232" w:lineRule="auto"/>
              <w:ind w:left="64"/>
            </w:pPr>
            <w:r>
              <w:rPr>
                <w:spacing w:val="-2"/>
              </w:rPr>
              <w:t>0.002L</w:t>
            </w:r>
          </w:p>
        </w:tc>
        <w:tc>
          <w:tcPr>
            <w:tcW w:w="566" w:type="dxa"/>
            <w:vAlign w:val="top"/>
          </w:tcPr>
          <w:p w14:paraId="2EFCFDC9">
            <w:pPr>
              <w:pStyle w:val="6"/>
              <w:spacing w:before="179" w:line="232" w:lineRule="auto"/>
              <w:ind w:left="164"/>
            </w:pPr>
            <w:r>
              <w:rPr>
                <w:spacing w:val="-3"/>
              </w:rPr>
              <w:t>0.2</w:t>
            </w:r>
          </w:p>
        </w:tc>
        <w:tc>
          <w:tcPr>
            <w:tcW w:w="428" w:type="dxa"/>
            <w:vAlign w:val="top"/>
          </w:tcPr>
          <w:p w14:paraId="0FDB5E3B">
            <w:pPr>
              <w:pStyle w:val="6"/>
              <w:spacing w:before="179" w:line="232" w:lineRule="auto"/>
              <w:ind w:right="2"/>
              <w:jc w:val="right"/>
            </w:pPr>
            <w:r>
              <w:rPr>
                <w:spacing w:val="-2"/>
              </w:rPr>
              <w:t>0.5L</w:t>
            </w:r>
          </w:p>
        </w:tc>
        <w:tc>
          <w:tcPr>
            <w:tcW w:w="570" w:type="dxa"/>
            <w:vAlign w:val="top"/>
          </w:tcPr>
          <w:p w14:paraId="3A676257">
            <w:pPr>
              <w:pStyle w:val="6"/>
              <w:spacing w:before="184" w:line="229" w:lineRule="auto"/>
              <w:ind w:left="138"/>
            </w:pPr>
            <w:r>
              <w:rPr>
                <w:b/>
                <w:bCs/>
                <w:spacing w:val="-2"/>
              </w:rPr>
              <w:t>250</w:t>
            </w:r>
          </w:p>
        </w:tc>
        <w:tc>
          <w:tcPr>
            <w:tcW w:w="559" w:type="dxa"/>
            <w:gridSpan w:val="2"/>
            <w:tcBorders>
              <w:right w:val="single" w:color="000000" w:sz="12" w:space="0"/>
            </w:tcBorders>
            <w:vAlign w:val="top"/>
          </w:tcPr>
          <w:p w14:paraId="30C2ED7B">
            <w:pPr>
              <w:pStyle w:val="6"/>
              <w:spacing w:before="184" w:line="229" w:lineRule="auto"/>
              <w:ind w:left="133"/>
            </w:pPr>
            <w:r>
              <w:rPr>
                <w:b/>
                <w:bCs/>
                <w:spacing w:val="-4"/>
              </w:rPr>
              <w:t>100</w:t>
            </w:r>
          </w:p>
        </w:tc>
      </w:tr>
      <w:tr w14:paraId="0F7D5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77318EDE">
            <w:pPr>
              <w:rPr>
                <w:rFonts w:ascii="Arial"/>
                <w:sz w:val="21"/>
              </w:rPr>
            </w:pPr>
          </w:p>
        </w:tc>
        <w:tc>
          <w:tcPr>
            <w:tcW w:w="265" w:type="dxa"/>
            <w:vMerge w:val="restart"/>
            <w:tcBorders>
              <w:bottom w:val="nil"/>
            </w:tcBorders>
            <w:vAlign w:val="top"/>
          </w:tcPr>
          <w:p w14:paraId="2308D9D0">
            <w:pPr>
              <w:spacing w:line="342" w:lineRule="auto"/>
              <w:rPr>
                <w:rFonts w:ascii="Arial"/>
                <w:sz w:val="21"/>
              </w:rPr>
            </w:pPr>
          </w:p>
          <w:p w14:paraId="02167680">
            <w:pPr>
              <w:pStyle w:val="6"/>
              <w:spacing w:before="60" w:line="233" w:lineRule="auto"/>
              <w:ind w:left="14" w:right="38" w:firstLine="53"/>
              <w:jc w:val="both"/>
              <w:rPr>
                <w:rFonts w:ascii="等线" w:hAnsi="等线" w:eastAsia="等线" w:cs="等线"/>
              </w:rPr>
            </w:pPr>
            <w:r>
              <w:rPr>
                <w:spacing w:val="-9"/>
              </w:rPr>
              <w:t>3</w:t>
            </w:r>
            <w:r>
              <w:rPr>
                <w:rFonts w:ascii="等线" w:hAnsi="等线" w:eastAsia="等线" w:cs="等线"/>
                <w:spacing w:val="-8"/>
              </w:rPr>
              <w:t>季度</w:t>
            </w:r>
          </w:p>
        </w:tc>
        <w:tc>
          <w:tcPr>
            <w:tcW w:w="1014" w:type="dxa"/>
            <w:vAlign w:val="top"/>
          </w:tcPr>
          <w:p w14:paraId="4B5D0076">
            <w:pPr>
              <w:pStyle w:val="6"/>
              <w:spacing w:before="182" w:line="232" w:lineRule="auto"/>
              <w:ind w:left="65"/>
            </w:pPr>
            <w:r>
              <w:rPr>
                <w:spacing w:val="-1"/>
              </w:rPr>
              <w:t>2020/8/20</w:t>
            </w:r>
          </w:p>
        </w:tc>
        <w:tc>
          <w:tcPr>
            <w:tcW w:w="737" w:type="dxa"/>
            <w:vAlign w:val="top"/>
          </w:tcPr>
          <w:p w14:paraId="1278F222">
            <w:pPr>
              <w:pStyle w:val="6"/>
              <w:spacing w:before="188" w:line="183" w:lineRule="auto"/>
              <w:ind w:left="243"/>
            </w:pPr>
            <w:r>
              <w:rPr>
                <w:spacing w:val="-3"/>
              </w:rPr>
              <w:t>5L</w:t>
            </w:r>
          </w:p>
        </w:tc>
        <w:tc>
          <w:tcPr>
            <w:tcW w:w="708" w:type="dxa"/>
            <w:vAlign w:val="top"/>
          </w:tcPr>
          <w:p w14:paraId="39764676">
            <w:pPr>
              <w:pStyle w:val="6"/>
              <w:spacing w:before="182" w:line="232" w:lineRule="auto"/>
              <w:ind w:left="148"/>
            </w:pPr>
            <w:r>
              <w:rPr>
                <w:spacing w:val="-2"/>
              </w:rPr>
              <w:t>0.5L</w:t>
            </w:r>
          </w:p>
        </w:tc>
        <w:tc>
          <w:tcPr>
            <w:tcW w:w="851" w:type="dxa"/>
            <w:vAlign w:val="top"/>
          </w:tcPr>
          <w:p w14:paraId="13A33A84">
            <w:pPr>
              <w:pStyle w:val="6"/>
              <w:spacing w:before="182" w:line="232" w:lineRule="auto"/>
              <w:ind w:left="233"/>
            </w:pPr>
            <w:r>
              <w:rPr>
                <w:spacing w:val="-2"/>
              </w:rPr>
              <w:t>7.90</w:t>
            </w:r>
          </w:p>
        </w:tc>
        <w:tc>
          <w:tcPr>
            <w:tcW w:w="708" w:type="dxa"/>
            <w:vAlign w:val="top"/>
          </w:tcPr>
          <w:p w14:paraId="34FC4F2B">
            <w:pPr>
              <w:pStyle w:val="6"/>
              <w:spacing w:before="182" w:line="232" w:lineRule="auto"/>
              <w:ind w:left="44"/>
            </w:pPr>
            <w:r>
              <w:rPr>
                <w:spacing w:val="-2"/>
              </w:rPr>
              <w:t>0.040L</w:t>
            </w:r>
          </w:p>
        </w:tc>
        <w:tc>
          <w:tcPr>
            <w:tcW w:w="842" w:type="dxa"/>
            <w:vAlign w:val="top"/>
          </w:tcPr>
          <w:p w14:paraId="3706DADF">
            <w:pPr>
              <w:pStyle w:val="6"/>
              <w:spacing w:before="182" w:line="232" w:lineRule="auto"/>
              <w:ind w:left="61"/>
            </w:pPr>
            <w:r>
              <w:rPr>
                <w:spacing w:val="-1"/>
              </w:rPr>
              <w:t>0.0045L</w:t>
            </w:r>
          </w:p>
        </w:tc>
        <w:tc>
          <w:tcPr>
            <w:tcW w:w="851" w:type="dxa"/>
            <w:vAlign w:val="top"/>
          </w:tcPr>
          <w:p w14:paraId="78FD6C7C">
            <w:pPr>
              <w:pStyle w:val="6"/>
              <w:spacing w:before="182" w:line="232" w:lineRule="auto"/>
              <w:ind w:left="67"/>
            </w:pPr>
            <w:r>
              <w:rPr>
                <w:spacing w:val="-1"/>
              </w:rPr>
              <w:t>0.0005L</w:t>
            </w:r>
          </w:p>
        </w:tc>
        <w:tc>
          <w:tcPr>
            <w:tcW w:w="708" w:type="dxa"/>
            <w:vAlign w:val="top"/>
          </w:tcPr>
          <w:p w14:paraId="425B06B9">
            <w:pPr>
              <w:pStyle w:val="6"/>
              <w:spacing w:before="182" w:line="232" w:lineRule="auto"/>
              <w:ind w:left="48"/>
            </w:pPr>
            <w:r>
              <w:rPr>
                <w:spacing w:val="-2"/>
              </w:rPr>
              <w:t>0.009L</w:t>
            </w:r>
          </w:p>
        </w:tc>
        <w:tc>
          <w:tcPr>
            <w:tcW w:w="847" w:type="dxa"/>
            <w:vAlign w:val="top"/>
          </w:tcPr>
          <w:p w14:paraId="0FFD0676">
            <w:pPr>
              <w:pStyle w:val="6"/>
              <w:spacing w:before="182" w:line="232" w:lineRule="auto"/>
              <w:ind w:left="119"/>
            </w:pPr>
            <w:r>
              <w:rPr>
                <w:spacing w:val="-2"/>
              </w:rPr>
              <w:t>0.001L</w:t>
            </w:r>
          </w:p>
        </w:tc>
        <w:tc>
          <w:tcPr>
            <w:tcW w:w="565" w:type="dxa"/>
            <w:vAlign w:val="top"/>
          </w:tcPr>
          <w:p w14:paraId="38516584">
            <w:pPr>
              <w:pStyle w:val="6"/>
              <w:spacing w:before="182" w:line="232" w:lineRule="auto"/>
              <w:ind w:left="146"/>
            </w:pPr>
            <w:r>
              <w:rPr>
                <w:spacing w:val="-2"/>
              </w:rPr>
              <w:t>2.0</w:t>
            </w:r>
          </w:p>
        </w:tc>
        <w:tc>
          <w:tcPr>
            <w:tcW w:w="567" w:type="dxa"/>
            <w:vAlign w:val="top"/>
          </w:tcPr>
          <w:p w14:paraId="4AAC7912">
            <w:pPr>
              <w:pStyle w:val="6"/>
              <w:spacing w:before="182" w:line="232" w:lineRule="auto"/>
              <w:ind w:left="152"/>
            </w:pPr>
            <w:r>
              <w:rPr>
                <w:spacing w:val="-3"/>
              </w:rPr>
              <w:t>6.5</w:t>
            </w:r>
          </w:p>
        </w:tc>
        <w:tc>
          <w:tcPr>
            <w:tcW w:w="851" w:type="dxa"/>
            <w:vAlign w:val="top"/>
          </w:tcPr>
          <w:p w14:paraId="676A24E3">
            <w:pPr>
              <w:pStyle w:val="6"/>
              <w:spacing w:before="182" w:line="232" w:lineRule="auto"/>
              <w:ind w:left="266"/>
            </w:pPr>
            <w:r>
              <w:rPr>
                <w:spacing w:val="-1"/>
              </w:rPr>
              <w:t>259</w:t>
            </w:r>
          </w:p>
        </w:tc>
        <w:tc>
          <w:tcPr>
            <w:tcW w:w="566" w:type="dxa"/>
            <w:vAlign w:val="top"/>
          </w:tcPr>
          <w:p w14:paraId="22ECA8D6">
            <w:pPr>
              <w:pStyle w:val="6"/>
              <w:spacing w:before="182" w:line="232" w:lineRule="auto"/>
              <w:ind w:left="144"/>
            </w:pPr>
            <w:r>
              <w:rPr>
                <w:spacing w:val="-6"/>
              </w:rPr>
              <w:t>170</w:t>
            </w:r>
          </w:p>
        </w:tc>
        <w:tc>
          <w:tcPr>
            <w:tcW w:w="567" w:type="dxa"/>
            <w:vAlign w:val="top"/>
          </w:tcPr>
          <w:p w14:paraId="5B9E5EE2">
            <w:pPr>
              <w:pStyle w:val="6"/>
              <w:spacing w:before="182" w:line="232" w:lineRule="auto"/>
              <w:ind w:left="118"/>
            </w:pPr>
            <w:r>
              <w:rPr>
                <w:spacing w:val="-6"/>
              </w:rPr>
              <w:t>1.04</w:t>
            </w:r>
          </w:p>
        </w:tc>
        <w:tc>
          <w:tcPr>
            <w:tcW w:w="851" w:type="dxa"/>
            <w:vAlign w:val="top"/>
          </w:tcPr>
          <w:p w14:paraId="721A8836">
            <w:pPr>
              <w:pStyle w:val="6"/>
              <w:spacing w:before="182" w:line="232" w:lineRule="auto"/>
              <w:ind w:left="127"/>
            </w:pPr>
            <w:r>
              <w:rPr>
                <w:spacing w:val="-2"/>
              </w:rPr>
              <w:t>0.002L</w:t>
            </w:r>
          </w:p>
        </w:tc>
        <w:tc>
          <w:tcPr>
            <w:tcW w:w="707" w:type="dxa"/>
            <w:vAlign w:val="top"/>
          </w:tcPr>
          <w:p w14:paraId="6284A41B">
            <w:pPr>
              <w:pStyle w:val="6"/>
              <w:spacing w:before="182" w:line="232" w:lineRule="auto"/>
              <w:ind w:left="56"/>
            </w:pPr>
            <w:r>
              <w:rPr>
                <w:spacing w:val="-2"/>
              </w:rPr>
              <w:t>0.050L</w:t>
            </w:r>
          </w:p>
        </w:tc>
        <w:tc>
          <w:tcPr>
            <w:tcW w:w="708" w:type="dxa"/>
            <w:vAlign w:val="top"/>
          </w:tcPr>
          <w:p w14:paraId="169EB411">
            <w:pPr>
              <w:pStyle w:val="6"/>
              <w:spacing w:before="182" w:line="232" w:lineRule="auto"/>
              <w:ind w:left="58"/>
            </w:pPr>
            <w:r>
              <w:rPr>
                <w:spacing w:val="-2"/>
              </w:rPr>
              <w:t>0.001L</w:t>
            </w:r>
          </w:p>
        </w:tc>
        <w:tc>
          <w:tcPr>
            <w:tcW w:w="851" w:type="dxa"/>
            <w:vAlign w:val="top"/>
          </w:tcPr>
          <w:p w14:paraId="6ECB69B6">
            <w:pPr>
              <w:pStyle w:val="6"/>
              <w:spacing w:before="182" w:line="232" w:lineRule="auto"/>
              <w:ind w:left="80"/>
            </w:pPr>
            <w:r>
              <w:rPr>
                <w:spacing w:val="-1"/>
              </w:rPr>
              <w:t>0.0005L</w:t>
            </w:r>
          </w:p>
        </w:tc>
        <w:tc>
          <w:tcPr>
            <w:tcW w:w="708" w:type="dxa"/>
            <w:vAlign w:val="top"/>
          </w:tcPr>
          <w:p w14:paraId="479FCA40">
            <w:pPr>
              <w:pStyle w:val="6"/>
              <w:spacing w:before="182" w:line="232" w:lineRule="auto"/>
              <w:ind w:left="60"/>
            </w:pPr>
            <w:r>
              <w:rPr>
                <w:spacing w:val="-2"/>
              </w:rPr>
              <w:t>0.004L</w:t>
            </w:r>
          </w:p>
        </w:tc>
        <w:tc>
          <w:tcPr>
            <w:tcW w:w="851" w:type="dxa"/>
            <w:vAlign w:val="top"/>
          </w:tcPr>
          <w:p w14:paraId="7016AC5C">
            <w:pPr>
              <w:pStyle w:val="6"/>
              <w:spacing w:before="182" w:line="232" w:lineRule="auto"/>
              <w:ind w:left="81"/>
            </w:pPr>
            <w:r>
              <w:rPr>
                <w:spacing w:val="-1"/>
              </w:rPr>
              <w:t>0.0025L</w:t>
            </w:r>
          </w:p>
        </w:tc>
        <w:tc>
          <w:tcPr>
            <w:tcW w:w="851" w:type="dxa"/>
            <w:vAlign w:val="top"/>
          </w:tcPr>
          <w:p w14:paraId="1445FBF3">
            <w:pPr>
              <w:pStyle w:val="6"/>
              <w:spacing w:before="182" w:line="232" w:lineRule="auto"/>
              <w:ind w:left="82"/>
            </w:pPr>
            <w:r>
              <w:rPr>
                <w:spacing w:val="-1"/>
              </w:rPr>
              <w:t>0.0001L</w:t>
            </w:r>
          </w:p>
        </w:tc>
        <w:tc>
          <w:tcPr>
            <w:tcW w:w="847" w:type="dxa"/>
            <w:vAlign w:val="top"/>
          </w:tcPr>
          <w:p w14:paraId="34C121DF">
            <w:pPr>
              <w:pStyle w:val="6"/>
              <w:spacing w:before="182" w:line="232" w:lineRule="auto"/>
              <w:ind w:left="80"/>
            </w:pPr>
            <w:r>
              <w:rPr>
                <w:spacing w:val="-1"/>
              </w:rPr>
              <w:t>0.0004L</w:t>
            </w:r>
          </w:p>
        </w:tc>
        <w:tc>
          <w:tcPr>
            <w:tcW w:w="708" w:type="dxa"/>
            <w:vAlign w:val="top"/>
          </w:tcPr>
          <w:p w14:paraId="33B88E9E">
            <w:pPr>
              <w:pStyle w:val="6"/>
              <w:spacing w:before="182" w:line="232" w:lineRule="auto"/>
              <w:ind w:left="64"/>
            </w:pPr>
            <w:r>
              <w:rPr>
                <w:spacing w:val="-2"/>
              </w:rPr>
              <w:t>0.002L</w:t>
            </w:r>
          </w:p>
        </w:tc>
        <w:tc>
          <w:tcPr>
            <w:tcW w:w="566" w:type="dxa"/>
            <w:vAlign w:val="top"/>
          </w:tcPr>
          <w:p w14:paraId="5D6236C2">
            <w:pPr>
              <w:pStyle w:val="6"/>
              <w:spacing w:before="182" w:line="232" w:lineRule="auto"/>
              <w:ind w:left="164"/>
            </w:pPr>
            <w:r>
              <w:rPr>
                <w:spacing w:val="-3"/>
              </w:rPr>
              <w:t>0.3</w:t>
            </w:r>
          </w:p>
        </w:tc>
        <w:tc>
          <w:tcPr>
            <w:tcW w:w="428" w:type="dxa"/>
            <w:vAlign w:val="top"/>
          </w:tcPr>
          <w:p w14:paraId="2096AF2A">
            <w:pPr>
              <w:pStyle w:val="6"/>
              <w:spacing w:before="182" w:line="232" w:lineRule="auto"/>
              <w:ind w:left="112"/>
            </w:pPr>
            <w:r>
              <w:rPr>
                <w:spacing w:val="-8"/>
              </w:rPr>
              <w:t>1.3</w:t>
            </w:r>
          </w:p>
        </w:tc>
        <w:tc>
          <w:tcPr>
            <w:tcW w:w="570" w:type="dxa"/>
            <w:vAlign w:val="top"/>
          </w:tcPr>
          <w:p w14:paraId="221E3826">
            <w:pPr>
              <w:pStyle w:val="6"/>
              <w:spacing w:before="186" w:line="229" w:lineRule="auto"/>
              <w:ind w:left="191"/>
            </w:pPr>
            <w:r>
              <w:rPr>
                <w:b/>
                <w:bCs/>
                <w:spacing w:val="-2"/>
              </w:rPr>
              <w:t>23</w:t>
            </w:r>
          </w:p>
        </w:tc>
        <w:tc>
          <w:tcPr>
            <w:tcW w:w="559" w:type="dxa"/>
            <w:gridSpan w:val="2"/>
            <w:tcBorders>
              <w:right w:val="single" w:color="000000" w:sz="12" w:space="0"/>
            </w:tcBorders>
            <w:vAlign w:val="top"/>
          </w:tcPr>
          <w:p w14:paraId="48BE8F21">
            <w:pPr>
              <w:pStyle w:val="6"/>
              <w:spacing w:before="186" w:line="229" w:lineRule="auto"/>
              <w:ind w:left="124"/>
            </w:pPr>
            <w:r>
              <w:rPr>
                <w:b/>
                <w:bCs/>
                <w:spacing w:val="-2"/>
              </w:rPr>
              <w:t>260</w:t>
            </w:r>
          </w:p>
        </w:tc>
      </w:tr>
      <w:tr w14:paraId="4036D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7136E62A">
            <w:pPr>
              <w:rPr>
                <w:rFonts w:ascii="Arial"/>
                <w:sz w:val="21"/>
              </w:rPr>
            </w:pPr>
          </w:p>
        </w:tc>
        <w:tc>
          <w:tcPr>
            <w:tcW w:w="265" w:type="dxa"/>
            <w:vMerge w:val="continue"/>
            <w:tcBorders>
              <w:top w:val="nil"/>
              <w:bottom w:val="nil"/>
            </w:tcBorders>
            <w:vAlign w:val="top"/>
          </w:tcPr>
          <w:p w14:paraId="02112A98">
            <w:pPr>
              <w:rPr>
                <w:rFonts w:ascii="Arial"/>
                <w:sz w:val="21"/>
              </w:rPr>
            </w:pPr>
          </w:p>
        </w:tc>
        <w:tc>
          <w:tcPr>
            <w:tcW w:w="1014" w:type="dxa"/>
            <w:vAlign w:val="top"/>
          </w:tcPr>
          <w:p w14:paraId="31BA0A46">
            <w:pPr>
              <w:pStyle w:val="6"/>
              <w:spacing w:before="182" w:line="232" w:lineRule="auto"/>
              <w:ind w:left="65"/>
            </w:pPr>
            <w:r>
              <w:rPr>
                <w:spacing w:val="-1"/>
              </w:rPr>
              <w:t>2020/8/21</w:t>
            </w:r>
          </w:p>
        </w:tc>
        <w:tc>
          <w:tcPr>
            <w:tcW w:w="737" w:type="dxa"/>
            <w:vAlign w:val="top"/>
          </w:tcPr>
          <w:p w14:paraId="2D1B9BBA">
            <w:pPr>
              <w:pStyle w:val="6"/>
              <w:spacing w:before="189" w:line="183" w:lineRule="auto"/>
              <w:ind w:left="243"/>
            </w:pPr>
            <w:r>
              <w:rPr>
                <w:spacing w:val="-3"/>
              </w:rPr>
              <w:t>5L</w:t>
            </w:r>
          </w:p>
        </w:tc>
        <w:tc>
          <w:tcPr>
            <w:tcW w:w="708" w:type="dxa"/>
            <w:vAlign w:val="top"/>
          </w:tcPr>
          <w:p w14:paraId="7C356CBE">
            <w:pPr>
              <w:pStyle w:val="6"/>
              <w:spacing w:before="182" w:line="232" w:lineRule="auto"/>
              <w:ind w:left="148"/>
            </w:pPr>
            <w:r>
              <w:rPr>
                <w:spacing w:val="-2"/>
              </w:rPr>
              <w:t>0.5L</w:t>
            </w:r>
          </w:p>
        </w:tc>
        <w:tc>
          <w:tcPr>
            <w:tcW w:w="851" w:type="dxa"/>
            <w:vAlign w:val="top"/>
          </w:tcPr>
          <w:p w14:paraId="39E0F20B">
            <w:pPr>
              <w:pStyle w:val="6"/>
              <w:spacing w:before="182" w:line="232" w:lineRule="auto"/>
              <w:ind w:left="233"/>
            </w:pPr>
            <w:r>
              <w:rPr>
                <w:spacing w:val="-2"/>
              </w:rPr>
              <w:t>7.83</w:t>
            </w:r>
          </w:p>
        </w:tc>
        <w:tc>
          <w:tcPr>
            <w:tcW w:w="708" w:type="dxa"/>
            <w:vAlign w:val="top"/>
          </w:tcPr>
          <w:p w14:paraId="1BFB40DB">
            <w:pPr>
              <w:pStyle w:val="6"/>
              <w:spacing w:before="182" w:line="232" w:lineRule="auto"/>
              <w:ind w:left="44"/>
            </w:pPr>
            <w:r>
              <w:rPr>
                <w:spacing w:val="-2"/>
              </w:rPr>
              <w:t>0.040L</w:t>
            </w:r>
          </w:p>
        </w:tc>
        <w:tc>
          <w:tcPr>
            <w:tcW w:w="842" w:type="dxa"/>
            <w:vAlign w:val="top"/>
          </w:tcPr>
          <w:p w14:paraId="2674E514">
            <w:pPr>
              <w:pStyle w:val="6"/>
              <w:spacing w:before="182" w:line="232" w:lineRule="auto"/>
              <w:ind w:left="61"/>
            </w:pPr>
            <w:r>
              <w:rPr>
                <w:spacing w:val="-1"/>
              </w:rPr>
              <w:t>0.0045L</w:t>
            </w:r>
          </w:p>
        </w:tc>
        <w:tc>
          <w:tcPr>
            <w:tcW w:w="851" w:type="dxa"/>
            <w:vAlign w:val="top"/>
          </w:tcPr>
          <w:p w14:paraId="7A3F1E6B">
            <w:pPr>
              <w:pStyle w:val="6"/>
              <w:spacing w:before="182" w:line="232" w:lineRule="auto"/>
              <w:ind w:left="67"/>
            </w:pPr>
            <w:r>
              <w:rPr>
                <w:spacing w:val="-1"/>
              </w:rPr>
              <w:t>0.0005L</w:t>
            </w:r>
          </w:p>
        </w:tc>
        <w:tc>
          <w:tcPr>
            <w:tcW w:w="708" w:type="dxa"/>
            <w:vAlign w:val="top"/>
          </w:tcPr>
          <w:p w14:paraId="650494D4">
            <w:pPr>
              <w:pStyle w:val="6"/>
              <w:spacing w:before="182" w:line="232" w:lineRule="auto"/>
              <w:ind w:left="48"/>
            </w:pPr>
            <w:r>
              <w:rPr>
                <w:spacing w:val="-2"/>
              </w:rPr>
              <w:t>0.009L</w:t>
            </w:r>
          </w:p>
        </w:tc>
        <w:tc>
          <w:tcPr>
            <w:tcW w:w="847" w:type="dxa"/>
            <w:vAlign w:val="top"/>
          </w:tcPr>
          <w:p w14:paraId="195E0826">
            <w:pPr>
              <w:pStyle w:val="6"/>
              <w:spacing w:before="182" w:line="232" w:lineRule="auto"/>
              <w:ind w:left="119"/>
            </w:pPr>
            <w:r>
              <w:rPr>
                <w:spacing w:val="-2"/>
              </w:rPr>
              <w:t>0.001L</w:t>
            </w:r>
          </w:p>
        </w:tc>
        <w:tc>
          <w:tcPr>
            <w:tcW w:w="565" w:type="dxa"/>
            <w:vAlign w:val="top"/>
          </w:tcPr>
          <w:p w14:paraId="2ADC2778">
            <w:pPr>
              <w:pStyle w:val="6"/>
              <w:spacing w:before="182" w:line="232" w:lineRule="auto"/>
              <w:ind w:left="166"/>
            </w:pPr>
            <w:r>
              <w:rPr>
                <w:spacing w:val="-8"/>
              </w:rPr>
              <w:t>1.5</w:t>
            </w:r>
          </w:p>
        </w:tc>
        <w:tc>
          <w:tcPr>
            <w:tcW w:w="567" w:type="dxa"/>
            <w:vAlign w:val="top"/>
          </w:tcPr>
          <w:p w14:paraId="7F51F71F">
            <w:pPr>
              <w:pStyle w:val="6"/>
              <w:spacing w:before="182" w:line="232" w:lineRule="auto"/>
              <w:ind w:left="152"/>
            </w:pPr>
            <w:r>
              <w:rPr>
                <w:spacing w:val="-3"/>
              </w:rPr>
              <w:t>6.9</w:t>
            </w:r>
          </w:p>
        </w:tc>
        <w:tc>
          <w:tcPr>
            <w:tcW w:w="851" w:type="dxa"/>
            <w:vAlign w:val="top"/>
          </w:tcPr>
          <w:p w14:paraId="268EAD88">
            <w:pPr>
              <w:pStyle w:val="6"/>
              <w:spacing w:before="182" w:line="232" w:lineRule="auto"/>
              <w:ind w:left="266"/>
            </w:pPr>
            <w:r>
              <w:rPr>
                <w:spacing w:val="-1"/>
              </w:rPr>
              <w:t>266</w:t>
            </w:r>
          </w:p>
        </w:tc>
        <w:tc>
          <w:tcPr>
            <w:tcW w:w="566" w:type="dxa"/>
            <w:vAlign w:val="top"/>
          </w:tcPr>
          <w:p w14:paraId="7E5D9F74">
            <w:pPr>
              <w:pStyle w:val="6"/>
              <w:spacing w:before="182" w:line="232" w:lineRule="auto"/>
              <w:ind w:left="144"/>
            </w:pPr>
            <w:r>
              <w:rPr>
                <w:spacing w:val="-6"/>
              </w:rPr>
              <w:t>172</w:t>
            </w:r>
          </w:p>
        </w:tc>
        <w:tc>
          <w:tcPr>
            <w:tcW w:w="567" w:type="dxa"/>
            <w:vAlign w:val="top"/>
          </w:tcPr>
          <w:p w14:paraId="68BC03A7">
            <w:pPr>
              <w:pStyle w:val="6"/>
              <w:spacing w:before="182" w:line="232" w:lineRule="auto"/>
              <w:ind w:left="118"/>
            </w:pPr>
            <w:r>
              <w:rPr>
                <w:spacing w:val="-6"/>
              </w:rPr>
              <w:t>1.01</w:t>
            </w:r>
          </w:p>
        </w:tc>
        <w:tc>
          <w:tcPr>
            <w:tcW w:w="851" w:type="dxa"/>
            <w:vAlign w:val="top"/>
          </w:tcPr>
          <w:p w14:paraId="03807D45">
            <w:pPr>
              <w:pStyle w:val="6"/>
              <w:spacing w:before="182" w:line="232" w:lineRule="auto"/>
              <w:ind w:left="127"/>
            </w:pPr>
            <w:r>
              <w:rPr>
                <w:spacing w:val="-2"/>
              </w:rPr>
              <w:t>0.002L</w:t>
            </w:r>
          </w:p>
        </w:tc>
        <w:tc>
          <w:tcPr>
            <w:tcW w:w="707" w:type="dxa"/>
            <w:vAlign w:val="top"/>
          </w:tcPr>
          <w:p w14:paraId="3D0FA4DC">
            <w:pPr>
              <w:pStyle w:val="6"/>
              <w:spacing w:before="182" w:line="232" w:lineRule="auto"/>
              <w:ind w:left="56"/>
            </w:pPr>
            <w:r>
              <w:rPr>
                <w:spacing w:val="-2"/>
              </w:rPr>
              <w:t>0.050L</w:t>
            </w:r>
          </w:p>
        </w:tc>
        <w:tc>
          <w:tcPr>
            <w:tcW w:w="708" w:type="dxa"/>
            <w:vAlign w:val="top"/>
          </w:tcPr>
          <w:p w14:paraId="0F701755">
            <w:pPr>
              <w:pStyle w:val="6"/>
              <w:spacing w:before="182" w:line="232" w:lineRule="auto"/>
              <w:ind w:left="58"/>
            </w:pPr>
            <w:r>
              <w:rPr>
                <w:spacing w:val="-2"/>
              </w:rPr>
              <w:t>0.001L</w:t>
            </w:r>
          </w:p>
        </w:tc>
        <w:tc>
          <w:tcPr>
            <w:tcW w:w="851" w:type="dxa"/>
            <w:vAlign w:val="top"/>
          </w:tcPr>
          <w:p w14:paraId="71715B21">
            <w:pPr>
              <w:pStyle w:val="6"/>
              <w:spacing w:before="182" w:line="232" w:lineRule="auto"/>
              <w:ind w:left="80"/>
            </w:pPr>
            <w:r>
              <w:rPr>
                <w:spacing w:val="-1"/>
              </w:rPr>
              <w:t>0.0005L</w:t>
            </w:r>
          </w:p>
        </w:tc>
        <w:tc>
          <w:tcPr>
            <w:tcW w:w="708" w:type="dxa"/>
            <w:vAlign w:val="top"/>
          </w:tcPr>
          <w:p w14:paraId="27AD1BC9">
            <w:pPr>
              <w:pStyle w:val="6"/>
              <w:spacing w:before="182" w:line="232" w:lineRule="auto"/>
              <w:ind w:left="60"/>
            </w:pPr>
            <w:r>
              <w:rPr>
                <w:spacing w:val="-2"/>
              </w:rPr>
              <w:t>0.004L</w:t>
            </w:r>
          </w:p>
        </w:tc>
        <w:tc>
          <w:tcPr>
            <w:tcW w:w="851" w:type="dxa"/>
            <w:vAlign w:val="top"/>
          </w:tcPr>
          <w:p w14:paraId="4F3EB62B">
            <w:pPr>
              <w:pStyle w:val="6"/>
              <w:spacing w:before="182" w:line="232" w:lineRule="auto"/>
              <w:ind w:left="81"/>
            </w:pPr>
            <w:r>
              <w:rPr>
                <w:spacing w:val="-1"/>
              </w:rPr>
              <w:t>0.0025L</w:t>
            </w:r>
          </w:p>
        </w:tc>
        <w:tc>
          <w:tcPr>
            <w:tcW w:w="851" w:type="dxa"/>
            <w:vAlign w:val="top"/>
          </w:tcPr>
          <w:p w14:paraId="39170465">
            <w:pPr>
              <w:pStyle w:val="6"/>
              <w:spacing w:before="182" w:line="232" w:lineRule="auto"/>
              <w:ind w:left="82"/>
            </w:pPr>
            <w:r>
              <w:rPr>
                <w:spacing w:val="-1"/>
              </w:rPr>
              <w:t>0.0001L</w:t>
            </w:r>
          </w:p>
        </w:tc>
        <w:tc>
          <w:tcPr>
            <w:tcW w:w="847" w:type="dxa"/>
            <w:vAlign w:val="top"/>
          </w:tcPr>
          <w:p w14:paraId="7CA67299">
            <w:pPr>
              <w:pStyle w:val="6"/>
              <w:spacing w:before="182" w:line="232" w:lineRule="auto"/>
              <w:ind w:left="80"/>
            </w:pPr>
            <w:r>
              <w:rPr>
                <w:spacing w:val="-1"/>
              </w:rPr>
              <w:t>0.0004L</w:t>
            </w:r>
          </w:p>
        </w:tc>
        <w:tc>
          <w:tcPr>
            <w:tcW w:w="708" w:type="dxa"/>
            <w:vAlign w:val="top"/>
          </w:tcPr>
          <w:p w14:paraId="35D14F55">
            <w:pPr>
              <w:pStyle w:val="6"/>
              <w:spacing w:before="182" w:line="232" w:lineRule="auto"/>
              <w:ind w:left="64"/>
            </w:pPr>
            <w:r>
              <w:rPr>
                <w:spacing w:val="-2"/>
              </w:rPr>
              <w:t>0.002L</w:t>
            </w:r>
          </w:p>
        </w:tc>
        <w:tc>
          <w:tcPr>
            <w:tcW w:w="566" w:type="dxa"/>
            <w:vAlign w:val="top"/>
          </w:tcPr>
          <w:p w14:paraId="22989983">
            <w:pPr>
              <w:pStyle w:val="6"/>
              <w:spacing w:before="182" w:line="232" w:lineRule="auto"/>
              <w:ind w:left="164"/>
            </w:pPr>
            <w:r>
              <w:rPr>
                <w:spacing w:val="-3"/>
              </w:rPr>
              <w:t>0.5</w:t>
            </w:r>
          </w:p>
        </w:tc>
        <w:tc>
          <w:tcPr>
            <w:tcW w:w="428" w:type="dxa"/>
            <w:vAlign w:val="top"/>
          </w:tcPr>
          <w:p w14:paraId="7F102EC9">
            <w:pPr>
              <w:pStyle w:val="6"/>
              <w:spacing w:before="182" w:line="232" w:lineRule="auto"/>
              <w:ind w:left="112"/>
            </w:pPr>
            <w:r>
              <w:rPr>
                <w:spacing w:val="-8"/>
              </w:rPr>
              <w:t>1.6</w:t>
            </w:r>
          </w:p>
        </w:tc>
        <w:tc>
          <w:tcPr>
            <w:tcW w:w="570" w:type="dxa"/>
            <w:vAlign w:val="top"/>
          </w:tcPr>
          <w:p w14:paraId="70315163">
            <w:pPr>
              <w:pStyle w:val="6"/>
              <w:spacing w:before="186" w:line="232" w:lineRule="auto"/>
              <w:ind w:left="191"/>
            </w:pPr>
            <w:r>
              <w:rPr>
                <w:b/>
                <w:bCs/>
                <w:spacing w:val="-2"/>
              </w:rPr>
              <w:t>22</w:t>
            </w:r>
          </w:p>
        </w:tc>
        <w:tc>
          <w:tcPr>
            <w:tcW w:w="559" w:type="dxa"/>
            <w:gridSpan w:val="2"/>
            <w:tcBorders>
              <w:right w:val="single" w:color="000000" w:sz="12" w:space="0"/>
            </w:tcBorders>
            <w:vAlign w:val="top"/>
          </w:tcPr>
          <w:p w14:paraId="7694876D">
            <w:pPr>
              <w:pStyle w:val="6"/>
              <w:spacing w:before="186" w:line="229" w:lineRule="auto"/>
              <w:ind w:left="124"/>
            </w:pPr>
            <w:r>
              <w:rPr>
                <w:b/>
                <w:bCs/>
                <w:spacing w:val="-2"/>
              </w:rPr>
              <w:t>280</w:t>
            </w:r>
          </w:p>
        </w:tc>
      </w:tr>
      <w:tr w14:paraId="451AC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71F65908">
            <w:pPr>
              <w:rPr>
                <w:rFonts w:ascii="Arial"/>
                <w:sz w:val="21"/>
              </w:rPr>
            </w:pPr>
          </w:p>
        </w:tc>
        <w:tc>
          <w:tcPr>
            <w:tcW w:w="265" w:type="dxa"/>
            <w:vMerge w:val="continue"/>
            <w:tcBorders>
              <w:top w:val="nil"/>
            </w:tcBorders>
            <w:vAlign w:val="top"/>
          </w:tcPr>
          <w:p w14:paraId="640F2C0B">
            <w:pPr>
              <w:rPr>
                <w:rFonts w:ascii="Arial"/>
                <w:sz w:val="21"/>
              </w:rPr>
            </w:pPr>
          </w:p>
        </w:tc>
        <w:tc>
          <w:tcPr>
            <w:tcW w:w="1014" w:type="dxa"/>
            <w:vAlign w:val="top"/>
          </w:tcPr>
          <w:p w14:paraId="3E749011">
            <w:pPr>
              <w:pStyle w:val="6"/>
              <w:spacing w:before="183" w:line="232" w:lineRule="auto"/>
              <w:ind w:left="65"/>
            </w:pPr>
            <w:r>
              <w:rPr>
                <w:spacing w:val="-1"/>
              </w:rPr>
              <w:t>2020/8/22</w:t>
            </w:r>
          </w:p>
        </w:tc>
        <w:tc>
          <w:tcPr>
            <w:tcW w:w="737" w:type="dxa"/>
            <w:vAlign w:val="top"/>
          </w:tcPr>
          <w:p w14:paraId="020F5781">
            <w:pPr>
              <w:pStyle w:val="6"/>
              <w:spacing w:before="190" w:line="183" w:lineRule="auto"/>
              <w:ind w:left="243"/>
            </w:pPr>
            <w:r>
              <w:rPr>
                <w:spacing w:val="-3"/>
              </w:rPr>
              <w:t>5L</w:t>
            </w:r>
          </w:p>
        </w:tc>
        <w:tc>
          <w:tcPr>
            <w:tcW w:w="708" w:type="dxa"/>
            <w:vAlign w:val="top"/>
          </w:tcPr>
          <w:p w14:paraId="6CA13EC9">
            <w:pPr>
              <w:pStyle w:val="6"/>
              <w:spacing w:before="183" w:line="232" w:lineRule="auto"/>
              <w:ind w:left="148"/>
            </w:pPr>
            <w:r>
              <w:rPr>
                <w:spacing w:val="-2"/>
              </w:rPr>
              <w:t>0.5L</w:t>
            </w:r>
          </w:p>
        </w:tc>
        <w:tc>
          <w:tcPr>
            <w:tcW w:w="851" w:type="dxa"/>
            <w:vAlign w:val="top"/>
          </w:tcPr>
          <w:p w14:paraId="261CD848">
            <w:pPr>
              <w:pStyle w:val="6"/>
              <w:spacing w:before="183" w:line="232" w:lineRule="auto"/>
              <w:ind w:left="233"/>
            </w:pPr>
            <w:r>
              <w:rPr>
                <w:spacing w:val="-2"/>
              </w:rPr>
              <w:t>7.94</w:t>
            </w:r>
          </w:p>
        </w:tc>
        <w:tc>
          <w:tcPr>
            <w:tcW w:w="708" w:type="dxa"/>
            <w:vAlign w:val="top"/>
          </w:tcPr>
          <w:p w14:paraId="78329FE8">
            <w:pPr>
              <w:pStyle w:val="6"/>
              <w:spacing w:before="183" w:line="232" w:lineRule="auto"/>
              <w:ind w:left="44"/>
            </w:pPr>
            <w:r>
              <w:rPr>
                <w:spacing w:val="-2"/>
              </w:rPr>
              <w:t>0.040L</w:t>
            </w:r>
          </w:p>
        </w:tc>
        <w:tc>
          <w:tcPr>
            <w:tcW w:w="842" w:type="dxa"/>
            <w:vAlign w:val="top"/>
          </w:tcPr>
          <w:p w14:paraId="024B71A4">
            <w:pPr>
              <w:pStyle w:val="6"/>
              <w:spacing w:before="183" w:line="232" w:lineRule="auto"/>
              <w:ind w:left="61"/>
            </w:pPr>
            <w:r>
              <w:rPr>
                <w:spacing w:val="-1"/>
              </w:rPr>
              <w:t>0.0045L</w:t>
            </w:r>
          </w:p>
        </w:tc>
        <w:tc>
          <w:tcPr>
            <w:tcW w:w="851" w:type="dxa"/>
            <w:vAlign w:val="top"/>
          </w:tcPr>
          <w:p w14:paraId="15E89C0B">
            <w:pPr>
              <w:pStyle w:val="6"/>
              <w:spacing w:before="183" w:line="232" w:lineRule="auto"/>
              <w:ind w:left="67"/>
            </w:pPr>
            <w:r>
              <w:rPr>
                <w:spacing w:val="-1"/>
              </w:rPr>
              <w:t>0.0005L</w:t>
            </w:r>
          </w:p>
        </w:tc>
        <w:tc>
          <w:tcPr>
            <w:tcW w:w="708" w:type="dxa"/>
            <w:vAlign w:val="top"/>
          </w:tcPr>
          <w:p w14:paraId="2664EF88">
            <w:pPr>
              <w:pStyle w:val="6"/>
              <w:spacing w:before="183" w:line="232" w:lineRule="auto"/>
              <w:ind w:left="48"/>
            </w:pPr>
            <w:r>
              <w:rPr>
                <w:spacing w:val="-2"/>
              </w:rPr>
              <w:t>0.009L</w:t>
            </w:r>
          </w:p>
        </w:tc>
        <w:tc>
          <w:tcPr>
            <w:tcW w:w="847" w:type="dxa"/>
            <w:vAlign w:val="top"/>
          </w:tcPr>
          <w:p w14:paraId="0E62BA6D">
            <w:pPr>
              <w:pStyle w:val="6"/>
              <w:spacing w:before="183" w:line="232" w:lineRule="auto"/>
              <w:ind w:left="119"/>
            </w:pPr>
            <w:r>
              <w:rPr>
                <w:spacing w:val="-2"/>
              </w:rPr>
              <w:t>0.001L</w:t>
            </w:r>
          </w:p>
        </w:tc>
        <w:tc>
          <w:tcPr>
            <w:tcW w:w="565" w:type="dxa"/>
            <w:vAlign w:val="top"/>
          </w:tcPr>
          <w:p w14:paraId="27A51419">
            <w:pPr>
              <w:pStyle w:val="6"/>
              <w:spacing w:before="183" w:line="232" w:lineRule="auto"/>
              <w:ind w:left="166"/>
            </w:pPr>
            <w:r>
              <w:rPr>
                <w:spacing w:val="-8"/>
              </w:rPr>
              <w:t>1.8</w:t>
            </w:r>
          </w:p>
        </w:tc>
        <w:tc>
          <w:tcPr>
            <w:tcW w:w="567" w:type="dxa"/>
            <w:vAlign w:val="top"/>
          </w:tcPr>
          <w:p w14:paraId="6F6D80A5">
            <w:pPr>
              <w:pStyle w:val="6"/>
              <w:spacing w:before="183" w:line="232" w:lineRule="auto"/>
              <w:ind w:left="152"/>
            </w:pPr>
            <w:r>
              <w:rPr>
                <w:spacing w:val="-3"/>
              </w:rPr>
              <w:t>6.1</w:t>
            </w:r>
          </w:p>
        </w:tc>
        <w:tc>
          <w:tcPr>
            <w:tcW w:w="851" w:type="dxa"/>
            <w:vAlign w:val="top"/>
          </w:tcPr>
          <w:p w14:paraId="606F58D9">
            <w:pPr>
              <w:pStyle w:val="6"/>
              <w:spacing w:before="184" w:line="232" w:lineRule="auto"/>
              <w:ind w:left="266"/>
            </w:pPr>
            <w:r>
              <w:rPr>
                <w:spacing w:val="-1"/>
              </w:rPr>
              <w:t>245</w:t>
            </w:r>
          </w:p>
        </w:tc>
        <w:tc>
          <w:tcPr>
            <w:tcW w:w="566" w:type="dxa"/>
            <w:vAlign w:val="top"/>
          </w:tcPr>
          <w:p w14:paraId="57DB17D3">
            <w:pPr>
              <w:pStyle w:val="6"/>
              <w:spacing w:before="184" w:line="232" w:lineRule="auto"/>
              <w:ind w:left="144"/>
            </w:pPr>
            <w:r>
              <w:rPr>
                <w:spacing w:val="-6"/>
              </w:rPr>
              <w:t>168</w:t>
            </w:r>
          </w:p>
        </w:tc>
        <w:tc>
          <w:tcPr>
            <w:tcW w:w="567" w:type="dxa"/>
            <w:vAlign w:val="top"/>
          </w:tcPr>
          <w:p w14:paraId="004641F5">
            <w:pPr>
              <w:pStyle w:val="6"/>
              <w:spacing w:before="183" w:line="232" w:lineRule="auto"/>
              <w:ind w:left="118"/>
            </w:pPr>
            <w:r>
              <w:rPr>
                <w:spacing w:val="-6"/>
              </w:rPr>
              <w:t>1.08</w:t>
            </w:r>
          </w:p>
        </w:tc>
        <w:tc>
          <w:tcPr>
            <w:tcW w:w="851" w:type="dxa"/>
            <w:vAlign w:val="top"/>
          </w:tcPr>
          <w:p w14:paraId="2C0D4C1D">
            <w:pPr>
              <w:pStyle w:val="6"/>
              <w:spacing w:before="183" w:line="232" w:lineRule="auto"/>
              <w:ind w:left="127"/>
            </w:pPr>
            <w:r>
              <w:rPr>
                <w:spacing w:val="-2"/>
              </w:rPr>
              <w:t>0.002L</w:t>
            </w:r>
          </w:p>
        </w:tc>
        <w:tc>
          <w:tcPr>
            <w:tcW w:w="707" w:type="dxa"/>
            <w:vAlign w:val="top"/>
          </w:tcPr>
          <w:p w14:paraId="5CD7384D">
            <w:pPr>
              <w:pStyle w:val="6"/>
              <w:spacing w:before="183" w:line="232" w:lineRule="auto"/>
              <w:ind w:left="56"/>
            </w:pPr>
            <w:r>
              <w:rPr>
                <w:spacing w:val="-2"/>
              </w:rPr>
              <w:t>0.050L</w:t>
            </w:r>
          </w:p>
        </w:tc>
        <w:tc>
          <w:tcPr>
            <w:tcW w:w="708" w:type="dxa"/>
            <w:vAlign w:val="top"/>
          </w:tcPr>
          <w:p w14:paraId="5CF239BA">
            <w:pPr>
              <w:pStyle w:val="6"/>
              <w:spacing w:before="183" w:line="232" w:lineRule="auto"/>
              <w:ind w:left="58"/>
            </w:pPr>
            <w:r>
              <w:rPr>
                <w:spacing w:val="-2"/>
              </w:rPr>
              <w:t>0.001L</w:t>
            </w:r>
          </w:p>
        </w:tc>
        <w:tc>
          <w:tcPr>
            <w:tcW w:w="851" w:type="dxa"/>
            <w:vAlign w:val="top"/>
          </w:tcPr>
          <w:p w14:paraId="6B01D649">
            <w:pPr>
              <w:pStyle w:val="6"/>
              <w:spacing w:before="183" w:line="232" w:lineRule="auto"/>
              <w:ind w:left="80"/>
            </w:pPr>
            <w:r>
              <w:rPr>
                <w:spacing w:val="-1"/>
              </w:rPr>
              <w:t>0.0005L</w:t>
            </w:r>
          </w:p>
        </w:tc>
        <w:tc>
          <w:tcPr>
            <w:tcW w:w="708" w:type="dxa"/>
            <w:vAlign w:val="top"/>
          </w:tcPr>
          <w:p w14:paraId="2D3AE98F">
            <w:pPr>
              <w:pStyle w:val="6"/>
              <w:spacing w:before="183" w:line="232" w:lineRule="auto"/>
              <w:ind w:left="60"/>
            </w:pPr>
            <w:r>
              <w:rPr>
                <w:spacing w:val="-2"/>
              </w:rPr>
              <w:t>0.004L</w:t>
            </w:r>
          </w:p>
        </w:tc>
        <w:tc>
          <w:tcPr>
            <w:tcW w:w="851" w:type="dxa"/>
            <w:vAlign w:val="top"/>
          </w:tcPr>
          <w:p w14:paraId="3E6BEE11">
            <w:pPr>
              <w:pStyle w:val="6"/>
              <w:spacing w:before="183" w:line="232" w:lineRule="auto"/>
              <w:ind w:left="81"/>
            </w:pPr>
            <w:r>
              <w:rPr>
                <w:spacing w:val="-1"/>
              </w:rPr>
              <w:t>0.0025L</w:t>
            </w:r>
          </w:p>
        </w:tc>
        <w:tc>
          <w:tcPr>
            <w:tcW w:w="851" w:type="dxa"/>
            <w:vAlign w:val="top"/>
          </w:tcPr>
          <w:p w14:paraId="2EDC7344">
            <w:pPr>
              <w:pStyle w:val="6"/>
              <w:spacing w:before="183" w:line="232" w:lineRule="auto"/>
              <w:ind w:left="82"/>
            </w:pPr>
            <w:r>
              <w:rPr>
                <w:spacing w:val="-1"/>
              </w:rPr>
              <w:t>0.0001L</w:t>
            </w:r>
          </w:p>
        </w:tc>
        <w:tc>
          <w:tcPr>
            <w:tcW w:w="847" w:type="dxa"/>
            <w:vAlign w:val="top"/>
          </w:tcPr>
          <w:p w14:paraId="37C9C245">
            <w:pPr>
              <w:pStyle w:val="6"/>
              <w:spacing w:before="183" w:line="232" w:lineRule="auto"/>
              <w:ind w:left="80"/>
            </w:pPr>
            <w:r>
              <w:rPr>
                <w:spacing w:val="-1"/>
              </w:rPr>
              <w:t>0.0004L</w:t>
            </w:r>
          </w:p>
        </w:tc>
        <w:tc>
          <w:tcPr>
            <w:tcW w:w="708" w:type="dxa"/>
            <w:vAlign w:val="top"/>
          </w:tcPr>
          <w:p w14:paraId="1D999C9D">
            <w:pPr>
              <w:pStyle w:val="6"/>
              <w:spacing w:before="183" w:line="232" w:lineRule="auto"/>
              <w:ind w:left="64"/>
            </w:pPr>
            <w:r>
              <w:rPr>
                <w:spacing w:val="-2"/>
              </w:rPr>
              <w:t>0.002L</w:t>
            </w:r>
          </w:p>
        </w:tc>
        <w:tc>
          <w:tcPr>
            <w:tcW w:w="566" w:type="dxa"/>
            <w:vAlign w:val="top"/>
          </w:tcPr>
          <w:p w14:paraId="524355DB">
            <w:pPr>
              <w:pStyle w:val="6"/>
              <w:spacing w:before="183" w:line="232" w:lineRule="auto"/>
              <w:ind w:left="164"/>
            </w:pPr>
            <w:r>
              <w:rPr>
                <w:spacing w:val="-3"/>
              </w:rPr>
              <w:t>0.4</w:t>
            </w:r>
          </w:p>
        </w:tc>
        <w:tc>
          <w:tcPr>
            <w:tcW w:w="428" w:type="dxa"/>
            <w:vAlign w:val="top"/>
          </w:tcPr>
          <w:p w14:paraId="44247FA9">
            <w:pPr>
              <w:pStyle w:val="6"/>
              <w:spacing w:before="183" w:line="232" w:lineRule="auto"/>
              <w:ind w:left="112"/>
            </w:pPr>
            <w:r>
              <w:rPr>
                <w:spacing w:val="-8"/>
              </w:rPr>
              <w:t>1.4</w:t>
            </w:r>
          </w:p>
        </w:tc>
        <w:tc>
          <w:tcPr>
            <w:tcW w:w="570" w:type="dxa"/>
            <w:vAlign w:val="top"/>
          </w:tcPr>
          <w:p w14:paraId="7D9C4666">
            <w:pPr>
              <w:pStyle w:val="6"/>
              <w:spacing w:before="188" w:line="229" w:lineRule="auto"/>
              <w:ind w:left="191"/>
            </w:pPr>
            <w:r>
              <w:rPr>
                <w:b/>
                <w:bCs/>
                <w:spacing w:val="-2"/>
              </w:rPr>
              <w:t>25</w:t>
            </w:r>
          </w:p>
        </w:tc>
        <w:tc>
          <w:tcPr>
            <w:tcW w:w="559" w:type="dxa"/>
            <w:gridSpan w:val="2"/>
            <w:tcBorders>
              <w:right w:val="single" w:color="000000" w:sz="12" w:space="0"/>
            </w:tcBorders>
            <w:vAlign w:val="top"/>
          </w:tcPr>
          <w:p w14:paraId="1B31F316">
            <w:pPr>
              <w:pStyle w:val="6"/>
              <w:spacing w:before="188" w:line="229" w:lineRule="auto"/>
              <w:ind w:left="124"/>
            </w:pPr>
            <w:r>
              <w:rPr>
                <w:b/>
                <w:bCs/>
                <w:spacing w:val="-2"/>
              </w:rPr>
              <w:t>270</w:t>
            </w:r>
          </w:p>
        </w:tc>
      </w:tr>
      <w:tr w14:paraId="514F1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0784BA94">
            <w:pPr>
              <w:rPr>
                <w:rFonts w:ascii="Arial"/>
                <w:sz w:val="21"/>
              </w:rPr>
            </w:pPr>
          </w:p>
        </w:tc>
        <w:tc>
          <w:tcPr>
            <w:tcW w:w="265" w:type="dxa"/>
            <w:vMerge w:val="restart"/>
            <w:tcBorders>
              <w:bottom w:val="nil"/>
            </w:tcBorders>
            <w:vAlign w:val="top"/>
          </w:tcPr>
          <w:p w14:paraId="20006F0C">
            <w:pPr>
              <w:spacing w:line="345" w:lineRule="auto"/>
              <w:rPr>
                <w:rFonts w:ascii="Arial"/>
                <w:sz w:val="21"/>
              </w:rPr>
            </w:pPr>
          </w:p>
          <w:p w14:paraId="0E44C290">
            <w:pPr>
              <w:pStyle w:val="6"/>
              <w:spacing w:before="60" w:line="233" w:lineRule="auto"/>
              <w:ind w:left="14" w:right="38" w:firstLine="48"/>
              <w:jc w:val="both"/>
              <w:rPr>
                <w:rFonts w:ascii="等线" w:hAnsi="等线" w:eastAsia="等线" w:cs="等线"/>
              </w:rPr>
            </w:pPr>
            <w:r>
              <w:rPr>
                <w:spacing w:val="-4"/>
              </w:rPr>
              <w:t>4</w:t>
            </w:r>
            <w:r>
              <w:rPr>
                <w:rFonts w:ascii="等线" w:hAnsi="等线" w:eastAsia="等线" w:cs="等线"/>
                <w:spacing w:val="-8"/>
              </w:rPr>
              <w:t>季度</w:t>
            </w:r>
          </w:p>
        </w:tc>
        <w:tc>
          <w:tcPr>
            <w:tcW w:w="1014" w:type="dxa"/>
            <w:vAlign w:val="top"/>
          </w:tcPr>
          <w:p w14:paraId="01930266">
            <w:pPr>
              <w:pStyle w:val="6"/>
              <w:spacing w:before="185" w:line="232" w:lineRule="auto"/>
              <w:ind w:left="14"/>
            </w:pPr>
            <w:r>
              <w:rPr>
                <w:spacing w:val="-1"/>
              </w:rPr>
              <w:t>2020/11/15</w:t>
            </w:r>
          </w:p>
        </w:tc>
        <w:tc>
          <w:tcPr>
            <w:tcW w:w="737" w:type="dxa"/>
            <w:vAlign w:val="top"/>
          </w:tcPr>
          <w:p w14:paraId="6E36EB2E">
            <w:pPr>
              <w:pStyle w:val="6"/>
              <w:spacing w:before="192" w:line="183" w:lineRule="auto"/>
              <w:ind w:left="243"/>
            </w:pPr>
            <w:r>
              <w:rPr>
                <w:spacing w:val="-3"/>
              </w:rPr>
              <w:t>5L</w:t>
            </w:r>
          </w:p>
        </w:tc>
        <w:tc>
          <w:tcPr>
            <w:tcW w:w="708" w:type="dxa"/>
            <w:vAlign w:val="top"/>
          </w:tcPr>
          <w:p w14:paraId="730E4872">
            <w:pPr>
              <w:pStyle w:val="6"/>
              <w:spacing w:before="185" w:line="232" w:lineRule="auto"/>
              <w:ind w:left="148"/>
            </w:pPr>
            <w:r>
              <w:rPr>
                <w:spacing w:val="-2"/>
              </w:rPr>
              <w:t>0.5L</w:t>
            </w:r>
          </w:p>
        </w:tc>
        <w:tc>
          <w:tcPr>
            <w:tcW w:w="851" w:type="dxa"/>
            <w:vAlign w:val="top"/>
          </w:tcPr>
          <w:p w14:paraId="0ABBE6F9">
            <w:pPr>
              <w:pStyle w:val="6"/>
              <w:spacing w:before="185" w:line="232" w:lineRule="auto"/>
              <w:ind w:left="233"/>
            </w:pPr>
            <w:r>
              <w:rPr>
                <w:spacing w:val="-2"/>
              </w:rPr>
              <w:t>7.78</w:t>
            </w:r>
          </w:p>
        </w:tc>
        <w:tc>
          <w:tcPr>
            <w:tcW w:w="708" w:type="dxa"/>
            <w:vAlign w:val="top"/>
          </w:tcPr>
          <w:p w14:paraId="5B6F3D73">
            <w:pPr>
              <w:pStyle w:val="6"/>
              <w:spacing w:before="185" w:line="232" w:lineRule="auto"/>
              <w:ind w:left="44"/>
            </w:pPr>
            <w:r>
              <w:rPr>
                <w:spacing w:val="-2"/>
              </w:rPr>
              <w:t>0.040L</w:t>
            </w:r>
          </w:p>
        </w:tc>
        <w:tc>
          <w:tcPr>
            <w:tcW w:w="842" w:type="dxa"/>
            <w:vAlign w:val="top"/>
          </w:tcPr>
          <w:p w14:paraId="227812AA">
            <w:pPr>
              <w:pStyle w:val="6"/>
              <w:spacing w:before="185" w:line="232" w:lineRule="auto"/>
              <w:ind w:left="61"/>
            </w:pPr>
            <w:r>
              <w:rPr>
                <w:spacing w:val="-1"/>
              </w:rPr>
              <w:t>0.0045L</w:t>
            </w:r>
          </w:p>
        </w:tc>
        <w:tc>
          <w:tcPr>
            <w:tcW w:w="851" w:type="dxa"/>
            <w:vAlign w:val="top"/>
          </w:tcPr>
          <w:p w14:paraId="7F79DC50">
            <w:pPr>
              <w:pStyle w:val="6"/>
              <w:spacing w:before="185" w:line="232" w:lineRule="auto"/>
              <w:ind w:left="67"/>
            </w:pPr>
            <w:r>
              <w:rPr>
                <w:spacing w:val="-1"/>
              </w:rPr>
              <w:t>0.0005L</w:t>
            </w:r>
          </w:p>
        </w:tc>
        <w:tc>
          <w:tcPr>
            <w:tcW w:w="708" w:type="dxa"/>
            <w:vAlign w:val="top"/>
          </w:tcPr>
          <w:p w14:paraId="1AB41C7C">
            <w:pPr>
              <w:pStyle w:val="6"/>
              <w:spacing w:before="185" w:line="232" w:lineRule="auto"/>
              <w:ind w:left="113"/>
            </w:pPr>
            <w:r>
              <w:rPr>
                <w:spacing w:val="-2"/>
              </w:rPr>
              <w:t>0.009</w:t>
            </w:r>
          </w:p>
        </w:tc>
        <w:tc>
          <w:tcPr>
            <w:tcW w:w="847" w:type="dxa"/>
            <w:vAlign w:val="top"/>
          </w:tcPr>
          <w:p w14:paraId="43BD0B26">
            <w:pPr>
              <w:pStyle w:val="6"/>
              <w:spacing w:before="185" w:line="232" w:lineRule="auto"/>
              <w:ind w:left="119"/>
            </w:pPr>
            <w:r>
              <w:rPr>
                <w:spacing w:val="-2"/>
              </w:rPr>
              <w:t>0.001L</w:t>
            </w:r>
          </w:p>
        </w:tc>
        <w:tc>
          <w:tcPr>
            <w:tcW w:w="565" w:type="dxa"/>
            <w:vAlign w:val="top"/>
          </w:tcPr>
          <w:p w14:paraId="5FA84367">
            <w:pPr>
              <w:pStyle w:val="6"/>
              <w:spacing w:before="185" w:line="232" w:lineRule="auto"/>
              <w:ind w:left="166"/>
            </w:pPr>
            <w:r>
              <w:rPr>
                <w:spacing w:val="-8"/>
              </w:rPr>
              <w:t>1.7</w:t>
            </w:r>
          </w:p>
        </w:tc>
        <w:tc>
          <w:tcPr>
            <w:tcW w:w="567" w:type="dxa"/>
            <w:vAlign w:val="top"/>
          </w:tcPr>
          <w:p w14:paraId="357ACD57">
            <w:pPr>
              <w:pStyle w:val="6"/>
              <w:spacing w:before="185" w:line="232" w:lineRule="auto"/>
              <w:ind w:left="89"/>
            </w:pPr>
            <w:r>
              <w:rPr>
                <w:spacing w:val="-3"/>
              </w:rPr>
              <w:t>5.0L</w:t>
            </w:r>
          </w:p>
        </w:tc>
        <w:tc>
          <w:tcPr>
            <w:tcW w:w="851" w:type="dxa"/>
            <w:vAlign w:val="top"/>
          </w:tcPr>
          <w:p w14:paraId="4338B4FD">
            <w:pPr>
              <w:pStyle w:val="6"/>
              <w:spacing w:before="186" w:line="232" w:lineRule="auto"/>
              <w:ind w:left="266"/>
            </w:pPr>
            <w:r>
              <w:rPr>
                <w:spacing w:val="-1"/>
              </w:rPr>
              <w:t>243</w:t>
            </w:r>
          </w:p>
        </w:tc>
        <w:tc>
          <w:tcPr>
            <w:tcW w:w="566" w:type="dxa"/>
            <w:vAlign w:val="top"/>
          </w:tcPr>
          <w:p w14:paraId="45DF74DA">
            <w:pPr>
              <w:pStyle w:val="6"/>
              <w:spacing w:before="186" w:line="232" w:lineRule="auto"/>
              <w:ind w:left="124"/>
            </w:pPr>
            <w:r>
              <w:rPr>
                <w:spacing w:val="-1"/>
              </w:rPr>
              <w:t>206</w:t>
            </w:r>
          </w:p>
        </w:tc>
        <w:tc>
          <w:tcPr>
            <w:tcW w:w="567" w:type="dxa"/>
            <w:vAlign w:val="top"/>
          </w:tcPr>
          <w:p w14:paraId="5C0DA855">
            <w:pPr>
              <w:pStyle w:val="6"/>
              <w:spacing w:before="185" w:line="232" w:lineRule="auto"/>
              <w:ind w:left="101"/>
            </w:pPr>
            <w:r>
              <w:rPr>
                <w:spacing w:val="-2"/>
              </w:rPr>
              <w:t>0.48</w:t>
            </w:r>
          </w:p>
        </w:tc>
        <w:tc>
          <w:tcPr>
            <w:tcW w:w="851" w:type="dxa"/>
            <w:vAlign w:val="top"/>
          </w:tcPr>
          <w:p w14:paraId="2E385DD3">
            <w:pPr>
              <w:pStyle w:val="6"/>
              <w:spacing w:before="185" w:line="232" w:lineRule="auto"/>
              <w:ind w:left="127"/>
            </w:pPr>
            <w:r>
              <w:rPr>
                <w:spacing w:val="-2"/>
              </w:rPr>
              <w:t>0.002L</w:t>
            </w:r>
          </w:p>
        </w:tc>
        <w:tc>
          <w:tcPr>
            <w:tcW w:w="707" w:type="dxa"/>
            <w:vAlign w:val="top"/>
          </w:tcPr>
          <w:p w14:paraId="66BA6173">
            <w:pPr>
              <w:pStyle w:val="6"/>
              <w:spacing w:before="185" w:line="232" w:lineRule="auto"/>
              <w:ind w:left="56"/>
            </w:pPr>
            <w:r>
              <w:rPr>
                <w:spacing w:val="-2"/>
              </w:rPr>
              <w:t>0.050L</w:t>
            </w:r>
          </w:p>
        </w:tc>
        <w:tc>
          <w:tcPr>
            <w:tcW w:w="708" w:type="dxa"/>
            <w:vAlign w:val="top"/>
          </w:tcPr>
          <w:p w14:paraId="4CE8ECAD">
            <w:pPr>
              <w:pStyle w:val="6"/>
              <w:spacing w:before="185" w:line="232" w:lineRule="auto"/>
              <w:ind w:left="58"/>
            </w:pPr>
            <w:r>
              <w:rPr>
                <w:spacing w:val="-2"/>
              </w:rPr>
              <w:t>0.001L</w:t>
            </w:r>
          </w:p>
        </w:tc>
        <w:tc>
          <w:tcPr>
            <w:tcW w:w="851" w:type="dxa"/>
            <w:vAlign w:val="top"/>
          </w:tcPr>
          <w:p w14:paraId="1B708988">
            <w:pPr>
              <w:pStyle w:val="6"/>
              <w:spacing w:before="185" w:line="232" w:lineRule="auto"/>
              <w:ind w:left="80"/>
            </w:pPr>
            <w:r>
              <w:rPr>
                <w:spacing w:val="-1"/>
              </w:rPr>
              <w:t>0.0005L</w:t>
            </w:r>
          </w:p>
        </w:tc>
        <w:tc>
          <w:tcPr>
            <w:tcW w:w="708" w:type="dxa"/>
            <w:vAlign w:val="top"/>
          </w:tcPr>
          <w:p w14:paraId="1F03236B">
            <w:pPr>
              <w:pStyle w:val="6"/>
              <w:spacing w:before="185" w:line="232" w:lineRule="auto"/>
              <w:ind w:left="60"/>
            </w:pPr>
            <w:r>
              <w:rPr>
                <w:spacing w:val="-2"/>
              </w:rPr>
              <w:t>0.004L</w:t>
            </w:r>
          </w:p>
        </w:tc>
        <w:tc>
          <w:tcPr>
            <w:tcW w:w="851" w:type="dxa"/>
            <w:vAlign w:val="top"/>
          </w:tcPr>
          <w:p w14:paraId="52B7A81E">
            <w:pPr>
              <w:pStyle w:val="6"/>
              <w:spacing w:before="185" w:line="232" w:lineRule="auto"/>
              <w:ind w:left="81"/>
            </w:pPr>
            <w:r>
              <w:rPr>
                <w:spacing w:val="-2"/>
              </w:rPr>
              <w:t>0.0025L</w:t>
            </w:r>
          </w:p>
        </w:tc>
        <w:tc>
          <w:tcPr>
            <w:tcW w:w="851" w:type="dxa"/>
            <w:vAlign w:val="top"/>
          </w:tcPr>
          <w:p w14:paraId="18A0006A">
            <w:pPr>
              <w:pStyle w:val="6"/>
              <w:spacing w:before="185" w:line="232" w:lineRule="auto"/>
              <w:ind w:left="82"/>
            </w:pPr>
            <w:r>
              <w:rPr>
                <w:spacing w:val="-1"/>
              </w:rPr>
              <w:t>0.0001L</w:t>
            </w:r>
          </w:p>
        </w:tc>
        <w:tc>
          <w:tcPr>
            <w:tcW w:w="847" w:type="dxa"/>
            <w:vAlign w:val="top"/>
          </w:tcPr>
          <w:p w14:paraId="57C91964">
            <w:pPr>
              <w:pStyle w:val="6"/>
              <w:spacing w:before="185" w:line="232" w:lineRule="auto"/>
              <w:ind w:left="80"/>
            </w:pPr>
            <w:r>
              <w:rPr>
                <w:spacing w:val="-1"/>
              </w:rPr>
              <w:t>0.0004L</w:t>
            </w:r>
          </w:p>
        </w:tc>
        <w:tc>
          <w:tcPr>
            <w:tcW w:w="708" w:type="dxa"/>
            <w:vAlign w:val="top"/>
          </w:tcPr>
          <w:p w14:paraId="739A25BB">
            <w:pPr>
              <w:pStyle w:val="6"/>
              <w:spacing w:before="185" w:line="232" w:lineRule="auto"/>
              <w:ind w:left="64"/>
            </w:pPr>
            <w:r>
              <w:rPr>
                <w:spacing w:val="-2"/>
              </w:rPr>
              <w:t>0.002L</w:t>
            </w:r>
          </w:p>
        </w:tc>
        <w:tc>
          <w:tcPr>
            <w:tcW w:w="566" w:type="dxa"/>
            <w:vAlign w:val="top"/>
          </w:tcPr>
          <w:p w14:paraId="6396E84D">
            <w:pPr>
              <w:pStyle w:val="6"/>
              <w:spacing w:before="185" w:line="232" w:lineRule="auto"/>
              <w:ind w:left="164"/>
            </w:pPr>
            <w:r>
              <w:rPr>
                <w:spacing w:val="-3"/>
              </w:rPr>
              <w:t>0.4</w:t>
            </w:r>
          </w:p>
        </w:tc>
        <w:tc>
          <w:tcPr>
            <w:tcW w:w="428" w:type="dxa"/>
            <w:vAlign w:val="top"/>
          </w:tcPr>
          <w:p w14:paraId="61E62A78">
            <w:pPr>
              <w:pStyle w:val="6"/>
              <w:spacing w:before="185" w:line="232" w:lineRule="auto"/>
              <w:ind w:left="112"/>
            </w:pPr>
            <w:r>
              <w:rPr>
                <w:spacing w:val="-8"/>
              </w:rPr>
              <w:t>1.6</w:t>
            </w:r>
          </w:p>
        </w:tc>
        <w:tc>
          <w:tcPr>
            <w:tcW w:w="570" w:type="dxa"/>
            <w:vAlign w:val="top"/>
          </w:tcPr>
          <w:p w14:paraId="36326F30">
            <w:pPr>
              <w:pStyle w:val="6"/>
              <w:spacing w:before="189" w:line="229" w:lineRule="auto"/>
              <w:ind w:left="246"/>
            </w:pPr>
            <w:r>
              <w:rPr>
                <w:b/>
                <w:bCs/>
              </w:rPr>
              <w:t>6</w:t>
            </w:r>
          </w:p>
        </w:tc>
        <w:tc>
          <w:tcPr>
            <w:tcW w:w="559" w:type="dxa"/>
            <w:gridSpan w:val="2"/>
            <w:tcBorders>
              <w:right w:val="single" w:color="000000" w:sz="12" w:space="0"/>
            </w:tcBorders>
            <w:vAlign w:val="top"/>
          </w:tcPr>
          <w:p w14:paraId="1DF6609F">
            <w:pPr>
              <w:pStyle w:val="6"/>
              <w:spacing w:before="186" w:line="232" w:lineRule="auto"/>
              <w:ind w:left="184"/>
            </w:pPr>
            <w:r>
              <w:rPr>
                <w:spacing w:val="-4"/>
              </w:rPr>
              <w:t>80</w:t>
            </w:r>
          </w:p>
        </w:tc>
      </w:tr>
      <w:tr w14:paraId="528C6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5FCC50EB">
            <w:pPr>
              <w:rPr>
                <w:rFonts w:ascii="Arial"/>
                <w:sz w:val="21"/>
              </w:rPr>
            </w:pPr>
          </w:p>
        </w:tc>
        <w:tc>
          <w:tcPr>
            <w:tcW w:w="265" w:type="dxa"/>
            <w:vMerge w:val="continue"/>
            <w:tcBorders>
              <w:top w:val="nil"/>
              <w:bottom w:val="nil"/>
            </w:tcBorders>
            <w:vAlign w:val="top"/>
          </w:tcPr>
          <w:p w14:paraId="39C75BB5">
            <w:pPr>
              <w:rPr>
                <w:rFonts w:ascii="Arial"/>
                <w:sz w:val="21"/>
              </w:rPr>
            </w:pPr>
          </w:p>
        </w:tc>
        <w:tc>
          <w:tcPr>
            <w:tcW w:w="1014" w:type="dxa"/>
            <w:vAlign w:val="top"/>
          </w:tcPr>
          <w:p w14:paraId="4C460292">
            <w:pPr>
              <w:pStyle w:val="6"/>
              <w:spacing w:before="185" w:line="232" w:lineRule="auto"/>
              <w:ind w:left="14"/>
            </w:pPr>
            <w:r>
              <w:rPr>
                <w:spacing w:val="-1"/>
              </w:rPr>
              <w:t>2020/11/16</w:t>
            </w:r>
          </w:p>
        </w:tc>
        <w:tc>
          <w:tcPr>
            <w:tcW w:w="737" w:type="dxa"/>
            <w:vAlign w:val="top"/>
          </w:tcPr>
          <w:p w14:paraId="69E76A39">
            <w:pPr>
              <w:pStyle w:val="6"/>
              <w:spacing w:before="192" w:line="183" w:lineRule="auto"/>
              <w:ind w:left="243"/>
            </w:pPr>
            <w:r>
              <w:rPr>
                <w:spacing w:val="-3"/>
              </w:rPr>
              <w:t>5L</w:t>
            </w:r>
          </w:p>
        </w:tc>
        <w:tc>
          <w:tcPr>
            <w:tcW w:w="708" w:type="dxa"/>
            <w:vAlign w:val="top"/>
          </w:tcPr>
          <w:p w14:paraId="0C146207">
            <w:pPr>
              <w:pStyle w:val="6"/>
              <w:spacing w:before="185" w:line="232" w:lineRule="auto"/>
              <w:ind w:left="148"/>
            </w:pPr>
            <w:r>
              <w:rPr>
                <w:spacing w:val="-2"/>
              </w:rPr>
              <w:t>0.5L</w:t>
            </w:r>
          </w:p>
        </w:tc>
        <w:tc>
          <w:tcPr>
            <w:tcW w:w="851" w:type="dxa"/>
            <w:vAlign w:val="top"/>
          </w:tcPr>
          <w:p w14:paraId="094A9AD8">
            <w:pPr>
              <w:pStyle w:val="6"/>
              <w:spacing w:before="185" w:line="232" w:lineRule="auto"/>
              <w:ind w:left="233"/>
            </w:pPr>
            <w:r>
              <w:rPr>
                <w:spacing w:val="-2"/>
              </w:rPr>
              <w:t>7.74</w:t>
            </w:r>
          </w:p>
        </w:tc>
        <w:tc>
          <w:tcPr>
            <w:tcW w:w="708" w:type="dxa"/>
            <w:vAlign w:val="top"/>
          </w:tcPr>
          <w:p w14:paraId="403A0274">
            <w:pPr>
              <w:pStyle w:val="6"/>
              <w:spacing w:before="185" w:line="232" w:lineRule="auto"/>
              <w:ind w:left="44"/>
            </w:pPr>
            <w:r>
              <w:rPr>
                <w:spacing w:val="-2"/>
              </w:rPr>
              <w:t>0.040L</w:t>
            </w:r>
          </w:p>
        </w:tc>
        <w:tc>
          <w:tcPr>
            <w:tcW w:w="842" w:type="dxa"/>
            <w:vAlign w:val="top"/>
          </w:tcPr>
          <w:p w14:paraId="39B709B3">
            <w:pPr>
              <w:pStyle w:val="6"/>
              <w:spacing w:before="185" w:line="232" w:lineRule="auto"/>
              <w:ind w:left="61"/>
            </w:pPr>
            <w:r>
              <w:rPr>
                <w:spacing w:val="-1"/>
              </w:rPr>
              <w:t>0.0045L</w:t>
            </w:r>
          </w:p>
        </w:tc>
        <w:tc>
          <w:tcPr>
            <w:tcW w:w="851" w:type="dxa"/>
            <w:vAlign w:val="top"/>
          </w:tcPr>
          <w:p w14:paraId="3846F68C">
            <w:pPr>
              <w:pStyle w:val="6"/>
              <w:spacing w:before="185" w:line="232" w:lineRule="auto"/>
              <w:ind w:left="67"/>
            </w:pPr>
            <w:r>
              <w:rPr>
                <w:spacing w:val="-1"/>
              </w:rPr>
              <w:t>0.0005L</w:t>
            </w:r>
          </w:p>
        </w:tc>
        <w:tc>
          <w:tcPr>
            <w:tcW w:w="708" w:type="dxa"/>
            <w:vAlign w:val="top"/>
          </w:tcPr>
          <w:p w14:paraId="609E3CD3">
            <w:pPr>
              <w:pStyle w:val="6"/>
              <w:spacing w:before="185" w:line="232" w:lineRule="auto"/>
              <w:ind w:left="113"/>
            </w:pPr>
            <w:r>
              <w:rPr>
                <w:spacing w:val="-2"/>
              </w:rPr>
              <w:t>0.009</w:t>
            </w:r>
          </w:p>
        </w:tc>
        <w:tc>
          <w:tcPr>
            <w:tcW w:w="847" w:type="dxa"/>
            <w:vAlign w:val="top"/>
          </w:tcPr>
          <w:p w14:paraId="75A76C4C">
            <w:pPr>
              <w:pStyle w:val="6"/>
              <w:spacing w:before="185" w:line="232" w:lineRule="auto"/>
              <w:ind w:left="119"/>
            </w:pPr>
            <w:r>
              <w:rPr>
                <w:spacing w:val="-2"/>
              </w:rPr>
              <w:t>0.001L</w:t>
            </w:r>
          </w:p>
        </w:tc>
        <w:tc>
          <w:tcPr>
            <w:tcW w:w="565" w:type="dxa"/>
            <w:vAlign w:val="top"/>
          </w:tcPr>
          <w:p w14:paraId="5E633C77">
            <w:pPr>
              <w:pStyle w:val="6"/>
              <w:spacing w:before="185" w:line="232" w:lineRule="auto"/>
              <w:ind w:left="146"/>
            </w:pPr>
            <w:r>
              <w:rPr>
                <w:spacing w:val="-2"/>
              </w:rPr>
              <w:t>2.0</w:t>
            </w:r>
          </w:p>
        </w:tc>
        <w:tc>
          <w:tcPr>
            <w:tcW w:w="567" w:type="dxa"/>
            <w:vAlign w:val="top"/>
          </w:tcPr>
          <w:p w14:paraId="288A1C30">
            <w:pPr>
              <w:pStyle w:val="6"/>
              <w:spacing w:before="185" w:line="232" w:lineRule="auto"/>
              <w:ind w:left="89"/>
            </w:pPr>
            <w:r>
              <w:rPr>
                <w:spacing w:val="-3"/>
              </w:rPr>
              <w:t>5.0L</w:t>
            </w:r>
          </w:p>
        </w:tc>
        <w:tc>
          <w:tcPr>
            <w:tcW w:w="851" w:type="dxa"/>
            <w:vAlign w:val="top"/>
          </w:tcPr>
          <w:p w14:paraId="0322A9A0">
            <w:pPr>
              <w:pStyle w:val="6"/>
              <w:spacing w:before="186" w:line="232" w:lineRule="auto"/>
              <w:ind w:left="266"/>
            </w:pPr>
            <w:r>
              <w:rPr>
                <w:spacing w:val="-1"/>
              </w:rPr>
              <w:t>251</w:t>
            </w:r>
          </w:p>
        </w:tc>
        <w:tc>
          <w:tcPr>
            <w:tcW w:w="566" w:type="dxa"/>
            <w:vAlign w:val="top"/>
          </w:tcPr>
          <w:p w14:paraId="271DA0BC">
            <w:pPr>
              <w:pStyle w:val="6"/>
              <w:spacing w:before="185" w:line="235" w:lineRule="auto"/>
              <w:ind w:left="124"/>
            </w:pPr>
            <w:r>
              <w:rPr>
                <w:spacing w:val="-1"/>
              </w:rPr>
              <w:t>212</w:t>
            </w:r>
          </w:p>
        </w:tc>
        <w:tc>
          <w:tcPr>
            <w:tcW w:w="567" w:type="dxa"/>
            <w:vAlign w:val="top"/>
          </w:tcPr>
          <w:p w14:paraId="256C7432">
            <w:pPr>
              <w:pStyle w:val="6"/>
              <w:spacing w:before="185" w:line="232" w:lineRule="auto"/>
              <w:ind w:left="101"/>
            </w:pPr>
            <w:r>
              <w:rPr>
                <w:spacing w:val="-2"/>
              </w:rPr>
              <w:t>0.46</w:t>
            </w:r>
          </w:p>
        </w:tc>
        <w:tc>
          <w:tcPr>
            <w:tcW w:w="851" w:type="dxa"/>
            <w:vAlign w:val="top"/>
          </w:tcPr>
          <w:p w14:paraId="1F2C94BF">
            <w:pPr>
              <w:pStyle w:val="6"/>
              <w:spacing w:before="185" w:line="232" w:lineRule="auto"/>
              <w:ind w:left="127"/>
            </w:pPr>
            <w:r>
              <w:rPr>
                <w:spacing w:val="-2"/>
              </w:rPr>
              <w:t>0.002L</w:t>
            </w:r>
          </w:p>
        </w:tc>
        <w:tc>
          <w:tcPr>
            <w:tcW w:w="707" w:type="dxa"/>
            <w:vAlign w:val="top"/>
          </w:tcPr>
          <w:p w14:paraId="042A1CFB">
            <w:pPr>
              <w:pStyle w:val="6"/>
              <w:spacing w:before="185" w:line="232" w:lineRule="auto"/>
              <w:ind w:left="56"/>
            </w:pPr>
            <w:r>
              <w:rPr>
                <w:spacing w:val="-2"/>
              </w:rPr>
              <w:t>0.050L</w:t>
            </w:r>
          </w:p>
        </w:tc>
        <w:tc>
          <w:tcPr>
            <w:tcW w:w="708" w:type="dxa"/>
            <w:vAlign w:val="top"/>
          </w:tcPr>
          <w:p w14:paraId="42C0BA3F">
            <w:pPr>
              <w:pStyle w:val="6"/>
              <w:spacing w:before="185" w:line="232" w:lineRule="auto"/>
              <w:ind w:left="58"/>
            </w:pPr>
            <w:r>
              <w:rPr>
                <w:spacing w:val="-2"/>
              </w:rPr>
              <w:t>0.001L</w:t>
            </w:r>
          </w:p>
        </w:tc>
        <w:tc>
          <w:tcPr>
            <w:tcW w:w="851" w:type="dxa"/>
            <w:vAlign w:val="top"/>
          </w:tcPr>
          <w:p w14:paraId="71FB897E">
            <w:pPr>
              <w:pStyle w:val="6"/>
              <w:spacing w:before="185" w:line="232" w:lineRule="auto"/>
              <w:ind w:left="80"/>
            </w:pPr>
            <w:r>
              <w:rPr>
                <w:spacing w:val="-1"/>
              </w:rPr>
              <w:t>0.0005L</w:t>
            </w:r>
          </w:p>
        </w:tc>
        <w:tc>
          <w:tcPr>
            <w:tcW w:w="708" w:type="dxa"/>
            <w:vAlign w:val="top"/>
          </w:tcPr>
          <w:p w14:paraId="157AB6F7">
            <w:pPr>
              <w:pStyle w:val="6"/>
              <w:spacing w:before="185" w:line="232" w:lineRule="auto"/>
              <w:ind w:left="60"/>
            </w:pPr>
            <w:r>
              <w:rPr>
                <w:spacing w:val="-2"/>
              </w:rPr>
              <w:t>0.004L</w:t>
            </w:r>
          </w:p>
        </w:tc>
        <w:tc>
          <w:tcPr>
            <w:tcW w:w="851" w:type="dxa"/>
            <w:vAlign w:val="top"/>
          </w:tcPr>
          <w:p w14:paraId="4844B4B9">
            <w:pPr>
              <w:pStyle w:val="6"/>
              <w:spacing w:before="185" w:line="232" w:lineRule="auto"/>
              <w:ind w:left="81"/>
            </w:pPr>
            <w:r>
              <w:rPr>
                <w:spacing w:val="-1"/>
              </w:rPr>
              <w:t>0.0025L</w:t>
            </w:r>
          </w:p>
        </w:tc>
        <w:tc>
          <w:tcPr>
            <w:tcW w:w="851" w:type="dxa"/>
            <w:vAlign w:val="top"/>
          </w:tcPr>
          <w:p w14:paraId="5B3FCFA7">
            <w:pPr>
              <w:pStyle w:val="6"/>
              <w:spacing w:before="185" w:line="232" w:lineRule="auto"/>
              <w:ind w:left="82"/>
            </w:pPr>
            <w:r>
              <w:rPr>
                <w:spacing w:val="-1"/>
              </w:rPr>
              <w:t>0.0001L</w:t>
            </w:r>
          </w:p>
        </w:tc>
        <w:tc>
          <w:tcPr>
            <w:tcW w:w="847" w:type="dxa"/>
            <w:vAlign w:val="top"/>
          </w:tcPr>
          <w:p w14:paraId="417AC725">
            <w:pPr>
              <w:pStyle w:val="6"/>
              <w:spacing w:before="185" w:line="232" w:lineRule="auto"/>
              <w:ind w:left="80"/>
            </w:pPr>
            <w:r>
              <w:rPr>
                <w:spacing w:val="-1"/>
              </w:rPr>
              <w:t>0.0004L</w:t>
            </w:r>
          </w:p>
        </w:tc>
        <w:tc>
          <w:tcPr>
            <w:tcW w:w="708" w:type="dxa"/>
            <w:vAlign w:val="top"/>
          </w:tcPr>
          <w:p w14:paraId="6AB9E5AF">
            <w:pPr>
              <w:pStyle w:val="6"/>
              <w:spacing w:before="185" w:line="232" w:lineRule="auto"/>
              <w:ind w:left="64"/>
            </w:pPr>
            <w:r>
              <w:rPr>
                <w:spacing w:val="-2"/>
              </w:rPr>
              <w:t>0.002L</w:t>
            </w:r>
          </w:p>
        </w:tc>
        <w:tc>
          <w:tcPr>
            <w:tcW w:w="566" w:type="dxa"/>
            <w:vAlign w:val="top"/>
          </w:tcPr>
          <w:p w14:paraId="5D8733A7">
            <w:pPr>
              <w:pStyle w:val="6"/>
              <w:spacing w:before="185" w:line="232" w:lineRule="auto"/>
              <w:ind w:left="164"/>
            </w:pPr>
            <w:r>
              <w:rPr>
                <w:spacing w:val="-3"/>
              </w:rPr>
              <w:t>0.7</w:t>
            </w:r>
          </w:p>
        </w:tc>
        <w:tc>
          <w:tcPr>
            <w:tcW w:w="428" w:type="dxa"/>
            <w:vAlign w:val="top"/>
          </w:tcPr>
          <w:p w14:paraId="1B7334E5">
            <w:pPr>
              <w:pStyle w:val="6"/>
              <w:spacing w:before="185" w:line="232" w:lineRule="auto"/>
              <w:ind w:left="112"/>
            </w:pPr>
            <w:r>
              <w:rPr>
                <w:spacing w:val="-8"/>
              </w:rPr>
              <w:t>1.8</w:t>
            </w:r>
          </w:p>
        </w:tc>
        <w:tc>
          <w:tcPr>
            <w:tcW w:w="570" w:type="dxa"/>
            <w:vAlign w:val="top"/>
          </w:tcPr>
          <w:p w14:paraId="2E6C3B91">
            <w:pPr>
              <w:pStyle w:val="6"/>
              <w:spacing w:before="190" w:line="229" w:lineRule="auto"/>
              <w:ind w:left="246"/>
            </w:pPr>
            <w:r>
              <w:rPr>
                <w:b/>
                <w:bCs/>
              </w:rPr>
              <w:t>8</w:t>
            </w:r>
          </w:p>
        </w:tc>
        <w:tc>
          <w:tcPr>
            <w:tcW w:w="559" w:type="dxa"/>
            <w:gridSpan w:val="2"/>
            <w:tcBorders>
              <w:right w:val="single" w:color="000000" w:sz="12" w:space="0"/>
            </w:tcBorders>
            <w:vAlign w:val="top"/>
          </w:tcPr>
          <w:p w14:paraId="57B9C713">
            <w:pPr>
              <w:pStyle w:val="6"/>
              <w:spacing w:before="186" w:line="232" w:lineRule="auto"/>
              <w:ind w:left="181"/>
            </w:pPr>
            <w:r>
              <w:rPr>
                <w:spacing w:val="-3"/>
              </w:rPr>
              <w:t>60</w:t>
            </w:r>
          </w:p>
        </w:tc>
      </w:tr>
      <w:tr w14:paraId="578CF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31" w:type="dxa"/>
            <w:vMerge w:val="continue"/>
            <w:tcBorders>
              <w:top w:val="nil"/>
              <w:left w:val="single" w:color="000000" w:sz="12" w:space="0"/>
            </w:tcBorders>
            <w:vAlign w:val="top"/>
          </w:tcPr>
          <w:p w14:paraId="0DCC9AC4">
            <w:pPr>
              <w:rPr>
                <w:rFonts w:ascii="Arial"/>
                <w:sz w:val="21"/>
              </w:rPr>
            </w:pPr>
          </w:p>
        </w:tc>
        <w:tc>
          <w:tcPr>
            <w:tcW w:w="265" w:type="dxa"/>
            <w:vMerge w:val="continue"/>
            <w:tcBorders>
              <w:top w:val="nil"/>
            </w:tcBorders>
            <w:vAlign w:val="top"/>
          </w:tcPr>
          <w:p w14:paraId="11D441A3">
            <w:pPr>
              <w:rPr>
                <w:rFonts w:ascii="Arial"/>
                <w:sz w:val="21"/>
              </w:rPr>
            </w:pPr>
          </w:p>
        </w:tc>
        <w:tc>
          <w:tcPr>
            <w:tcW w:w="1014" w:type="dxa"/>
            <w:vAlign w:val="top"/>
          </w:tcPr>
          <w:p w14:paraId="478BAFC7">
            <w:pPr>
              <w:pStyle w:val="6"/>
              <w:spacing w:before="187" w:line="232" w:lineRule="auto"/>
              <w:ind w:left="14"/>
            </w:pPr>
            <w:r>
              <w:rPr>
                <w:spacing w:val="-1"/>
              </w:rPr>
              <w:t>2020/11/17</w:t>
            </w:r>
          </w:p>
        </w:tc>
        <w:tc>
          <w:tcPr>
            <w:tcW w:w="737" w:type="dxa"/>
            <w:vAlign w:val="top"/>
          </w:tcPr>
          <w:p w14:paraId="68F5B9E6">
            <w:pPr>
              <w:pStyle w:val="6"/>
              <w:spacing w:before="193" w:line="183" w:lineRule="auto"/>
              <w:ind w:left="243"/>
            </w:pPr>
            <w:r>
              <w:rPr>
                <w:spacing w:val="-3"/>
              </w:rPr>
              <w:t>5L</w:t>
            </w:r>
          </w:p>
        </w:tc>
        <w:tc>
          <w:tcPr>
            <w:tcW w:w="708" w:type="dxa"/>
            <w:vAlign w:val="top"/>
          </w:tcPr>
          <w:p w14:paraId="243A18B3">
            <w:pPr>
              <w:pStyle w:val="6"/>
              <w:spacing w:before="187" w:line="232" w:lineRule="auto"/>
              <w:ind w:left="148"/>
            </w:pPr>
            <w:r>
              <w:rPr>
                <w:spacing w:val="-2"/>
              </w:rPr>
              <w:t>0.5L</w:t>
            </w:r>
          </w:p>
        </w:tc>
        <w:tc>
          <w:tcPr>
            <w:tcW w:w="851" w:type="dxa"/>
            <w:vAlign w:val="top"/>
          </w:tcPr>
          <w:p w14:paraId="2156A0F0">
            <w:pPr>
              <w:pStyle w:val="6"/>
              <w:spacing w:before="187" w:line="232" w:lineRule="auto"/>
              <w:ind w:left="233"/>
            </w:pPr>
            <w:r>
              <w:rPr>
                <w:spacing w:val="-2"/>
              </w:rPr>
              <w:t>7.85</w:t>
            </w:r>
          </w:p>
        </w:tc>
        <w:tc>
          <w:tcPr>
            <w:tcW w:w="708" w:type="dxa"/>
            <w:vAlign w:val="top"/>
          </w:tcPr>
          <w:p w14:paraId="59E26C90">
            <w:pPr>
              <w:pStyle w:val="6"/>
              <w:spacing w:before="187" w:line="232" w:lineRule="auto"/>
              <w:ind w:left="44"/>
            </w:pPr>
            <w:r>
              <w:rPr>
                <w:spacing w:val="-2"/>
              </w:rPr>
              <w:t>0.040L</w:t>
            </w:r>
          </w:p>
        </w:tc>
        <w:tc>
          <w:tcPr>
            <w:tcW w:w="842" w:type="dxa"/>
            <w:vAlign w:val="top"/>
          </w:tcPr>
          <w:p w14:paraId="1EDC7298">
            <w:pPr>
              <w:pStyle w:val="6"/>
              <w:spacing w:before="187" w:line="232" w:lineRule="auto"/>
              <w:ind w:left="61"/>
            </w:pPr>
            <w:r>
              <w:rPr>
                <w:spacing w:val="-1"/>
              </w:rPr>
              <w:t>0.0045L</w:t>
            </w:r>
          </w:p>
        </w:tc>
        <w:tc>
          <w:tcPr>
            <w:tcW w:w="851" w:type="dxa"/>
            <w:vAlign w:val="top"/>
          </w:tcPr>
          <w:p w14:paraId="491939E3">
            <w:pPr>
              <w:pStyle w:val="6"/>
              <w:spacing w:before="187" w:line="232" w:lineRule="auto"/>
              <w:ind w:left="67"/>
            </w:pPr>
            <w:r>
              <w:rPr>
                <w:spacing w:val="-1"/>
              </w:rPr>
              <w:t>0.0005L</w:t>
            </w:r>
          </w:p>
        </w:tc>
        <w:tc>
          <w:tcPr>
            <w:tcW w:w="708" w:type="dxa"/>
            <w:vAlign w:val="top"/>
          </w:tcPr>
          <w:p w14:paraId="685BFD1D">
            <w:pPr>
              <w:pStyle w:val="6"/>
              <w:spacing w:before="187" w:line="232" w:lineRule="auto"/>
              <w:ind w:left="113"/>
            </w:pPr>
            <w:r>
              <w:rPr>
                <w:spacing w:val="-2"/>
              </w:rPr>
              <w:t>0.009</w:t>
            </w:r>
          </w:p>
        </w:tc>
        <w:tc>
          <w:tcPr>
            <w:tcW w:w="847" w:type="dxa"/>
            <w:vAlign w:val="top"/>
          </w:tcPr>
          <w:p w14:paraId="78D19635">
            <w:pPr>
              <w:pStyle w:val="6"/>
              <w:spacing w:before="187" w:line="232" w:lineRule="auto"/>
              <w:ind w:left="119"/>
            </w:pPr>
            <w:r>
              <w:rPr>
                <w:spacing w:val="-2"/>
              </w:rPr>
              <w:t>0.001L</w:t>
            </w:r>
          </w:p>
        </w:tc>
        <w:tc>
          <w:tcPr>
            <w:tcW w:w="565" w:type="dxa"/>
            <w:vAlign w:val="top"/>
          </w:tcPr>
          <w:p w14:paraId="523A3BB4">
            <w:pPr>
              <w:pStyle w:val="6"/>
              <w:spacing w:before="187" w:line="232" w:lineRule="auto"/>
              <w:ind w:left="166"/>
            </w:pPr>
            <w:r>
              <w:rPr>
                <w:spacing w:val="-8"/>
              </w:rPr>
              <w:t>1.9</w:t>
            </w:r>
          </w:p>
        </w:tc>
        <w:tc>
          <w:tcPr>
            <w:tcW w:w="567" w:type="dxa"/>
            <w:vAlign w:val="top"/>
          </w:tcPr>
          <w:p w14:paraId="48514975">
            <w:pPr>
              <w:pStyle w:val="6"/>
              <w:spacing w:before="187" w:line="232" w:lineRule="auto"/>
              <w:ind w:left="89"/>
            </w:pPr>
            <w:r>
              <w:rPr>
                <w:spacing w:val="-3"/>
              </w:rPr>
              <w:t>5.0L</w:t>
            </w:r>
          </w:p>
        </w:tc>
        <w:tc>
          <w:tcPr>
            <w:tcW w:w="851" w:type="dxa"/>
            <w:vAlign w:val="top"/>
          </w:tcPr>
          <w:p w14:paraId="5D94B30A">
            <w:pPr>
              <w:pStyle w:val="6"/>
              <w:spacing w:before="187" w:line="232" w:lineRule="auto"/>
              <w:ind w:left="266"/>
            </w:pPr>
            <w:r>
              <w:rPr>
                <w:spacing w:val="-1"/>
              </w:rPr>
              <w:t>239</w:t>
            </w:r>
          </w:p>
        </w:tc>
        <w:tc>
          <w:tcPr>
            <w:tcW w:w="566" w:type="dxa"/>
            <w:vAlign w:val="top"/>
          </w:tcPr>
          <w:p w14:paraId="49C9AD95">
            <w:pPr>
              <w:pStyle w:val="6"/>
              <w:spacing w:before="187" w:line="232" w:lineRule="auto"/>
              <w:ind w:left="124"/>
            </w:pPr>
            <w:r>
              <w:rPr>
                <w:spacing w:val="-1"/>
              </w:rPr>
              <w:t>200</w:t>
            </w:r>
          </w:p>
        </w:tc>
        <w:tc>
          <w:tcPr>
            <w:tcW w:w="567" w:type="dxa"/>
            <w:vAlign w:val="top"/>
          </w:tcPr>
          <w:p w14:paraId="6CBFFE00">
            <w:pPr>
              <w:pStyle w:val="6"/>
              <w:spacing w:before="187" w:line="232" w:lineRule="auto"/>
              <w:ind w:left="101"/>
            </w:pPr>
            <w:r>
              <w:rPr>
                <w:spacing w:val="-2"/>
              </w:rPr>
              <w:t>0.50</w:t>
            </w:r>
          </w:p>
        </w:tc>
        <w:tc>
          <w:tcPr>
            <w:tcW w:w="851" w:type="dxa"/>
            <w:vAlign w:val="top"/>
          </w:tcPr>
          <w:p w14:paraId="001F0299">
            <w:pPr>
              <w:pStyle w:val="6"/>
              <w:spacing w:before="187" w:line="232" w:lineRule="auto"/>
              <w:ind w:left="127"/>
            </w:pPr>
            <w:r>
              <w:rPr>
                <w:spacing w:val="-2"/>
              </w:rPr>
              <w:t>0.002L</w:t>
            </w:r>
          </w:p>
        </w:tc>
        <w:tc>
          <w:tcPr>
            <w:tcW w:w="707" w:type="dxa"/>
            <w:vAlign w:val="top"/>
          </w:tcPr>
          <w:p w14:paraId="1D8E26CD">
            <w:pPr>
              <w:pStyle w:val="6"/>
              <w:spacing w:before="187" w:line="232" w:lineRule="auto"/>
              <w:ind w:left="56"/>
            </w:pPr>
            <w:r>
              <w:rPr>
                <w:spacing w:val="-2"/>
              </w:rPr>
              <w:t>0.050L</w:t>
            </w:r>
          </w:p>
        </w:tc>
        <w:tc>
          <w:tcPr>
            <w:tcW w:w="708" w:type="dxa"/>
            <w:vAlign w:val="top"/>
          </w:tcPr>
          <w:p w14:paraId="35C59B76">
            <w:pPr>
              <w:pStyle w:val="6"/>
              <w:spacing w:before="187" w:line="232" w:lineRule="auto"/>
              <w:ind w:left="58"/>
            </w:pPr>
            <w:r>
              <w:rPr>
                <w:spacing w:val="-2"/>
              </w:rPr>
              <w:t>0.001L</w:t>
            </w:r>
          </w:p>
        </w:tc>
        <w:tc>
          <w:tcPr>
            <w:tcW w:w="851" w:type="dxa"/>
            <w:vAlign w:val="top"/>
          </w:tcPr>
          <w:p w14:paraId="485630A5">
            <w:pPr>
              <w:pStyle w:val="6"/>
              <w:spacing w:before="187" w:line="232" w:lineRule="auto"/>
              <w:ind w:left="80"/>
            </w:pPr>
            <w:r>
              <w:rPr>
                <w:spacing w:val="-1"/>
              </w:rPr>
              <w:t>0.0005L</w:t>
            </w:r>
          </w:p>
        </w:tc>
        <w:tc>
          <w:tcPr>
            <w:tcW w:w="708" w:type="dxa"/>
            <w:vAlign w:val="top"/>
          </w:tcPr>
          <w:p w14:paraId="094615F4">
            <w:pPr>
              <w:pStyle w:val="6"/>
              <w:spacing w:before="187" w:line="232" w:lineRule="auto"/>
              <w:ind w:left="60"/>
            </w:pPr>
            <w:r>
              <w:rPr>
                <w:spacing w:val="-2"/>
              </w:rPr>
              <w:t>0.004L</w:t>
            </w:r>
          </w:p>
        </w:tc>
        <w:tc>
          <w:tcPr>
            <w:tcW w:w="851" w:type="dxa"/>
            <w:vAlign w:val="top"/>
          </w:tcPr>
          <w:p w14:paraId="4C971448">
            <w:pPr>
              <w:pStyle w:val="6"/>
              <w:spacing w:before="187" w:line="232" w:lineRule="auto"/>
              <w:ind w:left="81"/>
            </w:pPr>
            <w:r>
              <w:rPr>
                <w:spacing w:val="-1"/>
              </w:rPr>
              <w:t>0.0025L</w:t>
            </w:r>
          </w:p>
        </w:tc>
        <w:tc>
          <w:tcPr>
            <w:tcW w:w="851" w:type="dxa"/>
            <w:vAlign w:val="top"/>
          </w:tcPr>
          <w:p w14:paraId="0291AB1B">
            <w:pPr>
              <w:pStyle w:val="6"/>
              <w:spacing w:before="187" w:line="232" w:lineRule="auto"/>
              <w:ind w:left="82"/>
            </w:pPr>
            <w:r>
              <w:rPr>
                <w:spacing w:val="-1"/>
              </w:rPr>
              <w:t>0.0001L</w:t>
            </w:r>
          </w:p>
        </w:tc>
        <w:tc>
          <w:tcPr>
            <w:tcW w:w="847" w:type="dxa"/>
            <w:vAlign w:val="top"/>
          </w:tcPr>
          <w:p w14:paraId="1D8C9DF8">
            <w:pPr>
              <w:pStyle w:val="6"/>
              <w:spacing w:before="187" w:line="232" w:lineRule="auto"/>
              <w:ind w:left="80"/>
            </w:pPr>
            <w:r>
              <w:rPr>
                <w:spacing w:val="-1"/>
              </w:rPr>
              <w:t>0.0004L</w:t>
            </w:r>
          </w:p>
        </w:tc>
        <w:tc>
          <w:tcPr>
            <w:tcW w:w="708" w:type="dxa"/>
            <w:vAlign w:val="top"/>
          </w:tcPr>
          <w:p w14:paraId="2E410972">
            <w:pPr>
              <w:pStyle w:val="6"/>
              <w:spacing w:before="187" w:line="232" w:lineRule="auto"/>
              <w:ind w:left="64"/>
            </w:pPr>
            <w:r>
              <w:rPr>
                <w:spacing w:val="-2"/>
              </w:rPr>
              <w:t>0.002L</w:t>
            </w:r>
          </w:p>
        </w:tc>
        <w:tc>
          <w:tcPr>
            <w:tcW w:w="566" w:type="dxa"/>
            <w:vAlign w:val="top"/>
          </w:tcPr>
          <w:p w14:paraId="32675C39">
            <w:pPr>
              <w:pStyle w:val="6"/>
              <w:spacing w:before="187" w:line="232" w:lineRule="auto"/>
              <w:ind w:left="164"/>
            </w:pPr>
            <w:r>
              <w:rPr>
                <w:spacing w:val="-3"/>
              </w:rPr>
              <w:t>0.3</w:t>
            </w:r>
          </w:p>
        </w:tc>
        <w:tc>
          <w:tcPr>
            <w:tcW w:w="428" w:type="dxa"/>
            <w:vAlign w:val="top"/>
          </w:tcPr>
          <w:p w14:paraId="57832962">
            <w:pPr>
              <w:pStyle w:val="6"/>
              <w:spacing w:before="187" w:line="232" w:lineRule="auto"/>
              <w:ind w:left="112"/>
            </w:pPr>
            <w:r>
              <w:rPr>
                <w:spacing w:val="-8"/>
              </w:rPr>
              <w:t>1.4</w:t>
            </w:r>
          </w:p>
        </w:tc>
        <w:tc>
          <w:tcPr>
            <w:tcW w:w="570" w:type="dxa"/>
            <w:vAlign w:val="top"/>
          </w:tcPr>
          <w:p w14:paraId="0EB97E17">
            <w:pPr>
              <w:pStyle w:val="6"/>
              <w:spacing w:before="191" w:line="229" w:lineRule="auto"/>
              <w:ind w:left="246"/>
            </w:pPr>
            <w:r>
              <w:rPr>
                <w:b/>
                <w:bCs/>
              </w:rPr>
              <w:t>7</w:t>
            </w:r>
          </w:p>
        </w:tc>
        <w:tc>
          <w:tcPr>
            <w:tcW w:w="559" w:type="dxa"/>
            <w:gridSpan w:val="2"/>
            <w:tcBorders>
              <w:right w:val="single" w:color="000000" w:sz="12" w:space="0"/>
            </w:tcBorders>
            <w:vAlign w:val="top"/>
          </w:tcPr>
          <w:p w14:paraId="1741BBB3">
            <w:pPr>
              <w:pStyle w:val="6"/>
              <w:spacing w:before="187" w:line="232" w:lineRule="auto"/>
              <w:ind w:left="179"/>
            </w:pPr>
            <w:r>
              <w:rPr>
                <w:spacing w:val="-2"/>
              </w:rPr>
              <w:t>70</w:t>
            </w:r>
          </w:p>
        </w:tc>
      </w:tr>
      <w:tr w14:paraId="60B9E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restart"/>
            <w:tcBorders>
              <w:left w:val="single" w:color="000000" w:sz="12" w:space="0"/>
              <w:bottom w:val="nil"/>
            </w:tcBorders>
            <w:vAlign w:val="top"/>
          </w:tcPr>
          <w:p w14:paraId="0ABDA390">
            <w:pPr>
              <w:spacing w:line="252" w:lineRule="auto"/>
              <w:rPr>
                <w:rFonts w:ascii="Arial"/>
                <w:sz w:val="21"/>
              </w:rPr>
            </w:pPr>
          </w:p>
          <w:p w14:paraId="4BFF98E8">
            <w:pPr>
              <w:spacing w:line="252" w:lineRule="auto"/>
              <w:rPr>
                <w:rFonts w:ascii="Arial"/>
                <w:sz w:val="21"/>
              </w:rPr>
            </w:pPr>
          </w:p>
          <w:p w14:paraId="79D545EE">
            <w:pPr>
              <w:spacing w:line="252" w:lineRule="auto"/>
              <w:rPr>
                <w:rFonts w:ascii="Arial"/>
                <w:sz w:val="21"/>
              </w:rPr>
            </w:pPr>
          </w:p>
          <w:p w14:paraId="31804559">
            <w:pPr>
              <w:spacing w:line="253" w:lineRule="auto"/>
              <w:rPr>
                <w:rFonts w:ascii="Arial"/>
                <w:sz w:val="21"/>
              </w:rPr>
            </w:pPr>
          </w:p>
          <w:p w14:paraId="5C63B912">
            <w:pPr>
              <w:spacing w:line="253" w:lineRule="auto"/>
              <w:rPr>
                <w:rFonts w:ascii="Arial"/>
                <w:sz w:val="21"/>
              </w:rPr>
            </w:pPr>
          </w:p>
          <w:p w14:paraId="23BF7F6A">
            <w:pPr>
              <w:spacing w:line="253" w:lineRule="auto"/>
              <w:rPr>
                <w:rFonts w:ascii="Arial"/>
                <w:sz w:val="21"/>
              </w:rPr>
            </w:pPr>
          </w:p>
          <w:p w14:paraId="793BE868">
            <w:pPr>
              <w:spacing w:line="253" w:lineRule="auto"/>
              <w:rPr>
                <w:rFonts w:ascii="Arial"/>
                <w:sz w:val="21"/>
              </w:rPr>
            </w:pPr>
          </w:p>
          <w:p w14:paraId="0DBC5AE8">
            <w:pPr>
              <w:pStyle w:val="6"/>
              <w:spacing w:before="71"/>
              <w:ind w:left="47" w:right="52"/>
              <w:jc w:val="both"/>
              <w:rPr>
                <w:rFonts w:ascii="等线" w:hAnsi="等线" w:eastAsia="等线" w:cs="等线"/>
              </w:rPr>
            </w:pPr>
            <w:r>
              <w:rPr>
                <w:spacing w:val="-3"/>
              </w:rPr>
              <w:t>5#</w:t>
            </w:r>
            <w:r>
              <w:rPr>
                <w:rFonts w:ascii="等线" w:hAnsi="等线" w:eastAsia="等线" w:cs="等线"/>
                <w:spacing w:val="-3"/>
              </w:rPr>
              <w:t>支</w:t>
            </w:r>
            <w:r>
              <w:rPr>
                <w:rFonts w:ascii="等线" w:hAnsi="等线" w:eastAsia="等线" w:cs="等线"/>
                <w:spacing w:val="-6"/>
              </w:rPr>
              <w:t>洞生活饮用水</w:t>
            </w:r>
          </w:p>
          <w:p w14:paraId="46E7F768">
            <w:pPr>
              <w:spacing w:line="246" w:lineRule="auto"/>
              <w:ind w:left="151" w:right="53" w:hanging="109"/>
              <w:rPr>
                <w:rFonts w:ascii="等线" w:hAnsi="等线" w:eastAsia="等线" w:cs="等线"/>
                <w:sz w:val="21"/>
                <w:szCs w:val="21"/>
              </w:rPr>
            </w:pPr>
            <w:r>
              <w:rPr>
                <w:rFonts w:ascii="等线" w:hAnsi="等线" w:eastAsia="等线" w:cs="等线"/>
                <w:spacing w:val="-3"/>
                <w:sz w:val="21"/>
                <w:szCs w:val="21"/>
              </w:rPr>
              <w:t>供水</w:t>
            </w:r>
            <w:r>
              <w:rPr>
                <w:rFonts w:ascii="等线" w:hAnsi="等线" w:eastAsia="等线" w:cs="等线"/>
                <w:sz w:val="21"/>
                <w:szCs w:val="21"/>
              </w:rPr>
              <w:t>处</w:t>
            </w:r>
          </w:p>
        </w:tc>
        <w:tc>
          <w:tcPr>
            <w:tcW w:w="265" w:type="dxa"/>
            <w:vMerge w:val="restart"/>
            <w:tcBorders>
              <w:bottom w:val="nil"/>
            </w:tcBorders>
            <w:vAlign w:val="top"/>
          </w:tcPr>
          <w:p w14:paraId="46C3F916">
            <w:pPr>
              <w:spacing w:line="268" w:lineRule="auto"/>
              <w:rPr>
                <w:rFonts w:ascii="Arial"/>
                <w:sz w:val="21"/>
              </w:rPr>
            </w:pPr>
          </w:p>
          <w:p w14:paraId="39AF6C7D">
            <w:pPr>
              <w:pStyle w:val="6"/>
              <w:spacing w:before="61" w:line="233" w:lineRule="auto"/>
              <w:ind w:left="14" w:right="38" w:firstLine="69"/>
              <w:jc w:val="both"/>
              <w:rPr>
                <w:rFonts w:ascii="等线" w:hAnsi="等线" w:eastAsia="等线" w:cs="等线"/>
              </w:rPr>
            </w:pPr>
            <w:r>
              <w:rPr>
                <w:spacing w:val="-25"/>
              </w:rPr>
              <w:t>1</w:t>
            </w:r>
            <w:r>
              <w:rPr>
                <w:rFonts w:ascii="等线" w:hAnsi="等线" w:eastAsia="等线" w:cs="等线"/>
                <w:spacing w:val="-8"/>
              </w:rPr>
              <w:t>季度</w:t>
            </w:r>
          </w:p>
        </w:tc>
        <w:tc>
          <w:tcPr>
            <w:tcW w:w="1014" w:type="dxa"/>
            <w:vAlign w:val="top"/>
          </w:tcPr>
          <w:p w14:paraId="15FF7705">
            <w:pPr>
              <w:pStyle w:val="6"/>
              <w:spacing w:before="150" w:line="232" w:lineRule="auto"/>
              <w:ind w:left="118"/>
            </w:pPr>
            <w:r>
              <w:rPr>
                <w:spacing w:val="-1"/>
              </w:rPr>
              <w:t>2020/3/7</w:t>
            </w:r>
          </w:p>
        </w:tc>
        <w:tc>
          <w:tcPr>
            <w:tcW w:w="737" w:type="dxa"/>
            <w:vAlign w:val="top"/>
          </w:tcPr>
          <w:p w14:paraId="7B0AC370">
            <w:pPr>
              <w:pStyle w:val="6"/>
              <w:spacing w:before="156" w:line="183" w:lineRule="auto"/>
              <w:ind w:left="243"/>
            </w:pPr>
            <w:r>
              <w:rPr>
                <w:spacing w:val="-3"/>
              </w:rPr>
              <w:t>5L</w:t>
            </w:r>
          </w:p>
        </w:tc>
        <w:tc>
          <w:tcPr>
            <w:tcW w:w="708" w:type="dxa"/>
            <w:vAlign w:val="top"/>
          </w:tcPr>
          <w:p w14:paraId="11E6BF69">
            <w:pPr>
              <w:pStyle w:val="6"/>
              <w:spacing w:before="150" w:line="232" w:lineRule="auto"/>
              <w:ind w:left="211"/>
            </w:pPr>
            <w:r>
              <w:rPr>
                <w:spacing w:val="-3"/>
              </w:rPr>
              <w:t>0.6</w:t>
            </w:r>
          </w:p>
        </w:tc>
        <w:tc>
          <w:tcPr>
            <w:tcW w:w="851" w:type="dxa"/>
            <w:vAlign w:val="top"/>
          </w:tcPr>
          <w:p w14:paraId="591F2051">
            <w:pPr>
              <w:pStyle w:val="6"/>
              <w:spacing w:before="150" w:line="232" w:lineRule="auto"/>
              <w:ind w:left="233"/>
            </w:pPr>
            <w:r>
              <w:rPr>
                <w:spacing w:val="-2"/>
              </w:rPr>
              <w:t>7.07</w:t>
            </w:r>
          </w:p>
        </w:tc>
        <w:tc>
          <w:tcPr>
            <w:tcW w:w="708" w:type="dxa"/>
            <w:vAlign w:val="top"/>
          </w:tcPr>
          <w:p w14:paraId="23195F8D">
            <w:pPr>
              <w:pStyle w:val="6"/>
              <w:spacing w:before="150" w:line="232" w:lineRule="auto"/>
              <w:ind w:left="109"/>
            </w:pPr>
            <w:r>
              <w:rPr>
                <w:spacing w:val="-2"/>
              </w:rPr>
              <w:t>0.143</w:t>
            </w:r>
          </w:p>
        </w:tc>
        <w:tc>
          <w:tcPr>
            <w:tcW w:w="842" w:type="dxa"/>
            <w:vAlign w:val="top"/>
          </w:tcPr>
          <w:p w14:paraId="13FD0B17">
            <w:pPr>
              <w:pStyle w:val="6"/>
              <w:spacing w:before="150" w:line="232" w:lineRule="auto"/>
              <w:ind w:left="126"/>
            </w:pPr>
            <w:r>
              <w:rPr>
                <w:spacing w:val="-2"/>
              </w:rPr>
              <w:t>0.0185</w:t>
            </w:r>
          </w:p>
        </w:tc>
        <w:tc>
          <w:tcPr>
            <w:tcW w:w="851" w:type="dxa"/>
            <w:vAlign w:val="top"/>
          </w:tcPr>
          <w:p w14:paraId="38F797E5">
            <w:pPr>
              <w:pStyle w:val="6"/>
              <w:spacing w:before="150" w:line="232" w:lineRule="auto"/>
              <w:ind w:left="131"/>
            </w:pPr>
            <w:r>
              <w:rPr>
                <w:spacing w:val="-2"/>
              </w:rPr>
              <w:t>0.0030</w:t>
            </w:r>
          </w:p>
        </w:tc>
        <w:tc>
          <w:tcPr>
            <w:tcW w:w="708" w:type="dxa"/>
            <w:vAlign w:val="top"/>
          </w:tcPr>
          <w:p w14:paraId="48C9F2BD">
            <w:pPr>
              <w:pStyle w:val="6"/>
              <w:spacing w:before="150" w:line="232" w:lineRule="auto"/>
              <w:ind w:left="48"/>
            </w:pPr>
            <w:r>
              <w:rPr>
                <w:spacing w:val="-2"/>
              </w:rPr>
              <w:t>0.009L</w:t>
            </w:r>
          </w:p>
        </w:tc>
        <w:tc>
          <w:tcPr>
            <w:tcW w:w="847" w:type="dxa"/>
            <w:vAlign w:val="top"/>
          </w:tcPr>
          <w:p w14:paraId="79DF678E">
            <w:pPr>
              <w:pStyle w:val="6"/>
              <w:spacing w:before="150" w:line="232" w:lineRule="auto"/>
              <w:ind w:left="184"/>
            </w:pPr>
            <w:r>
              <w:rPr>
                <w:spacing w:val="-2"/>
              </w:rPr>
              <w:t>0.014</w:t>
            </w:r>
          </w:p>
        </w:tc>
        <w:tc>
          <w:tcPr>
            <w:tcW w:w="565" w:type="dxa"/>
            <w:vAlign w:val="top"/>
          </w:tcPr>
          <w:p w14:paraId="71A2D23D">
            <w:pPr>
              <w:pStyle w:val="6"/>
              <w:spacing w:before="150" w:line="232" w:lineRule="auto"/>
              <w:ind w:left="146"/>
            </w:pPr>
            <w:r>
              <w:rPr>
                <w:spacing w:val="-2"/>
              </w:rPr>
              <w:t>2.8</w:t>
            </w:r>
          </w:p>
        </w:tc>
        <w:tc>
          <w:tcPr>
            <w:tcW w:w="567" w:type="dxa"/>
            <w:vAlign w:val="top"/>
          </w:tcPr>
          <w:p w14:paraId="1A1815F8">
            <w:pPr>
              <w:pStyle w:val="6"/>
              <w:spacing w:before="150" w:line="232" w:lineRule="auto"/>
              <w:ind w:left="89"/>
            </w:pPr>
            <w:r>
              <w:rPr>
                <w:spacing w:val="-3"/>
              </w:rPr>
              <w:t>5.0L</w:t>
            </w:r>
          </w:p>
        </w:tc>
        <w:tc>
          <w:tcPr>
            <w:tcW w:w="851" w:type="dxa"/>
            <w:vAlign w:val="top"/>
          </w:tcPr>
          <w:p w14:paraId="771A5023">
            <w:pPr>
              <w:pStyle w:val="6"/>
              <w:spacing w:before="150" w:line="232" w:lineRule="auto"/>
              <w:ind w:left="322"/>
            </w:pPr>
            <w:r>
              <w:rPr>
                <w:spacing w:val="-2"/>
              </w:rPr>
              <w:t>95</w:t>
            </w:r>
          </w:p>
        </w:tc>
        <w:tc>
          <w:tcPr>
            <w:tcW w:w="566" w:type="dxa"/>
            <w:vAlign w:val="top"/>
          </w:tcPr>
          <w:p w14:paraId="06B58D1F">
            <w:pPr>
              <w:pStyle w:val="6"/>
              <w:spacing w:before="150" w:line="232" w:lineRule="auto"/>
              <w:ind w:left="181"/>
            </w:pPr>
            <w:r>
              <w:rPr>
                <w:spacing w:val="-3"/>
              </w:rPr>
              <w:t>58</w:t>
            </w:r>
          </w:p>
        </w:tc>
        <w:tc>
          <w:tcPr>
            <w:tcW w:w="567" w:type="dxa"/>
            <w:vAlign w:val="top"/>
          </w:tcPr>
          <w:p w14:paraId="3AB1DDB0">
            <w:pPr>
              <w:pStyle w:val="6"/>
              <w:spacing w:before="150" w:line="232" w:lineRule="auto"/>
              <w:ind w:left="118"/>
            </w:pPr>
            <w:r>
              <w:rPr>
                <w:spacing w:val="-6"/>
              </w:rPr>
              <w:t>1.00</w:t>
            </w:r>
          </w:p>
        </w:tc>
        <w:tc>
          <w:tcPr>
            <w:tcW w:w="851" w:type="dxa"/>
            <w:vAlign w:val="top"/>
          </w:tcPr>
          <w:p w14:paraId="25653FDA">
            <w:pPr>
              <w:pStyle w:val="6"/>
              <w:spacing w:before="150" w:line="232" w:lineRule="auto"/>
              <w:ind w:left="127"/>
            </w:pPr>
            <w:r>
              <w:rPr>
                <w:spacing w:val="-2"/>
              </w:rPr>
              <w:t>0.002L</w:t>
            </w:r>
          </w:p>
        </w:tc>
        <w:tc>
          <w:tcPr>
            <w:tcW w:w="707" w:type="dxa"/>
            <w:vAlign w:val="top"/>
          </w:tcPr>
          <w:p w14:paraId="6B2BCE95">
            <w:pPr>
              <w:pStyle w:val="6"/>
              <w:spacing w:before="150" w:line="232" w:lineRule="auto"/>
              <w:ind w:left="56"/>
            </w:pPr>
            <w:r>
              <w:rPr>
                <w:spacing w:val="-2"/>
              </w:rPr>
              <w:t>0.050L</w:t>
            </w:r>
          </w:p>
        </w:tc>
        <w:tc>
          <w:tcPr>
            <w:tcW w:w="708" w:type="dxa"/>
            <w:vAlign w:val="top"/>
          </w:tcPr>
          <w:p w14:paraId="3C6208FA">
            <w:pPr>
              <w:pStyle w:val="6"/>
              <w:spacing w:before="150" w:line="232" w:lineRule="auto"/>
              <w:ind w:left="58"/>
            </w:pPr>
            <w:r>
              <w:rPr>
                <w:spacing w:val="-2"/>
              </w:rPr>
              <w:t>0.001L</w:t>
            </w:r>
          </w:p>
        </w:tc>
        <w:tc>
          <w:tcPr>
            <w:tcW w:w="851" w:type="dxa"/>
            <w:vAlign w:val="top"/>
          </w:tcPr>
          <w:p w14:paraId="752B5BDC">
            <w:pPr>
              <w:pStyle w:val="6"/>
              <w:spacing w:before="150" w:line="232" w:lineRule="auto"/>
              <w:ind w:left="80"/>
            </w:pPr>
            <w:r>
              <w:rPr>
                <w:spacing w:val="-1"/>
              </w:rPr>
              <w:t>0.0005L</w:t>
            </w:r>
          </w:p>
        </w:tc>
        <w:tc>
          <w:tcPr>
            <w:tcW w:w="708" w:type="dxa"/>
            <w:vAlign w:val="top"/>
          </w:tcPr>
          <w:p w14:paraId="59485A95">
            <w:pPr>
              <w:pStyle w:val="6"/>
              <w:spacing w:before="150" w:line="232" w:lineRule="auto"/>
              <w:ind w:left="60"/>
            </w:pPr>
            <w:r>
              <w:rPr>
                <w:spacing w:val="-2"/>
              </w:rPr>
              <w:t>0.004L</w:t>
            </w:r>
          </w:p>
        </w:tc>
        <w:tc>
          <w:tcPr>
            <w:tcW w:w="851" w:type="dxa"/>
            <w:vAlign w:val="top"/>
          </w:tcPr>
          <w:p w14:paraId="4505B381">
            <w:pPr>
              <w:pStyle w:val="6"/>
              <w:spacing w:before="150" w:line="232" w:lineRule="auto"/>
              <w:ind w:left="81"/>
            </w:pPr>
            <w:r>
              <w:rPr>
                <w:spacing w:val="-1"/>
              </w:rPr>
              <w:t>0.0025L</w:t>
            </w:r>
          </w:p>
        </w:tc>
        <w:tc>
          <w:tcPr>
            <w:tcW w:w="851" w:type="dxa"/>
            <w:vAlign w:val="top"/>
          </w:tcPr>
          <w:p w14:paraId="4462FBD2">
            <w:pPr>
              <w:pStyle w:val="6"/>
              <w:spacing w:before="150" w:line="232" w:lineRule="auto"/>
              <w:ind w:left="82"/>
            </w:pPr>
            <w:r>
              <w:rPr>
                <w:spacing w:val="-1"/>
              </w:rPr>
              <w:t>0.0001L</w:t>
            </w:r>
          </w:p>
        </w:tc>
        <w:tc>
          <w:tcPr>
            <w:tcW w:w="847" w:type="dxa"/>
            <w:vAlign w:val="top"/>
          </w:tcPr>
          <w:p w14:paraId="3655875A">
            <w:pPr>
              <w:pStyle w:val="6"/>
              <w:spacing w:before="150" w:line="232" w:lineRule="auto"/>
              <w:ind w:left="80"/>
            </w:pPr>
            <w:r>
              <w:rPr>
                <w:spacing w:val="-1"/>
              </w:rPr>
              <w:t>0.0004L</w:t>
            </w:r>
          </w:p>
        </w:tc>
        <w:tc>
          <w:tcPr>
            <w:tcW w:w="708" w:type="dxa"/>
            <w:vAlign w:val="top"/>
          </w:tcPr>
          <w:p w14:paraId="07BD6A7B">
            <w:pPr>
              <w:pStyle w:val="6"/>
              <w:spacing w:before="150" w:line="232" w:lineRule="auto"/>
              <w:ind w:left="64"/>
            </w:pPr>
            <w:r>
              <w:rPr>
                <w:spacing w:val="-2"/>
              </w:rPr>
              <w:t>0.002L</w:t>
            </w:r>
          </w:p>
        </w:tc>
        <w:tc>
          <w:tcPr>
            <w:tcW w:w="566" w:type="dxa"/>
            <w:vAlign w:val="top"/>
          </w:tcPr>
          <w:p w14:paraId="25B67089">
            <w:pPr>
              <w:pStyle w:val="6"/>
              <w:spacing w:before="150" w:line="232" w:lineRule="auto"/>
              <w:ind w:left="164"/>
            </w:pPr>
            <w:r>
              <w:rPr>
                <w:spacing w:val="-3"/>
              </w:rPr>
              <w:t>0.2</w:t>
            </w:r>
          </w:p>
        </w:tc>
        <w:tc>
          <w:tcPr>
            <w:tcW w:w="428" w:type="dxa"/>
            <w:vAlign w:val="top"/>
          </w:tcPr>
          <w:p w14:paraId="1A0D2DC9">
            <w:pPr>
              <w:pStyle w:val="6"/>
              <w:spacing w:before="150" w:line="232" w:lineRule="auto"/>
              <w:ind w:left="95"/>
            </w:pPr>
            <w:r>
              <w:rPr>
                <w:spacing w:val="-3"/>
              </w:rPr>
              <w:t>0.5</w:t>
            </w:r>
          </w:p>
        </w:tc>
        <w:tc>
          <w:tcPr>
            <w:tcW w:w="570" w:type="dxa"/>
            <w:vAlign w:val="top"/>
          </w:tcPr>
          <w:p w14:paraId="3CA08ECD">
            <w:pPr>
              <w:pStyle w:val="6"/>
              <w:spacing w:before="150" w:line="232" w:lineRule="auto"/>
              <w:ind w:left="262"/>
            </w:pPr>
            <w:r>
              <w:t>/</w:t>
            </w:r>
          </w:p>
        </w:tc>
        <w:tc>
          <w:tcPr>
            <w:tcW w:w="559" w:type="dxa"/>
            <w:gridSpan w:val="2"/>
            <w:tcBorders>
              <w:right w:val="single" w:color="000000" w:sz="12" w:space="0"/>
            </w:tcBorders>
            <w:vAlign w:val="top"/>
          </w:tcPr>
          <w:p w14:paraId="1BAF6934">
            <w:pPr>
              <w:pStyle w:val="6"/>
              <w:spacing w:before="150" w:line="232" w:lineRule="auto"/>
              <w:ind w:left="184"/>
            </w:pPr>
            <w:r>
              <w:rPr>
                <w:spacing w:val="-4"/>
              </w:rPr>
              <w:t>80</w:t>
            </w:r>
          </w:p>
        </w:tc>
      </w:tr>
      <w:tr w14:paraId="4A75E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04B576E0">
            <w:pPr>
              <w:rPr>
                <w:rFonts w:ascii="Arial"/>
                <w:sz w:val="21"/>
              </w:rPr>
            </w:pPr>
          </w:p>
        </w:tc>
        <w:tc>
          <w:tcPr>
            <w:tcW w:w="265" w:type="dxa"/>
            <w:vMerge w:val="continue"/>
            <w:tcBorders>
              <w:top w:val="nil"/>
              <w:bottom w:val="nil"/>
            </w:tcBorders>
            <w:vAlign w:val="top"/>
          </w:tcPr>
          <w:p w14:paraId="545F003C">
            <w:pPr>
              <w:rPr>
                <w:rFonts w:ascii="Arial"/>
                <w:sz w:val="21"/>
              </w:rPr>
            </w:pPr>
          </w:p>
        </w:tc>
        <w:tc>
          <w:tcPr>
            <w:tcW w:w="1014" w:type="dxa"/>
            <w:vAlign w:val="top"/>
          </w:tcPr>
          <w:p w14:paraId="4213C4F2">
            <w:pPr>
              <w:pStyle w:val="6"/>
              <w:spacing w:before="150" w:line="232" w:lineRule="auto"/>
              <w:ind w:left="118"/>
            </w:pPr>
            <w:r>
              <w:rPr>
                <w:spacing w:val="-1"/>
              </w:rPr>
              <w:t>2020/3/8</w:t>
            </w:r>
          </w:p>
        </w:tc>
        <w:tc>
          <w:tcPr>
            <w:tcW w:w="737" w:type="dxa"/>
            <w:vAlign w:val="top"/>
          </w:tcPr>
          <w:p w14:paraId="13FD998A">
            <w:pPr>
              <w:pStyle w:val="6"/>
              <w:spacing w:before="156" w:line="183" w:lineRule="auto"/>
              <w:ind w:left="243"/>
            </w:pPr>
            <w:r>
              <w:rPr>
                <w:spacing w:val="-3"/>
              </w:rPr>
              <w:t>5L</w:t>
            </w:r>
          </w:p>
        </w:tc>
        <w:tc>
          <w:tcPr>
            <w:tcW w:w="708" w:type="dxa"/>
            <w:vAlign w:val="top"/>
          </w:tcPr>
          <w:p w14:paraId="7F508F07">
            <w:pPr>
              <w:pStyle w:val="6"/>
              <w:spacing w:before="150" w:line="232" w:lineRule="auto"/>
              <w:ind w:left="211"/>
            </w:pPr>
            <w:r>
              <w:rPr>
                <w:spacing w:val="-3"/>
              </w:rPr>
              <w:t>0.5</w:t>
            </w:r>
          </w:p>
        </w:tc>
        <w:tc>
          <w:tcPr>
            <w:tcW w:w="851" w:type="dxa"/>
            <w:vAlign w:val="top"/>
          </w:tcPr>
          <w:p w14:paraId="750B9F59">
            <w:pPr>
              <w:pStyle w:val="6"/>
              <w:spacing w:before="150" w:line="232" w:lineRule="auto"/>
              <w:ind w:left="233"/>
            </w:pPr>
            <w:r>
              <w:rPr>
                <w:spacing w:val="-2"/>
              </w:rPr>
              <w:t>7.16</w:t>
            </w:r>
          </w:p>
        </w:tc>
        <w:tc>
          <w:tcPr>
            <w:tcW w:w="708" w:type="dxa"/>
            <w:vAlign w:val="top"/>
          </w:tcPr>
          <w:p w14:paraId="561F428B">
            <w:pPr>
              <w:pStyle w:val="6"/>
              <w:spacing w:before="150" w:line="232" w:lineRule="auto"/>
              <w:ind w:left="109"/>
            </w:pPr>
            <w:r>
              <w:rPr>
                <w:spacing w:val="-2"/>
              </w:rPr>
              <w:t>0.124</w:t>
            </w:r>
          </w:p>
        </w:tc>
        <w:tc>
          <w:tcPr>
            <w:tcW w:w="842" w:type="dxa"/>
            <w:vAlign w:val="top"/>
          </w:tcPr>
          <w:p w14:paraId="5DC4C2CD">
            <w:pPr>
              <w:pStyle w:val="6"/>
              <w:spacing w:before="150" w:line="232" w:lineRule="auto"/>
              <w:ind w:left="126"/>
            </w:pPr>
            <w:r>
              <w:rPr>
                <w:spacing w:val="-2"/>
              </w:rPr>
              <w:t>0.0190</w:t>
            </w:r>
          </w:p>
        </w:tc>
        <w:tc>
          <w:tcPr>
            <w:tcW w:w="851" w:type="dxa"/>
            <w:vAlign w:val="top"/>
          </w:tcPr>
          <w:p w14:paraId="40238A19">
            <w:pPr>
              <w:pStyle w:val="6"/>
              <w:spacing w:before="150" w:line="232" w:lineRule="auto"/>
              <w:ind w:left="131"/>
            </w:pPr>
            <w:r>
              <w:rPr>
                <w:spacing w:val="-2"/>
              </w:rPr>
              <w:t>0.0037</w:t>
            </w:r>
          </w:p>
        </w:tc>
        <w:tc>
          <w:tcPr>
            <w:tcW w:w="708" w:type="dxa"/>
            <w:vAlign w:val="top"/>
          </w:tcPr>
          <w:p w14:paraId="2F966EE4">
            <w:pPr>
              <w:pStyle w:val="6"/>
              <w:spacing w:before="150" w:line="232" w:lineRule="auto"/>
              <w:ind w:left="48"/>
            </w:pPr>
            <w:r>
              <w:rPr>
                <w:spacing w:val="-2"/>
              </w:rPr>
              <w:t>0.009L</w:t>
            </w:r>
          </w:p>
        </w:tc>
        <w:tc>
          <w:tcPr>
            <w:tcW w:w="847" w:type="dxa"/>
            <w:vAlign w:val="top"/>
          </w:tcPr>
          <w:p w14:paraId="12D7032E">
            <w:pPr>
              <w:pStyle w:val="6"/>
              <w:spacing w:before="150" w:line="232" w:lineRule="auto"/>
              <w:ind w:left="184"/>
            </w:pPr>
            <w:r>
              <w:rPr>
                <w:spacing w:val="-2"/>
              </w:rPr>
              <w:t>0.014</w:t>
            </w:r>
          </w:p>
        </w:tc>
        <w:tc>
          <w:tcPr>
            <w:tcW w:w="565" w:type="dxa"/>
            <w:vAlign w:val="top"/>
          </w:tcPr>
          <w:p w14:paraId="4C2C6F58">
            <w:pPr>
              <w:pStyle w:val="6"/>
              <w:spacing w:before="150" w:line="232" w:lineRule="auto"/>
              <w:ind w:left="150"/>
            </w:pPr>
            <w:r>
              <w:rPr>
                <w:spacing w:val="-3"/>
              </w:rPr>
              <w:t>3.0</w:t>
            </w:r>
          </w:p>
        </w:tc>
        <w:tc>
          <w:tcPr>
            <w:tcW w:w="567" w:type="dxa"/>
            <w:vAlign w:val="top"/>
          </w:tcPr>
          <w:p w14:paraId="5903E480">
            <w:pPr>
              <w:pStyle w:val="6"/>
              <w:spacing w:before="150" w:line="232" w:lineRule="auto"/>
              <w:ind w:left="89"/>
            </w:pPr>
            <w:r>
              <w:rPr>
                <w:spacing w:val="-3"/>
              </w:rPr>
              <w:t>5.0L</w:t>
            </w:r>
          </w:p>
        </w:tc>
        <w:tc>
          <w:tcPr>
            <w:tcW w:w="851" w:type="dxa"/>
            <w:vAlign w:val="top"/>
          </w:tcPr>
          <w:p w14:paraId="7F0B7E40">
            <w:pPr>
              <w:pStyle w:val="6"/>
              <w:spacing w:before="150" w:line="232" w:lineRule="auto"/>
              <w:ind w:left="326"/>
            </w:pPr>
            <w:r>
              <w:rPr>
                <w:spacing w:val="-4"/>
              </w:rPr>
              <w:t>89</w:t>
            </w:r>
          </w:p>
        </w:tc>
        <w:tc>
          <w:tcPr>
            <w:tcW w:w="566" w:type="dxa"/>
            <w:vAlign w:val="top"/>
          </w:tcPr>
          <w:p w14:paraId="264076BC">
            <w:pPr>
              <w:pStyle w:val="6"/>
              <w:spacing w:before="150" w:line="232" w:lineRule="auto"/>
              <w:ind w:left="181"/>
            </w:pPr>
            <w:r>
              <w:rPr>
                <w:spacing w:val="-3"/>
              </w:rPr>
              <w:t>55</w:t>
            </w:r>
          </w:p>
        </w:tc>
        <w:tc>
          <w:tcPr>
            <w:tcW w:w="567" w:type="dxa"/>
            <w:vAlign w:val="top"/>
          </w:tcPr>
          <w:p w14:paraId="798DE8A0">
            <w:pPr>
              <w:pStyle w:val="6"/>
              <w:spacing w:before="150" w:line="232" w:lineRule="auto"/>
              <w:ind w:left="101"/>
            </w:pPr>
            <w:r>
              <w:rPr>
                <w:spacing w:val="-2"/>
              </w:rPr>
              <w:t>0.95</w:t>
            </w:r>
          </w:p>
        </w:tc>
        <w:tc>
          <w:tcPr>
            <w:tcW w:w="851" w:type="dxa"/>
            <w:vAlign w:val="top"/>
          </w:tcPr>
          <w:p w14:paraId="2C46515F">
            <w:pPr>
              <w:pStyle w:val="6"/>
              <w:spacing w:before="150" w:line="232" w:lineRule="auto"/>
              <w:ind w:left="127"/>
            </w:pPr>
            <w:r>
              <w:rPr>
                <w:spacing w:val="-2"/>
              </w:rPr>
              <w:t>0.002L</w:t>
            </w:r>
          </w:p>
        </w:tc>
        <w:tc>
          <w:tcPr>
            <w:tcW w:w="707" w:type="dxa"/>
            <w:vAlign w:val="top"/>
          </w:tcPr>
          <w:p w14:paraId="7001AB60">
            <w:pPr>
              <w:pStyle w:val="6"/>
              <w:spacing w:before="150" w:line="232" w:lineRule="auto"/>
              <w:ind w:left="56"/>
            </w:pPr>
            <w:r>
              <w:rPr>
                <w:spacing w:val="-2"/>
              </w:rPr>
              <w:t>0.050L</w:t>
            </w:r>
          </w:p>
        </w:tc>
        <w:tc>
          <w:tcPr>
            <w:tcW w:w="708" w:type="dxa"/>
            <w:vAlign w:val="top"/>
          </w:tcPr>
          <w:p w14:paraId="0583DB56">
            <w:pPr>
              <w:pStyle w:val="6"/>
              <w:spacing w:before="150" w:line="232" w:lineRule="auto"/>
              <w:ind w:left="58"/>
            </w:pPr>
            <w:r>
              <w:rPr>
                <w:spacing w:val="-2"/>
              </w:rPr>
              <w:t>0.001L</w:t>
            </w:r>
          </w:p>
        </w:tc>
        <w:tc>
          <w:tcPr>
            <w:tcW w:w="851" w:type="dxa"/>
            <w:vAlign w:val="top"/>
          </w:tcPr>
          <w:p w14:paraId="5F9D3A5A">
            <w:pPr>
              <w:pStyle w:val="6"/>
              <w:spacing w:before="150" w:line="232" w:lineRule="auto"/>
              <w:ind w:left="80"/>
            </w:pPr>
            <w:r>
              <w:rPr>
                <w:spacing w:val="-1"/>
              </w:rPr>
              <w:t>0.0005L</w:t>
            </w:r>
          </w:p>
        </w:tc>
        <w:tc>
          <w:tcPr>
            <w:tcW w:w="708" w:type="dxa"/>
            <w:vAlign w:val="top"/>
          </w:tcPr>
          <w:p w14:paraId="22A70193">
            <w:pPr>
              <w:pStyle w:val="6"/>
              <w:spacing w:before="150" w:line="232" w:lineRule="auto"/>
              <w:ind w:left="60"/>
            </w:pPr>
            <w:r>
              <w:rPr>
                <w:spacing w:val="-2"/>
              </w:rPr>
              <w:t>0.004L</w:t>
            </w:r>
          </w:p>
        </w:tc>
        <w:tc>
          <w:tcPr>
            <w:tcW w:w="851" w:type="dxa"/>
            <w:vAlign w:val="top"/>
          </w:tcPr>
          <w:p w14:paraId="6332A810">
            <w:pPr>
              <w:pStyle w:val="6"/>
              <w:spacing w:before="150" w:line="232" w:lineRule="auto"/>
              <w:ind w:left="81"/>
            </w:pPr>
            <w:r>
              <w:rPr>
                <w:spacing w:val="-1"/>
              </w:rPr>
              <w:t>0.0025L</w:t>
            </w:r>
          </w:p>
        </w:tc>
        <w:tc>
          <w:tcPr>
            <w:tcW w:w="851" w:type="dxa"/>
            <w:vAlign w:val="top"/>
          </w:tcPr>
          <w:p w14:paraId="6B8A5F68">
            <w:pPr>
              <w:pStyle w:val="6"/>
              <w:spacing w:before="150" w:line="232" w:lineRule="auto"/>
              <w:ind w:left="82"/>
            </w:pPr>
            <w:r>
              <w:rPr>
                <w:spacing w:val="-1"/>
              </w:rPr>
              <w:t>0.0001L</w:t>
            </w:r>
          </w:p>
        </w:tc>
        <w:tc>
          <w:tcPr>
            <w:tcW w:w="847" w:type="dxa"/>
            <w:vAlign w:val="top"/>
          </w:tcPr>
          <w:p w14:paraId="3AD8CB4B">
            <w:pPr>
              <w:pStyle w:val="6"/>
              <w:spacing w:before="150" w:line="232" w:lineRule="auto"/>
              <w:ind w:left="80"/>
            </w:pPr>
            <w:r>
              <w:rPr>
                <w:spacing w:val="-1"/>
              </w:rPr>
              <w:t>0.0004L</w:t>
            </w:r>
          </w:p>
        </w:tc>
        <w:tc>
          <w:tcPr>
            <w:tcW w:w="708" w:type="dxa"/>
            <w:vAlign w:val="top"/>
          </w:tcPr>
          <w:p w14:paraId="5E28D1F4">
            <w:pPr>
              <w:pStyle w:val="6"/>
              <w:spacing w:before="150" w:line="232" w:lineRule="auto"/>
              <w:ind w:left="64"/>
            </w:pPr>
            <w:r>
              <w:rPr>
                <w:spacing w:val="-2"/>
              </w:rPr>
              <w:t>0.002L</w:t>
            </w:r>
          </w:p>
        </w:tc>
        <w:tc>
          <w:tcPr>
            <w:tcW w:w="566" w:type="dxa"/>
            <w:vAlign w:val="top"/>
          </w:tcPr>
          <w:p w14:paraId="60702D12">
            <w:pPr>
              <w:pStyle w:val="6"/>
              <w:spacing w:before="150" w:line="232" w:lineRule="auto"/>
              <w:ind w:left="164"/>
            </w:pPr>
            <w:r>
              <w:rPr>
                <w:spacing w:val="-3"/>
              </w:rPr>
              <w:t>0.3</w:t>
            </w:r>
          </w:p>
        </w:tc>
        <w:tc>
          <w:tcPr>
            <w:tcW w:w="428" w:type="dxa"/>
            <w:vAlign w:val="top"/>
          </w:tcPr>
          <w:p w14:paraId="5965C9E0">
            <w:pPr>
              <w:pStyle w:val="6"/>
              <w:spacing w:before="150" w:line="232" w:lineRule="auto"/>
              <w:ind w:left="95"/>
            </w:pPr>
            <w:r>
              <w:rPr>
                <w:spacing w:val="-3"/>
              </w:rPr>
              <w:t>0.4</w:t>
            </w:r>
          </w:p>
        </w:tc>
        <w:tc>
          <w:tcPr>
            <w:tcW w:w="570" w:type="dxa"/>
            <w:vAlign w:val="top"/>
          </w:tcPr>
          <w:p w14:paraId="3AB2E4FB">
            <w:pPr>
              <w:pStyle w:val="6"/>
              <w:spacing w:before="150" w:line="232" w:lineRule="auto"/>
              <w:ind w:left="262"/>
            </w:pPr>
            <w:r>
              <w:t>/</w:t>
            </w:r>
          </w:p>
        </w:tc>
        <w:tc>
          <w:tcPr>
            <w:tcW w:w="559" w:type="dxa"/>
            <w:gridSpan w:val="2"/>
            <w:tcBorders>
              <w:right w:val="single" w:color="000000" w:sz="12" w:space="0"/>
            </w:tcBorders>
            <w:vAlign w:val="top"/>
          </w:tcPr>
          <w:p w14:paraId="1992CF67">
            <w:pPr>
              <w:pStyle w:val="6"/>
              <w:spacing w:before="150" w:line="232" w:lineRule="auto"/>
              <w:ind w:left="179"/>
            </w:pPr>
            <w:r>
              <w:rPr>
                <w:spacing w:val="-2"/>
              </w:rPr>
              <w:t>70</w:t>
            </w:r>
          </w:p>
        </w:tc>
      </w:tr>
      <w:tr w14:paraId="00D9C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08432059">
            <w:pPr>
              <w:rPr>
                <w:rFonts w:ascii="Arial"/>
                <w:sz w:val="21"/>
              </w:rPr>
            </w:pPr>
          </w:p>
        </w:tc>
        <w:tc>
          <w:tcPr>
            <w:tcW w:w="265" w:type="dxa"/>
            <w:vMerge w:val="continue"/>
            <w:tcBorders>
              <w:top w:val="nil"/>
            </w:tcBorders>
            <w:vAlign w:val="top"/>
          </w:tcPr>
          <w:p w14:paraId="11592355">
            <w:pPr>
              <w:rPr>
                <w:rFonts w:ascii="Arial"/>
                <w:sz w:val="21"/>
              </w:rPr>
            </w:pPr>
          </w:p>
        </w:tc>
        <w:tc>
          <w:tcPr>
            <w:tcW w:w="1014" w:type="dxa"/>
            <w:vAlign w:val="top"/>
          </w:tcPr>
          <w:p w14:paraId="3612753E">
            <w:pPr>
              <w:pStyle w:val="6"/>
              <w:spacing w:before="191" w:line="232" w:lineRule="auto"/>
              <w:ind w:left="118"/>
            </w:pPr>
            <w:r>
              <w:rPr>
                <w:spacing w:val="-1"/>
              </w:rPr>
              <w:t>2020/3/9</w:t>
            </w:r>
          </w:p>
        </w:tc>
        <w:tc>
          <w:tcPr>
            <w:tcW w:w="737" w:type="dxa"/>
            <w:vAlign w:val="top"/>
          </w:tcPr>
          <w:p w14:paraId="5FBEF004">
            <w:pPr>
              <w:pStyle w:val="6"/>
              <w:spacing w:before="198" w:line="183" w:lineRule="auto"/>
              <w:ind w:left="243"/>
            </w:pPr>
            <w:r>
              <w:rPr>
                <w:spacing w:val="-3"/>
              </w:rPr>
              <w:t>5L</w:t>
            </w:r>
          </w:p>
        </w:tc>
        <w:tc>
          <w:tcPr>
            <w:tcW w:w="708" w:type="dxa"/>
            <w:vAlign w:val="top"/>
          </w:tcPr>
          <w:p w14:paraId="736134AD">
            <w:pPr>
              <w:pStyle w:val="6"/>
              <w:spacing w:before="191" w:line="232" w:lineRule="auto"/>
              <w:ind w:left="211"/>
            </w:pPr>
            <w:r>
              <w:rPr>
                <w:spacing w:val="-3"/>
              </w:rPr>
              <w:t>0.6</w:t>
            </w:r>
          </w:p>
        </w:tc>
        <w:tc>
          <w:tcPr>
            <w:tcW w:w="851" w:type="dxa"/>
            <w:vAlign w:val="top"/>
          </w:tcPr>
          <w:p w14:paraId="25910167">
            <w:pPr>
              <w:pStyle w:val="6"/>
              <w:spacing w:before="191" w:line="232" w:lineRule="auto"/>
              <w:ind w:left="233"/>
            </w:pPr>
            <w:r>
              <w:rPr>
                <w:spacing w:val="-2"/>
              </w:rPr>
              <w:t>7.09</w:t>
            </w:r>
          </w:p>
        </w:tc>
        <w:tc>
          <w:tcPr>
            <w:tcW w:w="708" w:type="dxa"/>
            <w:vAlign w:val="top"/>
          </w:tcPr>
          <w:p w14:paraId="5EBCDF6C">
            <w:pPr>
              <w:pStyle w:val="6"/>
              <w:spacing w:before="191" w:line="232" w:lineRule="auto"/>
              <w:ind w:left="109"/>
            </w:pPr>
            <w:r>
              <w:rPr>
                <w:spacing w:val="-2"/>
              </w:rPr>
              <w:t>0.125</w:t>
            </w:r>
          </w:p>
        </w:tc>
        <w:tc>
          <w:tcPr>
            <w:tcW w:w="842" w:type="dxa"/>
            <w:vAlign w:val="top"/>
          </w:tcPr>
          <w:p w14:paraId="3A06CD27">
            <w:pPr>
              <w:pStyle w:val="6"/>
              <w:spacing w:before="191" w:line="232" w:lineRule="auto"/>
              <w:ind w:left="126"/>
            </w:pPr>
            <w:r>
              <w:rPr>
                <w:spacing w:val="-2"/>
              </w:rPr>
              <w:t>0.0224</w:t>
            </w:r>
          </w:p>
        </w:tc>
        <w:tc>
          <w:tcPr>
            <w:tcW w:w="851" w:type="dxa"/>
            <w:vAlign w:val="top"/>
          </w:tcPr>
          <w:p w14:paraId="50237FFD">
            <w:pPr>
              <w:pStyle w:val="6"/>
              <w:spacing w:before="191" w:line="232" w:lineRule="auto"/>
              <w:ind w:left="131"/>
            </w:pPr>
            <w:r>
              <w:rPr>
                <w:spacing w:val="-2"/>
              </w:rPr>
              <w:t>0.0036</w:t>
            </w:r>
          </w:p>
        </w:tc>
        <w:tc>
          <w:tcPr>
            <w:tcW w:w="708" w:type="dxa"/>
            <w:vAlign w:val="top"/>
          </w:tcPr>
          <w:p w14:paraId="7292F0A2">
            <w:pPr>
              <w:pStyle w:val="6"/>
              <w:spacing w:before="191" w:line="232" w:lineRule="auto"/>
              <w:ind w:left="48"/>
            </w:pPr>
            <w:r>
              <w:rPr>
                <w:spacing w:val="-2"/>
              </w:rPr>
              <w:t>0.009L</w:t>
            </w:r>
          </w:p>
        </w:tc>
        <w:tc>
          <w:tcPr>
            <w:tcW w:w="847" w:type="dxa"/>
            <w:vAlign w:val="top"/>
          </w:tcPr>
          <w:p w14:paraId="0FBF2DF3">
            <w:pPr>
              <w:pStyle w:val="6"/>
              <w:spacing w:before="191" w:line="232" w:lineRule="auto"/>
              <w:ind w:left="184"/>
            </w:pPr>
            <w:r>
              <w:rPr>
                <w:spacing w:val="-2"/>
              </w:rPr>
              <w:t>0.014</w:t>
            </w:r>
          </w:p>
        </w:tc>
        <w:tc>
          <w:tcPr>
            <w:tcW w:w="565" w:type="dxa"/>
            <w:vAlign w:val="top"/>
          </w:tcPr>
          <w:p w14:paraId="39E16682">
            <w:pPr>
              <w:pStyle w:val="6"/>
              <w:spacing w:before="191" w:line="232" w:lineRule="auto"/>
              <w:ind w:left="146"/>
            </w:pPr>
            <w:r>
              <w:rPr>
                <w:spacing w:val="-2"/>
              </w:rPr>
              <w:t>2.6</w:t>
            </w:r>
          </w:p>
        </w:tc>
        <w:tc>
          <w:tcPr>
            <w:tcW w:w="567" w:type="dxa"/>
            <w:vAlign w:val="top"/>
          </w:tcPr>
          <w:p w14:paraId="6583C32F">
            <w:pPr>
              <w:pStyle w:val="6"/>
              <w:spacing w:before="191" w:line="232" w:lineRule="auto"/>
              <w:ind w:left="89"/>
            </w:pPr>
            <w:r>
              <w:rPr>
                <w:spacing w:val="-3"/>
              </w:rPr>
              <w:t>5.0L</w:t>
            </w:r>
          </w:p>
        </w:tc>
        <w:tc>
          <w:tcPr>
            <w:tcW w:w="851" w:type="dxa"/>
            <w:vAlign w:val="top"/>
          </w:tcPr>
          <w:p w14:paraId="43F03F75">
            <w:pPr>
              <w:pStyle w:val="6"/>
              <w:spacing w:before="192" w:line="232" w:lineRule="auto"/>
              <w:ind w:left="286"/>
            </w:pPr>
            <w:r>
              <w:rPr>
                <w:spacing w:val="-8"/>
              </w:rPr>
              <w:t>101</w:t>
            </w:r>
          </w:p>
        </w:tc>
        <w:tc>
          <w:tcPr>
            <w:tcW w:w="566" w:type="dxa"/>
            <w:vAlign w:val="top"/>
          </w:tcPr>
          <w:p w14:paraId="3BE22319">
            <w:pPr>
              <w:pStyle w:val="6"/>
              <w:spacing w:before="192" w:line="232" w:lineRule="auto"/>
              <w:ind w:left="180"/>
            </w:pPr>
            <w:r>
              <w:rPr>
                <w:spacing w:val="-3"/>
              </w:rPr>
              <w:t>63</w:t>
            </w:r>
          </w:p>
        </w:tc>
        <w:tc>
          <w:tcPr>
            <w:tcW w:w="567" w:type="dxa"/>
            <w:vAlign w:val="top"/>
          </w:tcPr>
          <w:p w14:paraId="5437274E">
            <w:pPr>
              <w:pStyle w:val="6"/>
              <w:spacing w:before="191" w:line="232" w:lineRule="auto"/>
              <w:ind w:left="118"/>
            </w:pPr>
            <w:r>
              <w:rPr>
                <w:spacing w:val="-6"/>
              </w:rPr>
              <w:t>1.04</w:t>
            </w:r>
          </w:p>
        </w:tc>
        <w:tc>
          <w:tcPr>
            <w:tcW w:w="851" w:type="dxa"/>
            <w:vAlign w:val="top"/>
          </w:tcPr>
          <w:p w14:paraId="025220E2">
            <w:pPr>
              <w:pStyle w:val="6"/>
              <w:spacing w:before="191" w:line="232" w:lineRule="auto"/>
              <w:ind w:left="127"/>
            </w:pPr>
            <w:r>
              <w:rPr>
                <w:spacing w:val="-2"/>
              </w:rPr>
              <w:t>0.002L</w:t>
            </w:r>
          </w:p>
        </w:tc>
        <w:tc>
          <w:tcPr>
            <w:tcW w:w="707" w:type="dxa"/>
            <w:vAlign w:val="top"/>
          </w:tcPr>
          <w:p w14:paraId="45DD2698">
            <w:pPr>
              <w:pStyle w:val="6"/>
              <w:spacing w:before="191" w:line="232" w:lineRule="auto"/>
              <w:ind w:left="56"/>
            </w:pPr>
            <w:r>
              <w:rPr>
                <w:spacing w:val="-2"/>
              </w:rPr>
              <w:t>0.050L</w:t>
            </w:r>
          </w:p>
        </w:tc>
        <w:tc>
          <w:tcPr>
            <w:tcW w:w="708" w:type="dxa"/>
            <w:vAlign w:val="top"/>
          </w:tcPr>
          <w:p w14:paraId="246E6B82">
            <w:pPr>
              <w:pStyle w:val="6"/>
              <w:spacing w:before="191" w:line="232" w:lineRule="auto"/>
              <w:ind w:left="58"/>
            </w:pPr>
            <w:r>
              <w:rPr>
                <w:spacing w:val="-2"/>
              </w:rPr>
              <w:t>0.001L</w:t>
            </w:r>
          </w:p>
        </w:tc>
        <w:tc>
          <w:tcPr>
            <w:tcW w:w="851" w:type="dxa"/>
            <w:vAlign w:val="top"/>
          </w:tcPr>
          <w:p w14:paraId="69D51403">
            <w:pPr>
              <w:pStyle w:val="6"/>
              <w:spacing w:before="191" w:line="232" w:lineRule="auto"/>
              <w:ind w:left="80"/>
            </w:pPr>
            <w:r>
              <w:rPr>
                <w:spacing w:val="-1"/>
              </w:rPr>
              <w:t>0.0005L</w:t>
            </w:r>
          </w:p>
        </w:tc>
        <w:tc>
          <w:tcPr>
            <w:tcW w:w="708" w:type="dxa"/>
            <w:vAlign w:val="top"/>
          </w:tcPr>
          <w:p w14:paraId="303E6D89">
            <w:pPr>
              <w:pStyle w:val="6"/>
              <w:spacing w:before="191" w:line="232" w:lineRule="auto"/>
              <w:ind w:left="60"/>
            </w:pPr>
            <w:r>
              <w:rPr>
                <w:spacing w:val="-2"/>
              </w:rPr>
              <w:t>0.004L</w:t>
            </w:r>
          </w:p>
        </w:tc>
        <w:tc>
          <w:tcPr>
            <w:tcW w:w="851" w:type="dxa"/>
            <w:vAlign w:val="top"/>
          </w:tcPr>
          <w:p w14:paraId="7F91178B">
            <w:pPr>
              <w:pStyle w:val="6"/>
              <w:spacing w:before="191" w:line="232" w:lineRule="auto"/>
              <w:ind w:left="81"/>
            </w:pPr>
            <w:r>
              <w:rPr>
                <w:spacing w:val="-1"/>
              </w:rPr>
              <w:t>0.0025L</w:t>
            </w:r>
          </w:p>
        </w:tc>
        <w:tc>
          <w:tcPr>
            <w:tcW w:w="851" w:type="dxa"/>
            <w:vAlign w:val="top"/>
          </w:tcPr>
          <w:p w14:paraId="2F31D9D0">
            <w:pPr>
              <w:pStyle w:val="6"/>
              <w:spacing w:before="191" w:line="232" w:lineRule="auto"/>
              <w:ind w:left="82"/>
            </w:pPr>
            <w:r>
              <w:rPr>
                <w:spacing w:val="-1"/>
              </w:rPr>
              <w:t>0.0001L</w:t>
            </w:r>
          </w:p>
        </w:tc>
        <w:tc>
          <w:tcPr>
            <w:tcW w:w="847" w:type="dxa"/>
            <w:vAlign w:val="top"/>
          </w:tcPr>
          <w:p w14:paraId="2774E741">
            <w:pPr>
              <w:pStyle w:val="6"/>
              <w:spacing w:before="191" w:line="232" w:lineRule="auto"/>
              <w:ind w:left="80"/>
            </w:pPr>
            <w:r>
              <w:rPr>
                <w:spacing w:val="-1"/>
              </w:rPr>
              <w:t>0.0004L</w:t>
            </w:r>
          </w:p>
        </w:tc>
        <w:tc>
          <w:tcPr>
            <w:tcW w:w="708" w:type="dxa"/>
            <w:vAlign w:val="top"/>
          </w:tcPr>
          <w:p w14:paraId="20D363D4">
            <w:pPr>
              <w:pStyle w:val="6"/>
              <w:spacing w:before="191" w:line="232" w:lineRule="auto"/>
              <w:ind w:left="64"/>
            </w:pPr>
            <w:r>
              <w:rPr>
                <w:spacing w:val="-2"/>
              </w:rPr>
              <w:t>0.002L</w:t>
            </w:r>
          </w:p>
        </w:tc>
        <w:tc>
          <w:tcPr>
            <w:tcW w:w="566" w:type="dxa"/>
            <w:vAlign w:val="top"/>
          </w:tcPr>
          <w:p w14:paraId="1E1A2901">
            <w:pPr>
              <w:pStyle w:val="6"/>
              <w:spacing w:before="191" w:line="232" w:lineRule="auto"/>
              <w:ind w:left="164"/>
            </w:pPr>
            <w:r>
              <w:rPr>
                <w:spacing w:val="-3"/>
              </w:rPr>
              <w:t>0.2</w:t>
            </w:r>
          </w:p>
        </w:tc>
        <w:tc>
          <w:tcPr>
            <w:tcW w:w="428" w:type="dxa"/>
            <w:vAlign w:val="top"/>
          </w:tcPr>
          <w:p w14:paraId="7B32629F">
            <w:pPr>
              <w:pStyle w:val="6"/>
              <w:spacing w:before="191" w:line="232" w:lineRule="auto"/>
              <w:ind w:left="95"/>
            </w:pPr>
            <w:r>
              <w:rPr>
                <w:spacing w:val="-3"/>
              </w:rPr>
              <w:t>0.5</w:t>
            </w:r>
          </w:p>
        </w:tc>
        <w:tc>
          <w:tcPr>
            <w:tcW w:w="570" w:type="dxa"/>
            <w:vAlign w:val="top"/>
          </w:tcPr>
          <w:p w14:paraId="3780245A">
            <w:pPr>
              <w:pStyle w:val="6"/>
              <w:spacing w:before="191" w:line="232" w:lineRule="auto"/>
              <w:ind w:left="262"/>
            </w:pPr>
            <w:r>
              <w:t>/</w:t>
            </w:r>
          </w:p>
        </w:tc>
        <w:tc>
          <w:tcPr>
            <w:tcW w:w="559" w:type="dxa"/>
            <w:gridSpan w:val="2"/>
            <w:tcBorders>
              <w:right w:val="single" w:color="000000" w:sz="12" w:space="0"/>
            </w:tcBorders>
            <w:vAlign w:val="top"/>
          </w:tcPr>
          <w:p w14:paraId="03AE0C33">
            <w:pPr>
              <w:pStyle w:val="6"/>
              <w:spacing w:before="192" w:line="232" w:lineRule="auto"/>
              <w:ind w:left="184"/>
            </w:pPr>
            <w:r>
              <w:rPr>
                <w:spacing w:val="-4"/>
              </w:rPr>
              <w:t>80</w:t>
            </w:r>
          </w:p>
        </w:tc>
      </w:tr>
      <w:tr w14:paraId="5FF2D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31" w:type="dxa"/>
            <w:vMerge w:val="continue"/>
            <w:tcBorders>
              <w:top w:val="nil"/>
              <w:left w:val="single" w:color="000000" w:sz="12" w:space="0"/>
              <w:bottom w:val="nil"/>
            </w:tcBorders>
            <w:vAlign w:val="top"/>
          </w:tcPr>
          <w:p w14:paraId="4104D51B">
            <w:pPr>
              <w:rPr>
                <w:rFonts w:ascii="Arial"/>
                <w:sz w:val="21"/>
              </w:rPr>
            </w:pPr>
          </w:p>
        </w:tc>
        <w:tc>
          <w:tcPr>
            <w:tcW w:w="265" w:type="dxa"/>
            <w:vMerge w:val="restart"/>
            <w:tcBorders>
              <w:bottom w:val="nil"/>
            </w:tcBorders>
            <w:vAlign w:val="top"/>
          </w:tcPr>
          <w:p w14:paraId="79A6A3C3">
            <w:pPr>
              <w:spacing w:line="351" w:lineRule="auto"/>
              <w:rPr>
                <w:rFonts w:ascii="Arial"/>
                <w:sz w:val="21"/>
              </w:rPr>
            </w:pPr>
          </w:p>
          <w:p w14:paraId="28FB35A7">
            <w:pPr>
              <w:pStyle w:val="6"/>
              <w:spacing w:before="60" w:line="233" w:lineRule="auto"/>
              <w:ind w:left="14" w:right="38" w:firstLine="49"/>
              <w:jc w:val="both"/>
              <w:rPr>
                <w:rFonts w:ascii="等线" w:hAnsi="等线" w:eastAsia="等线" w:cs="等线"/>
              </w:rPr>
            </w:pPr>
            <w:r>
              <w:rPr>
                <w:spacing w:val="-5"/>
              </w:rPr>
              <w:t>2</w:t>
            </w:r>
            <w:r>
              <w:rPr>
                <w:rFonts w:ascii="等线" w:hAnsi="等线" w:eastAsia="等线" w:cs="等线"/>
                <w:spacing w:val="-8"/>
              </w:rPr>
              <w:t>季度</w:t>
            </w:r>
          </w:p>
        </w:tc>
        <w:tc>
          <w:tcPr>
            <w:tcW w:w="1014" w:type="dxa"/>
            <w:vAlign w:val="top"/>
          </w:tcPr>
          <w:p w14:paraId="5430B1A8">
            <w:pPr>
              <w:pStyle w:val="6"/>
              <w:spacing w:before="192" w:line="232" w:lineRule="auto"/>
              <w:ind w:left="65"/>
            </w:pPr>
            <w:r>
              <w:rPr>
                <w:spacing w:val="-1"/>
              </w:rPr>
              <w:t>2020/5/20</w:t>
            </w:r>
          </w:p>
        </w:tc>
        <w:tc>
          <w:tcPr>
            <w:tcW w:w="737" w:type="dxa"/>
            <w:vAlign w:val="top"/>
          </w:tcPr>
          <w:p w14:paraId="0556AA4B">
            <w:pPr>
              <w:pStyle w:val="6"/>
              <w:spacing w:before="198" w:line="183" w:lineRule="auto"/>
              <w:ind w:left="243"/>
            </w:pPr>
            <w:r>
              <w:rPr>
                <w:spacing w:val="-3"/>
              </w:rPr>
              <w:t>5L</w:t>
            </w:r>
          </w:p>
        </w:tc>
        <w:tc>
          <w:tcPr>
            <w:tcW w:w="708" w:type="dxa"/>
            <w:vAlign w:val="top"/>
          </w:tcPr>
          <w:p w14:paraId="3460FD23">
            <w:pPr>
              <w:pStyle w:val="6"/>
              <w:spacing w:before="192" w:line="232" w:lineRule="auto"/>
              <w:ind w:left="148"/>
            </w:pPr>
            <w:r>
              <w:rPr>
                <w:spacing w:val="-2"/>
              </w:rPr>
              <w:t>0.5L</w:t>
            </w:r>
          </w:p>
        </w:tc>
        <w:tc>
          <w:tcPr>
            <w:tcW w:w="851" w:type="dxa"/>
            <w:vAlign w:val="top"/>
          </w:tcPr>
          <w:p w14:paraId="7676C9F2">
            <w:pPr>
              <w:pStyle w:val="6"/>
              <w:spacing w:before="192" w:line="232" w:lineRule="auto"/>
              <w:ind w:left="233"/>
            </w:pPr>
            <w:r>
              <w:rPr>
                <w:spacing w:val="-2"/>
              </w:rPr>
              <w:t>7.29</w:t>
            </w:r>
          </w:p>
        </w:tc>
        <w:tc>
          <w:tcPr>
            <w:tcW w:w="708" w:type="dxa"/>
            <w:vAlign w:val="top"/>
          </w:tcPr>
          <w:p w14:paraId="502C7D98">
            <w:pPr>
              <w:pStyle w:val="6"/>
              <w:spacing w:before="192" w:line="232" w:lineRule="auto"/>
              <w:ind w:left="44"/>
            </w:pPr>
            <w:r>
              <w:rPr>
                <w:spacing w:val="-2"/>
              </w:rPr>
              <w:t>0.040L</w:t>
            </w:r>
          </w:p>
        </w:tc>
        <w:tc>
          <w:tcPr>
            <w:tcW w:w="842" w:type="dxa"/>
            <w:vAlign w:val="top"/>
          </w:tcPr>
          <w:p w14:paraId="7085FA45">
            <w:pPr>
              <w:pStyle w:val="6"/>
              <w:spacing w:before="192" w:line="232" w:lineRule="auto"/>
              <w:ind w:left="61"/>
            </w:pPr>
            <w:r>
              <w:rPr>
                <w:spacing w:val="-1"/>
              </w:rPr>
              <w:t>0.0045L</w:t>
            </w:r>
          </w:p>
        </w:tc>
        <w:tc>
          <w:tcPr>
            <w:tcW w:w="851" w:type="dxa"/>
            <w:vAlign w:val="top"/>
          </w:tcPr>
          <w:p w14:paraId="4E568EE5">
            <w:pPr>
              <w:pStyle w:val="6"/>
              <w:spacing w:before="192" w:line="232" w:lineRule="auto"/>
              <w:ind w:left="67"/>
            </w:pPr>
            <w:r>
              <w:rPr>
                <w:spacing w:val="-1"/>
              </w:rPr>
              <w:t>0.0005L</w:t>
            </w:r>
          </w:p>
        </w:tc>
        <w:tc>
          <w:tcPr>
            <w:tcW w:w="708" w:type="dxa"/>
            <w:vAlign w:val="top"/>
          </w:tcPr>
          <w:p w14:paraId="7B83B19C">
            <w:pPr>
              <w:pStyle w:val="6"/>
              <w:spacing w:before="192" w:line="232" w:lineRule="auto"/>
              <w:ind w:left="48"/>
            </w:pPr>
            <w:r>
              <w:rPr>
                <w:spacing w:val="-2"/>
              </w:rPr>
              <w:t>0.009L</w:t>
            </w:r>
          </w:p>
        </w:tc>
        <w:tc>
          <w:tcPr>
            <w:tcW w:w="847" w:type="dxa"/>
            <w:vAlign w:val="top"/>
          </w:tcPr>
          <w:p w14:paraId="16F48DF0">
            <w:pPr>
              <w:pStyle w:val="6"/>
              <w:spacing w:before="192" w:line="232" w:lineRule="auto"/>
              <w:ind w:left="184"/>
            </w:pPr>
            <w:r>
              <w:rPr>
                <w:spacing w:val="-2"/>
              </w:rPr>
              <w:t>0.050</w:t>
            </w:r>
          </w:p>
        </w:tc>
        <w:tc>
          <w:tcPr>
            <w:tcW w:w="565" w:type="dxa"/>
            <w:vAlign w:val="top"/>
          </w:tcPr>
          <w:p w14:paraId="1EF82914">
            <w:pPr>
              <w:pStyle w:val="6"/>
              <w:spacing w:before="192" w:line="232" w:lineRule="auto"/>
              <w:ind w:left="166"/>
            </w:pPr>
            <w:r>
              <w:rPr>
                <w:spacing w:val="-8"/>
              </w:rPr>
              <w:t>1.8</w:t>
            </w:r>
          </w:p>
        </w:tc>
        <w:tc>
          <w:tcPr>
            <w:tcW w:w="567" w:type="dxa"/>
            <w:vAlign w:val="top"/>
          </w:tcPr>
          <w:p w14:paraId="5D5195D1">
            <w:pPr>
              <w:pStyle w:val="6"/>
              <w:spacing w:before="192" w:line="232" w:lineRule="auto"/>
              <w:ind w:left="89"/>
            </w:pPr>
            <w:r>
              <w:rPr>
                <w:spacing w:val="-3"/>
              </w:rPr>
              <w:t>5.0L</w:t>
            </w:r>
          </w:p>
        </w:tc>
        <w:tc>
          <w:tcPr>
            <w:tcW w:w="851" w:type="dxa"/>
            <w:vAlign w:val="top"/>
          </w:tcPr>
          <w:p w14:paraId="2E4694B4">
            <w:pPr>
              <w:pStyle w:val="6"/>
              <w:spacing w:before="192" w:line="232" w:lineRule="auto"/>
              <w:ind w:left="321"/>
            </w:pPr>
            <w:r>
              <w:rPr>
                <w:spacing w:val="-2"/>
              </w:rPr>
              <w:t>73</w:t>
            </w:r>
          </w:p>
        </w:tc>
        <w:tc>
          <w:tcPr>
            <w:tcW w:w="566" w:type="dxa"/>
            <w:vAlign w:val="top"/>
          </w:tcPr>
          <w:p w14:paraId="62695BAE">
            <w:pPr>
              <w:pStyle w:val="6"/>
              <w:spacing w:before="191" w:line="235" w:lineRule="auto"/>
              <w:ind w:left="175"/>
            </w:pPr>
            <w:r>
              <w:rPr>
                <w:spacing w:val="-1"/>
              </w:rPr>
              <w:t>42</w:t>
            </w:r>
          </w:p>
        </w:tc>
        <w:tc>
          <w:tcPr>
            <w:tcW w:w="567" w:type="dxa"/>
            <w:vAlign w:val="top"/>
          </w:tcPr>
          <w:p w14:paraId="18CD6D65">
            <w:pPr>
              <w:pStyle w:val="6"/>
              <w:spacing w:before="192" w:line="232" w:lineRule="auto"/>
              <w:ind w:left="98"/>
            </w:pPr>
            <w:r>
              <w:rPr>
                <w:spacing w:val="-1"/>
              </w:rPr>
              <w:t>2.40</w:t>
            </w:r>
          </w:p>
        </w:tc>
        <w:tc>
          <w:tcPr>
            <w:tcW w:w="851" w:type="dxa"/>
            <w:vAlign w:val="top"/>
          </w:tcPr>
          <w:p w14:paraId="574685B2">
            <w:pPr>
              <w:pStyle w:val="6"/>
              <w:spacing w:before="192" w:line="232" w:lineRule="auto"/>
              <w:ind w:left="127"/>
            </w:pPr>
            <w:r>
              <w:rPr>
                <w:spacing w:val="-2"/>
              </w:rPr>
              <w:t>0.002L</w:t>
            </w:r>
          </w:p>
        </w:tc>
        <w:tc>
          <w:tcPr>
            <w:tcW w:w="707" w:type="dxa"/>
            <w:vAlign w:val="top"/>
          </w:tcPr>
          <w:p w14:paraId="6BC4C613">
            <w:pPr>
              <w:pStyle w:val="6"/>
              <w:spacing w:before="192" w:line="232" w:lineRule="auto"/>
              <w:ind w:left="56"/>
            </w:pPr>
            <w:r>
              <w:rPr>
                <w:spacing w:val="-2"/>
              </w:rPr>
              <w:t>0.050L</w:t>
            </w:r>
          </w:p>
        </w:tc>
        <w:tc>
          <w:tcPr>
            <w:tcW w:w="708" w:type="dxa"/>
            <w:vAlign w:val="top"/>
          </w:tcPr>
          <w:p w14:paraId="14CDD5EE">
            <w:pPr>
              <w:pStyle w:val="6"/>
              <w:spacing w:before="192" w:line="232" w:lineRule="auto"/>
              <w:ind w:left="58"/>
            </w:pPr>
            <w:r>
              <w:rPr>
                <w:spacing w:val="-2"/>
              </w:rPr>
              <w:t>0.001L</w:t>
            </w:r>
          </w:p>
        </w:tc>
        <w:tc>
          <w:tcPr>
            <w:tcW w:w="851" w:type="dxa"/>
            <w:vAlign w:val="top"/>
          </w:tcPr>
          <w:p w14:paraId="6CCEED75">
            <w:pPr>
              <w:pStyle w:val="6"/>
              <w:spacing w:before="192" w:line="232" w:lineRule="auto"/>
              <w:ind w:left="80"/>
            </w:pPr>
            <w:r>
              <w:rPr>
                <w:spacing w:val="-1"/>
              </w:rPr>
              <w:t>0.0005L</w:t>
            </w:r>
          </w:p>
        </w:tc>
        <w:tc>
          <w:tcPr>
            <w:tcW w:w="708" w:type="dxa"/>
            <w:vAlign w:val="top"/>
          </w:tcPr>
          <w:p w14:paraId="3E3F6285">
            <w:pPr>
              <w:pStyle w:val="6"/>
              <w:spacing w:before="192" w:line="232" w:lineRule="auto"/>
              <w:ind w:left="60"/>
            </w:pPr>
            <w:r>
              <w:rPr>
                <w:spacing w:val="-2"/>
              </w:rPr>
              <w:t>0.004L</w:t>
            </w:r>
          </w:p>
        </w:tc>
        <w:tc>
          <w:tcPr>
            <w:tcW w:w="851" w:type="dxa"/>
            <w:vAlign w:val="top"/>
          </w:tcPr>
          <w:p w14:paraId="2DB72675">
            <w:pPr>
              <w:pStyle w:val="6"/>
              <w:spacing w:before="192" w:line="232" w:lineRule="auto"/>
              <w:ind w:left="81"/>
            </w:pPr>
            <w:r>
              <w:rPr>
                <w:spacing w:val="-1"/>
              </w:rPr>
              <w:t>0.0025L</w:t>
            </w:r>
          </w:p>
        </w:tc>
        <w:tc>
          <w:tcPr>
            <w:tcW w:w="851" w:type="dxa"/>
            <w:vAlign w:val="top"/>
          </w:tcPr>
          <w:p w14:paraId="466CF627">
            <w:pPr>
              <w:pStyle w:val="6"/>
              <w:spacing w:before="192" w:line="232" w:lineRule="auto"/>
              <w:ind w:left="145"/>
            </w:pPr>
            <w:r>
              <w:rPr>
                <w:spacing w:val="-2"/>
              </w:rPr>
              <w:t>0.0001</w:t>
            </w:r>
          </w:p>
        </w:tc>
        <w:tc>
          <w:tcPr>
            <w:tcW w:w="847" w:type="dxa"/>
            <w:vAlign w:val="top"/>
          </w:tcPr>
          <w:p w14:paraId="4AF9E895">
            <w:pPr>
              <w:pStyle w:val="6"/>
              <w:spacing w:before="192" w:line="232" w:lineRule="auto"/>
              <w:ind w:left="80"/>
            </w:pPr>
            <w:r>
              <w:rPr>
                <w:spacing w:val="-1"/>
              </w:rPr>
              <w:t>0.0004L</w:t>
            </w:r>
          </w:p>
        </w:tc>
        <w:tc>
          <w:tcPr>
            <w:tcW w:w="708" w:type="dxa"/>
            <w:vAlign w:val="top"/>
          </w:tcPr>
          <w:p w14:paraId="2D90E9CC">
            <w:pPr>
              <w:pStyle w:val="6"/>
              <w:spacing w:before="192" w:line="232" w:lineRule="auto"/>
              <w:ind w:left="64"/>
            </w:pPr>
            <w:r>
              <w:rPr>
                <w:spacing w:val="-2"/>
              </w:rPr>
              <w:t>0.002L</w:t>
            </w:r>
          </w:p>
        </w:tc>
        <w:tc>
          <w:tcPr>
            <w:tcW w:w="566" w:type="dxa"/>
            <w:vAlign w:val="top"/>
          </w:tcPr>
          <w:p w14:paraId="4D7B5345">
            <w:pPr>
              <w:pStyle w:val="6"/>
              <w:spacing w:before="192" w:line="232" w:lineRule="auto"/>
              <w:ind w:left="100"/>
            </w:pPr>
            <w:r>
              <w:rPr>
                <w:spacing w:val="-2"/>
              </w:rPr>
              <w:t>0.2L</w:t>
            </w:r>
          </w:p>
        </w:tc>
        <w:tc>
          <w:tcPr>
            <w:tcW w:w="428" w:type="dxa"/>
            <w:vAlign w:val="top"/>
          </w:tcPr>
          <w:p w14:paraId="4788D432">
            <w:pPr>
              <w:pStyle w:val="6"/>
              <w:spacing w:before="192" w:line="232" w:lineRule="auto"/>
              <w:ind w:left="95"/>
            </w:pPr>
            <w:r>
              <w:rPr>
                <w:spacing w:val="-3"/>
              </w:rPr>
              <w:t>0.5</w:t>
            </w:r>
          </w:p>
        </w:tc>
        <w:tc>
          <w:tcPr>
            <w:tcW w:w="570" w:type="dxa"/>
            <w:vAlign w:val="top"/>
          </w:tcPr>
          <w:p w14:paraId="1CBE1488">
            <w:pPr>
              <w:pStyle w:val="6"/>
              <w:spacing w:before="196" w:line="229" w:lineRule="auto"/>
              <w:ind w:left="147"/>
            </w:pPr>
            <w:r>
              <w:rPr>
                <w:b/>
                <w:bCs/>
                <w:spacing w:val="-4"/>
              </w:rPr>
              <w:t>130</w:t>
            </w:r>
          </w:p>
        </w:tc>
        <w:tc>
          <w:tcPr>
            <w:tcW w:w="559" w:type="dxa"/>
            <w:gridSpan w:val="2"/>
            <w:tcBorders>
              <w:right w:val="single" w:color="000000" w:sz="12" w:space="0"/>
            </w:tcBorders>
            <w:vAlign w:val="top"/>
          </w:tcPr>
          <w:p w14:paraId="57D7E7FB">
            <w:pPr>
              <w:pStyle w:val="6"/>
              <w:spacing w:before="192" w:line="232" w:lineRule="auto"/>
              <w:ind w:left="182"/>
            </w:pPr>
            <w:r>
              <w:rPr>
                <w:spacing w:val="-3"/>
              </w:rPr>
              <w:t>55</w:t>
            </w:r>
          </w:p>
        </w:tc>
      </w:tr>
      <w:tr w14:paraId="16220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21184917">
            <w:pPr>
              <w:rPr>
                <w:rFonts w:ascii="Arial"/>
                <w:sz w:val="21"/>
              </w:rPr>
            </w:pPr>
          </w:p>
        </w:tc>
        <w:tc>
          <w:tcPr>
            <w:tcW w:w="265" w:type="dxa"/>
            <w:vMerge w:val="continue"/>
            <w:tcBorders>
              <w:top w:val="nil"/>
              <w:bottom w:val="nil"/>
            </w:tcBorders>
            <w:vAlign w:val="top"/>
          </w:tcPr>
          <w:p w14:paraId="029C9DDA">
            <w:pPr>
              <w:rPr>
                <w:rFonts w:ascii="Arial"/>
                <w:sz w:val="21"/>
              </w:rPr>
            </w:pPr>
          </w:p>
        </w:tc>
        <w:tc>
          <w:tcPr>
            <w:tcW w:w="1014" w:type="dxa"/>
            <w:vAlign w:val="top"/>
          </w:tcPr>
          <w:p w14:paraId="109DB318">
            <w:pPr>
              <w:pStyle w:val="6"/>
              <w:spacing w:before="194" w:line="232" w:lineRule="auto"/>
              <w:ind w:left="65"/>
            </w:pPr>
            <w:r>
              <w:rPr>
                <w:spacing w:val="-1"/>
              </w:rPr>
              <w:t>2020/5/21</w:t>
            </w:r>
          </w:p>
        </w:tc>
        <w:tc>
          <w:tcPr>
            <w:tcW w:w="737" w:type="dxa"/>
            <w:vAlign w:val="top"/>
          </w:tcPr>
          <w:p w14:paraId="7A9C4533">
            <w:pPr>
              <w:pStyle w:val="6"/>
              <w:spacing w:before="201" w:line="183" w:lineRule="auto"/>
              <w:ind w:left="243"/>
            </w:pPr>
            <w:r>
              <w:rPr>
                <w:spacing w:val="-3"/>
              </w:rPr>
              <w:t>5L</w:t>
            </w:r>
          </w:p>
        </w:tc>
        <w:tc>
          <w:tcPr>
            <w:tcW w:w="708" w:type="dxa"/>
            <w:vAlign w:val="top"/>
          </w:tcPr>
          <w:p w14:paraId="749B0C22">
            <w:pPr>
              <w:pStyle w:val="6"/>
              <w:spacing w:before="194" w:line="232" w:lineRule="auto"/>
              <w:ind w:left="148"/>
            </w:pPr>
            <w:r>
              <w:rPr>
                <w:spacing w:val="-2"/>
              </w:rPr>
              <w:t>0.5L</w:t>
            </w:r>
          </w:p>
        </w:tc>
        <w:tc>
          <w:tcPr>
            <w:tcW w:w="851" w:type="dxa"/>
            <w:vAlign w:val="top"/>
          </w:tcPr>
          <w:p w14:paraId="2126E46D">
            <w:pPr>
              <w:pStyle w:val="6"/>
              <w:spacing w:before="194" w:line="232" w:lineRule="auto"/>
              <w:ind w:left="233"/>
            </w:pPr>
            <w:r>
              <w:rPr>
                <w:spacing w:val="-2"/>
              </w:rPr>
              <w:t>7.25</w:t>
            </w:r>
          </w:p>
        </w:tc>
        <w:tc>
          <w:tcPr>
            <w:tcW w:w="708" w:type="dxa"/>
            <w:vAlign w:val="top"/>
          </w:tcPr>
          <w:p w14:paraId="470F4986">
            <w:pPr>
              <w:pStyle w:val="6"/>
              <w:spacing w:before="194" w:line="232" w:lineRule="auto"/>
              <w:ind w:left="44"/>
            </w:pPr>
            <w:r>
              <w:rPr>
                <w:spacing w:val="-2"/>
              </w:rPr>
              <w:t>0.040L</w:t>
            </w:r>
          </w:p>
        </w:tc>
        <w:tc>
          <w:tcPr>
            <w:tcW w:w="842" w:type="dxa"/>
            <w:vAlign w:val="top"/>
          </w:tcPr>
          <w:p w14:paraId="6BC5B23A">
            <w:pPr>
              <w:pStyle w:val="6"/>
              <w:spacing w:before="194" w:line="232" w:lineRule="auto"/>
              <w:ind w:left="61"/>
            </w:pPr>
            <w:r>
              <w:rPr>
                <w:spacing w:val="-1"/>
              </w:rPr>
              <w:t>0.0045L</w:t>
            </w:r>
          </w:p>
        </w:tc>
        <w:tc>
          <w:tcPr>
            <w:tcW w:w="851" w:type="dxa"/>
            <w:vAlign w:val="top"/>
          </w:tcPr>
          <w:p w14:paraId="700596B1">
            <w:pPr>
              <w:pStyle w:val="6"/>
              <w:spacing w:before="194" w:line="232" w:lineRule="auto"/>
              <w:ind w:left="67"/>
            </w:pPr>
            <w:r>
              <w:rPr>
                <w:spacing w:val="-1"/>
              </w:rPr>
              <w:t>0.0005L</w:t>
            </w:r>
          </w:p>
        </w:tc>
        <w:tc>
          <w:tcPr>
            <w:tcW w:w="708" w:type="dxa"/>
            <w:vAlign w:val="top"/>
          </w:tcPr>
          <w:p w14:paraId="292901E2">
            <w:pPr>
              <w:pStyle w:val="6"/>
              <w:spacing w:before="194" w:line="232" w:lineRule="auto"/>
              <w:ind w:left="48"/>
            </w:pPr>
            <w:r>
              <w:rPr>
                <w:spacing w:val="-2"/>
              </w:rPr>
              <w:t>0.009L</w:t>
            </w:r>
          </w:p>
        </w:tc>
        <w:tc>
          <w:tcPr>
            <w:tcW w:w="847" w:type="dxa"/>
            <w:vAlign w:val="top"/>
          </w:tcPr>
          <w:p w14:paraId="411E1A59">
            <w:pPr>
              <w:pStyle w:val="6"/>
              <w:spacing w:before="194" w:line="232" w:lineRule="auto"/>
              <w:ind w:left="184"/>
            </w:pPr>
            <w:r>
              <w:rPr>
                <w:spacing w:val="-2"/>
              </w:rPr>
              <w:t>0.050</w:t>
            </w:r>
          </w:p>
        </w:tc>
        <w:tc>
          <w:tcPr>
            <w:tcW w:w="565" w:type="dxa"/>
            <w:vAlign w:val="top"/>
          </w:tcPr>
          <w:p w14:paraId="10A8FC31">
            <w:pPr>
              <w:pStyle w:val="6"/>
              <w:spacing w:before="194" w:line="232" w:lineRule="auto"/>
              <w:ind w:left="166"/>
            </w:pPr>
            <w:r>
              <w:rPr>
                <w:spacing w:val="-8"/>
              </w:rPr>
              <w:t>1.5</w:t>
            </w:r>
          </w:p>
        </w:tc>
        <w:tc>
          <w:tcPr>
            <w:tcW w:w="567" w:type="dxa"/>
            <w:vAlign w:val="top"/>
          </w:tcPr>
          <w:p w14:paraId="1A743A40">
            <w:pPr>
              <w:pStyle w:val="6"/>
              <w:spacing w:before="194" w:line="232" w:lineRule="auto"/>
              <w:ind w:left="89"/>
            </w:pPr>
            <w:r>
              <w:rPr>
                <w:spacing w:val="-3"/>
              </w:rPr>
              <w:t>5.0L</w:t>
            </w:r>
          </w:p>
        </w:tc>
        <w:tc>
          <w:tcPr>
            <w:tcW w:w="851" w:type="dxa"/>
            <w:vAlign w:val="top"/>
          </w:tcPr>
          <w:p w14:paraId="09CBA784">
            <w:pPr>
              <w:pStyle w:val="6"/>
              <w:spacing w:before="194" w:line="232" w:lineRule="auto"/>
              <w:ind w:left="322"/>
            </w:pPr>
            <w:r>
              <w:rPr>
                <w:spacing w:val="-3"/>
              </w:rPr>
              <w:t>65</w:t>
            </w:r>
          </w:p>
        </w:tc>
        <w:tc>
          <w:tcPr>
            <w:tcW w:w="566" w:type="dxa"/>
            <w:vAlign w:val="top"/>
          </w:tcPr>
          <w:p w14:paraId="5F525710">
            <w:pPr>
              <w:pStyle w:val="6"/>
              <w:spacing w:before="194" w:line="232" w:lineRule="auto"/>
              <w:ind w:left="180"/>
            </w:pPr>
            <w:r>
              <w:rPr>
                <w:spacing w:val="-3"/>
              </w:rPr>
              <w:t>39</w:t>
            </w:r>
          </w:p>
        </w:tc>
        <w:tc>
          <w:tcPr>
            <w:tcW w:w="567" w:type="dxa"/>
            <w:vAlign w:val="top"/>
          </w:tcPr>
          <w:p w14:paraId="77C6A26A">
            <w:pPr>
              <w:pStyle w:val="6"/>
              <w:spacing w:before="194" w:line="232" w:lineRule="auto"/>
              <w:ind w:left="98"/>
            </w:pPr>
            <w:r>
              <w:rPr>
                <w:spacing w:val="-1"/>
              </w:rPr>
              <w:t>2.30</w:t>
            </w:r>
          </w:p>
        </w:tc>
        <w:tc>
          <w:tcPr>
            <w:tcW w:w="851" w:type="dxa"/>
            <w:vAlign w:val="top"/>
          </w:tcPr>
          <w:p w14:paraId="2256B450">
            <w:pPr>
              <w:pStyle w:val="6"/>
              <w:spacing w:before="194" w:line="232" w:lineRule="auto"/>
              <w:ind w:left="127"/>
            </w:pPr>
            <w:r>
              <w:rPr>
                <w:spacing w:val="-2"/>
              </w:rPr>
              <w:t>0.002L</w:t>
            </w:r>
          </w:p>
        </w:tc>
        <w:tc>
          <w:tcPr>
            <w:tcW w:w="707" w:type="dxa"/>
            <w:vAlign w:val="top"/>
          </w:tcPr>
          <w:p w14:paraId="4036B784">
            <w:pPr>
              <w:pStyle w:val="6"/>
              <w:spacing w:before="194" w:line="232" w:lineRule="auto"/>
              <w:ind w:left="56"/>
            </w:pPr>
            <w:r>
              <w:rPr>
                <w:spacing w:val="-2"/>
              </w:rPr>
              <w:t>0.050L</w:t>
            </w:r>
          </w:p>
        </w:tc>
        <w:tc>
          <w:tcPr>
            <w:tcW w:w="708" w:type="dxa"/>
            <w:vAlign w:val="top"/>
          </w:tcPr>
          <w:p w14:paraId="52766140">
            <w:pPr>
              <w:pStyle w:val="6"/>
              <w:spacing w:before="194" w:line="232" w:lineRule="auto"/>
              <w:ind w:left="58"/>
            </w:pPr>
            <w:r>
              <w:rPr>
                <w:spacing w:val="-2"/>
              </w:rPr>
              <w:t>0.001L</w:t>
            </w:r>
          </w:p>
        </w:tc>
        <w:tc>
          <w:tcPr>
            <w:tcW w:w="851" w:type="dxa"/>
            <w:vAlign w:val="top"/>
          </w:tcPr>
          <w:p w14:paraId="6979565F">
            <w:pPr>
              <w:pStyle w:val="6"/>
              <w:spacing w:before="194" w:line="232" w:lineRule="auto"/>
              <w:ind w:left="80"/>
            </w:pPr>
            <w:r>
              <w:rPr>
                <w:spacing w:val="-1"/>
              </w:rPr>
              <w:t>0.0005L</w:t>
            </w:r>
          </w:p>
        </w:tc>
        <w:tc>
          <w:tcPr>
            <w:tcW w:w="708" w:type="dxa"/>
            <w:vAlign w:val="top"/>
          </w:tcPr>
          <w:p w14:paraId="778D56A5">
            <w:pPr>
              <w:pStyle w:val="6"/>
              <w:spacing w:before="194" w:line="232" w:lineRule="auto"/>
              <w:ind w:left="60"/>
            </w:pPr>
            <w:r>
              <w:rPr>
                <w:spacing w:val="-2"/>
              </w:rPr>
              <w:t>0.004L</w:t>
            </w:r>
          </w:p>
        </w:tc>
        <w:tc>
          <w:tcPr>
            <w:tcW w:w="851" w:type="dxa"/>
            <w:vAlign w:val="top"/>
          </w:tcPr>
          <w:p w14:paraId="30F1E207">
            <w:pPr>
              <w:pStyle w:val="6"/>
              <w:spacing w:before="194" w:line="232" w:lineRule="auto"/>
              <w:ind w:left="81"/>
            </w:pPr>
            <w:r>
              <w:rPr>
                <w:spacing w:val="-1"/>
              </w:rPr>
              <w:t>0.0025L</w:t>
            </w:r>
          </w:p>
        </w:tc>
        <w:tc>
          <w:tcPr>
            <w:tcW w:w="851" w:type="dxa"/>
            <w:vAlign w:val="top"/>
          </w:tcPr>
          <w:p w14:paraId="2305C15F">
            <w:pPr>
              <w:pStyle w:val="6"/>
              <w:spacing w:before="194" w:line="232" w:lineRule="auto"/>
              <w:ind w:left="145"/>
            </w:pPr>
            <w:r>
              <w:rPr>
                <w:spacing w:val="-2"/>
              </w:rPr>
              <w:t>0.0001</w:t>
            </w:r>
          </w:p>
        </w:tc>
        <w:tc>
          <w:tcPr>
            <w:tcW w:w="847" w:type="dxa"/>
            <w:vAlign w:val="top"/>
          </w:tcPr>
          <w:p w14:paraId="78C00039">
            <w:pPr>
              <w:pStyle w:val="6"/>
              <w:spacing w:before="194" w:line="232" w:lineRule="auto"/>
              <w:ind w:left="80"/>
            </w:pPr>
            <w:r>
              <w:rPr>
                <w:spacing w:val="-1"/>
              </w:rPr>
              <w:t>0.0004L</w:t>
            </w:r>
          </w:p>
        </w:tc>
        <w:tc>
          <w:tcPr>
            <w:tcW w:w="708" w:type="dxa"/>
            <w:vAlign w:val="top"/>
          </w:tcPr>
          <w:p w14:paraId="1F6B27AC">
            <w:pPr>
              <w:pStyle w:val="6"/>
              <w:spacing w:before="194" w:line="232" w:lineRule="auto"/>
              <w:ind w:left="64"/>
            </w:pPr>
            <w:r>
              <w:rPr>
                <w:spacing w:val="-2"/>
              </w:rPr>
              <w:t>0.002L</w:t>
            </w:r>
          </w:p>
        </w:tc>
        <w:tc>
          <w:tcPr>
            <w:tcW w:w="566" w:type="dxa"/>
            <w:vAlign w:val="top"/>
          </w:tcPr>
          <w:p w14:paraId="0935D2E0">
            <w:pPr>
              <w:pStyle w:val="6"/>
              <w:spacing w:before="194" w:line="232" w:lineRule="auto"/>
              <w:ind w:left="100"/>
            </w:pPr>
            <w:r>
              <w:rPr>
                <w:spacing w:val="-2"/>
              </w:rPr>
              <w:t>0.2L</w:t>
            </w:r>
          </w:p>
        </w:tc>
        <w:tc>
          <w:tcPr>
            <w:tcW w:w="428" w:type="dxa"/>
            <w:vAlign w:val="top"/>
          </w:tcPr>
          <w:p w14:paraId="1B3EC9B8">
            <w:pPr>
              <w:pStyle w:val="6"/>
              <w:spacing w:before="194" w:line="232" w:lineRule="auto"/>
              <w:ind w:left="95"/>
            </w:pPr>
            <w:r>
              <w:rPr>
                <w:spacing w:val="-3"/>
              </w:rPr>
              <w:t>0.5</w:t>
            </w:r>
          </w:p>
        </w:tc>
        <w:tc>
          <w:tcPr>
            <w:tcW w:w="570" w:type="dxa"/>
            <w:vAlign w:val="top"/>
          </w:tcPr>
          <w:p w14:paraId="41827FCB">
            <w:pPr>
              <w:pStyle w:val="6"/>
              <w:spacing w:before="198" w:line="229" w:lineRule="auto"/>
              <w:ind w:left="147"/>
            </w:pPr>
            <w:r>
              <w:rPr>
                <w:b/>
                <w:bCs/>
                <w:spacing w:val="-4"/>
              </w:rPr>
              <w:t>110</w:t>
            </w:r>
          </w:p>
        </w:tc>
        <w:tc>
          <w:tcPr>
            <w:tcW w:w="559" w:type="dxa"/>
            <w:gridSpan w:val="2"/>
            <w:tcBorders>
              <w:right w:val="single" w:color="000000" w:sz="12" w:space="0"/>
            </w:tcBorders>
            <w:vAlign w:val="top"/>
          </w:tcPr>
          <w:p w14:paraId="2678F6E4">
            <w:pPr>
              <w:pStyle w:val="6"/>
              <w:spacing w:before="194" w:line="232" w:lineRule="auto"/>
              <w:ind w:left="175"/>
            </w:pPr>
            <w:r>
              <w:rPr>
                <w:spacing w:val="-1"/>
              </w:rPr>
              <w:t>40</w:t>
            </w:r>
          </w:p>
        </w:tc>
      </w:tr>
      <w:tr w14:paraId="7F161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7A71BC6F">
            <w:pPr>
              <w:rPr>
                <w:rFonts w:ascii="Arial"/>
                <w:sz w:val="21"/>
              </w:rPr>
            </w:pPr>
          </w:p>
        </w:tc>
        <w:tc>
          <w:tcPr>
            <w:tcW w:w="265" w:type="dxa"/>
            <w:vMerge w:val="continue"/>
            <w:tcBorders>
              <w:top w:val="nil"/>
            </w:tcBorders>
            <w:vAlign w:val="top"/>
          </w:tcPr>
          <w:p w14:paraId="6B7433CE">
            <w:pPr>
              <w:rPr>
                <w:rFonts w:ascii="Arial"/>
                <w:sz w:val="21"/>
              </w:rPr>
            </w:pPr>
          </w:p>
        </w:tc>
        <w:tc>
          <w:tcPr>
            <w:tcW w:w="1014" w:type="dxa"/>
            <w:vAlign w:val="top"/>
          </w:tcPr>
          <w:p w14:paraId="1E30A93C">
            <w:pPr>
              <w:pStyle w:val="6"/>
              <w:spacing w:before="195" w:line="232" w:lineRule="auto"/>
              <w:ind w:left="65"/>
            </w:pPr>
            <w:r>
              <w:rPr>
                <w:spacing w:val="-1"/>
              </w:rPr>
              <w:t>2020/5/22</w:t>
            </w:r>
          </w:p>
        </w:tc>
        <w:tc>
          <w:tcPr>
            <w:tcW w:w="737" w:type="dxa"/>
            <w:vAlign w:val="top"/>
          </w:tcPr>
          <w:p w14:paraId="73132847">
            <w:pPr>
              <w:pStyle w:val="6"/>
              <w:spacing w:before="202" w:line="183" w:lineRule="auto"/>
              <w:ind w:left="243"/>
            </w:pPr>
            <w:r>
              <w:rPr>
                <w:spacing w:val="-3"/>
              </w:rPr>
              <w:t>5L</w:t>
            </w:r>
          </w:p>
        </w:tc>
        <w:tc>
          <w:tcPr>
            <w:tcW w:w="708" w:type="dxa"/>
            <w:vAlign w:val="top"/>
          </w:tcPr>
          <w:p w14:paraId="604FA571">
            <w:pPr>
              <w:pStyle w:val="6"/>
              <w:spacing w:before="195" w:line="232" w:lineRule="auto"/>
              <w:ind w:left="148"/>
            </w:pPr>
            <w:r>
              <w:rPr>
                <w:spacing w:val="-2"/>
              </w:rPr>
              <w:t>0.5L</w:t>
            </w:r>
          </w:p>
        </w:tc>
        <w:tc>
          <w:tcPr>
            <w:tcW w:w="851" w:type="dxa"/>
            <w:vAlign w:val="top"/>
          </w:tcPr>
          <w:p w14:paraId="250B4F84">
            <w:pPr>
              <w:pStyle w:val="6"/>
              <w:spacing w:before="195" w:line="232" w:lineRule="auto"/>
              <w:ind w:left="233"/>
            </w:pPr>
            <w:r>
              <w:rPr>
                <w:spacing w:val="-2"/>
              </w:rPr>
              <w:t>7.26</w:t>
            </w:r>
          </w:p>
        </w:tc>
        <w:tc>
          <w:tcPr>
            <w:tcW w:w="708" w:type="dxa"/>
            <w:vAlign w:val="top"/>
          </w:tcPr>
          <w:p w14:paraId="3511D101">
            <w:pPr>
              <w:pStyle w:val="6"/>
              <w:spacing w:before="195" w:line="232" w:lineRule="auto"/>
              <w:ind w:left="44"/>
            </w:pPr>
            <w:r>
              <w:rPr>
                <w:spacing w:val="-2"/>
              </w:rPr>
              <w:t>0.040L</w:t>
            </w:r>
          </w:p>
        </w:tc>
        <w:tc>
          <w:tcPr>
            <w:tcW w:w="842" w:type="dxa"/>
            <w:vAlign w:val="top"/>
          </w:tcPr>
          <w:p w14:paraId="25EDFE7E">
            <w:pPr>
              <w:pStyle w:val="6"/>
              <w:spacing w:before="195" w:line="232" w:lineRule="auto"/>
              <w:ind w:left="61"/>
            </w:pPr>
            <w:r>
              <w:rPr>
                <w:spacing w:val="-1"/>
              </w:rPr>
              <w:t>0.0045L</w:t>
            </w:r>
          </w:p>
        </w:tc>
        <w:tc>
          <w:tcPr>
            <w:tcW w:w="851" w:type="dxa"/>
            <w:vAlign w:val="top"/>
          </w:tcPr>
          <w:p w14:paraId="5BE97B66">
            <w:pPr>
              <w:pStyle w:val="6"/>
              <w:spacing w:before="195" w:line="232" w:lineRule="auto"/>
              <w:ind w:left="67"/>
            </w:pPr>
            <w:r>
              <w:rPr>
                <w:spacing w:val="-1"/>
              </w:rPr>
              <w:t>0.0005L</w:t>
            </w:r>
          </w:p>
        </w:tc>
        <w:tc>
          <w:tcPr>
            <w:tcW w:w="708" w:type="dxa"/>
            <w:vAlign w:val="top"/>
          </w:tcPr>
          <w:p w14:paraId="470B8C54">
            <w:pPr>
              <w:pStyle w:val="6"/>
              <w:spacing w:before="195" w:line="232" w:lineRule="auto"/>
              <w:ind w:left="48"/>
            </w:pPr>
            <w:r>
              <w:rPr>
                <w:spacing w:val="-2"/>
              </w:rPr>
              <w:t>0.009L</w:t>
            </w:r>
          </w:p>
        </w:tc>
        <w:tc>
          <w:tcPr>
            <w:tcW w:w="847" w:type="dxa"/>
            <w:vAlign w:val="top"/>
          </w:tcPr>
          <w:p w14:paraId="694A2DF4">
            <w:pPr>
              <w:pStyle w:val="6"/>
              <w:spacing w:before="195" w:line="232" w:lineRule="auto"/>
              <w:ind w:left="184"/>
            </w:pPr>
            <w:r>
              <w:rPr>
                <w:spacing w:val="-2"/>
              </w:rPr>
              <w:t>0.050</w:t>
            </w:r>
          </w:p>
        </w:tc>
        <w:tc>
          <w:tcPr>
            <w:tcW w:w="565" w:type="dxa"/>
            <w:vAlign w:val="top"/>
          </w:tcPr>
          <w:p w14:paraId="7AF2D068">
            <w:pPr>
              <w:pStyle w:val="6"/>
              <w:spacing w:before="195" w:line="232" w:lineRule="auto"/>
              <w:ind w:left="166"/>
            </w:pPr>
            <w:r>
              <w:rPr>
                <w:spacing w:val="-8"/>
              </w:rPr>
              <w:t>1.7</w:t>
            </w:r>
          </w:p>
        </w:tc>
        <w:tc>
          <w:tcPr>
            <w:tcW w:w="567" w:type="dxa"/>
            <w:vAlign w:val="top"/>
          </w:tcPr>
          <w:p w14:paraId="6E0FCEA0">
            <w:pPr>
              <w:pStyle w:val="6"/>
              <w:spacing w:before="195" w:line="232" w:lineRule="auto"/>
              <w:ind w:left="89"/>
            </w:pPr>
            <w:r>
              <w:rPr>
                <w:spacing w:val="-3"/>
              </w:rPr>
              <w:t>5.0L</w:t>
            </w:r>
          </w:p>
        </w:tc>
        <w:tc>
          <w:tcPr>
            <w:tcW w:w="851" w:type="dxa"/>
            <w:vAlign w:val="top"/>
          </w:tcPr>
          <w:p w14:paraId="0EC2770B">
            <w:pPr>
              <w:pStyle w:val="6"/>
              <w:spacing w:before="195" w:line="232" w:lineRule="auto"/>
              <w:ind w:left="322"/>
            </w:pPr>
            <w:r>
              <w:rPr>
                <w:spacing w:val="-3"/>
              </w:rPr>
              <w:t>69</w:t>
            </w:r>
          </w:p>
        </w:tc>
        <w:tc>
          <w:tcPr>
            <w:tcW w:w="566" w:type="dxa"/>
            <w:vAlign w:val="top"/>
          </w:tcPr>
          <w:p w14:paraId="11278769">
            <w:pPr>
              <w:pStyle w:val="6"/>
              <w:spacing w:before="196" w:line="232" w:lineRule="auto"/>
              <w:ind w:left="175"/>
            </w:pPr>
            <w:r>
              <w:rPr>
                <w:spacing w:val="-1"/>
              </w:rPr>
              <w:t>45</w:t>
            </w:r>
          </w:p>
        </w:tc>
        <w:tc>
          <w:tcPr>
            <w:tcW w:w="567" w:type="dxa"/>
            <w:vAlign w:val="top"/>
          </w:tcPr>
          <w:p w14:paraId="6E708F2F">
            <w:pPr>
              <w:pStyle w:val="6"/>
              <w:spacing w:before="195" w:line="232" w:lineRule="auto"/>
              <w:ind w:left="98"/>
            </w:pPr>
            <w:r>
              <w:rPr>
                <w:spacing w:val="-1"/>
              </w:rPr>
              <w:t>2.36</w:t>
            </w:r>
          </w:p>
        </w:tc>
        <w:tc>
          <w:tcPr>
            <w:tcW w:w="851" w:type="dxa"/>
            <w:vAlign w:val="top"/>
          </w:tcPr>
          <w:p w14:paraId="4426A60D">
            <w:pPr>
              <w:pStyle w:val="6"/>
              <w:spacing w:before="195" w:line="232" w:lineRule="auto"/>
              <w:ind w:left="127"/>
            </w:pPr>
            <w:r>
              <w:rPr>
                <w:spacing w:val="-2"/>
              </w:rPr>
              <w:t>0.002L</w:t>
            </w:r>
          </w:p>
        </w:tc>
        <w:tc>
          <w:tcPr>
            <w:tcW w:w="707" w:type="dxa"/>
            <w:vAlign w:val="top"/>
          </w:tcPr>
          <w:p w14:paraId="0AFFDBF2">
            <w:pPr>
              <w:pStyle w:val="6"/>
              <w:spacing w:before="195" w:line="232" w:lineRule="auto"/>
              <w:ind w:left="56"/>
            </w:pPr>
            <w:r>
              <w:rPr>
                <w:spacing w:val="-2"/>
              </w:rPr>
              <w:t>0.050L</w:t>
            </w:r>
          </w:p>
        </w:tc>
        <w:tc>
          <w:tcPr>
            <w:tcW w:w="708" w:type="dxa"/>
            <w:vAlign w:val="top"/>
          </w:tcPr>
          <w:p w14:paraId="48591371">
            <w:pPr>
              <w:pStyle w:val="6"/>
              <w:spacing w:before="195" w:line="232" w:lineRule="auto"/>
              <w:ind w:left="58"/>
            </w:pPr>
            <w:r>
              <w:rPr>
                <w:spacing w:val="-2"/>
              </w:rPr>
              <w:t>0.001L</w:t>
            </w:r>
          </w:p>
        </w:tc>
        <w:tc>
          <w:tcPr>
            <w:tcW w:w="851" w:type="dxa"/>
            <w:vAlign w:val="top"/>
          </w:tcPr>
          <w:p w14:paraId="58165E96">
            <w:pPr>
              <w:pStyle w:val="6"/>
              <w:spacing w:before="195" w:line="232" w:lineRule="auto"/>
              <w:ind w:left="80"/>
            </w:pPr>
            <w:r>
              <w:rPr>
                <w:spacing w:val="-1"/>
              </w:rPr>
              <w:t>0.0005L</w:t>
            </w:r>
          </w:p>
        </w:tc>
        <w:tc>
          <w:tcPr>
            <w:tcW w:w="708" w:type="dxa"/>
            <w:vAlign w:val="top"/>
          </w:tcPr>
          <w:p w14:paraId="22492807">
            <w:pPr>
              <w:pStyle w:val="6"/>
              <w:spacing w:before="195" w:line="232" w:lineRule="auto"/>
              <w:ind w:left="60"/>
            </w:pPr>
            <w:r>
              <w:rPr>
                <w:spacing w:val="-2"/>
              </w:rPr>
              <w:t>0.004L</w:t>
            </w:r>
          </w:p>
        </w:tc>
        <w:tc>
          <w:tcPr>
            <w:tcW w:w="851" w:type="dxa"/>
            <w:vAlign w:val="top"/>
          </w:tcPr>
          <w:p w14:paraId="0757EEA3">
            <w:pPr>
              <w:pStyle w:val="6"/>
              <w:spacing w:before="195" w:line="232" w:lineRule="auto"/>
              <w:ind w:left="81"/>
            </w:pPr>
            <w:r>
              <w:rPr>
                <w:spacing w:val="-1"/>
              </w:rPr>
              <w:t>0.0025L</w:t>
            </w:r>
          </w:p>
        </w:tc>
        <w:tc>
          <w:tcPr>
            <w:tcW w:w="851" w:type="dxa"/>
            <w:vAlign w:val="top"/>
          </w:tcPr>
          <w:p w14:paraId="4ADEBD13">
            <w:pPr>
              <w:pStyle w:val="6"/>
              <w:spacing w:before="195" w:line="232" w:lineRule="auto"/>
              <w:ind w:left="145"/>
            </w:pPr>
            <w:r>
              <w:rPr>
                <w:spacing w:val="-2"/>
              </w:rPr>
              <w:t>0.0001</w:t>
            </w:r>
          </w:p>
        </w:tc>
        <w:tc>
          <w:tcPr>
            <w:tcW w:w="847" w:type="dxa"/>
            <w:vAlign w:val="top"/>
          </w:tcPr>
          <w:p w14:paraId="7330D6DA">
            <w:pPr>
              <w:pStyle w:val="6"/>
              <w:spacing w:before="195" w:line="232" w:lineRule="auto"/>
              <w:ind w:left="80"/>
            </w:pPr>
            <w:r>
              <w:rPr>
                <w:spacing w:val="-1"/>
              </w:rPr>
              <w:t>0.0004L</w:t>
            </w:r>
          </w:p>
        </w:tc>
        <w:tc>
          <w:tcPr>
            <w:tcW w:w="708" w:type="dxa"/>
            <w:vAlign w:val="top"/>
          </w:tcPr>
          <w:p w14:paraId="4FE82702">
            <w:pPr>
              <w:pStyle w:val="6"/>
              <w:spacing w:before="195" w:line="232" w:lineRule="auto"/>
              <w:ind w:left="64"/>
            </w:pPr>
            <w:r>
              <w:rPr>
                <w:spacing w:val="-2"/>
              </w:rPr>
              <w:t>0.002L</w:t>
            </w:r>
          </w:p>
        </w:tc>
        <w:tc>
          <w:tcPr>
            <w:tcW w:w="566" w:type="dxa"/>
            <w:vAlign w:val="top"/>
          </w:tcPr>
          <w:p w14:paraId="24E620AE">
            <w:pPr>
              <w:pStyle w:val="6"/>
              <w:spacing w:before="195" w:line="232" w:lineRule="auto"/>
              <w:ind w:left="100"/>
            </w:pPr>
            <w:r>
              <w:rPr>
                <w:spacing w:val="-2"/>
              </w:rPr>
              <w:t>0.2L</w:t>
            </w:r>
          </w:p>
        </w:tc>
        <w:tc>
          <w:tcPr>
            <w:tcW w:w="428" w:type="dxa"/>
            <w:vAlign w:val="top"/>
          </w:tcPr>
          <w:p w14:paraId="009B4A11">
            <w:pPr>
              <w:pStyle w:val="6"/>
              <w:spacing w:before="195" w:line="232" w:lineRule="auto"/>
              <w:ind w:left="95"/>
            </w:pPr>
            <w:r>
              <w:rPr>
                <w:spacing w:val="-3"/>
              </w:rPr>
              <w:t>0.6</w:t>
            </w:r>
          </w:p>
        </w:tc>
        <w:tc>
          <w:tcPr>
            <w:tcW w:w="570" w:type="dxa"/>
            <w:vAlign w:val="top"/>
          </w:tcPr>
          <w:p w14:paraId="1B3B0E61">
            <w:pPr>
              <w:pStyle w:val="6"/>
              <w:spacing w:before="200" w:line="229" w:lineRule="auto"/>
              <w:ind w:left="147"/>
            </w:pPr>
            <w:r>
              <w:rPr>
                <w:b/>
                <w:bCs/>
                <w:spacing w:val="-4"/>
              </w:rPr>
              <w:t>140</w:t>
            </w:r>
          </w:p>
        </w:tc>
        <w:tc>
          <w:tcPr>
            <w:tcW w:w="559" w:type="dxa"/>
            <w:gridSpan w:val="2"/>
            <w:tcBorders>
              <w:right w:val="single" w:color="000000" w:sz="12" w:space="0"/>
            </w:tcBorders>
            <w:vAlign w:val="top"/>
          </w:tcPr>
          <w:p w14:paraId="5FA9DDC7">
            <w:pPr>
              <w:pStyle w:val="6"/>
              <w:spacing w:before="196" w:line="232" w:lineRule="auto"/>
              <w:ind w:left="182"/>
            </w:pPr>
            <w:r>
              <w:rPr>
                <w:spacing w:val="-3"/>
              </w:rPr>
              <w:t>50</w:t>
            </w:r>
          </w:p>
        </w:tc>
      </w:tr>
      <w:tr w14:paraId="3CA5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31" w:type="dxa"/>
            <w:vMerge w:val="continue"/>
            <w:tcBorders>
              <w:top w:val="nil"/>
              <w:left w:val="single" w:color="000000" w:sz="12" w:space="0"/>
              <w:bottom w:val="nil"/>
            </w:tcBorders>
            <w:vAlign w:val="top"/>
          </w:tcPr>
          <w:p w14:paraId="3B3ED90E">
            <w:pPr>
              <w:rPr>
                <w:rFonts w:ascii="Arial"/>
                <w:sz w:val="21"/>
              </w:rPr>
            </w:pPr>
          </w:p>
        </w:tc>
        <w:tc>
          <w:tcPr>
            <w:tcW w:w="265" w:type="dxa"/>
            <w:vMerge w:val="restart"/>
            <w:tcBorders>
              <w:bottom w:val="nil"/>
            </w:tcBorders>
            <w:vAlign w:val="top"/>
          </w:tcPr>
          <w:p w14:paraId="6E191E3B">
            <w:pPr>
              <w:spacing w:line="355" w:lineRule="auto"/>
              <w:rPr>
                <w:rFonts w:ascii="Arial"/>
                <w:sz w:val="21"/>
              </w:rPr>
            </w:pPr>
          </w:p>
          <w:p w14:paraId="2B4E705C">
            <w:pPr>
              <w:pStyle w:val="6"/>
              <w:spacing w:before="61" w:line="233" w:lineRule="auto"/>
              <w:ind w:left="14" w:right="38" w:firstLine="53"/>
              <w:jc w:val="both"/>
              <w:rPr>
                <w:rFonts w:ascii="等线" w:hAnsi="等线" w:eastAsia="等线" w:cs="等线"/>
              </w:rPr>
            </w:pPr>
            <w:r>
              <w:rPr>
                <w:spacing w:val="-9"/>
              </w:rPr>
              <w:t>3</w:t>
            </w:r>
            <w:r>
              <w:rPr>
                <w:rFonts w:ascii="等线" w:hAnsi="等线" w:eastAsia="等线" w:cs="等线"/>
                <w:spacing w:val="-8"/>
              </w:rPr>
              <w:t>季度</w:t>
            </w:r>
          </w:p>
        </w:tc>
        <w:tc>
          <w:tcPr>
            <w:tcW w:w="1014" w:type="dxa"/>
            <w:vAlign w:val="top"/>
          </w:tcPr>
          <w:p w14:paraId="61E81524">
            <w:pPr>
              <w:pStyle w:val="6"/>
              <w:spacing w:before="196" w:line="232" w:lineRule="auto"/>
              <w:ind w:left="65"/>
            </w:pPr>
            <w:r>
              <w:rPr>
                <w:spacing w:val="-1"/>
              </w:rPr>
              <w:t>2020/8/20</w:t>
            </w:r>
          </w:p>
        </w:tc>
        <w:tc>
          <w:tcPr>
            <w:tcW w:w="737" w:type="dxa"/>
            <w:vAlign w:val="top"/>
          </w:tcPr>
          <w:p w14:paraId="0DF9BA3B">
            <w:pPr>
              <w:pStyle w:val="6"/>
              <w:spacing w:before="202" w:line="183" w:lineRule="auto"/>
              <w:ind w:left="243"/>
            </w:pPr>
            <w:r>
              <w:rPr>
                <w:spacing w:val="-3"/>
              </w:rPr>
              <w:t>5L</w:t>
            </w:r>
          </w:p>
        </w:tc>
        <w:tc>
          <w:tcPr>
            <w:tcW w:w="708" w:type="dxa"/>
            <w:vAlign w:val="top"/>
          </w:tcPr>
          <w:p w14:paraId="35460579">
            <w:pPr>
              <w:pStyle w:val="6"/>
              <w:spacing w:before="196" w:line="232" w:lineRule="auto"/>
              <w:ind w:left="148"/>
            </w:pPr>
            <w:r>
              <w:rPr>
                <w:spacing w:val="-2"/>
              </w:rPr>
              <w:t>0.5L</w:t>
            </w:r>
          </w:p>
        </w:tc>
        <w:tc>
          <w:tcPr>
            <w:tcW w:w="851" w:type="dxa"/>
            <w:vAlign w:val="top"/>
          </w:tcPr>
          <w:p w14:paraId="1B1C6F81">
            <w:pPr>
              <w:pStyle w:val="6"/>
              <w:spacing w:before="196" w:line="232" w:lineRule="auto"/>
              <w:ind w:left="233"/>
            </w:pPr>
            <w:r>
              <w:rPr>
                <w:spacing w:val="-2"/>
              </w:rPr>
              <w:t>7.35</w:t>
            </w:r>
          </w:p>
        </w:tc>
        <w:tc>
          <w:tcPr>
            <w:tcW w:w="708" w:type="dxa"/>
            <w:vAlign w:val="top"/>
          </w:tcPr>
          <w:p w14:paraId="75F86F91">
            <w:pPr>
              <w:pStyle w:val="6"/>
              <w:spacing w:before="196" w:line="232" w:lineRule="auto"/>
              <w:ind w:left="44"/>
            </w:pPr>
            <w:r>
              <w:rPr>
                <w:spacing w:val="-2"/>
              </w:rPr>
              <w:t>0.040L</w:t>
            </w:r>
          </w:p>
        </w:tc>
        <w:tc>
          <w:tcPr>
            <w:tcW w:w="842" w:type="dxa"/>
            <w:vAlign w:val="top"/>
          </w:tcPr>
          <w:p w14:paraId="29DA3EA2">
            <w:pPr>
              <w:pStyle w:val="6"/>
              <w:spacing w:before="196" w:line="232" w:lineRule="auto"/>
              <w:ind w:left="61"/>
            </w:pPr>
            <w:r>
              <w:rPr>
                <w:spacing w:val="-1"/>
              </w:rPr>
              <w:t>0.0045L</w:t>
            </w:r>
          </w:p>
        </w:tc>
        <w:tc>
          <w:tcPr>
            <w:tcW w:w="851" w:type="dxa"/>
            <w:vAlign w:val="top"/>
          </w:tcPr>
          <w:p w14:paraId="7618B9F3">
            <w:pPr>
              <w:pStyle w:val="6"/>
              <w:spacing w:before="196" w:line="232" w:lineRule="auto"/>
              <w:ind w:left="67"/>
            </w:pPr>
            <w:r>
              <w:rPr>
                <w:spacing w:val="-1"/>
              </w:rPr>
              <w:t>0.0005L</w:t>
            </w:r>
          </w:p>
        </w:tc>
        <w:tc>
          <w:tcPr>
            <w:tcW w:w="708" w:type="dxa"/>
            <w:vAlign w:val="top"/>
          </w:tcPr>
          <w:p w14:paraId="07F7175A">
            <w:pPr>
              <w:pStyle w:val="6"/>
              <w:spacing w:before="196" w:line="232" w:lineRule="auto"/>
              <w:ind w:left="48"/>
            </w:pPr>
            <w:r>
              <w:rPr>
                <w:spacing w:val="-2"/>
              </w:rPr>
              <w:t>0.009L</w:t>
            </w:r>
          </w:p>
        </w:tc>
        <w:tc>
          <w:tcPr>
            <w:tcW w:w="847" w:type="dxa"/>
            <w:vAlign w:val="top"/>
          </w:tcPr>
          <w:p w14:paraId="4773EBB8">
            <w:pPr>
              <w:pStyle w:val="6"/>
              <w:spacing w:before="196" w:line="232" w:lineRule="auto"/>
              <w:ind w:left="119"/>
            </w:pPr>
            <w:r>
              <w:rPr>
                <w:spacing w:val="-2"/>
              </w:rPr>
              <w:t>0.001L</w:t>
            </w:r>
          </w:p>
        </w:tc>
        <w:tc>
          <w:tcPr>
            <w:tcW w:w="565" w:type="dxa"/>
            <w:vAlign w:val="top"/>
          </w:tcPr>
          <w:p w14:paraId="5F78D14C">
            <w:pPr>
              <w:pStyle w:val="6"/>
              <w:spacing w:before="196" w:line="232" w:lineRule="auto"/>
              <w:ind w:left="150"/>
            </w:pPr>
            <w:r>
              <w:rPr>
                <w:spacing w:val="-3"/>
              </w:rPr>
              <w:t>3.0</w:t>
            </w:r>
          </w:p>
        </w:tc>
        <w:tc>
          <w:tcPr>
            <w:tcW w:w="567" w:type="dxa"/>
            <w:vAlign w:val="top"/>
          </w:tcPr>
          <w:p w14:paraId="155B3524">
            <w:pPr>
              <w:pStyle w:val="6"/>
              <w:spacing w:before="196" w:line="232" w:lineRule="auto"/>
              <w:ind w:left="89"/>
            </w:pPr>
            <w:r>
              <w:rPr>
                <w:spacing w:val="-3"/>
              </w:rPr>
              <w:t>5.0L</w:t>
            </w:r>
          </w:p>
        </w:tc>
        <w:tc>
          <w:tcPr>
            <w:tcW w:w="851" w:type="dxa"/>
            <w:vAlign w:val="top"/>
          </w:tcPr>
          <w:p w14:paraId="7749B991">
            <w:pPr>
              <w:pStyle w:val="6"/>
              <w:spacing w:before="196" w:line="232" w:lineRule="auto"/>
              <w:ind w:left="322"/>
            </w:pPr>
            <w:r>
              <w:rPr>
                <w:spacing w:val="-2"/>
              </w:rPr>
              <w:t>93</w:t>
            </w:r>
          </w:p>
        </w:tc>
        <w:tc>
          <w:tcPr>
            <w:tcW w:w="566" w:type="dxa"/>
            <w:vAlign w:val="top"/>
          </w:tcPr>
          <w:p w14:paraId="78B426EE">
            <w:pPr>
              <w:pStyle w:val="6"/>
              <w:spacing w:before="196" w:line="232" w:lineRule="auto"/>
              <w:ind w:left="179"/>
            </w:pPr>
            <w:r>
              <w:rPr>
                <w:spacing w:val="-2"/>
              </w:rPr>
              <w:t>78</w:t>
            </w:r>
          </w:p>
        </w:tc>
        <w:tc>
          <w:tcPr>
            <w:tcW w:w="567" w:type="dxa"/>
            <w:vAlign w:val="top"/>
          </w:tcPr>
          <w:p w14:paraId="60CE4544">
            <w:pPr>
              <w:pStyle w:val="6"/>
              <w:spacing w:before="196" w:line="232" w:lineRule="auto"/>
              <w:ind w:left="118"/>
            </w:pPr>
            <w:r>
              <w:rPr>
                <w:spacing w:val="-6"/>
              </w:rPr>
              <w:t>1.76</w:t>
            </w:r>
          </w:p>
        </w:tc>
        <w:tc>
          <w:tcPr>
            <w:tcW w:w="851" w:type="dxa"/>
            <w:vAlign w:val="top"/>
          </w:tcPr>
          <w:p w14:paraId="25D2BCBB">
            <w:pPr>
              <w:pStyle w:val="6"/>
              <w:spacing w:before="196" w:line="232" w:lineRule="auto"/>
              <w:ind w:left="127"/>
            </w:pPr>
            <w:r>
              <w:rPr>
                <w:spacing w:val="-2"/>
              </w:rPr>
              <w:t>0.002L</w:t>
            </w:r>
          </w:p>
        </w:tc>
        <w:tc>
          <w:tcPr>
            <w:tcW w:w="707" w:type="dxa"/>
            <w:vAlign w:val="top"/>
          </w:tcPr>
          <w:p w14:paraId="6635F552">
            <w:pPr>
              <w:pStyle w:val="6"/>
              <w:spacing w:before="196" w:line="232" w:lineRule="auto"/>
              <w:ind w:left="56"/>
            </w:pPr>
            <w:r>
              <w:rPr>
                <w:spacing w:val="-2"/>
              </w:rPr>
              <w:t>0.050L</w:t>
            </w:r>
          </w:p>
        </w:tc>
        <w:tc>
          <w:tcPr>
            <w:tcW w:w="708" w:type="dxa"/>
            <w:vAlign w:val="top"/>
          </w:tcPr>
          <w:p w14:paraId="500924A8">
            <w:pPr>
              <w:pStyle w:val="6"/>
              <w:spacing w:before="196" w:line="232" w:lineRule="auto"/>
              <w:ind w:left="58"/>
            </w:pPr>
            <w:r>
              <w:rPr>
                <w:spacing w:val="-2"/>
              </w:rPr>
              <w:t>0.001L</w:t>
            </w:r>
          </w:p>
        </w:tc>
        <w:tc>
          <w:tcPr>
            <w:tcW w:w="851" w:type="dxa"/>
            <w:vAlign w:val="top"/>
          </w:tcPr>
          <w:p w14:paraId="6C5C3F2D">
            <w:pPr>
              <w:pStyle w:val="6"/>
              <w:spacing w:before="196" w:line="232" w:lineRule="auto"/>
              <w:ind w:left="80"/>
            </w:pPr>
            <w:r>
              <w:rPr>
                <w:spacing w:val="-1"/>
              </w:rPr>
              <w:t>0.0005L</w:t>
            </w:r>
          </w:p>
        </w:tc>
        <w:tc>
          <w:tcPr>
            <w:tcW w:w="708" w:type="dxa"/>
            <w:vAlign w:val="top"/>
          </w:tcPr>
          <w:p w14:paraId="495F17F4">
            <w:pPr>
              <w:pStyle w:val="6"/>
              <w:spacing w:before="196" w:line="232" w:lineRule="auto"/>
              <w:ind w:left="60"/>
            </w:pPr>
            <w:r>
              <w:rPr>
                <w:spacing w:val="-2"/>
              </w:rPr>
              <w:t>0.004L</w:t>
            </w:r>
          </w:p>
        </w:tc>
        <w:tc>
          <w:tcPr>
            <w:tcW w:w="851" w:type="dxa"/>
            <w:vAlign w:val="top"/>
          </w:tcPr>
          <w:p w14:paraId="1F0BAB92">
            <w:pPr>
              <w:pStyle w:val="6"/>
              <w:spacing w:before="196" w:line="232" w:lineRule="auto"/>
              <w:ind w:left="81"/>
            </w:pPr>
            <w:r>
              <w:rPr>
                <w:spacing w:val="-1"/>
              </w:rPr>
              <w:t>0.0025L</w:t>
            </w:r>
          </w:p>
        </w:tc>
        <w:tc>
          <w:tcPr>
            <w:tcW w:w="851" w:type="dxa"/>
            <w:vAlign w:val="top"/>
          </w:tcPr>
          <w:p w14:paraId="1DC2D2B3">
            <w:pPr>
              <w:pStyle w:val="6"/>
              <w:spacing w:before="196" w:line="232" w:lineRule="auto"/>
              <w:ind w:left="82"/>
            </w:pPr>
            <w:r>
              <w:rPr>
                <w:spacing w:val="-1"/>
              </w:rPr>
              <w:t>0.0001L</w:t>
            </w:r>
          </w:p>
        </w:tc>
        <w:tc>
          <w:tcPr>
            <w:tcW w:w="847" w:type="dxa"/>
            <w:vAlign w:val="top"/>
          </w:tcPr>
          <w:p w14:paraId="67AC7AE3">
            <w:pPr>
              <w:pStyle w:val="6"/>
              <w:spacing w:before="196" w:line="232" w:lineRule="auto"/>
              <w:ind w:left="80"/>
            </w:pPr>
            <w:r>
              <w:rPr>
                <w:spacing w:val="-1"/>
              </w:rPr>
              <w:t>0.0004L</w:t>
            </w:r>
          </w:p>
        </w:tc>
        <w:tc>
          <w:tcPr>
            <w:tcW w:w="708" w:type="dxa"/>
            <w:vAlign w:val="top"/>
          </w:tcPr>
          <w:p w14:paraId="38E80245">
            <w:pPr>
              <w:pStyle w:val="6"/>
              <w:spacing w:before="196" w:line="232" w:lineRule="auto"/>
              <w:ind w:left="64"/>
            </w:pPr>
            <w:r>
              <w:rPr>
                <w:spacing w:val="-2"/>
              </w:rPr>
              <w:t>0.002L</w:t>
            </w:r>
          </w:p>
        </w:tc>
        <w:tc>
          <w:tcPr>
            <w:tcW w:w="566" w:type="dxa"/>
            <w:vAlign w:val="top"/>
          </w:tcPr>
          <w:p w14:paraId="184D98CF">
            <w:pPr>
              <w:pStyle w:val="6"/>
              <w:spacing w:before="196" w:line="232" w:lineRule="auto"/>
              <w:ind w:left="164"/>
            </w:pPr>
            <w:r>
              <w:rPr>
                <w:spacing w:val="-3"/>
              </w:rPr>
              <w:t>0.3</w:t>
            </w:r>
          </w:p>
        </w:tc>
        <w:tc>
          <w:tcPr>
            <w:tcW w:w="428" w:type="dxa"/>
            <w:vAlign w:val="top"/>
          </w:tcPr>
          <w:p w14:paraId="60A80080">
            <w:pPr>
              <w:pStyle w:val="6"/>
              <w:spacing w:before="196" w:line="232" w:lineRule="auto"/>
              <w:ind w:right="2"/>
              <w:jc w:val="right"/>
            </w:pPr>
            <w:r>
              <w:rPr>
                <w:spacing w:val="-2"/>
              </w:rPr>
              <w:t>0.5L</w:t>
            </w:r>
          </w:p>
        </w:tc>
        <w:tc>
          <w:tcPr>
            <w:tcW w:w="570" w:type="dxa"/>
            <w:vAlign w:val="top"/>
          </w:tcPr>
          <w:p w14:paraId="267BC67E">
            <w:pPr>
              <w:pStyle w:val="6"/>
              <w:spacing w:before="200" w:line="229" w:lineRule="auto"/>
              <w:ind w:left="94"/>
            </w:pPr>
            <w:r>
              <w:rPr>
                <w:b/>
                <w:bCs/>
                <w:spacing w:val="-3"/>
              </w:rPr>
              <w:t>1700</w:t>
            </w:r>
          </w:p>
        </w:tc>
        <w:tc>
          <w:tcPr>
            <w:tcW w:w="559" w:type="dxa"/>
            <w:gridSpan w:val="2"/>
            <w:tcBorders>
              <w:right w:val="single" w:color="000000" w:sz="12" w:space="0"/>
            </w:tcBorders>
            <w:vAlign w:val="top"/>
          </w:tcPr>
          <w:p w14:paraId="5C5EC6F6">
            <w:pPr>
              <w:pStyle w:val="6"/>
              <w:spacing w:before="200" w:line="229" w:lineRule="auto"/>
              <w:ind w:left="133"/>
            </w:pPr>
            <w:r>
              <w:rPr>
                <w:b/>
                <w:bCs/>
                <w:spacing w:val="-4"/>
              </w:rPr>
              <w:t>110</w:t>
            </w:r>
          </w:p>
        </w:tc>
      </w:tr>
      <w:tr w14:paraId="60357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531" w:type="dxa"/>
            <w:vMerge w:val="continue"/>
            <w:tcBorders>
              <w:top w:val="nil"/>
              <w:left w:val="single" w:color="000000" w:sz="12" w:space="0"/>
              <w:bottom w:val="nil"/>
            </w:tcBorders>
            <w:vAlign w:val="top"/>
          </w:tcPr>
          <w:p w14:paraId="1C05BB31">
            <w:pPr>
              <w:rPr>
                <w:rFonts w:ascii="Arial"/>
                <w:sz w:val="21"/>
              </w:rPr>
            </w:pPr>
          </w:p>
        </w:tc>
        <w:tc>
          <w:tcPr>
            <w:tcW w:w="265" w:type="dxa"/>
            <w:vMerge w:val="continue"/>
            <w:tcBorders>
              <w:top w:val="nil"/>
              <w:bottom w:val="nil"/>
            </w:tcBorders>
            <w:vAlign w:val="top"/>
          </w:tcPr>
          <w:p w14:paraId="620A20D4">
            <w:pPr>
              <w:rPr>
                <w:rFonts w:ascii="Arial"/>
                <w:sz w:val="21"/>
              </w:rPr>
            </w:pPr>
          </w:p>
        </w:tc>
        <w:tc>
          <w:tcPr>
            <w:tcW w:w="1014" w:type="dxa"/>
            <w:vAlign w:val="top"/>
          </w:tcPr>
          <w:p w14:paraId="2594E735">
            <w:pPr>
              <w:pStyle w:val="6"/>
              <w:spacing w:before="198" w:line="232" w:lineRule="auto"/>
              <w:ind w:left="65"/>
            </w:pPr>
            <w:r>
              <w:rPr>
                <w:spacing w:val="-1"/>
              </w:rPr>
              <w:t>2020/8/21</w:t>
            </w:r>
          </w:p>
        </w:tc>
        <w:tc>
          <w:tcPr>
            <w:tcW w:w="737" w:type="dxa"/>
            <w:vAlign w:val="top"/>
          </w:tcPr>
          <w:p w14:paraId="30FB77C7">
            <w:pPr>
              <w:pStyle w:val="6"/>
              <w:spacing w:before="205" w:line="183" w:lineRule="auto"/>
              <w:ind w:left="243"/>
            </w:pPr>
            <w:r>
              <w:rPr>
                <w:spacing w:val="-3"/>
              </w:rPr>
              <w:t>5L</w:t>
            </w:r>
          </w:p>
        </w:tc>
        <w:tc>
          <w:tcPr>
            <w:tcW w:w="708" w:type="dxa"/>
            <w:vAlign w:val="top"/>
          </w:tcPr>
          <w:p w14:paraId="3E3BC7E6">
            <w:pPr>
              <w:pStyle w:val="6"/>
              <w:spacing w:before="198" w:line="232" w:lineRule="auto"/>
              <w:ind w:left="148"/>
            </w:pPr>
            <w:r>
              <w:rPr>
                <w:spacing w:val="-2"/>
              </w:rPr>
              <w:t>0.5L</w:t>
            </w:r>
          </w:p>
        </w:tc>
        <w:tc>
          <w:tcPr>
            <w:tcW w:w="851" w:type="dxa"/>
            <w:vAlign w:val="top"/>
          </w:tcPr>
          <w:p w14:paraId="483111DB">
            <w:pPr>
              <w:pStyle w:val="6"/>
              <w:spacing w:before="198" w:line="232" w:lineRule="auto"/>
              <w:ind w:left="233"/>
            </w:pPr>
            <w:r>
              <w:rPr>
                <w:spacing w:val="-2"/>
              </w:rPr>
              <w:t>7.40</w:t>
            </w:r>
          </w:p>
        </w:tc>
        <w:tc>
          <w:tcPr>
            <w:tcW w:w="708" w:type="dxa"/>
            <w:vAlign w:val="top"/>
          </w:tcPr>
          <w:p w14:paraId="3F483B89">
            <w:pPr>
              <w:pStyle w:val="6"/>
              <w:spacing w:before="198" w:line="232" w:lineRule="auto"/>
              <w:ind w:left="44"/>
            </w:pPr>
            <w:r>
              <w:rPr>
                <w:spacing w:val="-2"/>
              </w:rPr>
              <w:t>0.040L</w:t>
            </w:r>
          </w:p>
        </w:tc>
        <w:tc>
          <w:tcPr>
            <w:tcW w:w="842" w:type="dxa"/>
            <w:vAlign w:val="top"/>
          </w:tcPr>
          <w:p w14:paraId="5D4A8516">
            <w:pPr>
              <w:pStyle w:val="6"/>
              <w:spacing w:before="198" w:line="232" w:lineRule="auto"/>
              <w:ind w:left="61"/>
            </w:pPr>
            <w:r>
              <w:rPr>
                <w:spacing w:val="-1"/>
              </w:rPr>
              <w:t>0.0045L</w:t>
            </w:r>
          </w:p>
        </w:tc>
        <w:tc>
          <w:tcPr>
            <w:tcW w:w="851" w:type="dxa"/>
            <w:vAlign w:val="top"/>
          </w:tcPr>
          <w:p w14:paraId="6E2E2C7F">
            <w:pPr>
              <w:pStyle w:val="6"/>
              <w:spacing w:before="198" w:line="232" w:lineRule="auto"/>
              <w:ind w:left="67"/>
            </w:pPr>
            <w:r>
              <w:rPr>
                <w:spacing w:val="-1"/>
              </w:rPr>
              <w:t>0.0005L</w:t>
            </w:r>
          </w:p>
        </w:tc>
        <w:tc>
          <w:tcPr>
            <w:tcW w:w="708" w:type="dxa"/>
            <w:vAlign w:val="top"/>
          </w:tcPr>
          <w:p w14:paraId="77FB49CB">
            <w:pPr>
              <w:pStyle w:val="6"/>
              <w:spacing w:before="198" w:line="232" w:lineRule="auto"/>
              <w:ind w:left="48"/>
            </w:pPr>
            <w:r>
              <w:rPr>
                <w:spacing w:val="-2"/>
              </w:rPr>
              <w:t>0.009L</w:t>
            </w:r>
          </w:p>
        </w:tc>
        <w:tc>
          <w:tcPr>
            <w:tcW w:w="847" w:type="dxa"/>
            <w:vAlign w:val="top"/>
          </w:tcPr>
          <w:p w14:paraId="35F02778">
            <w:pPr>
              <w:pStyle w:val="6"/>
              <w:spacing w:before="198" w:line="232" w:lineRule="auto"/>
              <w:ind w:left="119"/>
            </w:pPr>
            <w:r>
              <w:rPr>
                <w:spacing w:val="-2"/>
              </w:rPr>
              <w:t>0.001L</w:t>
            </w:r>
          </w:p>
        </w:tc>
        <w:tc>
          <w:tcPr>
            <w:tcW w:w="565" w:type="dxa"/>
            <w:vAlign w:val="top"/>
          </w:tcPr>
          <w:p w14:paraId="52EDFB95">
            <w:pPr>
              <w:pStyle w:val="6"/>
              <w:spacing w:before="198" w:line="232" w:lineRule="auto"/>
              <w:ind w:left="146"/>
            </w:pPr>
            <w:r>
              <w:rPr>
                <w:spacing w:val="-2"/>
              </w:rPr>
              <w:t>2.6</w:t>
            </w:r>
          </w:p>
        </w:tc>
        <w:tc>
          <w:tcPr>
            <w:tcW w:w="567" w:type="dxa"/>
            <w:vAlign w:val="top"/>
          </w:tcPr>
          <w:p w14:paraId="6965E4B3">
            <w:pPr>
              <w:pStyle w:val="6"/>
              <w:spacing w:before="198" w:line="232" w:lineRule="auto"/>
              <w:ind w:left="89"/>
            </w:pPr>
            <w:r>
              <w:rPr>
                <w:spacing w:val="-3"/>
              </w:rPr>
              <w:t>5.0L</w:t>
            </w:r>
          </w:p>
        </w:tc>
        <w:tc>
          <w:tcPr>
            <w:tcW w:w="851" w:type="dxa"/>
            <w:vAlign w:val="top"/>
          </w:tcPr>
          <w:p w14:paraId="0ADF6ECD">
            <w:pPr>
              <w:pStyle w:val="6"/>
              <w:spacing w:before="198" w:line="232" w:lineRule="auto"/>
              <w:ind w:left="322"/>
            </w:pPr>
            <w:r>
              <w:rPr>
                <w:spacing w:val="-2"/>
              </w:rPr>
              <w:t>90</w:t>
            </w:r>
          </w:p>
        </w:tc>
        <w:tc>
          <w:tcPr>
            <w:tcW w:w="566" w:type="dxa"/>
            <w:vAlign w:val="top"/>
          </w:tcPr>
          <w:p w14:paraId="1316FF33">
            <w:pPr>
              <w:pStyle w:val="6"/>
              <w:spacing w:before="198" w:line="232" w:lineRule="auto"/>
              <w:ind w:left="179"/>
            </w:pPr>
            <w:r>
              <w:rPr>
                <w:spacing w:val="-2"/>
              </w:rPr>
              <w:t>76</w:t>
            </w:r>
          </w:p>
        </w:tc>
        <w:tc>
          <w:tcPr>
            <w:tcW w:w="567" w:type="dxa"/>
            <w:vAlign w:val="top"/>
          </w:tcPr>
          <w:p w14:paraId="41247C8F">
            <w:pPr>
              <w:pStyle w:val="6"/>
              <w:spacing w:before="198" w:line="232" w:lineRule="auto"/>
              <w:ind w:left="118"/>
            </w:pPr>
            <w:r>
              <w:rPr>
                <w:spacing w:val="-6"/>
              </w:rPr>
              <w:t>1.72</w:t>
            </w:r>
          </w:p>
        </w:tc>
        <w:tc>
          <w:tcPr>
            <w:tcW w:w="851" w:type="dxa"/>
            <w:vAlign w:val="top"/>
          </w:tcPr>
          <w:p w14:paraId="23B35E6F">
            <w:pPr>
              <w:pStyle w:val="6"/>
              <w:spacing w:before="198" w:line="232" w:lineRule="auto"/>
              <w:ind w:left="127"/>
            </w:pPr>
            <w:r>
              <w:rPr>
                <w:spacing w:val="-2"/>
              </w:rPr>
              <w:t>0.002L</w:t>
            </w:r>
          </w:p>
        </w:tc>
        <w:tc>
          <w:tcPr>
            <w:tcW w:w="707" w:type="dxa"/>
            <w:vAlign w:val="top"/>
          </w:tcPr>
          <w:p w14:paraId="7B463D3F">
            <w:pPr>
              <w:pStyle w:val="6"/>
              <w:spacing w:before="198" w:line="232" w:lineRule="auto"/>
              <w:ind w:left="56"/>
            </w:pPr>
            <w:r>
              <w:rPr>
                <w:spacing w:val="-2"/>
              </w:rPr>
              <w:t>0.050L</w:t>
            </w:r>
          </w:p>
        </w:tc>
        <w:tc>
          <w:tcPr>
            <w:tcW w:w="708" w:type="dxa"/>
            <w:vAlign w:val="top"/>
          </w:tcPr>
          <w:p w14:paraId="2449B529">
            <w:pPr>
              <w:pStyle w:val="6"/>
              <w:spacing w:before="198" w:line="232" w:lineRule="auto"/>
              <w:ind w:left="58"/>
            </w:pPr>
            <w:r>
              <w:rPr>
                <w:spacing w:val="-2"/>
              </w:rPr>
              <w:t>0.001L</w:t>
            </w:r>
          </w:p>
        </w:tc>
        <w:tc>
          <w:tcPr>
            <w:tcW w:w="851" w:type="dxa"/>
            <w:vAlign w:val="top"/>
          </w:tcPr>
          <w:p w14:paraId="5C1C1589">
            <w:pPr>
              <w:pStyle w:val="6"/>
              <w:spacing w:before="198" w:line="232" w:lineRule="auto"/>
              <w:ind w:left="80"/>
            </w:pPr>
            <w:r>
              <w:rPr>
                <w:spacing w:val="-1"/>
              </w:rPr>
              <w:t>0.0005L</w:t>
            </w:r>
          </w:p>
        </w:tc>
        <w:tc>
          <w:tcPr>
            <w:tcW w:w="708" w:type="dxa"/>
            <w:vAlign w:val="top"/>
          </w:tcPr>
          <w:p w14:paraId="5CC2C9C5">
            <w:pPr>
              <w:pStyle w:val="6"/>
              <w:spacing w:before="198" w:line="232" w:lineRule="auto"/>
              <w:ind w:left="60"/>
            </w:pPr>
            <w:r>
              <w:rPr>
                <w:spacing w:val="-2"/>
              </w:rPr>
              <w:t>0.004L</w:t>
            </w:r>
          </w:p>
        </w:tc>
        <w:tc>
          <w:tcPr>
            <w:tcW w:w="851" w:type="dxa"/>
            <w:vAlign w:val="top"/>
          </w:tcPr>
          <w:p w14:paraId="3BD6C035">
            <w:pPr>
              <w:pStyle w:val="6"/>
              <w:spacing w:before="198" w:line="232" w:lineRule="auto"/>
              <w:ind w:left="81"/>
            </w:pPr>
            <w:r>
              <w:rPr>
                <w:spacing w:val="-1"/>
              </w:rPr>
              <w:t>0.0025L</w:t>
            </w:r>
          </w:p>
        </w:tc>
        <w:tc>
          <w:tcPr>
            <w:tcW w:w="851" w:type="dxa"/>
            <w:vAlign w:val="top"/>
          </w:tcPr>
          <w:p w14:paraId="40A6FDD9">
            <w:pPr>
              <w:pStyle w:val="6"/>
              <w:spacing w:before="198" w:line="232" w:lineRule="auto"/>
              <w:ind w:left="82"/>
            </w:pPr>
            <w:r>
              <w:rPr>
                <w:spacing w:val="-1"/>
              </w:rPr>
              <w:t>0.0001L</w:t>
            </w:r>
          </w:p>
        </w:tc>
        <w:tc>
          <w:tcPr>
            <w:tcW w:w="847" w:type="dxa"/>
            <w:vAlign w:val="top"/>
          </w:tcPr>
          <w:p w14:paraId="7B83FAE0">
            <w:pPr>
              <w:pStyle w:val="6"/>
              <w:spacing w:before="198" w:line="232" w:lineRule="auto"/>
              <w:ind w:left="80"/>
            </w:pPr>
            <w:r>
              <w:rPr>
                <w:spacing w:val="-1"/>
              </w:rPr>
              <w:t>0.0004L</w:t>
            </w:r>
          </w:p>
        </w:tc>
        <w:tc>
          <w:tcPr>
            <w:tcW w:w="708" w:type="dxa"/>
            <w:vAlign w:val="top"/>
          </w:tcPr>
          <w:p w14:paraId="6643EDD2">
            <w:pPr>
              <w:pStyle w:val="6"/>
              <w:spacing w:before="198" w:line="232" w:lineRule="auto"/>
              <w:ind w:left="64"/>
            </w:pPr>
            <w:r>
              <w:rPr>
                <w:spacing w:val="-2"/>
              </w:rPr>
              <w:t>0.002L</w:t>
            </w:r>
          </w:p>
        </w:tc>
        <w:tc>
          <w:tcPr>
            <w:tcW w:w="566" w:type="dxa"/>
            <w:vAlign w:val="top"/>
          </w:tcPr>
          <w:p w14:paraId="1E1505B8">
            <w:pPr>
              <w:pStyle w:val="6"/>
              <w:spacing w:before="198" w:line="232" w:lineRule="auto"/>
              <w:ind w:left="164"/>
            </w:pPr>
            <w:r>
              <w:rPr>
                <w:spacing w:val="-3"/>
              </w:rPr>
              <w:t>0.2</w:t>
            </w:r>
          </w:p>
        </w:tc>
        <w:tc>
          <w:tcPr>
            <w:tcW w:w="428" w:type="dxa"/>
            <w:vAlign w:val="top"/>
          </w:tcPr>
          <w:p w14:paraId="48DC8F46">
            <w:pPr>
              <w:pStyle w:val="6"/>
              <w:spacing w:before="198" w:line="232" w:lineRule="auto"/>
              <w:ind w:right="2"/>
              <w:jc w:val="right"/>
            </w:pPr>
            <w:r>
              <w:rPr>
                <w:spacing w:val="-2"/>
              </w:rPr>
              <w:t>0.5L</w:t>
            </w:r>
          </w:p>
        </w:tc>
        <w:tc>
          <w:tcPr>
            <w:tcW w:w="570" w:type="dxa"/>
            <w:vAlign w:val="top"/>
          </w:tcPr>
          <w:p w14:paraId="0ED87C6A">
            <w:pPr>
              <w:pStyle w:val="6"/>
              <w:spacing w:before="202" w:line="229" w:lineRule="auto"/>
              <w:ind w:left="94"/>
            </w:pPr>
            <w:r>
              <w:rPr>
                <w:b/>
                <w:bCs/>
                <w:spacing w:val="-3"/>
              </w:rPr>
              <w:t>1500</w:t>
            </w:r>
          </w:p>
        </w:tc>
        <w:tc>
          <w:tcPr>
            <w:tcW w:w="559" w:type="dxa"/>
            <w:gridSpan w:val="2"/>
            <w:tcBorders>
              <w:right w:val="single" w:color="000000" w:sz="12" w:space="0"/>
            </w:tcBorders>
            <w:vAlign w:val="top"/>
          </w:tcPr>
          <w:p w14:paraId="276D8A17">
            <w:pPr>
              <w:pStyle w:val="6"/>
              <w:spacing w:before="202" w:line="229" w:lineRule="auto"/>
              <w:ind w:left="133"/>
            </w:pPr>
            <w:r>
              <w:rPr>
                <w:b/>
                <w:bCs/>
                <w:spacing w:val="-4"/>
              </w:rPr>
              <w:t>100</w:t>
            </w:r>
          </w:p>
        </w:tc>
      </w:tr>
      <w:tr w14:paraId="23BF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31" w:type="dxa"/>
            <w:vMerge w:val="continue"/>
            <w:tcBorders>
              <w:top w:val="nil"/>
              <w:left w:val="single" w:color="000000" w:sz="12" w:space="0"/>
              <w:bottom w:val="nil"/>
            </w:tcBorders>
            <w:vAlign w:val="top"/>
          </w:tcPr>
          <w:p w14:paraId="3753C5D1">
            <w:pPr>
              <w:rPr>
                <w:rFonts w:ascii="Arial"/>
                <w:sz w:val="21"/>
              </w:rPr>
            </w:pPr>
          </w:p>
        </w:tc>
        <w:tc>
          <w:tcPr>
            <w:tcW w:w="265" w:type="dxa"/>
            <w:vMerge w:val="continue"/>
            <w:tcBorders>
              <w:top w:val="nil"/>
            </w:tcBorders>
            <w:vAlign w:val="top"/>
          </w:tcPr>
          <w:p w14:paraId="14B59DAD">
            <w:pPr>
              <w:rPr>
                <w:rFonts w:ascii="Arial"/>
                <w:sz w:val="21"/>
              </w:rPr>
            </w:pPr>
          </w:p>
        </w:tc>
        <w:tc>
          <w:tcPr>
            <w:tcW w:w="1014" w:type="dxa"/>
            <w:vAlign w:val="top"/>
          </w:tcPr>
          <w:p w14:paraId="79111793">
            <w:pPr>
              <w:pStyle w:val="6"/>
              <w:spacing w:before="199" w:line="232" w:lineRule="auto"/>
              <w:ind w:left="65"/>
            </w:pPr>
            <w:r>
              <w:rPr>
                <w:spacing w:val="-1"/>
              </w:rPr>
              <w:t>2020/8/22</w:t>
            </w:r>
          </w:p>
        </w:tc>
        <w:tc>
          <w:tcPr>
            <w:tcW w:w="737" w:type="dxa"/>
            <w:vAlign w:val="top"/>
          </w:tcPr>
          <w:p w14:paraId="345FDD7A">
            <w:pPr>
              <w:pStyle w:val="6"/>
              <w:spacing w:before="205" w:line="183" w:lineRule="auto"/>
              <w:ind w:left="243"/>
            </w:pPr>
            <w:r>
              <w:rPr>
                <w:spacing w:val="-3"/>
              </w:rPr>
              <w:t>5L</w:t>
            </w:r>
          </w:p>
        </w:tc>
        <w:tc>
          <w:tcPr>
            <w:tcW w:w="708" w:type="dxa"/>
            <w:vAlign w:val="top"/>
          </w:tcPr>
          <w:p w14:paraId="19D55922">
            <w:pPr>
              <w:pStyle w:val="6"/>
              <w:spacing w:before="199" w:line="232" w:lineRule="auto"/>
              <w:ind w:left="148"/>
            </w:pPr>
            <w:r>
              <w:rPr>
                <w:spacing w:val="-2"/>
              </w:rPr>
              <w:t>0.5L</w:t>
            </w:r>
          </w:p>
        </w:tc>
        <w:tc>
          <w:tcPr>
            <w:tcW w:w="851" w:type="dxa"/>
            <w:vAlign w:val="top"/>
          </w:tcPr>
          <w:p w14:paraId="560607D8">
            <w:pPr>
              <w:pStyle w:val="6"/>
              <w:spacing w:before="199" w:line="232" w:lineRule="auto"/>
              <w:ind w:left="233"/>
            </w:pPr>
            <w:r>
              <w:rPr>
                <w:spacing w:val="-2"/>
              </w:rPr>
              <w:t>7.29</w:t>
            </w:r>
          </w:p>
        </w:tc>
        <w:tc>
          <w:tcPr>
            <w:tcW w:w="708" w:type="dxa"/>
            <w:vAlign w:val="top"/>
          </w:tcPr>
          <w:p w14:paraId="4FE716AA">
            <w:pPr>
              <w:pStyle w:val="6"/>
              <w:spacing w:before="199" w:line="232" w:lineRule="auto"/>
              <w:ind w:left="44"/>
            </w:pPr>
            <w:r>
              <w:rPr>
                <w:spacing w:val="-2"/>
              </w:rPr>
              <w:t>0.040L</w:t>
            </w:r>
          </w:p>
        </w:tc>
        <w:tc>
          <w:tcPr>
            <w:tcW w:w="842" w:type="dxa"/>
            <w:vAlign w:val="top"/>
          </w:tcPr>
          <w:p w14:paraId="074F5D9A">
            <w:pPr>
              <w:pStyle w:val="6"/>
              <w:spacing w:before="199" w:line="232" w:lineRule="auto"/>
              <w:ind w:left="61"/>
            </w:pPr>
            <w:r>
              <w:rPr>
                <w:spacing w:val="-1"/>
              </w:rPr>
              <w:t>0.0045L</w:t>
            </w:r>
          </w:p>
        </w:tc>
        <w:tc>
          <w:tcPr>
            <w:tcW w:w="851" w:type="dxa"/>
            <w:vAlign w:val="top"/>
          </w:tcPr>
          <w:p w14:paraId="4853BB30">
            <w:pPr>
              <w:pStyle w:val="6"/>
              <w:spacing w:before="199" w:line="232" w:lineRule="auto"/>
              <w:ind w:left="67"/>
            </w:pPr>
            <w:r>
              <w:rPr>
                <w:spacing w:val="-1"/>
              </w:rPr>
              <w:t>0.0005L</w:t>
            </w:r>
          </w:p>
        </w:tc>
        <w:tc>
          <w:tcPr>
            <w:tcW w:w="708" w:type="dxa"/>
            <w:vAlign w:val="top"/>
          </w:tcPr>
          <w:p w14:paraId="44BE2A1F">
            <w:pPr>
              <w:pStyle w:val="6"/>
              <w:spacing w:before="199" w:line="232" w:lineRule="auto"/>
              <w:ind w:left="48"/>
            </w:pPr>
            <w:r>
              <w:rPr>
                <w:spacing w:val="-2"/>
              </w:rPr>
              <w:t>0.009L</w:t>
            </w:r>
          </w:p>
        </w:tc>
        <w:tc>
          <w:tcPr>
            <w:tcW w:w="847" w:type="dxa"/>
            <w:vAlign w:val="top"/>
          </w:tcPr>
          <w:p w14:paraId="42F8B0A4">
            <w:pPr>
              <w:pStyle w:val="6"/>
              <w:spacing w:before="199" w:line="232" w:lineRule="auto"/>
              <w:ind w:left="119"/>
            </w:pPr>
            <w:r>
              <w:rPr>
                <w:spacing w:val="-2"/>
              </w:rPr>
              <w:t>0.001L</w:t>
            </w:r>
          </w:p>
        </w:tc>
        <w:tc>
          <w:tcPr>
            <w:tcW w:w="565" w:type="dxa"/>
            <w:vAlign w:val="top"/>
          </w:tcPr>
          <w:p w14:paraId="30FC419F">
            <w:pPr>
              <w:pStyle w:val="6"/>
              <w:spacing w:before="199" w:line="232" w:lineRule="auto"/>
              <w:ind w:left="146"/>
            </w:pPr>
            <w:r>
              <w:rPr>
                <w:spacing w:val="-2"/>
              </w:rPr>
              <w:t>2.8</w:t>
            </w:r>
          </w:p>
        </w:tc>
        <w:tc>
          <w:tcPr>
            <w:tcW w:w="567" w:type="dxa"/>
            <w:vAlign w:val="top"/>
          </w:tcPr>
          <w:p w14:paraId="445999E2">
            <w:pPr>
              <w:pStyle w:val="6"/>
              <w:spacing w:before="199" w:line="232" w:lineRule="auto"/>
              <w:ind w:left="89"/>
            </w:pPr>
            <w:r>
              <w:rPr>
                <w:spacing w:val="-3"/>
              </w:rPr>
              <w:t>5.0L</w:t>
            </w:r>
          </w:p>
        </w:tc>
        <w:tc>
          <w:tcPr>
            <w:tcW w:w="851" w:type="dxa"/>
            <w:vAlign w:val="top"/>
          </w:tcPr>
          <w:p w14:paraId="5D317A8C">
            <w:pPr>
              <w:pStyle w:val="6"/>
              <w:spacing w:before="199" w:line="232" w:lineRule="auto"/>
              <w:ind w:left="322"/>
            </w:pPr>
            <w:r>
              <w:rPr>
                <w:spacing w:val="-2"/>
              </w:rPr>
              <w:t>97</w:t>
            </w:r>
          </w:p>
        </w:tc>
        <w:tc>
          <w:tcPr>
            <w:tcW w:w="566" w:type="dxa"/>
            <w:vAlign w:val="top"/>
          </w:tcPr>
          <w:p w14:paraId="17826351">
            <w:pPr>
              <w:pStyle w:val="6"/>
              <w:spacing w:before="199" w:line="232" w:lineRule="auto"/>
              <w:ind w:left="184"/>
            </w:pPr>
            <w:r>
              <w:rPr>
                <w:spacing w:val="-4"/>
              </w:rPr>
              <w:t>82</w:t>
            </w:r>
          </w:p>
        </w:tc>
        <w:tc>
          <w:tcPr>
            <w:tcW w:w="567" w:type="dxa"/>
            <w:vAlign w:val="top"/>
          </w:tcPr>
          <w:p w14:paraId="44D959A1">
            <w:pPr>
              <w:pStyle w:val="6"/>
              <w:spacing w:before="199" w:line="232" w:lineRule="auto"/>
              <w:ind w:left="118"/>
            </w:pPr>
            <w:r>
              <w:rPr>
                <w:spacing w:val="-6"/>
              </w:rPr>
              <w:t>1.78</w:t>
            </w:r>
          </w:p>
        </w:tc>
        <w:tc>
          <w:tcPr>
            <w:tcW w:w="851" w:type="dxa"/>
            <w:vAlign w:val="top"/>
          </w:tcPr>
          <w:p w14:paraId="2C27EAFA">
            <w:pPr>
              <w:pStyle w:val="6"/>
              <w:spacing w:before="199" w:line="232" w:lineRule="auto"/>
              <w:ind w:left="127"/>
            </w:pPr>
            <w:r>
              <w:rPr>
                <w:spacing w:val="-2"/>
              </w:rPr>
              <w:t>0.002L</w:t>
            </w:r>
          </w:p>
        </w:tc>
        <w:tc>
          <w:tcPr>
            <w:tcW w:w="707" w:type="dxa"/>
            <w:vAlign w:val="top"/>
          </w:tcPr>
          <w:p w14:paraId="488CAD97">
            <w:pPr>
              <w:pStyle w:val="6"/>
              <w:spacing w:before="199" w:line="232" w:lineRule="auto"/>
              <w:ind w:left="56"/>
            </w:pPr>
            <w:r>
              <w:rPr>
                <w:spacing w:val="-2"/>
              </w:rPr>
              <w:t>0.050L</w:t>
            </w:r>
          </w:p>
        </w:tc>
        <w:tc>
          <w:tcPr>
            <w:tcW w:w="708" w:type="dxa"/>
            <w:vAlign w:val="top"/>
          </w:tcPr>
          <w:p w14:paraId="3025063C">
            <w:pPr>
              <w:pStyle w:val="6"/>
              <w:spacing w:before="199" w:line="232" w:lineRule="auto"/>
              <w:ind w:left="58"/>
            </w:pPr>
            <w:r>
              <w:rPr>
                <w:spacing w:val="-2"/>
              </w:rPr>
              <w:t>0.001L</w:t>
            </w:r>
          </w:p>
        </w:tc>
        <w:tc>
          <w:tcPr>
            <w:tcW w:w="851" w:type="dxa"/>
            <w:vAlign w:val="top"/>
          </w:tcPr>
          <w:p w14:paraId="58C2A82C">
            <w:pPr>
              <w:pStyle w:val="6"/>
              <w:spacing w:before="199" w:line="232" w:lineRule="auto"/>
              <w:ind w:left="80"/>
            </w:pPr>
            <w:r>
              <w:rPr>
                <w:spacing w:val="-1"/>
              </w:rPr>
              <w:t>0.0005L</w:t>
            </w:r>
          </w:p>
        </w:tc>
        <w:tc>
          <w:tcPr>
            <w:tcW w:w="708" w:type="dxa"/>
            <w:vAlign w:val="top"/>
          </w:tcPr>
          <w:p w14:paraId="28D51A23">
            <w:pPr>
              <w:pStyle w:val="6"/>
              <w:spacing w:before="199" w:line="232" w:lineRule="auto"/>
              <w:ind w:left="60"/>
            </w:pPr>
            <w:r>
              <w:rPr>
                <w:spacing w:val="-2"/>
              </w:rPr>
              <w:t>0.004L</w:t>
            </w:r>
          </w:p>
        </w:tc>
        <w:tc>
          <w:tcPr>
            <w:tcW w:w="851" w:type="dxa"/>
            <w:vAlign w:val="top"/>
          </w:tcPr>
          <w:p w14:paraId="7EC92718">
            <w:pPr>
              <w:pStyle w:val="6"/>
              <w:spacing w:before="199" w:line="232" w:lineRule="auto"/>
              <w:ind w:left="81"/>
            </w:pPr>
            <w:r>
              <w:rPr>
                <w:spacing w:val="-1"/>
              </w:rPr>
              <w:t>0.0025L</w:t>
            </w:r>
          </w:p>
        </w:tc>
        <w:tc>
          <w:tcPr>
            <w:tcW w:w="851" w:type="dxa"/>
            <w:vAlign w:val="top"/>
          </w:tcPr>
          <w:p w14:paraId="7A952E33">
            <w:pPr>
              <w:pStyle w:val="6"/>
              <w:spacing w:before="199" w:line="232" w:lineRule="auto"/>
              <w:ind w:left="82"/>
            </w:pPr>
            <w:r>
              <w:rPr>
                <w:spacing w:val="-1"/>
              </w:rPr>
              <w:t>0.0001L</w:t>
            </w:r>
          </w:p>
        </w:tc>
        <w:tc>
          <w:tcPr>
            <w:tcW w:w="847" w:type="dxa"/>
            <w:vAlign w:val="top"/>
          </w:tcPr>
          <w:p w14:paraId="388DDB98">
            <w:pPr>
              <w:pStyle w:val="6"/>
              <w:spacing w:before="199" w:line="232" w:lineRule="auto"/>
              <w:ind w:left="80"/>
            </w:pPr>
            <w:r>
              <w:rPr>
                <w:spacing w:val="-1"/>
              </w:rPr>
              <w:t>0.0004L</w:t>
            </w:r>
          </w:p>
        </w:tc>
        <w:tc>
          <w:tcPr>
            <w:tcW w:w="708" w:type="dxa"/>
            <w:vAlign w:val="top"/>
          </w:tcPr>
          <w:p w14:paraId="601BE65F">
            <w:pPr>
              <w:pStyle w:val="6"/>
              <w:spacing w:before="199" w:line="232" w:lineRule="auto"/>
              <w:ind w:left="64"/>
            </w:pPr>
            <w:r>
              <w:rPr>
                <w:spacing w:val="-2"/>
              </w:rPr>
              <w:t>0.002L</w:t>
            </w:r>
          </w:p>
        </w:tc>
        <w:tc>
          <w:tcPr>
            <w:tcW w:w="566" w:type="dxa"/>
            <w:vAlign w:val="top"/>
          </w:tcPr>
          <w:p w14:paraId="3EEE591C">
            <w:pPr>
              <w:pStyle w:val="6"/>
              <w:spacing w:before="199" w:line="232" w:lineRule="auto"/>
              <w:ind w:left="164"/>
            </w:pPr>
            <w:r>
              <w:rPr>
                <w:spacing w:val="-3"/>
              </w:rPr>
              <w:t>0.4</w:t>
            </w:r>
          </w:p>
        </w:tc>
        <w:tc>
          <w:tcPr>
            <w:tcW w:w="428" w:type="dxa"/>
            <w:vAlign w:val="top"/>
          </w:tcPr>
          <w:p w14:paraId="16308191">
            <w:pPr>
              <w:pStyle w:val="6"/>
              <w:spacing w:before="199" w:line="232" w:lineRule="auto"/>
              <w:ind w:right="2"/>
              <w:jc w:val="right"/>
            </w:pPr>
            <w:r>
              <w:rPr>
                <w:spacing w:val="-2"/>
              </w:rPr>
              <w:t>0.5L</w:t>
            </w:r>
          </w:p>
        </w:tc>
        <w:tc>
          <w:tcPr>
            <w:tcW w:w="570" w:type="dxa"/>
            <w:vAlign w:val="top"/>
          </w:tcPr>
          <w:p w14:paraId="0C77F300">
            <w:pPr>
              <w:pStyle w:val="6"/>
              <w:spacing w:before="203" w:line="229" w:lineRule="auto"/>
              <w:ind w:left="94"/>
            </w:pPr>
            <w:r>
              <w:rPr>
                <w:b/>
                <w:bCs/>
                <w:spacing w:val="-3"/>
              </w:rPr>
              <w:t>1600</w:t>
            </w:r>
          </w:p>
        </w:tc>
        <w:tc>
          <w:tcPr>
            <w:tcW w:w="559" w:type="dxa"/>
            <w:gridSpan w:val="2"/>
            <w:tcBorders>
              <w:right w:val="single" w:color="000000" w:sz="12" w:space="0"/>
            </w:tcBorders>
            <w:vAlign w:val="top"/>
          </w:tcPr>
          <w:p w14:paraId="5179E72E">
            <w:pPr>
              <w:pStyle w:val="6"/>
              <w:spacing w:before="203" w:line="229" w:lineRule="auto"/>
              <w:ind w:left="133"/>
            </w:pPr>
            <w:r>
              <w:rPr>
                <w:b/>
                <w:bCs/>
                <w:spacing w:val="-4"/>
              </w:rPr>
              <w:t>120</w:t>
            </w:r>
          </w:p>
        </w:tc>
      </w:tr>
      <w:tr w14:paraId="3E448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6DBEC1E4">
            <w:pPr>
              <w:rPr>
                <w:rFonts w:ascii="Arial"/>
                <w:sz w:val="21"/>
              </w:rPr>
            </w:pPr>
          </w:p>
        </w:tc>
        <w:tc>
          <w:tcPr>
            <w:tcW w:w="265" w:type="dxa"/>
            <w:vMerge w:val="restart"/>
            <w:tcBorders>
              <w:bottom w:val="nil"/>
            </w:tcBorders>
            <w:vAlign w:val="top"/>
          </w:tcPr>
          <w:p w14:paraId="7ADEB507">
            <w:pPr>
              <w:pStyle w:val="6"/>
              <w:spacing w:before="269" w:line="226" w:lineRule="auto"/>
              <w:ind w:left="14" w:right="38" w:firstLine="48"/>
              <w:rPr>
                <w:rFonts w:ascii="等线" w:hAnsi="等线" w:eastAsia="等线" w:cs="等线"/>
              </w:rPr>
            </w:pPr>
            <w:r>
              <w:rPr>
                <w:spacing w:val="-4"/>
              </w:rPr>
              <w:t>4</w:t>
            </w:r>
            <w:r>
              <w:rPr>
                <w:rFonts w:ascii="等线" w:hAnsi="等线" w:eastAsia="等线" w:cs="等线"/>
                <w:spacing w:val="-8"/>
              </w:rPr>
              <w:t>季</w:t>
            </w:r>
          </w:p>
        </w:tc>
        <w:tc>
          <w:tcPr>
            <w:tcW w:w="1014" w:type="dxa"/>
            <w:vAlign w:val="top"/>
          </w:tcPr>
          <w:p w14:paraId="34600189">
            <w:pPr>
              <w:pStyle w:val="6"/>
              <w:spacing w:before="159" w:line="232" w:lineRule="auto"/>
              <w:ind w:left="14"/>
            </w:pPr>
            <w:r>
              <w:rPr>
                <w:spacing w:val="-1"/>
              </w:rPr>
              <w:t>2020/11/15</w:t>
            </w:r>
          </w:p>
        </w:tc>
        <w:tc>
          <w:tcPr>
            <w:tcW w:w="737" w:type="dxa"/>
            <w:vAlign w:val="top"/>
          </w:tcPr>
          <w:p w14:paraId="1AF6C5CC">
            <w:pPr>
              <w:pStyle w:val="6"/>
              <w:spacing w:before="166" w:line="183" w:lineRule="auto"/>
              <w:ind w:left="243"/>
            </w:pPr>
            <w:r>
              <w:rPr>
                <w:spacing w:val="-3"/>
              </w:rPr>
              <w:t>5L</w:t>
            </w:r>
          </w:p>
        </w:tc>
        <w:tc>
          <w:tcPr>
            <w:tcW w:w="708" w:type="dxa"/>
            <w:vAlign w:val="top"/>
          </w:tcPr>
          <w:p w14:paraId="783AD60E">
            <w:pPr>
              <w:pStyle w:val="6"/>
              <w:spacing w:before="159" w:line="232" w:lineRule="auto"/>
              <w:ind w:left="148"/>
            </w:pPr>
            <w:r>
              <w:rPr>
                <w:spacing w:val="-2"/>
              </w:rPr>
              <w:t>0.5L</w:t>
            </w:r>
          </w:p>
        </w:tc>
        <w:tc>
          <w:tcPr>
            <w:tcW w:w="851" w:type="dxa"/>
            <w:vAlign w:val="top"/>
          </w:tcPr>
          <w:p w14:paraId="2BB09E65">
            <w:pPr>
              <w:pStyle w:val="6"/>
              <w:spacing w:before="159" w:line="232" w:lineRule="auto"/>
              <w:ind w:left="233"/>
            </w:pPr>
            <w:r>
              <w:rPr>
                <w:spacing w:val="-2"/>
              </w:rPr>
              <w:t>7.45</w:t>
            </w:r>
          </w:p>
        </w:tc>
        <w:tc>
          <w:tcPr>
            <w:tcW w:w="708" w:type="dxa"/>
            <w:vAlign w:val="top"/>
          </w:tcPr>
          <w:p w14:paraId="2074334C">
            <w:pPr>
              <w:pStyle w:val="6"/>
              <w:spacing w:before="159" w:line="232" w:lineRule="auto"/>
              <w:ind w:left="44"/>
            </w:pPr>
            <w:r>
              <w:rPr>
                <w:spacing w:val="-2"/>
              </w:rPr>
              <w:t>0.040L</w:t>
            </w:r>
          </w:p>
        </w:tc>
        <w:tc>
          <w:tcPr>
            <w:tcW w:w="842" w:type="dxa"/>
            <w:vAlign w:val="top"/>
          </w:tcPr>
          <w:p w14:paraId="6BF18BB2">
            <w:pPr>
              <w:pStyle w:val="6"/>
              <w:spacing w:before="159" w:line="232" w:lineRule="auto"/>
              <w:ind w:left="61"/>
            </w:pPr>
            <w:r>
              <w:rPr>
                <w:spacing w:val="-1"/>
              </w:rPr>
              <w:t>0.0045L</w:t>
            </w:r>
          </w:p>
        </w:tc>
        <w:tc>
          <w:tcPr>
            <w:tcW w:w="851" w:type="dxa"/>
            <w:vAlign w:val="top"/>
          </w:tcPr>
          <w:p w14:paraId="1712C432">
            <w:pPr>
              <w:pStyle w:val="6"/>
              <w:spacing w:before="159" w:line="232" w:lineRule="auto"/>
              <w:ind w:left="131"/>
            </w:pPr>
            <w:r>
              <w:rPr>
                <w:spacing w:val="-2"/>
              </w:rPr>
              <w:t>0.0316</w:t>
            </w:r>
          </w:p>
        </w:tc>
        <w:tc>
          <w:tcPr>
            <w:tcW w:w="708" w:type="dxa"/>
            <w:vAlign w:val="top"/>
          </w:tcPr>
          <w:p w14:paraId="47E4A71B">
            <w:pPr>
              <w:pStyle w:val="6"/>
              <w:spacing w:before="159" w:line="232" w:lineRule="auto"/>
              <w:ind w:left="113"/>
            </w:pPr>
            <w:r>
              <w:rPr>
                <w:spacing w:val="-2"/>
              </w:rPr>
              <w:t>0.009</w:t>
            </w:r>
          </w:p>
        </w:tc>
        <w:tc>
          <w:tcPr>
            <w:tcW w:w="847" w:type="dxa"/>
            <w:vAlign w:val="top"/>
          </w:tcPr>
          <w:p w14:paraId="5330FF89">
            <w:pPr>
              <w:pStyle w:val="6"/>
              <w:spacing w:before="159" w:line="232" w:lineRule="auto"/>
              <w:ind w:left="184"/>
            </w:pPr>
            <w:r>
              <w:rPr>
                <w:spacing w:val="-2"/>
              </w:rPr>
              <w:t>0.011</w:t>
            </w:r>
          </w:p>
        </w:tc>
        <w:tc>
          <w:tcPr>
            <w:tcW w:w="565" w:type="dxa"/>
            <w:vAlign w:val="top"/>
          </w:tcPr>
          <w:p w14:paraId="124677A0">
            <w:pPr>
              <w:pStyle w:val="6"/>
              <w:spacing w:before="159" w:line="232" w:lineRule="auto"/>
              <w:ind w:left="146"/>
            </w:pPr>
            <w:r>
              <w:rPr>
                <w:spacing w:val="-2"/>
              </w:rPr>
              <w:t>2.5</w:t>
            </w:r>
          </w:p>
        </w:tc>
        <w:tc>
          <w:tcPr>
            <w:tcW w:w="567" w:type="dxa"/>
            <w:vAlign w:val="top"/>
          </w:tcPr>
          <w:p w14:paraId="7AF4AB7B">
            <w:pPr>
              <w:pStyle w:val="6"/>
              <w:spacing w:before="159" w:line="232" w:lineRule="auto"/>
              <w:ind w:left="89"/>
            </w:pPr>
            <w:r>
              <w:rPr>
                <w:spacing w:val="-3"/>
              </w:rPr>
              <w:t>5.0L</w:t>
            </w:r>
          </w:p>
        </w:tc>
        <w:tc>
          <w:tcPr>
            <w:tcW w:w="851" w:type="dxa"/>
            <w:vAlign w:val="top"/>
          </w:tcPr>
          <w:p w14:paraId="3922FFC4">
            <w:pPr>
              <w:pStyle w:val="6"/>
              <w:spacing w:before="159" w:line="235" w:lineRule="auto"/>
              <w:ind w:left="266"/>
            </w:pPr>
            <w:r>
              <w:rPr>
                <w:spacing w:val="-1"/>
              </w:rPr>
              <w:t>221</w:t>
            </w:r>
          </w:p>
        </w:tc>
        <w:tc>
          <w:tcPr>
            <w:tcW w:w="566" w:type="dxa"/>
            <w:vAlign w:val="top"/>
          </w:tcPr>
          <w:p w14:paraId="72AB655C">
            <w:pPr>
              <w:pStyle w:val="6"/>
              <w:spacing w:before="159" w:line="232" w:lineRule="auto"/>
              <w:ind w:left="144"/>
            </w:pPr>
            <w:r>
              <w:rPr>
                <w:spacing w:val="-6"/>
              </w:rPr>
              <w:t>194</w:t>
            </w:r>
          </w:p>
        </w:tc>
        <w:tc>
          <w:tcPr>
            <w:tcW w:w="567" w:type="dxa"/>
            <w:vAlign w:val="top"/>
          </w:tcPr>
          <w:p w14:paraId="4BF45B1C">
            <w:pPr>
              <w:pStyle w:val="6"/>
              <w:spacing w:before="159" w:line="232" w:lineRule="auto"/>
              <w:ind w:left="101"/>
            </w:pPr>
            <w:r>
              <w:rPr>
                <w:spacing w:val="-2"/>
              </w:rPr>
              <w:t>0.98</w:t>
            </w:r>
          </w:p>
        </w:tc>
        <w:tc>
          <w:tcPr>
            <w:tcW w:w="851" w:type="dxa"/>
            <w:vAlign w:val="top"/>
          </w:tcPr>
          <w:p w14:paraId="1B2CAD07">
            <w:pPr>
              <w:pStyle w:val="6"/>
              <w:spacing w:before="159" w:line="232" w:lineRule="auto"/>
              <w:ind w:left="127"/>
            </w:pPr>
            <w:r>
              <w:rPr>
                <w:spacing w:val="-2"/>
              </w:rPr>
              <w:t>0.002L</w:t>
            </w:r>
          </w:p>
        </w:tc>
        <w:tc>
          <w:tcPr>
            <w:tcW w:w="707" w:type="dxa"/>
            <w:vAlign w:val="top"/>
          </w:tcPr>
          <w:p w14:paraId="6C596A41">
            <w:pPr>
              <w:pStyle w:val="6"/>
              <w:spacing w:before="159" w:line="232" w:lineRule="auto"/>
              <w:ind w:left="56"/>
            </w:pPr>
            <w:r>
              <w:rPr>
                <w:spacing w:val="-2"/>
              </w:rPr>
              <w:t>0.050L</w:t>
            </w:r>
          </w:p>
        </w:tc>
        <w:tc>
          <w:tcPr>
            <w:tcW w:w="708" w:type="dxa"/>
            <w:vAlign w:val="top"/>
          </w:tcPr>
          <w:p w14:paraId="39DFDC1D">
            <w:pPr>
              <w:pStyle w:val="6"/>
              <w:spacing w:before="159" w:line="232" w:lineRule="auto"/>
              <w:ind w:left="58"/>
            </w:pPr>
            <w:r>
              <w:rPr>
                <w:spacing w:val="-2"/>
              </w:rPr>
              <w:t>0.001L</w:t>
            </w:r>
          </w:p>
        </w:tc>
        <w:tc>
          <w:tcPr>
            <w:tcW w:w="851" w:type="dxa"/>
            <w:vAlign w:val="top"/>
          </w:tcPr>
          <w:p w14:paraId="63118670">
            <w:pPr>
              <w:pStyle w:val="6"/>
              <w:spacing w:before="159" w:line="232" w:lineRule="auto"/>
              <w:ind w:left="80"/>
            </w:pPr>
            <w:r>
              <w:rPr>
                <w:spacing w:val="-1"/>
              </w:rPr>
              <w:t>0.0005L</w:t>
            </w:r>
          </w:p>
        </w:tc>
        <w:tc>
          <w:tcPr>
            <w:tcW w:w="708" w:type="dxa"/>
            <w:vAlign w:val="top"/>
          </w:tcPr>
          <w:p w14:paraId="7E072679">
            <w:pPr>
              <w:pStyle w:val="6"/>
              <w:spacing w:before="159" w:line="232" w:lineRule="auto"/>
              <w:ind w:left="60"/>
            </w:pPr>
            <w:r>
              <w:rPr>
                <w:spacing w:val="-2"/>
              </w:rPr>
              <w:t>0.004L</w:t>
            </w:r>
          </w:p>
        </w:tc>
        <w:tc>
          <w:tcPr>
            <w:tcW w:w="851" w:type="dxa"/>
            <w:vAlign w:val="top"/>
          </w:tcPr>
          <w:p w14:paraId="13D7BCDD">
            <w:pPr>
              <w:pStyle w:val="6"/>
              <w:spacing w:before="159" w:line="232" w:lineRule="auto"/>
              <w:ind w:left="81"/>
            </w:pPr>
            <w:r>
              <w:rPr>
                <w:spacing w:val="-1"/>
              </w:rPr>
              <w:t>0.0025L</w:t>
            </w:r>
          </w:p>
        </w:tc>
        <w:tc>
          <w:tcPr>
            <w:tcW w:w="851" w:type="dxa"/>
            <w:vAlign w:val="top"/>
          </w:tcPr>
          <w:p w14:paraId="2502A010">
            <w:pPr>
              <w:pStyle w:val="6"/>
              <w:spacing w:before="159" w:line="232" w:lineRule="auto"/>
              <w:ind w:left="82"/>
            </w:pPr>
            <w:r>
              <w:rPr>
                <w:spacing w:val="-1"/>
              </w:rPr>
              <w:t>0.0001L</w:t>
            </w:r>
          </w:p>
        </w:tc>
        <w:tc>
          <w:tcPr>
            <w:tcW w:w="847" w:type="dxa"/>
            <w:vAlign w:val="top"/>
          </w:tcPr>
          <w:p w14:paraId="419D1DEA">
            <w:pPr>
              <w:pStyle w:val="6"/>
              <w:spacing w:before="159" w:line="232" w:lineRule="auto"/>
              <w:ind w:left="80"/>
            </w:pPr>
            <w:r>
              <w:rPr>
                <w:spacing w:val="-1"/>
              </w:rPr>
              <w:t>0.0004L</w:t>
            </w:r>
          </w:p>
        </w:tc>
        <w:tc>
          <w:tcPr>
            <w:tcW w:w="708" w:type="dxa"/>
            <w:vAlign w:val="top"/>
          </w:tcPr>
          <w:p w14:paraId="06A7428A">
            <w:pPr>
              <w:pStyle w:val="6"/>
              <w:spacing w:before="159" w:line="232" w:lineRule="auto"/>
              <w:ind w:left="64"/>
            </w:pPr>
            <w:r>
              <w:rPr>
                <w:spacing w:val="-2"/>
              </w:rPr>
              <w:t>0.002L</w:t>
            </w:r>
          </w:p>
        </w:tc>
        <w:tc>
          <w:tcPr>
            <w:tcW w:w="566" w:type="dxa"/>
            <w:vAlign w:val="top"/>
          </w:tcPr>
          <w:p w14:paraId="39176B61">
            <w:pPr>
              <w:pStyle w:val="6"/>
              <w:spacing w:before="159" w:line="232" w:lineRule="auto"/>
              <w:ind w:left="164"/>
            </w:pPr>
            <w:r>
              <w:rPr>
                <w:spacing w:val="-3"/>
              </w:rPr>
              <w:t>0.3</w:t>
            </w:r>
          </w:p>
        </w:tc>
        <w:tc>
          <w:tcPr>
            <w:tcW w:w="428" w:type="dxa"/>
            <w:vAlign w:val="top"/>
          </w:tcPr>
          <w:p w14:paraId="0852A27D">
            <w:pPr>
              <w:pStyle w:val="6"/>
              <w:spacing w:before="159" w:line="232" w:lineRule="auto"/>
              <w:ind w:right="2"/>
              <w:jc w:val="right"/>
            </w:pPr>
            <w:r>
              <w:rPr>
                <w:spacing w:val="-2"/>
              </w:rPr>
              <w:t>0.5L</w:t>
            </w:r>
          </w:p>
        </w:tc>
        <w:tc>
          <w:tcPr>
            <w:tcW w:w="570" w:type="dxa"/>
            <w:vAlign w:val="top"/>
          </w:tcPr>
          <w:p w14:paraId="71D4BAEE">
            <w:pPr>
              <w:pStyle w:val="6"/>
              <w:spacing w:before="159" w:line="232" w:lineRule="auto"/>
              <w:ind w:left="262"/>
            </w:pPr>
            <w:r>
              <w:t>/</w:t>
            </w:r>
          </w:p>
        </w:tc>
        <w:tc>
          <w:tcPr>
            <w:tcW w:w="559" w:type="dxa"/>
            <w:gridSpan w:val="2"/>
            <w:tcBorders>
              <w:right w:val="single" w:color="000000" w:sz="12" w:space="0"/>
            </w:tcBorders>
            <w:vAlign w:val="top"/>
          </w:tcPr>
          <w:p w14:paraId="38124E1D">
            <w:pPr>
              <w:pStyle w:val="6"/>
              <w:spacing w:before="164" w:line="229" w:lineRule="auto"/>
              <w:ind w:left="133"/>
            </w:pPr>
            <w:r>
              <w:rPr>
                <w:b/>
                <w:bCs/>
                <w:spacing w:val="-4"/>
              </w:rPr>
              <w:t>100</w:t>
            </w:r>
          </w:p>
        </w:tc>
      </w:tr>
      <w:tr w14:paraId="07523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531" w:type="dxa"/>
            <w:vMerge w:val="continue"/>
            <w:tcBorders>
              <w:top w:val="nil"/>
              <w:left w:val="single" w:color="000000" w:sz="12" w:space="0"/>
              <w:bottom w:val="single" w:color="000000" w:sz="12" w:space="0"/>
            </w:tcBorders>
            <w:vAlign w:val="top"/>
          </w:tcPr>
          <w:p w14:paraId="3695AD63">
            <w:pPr>
              <w:rPr>
                <w:rFonts w:ascii="Arial"/>
                <w:sz w:val="21"/>
              </w:rPr>
            </w:pPr>
          </w:p>
        </w:tc>
        <w:tc>
          <w:tcPr>
            <w:tcW w:w="265" w:type="dxa"/>
            <w:vMerge w:val="continue"/>
            <w:tcBorders>
              <w:top w:val="nil"/>
              <w:bottom w:val="single" w:color="000000" w:sz="12" w:space="0"/>
            </w:tcBorders>
            <w:vAlign w:val="top"/>
          </w:tcPr>
          <w:p w14:paraId="53429C7F">
            <w:pPr>
              <w:rPr>
                <w:rFonts w:ascii="Arial"/>
                <w:sz w:val="21"/>
              </w:rPr>
            </w:pPr>
          </w:p>
        </w:tc>
        <w:tc>
          <w:tcPr>
            <w:tcW w:w="1014" w:type="dxa"/>
            <w:tcBorders>
              <w:bottom w:val="single" w:color="000000" w:sz="12" w:space="0"/>
            </w:tcBorders>
            <w:vAlign w:val="top"/>
          </w:tcPr>
          <w:p w14:paraId="6CF76DB7">
            <w:pPr>
              <w:pStyle w:val="6"/>
              <w:spacing w:before="201" w:line="232" w:lineRule="auto"/>
              <w:ind w:left="14"/>
            </w:pPr>
            <w:r>
              <w:rPr>
                <w:spacing w:val="-1"/>
              </w:rPr>
              <w:t>2020/11/16</w:t>
            </w:r>
          </w:p>
        </w:tc>
        <w:tc>
          <w:tcPr>
            <w:tcW w:w="737" w:type="dxa"/>
            <w:tcBorders>
              <w:bottom w:val="single" w:color="000000" w:sz="12" w:space="0"/>
            </w:tcBorders>
            <w:vAlign w:val="top"/>
          </w:tcPr>
          <w:p w14:paraId="0534DDA6">
            <w:pPr>
              <w:pStyle w:val="6"/>
              <w:spacing w:before="208" w:line="183" w:lineRule="auto"/>
              <w:ind w:left="243"/>
            </w:pPr>
            <w:r>
              <w:rPr>
                <w:spacing w:val="-3"/>
              </w:rPr>
              <w:t>5L</w:t>
            </w:r>
          </w:p>
        </w:tc>
        <w:tc>
          <w:tcPr>
            <w:tcW w:w="708" w:type="dxa"/>
            <w:tcBorders>
              <w:bottom w:val="single" w:color="000000" w:sz="12" w:space="0"/>
            </w:tcBorders>
            <w:vAlign w:val="top"/>
          </w:tcPr>
          <w:p w14:paraId="4313874C">
            <w:pPr>
              <w:pStyle w:val="6"/>
              <w:spacing w:before="201" w:line="232" w:lineRule="auto"/>
              <w:ind w:left="148"/>
            </w:pPr>
            <w:r>
              <w:rPr>
                <w:spacing w:val="-2"/>
              </w:rPr>
              <w:t>0.5L</w:t>
            </w:r>
          </w:p>
        </w:tc>
        <w:tc>
          <w:tcPr>
            <w:tcW w:w="851" w:type="dxa"/>
            <w:tcBorders>
              <w:bottom w:val="single" w:color="000000" w:sz="12" w:space="0"/>
            </w:tcBorders>
            <w:vAlign w:val="top"/>
          </w:tcPr>
          <w:p w14:paraId="1293FAB1">
            <w:pPr>
              <w:pStyle w:val="6"/>
              <w:spacing w:before="201" w:line="232" w:lineRule="auto"/>
              <w:ind w:left="233"/>
            </w:pPr>
            <w:r>
              <w:rPr>
                <w:spacing w:val="-2"/>
              </w:rPr>
              <w:t>7.38</w:t>
            </w:r>
          </w:p>
        </w:tc>
        <w:tc>
          <w:tcPr>
            <w:tcW w:w="708" w:type="dxa"/>
            <w:tcBorders>
              <w:bottom w:val="single" w:color="000000" w:sz="12" w:space="0"/>
            </w:tcBorders>
            <w:vAlign w:val="top"/>
          </w:tcPr>
          <w:p w14:paraId="3CD7E052">
            <w:pPr>
              <w:pStyle w:val="6"/>
              <w:spacing w:before="201" w:line="232" w:lineRule="auto"/>
              <w:ind w:left="44"/>
            </w:pPr>
            <w:r>
              <w:rPr>
                <w:spacing w:val="-2"/>
              </w:rPr>
              <w:t>0.040L</w:t>
            </w:r>
          </w:p>
        </w:tc>
        <w:tc>
          <w:tcPr>
            <w:tcW w:w="842" w:type="dxa"/>
            <w:tcBorders>
              <w:bottom w:val="single" w:color="000000" w:sz="12" w:space="0"/>
            </w:tcBorders>
            <w:vAlign w:val="top"/>
          </w:tcPr>
          <w:p w14:paraId="1FD1407D">
            <w:pPr>
              <w:pStyle w:val="6"/>
              <w:spacing w:before="201" w:line="232" w:lineRule="auto"/>
              <w:ind w:left="61"/>
            </w:pPr>
            <w:r>
              <w:rPr>
                <w:spacing w:val="-1"/>
              </w:rPr>
              <w:t>0.0045L</w:t>
            </w:r>
          </w:p>
        </w:tc>
        <w:tc>
          <w:tcPr>
            <w:tcW w:w="851" w:type="dxa"/>
            <w:tcBorders>
              <w:bottom w:val="single" w:color="000000" w:sz="12" w:space="0"/>
            </w:tcBorders>
            <w:vAlign w:val="top"/>
          </w:tcPr>
          <w:p w14:paraId="63A65F1F">
            <w:pPr>
              <w:pStyle w:val="6"/>
              <w:spacing w:before="201" w:line="232" w:lineRule="auto"/>
              <w:ind w:left="131"/>
            </w:pPr>
            <w:r>
              <w:rPr>
                <w:spacing w:val="-2"/>
              </w:rPr>
              <w:t>0.0314</w:t>
            </w:r>
          </w:p>
        </w:tc>
        <w:tc>
          <w:tcPr>
            <w:tcW w:w="708" w:type="dxa"/>
            <w:tcBorders>
              <w:bottom w:val="single" w:color="000000" w:sz="12" w:space="0"/>
            </w:tcBorders>
            <w:vAlign w:val="top"/>
          </w:tcPr>
          <w:p w14:paraId="1DD18E27">
            <w:pPr>
              <w:pStyle w:val="6"/>
              <w:spacing w:before="201" w:line="232" w:lineRule="auto"/>
              <w:ind w:left="113"/>
            </w:pPr>
            <w:r>
              <w:rPr>
                <w:spacing w:val="-2"/>
              </w:rPr>
              <w:t>0.009</w:t>
            </w:r>
          </w:p>
        </w:tc>
        <w:tc>
          <w:tcPr>
            <w:tcW w:w="847" w:type="dxa"/>
            <w:tcBorders>
              <w:bottom w:val="single" w:color="000000" w:sz="12" w:space="0"/>
            </w:tcBorders>
            <w:vAlign w:val="top"/>
          </w:tcPr>
          <w:p w14:paraId="68A29887">
            <w:pPr>
              <w:pStyle w:val="6"/>
              <w:spacing w:before="201" w:line="232" w:lineRule="auto"/>
              <w:ind w:left="184"/>
            </w:pPr>
            <w:r>
              <w:rPr>
                <w:spacing w:val="-2"/>
              </w:rPr>
              <w:t>0.010</w:t>
            </w:r>
          </w:p>
        </w:tc>
        <w:tc>
          <w:tcPr>
            <w:tcW w:w="565" w:type="dxa"/>
            <w:tcBorders>
              <w:bottom w:val="single" w:color="000000" w:sz="12" w:space="0"/>
            </w:tcBorders>
            <w:vAlign w:val="top"/>
          </w:tcPr>
          <w:p w14:paraId="79EC9F96">
            <w:pPr>
              <w:pStyle w:val="6"/>
              <w:spacing w:before="201" w:line="232" w:lineRule="auto"/>
              <w:ind w:left="146"/>
            </w:pPr>
            <w:r>
              <w:rPr>
                <w:spacing w:val="-2"/>
              </w:rPr>
              <w:t>2.1</w:t>
            </w:r>
          </w:p>
        </w:tc>
        <w:tc>
          <w:tcPr>
            <w:tcW w:w="567" w:type="dxa"/>
            <w:tcBorders>
              <w:bottom w:val="single" w:color="000000" w:sz="12" w:space="0"/>
            </w:tcBorders>
            <w:vAlign w:val="top"/>
          </w:tcPr>
          <w:p w14:paraId="54F8FCF2">
            <w:pPr>
              <w:pStyle w:val="6"/>
              <w:spacing w:before="201" w:line="232" w:lineRule="auto"/>
              <w:ind w:left="89"/>
            </w:pPr>
            <w:r>
              <w:rPr>
                <w:spacing w:val="-3"/>
              </w:rPr>
              <w:t>5.0L</w:t>
            </w:r>
          </w:p>
        </w:tc>
        <w:tc>
          <w:tcPr>
            <w:tcW w:w="851" w:type="dxa"/>
            <w:tcBorders>
              <w:bottom w:val="single" w:color="000000" w:sz="12" w:space="0"/>
            </w:tcBorders>
            <w:vAlign w:val="top"/>
          </w:tcPr>
          <w:p w14:paraId="63DDB71E">
            <w:pPr>
              <w:pStyle w:val="6"/>
              <w:spacing w:before="202" w:line="232" w:lineRule="auto"/>
              <w:ind w:left="266"/>
            </w:pPr>
            <w:r>
              <w:rPr>
                <w:spacing w:val="-1"/>
              </w:rPr>
              <w:t>218</w:t>
            </w:r>
          </w:p>
        </w:tc>
        <w:tc>
          <w:tcPr>
            <w:tcW w:w="566" w:type="dxa"/>
            <w:tcBorders>
              <w:bottom w:val="single" w:color="000000" w:sz="12" w:space="0"/>
            </w:tcBorders>
            <w:vAlign w:val="top"/>
          </w:tcPr>
          <w:p w14:paraId="21452FC2">
            <w:pPr>
              <w:pStyle w:val="6"/>
              <w:spacing w:before="202" w:line="232" w:lineRule="auto"/>
              <w:ind w:left="144"/>
            </w:pPr>
            <w:r>
              <w:rPr>
                <w:spacing w:val="-6"/>
              </w:rPr>
              <w:t>186</w:t>
            </w:r>
          </w:p>
        </w:tc>
        <w:tc>
          <w:tcPr>
            <w:tcW w:w="567" w:type="dxa"/>
            <w:tcBorders>
              <w:bottom w:val="single" w:color="000000" w:sz="12" w:space="0"/>
            </w:tcBorders>
            <w:vAlign w:val="top"/>
          </w:tcPr>
          <w:p w14:paraId="04227B3B">
            <w:pPr>
              <w:pStyle w:val="6"/>
              <w:spacing w:before="201" w:line="232" w:lineRule="auto"/>
              <w:ind w:left="101"/>
            </w:pPr>
            <w:r>
              <w:rPr>
                <w:spacing w:val="-2"/>
              </w:rPr>
              <w:t>0.94</w:t>
            </w:r>
          </w:p>
        </w:tc>
        <w:tc>
          <w:tcPr>
            <w:tcW w:w="851" w:type="dxa"/>
            <w:tcBorders>
              <w:bottom w:val="single" w:color="000000" w:sz="12" w:space="0"/>
            </w:tcBorders>
            <w:vAlign w:val="top"/>
          </w:tcPr>
          <w:p w14:paraId="7B9638FB">
            <w:pPr>
              <w:pStyle w:val="6"/>
              <w:spacing w:before="201" w:line="232" w:lineRule="auto"/>
              <w:ind w:left="127"/>
            </w:pPr>
            <w:r>
              <w:rPr>
                <w:spacing w:val="-2"/>
              </w:rPr>
              <w:t>0.002L</w:t>
            </w:r>
          </w:p>
        </w:tc>
        <w:tc>
          <w:tcPr>
            <w:tcW w:w="707" w:type="dxa"/>
            <w:tcBorders>
              <w:bottom w:val="single" w:color="000000" w:sz="12" w:space="0"/>
            </w:tcBorders>
            <w:vAlign w:val="top"/>
          </w:tcPr>
          <w:p w14:paraId="6694E6DB">
            <w:pPr>
              <w:pStyle w:val="6"/>
              <w:spacing w:before="201" w:line="232" w:lineRule="auto"/>
              <w:ind w:left="56"/>
            </w:pPr>
            <w:r>
              <w:rPr>
                <w:spacing w:val="-2"/>
              </w:rPr>
              <w:t>0.050L</w:t>
            </w:r>
          </w:p>
        </w:tc>
        <w:tc>
          <w:tcPr>
            <w:tcW w:w="708" w:type="dxa"/>
            <w:tcBorders>
              <w:bottom w:val="single" w:color="000000" w:sz="12" w:space="0"/>
            </w:tcBorders>
            <w:vAlign w:val="top"/>
          </w:tcPr>
          <w:p w14:paraId="54C2639B">
            <w:pPr>
              <w:pStyle w:val="6"/>
              <w:spacing w:before="201" w:line="232" w:lineRule="auto"/>
              <w:ind w:left="58"/>
            </w:pPr>
            <w:r>
              <w:rPr>
                <w:spacing w:val="-2"/>
              </w:rPr>
              <w:t>0.001L</w:t>
            </w:r>
          </w:p>
        </w:tc>
        <w:tc>
          <w:tcPr>
            <w:tcW w:w="851" w:type="dxa"/>
            <w:tcBorders>
              <w:bottom w:val="single" w:color="000000" w:sz="12" w:space="0"/>
            </w:tcBorders>
            <w:vAlign w:val="top"/>
          </w:tcPr>
          <w:p w14:paraId="4F988F05">
            <w:pPr>
              <w:pStyle w:val="6"/>
              <w:spacing w:before="201" w:line="232" w:lineRule="auto"/>
              <w:ind w:left="80"/>
            </w:pPr>
            <w:r>
              <w:rPr>
                <w:spacing w:val="-1"/>
              </w:rPr>
              <w:t>0.0005L</w:t>
            </w:r>
          </w:p>
        </w:tc>
        <w:tc>
          <w:tcPr>
            <w:tcW w:w="708" w:type="dxa"/>
            <w:tcBorders>
              <w:bottom w:val="single" w:color="000000" w:sz="12" w:space="0"/>
            </w:tcBorders>
            <w:vAlign w:val="top"/>
          </w:tcPr>
          <w:p w14:paraId="5925E866">
            <w:pPr>
              <w:pStyle w:val="6"/>
              <w:spacing w:before="201" w:line="232" w:lineRule="auto"/>
              <w:ind w:left="60"/>
            </w:pPr>
            <w:r>
              <w:rPr>
                <w:spacing w:val="-2"/>
              </w:rPr>
              <w:t>0.004L</w:t>
            </w:r>
          </w:p>
        </w:tc>
        <w:tc>
          <w:tcPr>
            <w:tcW w:w="851" w:type="dxa"/>
            <w:tcBorders>
              <w:bottom w:val="single" w:color="000000" w:sz="12" w:space="0"/>
            </w:tcBorders>
            <w:vAlign w:val="top"/>
          </w:tcPr>
          <w:p w14:paraId="7F961DBE">
            <w:pPr>
              <w:pStyle w:val="6"/>
              <w:spacing w:before="201" w:line="232" w:lineRule="auto"/>
              <w:ind w:left="81"/>
            </w:pPr>
            <w:r>
              <w:rPr>
                <w:spacing w:val="-1"/>
              </w:rPr>
              <w:t>0.0025L</w:t>
            </w:r>
          </w:p>
        </w:tc>
        <w:tc>
          <w:tcPr>
            <w:tcW w:w="851" w:type="dxa"/>
            <w:tcBorders>
              <w:bottom w:val="single" w:color="000000" w:sz="12" w:space="0"/>
            </w:tcBorders>
            <w:vAlign w:val="top"/>
          </w:tcPr>
          <w:p w14:paraId="04CEFE2B">
            <w:pPr>
              <w:pStyle w:val="6"/>
              <w:spacing w:before="201" w:line="232" w:lineRule="auto"/>
              <w:ind w:left="82"/>
            </w:pPr>
            <w:r>
              <w:rPr>
                <w:spacing w:val="-1"/>
              </w:rPr>
              <w:t>0.0001L</w:t>
            </w:r>
          </w:p>
        </w:tc>
        <w:tc>
          <w:tcPr>
            <w:tcW w:w="847" w:type="dxa"/>
            <w:tcBorders>
              <w:bottom w:val="single" w:color="000000" w:sz="12" w:space="0"/>
            </w:tcBorders>
            <w:vAlign w:val="top"/>
          </w:tcPr>
          <w:p w14:paraId="3CC1AC9B">
            <w:pPr>
              <w:pStyle w:val="6"/>
              <w:spacing w:before="201" w:line="232" w:lineRule="auto"/>
              <w:ind w:left="80"/>
            </w:pPr>
            <w:r>
              <w:rPr>
                <w:spacing w:val="-1"/>
              </w:rPr>
              <w:t>0.0004L</w:t>
            </w:r>
          </w:p>
        </w:tc>
        <w:tc>
          <w:tcPr>
            <w:tcW w:w="708" w:type="dxa"/>
            <w:tcBorders>
              <w:bottom w:val="single" w:color="000000" w:sz="12" w:space="0"/>
            </w:tcBorders>
            <w:vAlign w:val="top"/>
          </w:tcPr>
          <w:p w14:paraId="0D3FD00C">
            <w:pPr>
              <w:pStyle w:val="6"/>
              <w:spacing w:before="201" w:line="232" w:lineRule="auto"/>
              <w:ind w:left="64"/>
            </w:pPr>
            <w:r>
              <w:rPr>
                <w:spacing w:val="-2"/>
              </w:rPr>
              <w:t>0.002L</w:t>
            </w:r>
          </w:p>
        </w:tc>
        <w:tc>
          <w:tcPr>
            <w:tcW w:w="566" w:type="dxa"/>
            <w:tcBorders>
              <w:bottom w:val="single" w:color="000000" w:sz="12" w:space="0"/>
            </w:tcBorders>
            <w:vAlign w:val="top"/>
          </w:tcPr>
          <w:p w14:paraId="66CC8C77">
            <w:pPr>
              <w:pStyle w:val="6"/>
              <w:spacing w:before="201" w:line="232" w:lineRule="auto"/>
              <w:ind w:left="164"/>
            </w:pPr>
            <w:r>
              <w:rPr>
                <w:spacing w:val="-3"/>
              </w:rPr>
              <w:t>0.5</w:t>
            </w:r>
          </w:p>
        </w:tc>
        <w:tc>
          <w:tcPr>
            <w:tcW w:w="428" w:type="dxa"/>
            <w:tcBorders>
              <w:bottom w:val="single" w:color="000000" w:sz="12" w:space="0"/>
            </w:tcBorders>
            <w:vAlign w:val="top"/>
          </w:tcPr>
          <w:p w14:paraId="738A6F4A">
            <w:pPr>
              <w:pStyle w:val="6"/>
              <w:spacing w:before="201" w:line="232" w:lineRule="auto"/>
              <w:ind w:right="2"/>
              <w:jc w:val="right"/>
            </w:pPr>
            <w:r>
              <w:rPr>
                <w:spacing w:val="-2"/>
              </w:rPr>
              <w:t>0.5L</w:t>
            </w:r>
          </w:p>
        </w:tc>
        <w:tc>
          <w:tcPr>
            <w:tcW w:w="570" w:type="dxa"/>
            <w:tcBorders>
              <w:bottom w:val="single" w:color="000000" w:sz="12" w:space="0"/>
            </w:tcBorders>
            <w:vAlign w:val="top"/>
          </w:tcPr>
          <w:p w14:paraId="41D7CB08">
            <w:pPr>
              <w:pStyle w:val="6"/>
              <w:spacing w:before="201" w:line="232" w:lineRule="auto"/>
              <w:ind w:left="262"/>
            </w:pPr>
            <w:r>
              <w:t>/</w:t>
            </w:r>
          </w:p>
        </w:tc>
        <w:tc>
          <w:tcPr>
            <w:tcW w:w="559" w:type="dxa"/>
            <w:gridSpan w:val="2"/>
            <w:tcBorders>
              <w:bottom w:val="single" w:color="000000" w:sz="12" w:space="0"/>
              <w:right w:val="single" w:color="000000" w:sz="12" w:space="0"/>
            </w:tcBorders>
            <w:vAlign w:val="top"/>
          </w:tcPr>
          <w:p w14:paraId="7B23497F">
            <w:pPr>
              <w:pStyle w:val="6"/>
              <w:spacing w:before="205" w:line="229" w:lineRule="auto"/>
              <w:ind w:left="133"/>
            </w:pPr>
            <w:r>
              <w:rPr>
                <w:b/>
                <w:bCs/>
                <w:spacing w:val="-4"/>
              </w:rPr>
              <w:t>120</w:t>
            </w:r>
          </w:p>
        </w:tc>
      </w:tr>
    </w:tbl>
    <w:p w14:paraId="5531C2A8">
      <w:pPr>
        <w:rPr>
          <w:rFonts w:ascii="Arial"/>
          <w:sz w:val="21"/>
        </w:rPr>
      </w:pPr>
    </w:p>
    <w:p w14:paraId="49D81027">
      <w:pPr>
        <w:rPr>
          <w:rFonts w:ascii="Arial" w:hAnsi="Arial" w:eastAsia="Arial" w:cs="Arial"/>
          <w:sz w:val="21"/>
          <w:szCs w:val="21"/>
        </w:rPr>
        <w:sectPr>
          <w:footerReference r:id="rId275" w:type="default"/>
          <w:pgSz w:w="23814" w:h="16840"/>
          <w:pgMar w:top="1376" w:right="1669" w:bottom="1061" w:left="1671" w:header="999" w:footer="861" w:gutter="0"/>
          <w:cols w:space="720" w:num="1"/>
        </w:sectPr>
      </w:pPr>
    </w:p>
    <w:p w14:paraId="4FBEDC1C">
      <w:pPr>
        <w:spacing w:before="148"/>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1"/>
        <w:gridCol w:w="265"/>
        <w:gridCol w:w="1014"/>
        <w:gridCol w:w="737"/>
        <w:gridCol w:w="708"/>
        <w:gridCol w:w="851"/>
        <w:gridCol w:w="708"/>
        <w:gridCol w:w="842"/>
        <w:gridCol w:w="851"/>
        <w:gridCol w:w="708"/>
        <w:gridCol w:w="847"/>
        <w:gridCol w:w="565"/>
        <w:gridCol w:w="567"/>
        <w:gridCol w:w="851"/>
        <w:gridCol w:w="566"/>
        <w:gridCol w:w="567"/>
        <w:gridCol w:w="851"/>
        <w:gridCol w:w="707"/>
        <w:gridCol w:w="708"/>
        <w:gridCol w:w="851"/>
        <w:gridCol w:w="708"/>
        <w:gridCol w:w="851"/>
        <w:gridCol w:w="851"/>
        <w:gridCol w:w="847"/>
        <w:gridCol w:w="708"/>
        <w:gridCol w:w="566"/>
        <w:gridCol w:w="428"/>
        <w:gridCol w:w="570"/>
        <w:gridCol w:w="498"/>
        <w:gridCol w:w="61"/>
      </w:tblGrid>
      <w:tr w14:paraId="5A9EC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531" w:type="dxa"/>
            <w:tcBorders>
              <w:top w:val="single" w:color="000000" w:sz="12" w:space="0"/>
              <w:left w:val="single" w:color="000000" w:sz="12" w:space="0"/>
            </w:tcBorders>
            <w:vAlign w:val="top"/>
          </w:tcPr>
          <w:p w14:paraId="79C9D0BA">
            <w:pPr>
              <w:spacing w:line="85" w:lineRule="exact"/>
            </w:pPr>
            <w:r>
              <w:rPr>
                <w:position w:val="-1"/>
              </w:rPr>
              <w:pict>
                <v:shape id="_x0000_s1204" o:spid="_x0000_s1204" style="height:5.8pt;width:1.5pt;" fillcolor="#000000" filled="t" stroked="f" coordsize="30,116" path="m0,115l30,115,30,0,0,0,0,115xe">
                  <v:path/>
                  <v:fill on="t" focussize="0,0"/>
                  <v:stroke on="f"/>
                  <v:imagedata o:title=""/>
                  <o:lock v:ext="edit"/>
                  <w10:wrap type="none"/>
                  <w10:anchorlock/>
                </v:shape>
              </w:pict>
            </w:r>
          </w:p>
          <w:p w14:paraId="42001057">
            <w:pPr>
              <w:spacing w:before="207" w:line="243" w:lineRule="auto"/>
              <w:ind w:left="55" w:right="53" w:hanging="9"/>
              <w:rPr>
                <w:rFonts w:ascii="宋体" w:hAnsi="宋体" w:eastAsia="宋体" w:cs="宋体"/>
                <w:sz w:val="21"/>
                <w:szCs w:val="21"/>
              </w:rPr>
            </w:pPr>
            <w:r>
              <w:rPr>
                <w:rFonts w:ascii="宋体" w:hAnsi="宋体" w:eastAsia="宋体" w:cs="宋体"/>
                <w:spacing w:val="-5"/>
                <w:sz w:val="21"/>
                <w:szCs w:val="21"/>
              </w:rPr>
              <w:t>监测</w:t>
            </w:r>
            <w:r>
              <w:rPr>
                <w:rFonts w:ascii="宋体" w:hAnsi="宋体" w:eastAsia="宋体" w:cs="宋体"/>
                <w:spacing w:val="-10"/>
                <w:sz w:val="21"/>
                <w:szCs w:val="21"/>
              </w:rPr>
              <w:t>点位</w:t>
            </w:r>
          </w:p>
        </w:tc>
        <w:tc>
          <w:tcPr>
            <w:tcW w:w="1279" w:type="dxa"/>
            <w:gridSpan w:val="2"/>
            <w:tcBorders>
              <w:top w:val="single" w:color="000000" w:sz="12" w:space="0"/>
            </w:tcBorders>
            <w:vAlign w:val="top"/>
          </w:tcPr>
          <w:p w14:paraId="357214DB">
            <w:pPr>
              <w:spacing w:line="359" w:lineRule="auto"/>
              <w:rPr>
                <w:rFonts w:ascii="Arial"/>
                <w:sz w:val="21"/>
              </w:rPr>
            </w:pPr>
          </w:p>
          <w:p w14:paraId="52EA8DA4">
            <w:pPr>
              <w:spacing w:before="69" w:line="221" w:lineRule="auto"/>
              <w:ind w:left="209"/>
              <w:rPr>
                <w:rFonts w:ascii="宋体" w:hAnsi="宋体" w:eastAsia="宋体" w:cs="宋体"/>
                <w:sz w:val="21"/>
                <w:szCs w:val="21"/>
              </w:rPr>
            </w:pPr>
            <w:r>
              <w:rPr>
                <w:rFonts w:ascii="宋体" w:hAnsi="宋体" w:eastAsia="宋体" w:cs="宋体"/>
                <w:spacing w:val="-2"/>
                <w:sz w:val="21"/>
                <w:szCs w:val="21"/>
              </w:rPr>
              <w:t>监测时间</w:t>
            </w:r>
          </w:p>
        </w:tc>
        <w:tc>
          <w:tcPr>
            <w:tcW w:w="737" w:type="dxa"/>
            <w:tcBorders>
              <w:top w:val="single" w:color="000000" w:sz="12" w:space="0"/>
            </w:tcBorders>
            <w:vAlign w:val="top"/>
          </w:tcPr>
          <w:p w14:paraId="35D39653">
            <w:pPr>
              <w:spacing w:before="283" w:line="244" w:lineRule="auto"/>
              <w:ind w:left="74" w:right="103" w:firstLine="74"/>
              <w:rPr>
                <w:rFonts w:ascii="等线" w:hAnsi="等线" w:eastAsia="等线" w:cs="等线"/>
                <w:sz w:val="21"/>
                <w:szCs w:val="21"/>
              </w:rPr>
            </w:pPr>
            <w:r>
              <w:rPr>
                <w:rFonts w:ascii="等线" w:hAnsi="等线" w:eastAsia="等线" w:cs="等线"/>
                <w:spacing w:val="-5"/>
                <w:sz w:val="21"/>
                <w:szCs w:val="21"/>
              </w:rPr>
              <w:t>色度</w:t>
            </w:r>
            <w:r>
              <w:rPr>
                <w:rFonts w:ascii="等线" w:hAnsi="等线" w:eastAsia="等线" w:cs="等线"/>
                <w:spacing w:val="-28"/>
                <w:sz w:val="21"/>
                <w:szCs w:val="21"/>
              </w:rPr>
              <w:t>（度）</w:t>
            </w:r>
          </w:p>
        </w:tc>
        <w:tc>
          <w:tcPr>
            <w:tcW w:w="708" w:type="dxa"/>
            <w:tcBorders>
              <w:top w:val="single" w:color="000000" w:sz="12" w:space="0"/>
            </w:tcBorders>
            <w:vAlign w:val="top"/>
          </w:tcPr>
          <w:p w14:paraId="73CF201D">
            <w:pPr>
              <w:pStyle w:val="6"/>
              <w:spacing w:before="304" w:line="250" w:lineRule="auto"/>
              <w:ind w:left="117" w:right="47" w:hanging="87"/>
            </w:pPr>
            <w:r>
              <w:rPr>
                <w:rFonts w:ascii="等线" w:hAnsi="等线" w:eastAsia="等线" w:cs="等线"/>
                <w:spacing w:val="-4"/>
              </w:rPr>
              <w:t>浑浊度</w:t>
            </w:r>
            <w:r>
              <w:t>NTU</w:t>
            </w:r>
          </w:p>
        </w:tc>
        <w:tc>
          <w:tcPr>
            <w:tcW w:w="851" w:type="dxa"/>
            <w:tcBorders>
              <w:top w:val="single" w:color="000000" w:sz="12" w:space="0"/>
            </w:tcBorders>
            <w:vAlign w:val="top"/>
          </w:tcPr>
          <w:p w14:paraId="303AA22F">
            <w:pPr>
              <w:pStyle w:val="6"/>
              <w:spacing w:before="141" w:line="216" w:lineRule="auto"/>
              <w:ind w:left="148"/>
              <w:rPr>
                <w:rFonts w:ascii="等线" w:hAnsi="等线" w:eastAsia="等线" w:cs="等线"/>
              </w:rPr>
            </w:pPr>
            <w:r>
              <w:t>pH</w:t>
            </w:r>
            <w:r>
              <w:rPr>
                <w:spacing w:val="2"/>
              </w:rPr>
              <w:t xml:space="preserve"> </w:t>
            </w:r>
            <w:r>
              <w:rPr>
                <w:rFonts w:ascii="等线" w:hAnsi="等线" w:eastAsia="等线" w:cs="等线"/>
                <w:spacing w:val="2"/>
              </w:rPr>
              <w:t>值</w:t>
            </w:r>
          </w:p>
          <w:p w14:paraId="44253A98">
            <w:pPr>
              <w:spacing w:before="29" w:line="244" w:lineRule="auto"/>
              <w:ind w:left="206" w:right="126" w:hanging="72"/>
              <w:rPr>
                <w:rFonts w:ascii="等线" w:hAnsi="等线" w:eastAsia="等线" w:cs="等线"/>
                <w:sz w:val="21"/>
                <w:szCs w:val="21"/>
              </w:rPr>
            </w:pPr>
            <w:r>
              <w:rPr>
                <w:rFonts w:ascii="等线" w:hAnsi="等线" w:eastAsia="等线" w:cs="等线"/>
                <w:spacing w:val="-17"/>
                <w:sz w:val="21"/>
                <w:szCs w:val="21"/>
              </w:rPr>
              <w:t>（无量</w:t>
            </w:r>
            <w:r>
              <w:rPr>
                <w:rFonts w:ascii="等线" w:hAnsi="等线" w:eastAsia="等线" w:cs="等线"/>
                <w:spacing w:val="-13"/>
                <w:sz w:val="21"/>
                <w:szCs w:val="21"/>
              </w:rPr>
              <w:t>纲）</w:t>
            </w:r>
          </w:p>
        </w:tc>
        <w:tc>
          <w:tcPr>
            <w:tcW w:w="708" w:type="dxa"/>
            <w:tcBorders>
              <w:top w:val="single" w:color="000000" w:sz="12" w:space="0"/>
            </w:tcBorders>
            <w:vAlign w:val="top"/>
          </w:tcPr>
          <w:p w14:paraId="329E3F9C">
            <w:pPr>
              <w:spacing w:line="352" w:lineRule="auto"/>
              <w:rPr>
                <w:rFonts w:ascii="Arial"/>
                <w:sz w:val="21"/>
              </w:rPr>
            </w:pPr>
          </w:p>
          <w:p w14:paraId="0F35002F">
            <w:pPr>
              <w:spacing w:before="71" w:line="227" w:lineRule="auto"/>
              <w:ind w:left="239"/>
              <w:rPr>
                <w:rFonts w:ascii="等线" w:hAnsi="等线" w:eastAsia="等线" w:cs="等线"/>
                <w:sz w:val="21"/>
                <w:szCs w:val="21"/>
              </w:rPr>
            </w:pPr>
            <w:r>
              <w:rPr>
                <w:rFonts w:ascii="等线" w:hAnsi="等线" w:eastAsia="等线" w:cs="等线"/>
                <w:sz w:val="21"/>
                <w:szCs w:val="21"/>
              </w:rPr>
              <w:t>铝</w:t>
            </w:r>
          </w:p>
        </w:tc>
        <w:tc>
          <w:tcPr>
            <w:tcW w:w="842" w:type="dxa"/>
            <w:tcBorders>
              <w:top w:val="single" w:color="000000" w:sz="12" w:space="0"/>
            </w:tcBorders>
            <w:vAlign w:val="top"/>
          </w:tcPr>
          <w:p w14:paraId="41920BE9">
            <w:pPr>
              <w:spacing w:line="352" w:lineRule="auto"/>
              <w:rPr>
                <w:rFonts w:ascii="Arial"/>
                <w:sz w:val="21"/>
              </w:rPr>
            </w:pPr>
          </w:p>
          <w:p w14:paraId="11F91823">
            <w:pPr>
              <w:spacing w:before="71" w:line="226" w:lineRule="auto"/>
              <w:ind w:left="306"/>
              <w:rPr>
                <w:rFonts w:ascii="等线" w:hAnsi="等线" w:eastAsia="等线" w:cs="等线"/>
                <w:sz w:val="21"/>
                <w:szCs w:val="21"/>
              </w:rPr>
            </w:pPr>
            <w:r>
              <w:rPr>
                <w:rFonts w:ascii="等线" w:hAnsi="等线" w:eastAsia="等线" w:cs="等线"/>
                <w:sz w:val="21"/>
                <w:szCs w:val="21"/>
              </w:rPr>
              <w:t>铁</w:t>
            </w:r>
          </w:p>
        </w:tc>
        <w:tc>
          <w:tcPr>
            <w:tcW w:w="851" w:type="dxa"/>
            <w:tcBorders>
              <w:top w:val="single" w:color="000000" w:sz="12" w:space="0"/>
            </w:tcBorders>
            <w:vAlign w:val="top"/>
          </w:tcPr>
          <w:p w14:paraId="6516B677">
            <w:pPr>
              <w:spacing w:line="352" w:lineRule="auto"/>
              <w:rPr>
                <w:rFonts w:ascii="Arial"/>
                <w:sz w:val="21"/>
              </w:rPr>
            </w:pPr>
          </w:p>
          <w:p w14:paraId="56B2AB1B">
            <w:pPr>
              <w:spacing w:before="71" w:line="234" w:lineRule="auto"/>
              <w:ind w:left="313"/>
              <w:rPr>
                <w:rFonts w:ascii="等线" w:hAnsi="等线" w:eastAsia="等线" w:cs="等线"/>
                <w:sz w:val="21"/>
                <w:szCs w:val="21"/>
              </w:rPr>
            </w:pPr>
            <w:r>
              <w:rPr>
                <w:rFonts w:ascii="等线" w:hAnsi="等线" w:eastAsia="等线" w:cs="等线"/>
                <w:sz w:val="21"/>
                <w:szCs w:val="21"/>
              </w:rPr>
              <w:t>锰</w:t>
            </w:r>
          </w:p>
        </w:tc>
        <w:tc>
          <w:tcPr>
            <w:tcW w:w="708" w:type="dxa"/>
            <w:tcBorders>
              <w:top w:val="single" w:color="000000" w:sz="12" w:space="0"/>
            </w:tcBorders>
            <w:vAlign w:val="top"/>
          </w:tcPr>
          <w:p w14:paraId="75F037FE">
            <w:pPr>
              <w:spacing w:line="353" w:lineRule="auto"/>
              <w:rPr>
                <w:rFonts w:ascii="Arial"/>
                <w:sz w:val="21"/>
              </w:rPr>
            </w:pPr>
          </w:p>
          <w:p w14:paraId="31B9F3CC">
            <w:pPr>
              <w:spacing w:before="71" w:line="228" w:lineRule="auto"/>
              <w:ind w:left="243"/>
              <w:rPr>
                <w:rFonts w:ascii="等线" w:hAnsi="等线" w:eastAsia="等线" w:cs="等线"/>
                <w:sz w:val="21"/>
                <w:szCs w:val="21"/>
              </w:rPr>
            </w:pPr>
            <w:r>
              <w:rPr>
                <w:rFonts w:ascii="等线" w:hAnsi="等线" w:eastAsia="等线" w:cs="等线"/>
                <w:sz w:val="21"/>
                <w:szCs w:val="21"/>
              </w:rPr>
              <w:t>铜</w:t>
            </w:r>
          </w:p>
        </w:tc>
        <w:tc>
          <w:tcPr>
            <w:tcW w:w="847" w:type="dxa"/>
            <w:tcBorders>
              <w:top w:val="single" w:color="000000" w:sz="12" w:space="0"/>
            </w:tcBorders>
            <w:vAlign w:val="top"/>
          </w:tcPr>
          <w:p w14:paraId="73497411">
            <w:pPr>
              <w:spacing w:line="352" w:lineRule="auto"/>
              <w:rPr>
                <w:rFonts w:ascii="Arial"/>
                <w:sz w:val="21"/>
              </w:rPr>
            </w:pPr>
          </w:p>
          <w:p w14:paraId="648A7DC0">
            <w:pPr>
              <w:spacing w:before="72" w:line="226" w:lineRule="auto"/>
              <w:ind w:left="314"/>
              <w:rPr>
                <w:rFonts w:ascii="等线" w:hAnsi="等线" w:eastAsia="等线" w:cs="等线"/>
                <w:sz w:val="21"/>
                <w:szCs w:val="21"/>
              </w:rPr>
            </w:pPr>
            <w:r>
              <w:rPr>
                <w:rFonts w:ascii="等线" w:hAnsi="等线" w:eastAsia="等线" w:cs="等线"/>
                <w:sz w:val="21"/>
                <w:szCs w:val="21"/>
              </w:rPr>
              <w:t>锌</w:t>
            </w:r>
          </w:p>
        </w:tc>
        <w:tc>
          <w:tcPr>
            <w:tcW w:w="565" w:type="dxa"/>
            <w:tcBorders>
              <w:top w:val="single" w:color="000000" w:sz="12" w:space="0"/>
            </w:tcBorders>
            <w:vAlign w:val="top"/>
          </w:tcPr>
          <w:p w14:paraId="6B8F23B9">
            <w:pPr>
              <w:spacing w:before="283" w:line="247" w:lineRule="auto"/>
              <w:ind w:left="176" w:right="70" w:hanging="107"/>
              <w:rPr>
                <w:rFonts w:ascii="等线" w:hAnsi="等线" w:eastAsia="等线" w:cs="等线"/>
                <w:sz w:val="21"/>
                <w:szCs w:val="21"/>
              </w:rPr>
            </w:pPr>
            <w:r>
              <w:rPr>
                <w:rFonts w:ascii="等线" w:hAnsi="等线" w:eastAsia="等线" w:cs="等线"/>
                <w:spacing w:val="-3"/>
                <w:sz w:val="21"/>
                <w:szCs w:val="21"/>
              </w:rPr>
              <w:t>氯化</w:t>
            </w:r>
            <w:r>
              <w:rPr>
                <w:rFonts w:ascii="等线" w:hAnsi="等线" w:eastAsia="等线" w:cs="等线"/>
                <w:sz w:val="21"/>
                <w:szCs w:val="21"/>
              </w:rPr>
              <w:t>物</w:t>
            </w:r>
          </w:p>
        </w:tc>
        <w:tc>
          <w:tcPr>
            <w:tcW w:w="567" w:type="dxa"/>
            <w:tcBorders>
              <w:top w:val="single" w:color="000000" w:sz="12" w:space="0"/>
            </w:tcBorders>
            <w:vAlign w:val="top"/>
          </w:tcPr>
          <w:p w14:paraId="67129D1D">
            <w:pPr>
              <w:spacing w:before="283" w:line="249" w:lineRule="auto"/>
              <w:ind w:left="180" w:right="71" w:hanging="108"/>
              <w:rPr>
                <w:rFonts w:ascii="等线" w:hAnsi="等线" w:eastAsia="等线" w:cs="等线"/>
                <w:sz w:val="21"/>
                <w:szCs w:val="21"/>
              </w:rPr>
            </w:pPr>
            <w:r>
              <w:rPr>
                <w:rFonts w:ascii="等线" w:hAnsi="等线" w:eastAsia="等线" w:cs="等线"/>
                <w:spacing w:val="-4"/>
                <w:sz w:val="21"/>
                <w:szCs w:val="21"/>
              </w:rPr>
              <w:t>硫酸</w:t>
            </w:r>
            <w:r>
              <w:rPr>
                <w:rFonts w:ascii="等线" w:hAnsi="等线" w:eastAsia="等线" w:cs="等线"/>
                <w:sz w:val="21"/>
                <w:szCs w:val="21"/>
              </w:rPr>
              <w:t>盐</w:t>
            </w:r>
          </w:p>
        </w:tc>
        <w:tc>
          <w:tcPr>
            <w:tcW w:w="851" w:type="dxa"/>
            <w:tcBorders>
              <w:top w:val="single" w:color="000000" w:sz="12" w:space="0"/>
            </w:tcBorders>
            <w:vAlign w:val="top"/>
          </w:tcPr>
          <w:p w14:paraId="6A9DEEDF">
            <w:pPr>
              <w:spacing w:before="282" w:line="247" w:lineRule="auto"/>
              <w:ind w:left="118" w:right="107" w:hanging="4"/>
              <w:rPr>
                <w:rFonts w:ascii="等线" w:hAnsi="等线" w:eastAsia="等线" w:cs="等线"/>
                <w:sz w:val="21"/>
                <w:szCs w:val="21"/>
              </w:rPr>
            </w:pPr>
            <w:r>
              <w:rPr>
                <w:rFonts w:ascii="等线" w:hAnsi="等线" w:eastAsia="等线" w:cs="等线"/>
                <w:spacing w:val="-4"/>
                <w:sz w:val="21"/>
                <w:szCs w:val="21"/>
              </w:rPr>
              <w:t>溶解性</w:t>
            </w:r>
            <w:r>
              <w:rPr>
                <w:rFonts w:ascii="等线" w:hAnsi="等线" w:eastAsia="等线" w:cs="等线"/>
                <w:spacing w:val="-6"/>
                <w:sz w:val="21"/>
                <w:szCs w:val="21"/>
              </w:rPr>
              <w:t>总固体</w:t>
            </w:r>
          </w:p>
        </w:tc>
        <w:tc>
          <w:tcPr>
            <w:tcW w:w="566" w:type="dxa"/>
            <w:tcBorders>
              <w:top w:val="single" w:color="000000" w:sz="12" w:space="0"/>
            </w:tcBorders>
            <w:vAlign w:val="top"/>
          </w:tcPr>
          <w:p w14:paraId="06643A4D">
            <w:pPr>
              <w:spacing w:before="283" w:line="246" w:lineRule="auto"/>
              <w:ind w:left="179" w:right="68" w:hanging="97"/>
              <w:rPr>
                <w:rFonts w:ascii="等线" w:hAnsi="等线" w:eastAsia="等线" w:cs="等线"/>
                <w:sz w:val="21"/>
                <w:szCs w:val="21"/>
              </w:rPr>
            </w:pPr>
            <w:r>
              <w:rPr>
                <w:rFonts w:ascii="等线" w:hAnsi="等线" w:eastAsia="等线" w:cs="等线"/>
                <w:spacing w:val="-8"/>
                <w:sz w:val="21"/>
                <w:szCs w:val="21"/>
              </w:rPr>
              <w:t>总硬</w:t>
            </w:r>
            <w:r>
              <w:rPr>
                <w:rFonts w:ascii="等线" w:hAnsi="等线" w:eastAsia="等线" w:cs="等线"/>
                <w:sz w:val="21"/>
                <w:szCs w:val="21"/>
              </w:rPr>
              <w:t>度</w:t>
            </w:r>
          </w:p>
        </w:tc>
        <w:tc>
          <w:tcPr>
            <w:tcW w:w="567" w:type="dxa"/>
            <w:tcBorders>
              <w:top w:val="single" w:color="000000" w:sz="12" w:space="0"/>
            </w:tcBorders>
            <w:vAlign w:val="top"/>
          </w:tcPr>
          <w:p w14:paraId="7BF1A48F">
            <w:pPr>
              <w:spacing w:before="282" w:line="249" w:lineRule="auto"/>
              <w:ind w:left="182" w:right="69" w:hanging="111"/>
              <w:rPr>
                <w:rFonts w:ascii="等线" w:hAnsi="等线" w:eastAsia="等线" w:cs="等线"/>
                <w:sz w:val="21"/>
                <w:szCs w:val="21"/>
              </w:rPr>
            </w:pPr>
            <w:r>
              <w:rPr>
                <w:rFonts w:ascii="等线" w:hAnsi="等线" w:eastAsia="等线" w:cs="等线"/>
                <w:spacing w:val="-2"/>
                <w:sz w:val="21"/>
                <w:szCs w:val="21"/>
              </w:rPr>
              <w:t>耗氧</w:t>
            </w:r>
            <w:r>
              <w:rPr>
                <w:rFonts w:ascii="等线" w:hAnsi="等线" w:eastAsia="等线" w:cs="等线"/>
                <w:sz w:val="21"/>
                <w:szCs w:val="21"/>
              </w:rPr>
              <w:t>量</w:t>
            </w:r>
          </w:p>
        </w:tc>
        <w:tc>
          <w:tcPr>
            <w:tcW w:w="851" w:type="dxa"/>
            <w:tcBorders>
              <w:top w:val="single" w:color="000000" w:sz="12" w:space="0"/>
            </w:tcBorders>
            <w:vAlign w:val="top"/>
          </w:tcPr>
          <w:p w14:paraId="500A3A30">
            <w:pPr>
              <w:spacing w:line="353" w:lineRule="auto"/>
              <w:rPr>
                <w:rFonts w:ascii="Arial"/>
                <w:sz w:val="21"/>
              </w:rPr>
            </w:pPr>
          </w:p>
          <w:p w14:paraId="64BB9A71">
            <w:pPr>
              <w:spacing w:before="71" w:line="227" w:lineRule="auto"/>
              <w:ind w:left="114"/>
              <w:rPr>
                <w:rFonts w:ascii="等线" w:hAnsi="等线" w:eastAsia="等线" w:cs="等线"/>
                <w:sz w:val="21"/>
                <w:szCs w:val="21"/>
              </w:rPr>
            </w:pPr>
            <w:r>
              <w:rPr>
                <w:rFonts w:ascii="等线" w:hAnsi="等线" w:eastAsia="等线" w:cs="等线"/>
                <w:spacing w:val="-3"/>
                <w:sz w:val="21"/>
                <w:szCs w:val="21"/>
              </w:rPr>
              <w:t>挥发酚</w:t>
            </w:r>
          </w:p>
        </w:tc>
        <w:tc>
          <w:tcPr>
            <w:tcW w:w="707" w:type="dxa"/>
            <w:tcBorders>
              <w:top w:val="single" w:color="000000" w:sz="12" w:space="0"/>
            </w:tcBorders>
            <w:vAlign w:val="top"/>
          </w:tcPr>
          <w:p w14:paraId="3ECB4FFD">
            <w:pPr>
              <w:spacing w:before="142" w:line="226" w:lineRule="auto"/>
              <w:ind w:left="61"/>
              <w:rPr>
                <w:rFonts w:ascii="等线" w:hAnsi="等线" w:eastAsia="等线" w:cs="等线"/>
                <w:sz w:val="21"/>
                <w:szCs w:val="21"/>
              </w:rPr>
            </w:pPr>
            <w:r>
              <w:rPr>
                <w:rFonts w:ascii="等线" w:hAnsi="等线" w:eastAsia="等线" w:cs="等线"/>
                <w:spacing w:val="-6"/>
                <w:sz w:val="21"/>
                <w:szCs w:val="21"/>
              </w:rPr>
              <w:t>阴离子</w:t>
            </w:r>
          </w:p>
          <w:p w14:paraId="0CE52A90">
            <w:pPr>
              <w:spacing w:before="16" w:line="246" w:lineRule="auto"/>
              <w:ind w:left="153" w:right="32" w:hanging="110"/>
              <w:rPr>
                <w:rFonts w:ascii="等线" w:hAnsi="等线" w:eastAsia="等线" w:cs="等线"/>
                <w:sz w:val="21"/>
                <w:szCs w:val="21"/>
              </w:rPr>
            </w:pPr>
            <w:r>
              <w:rPr>
                <w:rFonts w:ascii="等线" w:hAnsi="等线" w:eastAsia="等线" w:cs="等线"/>
                <w:spacing w:val="-4"/>
                <w:sz w:val="21"/>
                <w:szCs w:val="21"/>
              </w:rPr>
              <w:t>表面活性剂</w:t>
            </w:r>
          </w:p>
        </w:tc>
        <w:tc>
          <w:tcPr>
            <w:tcW w:w="708" w:type="dxa"/>
            <w:tcBorders>
              <w:top w:val="single" w:color="000000" w:sz="12" w:space="0"/>
            </w:tcBorders>
            <w:vAlign w:val="top"/>
          </w:tcPr>
          <w:p w14:paraId="00A9BE62">
            <w:pPr>
              <w:spacing w:line="353" w:lineRule="auto"/>
              <w:rPr>
                <w:rFonts w:ascii="Arial"/>
                <w:sz w:val="21"/>
              </w:rPr>
            </w:pPr>
          </w:p>
          <w:p w14:paraId="06D5FEC7">
            <w:pPr>
              <w:spacing w:before="71" w:line="226" w:lineRule="auto"/>
              <w:ind w:left="255"/>
              <w:rPr>
                <w:rFonts w:ascii="等线" w:hAnsi="等线" w:eastAsia="等线" w:cs="等线"/>
                <w:sz w:val="21"/>
                <w:szCs w:val="21"/>
              </w:rPr>
            </w:pPr>
            <w:r>
              <w:rPr>
                <w:rFonts w:ascii="等线" w:hAnsi="等线" w:eastAsia="等线" w:cs="等线"/>
                <w:sz w:val="21"/>
                <w:szCs w:val="21"/>
              </w:rPr>
              <w:t>砷</w:t>
            </w:r>
          </w:p>
        </w:tc>
        <w:tc>
          <w:tcPr>
            <w:tcW w:w="851" w:type="dxa"/>
            <w:tcBorders>
              <w:top w:val="single" w:color="000000" w:sz="12" w:space="0"/>
            </w:tcBorders>
            <w:vAlign w:val="top"/>
          </w:tcPr>
          <w:p w14:paraId="513D6781">
            <w:pPr>
              <w:spacing w:line="352" w:lineRule="auto"/>
              <w:rPr>
                <w:rFonts w:ascii="Arial"/>
                <w:sz w:val="21"/>
              </w:rPr>
            </w:pPr>
          </w:p>
          <w:p w14:paraId="78AF7E44">
            <w:pPr>
              <w:spacing w:before="71" w:line="228" w:lineRule="auto"/>
              <w:ind w:left="327"/>
              <w:rPr>
                <w:rFonts w:ascii="等线" w:hAnsi="等线" w:eastAsia="等线" w:cs="等线"/>
                <w:sz w:val="21"/>
                <w:szCs w:val="21"/>
              </w:rPr>
            </w:pPr>
            <w:r>
              <w:rPr>
                <w:rFonts w:ascii="等线" w:hAnsi="等线" w:eastAsia="等线" w:cs="等线"/>
                <w:sz w:val="21"/>
                <w:szCs w:val="21"/>
              </w:rPr>
              <w:t>镉</w:t>
            </w:r>
          </w:p>
        </w:tc>
        <w:tc>
          <w:tcPr>
            <w:tcW w:w="708" w:type="dxa"/>
            <w:tcBorders>
              <w:top w:val="single" w:color="000000" w:sz="12" w:space="0"/>
            </w:tcBorders>
            <w:vAlign w:val="top"/>
          </w:tcPr>
          <w:p w14:paraId="3954409E">
            <w:pPr>
              <w:spacing w:line="353" w:lineRule="auto"/>
              <w:rPr>
                <w:rFonts w:ascii="Arial"/>
                <w:sz w:val="21"/>
              </w:rPr>
            </w:pPr>
          </w:p>
          <w:p w14:paraId="326DDC74">
            <w:pPr>
              <w:spacing w:before="71" w:line="226" w:lineRule="auto"/>
              <w:ind w:left="52"/>
              <w:rPr>
                <w:rFonts w:ascii="等线" w:hAnsi="等线" w:eastAsia="等线" w:cs="等线"/>
                <w:sz w:val="21"/>
                <w:szCs w:val="21"/>
              </w:rPr>
            </w:pPr>
            <w:r>
              <w:rPr>
                <w:rFonts w:ascii="等线" w:hAnsi="等线" w:eastAsia="等线" w:cs="等线"/>
                <w:spacing w:val="-4"/>
                <w:sz w:val="21"/>
                <w:szCs w:val="21"/>
              </w:rPr>
              <w:t>六价铬</w:t>
            </w:r>
          </w:p>
        </w:tc>
        <w:tc>
          <w:tcPr>
            <w:tcW w:w="851" w:type="dxa"/>
            <w:tcBorders>
              <w:top w:val="single" w:color="000000" w:sz="12" w:space="0"/>
            </w:tcBorders>
            <w:vAlign w:val="top"/>
          </w:tcPr>
          <w:p w14:paraId="5932AFA3">
            <w:pPr>
              <w:spacing w:line="353" w:lineRule="auto"/>
              <w:rPr>
                <w:rFonts w:ascii="Arial"/>
                <w:sz w:val="21"/>
              </w:rPr>
            </w:pPr>
          </w:p>
          <w:p w14:paraId="05B338CA">
            <w:pPr>
              <w:spacing w:before="71" w:line="227" w:lineRule="auto"/>
              <w:ind w:left="327"/>
              <w:rPr>
                <w:rFonts w:ascii="等线" w:hAnsi="等线" w:eastAsia="等线" w:cs="等线"/>
                <w:sz w:val="21"/>
                <w:szCs w:val="21"/>
              </w:rPr>
            </w:pPr>
            <w:r>
              <w:rPr>
                <w:rFonts w:ascii="等线" w:hAnsi="等线" w:eastAsia="等线" w:cs="等线"/>
                <w:sz w:val="21"/>
                <w:szCs w:val="21"/>
              </w:rPr>
              <w:t>铅</w:t>
            </w:r>
          </w:p>
        </w:tc>
        <w:tc>
          <w:tcPr>
            <w:tcW w:w="851" w:type="dxa"/>
            <w:tcBorders>
              <w:top w:val="single" w:color="000000" w:sz="12" w:space="0"/>
            </w:tcBorders>
            <w:vAlign w:val="top"/>
          </w:tcPr>
          <w:p w14:paraId="6E6C58D0">
            <w:pPr>
              <w:spacing w:line="353" w:lineRule="auto"/>
              <w:rPr>
                <w:rFonts w:ascii="Arial"/>
                <w:sz w:val="21"/>
              </w:rPr>
            </w:pPr>
          </w:p>
          <w:p w14:paraId="1C283DB4">
            <w:pPr>
              <w:spacing w:before="71" w:line="228" w:lineRule="auto"/>
              <w:ind w:left="330"/>
              <w:rPr>
                <w:rFonts w:ascii="等线" w:hAnsi="等线" w:eastAsia="等线" w:cs="等线"/>
                <w:sz w:val="21"/>
                <w:szCs w:val="21"/>
              </w:rPr>
            </w:pPr>
            <w:r>
              <w:rPr>
                <w:rFonts w:ascii="等线" w:hAnsi="等线" w:eastAsia="等线" w:cs="等线"/>
                <w:sz w:val="21"/>
                <w:szCs w:val="21"/>
              </w:rPr>
              <w:t>汞</w:t>
            </w:r>
          </w:p>
        </w:tc>
        <w:tc>
          <w:tcPr>
            <w:tcW w:w="847" w:type="dxa"/>
            <w:tcBorders>
              <w:top w:val="single" w:color="000000" w:sz="12" w:space="0"/>
            </w:tcBorders>
            <w:vAlign w:val="top"/>
          </w:tcPr>
          <w:p w14:paraId="68B13769">
            <w:pPr>
              <w:spacing w:line="353" w:lineRule="auto"/>
              <w:rPr>
                <w:rFonts w:ascii="Arial"/>
                <w:sz w:val="21"/>
              </w:rPr>
            </w:pPr>
          </w:p>
          <w:p w14:paraId="2BA5250C">
            <w:pPr>
              <w:spacing w:before="71" w:line="230" w:lineRule="auto"/>
              <w:ind w:left="329"/>
              <w:rPr>
                <w:rFonts w:ascii="等线" w:hAnsi="等线" w:eastAsia="等线" w:cs="等线"/>
                <w:sz w:val="21"/>
                <w:szCs w:val="21"/>
              </w:rPr>
            </w:pPr>
            <w:r>
              <w:rPr>
                <w:rFonts w:ascii="等线" w:hAnsi="等线" w:eastAsia="等线" w:cs="等线"/>
                <w:sz w:val="21"/>
                <w:szCs w:val="21"/>
              </w:rPr>
              <w:t>硒</w:t>
            </w:r>
          </w:p>
        </w:tc>
        <w:tc>
          <w:tcPr>
            <w:tcW w:w="708" w:type="dxa"/>
            <w:tcBorders>
              <w:top w:val="single" w:color="000000" w:sz="12" w:space="0"/>
            </w:tcBorders>
            <w:vAlign w:val="top"/>
          </w:tcPr>
          <w:p w14:paraId="49B29CBA">
            <w:pPr>
              <w:spacing w:line="352" w:lineRule="auto"/>
              <w:rPr>
                <w:rFonts w:ascii="Arial"/>
                <w:sz w:val="21"/>
              </w:rPr>
            </w:pPr>
          </w:p>
          <w:p w14:paraId="24F49EAB">
            <w:pPr>
              <w:spacing w:before="71" w:line="227" w:lineRule="auto"/>
              <w:ind w:left="49"/>
              <w:rPr>
                <w:rFonts w:ascii="等线" w:hAnsi="等线" w:eastAsia="等线" w:cs="等线"/>
                <w:sz w:val="21"/>
                <w:szCs w:val="21"/>
              </w:rPr>
            </w:pPr>
            <w:r>
              <w:rPr>
                <w:rFonts w:ascii="等线" w:hAnsi="等线" w:eastAsia="等线" w:cs="等线"/>
                <w:spacing w:val="-2"/>
                <w:sz w:val="21"/>
                <w:szCs w:val="21"/>
              </w:rPr>
              <w:t>氰化物</w:t>
            </w:r>
          </w:p>
        </w:tc>
        <w:tc>
          <w:tcPr>
            <w:tcW w:w="566" w:type="dxa"/>
            <w:tcBorders>
              <w:top w:val="single" w:color="000000" w:sz="12" w:space="0"/>
            </w:tcBorders>
            <w:vAlign w:val="top"/>
          </w:tcPr>
          <w:p w14:paraId="3119B559">
            <w:pPr>
              <w:spacing w:before="283" w:line="247" w:lineRule="auto"/>
              <w:ind w:left="192" w:right="57" w:hanging="105"/>
              <w:rPr>
                <w:rFonts w:ascii="等线" w:hAnsi="等线" w:eastAsia="等线" w:cs="等线"/>
                <w:sz w:val="21"/>
                <w:szCs w:val="21"/>
              </w:rPr>
            </w:pPr>
            <w:r>
              <w:rPr>
                <w:rFonts w:ascii="等线" w:hAnsi="等线" w:eastAsia="等线" w:cs="等线"/>
                <w:spacing w:val="-5"/>
                <w:sz w:val="21"/>
                <w:szCs w:val="21"/>
              </w:rPr>
              <w:t>氟化</w:t>
            </w:r>
            <w:r>
              <w:rPr>
                <w:rFonts w:ascii="等线" w:hAnsi="等线" w:eastAsia="等线" w:cs="等线"/>
                <w:sz w:val="21"/>
                <w:szCs w:val="21"/>
              </w:rPr>
              <w:t>物</w:t>
            </w:r>
          </w:p>
        </w:tc>
        <w:tc>
          <w:tcPr>
            <w:tcW w:w="428" w:type="dxa"/>
            <w:tcBorders>
              <w:top w:val="single" w:color="000000" w:sz="12" w:space="0"/>
            </w:tcBorders>
            <w:textDirection w:val="tbRlV"/>
            <w:vAlign w:val="top"/>
          </w:tcPr>
          <w:p w14:paraId="624C8D3D">
            <w:pPr>
              <w:spacing w:before="93" w:line="210" w:lineRule="auto"/>
              <w:ind w:left="141"/>
              <w:rPr>
                <w:rFonts w:ascii="等线" w:hAnsi="等线" w:eastAsia="等线" w:cs="等线"/>
                <w:sz w:val="21"/>
                <w:szCs w:val="21"/>
              </w:rPr>
            </w:pPr>
            <w:r>
              <w:rPr>
                <w:rFonts w:ascii="等线" w:hAnsi="等线" w:eastAsia="等线" w:cs="等线"/>
                <w:spacing w:val="8"/>
                <w:sz w:val="21"/>
                <w:szCs w:val="21"/>
              </w:rPr>
              <w:t>硝 酸</w:t>
            </w:r>
            <w:r>
              <w:rPr>
                <w:rFonts w:ascii="等线" w:hAnsi="等线" w:eastAsia="等线" w:cs="等线"/>
                <w:spacing w:val="9"/>
                <w:sz w:val="21"/>
                <w:szCs w:val="21"/>
              </w:rPr>
              <w:t xml:space="preserve"> </w:t>
            </w:r>
            <w:r>
              <w:rPr>
                <w:rFonts w:ascii="等线" w:hAnsi="等线" w:eastAsia="等线" w:cs="等线"/>
                <w:spacing w:val="8"/>
                <w:sz w:val="21"/>
                <w:szCs w:val="21"/>
              </w:rPr>
              <w:t>盐</w:t>
            </w:r>
          </w:p>
        </w:tc>
        <w:tc>
          <w:tcPr>
            <w:tcW w:w="570" w:type="dxa"/>
            <w:tcBorders>
              <w:top w:val="single" w:color="000000" w:sz="12" w:space="0"/>
            </w:tcBorders>
            <w:vAlign w:val="top"/>
          </w:tcPr>
          <w:p w14:paraId="0920A359">
            <w:pPr>
              <w:pStyle w:val="6"/>
              <w:spacing w:before="111" w:line="241" w:lineRule="auto"/>
              <w:ind w:left="28" w:firstLine="5"/>
              <w:jc w:val="both"/>
              <w:rPr>
                <w:sz w:val="18"/>
                <w:szCs w:val="18"/>
              </w:rPr>
            </w:pPr>
            <w:r>
              <w:rPr>
                <w:rFonts w:ascii="等线" w:hAnsi="等线" w:eastAsia="等线" w:cs="等线"/>
                <w:spacing w:val="-5"/>
                <w:sz w:val="18"/>
                <w:szCs w:val="18"/>
              </w:rPr>
              <w:t>总大肠</w:t>
            </w:r>
            <w:r>
              <w:rPr>
                <w:rFonts w:ascii="等线" w:hAnsi="等线" w:eastAsia="等线" w:cs="等线"/>
                <w:spacing w:val="40"/>
                <w:sz w:val="18"/>
                <w:szCs w:val="18"/>
              </w:rPr>
              <w:t>菌群</w:t>
            </w:r>
            <w:r>
              <w:rPr>
                <w:spacing w:val="-1"/>
                <w:sz w:val="18"/>
                <w:szCs w:val="18"/>
              </w:rPr>
              <w:t>MPN/1</w:t>
            </w:r>
          </w:p>
          <w:p w14:paraId="470FA911">
            <w:pPr>
              <w:pStyle w:val="6"/>
              <w:spacing w:before="8" w:line="232" w:lineRule="auto"/>
              <w:ind w:left="82"/>
              <w:rPr>
                <w:sz w:val="18"/>
                <w:szCs w:val="18"/>
              </w:rPr>
            </w:pPr>
            <w:r>
              <w:rPr>
                <w:spacing w:val="-2"/>
                <w:sz w:val="18"/>
                <w:szCs w:val="18"/>
              </w:rPr>
              <w:t>00mL</w:t>
            </w:r>
          </w:p>
        </w:tc>
        <w:tc>
          <w:tcPr>
            <w:tcW w:w="498" w:type="dxa"/>
            <w:tcBorders>
              <w:top w:val="single" w:color="000000" w:sz="12" w:space="0"/>
              <w:right w:val="nil"/>
            </w:tcBorders>
            <w:vAlign w:val="top"/>
          </w:tcPr>
          <w:p w14:paraId="790D04D2">
            <w:pPr>
              <w:spacing w:before="112" w:line="226" w:lineRule="auto"/>
              <w:ind w:left="106"/>
              <w:rPr>
                <w:rFonts w:ascii="等线" w:hAnsi="等线" w:eastAsia="等线" w:cs="等线"/>
                <w:sz w:val="18"/>
                <w:szCs w:val="18"/>
              </w:rPr>
            </w:pPr>
            <w:r>
              <w:rPr>
                <w:rFonts w:ascii="等线" w:hAnsi="等线" w:eastAsia="等线" w:cs="等线"/>
                <w:spacing w:val="-3"/>
                <w:sz w:val="18"/>
                <w:szCs w:val="18"/>
              </w:rPr>
              <w:t>菌落</w:t>
            </w:r>
          </w:p>
          <w:p w14:paraId="0274BBD6">
            <w:pPr>
              <w:pStyle w:val="6"/>
              <w:spacing w:before="14" w:line="245" w:lineRule="auto"/>
              <w:ind w:left="83" w:right="16" w:firstLine="26"/>
              <w:rPr>
                <w:sz w:val="18"/>
                <w:szCs w:val="18"/>
              </w:rPr>
            </w:pPr>
            <w:r>
              <w:rPr>
                <w:rFonts w:ascii="等线" w:hAnsi="等线" w:eastAsia="等线" w:cs="等线"/>
                <w:spacing w:val="-7"/>
                <w:sz w:val="18"/>
                <w:szCs w:val="18"/>
              </w:rPr>
              <w:t>总数</w:t>
            </w:r>
            <w:r>
              <w:rPr>
                <w:spacing w:val="-2"/>
                <w:sz w:val="18"/>
                <w:szCs w:val="18"/>
              </w:rPr>
              <w:t>CFU/</w:t>
            </w:r>
          </w:p>
          <w:p w14:paraId="6749D955">
            <w:pPr>
              <w:pStyle w:val="6"/>
              <w:spacing w:before="1" w:line="235" w:lineRule="auto"/>
              <w:ind w:left="153"/>
              <w:rPr>
                <w:sz w:val="18"/>
                <w:szCs w:val="18"/>
              </w:rPr>
            </w:pPr>
            <w:r>
              <w:rPr>
                <w:spacing w:val="-1"/>
                <w:sz w:val="18"/>
                <w:szCs w:val="18"/>
              </w:rPr>
              <w:t>mL</w:t>
            </w:r>
          </w:p>
        </w:tc>
        <w:tc>
          <w:tcPr>
            <w:tcW w:w="61" w:type="dxa"/>
            <w:tcBorders>
              <w:top w:val="single" w:color="000000" w:sz="12" w:space="0"/>
              <w:left w:val="nil"/>
              <w:right w:val="single" w:color="000000" w:sz="12" w:space="0"/>
            </w:tcBorders>
            <w:vAlign w:val="top"/>
          </w:tcPr>
          <w:p w14:paraId="3B1D25F8">
            <w:pPr>
              <w:rPr>
                <w:rFonts w:ascii="Arial"/>
                <w:sz w:val="21"/>
              </w:rPr>
            </w:pPr>
          </w:p>
        </w:tc>
      </w:tr>
      <w:tr w14:paraId="01270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31" w:type="dxa"/>
            <w:tcBorders>
              <w:left w:val="single" w:color="000000" w:sz="12" w:space="0"/>
            </w:tcBorders>
            <w:vAlign w:val="top"/>
          </w:tcPr>
          <w:p w14:paraId="350929BD">
            <w:pPr>
              <w:rPr>
                <w:rFonts w:ascii="Arial"/>
                <w:sz w:val="21"/>
              </w:rPr>
            </w:pPr>
          </w:p>
        </w:tc>
        <w:tc>
          <w:tcPr>
            <w:tcW w:w="265" w:type="dxa"/>
            <w:vAlign w:val="top"/>
          </w:tcPr>
          <w:p w14:paraId="1E679580">
            <w:pPr>
              <w:spacing w:before="118" w:line="226" w:lineRule="auto"/>
              <w:ind w:left="16"/>
              <w:rPr>
                <w:rFonts w:ascii="等线" w:hAnsi="等线" w:eastAsia="等线" w:cs="等线"/>
                <w:sz w:val="21"/>
                <w:szCs w:val="21"/>
              </w:rPr>
            </w:pPr>
            <w:r>
              <w:rPr>
                <w:rFonts w:ascii="等线" w:hAnsi="等线" w:eastAsia="等线" w:cs="等线"/>
                <w:sz w:val="21"/>
                <w:szCs w:val="21"/>
              </w:rPr>
              <w:t>度</w:t>
            </w:r>
          </w:p>
        </w:tc>
        <w:tc>
          <w:tcPr>
            <w:tcW w:w="1014" w:type="dxa"/>
            <w:vAlign w:val="top"/>
          </w:tcPr>
          <w:p w14:paraId="180DA90A">
            <w:pPr>
              <w:pStyle w:val="6"/>
              <w:spacing w:before="156" w:line="232" w:lineRule="auto"/>
              <w:ind w:left="14"/>
            </w:pPr>
            <w:r>
              <w:rPr>
                <w:spacing w:val="-1"/>
              </w:rPr>
              <w:t>2020/11/17</w:t>
            </w:r>
          </w:p>
        </w:tc>
        <w:tc>
          <w:tcPr>
            <w:tcW w:w="737" w:type="dxa"/>
            <w:vAlign w:val="top"/>
          </w:tcPr>
          <w:p w14:paraId="22AACBFD">
            <w:pPr>
              <w:pStyle w:val="6"/>
              <w:spacing w:before="162" w:line="183" w:lineRule="auto"/>
              <w:ind w:left="243"/>
            </w:pPr>
            <w:r>
              <w:rPr>
                <w:spacing w:val="-3"/>
              </w:rPr>
              <w:t>5L</w:t>
            </w:r>
          </w:p>
        </w:tc>
        <w:tc>
          <w:tcPr>
            <w:tcW w:w="708" w:type="dxa"/>
            <w:vAlign w:val="top"/>
          </w:tcPr>
          <w:p w14:paraId="2B777A21">
            <w:pPr>
              <w:pStyle w:val="6"/>
              <w:spacing w:before="156" w:line="232" w:lineRule="auto"/>
              <w:ind w:left="148"/>
            </w:pPr>
            <w:r>
              <w:rPr>
                <w:spacing w:val="-2"/>
              </w:rPr>
              <w:t>0.5L</w:t>
            </w:r>
          </w:p>
        </w:tc>
        <w:tc>
          <w:tcPr>
            <w:tcW w:w="851" w:type="dxa"/>
            <w:vAlign w:val="top"/>
          </w:tcPr>
          <w:p w14:paraId="63DC756E">
            <w:pPr>
              <w:pStyle w:val="6"/>
              <w:spacing w:before="156" w:line="232" w:lineRule="auto"/>
              <w:ind w:left="233"/>
            </w:pPr>
            <w:r>
              <w:rPr>
                <w:spacing w:val="-2"/>
              </w:rPr>
              <w:t>7.47</w:t>
            </w:r>
          </w:p>
        </w:tc>
        <w:tc>
          <w:tcPr>
            <w:tcW w:w="708" w:type="dxa"/>
            <w:vAlign w:val="top"/>
          </w:tcPr>
          <w:p w14:paraId="5B2C1059">
            <w:pPr>
              <w:pStyle w:val="6"/>
              <w:spacing w:before="156" w:line="232" w:lineRule="auto"/>
              <w:ind w:left="44"/>
            </w:pPr>
            <w:r>
              <w:rPr>
                <w:spacing w:val="-2"/>
              </w:rPr>
              <w:t>0.040L</w:t>
            </w:r>
          </w:p>
        </w:tc>
        <w:tc>
          <w:tcPr>
            <w:tcW w:w="842" w:type="dxa"/>
            <w:vAlign w:val="top"/>
          </w:tcPr>
          <w:p w14:paraId="1994FDCD">
            <w:pPr>
              <w:pStyle w:val="6"/>
              <w:spacing w:before="156" w:line="232" w:lineRule="auto"/>
              <w:ind w:left="61"/>
            </w:pPr>
            <w:r>
              <w:rPr>
                <w:spacing w:val="-1"/>
              </w:rPr>
              <w:t>0.0045L</w:t>
            </w:r>
          </w:p>
        </w:tc>
        <w:tc>
          <w:tcPr>
            <w:tcW w:w="851" w:type="dxa"/>
            <w:vAlign w:val="top"/>
          </w:tcPr>
          <w:p w14:paraId="14E7F9F9">
            <w:pPr>
              <w:pStyle w:val="6"/>
              <w:spacing w:before="156" w:line="232" w:lineRule="auto"/>
              <w:ind w:left="131"/>
            </w:pPr>
            <w:r>
              <w:rPr>
                <w:spacing w:val="-2"/>
              </w:rPr>
              <w:t>0.0316</w:t>
            </w:r>
          </w:p>
        </w:tc>
        <w:tc>
          <w:tcPr>
            <w:tcW w:w="708" w:type="dxa"/>
            <w:vAlign w:val="top"/>
          </w:tcPr>
          <w:p w14:paraId="3F9F0C5B">
            <w:pPr>
              <w:pStyle w:val="6"/>
              <w:spacing w:before="156" w:line="232" w:lineRule="auto"/>
              <w:ind w:left="113"/>
            </w:pPr>
            <w:r>
              <w:rPr>
                <w:spacing w:val="-2"/>
              </w:rPr>
              <w:t>0.010</w:t>
            </w:r>
          </w:p>
        </w:tc>
        <w:tc>
          <w:tcPr>
            <w:tcW w:w="847" w:type="dxa"/>
            <w:vAlign w:val="top"/>
          </w:tcPr>
          <w:p w14:paraId="40C8F4E1">
            <w:pPr>
              <w:pStyle w:val="6"/>
              <w:spacing w:before="156" w:line="232" w:lineRule="auto"/>
              <w:ind w:left="184"/>
            </w:pPr>
            <w:r>
              <w:rPr>
                <w:spacing w:val="-2"/>
              </w:rPr>
              <w:t>0.010</w:t>
            </w:r>
          </w:p>
        </w:tc>
        <w:tc>
          <w:tcPr>
            <w:tcW w:w="565" w:type="dxa"/>
            <w:vAlign w:val="top"/>
          </w:tcPr>
          <w:p w14:paraId="5EA43A54">
            <w:pPr>
              <w:pStyle w:val="6"/>
              <w:spacing w:before="156" w:line="232" w:lineRule="auto"/>
              <w:ind w:left="146"/>
            </w:pPr>
            <w:r>
              <w:rPr>
                <w:spacing w:val="-2"/>
              </w:rPr>
              <w:t>2.3</w:t>
            </w:r>
          </w:p>
        </w:tc>
        <w:tc>
          <w:tcPr>
            <w:tcW w:w="567" w:type="dxa"/>
            <w:vAlign w:val="top"/>
          </w:tcPr>
          <w:p w14:paraId="7A770F88">
            <w:pPr>
              <w:pStyle w:val="6"/>
              <w:spacing w:before="156" w:line="232" w:lineRule="auto"/>
              <w:ind w:left="89"/>
            </w:pPr>
            <w:r>
              <w:rPr>
                <w:spacing w:val="-3"/>
              </w:rPr>
              <w:t>5.0L</w:t>
            </w:r>
          </w:p>
        </w:tc>
        <w:tc>
          <w:tcPr>
            <w:tcW w:w="851" w:type="dxa"/>
            <w:vAlign w:val="top"/>
          </w:tcPr>
          <w:p w14:paraId="1775AC5D">
            <w:pPr>
              <w:pStyle w:val="6"/>
              <w:spacing w:before="156" w:line="232" w:lineRule="auto"/>
              <w:ind w:left="266"/>
            </w:pPr>
            <w:r>
              <w:rPr>
                <w:spacing w:val="-1"/>
              </w:rPr>
              <w:t>225</w:t>
            </w:r>
          </w:p>
        </w:tc>
        <w:tc>
          <w:tcPr>
            <w:tcW w:w="566" w:type="dxa"/>
            <w:vAlign w:val="top"/>
          </w:tcPr>
          <w:p w14:paraId="3D717AEC">
            <w:pPr>
              <w:pStyle w:val="6"/>
              <w:spacing w:before="156" w:line="232" w:lineRule="auto"/>
              <w:ind w:left="124"/>
            </w:pPr>
            <w:r>
              <w:rPr>
                <w:spacing w:val="-1"/>
              </w:rPr>
              <w:t>202</w:t>
            </w:r>
          </w:p>
        </w:tc>
        <w:tc>
          <w:tcPr>
            <w:tcW w:w="567" w:type="dxa"/>
            <w:vAlign w:val="top"/>
          </w:tcPr>
          <w:p w14:paraId="6275F4B5">
            <w:pPr>
              <w:pStyle w:val="6"/>
              <w:spacing w:before="156" w:line="232" w:lineRule="auto"/>
              <w:ind w:left="101"/>
            </w:pPr>
            <w:r>
              <w:rPr>
                <w:spacing w:val="-2"/>
              </w:rPr>
              <w:t>0.96</w:t>
            </w:r>
          </w:p>
        </w:tc>
        <w:tc>
          <w:tcPr>
            <w:tcW w:w="851" w:type="dxa"/>
            <w:vAlign w:val="top"/>
          </w:tcPr>
          <w:p w14:paraId="4059590F">
            <w:pPr>
              <w:pStyle w:val="6"/>
              <w:spacing w:before="156" w:line="232" w:lineRule="auto"/>
              <w:ind w:left="127"/>
            </w:pPr>
            <w:r>
              <w:rPr>
                <w:spacing w:val="-2"/>
              </w:rPr>
              <w:t>0.002L</w:t>
            </w:r>
          </w:p>
        </w:tc>
        <w:tc>
          <w:tcPr>
            <w:tcW w:w="707" w:type="dxa"/>
            <w:vAlign w:val="top"/>
          </w:tcPr>
          <w:p w14:paraId="51BD81B9">
            <w:pPr>
              <w:pStyle w:val="6"/>
              <w:spacing w:before="156" w:line="232" w:lineRule="auto"/>
              <w:ind w:left="56"/>
            </w:pPr>
            <w:r>
              <w:rPr>
                <w:spacing w:val="-2"/>
              </w:rPr>
              <w:t>0.050L</w:t>
            </w:r>
          </w:p>
        </w:tc>
        <w:tc>
          <w:tcPr>
            <w:tcW w:w="708" w:type="dxa"/>
            <w:vAlign w:val="top"/>
          </w:tcPr>
          <w:p w14:paraId="3C897564">
            <w:pPr>
              <w:pStyle w:val="6"/>
              <w:spacing w:before="156" w:line="232" w:lineRule="auto"/>
              <w:ind w:left="58"/>
            </w:pPr>
            <w:r>
              <w:rPr>
                <w:spacing w:val="-2"/>
              </w:rPr>
              <w:t>0.001L</w:t>
            </w:r>
          </w:p>
        </w:tc>
        <w:tc>
          <w:tcPr>
            <w:tcW w:w="851" w:type="dxa"/>
            <w:vAlign w:val="top"/>
          </w:tcPr>
          <w:p w14:paraId="60328307">
            <w:pPr>
              <w:pStyle w:val="6"/>
              <w:spacing w:before="156" w:line="232" w:lineRule="auto"/>
              <w:ind w:left="80"/>
            </w:pPr>
            <w:r>
              <w:rPr>
                <w:spacing w:val="-1"/>
              </w:rPr>
              <w:t>0.0005L</w:t>
            </w:r>
          </w:p>
        </w:tc>
        <w:tc>
          <w:tcPr>
            <w:tcW w:w="708" w:type="dxa"/>
            <w:vAlign w:val="top"/>
          </w:tcPr>
          <w:p w14:paraId="7D3E82A5">
            <w:pPr>
              <w:pStyle w:val="6"/>
              <w:spacing w:before="156" w:line="232" w:lineRule="auto"/>
              <w:ind w:left="60"/>
            </w:pPr>
            <w:r>
              <w:rPr>
                <w:spacing w:val="-2"/>
              </w:rPr>
              <w:t>0.004L</w:t>
            </w:r>
          </w:p>
        </w:tc>
        <w:tc>
          <w:tcPr>
            <w:tcW w:w="851" w:type="dxa"/>
            <w:vAlign w:val="top"/>
          </w:tcPr>
          <w:p w14:paraId="5A63F6E0">
            <w:pPr>
              <w:pStyle w:val="6"/>
              <w:spacing w:before="156" w:line="232" w:lineRule="auto"/>
              <w:ind w:left="81"/>
            </w:pPr>
            <w:r>
              <w:rPr>
                <w:spacing w:val="-1"/>
              </w:rPr>
              <w:t>0.0025L</w:t>
            </w:r>
          </w:p>
        </w:tc>
        <w:tc>
          <w:tcPr>
            <w:tcW w:w="851" w:type="dxa"/>
            <w:vAlign w:val="top"/>
          </w:tcPr>
          <w:p w14:paraId="7F2FE246">
            <w:pPr>
              <w:pStyle w:val="6"/>
              <w:spacing w:before="156" w:line="232" w:lineRule="auto"/>
              <w:ind w:left="82"/>
            </w:pPr>
            <w:r>
              <w:rPr>
                <w:spacing w:val="-1"/>
              </w:rPr>
              <w:t>0.0001L</w:t>
            </w:r>
          </w:p>
        </w:tc>
        <w:tc>
          <w:tcPr>
            <w:tcW w:w="847" w:type="dxa"/>
            <w:vAlign w:val="top"/>
          </w:tcPr>
          <w:p w14:paraId="270F5DE5">
            <w:pPr>
              <w:pStyle w:val="6"/>
              <w:spacing w:before="156" w:line="232" w:lineRule="auto"/>
              <w:ind w:left="80"/>
            </w:pPr>
            <w:r>
              <w:rPr>
                <w:spacing w:val="-1"/>
              </w:rPr>
              <w:t>0.0004L</w:t>
            </w:r>
          </w:p>
        </w:tc>
        <w:tc>
          <w:tcPr>
            <w:tcW w:w="708" w:type="dxa"/>
            <w:vAlign w:val="top"/>
          </w:tcPr>
          <w:p w14:paraId="3BD6A375">
            <w:pPr>
              <w:pStyle w:val="6"/>
              <w:spacing w:before="156" w:line="232" w:lineRule="auto"/>
              <w:ind w:left="64"/>
            </w:pPr>
            <w:r>
              <w:rPr>
                <w:spacing w:val="-2"/>
              </w:rPr>
              <w:t>0.002L</w:t>
            </w:r>
          </w:p>
        </w:tc>
        <w:tc>
          <w:tcPr>
            <w:tcW w:w="566" w:type="dxa"/>
            <w:vAlign w:val="top"/>
          </w:tcPr>
          <w:p w14:paraId="1992FEAC">
            <w:pPr>
              <w:pStyle w:val="6"/>
              <w:spacing w:before="156" w:line="232" w:lineRule="auto"/>
              <w:ind w:left="164"/>
            </w:pPr>
            <w:r>
              <w:rPr>
                <w:spacing w:val="-3"/>
              </w:rPr>
              <w:t>0.2</w:t>
            </w:r>
          </w:p>
        </w:tc>
        <w:tc>
          <w:tcPr>
            <w:tcW w:w="428" w:type="dxa"/>
            <w:vAlign w:val="top"/>
          </w:tcPr>
          <w:p w14:paraId="03A825D5">
            <w:pPr>
              <w:pStyle w:val="6"/>
              <w:spacing w:before="156" w:line="232" w:lineRule="auto"/>
              <w:ind w:right="2"/>
              <w:jc w:val="right"/>
            </w:pPr>
            <w:r>
              <w:rPr>
                <w:spacing w:val="-2"/>
              </w:rPr>
              <w:t>0.5L</w:t>
            </w:r>
          </w:p>
        </w:tc>
        <w:tc>
          <w:tcPr>
            <w:tcW w:w="570" w:type="dxa"/>
            <w:vAlign w:val="top"/>
          </w:tcPr>
          <w:p w14:paraId="48051BD1">
            <w:pPr>
              <w:pStyle w:val="6"/>
              <w:spacing w:before="156" w:line="232" w:lineRule="auto"/>
              <w:ind w:left="262"/>
            </w:pPr>
            <w:r>
              <w:t>/</w:t>
            </w:r>
          </w:p>
        </w:tc>
        <w:tc>
          <w:tcPr>
            <w:tcW w:w="559" w:type="dxa"/>
            <w:gridSpan w:val="2"/>
            <w:tcBorders>
              <w:right w:val="single" w:color="000000" w:sz="12" w:space="0"/>
            </w:tcBorders>
            <w:vAlign w:val="top"/>
          </w:tcPr>
          <w:p w14:paraId="2AE01197">
            <w:pPr>
              <w:pStyle w:val="6"/>
              <w:spacing w:before="160" w:line="229" w:lineRule="auto"/>
              <w:ind w:left="133"/>
            </w:pPr>
            <w:r>
              <w:rPr>
                <w:b/>
                <w:bCs/>
                <w:spacing w:val="-4"/>
              </w:rPr>
              <w:t>110</w:t>
            </w:r>
          </w:p>
        </w:tc>
      </w:tr>
      <w:tr w14:paraId="10F38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31" w:type="dxa"/>
            <w:vMerge w:val="restart"/>
            <w:tcBorders>
              <w:left w:val="single" w:color="000000" w:sz="12" w:space="0"/>
              <w:bottom w:val="nil"/>
            </w:tcBorders>
            <w:vAlign w:val="top"/>
          </w:tcPr>
          <w:p w14:paraId="5101AB79">
            <w:pPr>
              <w:spacing w:line="275" w:lineRule="auto"/>
              <w:rPr>
                <w:rFonts w:ascii="Arial"/>
                <w:sz w:val="21"/>
              </w:rPr>
            </w:pPr>
          </w:p>
          <w:p w14:paraId="23F2F7B4">
            <w:pPr>
              <w:spacing w:line="275" w:lineRule="auto"/>
              <w:rPr>
                <w:rFonts w:ascii="Arial"/>
                <w:sz w:val="21"/>
              </w:rPr>
            </w:pPr>
          </w:p>
          <w:p w14:paraId="2C905F21">
            <w:pPr>
              <w:spacing w:line="275" w:lineRule="auto"/>
              <w:rPr>
                <w:rFonts w:ascii="Arial"/>
                <w:sz w:val="21"/>
              </w:rPr>
            </w:pPr>
          </w:p>
          <w:p w14:paraId="3DB01F8D">
            <w:pPr>
              <w:spacing w:line="275" w:lineRule="auto"/>
              <w:rPr>
                <w:rFonts w:ascii="Arial"/>
                <w:sz w:val="21"/>
              </w:rPr>
            </w:pPr>
          </w:p>
          <w:p w14:paraId="0815DF88">
            <w:pPr>
              <w:spacing w:line="275" w:lineRule="auto"/>
              <w:rPr>
                <w:rFonts w:ascii="Arial"/>
                <w:sz w:val="21"/>
              </w:rPr>
            </w:pPr>
          </w:p>
          <w:p w14:paraId="4FE3BEFB">
            <w:pPr>
              <w:spacing w:line="276" w:lineRule="auto"/>
              <w:rPr>
                <w:rFonts w:ascii="Arial"/>
                <w:sz w:val="21"/>
              </w:rPr>
            </w:pPr>
          </w:p>
          <w:p w14:paraId="5552582C">
            <w:pPr>
              <w:pStyle w:val="6"/>
              <w:spacing w:before="72"/>
              <w:ind w:left="48" w:right="52" w:firstLine="1"/>
              <w:jc w:val="both"/>
              <w:rPr>
                <w:rFonts w:ascii="等线" w:hAnsi="等线" w:eastAsia="等线" w:cs="等线"/>
              </w:rPr>
            </w:pPr>
            <w:r>
              <w:rPr>
                <w:spacing w:val="-4"/>
              </w:rPr>
              <w:t>8#</w:t>
            </w:r>
            <w:r>
              <w:rPr>
                <w:rFonts w:ascii="等线" w:hAnsi="等线" w:eastAsia="等线" w:cs="等线"/>
                <w:spacing w:val="-4"/>
              </w:rPr>
              <w:t>支</w:t>
            </w:r>
            <w:r>
              <w:rPr>
                <w:rFonts w:ascii="等线" w:hAnsi="等线" w:eastAsia="等线" w:cs="等线"/>
                <w:spacing w:val="-6"/>
              </w:rPr>
              <w:t>洞生活饮用水</w:t>
            </w:r>
          </w:p>
          <w:p w14:paraId="1A1D290D">
            <w:pPr>
              <w:spacing w:line="246" w:lineRule="auto"/>
              <w:ind w:left="151" w:right="53" w:hanging="109"/>
              <w:rPr>
                <w:rFonts w:ascii="等线" w:hAnsi="等线" w:eastAsia="等线" w:cs="等线"/>
                <w:sz w:val="21"/>
                <w:szCs w:val="21"/>
              </w:rPr>
            </w:pPr>
            <w:r>
              <w:rPr>
                <w:rFonts w:ascii="等线" w:hAnsi="等线" w:eastAsia="等线" w:cs="等线"/>
                <w:spacing w:val="-3"/>
                <w:sz w:val="21"/>
                <w:szCs w:val="21"/>
              </w:rPr>
              <w:t>供水</w:t>
            </w:r>
            <w:r>
              <w:rPr>
                <w:rFonts w:ascii="等线" w:hAnsi="等线" w:eastAsia="等线" w:cs="等线"/>
                <w:sz w:val="21"/>
                <w:szCs w:val="21"/>
              </w:rPr>
              <w:t>处</w:t>
            </w:r>
          </w:p>
        </w:tc>
        <w:tc>
          <w:tcPr>
            <w:tcW w:w="265" w:type="dxa"/>
            <w:vMerge w:val="restart"/>
            <w:tcBorders>
              <w:bottom w:val="nil"/>
            </w:tcBorders>
            <w:vAlign w:val="top"/>
          </w:tcPr>
          <w:p w14:paraId="4B026755">
            <w:pPr>
              <w:pStyle w:val="6"/>
              <w:spacing w:before="278" w:line="233" w:lineRule="auto"/>
              <w:ind w:left="14" w:right="38" w:firstLine="69"/>
              <w:jc w:val="both"/>
              <w:rPr>
                <w:rFonts w:ascii="等线" w:hAnsi="等线" w:eastAsia="等线" w:cs="等线"/>
              </w:rPr>
            </w:pPr>
            <w:r>
              <w:rPr>
                <w:spacing w:val="-25"/>
              </w:rPr>
              <w:t>1</w:t>
            </w:r>
            <w:r>
              <w:rPr>
                <w:rFonts w:ascii="等线" w:hAnsi="等线" w:eastAsia="等线" w:cs="等线"/>
                <w:spacing w:val="-8"/>
              </w:rPr>
              <w:t>季度</w:t>
            </w:r>
          </w:p>
        </w:tc>
        <w:tc>
          <w:tcPr>
            <w:tcW w:w="1014" w:type="dxa"/>
            <w:vAlign w:val="top"/>
          </w:tcPr>
          <w:p w14:paraId="097CB787">
            <w:pPr>
              <w:pStyle w:val="6"/>
              <w:spacing w:before="135" w:line="232" w:lineRule="auto"/>
              <w:ind w:left="118"/>
            </w:pPr>
            <w:r>
              <w:rPr>
                <w:spacing w:val="-1"/>
              </w:rPr>
              <w:t>2020/3/8</w:t>
            </w:r>
          </w:p>
        </w:tc>
        <w:tc>
          <w:tcPr>
            <w:tcW w:w="737" w:type="dxa"/>
            <w:vAlign w:val="top"/>
          </w:tcPr>
          <w:p w14:paraId="2D5613E8">
            <w:pPr>
              <w:pStyle w:val="6"/>
              <w:spacing w:before="142" w:line="183" w:lineRule="auto"/>
              <w:ind w:left="243"/>
            </w:pPr>
            <w:r>
              <w:rPr>
                <w:spacing w:val="-3"/>
              </w:rPr>
              <w:t>5L</w:t>
            </w:r>
          </w:p>
        </w:tc>
        <w:tc>
          <w:tcPr>
            <w:tcW w:w="708" w:type="dxa"/>
            <w:vAlign w:val="top"/>
          </w:tcPr>
          <w:p w14:paraId="141BB5DE">
            <w:pPr>
              <w:pStyle w:val="6"/>
              <w:spacing w:before="135" w:line="232" w:lineRule="auto"/>
              <w:ind w:left="211"/>
            </w:pPr>
            <w:r>
              <w:rPr>
                <w:spacing w:val="-3"/>
              </w:rPr>
              <w:t>0.6</w:t>
            </w:r>
          </w:p>
        </w:tc>
        <w:tc>
          <w:tcPr>
            <w:tcW w:w="851" w:type="dxa"/>
            <w:vAlign w:val="top"/>
          </w:tcPr>
          <w:p w14:paraId="73520770">
            <w:pPr>
              <w:pStyle w:val="6"/>
              <w:spacing w:before="135" w:line="232" w:lineRule="auto"/>
              <w:ind w:left="234"/>
            </w:pPr>
            <w:r>
              <w:rPr>
                <w:spacing w:val="-3"/>
              </w:rPr>
              <w:t>6.69</w:t>
            </w:r>
          </w:p>
        </w:tc>
        <w:tc>
          <w:tcPr>
            <w:tcW w:w="708" w:type="dxa"/>
            <w:vAlign w:val="top"/>
          </w:tcPr>
          <w:p w14:paraId="735AA1A8">
            <w:pPr>
              <w:pStyle w:val="6"/>
              <w:spacing w:before="135" w:line="232" w:lineRule="auto"/>
              <w:ind w:left="109"/>
            </w:pPr>
            <w:r>
              <w:rPr>
                <w:spacing w:val="-2"/>
              </w:rPr>
              <w:t>0.100</w:t>
            </w:r>
          </w:p>
        </w:tc>
        <w:tc>
          <w:tcPr>
            <w:tcW w:w="842" w:type="dxa"/>
            <w:vAlign w:val="top"/>
          </w:tcPr>
          <w:p w14:paraId="32B63B47">
            <w:pPr>
              <w:pStyle w:val="6"/>
              <w:spacing w:before="135" w:line="232" w:lineRule="auto"/>
              <w:ind w:left="126"/>
            </w:pPr>
            <w:r>
              <w:rPr>
                <w:spacing w:val="-2"/>
              </w:rPr>
              <w:t>0.0866</w:t>
            </w:r>
          </w:p>
        </w:tc>
        <w:tc>
          <w:tcPr>
            <w:tcW w:w="851" w:type="dxa"/>
            <w:vAlign w:val="top"/>
          </w:tcPr>
          <w:p w14:paraId="40D32635">
            <w:pPr>
              <w:pStyle w:val="6"/>
              <w:spacing w:before="135" w:line="232" w:lineRule="auto"/>
              <w:ind w:left="131"/>
            </w:pPr>
            <w:r>
              <w:rPr>
                <w:spacing w:val="-2"/>
              </w:rPr>
              <w:t>0.0164</w:t>
            </w:r>
          </w:p>
        </w:tc>
        <w:tc>
          <w:tcPr>
            <w:tcW w:w="708" w:type="dxa"/>
            <w:vAlign w:val="top"/>
          </w:tcPr>
          <w:p w14:paraId="4E705562">
            <w:pPr>
              <w:pStyle w:val="6"/>
              <w:spacing w:before="135" w:line="232" w:lineRule="auto"/>
              <w:ind w:left="48"/>
            </w:pPr>
            <w:r>
              <w:rPr>
                <w:spacing w:val="-2"/>
              </w:rPr>
              <w:t>0.009L</w:t>
            </w:r>
          </w:p>
        </w:tc>
        <w:tc>
          <w:tcPr>
            <w:tcW w:w="847" w:type="dxa"/>
            <w:vAlign w:val="top"/>
          </w:tcPr>
          <w:p w14:paraId="6D28CAB0">
            <w:pPr>
              <w:pStyle w:val="6"/>
              <w:spacing w:before="135" w:line="232" w:lineRule="auto"/>
              <w:ind w:left="184"/>
            </w:pPr>
            <w:r>
              <w:rPr>
                <w:spacing w:val="-2"/>
              </w:rPr>
              <w:t>0.033</w:t>
            </w:r>
          </w:p>
        </w:tc>
        <w:tc>
          <w:tcPr>
            <w:tcW w:w="565" w:type="dxa"/>
            <w:vAlign w:val="top"/>
          </w:tcPr>
          <w:p w14:paraId="6CC35CD6">
            <w:pPr>
              <w:pStyle w:val="6"/>
              <w:spacing w:before="135" w:line="232" w:lineRule="auto"/>
              <w:ind w:left="94"/>
            </w:pPr>
            <w:r>
              <w:rPr>
                <w:spacing w:val="-1"/>
              </w:rPr>
              <w:t>21.0</w:t>
            </w:r>
          </w:p>
        </w:tc>
        <w:tc>
          <w:tcPr>
            <w:tcW w:w="567" w:type="dxa"/>
            <w:vAlign w:val="top"/>
          </w:tcPr>
          <w:p w14:paraId="22026CD8">
            <w:pPr>
              <w:pStyle w:val="6"/>
              <w:spacing w:before="135" w:line="232" w:lineRule="auto"/>
              <w:ind w:left="153"/>
            </w:pPr>
            <w:r>
              <w:rPr>
                <w:spacing w:val="-4"/>
              </w:rPr>
              <w:t>5.7</w:t>
            </w:r>
          </w:p>
        </w:tc>
        <w:tc>
          <w:tcPr>
            <w:tcW w:w="851" w:type="dxa"/>
            <w:vAlign w:val="top"/>
          </w:tcPr>
          <w:p w14:paraId="4AAB5A8E">
            <w:pPr>
              <w:pStyle w:val="6"/>
              <w:spacing w:before="136" w:line="232" w:lineRule="auto"/>
              <w:ind w:left="266"/>
            </w:pPr>
            <w:r>
              <w:rPr>
                <w:spacing w:val="-1"/>
              </w:rPr>
              <w:t>216</w:t>
            </w:r>
          </w:p>
        </w:tc>
        <w:tc>
          <w:tcPr>
            <w:tcW w:w="566" w:type="dxa"/>
            <w:vAlign w:val="top"/>
          </w:tcPr>
          <w:p w14:paraId="6772C50E">
            <w:pPr>
              <w:pStyle w:val="6"/>
              <w:spacing w:before="136" w:line="232" w:lineRule="auto"/>
              <w:ind w:left="144"/>
            </w:pPr>
            <w:r>
              <w:rPr>
                <w:spacing w:val="-6"/>
              </w:rPr>
              <w:t>158</w:t>
            </w:r>
          </w:p>
        </w:tc>
        <w:tc>
          <w:tcPr>
            <w:tcW w:w="567" w:type="dxa"/>
            <w:vAlign w:val="top"/>
          </w:tcPr>
          <w:p w14:paraId="25E2CF58">
            <w:pPr>
              <w:pStyle w:val="6"/>
              <w:spacing w:before="135" w:line="232" w:lineRule="auto"/>
              <w:ind w:left="101"/>
            </w:pPr>
            <w:r>
              <w:rPr>
                <w:spacing w:val="-2"/>
              </w:rPr>
              <w:t>0.45</w:t>
            </w:r>
          </w:p>
        </w:tc>
        <w:tc>
          <w:tcPr>
            <w:tcW w:w="851" w:type="dxa"/>
            <w:vAlign w:val="top"/>
          </w:tcPr>
          <w:p w14:paraId="1B0AA7C4">
            <w:pPr>
              <w:pStyle w:val="6"/>
              <w:spacing w:before="135" w:line="232" w:lineRule="auto"/>
              <w:ind w:left="127"/>
            </w:pPr>
            <w:r>
              <w:rPr>
                <w:spacing w:val="-2"/>
              </w:rPr>
              <w:t>0.002L</w:t>
            </w:r>
          </w:p>
        </w:tc>
        <w:tc>
          <w:tcPr>
            <w:tcW w:w="707" w:type="dxa"/>
            <w:vAlign w:val="top"/>
          </w:tcPr>
          <w:p w14:paraId="756DC2BC">
            <w:pPr>
              <w:pStyle w:val="6"/>
              <w:spacing w:before="135" w:line="232" w:lineRule="auto"/>
              <w:ind w:left="56"/>
            </w:pPr>
            <w:r>
              <w:rPr>
                <w:spacing w:val="-2"/>
              </w:rPr>
              <w:t>0.050L</w:t>
            </w:r>
          </w:p>
        </w:tc>
        <w:tc>
          <w:tcPr>
            <w:tcW w:w="708" w:type="dxa"/>
            <w:vAlign w:val="top"/>
          </w:tcPr>
          <w:p w14:paraId="7CA8327C">
            <w:pPr>
              <w:pStyle w:val="6"/>
              <w:spacing w:before="135" w:line="232" w:lineRule="auto"/>
              <w:ind w:left="58"/>
            </w:pPr>
            <w:r>
              <w:rPr>
                <w:spacing w:val="-2"/>
              </w:rPr>
              <w:t>0.001L</w:t>
            </w:r>
          </w:p>
        </w:tc>
        <w:tc>
          <w:tcPr>
            <w:tcW w:w="851" w:type="dxa"/>
            <w:vAlign w:val="top"/>
          </w:tcPr>
          <w:p w14:paraId="06FC4931">
            <w:pPr>
              <w:pStyle w:val="6"/>
              <w:spacing w:before="135" w:line="232" w:lineRule="auto"/>
              <w:ind w:left="80"/>
            </w:pPr>
            <w:r>
              <w:rPr>
                <w:spacing w:val="-1"/>
              </w:rPr>
              <w:t>0.0005L</w:t>
            </w:r>
          </w:p>
        </w:tc>
        <w:tc>
          <w:tcPr>
            <w:tcW w:w="708" w:type="dxa"/>
            <w:vAlign w:val="top"/>
          </w:tcPr>
          <w:p w14:paraId="3B4A3267">
            <w:pPr>
              <w:pStyle w:val="6"/>
              <w:spacing w:before="135" w:line="232" w:lineRule="auto"/>
              <w:ind w:left="60"/>
            </w:pPr>
            <w:r>
              <w:rPr>
                <w:spacing w:val="-2"/>
              </w:rPr>
              <w:t>0.004L</w:t>
            </w:r>
          </w:p>
        </w:tc>
        <w:tc>
          <w:tcPr>
            <w:tcW w:w="851" w:type="dxa"/>
            <w:vAlign w:val="top"/>
          </w:tcPr>
          <w:p w14:paraId="024E1483">
            <w:pPr>
              <w:pStyle w:val="6"/>
              <w:spacing w:before="135" w:line="232" w:lineRule="auto"/>
              <w:ind w:left="81"/>
            </w:pPr>
            <w:r>
              <w:rPr>
                <w:spacing w:val="-1"/>
              </w:rPr>
              <w:t>0.0025L</w:t>
            </w:r>
          </w:p>
        </w:tc>
        <w:tc>
          <w:tcPr>
            <w:tcW w:w="851" w:type="dxa"/>
            <w:vAlign w:val="top"/>
          </w:tcPr>
          <w:p w14:paraId="0EA0BE69">
            <w:pPr>
              <w:pStyle w:val="6"/>
              <w:spacing w:before="135" w:line="232" w:lineRule="auto"/>
              <w:ind w:left="82"/>
            </w:pPr>
            <w:r>
              <w:rPr>
                <w:spacing w:val="-1"/>
              </w:rPr>
              <w:t>0.0001L</w:t>
            </w:r>
          </w:p>
        </w:tc>
        <w:tc>
          <w:tcPr>
            <w:tcW w:w="847" w:type="dxa"/>
            <w:vAlign w:val="top"/>
          </w:tcPr>
          <w:p w14:paraId="2AC6BBDD">
            <w:pPr>
              <w:pStyle w:val="6"/>
              <w:spacing w:before="135" w:line="232" w:lineRule="auto"/>
              <w:ind w:left="80"/>
            </w:pPr>
            <w:r>
              <w:rPr>
                <w:spacing w:val="-1"/>
              </w:rPr>
              <w:t>0.0004L</w:t>
            </w:r>
          </w:p>
        </w:tc>
        <w:tc>
          <w:tcPr>
            <w:tcW w:w="708" w:type="dxa"/>
            <w:vAlign w:val="top"/>
          </w:tcPr>
          <w:p w14:paraId="6EE97835">
            <w:pPr>
              <w:pStyle w:val="6"/>
              <w:spacing w:before="135" w:line="232" w:lineRule="auto"/>
              <w:ind w:left="64"/>
            </w:pPr>
            <w:r>
              <w:rPr>
                <w:spacing w:val="-2"/>
              </w:rPr>
              <w:t>0.002L</w:t>
            </w:r>
          </w:p>
        </w:tc>
        <w:tc>
          <w:tcPr>
            <w:tcW w:w="566" w:type="dxa"/>
            <w:vAlign w:val="top"/>
          </w:tcPr>
          <w:p w14:paraId="6479F573">
            <w:pPr>
              <w:pStyle w:val="6"/>
              <w:spacing w:before="135" w:line="232" w:lineRule="auto"/>
              <w:ind w:left="164"/>
            </w:pPr>
            <w:r>
              <w:rPr>
                <w:spacing w:val="-3"/>
              </w:rPr>
              <w:t>0.4</w:t>
            </w:r>
          </w:p>
        </w:tc>
        <w:tc>
          <w:tcPr>
            <w:tcW w:w="428" w:type="dxa"/>
            <w:vAlign w:val="top"/>
          </w:tcPr>
          <w:p w14:paraId="659F4A0F">
            <w:pPr>
              <w:pStyle w:val="6"/>
              <w:spacing w:before="135" w:line="232" w:lineRule="auto"/>
              <w:ind w:right="2"/>
              <w:jc w:val="right"/>
            </w:pPr>
            <w:r>
              <w:rPr>
                <w:spacing w:val="-2"/>
              </w:rPr>
              <w:t>0.5L</w:t>
            </w:r>
          </w:p>
        </w:tc>
        <w:tc>
          <w:tcPr>
            <w:tcW w:w="570" w:type="dxa"/>
            <w:vAlign w:val="top"/>
          </w:tcPr>
          <w:p w14:paraId="1EE724B3">
            <w:pPr>
              <w:pStyle w:val="6"/>
              <w:spacing w:before="135" w:line="232" w:lineRule="auto"/>
              <w:ind w:left="262"/>
            </w:pPr>
            <w:r>
              <w:t>/</w:t>
            </w:r>
          </w:p>
        </w:tc>
        <w:tc>
          <w:tcPr>
            <w:tcW w:w="559" w:type="dxa"/>
            <w:gridSpan w:val="2"/>
            <w:tcBorders>
              <w:right w:val="single" w:color="000000" w:sz="12" w:space="0"/>
            </w:tcBorders>
            <w:vAlign w:val="top"/>
          </w:tcPr>
          <w:p w14:paraId="77E85B67">
            <w:pPr>
              <w:pStyle w:val="6"/>
              <w:spacing w:before="136" w:line="232" w:lineRule="auto"/>
              <w:ind w:left="181"/>
            </w:pPr>
            <w:r>
              <w:rPr>
                <w:spacing w:val="-3"/>
              </w:rPr>
              <w:t>60</w:t>
            </w:r>
          </w:p>
        </w:tc>
      </w:tr>
      <w:tr w14:paraId="58B80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54DD4B1B">
            <w:pPr>
              <w:rPr>
                <w:rFonts w:ascii="Arial"/>
                <w:sz w:val="21"/>
              </w:rPr>
            </w:pPr>
          </w:p>
        </w:tc>
        <w:tc>
          <w:tcPr>
            <w:tcW w:w="265" w:type="dxa"/>
            <w:vMerge w:val="continue"/>
            <w:tcBorders>
              <w:top w:val="nil"/>
              <w:bottom w:val="nil"/>
            </w:tcBorders>
            <w:vAlign w:val="top"/>
          </w:tcPr>
          <w:p w14:paraId="071F5D35">
            <w:pPr>
              <w:rPr>
                <w:rFonts w:ascii="Arial"/>
                <w:sz w:val="21"/>
              </w:rPr>
            </w:pPr>
          </w:p>
        </w:tc>
        <w:tc>
          <w:tcPr>
            <w:tcW w:w="1014" w:type="dxa"/>
            <w:vAlign w:val="top"/>
          </w:tcPr>
          <w:p w14:paraId="75C1FCCF">
            <w:pPr>
              <w:pStyle w:val="6"/>
              <w:spacing w:before="138" w:line="232" w:lineRule="auto"/>
              <w:ind w:left="118"/>
            </w:pPr>
            <w:r>
              <w:rPr>
                <w:spacing w:val="-1"/>
              </w:rPr>
              <w:t>2020/3/9</w:t>
            </w:r>
          </w:p>
        </w:tc>
        <w:tc>
          <w:tcPr>
            <w:tcW w:w="737" w:type="dxa"/>
            <w:vAlign w:val="top"/>
          </w:tcPr>
          <w:p w14:paraId="4E7BEBB9">
            <w:pPr>
              <w:pStyle w:val="6"/>
              <w:spacing w:before="145" w:line="183" w:lineRule="auto"/>
              <w:ind w:left="243"/>
            </w:pPr>
            <w:r>
              <w:rPr>
                <w:spacing w:val="-3"/>
              </w:rPr>
              <w:t>5L</w:t>
            </w:r>
          </w:p>
        </w:tc>
        <w:tc>
          <w:tcPr>
            <w:tcW w:w="708" w:type="dxa"/>
            <w:vAlign w:val="top"/>
          </w:tcPr>
          <w:p w14:paraId="00A0429B">
            <w:pPr>
              <w:pStyle w:val="6"/>
              <w:spacing w:before="138" w:line="232" w:lineRule="auto"/>
              <w:ind w:left="211"/>
            </w:pPr>
            <w:r>
              <w:rPr>
                <w:spacing w:val="-3"/>
              </w:rPr>
              <w:t>0.7</w:t>
            </w:r>
          </w:p>
        </w:tc>
        <w:tc>
          <w:tcPr>
            <w:tcW w:w="851" w:type="dxa"/>
            <w:vAlign w:val="top"/>
          </w:tcPr>
          <w:p w14:paraId="3D615079">
            <w:pPr>
              <w:pStyle w:val="6"/>
              <w:spacing w:before="138" w:line="232" w:lineRule="auto"/>
              <w:ind w:left="234"/>
            </w:pPr>
            <w:r>
              <w:rPr>
                <w:spacing w:val="-3"/>
              </w:rPr>
              <w:t>6.73</w:t>
            </w:r>
          </w:p>
        </w:tc>
        <w:tc>
          <w:tcPr>
            <w:tcW w:w="708" w:type="dxa"/>
            <w:vAlign w:val="top"/>
          </w:tcPr>
          <w:p w14:paraId="3E9E214D">
            <w:pPr>
              <w:pStyle w:val="6"/>
              <w:spacing w:before="138" w:line="232" w:lineRule="auto"/>
              <w:ind w:left="109"/>
            </w:pPr>
            <w:r>
              <w:rPr>
                <w:spacing w:val="-2"/>
              </w:rPr>
              <w:t>0.100</w:t>
            </w:r>
          </w:p>
        </w:tc>
        <w:tc>
          <w:tcPr>
            <w:tcW w:w="842" w:type="dxa"/>
            <w:vAlign w:val="top"/>
          </w:tcPr>
          <w:p w14:paraId="009AE416">
            <w:pPr>
              <w:pStyle w:val="6"/>
              <w:spacing w:before="138" w:line="232" w:lineRule="auto"/>
              <w:ind w:left="126"/>
            </w:pPr>
            <w:r>
              <w:rPr>
                <w:spacing w:val="-2"/>
              </w:rPr>
              <w:t>0.0889</w:t>
            </w:r>
          </w:p>
        </w:tc>
        <w:tc>
          <w:tcPr>
            <w:tcW w:w="851" w:type="dxa"/>
            <w:vAlign w:val="top"/>
          </w:tcPr>
          <w:p w14:paraId="6D59269B">
            <w:pPr>
              <w:pStyle w:val="6"/>
              <w:spacing w:before="138" w:line="232" w:lineRule="auto"/>
              <w:ind w:left="131"/>
            </w:pPr>
            <w:r>
              <w:rPr>
                <w:spacing w:val="-2"/>
              </w:rPr>
              <w:t>0.0165</w:t>
            </w:r>
          </w:p>
        </w:tc>
        <w:tc>
          <w:tcPr>
            <w:tcW w:w="708" w:type="dxa"/>
            <w:vAlign w:val="top"/>
          </w:tcPr>
          <w:p w14:paraId="195F8952">
            <w:pPr>
              <w:pStyle w:val="6"/>
              <w:spacing w:before="138" w:line="232" w:lineRule="auto"/>
              <w:ind w:left="48"/>
            </w:pPr>
            <w:r>
              <w:rPr>
                <w:spacing w:val="-2"/>
              </w:rPr>
              <w:t>0.009L</w:t>
            </w:r>
          </w:p>
        </w:tc>
        <w:tc>
          <w:tcPr>
            <w:tcW w:w="847" w:type="dxa"/>
            <w:vAlign w:val="top"/>
          </w:tcPr>
          <w:p w14:paraId="444CF452">
            <w:pPr>
              <w:pStyle w:val="6"/>
              <w:spacing w:before="138" w:line="232" w:lineRule="auto"/>
              <w:ind w:left="184"/>
            </w:pPr>
            <w:r>
              <w:rPr>
                <w:spacing w:val="-2"/>
              </w:rPr>
              <w:t>0.033</w:t>
            </w:r>
          </w:p>
        </w:tc>
        <w:tc>
          <w:tcPr>
            <w:tcW w:w="565" w:type="dxa"/>
            <w:vAlign w:val="top"/>
          </w:tcPr>
          <w:p w14:paraId="6AB600E9">
            <w:pPr>
              <w:pStyle w:val="6"/>
              <w:spacing w:before="138" w:line="232" w:lineRule="auto"/>
              <w:ind w:left="94"/>
            </w:pPr>
            <w:r>
              <w:rPr>
                <w:spacing w:val="-1"/>
              </w:rPr>
              <w:t>20.6</w:t>
            </w:r>
          </w:p>
        </w:tc>
        <w:tc>
          <w:tcPr>
            <w:tcW w:w="567" w:type="dxa"/>
            <w:vAlign w:val="top"/>
          </w:tcPr>
          <w:p w14:paraId="07615276">
            <w:pPr>
              <w:pStyle w:val="6"/>
              <w:spacing w:before="138" w:line="232" w:lineRule="auto"/>
              <w:ind w:left="153"/>
            </w:pPr>
            <w:r>
              <w:rPr>
                <w:spacing w:val="-4"/>
              </w:rPr>
              <w:t>5.3</w:t>
            </w:r>
          </w:p>
        </w:tc>
        <w:tc>
          <w:tcPr>
            <w:tcW w:w="851" w:type="dxa"/>
            <w:vAlign w:val="top"/>
          </w:tcPr>
          <w:p w14:paraId="23730D8E">
            <w:pPr>
              <w:pStyle w:val="6"/>
              <w:spacing w:before="139" w:line="232" w:lineRule="auto"/>
              <w:ind w:left="266"/>
            </w:pPr>
            <w:r>
              <w:rPr>
                <w:spacing w:val="-1"/>
              </w:rPr>
              <w:t>228</w:t>
            </w:r>
          </w:p>
        </w:tc>
        <w:tc>
          <w:tcPr>
            <w:tcW w:w="566" w:type="dxa"/>
            <w:vAlign w:val="top"/>
          </w:tcPr>
          <w:p w14:paraId="098CD880">
            <w:pPr>
              <w:pStyle w:val="6"/>
              <w:spacing w:before="139" w:line="232" w:lineRule="auto"/>
              <w:ind w:left="144"/>
            </w:pPr>
            <w:r>
              <w:rPr>
                <w:spacing w:val="-6"/>
              </w:rPr>
              <w:t>162</w:t>
            </w:r>
          </w:p>
        </w:tc>
        <w:tc>
          <w:tcPr>
            <w:tcW w:w="567" w:type="dxa"/>
            <w:vAlign w:val="top"/>
          </w:tcPr>
          <w:p w14:paraId="65E413B7">
            <w:pPr>
              <w:pStyle w:val="6"/>
              <w:spacing w:before="138" w:line="232" w:lineRule="auto"/>
              <w:ind w:left="101"/>
            </w:pPr>
            <w:r>
              <w:rPr>
                <w:spacing w:val="-2"/>
              </w:rPr>
              <w:t>0.40</w:t>
            </w:r>
          </w:p>
        </w:tc>
        <w:tc>
          <w:tcPr>
            <w:tcW w:w="851" w:type="dxa"/>
            <w:vAlign w:val="top"/>
          </w:tcPr>
          <w:p w14:paraId="6830308D">
            <w:pPr>
              <w:pStyle w:val="6"/>
              <w:spacing w:before="138" w:line="232" w:lineRule="auto"/>
              <w:ind w:left="127"/>
            </w:pPr>
            <w:r>
              <w:rPr>
                <w:spacing w:val="-2"/>
              </w:rPr>
              <w:t>0.002L</w:t>
            </w:r>
          </w:p>
        </w:tc>
        <w:tc>
          <w:tcPr>
            <w:tcW w:w="707" w:type="dxa"/>
            <w:vAlign w:val="top"/>
          </w:tcPr>
          <w:p w14:paraId="1D67731D">
            <w:pPr>
              <w:pStyle w:val="6"/>
              <w:spacing w:before="138" w:line="232" w:lineRule="auto"/>
              <w:ind w:left="56"/>
            </w:pPr>
            <w:r>
              <w:rPr>
                <w:spacing w:val="-2"/>
              </w:rPr>
              <w:t>0.050L</w:t>
            </w:r>
          </w:p>
        </w:tc>
        <w:tc>
          <w:tcPr>
            <w:tcW w:w="708" w:type="dxa"/>
            <w:vAlign w:val="top"/>
          </w:tcPr>
          <w:p w14:paraId="7B8C738B">
            <w:pPr>
              <w:pStyle w:val="6"/>
              <w:spacing w:before="138" w:line="232" w:lineRule="auto"/>
              <w:ind w:left="58"/>
            </w:pPr>
            <w:r>
              <w:rPr>
                <w:spacing w:val="-2"/>
              </w:rPr>
              <w:t>0.001L</w:t>
            </w:r>
          </w:p>
        </w:tc>
        <w:tc>
          <w:tcPr>
            <w:tcW w:w="851" w:type="dxa"/>
            <w:vAlign w:val="top"/>
          </w:tcPr>
          <w:p w14:paraId="4DE08D4B">
            <w:pPr>
              <w:pStyle w:val="6"/>
              <w:spacing w:before="138" w:line="232" w:lineRule="auto"/>
              <w:ind w:left="80"/>
            </w:pPr>
            <w:r>
              <w:rPr>
                <w:spacing w:val="-1"/>
              </w:rPr>
              <w:t>0.0005L</w:t>
            </w:r>
          </w:p>
        </w:tc>
        <w:tc>
          <w:tcPr>
            <w:tcW w:w="708" w:type="dxa"/>
            <w:vAlign w:val="top"/>
          </w:tcPr>
          <w:p w14:paraId="017DF2DF">
            <w:pPr>
              <w:pStyle w:val="6"/>
              <w:spacing w:before="138" w:line="232" w:lineRule="auto"/>
              <w:ind w:left="60"/>
            </w:pPr>
            <w:r>
              <w:rPr>
                <w:spacing w:val="-2"/>
              </w:rPr>
              <w:t>0.004L</w:t>
            </w:r>
          </w:p>
        </w:tc>
        <w:tc>
          <w:tcPr>
            <w:tcW w:w="851" w:type="dxa"/>
            <w:vAlign w:val="top"/>
          </w:tcPr>
          <w:p w14:paraId="1AEA9050">
            <w:pPr>
              <w:pStyle w:val="6"/>
              <w:spacing w:before="138" w:line="232" w:lineRule="auto"/>
              <w:ind w:left="81"/>
            </w:pPr>
            <w:r>
              <w:rPr>
                <w:spacing w:val="-1"/>
              </w:rPr>
              <w:t>0.0025L</w:t>
            </w:r>
          </w:p>
        </w:tc>
        <w:tc>
          <w:tcPr>
            <w:tcW w:w="851" w:type="dxa"/>
            <w:vAlign w:val="top"/>
          </w:tcPr>
          <w:p w14:paraId="50291CB9">
            <w:pPr>
              <w:pStyle w:val="6"/>
              <w:spacing w:before="138" w:line="232" w:lineRule="auto"/>
              <w:ind w:left="82"/>
            </w:pPr>
            <w:r>
              <w:rPr>
                <w:spacing w:val="-1"/>
              </w:rPr>
              <w:t>0.0001L</w:t>
            </w:r>
          </w:p>
        </w:tc>
        <w:tc>
          <w:tcPr>
            <w:tcW w:w="847" w:type="dxa"/>
            <w:vAlign w:val="top"/>
          </w:tcPr>
          <w:p w14:paraId="71356DDB">
            <w:pPr>
              <w:pStyle w:val="6"/>
              <w:spacing w:before="138" w:line="232" w:lineRule="auto"/>
              <w:ind w:left="80"/>
            </w:pPr>
            <w:r>
              <w:rPr>
                <w:spacing w:val="-1"/>
              </w:rPr>
              <w:t>0.0004L</w:t>
            </w:r>
          </w:p>
        </w:tc>
        <w:tc>
          <w:tcPr>
            <w:tcW w:w="708" w:type="dxa"/>
            <w:vAlign w:val="top"/>
          </w:tcPr>
          <w:p w14:paraId="07321B93">
            <w:pPr>
              <w:pStyle w:val="6"/>
              <w:spacing w:before="138" w:line="232" w:lineRule="auto"/>
              <w:ind w:left="64"/>
            </w:pPr>
            <w:r>
              <w:rPr>
                <w:spacing w:val="-2"/>
              </w:rPr>
              <w:t>0.002L</w:t>
            </w:r>
          </w:p>
        </w:tc>
        <w:tc>
          <w:tcPr>
            <w:tcW w:w="566" w:type="dxa"/>
            <w:vAlign w:val="top"/>
          </w:tcPr>
          <w:p w14:paraId="58B79D64">
            <w:pPr>
              <w:pStyle w:val="6"/>
              <w:spacing w:before="138" w:line="232" w:lineRule="auto"/>
              <w:ind w:left="164"/>
            </w:pPr>
            <w:r>
              <w:rPr>
                <w:spacing w:val="-3"/>
              </w:rPr>
              <w:t>0.3</w:t>
            </w:r>
          </w:p>
        </w:tc>
        <w:tc>
          <w:tcPr>
            <w:tcW w:w="428" w:type="dxa"/>
            <w:vAlign w:val="top"/>
          </w:tcPr>
          <w:p w14:paraId="02DDF228">
            <w:pPr>
              <w:pStyle w:val="6"/>
              <w:spacing w:before="138" w:line="232" w:lineRule="auto"/>
              <w:ind w:right="2"/>
              <w:jc w:val="right"/>
            </w:pPr>
            <w:r>
              <w:rPr>
                <w:spacing w:val="-2"/>
              </w:rPr>
              <w:t>0.5L</w:t>
            </w:r>
          </w:p>
        </w:tc>
        <w:tc>
          <w:tcPr>
            <w:tcW w:w="570" w:type="dxa"/>
            <w:vAlign w:val="top"/>
          </w:tcPr>
          <w:p w14:paraId="6808DD6B">
            <w:pPr>
              <w:pStyle w:val="6"/>
              <w:spacing w:before="138" w:line="232" w:lineRule="auto"/>
              <w:ind w:left="262"/>
            </w:pPr>
            <w:r>
              <w:t>/</w:t>
            </w:r>
          </w:p>
        </w:tc>
        <w:tc>
          <w:tcPr>
            <w:tcW w:w="559" w:type="dxa"/>
            <w:gridSpan w:val="2"/>
            <w:tcBorders>
              <w:right w:val="single" w:color="000000" w:sz="12" w:space="0"/>
            </w:tcBorders>
            <w:vAlign w:val="top"/>
          </w:tcPr>
          <w:p w14:paraId="46F9D5DF">
            <w:pPr>
              <w:pStyle w:val="6"/>
              <w:spacing w:before="138" w:line="232" w:lineRule="auto"/>
              <w:ind w:left="179"/>
            </w:pPr>
            <w:r>
              <w:rPr>
                <w:spacing w:val="-2"/>
              </w:rPr>
              <w:t>70</w:t>
            </w:r>
          </w:p>
        </w:tc>
      </w:tr>
      <w:tr w14:paraId="37D15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786FEE41">
            <w:pPr>
              <w:rPr>
                <w:rFonts w:ascii="Arial"/>
                <w:sz w:val="21"/>
              </w:rPr>
            </w:pPr>
          </w:p>
        </w:tc>
        <w:tc>
          <w:tcPr>
            <w:tcW w:w="265" w:type="dxa"/>
            <w:vMerge w:val="continue"/>
            <w:tcBorders>
              <w:top w:val="nil"/>
            </w:tcBorders>
            <w:vAlign w:val="top"/>
          </w:tcPr>
          <w:p w14:paraId="386072AA">
            <w:pPr>
              <w:rPr>
                <w:rFonts w:ascii="Arial"/>
                <w:sz w:val="21"/>
              </w:rPr>
            </w:pPr>
          </w:p>
        </w:tc>
        <w:tc>
          <w:tcPr>
            <w:tcW w:w="1014" w:type="dxa"/>
            <w:vAlign w:val="top"/>
          </w:tcPr>
          <w:p w14:paraId="6C6FC8A7">
            <w:pPr>
              <w:pStyle w:val="6"/>
              <w:spacing w:before="138" w:line="232" w:lineRule="auto"/>
              <w:ind w:left="65"/>
            </w:pPr>
            <w:r>
              <w:rPr>
                <w:spacing w:val="-1"/>
              </w:rPr>
              <w:t>2020/5/20</w:t>
            </w:r>
          </w:p>
        </w:tc>
        <w:tc>
          <w:tcPr>
            <w:tcW w:w="737" w:type="dxa"/>
            <w:vAlign w:val="top"/>
          </w:tcPr>
          <w:p w14:paraId="304D3482">
            <w:pPr>
              <w:pStyle w:val="6"/>
              <w:spacing w:before="145" w:line="183" w:lineRule="auto"/>
              <w:ind w:left="243"/>
            </w:pPr>
            <w:r>
              <w:rPr>
                <w:spacing w:val="-3"/>
              </w:rPr>
              <w:t>5L</w:t>
            </w:r>
          </w:p>
        </w:tc>
        <w:tc>
          <w:tcPr>
            <w:tcW w:w="708" w:type="dxa"/>
            <w:vAlign w:val="top"/>
          </w:tcPr>
          <w:p w14:paraId="11AC95C5">
            <w:pPr>
              <w:pStyle w:val="6"/>
              <w:spacing w:before="138" w:line="232" w:lineRule="auto"/>
              <w:ind w:left="148"/>
            </w:pPr>
            <w:r>
              <w:rPr>
                <w:spacing w:val="-2"/>
              </w:rPr>
              <w:t>0.5L</w:t>
            </w:r>
          </w:p>
        </w:tc>
        <w:tc>
          <w:tcPr>
            <w:tcW w:w="851" w:type="dxa"/>
            <w:vAlign w:val="top"/>
          </w:tcPr>
          <w:p w14:paraId="09FE7692">
            <w:pPr>
              <w:pStyle w:val="6"/>
              <w:spacing w:before="138" w:line="232" w:lineRule="auto"/>
              <w:ind w:left="233"/>
            </w:pPr>
            <w:r>
              <w:rPr>
                <w:spacing w:val="-2"/>
              </w:rPr>
              <w:t>7.28</w:t>
            </w:r>
          </w:p>
        </w:tc>
        <w:tc>
          <w:tcPr>
            <w:tcW w:w="708" w:type="dxa"/>
            <w:vAlign w:val="top"/>
          </w:tcPr>
          <w:p w14:paraId="44432425">
            <w:pPr>
              <w:pStyle w:val="6"/>
              <w:spacing w:before="138" w:line="232" w:lineRule="auto"/>
              <w:ind w:left="44"/>
            </w:pPr>
            <w:r>
              <w:rPr>
                <w:spacing w:val="-2"/>
              </w:rPr>
              <w:t>0.040L</w:t>
            </w:r>
          </w:p>
        </w:tc>
        <w:tc>
          <w:tcPr>
            <w:tcW w:w="842" w:type="dxa"/>
            <w:vAlign w:val="top"/>
          </w:tcPr>
          <w:p w14:paraId="52853B02">
            <w:pPr>
              <w:pStyle w:val="6"/>
              <w:spacing w:before="138" w:line="232" w:lineRule="auto"/>
              <w:ind w:left="61"/>
            </w:pPr>
            <w:r>
              <w:rPr>
                <w:spacing w:val="-1"/>
              </w:rPr>
              <w:t>0.0045L</w:t>
            </w:r>
          </w:p>
        </w:tc>
        <w:tc>
          <w:tcPr>
            <w:tcW w:w="851" w:type="dxa"/>
            <w:vAlign w:val="top"/>
          </w:tcPr>
          <w:p w14:paraId="0AC4F02F">
            <w:pPr>
              <w:pStyle w:val="6"/>
              <w:spacing w:before="138" w:line="232" w:lineRule="auto"/>
              <w:ind w:left="131"/>
            </w:pPr>
            <w:r>
              <w:rPr>
                <w:spacing w:val="-2"/>
              </w:rPr>
              <w:t>0.0007</w:t>
            </w:r>
          </w:p>
        </w:tc>
        <w:tc>
          <w:tcPr>
            <w:tcW w:w="708" w:type="dxa"/>
            <w:vAlign w:val="top"/>
          </w:tcPr>
          <w:p w14:paraId="740D6EB2">
            <w:pPr>
              <w:pStyle w:val="6"/>
              <w:spacing w:before="138" w:line="232" w:lineRule="auto"/>
              <w:ind w:left="48"/>
            </w:pPr>
            <w:r>
              <w:rPr>
                <w:spacing w:val="-2"/>
              </w:rPr>
              <w:t>0.009L</w:t>
            </w:r>
          </w:p>
        </w:tc>
        <w:tc>
          <w:tcPr>
            <w:tcW w:w="847" w:type="dxa"/>
            <w:vAlign w:val="top"/>
          </w:tcPr>
          <w:p w14:paraId="3EBBFE28">
            <w:pPr>
              <w:pStyle w:val="6"/>
              <w:spacing w:before="138" w:line="232" w:lineRule="auto"/>
              <w:ind w:left="184"/>
            </w:pPr>
            <w:r>
              <w:rPr>
                <w:spacing w:val="-2"/>
              </w:rPr>
              <w:t>0.010</w:t>
            </w:r>
          </w:p>
        </w:tc>
        <w:tc>
          <w:tcPr>
            <w:tcW w:w="565" w:type="dxa"/>
            <w:vAlign w:val="top"/>
          </w:tcPr>
          <w:p w14:paraId="0C4E351E">
            <w:pPr>
              <w:pStyle w:val="6"/>
              <w:spacing w:before="138" w:line="232" w:lineRule="auto"/>
              <w:ind w:left="94"/>
            </w:pPr>
            <w:r>
              <w:rPr>
                <w:spacing w:val="-1"/>
              </w:rPr>
              <w:t>21.1</w:t>
            </w:r>
          </w:p>
        </w:tc>
        <w:tc>
          <w:tcPr>
            <w:tcW w:w="567" w:type="dxa"/>
            <w:vAlign w:val="top"/>
          </w:tcPr>
          <w:p w14:paraId="74CF9352">
            <w:pPr>
              <w:pStyle w:val="6"/>
              <w:spacing w:before="138" w:line="232" w:lineRule="auto"/>
              <w:ind w:left="89"/>
            </w:pPr>
            <w:r>
              <w:rPr>
                <w:spacing w:val="-3"/>
              </w:rPr>
              <w:t>5.0L</w:t>
            </w:r>
          </w:p>
        </w:tc>
        <w:tc>
          <w:tcPr>
            <w:tcW w:w="851" w:type="dxa"/>
            <w:vAlign w:val="top"/>
          </w:tcPr>
          <w:p w14:paraId="73ECBB86">
            <w:pPr>
              <w:pStyle w:val="6"/>
              <w:spacing w:before="139" w:line="232" w:lineRule="auto"/>
              <w:ind w:left="266"/>
            </w:pPr>
            <w:r>
              <w:rPr>
                <w:spacing w:val="-1"/>
              </w:rPr>
              <w:t>228</w:t>
            </w:r>
          </w:p>
        </w:tc>
        <w:tc>
          <w:tcPr>
            <w:tcW w:w="566" w:type="dxa"/>
            <w:vAlign w:val="top"/>
          </w:tcPr>
          <w:p w14:paraId="16796702">
            <w:pPr>
              <w:pStyle w:val="6"/>
              <w:spacing w:before="138" w:line="232" w:lineRule="auto"/>
              <w:ind w:left="144"/>
            </w:pPr>
            <w:r>
              <w:rPr>
                <w:spacing w:val="-6"/>
              </w:rPr>
              <w:t>176</w:t>
            </w:r>
          </w:p>
        </w:tc>
        <w:tc>
          <w:tcPr>
            <w:tcW w:w="567" w:type="dxa"/>
            <w:vAlign w:val="top"/>
          </w:tcPr>
          <w:p w14:paraId="27C13D6D">
            <w:pPr>
              <w:pStyle w:val="6"/>
              <w:spacing w:before="138" w:line="232" w:lineRule="auto"/>
              <w:ind w:left="118"/>
            </w:pPr>
            <w:r>
              <w:rPr>
                <w:spacing w:val="-6"/>
              </w:rPr>
              <w:t>1.04</w:t>
            </w:r>
          </w:p>
        </w:tc>
        <w:tc>
          <w:tcPr>
            <w:tcW w:w="851" w:type="dxa"/>
            <w:vAlign w:val="top"/>
          </w:tcPr>
          <w:p w14:paraId="1E2A82A9">
            <w:pPr>
              <w:pStyle w:val="6"/>
              <w:spacing w:before="138" w:line="232" w:lineRule="auto"/>
              <w:ind w:left="127"/>
            </w:pPr>
            <w:r>
              <w:rPr>
                <w:spacing w:val="-2"/>
              </w:rPr>
              <w:t>0.002L</w:t>
            </w:r>
          </w:p>
        </w:tc>
        <w:tc>
          <w:tcPr>
            <w:tcW w:w="707" w:type="dxa"/>
            <w:vAlign w:val="top"/>
          </w:tcPr>
          <w:p w14:paraId="336E8C20">
            <w:pPr>
              <w:pStyle w:val="6"/>
              <w:spacing w:before="138" w:line="232" w:lineRule="auto"/>
              <w:ind w:left="56"/>
            </w:pPr>
            <w:r>
              <w:rPr>
                <w:spacing w:val="-2"/>
              </w:rPr>
              <w:t>0.050L</w:t>
            </w:r>
          </w:p>
        </w:tc>
        <w:tc>
          <w:tcPr>
            <w:tcW w:w="708" w:type="dxa"/>
            <w:vAlign w:val="top"/>
          </w:tcPr>
          <w:p w14:paraId="03F3EF07">
            <w:pPr>
              <w:pStyle w:val="6"/>
              <w:spacing w:before="138" w:line="232" w:lineRule="auto"/>
              <w:ind w:left="58"/>
            </w:pPr>
            <w:r>
              <w:rPr>
                <w:spacing w:val="-2"/>
              </w:rPr>
              <w:t>0.001L</w:t>
            </w:r>
          </w:p>
        </w:tc>
        <w:tc>
          <w:tcPr>
            <w:tcW w:w="851" w:type="dxa"/>
            <w:vAlign w:val="top"/>
          </w:tcPr>
          <w:p w14:paraId="3AD1D96E">
            <w:pPr>
              <w:pStyle w:val="6"/>
              <w:spacing w:before="138" w:line="232" w:lineRule="auto"/>
              <w:ind w:left="80"/>
            </w:pPr>
            <w:r>
              <w:rPr>
                <w:spacing w:val="-1"/>
              </w:rPr>
              <w:t>0.0005L</w:t>
            </w:r>
          </w:p>
        </w:tc>
        <w:tc>
          <w:tcPr>
            <w:tcW w:w="708" w:type="dxa"/>
            <w:vAlign w:val="top"/>
          </w:tcPr>
          <w:p w14:paraId="14083331">
            <w:pPr>
              <w:pStyle w:val="6"/>
              <w:spacing w:before="138" w:line="232" w:lineRule="auto"/>
              <w:ind w:left="60"/>
            </w:pPr>
            <w:r>
              <w:rPr>
                <w:spacing w:val="-2"/>
              </w:rPr>
              <w:t>0.004L</w:t>
            </w:r>
          </w:p>
        </w:tc>
        <w:tc>
          <w:tcPr>
            <w:tcW w:w="851" w:type="dxa"/>
            <w:vAlign w:val="top"/>
          </w:tcPr>
          <w:p w14:paraId="768887F3">
            <w:pPr>
              <w:pStyle w:val="6"/>
              <w:spacing w:before="138" w:line="232" w:lineRule="auto"/>
              <w:ind w:left="81"/>
            </w:pPr>
            <w:r>
              <w:rPr>
                <w:spacing w:val="-2"/>
              </w:rPr>
              <w:t>0.0025L</w:t>
            </w:r>
          </w:p>
        </w:tc>
        <w:tc>
          <w:tcPr>
            <w:tcW w:w="851" w:type="dxa"/>
            <w:vAlign w:val="top"/>
          </w:tcPr>
          <w:p w14:paraId="2C6390B9">
            <w:pPr>
              <w:pStyle w:val="6"/>
              <w:spacing w:before="138" w:line="232" w:lineRule="auto"/>
              <w:ind w:left="145"/>
            </w:pPr>
            <w:r>
              <w:rPr>
                <w:spacing w:val="-2"/>
              </w:rPr>
              <w:t>0.0001</w:t>
            </w:r>
          </w:p>
        </w:tc>
        <w:tc>
          <w:tcPr>
            <w:tcW w:w="847" w:type="dxa"/>
            <w:vAlign w:val="top"/>
          </w:tcPr>
          <w:p w14:paraId="781E8BAA">
            <w:pPr>
              <w:pStyle w:val="6"/>
              <w:spacing w:before="138" w:line="232" w:lineRule="auto"/>
              <w:ind w:left="80"/>
            </w:pPr>
            <w:r>
              <w:rPr>
                <w:spacing w:val="-1"/>
              </w:rPr>
              <w:t>0.0004L</w:t>
            </w:r>
          </w:p>
        </w:tc>
        <w:tc>
          <w:tcPr>
            <w:tcW w:w="708" w:type="dxa"/>
            <w:vAlign w:val="top"/>
          </w:tcPr>
          <w:p w14:paraId="441B6B16">
            <w:pPr>
              <w:pStyle w:val="6"/>
              <w:spacing w:before="138" w:line="232" w:lineRule="auto"/>
              <w:ind w:left="64"/>
            </w:pPr>
            <w:r>
              <w:rPr>
                <w:spacing w:val="-2"/>
              </w:rPr>
              <w:t>0.002L</w:t>
            </w:r>
          </w:p>
        </w:tc>
        <w:tc>
          <w:tcPr>
            <w:tcW w:w="566" w:type="dxa"/>
            <w:vAlign w:val="top"/>
          </w:tcPr>
          <w:p w14:paraId="4DB0FA06">
            <w:pPr>
              <w:pStyle w:val="6"/>
              <w:spacing w:before="138" w:line="232" w:lineRule="auto"/>
              <w:ind w:left="100"/>
            </w:pPr>
            <w:r>
              <w:rPr>
                <w:spacing w:val="-2"/>
              </w:rPr>
              <w:t>0.2L</w:t>
            </w:r>
          </w:p>
        </w:tc>
        <w:tc>
          <w:tcPr>
            <w:tcW w:w="428" w:type="dxa"/>
            <w:vAlign w:val="top"/>
          </w:tcPr>
          <w:p w14:paraId="1DABCF64">
            <w:pPr>
              <w:pStyle w:val="6"/>
              <w:spacing w:before="138" w:line="232" w:lineRule="auto"/>
              <w:ind w:right="2"/>
              <w:jc w:val="right"/>
            </w:pPr>
            <w:r>
              <w:rPr>
                <w:spacing w:val="-2"/>
              </w:rPr>
              <w:t>0.5L</w:t>
            </w:r>
          </w:p>
        </w:tc>
        <w:tc>
          <w:tcPr>
            <w:tcW w:w="570" w:type="dxa"/>
            <w:vAlign w:val="top"/>
          </w:tcPr>
          <w:p w14:paraId="50ED8C92">
            <w:pPr>
              <w:pStyle w:val="6"/>
              <w:spacing w:before="143" w:line="229" w:lineRule="auto"/>
              <w:ind w:left="138"/>
            </w:pPr>
            <w:r>
              <w:rPr>
                <w:b/>
                <w:bCs/>
                <w:spacing w:val="-2"/>
              </w:rPr>
              <w:t>240</w:t>
            </w:r>
          </w:p>
        </w:tc>
        <w:tc>
          <w:tcPr>
            <w:tcW w:w="559" w:type="dxa"/>
            <w:gridSpan w:val="2"/>
            <w:tcBorders>
              <w:right w:val="single" w:color="000000" w:sz="12" w:space="0"/>
            </w:tcBorders>
            <w:vAlign w:val="top"/>
          </w:tcPr>
          <w:p w14:paraId="572851A1">
            <w:pPr>
              <w:pStyle w:val="6"/>
              <w:spacing w:before="139" w:line="232" w:lineRule="auto"/>
              <w:ind w:left="181"/>
            </w:pPr>
            <w:r>
              <w:rPr>
                <w:spacing w:val="-3"/>
              </w:rPr>
              <w:t>65</w:t>
            </w:r>
          </w:p>
        </w:tc>
      </w:tr>
      <w:tr w14:paraId="01FC3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1DF86F57">
            <w:pPr>
              <w:rPr>
                <w:rFonts w:ascii="Arial"/>
                <w:sz w:val="21"/>
              </w:rPr>
            </w:pPr>
          </w:p>
        </w:tc>
        <w:tc>
          <w:tcPr>
            <w:tcW w:w="265" w:type="dxa"/>
            <w:vMerge w:val="restart"/>
            <w:tcBorders>
              <w:bottom w:val="nil"/>
            </w:tcBorders>
            <w:vAlign w:val="top"/>
          </w:tcPr>
          <w:p w14:paraId="2E94F6C5">
            <w:pPr>
              <w:pStyle w:val="6"/>
              <w:spacing w:before="282" w:line="233" w:lineRule="auto"/>
              <w:ind w:left="14" w:right="38" w:firstLine="49"/>
              <w:jc w:val="both"/>
              <w:rPr>
                <w:rFonts w:ascii="等线" w:hAnsi="等线" w:eastAsia="等线" w:cs="等线"/>
              </w:rPr>
            </w:pPr>
            <w:r>
              <w:rPr>
                <w:spacing w:val="-5"/>
              </w:rPr>
              <w:t>2</w:t>
            </w:r>
            <w:r>
              <w:rPr>
                <w:rFonts w:ascii="等线" w:hAnsi="等线" w:eastAsia="等线" w:cs="等线"/>
                <w:spacing w:val="-8"/>
              </w:rPr>
              <w:t>季度</w:t>
            </w:r>
          </w:p>
        </w:tc>
        <w:tc>
          <w:tcPr>
            <w:tcW w:w="1014" w:type="dxa"/>
            <w:vAlign w:val="top"/>
          </w:tcPr>
          <w:p w14:paraId="657C47C6">
            <w:pPr>
              <w:pStyle w:val="6"/>
              <w:spacing w:before="139" w:line="232" w:lineRule="auto"/>
              <w:ind w:left="65"/>
            </w:pPr>
            <w:r>
              <w:rPr>
                <w:spacing w:val="-1"/>
              </w:rPr>
              <w:t>2020/5/21</w:t>
            </w:r>
          </w:p>
        </w:tc>
        <w:tc>
          <w:tcPr>
            <w:tcW w:w="737" w:type="dxa"/>
            <w:vAlign w:val="top"/>
          </w:tcPr>
          <w:p w14:paraId="72808B70">
            <w:pPr>
              <w:pStyle w:val="6"/>
              <w:spacing w:before="146" w:line="183" w:lineRule="auto"/>
              <w:ind w:left="243"/>
            </w:pPr>
            <w:r>
              <w:rPr>
                <w:spacing w:val="-3"/>
              </w:rPr>
              <w:t>5L</w:t>
            </w:r>
          </w:p>
        </w:tc>
        <w:tc>
          <w:tcPr>
            <w:tcW w:w="708" w:type="dxa"/>
            <w:vAlign w:val="top"/>
          </w:tcPr>
          <w:p w14:paraId="5C72A76F">
            <w:pPr>
              <w:pStyle w:val="6"/>
              <w:spacing w:before="139" w:line="232" w:lineRule="auto"/>
              <w:ind w:left="148"/>
            </w:pPr>
            <w:r>
              <w:rPr>
                <w:spacing w:val="-2"/>
              </w:rPr>
              <w:t>0.5L</w:t>
            </w:r>
          </w:p>
        </w:tc>
        <w:tc>
          <w:tcPr>
            <w:tcW w:w="851" w:type="dxa"/>
            <w:vAlign w:val="top"/>
          </w:tcPr>
          <w:p w14:paraId="20332C18">
            <w:pPr>
              <w:pStyle w:val="6"/>
              <w:spacing w:before="139" w:line="232" w:lineRule="auto"/>
              <w:ind w:left="233"/>
            </w:pPr>
            <w:r>
              <w:rPr>
                <w:spacing w:val="-2"/>
              </w:rPr>
              <w:t>7.32</w:t>
            </w:r>
          </w:p>
        </w:tc>
        <w:tc>
          <w:tcPr>
            <w:tcW w:w="708" w:type="dxa"/>
            <w:vAlign w:val="top"/>
          </w:tcPr>
          <w:p w14:paraId="79A5D449">
            <w:pPr>
              <w:pStyle w:val="6"/>
              <w:spacing w:before="139" w:line="232" w:lineRule="auto"/>
              <w:ind w:left="44"/>
            </w:pPr>
            <w:r>
              <w:rPr>
                <w:spacing w:val="-2"/>
              </w:rPr>
              <w:t>0.040L</w:t>
            </w:r>
          </w:p>
        </w:tc>
        <w:tc>
          <w:tcPr>
            <w:tcW w:w="842" w:type="dxa"/>
            <w:vAlign w:val="top"/>
          </w:tcPr>
          <w:p w14:paraId="40640A6D">
            <w:pPr>
              <w:pStyle w:val="6"/>
              <w:spacing w:before="139" w:line="232" w:lineRule="auto"/>
              <w:ind w:left="61"/>
            </w:pPr>
            <w:r>
              <w:rPr>
                <w:spacing w:val="-1"/>
              </w:rPr>
              <w:t>0.0045L</w:t>
            </w:r>
          </w:p>
        </w:tc>
        <w:tc>
          <w:tcPr>
            <w:tcW w:w="851" w:type="dxa"/>
            <w:vAlign w:val="top"/>
          </w:tcPr>
          <w:p w14:paraId="55D793F1">
            <w:pPr>
              <w:pStyle w:val="6"/>
              <w:spacing w:before="139" w:line="232" w:lineRule="auto"/>
              <w:ind w:left="131"/>
            </w:pPr>
            <w:r>
              <w:rPr>
                <w:spacing w:val="-2"/>
              </w:rPr>
              <w:t>0.0009</w:t>
            </w:r>
          </w:p>
        </w:tc>
        <w:tc>
          <w:tcPr>
            <w:tcW w:w="708" w:type="dxa"/>
            <w:vAlign w:val="top"/>
          </w:tcPr>
          <w:p w14:paraId="4EB5D416">
            <w:pPr>
              <w:pStyle w:val="6"/>
              <w:spacing w:before="139" w:line="232" w:lineRule="auto"/>
              <w:ind w:left="48"/>
            </w:pPr>
            <w:r>
              <w:rPr>
                <w:spacing w:val="-2"/>
              </w:rPr>
              <w:t>0.009L</w:t>
            </w:r>
          </w:p>
        </w:tc>
        <w:tc>
          <w:tcPr>
            <w:tcW w:w="847" w:type="dxa"/>
            <w:vAlign w:val="top"/>
          </w:tcPr>
          <w:p w14:paraId="4E9C3077">
            <w:pPr>
              <w:pStyle w:val="6"/>
              <w:spacing w:before="139" w:line="232" w:lineRule="auto"/>
              <w:ind w:left="184"/>
            </w:pPr>
            <w:r>
              <w:rPr>
                <w:spacing w:val="-2"/>
              </w:rPr>
              <w:t>0.010</w:t>
            </w:r>
          </w:p>
        </w:tc>
        <w:tc>
          <w:tcPr>
            <w:tcW w:w="565" w:type="dxa"/>
            <w:vAlign w:val="top"/>
          </w:tcPr>
          <w:p w14:paraId="72D4C77E">
            <w:pPr>
              <w:pStyle w:val="6"/>
              <w:spacing w:before="139" w:line="232" w:lineRule="auto"/>
              <w:ind w:left="94"/>
            </w:pPr>
            <w:r>
              <w:rPr>
                <w:spacing w:val="-1"/>
              </w:rPr>
              <w:t>21.3</w:t>
            </w:r>
          </w:p>
        </w:tc>
        <w:tc>
          <w:tcPr>
            <w:tcW w:w="567" w:type="dxa"/>
            <w:vAlign w:val="top"/>
          </w:tcPr>
          <w:p w14:paraId="52486008">
            <w:pPr>
              <w:pStyle w:val="6"/>
              <w:spacing w:before="139" w:line="232" w:lineRule="auto"/>
              <w:ind w:left="89"/>
            </w:pPr>
            <w:r>
              <w:rPr>
                <w:spacing w:val="-3"/>
              </w:rPr>
              <w:t>5.0L</w:t>
            </w:r>
          </w:p>
        </w:tc>
        <w:tc>
          <w:tcPr>
            <w:tcW w:w="851" w:type="dxa"/>
            <w:vAlign w:val="top"/>
          </w:tcPr>
          <w:p w14:paraId="347FFD33">
            <w:pPr>
              <w:pStyle w:val="6"/>
              <w:spacing w:before="139" w:line="232" w:lineRule="auto"/>
              <w:ind w:left="266"/>
            </w:pPr>
            <w:r>
              <w:rPr>
                <w:spacing w:val="-1"/>
              </w:rPr>
              <w:t>219</w:t>
            </w:r>
          </w:p>
        </w:tc>
        <w:tc>
          <w:tcPr>
            <w:tcW w:w="566" w:type="dxa"/>
            <w:vAlign w:val="top"/>
          </w:tcPr>
          <w:p w14:paraId="5E35BD85">
            <w:pPr>
              <w:pStyle w:val="6"/>
              <w:spacing w:before="140" w:line="232" w:lineRule="auto"/>
              <w:ind w:left="144"/>
            </w:pPr>
            <w:r>
              <w:rPr>
                <w:spacing w:val="-6"/>
              </w:rPr>
              <w:t>163</w:t>
            </w:r>
          </w:p>
        </w:tc>
        <w:tc>
          <w:tcPr>
            <w:tcW w:w="567" w:type="dxa"/>
            <w:vAlign w:val="top"/>
          </w:tcPr>
          <w:p w14:paraId="6AD4498B">
            <w:pPr>
              <w:pStyle w:val="6"/>
              <w:spacing w:before="139" w:line="232" w:lineRule="auto"/>
              <w:ind w:left="118"/>
            </w:pPr>
            <w:r>
              <w:rPr>
                <w:spacing w:val="-6"/>
              </w:rPr>
              <w:t>1.10</w:t>
            </w:r>
          </w:p>
        </w:tc>
        <w:tc>
          <w:tcPr>
            <w:tcW w:w="851" w:type="dxa"/>
            <w:vAlign w:val="top"/>
          </w:tcPr>
          <w:p w14:paraId="68B4D1D3">
            <w:pPr>
              <w:pStyle w:val="6"/>
              <w:spacing w:before="139" w:line="232" w:lineRule="auto"/>
              <w:ind w:left="127"/>
            </w:pPr>
            <w:r>
              <w:rPr>
                <w:spacing w:val="-2"/>
              </w:rPr>
              <w:t>0.002L</w:t>
            </w:r>
          </w:p>
        </w:tc>
        <w:tc>
          <w:tcPr>
            <w:tcW w:w="707" w:type="dxa"/>
            <w:vAlign w:val="top"/>
          </w:tcPr>
          <w:p w14:paraId="4AC1D595">
            <w:pPr>
              <w:pStyle w:val="6"/>
              <w:spacing w:before="139" w:line="232" w:lineRule="auto"/>
              <w:ind w:left="56"/>
            </w:pPr>
            <w:r>
              <w:rPr>
                <w:spacing w:val="-2"/>
              </w:rPr>
              <w:t>0.050L</w:t>
            </w:r>
          </w:p>
        </w:tc>
        <w:tc>
          <w:tcPr>
            <w:tcW w:w="708" w:type="dxa"/>
            <w:vAlign w:val="top"/>
          </w:tcPr>
          <w:p w14:paraId="5B2F0744">
            <w:pPr>
              <w:pStyle w:val="6"/>
              <w:spacing w:before="139" w:line="232" w:lineRule="auto"/>
              <w:ind w:left="58"/>
            </w:pPr>
            <w:r>
              <w:rPr>
                <w:spacing w:val="-2"/>
              </w:rPr>
              <w:t>0.001L</w:t>
            </w:r>
          </w:p>
        </w:tc>
        <w:tc>
          <w:tcPr>
            <w:tcW w:w="851" w:type="dxa"/>
            <w:vAlign w:val="top"/>
          </w:tcPr>
          <w:p w14:paraId="3B506FC0">
            <w:pPr>
              <w:pStyle w:val="6"/>
              <w:spacing w:before="139" w:line="232" w:lineRule="auto"/>
              <w:ind w:left="80"/>
            </w:pPr>
            <w:r>
              <w:rPr>
                <w:spacing w:val="-1"/>
              </w:rPr>
              <w:t>0.0005L</w:t>
            </w:r>
          </w:p>
        </w:tc>
        <w:tc>
          <w:tcPr>
            <w:tcW w:w="708" w:type="dxa"/>
            <w:vAlign w:val="top"/>
          </w:tcPr>
          <w:p w14:paraId="71779B2F">
            <w:pPr>
              <w:pStyle w:val="6"/>
              <w:spacing w:before="139" w:line="232" w:lineRule="auto"/>
              <w:ind w:left="60"/>
            </w:pPr>
            <w:r>
              <w:rPr>
                <w:spacing w:val="-2"/>
              </w:rPr>
              <w:t>0.004L</w:t>
            </w:r>
          </w:p>
        </w:tc>
        <w:tc>
          <w:tcPr>
            <w:tcW w:w="851" w:type="dxa"/>
            <w:vAlign w:val="top"/>
          </w:tcPr>
          <w:p w14:paraId="49F5759E">
            <w:pPr>
              <w:pStyle w:val="6"/>
              <w:spacing w:before="139" w:line="232" w:lineRule="auto"/>
              <w:ind w:left="81"/>
            </w:pPr>
            <w:r>
              <w:rPr>
                <w:spacing w:val="-1"/>
              </w:rPr>
              <w:t>0.0025L</w:t>
            </w:r>
          </w:p>
        </w:tc>
        <w:tc>
          <w:tcPr>
            <w:tcW w:w="851" w:type="dxa"/>
            <w:vAlign w:val="top"/>
          </w:tcPr>
          <w:p w14:paraId="5F3EE8EC">
            <w:pPr>
              <w:pStyle w:val="6"/>
              <w:spacing w:before="139" w:line="232" w:lineRule="auto"/>
              <w:ind w:left="145"/>
            </w:pPr>
            <w:r>
              <w:rPr>
                <w:spacing w:val="-2"/>
              </w:rPr>
              <w:t>0.0001</w:t>
            </w:r>
          </w:p>
        </w:tc>
        <w:tc>
          <w:tcPr>
            <w:tcW w:w="847" w:type="dxa"/>
            <w:vAlign w:val="top"/>
          </w:tcPr>
          <w:p w14:paraId="1E836483">
            <w:pPr>
              <w:pStyle w:val="6"/>
              <w:spacing w:before="139" w:line="232" w:lineRule="auto"/>
              <w:ind w:left="80"/>
            </w:pPr>
            <w:r>
              <w:rPr>
                <w:spacing w:val="-1"/>
              </w:rPr>
              <w:t>0.0004L</w:t>
            </w:r>
          </w:p>
        </w:tc>
        <w:tc>
          <w:tcPr>
            <w:tcW w:w="708" w:type="dxa"/>
            <w:vAlign w:val="top"/>
          </w:tcPr>
          <w:p w14:paraId="4F23EECB">
            <w:pPr>
              <w:pStyle w:val="6"/>
              <w:spacing w:before="139" w:line="232" w:lineRule="auto"/>
              <w:ind w:left="64"/>
            </w:pPr>
            <w:r>
              <w:rPr>
                <w:spacing w:val="-2"/>
              </w:rPr>
              <w:t>0.002L</w:t>
            </w:r>
          </w:p>
        </w:tc>
        <w:tc>
          <w:tcPr>
            <w:tcW w:w="566" w:type="dxa"/>
            <w:vAlign w:val="top"/>
          </w:tcPr>
          <w:p w14:paraId="21337C64">
            <w:pPr>
              <w:pStyle w:val="6"/>
              <w:spacing w:before="139" w:line="232" w:lineRule="auto"/>
              <w:ind w:left="100"/>
            </w:pPr>
            <w:r>
              <w:rPr>
                <w:spacing w:val="-2"/>
              </w:rPr>
              <w:t>0.2L</w:t>
            </w:r>
          </w:p>
        </w:tc>
        <w:tc>
          <w:tcPr>
            <w:tcW w:w="428" w:type="dxa"/>
            <w:vAlign w:val="top"/>
          </w:tcPr>
          <w:p w14:paraId="600EE4B2">
            <w:pPr>
              <w:pStyle w:val="6"/>
              <w:spacing w:before="139" w:line="232" w:lineRule="auto"/>
              <w:ind w:right="2"/>
              <w:jc w:val="right"/>
            </w:pPr>
            <w:r>
              <w:rPr>
                <w:spacing w:val="-2"/>
              </w:rPr>
              <w:t>0.5L</w:t>
            </w:r>
          </w:p>
        </w:tc>
        <w:tc>
          <w:tcPr>
            <w:tcW w:w="570" w:type="dxa"/>
            <w:vAlign w:val="top"/>
          </w:tcPr>
          <w:p w14:paraId="70732829">
            <w:pPr>
              <w:pStyle w:val="6"/>
              <w:spacing w:before="144" w:line="229" w:lineRule="auto"/>
              <w:ind w:left="138"/>
            </w:pPr>
            <w:r>
              <w:rPr>
                <w:b/>
                <w:bCs/>
                <w:spacing w:val="-2"/>
              </w:rPr>
              <w:t>250</w:t>
            </w:r>
          </w:p>
        </w:tc>
        <w:tc>
          <w:tcPr>
            <w:tcW w:w="559" w:type="dxa"/>
            <w:gridSpan w:val="2"/>
            <w:tcBorders>
              <w:right w:val="single" w:color="000000" w:sz="12" w:space="0"/>
            </w:tcBorders>
            <w:vAlign w:val="top"/>
          </w:tcPr>
          <w:p w14:paraId="42C8B445">
            <w:pPr>
              <w:pStyle w:val="6"/>
              <w:spacing w:before="140" w:line="232" w:lineRule="auto"/>
              <w:ind w:left="181"/>
            </w:pPr>
            <w:r>
              <w:rPr>
                <w:spacing w:val="-3"/>
              </w:rPr>
              <w:t>60</w:t>
            </w:r>
          </w:p>
        </w:tc>
      </w:tr>
      <w:tr w14:paraId="74C61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680BD8E5">
            <w:pPr>
              <w:rPr>
                <w:rFonts w:ascii="Arial"/>
                <w:sz w:val="21"/>
              </w:rPr>
            </w:pPr>
          </w:p>
        </w:tc>
        <w:tc>
          <w:tcPr>
            <w:tcW w:w="265" w:type="dxa"/>
            <w:vMerge w:val="continue"/>
            <w:tcBorders>
              <w:top w:val="nil"/>
              <w:bottom w:val="nil"/>
            </w:tcBorders>
            <w:vAlign w:val="top"/>
          </w:tcPr>
          <w:p w14:paraId="00FA69D7">
            <w:pPr>
              <w:rPr>
                <w:rFonts w:ascii="Arial"/>
                <w:sz w:val="21"/>
              </w:rPr>
            </w:pPr>
          </w:p>
        </w:tc>
        <w:tc>
          <w:tcPr>
            <w:tcW w:w="1014" w:type="dxa"/>
            <w:vAlign w:val="top"/>
          </w:tcPr>
          <w:p w14:paraId="47554C98">
            <w:pPr>
              <w:pStyle w:val="6"/>
              <w:spacing w:before="142" w:line="232" w:lineRule="auto"/>
              <w:ind w:left="65"/>
            </w:pPr>
            <w:r>
              <w:rPr>
                <w:spacing w:val="-1"/>
              </w:rPr>
              <w:t>2020/5/22</w:t>
            </w:r>
          </w:p>
        </w:tc>
        <w:tc>
          <w:tcPr>
            <w:tcW w:w="737" w:type="dxa"/>
            <w:vAlign w:val="top"/>
          </w:tcPr>
          <w:p w14:paraId="76AC6A62">
            <w:pPr>
              <w:pStyle w:val="6"/>
              <w:spacing w:before="148" w:line="183" w:lineRule="auto"/>
              <w:ind w:left="243"/>
            </w:pPr>
            <w:r>
              <w:rPr>
                <w:spacing w:val="-3"/>
              </w:rPr>
              <w:t>5L</w:t>
            </w:r>
          </w:p>
        </w:tc>
        <w:tc>
          <w:tcPr>
            <w:tcW w:w="708" w:type="dxa"/>
            <w:vAlign w:val="top"/>
          </w:tcPr>
          <w:p w14:paraId="3153677A">
            <w:pPr>
              <w:pStyle w:val="6"/>
              <w:spacing w:before="142" w:line="232" w:lineRule="auto"/>
              <w:ind w:left="148"/>
            </w:pPr>
            <w:r>
              <w:rPr>
                <w:spacing w:val="-2"/>
              </w:rPr>
              <w:t>0.5L</w:t>
            </w:r>
          </w:p>
        </w:tc>
        <w:tc>
          <w:tcPr>
            <w:tcW w:w="851" w:type="dxa"/>
            <w:vAlign w:val="top"/>
          </w:tcPr>
          <w:p w14:paraId="287D297E">
            <w:pPr>
              <w:pStyle w:val="6"/>
              <w:spacing w:before="142" w:line="232" w:lineRule="auto"/>
              <w:ind w:left="233"/>
            </w:pPr>
            <w:r>
              <w:rPr>
                <w:spacing w:val="-2"/>
              </w:rPr>
              <w:t>7.25</w:t>
            </w:r>
          </w:p>
        </w:tc>
        <w:tc>
          <w:tcPr>
            <w:tcW w:w="708" w:type="dxa"/>
            <w:vAlign w:val="top"/>
          </w:tcPr>
          <w:p w14:paraId="30D57271">
            <w:pPr>
              <w:pStyle w:val="6"/>
              <w:spacing w:before="142" w:line="232" w:lineRule="auto"/>
              <w:ind w:left="44"/>
            </w:pPr>
            <w:r>
              <w:rPr>
                <w:spacing w:val="-2"/>
              </w:rPr>
              <w:t>0.040L</w:t>
            </w:r>
          </w:p>
        </w:tc>
        <w:tc>
          <w:tcPr>
            <w:tcW w:w="842" w:type="dxa"/>
            <w:vAlign w:val="top"/>
          </w:tcPr>
          <w:p w14:paraId="1D421441">
            <w:pPr>
              <w:pStyle w:val="6"/>
              <w:spacing w:before="142" w:line="232" w:lineRule="auto"/>
              <w:ind w:left="61"/>
            </w:pPr>
            <w:r>
              <w:rPr>
                <w:spacing w:val="-1"/>
              </w:rPr>
              <w:t>0.0045L</w:t>
            </w:r>
          </w:p>
        </w:tc>
        <w:tc>
          <w:tcPr>
            <w:tcW w:w="851" w:type="dxa"/>
            <w:vAlign w:val="top"/>
          </w:tcPr>
          <w:p w14:paraId="7ADA2784">
            <w:pPr>
              <w:pStyle w:val="6"/>
              <w:spacing w:before="142" w:line="232" w:lineRule="auto"/>
              <w:ind w:left="131"/>
            </w:pPr>
            <w:r>
              <w:rPr>
                <w:spacing w:val="-2"/>
              </w:rPr>
              <w:t>0.0006</w:t>
            </w:r>
          </w:p>
        </w:tc>
        <w:tc>
          <w:tcPr>
            <w:tcW w:w="708" w:type="dxa"/>
            <w:vAlign w:val="top"/>
          </w:tcPr>
          <w:p w14:paraId="3FCC790B">
            <w:pPr>
              <w:pStyle w:val="6"/>
              <w:spacing w:before="142" w:line="232" w:lineRule="auto"/>
              <w:ind w:left="48"/>
            </w:pPr>
            <w:r>
              <w:rPr>
                <w:spacing w:val="-2"/>
              </w:rPr>
              <w:t>0.009L</w:t>
            </w:r>
          </w:p>
        </w:tc>
        <w:tc>
          <w:tcPr>
            <w:tcW w:w="847" w:type="dxa"/>
            <w:vAlign w:val="top"/>
          </w:tcPr>
          <w:p w14:paraId="524FDAE3">
            <w:pPr>
              <w:pStyle w:val="6"/>
              <w:spacing w:before="142" w:line="232" w:lineRule="auto"/>
              <w:ind w:left="184"/>
            </w:pPr>
            <w:r>
              <w:rPr>
                <w:spacing w:val="-2"/>
              </w:rPr>
              <w:t>0.010</w:t>
            </w:r>
          </w:p>
        </w:tc>
        <w:tc>
          <w:tcPr>
            <w:tcW w:w="565" w:type="dxa"/>
            <w:vAlign w:val="top"/>
          </w:tcPr>
          <w:p w14:paraId="755E4D01">
            <w:pPr>
              <w:pStyle w:val="6"/>
              <w:spacing w:before="142" w:line="232" w:lineRule="auto"/>
              <w:ind w:left="94"/>
            </w:pPr>
            <w:r>
              <w:rPr>
                <w:spacing w:val="-1"/>
              </w:rPr>
              <w:t>21.5</w:t>
            </w:r>
          </w:p>
        </w:tc>
        <w:tc>
          <w:tcPr>
            <w:tcW w:w="567" w:type="dxa"/>
            <w:vAlign w:val="top"/>
          </w:tcPr>
          <w:p w14:paraId="74FE0F22">
            <w:pPr>
              <w:pStyle w:val="6"/>
              <w:spacing w:before="142" w:line="232" w:lineRule="auto"/>
              <w:ind w:left="89"/>
            </w:pPr>
            <w:r>
              <w:rPr>
                <w:spacing w:val="-3"/>
              </w:rPr>
              <w:t>5.0L</w:t>
            </w:r>
          </w:p>
        </w:tc>
        <w:tc>
          <w:tcPr>
            <w:tcW w:w="851" w:type="dxa"/>
            <w:vAlign w:val="top"/>
          </w:tcPr>
          <w:p w14:paraId="5C584A3B">
            <w:pPr>
              <w:pStyle w:val="6"/>
              <w:spacing w:before="142" w:line="232" w:lineRule="auto"/>
              <w:ind w:left="266"/>
            </w:pPr>
            <w:r>
              <w:rPr>
                <w:spacing w:val="-1"/>
              </w:rPr>
              <w:t>230</w:t>
            </w:r>
          </w:p>
        </w:tc>
        <w:tc>
          <w:tcPr>
            <w:tcW w:w="566" w:type="dxa"/>
            <w:vAlign w:val="top"/>
          </w:tcPr>
          <w:p w14:paraId="13C612BA">
            <w:pPr>
              <w:pStyle w:val="6"/>
              <w:spacing w:before="142" w:line="232" w:lineRule="auto"/>
              <w:ind w:left="144"/>
            </w:pPr>
            <w:r>
              <w:rPr>
                <w:spacing w:val="-6"/>
              </w:rPr>
              <w:t>182</w:t>
            </w:r>
          </w:p>
        </w:tc>
        <w:tc>
          <w:tcPr>
            <w:tcW w:w="567" w:type="dxa"/>
            <w:vAlign w:val="top"/>
          </w:tcPr>
          <w:p w14:paraId="3121ADEC">
            <w:pPr>
              <w:pStyle w:val="6"/>
              <w:spacing w:before="142" w:line="232" w:lineRule="auto"/>
              <w:ind w:left="118"/>
            </w:pPr>
            <w:r>
              <w:rPr>
                <w:spacing w:val="-6"/>
              </w:rPr>
              <w:t>1.06</w:t>
            </w:r>
          </w:p>
        </w:tc>
        <w:tc>
          <w:tcPr>
            <w:tcW w:w="851" w:type="dxa"/>
            <w:vAlign w:val="top"/>
          </w:tcPr>
          <w:p w14:paraId="34A7AD58">
            <w:pPr>
              <w:pStyle w:val="6"/>
              <w:spacing w:before="142" w:line="232" w:lineRule="auto"/>
              <w:ind w:left="127"/>
            </w:pPr>
            <w:r>
              <w:rPr>
                <w:spacing w:val="-2"/>
              </w:rPr>
              <w:t>0.002L</w:t>
            </w:r>
          </w:p>
        </w:tc>
        <w:tc>
          <w:tcPr>
            <w:tcW w:w="707" w:type="dxa"/>
            <w:vAlign w:val="top"/>
          </w:tcPr>
          <w:p w14:paraId="3C11C52B">
            <w:pPr>
              <w:pStyle w:val="6"/>
              <w:spacing w:before="142" w:line="232" w:lineRule="auto"/>
              <w:ind w:left="56"/>
            </w:pPr>
            <w:r>
              <w:rPr>
                <w:spacing w:val="-2"/>
              </w:rPr>
              <w:t>0.050L</w:t>
            </w:r>
          </w:p>
        </w:tc>
        <w:tc>
          <w:tcPr>
            <w:tcW w:w="708" w:type="dxa"/>
            <w:vAlign w:val="top"/>
          </w:tcPr>
          <w:p w14:paraId="2F3E281B">
            <w:pPr>
              <w:pStyle w:val="6"/>
              <w:spacing w:before="142" w:line="232" w:lineRule="auto"/>
              <w:ind w:left="58"/>
            </w:pPr>
            <w:r>
              <w:rPr>
                <w:spacing w:val="-2"/>
              </w:rPr>
              <w:t>0.001L</w:t>
            </w:r>
          </w:p>
        </w:tc>
        <w:tc>
          <w:tcPr>
            <w:tcW w:w="851" w:type="dxa"/>
            <w:vAlign w:val="top"/>
          </w:tcPr>
          <w:p w14:paraId="37F7BCA9">
            <w:pPr>
              <w:pStyle w:val="6"/>
              <w:spacing w:before="142" w:line="232" w:lineRule="auto"/>
              <w:ind w:left="80"/>
            </w:pPr>
            <w:r>
              <w:rPr>
                <w:spacing w:val="-1"/>
              </w:rPr>
              <w:t>0.0005L</w:t>
            </w:r>
          </w:p>
        </w:tc>
        <w:tc>
          <w:tcPr>
            <w:tcW w:w="708" w:type="dxa"/>
            <w:vAlign w:val="top"/>
          </w:tcPr>
          <w:p w14:paraId="61970759">
            <w:pPr>
              <w:pStyle w:val="6"/>
              <w:spacing w:before="142" w:line="232" w:lineRule="auto"/>
              <w:ind w:left="60"/>
            </w:pPr>
            <w:r>
              <w:rPr>
                <w:spacing w:val="-2"/>
              </w:rPr>
              <w:t>0.004L</w:t>
            </w:r>
          </w:p>
        </w:tc>
        <w:tc>
          <w:tcPr>
            <w:tcW w:w="851" w:type="dxa"/>
            <w:vAlign w:val="top"/>
          </w:tcPr>
          <w:p w14:paraId="726D7F22">
            <w:pPr>
              <w:pStyle w:val="6"/>
              <w:spacing w:before="142" w:line="232" w:lineRule="auto"/>
              <w:ind w:left="81"/>
            </w:pPr>
            <w:r>
              <w:rPr>
                <w:spacing w:val="-1"/>
              </w:rPr>
              <w:t>0.0025L</w:t>
            </w:r>
          </w:p>
        </w:tc>
        <w:tc>
          <w:tcPr>
            <w:tcW w:w="851" w:type="dxa"/>
            <w:vAlign w:val="top"/>
          </w:tcPr>
          <w:p w14:paraId="349D384E">
            <w:pPr>
              <w:pStyle w:val="6"/>
              <w:spacing w:before="142" w:line="232" w:lineRule="auto"/>
              <w:ind w:left="145"/>
            </w:pPr>
            <w:r>
              <w:rPr>
                <w:spacing w:val="-2"/>
              </w:rPr>
              <w:t>0.0001</w:t>
            </w:r>
          </w:p>
        </w:tc>
        <w:tc>
          <w:tcPr>
            <w:tcW w:w="847" w:type="dxa"/>
            <w:vAlign w:val="top"/>
          </w:tcPr>
          <w:p w14:paraId="6D31B781">
            <w:pPr>
              <w:pStyle w:val="6"/>
              <w:spacing w:before="142" w:line="232" w:lineRule="auto"/>
              <w:ind w:left="80"/>
            </w:pPr>
            <w:r>
              <w:rPr>
                <w:spacing w:val="-1"/>
              </w:rPr>
              <w:t>0.0004L</w:t>
            </w:r>
          </w:p>
        </w:tc>
        <w:tc>
          <w:tcPr>
            <w:tcW w:w="708" w:type="dxa"/>
            <w:vAlign w:val="top"/>
          </w:tcPr>
          <w:p w14:paraId="23CDA3A7">
            <w:pPr>
              <w:pStyle w:val="6"/>
              <w:spacing w:before="142" w:line="232" w:lineRule="auto"/>
              <w:ind w:left="64"/>
            </w:pPr>
            <w:r>
              <w:rPr>
                <w:spacing w:val="-2"/>
              </w:rPr>
              <w:t>0.002L</w:t>
            </w:r>
          </w:p>
        </w:tc>
        <w:tc>
          <w:tcPr>
            <w:tcW w:w="566" w:type="dxa"/>
            <w:vAlign w:val="top"/>
          </w:tcPr>
          <w:p w14:paraId="7345CE10">
            <w:pPr>
              <w:pStyle w:val="6"/>
              <w:spacing w:before="142" w:line="232" w:lineRule="auto"/>
              <w:ind w:left="100"/>
            </w:pPr>
            <w:r>
              <w:rPr>
                <w:spacing w:val="-2"/>
              </w:rPr>
              <w:t>0.2L</w:t>
            </w:r>
          </w:p>
        </w:tc>
        <w:tc>
          <w:tcPr>
            <w:tcW w:w="428" w:type="dxa"/>
            <w:vAlign w:val="top"/>
          </w:tcPr>
          <w:p w14:paraId="4CC55114">
            <w:pPr>
              <w:pStyle w:val="6"/>
              <w:spacing w:before="142" w:line="232" w:lineRule="auto"/>
              <w:ind w:right="2"/>
              <w:jc w:val="right"/>
            </w:pPr>
            <w:r>
              <w:rPr>
                <w:spacing w:val="-2"/>
              </w:rPr>
              <w:t>0.5L</w:t>
            </w:r>
          </w:p>
        </w:tc>
        <w:tc>
          <w:tcPr>
            <w:tcW w:w="570" w:type="dxa"/>
            <w:vAlign w:val="top"/>
          </w:tcPr>
          <w:p w14:paraId="5E32CDCF">
            <w:pPr>
              <w:pStyle w:val="6"/>
              <w:spacing w:before="146" w:line="229" w:lineRule="auto"/>
              <w:ind w:left="138"/>
            </w:pPr>
            <w:r>
              <w:rPr>
                <w:b/>
                <w:bCs/>
                <w:spacing w:val="-2"/>
              </w:rPr>
              <w:t>220</w:t>
            </w:r>
          </w:p>
        </w:tc>
        <w:tc>
          <w:tcPr>
            <w:tcW w:w="559" w:type="dxa"/>
            <w:gridSpan w:val="2"/>
            <w:tcBorders>
              <w:right w:val="single" w:color="000000" w:sz="12" w:space="0"/>
            </w:tcBorders>
            <w:vAlign w:val="top"/>
          </w:tcPr>
          <w:p w14:paraId="755EB1D7">
            <w:pPr>
              <w:pStyle w:val="6"/>
              <w:spacing w:before="142" w:line="232" w:lineRule="auto"/>
              <w:ind w:left="179"/>
            </w:pPr>
            <w:r>
              <w:rPr>
                <w:spacing w:val="-2"/>
              </w:rPr>
              <w:t>70</w:t>
            </w:r>
          </w:p>
        </w:tc>
      </w:tr>
      <w:tr w14:paraId="4FF12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01CBC8DA">
            <w:pPr>
              <w:rPr>
                <w:rFonts w:ascii="Arial"/>
                <w:sz w:val="21"/>
              </w:rPr>
            </w:pPr>
          </w:p>
        </w:tc>
        <w:tc>
          <w:tcPr>
            <w:tcW w:w="265" w:type="dxa"/>
            <w:vMerge w:val="continue"/>
            <w:tcBorders>
              <w:top w:val="nil"/>
            </w:tcBorders>
            <w:vAlign w:val="top"/>
          </w:tcPr>
          <w:p w14:paraId="0A44595D">
            <w:pPr>
              <w:rPr>
                <w:rFonts w:ascii="Arial"/>
                <w:sz w:val="21"/>
              </w:rPr>
            </w:pPr>
          </w:p>
        </w:tc>
        <w:tc>
          <w:tcPr>
            <w:tcW w:w="1014" w:type="dxa"/>
            <w:vAlign w:val="top"/>
          </w:tcPr>
          <w:p w14:paraId="350D5C31">
            <w:pPr>
              <w:pStyle w:val="6"/>
              <w:spacing w:before="142" w:line="232" w:lineRule="auto"/>
              <w:ind w:left="65"/>
            </w:pPr>
            <w:r>
              <w:rPr>
                <w:spacing w:val="-1"/>
              </w:rPr>
              <w:t>2020/8/20</w:t>
            </w:r>
          </w:p>
        </w:tc>
        <w:tc>
          <w:tcPr>
            <w:tcW w:w="737" w:type="dxa"/>
            <w:vAlign w:val="top"/>
          </w:tcPr>
          <w:p w14:paraId="5D2C70DC">
            <w:pPr>
              <w:pStyle w:val="6"/>
              <w:spacing w:before="148" w:line="183" w:lineRule="auto"/>
              <w:ind w:left="243"/>
            </w:pPr>
            <w:r>
              <w:rPr>
                <w:spacing w:val="-3"/>
              </w:rPr>
              <w:t>5L</w:t>
            </w:r>
          </w:p>
        </w:tc>
        <w:tc>
          <w:tcPr>
            <w:tcW w:w="708" w:type="dxa"/>
            <w:vAlign w:val="top"/>
          </w:tcPr>
          <w:p w14:paraId="2F408B9B">
            <w:pPr>
              <w:pStyle w:val="6"/>
              <w:spacing w:before="142" w:line="232" w:lineRule="auto"/>
              <w:ind w:left="148"/>
            </w:pPr>
            <w:r>
              <w:rPr>
                <w:spacing w:val="-2"/>
              </w:rPr>
              <w:t>0.5L</w:t>
            </w:r>
          </w:p>
        </w:tc>
        <w:tc>
          <w:tcPr>
            <w:tcW w:w="851" w:type="dxa"/>
            <w:vAlign w:val="top"/>
          </w:tcPr>
          <w:p w14:paraId="760B5FAC">
            <w:pPr>
              <w:pStyle w:val="6"/>
              <w:spacing w:before="142" w:line="232" w:lineRule="auto"/>
              <w:ind w:left="233"/>
            </w:pPr>
            <w:r>
              <w:rPr>
                <w:spacing w:val="-2"/>
              </w:rPr>
              <w:t>7.93</w:t>
            </w:r>
          </w:p>
        </w:tc>
        <w:tc>
          <w:tcPr>
            <w:tcW w:w="708" w:type="dxa"/>
            <w:vAlign w:val="top"/>
          </w:tcPr>
          <w:p w14:paraId="18291F78">
            <w:pPr>
              <w:pStyle w:val="6"/>
              <w:spacing w:before="142" w:line="232" w:lineRule="auto"/>
              <w:ind w:left="44"/>
            </w:pPr>
            <w:r>
              <w:rPr>
                <w:spacing w:val="-2"/>
              </w:rPr>
              <w:t>0.040L</w:t>
            </w:r>
          </w:p>
        </w:tc>
        <w:tc>
          <w:tcPr>
            <w:tcW w:w="842" w:type="dxa"/>
            <w:vAlign w:val="top"/>
          </w:tcPr>
          <w:p w14:paraId="34EE4570">
            <w:pPr>
              <w:pStyle w:val="6"/>
              <w:spacing w:before="142" w:line="232" w:lineRule="auto"/>
              <w:ind w:left="61"/>
            </w:pPr>
            <w:r>
              <w:rPr>
                <w:spacing w:val="-1"/>
              </w:rPr>
              <w:t>0.0045L</w:t>
            </w:r>
          </w:p>
        </w:tc>
        <w:tc>
          <w:tcPr>
            <w:tcW w:w="851" w:type="dxa"/>
            <w:vAlign w:val="top"/>
          </w:tcPr>
          <w:p w14:paraId="5F8EAE04">
            <w:pPr>
              <w:pStyle w:val="6"/>
              <w:spacing w:before="142" w:line="232" w:lineRule="auto"/>
              <w:ind w:left="67"/>
            </w:pPr>
            <w:r>
              <w:rPr>
                <w:spacing w:val="-1"/>
              </w:rPr>
              <w:t>0.0005L</w:t>
            </w:r>
          </w:p>
        </w:tc>
        <w:tc>
          <w:tcPr>
            <w:tcW w:w="708" w:type="dxa"/>
            <w:vAlign w:val="top"/>
          </w:tcPr>
          <w:p w14:paraId="0ACB3FF0">
            <w:pPr>
              <w:pStyle w:val="6"/>
              <w:spacing w:before="142" w:line="232" w:lineRule="auto"/>
              <w:ind w:left="48"/>
            </w:pPr>
            <w:r>
              <w:rPr>
                <w:spacing w:val="-2"/>
              </w:rPr>
              <w:t>0.009L</w:t>
            </w:r>
          </w:p>
        </w:tc>
        <w:tc>
          <w:tcPr>
            <w:tcW w:w="847" w:type="dxa"/>
            <w:vAlign w:val="top"/>
          </w:tcPr>
          <w:p w14:paraId="3BC7E25D">
            <w:pPr>
              <w:pStyle w:val="6"/>
              <w:spacing w:before="142" w:line="232" w:lineRule="auto"/>
              <w:ind w:left="119"/>
            </w:pPr>
            <w:r>
              <w:rPr>
                <w:spacing w:val="-2"/>
              </w:rPr>
              <w:t>0.001L</w:t>
            </w:r>
          </w:p>
        </w:tc>
        <w:tc>
          <w:tcPr>
            <w:tcW w:w="565" w:type="dxa"/>
            <w:vAlign w:val="top"/>
          </w:tcPr>
          <w:p w14:paraId="436B3122">
            <w:pPr>
              <w:pStyle w:val="6"/>
              <w:spacing w:before="142" w:line="232" w:lineRule="auto"/>
              <w:ind w:left="114"/>
            </w:pPr>
            <w:r>
              <w:rPr>
                <w:spacing w:val="-6"/>
              </w:rPr>
              <w:t>18.3</w:t>
            </w:r>
          </w:p>
        </w:tc>
        <w:tc>
          <w:tcPr>
            <w:tcW w:w="567" w:type="dxa"/>
            <w:vAlign w:val="top"/>
          </w:tcPr>
          <w:p w14:paraId="4373F3A5">
            <w:pPr>
              <w:pStyle w:val="6"/>
              <w:spacing w:before="142" w:line="232" w:lineRule="auto"/>
              <w:ind w:left="116"/>
            </w:pPr>
            <w:r>
              <w:rPr>
                <w:spacing w:val="-6"/>
              </w:rPr>
              <w:t>12.8</w:t>
            </w:r>
          </w:p>
        </w:tc>
        <w:tc>
          <w:tcPr>
            <w:tcW w:w="851" w:type="dxa"/>
            <w:vAlign w:val="top"/>
          </w:tcPr>
          <w:p w14:paraId="44A6E8EF">
            <w:pPr>
              <w:pStyle w:val="6"/>
              <w:spacing w:before="142" w:line="232" w:lineRule="auto"/>
              <w:ind w:left="266"/>
            </w:pPr>
            <w:r>
              <w:rPr>
                <w:spacing w:val="-1"/>
              </w:rPr>
              <w:t>257</w:t>
            </w:r>
          </w:p>
        </w:tc>
        <w:tc>
          <w:tcPr>
            <w:tcW w:w="566" w:type="dxa"/>
            <w:vAlign w:val="top"/>
          </w:tcPr>
          <w:p w14:paraId="57FDE97E">
            <w:pPr>
              <w:pStyle w:val="6"/>
              <w:spacing w:before="142" w:line="232" w:lineRule="auto"/>
              <w:ind w:left="144"/>
            </w:pPr>
            <w:r>
              <w:rPr>
                <w:spacing w:val="-6"/>
              </w:rPr>
              <w:t>197</w:t>
            </w:r>
          </w:p>
        </w:tc>
        <w:tc>
          <w:tcPr>
            <w:tcW w:w="567" w:type="dxa"/>
            <w:vAlign w:val="top"/>
          </w:tcPr>
          <w:p w14:paraId="0E05CA19">
            <w:pPr>
              <w:pStyle w:val="6"/>
              <w:spacing w:before="142" w:line="232" w:lineRule="auto"/>
              <w:ind w:left="118"/>
            </w:pPr>
            <w:r>
              <w:rPr>
                <w:spacing w:val="-6"/>
              </w:rPr>
              <w:t>1.60</w:t>
            </w:r>
          </w:p>
        </w:tc>
        <w:tc>
          <w:tcPr>
            <w:tcW w:w="851" w:type="dxa"/>
            <w:vAlign w:val="top"/>
          </w:tcPr>
          <w:p w14:paraId="2C45426C">
            <w:pPr>
              <w:pStyle w:val="6"/>
              <w:spacing w:before="142" w:line="232" w:lineRule="auto"/>
              <w:ind w:left="127"/>
            </w:pPr>
            <w:r>
              <w:rPr>
                <w:spacing w:val="-2"/>
              </w:rPr>
              <w:t>0.002L</w:t>
            </w:r>
          </w:p>
        </w:tc>
        <w:tc>
          <w:tcPr>
            <w:tcW w:w="707" w:type="dxa"/>
            <w:vAlign w:val="top"/>
          </w:tcPr>
          <w:p w14:paraId="4DB0D6F5">
            <w:pPr>
              <w:pStyle w:val="6"/>
              <w:spacing w:before="142" w:line="232" w:lineRule="auto"/>
              <w:ind w:left="56"/>
            </w:pPr>
            <w:r>
              <w:rPr>
                <w:spacing w:val="-2"/>
              </w:rPr>
              <w:t>0.050L</w:t>
            </w:r>
          </w:p>
        </w:tc>
        <w:tc>
          <w:tcPr>
            <w:tcW w:w="708" w:type="dxa"/>
            <w:vAlign w:val="top"/>
          </w:tcPr>
          <w:p w14:paraId="68316F00">
            <w:pPr>
              <w:pStyle w:val="6"/>
              <w:spacing w:before="142" w:line="232" w:lineRule="auto"/>
              <w:ind w:left="123"/>
            </w:pPr>
            <w:r>
              <w:rPr>
                <w:spacing w:val="-2"/>
              </w:rPr>
              <w:t>0.001</w:t>
            </w:r>
          </w:p>
        </w:tc>
        <w:tc>
          <w:tcPr>
            <w:tcW w:w="851" w:type="dxa"/>
            <w:vAlign w:val="top"/>
          </w:tcPr>
          <w:p w14:paraId="2CFCEE3E">
            <w:pPr>
              <w:pStyle w:val="6"/>
              <w:spacing w:before="142" w:line="232" w:lineRule="auto"/>
              <w:ind w:left="80"/>
            </w:pPr>
            <w:r>
              <w:rPr>
                <w:spacing w:val="-1"/>
              </w:rPr>
              <w:t>0.0005L</w:t>
            </w:r>
          </w:p>
        </w:tc>
        <w:tc>
          <w:tcPr>
            <w:tcW w:w="708" w:type="dxa"/>
            <w:vAlign w:val="top"/>
          </w:tcPr>
          <w:p w14:paraId="398EC950">
            <w:pPr>
              <w:pStyle w:val="6"/>
              <w:spacing w:before="142" w:line="232" w:lineRule="auto"/>
              <w:ind w:left="60"/>
            </w:pPr>
            <w:r>
              <w:rPr>
                <w:spacing w:val="-2"/>
              </w:rPr>
              <w:t>0.004L</w:t>
            </w:r>
          </w:p>
        </w:tc>
        <w:tc>
          <w:tcPr>
            <w:tcW w:w="851" w:type="dxa"/>
            <w:vAlign w:val="top"/>
          </w:tcPr>
          <w:p w14:paraId="3EB7A329">
            <w:pPr>
              <w:pStyle w:val="6"/>
              <w:spacing w:before="142" w:line="232" w:lineRule="auto"/>
              <w:ind w:left="81"/>
            </w:pPr>
            <w:r>
              <w:rPr>
                <w:spacing w:val="-1"/>
              </w:rPr>
              <w:t>0.0025L</w:t>
            </w:r>
          </w:p>
        </w:tc>
        <w:tc>
          <w:tcPr>
            <w:tcW w:w="851" w:type="dxa"/>
            <w:vAlign w:val="top"/>
          </w:tcPr>
          <w:p w14:paraId="6F81F383">
            <w:pPr>
              <w:pStyle w:val="6"/>
              <w:spacing w:before="142" w:line="232" w:lineRule="auto"/>
              <w:ind w:left="82"/>
            </w:pPr>
            <w:r>
              <w:rPr>
                <w:spacing w:val="-1"/>
              </w:rPr>
              <w:t>0.0001L</w:t>
            </w:r>
          </w:p>
        </w:tc>
        <w:tc>
          <w:tcPr>
            <w:tcW w:w="847" w:type="dxa"/>
            <w:vAlign w:val="top"/>
          </w:tcPr>
          <w:p w14:paraId="7FB4078B">
            <w:pPr>
              <w:pStyle w:val="6"/>
              <w:spacing w:before="142" w:line="232" w:lineRule="auto"/>
              <w:ind w:left="80"/>
            </w:pPr>
            <w:r>
              <w:rPr>
                <w:spacing w:val="-1"/>
              </w:rPr>
              <w:t>0.0004L</w:t>
            </w:r>
          </w:p>
        </w:tc>
        <w:tc>
          <w:tcPr>
            <w:tcW w:w="708" w:type="dxa"/>
            <w:vAlign w:val="top"/>
          </w:tcPr>
          <w:p w14:paraId="1AEF4A66">
            <w:pPr>
              <w:pStyle w:val="6"/>
              <w:spacing w:before="142" w:line="232" w:lineRule="auto"/>
              <w:ind w:left="64"/>
            </w:pPr>
            <w:r>
              <w:rPr>
                <w:spacing w:val="-2"/>
              </w:rPr>
              <w:t>0.002L</w:t>
            </w:r>
          </w:p>
        </w:tc>
        <w:tc>
          <w:tcPr>
            <w:tcW w:w="566" w:type="dxa"/>
            <w:vAlign w:val="top"/>
          </w:tcPr>
          <w:p w14:paraId="201C56BB">
            <w:pPr>
              <w:pStyle w:val="6"/>
              <w:spacing w:before="142" w:line="232" w:lineRule="auto"/>
              <w:ind w:left="100"/>
            </w:pPr>
            <w:r>
              <w:rPr>
                <w:spacing w:val="-2"/>
              </w:rPr>
              <w:t>0.2L</w:t>
            </w:r>
          </w:p>
        </w:tc>
        <w:tc>
          <w:tcPr>
            <w:tcW w:w="428" w:type="dxa"/>
            <w:vAlign w:val="top"/>
          </w:tcPr>
          <w:p w14:paraId="5B63E6B4">
            <w:pPr>
              <w:pStyle w:val="6"/>
              <w:spacing w:before="142" w:line="232" w:lineRule="auto"/>
              <w:ind w:right="2"/>
              <w:jc w:val="right"/>
            </w:pPr>
            <w:r>
              <w:rPr>
                <w:spacing w:val="-2"/>
              </w:rPr>
              <w:t>0.5L</w:t>
            </w:r>
          </w:p>
        </w:tc>
        <w:tc>
          <w:tcPr>
            <w:tcW w:w="570" w:type="dxa"/>
            <w:vAlign w:val="top"/>
          </w:tcPr>
          <w:p w14:paraId="105EC039">
            <w:pPr>
              <w:pStyle w:val="6"/>
              <w:spacing w:before="146" w:line="232" w:lineRule="auto"/>
              <w:ind w:left="244"/>
            </w:pPr>
            <w:r>
              <w:rPr>
                <w:b/>
                <w:bCs/>
              </w:rPr>
              <w:t>2</w:t>
            </w:r>
          </w:p>
        </w:tc>
        <w:tc>
          <w:tcPr>
            <w:tcW w:w="559" w:type="dxa"/>
            <w:gridSpan w:val="2"/>
            <w:tcBorders>
              <w:right w:val="single" w:color="000000" w:sz="12" w:space="0"/>
            </w:tcBorders>
            <w:vAlign w:val="top"/>
          </w:tcPr>
          <w:p w14:paraId="7B2C5EB1">
            <w:pPr>
              <w:pStyle w:val="6"/>
              <w:spacing w:before="146" w:line="229" w:lineRule="auto"/>
              <w:ind w:left="133"/>
            </w:pPr>
            <w:r>
              <w:rPr>
                <w:b/>
                <w:bCs/>
                <w:spacing w:val="-4"/>
              </w:rPr>
              <w:t>130</w:t>
            </w:r>
          </w:p>
        </w:tc>
      </w:tr>
      <w:tr w14:paraId="09AD4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4268A9B6">
            <w:pPr>
              <w:rPr>
                <w:rFonts w:ascii="Arial"/>
                <w:sz w:val="21"/>
              </w:rPr>
            </w:pPr>
          </w:p>
        </w:tc>
        <w:tc>
          <w:tcPr>
            <w:tcW w:w="265" w:type="dxa"/>
            <w:vMerge w:val="restart"/>
            <w:tcBorders>
              <w:bottom w:val="nil"/>
            </w:tcBorders>
            <w:vAlign w:val="top"/>
          </w:tcPr>
          <w:p w14:paraId="5D92F539">
            <w:pPr>
              <w:pStyle w:val="6"/>
              <w:spacing w:before="285" w:line="233" w:lineRule="auto"/>
              <w:ind w:left="14" w:right="38" w:firstLine="53"/>
              <w:jc w:val="both"/>
              <w:rPr>
                <w:rFonts w:ascii="等线" w:hAnsi="等线" w:eastAsia="等线" w:cs="等线"/>
              </w:rPr>
            </w:pPr>
            <w:r>
              <w:rPr>
                <w:spacing w:val="-9"/>
              </w:rPr>
              <w:t>3</w:t>
            </w:r>
            <w:r>
              <w:rPr>
                <w:rFonts w:ascii="等线" w:hAnsi="等线" w:eastAsia="等线" w:cs="等线"/>
                <w:spacing w:val="-8"/>
              </w:rPr>
              <w:t>季度</w:t>
            </w:r>
          </w:p>
        </w:tc>
        <w:tc>
          <w:tcPr>
            <w:tcW w:w="1014" w:type="dxa"/>
            <w:vAlign w:val="top"/>
          </w:tcPr>
          <w:p w14:paraId="166AFED5">
            <w:pPr>
              <w:pStyle w:val="6"/>
              <w:spacing w:before="144" w:line="232" w:lineRule="auto"/>
              <w:ind w:left="65"/>
            </w:pPr>
            <w:r>
              <w:rPr>
                <w:spacing w:val="-1"/>
              </w:rPr>
              <w:t>2020/8/21</w:t>
            </w:r>
          </w:p>
        </w:tc>
        <w:tc>
          <w:tcPr>
            <w:tcW w:w="737" w:type="dxa"/>
            <w:vAlign w:val="top"/>
          </w:tcPr>
          <w:p w14:paraId="62D4566C">
            <w:pPr>
              <w:pStyle w:val="6"/>
              <w:spacing w:before="150" w:line="183" w:lineRule="auto"/>
              <w:ind w:left="243"/>
            </w:pPr>
            <w:r>
              <w:rPr>
                <w:spacing w:val="-3"/>
              </w:rPr>
              <w:t>5L</w:t>
            </w:r>
          </w:p>
        </w:tc>
        <w:tc>
          <w:tcPr>
            <w:tcW w:w="708" w:type="dxa"/>
            <w:vAlign w:val="top"/>
          </w:tcPr>
          <w:p w14:paraId="52766FCC">
            <w:pPr>
              <w:pStyle w:val="6"/>
              <w:spacing w:before="144" w:line="232" w:lineRule="auto"/>
              <w:ind w:left="148"/>
            </w:pPr>
            <w:r>
              <w:rPr>
                <w:spacing w:val="-2"/>
              </w:rPr>
              <w:t>0.5L</w:t>
            </w:r>
          </w:p>
        </w:tc>
        <w:tc>
          <w:tcPr>
            <w:tcW w:w="851" w:type="dxa"/>
            <w:vAlign w:val="top"/>
          </w:tcPr>
          <w:p w14:paraId="5303BBA0">
            <w:pPr>
              <w:pStyle w:val="6"/>
              <w:spacing w:before="144" w:line="232" w:lineRule="auto"/>
              <w:ind w:left="233"/>
            </w:pPr>
            <w:r>
              <w:rPr>
                <w:spacing w:val="-2"/>
              </w:rPr>
              <w:t>7.89</w:t>
            </w:r>
          </w:p>
        </w:tc>
        <w:tc>
          <w:tcPr>
            <w:tcW w:w="708" w:type="dxa"/>
            <w:vAlign w:val="top"/>
          </w:tcPr>
          <w:p w14:paraId="4AEF5EC4">
            <w:pPr>
              <w:pStyle w:val="6"/>
              <w:spacing w:before="144" w:line="232" w:lineRule="auto"/>
              <w:ind w:left="44"/>
            </w:pPr>
            <w:r>
              <w:rPr>
                <w:spacing w:val="-2"/>
              </w:rPr>
              <w:t>0.040L</w:t>
            </w:r>
          </w:p>
        </w:tc>
        <w:tc>
          <w:tcPr>
            <w:tcW w:w="842" w:type="dxa"/>
            <w:vAlign w:val="top"/>
          </w:tcPr>
          <w:p w14:paraId="47764557">
            <w:pPr>
              <w:pStyle w:val="6"/>
              <w:spacing w:before="144" w:line="232" w:lineRule="auto"/>
              <w:ind w:left="61"/>
            </w:pPr>
            <w:r>
              <w:rPr>
                <w:spacing w:val="-1"/>
              </w:rPr>
              <w:t>0.0045L</w:t>
            </w:r>
          </w:p>
        </w:tc>
        <w:tc>
          <w:tcPr>
            <w:tcW w:w="851" w:type="dxa"/>
            <w:vAlign w:val="top"/>
          </w:tcPr>
          <w:p w14:paraId="0E0D08AE">
            <w:pPr>
              <w:pStyle w:val="6"/>
              <w:spacing w:before="144" w:line="232" w:lineRule="auto"/>
              <w:ind w:left="67"/>
            </w:pPr>
            <w:r>
              <w:rPr>
                <w:spacing w:val="-1"/>
              </w:rPr>
              <w:t>0.0005L</w:t>
            </w:r>
          </w:p>
        </w:tc>
        <w:tc>
          <w:tcPr>
            <w:tcW w:w="708" w:type="dxa"/>
            <w:vAlign w:val="top"/>
          </w:tcPr>
          <w:p w14:paraId="0EA47FDA">
            <w:pPr>
              <w:pStyle w:val="6"/>
              <w:spacing w:before="144" w:line="232" w:lineRule="auto"/>
              <w:ind w:left="48"/>
            </w:pPr>
            <w:r>
              <w:rPr>
                <w:spacing w:val="-2"/>
              </w:rPr>
              <w:t>0.009L</w:t>
            </w:r>
          </w:p>
        </w:tc>
        <w:tc>
          <w:tcPr>
            <w:tcW w:w="847" w:type="dxa"/>
            <w:vAlign w:val="top"/>
          </w:tcPr>
          <w:p w14:paraId="6619B790">
            <w:pPr>
              <w:pStyle w:val="6"/>
              <w:spacing w:before="144" w:line="232" w:lineRule="auto"/>
              <w:ind w:left="119"/>
            </w:pPr>
            <w:r>
              <w:rPr>
                <w:spacing w:val="-2"/>
              </w:rPr>
              <w:t>0.001L</w:t>
            </w:r>
          </w:p>
        </w:tc>
        <w:tc>
          <w:tcPr>
            <w:tcW w:w="565" w:type="dxa"/>
            <w:vAlign w:val="top"/>
          </w:tcPr>
          <w:p w14:paraId="6AC0A241">
            <w:pPr>
              <w:pStyle w:val="6"/>
              <w:spacing w:before="144" w:line="232" w:lineRule="auto"/>
              <w:ind w:left="114"/>
            </w:pPr>
            <w:r>
              <w:rPr>
                <w:spacing w:val="-6"/>
              </w:rPr>
              <w:t>19.0</w:t>
            </w:r>
          </w:p>
        </w:tc>
        <w:tc>
          <w:tcPr>
            <w:tcW w:w="567" w:type="dxa"/>
            <w:vAlign w:val="top"/>
          </w:tcPr>
          <w:p w14:paraId="19487674">
            <w:pPr>
              <w:pStyle w:val="6"/>
              <w:spacing w:before="144" w:line="232" w:lineRule="auto"/>
              <w:ind w:left="116"/>
            </w:pPr>
            <w:r>
              <w:rPr>
                <w:spacing w:val="-6"/>
              </w:rPr>
              <w:t>13.2</w:t>
            </w:r>
          </w:p>
        </w:tc>
        <w:tc>
          <w:tcPr>
            <w:tcW w:w="851" w:type="dxa"/>
            <w:vAlign w:val="top"/>
          </w:tcPr>
          <w:p w14:paraId="3E33B2A5">
            <w:pPr>
              <w:pStyle w:val="6"/>
              <w:spacing w:before="144" w:line="232" w:lineRule="auto"/>
              <w:ind w:left="266"/>
            </w:pPr>
            <w:r>
              <w:rPr>
                <w:spacing w:val="-1"/>
              </w:rPr>
              <w:t>265</w:t>
            </w:r>
          </w:p>
        </w:tc>
        <w:tc>
          <w:tcPr>
            <w:tcW w:w="566" w:type="dxa"/>
            <w:vAlign w:val="top"/>
          </w:tcPr>
          <w:p w14:paraId="1F1D2F73">
            <w:pPr>
              <w:pStyle w:val="6"/>
              <w:spacing w:before="144" w:line="232" w:lineRule="auto"/>
              <w:ind w:left="144"/>
            </w:pPr>
            <w:r>
              <w:rPr>
                <w:spacing w:val="-6"/>
              </w:rPr>
              <w:t>194</w:t>
            </w:r>
          </w:p>
        </w:tc>
        <w:tc>
          <w:tcPr>
            <w:tcW w:w="567" w:type="dxa"/>
            <w:vAlign w:val="top"/>
          </w:tcPr>
          <w:p w14:paraId="4687C315">
            <w:pPr>
              <w:pStyle w:val="6"/>
              <w:spacing w:before="144" w:line="232" w:lineRule="auto"/>
              <w:ind w:left="118"/>
            </w:pPr>
            <w:r>
              <w:rPr>
                <w:spacing w:val="-6"/>
              </w:rPr>
              <w:t>1.58</w:t>
            </w:r>
          </w:p>
        </w:tc>
        <w:tc>
          <w:tcPr>
            <w:tcW w:w="851" w:type="dxa"/>
            <w:vAlign w:val="top"/>
          </w:tcPr>
          <w:p w14:paraId="56E33C79">
            <w:pPr>
              <w:pStyle w:val="6"/>
              <w:spacing w:before="144" w:line="232" w:lineRule="auto"/>
              <w:ind w:left="127"/>
            </w:pPr>
            <w:r>
              <w:rPr>
                <w:spacing w:val="-2"/>
              </w:rPr>
              <w:t>0.002L</w:t>
            </w:r>
          </w:p>
        </w:tc>
        <w:tc>
          <w:tcPr>
            <w:tcW w:w="707" w:type="dxa"/>
            <w:vAlign w:val="top"/>
          </w:tcPr>
          <w:p w14:paraId="43FFA822">
            <w:pPr>
              <w:pStyle w:val="6"/>
              <w:spacing w:before="144" w:line="232" w:lineRule="auto"/>
              <w:ind w:left="56"/>
            </w:pPr>
            <w:r>
              <w:rPr>
                <w:spacing w:val="-2"/>
              </w:rPr>
              <w:t>0.050L</w:t>
            </w:r>
          </w:p>
        </w:tc>
        <w:tc>
          <w:tcPr>
            <w:tcW w:w="708" w:type="dxa"/>
            <w:vAlign w:val="top"/>
          </w:tcPr>
          <w:p w14:paraId="439E0AE1">
            <w:pPr>
              <w:pStyle w:val="6"/>
              <w:spacing w:before="144" w:line="232" w:lineRule="auto"/>
              <w:ind w:left="123"/>
            </w:pPr>
            <w:r>
              <w:rPr>
                <w:spacing w:val="-2"/>
              </w:rPr>
              <w:t>0.001</w:t>
            </w:r>
          </w:p>
        </w:tc>
        <w:tc>
          <w:tcPr>
            <w:tcW w:w="851" w:type="dxa"/>
            <w:vAlign w:val="top"/>
          </w:tcPr>
          <w:p w14:paraId="1D664AD5">
            <w:pPr>
              <w:pStyle w:val="6"/>
              <w:spacing w:before="144" w:line="232" w:lineRule="auto"/>
              <w:ind w:left="80"/>
            </w:pPr>
            <w:r>
              <w:rPr>
                <w:spacing w:val="-1"/>
              </w:rPr>
              <w:t>0.0005L</w:t>
            </w:r>
          </w:p>
        </w:tc>
        <w:tc>
          <w:tcPr>
            <w:tcW w:w="708" w:type="dxa"/>
            <w:vAlign w:val="top"/>
          </w:tcPr>
          <w:p w14:paraId="55562473">
            <w:pPr>
              <w:pStyle w:val="6"/>
              <w:spacing w:before="144" w:line="232" w:lineRule="auto"/>
              <w:ind w:left="60"/>
            </w:pPr>
            <w:r>
              <w:rPr>
                <w:spacing w:val="-2"/>
              </w:rPr>
              <w:t>0.004L</w:t>
            </w:r>
          </w:p>
        </w:tc>
        <w:tc>
          <w:tcPr>
            <w:tcW w:w="851" w:type="dxa"/>
            <w:vAlign w:val="top"/>
          </w:tcPr>
          <w:p w14:paraId="13A8B221">
            <w:pPr>
              <w:pStyle w:val="6"/>
              <w:spacing w:before="144" w:line="232" w:lineRule="auto"/>
              <w:ind w:left="81"/>
            </w:pPr>
            <w:r>
              <w:rPr>
                <w:spacing w:val="-1"/>
              </w:rPr>
              <w:t>0.0025L</w:t>
            </w:r>
          </w:p>
        </w:tc>
        <w:tc>
          <w:tcPr>
            <w:tcW w:w="851" w:type="dxa"/>
            <w:vAlign w:val="top"/>
          </w:tcPr>
          <w:p w14:paraId="38061D55">
            <w:pPr>
              <w:pStyle w:val="6"/>
              <w:spacing w:before="144" w:line="232" w:lineRule="auto"/>
              <w:ind w:left="82"/>
            </w:pPr>
            <w:r>
              <w:rPr>
                <w:spacing w:val="-1"/>
              </w:rPr>
              <w:t>0.0001L</w:t>
            </w:r>
          </w:p>
        </w:tc>
        <w:tc>
          <w:tcPr>
            <w:tcW w:w="847" w:type="dxa"/>
            <w:vAlign w:val="top"/>
          </w:tcPr>
          <w:p w14:paraId="70DAE18B">
            <w:pPr>
              <w:pStyle w:val="6"/>
              <w:spacing w:before="144" w:line="232" w:lineRule="auto"/>
              <w:ind w:left="80"/>
            </w:pPr>
            <w:r>
              <w:rPr>
                <w:spacing w:val="-1"/>
              </w:rPr>
              <w:t>0.0004L</w:t>
            </w:r>
          </w:p>
        </w:tc>
        <w:tc>
          <w:tcPr>
            <w:tcW w:w="708" w:type="dxa"/>
            <w:vAlign w:val="top"/>
          </w:tcPr>
          <w:p w14:paraId="49E5A0EE">
            <w:pPr>
              <w:pStyle w:val="6"/>
              <w:spacing w:before="144" w:line="232" w:lineRule="auto"/>
              <w:ind w:left="64"/>
            </w:pPr>
            <w:r>
              <w:rPr>
                <w:spacing w:val="-2"/>
              </w:rPr>
              <w:t>0.002L</w:t>
            </w:r>
          </w:p>
        </w:tc>
        <w:tc>
          <w:tcPr>
            <w:tcW w:w="566" w:type="dxa"/>
            <w:vAlign w:val="top"/>
          </w:tcPr>
          <w:p w14:paraId="21A787D2">
            <w:pPr>
              <w:pStyle w:val="6"/>
              <w:spacing w:before="144" w:line="232" w:lineRule="auto"/>
              <w:ind w:left="100"/>
            </w:pPr>
            <w:r>
              <w:rPr>
                <w:spacing w:val="-2"/>
              </w:rPr>
              <w:t>0.2L</w:t>
            </w:r>
          </w:p>
        </w:tc>
        <w:tc>
          <w:tcPr>
            <w:tcW w:w="428" w:type="dxa"/>
            <w:vAlign w:val="top"/>
          </w:tcPr>
          <w:p w14:paraId="22B7D872">
            <w:pPr>
              <w:pStyle w:val="6"/>
              <w:spacing w:before="144" w:line="232" w:lineRule="auto"/>
              <w:ind w:right="2"/>
              <w:jc w:val="right"/>
            </w:pPr>
            <w:r>
              <w:rPr>
                <w:spacing w:val="-2"/>
              </w:rPr>
              <w:t>0.5L</w:t>
            </w:r>
          </w:p>
        </w:tc>
        <w:tc>
          <w:tcPr>
            <w:tcW w:w="570" w:type="dxa"/>
            <w:vAlign w:val="top"/>
          </w:tcPr>
          <w:p w14:paraId="0196F170">
            <w:pPr>
              <w:pStyle w:val="6"/>
              <w:spacing w:before="148" w:line="232" w:lineRule="auto"/>
              <w:ind w:left="244"/>
            </w:pPr>
            <w:r>
              <w:rPr>
                <w:b/>
                <w:bCs/>
              </w:rPr>
              <w:t>2</w:t>
            </w:r>
          </w:p>
        </w:tc>
        <w:tc>
          <w:tcPr>
            <w:tcW w:w="559" w:type="dxa"/>
            <w:gridSpan w:val="2"/>
            <w:tcBorders>
              <w:right w:val="single" w:color="000000" w:sz="12" w:space="0"/>
            </w:tcBorders>
            <w:vAlign w:val="top"/>
          </w:tcPr>
          <w:p w14:paraId="2662D7F9">
            <w:pPr>
              <w:pStyle w:val="6"/>
              <w:spacing w:before="148" w:line="229" w:lineRule="auto"/>
              <w:ind w:left="133"/>
            </w:pPr>
            <w:r>
              <w:rPr>
                <w:b/>
                <w:bCs/>
                <w:spacing w:val="-4"/>
              </w:rPr>
              <w:t>110</w:t>
            </w:r>
          </w:p>
        </w:tc>
      </w:tr>
      <w:tr w14:paraId="7C5B2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2CB23E40">
            <w:pPr>
              <w:rPr>
                <w:rFonts w:ascii="Arial"/>
                <w:sz w:val="21"/>
              </w:rPr>
            </w:pPr>
          </w:p>
        </w:tc>
        <w:tc>
          <w:tcPr>
            <w:tcW w:w="265" w:type="dxa"/>
            <w:vMerge w:val="continue"/>
            <w:tcBorders>
              <w:top w:val="nil"/>
              <w:bottom w:val="nil"/>
            </w:tcBorders>
            <w:vAlign w:val="top"/>
          </w:tcPr>
          <w:p w14:paraId="6139F275">
            <w:pPr>
              <w:rPr>
                <w:rFonts w:ascii="Arial"/>
                <w:sz w:val="21"/>
              </w:rPr>
            </w:pPr>
          </w:p>
        </w:tc>
        <w:tc>
          <w:tcPr>
            <w:tcW w:w="1014" w:type="dxa"/>
            <w:vAlign w:val="top"/>
          </w:tcPr>
          <w:p w14:paraId="285B007B">
            <w:pPr>
              <w:pStyle w:val="6"/>
              <w:spacing w:before="144" w:line="232" w:lineRule="auto"/>
              <w:ind w:left="65"/>
            </w:pPr>
            <w:r>
              <w:rPr>
                <w:spacing w:val="-1"/>
              </w:rPr>
              <w:t>2020/8/22</w:t>
            </w:r>
          </w:p>
        </w:tc>
        <w:tc>
          <w:tcPr>
            <w:tcW w:w="737" w:type="dxa"/>
            <w:vAlign w:val="top"/>
          </w:tcPr>
          <w:p w14:paraId="2BD6FB07">
            <w:pPr>
              <w:pStyle w:val="6"/>
              <w:spacing w:before="150" w:line="183" w:lineRule="auto"/>
              <w:ind w:left="243"/>
            </w:pPr>
            <w:r>
              <w:rPr>
                <w:spacing w:val="-3"/>
              </w:rPr>
              <w:t>5L</w:t>
            </w:r>
          </w:p>
        </w:tc>
        <w:tc>
          <w:tcPr>
            <w:tcW w:w="708" w:type="dxa"/>
            <w:vAlign w:val="top"/>
          </w:tcPr>
          <w:p w14:paraId="215D79BF">
            <w:pPr>
              <w:pStyle w:val="6"/>
              <w:spacing w:before="144" w:line="232" w:lineRule="auto"/>
              <w:ind w:left="148"/>
            </w:pPr>
            <w:r>
              <w:rPr>
                <w:spacing w:val="-2"/>
              </w:rPr>
              <w:t>0.5L</w:t>
            </w:r>
          </w:p>
        </w:tc>
        <w:tc>
          <w:tcPr>
            <w:tcW w:w="851" w:type="dxa"/>
            <w:vAlign w:val="top"/>
          </w:tcPr>
          <w:p w14:paraId="40C70743">
            <w:pPr>
              <w:pStyle w:val="6"/>
              <w:spacing w:before="144" w:line="232" w:lineRule="auto"/>
              <w:ind w:left="233"/>
            </w:pPr>
            <w:r>
              <w:rPr>
                <w:spacing w:val="-2"/>
              </w:rPr>
              <w:t>7.86</w:t>
            </w:r>
          </w:p>
        </w:tc>
        <w:tc>
          <w:tcPr>
            <w:tcW w:w="708" w:type="dxa"/>
            <w:vAlign w:val="top"/>
          </w:tcPr>
          <w:p w14:paraId="3EF9BE8C">
            <w:pPr>
              <w:pStyle w:val="6"/>
              <w:spacing w:before="144" w:line="232" w:lineRule="auto"/>
              <w:ind w:left="44"/>
            </w:pPr>
            <w:r>
              <w:rPr>
                <w:spacing w:val="-2"/>
              </w:rPr>
              <w:t>0.040L</w:t>
            </w:r>
          </w:p>
        </w:tc>
        <w:tc>
          <w:tcPr>
            <w:tcW w:w="842" w:type="dxa"/>
            <w:vAlign w:val="top"/>
          </w:tcPr>
          <w:p w14:paraId="26E2AA99">
            <w:pPr>
              <w:pStyle w:val="6"/>
              <w:spacing w:before="144" w:line="232" w:lineRule="auto"/>
              <w:ind w:left="61"/>
            </w:pPr>
            <w:r>
              <w:rPr>
                <w:spacing w:val="-1"/>
              </w:rPr>
              <w:t>0.0045L</w:t>
            </w:r>
          </w:p>
        </w:tc>
        <w:tc>
          <w:tcPr>
            <w:tcW w:w="851" w:type="dxa"/>
            <w:vAlign w:val="top"/>
          </w:tcPr>
          <w:p w14:paraId="2BD875D6">
            <w:pPr>
              <w:pStyle w:val="6"/>
              <w:spacing w:before="144" w:line="232" w:lineRule="auto"/>
              <w:ind w:left="67"/>
            </w:pPr>
            <w:r>
              <w:rPr>
                <w:spacing w:val="-1"/>
              </w:rPr>
              <w:t>0.0005L</w:t>
            </w:r>
          </w:p>
        </w:tc>
        <w:tc>
          <w:tcPr>
            <w:tcW w:w="708" w:type="dxa"/>
            <w:vAlign w:val="top"/>
          </w:tcPr>
          <w:p w14:paraId="45605DC5">
            <w:pPr>
              <w:pStyle w:val="6"/>
              <w:spacing w:before="144" w:line="232" w:lineRule="auto"/>
              <w:ind w:left="48"/>
            </w:pPr>
            <w:r>
              <w:rPr>
                <w:spacing w:val="-2"/>
              </w:rPr>
              <w:t>0.009L</w:t>
            </w:r>
          </w:p>
        </w:tc>
        <w:tc>
          <w:tcPr>
            <w:tcW w:w="847" w:type="dxa"/>
            <w:vAlign w:val="top"/>
          </w:tcPr>
          <w:p w14:paraId="7FC02E94">
            <w:pPr>
              <w:pStyle w:val="6"/>
              <w:spacing w:before="144" w:line="232" w:lineRule="auto"/>
              <w:ind w:left="119"/>
            </w:pPr>
            <w:r>
              <w:rPr>
                <w:spacing w:val="-2"/>
              </w:rPr>
              <w:t>0.001L</w:t>
            </w:r>
          </w:p>
        </w:tc>
        <w:tc>
          <w:tcPr>
            <w:tcW w:w="565" w:type="dxa"/>
            <w:vAlign w:val="top"/>
          </w:tcPr>
          <w:p w14:paraId="75246FE6">
            <w:pPr>
              <w:pStyle w:val="6"/>
              <w:spacing w:before="144" w:line="232" w:lineRule="auto"/>
              <w:ind w:left="114"/>
            </w:pPr>
            <w:r>
              <w:rPr>
                <w:spacing w:val="-6"/>
              </w:rPr>
              <w:t>18.6</w:t>
            </w:r>
          </w:p>
        </w:tc>
        <w:tc>
          <w:tcPr>
            <w:tcW w:w="567" w:type="dxa"/>
            <w:vAlign w:val="top"/>
          </w:tcPr>
          <w:p w14:paraId="61E2A599">
            <w:pPr>
              <w:pStyle w:val="6"/>
              <w:spacing w:before="144" w:line="232" w:lineRule="auto"/>
              <w:ind w:left="116"/>
            </w:pPr>
            <w:r>
              <w:rPr>
                <w:spacing w:val="-6"/>
              </w:rPr>
              <w:t>12.4</w:t>
            </w:r>
          </w:p>
        </w:tc>
        <w:tc>
          <w:tcPr>
            <w:tcW w:w="851" w:type="dxa"/>
            <w:vAlign w:val="top"/>
          </w:tcPr>
          <w:p w14:paraId="6CE4275F">
            <w:pPr>
              <w:pStyle w:val="6"/>
              <w:spacing w:before="144" w:line="232" w:lineRule="auto"/>
              <w:ind w:left="266"/>
            </w:pPr>
            <w:r>
              <w:rPr>
                <w:spacing w:val="-1"/>
              </w:rPr>
              <w:t>272</w:t>
            </w:r>
          </w:p>
        </w:tc>
        <w:tc>
          <w:tcPr>
            <w:tcW w:w="566" w:type="dxa"/>
            <w:vAlign w:val="top"/>
          </w:tcPr>
          <w:p w14:paraId="00BCF2AA">
            <w:pPr>
              <w:pStyle w:val="6"/>
              <w:spacing w:before="144" w:line="232" w:lineRule="auto"/>
              <w:ind w:left="124"/>
            </w:pPr>
            <w:r>
              <w:rPr>
                <w:spacing w:val="-1"/>
              </w:rPr>
              <w:t>200</w:t>
            </w:r>
          </w:p>
        </w:tc>
        <w:tc>
          <w:tcPr>
            <w:tcW w:w="567" w:type="dxa"/>
            <w:vAlign w:val="top"/>
          </w:tcPr>
          <w:p w14:paraId="41D80DC2">
            <w:pPr>
              <w:pStyle w:val="6"/>
              <w:spacing w:before="144" w:line="232" w:lineRule="auto"/>
              <w:ind w:left="118"/>
            </w:pPr>
            <w:r>
              <w:rPr>
                <w:spacing w:val="-6"/>
              </w:rPr>
              <w:t>1.64</w:t>
            </w:r>
          </w:p>
        </w:tc>
        <w:tc>
          <w:tcPr>
            <w:tcW w:w="851" w:type="dxa"/>
            <w:vAlign w:val="top"/>
          </w:tcPr>
          <w:p w14:paraId="0BC8ED98">
            <w:pPr>
              <w:pStyle w:val="6"/>
              <w:spacing w:before="144" w:line="232" w:lineRule="auto"/>
              <w:ind w:left="127"/>
            </w:pPr>
            <w:r>
              <w:rPr>
                <w:spacing w:val="-2"/>
              </w:rPr>
              <w:t>0.002L</w:t>
            </w:r>
          </w:p>
        </w:tc>
        <w:tc>
          <w:tcPr>
            <w:tcW w:w="707" w:type="dxa"/>
            <w:vAlign w:val="top"/>
          </w:tcPr>
          <w:p w14:paraId="256FECBE">
            <w:pPr>
              <w:pStyle w:val="6"/>
              <w:spacing w:before="144" w:line="232" w:lineRule="auto"/>
              <w:ind w:left="56"/>
            </w:pPr>
            <w:r>
              <w:rPr>
                <w:spacing w:val="-2"/>
              </w:rPr>
              <w:t>0.050L</w:t>
            </w:r>
          </w:p>
        </w:tc>
        <w:tc>
          <w:tcPr>
            <w:tcW w:w="708" w:type="dxa"/>
            <w:vAlign w:val="top"/>
          </w:tcPr>
          <w:p w14:paraId="06AFD970">
            <w:pPr>
              <w:pStyle w:val="6"/>
              <w:spacing w:before="144" w:line="232" w:lineRule="auto"/>
              <w:ind w:left="123"/>
            </w:pPr>
            <w:r>
              <w:rPr>
                <w:spacing w:val="-2"/>
              </w:rPr>
              <w:t>0.001</w:t>
            </w:r>
          </w:p>
        </w:tc>
        <w:tc>
          <w:tcPr>
            <w:tcW w:w="851" w:type="dxa"/>
            <w:vAlign w:val="top"/>
          </w:tcPr>
          <w:p w14:paraId="32F9B1DD">
            <w:pPr>
              <w:pStyle w:val="6"/>
              <w:spacing w:before="144" w:line="232" w:lineRule="auto"/>
              <w:ind w:left="80"/>
            </w:pPr>
            <w:r>
              <w:rPr>
                <w:spacing w:val="-1"/>
              </w:rPr>
              <w:t>0.0005L</w:t>
            </w:r>
          </w:p>
        </w:tc>
        <w:tc>
          <w:tcPr>
            <w:tcW w:w="708" w:type="dxa"/>
            <w:vAlign w:val="top"/>
          </w:tcPr>
          <w:p w14:paraId="52115C69">
            <w:pPr>
              <w:pStyle w:val="6"/>
              <w:spacing w:before="144" w:line="232" w:lineRule="auto"/>
              <w:ind w:left="60"/>
            </w:pPr>
            <w:r>
              <w:rPr>
                <w:spacing w:val="-2"/>
              </w:rPr>
              <w:t>0.004L</w:t>
            </w:r>
          </w:p>
        </w:tc>
        <w:tc>
          <w:tcPr>
            <w:tcW w:w="851" w:type="dxa"/>
            <w:vAlign w:val="top"/>
          </w:tcPr>
          <w:p w14:paraId="75440A8D">
            <w:pPr>
              <w:pStyle w:val="6"/>
              <w:spacing w:before="144" w:line="232" w:lineRule="auto"/>
              <w:ind w:left="81"/>
            </w:pPr>
            <w:r>
              <w:rPr>
                <w:spacing w:val="-1"/>
              </w:rPr>
              <w:t>0.0025L</w:t>
            </w:r>
          </w:p>
        </w:tc>
        <w:tc>
          <w:tcPr>
            <w:tcW w:w="851" w:type="dxa"/>
            <w:vAlign w:val="top"/>
          </w:tcPr>
          <w:p w14:paraId="70D2B22D">
            <w:pPr>
              <w:pStyle w:val="6"/>
              <w:spacing w:before="144" w:line="232" w:lineRule="auto"/>
              <w:ind w:left="82"/>
            </w:pPr>
            <w:r>
              <w:rPr>
                <w:spacing w:val="-1"/>
              </w:rPr>
              <w:t>0.0001L</w:t>
            </w:r>
          </w:p>
        </w:tc>
        <w:tc>
          <w:tcPr>
            <w:tcW w:w="847" w:type="dxa"/>
            <w:vAlign w:val="top"/>
          </w:tcPr>
          <w:p w14:paraId="1A15B79F">
            <w:pPr>
              <w:pStyle w:val="6"/>
              <w:spacing w:before="144" w:line="232" w:lineRule="auto"/>
              <w:ind w:left="80"/>
            </w:pPr>
            <w:r>
              <w:rPr>
                <w:spacing w:val="-1"/>
              </w:rPr>
              <w:t>0.0004L</w:t>
            </w:r>
          </w:p>
        </w:tc>
        <w:tc>
          <w:tcPr>
            <w:tcW w:w="708" w:type="dxa"/>
            <w:vAlign w:val="top"/>
          </w:tcPr>
          <w:p w14:paraId="23E8930E">
            <w:pPr>
              <w:pStyle w:val="6"/>
              <w:spacing w:before="144" w:line="232" w:lineRule="auto"/>
              <w:ind w:left="64"/>
            </w:pPr>
            <w:r>
              <w:rPr>
                <w:spacing w:val="-2"/>
              </w:rPr>
              <w:t>0.002L</w:t>
            </w:r>
          </w:p>
        </w:tc>
        <w:tc>
          <w:tcPr>
            <w:tcW w:w="566" w:type="dxa"/>
            <w:vAlign w:val="top"/>
          </w:tcPr>
          <w:p w14:paraId="0D3F0849">
            <w:pPr>
              <w:pStyle w:val="6"/>
              <w:spacing w:before="144" w:line="232" w:lineRule="auto"/>
              <w:ind w:left="100"/>
            </w:pPr>
            <w:r>
              <w:rPr>
                <w:spacing w:val="-2"/>
              </w:rPr>
              <w:t>0.2L</w:t>
            </w:r>
          </w:p>
        </w:tc>
        <w:tc>
          <w:tcPr>
            <w:tcW w:w="428" w:type="dxa"/>
            <w:vAlign w:val="top"/>
          </w:tcPr>
          <w:p w14:paraId="0E354EB9">
            <w:pPr>
              <w:pStyle w:val="6"/>
              <w:spacing w:before="144" w:line="232" w:lineRule="auto"/>
              <w:ind w:right="2"/>
              <w:jc w:val="right"/>
            </w:pPr>
            <w:r>
              <w:rPr>
                <w:spacing w:val="-2"/>
              </w:rPr>
              <w:t>0.5L</w:t>
            </w:r>
          </w:p>
        </w:tc>
        <w:tc>
          <w:tcPr>
            <w:tcW w:w="570" w:type="dxa"/>
            <w:vAlign w:val="top"/>
          </w:tcPr>
          <w:p w14:paraId="2E267C1D">
            <w:pPr>
              <w:pStyle w:val="6"/>
              <w:spacing w:before="148" w:line="232" w:lineRule="auto"/>
              <w:ind w:left="244"/>
            </w:pPr>
            <w:r>
              <w:rPr>
                <w:b/>
                <w:bCs/>
              </w:rPr>
              <w:t>2</w:t>
            </w:r>
          </w:p>
        </w:tc>
        <w:tc>
          <w:tcPr>
            <w:tcW w:w="559" w:type="dxa"/>
            <w:gridSpan w:val="2"/>
            <w:tcBorders>
              <w:right w:val="single" w:color="000000" w:sz="12" w:space="0"/>
            </w:tcBorders>
            <w:vAlign w:val="top"/>
          </w:tcPr>
          <w:p w14:paraId="336799AF">
            <w:pPr>
              <w:pStyle w:val="6"/>
              <w:spacing w:before="148" w:line="229" w:lineRule="auto"/>
              <w:ind w:left="133"/>
            </w:pPr>
            <w:r>
              <w:rPr>
                <w:b/>
                <w:bCs/>
                <w:spacing w:val="-4"/>
              </w:rPr>
              <w:t>120</w:t>
            </w:r>
          </w:p>
        </w:tc>
      </w:tr>
      <w:tr w14:paraId="65067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6E4D63CE">
            <w:pPr>
              <w:rPr>
                <w:rFonts w:ascii="Arial"/>
                <w:sz w:val="21"/>
              </w:rPr>
            </w:pPr>
          </w:p>
        </w:tc>
        <w:tc>
          <w:tcPr>
            <w:tcW w:w="265" w:type="dxa"/>
            <w:vMerge w:val="continue"/>
            <w:tcBorders>
              <w:top w:val="nil"/>
            </w:tcBorders>
            <w:vAlign w:val="top"/>
          </w:tcPr>
          <w:p w14:paraId="01BC1A67">
            <w:pPr>
              <w:rPr>
                <w:rFonts w:ascii="Arial"/>
                <w:sz w:val="21"/>
              </w:rPr>
            </w:pPr>
          </w:p>
        </w:tc>
        <w:tc>
          <w:tcPr>
            <w:tcW w:w="1014" w:type="dxa"/>
            <w:vAlign w:val="top"/>
          </w:tcPr>
          <w:p w14:paraId="577F2173">
            <w:pPr>
              <w:pStyle w:val="6"/>
              <w:spacing w:before="145" w:line="232" w:lineRule="auto"/>
              <w:ind w:left="14"/>
            </w:pPr>
            <w:r>
              <w:rPr>
                <w:spacing w:val="-1"/>
              </w:rPr>
              <w:t>2020/11/15</w:t>
            </w:r>
          </w:p>
        </w:tc>
        <w:tc>
          <w:tcPr>
            <w:tcW w:w="737" w:type="dxa"/>
            <w:vAlign w:val="top"/>
          </w:tcPr>
          <w:p w14:paraId="49AB86D4">
            <w:pPr>
              <w:pStyle w:val="6"/>
              <w:spacing w:before="151" w:line="183" w:lineRule="auto"/>
              <w:ind w:left="243"/>
            </w:pPr>
            <w:r>
              <w:rPr>
                <w:spacing w:val="-3"/>
              </w:rPr>
              <w:t>5L</w:t>
            </w:r>
          </w:p>
        </w:tc>
        <w:tc>
          <w:tcPr>
            <w:tcW w:w="708" w:type="dxa"/>
            <w:vAlign w:val="top"/>
          </w:tcPr>
          <w:p w14:paraId="13DAA848">
            <w:pPr>
              <w:pStyle w:val="6"/>
              <w:spacing w:before="145" w:line="232" w:lineRule="auto"/>
              <w:ind w:left="148"/>
            </w:pPr>
            <w:r>
              <w:rPr>
                <w:spacing w:val="-2"/>
              </w:rPr>
              <w:t>0.5L</w:t>
            </w:r>
          </w:p>
        </w:tc>
        <w:tc>
          <w:tcPr>
            <w:tcW w:w="851" w:type="dxa"/>
            <w:vAlign w:val="top"/>
          </w:tcPr>
          <w:p w14:paraId="199662D8">
            <w:pPr>
              <w:pStyle w:val="6"/>
              <w:spacing w:before="145" w:line="232" w:lineRule="auto"/>
              <w:ind w:left="233"/>
            </w:pPr>
            <w:r>
              <w:rPr>
                <w:spacing w:val="-2"/>
              </w:rPr>
              <w:t>7.96</w:t>
            </w:r>
          </w:p>
        </w:tc>
        <w:tc>
          <w:tcPr>
            <w:tcW w:w="708" w:type="dxa"/>
            <w:vAlign w:val="top"/>
          </w:tcPr>
          <w:p w14:paraId="1250C925">
            <w:pPr>
              <w:pStyle w:val="6"/>
              <w:spacing w:before="145" w:line="232" w:lineRule="auto"/>
              <w:ind w:left="44"/>
            </w:pPr>
            <w:r>
              <w:rPr>
                <w:spacing w:val="-2"/>
              </w:rPr>
              <w:t>0.040L</w:t>
            </w:r>
          </w:p>
        </w:tc>
        <w:tc>
          <w:tcPr>
            <w:tcW w:w="842" w:type="dxa"/>
            <w:vAlign w:val="top"/>
          </w:tcPr>
          <w:p w14:paraId="7DEB2D93">
            <w:pPr>
              <w:pStyle w:val="6"/>
              <w:spacing w:before="145" w:line="232" w:lineRule="auto"/>
              <w:ind w:left="61"/>
            </w:pPr>
            <w:r>
              <w:rPr>
                <w:spacing w:val="-1"/>
              </w:rPr>
              <w:t>0.0045L</w:t>
            </w:r>
          </w:p>
        </w:tc>
        <w:tc>
          <w:tcPr>
            <w:tcW w:w="851" w:type="dxa"/>
            <w:vAlign w:val="top"/>
          </w:tcPr>
          <w:p w14:paraId="3FFA8C5A">
            <w:pPr>
              <w:pStyle w:val="6"/>
              <w:spacing w:before="145" w:line="232" w:lineRule="auto"/>
              <w:ind w:left="67"/>
            </w:pPr>
            <w:r>
              <w:rPr>
                <w:spacing w:val="-1"/>
              </w:rPr>
              <w:t>0.0005L</w:t>
            </w:r>
          </w:p>
        </w:tc>
        <w:tc>
          <w:tcPr>
            <w:tcW w:w="708" w:type="dxa"/>
            <w:vAlign w:val="top"/>
          </w:tcPr>
          <w:p w14:paraId="4C29E223">
            <w:pPr>
              <w:pStyle w:val="6"/>
              <w:spacing w:before="145" w:line="232" w:lineRule="auto"/>
              <w:ind w:left="48"/>
            </w:pPr>
            <w:r>
              <w:rPr>
                <w:spacing w:val="-2"/>
              </w:rPr>
              <w:t>0.009L</w:t>
            </w:r>
          </w:p>
        </w:tc>
        <w:tc>
          <w:tcPr>
            <w:tcW w:w="847" w:type="dxa"/>
            <w:vAlign w:val="top"/>
          </w:tcPr>
          <w:p w14:paraId="26F238A2">
            <w:pPr>
              <w:pStyle w:val="6"/>
              <w:spacing w:before="145" w:line="232" w:lineRule="auto"/>
              <w:ind w:left="184"/>
            </w:pPr>
            <w:r>
              <w:rPr>
                <w:spacing w:val="-2"/>
              </w:rPr>
              <w:t>0.001</w:t>
            </w:r>
          </w:p>
        </w:tc>
        <w:tc>
          <w:tcPr>
            <w:tcW w:w="565" w:type="dxa"/>
            <w:vAlign w:val="top"/>
          </w:tcPr>
          <w:p w14:paraId="634FCBA2">
            <w:pPr>
              <w:pStyle w:val="6"/>
              <w:spacing w:before="145" w:line="232" w:lineRule="auto"/>
              <w:ind w:left="94"/>
            </w:pPr>
            <w:r>
              <w:rPr>
                <w:spacing w:val="-1"/>
              </w:rPr>
              <w:t>24.4</w:t>
            </w:r>
          </w:p>
        </w:tc>
        <w:tc>
          <w:tcPr>
            <w:tcW w:w="567" w:type="dxa"/>
            <w:vAlign w:val="top"/>
          </w:tcPr>
          <w:p w14:paraId="0B00A1D6">
            <w:pPr>
              <w:pStyle w:val="6"/>
              <w:spacing w:before="145" w:line="232" w:lineRule="auto"/>
              <w:ind w:left="152"/>
            </w:pPr>
            <w:r>
              <w:rPr>
                <w:spacing w:val="-3"/>
              </w:rPr>
              <w:t>6.3</w:t>
            </w:r>
          </w:p>
        </w:tc>
        <w:tc>
          <w:tcPr>
            <w:tcW w:w="851" w:type="dxa"/>
            <w:vAlign w:val="top"/>
          </w:tcPr>
          <w:p w14:paraId="5D8E1190">
            <w:pPr>
              <w:pStyle w:val="6"/>
              <w:spacing w:before="145" w:line="232" w:lineRule="auto"/>
              <w:ind w:left="270"/>
            </w:pPr>
            <w:r>
              <w:rPr>
                <w:spacing w:val="-2"/>
              </w:rPr>
              <w:t>314</w:t>
            </w:r>
          </w:p>
        </w:tc>
        <w:tc>
          <w:tcPr>
            <w:tcW w:w="566" w:type="dxa"/>
            <w:vAlign w:val="top"/>
          </w:tcPr>
          <w:p w14:paraId="22B8CFA9">
            <w:pPr>
              <w:pStyle w:val="6"/>
              <w:spacing w:before="145" w:line="232" w:lineRule="auto"/>
              <w:ind w:left="124"/>
            </w:pPr>
            <w:r>
              <w:rPr>
                <w:spacing w:val="-1"/>
              </w:rPr>
              <w:t>252</w:t>
            </w:r>
          </w:p>
        </w:tc>
        <w:tc>
          <w:tcPr>
            <w:tcW w:w="567" w:type="dxa"/>
            <w:vAlign w:val="top"/>
          </w:tcPr>
          <w:p w14:paraId="734BF51C">
            <w:pPr>
              <w:pStyle w:val="6"/>
              <w:spacing w:before="145" w:line="232" w:lineRule="auto"/>
              <w:ind w:left="101"/>
            </w:pPr>
            <w:r>
              <w:rPr>
                <w:spacing w:val="-2"/>
              </w:rPr>
              <w:t>0.96</w:t>
            </w:r>
          </w:p>
        </w:tc>
        <w:tc>
          <w:tcPr>
            <w:tcW w:w="851" w:type="dxa"/>
            <w:vAlign w:val="top"/>
          </w:tcPr>
          <w:p w14:paraId="042591B1">
            <w:pPr>
              <w:pStyle w:val="6"/>
              <w:spacing w:before="145" w:line="232" w:lineRule="auto"/>
              <w:ind w:left="127"/>
            </w:pPr>
            <w:r>
              <w:rPr>
                <w:spacing w:val="-2"/>
              </w:rPr>
              <w:t>0.002L</w:t>
            </w:r>
          </w:p>
        </w:tc>
        <w:tc>
          <w:tcPr>
            <w:tcW w:w="707" w:type="dxa"/>
            <w:vAlign w:val="top"/>
          </w:tcPr>
          <w:p w14:paraId="7677F8F1">
            <w:pPr>
              <w:pStyle w:val="6"/>
              <w:spacing w:before="145" w:line="232" w:lineRule="auto"/>
              <w:ind w:left="56"/>
            </w:pPr>
            <w:r>
              <w:rPr>
                <w:spacing w:val="-2"/>
              </w:rPr>
              <w:t>0.050L</w:t>
            </w:r>
          </w:p>
        </w:tc>
        <w:tc>
          <w:tcPr>
            <w:tcW w:w="708" w:type="dxa"/>
            <w:vAlign w:val="top"/>
          </w:tcPr>
          <w:p w14:paraId="6F09690F">
            <w:pPr>
              <w:pStyle w:val="6"/>
              <w:spacing w:before="145" w:line="232" w:lineRule="auto"/>
              <w:ind w:left="123"/>
            </w:pPr>
            <w:r>
              <w:rPr>
                <w:spacing w:val="-2"/>
              </w:rPr>
              <w:t>0.001</w:t>
            </w:r>
          </w:p>
        </w:tc>
        <w:tc>
          <w:tcPr>
            <w:tcW w:w="851" w:type="dxa"/>
            <w:vAlign w:val="top"/>
          </w:tcPr>
          <w:p w14:paraId="273E2CC4">
            <w:pPr>
              <w:pStyle w:val="6"/>
              <w:spacing w:before="145" w:line="232" w:lineRule="auto"/>
              <w:ind w:left="80"/>
            </w:pPr>
            <w:r>
              <w:rPr>
                <w:spacing w:val="-1"/>
              </w:rPr>
              <w:t>0.0005L</w:t>
            </w:r>
          </w:p>
        </w:tc>
        <w:tc>
          <w:tcPr>
            <w:tcW w:w="708" w:type="dxa"/>
            <w:vAlign w:val="top"/>
          </w:tcPr>
          <w:p w14:paraId="0F0D8AE5">
            <w:pPr>
              <w:pStyle w:val="6"/>
              <w:spacing w:before="145" w:line="232" w:lineRule="auto"/>
              <w:ind w:left="60"/>
            </w:pPr>
            <w:r>
              <w:rPr>
                <w:spacing w:val="-2"/>
              </w:rPr>
              <w:t>0.004L</w:t>
            </w:r>
          </w:p>
        </w:tc>
        <w:tc>
          <w:tcPr>
            <w:tcW w:w="851" w:type="dxa"/>
            <w:vAlign w:val="top"/>
          </w:tcPr>
          <w:p w14:paraId="6CA6DB71">
            <w:pPr>
              <w:pStyle w:val="6"/>
              <w:spacing w:before="145" w:line="232" w:lineRule="auto"/>
              <w:ind w:left="81"/>
            </w:pPr>
            <w:r>
              <w:rPr>
                <w:spacing w:val="-1"/>
              </w:rPr>
              <w:t>0.0025L</w:t>
            </w:r>
          </w:p>
        </w:tc>
        <w:tc>
          <w:tcPr>
            <w:tcW w:w="851" w:type="dxa"/>
            <w:vAlign w:val="top"/>
          </w:tcPr>
          <w:p w14:paraId="4053E47B">
            <w:pPr>
              <w:pStyle w:val="6"/>
              <w:spacing w:before="145" w:line="232" w:lineRule="auto"/>
              <w:ind w:left="145"/>
            </w:pPr>
            <w:r>
              <w:rPr>
                <w:spacing w:val="-2"/>
              </w:rPr>
              <w:t>0.0001</w:t>
            </w:r>
          </w:p>
        </w:tc>
        <w:tc>
          <w:tcPr>
            <w:tcW w:w="847" w:type="dxa"/>
            <w:vAlign w:val="top"/>
          </w:tcPr>
          <w:p w14:paraId="189E208C">
            <w:pPr>
              <w:pStyle w:val="6"/>
              <w:spacing w:before="145" w:line="232" w:lineRule="auto"/>
              <w:ind w:left="80"/>
            </w:pPr>
            <w:r>
              <w:rPr>
                <w:spacing w:val="-1"/>
              </w:rPr>
              <w:t>0.0004L</w:t>
            </w:r>
          </w:p>
        </w:tc>
        <w:tc>
          <w:tcPr>
            <w:tcW w:w="708" w:type="dxa"/>
            <w:vAlign w:val="top"/>
          </w:tcPr>
          <w:p w14:paraId="3FA77219">
            <w:pPr>
              <w:pStyle w:val="6"/>
              <w:spacing w:before="145" w:line="232" w:lineRule="auto"/>
              <w:ind w:left="64"/>
            </w:pPr>
            <w:r>
              <w:rPr>
                <w:spacing w:val="-2"/>
              </w:rPr>
              <w:t>0.002L</w:t>
            </w:r>
          </w:p>
        </w:tc>
        <w:tc>
          <w:tcPr>
            <w:tcW w:w="566" w:type="dxa"/>
            <w:vAlign w:val="top"/>
          </w:tcPr>
          <w:p w14:paraId="5183069E">
            <w:pPr>
              <w:pStyle w:val="6"/>
              <w:spacing w:before="145" w:line="232" w:lineRule="auto"/>
              <w:ind w:left="164"/>
            </w:pPr>
            <w:r>
              <w:rPr>
                <w:spacing w:val="-3"/>
              </w:rPr>
              <w:t>0.4</w:t>
            </w:r>
          </w:p>
        </w:tc>
        <w:tc>
          <w:tcPr>
            <w:tcW w:w="428" w:type="dxa"/>
            <w:vAlign w:val="top"/>
          </w:tcPr>
          <w:p w14:paraId="4A77B519">
            <w:pPr>
              <w:pStyle w:val="6"/>
              <w:spacing w:before="145" w:line="232" w:lineRule="auto"/>
              <w:ind w:right="2"/>
              <w:jc w:val="right"/>
            </w:pPr>
            <w:r>
              <w:rPr>
                <w:spacing w:val="-2"/>
              </w:rPr>
              <w:t>0.5L</w:t>
            </w:r>
          </w:p>
        </w:tc>
        <w:tc>
          <w:tcPr>
            <w:tcW w:w="570" w:type="dxa"/>
            <w:vAlign w:val="top"/>
          </w:tcPr>
          <w:p w14:paraId="4D270120">
            <w:pPr>
              <w:pStyle w:val="6"/>
              <w:spacing w:before="149" w:line="229" w:lineRule="auto"/>
              <w:ind w:left="140"/>
            </w:pPr>
            <w:r>
              <w:rPr>
                <w:b/>
                <w:bCs/>
                <w:spacing w:val="-2"/>
              </w:rPr>
              <w:t>920</w:t>
            </w:r>
          </w:p>
        </w:tc>
        <w:tc>
          <w:tcPr>
            <w:tcW w:w="559" w:type="dxa"/>
            <w:gridSpan w:val="2"/>
            <w:tcBorders>
              <w:right w:val="single" w:color="000000" w:sz="12" w:space="0"/>
            </w:tcBorders>
            <w:vAlign w:val="top"/>
          </w:tcPr>
          <w:p w14:paraId="068CF711">
            <w:pPr>
              <w:pStyle w:val="6"/>
              <w:spacing w:before="149" w:line="229" w:lineRule="auto"/>
              <w:ind w:left="124"/>
            </w:pPr>
            <w:r>
              <w:rPr>
                <w:b/>
                <w:bCs/>
                <w:spacing w:val="-2"/>
              </w:rPr>
              <w:t>410</w:t>
            </w:r>
          </w:p>
        </w:tc>
      </w:tr>
      <w:tr w14:paraId="2EFED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2605D159">
            <w:pPr>
              <w:rPr>
                <w:rFonts w:ascii="Arial"/>
                <w:sz w:val="21"/>
              </w:rPr>
            </w:pPr>
          </w:p>
        </w:tc>
        <w:tc>
          <w:tcPr>
            <w:tcW w:w="265" w:type="dxa"/>
            <w:vMerge w:val="restart"/>
            <w:tcBorders>
              <w:bottom w:val="nil"/>
            </w:tcBorders>
            <w:vAlign w:val="top"/>
          </w:tcPr>
          <w:p w14:paraId="739E819E">
            <w:pPr>
              <w:pStyle w:val="6"/>
              <w:spacing w:before="289" w:line="233" w:lineRule="auto"/>
              <w:ind w:left="14" w:right="38" w:firstLine="48"/>
              <w:jc w:val="both"/>
              <w:rPr>
                <w:rFonts w:ascii="等线" w:hAnsi="等线" w:eastAsia="等线" w:cs="等线"/>
              </w:rPr>
            </w:pPr>
            <w:r>
              <w:rPr>
                <w:spacing w:val="-4"/>
              </w:rPr>
              <w:t>4</w:t>
            </w:r>
            <w:r>
              <w:rPr>
                <w:rFonts w:ascii="等线" w:hAnsi="等线" w:eastAsia="等线" w:cs="等线"/>
                <w:spacing w:val="-8"/>
              </w:rPr>
              <w:t>季度</w:t>
            </w:r>
          </w:p>
        </w:tc>
        <w:tc>
          <w:tcPr>
            <w:tcW w:w="1014" w:type="dxa"/>
            <w:vAlign w:val="top"/>
          </w:tcPr>
          <w:p w14:paraId="74162445">
            <w:pPr>
              <w:pStyle w:val="6"/>
              <w:spacing w:before="147" w:line="232" w:lineRule="auto"/>
              <w:ind w:left="14"/>
            </w:pPr>
            <w:r>
              <w:rPr>
                <w:spacing w:val="-1"/>
              </w:rPr>
              <w:t>2020/11/16</w:t>
            </w:r>
          </w:p>
        </w:tc>
        <w:tc>
          <w:tcPr>
            <w:tcW w:w="737" w:type="dxa"/>
            <w:vAlign w:val="top"/>
          </w:tcPr>
          <w:p w14:paraId="5384E094">
            <w:pPr>
              <w:pStyle w:val="6"/>
              <w:spacing w:before="154" w:line="183" w:lineRule="auto"/>
              <w:ind w:left="243"/>
            </w:pPr>
            <w:r>
              <w:rPr>
                <w:spacing w:val="-3"/>
              </w:rPr>
              <w:t>5L</w:t>
            </w:r>
          </w:p>
        </w:tc>
        <w:tc>
          <w:tcPr>
            <w:tcW w:w="708" w:type="dxa"/>
            <w:vAlign w:val="top"/>
          </w:tcPr>
          <w:p w14:paraId="5D8BDC34">
            <w:pPr>
              <w:pStyle w:val="6"/>
              <w:spacing w:before="147" w:line="232" w:lineRule="auto"/>
              <w:ind w:left="148"/>
            </w:pPr>
            <w:r>
              <w:rPr>
                <w:spacing w:val="-2"/>
              </w:rPr>
              <w:t>0.5L</w:t>
            </w:r>
          </w:p>
        </w:tc>
        <w:tc>
          <w:tcPr>
            <w:tcW w:w="851" w:type="dxa"/>
            <w:vAlign w:val="top"/>
          </w:tcPr>
          <w:p w14:paraId="31D4D88F">
            <w:pPr>
              <w:pStyle w:val="6"/>
              <w:spacing w:before="147" w:line="232" w:lineRule="auto"/>
              <w:ind w:left="233"/>
            </w:pPr>
            <w:r>
              <w:rPr>
                <w:spacing w:val="-2"/>
              </w:rPr>
              <w:t>7.90</w:t>
            </w:r>
          </w:p>
        </w:tc>
        <w:tc>
          <w:tcPr>
            <w:tcW w:w="708" w:type="dxa"/>
            <w:vAlign w:val="top"/>
          </w:tcPr>
          <w:p w14:paraId="7C6B7D7D">
            <w:pPr>
              <w:pStyle w:val="6"/>
              <w:spacing w:before="147" w:line="232" w:lineRule="auto"/>
              <w:ind w:left="44"/>
            </w:pPr>
            <w:r>
              <w:rPr>
                <w:spacing w:val="-2"/>
              </w:rPr>
              <w:t>0.040L</w:t>
            </w:r>
          </w:p>
        </w:tc>
        <w:tc>
          <w:tcPr>
            <w:tcW w:w="842" w:type="dxa"/>
            <w:vAlign w:val="top"/>
          </w:tcPr>
          <w:p w14:paraId="208F7EA6">
            <w:pPr>
              <w:pStyle w:val="6"/>
              <w:spacing w:before="147" w:line="232" w:lineRule="auto"/>
              <w:ind w:left="61"/>
            </w:pPr>
            <w:r>
              <w:rPr>
                <w:spacing w:val="-1"/>
              </w:rPr>
              <w:t>0.0045L</w:t>
            </w:r>
          </w:p>
        </w:tc>
        <w:tc>
          <w:tcPr>
            <w:tcW w:w="851" w:type="dxa"/>
            <w:vAlign w:val="top"/>
          </w:tcPr>
          <w:p w14:paraId="6A8CB125">
            <w:pPr>
              <w:pStyle w:val="6"/>
              <w:spacing w:before="147" w:line="232" w:lineRule="auto"/>
              <w:ind w:left="67"/>
            </w:pPr>
            <w:r>
              <w:rPr>
                <w:spacing w:val="-1"/>
              </w:rPr>
              <w:t>0.0005L</w:t>
            </w:r>
          </w:p>
        </w:tc>
        <w:tc>
          <w:tcPr>
            <w:tcW w:w="708" w:type="dxa"/>
            <w:vAlign w:val="top"/>
          </w:tcPr>
          <w:p w14:paraId="4F4F4019">
            <w:pPr>
              <w:pStyle w:val="6"/>
              <w:spacing w:before="147" w:line="232" w:lineRule="auto"/>
              <w:ind w:left="48"/>
            </w:pPr>
            <w:r>
              <w:rPr>
                <w:spacing w:val="-2"/>
              </w:rPr>
              <w:t>0.009L</w:t>
            </w:r>
          </w:p>
        </w:tc>
        <w:tc>
          <w:tcPr>
            <w:tcW w:w="847" w:type="dxa"/>
            <w:vAlign w:val="top"/>
          </w:tcPr>
          <w:p w14:paraId="57E238B0">
            <w:pPr>
              <w:pStyle w:val="6"/>
              <w:spacing w:before="147" w:line="232" w:lineRule="auto"/>
              <w:ind w:left="184"/>
            </w:pPr>
            <w:r>
              <w:rPr>
                <w:spacing w:val="-2"/>
              </w:rPr>
              <w:t>0.001</w:t>
            </w:r>
          </w:p>
        </w:tc>
        <w:tc>
          <w:tcPr>
            <w:tcW w:w="565" w:type="dxa"/>
            <w:vAlign w:val="top"/>
          </w:tcPr>
          <w:p w14:paraId="023E33E0">
            <w:pPr>
              <w:pStyle w:val="6"/>
              <w:spacing w:before="147" w:line="232" w:lineRule="auto"/>
              <w:ind w:left="94"/>
            </w:pPr>
            <w:r>
              <w:rPr>
                <w:spacing w:val="-1"/>
              </w:rPr>
              <w:t>24.1</w:t>
            </w:r>
          </w:p>
        </w:tc>
        <w:tc>
          <w:tcPr>
            <w:tcW w:w="567" w:type="dxa"/>
            <w:vAlign w:val="top"/>
          </w:tcPr>
          <w:p w14:paraId="5729E33D">
            <w:pPr>
              <w:pStyle w:val="6"/>
              <w:spacing w:before="147" w:line="232" w:lineRule="auto"/>
              <w:ind w:left="152"/>
            </w:pPr>
            <w:r>
              <w:rPr>
                <w:spacing w:val="-3"/>
              </w:rPr>
              <w:t>6.7</w:t>
            </w:r>
          </w:p>
        </w:tc>
        <w:tc>
          <w:tcPr>
            <w:tcW w:w="851" w:type="dxa"/>
            <w:vAlign w:val="top"/>
          </w:tcPr>
          <w:p w14:paraId="36A16964">
            <w:pPr>
              <w:pStyle w:val="6"/>
              <w:spacing w:before="147" w:line="232" w:lineRule="auto"/>
              <w:ind w:left="270"/>
            </w:pPr>
            <w:r>
              <w:rPr>
                <w:spacing w:val="-2"/>
              </w:rPr>
              <w:t>321</w:t>
            </w:r>
          </w:p>
        </w:tc>
        <w:tc>
          <w:tcPr>
            <w:tcW w:w="566" w:type="dxa"/>
            <w:vAlign w:val="top"/>
          </w:tcPr>
          <w:p w14:paraId="323E5555">
            <w:pPr>
              <w:pStyle w:val="6"/>
              <w:spacing w:before="147" w:line="232" w:lineRule="auto"/>
              <w:ind w:left="124"/>
            </w:pPr>
            <w:r>
              <w:rPr>
                <w:spacing w:val="-1"/>
              </w:rPr>
              <w:t>260</w:t>
            </w:r>
          </w:p>
        </w:tc>
        <w:tc>
          <w:tcPr>
            <w:tcW w:w="567" w:type="dxa"/>
            <w:vAlign w:val="top"/>
          </w:tcPr>
          <w:p w14:paraId="08F59A02">
            <w:pPr>
              <w:pStyle w:val="6"/>
              <w:spacing w:before="147" w:line="232" w:lineRule="auto"/>
              <w:ind w:left="101"/>
            </w:pPr>
            <w:r>
              <w:rPr>
                <w:spacing w:val="-2"/>
              </w:rPr>
              <w:t>0.92</w:t>
            </w:r>
          </w:p>
        </w:tc>
        <w:tc>
          <w:tcPr>
            <w:tcW w:w="851" w:type="dxa"/>
            <w:vAlign w:val="top"/>
          </w:tcPr>
          <w:p w14:paraId="084D200A">
            <w:pPr>
              <w:pStyle w:val="6"/>
              <w:spacing w:before="147" w:line="232" w:lineRule="auto"/>
              <w:ind w:left="127"/>
            </w:pPr>
            <w:r>
              <w:rPr>
                <w:spacing w:val="-2"/>
              </w:rPr>
              <w:t>0.002L</w:t>
            </w:r>
          </w:p>
        </w:tc>
        <w:tc>
          <w:tcPr>
            <w:tcW w:w="707" w:type="dxa"/>
            <w:vAlign w:val="top"/>
          </w:tcPr>
          <w:p w14:paraId="3F2E1032">
            <w:pPr>
              <w:pStyle w:val="6"/>
              <w:spacing w:before="147" w:line="232" w:lineRule="auto"/>
              <w:ind w:left="56"/>
            </w:pPr>
            <w:r>
              <w:rPr>
                <w:spacing w:val="-2"/>
              </w:rPr>
              <w:t>0.050L</w:t>
            </w:r>
          </w:p>
        </w:tc>
        <w:tc>
          <w:tcPr>
            <w:tcW w:w="708" w:type="dxa"/>
            <w:vAlign w:val="top"/>
          </w:tcPr>
          <w:p w14:paraId="00C2F05E">
            <w:pPr>
              <w:pStyle w:val="6"/>
              <w:spacing w:before="147" w:line="232" w:lineRule="auto"/>
              <w:ind w:left="123"/>
            </w:pPr>
            <w:r>
              <w:rPr>
                <w:spacing w:val="-2"/>
              </w:rPr>
              <w:t>0.001</w:t>
            </w:r>
          </w:p>
        </w:tc>
        <w:tc>
          <w:tcPr>
            <w:tcW w:w="851" w:type="dxa"/>
            <w:vAlign w:val="top"/>
          </w:tcPr>
          <w:p w14:paraId="0C14B533">
            <w:pPr>
              <w:pStyle w:val="6"/>
              <w:spacing w:before="147" w:line="232" w:lineRule="auto"/>
              <w:ind w:left="80"/>
            </w:pPr>
            <w:r>
              <w:rPr>
                <w:spacing w:val="-1"/>
              </w:rPr>
              <w:t>0.0005L</w:t>
            </w:r>
          </w:p>
        </w:tc>
        <w:tc>
          <w:tcPr>
            <w:tcW w:w="708" w:type="dxa"/>
            <w:vAlign w:val="top"/>
          </w:tcPr>
          <w:p w14:paraId="2CE4BB2F">
            <w:pPr>
              <w:pStyle w:val="6"/>
              <w:spacing w:before="147" w:line="232" w:lineRule="auto"/>
              <w:ind w:left="60"/>
            </w:pPr>
            <w:r>
              <w:rPr>
                <w:spacing w:val="-2"/>
              </w:rPr>
              <w:t>0.004L</w:t>
            </w:r>
          </w:p>
        </w:tc>
        <w:tc>
          <w:tcPr>
            <w:tcW w:w="851" w:type="dxa"/>
            <w:vAlign w:val="top"/>
          </w:tcPr>
          <w:p w14:paraId="0373DA6C">
            <w:pPr>
              <w:pStyle w:val="6"/>
              <w:spacing w:before="147" w:line="232" w:lineRule="auto"/>
              <w:ind w:left="81"/>
            </w:pPr>
            <w:r>
              <w:rPr>
                <w:spacing w:val="-1"/>
              </w:rPr>
              <w:t>0.0025L</w:t>
            </w:r>
          </w:p>
        </w:tc>
        <w:tc>
          <w:tcPr>
            <w:tcW w:w="851" w:type="dxa"/>
            <w:vAlign w:val="top"/>
          </w:tcPr>
          <w:p w14:paraId="2E219F1B">
            <w:pPr>
              <w:pStyle w:val="6"/>
              <w:spacing w:before="147" w:line="232" w:lineRule="auto"/>
              <w:ind w:left="145"/>
            </w:pPr>
            <w:r>
              <w:rPr>
                <w:spacing w:val="-2"/>
              </w:rPr>
              <w:t>0.0001</w:t>
            </w:r>
          </w:p>
        </w:tc>
        <w:tc>
          <w:tcPr>
            <w:tcW w:w="847" w:type="dxa"/>
            <w:vAlign w:val="top"/>
          </w:tcPr>
          <w:p w14:paraId="6C6D3878">
            <w:pPr>
              <w:pStyle w:val="6"/>
              <w:spacing w:before="147" w:line="232" w:lineRule="auto"/>
              <w:ind w:left="80"/>
            </w:pPr>
            <w:r>
              <w:rPr>
                <w:spacing w:val="-1"/>
              </w:rPr>
              <w:t>0.0004L</w:t>
            </w:r>
          </w:p>
        </w:tc>
        <w:tc>
          <w:tcPr>
            <w:tcW w:w="708" w:type="dxa"/>
            <w:vAlign w:val="top"/>
          </w:tcPr>
          <w:p w14:paraId="14BEF595">
            <w:pPr>
              <w:pStyle w:val="6"/>
              <w:spacing w:before="147" w:line="232" w:lineRule="auto"/>
              <w:ind w:left="64"/>
            </w:pPr>
            <w:r>
              <w:rPr>
                <w:spacing w:val="-2"/>
              </w:rPr>
              <w:t>0.002L</w:t>
            </w:r>
          </w:p>
        </w:tc>
        <w:tc>
          <w:tcPr>
            <w:tcW w:w="566" w:type="dxa"/>
            <w:vAlign w:val="top"/>
          </w:tcPr>
          <w:p w14:paraId="67C527E1">
            <w:pPr>
              <w:pStyle w:val="6"/>
              <w:spacing w:before="147" w:line="232" w:lineRule="auto"/>
              <w:ind w:left="164"/>
            </w:pPr>
            <w:r>
              <w:rPr>
                <w:spacing w:val="-3"/>
              </w:rPr>
              <w:t>0.6</w:t>
            </w:r>
          </w:p>
        </w:tc>
        <w:tc>
          <w:tcPr>
            <w:tcW w:w="428" w:type="dxa"/>
            <w:vAlign w:val="top"/>
          </w:tcPr>
          <w:p w14:paraId="3592FCAF">
            <w:pPr>
              <w:pStyle w:val="6"/>
              <w:spacing w:before="147" w:line="232" w:lineRule="auto"/>
              <w:ind w:right="2"/>
              <w:jc w:val="right"/>
            </w:pPr>
            <w:r>
              <w:rPr>
                <w:spacing w:val="-2"/>
              </w:rPr>
              <w:t>0.5L</w:t>
            </w:r>
          </w:p>
        </w:tc>
        <w:tc>
          <w:tcPr>
            <w:tcW w:w="570" w:type="dxa"/>
            <w:vAlign w:val="top"/>
          </w:tcPr>
          <w:p w14:paraId="510F96E5">
            <w:pPr>
              <w:pStyle w:val="6"/>
              <w:spacing w:before="151" w:line="229" w:lineRule="auto"/>
              <w:ind w:left="140"/>
            </w:pPr>
            <w:r>
              <w:rPr>
                <w:b/>
                <w:bCs/>
                <w:spacing w:val="-2"/>
              </w:rPr>
              <w:t>950</w:t>
            </w:r>
          </w:p>
        </w:tc>
        <w:tc>
          <w:tcPr>
            <w:tcW w:w="559" w:type="dxa"/>
            <w:gridSpan w:val="2"/>
            <w:tcBorders>
              <w:right w:val="single" w:color="000000" w:sz="12" w:space="0"/>
            </w:tcBorders>
            <w:vAlign w:val="top"/>
          </w:tcPr>
          <w:p w14:paraId="274F8B98">
            <w:pPr>
              <w:pStyle w:val="6"/>
              <w:spacing w:before="151" w:line="229" w:lineRule="auto"/>
              <w:ind w:left="124"/>
            </w:pPr>
            <w:r>
              <w:rPr>
                <w:b/>
                <w:bCs/>
                <w:spacing w:val="-2"/>
              </w:rPr>
              <w:t>450</w:t>
            </w:r>
          </w:p>
        </w:tc>
      </w:tr>
      <w:tr w14:paraId="5DAB6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35EB56DB">
            <w:pPr>
              <w:rPr>
                <w:rFonts w:ascii="Arial"/>
                <w:sz w:val="21"/>
              </w:rPr>
            </w:pPr>
          </w:p>
        </w:tc>
        <w:tc>
          <w:tcPr>
            <w:tcW w:w="265" w:type="dxa"/>
            <w:vMerge w:val="continue"/>
            <w:tcBorders>
              <w:top w:val="nil"/>
              <w:bottom w:val="nil"/>
            </w:tcBorders>
            <w:vAlign w:val="top"/>
          </w:tcPr>
          <w:p w14:paraId="6AAD428C">
            <w:pPr>
              <w:rPr>
                <w:rFonts w:ascii="Arial"/>
                <w:sz w:val="21"/>
              </w:rPr>
            </w:pPr>
          </w:p>
        </w:tc>
        <w:tc>
          <w:tcPr>
            <w:tcW w:w="1014" w:type="dxa"/>
            <w:vAlign w:val="top"/>
          </w:tcPr>
          <w:p w14:paraId="6AC10C8E">
            <w:pPr>
              <w:pStyle w:val="6"/>
              <w:spacing w:before="147" w:line="232" w:lineRule="auto"/>
              <w:ind w:left="14"/>
            </w:pPr>
            <w:r>
              <w:rPr>
                <w:spacing w:val="-1"/>
              </w:rPr>
              <w:t>2020/11/17</w:t>
            </w:r>
          </w:p>
        </w:tc>
        <w:tc>
          <w:tcPr>
            <w:tcW w:w="737" w:type="dxa"/>
            <w:vAlign w:val="top"/>
          </w:tcPr>
          <w:p w14:paraId="41BEC583">
            <w:pPr>
              <w:pStyle w:val="6"/>
              <w:spacing w:before="154" w:line="183" w:lineRule="auto"/>
              <w:ind w:left="243"/>
            </w:pPr>
            <w:r>
              <w:rPr>
                <w:spacing w:val="-3"/>
              </w:rPr>
              <w:t>5L</w:t>
            </w:r>
          </w:p>
        </w:tc>
        <w:tc>
          <w:tcPr>
            <w:tcW w:w="708" w:type="dxa"/>
            <w:vAlign w:val="top"/>
          </w:tcPr>
          <w:p w14:paraId="749705B9">
            <w:pPr>
              <w:pStyle w:val="6"/>
              <w:spacing w:before="147" w:line="232" w:lineRule="auto"/>
              <w:ind w:left="148"/>
            </w:pPr>
            <w:r>
              <w:rPr>
                <w:spacing w:val="-2"/>
              </w:rPr>
              <w:t>0.5L</w:t>
            </w:r>
          </w:p>
        </w:tc>
        <w:tc>
          <w:tcPr>
            <w:tcW w:w="851" w:type="dxa"/>
            <w:vAlign w:val="top"/>
          </w:tcPr>
          <w:p w14:paraId="043F0D7D">
            <w:pPr>
              <w:pStyle w:val="6"/>
              <w:spacing w:before="147" w:line="232" w:lineRule="auto"/>
              <w:ind w:left="233"/>
            </w:pPr>
            <w:r>
              <w:rPr>
                <w:spacing w:val="-2"/>
              </w:rPr>
              <w:t>7.86</w:t>
            </w:r>
          </w:p>
        </w:tc>
        <w:tc>
          <w:tcPr>
            <w:tcW w:w="708" w:type="dxa"/>
            <w:vAlign w:val="top"/>
          </w:tcPr>
          <w:p w14:paraId="14434901">
            <w:pPr>
              <w:pStyle w:val="6"/>
              <w:spacing w:before="147" w:line="232" w:lineRule="auto"/>
              <w:ind w:left="44"/>
            </w:pPr>
            <w:r>
              <w:rPr>
                <w:spacing w:val="-2"/>
              </w:rPr>
              <w:t>0.040L</w:t>
            </w:r>
          </w:p>
        </w:tc>
        <w:tc>
          <w:tcPr>
            <w:tcW w:w="842" w:type="dxa"/>
            <w:vAlign w:val="top"/>
          </w:tcPr>
          <w:p w14:paraId="22ACC8F0">
            <w:pPr>
              <w:pStyle w:val="6"/>
              <w:spacing w:before="147" w:line="232" w:lineRule="auto"/>
              <w:ind w:left="61"/>
            </w:pPr>
            <w:r>
              <w:rPr>
                <w:spacing w:val="-1"/>
              </w:rPr>
              <w:t>0.0045L</w:t>
            </w:r>
          </w:p>
        </w:tc>
        <w:tc>
          <w:tcPr>
            <w:tcW w:w="851" w:type="dxa"/>
            <w:vAlign w:val="top"/>
          </w:tcPr>
          <w:p w14:paraId="22CD68FE">
            <w:pPr>
              <w:pStyle w:val="6"/>
              <w:spacing w:before="147" w:line="232" w:lineRule="auto"/>
              <w:ind w:left="67"/>
            </w:pPr>
            <w:r>
              <w:rPr>
                <w:spacing w:val="-1"/>
              </w:rPr>
              <w:t>0.0005L</w:t>
            </w:r>
          </w:p>
        </w:tc>
        <w:tc>
          <w:tcPr>
            <w:tcW w:w="708" w:type="dxa"/>
            <w:vAlign w:val="top"/>
          </w:tcPr>
          <w:p w14:paraId="5E64F3B7">
            <w:pPr>
              <w:pStyle w:val="6"/>
              <w:spacing w:before="147" w:line="232" w:lineRule="auto"/>
              <w:ind w:left="48"/>
            </w:pPr>
            <w:r>
              <w:rPr>
                <w:spacing w:val="-2"/>
              </w:rPr>
              <w:t>0.009L</w:t>
            </w:r>
          </w:p>
        </w:tc>
        <w:tc>
          <w:tcPr>
            <w:tcW w:w="847" w:type="dxa"/>
            <w:vAlign w:val="top"/>
          </w:tcPr>
          <w:p w14:paraId="4DD726E1">
            <w:pPr>
              <w:pStyle w:val="6"/>
              <w:spacing w:before="147" w:line="232" w:lineRule="auto"/>
              <w:ind w:left="184"/>
            </w:pPr>
            <w:r>
              <w:rPr>
                <w:spacing w:val="-2"/>
              </w:rPr>
              <w:t>0.001</w:t>
            </w:r>
          </w:p>
        </w:tc>
        <w:tc>
          <w:tcPr>
            <w:tcW w:w="565" w:type="dxa"/>
            <w:vAlign w:val="top"/>
          </w:tcPr>
          <w:p w14:paraId="5F0120D7">
            <w:pPr>
              <w:pStyle w:val="6"/>
              <w:spacing w:before="147" w:line="232" w:lineRule="auto"/>
              <w:ind w:left="94"/>
            </w:pPr>
            <w:r>
              <w:rPr>
                <w:spacing w:val="-1"/>
              </w:rPr>
              <w:t>24.3</w:t>
            </w:r>
          </w:p>
        </w:tc>
        <w:tc>
          <w:tcPr>
            <w:tcW w:w="567" w:type="dxa"/>
            <w:vAlign w:val="top"/>
          </w:tcPr>
          <w:p w14:paraId="2E2F9415">
            <w:pPr>
              <w:pStyle w:val="6"/>
              <w:spacing w:before="147" w:line="232" w:lineRule="auto"/>
              <w:ind w:left="153"/>
            </w:pPr>
            <w:r>
              <w:rPr>
                <w:spacing w:val="-4"/>
              </w:rPr>
              <w:t>5.9</w:t>
            </w:r>
          </w:p>
        </w:tc>
        <w:tc>
          <w:tcPr>
            <w:tcW w:w="851" w:type="dxa"/>
            <w:vAlign w:val="top"/>
          </w:tcPr>
          <w:p w14:paraId="74B53DBC">
            <w:pPr>
              <w:pStyle w:val="6"/>
              <w:spacing w:before="147" w:line="232" w:lineRule="auto"/>
              <w:ind w:left="270"/>
            </w:pPr>
            <w:r>
              <w:rPr>
                <w:spacing w:val="-2"/>
              </w:rPr>
              <w:t>309</w:t>
            </w:r>
          </w:p>
        </w:tc>
        <w:tc>
          <w:tcPr>
            <w:tcW w:w="566" w:type="dxa"/>
            <w:vAlign w:val="top"/>
          </w:tcPr>
          <w:p w14:paraId="561CF241">
            <w:pPr>
              <w:pStyle w:val="6"/>
              <w:spacing w:before="148" w:line="232" w:lineRule="auto"/>
              <w:ind w:left="124"/>
            </w:pPr>
            <w:r>
              <w:rPr>
                <w:spacing w:val="-1"/>
              </w:rPr>
              <w:t>246</w:t>
            </w:r>
          </w:p>
        </w:tc>
        <w:tc>
          <w:tcPr>
            <w:tcW w:w="567" w:type="dxa"/>
            <w:vAlign w:val="top"/>
          </w:tcPr>
          <w:p w14:paraId="4C893199">
            <w:pPr>
              <w:pStyle w:val="6"/>
              <w:spacing w:before="147" w:line="232" w:lineRule="auto"/>
              <w:ind w:left="101"/>
            </w:pPr>
            <w:r>
              <w:rPr>
                <w:spacing w:val="-2"/>
              </w:rPr>
              <w:t>0.98</w:t>
            </w:r>
          </w:p>
        </w:tc>
        <w:tc>
          <w:tcPr>
            <w:tcW w:w="851" w:type="dxa"/>
            <w:vAlign w:val="top"/>
          </w:tcPr>
          <w:p w14:paraId="254E3E49">
            <w:pPr>
              <w:pStyle w:val="6"/>
              <w:spacing w:before="147" w:line="232" w:lineRule="auto"/>
              <w:ind w:left="127"/>
            </w:pPr>
            <w:r>
              <w:rPr>
                <w:spacing w:val="-2"/>
              </w:rPr>
              <w:t>0.002L</w:t>
            </w:r>
          </w:p>
        </w:tc>
        <w:tc>
          <w:tcPr>
            <w:tcW w:w="707" w:type="dxa"/>
            <w:vAlign w:val="top"/>
          </w:tcPr>
          <w:p w14:paraId="29306AF9">
            <w:pPr>
              <w:pStyle w:val="6"/>
              <w:spacing w:before="147" w:line="232" w:lineRule="auto"/>
              <w:ind w:left="56"/>
            </w:pPr>
            <w:r>
              <w:rPr>
                <w:spacing w:val="-2"/>
              </w:rPr>
              <w:t>0.050L</w:t>
            </w:r>
          </w:p>
        </w:tc>
        <w:tc>
          <w:tcPr>
            <w:tcW w:w="708" w:type="dxa"/>
            <w:vAlign w:val="top"/>
          </w:tcPr>
          <w:p w14:paraId="2D23841C">
            <w:pPr>
              <w:pStyle w:val="6"/>
              <w:spacing w:before="147" w:line="232" w:lineRule="auto"/>
              <w:ind w:left="123"/>
            </w:pPr>
            <w:r>
              <w:rPr>
                <w:spacing w:val="-2"/>
              </w:rPr>
              <w:t>0.001</w:t>
            </w:r>
          </w:p>
        </w:tc>
        <w:tc>
          <w:tcPr>
            <w:tcW w:w="851" w:type="dxa"/>
            <w:vAlign w:val="top"/>
          </w:tcPr>
          <w:p w14:paraId="32946E9E">
            <w:pPr>
              <w:pStyle w:val="6"/>
              <w:spacing w:before="147" w:line="232" w:lineRule="auto"/>
              <w:ind w:left="80"/>
            </w:pPr>
            <w:r>
              <w:rPr>
                <w:spacing w:val="-1"/>
              </w:rPr>
              <w:t>0.0005L</w:t>
            </w:r>
          </w:p>
        </w:tc>
        <w:tc>
          <w:tcPr>
            <w:tcW w:w="708" w:type="dxa"/>
            <w:vAlign w:val="top"/>
          </w:tcPr>
          <w:p w14:paraId="76214C45">
            <w:pPr>
              <w:pStyle w:val="6"/>
              <w:spacing w:before="147" w:line="232" w:lineRule="auto"/>
              <w:ind w:left="60"/>
            </w:pPr>
            <w:r>
              <w:rPr>
                <w:spacing w:val="-2"/>
              </w:rPr>
              <w:t>0.004L</w:t>
            </w:r>
          </w:p>
        </w:tc>
        <w:tc>
          <w:tcPr>
            <w:tcW w:w="851" w:type="dxa"/>
            <w:vAlign w:val="top"/>
          </w:tcPr>
          <w:p w14:paraId="72A295C4">
            <w:pPr>
              <w:pStyle w:val="6"/>
              <w:spacing w:before="147" w:line="232" w:lineRule="auto"/>
              <w:ind w:left="81"/>
            </w:pPr>
            <w:r>
              <w:rPr>
                <w:spacing w:val="-1"/>
              </w:rPr>
              <w:t>0.0025L</w:t>
            </w:r>
          </w:p>
        </w:tc>
        <w:tc>
          <w:tcPr>
            <w:tcW w:w="851" w:type="dxa"/>
            <w:vAlign w:val="top"/>
          </w:tcPr>
          <w:p w14:paraId="2A42638E">
            <w:pPr>
              <w:pStyle w:val="6"/>
              <w:spacing w:before="147" w:line="232" w:lineRule="auto"/>
              <w:ind w:left="145"/>
            </w:pPr>
            <w:r>
              <w:rPr>
                <w:spacing w:val="-2"/>
              </w:rPr>
              <w:t>0.0001</w:t>
            </w:r>
          </w:p>
        </w:tc>
        <w:tc>
          <w:tcPr>
            <w:tcW w:w="847" w:type="dxa"/>
            <w:vAlign w:val="top"/>
          </w:tcPr>
          <w:p w14:paraId="2D0E4963">
            <w:pPr>
              <w:pStyle w:val="6"/>
              <w:spacing w:before="147" w:line="232" w:lineRule="auto"/>
              <w:ind w:left="80"/>
            </w:pPr>
            <w:r>
              <w:rPr>
                <w:spacing w:val="-1"/>
              </w:rPr>
              <w:t>0.0004L</w:t>
            </w:r>
          </w:p>
        </w:tc>
        <w:tc>
          <w:tcPr>
            <w:tcW w:w="708" w:type="dxa"/>
            <w:vAlign w:val="top"/>
          </w:tcPr>
          <w:p w14:paraId="4CE61197">
            <w:pPr>
              <w:pStyle w:val="6"/>
              <w:spacing w:before="147" w:line="232" w:lineRule="auto"/>
              <w:ind w:left="64"/>
            </w:pPr>
            <w:r>
              <w:rPr>
                <w:spacing w:val="-2"/>
              </w:rPr>
              <w:t>0.002L</w:t>
            </w:r>
          </w:p>
        </w:tc>
        <w:tc>
          <w:tcPr>
            <w:tcW w:w="566" w:type="dxa"/>
            <w:vAlign w:val="top"/>
          </w:tcPr>
          <w:p w14:paraId="69C2DBE2">
            <w:pPr>
              <w:pStyle w:val="6"/>
              <w:spacing w:before="147" w:line="232" w:lineRule="auto"/>
              <w:ind w:left="164"/>
            </w:pPr>
            <w:r>
              <w:rPr>
                <w:spacing w:val="-3"/>
              </w:rPr>
              <w:t>0.2</w:t>
            </w:r>
          </w:p>
        </w:tc>
        <w:tc>
          <w:tcPr>
            <w:tcW w:w="428" w:type="dxa"/>
            <w:vAlign w:val="top"/>
          </w:tcPr>
          <w:p w14:paraId="3E7F4F2F">
            <w:pPr>
              <w:pStyle w:val="6"/>
              <w:spacing w:before="147" w:line="232" w:lineRule="auto"/>
              <w:ind w:right="2"/>
              <w:jc w:val="right"/>
            </w:pPr>
            <w:r>
              <w:rPr>
                <w:spacing w:val="-2"/>
              </w:rPr>
              <w:t>0.5L</w:t>
            </w:r>
          </w:p>
        </w:tc>
        <w:tc>
          <w:tcPr>
            <w:tcW w:w="570" w:type="dxa"/>
            <w:vAlign w:val="top"/>
          </w:tcPr>
          <w:p w14:paraId="01A3340E">
            <w:pPr>
              <w:pStyle w:val="6"/>
              <w:spacing w:before="152" w:line="229" w:lineRule="auto"/>
              <w:ind w:left="140"/>
            </w:pPr>
            <w:r>
              <w:rPr>
                <w:b/>
                <w:bCs/>
                <w:spacing w:val="-2"/>
              </w:rPr>
              <w:t>940</w:t>
            </w:r>
          </w:p>
        </w:tc>
        <w:tc>
          <w:tcPr>
            <w:tcW w:w="559" w:type="dxa"/>
            <w:gridSpan w:val="2"/>
            <w:tcBorders>
              <w:right w:val="single" w:color="000000" w:sz="12" w:space="0"/>
            </w:tcBorders>
            <w:vAlign w:val="top"/>
          </w:tcPr>
          <w:p w14:paraId="1458A3F4">
            <w:pPr>
              <w:pStyle w:val="6"/>
              <w:spacing w:before="152" w:line="229" w:lineRule="auto"/>
              <w:ind w:left="124"/>
            </w:pPr>
            <w:r>
              <w:rPr>
                <w:b/>
                <w:bCs/>
                <w:spacing w:val="-2"/>
              </w:rPr>
              <w:t>430</w:t>
            </w:r>
          </w:p>
        </w:tc>
      </w:tr>
      <w:tr w14:paraId="6F564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tcBorders>
            <w:vAlign w:val="top"/>
          </w:tcPr>
          <w:p w14:paraId="7593E749">
            <w:pPr>
              <w:rPr>
                <w:rFonts w:ascii="Arial"/>
                <w:sz w:val="21"/>
              </w:rPr>
            </w:pPr>
          </w:p>
        </w:tc>
        <w:tc>
          <w:tcPr>
            <w:tcW w:w="265" w:type="dxa"/>
            <w:vMerge w:val="continue"/>
            <w:tcBorders>
              <w:top w:val="nil"/>
            </w:tcBorders>
            <w:vAlign w:val="top"/>
          </w:tcPr>
          <w:p w14:paraId="533BCE7F">
            <w:pPr>
              <w:rPr>
                <w:rFonts w:ascii="Arial"/>
                <w:sz w:val="21"/>
              </w:rPr>
            </w:pPr>
          </w:p>
        </w:tc>
        <w:tc>
          <w:tcPr>
            <w:tcW w:w="1014" w:type="dxa"/>
            <w:vAlign w:val="top"/>
          </w:tcPr>
          <w:p w14:paraId="78160BB3">
            <w:pPr>
              <w:pStyle w:val="6"/>
              <w:spacing w:before="150" w:line="232" w:lineRule="auto"/>
              <w:ind w:left="118"/>
            </w:pPr>
            <w:r>
              <w:rPr>
                <w:spacing w:val="-1"/>
              </w:rPr>
              <w:t>2020/3/7</w:t>
            </w:r>
          </w:p>
        </w:tc>
        <w:tc>
          <w:tcPr>
            <w:tcW w:w="737" w:type="dxa"/>
            <w:vAlign w:val="top"/>
          </w:tcPr>
          <w:p w14:paraId="6A5272DA">
            <w:pPr>
              <w:pStyle w:val="6"/>
              <w:spacing w:before="156" w:line="183" w:lineRule="auto"/>
              <w:ind w:left="243"/>
            </w:pPr>
            <w:r>
              <w:rPr>
                <w:spacing w:val="-3"/>
              </w:rPr>
              <w:t>5L</w:t>
            </w:r>
          </w:p>
        </w:tc>
        <w:tc>
          <w:tcPr>
            <w:tcW w:w="708" w:type="dxa"/>
            <w:vAlign w:val="top"/>
          </w:tcPr>
          <w:p w14:paraId="135F7D8D">
            <w:pPr>
              <w:pStyle w:val="6"/>
              <w:spacing w:before="150" w:line="232" w:lineRule="auto"/>
              <w:ind w:left="148"/>
            </w:pPr>
            <w:r>
              <w:rPr>
                <w:spacing w:val="-2"/>
              </w:rPr>
              <w:t>0.5L</w:t>
            </w:r>
          </w:p>
        </w:tc>
        <w:tc>
          <w:tcPr>
            <w:tcW w:w="851" w:type="dxa"/>
            <w:vAlign w:val="top"/>
          </w:tcPr>
          <w:p w14:paraId="0559C13C">
            <w:pPr>
              <w:pStyle w:val="6"/>
              <w:spacing w:before="150" w:line="232" w:lineRule="auto"/>
              <w:ind w:left="234"/>
            </w:pPr>
            <w:r>
              <w:rPr>
                <w:spacing w:val="-3"/>
              </w:rPr>
              <w:t>6.85</w:t>
            </w:r>
          </w:p>
        </w:tc>
        <w:tc>
          <w:tcPr>
            <w:tcW w:w="708" w:type="dxa"/>
            <w:vAlign w:val="top"/>
          </w:tcPr>
          <w:p w14:paraId="457A65AB">
            <w:pPr>
              <w:pStyle w:val="6"/>
              <w:spacing w:before="150" w:line="232" w:lineRule="auto"/>
              <w:ind w:left="109"/>
            </w:pPr>
            <w:r>
              <w:rPr>
                <w:spacing w:val="-2"/>
              </w:rPr>
              <w:t>0.121</w:t>
            </w:r>
          </w:p>
        </w:tc>
        <w:tc>
          <w:tcPr>
            <w:tcW w:w="842" w:type="dxa"/>
            <w:vAlign w:val="top"/>
          </w:tcPr>
          <w:p w14:paraId="13718677">
            <w:pPr>
              <w:pStyle w:val="6"/>
              <w:spacing w:before="150" w:line="232" w:lineRule="auto"/>
              <w:ind w:left="126"/>
            </w:pPr>
            <w:r>
              <w:rPr>
                <w:spacing w:val="-2"/>
              </w:rPr>
              <w:t>0.0232</w:t>
            </w:r>
          </w:p>
        </w:tc>
        <w:tc>
          <w:tcPr>
            <w:tcW w:w="851" w:type="dxa"/>
            <w:vAlign w:val="top"/>
          </w:tcPr>
          <w:p w14:paraId="759648CB">
            <w:pPr>
              <w:pStyle w:val="6"/>
              <w:spacing w:before="150" w:line="232" w:lineRule="auto"/>
              <w:ind w:left="131"/>
            </w:pPr>
            <w:r>
              <w:rPr>
                <w:spacing w:val="-2"/>
              </w:rPr>
              <w:t>0.0038</w:t>
            </w:r>
          </w:p>
        </w:tc>
        <w:tc>
          <w:tcPr>
            <w:tcW w:w="708" w:type="dxa"/>
            <w:vAlign w:val="top"/>
          </w:tcPr>
          <w:p w14:paraId="54FAAC3D">
            <w:pPr>
              <w:pStyle w:val="6"/>
              <w:spacing w:before="150" w:line="232" w:lineRule="auto"/>
              <w:ind w:left="48"/>
            </w:pPr>
            <w:r>
              <w:rPr>
                <w:spacing w:val="-2"/>
              </w:rPr>
              <w:t>0.009L</w:t>
            </w:r>
          </w:p>
        </w:tc>
        <w:tc>
          <w:tcPr>
            <w:tcW w:w="847" w:type="dxa"/>
            <w:vAlign w:val="top"/>
          </w:tcPr>
          <w:p w14:paraId="791A761D">
            <w:pPr>
              <w:pStyle w:val="6"/>
              <w:spacing w:before="150" w:line="232" w:lineRule="auto"/>
              <w:ind w:left="184"/>
            </w:pPr>
            <w:r>
              <w:rPr>
                <w:spacing w:val="-2"/>
              </w:rPr>
              <w:t>0.004</w:t>
            </w:r>
          </w:p>
        </w:tc>
        <w:tc>
          <w:tcPr>
            <w:tcW w:w="565" w:type="dxa"/>
            <w:vAlign w:val="top"/>
          </w:tcPr>
          <w:p w14:paraId="2E423AD0">
            <w:pPr>
              <w:pStyle w:val="6"/>
              <w:spacing w:before="150" w:line="232" w:lineRule="auto"/>
              <w:ind w:left="150"/>
            </w:pPr>
            <w:r>
              <w:rPr>
                <w:spacing w:val="-3"/>
              </w:rPr>
              <w:t>3.0</w:t>
            </w:r>
          </w:p>
        </w:tc>
        <w:tc>
          <w:tcPr>
            <w:tcW w:w="567" w:type="dxa"/>
            <w:vAlign w:val="top"/>
          </w:tcPr>
          <w:p w14:paraId="7C62C0D9">
            <w:pPr>
              <w:pStyle w:val="6"/>
              <w:spacing w:before="150" w:line="232" w:lineRule="auto"/>
              <w:ind w:left="96"/>
            </w:pPr>
            <w:r>
              <w:rPr>
                <w:spacing w:val="-1"/>
              </w:rPr>
              <w:t>25.1</w:t>
            </w:r>
          </w:p>
        </w:tc>
        <w:tc>
          <w:tcPr>
            <w:tcW w:w="851" w:type="dxa"/>
            <w:vAlign w:val="top"/>
          </w:tcPr>
          <w:p w14:paraId="57E4D6B4">
            <w:pPr>
              <w:pStyle w:val="6"/>
              <w:spacing w:before="150" w:line="232" w:lineRule="auto"/>
              <w:ind w:left="286"/>
            </w:pPr>
            <w:r>
              <w:rPr>
                <w:spacing w:val="-6"/>
              </w:rPr>
              <w:t>156</w:t>
            </w:r>
          </w:p>
        </w:tc>
        <w:tc>
          <w:tcPr>
            <w:tcW w:w="566" w:type="dxa"/>
            <w:vAlign w:val="top"/>
          </w:tcPr>
          <w:p w14:paraId="68CDF22C">
            <w:pPr>
              <w:pStyle w:val="6"/>
              <w:spacing w:before="150" w:line="232" w:lineRule="auto"/>
              <w:ind w:left="184"/>
            </w:pPr>
            <w:r>
              <w:rPr>
                <w:spacing w:val="-4"/>
              </w:rPr>
              <w:t>88</w:t>
            </w:r>
          </w:p>
        </w:tc>
        <w:tc>
          <w:tcPr>
            <w:tcW w:w="567" w:type="dxa"/>
            <w:vAlign w:val="top"/>
          </w:tcPr>
          <w:p w14:paraId="69ACC53A">
            <w:pPr>
              <w:pStyle w:val="6"/>
              <w:spacing w:before="150" w:line="232" w:lineRule="auto"/>
              <w:ind w:left="101"/>
            </w:pPr>
            <w:r>
              <w:rPr>
                <w:spacing w:val="-2"/>
              </w:rPr>
              <w:t>0.80</w:t>
            </w:r>
          </w:p>
        </w:tc>
        <w:tc>
          <w:tcPr>
            <w:tcW w:w="851" w:type="dxa"/>
            <w:vAlign w:val="top"/>
          </w:tcPr>
          <w:p w14:paraId="5E4D72A0">
            <w:pPr>
              <w:pStyle w:val="6"/>
              <w:spacing w:before="150" w:line="232" w:lineRule="auto"/>
              <w:ind w:left="127"/>
            </w:pPr>
            <w:r>
              <w:rPr>
                <w:spacing w:val="-2"/>
              </w:rPr>
              <w:t>0.002L</w:t>
            </w:r>
          </w:p>
        </w:tc>
        <w:tc>
          <w:tcPr>
            <w:tcW w:w="707" w:type="dxa"/>
            <w:vAlign w:val="top"/>
          </w:tcPr>
          <w:p w14:paraId="68877563">
            <w:pPr>
              <w:pStyle w:val="6"/>
              <w:spacing w:before="150" w:line="232" w:lineRule="auto"/>
              <w:ind w:left="56"/>
            </w:pPr>
            <w:r>
              <w:rPr>
                <w:spacing w:val="-2"/>
              </w:rPr>
              <w:t>0.050L</w:t>
            </w:r>
          </w:p>
        </w:tc>
        <w:tc>
          <w:tcPr>
            <w:tcW w:w="708" w:type="dxa"/>
            <w:vAlign w:val="top"/>
          </w:tcPr>
          <w:p w14:paraId="0098743F">
            <w:pPr>
              <w:pStyle w:val="6"/>
              <w:spacing w:before="150" w:line="232" w:lineRule="auto"/>
              <w:ind w:left="58"/>
            </w:pPr>
            <w:r>
              <w:rPr>
                <w:spacing w:val="-2"/>
              </w:rPr>
              <w:t>0.001L</w:t>
            </w:r>
          </w:p>
        </w:tc>
        <w:tc>
          <w:tcPr>
            <w:tcW w:w="851" w:type="dxa"/>
            <w:vAlign w:val="top"/>
          </w:tcPr>
          <w:p w14:paraId="3597108A">
            <w:pPr>
              <w:pStyle w:val="6"/>
              <w:spacing w:before="150" w:line="232" w:lineRule="auto"/>
              <w:ind w:left="80"/>
            </w:pPr>
            <w:r>
              <w:rPr>
                <w:spacing w:val="-1"/>
              </w:rPr>
              <w:t>0.0005L</w:t>
            </w:r>
          </w:p>
        </w:tc>
        <w:tc>
          <w:tcPr>
            <w:tcW w:w="708" w:type="dxa"/>
            <w:vAlign w:val="top"/>
          </w:tcPr>
          <w:p w14:paraId="6F47E97C">
            <w:pPr>
              <w:pStyle w:val="6"/>
              <w:spacing w:before="150" w:line="232" w:lineRule="auto"/>
              <w:ind w:left="60"/>
            </w:pPr>
            <w:r>
              <w:rPr>
                <w:spacing w:val="-2"/>
              </w:rPr>
              <w:t>0.004L</w:t>
            </w:r>
          </w:p>
        </w:tc>
        <w:tc>
          <w:tcPr>
            <w:tcW w:w="851" w:type="dxa"/>
            <w:vAlign w:val="top"/>
          </w:tcPr>
          <w:p w14:paraId="183764F7">
            <w:pPr>
              <w:pStyle w:val="6"/>
              <w:spacing w:before="150" w:line="232" w:lineRule="auto"/>
              <w:ind w:left="81"/>
            </w:pPr>
            <w:r>
              <w:rPr>
                <w:spacing w:val="-1"/>
              </w:rPr>
              <w:t>0.0025L</w:t>
            </w:r>
          </w:p>
        </w:tc>
        <w:tc>
          <w:tcPr>
            <w:tcW w:w="851" w:type="dxa"/>
            <w:vAlign w:val="top"/>
          </w:tcPr>
          <w:p w14:paraId="0F7318CE">
            <w:pPr>
              <w:pStyle w:val="6"/>
              <w:spacing w:before="150" w:line="232" w:lineRule="auto"/>
              <w:ind w:left="82"/>
            </w:pPr>
            <w:r>
              <w:rPr>
                <w:spacing w:val="-1"/>
              </w:rPr>
              <w:t>0.0001L</w:t>
            </w:r>
          </w:p>
        </w:tc>
        <w:tc>
          <w:tcPr>
            <w:tcW w:w="847" w:type="dxa"/>
            <w:vAlign w:val="top"/>
          </w:tcPr>
          <w:p w14:paraId="45B14CAE">
            <w:pPr>
              <w:pStyle w:val="6"/>
              <w:spacing w:before="150" w:line="232" w:lineRule="auto"/>
              <w:ind w:left="80"/>
            </w:pPr>
            <w:r>
              <w:rPr>
                <w:spacing w:val="-1"/>
              </w:rPr>
              <w:t>0.0004L</w:t>
            </w:r>
          </w:p>
        </w:tc>
        <w:tc>
          <w:tcPr>
            <w:tcW w:w="708" w:type="dxa"/>
            <w:vAlign w:val="top"/>
          </w:tcPr>
          <w:p w14:paraId="6DA6DC9B">
            <w:pPr>
              <w:pStyle w:val="6"/>
              <w:spacing w:before="150" w:line="232" w:lineRule="auto"/>
              <w:ind w:left="64"/>
            </w:pPr>
            <w:r>
              <w:rPr>
                <w:spacing w:val="-2"/>
              </w:rPr>
              <w:t>0.002L</w:t>
            </w:r>
          </w:p>
        </w:tc>
        <w:tc>
          <w:tcPr>
            <w:tcW w:w="566" w:type="dxa"/>
            <w:vAlign w:val="top"/>
          </w:tcPr>
          <w:p w14:paraId="1F069AA7">
            <w:pPr>
              <w:pStyle w:val="6"/>
              <w:spacing w:before="150" w:line="232" w:lineRule="auto"/>
              <w:ind w:left="164"/>
            </w:pPr>
            <w:r>
              <w:rPr>
                <w:spacing w:val="-3"/>
              </w:rPr>
              <w:t>0.7</w:t>
            </w:r>
          </w:p>
        </w:tc>
        <w:tc>
          <w:tcPr>
            <w:tcW w:w="428" w:type="dxa"/>
            <w:vAlign w:val="top"/>
          </w:tcPr>
          <w:p w14:paraId="5991C032">
            <w:pPr>
              <w:pStyle w:val="6"/>
              <w:spacing w:before="150" w:line="232" w:lineRule="auto"/>
              <w:ind w:right="2"/>
              <w:jc w:val="right"/>
            </w:pPr>
            <w:r>
              <w:rPr>
                <w:spacing w:val="-2"/>
              </w:rPr>
              <w:t>0.5L</w:t>
            </w:r>
          </w:p>
        </w:tc>
        <w:tc>
          <w:tcPr>
            <w:tcW w:w="570" w:type="dxa"/>
            <w:vAlign w:val="top"/>
          </w:tcPr>
          <w:p w14:paraId="67B650C6">
            <w:pPr>
              <w:pStyle w:val="6"/>
              <w:spacing w:before="150" w:line="232" w:lineRule="auto"/>
              <w:ind w:left="262"/>
            </w:pPr>
            <w:r>
              <w:t>/</w:t>
            </w:r>
          </w:p>
        </w:tc>
        <w:tc>
          <w:tcPr>
            <w:tcW w:w="559" w:type="dxa"/>
            <w:gridSpan w:val="2"/>
            <w:tcBorders>
              <w:right w:val="single" w:color="000000" w:sz="12" w:space="0"/>
            </w:tcBorders>
            <w:vAlign w:val="top"/>
          </w:tcPr>
          <w:p w14:paraId="499C2BFE">
            <w:pPr>
              <w:pStyle w:val="6"/>
              <w:spacing w:before="150" w:line="232" w:lineRule="auto"/>
              <w:ind w:left="181"/>
            </w:pPr>
            <w:r>
              <w:rPr>
                <w:spacing w:val="-3"/>
              </w:rPr>
              <w:t>60</w:t>
            </w:r>
          </w:p>
        </w:tc>
      </w:tr>
      <w:tr w14:paraId="7951A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restart"/>
            <w:tcBorders>
              <w:left w:val="single" w:color="000000" w:sz="12" w:space="0"/>
              <w:bottom w:val="nil"/>
            </w:tcBorders>
            <w:vAlign w:val="top"/>
          </w:tcPr>
          <w:p w14:paraId="49F16C68">
            <w:pPr>
              <w:spacing w:line="302" w:lineRule="auto"/>
              <w:rPr>
                <w:rFonts w:ascii="Arial"/>
                <w:sz w:val="21"/>
              </w:rPr>
            </w:pPr>
          </w:p>
          <w:p w14:paraId="592F5054">
            <w:pPr>
              <w:spacing w:line="303" w:lineRule="auto"/>
              <w:rPr>
                <w:rFonts w:ascii="Arial"/>
                <w:sz w:val="21"/>
              </w:rPr>
            </w:pPr>
          </w:p>
          <w:p w14:paraId="610FAA0C">
            <w:pPr>
              <w:spacing w:before="71"/>
              <w:ind w:left="47" w:right="53" w:hanging="3"/>
              <w:jc w:val="both"/>
              <w:rPr>
                <w:rFonts w:ascii="等线" w:hAnsi="等线" w:eastAsia="等线" w:cs="等线"/>
                <w:sz w:val="21"/>
                <w:szCs w:val="21"/>
              </w:rPr>
            </w:pPr>
            <w:r>
              <w:rPr>
                <w:rFonts w:ascii="等线" w:hAnsi="等线" w:eastAsia="等线" w:cs="等线"/>
                <w:spacing w:val="-4"/>
                <w:sz w:val="21"/>
                <w:szCs w:val="21"/>
              </w:rPr>
              <w:t>输水</w:t>
            </w:r>
            <w:r>
              <w:rPr>
                <w:rFonts w:ascii="等线" w:hAnsi="等线" w:eastAsia="等线" w:cs="等线"/>
                <w:spacing w:val="-6"/>
                <w:sz w:val="21"/>
                <w:szCs w:val="21"/>
              </w:rPr>
              <w:t>隧洞出口生产区生活饮用水</w:t>
            </w:r>
          </w:p>
          <w:p w14:paraId="61956097">
            <w:pPr>
              <w:spacing w:line="246" w:lineRule="auto"/>
              <w:ind w:left="151" w:right="53" w:hanging="109"/>
              <w:rPr>
                <w:rFonts w:ascii="等线" w:hAnsi="等线" w:eastAsia="等线" w:cs="等线"/>
                <w:sz w:val="21"/>
                <w:szCs w:val="21"/>
              </w:rPr>
            </w:pPr>
            <w:r>
              <w:rPr>
                <w:rFonts w:ascii="等线" w:hAnsi="等线" w:eastAsia="等线" w:cs="等线"/>
                <w:spacing w:val="-3"/>
                <w:sz w:val="21"/>
                <w:szCs w:val="21"/>
              </w:rPr>
              <w:t>供水</w:t>
            </w:r>
            <w:r>
              <w:rPr>
                <w:rFonts w:ascii="等线" w:hAnsi="等线" w:eastAsia="等线" w:cs="等线"/>
                <w:sz w:val="21"/>
                <w:szCs w:val="21"/>
              </w:rPr>
              <w:t>处</w:t>
            </w:r>
          </w:p>
        </w:tc>
        <w:tc>
          <w:tcPr>
            <w:tcW w:w="265" w:type="dxa"/>
            <w:vMerge w:val="restart"/>
            <w:tcBorders>
              <w:bottom w:val="nil"/>
            </w:tcBorders>
            <w:vAlign w:val="top"/>
          </w:tcPr>
          <w:p w14:paraId="2D7DE14A">
            <w:pPr>
              <w:pStyle w:val="6"/>
              <w:spacing w:before="293" w:line="233" w:lineRule="auto"/>
              <w:ind w:left="14" w:right="38" w:firstLine="69"/>
              <w:jc w:val="both"/>
              <w:rPr>
                <w:rFonts w:ascii="等线" w:hAnsi="等线" w:eastAsia="等线" w:cs="等线"/>
              </w:rPr>
            </w:pPr>
            <w:r>
              <w:rPr>
                <w:spacing w:val="-25"/>
              </w:rPr>
              <w:t>1</w:t>
            </w:r>
            <w:r>
              <w:rPr>
                <w:rFonts w:ascii="等线" w:hAnsi="等线" w:eastAsia="等线" w:cs="等线"/>
                <w:spacing w:val="-8"/>
              </w:rPr>
              <w:t>季度</w:t>
            </w:r>
          </w:p>
        </w:tc>
        <w:tc>
          <w:tcPr>
            <w:tcW w:w="1014" w:type="dxa"/>
            <w:vAlign w:val="top"/>
          </w:tcPr>
          <w:p w14:paraId="7DCBEAD0">
            <w:pPr>
              <w:pStyle w:val="6"/>
              <w:spacing w:before="150" w:line="232" w:lineRule="auto"/>
              <w:ind w:left="118"/>
            </w:pPr>
            <w:r>
              <w:rPr>
                <w:spacing w:val="-1"/>
              </w:rPr>
              <w:t>2020/3/8</w:t>
            </w:r>
          </w:p>
        </w:tc>
        <w:tc>
          <w:tcPr>
            <w:tcW w:w="737" w:type="dxa"/>
            <w:vAlign w:val="top"/>
          </w:tcPr>
          <w:p w14:paraId="071A80E2">
            <w:pPr>
              <w:pStyle w:val="6"/>
              <w:spacing w:before="156" w:line="183" w:lineRule="auto"/>
              <w:ind w:left="243"/>
            </w:pPr>
            <w:r>
              <w:rPr>
                <w:spacing w:val="-3"/>
              </w:rPr>
              <w:t>5L</w:t>
            </w:r>
          </w:p>
        </w:tc>
        <w:tc>
          <w:tcPr>
            <w:tcW w:w="708" w:type="dxa"/>
            <w:vAlign w:val="top"/>
          </w:tcPr>
          <w:p w14:paraId="246714AB">
            <w:pPr>
              <w:pStyle w:val="6"/>
              <w:spacing w:before="150" w:line="232" w:lineRule="auto"/>
              <w:ind w:left="148"/>
            </w:pPr>
            <w:r>
              <w:rPr>
                <w:spacing w:val="-2"/>
              </w:rPr>
              <w:t>0.5L</w:t>
            </w:r>
          </w:p>
        </w:tc>
        <w:tc>
          <w:tcPr>
            <w:tcW w:w="851" w:type="dxa"/>
            <w:vAlign w:val="top"/>
          </w:tcPr>
          <w:p w14:paraId="49C427B8">
            <w:pPr>
              <w:pStyle w:val="6"/>
              <w:spacing w:before="150" w:line="232" w:lineRule="auto"/>
              <w:ind w:left="234"/>
            </w:pPr>
            <w:r>
              <w:rPr>
                <w:spacing w:val="-3"/>
              </w:rPr>
              <w:t>6.78</w:t>
            </w:r>
          </w:p>
        </w:tc>
        <w:tc>
          <w:tcPr>
            <w:tcW w:w="708" w:type="dxa"/>
            <w:vAlign w:val="top"/>
          </w:tcPr>
          <w:p w14:paraId="6CC15F49">
            <w:pPr>
              <w:pStyle w:val="6"/>
              <w:spacing w:before="150" w:line="232" w:lineRule="auto"/>
              <w:ind w:left="109"/>
            </w:pPr>
            <w:r>
              <w:rPr>
                <w:spacing w:val="-2"/>
              </w:rPr>
              <w:t>0.129</w:t>
            </w:r>
          </w:p>
        </w:tc>
        <w:tc>
          <w:tcPr>
            <w:tcW w:w="842" w:type="dxa"/>
            <w:vAlign w:val="top"/>
          </w:tcPr>
          <w:p w14:paraId="5CBAA780">
            <w:pPr>
              <w:pStyle w:val="6"/>
              <w:spacing w:before="150" w:line="232" w:lineRule="auto"/>
              <w:ind w:left="126"/>
            </w:pPr>
            <w:r>
              <w:rPr>
                <w:spacing w:val="-2"/>
              </w:rPr>
              <w:t>0.0195</w:t>
            </w:r>
          </w:p>
        </w:tc>
        <w:tc>
          <w:tcPr>
            <w:tcW w:w="851" w:type="dxa"/>
            <w:vAlign w:val="top"/>
          </w:tcPr>
          <w:p w14:paraId="5FBF80CA">
            <w:pPr>
              <w:pStyle w:val="6"/>
              <w:spacing w:before="150" w:line="232" w:lineRule="auto"/>
              <w:ind w:left="131"/>
            </w:pPr>
            <w:r>
              <w:rPr>
                <w:spacing w:val="-2"/>
              </w:rPr>
              <w:t>0.0040</w:t>
            </w:r>
          </w:p>
        </w:tc>
        <w:tc>
          <w:tcPr>
            <w:tcW w:w="708" w:type="dxa"/>
            <w:vAlign w:val="top"/>
          </w:tcPr>
          <w:p w14:paraId="39F50829">
            <w:pPr>
              <w:pStyle w:val="6"/>
              <w:spacing w:before="150" w:line="232" w:lineRule="auto"/>
              <w:ind w:left="48"/>
            </w:pPr>
            <w:r>
              <w:rPr>
                <w:spacing w:val="-2"/>
              </w:rPr>
              <w:t>0.009L</w:t>
            </w:r>
          </w:p>
        </w:tc>
        <w:tc>
          <w:tcPr>
            <w:tcW w:w="847" w:type="dxa"/>
            <w:vAlign w:val="top"/>
          </w:tcPr>
          <w:p w14:paraId="18DD5B1C">
            <w:pPr>
              <w:pStyle w:val="6"/>
              <w:spacing w:before="150" w:line="232" w:lineRule="auto"/>
              <w:ind w:left="184"/>
            </w:pPr>
            <w:r>
              <w:rPr>
                <w:spacing w:val="-2"/>
              </w:rPr>
              <w:t>0.004</w:t>
            </w:r>
          </w:p>
        </w:tc>
        <w:tc>
          <w:tcPr>
            <w:tcW w:w="565" w:type="dxa"/>
            <w:vAlign w:val="top"/>
          </w:tcPr>
          <w:p w14:paraId="716F0237">
            <w:pPr>
              <w:pStyle w:val="6"/>
              <w:spacing w:before="150" w:line="232" w:lineRule="auto"/>
              <w:ind w:left="150"/>
            </w:pPr>
            <w:r>
              <w:rPr>
                <w:spacing w:val="-3"/>
              </w:rPr>
              <w:t>3.2</w:t>
            </w:r>
          </w:p>
        </w:tc>
        <w:tc>
          <w:tcPr>
            <w:tcW w:w="567" w:type="dxa"/>
            <w:vAlign w:val="top"/>
          </w:tcPr>
          <w:p w14:paraId="608BF51A">
            <w:pPr>
              <w:pStyle w:val="6"/>
              <w:spacing w:before="150" w:line="232" w:lineRule="auto"/>
              <w:ind w:left="96"/>
            </w:pPr>
            <w:r>
              <w:rPr>
                <w:spacing w:val="-1"/>
              </w:rPr>
              <w:t>24.7</w:t>
            </w:r>
          </w:p>
        </w:tc>
        <w:tc>
          <w:tcPr>
            <w:tcW w:w="851" w:type="dxa"/>
            <w:vAlign w:val="top"/>
          </w:tcPr>
          <w:p w14:paraId="16F5E4B3">
            <w:pPr>
              <w:pStyle w:val="6"/>
              <w:spacing w:before="150" w:line="232" w:lineRule="auto"/>
              <w:ind w:left="286"/>
            </w:pPr>
            <w:r>
              <w:rPr>
                <w:spacing w:val="-6"/>
              </w:rPr>
              <w:t>159</w:t>
            </w:r>
          </w:p>
        </w:tc>
        <w:tc>
          <w:tcPr>
            <w:tcW w:w="566" w:type="dxa"/>
            <w:vAlign w:val="top"/>
          </w:tcPr>
          <w:p w14:paraId="347DA966">
            <w:pPr>
              <w:pStyle w:val="6"/>
              <w:spacing w:before="150" w:line="232" w:lineRule="auto"/>
              <w:ind w:left="180"/>
            </w:pPr>
            <w:r>
              <w:rPr>
                <w:spacing w:val="-2"/>
              </w:rPr>
              <w:t>93</w:t>
            </w:r>
          </w:p>
        </w:tc>
        <w:tc>
          <w:tcPr>
            <w:tcW w:w="567" w:type="dxa"/>
            <w:vAlign w:val="top"/>
          </w:tcPr>
          <w:p w14:paraId="2B822883">
            <w:pPr>
              <w:pStyle w:val="6"/>
              <w:spacing w:before="150" w:line="232" w:lineRule="auto"/>
              <w:ind w:left="101"/>
            </w:pPr>
            <w:r>
              <w:rPr>
                <w:spacing w:val="-2"/>
              </w:rPr>
              <w:t>0.75</w:t>
            </w:r>
          </w:p>
        </w:tc>
        <w:tc>
          <w:tcPr>
            <w:tcW w:w="851" w:type="dxa"/>
            <w:vAlign w:val="top"/>
          </w:tcPr>
          <w:p w14:paraId="2A96F563">
            <w:pPr>
              <w:pStyle w:val="6"/>
              <w:spacing w:before="150" w:line="232" w:lineRule="auto"/>
              <w:ind w:left="127"/>
            </w:pPr>
            <w:r>
              <w:rPr>
                <w:spacing w:val="-2"/>
              </w:rPr>
              <w:t>0.002L</w:t>
            </w:r>
          </w:p>
        </w:tc>
        <w:tc>
          <w:tcPr>
            <w:tcW w:w="707" w:type="dxa"/>
            <w:vAlign w:val="top"/>
          </w:tcPr>
          <w:p w14:paraId="4ABCA71F">
            <w:pPr>
              <w:pStyle w:val="6"/>
              <w:spacing w:before="150" w:line="232" w:lineRule="auto"/>
              <w:ind w:left="56"/>
            </w:pPr>
            <w:r>
              <w:rPr>
                <w:spacing w:val="-2"/>
              </w:rPr>
              <w:t>0.050L</w:t>
            </w:r>
          </w:p>
        </w:tc>
        <w:tc>
          <w:tcPr>
            <w:tcW w:w="708" w:type="dxa"/>
            <w:vAlign w:val="top"/>
          </w:tcPr>
          <w:p w14:paraId="5DFAE42F">
            <w:pPr>
              <w:pStyle w:val="6"/>
              <w:spacing w:before="150" w:line="232" w:lineRule="auto"/>
              <w:ind w:left="58"/>
            </w:pPr>
            <w:r>
              <w:rPr>
                <w:spacing w:val="-2"/>
              </w:rPr>
              <w:t>0.001L</w:t>
            </w:r>
          </w:p>
        </w:tc>
        <w:tc>
          <w:tcPr>
            <w:tcW w:w="851" w:type="dxa"/>
            <w:vAlign w:val="top"/>
          </w:tcPr>
          <w:p w14:paraId="564E4CB0">
            <w:pPr>
              <w:pStyle w:val="6"/>
              <w:spacing w:before="150" w:line="232" w:lineRule="auto"/>
              <w:ind w:left="80"/>
            </w:pPr>
            <w:r>
              <w:rPr>
                <w:spacing w:val="-1"/>
              </w:rPr>
              <w:t>0.0005L</w:t>
            </w:r>
          </w:p>
        </w:tc>
        <w:tc>
          <w:tcPr>
            <w:tcW w:w="708" w:type="dxa"/>
            <w:vAlign w:val="top"/>
          </w:tcPr>
          <w:p w14:paraId="50BC781B">
            <w:pPr>
              <w:pStyle w:val="6"/>
              <w:spacing w:before="150" w:line="232" w:lineRule="auto"/>
              <w:ind w:left="60"/>
            </w:pPr>
            <w:r>
              <w:rPr>
                <w:spacing w:val="-2"/>
              </w:rPr>
              <w:t>0.004L</w:t>
            </w:r>
          </w:p>
        </w:tc>
        <w:tc>
          <w:tcPr>
            <w:tcW w:w="851" w:type="dxa"/>
            <w:vAlign w:val="top"/>
          </w:tcPr>
          <w:p w14:paraId="3609E747">
            <w:pPr>
              <w:pStyle w:val="6"/>
              <w:spacing w:before="150" w:line="232" w:lineRule="auto"/>
              <w:ind w:left="81"/>
            </w:pPr>
            <w:r>
              <w:rPr>
                <w:spacing w:val="-1"/>
              </w:rPr>
              <w:t>0.0025L</w:t>
            </w:r>
          </w:p>
        </w:tc>
        <w:tc>
          <w:tcPr>
            <w:tcW w:w="851" w:type="dxa"/>
            <w:vAlign w:val="top"/>
          </w:tcPr>
          <w:p w14:paraId="0CAB09CC">
            <w:pPr>
              <w:pStyle w:val="6"/>
              <w:spacing w:before="150" w:line="232" w:lineRule="auto"/>
              <w:ind w:left="82"/>
            </w:pPr>
            <w:r>
              <w:rPr>
                <w:spacing w:val="-1"/>
              </w:rPr>
              <w:t>0.0001L</w:t>
            </w:r>
          </w:p>
        </w:tc>
        <w:tc>
          <w:tcPr>
            <w:tcW w:w="847" w:type="dxa"/>
            <w:vAlign w:val="top"/>
          </w:tcPr>
          <w:p w14:paraId="1E6C26F9">
            <w:pPr>
              <w:pStyle w:val="6"/>
              <w:spacing w:before="150" w:line="232" w:lineRule="auto"/>
              <w:ind w:left="80"/>
            </w:pPr>
            <w:r>
              <w:rPr>
                <w:spacing w:val="-1"/>
              </w:rPr>
              <w:t>0.0004L</w:t>
            </w:r>
          </w:p>
        </w:tc>
        <w:tc>
          <w:tcPr>
            <w:tcW w:w="708" w:type="dxa"/>
            <w:vAlign w:val="top"/>
          </w:tcPr>
          <w:p w14:paraId="67324FE6">
            <w:pPr>
              <w:pStyle w:val="6"/>
              <w:spacing w:before="150" w:line="232" w:lineRule="auto"/>
              <w:ind w:left="64"/>
            </w:pPr>
            <w:r>
              <w:rPr>
                <w:spacing w:val="-2"/>
              </w:rPr>
              <w:t>0.002L</w:t>
            </w:r>
          </w:p>
        </w:tc>
        <w:tc>
          <w:tcPr>
            <w:tcW w:w="566" w:type="dxa"/>
            <w:vAlign w:val="top"/>
          </w:tcPr>
          <w:p w14:paraId="3579170F">
            <w:pPr>
              <w:pStyle w:val="6"/>
              <w:spacing w:before="150" w:line="232" w:lineRule="auto"/>
              <w:ind w:left="164"/>
            </w:pPr>
            <w:r>
              <w:rPr>
                <w:spacing w:val="-3"/>
              </w:rPr>
              <w:t>0.9</w:t>
            </w:r>
          </w:p>
        </w:tc>
        <w:tc>
          <w:tcPr>
            <w:tcW w:w="428" w:type="dxa"/>
            <w:vAlign w:val="top"/>
          </w:tcPr>
          <w:p w14:paraId="094B599C">
            <w:pPr>
              <w:pStyle w:val="6"/>
              <w:spacing w:before="150" w:line="232" w:lineRule="auto"/>
              <w:ind w:right="2"/>
              <w:jc w:val="right"/>
            </w:pPr>
            <w:r>
              <w:rPr>
                <w:spacing w:val="-2"/>
              </w:rPr>
              <w:t>0.5L</w:t>
            </w:r>
          </w:p>
        </w:tc>
        <w:tc>
          <w:tcPr>
            <w:tcW w:w="570" w:type="dxa"/>
            <w:vAlign w:val="top"/>
          </w:tcPr>
          <w:p w14:paraId="5A26D056">
            <w:pPr>
              <w:pStyle w:val="6"/>
              <w:spacing w:before="150" w:line="232" w:lineRule="auto"/>
              <w:ind w:left="262"/>
            </w:pPr>
            <w:r>
              <w:t>/</w:t>
            </w:r>
          </w:p>
        </w:tc>
        <w:tc>
          <w:tcPr>
            <w:tcW w:w="559" w:type="dxa"/>
            <w:gridSpan w:val="2"/>
            <w:tcBorders>
              <w:right w:val="single" w:color="000000" w:sz="12" w:space="0"/>
            </w:tcBorders>
            <w:vAlign w:val="top"/>
          </w:tcPr>
          <w:p w14:paraId="409BB977">
            <w:pPr>
              <w:pStyle w:val="6"/>
              <w:spacing w:before="150" w:line="232" w:lineRule="auto"/>
              <w:ind w:left="184"/>
            </w:pPr>
            <w:r>
              <w:rPr>
                <w:spacing w:val="-4"/>
              </w:rPr>
              <w:t>80</w:t>
            </w:r>
          </w:p>
        </w:tc>
      </w:tr>
      <w:tr w14:paraId="0DCEC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48C4E28E">
            <w:pPr>
              <w:rPr>
                <w:rFonts w:ascii="Arial"/>
                <w:sz w:val="21"/>
              </w:rPr>
            </w:pPr>
          </w:p>
        </w:tc>
        <w:tc>
          <w:tcPr>
            <w:tcW w:w="265" w:type="dxa"/>
            <w:vMerge w:val="continue"/>
            <w:tcBorders>
              <w:top w:val="nil"/>
              <w:bottom w:val="nil"/>
            </w:tcBorders>
            <w:vAlign w:val="top"/>
          </w:tcPr>
          <w:p w14:paraId="794C305A">
            <w:pPr>
              <w:rPr>
                <w:rFonts w:ascii="Arial"/>
                <w:sz w:val="21"/>
              </w:rPr>
            </w:pPr>
          </w:p>
        </w:tc>
        <w:tc>
          <w:tcPr>
            <w:tcW w:w="1014" w:type="dxa"/>
            <w:vAlign w:val="top"/>
          </w:tcPr>
          <w:p w14:paraId="08593F38">
            <w:pPr>
              <w:pStyle w:val="6"/>
              <w:spacing w:before="151" w:line="232" w:lineRule="auto"/>
              <w:ind w:left="118"/>
            </w:pPr>
            <w:r>
              <w:rPr>
                <w:spacing w:val="-1"/>
              </w:rPr>
              <w:t>2020/3/9</w:t>
            </w:r>
          </w:p>
        </w:tc>
        <w:tc>
          <w:tcPr>
            <w:tcW w:w="737" w:type="dxa"/>
            <w:vAlign w:val="top"/>
          </w:tcPr>
          <w:p w14:paraId="5EB2857A">
            <w:pPr>
              <w:pStyle w:val="6"/>
              <w:spacing w:before="157" w:line="183" w:lineRule="auto"/>
              <w:ind w:left="243"/>
            </w:pPr>
            <w:r>
              <w:rPr>
                <w:spacing w:val="-3"/>
              </w:rPr>
              <w:t>5L</w:t>
            </w:r>
          </w:p>
        </w:tc>
        <w:tc>
          <w:tcPr>
            <w:tcW w:w="708" w:type="dxa"/>
            <w:vAlign w:val="top"/>
          </w:tcPr>
          <w:p w14:paraId="34DF181B">
            <w:pPr>
              <w:pStyle w:val="6"/>
              <w:spacing w:before="151" w:line="232" w:lineRule="auto"/>
              <w:ind w:left="148"/>
            </w:pPr>
            <w:r>
              <w:rPr>
                <w:spacing w:val="-2"/>
              </w:rPr>
              <w:t>0.5L</w:t>
            </w:r>
          </w:p>
        </w:tc>
        <w:tc>
          <w:tcPr>
            <w:tcW w:w="851" w:type="dxa"/>
            <w:vAlign w:val="top"/>
          </w:tcPr>
          <w:p w14:paraId="6D311EBC">
            <w:pPr>
              <w:pStyle w:val="6"/>
              <w:spacing w:before="151" w:line="232" w:lineRule="auto"/>
              <w:ind w:left="234"/>
            </w:pPr>
            <w:r>
              <w:rPr>
                <w:spacing w:val="-3"/>
              </w:rPr>
              <w:t>6.86</w:t>
            </w:r>
          </w:p>
        </w:tc>
        <w:tc>
          <w:tcPr>
            <w:tcW w:w="708" w:type="dxa"/>
            <w:vAlign w:val="top"/>
          </w:tcPr>
          <w:p w14:paraId="660E6102">
            <w:pPr>
              <w:pStyle w:val="6"/>
              <w:spacing w:before="151" w:line="232" w:lineRule="auto"/>
              <w:ind w:left="109"/>
            </w:pPr>
            <w:r>
              <w:rPr>
                <w:spacing w:val="-2"/>
              </w:rPr>
              <w:t>0.127</w:t>
            </w:r>
          </w:p>
        </w:tc>
        <w:tc>
          <w:tcPr>
            <w:tcW w:w="842" w:type="dxa"/>
            <w:vAlign w:val="top"/>
          </w:tcPr>
          <w:p w14:paraId="29DFCCDD">
            <w:pPr>
              <w:pStyle w:val="6"/>
              <w:spacing w:before="151" w:line="232" w:lineRule="auto"/>
              <w:ind w:left="126"/>
            </w:pPr>
            <w:r>
              <w:rPr>
                <w:spacing w:val="-2"/>
              </w:rPr>
              <w:t>0.0202</w:t>
            </w:r>
          </w:p>
        </w:tc>
        <w:tc>
          <w:tcPr>
            <w:tcW w:w="851" w:type="dxa"/>
            <w:vAlign w:val="top"/>
          </w:tcPr>
          <w:p w14:paraId="5CF00735">
            <w:pPr>
              <w:pStyle w:val="6"/>
              <w:spacing w:before="151" w:line="232" w:lineRule="auto"/>
              <w:ind w:left="131"/>
            </w:pPr>
            <w:r>
              <w:rPr>
                <w:spacing w:val="-2"/>
              </w:rPr>
              <w:t>0.0039</w:t>
            </w:r>
          </w:p>
        </w:tc>
        <w:tc>
          <w:tcPr>
            <w:tcW w:w="708" w:type="dxa"/>
            <w:vAlign w:val="top"/>
          </w:tcPr>
          <w:p w14:paraId="5A572323">
            <w:pPr>
              <w:pStyle w:val="6"/>
              <w:spacing w:before="151" w:line="232" w:lineRule="auto"/>
              <w:ind w:left="48"/>
            </w:pPr>
            <w:r>
              <w:rPr>
                <w:spacing w:val="-2"/>
              </w:rPr>
              <w:t>0.009L</w:t>
            </w:r>
          </w:p>
        </w:tc>
        <w:tc>
          <w:tcPr>
            <w:tcW w:w="847" w:type="dxa"/>
            <w:vAlign w:val="top"/>
          </w:tcPr>
          <w:p w14:paraId="73A8198E">
            <w:pPr>
              <w:pStyle w:val="6"/>
              <w:spacing w:before="151" w:line="232" w:lineRule="auto"/>
              <w:ind w:left="184"/>
            </w:pPr>
            <w:r>
              <w:rPr>
                <w:spacing w:val="-2"/>
              </w:rPr>
              <w:t>0.003</w:t>
            </w:r>
          </w:p>
        </w:tc>
        <w:tc>
          <w:tcPr>
            <w:tcW w:w="565" w:type="dxa"/>
            <w:vAlign w:val="top"/>
          </w:tcPr>
          <w:p w14:paraId="5DDCD9B2">
            <w:pPr>
              <w:pStyle w:val="6"/>
              <w:spacing w:before="151" w:line="232" w:lineRule="auto"/>
              <w:ind w:left="146"/>
            </w:pPr>
            <w:r>
              <w:rPr>
                <w:spacing w:val="-2"/>
              </w:rPr>
              <w:t>2.8</w:t>
            </w:r>
          </w:p>
        </w:tc>
        <w:tc>
          <w:tcPr>
            <w:tcW w:w="567" w:type="dxa"/>
            <w:vAlign w:val="top"/>
          </w:tcPr>
          <w:p w14:paraId="58A2536B">
            <w:pPr>
              <w:pStyle w:val="6"/>
              <w:spacing w:before="151" w:line="232" w:lineRule="auto"/>
              <w:ind w:left="96"/>
            </w:pPr>
            <w:r>
              <w:rPr>
                <w:spacing w:val="-1"/>
              </w:rPr>
              <w:t>25.7</w:t>
            </w:r>
          </w:p>
        </w:tc>
        <w:tc>
          <w:tcPr>
            <w:tcW w:w="851" w:type="dxa"/>
            <w:vAlign w:val="top"/>
          </w:tcPr>
          <w:p w14:paraId="55497545">
            <w:pPr>
              <w:pStyle w:val="6"/>
              <w:spacing w:before="151" w:line="232" w:lineRule="auto"/>
              <w:ind w:left="286"/>
            </w:pPr>
            <w:r>
              <w:rPr>
                <w:spacing w:val="-6"/>
              </w:rPr>
              <w:t>145</w:t>
            </w:r>
          </w:p>
        </w:tc>
        <w:tc>
          <w:tcPr>
            <w:tcW w:w="566" w:type="dxa"/>
            <w:vAlign w:val="top"/>
          </w:tcPr>
          <w:p w14:paraId="5A8FD957">
            <w:pPr>
              <w:pStyle w:val="6"/>
              <w:spacing w:before="151" w:line="232" w:lineRule="auto"/>
              <w:ind w:left="184"/>
            </w:pPr>
            <w:r>
              <w:rPr>
                <w:spacing w:val="-4"/>
              </w:rPr>
              <w:t>84</w:t>
            </w:r>
          </w:p>
        </w:tc>
        <w:tc>
          <w:tcPr>
            <w:tcW w:w="567" w:type="dxa"/>
            <w:vAlign w:val="top"/>
          </w:tcPr>
          <w:p w14:paraId="79A0BC89">
            <w:pPr>
              <w:pStyle w:val="6"/>
              <w:spacing w:before="151" w:line="232" w:lineRule="auto"/>
              <w:ind w:left="101"/>
            </w:pPr>
            <w:r>
              <w:rPr>
                <w:spacing w:val="-2"/>
              </w:rPr>
              <w:t>0.82</w:t>
            </w:r>
          </w:p>
        </w:tc>
        <w:tc>
          <w:tcPr>
            <w:tcW w:w="851" w:type="dxa"/>
            <w:vAlign w:val="top"/>
          </w:tcPr>
          <w:p w14:paraId="63C2C00F">
            <w:pPr>
              <w:pStyle w:val="6"/>
              <w:spacing w:before="151" w:line="232" w:lineRule="auto"/>
              <w:ind w:left="127"/>
            </w:pPr>
            <w:r>
              <w:rPr>
                <w:spacing w:val="-2"/>
              </w:rPr>
              <w:t>0.002L</w:t>
            </w:r>
          </w:p>
        </w:tc>
        <w:tc>
          <w:tcPr>
            <w:tcW w:w="707" w:type="dxa"/>
            <w:vAlign w:val="top"/>
          </w:tcPr>
          <w:p w14:paraId="1BF37AE7">
            <w:pPr>
              <w:pStyle w:val="6"/>
              <w:spacing w:before="151" w:line="232" w:lineRule="auto"/>
              <w:ind w:left="56"/>
            </w:pPr>
            <w:r>
              <w:rPr>
                <w:spacing w:val="-2"/>
              </w:rPr>
              <w:t>0.050L</w:t>
            </w:r>
          </w:p>
        </w:tc>
        <w:tc>
          <w:tcPr>
            <w:tcW w:w="708" w:type="dxa"/>
            <w:vAlign w:val="top"/>
          </w:tcPr>
          <w:p w14:paraId="2142CEDE">
            <w:pPr>
              <w:pStyle w:val="6"/>
              <w:spacing w:before="151" w:line="232" w:lineRule="auto"/>
              <w:ind w:left="58"/>
            </w:pPr>
            <w:r>
              <w:rPr>
                <w:spacing w:val="-2"/>
              </w:rPr>
              <w:t>0.001L</w:t>
            </w:r>
          </w:p>
        </w:tc>
        <w:tc>
          <w:tcPr>
            <w:tcW w:w="851" w:type="dxa"/>
            <w:vAlign w:val="top"/>
          </w:tcPr>
          <w:p w14:paraId="277311E2">
            <w:pPr>
              <w:pStyle w:val="6"/>
              <w:spacing w:before="151" w:line="232" w:lineRule="auto"/>
              <w:ind w:left="80"/>
            </w:pPr>
            <w:r>
              <w:rPr>
                <w:spacing w:val="-1"/>
              </w:rPr>
              <w:t>0.0005L</w:t>
            </w:r>
          </w:p>
        </w:tc>
        <w:tc>
          <w:tcPr>
            <w:tcW w:w="708" w:type="dxa"/>
            <w:vAlign w:val="top"/>
          </w:tcPr>
          <w:p w14:paraId="7D245DAC">
            <w:pPr>
              <w:pStyle w:val="6"/>
              <w:spacing w:before="151" w:line="232" w:lineRule="auto"/>
              <w:ind w:left="60"/>
            </w:pPr>
            <w:r>
              <w:rPr>
                <w:spacing w:val="-2"/>
              </w:rPr>
              <w:t>0.004L</w:t>
            </w:r>
          </w:p>
        </w:tc>
        <w:tc>
          <w:tcPr>
            <w:tcW w:w="851" w:type="dxa"/>
            <w:vAlign w:val="top"/>
          </w:tcPr>
          <w:p w14:paraId="3C6753C3">
            <w:pPr>
              <w:pStyle w:val="6"/>
              <w:spacing w:before="151" w:line="232" w:lineRule="auto"/>
              <w:ind w:left="81"/>
            </w:pPr>
            <w:r>
              <w:rPr>
                <w:spacing w:val="-1"/>
              </w:rPr>
              <w:t>0.0025L</w:t>
            </w:r>
          </w:p>
        </w:tc>
        <w:tc>
          <w:tcPr>
            <w:tcW w:w="851" w:type="dxa"/>
            <w:vAlign w:val="top"/>
          </w:tcPr>
          <w:p w14:paraId="342FE01A">
            <w:pPr>
              <w:pStyle w:val="6"/>
              <w:spacing w:before="151" w:line="232" w:lineRule="auto"/>
              <w:ind w:left="82"/>
            </w:pPr>
            <w:r>
              <w:rPr>
                <w:spacing w:val="-1"/>
              </w:rPr>
              <w:t>0.0001L</w:t>
            </w:r>
          </w:p>
        </w:tc>
        <w:tc>
          <w:tcPr>
            <w:tcW w:w="847" w:type="dxa"/>
            <w:vAlign w:val="top"/>
          </w:tcPr>
          <w:p w14:paraId="67B62CBA">
            <w:pPr>
              <w:pStyle w:val="6"/>
              <w:spacing w:before="151" w:line="232" w:lineRule="auto"/>
              <w:ind w:left="80"/>
            </w:pPr>
            <w:r>
              <w:rPr>
                <w:spacing w:val="-1"/>
              </w:rPr>
              <w:t>0.0004L</w:t>
            </w:r>
          </w:p>
        </w:tc>
        <w:tc>
          <w:tcPr>
            <w:tcW w:w="708" w:type="dxa"/>
            <w:vAlign w:val="top"/>
          </w:tcPr>
          <w:p w14:paraId="24BEC2CA">
            <w:pPr>
              <w:pStyle w:val="6"/>
              <w:spacing w:before="151" w:line="232" w:lineRule="auto"/>
              <w:ind w:left="64"/>
            </w:pPr>
            <w:r>
              <w:rPr>
                <w:spacing w:val="-2"/>
              </w:rPr>
              <w:t>0.002L</w:t>
            </w:r>
          </w:p>
        </w:tc>
        <w:tc>
          <w:tcPr>
            <w:tcW w:w="566" w:type="dxa"/>
            <w:vAlign w:val="top"/>
          </w:tcPr>
          <w:p w14:paraId="5ED39F89">
            <w:pPr>
              <w:pStyle w:val="6"/>
              <w:spacing w:before="151" w:line="232" w:lineRule="auto"/>
              <w:ind w:left="164"/>
            </w:pPr>
            <w:r>
              <w:rPr>
                <w:spacing w:val="-3"/>
              </w:rPr>
              <w:t>0.8</w:t>
            </w:r>
          </w:p>
        </w:tc>
        <w:tc>
          <w:tcPr>
            <w:tcW w:w="428" w:type="dxa"/>
            <w:vAlign w:val="top"/>
          </w:tcPr>
          <w:p w14:paraId="6EF9031B">
            <w:pPr>
              <w:pStyle w:val="6"/>
              <w:spacing w:before="151" w:line="232" w:lineRule="auto"/>
              <w:ind w:right="2"/>
              <w:jc w:val="right"/>
            </w:pPr>
            <w:r>
              <w:rPr>
                <w:spacing w:val="-2"/>
              </w:rPr>
              <w:t>0.5L</w:t>
            </w:r>
          </w:p>
        </w:tc>
        <w:tc>
          <w:tcPr>
            <w:tcW w:w="570" w:type="dxa"/>
            <w:vAlign w:val="top"/>
          </w:tcPr>
          <w:p w14:paraId="52EA30B8">
            <w:pPr>
              <w:pStyle w:val="6"/>
              <w:spacing w:before="151" w:line="232" w:lineRule="auto"/>
              <w:ind w:left="262"/>
            </w:pPr>
            <w:r>
              <w:t>/</w:t>
            </w:r>
          </w:p>
        </w:tc>
        <w:tc>
          <w:tcPr>
            <w:tcW w:w="559" w:type="dxa"/>
            <w:gridSpan w:val="2"/>
            <w:tcBorders>
              <w:right w:val="single" w:color="000000" w:sz="12" w:space="0"/>
            </w:tcBorders>
            <w:vAlign w:val="top"/>
          </w:tcPr>
          <w:p w14:paraId="03820B8A">
            <w:pPr>
              <w:pStyle w:val="6"/>
              <w:spacing w:before="151" w:line="232" w:lineRule="auto"/>
              <w:ind w:left="179"/>
            </w:pPr>
            <w:r>
              <w:rPr>
                <w:spacing w:val="-2"/>
              </w:rPr>
              <w:t>70</w:t>
            </w:r>
          </w:p>
        </w:tc>
      </w:tr>
      <w:tr w14:paraId="01FB7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0F0A2F0B">
            <w:pPr>
              <w:rPr>
                <w:rFonts w:ascii="Arial"/>
                <w:sz w:val="21"/>
              </w:rPr>
            </w:pPr>
          </w:p>
        </w:tc>
        <w:tc>
          <w:tcPr>
            <w:tcW w:w="265" w:type="dxa"/>
            <w:vMerge w:val="continue"/>
            <w:tcBorders>
              <w:top w:val="nil"/>
            </w:tcBorders>
            <w:vAlign w:val="top"/>
          </w:tcPr>
          <w:p w14:paraId="748F8D4F">
            <w:pPr>
              <w:rPr>
                <w:rFonts w:ascii="Arial"/>
                <w:sz w:val="21"/>
              </w:rPr>
            </w:pPr>
          </w:p>
        </w:tc>
        <w:tc>
          <w:tcPr>
            <w:tcW w:w="1014" w:type="dxa"/>
            <w:vAlign w:val="top"/>
          </w:tcPr>
          <w:p w14:paraId="71BAAC4B">
            <w:pPr>
              <w:pStyle w:val="6"/>
              <w:spacing w:before="153" w:line="232" w:lineRule="auto"/>
              <w:ind w:left="65"/>
            </w:pPr>
            <w:r>
              <w:rPr>
                <w:spacing w:val="-1"/>
              </w:rPr>
              <w:t>2020/5/20</w:t>
            </w:r>
          </w:p>
        </w:tc>
        <w:tc>
          <w:tcPr>
            <w:tcW w:w="737" w:type="dxa"/>
            <w:vAlign w:val="top"/>
          </w:tcPr>
          <w:p w14:paraId="04E02FE0">
            <w:pPr>
              <w:pStyle w:val="6"/>
              <w:spacing w:before="159" w:line="183" w:lineRule="auto"/>
              <w:ind w:left="243"/>
            </w:pPr>
            <w:r>
              <w:rPr>
                <w:spacing w:val="-3"/>
              </w:rPr>
              <w:t>5L</w:t>
            </w:r>
          </w:p>
        </w:tc>
        <w:tc>
          <w:tcPr>
            <w:tcW w:w="708" w:type="dxa"/>
            <w:vAlign w:val="top"/>
          </w:tcPr>
          <w:p w14:paraId="7D864272">
            <w:pPr>
              <w:pStyle w:val="6"/>
              <w:spacing w:before="153" w:line="232" w:lineRule="auto"/>
              <w:ind w:left="148"/>
            </w:pPr>
            <w:r>
              <w:rPr>
                <w:spacing w:val="-2"/>
              </w:rPr>
              <w:t>0.5L</w:t>
            </w:r>
          </w:p>
        </w:tc>
        <w:tc>
          <w:tcPr>
            <w:tcW w:w="851" w:type="dxa"/>
            <w:vAlign w:val="top"/>
          </w:tcPr>
          <w:p w14:paraId="4F5C9EDB">
            <w:pPr>
              <w:pStyle w:val="6"/>
              <w:spacing w:before="153" w:line="232" w:lineRule="auto"/>
              <w:ind w:left="234"/>
            </w:pPr>
            <w:r>
              <w:rPr>
                <w:spacing w:val="-3"/>
              </w:rPr>
              <w:t>6.96</w:t>
            </w:r>
          </w:p>
        </w:tc>
        <w:tc>
          <w:tcPr>
            <w:tcW w:w="708" w:type="dxa"/>
            <w:vAlign w:val="top"/>
          </w:tcPr>
          <w:p w14:paraId="4713CD48">
            <w:pPr>
              <w:pStyle w:val="6"/>
              <w:spacing w:before="153" w:line="232" w:lineRule="auto"/>
              <w:ind w:left="109"/>
            </w:pPr>
            <w:r>
              <w:rPr>
                <w:spacing w:val="-2"/>
              </w:rPr>
              <w:t>0.118</w:t>
            </w:r>
          </w:p>
        </w:tc>
        <w:tc>
          <w:tcPr>
            <w:tcW w:w="842" w:type="dxa"/>
            <w:vAlign w:val="top"/>
          </w:tcPr>
          <w:p w14:paraId="0FDF4C88">
            <w:pPr>
              <w:pStyle w:val="6"/>
              <w:spacing w:before="153" w:line="232" w:lineRule="auto"/>
              <w:ind w:left="126"/>
            </w:pPr>
            <w:r>
              <w:rPr>
                <w:spacing w:val="-2"/>
              </w:rPr>
              <w:t>0.0110</w:t>
            </w:r>
          </w:p>
        </w:tc>
        <w:tc>
          <w:tcPr>
            <w:tcW w:w="851" w:type="dxa"/>
            <w:vAlign w:val="top"/>
          </w:tcPr>
          <w:p w14:paraId="45D3CCE6">
            <w:pPr>
              <w:pStyle w:val="6"/>
              <w:spacing w:before="153" w:line="232" w:lineRule="auto"/>
              <w:ind w:left="131"/>
            </w:pPr>
            <w:r>
              <w:rPr>
                <w:spacing w:val="-2"/>
              </w:rPr>
              <w:t>0.0020</w:t>
            </w:r>
          </w:p>
        </w:tc>
        <w:tc>
          <w:tcPr>
            <w:tcW w:w="708" w:type="dxa"/>
            <w:vAlign w:val="top"/>
          </w:tcPr>
          <w:p w14:paraId="7D31CDBA">
            <w:pPr>
              <w:pStyle w:val="6"/>
              <w:spacing w:before="153" w:line="232" w:lineRule="auto"/>
              <w:ind w:left="48"/>
            </w:pPr>
            <w:r>
              <w:rPr>
                <w:spacing w:val="-2"/>
              </w:rPr>
              <w:t>0.009L</w:t>
            </w:r>
          </w:p>
        </w:tc>
        <w:tc>
          <w:tcPr>
            <w:tcW w:w="847" w:type="dxa"/>
            <w:vAlign w:val="top"/>
          </w:tcPr>
          <w:p w14:paraId="0D4A6B9C">
            <w:pPr>
              <w:pStyle w:val="6"/>
              <w:spacing w:before="153" w:line="232" w:lineRule="auto"/>
              <w:ind w:left="184"/>
            </w:pPr>
            <w:r>
              <w:rPr>
                <w:spacing w:val="-2"/>
              </w:rPr>
              <w:t>0.006</w:t>
            </w:r>
          </w:p>
        </w:tc>
        <w:tc>
          <w:tcPr>
            <w:tcW w:w="565" w:type="dxa"/>
            <w:vAlign w:val="top"/>
          </w:tcPr>
          <w:p w14:paraId="4440D415">
            <w:pPr>
              <w:pStyle w:val="6"/>
              <w:spacing w:before="153" w:line="232" w:lineRule="auto"/>
              <w:ind w:left="152"/>
            </w:pPr>
            <w:r>
              <w:rPr>
                <w:spacing w:val="-4"/>
              </w:rPr>
              <w:t>5.6</w:t>
            </w:r>
          </w:p>
        </w:tc>
        <w:tc>
          <w:tcPr>
            <w:tcW w:w="567" w:type="dxa"/>
            <w:vAlign w:val="top"/>
          </w:tcPr>
          <w:p w14:paraId="24FD150D">
            <w:pPr>
              <w:pStyle w:val="6"/>
              <w:spacing w:before="153" w:line="232" w:lineRule="auto"/>
              <w:ind w:left="156"/>
            </w:pPr>
            <w:r>
              <w:rPr>
                <w:spacing w:val="-5"/>
              </w:rPr>
              <w:t>8.4</w:t>
            </w:r>
          </w:p>
        </w:tc>
        <w:tc>
          <w:tcPr>
            <w:tcW w:w="851" w:type="dxa"/>
            <w:vAlign w:val="top"/>
          </w:tcPr>
          <w:p w14:paraId="7A2E173E">
            <w:pPr>
              <w:pStyle w:val="6"/>
              <w:spacing w:before="153" w:line="232" w:lineRule="auto"/>
              <w:ind w:left="266"/>
            </w:pPr>
            <w:r>
              <w:rPr>
                <w:spacing w:val="-1"/>
              </w:rPr>
              <w:t>235</w:t>
            </w:r>
          </w:p>
        </w:tc>
        <w:tc>
          <w:tcPr>
            <w:tcW w:w="566" w:type="dxa"/>
            <w:vAlign w:val="top"/>
          </w:tcPr>
          <w:p w14:paraId="27FDBA67">
            <w:pPr>
              <w:pStyle w:val="6"/>
              <w:spacing w:before="153" w:line="232" w:lineRule="auto"/>
              <w:ind w:left="181"/>
            </w:pPr>
            <w:r>
              <w:rPr>
                <w:spacing w:val="-3"/>
              </w:rPr>
              <w:t>52</w:t>
            </w:r>
          </w:p>
        </w:tc>
        <w:tc>
          <w:tcPr>
            <w:tcW w:w="567" w:type="dxa"/>
            <w:vAlign w:val="top"/>
          </w:tcPr>
          <w:p w14:paraId="0B175FFA">
            <w:pPr>
              <w:pStyle w:val="6"/>
              <w:spacing w:before="153" w:line="232" w:lineRule="auto"/>
              <w:ind w:left="118"/>
            </w:pPr>
            <w:r>
              <w:rPr>
                <w:spacing w:val="-6"/>
              </w:rPr>
              <w:t>1.28</w:t>
            </w:r>
          </w:p>
        </w:tc>
        <w:tc>
          <w:tcPr>
            <w:tcW w:w="851" w:type="dxa"/>
            <w:vAlign w:val="top"/>
          </w:tcPr>
          <w:p w14:paraId="73FE32E1">
            <w:pPr>
              <w:pStyle w:val="6"/>
              <w:spacing w:before="153" w:line="232" w:lineRule="auto"/>
              <w:ind w:left="127"/>
            </w:pPr>
            <w:r>
              <w:rPr>
                <w:spacing w:val="-2"/>
              </w:rPr>
              <w:t>0.002L</w:t>
            </w:r>
          </w:p>
        </w:tc>
        <w:tc>
          <w:tcPr>
            <w:tcW w:w="707" w:type="dxa"/>
            <w:vAlign w:val="top"/>
          </w:tcPr>
          <w:p w14:paraId="484A93A9">
            <w:pPr>
              <w:pStyle w:val="6"/>
              <w:spacing w:before="153" w:line="232" w:lineRule="auto"/>
              <w:ind w:left="56"/>
            </w:pPr>
            <w:r>
              <w:rPr>
                <w:spacing w:val="-2"/>
              </w:rPr>
              <w:t>0.050L</w:t>
            </w:r>
          </w:p>
        </w:tc>
        <w:tc>
          <w:tcPr>
            <w:tcW w:w="708" w:type="dxa"/>
            <w:vAlign w:val="top"/>
          </w:tcPr>
          <w:p w14:paraId="34A095DD">
            <w:pPr>
              <w:pStyle w:val="6"/>
              <w:spacing w:before="153" w:line="232" w:lineRule="auto"/>
              <w:ind w:left="58"/>
            </w:pPr>
            <w:r>
              <w:rPr>
                <w:spacing w:val="-2"/>
              </w:rPr>
              <w:t>0.001L</w:t>
            </w:r>
          </w:p>
        </w:tc>
        <w:tc>
          <w:tcPr>
            <w:tcW w:w="851" w:type="dxa"/>
            <w:vAlign w:val="top"/>
          </w:tcPr>
          <w:p w14:paraId="50CC791A">
            <w:pPr>
              <w:pStyle w:val="6"/>
              <w:spacing w:before="153" w:line="232" w:lineRule="auto"/>
              <w:ind w:left="80"/>
            </w:pPr>
            <w:r>
              <w:rPr>
                <w:spacing w:val="-1"/>
              </w:rPr>
              <w:t>0.0005L</w:t>
            </w:r>
          </w:p>
        </w:tc>
        <w:tc>
          <w:tcPr>
            <w:tcW w:w="708" w:type="dxa"/>
            <w:vAlign w:val="top"/>
          </w:tcPr>
          <w:p w14:paraId="3A4263E0">
            <w:pPr>
              <w:pStyle w:val="6"/>
              <w:spacing w:before="153" w:line="232" w:lineRule="auto"/>
              <w:ind w:left="60"/>
            </w:pPr>
            <w:r>
              <w:rPr>
                <w:spacing w:val="-2"/>
              </w:rPr>
              <w:t>0.004L</w:t>
            </w:r>
          </w:p>
        </w:tc>
        <w:tc>
          <w:tcPr>
            <w:tcW w:w="851" w:type="dxa"/>
            <w:vAlign w:val="top"/>
          </w:tcPr>
          <w:p w14:paraId="1BFF40A8">
            <w:pPr>
              <w:pStyle w:val="6"/>
              <w:spacing w:before="153" w:line="232" w:lineRule="auto"/>
              <w:ind w:left="81"/>
            </w:pPr>
            <w:r>
              <w:rPr>
                <w:spacing w:val="-1"/>
              </w:rPr>
              <w:t>0.0025L</w:t>
            </w:r>
          </w:p>
        </w:tc>
        <w:tc>
          <w:tcPr>
            <w:tcW w:w="851" w:type="dxa"/>
            <w:vAlign w:val="top"/>
          </w:tcPr>
          <w:p w14:paraId="4EB5AA7B">
            <w:pPr>
              <w:pStyle w:val="6"/>
              <w:spacing w:before="153" w:line="232" w:lineRule="auto"/>
              <w:ind w:left="145"/>
            </w:pPr>
            <w:r>
              <w:rPr>
                <w:spacing w:val="-2"/>
              </w:rPr>
              <w:t>0.0002</w:t>
            </w:r>
          </w:p>
        </w:tc>
        <w:tc>
          <w:tcPr>
            <w:tcW w:w="847" w:type="dxa"/>
            <w:vAlign w:val="top"/>
          </w:tcPr>
          <w:p w14:paraId="72FC979B">
            <w:pPr>
              <w:pStyle w:val="6"/>
              <w:spacing w:before="153" w:line="232" w:lineRule="auto"/>
              <w:ind w:left="80"/>
            </w:pPr>
            <w:r>
              <w:rPr>
                <w:spacing w:val="-1"/>
              </w:rPr>
              <w:t>0.0004L</w:t>
            </w:r>
          </w:p>
        </w:tc>
        <w:tc>
          <w:tcPr>
            <w:tcW w:w="708" w:type="dxa"/>
            <w:vAlign w:val="top"/>
          </w:tcPr>
          <w:p w14:paraId="5B280F6F">
            <w:pPr>
              <w:pStyle w:val="6"/>
              <w:spacing w:before="153" w:line="232" w:lineRule="auto"/>
              <w:ind w:left="64"/>
            </w:pPr>
            <w:r>
              <w:rPr>
                <w:spacing w:val="-2"/>
              </w:rPr>
              <w:t>0.002L</w:t>
            </w:r>
          </w:p>
        </w:tc>
        <w:tc>
          <w:tcPr>
            <w:tcW w:w="566" w:type="dxa"/>
            <w:vAlign w:val="top"/>
          </w:tcPr>
          <w:p w14:paraId="61585FDE">
            <w:pPr>
              <w:pStyle w:val="6"/>
              <w:spacing w:before="153" w:line="232" w:lineRule="auto"/>
              <w:ind w:left="164"/>
            </w:pPr>
            <w:r>
              <w:rPr>
                <w:spacing w:val="-3"/>
              </w:rPr>
              <w:t>0.9</w:t>
            </w:r>
          </w:p>
        </w:tc>
        <w:tc>
          <w:tcPr>
            <w:tcW w:w="428" w:type="dxa"/>
            <w:vAlign w:val="top"/>
          </w:tcPr>
          <w:p w14:paraId="4CEE2513">
            <w:pPr>
              <w:pStyle w:val="6"/>
              <w:spacing w:before="153" w:line="232" w:lineRule="auto"/>
              <w:ind w:right="2"/>
              <w:jc w:val="right"/>
            </w:pPr>
            <w:r>
              <w:rPr>
                <w:spacing w:val="-2"/>
              </w:rPr>
              <w:t>0.5L</w:t>
            </w:r>
          </w:p>
        </w:tc>
        <w:tc>
          <w:tcPr>
            <w:tcW w:w="570" w:type="dxa"/>
            <w:vAlign w:val="top"/>
          </w:tcPr>
          <w:p w14:paraId="2BB7B764">
            <w:pPr>
              <w:pStyle w:val="6"/>
              <w:spacing w:before="157" w:line="229" w:lineRule="auto"/>
              <w:ind w:left="138"/>
            </w:pPr>
            <w:r>
              <w:rPr>
                <w:b/>
                <w:bCs/>
                <w:spacing w:val="-2"/>
              </w:rPr>
              <w:t>250</w:t>
            </w:r>
          </w:p>
        </w:tc>
        <w:tc>
          <w:tcPr>
            <w:tcW w:w="559" w:type="dxa"/>
            <w:gridSpan w:val="2"/>
            <w:tcBorders>
              <w:right w:val="single" w:color="000000" w:sz="12" w:space="0"/>
            </w:tcBorders>
            <w:vAlign w:val="top"/>
          </w:tcPr>
          <w:p w14:paraId="6A606AF1">
            <w:pPr>
              <w:pStyle w:val="6"/>
              <w:spacing w:before="153" w:line="232" w:lineRule="auto"/>
              <w:ind w:left="179"/>
            </w:pPr>
            <w:r>
              <w:rPr>
                <w:spacing w:val="-2"/>
              </w:rPr>
              <w:t>70</w:t>
            </w:r>
          </w:p>
        </w:tc>
      </w:tr>
      <w:tr w14:paraId="34165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026977F8">
            <w:pPr>
              <w:rPr>
                <w:rFonts w:ascii="Arial"/>
                <w:sz w:val="21"/>
              </w:rPr>
            </w:pPr>
          </w:p>
        </w:tc>
        <w:tc>
          <w:tcPr>
            <w:tcW w:w="265" w:type="dxa"/>
            <w:vMerge w:val="restart"/>
            <w:tcBorders>
              <w:bottom w:val="nil"/>
            </w:tcBorders>
            <w:vAlign w:val="top"/>
          </w:tcPr>
          <w:p w14:paraId="2F46E202">
            <w:pPr>
              <w:pStyle w:val="6"/>
              <w:spacing w:before="295" w:line="233" w:lineRule="auto"/>
              <w:ind w:left="14" w:right="38" w:firstLine="49"/>
              <w:jc w:val="both"/>
              <w:rPr>
                <w:rFonts w:ascii="等线" w:hAnsi="等线" w:eastAsia="等线" w:cs="等线"/>
              </w:rPr>
            </w:pPr>
            <w:r>
              <w:rPr>
                <w:spacing w:val="-5"/>
              </w:rPr>
              <w:t>2</w:t>
            </w:r>
            <w:r>
              <w:rPr>
                <w:rFonts w:ascii="等线" w:hAnsi="等线" w:eastAsia="等线" w:cs="等线"/>
                <w:spacing w:val="-8"/>
              </w:rPr>
              <w:t>季度</w:t>
            </w:r>
          </w:p>
        </w:tc>
        <w:tc>
          <w:tcPr>
            <w:tcW w:w="1014" w:type="dxa"/>
            <w:vAlign w:val="top"/>
          </w:tcPr>
          <w:p w14:paraId="5B89E3B0">
            <w:pPr>
              <w:pStyle w:val="6"/>
              <w:spacing w:before="153" w:line="232" w:lineRule="auto"/>
              <w:ind w:left="65"/>
            </w:pPr>
            <w:r>
              <w:rPr>
                <w:spacing w:val="-1"/>
              </w:rPr>
              <w:t>2020/5/21</w:t>
            </w:r>
          </w:p>
        </w:tc>
        <w:tc>
          <w:tcPr>
            <w:tcW w:w="737" w:type="dxa"/>
            <w:vAlign w:val="top"/>
          </w:tcPr>
          <w:p w14:paraId="41EC9FBB">
            <w:pPr>
              <w:pStyle w:val="6"/>
              <w:spacing w:before="159" w:line="183" w:lineRule="auto"/>
              <w:ind w:left="243"/>
            </w:pPr>
            <w:r>
              <w:rPr>
                <w:spacing w:val="-3"/>
              </w:rPr>
              <w:t>5L</w:t>
            </w:r>
          </w:p>
        </w:tc>
        <w:tc>
          <w:tcPr>
            <w:tcW w:w="708" w:type="dxa"/>
            <w:vAlign w:val="top"/>
          </w:tcPr>
          <w:p w14:paraId="58A354CC">
            <w:pPr>
              <w:pStyle w:val="6"/>
              <w:spacing w:before="153" w:line="232" w:lineRule="auto"/>
              <w:ind w:left="148"/>
            </w:pPr>
            <w:r>
              <w:rPr>
                <w:spacing w:val="-2"/>
              </w:rPr>
              <w:t>0.5L</w:t>
            </w:r>
          </w:p>
        </w:tc>
        <w:tc>
          <w:tcPr>
            <w:tcW w:w="851" w:type="dxa"/>
            <w:vAlign w:val="top"/>
          </w:tcPr>
          <w:p w14:paraId="108771BE">
            <w:pPr>
              <w:pStyle w:val="6"/>
              <w:spacing w:before="153" w:line="232" w:lineRule="auto"/>
              <w:ind w:left="234"/>
            </w:pPr>
            <w:r>
              <w:rPr>
                <w:spacing w:val="-3"/>
              </w:rPr>
              <w:t>6.97</w:t>
            </w:r>
          </w:p>
        </w:tc>
        <w:tc>
          <w:tcPr>
            <w:tcW w:w="708" w:type="dxa"/>
            <w:vAlign w:val="top"/>
          </w:tcPr>
          <w:p w14:paraId="18C99D94">
            <w:pPr>
              <w:pStyle w:val="6"/>
              <w:spacing w:before="153" w:line="232" w:lineRule="auto"/>
              <w:ind w:left="109"/>
            </w:pPr>
            <w:r>
              <w:rPr>
                <w:spacing w:val="-2"/>
              </w:rPr>
              <w:t>0.123</w:t>
            </w:r>
          </w:p>
        </w:tc>
        <w:tc>
          <w:tcPr>
            <w:tcW w:w="842" w:type="dxa"/>
            <w:vAlign w:val="top"/>
          </w:tcPr>
          <w:p w14:paraId="791233CF">
            <w:pPr>
              <w:pStyle w:val="6"/>
              <w:spacing w:before="153" w:line="232" w:lineRule="auto"/>
              <w:ind w:left="126"/>
            </w:pPr>
            <w:r>
              <w:rPr>
                <w:spacing w:val="-2"/>
              </w:rPr>
              <w:t>0.0110</w:t>
            </w:r>
          </w:p>
        </w:tc>
        <w:tc>
          <w:tcPr>
            <w:tcW w:w="851" w:type="dxa"/>
            <w:vAlign w:val="top"/>
          </w:tcPr>
          <w:p w14:paraId="4E15F6D6">
            <w:pPr>
              <w:pStyle w:val="6"/>
              <w:spacing w:before="153" w:line="232" w:lineRule="auto"/>
              <w:ind w:left="131"/>
            </w:pPr>
            <w:r>
              <w:rPr>
                <w:spacing w:val="-2"/>
              </w:rPr>
              <w:t>0.0025</w:t>
            </w:r>
          </w:p>
        </w:tc>
        <w:tc>
          <w:tcPr>
            <w:tcW w:w="708" w:type="dxa"/>
            <w:vAlign w:val="top"/>
          </w:tcPr>
          <w:p w14:paraId="76DD1958">
            <w:pPr>
              <w:pStyle w:val="6"/>
              <w:spacing w:before="153" w:line="232" w:lineRule="auto"/>
              <w:ind w:left="48"/>
            </w:pPr>
            <w:r>
              <w:rPr>
                <w:spacing w:val="-2"/>
              </w:rPr>
              <w:t>0.009L</w:t>
            </w:r>
          </w:p>
        </w:tc>
        <w:tc>
          <w:tcPr>
            <w:tcW w:w="847" w:type="dxa"/>
            <w:vAlign w:val="top"/>
          </w:tcPr>
          <w:p w14:paraId="1F0FD7C5">
            <w:pPr>
              <w:pStyle w:val="6"/>
              <w:spacing w:before="153" w:line="232" w:lineRule="auto"/>
              <w:ind w:left="184"/>
            </w:pPr>
            <w:r>
              <w:rPr>
                <w:spacing w:val="-2"/>
              </w:rPr>
              <w:t>0.006</w:t>
            </w:r>
          </w:p>
        </w:tc>
        <w:tc>
          <w:tcPr>
            <w:tcW w:w="565" w:type="dxa"/>
            <w:vAlign w:val="top"/>
          </w:tcPr>
          <w:p w14:paraId="63E8973D">
            <w:pPr>
              <w:pStyle w:val="6"/>
              <w:spacing w:before="153" w:line="232" w:lineRule="auto"/>
              <w:ind w:left="152"/>
            </w:pPr>
            <w:r>
              <w:rPr>
                <w:spacing w:val="-4"/>
              </w:rPr>
              <w:t>5.8</w:t>
            </w:r>
          </w:p>
        </w:tc>
        <w:tc>
          <w:tcPr>
            <w:tcW w:w="567" w:type="dxa"/>
            <w:vAlign w:val="top"/>
          </w:tcPr>
          <w:p w14:paraId="64F15672">
            <w:pPr>
              <w:pStyle w:val="6"/>
              <w:spacing w:before="153" w:line="232" w:lineRule="auto"/>
              <w:ind w:left="156"/>
            </w:pPr>
            <w:r>
              <w:rPr>
                <w:spacing w:val="-5"/>
              </w:rPr>
              <w:t>8.8</w:t>
            </w:r>
          </w:p>
        </w:tc>
        <w:tc>
          <w:tcPr>
            <w:tcW w:w="851" w:type="dxa"/>
            <w:vAlign w:val="top"/>
          </w:tcPr>
          <w:p w14:paraId="63CE8D4A">
            <w:pPr>
              <w:pStyle w:val="6"/>
              <w:spacing w:before="153" w:line="235" w:lineRule="auto"/>
              <w:ind w:left="266"/>
            </w:pPr>
            <w:r>
              <w:rPr>
                <w:spacing w:val="-1"/>
              </w:rPr>
              <w:t>211</w:t>
            </w:r>
          </w:p>
        </w:tc>
        <w:tc>
          <w:tcPr>
            <w:tcW w:w="566" w:type="dxa"/>
            <w:vAlign w:val="top"/>
          </w:tcPr>
          <w:p w14:paraId="672C4B91">
            <w:pPr>
              <w:pStyle w:val="6"/>
              <w:spacing w:before="153" w:line="232" w:lineRule="auto"/>
              <w:ind w:left="175"/>
            </w:pPr>
            <w:r>
              <w:rPr>
                <w:spacing w:val="-1"/>
              </w:rPr>
              <w:t>43</w:t>
            </w:r>
          </w:p>
        </w:tc>
        <w:tc>
          <w:tcPr>
            <w:tcW w:w="567" w:type="dxa"/>
            <w:vAlign w:val="top"/>
          </w:tcPr>
          <w:p w14:paraId="0BA19740">
            <w:pPr>
              <w:pStyle w:val="6"/>
              <w:spacing w:before="153" w:line="232" w:lineRule="auto"/>
              <w:ind w:left="118"/>
            </w:pPr>
            <w:r>
              <w:rPr>
                <w:spacing w:val="-6"/>
              </w:rPr>
              <w:t>1.20</w:t>
            </w:r>
          </w:p>
        </w:tc>
        <w:tc>
          <w:tcPr>
            <w:tcW w:w="851" w:type="dxa"/>
            <w:vAlign w:val="top"/>
          </w:tcPr>
          <w:p w14:paraId="1C82BE66">
            <w:pPr>
              <w:pStyle w:val="6"/>
              <w:spacing w:before="153" w:line="232" w:lineRule="auto"/>
              <w:ind w:left="127"/>
            </w:pPr>
            <w:r>
              <w:rPr>
                <w:spacing w:val="-2"/>
              </w:rPr>
              <w:t>0.002L</w:t>
            </w:r>
          </w:p>
        </w:tc>
        <w:tc>
          <w:tcPr>
            <w:tcW w:w="707" w:type="dxa"/>
            <w:vAlign w:val="top"/>
          </w:tcPr>
          <w:p w14:paraId="761F716D">
            <w:pPr>
              <w:pStyle w:val="6"/>
              <w:spacing w:before="153" w:line="232" w:lineRule="auto"/>
              <w:ind w:left="56"/>
            </w:pPr>
            <w:r>
              <w:rPr>
                <w:spacing w:val="-2"/>
              </w:rPr>
              <w:t>0.050L</w:t>
            </w:r>
          </w:p>
        </w:tc>
        <w:tc>
          <w:tcPr>
            <w:tcW w:w="708" w:type="dxa"/>
            <w:vAlign w:val="top"/>
          </w:tcPr>
          <w:p w14:paraId="7F7A43AF">
            <w:pPr>
              <w:pStyle w:val="6"/>
              <w:spacing w:before="153" w:line="232" w:lineRule="auto"/>
              <w:ind w:left="58"/>
            </w:pPr>
            <w:r>
              <w:rPr>
                <w:spacing w:val="-2"/>
              </w:rPr>
              <w:t>0.001L</w:t>
            </w:r>
          </w:p>
        </w:tc>
        <w:tc>
          <w:tcPr>
            <w:tcW w:w="851" w:type="dxa"/>
            <w:vAlign w:val="top"/>
          </w:tcPr>
          <w:p w14:paraId="16985456">
            <w:pPr>
              <w:pStyle w:val="6"/>
              <w:spacing w:before="153" w:line="232" w:lineRule="auto"/>
              <w:ind w:left="80"/>
            </w:pPr>
            <w:r>
              <w:rPr>
                <w:spacing w:val="-1"/>
              </w:rPr>
              <w:t>0.0005L</w:t>
            </w:r>
          </w:p>
        </w:tc>
        <w:tc>
          <w:tcPr>
            <w:tcW w:w="708" w:type="dxa"/>
            <w:vAlign w:val="top"/>
          </w:tcPr>
          <w:p w14:paraId="6FE7AE79">
            <w:pPr>
              <w:pStyle w:val="6"/>
              <w:spacing w:before="153" w:line="232" w:lineRule="auto"/>
              <w:ind w:left="60"/>
            </w:pPr>
            <w:r>
              <w:rPr>
                <w:spacing w:val="-2"/>
              </w:rPr>
              <w:t>0.004L</w:t>
            </w:r>
          </w:p>
        </w:tc>
        <w:tc>
          <w:tcPr>
            <w:tcW w:w="851" w:type="dxa"/>
            <w:vAlign w:val="top"/>
          </w:tcPr>
          <w:p w14:paraId="3BF717E7">
            <w:pPr>
              <w:pStyle w:val="6"/>
              <w:spacing w:before="153" w:line="232" w:lineRule="auto"/>
              <w:ind w:left="81"/>
            </w:pPr>
            <w:r>
              <w:rPr>
                <w:spacing w:val="-1"/>
              </w:rPr>
              <w:t>0.0025L</w:t>
            </w:r>
          </w:p>
        </w:tc>
        <w:tc>
          <w:tcPr>
            <w:tcW w:w="851" w:type="dxa"/>
            <w:vAlign w:val="top"/>
          </w:tcPr>
          <w:p w14:paraId="35A4BC7A">
            <w:pPr>
              <w:pStyle w:val="6"/>
              <w:spacing w:before="153" w:line="232" w:lineRule="auto"/>
              <w:ind w:left="145"/>
            </w:pPr>
            <w:r>
              <w:rPr>
                <w:spacing w:val="-2"/>
              </w:rPr>
              <w:t>0.0002</w:t>
            </w:r>
          </w:p>
        </w:tc>
        <w:tc>
          <w:tcPr>
            <w:tcW w:w="847" w:type="dxa"/>
            <w:vAlign w:val="top"/>
          </w:tcPr>
          <w:p w14:paraId="04D9A3F3">
            <w:pPr>
              <w:pStyle w:val="6"/>
              <w:spacing w:before="153" w:line="232" w:lineRule="auto"/>
              <w:ind w:left="80"/>
            </w:pPr>
            <w:r>
              <w:rPr>
                <w:spacing w:val="-1"/>
              </w:rPr>
              <w:t>0.0004L</w:t>
            </w:r>
          </w:p>
        </w:tc>
        <w:tc>
          <w:tcPr>
            <w:tcW w:w="708" w:type="dxa"/>
            <w:vAlign w:val="top"/>
          </w:tcPr>
          <w:p w14:paraId="52348971">
            <w:pPr>
              <w:pStyle w:val="6"/>
              <w:spacing w:before="153" w:line="232" w:lineRule="auto"/>
              <w:ind w:left="64"/>
            </w:pPr>
            <w:r>
              <w:rPr>
                <w:spacing w:val="-2"/>
              </w:rPr>
              <w:t>0.002L</w:t>
            </w:r>
          </w:p>
        </w:tc>
        <w:tc>
          <w:tcPr>
            <w:tcW w:w="566" w:type="dxa"/>
            <w:vAlign w:val="top"/>
          </w:tcPr>
          <w:p w14:paraId="083AECC6">
            <w:pPr>
              <w:pStyle w:val="6"/>
              <w:spacing w:before="153" w:line="232" w:lineRule="auto"/>
              <w:ind w:left="164"/>
            </w:pPr>
            <w:r>
              <w:rPr>
                <w:spacing w:val="-3"/>
              </w:rPr>
              <w:t>0.8</w:t>
            </w:r>
          </w:p>
        </w:tc>
        <w:tc>
          <w:tcPr>
            <w:tcW w:w="428" w:type="dxa"/>
            <w:vAlign w:val="top"/>
          </w:tcPr>
          <w:p w14:paraId="3C03B73F">
            <w:pPr>
              <w:pStyle w:val="6"/>
              <w:spacing w:before="153" w:line="232" w:lineRule="auto"/>
              <w:ind w:right="2"/>
              <w:jc w:val="right"/>
            </w:pPr>
            <w:r>
              <w:rPr>
                <w:spacing w:val="-2"/>
              </w:rPr>
              <w:t>0.5L</w:t>
            </w:r>
          </w:p>
        </w:tc>
        <w:tc>
          <w:tcPr>
            <w:tcW w:w="570" w:type="dxa"/>
            <w:vAlign w:val="top"/>
          </w:tcPr>
          <w:p w14:paraId="24EC1B71">
            <w:pPr>
              <w:pStyle w:val="6"/>
              <w:spacing w:before="157" w:line="229" w:lineRule="auto"/>
              <w:ind w:left="138"/>
            </w:pPr>
            <w:r>
              <w:rPr>
                <w:b/>
                <w:bCs/>
                <w:spacing w:val="-2"/>
              </w:rPr>
              <w:t>240</w:t>
            </w:r>
          </w:p>
        </w:tc>
        <w:tc>
          <w:tcPr>
            <w:tcW w:w="559" w:type="dxa"/>
            <w:gridSpan w:val="2"/>
            <w:tcBorders>
              <w:right w:val="single" w:color="000000" w:sz="12" w:space="0"/>
            </w:tcBorders>
            <w:vAlign w:val="top"/>
          </w:tcPr>
          <w:p w14:paraId="70082823">
            <w:pPr>
              <w:pStyle w:val="6"/>
              <w:spacing w:before="153" w:line="232" w:lineRule="auto"/>
              <w:ind w:left="181"/>
            </w:pPr>
            <w:r>
              <w:rPr>
                <w:spacing w:val="-3"/>
              </w:rPr>
              <w:t>60</w:t>
            </w:r>
          </w:p>
        </w:tc>
      </w:tr>
      <w:tr w14:paraId="1DE0D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1C5619C1">
            <w:pPr>
              <w:rPr>
                <w:rFonts w:ascii="Arial"/>
                <w:sz w:val="21"/>
              </w:rPr>
            </w:pPr>
          </w:p>
        </w:tc>
        <w:tc>
          <w:tcPr>
            <w:tcW w:w="265" w:type="dxa"/>
            <w:vMerge w:val="continue"/>
            <w:tcBorders>
              <w:top w:val="nil"/>
              <w:bottom w:val="nil"/>
            </w:tcBorders>
            <w:vAlign w:val="top"/>
          </w:tcPr>
          <w:p w14:paraId="0B170DBC">
            <w:pPr>
              <w:rPr>
                <w:rFonts w:ascii="Arial"/>
                <w:sz w:val="21"/>
              </w:rPr>
            </w:pPr>
          </w:p>
        </w:tc>
        <w:tc>
          <w:tcPr>
            <w:tcW w:w="1014" w:type="dxa"/>
            <w:vAlign w:val="top"/>
          </w:tcPr>
          <w:p w14:paraId="3CDD345D">
            <w:pPr>
              <w:pStyle w:val="6"/>
              <w:spacing w:before="155" w:line="232" w:lineRule="auto"/>
              <w:ind w:left="65"/>
            </w:pPr>
            <w:r>
              <w:rPr>
                <w:spacing w:val="-1"/>
              </w:rPr>
              <w:t>2020/5/22</w:t>
            </w:r>
          </w:p>
        </w:tc>
        <w:tc>
          <w:tcPr>
            <w:tcW w:w="737" w:type="dxa"/>
            <w:vAlign w:val="top"/>
          </w:tcPr>
          <w:p w14:paraId="243A5FA2">
            <w:pPr>
              <w:pStyle w:val="6"/>
              <w:spacing w:before="162" w:line="183" w:lineRule="auto"/>
              <w:ind w:left="243"/>
            </w:pPr>
            <w:r>
              <w:rPr>
                <w:spacing w:val="-3"/>
              </w:rPr>
              <w:t>5L</w:t>
            </w:r>
          </w:p>
        </w:tc>
        <w:tc>
          <w:tcPr>
            <w:tcW w:w="708" w:type="dxa"/>
            <w:vAlign w:val="top"/>
          </w:tcPr>
          <w:p w14:paraId="5A99B4FC">
            <w:pPr>
              <w:pStyle w:val="6"/>
              <w:spacing w:before="155" w:line="232" w:lineRule="auto"/>
              <w:ind w:left="148"/>
            </w:pPr>
            <w:r>
              <w:rPr>
                <w:spacing w:val="-2"/>
              </w:rPr>
              <w:t>0.5L</w:t>
            </w:r>
          </w:p>
        </w:tc>
        <w:tc>
          <w:tcPr>
            <w:tcW w:w="851" w:type="dxa"/>
            <w:vAlign w:val="top"/>
          </w:tcPr>
          <w:p w14:paraId="502C315C">
            <w:pPr>
              <w:pStyle w:val="6"/>
              <w:spacing w:before="155" w:line="232" w:lineRule="auto"/>
              <w:ind w:left="233"/>
            </w:pPr>
            <w:r>
              <w:rPr>
                <w:spacing w:val="-2"/>
              </w:rPr>
              <w:t>7.04</w:t>
            </w:r>
          </w:p>
        </w:tc>
        <w:tc>
          <w:tcPr>
            <w:tcW w:w="708" w:type="dxa"/>
            <w:vAlign w:val="top"/>
          </w:tcPr>
          <w:p w14:paraId="133F02D8">
            <w:pPr>
              <w:pStyle w:val="6"/>
              <w:spacing w:before="155" w:line="232" w:lineRule="auto"/>
              <w:ind w:left="109"/>
            </w:pPr>
            <w:r>
              <w:rPr>
                <w:spacing w:val="-2"/>
              </w:rPr>
              <w:t>0.123</w:t>
            </w:r>
          </w:p>
        </w:tc>
        <w:tc>
          <w:tcPr>
            <w:tcW w:w="842" w:type="dxa"/>
            <w:vAlign w:val="top"/>
          </w:tcPr>
          <w:p w14:paraId="180914EC">
            <w:pPr>
              <w:pStyle w:val="6"/>
              <w:spacing w:before="155" w:line="232" w:lineRule="auto"/>
              <w:ind w:left="126"/>
            </w:pPr>
            <w:r>
              <w:rPr>
                <w:spacing w:val="-2"/>
              </w:rPr>
              <w:t>0.0114</w:t>
            </w:r>
          </w:p>
        </w:tc>
        <w:tc>
          <w:tcPr>
            <w:tcW w:w="851" w:type="dxa"/>
            <w:vAlign w:val="top"/>
          </w:tcPr>
          <w:p w14:paraId="1E0B3AE6">
            <w:pPr>
              <w:pStyle w:val="6"/>
              <w:spacing w:before="155" w:line="232" w:lineRule="auto"/>
              <w:ind w:left="131"/>
            </w:pPr>
            <w:r>
              <w:rPr>
                <w:spacing w:val="-2"/>
              </w:rPr>
              <w:t>0.0025</w:t>
            </w:r>
          </w:p>
        </w:tc>
        <w:tc>
          <w:tcPr>
            <w:tcW w:w="708" w:type="dxa"/>
            <w:vAlign w:val="top"/>
          </w:tcPr>
          <w:p w14:paraId="46F4F6F7">
            <w:pPr>
              <w:pStyle w:val="6"/>
              <w:spacing w:before="155" w:line="232" w:lineRule="auto"/>
              <w:ind w:left="48"/>
            </w:pPr>
            <w:r>
              <w:rPr>
                <w:spacing w:val="-2"/>
              </w:rPr>
              <w:t>0.009L</w:t>
            </w:r>
          </w:p>
        </w:tc>
        <w:tc>
          <w:tcPr>
            <w:tcW w:w="847" w:type="dxa"/>
            <w:vAlign w:val="top"/>
          </w:tcPr>
          <w:p w14:paraId="4B71F5EA">
            <w:pPr>
              <w:pStyle w:val="6"/>
              <w:spacing w:before="155" w:line="232" w:lineRule="auto"/>
              <w:ind w:left="184"/>
            </w:pPr>
            <w:r>
              <w:rPr>
                <w:spacing w:val="-2"/>
              </w:rPr>
              <w:t>0.006</w:t>
            </w:r>
          </w:p>
        </w:tc>
        <w:tc>
          <w:tcPr>
            <w:tcW w:w="565" w:type="dxa"/>
            <w:vAlign w:val="top"/>
          </w:tcPr>
          <w:p w14:paraId="24034ACC">
            <w:pPr>
              <w:pStyle w:val="6"/>
              <w:spacing w:before="155" w:line="232" w:lineRule="auto"/>
              <w:ind w:left="152"/>
            </w:pPr>
            <w:r>
              <w:rPr>
                <w:spacing w:val="-4"/>
              </w:rPr>
              <w:t>5.9</w:t>
            </w:r>
          </w:p>
        </w:tc>
        <w:tc>
          <w:tcPr>
            <w:tcW w:w="567" w:type="dxa"/>
            <w:vAlign w:val="top"/>
          </w:tcPr>
          <w:p w14:paraId="38B3AB9C">
            <w:pPr>
              <w:pStyle w:val="6"/>
              <w:spacing w:before="155" w:line="232" w:lineRule="auto"/>
              <w:ind w:left="156"/>
            </w:pPr>
            <w:r>
              <w:rPr>
                <w:spacing w:val="-5"/>
              </w:rPr>
              <w:t>8.6</w:t>
            </w:r>
          </w:p>
        </w:tc>
        <w:tc>
          <w:tcPr>
            <w:tcW w:w="851" w:type="dxa"/>
            <w:vAlign w:val="top"/>
          </w:tcPr>
          <w:p w14:paraId="27157D08">
            <w:pPr>
              <w:pStyle w:val="6"/>
              <w:spacing w:before="155" w:line="235" w:lineRule="auto"/>
              <w:ind w:left="266"/>
            </w:pPr>
            <w:r>
              <w:rPr>
                <w:spacing w:val="-1"/>
              </w:rPr>
              <w:t>224</w:t>
            </w:r>
          </w:p>
        </w:tc>
        <w:tc>
          <w:tcPr>
            <w:tcW w:w="566" w:type="dxa"/>
            <w:vAlign w:val="top"/>
          </w:tcPr>
          <w:p w14:paraId="32432C9D">
            <w:pPr>
              <w:pStyle w:val="6"/>
              <w:spacing w:before="155" w:line="232" w:lineRule="auto"/>
              <w:ind w:left="181"/>
            </w:pPr>
            <w:r>
              <w:rPr>
                <w:spacing w:val="-3"/>
              </w:rPr>
              <w:t>55</w:t>
            </w:r>
          </w:p>
        </w:tc>
        <w:tc>
          <w:tcPr>
            <w:tcW w:w="567" w:type="dxa"/>
            <w:vAlign w:val="top"/>
          </w:tcPr>
          <w:p w14:paraId="268A0B62">
            <w:pPr>
              <w:pStyle w:val="6"/>
              <w:spacing w:before="155" w:line="232" w:lineRule="auto"/>
              <w:ind w:left="118"/>
            </w:pPr>
            <w:r>
              <w:rPr>
                <w:spacing w:val="-6"/>
              </w:rPr>
              <w:t>1.34</w:t>
            </w:r>
          </w:p>
        </w:tc>
        <w:tc>
          <w:tcPr>
            <w:tcW w:w="851" w:type="dxa"/>
            <w:vAlign w:val="top"/>
          </w:tcPr>
          <w:p w14:paraId="3B4299CB">
            <w:pPr>
              <w:pStyle w:val="6"/>
              <w:spacing w:before="155" w:line="232" w:lineRule="auto"/>
              <w:ind w:left="127"/>
            </w:pPr>
            <w:r>
              <w:rPr>
                <w:spacing w:val="-2"/>
              </w:rPr>
              <w:t>0.002L</w:t>
            </w:r>
          </w:p>
        </w:tc>
        <w:tc>
          <w:tcPr>
            <w:tcW w:w="707" w:type="dxa"/>
            <w:vAlign w:val="top"/>
          </w:tcPr>
          <w:p w14:paraId="4A97C6F4">
            <w:pPr>
              <w:pStyle w:val="6"/>
              <w:spacing w:before="155" w:line="232" w:lineRule="auto"/>
              <w:ind w:left="56"/>
            </w:pPr>
            <w:r>
              <w:rPr>
                <w:spacing w:val="-2"/>
              </w:rPr>
              <w:t>0.050L</w:t>
            </w:r>
          </w:p>
        </w:tc>
        <w:tc>
          <w:tcPr>
            <w:tcW w:w="708" w:type="dxa"/>
            <w:vAlign w:val="top"/>
          </w:tcPr>
          <w:p w14:paraId="795D8E02">
            <w:pPr>
              <w:pStyle w:val="6"/>
              <w:spacing w:before="155" w:line="232" w:lineRule="auto"/>
              <w:ind w:left="58"/>
            </w:pPr>
            <w:r>
              <w:rPr>
                <w:spacing w:val="-2"/>
              </w:rPr>
              <w:t>0.001L</w:t>
            </w:r>
          </w:p>
        </w:tc>
        <w:tc>
          <w:tcPr>
            <w:tcW w:w="851" w:type="dxa"/>
            <w:vAlign w:val="top"/>
          </w:tcPr>
          <w:p w14:paraId="22F1390B">
            <w:pPr>
              <w:pStyle w:val="6"/>
              <w:spacing w:before="155" w:line="232" w:lineRule="auto"/>
              <w:ind w:left="80"/>
            </w:pPr>
            <w:r>
              <w:rPr>
                <w:spacing w:val="-1"/>
              </w:rPr>
              <w:t>0.0005L</w:t>
            </w:r>
          </w:p>
        </w:tc>
        <w:tc>
          <w:tcPr>
            <w:tcW w:w="708" w:type="dxa"/>
            <w:vAlign w:val="top"/>
          </w:tcPr>
          <w:p w14:paraId="4A1CF6C0">
            <w:pPr>
              <w:pStyle w:val="6"/>
              <w:spacing w:before="155" w:line="232" w:lineRule="auto"/>
              <w:ind w:left="60"/>
            </w:pPr>
            <w:r>
              <w:rPr>
                <w:spacing w:val="-2"/>
              </w:rPr>
              <w:t>0.004L</w:t>
            </w:r>
          </w:p>
        </w:tc>
        <w:tc>
          <w:tcPr>
            <w:tcW w:w="851" w:type="dxa"/>
            <w:vAlign w:val="top"/>
          </w:tcPr>
          <w:p w14:paraId="10DFD4B5">
            <w:pPr>
              <w:pStyle w:val="6"/>
              <w:spacing w:before="155" w:line="232" w:lineRule="auto"/>
              <w:ind w:left="81"/>
            </w:pPr>
            <w:r>
              <w:rPr>
                <w:spacing w:val="-1"/>
              </w:rPr>
              <w:t>0.0025L</w:t>
            </w:r>
          </w:p>
        </w:tc>
        <w:tc>
          <w:tcPr>
            <w:tcW w:w="851" w:type="dxa"/>
            <w:vAlign w:val="top"/>
          </w:tcPr>
          <w:p w14:paraId="616506C9">
            <w:pPr>
              <w:pStyle w:val="6"/>
              <w:spacing w:before="155" w:line="232" w:lineRule="auto"/>
              <w:ind w:left="145"/>
            </w:pPr>
            <w:r>
              <w:rPr>
                <w:spacing w:val="-2"/>
              </w:rPr>
              <w:t>0.0002</w:t>
            </w:r>
          </w:p>
        </w:tc>
        <w:tc>
          <w:tcPr>
            <w:tcW w:w="847" w:type="dxa"/>
            <w:vAlign w:val="top"/>
          </w:tcPr>
          <w:p w14:paraId="749101D6">
            <w:pPr>
              <w:pStyle w:val="6"/>
              <w:spacing w:before="155" w:line="232" w:lineRule="auto"/>
              <w:ind w:left="80"/>
            </w:pPr>
            <w:r>
              <w:rPr>
                <w:spacing w:val="-1"/>
              </w:rPr>
              <w:t>0.0004L</w:t>
            </w:r>
          </w:p>
        </w:tc>
        <w:tc>
          <w:tcPr>
            <w:tcW w:w="708" w:type="dxa"/>
            <w:vAlign w:val="top"/>
          </w:tcPr>
          <w:p w14:paraId="5BE51940">
            <w:pPr>
              <w:pStyle w:val="6"/>
              <w:spacing w:before="155" w:line="232" w:lineRule="auto"/>
              <w:ind w:left="64"/>
            </w:pPr>
            <w:r>
              <w:rPr>
                <w:spacing w:val="-2"/>
              </w:rPr>
              <w:t>0.002L</w:t>
            </w:r>
          </w:p>
        </w:tc>
        <w:tc>
          <w:tcPr>
            <w:tcW w:w="566" w:type="dxa"/>
            <w:vAlign w:val="top"/>
          </w:tcPr>
          <w:p w14:paraId="0539AC1A">
            <w:pPr>
              <w:pStyle w:val="6"/>
              <w:spacing w:before="155" w:line="232" w:lineRule="auto"/>
              <w:ind w:left="164"/>
            </w:pPr>
            <w:r>
              <w:rPr>
                <w:spacing w:val="-3"/>
              </w:rPr>
              <w:t>0.7</w:t>
            </w:r>
          </w:p>
        </w:tc>
        <w:tc>
          <w:tcPr>
            <w:tcW w:w="428" w:type="dxa"/>
            <w:vAlign w:val="top"/>
          </w:tcPr>
          <w:p w14:paraId="117A6DB6">
            <w:pPr>
              <w:pStyle w:val="6"/>
              <w:spacing w:before="155" w:line="232" w:lineRule="auto"/>
              <w:ind w:right="2"/>
              <w:jc w:val="right"/>
            </w:pPr>
            <w:r>
              <w:rPr>
                <w:spacing w:val="-2"/>
              </w:rPr>
              <w:t>0.5L</w:t>
            </w:r>
          </w:p>
        </w:tc>
        <w:tc>
          <w:tcPr>
            <w:tcW w:w="570" w:type="dxa"/>
            <w:vAlign w:val="top"/>
          </w:tcPr>
          <w:p w14:paraId="795CABD7">
            <w:pPr>
              <w:pStyle w:val="6"/>
              <w:spacing w:before="159" w:line="229" w:lineRule="auto"/>
              <w:ind w:left="138"/>
            </w:pPr>
            <w:r>
              <w:rPr>
                <w:b/>
                <w:bCs/>
                <w:spacing w:val="-2"/>
              </w:rPr>
              <w:t>230</w:t>
            </w:r>
          </w:p>
        </w:tc>
        <w:tc>
          <w:tcPr>
            <w:tcW w:w="559" w:type="dxa"/>
            <w:gridSpan w:val="2"/>
            <w:tcBorders>
              <w:right w:val="single" w:color="000000" w:sz="12" w:space="0"/>
            </w:tcBorders>
            <w:vAlign w:val="top"/>
          </w:tcPr>
          <w:p w14:paraId="10BB1D93">
            <w:pPr>
              <w:pStyle w:val="6"/>
              <w:spacing w:before="155" w:line="232" w:lineRule="auto"/>
              <w:ind w:left="182"/>
            </w:pPr>
            <w:r>
              <w:rPr>
                <w:spacing w:val="-3"/>
              </w:rPr>
              <w:t>50</w:t>
            </w:r>
          </w:p>
        </w:tc>
      </w:tr>
      <w:tr w14:paraId="6D4B9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59CD29CC">
            <w:pPr>
              <w:rPr>
                <w:rFonts w:ascii="Arial"/>
                <w:sz w:val="21"/>
              </w:rPr>
            </w:pPr>
          </w:p>
        </w:tc>
        <w:tc>
          <w:tcPr>
            <w:tcW w:w="265" w:type="dxa"/>
            <w:vMerge w:val="continue"/>
            <w:tcBorders>
              <w:top w:val="nil"/>
            </w:tcBorders>
            <w:vAlign w:val="top"/>
          </w:tcPr>
          <w:p w14:paraId="061F3714">
            <w:pPr>
              <w:rPr>
                <w:rFonts w:ascii="Arial"/>
                <w:sz w:val="21"/>
              </w:rPr>
            </w:pPr>
          </w:p>
        </w:tc>
        <w:tc>
          <w:tcPr>
            <w:tcW w:w="1014" w:type="dxa"/>
            <w:vAlign w:val="top"/>
          </w:tcPr>
          <w:p w14:paraId="27E262A4">
            <w:pPr>
              <w:pStyle w:val="6"/>
              <w:spacing w:before="155" w:line="232" w:lineRule="auto"/>
              <w:ind w:left="65"/>
            </w:pPr>
            <w:r>
              <w:rPr>
                <w:spacing w:val="-1"/>
              </w:rPr>
              <w:t>2020/8/20</w:t>
            </w:r>
          </w:p>
        </w:tc>
        <w:tc>
          <w:tcPr>
            <w:tcW w:w="737" w:type="dxa"/>
            <w:vAlign w:val="top"/>
          </w:tcPr>
          <w:p w14:paraId="5ACFBFEC">
            <w:pPr>
              <w:pStyle w:val="6"/>
              <w:spacing w:before="162" w:line="183" w:lineRule="auto"/>
              <w:ind w:left="243"/>
            </w:pPr>
            <w:r>
              <w:rPr>
                <w:spacing w:val="-3"/>
              </w:rPr>
              <w:t>5L</w:t>
            </w:r>
          </w:p>
        </w:tc>
        <w:tc>
          <w:tcPr>
            <w:tcW w:w="708" w:type="dxa"/>
            <w:vAlign w:val="top"/>
          </w:tcPr>
          <w:p w14:paraId="115A63CE">
            <w:pPr>
              <w:pStyle w:val="6"/>
              <w:spacing w:before="155" w:line="232" w:lineRule="auto"/>
              <w:ind w:left="148"/>
            </w:pPr>
            <w:r>
              <w:rPr>
                <w:spacing w:val="-2"/>
              </w:rPr>
              <w:t>0.5L</w:t>
            </w:r>
          </w:p>
        </w:tc>
        <w:tc>
          <w:tcPr>
            <w:tcW w:w="851" w:type="dxa"/>
            <w:vAlign w:val="top"/>
          </w:tcPr>
          <w:p w14:paraId="4606A034">
            <w:pPr>
              <w:pStyle w:val="6"/>
              <w:spacing w:before="155" w:line="232" w:lineRule="auto"/>
              <w:ind w:left="233"/>
            </w:pPr>
            <w:r>
              <w:rPr>
                <w:spacing w:val="-2"/>
              </w:rPr>
              <w:t>7.35</w:t>
            </w:r>
          </w:p>
        </w:tc>
        <w:tc>
          <w:tcPr>
            <w:tcW w:w="708" w:type="dxa"/>
            <w:vAlign w:val="top"/>
          </w:tcPr>
          <w:p w14:paraId="16E67C1A">
            <w:pPr>
              <w:pStyle w:val="6"/>
              <w:spacing w:before="155" w:line="232" w:lineRule="auto"/>
              <w:ind w:left="44"/>
            </w:pPr>
            <w:r>
              <w:rPr>
                <w:spacing w:val="-2"/>
              </w:rPr>
              <w:t>0.040L</w:t>
            </w:r>
          </w:p>
        </w:tc>
        <w:tc>
          <w:tcPr>
            <w:tcW w:w="842" w:type="dxa"/>
            <w:vAlign w:val="top"/>
          </w:tcPr>
          <w:p w14:paraId="48BC779E">
            <w:pPr>
              <w:pStyle w:val="6"/>
              <w:spacing w:before="155" w:line="232" w:lineRule="auto"/>
              <w:ind w:left="61"/>
            </w:pPr>
            <w:r>
              <w:rPr>
                <w:spacing w:val="-1"/>
              </w:rPr>
              <w:t>0.0045L</w:t>
            </w:r>
          </w:p>
        </w:tc>
        <w:tc>
          <w:tcPr>
            <w:tcW w:w="851" w:type="dxa"/>
            <w:vAlign w:val="top"/>
          </w:tcPr>
          <w:p w14:paraId="74E1D7E8">
            <w:pPr>
              <w:pStyle w:val="6"/>
              <w:spacing w:before="155" w:line="232" w:lineRule="auto"/>
              <w:ind w:left="67"/>
            </w:pPr>
            <w:r>
              <w:rPr>
                <w:spacing w:val="-1"/>
              </w:rPr>
              <w:t>0.0005L</w:t>
            </w:r>
          </w:p>
        </w:tc>
        <w:tc>
          <w:tcPr>
            <w:tcW w:w="708" w:type="dxa"/>
            <w:vAlign w:val="top"/>
          </w:tcPr>
          <w:p w14:paraId="6A7D9558">
            <w:pPr>
              <w:pStyle w:val="6"/>
              <w:spacing w:before="155" w:line="232" w:lineRule="auto"/>
              <w:ind w:left="48"/>
            </w:pPr>
            <w:r>
              <w:rPr>
                <w:spacing w:val="-2"/>
              </w:rPr>
              <w:t>0.009L</w:t>
            </w:r>
          </w:p>
        </w:tc>
        <w:tc>
          <w:tcPr>
            <w:tcW w:w="847" w:type="dxa"/>
            <w:vAlign w:val="top"/>
          </w:tcPr>
          <w:p w14:paraId="17F25FAB">
            <w:pPr>
              <w:pStyle w:val="6"/>
              <w:spacing w:before="155" w:line="232" w:lineRule="auto"/>
              <w:ind w:left="119"/>
            </w:pPr>
            <w:r>
              <w:rPr>
                <w:spacing w:val="-2"/>
              </w:rPr>
              <w:t>0.001L</w:t>
            </w:r>
          </w:p>
        </w:tc>
        <w:tc>
          <w:tcPr>
            <w:tcW w:w="565" w:type="dxa"/>
            <w:vAlign w:val="top"/>
          </w:tcPr>
          <w:p w14:paraId="153ADDE5">
            <w:pPr>
              <w:pStyle w:val="6"/>
              <w:spacing w:before="155" w:line="232" w:lineRule="auto"/>
              <w:ind w:left="150"/>
            </w:pPr>
            <w:r>
              <w:rPr>
                <w:spacing w:val="-3"/>
              </w:rPr>
              <w:t>3.0</w:t>
            </w:r>
          </w:p>
        </w:tc>
        <w:tc>
          <w:tcPr>
            <w:tcW w:w="567" w:type="dxa"/>
            <w:vAlign w:val="top"/>
          </w:tcPr>
          <w:p w14:paraId="76982A77">
            <w:pPr>
              <w:pStyle w:val="6"/>
              <w:spacing w:before="155" w:line="232" w:lineRule="auto"/>
              <w:ind w:left="89"/>
            </w:pPr>
            <w:r>
              <w:rPr>
                <w:spacing w:val="-3"/>
              </w:rPr>
              <w:t>5.0L</w:t>
            </w:r>
          </w:p>
        </w:tc>
        <w:tc>
          <w:tcPr>
            <w:tcW w:w="851" w:type="dxa"/>
            <w:vAlign w:val="top"/>
          </w:tcPr>
          <w:p w14:paraId="0FE5E6E0">
            <w:pPr>
              <w:pStyle w:val="6"/>
              <w:spacing w:before="155" w:line="232" w:lineRule="auto"/>
              <w:ind w:left="322"/>
            </w:pPr>
            <w:r>
              <w:rPr>
                <w:spacing w:val="-2"/>
              </w:rPr>
              <w:t>93</w:t>
            </w:r>
          </w:p>
        </w:tc>
        <w:tc>
          <w:tcPr>
            <w:tcW w:w="566" w:type="dxa"/>
            <w:vAlign w:val="top"/>
          </w:tcPr>
          <w:p w14:paraId="4AA1756E">
            <w:pPr>
              <w:pStyle w:val="6"/>
              <w:spacing w:before="155" w:line="232" w:lineRule="auto"/>
              <w:ind w:left="179"/>
            </w:pPr>
            <w:r>
              <w:rPr>
                <w:spacing w:val="-2"/>
              </w:rPr>
              <w:t>78</w:t>
            </w:r>
          </w:p>
        </w:tc>
        <w:tc>
          <w:tcPr>
            <w:tcW w:w="567" w:type="dxa"/>
            <w:vAlign w:val="top"/>
          </w:tcPr>
          <w:p w14:paraId="48184EF0">
            <w:pPr>
              <w:pStyle w:val="6"/>
              <w:spacing w:before="155" w:line="232" w:lineRule="auto"/>
              <w:ind w:left="118"/>
            </w:pPr>
            <w:r>
              <w:rPr>
                <w:spacing w:val="-6"/>
              </w:rPr>
              <w:t>1.76</w:t>
            </w:r>
          </w:p>
        </w:tc>
        <w:tc>
          <w:tcPr>
            <w:tcW w:w="851" w:type="dxa"/>
            <w:vAlign w:val="top"/>
          </w:tcPr>
          <w:p w14:paraId="7CFAD70C">
            <w:pPr>
              <w:pStyle w:val="6"/>
              <w:spacing w:before="155" w:line="232" w:lineRule="auto"/>
              <w:ind w:left="127"/>
            </w:pPr>
            <w:r>
              <w:rPr>
                <w:spacing w:val="-2"/>
              </w:rPr>
              <w:t>0.002L</w:t>
            </w:r>
          </w:p>
        </w:tc>
        <w:tc>
          <w:tcPr>
            <w:tcW w:w="707" w:type="dxa"/>
            <w:vAlign w:val="top"/>
          </w:tcPr>
          <w:p w14:paraId="19323864">
            <w:pPr>
              <w:pStyle w:val="6"/>
              <w:spacing w:before="155" w:line="232" w:lineRule="auto"/>
              <w:ind w:left="56"/>
            </w:pPr>
            <w:r>
              <w:rPr>
                <w:spacing w:val="-2"/>
              </w:rPr>
              <w:t>0.050L</w:t>
            </w:r>
          </w:p>
        </w:tc>
        <w:tc>
          <w:tcPr>
            <w:tcW w:w="708" w:type="dxa"/>
            <w:vAlign w:val="top"/>
          </w:tcPr>
          <w:p w14:paraId="139FC8CC">
            <w:pPr>
              <w:pStyle w:val="6"/>
              <w:spacing w:before="155" w:line="232" w:lineRule="auto"/>
              <w:ind w:left="123"/>
            </w:pPr>
            <w:r>
              <w:rPr>
                <w:spacing w:val="-2"/>
              </w:rPr>
              <w:t>0.001</w:t>
            </w:r>
          </w:p>
        </w:tc>
        <w:tc>
          <w:tcPr>
            <w:tcW w:w="851" w:type="dxa"/>
            <w:vAlign w:val="top"/>
          </w:tcPr>
          <w:p w14:paraId="06A7910E">
            <w:pPr>
              <w:pStyle w:val="6"/>
              <w:spacing w:before="155" w:line="232" w:lineRule="auto"/>
              <w:ind w:left="80"/>
            </w:pPr>
            <w:r>
              <w:rPr>
                <w:spacing w:val="-1"/>
              </w:rPr>
              <w:t>0.0005L</w:t>
            </w:r>
          </w:p>
        </w:tc>
        <w:tc>
          <w:tcPr>
            <w:tcW w:w="708" w:type="dxa"/>
            <w:vAlign w:val="top"/>
          </w:tcPr>
          <w:p w14:paraId="7121C7F6">
            <w:pPr>
              <w:pStyle w:val="6"/>
              <w:spacing w:before="155" w:line="232" w:lineRule="auto"/>
              <w:ind w:left="60"/>
            </w:pPr>
            <w:r>
              <w:rPr>
                <w:spacing w:val="-2"/>
              </w:rPr>
              <w:t>0.004L</w:t>
            </w:r>
          </w:p>
        </w:tc>
        <w:tc>
          <w:tcPr>
            <w:tcW w:w="851" w:type="dxa"/>
            <w:vAlign w:val="top"/>
          </w:tcPr>
          <w:p w14:paraId="7DEAACFF">
            <w:pPr>
              <w:pStyle w:val="6"/>
              <w:spacing w:before="155" w:line="232" w:lineRule="auto"/>
              <w:ind w:left="81"/>
            </w:pPr>
            <w:r>
              <w:rPr>
                <w:spacing w:val="-1"/>
              </w:rPr>
              <w:t>0.0025L</w:t>
            </w:r>
          </w:p>
        </w:tc>
        <w:tc>
          <w:tcPr>
            <w:tcW w:w="851" w:type="dxa"/>
            <w:vAlign w:val="top"/>
          </w:tcPr>
          <w:p w14:paraId="27B7B6AF">
            <w:pPr>
              <w:pStyle w:val="6"/>
              <w:spacing w:before="155" w:line="232" w:lineRule="auto"/>
              <w:ind w:left="82"/>
            </w:pPr>
            <w:r>
              <w:rPr>
                <w:spacing w:val="-1"/>
              </w:rPr>
              <w:t>0.0001L</w:t>
            </w:r>
          </w:p>
        </w:tc>
        <w:tc>
          <w:tcPr>
            <w:tcW w:w="847" w:type="dxa"/>
            <w:vAlign w:val="top"/>
          </w:tcPr>
          <w:p w14:paraId="08E99F04">
            <w:pPr>
              <w:pStyle w:val="6"/>
              <w:spacing w:before="155" w:line="232" w:lineRule="auto"/>
              <w:ind w:left="80"/>
            </w:pPr>
            <w:r>
              <w:rPr>
                <w:spacing w:val="-1"/>
              </w:rPr>
              <w:t>0.0004L</w:t>
            </w:r>
          </w:p>
        </w:tc>
        <w:tc>
          <w:tcPr>
            <w:tcW w:w="708" w:type="dxa"/>
            <w:vAlign w:val="top"/>
          </w:tcPr>
          <w:p w14:paraId="6FC878C2">
            <w:pPr>
              <w:pStyle w:val="6"/>
              <w:spacing w:before="155" w:line="232" w:lineRule="auto"/>
              <w:ind w:left="64"/>
            </w:pPr>
            <w:r>
              <w:rPr>
                <w:spacing w:val="-2"/>
              </w:rPr>
              <w:t>0.002L</w:t>
            </w:r>
          </w:p>
        </w:tc>
        <w:tc>
          <w:tcPr>
            <w:tcW w:w="566" w:type="dxa"/>
            <w:vAlign w:val="top"/>
          </w:tcPr>
          <w:p w14:paraId="021A96C0">
            <w:pPr>
              <w:pStyle w:val="6"/>
              <w:spacing w:before="155" w:line="232" w:lineRule="auto"/>
              <w:ind w:left="100"/>
            </w:pPr>
            <w:r>
              <w:rPr>
                <w:spacing w:val="-2"/>
              </w:rPr>
              <w:t>0.2L</w:t>
            </w:r>
          </w:p>
        </w:tc>
        <w:tc>
          <w:tcPr>
            <w:tcW w:w="428" w:type="dxa"/>
            <w:vAlign w:val="top"/>
          </w:tcPr>
          <w:p w14:paraId="124584A9">
            <w:pPr>
              <w:pStyle w:val="6"/>
              <w:spacing w:before="155" w:line="232" w:lineRule="auto"/>
              <w:ind w:right="2"/>
              <w:jc w:val="right"/>
            </w:pPr>
            <w:r>
              <w:rPr>
                <w:spacing w:val="-2"/>
              </w:rPr>
              <w:t>0.5L</w:t>
            </w:r>
          </w:p>
        </w:tc>
        <w:tc>
          <w:tcPr>
            <w:tcW w:w="570" w:type="dxa"/>
            <w:vAlign w:val="top"/>
          </w:tcPr>
          <w:p w14:paraId="70A85435">
            <w:pPr>
              <w:pStyle w:val="6"/>
              <w:spacing w:before="159" w:line="232" w:lineRule="auto"/>
              <w:ind w:left="244"/>
            </w:pPr>
            <w:r>
              <w:rPr>
                <w:b/>
                <w:bCs/>
              </w:rPr>
              <w:t>2</w:t>
            </w:r>
          </w:p>
        </w:tc>
        <w:tc>
          <w:tcPr>
            <w:tcW w:w="559" w:type="dxa"/>
            <w:gridSpan w:val="2"/>
            <w:tcBorders>
              <w:right w:val="single" w:color="000000" w:sz="12" w:space="0"/>
            </w:tcBorders>
            <w:vAlign w:val="top"/>
          </w:tcPr>
          <w:p w14:paraId="5F1450EA">
            <w:pPr>
              <w:pStyle w:val="6"/>
              <w:spacing w:before="159" w:line="229" w:lineRule="auto"/>
              <w:ind w:left="122"/>
            </w:pPr>
            <w:r>
              <w:rPr>
                <w:b/>
                <w:bCs/>
                <w:spacing w:val="-1"/>
              </w:rPr>
              <w:t>310</w:t>
            </w:r>
          </w:p>
        </w:tc>
      </w:tr>
      <w:tr w14:paraId="4A604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bottom w:val="nil"/>
            </w:tcBorders>
            <w:vAlign w:val="top"/>
          </w:tcPr>
          <w:p w14:paraId="49C4937E">
            <w:pPr>
              <w:rPr>
                <w:rFonts w:ascii="Arial"/>
                <w:sz w:val="21"/>
              </w:rPr>
            </w:pPr>
          </w:p>
        </w:tc>
        <w:tc>
          <w:tcPr>
            <w:tcW w:w="265" w:type="dxa"/>
            <w:vMerge w:val="restart"/>
            <w:tcBorders>
              <w:bottom w:val="nil"/>
            </w:tcBorders>
            <w:vAlign w:val="top"/>
          </w:tcPr>
          <w:p w14:paraId="7E8FF35A">
            <w:pPr>
              <w:pStyle w:val="6"/>
              <w:spacing w:before="298" w:line="233" w:lineRule="auto"/>
              <w:ind w:left="14" w:right="38" w:firstLine="53"/>
              <w:jc w:val="both"/>
              <w:rPr>
                <w:rFonts w:ascii="等线" w:hAnsi="等线" w:eastAsia="等线" w:cs="等线"/>
              </w:rPr>
            </w:pPr>
            <w:r>
              <w:rPr>
                <w:spacing w:val="-9"/>
              </w:rPr>
              <w:t>3</w:t>
            </w:r>
            <w:r>
              <w:rPr>
                <w:rFonts w:ascii="等线" w:hAnsi="等线" w:eastAsia="等线" w:cs="等线"/>
                <w:spacing w:val="-8"/>
              </w:rPr>
              <w:t>季度</w:t>
            </w:r>
          </w:p>
        </w:tc>
        <w:tc>
          <w:tcPr>
            <w:tcW w:w="1014" w:type="dxa"/>
            <w:vAlign w:val="top"/>
          </w:tcPr>
          <w:p w14:paraId="79A3A22C">
            <w:pPr>
              <w:pStyle w:val="6"/>
              <w:spacing w:before="156" w:line="232" w:lineRule="auto"/>
              <w:ind w:left="65"/>
            </w:pPr>
            <w:r>
              <w:rPr>
                <w:spacing w:val="-1"/>
              </w:rPr>
              <w:t>2020/8/21</w:t>
            </w:r>
          </w:p>
        </w:tc>
        <w:tc>
          <w:tcPr>
            <w:tcW w:w="737" w:type="dxa"/>
            <w:vAlign w:val="top"/>
          </w:tcPr>
          <w:p w14:paraId="164BC05A">
            <w:pPr>
              <w:pStyle w:val="6"/>
              <w:spacing w:before="156" w:line="232" w:lineRule="auto"/>
              <w:ind w:left="243"/>
            </w:pPr>
            <w:r>
              <w:rPr>
                <w:spacing w:val="-5"/>
              </w:rPr>
              <w:t>5L</w:t>
            </w:r>
          </w:p>
        </w:tc>
        <w:tc>
          <w:tcPr>
            <w:tcW w:w="708" w:type="dxa"/>
            <w:vAlign w:val="top"/>
          </w:tcPr>
          <w:p w14:paraId="72EB7969">
            <w:pPr>
              <w:pStyle w:val="6"/>
              <w:spacing w:before="156" w:line="232" w:lineRule="auto"/>
              <w:ind w:left="148"/>
            </w:pPr>
            <w:r>
              <w:rPr>
                <w:spacing w:val="-2"/>
              </w:rPr>
              <w:t>0.5L</w:t>
            </w:r>
          </w:p>
        </w:tc>
        <w:tc>
          <w:tcPr>
            <w:tcW w:w="851" w:type="dxa"/>
            <w:vAlign w:val="top"/>
          </w:tcPr>
          <w:p w14:paraId="6DFFEE27">
            <w:pPr>
              <w:pStyle w:val="6"/>
              <w:spacing w:before="156" w:line="232" w:lineRule="auto"/>
              <w:ind w:left="233"/>
            </w:pPr>
            <w:r>
              <w:rPr>
                <w:spacing w:val="-2"/>
              </w:rPr>
              <w:t>7.40</w:t>
            </w:r>
          </w:p>
        </w:tc>
        <w:tc>
          <w:tcPr>
            <w:tcW w:w="708" w:type="dxa"/>
            <w:vAlign w:val="top"/>
          </w:tcPr>
          <w:p w14:paraId="2F59021C">
            <w:pPr>
              <w:pStyle w:val="6"/>
              <w:spacing w:before="156" w:line="232" w:lineRule="auto"/>
              <w:ind w:left="44"/>
            </w:pPr>
            <w:r>
              <w:rPr>
                <w:spacing w:val="-2"/>
              </w:rPr>
              <w:t>0.040L</w:t>
            </w:r>
          </w:p>
        </w:tc>
        <w:tc>
          <w:tcPr>
            <w:tcW w:w="842" w:type="dxa"/>
            <w:vAlign w:val="top"/>
          </w:tcPr>
          <w:p w14:paraId="7C2E4EB4">
            <w:pPr>
              <w:pStyle w:val="6"/>
              <w:spacing w:before="156" w:line="232" w:lineRule="auto"/>
              <w:ind w:left="61"/>
            </w:pPr>
            <w:r>
              <w:rPr>
                <w:spacing w:val="-1"/>
              </w:rPr>
              <w:t>0.0045L</w:t>
            </w:r>
          </w:p>
        </w:tc>
        <w:tc>
          <w:tcPr>
            <w:tcW w:w="851" w:type="dxa"/>
            <w:vAlign w:val="top"/>
          </w:tcPr>
          <w:p w14:paraId="24E63332">
            <w:pPr>
              <w:pStyle w:val="6"/>
              <w:spacing w:before="156" w:line="232" w:lineRule="auto"/>
              <w:ind w:left="67"/>
            </w:pPr>
            <w:r>
              <w:rPr>
                <w:spacing w:val="-1"/>
              </w:rPr>
              <w:t>0.0005L</w:t>
            </w:r>
          </w:p>
        </w:tc>
        <w:tc>
          <w:tcPr>
            <w:tcW w:w="708" w:type="dxa"/>
            <w:vAlign w:val="top"/>
          </w:tcPr>
          <w:p w14:paraId="3CD25D0B">
            <w:pPr>
              <w:pStyle w:val="6"/>
              <w:spacing w:before="156" w:line="232" w:lineRule="auto"/>
              <w:ind w:left="48"/>
            </w:pPr>
            <w:r>
              <w:rPr>
                <w:spacing w:val="-2"/>
              </w:rPr>
              <w:t>0.009L</w:t>
            </w:r>
          </w:p>
        </w:tc>
        <w:tc>
          <w:tcPr>
            <w:tcW w:w="847" w:type="dxa"/>
            <w:vAlign w:val="top"/>
          </w:tcPr>
          <w:p w14:paraId="29F478CA">
            <w:pPr>
              <w:pStyle w:val="6"/>
              <w:spacing w:before="156" w:line="232" w:lineRule="auto"/>
              <w:ind w:left="119"/>
            </w:pPr>
            <w:r>
              <w:rPr>
                <w:spacing w:val="-2"/>
              </w:rPr>
              <w:t>0.001L</w:t>
            </w:r>
          </w:p>
        </w:tc>
        <w:tc>
          <w:tcPr>
            <w:tcW w:w="565" w:type="dxa"/>
            <w:vAlign w:val="top"/>
          </w:tcPr>
          <w:p w14:paraId="0A3FD266">
            <w:pPr>
              <w:pStyle w:val="6"/>
              <w:spacing w:before="156" w:line="232" w:lineRule="auto"/>
              <w:ind w:left="146"/>
            </w:pPr>
            <w:r>
              <w:rPr>
                <w:spacing w:val="-2"/>
              </w:rPr>
              <w:t>2.6</w:t>
            </w:r>
          </w:p>
        </w:tc>
        <w:tc>
          <w:tcPr>
            <w:tcW w:w="567" w:type="dxa"/>
            <w:vAlign w:val="top"/>
          </w:tcPr>
          <w:p w14:paraId="7F2BA75F">
            <w:pPr>
              <w:pStyle w:val="6"/>
              <w:spacing w:before="156" w:line="232" w:lineRule="auto"/>
              <w:ind w:left="89"/>
            </w:pPr>
            <w:r>
              <w:rPr>
                <w:spacing w:val="-3"/>
              </w:rPr>
              <w:t>5.0L</w:t>
            </w:r>
          </w:p>
        </w:tc>
        <w:tc>
          <w:tcPr>
            <w:tcW w:w="851" w:type="dxa"/>
            <w:vAlign w:val="top"/>
          </w:tcPr>
          <w:p w14:paraId="1AA9B437">
            <w:pPr>
              <w:pStyle w:val="6"/>
              <w:spacing w:before="156" w:line="232" w:lineRule="auto"/>
              <w:ind w:left="322"/>
            </w:pPr>
            <w:r>
              <w:rPr>
                <w:spacing w:val="-2"/>
              </w:rPr>
              <w:t>90</w:t>
            </w:r>
          </w:p>
        </w:tc>
        <w:tc>
          <w:tcPr>
            <w:tcW w:w="566" w:type="dxa"/>
            <w:vAlign w:val="top"/>
          </w:tcPr>
          <w:p w14:paraId="3E60DEAD">
            <w:pPr>
              <w:pStyle w:val="6"/>
              <w:spacing w:before="156" w:line="232" w:lineRule="auto"/>
              <w:ind w:left="179"/>
            </w:pPr>
            <w:r>
              <w:rPr>
                <w:spacing w:val="-2"/>
              </w:rPr>
              <w:t>76</w:t>
            </w:r>
          </w:p>
        </w:tc>
        <w:tc>
          <w:tcPr>
            <w:tcW w:w="567" w:type="dxa"/>
            <w:vAlign w:val="top"/>
          </w:tcPr>
          <w:p w14:paraId="0A6A7BCC">
            <w:pPr>
              <w:pStyle w:val="6"/>
              <w:spacing w:before="156" w:line="232" w:lineRule="auto"/>
              <w:ind w:left="118"/>
            </w:pPr>
            <w:r>
              <w:rPr>
                <w:spacing w:val="-6"/>
              </w:rPr>
              <w:t>1.72</w:t>
            </w:r>
          </w:p>
        </w:tc>
        <w:tc>
          <w:tcPr>
            <w:tcW w:w="851" w:type="dxa"/>
            <w:vAlign w:val="top"/>
          </w:tcPr>
          <w:p w14:paraId="5329C5C0">
            <w:pPr>
              <w:pStyle w:val="6"/>
              <w:spacing w:before="156" w:line="232" w:lineRule="auto"/>
              <w:ind w:left="127"/>
            </w:pPr>
            <w:r>
              <w:rPr>
                <w:spacing w:val="-2"/>
              </w:rPr>
              <w:t>0.002L</w:t>
            </w:r>
          </w:p>
        </w:tc>
        <w:tc>
          <w:tcPr>
            <w:tcW w:w="707" w:type="dxa"/>
            <w:vAlign w:val="top"/>
          </w:tcPr>
          <w:p w14:paraId="4BF1C92B">
            <w:pPr>
              <w:pStyle w:val="6"/>
              <w:spacing w:before="156" w:line="232" w:lineRule="auto"/>
              <w:ind w:left="56"/>
            </w:pPr>
            <w:r>
              <w:rPr>
                <w:spacing w:val="-2"/>
              </w:rPr>
              <w:t>0.050L</w:t>
            </w:r>
          </w:p>
        </w:tc>
        <w:tc>
          <w:tcPr>
            <w:tcW w:w="708" w:type="dxa"/>
            <w:vAlign w:val="top"/>
          </w:tcPr>
          <w:p w14:paraId="65A0DDA6">
            <w:pPr>
              <w:pStyle w:val="6"/>
              <w:spacing w:before="156" w:line="232" w:lineRule="auto"/>
              <w:ind w:left="123"/>
            </w:pPr>
            <w:r>
              <w:rPr>
                <w:spacing w:val="-2"/>
              </w:rPr>
              <w:t>0.001</w:t>
            </w:r>
          </w:p>
        </w:tc>
        <w:tc>
          <w:tcPr>
            <w:tcW w:w="851" w:type="dxa"/>
            <w:vAlign w:val="top"/>
          </w:tcPr>
          <w:p w14:paraId="7510E7BB">
            <w:pPr>
              <w:pStyle w:val="6"/>
              <w:spacing w:before="156" w:line="232" w:lineRule="auto"/>
              <w:ind w:left="80"/>
            </w:pPr>
            <w:r>
              <w:rPr>
                <w:spacing w:val="-1"/>
              </w:rPr>
              <w:t>0.0005L</w:t>
            </w:r>
          </w:p>
        </w:tc>
        <w:tc>
          <w:tcPr>
            <w:tcW w:w="708" w:type="dxa"/>
            <w:vAlign w:val="top"/>
          </w:tcPr>
          <w:p w14:paraId="7EA9D353">
            <w:pPr>
              <w:pStyle w:val="6"/>
              <w:spacing w:before="156" w:line="232" w:lineRule="auto"/>
              <w:ind w:left="60"/>
            </w:pPr>
            <w:r>
              <w:rPr>
                <w:spacing w:val="-2"/>
              </w:rPr>
              <w:t>0.004L</w:t>
            </w:r>
          </w:p>
        </w:tc>
        <w:tc>
          <w:tcPr>
            <w:tcW w:w="851" w:type="dxa"/>
            <w:vAlign w:val="top"/>
          </w:tcPr>
          <w:p w14:paraId="49716FBA">
            <w:pPr>
              <w:pStyle w:val="6"/>
              <w:spacing w:before="156" w:line="232" w:lineRule="auto"/>
              <w:ind w:left="81"/>
            </w:pPr>
            <w:r>
              <w:rPr>
                <w:spacing w:val="-1"/>
              </w:rPr>
              <w:t>0.0025L</w:t>
            </w:r>
          </w:p>
        </w:tc>
        <w:tc>
          <w:tcPr>
            <w:tcW w:w="851" w:type="dxa"/>
            <w:vAlign w:val="top"/>
          </w:tcPr>
          <w:p w14:paraId="65D64F6A">
            <w:pPr>
              <w:pStyle w:val="6"/>
              <w:spacing w:before="156" w:line="232" w:lineRule="auto"/>
              <w:ind w:left="82"/>
            </w:pPr>
            <w:r>
              <w:rPr>
                <w:spacing w:val="-1"/>
              </w:rPr>
              <w:t>0.0001L</w:t>
            </w:r>
          </w:p>
        </w:tc>
        <w:tc>
          <w:tcPr>
            <w:tcW w:w="847" w:type="dxa"/>
            <w:vAlign w:val="top"/>
          </w:tcPr>
          <w:p w14:paraId="40F7A169">
            <w:pPr>
              <w:pStyle w:val="6"/>
              <w:spacing w:before="156" w:line="232" w:lineRule="auto"/>
              <w:ind w:left="80"/>
            </w:pPr>
            <w:r>
              <w:rPr>
                <w:spacing w:val="-1"/>
              </w:rPr>
              <w:t>0.0004L</w:t>
            </w:r>
          </w:p>
        </w:tc>
        <w:tc>
          <w:tcPr>
            <w:tcW w:w="708" w:type="dxa"/>
            <w:vAlign w:val="top"/>
          </w:tcPr>
          <w:p w14:paraId="06E3D318">
            <w:pPr>
              <w:pStyle w:val="6"/>
              <w:spacing w:before="156" w:line="232" w:lineRule="auto"/>
              <w:ind w:left="64"/>
            </w:pPr>
            <w:r>
              <w:rPr>
                <w:spacing w:val="-2"/>
              </w:rPr>
              <w:t>0.002L</w:t>
            </w:r>
          </w:p>
        </w:tc>
        <w:tc>
          <w:tcPr>
            <w:tcW w:w="566" w:type="dxa"/>
            <w:vAlign w:val="top"/>
          </w:tcPr>
          <w:p w14:paraId="004188A2">
            <w:pPr>
              <w:pStyle w:val="6"/>
              <w:spacing w:before="156" w:line="232" w:lineRule="auto"/>
              <w:ind w:left="100"/>
            </w:pPr>
            <w:r>
              <w:rPr>
                <w:spacing w:val="-2"/>
              </w:rPr>
              <w:t>0.2L</w:t>
            </w:r>
          </w:p>
        </w:tc>
        <w:tc>
          <w:tcPr>
            <w:tcW w:w="428" w:type="dxa"/>
            <w:vAlign w:val="top"/>
          </w:tcPr>
          <w:p w14:paraId="6449F952">
            <w:pPr>
              <w:pStyle w:val="6"/>
              <w:spacing w:before="156" w:line="232" w:lineRule="auto"/>
              <w:ind w:right="2"/>
              <w:jc w:val="right"/>
            </w:pPr>
            <w:r>
              <w:rPr>
                <w:spacing w:val="-2"/>
              </w:rPr>
              <w:t>0.5L</w:t>
            </w:r>
          </w:p>
        </w:tc>
        <w:tc>
          <w:tcPr>
            <w:tcW w:w="570" w:type="dxa"/>
            <w:vAlign w:val="top"/>
          </w:tcPr>
          <w:p w14:paraId="4BAFD9C5">
            <w:pPr>
              <w:pStyle w:val="6"/>
              <w:spacing w:before="160" w:line="232" w:lineRule="auto"/>
              <w:ind w:left="244"/>
            </w:pPr>
            <w:r>
              <w:rPr>
                <w:b/>
                <w:bCs/>
              </w:rPr>
              <w:t>2</w:t>
            </w:r>
          </w:p>
        </w:tc>
        <w:tc>
          <w:tcPr>
            <w:tcW w:w="559" w:type="dxa"/>
            <w:gridSpan w:val="2"/>
            <w:tcBorders>
              <w:right w:val="single" w:color="000000" w:sz="12" w:space="0"/>
            </w:tcBorders>
            <w:vAlign w:val="top"/>
          </w:tcPr>
          <w:p w14:paraId="5B7EB258">
            <w:pPr>
              <w:pStyle w:val="6"/>
              <w:spacing w:before="160" w:line="229" w:lineRule="auto"/>
              <w:ind w:left="124"/>
            </w:pPr>
            <w:r>
              <w:rPr>
                <w:b/>
                <w:bCs/>
                <w:spacing w:val="-2"/>
              </w:rPr>
              <w:t>270</w:t>
            </w:r>
          </w:p>
        </w:tc>
      </w:tr>
      <w:tr w14:paraId="207EE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31" w:type="dxa"/>
            <w:vMerge w:val="continue"/>
            <w:tcBorders>
              <w:top w:val="nil"/>
              <w:left w:val="single" w:color="000000" w:sz="12" w:space="0"/>
              <w:bottom w:val="nil"/>
            </w:tcBorders>
            <w:vAlign w:val="top"/>
          </w:tcPr>
          <w:p w14:paraId="0CE5624F">
            <w:pPr>
              <w:rPr>
                <w:rFonts w:ascii="Arial"/>
                <w:sz w:val="21"/>
              </w:rPr>
            </w:pPr>
          </w:p>
        </w:tc>
        <w:tc>
          <w:tcPr>
            <w:tcW w:w="265" w:type="dxa"/>
            <w:vMerge w:val="continue"/>
            <w:tcBorders>
              <w:top w:val="nil"/>
              <w:bottom w:val="nil"/>
            </w:tcBorders>
            <w:vAlign w:val="top"/>
          </w:tcPr>
          <w:p w14:paraId="476A37F9">
            <w:pPr>
              <w:rPr>
                <w:rFonts w:ascii="Arial"/>
                <w:sz w:val="21"/>
              </w:rPr>
            </w:pPr>
          </w:p>
        </w:tc>
        <w:tc>
          <w:tcPr>
            <w:tcW w:w="1014" w:type="dxa"/>
            <w:vAlign w:val="top"/>
          </w:tcPr>
          <w:p w14:paraId="213C54B5">
            <w:pPr>
              <w:pStyle w:val="6"/>
              <w:spacing w:before="158" w:line="232" w:lineRule="auto"/>
              <w:ind w:left="65"/>
            </w:pPr>
            <w:r>
              <w:rPr>
                <w:spacing w:val="-1"/>
              </w:rPr>
              <w:t>2020/8/22</w:t>
            </w:r>
          </w:p>
        </w:tc>
        <w:tc>
          <w:tcPr>
            <w:tcW w:w="737" w:type="dxa"/>
            <w:vAlign w:val="top"/>
          </w:tcPr>
          <w:p w14:paraId="4B472AA4">
            <w:pPr>
              <w:pStyle w:val="6"/>
              <w:spacing w:before="165" w:line="183" w:lineRule="auto"/>
              <w:ind w:left="243"/>
            </w:pPr>
            <w:r>
              <w:rPr>
                <w:spacing w:val="-3"/>
              </w:rPr>
              <w:t>5L</w:t>
            </w:r>
          </w:p>
        </w:tc>
        <w:tc>
          <w:tcPr>
            <w:tcW w:w="708" w:type="dxa"/>
            <w:vAlign w:val="top"/>
          </w:tcPr>
          <w:p w14:paraId="0F06B1AD">
            <w:pPr>
              <w:pStyle w:val="6"/>
              <w:spacing w:before="158" w:line="232" w:lineRule="auto"/>
              <w:ind w:left="148"/>
            </w:pPr>
            <w:r>
              <w:rPr>
                <w:spacing w:val="-2"/>
              </w:rPr>
              <w:t>0.5L</w:t>
            </w:r>
          </w:p>
        </w:tc>
        <w:tc>
          <w:tcPr>
            <w:tcW w:w="851" w:type="dxa"/>
            <w:vAlign w:val="top"/>
          </w:tcPr>
          <w:p w14:paraId="5BB2655B">
            <w:pPr>
              <w:pStyle w:val="6"/>
              <w:spacing w:before="158" w:line="232" w:lineRule="auto"/>
              <w:ind w:left="233"/>
            </w:pPr>
            <w:r>
              <w:rPr>
                <w:spacing w:val="-2"/>
              </w:rPr>
              <w:t>7.29</w:t>
            </w:r>
          </w:p>
        </w:tc>
        <w:tc>
          <w:tcPr>
            <w:tcW w:w="708" w:type="dxa"/>
            <w:vAlign w:val="top"/>
          </w:tcPr>
          <w:p w14:paraId="5C2D57D9">
            <w:pPr>
              <w:pStyle w:val="6"/>
              <w:spacing w:before="158" w:line="232" w:lineRule="auto"/>
              <w:ind w:left="44"/>
            </w:pPr>
            <w:r>
              <w:rPr>
                <w:spacing w:val="-2"/>
              </w:rPr>
              <w:t>0.040L</w:t>
            </w:r>
          </w:p>
        </w:tc>
        <w:tc>
          <w:tcPr>
            <w:tcW w:w="842" w:type="dxa"/>
            <w:vAlign w:val="top"/>
          </w:tcPr>
          <w:p w14:paraId="7BAD02B1">
            <w:pPr>
              <w:pStyle w:val="6"/>
              <w:spacing w:before="158" w:line="232" w:lineRule="auto"/>
              <w:ind w:left="61"/>
            </w:pPr>
            <w:r>
              <w:rPr>
                <w:spacing w:val="-1"/>
              </w:rPr>
              <w:t>0.0045L</w:t>
            </w:r>
          </w:p>
        </w:tc>
        <w:tc>
          <w:tcPr>
            <w:tcW w:w="851" w:type="dxa"/>
            <w:vAlign w:val="top"/>
          </w:tcPr>
          <w:p w14:paraId="44EE53C1">
            <w:pPr>
              <w:pStyle w:val="6"/>
              <w:spacing w:before="158" w:line="232" w:lineRule="auto"/>
              <w:ind w:left="67"/>
            </w:pPr>
            <w:r>
              <w:rPr>
                <w:spacing w:val="-1"/>
              </w:rPr>
              <w:t>0.0005L</w:t>
            </w:r>
          </w:p>
        </w:tc>
        <w:tc>
          <w:tcPr>
            <w:tcW w:w="708" w:type="dxa"/>
            <w:vAlign w:val="top"/>
          </w:tcPr>
          <w:p w14:paraId="084C1127">
            <w:pPr>
              <w:pStyle w:val="6"/>
              <w:spacing w:before="158" w:line="232" w:lineRule="auto"/>
              <w:ind w:left="48"/>
            </w:pPr>
            <w:r>
              <w:rPr>
                <w:spacing w:val="-2"/>
              </w:rPr>
              <w:t>0.009L</w:t>
            </w:r>
          </w:p>
        </w:tc>
        <w:tc>
          <w:tcPr>
            <w:tcW w:w="847" w:type="dxa"/>
            <w:vAlign w:val="top"/>
          </w:tcPr>
          <w:p w14:paraId="5E638309">
            <w:pPr>
              <w:pStyle w:val="6"/>
              <w:spacing w:before="158" w:line="232" w:lineRule="auto"/>
              <w:ind w:left="119"/>
            </w:pPr>
            <w:r>
              <w:rPr>
                <w:spacing w:val="-2"/>
              </w:rPr>
              <w:t>0.001L</w:t>
            </w:r>
          </w:p>
        </w:tc>
        <w:tc>
          <w:tcPr>
            <w:tcW w:w="565" w:type="dxa"/>
            <w:vAlign w:val="top"/>
          </w:tcPr>
          <w:p w14:paraId="2A164C86">
            <w:pPr>
              <w:pStyle w:val="6"/>
              <w:spacing w:before="158" w:line="232" w:lineRule="auto"/>
              <w:ind w:left="146"/>
            </w:pPr>
            <w:r>
              <w:rPr>
                <w:spacing w:val="-2"/>
              </w:rPr>
              <w:t>2.8</w:t>
            </w:r>
          </w:p>
        </w:tc>
        <w:tc>
          <w:tcPr>
            <w:tcW w:w="567" w:type="dxa"/>
            <w:vAlign w:val="top"/>
          </w:tcPr>
          <w:p w14:paraId="52D01349">
            <w:pPr>
              <w:pStyle w:val="6"/>
              <w:spacing w:before="158" w:line="232" w:lineRule="auto"/>
              <w:ind w:left="89"/>
            </w:pPr>
            <w:r>
              <w:rPr>
                <w:spacing w:val="-3"/>
              </w:rPr>
              <w:t>5.0L</w:t>
            </w:r>
          </w:p>
        </w:tc>
        <w:tc>
          <w:tcPr>
            <w:tcW w:w="851" w:type="dxa"/>
            <w:vAlign w:val="top"/>
          </w:tcPr>
          <w:p w14:paraId="65CD3B66">
            <w:pPr>
              <w:pStyle w:val="6"/>
              <w:spacing w:before="158" w:line="232" w:lineRule="auto"/>
              <w:ind w:left="322"/>
            </w:pPr>
            <w:r>
              <w:rPr>
                <w:spacing w:val="-2"/>
              </w:rPr>
              <w:t>97</w:t>
            </w:r>
          </w:p>
        </w:tc>
        <w:tc>
          <w:tcPr>
            <w:tcW w:w="566" w:type="dxa"/>
            <w:vAlign w:val="top"/>
          </w:tcPr>
          <w:p w14:paraId="2C536007">
            <w:pPr>
              <w:pStyle w:val="6"/>
              <w:spacing w:before="159" w:line="232" w:lineRule="auto"/>
              <w:ind w:left="184"/>
            </w:pPr>
            <w:r>
              <w:rPr>
                <w:spacing w:val="-4"/>
              </w:rPr>
              <w:t>82</w:t>
            </w:r>
          </w:p>
        </w:tc>
        <w:tc>
          <w:tcPr>
            <w:tcW w:w="567" w:type="dxa"/>
            <w:vAlign w:val="top"/>
          </w:tcPr>
          <w:p w14:paraId="09B9C8D3">
            <w:pPr>
              <w:pStyle w:val="6"/>
              <w:spacing w:before="158" w:line="232" w:lineRule="auto"/>
              <w:ind w:left="118"/>
            </w:pPr>
            <w:r>
              <w:rPr>
                <w:spacing w:val="-6"/>
              </w:rPr>
              <w:t>1.78</w:t>
            </w:r>
          </w:p>
        </w:tc>
        <w:tc>
          <w:tcPr>
            <w:tcW w:w="851" w:type="dxa"/>
            <w:vAlign w:val="top"/>
          </w:tcPr>
          <w:p w14:paraId="236CA584">
            <w:pPr>
              <w:pStyle w:val="6"/>
              <w:spacing w:before="158" w:line="232" w:lineRule="auto"/>
              <w:ind w:left="127"/>
            </w:pPr>
            <w:r>
              <w:rPr>
                <w:spacing w:val="-2"/>
              </w:rPr>
              <w:t>0.002L</w:t>
            </w:r>
          </w:p>
        </w:tc>
        <w:tc>
          <w:tcPr>
            <w:tcW w:w="707" w:type="dxa"/>
            <w:vAlign w:val="top"/>
          </w:tcPr>
          <w:p w14:paraId="7102FEC6">
            <w:pPr>
              <w:pStyle w:val="6"/>
              <w:spacing w:before="158" w:line="232" w:lineRule="auto"/>
              <w:ind w:left="56"/>
            </w:pPr>
            <w:r>
              <w:rPr>
                <w:spacing w:val="-2"/>
              </w:rPr>
              <w:t>0.050L</w:t>
            </w:r>
          </w:p>
        </w:tc>
        <w:tc>
          <w:tcPr>
            <w:tcW w:w="708" w:type="dxa"/>
            <w:vAlign w:val="top"/>
          </w:tcPr>
          <w:p w14:paraId="4FB1F144">
            <w:pPr>
              <w:pStyle w:val="6"/>
              <w:spacing w:before="158" w:line="232" w:lineRule="auto"/>
              <w:ind w:left="123"/>
            </w:pPr>
            <w:r>
              <w:rPr>
                <w:spacing w:val="-2"/>
              </w:rPr>
              <w:t>0.001</w:t>
            </w:r>
          </w:p>
        </w:tc>
        <w:tc>
          <w:tcPr>
            <w:tcW w:w="851" w:type="dxa"/>
            <w:vAlign w:val="top"/>
          </w:tcPr>
          <w:p w14:paraId="435DDD0B">
            <w:pPr>
              <w:pStyle w:val="6"/>
              <w:spacing w:before="158" w:line="232" w:lineRule="auto"/>
              <w:ind w:left="80"/>
            </w:pPr>
            <w:r>
              <w:rPr>
                <w:spacing w:val="-1"/>
              </w:rPr>
              <w:t>0.0005L</w:t>
            </w:r>
          </w:p>
        </w:tc>
        <w:tc>
          <w:tcPr>
            <w:tcW w:w="708" w:type="dxa"/>
            <w:vAlign w:val="top"/>
          </w:tcPr>
          <w:p w14:paraId="62F1601D">
            <w:pPr>
              <w:pStyle w:val="6"/>
              <w:spacing w:before="158" w:line="232" w:lineRule="auto"/>
              <w:ind w:left="60"/>
            </w:pPr>
            <w:r>
              <w:rPr>
                <w:spacing w:val="-2"/>
              </w:rPr>
              <w:t>0.004L</w:t>
            </w:r>
          </w:p>
        </w:tc>
        <w:tc>
          <w:tcPr>
            <w:tcW w:w="851" w:type="dxa"/>
            <w:vAlign w:val="top"/>
          </w:tcPr>
          <w:p w14:paraId="42497615">
            <w:pPr>
              <w:pStyle w:val="6"/>
              <w:spacing w:before="158" w:line="232" w:lineRule="auto"/>
              <w:ind w:left="81"/>
            </w:pPr>
            <w:r>
              <w:rPr>
                <w:spacing w:val="-1"/>
              </w:rPr>
              <w:t>0.0025L</w:t>
            </w:r>
          </w:p>
        </w:tc>
        <w:tc>
          <w:tcPr>
            <w:tcW w:w="851" w:type="dxa"/>
            <w:vAlign w:val="top"/>
          </w:tcPr>
          <w:p w14:paraId="0B8C351D">
            <w:pPr>
              <w:pStyle w:val="6"/>
              <w:spacing w:before="158" w:line="232" w:lineRule="auto"/>
              <w:ind w:left="82"/>
            </w:pPr>
            <w:r>
              <w:rPr>
                <w:spacing w:val="-1"/>
              </w:rPr>
              <w:t>0.0001L</w:t>
            </w:r>
          </w:p>
        </w:tc>
        <w:tc>
          <w:tcPr>
            <w:tcW w:w="847" w:type="dxa"/>
            <w:vAlign w:val="top"/>
          </w:tcPr>
          <w:p w14:paraId="646F3F7F">
            <w:pPr>
              <w:pStyle w:val="6"/>
              <w:spacing w:before="158" w:line="232" w:lineRule="auto"/>
              <w:ind w:left="80"/>
            </w:pPr>
            <w:r>
              <w:rPr>
                <w:spacing w:val="-1"/>
              </w:rPr>
              <w:t>0.0004L</w:t>
            </w:r>
          </w:p>
        </w:tc>
        <w:tc>
          <w:tcPr>
            <w:tcW w:w="708" w:type="dxa"/>
            <w:vAlign w:val="top"/>
          </w:tcPr>
          <w:p w14:paraId="471D2B77">
            <w:pPr>
              <w:pStyle w:val="6"/>
              <w:spacing w:before="158" w:line="232" w:lineRule="auto"/>
              <w:ind w:left="64"/>
            </w:pPr>
            <w:r>
              <w:rPr>
                <w:spacing w:val="-2"/>
              </w:rPr>
              <w:t>0.002L</w:t>
            </w:r>
          </w:p>
        </w:tc>
        <w:tc>
          <w:tcPr>
            <w:tcW w:w="566" w:type="dxa"/>
            <w:vAlign w:val="top"/>
          </w:tcPr>
          <w:p w14:paraId="09E702D2">
            <w:pPr>
              <w:pStyle w:val="6"/>
              <w:spacing w:before="158" w:line="232" w:lineRule="auto"/>
              <w:ind w:left="100"/>
            </w:pPr>
            <w:r>
              <w:rPr>
                <w:spacing w:val="-2"/>
              </w:rPr>
              <w:t>0.2L</w:t>
            </w:r>
          </w:p>
        </w:tc>
        <w:tc>
          <w:tcPr>
            <w:tcW w:w="428" w:type="dxa"/>
            <w:vAlign w:val="top"/>
          </w:tcPr>
          <w:p w14:paraId="40A5DF4E">
            <w:pPr>
              <w:pStyle w:val="6"/>
              <w:spacing w:before="158" w:line="232" w:lineRule="auto"/>
              <w:ind w:right="2"/>
              <w:jc w:val="right"/>
            </w:pPr>
            <w:r>
              <w:rPr>
                <w:spacing w:val="-2"/>
              </w:rPr>
              <w:t>0.5L</w:t>
            </w:r>
          </w:p>
        </w:tc>
        <w:tc>
          <w:tcPr>
            <w:tcW w:w="570" w:type="dxa"/>
            <w:vAlign w:val="top"/>
          </w:tcPr>
          <w:p w14:paraId="07E15708">
            <w:pPr>
              <w:pStyle w:val="6"/>
              <w:spacing w:before="162" w:line="232" w:lineRule="auto"/>
              <w:ind w:left="244"/>
            </w:pPr>
            <w:r>
              <w:rPr>
                <w:b/>
                <w:bCs/>
              </w:rPr>
              <w:t>2</w:t>
            </w:r>
          </w:p>
        </w:tc>
        <w:tc>
          <w:tcPr>
            <w:tcW w:w="559" w:type="dxa"/>
            <w:gridSpan w:val="2"/>
            <w:tcBorders>
              <w:right w:val="single" w:color="000000" w:sz="12" w:space="0"/>
            </w:tcBorders>
            <w:vAlign w:val="top"/>
          </w:tcPr>
          <w:p w14:paraId="0EFC80D5">
            <w:pPr>
              <w:pStyle w:val="6"/>
              <w:spacing w:before="162" w:line="229" w:lineRule="auto"/>
              <w:ind w:left="124"/>
            </w:pPr>
            <w:r>
              <w:rPr>
                <w:b/>
                <w:bCs/>
                <w:spacing w:val="-2"/>
              </w:rPr>
              <w:t>290</w:t>
            </w:r>
          </w:p>
        </w:tc>
      </w:tr>
      <w:tr w14:paraId="6E47B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531" w:type="dxa"/>
            <w:vMerge w:val="continue"/>
            <w:tcBorders>
              <w:top w:val="nil"/>
              <w:left w:val="single" w:color="000000" w:sz="12" w:space="0"/>
            </w:tcBorders>
            <w:vAlign w:val="top"/>
          </w:tcPr>
          <w:p w14:paraId="75D7E68C">
            <w:pPr>
              <w:rPr>
                <w:rFonts w:ascii="Arial"/>
                <w:sz w:val="21"/>
              </w:rPr>
            </w:pPr>
          </w:p>
        </w:tc>
        <w:tc>
          <w:tcPr>
            <w:tcW w:w="265" w:type="dxa"/>
            <w:vMerge w:val="continue"/>
            <w:tcBorders>
              <w:top w:val="nil"/>
            </w:tcBorders>
            <w:vAlign w:val="top"/>
          </w:tcPr>
          <w:p w14:paraId="576C8255">
            <w:pPr>
              <w:rPr>
                <w:rFonts w:ascii="Arial"/>
                <w:sz w:val="21"/>
              </w:rPr>
            </w:pPr>
          </w:p>
        </w:tc>
        <w:tc>
          <w:tcPr>
            <w:tcW w:w="1014" w:type="dxa"/>
            <w:vAlign w:val="top"/>
          </w:tcPr>
          <w:p w14:paraId="02C90D8C">
            <w:pPr>
              <w:pStyle w:val="6"/>
              <w:spacing w:before="158" w:line="232" w:lineRule="auto"/>
              <w:ind w:left="118"/>
            </w:pPr>
            <w:r>
              <w:rPr>
                <w:spacing w:val="-1"/>
              </w:rPr>
              <w:t>2020/3/8</w:t>
            </w:r>
          </w:p>
        </w:tc>
        <w:tc>
          <w:tcPr>
            <w:tcW w:w="737" w:type="dxa"/>
            <w:vAlign w:val="top"/>
          </w:tcPr>
          <w:p w14:paraId="13505BF9">
            <w:pPr>
              <w:pStyle w:val="6"/>
              <w:spacing w:before="165" w:line="183" w:lineRule="auto"/>
              <w:ind w:left="243"/>
            </w:pPr>
            <w:r>
              <w:rPr>
                <w:spacing w:val="-3"/>
              </w:rPr>
              <w:t>5L</w:t>
            </w:r>
          </w:p>
        </w:tc>
        <w:tc>
          <w:tcPr>
            <w:tcW w:w="708" w:type="dxa"/>
            <w:vAlign w:val="top"/>
          </w:tcPr>
          <w:p w14:paraId="11E18331">
            <w:pPr>
              <w:pStyle w:val="6"/>
              <w:spacing w:before="158" w:line="232" w:lineRule="auto"/>
              <w:ind w:left="211"/>
            </w:pPr>
            <w:r>
              <w:rPr>
                <w:spacing w:val="-3"/>
              </w:rPr>
              <w:t>0.6</w:t>
            </w:r>
          </w:p>
        </w:tc>
        <w:tc>
          <w:tcPr>
            <w:tcW w:w="851" w:type="dxa"/>
            <w:vAlign w:val="top"/>
          </w:tcPr>
          <w:p w14:paraId="44B8CF51">
            <w:pPr>
              <w:pStyle w:val="6"/>
              <w:spacing w:before="158" w:line="232" w:lineRule="auto"/>
              <w:ind w:left="234"/>
            </w:pPr>
            <w:r>
              <w:rPr>
                <w:spacing w:val="-3"/>
              </w:rPr>
              <w:t>6.69</w:t>
            </w:r>
          </w:p>
        </w:tc>
        <w:tc>
          <w:tcPr>
            <w:tcW w:w="708" w:type="dxa"/>
            <w:vAlign w:val="top"/>
          </w:tcPr>
          <w:p w14:paraId="32CC309F">
            <w:pPr>
              <w:pStyle w:val="6"/>
              <w:spacing w:before="158" w:line="232" w:lineRule="auto"/>
              <w:ind w:left="109"/>
            </w:pPr>
            <w:r>
              <w:rPr>
                <w:spacing w:val="-2"/>
              </w:rPr>
              <w:t>0.100</w:t>
            </w:r>
          </w:p>
        </w:tc>
        <w:tc>
          <w:tcPr>
            <w:tcW w:w="842" w:type="dxa"/>
            <w:vAlign w:val="top"/>
          </w:tcPr>
          <w:p w14:paraId="1F60F7C5">
            <w:pPr>
              <w:pStyle w:val="6"/>
              <w:spacing w:before="158" w:line="232" w:lineRule="auto"/>
              <w:ind w:left="126"/>
            </w:pPr>
            <w:r>
              <w:rPr>
                <w:spacing w:val="-2"/>
              </w:rPr>
              <w:t>0.0866</w:t>
            </w:r>
          </w:p>
        </w:tc>
        <w:tc>
          <w:tcPr>
            <w:tcW w:w="851" w:type="dxa"/>
            <w:vAlign w:val="top"/>
          </w:tcPr>
          <w:p w14:paraId="025C6963">
            <w:pPr>
              <w:pStyle w:val="6"/>
              <w:spacing w:before="158" w:line="232" w:lineRule="auto"/>
              <w:ind w:left="131"/>
            </w:pPr>
            <w:r>
              <w:rPr>
                <w:spacing w:val="-2"/>
              </w:rPr>
              <w:t>0.0164</w:t>
            </w:r>
          </w:p>
        </w:tc>
        <w:tc>
          <w:tcPr>
            <w:tcW w:w="708" w:type="dxa"/>
            <w:vAlign w:val="top"/>
          </w:tcPr>
          <w:p w14:paraId="57EF2964">
            <w:pPr>
              <w:pStyle w:val="6"/>
              <w:spacing w:before="158" w:line="232" w:lineRule="auto"/>
              <w:ind w:left="48"/>
            </w:pPr>
            <w:r>
              <w:rPr>
                <w:spacing w:val="-2"/>
              </w:rPr>
              <w:t>0.009L</w:t>
            </w:r>
          </w:p>
        </w:tc>
        <w:tc>
          <w:tcPr>
            <w:tcW w:w="847" w:type="dxa"/>
            <w:vAlign w:val="top"/>
          </w:tcPr>
          <w:p w14:paraId="5C7A17B8">
            <w:pPr>
              <w:pStyle w:val="6"/>
              <w:spacing w:before="158" w:line="232" w:lineRule="auto"/>
              <w:ind w:left="184"/>
            </w:pPr>
            <w:r>
              <w:rPr>
                <w:spacing w:val="-2"/>
              </w:rPr>
              <w:t>0.033</w:t>
            </w:r>
          </w:p>
        </w:tc>
        <w:tc>
          <w:tcPr>
            <w:tcW w:w="565" w:type="dxa"/>
            <w:vAlign w:val="top"/>
          </w:tcPr>
          <w:p w14:paraId="57626921">
            <w:pPr>
              <w:pStyle w:val="6"/>
              <w:spacing w:before="158" w:line="232" w:lineRule="auto"/>
              <w:ind w:left="94"/>
            </w:pPr>
            <w:r>
              <w:rPr>
                <w:spacing w:val="-1"/>
              </w:rPr>
              <w:t>21.0</w:t>
            </w:r>
          </w:p>
        </w:tc>
        <w:tc>
          <w:tcPr>
            <w:tcW w:w="567" w:type="dxa"/>
            <w:vAlign w:val="top"/>
          </w:tcPr>
          <w:p w14:paraId="6C6D05EE">
            <w:pPr>
              <w:pStyle w:val="6"/>
              <w:spacing w:before="158" w:line="232" w:lineRule="auto"/>
              <w:ind w:left="153"/>
            </w:pPr>
            <w:r>
              <w:rPr>
                <w:spacing w:val="-4"/>
              </w:rPr>
              <w:t>5.7</w:t>
            </w:r>
          </w:p>
        </w:tc>
        <w:tc>
          <w:tcPr>
            <w:tcW w:w="851" w:type="dxa"/>
            <w:vAlign w:val="top"/>
          </w:tcPr>
          <w:p w14:paraId="1740CE66">
            <w:pPr>
              <w:pStyle w:val="6"/>
              <w:spacing w:before="159" w:line="232" w:lineRule="auto"/>
              <w:ind w:left="266"/>
            </w:pPr>
            <w:r>
              <w:rPr>
                <w:spacing w:val="-1"/>
              </w:rPr>
              <w:t>216</w:t>
            </w:r>
          </w:p>
        </w:tc>
        <w:tc>
          <w:tcPr>
            <w:tcW w:w="566" w:type="dxa"/>
            <w:vAlign w:val="top"/>
          </w:tcPr>
          <w:p w14:paraId="5A4EA5C5">
            <w:pPr>
              <w:pStyle w:val="6"/>
              <w:spacing w:before="159" w:line="232" w:lineRule="auto"/>
              <w:ind w:left="144"/>
            </w:pPr>
            <w:r>
              <w:rPr>
                <w:spacing w:val="-6"/>
              </w:rPr>
              <w:t>158</w:t>
            </w:r>
          </w:p>
        </w:tc>
        <w:tc>
          <w:tcPr>
            <w:tcW w:w="567" w:type="dxa"/>
            <w:vAlign w:val="top"/>
          </w:tcPr>
          <w:p w14:paraId="574FB066">
            <w:pPr>
              <w:pStyle w:val="6"/>
              <w:spacing w:before="158" w:line="232" w:lineRule="auto"/>
              <w:ind w:left="101"/>
            </w:pPr>
            <w:r>
              <w:rPr>
                <w:spacing w:val="-2"/>
              </w:rPr>
              <w:t>0.45</w:t>
            </w:r>
          </w:p>
        </w:tc>
        <w:tc>
          <w:tcPr>
            <w:tcW w:w="851" w:type="dxa"/>
            <w:vAlign w:val="top"/>
          </w:tcPr>
          <w:p w14:paraId="47D4BEEA">
            <w:pPr>
              <w:pStyle w:val="6"/>
              <w:spacing w:before="158" w:line="232" w:lineRule="auto"/>
              <w:ind w:left="127"/>
            </w:pPr>
            <w:r>
              <w:rPr>
                <w:spacing w:val="-2"/>
              </w:rPr>
              <w:t>0.002L</w:t>
            </w:r>
          </w:p>
        </w:tc>
        <w:tc>
          <w:tcPr>
            <w:tcW w:w="707" w:type="dxa"/>
            <w:vAlign w:val="top"/>
          </w:tcPr>
          <w:p w14:paraId="5A35A2D8">
            <w:pPr>
              <w:pStyle w:val="6"/>
              <w:spacing w:before="158" w:line="232" w:lineRule="auto"/>
              <w:ind w:left="56"/>
            </w:pPr>
            <w:r>
              <w:rPr>
                <w:spacing w:val="-2"/>
              </w:rPr>
              <w:t>0.050L</w:t>
            </w:r>
          </w:p>
        </w:tc>
        <w:tc>
          <w:tcPr>
            <w:tcW w:w="708" w:type="dxa"/>
            <w:vAlign w:val="top"/>
          </w:tcPr>
          <w:p w14:paraId="6ED62EC2">
            <w:pPr>
              <w:pStyle w:val="6"/>
              <w:spacing w:before="158" w:line="232" w:lineRule="auto"/>
              <w:ind w:left="58"/>
            </w:pPr>
            <w:r>
              <w:rPr>
                <w:spacing w:val="-2"/>
              </w:rPr>
              <w:t>0.001L</w:t>
            </w:r>
          </w:p>
        </w:tc>
        <w:tc>
          <w:tcPr>
            <w:tcW w:w="851" w:type="dxa"/>
            <w:vAlign w:val="top"/>
          </w:tcPr>
          <w:p w14:paraId="473066DC">
            <w:pPr>
              <w:pStyle w:val="6"/>
              <w:spacing w:before="158" w:line="232" w:lineRule="auto"/>
              <w:ind w:left="80"/>
            </w:pPr>
            <w:r>
              <w:rPr>
                <w:spacing w:val="-1"/>
              </w:rPr>
              <w:t>0.0005L</w:t>
            </w:r>
          </w:p>
        </w:tc>
        <w:tc>
          <w:tcPr>
            <w:tcW w:w="708" w:type="dxa"/>
            <w:vAlign w:val="top"/>
          </w:tcPr>
          <w:p w14:paraId="094345ED">
            <w:pPr>
              <w:pStyle w:val="6"/>
              <w:spacing w:before="158" w:line="232" w:lineRule="auto"/>
              <w:ind w:left="60"/>
            </w:pPr>
            <w:r>
              <w:rPr>
                <w:spacing w:val="-2"/>
              </w:rPr>
              <w:t>0.004L</w:t>
            </w:r>
          </w:p>
        </w:tc>
        <w:tc>
          <w:tcPr>
            <w:tcW w:w="851" w:type="dxa"/>
            <w:vAlign w:val="top"/>
          </w:tcPr>
          <w:p w14:paraId="2993BDA6">
            <w:pPr>
              <w:pStyle w:val="6"/>
              <w:spacing w:before="158" w:line="232" w:lineRule="auto"/>
              <w:ind w:left="81"/>
            </w:pPr>
            <w:r>
              <w:rPr>
                <w:spacing w:val="-1"/>
              </w:rPr>
              <w:t>0.0025L</w:t>
            </w:r>
          </w:p>
        </w:tc>
        <w:tc>
          <w:tcPr>
            <w:tcW w:w="851" w:type="dxa"/>
            <w:vAlign w:val="top"/>
          </w:tcPr>
          <w:p w14:paraId="2404AE1C">
            <w:pPr>
              <w:pStyle w:val="6"/>
              <w:spacing w:before="158" w:line="232" w:lineRule="auto"/>
              <w:ind w:left="82"/>
            </w:pPr>
            <w:r>
              <w:rPr>
                <w:spacing w:val="-1"/>
              </w:rPr>
              <w:t>0.0001L</w:t>
            </w:r>
          </w:p>
        </w:tc>
        <w:tc>
          <w:tcPr>
            <w:tcW w:w="847" w:type="dxa"/>
            <w:vAlign w:val="top"/>
          </w:tcPr>
          <w:p w14:paraId="601FDC43">
            <w:pPr>
              <w:pStyle w:val="6"/>
              <w:spacing w:before="158" w:line="232" w:lineRule="auto"/>
              <w:ind w:left="80"/>
            </w:pPr>
            <w:r>
              <w:rPr>
                <w:spacing w:val="-1"/>
              </w:rPr>
              <w:t>0.0004L</w:t>
            </w:r>
          </w:p>
        </w:tc>
        <w:tc>
          <w:tcPr>
            <w:tcW w:w="708" w:type="dxa"/>
            <w:vAlign w:val="top"/>
          </w:tcPr>
          <w:p w14:paraId="351EB0CC">
            <w:pPr>
              <w:pStyle w:val="6"/>
              <w:spacing w:before="158" w:line="232" w:lineRule="auto"/>
              <w:ind w:left="64"/>
            </w:pPr>
            <w:r>
              <w:rPr>
                <w:spacing w:val="-2"/>
              </w:rPr>
              <w:t>0.002L</w:t>
            </w:r>
          </w:p>
        </w:tc>
        <w:tc>
          <w:tcPr>
            <w:tcW w:w="566" w:type="dxa"/>
            <w:vAlign w:val="top"/>
          </w:tcPr>
          <w:p w14:paraId="40DBBF14">
            <w:pPr>
              <w:pStyle w:val="6"/>
              <w:spacing w:before="158" w:line="232" w:lineRule="auto"/>
              <w:ind w:left="164"/>
            </w:pPr>
            <w:r>
              <w:rPr>
                <w:spacing w:val="-3"/>
              </w:rPr>
              <w:t>0.4</w:t>
            </w:r>
          </w:p>
        </w:tc>
        <w:tc>
          <w:tcPr>
            <w:tcW w:w="428" w:type="dxa"/>
            <w:vAlign w:val="top"/>
          </w:tcPr>
          <w:p w14:paraId="67CEE2C0">
            <w:pPr>
              <w:pStyle w:val="6"/>
              <w:spacing w:before="158" w:line="232" w:lineRule="auto"/>
              <w:ind w:right="2"/>
              <w:jc w:val="right"/>
            </w:pPr>
            <w:r>
              <w:rPr>
                <w:spacing w:val="-2"/>
              </w:rPr>
              <w:t>0.5L</w:t>
            </w:r>
          </w:p>
        </w:tc>
        <w:tc>
          <w:tcPr>
            <w:tcW w:w="570" w:type="dxa"/>
            <w:vAlign w:val="top"/>
          </w:tcPr>
          <w:p w14:paraId="7CC11A74">
            <w:pPr>
              <w:pStyle w:val="6"/>
              <w:spacing w:before="158" w:line="232" w:lineRule="auto"/>
              <w:ind w:left="262"/>
            </w:pPr>
            <w:r>
              <w:t>/</w:t>
            </w:r>
          </w:p>
        </w:tc>
        <w:tc>
          <w:tcPr>
            <w:tcW w:w="559" w:type="dxa"/>
            <w:gridSpan w:val="2"/>
            <w:tcBorders>
              <w:right w:val="single" w:color="000000" w:sz="12" w:space="0"/>
            </w:tcBorders>
            <w:vAlign w:val="top"/>
          </w:tcPr>
          <w:p w14:paraId="4CC29478">
            <w:pPr>
              <w:pStyle w:val="6"/>
              <w:spacing w:before="159" w:line="232" w:lineRule="auto"/>
              <w:ind w:left="181"/>
            </w:pPr>
            <w:r>
              <w:rPr>
                <w:spacing w:val="-3"/>
              </w:rPr>
              <w:t>60</w:t>
            </w:r>
          </w:p>
        </w:tc>
      </w:tr>
      <w:tr w14:paraId="012D0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810" w:type="dxa"/>
            <w:gridSpan w:val="3"/>
            <w:tcBorders>
              <w:left w:val="single" w:color="000000" w:sz="12" w:space="0"/>
              <w:bottom w:val="single" w:color="000000" w:sz="12" w:space="0"/>
            </w:tcBorders>
            <w:shd w:val="clear" w:color="auto" w:fill="DBE5F1"/>
            <w:vAlign w:val="top"/>
          </w:tcPr>
          <w:p w14:paraId="4D276104">
            <w:pPr>
              <w:spacing w:line="249" w:lineRule="auto"/>
              <w:rPr>
                <w:rFonts w:ascii="Arial"/>
                <w:sz w:val="21"/>
              </w:rPr>
            </w:pPr>
          </w:p>
          <w:p w14:paraId="0350EB49">
            <w:pPr>
              <w:pStyle w:val="6"/>
              <w:spacing w:before="61" w:line="232" w:lineRule="auto"/>
              <w:ind w:left="294"/>
            </w:pPr>
            <w:r>
              <w:rPr>
                <w:spacing w:val="-1"/>
              </w:rPr>
              <w:t>GB5749-2006</w:t>
            </w:r>
          </w:p>
        </w:tc>
        <w:tc>
          <w:tcPr>
            <w:tcW w:w="737" w:type="dxa"/>
            <w:tcBorders>
              <w:bottom w:val="single" w:color="000000" w:sz="12" w:space="0"/>
            </w:tcBorders>
            <w:shd w:val="clear" w:color="auto" w:fill="DBE5F1"/>
            <w:vAlign w:val="top"/>
          </w:tcPr>
          <w:p w14:paraId="0F523BFC">
            <w:pPr>
              <w:spacing w:line="250" w:lineRule="auto"/>
              <w:rPr>
                <w:rFonts w:ascii="Arial"/>
                <w:sz w:val="21"/>
              </w:rPr>
            </w:pPr>
          </w:p>
          <w:p w14:paraId="145FD630">
            <w:pPr>
              <w:pStyle w:val="6"/>
              <w:spacing w:before="60" w:line="232" w:lineRule="auto"/>
              <w:ind w:left="268"/>
            </w:pPr>
            <w:r>
              <w:rPr>
                <w:spacing w:val="-6"/>
              </w:rPr>
              <w:t>15</w:t>
            </w:r>
          </w:p>
        </w:tc>
        <w:tc>
          <w:tcPr>
            <w:tcW w:w="708" w:type="dxa"/>
            <w:tcBorders>
              <w:bottom w:val="single" w:color="000000" w:sz="12" w:space="0"/>
            </w:tcBorders>
            <w:shd w:val="clear" w:color="auto" w:fill="DBE5F1"/>
            <w:vAlign w:val="top"/>
          </w:tcPr>
          <w:p w14:paraId="40A36111">
            <w:pPr>
              <w:spacing w:line="250" w:lineRule="auto"/>
              <w:rPr>
                <w:rFonts w:ascii="Arial"/>
                <w:sz w:val="21"/>
              </w:rPr>
            </w:pPr>
          </w:p>
          <w:p w14:paraId="0CF46341">
            <w:pPr>
              <w:pStyle w:val="6"/>
              <w:spacing w:before="60" w:line="235" w:lineRule="auto"/>
              <w:ind w:left="307"/>
            </w:pPr>
            <w:r>
              <w:t>1</w:t>
            </w:r>
          </w:p>
        </w:tc>
        <w:tc>
          <w:tcPr>
            <w:tcW w:w="851" w:type="dxa"/>
            <w:tcBorders>
              <w:bottom w:val="single" w:color="000000" w:sz="12" w:space="0"/>
            </w:tcBorders>
            <w:shd w:val="clear" w:color="auto" w:fill="DBE5F1"/>
            <w:vAlign w:val="top"/>
          </w:tcPr>
          <w:p w14:paraId="4C68F57C">
            <w:pPr>
              <w:spacing w:line="250" w:lineRule="auto"/>
              <w:rPr>
                <w:rFonts w:ascii="Arial"/>
                <w:sz w:val="21"/>
              </w:rPr>
            </w:pPr>
          </w:p>
          <w:p w14:paraId="1E6FB2AA">
            <w:pPr>
              <w:pStyle w:val="6"/>
              <w:spacing w:before="60" w:line="232" w:lineRule="auto"/>
              <w:ind w:left="120"/>
            </w:pPr>
            <w:r>
              <w:rPr>
                <w:spacing w:val="-2"/>
              </w:rPr>
              <w:t>6.5-8.5</w:t>
            </w:r>
          </w:p>
        </w:tc>
        <w:tc>
          <w:tcPr>
            <w:tcW w:w="708" w:type="dxa"/>
            <w:tcBorders>
              <w:bottom w:val="single" w:color="000000" w:sz="12" w:space="0"/>
            </w:tcBorders>
            <w:shd w:val="clear" w:color="auto" w:fill="DBE5F1"/>
            <w:vAlign w:val="top"/>
          </w:tcPr>
          <w:p w14:paraId="7E7BA659">
            <w:pPr>
              <w:spacing w:line="250" w:lineRule="auto"/>
              <w:rPr>
                <w:rFonts w:ascii="Arial"/>
                <w:sz w:val="21"/>
              </w:rPr>
            </w:pPr>
          </w:p>
          <w:p w14:paraId="4E13B8A9">
            <w:pPr>
              <w:pStyle w:val="6"/>
              <w:spacing w:before="60" w:line="232" w:lineRule="auto"/>
              <w:ind w:left="213"/>
            </w:pPr>
            <w:r>
              <w:rPr>
                <w:spacing w:val="-3"/>
              </w:rPr>
              <w:t>0.2</w:t>
            </w:r>
          </w:p>
        </w:tc>
        <w:tc>
          <w:tcPr>
            <w:tcW w:w="842" w:type="dxa"/>
            <w:tcBorders>
              <w:bottom w:val="single" w:color="000000" w:sz="12" w:space="0"/>
            </w:tcBorders>
            <w:shd w:val="clear" w:color="auto" w:fill="DBE5F1"/>
            <w:vAlign w:val="top"/>
          </w:tcPr>
          <w:p w14:paraId="62A84183">
            <w:pPr>
              <w:spacing w:line="250" w:lineRule="auto"/>
              <w:rPr>
                <w:rFonts w:ascii="Arial"/>
                <w:sz w:val="21"/>
              </w:rPr>
            </w:pPr>
          </w:p>
          <w:p w14:paraId="1A07D201">
            <w:pPr>
              <w:pStyle w:val="6"/>
              <w:spacing w:before="60" w:line="232" w:lineRule="auto"/>
              <w:ind w:left="283"/>
            </w:pPr>
            <w:r>
              <w:rPr>
                <w:spacing w:val="-3"/>
              </w:rPr>
              <w:t>0.3</w:t>
            </w:r>
          </w:p>
        </w:tc>
        <w:tc>
          <w:tcPr>
            <w:tcW w:w="851" w:type="dxa"/>
            <w:tcBorders>
              <w:bottom w:val="single" w:color="000000" w:sz="12" w:space="0"/>
            </w:tcBorders>
            <w:shd w:val="clear" w:color="auto" w:fill="DBE5F1"/>
            <w:vAlign w:val="top"/>
          </w:tcPr>
          <w:p w14:paraId="6E5FE126">
            <w:pPr>
              <w:spacing w:line="250" w:lineRule="auto"/>
              <w:rPr>
                <w:rFonts w:ascii="Arial"/>
                <w:sz w:val="21"/>
              </w:rPr>
            </w:pPr>
          </w:p>
          <w:p w14:paraId="464137E7">
            <w:pPr>
              <w:pStyle w:val="6"/>
              <w:spacing w:before="60" w:line="232" w:lineRule="auto"/>
              <w:ind w:left="288"/>
            </w:pPr>
            <w:r>
              <w:rPr>
                <w:spacing w:val="-3"/>
              </w:rPr>
              <w:t>0.1</w:t>
            </w:r>
          </w:p>
        </w:tc>
        <w:tc>
          <w:tcPr>
            <w:tcW w:w="708" w:type="dxa"/>
            <w:tcBorders>
              <w:bottom w:val="single" w:color="000000" w:sz="12" w:space="0"/>
            </w:tcBorders>
            <w:shd w:val="clear" w:color="auto" w:fill="DBE5F1"/>
            <w:vAlign w:val="top"/>
          </w:tcPr>
          <w:p w14:paraId="563E5107">
            <w:pPr>
              <w:spacing w:line="250" w:lineRule="auto"/>
              <w:rPr>
                <w:rFonts w:ascii="Arial"/>
                <w:sz w:val="21"/>
              </w:rPr>
            </w:pPr>
          </w:p>
          <w:p w14:paraId="3CF3E834">
            <w:pPr>
              <w:pStyle w:val="6"/>
              <w:spacing w:before="60" w:line="232" w:lineRule="auto"/>
              <w:ind w:left="234"/>
            </w:pPr>
            <w:r>
              <w:rPr>
                <w:spacing w:val="-8"/>
              </w:rPr>
              <w:t>1.0</w:t>
            </w:r>
          </w:p>
        </w:tc>
        <w:tc>
          <w:tcPr>
            <w:tcW w:w="847" w:type="dxa"/>
            <w:tcBorders>
              <w:bottom w:val="single" w:color="000000" w:sz="12" w:space="0"/>
            </w:tcBorders>
            <w:shd w:val="clear" w:color="auto" w:fill="DBE5F1"/>
            <w:vAlign w:val="top"/>
          </w:tcPr>
          <w:p w14:paraId="00C1061E">
            <w:pPr>
              <w:spacing w:line="250" w:lineRule="auto"/>
              <w:rPr>
                <w:rFonts w:ascii="Arial"/>
                <w:sz w:val="21"/>
              </w:rPr>
            </w:pPr>
          </w:p>
          <w:p w14:paraId="22771175">
            <w:pPr>
              <w:pStyle w:val="6"/>
              <w:spacing w:before="60" w:line="232" w:lineRule="auto"/>
              <w:ind w:left="305"/>
            </w:pPr>
            <w:r>
              <w:rPr>
                <w:spacing w:val="-8"/>
              </w:rPr>
              <w:t>1.0</w:t>
            </w:r>
          </w:p>
        </w:tc>
        <w:tc>
          <w:tcPr>
            <w:tcW w:w="565" w:type="dxa"/>
            <w:tcBorders>
              <w:bottom w:val="single" w:color="000000" w:sz="12" w:space="0"/>
            </w:tcBorders>
            <w:shd w:val="clear" w:color="auto" w:fill="DBE5F1"/>
            <w:vAlign w:val="top"/>
          </w:tcPr>
          <w:p w14:paraId="11155CE6">
            <w:pPr>
              <w:spacing w:line="250" w:lineRule="auto"/>
              <w:rPr>
                <w:rFonts w:ascii="Arial"/>
                <w:sz w:val="21"/>
              </w:rPr>
            </w:pPr>
          </w:p>
          <w:p w14:paraId="6FB4ED5B">
            <w:pPr>
              <w:pStyle w:val="6"/>
              <w:spacing w:before="60" w:line="232" w:lineRule="auto"/>
              <w:ind w:left="121"/>
            </w:pPr>
            <w:r>
              <w:rPr>
                <w:spacing w:val="-1"/>
              </w:rPr>
              <w:t>250</w:t>
            </w:r>
          </w:p>
        </w:tc>
        <w:tc>
          <w:tcPr>
            <w:tcW w:w="567" w:type="dxa"/>
            <w:tcBorders>
              <w:bottom w:val="single" w:color="000000" w:sz="12" w:space="0"/>
            </w:tcBorders>
            <w:shd w:val="clear" w:color="auto" w:fill="DBE5F1"/>
            <w:vAlign w:val="top"/>
          </w:tcPr>
          <w:p w14:paraId="39AFF827">
            <w:pPr>
              <w:spacing w:line="250" w:lineRule="auto"/>
              <w:rPr>
                <w:rFonts w:ascii="Arial"/>
                <w:sz w:val="21"/>
              </w:rPr>
            </w:pPr>
          </w:p>
          <w:p w14:paraId="4284ECBA">
            <w:pPr>
              <w:pStyle w:val="6"/>
              <w:spacing w:before="60" w:line="232" w:lineRule="auto"/>
              <w:ind w:left="122"/>
            </w:pPr>
            <w:r>
              <w:rPr>
                <w:spacing w:val="-1"/>
              </w:rPr>
              <w:t>250</w:t>
            </w:r>
          </w:p>
        </w:tc>
        <w:tc>
          <w:tcPr>
            <w:tcW w:w="851" w:type="dxa"/>
            <w:tcBorders>
              <w:bottom w:val="single" w:color="000000" w:sz="12" w:space="0"/>
            </w:tcBorders>
            <w:shd w:val="clear" w:color="auto" w:fill="DBE5F1"/>
            <w:vAlign w:val="top"/>
          </w:tcPr>
          <w:p w14:paraId="7B736F6A">
            <w:pPr>
              <w:spacing w:line="250" w:lineRule="auto"/>
              <w:rPr>
                <w:rFonts w:ascii="Arial"/>
                <w:sz w:val="21"/>
              </w:rPr>
            </w:pPr>
          </w:p>
          <w:p w14:paraId="09741E1F">
            <w:pPr>
              <w:pStyle w:val="6"/>
              <w:spacing w:before="60" w:line="232" w:lineRule="auto"/>
              <w:ind w:left="233"/>
            </w:pPr>
            <w:r>
              <w:rPr>
                <w:spacing w:val="-5"/>
              </w:rPr>
              <w:t>1000</w:t>
            </w:r>
          </w:p>
        </w:tc>
        <w:tc>
          <w:tcPr>
            <w:tcW w:w="566" w:type="dxa"/>
            <w:tcBorders>
              <w:bottom w:val="single" w:color="000000" w:sz="12" w:space="0"/>
            </w:tcBorders>
            <w:shd w:val="clear" w:color="auto" w:fill="DBE5F1"/>
            <w:vAlign w:val="top"/>
          </w:tcPr>
          <w:p w14:paraId="01B1CE6C">
            <w:pPr>
              <w:spacing w:line="250" w:lineRule="auto"/>
              <w:rPr>
                <w:rFonts w:ascii="Arial"/>
                <w:sz w:val="21"/>
              </w:rPr>
            </w:pPr>
          </w:p>
          <w:p w14:paraId="33FC2929">
            <w:pPr>
              <w:pStyle w:val="6"/>
              <w:spacing w:before="60" w:line="232" w:lineRule="auto"/>
              <w:ind w:left="123"/>
            </w:pPr>
            <w:r>
              <w:rPr>
                <w:spacing w:val="-1"/>
              </w:rPr>
              <w:t>450</w:t>
            </w:r>
          </w:p>
        </w:tc>
        <w:tc>
          <w:tcPr>
            <w:tcW w:w="567" w:type="dxa"/>
            <w:tcBorders>
              <w:bottom w:val="single" w:color="000000" w:sz="12" w:space="0"/>
            </w:tcBorders>
            <w:shd w:val="clear" w:color="auto" w:fill="DBE5F1"/>
            <w:vAlign w:val="top"/>
          </w:tcPr>
          <w:p w14:paraId="1C98915E">
            <w:pPr>
              <w:spacing w:line="250" w:lineRule="auto"/>
              <w:rPr>
                <w:rFonts w:ascii="Arial"/>
                <w:sz w:val="21"/>
              </w:rPr>
            </w:pPr>
          </w:p>
          <w:p w14:paraId="0737E5C1">
            <w:pPr>
              <w:pStyle w:val="6"/>
              <w:spacing w:before="60" w:line="232" w:lineRule="auto"/>
              <w:ind w:left="233"/>
            </w:pPr>
            <w:r>
              <w:t>3</w:t>
            </w:r>
          </w:p>
        </w:tc>
        <w:tc>
          <w:tcPr>
            <w:tcW w:w="851" w:type="dxa"/>
            <w:tcBorders>
              <w:bottom w:val="single" w:color="000000" w:sz="12" w:space="0"/>
            </w:tcBorders>
            <w:shd w:val="clear" w:color="auto" w:fill="DBE5F1"/>
            <w:vAlign w:val="top"/>
          </w:tcPr>
          <w:p w14:paraId="7DEDF891">
            <w:pPr>
              <w:spacing w:line="250" w:lineRule="auto"/>
              <w:rPr>
                <w:rFonts w:ascii="Arial"/>
                <w:sz w:val="21"/>
              </w:rPr>
            </w:pPr>
          </w:p>
          <w:p w14:paraId="2453694A">
            <w:pPr>
              <w:pStyle w:val="6"/>
              <w:spacing w:before="60" w:line="232" w:lineRule="auto"/>
              <w:ind w:left="192"/>
            </w:pPr>
            <w:r>
              <w:rPr>
                <w:spacing w:val="-2"/>
              </w:rPr>
              <w:t>0.002</w:t>
            </w:r>
          </w:p>
        </w:tc>
        <w:tc>
          <w:tcPr>
            <w:tcW w:w="707" w:type="dxa"/>
            <w:tcBorders>
              <w:bottom w:val="single" w:color="000000" w:sz="12" w:space="0"/>
            </w:tcBorders>
            <w:shd w:val="clear" w:color="auto" w:fill="DBE5F1"/>
            <w:vAlign w:val="top"/>
          </w:tcPr>
          <w:p w14:paraId="5C7D22BE">
            <w:pPr>
              <w:spacing w:line="250" w:lineRule="auto"/>
              <w:rPr>
                <w:rFonts w:ascii="Arial"/>
                <w:sz w:val="21"/>
              </w:rPr>
            </w:pPr>
          </w:p>
          <w:p w14:paraId="34666CE3">
            <w:pPr>
              <w:pStyle w:val="6"/>
              <w:spacing w:before="60" w:line="232" w:lineRule="auto"/>
              <w:ind w:left="225"/>
            </w:pPr>
            <w:r>
              <w:rPr>
                <w:spacing w:val="-3"/>
              </w:rPr>
              <w:t>0.3</w:t>
            </w:r>
          </w:p>
        </w:tc>
        <w:tc>
          <w:tcPr>
            <w:tcW w:w="708" w:type="dxa"/>
            <w:tcBorders>
              <w:bottom w:val="single" w:color="000000" w:sz="12" w:space="0"/>
            </w:tcBorders>
            <w:shd w:val="clear" w:color="auto" w:fill="DBE5F1"/>
            <w:vAlign w:val="top"/>
          </w:tcPr>
          <w:p w14:paraId="2A3EB8B1">
            <w:pPr>
              <w:spacing w:line="250" w:lineRule="auto"/>
              <w:rPr>
                <w:rFonts w:ascii="Arial"/>
                <w:sz w:val="21"/>
              </w:rPr>
            </w:pPr>
          </w:p>
          <w:p w14:paraId="6408589A">
            <w:pPr>
              <w:pStyle w:val="6"/>
              <w:spacing w:before="60" w:line="232" w:lineRule="auto"/>
              <w:ind w:left="176"/>
            </w:pPr>
            <w:r>
              <w:rPr>
                <w:spacing w:val="-2"/>
              </w:rPr>
              <w:t>0.01</w:t>
            </w:r>
          </w:p>
        </w:tc>
        <w:tc>
          <w:tcPr>
            <w:tcW w:w="851" w:type="dxa"/>
            <w:tcBorders>
              <w:bottom w:val="single" w:color="000000" w:sz="12" w:space="0"/>
            </w:tcBorders>
            <w:shd w:val="clear" w:color="auto" w:fill="DBE5F1"/>
            <w:vAlign w:val="top"/>
          </w:tcPr>
          <w:p w14:paraId="7389F883">
            <w:pPr>
              <w:spacing w:line="250" w:lineRule="auto"/>
              <w:rPr>
                <w:rFonts w:ascii="Arial"/>
                <w:sz w:val="21"/>
              </w:rPr>
            </w:pPr>
          </w:p>
          <w:p w14:paraId="760BBEAA">
            <w:pPr>
              <w:pStyle w:val="6"/>
              <w:spacing w:before="60" w:line="232" w:lineRule="auto"/>
              <w:ind w:left="196"/>
            </w:pPr>
            <w:r>
              <w:rPr>
                <w:spacing w:val="-2"/>
              </w:rPr>
              <w:t>0.005</w:t>
            </w:r>
          </w:p>
        </w:tc>
        <w:tc>
          <w:tcPr>
            <w:tcW w:w="708" w:type="dxa"/>
            <w:tcBorders>
              <w:bottom w:val="single" w:color="000000" w:sz="12" w:space="0"/>
            </w:tcBorders>
            <w:shd w:val="clear" w:color="auto" w:fill="DBE5F1"/>
            <w:vAlign w:val="top"/>
          </w:tcPr>
          <w:p w14:paraId="19BFBB0E">
            <w:pPr>
              <w:spacing w:line="250" w:lineRule="auto"/>
              <w:rPr>
                <w:rFonts w:ascii="Arial"/>
                <w:sz w:val="21"/>
              </w:rPr>
            </w:pPr>
          </w:p>
          <w:p w14:paraId="49A0F068">
            <w:pPr>
              <w:pStyle w:val="6"/>
              <w:spacing w:before="60" w:line="232" w:lineRule="auto"/>
              <w:ind w:left="178"/>
            </w:pPr>
            <w:r>
              <w:rPr>
                <w:spacing w:val="-2"/>
              </w:rPr>
              <w:t>0.05</w:t>
            </w:r>
          </w:p>
        </w:tc>
        <w:tc>
          <w:tcPr>
            <w:tcW w:w="851" w:type="dxa"/>
            <w:tcBorders>
              <w:bottom w:val="single" w:color="000000" w:sz="12" w:space="0"/>
            </w:tcBorders>
            <w:shd w:val="clear" w:color="auto" w:fill="DBE5F1"/>
            <w:vAlign w:val="top"/>
          </w:tcPr>
          <w:p w14:paraId="54EAD919">
            <w:pPr>
              <w:spacing w:line="250" w:lineRule="auto"/>
              <w:rPr>
                <w:rFonts w:ascii="Arial"/>
                <w:sz w:val="21"/>
              </w:rPr>
            </w:pPr>
          </w:p>
          <w:p w14:paraId="26B0EFDB">
            <w:pPr>
              <w:pStyle w:val="6"/>
              <w:spacing w:before="60" w:line="232" w:lineRule="auto"/>
              <w:ind w:left="250"/>
            </w:pPr>
            <w:r>
              <w:rPr>
                <w:spacing w:val="-2"/>
              </w:rPr>
              <w:t>0.01</w:t>
            </w:r>
          </w:p>
        </w:tc>
        <w:tc>
          <w:tcPr>
            <w:tcW w:w="851" w:type="dxa"/>
            <w:tcBorders>
              <w:bottom w:val="single" w:color="000000" w:sz="12" w:space="0"/>
            </w:tcBorders>
            <w:shd w:val="clear" w:color="auto" w:fill="DBE5F1"/>
            <w:vAlign w:val="top"/>
          </w:tcPr>
          <w:p w14:paraId="795BCFE1">
            <w:pPr>
              <w:spacing w:line="250" w:lineRule="auto"/>
              <w:rPr>
                <w:rFonts w:ascii="Arial"/>
                <w:sz w:val="21"/>
              </w:rPr>
            </w:pPr>
          </w:p>
          <w:p w14:paraId="0C818CA5">
            <w:pPr>
              <w:pStyle w:val="6"/>
              <w:spacing w:before="60" w:line="232" w:lineRule="auto"/>
              <w:ind w:left="198"/>
            </w:pPr>
            <w:r>
              <w:rPr>
                <w:spacing w:val="-2"/>
              </w:rPr>
              <w:t>0.001</w:t>
            </w:r>
          </w:p>
        </w:tc>
        <w:tc>
          <w:tcPr>
            <w:tcW w:w="847" w:type="dxa"/>
            <w:tcBorders>
              <w:bottom w:val="single" w:color="000000" w:sz="12" w:space="0"/>
            </w:tcBorders>
            <w:shd w:val="clear" w:color="auto" w:fill="DBE5F1"/>
            <w:vAlign w:val="top"/>
          </w:tcPr>
          <w:p w14:paraId="0F701AAA">
            <w:pPr>
              <w:spacing w:line="250" w:lineRule="auto"/>
              <w:rPr>
                <w:rFonts w:ascii="Arial"/>
                <w:sz w:val="21"/>
              </w:rPr>
            </w:pPr>
          </w:p>
          <w:p w14:paraId="12D967D4">
            <w:pPr>
              <w:pStyle w:val="6"/>
              <w:spacing w:before="60" w:line="232" w:lineRule="auto"/>
              <w:ind w:left="250"/>
            </w:pPr>
            <w:r>
              <w:rPr>
                <w:spacing w:val="-2"/>
              </w:rPr>
              <w:t>0.01</w:t>
            </w:r>
          </w:p>
        </w:tc>
        <w:tc>
          <w:tcPr>
            <w:tcW w:w="708" w:type="dxa"/>
            <w:tcBorders>
              <w:bottom w:val="single" w:color="000000" w:sz="12" w:space="0"/>
            </w:tcBorders>
            <w:shd w:val="clear" w:color="auto" w:fill="DBE5F1"/>
            <w:vAlign w:val="top"/>
          </w:tcPr>
          <w:p w14:paraId="5217995A">
            <w:pPr>
              <w:spacing w:line="250" w:lineRule="auto"/>
              <w:rPr>
                <w:rFonts w:ascii="Arial"/>
                <w:sz w:val="21"/>
              </w:rPr>
            </w:pPr>
          </w:p>
          <w:p w14:paraId="6FF42A3F">
            <w:pPr>
              <w:pStyle w:val="6"/>
              <w:spacing w:before="60" w:line="232" w:lineRule="auto"/>
              <w:ind w:left="182"/>
            </w:pPr>
            <w:r>
              <w:rPr>
                <w:spacing w:val="-2"/>
              </w:rPr>
              <w:t>0.05</w:t>
            </w:r>
          </w:p>
        </w:tc>
        <w:tc>
          <w:tcPr>
            <w:tcW w:w="566" w:type="dxa"/>
            <w:tcBorders>
              <w:bottom w:val="single" w:color="000000" w:sz="12" w:space="0"/>
            </w:tcBorders>
            <w:shd w:val="clear" w:color="auto" w:fill="DBE5F1"/>
            <w:vAlign w:val="top"/>
          </w:tcPr>
          <w:p w14:paraId="2C3820F5">
            <w:pPr>
              <w:spacing w:line="250" w:lineRule="auto"/>
              <w:rPr>
                <w:rFonts w:ascii="Arial"/>
                <w:sz w:val="21"/>
              </w:rPr>
            </w:pPr>
          </w:p>
          <w:p w14:paraId="0C1D4453">
            <w:pPr>
              <w:pStyle w:val="6"/>
              <w:spacing w:before="60" w:line="232" w:lineRule="auto"/>
              <w:ind w:left="181"/>
            </w:pPr>
            <w:r>
              <w:rPr>
                <w:spacing w:val="-8"/>
              </w:rPr>
              <w:t>1.0</w:t>
            </w:r>
          </w:p>
        </w:tc>
        <w:tc>
          <w:tcPr>
            <w:tcW w:w="428" w:type="dxa"/>
            <w:tcBorders>
              <w:bottom w:val="single" w:color="000000" w:sz="12" w:space="0"/>
            </w:tcBorders>
            <w:shd w:val="clear" w:color="auto" w:fill="DBE5F1"/>
            <w:vAlign w:val="top"/>
          </w:tcPr>
          <w:p w14:paraId="6290B210">
            <w:pPr>
              <w:spacing w:line="250" w:lineRule="auto"/>
              <w:rPr>
                <w:rFonts w:ascii="Arial"/>
                <w:sz w:val="21"/>
              </w:rPr>
            </w:pPr>
          </w:p>
          <w:p w14:paraId="60BD28DA">
            <w:pPr>
              <w:pStyle w:val="6"/>
              <w:spacing w:before="60" w:line="232" w:lineRule="auto"/>
              <w:ind w:left="138"/>
            </w:pPr>
            <w:r>
              <w:rPr>
                <w:spacing w:val="-6"/>
              </w:rPr>
              <w:t>10</w:t>
            </w:r>
          </w:p>
        </w:tc>
        <w:tc>
          <w:tcPr>
            <w:tcW w:w="570" w:type="dxa"/>
            <w:tcBorders>
              <w:bottom w:val="single" w:color="000000" w:sz="12" w:space="0"/>
            </w:tcBorders>
            <w:shd w:val="clear" w:color="auto" w:fill="DBE5F1"/>
            <w:vAlign w:val="top"/>
          </w:tcPr>
          <w:p w14:paraId="1490AB6E">
            <w:pPr>
              <w:spacing w:before="142" w:line="220" w:lineRule="auto"/>
              <w:ind w:left="92"/>
              <w:rPr>
                <w:rFonts w:ascii="宋体" w:hAnsi="宋体" w:eastAsia="宋体" w:cs="宋体"/>
                <w:sz w:val="21"/>
                <w:szCs w:val="21"/>
              </w:rPr>
            </w:pPr>
            <w:r>
              <w:rPr>
                <w:rFonts w:ascii="宋体" w:hAnsi="宋体" w:eastAsia="宋体" w:cs="宋体"/>
                <w:spacing w:val="-3"/>
                <w:sz w:val="21"/>
                <w:szCs w:val="21"/>
              </w:rPr>
              <w:t>不得</w:t>
            </w:r>
          </w:p>
          <w:p w14:paraId="00A3793E">
            <w:pPr>
              <w:spacing w:before="20" w:line="220" w:lineRule="auto"/>
              <w:ind w:left="88"/>
              <w:rPr>
                <w:rFonts w:ascii="宋体" w:hAnsi="宋体" w:eastAsia="宋体" w:cs="宋体"/>
                <w:sz w:val="21"/>
                <w:szCs w:val="21"/>
              </w:rPr>
            </w:pPr>
            <w:r>
              <w:rPr>
                <w:rFonts w:ascii="宋体" w:hAnsi="宋体" w:eastAsia="宋体" w:cs="宋体"/>
                <w:spacing w:val="-3"/>
                <w:sz w:val="21"/>
                <w:szCs w:val="21"/>
              </w:rPr>
              <w:t>检出</w:t>
            </w:r>
          </w:p>
        </w:tc>
        <w:tc>
          <w:tcPr>
            <w:tcW w:w="559" w:type="dxa"/>
            <w:gridSpan w:val="2"/>
            <w:tcBorders>
              <w:bottom w:val="single" w:color="000000" w:sz="12" w:space="0"/>
              <w:right w:val="single" w:color="000000" w:sz="12" w:space="0"/>
            </w:tcBorders>
            <w:shd w:val="clear" w:color="auto" w:fill="DBE5F1"/>
            <w:vAlign w:val="top"/>
          </w:tcPr>
          <w:p w14:paraId="6CCA92B6">
            <w:pPr>
              <w:spacing w:line="250" w:lineRule="auto"/>
              <w:rPr>
                <w:rFonts w:ascii="Arial"/>
                <w:sz w:val="21"/>
              </w:rPr>
            </w:pPr>
          </w:p>
          <w:p w14:paraId="21465C57">
            <w:pPr>
              <w:pStyle w:val="6"/>
              <w:spacing w:before="60" w:line="232" w:lineRule="auto"/>
              <w:ind w:left="143"/>
            </w:pPr>
            <w:r>
              <w:rPr>
                <w:spacing w:val="-6"/>
              </w:rPr>
              <w:t>100</w:t>
            </w:r>
          </w:p>
        </w:tc>
      </w:tr>
    </w:tbl>
    <w:p w14:paraId="2E0874EF">
      <w:pPr>
        <w:pStyle w:val="2"/>
        <w:spacing w:before="34"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17"/>
          <w:sz w:val="24"/>
          <w:szCs w:val="24"/>
        </w:rPr>
        <w:t xml:space="preserve"> </w:t>
      </w:r>
      <w:r>
        <w:rPr>
          <w:spacing w:val="-1"/>
          <w:sz w:val="24"/>
          <w:szCs w:val="24"/>
        </w:rPr>
        <w:t>、输水隧洞出口生产区生活饮用水供水处</w:t>
      </w:r>
      <w:r>
        <w:rPr>
          <w:spacing w:val="-54"/>
          <w:sz w:val="24"/>
          <w:szCs w:val="24"/>
        </w:rPr>
        <w:t xml:space="preserve"> </w:t>
      </w:r>
      <w:r>
        <w:rPr>
          <w:rFonts w:ascii="Times New Roman" w:hAnsi="Times New Roman" w:eastAsia="Times New Roman" w:cs="Times New Roman"/>
          <w:spacing w:val="-1"/>
          <w:sz w:val="24"/>
          <w:szCs w:val="24"/>
        </w:rPr>
        <w:t xml:space="preserve">2020 </w:t>
      </w:r>
      <w:r>
        <w:rPr>
          <w:spacing w:val="-1"/>
          <w:sz w:val="24"/>
          <w:szCs w:val="24"/>
        </w:rPr>
        <w:t>年</w:t>
      </w:r>
      <w:r>
        <w:rPr>
          <w:spacing w:val="-57"/>
          <w:sz w:val="24"/>
          <w:szCs w:val="24"/>
        </w:rPr>
        <w:t xml:space="preserve"> </w:t>
      </w:r>
      <w:r>
        <w:rPr>
          <w:rFonts w:ascii="Times New Roman" w:hAnsi="Times New Roman" w:eastAsia="Times New Roman" w:cs="Times New Roman"/>
          <w:spacing w:val="-1"/>
          <w:sz w:val="24"/>
          <w:szCs w:val="24"/>
        </w:rPr>
        <w:t xml:space="preserve">4 </w:t>
      </w:r>
      <w:r>
        <w:rPr>
          <w:spacing w:val="-1"/>
          <w:sz w:val="24"/>
          <w:szCs w:val="24"/>
        </w:rPr>
        <w:t>季度未监测；</w:t>
      </w:r>
      <w:r>
        <w:rPr>
          <w:rFonts w:ascii="Times New Roman" w:hAnsi="Times New Roman" w:eastAsia="Times New Roman" w:cs="Times New Roman"/>
          <w:spacing w:val="-1"/>
          <w:sz w:val="24"/>
          <w:szCs w:val="24"/>
        </w:rPr>
        <w:t>2</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3</w:t>
      </w:r>
      <w:r>
        <w:rPr>
          <w:spacing w:val="-1"/>
          <w:sz w:val="24"/>
          <w:szCs w:val="24"/>
        </w:rPr>
        <w:t>、加粗字体表示监测结果超标。</w:t>
      </w:r>
    </w:p>
    <w:p w14:paraId="098EA260">
      <w:pPr>
        <w:spacing w:line="233" w:lineRule="auto"/>
        <w:rPr>
          <w:sz w:val="24"/>
          <w:szCs w:val="24"/>
        </w:rPr>
        <w:sectPr>
          <w:footerReference r:id="rId276" w:type="default"/>
          <w:pgSz w:w="23814" w:h="16840"/>
          <w:pgMar w:top="1376" w:right="1669" w:bottom="1061" w:left="1671" w:header="999" w:footer="861" w:gutter="0"/>
          <w:cols w:space="720" w:num="1"/>
        </w:sectPr>
      </w:pPr>
    </w:p>
    <w:p w14:paraId="2AFE3B4D">
      <w:pPr>
        <w:spacing w:line="297" w:lineRule="auto"/>
        <w:rPr>
          <w:rFonts w:ascii="Arial"/>
          <w:sz w:val="21"/>
        </w:rPr>
      </w:pPr>
    </w:p>
    <w:p w14:paraId="7DF9ED8A">
      <w:pPr>
        <w:spacing w:line="298" w:lineRule="auto"/>
        <w:rPr>
          <w:rFonts w:ascii="Arial"/>
          <w:sz w:val="21"/>
        </w:rPr>
      </w:pPr>
    </w:p>
    <w:p w14:paraId="40EFD9E8">
      <w:pPr>
        <w:spacing w:line="298" w:lineRule="auto"/>
        <w:rPr>
          <w:rFonts w:ascii="Arial"/>
          <w:sz w:val="21"/>
        </w:rPr>
      </w:pPr>
    </w:p>
    <w:p w14:paraId="0B5070E5">
      <w:pPr>
        <w:pStyle w:val="2"/>
        <w:spacing w:before="78" w:line="212" w:lineRule="auto"/>
        <w:ind w:left="279"/>
        <w:rPr>
          <w:rFonts w:ascii="Times New Roman" w:hAnsi="Times New Roman" w:eastAsia="Times New Roman" w:cs="Times New Roman"/>
          <w:sz w:val="24"/>
          <w:szCs w:val="24"/>
        </w:rPr>
      </w:pPr>
      <w:r>
        <w:rPr>
          <w:b/>
          <w:bCs/>
          <w:sz w:val="24"/>
          <w:szCs w:val="24"/>
        </w:rPr>
        <w:t>表</w:t>
      </w:r>
      <w:r>
        <w:rPr>
          <w:spacing w:val="-50"/>
          <w:sz w:val="24"/>
          <w:szCs w:val="24"/>
        </w:rPr>
        <w:t xml:space="preserve"> </w:t>
      </w:r>
      <w:r>
        <w:rPr>
          <w:rFonts w:ascii="Times New Roman" w:hAnsi="Times New Roman" w:eastAsia="Times New Roman" w:cs="Times New Roman"/>
          <w:b/>
          <w:bCs/>
          <w:sz w:val="24"/>
          <w:szCs w:val="24"/>
        </w:rPr>
        <w:t>6.2-19                                                                                                        2021</w:t>
      </w:r>
      <w:r>
        <w:rPr>
          <w:rFonts w:ascii="Times New Roman" w:hAnsi="Times New Roman" w:eastAsia="Times New Roman" w:cs="Times New Roman"/>
          <w:b/>
          <w:bCs/>
          <w:spacing w:val="11"/>
          <w:sz w:val="24"/>
          <w:szCs w:val="24"/>
        </w:rPr>
        <w:t xml:space="preserve"> </w:t>
      </w:r>
      <w:r>
        <w:rPr>
          <w:b/>
          <w:bCs/>
          <w:sz w:val="24"/>
          <w:szCs w:val="24"/>
        </w:rPr>
        <w:t>年施工营地饮用水供水处水质监测结果</w:t>
      </w:r>
      <w:r>
        <w:rPr>
          <w:sz w:val="24"/>
          <w:szCs w:val="24"/>
        </w:rPr>
        <w:t xml:space="preserve">                                                      </w:t>
      </w:r>
      <w:r>
        <w:rPr>
          <w:spacing w:val="-1"/>
          <w:sz w:val="24"/>
          <w:szCs w:val="24"/>
        </w:rPr>
        <w:t xml:space="preserve">  </w:t>
      </w:r>
      <w:r>
        <w:rPr>
          <w:b/>
          <w:bCs/>
          <w:spacing w:val="-1"/>
          <w:sz w:val="24"/>
          <w:szCs w:val="24"/>
        </w:rPr>
        <w:t>单位：</w:t>
      </w:r>
      <w:r>
        <w:rPr>
          <w:rFonts w:ascii="Times New Roman" w:hAnsi="Times New Roman" w:eastAsia="Times New Roman" w:cs="Times New Roman"/>
          <w:b/>
          <w:bCs/>
          <w:spacing w:val="-1"/>
          <w:sz w:val="24"/>
          <w:szCs w:val="24"/>
        </w:rPr>
        <w:t>mg/L</w:t>
      </w:r>
    </w:p>
    <w:p w14:paraId="5F85AEFD">
      <w:pPr>
        <w:spacing w:line="17" w:lineRule="exact"/>
      </w:pPr>
    </w:p>
    <w:tbl>
      <w:tblPr>
        <w:tblStyle w:val="5"/>
        <w:tblW w:w="2038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285"/>
        <w:gridCol w:w="1131"/>
        <w:gridCol w:w="570"/>
        <w:gridCol w:w="703"/>
        <w:gridCol w:w="708"/>
        <w:gridCol w:w="708"/>
        <w:gridCol w:w="851"/>
        <w:gridCol w:w="851"/>
        <w:gridCol w:w="708"/>
        <w:gridCol w:w="707"/>
        <w:gridCol w:w="567"/>
        <w:gridCol w:w="566"/>
        <w:gridCol w:w="851"/>
        <w:gridCol w:w="567"/>
        <w:gridCol w:w="708"/>
        <w:gridCol w:w="851"/>
        <w:gridCol w:w="990"/>
        <w:gridCol w:w="566"/>
        <w:gridCol w:w="851"/>
        <w:gridCol w:w="704"/>
        <w:gridCol w:w="851"/>
        <w:gridCol w:w="851"/>
        <w:gridCol w:w="846"/>
        <w:gridCol w:w="684"/>
        <w:gridCol w:w="460"/>
        <w:gridCol w:w="428"/>
        <w:gridCol w:w="447"/>
        <w:gridCol w:w="666"/>
      </w:tblGrid>
      <w:tr w14:paraId="00B5F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707" w:type="dxa"/>
            <w:tcBorders>
              <w:top w:val="single" w:color="000000" w:sz="12" w:space="0"/>
              <w:left w:val="single" w:color="000000" w:sz="12" w:space="0"/>
            </w:tcBorders>
            <w:vAlign w:val="top"/>
          </w:tcPr>
          <w:p w14:paraId="43E357BA">
            <w:pPr>
              <w:spacing w:line="332" w:lineRule="auto"/>
              <w:rPr>
                <w:rFonts w:ascii="Arial"/>
                <w:sz w:val="21"/>
              </w:rPr>
            </w:pPr>
          </w:p>
          <w:p w14:paraId="328B06DA">
            <w:pPr>
              <w:spacing w:before="58" w:line="242" w:lineRule="auto"/>
              <w:ind w:left="251" w:right="82" w:hanging="179"/>
              <w:rPr>
                <w:rFonts w:ascii="宋体" w:hAnsi="宋体" w:eastAsia="宋体" w:cs="宋体"/>
                <w:sz w:val="18"/>
                <w:szCs w:val="18"/>
              </w:rPr>
            </w:pPr>
            <w:r>
              <w:rPr>
                <w:rFonts w:ascii="宋体" w:hAnsi="宋体" w:eastAsia="宋体" w:cs="宋体"/>
                <w:spacing w:val="-3"/>
                <w:sz w:val="18"/>
                <w:szCs w:val="18"/>
              </w:rPr>
              <w:t>监测点</w:t>
            </w:r>
            <w:r>
              <w:rPr>
                <w:rFonts w:ascii="宋体" w:hAnsi="宋体" w:eastAsia="宋体" w:cs="宋体"/>
                <w:sz w:val="18"/>
                <w:szCs w:val="18"/>
              </w:rPr>
              <w:t>位</w:t>
            </w:r>
          </w:p>
        </w:tc>
        <w:tc>
          <w:tcPr>
            <w:tcW w:w="1416" w:type="dxa"/>
            <w:gridSpan w:val="2"/>
            <w:tcBorders>
              <w:top w:val="single" w:color="000000" w:sz="12" w:space="0"/>
            </w:tcBorders>
            <w:vAlign w:val="top"/>
          </w:tcPr>
          <w:p w14:paraId="334D8F43">
            <w:pPr>
              <w:spacing w:line="448" w:lineRule="auto"/>
              <w:rPr>
                <w:rFonts w:ascii="Arial"/>
                <w:sz w:val="21"/>
              </w:rPr>
            </w:pPr>
          </w:p>
          <w:p w14:paraId="7AB584C0">
            <w:pPr>
              <w:spacing w:before="59" w:line="221" w:lineRule="auto"/>
              <w:ind w:left="335"/>
              <w:rPr>
                <w:rFonts w:ascii="宋体" w:hAnsi="宋体" w:eastAsia="宋体" w:cs="宋体"/>
                <w:sz w:val="18"/>
                <w:szCs w:val="18"/>
              </w:rPr>
            </w:pPr>
            <w:r>
              <w:rPr>
                <w:rFonts w:ascii="宋体" w:hAnsi="宋体" w:eastAsia="宋体" w:cs="宋体"/>
                <w:spacing w:val="-2"/>
                <w:sz w:val="18"/>
                <w:szCs w:val="18"/>
              </w:rPr>
              <w:t>监测时间</w:t>
            </w:r>
          </w:p>
        </w:tc>
        <w:tc>
          <w:tcPr>
            <w:tcW w:w="570" w:type="dxa"/>
            <w:tcBorders>
              <w:top w:val="single" w:color="000000" w:sz="12" w:space="0"/>
            </w:tcBorders>
            <w:vAlign w:val="top"/>
          </w:tcPr>
          <w:p w14:paraId="2B9E5775">
            <w:pPr>
              <w:spacing w:line="319" w:lineRule="auto"/>
              <w:rPr>
                <w:rFonts w:ascii="Arial"/>
                <w:sz w:val="21"/>
              </w:rPr>
            </w:pPr>
          </w:p>
          <w:p w14:paraId="5580C260">
            <w:pPr>
              <w:spacing w:before="61" w:line="245" w:lineRule="auto"/>
              <w:ind w:right="102" w:firstLine="104"/>
              <w:rPr>
                <w:rFonts w:ascii="等线" w:hAnsi="等线" w:eastAsia="等线" w:cs="等线"/>
                <w:sz w:val="18"/>
                <w:szCs w:val="18"/>
              </w:rPr>
            </w:pPr>
            <w:r>
              <w:rPr>
                <w:rFonts w:ascii="等线" w:hAnsi="等线" w:eastAsia="等线" w:cs="等线"/>
                <w:spacing w:val="-9"/>
                <w:sz w:val="18"/>
                <w:szCs w:val="18"/>
              </w:rPr>
              <w:t>色度</w:t>
            </w:r>
            <w:r>
              <w:rPr>
                <w:rFonts w:ascii="等线" w:hAnsi="等线" w:eastAsia="等线" w:cs="等线"/>
                <w:spacing w:val="-25"/>
                <w:w w:val="98"/>
                <w:sz w:val="18"/>
                <w:szCs w:val="18"/>
              </w:rPr>
              <w:t>（度）</w:t>
            </w:r>
          </w:p>
        </w:tc>
        <w:tc>
          <w:tcPr>
            <w:tcW w:w="703" w:type="dxa"/>
            <w:tcBorders>
              <w:top w:val="single" w:color="000000" w:sz="12" w:space="0"/>
            </w:tcBorders>
            <w:vAlign w:val="top"/>
          </w:tcPr>
          <w:p w14:paraId="4F345957">
            <w:pPr>
              <w:spacing w:line="339" w:lineRule="auto"/>
              <w:rPr>
                <w:rFonts w:ascii="Arial"/>
                <w:sz w:val="21"/>
              </w:rPr>
            </w:pPr>
          </w:p>
          <w:p w14:paraId="7407A1DC">
            <w:pPr>
              <w:pStyle w:val="6"/>
              <w:spacing w:before="61" w:line="247" w:lineRule="auto"/>
              <w:ind w:left="147" w:right="87" w:hanging="74"/>
              <w:rPr>
                <w:sz w:val="18"/>
                <w:szCs w:val="18"/>
              </w:rPr>
            </w:pPr>
            <w:r>
              <w:rPr>
                <w:rFonts w:ascii="等线" w:hAnsi="等线" w:eastAsia="等线" w:cs="等线"/>
                <w:spacing w:val="-3"/>
                <w:sz w:val="18"/>
                <w:szCs w:val="18"/>
              </w:rPr>
              <w:t>浑浊度</w:t>
            </w:r>
            <w:r>
              <w:rPr>
                <w:sz w:val="18"/>
                <w:szCs w:val="18"/>
              </w:rPr>
              <w:t>NTU</w:t>
            </w:r>
          </w:p>
        </w:tc>
        <w:tc>
          <w:tcPr>
            <w:tcW w:w="708" w:type="dxa"/>
            <w:tcBorders>
              <w:top w:val="single" w:color="000000" w:sz="12" w:space="0"/>
            </w:tcBorders>
            <w:vAlign w:val="top"/>
          </w:tcPr>
          <w:p w14:paraId="69FC9E2D">
            <w:pPr>
              <w:spacing w:line="441" w:lineRule="auto"/>
              <w:rPr>
                <w:rFonts w:ascii="Arial"/>
                <w:sz w:val="21"/>
              </w:rPr>
            </w:pPr>
          </w:p>
          <w:p w14:paraId="69B14B2D">
            <w:pPr>
              <w:pStyle w:val="6"/>
              <w:spacing w:before="61" w:line="216" w:lineRule="auto"/>
              <w:ind w:left="115"/>
              <w:rPr>
                <w:rFonts w:ascii="等线" w:hAnsi="等线" w:eastAsia="等线" w:cs="等线"/>
                <w:sz w:val="18"/>
                <w:szCs w:val="18"/>
              </w:rPr>
            </w:pPr>
            <w:r>
              <w:rPr>
                <w:sz w:val="18"/>
                <w:szCs w:val="18"/>
              </w:rPr>
              <w:t>pH</w:t>
            </w:r>
            <w:r>
              <w:rPr>
                <w:spacing w:val="1"/>
                <w:sz w:val="18"/>
                <w:szCs w:val="18"/>
              </w:rPr>
              <w:t xml:space="preserve"> </w:t>
            </w:r>
            <w:r>
              <w:rPr>
                <w:rFonts w:ascii="等线" w:hAnsi="等线" w:eastAsia="等线" w:cs="等线"/>
                <w:spacing w:val="1"/>
                <w:sz w:val="18"/>
                <w:szCs w:val="18"/>
              </w:rPr>
              <w:t>值</w:t>
            </w:r>
          </w:p>
        </w:tc>
        <w:tc>
          <w:tcPr>
            <w:tcW w:w="708" w:type="dxa"/>
            <w:tcBorders>
              <w:top w:val="single" w:color="000000" w:sz="12" w:space="0"/>
            </w:tcBorders>
            <w:vAlign w:val="top"/>
          </w:tcPr>
          <w:p w14:paraId="3B51F837">
            <w:pPr>
              <w:spacing w:line="441" w:lineRule="auto"/>
              <w:rPr>
                <w:rFonts w:ascii="Arial"/>
                <w:sz w:val="21"/>
              </w:rPr>
            </w:pPr>
          </w:p>
          <w:p w14:paraId="52A46610">
            <w:pPr>
              <w:spacing w:before="61" w:line="227" w:lineRule="auto"/>
              <w:ind w:left="256"/>
              <w:rPr>
                <w:rFonts w:ascii="等线" w:hAnsi="等线" w:eastAsia="等线" w:cs="等线"/>
                <w:sz w:val="18"/>
                <w:szCs w:val="18"/>
              </w:rPr>
            </w:pPr>
            <w:r>
              <w:rPr>
                <w:rFonts w:ascii="等线" w:hAnsi="等线" w:eastAsia="等线" w:cs="等线"/>
                <w:sz w:val="18"/>
                <w:szCs w:val="18"/>
              </w:rPr>
              <w:t>铝</w:t>
            </w:r>
          </w:p>
        </w:tc>
        <w:tc>
          <w:tcPr>
            <w:tcW w:w="851" w:type="dxa"/>
            <w:tcBorders>
              <w:top w:val="single" w:color="000000" w:sz="12" w:space="0"/>
            </w:tcBorders>
            <w:vAlign w:val="top"/>
          </w:tcPr>
          <w:p w14:paraId="513005AE">
            <w:pPr>
              <w:spacing w:line="441" w:lineRule="auto"/>
              <w:rPr>
                <w:rFonts w:ascii="Arial"/>
                <w:sz w:val="21"/>
              </w:rPr>
            </w:pPr>
          </w:p>
          <w:p w14:paraId="003444F7">
            <w:pPr>
              <w:spacing w:before="61" w:line="226" w:lineRule="auto"/>
              <w:ind w:left="327"/>
              <w:rPr>
                <w:rFonts w:ascii="等线" w:hAnsi="等线" w:eastAsia="等线" w:cs="等线"/>
                <w:sz w:val="18"/>
                <w:szCs w:val="18"/>
              </w:rPr>
            </w:pPr>
            <w:r>
              <w:rPr>
                <w:rFonts w:ascii="等线" w:hAnsi="等线" w:eastAsia="等线" w:cs="等线"/>
                <w:sz w:val="18"/>
                <w:szCs w:val="18"/>
              </w:rPr>
              <w:t>铁</w:t>
            </w:r>
          </w:p>
        </w:tc>
        <w:tc>
          <w:tcPr>
            <w:tcW w:w="851" w:type="dxa"/>
            <w:tcBorders>
              <w:top w:val="single" w:color="000000" w:sz="12" w:space="0"/>
            </w:tcBorders>
            <w:vAlign w:val="top"/>
          </w:tcPr>
          <w:p w14:paraId="15881E16">
            <w:pPr>
              <w:spacing w:line="441" w:lineRule="auto"/>
              <w:rPr>
                <w:rFonts w:ascii="Arial"/>
                <w:sz w:val="21"/>
              </w:rPr>
            </w:pPr>
          </w:p>
          <w:p w14:paraId="4CDD03C4">
            <w:pPr>
              <w:spacing w:before="61" w:line="234" w:lineRule="auto"/>
              <w:ind w:left="329"/>
              <w:rPr>
                <w:rFonts w:ascii="等线" w:hAnsi="等线" w:eastAsia="等线" w:cs="等线"/>
                <w:sz w:val="18"/>
                <w:szCs w:val="18"/>
              </w:rPr>
            </w:pPr>
            <w:r>
              <w:rPr>
                <w:rFonts w:ascii="等线" w:hAnsi="等线" w:eastAsia="等线" w:cs="等线"/>
                <w:sz w:val="18"/>
                <w:szCs w:val="18"/>
              </w:rPr>
              <w:t>锰</w:t>
            </w:r>
          </w:p>
        </w:tc>
        <w:tc>
          <w:tcPr>
            <w:tcW w:w="708" w:type="dxa"/>
            <w:tcBorders>
              <w:top w:val="single" w:color="000000" w:sz="12" w:space="0"/>
            </w:tcBorders>
            <w:vAlign w:val="top"/>
          </w:tcPr>
          <w:p w14:paraId="198D26E4">
            <w:pPr>
              <w:spacing w:line="442" w:lineRule="auto"/>
              <w:rPr>
                <w:rFonts w:ascii="Arial"/>
                <w:sz w:val="21"/>
              </w:rPr>
            </w:pPr>
          </w:p>
          <w:p w14:paraId="56B2FF51">
            <w:pPr>
              <w:spacing w:before="61" w:line="228" w:lineRule="auto"/>
              <w:ind w:left="259"/>
              <w:rPr>
                <w:rFonts w:ascii="等线" w:hAnsi="等线" w:eastAsia="等线" w:cs="等线"/>
                <w:sz w:val="18"/>
                <w:szCs w:val="18"/>
              </w:rPr>
            </w:pPr>
            <w:r>
              <w:rPr>
                <w:rFonts w:ascii="等线" w:hAnsi="等线" w:eastAsia="等线" w:cs="等线"/>
                <w:sz w:val="18"/>
                <w:szCs w:val="18"/>
              </w:rPr>
              <w:t>铜</w:t>
            </w:r>
          </w:p>
        </w:tc>
        <w:tc>
          <w:tcPr>
            <w:tcW w:w="707" w:type="dxa"/>
            <w:tcBorders>
              <w:top w:val="single" w:color="000000" w:sz="12" w:space="0"/>
            </w:tcBorders>
            <w:vAlign w:val="top"/>
          </w:tcPr>
          <w:p w14:paraId="36EE962F">
            <w:pPr>
              <w:spacing w:line="442" w:lineRule="auto"/>
              <w:rPr>
                <w:rFonts w:ascii="Arial"/>
                <w:sz w:val="21"/>
              </w:rPr>
            </w:pPr>
          </w:p>
          <w:p w14:paraId="0CDB8F44">
            <w:pPr>
              <w:spacing w:before="61" w:line="226" w:lineRule="auto"/>
              <w:ind w:left="260"/>
              <w:rPr>
                <w:rFonts w:ascii="等线" w:hAnsi="等线" w:eastAsia="等线" w:cs="等线"/>
                <w:sz w:val="18"/>
                <w:szCs w:val="18"/>
              </w:rPr>
            </w:pPr>
            <w:r>
              <w:rPr>
                <w:rFonts w:ascii="等线" w:hAnsi="等线" w:eastAsia="等线" w:cs="等线"/>
                <w:sz w:val="18"/>
                <w:szCs w:val="18"/>
              </w:rPr>
              <w:t>锌</w:t>
            </w:r>
          </w:p>
        </w:tc>
        <w:tc>
          <w:tcPr>
            <w:tcW w:w="567" w:type="dxa"/>
            <w:tcBorders>
              <w:top w:val="single" w:color="000000" w:sz="12" w:space="0"/>
            </w:tcBorders>
            <w:vAlign w:val="top"/>
          </w:tcPr>
          <w:p w14:paraId="146C150C">
            <w:pPr>
              <w:spacing w:line="441" w:lineRule="auto"/>
              <w:rPr>
                <w:rFonts w:ascii="Arial"/>
                <w:sz w:val="21"/>
              </w:rPr>
            </w:pPr>
          </w:p>
          <w:p w14:paraId="388D66DF">
            <w:pPr>
              <w:spacing w:before="61" w:line="228" w:lineRule="auto"/>
              <w:ind w:left="11"/>
              <w:rPr>
                <w:rFonts w:ascii="等线" w:hAnsi="等线" w:eastAsia="等线" w:cs="等线"/>
                <w:sz w:val="18"/>
                <w:szCs w:val="18"/>
              </w:rPr>
            </w:pPr>
            <w:r>
              <w:rPr>
                <w:rFonts w:ascii="等线" w:hAnsi="等线" w:eastAsia="等线" w:cs="等线"/>
                <w:spacing w:val="-2"/>
                <w:sz w:val="18"/>
                <w:szCs w:val="18"/>
              </w:rPr>
              <w:t>氯化物</w:t>
            </w:r>
          </w:p>
        </w:tc>
        <w:tc>
          <w:tcPr>
            <w:tcW w:w="566" w:type="dxa"/>
            <w:tcBorders>
              <w:top w:val="single" w:color="000000" w:sz="12" w:space="0"/>
            </w:tcBorders>
            <w:vAlign w:val="top"/>
          </w:tcPr>
          <w:p w14:paraId="760AF423">
            <w:pPr>
              <w:spacing w:line="442" w:lineRule="auto"/>
              <w:rPr>
                <w:rFonts w:ascii="Arial"/>
                <w:sz w:val="21"/>
              </w:rPr>
            </w:pPr>
          </w:p>
          <w:p w14:paraId="1C332D4A">
            <w:pPr>
              <w:spacing w:before="61" w:line="226" w:lineRule="auto"/>
              <w:ind w:left="11"/>
              <w:rPr>
                <w:rFonts w:ascii="等线" w:hAnsi="等线" w:eastAsia="等线" w:cs="等线"/>
                <w:sz w:val="18"/>
                <w:szCs w:val="18"/>
              </w:rPr>
            </w:pPr>
            <w:r>
              <w:rPr>
                <w:rFonts w:ascii="等线" w:hAnsi="等线" w:eastAsia="等线" w:cs="等线"/>
                <w:spacing w:val="-2"/>
                <w:sz w:val="18"/>
                <w:szCs w:val="18"/>
              </w:rPr>
              <w:t>硫酸盐</w:t>
            </w:r>
          </w:p>
        </w:tc>
        <w:tc>
          <w:tcPr>
            <w:tcW w:w="851" w:type="dxa"/>
            <w:tcBorders>
              <w:top w:val="single" w:color="000000" w:sz="12" w:space="0"/>
            </w:tcBorders>
            <w:vAlign w:val="top"/>
          </w:tcPr>
          <w:p w14:paraId="175811B3">
            <w:pPr>
              <w:spacing w:line="320" w:lineRule="auto"/>
              <w:rPr>
                <w:rFonts w:ascii="Arial"/>
                <w:sz w:val="21"/>
              </w:rPr>
            </w:pPr>
          </w:p>
          <w:p w14:paraId="0C5D2F9C">
            <w:pPr>
              <w:spacing w:before="61" w:line="247" w:lineRule="auto"/>
              <w:ind w:left="261" w:right="60" w:hanging="192"/>
              <w:rPr>
                <w:rFonts w:ascii="等线" w:hAnsi="等线" w:eastAsia="等线" w:cs="等线"/>
                <w:sz w:val="18"/>
                <w:szCs w:val="18"/>
              </w:rPr>
            </w:pPr>
            <w:r>
              <w:rPr>
                <w:rFonts w:ascii="等线" w:hAnsi="等线" w:eastAsia="等线" w:cs="等线"/>
                <w:spacing w:val="-3"/>
                <w:sz w:val="18"/>
                <w:szCs w:val="18"/>
              </w:rPr>
              <w:t>溶解性总</w:t>
            </w:r>
            <w:r>
              <w:rPr>
                <w:rFonts w:ascii="等线" w:hAnsi="等线" w:eastAsia="等线" w:cs="等线"/>
                <w:spacing w:val="-6"/>
                <w:sz w:val="18"/>
                <w:szCs w:val="18"/>
              </w:rPr>
              <w:t>固体</w:t>
            </w:r>
          </w:p>
        </w:tc>
        <w:tc>
          <w:tcPr>
            <w:tcW w:w="567" w:type="dxa"/>
            <w:tcBorders>
              <w:top w:val="single" w:color="000000" w:sz="12" w:space="0"/>
            </w:tcBorders>
            <w:vAlign w:val="top"/>
          </w:tcPr>
          <w:p w14:paraId="4476BB6E">
            <w:pPr>
              <w:spacing w:line="442" w:lineRule="auto"/>
              <w:rPr>
                <w:rFonts w:ascii="Arial"/>
                <w:sz w:val="21"/>
              </w:rPr>
            </w:pPr>
          </w:p>
          <w:p w14:paraId="6EACFA39">
            <w:pPr>
              <w:spacing w:before="61" w:line="225" w:lineRule="auto"/>
              <w:ind w:left="21"/>
              <w:rPr>
                <w:rFonts w:ascii="等线" w:hAnsi="等线" w:eastAsia="等线" w:cs="等线"/>
                <w:sz w:val="18"/>
                <w:szCs w:val="18"/>
              </w:rPr>
            </w:pPr>
            <w:r>
              <w:rPr>
                <w:rFonts w:ascii="等线" w:hAnsi="等线" w:eastAsia="等线" w:cs="等线"/>
                <w:spacing w:val="-3"/>
                <w:sz w:val="18"/>
                <w:szCs w:val="18"/>
              </w:rPr>
              <w:t>总硬度</w:t>
            </w:r>
          </w:p>
        </w:tc>
        <w:tc>
          <w:tcPr>
            <w:tcW w:w="708" w:type="dxa"/>
            <w:tcBorders>
              <w:top w:val="single" w:color="000000" w:sz="12" w:space="0"/>
            </w:tcBorders>
            <w:vAlign w:val="top"/>
          </w:tcPr>
          <w:p w14:paraId="2AE70EC1">
            <w:pPr>
              <w:spacing w:line="442" w:lineRule="auto"/>
              <w:rPr>
                <w:rFonts w:ascii="Arial"/>
                <w:sz w:val="21"/>
              </w:rPr>
            </w:pPr>
          </w:p>
          <w:p w14:paraId="2F1923EB">
            <w:pPr>
              <w:spacing w:before="61" w:line="225" w:lineRule="auto"/>
              <w:ind w:left="82"/>
              <w:rPr>
                <w:rFonts w:ascii="等线" w:hAnsi="等线" w:eastAsia="等线" w:cs="等线"/>
                <w:sz w:val="18"/>
                <w:szCs w:val="18"/>
              </w:rPr>
            </w:pPr>
            <w:r>
              <w:rPr>
                <w:rFonts w:ascii="等线" w:hAnsi="等线" w:eastAsia="等线" w:cs="等线"/>
                <w:spacing w:val="-1"/>
                <w:sz w:val="18"/>
                <w:szCs w:val="18"/>
              </w:rPr>
              <w:t>耗氧量</w:t>
            </w:r>
          </w:p>
        </w:tc>
        <w:tc>
          <w:tcPr>
            <w:tcW w:w="851" w:type="dxa"/>
            <w:tcBorders>
              <w:top w:val="single" w:color="000000" w:sz="12" w:space="0"/>
            </w:tcBorders>
            <w:vAlign w:val="top"/>
          </w:tcPr>
          <w:p w14:paraId="6050FBA4">
            <w:pPr>
              <w:spacing w:line="442" w:lineRule="auto"/>
              <w:rPr>
                <w:rFonts w:ascii="Arial"/>
                <w:sz w:val="21"/>
              </w:rPr>
            </w:pPr>
          </w:p>
          <w:p w14:paraId="511E9726">
            <w:pPr>
              <w:spacing w:before="61" w:line="227" w:lineRule="auto"/>
              <w:ind w:left="159"/>
              <w:rPr>
                <w:rFonts w:ascii="等线" w:hAnsi="等线" w:eastAsia="等线" w:cs="等线"/>
                <w:sz w:val="18"/>
                <w:szCs w:val="18"/>
              </w:rPr>
            </w:pPr>
            <w:r>
              <w:rPr>
                <w:rFonts w:ascii="等线" w:hAnsi="等线" w:eastAsia="等线" w:cs="等线"/>
                <w:spacing w:val="-2"/>
                <w:sz w:val="18"/>
                <w:szCs w:val="18"/>
              </w:rPr>
              <w:t>挥发酚</w:t>
            </w:r>
          </w:p>
        </w:tc>
        <w:tc>
          <w:tcPr>
            <w:tcW w:w="990" w:type="dxa"/>
            <w:tcBorders>
              <w:top w:val="single" w:color="000000" w:sz="12" w:space="0"/>
            </w:tcBorders>
            <w:vAlign w:val="top"/>
          </w:tcPr>
          <w:p w14:paraId="32DF3A8E">
            <w:pPr>
              <w:spacing w:line="320" w:lineRule="auto"/>
              <w:rPr>
                <w:rFonts w:ascii="Arial"/>
                <w:sz w:val="21"/>
              </w:rPr>
            </w:pPr>
          </w:p>
          <w:p w14:paraId="7EE74481">
            <w:pPr>
              <w:spacing w:before="60" w:line="247" w:lineRule="auto"/>
              <w:ind w:left="230" w:right="38" w:hanging="166"/>
              <w:rPr>
                <w:rFonts w:ascii="等线" w:hAnsi="等线" w:eastAsia="等线" w:cs="等线"/>
                <w:sz w:val="18"/>
                <w:szCs w:val="18"/>
              </w:rPr>
            </w:pPr>
            <w:r>
              <w:rPr>
                <w:rFonts w:ascii="等线" w:hAnsi="等线" w:eastAsia="等线" w:cs="等线"/>
                <w:spacing w:val="-5"/>
                <w:sz w:val="18"/>
                <w:szCs w:val="18"/>
              </w:rPr>
              <w:t>阴离子表面</w:t>
            </w:r>
            <w:r>
              <w:rPr>
                <w:rFonts w:ascii="等线" w:hAnsi="等线" w:eastAsia="等线" w:cs="等线"/>
                <w:spacing w:val="-3"/>
                <w:sz w:val="18"/>
                <w:szCs w:val="18"/>
              </w:rPr>
              <w:t>活性剂</w:t>
            </w:r>
          </w:p>
        </w:tc>
        <w:tc>
          <w:tcPr>
            <w:tcW w:w="566" w:type="dxa"/>
            <w:tcBorders>
              <w:top w:val="single" w:color="000000" w:sz="12" w:space="0"/>
            </w:tcBorders>
            <w:vAlign w:val="top"/>
          </w:tcPr>
          <w:p w14:paraId="1D6DBC3C">
            <w:pPr>
              <w:spacing w:line="442" w:lineRule="auto"/>
              <w:rPr>
                <w:rFonts w:ascii="Arial"/>
                <w:sz w:val="21"/>
              </w:rPr>
            </w:pPr>
          </w:p>
          <w:p w14:paraId="6FD16C0F">
            <w:pPr>
              <w:spacing w:before="61" w:line="226" w:lineRule="auto"/>
              <w:ind w:left="198"/>
              <w:rPr>
                <w:rFonts w:ascii="等线" w:hAnsi="等线" w:eastAsia="等线" w:cs="等线"/>
                <w:sz w:val="18"/>
                <w:szCs w:val="18"/>
              </w:rPr>
            </w:pPr>
            <w:r>
              <w:rPr>
                <w:rFonts w:ascii="等线" w:hAnsi="等线" w:eastAsia="等线" w:cs="等线"/>
                <w:sz w:val="18"/>
                <w:szCs w:val="18"/>
              </w:rPr>
              <w:t>砷</w:t>
            </w:r>
          </w:p>
        </w:tc>
        <w:tc>
          <w:tcPr>
            <w:tcW w:w="851" w:type="dxa"/>
            <w:tcBorders>
              <w:top w:val="single" w:color="000000" w:sz="12" w:space="0"/>
            </w:tcBorders>
            <w:vAlign w:val="top"/>
          </w:tcPr>
          <w:p w14:paraId="69F0A7BD">
            <w:pPr>
              <w:spacing w:line="441" w:lineRule="auto"/>
              <w:rPr>
                <w:rFonts w:ascii="Arial"/>
                <w:sz w:val="21"/>
              </w:rPr>
            </w:pPr>
          </w:p>
          <w:p w14:paraId="25D0A348">
            <w:pPr>
              <w:spacing w:before="61" w:line="228" w:lineRule="auto"/>
              <w:ind w:left="341"/>
              <w:rPr>
                <w:rFonts w:ascii="等线" w:hAnsi="等线" w:eastAsia="等线" w:cs="等线"/>
                <w:sz w:val="18"/>
                <w:szCs w:val="18"/>
              </w:rPr>
            </w:pPr>
            <w:r>
              <w:rPr>
                <w:rFonts w:ascii="等线" w:hAnsi="等线" w:eastAsia="等线" w:cs="等线"/>
                <w:sz w:val="18"/>
                <w:szCs w:val="18"/>
              </w:rPr>
              <w:t>镉</w:t>
            </w:r>
          </w:p>
        </w:tc>
        <w:tc>
          <w:tcPr>
            <w:tcW w:w="704" w:type="dxa"/>
            <w:tcBorders>
              <w:top w:val="single" w:color="000000" w:sz="12" w:space="0"/>
            </w:tcBorders>
            <w:vAlign w:val="top"/>
          </w:tcPr>
          <w:p w14:paraId="28EF4529">
            <w:pPr>
              <w:spacing w:line="442" w:lineRule="auto"/>
              <w:rPr>
                <w:rFonts w:ascii="Arial"/>
                <w:sz w:val="21"/>
              </w:rPr>
            </w:pPr>
          </w:p>
          <w:p w14:paraId="3F9883C7">
            <w:pPr>
              <w:spacing w:before="61" w:line="226" w:lineRule="auto"/>
              <w:ind w:left="92"/>
              <w:rPr>
                <w:rFonts w:ascii="等线" w:hAnsi="等线" w:eastAsia="等线" w:cs="等线"/>
                <w:sz w:val="18"/>
                <w:szCs w:val="18"/>
              </w:rPr>
            </w:pPr>
            <w:r>
              <w:rPr>
                <w:rFonts w:ascii="等线" w:hAnsi="等线" w:eastAsia="等线" w:cs="等线"/>
                <w:spacing w:val="-3"/>
                <w:sz w:val="18"/>
                <w:szCs w:val="18"/>
              </w:rPr>
              <w:t>六价铬</w:t>
            </w:r>
          </w:p>
        </w:tc>
        <w:tc>
          <w:tcPr>
            <w:tcW w:w="851" w:type="dxa"/>
            <w:tcBorders>
              <w:top w:val="single" w:color="000000" w:sz="12" w:space="0"/>
            </w:tcBorders>
            <w:vAlign w:val="top"/>
          </w:tcPr>
          <w:p w14:paraId="71B40F3C">
            <w:pPr>
              <w:spacing w:line="442" w:lineRule="auto"/>
              <w:rPr>
                <w:rFonts w:ascii="Arial"/>
                <w:sz w:val="21"/>
              </w:rPr>
            </w:pPr>
          </w:p>
          <w:p w14:paraId="12484DC5">
            <w:pPr>
              <w:spacing w:before="61" w:line="227" w:lineRule="auto"/>
              <w:ind w:left="342"/>
              <w:rPr>
                <w:rFonts w:ascii="等线" w:hAnsi="等线" w:eastAsia="等线" w:cs="等线"/>
                <w:sz w:val="18"/>
                <w:szCs w:val="18"/>
              </w:rPr>
            </w:pPr>
            <w:r>
              <w:rPr>
                <w:rFonts w:ascii="等线" w:hAnsi="等线" w:eastAsia="等线" w:cs="等线"/>
                <w:sz w:val="18"/>
                <w:szCs w:val="18"/>
              </w:rPr>
              <w:t>铅</w:t>
            </w:r>
          </w:p>
        </w:tc>
        <w:tc>
          <w:tcPr>
            <w:tcW w:w="851" w:type="dxa"/>
            <w:tcBorders>
              <w:top w:val="single" w:color="000000" w:sz="12" w:space="0"/>
            </w:tcBorders>
            <w:vAlign w:val="top"/>
          </w:tcPr>
          <w:p w14:paraId="73F3414D">
            <w:pPr>
              <w:spacing w:line="442" w:lineRule="auto"/>
              <w:rPr>
                <w:rFonts w:ascii="Arial"/>
                <w:sz w:val="21"/>
              </w:rPr>
            </w:pPr>
          </w:p>
          <w:p w14:paraId="2E872F88">
            <w:pPr>
              <w:spacing w:before="61" w:line="228" w:lineRule="auto"/>
              <w:ind w:left="345"/>
              <w:rPr>
                <w:rFonts w:ascii="等线" w:hAnsi="等线" w:eastAsia="等线" w:cs="等线"/>
                <w:sz w:val="18"/>
                <w:szCs w:val="18"/>
              </w:rPr>
            </w:pPr>
            <w:r>
              <w:rPr>
                <w:rFonts w:ascii="等线" w:hAnsi="等线" w:eastAsia="等线" w:cs="等线"/>
                <w:sz w:val="18"/>
                <w:szCs w:val="18"/>
              </w:rPr>
              <w:t>汞</w:t>
            </w:r>
          </w:p>
        </w:tc>
        <w:tc>
          <w:tcPr>
            <w:tcW w:w="846" w:type="dxa"/>
            <w:tcBorders>
              <w:top w:val="single" w:color="000000" w:sz="12" w:space="0"/>
            </w:tcBorders>
            <w:vAlign w:val="top"/>
          </w:tcPr>
          <w:p w14:paraId="1829D666">
            <w:pPr>
              <w:spacing w:line="442" w:lineRule="auto"/>
              <w:rPr>
                <w:rFonts w:ascii="Arial"/>
                <w:sz w:val="21"/>
              </w:rPr>
            </w:pPr>
          </w:p>
          <w:p w14:paraId="74C5C67C">
            <w:pPr>
              <w:spacing w:before="61" w:line="230" w:lineRule="auto"/>
              <w:ind w:left="344"/>
              <w:rPr>
                <w:rFonts w:ascii="等线" w:hAnsi="等线" w:eastAsia="等线" w:cs="等线"/>
                <w:sz w:val="18"/>
                <w:szCs w:val="18"/>
              </w:rPr>
            </w:pPr>
            <w:r>
              <w:rPr>
                <w:rFonts w:ascii="等线" w:hAnsi="等线" w:eastAsia="等线" w:cs="等线"/>
                <w:sz w:val="18"/>
                <w:szCs w:val="18"/>
              </w:rPr>
              <w:t>硒</w:t>
            </w:r>
          </w:p>
        </w:tc>
        <w:tc>
          <w:tcPr>
            <w:tcW w:w="684" w:type="dxa"/>
            <w:tcBorders>
              <w:top w:val="single" w:color="000000" w:sz="12" w:space="0"/>
            </w:tcBorders>
            <w:vAlign w:val="top"/>
          </w:tcPr>
          <w:p w14:paraId="08144981">
            <w:pPr>
              <w:spacing w:line="441" w:lineRule="auto"/>
              <w:rPr>
                <w:rFonts w:ascii="Arial"/>
                <w:sz w:val="21"/>
              </w:rPr>
            </w:pPr>
          </w:p>
          <w:p w14:paraId="08ACBF95">
            <w:pPr>
              <w:spacing w:before="61" w:line="227" w:lineRule="auto"/>
              <w:ind w:left="83"/>
              <w:rPr>
                <w:rFonts w:ascii="等线" w:hAnsi="等线" w:eastAsia="等线" w:cs="等线"/>
                <w:sz w:val="18"/>
                <w:szCs w:val="18"/>
              </w:rPr>
            </w:pPr>
            <w:r>
              <w:rPr>
                <w:rFonts w:ascii="等线" w:hAnsi="等线" w:eastAsia="等线" w:cs="等线"/>
                <w:spacing w:val="-2"/>
                <w:sz w:val="18"/>
                <w:szCs w:val="18"/>
              </w:rPr>
              <w:t>氰化物</w:t>
            </w:r>
          </w:p>
        </w:tc>
        <w:tc>
          <w:tcPr>
            <w:tcW w:w="460" w:type="dxa"/>
            <w:tcBorders>
              <w:top w:val="single" w:color="000000" w:sz="12" w:space="0"/>
            </w:tcBorders>
            <w:vAlign w:val="top"/>
          </w:tcPr>
          <w:p w14:paraId="7D713AD4">
            <w:pPr>
              <w:spacing w:line="321" w:lineRule="auto"/>
              <w:rPr>
                <w:rFonts w:ascii="Arial"/>
                <w:sz w:val="21"/>
              </w:rPr>
            </w:pPr>
          </w:p>
          <w:p w14:paraId="74655373">
            <w:pPr>
              <w:spacing w:before="61" w:line="247" w:lineRule="auto"/>
              <w:ind w:left="153" w:right="33" w:hanging="90"/>
              <w:rPr>
                <w:rFonts w:ascii="等线" w:hAnsi="等线" w:eastAsia="等线" w:cs="等线"/>
                <w:sz w:val="18"/>
                <w:szCs w:val="18"/>
              </w:rPr>
            </w:pPr>
            <w:r>
              <w:rPr>
                <w:rFonts w:ascii="等线" w:hAnsi="等线" w:eastAsia="等线" w:cs="等线"/>
                <w:spacing w:val="-4"/>
                <w:sz w:val="18"/>
                <w:szCs w:val="18"/>
              </w:rPr>
              <w:t>氟化</w:t>
            </w:r>
            <w:r>
              <w:rPr>
                <w:rFonts w:ascii="等线" w:hAnsi="等线" w:eastAsia="等线" w:cs="等线"/>
                <w:sz w:val="18"/>
                <w:szCs w:val="18"/>
              </w:rPr>
              <w:t>物</w:t>
            </w:r>
          </w:p>
        </w:tc>
        <w:tc>
          <w:tcPr>
            <w:tcW w:w="428" w:type="dxa"/>
            <w:tcBorders>
              <w:top w:val="single" w:color="000000" w:sz="12" w:space="0"/>
            </w:tcBorders>
            <w:vAlign w:val="top"/>
          </w:tcPr>
          <w:p w14:paraId="44997AA2">
            <w:pPr>
              <w:spacing w:line="319" w:lineRule="auto"/>
              <w:rPr>
                <w:rFonts w:ascii="Arial"/>
                <w:sz w:val="21"/>
              </w:rPr>
            </w:pPr>
          </w:p>
          <w:p w14:paraId="341BE0CF">
            <w:pPr>
              <w:spacing w:before="61" w:line="250" w:lineRule="auto"/>
              <w:ind w:left="140" w:right="16" w:hanging="94"/>
              <w:rPr>
                <w:rFonts w:ascii="等线" w:hAnsi="等线" w:eastAsia="等线" w:cs="等线"/>
                <w:sz w:val="18"/>
                <w:szCs w:val="18"/>
              </w:rPr>
            </w:pPr>
            <w:r>
              <w:rPr>
                <w:rFonts w:ascii="等线" w:hAnsi="等线" w:eastAsia="等线" w:cs="等线"/>
                <w:spacing w:val="-3"/>
                <w:sz w:val="18"/>
                <w:szCs w:val="18"/>
              </w:rPr>
              <w:t>硝酸</w:t>
            </w:r>
            <w:r>
              <w:rPr>
                <w:rFonts w:ascii="等线" w:hAnsi="等线" w:eastAsia="等线" w:cs="等线"/>
                <w:sz w:val="18"/>
                <w:szCs w:val="18"/>
              </w:rPr>
              <w:t>盐</w:t>
            </w:r>
          </w:p>
        </w:tc>
        <w:tc>
          <w:tcPr>
            <w:tcW w:w="447" w:type="dxa"/>
            <w:tcBorders>
              <w:top w:val="single" w:color="000000" w:sz="12" w:space="0"/>
            </w:tcBorders>
            <w:vAlign w:val="top"/>
          </w:tcPr>
          <w:p w14:paraId="23498427">
            <w:pPr>
              <w:spacing w:before="54" w:line="227" w:lineRule="auto"/>
              <w:ind w:left="63"/>
              <w:rPr>
                <w:rFonts w:ascii="等线" w:hAnsi="等线" w:eastAsia="等线" w:cs="等线"/>
                <w:sz w:val="18"/>
                <w:szCs w:val="18"/>
              </w:rPr>
            </w:pPr>
            <w:r>
              <w:rPr>
                <w:rFonts w:ascii="等线" w:hAnsi="等线" w:eastAsia="等线" w:cs="等线"/>
                <w:spacing w:val="-4"/>
                <w:sz w:val="18"/>
                <w:szCs w:val="18"/>
              </w:rPr>
              <w:t>总大</w:t>
            </w:r>
          </w:p>
          <w:p w14:paraId="55310923">
            <w:pPr>
              <w:spacing w:before="14" w:line="225" w:lineRule="auto"/>
              <w:ind w:left="55"/>
              <w:rPr>
                <w:rFonts w:ascii="等线" w:hAnsi="等线" w:eastAsia="等线" w:cs="等线"/>
                <w:sz w:val="18"/>
                <w:szCs w:val="18"/>
              </w:rPr>
            </w:pPr>
            <w:r>
              <w:rPr>
                <w:rFonts w:ascii="等线" w:hAnsi="等线" w:eastAsia="等线" w:cs="等线"/>
                <w:spacing w:val="-2"/>
                <w:sz w:val="18"/>
                <w:szCs w:val="18"/>
              </w:rPr>
              <w:t>肠菌</w:t>
            </w:r>
          </w:p>
          <w:p w14:paraId="1C0D4281">
            <w:pPr>
              <w:pStyle w:val="6"/>
              <w:spacing w:before="14" w:line="245" w:lineRule="auto"/>
              <w:ind w:left="48" w:right="14" w:hanging="5"/>
              <w:rPr>
                <w:sz w:val="18"/>
                <w:szCs w:val="18"/>
              </w:rPr>
            </w:pPr>
            <w:r>
              <w:rPr>
                <w:rFonts w:ascii="等线" w:hAnsi="等线" w:eastAsia="等线" w:cs="等线"/>
                <w:spacing w:val="19"/>
                <w:sz w:val="18"/>
                <w:szCs w:val="18"/>
              </w:rPr>
              <w:t>群</w:t>
            </w:r>
            <w:r>
              <w:rPr>
                <w:spacing w:val="19"/>
                <w:sz w:val="18"/>
                <w:szCs w:val="18"/>
              </w:rPr>
              <w:t>M</w:t>
            </w:r>
            <w:r>
              <w:rPr>
                <w:sz w:val="18"/>
                <w:szCs w:val="18"/>
              </w:rPr>
              <w:t xml:space="preserve"> </w:t>
            </w:r>
            <w:r>
              <w:rPr>
                <w:spacing w:val="-1"/>
                <w:sz w:val="18"/>
                <w:szCs w:val="18"/>
              </w:rPr>
              <w:t>PN/1</w:t>
            </w:r>
          </w:p>
          <w:p w14:paraId="07904277">
            <w:pPr>
              <w:pStyle w:val="6"/>
              <w:spacing w:before="1" w:line="221" w:lineRule="auto"/>
              <w:jc w:val="right"/>
              <w:rPr>
                <w:sz w:val="18"/>
                <w:szCs w:val="18"/>
              </w:rPr>
            </w:pPr>
            <w:r>
              <w:rPr>
                <w:spacing w:val="-4"/>
                <w:sz w:val="18"/>
                <w:szCs w:val="18"/>
              </w:rPr>
              <w:t>00mL</w:t>
            </w:r>
          </w:p>
        </w:tc>
        <w:tc>
          <w:tcPr>
            <w:tcW w:w="666" w:type="dxa"/>
            <w:tcBorders>
              <w:top w:val="single" w:color="000000" w:sz="12" w:space="0"/>
              <w:right w:val="single" w:color="000000" w:sz="12" w:space="0"/>
            </w:tcBorders>
            <w:vAlign w:val="top"/>
          </w:tcPr>
          <w:p w14:paraId="2A167F2F">
            <w:pPr>
              <w:spacing w:before="280" w:line="226" w:lineRule="auto"/>
              <w:ind w:left="70"/>
              <w:rPr>
                <w:rFonts w:ascii="等线" w:hAnsi="等线" w:eastAsia="等线" w:cs="等线"/>
                <w:sz w:val="18"/>
                <w:szCs w:val="18"/>
              </w:rPr>
            </w:pPr>
            <w:r>
              <w:rPr>
                <w:rFonts w:ascii="等线" w:hAnsi="等线" w:eastAsia="等线" w:cs="等线"/>
                <w:spacing w:val="-3"/>
                <w:sz w:val="18"/>
                <w:szCs w:val="18"/>
              </w:rPr>
              <w:t>菌落总</w:t>
            </w:r>
          </w:p>
          <w:p w14:paraId="6D3E4487">
            <w:pPr>
              <w:pStyle w:val="6"/>
              <w:spacing w:before="14" w:line="226" w:lineRule="auto"/>
              <w:ind w:right="3"/>
              <w:jc w:val="right"/>
              <w:rPr>
                <w:sz w:val="18"/>
                <w:szCs w:val="18"/>
              </w:rPr>
            </w:pPr>
            <w:r>
              <w:rPr>
                <w:rFonts w:ascii="等线" w:hAnsi="等线" w:eastAsia="等线" w:cs="等线"/>
                <w:spacing w:val="-3"/>
                <w:sz w:val="18"/>
                <w:szCs w:val="18"/>
              </w:rPr>
              <w:t xml:space="preserve">数 </w:t>
            </w:r>
            <w:r>
              <w:rPr>
                <w:spacing w:val="-3"/>
                <w:sz w:val="18"/>
                <w:szCs w:val="18"/>
              </w:rPr>
              <w:t>CFU/</w:t>
            </w:r>
          </w:p>
          <w:p w14:paraId="7F8F6A55">
            <w:pPr>
              <w:pStyle w:val="6"/>
              <w:spacing w:before="26" w:line="235" w:lineRule="auto"/>
              <w:ind w:left="207"/>
              <w:rPr>
                <w:sz w:val="18"/>
                <w:szCs w:val="18"/>
              </w:rPr>
            </w:pPr>
            <w:r>
              <w:rPr>
                <w:spacing w:val="-1"/>
                <w:sz w:val="18"/>
                <w:szCs w:val="18"/>
              </w:rPr>
              <w:t>mL</w:t>
            </w:r>
          </w:p>
        </w:tc>
      </w:tr>
      <w:tr w14:paraId="6CF94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restart"/>
            <w:tcBorders>
              <w:left w:val="single" w:color="000000" w:sz="12" w:space="0"/>
              <w:bottom w:val="nil"/>
            </w:tcBorders>
            <w:vAlign w:val="top"/>
          </w:tcPr>
          <w:p w14:paraId="5BD77C29">
            <w:pPr>
              <w:spacing w:line="245" w:lineRule="auto"/>
              <w:rPr>
                <w:rFonts w:ascii="Arial"/>
                <w:sz w:val="21"/>
              </w:rPr>
            </w:pPr>
          </w:p>
          <w:p w14:paraId="53BC4192">
            <w:pPr>
              <w:spacing w:line="245" w:lineRule="auto"/>
              <w:rPr>
                <w:rFonts w:ascii="Arial"/>
                <w:sz w:val="21"/>
              </w:rPr>
            </w:pPr>
          </w:p>
          <w:p w14:paraId="4020B4A2">
            <w:pPr>
              <w:spacing w:line="246" w:lineRule="auto"/>
              <w:rPr>
                <w:rFonts w:ascii="Arial"/>
                <w:sz w:val="21"/>
              </w:rPr>
            </w:pPr>
          </w:p>
          <w:p w14:paraId="78D0A4D9">
            <w:pPr>
              <w:spacing w:line="246" w:lineRule="auto"/>
              <w:rPr>
                <w:rFonts w:ascii="Arial"/>
                <w:sz w:val="21"/>
              </w:rPr>
            </w:pPr>
          </w:p>
          <w:p w14:paraId="537C59E6">
            <w:pPr>
              <w:spacing w:line="246" w:lineRule="auto"/>
              <w:rPr>
                <w:rFonts w:ascii="Arial"/>
                <w:sz w:val="21"/>
              </w:rPr>
            </w:pPr>
          </w:p>
          <w:p w14:paraId="1FEE6F1E">
            <w:pPr>
              <w:spacing w:before="61" w:line="243" w:lineRule="auto"/>
              <w:ind w:left="69" w:right="82" w:firstLine="1"/>
              <w:jc w:val="both"/>
              <w:rPr>
                <w:rFonts w:ascii="等线" w:hAnsi="等线" w:eastAsia="等线" w:cs="等线"/>
                <w:sz w:val="18"/>
                <w:szCs w:val="18"/>
              </w:rPr>
            </w:pPr>
            <w:r>
              <w:rPr>
                <w:rFonts w:ascii="等线" w:hAnsi="等线" w:eastAsia="等线" w:cs="等线"/>
                <w:spacing w:val="-3"/>
                <w:sz w:val="18"/>
                <w:szCs w:val="18"/>
              </w:rPr>
              <w:t>枢纽工</w:t>
            </w:r>
            <w:r>
              <w:rPr>
                <w:rFonts w:ascii="等线" w:hAnsi="等线" w:eastAsia="等线" w:cs="等线"/>
                <w:spacing w:val="-2"/>
                <w:sz w:val="18"/>
                <w:szCs w:val="18"/>
              </w:rPr>
              <w:t>程生活饮用水供水处</w:t>
            </w:r>
          </w:p>
        </w:tc>
        <w:tc>
          <w:tcPr>
            <w:tcW w:w="285" w:type="dxa"/>
            <w:vMerge w:val="restart"/>
            <w:tcBorders>
              <w:bottom w:val="nil"/>
            </w:tcBorders>
            <w:vAlign w:val="top"/>
          </w:tcPr>
          <w:p w14:paraId="59B537B4">
            <w:pPr>
              <w:pStyle w:val="6"/>
              <w:spacing w:before="271" w:line="235" w:lineRule="auto"/>
              <w:ind w:left="38" w:right="63"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131" w:type="dxa"/>
            <w:vAlign w:val="top"/>
          </w:tcPr>
          <w:p w14:paraId="0757E379">
            <w:pPr>
              <w:pStyle w:val="6"/>
              <w:spacing w:before="124" w:line="232" w:lineRule="auto"/>
              <w:ind w:left="185"/>
              <w:rPr>
                <w:sz w:val="18"/>
                <w:szCs w:val="18"/>
              </w:rPr>
            </w:pPr>
            <w:r>
              <w:rPr>
                <w:spacing w:val="-1"/>
                <w:sz w:val="18"/>
                <w:szCs w:val="18"/>
              </w:rPr>
              <w:t>2021/3/18</w:t>
            </w:r>
          </w:p>
        </w:tc>
        <w:tc>
          <w:tcPr>
            <w:tcW w:w="570" w:type="dxa"/>
            <w:vAlign w:val="top"/>
          </w:tcPr>
          <w:p w14:paraId="7375EB07">
            <w:pPr>
              <w:pStyle w:val="6"/>
              <w:spacing w:before="129" w:line="183" w:lineRule="auto"/>
              <w:ind w:left="176"/>
              <w:rPr>
                <w:sz w:val="18"/>
                <w:szCs w:val="18"/>
              </w:rPr>
            </w:pPr>
            <w:r>
              <w:rPr>
                <w:spacing w:val="-2"/>
                <w:sz w:val="18"/>
                <w:szCs w:val="18"/>
              </w:rPr>
              <w:t>5L</w:t>
            </w:r>
          </w:p>
        </w:tc>
        <w:tc>
          <w:tcPr>
            <w:tcW w:w="703" w:type="dxa"/>
            <w:vAlign w:val="top"/>
          </w:tcPr>
          <w:p w14:paraId="35150CD6">
            <w:pPr>
              <w:pStyle w:val="6"/>
              <w:spacing w:before="124" w:line="232" w:lineRule="auto"/>
              <w:ind w:left="175"/>
              <w:rPr>
                <w:sz w:val="18"/>
                <w:szCs w:val="18"/>
              </w:rPr>
            </w:pPr>
            <w:r>
              <w:rPr>
                <w:spacing w:val="-2"/>
                <w:sz w:val="18"/>
                <w:szCs w:val="18"/>
              </w:rPr>
              <w:t>0.5L</w:t>
            </w:r>
          </w:p>
        </w:tc>
        <w:tc>
          <w:tcPr>
            <w:tcW w:w="708" w:type="dxa"/>
            <w:vAlign w:val="top"/>
          </w:tcPr>
          <w:p w14:paraId="6A6B20FB">
            <w:pPr>
              <w:pStyle w:val="6"/>
              <w:spacing w:before="124" w:line="232" w:lineRule="auto"/>
              <w:ind w:left="192"/>
              <w:rPr>
                <w:sz w:val="18"/>
                <w:szCs w:val="18"/>
              </w:rPr>
            </w:pPr>
            <w:r>
              <w:rPr>
                <w:spacing w:val="-3"/>
                <w:sz w:val="18"/>
                <w:szCs w:val="18"/>
              </w:rPr>
              <w:t>8.03</w:t>
            </w:r>
          </w:p>
        </w:tc>
        <w:tc>
          <w:tcPr>
            <w:tcW w:w="708" w:type="dxa"/>
            <w:vAlign w:val="top"/>
          </w:tcPr>
          <w:p w14:paraId="35803048">
            <w:pPr>
              <w:pStyle w:val="6"/>
              <w:spacing w:before="124" w:line="232" w:lineRule="auto"/>
              <w:ind w:left="88"/>
              <w:rPr>
                <w:sz w:val="18"/>
                <w:szCs w:val="18"/>
              </w:rPr>
            </w:pPr>
            <w:r>
              <w:rPr>
                <w:spacing w:val="-2"/>
                <w:sz w:val="18"/>
                <w:szCs w:val="18"/>
              </w:rPr>
              <w:t>0.040L</w:t>
            </w:r>
          </w:p>
        </w:tc>
        <w:tc>
          <w:tcPr>
            <w:tcW w:w="851" w:type="dxa"/>
            <w:vAlign w:val="top"/>
          </w:tcPr>
          <w:p w14:paraId="4CBE889F">
            <w:pPr>
              <w:pStyle w:val="6"/>
              <w:spacing w:before="124" w:line="232" w:lineRule="auto"/>
              <w:ind w:left="117"/>
              <w:rPr>
                <w:sz w:val="18"/>
                <w:szCs w:val="18"/>
              </w:rPr>
            </w:pPr>
            <w:r>
              <w:rPr>
                <w:spacing w:val="-1"/>
                <w:sz w:val="18"/>
                <w:szCs w:val="18"/>
              </w:rPr>
              <w:t>0.0045L</w:t>
            </w:r>
          </w:p>
        </w:tc>
        <w:tc>
          <w:tcPr>
            <w:tcW w:w="851" w:type="dxa"/>
            <w:vAlign w:val="top"/>
          </w:tcPr>
          <w:p w14:paraId="31906B45">
            <w:pPr>
              <w:pStyle w:val="6"/>
              <w:spacing w:before="124" w:line="232" w:lineRule="auto"/>
              <w:ind w:left="118"/>
              <w:rPr>
                <w:sz w:val="18"/>
                <w:szCs w:val="18"/>
              </w:rPr>
            </w:pPr>
            <w:r>
              <w:rPr>
                <w:spacing w:val="-1"/>
                <w:sz w:val="18"/>
                <w:szCs w:val="18"/>
              </w:rPr>
              <w:t>0.0005L</w:t>
            </w:r>
          </w:p>
        </w:tc>
        <w:tc>
          <w:tcPr>
            <w:tcW w:w="708" w:type="dxa"/>
            <w:vAlign w:val="top"/>
          </w:tcPr>
          <w:p w14:paraId="297513E0">
            <w:pPr>
              <w:pStyle w:val="6"/>
              <w:spacing w:before="124" w:line="232" w:lineRule="auto"/>
              <w:ind w:left="92"/>
              <w:rPr>
                <w:sz w:val="18"/>
                <w:szCs w:val="18"/>
              </w:rPr>
            </w:pPr>
            <w:r>
              <w:rPr>
                <w:spacing w:val="-2"/>
                <w:sz w:val="18"/>
                <w:szCs w:val="18"/>
              </w:rPr>
              <w:t>0.009L</w:t>
            </w:r>
          </w:p>
        </w:tc>
        <w:tc>
          <w:tcPr>
            <w:tcW w:w="707" w:type="dxa"/>
            <w:vAlign w:val="top"/>
          </w:tcPr>
          <w:p w14:paraId="784B0040">
            <w:pPr>
              <w:pStyle w:val="6"/>
              <w:spacing w:before="124" w:line="232" w:lineRule="auto"/>
              <w:ind w:left="148"/>
              <w:rPr>
                <w:sz w:val="18"/>
                <w:szCs w:val="18"/>
              </w:rPr>
            </w:pPr>
            <w:r>
              <w:rPr>
                <w:spacing w:val="-2"/>
                <w:sz w:val="18"/>
                <w:szCs w:val="18"/>
              </w:rPr>
              <w:t>0.020</w:t>
            </w:r>
          </w:p>
        </w:tc>
        <w:tc>
          <w:tcPr>
            <w:tcW w:w="567" w:type="dxa"/>
            <w:vAlign w:val="top"/>
          </w:tcPr>
          <w:p w14:paraId="4204D8EB">
            <w:pPr>
              <w:pStyle w:val="6"/>
              <w:spacing w:before="124" w:line="232" w:lineRule="auto"/>
              <w:ind w:left="167"/>
              <w:rPr>
                <w:sz w:val="18"/>
                <w:szCs w:val="18"/>
              </w:rPr>
            </w:pPr>
            <w:r>
              <w:rPr>
                <w:spacing w:val="-2"/>
                <w:sz w:val="18"/>
                <w:szCs w:val="18"/>
              </w:rPr>
              <w:t>2.0</w:t>
            </w:r>
          </w:p>
        </w:tc>
        <w:tc>
          <w:tcPr>
            <w:tcW w:w="566" w:type="dxa"/>
            <w:vAlign w:val="top"/>
          </w:tcPr>
          <w:p w14:paraId="11F92D55">
            <w:pPr>
              <w:pStyle w:val="6"/>
              <w:spacing w:before="124" w:line="232" w:lineRule="auto"/>
              <w:ind w:left="173"/>
              <w:rPr>
                <w:sz w:val="18"/>
                <w:szCs w:val="18"/>
              </w:rPr>
            </w:pPr>
            <w:r>
              <w:rPr>
                <w:spacing w:val="-4"/>
                <w:sz w:val="18"/>
                <w:szCs w:val="18"/>
              </w:rPr>
              <w:t>8.1</w:t>
            </w:r>
          </w:p>
        </w:tc>
        <w:tc>
          <w:tcPr>
            <w:tcW w:w="851" w:type="dxa"/>
            <w:vAlign w:val="top"/>
          </w:tcPr>
          <w:p w14:paraId="3F135481">
            <w:pPr>
              <w:pStyle w:val="6"/>
              <w:spacing w:before="124" w:line="235" w:lineRule="auto"/>
              <w:ind w:left="288"/>
              <w:rPr>
                <w:sz w:val="18"/>
                <w:szCs w:val="18"/>
              </w:rPr>
            </w:pPr>
            <w:r>
              <w:rPr>
                <w:spacing w:val="-1"/>
                <w:sz w:val="18"/>
                <w:szCs w:val="18"/>
              </w:rPr>
              <w:t>221</w:t>
            </w:r>
          </w:p>
        </w:tc>
        <w:tc>
          <w:tcPr>
            <w:tcW w:w="567" w:type="dxa"/>
            <w:vAlign w:val="top"/>
          </w:tcPr>
          <w:p w14:paraId="0D8981D1">
            <w:pPr>
              <w:pStyle w:val="6"/>
              <w:spacing w:before="124" w:line="232" w:lineRule="auto"/>
              <w:ind w:left="164"/>
              <w:rPr>
                <w:sz w:val="18"/>
                <w:szCs w:val="18"/>
              </w:rPr>
            </w:pPr>
            <w:r>
              <w:rPr>
                <w:spacing w:val="-5"/>
                <w:sz w:val="18"/>
                <w:szCs w:val="18"/>
              </w:rPr>
              <w:t>176</w:t>
            </w:r>
          </w:p>
        </w:tc>
        <w:tc>
          <w:tcPr>
            <w:tcW w:w="708" w:type="dxa"/>
            <w:vAlign w:val="top"/>
          </w:tcPr>
          <w:p w14:paraId="6033AF9D">
            <w:pPr>
              <w:pStyle w:val="6"/>
              <w:spacing w:before="124" w:line="232" w:lineRule="auto"/>
              <w:ind w:left="198"/>
              <w:rPr>
                <w:sz w:val="18"/>
                <w:szCs w:val="18"/>
              </w:rPr>
            </w:pPr>
            <w:r>
              <w:rPr>
                <w:spacing w:val="-2"/>
                <w:sz w:val="18"/>
                <w:szCs w:val="18"/>
              </w:rPr>
              <w:t>0.56</w:t>
            </w:r>
          </w:p>
        </w:tc>
        <w:tc>
          <w:tcPr>
            <w:tcW w:w="851" w:type="dxa"/>
            <w:vAlign w:val="top"/>
          </w:tcPr>
          <w:p w14:paraId="0864F0A7">
            <w:pPr>
              <w:pStyle w:val="6"/>
              <w:spacing w:before="124" w:line="232" w:lineRule="auto"/>
              <w:ind w:left="170"/>
              <w:rPr>
                <w:sz w:val="18"/>
                <w:szCs w:val="18"/>
              </w:rPr>
            </w:pPr>
            <w:r>
              <w:rPr>
                <w:spacing w:val="-2"/>
                <w:sz w:val="18"/>
                <w:szCs w:val="18"/>
              </w:rPr>
              <w:t>0.002L</w:t>
            </w:r>
          </w:p>
        </w:tc>
        <w:tc>
          <w:tcPr>
            <w:tcW w:w="990" w:type="dxa"/>
            <w:vAlign w:val="top"/>
          </w:tcPr>
          <w:p w14:paraId="7AAB6962">
            <w:pPr>
              <w:pStyle w:val="6"/>
              <w:spacing w:before="124" w:line="232" w:lineRule="auto"/>
              <w:ind w:left="241"/>
              <w:rPr>
                <w:sz w:val="18"/>
                <w:szCs w:val="18"/>
              </w:rPr>
            </w:pPr>
            <w:r>
              <w:rPr>
                <w:spacing w:val="-2"/>
                <w:sz w:val="18"/>
                <w:szCs w:val="18"/>
              </w:rPr>
              <w:t>0.050L</w:t>
            </w:r>
          </w:p>
        </w:tc>
        <w:tc>
          <w:tcPr>
            <w:tcW w:w="566" w:type="dxa"/>
            <w:vAlign w:val="top"/>
          </w:tcPr>
          <w:p w14:paraId="6CAD73F8">
            <w:pPr>
              <w:pStyle w:val="6"/>
              <w:spacing w:before="124" w:line="232" w:lineRule="auto"/>
              <w:ind w:left="85"/>
              <w:rPr>
                <w:sz w:val="18"/>
                <w:szCs w:val="18"/>
              </w:rPr>
            </w:pPr>
            <w:r>
              <w:rPr>
                <w:spacing w:val="-2"/>
                <w:sz w:val="18"/>
                <w:szCs w:val="18"/>
              </w:rPr>
              <w:t>0.001</w:t>
            </w:r>
          </w:p>
        </w:tc>
        <w:tc>
          <w:tcPr>
            <w:tcW w:w="851" w:type="dxa"/>
            <w:vAlign w:val="top"/>
          </w:tcPr>
          <w:p w14:paraId="5CE90411">
            <w:pPr>
              <w:pStyle w:val="6"/>
              <w:spacing w:before="124" w:line="232" w:lineRule="auto"/>
              <w:ind w:left="128"/>
              <w:rPr>
                <w:sz w:val="18"/>
                <w:szCs w:val="18"/>
              </w:rPr>
            </w:pPr>
            <w:r>
              <w:rPr>
                <w:spacing w:val="-1"/>
                <w:sz w:val="18"/>
                <w:szCs w:val="18"/>
              </w:rPr>
              <w:t>0.0005L</w:t>
            </w:r>
          </w:p>
        </w:tc>
        <w:tc>
          <w:tcPr>
            <w:tcW w:w="704" w:type="dxa"/>
            <w:vAlign w:val="top"/>
          </w:tcPr>
          <w:p w14:paraId="22E2CE09">
            <w:pPr>
              <w:pStyle w:val="6"/>
              <w:spacing w:before="124" w:line="232" w:lineRule="auto"/>
              <w:ind w:left="100"/>
              <w:rPr>
                <w:sz w:val="18"/>
                <w:szCs w:val="18"/>
              </w:rPr>
            </w:pPr>
            <w:r>
              <w:rPr>
                <w:spacing w:val="-2"/>
                <w:sz w:val="18"/>
                <w:szCs w:val="18"/>
              </w:rPr>
              <w:t>0.004L</w:t>
            </w:r>
          </w:p>
        </w:tc>
        <w:tc>
          <w:tcPr>
            <w:tcW w:w="851" w:type="dxa"/>
            <w:vAlign w:val="top"/>
          </w:tcPr>
          <w:p w14:paraId="6E2A41CE">
            <w:pPr>
              <w:pStyle w:val="6"/>
              <w:spacing w:before="124" w:line="232" w:lineRule="auto"/>
              <w:ind w:left="131"/>
              <w:rPr>
                <w:sz w:val="18"/>
                <w:szCs w:val="18"/>
              </w:rPr>
            </w:pPr>
            <w:r>
              <w:rPr>
                <w:spacing w:val="-1"/>
                <w:sz w:val="18"/>
                <w:szCs w:val="18"/>
              </w:rPr>
              <w:t>0.0025L</w:t>
            </w:r>
          </w:p>
        </w:tc>
        <w:tc>
          <w:tcPr>
            <w:tcW w:w="851" w:type="dxa"/>
            <w:vAlign w:val="top"/>
          </w:tcPr>
          <w:p w14:paraId="0822F6A4">
            <w:pPr>
              <w:pStyle w:val="6"/>
              <w:spacing w:before="124" w:line="232" w:lineRule="auto"/>
              <w:ind w:left="132"/>
              <w:rPr>
                <w:sz w:val="18"/>
                <w:szCs w:val="18"/>
              </w:rPr>
            </w:pPr>
            <w:r>
              <w:rPr>
                <w:spacing w:val="-1"/>
                <w:sz w:val="18"/>
                <w:szCs w:val="18"/>
              </w:rPr>
              <w:t>0.0001L</w:t>
            </w:r>
          </w:p>
        </w:tc>
        <w:tc>
          <w:tcPr>
            <w:tcW w:w="846" w:type="dxa"/>
            <w:vAlign w:val="top"/>
          </w:tcPr>
          <w:p w14:paraId="545BDEE6">
            <w:pPr>
              <w:pStyle w:val="6"/>
              <w:spacing w:before="124" w:line="232" w:lineRule="auto"/>
              <w:ind w:left="186"/>
              <w:rPr>
                <w:sz w:val="18"/>
                <w:szCs w:val="18"/>
              </w:rPr>
            </w:pPr>
            <w:r>
              <w:rPr>
                <w:spacing w:val="-2"/>
                <w:sz w:val="18"/>
                <w:szCs w:val="18"/>
              </w:rPr>
              <w:t>0.0012</w:t>
            </w:r>
          </w:p>
        </w:tc>
        <w:tc>
          <w:tcPr>
            <w:tcW w:w="684" w:type="dxa"/>
            <w:vAlign w:val="top"/>
          </w:tcPr>
          <w:p w14:paraId="7D0F6524">
            <w:pPr>
              <w:pStyle w:val="6"/>
              <w:spacing w:before="124" w:line="232" w:lineRule="auto"/>
              <w:ind w:left="96"/>
              <w:rPr>
                <w:sz w:val="18"/>
                <w:szCs w:val="18"/>
              </w:rPr>
            </w:pPr>
            <w:r>
              <w:rPr>
                <w:spacing w:val="-2"/>
                <w:sz w:val="18"/>
                <w:szCs w:val="18"/>
              </w:rPr>
              <w:t>0.002L</w:t>
            </w:r>
          </w:p>
        </w:tc>
        <w:tc>
          <w:tcPr>
            <w:tcW w:w="460" w:type="dxa"/>
            <w:vAlign w:val="top"/>
          </w:tcPr>
          <w:p w14:paraId="2DB91E59">
            <w:pPr>
              <w:pStyle w:val="6"/>
              <w:spacing w:before="124" w:line="232" w:lineRule="auto"/>
              <w:ind w:left="130"/>
              <w:rPr>
                <w:sz w:val="18"/>
                <w:szCs w:val="18"/>
              </w:rPr>
            </w:pPr>
            <w:r>
              <w:rPr>
                <w:spacing w:val="-3"/>
                <w:sz w:val="18"/>
                <w:szCs w:val="18"/>
              </w:rPr>
              <w:t>0.5</w:t>
            </w:r>
          </w:p>
        </w:tc>
        <w:tc>
          <w:tcPr>
            <w:tcW w:w="428" w:type="dxa"/>
            <w:vAlign w:val="top"/>
          </w:tcPr>
          <w:p w14:paraId="4343D565">
            <w:pPr>
              <w:pStyle w:val="6"/>
              <w:spacing w:before="124" w:line="232" w:lineRule="auto"/>
              <w:ind w:left="129"/>
              <w:rPr>
                <w:sz w:val="18"/>
                <w:szCs w:val="18"/>
              </w:rPr>
            </w:pPr>
            <w:r>
              <w:rPr>
                <w:spacing w:val="-7"/>
                <w:sz w:val="18"/>
                <w:szCs w:val="18"/>
              </w:rPr>
              <w:t>1.5</w:t>
            </w:r>
          </w:p>
        </w:tc>
        <w:tc>
          <w:tcPr>
            <w:tcW w:w="447" w:type="dxa"/>
            <w:vAlign w:val="top"/>
          </w:tcPr>
          <w:p w14:paraId="7717C8DA">
            <w:pPr>
              <w:pStyle w:val="6"/>
              <w:spacing w:before="124" w:line="232" w:lineRule="auto"/>
              <w:ind w:left="205"/>
              <w:rPr>
                <w:sz w:val="18"/>
                <w:szCs w:val="18"/>
              </w:rPr>
            </w:pPr>
            <w:r>
              <w:rPr>
                <w:sz w:val="18"/>
                <w:szCs w:val="18"/>
              </w:rPr>
              <w:t>/</w:t>
            </w:r>
          </w:p>
        </w:tc>
        <w:tc>
          <w:tcPr>
            <w:tcW w:w="666" w:type="dxa"/>
            <w:tcBorders>
              <w:right w:val="single" w:color="000000" w:sz="12" w:space="0"/>
            </w:tcBorders>
            <w:vAlign w:val="top"/>
          </w:tcPr>
          <w:p w14:paraId="0D4E66A6">
            <w:pPr>
              <w:pStyle w:val="6"/>
              <w:spacing w:before="124" w:line="232" w:lineRule="auto"/>
              <w:ind w:left="247"/>
              <w:rPr>
                <w:sz w:val="18"/>
                <w:szCs w:val="18"/>
              </w:rPr>
            </w:pPr>
            <w:r>
              <w:rPr>
                <w:spacing w:val="-2"/>
                <w:sz w:val="18"/>
                <w:szCs w:val="18"/>
              </w:rPr>
              <w:t>90</w:t>
            </w:r>
          </w:p>
        </w:tc>
      </w:tr>
      <w:tr w14:paraId="11672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bottom w:val="nil"/>
            </w:tcBorders>
            <w:vAlign w:val="top"/>
          </w:tcPr>
          <w:p w14:paraId="14F0089B">
            <w:pPr>
              <w:rPr>
                <w:rFonts w:ascii="Arial"/>
                <w:sz w:val="21"/>
              </w:rPr>
            </w:pPr>
          </w:p>
        </w:tc>
        <w:tc>
          <w:tcPr>
            <w:tcW w:w="285" w:type="dxa"/>
            <w:vMerge w:val="continue"/>
            <w:tcBorders>
              <w:top w:val="nil"/>
              <w:bottom w:val="nil"/>
            </w:tcBorders>
            <w:vAlign w:val="top"/>
          </w:tcPr>
          <w:p w14:paraId="4FA635A8">
            <w:pPr>
              <w:rPr>
                <w:rFonts w:ascii="Arial"/>
                <w:sz w:val="21"/>
              </w:rPr>
            </w:pPr>
          </w:p>
        </w:tc>
        <w:tc>
          <w:tcPr>
            <w:tcW w:w="1131" w:type="dxa"/>
            <w:vAlign w:val="top"/>
          </w:tcPr>
          <w:p w14:paraId="304769B7">
            <w:pPr>
              <w:pStyle w:val="6"/>
              <w:spacing w:before="125" w:line="232" w:lineRule="auto"/>
              <w:ind w:left="185"/>
              <w:rPr>
                <w:sz w:val="18"/>
                <w:szCs w:val="18"/>
              </w:rPr>
            </w:pPr>
            <w:r>
              <w:rPr>
                <w:spacing w:val="-1"/>
                <w:sz w:val="18"/>
                <w:szCs w:val="18"/>
              </w:rPr>
              <w:t>2021/3/19</w:t>
            </w:r>
          </w:p>
        </w:tc>
        <w:tc>
          <w:tcPr>
            <w:tcW w:w="570" w:type="dxa"/>
            <w:vAlign w:val="top"/>
          </w:tcPr>
          <w:p w14:paraId="2E8EBC0F">
            <w:pPr>
              <w:pStyle w:val="6"/>
              <w:spacing w:before="131" w:line="183" w:lineRule="auto"/>
              <w:ind w:left="176"/>
              <w:rPr>
                <w:sz w:val="18"/>
                <w:szCs w:val="18"/>
              </w:rPr>
            </w:pPr>
            <w:r>
              <w:rPr>
                <w:spacing w:val="-2"/>
                <w:sz w:val="18"/>
                <w:szCs w:val="18"/>
              </w:rPr>
              <w:t>5L</w:t>
            </w:r>
          </w:p>
        </w:tc>
        <w:tc>
          <w:tcPr>
            <w:tcW w:w="703" w:type="dxa"/>
            <w:vAlign w:val="top"/>
          </w:tcPr>
          <w:p w14:paraId="5C7770EC">
            <w:pPr>
              <w:pStyle w:val="6"/>
              <w:spacing w:before="125" w:line="232" w:lineRule="auto"/>
              <w:ind w:left="175"/>
              <w:rPr>
                <w:sz w:val="18"/>
                <w:szCs w:val="18"/>
              </w:rPr>
            </w:pPr>
            <w:r>
              <w:rPr>
                <w:spacing w:val="-2"/>
                <w:sz w:val="18"/>
                <w:szCs w:val="18"/>
              </w:rPr>
              <w:t>0.5L</w:t>
            </w:r>
          </w:p>
        </w:tc>
        <w:tc>
          <w:tcPr>
            <w:tcW w:w="708" w:type="dxa"/>
            <w:vAlign w:val="top"/>
          </w:tcPr>
          <w:p w14:paraId="4899E0CB">
            <w:pPr>
              <w:pStyle w:val="6"/>
              <w:spacing w:before="125" w:line="232" w:lineRule="auto"/>
              <w:ind w:left="188"/>
              <w:rPr>
                <w:sz w:val="18"/>
                <w:szCs w:val="18"/>
              </w:rPr>
            </w:pPr>
            <w:r>
              <w:rPr>
                <w:spacing w:val="-2"/>
                <w:sz w:val="18"/>
                <w:szCs w:val="18"/>
              </w:rPr>
              <w:t>7.96</w:t>
            </w:r>
          </w:p>
        </w:tc>
        <w:tc>
          <w:tcPr>
            <w:tcW w:w="708" w:type="dxa"/>
            <w:vAlign w:val="top"/>
          </w:tcPr>
          <w:p w14:paraId="3B9B2E9F">
            <w:pPr>
              <w:pStyle w:val="6"/>
              <w:spacing w:before="125" w:line="232" w:lineRule="auto"/>
              <w:ind w:left="88"/>
              <w:rPr>
                <w:sz w:val="18"/>
                <w:szCs w:val="18"/>
              </w:rPr>
            </w:pPr>
            <w:r>
              <w:rPr>
                <w:spacing w:val="-2"/>
                <w:sz w:val="18"/>
                <w:szCs w:val="18"/>
              </w:rPr>
              <w:t>0.040L</w:t>
            </w:r>
          </w:p>
        </w:tc>
        <w:tc>
          <w:tcPr>
            <w:tcW w:w="851" w:type="dxa"/>
            <w:vAlign w:val="top"/>
          </w:tcPr>
          <w:p w14:paraId="37016271">
            <w:pPr>
              <w:pStyle w:val="6"/>
              <w:spacing w:before="125" w:line="232" w:lineRule="auto"/>
              <w:ind w:left="117"/>
              <w:rPr>
                <w:sz w:val="18"/>
                <w:szCs w:val="18"/>
              </w:rPr>
            </w:pPr>
            <w:r>
              <w:rPr>
                <w:spacing w:val="-1"/>
                <w:sz w:val="18"/>
                <w:szCs w:val="18"/>
              </w:rPr>
              <w:t>0.0045L</w:t>
            </w:r>
          </w:p>
        </w:tc>
        <w:tc>
          <w:tcPr>
            <w:tcW w:w="851" w:type="dxa"/>
            <w:vAlign w:val="top"/>
          </w:tcPr>
          <w:p w14:paraId="4D18BB49">
            <w:pPr>
              <w:pStyle w:val="6"/>
              <w:spacing w:before="125" w:line="232" w:lineRule="auto"/>
              <w:ind w:left="118"/>
              <w:rPr>
                <w:sz w:val="18"/>
                <w:szCs w:val="18"/>
              </w:rPr>
            </w:pPr>
            <w:r>
              <w:rPr>
                <w:spacing w:val="-1"/>
                <w:sz w:val="18"/>
                <w:szCs w:val="18"/>
              </w:rPr>
              <w:t>0.0005L</w:t>
            </w:r>
          </w:p>
        </w:tc>
        <w:tc>
          <w:tcPr>
            <w:tcW w:w="708" w:type="dxa"/>
            <w:vAlign w:val="top"/>
          </w:tcPr>
          <w:p w14:paraId="2306DD70">
            <w:pPr>
              <w:pStyle w:val="6"/>
              <w:spacing w:before="125" w:line="232" w:lineRule="auto"/>
              <w:ind w:left="92"/>
              <w:rPr>
                <w:sz w:val="18"/>
                <w:szCs w:val="18"/>
              </w:rPr>
            </w:pPr>
            <w:r>
              <w:rPr>
                <w:spacing w:val="-2"/>
                <w:sz w:val="18"/>
                <w:szCs w:val="18"/>
              </w:rPr>
              <w:t>0.009L</w:t>
            </w:r>
          </w:p>
        </w:tc>
        <w:tc>
          <w:tcPr>
            <w:tcW w:w="707" w:type="dxa"/>
            <w:vAlign w:val="top"/>
          </w:tcPr>
          <w:p w14:paraId="67127DA2">
            <w:pPr>
              <w:pStyle w:val="6"/>
              <w:spacing w:before="125" w:line="232" w:lineRule="auto"/>
              <w:ind w:left="148"/>
              <w:rPr>
                <w:sz w:val="18"/>
                <w:szCs w:val="18"/>
              </w:rPr>
            </w:pPr>
            <w:r>
              <w:rPr>
                <w:spacing w:val="-2"/>
                <w:sz w:val="18"/>
                <w:szCs w:val="18"/>
              </w:rPr>
              <w:t>0.020</w:t>
            </w:r>
          </w:p>
        </w:tc>
        <w:tc>
          <w:tcPr>
            <w:tcW w:w="567" w:type="dxa"/>
            <w:vAlign w:val="top"/>
          </w:tcPr>
          <w:p w14:paraId="1669C46B">
            <w:pPr>
              <w:pStyle w:val="6"/>
              <w:spacing w:before="125" w:line="232" w:lineRule="auto"/>
              <w:ind w:left="184"/>
              <w:rPr>
                <w:sz w:val="18"/>
                <w:szCs w:val="18"/>
              </w:rPr>
            </w:pPr>
            <w:r>
              <w:rPr>
                <w:spacing w:val="-7"/>
                <w:sz w:val="18"/>
                <w:szCs w:val="18"/>
              </w:rPr>
              <w:t>1.7</w:t>
            </w:r>
          </w:p>
        </w:tc>
        <w:tc>
          <w:tcPr>
            <w:tcW w:w="566" w:type="dxa"/>
            <w:vAlign w:val="top"/>
          </w:tcPr>
          <w:p w14:paraId="7B3029CE">
            <w:pPr>
              <w:pStyle w:val="6"/>
              <w:spacing w:before="125" w:line="232" w:lineRule="auto"/>
              <w:ind w:left="169"/>
              <w:rPr>
                <w:sz w:val="18"/>
                <w:szCs w:val="18"/>
              </w:rPr>
            </w:pPr>
            <w:r>
              <w:rPr>
                <w:spacing w:val="-3"/>
                <w:sz w:val="18"/>
                <w:szCs w:val="18"/>
              </w:rPr>
              <w:t>7.7</w:t>
            </w:r>
          </w:p>
        </w:tc>
        <w:tc>
          <w:tcPr>
            <w:tcW w:w="851" w:type="dxa"/>
            <w:vAlign w:val="top"/>
          </w:tcPr>
          <w:p w14:paraId="2E5CF6B1">
            <w:pPr>
              <w:pStyle w:val="6"/>
              <w:spacing w:before="125" w:line="232" w:lineRule="auto"/>
              <w:ind w:left="288"/>
              <w:rPr>
                <w:sz w:val="18"/>
                <w:szCs w:val="18"/>
              </w:rPr>
            </w:pPr>
            <w:r>
              <w:rPr>
                <w:spacing w:val="-1"/>
                <w:sz w:val="18"/>
                <w:szCs w:val="18"/>
              </w:rPr>
              <w:t>217</w:t>
            </w:r>
          </w:p>
        </w:tc>
        <w:tc>
          <w:tcPr>
            <w:tcW w:w="567" w:type="dxa"/>
            <w:vAlign w:val="top"/>
          </w:tcPr>
          <w:p w14:paraId="5CCF5D3B">
            <w:pPr>
              <w:pStyle w:val="6"/>
              <w:spacing w:before="126" w:line="232" w:lineRule="auto"/>
              <w:ind w:left="164"/>
              <w:rPr>
                <w:sz w:val="18"/>
                <w:szCs w:val="18"/>
              </w:rPr>
            </w:pPr>
            <w:r>
              <w:rPr>
                <w:spacing w:val="-5"/>
                <w:sz w:val="18"/>
                <w:szCs w:val="18"/>
              </w:rPr>
              <w:t>168</w:t>
            </w:r>
          </w:p>
        </w:tc>
        <w:tc>
          <w:tcPr>
            <w:tcW w:w="708" w:type="dxa"/>
            <w:vAlign w:val="top"/>
          </w:tcPr>
          <w:p w14:paraId="3FA7DDC3">
            <w:pPr>
              <w:pStyle w:val="6"/>
              <w:spacing w:before="125" w:line="232" w:lineRule="auto"/>
              <w:ind w:left="198"/>
              <w:rPr>
                <w:sz w:val="18"/>
                <w:szCs w:val="18"/>
              </w:rPr>
            </w:pPr>
            <w:r>
              <w:rPr>
                <w:spacing w:val="-2"/>
                <w:sz w:val="18"/>
                <w:szCs w:val="18"/>
              </w:rPr>
              <w:t>0.52</w:t>
            </w:r>
          </w:p>
        </w:tc>
        <w:tc>
          <w:tcPr>
            <w:tcW w:w="851" w:type="dxa"/>
            <w:vAlign w:val="top"/>
          </w:tcPr>
          <w:p w14:paraId="31581888">
            <w:pPr>
              <w:pStyle w:val="6"/>
              <w:spacing w:before="125" w:line="232" w:lineRule="auto"/>
              <w:ind w:left="170"/>
              <w:rPr>
                <w:sz w:val="18"/>
                <w:szCs w:val="18"/>
              </w:rPr>
            </w:pPr>
            <w:r>
              <w:rPr>
                <w:spacing w:val="-2"/>
                <w:sz w:val="18"/>
                <w:szCs w:val="18"/>
              </w:rPr>
              <w:t>0.002L</w:t>
            </w:r>
          </w:p>
        </w:tc>
        <w:tc>
          <w:tcPr>
            <w:tcW w:w="990" w:type="dxa"/>
            <w:vAlign w:val="top"/>
          </w:tcPr>
          <w:p w14:paraId="204C4E8A">
            <w:pPr>
              <w:pStyle w:val="6"/>
              <w:spacing w:before="125" w:line="232" w:lineRule="auto"/>
              <w:ind w:left="241"/>
              <w:rPr>
                <w:sz w:val="18"/>
                <w:szCs w:val="18"/>
              </w:rPr>
            </w:pPr>
            <w:r>
              <w:rPr>
                <w:spacing w:val="-2"/>
                <w:sz w:val="18"/>
                <w:szCs w:val="18"/>
              </w:rPr>
              <w:t>0.050L</w:t>
            </w:r>
          </w:p>
        </w:tc>
        <w:tc>
          <w:tcPr>
            <w:tcW w:w="566" w:type="dxa"/>
            <w:vAlign w:val="top"/>
          </w:tcPr>
          <w:p w14:paraId="46BB01C7">
            <w:pPr>
              <w:pStyle w:val="6"/>
              <w:spacing w:before="125" w:line="232" w:lineRule="auto"/>
              <w:ind w:left="85"/>
              <w:rPr>
                <w:sz w:val="18"/>
                <w:szCs w:val="18"/>
              </w:rPr>
            </w:pPr>
            <w:r>
              <w:rPr>
                <w:spacing w:val="-2"/>
                <w:sz w:val="18"/>
                <w:szCs w:val="18"/>
              </w:rPr>
              <w:t>0.001</w:t>
            </w:r>
          </w:p>
        </w:tc>
        <w:tc>
          <w:tcPr>
            <w:tcW w:w="851" w:type="dxa"/>
            <w:vAlign w:val="top"/>
          </w:tcPr>
          <w:p w14:paraId="42C10344">
            <w:pPr>
              <w:pStyle w:val="6"/>
              <w:spacing w:before="125" w:line="232" w:lineRule="auto"/>
              <w:ind w:left="128"/>
              <w:rPr>
                <w:sz w:val="18"/>
                <w:szCs w:val="18"/>
              </w:rPr>
            </w:pPr>
            <w:r>
              <w:rPr>
                <w:spacing w:val="-1"/>
                <w:sz w:val="18"/>
                <w:szCs w:val="18"/>
              </w:rPr>
              <w:t>0.0005L</w:t>
            </w:r>
          </w:p>
        </w:tc>
        <w:tc>
          <w:tcPr>
            <w:tcW w:w="704" w:type="dxa"/>
            <w:vAlign w:val="top"/>
          </w:tcPr>
          <w:p w14:paraId="6C3B7220">
            <w:pPr>
              <w:pStyle w:val="6"/>
              <w:spacing w:before="125" w:line="232" w:lineRule="auto"/>
              <w:ind w:left="100"/>
              <w:rPr>
                <w:sz w:val="18"/>
                <w:szCs w:val="18"/>
              </w:rPr>
            </w:pPr>
            <w:r>
              <w:rPr>
                <w:spacing w:val="-2"/>
                <w:sz w:val="18"/>
                <w:szCs w:val="18"/>
              </w:rPr>
              <w:t>0.004L</w:t>
            </w:r>
          </w:p>
        </w:tc>
        <w:tc>
          <w:tcPr>
            <w:tcW w:w="851" w:type="dxa"/>
            <w:vAlign w:val="top"/>
          </w:tcPr>
          <w:p w14:paraId="3D15EF54">
            <w:pPr>
              <w:pStyle w:val="6"/>
              <w:spacing w:before="125" w:line="232" w:lineRule="auto"/>
              <w:ind w:left="131"/>
              <w:rPr>
                <w:sz w:val="18"/>
                <w:szCs w:val="18"/>
              </w:rPr>
            </w:pPr>
            <w:r>
              <w:rPr>
                <w:spacing w:val="-1"/>
                <w:sz w:val="18"/>
                <w:szCs w:val="18"/>
              </w:rPr>
              <w:t>0.0025L</w:t>
            </w:r>
          </w:p>
        </w:tc>
        <w:tc>
          <w:tcPr>
            <w:tcW w:w="851" w:type="dxa"/>
            <w:vAlign w:val="top"/>
          </w:tcPr>
          <w:p w14:paraId="105617FF">
            <w:pPr>
              <w:pStyle w:val="6"/>
              <w:spacing w:before="125" w:line="232" w:lineRule="auto"/>
              <w:ind w:left="132"/>
              <w:rPr>
                <w:sz w:val="18"/>
                <w:szCs w:val="18"/>
              </w:rPr>
            </w:pPr>
            <w:r>
              <w:rPr>
                <w:spacing w:val="-1"/>
                <w:sz w:val="18"/>
                <w:szCs w:val="18"/>
              </w:rPr>
              <w:t>0.0001L</w:t>
            </w:r>
          </w:p>
        </w:tc>
        <w:tc>
          <w:tcPr>
            <w:tcW w:w="846" w:type="dxa"/>
            <w:vAlign w:val="top"/>
          </w:tcPr>
          <w:p w14:paraId="5D0AF974">
            <w:pPr>
              <w:pStyle w:val="6"/>
              <w:spacing w:before="125" w:line="232" w:lineRule="auto"/>
              <w:ind w:left="186"/>
              <w:rPr>
                <w:sz w:val="18"/>
                <w:szCs w:val="18"/>
              </w:rPr>
            </w:pPr>
            <w:r>
              <w:rPr>
                <w:spacing w:val="-2"/>
                <w:sz w:val="18"/>
                <w:szCs w:val="18"/>
              </w:rPr>
              <w:t>0.0013</w:t>
            </w:r>
          </w:p>
        </w:tc>
        <w:tc>
          <w:tcPr>
            <w:tcW w:w="684" w:type="dxa"/>
            <w:vAlign w:val="top"/>
          </w:tcPr>
          <w:p w14:paraId="3AF72467">
            <w:pPr>
              <w:pStyle w:val="6"/>
              <w:spacing w:before="125" w:line="232" w:lineRule="auto"/>
              <w:ind w:left="96"/>
              <w:rPr>
                <w:sz w:val="18"/>
                <w:szCs w:val="18"/>
              </w:rPr>
            </w:pPr>
            <w:r>
              <w:rPr>
                <w:spacing w:val="-2"/>
                <w:sz w:val="18"/>
                <w:szCs w:val="18"/>
              </w:rPr>
              <w:t>0.002L</w:t>
            </w:r>
          </w:p>
        </w:tc>
        <w:tc>
          <w:tcPr>
            <w:tcW w:w="460" w:type="dxa"/>
            <w:vAlign w:val="top"/>
          </w:tcPr>
          <w:p w14:paraId="74237AC7">
            <w:pPr>
              <w:pStyle w:val="6"/>
              <w:spacing w:before="125" w:line="232" w:lineRule="auto"/>
              <w:ind w:left="130"/>
              <w:rPr>
                <w:sz w:val="18"/>
                <w:szCs w:val="18"/>
              </w:rPr>
            </w:pPr>
            <w:r>
              <w:rPr>
                <w:spacing w:val="-3"/>
                <w:sz w:val="18"/>
                <w:szCs w:val="18"/>
              </w:rPr>
              <w:t>0.6</w:t>
            </w:r>
          </w:p>
        </w:tc>
        <w:tc>
          <w:tcPr>
            <w:tcW w:w="428" w:type="dxa"/>
            <w:vAlign w:val="top"/>
          </w:tcPr>
          <w:p w14:paraId="1F7EB195">
            <w:pPr>
              <w:pStyle w:val="6"/>
              <w:spacing w:before="125" w:line="232" w:lineRule="auto"/>
              <w:ind w:left="129"/>
              <w:rPr>
                <w:sz w:val="18"/>
                <w:szCs w:val="18"/>
              </w:rPr>
            </w:pPr>
            <w:r>
              <w:rPr>
                <w:spacing w:val="-7"/>
                <w:sz w:val="18"/>
                <w:szCs w:val="18"/>
              </w:rPr>
              <w:t>1.1</w:t>
            </w:r>
          </w:p>
        </w:tc>
        <w:tc>
          <w:tcPr>
            <w:tcW w:w="447" w:type="dxa"/>
            <w:vAlign w:val="top"/>
          </w:tcPr>
          <w:p w14:paraId="10AF1F18">
            <w:pPr>
              <w:pStyle w:val="6"/>
              <w:spacing w:before="125" w:line="232" w:lineRule="auto"/>
              <w:ind w:left="205"/>
              <w:rPr>
                <w:sz w:val="18"/>
                <w:szCs w:val="18"/>
              </w:rPr>
            </w:pPr>
            <w:r>
              <w:rPr>
                <w:sz w:val="18"/>
                <w:szCs w:val="18"/>
              </w:rPr>
              <w:t>/</w:t>
            </w:r>
          </w:p>
        </w:tc>
        <w:tc>
          <w:tcPr>
            <w:tcW w:w="666" w:type="dxa"/>
            <w:tcBorders>
              <w:right w:val="single" w:color="000000" w:sz="12" w:space="0"/>
            </w:tcBorders>
            <w:vAlign w:val="top"/>
          </w:tcPr>
          <w:p w14:paraId="7134886D">
            <w:pPr>
              <w:pStyle w:val="6"/>
              <w:spacing w:before="125" w:line="232" w:lineRule="auto"/>
              <w:ind w:left="247"/>
              <w:rPr>
                <w:sz w:val="18"/>
                <w:szCs w:val="18"/>
              </w:rPr>
            </w:pPr>
            <w:r>
              <w:rPr>
                <w:spacing w:val="-2"/>
                <w:sz w:val="18"/>
                <w:szCs w:val="18"/>
              </w:rPr>
              <w:t>70</w:t>
            </w:r>
          </w:p>
        </w:tc>
      </w:tr>
      <w:tr w14:paraId="46B31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70C05051">
            <w:pPr>
              <w:rPr>
                <w:rFonts w:ascii="Arial"/>
                <w:sz w:val="21"/>
              </w:rPr>
            </w:pPr>
          </w:p>
        </w:tc>
        <w:tc>
          <w:tcPr>
            <w:tcW w:w="285" w:type="dxa"/>
            <w:vMerge w:val="continue"/>
            <w:tcBorders>
              <w:top w:val="nil"/>
            </w:tcBorders>
            <w:vAlign w:val="top"/>
          </w:tcPr>
          <w:p w14:paraId="3FD0212B">
            <w:pPr>
              <w:rPr>
                <w:rFonts w:ascii="Arial"/>
                <w:sz w:val="21"/>
              </w:rPr>
            </w:pPr>
          </w:p>
        </w:tc>
        <w:tc>
          <w:tcPr>
            <w:tcW w:w="1131" w:type="dxa"/>
            <w:vAlign w:val="top"/>
          </w:tcPr>
          <w:p w14:paraId="4433B882">
            <w:pPr>
              <w:pStyle w:val="6"/>
              <w:spacing w:before="128" w:line="232" w:lineRule="auto"/>
              <w:ind w:left="185"/>
              <w:rPr>
                <w:sz w:val="18"/>
                <w:szCs w:val="18"/>
              </w:rPr>
            </w:pPr>
            <w:r>
              <w:rPr>
                <w:spacing w:val="-1"/>
                <w:sz w:val="18"/>
                <w:szCs w:val="18"/>
              </w:rPr>
              <w:t>2021/3/20</w:t>
            </w:r>
          </w:p>
        </w:tc>
        <w:tc>
          <w:tcPr>
            <w:tcW w:w="570" w:type="dxa"/>
            <w:vAlign w:val="top"/>
          </w:tcPr>
          <w:p w14:paraId="38675AB4">
            <w:pPr>
              <w:pStyle w:val="6"/>
              <w:spacing w:before="133" w:line="183" w:lineRule="auto"/>
              <w:ind w:left="176"/>
              <w:rPr>
                <w:sz w:val="18"/>
                <w:szCs w:val="18"/>
              </w:rPr>
            </w:pPr>
            <w:r>
              <w:rPr>
                <w:spacing w:val="-2"/>
                <w:sz w:val="18"/>
                <w:szCs w:val="18"/>
              </w:rPr>
              <w:t>5L</w:t>
            </w:r>
          </w:p>
        </w:tc>
        <w:tc>
          <w:tcPr>
            <w:tcW w:w="703" w:type="dxa"/>
            <w:vAlign w:val="top"/>
          </w:tcPr>
          <w:p w14:paraId="74221A0E">
            <w:pPr>
              <w:pStyle w:val="6"/>
              <w:spacing w:before="128" w:line="232" w:lineRule="auto"/>
              <w:ind w:left="175"/>
              <w:rPr>
                <w:sz w:val="18"/>
                <w:szCs w:val="18"/>
              </w:rPr>
            </w:pPr>
            <w:r>
              <w:rPr>
                <w:spacing w:val="-2"/>
                <w:sz w:val="18"/>
                <w:szCs w:val="18"/>
              </w:rPr>
              <w:t>0.5L</w:t>
            </w:r>
          </w:p>
        </w:tc>
        <w:tc>
          <w:tcPr>
            <w:tcW w:w="708" w:type="dxa"/>
            <w:vAlign w:val="top"/>
          </w:tcPr>
          <w:p w14:paraId="3D441ACB">
            <w:pPr>
              <w:pStyle w:val="6"/>
              <w:spacing w:before="128" w:line="232" w:lineRule="auto"/>
              <w:ind w:left="188"/>
              <w:rPr>
                <w:sz w:val="18"/>
                <w:szCs w:val="18"/>
              </w:rPr>
            </w:pPr>
            <w:r>
              <w:rPr>
                <w:spacing w:val="-2"/>
                <w:sz w:val="18"/>
                <w:szCs w:val="18"/>
              </w:rPr>
              <w:t>7.92</w:t>
            </w:r>
          </w:p>
        </w:tc>
        <w:tc>
          <w:tcPr>
            <w:tcW w:w="708" w:type="dxa"/>
            <w:vAlign w:val="top"/>
          </w:tcPr>
          <w:p w14:paraId="1D49084F">
            <w:pPr>
              <w:pStyle w:val="6"/>
              <w:spacing w:before="128" w:line="232" w:lineRule="auto"/>
              <w:ind w:left="88"/>
              <w:rPr>
                <w:sz w:val="18"/>
                <w:szCs w:val="18"/>
              </w:rPr>
            </w:pPr>
            <w:r>
              <w:rPr>
                <w:spacing w:val="-2"/>
                <w:sz w:val="18"/>
                <w:szCs w:val="18"/>
              </w:rPr>
              <w:t>0.040L</w:t>
            </w:r>
          </w:p>
        </w:tc>
        <w:tc>
          <w:tcPr>
            <w:tcW w:w="851" w:type="dxa"/>
            <w:vAlign w:val="top"/>
          </w:tcPr>
          <w:p w14:paraId="1815F04A">
            <w:pPr>
              <w:pStyle w:val="6"/>
              <w:spacing w:before="128" w:line="232" w:lineRule="auto"/>
              <w:ind w:left="117"/>
              <w:rPr>
                <w:sz w:val="18"/>
                <w:szCs w:val="18"/>
              </w:rPr>
            </w:pPr>
            <w:r>
              <w:rPr>
                <w:spacing w:val="-1"/>
                <w:sz w:val="18"/>
                <w:szCs w:val="18"/>
              </w:rPr>
              <w:t>0.0045L</w:t>
            </w:r>
          </w:p>
        </w:tc>
        <w:tc>
          <w:tcPr>
            <w:tcW w:w="851" w:type="dxa"/>
            <w:vAlign w:val="top"/>
          </w:tcPr>
          <w:p w14:paraId="090B47B7">
            <w:pPr>
              <w:pStyle w:val="6"/>
              <w:spacing w:before="128" w:line="232" w:lineRule="auto"/>
              <w:ind w:left="118"/>
              <w:rPr>
                <w:sz w:val="18"/>
                <w:szCs w:val="18"/>
              </w:rPr>
            </w:pPr>
            <w:r>
              <w:rPr>
                <w:spacing w:val="-1"/>
                <w:sz w:val="18"/>
                <w:szCs w:val="18"/>
              </w:rPr>
              <w:t>0.0005L</w:t>
            </w:r>
          </w:p>
        </w:tc>
        <w:tc>
          <w:tcPr>
            <w:tcW w:w="708" w:type="dxa"/>
            <w:vAlign w:val="top"/>
          </w:tcPr>
          <w:p w14:paraId="23C0CA53">
            <w:pPr>
              <w:pStyle w:val="6"/>
              <w:spacing w:before="128" w:line="232" w:lineRule="auto"/>
              <w:ind w:left="92"/>
              <w:rPr>
                <w:sz w:val="18"/>
                <w:szCs w:val="18"/>
              </w:rPr>
            </w:pPr>
            <w:r>
              <w:rPr>
                <w:spacing w:val="-2"/>
                <w:sz w:val="18"/>
                <w:szCs w:val="18"/>
              </w:rPr>
              <w:t>0.009L</w:t>
            </w:r>
          </w:p>
        </w:tc>
        <w:tc>
          <w:tcPr>
            <w:tcW w:w="707" w:type="dxa"/>
            <w:vAlign w:val="top"/>
          </w:tcPr>
          <w:p w14:paraId="36AC3D03">
            <w:pPr>
              <w:pStyle w:val="6"/>
              <w:spacing w:before="128" w:line="232" w:lineRule="auto"/>
              <w:ind w:left="148"/>
              <w:rPr>
                <w:sz w:val="18"/>
                <w:szCs w:val="18"/>
              </w:rPr>
            </w:pPr>
            <w:r>
              <w:rPr>
                <w:spacing w:val="-2"/>
                <w:sz w:val="18"/>
                <w:szCs w:val="18"/>
              </w:rPr>
              <w:t>0.019</w:t>
            </w:r>
          </w:p>
        </w:tc>
        <w:tc>
          <w:tcPr>
            <w:tcW w:w="567" w:type="dxa"/>
            <w:vAlign w:val="top"/>
          </w:tcPr>
          <w:p w14:paraId="16B178A0">
            <w:pPr>
              <w:pStyle w:val="6"/>
              <w:spacing w:before="128" w:line="232" w:lineRule="auto"/>
              <w:ind w:left="184"/>
              <w:rPr>
                <w:sz w:val="18"/>
                <w:szCs w:val="18"/>
              </w:rPr>
            </w:pPr>
            <w:r>
              <w:rPr>
                <w:spacing w:val="-7"/>
                <w:sz w:val="18"/>
                <w:szCs w:val="18"/>
              </w:rPr>
              <w:t>1.6</w:t>
            </w:r>
          </w:p>
        </w:tc>
        <w:tc>
          <w:tcPr>
            <w:tcW w:w="566" w:type="dxa"/>
            <w:vAlign w:val="top"/>
          </w:tcPr>
          <w:p w14:paraId="2B1EE53C">
            <w:pPr>
              <w:pStyle w:val="6"/>
              <w:spacing w:before="128" w:line="232" w:lineRule="auto"/>
              <w:ind w:left="173"/>
              <w:rPr>
                <w:sz w:val="18"/>
                <w:szCs w:val="18"/>
              </w:rPr>
            </w:pPr>
            <w:r>
              <w:rPr>
                <w:spacing w:val="-4"/>
                <w:sz w:val="18"/>
                <w:szCs w:val="18"/>
              </w:rPr>
              <w:t>8.3</w:t>
            </w:r>
          </w:p>
        </w:tc>
        <w:tc>
          <w:tcPr>
            <w:tcW w:w="851" w:type="dxa"/>
            <w:vAlign w:val="top"/>
          </w:tcPr>
          <w:p w14:paraId="6EC44B4C">
            <w:pPr>
              <w:pStyle w:val="6"/>
              <w:spacing w:before="128" w:line="232" w:lineRule="auto"/>
              <w:ind w:left="288"/>
              <w:rPr>
                <w:sz w:val="18"/>
                <w:szCs w:val="18"/>
              </w:rPr>
            </w:pPr>
            <w:r>
              <w:rPr>
                <w:spacing w:val="-1"/>
                <w:sz w:val="18"/>
                <w:szCs w:val="18"/>
              </w:rPr>
              <w:t>235</w:t>
            </w:r>
          </w:p>
        </w:tc>
        <w:tc>
          <w:tcPr>
            <w:tcW w:w="567" w:type="dxa"/>
            <w:vAlign w:val="top"/>
          </w:tcPr>
          <w:p w14:paraId="15406B22">
            <w:pPr>
              <w:pStyle w:val="6"/>
              <w:spacing w:before="128" w:line="232" w:lineRule="auto"/>
              <w:ind w:left="164"/>
              <w:rPr>
                <w:sz w:val="18"/>
                <w:szCs w:val="18"/>
              </w:rPr>
            </w:pPr>
            <w:r>
              <w:rPr>
                <w:spacing w:val="-5"/>
                <w:sz w:val="18"/>
                <w:szCs w:val="18"/>
              </w:rPr>
              <w:t>182</w:t>
            </w:r>
          </w:p>
        </w:tc>
        <w:tc>
          <w:tcPr>
            <w:tcW w:w="708" w:type="dxa"/>
            <w:vAlign w:val="top"/>
          </w:tcPr>
          <w:p w14:paraId="213E48DC">
            <w:pPr>
              <w:pStyle w:val="6"/>
              <w:spacing w:before="128" w:line="232" w:lineRule="auto"/>
              <w:ind w:left="198"/>
              <w:rPr>
                <w:sz w:val="18"/>
                <w:szCs w:val="18"/>
              </w:rPr>
            </w:pPr>
            <w:r>
              <w:rPr>
                <w:spacing w:val="-2"/>
                <w:sz w:val="18"/>
                <w:szCs w:val="18"/>
              </w:rPr>
              <w:t>0.58</w:t>
            </w:r>
          </w:p>
        </w:tc>
        <w:tc>
          <w:tcPr>
            <w:tcW w:w="851" w:type="dxa"/>
            <w:vAlign w:val="top"/>
          </w:tcPr>
          <w:p w14:paraId="38CEDF4E">
            <w:pPr>
              <w:pStyle w:val="6"/>
              <w:spacing w:before="128" w:line="232" w:lineRule="auto"/>
              <w:ind w:left="170"/>
              <w:rPr>
                <w:sz w:val="18"/>
                <w:szCs w:val="18"/>
              </w:rPr>
            </w:pPr>
            <w:r>
              <w:rPr>
                <w:spacing w:val="-2"/>
                <w:sz w:val="18"/>
                <w:szCs w:val="18"/>
              </w:rPr>
              <w:t>0.002L</w:t>
            </w:r>
          </w:p>
        </w:tc>
        <w:tc>
          <w:tcPr>
            <w:tcW w:w="990" w:type="dxa"/>
            <w:vAlign w:val="top"/>
          </w:tcPr>
          <w:p w14:paraId="4E55D3A4">
            <w:pPr>
              <w:pStyle w:val="6"/>
              <w:spacing w:before="128" w:line="232" w:lineRule="auto"/>
              <w:ind w:left="241"/>
              <w:rPr>
                <w:sz w:val="18"/>
                <w:szCs w:val="18"/>
              </w:rPr>
            </w:pPr>
            <w:r>
              <w:rPr>
                <w:spacing w:val="-2"/>
                <w:sz w:val="18"/>
                <w:szCs w:val="18"/>
              </w:rPr>
              <w:t>0.050L</w:t>
            </w:r>
          </w:p>
        </w:tc>
        <w:tc>
          <w:tcPr>
            <w:tcW w:w="566" w:type="dxa"/>
            <w:vAlign w:val="top"/>
          </w:tcPr>
          <w:p w14:paraId="3F06F8A9">
            <w:pPr>
              <w:pStyle w:val="6"/>
              <w:spacing w:before="128" w:line="232" w:lineRule="auto"/>
              <w:ind w:left="85"/>
              <w:rPr>
                <w:sz w:val="18"/>
                <w:szCs w:val="18"/>
              </w:rPr>
            </w:pPr>
            <w:r>
              <w:rPr>
                <w:spacing w:val="-2"/>
                <w:sz w:val="18"/>
                <w:szCs w:val="18"/>
              </w:rPr>
              <w:t>0.001</w:t>
            </w:r>
          </w:p>
        </w:tc>
        <w:tc>
          <w:tcPr>
            <w:tcW w:w="851" w:type="dxa"/>
            <w:vAlign w:val="top"/>
          </w:tcPr>
          <w:p w14:paraId="64B9BD5C">
            <w:pPr>
              <w:pStyle w:val="6"/>
              <w:spacing w:before="128" w:line="232" w:lineRule="auto"/>
              <w:ind w:left="128"/>
              <w:rPr>
                <w:sz w:val="18"/>
                <w:szCs w:val="18"/>
              </w:rPr>
            </w:pPr>
            <w:r>
              <w:rPr>
                <w:spacing w:val="-1"/>
                <w:sz w:val="18"/>
                <w:szCs w:val="18"/>
              </w:rPr>
              <w:t>0.0005L</w:t>
            </w:r>
          </w:p>
        </w:tc>
        <w:tc>
          <w:tcPr>
            <w:tcW w:w="704" w:type="dxa"/>
            <w:vAlign w:val="top"/>
          </w:tcPr>
          <w:p w14:paraId="575B6D48">
            <w:pPr>
              <w:pStyle w:val="6"/>
              <w:spacing w:before="128" w:line="232" w:lineRule="auto"/>
              <w:ind w:left="100"/>
              <w:rPr>
                <w:sz w:val="18"/>
                <w:szCs w:val="18"/>
              </w:rPr>
            </w:pPr>
            <w:r>
              <w:rPr>
                <w:spacing w:val="-2"/>
                <w:sz w:val="18"/>
                <w:szCs w:val="18"/>
              </w:rPr>
              <w:t>0.004L</w:t>
            </w:r>
          </w:p>
        </w:tc>
        <w:tc>
          <w:tcPr>
            <w:tcW w:w="851" w:type="dxa"/>
            <w:vAlign w:val="top"/>
          </w:tcPr>
          <w:p w14:paraId="7249754A">
            <w:pPr>
              <w:pStyle w:val="6"/>
              <w:spacing w:before="128" w:line="232" w:lineRule="auto"/>
              <w:ind w:left="131"/>
              <w:rPr>
                <w:sz w:val="18"/>
                <w:szCs w:val="18"/>
              </w:rPr>
            </w:pPr>
            <w:r>
              <w:rPr>
                <w:spacing w:val="-1"/>
                <w:sz w:val="18"/>
                <w:szCs w:val="18"/>
              </w:rPr>
              <w:t>0.0025L</w:t>
            </w:r>
          </w:p>
        </w:tc>
        <w:tc>
          <w:tcPr>
            <w:tcW w:w="851" w:type="dxa"/>
            <w:vAlign w:val="top"/>
          </w:tcPr>
          <w:p w14:paraId="4573EA52">
            <w:pPr>
              <w:pStyle w:val="6"/>
              <w:spacing w:before="128" w:line="232" w:lineRule="auto"/>
              <w:ind w:left="132"/>
              <w:rPr>
                <w:sz w:val="18"/>
                <w:szCs w:val="18"/>
              </w:rPr>
            </w:pPr>
            <w:r>
              <w:rPr>
                <w:spacing w:val="-1"/>
                <w:sz w:val="18"/>
                <w:szCs w:val="18"/>
              </w:rPr>
              <w:t>0.0001L</w:t>
            </w:r>
          </w:p>
        </w:tc>
        <w:tc>
          <w:tcPr>
            <w:tcW w:w="846" w:type="dxa"/>
            <w:vAlign w:val="top"/>
          </w:tcPr>
          <w:p w14:paraId="77FFE489">
            <w:pPr>
              <w:pStyle w:val="6"/>
              <w:spacing w:before="128" w:line="232" w:lineRule="auto"/>
              <w:ind w:left="186"/>
              <w:rPr>
                <w:sz w:val="18"/>
                <w:szCs w:val="18"/>
              </w:rPr>
            </w:pPr>
            <w:r>
              <w:rPr>
                <w:spacing w:val="-2"/>
                <w:sz w:val="18"/>
                <w:szCs w:val="18"/>
              </w:rPr>
              <w:t>0.0011</w:t>
            </w:r>
          </w:p>
        </w:tc>
        <w:tc>
          <w:tcPr>
            <w:tcW w:w="684" w:type="dxa"/>
            <w:vAlign w:val="top"/>
          </w:tcPr>
          <w:p w14:paraId="1926665B">
            <w:pPr>
              <w:pStyle w:val="6"/>
              <w:spacing w:before="128" w:line="232" w:lineRule="auto"/>
              <w:ind w:left="96"/>
              <w:rPr>
                <w:sz w:val="18"/>
                <w:szCs w:val="18"/>
              </w:rPr>
            </w:pPr>
            <w:r>
              <w:rPr>
                <w:spacing w:val="-2"/>
                <w:sz w:val="18"/>
                <w:szCs w:val="18"/>
              </w:rPr>
              <w:t>0.002L</w:t>
            </w:r>
          </w:p>
        </w:tc>
        <w:tc>
          <w:tcPr>
            <w:tcW w:w="460" w:type="dxa"/>
            <w:vAlign w:val="top"/>
          </w:tcPr>
          <w:p w14:paraId="52A61F95">
            <w:pPr>
              <w:pStyle w:val="6"/>
              <w:spacing w:before="128" w:line="232" w:lineRule="auto"/>
              <w:ind w:left="130"/>
              <w:rPr>
                <w:sz w:val="18"/>
                <w:szCs w:val="18"/>
              </w:rPr>
            </w:pPr>
            <w:r>
              <w:rPr>
                <w:spacing w:val="-3"/>
                <w:sz w:val="18"/>
                <w:szCs w:val="18"/>
              </w:rPr>
              <w:t>0.7</w:t>
            </w:r>
          </w:p>
        </w:tc>
        <w:tc>
          <w:tcPr>
            <w:tcW w:w="428" w:type="dxa"/>
            <w:vAlign w:val="top"/>
          </w:tcPr>
          <w:p w14:paraId="7B06AC0F">
            <w:pPr>
              <w:pStyle w:val="6"/>
              <w:spacing w:before="128" w:line="232" w:lineRule="auto"/>
              <w:ind w:left="129"/>
              <w:rPr>
                <w:sz w:val="18"/>
                <w:szCs w:val="18"/>
              </w:rPr>
            </w:pPr>
            <w:r>
              <w:rPr>
                <w:spacing w:val="-7"/>
                <w:sz w:val="18"/>
                <w:szCs w:val="18"/>
              </w:rPr>
              <w:t>1.3</w:t>
            </w:r>
          </w:p>
        </w:tc>
        <w:tc>
          <w:tcPr>
            <w:tcW w:w="447" w:type="dxa"/>
            <w:vAlign w:val="top"/>
          </w:tcPr>
          <w:p w14:paraId="0166DC6C">
            <w:pPr>
              <w:pStyle w:val="6"/>
              <w:spacing w:before="128" w:line="232" w:lineRule="auto"/>
              <w:ind w:left="205"/>
              <w:rPr>
                <w:sz w:val="18"/>
                <w:szCs w:val="18"/>
              </w:rPr>
            </w:pPr>
            <w:r>
              <w:rPr>
                <w:sz w:val="18"/>
                <w:szCs w:val="18"/>
              </w:rPr>
              <w:t>/</w:t>
            </w:r>
          </w:p>
        </w:tc>
        <w:tc>
          <w:tcPr>
            <w:tcW w:w="666" w:type="dxa"/>
            <w:tcBorders>
              <w:right w:val="single" w:color="000000" w:sz="12" w:space="0"/>
            </w:tcBorders>
            <w:vAlign w:val="top"/>
          </w:tcPr>
          <w:p w14:paraId="45A2B5F4">
            <w:pPr>
              <w:pStyle w:val="6"/>
              <w:spacing w:before="128" w:line="232" w:lineRule="auto"/>
              <w:ind w:left="251"/>
              <w:rPr>
                <w:sz w:val="18"/>
                <w:szCs w:val="18"/>
              </w:rPr>
            </w:pPr>
            <w:r>
              <w:rPr>
                <w:spacing w:val="-3"/>
                <w:sz w:val="18"/>
                <w:szCs w:val="18"/>
              </w:rPr>
              <w:t>80</w:t>
            </w:r>
          </w:p>
        </w:tc>
      </w:tr>
      <w:tr w14:paraId="4EF41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1D230683">
            <w:pPr>
              <w:rPr>
                <w:rFonts w:ascii="Arial"/>
                <w:sz w:val="21"/>
              </w:rPr>
            </w:pPr>
          </w:p>
        </w:tc>
        <w:tc>
          <w:tcPr>
            <w:tcW w:w="285" w:type="dxa"/>
            <w:vMerge w:val="restart"/>
            <w:tcBorders>
              <w:bottom w:val="nil"/>
            </w:tcBorders>
            <w:vAlign w:val="top"/>
          </w:tcPr>
          <w:p w14:paraId="0741E465">
            <w:pPr>
              <w:pStyle w:val="6"/>
              <w:spacing w:before="275" w:line="235" w:lineRule="auto"/>
              <w:ind w:left="38" w:right="63"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131" w:type="dxa"/>
            <w:vAlign w:val="top"/>
          </w:tcPr>
          <w:p w14:paraId="4BFF8C05">
            <w:pPr>
              <w:pStyle w:val="6"/>
              <w:spacing w:before="128" w:line="232" w:lineRule="auto"/>
              <w:ind w:left="230"/>
              <w:rPr>
                <w:sz w:val="18"/>
                <w:szCs w:val="18"/>
              </w:rPr>
            </w:pPr>
            <w:r>
              <w:rPr>
                <w:spacing w:val="-1"/>
                <w:sz w:val="18"/>
                <w:szCs w:val="18"/>
              </w:rPr>
              <w:t>2021/6/3</w:t>
            </w:r>
          </w:p>
        </w:tc>
        <w:tc>
          <w:tcPr>
            <w:tcW w:w="570" w:type="dxa"/>
            <w:vAlign w:val="top"/>
          </w:tcPr>
          <w:p w14:paraId="7F56B552">
            <w:pPr>
              <w:pStyle w:val="6"/>
              <w:spacing w:before="133" w:line="183" w:lineRule="auto"/>
              <w:ind w:left="176"/>
              <w:rPr>
                <w:sz w:val="18"/>
                <w:szCs w:val="18"/>
              </w:rPr>
            </w:pPr>
            <w:r>
              <w:rPr>
                <w:spacing w:val="-2"/>
                <w:sz w:val="18"/>
                <w:szCs w:val="18"/>
              </w:rPr>
              <w:t>5L</w:t>
            </w:r>
          </w:p>
        </w:tc>
        <w:tc>
          <w:tcPr>
            <w:tcW w:w="703" w:type="dxa"/>
            <w:vAlign w:val="top"/>
          </w:tcPr>
          <w:p w14:paraId="0D4F5FE1">
            <w:pPr>
              <w:pStyle w:val="6"/>
              <w:spacing w:before="128" w:line="232" w:lineRule="auto"/>
              <w:ind w:left="175"/>
              <w:rPr>
                <w:sz w:val="18"/>
                <w:szCs w:val="18"/>
              </w:rPr>
            </w:pPr>
            <w:r>
              <w:rPr>
                <w:spacing w:val="-2"/>
                <w:sz w:val="18"/>
                <w:szCs w:val="18"/>
              </w:rPr>
              <w:t>0.5L</w:t>
            </w:r>
          </w:p>
        </w:tc>
        <w:tc>
          <w:tcPr>
            <w:tcW w:w="708" w:type="dxa"/>
            <w:vAlign w:val="top"/>
          </w:tcPr>
          <w:p w14:paraId="51A67EC4">
            <w:pPr>
              <w:pStyle w:val="6"/>
              <w:spacing w:before="128" w:line="232" w:lineRule="auto"/>
              <w:ind w:left="188"/>
              <w:rPr>
                <w:sz w:val="18"/>
                <w:szCs w:val="18"/>
              </w:rPr>
            </w:pPr>
            <w:r>
              <w:rPr>
                <w:spacing w:val="-2"/>
                <w:sz w:val="18"/>
                <w:szCs w:val="18"/>
              </w:rPr>
              <w:t>7.94</w:t>
            </w:r>
          </w:p>
        </w:tc>
        <w:tc>
          <w:tcPr>
            <w:tcW w:w="708" w:type="dxa"/>
            <w:vAlign w:val="top"/>
          </w:tcPr>
          <w:p w14:paraId="0AF4EA88">
            <w:pPr>
              <w:pStyle w:val="6"/>
              <w:spacing w:before="128" w:line="232" w:lineRule="auto"/>
              <w:ind w:left="88"/>
              <w:rPr>
                <w:sz w:val="18"/>
                <w:szCs w:val="18"/>
              </w:rPr>
            </w:pPr>
            <w:r>
              <w:rPr>
                <w:spacing w:val="-2"/>
                <w:sz w:val="18"/>
                <w:szCs w:val="18"/>
              </w:rPr>
              <w:t>0.040L</w:t>
            </w:r>
          </w:p>
        </w:tc>
        <w:tc>
          <w:tcPr>
            <w:tcW w:w="851" w:type="dxa"/>
            <w:vAlign w:val="top"/>
          </w:tcPr>
          <w:p w14:paraId="523BD800">
            <w:pPr>
              <w:pStyle w:val="6"/>
              <w:spacing w:before="128" w:line="232" w:lineRule="auto"/>
              <w:ind w:left="117"/>
              <w:rPr>
                <w:sz w:val="18"/>
                <w:szCs w:val="18"/>
              </w:rPr>
            </w:pPr>
            <w:r>
              <w:rPr>
                <w:spacing w:val="-1"/>
                <w:sz w:val="18"/>
                <w:szCs w:val="18"/>
              </w:rPr>
              <w:t>0.0045L</w:t>
            </w:r>
          </w:p>
        </w:tc>
        <w:tc>
          <w:tcPr>
            <w:tcW w:w="851" w:type="dxa"/>
            <w:vAlign w:val="top"/>
          </w:tcPr>
          <w:p w14:paraId="5D9DFEF1">
            <w:pPr>
              <w:pStyle w:val="6"/>
              <w:spacing w:before="128" w:line="232" w:lineRule="auto"/>
              <w:ind w:left="118"/>
              <w:rPr>
                <w:sz w:val="18"/>
                <w:szCs w:val="18"/>
              </w:rPr>
            </w:pPr>
            <w:r>
              <w:rPr>
                <w:spacing w:val="-1"/>
                <w:sz w:val="18"/>
                <w:szCs w:val="18"/>
              </w:rPr>
              <w:t>0.0005L</w:t>
            </w:r>
          </w:p>
        </w:tc>
        <w:tc>
          <w:tcPr>
            <w:tcW w:w="708" w:type="dxa"/>
            <w:vAlign w:val="top"/>
          </w:tcPr>
          <w:p w14:paraId="45CC0B4D">
            <w:pPr>
              <w:pStyle w:val="6"/>
              <w:spacing w:before="128" w:line="232" w:lineRule="auto"/>
              <w:ind w:left="92"/>
              <w:rPr>
                <w:sz w:val="18"/>
                <w:szCs w:val="18"/>
              </w:rPr>
            </w:pPr>
            <w:r>
              <w:rPr>
                <w:spacing w:val="-2"/>
                <w:sz w:val="18"/>
                <w:szCs w:val="18"/>
              </w:rPr>
              <w:t>0.009L</w:t>
            </w:r>
          </w:p>
        </w:tc>
        <w:tc>
          <w:tcPr>
            <w:tcW w:w="707" w:type="dxa"/>
            <w:vAlign w:val="top"/>
          </w:tcPr>
          <w:p w14:paraId="23D84BF5">
            <w:pPr>
              <w:pStyle w:val="6"/>
              <w:spacing w:before="128" w:line="232" w:lineRule="auto"/>
              <w:ind w:left="148"/>
              <w:rPr>
                <w:sz w:val="18"/>
                <w:szCs w:val="18"/>
              </w:rPr>
            </w:pPr>
            <w:r>
              <w:rPr>
                <w:spacing w:val="-2"/>
                <w:sz w:val="18"/>
                <w:szCs w:val="18"/>
              </w:rPr>
              <w:t>0.014</w:t>
            </w:r>
          </w:p>
        </w:tc>
        <w:tc>
          <w:tcPr>
            <w:tcW w:w="567" w:type="dxa"/>
            <w:vAlign w:val="top"/>
          </w:tcPr>
          <w:p w14:paraId="0795BDCD">
            <w:pPr>
              <w:pStyle w:val="6"/>
              <w:spacing w:before="128" w:line="232" w:lineRule="auto"/>
              <w:ind w:left="167"/>
              <w:rPr>
                <w:sz w:val="18"/>
                <w:szCs w:val="18"/>
              </w:rPr>
            </w:pPr>
            <w:r>
              <w:rPr>
                <w:spacing w:val="-2"/>
                <w:sz w:val="18"/>
                <w:szCs w:val="18"/>
              </w:rPr>
              <w:t>2.5</w:t>
            </w:r>
          </w:p>
        </w:tc>
        <w:tc>
          <w:tcPr>
            <w:tcW w:w="566" w:type="dxa"/>
            <w:vAlign w:val="top"/>
          </w:tcPr>
          <w:p w14:paraId="1F8ED167">
            <w:pPr>
              <w:pStyle w:val="6"/>
              <w:spacing w:before="128" w:line="232" w:lineRule="auto"/>
              <w:ind w:left="116"/>
              <w:rPr>
                <w:sz w:val="18"/>
                <w:szCs w:val="18"/>
              </w:rPr>
            </w:pPr>
            <w:r>
              <w:rPr>
                <w:spacing w:val="-3"/>
                <w:sz w:val="18"/>
                <w:szCs w:val="18"/>
              </w:rPr>
              <w:t>5.0L</w:t>
            </w:r>
          </w:p>
        </w:tc>
        <w:tc>
          <w:tcPr>
            <w:tcW w:w="851" w:type="dxa"/>
            <w:vAlign w:val="top"/>
          </w:tcPr>
          <w:p w14:paraId="0FA4D20D">
            <w:pPr>
              <w:pStyle w:val="6"/>
              <w:spacing w:before="128" w:line="232" w:lineRule="auto"/>
              <w:ind w:left="305"/>
              <w:rPr>
                <w:sz w:val="18"/>
                <w:szCs w:val="18"/>
              </w:rPr>
            </w:pPr>
            <w:r>
              <w:rPr>
                <w:spacing w:val="-5"/>
                <w:sz w:val="18"/>
                <w:szCs w:val="18"/>
              </w:rPr>
              <w:t>178</w:t>
            </w:r>
          </w:p>
        </w:tc>
        <w:tc>
          <w:tcPr>
            <w:tcW w:w="567" w:type="dxa"/>
            <w:vAlign w:val="top"/>
          </w:tcPr>
          <w:p w14:paraId="50BE39ED">
            <w:pPr>
              <w:pStyle w:val="6"/>
              <w:spacing w:before="128" w:line="232" w:lineRule="auto"/>
              <w:ind w:left="164"/>
              <w:rPr>
                <w:sz w:val="18"/>
                <w:szCs w:val="18"/>
              </w:rPr>
            </w:pPr>
            <w:r>
              <w:rPr>
                <w:spacing w:val="-5"/>
                <w:sz w:val="18"/>
                <w:szCs w:val="18"/>
              </w:rPr>
              <w:t>140</w:t>
            </w:r>
          </w:p>
        </w:tc>
        <w:tc>
          <w:tcPr>
            <w:tcW w:w="708" w:type="dxa"/>
            <w:vAlign w:val="top"/>
          </w:tcPr>
          <w:p w14:paraId="50E1F696">
            <w:pPr>
              <w:pStyle w:val="6"/>
              <w:spacing w:before="128" w:line="232" w:lineRule="auto"/>
              <w:ind w:left="198"/>
              <w:rPr>
                <w:sz w:val="18"/>
                <w:szCs w:val="18"/>
              </w:rPr>
            </w:pPr>
            <w:r>
              <w:rPr>
                <w:spacing w:val="-2"/>
                <w:sz w:val="18"/>
                <w:szCs w:val="18"/>
              </w:rPr>
              <w:t>0.40</w:t>
            </w:r>
          </w:p>
        </w:tc>
        <w:tc>
          <w:tcPr>
            <w:tcW w:w="851" w:type="dxa"/>
            <w:vAlign w:val="top"/>
          </w:tcPr>
          <w:p w14:paraId="0851E06B">
            <w:pPr>
              <w:pStyle w:val="6"/>
              <w:spacing w:before="128" w:line="232" w:lineRule="auto"/>
              <w:ind w:left="170"/>
              <w:rPr>
                <w:sz w:val="18"/>
                <w:szCs w:val="18"/>
              </w:rPr>
            </w:pPr>
            <w:r>
              <w:rPr>
                <w:spacing w:val="-2"/>
                <w:sz w:val="18"/>
                <w:szCs w:val="18"/>
              </w:rPr>
              <w:t>0.002L</w:t>
            </w:r>
          </w:p>
        </w:tc>
        <w:tc>
          <w:tcPr>
            <w:tcW w:w="990" w:type="dxa"/>
            <w:vAlign w:val="top"/>
          </w:tcPr>
          <w:p w14:paraId="019472D7">
            <w:pPr>
              <w:pStyle w:val="6"/>
              <w:spacing w:before="128" w:line="232" w:lineRule="auto"/>
              <w:ind w:left="241"/>
              <w:rPr>
                <w:sz w:val="18"/>
                <w:szCs w:val="18"/>
              </w:rPr>
            </w:pPr>
            <w:r>
              <w:rPr>
                <w:spacing w:val="-2"/>
                <w:sz w:val="18"/>
                <w:szCs w:val="18"/>
              </w:rPr>
              <w:t>0.050L</w:t>
            </w:r>
          </w:p>
        </w:tc>
        <w:tc>
          <w:tcPr>
            <w:tcW w:w="566" w:type="dxa"/>
            <w:vAlign w:val="top"/>
          </w:tcPr>
          <w:p w14:paraId="69D419B6">
            <w:pPr>
              <w:pStyle w:val="6"/>
              <w:spacing w:before="128" w:line="232" w:lineRule="auto"/>
              <w:ind w:left="85"/>
              <w:rPr>
                <w:sz w:val="18"/>
                <w:szCs w:val="18"/>
              </w:rPr>
            </w:pPr>
            <w:r>
              <w:rPr>
                <w:spacing w:val="-2"/>
                <w:sz w:val="18"/>
                <w:szCs w:val="18"/>
              </w:rPr>
              <w:t>0.001</w:t>
            </w:r>
          </w:p>
        </w:tc>
        <w:tc>
          <w:tcPr>
            <w:tcW w:w="851" w:type="dxa"/>
            <w:vAlign w:val="top"/>
          </w:tcPr>
          <w:p w14:paraId="2E5E4DED">
            <w:pPr>
              <w:pStyle w:val="6"/>
              <w:spacing w:before="128" w:line="232" w:lineRule="auto"/>
              <w:ind w:left="128"/>
              <w:rPr>
                <w:sz w:val="18"/>
                <w:szCs w:val="18"/>
              </w:rPr>
            </w:pPr>
            <w:r>
              <w:rPr>
                <w:spacing w:val="-1"/>
                <w:sz w:val="18"/>
                <w:szCs w:val="18"/>
              </w:rPr>
              <w:t>0.0005L</w:t>
            </w:r>
          </w:p>
        </w:tc>
        <w:tc>
          <w:tcPr>
            <w:tcW w:w="704" w:type="dxa"/>
            <w:vAlign w:val="top"/>
          </w:tcPr>
          <w:p w14:paraId="795582AC">
            <w:pPr>
              <w:pStyle w:val="6"/>
              <w:spacing w:before="128" w:line="232" w:lineRule="auto"/>
              <w:ind w:left="100"/>
              <w:rPr>
                <w:sz w:val="18"/>
                <w:szCs w:val="18"/>
              </w:rPr>
            </w:pPr>
            <w:r>
              <w:rPr>
                <w:spacing w:val="-2"/>
                <w:sz w:val="18"/>
                <w:szCs w:val="18"/>
              </w:rPr>
              <w:t>0.004L</w:t>
            </w:r>
          </w:p>
        </w:tc>
        <w:tc>
          <w:tcPr>
            <w:tcW w:w="851" w:type="dxa"/>
            <w:vAlign w:val="top"/>
          </w:tcPr>
          <w:p w14:paraId="538BD90A">
            <w:pPr>
              <w:pStyle w:val="6"/>
              <w:spacing w:before="128" w:line="232" w:lineRule="auto"/>
              <w:ind w:left="131"/>
              <w:rPr>
                <w:sz w:val="18"/>
                <w:szCs w:val="18"/>
              </w:rPr>
            </w:pPr>
            <w:r>
              <w:rPr>
                <w:spacing w:val="-1"/>
                <w:sz w:val="18"/>
                <w:szCs w:val="18"/>
              </w:rPr>
              <w:t>0.0025L</w:t>
            </w:r>
          </w:p>
        </w:tc>
        <w:tc>
          <w:tcPr>
            <w:tcW w:w="851" w:type="dxa"/>
            <w:vAlign w:val="top"/>
          </w:tcPr>
          <w:p w14:paraId="67F2A2FD">
            <w:pPr>
              <w:pStyle w:val="6"/>
              <w:spacing w:before="128" w:line="232" w:lineRule="auto"/>
              <w:ind w:left="132"/>
              <w:rPr>
                <w:sz w:val="18"/>
                <w:szCs w:val="18"/>
              </w:rPr>
            </w:pPr>
            <w:r>
              <w:rPr>
                <w:spacing w:val="-1"/>
                <w:sz w:val="18"/>
                <w:szCs w:val="18"/>
              </w:rPr>
              <w:t>0.0001L</w:t>
            </w:r>
          </w:p>
        </w:tc>
        <w:tc>
          <w:tcPr>
            <w:tcW w:w="846" w:type="dxa"/>
            <w:vAlign w:val="top"/>
          </w:tcPr>
          <w:p w14:paraId="6B4C7696">
            <w:pPr>
              <w:pStyle w:val="6"/>
              <w:spacing w:before="128" w:line="232" w:lineRule="auto"/>
              <w:ind w:left="186"/>
              <w:rPr>
                <w:sz w:val="18"/>
                <w:szCs w:val="18"/>
              </w:rPr>
            </w:pPr>
            <w:r>
              <w:rPr>
                <w:spacing w:val="-2"/>
                <w:sz w:val="18"/>
                <w:szCs w:val="18"/>
              </w:rPr>
              <w:t>0.0012</w:t>
            </w:r>
          </w:p>
        </w:tc>
        <w:tc>
          <w:tcPr>
            <w:tcW w:w="684" w:type="dxa"/>
            <w:vAlign w:val="top"/>
          </w:tcPr>
          <w:p w14:paraId="50D8022C">
            <w:pPr>
              <w:pStyle w:val="6"/>
              <w:spacing w:before="128" w:line="232" w:lineRule="auto"/>
              <w:ind w:left="96"/>
              <w:rPr>
                <w:sz w:val="18"/>
                <w:szCs w:val="18"/>
              </w:rPr>
            </w:pPr>
            <w:r>
              <w:rPr>
                <w:spacing w:val="-2"/>
                <w:sz w:val="18"/>
                <w:szCs w:val="18"/>
              </w:rPr>
              <w:t>0.002L</w:t>
            </w:r>
          </w:p>
        </w:tc>
        <w:tc>
          <w:tcPr>
            <w:tcW w:w="460" w:type="dxa"/>
            <w:vAlign w:val="top"/>
          </w:tcPr>
          <w:p w14:paraId="09F95406">
            <w:pPr>
              <w:pStyle w:val="6"/>
              <w:spacing w:before="128" w:line="232" w:lineRule="auto"/>
              <w:ind w:left="130"/>
              <w:rPr>
                <w:sz w:val="18"/>
                <w:szCs w:val="18"/>
              </w:rPr>
            </w:pPr>
            <w:r>
              <w:rPr>
                <w:spacing w:val="-3"/>
                <w:sz w:val="18"/>
                <w:szCs w:val="18"/>
              </w:rPr>
              <w:t>0.2</w:t>
            </w:r>
          </w:p>
        </w:tc>
        <w:tc>
          <w:tcPr>
            <w:tcW w:w="428" w:type="dxa"/>
            <w:vAlign w:val="top"/>
          </w:tcPr>
          <w:p w14:paraId="463D72E9">
            <w:pPr>
              <w:pStyle w:val="6"/>
              <w:spacing w:before="128" w:line="232" w:lineRule="auto"/>
              <w:ind w:left="129"/>
              <w:rPr>
                <w:sz w:val="18"/>
                <w:szCs w:val="18"/>
              </w:rPr>
            </w:pPr>
            <w:r>
              <w:rPr>
                <w:spacing w:val="-7"/>
                <w:sz w:val="18"/>
                <w:szCs w:val="18"/>
              </w:rPr>
              <w:t>1.4</w:t>
            </w:r>
          </w:p>
        </w:tc>
        <w:tc>
          <w:tcPr>
            <w:tcW w:w="447" w:type="dxa"/>
            <w:vAlign w:val="top"/>
          </w:tcPr>
          <w:p w14:paraId="1234912D">
            <w:pPr>
              <w:pStyle w:val="6"/>
              <w:spacing w:before="128" w:line="232" w:lineRule="auto"/>
              <w:ind w:left="205"/>
              <w:rPr>
                <w:sz w:val="18"/>
                <w:szCs w:val="18"/>
              </w:rPr>
            </w:pPr>
            <w:r>
              <w:rPr>
                <w:sz w:val="18"/>
                <w:szCs w:val="18"/>
              </w:rPr>
              <w:t>/</w:t>
            </w:r>
          </w:p>
        </w:tc>
        <w:tc>
          <w:tcPr>
            <w:tcW w:w="666" w:type="dxa"/>
            <w:tcBorders>
              <w:right w:val="single" w:color="000000" w:sz="12" w:space="0"/>
            </w:tcBorders>
            <w:vAlign w:val="top"/>
          </w:tcPr>
          <w:p w14:paraId="18FC9A84">
            <w:pPr>
              <w:pStyle w:val="6"/>
              <w:spacing w:before="128" w:line="232" w:lineRule="auto"/>
              <w:ind w:left="243"/>
              <w:rPr>
                <w:sz w:val="18"/>
                <w:szCs w:val="18"/>
              </w:rPr>
            </w:pPr>
            <w:r>
              <w:rPr>
                <w:spacing w:val="-1"/>
                <w:sz w:val="18"/>
                <w:szCs w:val="18"/>
              </w:rPr>
              <w:t>40</w:t>
            </w:r>
          </w:p>
        </w:tc>
      </w:tr>
      <w:tr w14:paraId="689F3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bottom w:val="nil"/>
            </w:tcBorders>
            <w:vAlign w:val="top"/>
          </w:tcPr>
          <w:p w14:paraId="4EC5D7BF">
            <w:pPr>
              <w:rPr>
                <w:rFonts w:ascii="Arial"/>
                <w:sz w:val="21"/>
              </w:rPr>
            </w:pPr>
          </w:p>
        </w:tc>
        <w:tc>
          <w:tcPr>
            <w:tcW w:w="285" w:type="dxa"/>
            <w:vMerge w:val="continue"/>
            <w:tcBorders>
              <w:top w:val="nil"/>
              <w:bottom w:val="nil"/>
            </w:tcBorders>
            <w:vAlign w:val="top"/>
          </w:tcPr>
          <w:p w14:paraId="63D74CCE">
            <w:pPr>
              <w:rPr>
                <w:rFonts w:ascii="Arial"/>
                <w:sz w:val="21"/>
              </w:rPr>
            </w:pPr>
          </w:p>
        </w:tc>
        <w:tc>
          <w:tcPr>
            <w:tcW w:w="1131" w:type="dxa"/>
            <w:vAlign w:val="top"/>
          </w:tcPr>
          <w:p w14:paraId="610E26A0">
            <w:pPr>
              <w:pStyle w:val="6"/>
              <w:spacing w:before="129" w:line="232" w:lineRule="auto"/>
              <w:ind w:left="230"/>
              <w:rPr>
                <w:sz w:val="18"/>
                <w:szCs w:val="18"/>
              </w:rPr>
            </w:pPr>
            <w:r>
              <w:rPr>
                <w:spacing w:val="-1"/>
                <w:sz w:val="18"/>
                <w:szCs w:val="18"/>
              </w:rPr>
              <w:t>2021/6/4</w:t>
            </w:r>
          </w:p>
        </w:tc>
        <w:tc>
          <w:tcPr>
            <w:tcW w:w="570" w:type="dxa"/>
            <w:vAlign w:val="top"/>
          </w:tcPr>
          <w:p w14:paraId="72C2B740">
            <w:pPr>
              <w:pStyle w:val="6"/>
              <w:spacing w:before="135" w:line="183" w:lineRule="auto"/>
              <w:ind w:left="176"/>
              <w:rPr>
                <w:sz w:val="18"/>
                <w:szCs w:val="18"/>
              </w:rPr>
            </w:pPr>
            <w:r>
              <w:rPr>
                <w:spacing w:val="-2"/>
                <w:sz w:val="18"/>
                <w:szCs w:val="18"/>
              </w:rPr>
              <w:t>5L</w:t>
            </w:r>
          </w:p>
        </w:tc>
        <w:tc>
          <w:tcPr>
            <w:tcW w:w="703" w:type="dxa"/>
            <w:vAlign w:val="top"/>
          </w:tcPr>
          <w:p w14:paraId="40DF8392">
            <w:pPr>
              <w:pStyle w:val="6"/>
              <w:spacing w:before="129" w:line="232" w:lineRule="auto"/>
              <w:ind w:left="175"/>
              <w:rPr>
                <w:sz w:val="18"/>
                <w:szCs w:val="18"/>
              </w:rPr>
            </w:pPr>
            <w:r>
              <w:rPr>
                <w:spacing w:val="-2"/>
                <w:sz w:val="18"/>
                <w:szCs w:val="18"/>
              </w:rPr>
              <w:t>0.5L</w:t>
            </w:r>
          </w:p>
        </w:tc>
        <w:tc>
          <w:tcPr>
            <w:tcW w:w="708" w:type="dxa"/>
            <w:vAlign w:val="top"/>
          </w:tcPr>
          <w:p w14:paraId="1CCBB9E8">
            <w:pPr>
              <w:pStyle w:val="6"/>
              <w:spacing w:before="129" w:line="232" w:lineRule="auto"/>
              <w:ind w:left="188"/>
              <w:rPr>
                <w:sz w:val="18"/>
                <w:szCs w:val="18"/>
              </w:rPr>
            </w:pPr>
            <w:r>
              <w:rPr>
                <w:spacing w:val="-2"/>
                <w:sz w:val="18"/>
                <w:szCs w:val="18"/>
              </w:rPr>
              <w:t>7.95</w:t>
            </w:r>
          </w:p>
        </w:tc>
        <w:tc>
          <w:tcPr>
            <w:tcW w:w="708" w:type="dxa"/>
            <w:vAlign w:val="top"/>
          </w:tcPr>
          <w:p w14:paraId="6D093394">
            <w:pPr>
              <w:pStyle w:val="6"/>
              <w:spacing w:before="129" w:line="232" w:lineRule="auto"/>
              <w:ind w:left="88"/>
              <w:rPr>
                <w:sz w:val="18"/>
                <w:szCs w:val="18"/>
              </w:rPr>
            </w:pPr>
            <w:r>
              <w:rPr>
                <w:spacing w:val="-2"/>
                <w:sz w:val="18"/>
                <w:szCs w:val="18"/>
              </w:rPr>
              <w:t>0.040L</w:t>
            </w:r>
          </w:p>
        </w:tc>
        <w:tc>
          <w:tcPr>
            <w:tcW w:w="851" w:type="dxa"/>
            <w:vAlign w:val="top"/>
          </w:tcPr>
          <w:p w14:paraId="1DDC7625">
            <w:pPr>
              <w:pStyle w:val="6"/>
              <w:spacing w:before="129" w:line="232" w:lineRule="auto"/>
              <w:ind w:left="117"/>
              <w:rPr>
                <w:sz w:val="18"/>
                <w:szCs w:val="18"/>
              </w:rPr>
            </w:pPr>
            <w:r>
              <w:rPr>
                <w:spacing w:val="-1"/>
                <w:sz w:val="18"/>
                <w:szCs w:val="18"/>
              </w:rPr>
              <w:t>0.0045L</w:t>
            </w:r>
          </w:p>
        </w:tc>
        <w:tc>
          <w:tcPr>
            <w:tcW w:w="851" w:type="dxa"/>
            <w:vAlign w:val="top"/>
          </w:tcPr>
          <w:p w14:paraId="73ADE050">
            <w:pPr>
              <w:pStyle w:val="6"/>
              <w:spacing w:before="129" w:line="232" w:lineRule="auto"/>
              <w:ind w:left="118"/>
              <w:rPr>
                <w:sz w:val="18"/>
                <w:szCs w:val="18"/>
              </w:rPr>
            </w:pPr>
            <w:r>
              <w:rPr>
                <w:spacing w:val="-1"/>
                <w:sz w:val="18"/>
                <w:szCs w:val="18"/>
              </w:rPr>
              <w:t>0.0005L</w:t>
            </w:r>
          </w:p>
        </w:tc>
        <w:tc>
          <w:tcPr>
            <w:tcW w:w="708" w:type="dxa"/>
            <w:vAlign w:val="top"/>
          </w:tcPr>
          <w:p w14:paraId="6089AB7B">
            <w:pPr>
              <w:pStyle w:val="6"/>
              <w:spacing w:before="129" w:line="232" w:lineRule="auto"/>
              <w:ind w:left="92"/>
              <w:rPr>
                <w:sz w:val="18"/>
                <w:szCs w:val="18"/>
              </w:rPr>
            </w:pPr>
            <w:r>
              <w:rPr>
                <w:spacing w:val="-2"/>
                <w:sz w:val="18"/>
                <w:szCs w:val="18"/>
              </w:rPr>
              <w:t>0.009L</w:t>
            </w:r>
          </w:p>
        </w:tc>
        <w:tc>
          <w:tcPr>
            <w:tcW w:w="707" w:type="dxa"/>
            <w:vAlign w:val="top"/>
          </w:tcPr>
          <w:p w14:paraId="5A6B79B8">
            <w:pPr>
              <w:pStyle w:val="6"/>
              <w:spacing w:before="129" w:line="232" w:lineRule="auto"/>
              <w:ind w:left="148"/>
              <w:rPr>
                <w:sz w:val="18"/>
                <w:szCs w:val="18"/>
              </w:rPr>
            </w:pPr>
            <w:r>
              <w:rPr>
                <w:spacing w:val="-2"/>
                <w:sz w:val="18"/>
                <w:szCs w:val="18"/>
              </w:rPr>
              <w:t>0.015</w:t>
            </w:r>
          </w:p>
        </w:tc>
        <w:tc>
          <w:tcPr>
            <w:tcW w:w="567" w:type="dxa"/>
            <w:vAlign w:val="top"/>
          </w:tcPr>
          <w:p w14:paraId="0235BC7B">
            <w:pPr>
              <w:pStyle w:val="6"/>
              <w:spacing w:before="129" w:line="232" w:lineRule="auto"/>
              <w:ind w:left="167"/>
              <w:rPr>
                <w:sz w:val="18"/>
                <w:szCs w:val="18"/>
              </w:rPr>
            </w:pPr>
            <w:r>
              <w:rPr>
                <w:spacing w:val="-2"/>
                <w:sz w:val="18"/>
                <w:szCs w:val="18"/>
              </w:rPr>
              <w:t>2.3</w:t>
            </w:r>
          </w:p>
        </w:tc>
        <w:tc>
          <w:tcPr>
            <w:tcW w:w="566" w:type="dxa"/>
            <w:vAlign w:val="top"/>
          </w:tcPr>
          <w:p w14:paraId="680110CC">
            <w:pPr>
              <w:pStyle w:val="6"/>
              <w:spacing w:before="129" w:line="232" w:lineRule="auto"/>
              <w:ind w:left="116"/>
              <w:rPr>
                <w:sz w:val="18"/>
                <w:szCs w:val="18"/>
              </w:rPr>
            </w:pPr>
            <w:r>
              <w:rPr>
                <w:spacing w:val="-3"/>
                <w:sz w:val="18"/>
                <w:szCs w:val="18"/>
              </w:rPr>
              <w:t>5.0L</w:t>
            </w:r>
          </w:p>
        </w:tc>
        <w:tc>
          <w:tcPr>
            <w:tcW w:w="851" w:type="dxa"/>
            <w:vAlign w:val="top"/>
          </w:tcPr>
          <w:p w14:paraId="699C6F41">
            <w:pPr>
              <w:pStyle w:val="6"/>
              <w:spacing w:before="130" w:line="232" w:lineRule="auto"/>
              <w:ind w:left="305"/>
              <w:rPr>
                <w:sz w:val="18"/>
                <w:szCs w:val="18"/>
              </w:rPr>
            </w:pPr>
            <w:r>
              <w:rPr>
                <w:spacing w:val="-5"/>
                <w:sz w:val="18"/>
                <w:szCs w:val="18"/>
              </w:rPr>
              <w:t>182</w:t>
            </w:r>
          </w:p>
        </w:tc>
        <w:tc>
          <w:tcPr>
            <w:tcW w:w="567" w:type="dxa"/>
            <w:vAlign w:val="top"/>
          </w:tcPr>
          <w:p w14:paraId="5B2EDF4E">
            <w:pPr>
              <w:pStyle w:val="6"/>
              <w:spacing w:before="130" w:line="232" w:lineRule="auto"/>
              <w:ind w:left="164"/>
              <w:rPr>
                <w:sz w:val="18"/>
                <w:szCs w:val="18"/>
              </w:rPr>
            </w:pPr>
            <w:r>
              <w:rPr>
                <w:spacing w:val="-5"/>
                <w:sz w:val="18"/>
                <w:szCs w:val="18"/>
              </w:rPr>
              <w:t>132</w:t>
            </w:r>
          </w:p>
        </w:tc>
        <w:tc>
          <w:tcPr>
            <w:tcW w:w="708" w:type="dxa"/>
            <w:vAlign w:val="top"/>
          </w:tcPr>
          <w:p w14:paraId="215EFA55">
            <w:pPr>
              <w:pStyle w:val="6"/>
              <w:spacing w:before="129" w:line="232" w:lineRule="auto"/>
              <w:ind w:left="198"/>
              <w:rPr>
                <w:sz w:val="18"/>
                <w:szCs w:val="18"/>
              </w:rPr>
            </w:pPr>
            <w:r>
              <w:rPr>
                <w:spacing w:val="-2"/>
                <w:sz w:val="18"/>
                <w:szCs w:val="18"/>
              </w:rPr>
              <w:t>0.42</w:t>
            </w:r>
          </w:p>
        </w:tc>
        <w:tc>
          <w:tcPr>
            <w:tcW w:w="851" w:type="dxa"/>
            <w:vAlign w:val="top"/>
          </w:tcPr>
          <w:p w14:paraId="48D0643A">
            <w:pPr>
              <w:pStyle w:val="6"/>
              <w:spacing w:before="129" w:line="232" w:lineRule="auto"/>
              <w:ind w:left="170"/>
              <w:rPr>
                <w:sz w:val="18"/>
                <w:szCs w:val="18"/>
              </w:rPr>
            </w:pPr>
            <w:r>
              <w:rPr>
                <w:spacing w:val="-2"/>
                <w:sz w:val="18"/>
                <w:szCs w:val="18"/>
              </w:rPr>
              <w:t>0.002L</w:t>
            </w:r>
          </w:p>
        </w:tc>
        <w:tc>
          <w:tcPr>
            <w:tcW w:w="990" w:type="dxa"/>
            <w:vAlign w:val="top"/>
          </w:tcPr>
          <w:p w14:paraId="2C01FA01">
            <w:pPr>
              <w:pStyle w:val="6"/>
              <w:spacing w:before="129" w:line="232" w:lineRule="auto"/>
              <w:ind w:left="241"/>
              <w:rPr>
                <w:sz w:val="18"/>
                <w:szCs w:val="18"/>
              </w:rPr>
            </w:pPr>
            <w:r>
              <w:rPr>
                <w:spacing w:val="-2"/>
                <w:sz w:val="18"/>
                <w:szCs w:val="18"/>
              </w:rPr>
              <w:t>0.050L</w:t>
            </w:r>
          </w:p>
        </w:tc>
        <w:tc>
          <w:tcPr>
            <w:tcW w:w="566" w:type="dxa"/>
            <w:vAlign w:val="top"/>
          </w:tcPr>
          <w:p w14:paraId="044DF12B">
            <w:pPr>
              <w:pStyle w:val="6"/>
              <w:spacing w:before="129" w:line="232" w:lineRule="auto"/>
              <w:ind w:left="85"/>
              <w:rPr>
                <w:sz w:val="18"/>
                <w:szCs w:val="18"/>
              </w:rPr>
            </w:pPr>
            <w:r>
              <w:rPr>
                <w:spacing w:val="-2"/>
                <w:sz w:val="18"/>
                <w:szCs w:val="18"/>
              </w:rPr>
              <w:t>0.001</w:t>
            </w:r>
          </w:p>
        </w:tc>
        <w:tc>
          <w:tcPr>
            <w:tcW w:w="851" w:type="dxa"/>
            <w:vAlign w:val="top"/>
          </w:tcPr>
          <w:p w14:paraId="0B66950D">
            <w:pPr>
              <w:pStyle w:val="6"/>
              <w:spacing w:before="129" w:line="232" w:lineRule="auto"/>
              <w:ind w:left="128"/>
              <w:rPr>
                <w:sz w:val="18"/>
                <w:szCs w:val="18"/>
              </w:rPr>
            </w:pPr>
            <w:r>
              <w:rPr>
                <w:spacing w:val="-1"/>
                <w:sz w:val="18"/>
                <w:szCs w:val="18"/>
              </w:rPr>
              <w:t>0.0005L</w:t>
            </w:r>
          </w:p>
        </w:tc>
        <w:tc>
          <w:tcPr>
            <w:tcW w:w="704" w:type="dxa"/>
            <w:vAlign w:val="top"/>
          </w:tcPr>
          <w:p w14:paraId="74819AEE">
            <w:pPr>
              <w:pStyle w:val="6"/>
              <w:spacing w:before="129" w:line="232" w:lineRule="auto"/>
              <w:ind w:left="100"/>
              <w:rPr>
                <w:sz w:val="18"/>
                <w:szCs w:val="18"/>
              </w:rPr>
            </w:pPr>
            <w:r>
              <w:rPr>
                <w:spacing w:val="-2"/>
                <w:sz w:val="18"/>
                <w:szCs w:val="18"/>
              </w:rPr>
              <w:t>0.004L</w:t>
            </w:r>
          </w:p>
        </w:tc>
        <w:tc>
          <w:tcPr>
            <w:tcW w:w="851" w:type="dxa"/>
            <w:vAlign w:val="top"/>
          </w:tcPr>
          <w:p w14:paraId="5FD24AEC">
            <w:pPr>
              <w:pStyle w:val="6"/>
              <w:spacing w:before="129" w:line="232" w:lineRule="auto"/>
              <w:ind w:left="131"/>
              <w:rPr>
                <w:sz w:val="18"/>
                <w:szCs w:val="18"/>
              </w:rPr>
            </w:pPr>
            <w:r>
              <w:rPr>
                <w:spacing w:val="-1"/>
                <w:sz w:val="18"/>
                <w:szCs w:val="18"/>
              </w:rPr>
              <w:t>0.0025L</w:t>
            </w:r>
          </w:p>
        </w:tc>
        <w:tc>
          <w:tcPr>
            <w:tcW w:w="851" w:type="dxa"/>
            <w:vAlign w:val="top"/>
          </w:tcPr>
          <w:p w14:paraId="35766849">
            <w:pPr>
              <w:pStyle w:val="6"/>
              <w:spacing w:before="129" w:line="232" w:lineRule="auto"/>
              <w:ind w:left="132"/>
              <w:rPr>
                <w:sz w:val="18"/>
                <w:szCs w:val="18"/>
              </w:rPr>
            </w:pPr>
            <w:r>
              <w:rPr>
                <w:spacing w:val="-1"/>
                <w:sz w:val="18"/>
                <w:szCs w:val="18"/>
              </w:rPr>
              <w:t>0.0001L</w:t>
            </w:r>
          </w:p>
        </w:tc>
        <w:tc>
          <w:tcPr>
            <w:tcW w:w="846" w:type="dxa"/>
            <w:vAlign w:val="top"/>
          </w:tcPr>
          <w:p w14:paraId="4E44B4C2">
            <w:pPr>
              <w:pStyle w:val="6"/>
              <w:spacing w:before="129" w:line="232" w:lineRule="auto"/>
              <w:ind w:left="186"/>
              <w:rPr>
                <w:sz w:val="18"/>
                <w:szCs w:val="18"/>
              </w:rPr>
            </w:pPr>
            <w:r>
              <w:rPr>
                <w:spacing w:val="-2"/>
                <w:sz w:val="18"/>
                <w:szCs w:val="18"/>
              </w:rPr>
              <w:t>0.0013</w:t>
            </w:r>
          </w:p>
        </w:tc>
        <w:tc>
          <w:tcPr>
            <w:tcW w:w="684" w:type="dxa"/>
            <w:vAlign w:val="top"/>
          </w:tcPr>
          <w:p w14:paraId="142DDA0E">
            <w:pPr>
              <w:pStyle w:val="6"/>
              <w:spacing w:before="129" w:line="232" w:lineRule="auto"/>
              <w:ind w:left="96"/>
              <w:rPr>
                <w:sz w:val="18"/>
                <w:szCs w:val="18"/>
              </w:rPr>
            </w:pPr>
            <w:r>
              <w:rPr>
                <w:spacing w:val="-2"/>
                <w:sz w:val="18"/>
                <w:szCs w:val="18"/>
              </w:rPr>
              <w:t>0.002L</w:t>
            </w:r>
          </w:p>
        </w:tc>
        <w:tc>
          <w:tcPr>
            <w:tcW w:w="460" w:type="dxa"/>
            <w:vAlign w:val="top"/>
          </w:tcPr>
          <w:p w14:paraId="64EBEB0B">
            <w:pPr>
              <w:pStyle w:val="6"/>
              <w:spacing w:before="129" w:line="232" w:lineRule="auto"/>
              <w:ind w:left="130"/>
              <w:rPr>
                <w:sz w:val="18"/>
                <w:szCs w:val="18"/>
              </w:rPr>
            </w:pPr>
            <w:r>
              <w:rPr>
                <w:spacing w:val="-3"/>
                <w:sz w:val="18"/>
                <w:szCs w:val="18"/>
              </w:rPr>
              <w:t>0.3</w:t>
            </w:r>
          </w:p>
        </w:tc>
        <w:tc>
          <w:tcPr>
            <w:tcW w:w="428" w:type="dxa"/>
            <w:vAlign w:val="top"/>
          </w:tcPr>
          <w:p w14:paraId="4B92248D">
            <w:pPr>
              <w:pStyle w:val="6"/>
              <w:spacing w:before="129" w:line="232" w:lineRule="auto"/>
              <w:ind w:left="129"/>
              <w:rPr>
                <w:sz w:val="18"/>
                <w:szCs w:val="18"/>
              </w:rPr>
            </w:pPr>
            <w:r>
              <w:rPr>
                <w:spacing w:val="-7"/>
                <w:sz w:val="18"/>
                <w:szCs w:val="18"/>
              </w:rPr>
              <w:t>1.1</w:t>
            </w:r>
          </w:p>
        </w:tc>
        <w:tc>
          <w:tcPr>
            <w:tcW w:w="447" w:type="dxa"/>
            <w:vAlign w:val="top"/>
          </w:tcPr>
          <w:p w14:paraId="24EA6366">
            <w:pPr>
              <w:pStyle w:val="6"/>
              <w:spacing w:before="129" w:line="232" w:lineRule="auto"/>
              <w:ind w:left="205"/>
              <w:rPr>
                <w:sz w:val="18"/>
                <w:szCs w:val="18"/>
              </w:rPr>
            </w:pPr>
            <w:r>
              <w:rPr>
                <w:sz w:val="18"/>
                <w:szCs w:val="18"/>
              </w:rPr>
              <w:t>/</w:t>
            </w:r>
          </w:p>
        </w:tc>
        <w:tc>
          <w:tcPr>
            <w:tcW w:w="666" w:type="dxa"/>
            <w:tcBorders>
              <w:right w:val="single" w:color="000000" w:sz="12" w:space="0"/>
            </w:tcBorders>
            <w:vAlign w:val="top"/>
          </w:tcPr>
          <w:p w14:paraId="4CB58DA9">
            <w:pPr>
              <w:pStyle w:val="6"/>
              <w:spacing w:before="130" w:line="232" w:lineRule="auto"/>
              <w:ind w:left="248"/>
              <w:rPr>
                <w:sz w:val="18"/>
                <w:szCs w:val="18"/>
              </w:rPr>
            </w:pPr>
            <w:r>
              <w:rPr>
                <w:spacing w:val="-2"/>
                <w:sz w:val="18"/>
                <w:szCs w:val="18"/>
              </w:rPr>
              <w:t>60</w:t>
            </w:r>
          </w:p>
        </w:tc>
      </w:tr>
      <w:tr w14:paraId="29E31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016FEFF5">
            <w:pPr>
              <w:rPr>
                <w:rFonts w:ascii="Arial"/>
                <w:sz w:val="21"/>
              </w:rPr>
            </w:pPr>
          </w:p>
        </w:tc>
        <w:tc>
          <w:tcPr>
            <w:tcW w:w="285" w:type="dxa"/>
            <w:vMerge w:val="continue"/>
            <w:tcBorders>
              <w:top w:val="nil"/>
            </w:tcBorders>
            <w:vAlign w:val="top"/>
          </w:tcPr>
          <w:p w14:paraId="03268D9D">
            <w:pPr>
              <w:rPr>
                <w:rFonts w:ascii="Arial"/>
                <w:sz w:val="21"/>
              </w:rPr>
            </w:pPr>
          </w:p>
        </w:tc>
        <w:tc>
          <w:tcPr>
            <w:tcW w:w="1131" w:type="dxa"/>
            <w:vAlign w:val="top"/>
          </w:tcPr>
          <w:p w14:paraId="46467F0E">
            <w:pPr>
              <w:pStyle w:val="6"/>
              <w:spacing w:before="132" w:line="232" w:lineRule="auto"/>
              <w:ind w:left="230"/>
              <w:rPr>
                <w:sz w:val="18"/>
                <w:szCs w:val="18"/>
              </w:rPr>
            </w:pPr>
            <w:r>
              <w:rPr>
                <w:spacing w:val="-1"/>
                <w:sz w:val="18"/>
                <w:szCs w:val="18"/>
              </w:rPr>
              <w:t>2021/6/5</w:t>
            </w:r>
          </w:p>
        </w:tc>
        <w:tc>
          <w:tcPr>
            <w:tcW w:w="570" w:type="dxa"/>
            <w:vAlign w:val="top"/>
          </w:tcPr>
          <w:p w14:paraId="1B0C3099">
            <w:pPr>
              <w:pStyle w:val="6"/>
              <w:spacing w:before="137" w:line="183" w:lineRule="auto"/>
              <w:ind w:left="176"/>
              <w:rPr>
                <w:sz w:val="18"/>
                <w:szCs w:val="18"/>
              </w:rPr>
            </w:pPr>
            <w:r>
              <w:rPr>
                <w:spacing w:val="-2"/>
                <w:sz w:val="18"/>
                <w:szCs w:val="18"/>
              </w:rPr>
              <w:t>5L</w:t>
            </w:r>
          </w:p>
        </w:tc>
        <w:tc>
          <w:tcPr>
            <w:tcW w:w="703" w:type="dxa"/>
            <w:vAlign w:val="top"/>
          </w:tcPr>
          <w:p w14:paraId="7CF254BE">
            <w:pPr>
              <w:pStyle w:val="6"/>
              <w:spacing w:before="132" w:line="232" w:lineRule="auto"/>
              <w:ind w:left="175"/>
              <w:rPr>
                <w:sz w:val="18"/>
                <w:szCs w:val="18"/>
              </w:rPr>
            </w:pPr>
            <w:r>
              <w:rPr>
                <w:spacing w:val="-1"/>
                <w:sz w:val="18"/>
                <w:szCs w:val="18"/>
              </w:rPr>
              <w:t>0.5L</w:t>
            </w:r>
          </w:p>
        </w:tc>
        <w:tc>
          <w:tcPr>
            <w:tcW w:w="708" w:type="dxa"/>
            <w:vAlign w:val="top"/>
          </w:tcPr>
          <w:p w14:paraId="21C4AC02">
            <w:pPr>
              <w:pStyle w:val="6"/>
              <w:spacing w:before="132" w:line="232" w:lineRule="auto"/>
              <w:ind w:left="188"/>
              <w:rPr>
                <w:sz w:val="18"/>
                <w:szCs w:val="18"/>
              </w:rPr>
            </w:pPr>
            <w:r>
              <w:rPr>
                <w:spacing w:val="-2"/>
                <w:sz w:val="18"/>
                <w:szCs w:val="18"/>
              </w:rPr>
              <w:t>7.89</w:t>
            </w:r>
          </w:p>
        </w:tc>
        <w:tc>
          <w:tcPr>
            <w:tcW w:w="708" w:type="dxa"/>
            <w:vAlign w:val="top"/>
          </w:tcPr>
          <w:p w14:paraId="67923AB6">
            <w:pPr>
              <w:pStyle w:val="6"/>
              <w:spacing w:before="132" w:line="232" w:lineRule="auto"/>
              <w:ind w:left="88"/>
              <w:rPr>
                <w:sz w:val="18"/>
                <w:szCs w:val="18"/>
              </w:rPr>
            </w:pPr>
            <w:r>
              <w:rPr>
                <w:spacing w:val="-2"/>
                <w:sz w:val="18"/>
                <w:szCs w:val="18"/>
              </w:rPr>
              <w:t>0.040L</w:t>
            </w:r>
          </w:p>
        </w:tc>
        <w:tc>
          <w:tcPr>
            <w:tcW w:w="851" w:type="dxa"/>
            <w:vAlign w:val="top"/>
          </w:tcPr>
          <w:p w14:paraId="473CD6B7">
            <w:pPr>
              <w:pStyle w:val="6"/>
              <w:spacing w:before="132" w:line="232" w:lineRule="auto"/>
              <w:ind w:left="117"/>
              <w:rPr>
                <w:sz w:val="18"/>
                <w:szCs w:val="18"/>
              </w:rPr>
            </w:pPr>
            <w:r>
              <w:rPr>
                <w:spacing w:val="-1"/>
                <w:sz w:val="18"/>
                <w:szCs w:val="18"/>
              </w:rPr>
              <w:t>0.0045L</w:t>
            </w:r>
          </w:p>
        </w:tc>
        <w:tc>
          <w:tcPr>
            <w:tcW w:w="851" w:type="dxa"/>
            <w:vAlign w:val="top"/>
          </w:tcPr>
          <w:p w14:paraId="71D86FE9">
            <w:pPr>
              <w:pStyle w:val="6"/>
              <w:spacing w:before="132" w:line="232" w:lineRule="auto"/>
              <w:ind w:left="118"/>
              <w:rPr>
                <w:sz w:val="18"/>
                <w:szCs w:val="18"/>
              </w:rPr>
            </w:pPr>
            <w:r>
              <w:rPr>
                <w:spacing w:val="-1"/>
                <w:sz w:val="18"/>
                <w:szCs w:val="18"/>
              </w:rPr>
              <w:t>0.0005L</w:t>
            </w:r>
          </w:p>
        </w:tc>
        <w:tc>
          <w:tcPr>
            <w:tcW w:w="708" w:type="dxa"/>
            <w:vAlign w:val="top"/>
          </w:tcPr>
          <w:p w14:paraId="071D0D0B">
            <w:pPr>
              <w:pStyle w:val="6"/>
              <w:spacing w:before="132" w:line="232" w:lineRule="auto"/>
              <w:ind w:left="92"/>
              <w:rPr>
                <w:sz w:val="18"/>
                <w:szCs w:val="18"/>
              </w:rPr>
            </w:pPr>
            <w:r>
              <w:rPr>
                <w:spacing w:val="-2"/>
                <w:sz w:val="18"/>
                <w:szCs w:val="18"/>
              </w:rPr>
              <w:t>0.009L</w:t>
            </w:r>
          </w:p>
        </w:tc>
        <w:tc>
          <w:tcPr>
            <w:tcW w:w="707" w:type="dxa"/>
            <w:vAlign w:val="top"/>
          </w:tcPr>
          <w:p w14:paraId="7300B4FA">
            <w:pPr>
              <w:pStyle w:val="6"/>
              <w:spacing w:before="132" w:line="232" w:lineRule="auto"/>
              <w:ind w:left="148"/>
              <w:rPr>
                <w:sz w:val="18"/>
                <w:szCs w:val="18"/>
              </w:rPr>
            </w:pPr>
            <w:r>
              <w:rPr>
                <w:spacing w:val="-2"/>
                <w:sz w:val="18"/>
                <w:szCs w:val="18"/>
              </w:rPr>
              <w:t>0.015</w:t>
            </w:r>
          </w:p>
        </w:tc>
        <w:tc>
          <w:tcPr>
            <w:tcW w:w="567" w:type="dxa"/>
            <w:vAlign w:val="top"/>
          </w:tcPr>
          <w:p w14:paraId="2C8FF8B5">
            <w:pPr>
              <w:pStyle w:val="6"/>
              <w:spacing w:before="132" w:line="232" w:lineRule="auto"/>
              <w:ind w:left="167"/>
              <w:rPr>
                <w:sz w:val="18"/>
                <w:szCs w:val="18"/>
              </w:rPr>
            </w:pPr>
            <w:r>
              <w:rPr>
                <w:spacing w:val="-2"/>
                <w:sz w:val="18"/>
                <w:szCs w:val="18"/>
              </w:rPr>
              <w:t>2.4</w:t>
            </w:r>
          </w:p>
        </w:tc>
        <w:tc>
          <w:tcPr>
            <w:tcW w:w="566" w:type="dxa"/>
            <w:vAlign w:val="top"/>
          </w:tcPr>
          <w:p w14:paraId="1CD66F7A">
            <w:pPr>
              <w:pStyle w:val="6"/>
              <w:spacing w:before="132" w:line="232" w:lineRule="auto"/>
              <w:ind w:left="116"/>
              <w:rPr>
                <w:sz w:val="18"/>
                <w:szCs w:val="18"/>
              </w:rPr>
            </w:pPr>
            <w:r>
              <w:rPr>
                <w:spacing w:val="-3"/>
                <w:sz w:val="18"/>
                <w:szCs w:val="18"/>
              </w:rPr>
              <w:t>5.0L</w:t>
            </w:r>
          </w:p>
        </w:tc>
        <w:tc>
          <w:tcPr>
            <w:tcW w:w="851" w:type="dxa"/>
            <w:vAlign w:val="top"/>
          </w:tcPr>
          <w:p w14:paraId="2D78C04A">
            <w:pPr>
              <w:pStyle w:val="6"/>
              <w:spacing w:before="132" w:line="232" w:lineRule="auto"/>
              <w:ind w:left="305"/>
              <w:rPr>
                <w:sz w:val="18"/>
                <w:szCs w:val="18"/>
              </w:rPr>
            </w:pPr>
            <w:r>
              <w:rPr>
                <w:spacing w:val="-5"/>
                <w:sz w:val="18"/>
                <w:szCs w:val="18"/>
              </w:rPr>
              <w:t>175</w:t>
            </w:r>
          </w:p>
        </w:tc>
        <w:tc>
          <w:tcPr>
            <w:tcW w:w="567" w:type="dxa"/>
            <w:vAlign w:val="top"/>
          </w:tcPr>
          <w:p w14:paraId="052A70EA">
            <w:pPr>
              <w:pStyle w:val="6"/>
              <w:spacing w:before="131" w:line="235" w:lineRule="auto"/>
              <w:ind w:left="164"/>
              <w:rPr>
                <w:sz w:val="18"/>
                <w:szCs w:val="18"/>
              </w:rPr>
            </w:pPr>
            <w:r>
              <w:rPr>
                <w:spacing w:val="-5"/>
                <w:sz w:val="18"/>
                <w:szCs w:val="18"/>
              </w:rPr>
              <w:t>142</w:t>
            </w:r>
          </w:p>
        </w:tc>
        <w:tc>
          <w:tcPr>
            <w:tcW w:w="708" w:type="dxa"/>
            <w:vAlign w:val="top"/>
          </w:tcPr>
          <w:p w14:paraId="54C8BDF2">
            <w:pPr>
              <w:pStyle w:val="6"/>
              <w:spacing w:before="132" w:line="232" w:lineRule="auto"/>
              <w:ind w:left="198"/>
              <w:rPr>
                <w:sz w:val="18"/>
                <w:szCs w:val="18"/>
              </w:rPr>
            </w:pPr>
            <w:r>
              <w:rPr>
                <w:spacing w:val="-2"/>
                <w:sz w:val="18"/>
                <w:szCs w:val="18"/>
              </w:rPr>
              <w:t>0.40</w:t>
            </w:r>
          </w:p>
        </w:tc>
        <w:tc>
          <w:tcPr>
            <w:tcW w:w="851" w:type="dxa"/>
            <w:vAlign w:val="top"/>
          </w:tcPr>
          <w:p w14:paraId="3EE659C0">
            <w:pPr>
              <w:pStyle w:val="6"/>
              <w:spacing w:before="132" w:line="232" w:lineRule="auto"/>
              <w:ind w:left="170"/>
              <w:rPr>
                <w:sz w:val="18"/>
                <w:szCs w:val="18"/>
              </w:rPr>
            </w:pPr>
            <w:r>
              <w:rPr>
                <w:spacing w:val="-2"/>
                <w:sz w:val="18"/>
                <w:szCs w:val="18"/>
              </w:rPr>
              <w:t>0.002L</w:t>
            </w:r>
          </w:p>
        </w:tc>
        <w:tc>
          <w:tcPr>
            <w:tcW w:w="990" w:type="dxa"/>
            <w:vAlign w:val="top"/>
          </w:tcPr>
          <w:p w14:paraId="236EDA70">
            <w:pPr>
              <w:pStyle w:val="6"/>
              <w:spacing w:before="132" w:line="232" w:lineRule="auto"/>
              <w:ind w:left="241"/>
              <w:rPr>
                <w:sz w:val="18"/>
                <w:szCs w:val="18"/>
              </w:rPr>
            </w:pPr>
            <w:r>
              <w:rPr>
                <w:spacing w:val="-2"/>
                <w:sz w:val="18"/>
                <w:szCs w:val="18"/>
              </w:rPr>
              <w:t>0.050L</w:t>
            </w:r>
          </w:p>
        </w:tc>
        <w:tc>
          <w:tcPr>
            <w:tcW w:w="566" w:type="dxa"/>
            <w:vAlign w:val="top"/>
          </w:tcPr>
          <w:p w14:paraId="17745294">
            <w:pPr>
              <w:pStyle w:val="6"/>
              <w:spacing w:before="132" w:line="232" w:lineRule="auto"/>
              <w:ind w:left="85"/>
              <w:rPr>
                <w:sz w:val="18"/>
                <w:szCs w:val="18"/>
              </w:rPr>
            </w:pPr>
            <w:r>
              <w:rPr>
                <w:spacing w:val="-2"/>
                <w:sz w:val="18"/>
                <w:szCs w:val="18"/>
              </w:rPr>
              <w:t>0.001</w:t>
            </w:r>
          </w:p>
        </w:tc>
        <w:tc>
          <w:tcPr>
            <w:tcW w:w="851" w:type="dxa"/>
            <w:vAlign w:val="top"/>
          </w:tcPr>
          <w:p w14:paraId="0B29BD8E">
            <w:pPr>
              <w:pStyle w:val="6"/>
              <w:spacing w:before="132" w:line="232" w:lineRule="auto"/>
              <w:ind w:left="128"/>
              <w:rPr>
                <w:sz w:val="18"/>
                <w:szCs w:val="18"/>
              </w:rPr>
            </w:pPr>
            <w:r>
              <w:rPr>
                <w:spacing w:val="-1"/>
                <w:sz w:val="18"/>
                <w:szCs w:val="18"/>
              </w:rPr>
              <w:t>0.0005L</w:t>
            </w:r>
          </w:p>
        </w:tc>
        <w:tc>
          <w:tcPr>
            <w:tcW w:w="704" w:type="dxa"/>
            <w:vAlign w:val="top"/>
          </w:tcPr>
          <w:p w14:paraId="76576DF6">
            <w:pPr>
              <w:pStyle w:val="6"/>
              <w:spacing w:before="132" w:line="232" w:lineRule="auto"/>
              <w:ind w:left="100"/>
              <w:rPr>
                <w:sz w:val="18"/>
                <w:szCs w:val="18"/>
              </w:rPr>
            </w:pPr>
            <w:r>
              <w:rPr>
                <w:spacing w:val="-2"/>
                <w:sz w:val="18"/>
                <w:szCs w:val="18"/>
              </w:rPr>
              <w:t>0.004L</w:t>
            </w:r>
          </w:p>
        </w:tc>
        <w:tc>
          <w:tcPr>
            <w:tcW w:w="851" w:type="dxa"/>
            <w:vAlign w:val="top"/>
          </w:tcPr>
          <w:p w14:paraId="1E7C7A5B">
            <w:pPr>
              <w:pStyle w:val="6"/>
              <w:spacing w:before="132" w:line="232" w:lineRule="auto"/>
              <w:ind w:left="131"/>
              <w:rPr>
                <w:sz w:val="18"/>
                <w:szCs w:val="18"/>
              </w:rPr>
            </w:pPr>
            <w:r>
              <w:rPr>
                <w:spacing w:val="-1"/>
                <w:sz w:val="18"/>
                <w:szCs w:val="18"/>
              </w:rPr>
              <w:t>0.0025L</w:t>
            </w:r>
          </w:p>
        </w:tc>
        <w:tc>
          <w:tcPr>
            <w:tcW w:w="851" w:type="dxa"/>
            <w:vAlign w:val="top"/>
          </w:tcPr>
          <w:p w14:paraId="4048C36F">
            <w:pPr>
              <w:pStyle w:val="6"/>
              <w:spacing w:before="132" w:line="232" w:lineRule="auto"/>
              <w:ind w:left="132"/>
              <w:rPr>
                <w:sz w:val="18"/>
                <w:szCs w:val="18"/>
              </w:rPr>
            </w:pPr>
            <w:r>
              <w:rPr>
                <w:spacing w:val="-1"/>
                <w:sz w:val="18"/>
                <w:szCs w:val="18"/>
              </w:rPr>
              <w:t>0.0001L</w:t>
            </w:r>
          </w:p>
        </w:tc>
        <w:tc>
          <w:tcPr>
            <w:tcW w:w="846" w:type="dxa"/>
            <w:vAlign w:val="top"/>
          </w:tcPr>
          <w:p w14:paraId="05B53A7C">
            <w:pPr>
              <w:pStyle w:val="6"/>
              <w:spacing w:before="132" w:line="232" w:lineRule="auto"/>
              <w:ind w:left="186"/>
              <w:rPr>
                <w:sz w:val="18"/>
                <w:szCs w:val="18"/>
              </w:rPr>
            </w:pPr>
            <w:r>
              <w:rPr>
                <w:spacing w:val="-2"/>
                <w:sz w:val="18"/>
                <w:szCs w:val="18"/>
              </w:rPr>
              <w:t>0.0011</w:t>
            </w:r>
          </w:p>
        </w:tc>
        <w:tc>
          <w:tcPr>
            <w:tcW w:w="684" w:type="dxa"/>
            <w:vAlign w:val="top"/>
          </w:tcPr>
          <w:p w14:paraId="2D335E3C">
            <w:pPr>
              <w:pStyle w:val="6"/>
              <w:spacing w:before="132" w:line="232" w:lineRule="auto"/>
              <w:ind w:left="96"/>
              <w:rPr>
                <w:sz w:val="18"/>
                <w:szCs w:val="18"/>
              </w:rPr>
            </w:pPr>
            <w:r>
              <w:rPr>
                <w:spacing w:val="-2"/>
                <w:sz w:val="18"/>
                <w:szCs w:val="18"/>
              </w:rPr>
              <w:t>0.002L</w:t>
            </w:r>
          </w:p>
        </w:tc>
        <w:tc>
          <w:tcPr>
            <w:tcW w:w="460" w:type="dxa"/>
            <w:vAlign w:val="top"/>
          </w:tcPr>
          <w:p w14:paraId="6CBB92E9">
            <w:pPr>
              <w:pStyle w:val="6"/>
              <w:spacing w:before="132" w:line="232" w:lineRule="auto"/>
              <w:ind w:left="130"/>
              <w:rPr>
                <w:sz w:val="18"/>
                <w:szCs w:val="18"/>
              </w:rPr>
            </w:pPr>
            <w:r>
              <w:rPr>
                <w:spacing w:val="-3"/>
                <w:sz w:val="18"/>
                <w:szCs w:val="18"/>
              </w:rPr>
              <w:t>0.2</w:t>
            </w:r>
          </w:p>
        </w:tc>
        <w:tc>
          <w:tcPr>
            <w:tcW w:w="428" w:type="dxa"/>
            <w:vAlign w:val="top"/>
          </w:tcPr>
          <w:p w14:paraId="6681FDF1">
            <w:pPr>
              <w:pStyle w:val="6"/>
              <w:spacing w:before="132" w:line="232" w:lineRule="auto"/>
              <w:ind w:left="129"/>
              <w:rPr>
                <w:sz w:val="18"/>
                <w:szCs w:val="18"/>
              </w:rPr>
            </w:pPr>
            <w:r>
              <w:rPr>
                <w:spacing w:val="-7"/>
                <w:sz w:val="18"/>
                <w:szCs w:val="18"/>
              </w:rPr>
              <w:t>1.2</w:t>
            </w:r>
          </w:p>
        </w:tc>
        <w:tc>
          <w:tcPr>
            <w:tcW w:w="447" w:type="dxa"/>
            <w:vAlign w:val="top"/>
          </w:tcPr>
          <w:p w14:paraId="2425E616">
            <w:pPr>
              <w:pStyle w:val="6"/>
              <w:spacing w:before="132" w:line="232" w:lineRule="auto"/>
              <w:ind w:left="205"/>
              <w:rPr>
                <w:sz w:val="18"/>
                <w:szCs w:val="18"/>
              </w:rPr>
            </w:pPr>
            <w:r>
              <w:rPr>
                <w:sz w:val="18"/>
                <w:szCs w:val="18"/>
              </w:rPr>
              <w:t>/</w:t>
            </w:r>
          </w:p>
        </w:tc>
        <w:tc>
          <w:tcPr>
            <w:tcW w:w="666" w:type="dxa"/>
            <w:tcBorders>
              <w:right w:val="single" w:color="000000" w:sz="12" w:space="0"/>
            </w:tcBorders>
            <w:vAlign w:val="top"/>
          </w:tcPr>
          <w:p w14:paraId="0D8D3078">
            <w:pPr>
              <w:pStyle w:val="6"/>
              <w:spacing w:before="132" w:line="232" w:lineRule="auto"/>
              <w:ind w:left="247"/>
              <w:rPr>
                <w:sz w:val="18"/>
                <w:szCs w:val="18"/>
              </w:rPr>
            </w:pPr>
            <w:r>
              <w:rPr>
                <w:spacing w:val="-2"/>
                <w:sz w:val="18"/>
                <w:szCs w:val="18"/>
              </w:rPr>
              <w:t>30</w:t>
            </w:r>
          </w:p>
        </w:tc>
      </w:tr>
      <w:tr w14:paraId="6DA89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18919656">
            <w:pPr>
              <w:rPr>
                <w:rFonts w:ascii="Arial"/>
                <w:sz w:val="21"/>
              </w:rPr>
            </w:pPr>
          </w:p>
        </w:tc>
        <w:tc>
          <w:tcPr>
            <w:tcW w:w="285" w:type="dxa"/>
            <w:vMerge w:val="restart"/>
            <w:tcBorders>
              <w:bottom w:val="nil"/>
            </w:tcBorders>
            <w:vAlign w:val="top"/>
          </w:tcPr>
          <w:p w14:paraId="58A34F26">
            <w:pPr>
              <w:pStyle w:val="6"/>
              <w:spacing w:before="279" w:line="235" w:lineRule="auto"/>
              <w:ind w:left="38" w:right="63"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131" w:type="dxa"/>
            <w:vAlign w:val="top"/>
          </w:tcPr>
          <w:p w14:paraId="0D4184EC">
            <w:pPr>
              <w:pStyle w:val="6"/>
              <w:spacing w:before="132" w:line="232" w:lineRule="auto"/>
              <w:ind w:left="185"/>
              <w:rPr>
                <w:sz w:val="18"/>
                <w:szCs w:val="18"/>
              </w:rPr>
            </w:pPr>
            <w:r>
              <w:rPr>
                <w:spacing w:val="-1"/>
                <w:sz w:val="18"/>
                <w:szCs w:val="18"/>
              </w:rPr>
              <w:t>2021/7/19</w:t>
            </w:r>
          </w:p>
        </w:tc>
        <w:tc>
          <w:tcPr>
            <w:tcW w:w="570" w:type="dxa"/>
            <w:vAlign w:val="top"/>
          </w:tcPr>
          <w:p w14:paraId="5CDB0E65">
            <w:pPr>
              <w:pStyle w:val="6"/>
              <w:spacing w:before="137" w:line="183" w:lineRule="auto"/>
              <w:ind w:left="176"/>
              <w:rPr>
                <w:sz w:val="18"/>
                <w:szCs w:val="18"/>
              </w:rPr>
            </w:pPr>
            <w:r>
              <w:rPr>
                <w:spacing w:val="-2"/>
                <w:sz w:val="18"/>
                <w:szCs w:val="18"/>
              </w:rPr>
              <w:t>5L</w:t>
            </w:r>
          </w:p>
        </w:tc>
        <w:tc>
          <w:tcPr>
            <w:tcW w:w="703" w:type="dxa"/>
            <w:vAlign w:val="top"/>
          </w:tcPr>
          <w:p w14:paraId="3837CD5D">
            <w:pPr>
              <w:pStyle w:val="6"/>
              <w:spacing w:before="132" w:line="232" w:lineRule="auto"/>
              <w:ind w:left="175"/>
              <w:rPr>
                <w:sz w:val="18"/>
                <w:szCs w:val="18"/>
              </w:rPr>
            </w:pPr>
            <w:r>
              <w:rPr>
                <w:spacing w:val="-2"/>
                <w:sz w:val="18"/>
                <w:szCs w:val="18"/>
              </w:rPr>
              <w:t>0.5L</w:t>
            </w:r>
          </w:p>
        </w:tc>
        <w:tc>
          <w:tcPr>
            <w:tcW w:w="708" w:type="dxa"/>
            <w:vAlign w:val="top"/>
          </w:tcPr>
          <w:p w14:paraId="3DE8B3D4">
            <w:pPr>
              <w:pStyle w:val="6"/>
              <w:spacing w:before="132" w:line="232" w:lineRule="auto"/>
              <w:ind w:left="233"/>
              <w:rPr>
                <w:sz w:val="18"/>
                <w:szCs w:val="18"/>
              </w:rPr>
            </w:pPr>
            <w:r>
              <w:rPr>
                <w:spacing w:val="-3"/>
                <w:sz w:val="18"/>
                <w:szCs w:val="18"/>
              </w:rPr>
              <w:t>7.9</w:t>
            </w:r>
          </w:p>
        </w:tc>
        <w:tc>
          <w:tcPr>
            <w:tcW w:w="708" w:type="dxa"/>
            <w:vAlign w:val="top"/>
          </w:tcPr>
          <w:p w14:paraId="0AF7D336">
            <w:pPr>
              <w:pStyle w:val="6"/>
              <w:spacing w:before="132" w:line="232" w:lineRule="auto"/>
              <w:ind w:left="88"/>
              <w:rPr>
                <w:sz w:val="18"/>
                <w:szCs w:val="18"/>
              </w:rPr>
            </w:pPr>
            <w:r>
              <w:rPr>
                <w:spacing w:val="-2"/>
                <w:sz w:val="18"/>
                <w:szCs w:val="18"/>
              </w:rPr>
              <w:t>0.040L</w:t>
            </w:r>
          </w:p>
        </w:tc>
        <w:tc>
          <w:tcPr>
            <w:tcW w:w="851" w:type="dxa"/>
            <w:vAlign w:val="top"/>
          </w:tcPr>
          <w:p w14:paraId="1A9FCAEE">
            <w:pPr>
              <w:pStyle w:val="6"/>
              <w:spacing w:before="132" w:line="232" w:lineRule="auto"/>
              <w:ind w:left="172"/>
              <w:rPr>
                <w:sz w:val="18"/>
                <w:szCs w:val="18"/>
              </w:rPr>
            </w:pPr>
            <w:r>
              <w:rPr>
                <w:spacing w:val="-2"/>
                <w:sz w:val="18"/>
                <w:szCs w:val="18"/>
              </w:rPr>
              <w:t>0.0132</w:t>
            </w:r>
          </w:p>
        </w:tc>
        <w:tc>
          <w:tcPr>
            <w:tcW w:w="851" w:type="dxa"/>
            <w:vAlign w:val="top"/>
          </w:tcPr>
          <w:p w14:paraId="609D4E42">
            <w:pPr>
              <w:pStyle w:val="6"/>
              <w:spacing w:before="132" w:line="232" w:lineRule="auto"/>
              <w:ind w:left="173"/>
              <w:rPr>
                <w:sz w:val="18"/>
                <w:szCs w:val="18"/>
              </w:rPr>
            </w:pPr>
            <w:r>
              <w:rPr>
                <w:spacing w:val="-2"/>
                <w:sz w:val="18"/>
                <w:szCs w:val="18"/>
              </w:rPr>
              <w:t>0.0069</w:t>
            </w:r>
          </w:p>
        </w:tc>
        <w:tc>
          <w:tcPr>
            <w:tcW w:w="708" w:type="dxa"/>
            <w:vAlign w:val="top"/>
          </w:tcPr>
          <w:p w14:paraId="7163366B">
            <w:pPr>
              <w:pStyle w:val="6"/>
              <w:spacing w:before="132" w:line="232" w:lineRule="auto"/>
              <w:ind w:left="92"/>
              <w:rPr>
                <w:sz w:val="18"/>
                <w:szCs w:val="18"/>
              </w:rPr>
            </w:pPr>
            <w:r>
              <w:rPr>
                <w:spacing w:val="-2"/>
                <w:sz w:val="18"/>
                <w:szCs w:val="18"/>
              </w:rPr>
              <w:t>0.009L</w:t>
            </w:r>
          </w:p>
        </w:tc>
        <w:tc>
          <w:tcPr>
            <w:tcW w:w="707" w:type="dxa"/>
            <w:vAlign w:val="top"/>
          </w:tcPr>
          <w:p w14:paraId="782AE8C0">
            <w:pPr>
              <w:pStyle w:val="6"/>
              <w:spacing w:before="132" w:line="232" w:lineRule="auto"/>
              <w:ind w:left="93"/>
              <w:rPr>
                <w:sz w:val="18"/>
                <w:szCs w:val="18"/>
              </w:rPr>
            </w:pPr>
            <w:r>
              <w:rPr>
                <w:spacing w:val="-2"/>
                <w:sz w:val="18"/>
                <w:szCs w:val="18"/>
              </w:rPr>
              <w:t>0.001L</w:t>
            </w:r>
          </w:p>
        </w:tc>
        <w:tc>
          <w:tcPr>
            <w:tcW w:w="567" w:type="dxa"/>
            <w:vAlign w:val="top"/>
          </w:tcPr>
          <w:p w14:paraId="5F3E1A71">
            <w:pPr>
              <w:pStyle w:val="6"/>
              <w:spacing w:before="132" w:line="232" w:lineRule="auto"/>
              <w:ind w:left="129"/>
              <w:rPr>
                <w:sz w:val="18"/>
                <w:szCs w:val="18"/>
              </w:rPr>
            </w:pPr>
            <w:r>
              <w:rPr>
                <w:spacing w:val="-6"/>
                <w:sz w:val="18"/>
                <w:szCs w:val="18"/>
              </w:rPr>
              <w:t>1.0L</w:t>
            </w:r>
          </w:p>
        </w:tc>
        <w:tc>
          <w:tcPr>
            <w:tcW w:w="566" w:type="dxa"/>
            <w:vAlign w:val="top"/>
          </w:tcPr>
          <w:p w14:paraId="4AB0F700">
            <w:pPr>
              <w:pStyle w:val="6"/>
              <w:spacing w:before="132" w:line="232" w:lineRule="auto"/>
              <w:ind w:left="116"/>
              <w:rPr>
                <w:sz w:val="18"/>
                <w:szCs w:val="18"/>
              </w:rPr>
            </w:pPr>
            <w:r>
              <w:rPr>
                <w:spacing w:val="-3"/>
                <w:sz w:val="18"/>
                <w:szCs w:val="18"/>
              </w:rPr>
              <w:t>5.0L</w:t>
            </w:r>
          </w:p>
        </w:tc>
        <w:tc>
          <w:tcPr>
            <w:tcW w:w="851" w:type="dxa"/>
            <w:vAlign w:val="top"/>
          </w:tcPr>
          <w:p w14:paraId="0FCCCCDC">
            <w:pPr>
              <w:pStyle w:val="6"/>
              <w:spacing w:before="132" w:line="232" w:lineRule="auto"/>
              <w:ind w:left="337"/>
              <w:rPr>
                <w:sz w:val="18"/>
                <w:szCs w:val="18"/>
              </w:rPr>
            </w:pPr>
            <w:r>
              <w:rPr>
                <w:spacing w:val="-2"/>
                <w:sz w:val="18"/>
                <w:szCs w:val="18"/>
              </w:rPr>
              <w:t>72</w:t>
            </w:r>
          </w:p>
        </w:tc>
        <w:tc>
          <w:tcPr>
            <w:tcW w:w="567" w:type="dxa"/>
            <w:vAlign w:val="top"/>
          </w:tcPr>
          <w:p w14:paraId="43751FEE">
            <w:pPr>
              <w:pStyle w:val="6"/>
              <w:spacing w:before="132" w:line="232" w:lineRule="auto"/>
              <w:ind w:left="197"/>
              <w:rPr>
                <w:sz w:val="18"/>
                <w:szCs w:val="18"/>
              </w:rPr>
            </w:pPr>
            <w:r>
              <w:rPr>
                <w:spacing w:val="-3"/>
                <w:sz w:val="18"/>
                <w:szCs w:val="18"/>
              </w:rPr>
              <w:t>50</w:t>
            </w:r>
          </w:p>
        </w:tc>
        <w:tc>
          <w:tcPr>
            <w:tcW w:w="708" w:type="dxa"/>
            <w:vAlign w:val="top"/>
          </w:tcPr>
          <w:p w14:paraId="2A63B6B5">
            <w:pPr>
              <w:pStyle w:val="6"/>
              <w:spacing w:before="132" w:line="232" w:lineRule="auto"/>
              <w:ind w:left="195"/>
              <w:rPr>
                <w:sz w:val="18"/>
                <w:szCs w:val="18"/>
              </w:rPr>
            </w:pPr>
            <w:r>
              <w:rPr>
                <w:spacing w:val="-1"/>
                <w:sz w:val="18"/>
                <w:szCs w:val="18"/>
              </w:rPr>
              <w:t>2.74</w:t>
            </w:r>
          </w:p>
        </w:tc>
        <w:tc>
          <w:tcPr>
            <w:tcW w:w="851" w:type="dxa"/>
            <w:vAlign w:val="top"/>
          </w:tcPr>
          <w:p w14:paraId="26A7F5BA">
            <w:pPr>
              <w:pStyle w:val="6"/>
              <w:spacing w:before="132" w:line="232" w:lineRule="auto"/>
              <w:ind w:left="170"/>
              <w:rPr>
                <w:sz w:val="18"/>
                <w:szCs w:val="18"/>
              </w:rPr>
            </w:pPr>
            <w:r>
              <w:rPr>
                <w:spacing w:val="-2"/>
                <w:sz w:val="18"/>
                <w:szCs w:val="18"/>
              </w:rPr>
              <w:t>0.002L</w:t>
            </w:r>
          </w:p>
        </w:tc>
        <w:tc>
          <w:tcPr>
            <w:tcW w:w="990" w:type="dxa"/>
            <w:vAlign w:val="top"/>
          </w:tcPr>
          <w:p w14:paraId="2C8C36E8">
            <w:pPr>
              <w:pStyle w:val="6"/>
              <w:spacing w:before="132" w:line="232" w:lineRule="auto"/>
              <w:ind w:left="241"/>
              <w:rPr>
                <w:sz w:val="18"/>
                <w:szCs w:val="18"/>
              </w:rPr>
            </w:pPr>
            <w:r>
              <w:rPr>
                <w:spacing w:val="-2"/>
                <w:sz w:val="18"/>
                <w:szCs w:val="18"/>
              </w:rPr>
              <w:t>0.050L</w:t>
            </w:r>
          </w:p>
        </w:tc>
        <w:tc>
          <w:tcPr>
            <w:tcW w:w="566" w:type="dxa"/>
            <w:vAlign w:val="top"/>
          </w:tcPr>
          <w:p w14:paraId="2742D476">
            <w:pPr>
              <w:pStyle w:val="6"/>
              <w:spacing w:before="132" w:line="232" w:lineRule="auto"/>
              <w:ind w:left="85"/>
              <w:rPr>
                <w:sz w:val="18"/>
                <w:szCs w:val="18"/>
              </w:rPr>
            </w:pPr>
            <w:r>
              <w:rPr>
                <w:spacing w:val="-2"/>
                <w:sz w:val="18"/>
                <w:szCs w:val="18"/>
              </w:rPr>
              <w:t>0.001</w:t>
            </w:r>
          </w:p>
        </w:tc>
        <w:tc>
          <w:tcPr>
            <w:tcW w:w="851" w:type="dxa"/>
            <w:vAlign w:val="top"/>
          </w:tcPr>
          <w:p w14:paraId="0E9C828C">
            <w:pPr>
              <w:pStyle w:val="6"/>
              <w:spacing w:before="132" w:line="232" w:lineRule="auto"/>
              <w:ind w:left="128"/>
              <w:rPr>
                <w:sz w:val="18"/>
                <w:szCs w:val="18"/>
              </w:rPr>
            </w:pPr>
            <w:r>
              <w:rPr>
                <w:spacing w:val="-1"/>
                <w:sz w:val="18"/>
                <w:szCs w:val="18"/>
              </w:rPr>
              <w:t>0.0005L</w:t>
            </w:r>
          </w:p>
        </w:tc>
        <w:tc>
          <w:tcPr>
            <w:tcW w:w="704" w:type="dxa"/>
            <w:vAlign w:val="top"/>
          </w:tcPr>
          <w:p w14:paraId="0C7ECF15">
            <w:pPr>
              <w:pStyle w:val="6"/>
              <w:spacing w:before="132" w:line="232" w:lineRule="auto"/>
              <w:ind w:left="156"/>
              <w:rPr>
                <w:sz w:val="18"/>
                <w:szCs w:val="18"/>
              </w:rPr>
            </w:pPr>
            <w:r>
              <w:rPr>
                <w:spacing w:val="-2"/>
                <w:sz w:val="18"/>
                <w:szCs w:val="18"/>
              </w:rPr>
              <w:t>0.005</w:t>
            </w:r>
          </w:p>
        </w:tc>
        <w:tc>
          <w:tcPr>
            <w:tcW w:w="851" w:type="dxa"/>
            <w:vAlign w:val="top"/>
          </w:tcPr>
          <w:p w14:paraId="4F1488DB">
            <w:pPr>
              <w:pStyle w:val="6"/>
              <w:spacing w:before="132" w:line="232" w:lineRule="auto"/>
              <w:ind w:left="131"/>
              <w:rPr>
                <w:sz w:val="18"/>
                <w:szCs w:val="18"/>
              </w:rPr>
            </w:pPr>
            <w:r>
              <w:rPr>
                <w:spacing w:val="-1"/>
                <w:sz w:val="18"/>
                <w:szCs w:val="18"/>
              </w:rPr>
              <w:t>0.0025L</w:t>
            </w:r>
          </w:p>
        </w:tc>
        <w:tc>
          <w:tcPr>
            <w:tcW w:w="851" w:type="dxa"/>
            <w:vAlign w:val="top"/>
          </w:tcPr>
          <w:p w14:paraId="69F5C5F7">
            <w:pPr>
              <w:pStyle w:val="6"/>
              <w:spacing w:before="132" w:line="232" w:lineRule="auto"/>
              <w:ind w:left="132"/>
              <w:rPr>
                <w:sz w:val="18"/>
                <w:szCs w:val="18"/>
              </w:rPr>
            </w:pPr>
            <w:r>
              <w:rPr>
                <w:spacing w:val="-1"/>
                <w:sz w:val="18"/>
                <w:szCs w:val="18"/>
              </w:rPr>
              <w:t>0.0001L</w:t>
            </w:r>
          </w:p>
        </w:tc>
        <w:tc>
          <w:tcPr>
            <w:tcW w:w="846" w:type="dxa"/>
            <w:vAlign w:val="top"/>
          </w:tcPr>
          <w:p w14:paraId="7E69B571">
            <w:pPr>
              <w:pStyle w:val="6"/>
              <w:spacing w:before="132" w:line="232" w:lineRule="auto"/>
              <w:ind w:left="131"/>
              <w:rPr>
                <w:sz w:val="18"/>
                <w:szCs w:val="18"/>
              </w:rPr>
            </w:pPr>
            <w:r>
              <w:rPr>
                <w:spacing w:val="-1"/>
                <w:sz w:val="18"/>
                <w:szCs w:val="18"/>
              </w:rPr>
              <w:t>0.0004L</w:t>
            </w:r>
          </w:p>
        </w:tc>
        <w:tc>
          <w:tcPr>
            <w:tcW w:w="684" w:type="dxa"/>
            <w:vAlign w:val="top"/>
          </w:tcPr>
          <w:p w14:paraId="02E2054B">
            <w:pPr>
              <w:pStyle w:val="6"/>
              <w:spacing w:before="132" w:line="232" w:lineRule="auto"/>
              <w:ind w:left="96"/>
              <w:rPr>
                <w:sz w:val="18"/>
                <w:szCs w:val="18"/>
              </w:rPr>
            </w:pPr>
            <w:r>
              <w:rPr>
                <w:spacing w:val="-2"/>
                <w:sz w:val="18"/>
                <w:szCs w:val="18"/>
              </w:rPr>
              <w:t>0.002L</w:t>
            </w:r>
          </w:p>
        </w:tc>
        <w:tc>
          <w:tcPr>
            <w:tcW w:w="460" w:type="dxa"/>
            <w:vAlign w:val="top"/>
          </w:tcPr>
          <w:p w14:paraId="084AE41D">
            <w:pPr>
              <w:pStyle w:val="6"/>
              <w:spacing w:before="132" w:line="232" w:lineRule="auto"/>
              <w:ind w:left="130"/>
              <w:rPr>
                <w:sz w:val="18"/>
                <w:szCs w:val="18"/>
              </w:rPr>
            </w:pPr>
            <w:r>
              <w:rPr>
                <w:spacing w:val="-3"/>
                <w:sz w:val="18"/>
                <w:szCs w:val="18"/>
              </w:rPr>
              <w:t>0.2</w:t>
            </w:r>
          </w:p>
        </w:tc>
        <w:tc>
          <w:tcPr>
            <w:tcW w:w="428" w:type="dxa"/>
            <w:vAlign w:val="top"/>
          </w:tcPr>
          <w:p w14:paraId="2B4BC1AE">
            <w:pPr>
              <w:pStyle w:val="6"/>
              <w:spacing w:before="132" w:line="232" w:lineRule="auto"/>
              <w:ind w:left="60"/>
              <w:rPr>
                <w:sz w:val="18"/>
                <w:szCs w:val="18"/>
              </w:rPr>
            </w:pPr>
            <w:r>
              <w:rPr>
                <w:spacing w:val="-2"/>
                <w:sz w:val="18"/>
                <w:szCs w:val="18"/>
              </w:rPr>
              <w:t>0.5L</w:t>
            </w:r>
          </w:p>
        </w:tc>
        <w:tc>
          <w:tcPr>
            <w:tcW w:w="447" w:type="dxa"/>
            <w:vAlign w:val="top"/>
          </w:tcPr>
          <w:p w14:paraId="50C94BB0">
            <w:pPr>
              <w:pStyle w:val="6"/>
              <w:spacing w:before="132" w:line="232" w:lineRule="auto"/>
              <w:ind w:left="205"/>
              <w:rPr>
                <w:sz w:val="18"/>
                <w:szCs w:val="18"/>
              </w:rPr>
            </w:pPr>
            <w:r>
              <w:rPr>
                <w:sz w:val="18"/>
                <w:szCs w:val="18"/>
              </w:rPr>
              <w:t>/</w:t>
            </w:r>
          </w:p>
        </w:tc>
        <w:tc>
          <w:tcPr>
            <w:tcW w:w="666" w:type="dxa"/>
            <w:tcBorders>
              <w:right w:val="single" w:color="000000" w:sz="12" w:space="0"/>
            </w:tcBorders>
            <w:vAlign w:val="top"/>
          </w:tcPr>
          <w:p w14:paraId="344EAC46">
            <w:pPr>
              <w:pStyle w:val="6"/>
              <w:spacing w:before="132" w:line="232" w:lineRule="auto"/>
              <w:ind w:left="247"/>
              <w:rPr>
                <w:sz w:val="18"/>
                <w:szCs w:val="18"/>
              </w:rPr>
            </w:pPr>
            <w:r>
              <w:rPr>
                <w:spacing w:val="-2"/>
                <w:sz w:val="18"/>
                <w:szCs w:val="18"/>
              </w:rPr>
              <w:t>70</w:t>
            </w:r>
          </w:p>
        </w:tc>
      </w:tr>
      <w:tr w14:paraId="71536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bottom w:val="nil"/>
            </w:tcBorders>
            <w:vAlign w:val="top"/>
          </w:tcPr>
          <w:p w14:paraId="269E9FFE">
            <w:pPr>
              <w:rPr>
                <w:rFonts w:ascii="Arial"/>
                <w:sz w:val="21"/>
              </w:rPr>
            </w:pPr>
          </w:p>
        </w:tc>
        <w:tc>
          <w:tcPr>
            <w:tcW w:w="285" w:type="dxa"/>
            <w:vMerge w:val="continue"/>
            <w:tcBorders>
              <w:top w:val="nil"/>
              <w:bottom w:val="nil"/>
            </w:tcBorders>
            <w:vAlign w:val="top"/>
          </w:tcPr>
          <w:p w14:paraId="0693D080">
            <w:pPr>
              <w:rPr>
                <w:rFonts w:ascii="Arial"/>
                <w:sz w:val="21"/>
              </w:rPr>
            </w:pPr>
          </w:p>
        </w:tc>
        <w:tc>
          <w:tcPr>
            <w:tcW w:w="1131" w:type="dxa"/>
            <w:vAlign w:val="top"/>
          </w:tcPr>
          <w:p w14:paraId="5EE24BD9">
            <w:pPr>
              <w:pStyle w:val="6"/>
              <w:spacing w:before="133" w:line="232" w:lineRule="auto"/>
              <w:ind w:left="185"/>
              <w:rPr>
                <w:sz w:val="18"/>
                <w:szCs w:val="18"/>
              </w:rPr>
            </w:pPr>
            <w:r>
              <w:rPr>
                <w:spacing w:val="-1"/>
                <w:sz w:val="18"/>
                <w:szCs w:val="18"/>
              </w:rPr>
              <w:t>2021/7/20</w:t>
            </w:r>
          </w:p>
        </w:tc>
        <w:tc>
          <w:tcPr>
            <w:tcW w:w="570" w:type="dxa"/>
            <w:vAlign w:val="top"/>
          </w:tcPr>
          <w:p w14:paraId="4669A3CA">
            <w:pPr>
              <w:pStyle w:val="6"/>
              <w:spacing w:before="139" w:line="183" w:lineRule="auto"/>
              <w:ind w:left="176"/>
              <w:rPr>
                <w:sz w:val="18"/>
                <w:szCs w:val="18"/>
              </w:rPr>
            </w:pPr>
            <w:r>
              <w:rPr>
                <w:spacing w:val="-2"/>
                <w:sz w:val="18"/>
                <w:szCs w:val="18"/>
              </w:rPr>
              <w:t>5L</w:t>
            </w:r>
          </w:p>
        </w:tc>
        <w:tc>
          <w:tcPr>
            <w:tcW w:w="703" w:type="dxa"/>
            <w:vAlign w:val="top"/>
          </w:tcPr>
          <w:p w14:paraId="0F3F4683">
            <w:pPr>
              <w:pStyle w:val="6"/>
              <w:spacing w:before="133" w:line="232" w:lineRule="auto"/>
              <w:ind w:left="175"/>
              <w:rPr>
                <w:sz w:val="18"/>
                <w:szCs w:val="18"/>
              </w:rPr>
            </w:pPr>
            <w:r>
              <w:rPr>
                <w:spacing w:val="-2"/>
                <w:sz w:val="18"/>
                <w:szCs w:val="18"/>
              </w:rPr>
              <w:t>0.5L</w:t>
            </w:r>
          </w:p>
        </w:tc>
        <w:tc>
          <w:tcPr>
            <w:tcW w:w="708" w:type="dxa"/>
            <w:vAlign w:val="top"/>
          </w:tcPr>
          <w:p w14:paraId="4AC10F19">
            <w:pPr>
              <w:pStyle w:val="6"/>
              <w:spacing w:before="133" w:line="232" w:lineRule="auto"/>
              <w:ind w:left="233"/>
              <w:rPr>
                <w:sz w:val="18"/>
                <w:szCs w:val="18"/>
              </w:rPr>
            </w:pPr>
            <w:r>
              <w:rPr>
                <w:spacing w:val="-3"/>
                <w:sz w:val="18"/>
                <w:szCs w:val="18"/>
              </w:rPr>
              <w:t>7.8</w:t>
            </w:r>
          </w:p>
        </w:tc>
        <w:tc>
          <w:tcPr>
            <w:tcW w:w="708" w:type="dxa"/>
            <w:vAlign w:val="top"/>
          </w:tcPr>
          <w:p w14:paraId="1E38C669">
            <w:pPr>
              <w:pStyle w:val="6"/>
              <w:spacing w:before="133" w:line="232" w:lineRule="auto"/>
              <w:ind w:left="88"/>
              <w:rPr>
                <w:sz w:val="18"/>
                <w:szCs w:val="18"/>
              </w:rPr>
            </w:pPr>
            <w:r>
              <w:rPr>
                <w:spacing w:val="-2"/>
                <w:sz w:val="18"/>
                <w:szCs w:val="18"/>
              </w:rPr>
              <w:t>0.040L</w:t>
            </w:r>
          </w:p>
        </w:tc>
        <w:tc>
          <w:tcPr>
            <w:tcW w:w="851" w:type="dxa"/>
            <w:vAlign w:val="top"/>
          </w:tcPr>
          <w:p w14:paraId="321655B9">
            <w:pPr>
              <w:pStyle w:val="6"/>
              <w:spacing w:before="133" w:line="232" w:lineRule="auto"/>
              <w:ind w:left="172"/>
              <w:rPr>
                <w:sz w:val="18"/>
                <w:szCs w:val="18"/>
              </w:rPr>
            </w:pPr>
            <w:r>
              <w:rPr>
                <w:spacing w:val="-2"/>
                <w:sz w:val="18"/>
                <w:szCs w:val="18"/>
              </w:rPr>
              <w:t>0.0124</w:t>
            </w:r>
          </w:p>
        </w:tc>
        <w:tc>
          <w:tcPr>
            <w:tcW w:w="851" w:type="dxa"/>
            <w:vAlign w:val="top"/>
          </w:tcPr>
          <w:p w14:paraId="7F35B431">
            <w:pPr>
              <w:pStyle w:val="6"/>
              <w:spacing w:before="133" w:line="232" w:lineRule="auto"/>
              <w:ind w:left="173"/>
              <w:rPr>
                <w:sz w:val="18"/>
                <w:szCs w:val="18"/>
              </w:rPr>
            </w:pPr>
            <w:r>
              <w:rPr>
                <w:spacing w:val="-2"/>
                <w:sz w:val="18"/>
                <w:szCs w:val="18"/>
              </w:rPr>
              <w:t>0.0067</w:t>
            </w:r>
          </w:p>
        </w:tc>
        <w:tc>
          <w:tcPr>
            <w:tcW w:w="708" w:type="dxa"/>
            <w:vAlign w:val="top"/>
          </w:tcPr>
          <w:p w14:paraId="0022464C">
            <w:pPr>
              <w:pStyle w:val="6"/>
              <w:spacing w:before="133" w:line="232" w:lineRule="auto"/>
              <w:ind w:left="92"/>
              <w:rPr>
                <w:sz w:val="18"/>
                <w:szCs w:val="18"/>
              </w:rPr>
            </w:pPr>
            <w:r>
              <w:rPr>
                <w:spacing w:val="-2"/>
                <w:sz w:val="18"/>
                <w:szCs w:val="18"/>
              </w:rPr>
              <w:t>0.009L</w:t>
            </w:r>
          </w:p>
        </w:tc>
        <w:tc>
          <w:tcPr>
            <w:tcW w:w="707" w:type="dxa"/>
            <w:vAlign w:val="top"/>
          </w:tcPr>
          <w:p w14:paraId="3A7AFAAE">
            <w:pPr>
              <w:pStyle w:val="6"/>
              <w:spacing w:before="133" w:line="232" w:lineRule="auto"/>
              <w:ind w:left="93"/>
              <w:rPr>
                <w:sz w:val="18"/>
                <w:szCs w:val="18"/>
              </w:rPr>
            </w:pPr>
            <w:r>
              <w:rPr>
                <w:spacing w:val="-2"/>
                <w:sz w:val="18"/>
                <w:szCs w:val="18"/>
              </w:rPr>
              <w:t>0.001L</w:t>
            </w:r>
          </w:p>
        </w:tc>
        <w:tc>
          <w:tcPr>
            <w:tcW w:w="567" w:type="dxa"/>
            <w:vAlign w:val="top"/>
          </w:tcPr>
          <w:p w14:paraId="291A7474">
            <w:pPr>
              <w:pStyle w:val="6"/>
              <w:spacing w:before="133" w:line="232" w:lineRule="auto"/>
              <w:ind w:left="129"/>
              <w:rPr>
                <w:sz w:val="18"/>
                <w:szCs w:val="18"/>
              </w:rPr>
            </w:pPr>
            <w:r>
              <w:rPr>
                <w:spacing w:val="-6"/>
                <w:sz w:val="18"/>
                <w:szCs w:val="18"/>
              </w:rPr>
              <w:t>1.0L</w:t>
            </w:r>
          </w:p>
        </w:tc>
        <w:tc>
          <w:tcPr>
            <w:tcW w:w="566" w:type="dxa"/>
            <w:vAlign w:val="top"/>
          </w:tcPr>
          <w:p w14:paraId="290F56AC">
            <w:pPr>
              <w:pStyle w:val="6"/>
              <w:spacing w:before="133" w:line="232" w:lineRule="auto"/>
              <w:ind w:left="116"/>
              <w:rPr>
                <w:sz w:val="18"/>
                <w:szCs w:val="18"/>
              </w:rPr>
            </w:pPr>
            <w:r>
              <w:rPr>
                <w:spacing w:val="-3"/>
                <w:sz w:val="18"/>
                <w:szCs w:val="18"/>
              </w:rPr>
              <w:t>5.0L</w:t>
            </w:r>
          </w:p>
        </w:tc>
        <w:tc>
          <w:tcPr>
            <w:tcW w:w="851" w:type="dxa"/>
            <w:vAlign w:val="top"/>
          </w:tcPr>
          <w:p w14:paraId="1D307A3E">
            <w:pPr>
              <w:pStyle w:val="6"/>
              <w:spacing w:before="134" w:line="232" w:lineRule="auto"/>
              <w:ind w:left="338"/>
              <w:rPr>
                <w:sz w:val="18"/>
                <w:szCs w:val="18"/>
              </w:rPr>
            </w:pPr>
            <w:r>
              <w:rPr>
                <w:spacing w:val="-2"/>
                <w:sz w:val="18"/>
                <w:szCs w:val="18"/>
              </w:rPr>
              <w:t>68</w:t>
            </w:r>
          </w:p>
        </w:tc>
        <w:tc>
          <w:tcPr>
            <w:tcW w:w="567" w:type="dxa"/>
            <w:vAlign w:val="top"/>
          </w:tcPr>
          <w:p w14:paraId="30C62B55">
            <w:pPr>
              <w:pStyle w:val="6"/>
              <w:spacing w:before="134" w:line="232" w:lineRule="auto"/>
              <w:ind w:left="197"/>
              <w:rPr>
                <w:sz w:val="18"/>
                <w:szCs w:val="18"/>
              </w:rPr>
            </w:pPr>
            <w:r>
              <w:rPr>
                <w:spacing w:val="-3"/>
                <w:sz w:val="18"/>
                <w:szCs w:val="18"/>
              </w:rPr>
              <w:t>53</w:t>
            </w:r>
          </w:p>
        </w:tc>
        <w:tc>
          <w:tcPr>
            <w:tcW w:w="708" w:type="dxa"/>
            <w:vAlign w:val="top"/>
          </w:tcPr>
          <w:p w14:paraId="75F35A2E">
            <w:pPr>
              <w:pStyle w:val="6"/>
              <w:spacing w:before="133" w:line="232" w:lineRule="auto"/>
              <w:ind w:left="195"/>
              <w:rPr>
                <w:sz w:val="18"/>
                <w:szCs w:val="18"/>
              </w:rPr>
            </w:pPr>
            <w:r>
              <w:rPr>
                <w:spacing w:val="-1"/>
                <w:sz w:val="18"/>
                <w:szCs w:val="18"/>
              </w:rPr>
              <w:t>2.86</w:t>
            </w:r>
          </w:p>
        </w:tc>
        <w:tc>
          <w:tcPr>
            <w:tcW w:w="851" w:type="dxa"/>
            <w:vAlign w:val="top"/>
          </w:tcPr>
          <w:p w14:paraId="29FA925D">
            <w:pPr>
              <w:pStyle w:val="6"/>
              <w:spacing w:before="133" w:line="232" w:lineRule="auto"/>
              <w:ind w:left="170"/>
              <w:rPr>
                <w:sz w:val="18"/>
                <w:szCs w:val="18"/>
              </w:rPr>
            </w:pPr>
            <w:r>
              <w:rPr>
                <w:spacing w:val="-2"/>
                <w:sz w:val="18"/>
                <w:szCs w:val="18"/>
              </w:rPr>
              <w:t>0.002L</w:t>
            </w:r>
          </w:p>
        </w:tc>
        <w:tc>
          <w:tcPr>
            <w:tcW w:w="990" w:type="dxa"/>
            <w:vAlign w:val="top"/>
          </w:tcPr>
          <w:p w14:paraId="4B9B1D30">
            <w:pPr>
              <w:pStyle w:val="6"/>
              <w:spacing w:before="133" w:line="232" w:lineRule="auto"/>
              <w:ind w:left="241"/>
              <w:rPr>
                <w:sz w:val="18"/>
                <w:szCs w:val="18"/>
              </w:rPr>
            </w:pPr>
            <w:r>
              <w:rPr>
                <w:spacing w:val="-2"/>
                <w:sz w:val="18"/>
                <w:szCs w:val="18"/>
              </w:rPr>
              <w:t>0.050L</w:t>
            </w:r>
          </w:p>
        </w:tc>
        <w:tc>
          <w:tcPr>
            <w:tcW w:w="566" w:type="dxa"/>
            <w:vAlign w:val="top"/>
          </w:tcPr>
          <w:p w14:paraId="2026BC96">
            <w:pPr>
              <w:pStyle w:val="6"/>
              <w:spacing w:before="133" w:line="232" w:lineRule="auto"/>
              <w:ind w:left="85"/>
              <w:rPr>
                <w:sz w:val="18"/>
                <w:szCs w:val="18"/>
              </w:rPr>
            </w:pPr>
            <w:r>
              <w:rPr>
                <w:spacing w:val="-2"/>
                <w:sz w:val="18"/>
                <w:szCs w:val="18"/>
              </w:rPr>
              <w:t>0.001</w:t>
            </w:r>
          </w:p>
        </w:tc>
        <w:tc>
          <w:tcPr>
            <w:tcW w:w="851" w:type="dxa"/>
            <w:vAlign w:val="top"/>
          </w:tcPr>
          <w:p w14:paraId="6D5426C5">
            <w:pPr>
              <w:pStyle w:val="6"/>
              <w:spacing w:before="133" w:line="232" w:lineRule="auto"/>
              <w:ind w:left="128"/>
              <w:rPr>
                <w:sz w:val="18"/>
                <w:szCs w:val="18"/>
              </w:rPr>
            </w:pPr>
            <w:r>
              <w:rPr>
                <w:spacing w:val="-1"/>
                <w:sz w:val="18"/>
                <w:szCs w:val="18"/>
              </w:rPr>
              <w:t>0.0005L</w:t>
            </w:r>
          </w:p>
        </w:tc>
        <w:tc>
          <w:tcPr>
            <w:tcW w:w="704" w:type="dxa"/>
            <w:vAlign w:val="top"/>
          </w:tcPr>
          <w:p w14:paraId="483541D8">
            <w:pPr>
              <w:pStyle w:val="6"/>
              <w:spacing w:before="133" w:line="232" w:lineRule="auto"/>
              <w:ind w:left="156"/>
              <w:rPr>
                <w:sz w:val="18"/>
                <w:szCs w:val="18"/>
              </w:rPr>
            </w:pPr>
            <w:r>
              <w:rPr>
                <w:spacing w:val="-2"/>
                <w:sz w:val="18"/>
                <w:szCs w:val="18"/>
              </w:rPr>
              <w:t>0.007</w:t>
            </w:r>
          </w:p>
        </w:tc>
        <w:tc>
          <w:tcPr>
            <w:tcW w:w="851" w:type="dxa"/>
            <w:vAlign w:val="top"/>
          </w:tcPr>
          <w:p w14:paraId="721AADAA">
            <w:pPr>
              <w:pStyle w:val="6"/>
              <w:spacing w:before="133" w:line="232" w:lineRule="auto"/>
              <w:ind w:left="131"/>
              <w:rPr>
                <w:sz w:val="18"/>
                <w:szCs w:val="18"/>
              </w:rPr>
            </w:pPr>
            <w:r>
              <w:rPr>
                <w:spacing w:val="-1"/>
                <w:sz w:val="18"/>
                <w:szCs w:val="18"/>
              </w:rPr>
              <w:t>0.0025L</w:t>
            </w:r>
          </w:p>
        </w:tc>
        <w:tc>
          <w:tcPr>
            <w:tcW w:w="851" w:type="dxa"/>
            <w:vAlign w:val="top"/>
          </w:tcPr>
          <w:p w14:paraId="7DCFE4AF">
            <w:pPr>
              <w:pStyle w:val="6"/>
              <w:spacing w:before="133" w:line="232" w:lineRule="auto"/>
              <w:ind w:left="132"/>
              <w:rPr>
                <w:sz w:val="18"/>
                <w:szCs w:val="18"/>
              </w:rPr>
            </w:pPr>
            <w:r>
              <w:rPr>
                <w:spacing w:val="-1"/>
                <w:sz w:val="18"/>
                <w:szCs w:val="18"/>
              </w:rPr>
              <w:t>0.0001L</w:t>
            </w:r>
          </w:p>
        </w:tc>
        <w:tc>
          <w:tcPr>
            <w:tcW w:w="846" w:type="dxa"/>
            <w:vAlign w:val="top"/>
          </w:tcPr>
          <w:p w14:paraId="4BA13565">
            <w:pPr>
              <w:pStyle w:val="6"/>
              <w:spacing w:before="133" w:line="232" w:lineRule="auto"/>
              <w:ind w:left="131"/>
              <w:rPr>
                <w:sz w:val="18"/>
                <w:szCs w:val="18"/>
              </w:rPr>
            </w:pPr>
            <w:r>
              <w:rPr>
                <w:spacing w:val="-1"/>
                <w:sz w:val="18"/>
                <w:szCs w:val="18"/>
              </w:rPr>
              <w:t>0.0004L</w:t>
            </w:r>
          </w:p>
        </w:tc>
        <w:tc>
          <w:tcPr>
            <w:tcW w:w="684" w:type="dxa"/>
            <w:vAlign w:val="top"/>
          </w:tcPr>
          <w:p w14:paraId="1BBBEDEA">
            <w:pPr>
              <w:pStyle w:val="6"/>
              <w:spacing w:before="133" w:line="232" w:lineRule="auto"/>
              <w:ind w:left="96"/>
              <w:rPr>
                <w:sz w:val="18"/>
                <w:szCs w:val="18"/>
              </w:rPr>
            </w:pPr>
            <w:r>
              <w:rPr>
                <w:spacing w:val="-2"/>
                <w:sz w:val="18"/>
                <w:szCs w:val="18"/>
              </w:rPr>
              <w:t>0.002L</w:t>
            </w:r>
          </w:p>
        </w:tc>
        <w:tc>
          <w:tcPr>
            <w:tcW w:w="460" w:type="dxa"/>
            <w:vAlign w:val="top"/>
          </w:tcPr>
          <w:p w14:paraId="45901411">
            <w:pPr>
              <w:pStyle w:val="6"/>
              <w:spacing w:before="133" w:line="232" w:lineRule="auto"/>
              <w:ind w:left="130"/>
              <w:rPr>
                <w:sz w:val="18"/>
                <w:szCs w:val="18"/>
              </w:rPr>
            </w:pPr>
            <w:r>
              <w:rPr>
                <w:spacing w:val="-3"/>
                <w:sz w:val="18"/>
                <w:szCs w:val="18"/>
              </w:rPr>
              <w:t>0.3</w:t>
            </w:r>
          </w:p>
        </w:tc>
        <w:tc>
          <w:tcPr>
            <w:tcW w:w="428" w:type="dxa"/>
            <w:vAlign w:val="top"/>
          </w:tcPr>
          <w:p w14:paraId="3A1EB578">
            <w:pPr>
              <w:pStyle w:val="6"/>
              <w:spacing w:before="133" w:line="232" w:lineRule="auto"/>
              <w:ind w:left="60"/>
              <w:rPr>
                <w:sz w:val="18"/>
                <w:szCs w:val="18"/>
              </w:rPr>
            </w:pPr>
            <w:r>
              <w:rPr>
                <w:spacing w:val="-2"/>
                <w:sz w:val="18"/>
                <w:szCs w:val="18"/>
              </w:rPr>
              <w:t>0.5L</w:t>
            </w:r>
          </w:p>
        </w:tc>
        <w:tc>
          <w:tcPr>
            <w:tcW w:w="447" w:type="dxa"/>
            <w:vAlign w:val="top"/>
          </w:tcPr>
          <w:p w14:paraId="2F690B61">
            <w:pPr>
              <w:pStyle w:val="6"/>
              <w:spacing w:before="133" w:line="232" w:lineRule="auto"/>
              <w:ind w:left="205"/>
              <w:rPr>
                <w:sz w:val="18"/>
                <w:szCs w:val="18"/>
              </w:rPr>
            </w:pPr>
            <w:r>
              <w:rPr>
                <w:sz w:val="18"/>
                <w:szCs w:val="18"/>
              </w:rPr>
              <w:t>/</w:t>
            </w:r>
          </w:p>
        </w:tc>
        <w:tc>
          <w:tcPr>
            <w:tcW w:w="666" w:type="dxa"/>
            <w:tcBorders>
              <w:right w:val="single" w:color="000000" w:sz="12" w:space="0"/>
            </w:tcBorders>
            <w:vAlign w:val="top"/>
          </w:tcPr>
          <w:p w14:paraId="315F89F8">
            <w:pPr>
              <w:pStyle w:val="6"/>
              <w:spacing w:before="134" w:line="232" w:lineRule="auto"/>
              <w:ind w:left="248"/>
              <w:rPr>
                <w:sz w:val="18"/>
                <w:szCs w:val="18"/>
              </w:rPr>
            </w:pPr>
            <w:r>
              <w:rPr>
                <w:spacing w:val="-2"/>
                <w:sz w:val="18"/>
                <w:szCs w:val="18"/>
              </w:rPr>
              <w:t>60</w:t>
            </w:r>
          </w:p>
        </w:tc>
      </w:tr>
      <w:tr w14:paraId="7D06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tcBorders>
            <w:vAlign w:val="top"/>
          </w:tcPr>
          <w:p w14:paraId="395C0D74">
            <w:pPr>
              <w:rPr>
                <w:rFonts w:ascii="Arial"/>
                <w:sz w:val="21"/>
              </w:rPr>
            </w:pPr>
          </w:p>
        </w:tc>
        <w:tc>
          <w:tcPr>
            <w:tcW w:w="285" w:type="dxa"/>
            <w:vMerge w:val="continue"/>
            <w:tcBorders>
              <w:top w:val="nil"/>
            </w:tcBorders>
            <w:vAlign w:val="top"/>
          </w:tcPr>
          <w:p w14:paraId="66A5CD9C">
            <w:pPr>
              <w:rPr>
                <w:rFonts w:ascii="Arial"/>
                <w:sz w:val="21"/>
              </w:rPr>
            </w:pPr>
          </w:p>
        </w:tc>
        <w:tc>
          <w:tcPr>
            <w:tcW w:w="1131" w:type="dxa"/>
            <w:vAlign w:val="top"/>
          </w:tcPr>
          <w:p w14:paraId="0B547A4B">
            <w:pPr>
              <w:pStyle w:val="6"/>
              <w:spacing w:before="136" w:line="232" w:lineRule="auto"/>
              <w:ind w:left="185"/>
              <w:rPr>
                <w:sz w:val="18"/>
                <w:szCs w:val="18"/>
              </w:rPr>
            </w:pPr>
            <w:r>
              <w:rPr>
                <w:spacing w:val="-1"/>
                <w:sz w:val="18"/>
                <w:szCs w:val="18"/>
              </w:rPr>
              <w:t>2021/7/21</w:t>
            </w:r>
          </w:p>
        </w:tc>
        <w:tc>
          <w:tcPr>
            <w:tcW w:w="570" w:type="dxa"/>
            <w:vAlign w:val="top"/>
          </w:tcPr>
          <w:p w14:paraId="4E0E2272">
            <w:pPr>
              <w:pStyle w:val="6"/>
              <w:spacing w:before="141" w:line="183" w:lineRule="auto"/>
              <w:ind w:left="176"/>
              <w:rPr>
                <w:sz w:val="18"/>
                <w:szCs w:val="18"/>
              </w:rPr>
            </w:pPr>
            <w:r>
              <w:rPr>
                <w:spacing w:val="-2"/>
                <w:sz w:val="18"/>
                <w:szCs w:val="18"/>
              </w:rPr>
              <w:t>5L</w:t>
            </w:r>
          </w:p>
        </w:tc>
        <w:tc>
          <w:tcPr>
            <w:tcW w:w="703" w:type="dxa"/>
            <w:vAlign w:val="top"/>
          </w:tcPr>
          <w:p w14:paraId="0274B556">
            <w:pPr>
              <w:pStyle w:val="6"/>
              <w:spacing w:before="136" w:line="232" w:lineRule="auto"/>
              <w:ind w:left="175"/>
              <w:rPr>
                <w:sz w:val="18"/>
                <w:szCs w:val="18"/>
              </w:rPr>
            </w:pPr>
            <w:r>
              <w:rPr>
                <w:spacing w:val="-2"/>
                <w:sz w:val="18"/>
                <w:szCs w:val="18"/>
              </w:rPr>
              <w:t>0.5L</w:t>
            </w:r>
          </w:p>
        </w:tc>
        <w:tc>
          <w:tcPr>
            <w:tcW w:w="708" w:type="dxa"/>
            <w:vAlign w:val="top"/>
          </w:tcPr>
          <w:p w14:paraId="55B42210">
            <w:pPr>
              <w:pStyle w:val="6"/>
              <w:spacing w:before="136" w:line="232" w:lineRule="auto"/>
              <w:ind w:left="233"/>
              <w:rPr>
                <w:sz w:val="18"/>
                <w:szCs w:val="18"/>
              </w:rPr>
            </w:pPr>
            <w:r>
              <w:rPr>
                <w:spacing w:val="-3"/>
                <w:sz w:val="18"/>
                <w:szCs w:val="18"/>
              </w:rPr>
              <w:t>7.9</w:t>
            </w:r>
          </w:p>
        </w:tc>
        <w:tc>
          <w:tcPr>
            <w:tcW w:w="708" w:type="dxa"/>
            <w:vAlign w:val="top"/>
          </w:tcPr>
          <w:p w14:paraId="6CE5A847">
            <w:pPr>
              <w:pStyle w:val="6"/>
              <w:spacing w:before="136" w:line="232" w:lineRule="auto"/>
              <w:ind w:left="88"/>
              <w:rPr>
                <w:sz w:val="18"/>
                <w:szCs w:val="18"/>
              </w:rPr>
            </w:pPr>
            <w:r>
              <w:rPr>
                <w:spacing w:val="-2"/>
                <w:sz w:val="18"/>
                <w:szCs w:val="18"/>
              </w:rPr>
              <w:t>0.040L</w:t>
            </w:r>
          </w:p>
        </w:tc>
        <w:tc>
          <w:tcPr>
            <w:tcW w:w="851" w:type="dxa"/>
            <w:vAlign w:val="top"/>
          </w:tcPr>
          <w:p w14:paraId="4B310241">
            <w:pPr>
              <w:pStyle w:val="6"/>
              <w:spacing w:before="136" w:line="232" w:lineRule="auto"/>
              <w:ind w:left="172"/>
              <w:rPr>
                <w:sz w:val="18"/>
                <w:szCs w:val="18"/>
              </w:rPr>
            </w:pPr>
            <w:r>
              <w:rPr>
                <w:spacing w:val="-2"/>
                <w:sz w:val="18"/>
                <w:szCs w:val="18"/>
              </w:rPr>
              <w:t>0.0137</w:t>
            </w:r>
          </w:p>
        </w:tc>
        <w:tc>
          <w:tcPr>
            <w:tcW w:w="851" w:type="dxa"/>
            <w:vAlign w:val="top"/>
          </w:tcPr>
          <w:p w14:paraId="3CBF2420">
            <w:pPr>
              <w:pStyle w:val="6"/>
              <w:spacing w:before="136" w:line="232" w:lineRule="auto"/>
              <w:ind w:left="173"/>
              <w:rPr>
                <w:sz w:val="18"/>
                <w:szCs w:val="18"/>
              </w:rPr>
            </w:pPr>
            <w:r>
              <w:rPr>
                <w:spacing w:val="-1"/>
                <w:sz w:val="18"/>
                <w:szCs w:val="18"/>
              </w:rPr>
              <w:t>0.0067</w:t>
            </w:r>
          </w:p>
        </w:tc>
        <w:tc>
          <w:tcPr>
            <w:tcW w:w="708" w:type="dxa"/>
            <w:vAlign w:val="top"/>
          </w:tcPr>
          <w:p w14:paraId="5B576A02">
            <w:pPr>
              <w:pStyle w:val="6"/>
              <w:spacing w:before="136" w:line="232" w:lineRule="auto"/>
              <w:ind w:left="92"/>
              <w:rPr>
                <w:sz w:val="18"/>
                <w:szCs w:val="18"/>
              </w:rPr>
            </w:pPr>
            <w:r>
              <w:rPr>
                <w:spacing w:val="-2"/>
                <w:sz w:val="18"/>
                <w:szCs w:val="18"/>
              </w:rPr>
              <w:t>0.009L</w:t>
            </w:r>
          </w:p>
        </w:tc>
        <w:tc>
          <w:tcPr>
            <w:tcW w:w="707" w:type="dxa"/>
            <w:vAlign w:val="top"/>
          </w:tcPr>
          <w:p w14:paraId="2232A472">
            <w:pPr>
              <w:pStyle w:val="6"/>
              <w:spacing w:before="136" w:line="232" w:lineRule="auto"/>
              <w:ind w:left="93"/>
              <w:rPr>
                <w:sz w:val="18"/>
                <w:szCs w:val="18"/>
              </w:rPr>
            </w:pPr>
            <w:r>
              <w:rPr>
                <w:spacing w:val="-2"/>
                <w:sz w:val="18"/>
                <w:szCs w:val="18"/>
              </w:rPr>
              <w:t>0.001L</w:t>
            </w:r>
          </w:p>
        </w:tc>
        <w:tc>
          <w:tcPr>
            <w:tcW w:w="567" w:type="dxa"/>
            <w:vAlign w:val="top"/>
          </w:tcPr>
          <w:p w14:paraId="5DFEBB04">
            <w:pPr>
              <w:pStyle w:val="6"/>
              <w:spacing w:before="136" w:line="232" w:lineRule="auto"/>
              <w:ind w:left="129"/>
              <w:rPr>
                <w:sz w:val="18"/>
                <w:szCs w:val="18"/>
              </w:rPr>
            </w:pPr>
            <w:r>
              <w:rPr>
                <w:spacing w:val="-6"/>
                <w:sz w:val="18"/>
                <w:szCs w:val="18"/>
              </w:rPr>
              <w:t>1.0L</w:t>
            </w:r>
          </w:p>
        </w:tc>
        <w:tc>
          <w:tcPr>
            <w:tcW w:w="566" w:type="dxa"/>
            <w:vAlign w:val="top"/>
          </w:tcPr>
          <w:p w14:paraId="79B133F2">
            <w:pPr>
              <w:pStyle w:val="6"/>
              <w:spacing w:before="136" w:line="232" w:lineRule="auto"/>
              <w:ind w:left="116"/>
              <w:rPr>
                <w:sz w:val="18"/>
                <w:szCs w:val="18"/>
              </w:rPr>
            </w:pPr>
            <w:r>
              <w:rPr>
                <w:spacing w:val="-3"/>
                <w:sz w:val="18"/>
                <w:szCs w:val="18"/>
              </w:rPr>
              <w:t>5.0L</w:t>
            </w:r>
          </w:p>
        </w:tc>
        <w:tc>
          <w:tcPr>
            <w:tcW w:w="851" w:type="dxa"/>
            <w:vAlign w:val="top"/>
          </w:tcPr>
          <w:p w14:paraId="5F134383">
            <w:pPr>
              <w:pStyle w:val="6"/>
              <w:spacing w:before="136" w:line="232" w:lineRule="auto"/>
              <w:ind w:left="337"/>
              <w:rPr>
                <w:sz w:val="18"/>
                <w:szCs w:val="18"/>
              </w:rPr>
            </w:pPr>
            <w:r>
              <w:rPr>
                <w:spacing w:val="-2"/>
                <w:sz w:val="18"/>
                <w:szCs w:val="18"/>
              </w:rPr>
              <w:t>75</w:t>
            </w:r>
          </w:p>
        </w:tc>
        <w:tc>
          <w:tcPr>
            <w:tcW w:w="567" w:type="dxa"/>
            <w:vAlign w:val="top"/>
          </w:tcPr>
          <w:p w14:paraId="0DAE8B89">
            <w:pPr>
              <w:pStyle w:val="6"/>
              <w:spacing w:before="136" w:line="232" w:lineRule="auto"/>
              <w:ind w:left="197"/>
              <w:rPr>
                <w:sz w:val="18"/>
                <w:szCs w:val="18"/>
              </w:rPr>
            </w:pPr>
            <w:r>
              <w:rPr>
                <w:spacing w:val="-3"/>
                <w:sz w:val="18"/>
                <w:szCs w:val="18"/>
              </w:rPr>
              <w:t>51</w:t>
            </w:r>
          </w:p>
        </w:tc>
        <w:tc>
          <w:tcPr>
            <w:tcW w:w="708" w:type="dxa"/>
            <w:vAlign w:val="top"/>
          </w:tcPr>
          <w:p w14:paraId="47E9FD76">
            <w:pPr>
              <w:pStyle w:val="6"/>
              <w:spacing w:before="136" w:line="232" w:lineRule="auto"/>
              <w:ind w:left="195"/>
              <w:rPr>
                <w:sz w:val="18"/>
                <w:szCs w:val="18"/>
              </w:rPr>
            </w:pPr>
            <w:r>
              <w:rPr>
                <w:spacing w:val="-1"/>
                <w:sz w:val="18"/>
                <w:szCs w:val="18"/>
              </w:rPr>
              <w:t>2.69</w:t>
            </w:r>
          </w:p>
        </w:tc>
        <w:tc>
          <w:tcPr>
            <w:tcW w:w="851" w:type="dxa"/>
            <w:vAlign w:val="top"/>
          </w:tcPr>
          <w:p w14:paraId="2B204454">
            <w:pPr>
              <w:pStyle w:val="6"/>
              <w:spacing w:before="136" w:line="232" w:lineRule="auto"/>
              <w:ind w:left="170"/>
              <w:rPr>
                <w:sz w:val="18"/>
                <w:szCs w:val="18"/>
              </w:rPr>
            </w:pPr>
            <w:r>
              <w:rPr>
                <w:spacing w:val="-2"/>
                <w:sz w:val="18"/>
                <w:szCs w:val="18"/>
              </w:rPr>
              <w:t>0.002L</w:t>
            </w:r>
          </w:p>
        </w:tc>
        <w:tc>
          <w:tcPr>
            <w:tcW w:w="990" w:type="dxa"/>
            <w:vAlign w:val="top"/>
          </w:tcPr>
          <w:p w14:paraId="1466E545">
            <w:pPr>
              <w:pStyle w:val="6"/>
              <w:spacing w:before="136" w:line="232" w:lineRule="auto"/>
              <w:ind w:left="241"/>
              <w:rPr>
                <w:sz w:val="18"/>
                <w:szCs w:val="18"/>
              </w:rPr>
            </w:pPr>
            <w:r>
              <w:rPr>
                <w:spacing w:val="-2"/>
                <w:sz w:val="18"/>
                <w:szCs w:val="18"/>
              </w:rPr>
              <w:t>0.050L</w:t>
            </w:r>
          </w:p>
        </w:tc>
        <w:tc>
          <w:tcPr>
            <w:tcW w:w="566" w:type="dxa"/>
            <w:vAlign w:val="top"/>
          </w:tcPr>
          <w:p w14:paraId="15CB9CBF">
            <w:pPr>
              <w:pStyle w:val="6"/>
              <w:spacing w:before="136" w:line="232" w:lineRule="auto"/>
              <w:ind w:left="85"/>
              <w:rPr>
                <w:sz w:val="18"/>
                <w:szCs w:val="18"/>
              </w:rPr>
            </w:pPr>
            <w:r>
              <w:rPr>
                <w:spacing w:val="-2"/>
                <w:sz w:val="18"/>
                <w:szCs w:val="18"/>
              </w:rPr>
              <w:t>0.001</w:t>
            </w:r>
          </w:p>
        </w:tc>
        <w:tc>
          <w:tcPr>
            <w:tcW w:w="851" w:type="dxa"/>
            <w:vAlign w:val="top"/>
          </w:tcPr>
          <w:p w14:paraId="2A465993">
            <w:pPr>
              <w:pStyle w:val="6"/>
              <w:spacing w:before="136" w:line="232" w:lineRule="auto"/>
              <w:ind w:left="128"/>
              <w:rPr>
                <w:sz w:val="18"/>
                <w:szCs w:val="18"/>
              </w:rPr>
            </w:pPr>
            <w:r>
              <w:rPr>
                <w:spacing w:val="-1"/>
                <w:sz w:val="18"/>
                <w:szCs w:val="18"/>
              </w:rPr>
              <w:t>0.0005L</w:t>
            </w:r>
          </w:p>
        </w:tc>
        <w:tc>
          <w:tcPr>
            <w:tcW w:w="704" w:type="dxa"/>
            <w:vAlign w:val="top"/>
          </w:tcPr>
          <w:p w14:paraId="0DB36696">
            <w:pPr>
              <w:pStyle w:val="6"/>
              <w:spacing w:before="136" w:line="232" w:lineRule="auto"/>
              <w:ind w:left="156"/>
              <w:rPr>
                <w:sz w:val="18"/>
                <w:szCs w:val="18"/>
              </w:rPr>
            </w:pPr>
            <w:r>
              <w:rPr>
                <w:spacing w:val="-2"/>
                <w:sz w:val="18"/>
                <w:szCs w:val="18"/>
              </w:rPr>
              <w:t>0.006</w:t>
            </w:r>
          </w:p>
        </w:tc>
        <w:tc>
          <w:tcPr>
            <w:tcW w:w="851" w:type="dxa"/>
            <w:vAlign w:val="top"/>
          </w:tcPr>
          <w:p w14:paraId="0DC9ACCB">
            <w:pPr>
              <w:pStyle w:val="6"/>
              <w:spacing w:before="136" w:line="232" w:lineRule="auto"/>
              <w:ind w:left="131"/>
              <w:rPr>
                <w:sz w:val="18"/>
                <w:szCs w:val="18"/>
              </w:rPr>
            </w:pPr>
            <w:r>
              <w:rPr>
                <w:spacing w:val="-1"/>
                <w:sz w:val="18"/>
                <w:szCs w:val="18"/>
              </w:rPr>
              <w:t>0.0025L</w:t>
            </w:r>
          </w:p>
        </w:tc>
        <w:tc>
          <w:tcPr>
            <w:tcW w:w="851" w:type="dxa"/>
            <w:vAlign w:val="top"/>
          </w:tcPr>
          <w:p w14:paraId="6618226B">
            <w:pPr>
              <w:pStyle w:val="6"/>
              <w:spacing w:before="136" w:line="232" w:lineRule="auto"/>
              <w:ind w:left="132"/>
              <w:rPr>
                <w:sz w:val="18"/>
                <w:szCs w:val="18"/>
              </w:rPr>
            </w:pPr>
            <w:r>
              <w:rPr>
                <w:spacing w:val="-1"/>
                <w:sz w:val="18"/>
                <w:szCs w:val="18"/>
              </w:rPr>
              <w:t>0.0001L</w:t>
            </w:r>
          </w:p>
        </w:tc>
        <w:tc>
          <w:tcPr>
            <w:tcW w:w="846" w:type="dxa"/>
            <w:vAlign w:val="top"/>
          </w:tcPr>
          <w:p w14:paraId="479AC544">
            <w:pPr>
              <w:pStyle w:val="6"/>
              <w:spacing w:before="136" w:line="232" w:lineRule="auto"/>
              <w:ind w:left="131"/>
              <w:rPr>
                <w:sz w:val="18"/>
                <w:szCs w:val="18"/>
              </w:rPr>
            </w:pPr>
            <w:r>
              <w:rPr>
                <w:spacing w:val="-1"/>
                <w:sz w:val="18"/>
                <w:szCs w:val="18"/>
              </w:rPr>
              <w:t>0.0004L</w:t>
            </w:r>
          </w:p>
        </w:tc>
        <w:tc>
          <w:tcPr>
            <w:tcW w:w="684" w:type="dxa"/>
            <w:vAlign w:val="top"/>
          </w:tcPr>
          <w:p w14:paraId="3DC1B433">
            <w:pPr>
              <w:pStyle w:val="6"/>
              <w:spacing w:before="136" w:line="232" w:lineRule="auto"/>
              <w:ind w:left="96"/>
              <w:rPr>
                <w:sz w:val="18"/>
                <w:szCs w:val="18"/>
              </w:rPr>
            </w:pPr>
            <w:r>
              <w:rPr>
                <w:spacing w:val="-2"/>
                <w:sz w:val="18"/>
                <w:szCs w:val="18"/>
              </w:rPr>
              <w:t>0.002L</w:t>
            </w:r>
          </w:p>
        </w:tc>
        <w:tc>
          <w:tcPr>
            <w:tcW w:w="460" w:type="dxa"/>
            <w:vAlign w:val="top"/>
          </w:tcPr>
          <w:p w14:paraId="1228F2D2">
            <w:pPr>
              <w:pStyle w:val="6"/>
              <w:spacing w:before="136" w:line="232" w:lineRule="auto"/>
              <w:ind w:left="130"/>
              <w:rPr>
                <w:sz w:val="18"/>
                <w:szCs w:val="18"/>
              </w:rPr>
            </w:pPr>
            <w:r>
              <w:rPr>
                <w:spacing w:val="-3"/>
                <w:sz w:val="18"/>
                <w:szCs w:val="18"/>
              </w:rPr>
              <w:t>0.4</w:t>
            </w:r>
          </w:p>
        </w:tc>
        <w:tc>
          <w:tcPr>
            <w:tcW w:w="428" w:type="dxa"/>
            <w:vAlign w:val="top"/>
          </w:tcPr>
          <w:p w14:paraId="63DBACB5">
            <w:pPr>
              <w:pStyle w:val="6"/>
              <w:spacing w:before="136" w:line="232" w:lineRule="auto"/>
              <w:ind w:left="60"/>
              <w:rPr>
                <w:sz w:val="18"/>
                <w:szCs w:val="18"/>
              </w:rPr>
            </w:pPr>
            <w:r>
              <w:rPr>
                <w:spacing w:val="-2"/>
                <w:sz w:val="18"/>
                <w:szCs w:val="18"/>
              </w:rPr>
              <w:t>0.5L</w:t>
            </w:r>
          </w:p>
        </w:tc>
        <w:tc>
          <w:tcPr>
            <w:tcW w:w="447" w:type="dxa"/>
            <w:vAlign w:val="top"/>
          </w:tcPr>
          <w:p w14:paraId="3B98EBF8">
            <w:pPr>
              <w:pStyle w:val="6"/>
              <w:spacing w:before="136" w:line="232" w:lineRule="auto"/>
              <w:ind w:left="205"/>
              <w:rPr>
                <w:sz w:val="18"/>
                <w:szCs w:val="18"/>
              </w:rPr>
            </w:pPr>
            <w:r>
              <w:rPr>
                <w:sz w:val="18"/>
                <w:szCs w:val="18"/>
              </w:rPr>
              <w:t>/</w:t>
            </w:r>
          </w:p>
        </w:tc>
        <w:tc>
          <w:tcPr>
            <w:tcW w:w="666" w:type="dxa"/>
            <w:tcBorders>
              <w:right w:val="single" w:color="000000" w:sz="12" w:space="0"/>
            </w:tcBorders>
            <w:vAlign w:val="top"/>
          </w:tcPr>
          <w:p w14:paraId="3A3071C6">
            <w:pPr>
              <w:pStyle w:val="6"/>
              <w:spacing w:before="136" w:line="232" w:lineRule="auto"/>
              <w:ind w:left="247"/>
              <w:rPr>
                <w:sz w:val="18"/>
                <w:szCs w:val="18"/>
              </w:rPr>
            </w:pPr>
            <w:r>
              <w:rPr>
                <w:spacing w:val="-2"/>
                <w:sz w:val="18"/>
                <w:szCs w:val="18"/>
              </w:rPr>
              <w:t>70</w:t>
            </w:r>
          </w:p>
        </w:tc>
      </w:tr>
      <w:tr w14:paraId="3924D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707" w:type="dxa"/>
            <w:vMerge w:val="restart"/>
            <w:tcBorders>
              <w:left w:val="single" w:color="000000" w:sz="12" w:space="0"/>
              <w:bottom w:val="nil"/>
            </w:tcBorders>
            <w:vAlign w:val="top"/>
          </w:tcPr>
          <w:p w14:paraId="22789739">
            <w:pPr>
              <w:spacing w:line="269" w:lineRule="auto"/>
              <w:rPr>
                <w:rFonts w:ascii="Arial"/>
                <w:sz w:val="21"/>
              </w:rPr>
            </w:pPr>
          </w:p>
          <w:p w14:paraId="5ADEBD99">
            <w:pPr>
              <w:spacing w:line="270" w:lineRule="auto"/>
              <w:rPr>
                <w:rFonts w:ascii="Arial"/>
                <w:sz w:val="21"/>
              </w:rPr>
            </w:pPr>
          </w:p>
          <w:p w14:paraId="59F29D9B">
            <w:pPr>
              <w:spacing w:line="270" w:lineRule="auto"/>
              <w:rPr>
                <w:rFonts w:ascii="Arial"/>
                <w:sz w:val="21"/>
              </w:rPr>
            </w:pPr>
          </w:p>
          <w:p w14:paraId="03D948E3">
            <w:pPr>
              <w:spacing w:line="270" w:lineRule="auto"/>
              <w:rPr>
                <w:rFonts w:ascii="Arial"/>
                <w:sz w:val="21"/>
              </w:rPr>
            </w:pPr>
          </w:p>
          <w:p w14:paraId="3B9B78ED">
            <w:pPr>
              <w:pStyle w:val="6"/>
              <w:spacing w:before="61" w:line="243" w:lineRule="auto"/>
              <w:ind w:left="74" w:right="82" w:hanging="1"/>
              <w:jc w:val="both"/>
              <w:rPr>
                <w:rFonts w:ascii="等线" w:hAnsi="等线" w:eastAsia="等线" w:cs="等线"/>
                <w:sz w:val="18"/>
                <w:szCs w:val="18"/>
              </w:rPr>
            </w:pPr>
            <w:r>
              <w:rPr>
                <w:spacing w:val="-3"/>
                <w:sz w:val="18"/>
                <w:szCs w:val="18"/>
              </w:rPr>
              <w:t>5#</w:t>
            </w:r>
            <w:r>
              <w:rPr>
                <w:rFonts w:ascii="等线" w:hAnsi="等线" w:eastAsia="等线" w:cs="等线"/>
                <w:spacing w:val="-3"/>
                <w:sz w:val="18"/>
                <w:szCs w:val="18"/>
              </w:rPr>
              <w:t>支洞</w:t>
            </w:r>
            <w:r>
              <w:rPr>
                <w:rFonts w:ascii="等线" w:hAnsi="等线" w:eastAsia="等线" w:cs="等线"/>
                <w:spacing w:val="-4"/>
                <w:sz w:val="18"/>
                <w:szCs w:val="18"/>
              </w:rPr>
              <w:t>生活饮用水供</w:t>
            </w:r>
            <w:r>
              <w:rPr>
                <w:rFonts w:ascii="等线" w:hAnsi="等线" w:eastAsia="等线" w:cs="等线"/>
                <w:spacing w:val="39"/>
                <w:sz w:val="18"/>
                <w:szCs w:val="18"/>
              </w:rPr>
              <w:t>水处</w:t>
            </w:r>
          </w:p>
        </w:tc>
        <w:tc>
          <w:tcPr>
            <w:tcW w:w="285" w:type="dxa"/>
            <w:vMerge w:val="restart"/>
            <w:tcBorders>
              <w:bottom w:val="nil"/>
            </w:tcBorders>
            <w:vAlign w:val="top"/>
          </w:tcPr>
          <w:p w14:paraId="2661B762">
            <w:pPr>
              <w:pStyle w:val="6"/>
              <w:spacing w:before="179" w:line="234" w:lineRule="auto"/>
              <w:ind w:left="38" w:right="63" w:firstLine="60"/>
              <w:jc w:val="both"/>
              <w:rPr>
                <w:rFonts w:ascii="等线" w:hAnsi="等线" w:eastAsia="等线" w:cs="等线"/>
                <w:sz w:val="18"/>
                <w:szCs w:val="18"/>
              </w:rPr>
            </w:pPr>
            <w:r>
              <w:rPr>
                <w:spacing w:val="-22"/>
                <w:sz w:val="18"/>
                <w:szCs w:val="18"/>
              </w:rPr>
              <w:t>1</w:t>
            </w:r>
            <w:r>
              <w:rPr>
                <w:rFonts w:ascii="等线" w:hAnsi="等线" w:eastAsia="等线" w:cs="等线"/>
                <w:spacing w:val="-7"/>
                <w:sz w:val="18"/>
                <w:szCs w:val="18"/>
              </w:rPr>
              <w:t>季度</w:t>
            </w:r>
          </w:p>
        </w:tc>
        <w:tc>
          <w:tcPr>
            <w:tcW w:w="1131" w:type="dxa"/>
            <w:vAlign w:val="top"/>
          </w:tcPr>
          <w:p w14:paraId="3CF59502">
            <w:pPr>
              <w:pStyle w:val="6"/>
              <w:spacing w:before="82" w:line="208" w:lineRule="auto"/>
              <w:ind w:left="185"/>
              <w:rPr>
                <w:sz w:val="18"/>
                <w:szCs w:val="18"/>
              </w:rPr>
            </w:pPr>
            <w:r>
              <w:rPr>
                <w:spacing w:val="-1"/>
                <w:sz w:val="18"/>
                <w:szCs w:val="18"/>
              </w:rPr>
              <w:t>2021/3/18</w:t>
            </w:r>
          </w:p>
        </w:tc>
        <w:tc>
          <w:tcPr>
            <w:tcW w:w="570" w:type="dxa"/>
            <w:vAlign w:val="top"/>
          </w:tcPr>
          <w:p w14:paraId="644CC907">
            <w:pPr>
              <w:pStyle w:val="6"/>
              <w:spacing w:before="87" w:line="183" w:lineRule="auto"/>
              <w:ind w:left="176"/>
              <w:rPr>
                <w:sz w:val="18"/>
                <w:szCs w:val="18"/>
              </w:rPr>
            </w:pPr>
            <w:r>
              <w:rPr>
                <w:spacing w:val="-2"/>
                <w:sz w:val="18"/>
                <w:szCs w:val="18"/>
              </w:rPr>
              <w:t>5L</w:t>
            </w:r>
          </w:p>
        </w:tc>
        <w:tc>
          <w:tcPr>
            <w:tcW w:w="703" w:type="dxa"/>
            <w:vAlign w:val="top"/>
          </w:tcPr>
          <w:p w14:paraId="5E878632">
            <w:pPr>
              <w:pStyle w:val="6"/>
              <w:spacing w:before="82" w:line="208" w:lineRule="auto"/>
              <w:ind w:left="175"/>
              <w:rPr>
                <w:sz w:val="18"/>
                <w:szCs w:val="18"/>
              </w:rPr>
            </w:pPr>
            <w:r>
              <w:rPr>
                <w:spacing w:val="-2"/>
                <w:sz w:val="18"/>
                <w:szCs w:val="18"/>
              </w:rPr>
              <w:t>0.5L</w:t>
            </w:r>
          </w:p>
        </w:tc>
        <w:tc>
          <w:tcPr>
            <w:tcW w:w="708" w:type="dxa"/>
            <w:vAlign w:val="top"/>
          </w:tcPr>
          <w:p w14:paraId="1D333BF2">
            <w:pPr>
              <w:pStyle w:val="6"/>
              <w:spacing w:before="82" w:line="208" w:lineRule="auto"/>
              <w:ind w:left="188"/>
              <w:rPr>
                <w:sz w:val="18"/>
                <w:szCs w:val="18"/>
              </w:rPr>
            </w:pPr>
            <w:r>
              <w:rPr>
                <w:spacing w:val="-2"/>
                <w:sz w:val="18"/>
                <w:szCs w:val="18"/>
              </w:rPr>
              <w:t>7.83</w:t>
            </w:r>
          </w:p>
        </w:tc>
        <w:tc>
          <w:tcPr>
            <w:tcW w:w="708" w:type="dxa"/>
            <w:vAlign w:val="top"/>
          </w:tcPr>
          <w:p w14:paraId="39B00FB0">
            <w:pPr>
              <w:pStyle w:val="6"/>
              <w:spacing w:before="82" w:line="208" w:lineRule="auto"/>
              <w:ind w:left="144"/>
              <w:rPr>
                <w:sz w:val="18"/>
                <w:szCs w:val="18"/>
              </w:rPr>
            </w:pPr>
            <w:r>
              <w:rPr>
                <w:spacing w:val="-2"/>
                <w:sz w:val="18"/>
                <w:szCs w:val="18"/>
              </w:rPr>
              <w:t>0.086</w:t>
            </w:r>
          </w:p>
        </w:tc>
        <w:tc>
          <w:tcPr>
            <w:tcW w:w="851" w:type="dxa"/>
            <w:vAlign w:val="top"/>
          </w:tcPr>
          <w:p w14:paraId="2E3818F2">
            <w:pPr>
              <w:pStyle w:val="6"/>
              <w:spacing w:before="82" w:line="208" w:lineRule="auto"/>
              <w:ind w:left="172"/>
              <w:rPr>
                <w:sz w:val="18"/>
                <w:szCs w:val="18"/>
              </w:rPr>
            </w:pPr>
            <w:r>
              <w:rPr>
                <w:spacing w:val="-2"/>
                <w:sz w:val="18"/>
                <w:szCs w:val="18"/>
              </w:rPr>
              <w:t>0.0070</w:t>
            </w:r>
          </w:p>
        </w:tc>
        <w:tc>
          <w:tcPr>
            <w:tcW w:w="851" w:type="dxa"/>
            <w:vAlign w:val="top"/>
          </w:tcPr>
          <w:p w14:paraId="0F656FAA">
            <w:pPr>
              <w:pStyle w:val="6"/>
              <w:spacing w:before="82" w:line="208" w:lineRule="auto"/>
              <w:ind w:left="118"/>
              <w:rPr>
                <w:sz w:val="18"/>
                <w:szCs w:val="18"/>
              </w:rPr>
            </w:pPr>
            <w:r>
              <w:rPr>
                <w:spacing w:val="-1"/>
                <w:sz w:val="18"/>
                <w:szCs w:val="18"/>
              </w:rPr>
              <w:t>0.0005L</w:t>
            </w:r>
          </w:p>
        </w:tc>
        <w:tc>
          <w:tcPr>
            <w:tcW w:w="708" w:type="dxa"/>
            <w:vAlign w:val="top"/>
          </w:tcPr>
          <w:p w14:paraId="592BFB44">
            <w:pPr>
              <w:pStyle w:val="6"/>
              <w:spacing w:before="82" w:line="208" w:lineRule="auto"/>
              <w:ind w:left="92"/>
              <w:rPr>
                <w:sz w:val="18"/>
                <w:szCs w:val="18"/>
              </w:rPr>
            </w:pPr>
            <w:r>
              <w:rPr>
                <w:spacing w:val="-2"/>
                <w:sz w:val="18"/>
                <w:szCs w:val="18"/>
              </w:rPr>
              <w:t>0.009L</w:t>
            </w:r>
          </w:p>
        </w:tc>
        <w:tc>
          <w:tcPr>
            <w:tcW w:w="707" w:type="dxa"/>
            <w:vAlign w:val="top"/>
          </w:tcPr>
          <w:p w14:paraId="438842ED">
            <w:pPr>
              <w:pStyle w:val="6"/>
              <w:spacing w:before="82" w:line="208" w:lineRule="auto"/>
              <w:ind w:left="148"/>
              <w:rPr>
                <w:sz w:val="18"/>
                <w:szCs w:val="18"/>
              </w:rPr>
            </w:pPr>
            <w:r>
              <w:rPr>
                <w:spacing w:val="-2"/>
                <w:sz w:val="18"/>
                <w:szCs w:val="18"/>
              </w:rPr>
              <w:t>0.036</w:t>
            </w:r>
          </w:p>
        </w:tc>
        <w:tc>
          <w:tcPr>
            <w:tcW w:w="567" w:type="dxa"/>
            <w:vAlign w:val="top"/>
          </w:tcPr>
          <w:p w14:paraId="18A2E922">
            <w:pPr>
              <w:pStyle w:val="6"/>
              <w:spacing w:before="82" w:line="208" w:lineRule="auto"/>
              <w:ind w:left="167"/>
              <w:rPr>
                <w:sz w:val="18"/>
                <w:szCs w:val="18"/>
              </w:rPr>
            </w:pPr>
            <w:r>
              <w:rPr>
                <w:spacing w:val="-2"/>
                <w:sz w:val="18"/>
                <w:szCs w:val="18"/>
              </w:rPr>
              <w:t>2.5</w:t>
            </w:r>
          </w:p>
        </w:tc>
        <w:tc>
          <w:tcPr>
            <w:tcW w:w="566" w:type="dxa"/>
            <w:vAlign w:val="top"/>
          </w:tcPr>
          <w:p w14:paraId="6EC7A582">
            <w:pPr>
              <w:pStyle w:val="6"/>
              <w:spacing w:before="82" w:line="208" w:lineRule="auto"/>
              <w:ind w:left="169"/>
              <w:rPr>
                <w:sz w:val="18"/>
                <w:szCs w:val="18"/>
              </w:rPr>
            </w:pPr>
            <w:r>
              <w:rPr>
                <w:spacing w:val="-3"/>
                <w:sz w:val="18"/>
                <w:szCs w:val="18"/>
              </w:rPr>
              <w:t>7.7</w:t>
            </w:r>
          </w:p>
        </w:tc>
        <w:tc>
          <w:tcPr>
            <w:tcW w:w="851" w:type="dxa"/>
            <w:vAlign w:val="top"/>
          </w:tcPr>
          <w:p w14:paraId="49004B22">
            <w:pPr>
              <w:pStyle w:val="6"/>
              <w:spacing w:before="82" w:line="208" w:lineRule="auto"/>
              <w:ind w:left="288"/>
              <w:rPr>
                <w:sz w:val="18"/>
                <w:szCs w:val="18"/>
              </w:rPr>
            </w:pPr>
            <w:r>
              <w:rPr>
                <w:spacing w:val="-1"/>
                <w:sz w:val="18"/>
                <w:szCs w:val="18"/>
              </w:rPr>
              <w:t>219</w:t>
            </w:r>
          </w:p>
        </w:tc>
        <w:tc>
          <w:tcPr>
            <w:tcW w:w="567" w:type="dxa"/>
            <w:vAlign w:val="top"/>
          </w:tcPr>
          <w:p w14:paraId="0D30FA52">
            <w:pPr>
              <w:pStyle w:val="6"/>
              <w:spacing w:before="82" w:line="208" w:lineRule="auto"/>
              <w:ind w:left="164"/>
              <w:rPr>
                <w:sz w:val="18"/>
                <w:szCs w:val="18"/>
              </w:rPr>
            </w:pPr>
            <w:r>
              <w:rPr>
                <w:spacing w:val="-5"/>
                <w:sz w:val="18"/>
                <w:szCs w:val="18"/>
              </w:rPr>
              <w:t>186</w:t>
            </w:r>
          </w:p>
        </w:tc>
        <w:tc>
          <w:tcPr>
            <w:tcW w:w="708" w:type="dxa"/>
            <w:vAlign w:val="top"/>
          </w:tcPr>
          <w:p w14:paraId="45594027">
            <w:pPr>
              <w:pStyle w:val="6"/>
              <w:spacing w:before="82" w:line="208" w:lineRule="auto"/>
              <w:ind w:left="198"/>
              <w:rPr>
                <w:sz w:val="18"/>
                <w:szCs w:val="18"/>
              </w:rPr>
            </w:pPr>
            <w:r>
              <w:rPr>
                <w:spacing w:val="-2"/>
                <w:sz w:val="18"/>
                <w:szCs w:val="18"/>
              </w:rPr>
              <w:t>0.96</w:t>
            </w:r>
          </w:p>
        </w:tc>
        <w:tc>
          <w:tcPr>
            <w:tcW w:w="851" w:type="dxa"/>
            <w:vAlign w:val="top"/>
          </w:tcPr>
          <w:p w14:paraId="5740C3DE">
            <w:pPr>
              <w:pStyle w:val="6"/>
              <w:spacing w:before="82" w:line="208" w:lineRule="auto"/>
              <w:ind w:left="170"/>
              <w:rPr>
                <w:sz w:val="18"/>
                <w:szCs w:val="18"/>
              </w:rPr>
            </w:pPr>
            <w:r>
              <w:rPr>
                <w:spacing w:val="-2"/>
                <w:sz w:val="18"/>
                <w:szCs w:val="18"/>
              </w:rPr>
              <w:t>0.002L</w:t>
            </w:r>
          </w:p>
        </w:tc>
        <w:tc>
          <w:tcPr>
            <w:tcW w:w="990" w:type="dxa"/>
            <w:vAlign w:val="top"/>
          </w:tcPr>
          <w:p w14:paraId="103891F4">
            <w:pPr>
              <w:pStyle w:val="6"/>
              <w:spacing w:before="82" w:line="208" w:lineRule="auto"/>
              <w:ind w:left="241"/>
              <w:rPr>
                <w:sz w:val="18"/>
                <w:szCs w:val="18"/>
              </w:rPr>
            </w:pPr>
            <w:r>
              <w:rPr>
                <w:spacing w:val="-2"/>
                <w:sz w:val="18"/>
                <w:szCs w:val="18"/>
              </w:rPr>
              <w:t>0.050L</w:t>
            </w:r>
          </w:p>
        </w:tc>
        <w:tc>
          <w:tcPr>
            <w:tcW w:w="566" w:type="dxa"/>
            <w:vAlign w:val="top"/>
          </w:tcPr>
          <w:p w14:paraId="5A312096">
            <w:pPr>
              <w:pStyle w:val="6"/>
              <w:spacing w:before="82" w:line="208" w:lineRule="auto"/>
              <w:ind w:left="85"/>
              <w:rPr>
                <w:sz w:val="18"/>
                <w:szCs w:val="18"/>
              </w:rPr>
            </w:pPr>
            <w:r>
              <w:rPr>
                <w:spacing w:val="-2"/>
                <w:sz w:val="18"/>
                <w:szCs w:val="18"/>
              </w:rPr>
              <w:t>0.001</w:t>
            </w:r>
          </w:p>
        </w:tc>
        <w:tc>
          <w:tcPr>
            <w:tcW w:w="851" w:type="dxa"/>
            <w:vAlign w:val="top"/>
          </w:tcPr>
          <w:p w14:paraId="2D43A68F">
            <w:pPr>
              <w:pStyle w:val="6"/>
              <w:spacing w:before="82" w:line="208" w:lineRule="auto"/>
              <w:ind w:left="128"/>
              <w:rPr>
                <w:sz w:val="18"/>
                <w:szCs w:val="18"/>
              </w:rPr>
            </w:pPr>
            <w:r>
              <w:rPr>
                <w:spacing w:val="-1"/>
                <w:sz w:val="18"/>
                <w:szCs w:val="18"/>
              </w:rPr>
              <w:t>0.0005L</w:t>
            </w:r>
          </w:p>
        </w:tc>
        <w:tc>
          <w:tcPr>
            <w:tcW w:w="704" w:type="dxa"/>
            <w:vAlign w:val="top"/>
          </w:tcPr>
          <w:p w14:paraId="3AC8E278">
            <w:pPr>
              <w:pStyle w:val="6"/>
              <w:spacing w:before="82" w:line="208" w:lineRule="auto"/>
              <w:ind w:left="100"/>
              <w:rPr>
                <w:sz w:val="18"/>
                <w:szCs w:val="18"/>
              </w:rPr>
            </w:pPr>
            <w:r>
              <w:rPr>
                <w:spacing w:val="-2"/>
                <w:sz w:val="18"/>
                <w:szCs w:val="18"/>
              </w:rPr>
              <w:t>0.004L</w:t>
            </w:r>
          </w:p>
        </w:tc>
        <w:tc>
          <w:tcPr>
            <w:tcW w:w="851" w:type="dxa"/>
            <w:vAlign w:val="top"/>
          </w:tcPr>
          <w:p w14:paraId="433D3CE7">
            <w:pPr>
              <w:pStyle w:val="6"/>
              <w:spacing w:before="82" w:line="208" w:lineRule="auto"/>
              <w:ind w:left="131"/>
              <w:rPr>
                <w:sz w:val="18"/>
                <w:szCs w:val="18"/>
              </w:rPr>
            </w:pPr>
            <w:r>
              <w:rPr>
                <w:spacing w:val="-1"/>
                <w:sz w:val="18"/>
                <w:szCs w:val="18"/>
              </w:rPr>
              <w:t>0.0025L</w:t>
            </w:r>
          </w:p>
        </w:tc>
        <w:tc>
          <w:tcPr>
            <w:tcW w:w="851" w:type="dxa"/>
            <w:vAlign w:val="top"/>
          </w:tcPr>
          <w:p w14:paraId="1D4DB77C">
            <w:pPr>
              <w:pStyle w:val="6"/>
              <w:spacing w:before="82" w:line="208" w:lineRule="auto"/>
              <w:ind w:left="132"/>
              <w:rPr>
                <w:sz w:val="18"/>
                <w:szCs w:val="18"/>
              </w:rPr>
            </w:pPr>
            <w:r>
              <w:rPr>
                <w:spacing w:val="-1"/>
                <w:sz w:val="18"/>
                <w:szCs w:val="18"/>
              </w:rPr>
              <w:t>0.0001L</w:t>
            </w:r>
          </w:p>
        </w:tc>
        <w:tc>
          <w:tcPr>
            <w:tcW w:w="846" w:type="dxa"/>
            <w:vAlign w:val="top"/>
          </w:tcPr>
          <w:p w14:paraId="099FD08C">
            <w:pPr>
              <w:pStyle w:val="6"/>
              <w:spacing w:before="82" w:line="208" w:lineRule="auto"/>
              <w:ind w:left="186"/>
              <w:rPr>
                <w:sz w:val="18"/>
                <w:szCs w:val="18"/>
              </w:rPr>
            </w:pPr>
            <w:r>
              <w:rPr>
                <w:spacing w:val="-2"/>
                <w:sz w:val="18"/>
                <w:szCs w:val="18"/>
              </w:rPr>
              <w:t>0.0012</w:t>
            </w:r>
          </w:p>
        </w:tc>
        <w:tc>
          <w:tcPr>
            <w:tcW w:w="684" w:type="dxa"/>
            <w:vAlign w:val="top"/>
          </w:tcPr>
          <w:p w14:paraId="5818C80D">
            <w:pPr>
              <w:pStyle w:val="6"/>
              <w:spacing w:before="82" w:line="208" w:lineRule="auto"/>
              <w:ind w:left="96"/>
              <w:rPr>
                <w:sz w:val="18"/>
                <w:szCs w:val="18"/>
              </w:rPr>
            </w:pPr>
            <w:r>
              <w:rPr>
                <w:spacing w:val="-2"/>
                <w:sz w:val="18"/>
                <w:szCs w:val="18"/>
              </w:rPr>
              <w:t>0.002L</w:t>
            </w:r>
          </w:p>
        </w:tc>
        <w:tc>
          <w:tcPr>
            <w:tcW w:w="460" w:type="dxa"/>
            <w:vAlign w:val="top"/>
          </w:tcPr>
          <w:p w14:paraId="43FDF693">
            <w:pPr>
              <w:pStyle w:val="6"/>
              <w:spacing w:before="82" w:line="208" w:lineRule="auto"/>
              <w:ind w:left="130"/>
              <w:rPr>
                <w:sz w:val="18"/>
                <w:szCs w:val="18"/>
              </w:rPr>
            </w:pPr>
            <w:r>
              <w:rPr>
                <w:spacing w:val="-3"/>
                <w:sz w:val="18"/>
                <w:szCs w:val="18"/>
              </w:rPr>
              <w:t>0.5</w:t>
            </w:r>
          </w:p>
        </w:tc>
        <w:tc>
          <w:tcPr>
            <w:tcW w:w="428" w:type="dxa"/>
            <w:vAlign w:val="top"/>
          </w:tcPr>
          <w:p w14:paraId="67D4C8EC">
            <w:pPr>
              <w:pStyle w:val="6"/>
              <w:spacing w:before="82" w:line="208" w:lineRule="auto"/>
              <w:ind w:left="60"/>
              <w:rPr>
                <w:sz w:val="18"/>
                <w:szCs w:val="18"/>
              </w:rPr>
            </w:pPr>
            <w:r>
              <w:rPr>
                <w:spacing w:val="-2"/>
                <w:sz w:val="18"/>
                <w:szCs w:val="18"/>
              </w:rPr>
              <w:t>0.5L</w:t>
            </w:r>
          </w:p>
        </w:tc>
        <w:tc>
          <w:tcPr>
            <w:tcW w:w="447" w:type="dxa"/>
            <w:vAlign w:val="top"/>
          </w:tcPr>
          <w:p w14:paraId="5F7C58BC">
            <w:pPr>
              <w:pStyle w:val="6"/>
              <w:spacing w:before="82" w:line="208" w:lineRule="auto"/>
              <w:ind w:left="205"/>
              <w:rPr>
                <w:sz w:val="18"/>
                <w:szCs w:val="18"/>
              </w:rPr>
            </w:pPr>
            <w:r>
              <w:rPr>
                <w:sz w:val="18"/>
                <w:szCs w:val="18"/>
              </w:rPr>
              <w:t>/</w:t>
            </w:r>
          </w:p>
        </w:tc>
        <w:tc>
          <w:tcPr>
            <w:tcW w:w="666" w:type="dxa"/>
            <w:tcBorders>
              <w:right w:val="single" w:color="000000" w:sz="12" w:space="0"/>
            </w:tcBorders>
            <w:vAlign w:val="top"/>
          </w:tcPr>
          <w:p w14:paraId="722A76EF">
            <w:pPr>
              <w:pStyle w:val="6"/>
              <w:spacing w:before="82" w:line="208" w:lineRule="auto"/>
              <w:ind w:left="261"/>
              <w:rPr>
                <w:sz w:val="18"/>
                <w:szCs w:val="18"/>
              </w:rPr>
            </w:pPr>
            <w:r>
              <w:rPr>
                <w:spacing w:val="-6"/>
                <w:sz w:val="18"/>
                <w:szCs w:val="18"/>
              </w:rPr>
              <w:t>10</w:t>
            </w:r>
          </w:p>
        </w:tc>
      </w:tr>
      <w:tr w14:paraId="13AB9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07" w:type="dxa"/>
            <w:vMerge w:val="continue"/>
            <w:tcBorders>
              <w:top w:val="nil"/>
              <w:left w:val="single" w:color="000000" w:sz="12" w:space="0"/>
              <w:bottom w:val="nil"/>
            </w:tcBorders>
            <w:vAlign w:val="top"/>
          </w:tcPr>
          <w:p w14:paraId="195BA9A4">
            <w:pPr>
              <w:rPr>
                <w:rFonts w:ascii="Arial"/>
                <w:sz w:val="21"/>
              </w:rPr>
            </w:pPr>
          </w:p>
        </w:tc>
        <w:tc>
          <w:tcPr>
            <w:tcW w:w="285" w:type="dxa"/>
            <w:vMerge w:val="continue"/>
            <w:tcBorders>
              <w:top w:val="nil"/>
              <w:bottom w:val="nil"/>
            </w:tcBorders>
            <w:vAlign w:val="top"/>
          </w:tcPr>
          <w:p w14:paraId="4563767B">
            <w:pPr>
              <w:rPr>
                <w:rFonts w:ascii="Arial"/>
                <w:sz w:val="21"/>
              </w:rPr>
            </w:pPr>
          </w:p>
        </w:tc>
        <w:tc>
          <w:tcPr>
            <w:tcW w:w="1131" w:type="dxa"/>
            <w:vAlign w:val="top"/>
          </w:tcPr>
          <w:p w14:paraId="5E0E9955">
            <w:pPr>
              <w:pStyle w:val="6"/>
              <w:spacing w:before="86" w:line="212" w:lineRule="auto"/>
              <w:ind w:left="185"/>
              <w:rPr>
                <w:sz w:val="18"/>
                <w:szCs w:val="18"/>
              </w:rPr>
            </w:pPr>
            <w:r>
              <w:rPr>
                <w:spacing w:val="-1"/>
                <w:sz w:val="18"/>
                <w:szCs w:val="18"/>
              </w:rPr>
              <w:t>2021/3/19</w:t>
            </w:r>
          </w:p>
        </w:tc>
        <w:tc>
          <w:tcPr>
            <w:tcW w:w="570" w:type="dxa"/>
            <w:vAlign w:val="top"/>
          </w:tcPr>
          <w:p w14:paraId="61DEA1D3">
            <w:pPr>
              <w:pStyle w:val="6"/>
              <w:spacing w:before="91" w:line="183" w:lineRule="auto"/>
              <w:ind w:left="176"/>
              <w:rPr>
                <w:sz w:val="18"/>
                <w:szCs w:val="18"/>
              </w:rPr>
            </w:pPr>
            <w:r>
              <w:rPr>
                <w:spacing w:val="-2"/>
                <w:sz w:val="18"/>
                <w:szCs w:val="18"/>
              </w:rPr>
              <w:t>5L</w:t>
            </w:r>
          </w:p>
        </w:tc>
        <w:tc>
          <w:tcPr>
            <w:tcW w:w="703" w:type="dxa"/>
            <w:vAlign w:val="top"/>
          </w:tcPr>
          <w:p w14:paraId="584F22FF">
            <w:pPr>
              <w:pStyle w:val="6"/>
              <w:spacing w:before="86" w:line="212" w:lineRule="auto"/>
              <w:ind w:left="175"/>
              <w:rPr>
                <w:sz w:val="18"/>
                <w:szCs w:val="18"/>
              </w:rPr>
            </w:pPr>
            <w:r>
              <w:rPr>
                <w:spacing w:val="-2"/>
                <w:sz w:val="18"/>
                <w:szCs w:val="18"/>
              </w:rPr>
              <w:t>0.5L</w:t>
            </w:r>
          </w:p>
        </w:tc>
        <w:tc>
          <w:tcPr>
            <w:tcW w:w="708" w:type="dxa"/>
            <w:vAlign w:val="top"/>
          </w:tcPr>
          <w:p w14:paraId="5D897F01">
            <w:pPr>
              <w:pStyle w:val="6"/>
              <w:spacing w:before="86" w:line="212" w:lineRule="auto"/>
              <w:ind w:left="188"/>
              <w:rPr>
                <w:sz w:val="18"/>
                <w:szCs w:val="18"/>
              </w:rPr>
            </w:pPr>
            <w:r>
              <w:rPr>
                <w:spacing w:val="-2"/>
                <w:sz w:val="18"/>
                <w:szCs w:val="18"/>
              </w:rPr>
              <w:t>7.85</w:t>
            </w:r>
          </w:p>
        </w:tc>
        <w:tc>
          <w:tcPr>
            <w:tcW w:w="708" w:type="dxa"/>
            <w:vAlign w:val="top"/>
          </w:tcPr>
          <w:p w14:paraId="73E3BBFB">
            <w:pPr>
              <w:pStyle w:val="6"/>
              <w:spacing w:before="86" w:line="212" w:lineRule="auto"/>
              <w:ind w:left="144"/>
              <w:rPr>
                <w:sz w:val="18"/>
                <w:szCs w:val="18"/>
              </w:rPr>
            </w:pPr>
            <w:r>
              <w:rPr>
                <w:spacing w:val="-2"/>
                <w:sz w:val="18"/>
                <w:szCs w:val="18"/>
              </w:rPr>
              <w:t>0.086</w:t>
            </w:r>
          </w:p>
        </w:tc>
        <w:tc>
          <w:tcPr>
            <w:tcW w:w="851" w:type="dxa"/>
            <w:vAlign w:val="top"/>
          </w:tcPr>
          <w:p w14:paraId="5C59B3E9">
            <w:pPr>
              <w:pStyle w:val="6"/>
              <w:spacing w:before="86" w:line="212" w:lineRule="auto"/>
              <w:ind w:left="172"/>
              <w:rPr>
                <w:sz w:val="18"/>
                <w:szCs w:val="18"/>
              </w:rPr>
            </w:pPr>
            <w:r>
              <w:rPr>
                <w:spacing w:val="-2"/>
                <w:sz w:val="18"/>
                <w:szCs w:val="18"/>
              </w:rPr>
              <w:t>0.0065</w:t>
            </w:r>
          </w:p>
        </w:tc>
        <w:tc>
          <w:tcPr>
            <w:tcW w:w="851" w:type="dxa"/>
            <w:vAlign w:val="top"/>
          </w:tcPr>
          <w:p w14:paraId="58B43FE9">
            <w:pPr>
              <w:pStyle w:val="6"/>
              <w:spacing w:before="86" w:line="212" w:lineRule="auto"/>
              <w:ind w:left="118"/>
              <w:rPr>
                <w:sz w:val="18"/>
                <w:szCs w:val="18"/>
              </w:rPr>
            </w:pPr>
            <w:r>
              <w:rPr>
                <w:spacing w:val="-1"/>
                <w:sz w:val="18"/>
                <w:szCs w:val="18"/>
              </w:rPr>
              <w:t>0.0005L</w:t>
            </w:r>
          </w:p>
        </w:tc>
        <w:tc>
          <w:tcPr>
            <w:tcW w:w="708" w:type="dxa"/>
            <w:vAlign w:val="top"/>
          </w:tcPr>
          <w:p w14:paraId="1A0A8158">
            <w:pPr>
              <w:pStyle w:val="6"/>
              <w:spacing w:before="86" w:line="212" w:lineRule="auto"/>
              <w:ind w:left="92"/>
              <w:rPr>
                <w:sz w:val="18"/>
                <w:szCs w:val="18"/>
              </w:rPr>
            </w:pPr>
            <w:r>
              <w:rPr>
                <w:spacing w:val="-2"/>
                <w:sz w:val="18"/>
                <w:szCs w:val="18"/>
              </w:rPr>
              <w:t>0.009L</w:t>
            </w:r>
          </w:p>
        </w:tc>
        <w:tc>
          <w:tcPr>
            <w:tcW w:w="707" w:type="dxa"/>
            <w:vAlign w:val="top"/>
          </w:tcPr>
          <w:p w14:paraId="0703D744">
            <w:pPr>
              <w:pStyle w:val="6"/>
              <w:spacing w:before="86" w:line="212" w:lineRule="auto"/>
              <w:ind w:left="148"/>
              <w:rPr>
                <w:sz w:val="18"/>
                <w:szCs w:val="18"/>
              </w:rPr>
            </w:pPr>
            <w:r>
              <w:rPr>
                <w:spacing w:val="-2"/>
                <w:sz w:val="18"/>
                <w:szCs w:val="18"/>
              </w:rPr>
              <w:t>0.036</w:t>
            </w:r>
          </w:p>
        </w:tc>
        <w:tc>
          <w:tcPr>
            <w:tcW w:w="567" w:type="dxa"/>
            <w:vAlign w:val="top"/>
          </w:tcPr>
          <w:p w14:paraId="0E635511">
            <w:pPr>
              <w:pStyle w:val="6"/>
              <w:spacing w:before="86" w:line="212" w:lineRule="auto"/>
              <w:ind w:left="167"/>
              <w:rPr>
                <w:sz w:val="18"/>
                <w:szCs w:val="18"/>
              </w:rPr>
            </w:pPr>
            <w:r>
              <w:rPr>
                <w:spacing w:val="-2"/>
                <w:sz w:val="18"/>
                <w:szCs w:val="18"/>
              </w:rPr>
              <w:t>2.1</w:t>
            </w:r>
          </w:p>
        </w:tc>
        <w:tc>
          <w:tcPr>
            <w:tcW w:w="566" w:type="dxa"/>
            <w:vAlign w:val="top"/>
          </w:tcPr>
          <w:p w14:paraId="36E8AA1B">
            <w:pPr>
              <w:pStyle w:val="6"/>
              <w:spacing w:before="86" w:line="212" w:lineRule="auto"/>
              <w:ind w:left="169"/>
              <w:rPr>
                <w:sz w:val="18"/>
                <w:szCs w:val="18"/>
              </w:rPr>
            </w:pPr>
            <w:r>
              <w:rPr>
                <w:spacing w:val="-3"/>
                <w:sz w:val="18"/>
                <w:szCs w:val="18"/>
              </w:rPr>
              <w:t>7.3</w:t>
            </w:r>
          </w:p>
        </w:tc>
        <w:tc>
          <w:tcPr>
            <w:tcW w:w="851" w:type="dxa"/>
            <w:vAlign w:val="top"/>
          </w:tcPr>
          <w:p w14:paraId="1D3F8DE0">
            <w:pPr>
              <w:pStyle w:val="6"/>
              <w:spacing w:before="86" w:line="212" w:lineRule="auto"/>
              <w:ind w:left="288"/>
              <w:rPr>
                <w:sz w:val="18"/>
                <w:szCs w:val="18"/>
              </w:rPr>
            </w:pPr>
            <w:r>
              <w:rPr>
                <w:spacing w:val="-1"/>
                <w:sz w:val="18"/>
                <w:szCs w:val="18"/>
              </w:rPr>
              <w:t>222</w:t>
            </w:r>
          </w:p>
        </w:tc>
        <w:tc>
          <w:tcPr>
            <w:tcW w:w="567" w:type="dxa"/>
            <w:vAlign w:val="top"/>
          </w:tcPr>
          <w:p w14:paraId="2545AF0C">
            <w:pPr>
              <w:pStyle w:val="6"/>
              <w:spacing w:before="86" w:line="212" w:lineRule="auto"/>
              <w:ind w:left="164"/>
              <w:rPr>
                <w:sz w:val="18"/>
                <w:szCs w:val="18"/>
              </w:rPr>
            </w:pPr>
            <w:r>
              <w:rPr>
                <w:spacing w:val="-5"/>
                <w:sz w:val="18"/>
                <w:szCs w:val="18"/>
              </w:rPr>
              <w:t>192</w:t>
            </w:r>
          </w:p>
        </w:tc>
        <w:tc>
          <w:tcPr>
            <w:tcW w:w="708" w:type="dxa"/>
            <w:vAlign w:val="top"/>
          </w:tcPr>
          <w:p w14:paraId="15FD57AA">
            <w:pPr>
              <w:pStyle w:val="6"/>
              <w:spacing w:before="86" w:line="212" w:lineRule="auto"/>
              <w:ind w:left="198"/>
              <w:rPr>
                <w:sz w:val="18"/>
                <w:szCs w:val="18"/>
              </w:rPr>
            </w:pPr>
            <w:r>
              <w:rPr>
                <w:spacing w:val="-2"/>
                <w:sz w:val="18"/>
                <w:szCs w:val="18"/>
              </w:rPr>
              <w:t>0.92</w:t>
            </w:r>
          </w:p>
        </w:tc>
        <w:tc>
          <w:tcPr>
            <w:tcW w:w="851" w:type="dxa"/>
            <w:vAlign w:val="top"/>
          </w:tcPr>
          <w:p w14:paraId="6EE25DCD">
            <w:pPr>
              <w:pStyle w:val="6"/>
              <w:spacing w:before="86" w:line="212" w:lineRule="auto"/>
              <w:ind w:left="170"/>
              <w:rPr>
                <w:sz w:val="18"/>
                <w:szCs w:val="18"/>
              </w:rPr>
            </w:pPr>
            <w:r>
              <w:rPr>
                <w:spacing w:val="-2"/>
                <w:sz w:val="18"/>
                <w:szCs w:val="18"/>
              </w:rPr>
              <w:t>0.002L</w:t>
            </w:r>
          </w:p>
        </w:tc>
        <w:tc>
          <w:tcPr>
            <w:tcW w:w="990" w:type="dxa"/>
            <w:vAlign w:val="top"/>
          </w:tcPr>
          <w:p w14:paraId="304D8D92">
            <w:pPr>
              <w:pStyle w:val="6"/>
              <w:spacing w:before="86" w:line="212" w:lineRule="auto"/>
              <w:ind w:left="241"/>
              <w:rPr>
                <w:sz w:val="18"/>
                <w:szCs w:val="18"/>
              </w:rPr>
            </w:pPr>
            <w:r>
              <w:rPr>
                <w:spacing w:val="-2"/>
                <w:sz w:val="18"/>
                <w:szCs w:val="18"/>
              </w:rPr>
              <w:t>0.050L</w:t>
            </w:r>
          </w:p>
        </w:tc>
        <w:tc>
          <w:tcPr>
            <w:tcW w:w="566" w:type="dxa"/>
            <w:vAlign w:val="top"/>
          </w:tcPr>
          <w:p w14:paraId="2A68BF6E">
            <w:pPr>
              <w:pStyle w:val="6"/>
              <w:spacing w:before="86" w:line="212" w:lineRule="auto"/>
              <w:ind w:left="85"/>
              <w:rPr>
                <w:sz w:val="18"/>
                <w:szCs w:val="18"/>
              </w:rPr>
            </w:pPr>
            <w:r>
              <w:rPr>
                <w:spacing w:val="-2"/>
                <w:sz w:val="18"/>
                <w:szCs w:val="18"/>
              </w:rPr>
              <w:t>0.001</w:t>
            </w:r>
          </w:p>
        </w:tc>
        <w:tc>
          <w:tcPr>
            <w:tcW w:w="851" w:type="dxa"/>
            <w:vAlign w:val="top"/>
          </w:tcPr>
          <w:p w14:paraId="025ED087">
            <w:pPr>
              <w:pStyle w:val="6"/>
              <w:spacing w:before="86" w:line="212" w:lineRule="auto"/>
              <w:ind w:left="128"/>
              <w:rPr>
                <w:sz w:val="18"/>
                <w:szCs w:val="18"/>
              </w:rPr>
            </w:pPr>
            <w:r>
              <w:rPr>
                <w:spacing w:val="-1"/>
                <w:sz w:val="18"/>
                <w:szCs w:val="18"/>
              </w:rPr>
              <w:t>0.0005L</w:t>
            </w:r>
          </w:p>
        </w:tc>
        <w:tc>
          <w:tcPr>
            <w:tcW w:w="704" w:type="dxa"/>
            <w:vAlign w:val="top"/>
          </w:tcPr>
          <w:p w14:paraId="73C8A397">
            <w:pPr>
              <w:pStyle w:val="6"/>
              <w:spacing w:before="86" w:line="212" w:lineRule="auto"/>
              <w:ind w:left="100"/>
              <w:rPr>
                <w:sz w:val="18"/>
                <w:szCs w:val="18"/>
              </w:rPr>
            </w:pPr>
            <w:r>
              <w:rPr>
                <w:spacing w:val="-2"/>
                <w:sz w:val="18"/>
                <w:szCs w:val="18"/>
              </w:rPr>
              <w:t>0.004L</w:t>
            </w:r>
          </w:p>
        </w:tc>
        <w:tc>
          <w:tcPr>
            <w:tcW w:w="851" w:type="dxa"/>
            <w:vAlign w:val="top"/>
          </w:tcPr>
          <w:p w14:paraId="77A92714">
            <w:pPr>
              <w:pStyle w:val="6"/>
              <w:spacing w:before="86" w:line="212" w:lineRule="auto"/>
              <w:ind w:left="131"/>
              <w:rPr>
                <w:sz w:val="18"/>
                <w:szCs w:val="18"/>
              </w:rPr>
            </w:pPr>
            <w:r>
              <w:rPr>
                <w:spacing w:val="-1"/>
                <w:sz w:val="18"/>
                <w:szCs w:val="18"/>
              </w:rPr>
              <w:t>0.0025L</w:t>
            </w:r>
          </w:p>
        </w:tc>
        <w:tc>
          <w:tcPr>
            <w:tcW w:w="851" w:type="dxa"/>
            <w:vAlign w:val="top"/>
          </w:tcPr>
          <w:p w14:paraId="037AADDF">
            <w:pPr>
              <w:pStyle w:val="6"/>
              <w:spacing w:before="86" w:line="212" w:lineRule="auto"/>
              <w:ind w:left="132"/>
              <w:rPr>
                <w:sz w:val="18"/>
                <w:szCs w:val="18"/>
              </w:rPr>
            </w:pPr>
            <w:r>
              <w:rPr>
                <w:spacing w:val="-1"/>
                <w:sz w:val="18"/>
                <w:szCs w:val="18"/>
              </w:rPr>
              <w:t>0.0001L</w:t>
            </w:r>
          </w:p>
        </w:tc>
        <w:tc>
          <w:tcPr>
            <w:tcW w:w="846" w:type="dxa"/>
            <w:vAlign w:val="top"/>
          </w:tcPr>
          <w:p w14:paraId="48DAFCE0">
            <w:pPr>
              <w:pStyle w:val="6"/>
              <w:spacing w:before="86" w:line="212" w:lineRule="auto"/>
              <w:ind w:left="186"/>
              <w:rPr>
                <w:sz w:val="18"/>
                <w:szCs w:val="18"/>
              </w:rPr>
            </w:pPr>
            <w:r>
              <w:rPr>
                <w:spacing w:val="-2"/>
                <w:sz w:val="18"/>
                <w:szCs w:val="18"/>
              </w:rPr>
              <w:t>0.0012</w:t>
            </w:r>
          </w:p>
        </w:tc>
        <w:tc>
          <w:tcPr>
            <w:tcW w:w="684" w:type="dxa"/>
            <w:vAlign w:val="top"/>
          </w:tcPr>
          <w:p w14:paraId="70697A33">
            <w:pPr>
              <w:pStyle w:val="6"/>
              <w:spacing w:before="86" w:line="212" w:lineRule="auto"/>
              <w:ind w:left="96"/>
              <w:rPr>
                <w:sz w:val="18"/>
                <w:szCs w:val="18"/>
              </w:rPr>
            </w:pPr>
            <w:r>
              <w:rPr>
                <w:spacing w:val="-2"/>
                <w:sz w:val="18"/>
                <w:szCs w:val="18"/>
              </w:rPr>
              <w:t>0.002L</w:t>
            </w:r>
          </w:p>
        </w:tc>
        <w:tc>
          <w:tcPr>
            <w:tcW w:w="460" w:type="dxa"/>
            <w:vAlign w:val="top"/>
          </w:tcPr>
          <w:p w14:paraId="323BB66A">
            <w:pPr>
              <w:pStyle w:val="6"/>
              <w:spacing w:before="86" w:line="212" w:lineRule="auto"/>
              <w:ind w:left="130"/>
              <w:rPr>
                <w:sz w:val="18"/>
                <w:szCs w:val="18"/>
              </w:rPr>
            </w:pPr>
            <w:r>
              <w:rPr>
                <w:spacing w:val="-3"/>
                <w:sz w:val="18"/>
                <w:szCs w:val="18"/>
              </w:rPr>
              <w:t>0.4</w:t>
            </w:r>
          </w:p>
        </w:tc>
        <w:tc>
          <w:tcPr>
            <w:tcW w:w="428" w:type="dxa"/>
            <w:vAlign w:val="top"/>
          </w:tcPr>
          <w:p w14:paraId="31C9D343">
            <w:pPr>
              <w:pStyle w:val="6"/>
              <w:spacing w:before="86" w:line="212" w:lineRule="auto"/>
              <w:ind w:left="60"/>
              <w:rPr>
                <w:sz w:val="18"/>
                <w:szCs w:val="18"/>
              </w:rPr>
            </w:pPr>
            <w:r>
              <w:rPr>
                <w:spacing w:val="-2"/>
                <w:sz w:val="18"/>
                <w:szCs w:val="18"/>
              </w:rPr>
              <w:t>0.5L</w:t>
            </w:r>
          </w:p>
        </w:tc>
        <w:tc>
          <w:tcPr>
            <w:tcW w:w="447" w:type="dxa"/>
            <w:vAlign w:val="top"/>
          </w:tcPr>
          <w:p w14:paraId="1628AD06">
            <w:pPr>
              <w:pStyle w:val="6"/>
              <w:spacing w:before="86" w:line="212" w:lineRule="auto"/>
              <w:ind w:left="205"/>
              <w:rPr>
                <w:sz w:val="18"/>
                <w:szCs w:val="18"/>
              </w:rPr>
            </w:pPr>
            <w:r>
              <w:rPr>
                <w:sz w:val="18"/>
                <w:szCs w:val="18"/>
              </w:rPr>
              <w:t>/</w:t>
            </w:r>
          </w:p>
        </w:tc>
        <w:tc>
          <w:tcPr>
            <w:tcW w:w="666" w:type="dxa"/>
            <w:tcBorders>
              <w:right w:val="single" w:color="000000" w:sz="12" w:space="0"/>
            </w:tcBorders>
            <w:vAlign w:val="top"/>
          </w:tcPr>
          <w:p w14:paraId="41B998C8">
            <w:pPr>
              <w:pStyle w:val="6"/>
              <w:spacing w:before="86" w:line="212" w:lineRule="auto"/>
              <w:ind w:left="244"/>
              <w:rPr>
                <w:sz w:val="18"/>
                <w:szCs w:val="18"/>
              </w:rPr>
            </w:pPr>
            <w:r>
              <w:rPr>
                <w:spacing w:val="-1"/>
                <w:sz w:val="18"/>
                <w:szCs w:val="18"/>
              </w:rPr>
              <w:t>20</w:t>
            </w:r>
          </w:p>
        </w:tc>
      </w:tr>
      <w:tr w14:paraId="7E2F1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bottom w:val="nil"/>
            </w:tcBorders>
            <w:vAlign w:val="top"/>
          </w:tcPr>
          <w:p w14:paraId="4D50552F">
            <w:pPr>
              <w:rPr>
                <w:rFonts w:ascii="Arial"/>
                <w:sz w:val="21"/>
              </w:rPr>
            </w:pPr>
          </w:p>
        </w:tc>
        <w:tc>
          <w:tcPr>
            <w:tcW w:w="285" w:type="dxa"/>
            <w:vMerge w:val="continue"/>
            <w:tcBorders>
              <w:top w:val="nil"/>
            </w:tcBorders>
            <w:vAlign w:val="top"/>
          </w:tcPr>
          <w:p w14:paraId="2535950C">
            <w:pPr>
              <w:rPr>
                <w:rFonts w:ascii="Arial"/>
                <w:sz w:val="21"/>
              </w:rPr>
            </w:pPr>
          </w:p>
        </w:tc>
        <w:tc>
          <w:tcPr>
            <w:tcW w:w="1131" w:type="dxa"/>
            <w:vAlign w:val="top"/>
          </w:tcPr>
          <w:p w14:paraId="6B9547C1">
            <w:pPr>
              <w:pStyle w:val="6"/>
              <w:spacing w:before="138" w:line="232" w:lineRule="auto"/>
              <w:ind w:left="185"/>
              <w:rPr>
                <w:sz w:val="18"/>
                <w:szCs w:val="18"/>
              </w:rPr>
            </w:pPr>
            <w:r>
              <w:rPr>
                <w:spacing w:val="-1"/>
                <w:sz w:val="18"/>
                <w:szCs w:val="18"/>
              </w:rPr>
              <w:t>2021/3/20</w:t>
            </w:r>
          </w:p>
        </w:tc>
        <w:tc>
          <w:tcPr>
            <w:tcW w:w="570" w:type="dxa"/>
            <w:vAlign w:val="top"/>
          </w:tcPr>
          <w:p w14:paraId="6C4EEE88">
            <w:pPr>
              <w:pStyle w:val="6"/>
              <w:spacing w:before="143" w:line="183" w:lineRule="auto"/>
              <w:ind w:left="176"/>
              <w:rPr>
                <w:sz w:val="18"/>
                <w:szCs w:val="18"/>
              </w:rPr>
            </w:pPr>
            <w:r>
              <w:rPr>
                <w:spacing w:val="-2"/>
                <w:sz w:val="18"/>
                <w:szCs w:val="18"/>
              </w:rPr>
              <w:t>5L</w:t>
            </w:r>
          </w:p>
        </w:tc>
        <w:tc>
          <w:tcPr>
            <w:tcW w:w="703" w:type="dxa"/>
            <w:vAlign w:val="top"/>
          </w:tcPr>
          <w:p w14:paraId="4FBAF36D">
            <w:pPr>
              <w:pStyle w:val="6"/>
              <w:spacing w:before="138" w:line="232" w:lineRule="auto"/>
              <w:ind w:left="175"/>
              <w:rPr>
                <w:sz w:val="18"/>
                <w:szCs w:val="18"/>
              </w:rPr>
            </w:pPr>
            <w:r>
              <w:rPr>
                <w:spacing w:val="-2"/>
                <w:sz w:val="18"/>
                <w:szCs w:val="18"/>
              </w:rPr>
              <w:t>0.5L</w:t>
            </w:r>
          </w:p>
        </w:tc>
        <w:tc>
          <w:tcPr>
            <w:tcW w:w="708" w:type="dxa"/>
            <w:vAlign w:val="top"/>
          </w:tcPr>
          <w:p w14:paraId="3E0392D7">
            <w:pPr>
              <w:pStyle w:val="6"/>
              <w:spacing w:before="138" w:line="232" w:lineRule="auto"/>
              <w:ind w:left="188"/>
              <w:rPr>
                <w:sz w:val="18"/>
                <w:szCs w:val="18"/>
              </w:rPr>
            </w:pPr>
            <w:r>
              <w:rPr>
                <w:spacing w:val="-2"/>
                <w:sz w:val="18"/>
                <w:szCs w:val="18"/>
              </w:rPr>
              <w:t>7.78</w:t>
            </w:r>
          </w:p>
        </w:tc>
        <w:tc>
          <w:tcPr>
            <w:tcW w:w="708" w:type="dxa"/>
            <w:vAlign w:val="top"/>
          </w:tcPr>
          <w:p w14:paraId="7AF75E82">
            <w:pPr>
              <w:pStyle w:val="6"/>
              <w:spacing w:before="138" w:line="232" w:lineRule="auto"/>
              <w:ind w:left="144"/>
              <w:rPr>
                <w:sz w:val="18"/>
                <w:szCs w:val="18"/>
              </w:rPr>
            </w:pPr>
            <w:r>
              <w:rPr>
                <w:spacing w:val="-2"/>
                <w:sz w:val="18"/>
                <w:szCs w:val="18"/>
              </w:rPr>
              <w:t>0.086</w:t>
            </w:r>
          </w:p>
        </w:tc>
        <w:tc>
          <w:tcPr>
            <w:tcW w:w="851" w:type="dxa"/>
            <w:vAlign w:val="top"/>
          </w:tcPr>
          <w:p w14:paraId="31DF776D">
            <w:pPr>
              <w:pStyle w:val="6"/>
              <w:spacing w:before="138" w:line="232" w:lineRule="auto"/>
              <w:ind w:left="172"/>
              <w:rPr>
                <w:sz w:val="18"/>
                <w:szCs w:val="18"/>
              </w:rPr>
            </w:pPr>
            <w:r>
              <w:rPr>
                <w:spacing w:val="-2"/>
                <w:sz w:val="18"/>
                <w:szCs w:val="18"/>
              </w:rPr>
              <w:t>0.0064</w:t>
            </w:r>
          </w:p>
        </w:tc>
        <w:tc>
          <w:tcPr>
            <w:tcW w:w="851" w:type="dxa"/>
            <w:vAlign w:val="top"/>
          </w:tcPr>
          <w:p w14:paraId="0D87BBC7">
            <w:pPr>
              <w:pStyle w:val="6"/>
              <w:spacing w:before="138" w:line="232" w:lineRule="auto"/>
              <w:ind w:left="118"/>
              <w:rPr>
                <w:sz w:val="18"/>
                <w:szCs w:val="18"/>
              </w:rPr>
            </w:pPr>
            <w:r>
              <w:rPr>
                <w:spacing w:val="-1"/>
                <w:sz w:val="18"/>
                <w:szCs w:val="18"/>
              </w:rPr>
              <w:t>0.0005L</w:t>
            </w:r>
          </w:p>
        </w:tc>
        <w:tc>
          <w:tcPr>
            <w:tcW w:w="708" w:type="dxa"/>
            <w:vAlign w:val="top"/>
          </w:tcPr>
          <w:p w14:paraId="583EBD28">
            <w:pPr>
              <w:pStyle w:val="6"/>
              <w:spacing w:before="138" w:line="232" w:lineRule="auto"/>
              <w:ind w:left="92"/>
              <w:rPr>
                <w:sz w:val="18"/>
                <w:szCs w:val="18"/>
              </w:rPr>
            </w:pPr>
            <w:r>
              <w:rPr>
                <w:spacing w:val="-2"/>
                <w:sz w:val="18"/>
                <w:szCs w:val="18"/>
              </w:rPr>
              <w:t>0.009L</w:t>
            </w:r>
          </w:p>
        </w:tc>
        <w:tc>
          <w:tcPr>
            <w:tcW w:w="707" w:type="dxa"/>
            <w:vAlign w:val="top"/>
          </w:tcPr>
          <w:p w14:paraId="7F989E2F">
            <w:pPr>
              <w:pStyle w:val="6"/>
              <w:spacing w:before="138" w:line="232" w:lineRule="auto"/>
              <w:ind w:left="148"/>
              <w:rPr>
                <w:sz w:val="18"/>
                <w:szCs w:val="18"/>
              </w:rPr>
            </w:pPr>
            <w:r>
              <w:rPr>
                <w:spacing w:val="-2"/>
                <w:sz w:val="18"/>
                <w:szCs w:val="18"/>
              </w:rPr>
              <w:t>0.035</w:t>
            </w:r>
          </w:p>
        </w:tc>
        <w:tc>
          <w:tcPr>
            <w:tcW w:w="567" w:type="dxa"/>
            <w:vAlign w:val="top"/>
          </w:tcPr>
          <w:p w14:paraId="2EF7F08C">
            <w:pPr>
              <w:pStyle w:val="6"/>
              <w:spacing w:before="138" w:line="232" w:lineRule="auto"/>
              <w:ind w:left="167"/>
              <w:rPr>
                <w:sz w:val="18"/>
                <w:szCs w:val="18"/>
              </w:rPr>
            </w:pPr>
            <w:r>
              <w:rPr>
                <w:spacing w:val="-2"/>
                <w:sz w:val="18"/>
                <w:szCs w:val="18"/>
              </w:rPr>
              <w:t>2.3</w:t>
            </w:r>
          </w:p>
        </w:tc>
        <w:tc>
          <w:tcPr>
            <w:tcW w:w="566" w:type="dxa"/>
            <w:vAlign w:val="top"/>
          </w:tcPr>
          <w:p w14:paraId="77FC40A5">
            <w:pPr>
              <w:pStyle w:val="6"/>
              <w:spacing w:before="138" w:line="232" w:lineRule="auto"/>
              <w:ind w:left="169"/>
              <w:rPr>
                <w:sz w:val="18"/>
                <w:szCs w:val="18"/>
              </w:rPr>
            </w:pPr>
            <w:r>
              <w:rPr>
                <w:spacing w:val="-3"/>
                <w:sz w:val="18"/>
                <w:szCs w:val="18"/>
              </w:rPr>
              <w:t>7.9</w:t>
            </w:r>
          </w:p>
        </w:tc>
        <w:tc>
          <w:tcPr>
            <w:tcW w:w="851" w:type="dxa"/>
            <w:vAlign w:val="top"/>
          </w:tcPr>
          <w:p w14:paraId="2C5328F0">
            <w:pPr>
              <w:pStyle w:val="6"/>
              <w:spacing w:before="138" w:line="232" w:lineRule="auto"/>
              <w:ind w:left="288"/>
              <w:rPr>
                <w:sz w:val="18"/>
                <w:szCs w:val="18"/>
              </w:rPr>
            </w:pPr>
            <w:r>
              <w:rPr>
                <w:spacing w:val="-1"/>
                <w:sz w:val="18"/>
                <w:szCs w:val="18"/>
              </w:rPr>
              <w:t>227</w:t>
            </w:r>
          </w:p>
        </w:tc>
        <w:tc>
          <w:tcPr>
            <w:tcW w:w="567" w:type="dxa"/>
            <w:vAlign w:val="top"/>
          </w:tcPr>
          <w:p w14:paraId="1772FF98">
            <w:pPr>
              <w:pStyle w:val="6"/>
              <w:spacing w:before="138" w:line="232" w:lineRule="auto"/>
              <w:ind w:left="164"/>
              <w:rPr>
                <w:sz w:val="18"/>
                <w:szCs w:val="18"/>
              </w:rPr>
            </w:pPr>
            <w:r>
              <w:rPr>
                <w:spacing w:val="-5"/>
                <w:sz w:val="18"/>
                <w:szCs w:val="18"/>
              </w:rPr>
              <w:t>184</w:t>
            </w:r>
          </w:p>
        </w:tc>
        <w:tc>
          <w:tcPr>
            <w:tcW w:w="708" w:type="dxa"/>
            <w:vAlign w:val="top"/>
          </w:tcPr>
          <w:p w14:paraId="3C88810C">
            <w:pPr>
              <w:pStyle w:val="6"/>
              <w:spacing w:before="138" w:line="232" w:lineRule="auto"/>
              <w:ind w:left="198"/>
              <w:rPr>
                <w:sz w:val="18"/>
                <w:szCs w:val="18"/>
              </w:rPr>
            </w:pPr>
            <w:r>
              <w:rPr>
                <w:spacing w:val="-2"/>
                <w:sz w:val="18"/>
                <w:szCs w:val="18"/>
              </w:rPr>
              <w:t>0.94</w:t>
            </w:r>
          </w:p>
        </w:tc>
        <w:tc>
          <w:tcPr>
            <w:tcW w:w="851" w:type="dxa"/>
            <w:vAlign w:val="top"/>
          </w:tcPr>
          <w:p w14:paraId="25C337E5">
            <w:pPr>
              <w:pStyle w:val="6"/>
              <w:spacing w:before="138" w:line="232" w:lineRule="auto"/>
              <w:ind w:left="170"/>
              <w:rPr>
                <w:sz w:val="18"/>
                <w:szCs w:val="18"/>
              </w:rPr>
            </w:pPr>
            <w:r>
              <w:rPr>
                <w:spacing w:val="-2"/>
                <w:sz w:val="18"/>
                <w:szCs w:val="18"/>
              </w:rPr>
              <w:t>0.002L</w:t>
            </w:r>
          </w:p>
        </w:tc>
        <w:tc>
          <w:tcPr>
            <w:tcW w:w="990" w:type="dxa"/>
            <w:vAlign w:val="top"/>
          </w:tcPr>
          <w:p w14:paraId="14ACDFF1">
            <w:pPr>
              <w:pStyle w:val="6"/>
              <w:spacing w:before="138" w:line="232" w:lineRule="auto"/>
              <w:ind w:left="241"/>
              <w:rPr>
                <w:sz w:val="18"/>
                <w:szCs w:val="18"/>
              </w:rPr>
            </w:pPr>
            <w:r>
              <w:rPr>
                <w:spacing w:val="-2"/>
                <w:sz w:val="18"/>
                <w:szCs w:val="18"/>
              </w:rPr>
              <w:t>0.050L</w:t>
            </w:r>
          </w:p>
        </w:tc>
        <w:tc>
          <w:tcPr>
            <w:tcW w:w="566" w:type="dxa"/>
            <w:vAlign w:val="top"/>
          </w:tcPr>
          <w:p w14:paraId="3BB37804">
            <w:pPr>
              <w:pStyle w:val="6"/>
              <w:spacing w:before="138" w:line="232" w:lineRule="auto"/>
              <w:ind w:left="85"/>
              <w:rPr>
                <w:sz w:val="18"/>
                <w:szCs w:val="18"/>
              </w:rPr>
            </w:pPr>
            <w:r>
              <w:rPr>
                <w:spacing w:val="-2"/>
                <w:sz w:val="18"/>
                <w:szCs w:val="18"/>
              </w:rPr>
              <w:t>0.001</w:t>
            </w:r>
          </w:p>
        </w:tc>
        <w:tc>
          <w:tcPr>
            <w:tcW w:w="851" w:type="dxa"/>
            <w:vAlign w:val="top"/>
          </w:tcPr>
          <w:p w14:paraId="2A7D7BEF">
            <w:pPr>
              <w:pStyle w:val="6"/>
              <w:spacing w:before="138" w:line="232" w:lineRule="auto"/>
              <w:ind w:left="128"/>
              <w:rPr>
                <w:sz w:val="18"/>
                <w:szCs w:val="18"/>
              </w:rPr>
            </w:pPr>
            <w:r>
              <w:rPr>
                <w:spacing w:val="-1"/>
                <w:sz w:val="18"/>
                <w:szCs w:val="18"/>
              </w:rPr>
              <w:t>0.0005L</w:t>
            </w:r>
          </w:p>
        </w:tc>
        <w:tc>
          <w:tcPr>
            <w:tcW w:w="704" w:type="dxa"/>
            <w:vAlign w:val="top"/>
          </w:tcPr>
          <w:p w14:paraId="61C68A33">
            <w:pPr>
              <w:pStyle w:val="6"/>
              <w:spacing w:before="138" w:line="232" w:lineRule="auto"/>
              <w:ind w:left="100"/>
              <w:rPr>
                <w:sz w:val="18"/>
                <w:szCs w:val="18"/>
              </w:rPr>
            </w:pPr>
            <w:r>
              <w:rPr>
                <w:spacing w:val="-2"/>
                <w:sz w:val="18"/>
                <w:szCs w:val="18"/>
              </w:rPr>
              <w:t>0.004L</w:t>
            </w:r>
          </w:p>
        </w:tc>
        <w:tc>
          <w:tcPr>
            <w:tcW w:w="851" w:type="dxa"/>
            <w:vAlign w:val="top"/>
          </w:tcPr>
          <w:p w14:paraId="1E4AFC2E">
            <w:pPr>
              <w:pStyle w:val="6"/>
              <w:spacing w:before="138" w:line="232" w:lineRule="auto"/>
              <w:ind w:left="131"/>
              <w:rPr>
                <w:sz w:val="18"/>
                <w:szCs w:val="18"/>
              </w:rPr>
            </w:pPr>
            <w:r>
              <w:rPr>
                <w:spacing w:val="-1"/>
                <w:sz w:val="18"/>
                <w:szCs w:val="18"/>
              </w:rPr>
              <w:t>0.0025L</w:t>
            </w:r>
          </w:p>
        </w:tc>
        <w:tc>
          <w:tcPr>
            <w:tcW w:w="851" w:type="dxa"/>
            <w:vAlign w:val="top"/>
          </w:tcPr>
          <w:p w14:paraId="0EAE1D79">
            <w:pPr>
              <w:pStyle w:val="6"/>
              <w:spacing w:before="138" w:line="232" w:lineRule="auto"/>
              <w:ind w:left="132"/>
              <w:rPr>
                <w:sz w:val="18"/>
                <w:szCs w:val="18"/>
              </w:rPr>
            </w:pPr>
            <w:r>
              <w:rPr>
                <w:spacing w:val="-1"/>
                <w:sz w:val="18"/>
                <w:szCs w:val="18"/>
              </w:rPr>
              <w:t>0.0001L</w:t>
            </w:r>
          </w:p>
        </w:tc>
        <w:tc>
          <w:tcPr>
            <w:tcW w:w="846" w:type="dxa"/>
            <w:vAlign w:val="top"/>
          </w:tcPr>
          <w:p w14:paraId="3CEA71F8">
            <w:pPr>
              <w:pStyle w:val="6"/>
              <w:spacing w:before="138" w:line="232" w:lineRule="auto"/>
              <w:ind w:left="186"/>
              <w:rPr>
                <w:sz w:val="18"/>
                <w:szCs w:val="18"/>
              </w:rPr>
            </w:pPr>
            <w:r>
              <w:rPr>
                <w:spacing w:val="-2"/>
                <w:sz w:val="18"/>
                <w:szCs w:val="18"/>
              </w:rPr>
              <w:t>0.0011</w:t>
            </w:r>
          </w:p>
        </w:tc>
        <w:tc>
          <w:tcPr>
            <w:tcW w:w="684" w:type="dxa"/>
            <w:vAlign w:val="top"/>
          </w:tcPr>
          <w:p w14:paraId="0E199F8B">
            <w:pPr>
              <w:pStyle w:val="6"/>
              <w:spacing w:before="138" w:line="232" w:lineRule="auto"/>
              <w:ind w:left="96"/>
              <w:rPr>
                <w:sz w:val="18"/>
                <w:szCs w:val="18"/>
              </w:rPr>
            </w:pPr>
            <w:r>
              <w:rPr>
                <w:spacing w:val="-2"/>
                <w:sz w:val="18"/>
                <w:szCs w:val="18"/>
              </w:rPr>
              <w:t>0.002L</w:t>
            </w:r>
          </w:p>
        </w:tc>
        <w:tc>
          <w:tcPr>
            <w:tcW w:w="460" w:type="dxa"/>
            <w:vAlign w:val="top"/>
          </w:tcPr>
          <w:p w14:paraId="57008005">
            <w:pPr>
              <w:pStyle w:val="6"/>
              <w:spacing w:before="138" w:line="232" w:lineRule="auto"/>
              <w:ind w:left="130"/>
              <w:rPr>
                <w:sz w:val="18"/>
                <w:szCs w:val="18"/>
              </w:rPr>
            </w:pPr>
            <w:r>
              <w:rPr>
                <w:spacing w:val="-3"/>
                <w:sz w:val="18"/>
                <w:szCs w:val="18"/>
              </w:rPr>
              <w:t>0.3</w:t>
            </w:r>
          </w:p>
        </w:tc>
        <w:tc>
          <w:tcPr>
            <w:tcW w:w="428" w:type="dxa"/>
            <w:vAlign w:val="top"/>
          </w:tcPr>
          <w:p w14:paraId="69543269">
            <w:pPr>
              <w:pStyle w:val="6"/>
              <w:spacing w:before="138" w:line="232" w:lineRule="auto"/>
              <w:ind w:left="60"/>
              <w:rPr>
                <w:sz w:val="18"/>
                <w:szCs w:val="18"/>
              </w:rPr>
            </w:pPr>
            <w:r>
              <w:rPr>
                <w:spacing w:val="-2"/>
                <w:sz w:val="18"/>
                <w:szCs w:val="18"/>
              </w:rPr>
              <w:t>0.5L</w:t>
            </w:r>
          </w:p>
        </w:tc>
        <w:tc>
          <w:tcPr>
            <w:tcW w:w="447" w:type="dxa"/>
            <w:vAlign w:val="top"/>
          </w:tcPr>
          <w:p w14:paraId="1286C8E7">
            <w:pPr>
              <w:pStyle w:val="6"/>
              <w:spacing w:before="138" w:line="232" w:lineRule="auto"/>
              <w:ind w:left="205"/>
              <w:rPr>
                <w:sz w:val="18"/>
                <w:szCs w:val="18"/>
              </w:rPr>
            </w:pPr>
            <w:r>
              <w:rPr>
                <w:sz w:val="18"/>
                <w:szCs w:val="18"/>
              </w:rPr>
              <w:t>/</w:t>
            </w:r>
          </w:p>
        </w:tc>
        <w:tc>
          <w:tcPr>
            <w:tcW w:w="666" w:type="dxa"/>
            <w:tcBorders>
              <w:right w:val="single" w:color="000000" w:sz="12" w:space="0"/>
            </w:tcBorders>
            <w:vAlign w:val="top"/>
          </w:tcPr>
          <w:p w14:paraId="5E4DD27C">
            <w:pPr>
              <w:pStyle w:val="6"/>
              <w:spacing w:before="138" w:line="232" w:lineRule="auto"/>
              <w:ind w:left="261"/>
              <w:rPr>
                <w:sz w:val="18"/>
                <w:szCs w:val="18"/>
              </w:rPr>
            </w:pPr>
            <w:r>
              <w:rPr>
                <w:spacing w:val="-6"/>
                <w:sz w:val="18"/>
                <w:szCs w:val="18"/>
              </w:rPr>
              <w:t>10</w:t>
            </w:r>
          </w:p>
        </w:tc>
      </w:tr>
      <w:tr w14:paraId="549E9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31332668">
            <w:pPr>
              <w:rPr>
                <w:rFonts w:ascii="Arial"/>
                <w:sz w:val="21"/>
              </w:rPr>
            </w:pPr>
          </w:p>
        </w:tc>
        <w:tc>
          <w:tcPr>
            <w:tcW w:w="285" w:type="dxa"/>
            <w:vMerge w:val="restart"/>
            <w:tcBorders>
              <w:bottom w:val="nil"/>
            </w:tcBorders>
            <w:vAlign w:val="top"/>
          </w:tcPr>
          <w:p w14:paraId="21D812E5">
            <w:pPr>
              <w:pStyle w:val="6"/>
              <w:spacing w:before="286" w:line="235" w:lineRule="auto"/>
              <w:ind w:left="38" w:right="63" w:firstLine="42"/>
              <w:jc w:val="both"/>
              <w:rPr>
                <w:rFonts w:ascii="等线" w:hAnsi="等线" w:eastAsia="等线" w:cs="等线"/>
                <w:sz w:val="18"/>
                <w:szCs w:val="18"/>
              </w:rPr>
            </w:pPr>
            <w:r>
              <w:rPr>
                <w:spacing w:val="-4"/>
                <w:sz w:val="18"/>
                <w:szCs w:val="18"/>
              </w:rPr>
              <w:t>2</w:t>
            </w:r>
            <w:r>
              <w:rPr>
                <w:rFonts w:ascii="等线" w:hAnsi="等线" w:eastAsia="等线" w:cs="等线"/>
                <w:spacing w:val="-7"/>
                <w:sz w:val="18"/>
                <w:szCs w:val="18"/>
              </w:rPr>
              <w:t>季度</w:t>
            </w:r>
          </w:p>
        </w:tc>
        <w:tc>
          <w:tcPr>
            <w:tcW w:w="1131" w:type="dxa"/>
            <w:vAlign w:val="top"/>
          </w:tcPr>
          <w:p w14:paraId="73F0B105">
            <w:pPr>
              <w:pStyle w:val="6"/>
              <w:spacing w:before="140" w:line="232" w:lineRule="auto"/>
              <w:ind w:left="230"/>
              <w:rPr>
                <w:sz w:val="18"/>
                <w:szCs w:val="18"/>
              </w:rPr>
            </w:pPr>
            <w:r>
              <w:rPr>
                <w:spacing w:val="-1"/>
                <w:sz w:val="18"/>
                <w:szCs w:val="18"/>
              </w:rPr>
              <w:t>2021/6/3</w:t>
            </w:r>
          </w:p>
        </w:tc>
        <w:tc>
          <w:tcPr>
            <w:tcW w:w="570" w:type="dxa"/>
            <w:vAlign w:val="top"/>
          </w:tcPr>
          <w:p w14:paraId="03D31972">
            <w:pPr>
              <w:pStyle w:val="6"/>
              <w:spacing w:before="146" w:line="183" w:lineRule="auto"/>
              <w:ind w:left="176"/>
              <w:rPr>
                <w:sz w:val="18"/>
                <w:szCs w:val="18"/>
              </w:rPr>
            </w:pPr>
            <w:r>
              <w:rPr>
                <w:spacing w:val="-2"/>
                <w:sz w:val="18"/>
                <w:szCs w:val="18"/>
              </w:rPr>
              <w:t>5L</w:t>
            </w:r>
          </w:p>
        </w:tc>
        <w:tc>
          <w:tcPr>
            <w:tcW w:w="703" w:type="dxa"/>
            <w:vAlign w:val="top"/>
          </w:tcPr>
          <w:p w14:paraId="0A895D29">
            <w:pPr>
              <w:pStyle w:val="6"/>
              <w:spacing w:before="140" w:line="232" w:lineRule="auto"/>
              <w:ind w:left="175"/>
              <w:rPr>
                <w:sz w:val="18"/>
                <w:szCs w:val="18"/>
              </w:rPr>
            </w:pPr>
            <w:r>
              <w:rPr>
                <w:spacing w:val="-2"/>
                <w:sz w:val="18"/>
                <w:szCs w:val="18"/>
              </w:rPr>
              <w:t>0.5L</w:t>
            </w:r>
          </w:p>
        </w:tc>
        <w:tc>
          <w:tcPr>
            <w:tcW w:w="708" w:type="dxa"/>
            <w:vAlign w:val="top"/>
          </w:tcPr>
          <w:p w14:paraId="181A8E08">
            <w:pPr>
              <w:pStyle w:val="6"/>
              <w:spacing w:before="140" w:line="232" w:lineRule="auto"/>
              <w:ind w:left="188"/>
              <w:rPr>
                <w:sz w:val="18"/>
                <w:szCs w:val="18"/>
              </w:rPr>
            </w:pPr>
            <w:r>
              <w:rPr>
                <w:spacing w:val="-2"/>
                <w:sz w:val="18"/>
                <w:szCs w:val="18"/>
              </w:rPr>
              <w:t>7.84</w:t>
            </w:r>
          </w:p>
        </w:tc>
        <w:tc>
          <w:tcPr>
            <w:tcW w:w="708" w:type="dxa"/>
            <w:vAlign w:val="top"/>
          </w:tcPr>
          <w:p w14:paraId="4EBC152C">
            <w:pPr>
              <w:pStyle w:val="6"/>
              <w:spacing w:before="140" w:line="232" w:lineRule="auto"/>
              <w:ind w:left="144"/>
              <w:rPr>
                <w:sz w:val="18"/>
                <w:szCs w:val="18"/>
              </w:rPr>
            </w:pPr>
            <w:r>
              <w:rPr>
                <w:spacing w:val="-2"/>
                <w:sz w:val="18"/>
                <w:szCs w:val="18"/>
              </w:rPr>
              <w:t>0.040</w:t>
            </w:r>
          </w:p>
        </w:tc>
        <w:tc>
          <w:tcPr>
            <w:tcW w:w="851" w:type="dxa"/>
            <w:vAlign w:val="top"/>
          </w:tcPr>
          <w:p w14:paraId="7964D669">
            <w:pPr>
              <w:pStyle w:val="6"/>
              <w:spacing w:before="140" w:line="232" w:lineRule="auto"/>
              <w:ind w:left="172"/>
              <w:rPr>
                <w:sz w:val="18"/>
                <w:szCs w:val="18"/>
              </w:rPr>
            </w:pPr>
            <w:r>
              <w:rPr>
                <w:spacing w:val="-2"/>
                <w:sz w:val="18"/>
                <w:szCs w:val="18"/>
              </w:rPr>
              <w:t>0.0048</w:t>
            </w:r>
          </w:p>
        </w:tc>
        <w:tc>
          <w:tcPr>
            <w:tcW w:w="851" w:type="dxa"/>
            <w:vAlign w:val="top"/>
          </w:tcPr>
          <w:p w14:paraId="2028CCF5">
            <w:pPr>
              <w:pStyle w:val="6"/>
              <w:spacing w:before="140" w:line="232" w:lineRule="auto"/>
              <w:ind w:left="173"/>
              <w:rPr>
                <w:sz w:val="18"/>
                <w:szCs w:val="18"/>
              </w:rPr>
            </w:pPr>
            <w:r>
              <w:rPr>
                <w:spacing w:val="-2"/>
                <w:sz w:val="18"/>
                <w:szCs w:val="18"/>
              </w:rPr>
              <w:t>0.0038</w:t>
            </w:r>
          </w:p>
        </w:tc>
        <w:tc>
          <w:tcPr>
            <w:tcW w:w="708" w:type="dxa"/>
            <w:vAlign w:val="top"/>
          </w:tcPr>
          <w:p w14:paraId="54D4BA18">
            <w:pPr>
              <w:pStyle w:val="6"/>
              <w:spacing w:before="140" w:line="232" w:lineRule="auto"/>
              <w:ind w:left="92"/>
              <w:rPr>
                <w:sz w:val="18"/>
                <w:szCs w:val="18"/>
              </w:rPr>
            </w:pPr>
            <w:r>
              <w:rPr>
                <w:spacing w:val="-2"/>
                <w:sz w:val="18"/>
                <w:szCs w:val="18"/>
              </w:rPr>
              <w:t>0.009L</w:t>
            </w:r>
          </w:p>
        </w:tc>
        <w:tc>
          <w:tcPr>
            <w:tcW w:w="707" w:type="dxa"/>
            <w:vAlign w:val="top"/>
          </w:tcPr>
          <w:p w14:paraId="554DAAAD">
            <w:pPr>
              <w:pStyle w:val="6"/>
              <w:spacing w:before="140" w:line="232" w:lineRule="auto"/>
              <w:ind w:left="148"/>
              <w:rPr>
                <w:sz w:val="18"/>
                <w:szCs w:val="18"/>
              </w:rPr>
            </w:pPr>
            <w:r>
              <w:rPr>
                <w:spacing w:val="-2"/>
                <w:sz w:val="18"/>
                <w:szCs w:val="18"/>
              </w:rPr>
              <w:t>0.004</w:t>
            </w:r>
          </w:p>
        </w:tc>
        <w:tc>
          <w:tcPr>
            <w:tcW w:w="567" w:type="dxa"/>
            <w:vAlign w:val="top"/>
          </w:tcPr>
          <w:p w14:paraId="095043E1">
            <w:pPr>
              <w:pStyle w:val="6"/>
              <w:spacing w:before="140" w:line="232" w:lineRule="auto"/>
              <w:ind w:left="170"/>
              <w:rPr>
                <w:sz w:val="18"/>
                <w:szCs w:val="18"/>
              </w:rPr>
            </w:pPr>
            <w:r>
              <w:rPr>
                <w:spacing w:val="-3"/>
                <w:sz w:val="18"/>
                <w:szCs w:val="18"/>
              </w:rPr>
              <w:t>3.5</w:t>
            </w:r>
          </w:p>
        </w:tc>
        <w:tc>
          <w:tcPr>
            <w:tcW w:w="566" w:type="dxa"/>
            <w:vAlign w:val="top"/>
          </w:tcPr>
          <w:p w14:paraId="68192C50">
            <w:pPr>
              <w:pStyle w:val="6"/>
              <w:spacing w:before="140" w:line="232" w:lineRule="auto"/>
              <w:ind w:left="116"/>
              <w:rPr>
                <w:sz w:val="18"/>
                <w:szCs w:val="18"/>
              </w:rPr>
            </w:pPr>
            <w:r>
              <w:rPr>
                <w:spacing w:val="-3"/>
                <w:sz w:val="18"/>
                <w:szCs w:val="18"/>
              </w:rPr>
              <w:t>5.0L</w:t>
            </w:r>
          </w:p>
        </w:tc>
        <w:tc>
          <w:tcPr>
            <w:tcW w:w="851" w:type="dxa"/>
            <w:vAlign w:val="top"/>
          </w:tcPr>
          <w:p w14:paraId="7B41C6E7">
            <w:pPr>
              <w:pStyle w:val="6"/>
              <w:spacing w:before="140" w:line="235" w:lineRule="auto"/>
              <w:ind w:left="305"/>
              <w:rPr>
                <w:sz w:val="18"/>
                <w:szCs w:val="18"/>
              </w:rPr>
            </w:pPr>
            <w:r>
              <w:rPr>
                <w:spacing w:val="-5"/>
                <w:sz w:val="18"/>
                <w:szCs w:val="18"/>
              </w:rPr>
              <w:t>121</w:t>
            </w:r>
          </w:p>
        </w:tc>
        <w:tc>
          <w:tcPr>
            <w:tcW w:w="567" w:type="dxa"/>
            <w:vAlign w:val="top"/>
          </w:tcPr>
          <w:p w14:paraId="5EFDD699">
            <w:pPr>
              <w:pStyle w:val="6"/>
              <w:spacing w:before="140" w:line="232" w:lineRule="auto"/>
              <w:ind w:left="164"/>
              <w:rPr>
                <w:sz w:val="18"/>
                <w:szCs w:val="18"/>
              </w:rPr>
            </w:pPr>
            <w:r>
              <w:rPr>
                <w:spacing w:val="-5"/>
                <w:sz w:val="18"/>
                <w:szCs w:val="18"/>
              </w:rPr>
              <w:t>101</w:t>
            </w:r>
          </w:p>
        </w:tc>
        <w:tc>
          <w:tcPr>
            <w:tcW w:w="708" w:type="dxa"/>
            <w:vAlign w:val="top"/>
          </w:tcPr>
          <w:p w14:paraId="6CB7D8A8">
            <w:pPr>
              <w:pStyle w:val="6"/>
              <w:spacing w:before="140" w:line="232" w:lineRule="auto"/>
              <w:ind w:left="212"/>
              <w:rPr>
                <w:sz w:val="18"/>
                <w:szCs w:val="18"/>
              </w:rPr>
            </w:pPr>
            <w:r>
              <w:rPr>
                <w:spacing w:val="-6"/>
                <w:sz w:val="18"/>
                <w:szCs w:val="18"/>
              </w:rPr>
              <w:t>1.00</w:t>
            </w:r>
          </w:p>
        </w:tc>
        <w:tc>
          <w:tcPr>
            <w:tcW w:w="851" w:type="dxa"/>
            <w:vAlign w:val="top"/>
          </w:tcPr>
          <w:p w14:paraId="022CFA5E">
            <w:pPr>
              <w:pStyle w:val="6"/>
              <w:spacing w:before="140" w:line="232" w:lineRule="auto"/>
              <w:ind w:left="170"/>
              <w:rPr>
                <w:sz w:val="18"/>
                <w:szCs w:val="18"/>
              </w:rPr>
            </w:pPr>
            <w:r>
              <w:rPr>
                <w:spacing w:val="-2"/>
                <w:sz w:val="18"/>
                <w:szCs w:val="18"/>
              </w:rPr>
              <w:t>0.002L</w:t>
            </w:r>
          </w:p>
        </w:tc>
        <w:tc>
          <w:tcPr>
            <w:tcW w:w="990" w:type="dxa"/>
            <w:vAlign w:val="top"/>
          </w:tcPr>
          <w:p w14:paraId="39841401">
            <w:pPr>
              <w:pStyle w:val="6"/>
              <w:spacing w:before="140" w:line="232" w:lineRule="auto"/>
              <w:ind w:left="241"/>
              <w:rPr>
                <w:sz w:val="18"/>
                <w:szCs w:val="18"/>
              </w:rPr>
            </w:pPr>
            <w:r>
              <w:rPr>
                <w:spacing w:val="-2"/>
                <w:sz w:val="18"/>
                <w:szCs w:val="18"/>
              </w:rPr>
              <w:t>0.050L</w:t>
            </w:r>
          </w:p>
        </w:tc>
        <w:tc>
          <w:tcPr>
            <w:tcW w:w="566" w:type="dxa"/>
            <w:vAlign w:val="top"/>
          </w:tcPr>
          <w:p w14:paraId="30490E52">
            <w:pPr>
              <w:pStyle w:val="6"/>
              <w:spacing w:before="140" w:line="232" w:lineRule="auto"/>
              <w:ind w:left="85"/>
              <w:rPr>
                <w:sz w:val="18"/>
                <w:szCs w:val="18"/>
              </w:rPr>
            </w:pPr>
            <w:r>
              <w:rPr>
                <w:spacing w:val="-2"/>
                <w:sz w:val="18"/>
                <w:szCs w:val="18"/>
              </w:rPr>
              <w:t>0.001</w:t>
            </w:r>
          </w:p>
        </w:tc>
        <w:tc>
          <w:tcPr>
            <w:tcW w:w="851" w:type="dxa"/>
            <w:vAlign w:val="top"/>
          </w:tcPr>
          <w:p w14:paraId="2DD8A806">
            <w:pPr>
              <w:pStyle w:val="6"/>
              <w:spacing w:before="140" w:line="232" w:lineRule="auto"/>
              <w:ind w:left="128"/>
              <w:rPr>
                <w:sz w:val="18"/>
                <w:szCs w:val="18"/>
              </w:rPr>
            </w:pPr>
            <w:r>
              <w:rPr>
                <w:spacing w:val="-1"/>
                <w:sz w:val="18"/>
                <w:szCs w:val="18"/>
              </w:rPr>
              <w:t>0.0005L</w:t>
            </w:r>
          </w:p>
        </w:tc>
        <w:tc>
          <w:tcPr>
            <w:tcW w:w="704" w:type="dxa"/>
            <w:vAlign w:val="top"/>
          </w:tcPr>
          <w:p w14:paraId="5EB99E08">
            <w:pPr>
              <w:pStyle w:val="6"/>
              <w:spacing w:before="140" w:line="232" w:lineRule="auto"/>
              <w:ind w:left="100"/>
              <w:rPr>
                <w:sz w:val="18"/>
                <w:szCs w:val="18"/>
              </w:rPr>
            </w:pPr>
            <w:r>
              <w:rPr>
                <w:spacing w:val="-2"/>
                <w:sz w:val="18"/>
                <w:szCs w:val="18"/>
              </w:rPr>
              <w:t>0.004L</w:t>
            </w:r>
          </w:p>
        </w:tc>
        <w:tc>
          <w:tcPr>
            <w:tcW w:w="851" w:type="dxa"/>
            <w:vAlign w:val="top"/>
          </w:tcPr>
          <w:p w14:paraId="50BB173A">
            <w:pPr>
              <w:pStyle w:val="6"/>
              <w:spacing w:before="140" w:line="232" w:lineRule="auto"/>
              <w:ind w:left="131"/>
              <w:rPr>
                <w:sz w:val="18"/>
                <w:szCs w:val="18"/>
              </w:rPr>
            </w:pPr>
            <w:r>
              <w:rPr>
                <w:spacing w:val="-1"/>
                <w:sz w:val="18"/>
                <w:szCs w:val="18"/>
              </w:rPr>
              <w:t>0.0025L</w:t>
            </w:r>
          </w:p>
        </w:tc>
        <w:tc>
          <w:tcPr>
            <w:tcW w:w="851" w:type="dxa"/>
            <w:vAlign w:val="top"/>
          </w:tcPr>
          <w:p w14:paraId="67DE8B6F">
            <w:pPr>
              <w:pStyle w:val="6"/>
              <w:spacing w:before="140" w:line="232" w:lineRule="auto"/>
              <w:ind w:left="132"/>
              <w:rPr>
                <w:sz w:val="18"/>
                <w:szCs w:val="18"/>
              </w:rPr>
            </w:pPr>
            <w:r>
              <w:rPr>
                <w:spacing w:val="-1"/>
                <w:sz w:val="18"/>
                <w:szCs w:val="18"/>
              </w:rPr>
              <w:t>0.0001L</w:t>
            </w:r>
          </w:p>
        </w:tc>
        <w:tc>
          <w:tcPr>
            <w:tcW w:w="846" w:type="dxa"/>
            <w:vAlign w:val="top"/>
          </w:tcPr>
          <w:p w14:paraId="7D9D11C8">
            <w:pPr>
              <w:pStyle w:val="6"/>
              <w:spacing w:before="140" w:line="232" w:lineRule="auto"/>
              <w:ind w:left="131"/>
              <w:rPr>
                <w:sz w:val="18"/>
                <w:szCs w:val="18"/>
              </w:rPr>
            </w:pPr>
            <w:r>
              <w:rPr>
                <w:spacing w:val="-1"/>
                <w:sz w:val="18"/>
                <w:szCs w:val="18"/>
              </w:rPr>
              <w:t>0.0004L</w:t>
            </w:r>
          </w:p>
        </w:tc>
        <w:tc>
          <w:tcPr>
            <w:tcW w:w="684" w:type="dxa"/>
            <w:vAlign w:val="top"/>
          </w:tcPr>
          <w:p w14:paraId="26A4A1AC">
            <w:pPr>
              <w:pStyle w:val="6"/>
              <w:spacing w:before="140" w:line="232" w:lineRule="auto"/>
              <w:ind w:left="96"/>
              <w:rPr>
                <w:sz w:val="18"/>
                <w:szCs w:val="18"/>
              </w:rPr>
            </w:pPr>
            <w:r>
              <w:rPr>
                <w:spacing w:val="-2"/>
                <w:sz w:val="18"/>
                <w:szCs w:val="18"/>
              </w:rPr>
              <w:t>0.002L</w:t>
            </w:r>
          </w:p>
        </w:tc>
        <w:tc>
          <w:tcPr>
            <w:tcW w:w="460" w:type="dxa"/>
            <w:vAlign w:val="top"/>
          </w:tcPr>
          <w:p w14:paraId="50114D47">
            <w:pPr>
              <w:pStyle w:val="6"/>
              <w:spacing w:before="140" w:line="232" w:lineRule="auto"/>
              <w:ind w:left="130"/>
              <w:rPr>
                <w:sz w:val="18"/>
                <w:szCs w:val="18"/>
              </w:rPr>
            </w:pPr>
            <w:r>
              <w:rPr>
                <w:spacing w:val="-3"/>
                <w:sz w:val="18"/>
                <w:szCs w:val="18"/>
              </w:rPr>
              <w:t>0.4</w:t>
            </w:r>
          </w:p>
        </w:tc>
        <w:tc>
          <w:tcPr>
            <w:tcW w:w="428" w:type="dxa"/>
            <w:vAlign w:val="top"/>
          </w:tcPr>
          <w:p w14:paraId="7037064E">
            <w:pPr>
              <w:pStyle w:val="6"/>
              <w:spacing w:before="140" w:line="232" w:lineRule="auto"/>
              <w:ind w:left="60"/>
              <w:rPr>
                <w:sz w:val="18"/>
                <w:szCs w:val="18"/>
              </w:rPr>
            </w:pPr>
            <w:r>
              <w:rPr>
                <w:spacing w:val="-2"/>
                <w:sz w:val="18"/>
                <w:szCs w:val="18"/>
              </w:rPr>
              <w:t>0.5L</w:t>
            </w:r>
          </w:p>
        </w:tc>
        <w:tc>
          <w:tcPr>
            <w:tcW w:w="447" w:type="dxa"/>
            <w:vAlign w:val="top"/>
          </w:tcPr>
          <w:p w14:paraId="24334C57">
            <w:pPr>
              <w:pStyle w:val="6"/>
              <w:spacing w:before="146" w:line="232" w:lineRule="auto"/>
              <w:ind w:left="190"/>
              <w:rPr>
                <w:sz w:val="18"/>
                <w:szCs w:val="18"/>
              </w:rPr>
            </w:pPr>
            <w:r>
              <w:rPr>
                <w:b/>
                <w:bCs/>
                <w:sz w:val="18"/>
                <w:szCs w:val="18"/>
              </w:rPr>
              <w:t>2</w:t>
            </w:r>
          </w:p>
        </w:tc>
        <w:tc>
          <w:tcPr>
            <w:tcW w:w="666" w:type="dxa"/>
            <w:tcBorders>
              <w:right w:val="single" w:color="000000" w:sz="12" w:space="0"/>
            </w:tcBorders>
            <w:vAlign w:val="top"/>
          </w:tcPr>
          <w:p w14:paraId="0A6AD4AD">
            <w:pPr>
              <w:pStyle w:val="6"/>
              <w:spacing w:before="140" w:line="232" w:lineRule="auto"/>
              <w:ind w:left="247"/>
              <w:rPr>
                <w:sz w:val="18"/>
                <w:szCs w:val="18"/>
              </w:rPr>
            </w:pPr>
            <w:r>
              <w:rPr>
                <w:spacing w:val="-2"/>
                <w:sz w:val="18"/>
                <w:szCs w:val="18"/>
              </w:rPr>
              <w:t>90</w:t>
            </w:r>
          </w:p>
        </w:tc>
      </w:tr>
      <w:tr w14:paraId="01835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527E9D1E">
            <w:pPr>
              <w:rPr>
                <w:rFonts w:ascii="Arial"/>
                <w:sz w:val="21"/>
              </w:rPr>
            </w:pPr>
          </w:p>
        </w:tc>
        <w:tc>
          <w:tcPr>
            <w:tcW w:w="285" w:type="dxa"/>
            <w:vMerge w:val="continue"/>
            <w:tcBorders>
              <w:top w:val="nil"/>
              <w:bottom w:val="nil"/>
            </w:tcBorders>
            <w:vAlign w:val="top"/>
          </w:tcPr>
          <w:p w14:paraId="7AF93993">
            <w:pPr>
              <w:rPr>
                <w:rFonts w:ascii="Arial"/>
                <w:sz w:val="21"/>
              </w:rPr>
            </w:pPr>
          </w:p>
        </w:tc>
        <w:tc>
          <w:tcPr>
            <w:tcW w:w="1131" w:type="dxa"/>
            <w:vAlign w:val="top"/>
          </w:tcPr>
          <w:p w14:paraId="3970317F">
            <w:pPr>
              <w:pStyle w:val="6"/>
              <w:spacing w:before="140" w:line="232" w:lineRule="auto"/>
              <w:ind w:left="230"/>
              <w:rPr>
                <w:sz w:val="18"/>
                <w:szCs w:val="18"/>
              </w:rPr>
            </w:pPr>
            <w:r>
              <w:rPr>
                <w:spacing w:val="-1"/>
                <w:sz w:val="18"/>
                <w:szCs w:val="18"/>
              </w:rPr>
              <w:t>2021/6/4</w:t>
            </w:r>
          </w:p>
        </w:tc>
        <w:tc>
          <w:tcPr>
            <w:tcW w:w="570" w:type="dxa"/>
            <w:vAlign w:val="top"/>
          </w:tcPr>
          <w:p w14:paraId="700579B8">
            <w:pPr>
              <w:pStyle w:val="6"/>
              <w:spacing w:before="146" w:line="183" w:lineRule="auto"/>
              <w:ind w:left="176"/>
              <w:rPr>
                <w:sz w:val="18"/>
                <w:szCs w:val="18"/>
              </w:rPr>
            </w:pPr>
            <w:r>
              <w:rPr>
                <w:spacing w:val="-2"/>
                <w:sz w:val="18"/>
                <w:szCs w:val="18"/>
              </w:rPr>
              <w:t>5L</w:t>
            </w:r>
          </w:p>
        </w:tc>
        <w:tc>
          <w:tcPr>
            <w:tcW w:w="703" w:type="dxa"/>
            <w:vAlign w:val="top"/>
          </w:tcPr>
          <w:p w14:paraId="7C6A7EF7">
            <w:pPr>
              <w:pStyle w:val="6"/>
              <w:spacing w:before="140" w:line="232" w:lineRule="auto"/>
              <w:ind w:left="175"/>
              <w:rPr>
                <w:sz w:val="18"/>
                <w:szCs w:val="18"/>
              </w:rPr>
            </w:pPr>
            <w:r>
              <w:rPr>
                <w:spacing w:val="-2"/>
                <w:sz w:val="18"/>
                <w:szCs w:val="18"/>
              </w:rPr>
              <w:t>0.5L</w:t>
            </w:r>
          </w:p>
        </w:tc>
        <w:tc>
          <w:tcPr>
            <w:tcW w:w="708" w:type="dxa"/>
            <w:vAlign w:val="top"/>
          </w:tcPr>
          <w:p w14:paraId="5FE9C6F0">
            <w:pPr>
              <w:pStyle w:val="6"/>
              <w:spacing w:before="140" w:line="232" w:lineRule="auto"/>
              <w:ind w:left="188"/>
              <w:rPr>
                <w:sz w:val="18"/>
                <w:szCs w:val="18"/>
              </w:rPr>
            </w:pPr>
            <w:r>
              <w:rPr>
                <w:spacing w:val="-2"/>
                <w:sz w:val="18"/>
                <w:szCs w:val="18"/>
              </w:rPr>
              <w:t>7.80</w:t>
            </w:r>
          </w:p>
        </w:tc>
        <w:tc>
          <w:tcPr>
            <w:tcW w:w="708" w:type="dxa"/>
            <w:vAlign w:val="top"/>
          </w:tcPr>
          <w:p w14:paraId="736365CD">
            <w:pPr>
              <w:pStyle w:val="6"/>
              <w:spacing w:before="140" w:line="232" w:lineRule="auto"/>
              <w:ind w:left="144"/>
              <w:rPr>
                <w:sz w:val="18"/>
                <w:szCs w:val="18"/>
              </w:rPr>
            </w:pPr>
            <w:r>
              <w:rPr>
                <w:spacing w:val="-2"/>
                <w:sz w:val="18"/>
                <w:szCs w:val="18"/>
              </w:rPr>
              <w:t>0.041</w:t>
            </w:r>
          </w:p>
        </w:tc>
        <w:tc>
          <w:tcPr>
            <w:tcW w:w="851" w:type="dxa"/>
            <w:vAlign w:val="top"/>
          </w:tcPr>
          <w:p w14:paraId="20D7503E">
            <w:pPr>
              <w:pStyle w:val="6"/>
              <w:spacing w:before="140" w:line="232" w:lineRule="auto"/>
              <w:ind w:left="172"/>
              <w:rPr>
                <w:sz w:val="18"/>
                <w:szCs w:val="18"/>
              </w:rPr>
            </w:pPr>
            <w:r>
              <w:rPr>
                <w:spacing w:val="-2"/>
                <w:sz w:val="18"/>
                <w:szCs w:val="18"/>
              </w:rPr>
              <w:t>0.0047</w:t>
            </w:r>
          </w:p>
        </w:tc>
        <w:tc>
          <w:tcPr>
            <w:tcW w:w="851" w:type="dxa"/>
            <w:vAlign w:val="top"/>
          </w:tcPr>
          <w:p w14:paraId="27B40179">
            <w:pPr>
              <w:pStyle w:val="6"/>
              <w:spacing w:before="140" w:line="232" w:lineRule="auto"/>
              <w:ind w:left="173"/>
              <w:rPr>
                <w:sz w:val="18"/>
                <w:szCs w:val="18"/>
              </w:rPr>
            </w:pPr>
            <w:r>
              <w:rPr>
                <w:spacing w:val="-2"/>
                <w:sz w:val="18"/>
                <w:szCs w:val="18"/>
              </w:rPr>
              <w:t>0.0037</w:t>
            </w:r>
          </w:p>
        </w:tc>
        <w:tc>
          <w:tcPr>
            <w:tcW w:w="708" w:type="dxa"/>
            <w:vAlign w:val="top"/>
          </w:tcPr>
          <w:p w14:paraId="5F957B21">
            <w:pPr>
              <w:pStyle w:val="6"/>
              <w:spacing w:before="140" w:line="232" w:lineRule="auto"/>
              <w:ind w:left="92"/>
              <w:rPr>
                <w:sz w:val="18"/>
                <w:szCs w:val="18"/>
              </w:rPr>
            </w:pPr>
            <w:r>
              <w:rPr>
                <w:spacing w:val="-2"/>
                <w:sz w:val="18"/>
                <w:szCs w:val="18"/>
              </w:rPr>
              <w:t>0.009L</w:t>
            </w:r>
          </w:p>
        </w:tc>
        <w:tc>
          <w:tcPr>
            <w:tcW w:w="707" w:type="dxa"/>
            <w:vAlign w:val="top"/>
          </w:tcPr>
          <w:p w14:paraId="6F20B109">
            <w:pPr>
              <w:pStyle w:val="6"/>
              <w:spacing w:before="140" w:line="232" w:lineRule="auto"/>
              <w:ind w:left="148"/>
              <w:rPr>
                <w:sz w:val="18"/>
                <w:szCs w:val="18"/>
              </w:rPr>
            </w:pPr>
            <w:r>
              <w:rPr>
                <w:spacing w:val="-2"/>
                <w:sz w:val="18"/>
                <w:szCs w:val="18"/>
              </w:rPr>
              <w:t>0.005</w:t>
            </w:r>
          </w:p>
        </w:tc>
        <w:tc>
          <w:tcPr>
            <w:tcW w:w="567" w:type="dxa"/>
            <w:vAlign w:val="top"/>
          </w:tcPr>
          <w:p w14:paraId="3C9FF9D9">
            <w:pPr>
              <w:pStyle w:val="6"/>
              <w:spacing w:before="140" w:line="232" w:lineRule="auto"/>
              <w:ind w:left="170"/>
              <w:rPr>
                <w:sz w:val="18"/>
                <w:szCs w:val="18"/>
              </w:rPr>
            </w:pPr>
            <w:r>
              <w:rPr>
                <w:spacing w:val="-3"/>
                <w:sz w:val="18"/>
                <w:szCs w:val="18"/>
              </w:rPr>
              <w:t>3.1</w:t>
            </w:r>
          </w:p>
        </w:tc>
        <w:tc>
          <w:tcPr>
            <w:tcW w:w="566" w:type="dxa"/>
            <w:vAlign w:val="top"/>
          </w:tcPr>
          <w:p w14:paraId="12475BA9">
            <w:pPr>
              <w:pStyle w:val="6"/>
              <w:spacing w:before="140" w:line="232" w:lineRule="auto"/>
              <w:ind w:left="116"/>
              <w:rPr>
                <w:sz w:val="18"/>
                <w:szCs w:val="18"/>
              </w:rPr>
            </w:pPr>
            <w:r>
              <w:rPr>
                <w:spacing w:val="-3"/>
                <w:sz w:val="18"/>
                <w:szCs w:val="18"/>
              </w:rPr>
              <w:t>5.0L</w:t>
            </w:r>
          </w:p>
        </w:tc>
        <w:tc>
          <w:tcPr>
            <w:tcW w:w="851" w:type="dxa"/>
            <w:vAlign w:val="top"/>
          </w:tcPr>
          <w:p w14:paraId="5A25D1C2">
            <w:pPr>
              <w:pStyle w:val="6"/>
              <w:spacing w:before="140" w:line="232" w:lineRule="auto"/>
              <w:ind w:left="305"/>
              <w:rPr>
                <w:sz w:val="18"/>
                <w:szCs w:val="18"/>
              </w:rPr>
            </w:pPr>
            <w:r>
              <w:rPr>
                <w:spacing w:val="-5"/>
                <w:sz w:val="18"/>
                <w:szCs w:val="18"/>
              </w:rPr>
              <w:t>119</w:t>
            </w:r>
          </w:p>
        </w:tc>
        <w:tc>
          <w:tcPr>
            <w:tcW w:w="567" w:type="dxa"/>
            <w:vAlign w:val="top"/>
          </w:tcPr>
          <w:p w14:paraId="4564B125">
            <w:pPr>
              <w:pStyle w:val="6"/>
              <w:spacing w:before="140" w:line="232" w:lineRule="auto"/>
              <w:ind w:left="195"/>
              <w:rPr>
                <w:sz w:val="18"/>
                <w:szCs w:val="18"/>
              </w:rPr>
            </w:pPr>
            <w:r>
              <w:rPr>
                <w:spacing w:val="-2"/>
                <w:sz w:val="18"/>
                <w:szCs w:val="18"/>
              </w:rPr>
              <w:t>98</w:t>
            </w:r>
          </w:p>
        </w:tc>
        <w:tc>
          <w:tcPr>
            <w:tcW w:w="708" w:type="dxa"/>
            <w:vAlign w:val="top"/>
          </w:tcPr>
          <w:p w14:paraId="0C539040">
            <w:pPr>
              <w:pStyle w:val="6"/>
              <w:spacing w:before="140" w:line="232" w:lineRule="auto"/>
              <w:ind w:left="212"/>
              <w:rPr>
                <w:sz w:val="18"/>
                <w:szCs w:val="18"/>
              </w:rPr>
            </w:pPr>
            <w:r>
              <w:rPr>
                <w:spacing w:val="-6"/>
                <w:sz w:val="18"/>
                <w:szCs w:val="18"/>
              </w:rPr>
              <w:t>1.08</w:t>
            </w:r>
          </w:p>
        </w:tc>
        <w:tc>
          <w:tcPr>
            <w:tcW w:w="851" w:type="dxa"/>
            <w:vAlign w:val="top"/>
          </w:tcPr>
          <w:p w14:paraId="5AFBCB9D">
            <w:pPr>
              <w:pStyle w:val="6"/>
              <w:spacing w:before="140" w:line="232" w:lineRule="auto"/>
              <w:ind w:left="170"/>
              <w:rPr>
                <w:sz w:val="18"/>
                <w:szCs w:val="18"/>
              </w:rPr>
            </w:pPr>
            <w:r>
              <w:rPr>
                <w:spacing w:val="-2"/>
                <w:sz w:val="18"/>
                <w:szCs w:val="18"/>
              </w:rPr>
              <w:t>0.002L</w:t>
            </w:r>
          </w:p>
        </w:tc>
        <w:tc>
          <w:tcPr>
            <w:tcW w:w="990" w:type="dxa"/>
            <w:vAlign w:val="top"/>
          </w:tcPr>
          <w:p w14:paraId="21056586">
            <w:pPr>
              <w:pStyle w:val="6"/>
              <w:spacing w:before="140" w:line="232" w:lineRule="auto"/>
              <w:ind w:left="241"/>
              <w:rPr>
                <w:sz w:val="18"/>
                <w:szCs w:val="18"/>
              </w:rPr>
            </w:pPr>
            <w:r>
              <w:rPr>
                <w:spacing w:val="-2"/>
                <w:sz w:val="18"/>
                <w:szCs w:val="18"/>
              </w:rPr>
              <w:t>0.050L</w:t>
            </w:r>
          </w:p>
        </w:tc>
        <w:tc>
          <w:tcPr>
            <w:tcW w:w="566" w:type="dxa"/>
            <w:vAlign w:val="top"/>
          </w:tcPr>
          <w:p w14:paraId="2366810F">
            <w:pPr>
              <w:pStyle w:val="6"/>
              <w:spacing w:before="140" w:line="232" w:lineRule="auto"/>
              <w:ind w:left="85"/>
              <w:rPr>
                <w:sz w:val="18"/>
                <w:szCs w:val="18"/>
              </w:rPr>
            </w:pPr>
            <w:r>
              <w:rPr>
                <w:spacing w:val="-2"/>
                <w:sz w:val="18"/>
                <w:szCs w:val="18"/>
              </w:rPr>
              <w:t>0.001</w:t>
            </w:r>
          </w:p>
        </w:tc>
        <w:tc>
          <w:tcPr>
            <w:tcW w:w="851" w:type="dxa"/>
            <w:vAlign w:val="top"/>
          </w:tcPr>
          <w:p w14:paraId="6752FE6F">
            <w:pPr>
              <w:pStyle w:val="6"/>
              <w:spacing w:before="140" w:line="232" w:lineRule="auto"/>
              <w:ind w:left="128"/>
              <w:rPr>
                <w:sz w:val="18"/>
                <w:szCs w:val="18"/>
              </w:rPr>
            </w:pPr>
            <w:r>
              <w:rPr>
                <w:spacing w:val="-1"/>
                <w:sz w:val="18"/>
                <w:szCs w:val="18"/>
              </w:rPr>
              <w:t>0.0005L</w:t>
            </w:r>
          </w:p>
        </w:tc>
        <w:tc>
          <w:tcPr>
            <w:tcW w:w="704" w:type="dxa"/>
            <w:vAlign w:val="top"/>
          </w:tcPr>
          <w:p w14:paraId="0B3CB402">
            <w:pPr>
              <w:pStyle w:val="6"/>
              <w:spacing w:before="140" w:line="232" w:lineRule="auto"/>
              <w:ind w:left="100"/>
              <w:rPr>
                <w:sz w:val="18"/>
                <w:szCs w:val="18"/>
              </w:rPr>
            </w:pPr>
            <w:r>
              <w:rPr>
                <w:spacing w:val="-2"/>
                <w:sz w:val="18"/>
                <w:szCs w:val="18"/>
              </w:rPr>
              <w:t>0.004L</w:t>
            </w:r>
          </w:p>
        </w:tc>
        <w:tc>
          <w:tcPr>
            <w:tcW w:w="851" w:type="dxa"/>
            <w:vAlign w:val="top"/>
          </w:tcPr>
          <w:p w14:paraId="1465F390">
            <w:pPr>
              <w:pStyle w:val="6"/>
              <w:spacing w:before="140" w:line="232" w:lineRule="auto"/>
              <w:ind w:left="131"/>
              <w:rPr>
                <w:sz w:val="18"/>
                <w:szCs w:val="18"/>
              </w:rPr>
            </w:pPr>
            <w:r>
              <w:rPr>
                <w:spacing w:val="-1"/>
                <w:sz w:val="18"/>
                <w:szCs w:val="18"/>
              </w:rPr>
              <w:t>0.0025L</w:t>
            </w:r>
          </w:p>
        </w:tc>
        <w:tc>
          <w:tcPr>
            <w:tcW w:w="851" w:type="dxa"/>
            <w:vAlign w:val="top"/>
          </w:tcPr>
          <w:p w14:paraId="79E44439">
            <w:pPr>
              <w:pStyle w:val="6"/>
              <w:spacing w:before="140" w:line="232" w:lineRule="auto"/>
              <w:ind w:left="132"/>
              <w:rPr>
                <w:sz w:val="18"/>
                <w:szCs w:val="18"/>
              </w:rPr>
            </w:pPr>
            <w:r>
              <w:rPr>
                <w:spacing w:val="-1"/>
                <w:sz w:val="18"/>
                <w:szCs w:val="18"/>
              </w:rPr>
              <w:t>0.0001L</w:t>
            </w:r>
          </w:p>
        </w:tc>
        <w:tc>
          <w:tcPr>
            <w:tcW w:w="846" w:type="dxa"/>
            <w:vAlign w:val="top"/>
          </w:tcPr>
          <w:p w14:paraId="7826CC6A">
            <w:pPr>
              <w:pStyle w:val="6"/>
              <w:spacing w:before="140" w:line="232" w:lineRule="auto"/>
              <w:ind w:left="131"/>
              <w:rPr>
                <w:sz w:val="18"/>
                <w:szCs w:val="18"/>
              </w:rPr>
            </w:pPr>
            <w:r>
              <w:rPr>
                <w:spacing w:val="-1"/>
                <w:sz w:val="18"/>
                <w:szCs w:val="18"/>
              </w:rPr>
              <w:t>0.0004L</w:t>
            </w:r>
          </w:p>
        </w:tc>
        <w:tc>
          <w:tcPr>
            <w:tcW w:w="684" w:type="dxa"/>
            <w:vAlign w:val="top"/>
          </w:tcPr>
          <w:p w14:paraId="744CFDDF">
            <w:pPr>
              <w:pStyle w:val="6"/>
              <w:spacing w:before="140" w:line="232" w:lineRule="auto"/>
              <w:ind w:left="96"/>
              <w:rPr>
                <w:sz w:val="18"/>
                <w:szCs w:val="18"/>
              </w:rPr>
            </w:pPr>
            <w:r>
              <w:rPr>
                <w:spacing w:val="-2"/>
                <w:sz w:val="18"/>
                <w:szCs w:val="18"/>
              </w:rPr>
              <w:t>0.002L</w:t>
            </w:r>
          </w:p>
        </w:tc>
        <w:tc>
          <w:tcPr>
            <w:tcW w:w="460" w:type="dxa"/>
            <w:vAlign w:val="top"/>
          </w:tcPr>
          <w:p w14:paraId="02AAA10B">
            <w:pPr>
              <w:pStyle w:val="6"/>
              <w:spacing w:before="140" w:line="232" w:lineRule="auto"/>
              <w:ind w:left="130"/>
              <w:rPr>
                <w:sz w:val="18"/>
                <w:szCs w:val="18"/>
              </w:rPr>
            </w:pPr>
            <w:r>
              <w:rPr>
                <w:spacing w:val="-3"/>
                <w:sz w:val="18"/>
                <w:szCs w:val="18"/>
              </w:rPr>
              <w:t>0.3</w:t>
            </w:r>
          </w:p>
        </w:tc>
        <w:tc>
          <w:tcPr>
            <w:tcW w:w="428" w:type="dxa"/>
            <w:vAlign w:val="top"/>
          </w:tcPr>
          <w:p w14:paraId="0F81C1C2">
            <w:pPr>
              <w:pStyle w:val="6"/>
              <w:spacing w:before="140" w:line="232" w:lineRule="auto"/>
              <w:ind w:left="60"/>
              <w:rPr>
                <w:sz w:val="18"/>
                <w:szCs w:val="18"/>
              </w:rPr>
            </w:pPr>
            <w:r>
              <w:rPr>
                <w:spacing w:val="-2"/>
                <w:sz w:val="18"/>
                <w:szCs w:val="18"/>
              </w:rPr>
              <w:t>0.5L</w:t>
            </w:r>
          </w:p>
        </w:tc>
        <w:tc>
          <w:tcPr>
            <w:tcW w:w="447" w:type="dxa"/>
            <w:vAlign w:val="top"/>
          </w:tcPr>
          <w:p w14:paraId="4FEDBA4B">
            <w:pPr>
              <w:pStyle w:val="6"/>
              <w:spacing w:before="146" w:line="232" w:lineRule="auto"/>
              <w:ind w:left="190"/>
              <w:rPr>
                <w:sz w:val="18"/>
                <w:szCs w:val="18"/>
              </w:rPr>
            </w:pPr>
            <w:r>
              <w:rPr>
                <w:b/>
                <w:bCs/>
                <w:sz w:val="18"/>
                <w:szCs w:val="18"/>
              </w:rPr>
              <w:t>2</w:t>
            </w:r>
          </w:p>
        </w:tc>
        <w:tc>
          <w:tcPr>
            <w:tcW w:w="666" w:type="dxa"/>
            <w:tcBorders>
              <w:right w:val="single" w:color="000000" w:sz="12" w:space="0"/>
            </w:tcBorders>
            <w:vAlign w:val="top"/>
          </w:tcPr>
          <w:p w14:paraId="48C717EA">
            <w:pPr>
              <w:pStyle w:val="6"/>
              <w:spacing w:before="140" w:line="232" w:lineRule="auto"/>
              <w:ind w:left="247"/>
              <w:rPr>
                <w:sz w:val="18"/>
                <w:szCs w:val="18"/>
              </w:rPr>
            </w:pPr>
            <w:r>
              <w:rPr>
                <w:spacing w:val="-2"/>
                <w:sz w:val="18"/>
                <w:szCs w:val="18"/>
              </w:rPr>
              <w:t>70</w:t>
            </w:r>
          </w:p>
        </w:tc>
      </w:tr>
      <w:tr w14:paraId="2E943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bottom w:val="nil"/>
            </w:tcBorders>
            <w:vAlign w:val="top"/>
          </w:tcPr>
          <w:p w14:paraId="22FCF0A5">
            <w:pPr>
              <w:rPr>
                <w:rFonts w:ascii="Arial"/>
                <w:sz w:val="21"/>
              </w:rPr>
            </w:pPr>
          </w:p>
        </w:tc>
        <w:tc>
          <w:tcPr>
            <w:tcW w:w="285" w:type="dxa"/>
            <w:vMerge w:val="continue"/>
            <w:tcBorders>
              <w:top w:val="nil"/>
            </w:tcBorders>
            <w:vAlign w:val="top"/>
          </w:tcPr>
          <w:p w14:paraId="5ECC494D">
            <w:pPr>
              <w:rPr>
                <w:rFonts w:ascii="Arial"/>
                <w:sz w:val="21"/>
              </w:rPr>
            </w:pPr>
          </w:p>
        </w:tc>
        <w:tc>
          <w:tcPr>
            <w:tcW w:w="1131" w:type="dxa"/>
            <w:vAlign w:val="top"/>
          </w:tcPr>
          <w:p w14:paraId="5510717D">
            <w:pPr>
              <w:pStyle w:val="6"/>
              <w:spacing w:before="142" w:line="232" w:lineRule="auto"/>
              <w:ind w:left="230"/>
              <w:rPr>
                <w:sz w:val="18"/>
                <w:szCs w:val="18"/>
              </w:rPr>
            </w:pPr>
            <w:r>
              <w:rPr>
                <w:spacing w:val="-1"/>
                <w:sz w:val="18"/>
                <w:szCs w:val="18"/>
              </w:rPr>
              <w:t>2021/6/5</w:t>
            </w:r>
          </w:p>
        </w:tc>
        <w:tc>
          <w:tcPr>
            <w:tcW w:w="570" w:type="dxa"/>
            <w:vAlign w:val="top"/>
          </w:tcPr>
          <w:p w14:paraId="43E2FEB2">
            <w:pPr>
              <w:pStyle w:val="6"/>
              <w:spacing w:before="147" w:line="183" w:lineRule="auto"/>
              <w:ind w:left="176"/>
              <w:rPr>
                <w:sz w:val="18"/>
                <w:szCs w:val="18"/>
              </w:rPr>
            </w:pPr>
            <w:r>
              <w:rPr>
                <w:spacing w:val="-2"/>
                <w:sz w:val="18"/>
                <w:szCs w:val="18"/>
              </w:rPr>
              <w:t>5L</w:t>
            </w:r>
          </w:p>
        </w:tc>
        <w:tc>
          <w:tcPr>
            <w:tcW w:w="703" w:type="dxa"/>
            <w:vAlign w:val="top"/>
          </w:tcPr>
          <w:p w14:paraId="1AE8FD8E">
            <w:pPr>
              <w:pStyle w:val="6"/>
              <w:spacing w:before="142" w:line="232" w:lineRule="auto"/>
              <w:ind w:left="175"/>
              <w:rPr>
                <w:sz w:val="18"/>
                <w:szCs w:val="18"/>
              </w:rPr>
            </w:pPr>
            <w:r>
              <w:rPr>
                <w:spacing w:val="-2"/>
                <w:sz w:val="18"/>
                <w:szCs w:val="18"/>
              </w:rPr>
              <w:t>0.5L</w:t>
            </w:r>
          </w:p>
        </w:tc>
        <w:tc>
          <w:tcPr>
            <w:tcW w:w="708" w:type="dxa"/>
            <w:vAlign w:val="top"/>
          </w:tcPr>
          <w:p w14:paraId="4F273645">
            <w:pPr>
              <w:pStyle w:val="6"/>
              <w:spacing w:before="142" w:line="232" w:lineRule="auto"/>
              <w:ind w:left="188"/>
              <w:rPr>
                <w:sz w:val="18"/>
                <w:szCs w:val="18"/>
              </w:rPr>
            </w:pPr>
            <w:r>
              <w:rPr>
                <w:spacing w:val="-2"/>
                <w:sz w:val="18"/>
                <w:szCs w:val="18"/>
              </w:rPr>
              <w:t>7.78</w:t>
            </w:r>
          </w:p>
        </w:tc>
        <w:tc>
          <w:tcPr>
            <w:tcW w:w="708" w:type="dxa"/>
            <w:vAlign w:val="top"/>
          </w:tcPr>
          <w:p w14:paraId="1E7F8378">
            <w:pPr>
              <w:pStyle w:val="6"/>
              <w:spacing w:before="142" w:line="232" w:lineRule="auto"/>
              <w:ind w:left="144"/>
              <w:rPr>
                <w:sz w:val="18"/>
                <w:szCs w:val="18"/>
              </w:rPr>
            </w:pPr>
            <w:r>
              <w:rPr>
                <w:spacing w:val="-2"/>
                <w:sz w:val="18"/>
                <w:szCs w:val="18"/>
              </w:rPr>
              <w:t>0.040</w:t>
            </w:r>
          </w:p>
        </w:tc>
        <w:tc>
          <w:tcPr>
            <w:tcW w:w="851" w:type="dxa"/>
            <w:vAlign w:val="top"/>
          </w:tcPr>
          <w:p w14:paraId="5D4457BF">
            <w:pPr>
              <w:pStyle w:val="6"/>
              <w:spacing w:before="142" w:line="232" w:lineRule="auto"/>
              <w:ind w:left="172"/>
              <w:rPr>
                <w:sz w:val="18"/>
                <w:szCs w:val="18"/>
              </w:rPr>
            </w:pPr>
            <w:r>
              <w:rPr>
                <w:spacing w:val="-2"/>
                <w:sz w:val="18"/>
                <w:szCs w:val="18"/>
              </w:rPr>
              <w:t>0.0047</w:t>
            </w:r>
          </w:p>
        </w:tc>
        <w:tc>
          <w:tcPr>
            <w:tcW w:w="851" w:type="dxa"/>
            <w:vAlign w:val="top"/>
          </w:tcPr>
          <w:p w14:paraId="2D08E988">
            <w:pPr>
              <w:pStyle w:val="6"/>
              <w:spacing w:before="142" w:line="232" w:lineRule="auto"/>
              <w:ind w:left="173"/>
              <w:rPr>
                <w:sz w:val="18"/>
                <w:szCs w:val="18"/>
              </w:rPr>
            </w:pPr>
            <w:r>
              <w:rPr>
                <w:spacing w:val="-2"/>
                <w:sz w:val="18"/>
                <w:szCs w:val="18"/>
              </w:rPr>
              <w:t>0.0038</w:t>
            </w:r>
          </w:p>
        </w:tc>
        <w:tc>
          <w:tcPr>
            <w:tcW w:w="708" w:type="dxa"/>
            <w:vAlign w:val="top"/>
          </w:tcPr>
          <w:p w14:paraId="24B149AA">
            <w:pPr>
              <w:pStyle w:val="6"/>
              <w:spacing w:before="142" w:line="232" w:lineRule="auto"/>
              <w:ind w:left="92"/>
              <w:rPr>
                <w:sz w:val="18"/>
                <w:szCs w:val="18"/>
              </w:rPr>
            </w:pPr>
            <w:r>
              <w:rPr>
                <w:spacing w:val="-2"/>
                <w:sz w:val="18"/>
                <w:szCs w:val="18"/>
              </w:rPr>
              <w:t>0.009L</w:t>
            </w:r>
          </w:p>
        </w:tc>
        <w:tc>
          <w:tcPr>
            <w:tcW w:w="707" w:type="dxa"/>
            <w:vAlign w:val="top"/>
          </w:tcPr>
          <w:p w14:paraId="7BFC6965">
            <w:pPr>
              <w:pStyle w:val="6"/>
              <w:spacing w:before="142" w:line="232" w:lineRule="auto"/>
              <w:ind w:left="148"/>
              <w:rPr>
                <w:sz w:val="18"/>
                <w:szCs w:val="18"/>
              </w:rPr>
            </w:pPr>
            <w:r>
              <w:rPr>
                <w:spacing w:val="-2"/>
                <w:sz w:val="18"/>
                <w:szCs w:val="18"/>
              </w:rPr>
              <w:t>0.004</w:t>
            </w:r>
          </w:p>
        </w:tc>
        <w:tc>
          <w:tcPr>
            <w:tcW w:w="567" w:type="dxa"/>
            <w:vAlign w:val="top"/>
          </w:tcPr>
          <w:p w14:paraId="2513C0F4">
            <w:pPr>
              <w:pStyle w:val="6"/>
              <w:spacing w:before="142" w:line="232" w:lineRule="auto"/>
              <w:ind w:left="170"/>
              <w:rPr>
                <w:sz w:val="18"/>
                <w:szCs w:val="18"/>
              </w:rPr>
            </w:pPr>
            <w:r>
              <w:rPr>
                <w:spacing w:val="-3"/>
                <w:sz w:val="18"/>
                <w:szCs w:val="18"/>
              </w:rPr>
              <w:t>3.3</w:t>
            </w:r>
          </w:p>
        </w:tc>
        <w:tc>
          <w:tcPr>
            <w:tcW w:w="566" w:type="dxa"/>
            <w:vAlign w:val="top"/>
          </w:tcPr>
          <w:p w14:paraId="633EFDBD">
            <w:pPr>
              <w:pStyle w:val="6"/>
              <w:spacing w:before="142" w:line="232" w:lineRule="auto"/>
              <w:ind w:left="116"/>
              <w:rPr>
                <w:sz w:val="18"/>
                <w:szCs w:val="18"/>
              </w:rPr>
            </w:pPr>
            <w:r>
              <w:rPr>
                <w:spacing w:val="-3"/>
                <w:sz w:val="18"/>
                <w:szCs w:val="18"/>
              </w:rPr>
              <w:t>5.0L</w:t>
            </w:r>
          </w:p>
        </w:tc>
        <w:tc>
          <w:tcPr>
            <w:tcW w:w="851" w:type="dxa"/>
            <w:vAlign w:val="top"/>
          </w:tcPr>
          <w:p w14:paraId="057318A8">
            <w:pPr>
              <w:pStyle w:val="6"/>
              <w:spacing w:before="142" w:line="232" w:lineRule="auto"/>
              <w:ind w:left="305"/>
              <w:rPr>
                <w:sz w:val="18"/>
                <w:szCs w:val="18"/>
              </w:rPr>
            </w:pPr>
            <w:r>
              <w:rPr>
                <w:spacing w:val="-5"/>
                <w:sz w:val="18"/>
                <w:szCs w:val="18"/>
              </w:rPr>
              <w:t>123</w:t>
            </w:r>
          </w:p>
        </w:tc>
        <w:tc>
          <w:tcPr>
            <w:tcW w:w="567" w:type="dxa"/>
            <w:vAlign w:val="top"/>
          </w:tcPr>
          <w:p w14:paraId="43ABE885">
            <w:pPr>
              <w:pStyle w:val="6"/>
              <w:spacing w:before="142" w:line="232" w:lineRule="auto"/>
              <w:ind w:left="164"/>
              <w:rPr>
                <w:sz w:val="18"/>
                <w:szCs w:val="18"/>
              </w:rPr>
            </w:pPr>
            <w:r>
              <w:rPr>
                <w:spacing w:val="-5"/>
                <w:sz w:val="18"/>
                <w:szCs w:val="18"/>
              </w:rPr>
              <w:t>105</w:t>
            </w:r>
          </w:p>
        </w:tc>
        <w:tc>
          <w:tcPr>
            <w:tcW w:w="708" w:type="dxa"/>
            <w:vAlign w:val="top"/>
          </w:tcPr>
          <w:p w14:paraId="5A12F5DC">
            <w:pPr>
              <w:pStyle w:val="6"/>
              <w:spacing w:before="142" w:line="232" w:lineRule="auto"/>
              <w:ind w:left="212"/>
              <w:rPr>
                <w:sz w:val="18"/>
                <w:szCs w:val="18"/>
              </w:rPr>
            </w:pPr>
            <w:r>
              <w:rPr>
                <w:spacing w:val="-6"/>
                <w:sz w:val="18"/>
                <w:szCs w:val="18"/>
              </w:rPr>
              <w:t>1.14</w:t>
            </w:r>
          </w:p>
        </w:tc>
        <w:tc>
          <w:tcPr>
            <w:tcW w:w="851" w:type="dxa"/>
            <w:vAlign w:val="top"/>
          </w:tcPr>
          <w:p w14:paraId="2929AC0D">
            <w:pPr>
              <w:pStyle w:val="6"/>
              <w:spacing w:before="142" w:line="232" w:lineRule="auto"/>
              <w:ind w:left="170"/>
              <w:rPr>
                <w:sz w:val="18"/>
                <w:szCs w:val="18"/>
              </w:rPr>
            </w:pPr>
            <w:r>
              <w:rPr>
                <w:spacing w:val="-2"/>
                <w:sz w:val="18"/>
                <w:szCs w:val="18"/>
              </w:rPr>
              <w:t>0.002L</w:t>
            </w:r>
          </w:p>
        </w:tc>
        <w:tc>
          <w:tcPr>
            <w:tcW w:w="990" w:type="dxa"/>
            <w:vAlign w:val="top"/>
          </w:tcPr>
          <w:p w14:paraId="42D23644">
            <w:pPr>
              <w:pStyle w:val="6"/>
              <w:spacing w:before="142" w:line="232" w:lineRule="auto"/>
              <w:ind w:left="241"/>
              <w:rPr>
                <w:sz w:val="18"/>
                <w:szCs w:val="18"/>
              </w:rPr>
            </w:pPr>
            <w:r>
              <w:rPr>
                <w:spacing w:val="-1"/>
                <w:sz w:val="18"/>
                <w:szCs w:val="18"/>
              </w:rPr>
              <w:t>0.050L</w:t>
            </w:r>
          </w:p>
        </w:tc>
        <w:tc>
          <w:tcPr>
            <w:tcW w:w="566" w:type="dxa"/>
            <w:vAlign w:val="top"/>
          </w:tcPr>
          <w:p w14:paraId="3DA1C527">
            <w:pPr>
              <w:pStyle w:val="6"/>
              <w:spacing w:before="142" w:line="232" w:lineRule="auto"/>
              <w:ind w:left="85"/>
              <w:rPr>
                <w:sz w:val="18"/>
                <w:szCs w:val="18"/>
              </w:rPr>
            </w:pPr>
            <w:r>
              <w:rPr>
                <w:spacing w:val="-2"/>
                <w:sz w:val="18"/>
                <w:szCs w:val="18"/>
              </w:rPr>
              <w:t>0.001</w:t>
            </w:r>
          </w:p>
        </w:tc>
        <w:tc>
          <w:tcPr>
            <w:tcW w:w="851" w:type="dxa"/>
            <w:vAlign w:val="top"/>
          </w:tcPr>
          <w:p w14:paraId="27E98C8D">
            <w:pPr>
              <w:pStyle w:val="6"/>
              <w:spacing w:before="142" w:line="232" w:lineRule="auto"/>
              <w:ind w:left="128"/>
              <w:rPr>
                <w:sz w:val="18"/>
                <w:szCs w:val="18"/>
              </w:rPr>
            </w:pPr>
            <w:r>
              <w:rPr>
                <w:spacing w:val="-1"/>
                <w:sz w:val="18"/>
                <w:szCs w:val="18"/>
              </w:rPr>
              <w:t>0.0005L</w:t>
            </w:r>
          </w:p>
        </w:tc>
        <w:tc>
          <w:tcPr>
            <w:tcW w:w="704" w:type="dxa"/>
            <w:vAlign w:val="top"/>
          </w:tcPr>
          <w:p w14:paraId="0BA3C840">
            <w:pPr>
              <w:pStyle w:val="6"/>
              <w:spacing w:before="142" w:line="232" w:lineRule="auto"/>
              <w:ind w:left="100"/>
              <w:rPr>
                <w:sz w:val="18"/>
                <w:szCs w:val="18"/>
              </w:rPr>
            </w:pPr>
            <w:r>
              <w:rPr>
                <w:spacing w:val="-2"/>
                <w:sz w:val="18"/>
                <w:szCs w:val="18"/>
              </w:rPr>
              <w:t>0.004L</w:t>
            </w:r>
          </w:p>
        </w:tc>
        <w:tc>
          <w:tcPr>
            <w:tcW w:w="851" w:type="dxa"/>
            <w:vAlign w:val="top"/>
          </w:tcPr>
          <w:p w14:paraId="4FCBD763">
            <w:pPr>
              <w:pStyle w:val="6"/>
              <w:spacing w:before="142" w:line="232" w:lineRule="auto"/>
              <w:ind w:left="131"/>
              <w:rPr>
                <w:sz w:val="18"/>
                <w:szCs w:val="18"/>
              </w:rPr>
            </w:pPr>
            <w:r>
              <w:rPr>
                <w:spacing w:val="-1"/>
                <w:sz w:val="18"/>
                <w:szCs w:val="18"/>
              </w:rPr>
              <w:t>0.0025L</w:t>
            </w:r>
          </w:p>
        </w:tc>
        <w:tc>
          <w:tcPr>
            <w:tcW w:w="851" w:type="dxa"/>
            <w:vAlign w:val="top"/>
          </w:tcPr>
          <w:p w14:paraId="659D8F58">
            <w:pPr>
              <w:pStyle w:val="6"/>
              <w:spacing w:before="142" w:line="232" w:lineRule="auto"/>
              <w:ind w:left="132"/>
              <w:rPr>
                <w:sz w:val="18"/>
                <w:szCs w:val="18"/>
              </w:rPr>
            </w:pPr>
            <w:r>
              <w:rPr>
                <w:spacing w:val="-1"/>
                <w:sz w:val="18"/>
                <w:szCs w:val="18"/>
              </w:rPr>
              <w:t>0.0001L</w:t>
            </w:r>
          </w:p>
        </w:tc>
        <w:tc>
          <w:tcPr>
            <w:tcW w:w="846" w:type="dxa"/>
            <w:vAlign w:val="top"/>
          </w:tcPr>
          <w:p w14:paraId="02B3577C">
            <w:pPr>
              <w:pStyle w:val="6"/>
              <w:spacing w:before="142" w:line="232" w:lineRule="auto"/>
              <w:ind w:left="131"/>
              <w:rPr>
                <w:sz w:val="18"/>
                <w:szCs w:val="18"/>
              </w:rPr>
            </w:pPr>
            <w:r>
              <w:rPr>
                <w:spacing w:val="-1"/>
                <w:sz w:val="18"/>
                <w:szCs w:val="18"/>
              </w:rPr>
              <w:t>0.0004L</w:t>
            </w:r>
          </w:p>
        </w:tc>
        <w:tc>
          <w:tcPr>
            <w:tcW w:w="684" w:type="dxa"/>
            <w:vAlign w:val="top"/>
          </w:tcPr>
          <w:p w14:paraId="6B5ADCBD">
            <w:pPr>
              <w:pStyle w:val="6"/>
              <w:spacing w:before="142" w:line="232" w:lineRule="auto"/>
              <w:ind w:left="96"/>
              <w:rPr>
                <w:sz w:val="18"/>
                <w:szCs w:val="18"/>
              </w:rPr>
            </w:pPr>
            <w:r>
              <w:rPr>
                <w:spacing w:val="-2"/>
                <w:sz w:val="18"/>
                <w:szCs w:val="18"/>
              </w:rPr>
              <w:t>0.002L</w:t>
            </w:r>
          </w:p>
        </w:tc>
        <w:tc>
          <w:tcPr>
            <w:tcW w:w="460" w:type="dxa"/>
            <w:vAlign w:val="top"/>
          </w:tcPr>
          <w:p w14:paraId="2A3C0891">
            <w:pPr>
              <w:pStyle w:val="6"/>
              <w:spacing w:before="142" w:line="232" w:lineRule="auto"/>
              <w:ind w:left="130"/>
              <w:rPr>
                <w:sz w:val="18"/>
                <w:szCs w:val="18"/>
              </w:rPr>
            </w:pPr>
            <w:r>
              <w:rPr>
                <w:spacing w:val="-3"/>
                <w:sz w:val="18"/>
                <w:szCs w:val="18"/>
              </w:rPr>
              <w:t>0.2</w:t>
            </w:r>
          </w:p>
        </w:tc>
        <w:tc>
          <w:tcPr>
            <w:tcW w:w="428" w:type="dxa"/>
            <w:vAlign w:val="top"/>
          </w:tcPr>
          <w:p w14:paraId="3A9380EA">
            <w:pPr>
              <w:pStyle w:val="6"/>
              <w:spacing w:before="142" w:line="232" w:lineRule="auto"/>
              <w:ind w:left="60"/>
              <w:rPr>
                <w:sz w:val="18"/>
                <w:szCs w:val="18"/>
              </w:rPr>
            </w:pPr>
            <w:r>
              <w:rPr>
                <w:spacing w:val="-2"/>
                <w:sz w:val="18"/>
                <w:szCs w:val="18"/>
              </w:rPr>
              <w:t>0.5L</w:t>
            </w:r>
          </w:p>
        </w:tc>
        <w:tc>
          <w:tcPr>
            <w:tcW w:w="447" w:type="dxa"/>
            <w:vAlign w:val="top"/>
          </w:tcPr>
          <w:p w14:paraId="5C51AB4B">
            <w:pPr>
              <w:pStyle w:val="6"/>
              <w:spacing w:before="148" w:line="232" w:lineRule="auto"/>
              <w:ind w:left="190"/>
              <w:rPr>
                <w:sz w:val="18"/>
                <w:szCs w:val="18"/>
              </w:rPr>
            </w:pPr>
            <w:r>
              <w:rPr>
                <w:b/>
                <w:bCs/>
                <w:sz w:val="18"/>
                <w:szCs w:val="18"/>
              </w:rPr>
              <w:t>2</w:t>
            </w:r>
          </w:p>
        </w:tc>
        <w:tc>
          <w:tcPr>
            <w:tcW w:w="666" w:type="dxa"/>
            <w:tcBorders>
              <w:right w:val="single" w:color="000000" w:sz="12" w:space="0"/>
            </w:tcBorders>
            <w:vAlign w:val="top"/>
          </w:tcPr>
          <w:p w14:paraId="28E95A95">
            <w:pPr>
              <w:pStyle w:val="6"/>
              <w:spacing w:before="142" w:line="232" w:lineRule="auto"/>
              <w:ind w:left="251"/>
              <w:rPr>
                <w:sz w:val="18"/>
                <w:szCs w:val="18"/>
              </w:rPr>
            </w:pPr>
            <w:r>
              <w:rPr>
                <w:spacing w:val="-3"/>
                <w:sz w:val="18"/>
                <w:szCs w:val="18"/>
              </w:rPr>
              <w:t>80</w:t>
            </w:r>
          </w:p>
        </w:tc>
      </w:tr>
      <w:tr w14:paraId="7EA6F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7" w:type="dxa"/>
            <w:vMerge w:val="continue"/>
            <w:tcBorders>
              <w:top w:val="nil"/>
              <w:left w:val="single" w:color="000000" w:sz="12" w:space="0"/>
              <w:bottom w:val="nil"/>
            </w:tcBorders>
            <w:vAlign w:val="top"/>
          </w:tcPr>
          <w:p w14:paraId="47455879">
            <w:pPr>
              <w:rPr>
                <w:rFonts w:ascii="Arial"/>
                <w:sz w:val="21"/>
              </w:rPr>
            </w:pPr>
          </w:p>
        </w:tc>
        <w:tc>
          <w:tcPr>
            <w:tcW w:w="285" w:type="dxa"/>
            <w:vMerge w:val="restart"/>
            <w:tcBorders>
              <w:bottom w:val="nil"/>
            </w:tcBorders>
            <w:vAlign w:val="top"/>
          </w:tcPr>
          <w:p w14:paraId="48A6BA40">
            <w:pPr>
              <w:pStyle w:val="6"/>
              <w:spacing w:before="235" w:line="234" w:lineRule="auto"/>
              <w:ind w:left="38" w:right="63" w:firstLine="46"/>
              <w:jc w:val="both"/>
              <w:rPr>
                <w:rFonts w:ascii="等线" w:hAnsi="等线" w:eastAsia="等线" w:cs="等线"/>
                <w:sz w:val="18"/>
                <w:szCs w:val="18"/>
              </w:rPr>
            </w:pPr>
            <w:r>
              <w:rPr>
                <w:spacing w:val="-8"/>
                <w:sz w:val="18"/>
                <w:szCs w:val="18"/>
              </w:rPr>
              <w:t>3</w:t>
            </w:r>
            <w:r>
              <w:rPr>
                <w:rFonts w:ascii="等线" w:hAnsi="等线" w:eastAsia="等线" w:cs="等线"/>
                <w:spacing w:val="-7"/>
                <w:sz w:val="18"/>
                <w:szCs w:val="18"/>
              </w:rPr>
              <w:t>季度</w:t>
            </w:r>
          </w:p>
        </w:tc>
        <w:tc>
          <w:tcPr>
            <w:tcW w:w="1131" w:type="dxa"/>
            <w:vAlign w:val="top"/>
          </w:tcPr>
          <w:p w14:paraId="4A99D335">
            <w:pPr>
              <w:pStyle w:val="6"/>
              <w:spacing w:before="144" w:line="232" w:lineRule="auto"/>
              <w:ind w:left="185"/>
              <w:rPr>
                <w:sz w:val="18"/>
                <w:szCs w:val="18"/>
              </w:rPr>
            </w:pPr>
            <w:r>
              <w:rPr>
                <w:spacing w:val="-1"/>
                <w:sz w:val="18"/>
                <w:szCs w:val="18"/>
              </w:rPr>
              <w:t>2021/7/19</w:t>
            </w:r>
          </w:p>
        </w:tc>
        <w:tc>
          <w:tcPr>
            <w:tcW w:w="570" w:type="dxa"/>
            <w:vAlign w:val="top"/>
          </w:tcPr>
          <w:p w14:paraId="58993D75">
            <w:pPr>
              <w:pStyle w:val="6"/>
              <w:spacing w:before="150" w:line="183" w:lineRule="auto"/>
              <w:ind w:left="176"/>
              <w:rPr>
                <w:sz w:val="18"/>
                <w:szCs w:val="18"/>
              </w:rPr>
            </w:pPr>
            <w:r>
              <w:rPr>
                <w:spacing w:val="-2"/>
                <w:sz w:val="18"/>
                <w:szCs w:val="18"/>
              </w:rPr>
              <w:t>5L</w:t>
            </w:r>
          </w:p>
        </w:tc>
        <w:tc>
          <w:tcPr>
            <w:tcW w:w="703" w:type="dxa"/>
            <w:vAlign w:val="top"/>
          </w:tcPr>
          <w:p w14:paraId="58A6FDD5">
            <w:pPr>
              <w:pStyle w:val="6"/>
              <w:spacing w:before="144" w:line="232" w:lineRule="auto"/>
              <w:ind w:left="175"/>
              <w:rPr>
                <w:sz w:val="18"/>
                <w:szCs w:val="18"/>
              </w:rPr>
            </w:pPr>
            <w:r>
              <w:rPr>
                <w:spacing w:val="-2"/>
                <w:sz w:val="18"/>
                <w:szCs w:val="18"/>
              </w:rPr>
              <w:t>0.5L</w:t>
            </w:r>
          </w:p>
        </w:tc>
        <w:tc>
          <w:tcPr>
            <w:tcW w:w="708" w:type="dxa"/>
            <w:vAlign w:val="top"/>
          </w:tcPr>
          <w:p w14:paraId="795AC2E8">
            <w:pPr>
              <w:pStyle w:val="6"/>
              <w:spacing w:before="144" w:line="232" w:lineRule="auto"/>
              <w:ind w:left="233"/>
              <w:rPr>
                <w:sz w:val="18"/>
                <w:szCs w:val="18"/>
              </w:rPr>
            </w:pPr>
            <w:r>
              <w:rPr>
                <w:spacing w:val="-3"/>
                <w:sz w:val="18"/>
                <w:szCs w:val="18"/>
              </w:rPr>
              <w:t>7.7</w:t>
            </w:r>
          </w:p>
        </w:tc>
        <w:tc>
          <w:tcPr>
            <w:tcW w:w="708" w:type="dxa"/>
            <w:vAlign w:val="top"/>
          </w:tcPr>
          <w:p w14:paraId="1D92B927">
            <w:pPr>
              <w:pStyle w:val="6"/>
              <w:spacing w:before="144" w:line="232" w:lineRule="auto"/>
              <w:ind w:left="144"/>
              <w:rPr>
                <w:sz w:val="18"/>
                <w:szCs w:val="18"/>
              </w:rPr>
            </w:pPr>
            <w:r>
              <w:rPr>
                <w:spacing w:val="-2"/>
                <w:sz w:val="18"/>
                <w:szCs w:val="18"/>
              </w:rPr>
              <w:t>0.172</w:t>
            </w:r>
          </w:p>
        </w:tc>
        <w:tc>
          <w:tcPr>
            <w:tcW w:w="851" w:type="dxa"/>
            <w:vAlign w:val="top"/>
          </w:tcPr>
          <w:p w14:paraId="35D28329">
            <w:pPr>
              <w:pStyle w:val="6"/>
              <w:spacing w:before="144" w:line="232" w:lineRule="auto"/>
              <w:ind w:left="117"/>
              <w:rPr>
                <w:sz w:val="18"/>
                <w:szCs w:val="18"/>
              </w:rPr>
            </w:pPr>
            <w:r>
              <w:rPr>
                <w:spacing w:val="-1"/>
                <w:sz w:val="18"/>
                <w:szCs w:val="18"/>
              </w:rPr>
              <w:t>0.0045L</w:t>
            </w:r>
          </w:p>
        </w:tc>
        <w:tc>
          <w:tcPr>
            <w:tcW w:w="851" w:type="dxa"/>
            <w:vAlign w:val="top"/>
          </w:tcPr>
          <w:p w14:paraId="622AFFE8">
            <w:pPr>
              <w:pStyle w:val="6"/>
              <w:spacing w:before="144" w:line="232" w:lineRule="auto"/>
              <w:ind w:left="173"/>
              <w:rPr>
                <w:sz w:val="18"/>
                <w:szCs w:val="18"/>
              </w:rPr>
            </w:pPr>
            <w:r>
              <w:rPr>
                <w:spacing w:val="-2"/>
                <w:sz w:val="18"/>
                <w:szCs w:val="18"/>
              </w:rPr>
              <w:t>0.0012</w:t>
            </w:r>
          </w:p>
        </w:tc>
        <w:tc>
          <w:tcPr>
            <w:tcW w:w="708" w:type="dxa"/>
            <w:vAlign w:val="top"/>
          </w:tcPr>
          <w:p w14:paraId="323CA396">
            <w:pPr>
              <w:pStyle w:val="6"/>
              <w:spacing w:before="144" w:line="232" w:lineRule="auto"/>
              <w:ind w:left="92"/>
              <w:rPr>
                <w:sz w:val="18"/>
                <w:szCs w:val="18"/>
              </w:rPr>
            </w:pPr>
            <w:r>
              <w:rPr>
                <w:spacing w:val="-2"/>
                <w:sz w:val="18"/>
                <w:szCs w:val="18"/>
              </w:rPr>
              <w:t>0.009L</w:t>
            </w:r>
          </w:p>
        </w:tc>
        <w:tc>
          <w:tcPr>
            <w:tcW w:w="707" w:type="dxa"/>
            <w:vAlign w:val="top"/>
          </w:tcPr>
          <w:p w14:paraId="615DD79A">
            <w:pPr>
              <w:pStyle w:val="6"/>
              <w:spacing w:before="144" w:line="232" w:lineRule="auto"/>
              <w:ind w:left="93"/>
              <w:rPr>
                <w:sz w:val="18"/>
                <w:szCs w:val="18"/>
              </w:rPr>
            </w:pPr>
            <w:r>
              <w:rPr>
                <w:spacing w:val="-2"/>
                <w:sz w:val="18"/>
                <w:szCs w:val="18"/>
              </w:rPr>
              <w:t>0.001L</w:t>
            </w:r>
          </w:p>
        </w:tc>
        <w:tc>
          <w:tcPr>
            <w:tcW w:w="567" w:type="dxa"/>
            <w:vAlign w:val="top"/>
          </w:tcPr>
          <w:p w14:paraId="2EE9AF6D">
            <w:pPr>
              <w:pStyle w:val="6"/>
              <w:spacing w:before="144" w:line="232" w:lineRule="auto"/>
              <w:ind w:left="166"/>
              <w:rPr>
                <w:sz w:val="18"/>
                <w:szCs w:val="18"/>
              </w:rPr>
            </w:pPr>
            <w:r>
              <w:rPr>
                <w:spacing w:val="-1"/>
                <w:sz w:val="18"/>
                <w:szCs w:val="18"/>
              </w:rPr>
              <w:t>4.5</w:t>
            </w:r>
          </w:p>
        </w:tc>
        <w:tc>
          <w:tcPr>
            <w:tcW w:w="566" w:type="dxa"/>
            <w:vAlign w:val="top"/>
          </w:tcPr>
          <w:p w14:paraId="0AE16A92">
            <w:pPr>
              <w:pStyle w:val="6"/>
              <w:spacing w:before="144" w:line="232" w:lineRule="auto"/>
              <w:ind w:left="116"/>
              <w:rPr>
                <w:sz w:val="18"/>
                <w:szCs w:val="18"/>
              </w:rPr>
            </w:pPr>
            <w:r>
              <w:rPr>
                <w:spacing w:val="-3"/>
                <w:sz w:val="18"/>
                <w:szCs w:val="18"/>
              </w:rPr>
              <w:t>5.0L</w:t>
            </w:r>
          </w:p>
        </w:tc>
        <w:tc>
          <w:tcPr>
            <w:tcW w:w="851" w:type="dxa"/>
            <w:vAlign w:val="top"/>
          </w:tcPr>
          <w:p w14:paraId="56704042">
            <w:pPr>
              <w:pStyle w:val="6"/>
              <w:spacing w:before="144" w:line="232" w:lineRule="auto"/>
              <w:ind w:left="305"/>
              <w:rPr>
                <w:sz w:val="18"/>
                <w:szCs w:val="18"/>
              </w:rPr>
            </w:pPr>
            <w:r>
              <w:rPr>
                <w:spacing w:val="-5"/>
                <w:sz w:val="18"/>
                <w:szCs w:val="18"/>
              </w:rPr>
              <w:t>101</w:t>
            </w:r>
          </w:p>
        </w:tc>
        <w:tc>
          <w:tcPr>
            <w:tcW w:w="567" w:type="dxa"/>
            <w:vAlign w:val="top"/>
          </w:tcPr>
          <w:p w14:paraId="446EF538">
            <w:pPr>
              <w:pStyle w:val="6"/>
              <w:spacing w:before="144" w:line="232" w:lineRule="auto"/>
              <w:ind w:left="196"/>
              <w:rPr>
                <w:sz w:val="18"/>
                <w:szCs w:val="18"/>
              </w:rPr>
            </w:pPr>
            <w:r>
              <w:rPr>
                <w:spacing w:val="-2"/>
                <w:sz w:val="18"/>
                <w:szCs w:val="18"/>
              </w:rPr>
              <w:t>62</w:t>
            </w:r>
          </w:p>
        </w:tc>
        <w:tc>
          <w:tcPr>
            <w:tcW w:w="708" w:type="dxa"/>
            <w:vAlign w:val="top"/>
          </w:tcPr>
          <w:p w14:paraId="4D0F4023">
            <w:pPr>
              <w:pStyle w:val="6"/>
              <w:spacing w:before="144" w:line="232" w:lineRule="auto"/>
              <w:ind w:left="212"/>
              <w:rPr>
                <w:sz w:val="18"/>
                <w:szCs w:val="18"/>
              </w:rPr>
            </w:pPr>
            <w:r>
              <w:rPr>
                <w:spacing w:val="-6"/>
                <w:sz w:val="18"/>
                <w:szCs w:val="18"/>
              </w:rPr>
              <w:t>1.92</w:t>
            </w:r>
          </w:p>
        </w:tc>
        <w:tc>
          <w:tcPr>
            <w:tcW w:w="851" w:type="dxa"/>
            <w:vAlign w:val="top"/>
          </w:tcPr>
          <w:p w14:paraId="17B60EF4">
            <w:pPr>
              <w:pStyle w:val="6"/>
              <w:spacing w:before="144" w:line="232" w:lineRule="auto"/>
              <w:ind w:left="170"/>
              <w:rPr>
                <w:sz w:val="18"/>
                <w:szCs w:val="18"/>
              </w:rPr>
            </w:pPr>
            <w:r>
              <w:rPr>
                <w:spacing w:val="-2"/>
                <w:sz w:val="18"/>
                <w:szCs w:val="18"/>
              </w:rPr>
              <w:t>0.002L</w:t>
            </w:r>
          </w:p>
        </w:tc>
        <w:tc>
          <w:tcPr>
            <w:tcW w:w="990" w:type="dxa"/>
            <w:vAlign w:val="top"/>
          </w:tcPr>
          <w:p w14:paraId="3173E1F9">
            <w:pPr>
              <w:pStyle w:val="6"/>
              <w:spacing w:before="144" w:line="232" w:lineRule="auto"/>
              <w:ind w:left="241"/>
              <w:rPr>
                <w:sz w:val="18"/>
                <w:szCs w:val="18"/>
              </w:rPr>
            </w:pPr>
            <w:r>
              <w:rPr>
                <w:spacing w:val="-2"/>
                <w:sz w:val="18"/>
                <w:szCs w:val="18"/>
              </w:rPr>
              <w:t>0.050L</w:t>
            </w:r>
          </w:p>
        </w:tc>
        <w:tc>
          <w:tcPr>
            <w:tcW w:w="566" w:type="dxa"/>
            <w:vAlign w:val="top"/>
          </w:tcPr>
          <w:p w14:paraId="37EAF25F">
            <w:pPr>
              <w:pStyle w:val="6"/>
              <w:spacing w:before="144" w:line="232" w:lineRule="auto"/>
              <w:ind w:left="85"/>
              <w:rPr>
                <w:sz w:val="18"/>
                <w:szCs w:val="18"/>
              </w:rPr>
            </w:pPr>
            <w:r>
              <w:rPr>
                <w:spacing w:val="-2"/>
                <w:sz w:val="18"/>
                <w:szCs w:val="18"/>
              </w:rPr>
              <w:t>0.001</w:t>
            </w:r>
          </w:p>
        </w:tc>
        <w:tc>
          <w:tcPr>
            <w:tcW w:w="851" w:type="dxa"/>
            <w:vAlign w:val="top"/>
          </w:tcPr>
          <w:p w14:paraId="1822E26B">
            <w:pPr>
              <w:pStyle w:val="6"/>
              <w:spacing w:before="144" w:line="232" w:lineRule="auto"/>
              <w:ind w:left="128"/>
              <w:rPr>
                <w:sz w:val="18"/>
                <w:szCs w:val="18"/>
              </w:rPr>
            </w:pPr>
            <w:r>
              <w:rPr>
                <w:spacing w:val="-1"/>
                <w:sz w:val="18"/>
                <w:szCs w:val="18"/>
              </w:rPr>
              <w:t>0.0005L</w:t>
            </w:r>
          </w:p>
        </w:tc>
        <w:tc>
          <w:tcPr>
            <w:tcW w:w="704" w:type="dxa"/>
            <w:vAlign w:val="top"/>
          </w:tcPr>
          <w:p w14:paraId="125CB8B6">
            <w:pPr>
              <w:pStyle w:val="6"/>
              <w:spacing w:before="144" w:line="232" w:lineRule="auto"/>
              <w:ind w:left="100"/>
              <w:rPr>
                <w:sz w:val="18"/>
                <w:szCs w:val="18"/>
              </w:rPr>
            </w:pPr>
            <w:r>
              <w:rPr>
                <w:spacing w:val="-2"/>
                <w:sz w:val="18"/>
                <w:szCs w:val="18"/>
              </w:rPr>
              <w:t>0.004L</w:t>
            </w:r>
          </w:p>
        </w:tc>
        <w:tc>
          <w:tcPr>
            <w:tcW w:w="851" w:type="dxa"/>
            <w:vAlign w:val="top"/>
          </w:tcPr>
          <w:p w14:paraId="40BE0596">
            <w:pPr>
              <w:pStyle w:val="6"/>
              <w:spacing w:before="144" w:line="232" w:lineRule="auto"/>
              <w:ind w:left="131"/>
              <w:rPr>
                <w:sz w:val="18"/>
                <w:szCs w:val="18"/>
              </w:rPr>
            </w:pPr>
            <w:r>
              <w:rPr>
                <w:spacing w:val="-1"/>
                <w:sz w:val="18"/>
                <w:szCs w:val="18"/>
              </w:rPr>
              <w:t>0.0025L</w:t>
            </w:r>
          </w:p>
        </w:tc>
        <w:tc>
          <w:tcPr>
            <w:tcW w:w="851" w:type="dxa"/>
            <w:vAlign w:val="top"/>
          </w:tcPr>
          <w:p w14:paraId="27542A04">
            <w:pPr>
              <w:pStyle w:val="6"/>
              <w:spacing w:before="144" w:line="232" w:lineRule="auto"/>
              <w:ind w:left="132"/>
              <w:rPr>
                <w:sz w:val="18"/>
                <w:szCs w:val="18"/>
              </w:rPr>
            </w:pPr>
            <w:r>
              <w:rPr>
                <w:spacing w:val="-1"/>
                <w:sz w:val="18"/>
                <w:szCs w:val="18"/>
              </w:rPr>
              <w:t>0.0001L</w:t>
            </w:r>
          </w:p>
        </w:tc>
        <w:tc>
          <w:tcPr>
            <w:tcW w:w="846" w:type="dxa"/>
            <w:vAlign w:val="top"/>
          </w:tcPr>
          <w:p w14:paraId="64E4E3AA">
            <w:pPr>
              <w:pStyle w:val="6"/>
              <w:spacing w:before="144" w:line="232" w:lineRule="auto"/>
              <w:ind w:left="131"/>
              <w:rPr>
                <w:sz w:val="18"/>
                <w:szCs w:val="18"/>
              </w:rPr>
            </w:pPr>
            <w:r>
              <w:rPr>
                <w:spacing w:val="-1"/>
                <w:sz w:val="18"/>
                <w:szCs w:val="18"/>
              </w:rPr>
              <w:t>0.0004L</w:t>
            </w:r>
          </w:p>
        </w:tc>
        <w:tc>
          <w:tcPr>
            <w:tcW w:w="684" w:type="dxa"/>
            <w:vAlign w:val="top"/>
          </w:tcPr>
          <w:p w14:paraId="1C9A991F">
            <w:pPr>
              <w:pStyle w:val="6"/>
              <w:spacing w:before="144" w:line="232" w:lineRule="auto"/>
              <w:ind w:left="96"/>
              <w:rPr>
                <w:sz w:val="18"/>
                <w:szCs w:val="18"/>
              </w:rPr>
            </w:pPr>
            <w:r>
              <w:rPr>
                <w:spacing w:val="-2"/>
                <w:sz w:val="18"/>
                <w:szCs w:val="18"/>
              </w:rPr>
              <w:t>0.002L</w:t>
            </w:r>
          </w:p>
        </w:tc>
        <w:tc>
          <w:tcPr>
            <w:tcW w:w="460" w:type="dxa"/>
            <w:vAlign w:val="top"/>
          </w:tcPr>
          <w:p w14:paraId="42513483">
            <w:pPr>
              <w:pStyle w:val="6"/>
              <w:spacing w:before="144" w:line="232" w:lineRule="auto"/>
              <w:ind w:left="130"/>
              <w:rPr>
                <w:sz w:val="18"/>
                <w:szCs w:val="18"/>
              </w:rPr>
            </w:pPr>
            <w:r>
              <w:rPr>
                <w:spacing w:val="-3"/>
                <w:sz w:val="18"/>
                <w:szCs w:val="18"/>
              </w:rPr>
              <w:t>0.2</w:t>
            </w:r>
          </w:p>
        </w:tc>
        <w:tc>
          <w:tcPr>
            <w:tcW w:w="428" w:type="dxa"/>
            <w:vAlign w:val="top"/>
          </w:tcPr>
          <w:p w14:paraId="2A58C417">
            <w:pPr>
              <w:pStyle w:val="6"/>
              <w:spacing w:before="144" w:line="232" w:lineRule="auto"/>
              <w:ind w:left="60"/>
              <w:rPr>
                <w:sz w:val="18"/>
                <w:szCs w:val="18"/>
              </w:rPr>
            </w:pPr>
            <w:r>
              <w:rPr>
                <w:spacing w:val="-2"/>
                <w:sz w:val="18"/>
                <w:szCs w:val="18"/>
              </w:rPr>
              <w:t>0.5L</w:t>
            </w:r>
          </w:p>
        </w:tc>
        <w:tc>
          <w:tcPr>
            <w:tcW w:w="447" w:type="dxa"/>
            <w:vAlign w:val="top"/>
          </w:tcPr>
          <w:p w14:paraId="7019C6E9">
            <w:pPr>
              <w:pStyle w:val="6"/>
              <w:spacing w:before="144" w:line="232" w:lineRule="auto"/>
              <w:ind w:left="205"/>
              <w:rPr>
                <w:sz w:val="18"/>
                <w:szCs w:val="18"/>
              </w:rPr>
            </w:pPr>
            <w:r>
              <w:rPr>
                <w:sz w:val="18"/>
                <w:szCs w:val="18"/>
              </w:rPr>
              <w:t>/</w:t>
            </w:r>
          </w:p>
        </w:tc>
        <w:tc>
          <w:tcPr>
            <w:tcW w:w="666" w:type="dxa"/>
            <w:tcBorders>
              <w:right w:val="single" w:color="000000" w:sz="12" w:space="0"/>
            </w:tcBorders>
            <w:vAlign w:val="top"/>
          </w:tcPr>
          <w:p w14:paraId="689B8E86">
            <w:pPr>
              <w:pStyle w:val="6"/>
              <w:spacing w:before="144" w:line="232" w:lineRule="auto"/>
              <w:ind w:left="249"/>
              <w:rPr>
                <w:sz w:val="18"/>
                <w:szCs w:val="18"/>
              </w:rPr>
            </w:pPr>
            <w:r>
              <w:rPr>
                <w:spacing w:val="-3"/>
                <w:sz w:val="18"/>
                <w:szCs w:val="18"/>
              </w:rPr>
              <w:t>50</w:t>
            </w:r>
          </w:p>
        </w:tc>
      </w:tr>
      <w:tr w14:paraId="3E257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69B3B6F3">
            <w:pPr>
              <w:rPr>
                <w:rFonts w:ascii="Arial"/>
                <w:sz w:val="21"/>
              </w:rPr>
            </w:pPr>
          </w:p>
        </w:tc>
        <w:tc>
          <w:tcPr>
            <w:tcW w:w="285" w:type="dxa"/>
            <w:vMerge w:val="continue"/>
            <w:tcBorders>
              <w:top w:val="nil"/>
              <w:bottom w:val="nil"/>
            </w:tcBorders>
            <w:vAlign w:val="top"/>
          </w:tcPr>
          <w:p w14:paraId="057672B8">
            <w:pPr>
              <w:rPr>
                <w:rFonts w:ascii="Arial"/>
                <w:sz w:val="21"/>
              </w:rPr>
            </w:pPr>
          </w:p>
        </w:tc>
        <w:tc>
          <w:tcPr>
            <w:tcW w:w="1131" w:type="dxa"/>
            <w:vAlign w:val="top"/>
          </w:tcPr>
          <w:p w14:paraId="302D09B4">
            <w:pPr>
              <w:pStyle w:val="6"/>
              <w:spacing w:before="88" w:line="197" w:lineRule="auto"/>
              <w:ind w:left="185"/>
              <w:rPr>
                <w:sz w:val="18"/>
                <w:szCs w:val="18"/>
              </w:rPr>
            </w:pPr>
            <w:r>
              <w:rPr>
                <w:spacing w:val="-1"/>
                <w:sz w:val="18"/>
                <w:szCs w:val="18"/>
              </w:rPr>
              <w:t>2021/7/20</w:t>
            </w:r>
          </w:p>
        </w:tc>
        <w:tc>
          <w:tcPr>
            <w:tcW w:w="570" w:type="dxa"/>
            <w:vAlign w:val="top"/>
          </w:tcPr>
          <w:p w14:paraId="0E7BF2A1">
            <w:pPr>
              <w:pStyle w:val="6"/>
              <w:spacing w:before="93" w:line="183" w:lineRule="auto"/>
              <w:ind w:left="176"/>
              <w:rPr>
                <w:sz w:val="18"/>
                <w:szCs w:val="18"/>
              </w:rPr>
            </w:pPr>
            <w:r>
              <w:rPr>
                <w:spacing w:val="-2"/>
                <w:sz w:val="18"/>
                <w:szCs w:val="18"/>
              </w:rPr>
              <w:t>5L</w:t>
            </w:r>
          </w:p>
        </w:tc>
        <w:tc>
          <w:tcPr>
            <w:tcW w:w="703" w:type="dxa"/>
            <w:vAlign w:val="top"/>
          </w:tcPr>
          <w:p w14:paraId="11358582">
            <w:pPr>
              <w:pStyle w:val="6"/>
              <w:spacing w:before="88" w:line="197" w:lineRule="auto"/>
              <w:ind w:left="175"/>
              <w:rPr>
                <w:sz w:val="18"/>
                <w:szCs w:val="18"/>
              </w:rPr>
            </w:pPr>
            <w:r>
              <w:rPr>
                <w:spacing w:val="-2"/>
                <w:sz w:val="18"/>
                <w:szCs w:val="18"/>
              </w:rPr>
              <w:t>0.5L</w:t>
            </w:r>
          </w:p>
        </w:tc>
        <w:tc>
          <w:tcPr>
            <w:tcW w:w="708" w:type="dxa"/>
            <w:vAlign w:val="top"/>
          </w:tcPr>
          <w:p w14:paraId="205084DA">
            <w:pPr>
              <w:pStyle w:val="6"/>
              <w:spacing w:before="88" w:line="197" w:lineRule="auto"/>
              <w:ind w:left="233"/>
              <w:rPr>
                <w:sz w:val="18"/>
                <w:szCs w:val="18"/>
              </w:rPr>
            </w:pPr>
            <w:r>
              <w:rPr>
                <w:spacing w:val="-3"/>
                <w:sz w:val="18"/>
                <w:szCs w:val="18"/>
              </w:rPr>
              <w:t>7.8</w:t>
            </w:r>
          </w:p>
        </w:tc>
        <w:tc>
          <w:tcPr>
            <w:tcW w:w="708" w:type="dxa"/>
            <w:vAlign w:val="top"/>
          </w:tcPr>
          <w:p w14:paraId="0D69B778">
            <w:pPr>
              <w:pStyle w:val="6"/>
              <w:spacing w:before="88" w:line="197" w:lineRule="auto"/>
              <w:ind w:left="144"/>
              <w:rPr>
                <w:sz w:val="18"/>
                <w:szCs w:val="18"/>
              </w:rPr>
            </w:pPr>
            <w:r>
              <w:rPr>
                <w:spacing w:val="-2"/>
                <w:sz w:val="18"/>
                <w:szCs w:val="18"/>
              </w:rPr>
              <w:t>0.172</w:t>
            </w:r>
          </w:p>
        </w:tc>
        <w:tc>
          <w:tcPr>
            <w:tcW w:w="851" w:type="dxa"/>
            <w:vAlign w:val="top"/>
          </w:tcPr>
          <w:p w14:paraId="11F8C362">
            <w:pPr>
              <w:pStyle w:val="6"/>
              <w:spacing w:before="88" w:line="197" w:lineRule="auto"/>
              <w:ind w:left="117"/>
              <w:rPr>
                <w:sz w:val="18"/>
                <w:szCs w:val="18"/>
              </w:rPr>
            </w:pPr>
            <w:r>
              <w:rPr>
                <w:spacing w:val="-1"/>
                <w:sz w:val="18"/>
                <w:szCs w:val="18"/>
              </w:rPr>
              <w:t>0.0045L</w:t>
            </w:r>
          </w:p>
        </w:tc>
        <w:tc>
          <w:tcPr>
            <w:tcW w:w="851" w:type="dxa"/>
            <w:vAlign w:val="top"/>
          </w:tcPr>
          <w:p w14:paraId="2E9593D6">
            <w:pPr>
              <w:pStyle w:val="6"/>
              <w:spacing w:before="88" w:line="197" w:lineRule="auto"/>
              <w:ind w:left="173"/>
              <w:rPr>
                <w:sz w:val="18"/>
                <w:szCs w:val="18"/>
              </w:rPr>
            </w:pPr>
            <w:r>
              <w:rPr>
                <w:spacing w:val="-2"/>
                <w:sz w:val="18"/>
                <w:szCs w:val="18"/>
              </w:rPr>
              <w:t>0.0011</w:t>
            </w:r>
          </w:p>
        </w:tc>
        <w:tc>
          <w:tcPr>
            <w:tcW w:w="708" w:type="dxa"/>
            <w:vAlign w:val="top"/>
          </w:tcPr>
          <w:p w14:paraId="36BA7CED">
            <w:pPr>
              <w:pStyle w:val="6"/>
              <w:spacing w:before="88" w:line="197" w:lineRule="auto"/>
              <w:ind w:left="92"/>
              <w:rPr>
                <w:sz w:val="18"/>
                <w:szCs w:val="18"/>
              </w:rPr>
            </w:pPr>
            <w:r>
              <w:rPr>
                <w:spacing w:val="-2"/>
                <w:sz w:val="18"/>
                <w:szCs w:val="18"/>
              </w:rPr>
              <w:t>0.009L</w:t>
            </w:r>
          </w:p>
        </w:tc>
        <w:tc>
          <w:tcPr>
            <w:tcW w:w="707" w:type="dxa"/>
            <w:vAlign w:val="top"/>
          </w:tcPr>
          <w:p w14:paraId="028FBB3E">
            <w:pPr>
              <w:pStyle w:val="6"/>
              <w:spacing w:before="88" w:line="197" w:lineRule="auto"/>
              <w:ind w:left="93"/>
              <w:rPr>
                <w:sz w:val="18"/>
                <w:szCs w:val="18"/>
              </w:rPr>
            </w:pPr>
            <w:r>
              <w:rPr>
                <w:spacing w:val="-2"/>
                <w:sz w:val="18"/>
                <w:szCs w:val="18"/>
              </w:rPr>
              <w:t>0.001L</w:t>
            </w:r>
          </w:p>
        </w:tc>
        <w:tc>
          <w:tcPr>
            <w:tcW w:w="567" w:type="dxa"/>
            <w:vAlign w:val="top"/>
          </w:tcPr>
          <w:p w14:paraId="2617CA02">
            <w:pPr>
              <w:pStyle w:val="6"/>
              <w:spacing w:before="88" w:line="197" w:lineRule="auto"/>
              <w:ind w:left="166"/>
              <w:rPr>
                <w:sz w:val="18"/>
                <w:szCs w:val="18"/>
              </w:rPr>
            </w:pPr>
            <w:r>
              <w:rPr>
                <w:spacing w:val="-1"/>
                <w:sz w:val="18"/>
                <w:szCs w:val="18"/>
              </w:rPr>
              <w:t>4.3</w:t>
            </w:r>
          </w:p>
        </w:tc>
        <w:tc>
          <w:tcPr>
            <w:tcW w:w="566" w:type="dxa"/>
            <w:vAlign w:val="top"/>
          </w:tcPr>
          <w:p w14:paraId="11BE4E27">
            <w:pPr>
              <w:pStyle w:val="6"/>
              <w:spacing w:before="88" w:line="197" w:lineRule="auto"/>
              <w:ind w:left="116"/>
              <w:rPr>
                <w:sz w:val="18"/>
                <w:szCs w:val="18"/>
              </w:rPr>
            </w:pPr>
            <w:r>
              <w:rPr>
                <w:spacing w:val="-3"/>
                <w:sz w:val="18"/>
                <w:szCs w:val="18"/>
              </w:rPr>
              <w:t>5.0L</w:t>
            </w:r>
          </w:p>
        </w:tc>
        <w:tc>
          <w:tcPr>
            <w:tcW w:w="851" w:type="dxa"/>
            <w:vAlign w:val="top"/>
          </w:tcPr>
          <w:p w14:paraId="3E1EB751">
            <w:pPr>
              <w:pStyle w:val="6"/>
              <w:spacing w:before="88" w:line="197" w:lineRule="auto"/>
              <w:ind w:left="337"/>
              <w:rPr>
                <w:sz w:val="18"/>
                <w:szCs w:val="18"/>
              </w:rPr>
            </w:pPr>
            <w:r>
              <w:rPr>
                <w:spacing w:val="-2"/>
                <w:sz w:val="18"/>
                <w:szCs w:val="18"/>
              </w:rPr>
              <w:t>98</w:t>
            </w:r>
          </w:p>
        </w:tc>
        <w:tc>
          <w:tcPr>
            <w:tcW w:w="567" w:type="dxa"/>
            <w:vAlign w:val="top"/>
          </w:tcPr>
          <w:p w14:paraId="0761F6C3">
            <w:pPr>
              <w:pStyle w:val="6"/>
              <w:spacing w:before="88" w:line="197" w:lineRule="auto"/>
              <w:ind w:left="196"/>
              <w:rPr>
                <w:sz w:val="18"/>
                <w:szCs w:val="18"/>
              </w:rPr>
            </w:pPr>
            <w:r>
              <w:rPr>
                <w:spacing w:val="-2"/>
                <w:sz w:val="18"/>
                <w:szCs w:val="18"/>
              </w:rPr>
              <w:t>64</w:t>
            </w:r>
          </w:p>
        </w:tc>
        <w:tc>
          <w:tcPr>
            <w:tcW w:w="708" w:type="dxa"/>
            <w:vAlign w:val="top"/>
          </w:tcPr>
          <w:p w14:paraId="1BF6E226">
            <w:pPr>
              <w:pStyle w:val="6"/>
              <w:spacing w:before="88" w:line="197" w:lineRule="auto"/>
              <w:ind w:left="212"/>
              <w:rPr>
                <w:sz w:val="18"/>
                <w:szCs w:val="18"/>
              </w:rPr>
            </w:pPr>
            <w:r>
              <w:rPr>
                <w:spacing w:val="-6"/>
                <w:sz w:val="18"/>
                <w:szCs w:val="18"/>
              </w:rPr>
              <w:t>1.88</w:t>
            </w:r>
          </w:p>
        </w:tc>
        <w:tc>
          <w:tcPr>
            <w:tcW w:w="851" w:type="dxa"/>
            <w:vAlign w:val="top"/>
          </w:tcPr>
          <w:p w14:paraId="6BA93839">
            <w:pPr>
              <w:pStyle w:val="6"/>
              <w:spacing w:before="88" w:line="197" w:lineRule="auto"/>
              <w:ind w:left="170"/>
              <w:rPr>
                <w:sz w:val="18"/>
                <w:szCs w:val="18"/>
              </w:rPr>
            </w:pPr>
            <w:r>
              <w:rPr>
                <w:spacing w:val="-2"/>
                <w:sz w:val="18"/>
                <w:szCs w:val="18"/>
              </w:rPr>
              <w:t>0.002L</w:t>
            </w:r>
          </w:p>
        </w:tc>
        <w:tc>
          <w:tcPr>
            <w:tcW w:w="990" w:type="dxa"/>
            <w:vAlign w:val="top"/>
          </w:tcPr>
          <w:p w14:paraId="6A9EE237">
            <w:pPr>
              <w:pStyle w:val="6"/>
              <w:spacing w:before="88" w:line="197" w:lineRule="auto"/>
              <w:ind w:left="241"/>
              <w:rPr>
                <w:sz w:val="18"/>
                <w:szCs w:val="18"/>
              </w:rPr>
            </w:pPr>
            <w:r>
              <w:rPr>
                <w:spacing w:val="-2"/>
                <w:sz w:val="18"/>
                <w:szCs w:val="18"/>
              </w:rPr>
              <w:t>0.050L</w:t>
            </w:r>
          </w:p>
        </w:tc>
        <w:tc>
          <w:tcPr>
            <w:tcW w:w="566" w:type="dxa"/>
            <w:vAlign w:val="top"/>
          </w:tcPr>
          <w:p w14:paraId="243FC903">
            <w:pPr>
              <w:pStyle w:val="6"/>
              <w:spacing w:before="88" w:line="197" w:lineRule="auto"/>
              <w:ind w:left="85"/>
              <w:rPr>
                <w:sz w:val="18"/>
                <w:szCs w:val="18"/>
              </w:rPr>
            </w:pPr>
            <w:r>
              <w:rPr>
                <w:spacing w:val="-2"/>
                <w:sz w:val="18"/>
                <w:szCs w:val="18"/>
              </w:rPr>
              <w:t>0.002</w:t>
            </w:r>
          </w:p>
        </w:tc>
        <w:tc>
          <w:tcPr>
            <w:tcW w:w="851" w:type="dxa"/>
            <w:vAlign w:val="top"/>
          </w:tcPr>
          <w:p w14:paraId="41B1450A">
            <w:pPr>
              <w:pStyle w:val="6"/>
              <w:spacing w:before="88" w:line="197" w:lineRule="auto"/>
              <w:ind w:left="128"/>
              <w:rPr>
                <w:sz w:val="18"/>
                <w:szCs w:val="18"/>
              </w:rPr>
            </w:pPr>
            <w:r>
              <w:rPr>
                <w:spacing w:val="-1"/>
                <w:sz w:val="18"/>
                <w:szCs w:val="18"/>
              </w:rPr>
              <w:t>0.0005L</w:t>
            </w:r>
          </w:p>
        </w:tc>
        <w:tc>
          <w:tcPr>
            <w:tcW w:w="704" w:type="dxa"/>
            <w:vAlign w:val="top"/>
          </w:tcPr>
          <w:p w14:paraId="41292EC5">
            <w:pPr>
              <w:pStyle w:val="6"/>
              <w:spacing w:before="88" w:line="197" w:lineRule="auto"/>
              <w:ind w:left="100"/>
              <w:rPr>
                <w:sz w:val="18"/>
                <w:szCs w:val="18"/>
              </w:rPr>
            </w:pPr>
            <w:r>
              <w:rPr>
                <w:spacing w:val="-2"/>
                <w:sz w:val="18"/>
                <w:szCs w:val="18"/>
              </w:rPr>
              <w:t>0.004L</w:t>
            </w:r>
          </w:p>
        </w:tc>
        <w:tc>
          <w:tcPr>
            <w:tcW w:w="851" w:type="dxa"/>
            <w:vAlign w:val="top"/>
          </w:tcPr>
          <w:p w14:paraId="4624F57B">
            <w:pPr>
              <w:pStyle w:val="6"/>
              <w:spacing w:before="88" w:line="197" w:lineRule="auto"/>
              <w:ind w:left="131"/>
              <w:rPr>
                <w:sz w:val="18"/>
                <w:szCs w:val="18"/>
              </w:rPr>
            </w:pPr>
            <w:r>
              <w:rPr>
                <w:spacing w:val="-1"/>
                <w:sz w:val="18"/>
                <w:szCs w:val="18"/>
              </w:rPr>
              <w:t>0.0025L</w:t>
            </w:r>
          </w:p>
        </w:tc>
        <w:tc>
          <w:tcPr>
            <w:tcW w:w="851" w:type="dxa"/>
            <w:vAlign w:val="top"/>
          </w:tcPr>
          <w:p w14:paraId="36FDFF16">
            <w:pPr>
              <w:pStyle w:val="6"/>
              <w:spacing w:before="88" w:line="197" w:lineRule="auto"/>
              <w:ind w:left="132"/>
              <w:rPr>
                <w:sz w:val="18"/>
                <w:szCs w:val="18"/>
              </w:rPr>
            </w:pPr>
            <w:r>
              <w:rPr>
                <w:spacing w:val="-1"/>
                <w:sz w:val="18"/>
                <w:szCs w:val="18"/>
              </w:rPr>
              <w:t>0.0001L</w:t>
            </w:r>
          </w:p>
        </w:tc>
        <w:tc>
          <w:tcPr>
            <w:tcW w:w="846" w:type="dxa"/>
            <w:vAlign w:val="top"/>
          </w:tcPr>
          <w:p w14:paraId="5019876F">
            <w:pPr>
              <w:pStyle w:val="6"/>
              <w:spacing w:before="88" w:line="197" w:lineRule="auto"/>
              <w:ind w:left="131"/>
              <w:rPr>
                <w:sz w:val="18"/>
                <w:szCs w:val="18"/>
              </w:rPr>
            </w:pPr>
            <w:r>
              <w:rPr>
                <w:spacing w:val="-1"/>
                <w:sz w:val="18"/>
                <w:szCs w:val="18"/>
              </w:rPr>
              <w:t>0.0004L</w:t>
            </w:r>
          </w:p>
        </w:tc>
        <w:tc>
          <w:tcPr>
            <w:tcW w:w="684" w:type="dxa"/>
            <w:vAlign w:val="top"/>
          </w:tcPr>
          <w:p w14:paraId="495EACEA">
            <w:pPr>
              <w:pStyle w:val="6"/>
              <w:spacing w:before="88" w:line="197" w:lineRule="auto"/>
              <w:ind w:left="96"/>
              <w:rPr>
                <w:sz w:val="18"/>
                <w:szCs w:val="18"/>
              </w:rPr>
            </w:pPr>
            <w:r>
              <w:rPr>
                <w:spacing w:val="-2"/>
                <w:sz w:val="18"/>
                <w:szCs w:val="18"/>
              </w:rPr>
              <w:t>0.002L</w:t>
            </w:r>
          </w:p>
        </w:tc>
        <w:tc>
          <w:tcPr>
            <w:tcW w:w="460" w:type="dxa"/>
            <w:vAlign w:val="top"/>
          </w:tcPr>
          <w:p w14:paraId="0EFB0F11">
            <w:pPr>
              <w:pStyle w:val="6"/>
              <w:spacing w:before="88" w:line="197" w:lineRule="auto"/>
              <w:ind w:left="130"/>
              <w:rPr>
                <w:sz w:val="18"/>
                <w:szCs w:val="18"/>
              </w:rPr>
            </w:pPr>
            <w:r>
              <w:rPr>
                <w:spacing w:val="-3"/>
                <w:sz w:val="18"/>
                <w:szCs w:val="18"/>
              </w:rPr>
              <w:t>0.4</w:t>
            </w:r>
          </w:p>
        </w:tc>
        <w:tc>
          <w:tcPr>
            <w:tcW w:w="428" w:type="dxa"/>
            <w:vAlign w:val="top"/>
          </w:tcPr>
          <w:p w14:paraId="44A6D1C8">
            <w:pPr>
              <w:pStyle w:val="6"/>
              <w:spacing w:before="88" w:line="197" w:lineRule="auto"/>
              <w:ind w:left="60"/>
              <w:rPr>
                <w:sz w:val="18"/>
                <w:szCs w:val="18"/>
              </w:rPr>
            </w:pPr>
            <w:r>
              <w:rPr>
                <w:spacing w:val="-2"/>
                <w:sz w:val="18"/>
                <w:szCs w:val="18"/>
              </w:rPr>
              <w:t>0.5L</w:t>
            </w:r>
          </w:p>
        </w:tc>
        <w:tc>
          <w:tcPr>
            <w:tcW w:w="447" w:type="dxa"/>
            <w:vAlign w:val="top"/>
          </w:tcPr>
          <w:p w14:paraId="0F0C2BD4">
            <w:pPr>
              <w:pStyle w:val="6"/>
              <w:spacing w:before="88" w:line="197" w:lineRule="auto"/>
              <w:ind w:left="205"/>
              <w:rPr>
                <w:sz w:val="18"/>
                <w:szCs w:val="18"/>
              </w:rPr>
            </w:pPr>
            <w:r>
              <w:rPr>
                <w:sz w:val="18"/>
                <w:szCs w:val="18"/>
              </w:rPr>
              <w:t>/</w:t>
            </w:r>
          </w:p>
        </w:tc>
        <w:tc>
          <w:tcPr>
            <w:tcW w:w="666" w:type="dxa"/>
            <w:tcBorders>
              <w:right w:val="single" w:color="000000" w:sz="12" w:space="0"/>
            </w:tcBorders>
            <w:vAlign w:val="top"/>
          </w:tcPr>
          <w:p w14:paraId="21F13EA5">
            <w:pPr>
              <w:pStyle w:val="6"/>
              <w:spacing w:before="88" w:line="197" w:lineRule="auto"/>
              <w:ind w:left="247"/>
              <w:rPr>
                <w:sz w:val="18"/>
                <w:szCs w:val="18"/>
              </w:rPr>
            </w:pPr>
            <w:r>
              <w:rPr>
                <w:spacing w:val="-2"/>
                <w:sz w:val="18"/>
                <w:szCs w:val="18"/>
              </w:rPr>
              <w:t>70</w:t>
            </w:r>
          </w:p>
        </w:tc>
      </w:tr>
      <w:tr w14:paraId="6F4D4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7" w:type="dxa"/>
            <w:vMerge w:val="continue"/>
            <w:tcBorders>
              <w:top w:val="nil"/>
              <w:left w:val="single" w:color="000000" w:sz="12" w:space="0"/>
            </w:tcBorders>
            <w:vAlign w:val="top"/>
          </w:tcPr>
          <w:p w14:paraId="24946275">
            <w:pPr>
              <w:rPr>
                <w:rFonts w:ascii="Arial"/>
                <w:sz w:val="21"/>
              </w:rPr>
            </w:pPr>
          </w:p>
        </w:tc>
        <w:tc>
          <w:tcPr>
            <w:tcW w:w="285" w:type="dxa"/>
            <w:vMerge w:val="continue"/>
            <w:tcBorders>
              <w:top w:val="nil"/>
            </w:tcBorders>
            <w:vAlign w:val="top"/>
          </w:tcPr>
          <w:p w14:paraId="79A614DA">
            <w:pPr>
              <w:rPr>
                <w:rFonts w:ascii="Arial"/>
                <w:sz w:val="21"/>
              </w:rPr>
            </w:pPr>
          </w:p>
        </w:tc>
        <w:tc>
          <w:tcPr>
            <w:tcW w:w="1131" w:type="dxa"/>
            <w:vAlign w:val="top"/>
          </w:tcPr>
          <w:p w14:paraId="0A7576E2">
            <w:pPr>
              <w:pStyle w:val="6"/>
              <w:spacing w:before="145" w:line="232" w:lineRule="auto"/>
              <w:ind w:left="185"/>
              <w:rPr>
                <w:sz w:val="18"/>
                <w:szCs w:val="18"/>
              </w:rPr>
            </w:pPr>
            <w:r>
              <w:rPr>
                <w:spacing w:val="-1"/>
                <w:sz w:val="18"/>
                <w:szCs w:val="18"/>
              </w:rPr>
              <w:t>2021/7/21</w:t>
            </w:r>
          </w:p>
        </w:tc>
        <w:tc>
          <w:tcPr>
            <w:tcW w:w="570" w:type="dxa"/>
            <w:vAlign w:val="top"/>
          </w:tcPr>
          <w:p w14:paraId="7981A5D8">
            <w:pPr>
              <w:pStyle w:val="6"/>
              <w:spacing w:before="150" w:line="183" w:lineRule="auto"/>
              <w:ind w:left="176"/>
              <w:rPr>
                <w:sz w:val="18"/>
                <w:szCs w:val="18"/>
              </w:rPr>
            </w:pPr>
            <w:r>
              <w:rPr>
                <w:spacing w:val="-2"/>
                <w:sz w:val="18"/>
                <w:szCs w:val="18"/>
              </w:rPr>
              <w:t>5L</w:t>
            </w:r>
          </w:p>
        </w:tc>
        <w:tc>
          <w:tcPr>
            <w:tcW w:w="703" w:type="dxa"/>
            <w:vAlign w:val="top"/>
          </w:tcPr>
          <w:p w14:paraId="6FA6F9F6">
            <w:pPr>
              <w:pStyle w:val="6"/>
              <w:spacing w:before="145" w:line="232" w:lineRule="auto"/>
              <w:ind w:left="175"/>
              <w:rPr>
                <w:sz w:val="18"/>
                <w:szCs w:val="18"/>
              </w:rPr>
            </w:pPr>
            <w:r>
              <w:rPr>
                <w:spacing w:val="-2"/>
                <w:sz w:val="18"/>
                <w:szCs w:val="18"/>
              </w:rPr>
              <w:t>0.5L</w:t>
            </w:r>
          </w:p>
        </w:tc>
        <w:tc>
          <w:tcPr>
            <w:tcW w:w="708" w:type="dxa"/>
            <w:vAlign w:val="top"/>
          </w:tcPr>
          <w:p w14:paraId="0EDBA1D2">
            <w:pPr>
              <w:pStyle w:val="6"/>
              <w:spacing w:before="145" w:line="232" w:lineRule="auto"/>
              <w:ind w:left="233"/>
              <w:rPr>
                <w:sz w:val="18"/>
                <w:szCs w:val="18"/>
              </w:rPr>
            </w:pPr>
            <w:r>
              <w:rPr>
                <w:spacing w:val="-3"/>
                <w:sz w:val="18"/>
                <w:szCs w:val="18"/>
              </w:rPr>
              <w:t>7.8</w:t>
            </w:r>
          </w:p>
        </w:tc>
        <w:tc>
          <w:tcPr>
            <w:tcW w:w="708" w:type="dxa"/>
            <w:vAlign w:val="top"/>
          </w:tcPr>
          <w:p w14:paraId="4AAB8EC4">
            <w:pPr>
              <w:pStyle w:val="6"/>
              <w:spacing w:before="145" w:line="232" w:lineRule="auto"/>
              <w:ind w:left="144"/>
              <w:rPr>
                <w:sz w:val="18"/>
                <w:szCs w:val="18"/>
              </w:rPr>
            </w:pPr>
            <w:r>
              <w:rPr>
                <w:spacing w:val="-2"/>
                <w:sz w:val="18"/>
                <w:szCs w:val="18"/>
              </w:rPr>
              <w:t>0.176</w:t>
            </w:r>
          </w:p>
        </w:tc>
        <w:tc>
          <w:tcPr>
            <w:tcW w:w="851" w:type="dxa"/>
            <w:vAlign w:val="top"/>
          </w:tcPr>
          <w:p w14:paraId="4CBE895C">
            <w:pPr>
              <w:pStyle w:val="6"/>
              <w:spacing w:before="145" w:line="232" w:lineRule="auto"/>
              <w:ind w:left="117"/>
              <w:rPr>
                <w:sz w:val="18"/>
                <w:szCs w:val="18"/>
              </w:rPr>
            </w:pPr>
            <w:r>
              <w:rPr>
                <w:spacing w:val="-1"/>
                <w:sz w:val="18"/>
                <w:szCs w:val="18"/>
              </w:rPr>
              <w:t>0.0045L</w:t>
            </w:r>
          </w:p>
        </w:tc>
        <w:tc>
          <w:tcPr>
            <w:tcW w:w="851" w:type="dxa"/>
            <w:vAlign w:val="top"/>
          </w:tcPr>
          <w:p w14:paraId="382C7454">
            <w:pPr>
              <w:pStyle w:val="6"/>
              <w:spacing w:before="145" w:line="232" w:lineRule="auto"/>
              <w:ind w:left="173"/>
              <w:rPr>
                <w:sz w:val="18"/>
                <w:szCs w:val="18"/>
              </w:rPr>
            </w:pPr>
            <w:r>
              <w:rPr>
                <w:spacing w:val="-2"/>
                <w:sz w:val="18"/>
                <w:szCs w:val="18"/>
              </w:rPr>
              <w:t>0.0013</w:t>
            </w:r>
          </w:p>
        </w:tc>
        <w:tc>
          <w:tcPr>
            <w:tcW w:w="708" w:type="dxa"/>
            <w:vAlign w:val="top"/>
          </w:tcPr>
          <w:p w14:paraId="30F8D602">
            <w:pPr>
              <w:pStyle w:val="6"/>
              <w:spacing w:before="145" w:line="232" w:lineRule="auto"/>
              <w:ind w:left="92"/>
              <w:rPr>
                <w:sz w:val="18"/>
                <w:szCs w:val="18"/>
              </w:rPr>
            </w:pPr>
            <w:r>
              <w:rPr>
                <w:spacing w:val="-2"/>
                <w:sz w:val="18"/>
                <w:szCs w:val="18"/>
              </w:rPr>
              <w:t>0.009L</w:t>
            </w:r>
          </w:p>
        </w:tc>
        <w:tc>
          <w:tcPr>
            <w:tcW w:w="707" w:type="dxa"/>
            <w:vAlign w:val="top"/>
          </w:tcPr>
          <w:p w14:paraId="0B921A69">
            <w:pPr>
              <w:pStyle w:val="6"/>
              <w:spacing w:before="145" w:line="232" w:lineRule="auto"/>
              <w:ind w:left="93"/>
              <w:rPr>
                <w:sz w:val="18"/>
                <w:szCs w:val="18"/>
              </w:rPr>
            </w:pPr>
            <w:r>
              <w:rPr>
                <w:spacing w:val="-2"/>
                <w:sz w:val="18"/>
                <w:szCs w:val="18"/>
              </w:rPr>
              <w:t>0.001L</w:t>
            </w:r>
          </w:p>
        </w:tc>
        <w:tc>
          <w:tcPr>
            <w:tcW w:w="567" w:type="dxa"/>
            <w:vAlign w:val="top"/>
          </w:tcPr>
          <w:p w14:paraId="6BA7F066">
            <w:pPr>
              <w:pStyle w:val="6"/>
              <w:spacing w:before="145" w:line="232" w:lineRule="auto"/>
              <w:ind w:left="166"/>
              <w:rPr>
                <w:sz w:val="18"/>
                <w:szCs w:val="18"/>
              </w:rPr>
            </w:pPr>
            <w:r>
              <w:rPr>
                <w:spacing w:val="-1"/>
                <w:sz w:val="18"/>
                <w:szCs w:val="18"/>
              </w:rPr>
              <w:t>4.1</w:t>
            </w:r>
          </w:p>
        </w:tc>
        <w:tc>
          <w:tcPr>
            <w:tcW w:w="566" w:type="dxa"/>
            <w:vAlign w:val="top"/>
          </w:tcPr>
          <w:p w14:paraId="4E8482EA">
            <w:pPr>
              <w:pStyle w:val="6"/>
              <w:spacing w:before="145" w:line="232" w:lineRule="auto"/>
              <w:ind w:left="116"/>
              <w:rPr>
                <w:sz w:val="18"/>
                <w:szCs w:val="18"/>
              </w:rPr>
            </w:pPr>
            <w:r>
              <w:rPr>
                <w:spacing w:val="-3"/>
                <w:sz w:val="18"/>
                <w:szCs w:val="18"/>
              </w:rPr>
              <w:t>5.0L</w:t>
            </w:r>
          </w:p>
        </w:tc>
        <w:tc>
          <w:tcPr>
            <w:tcW w:w="851" w:type="dxa"/>
            <w:vAlign w:val="top"/>
          </w:tcPr>
          <w:p w14:paraId="250B6074">
            <w:pPr>
              <w:pStyle w:val="6"/>
              <w:spacing w:before="145" w:line="232" w:lineRule="auto"/>
              <w:ind w:left="305"/>
              <w:rPr>
                <w:sz w:val="18"/>
                <w:szCs w:val="18"/>
              </w:rPr>
            </w:pPr>
            <w:r>
              <w:rPr>
                <w:spacing w:val="-5"/>
                <w:sz w:val="18"/>
                <w:szCs w:val="18"/>
              </w:rPr>
              <w:t>103</w:t>
            </w:r>
          </w:p>
        </w:tc>
        <w:tc>
          <w:tcPr>
            <w:tcW w:w="567" w:type="dxa"/>
            <w:vAlign w:val="top"/>
          </w:tcPr>
          <w:p w14:paraId="1579F77B">
            <w:pPr>
              <w:pStyle w:val="6"/>
              <w:spacing w:before="145" w:line="232" w:lineRule="auto"/>
              <w:ind w:left="196"/>
              <w:rPr>
                <w:sz w:val="18"/>
                <w:szCs w:val="18"/>
              </w:rPr>
            </w:pPr>
            <w:r>
              <w:rPr>
                <w:spacing w:val="-2"/>
                <w:sz w:val="18"/>
                <w:szCs w:val="18"/>
              </w:rPr>
              <w:t>60</w:t>
            </w:r>
          </w:p>
        </w:tc>
        <w:tc>
          <w:tcPr>
            <w:tcW w:w="708" w:type="dxa"/>
            <w:vAlign w:val="top"/>
          </w:tcPr>
          <w:p w14:paraId="3E966DBA">
            <w:pPr>
              <w:pStyle w:val="6"/>
              <w:spacing w:before="145" w:line="232" w:lineRule="auto"/>
              <w:ind w:left="195"/>
              <w:rPr>
                <w:sz w:val="18"/>
                <w:szCs w:val="18"/>
              </w:rPr>
            </w:pPr>
            <w:r>
              <w:rPr>
                <w:spacing w:val="-1"/>
                <w:sz w:val="18"/>
                <w:szCs w:val="18"/>
              </w:rPr>
              <w:t>2.01</w:t>
            </w:r>
          </w:p>
        </w:tc>
        <w:tc>
          <w:tcPr>
            <w:tcW w:w="851" w:type="dxa"/>
            <w:vAlign w:val="top"/>
          </w:tcPr>
          <w:p w14:paraId="529E8667">
            <w:pPr>
              <w:pStyle w:val="6"/>
              <w:spacing w:before="145" w:line="232" w:lineRule="auto"/>
              <w:ind w:left="170"/>
              <w:rPr>
                <w:sz w:val="18"/>
                <w:szCs w:val="18"/>
              </w:rPr>
            </w:pPr>
            <w:r>
              <w:rPr>
                <w:spacing w:val="-2"/>
                <w:sz w:val="18"/>
                <w:szCs w:val="18"/>
              </w:rPr>
              <w:t>0.002L</w:t>
            </w:r>
          </w:p>
        </w:tc>
        <w:tc>
          <w:tcPr>
            <w:tcW w:w="990" w:type="dxa"/>
            <w:vAlign w:val="top"/>
          </w:tcPr>
          <w:p w14:paraId="3A704B99">
            <w:pPr>
              <w:pStyle w:val="6"/>
              <w:spacing w:before="145" w:line="232" w:lineRule="auto"/>
              <w:ind w:left="241"/>
              <w:rPr>
                <w:sz w:val="18"/>
                <w:szCs w:val="18"/>
              </w:rPr>
            </w:pPr>
            <w:r>
              <w:rPr>
                <w:spacing w:val="-2"/>
                <w:sz w:val="18"/>
                <w:szCs w:val="18"/>
              </w:rPr>
              <w:t>0.050L</w:t>
            </w:r>
          </w:p>
        </w:tc>
        <w:tc>
          <w:tcPr>
            <w:tcW w:w="566" w:type="dxa"/>
            <w:vAlign w:val="top"/>
          </w:tcPr>
          <w:p w14:paraId="2962B704">
            <w:pPr>
              <w:pStyle w:val="6"/>
              <w:spacing w:before="145" w:line="232" w:lineRule="auto"/>
              <w:ind w:left="85"/>
              <w:rPr>
                <w:sz w:val="18"/>
                <w:szCs w:val="18"/>
              </w:rPr>
            </w:pPr>
            <w:r>
              <w:rPr>
                <w:spacing w:val="-2"/>
                <w:sz w:val="18"/>
                <w:szCs w:val="18"/>
              </w:rPr>
              <w:t>0.002</w:t>
            </w:r>
          </w:p>
        </w:tc>
        <w:tc>
          <w:tcPr>
            <w:tcW w:w="851" w:type="dxa"/>
            <w:vAlign w:val="top"/>
          </w:tcPr>
          <w:p w14:paraId="7E6EBF10">
            <w:pPr>
              <w:pStyle w:val="6"/>
              <w:spacing w:before="145" w:line="232" w:lineRule="auto"/>
              <w:ind w:left="128"/>
              <w:rPr>
                <w:sz w:val="18"/>
                <w:szCs w:val="18"/>
              </w:rPr>
            </w:pPr>
            <w:r>
              <w:rPr>
                <w:spacing w:val="-1"/>
                <w:sz w:val="18"/>
                <w:szCs w:val="18"/>
              </w:rPr>
              <w:t>0.0005L</w:t>
            </w:r>
          </w:p>
        </w:tc>
        <w:tc>
          <w:tcPr>
            <w:tcW w:w="704" w:type="dxa"/>
            <w:vAlign w:val="top"/>
          </w:tcPr>
          <w:p w14:paraId="5076F2A5">
            <w:pPr>
              <w:pStyle w:val="6"/>
              <w:spacing w:before="145" w:line="232" w:lineRule="auto"/>
              <w:ind w:left="100"/>
              <w:rPr>
                <w:sz w:val="18"/>
                <w:szCs w:val="18"/>
              </w:rPr>
            </w:pPr>
            <w:r>
              <w:rPr>
                <w:spacing w:val="-2"/>
                <w:sz w:val="18"/>
                <w:szCs w:val="18"/>
              </w:rPr>
              <w:t>0.004L</w:t>
            </w:r>
          </w:p>
        </w:tc>
        <w:tc>
          <w:tcPr>
            <w:tcW w:w="851" w:type="dxa"/>
            <w:vAlign w:val="top"/>
          </w:tcPr>
          <w:p w14:paraId="5F932754">
            <w:pPr>
              <w:pStyle w:val="6"/>
              <w:spacing w:before="145" w:line="232" w:lineRule="auto"/>
              <w:ind w:left="131"/>
              <w:rPr>
                <w:sz w:val="18"/>
                <w:szCs w:val="18"/>
              </w:rPr>
            </w:pPr>
            <w:r>
              <w:rPr>
                <w:spacing w:val="-1"/>
                <w:sz w:val="18"/>
                <w:szCs w:val="18"/>
              </w:rPr>
              <w:t>0.0025L</w:t>
            </w:r>
          </w:p>
        </w:tc>
        <w:tc>
          <w:tcPr>
            <w:tcW w:w="851" w:type="dxa"/>
            <w:vAlign w:val="top"/>
          </w:tcPr>
          <w:p w14:paraId="57B3CD11">
            <w:pPr>
              <w:pStyle w:val="6"/>
              <w:spacing w:before="145" w:line="232" w:lineRule="auto"/>
              <w:ind w:left="132"/>
              <w:rPr>
                <w:sz w:val="18"/>
                <w:szCs w:val="18"/>
              </w:rPr>
            </w:pPr>
            <w:r>
              <w:rPr>
                <w:spacing w:val="-1"/>
                <w:sz w:val="18"/>
                <w:szCs w:val="18"/>
              </w:rPr>
              <w:t>0.0001L</w:t>
            </w:r>
          </w:p>
        </w:tc>
        <w:tc>
          <w:tcPr>
            <w:tcW w:w="846" w:type="dxa"/>
            <w:vAlign w:val="top"/>
          </w:tcPr>
          <w:p w14:paraId="3632440D">
            <w:pPr>
              <w:pStyle w:val="6"/>
              <w:spacing w:before="145" w:line="232" w:lineRule="auto"/>
              <w:ind w:left="131"/>
              <w:rPr>
                <w:sz w:val="18"/>
                <w:szCs w:val="18"/>
              </w:rPr>
            </w:pPr>
            <w:r>
              <w:rPr>
                <w:spacing w:val="-1"/>
                <w:sz w:val="18"/>
                <w:szCs w:val="18"/>
              </w:rPr>
              <w:t>0.0004L</w:t>
            </w:r>
          </w:p>
        </w:tc>
        <w:tc>
          <w:tcPr>
            <w:tcW w:w="684" w:type="dxa"/>
            <w:vAlign w:val="top"/>
          </w:tcPr>
          <w:p w14:paraId="4A5554F8">
            <w:pPr>
              <w:pStyle w:val="6"/>
              <w:spacing w:before="145" w:line="232" w:lineRule="auto"/>
              <w:ind w:left="96"/>
              <w:rPr>
                <w:sz w:val="18"/>
                <w:szCs w:val="18"/>
              </w:rPr>
            </w:pPr>
            <w:r>
              <w:rPr>
                <w:spacing w:val="-2"/>
                <w:sz w:val="18"/>
                <w:szCs w:val="18"/>
              </w:rPr>
              <w:t>0.002L</w:t>
            </w:r>
          </w:p>
        </w:tc>
        <w:tc>
          <w:tcPr>
            <w:tcW w:w="460" w:type="dxa"/>
            <w:vAlign w:val="top"/>
          </w:tcPr>
          <w:p w14:paraId="2AD3A057">
            <w:pPr>
              <w:pStyle w:val="6"/>
              <w:spacing w:before="145" w:line="232" w:lineRule="auto"/>
              <w:ind w:left="130"/>
              <w:rPr>
                <w:sz w:val="18"/>
                <w:szCs w:val="18"/>
              </w:rPr>
            </w:pPr>
            <w:r>
              <w:rPr>
                <w:spacing w:val="-3"/>
                <w:sz w:val="18"/>
                <w:szCs w:val="18"/>
              </w:rPr>
              <w:t>0.5</w:t>
            </w:r>
          </w:p>
        </w:tc>
        <w:tc>
          <w:tcPr>
            <w:tcW w:w="428" w:type="dxa"/>
            <w:vAlign w:val="top"/>
          </w:tcPr>
          <w:p w14:paraId="4187792D">
            <w:pPr>
              <w:pStyle w:val="6"/>
              <w:spacing w:before="145" w:line="232" w:lineRule="auto"/>
              <w:ind w:left="60"/>
              <w:rPr>
                <w:sz w:val="18"/>
                <w:szCs w:val="18"/>
              </w:rPr>
            </w:pPr>
            <w:r>
              <w:rPr>
                <w:spacing w:val="-2"/>
                <w:sz w:val="18"/>
                <w:szCs w:val="18"/>
              </w:rPr>
              <w:t>0.5L</w:t>
            </w:r>
          </w:p>
        </w:tc>
        <w:tc>
          <w:tcPr>
            <w:tcW w:w="447" w:type="dxa"/>
            <w:vAlign w:val="top"/>
          </w:tcPr>
          <w:p w14:paraId="6BA5C053">
            <w:pPr>
              <w:pStyle w:val="6"/>
              <w:spacing w:before="145" w:line="232" w:lineRule="auto"/>
              <w:ind w:left="205"/>
              <w:rPr>
                <w:sz w:val="18"/>
                <w:szCs w:val="18"/>
              </w:rPr>
            </w:pPr>
            <w:r>
              <w:rPr>
                <w:sz w:val="18"/>
                <w:szCs w:val="18"/>
              </w:rPr>
              <w:t>/</w:t>
            </w:r>
          </w:p>
        </w:tc>
        <w:tc>
          <w:tcPr>
            <w:tcW w:w="666" w:type="dxa"/>
            <w:tcBorders>
              <w:right w:val="single" w:color="000000" w:sz="12" w:space="0"/>
            </w:tcBorders>
            <w:vAlign w:val="top"/>
          </w:tcPr>
          <w:p w14:paraId="32865E79">
            <w:pPr>
              <w:pStyle w:val="6"/>
              <w:spacing w:before="145" w:line="232" w:lineRule="auto"/>
              <w:ind w:left="248"/>
              <w:rPr>
                <w:sz w:val="18"/>
                <w:szCs w:val="18"/>
              </w:rPr>
            </w:pPr>
            <w:r>
              <w:rPr>
                <w:spacing w:val="-2"/>
                <w:sz w:val="18"/>
                <w:szCs w:val="18"/>
              </w:rPr>
              <w:t>60</w:t>
            </w:r>
          </w:p>
        </w:tc>
      </w:tr>
      <w:tr w14:paraId="4810A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restart"/>
            <w:tcBorders>
              <w:left w:val="single" w:color="000000" w:sz="12" w:space="0"/>
              <w:bottom w:val="nil"/>
            </w:tcBorders>
            <w:vAlign w:val="top"/>
          </w:tcPr>
          <w:p w14:paraId="2A4EC3BE">
            <w:pPr>
              <w:spacing w:line="246" w:lineRule="auto"/>
              <w:rPr>
                <w:rFonts w:ascii="Arial"/>
                <w:sz w:val="21"/>
              </w:rPr>
            </w:pPr>
          </w:p>
          <w:p w14:paraId="1AAED5C6">
            <w:pPr>
              <w:spacing w:line="247" w:lineRule="auto"/>
              <w:rPr>
                <w:rFonts w:ascii="Arial"/>
                <w:sz w:val="21"/>
              </w:rPr>
            </w:pPr>
          </w:p>
          <w:p w14:paraId="5758D8D3">
            <w:pPr>
              <w:spacing w:line="247" w:lineRule="auto"/>
              <w:rPr>
                <w:rFonts w:ascii="Arial"/>
                <w:sz w:val="21"/>
              </w:rPr>
            </w:pPr>
          </w:p>
          <w:p w14:paraId="00F24FEF">
            <w:pPr>
              <w:pStyle w:val="6"/>
              <w:spacing w:before="61" w:line="243" w:lineRule="auto"/>
              <w:ind w:left="75" w:right="82"/>
              <w:jc w:val="both"/>
              <w:rPr>
                <w:rFonts w:ascii="等线" w:hAnsi="等线" w:eastAsia="等线" w:cs="等线"/>
                <w:sz w:val="18"/>
                <w:szCs w:val="18"/>
              </w:rPr>
            </w:pPr>
            <w:r>
              <w:rPr>
                <w:spacing w:val="-3"/>
                <w:sz w:val="18"/>
                <w:szCs w:val="18"/>
              </w:rPr>
              <w:t>8#</w:t>
            </w:r>
            <w:r>
              <w:rPr>
                <w:rFonts w:ascii="等线" w:hAnsi="等线" w:eastAsia="等线" w:cs="等线"/>
                <w:spacing w:val="-3"/>
                <w:sz w:val="18"/>
                <w:szCs w:val="18"/>
              </w:rPr>
              <w:t>支洞</w:t>
            </w:r>
            <w:r>
              <w:rPr>
                <w:rFonts w:ascii="等线" w:hAnsi="等线" w:eastAsia="等线" w:cs="等线"/>
                <w:spacing w:val="-4"/>
                <w:sz w:val="18"/>
                <w:szCs w:val="18"/>
              </w:rPr>
              <w:t>生活饮用水供</w:t>
            </w:r>
            <w:r>
              <w:rPr>
                <w:rFonts w:ascii="等线" w:hAnsi="等线" w:eastAsia="等线" w:cs="等线"/>
                <w:spacing w:val="39"/>
                <w:sz w:val="18"/>
                <w:szCs w:val="18"/>
              </w:rPr>
              <w:t>水处</w:t>
            </w:r>
          </w:p>
        </w:tc>
        <w:tc>
          <w:tcPr>
            <w:tcW w:w="285" w:type="dxa"/>
            <w:vMerge w:val="restart"/>
            <w:tcBorders>
              <w:bottom w:val="nil"/>
            </w:tcBorders>
            <w:vAlign w:val="top"/>
          </w:tcPr>
          <w:p w14:paraId="7A9B5AF9">
            <w:pPr>
              <w:pStyle w:val="6"/>
              <w:spacing w:before="124" w:line="226" w:lineRule="auto"/>
              <w:ind w:left="98"/>
              <w:rPr>
                <w:sz w:val="18"/>
                <w:szCs w:val="18"/>
              </w:rPr>
            </w:pPr>
            <w:r>
              <w:rPr>
                <w:sz w:val="18"/>
                <w:szCs w:val="18"/>
              </w:rPr>
              <w:t>1</w:t>
            </w:r>
          </w:p>
          <w:p w14:paraId="281E55FB">
            <w:pPr>
              <w:spacing w:line="226" w:lineRule="auto"/>
              <w:ind w:left="38"/>
              <w:rPr>
                <w:rFonts w:ascii="等线" w:hAnsi="等线" w:eastAsia="等线" w:cs="等线"/>
                <w:sz w:val="18"/>
                <w:szCs w:val="18"/>
              </w:rPr>
            </w:pPr>
            <w:r>
              <w:rPr>
                <w:rFonts w:ascii="等线" w:hAnsi="等线" w:eastAsia="等线" w:cs="等线"/>
                <w:sz w:val="18"/>
                <w:szCs w:val="18"/>
              </w:rPr>
              <w:t>季</w:t>
            </w:r>
          </w:p>
          <w:p w14:paraId="2AA3B4E8">
            <w:pPr>
              <w:spacing w:before="14" w:line="226" w:lineRule="auto"/>
              <w:ind w:left="39"/>
              <w:rPr>
                <w:rFonts w:ascii="等线" w:hAnsi="等线" w:eastAsia="等线" w:cs="等线"/>
                <w:sz w:val="18"/>
                <w:szCs w:val="18"/>
              </w:rPr>
            </w:pPr>
            <w:r>
              <w:rPr>
                <w:rFonts w:ascii="等线" w:hAnsi="等线" w:eastAsia="等线" w:cs="等线"/>
                <w:sz w:val="18"/>
                <w:szCs w:val="18"/>
              </w:rPr>
              <w:t>度</w:t>
            </w:r>
          </w:p>
        </w:tc>
        <w:tc>
          <w:tcPr>
            <w:tcW w:w="1131" w:type="dxa"/>
            <w:vAlign w:val="top"/>
          </w:tcPr>
          <w:p w14:paraId="7F10FCFC">
            <w:pPr>
              <w:pStyle w:val="6"/>
              <w:spacing w:before="89" w:line="195" w:lineRule="auto"/>
              <w:ind w:left="185"/>
              <w:rPr>
                <w:sz w:val="18"/>
                <w:szCs w:val="18"/>
              </w:rPr>
            </w:pPr>
            <w:r>
              <w:rPr>
                <w:spacing w:val="-1"/>
                <w:sz w:val="18"/>
                <w:szCs w:val="18"/>
              </w:rPr>
              <w:t>2021/3/18</w:t>
            </w:r>
          </w:p>
        </w:tc>
        <w:tc>
          <w:tcPr>
            <w:tcW w:w="570" w:type="dxa"/>
            <w:vAlign w:val="top"/>
          </w:tcPr>
          <w:p w14:paraId="6B9F5B56">
            <w:pPr>
              <w:pStyle w:val="6"/>
              <w:spacing w:before="95" w:line="183" w:lineRule="auto"/>
              <w:ind w:left="176"/>
              <w:rPr>
                <w:sz w:val="18"/>
                <w:szCs w:val="18"/>
              </w:rPr>
            </w:pPr>
            <w:r>
              <w:rPr>
                <w:spacing w:val="-2"/>
                <w:sz w:val="18"/>
                <w:szCs w:val="18"/>
              </w:rPr>
              <w:t>5L</w:t>
            </w:r>
          </w:p>
        </w:tc>
        <w:tc>
          <w:tcPr>
            <w:tcW w:w="703" w:type="dxa"/>
            <w:vAlign w:val="top"/>
          </w:tcPr>
          <w:p w14:paraId="3CF09318">
            <w:pPr>
              <w:pStyle w:val="6"/>
              <w:spacing w:before="89" w:line="195" w:lineRule="auto"/>
              <w:ind w:left="175"/>
              <w:rPr>
                <w:sz w:val="18"/>
                <w:szCs w:val="18"/>
              </w:rPr>
            </w:pPr>
            <w:r>
              <w:rPr>
                <w:spacing w:val="-2"/>
                <w:sz w:val="18"/>
                <w:szCs w:val="18"/>
              </w:rPr>
              <w:t>0.5L</w:t>
            </w:r>
          </w:p>
        </w:tc>
        <w:tc>
          <w:tcPr>
            <w:tcW w:w="708" w:type="dxa"/>
            <w:vAlign w:val="top"/>
          </w:tcPr>
          <w:p w14:paraId="7E4FE5CB">
            <w:pPr>
              <w:pStyle w:val="6"/>
              <w:spacing w:before="89" w:line="195" w:lineRule="auto"/>
              <w:ind w:left="188"/>
              <w:rPr>
                <w:sz w:val="18"/>
                <w:szCs w:val="18"/>
              </w:rPr>
            </w:pPr>
            <w:r>
              <w:rPr>
                <w:spacing w:val="-2"/>
                <w:sz w:val="18"/>
                <w:szCs w:val="18"/>
              </w:rPr>
              <w:t>7.78</w:t>
            </w:r>
          </w:p>
        </w:tc>
        <w:tc>
          <w:tcPr>
            <w:tcW w:w="708" w:type="dxa"/>
            <w:vAlign w:val="top"/>
          </w:tcPr>
          <w:p w14:paraId="641D30C6">
            <w:pPr>
              <w:pStyle w:val="6"/>
              <w:spacing w:before="89" w:line="195" w:lineRule="auto"/>
              <w:ind w:left="144"/>
              <w:rPr>
                <w:sz w:val="18"/>
                <w:szCs w:val="18"/>
              </w:rPr>
            </w:pPr>
            <w:r>
              <w:rPr>
                <w:spacing w:val="-2"/>
                <w:sz w:val="18"/>
                <w:szCs w:val="18"/>
              </w:rPr>
              <w:t>0.040</w:t>
            </w:r>
          </w:p>
        </w:tc>
        <w:tc>
          <w:tcPr>
            <w:tcW w:w="851" w:type="dxa"/>
            <w:vAlign w:val="top"/>
          </w:tcPr>
          <w:p w14:paraId="2CCDA9BA">
            <w:pPr>
              <w:pStyle w:val="6"/>
              <w:spacing w:before="89" w:line="195" w:lineRule="auto"/>
              <w:ind w:left="117"/>
              <w:rPr>
                <w:sz w:val="18"/>
                <w:szCs w:val="18"/>
              </w:rPr>
            </w:pPr>
            <w:r>
              <w:rPr>
                <w:spacing w:val="-1"/>
                <w:sz w:val="18"/>
                <w:szCs w:val="18"/>
              </w:rPr>
              <w:t>0.0045L</w:t>
            </w:r>
          </w:p>
        </w:tc>
        <w:tc>
          <w:tcPr>
            <w:tcW w:w="851" w:type="dxa"/>
            <w:vAlign w:val="top"/>
          </w:tcPr>
          <w:p w14:paraId="265234EC">
            <w:pPr>
              <w:pStyle w:val="6"/>
              <w:spacing w:before="89" w:line="195" w:lineRule="auto"/>
              <w:ind w:left="118"/>
              <w:rPr>
                <w:sz w:val="18"/>
                <w:szCs w:val="18"/>
              </w:rPr>
            </w:pPr>
            <w:r>
              <w:rPr>
                <w:spacing w:val="-1"/>
                <w:sz w:val="18"/>
                <w:szCs w:val="18"/>
              </w:rPr>
              <w:t>0.0005L</w:t>
            </w:r>
          </w:p>
        </w:tc>
        <w:tc>
          <w:tcPr>
            <w:tcW w:w="708" w:type="dxa"/>
            <w:vAlign w:val="top"/>
          </w:tcPr>
          <w:p w14:paraId="16DC4AA1">
            <w:pPr>
              <w:pStyle w:val="6"/>
              <w:spacing w:before="89" w:line="195" w:lineRule="auto"/>
              <w:ind w:left="92"/>
              <w:rPr>
                <w:sz w:val="18"/>
                <w:szCs w:val="18"/>
              </w:rPr>
            </w:pPr>
            <w:r>
              <w:rPr>
                <w:spacing w:val="-2"/>
                <w:sz w:val="18"/>
                <w:szCs w:val="18"/>
              </w:rPr>
              <w:t>0.009L</w:t>
            </w:r>
          </w:p>
        </w:tc>
        <w:tc>
          <w:tcPr>
            <w:tcW w:w="707" w:type="dxa"/>
            <w:vAlign w:val="top"/>
          </w:tcPr>
          <w:p w14:paraId="035EB3B2">
            <w:pPr>
              <w:pStyle w:val="6"/>
              <w:spacing w:before="89" w:line="195" w:lineRule="auto"/>
              <w:ind w:left="93"/>
              <w:rPr>
                <w:sz w:val="18"/>
                <w:szCs w:val="18"/>
              </w:rPr>
            </w:pPr>
            <w:r>
              <w:rPr>
                <w:spacing w:val="-2"/>
                <w:sz w:val="18"/>
                <w:szCs w:val="18"/>
              </w:rPr>
              <w:t>0.001L</w:t>
            </w:r>
          </w:p>
        </w:tc>
        <w:tc>
          <w:tcPr>
            <w:tcW w:w="567" w:type="dxa"/>
            <w:vAlign w:val="top"/>
          </w:tcPr>
          <w:p w14:paraId="520BBA4A">
            <w:pPr>
              <w:pStyle w:val="6"/>
              <w:spacing w:before="89" w:line="195" w:lineRule="auto"/>
              <w:ind w:left="122"/>
              <w:rPr>
                <w:sz w:val="18"/>
                <w:szCs w:val="18"/>
              </w:rPr>
            </w:pPr>
            <w:r>
              <w:rPr>
                <w:spacing w:val="-1"/>
                <w:sz w:val="18"/>
                <w:szCs w:val="18"/>
              </w:rPr>
              <w:t>25.0</w:t>
            </w:r>
          </w:p>
        </w:tc>
        <w:tc>
          <w:tcPr>
            <w:tcW w:w="566" w:type="dxa"/>
            <w:vAlign w:val="top"/>
          </w:tcPr>
          <w:p w14:paraId="14140768">
            <w:pPr>
              <w:pStyle w:val="6"/>
              <w:spacing w:before="89" w:line="195" w:lineRule="auto"/>
              <w:ind w:left="170"/>
              <w:rPr>
                <w:sz w:val="18"/>
                <w:szCs w:val="18"/>
              </w:rPr>
            </w:pPr>
            <w:r>
              <w:rPr>
                <w:spacing w:val="-3"/>
                <w:sz w:val="18"/>
                <w:szCs w:val="18"/>
              </w:rPr>
              <w:t>6.9</w:t>
            </w:r>
          </w:p>
        </w:tc>
        <w:tc>
          <w:tcPr>
            <w:tcW w:w="851" w:type="dxa"/>
            <w:vAlign w:val="top"/>
          </w:tcPr>
          <w:p w14:paraId="11B1ACE0">
            <w:pPr>
              <w:pStyle w:val="6"/>
              <w:spacing w:before="89" w:line="195" w:lineRule="auto"/>
              <w:ind w:left="288"/>
              <w:rPr>
                <w:sz w:val="18"/>
                <w:szCs w:val="18"/>
              </w:rPr>
            </w:pPr>
            <w:r>
              <w:rPr>
                <w:spacing w:val="-1"/>
                <w:sz w:val="18"/>
                <w:szCs w:val="18"/>
              </w:rPr>
              <w:t>256</w:t>
            </w:r>
          </w:p>
        </w:tc>
        <w:tc>
          <w:tcPr>
            <w:tcW w:w="567" w:type="dxa"/>
            <w:vAlign w:val="top"/>
          </w:tcPr>
          <w:p w14:paraId="3EC1F329">
            <w:pPr>
              <w:pStyle w:val="6"/>
              <w:spacing w:before="89" w:line="195" w:lineRule="auto"/>
              <w:ind w:left="164"/>
              <w:rPr>
                <w:sz w:val="18"/>
                <w:szCs w:val="18"/>
              </w:rPr>
            </w:pPr>
            <w:r>
              <w:rPr>
                <w:spacing w:val="-5"/>
                <w:sz w:val="18"/>
                <w:szCs w:val="18"/>
              </w:rPr>
              <w:t>192</w:t>
            </w:r>
          </w:p>
        </w:tc>
        <w:tc>
          <w:tcPr>
            <w:tcW w:w="708" w:type="dxa"/>
            <w:vAlign w:val="top"/>
          </w:tcPr>
          <w:p w14:paraId="7CB5F1FB">
            <w:pPr>
              <w:pStyle w:val="6"/>
              <w:spacing w:before="89" w:line="195" w:lineRule="auto"/>
              <w:ind w:left="198"/>
              <w:rPr>
                <w:sz w:val="18"/>
                <w:szCs w:val="18"/>
              </w:rPr>
            </w:pPr>
            <w:r>
              <w:rPr>
                <w:spacing w:val="-2"/>
                <w:sz w:val="18"/>
                <w:szCs w:val="18"/>
              </w:rPr>
              <w:t>0.48</w:t>
            </w:r>
          </w:p>
        </w:tc>
        <w:tc>
          <w:tcPr>
            <w:tcW w:w="851" w:type="dxa"/>
            <w:vAlign w:val="top"/>
          </w:tcPr>
          <w:p w14:paraId="686F7638">
            <w:pPr>
              <w:pStyle w:val="6"/>
              <w:spacing w:before="89" w:line="195" w:lineRule="auto"/>
              <w:ind w:left="170"/>
              <w:rPr>
                <w:sz w:val="18"/>
                <w:szCs w:val="18"/>
              </w:rPr>
            </w:pPr>
            <w:r>
              <w:rPr>
                <w:spacing w:val="-2"/>
                <w:sz w:val="18"/>
                <w:szCs w:val="18"/>
              </w:rPr>
              <w:t>0.002L</w:t>
            </w:r>
          </w:p>
        </w:tc>
        <w:tc>
          <w:tcPr>
            <w:tcW w:w="990" w:type="dxa"/>
            <w:vAlign w:val="top"/>
          </w:tcPr>
          <w:p w14:paraId="59545A74">
            <w:pPr>
              <w:pStyle w:val="6"/>
              <w:spacing w:before="89" w:line="195" w:lineRule="auto"/>
              <w:ind w:left="241"/>
              <w:rPr>
                <w:sz w:val="18"/>
                <w:szCs w:val="18"/>
              </w:rPr>
            </w:pPr>
            <w:r>
              <w:rPr>
                <w:spacing w:val="-2"/>
                <w:sz w:val="18"/>
                <w:szCs w:val="18"/>
              </w:rPr>
              <w:t>0.050L</w:t>
            </w:r>
          </w:p>
        </w:tc>
        <w:tc>
          <w:tcPr>
            <w:tcW w:w="566" w:type="dxa"/>
            <w:vAlign w:val="top"/>
          </w:tcPr>
          <w:p w14:paraId="49B3D5D4">
            <w:pPr>
              <w:pStyle w:val="6"/>
              <w:spacing w:before="89" w:line="195" w:lineRule="auto"/>
              <w:ind w:left="85"/>
              <w:rPr>
                <w:sz w:val="18"/>
                <w:szCs w:val="18"/>
              </w:rPr>
            </w:pPr>
            <w:r>
              <w:rPr>
                <w:spacing w:val="-2"/>
                <w:sz w:val="18"/>
                <w:szCs w:val="18"/>
              </w:rPr>
              <w:t>0.001</w:t>
            </w:r>
          </w:p>
        </w:tc>
        <w:tc>
          <w:tcPr>
            <w:tcW w:w="851" w:type="dxa"/>
            <w:vAlign w:val="top"/>
          </w:tcPr>
          <w:p w14:paraId="4809CD8D">
            <w:pPr>
              <w:pStyle w:val="6"/>
              <w:spacing w:before="89" w:line="195" w:lineRule="auto"/>
              <w:ind w:left="128"/>
              <w:rPr>
                <w:sz w:val="18"/>
                <w:szCs w:val="18"/>
              </w:rPr>
            </w:pPr>
            <w:r>
              <w:rPr>
                <w:spacing w:val="-1"/>
                <w:sz w:val="18"/>
                <w:szCs w:val="18"/>
              </w:rPr>
              <w:t>0.0005L</w:t>
            </w:r>
          </w:p>
        </w:tc>
        <w:tc>
          <w:tcPr>
            <w:tcW w:w="704" w:type="dxa"/>
            <w:vAlign w:val="top"/>
          </w:tcPr>
          <w:p w14:paraId="60A7FE40">
            <w:pPr>
              <w:pStyle w:val="6"/>
              <w:spacing w:before="89" w:line="195" w:lineRule="auto"/>
              <w:ind w:left="100"/>
              <w:rPr>
                <w:sz w:val="18"/>
                <w:szCs w:val="18"/>
              </w:rPr>
            </w:pPr>
            <w:r>
              <w:rPr>
                <w:spacing w:val="-2"/>
                <w:sz w:val="18"/>
                <w:szCs w:val="18"/>
              </w:rPr>
              <w:t>0.004L</w:t>
            </w:r>
          </w:p>
        </w:tc>
        <w:tc>
          <w:tcPr>
            <w:tcW w:w="851" w:type="dxa"/>
            <w:vAlign w:val="top"/>
          </w:tcPr>
          <w:p w14:paraId="4D10CCD6">
            <w:pPr>
              <w:pStyle w:val="6"/>
              <w:spacing w:before="89" w:line="195" w:lineRule="auto"/>
              <w:ind w:left="131"/>
              <w:rPr>
                <w:sz w:val="18"/>
                <w:szCs w:val="18"/>
              </w:rPr>
            </w:pPr>
            <w:r>
              <w:rPr>
                <w:spacing w:val="-1"/>
                <w:sz w:val="18"/>
                <w:szCs w:val="18"/>
              </w:rPr>
              <w:t>0.0025L</w:t>
            </w:r>
          </w:p>
        </w:tc>
        <w:tc>
          <w:tcPr>
            <w:tcW w:w="851" w:type="dxa"/>
            <w:vAlign w:val="top"/>
          </w:tcPr>
          <w:p w14:paraId="19A1555E">
            <w:pPr>
              <w:pStyle w:val="6"/>
              <w:spacing w:before="89" w:line="195" w:lineRule="auto"/>
              <w:ind w:left="187"/>
              <w:rPr>
                <w:sz w:val="18"/>
                <w:szCs w:val="18"/>
              </w:rPr>
            </w:pPr>
            <w:r>
              <w:rPr>
                <w:spacing w:val="-2"/>
                <w:sz w:val="18"/>
                <w:szCs w:val="18"/>
              </w:rPr>
              <w:t>0.0001</w:t>
            </w:r>
          </w:p>
        </w:tc>
        <w:tc>
          <w:tcPr>
            <w:tcW w:w="846" w:type="dxa"/>
            <w:vAlign w:val="top"/>
          </w:tcPr>
          <w:p w14:paraId="4C1166E3">
            <w:pPr>
              <w:pStyle w:val="6"/>
              <w:spacing w:before="89" w:line="195" w:lineRule="auto"/>
              <w:ind w:left="186"/>
              <w:rPr>
                <w:sz w:val="18"/>
                <w:szCs w:val="18"/>
              </w:rPr>
            </w:pPr>
            <w:r>
              <w:rPr>
                <w:spacing w:val="-2"/>
                <w:sz w:val="18"/>
                <w:szCs w:val="18"/>
              </w:rPr>
              <w:t>0.0012</w:t>
            </w:r>
          </w:p>
        </w:tc>
        <w:tc>
          <w:tcPr>
            <w:tcW w:w="684" w:type="dxa"/>
            <w:vAlign w:val="top"/>
          </w:tcPr>
          <w:p w14:paraId="06104030">
            <w:pPr>
              <w:pStyle w:val="6"/>
              <w:spacing w:before="89" w:line="195" w:lineRule="auto"/>
              <w:ind w:left="96"/>
              <w:rPr>
                <w:sz w:val="18"/>
                <w:szCs w:val="18"/>
              </w:rPr>
            </w:pPr>
            <w:r>
              <w:rPr>
                <w:spacing w:val="-2"/>
                <w:sz w:val="18"/>
                <w:szCs w:val="18"/>
              </w:rPr>
              <w:t>0.002L</w:t>
            </w:r>
          </w:p>
        </w:tc>
        <w:tc>
          <w:tcPr>
            <w:tcW w:w="460" w:type="dxa"/>
            <w:vAlign w:val="top"/>
          </w:tcPr>
          <w:p w14:paraId="367FE6FE">
            <w:pPr>
              <w:pStyle w:val="6"/>
              <w:spacing w:before="89" w:line="195" w:lineRule="auto"/>
              <w:ind w:left="130"/>
              <w:rPr>
                <w:sz w:val="18"/>
                <w:szCs w:val="18"/>
              </w:rPr>
            </w:pPr>
            <w:r>
              <w:rPr>
                <w:spacing w:val="-3"/>
                <w:sz w:val="18"/>
                <w:szCs w:val="18"/>
              </w:rPr>
              <w:t>0.6</w:t>
            </w:r>
          </w:p>
        </w:tc>
        <w:tc>
          <w:tcPr>
            <w:tcW w:w="428" w:type="dxa"/>
            <w:vAlign w:val="top"/>
          </w:tcPr>
          <w:p w14:paraId="696C181E">
            <w:pPr>
              <w:pStyle w:val="6"/>
              <w:spacing w:before="89" w:line="195" w:lineRule="auto"/>
              <w:ind w:left="60"/>
              <w:rPr>
                <w:sz w:val="18"/>
                <w:szCs w:val="18"/>
              </w:rPr>
            </w:pPr>
            <w:r>
              <w:rPr>
                <w:spacing w:val="-2"/>
                <w:sz w:val="18"/>
                <w:szCs w:val="18"/>
              </w:rPr>
              <w:t>0.5L</w:t>
            </w:r>
          </w:p>
        </w:tc>
        <w:tc>
          <w:tcPr>
            <w:tcW w:w="447" w:type="dxa"/>
            <w:vAlign w:val="top"/>
          </w:tcPr>
          <w:p w14:paraId="17DBA5F2">
            <w:pPr>
              <w:pStyle w:val="6"/>
              <w:spacing w:before="89" w:line="195" w:lineRule="auto"/>
              <w:ind w:left="205"/>
              <w:rPr>
                <w:sz w:val="18"/>
                <w:szCs w:val="18"/>
              </w:rPr>
            </w:pPr>
            <w:r>
              <w:rPr>
                <w:sz w:val="18"/>
                <w:szCs w:val="18"/>
              </w:rPr>
              <w:t>/</w:t>
            </w:r>
          </w:p>
        </w:tc>
        <w:tc>
          <w:tcPr>
            <w:tcW w:w="666" w:type="dxa"/>
            <w:tcBorders>
              <w:right w:val="single" w:color="000000" w:sz="12" w:space="0"/>
            </w:tcBorders>
            <w:vAlign w:val="top"/>
          </w:tcPr>
          <w:p w14:paraId="0D1B97A7">
            <w:pPr>
              <w:pStyle w:val="6"/>
              <w:spacing w:before="96" w:line="187" w:lineRule="auto"/>
              <w:ind w:left="199"/>
              <w:rPr>
                <w:sz w:val="18"/>
                <w:szCs w:val="18"/>
              </w:rPr>
            </w:pPr>
            <w:r>
              <w:rPr>
                <w:b/>
                <w:bCs/>
                <w:spacing w:val="-1"/>
                <w:sz w:val="18"/>
                <w:szCs w:val="18"/>
              </w:rPr>
              <w:t>320</w:t>
            </w:r>
          </w:p>
        </w:tc>
      </w:tr>
      <w:tr w14:paraId="0DD99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0A1BE414">
            <w:pPr>
              <w:rPr>
                <w:rFonts w:ascii="Arial"/>
                <w:sz w:val="21"/>
              </w:rPr>
            </w:pPr>
          </w:p>
        </w:tc>
        <w:tc>
          <w:tcPr>
            <w:tcW w:w="285" w:type="dxa"/>
            <w:vMerge w:val="continue"/>
            <w:tcBorders>
              <w:top w:val="nil"/>
              <w:bottom w:val="nil"/>
            </w:tcBorders>
            <w:vAlign w:val="top"/>
          </w:tcPr>
          <w:p w14:paraId="74E20D8E">
            <w:pPr>
              <w:rPr>
                <w:rFonts w:ascii="Arial"/>
                <w:sz w:val="21"/>
              </w:rPr>
            </w:pPr>
          </w:p>
        </w:tc>
        <w:tc>
          <w:tcPr>
            <w:tcW w:w="1131" w:type="dxa"/>
            <w:vAlign w:val="top"/>
          </w:tcPr>
          <w:p w14:paraId="172BDDD8">
            <w:pPr>
              <w:pStyle w:val="6"/>
              <w:spacing w:before="90" w:line="194" w:lineRule="auto"/>
              <w:ind w:left="185"/>
              <w:rPr>
                <w:sz w:val="18"/>
                <w:szCs w:val="18"/>
              </w:rPr>
            </w:pPr>
            <w:r>
              <w:rPr>
                <w:spacing w:val="-1"/>
                <w:sz w:val="18"/>
                <w:szCs w:val="18"/>
              </w:rPr>
              <w:t>2021/3/19</w:t>
            </w:r>
          </w:p>
        </w:tc>
        <w:tc>
          <w:tcPr>
            <w:tcW w:w="570" w:type="dxa"/>
            <w:vAlign w:val="top"/>
          </w:tcPr>
          <w:p w14:paraId="63F4E81F">
            <w:pPr>
              <w:pStyle w:val="6"/>
              <w:spacing w:before="95" w:line="183" w:lineRule="auto"/>
              <w:ind w:left="176"/>
              <w:rPr>
                <w:sz w:val="18"/>
                <w:szCs w:val="18"/>
              </w:rPr>
            </w:pPr>
            <w:r>
              <w:rPr>
                <w:spacing w:val="-2"/>
                <w:sz w:val="18"/>
                <w:szCs w:val="18"/>
              </w:rPr>
              <w:t>5L</w:t>
            </w:r>
          </w:p>
        </w:tc>
        <w:tc>
          <w:tcPr>
            <w:tcW w:w="703" w:type="dxa"/>
            <w:vAlign w:val="top"/>
          </w:tcPr>
          <w:p w14:paraId="43CFEB70">
            <w:pPr>
              <w:pStyle w:val="6"/>
              <w:spacing w:before="90" w:line="194" w:lineRule="auto"/>
              <w:ind w:left="175"/>
              <w:rPr>
                <w:sz w:val="18"/>
                <w:szCs w:val="18"/>
              </w:rPr>
            </w:pPr>
            <w:r>
              <w:rPr>
                <w:spacing w:val="-2"/>
                <w:sz w:val="18"/>
                <w:szCs w:val="18"/>
              </w:rPr>
              <w:t>0.5L</w:t>
            </w:r>
          </w:p>
        </w:tc>
        <w:tc>
          <w:tcPr>
            <w:tcW w:w="708" w:type="dxa"/>
            <w:vAlign w:val="top"/>
          </w:tcPr>
          <w:p w14:paraId="6A44B754">
            <w:pPr>
              <w:pStyle w:val="6"/>
              <w:spacing w:before="90" w:line="194" w:lineRule="auto"/>
              <w:ind w:left="188"/>
              <w:rPr>
                <w:sz w:val="18"/>
                <w:szCs w:val="18"/>
              </w:rPr>
            </w:pPr>
            <w:r>
              <w:rPr>
                <w:spacing w:val="-2"/>
                <w:sz w:val="18"/>
                <w:szCs w:val="18"/>
              </w:rPr>
              <w:t>7.82</w:t>
            </w:r>
          </w:p>
        </w:tc>
        <w:tc>
          <w:tcPr>
            <w:tcW w:w="708" w:type="dxa"/>
            <w:vAlign w:val="top"/>
          </w:tcPr>
          <w:p w14:paraId="78109A3B">
            <w:pPr>
              <w:pStyle w:val="6"/>
              <w:spacing w:before="90" w:line="194" w:lineRule="auto"/>
              <w:ind w:left="144"/>
              <w:rPr>
                <w:sz w:val="18"/>
                <w:szCs w:val="18"/>
              </w:rPr>
            </w:pPr>
            <w:r>
              <w:rPr>
                <w:spacing w:val="-2"/>
                <w:sz w:val="18"/>
                <w:szCs w:val="18"/>
              </w:rPr>
              <w:t>0.040</w:t>
            </w:r>
          </w:p>
        </w:tc>
        <w:tc>
          <w:tcPr>
            <w:tcW w:w="851" w:type="dxa"/>
            <w:vAlign w:val="top"/>
          </w:tcPr>
          <w:p w14:paraId="1D322EA1">
            <w:pPr>
              <w:pStyle w:val="6"/>
              <w:spacing w:before="90" w:line="194" w:lineRule="auto"/>
              <w:ind w:left="117"/>
              <w:rPr>
                <w:sz w:val="18"/>
                <w:szCs w:val="18"/>
              </w:rPr>
            </w:pPr>
            <w:r>
              <w:rPr>
                <w:spacing w:val="-1"/>
                <w:sz w:val="18"/>
                <w:szCs w:val="18"/>
              </w:rPr>
              <w:t>0.0045L</w:t>
            </w:r>
          </w:p>
        </w:tc>
        <w:tc>
          <w:tcPr>
            <w:tcW w:w="851" w:type="dxa"/>
            <w:vAlign w:val="top"/>
          </w:tcPr>
          <w:p w14:paraId="41B618E1">
            <w:pPr>
              <w:pStyle w:val="6"/>
              <w:spacing w:before="90" w:line="194" w:lineRule="auto"/>
              <w:ind w:left="118"/>
              <w:rPr>
                <w:sz w:val="18"/>
                <w:szCs w:val="18"/>
              </w:rPr>
            </w:pPr>
            <w:r>
              <w:rPr>
                <w:spacing w:val="-1"/>
                <w:sz w:val="18"/>
                <w:szCs w:val="18"/>
              </w:rPr>
              <w:t>0.0005L</w:t>
            </w:r>
          </w:p>
        </w:tc>
        <w:tc>
          <w:tcPr>
            <w:tcW w:w="708" w:type="dxa"/>
            <w:vAlign w:val="top"/>
          </w:tcPr>
          <w:p w14:paraId="4E88D230">
            <w:pPr>
              <w:pStyle w:val="6"/>
              <w:spacing w:before="90" w:line="194" w:lineRule="auto"/>
              <w:ind w:left="92"/>
              <w:rPr>
                <w:sz w:val="18"/>
                <w:szCs w:val="18"/>
              </w:rPr>
            </w:pPr>
            <w:r>
              <w:rPr>
                <w:spacing w:val="-2"/>
                <w:sz w:val="18"/>
                <w:szCs w:val="18"/>
              </w:rPr>
              <w:t>0.009L</w:t>
            </w:r>
          </w:p>
        </w:tc>
        <w:tc>
          <w:tcPr>
            <w:tcW w:w="707" w:type="dxa"/>
            <w:vAlign w:val="top"/>
          </w:tcPr>
          <w:p w14:paraId="5772C8E3">
            <w:pPr>
              <w:pStyle w:val="6"/>
              <w:spacing w:before="90" w:line="194" w:lineRule="auto"/>
              <w:ind w:left="93"/>
              <w:rPr>
                <w:sz w:val="18"/>
                <w:szCs w:val="18"/>
              </w:rPr>
            </w:pPr>
            <w:r>
              <w:rPr>
                <w:spacing w:val="-2"/>
                <w:sz w:val="18"/>
                <w:szCs w:val="18"/>
              </w:rPr>
              <w:t>0.001L</w:t>
            </w:r>
          </w:p>
        </w:tc>
        <w:tc>
          <w:tcPr>
            <w:tcW w:w="567" w:type="dxa"/>
            <w:vAlign w:val="top"/>
          </w:tcPr>
          <w:p w14:paraId="1FD7C7D0">
            <w:pPr>
              <w:pStyle w:val="6"/>
              <w:spacing w:before="90" w:line="194" w:lineRule="auto"/>
              <w:ind w:left="122"/>
              <w:rPr>
                <w:sz w:val="18"/>
                <w:szCs w:val="18"/>
              </w:rPr>
            </w:pPr>
            <w:r>
              <w:rPr>
                <w:spacing w:val="-1"/>
                <w:sz w:val="18"/>
                <w:szCs w:val="18"/>
              </w:rPr>
              <w:t>24.7</w:t>
            </w:r>
          </w:p>
        </w:tc>
        <w:tc>
          <w:tcPr>
            <w:tcW w:w="566" w:type="dxa"/>
            <w:vAlign w:val="top"/>
          </w:tcPr>
          <w:p w14:paraId="1609F1EF">
            <w:pPr>
              <w:pStyle w:val="6"/>
              <w:spacing w:before="90" w:line="194" w:lineRule="auto"/>
              <w:ind w:left="170"/>
              <w:rPr>
                <w:sz w:val="18"/>
                <w:szCs w:val="18"/>
              </w:rPr>
            </w:pPr>
            <w:r>
              <w:rPr>
                <w:spacing w:val="-3"/>
                <w:sz w:val="18"/>
                <w:szCs w:val="18"/>
              </w:rPr>
              <w:t>6.5</w:t>
            </w:r>
          </w:p>
        </w:tc>
        <w:tc>
          <w:tcPr>
            <w:tcW w:w="851" w:type="dxa"/>
            <w:vAlign w:val="top"/>
          </w:tcPr>
          <w:p w14:paraId="76DC7123">
            <w:pPr>
              <w:pStyle w:val="6"/>
              <w:spacing w:before="90" w:line="194" w:lineRule="auto"/>
              <w:ind w:left="288"/>
              <w:rPr>
                <w:sz w:val="18"/>
                <w:szCs w:val="18"/>
              </w:rPr>
            </w:pPr>
            <w:r>
              <w:rPr>
                <w:spacing w:val="-1"/>
                <w:sz w:val="18"/>
                <w:szCs w:val="18"/>
              </w:rPr>
              <w:t>267</w:t>
            </w:r>
          </w:p>
        </w:tc>
        <w:tc>
          <w:tcPr>
            <w:tcW w:w="567" w:type="dxa"/>
            <w:vAlign w:val="top"/>
          </w:tcPr>
          <w:p w14:paraId="6D470C0F">
            <w:pPr>
              <w:pStyle w:val="6"/>
              <w:spacing w:before="90" w:line="194" w:lineRule="auto"/>
              <w:ind w:left="164"/>
              <w:rPr>
                <w:sz w:val="18"/>
                <w:szCs w:val="18"/>
              </w:rPr>
            </w:pPr>
            <w:r>
              <w:rPr>
                <w:spacing w:val="-5"/>
                <w:sz w:val="18"/>
                <w:szCs w:val="18"/>
              </w:rPr>
              <w:t>196</w:t>
            </w:r>
          </w:p>
        </w:tc>
        <w:tc>
          <w:tcPr>
            <w:tcW w:w="708" w:type="dxa"/>
            <w:vAlign w:val="top"/>
          </w:tcPr>
          <w:p w14:paraId="6CAD2302">
            <w:pPr>
              <w:pStyle w:val="6"/>
              <w:spacing w:before="90" w:line="194" w:lineRule="auto"/>
              <w:ind w:left="198"/>
              <w:rPr>
                <w:sz w:val="18"/>
                <w:szCs w:val="18"/>
              </w:rPr>
            </w:pPr>
            <w:r>
              <w:rPr>
                <w:spacing w:val="-2"/>
                <w:sz w:val="18"/>
                <w:szCs w:val="18"/>
              </w:rPr>
              <w:t>0.43</w:t>
            </w:r>
          </w:p>
        </w:tc>
        <w:tc>
          <w:tcPr>
            <w:tcW w:w="851" w:type="dxa"/>
            <w:vAlign w:val="top"/>
          </w:tcPr>
          <w:p w14:paraId="5117CD49">
            <w:pPr>
              <w:pStyle w:val="6"/>
              <w:spacing w:before="90" w:line="194" w:lineRule="auto"/>
              <w:ind w:left="170"/>
              <w:rPr>
                <w:sz w:val="18"/>
                <w:szCs w:val="18"/>
              </w:rPr>
            </w:pPr>
            <w:r>
              <w:rPr>
                <w:spacing w:val="-2"/>
                <w:sz w:val="18"/>
                <w:szCs w:val="18"/>
              </w:rPr>
              <w:t>0.002L</w:t>
            </w:r>
          </w:p>
        </w:tc>
        <w:tc>
          <w:tcPr>
            <w:tcW w:w="990" w:type="dxa"/>
            <w:vAlign w:val="top"/>
          </w:tcPr>
          <w:p w14:paraId="21FFF37C">
            <w:pPr>
              <w:pStyle w:val="6"/>
              <w:spacing w:before="90" w:line="194" w:lineRule="auto"/>
              <w:ind w:left="241"/>
              <w:rPr>
                <w:sz w:val="18"/>
                <w:szCs w:val="18"/>
              </w:rPr>
            </w:pPr>
            <w:r>
              <w:rPr>
                <w:spacing w:val="-2"/>
                <w:sz w:val="18"/>
                <w:szCs w:val="18"/>
              </w:rPr>
              <w:t>0.050L</w:t>
            </w:r>
          </w:p>
        </w:tc>
        <w:tc>
          <w:tcPr>
            <w:tcW w:w="566" w:type="dxa"/>
            <w:vAlign w:val="top"/>
          </w:tcPr>
          <w:p w14:paraId="5092349F">
            <w:pPr>
              <w:pStyle w:val="6"/>
              <w:spacing w:before="90" w:line="194" w:lineRule="auto"/>
              <w:ind w:left="85"/>
              <w:rPr>
                <w:sz w:val="18"/>
                <w:szCs w:val="18"/>
              </w:rPr>
            </w:pPr>
            <w:r>
              <w:rPr>
                <w:spacing w:val="-2"/>
                <w:sz w:val="18"/>
                <w:szCs w:val="18"/>
              </w:rPr>
              <w:t>0.001</w:t>
            </w:r>
          </w:p>
        </w:tc>
        <w:tc>
          <w:tcPr>
            <w:tcW w:w="851" w:type="dxa"/>
            <w:vAlign w:val="top"/>
          </w:tcPr>
          <w:p w14:paraId="265912D6">
            <w:pPr>
              <w:pStyle w:val="6"/>
              <w:spacing w:before="90" w:line="194" w:lineRule="auto"/>
              <w:ind w:left="128"/>
              <w:rPr>
                <w:sz w:val="18"/>
                <w:szCs w:val="18"/>
              </w:rPr>
            </w:pPr>
            <w:r>
              <w:rPr>
                <w:spacing w:val="-1"/>
                <w:sz w:val="18"/>
                <w:szCs w:val="18"/>
              </w:rPr>
              <w:t>0.0005L</w:t>
            </w:r>
          </w:p>
        </w:tc>
        <w:tc>
          <w:tcPr>
            <w:tcW w:w="704" w:type="dxa"/>
            <w:vAlign w:val="top"/>
          </w:tcPr>
          <w:p w14:paraId="34A68981">
            <w:pPr>
              <w:pStyle w:val="6"/>
              <w:spacing w:before="90" w:line="194" w:lineRule="auto"/>
              <w:ind w:left="100"/>
              <w:rPr>
                <w:sz w:val="18"/>
                <w:szCs w:val="18"/>
              </w:rPr>
            </w:pPr>
            <w:r>
              <w:rPr>
                <w:spacing w:val="-2"/>
                <w:sz w:val="18"/>
                <w:szCs w:val="18"/>
              </w:rPr>
              <w:t>0.004L</w:t>
            </w:r>
          </w:p>
        </w:tc>
        <w:tc>
          <w:tcPr>
            <w:tcW w:w="851" w:type="dxa"/>
            <w:vAlign w:val="top"/>
          </w:tcPr>
          <w:p w14:paraId="2FD74593">
            <w:pPr>
              <w:pStyle w:val="6"/>
              <w:spacing w:before="90" w:line="194" w:lineRule="auto"/>
              <w:ind w:left="131"/>
              <w:rPr>
                <w:sz w:val="18"/>
                <w:szCs w:val="18"/>
              </w:rPr>
            </w:pPr>
            <w:r>
              <w:rPr>
                <w:spacing w:val="-1"/>
                <w:sz w:val="18"/>
                <w:szCs w:val="18"/>
              </w:rPr>
              <w:t>0.0025L</w:t>
            </w:r>
          </w:p>
        </w:tc>
        <w:tc>
          <w:tcPr>
            <w:tcW w:w="851" w:type="dxa"/>
            <w:vAlign w:val="top"/>
          </w:tcPr>
          <w:p w14:paraId="03463053">
            <w:pPr>
              <w:pStyle w:val="6"/>
              <w:spacing w:before="90" w:line="194" w:lineRule="auto"/>
              <w:ind w:left="187"/>
              <w:rPr>
                <w:sz w:val="18"/>
                <w:szCs w:val="18"/>
              </w:rPr>
            </w:pPr>
            <w:r>
              <w:rPr>
                <w:spacing w:val="-2"/>
                <w:sz w:val="18"/>
                <w:szCs w:val="18"/>
              </w:rPr>
              <w:t>0.0001</w:t>
            </w:r>
          </w:p>
        </w:tc>
        <w:tc>
          <w:tcPr>
            <w:tcW w:w="846" w:type="dxa"/>
            <w:vAlign w:val="top"/>
          </w:tcPr>
          <w:p w14:paraId="0CAB2D49">
            <w:pPr>
              <w:pStyle w:val="6"/>
              <w:spacing w:before="90" w:line="194" w:lineRule="auto"/>
              <w:ind w:left="186"/>
              <w:rPr>
                <w:sz w:val="18"/>
                <w:szCs w:val="18"/>
              </w:rPr>
            </w:pPr>
            <w:r>
              <w:rPr>
                <w:spacing w:val="-2"/>
                <w:sz w:val="18"/>
                <w:szCs w:val="18"/>
              </w:rPr>
              <w:t>0.0013</w:t>
            </w:r>
          </w:p>
        </w:tc>
        <w:tc>
          <w:tcPr>
            <w:tcW w:w="684" w:type="dxa"/>
            <w:vAlign w:val="top"/>
          </w:tcPr>
          <w:p w14:paraId="59E9AB67">
            <w:pPr>
              <w:pStyle w:val="6"/>
              <w:spacing w:before="90" w:line="194" w:lineRule="auto"/>
              <w:ind w:left="96"/>
              <w:rPr>
                <w:sz w:val="18"/>
                <w:szCs w:val="18"/>
              </w:rPr>
            </w:pPr>
            <w:r>
              <w:rPr>
                <w:spacing w:val="-2"/>
                <w:sz w:val="18"/>
                <w:szCs w:val="18"/>
              </w:rPr>
              <w:t>0.002L</w:t>
            </w:r>
          </w:p>
        </w:tc>
        <w:tc>
          <w:tcPr>
            <w:tcW w:w="460" w:type="dxa"/>
            <w:vAlign w:val="top"/>
          </w:tcPr>
          <w:p w14:paraId="3058442D">
            <w:pPr>
              <w:pStyle w:val="6"/>
              <w:spacing w:before="90" w:line="194" w:lineRule="auto"/>
              <w:ind w:left="130"/>
              <w:rPr>
                <w:sz w:val="18"/>
                <w:szCs w:val="18"/>
              </w:rPr>
            </w:pPr>
            <w:r>
              <w:rPr>
                <w:spacing w:val="-3"/>
                <w:sz w:val="18"/>
                <w:szCs w:val="18"/>
              </w:rPr>
              <w:t>0.8</w:t>
            </w:r>
          </w:p>
        </w:tc>
        <w:tc>
          <w:tcPr>
            <w:tcW w:w="428" w:type="dxa"/>
            <w:vAlign w:val="top"/>
          </w:tcPr>
          <w:p w14:paraId="7E419979">
            <w:pPr>
              <w:pStyle w:val="6"/>
              <w:spacing w:before="90" w:line="194" w:lineRule="auto"/>
              <w:ind w:left="60"/>
              <w:rPr>
                <w:sz w:val="18"/>
                <w:szCs w:val="18"/>
              </w:rPr>
            </w:pPr>
            <w:r>
              <w:rPr>
                <w:spacing w:val="-2"/>
                <w:sz w:val="18"/>
                <w:szCs w:val="18"/>
              </w:rPr>
              <w:t>0.5L</w:t>
            </w:r>
          </w:p>
        </w:tc>
        <w:tc>
          <w:tcPr>
            <w:tcW w:w="447" w:type="dxa"/>
            <w:vAlign w:val="top"/>
          </w:tcPr>
          <w:p w14:paraId="6E99229A">
            <w:pPr>
              <w:pStyle w:val="6"/>
              <w:spacing w:before="90" w:line="194" w:lineRule="auto"/>
              <w:ind w:left="205"/>
              <w:rPr>
                <w:sz w:val="18"/>
                <w:szCs w:val="18"/>
              </w:rPr>
            </w:pPr>
            <w:r>
              <w:rPr>
                <w:sz w:val="18"/>
                <w:szCs w:val="18"/>
              </w:rPr>
              <w:t>/</w:t>
            </w:r>
          </w:p>
        </w:tc>
        <w:tc>
          <w:tcPr>
            <w:tcW w:w="666" w:type="dxa"/>
            <w:tcBorders>
              <w:right w:val="single" w:color="000000" w:sz="12" w:space="0"/>
            </w:tcBorders>
            <w:vAlign w:val="top"/>
          </w:tcPr>
          <w:p w14:paraId="6900B661">
            <w:pPr>
              <w:pStyle w:val="6"/>
              <w:spacing w:before="96" w:line="187" w:lineRule="auto"/>
              <w:ind w:left="199"/>
              <w:rPr>
                <w:sz w:val="18"/>
                <w:szCs w:val="18"/>
              </w:rPr>
            </w:pPr>
            <w:r>
              <w:rPr>
                <w:b/>
                <w:bCs/>
                <w:spacing w:val="-1"/>
                <w:sz w:val="18"/>
                <w:szCs w:val="18"/>
              </w:rPr>
              <w:t>300</w:t>
            </w:r>
          </w:p>
        </w:tc>
      </w:tr>
      <w:tr w14:paraId="0431F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707" w:type="dxa"/>
            <w:vMerge w:val="continue"/>
            <w:tcBorders>
              <w:top w:val="nil"/>
              <w:left w:val="single" w:color="000000" w:sz="12" w:space="0"/>
              <w:bottom w:val="nil"/>
            </w:tcBorders>
            <w:vAlign w:val="top"/>
          </w:tcPr>
          <w:p w14:paraId="0CC95186">
            <w:pPr>
              <w:rPr>
                <w:rFonts w:ascii="Arial"/>
                <w:sz w:val="21"/>
              </w:rPr>
            </w:pPr>
          </w:p>
        </w:tc>
        <w:tc>
          <w:tcPr>
            <w:tcW w:w="285" w:type="dxa"/>
            <w:vMerge w:val="continue"/>
            <w:tcBorders>
              <w:top w:val="nil"/>
            </w:tcBorders>
            <w:vAlign w:val="top"/>
          </w:tcPr>
          <w:p w14:paraId="63F491A0">
            <w:pPr>
              <w:rPr>
                <w:rFonts w:ascii="Arial"/>
                <w:sz w:val="21"/>
              </w:rPr>
            </w:pPr>
          </w:p>
        </w:tc>
        <w:tc>
          <w:tcPr>
            <w:tcW w:w="1131" w:type="dxa"/>
            <w:vAlign w:val="top"/>
          </w:tcPr>
          <w:p w14:paraId="1157BC18">
            <w:pPr>
              <w:pStyle w:val="6"/>
              <w:spacing w:before="90" w:line="193" w:lineRule="auto"/>
              <w:ind w:left="185"/>
              <w:rPr>
                <w:sz w:val="18"/>
                <w:szCs w:val="18"/>
              </w:rPr>
            </w:pPr>
            <w:r>
              <w:rPr>
                <w:spacing w:val="-1"/>
                <w:sz w:val="18"/>
                <w:szCs w:val="18"/>
              </w:rPr>
              <w:t>2021/3/20</w:t>
            </w:r>
          </w:p>
        </w:tc>
        <w:tc>
          <w:tcPr>
            <w:tcW w:w="570" w:type="dxa"/>
            <w:vAlign w:val="top"/>
          </w:tcPr>
          <w:p w14:paraId="5155F193">
            <w:pPr>
              <w:pStyle w:val="6"/>
              <w:spacing w:before="96" w:line="183" w:lineRule="auto"/>
              <w:ind w:left="176"/>
              <w:rPr>
                <w:sz w:val="18"/>
                <w:szCs w:val="18"/>
              </w:rPr>
            </w:pPr>
            <w:r>
              <w:rPr>
                <w:spacing w:val="-2"/>
                <w:sz w:val="18"/>
                <w:szCs w:val="18"/>
              </w:rPr>
              <w:t>5L</w:t>
            </w:r>
          </w:p>
        </w:tc>
        <w:tc>
          <w:tcPr>
            <w:tcW w:w="703" w:type="dxa"/>
            <w:vAlign w:val="top"/>
          </w:tcPr>
          <w:p w14:paraId="7DB54395">
            <w:pPr>
              <w:pStyle w:val="6"/>
              <w:spacing w:before="90" w:line="193" w:lineRule="auto"/>
              <w:ind w:left="175"/>
              <w:rPr>
                <w:sz w:val="18"/>
                <w:szCs w:val="18"/>
              </w:rPr>
            </w:pPr>
            <w:r>
              <w:rPr>
                <w:spacing w:val="-2"/>
                <w:sz w:val="18"/>
                <w:szCs w:val="18"/>
              </w:rPr>
              <w:t>0.5L</w:t>
            </w:r>
          </w:p>
        </w:tc>
        <w:tc>
          <w:tcPr>
            <w:tcW w:w="708" w:type="dxa"/>
            <w:vAlign w:val="top"/>
          </w:tcPr>
          <w:p w14:paraId="0D68D80E">
            <w:pPr>
              <w:pStyle w:val="6"/>
              <w:spacing w:before="90" w:line="193" w:lineRule="auto"/>
              <w:ind w:left="188"/>
              <w:rPr>
                <w:sz w:val="18"/>
                <w:szCs w:val="18"/>
              </w:rPr>
            </w:pPr>
            <w:r>
              <w:rPr>
                <w:spacing w:val="-2"/>
                <w:sz w:val="18"/>
                <w:szCs w:val="18"/>
              </w:rPr>
              <w:t>7.72</w:t>
            </w:r>
          </w:p>
        </w:tc>
        <w:tc>
          <w:tcPr>
            <w:tcW w:w="708" w:type="dxa"/>
            <w:vAlign w:val="top"/>
          </w:tcPr>
          <w:p w14:paraId="5EA544D0">
            <w:pPr>
              <w:pStyle w:val="6"/>
              <w:spacing w:before="90" w:line="193" w:lineRule="auto"/>
              <w:ind w:left="144"/>
              <w:rPr>
                <w:sz w:val="18"/>
                <w:szCs w:val="18"/>
              </w:rPr>
            </w:pPr>
            <w:r>
              <w:rPr>
                <w:spacing w:val="-2"/>
                <w:sz w:val="18"/>
                <w:szCs w:val="18"/>
              </w:rPr>
              <w:t>0.043</w:t>
            </w:r>
          </w:p>
        </w:tc>
        <w:tc>
          <w:tcPr>
            <w:tcW w:w="851" w:type="dxa"/>
            <w:vAlign w:val="top"/>
          </w:tcPr>
          <w:p w14:paraId="0FF92737">
            <w:pPr>
              <w:pStyle w:val="6"/>
              <w:spacing w:before="90" w:line="193" w:lineRule="auto"/>
              <w:ind w:left="117"/>
              <w:rPr>
                <w:sz w:val="18"/>
                <w:szCs w:val="18"/>
              </w:rPr>
            </w:pPr>
            <w:r>
              <w:rPr>
                <w:spacing w:val="-1"/>
                <w:sz w:val="18"/>
                <w:szCs w:val="18"/>
              </w:rPr>
              <w:t>0.0045L</w:t>
            </w:r>
          </w:p>
        </w:tc>
        <w:tc>
          <w:tcPr>
            <w:tcW w:w="851" w:type="dxa"/>
            <w:vAlign w:val="top"/>
          </w:tcPr>
          <w:p w14:paraId="10E97F2D">
            <w:pPr>
              <w:pStyle w:val="6"/>
              <w:spacing w:before="90" w:line="193" w:lineRule="auto"/>
              <w:ind w:left="118"/>
              <w:rPr>
                <w:sz w:val="18"/>
                <w:szCs w:val="18"/>
              </w:rPr>
            </w:pPr>
            <w:r>
              <w:rPr>
                <w:spacing w:val="-1"/>
                <w:sz w:val="18"/>
                <w:szCs w:val="18"/>
              </w:rPr>
              <w:t>0.0005L</w:t>
            </w:r>
          </w:p>
        </w:tc>
        <w:tc>
          <w:tcPr>
            <w:tcW w:w="708" w:type="dxa"/>
            <w:vAlign w:val="top"/>
          </w:tcPr>
          <w:p w14:paraId="6EA0C23A">
            <w:pPr>
              <w:pStyle w:val="6"/>
              <w:spacing w:before="90" w:line="193" w:lineRule="auto"/>
              <w:ind w:left="92"/>
              <w:rPr>
                <w:sz w:val="18"/>
                <w:szCs w:val="18"/>
              </w:rPr>
            </w:pPr>
            <w:r>
              <w:rPr>
                <w:spacing w:val="-2"/>
                <w:sz w:val="18"/>
                <w:szCs w:val="18"/>
              </w:rPr>
              <w:t>0.009L</w:t>
            </w:r>
          </w:p>
        </w:tc>
        <w:tc>
          <w:tcPr>
            <w:tcW w:w="707" w:type="dxa"/>
            <w:vAlign w:val="top"/>
          </w:tcPr>
          <w:p w14:paraId="6718026C">
            <w:pPr>
              <w:pStyle w:val="6"/>
              <w:spacing w:before="90" w:line="193" w:lineRule="auto"/>
              <w:ind w:left="93"/>
              <w:rPr>
                <w:sz w:val="18"/>
                <w:szCs w:val="18"/>
              </w:rPr>
            </w:pPr>
            <w:r>
              <w:rPr>
                <w:spacing w:val="-2"/>
                <w:sz w:val="18"/>
                <w:szCs w:val="18"/>
              </w:rPr>
              <w:t>0.001L</w:t>
            </w:r>
          </w:p>
        </w:tc>
        <w:tc>
          <w:tcPr>
            <w:tcW w:w="567" w:type="dxa"/>
            <w:vAlign w:val="top"/>
          </w:tcPr>
          <w:p w14:paraId="47351E34">
            <w:pPr>
              <w:pStyle w:val="6"/>
              <w:spacing w:before="90" w:line="193" w:lineRule="auto"/>
              <w:ind w:left="122"/>
              <w:rPr>
                <w:sz w:val="18"/>
                <w:szCs w:val="18"/>
              </w:rPr>
            </w:pPr>
            <w:r>
              <w:rPr>
                <w:spacing w:val="-1"/>
                <w:sz w:val="18"/>
                <w:szCs w:val="18"/>
              </w:rPr>
              <w:t>25.1</w:t>
            </w:r>
          </w:p>
        </w:tc>
        <w:tc>
          <w:tcPr>
            <w:tcW w:w="566" w:type="dxa"/>
            <w:vAlign w:val="top"/>
          </w:tcPr>
          <w:p w14:paraId="34A8AF12">
            <w:pPr>
              <w:pStyle w:val="6"/>
              <w:spacing w:before="90" w:line="193" w:lineRule="auto"/>
              <w:ind w:left="169"/>
              <w:rPr>
                <w:sz w:val="18"/>
                <w:szCs w:val="18"/>
              </w:rPr>
            </w:pPr>
            <w:r>
              <w:rPr>
                <w:spacing w:val="-3"/>
                <w:sz w:val="18"/>
                <w:szCs w:val="18"/>
              </w:rPr>
              <w:t>7.1</w:t>
            </w:r>
          </w:p>
        </w:tc>
        <w:tc>
          <w:tcPr>
            <w:tcW w:w="851" w:type="dxa"/>
            <w:vAlign w:val="top"/>
          </w:tcPr>
          <w:p w14:paraId="6707A750">
            <w:pPr>
              <w:pStyle w:val="6"/>
              <w:spacing w:before="90" w:line="193" w:lineRule="auto"/>
              <w:ind w:left="288"/>
              <w:rPr>
                <w:sz w:val="18"/>
                <w:szCs w:val="18"/>
              </w:rPr>
            </w:pPr>
            <w:r>
              <w:rPr>
                <w:spacing w:val="-1"/>
                <w:sz w:val="18"/>
                <w:szCs w:val="18"/>
              </w:rPr>
              <w:t>259</w:t>
            </w:r>
          </w:p>
        </w:tc>
        <w:tc>
          <w:tcPr>
            <w:tcW w:w="567" w:type="dxa"/>
            <w:vAlign w:val="top"/>
          </w:tcPr>
          <w:p w14:paraId="2A475DC1">
            <w:pPr>
              <w:pStyle w:val="6"/>
              <w:spacing w:before="90" w:line="193" w:lineRule="auto"/>
              <w:ind w:left="164"/>
              <w:rPr>
                <w:sz w:val="18"/>
                <w:szCs w:val="18"/>
              </w:rPr>
            </w:pPr>
            <w:r>
              <w:rPr>
                <w:spacing w:val="-5"/>
                <w:sz w:val="18"/>
                <w:szCs w:val="18"/>
              </w:rPr>
              <w:t>190</w:t>
            </w:r>
          </w:p>
        </w:tc>
        <w:tc>
          <w:tcPr>
            <w:tcW w:w="708" w:type="dxa"/>
            <w:vAlign w:val="top"/>
          </w:tcPr>
          <w:p w14:paraId="75FC6759">
            <w:pPr>
              <w:pStyle w:val="6"/>
              <w:spacing w:before="90" w:line="193" w:lineRule="auto"/>
              <w:ind w:left="198"/>
              <w:rPr>
                <w:sz w:val="18"/>
                <w:szCs w:val="18"/>
              </w:rPr>
            </w:pPr>
            <w:r>
              <w:rPr>
                <w:spacing w:val="-2"/>
                <w:sz w:val="18"/>
                <w:szCs w:val="18"/>
              </w:rPr>
              <w:t>0.46</w:t>
            </w:r>
          </w:p>
        </w:tc>
        <w:tc>
          <w:tcPr>
            <w:tcW w:w="851" w:type="dxa"/>
            <w:vAlign w:val="top"/>
          </w:tcPr>
          <w:p w14:paraId="4413BB7B">
            <w:pPr>
              <w:pStyle w:val="6"/>
              <w:spacing w:before="90" w:line="193" w:lineRule="auto"/>
              <w:ind w:left="170"/>
              <w:rPr>
                <w:sz w:val="18"/>
                <w:szCs w:val="18"/>
              </w:rPr>
            </w:pPr>
            <w:r>
              <w:rPr>
                <w:spacing w:val="-2"/>
                <w:sz w:val="18"/>
                <w:szCs w:val="18"/>
              </w:rPr>
              <w:t>0.002L</w:t>
            </w:r>
          </w:p>
        </w:tc>
        <w:tc>
          <w:tcPr>
            <w:tcW w:w="990" w:type="dxa"/>
            <w:vAlign w:val="top"/>
          </w:tcPr>
          <w:p w14:paraId="0368778D">
            <w:pPr>
              <w:pStyle w:val="6"/>
              <w:spacing w:before="90" w:line="193" w:lineRule="auto"/>
              <w:ind w:left="241"/>
              <w:rPr>
                <w:sz w:val="18"/>
                <w:szCs w:val="18"/>
              </w:rPr>
            </w:pPr>
            <w:r>
              <w:rPr>
                <w:spacing w:val="-2"/>
                <w:sz w:val="18"/>
                <w:szCs w:val="18"/>
              </w:rPr>
              <w:t>0.050L</w:t>
            </w:r>
          </w:p>
        </w:tc>
        <w:tc>
          <w:tcPr>
            <w:tcW w:w="566" w:type="dxa"/>
            <w:vAlign w:val="top"/>
          </w:tcPr>
          <w:p w14:paraId="60B0AD33">
            <w:pPr>
              <w:pStyle w:val="6"/>
              <w:spacing w:before="90" w:line="193" w:lineRule="auto"/>
              <w:ind w:left="85"/>
              <w:rPr>
                <w:sz w:val="18"/>
                <w:szCs w:val="18"/>
              </w:rPr>
            </w:pPr>
            <w:r>
              <w:rPr>
                <w:spacing w:val="-2"/>
                <w:sz w:val="18"/>
                <w:szCs w:val="18"/>
              </w:rPr>
              <w:t>0.001</w:t>
            </w:r>
          </w:p>
        </w:tc>
        <w:tc>
          <w:tcPr>
            <w:tcW w:w="851" w:type="dxa"/>
            <w:vAlign w:val="top"/>
          </w:tcPr>
          <w:p w14:paraId="4A3185A9">
            <w:pPr>
              <w:pStyle w:val="6"/>
              <w:spacing w:before="90" w:line="193" w:lineRule="auto"/>
              <w:ind w:left="128"/>
              <w:rPr>
                <w:sz w:val="18"/>
                <w:szCs w:val="18"/>
              </w:rPr>
            </w:pPr>
            <w:r>
              <w:rPr>
                <w:spacing w:val="-1"/>
                <w:sz w:val="18"/>
                <w:szCs w:val="18"/>
              </w:rPr>
              <w:t>0.0005L</w:t>
            </w:r>
          </w:p>
        </w:tc>
        <w:tc>
          <w:tcPr>
            <w:tcW w:w="704" w:type="dxa"/>
            <w:vAlign w:val="top"/>
          </w:tcPr>
          <w:p w14:paraId="5C1E06F4">
            <w:pPr>
              <w:pStyle w:val="6"/>
              <w:spacing w:before="90" w:line="193" w:lineRule="auto"/>
              <w:ind w:left="100"/>
              <w:rPr>
                <w:sz w:val="18"/>
                <w:szCs w:val="18"/>
              </w:rPr>
            </w:pPr>
            <w:r>
              <w:rPr>
                <w:spacing w:val="-2"/>
                <w:sz w:val="18"/>
                <w:szCs w:val="18"/>
              </w:rPr>
              <w:t>0.004L</w:t>
            </w:r>
          </w:p>
        </w:tc>
        <w:tc>
          <w:tcPr>
            <w:tcW w:w="851" w:type="dxa"/>
            <w:vAlign w:val="top"/>
          </w:tcPr>
          <w:p w14:paraId="07B89B73">
            <w:pPr>
              <w:pStyle w:val="6"/>
              <w:spacing w:before="90" w:line="193" w:lineRule="auto"/>
              <w:ind w:left="131"/>
              <w:rPr>
                <w:sz w:val="18"/>
                <w:szCs w:val="18"/>
              </w:rPr>
            </w:pPr>
            <w:r>
              <w:rPr>
                <w:spacing w:val="-1"/>
                <w:sz w:val="18"/>
                <w:szCs w:val="18"/>
              </w:rPr>
              <w:t>0.0025L</w:t>
            </w:r>
          </w:p>
        </w:tc>
        <w:tc>
          <w:tcPr>
            <w:tcW w:w="851" w:type="dxa"/>
            <w:vAlign w:val="top"/>
          </w:tcPr>
          <w:p w14:paraId="5E87EABC">
            <w:pPr>
              <w:pStyle w:val="6"/>
              <w:spacing w:before="90" w:line="193" w:lineRule="auto"/>
              <w:ind w:left="187"/>
              <w:rPr>
                <w:sz w:val="18"/>
                <w:szCs w:val="18"/>
              </w:rPr>
            </w:pPr>
            <w:r>
              <w:rPr>
                <w:spacing w:val="-1"/>
                <w:sz w:val="18"/>
                <w:szCs w:val="18"/>
              </w:rPr>
              <w:t>0.0001</w:t>
            </w:r>
          </w:p>
        </w:tc>
        <w:tc>
          <w:tcPr>
            <w:tcW w:w="846" w:type="dxa"/>
            <w:vAlign w:val="top"/>
          </w:tcPr>
          <w:p w14:paraId="43342549">
            <w:pPr>
              <w:pStyle w:val="6"/>
              <w:spacing w:before="90" w:line="193" w:lineRule="auto"/>
              <w:ind w:left="186"/>
              <w:rPr>
                <w:sz w:val="18"/>
                <w:szCs w:val="18"/>
              </w:rPr>
            </w:pPr>
            <w:r>
              <w:rPr>
                <w:spacing w:val="-2"/>
                <w:sz w:val="18"/>
                <w:szCs w:val="18"/>
              </w:rPr>
              <w:t>0.0012</w:t>
            </w:r>
          </w:p>
        </w:tc>
        <w:tc>
          <w:tcPr>
            <w:tcW w:w="684" w:type="dxa"/>
            <w:vAlign w:val="top"/>
          </w:tcPr>
          <w:p w14:paraId="6BC81893">
            <w:pPr>
              <w:pStyle w:val="6"/>
              <w:spacing w:before="90" w:line="193" w:lineRule="auto"/>
              <w:ind w:left="96"/>
              <w:rPr>
                <w:sz w:val="18"/>
                <w:szCs w:val="18"/>
              </w:rPr>
            </w:pPr>
            <w:r>
              <w:rPr>
                <w:spacing w:val="-2"/>
                <w:sz w:val="18"/>
                <w:szCs w:val="18"/>
              </w:rPr>
              <w:t>0.002L</w:t>
            </w:r>
          </w:p>
        </w:tc>
        <w:tc>
          <w:tcPr>
            <w:tcW w:w="460" w:type="dxa"/>
            <w:vAlign w:val="top"/>
          </w:tcPr>
          <w:p w14:paraId="01840051">
            <w:pPr>
              <w:pStyle w:val="6"/>
              <w:spacing w:before="90" w:line="193" w:lineRule="auto"/>
              <w:ind w:left="130"/>
              <w:rPr>
                <w:sz w:val="18"/>
                <w:szCs w:val="18"/>
              </w:rPr>
            </w:pPr>
            <w:r>
              <w:rPr>
                <w:spacing w:val="-3"/>
                <w:sz w:val="18"/>
                <w:szCs w:val="18"/>
              </w:rPr>
              <w:t>0.7</w:t>
            </w:r>
          </w:p>
        </w:tc>
        <w:tc>
          <w:tcPr>
            <w:tcW w:w="428" w:type="dxa"/>
            <w:vAlign w:val="top"/>
          </w:tcPr>
          <w:p w14:paraId="73198951">
            <w:pPr>
              <w:pStyle w:val="6"/>
              <w:spacing w:before="90" w:line="193" w:lineRule="auto"/>
              <w:ind w:left="60"/>
              <w:rPr>
                <w:sz w:val="18"/>
                <w:szCs w:val="18"/>
              </w:rPr>
            </w:pPr>
            <w:r>
              <w:rPr>
                <w:spacing w:val="-2"/>
                <w:sz w:val="18"/>
                <w:szCs w:val="18"/>
              </w:rPr>
              <w:t>0.5L</w:t>
            </w:r>
          </w:p>
        </w:tc>
        <w:tc>
          <w:tcPr>
            <w:tcW w:w="447" w:type="dxa"/>
            <w:vAlign w:val="top"/>
          </w:tcPr>
          <w:p w14:paraId="114CBC91">
            <w:pPr>
              <w:pStyle w:val="6"/>
              <w:spacing w:before="90" w:line="193" w:lineRule="auto"/>
              <w:ind w:left="205"/>
              <w:rPr>
                <w:sz w:val="18"/>
                <w:szCs w:val="18"/>
              </w:rPr>
            </w:pPr>
            <w:r>
              <w:rPr>
                <w:sz w:val="18"/>
                <w:szCs w:val="18"/>
              </w:rPr>
              <w:t>/</w:t>
            </w:r>
          </w:p>
        </w:tc>
        <w:tc>
          <w:tcPr>
            <w:tcW w:w="666" w:type="dxa"/>
            <w:tcBorders>
              <w:right w:val="single" w:color="000000" w:sz="12" w:space="0"/>
            </w:tcBorders>
            <w:vAlign w:val="top"/>
          </w:tcPr>
          <w:p w14:paraId="06DE6DB6">
            <w:pPr>
              <w:pStyle w:val="6"/>
              <w:spacing w:before="97" w:line="185" w:lineRule="auto"/>
              <w:ind w:left="199"/>
              <w:rPr>
                <w:sz w:val="18"/>
                <w:szCs w:val="18"/>
              </w:rPr>
            </w:pPr>
            <w:r>
              <w:rPr>
                <w:b/>
                <w:bCs/>
                <w:spacing w:val="-1"/>
                <w:sz w:val="18"/>
                <w:szCs w:val="18"/>
              </w:rPr>
              <w:t>310</w:t>
            </w:r>
          </w:p>
        </w:tc>
      </w:tr>
      <w:tr w14:paraId="5C822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6163D9F5">
            <w:pPr>
              <w:rPr>
                <w:rFonts w:ascii="Arial"/>
                <w:sz w:val="21"/>
              </w:rPr>
            </w:pPr>
          </w:p>
        </w:tc>
        <w:tc>
          <w:tcPr>
            <w:tcW w:w="285" w:type="dxa"/>
            <w:vMerge w:val="restart"/>
            <w:tcBorders>
              <w:bottom w:val="nil"/>
            </w:tcBorders>
            <w:vAlign w:val="top"/>
          </w:tcPr>
          <w:p w14:paraId="7D936D43">
            <w:pPr>
              <w:pStyle w:val="6"/>
              <w:spacing w:before="125" w:line="226" w:lineRule="auto"/>
              <w:ind w:left="80"/>
              <w:rPr>
                <w:sz w:val="18"/>
                <w:szCs w:val="18"/>
              </w:rPr>
            </w:pPr>
            <w:r>
              <w:rPr>
                <w:sz w:val="18"/>
                <w:szCs w:val="18"/>
              </w:rPr>
              <w:t>2</w:t>
            </w:r>
          </w:p>
          <w:p w14:paraId="1AFC08D4">
            <w:pPr>
              <w:spacing w:line="226" w:lineRule="auto"/>
              <w:ind w:left="38"/>
              <w:rPr>
                <w:rFonts w:ascii="等线" w:hAnsi="等线" w:eastAsia="等线" w:cs="等线"/>
                <w:sz w:val="18"/>
                <w:szCs w:val="18"/>
              </w:rPr>
            </w:pPr>
            <w:r>
              <w:rPr>
                <w:rFonts w:ascii="等线" w:hAnsi="等线" w:eastAsia="等线" w:cs="等线"/>
                <w:sz w:val="18"/>
                <w:szCs w:val="18"/>
              </w:rPr>
              <w:t>季</w:t>
            </w:r>
          </w:p>
          <w:p w14:paraId="0B076B28">
            <w:pPr>
              <w:spacing w:before="14" w:line="226" w:lineRule="auto"/>
              <w:ind w:left="39"/>
              <w:rPr>
                <w:rFonts w:ascii="等线" w:hAnsi="等线" w:eastAsia="等线" w:cs="等线"/>
                <w:sz w:val="18"/>
                <w:szCs w:val="18"/>
              </w:rPr>
            </w:pPr>
            <w:r>
              <w:rPr>
                <w:rFonts w:ascii="等线" w:hAnsi="等线" w:eastAsia="等线" w:cs="等线"/>
                <w:sz w:val="18"/>
                <w:szCs w:val="18"/>
              </w:rPr>
              <w:t>度</w:t>
            </w:r>
          </w:p>
        </w:tc>
        <w:tc>
          <w:tcPr>
            <w:tcW w:w="1131" w:type="dxa"/>
            <w:vAlign w:val="top"/>
          </w:tcPr>
          <w:p w14:paraId="13FC6151">
            <w:pPr>
              <w:pStyle w:val="6"/>
              <w:spacing w:before="90" w:line="194" w:lineRule="auto"/>
              <w:ind w:left="230"/>
              <w:rPr>
                <w:sz w:val="18"/>
                <w:szCs w:val="18"/>
              </w:rPr>
            </w:pPr>
            <w:r>
              <w:rPr>
                <w:spacing w:val="-1"/>
                <w:sz w:val="18"/>
                <w:szCs w:val="18"/>
              </w:rPr>
              <w:t>2021/6/3</w:t>
            </w:r>
          </w:p>
        </w:tc>
        <w:tc>
          <w:tcPr>
            <w:tcW w:w="570" w:type="dxa"/>
            <w:vAlign w:val="top"/>
          </w:tcPr>
          <w:p w14:paraId="0236A971">
            <w:pPr>
              <w:pStyle w:val="6"/>
              <w:spacing w:before="96" w:line="183" w:lineRule="auto"/>
              <w:ind w:left="176"/>
              <w:rPr>
                <w:sz w:val="18"/>
                <w:szCs w:val="18"/>
              </w:rPr>
            </w:pPr>
            <w:r>
              <w:rPr>
                <w:spacing w:val="-2"/>
                <w:sz w:val="18"/>
                <w:szCs w:val="18"/>
              </w:rPr>
              <w:t>5L</w:t>
            </w:r>
          </w:p>
        </w:tc>
        <w:tc>
          <w:tcPr>
            <w:tcW w:w="703" w:type="dxa"/>
            <w:vAlign w:val="top"/>
          </w:tcPr>
          <w:p w14:paraId="28429899">
            <w:pPr>
              <w:pStyle w:val="6"/>
              <w:spacing w:before="90" w:line="194" w:lineRule="auto"/>
              <w:ind w:left="175"/>
              <w:rPr>
                <w:sz w:val="18"/>
                <w:szCs w:val="18"/>
              </w:rPr>
            </w:pPr>
            <w:r>
              <w:rPr>
                <w:spacing w:val="-2"/>
                <w:sz w:val="18"/>
                <w:szCs w:val="18"/>
              </w:rPr>
              <w:t>0.5L</w:t>
            </w:r>
          </w:p>
        </w:tc>
        <w:tc>
          <w:tcPr>
            <w:tcW w:w="708" w:type="dxa"/>
            <w:vAlign w:val="top"/>
          </w:tcPr>
          <w:p w14:paraId="49871840">
            <w:pPr>
              <w:pStyle w:val="6"/>
              <w:spacing w:before="90" w:line="194" w:lineRule="auto"/>
              <w:ind w:left="188"/>
              <w:rPr>
                <w:sz w:val="18"/>
                <w:szCs w:val="18"/>
              </w:rPr>
            </w:pPr>
            <w:r>
              <w:rPr>
                <w:spacing w:val="-2"/>
                <w:sz w:val="18"/>
                <w:szCs w:val="18"/>
              </w:rPr>
              <w:t>7.58</w:t>
            </w:r>
          </w:p>
        </w:tc>
        <w:tc>
          <w:tcPr>
            <w:tcW w:w="708" w:type="dxa"/>
            <w:vAlign w:val="top"/>
          </w:tcPr>
          <w:p w14:paraId="1AC53F68">
            <w:pPr>
              <w:pStyle w:val="6"/>
              <w:spacing w:before="90" w:line="194" w:lineRule="auto"/>
              <w:ind w:left="88"/>
              <w:rPr>
                <w:sz w:val="18"/>
                <w:szCs w:val="18"/>
              </w:rPr>
            </w:pPr>
            <w:r>
              <w:rPr>
                <w:spacing w:val="-2"/>
                <w:sz w:val="18"/>
                <w:szCs w:val="18"/>
              </w:rPr>
              <w:t>0.040L</w:t>
            </w:r>
          </w:p>
        </w:tc>
        <w:tc>
          <w:tcPr>
            <w:tcW w:w="851" w:type="dxa"/>
            <w:vAlign w:val="top"/>
          </w:tcPr>
          <w:p w14:paraId="60694FC7">
            <w:pPr>
              <w:pStyle w:val="6"/>
              <w:spacing w:before="90" w:line="194" w:lineRule="auto"/>
              <w:ind w:left="172"/>
              <w:rPr>
                <w:sz w:val="18"/>
                <w:szCs w:val="18"/>
              </w:rPr>
            </w:pPr>
            <w:r>
              <w:rPr>
                <w:spacing w:val="-2"/>
                <w:sz w:val="18"/>
                <w:szCs w:val="18"/>
              </w:rPr>
              <w:t>0.0073</w:t>
            </w:r>
          </w:p>
        </w:tc>
        <w:tc>
          <w:tcPr>
            <w:tcW w:w="851" w:type="dxa"/>
            <w:vAlign w:val="top"/>
          </w:tcPr>
          <w:p w14:paraId="499A185A">
            <w:pPr>
              <w:pStyle w:val="6"/>
              <w:spacing w:before="90" w:line="194" w:lineRule="auto"/>
              <w:ind w:left="118"/>
              <w:rPr>
                <w:sz w:val="18"/>
                <w:szCs w:val="18"/>
              </w:rPr>
            </w:pPr>
            <w:r>
              <w:rPr>
                <w:spacing w:val="-1"/>
                <w:sz w:val="18"/>
                <w:szCs w:val="18"/>
              </w:rPr>
              <w:t>0.0005L</w:t>
            </w:r>
          </w:p>
        </w:tc>
        <w:tc>
          <w:tcPr>
            <w:tcW w:w="708" w:type="dxa"/>
            <w:vAlign w:val="top"/>
          </w:tcPr>
          <w:p w14:paraId="5F013E9D">
            <w:pPr>
              <w:pStyle w:val="6"/>
              <w:spacing w:before="90" w:line="194" w:lineRule="auto"/>
              <w:ind w:left="92"/>
              <w:rPr>
                <w:sz w:val="18"/>
                <w:szCs w:val="18"/>
              </w:rPr>
            </w:pPr>
            <w:r>
              <w:rPr>
                <w:spacing w:val="-2"/>
                <w:sz w:val="18"/>
                <w:szCs w:val="18"/>
              </w:rPr>
              <w:t>0.009L</w:t>
            </w:r>
          </w:p>
        </w:tc>
        <w:tc>
          <w:tcPr>
            <w:tcW w:w="707" w:type="dxa"/>
            <w:vAlign w:val="top"/>
          </w:tcPr>
          <w:p w14:paraId="5A460B9A">
            <w:pPr>
              <w:pStyle w:val="6"/>
              <w:spacing w:before="90" w:line="194" w:lineRule="auto"/>
              <w:ind w:left="148"/>
              <w:rPr>
                <w:sz w:val="18"/>
                <w:szCs w:val="18"/>
              </w:rPr>
            </w:pPr>
            <w:r>
              <w:rPr>
                <w:spacing w:val="-2"/>
                <w:sz w:val="18"/>
                <w:szCs w:val="18"/>
              </w:rPr>
              <w:t>0.006</w:t>
            </w:r>
          </w:p>
        </w:tc>
        <w:tc>
          <w:tcPr>
            <w:tcW w:w="567" w:type="dxa"/>
            <w:vAlign w:val="top"/>
          </w:tcPr>
          <w:p w14:paraId="4F5E9F8B">
            <w:pPr>
              <w:pStyle w:val="6"/>
              <w:spacing w:before="90" w:line="194" w:lineRule="auto"/>
              <w:ind w:left="122"/>
              <w:rPr>
                <w:sz w:val="18"/>
                <w:szCs w:val="18"/>
              </w:rPr>
            </w:pPr>
            <w:r>
              <w:rPr>
                <w:spacing w:val="-1"/>
                <w:sz w:val="18"/>
                <w:szCs w:val="18"/>
              </w:rPr>
              <w:t>21.5</w:t>
            </w:r>
          </w:p>
        </w:tc>
        <w:tc>
          <w:tcPr>
            <w:tcW w:w="566" w:type="dxa"/>
            <w:vAlign w:val="top"/>
          </w:tcPr>
          <w:p w14:paraId="02E8FB09">
            <w:pPr>
              <w:pStyle w:val="6"/>
              <w:spacing w:before="90" w:line="194" w:lineRule="auto"/>
              <w:ind w:left="169"/>
              <w:rPr>
                <w:sz w:val="18"/>
                <w:szCs w:val="18"/>
              </w:rPr>
            </w:pPr>
            <w:r>
              <w:rPr>
                <w:spacing w:val="-3"/>
                <w:sz w:val="18"/>
                <w:szCs w:val="18"/>
              </w:rPr>
              <w:t>7.7</w:t>
            </w:r>
          </w:p>
        </w:tc>
        <w:tc>
          <w:tcPr>
            <w:tcW w:w="851" w:type="dxa"/>
            <w:vAlign w:val="top"/>
          </w:tcPr>
          <w:p w14:paraId="43286BEC">
            <w:pPr>
              <w:pStyle w:val="6"/>
              <w:spacing w:before="90" w:line="194" w:lineRule="auto"/>
              <w:ind w:left="288"/>
              <w:rPr>
                <w:sz w:val="18"/>
                <w:szCs w:val="18"/>
              </w:rPr>
            </w:pPr>
            <w:r>
              <w:rPr>
                <w:spacing w:val="-1"/>
                <w:sz w:val="18"/>
                <w:szCs w:val="18"/>
              </w:rPr>
              <w:t>233</w:t>
            </w:r>
          </w:p>
        </w:tc>
        <w:tc>
          <w:tcPr>
            <w:tcW w:w="567" w:type="dxa"/>
            <w:vAlign w:val="top"/>
          </w:tcPr>
          <w:p w14:paraId="04BA5462">
            <w:pPr>
              <w:pStyle w:val="6"/>
              <w:spacing w:before="90" w:line="194" w:lineRule="auto"/>
              <w:ind w:left="164"/>
              <w:rPr>
                <w:sz w:val="18"/>
                <w:szCs w:val="18"/>
              </w:rPr>
            </w:pPr>
            <w:r>
              <w:rPr>
                <w:spacing w:val="-5"/>
                <w:sz w:val="18"/>
                <w:szCs w:val="18"/>
              </w:rPr>
              <w:t>182</w:t>
            </w:r>
          </w:p>
        </w:tc>
        <w:tc>
          <w:tcPr>
            <w:tcW w:w="708" w:type="dxa"/>
            <w:vAlign w:val="top"/>
          </w:tcPr>
          <w:p w14:paraId="0D5A55C6">
            <w:pPr>
              <w:pStyle w:val="6"/>
              <w:spacing w:before="90" w:line="194" w:lineRule="auto"/>
              <w:ind w:left="198"/>
              <w:rPr>
                <w:sz w:val="18"/>
                <w:szCs w:val="18"/>
              </w:rPr>
            </w:pPr>
            <w:r>
              <w:rPr>
                <w:spacing w:val="-2"/>
                <w:sz w:val="18"/>
                <w:szCs w:val="18"/>
              </w:rPr>
              <w:t>0.64</w:t>
            </w:r>
          </w:p>
        </w:tc>
        <w:tc>
          <w:tcPr>
            <w:tcW w:w="851" w:type="dxa"/>
            <w:vAlign w:val="top"/>
          </w:tcPr>
          <w:p w14:paraId="4B9C62C4">
            <w:pPr>
              <w:pStyle w:val="6"/>
              <w:spacing w:before="90" w:line="194" w:lineRule="auto"/>
              <w:ind w:left="170"/>
              <w:rPr>
                <w:sz w:val="18"/>
                <w:szCs w:val="18"/>
              </w:rPr>
            </w:pPr>
            <w:r>
              <w:rPr>
                <w:spacing w:val="-2"/>
                <w:sz w:val="18"/>
                <w:szCs w:val="18"/>
              </w:rPr>
              <w:t>0.002L</w:t>
            </w:r>
          </w:p>
        </w:tc>
        <w:tc>
          <w:tcPr>
            <w:tcW w:w="990" w:type="dxa"/>
            <w:vAlign w:val="top"/>
          </w:tcPr>
          <w:p w14:paraId="4267149C">
            <w:pPr>
              <w:pStyle w:val="6"/>
              <w:spacing w:before="90" w:line="194" w:lineRule="auto"/>
              <w:ind w:left="241"/>
              <w:rPr>
                <w:sz w:val="18"/>
                <w:szCs w:val="18"/>
              </w:rPr>
            </w:pPr>
            <w:r>
              <w:rPr>
                <w:spacing w:val="-2"/>
                <w:sz w:val="18"/>
                <w:szCs w:val="18"/>
              </w:rPr>
              <w:t>0.050L</w:t>
            </w:r>
          </w:p>
        </w:tc>
        <w:tc>
          <w:tcPr>
            <w:tcW w:w="566" w:type="dxa"/>
            <w:vAlign w:val="top"/>
          </w:tcPr>
          <w:p w14:paraId="26074888">
            <w:pPr>
              <w:pStyle w:val="6"/>
              <w:spacing w:before="90" w:line="194" w:lineRule="auto"/>
              <w:ind w:left="85"/>
              <w:rPr>
                <w:sz w:val="18"/>
                <w:szCs w:val="18"/>
              </w:rPr>
            </w:pPr>
            <w:r>
              <w:rPr>
                <w:spacing w:val="-2"/>
                <w:sz w:val="18"/>
                <w:szCs w:val="18"/>
              </w:rPr>
              <w:t>0.001</w:t>
            </w:r>
          </w:p>
        </w:tc>
        <w:tc>
          <w:tcPr>
            <w:tcW w:w="851" w:type="dxa"/>
            <w:vAlign w:val="top"/>
          </w:tcPr>
          <w:p w14:paraId="49D00E21">
            <w:pPr>
              <w:pStyle w:val="6"/>
              <w:spacing w:before="90" w:line="194" w:lineRule="auto"/>
              <w:ind w:left="128"/>
              <w:rPr>
                <w:sz w:val="18"/>
                <w:szCs w:val="18"/>
              </w:rPr>
            </w:pPr>
            <w:r>
              <w:rPr>
                <w:spacing w:val="-1"/>
                <w:sz w:val="18"/>
                <w:szCs w:val="18"/>
              </w:rPr>
              <w:t>0.0005L</w:t>
            </w:r>
          </w:p>
        </w:tc>
        <w:tc>
          <w:tcPr>
            <w:tcW w:w="704" w:type="dxa"/>
            <w:vAlign w:val="top"/>
          </w:tcPr>
          <w:p w14:paraId="15501841">
            <w:pPr>
              <w:pStyle w:val="6"/>
              <w:spacing w:before="90" w:line="194" w:lineRule="auto"/>
              <w:ind w:left="100"/>
              <w:rPr>
                <w:sz w:val="18"/>
                <w:szCs w:val="18"/>
              </w:rPr>
            </w:pPr>
            <w:r>
              <w:rPr>
                <w:spacing w:val="-2"/>
                <w:sz w:val="18"/>
                <w:szCs w:val="18"/>
              </w:rPr>
              <w:t>0.004L</w:t>
            </w:r>
          </w:p>
        </w:tc>
        <w:tc>
          <w:tcPr>
            <w:tcW w:w="851" w:type="dxa"/>
            <w:vAlign w:val="top"/>
          </w:tcPr>
          <w:p w14:paraId="4A0687E3">
            <w:pPr>
              <w:pStyle w:val="6"/>
              <w:spacing w:before="90" w:line="194" w:lineRule="auto"/>
              <w:ind w:left="131"/>
              <w:rPr>
                <w:sz w:val="18"/>
                <w:szCs w:val="18"/>
              </w:rPr>
            </w:pPr>
            <w:r>
              <w:rPr>
                <w:spacing w:val="-1"/>
                <w:sz w:val="18"/>
                <w:szCs w:val="18"/>
              </w:rPr>
              <w:t>0.0025L</w:t>
            </w:r>
          </w:p>
        </w:tc>
        <w:tc>
          <w:tcPr>
            <w:tcW w:w="851" w:type="dxa"/>
            <w:vAlign w:val="top"/>
          </w:tcPr>
          <w:p w14:paraId="2F689DC6">
            <w:pPr>
              <w:pStyle w:val="6"/>
              <w:spacing w:before="90" w:line="194" w:lineRule="auto"/>
              <w:ind w:left="187"/>
              <w:rPr>
                <w:sz w:val="18"/>
                <w:szCs w:val="18"/>
              </w:rPr>
            </w:pPr>
            <w:r>
              <w:rPr>
                <w:spacing w:val="-2"/>
                <w:sz w:val="18"/>
                <w:szCs w:val="18"/>
              </w:rPr>
              <w:t>0.0002</w:t>
            </w:r>
          </w:p>
        </w:tc>
        <w:tc>
          <w:tcPr>
            <w:tcW w:w="846" w:type="dxa"/>
            <w:vAlign w:val="top"/>
          </w:tcPr>
          <w:p w14:paraId="6ADF7F9F">
            <w:pPr>
              <w:pStyle w:val="6"/>
              <w:spacing w:before="90" w:line="194" w:lineRule="auto"/>
              <w:ind w:left="131"/>
              <w:rPr>
                <w:sz w:val="18"/>
                <w:szCs w:val="18"/>
              </w:rPr>
            </w:pPr>
            <w:r>
              <w:rPr>
                <w:spacing w:val="-1"/>
                <w:sz w:val="18"/>
                <w:szCs w:val="18"/>
              </w:rPr>
              <w:t>0.0004L</w:t>
            </w:r>
          </w:p>
        </w:tc>
        <w:tc>
          <w:tcPr>
            <w:tcW w:w="684" w:type="dxa"/>
            <w:vAlign w:val="top"/>
          </w:tcPr>
          <w:p w14:paraId="5BDDFF9C">
            <w:pPr>
              <w:pStyle w:val="6"/>
              <w:spacing w:before="90" w:line="194" w:lineRule="auto"/>
              <w:ind w:left="96"/>
              <w:rPr>
                <w:sz w:val="18"/>
                <w:szCs w:val="18"/>
              </w:rPr>
            </w:pPr>
            <w:r>
              <w:rPr>
                <w:spacing w:val="-2"/>
                <w:sz w:val="18"/>
                <w:szCs w:val="18"/>
              </w:rPr>
              <w:t>0.002L</w:t>
            </w:r>
          </w:p>
        </w:tc>
        <w:tc>
          <w:tcPr>
            <w:tcW w:w="460" w:type="dxa"/>
            <w:vAlign w:val="top"/>
          </w:tcPr>
          <w:p w14:paraId="769BCD71">
            <w:pPr>
              <w:pStyle w:val="6"/>
              <w:spacing w:before="90" w:line="194" w:lineRule="auto"/>
              <w:ind w:left="130"/>
              <w:rPr>
                <w:sz w:val="18"/>
                <w:szCs w:val="18"/>
              </w:rPr>
            </w:pPr>
            <w:r>
              <w:rPr>
                <w:spacing w:val="-3"/>
                <w:sz w:val="18"/>
                <w:szCs w:val="18"/>
              </w:rPr>
              <w:t>0.2</w:t>
            </w:r>
          </w:p>
        </w:tc>
        <w:tc>
          <w:tcPr>
            <w:tcW w:w="428" w:type="dxa"/>
            <w:vAlign w:val="top"/>
          </w:tcPr>
          <w:p w14:paraId="50F95D65">
            <w:pPr>
              <w:pStyle w:val="6"/>
              <w:spacing w:before="90" w:line="194" w:lineRule="auto"/>
              <w:ind w:left="60"/>
              <w:rPr>
                <w:sz w:val="18"/>
                <w:szCs w:val="18"/>
              </w:rPr>
            </w:pPr>
            <w:r>
              <w:rPr>
                <w:spacing w:val="-2"/>
                <w:sz w:val="18"/>
                <w:szCs w:val="18"/>
              </w:rPr>
              <w:t>0.5L</w:t>
            </w:r>
          </w:p>
        </w:tc>
        <w:tc>
          <w:tcPr>
            <w:tcW w:w="447" w:type="dxa"/>
            <w:vAlign w:val="top"/>
          </w:tcPr>
          <w:p w14:paraId="3001E2F9">
            <w:pPr>
              <w:pStyle w:val="6"/>
              <w:spacing w:before="90" w:line="194" w:lineRule="auto"/>
              <w:ind w:left="205"/>
              <w:rPr>
                <w:sz w:val="18"/>
                <w:szCs w:val="18"/>
              </w:rPr>
            </w:pPr>
            <w:r>
              <w:rPr>
                <w:sz w:val="18"/>
                <w:szCs w:val="18"/>
              </w:rPr>
              <w:t>/</w:t>
            </w:r>
          </w:p>
        </w:tc>
        <w:tc>
          <w:tcPr>
            <w:tcW w:w="666" w:type="dxa"/>
            <w:tcBorders>
              <w:right w:val="single" w:color="000000" w:sz="12" w:space="0"/>
            </w:tcBorders>
            <w:vAlign w:val="top"/>
          </w:tcPr>
          <w:p w14:paraId="784243F2">
            <w:pPr>
              <w:pStyle w:val="6"/>
              <w:spacing w:before="90" w:line="194" w:lineRule="auto"/>
              <w:ind w:left="248"/>
              <w:rPr>
                <w:sz w:val="18"/>
                <w:szCs w:val="18"/>
              </w:rPr>
            </w:pPr>
            <w:r>
              <w:rPr>
                <w:spacing w:val="-2"/>
                <w:sz w:val="18"/>
                <w:szCs w:val="18"/>
              </w:rPr>
              <w:t>60</w:t>
            </w:r>
          </w:p>
        </w:tc>
      </w:tr>
      <w:tr w14:paraId="4C305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2BCBEF74">
            <w:pPr>
              <w:rPr>
                <w:rFonts w:ascii="Arial"/>
                <w:sz w:val="21"/>
              </w:rPr>
            </w:pPr>
          </w:p>
        </w:tc>
        <w:tc>
          <w:tcPr>
            <w:tcW w:w="285" w:type="dxa"/>
            <w:vMerge w:val="continue"/>
            <w:tcBorders>
              <w:top w:val="nil"/>
              <w:bottom w:val="nil"/>
            </w:tcBorders>
            <w:vAlign w:val="top"/>
          </w:tcPr>
          <w:p w14:paraId="31329EB7">
            <w:pPr>
              <w:rPr>
                <w:rFonts w:ascii="Arial"/>
                <w:sz w:val="21"/>
              </w:rPr>
            </w:pPr>
          </w:p>
        </w:tc>
        <w:tc>
          <w:tcPr>
            <w:tcW w:w="1131" w:type="dxa"/>
            <w:vAlign w:val="top"/>
          </w:tcPr>
          <w:p w14:paraId="1425C486">
            <w:pPr>
              <w:pStyle w:val="6"/>
              <w:spacing w:before="91" w:line="193" w:lineRule="auto"/>
              <w:ind w:left="230"/>
              <w:rPr>
                <w:sz w:val="18"/>
                <w:szCs w:val="18"/>
              </w:rPr>
            </w:pPr>
            <w:r>
              <w:rPr>
                <w:spacing w:val="-1"/>
                <w:sz w:val="18"/>
                <w:szCs w:val="18"/>
              </w:rPr>
              <w:t>2021/6/4</w:t>
            </w:r>
          </w:p>
        </w:tc>
        <w:tc>
          <w:tcPr>
            <w:tcW w:w="570" w:type="dxa"/>
            <w:vAlign w:val="top"/>
          </w:tcPr>
          <w:p w14:paraId="0E6D6D4A">
            <w:pPr>
              <w:pStyle w:val="6"/>
              <w:spacing w:before="96" w:line="183" w:lineRule="auto"/>
              <w:ind w:left="176"/>
              <w:rPr>
                <w:sz w:val="18"/>
                <w:szCs w:val="18"/>
              </w:rPr>
            </w:pPr>
            <w:r>
              <w:rPr>
                <w:spacing w:val="-2"/>
                <w:sz w:val="18"/>
                <w:szCs w:val="18"/>
              </w:rPr>
              <w:t>5L</w:t>
            </w:r>
          </w:p>
        </w:tc>
        <w:tc>
          <w:tcPr>
            <w:tcW w:w="703" w:type="dxa"/>
            <w:vAlign w:val="top"/>
          </w:tcPr>
          <w:p w14:paraId="4C0F9805">
            <w:pPr>
              <w:pStyle w:val="6"/>
              <w:spacing w:before="91" w:line="193" w:lineRule="auto"/>
              <w:ind w:left="175"/>
              <w:rPr>
                <w:sz w:val="18"/>
                <w:szCs w:val="18"/>
              </w:rPr>
            </w:pPr>
            <w:r>
              <w:rPr>
                <w:spacing w:val="-2"/>
                <w:sz w:val="18"/>
                <w:szCs w:val="18"/>
              </w:rPr>
              <w:t>0.5L</w:t>
            </w:r>
          </w:p>
        </w:tc>
        <w:tc>
          <w:tcPr>
            <w:tcW w:w="708" w:type="dxa"/>
            <w:vAlign w:val="top"/>
          </w:tcPr>
          <w:p w14:paraId="78807CC7">
            <w:pPr>
              <w:pStyle w:val="6"/>
              <w:spacing w:before="91" w:line="193" w:lineRule="auto"/>
              <w:ind w:left="188"/>
              <w:rPr>
                <w:sz w:val="18"/>
                <w:szCs w:val="18"/>
              </w:rPr>
            </w:pPr>
            <w:r>
              <w:rPr>
                <w:spacing w:val="-2"/>
                <w:sz w:val="18"/>
                <w:szCs w:val="18"/>
              </w:rPr>
              <w:t>7.64</w:t>
            </w:r>
          </w:p>
        </w:tc>
        <w:tc>
          <w:tcPr>
            <w:tcW w:w="708" w:type="dxa"/>
            <w:vAlign w:val="top"/>
          </w:tcPr>
          <w:p w14:paraId="0579EDF0">
            <w:pPr>
              <w:pStyle w:val="6"/>
              <w:spacing w:before="91" w:line="193" w:lineRule="auto"/>
              <w:ind w:left="88"/>
              <w:rPr>
                <w:sz w:val="18"/>
                <w:szCs w:val="18"/>
              </w:rPr>
            </w:pPr>
            <w:r>
              <w:rPr>
                <w:spacing w:val="-2"/>
                <w:sz w:val="18"/>
                <w:szCs w:val="18"/>
              </w:rPr>
              <w:t>0.040L</w:t>
            </w:r>
          </w:p>
        </w:tc>
        <w:tc>
          <w:tcPr>
            <w:tcW w:w="851" w:type="dxa"/>
            <w:vAlign w:val="top"/>
          </w:tcPr>
          <w:p w14:paraId="5792B33C">
            <w:pPr>
              <w:pStyle w:val="6"/>
              <w:spacing w:before="91" w:line="193" w:lineRule="auto"/>
              <w:ind w:left="172"/>
              <w:rPr>
                <w:sz w:val="18"/>
                <w:szCs w:val="18"/>
              </w:rPr>
            </w:pPr>
            <w:r>
              <w:rPr>
                <w:spacing w:val="-2"/>
                <w:sz w:val="18"/>
                <w:szCs w:val="18"/>
              </w:rPr>
              <w:t>0.0063</w:t>
            </w:r>
          </w:p>
        </w:tc>
        <w:tc>
          <w:tcPr>
            <w:tcW w:w="851" w:type="dxa"/>
            <w:vAlign w:val="top"/>
          </w:tcPr>
          <w:p w14:paraId="2C4B75C0">
            <w:pPr>
              <w:pStyle w:val="6"/>
              <w:spacing w:before="91" w:line="193" w:lineRule="auto"/>
              <w:ind w:left="118"/>
              <w:rPr>
                <w:sz w:val="18"/>
                <w:szCs w:val="18"/>
              </w:rPr>
            </w:pPr>
            <w:r>
              <w:rPr>
                <w:spacing w:val="-1"/>
                <w:sz w:val="18"/>
                <w:szCs w:val="18"/>
              </w:rPr>
              <w:t>0.0005L</w:t>
            </w:r>
          </w:p>
        </w:tc>
        <w:tc>
          <w:tcPr>
            <w:tcW w:w="708" w:type="dxa"/>
            <w:vAlign w:val="top"/>
          </w:tcPr>
          <w:p w14:paraId="22BDD405">
            <w:pPr>
              <w:pStyle w:val="6"/>
              <w:spacing w:before="91" w:line="193" w:lineRule="auto"/>
              <w:ind w:left="92"/>
              <w:rPr>
                <w:sz w:val="18"/>
                <w:szCs w:val="18"/>
              </w:rPr>
            </w:pPr>
            <w:r>
              <w:rPr>
                <w:spacing w:val="-2"/>
                <w:sz w:val="18"/>
                <w:szCs w:val="18"/>
              </w:rPr>
              <w:t>0.009L</w:t>
            </w:r>
          </w:p>
        </w:tc>
        <w:tc>
          <w:tcPr>
            <w:tcW w:w="707" w:type="dxa"/>
            <w:vAlign w:val="top"/>
          </w:tcPr>
          <w:p w14:paraId="2B4C3734">
            <w:pPr>
              <w:pStyle w:val="6"/>
              <w:spacing w:before="91" w:line="193" w:lineRule="auto"/>
              <w:ind w:left="148"/>
              <w:rPr>
                <w:sz w:val="18"/>
                <w:szCs w:val="18"/>
              </w:rPr>
            </w:pPr>
            <w:r>
              <w:rPr>
                <w:spacing w:val="-2"/>
                <w:sz w:val="18"/>
                <w:szCs w:val="18"/>
              </w:rPr>
              <w:t>0.006</w:t>
            </w:r>
          </w:p>
        </w:tc>
        <w:tc>
          <w:tcPr>
            <w:tcW w:w="567" w:type="dxa"/>
            <w:vAlign w:val="top"/>
          </w:tcPr>
          <w:p w14:paraId="326F8D71">
            <w:pPr>
              <w:pStyle w:val="6"/>
              <w:spacing w:before="91" w:line="193" w:lineRule="auto"/>
              <w:ind w:left="122"/>
              <w:rPr>
                <w:sz w:val="18"/>
                <w:szCs w:val="18"/>
              </w:rPr>
            </w:pPr>
            <w:r>
              <w:rPr>
                <w:spacing w:val="-1"/>
                <w:sz w:val="18"/>
                <w:szCs w:val="18"/>
              </w:rPr>
              <w:t>21.3</w:t>
            </w:r>
          </w:p>
        </w:tc>
        <w:tc>
          <w:tcPr>
            <w:tcW w:w="566" w:type="dxa"/>
            <w:vAlign w:val="top"/>
          </w:tcPr>
          <w:p w14:paraId="1950E725">
            <w:pPr>
              <w:pStyle w:val="6"/>
              <w:spacing w:before="91" w:line="193" w:lineRule="auto"/>
              <w:ind w:left="169"/>
              <w:rPr>
                <w:sz w:val="18"/>
                <w:szCs w:val="18"/>
              </w:rPr>
            </w:pPr>
            <w:r>
              <w:rPr>
                <w:spacing w:val="-3"/>
                <w:sz w:val="18"/>
                <w:szCs w:val="18"/>
              </w:rPr>
              <w:t>7.9</w:t>
            </w:r>
          </w:p>
        </w:tc>
        <w:tc>
          <w:tcPr>
            <w:tcW w:w="851" w:type="dxa"/>
            <w:vAlign w:val="top"/>
          </w:tcPr>
          <w:p w14:paraId="046586D6">
            <w:pPr>
              <w:pStyle w:val="6"/>
              <w:spacing w:before="91" w:line="193" w:lineRule="auto"/>
              <w:ind w:left="288"/>
              <w:rPr>
                <w:sz w:val="18"/>
                <w:szCs w:val="18"/>
              </w:rPr>
            </w:pPr>
            <w:r>
              <w:rPr>
                <w:spacing w:val="-1"/>
                <w:sz w:val="18"/>
                <w:szCs w:val="18"/>
              </w:rPr>
              <w:t>245</w:t>
            </w:r>
          </w:p>
        </w:tc>
        <w:tc>
          <w:tcPr>
            <w:tcW w:w="567" w:type="dxa"/>
            <w:vAlign w:val="top"/>
          </w:tcPr>
          <w:p w14:paraId="3FF6C42F">
            <w:pPr>
              <w:pStyle w:val="6"/>
              <w:spacing w:before="91" w:line="193" w:lineRule="auto"/>
              <w:ind w:left="164"/>
              <w:rPr>
                <w:sz w:val="18"/>
                <w:szCs w:val="18"/>
              </w:rPr>
            </w:pPr>
            <w:r>
              <w:rPr>
                <w:spacing w:val="-5"/>
                <w:sz w:val="18"/>
                <w:szCs w:val="18"/>
              </w:rPr>
              <w:t>178</w:t>
            </w:r>
          </w:p>
        </w:tc>
        <w:tc>
          <w:tcPr>
            <w:tcW w:w="708" w:type="dxa"/>
            <w:vAlign w:val="top"/>
          </w:tcPr>
          <w:p w14:paraId="710D0EB8">
            <w:pPr>
              <w:pStyle w:val="6"/>
              <w:spacing w:before="91" w:line="193" w:lineRule="auto"/>
              <w:ind w:left="198"/>
              <w:rPr>
                <w:sz w:val="18"/>
                <w:szCs w:val="18"/>
              </w:rPr>
            </w:pPr>
            <w:r>
              <w:rPr>
                <w:spacing w:val="-2"/>
                <w:sz w:val="18"/>
                <w:szCs w:val="18"/>
              </w:rPr>
              <w:t>0.58</w:t>
            </w:r>
          </w:p>
        </w:tc>
        <w:tc>
          <w:tcPr>
            <w:tcW w:w="851" w:type="dxa"/>
            <w:vAlign w:val="top"/>
          </w:tcPr>
          <w:p w14:paraId="2A146E69">
            <w:pPr>
              <w:pStyle w:val="6"/>
              <w:spacing w:before="91" w:line="193" w:lineRule="auto"/>
              <w:ind w:left="170"/>
              <w:rPr>
                <w:sz w:val="18"/>
                <w:szCs w:val="18"/>
              </w:rPr>
            </w:pPr>
            <w:r>
              <w:rPr>
                <w:spacing w:val="-2"/>
                <w:sz w:val="18"/>
                <w:szCs w:val="18"/>
              </w:rPr>
              <w:t>0.002L</w:t>
            </w:r>
          </w:p>
        </w:tc>
        <w:tc>
          <w:tcPr>
            <w:tcW w:w="990" w:type="dxa"/>
            <w:vAlign w:val="top"/>
          </w:tcPr>
          <w:p w14:paraId="116A0994">
            <w:pPr>
              <w:pStyle w:val="6"/>
              <w:spacing w:before="91" w:line="193" w:lineRule="auto"/>
              <w:ind w:left="241"/>
              <w:rPr>
                <w:sz w:val="18"/>
                <w:szCs w:val="18"/>
              </w:rPr>
            </w:pPr>
            <w:r>
              <w:rPr>
                <w:spacing w:val="-2"/>
                <w:sz w:val="18"/>
                <w:szCs w:val="18"/>
              </w:rPr>
              <w:t>0.050L</w:t>
            </w:r>
          </w:p>
        </w:tc>
        <w:tc>
          <w:tcPr>
            <w:tcW w:w="566" w:type="dxa"/>
            <w:vAlign w:val="top"/>
          </w:tcPr>
          <w:p w14:paraId="29D79D92">
            <w:pPr>
              <w:pStyle w:val="6"/>
              <w:spacing w:before="91" w:line="193" w:lineRule="auto"/>
              <w:ind w:left="85"/>
              <w:rPr>
                <w:sz w:val="18"/>
                <w:szCs w:val="18"/>
              </w:rPr>
            </w:pPr>
            <w:r>
              <w:rPr>
                <w:spacing w:val="-2"/>
                <w:sz w:val="18"/>
                <w:szCs w:val="18"/>
              </w:rPr>
              <w:t>0.001</w:t>
            </w:r>
          </w:p>
        </w:tc>
        <w:tc>
          <w:tcPr>
            <w:tcW w:w="851" w:type="dxa"/>
            <w:vAlign w:val="top"/>
          </w:tcPr>
          <w:p w14:paraId="06BB24FE">
            <w:pPr>
              <w:pStyle w:val="6"/>
              <w:spacing w:before="91" w:line="193" w:lineRule="auto"/>
              <w:ind w:left="128"/>
              <w:rPr>
                <w:sz w:val="18"/>
                <w:szCs w:val="18"/>
              </w:rPr>
            </w:pPr>
            <w:r>
              <w:rPr>
                <w:spacing w:val="-1"/>
                <w:sz w:val="18"/>
                <w:szCs w:val="18"/>
              </w:rPr>
              <w:t>0.0005L</w:t>
            </w:r>
          </w:p>
        </w:tc>
        <w:tc>
          <w:tcPr>
            <w:tcW w:w="704" w:type="dxa"/>
            <w:vAlign w:val="top"/>
          </w:tcPr>
          <w:p w14:paraId="29CFE6C2">
            <w:pPr>
              <w:pStyle w:val="6"/>
              <w:spacing w:before="91" w:line="193" w:lineRule="auto"/>
              <w:ind w:left="100"/>
              <w:rPr>
                <w:sz w:val="18"/>
                <w:szCs w:val="18"/>
              </w:rPr>
            </w:pPr>
            <w:r>
              <w:rPr>
                <w:spacing w:val="-2"/>
                <w:sz w:val="18"/>
                <w:szCs w:val="18"/>
              </w:rPr>
              <w:t>0.004L</w:t>
            </w:r>
          </w:p>
        </w:tc>
        <w:tc>
          <w:tcPr>
            <w:tcW w:w="851" w:type="dxa"/>
            <w:vAlign w:val="top"/>
          </w:tcPr>
          <w:p w14:paraId="13D97911">
            <w:pPr>
              <w:pStyle w:val="6"/>
              <w:spacing w:before="91" w:line="193" w:lineRule="auto"/>
              <w:ind w:left="131"/>
              <w:rPr>
                <w:sz w:val="18"/>
                <w:szCs w:val="18"/>
              </w:rPr>
            </w:pPr>
            <w:r>
              <w:rPr>
                <w:spacing w:val="-1"/>
                <w:sz w:val="18"/>
                <w:szCs w:val="18"/>
              </w:rPr>
              <w:t>0.0025L</w:t>
            </w:r>
          </w:p>
        </w:tc>
        <w:tc>
          <w:tcPr>
            <w:tcW w:w="851" w:type="dxa"/>
            <w:vAlign w:val="top"/>
          </w:tcPr>
          <w:p w14:paraId="169BC922">
            <w:pPr>
              <w:pStyle w:val="6"/>
              <w:spacing w:before="91" w:line="193" w:lineRule="auto"/>
              <w:ind w:left="187"/>
              <w:rPr>
                <w:sz w:val="18"/>
                <w:szCs w:val="18"/>
              </w:rPr>
            </w:pPr>
            <w:r>
              <w:rPr>
                <w:spacing w:val="-2"/>
                <w:sz w:val="18"/>
                <w:szCs w:val="18"/>
              </w:rPr>
              <w:t>0.0002</w:t>
            </w:r>
          </w:p>
        </w:tc>
        <w:tc>
          <w:tcPr>
            <w:tcW w:w="846" w:type="dxa"/>
            <w:vAlign w:val="top"/>
          </w:tcPr>
          <w:p w14:paraId="06A703E4">
            <w:pPr>
              <w:pStyle w:val="6"/>
              <w:spacing w:before="91" w:line="193" w:lineRule="auto"/>
              <w:ind w:left="131"/>
              <w:rPr>
                <w:sz w:val="18"/>
                <w:szCs w:val="18"/>
              </w:rPr>
            </w:pPr>
            <w:r>
              <w:rPr>
                <w:spacing w:val="-1"/>
                <w:sz w:val="18"/>
                <w:szCs w:val="18"/>
              </w:rPr>
              <w:t>0.0004L</w:t>
            </w:r>
          </w:p>
        </w:tc>
        <w:tc>
          <w:tcPr>
            <w:tcW w:w="684" w:type="dxa"/>
            <w:vAlign w:val="top"/>
          </w:tcPr>
          <w:p w14:paraId="6FFBB672">
            <w:pPr>
              <w:pStyle w:val="6"/>
              <w:spacing w:before="91" w:line="193" w:lineRule="auto"/>
              <w:ind w:left="96"/>
              <w:rPr>
                <w:sz w:val="18"/>
                <w:szCs w:val="18"/>
              </w:rPr>
            </w:pPr>
            <w:r>
              <w:rPr>
                <w:spacing w:val="-2"/>
                <w:sz w:val="18"/>
                <w:szCs w:val="18"/>
              </w:rPr>
              <w:t>0.002L</w:t>
            </w:r>
          </w:p>
        </w:tc>
        <w:tc>
          <w:tcPr>
            <w:tcW w:w="460" w:type="dxa"/>
            <w:vAlign w:val="top"/>
          </w:tcPr>
          <w:p w14:paraId="4E663AAF">
            <w:pPr>
              <w:pStyle w:val="6"/>
              <w:spacing w:before="91" w:line="193" w:lineRule="auto"/>
              <w:ind w:left="130"/>
              <w:rPr>
                <w:sz w:val="18"/>
                <w:szCs w:val="18"/>
              </w:rPr>
            </w:pPr>
            <w:r>
              <w:rPr>
                <w:spacing w:val="-3"/>
                <w:sz w:val="18"/>
                <w:szCs w:val="18"/>
              </w:rPr>
              <w:t>0.5</w:t>
            </w:r>
          </w:p>
        </w:tc>
        <w:tc>
          <w:tcPr>
            <w:tcW w:w="428" w:type="dxa"/>
            <w:vAlign w:val="top"/>
          </w:tcPr>
          <w:p w14:paraId="7F1263F2">
            <w:pPr>
              <w:pStyle w:val="6"/>
              <w:spacing w:before="91" w:line="193" w:lineRule="auto"/>
              <w:ind w:left="60"/>
              <w:rPr>
                <w:sz w:val="18"/>
                <w:szCs w:val="18"/>
              </w:rPr>
            </w:pPr>
            <w:r>
              <w:rPr>
                <w:spacing w:val="-2"/>
                <w:sz w:val="18"/>
                <w:szCs w:val="18"/>
              </w:rPr>
              <w:t>0.5L</w:t>
            </w:r>
          </w:p>
        </w:tc>
        <w:tc>
          <w:tcPr>
            <w:tcW w:w="447" w:type="dxa"/>
            <w:vAlign w:val="top"/>
          </w:tcPr>
          <w:p w14:paraId="1816ACEF">
            <w:pPr>
              <w:pStyle w:val="6"/>
              <w:spacing w:before="91" w:line="193" w:lineRule="auto"/>
              <w:ind w:left="205"/>
              <w:rPr>
                <w:sz w:val="18"/>
                <w:szCs w:val="18"/>
              </w:rPr>
            </w:pPr>
            <w:r>
              <w:rPr>
                <w:sz w:val="18"/>
                <w:szCs w:val="18"/>
              </w:rPr>
              <w:t>/</w:t>
            </w:r>
          </w:p>
        </w:tc>
        <w:tc>
          <w:tcPr>
            <w:tcW w:w="666" w:type="dxa"/>
            <w:tcBorders>
              <w:right w:val="single" w:color="000000" w:sz="12" w:space="0"/>
            </w:tcBorders>
            <w:vAlign w:val="top"/>
          </w:tcPr>
          <w:p w14:paraId="2E0CD3E4">
            <w:pPr>
              <w:pStyle w:val="6"/>
              <w:spacing w:before="91" w:line="193" w:lineRule="auto"/>
              <w:ind w:left="247"/>
              <w:rPr>
                <w:sz w:val="18"/>
                <w:szCs w:val="18"/>
              </w:rPr>
            </w:pPr>
            <w:r>
              <w:rPr>
                <w:spacing w:val="-2"/>
                <w:sz w:val="18"/>
                <w:szCs w:val="18"/>
              </w:rPr>
              <w:t>90</w:t>
            </w:r>
          </w:p>
        </w:tc>
      </w:tr>
      <w:tr w14:paraId="0B1C4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707" w:type="dxa"/>
            <w:vMerge w:val="continue"/>
            <w:tcBorders>
              <w:top w:val="nil"/>
              <w:left w:val="single" w:color="000000" w:sz="12" w:space="0"/>
              <w:bottom w:val="nil"/>
            </w:tcBorders>
            <w:vAlign w:val="top"/>
          </w:tcPr>
          <w:p w14:paraId="22DE222B">
            <w:pPr>
              <w:rPr>
                <w:rFonts w:ascii="Arial"/>
                <w:sz w:val="21"/>
              </w:rPr>
            </w:pPr>
          </w:p>
        </w:tc>
        <w:tc>
          <w:tcPr>
            <w:tcW w:w="285" w:type="dxa"/>
            <w:vMerge w:val="continue"/>
            <w:tcBorders>
              <w:top w:val="nil"/>
            </w:tcBorders>
            <w:vAlign w:val="top"/>
          </w:tcPr>
          <w:p w14:paraId="255ECBCD">
            <w:pPr>
              <w:rPr>
                <w:rFonts w:ascii="Arial"/>
                <w:sz w:val="21"/>
              </w:rPr>
            </w:pPr>
          </w:p>
        </w:tc>
        <w:tc>
          <w:tcPr>
            <w:tcW w:w="1131" w:type="dxa"/>
            <w:vAlign w:val="top"/>
          </w:tcPr>
          <w:p w14:paraId="1EEFC430">
            <w:pPr>
              <w:pStyle w:val="6"/>
              <w:spacing w:before="91" w:line="192" w:lineRule="auto"/>
              <w:ind w:left="230"/>
              <w:rPr>
                <w:sz w:val="18"/>
                <w:szCs w:val="18"/>
              </w:rPr>
            </w:pPr>
            <w:r>
              <w:rPr>
                <w:spacing w:val="-1"/>
                <w:sz w:val="18"/>
                <w:szCs w:val="18"/>
              </w:rPr>
              <w:t>2021/6/5</w:t>
            </w:r>
          </w:p>
        </w:tc>
        <w:tc>
          <w:tcPr>
            <w:tcW w:w="570" w:type="dxa"/>
            <w:vAlign w:val="top"/>
          </w:tcPr>
          <w:p w14:paraId="1C133B35">
            <w:pPr>
              <w:pStyle w:val="6"/>
              <w:spacing w:before="97" w:line="183" w:lineRule="auto"/>
              <w:ind w:left="176"/>
              <w:rPr>
                <w:sz w:val="18"/>
                <w:szCs w:val="18"/>
              </w:rPr>
            </w:pPr>
            <w:r>
              <w:rPr>
                <w:spacing w:val="-2"/>
                <w:sz w:val="18"/>
                <w:szCs w:val="18"/>
              </w:rPr>
              <w:t>5L</w:t>
            </w:r>
          </w:p>
        </w:tc>
        <w:tc>
          <w:tcPr>
            <w:tcW w:w="703" w:type="dxa"/>
            <w:vAlign w:val="top"/>
          </w:tcPr>
          <w:p w14:paraId="510DB2A2">
            <w:pPr>
              <w:pStyle w:val="6"/>
              <w:spacing w:before="91" w:line="192" w:lineRule="auto"/>
              <w:ind w:left="175"/>
              <w:rPr>
                <w:sz w:val="18"/>
                <w:szCs w:val="18"/>
              </w:rPr>
            </w:pPr>
            <w:r>
              <w:rPr>
                <w:spacing w:val="-2"/>
                <w:sz w:val="18"/>
                <w:szCs w:val="18"/>
              </w:rPr>
              <w:t>0.5L</w:t>
            </w:r>
          </w:p>
        </w:tc>
        <w:tc>
          <w:tcPr>
            <w:tcW w:w="708" w:type="dxa"/>
            <w:vAlign w:val="top"/>
          </w:tcPr>
          <w:p w14:paraId="4877EEE5">
            <w:pPr>
              <w:pStyle w:val="6"/>
              <w:spacing w:before="91" w:line="192" w:lineRule="auto"/>
              <w:ind w:left="188"/>
              <w:rPr>
                <w:sz w:val="18"/>
                <w:szCs w:val="18"/>
              </w:rPr>
            </w:pPr>
            <w:r>
              <w:rPr>
                <w:spacing w:val="-2"/>
                <w:sz w:val="18"/>
                <w:szCs w:val="18"/>
              </w:rPr>
              <w:t>7.54</w:t>
            </w:r>
          </w:p>
        </w:tc>
        <w:tc>
          <w:tcPr>
            <w:tcW w:w="708" w:type="dxa"/>
            <w:vAlign w:val="top"/>
          </w:tcPr>
          <w:p w14:paraId="5648AD09">
            <w:pPr>
              <w:pStyle w:val="6"/>
              <w:spacing w:before="91" w:line="192" w:lineRule="auto"/>
              <w:ind w:left="88"/>
              <w:rPr>
                <w:sz w:val="18"/>
                <w:szCs w:val="18"/>
              </w:rPr>
            </w:pPr>
            <w:r>
              <w:rPr>
                <w:spacing w:val="-2"/>
                <w:sz w:val="18"/>
                <w:szCs w:val="18"/>
              </w:rPr>
              <w:t>0.040L</w:t>
            </w:r>
          </w:p>
        </w:tc>
        <w:tc>
          <w:tcPr>
            <w:tcW w:w="851" w:type="dxa"/>
            <w:vAlign w:val="top"/>
          </w:tcPr>
          <w:p w14:paraId="57D4CE79">
            <w:pPr>
              <w:pStyle w:val="6"/>
              <w:spacing w:before="91" w:line="192" w:lineRule="auto"/>
              <w:ind w:left="172"/>
              <w:rPr>
                <w:sz w:val="18"/>
                <w:szCs w:val="18"/>
              </w:rPr>
            </w:pPr>
            <w:r>
              <w:rPr>
                <w:spacing w:val="-2"/>
                <w:sz w:val="18"/>
                <w:szCs w:val="18"/>
              </w:rPr>
              <w:t>0.0075</w:t>
            </w:r>
          </w:p>
        </w:tc>
        <w:tc>
          <w:tcPr>
            <w:tcW w:w="851" w:type="dxa"/>
            <w:vAlign w:val="top"/>
          </w:tcPr>
          <w:p w14:paraId="43A9E765">
            <w:pPr>
              <w:pStyle w:val="6"/>
              <w:spacing w:before="91" w:line="192" w:lineRule="auto"/>
              <w:ind w:left="118"/>
              <w:rPr>
                <w:sz w:val="18"/>
                <w:szCs w:val="18"/>
              </w:rPr>
            </w:pPr>
            <w:r>
              <w:rPr>
                <w:spacing w:val="-1"/>
                <w:sz w:val="18"/>
                <w:szCs w:val="18"/>
              </w:rPr>
              <w:t>0.0005L</w:t>
            </w:r>
          </w:p>
        </w:tc>
        <w:tc>
          <w:tcPr>
            <w:tcW w:w="708" w:type="dxa"/>
            <w:vAlign w:val="top"/>
          </w:tcPr>
          <w:p w14:paraId="651AEFD4">
            <w:pPr>
              <w:pStyle w:val="6"/>
              <w:spacing w:before="91" w:line="192" w:lineRule="auto"/>
              <w:ind w:left="92"/>
              <w:rPr>
                <w:sz w:val="18"/>
                <w:szCs w:val="18"/>
              </w:rPr>
            </w:pPr>
            <w:r>
              <w:rPr>
                <w:spacing w:val="-2"/>
                <w:sz w:val="18"/>
                <w:szCs w:val="18"/>
              </w:rPr>
              <w:t>0.009L</w:t>
            </w:r>
          </w:p>
        </w:tc>
        <w:tc>
          <w:tcPr>
            <w:tcW w:w="707" w:type="dxa"/>
            <w:vAlign w:val="top"/>
          </w:tcPr>
          <w:p w14:paraId="4F3FB366">
            <w:pPr>
              <w:pStyle w:val="6"/>
              <w:spacing w:before="91" w:line="192" w:lineRule="auto"/>
              <w:ind w:left="148"/>
              <w:rPr>
                <w:sz w:val="18"/>
                <w:szCs w:val="18"/>
              </w:rPr>
            </w:pPr>
            <w:r>
              <w:rPr>
                <w:spacing w:val="-2"/>
                <w:sz w:val="18"/>
                <w:szCs w:val="18"/>
              </w:rPr>
              <w:t>0.006</w:t>
            </w:r>
          </w:p>
        </w:tc>
        <w:tc>
          <w:tcPr>
            <w:tcW w:w="567" w:type="dxa"/>
            <w:vAlign w:val="top"/>
          </w:tcPr>
          <w:p w14:paraId="74997C86">
            <w:pPr>
              <w:pStyle w:val="6"/>
              <w:spacing w:before="91" w:line="192" w:lineRule="auto"/>
              <w:ind w:left="122"/>
              <w:rPr>
                <w:sz w:val="18"/>
                <w:szCs w:val="18"/>
              </w:rPr>
            </w:pPr>
            <w:r>
              <w:rPr>
                <w:spacing w:val="-1"/>
                <w:sz w:val="18"/>
                <w:szCs w:val="18"/>
              </w:rPr>
              <w:t>21.1</w:t>
            </w:r>
          </w:p>
        </w:tc>
        <w:tc>
          <w:tcPr>
            <w:tcW w:w="566" w:type="dxa"/>
            <w:vAlign w:val="top"/>
          </w:tcPr>
          <w:p w14:paraId="4B01502D">
            <w:pPr>
              <w:pStyle w:val="6"/>
              <w:spacing w:before="91" w:line="192" w:lineRule="auto"/>
              <w:ind w:left="169"/>
              <w:rPr>
                <w:sz w:val="18"/>
                <w:szCs w:val="18"/>
              </w:rPr>
            </w:pPr>
            <w:r>
              <w:rPr>
                <w:spacing w:val="-3"/>
                <w:sz w:val="18"/>
                <w:szCs w:val="18"/>
              </w:rPr>
              <w:t>7.5</w:t>
            </w:r>
          </w:p>
        </w:tc>
        <w:tc>
          <w:tcPr>
            <w:tcW w:w="851" w:type="dxa"/>
            <w:vAlign w:val="top"/>
          </w:tcPr>
          <w:p w14:paraId="47EA2238">
            <w:pPr>
              <w:pStyle w:val="6"/>
              <w:spacing w:before="91" w:line="192" w:lineRule="auto"/>
              <w:ind w:left="288"/>
              <w:rPr>
                <w:sz w:val="18"/>
                <w:szCs w:val="18"/>
              </w:rPr>
            </w:pPr>
            <w:r>
              <w:rPr>
                <w:spacing w:val="-1"/>
                <w:sz w:val="18"/>
                <w:szCs w:val="18"/>
              </w:rPr>
              <w:t>239</w:t>
            </w:r>
          </w:p>
        </w:tc>
        <w:tc>
          <w:tcPr>
            <w:tcW w:w="567" w:type="dxa"/>
            <w:vAlign w:val="top"/>
          </w:tcPr>
          <w:p w14:paraId="3766E02E">
            <w:pPr>
              <w:pStyle w:val="6"/>
              <w:spacing w:before="91" w:line="192" w:lineRule="auto"/>
              <w:ind w:left="164"/>
              <w:rPr>
                <w:sz w:val="18"/>
                <w:szCs w:val="18"/>
              </w:rPr>
            </w:pPr>
            <w:r>
              <w:rPr>
                <w:spacing w:val="-5"/>
                <w:sz w:val="18"/>
                <w:szCs w:val="18"/>
              </w:rPr>
              <w:t>185</w:t>
            </w:r>
          </w:p>
        </w:tc>
        <w:tc>
          <w:tcPr>
            <w:tcW w:w="708" w:type="dxa"/>
            <w:vAlign w:val="top"/>
          </w:tcPr>
          <w:p w14:paraId="110FEBD8">
            <w:pPr>
              <w:pStyle w:val="6"/>
              <w:spacing w:before="91" w:line="192" w:lineRule="auto"/>
              <w:ind w:left="198"/>
              <w:rPr>
                <w:sz w:val="18"/>
                <w:szCs w:val="18"/>
              </w:rPr>
            </w:pPr>
            <w:r>
              <w:rPr>
                <w:spacing w:val="-2"/>
                <w:sz w:val="18"/>
                <w:szCs w:val="18"/>
              </w:rPr>
              <w:t>0.62</w:t>
            </w:r>
          </w:p>
        </w:tc>
        <w:tc>
          <w:tcPr>
            <w:tcW w:w="851" w:type="dxa"/>
            <w:vAlign w:val="top"/>
          </w:tcPr>
          <w:p w14:paraId="589BFD5D">
            <w:pPr>
              <w:pStyle w:val="6"/>
              <w:spacing w:before="91" w:line="192" w:lineRule="auto"/>
              <w:ind w:left="170"/>
              <w:rPr>
                <w:sz w:val="18"/>
                <w:szCs w:val="18"/>
              </w:rPr>
            </w:pPr>
            <w:r>
              <w:rPr>
                <w:spacing w:val="-2"/>
                <w:sz w:val="18"/>
                <w:szCs w:val="18"/>
              </w:rPr>
              <w:t>0.002L</w:t>
            </w:r>
          </w:p>
        </w:tc>
        <w:tc>
          <w:tcPr>
            <w:tcW w:w="990" w:type="dxa"/>
            <w:vAlign w:val="top"/>
          </w:tcPr>
          <w:p w14:paraId="5E3459C2">
            <w:pPr>
              <w:pStyle w:val="6"/>
              <w:spacing w:before="91" w:line="192" w:lineRule="auto"/>
              <w:ind w:left="241"/>
              <w:rPr>
                <w:sz w:val="18"/>
                <w:szCs w:val="18"/>
              </w:rPr>
            </w:pPr>
            <w:r>
              <w:rPr>
                <w:spacing w:val="-2"/>
                <w:sz w:val="18"/>
                <w:szCs w:val="18"/>
              </w:rPr>
              <w:t>0.050L</w:t>
            </w:r>
          </w:p>
        </w:tc>
        <w:tc>
          <w:tcPr>
            <w:tcW w:w="566" w:type="dxa"/>
            <w:vAlign w:val="top"/>
          </w:tcPr>
          <w:p w14:paraId="04009ECB">
            <w:pPr>
              <w:pStyle w:val="6"/>
              <w:spacing w:before="91" w:line="192" w:lineRule="auto"/>
              <w:ind w:left="85"/>
              <w:rPr>
                <w:sz w:val="18"/>
                <w:szCs w:val="18"/>
              </w:rPr>
            </w:pPr>
            <w:r>
              <w:rPr>
                <w:spacing w:val="-2"/>
                <w:sz w:val="18"/>
                <w:szCs w:val="18"/>
              </w:rPr>
              <w:t>0.001</w:t>
            </w:r>
          </w:p>
        </w:tc>
        <w:tc>
          <w:tcPr>
            <w:tcW w:w="851" w:type="dxa"/>
            <w:vAlign w:val="top"/>
          </w:tcPr>
          <w:p w14:paraId="5E6964E3">
            <w:pPr>
              <w:pStyle w:val="6"/>
              <w:spacing w:before="91" w:line="192" w:lineRule="auto"/>
              <w:ind w:left="128"/>
              <w:rPr>
                <w:sz w:val="18"/>
                <w:szCs w:val="18"/>
              </w:rPr>
            </w:pPr>
            <w:r>
              <w:rPr>
                <w:spacing w:val="-1"/>
                <w:sz w:val="18"/>
                <w:szCs w:val="18"/>
              </w:rPr>
              <w:t>0.0005L</w:t>
            </w:r>
          </w:p>
        </w:tc>
        <w:tc>
          <w:tcPr>
            <w:tcW w:w="704" w:type="dxa"/>
            <w:vAlign w:val="top"/>
          </w:tcPr>
          <w:p w14:paraId="1CCD23FF">
            <w:pPr>
              <w:pStyle w:val="6"/>
              <w:spacing w:before="91" w:line="192" w:lineRule="auto"/>
              <w:ind w:left="100"/>
              <w:rPr>
                <w:sz w:val="18"/>
                <w:szCs w:val="18"/>
              </w:rPr>
            </w:pPr>
            <w:r>
              <w:rPr>
                <w:spacing w:val="-2"/>
                <w:sz w:val="18"/>
                <w:szCs w:val="18"/>
              </w:rPr>
              <w:t>0.004L</w:t>
            </w:r>
          </w:p>
        </w:tc>
        <w:tc>
          <w:tcPr>
            <w:tcW w:w="851" w:type="dxa"/>
            <w:vAlign w:val="top"/>
          </w:tcPr>
          <w:p w14:paraId="415EC6DD">
            <w:pPr>
              <w:pStyle w:val="6"/>
              <w:spacing w:before="91" w:line="192" w:lineRule="auto"/>
              <w:ind w:left="131"/>
              <w:rPr>
                <w:sz w:val="18"/>
                <w:szCs w:val="18"/>
              </w:rPr>
            </w:pPr>
            <w:r>
              <w:rPr>
                <w:spacing w:val="-1"/>
                <w:sz w:val="18"/>
                <w:szCs w:val="18"/>
              </w:rPr>
              <w:t>0.0025L</w:t>
            </w:r>
          </w:p>
        </w:tc>
        <w:tc>
          <w:tcPr>
            <w:tcW w:w="851" w:type="dxa"/>
            <w:vAlign w:val="top"/>
          </w:tcPr>
          <w:p w14:paraId="0208FF2F">
            <w:pPr>
              <w:pStyle w:val="6"/>
              <w:spacing w:before="91" w:line="192" w:lineRule="auto"/>
              <w:ind w:left="187"/>
              <w:rPr>
                <w:sz w:val="18"/>
                <w:szCs w:val="18"/>
              </w:rPr>
            </w:pPr>
            <w:r>
              <w:rPr>
                <w:spacing w:val="-2"/>
                <w:sz w:val="18"/>
                <w:szCs w:val="18"/>
              </w:rPr>
              <w:t>0.0002</w:t>
            </w:r>
          </w:p>
        </w:tc>
        <w:tc>
          <w:tcPr>
            <w:tcW w:w="846" w:type="dxa"/>
            <w:vAlign w:val="top"/>
          </w:tcPr>
          <w:p w14:paraId="0E6B23C8">
            <w:pPr>
              <w:pStyle w:val="6"/>
              <w:spacing w:before="91" w:line="192" w:lineRule="auto"/>
              <w:ind w:left="131"/>
              <w:rPr>
                <w:sz w:val="18"/>
                <w:szCs w:val="18"/>
              </w:rPr>
            </w:pPr>
            <w:r>
              <w:rPr>
                <w:spacing w:val="-1"/>
                <w:sz w:val="18"/>
                <w:szCs w:val="18"/>
              </w:rPr>
              <w:t>0.0004L</w:t>
            </w:r>
          </w:p>
        </w:tc>
        <w:tc>
          <w:tcPr>
            <w:tcW w:w="684" w:type="dxa"/>
            <w:vAlign w:val="top"/>
          </w:tcPr>
          <w:p w14:paraId="467DD07E">
            <w:pPr>
              <w:pStyle w:val="6"/>
              <w:spacing w:before="91" w:line="192" w:lineRule="auto"/>
              <w:ind w:left="96"/>
              <w:rPr>
                <w:sz w:val="18"/>
                <w:szCs w:val="18"/>
              </w:rPr>
            </w:pPr>
            <w:r>
              <w:rPr>
                <w:spacing w:val="-2"/>
                <w:sz w:val="18"/>
                <w:szCs w:val="18"/>
              </w:rPr>
              <w:t>0.002L</w:t>
            </w:r>
          </w:p>
        </w:tc>
        <w:tc>
          <w:tcPr>
            <w:tcW w:w="460" w:type="dxa"/>
            <w:vAlign w:val="top"/>
          </w:tcPr>
          <w:p w14:paraId="7D90C46B">
            <w:pPr>
              <w:pStyle w:val="6"/>
              <w:spacing w:before="91" w:line="192" w:lineRule="auto"/>
              <w:ind w:left="130"/>
              <w:rPr>
                <w:sz w:val="18"/>
                <w:szCs w:val="18"/>
              </w:rPr>
            </w:pPr>
            <w:r>
              <w:rPr>
                <w:spacing w:val="-3"/>
                <w:sz w:val="18"/>
                <w:szCs w:val="18"/>
              </w:rPr>
              <w:t>0.3</w:t>
            </w:r>
          </w:p>
        </w:tc>
        <w:tc>
          <w:tcPr>
            <w:tcW w:w="428" w:type="dxa"/>
            <w:vAlign w:val="top"/>
          </w:tcPr>
          <w:p w14:paraId="4FF95145">
            <w:pPr>
              <w:pStyle w:val="6"/>
              <w:spacing w:before="91" w:line="192" w:lineRule="auto"/>
              <w:ind w:left="60"/>
              <w:rPr>
                <w:sz w:val="18"/>
                <w:szCs w:val="18"/>
              </w:rPr>
            </w:pPr>
            <w:r>
              <w:rPr>
                <w:spacing w:val="-2"/>
                <w:sz w:val="18"/>
                <w:szCs w:val="18"/>
              </w:rPr>
              <w:t>0.5L</w:t>
            </w:r>
          </w:p>
        </w:tc>
        <w:tc>
          <w:tcPr>
            <w:tcW w:w="447" w:type="dxa"/>
            <w:vAlign w:val="top"/>
          </w:tcPr>
          <w:p w14:paraId="523E13EF">
            <w:pPr>
              <w:pStyle w:val="6"/>
              <w:spacing w:before="91" w:line="192" w:lineRule="auto"/>
              <w:ind w:left="205"/>
              <w:rPr>
                <w:sz w:val="18"/>
                <w:szCs w:val="18"/>
              </w:rPr>
            </w:pPr>
            <w:r>
              <w:rPr>
                <w:sz w:val="18"/>
                <w:szCs w:val="18"/>
              </w:rPr>
              <w:t>/</w:t>
            </w:r>
          </w:p>
        </w:tc>
        <w:tc>
          <w:tcPr>
            <w:tcW w:w="666" w:type="dxa"/>
            <w:tcBorders>
              <w:right w:val="single" w:color="000000" w:sz="12" w:space="0"/>
            </w:tcBorders>
            <w:vAlign w:val="top"/>
          </w:tcPr>
          <w:p w14:paraId="4F4DC0C0">
            <w:pPr>
              <w:pStyle w:val="6"/>
              <w:spacing w:before="91" w:line="192" w:lineRule="auto"/>
              <w:ind w:left="247"/>
              <w:rPr>
                <w:sz w:val="18"/>
                <w:szCs w:val="18"/>
              </w:rPr>
            </w:pPr>
            <w:r>
              <w:rPr>
                <w:spacing w:val="-2"/>
                <w:sz w:val="18"/>
                <w:szCs w:val="18"/>
              </w:rPr>
              <w:t>70</w:t>
            </w:r>
          </w:p>
        </w:tc>
      </w:tr>
      <w:tr w14:paraId="28031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72F36FF4">
            <w:pPr>
              <w:rPr>
                <w:rFonts w:ascii="Arial"/>
                <w:sz w:val="21"/>
              </w:rPr>
            </w:pPr>
          </w:p>
        </w:tc>
        <w:tc>
          <w:tcPr>
            <w:tcW w:w="285" w:type="dxa"/>
            <w:vMerge w:val="restart"/>
            <w:tcBorders>
              <w:bottom w:val="nil"/>
            </w:tcBorders>
            <w:vAlign w:val="top"/>
          </w:tcPr>
          <w:p w14:paraId="1FB807EF">
            <w:pPr>
              <w:pStyle w:val="6"/>
              <w:spacing w:before="126" w:line="226" w:lineRule="auto"/>
              <w:ind w:left="84"/>
              <w:rPr>
                <w:sz w:val="18"/>
                <w:szCs w:val="18"/>
              </w:rPr>
            </w:pPr>
            <w:r>
              <w:rPr>
                <w:sz w:val="18"/>
                <w:szCs w:val="18"/>
              </w:rPr>
              <w:t>3</w:t>
            </w:r>
          </w:p>
          <w:p w14:paraId="35718E1A">
            <w:pPr>
              <w:spacing w:line="226" w:lineRule="auto"/>
              <w:ind w:left="38"/>
              <w:rPr>
                <w:rFonts w:ascii="等线" w:hAnsi="等线" w:eastAsia="等线" w:cs="等线"/>
                <w:sz w:val="18"/>
                <w:szCs w:val="18"/>
              </w:rPr>
            </w:pPr>
            <w:r>
              <w:rPr>
                <w:rFonts w:ascii="等线" w:hAnsi="等线" w:eastAsia="等线" w:cs="等线"/>
                <w:sz w:val="18"/>
                <w:szCs w:val="18"/>
              </w:rPr>
              <w:t>季</w:t>
            </w:r>
          </w:p>
          <w:p w14:paraId="437685C7">
            <w:pPr>
              <w:spacing w:before="14" w:line="226" w:lineRule="auto"/>
              <w:ind w:left="39"/>
              <w:rPr>
                <w:rFonts w:ascii="等线" w:hAnsi="等线" w:eastAsia="等线" w:cs="等线"/>
                <w:sz w:val="18"/>
                <w:szCs w:val="18"/>
              </w:rPr>
            </w:pPr>
            <w:r>
              <w:rPr>
                <w:rFonts w:ascii="等线" w:hAnsi="等线" w:eastAsia="等线" w:cs="等线"/>
                <w:sz w:val="18"/>
                <w:szCs w:val="18"/>
              </w:rPr>
              <w:t>度</w:t>
            </w:r>
          </w:p>
        </w:tc>
        <w:tc>
          <w:tcPr>
            <w:tcW w:w="1131" w:type="dxa"/>
            <w:vAlign w:val="top"/>
          </w:tcPr>
          <w:p w14:paraId="42A12F39">
            <w:pPr>
              <w:pStyle w:val="6"/>
              <w:spacing w:before="91" w:line="193" w:lineRule="auto"/>
              <w:ind w:left="185"/>
              <w:rPr>
                <w:sz w:val="18"/>
                <w:szCs w:val="18"/>
              </w:rPr>
            </w:pPr>
            <w:r>
              <w:rPr>
                <w:spacing w:val="-1"/>
                <w:sz w:val="18"/>
                <w:szCs w:val="18"/>
              </w:rPr>
              <w:t>2021/7/19</w:t>
            </w:r>
          </w:p>
        </w:tc>
        <w:tc>
          <w:tcPr>
            <w:tcW w:w="570" w:type="dxa"/>
            <w:vAlign w:val="top"/>
          </w:tcPr>
          <w:p w14:paraId="4A78346D">
            <w:pPr>
              <w:pStyle w:val="6"/>
              <w:spacing w:before="97" w:line="183" w:lineRule="auto"/>
              <w:ind w:left="176"/>
              <w:rPr>
                <w:sz w:val="18"/>
                <w:szCs w:val="18"/>
              </w:rPr>
            </w:pPr>
            <w:r>
              <w:rPr>
                <w:spacing w:val="-2"/>
                <w:sz w:val="18"/>
                <w:szCs w:val="18"/>
              </w:rPr>
              <w:t>5L</w:t>
            </w:r>
          </w:p>
        </w:tc>
        <w:tc>
          <w:tcPr>
            <w:tcW w:w="703" w:type="dxa"/>
            <w:vAlign w:val="top"/>
          </w:tcPr>
          <w:p w14:paraId="79E4FF11">
            <w:pPr>
              <w:pStyle w:val="6"/>
              <w:spacing w:before="91" w:line="193" w:lineRule="auto"/>
              <w:ind w:left="175"/>
              <w:rPr>
                <w:sz w:val="18"/>
                <w:szCs w:val="18"/>
              </w:rPr>
            </w:pPr>
            <w:r>
              <w:rPr>
                <w:spacing w:val="-2"/>
                <w:sz w:val="18"/>
                <w:szCs w:val="18"/>
              </w:rPr>
              <w:t>0.5L</w:t>
            </w:r>
          </w:p>
        </w:tc>
        <w:tc>
          <w:tcPr>
            <w:tcW w:w="708" w:type="dxa"/>
            <w:vAlign w:val="top"/>
          </w:tcPr>
          <w:p w14:paraId="3A1A19BE">
            <w:pPr>
              <w:pStyle w:val="6"/>
              <w:spacing w:before="91" w:line="193" w:lineRule="auto"/>
              <w:ind w:left="233"/>
              <w:rPr>
                <w:sz w:val="18"/>
                <w:szCs w:val="18"/>
              </w:rPr>
            </w:pPr>
            <w:r>
              <w:rPr>
                <w:spacing w:val="-3"/>
                <w:sz w:val="18"/>
                <w:szCs w:val="18"/>
              </w:rPr>
              <w:t>7.5</w:t>
            </w:r>
          </w:p>
        </w:tc>
        <w:tc>
          <w:tcPr>
            <w:tcW w:w="708" w:type="dxa"/>
            <w:vAlign w:val="top"/>
          </w:tcPr>
          <w:p w14:paraId="04B5C44E">
            <w:pPr>
              <w:pStyle w:val="6"/>
              <w:spacing w:before="91" w:line="193" w:lineRule="auto"/>
              <w:ind w:left="88"/>
              <w:rPr>
                <w:sz w:val="18"/>
                <w:szCs w:val="18"/>
              </w:rPr>
            </w:pPr>
            <w:r>
              <w:rPr>
                <w:spacing w:val="-2"/>
                <w:sz w:val="18"/>
                <w:szCs w:val="18"/>
              </w:rPr>
              <w:t>0.040L</w:t>
            </w:r>
          </w:p>
        </w:tc>
        <w:tc>
          <w:tcPr>
            <w:tcW w:w="851" w:type="dxa"/>
            <w:vAlign w:val="top"/>
          </w:tcPr>
          <w:p w14:paraId="67B049DE">
            <w:pPr>
              <w:pStyle w:val="6"/>
              <w:spacing w:before="91" w:line="193" w:lineRule="auto"/>
              <w:ind w:left="172"/>
              <w:rPr>
                <w:sz w:val="18"/>
                <w:szCs w:val="18"/>
              </w:rPr>
            </w:pPr>
            <w:r>
              <w:rPr>
                <w:spacing w:val="-2"/>
                <w:sz w:val="18"/>
                <w:szCs w:val="18"/>
              </w:rPr>
              <w:t>0.0077</w:t>
            </w:r>
          </w:p>
        </w:tc>
        <w:tc>
          <w:tcPr>
            <w:tcW w:w="851" w:type="dxa"/>
            <w:vAlign w:val="top"/>
          </w:tcPr>
          <w:p w14:paraId="68E3C4DF">
            <w:pPr>
              <w:pStyle w:val="6"/>
              <w:spacing w:before="91" w:line="193" w:lineRule="auto"/>
              <w:ind w:left="173"/>
              <w:rPr>
                <w:sz w:val="18"/>
                <w:szCs w:val="18"/>
              </w:rPr>
            </w:pPr>
            <w:r>
              <w:rPr>
                <w:spacing w:val="-2"/>
                <w:sz w:val="18"/>
                <w:szCs w:val="18"/>
              </w:rPr>
              <w:t>0.0027</w:t>
            </w:r>
          </w:p>
        </w:tc>
        <w:tc>
          <w:tcPr>
            <w:tcW w:w="708" w:type="dxa"/>
            <w:vAlign w:val="top"/>
          </w:tcPr>
          <w:p w14:paraId="16D6DE33">
            <w:pPr>
              <w:pStyle w:val="6"/>
              <w:spacing w:before="91" w:line="193" w:lineRule="auto"/>
              <w:ind w:left="92"/>
              <w:rPr>
                <w:sz w:val="18"/>
                <w:szCs w:val="18"/>
              </w:rPr>
            </w:pPr>
            <w:r>
              <w:rPr>
                <w:spacing w:val="-2"/>
                <w:sz w:val="18"/>
                <w:szCs w:val="18"/>
              </w:rPr>
              <w:t>0.009L</w:t>
            </w:r>
          </w:p>
        </w:tc>
        <w:tc>
          <w:tcPr>
            <w:tcW w:w="707" w:type="dxa"/>
            <w:vAlign w:val="top"/>
          </w:tcPr>
          <w:p w14:paraId="4243185D">
            <w:pPr>
              <w:pStyle w:val="6"/>
              <w:spacing w:before="91" w:line="193" w:lineRule="auto"/>
              <w:ind w:left="93"/>
              <w:rPr>
                <w:sz w:val="18"/>
                <w:szCs w:val="18"/>
              </w:rPr>
            </w:pPr>
            <w:r>
              <w:rPr>
                <w:spacing w:val="-2"/>
                <w:sz w:val="18"/>
                <w:szCs w:val="18"/>
              </w:rPr>
              <w:t>0.001L</w:t>
            </w:r>
          </w:p>
        </w:tc>
        <w:tc>
          <w:tcPr>
            <w:tcW w:w="567" w:type="dxa"/>
            <w:vAlign w:val="top"/>
          </w:tcPr>
          <w:p w14:paraId="43AD28A4">
            <w:pPr>
              <w:pStyle w:val="6"/>
              <w:spacing w:before="91" w:line="193" w:lineRule="auto"/>
              <w:ind w:left="140"/>
              <w:rPr>
                <w:sz w:val="18"/>
                <w:szCs w:val="18"/>
              </w:rPr>
            </w:pPr>
            <w:r>
              <w:rPr>
                <w:spacing w:val="-6"/>
                <w:sz w:val="18"/>
                <w:szCs w:val="18"/>
              </w:rPr>
              <w:t>17.0</w:t>
            </w:r>
          </w:p>
        </w:tc>
        <w:tc>
          <w:tcPr>
            <w:tcW w:w="566" w:type="dxa"/>
            <w:vAlign w:val="top"/>
          </w:tcPr>
          <w:p w14:paraId="327EB9A4">
            <w:pPr>
              <w:pStyle w:val="6"/>
              <w:spacing w:before="91" w:line="193" w:lineRule="auto"/>
              <w:ind w:left="116"/>
              <w:rPr>
                <w:sz w:val="18"/>
                <w:szCs w:val="18"/>
              </w:rPr>
            </w:pPr>
            <w:r>
              <w:rPr>
                <w:spacing w:val="-3"/>
                <w:sz w:val="18"/>
                <w:szCs w:val="18"/>
              </w:rPr>
              <w:t>5.0L</w:t>
            </w:r>
          </w:p>
        </w:tc>
        <w:tc>
          <w:tcPr>
            <w:tcW w:w="851" w:type="dxa"/>
            <w:vAlign w:val="top"/>
          </w:tcPr>
          <w:p w14:paraId="38F81E04">
            <w:pPr>
              <w:pStyle w:val="6"/>
              <w:spacing w:before="91" w:line="193" w:lineRule="auto"/>
              <w:ind w:left="288"/>
              <w:rPr>
                <w:sz w:val="18"/>
                <w:szCs w:val="18"/>
              </w:rPr>
            </w:pPr>
            <w:r>
              <w:rPr>
                <w:spacing w:val="-1"/>
                <w:sz w:val="18"/>
                <w:szCs w:val="18"/>
              </w:rPr>
              <w:t>264</w:t>
            </w:r>
          </w:p>
        </w:tc>
        <w:tc>
          <w:tcPr>
            <w:tcW w:w="567" w:type="dxa"/>
            <w:vAlign w:val="top"/>
          </w:tcPr>
          <w:p w14:paraId="5B6424B4">
            <w:pPr>
              <w:pStyle w:val="6"/>
              <w:spacing w:before="91" w:line="193" w:lineRule="auto"/>
              <w:ind w:left="164"/>
              <w:rPr>
                <w:sz w:val="18"/>
                <w:szCs w:val="18"/>
              </w:rPr>
            </w:pPr>
            <w:r>
              <w:rPr>
                <w:spacing w:val="-5"/>
                <w:sz w:val="18"/>
                <w:szCs w:val="18"/>
              </w:rPr>
              <w:t>184</w:t>
            </w:r>
          </w:p>
        </w:tc>
        <w:tc>
          <w:tcPr>
            <w:tcW w:w="708" w:type="dxa"/>
            <w:vAlign w:val="top"/>
          </w:tcPr>
          <w:p w14:paraId="289466E6">
            <w:pPr>
              <w:pStyle w:val="6"/>
              <w:spacing w:before="91" w:line="193" w:lineRule="auto"/>
              <w:ind w:left="198"/>
              <w:rPr>
                <w:sz w:val="18"/>
                <w:szCs w:val="18"/>
              </w:rPr>
            </w:pPr>
            <w:r>
              <w:rPr>
                <w:spacing w:val="-2"/>
                <w:sz w:val="18"/>
                <w:szCs w:val="18"/>
              </w:rPr>
              <w:t>0.64</w:t>
            </w:r>
          </w:p>
        </w:tc>
        <w:tc>
          <w:tcPr>
            <w:tcW w:w="851" w:type="dxa"/>
            <w:vAlign w:val="top"/>
          </w:tcPr>
          <w:p w14:paraId="31F36EE3">
            <w:pPr>
              <w:pStyle w:val="6"/>
              <w:spacing w:before="91" w:line="193" w:lineRule="auto"/>
              <w:ind w:left="170"/>
              <w:rPr>
                <w:sz w:val="18"/>
                <w:szCs w:val="18"/>
              </w:rPr>
            </w:pPr>
            <w:r>
              <w:rPr>
                <w:spacing w:val="-2"/>
                <w:sz w:val="18"/>
                <w:szCs w:val="18"/>
              </w:rPr>
              <w:t>0.002L</w:t>
            </w:r>
          </w:p>
        </w:tc>
        <w:tc>
          <w:tcPr>
            <w:tcW w:w="990" w:type="dxa"/>
            <w:vAlign w:val="top"/>
          </w:tcPr>
          <w:p w14:paraId="56BC11C5">
            <w:pPr>
              <w:pStyle w:val="6"/>
              <w:spacing w:before="91" w:line="193" w:lineRule="auto"/>
              <w:ind w:left="241"/>
              <w:rPr>
                <w:sz w:val="18"/>
                <w:szCs w:val="18"/>
              </w:rPr>
            </w:pPr>
            <w:r>
              <w:rPr>
                <w:spacing w:val="-2"/>
                <w:sz w:val="18"/>
                <w:szCs w:val="18"/>
              </w:rPr>
              <w:t>0.050L</w:t>
            </w:r>
          </w:p>
        </w:tc>
        <w:tc>
          <w:tcPr>
            <w:tcW w:w="566" w:type="dxa"/>
            <w:vAlign w:val="top"/>
          </w:tcPr>
          <w:p w14:paraId="36C733C0">
            <w:pPr>
              <w:pStyle w:val="6"/>
              <w:spacing w:before="91" w:line="193" w:lineRule="auto"/>
              <w:ind w:left="85"/>
              <w:rPr>
                <w:sz w:val="18"/>
                <w:szCs w:val="18"/>
              </w:rPr>
            </w:pPr>
            <w:r>
              <w:rPr>
                <w:spacing w:val="-2"/>
                <w:sz w:val="18"/>
                <w:szCs w:val="18"/>
              </w:rPr>
              <w:t>0.001</w:t>
            </w:r>
          </w:p>
        </w:tc>
        <w:tc>
          <w:tcPr>
            <w:tcW w:w="851" w:type="dxa"/>
            <w:vAlign w:val="top"/>
          </w:tcPr>
          <w:p w14:paraId="595257E2">
            <w:pPr>
              <w:pStyle w:val="6"/>
              <w:spacing w:before="91" w:line="193" w:lineRule="auto"/>
              <w:ind w:left="128"/>
              <w:rPr>
                <w:sz w:val="18"/>
                <w:szCs w:val="18"/>
              </w:rPr>
            </w:pPr>
            <w:r>
              <w:rPr>
                <w:spacing w:val="-1"/>
                <w:sz w:val="18"/>
                <w:szCs w:val="18"/>
              </w:rPr>
              <w:t>0.0005L</w:t>
            </w:r>
          </w:p>
        </w:tc>
        <w:tc>
          <w:tcPr>
            <w:tcW w:w="704" w:type="dxa"/>
            <w:vAlign w:val="top"/>
          </w:tcPr>
          <w:p w14:paraId="5EFF0843">
            <w:pPr>
              <w:pStyle w:val="6"/>
              <w:spacing w:before="91" w:line="193" w:lineRule="auto"/>
              <w:ind w:left="100"/>
              <w:rPr>
                <w:sz w:val="18"/>
                <w:szCs w:val="18"/>
              </w:rPr>
            </w:pPr>
            <w:r>
              <w:rPr>
                <w:spacing w:val="-2"/>
                <w:sz w:val="18"/>
                <w:szCs w:val="18"/>
              </w:rPr>
              <w:t>0.004L</w:t>
            </w:r>
          </w:p>
        </w:tc>
        <w:tc>
          <w:tcPr>
            <w:tcW w:w="851" w:type="dxa"/>
            <w:vAlign w:val="top"/>
          </w:tcPr>
          <w:p w14:paraId="54DFF48D">
            <w:pPr>
              <w:pStyle w:val="6"/>
              <w:spacing w:before="91" w:line="193" w:lineRule="auto"/>
              <w:ind w:left="131"/>
              <w:rPr>
                <w:sz w:val="18"/>
                <w:szCs w:val="18"/>
              </w:rPr>
            </w:pPr>
            <w:r>
              <w:rPr>
                <w:spacing w:val="-1"/>
                <w:sz w:val="18"/>
                <w:szCs w:val="18"/>
              </w:rPr>
              <w:t>0.0025L</w:t>
            </w:r>
          </w:p>
        </w:tc>
        <w:tc>
          <w:tcPr>
            <w:tcW w:w="851" w:type="dxa"/>
            <w:vAlign w:val="top"/>
          </w:tcPr>
          <w:p w14:paraId="332CD49A">
            <w:pPr>
              <w:pStyle w:val="6"/>
              <w:spacing w:before="91" w:line="193" w:lineRule="auto"/>
              <w:ind w:left="132"/>
              <w:rPr>
                <w:sz w:val="18"/>
                <w:szCs w:val="18"/>
              </w:rPr>
            </w:pPr>
            <w:r>
              <w:rPr>
                <w:spacing w:val="-1"/>
                <w:sz w:val="18"/>
                <w:szCs w:val="18"/>
              </w:rPr>
              <w:t>0.0001L</w:t>
            </w:r>
          </w:p>
        </w:tc>
        <w:tc>
          <w:tcPr>
            <w:tcW w:w="846" w:type="dxa"/>
            <w:vAlign w:val="top"/>
          </w:tcPr>
          <w:p w14:paraId="41096255">
            <w:pPr>
              <w:pStyle w:val="6"/>
              <w:spacing w:before="91" w:line="193" w:lineRule="auto"/>
              <w:ind w:left="131"/>
              <w:rPr>
                <w:sz w:val="18"/>
                <w:szCs w:val="18"/>
              </w:rPr>
            </w:pPr>
            <w:r>
              <w:rPr>
                <w:spacing w:val="-1"/>
                <w:sz w:val="18"/>
                <w:szCs w:val="18"/>
              </w:rPr>
              <w:t>0.0004L</w:t>
            </w:r>
          </w:p>
        </w:tc>
        <w:tc>
          <w:tcPr>
            <w:tcW w:w="684" w:type="dxa"/>
            <w:vAlign w:val="top"/>
          </w:tcPr>
          <w:p w14:paraId="43A6B427">
            <w:pPr>
              <w:pStyle w:val="6"/>
              <w:spacing w:before="91" w:line="193" w:lineRule="auto"/>
              <w:ind w:left="96"/>
              <w:rPr>
                <w:sz w:val="18"/>
                <w:szCs w:val="18"/>
              </w:rPr>
            </w:pPr>
            <w:r>
              <w:rPr>
                <w:spacing w:val="-2"/>
                <w:sz w:val="18"/>
                <w:szCs w:val="18"/>
              </w:rPr>
              <w:t>0.002L</w:t>
            </w:r>
          </w:p>
        </w:tc>
        <w:tc>
          <w:tcPr>
            <w:tcW w:w="460" w:type="dxa"/>
            <w:vAlign w:val="top"/>
          </w:tcPr>
          <w:p w14:paraId="2ABA7D2A">
            <w:pPr>
              <w:pStyle w:val="6"/>
              <w:spacing w:before="91" w:line="193" w:lineRule="auto"/>
              <w:ind w:left="130"/>
              <w:rPr>
                <w:sz w:val="18"/>
                <w:szCs w:val="18"/>
              </w:rPr>
            </w:pPr>
            <w:r>
              <w:rPr>
                <w:spacing w:val="-3"/>
                <w:sz w:val="18"/>
                <w:szCs w:val="18"/>
              </w:rPr>
              <w:t>0.2</w:t>
            </w:r>
          </w:p>
        </w:tc>
        <w:tc>
          <w:tcPr>
            <w:tcW w:w="428" w:type="dxa"/>
            <w:vAlign w:val="top"/>
          </w:tcPr>
          <w:p w14:paraId="16C68F80">
            <w:pPr>
              <w:pStyle w:val="6"/>
              <w:spacing w:before="91" w:line="193" w:lineRule="auto"/>
              <w:ind w:left="129"/>
              <w:rPr>
                <w:sz w:val="18"/>
                <w:szCs w:val="18"/>
              </w:rPr>
            </w:pPr>
            <w:r>
              <w:rPr>
                <w:spacing w:val="-7"/>
                <w:sz w:val="18"/>
                <w:szCs w:val="18"/>
              </w:rPr>
              <w:t>1.1</w:t>
            </w:r>
          </w:p>
        </w:tc>
        <w:tc>
          <w:tcPr>
            <w:tcW w:w="447" w:type="dxa"/>
            <w:vAlign w:val="top"/>
          </w:tcPr>
          <w:p w14:paraId="2FD10084">
            <w:pPr>
              <w:pStyle w:val="6"/>
              <w:spacing w:before="98" w:line="185" w:lineRule="auto"/>
              <w:ind w:left="190"/>
              <w:rPr>
                <w:sz w:val="18"/>
                <w:szCs w:val="18"/>
              </w:rPr>
            </w:pPr>
            <w:r>
              <w:rPr>
                <w:b/>
                <w:bCs/>
                <w:sz w:val="18"/>
                <w:szCs w:val="18"/>
              </w:rPr>
              <w:t>2</w:t>
            </w:r>
          </w:p>
        </w:tc>
        <w:tc>
          <w:tcPr>
            <w:tcW w:w="666" w:type="dxa"/>
            <w:tcBorders>
              <w:right w:val="single" w:color="000000" w:sz="12" w:space="0"/>
            </w:tcBorders>
            <w:vAlign w:val="top"/>
          </w:tcPr>
          <w:p w14:paraId="28A49439">
            <w:pPr>
              <w:pStyle w:val="6"/>
              <w:spacing w:before="91" w:line="193" w:lineRule="auto"/>
              <w:ind w:left="251"/>
              <w:rPr>
                <w:sz w:val="18"/>
                <w:szCs w:val="18"/>
              </w:rPr>
            </w:pPr>
            <w:r>
              <w:rPr>
                <w:spacing w:val="-3"/>
                <w:sz w:val="18"/>
                <w:szCs w:val="18"/>
              </w:rPr>
              <w:t>80</w:t>
            </w:r>
          </w:p>
        </w:tc>
      </w:tr>
      <w:tr w14:paraId="5346F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7" w:type="dxa"/>
            <w:vMerge w:val="continue"/>
            <w:tcBorders>
              <w:top w:val="nil"/>
              <w:left w:val="single" w:color="000000" w:sz="12" w:space="0"/>
              <w:bottom w:val="nil"/>
            </w:tcBorders>
            <w:vAlign w:val="top"/>
          </w:tcPr>
          <w:p w14:paraId="761E5002">
            <w:pPr>
              <w:rPr>
                <w:rFonts w:ascii="Arial"/>
                <w:sz w:val="21"/>
              </w:rPr>
            </w:pPr>
          </w:p>
        </w:tc>
        <w:tc>
          <w:tcPr>
            <w:tcW w:w="285" w:type="dxa"/>
            <w:vMerge w:val="continue"/>
            <w:tcBorders>
              <w:top w:val="nil"/>
              <w:bottom w:val="nil"/>
            </w:tcBorders>
            <w:vAlign w:val="top"/>
          </w:tcPr>
          <w:p w14:paraId="6B4877C0">
            <w:pPr>
              <w:rPr>
                <w:rFonts w:ascii="Arial"/>
                <w:sz w:val="21"/>
              </w:rPr>
            </w:pPr>
          </w:p>
        </w:tc>
        <w:tc>
          <w:tcPr>
            <w:tcW w:w="1131" w:type="dxa"/>
            <w:vAlign w:val="top"/>
          </w:tcPr>
          <w:p w14:paraId="567DCFE5">
            <w:pPr>
              <w:pStyle w:val="6"/>
              <w:spacing w:before="92" w:line="192" w:lineRule="auto"/>
              <w:ind w:left="185"/>
              <w:rPr>
                <w:sz w:val="18"/>
                <w:szCs w:val="18"/>
              </w:rPr>
            </w:pPr>
            <w:r>
              <w:rPr>
                <w:spacing w:val="-1"/>
                <w:sz w:val="18"/>
                <w:szCs w:val="18"/>
              </w:rPr>
              <w:t>2021/7/20</w:t>
            </w:r>
          </w:p>
        </w:tc>
        <w:tc>
          <w:tcPr>
            <w:tcW w:w="570" w:type="dxa"/>
            <w:vAlign w:val="top"/>
          </w:tcPr>
          <w:p w14:paraId="11B64404">
            <w:pPr>
              <w:pStyle w:val="6"/>
              <w:spacing w:before="97" w:line="183" w:lineRule="auto"/>
              <w:ind w:left="176"/>
              <w:rPr>
                <w:sz w:val="18"/>
                <w:szCs w:val="18"/>
              </w:rPr>
            </w:pPr>
            <w:r>
              <w:rPr>
                <w:spacing w:val="-2"/>
                <w:sz w:val="18"/>
                <w:szCs w:val="18"/>
              </w:rPr>
              <w:t>5L</w:t>
            </w:r>
          </w:p>
        </w:tc>
        <w:tc>
          <w:tcPr>
            <w:tcW w:w="703" w:type="dxa"/>
            <w:vAlign w:val="top"/>
          </w:tcPr>
          <w:p w14:paraId="174CE6B6">
            <w:pPr>
              <w:pStyle w:val="6"/>
              <w:spacing w:before="92" w:line="192" w:lineRule="auto"/>
              <w:ind w:left="175"/>
              <w:rPr>
                <w:sz w:val="18"/>
                <w:szCs w:val="18"/>
              </w:rPr>
            </w:pPr>
            <w:r>
              <w:rPr>
                <w:spacing w:val="-2"/>
                <w:sz w:val="18"/>
                <w:szCs w:val="18"/>
              </w:rPr>
              <w:t>0.5L</w:t>
            </w:r>
          </w:p>
        </w:tc>
        <w:tc>
          <w:tcPr>
            <w:tcW w:w="708" w:type="dxa"/>
            <w:vAlign w:val="top"/>
          </w:tcPr>
          <w:p w14:paraId="46CCE238">
            <w:pPr>
              <w:pStyle w:val="6"/>
              <w:spacing w:before="92" w:line="192" w:lineRule="auto"/>
              <w:ind w:left="233"/>
              <w:rPr>
                <w:sz w:val="18"/>
                <w:szCs w:val="18"/>
              </w:rPr>
            </w:pPr>
            <w:r>
              <w:rPr>
                <w:spacing w:val="-3"/>
                <w:sz w:val="18"/>
                <w:szCs w:val="18"/>
              </w:rPr>
              <w:t>7.6</w:t>
            </w:r>
          </w:p>
        </w:tc>
        <w:tc>
          <w:tcPr>
            <w:tcW w:w="708" w:type="dxa"/>
            <w:vAlign w:val="top"/>
          </w:tcPr>
          <w:p w14:paraId="2385D84B">
            <w:pPr>
              <w:pStyle w:val="6"/>
              <w:spacing w:before="92" w:line="192" w:lineRule="auto"/>
              <w:ind w:left="88"/>
              <w:rPr>
                <w:sz w:val="18"/>
                <w:szCs w:val="18"/>
              </w:rPr>
            </w:pPr>
            <w:r>
              <w:rPr>
                <w:spacing w:val="-2"/>
                <w:sz w:val="18"/>
                <w:szCs w:val="18"/>
              </w:rPr>
              <w:t>0.040L</w:t>
            </w:r>
          </w:p>
        </w:tc>
        <w:tc>
          <w:tcPr>
            <w:tcW w:w="851" w:type="dxa"/>
            <w:vAlign w:val="top"/>
          </w:tcPr>
          <w:p w14:paraId="0C6E4FA5">
            <w:pPr>
              <w:pStyle w:val="6"/>
              <w:spacing w:before="92" w:line="192" w:lineRule="auto"/>
              <w:ind w:left="172"/>
              <w:rPr>
                <w:sz w:val="18"/>
                <w:szCs w:val="18"/>
              </w:rPr>
            </w:pPr>
            <w:r>
              <w:rPr>
                <w:spacing w:val="-2"/>
                <w:sz w:val="18"/>
                <w:szCs w:val="18"/>
              </w:rPr>
              <w:t>0.0092</w:t>
            </w:r>
          </w:p>
        </w:tc>
        <w:tc>
          <w:tcPr>
            <w:tcW w:w="851" w:type="dxa"/>
            <w:vAlign w:val="top"/>
          </w:tcPr>
          <w:p w14:paraId="0B132B18">
            <w:pPr>
              <w:pStyle w:val="6"/>
              <w:spacing w:before="92" w:line="192" w:lineRule="auto"/>
              <w:ind w:left="173"/>
              <w:rPr>
                <w:sz w:val="18"/>
                <w:szCs w:val="18"/>
              </w:rPr>
            </w:pPr>
            <w:r>
              <w:rPr>
                <w:spacing w:val="-2"/>
                <w:sz w:val="18"/>
                <w:szCs w:val="18"/>
              </w:rPr>
              <w:t>0.0029</w:t>
            </w:r>
          </w:p>
        </w:tc>
        <w:tc>
          <w:tcPr>
            <w:tcW w:w="708" w:type="dxa"/>
            <w:vAlign w:val="top"/>
          </w:tcPr>
          <w:p w14:paraId="221529E5">
            <w:pPr>
              <w:pStyle w:val="6"/>
              <w:spacing w:before="92" w:line="192" w:lineRule="auto"/>
              <w:ind w:left="92"/>
              <w:rPr>
                <w:sz w:val="18"/>
                <w:szCs w:val="18"/>
              </w:rPr>
            </w:pPr>
            <w:r>
              <w:rPr>
                <w:spacing w:val="-2"/>
                <w:sz w:val="18"/>
                <w:szCs w:val="18"/>
              </w:rPr>
              <w:t>0.009L</w:t>
            </w:r>
          </w:p>
        </w:tc>
        <w:tc>
          <w:tcPr>
            <w:tcW w:w="707" w:type="dxa"/>
            <w:vAlign w:val="top"/>
          </w:tcPr>
          <w:p w14:paraId="7C72E20C">
            <w:pPr>
              <w:pStyle w:val="6"/>
              <w:spacing w:before="92" w:line="192" w:lineRule="auto"/>
              <w:ind w:left="93"/>
              <w:rPr>
                <w:sz w:val="18"/>
                <w:szCs w:val="18"/>
              </w:rPr>
            </w:pPr>
            <w:r>
              <w:rPr>
                <w:spacing w:val="-2"/>
                <w:sz w:val="18"/>
                <w:szCs w:val="18"/>
              </w:rPr>
              <w:t>0.001L</w:t>
            </w:r>
          </w:p>
        </w:tc>
        <w:tc>
          <w:tcPr>
            <w:tcW w:w="567" w:type="dxa"/>
            <w:vAlign w:val="top"/>
          </w:tcPr>
          <w:p w14:paraId="24A39FD2">
            <w:pPr>
              <w:pStyle w:val="6"/>
              <w:spacing w:before="92" w:line="192" w:lineRule="auto"/>
              <w:ind w:left="140"/>
              <w:rPr>
                <w:sz w:val="18"/>
                <w:szCs w:val="18"/>
              </w:rPr>
            </w:pPr>
            <w:r>
              <w:rPr>
                <w:spacing w:val="-6"/>
                <w:sz w:val="18"/>
                <w:szCs w:val="18"/>
              </w:rPr>
              <w:t>16.8</w:t>
            </w:r>
          </w:p>
        </w:tc>
        <w:tc>
          <w:tcPr>
            <w:tcW w:w="566" w:type="dxa"/>
            <w:vAlign w:val="top"/>
          </w:tcPr>
          <w:p w14:paraId="69FE9B50">
            <w:pPr>
              <w:pStyle w:val="6"/>
              <w:spacing w:before="92" w:line="192" w:lineRule="auto"/>
              <w:ind w:left="116"/>
              <w:rPr>
                <w:sz w:val="18"/>
                <w:szCs w:val="18"/>
              </w:rPr>
            </w:pPr>
            <w:r>
              <w:rPr>
                <w:spacing w:val="-3"/>
                <w:sz w:val="18"/>
                <w:szCs w:val="18"/>
              </w:rPr>
              <w:t>5.0L</w:t>
            </w:r>
          </w:p>
        </w:tc>
        <w:tc>
          <w:tcPr>
            <w:tcW w:w="851" w:type="dxa"/>
            <w:vAlign w:val="top"/>
          </w:tcPr>
          <w:p w14:paraId="54869050">
            <w:pPr>
              <w:pStyle w:val="6"/>
              <w:spacing w:before="92" w:line="192" w:lineRule="auto"/>
              <w:ind w:left="288"/>
              <w:rPr>
                <w:sz w:val="18"/>
                <w:szCs w:val="18"/>
              </w:rPr>
            </w:pPr>
            <w:r>
              <w:rPr>
                <w:spacing w:val="-1"/>
                <w:sz w:val="18"/>
                <w:szCs w:val="18"/>
              </w:rPr>
              <w:t>257</w:t>
            </w:r>
          </w:p>
        </w:tc>
        <w:tc>
          <w:tcPr>
            <w:tcW w:w="567" w:type="dxa"/>
            <w:vAlign w:val="top"/>
          </w:tcPr>
          <w:p w14:paraId="596D9D76">
            <w:pPr>
              <w:pStyle w:val="6"/>
              <w:spacing w:before="92" w:line="192" w:lineRule="auto"/>
              <w:ind w:left="164"/>
              <w:rPr>
                <w:sz w:val="18"/>
                <w:szCs w:val="18"/>
              </w:rPr>
            </w:pPr>
            <w:r>
              <w:rPr>
                <w:spacing w:val="-5"/>
                <w:sz w:val="18"/>
                <w:szCs w:val="18"/>
              </w:rPr>
              <w:t>182</w:t>
            </w:r>
          </w:p>
        </w:tc>
        <w:tc>
          <w:tcPr>
            <w:tcW w:w="708" w:type="dxa"/>
            <w:vAlign w:val="top"/>
          </w:tcPr>
          <w:p w14:paraId="5B03F10B">
            <w:pPr>
              <w:pStyle w:val="6"/>
              <w:spacing w:before="92" w:line="192" w:lineRule="auto"/>
              <w:ind w:left="198"/>
              <w:rPr>
                <w:sz w:val="18"/>
                <w:szCs w:val="18"/>
              </w:rPr>
            </w:pPr>
            <w:r>
              <w:rPr>
                <w:spacing w:val="-2"/>
                <w:sz w:val="18"/>
                <w:szCs w:val="18"/>
              </w:rPr>
              <w:t>0.71</w:t>
            </w:r>
          </w:p>
        </w:tc>
        <w:tc>
          <w:tcPr>
            <w:tcW w:w="851" w:type="dxa"/>
            <w:vAlign w:val="top"/>
          </w:tcPr>
          <w:p w14:paraId="60E8C47E">
            <w:pPr>
              <w:pStyle w:val="6"/>
              <w:spacing w:before="92" w:line="192" w:lineRule="auto"/>
              <w:ind w:left="170"/>
              <w:rPr>
                <w:sz w:val="18"/>
                <w:szCs w:val="18"/>
              </w:rPr>
            </w:pPr>
            <w:r>
              <w:rPr>
                <w:spacing w:val="-2"/>
                <w:sz w:val="18"/>
                <w:szCs w:val="18"/>
              </w:rPr>
              <w:t>0.002L</w:t>
            </w:r>
          </w:p>
        </w:tc>
        <w:tc>
          <w:tcPr>
            <w:tcW w:w="990" w:type="dxa"/>
            <w:vAlign w:val="top"/>
          </w:tcPr>
          <w:p w14:paraId="19E7A044">
            <w:pPr>
              <w:pStyle w:val="6"/>
              <w:spacing w:before="92" w:line="192" w:lineRule="auto"/>
              <w:ind w:left="241"/>
              <w:rPr>
                <w:sz w:val="18"/>
                <w:szCs w:val="18"/>
              </w:rPr>
            </w:pPr>
            <w:r>
              <w:rPr>
                <w:spacing w:val="-2"/>
                <w:sz w:val="18"/>
                <w:szCs w:val="18"/>
              </w:rPr>
              <w:t>0.050L</w:t>
            </w:r>
          </w:p>
        </w:tc>
        <w:tc>
          <w:tcPr>
            <w:tcW w:w="566" w:type="dxa"/>
            <w:vAlign w:val="top"/>
          </w:tcPr>
          <w:p w14:paraId="2727F8A6">
            <w:pPr>
              <w:pStyle w:val="6"/>
              <w:spacing w:before="92" w:line="192" w:lineRule="auto"/>
              <w:ind w:left="85"/>
              <w:rPr>
                <w:sz w:val="18"/>
                <w:szCs w:val="18"/>
              </w:rPr>
            </w:pPr>
            <w:r>
              <w:rPr>
                <w:spacing w:val="-2"/>
                <w:sz w:val="18"/>
                <w:szCs w:val="18"/>
              </w:rPr>
              <w:t>0.001</w:t>
            </w:r>
          </w:p>
        </w:tc>
        <w:tc>
          <w:tcPr>
            <w:tcW w:w="851" w:type="dxa"/>
            <w:vAlign w:val="top"/>
          </w:tcPr>
          <w:p w14:paraId="57114AD4">
            <w:pPr>
              <w:pStyle w:val="6"/>
              <w:spacing w:before="92" w:line="192" w:lineRule="auto"/>
              <w:ind w:left="128"/>
              <w:rPr>
                <w:sz w:val="18"/>
                <w:szCs w:val="18"/>
              </w:rPr>
            </w:pPr>
            <w:r>
              <w:rPr>
                <w:spacing w:val="-1"/>
                <w:sz w:val="18"/>
                <w:szCs w:val="18"/>
              </w:rPr>
              <w:t>0.0005L</w:t>
            </w:r>
          </w:p>
        </w:tc>
        <w:tc>
          <w:tcPr>
            <w:tcW w:w="704" w:type="dxa"/>
            <w:vAlign w:val="top"/>
          </w:tcPr>
          <w:p w14:paraId="532FD72C">
            <w:pPr>
              <w:pStyle w:val="6"/>
              <w:spacing w:before="92" w:line="192" w:lineRule="auto"/>
              <w:ind w:left="100"/>
              <w:rPr>
                <w:sz w:val="18"/>
                <w:szCs w:val="18"/>
              </w:rPr>
            </w:pPr>
            <w:r>
              <w:rPr>
                <w:spacing w:val="-2"/>
                <w:sz w:val="18"/>
                <w:szCs w:val="18"/>
              </w:rPr>
              <w:t>0.004L</w:t>
            </w:r>
          </w:p>
        </w:tc>
        <w:tc>
          <w:tcPr>
            <w:tcW w:w="851" w:type="dxa"/>
            <w:vAlign w:val="top"/>
          </w:tcPr>
          <w:p w14:paraId="4278121A">
            <w:pPr>
              <w:pStyle w:val="6"/>
              <w:spacing w:before="92" w:line="192" w:lineRule="auto"/>
              <w:ind w:left="131"/>
              <w:rPr>
                <w:sz w:val="18"/>
                <w:szCs w:val="18"/>
              </w:rPr>
            </w:pPr>
            <w:r>
              <w:rPr>
                <w:spacing w:val="-1"/>
                <w:sz w:val="18"/>
                <w:szCs w:val="18"/>
              </w:rPr>
              <w:t>0.0025L</w:t>
            </w:r>
          </w:p>
        </w:tc>
        <w:tc>
          <w:tcPr>
            <w:tcW w:w="851" w:type="dxa"/>
            <w:vAlign w:val="top"/>
          </w:tcPr>
          <w:p w14:paraId="6C2E1E85">
            <w:pPr>
              <w:pStyle w:val="6"/>
              <w:spacing w:before="92" w:line="192" w:lineRule="auto"/>
              <w:ind w:left="132"/>
              <w:rPr>
                <w:sz w:val="18"/>
                <w:szCs w:val="18"/>
              </w:rPr>
            </w:pPr>
            <w:r>
              <w:rPr>
                <w:spacing w:val="-1"/>
                <w:sz w:val="18"/>
                <w:szCs w:val="18"/>
              </w:rPr>
              <w:t>0.0001L</w:t>
            </w:r>
          </w:p>
        </w:tc>
        <w:tc>
          <w:tcPr>
            <w:tcW w:w="846" w:type="dxa"/>
            <w:vAlign w:val="top"/>
          </w:tcPr>
          <w:p w14:paraId="6E4D1A03">
            <w:pPr>
              <w:pStyle w:val="6"/>
              <w:spacing w:before="92" w:line="192" w:lineRule="auto"/>
              <w:ind w:left="131"/>
              <w:rPr>
                <w:sz w:val="18"/>
                <w:szCs w:val="18"/>
              </w:rPr>
            </w:pPr>
            <w:r>
              <w:rPr>
                <w:spacing w:val="-1"/>
                <w:sz w:val="18"/>
                <w:szCs w:val="18"/>
              </w:rPr>
              <w:t>0.0004L</w:t>
            </w:r>
          </w:p>
        </w:tc>
        <w:tc>
          <w:tcPr>
            <w:tcW w:w="684" w:type="dxa"/>
            <w:vAlign w:val="top"/>
          </w:tcPr>
          <w:p w14:paraId="42F31339">
            <w:pPr>
              <w:pStyle w:val="6"/>
              <w:spacing w:before="92" w:line="192" w:lineRule="auto"/>
              <w:ind w:left="96"/>
              <w:rPr>
                <w:sz w:val="18"/>
                <w:szCs w:val="18"/>
              </w:rPr>
            </w:pPr>
            <w:r>
              <w:rPr>
                <w:spacing w:val="-2"/>
                <w:sz w:val="18"/>
                <w:szCs w:val="18"/>
              </w:rPr>
              <w:t>0.002L</w:t>
            </w:r>
          </w:p>
        </w:tc>
        <w:tc>
          <w:tcPr>
            <w:tcW w:w="460" w:type="dxa"/>
            <w:vAlign w:val="top"/>
          </w:tcPr>
          <w:p w14:paraId="3DD0138B">
            <w:pPr>
              <w:pStyle w:val="6"/>
              <w:spacing w:before="92" w:line="192" w:lineRule="auto"/>
              <w:ind w:left="130"/>
              <w:rPr>
                <w:sz w:val="18"/>
                <w:szCs w:val="18"/>
              </w:rPr>
            </w:pPr>
            <w:r>
              <w:rPr>
                <w:spacing w:val="-3"/>
                <w:sz w:val="18"/>
                <w:szCs w:val="18"/>
              </w:rPr>
              <w:t>0.4</w:t>
            </w:r>
          </w:p>
        </w:tc>
        <w:tc>
          <w:tcPr>
            <w:tcW w:w="428" w:type="dxa"/>
            <w:vAlign w:val="top"/>
          </w:tcPr>
          <w:p w14:paraId="012C4873">
            <w:pPr>
              <w:pStyle w:val="6"/>
              <w:spacing w:before="92" w:line="192" w:lineRule="auto"/>
              <w:ind w:left="115"/>
              <w:rPr>
                <w:sz w:val="18"/>
                <w:szCs w:val="18"/>
              </w:rPr>
            </w:pPr>
            <w:r>
              <w:rPr>
                <w:spacing w:val="-3"/>
                <w:sz w:val="18"/>
                <w:szCs w:val="18"/>
              </w:rPr>
              <w:t>0.9</w:t>
            </w:r>
          </w:p>
        </w:tc>
        <w:tc>
          <w:tcPr>
            <w:tcW w:w="447" w:type="dxa"/>
            <w:vAlign w:val="top"/>
          </w:tcPr>
          <w:p w14:paraId="329D7113">
            <w:pPr>
              <w:pStyle w:val="6"/>
              <w:spacing w:before="98" w:line="185" w:lineRule="auto"/>
              <w:ind w:left="190"/>
              <w:rPr>
                <w:sz w:val="18"/>
                <w:szCs w:val="18"/>
              </w:rPr>
            </w:pPr>
            <w:r>
              <w:rPr>
                <w:b/>
                <w:bCs/>
                <w:sz w:val="18"/>
                <w:szCs w:val="18"/>
              </w:rPr>
              <w:t>2</w:t>
            </w:r>
          </w:p>
        </w:tc>
        <w:tc>
          <w:tcPr>
            <w:tcW w:w="666" w:type="dxa"/>
            <w:tcBorders>
              <w:right w:val="single" w:color="000000" w:sz="12" w:space="0"/>
            </w:tcBorders>
            <w:vAlign w:val="top"/>
          </w:tcPr>
          <w:p w14:paraId="4F06F0D9">
            <w:pPr>
              <w:pStyle w:val="6"/>
              <w:spacing w:before="92" w:line="192" w:lineRule="auto"/>
              <w:ind w:left="247"/>
              <w:rPr>
                <w:sz w:val="18"/>
                <w:szCs w:val="18"/>
              </w:rPr>
            </w:pPr>
            <w:r>
              <w:rPr>
                <w:spacing w:val="-2"/>
                <w:sz w:val="18"/>
                <w:szCs w:val="18"/>
              </w:rPr>
              <w:t>90</w:t>
            </w:r>
          </w:p>
        </w:tc>
      </w:tr>
      <w:tr w14:paraId="7D95D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707" w:type="dxa"/>
            <w:vMerge w:val="continue"/>
            <w:tcBorders>
              <w:top w:val="nil"/>
              <w:left w:val="single" w:color="000000" w:sz="12" w:space="0"/>
            </w:tcBorders>
            <w:vAlign w:val="top"/>
          </w:tcPr>
          <w:p w14:paraId="08E6D06A">
            <w:pPr>
              <w:rPr>
                <w:rFonts w:ascii="Arial"/>
                <w:sz w:val="21"/>
              </w:rPr>
            </w:pPr>
          </w:p>
        </w:tc>
        <w:tc>
          <w:tcPr>
            <w:tcW w:w="285" w:type="dxa"/>
            <w:vMerge w:val="continue"/>
            <w:tcBorders>
              <w:top w:val="nil"/>
            </w:tcBorders>
            <w:vAlign w:val="top"/>
          </w:tcPr>
          <w:p w14:paraId="241D053C">
            <w:pPr>
              <w:rPr>
                <w:rFonts w:ascii="Arial"/>
                <w:sz w:val="21"/>
              </w:rPr>
            </w:pPr>
          </w:p>
        </w:tc>
        <w:tc>
          <w:tcPr>
            <w:tcW w:w="1131" w:type="dxa"/>
            <w:vAlign w:val="top"/>
          </w:tcPr>
          <w:p w14:paraId="6B6EA22B">
            <w:pPr>
              <w:pStyle w:val="6"/>
              <w:spacing w:before="91" w:line="192" w:lineRule="auto"/>
              <w:ind w:left="185"/>
              <w:rPr>
                <w:sz w:val="18"/>
                <w:szCs w:val="18"/>
              </w:rPr>
            </w:pPr>
            <w:r>
              <w:rPr>
                <w:spacing w:val="-1"/>
                <w:sz w:val="18"/>
                <w:szCs w:val="18"/>
              </w:rPr>
              <w:t>2021/7/21</w:t>
            </w:r>
          </w:p>
        </w:tc>
        <w:tc>
          <w:tcPr>
            <w:tcW w:w="570" w:type="dxa"/>
            <w:vAlign w:val="top"/>
          </w:tcPr>
          <w:p w14:paraId="7DC76BF4">
            <w:pPr>
              <w:pStyle w:val="6"/>
              <w:spacing w:before="97" w:line="183" w:lineRule="auto"/>
              <w:ind w:left="176"/>
              <w:rPr>
                <w:sz w:val="18"/>
                <w:szCs w:val="18"/>
              </w:rPr>
            </w:pPr>
            <w:r>
              <w:rPr>
                <w:spacing w:val="-2"/>
                <w:sz w:val="18"/>
                <w:szCs w:val="18"/>
              </w:rPr>
              <w:t>5L</w:t>
            </w:r>
          </w:p>
        </w:tc>
        <w:tc>
          <w:tcPr>
            <w:tcW w:w="703" w:type="dxa"/>
            <w:vAlign w:val="top"/>
          </w:tcPr>
          <w:p w14:paraId="270ABC6F">
            <w:pPr>
              <w:pStyle w:val="6"/>
              <w:spacing w:before="91" w:line="192" w:lineRule="auto"/>
              <w:ind w:left="175"/>
              <w:rPr>
                <w:sz w:val="18"/>
                <w:szCs w:val="18"/>
              </w:rPr>
            </w:pPr>
            <w:r>
              <w:rPr>
                <w:spacing w:val="-2"/>
                <w:sz w:val="18"/>
                <w:szCs w:val="18"/>
              </w:rPr>
              <w:t>0.5L</w:t>
            </w:r>
          </w:p>
        </w:tc>
        <w:tc>
          <w:tcPr>
            <w:tcW w:w="708" w:type="dxa"/>
            <w:vAlign w:val="top"/>
          </w:tcPr>
          <w:p w14:paraId="20B8585F">
            <w:pPr>
              <w:pStyle w:val="6"/>
              <w:spacing w:before="91" w:line="192" w:lineRule="auto"/>
              <w:ind w:left="233"/>
              <w:rPr>
                <w:sz w:val="18"/>
                <w:szCs w:val="18"/>
              </w:rPr>
            </w:pPr>
            <w:r>
              <w:rPr>
                <w:spacing w:val="-3"/>
                <w:sz w:val="18"/>
                <w:szCs w:val="18"/>
              </w:rPr>
              <w:t>7.5</w:t>
            </w:r>
          </w:p>
        </w:tc>
        <w:tc>
          <w:tcPr>
            <w:tcW w:w="708" w:type="dxa"/>
            <w:vAlign w:val="top"/>
          </w:tcPr>
          <w:p w14:paraId="11B599B9">
            <w:pPr>
              <w:pStyle w:val="6"/>
              <w:spacing w:before="91" w:line="192" w:lineRule="auto"/>
              <w:ind w:left="88"/>
              <w:rPr>
                <w:sz w:val="18"/>
                <w:szCs w:val="18"/>
              </w:rPr>
            </w:pPr>
            <w:r>
              <w:rPr>
                <w:spacing w:val="-2"/>
                <w:sz w:val="18"/>
                <w:szCs w:val="18"/>
              </w:rPr>
              <w:t>0.040L</w:t>
            </w:r>
          </w:p>
        </w:tc>
        <w:tc>
          <w:tcPr>
            <w:tcW w:w="851" w:type="dxa"/>
            <w:vAlign w:val="top"/>
          </w:tcPr>
          <w:p w14:paraId="3A1BB66E">
            <w:pPr>
              <w:pStyle w:val="6"/>
              <w:spacing w:before="91" w:line="192" w:lineRule="auto"/>
              <w:ind w:left="172"/>
              <w:rPr>
                <w:sz w:val="18"/>
                <w:szCs w:val="18"/>
              </w:rPr>
            </w:pPr>
            <w:r>
              <w:rPr>
                <w:spacing w:val="-2"/>
                <w:sz w:val="18"/>
                <w:szCs w:val="18"/>
              </w:rPr>
              <w:t>0.0094</w:t>
            </w:r>
          </w:p>
        </w:tc>
        <w:tc>
          <w:tcPr>
            <w:tcW w:w="851" w:type="dxa"/>
            <w:vAlign w:val="top"/>
          </w:tcPr>
          <w:p w14:paraId="559066C7">
            <w:pPr>
              <w:pStyle w:val="6"/>
              <w:spacing w:before="91" w:line="192" w:lineRule="auto"/>
              <w:ind w:left="173"/>
              <w:rPr>
                <w:sz w:val="18"/>
                <w:szCs w:val="18"/>
              </w:rPr>
            </w:pPr>
            <w:r>
              <w:rPr>
                <w:spacing w:val="-2"/>
                <w:sz w:val="18"/>
                <w:szCs w:val="18"/>
              </w:rPr>
              <w:t>0.0030</w:t>
            </w:r>
          </w:p>
        </w:tc>
        <w:tc>
          <w:tcPr>
            <w:tcW w:w="708" w:type="dxa"/>
            <w:vAlign w:val="top"/>
          </w:tcPr>
          <w:p w14:paraId="437985A9">
            <w:pPr>
              <w:pStyle w:val="6"/>
              <w:spacing w:before="91" w:line="192" w:lineRule="auto"/>
              <w:ind w:left="92"/>
              <w:rPr>
                <w:sz w:val="18"/>
                <w:szCs w:val="18"/>
              </w:rPr>
            </w:pPr>
            <w:r>
              <w:rPr>
                <w:spacing w:val="-2"/>
                <w:sz w:val="18"/>
                <w:szCs w:val="18"/>
              </w:rPr>
              <w:t>0.009L</w:t>
            </w:r>
          </w:p>
        </w:tc>
        <w:tc>
          <w:tcPr>
            <w:tcW w:w="707" w:type="dxa"/>
            <w:vAlign w:val="top"/>
          </w:tcPr>
          <w:p w14:paraId="3C31D41B">
            <w:pPr>
              <w:pStyle w:val="6"/>
              <w:spacing w:before="91" w:line="192" w:lineRule="auto"/>
              <w:ind w:left="93"/>
              <w:rPr>
                <w:sz w:val="18"/>
                <w:szCs w:val="18"/>
              </w:rPr>
            </w:pPr>
            <w:r>
              <w:rPr>
                <w:spacing w:val="-2"/>
                <w:sz w:val="18"/>
                <w:szCs w:val="18"/>
              </w:rPr>
              <w:t>0.001L</w:t>
            </w:r>
          </w:p>
        </w:tc>
        <w:tc>
          <w:tcPr>
            <w:tcW w:w="567" w:type="dxa"/>
            <w:vAlign w:val="top"/>
          </w:tcPr>
          <w:p w14:paraId="2F8C4B17">
            <w:pPr>
              <w:pStyle w:val="6"/>
              <w:spacing w:before="91" w:line="192" w:lineRule="auto"/>
              <w:ind w:left="140"/>
              <w:rPr>
                <w:sz w:val="18"/>
                <w:szCs w:val="18"/>
              </w:rPr>
            </w:pPr>
            <w:r>
              <w:rPr>
                <w:spacing w:val="-6"/>
                <w:sz w:val="18"/>
                <w:szCs w:val="18"/>
              </w:rPr>
              <w:t>16.6</w:t>
            </w:r>
          </w:p>
        </w:tc>
        <w:tc>
          <w:tcPr>
            <w:tcW w:w="566" w:type="dxa"/>
            <w:vAlign w:val="top"/>
          </w:tcPr>
          <w:p w14:paraId="30E8CFA6">
            <w:pPr>
              <w:pStyle w:val="6"/>
              <w:spacing w:before="91" w:line="192" w:lineRule="auto"/>
              <w:ind w:left="116"/>
              <w:rPr>
                <w:sz w:val="18"/>
                <w:szCs w:val="18"/>
              </w:rPr>
            </w:pPr>
            <w:r>
              <w:rPr>
                <w:spacing w:val="-3"/>
                <w:sz w:val="18"/>
                <w:szCs w:val="18"/>
              </w:rPr>
              <w:t>5.0L</w:t>
            </w:r>
          </w:p>
        </w:tc>
        <w:tc>
          <w:tcPr>
            <w:tcW w:w="851" w:type="dxa"/>
            <w:vAlign w:val="top"/>
          </w:tcPr>
          <w:p w14:paraId="3E593400">
            <w:pPr>
              <w:pStyle w:val="6"/>
              <w:spacing w:before="91" w:line="192" w:lineRule="auto"/>
              <w:ind w:left="288"/>
              <w:rPr>
                <w:sz w:val="18"/>
                <w:szCs w:val="18"/>
              </w:rPr>
            </w:pPr>
            <w:r>
              <w:rPr>
                <w:spacing w:val="-1"/>
                <w:sz w:val="18"/>
                <w:szCs w:val="18"/>
              </w:rPr>
              <w:t>268</w:t>
            </w:r>
          </w:p>
        </w:tc>
        <w:tc>
          <w:tcPr>
            <w:tcW w:w="567" w:type="dxa"/>
            <w:vAlign w:val="top"/>
          </w:tcPr>
          <w:p w14:paraId="5D76E879">
            <w:pPr>
              <w:pStyle w:val="6"/>
              <w:spacing w:before="91" w:line="192" w:lineRule="auto"/>
              <w:ind w:left="164"/>
              <w:rPr>
                <w:sz w:val="18"/>
                <w:szCs w:val="18"/>
              </w:rPr>
            </w:pPr>
            <w:r>
              <w:rPr>
                <w:spacing w:val="-5"/>
                <w:sz w:val="18"/>
                <w:szCs w:val="18"/>
              </w:rPr>
              <w:t>186</w:t>
            </w:r>
          </w:p>
        </w:tc>
        <w:tc>
          <w:tcPr>
            <w:tcW w:w="708" w:type="dxa"/>
            <w:vAlign w:val="top"/>
          </w:tcPr>
          <w:p w14:paraId="0CF975BC">
            <w:pPr>
              <w:pStyle w:val="6"/>
              <w:spacing w:before="91" w:line="192" w:lineRule="auto"/>
              <w:ind w:left="198"/>
              <w:rPr>
                <w:sz w:val="18"/>
                <w:szCs w:val="18"/>
              </w:rPr>
            </w:pPr>
            <w:r>
              <w:rPr>
                <w:spacing w:val="-2"/>
                <w:sz w:val="18"/>
                <w:szCs w:val="18"/>
              </w:rPr>
              <w:t>0.68</w:t>
            </w:r>
          </w:p>
        </w:tc>
        <w:tc>
          <w:tcPr>
            <w:tcW w:w="851" w:type="dxa"/>
            <w:vAlign w:val="top"/>
          </w:tcPr>
          <w:p w14:paraId="12A0FCA8">
            <w:pPr>
              <w:pStyle w:val="6"/>
              <w:spacing w:before="91" w:line="192" w:lineRule="auto"/>
              <w:ind w:left="170"/>
              <w:rPr>
                <w:sz w:val="18"/>
                <w:szCs w:val="18"/>
              </w:rPr>
            </w:pPr>
            <w:r>
              <w:rPr>
                <w:spacing w:val="-2"/>
                <w:sz w:val="18"/>
                <w:szCs w:val="18"/>
              </w:rPr>
              <w:t>0.002L</w:t>
            </w:r>
          </w:p>
        </w:tc>
        <w:tc>
          <w:tcPr>
            <w:tcW w:w="990" w:type="dxa"/>
            <w:vAlign w:val="top"/>
          </w:tcPr>
          <w:p w14:paraId="2856129D">
            <w:pPr>
              <w:pStyle w:val="6"/>
              <w:spacing w:before="91" w:line="192" w:lineRule="auto"/>
              <w:ind w:left="241"/>
              <w:rPr>
                <w:sz w:val="18"/>
                <w:szCs w:val="18"/>
              </w:rPr>
            </w:pPr>
            <w:r>
              <w:rPr>
                <w:spacing w:val="-2"/>
                <w:sz w:val="18"/>
                <w:szCs w:val="18"/>
              </w:rPr>
              <w:t>0.050L</w:t>
            </w:r>
          </w:p>
        </w:tc>
        <w:tc>
          <w:tcPr>
            <w:tcW w:w="566" w:type="dxa"/>
            <w:vAlign w:val="top"/>
          </w:tcPr>
          <w:p w14:paraId="401EE8E1">
            <w:pPr>
              <w:pStyle w:val="6"/>
              <w:spacing w:before="91" w:line="192" w:lineRule="auto"/>
              <w:ind w:left="85"/>
              <w:rPr>
                <w:sz w:val="18"/>
                <w:szCs w:val="18"/>
              </w:rPr>
            </w:pPr>
            <w:r>
              <w:rPr>
                <w:spacing w:val="-2"/>
                <w:sz w:val="18"/>
                <w:szCs w:val="18"/>
              </w:rPr>
              <w:t>0.001</w:t>
            </w:r>
          </w:p>
        </w:tc>
        <w:tc>
          <w:tcPr>
            <w:tcW w:w="851" w:type="dxa"/>
            <w:vAlign w:val="top"/>
          </w:tcPr>
          <w:p w14:paraId="6E678CBC">
            <w:pPr>
              <w:pStyle w:val="6"/>
              <w:spacing w:before="91" w:line="192" w:lineRule="auto"/>
              <w:ind w:left="128"/>
              <w:rPr>
                <w:sz w:val="18"/>
                <w:szCs w:val="18"/>
              </w:rPr>
            </w:pPr>
            <w:r>
              <w:rPr>
                <w:spacing w:val="-1"/>
                <w:sz w:val="18"/>
                <w:szCs w:val="18"/>
              </w:rPr>
              <w:t>0.0005L</w:t>
            </w:r>
          </w:p>
        </w:tc>
        <w:tc>
          <w:tcPr>
            <w:tcW w:w="704" w:type="dxa"/>
            <w:vAlign w:val="top"/>
          </w:tcPr>
          <w:p w14:paraId="32E4079A">
            <w:pPr>
              <w:pStyle w:val="6"/>
              <w:spacing w:before="91" w:line="192" w:lineRule="auto"/>
              <w:ind w:left="100"/>
              <w:rPr>
                <w:sz w:val="18"/>
                <w:szCs w:val="18"/>
              </w:rPr>
            </w:pPr>
            <w:r>
              <w:rPr>
                <w:spacing w:val="-2"/>
                <w:sz w:val="18"/>
                <w:szCs w:val="18"/>
              </w:rPr>
              <w:t>0.004L</w:t>
            </w:r>
          </w:p>
        </w:tc>
        <w:tc>
          <w:tcPr>
            <w:tcW w:w="851" w:type="dxa"/>
            <w:vAlign w:val="top"/>
          </w:tcPr>
          <w:p w14:paraId="7CFA09FD">
            <w:pPr>
              <w:pStyle w:val="6"/>
              <w:spacing w:before="91" w:line="192" w:lineRule="auto"/>
              <w:ind w:left="131"/>
              <w:rPr>
                <w:sz w:val="18"/>
                <w:szCs w:val="18"/>
              </w:rPr>
            </w:pPr>
            <w:r>
              <w:rPr>
                <w:spacing w:val="-1"/>
                <w:sz w:val="18"/>
                <w:szCs w:val="18"/>
              </w:rPr>
              <w:t>0.0025L</w:t>
            </w:r>
          </w:p>
        </w:tc>
        <w:tc>
          <w:tcPr>
            <w:tcW w:w="851" w:type="dxa"/>
            <w:vAlign w:val="top"/>
          </w:tcPr>
          <w:p w14:paraId="321D0BAA">
            <w:pPr>
              <w:pStyle w:val="6"/>
              <w:spacing w:before="91" w:line="192" w:lineRule="auto"/>
              <w:ind w:left="132"/>
              <w:rPr>
                <w:sz w:val="18"/>
                <w:szCs w:val="18"/>
              </w:rPr>
            </w:pPr>
            <w:r>
              <w:rPr>
                <w:spacing w:val="-1"/>
                <w:sz w:val="18"/>
                <w:szCs w:val="18"/>
              </w:rPr>
              <w:t>0.0001L</w:t>
            </w:r>
          </w:p>
        </w:tc>
        <w:tc>
          <w:tcPr>
            <w:tcW w:w="846" w:type="dxa"/>
            <w:vAlign w:val="top"/>
          </w:tcPr>
          <w:p w14:paraId="061AC84C">
            <w:pPr>
              <w:pStyle w:val="6"/>
              <w:spacing w:before="91" w:line="192" w:lineRule="auto"/>
              <w:ind w:left="131"/>
              <w:rPr>
                <w:sz w:val="18"/>
                <w:szCs w:val="18"/>
              </w:rPr>
            </w:pPr>
            <w:r>
              <w:rPr>
                <w:spacing w:val="-1"/>
                <w:sz w:val="18"/>
                <w:szCs w:val="18"/>
              </w:rPr>
              <w:t>0.0004L</w:t>
            </w:r>
          </w:p>
        </w:tc>
        <w:tc>
          <w:tcPr>
            <w:tcW w:w="684" w:type="dxa"/>
            <w:vAlign w:val="top"/>
          </w:tcPr>
          <w:p w14:paraId="1ACE4F5D">
            <w:pPr>
              <w:pStyle w:val="6"/>
              <w:spacing w:before="91" w:line="192" w:lineRule="auto"/>
              <w:ind w:left="96"/>
              <w:rPr>
                <w:sz w:val="18"/>
                <w:szCs w:val="18"/>
              </w:rPr>
            </w:pPr>
            <w:r>
              <w:rPr>
                <w:spacing w:val="-2"/>
                <w:sz w:val="18"/>
                <w:szCs w:val="18"/>
              </w:rPr>
              <w:t>0.002L</w:t>
            </w:r>
          </w:p>
        </w:tc>
        <w:tc>
          <w:tcPr>
            <w:tcW w:w="460" w:type="dxa"/>
            <w:vAlign w:val="top"/>
          </w:tcPr>
          <w:p w14:paraId="64C317A7">
            <w:pPr>
              <w:pStyle w:val="6"/>
              <w:spacing w:before="91" w:line="192" w:lineRule="auto"/>
              <w:ind w:left="130"/>
              <w:rPr>
                <w:sz w:val="18"/>
                <w:szCs w:val="18"/>
              </w:rPr>
            </w:pPr>
            <w:r>
              <w:rPr>
                <w:spacing w:val="-3"/>
                <w:sz w:val="18"/>
                <w:szCs w:val="18"/>
              </w:rPr>
              <w:t>0.3</w:t>
            </w:r>
          </w:p>
        </w:tc>
        <w:tc>
          <w:tcPr>
            <w:tcW w:w="428" w:type="dxa"/>
            <w:vAlign w:val="top"/>
          </w:tcPr>
          <w:p w14:paraId="27A59888">
            <w:pPr>
              <w:pStyle w:val="6"/>
              <w:spacing w:before="91" w:line="192" w:lineRule="auto"/>
              <w:ind w:left="129"/>
              <w:rPr>
                <w:sz w:val="18"/>
                <w:szCs w:val="18"/>
              </w:rPr>
            </w:pPr>
            <w:r>
              <w:rPr>
                <w:spacing w:val="-7"/>
                <w:sz w:val="18"/>
                <w:szCs w:val="18"/>
              </w:rPr>
              <w:t>1.3</w:t>
            </w:r>
          </w:p>
        </w:tc>
        <w:tc>
          <w:tcPr>
            <w:tcW w:w="447" w:type="dxa"/>
            <w:vAlign w:val="top"/>
          </w:tcPr>
          <w:p w14:paraId="2308249D">
            <w:pPr>
              <w:pStyle w:val="6"/>
              <w:spacing w:before="98" w:line="184" w:lineRule="auto"/>
              <w:ind w:left="190"/>
              <w:rPr>
                <w:sz w:val="18"/>
                <w:szCs w:val="18"/>
              </w:rPr>
            </w:pPr>
            <w:r>
              <w:rPr>
                <w:b/>
                <w:bCs/>
                <w:sz w:val="18"/>
                <w:szCs w:val="18"/>
              </w:rPr>
              <w:t>2</w:t>
            </w:r>
          </w:p>
        </w:tc>
        <w:tc>
          <w:tcPr>
            <w:tcW w:w="666" w:type="dxa"/>
            <w:tcBorders>
              <w:right w:val="single" w:color="000000" w:sz="12" w:space="0"/>
            </w:tcBorders>
            <w:vAlign w:val="top"/>
          </w:tcPr>
          <w:p w14:paraId="33965ABE">
            <w:pPr>
              <w:pStyle w:val="6"/>
              <w:spacing w:before="91" w:line="192" w:lineRule="auto"/>
              <w:ind w:left="247"/>
              <w:rPr>
                <w:sz w:val="18"/>
                <w:szCs w:val="18"/>
              </w:rPr>
            </w:pPr>
            <w:r>
              <w:rPr>
                <w:spacing w:val="-2"/>
                <w:sz w:val="18"/>
                <w:szCs w:val="18"/>
              </w:rPr>
              <w:t>90</w:t>
            </w:r>
          </w:p>
        </w:tc>
      </w:tr>
      <w:tr w14:paraId="4AD40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123" w:type="dxa"/>
            <w:gridSpan w:val="3"/>
            <w:tcBorders>
              <w:left w:val="single" w:color="000000" w:sz="12" w:space="0"/>
              <w:bottom w:val="single" w:color="000000" w:sz="12" w:space="0"/>
            </w:tcBorders>
            <w:vAlign w:val="top"/>
          </w:tcPr>
          <w:p w14:paraId="625088A0">
            <w:pPr>
              <w:pStyle w:val="6"/>
              <w:spacing w:before="222" w:line="232" w:lineRule="auto"/>
              <w:ind w:left="535"/>
              <w:rPr>
                <w:sz w:val="18"/>
                <w:szCs w:val="18"/>
              </w:rPr>
            </w:pPr>
            <w:r>
              <w:rPr>
                <w:spacing w:val="-1"/>
                <w:sz w:val="18"/>
                <w:szCs w:val="18"/>
              </w:rPr>
              <w:t>GB5749-2006</w:t>
            </w:r>
          </w:p>
        </w:tc>
        <w:tc>
          <w:tcPr>
            <w:tcW w:w="570" w:type="dxa"/>
            <w:tcBorders>
              <w:bottom w:val="single" w:color="000000" w:sz="12" w:space="0"/>
            </w:tcBorders>
            <w:vAlign w:val="top"/>
          </w:tcPr>
          <w:p w14:paraId="30C092DC">
            <w:pPr>
              <w:pStyle w:val="6"/>
              <w:spacing w:before="223" w:line="232" w:lineRule="auto"/>
              <w:ind w:left="198"/>
              <w:rPr>
                <w:sz w:val="18"/>
                <w:szCs w:val="18"/>
              </w:rPr>
            </w:pPr>
            <w:r>
              <w:rPr>
                <w:spacing w:val="-6"/>
                <w:sz w:val="18"/>
                <w:szCs w:val="18"/>
              </w:rPr>
              <w:t>15</w:t>
            </w:r>
          </w:p>
        </w:tc>
        <w:tc>
          <w:tcPr>
            <w:tcW w:w="703" w:type="dxa"/>
            <w:tcBorders>
              <w:bottom w:val="single" w:color="000000" w:sz="12" w:space="0"/>
            </w:tcBorders>
            <w:vAlign w:val="top"/>
          </w:tcPr>
          <w:p w14:paraId="758C0593">
            <w:pPr>
              <w:pStyle w:val="6"/>
              <w:spacing w:before="222" w:line="235" w:lineRule="auto"/>
              <w:ind w:left="312"/>
              <w:rPr>
                <w:sz w:val="18"/>
                <w:szCs w:val="18"/>
              </w:rPr>
            </w:pPr>
            <w:r>
              <w:rPr>
                <w:sz w:val="18"/>
                <w:szCs w:val="18"/>
              </w:rPr>
              <w:t>1</w:t>
            </w:r>
          </w:p>
        </w:tc>
        <w:tc>
          <w:tcPr>
            <w:tcW w:w="708" w:type="dxa"/>
            <w:tcBorders>
              <w:bottom w:val="single" w:color="000000" w:sz="12" w:space="0"/>
            </w:tcBorders>
            <w:vAlign w:val="top"/>
          </w:tcPr>
          <w:p w14:paraId="2F46B7A8">
            <w:pPr>
              <w:pStyle w:val="6"/>
              <w:spacing w:before="222" w:line="232" w:lineRule="auto"/>
              <w:ind w:left="91"/>
              <w:rPr>
                <w:sz w:val="18"/>
                <w:szCs w:val="18"/>
              </w:rPr>
            </w:pPr>
            <w:r>
              <w:rPr>
                <w:spacing w:val="-1"/>
                <w:sz w:val="18"/>
                <w:szCs w:val="18"/>
              </w:rPr>
              <w:t>6.5-8.5</w:t>
            </w:r>
          </w:p>
        </w:tc>
        <w:tc>
          <w:tcPr>
            <w:tcW w:w="708" w:type="dxa"/>
            <w:tcBorders>
              <w:bottom w:val="single" w:color="000000" w:sz="12" w:space="0"/>
            </w:tcBorders>
            <w:vAlign w:val="top"/>
          </w:tcPr>
          <w:p w14:paraId="541E1C4C">
            <w:pPr>
              <w:pStyle w:val="6"/>
              <w:spacing w:before="222" w:line="232" w:lineRule="auto"/>
              <w:ind w:left="234"/>
              <w:rPr>
                <w:sz w:val="18"/>
                <w:szCs w:val="18"/>
              </w:rPr>
            </w:pPr>
            <w:r>
              <w:rPr>
                <w:spacing w:val="-3"/>
                <w:sz w:val="18"/>
                <w:szCs w:val="18"/>
              </w:rPr>
              <w:t>0.2</w:t>
            </w:r>
          </w:p>
        </w:tc>
        <w:tc>
          <w:tcPr>
            <w:tcW w:w="851" w:type="dxa"/>
            <w:tcBorders>
              <w:bottom w:val="single" w:color="000000" w:sz="12" w:space="0"/>
            </w:tcBorders>
            <w:vAlign w:val="top"/>
          </w:tcPr>
          <w:p w14:paraId="69C15AE5">
            <w:pPr>
              <w:pStyle w:val="6"/>
              <w:spacing w:before="222" w:line="232" w:lineRule="auto"/>
              <w:ind w:left="307"/>
              <w:rPr>
                <w:sz w:val="18"/>
                <w:szCs w:val="18"/>
              </w:rPr>
            </w:pPr>
            <w:r>
              <w:rPr>
                <w:spacing w:val="-3"/>
                <w:sz w:val="18"/>
                <w:szCs w:val="18"/>
              </w:rPr>
              <w:t>0.3</w:t>
            </w:r>
          </w:p>
        </w:tc>
        <w:tc>
          <w:tcPr>
            <w:tcW w:w="851" w:type="dxa"/>
            <w:tcBorders>
              <w:bottom w:val="single" w:color="000000" w:sz="12" w:space="0"/>
            </w:tcBorders>
            <w:vAlign w:val="top"/>
          </w:tcPr>
          <w:p w14:paraId="2172431E">
            <w:pPr>
              <w:pStyle w:val="6"/>
              <w:spacing w:before="222" w:line="232" w:lineRule="auto"/>
              <w:ind w:left="308"/>
              <w:rPr>
                <w:sz w:val="18"/>
                <w:szCs w:val="18"/>
              </w:rPr>
            </w:pPr>
            <w:r>
              <w:rPr>
                <w:spacing w:val="-3"/>
                <w:sz w:val="18"/>
                <w:szCs w:val="18"/>
              </w:rPr>
              <w:t>0.1</w:t>
            </w:r>
          </w:p>
        </w:tc>
        <w:tc>
          <w:tcPr>
            <w:tcW w:w="708" w:type="dxa"/>
            <w:tcBorders>
              <w:bottom w:val="single" w:color="000000" w:sz="12" w:space="0"/>
            </w:tcBorders>
            <w:vAlign w:val="top"/>
          </w:tcPr>
          <w:p w14:paraId="4936736A">
            <w:pPr>
              <w:pStyle w:val="6"/>
              <w:spacing w:before="222" w:line="232" w:lineRule="auto"/>
              <w:ind w:left="251"/>
              <w:rPr>
                <w:sz w:val="18"/>
                <w:szCs w:val="18"/>
              </w:rPr>
            </w:pPr>
            <w:r>
              <w:rPr>
                <w:spacing w:val="-7"/>
                <w:sz w:val="18"/>
                <w:szCs w:val="18"/>
              </w:rPr>
              <w:t>1.0</w:t>
            </w:r>
          </w:p>
        </w:tc>
        <w:tc>
          <w:tcPr>
            <w:tcW w:w="707" w:type="dxa"/>
            <w:tcBorders>
              <w:bottom w:val="single" w:color="000000" w:sz="12" w:space="0"/>
            </w:tcBorders>
            <w:vAlign w:val="top"/>
          </w:tcPr>
          <w:p w14:paraId="24E83E15">
            <w:pPr>
              <w:pStyle w:val="6"/>
              <w:spacing w:before="222" w:line="232" w:lineRule="auto"/>
              <w:ind w:left="253"/>
              <w:rPr>
                <w:sz w:val="18"/>
                <w:szCs w:val="18"/>
              </w:rPr>
            </w:pPr>
            <w:r>
              <w:rPr>
                <w:spacing w:val="-7"/>
                <w:sz w:val="18"/>
                <w:szCs w:val="18"/>
              </w:rPr>
              <w:t>1.0</w:t>
            </w:r>
          </w:p>
        </w:tc>
        <w:tc>
          <w:tcPr>
            <w:tcW w:w="567" w:type="dxa"/>
            <w:tcBorders>
              <w:bottom w:val="single" w:color="000000" w:sz="12" w:space="0"/>
            </w:tcBorders>
            <w:vAlign w:val="top"/>
          </w:tcPr>
          <w:p w14:paraId="51CA8476">
            <w:pPr>
              <w:pStyle w:val="6"/>
              <w:spacing w:before="223" w:line="232" w:lineRule="auto"/>
              <w:ind w:left="144"/>
              <w:rPr>
                <w:sz w:val="18"/>
                <w:szCs w:val="18"/>
              </w:rPr>
            </w:pPr>
            <w:r>
              <w:rPr>
                <w:spacing w:val="-1"/>
                <w:sz w:val="18"/>
                <w:szCs w:val="18"/>
              </w:rPr>
              <w:t>250</w:t>
            </w:r>
          </w:p>
        </w:tc>
        <w:tc>
          <w:tcPr>
            <w:tcW w:w="566" w:type="dxa"/>
            <w:tcBorders>
              <w:bottom w:val="single" w:color="000000" w:sz="12" w:space="0"/>
            </w:tcBorders>
            <w:vAlign w:val="top"/>
          </w:tcPr>
          <w:p w14:paraId="747F3F06">
            <w:pPr>
              <w:pStyle w:val="6"/>
              <w:spacing w:before="223" w:line="232" w:lineRule="auto"/>
              <w:ind w:left="143"/>
              <w:rPr>
                <w:sz w:val="18"/>
                <w:szCs w:val="18"/>
              </w:rPr>
            </w:pPr>
            <w:r>
              <w:rPr>
                <w:spacing w:val="-1"/>
                <w:sz w:val="18"/>
                <w:szCs w:val="18"/>
              </w:rPr>
              <w:t>250</w:t>
            </w:r>
          </w:p>
        </w:tc>
        <w:tc>
          <w:tcPr>
            <w:tcW w:w="851" w:type="dxa"/>
            <w:tcBorders>
              <w:bottom w:val="single" w:color="000000" w:sz="12" w:space="0"/>
            </w:tcBorders>
            <w:vAlign w:val="top"/>
          </w:tcPr>
          <w:p w14:paraId="60DD77DC">
            <w:pPr>
              <w:pStyle w:val="6"/>
              <w:spacing w:before="223" w:line="232" w:lineRule="auto"/>
              <w:ind w:left="261"/>
              <w:rPr>
                <w:sz w:val="18"/>
                <w:szCs w:val="18"/>
              </w:rPr>
            </w:pPr>
            <w:r>
              <w:rPr>
                <w:spacing w:val="-4"/>
                <w:sz w:val="18"/>
                <w:szCs w:val="18"/>
              </w:rPr>
              <w:t>1000</w:t>
            </w:r>
          </w:p>
        </w:tc>
        <w:tc>
          <w:tcPr>
            <w:tcW w:w="567" w:type="dxa"/>
            <w:tcBorders>
              <w:bottom w:val="single" w:color="000000" w:sz="12" w:space="0"/>
            </w:tcBorders>
            <w:vAlign w:val="top"/>
          </w:tcPr>
          <w:p w14:paraId="1827A222">
            <w:pPr>
              <w:pStyle w:val="6"/>
              <w:spacing w:before="223" w:line="232" w:lineRule="auto"/>
              <w:ind w:left="145"/>
              <w:rPr>
                <w:sz w:val="18"/>
                <w:szCs w:val="18"/>
              </w:rPr>
            </w:pPr>
            <w:r>
              <w:rPr>
                <w:spacing w:val="-1"/>
                <w:sz w:val="18"/>
                <w:szCs w:val="18"/>
              </w:rPr>
              <w:t>450</w:t>
            </w:r>
          </w:p>
        </w:tc>
        <w:tc>
          <w:tcPr>
            <w:tcW w:w="708" w:type="dxa"/>
            <w:tcBorders>
              <w:bottom w:val="single" w:color="000000" w:sz="12" w:space="0"/>
            </w:tcBorders>
            <w:vAlign w:val="top"/>
          </w:tcPr>
          <w:p w14:paraId="33669837">
            <w:pPr>
              <w:pStyle w:val="6"/>
              <w:spacing w:before="223" w:line="232" w:lineRule="auto"/>
              <w:ind w:left="310"/>
              <w:rPr>
                <w:sz w:val="18"/>
                <w:szCs w:val="18"/>
              </w:rPr>
            </w:pPr>
            <w:r>
              <w:rPr>
                <w:sz w:val="18"/>
                <w:szCs w:val="18"/>
              </w:rPr>
              <w:t>3</w:t>
            </w:r>
          </w:p>
        </w:tc>
        <w:tc>
          <w:tcPr>
            <w:tcW w:w="851" w:type="dxa"/>
            <w:tcBorders>
              <w:bottom w:val="single" w:color="000000" w:sz="12" w:space="0"/>
            </w:tcBorders>
            <w:vAlign w:val="top"/>
          </w:tcPr>
          <w:p w14:paraId="2B9AB644">
            <w:pPr>
              <w:pStyle w:val="6"/>
              <w:spacing w:before="222" w:line="232" w:lineRule="auto"/>
              <w:ind w:left="225"/>
              <w:rPr>
                <w:sz w:val="18"/>
                <w:szCs w:val="18"/>
              </w:rPr>
            </w:pPr>
            <w:r>
              <w:rPr>
                <w:spacing w:val="-2"/>
                <w:sz w:val="18"/>
                <w:szCs w:val="18"/>
              </w:rPr>
              <w:t>0.002</w:t>
            </w:r>
          </w:p>
        </w:tc>
        <w:tc>
          <w:tcPr>
            <w:tcW w:w="990" w:type="dxa"/>
            <w:tcBorders>
              <w:bottom w:val="single" w:color="000000" w:sz="12" w:space="0"/>
            </w:tcBorders>
            <w:vAlign w:val="top"/>
          </w:tcPr>
          <w:p w14:paraId="6EA7BAAF">
            <w:pPr>
              <w:pStyle w:val="6"/>
              <w:spacing w:before="222" w:line="232" w:lineRule="auto"/>
              <w:ind w:left="386"/>
              <w:rPr>
                <w:sz w:val="18"/>
                <w:szCs w:val="18"/>
              </w:rPr>
            </w:pPr>
            <w:r>
              <w:rPr>
                <w:spacing w:val="-3"/>
                <w:sz w:val="18"/>
                <w:szCs w:val="18"/>
              </w:rPr>
              <w:t>0.3</w:t>
            </w:r>
          </w:p>
        </w:tc>
        <w:tc>
          <w:tcPr>
            <w:tcW w:w="566" w:type="dxa"/>
            <w:tcBorders>
              <w:bottom w:val="single" w:color="000000" w:sz="12" w:space="0"/>
            </w:tcBorders>
            <w:vAlign w:val="top"/>
          </w:tcPr>
          <w:p w14:paraId="4C0F0F5E">
            <w:pPr>
              <w:pStyle w:val="6"/>
              <w:spacing w:before="222" w:line="232" w:lineRule="auto"/>
              <w:ind w:left="130"/>
              <w:rPr>
                <w:sz w:val="18"/>
                <w:szCs w:val="18"/>
              </w:rPr>
            </w:pPr>
            <w:r>
              <w:rPr>
                <w:spacing w:val="-2"/>
                <w:sz w:val="18"/>
                <w:szCs w:val="18"/>
              </w:rPr>
              <w:t>0.01</w:t>
            </w:r>
          </w:p>
        </w:tc>
        <w:tc>
          <w:tcPr>
            <w:tcW w:w="851" w:type="dxa"/>
            <w:tcBorders>
              <w:bottom w:val="single" w:color="000000" w:sz="12" w:space="0"/>
            </w:tcBorders>
            <w:vAlign w:val="top"/>
          </w:tcPr>
          <w:p w14:paraId="097123E5">
            <w:pPr>
              <w:pStyle w:val="6"/>
              <w:spacing w:before="222" w:line="232" w:lineRule="auto"/>
              <w:ind w:left="228"/>
              <w:rPr>
                <w:sz w:val="18"/>
                <w:szCs w:val="18"/>
              </w:rPr>
            </w:pPr>
            <w:r>
              <w:rPr>
                <w:spacing w:val="-2"/>
                <w:sz w:val="18"/>
                <w:szCs w:val="18"/>
              </w:rPr>
              <w:t>0.005</w:t>
            </w:r>
          </w:p>
        </w:tc>
        <w:tc>
          <w:tcPr>
            <w:tcW w:w="704" w:type="dxa"/>
            <w:tcBorders>
              <w:bottom w:val="single" w:color="000000" w:sz="12" w:space="0"/>
            </w:tcBorders>
            <w:vAlign w:val="top"/>
          </w:tcPr>
          <w:p w14:paraId="6A33EF40">
            <w:pPr>
              <w:pStyle w:val="6"/>
              <w:spacing w:before="222" w:line="232" w:lineRule="auto"/>
              <w:ind w:left="200"/>
              <w:rPr>
                <w:sz w:val="18"/>
                <w:szCs w:val="18"/>
              </w:rPr>
            </w:pPr>
            <w:r>
              <w:rPr>
                <w:spacing w:val="-2"/>
                <w:sz w:val="18"/>
                <w:szCs w:val="18"/>
              </w:rPr>
              <w:t>0.05</w:t>
            </w:r>
          </w:p>
        </w:tc>
        <w:tc>
          <w:tcPr>
            <w:tcW w:w="851" w:type="dxa"/>
            <w:tcBorders>
              <w:bottom w:val="single" w:color="000000" w:sz="12" w:space="0"/>
            </w:tcBorders>
            <w:vAlign w:val="top"/>
          </w:tcPr>
          <w:p w14:paraId="36F299F5">
            <w:pPr>
              <w:pStyle w:val="6"/>
              <w:spacing w:before="222" w:line="232" w:lineRule="auto"/>
              <w:ind w:left="276"/>
              <w:rPr>
                <w:sz w:val="18"/>
                <w:szCs w:val="18"/>
              </w:rPr>
            </w:pPr>
            <w:r>
              <w:rPr>
                <w:spacing w:val="-2"/>
                <w:sz w:val="18"/>
                <w:szCs w:val="18"/>
              </w:rPr>
              <w:t>0.01</w:t>
            </w:r>
          </w:p>
        </w:tc>
        <w:tc>
          <w:tcPr>
            <w:tcW w:w="851" w:type="dxa"/>
            <w:tcBorders>
              <w:bottom w:val="single" w:color="000000" w:sz="12" w:space="0"/>
            </w:tcBorders>
            <w:vAlign w:val="top"/>
          </w:tcPr>
          <w:p w14:paraId="31DCAE31">
            <w:pPr>
              <w:pStyle w:val="6"/>
              <w:spacing w:before="222" w:line="232" w:lineRule="auto"/>
              <w:ind w:left="231"/>
              <w:rPr>
                <w:sz w:val="18"/>
                <w:szCs w:val="18"/>
              </w:rPr>
            </w:pPr>
            <w:r>
              <w:rPr>
                <w:spacing w:val="-2"/>
                <w:sz w:val="18"/>
                <w:szCs w:val="18"/>
              </w:rPr>
              <w:t>0.001</w:t>
            </w:r>
          </w:p>
        </w:tc>
        <w:tc>
          <w:tcPr>
            <w:tcW w:w="846" w:type="dxa"/>
            <w:tcBorders>
              <w:bottom w:val="single" w:color="000000" w:sz="12" w:space="0"/>
            </w:tcBorders>
            <w:vAlign w:val="top"/>
          </w:tcPr>
          <w:p w14:paraId="5EEF7DA7">
            <w:pPr>
              <w:pStyle w:val="6"/>
              <w:spacing w:before="222" w:line="232" w:lineRule="auto"/>
              <w:ind w:left="276"/>
              <w:rPr>
                <w:sz w:val="18"/>
                <w:szCs w:val="18"/>
              </w:rPr>
            </w:pPr>
            <w:r>
              <w:rPr>
                <w:spacing w:val="-2"/>
                <w:sz w:val="18"/>
                <w:szCs w:val="18"/>
              </w:rPr>
              <w:t>0.01</w:t>
            </w:r>
          </w:p>
        </w:tc>
        <w:tc>
          <w:tcPr>
            <w:tcW w:w="684" w:type="dxa"/>
            <w:tcBorders>
              <w:bottom w:val="single" w:color="000000" w:sz="12" w:space="0"/>
            </w:tcBorders>
            <w:vAlign w:val="top"/>
          </w:tcPr>
          <w:p w14:paraId="1CA6707F">
            <w:pPr>
              <w:pStyle w:val="6"/>
              <w:spacing w:before="222" w:line="232" w:lineRule="auto"/>
              <w:ind w:left="197"/>
              <w:rPr>
                <w:sz w:val="18"/>
                <w:szCs w:val="18"/>
              </w:rPr>
            </w:pPr>
            <w:r>
              <w:rPr>
                <w:spacing w:val="-2"/>
                <w:sz w:val="18"/>
                <w:szCs w:val="18"/>
              </w:rPr>
              <w:t>0.05</w:t>
            </w:r>
          </w:p>
        </w:tc>
        <w:tc>
          <w:tcPr>
            <w:tcW w:w="460" w:type="dxa"/>
            <w:tcBorders>
              <w:bottom w:val="single" w:color="000000" w:sz="12" w:space="0"/>
            </w:tcBorders>
            <w:vAlign w:val="top"/>
          </w:tcPr>
          <w:p w14:paraId="46396503">
            <w:pPr>
              <w:pStyle w:val="6"/>
              <w:spacing w:before="222" w:line="232" w:lineRule="auto"/>
              <w:ind w:left="144"/>
              <w:rPr>
                <w:sz w:val="18"/>
                <w:szCs w:val="18"/>
              </w:rPr>
            </w:pPr>
            <w:r>
              <w:rPr>
                <w:spacing w:val="-7"/>
                <w:sz w:val="18"/>
                <w:szCs w:val="18"/>
              </w:rPr>
              <w:t>1.0</w:t>
            </w:r>
          </w:p>
        </w:tc>
        <w:tc>
          <w:tcPr>
            <w:tcW w:w="428" w:type="dxa"/>
            <w:tcBorders>
              <w:bottom w:val="single" w:color="000000" w:sz="12" w:space="0"/>
            </w:tcBorders>
            <w:vAlign w:val="top"/>
          </w:tcPr>
          <w:p w14:paraId="0494F8EA">
            <w:pPr>
              <w:pStyle w:val="6"/>
              <w:spacing w:before="223" w:line="232" w:lineRule="auto"/>
              <w:ind w:left="152"/>
              <w:rPr>
                <w:sz w:val="18"/>
                <w:szCs w:val="18"/>
              </w:rPr>
            </w:pPr>
            <w:r>
              <w:rPr>
                <w:spacing w:val="-6"/>
                <w:sz w:val="18"/>
                <w:szCs w:val="18"/>
              </w:rPr>
              <w:t>10</w:t>
            </w:r>
          </w:p>
        </w:tc>
        <w:tc>
          <w:tcPr>
            <w:tcW w:w="447" w:type="dxa"/>
            <w:tcBorders>
              <w:bottom w:val="single" w:color="000000" w:sz="12" w:space="0"/>
            </w:tcBorders>
            <w:vAlign w:val="top"/>
          </w:tcPr>
          <w:p w14:paraId="3E831430">
            <w:pPr>
              <w:spacing w:before="80" w:line="220" w:lineRule="auto"/>
              <w:ind w:left="60"/>
              <w:rPr>
                <w:rFonts w:ascii="宋体" w:hAnsi="宋体" w:eastAsia="宋体" w:cs="宋体"/>
                <w:sz w:val="18"/>
                <w:szCs w:val="18"/>
              </w:rPr>
            </w:pPr>
            <w:r>
              <w:rPr>
                <w:rFonts w:ascii="宋体" w:hAnsi="宋体" w:eastAsia="宋体" w:cs="宋体"/>
                <w:spacing w:val="-3"/>
                <w:sz w:val="18"/>
                <w:szCs w:val="18"/>
              </w:rPr>
              <w:t>不得</w:t>
            </w:r>
          </w:p>
          <w:p w14:paraId="7480CDBA">
            <w:pPr>
              <w:spacing w:before="18" w:line="220" w:lineRule="auto"/>
              <w:ind w:left="57"/>
              <w:rPr>
                <w:rFonts w:ascii="宋体" w:hAnsi="宋体" w:eastAsia="宋体" w:cs="宋体"/>
                <w:sz w:val="18"/>
                <w:szCs w:val="18"/>
              </w:rPr>
            </w:pPr>
            <w:r>
              <w:rPr>
                <w:rFonts w:ascii="宋体" w:hAnsi="宋体" w:eastAsia="宋体" w:cs="宋体"/>
                <w:spacing w:val="-2"/>
                <w:sz w:val="18"/>
                <w:szCs w:val="18"/>
              </w:rPr>
              <w:t>检出</w:t>
            </w:r>
          </w:p>
        </w:tc>
        <w:tc>
          <w:tcPr>
            <w:tcW w:w="666" w:type="dxa"/>
            <w:tcBorders>
              <w:bottom w:val="single" w:color="000000" w:sz="12" w:space="0"/>
              <w:right w:val="single" w:color="000000" w:sz="12" w:space="0"/>
            </w:tcBorders>
            <w:vAlign w:val="top"/>
          </w:tcPr>
          <w:p w14:paraId="16A57321">
            <w:pPr>
              <w:pStyle w:val="6"/>
              <w:spacing w:before="223" w:line="232" w:lineRule="auto"/>
              <w:ind w:left="217"/>
              <w:rPr>
                <w:sz w:val="18"/>
                <w:szCs w:val="18"/>
              </w:rPr>
            </w:pPr>
            <w:r>
              <w:rPr>
                <w:spacing w:val="-5"/>
                <w:sz w:val="18"/>
                <w:szCs w:val="18"/>
              </w:rPr>
              <w:t>100</w:t>
            </w:r>
          </w:p>
        </w:tc>
      </w:tr>
    </w:tbl>
    <w:p w14:paraId="3ECCB719">
      <w:pPr>
        <w:pStyle w:val="2"/>
        <w:spacing w:before="34" w:line="233" w:lineRule="auto"/>
        <w:ind w:left="42"/>
        <w:rPr>
          <w:sz w:val="24"/>
          <w:szCs w:val="24"/>
        </w:rPr>
      </w:pPr>
      <w:r>
        <w:rPr>
          <w:spacing w:val="-1"/>
          <w:sz w:val="24"/>
          <w:szCs w:val="24"/>
        </w:rPr>
        <w:t>备注：</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17"/>
          <w:sz w:val="24"/>
          <w:szCs w:val="24"/>
        </w:rPr>
        <w:t xml:space="preserve"> </w:t>
      </w:r>
      <w:r>
        <w:rPr>
          <w:spacing w:val="-1"/>
          <w:sz w:val="24"/>
          <w:szCs w:val="24"/>
        </w:rPr>
        <w:t>、输水隧洞出口生产区生活饮用水供水处</w:t>
      </w:r>
      <w:r>
        <w:rPr>
          <w:spacing w:val="-55"/>
          <w:sz w:val="24"/>
          <w:szCs w:val="24"/>
        </w:rPr>
        <w:t xml:space="preserve"> </w:t>
      </w:r>
      <w:r>
        <w:rPr>
          <w:rFonts w:ascii="Times New Roman" w:hAnsi="Times New Roman" w:eastAsia="Times New Roman" w:cs="Times New Roman"/>
          <w:spacing w:val="-1"/>
          <w:sz w:val="24"/>
          <w:szCs w:val="24"/>
        </w:rPr>
        <w:t xml:space="preserve">2021 </w:t>
      </w:r>
      <w:r>
        <w:rPr>
          <w:spacing w:val="-1"/>
          <w:sz w:val="24"/>
          <w:szCs w:val="24"/>
        </w:rPr>
        <w:t>年未监测；</w:t>
      </w:r>
      <w:r>
        <w:rPr>
          <w:rFonts w:ascii="Times New Roman" w:hAnsi="Times New Roman" w:eastAsia="Times New Roman" w:cs="Times New Roman"/>
          <w:spacing w:val="-1"/>
          <w:sz w:val="24"/>
          <w:szCs w:val="24"/>
        </w:rPr>
        <w:t>2</w:t>
      </w:r>
      <w:r>
        <w:rPr>
          <w:spacing w:val="-1"/>
          <w:sz w:val="24"/>
          <w:szCs w:val="24"/>
        </w:rPr>
        <w:t>、带“</w:t>
      </w:r>
      <w:r>
        <w:rPr>
          <w:rFonts w:ascii="Times New Roman" w:hAnsi="Times New Roman" w:eastAsia="Times New Roman" w:cs="Times New Roman"/>
          <w:spacing w:val="-1"/>
          <w:sz w:val="24"/>
          <w:szCs w:val="24"/>
        </w:rPr>
        <w:t>L</w:t>
      </w:r>
      <w:r>
        <w:rPr>
          <w:spacing w:val="-1"/>
          <w:sz w:val="24"/>
          <w:szCs w:val="24"/>
        </w:rPr>
        <w:t>”数字表示监测结果低于分析方法检出限；</w:t>
      </w:r>
      <w:r>
        <w:rPr>
          <w:rFonts w:ascii="Times New Roman" w:hAnsi="Times New Roman" w:eastAsia="Times New Roman" w:cs="Times New Roman"/>
          <w:spacing w:val="-1"/>
          <w:sz w:val="24"/>
          <w:szCs w:val="24"/>
        </w:rPr>
        <w:t>3</w:t>
      </w:r>
      <w:r>
        <w:rPr>
          <w:spacing w:val="-1"/>
          <w:sz w:val="24"/>
          <w:szCs w:val="24"/>
        </w:rPr>
        <w:t>、加粗字体表示监测结果超标。</w:t>
      </w:r>
    </w:p>
    <w:p w14:paraId="57DF7810">
      <w:pPr>
        <w:spacing w:line="233" w:lineRule="auto"/>
        <w:rPr>
          <w:sz w:val="24"/>
          <w:szCs w:val="24"/>
        </w:rPr>
        <w:sectPr>
          <w:footerReference r:id="rId277" w:type="default"/>
          <w:pgSz w:w="23814" w:h="16840"/>
          <w:pgMar w:top="1376" w:right="1669" w:bottom="1061" w:left="1671" w:header="999" w:footer="861" w:gutter="0"/>
          <w:cols w:space="720" w:num="1"/>
        </w:sectPr>
      </w:pPr>
    </w:p>
    <w:p w14:paraId="43F124FF">
      <w:pPr>
        <w:spacing w:line="359" w:lineRule="auto"/>
        <w:rPr>
          <w:rFonts w:ascii="Arial"/>
          <w:sz w:val="21"/>
        </w:rPr>
      </w:pPr>
    </w:p>
    <w:p w14:paraId="4F543B4E">
      <w:pPr>
        <w:spacing w:line="359" w:lineRule="auto"/>
        <w:rPr>
          <w:rFonts w:ascii="Arial"/>
          <w:sz w:val="21"/>
        </w:rPr>
      </w:pPr>
    </w:p>
    <w:p w14:paraId="498390D2">
      <w:pPr>
        <w:pStyle w:val="2"/>
        <w:spacing w:before="104" w:line="234" w:lineRule="auto"/>
        <w:ind w:left="3142"/>
      </w:pPr>
      <w:bookmarkStart w:id="32" w:name="bookmark29"/>
      <w:bookmarkEnd w:id="32"/>
      <w:r>
        <w:rPr>
          <w:rFonts w:ascii="Times New Roman" w:hAnsi="Times New Roman" w:eastAsia="Times New Roman" w:cs="Times New Roman"/>
          <w:b/>
          <w:bCs/>
          <w:spacing w:val="-5"/>
        </w:rPr>
        <w:t>7</w:t>
      </w:r>
      <w:r>
        <w:rPr>
          <w:rFonts w:ascii="Times New Roman" w:hAnsi="Times New Roman" w:eastAsia="Times New Roman" w:cs="Times New Roman"/>
          <w:b/>
          <w:bCs/>
          <w:spacing w:val="20"/>
        </w:rPr>
        <w:t xml:space="preserve"> </w:t>
      </w:r>
      <w:r>
        <w:rPr>
          <w:b/>
          <w:bCs/>
          <w:spacing w:val="-5"/>
        </w:rPr>
        <w:t>验收调查结论</w:t>
      </w:r>
    </w:p>
    <w:p w14:paraId="1BBBC30B">
      <w:pPr>
        <w:spacing w:line="312" w:lineRule="auto"/>
        <w:rPr>
          <w:rFonts w:ascii="Arial"/>
          <w:sz w:val="21"/>
        </w:rPr>
      </w:pPr>
    </w:p>
    <w:p w14:paraId="4E34A8DE">
      <w:pPr>
        <w:pStyle w:val="2"/>
        <w:spacing w:before="98" w:line="234" w:lineRule="auto"/>
        <w:ind w:left="40"/>
        <w:rPr>
          <w:sz w:val="30"/>
          <w:szCs w:val="30"/>
        </w:rPr>
      </w:pPr>
      <w:bookmarkStart w:id="33" w:name="bookmark30"/>
      <w:bookmarkEnd w:id="33"/>
      <w:r>
        <w:rPr>
          <w:rFonts w:ascii="Times New Roman" w:hAnsi="Times New Roman" w:eastAsia="Times New Roman" w:cs="Times New Roman"/>
          <w:b/>
          <w:bCs/>
          <w:spacing w:val="-5"/>
          <w:sz w:val="30"/>
          <w:szCs w:val="30"/>
        </w:rPr>
        <w:t>7.1</w:t>
      </w:r>
      <w:r>
        <w:rPr>
          <w:rFonts w:ascii="Times New Roman" w:hAnsi="Times New Roman" w:eastAsia="Times New Roman" w:cs="Times New Roman"/>
          <w:b/>
          <w:bCs/>
          <w:spacing w:val="29"/>
          <w:sz w:val="30"/>
          <w:szCs w:val="30"/>
        </w:rPr>
        <w:t xml:space="preserve"> </w:t>
      </w:r>
      <w:r>
        <w:rPr>
          <w:b/>
          <w:bCs/>
          <w:spacing w:val="-5"/>
          <w:sz w:val="30"/>
          <w:szCs w:val="30"/>
        </w:rPr>
        <w:t>工程调查结论</w:t>
      </w:r>
    </w:p>
    <w:p w14:paraId="2980291A">
      <w:pPr>
        <w:pStyle w:val="2"/>
        <w:spacing w:before="197" w:line="226" w:lineRule="auto"/>
        <w:ind w:left="35"/>
        <w:rPr>
          <w:sz w:val="27"/>
          <w:szCs w:val="27"/>
        </w:rPr>
      </w:pPr>
      <w:r>
        <w:rPr>
          <w:rFonts w:ascii="Arial" w:hAnsi="Arial" w:eastAsia="Arial" w:cs="Arial"/>
          <w:spacing w:val="7"/>
          <w:position w:val="1"/>
          <w:sz w:val="22"/>
          <w:szCs w:val="22"/>
        </w:rPr>
        <w:t>7.1.1</w:t>
      </w:r>
      <w:r>
        <w:rPr>
          <w:rFonts w:ascii="Arial" w:hAnsi="Arial" w:eastAsia="Arial" w:cs="Arial"/>
          <w:spacing w:val="1"/>
          <w:position w:val="1"/>
          <w:sz w:val="22"/>
          <w:szCs w:val="22"/>
        </w:rPr>
        <w:t xml:space="preserve">     </w:t>
      </w:r>
      <w:r>
        <w:rPr>
          <w:b/>
          <w:bCs/>
          <w:spacing w:val="7"/>
          <w:position w:val="-1"/>
          <w:sz w:val="27"/>
          <w:szCs w:val="27"/>
        </w:rPr>
        <w:t>工程实施概况</w:t>
      </w:r>
    </w:p>
    <w:p w14:paraId="23E598FA">
      <w:pPr>
        <w:pStyle w:val="2"/>
        <w:spacing w:before="266" w:line="338" w:lineRule="auto"/>
        <w:ind w:left="40" w:right="83" w:firstLine="485"/>
        <w:jc w:val="both"/>
        <w:rPr>
          <w:sz w:val="24"/>
          <w:szCs w:val="24"/>
        </w:rPr>
      </w:pPr>
      <w:r>
        <w:rPr>
          <w:spacing w:val="3"/>
          <w:sz w:val="24"/>
          <w:szCs w:val="24"/>
        </w:rPr>
        <w:t>云南省曲靖市车马碧水库工程为跨流域调水工程，</w:t>
      </w:r>
      <w:r>
        <w:rPr>
          <w:spacing w:val="2"/>
          <w:sz w:val="24"/>
          <w:szCs w:val="24"/>
        </w:rPr>
        <w:t>工程开发任务是工业供水</w:t>
      </w:r>
      <w:r>
        <w:rPr>
          <w:spacing w:val="-4"/>
          <w:sz w:val="24"/>
          <w:szCs w:val="24"/>
        </w:rPr>
        <w:t>和农业灌溉供水，并为改善受水区河道内水环境创造条件。供水对象为曲</w:t>
      </w:r>
      <w:r>
        <w:rPr>
          <w:spacing w:val="-5"/>
          <w:sz w:val="24"/>
          <w:szCs w:val="24"/>
        </w:rPr>
        <w:t>靖经济技</w:t>
      </w:r>
      <w:r>
        <w:rPr>
          <w:spacing w:val="-4"/>
          <w:sz w:val="24"/>
          <w:szCs w:val="24"/>
        </w:rPr>
        <w:t>术开发区的西城工业园区（工业供水）和曲靖灌区（农业灌溉供水）。车马碧</w:t>
      </w:r>
      <w:r>
        <w:rPr>
          <w:spacing w:val="-5"/>
          <w:sz w:val="24"/>
          <w:szCs w:val="24"/>
        </w:rPr>
        <w:t>水库多年平均供水量为</w:t>
      </w:r>
      <w:r>
        <w:rPr>
          <w:spacing w:val="-37"/>
          <w:sz w:val="24"/>
          <w:szCs w:val="24"/>
        </w:rPr>
        <w:t xml:space="preserve"> </w:t>
      </w:r>
      <w:r>
        <w:rPr>
          <w:rFonts w:ascii="Times New Roman" w:hAnsi="Times New Roman" w:eastAsia="Times New Roman" w:cs="Times New Roman"/>
          <w:spacing w:val="-5"/>
          <w:sz w:val="24"/>
          <w:szCs w:val="24"/>
        </w:rPr>
        <w:t>7135</w:t>
      </w:r>
      <w:r>
        <w:rPr>
          <w:rFonts w:ascii="Times New Roman" w:hAnsi="Times New Roman" w:eastAsia="Times New Roman" w:cs="Times New Roman"/>
          <w:spacing w:val="15"/>
          <w:sz w:val="24"/>
          <w:szCs w:val="24"/>
        </w:rPr>
        <w:t xml:space="preserve"> </w:t>
      </w:r>
      <w:r>
        <w:rPr>
          <w:spacing w:val="-5"/>
          <w:sz w:val="24"/>
          <w:szCs w:val="24"/>
        </w:rPr>
        <w:t>万</w:t>
      </w:r>
      <w:r>
        <w:rPr>
          <w:spacing w:val="-57"/>
          <w:sz w:val="24"/>
          <w:szCs w:val="24"/>
        </w:rPr>
        <w:t xml:space="preserve"> </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5"/>
          <w:position w:val="8"/>
          <w:sz w:val="15"/>
          <w:szCs w:val="15"/>
        </w:rPr>
        <w:t>3</w:t>
      </w:r>
      <w:r>
        <w:rPr>
          <w:spacing w:val="-5"/>
          <w:sz w:val="24"/>
          <w:szCs w:val="24"/>
        </w:rPr>
        <w:t>，其中工业供水量为</w:t>
      </w:r>
      <w:r>
        <w:rPr>
          <w:spacing w:val="-50"/>
          <w:sz w:val="24"/>
          <w:szCs w:val="24"/>
        </w:rPr>
        <w:t xml:space="preserve"> </w:t>
      </w:r>
      <w:r>
        <w:rPr>
          <w:rFonts w:ascii="Times New Roman" w:hAnsi="Times New Roman" w:eastAsia="Times New Roman" w:cs="Times New Roman"/>
          <w:spacing w:val="-5"/>
          <w:sz w:val="24"/>
          <w:szCs w:val="24"/>
        </w:rPr>
        <w:t>3739</w:t>
      </w:r>
      <w:r>
        <w:rPr>
          <w:rFonts w:ascii="Times New Roman" w:hAnsi="Times New Roman" w:eastAsia="Times New Roman" w:cs="Times New Roman"/>
          <w:spacing w:val="15"/>
          <w:sz w:val="24"/>
          <w:szCs w:val="24"/>
        </w:rPr>
        <w:t xml:space="preserve"> </w:t>
      </w:r>
      <w:r>
        <w:rPr>
          <w:spacing w:val="-5"/>
          <w:sz w:val="24"/>
          <w:szCs w:val="24"/>
        </w:rPr>
        <w:t>万</w:t>
      </w:r>
      <w:r>
        <w:rPr>
          <w:spacing w:val="-57"/>
          <w:sz w:val="24"/>
          <w:szCs w:val="24"/>
        </w:rPr>
        <w:t xml:space="preserve"> </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5"/>
          <w:position w:val="8"/>
          <w:sz w:val="15"/>
          <w:szCs w:val="15"/>
        </w:rPr>
        <w:t>3</w:t>
      </w:r>
      <w:r>
        <w:rPr>
          <w:spacing w:val="-5"/>
          <w:sz w:val="24"/>
          <w:szCs w:val="24"/>
        </w:rPr>
        <w:t>，农业供水量为</w:t>
      </w:r>
      <w:r>
        <w:rPr>
          <w:spacing w:val="-50"/>
          <w:sz w:val="24"/>
          <w:szCs w:val="24"/>
        </w:rPr>
        <w:t xml:space="preserve"> </w:t>
      </w:r>
      <w:r>
        <w:rPr>
          <w:rFonts w:ascii="Times New Roman" w:hAnsi="Times New Roman" w:eastAsia="Times New Roman" w:cs="Times New Roman"/>
          <w:spacing w:val="-5"/>
          <w:sz w:val="24"/>
          <w:szCs w:val="24"/>
        </w:rPr>
        <w:t>3396</w:t>
      </w:r>
      <w:r>
        <w:rPr>
          <w:spacing w:val="-4"/>
          <w:sz w:val="24"/>
          <w:szCs w:val="24"/>
        </w:rPr>
        <w:t>万</w:t>
      </w:r>
      <w:r>
        <w:rPr>
          <w:spacing w:val="-47"/>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spacing w:val="-4"/>
          <w:sz w:val="24"/>
          <w:szCs w:val="24"/>
        </w:rPr>
        <w:t>，置换农田灌溉面积</w:t>
      </w:r>
      <w:r>
        <w:rPr>
          <w:spacing w:val="-48"/>
          <w:sz w:val="24"/>
          <w:szCs w:val="24"/>
        </w:rPr>
        <w:t xml:space="preserve"> </w:t>
      </w:r>
      <w:r>
        <w:rPr>
          <w:rFonts w:ascii="Times New Roman" w:hAnsi="Times New Roman" w:eastAsia="Times New Roman" w:cs="Times New Roman"/>
          <w:spacing w:val="-4"/>
          <w:sz w:val="24"/>
          <w:szCs w:val="24"/>
        </w:rPr>
        <w:t>5.48</w:t>
      </w:r>
      <w:r>
        <w:rPr>
          <w:rFonts w:ascii="Times New Roman" w:hAnsi="Times New Roman" w:eastAsia="Times New Roman" w:cs="Times New Roman"/>
          <w:spacing w:val="15"/>
          <w:w w:val="101"/>
          <w:sz w:val="24"/>
          <w:szCs w:val="24"/>
        </w:rPr>
        <w:t xml:space="preserve"> </w:t>
      </w:r>
      <w:r>
        <w:rPr>
          <w:spacing w:val="-4"/>
          <w:sz w:val="24"/>
          <w:szCs w:val="24"/>
        </w:rPr>
        <w:t>万亩，可为曲靖主城区和陆良县城新增供给约</w:t>
      </w:r>
      <w:r>
        <w:rPr>
          <w:spacing w:val="-50"/>
          <w:sz w:val="24"/>
          <w:szCs w:val="24"/>
        </w:rPr>
        <w:t xml:space="preserve"> </w:t>
      </w:r>
      <w:r>
        <w:rPr>
          <w:rFonts w:ascii="Times New Roman" w:hAnsi="Times New Roman" w:eastAsia="Times New Roman" w:cs="Times New Roman"/>
          <w:spacing w:val="-4"/>
          <w:sz w:val="24"/>
          <w:szCs w:val="24"/>
        </w:rPr>
        <w:t>3400</w:t>
      </w:r>
      <w:r>
        <w:rPr>
          <w:spacing w:val="-6"/>
          <w:sz w:val="24"/>
          <w:szCs w:val="24"/>
        </w:rPr>
        <w:t>万</w:t>
      </w:r>
      <w:r>
        <w:rPr>
          <w:spacing w:val="-51"/>
          <w:sz w:val="24"/>
          <w:szCs w:val="24"/>
        </w:rPr>
        <w:t xml:space="preserve"> </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11"/>
          <w:w w:val="102"/>
          <w:position w:val="8"/>
          <w:sz w:val="15"/>
          <w:szCs w:val="15"/>
        </w:rPr>
        <w:t xml:space="preserve"> </w:t>
      </w:r>
      <w:r>
        <w:rPr>
          <w:spacing w:val="-6"/>
          <w:sz w:val="24"/>
          <w:szCs w:val="24"/>
        </w:rPr>
        <w:t>优质水量。</w:t>
      </w:r>
    </w:p>
    <w:p w14:paraId="53C19210">
      <w:pPr>
        <w:pStyle w:val="2"/>
        <w:spacing w:before="2" w:line="337" w:lineRule="auto"/>
        <w:ind w:left="40" w:right="82" w:firstLine="481"/>
        <w:jc w:val="both"/>
        <w:rPr>
          <w:sz w:val="24"/>
          <w:szCs w:val="24"/>
        </w:rPr>
      </w:pPr>
      <w:r>
        <w:rPr>
          <w:spacing w:val="3"/>
          <w:sz w:val="24"/>
          <w:szCs w:val="24"/>
        </w:rPr>
        <w:t>工程由车马碧水库枢纽工程和输水工程组成。水库枢纽工程为</w:t>
      </w:r>
      <w:r>
        <w:rPr>
          <w:spacing w:val="2"/>
          <w:sz w:val="24"/>
          <w:szCs w:val="24"/>
        </w:rPr>
        <w:t>在金沙江水系</w:t>
      </w:r>
      <w:r>
        <w:rPr>
          <w:spacing w:val="-4"/>
          <w:sz w:val="24"/>
          <w:szCs w:val="24"/>
        </w:rPr>
        <w:t>牛栏江支流马龙河干流上修建拦河坝，形成车马碧水库；输水工程为建设</w:t>
      </w:r>
      <w:r>
        <w:rPr>
          <w:rFonts w:ascii="Times New Roman" w:hAnsi="Times New Roman" w:eastAsia="Times New Roman" w:cs="Times New Roman"/>
          <w:spacing w:val="-4"/>
          <w:sz w:val="24"/>
          <w:szCs w:val="24"/>
        </w:rPr>
        <w:t>29.623km</w:t>
      </w:r>
      <w:r>
        <w:rPr>
          <w:spacing w:val="-4"/>
          <w:sz w:val="24"/>
          <w:szCs w:val="24"/>
        </w:rPr>
        <w:t>长的输水隧洞，从库区取水后沿隧洞在面店水库附近进入剪彩河，为珠江</w:t>
      </w:r>
      <w:r>
        <w:rPr>
          <w:spacing w:val="-5"/>
          <w:sz w:val="24"/>
          <w:szCs w:val="24"/>
        </w:rPr>
        <w:t>水系南盘</w:t>
      </w:r>
      <w:r>
        <w:rPr>
          <w:spacing w:val="-2"/>
          <w:sz w:val="24"/>
          <w:szCs w:val="24"/>
        </w:rPr>
        <w:t>江流域供水。</w:t>
      </w:r>
    </w:p>
    <w:p w14:paraId="7F40A38B">
      <w:pPr>
        <w:pStyle w:val="2"/>
        <w:spacing w:before="8" w:line="338" w:lineRule="auto"/>
        <w:ind w:left="40" w:right="17" w:firstLine="480"/>
        <w:jc w:val="both"/>
        <w:rPr>
          <w:sz w:val="24"/>
          <w:szCs w:val="24"/>
        </w:rPr>
      </w:pPr>
      <w:r>
        <w:rPr>
          <w:spacing w:val="-1"/>
          <w:sz w:val="24"/>
          <w:szCs w:val="24"/>
        </w:rPr>
        <w:t>车马碧水库为大（</w:t>
      </w:r>
      <w:r>
        <w:rPr>
          <w:rFonts w:ascii="Times New Roman" w:hAnsi="Times New Roman" w:eastAsia="Times New Roman" w:cs="Times New Roman"/>
          <w:spacing w:val="-1"/>
          <w:sz w:val="24"/>
          <w:szCs w:val="24"/>
        </w:rPr>
        <w:t>2</w:t>
      </w:r>
      <w:r>
        <w:rPr>
          <w:spacing w:val="-1"/>
          <w:sz w:val="24"/>
          <w:szCs w:val="24"/>
        </w:rPr>
        <w:t>）型水库，工程等别Ⅱ等，大坝、溢洪道、泄洪放空隧洞</w:t>
      </w:r>
      <w:r>
        <w:rPr>
          <w:spacing w:val="-4"/>
          <w:sz w:val="24"/>
          <w:szCs w:val="24"/>
        </w:rPr>
        <w:t>等建筑物级别</w:t>
      </w:r>
      <w:r>
        <w:rPr>
          <w:spacing w:val="-55"/>
          <w:sz w:val="24"/>
          <w:szCs w:val="24"/>
        </w:rPr>
        <w:t xml:space="preserve"> </w:t>
      </w:r>
      <w:r>
        <w:rPr>
          <w:rFonts w:ascii="Times New Roman" w:hAnsi="Times New Roman" w:eastAsia="Times New Roman" w:cs="Times New Roman"/>
          <w:spacing w:val="-4"/>
          <w:sz w:val="24"/>
          <w:szCs w:val="24"/>
        </w:rPr>
        <w:t xml:space="preserve">2 </w:t>
      </w:r>
      <w:r>
        <w:rPr>
          <w:spacing w:val="-4"/>
          <w:sz w:val="24"/>
          <w:szCs w:val="24"/>
        </w:rPr>
        <w:t>级，输水隧洞、生态灌溉输水管等建筑物级</w:t>
      </w:r>
      <w:r>
        <w:rPr>
          <w:spacing w:val="-5"/>
          <w:sz w:val="24"/>
          <w:szCs w:val="24"/>
        </w:rPr>
        <w:t>别</w:t>
      </w:r>
      <w:r>
        <w:rPr>
          <w:spacing w:val="-50"/>
          <w:sz w:val="24"/>
          <w:szCs w:val="24"/>
        </w:rPr>
        <w:t xml:space="preserve"> </w:t>
      </w:r>
      <w:r>
        <w:rPr>
          <w:rFonts w:ascii="Times New Roman" w:hAnsi="Times New Roman" w:eastAsia="Times New Roman" w:cs="Times New Roman"/>
          <w:spacing w:val="-5"/>
          <w:sz w:val="24"/>
          <w:szCs w:val="24"/>
        </w:rPr>
        <w:t xml:space="preserve">3 </w:t>
      </w:r>
      <w:r>
        <w:rPr>
          <w:spacing w:val="-5"/>
          <w:sz w:val="24"/>
          <w:szCs w:val="24"/>
        </w:rPr>
        <w:t>级。水库设计洪水</w:t>
      </w:r>
      <w:r>
        <w:rPr>
          <w:spacing w:val="-3"/>
          <w:sz w:val="24"/>
          <w:szCs w:val="24"/>
        </w:rPr>
        <w:t>标准为</w:t>
      </w:r>
      <w:r>
        <w:rPr>
          <w:spacing w:val="-25"/>
          <w:sz w:val="24"/>
          <w:szCs w:val="24"/>
        </w:rPr>
        <w:t xml:space="preserve"> </w:t>
      </w:r>
      <w:r>
        <w:rPr>
          <w:rFonts w:ascii="Times New Roman" w:hAnsi="Times New Roman" w:eastAsia="Times New Roman" w:cs="Times New Roman"/>
          <w:spacing w:val="-3"/>
          <w:sz w:val="24"/>
          <w:szCs w:val="24"/>
        </w:rPr>
        <w:t>100</w:t>
      </w:r>
      <w:r>
        <w:rPr>
          <w:rFonts w:ascii="Times New Roman" w:hAnsi="Times New Roman" w:eastAsia="Times New Roman" w:cs="Times New Roman"/>
          <w:spacing w:val="17"/>
          <w:sz w:val="24"/>
          <w:szCs w:val="24"/>
        </w:rPr>
        <w:t xml:space="preserve"> </w:t>
      </w:r>
      <w:r>
        <w:rPr>
          <w:spacing w:val="-3"/>
          <w:sz w:val="24"/>
          <w:szCs w:val="24"/>
        </w:rPr>
        <w:t>年一遇、校核洪水标准为</w:t>
      </w:r>
      <w:r>
        <w:rPr>
          <w:spacing w:val="-47"/>
          <w:sz w:val="24"/>
          <w:szCs w:val="24"/>
        </w:rPr>
        <w:t xml:space="preserve"> </w:t>
      </w:r>
      <w:r>
        <w:rPr>
          <w:rFonts w:ascii="Times New Roman" w:hAnsi="Times New Roman" w:eastAsia="Times New Roman" w:cs="Times New Roman"/>
          <w:spacing w:val="-3"/>
          <w:sz w:val="24"/>
          <w:szCs w:val="24"/>
        </w:rPr>
        <w:t>2000</w:t>
      </w:r>
      <w:r>
        <w:rPr>
          <w:rFonts w:ascii="Times New Roman" w:hAnsi="Times New Roman" w:eastAsia="Times New Roman" w:cs="Times New Roman"/>
          <w:spacing w:val="17"/>
          <w:w w:val="101"/>
          <w:sz w:val="24"/>
          <w:szCs w:val="24"/>
        </w:rPr>
        <w:t xml:space="preserve"> </w:t>
      </w:r>
      <w:r>
        <w:rPr>
          <w:spacing w:val="-3"/>
          <w:sz w:val="24"/>
          <w:szCs w:val="24"/>
        </w:rPr>
        <w:t xml:space="preserve">年一遇。水库设计洪水位 </w:t>
      </w:r>
      <w:r>
        <w:rPr>
          <w:rFonts w:ascii="Times New Roman" w:hAnsi="Times New Roman" w:eastAsia="Times New Roman" w:cs="Times New Roman"/>
          <w:spacing w:val="-3"/>
          <w:sz w:val="24"/>
          <w:szCs w:val="24"/>
        </w:rPr>
        <w:t>1938.8m</w:t>
      </w:r>
      <w:r>
        <w:rPr>
          <w:spacing w:val="-3"/>
          <w:sz w:val="24"/>
          <w:szCs w:val="24"/>
        </w:rPr>
        <w:t>，校</w:t>
      </w:r>
      <w:r>
        <w:rPr>
          <w:spacing w:val="-5"/>
          <w:sz w:val="24"/>
          <w:szCs w:val="24"/>
        </w:rPr>
        <w:t xml:space="preserve">核洪水位 </w:t>
      </w:r>
      <w:r>
        <w:rPr>
          <w:rFonts w:ascii="Times New Roman" w:hAnsi="Times New Roman" w:eastAsia="Times New Roman" w:cs="Times New Roman"/>
          <w:spacing w:val="-5"/>
          <w:sz w:val="24"/>
          <w:szCs w:val="24"/>
        </w:rPr>
        <w:t>1941.2m</w:t>
      </w:r>
      <w:r>
        <w:rPr>
          <w:spacing w:val="-5"/>
          <w:sz w:val="24"/>
          <w:szCs w:val="24"/>
        </w:rPr>
        <w:t xml:space="preserve">，正常蓄水位 </w:t>
      </w:r>
      <w:r>
        <w:rPr>
          <w:rFonts w:ascii="Times New Roman" w:hAnsi="Times New Roman" w:eastAsia="Times New Roman" w:cs="Times New Roman"/>
          <w:spacing w:val="-5"/>
          <w:sz w:val="24"/>
          <w:szCs w:val="24"/>
        </w:rPr>
        <w:t>1938.5m</w:t>
      </w:r>
      <w:r>
        <w:rPr>
          <w:spacing w:val="-5"/>
          <w:sz w:val="24"/>
          <w:szCs w:val="24"/>
        </w:rPr>
        <w:t xml:space="preserve">，死水位 </w:t>
      </w:r>
      <w:r>
        <w:rPr>
          <w:rFonts w:ascii="Times New Roman" w:hAnsi="Times New Roman" w:eastAsia="Times New Roman" w:cs="Times New Roman"/>
          <w:spacing w:val="-5"/>
          <w:sz w:val="24"/>
          <w:szCs w:val="24"/>
        </w:rPr>
        <w:t>191</w:t>
      </w:r>
      <w:r>
        <w:rPr>
          <w:rFonts w:ascii="Times New Roman" w:hAnsi="Times New Roman" w:eastAsia="Times New Roman" w:cs="Times New Roman"/>
          <w:spacing w:val="-6"/>
          <w:sz w:val="24"/>
          <w:szCs w:val="24"/>
        </w:rPr>
        <w:t>5.3m</w:t>
      </w:r>
      <w:r>
        <w:rPr>
          <w:spacing w:val="-6"/>
          <w:sz w:val="24"/>
          <w:szCs w:val="24"/>
        </w:rPr>
        <w:t xml:space="preserve">；总库容 </w:t>
      </w:r>
      <w:r>
        <w:rPr>
          <w:rFonts w:ascii="Times New Roman" w:hAnsi="Times New Roman" w:eastAsia="Times New Roman" w:cs="Times New Roman"/>
          <w:spacing w:val="-6"/>
          <w:sz w:val="24"/>
          <w:szCs w:val="24"/>
        </w:rPr>
        <w:t>12449</w:t>
      </w:r>
      <w:r>
        <w:rPr>
          <w:rFonts w:ascii="Times New Roman" w:hAnsi="Times New Roman" w:eastAsia="Times New Roman" w:cs="Times New Roman"/>
          <w:spacing w:val="25"/>
          <w:sz w:val="24"/>
          <w:szCs w:val="24"/>
        </w:rPr>
        <w:t xml:space="preserve"> </w:t>
      </w:r>
      <w:r>
        <w:rPr>
          <w:spacing w:val="-6"/>
          <w:sz w:val="24"/>
          <w:szCs w:val="24"/>
        </w:rPr>
        <w:t>万</w:t>
      </w:r>
      <w:r>
        <w:rPr>
          <w:spacing w:val="-49"/>
          <w:sz w:val="24"/>
          <w:szCs w:val="24"/>
        </w:rPr>
        <w:t xml:space="preserve"> </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6"/>
          <w:position w:val="8"/>
          <w:sz w:val="15"/>
          <w:szCs w:val="15"/>
        </w:rPr>
        <w:t>3</w:t>
      </w:r>
      <w:r>
        <w:rPr>
          <w:spacing w:val="-6"/>
          <w:sz w:val="24"/>
          <w:szCs w:val="24"/>
        </w:rPr>
        <w:t>，</w:t>
      </w:r>
      <w:r>
        <w:rPr>
          <w:spacing w:val="-3"/>
          <w:sz w:val="24"/>
          <w:szCs w:val="24"/>
        </w:rPr>
        <w:t>正常蓄水位以下库容</w:t>
      </w:r>
      <w:r>
        <w:rPr>
          <w:spacing w:val="-32"/>
          <w:sz w:val="24"/>
          <w:szCs w:val="24"/>
        </w:rPr>
        <w:t xml:space="preserve"> </w:t>
      </w:r>
      <w:r>
        <w:rPr>
          <w:rFonts w:ascii="Times New Roman" w:hAnsi="Times New Roman" w:eastAsia="Times New Roman" w:cs="Times New Roman"/>
          <w:spacing w:val="-3"/>
          <w:sz w:val="24"/>
          <w:szCs w:val="24"/>
        </w:rPr>
        <w:t>10335</w:t>
      </w:r>
      <w:r>
        <w:rPr>
          <w:rFonts w:ascii="Times New Roman" w:hAnsi="Times New Roman" w:eastAsia="Times New Roman" w:cs="Times New Roman"/>
          <w:spacing w:val="15"/>
          <w:w w:val="101"/>
          <w:sz w:val="24"/>
          <w:szCs w:val="24"/>
        </w:rPr>
        <w:t xml:space="preserve"> </w:t>
      </w:r>
      <w:r>
        <w:rPr>
          <w:spacing w:val="-3"/>
          <w:sz w:val="24"/>
          <w:szCs w:val="24"/>
        </w:rPr>
        <w:t>万</w:t>
      </w:r>
      <w:r>
        <w:rPr>
          <w:spacing w:val="-57"/>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3"/>
          <w:sz w:val="24"/>
          <w:szCs w:val="24"/>
        </w:rPr>
        <w:t>，兴利库容</w:t>
      </w:r>
      <w:r>
        <w:rPr>
          <w:spacing w:val="-33"/>
          <w:sz w:val="24"/>
          <w:szCs w:val="24"/>
        </w:rPr>
        <w:t xml:space="preserve"> </w:t>
      </w:r>
      <w:r>
        <w:rPr>
          <w:rFonts w:ascii="Times New Roman" w:hAnsi="Times New Roman" w:eastAsia="Times New Roman" w:cs="Times New Roman"/>
          <w:spacing w:val="-3"/>
          <w:sz w:val="24"/>
          <w:szCs w:val="24"/>
        </w:rPr>
        <w:t>8981</w:t>
      </w:r>
      <w:r>
        <w:rPr>
          <w:rFonts w:ascii="Times New Roman" w:hAnsi="Times New Roman" w:eastAsia="Times New Roman" w:cs="Times New Roman"/>
          <w:spacing w:val="15"/>
          <w:sz w:val="24"/>
          <w:szCs w:val="24"/>
        </w:rPr>
        <w:t xml:space="preserve"> </w:t>
      </w:r>
      <w:r>
        <w:rPr>
          <w:spacing w:val="-3"/>
          <w:sz w:val="24"/>
          <w:szCs w:val="24"/>
        </w:rPr>
        <w:t>万</w:t>
      </w:r>
      <w:r>
        <w:rPr>
          <w:spacing w:val="-58"/>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8"/>
          <w:sz w:val="15"/>
          <w:szCs w:val="15"/>
        </w:rPr>
        <w:t>3</w:t>
      </w:r>
      <w:r>
        <w:rPr>
          <w:spacing w:val="-4"/>
          <w:sz w:val="24"/>
          <w:szCs w:val="24"/>
        </w:rPr>
        <w:t>，死库容</w:t>
      </w:r>
      <w:r>
        <w:rPr>
          <w:spacing w:val="-31"/>
          <w:sz w:val="24"/>
          <w:szCs w:val="24"/>
        </w:rPr>
        <w:t xml:space="preserve"> </w:t>
      </w:r>
      <w:r>
        <w:rPr>
          <w:rFonts w:ascii="Times New Roman" w:hAnsi="Times New Roman" w:eastAsia="Times New Roman" w:cs="Times New Roman"/>
          <w:spacing w:val="-4"/>
          <w:sz w:val="24"/>
          <w:szCs w:val="24"/>
        </w:rPr>
        <w:t>1354</w:t>
      </w:r>
      <w:r>
        <w:rPr>
          <w:rFonts w:ascii="Times New Roman" w:hAnsi="Times New Roman" w:eastAsia="Times New Roman" w:cs="Times New Roman"/>
          <w:spacing w:val="15"/>
          <w:sz w:val="24"/>
          <w:szCs w:val="24"/>
        </w:rPr>
        <w:t xml:space="preserve"> </w:t>
      </w:r>
      <w:r>
        <w:rPr>
          <w:spacing w:val="-4"/>
          <w:sz w:val="24"/>
          <w:szCs w:val="24"/>
        </w:rPr>
        <w:t>万</w:t>
      </w:r>
      <w:r>
        <w:rPr>
          <w:spacing w:val="-58"/>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spacing w:val="-4"/>
          <w:sz w:val="24"/>
          <w:szCs w:val="24"/>
        </w:rPr>
        <w:t>。</w:t>
      </w:r>
    </w:p>
    <w:p w14:paraId="09B8610A">
      <w:pPr>
        <w:pStyle w:val="2"/>
        <w:spacing w:before="2" w:line="338" w:lineRule="auto"/>
        <w:ind w:left="45" w:right="84" w:firstLine="469"/>
        <w:rPr>
          <w:sz w:val="24"/>
          <w:szCs w:val="24"/>
        </w:rPr>
      </w:pPr>
      <w:r>
        <w:rPr>
          <w:rFonts w:ascii="Times New Roman" w:hAnsi="Times New Roman" w:eastAsia="Times New Roman" w:cs="Times New Roman"/>
          <w:spacing w:val="-1"/>
          <w:sz w:val="24"/>
          <w:szCs w:val="24"/>
        </w:rPr>
        <w:t>2016</w:t>
      </w:r>
      <w:r>
        <w:rPr>
          <w:rFonts w:ascii="Times New Roman" w:hAnsi="Times New Roman" w:eastAsia="Times New Roman" w:cs="Times New Roman"/>
          <w:spacing w:val="25"/>
          <w:sz w:val="24"/>
          <w:szCs w:val="24"/>
        </w:rPr>
        <w:t xml:space="preserve"> </w:t>
      </w:r>
      <w:r>
        <w:rPr>
          <w:spacing w:val="-1"/>
          <w:sz w:val="24"/>
          <w:szCs w:val="24"/>
        </w:rPr>
        <w:t>年</w:t>
      </w:r>
      <w:r>
        <w:rPr>
          <w:spacing w:val="-37"/>
          <w:sz w:val="24"/>
          <w:szCs w:val="24"/>
        </w:rPr>
        <w:t xml:space="preserve"> </w:t>
      </w:r>
      <w:r>
        <w:rPr>
          <w:rFonts w:ascii="Times New Roman" w:hAnsi="Times New Roman" w:eastAsia="Times New Roman" w:cs="Times New Roman"/>
          <w:spacing w:val="-1"/>
          <w:sz w:val="24"/>
          <w:szCs w:val="24"/>
        </w:rPr>
        <w:t>7</w:t>
      </w:r>
      <w:r>
        <w:rPr>
          <w:rFonts w:ascii="Times New Roman" w:hAnsi="Times New Roman" w:eastAsia="Times New Roman" w:cs="Times New Roman"/>
          <w:spacing w:val="31"/>
          <w:sz w:val="24"/>
          <w:szCs w:val="24"/>
        </w:rPr>
        <w:t xml:space="preserve"> </w:t>
      </w:r>
      <w:r>
        <w:rPr>
          <w:spacing w:val="-1"/>
          <w:sz w:val="24"/>
          <w:szCs w:val="24"/>
        </w:rPr>
        <w:t>月，由北京院编制完成《云南省曲靖市车马碧水库工程</w:t>
      </w:r>
      <w:r>
        <w:rPr>
          <w:spacing w:val="-2"/>
          <w:sz w:val="24"/>
          <w:szCs w:val="24"/>
        </w:rPr>
        <w:t>环境影响报</w:t>
      </w:r>
      <w:r>
        <w:rPr>
          <w:spacing w:val="-6"/>
          <w:sz w:val="24"/>
          <w:szCs w:val="24"/>
        </w:rPr>
        <w:t>告书》，同年</w:t>
      </w:r>
      <w:r>
        <w:rPr>
          <w:spacing w:val="-51"/>
          <w:sz w:val="24"/>
          <w:szCs w:val="24"/>
        </w:rPr>
        <w:t xml:space="preserve"> </w:t>
      </w:r>
      <w:r>
        <w:rPr>
          <w:rFonts w:ascii="Times New Roman" w:hAnsi="Times New Roman" w:eastAsia="Times New Roman" w:cs="Times New Roman"/>
          <w:spacing w:val="-6"/>
          <w:sz w:val="24"/>
          <w:szCs w:val="24"/>
        </w:rPr>
        <w:t>9</w:t>
      </w:r>
      <w:r>
        <w:rPr>
          <w:rFonts w:ascii="Times New Roman" w:hAnsi="Times New Roman" w:eastAsia="Times New Roman" w:cs="Times New Roman"/>
          <w:spacing w:val="15"/>
          <w:w w:val="101"/>
          <w:sz w:val="24"/>
          <w:szCs w:val="24"/>
        </w:rPr>
        <w:t xml:space="preserve"> </w:t>
      </w:r>
      <w:r>
        <w:rPr>
          <w:spacing w:val="-6"/>
          <w:sz w:val="24"/>
          <w:szCs w:val="24"/>
        </w:rPr>
        <w:t>月，原国家环境保护部以“环审〔</w:t>
      </w:r>
      <w:r>
        <w:rPr>
          <w:rFonts w:ascii="Times New Roman" w:hAnsi="Times New Roman" w:eastAsia="Times New Roman" w:cs="Times New Roman"/>
          <w:spacing w:val="-6"/>
          <w:sz w:val="24"/>
          <w:szCs w:val="24"/>
        </w:rPr>
        <w:t>2016</w:t>
      </w:r>
      <w:r>
        <w:rPr>
          <w:spacing w:val="-6"/>
          <w:sz w:val="24"/>
          <w:szCs w:val="24"/>
        </w:rPr>
        <w:t>〕</w:t>
      </w:r>
      <w:r>
        <w:rPr>
          <w:rFonts w:ascii="Times New Roman" w:hAnsi="Times New Roman" w:eastAsia="Times New Roman" w:cs="Times New Roman"/>
          <w:spacing w:val="-7"/>
          <w:sz w:val="24"/>
          <w:szCs w:val="24"/>
        </w:rPr>
        <w:t>125</w:t>
      </w:r>
      <w:r>
        <w:rPr>
          <w:rFonts w:ascii="Times New Roman" w:hAnsi="Times New Roman" w:eastAsia="Times New Roman" w:cs="Times New Roman"/>
          <w:spacing w:val="15"/>
          <w:sz w:val="24"/>
          <w:szCs w:val="24"/>
        </w:rPr>
        <w:t xml:space="preserve"> </w:t>
      </w:r>
      <w:r>
        <w:rPr>
          <w:spacing w:val="-7"/>
          <w:sz w:val="24"/>
          <w:szCs w:val="24"/>
        </w:rPr>
        <w:t>号</w:t>
      </w:r>
      <w:r>
        <w:rPr>
          <w:spacing w:val="-88"/>
          <w:sz w:val="24"/>
          <w:szCs w:val="24"/>
        </w:rPr>
        <w:t xml:space="preserve"> </w:t>
      </w:r>
      <w:r>
        <w:rPr>
          <w:spacing w:val="-7"/>
          <w:sz w:val="24"/>
          <w:szCs w:val="24"/>
        </w:rPr>
        <w:t>”予以批复。</w:t>
      </w:r>
    </w:p>
    <w:p w14:paraId="386D306D">
      <w:pPr>
        <w:pStyle w:val="2"/>
        <w:spacing w:before="1" w:line="233" w:lineRule="auto"/>
        <w:ind w:right="33"/>
        <w:jc w:val="right"/>
        <w:rPr>
          <w:sz w:val="24"/>
          <w:szCs w:val="24"/>
        </w:rPr>
      </w:pPr>
      <w:r>
        <w:rPr>
          <w:rFonts w:ascii="Times New Roman" w:hAnsi="Times New Roman" w:eastAsia="Times New Roman" w:cs="Times New Roman"/>
          <w:spacing w:val="-5"/>
          <w:sz w:val="24"/>
          <w:szCs w:val="24"/>
        </w:rPr>
        <w:t>2017</w:t>
      </w:r>
      <w:r>
        <w:rPr>
          <w:rFonts w:ascii="Times New Roman" w:hAnsi="Times New Roman" w:eastAsia="Times New Roman" w:cs="Times New Roman"/>
          <w:spacing w:val="17"/>
          <w:w w:val="101"/>
          <w:sz w:val="24"/>
          <w:szCs w:val="24"/>
        </w:rPr>
        <w:t xml:space="preserve"> </w:t>
      </w:r>
      <w:r>
        <w:rPr>
          <w:spacing w:val="-5"/>
          <w:sz w:val="24"/>
          <w:szCs w:val="24"/>
        </w:rPr>
        <w:t>年</w:t>
      </w:r>
      <w:r>
        <w:rPr>
          <w:spacing w:val="-25"/>
          <w:sz w:val="24"/>
          <w:szCs w:val="24"/>
        </w:rPr>
        <w:t xml:space="preserve"> </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21"/>
          <w:w w:val="101"/>
          <w:sz w:val="24"/>
          <w:szCs w:val="24"/>
        </w:rPr>
        <w:t xml:space="preserve"> </w:t>
      </w:r>
      <w:r>
        <w:rPr>
          <w:spacing w:val="-5"/>
          <w:sz w:val="24"/>
          <w:szCs w:val="24"/>
        </w:rPr>
        <w:t>月</w:t>
      </w:r>
      <w:r>
        <w:rPr>
          <w:spacing w:val="-25"/>
          <w:sz w:val="24"/>
          <w:szCs w:val="24"/>
        </w:rPr>
        <w:t xml:space="preserve"> </w:t>
      </w:r>
      <w:r>
        <w:rPr>
          <w:rFonts w:ascii="Times New Roman" w:hAnsi="Times New Roman" w:eastAsia="Times New Roman" w:cs="Times New Roman"/>
          <w:spacing w:val="-5"/>
          <w:sz w:val="24"/>
          <w:szCs w:val="24"/>
        </w:rPr>
        <w:t xml:space="preserve">16  </w:t>
      </w:r>
      <w:r>
        <w:rPr>
          <w:spacing w:val="-5"/>
          <w:sz w:val="24"/>
          <w:szCs w:val="24"/>
        </w:rPr>
        <w:t>日建设单位提交申请开工备案，水库枢纽工程于</w:t>
      </w:r>
      <w:r>
        <w:rPr>
          <w:spacing w:val="-24"/>
          <w:sz w:val="24"/>
          <w:szCs w:val="24"/>
        </w:rPr>
        <w:t xml:space="preserve"> </w:t>
      </w:r>
      <w:r>
        <w:rPr>
          <w:rFonts w:ascii="Times New Roman" w:hAnsi="Times New Roman" w:eastAsia="Times New Roman" w:cs="Times New Roman"/>
          <w:spacing w:val="-5"/>
          <w:sz w:val="24"/>
          <w:szCs w:val="24"/>
        </w:rPr>
        <w:t>11</w:t>
      </w:r>
      <w:r>
        <w:rPr>
          <w:rFonts w:ascii="Times New Roman" w:hAnsi="Times New Roman" w:eastAsia="Times New Roman" w:cs="Times New Roman"/>
          <w:spacing w:val="22"/>
          <w:sz w:val="24"/>
          <w:szCs w:val="24"/>
        </w:rPr>
        <w:t xml:space="preserve"> </w:t>
      </w:r>
      <w:r>
        <w:rPr>
          <w:spacing w:val="-5"/>
          <w:sz w:val="24"/>
          <w:szCs w:val="24"/>
        </w:rPr>
        <w:t>月</w:t>
      </w:r>
      <w:r>
        <w:rPr>
          <w:spacing w:val="-48"/>
          <w:sz w:val="24"/>
          <w:szCs w:val="24"/>
        </w:rPr>
        <w:t xml:space="preserve"> </w:t>
      </w:r>
      <w:r>
        <w:rPr>
          <w:rFonts w:ascii="Times New Roman" w:hAnsi="Times New Roman" w:eastAsia="Times New Roman" w:cs="Times New Roman"/>
          <w:spacing w:val="-6"/>
          <w:sz w:val="24"/>
          <w:szCs w:val="24"/>
        </w:rPr>
        <w:t xml:space="preserve">25  </w:t>
      </w:r>
      <w:r>
        <w:rPr>
          <w:spacing w:val="-6"/>
          <w:sz w:val="24"/>
          <w:szCs w:val="24"/>
        </w:rPr>
        <w:t>日</w:t>
      </w:r>
    </w:p>
    <w:p w14:paraId="7D6C70D4">
      <w:pPr>
        <w:pStyle w:val="2"/>
        <w:spacing w:before="136" w:line="233" w:lineRule="auto"/>
        <w:jc w:val="right"/>
        <w:rPr>
          <w:sz w:val="24"/>
          <w:szCs w:val="24"/>
        </w:rPr>
      </w:pPr>
      <w:r>
        <w:rPr>
          <w:spacing w:val="-7"/>
          <w:sz w:val="24"/>
          <w:szCs w:val="24"/>
        </w:rPr>
        <w:t xml:space="preserve">开工建设，输水隧洞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27"/>
          <w:sz w:val="24"/>
          <w:szCs w:val="24"/>
        </w:rPr>
        <w:t xml:space="preserve"> </w:t>
      </w:r>
      <w:r>
        <w:rPr>
          <w:spacing w:val="-7"/>
          <w:sz w:val="24"/>
          <w:szCs w:val="24"/>
        </w:rPr>
        <w:t>标、输水隧洞</w:t>
      </w:r>
      <w:r>
        <w:rPr>
          <w:spacing w:val="-44"/>
          <w:sz w:val="24"/>
          <w:szCs w:val="24"/>
        </w:rPr>
        <w:t xml:space="preserve"> </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21"/>
          <w:w w:val="101"/>
          <w:sz w:val="24"/>
          <w:szCs w:val="24"/>
        </w:rPr>
        <w:t xml:space="preserve"> </w:t>
      </w:r>
      <w:r>
        <w:rPr>
          <w:spacing w:val="-7"/>
          <w:sz w:val="24"/>
          <w:szCs w:val="24"/>
        </w:rPr>
        <w:t>标和输水隧洞</w:t>
      </w:r>
      <w:r>
        <w:rPr>
          <w:spacing w:val="-40"/>
          <w:sz w:val="24"/>
          <w:szCs w:val="24"/>
        </w:rPr>
        <w:t xml:space="preserve"> </w:t>
      </w:r>
      <w:r>
        <w:rPr>
          <w:rFonts w:ascii="Times New Roman" w:hAnsi="Times New Roman" w:eastAsia="Times New Roman" w:cs="Times New Roman"/>
          <w:spacing w:val="-7"/>
          <w:sz w:val="24"/>
          <w:szCs w:val="24"/>
        </w:rPr>
        <w:t>3</w:t>
      </w:r>
      <w:r>
        <w:rPr>
          <w:rFonts w:ascii="Times New Roman" w:hAnsi="Times New Roman" w:eastAsia="Times New Roman" w:cs="Times New Roman"/>
          <w:spacing w:val="21"/>
          <w:w w:val="101"/>
          <w:sz w:val="24"/>
          <w:szCs w:val="24"/>
        </w:rPr>
        <w:t xml:space="preserve"> </w:t>
      </w:r>
      <w:r>
        <w:rPr>
          <w:spacing w:val="-7"/>
          <w:sz w:val="24"/>
          <w:szCs w:val="24"/>
        </w:rPr>
        <w:t xml:space="preserve">标于 </w:t>
      </w:r>
      <w:r>
        <w:rPr>
          <w:rFonts w:ascii="Times New Roman" w:hAnsi="Times New Roman" w:eastAsia="Times New Roman" w:cs="Times New Roman"/>
          <w:spacing w:val="-7"/>
          <w:sz w:val="24"/>
          <w:szCs w:val="24"/>
        </w:rPr>
        <w:t>12</w:t>
      </w:r>
      <w:r>
        <w:rPr>
          <w:rFonts w:ascii="Times New Roman" w:hAnsi="Times New Roman" w:eastAsia="Times New Roman" w:cs="Times New Roman"/>
          <w:spacing w:val="26"/>
          <w:sz w:val="24"/>
          <w:szCs w:val="24"/>
        </w:rPr>
        <w:t xml:space="preserve"> </w:t>
      </w:r>
      <w:r>
        <w:rPr>
          <w:spacing w:val="-7"/>
          <w:sz w:val="24"/>
          <w:szCs w:val="24"/>
        </w:rPr>
        <w:t>月</w:t>
      </w:r>
      <w:r>
        <w:rPr>
          <w:spacing w:val="-35"/>
          <w:sz w:val="24"/>
          <w:szCs w:val="24"/>
        </w:rPr>
        <w:t xml:space="preserve"> </w:t>
      </w:r>
      <w:r>
        <w:rPr>
          <w:rFonts w:ascii="Times New Roman" w:hAnsi="Times New Roman" w:eastAsia="Times New Roman" w:cs="Times New Roman"/>
          <w:spacing w:val="-7"/>
          <w:sz w:val="24"/>
          <w:szCs w:val="24"/>
        </w:rPr>
        <w:t xml:space="preserve">8  </w:t>
      </w:r>
      <w:r>
        <w:rPr>
          <w:spacing w:val="-7"/>
          <w:sz w:val="24"/>
          <w:szCs w:val="24"/>
        </w:rPr>
        <w:t>日开工建设。</w:t>
      </w:r>
    </w:p>
    <w:p w14:paraId="5B84FA88">
      <w:pPr>
        <w:pStyle w:val="2"/>
        <w:spacing w:before="137" w:line="339" w:lineRule="auto"/>
        <w:ind w:left="38" w:right="85" w:firstLine="483"/>
        <w:jc w:val="both"/>
        <w:rPr>
          <w:sz w:val="24"/>
          <w:szCs w:val="24"/>
        </w:rPr>
      </w:pPr>
      <w:r>
        <w:rPr>
          <w:spacing w:val="-2"/>
          <w:sz w:val="24"/>
          <w:szCs w:val="24"/>
        </w:rPr>
        <w:t>工程环保静态投资</w:t>
      </w:r>
      <w:r>
        <w:rPr>
          <w:spacing w:val="-44"/>
          <w:sz w:val="24"/>
          <w:szCs w:val="24"/>
        </w:rPr>
        <w:t xml:space="preserve"> </w:t>
      </w:r>
      <w:r>
        <w:rPr>
          <w:rFonts w:ascii="Times New Roman" w:hAnsi="Times New Roman" w:eastAsia="Times New Roman" w:cs="Times New Roman"/>
          <w:spacing w:val="-2"/>
          <w:sz w:val="24"/>
          <w:szCs w:val="24"/>
        </w:rPr>
        <w:t>21378.48</w:t>
      </w:r>
      <w:r>
        <w:rPr>
          <w:rFonts w:ascii="Times New Roman" w:hAnsi="Times New Roman" w:eastAsia="Times New Roman" w:cs="Times New Roman"/>
          <w:spacing w:val="26"/>
          <w:sz w:val="24"/>
          <w:szCs w:val="24"/>
        </w:rPr>
        <w:t xml:space="preserve"> </w:t>
      </w:r>
      <w:r>
        <w:rPr>
          <w:spacing w:val="-2"/>
          <w:sz w:val="24"/>
          <w:szCs w:val="24"/>
        </w:rPr>
        <w:t>万元，环保直</w:t>
      </w:r>
      <w:r>
        <w:rPr>
          <w:spacing w:val="-3"/>
          <w:sz w:val="24"/>
          <w:szCs w:val="24"/>
        </w:rPr>
        <w:t xml:space="preserve">接费用 </w:t>
      </w:r>
      <w:r>
        <w:rPr>
          <w:rFonts w:ascii="Times New Roman" w:hAnsi="Times New Roman" w:eastAsia="Times New Roman" w:cs="Times New Roman"/>
          <w:spacing w:val="-3"/>
          <w:sz w:val="24"/>
          <w:szCs w:val="24"/>
        </w:rPr>
        <w:t>19435</w:t>
      </w:r>
      <w:r>
        <w:rPr>
          <w:rFonts w:ascii="Times New Roman" w:hAnsi="Times New Roman" w:eastAsia="Times New Roman" w:cs="Times New Roman"/>
          <w:spacing w:val="26"/>
          <w:w w:val="101"/>
          <w:sz w:val="24"/>
          <w:szCs w:val="24"/>
        </w:rPr>
        <w:t xml:space="preserve"> </w:t>
      </w:r>
      <w:r>
        <w:rPr>
          <w:spacing w:val="-3"/>
          <w:sz w:val="24"/>
          <w:szCs w:val="24"/>
        </w:rPr>
        <w:t>万元。初步设计阶段批复环保投资</w:t>
      </w:r>
      <w:r>
        <w:rPr>
          <w:spacing w:val="-32"/>
          <w:sz w:val="24"/>
          <w:szCs w:val="24"/>
        </w:rPr>
        <w:t xml:space="preserve"> </w:t>
      </w:r>
      <w:r>
        <w:rPr>
          <w:rFonts w:ascii="Times New Roman" w:hAnsi="Times New Roman" w:eastAsia="Times New Roman" w:cs="Times New Roman"/>
          <w:spacing w:val="-3"/>
          <w:sz w:val="24"/>
          <w:szCs w:val="24"/>
        </w:rPr>
        <w:t xml:space="preserve">17787.75 </w:t>
      </w:r>
      <w:r>
        <w:rPr>
          <w:spacing w:val="-3"/>
          <w:sz w:val="24"/>
          <w:szCs w:val="24"/>
        </w:rPr>
        <w:t>元。截至</w:t>
      </w:r>
      <w:r>
        <w:rPr>
          <w:spacing w:val="-54"/>
          <w:sz w:val="24"/>
          <w:szCs w:val="24"/>
        </w:rPr>
        <w:t xml:space="preserve"> </w:t>
      </w:r>
      <w:r>
        <w:rPr>
          <w:rFonts w:ascii="Times New Roman" w:hAnsi="Times New Roman" w:eastAsia="Times New Roman" w:cs="Times New Roman"/>
          <w:spacing w:val="-3"/>
          <w:sz w:val="24"/>
          <w:szCs w:val="24"/>
        </w:rPr>
        <w:t xml:space="preserve">2022 </w:t>
      </w:r>
      <w:r>
        <w:rPr>
          <w:spacing w:val="-3"/>
          <w:sz w:val="24"/>
          <w:szCs w:val="24"/>
        </w:rPr>
        <w:t>年</w:t>
      </w:r>
      <w:r>
        <w:rPr>
          <w:spacing w:val="-55"/>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sz w:val="24"/>
          <w:szCs w:val="24"/>
        </w:rPr>
        <w:t xml:space="preserve"> </w:t>
      </w:r>
      <w:r>
        <w:rPr>
          <w:spacing w:val="-3"/>
          <w:sz w:val="24"/>
          <w:szCs w:val="24"/>
        </w:rPr>
        <w:t>月，工程共计</w:t>
      </w:r>
      <w:r>
        <w:rPr>
          <w:spacing w:val="-4"/>
          <w:sz w:val="24"/>
          <w:szCs w:val="24"/>
        </w:rPr>
        <w:t>完成环境保护投资直接费</w:t>
      </w:r>
      <w:r>
        <w:rPr>
          <w:rFonts w:ascii="Times New Roman" w:hAnsi="Times New Roman" w:eastAsia="Times New Roman" w:cs="Times New Roman"/>
          <w:spacing w:val="-2"/>
          <w:sz w:val="24"/>
          <w:szCs w:val="24"/>
        </w:rPr>
        <w:t>11672.56</w:t>
      </w:r>
      <w:r>
        <w:rPr>
          <w:rFonts w:ascii="Times New Roman" w:hAnsi="Times New Roman" w:eastAsia="Times New Roman" w:cs="Times New Roman"/>
          <w:spacing w:val="25"/>
          <w:w w:val="101"/>
          <w:sz w:val="24"/>
          <w:szCs w:val="24"/>
        </w:rPr>
        <w:t xml:space="preserve"> </w:t>
      </w:r>
      <w:r>
        <w:rPr>
          <w:spacing w:val="-2"/>
          <w:sz w:val="24"/>
          <w:szCs w:val="24"/>
        </w:rPr>
        <w:t>万元，约占初设阶段该部分投资的</w:t>
      </w:r>
      <w:r>
        <w:rPr>
          <w:spacing w:val="-50"/>
          <w:sz w:val="24"/>
          <w:szCs w:val="24"/>
        </w:rPr>
        <w:t xml:space="preserve"> </w:t>
      </w:r>
      <w:r>
        <w:rPr>
          <w:rFonts w:ascii="Times New Roman" w:hAnsi="Times New Roman" w:eastAsia="Times New Roman" w:cs="Times New Roman"/>
          <w:spacing w:val="-2"/>
          <w:sz w:val="24"/>
          <w:szCs w:val="24"/>
        </w:rPr>
        <w:t>65%</w:t>
      </w:r>
      <w:r>
        <w:rPr>
          <w:spacing w:val="-2"/>
          <w:sz w:val="24"/>
          <w:szCs w:val="24"/>
        </w:rPr>
        <w:t>。</w:t>
      </w:r>
    </w:p>
    <w:p w14:paraId="27AB5919">
      <w:pPr>
        <w:pStyle w:val="2"/>
        <w:spacing w:before="84" w:line="227" w:lineRule="auto"/>
        <w:ind w:left="35"/>
        <w:rPr>
          <w:sz w:val="27"/>
          <w:szCs w:val="27"/>
        </w:rPr>
      </w:pPr>
      <w:r>
        <w:rPr>
          <w:rFonts w:ascii="Arial" w:hAnsi="Arial" w:eastAsia="Arial" w:cs="Arial"/>
          <w:spacing w:val="9"/>
          <w:position w:val="1"/>
          <w:sz w:val="21"/>
          <w:szCs w:val="21"/>
        </w:rPr>
        <w:t>7.1.2</w:t>
      </w:r>
      <w:r>
        <w:rPr>
          <w:rFonts w:ascii="Arial" w:hAnsi="Arial" w:eastAsia="Arial" w:cs="Arial"/>
          <w:spacing w:val="4"/>
          <w:position w:val="1"/>
          <w:sz w:val="21"/>
          <w:szCs w:val="21"/>
        </w:rPr>
        <w:t xml:space="preserve">     </w:t>
      </w:r>
      <w:r>
        <w:rPr>
          <w:b/>
          <w:bCs/>
          <w:spacing w:val="9"/>
          <w:position w:val="-1"/>
          <w:sz w:val="27"/>
          <w:szCs w:val="27"/>
        </w:rPr>
        <w:t>工程变动情况</w:t>
      </w:r>
    </w:p>
    <w:p w14:paraId="285062D4">
      <w:pPr>
        <w:pStyle w:val="2"/>
        <w:spacing w:before="263" w:line="219" w:lineRule="auto"/>
        <w:ind w:left="518"/>
        <w:rPr>
          <w:sz w:val="24"/>
          <w:szCs w:val="24"/>
        </w:rPr>
      </w:pPr>
      <w:r>
        <w:rPr>
          <w:spacing w:val="-4"/>
          <w:sz w:val="24"/>
          <w:szCs w:val="24"/>
        </w:rPr>
        <w:t>施工阶段，本工程未发生重大设计变更，仅有局部调整。</w:t>
      </w:r>
      <w:r>
        <w:rPr>
          <w:spacing w:val="-5"/>
          <w:sz w:val="24"/>
          <w:szCs w:val="24"/>
        </w:rPr>
        <w:t>工程及主要环保措施</w:t>
      </w:r>
    </w:p>
    <w:p w14:paraId="0EB46BDE">
      <w:pPr>
        <w:spacing w:line="219" w:lineRule="auto"/>
        <w:rPr>
          <w:sz w:val="24"/>
          <w:szCs w:val="24"/>
        </w:rPr>
        <w:sectPr>
          <w:headerReference r:id="rId278" w:type="default"/>
          <w:footerReference r:id="rId279" w:type="default"/>
          <w:pgSz w:w="11907" w:h="16839"/>
          <w:pgMar w:top="1376" w:right="1615" w:bottom="1061" w:left="1671" w:header="999" w:footer="861" w:gutter="0"/>
          <w:cols w:space="720" w:num="1"/>
        </w:sectPr>
      </w:pPr>
    </w:p>
    <w:p w14:paraId="29164FEF">
      <w:pPr>
        <w:spacing w:line="454" w:lineRule="auto"/>
        <w:rPr>
          <w:rFonts w:ascii="Arial"/>
          <w:sz w:val="21"/>
        </w:rPr>
      </w:pPr>
    </w:p>
    <w:p w14:paraId="0AC19DCF">
      <w:pPr>
        <w:pStyle w:val="2"/>
        <w:spacing w:before="78" w:line="220" w:lineRule="auto"/>
        <w:ind w:left="42"/>
        <w:rPr>
          <w:sz w:val="24"/>
          <w:szCs w:val="24"/>
        </w:rPr>
      </w:pPr>
      <w:r>
        <w:rPr>
          <w:spacing w:val="-2"/>
          <w:sz w:val="24"/>
          <w:szCs w:val="24"/>
        </w:rPr>
        <w:t>局部调整情况如下：</w:t>
      </w:r>
    </w:p>
    <w:p w14:paraId="6E8CBE05">
      <w:pPr>
        <w:pStyle w:val="2"/>
        <w:spacing w:before="153" w:line="332" w:lineRule="auto"/>
        <w:ind w:left="42" w:right="203" w:firstLine="483"/>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）大坝对坝基局部清基加深，溢洪道在施工过程中根据实际地质条件、设</w:t>
      </w:r>
      <w:r>
        <w:rPr>
          <w:spacing w:val="-2"/>
          <w:sz w:val="24"/>
          <w:szCs w:val="24"/>
        </w:rPr>
        <w:t>备等原因作出局部优化调整，均属一般设计变更。</w:t>
      </w:r>
    </w:p>
    <w:p w14:paraId="52DF5C61">
      <w:pPr>
        <w:pStyle w:val="2"/>
        <w:spacing w:before="15" w:line="339" w:lineRule="auto"/>
        <w:ind w:left="38" w:right="203" w:firstLine="487"/>
        <w:rPr>
          <w:sz w:val="24"/>
          <w:szCs w:val="24"/>
        </w:rPr>
      </w:pPr>
      <w:r>
        <w:rPr>
          <w:spacing w:val="-1"/>
          <w:sz w:val="24"/>
          <w:szCs w:val="24"/>
        </w:rPr>
        <w:t>（</w:t>
      </w:r>
      <w:r>
        <w:rPr>
          <w:rFonts w:ascii="Times New Roman" w:hAnsi="Times New Roman" w:eastAsia="Times New Roman" w:cs="Times New Roman"/>
          <w:spacing w:val="-1"/>
          <w:sz w:val="24"/>
          <w:szCs w:val="24"/>
        </w:rPr>
        <w:t>2</w:t>
      </w:r>
      <w:r>
        <w:rPr>
          <w:spacing w:val="-1"/>
          <w:sz w:val="24"/>
          <w:szCs w:val="24"/>
        </w:rPr>
        <w:t xml:space="preserve">）枢纽区仅启用了象山石料场，输水隧洞施工利用洞渣，未启用设计阶段的新发村石料场和尹保村石料场；枢纽区大罗贵土料场和 </w:t>
      </w:r>
      <w:r>
        <w:rPr>
          <w:rFonts w:ascii="Times New Roman" w:hAnsi="Times New Roman" w:eastAsia="Times New Roman" w:cs="Times New Roman"/>
          <w:spacing w:val="-1"/>
          <w:sz w:val="24"/>
          <w:szCs w:val="24"/>
        </w:rPr>
        <w:t>2#</w:t>
      </w:r>
      <w:r>
        <w:rPr>
          <w:spacing w:val="-1"/>
          <w:sz w:val="24"/>
          <w:szCs w:val="24"/>
        </w:rPr>
        <w:t xml:space="preserve">弃渣场取消，输水工程保家营弃渣场取消，依托杨家营弃渣场；枢纽区 </w:t>
      </w:r>
      <w:r>
        <w:rPr>
          <w:rFonts w:ascii="Times New Roman" w:hAnsi="Times New Roman" w:eastAsia="Times New Roman" w:cs="Times New Roman"/>
          <w:spacing w:val="-1"/>
          <w:sz w:val="24"/>
          <w:szCs w:val="24"/>
        </w:rPr>
        <w:t>1#</w:t>
      </w:r>
      <w:r>
        <w:rPr>
          <w:spacing w:val="-1"/>
          <w:sz w:val="24"/>
          <w:szCs w:val="24"/>
        </w:rPr>
        <w:t>弃渣场调整至河道右岸，新</w:t>
      </w:r>
      <w:r>
        <w:rPr>
          <w:spacing w:val="-3"/>
          <w:sz w:val="24"/>
          <w:szCs w:val="24"/>
        </w:rPr>
        <w:t>增从坝址至</w:t>
      </w:r>
      <w:r>
        <w:rPr>
          <w:spacing w:val="-25"/>
          <w:sz w:val="24"/>
          <w:szCs w:val="24"/>
        </w:rPr>
        <w:t xml:space="preserve"> </w:t>
      </w:r>
      <w:r>
        <w:rPr>
          <w:rFonts w:ascii="Times New Roman" w:hAnsi="Times New Roman" w:eastAsia="Times New Roman" w:cs="Times New Roman"/>
          <w:spacing w:val="-3"/>
          <w:sz w:val="24"/>
          <w:szCs w:val="24"/>
        </w:rPr>
        <w:t>1#</w:t>
      </w:r>
      <w:r>
        <w:rPr>
          <w:spacing w:val="-3"/>
          <w:sz w:val="24"/>
          <w:szCs w:val="24"/>
        </w:rPr>
        <w:t>弃渣场施工道路。</w:t>
      </w:r>
    </w:p>
    <w:p w14:paraId="1B420316">
      <w:pPr>
        <w:pStyle w:val="2"/>
        <w:spacing w:line="338" w:lineRule="auto"/>
        <w:ind w:left="39" w:right="205" w:firstLine="486"/>
        <w:rPr>
          <w:sz w:val="24"/>
          <w:szCs w:val="24"/>
        </w:rPr>
      </w:pPr>
      <w:r>
        <w:rPr>
          <w:spacing w:val="-4"/>
          <w:sz w:val="24"/>
          <w:szCs w:val="24"/>
        </w:rPr>
        <w:t>（</w:t>
      </w:r>
      <w:r>
        <w:rPr>
          <w:rFonts w:ascii="Times New Roman" w:hAnsi="Times New Roman" w:eastAsia="Times New Roman" w:cs="Times New Roman"/>
          <w:spacing w:val="-4"/>
          <w:sz w:val="24"/>
          <w:szCs w:val="24"/>
        </w:rPr>
        <w:t>3</w:t>
      </w:r>
      <w:r>
        <w:rPr>
          <w:spacing w:val="-4"/>
          <w:sz w:val="24"/>
          <w:szCs w:val="24"/>
        </w:rPr>
        <w:t>）环评期规划水平年共需搬迁安置</w:t>
      </w:r>
      <w:r>
        <w:rPr>
          <w:spacing w:val="-31"/>
          <w:sz w:val="24"/>
          <w:szCs w:val="24"/>
        </w:rPr>
        <w:t xml:space="preserve"> </w:t>
      </w:r>
      <w:r>
        <w:rPr>
          <w:rFonts w:ascii="Times New Roman" w:hAnsi="Times New Roman" w:eastAsia="Times New Roman" w:cs="Times New Roman"/>
          <w:spacing w:val="-4"/>
          <w:sz w:val="24"/>
          <w:szCs w:val="24"/>
        </w:rPr>
        <w:t xml:space="preserve">1977 </w:t>
      </w:r>
      <w:r>
        <w:rPr>
          <w:spacing w:val="-4"/>
          <w:sz w:val="24"/>
          <w:szCs w:val="24"/>
        </w:rPr>
        <w:t>人，选择</w:t>
      </w:r>
      <w:r>
        <w:rPr>
          <w:spacing w:val="-45"/>
          <w:sz w:val="24"/>
          <w:szCs w:val="24"/>
        </w:rPr>
        <w:t xml:space="preserve"> </w:t>
      </w:r>
      <w:r>
        <w:rPr>
          <w:rFonts w:ascii="Times New Roman" w:hAnsi="Times New Roman" w:eastAsia="Times New Roman" w:cs="Times New Roman"/>
          <w:spacing w:val="-4"/>
          <w:sz w:val="24"/>
          <w:szCs w:val="24"/>
        </w:rPr>
        <w:t xml:space="preserve">8 </w:t>
      </w:r>
      <w:r>
        <w:rPr>
          <w:spacing w:val="-4"/>
          <w:sz w:val="24"/>
          <w:szCs w:val="24"/>
        </w:rPr>
        <w:t>个集中移民安置点和</w:t>
      </w:r>
      <w:r>
        <w:rPr>
          <w:spacing w:val="-45"/>
          <w:sz w:val="24"/>
          <w:szCs w:val="24"/>
        </w:rPr>
        <w:t xml:space="preserve"> </w:t>
      </w:r>
      <w:r>
        <w:rPr>
          <w:rFonts w:ascii="Times New Roman" w:hAnsi="Times New Roman" w:eastAsia="Times New Roman" w:cs="Times New Roman"/>
          <w:spacing w:val="-4"/>
          <w:sz w:val="24"/>
          <w:szCs w:val="24"/>
        </w:rPr>
        <w:t>8</w:t>
      </w:r>
      <w:r>
        <w:rPr>
          <w:spacing w:val="-1"/>
          <w:sz w:val="24"/>
          <w:szCs w:val="24"/>
        </w:rPr>
        <w:t>个后靠安置点，工程实际完成</w:t>
      </w:r>
      <w:r>
        <w:rPr>
          <w:spacing w:val="-50"/>
          <w:sz w:val="24"/>
          <w:szCs w:val="24"/>
        </w:rPr>
        <w:t xml:space="preserve"> </w:t>
      </w:r>
      <w:r>
        <w:rPr>
          <w:rFonts w:ascii="Times New Roman" w:hAnsi="Times New Roman" w:eastAsia="Times New Roman" w:cs="Times New Roman"/>
          <w:spacing w:val="-1"/>
          <w:sz w:val="24"/>
          <w:szCs w:val="24"/>
        </w:rPr>
        <w:t xml:space="preserve">9 </w:t>
      </w:r>
      <w:r>
        <w:rPr>
          <w:spacing w:val="-1"/>
          <w:sz w:val="24"/>
          <w:szCs w:val="24"/>
        </w:rPr>
        <w:t>个集中安置点，完成搬迁安置</w:t>
      </w:r>
      <w:r>
        <w:rPr>
          <w:spacing w:val="-48"/>
          <w:sz w:val="24"/>
          <w:szCs w:val="24"/>
        </w:rPr>
        <w:t xml:space="preserve"> </w:t>
      </w:r>
      <w:r>
        <w:rPr>
          <w:rFonts w:ascii="Times New Roman" w:hAnsi="Times New Roman" w:eastAsia="Times New Roman" w:cs="Times New Roman"/>
          <w:spacing w:val="-1"/>
          <w:sz w:val="24"/>
          <w:szCs w:val="24"/>
        </w:rPr>
        <w:t>513</w:t>
      </w:r>
      <w:r>
        <w:rPr>
          <w:rFonts w:ascii="Times New Roman" w:hAnsi="Times New Roman" w:eastAsia="Times New Roman" w:cs="Times New Roman"/>
          <w:spacing w:val="-2"/>
          <w:sz w:val="24"/>
          <w:szCs w:val="24"/>
        </w:rPr>
        <w:t xml:space="preserve"> </w:t>
      </w:r>
      <w:r>
        <w:rPr>
          <w:spacing w:val="-2"/>
          <w:sz w:val="24"/>
          <w:szCs w:val="24"/>
        </w:rPr>
        <w:t>户</w:t>
      </w:r>
      <w:r>
        <w:rPr>
          <w:spacing w:val="-55"/>
          <w:sz w:val="24"/>
          <w:szCs w:val="24"/>
        </w:rPr>
        <w:t xml:space="preserve"> </w:t>
      </w:r>
      <w:r>
        <w:rPr>
          <w:rFonts w:ascii="Times New Roman" w:hAnsi="Times New Roman" w:eastAsia="Times New Roman" w:cs="Times New Roman"/>
          <w:spacing w:val="-2"/>
          <w:sz w:val="24"/>
          <w:szCs w:val="24"/>
        </w:rPr>
        <w:t xml:space="preserve">2125 </w:t>
      </w:r>
      <w:r>
        <w:rPr>
          <w:spacing w:val="-2"/>
          <w:sz w:val="24"/>
          <w:szCs w:val="24"/>
        </w:rPr>
        <w:t>人。</w:t>
      </w:r>
    </w:p>
    <w:p w14:paraId="4B329FCB">
      <w:pPr>
        <w:pStyle w:val="2"/>
        <w:spacing w:before="1" w:line="337" w:lineRule="auto"/>
        <w:ind w:left="41" w:right="202" w:firstLine="484"/>
        <w:rPr>
          <w:sz w:val="24"/>
          <w:szCs w:val="24"/>
        </w:rPr>
      </w:pPr>
      <w:r>
        <w:rPr>
          <w:spacing w:val="-1"/>
          <w:sz w:val="24"/>
          <w:szCs w:val="24"/>
        </w:rPr>
        <w:t>（</w:t>
      </w:r>
      <w:r>
        <w:rPr>
          <w:rFonts w:ascii="Times New Roman" w:hAnsi="Times New Roman" w:eastAsia="Times New Roman" w:cs="Times New Roman"/>
          <w:spacing w:val="-1"/>
          <w:sz w:val="24"/>
          <w:szCs w:val="24"/>
        </w:rPr>
        <w:t>4</w:t>
      </w:r>
      <w:r>
        <w:rPr>
          <w:spacing w:val="-1"/>
          <w:sz w:val="24"/>
          <w:szCs w:val="24"/>
        </w:rPr>
        <w:t>）设计单位根据浮筒式取水设施技术可行性市场调查，将坝前生态灌溉取</w:t>
      </w:r>
      <w:r>
        <w:rPr>
          <w:spacing w:val="3"/>
          <w:sz w:val="24"/>
          <w:szCs w:val="24"/>
        </w:rPr>
        <w:t>水方式由环评批复的浮筒式取水方式变更为固定分层取</w:t>
      </w:r>
      <w:r>
        <w:rPr>
          <w:spacing w:val="2"/>
          <w:sz w:val="24"/>
          <w:szCs w:val="24"/>
        </w:rPr>
        <w:t>水方式，根据环评阶段对</w:t>
      </w:r>
      <w:r>
        <w:rPr>
          <w:sz w:val="24"/>
          <w:szCs w:val="24"/>
        </w:rPr>
        <w:t>浮筒式和固定式的水温减缓效果预测，两个方案</w:t>
      </w:r>
      <w:r>
        <w:rPr>
          <w:spacing w:val="-1"/>
          <w:sz w:val="24"/>
          <w:szCs w:val="24"/>
        </w:rPr>
        <w:t>均能满足低温水减缓要求。</w:t>
      </w:r>
    </w:p>
    <w:p w14:paraId="318590E8">
      <w:pPr>
        <w:pStyle w:val="2"/>
        <w:spacing w:before="6" w:line="338" w:lineRule="auto"/>
        <w:ind w:left="38" w:right="205" w:firstLine="487"/>
        <w:rPr>
          <w:sz w:val="24"/>
          <w:szCs w:val="24"/>
        </w:rPr>
      </w:pPr>
      <w:r>
        <w:rPr>
          <w:spacing w:val="-1"/>
          <w:sz w:val="24"/>
          <w:szCs w:val="24"/>
        </w:rPr>
        <w:t>（</w:t>
      </w:r>
      <w:r>
        <w:rPr>
          <w:rFonts w:ascii="Times New Roman" w:hAnsi="Times New Roman" w:eastAsia="Times New Roman" w:cs="Times New Roman"/>
          <w:spacing w:val="-1"/>
          <w:sz w:val="24"/>
          <w:szCs w:val="24"/>
        </w:rPr>
        <w:t>5</w:t>
      </w:r>
      <w:r>
        <w:rPr>
          <w:spacing w:val="-1"/>
          <w:sz w:val="24"/>
          <w:szCs w:val="24"/>
        </w:rPr>
        <w:t>）鱼类栖息地保护马龙区人民政府印发的征求意见稿反馈意见中提出：增</w:t>
      </w:r>
      <w:r>
        <w:rPr>
          <w:spacing w:val="-4"/>
          <w:sz w:val="24"/>
          <w:szCs w:val="24"/>
        </w:rPr>
        <w:t>加永发河（支流汇口至永发水库坝下河段）、</w:t>
      </w:r>
      <w:r>
        <w:rPr>
          <w:spacing w:val="-5"/>
          <w:sz w:val="24"/>
          <w:szCs w:val="24"/>
        </w:rPr>
        <w:t>车章河（车章河尾水处至五里箐水库</w:t>
      </w:r>
      <w:r>
        <w:rPr>
          <w:spacing w:val="-12"/>
          <w:sz w:val="24"/>
          <w:szCs w:val="24"/>
        </w:rPr>
        <w:t>坝下河段）、红桥河（支流汇口至马过河镇中和村千工坝下河段）也划分为栖息地，</w:t>
      </w:r>
      <w:r>
        <w:rPr>
          <w:spacing w:val="-2"/>
          <w:sz w:val="24"/>
          <w:szCs w:val="24"/>
        </w:rPr>
        <w:t>最终方案尚未确定，待政府最终讨论批复。</w:t>
      </w:r>
    </w:p>
    <w:p w14:paraId="0DDDBA96">
      <w:pPr>
        <w:pStyle w:val="2"/>
        <w:spacing w:before="4" w:line="335" w:lineRule="auto"/>
        <w:ind w:left="42" w:right="138" w:firstLine="483"/>
        <w:rPr>
          <w:sz w:val="24"/>
          <w:szCs w:val="24"/>
        </w:rPr>
      </w:pPr>
      <w:r>
        <w:rPr>
          <w:spacing w:val="-6"/>
          <w:sz w:val="24"/>
          <w:szCs w:val="24"/>
        </w:rPr>
        <w:t>（</w:t>
      </w:r>
      <w:r>
        <w:rPr>
          <w:rFonts w:ascii="Times New Roman" w:hAnsi="Times New Roman" w:eastAsia="Times New Roman" w:cs="Times New Roman"/>
          <w:spacing w:val="-6"/>
          <w:sz w:val="24"/>
          <w:szCs w:val="24"/>
        </w:rPr>
        <w:t>6</w:t>
      </w:r>
      <w:r>
        <w:rPr>
          <w:spacing w:val="-6"/>
          <w:sz w:val="24"/>
          <w:szCs w:val="24"/>
        </w:rPr>
        <w:t>）旁路系统：旁路系统建设方案经专家多次讨论和设计单位多次修改完善，</w:t>
      </w:r>
      <w:r>
        <w:rPr>
          <w:spacing w:val="-4"/>
          <w:sz w:val="24"/>
          <w:szCs w:val="24"/>
        </w:rPr>
        <w:t xml:space="preserve">于 </w:t>
      </w:r>
      <w:r>
        <w:rPr>
          <w:rFonts w:ascii="Times New Roman" w:hAnsi="Times New Roman" w:eastAsia="Times New Roman" w:cs="Times New Roman"/>
          <w:spacing w:val="-4"/>
          <w:sz w:val="24"/>
          <w:szCs w:val="24"/>
        </w:rPr>
        <w:t>2021</w:t>
      </w:r>
      <w:r>
        <w:rPr>
          <w:rFonts w:ascii="Times New Roman" w:hAnsi="Times New Roman" w:eastAsia="Times New Roman" w:cs="Times New Roman"/>
          <w:spacing w:val="49"/>
          <w:w w:val="101"/>
          <w:sz w:val="24"/>
          <w:szCs w:val="24"/>
        </w:rPr>
        <w:t xml:space="preserve"> </w:t>
      </w:r>
      <w:r>
        <w:rPr>
          <w:spacing w:val="-4"/>
          <w:sz w:val="24"/>
          <w:szCs w:val="24"/>
        </w:rPr>
        <w:t xml:space="preserve">年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52"/>
          <w:sz w:val="24"/>
          <w:szCs w:val="24"/>
        </w:rPr>
        <w:t xml:space="preserve"> </w:t>
      </w:r>
      <w:r>
        <w:rPr>
          <w:spacing w:val="-4"/>
          <w:sz w:val="24"/>
          <w:szCs w:val="24"/>
        </w:rPr>
        <w:t xml:space="preserve">月 </w:t>
      </w:r>
      <w:r>
        <w:rPr>
          <w:rFonts w:ascii="Times New Roman" w:hAnsi="Times New Roman" w:eastAsia="Times New Roman" w:cs="Times New Roman"/>
          <w:spacing w:val="-4"/>
          <w:sz w:val="24"/>
          <w:szCs w:val="24"/>
        </w:rPr>
        <w:t>31</w:t>
      </w:r>
      <w:r>
        <w:rPr>
          <w:rFonts w:ascii="Times New Roman" w:hAnsi="Times New Roman" w:eastAsia="Times New Roman" w:cs="Times New Roman"/>
          <w:spacing w:val="14"/>
          <w:sz w:val="24"/>
          <w:szCs w:val="24"/>
        </w:rPr>
        <w:t xml:space="preserve">  </w:t>
      </w:r>
      <w:r>
        <w:rPr>
          <w:spacing w:val="-4"/>
          <w:sz w:val="24"/>
          <w:szCs w:val="24"/>
        </w:rPr>
        <w:t>日通过云南省水利厅审查，方案取消了车章河旁路系统工程</w:t>
      </w:r>
      <w:r>
        <w:rPr>
          <w:sz w:val="24"/>
          <w:szCs w:val="24"/>
        </w:rPr>
        <w:t xml:space="preserve">（处理规模 </w:t>
      </w:r>
      <w:r>
        <w:rPr>
          <w:rFonts w:ascii="Times New Roman" w:hAnsi="Times New Roman" w:eastAsia="Times New Roman" w:cs="Times New Roman"/>
          <w:sz w:val="24"/>
          <w:szCs w:val="24"/>
        </w:rPr>
        <w:t>10000m</w:t>
      </w:r>
      <w:r>
        <w:rPr>
          <w:rFonts w:ascii="Times New Roman" w:hAnsi="Times New Roman" w:eastAsia="Times New Roman" w:cs="Times New Roman"/>
          <w:position w:val="8"/>
          <w:sz w:val="15"/>
          <w:szCs w:val="15"/>
        </w:rPr>
        <w:t>3</w:t>
      </w:r>
      <w:r>
        <w:rPr>
          <w:rFonts w:ascii="Times New Roman" w:hAnsi="Times New Roman" w:eastAsia="Times New Roman" w:cs="Times New Roman"/>
          <w:sz w:val="24"/>
          <w:szCs w:val="24"/>
        </w:rPr>
        <w:t>/d</w:t>
      </w:r>
      <w:r>
        <w:rPr>
          <w:spacing w:val="-50"/>
          <w:sz w:val="24"/>
          <w:szCs w:val="24"/>
        </w:rPr>
        <w:t>），</w:t>
      </w:r>
      <w:r>
        <w:rPr>
          <w:sz w:val="24"/>
          <w:szCs w:val="24"/>
        </w:rPr>
        <w:t>马龙河干流处理规模由环</w:t>
      </w:r>
      <w:r>
        <w:rPr>
          <w:spacing w:val="-1"/>
          <w:sz w:val="24"/>
          <w:szCs w:val="24"/>
        </w:rPr>
        <w:t>评阶段的</w:t>
      </w:r>
      <w:r>
        <w:rPr>
          <w:spacing w:val="33"/>
          <w:sz w:val="24"/>
          <w:szCs w:val="24"/>
        </w:rPr>
        <w:t xml:space="preserve"> </w:t>
      </w:r>
      <w:r>
        <w:rPr>
          <w:rFonts w:ascii="Times New Roman" w:hAnsi="Times New Roman" w:eastAsia="Times New Roman" w:cs="Times New Roman"/>
          <w:spacing w:val="-1"/>
          <w:sz w:val="24"/>
          <w:szCs w:val="24"/>
        </w:rPr>
        <w:t>100000m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sz w:val="24"/>
          <w:szCs w:val="24"/>
        </w:rPr>
        <w:t xml:space="preserve">/d  </w:t>
      </w:r>
      <w:r>
        <w:rPr>
          <w:spacing w:val="-1"/>
          <w:sz w:val="24"/>
          <w:szCs w:val="24"/>
        </w:rPr>
        <w:t>调整为</w:t>
      </w:r>
      <w:r>
        <w:rPr>
          <w:rFonts w:ascii="Times New Roman" w:hAnsi="Times New Roman" w:eastAsia="Times New Roman" w:cs="Times New Roman"/>
          <w:spacing w:val="-3"/>
          <w:sz w:val="24"/>
          <w:szCs w:val="24"/>
        </w:rPr>
        <w:t>8000m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/d</w:t>
      </w:r>
      <w:r>
        <w:rPr>
          <w:spacing w:val="-3"/>
          <w:sz w:val="24"/>
          <w:szCs w:val="24"/>
        </w:rPr>
        <w:t>，白塔河旁路系统处理规模由环评阶段的</w:t>
      </w:r>
      <w:r>
        <w:rPr>
          <w:spacing w:val="-31"/>
          <w:sz w:val="24"/>
          <w:szCs w:val="24"/>
        </w:rPr>
        <w:t xml:space="preserve"> </w:t>
      </w:r>
      <w:r>
        <w:rPr>
          <w:rFonts w:ascii="Times New Roman" w:hAnsi="Times New Roman" w:eastAsia="Times New Roman" w:cs="Times New Roman"/>
          <w:spacing w:val="-3"/>
          <w:sz w:val="24"/>
          <w:szCs w:val="24"/>
        </w:rPr>
        <w:t>10000m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sz w:val="24"/>
          <w:szCs w:val="24"/>
        </w:rPr>
        <w:t xml:space="preserve">/d </w:t>
      </w:r>
      <w:r>
        <w:rPr>
          <w:spacing w:val="-3"/>
          <w:sz w:val="24"/>
          <w:szCs w:val="24"/>
        </w:rPr>
        <w:t>调整为</w:t>
      </w:r>
      <w:r>
        <w:rPr>
          <w:spacing w:val="-50"/>
          <w:sz w:val="24"/>
          <w:szCs w:val="24"/>
        </w:rPr>
        <w:t xml:space="preserve"> </w:t>
      </w:r>
      <w:r>
        <w:rPr>
          <w:rFonts w:ascii="Times New Roman" w:hAnsi="Times New Roman" w:eastAsia="Times New Roman" w:cs="Times New Roman"/>
          <w:spacing w:val="-3"/>
          <w:sz w:val="24"/>
          <w:szCs w:val="24"/>
        </w:rPr>
        <w:t>6000</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4"/>
          <w:szCs w:val="24"/>
        </w:rPr>
        <w:t>/d</w:t>
      </w:r>
      <w:r>
        <w:rPr>
          <w:spacing w:val="-4"/>
          <w:sz w:val="24"/>
          <w:szCs w:val="24"/>
        </w:rPr>
        <w:t>，处</w:t>
      </w:r>
      <w:r>
        <w:rPr>
          <w:spacing w:val="-5"/>
          <w:sz w:val="24"/>
          <w:szCs w:val="24"/>
        </w:rPr>
        <w:t>理工艺未变。</w:t>
      </w:r>
    </w:p>
    <w:p w14:paraId="186A8BAE">
      <w:pPr>
        <w:pStyle w:val="2"/>
        <w:spacing w:before="90" w:line="234" w:lineRule="auto"/>
        <w:ind w:left="40"/>
        <w:rPr>
          <w:sz w:val="30"/>
          <w:szCs w:val="30"/>
        </w:rPr>
      </w:pPr>
      <w:bookmarkStart w:id="34" w:name="bookmark31"/>
      <w:bookmarkEnd w:id="34"/>
      <w:r>
        <w:rPr>
          <w:rFonts w:ascii="Times New Roman" w:hAnsi="Times New Roman" w:eastAsia="Times New Roman" w:cs="Times New Roman"/>
          <w:b/>
          <w:bCs/>
          <w:spacing w:val="-4"/>
          <w:sz w:val="30"/>
          <w:szCs w:val="30"/>
        </w:rPr>
        <w:t>7.2</w:t>
      </w:r>
      <w:r>
        <w:rPr>
          <w:rFonts w:ascii="Times New Roman" w:hAnsi="Times New Roman" w:eastAsia="Times New Roman" w:cs="Times New Roman"/>
          <w:b/>
          <w:bCs/>
          <w:spacing w:val="28"/>
          <w:sz w:val="30"/>
          <w:szCs w:val="30"/>
        </w:rPr>
        <w:t xml:space="preserve"> </w:t>
      </w:r>
      <w:r>
        <w:rPr>
          <w:b/>
          <w:bCs/>
          <w:spacing w:val="-4"/>
          <w:sz w:val="30"/>
          <w:szCs w:val="30"/>
        </w:rPr>
        <w:t>工程建设对环境的影响</w:t>
      </w:r>
    </w:p>
    <w:p w14:paraId="0AD17F4F">
      <w:pPr>
        <w:pStyle w:val="2"/>
        <w:spacing w:before="230"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）地表水环境影响</w:t>
      </w:r>
    </w:p>
    <w:p w14:paraId="765EC69A">
      <w:pPr>
        <w:pStyle w:val="2"/>
        <w:spacing w:before="139" w:line="338" w:lineRule="auto"/>
        <w:ind w:left="40" w:right="205" w:firstLine="481"/>
        <w:jc w:val="both"/>
        <w:rPr>
          <w:sz w:val="24"/>
          <w:szCs w:val="24"/>
        </w:rPr>
      </w:pPr>
      <w:r>
        <w:rPr>
          <w:spacing w:val="-4"/>
          <w:sz w:val="24"/>
          <w:szCs w:val="24"/>
        </w:rPr>
        <w:t>水文情势：大坝施工导流采用围堰一次断流</w:t>
      </w:r>
      <w:r>
        <w:rPr>
          <w:spacing w:val="-5"/>
          <w:sz w:val="24"/>
          <w:szCs w:val="24"/>
        </w:rPr>
        <w:t>，隧洞导流方式。截流后坝址上游</w:t>
      </w:r>
      <w:r>
        <w:rPr>
          <w:spacing w:val="-4"/>
          <w:sz w:val="24"/>
          <w:szCs w:val="24"/>
        </w:rPr>
        <w:t>来水经左岸导流泄洪放空隧洞（兼导流洞）泄流，于坝址下游导流洞出口</w:t>
      </w:r>
      <w:r>
        <w:rPr>
          <w:spacing w:val="-5"/>
          <w:sz w:val="24"/>
          <w:szCs w:val="24"/>
        </w:rPr>
        <w:t>处汇入马</w:t>
      </w:r>
      <w:r>
        <w:rPr>
          <w:spacing w:val="-4"/>
          <w:sz w:val="24"/>
          <w:szCs w:val="24"/>
        </w:rPr>
        <w:t>龙河河道，施工期仅在上、下游围堰之间河段水流流程发生改变，未对下</w:t>
      </w:r>
      <w:r>
        <w:rPr>
          <w:spacing w:val="-5"/>
          <w:sz w:val="24"/>
          <w:szCs w:val="24"/>
        </w:rPr>
        <w:t>游河道水文情势造成影响。</w:t>
      </w:r>
    </w:p>
    <w:p w14:paraId="4D21D5AB">
      <w:pPr>
        <w:pStyle w:val="2"/>
        <w:spacing w:before="1" w:line="339" w:lineRule="auto"/>
        <w:ind w:left="35" w:firstLine="487"/>
        <w:rPr>
          <w:sz w:val="24"/>
          <w:szCs w:val="24"/>
        </w:rPr>
      </w:pPr>
      <w:r>
        <w:rPr>
          <w:spacing w:val="-6"/>
          <w:sz w:val="24"/>
          <w:szCs w:val="24"/>
        </w:rPr>
        <w:t>水质：工程建设前马龙河干流存在部分指标超过</w:t>
      </w:r>
      <w:r>
        <w:rPr>
          <w:spacing w:val="-7"/>
          <w:sz w:val="24"/>
          <w:szCs w:val="24"/>
        </w:rPr>
        <w:t>地表水Ⅲ类标准情况，</w:t>
      </w:r>
      <w:r>
        <w:rPr>
          <w:rFonts w:ascii="Times New Roman" w:hAnsi="Times New Roman" w:eastAsia="Times New Roman" w:cs="Times New Roman"/>
          <w:spacing w:val="-7"/>
          <w:sz w:val="24"/>
          <w:szCs w:val="24"/>
        </w:rPr>
        <w:t xml:space="preserve">2015 </w:t>
      </w:r>
      <w:r>
        <w:rPr>
          <w:spacing w:val="-7"/>
          <w:sz w:val="24"/>
          <w:szCs w:val="24"/>
        </w:rPr>
        <w:t>年、</w:t>
      </w:r>
      <w:r>
        <w:rPr>
          <w:sz w:val="24"/>
          <w:szCs w:val="24"/>
        </w:rPr>
        <w:t xml:space="preserve"> </w:t>
      </w:r>
      <w:r>
        <w:rPr>
          <w:rFonts w:ascii="Times New Roman" w:hAnsi="Times New Roman" w:eastAsia="Times New Roman" w:cs="Times New Roman"/>
          <w:sz w:val="24"/>
          <w:szCs w:val="24"/>
        </w:rPr>
        <w:t>2016</w:t>
      </w:r>
      <w:r>
        <w:rPr>
          <w:rFonts w:ascii="Times New Roman" w:hAnsi="Times New Roman" w:eastAsia="Times New Roman" w:cs="Times New Roman"/>
          <w:spacing w:val="54"/>
          <w:w w:val="101"/>
          <w:sz w:val="24"/>
          <w:szCs w:val="24"/>
        </w:rPr>
        <w:t xml:space="preserve"> </w:t>
      </w:r>
      <w:r>
        <w:rPr>
          <w:sz w:val="24"/>
          <w:szCs w:val="24"/>
        </w:rPr>
        <w:t>年水质明显好转，施工期坝址断面基本能够满足地表</w:t>
      </w:r>
      <w:r>
        <w:rPr>
          <w:spacing w:val="-1"/>
          <w:sz w:val="24"/>
          <w:szCs w:val="24"/>
        </w:rPr>
        <w:t>水Ⅲ类标准要求，车马</w:t>
      </w:r>
    </w:p>
    <w:p w14:paraId="4480B765">
      <w:pPr>
        <w:spacing w:line="339" w:lineRule="auto"/>
        <w:rPr>
          <w:sz w:val="24"/>
          <w:szCs w:val="24"/>
        </w:rPr>
        <w:sectPr>
          <w:headerReference r:id="rId280" w:type="default"/>
          <w:footerReference r:id="rId281" w:type="default"/>
          <w:pgSz w:w="11907" w:h="16839"/>
          <w:pgMar w:top="1376" w:right="1495" w:bottom="1061" w:left="1671" w:header="999" w:footer="861" w:gutter="0"/>
          <w:cols w:space="720" w:num="1"/>
        </w:sectPr>
      </w:pPr>
    </w:p>
    <w:p w14:paraId="478B455B">
      <w:pPr>
        <w:spacing w:line="454" w:lineRule="auto"/>
        <w:rPr>
          <w:rFonts w:ascii="Arial"/>
          <w:sz w:val="21"/>
        </w:rPr>
      </w:pPr>
    </w:p>
    <w:p w14:paraId="34B7ACF1">
      <w:pPr>
        <w:pStyle w:val="2"/>
        <w:spacing w:before="78" w:line="339" w:lineRule="auto"/>
        <w:ind w:left="40" w:right="88" w:firstLine="1"/>
        <w:rPr>
          <w:sz w:val="24"/>
          <w:szCs w:val="24"/>
        </w:rPr>
      </w:pPr>
      <w:r>
        <w:rPr>
          <w:spacing w:val="2"/>
          <w:sz w:val="24"/>
          <w:szCs w:val="24"/>
        </w:rPr>
        <w:t>碧水库主体工程建设未对坝址断面水质造成明显不利影响，由于库区污染治理的</w:t>
      </w:r>
      <w:r>
        <w:rPr>
          <w:spacing w:val="-3"/>
          <w:sz w:val="24"/>
          <w:szCs w:val="24"/>
        </w:rPr>
        <w:t>逐步实施，流域内水质状况有所改善。</w:t>
      </w:r>
    </w:p>
    <w:p w14:paraId="4AEFA3E9">
      <w:pPr>
        <w:pStyle w:val="2"/>
        <w:spacing w:line="235"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）陆生生态影响</w:t>
      </w:r>
    </w:p>
    <w:p w14:paraId="18BBC36A">
      <w:pPr>
        <w:pStyle w:val="2"/>
        <w:spacing w:before="130" w:line="339" w:lineRule="auto"/>
        <w:ind w:left="39" w:firstLine="481"/>
        <w:jc w:val="both"/>
        <w:rPr>
          <w:sz w:val="24"/>
          <w:szCs w:val="24"/>
        </w:rPr>
      </w:pPr>
      <w:r>
        <w:rPr>
          <w:spacing w:val="3"/>
          <w:sz w:val="24"/>
          <w:szCs w:val="24"/>
        </w:rPr>
        <w:t>调查范围内植被分布情况与环评阶段基本一致，根据环评阶段和</w:t>
      </w:r>
      <w:r>
        <w:rPr>
          <w:spacing w:val="2"/>
          <w:sz w:val="24"/>
          <w:szCs w:val="24"/>
        </w:rPr>
        <w:t>施工期调查</w:t>
      </w:r>
      <w:r>
        <w:rPr>
          <w:spacing w:val="-4"/>
          <w:sz w:val="24"/>
          <w:szCs w:val="24"/>
        </w:rPr>
        <w:t>结果对比分析，总体来说工程建设未改变区域内陆生动物种类组成和区系，</w:t>
      </w:r>
      <w:r>
        <w:rPr>
          <w:spacing w:val="-5"/>
          <w:sz w:val="24"/>
          <w:szCs w:val="24"/>
        </w:rPr>
        <w:t>对动物</w:t>
      </w:r>
      <w:r>
        <w:rPr>
          <w:spacing w:val="-2"/>
          <w:sz w:val="24"/>
          <w:szCs w:val="24"/>
        </w:rPr>
        <w:t>的影响有限。施工期调查期间陆生保护物种增加了豹猫（兽类）、鸟类白腹锦鸡、</w:t>
      </w:r>
      <w:r>
        <w:rPr>
          <w:spacing w:val="-1"/>
          <w:sz w:val="24"/>
          <w:szCs w:val="24"/>
        </w:rPr>
        <w:t>褐翅鸦鹃、领角鸮、斑头鸺鹠和眼镜王蛇（爬行类）</w:t>
      </w:r>
      <w:r>
        <w:rPr>
          <w:rFonts w:ascii="Times New Roman" w:hAnsi="Times New Roman" w:eastAsia="Times New Roman" w:cs="Times New Roman"/>
          <w:spacing w:val="-1"/>
          <w:sz w:val="24"/>
          <w:szCs w:val="24"/>
        </w:rPr>
        <w:t xml:space="preserve">6 </w:t>
      </w:r>
      <w:r>
        <w:rPr>
          <w:spacing w:val="-1"/>
          <w:sz w:val="24"/>
          <w:szCs w:val="24"/>
        </w:rPr>
        <w:t>种。</w:t>
      </w:r>
    </w:p>
    <w:p w14:paraId="41D48499">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）水生生态影响</w:t>
      </w:r>
    </w:p>
    <w:p w14:paraId="163910BC">
      <w:pPr>
        <w:pStyle w:val="2"/>
        <w:spacing w:before="139" w:line="337" w:lineRule="auto"/>
        <w:ind w:left="39" w:right="82" w:firstLine="482"/>
        <w:jc w:val="both"/>
        <w:rPr>
          <w:sz w:val="24"/>
          <w:szCs w:val="24"/>
        </w:rPr>
      </w:pPr>
      <w:r>
        <w:rPr>
          <w:spacing w:val="3"/>
          <w:sz w:val="24"/>
          <w:szCs w:val="24"/>
        </w:rPr>
        <w:t>工程建设期间较环评阶段鱼类物种数量无明显减少。环评</w:t>
      </w:r>
      <w:r>
        <w:rPr>
          <w:spacing w:val="2"/>
          <w:sz w:val="24"/>
          <w:szCs w:val="24"/>
        </w:rPr>
        <w:t>阶段水生生态调查</w:t>
      </w:r>
      <w:r>
        <w:rPr>
          <w:spacing w:val="-1"/>
          <w:sz w:val="24"/>
          <w:szCs w:val="24"/>
        </w:rPr>
        <w:t xml:space="preserve">曾在白塔河支流捕捞到 </w:t>
      </w:r>
      <w:r>
        <w:rPr>
          <w:rFonts w:ascii="Times New Roman" w:hAnsi="Times New Roman" w:eastAsia="Times New Roman" w:cs="Times New Roman"/>
          <w:spacing w:val="-1"/>
          <w:sz w:val="24"/>
          <w:szCs w:val="24"/>
        </w:rPr>
        <w:t xml:space="preserve">2  </w:t>
      </w:r>
      <w:r>
        <w:rPr>
          <w:spacing w:val="-1"/>
          <w:sz w:val="24"/>
          <w:szCs w:val="24"/>
        </w:rPr>
        <w:t>尾滇池金线鲃，施工期水生生态调查期间未捕捞到滇池</w:t>
      </w:r>
      <w:r>
        <w:rPr>
          <w:spacing w:val="-4"/>
          <w:sz w:val="24"/>
          <w:szCs w:val="24"/>
        </w:rPr>
        <w:t>金线鲃，下阶段应重点关注滇池金线䰾的生存情况。滇池金线鲃是国家Ⅱ级</w:t>
      </w:r>
      <w:r>
        <w:rPr>
          <w:spacing w:val="-5"/>
          <w:sz w:val="24"/>
          <w:szCs w:val="24"/>
        </w:rPr>
        <w:t>保护鱼</w:t>
      </w:r>
      <w:r>
        <w:rPr>
          <w:spacing w:val="-1"/>
          <w:sz w:val="24"/>
          <w:szCs w:val="24"/>
        </w:rPr>
        <w:t>类，也是本工程配套鱼类增殖站的放流对象之一。</w:t>
      </w:r>
    </w:p>
    <w:p w14:paraId="08696CB9">
      <w:pPr>
        <w:pStyle w:val="2"/>
        <w:spacing w:before="5"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）环境空气影响</w:t>
      </w:r>
    </w:p>
    <w:p w14:paraId="0A0110B6">
      <w:pPr>
        <w:pStyle w:val="2"/>
        <w:spacing w:before="137" w:line="338" w:lineRule="auto"/>
        <w:ind w:left="38" w:right="82" w:firstLine="480"/>
        <w:jc w:val="both"/>
        <w:rPr>
          <w:sz w:val="24"/>
          <w:szCs w:val="24"/>
        </w:rPr>
      </w:pPr>
      <w:r>
        <w:rPr>
          <w:spacing w:val="3"/>
          <w:sz w:val="24"/>
          <w:szCs w:val="24"/>
        </w:rPr>
        <w:t>施工期主要施工作业区污染物排放未出现超标现象，调查区各环境</w:t>
      </w:r>
      <w:r>
        <w:rPr>
          <w:spacing w:val="2"/>
          <w:sz w:val="24"/>
          <w:szCs w:val="24"/>
        </w:rPr>
        <w:t>空气敏感</w:t>
      </w:r>
      <w:r>
        <w:rPr>
          <w:spacing w:val="-8"/>
          <w:sz w:val="24"/>
          <w:szCs w:val="24"/>
        </w:rPr>
        <w:t>点的环境空气质量基本满足《环境空气质量标准》（</w:t>
      </w:r>
      <w:r>
        <w:rPr>
          <w:rFonts w:ascii="Times New Roman" w:hAnsi="Times New Roman" w:eastAsia="Times New Roman" w:cs="Times New Roman"/>
          <w:spacing w:val="-8"/>
          <w:sz w:val="24"/>
          <w:szCs w:val="24"/>
        </w:rPr>
        <w:t>GB3095-2012</w:t>
      </w:r>
      <w:r>
        <w:rPr>
          <w:spacing w:val="-8"/>
          <w:sz w:val="24"/>
          <w:szCs w:val="24"/>
        </w:rPr>
        <w:t>）二级标准，与工</w:t>
      </w:r>
      <w:r>
        <w:rPr>
          <w:spacing w:val="-4"/>
          <w:sz w:val="24"/>
          <w:szCs w:val="24"/>
        </w:rPr>
        <w:t>程开工前相比未发生明显下降。因此，工程建设未对区域环境空气质量产生明</w:t>
      </w:r>
      <w:r>
        <w:rPr>
          <w:spacing w:val="-5"/>
          <w:sz w:val="24"/>
          <w:szCs w:val="24"/>
        </w:rPr>
        <w:t>显不</w:t>
      </w:r>
      <w:r>
        <w:rPr>
          <w:spacing w:val="-4"/>
          <w:sz w:val="24"/>
          <w:szCs w:val="24"/>
        </w:rPr>
        <w:t>利影响，鉴于施工期间个别点位出现瞬时超标现象，工程应进一步加强管理</w:t>
      </w:r>
      <w:r>
        <w:rPr>
          <w:spacing w:val="-5"/>
          <w:sz w:val="24"/>
          <w:szCs w:val="24"/>
        </w:rPr>
        <w:t>，对裸</w:t>
      </w:r>
      <w:r>
        <w:rPr>
          <w:spacing w:val="-1"/>
          <w:sz w:val="24"/>
          <w:szCs w:val="24"/>
        </w:rPr>
        <w:t>露地面及时恢复，大风天气增加洒水次数。</w:t>
      </w:r>
    </w:p>
    <w:p w14:paraId="58284A68">
      <w:pPr>
        <w:pStyle w:val="2"/>
        <w:spacing w:before="2"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）声环境影响</w:t>
      </w:r>
    </w:p>
    <w:p w14:paraId="2686F12D">
      <w:pPr>
        <w:pStyle w:val="2"/>
        <w:spacing w:before="134" w:line="339" w:lineRule="auto"/>
        <w:ind w:left="35" w:right="81" w:firstLine="487"/>
        <w:jc w:val="both"/>
        <w:rPr>
          <w:sz w:val="24"/>
          <w:szCs w:val="24"/>
        </w:rPr>
      </w:pPr>
      <w:r>
        <w:rPr>
          <w:spacing w:val="-4"/>
          <w:sz w:val="24"/>
          <w:szCs w:val="24"/>
        </w:rPr>
        <w:t>工程施工期间，除枢纽区外，大部分在隧洞内施工</w:t>
      </w:r>
      <w:r>
        <w:rPr>
          <w:spacing w:val="-5"/>
          <w:sz w:val="24"/>
          <w:szCs w:val="24"/>
        </w:rPr>
        <w:t>，主要施工场区、进场公路</w:t>
      </w:r>
      <w:r>
        <w:rPr>
          <w:spacing w:val="-4"/>
          <w:sz w:val="24"/>
          <w:szCs w:val="24"/>
        </w:rPr>
        <w:t>场界噪声均可满足施工场界噪声标准，根据监测结果，周边声环境保护点声环境质</w:t>
      </w:r>
      <w:r>
        <w:rPr>
          <w:spacing w:val="-2"/>
          <w:sz w:val="24"/>
          <w:szCs w:val="24"/>
        </w:rPr>
        <w:t>量较环评阶段未出现明显变化，声环境质量能达到《声环境质量标准》（</w:t>
      </w:r>
      <w:r>
        <w:rPr>
          <w:rFonts w:ascii="Times New Roman" w:hAnsi="Times New Roman" w:eastAsia="Times New Roman" w:cs="Times New Roman"/>
          <w:spacing w:val="-2"/>
          <w:sz w:val="24"/>
          <w:szCs w:val="24"/>
        </w:rPr>
        <w:t>GB3096-</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2008</w:t>
      </w:r>
      <w:r>
        <w:rPr>
          <w:spacing w:val="-1"/>
          <w:sz w:val="24"/>
          <w:szCs w:val="24"/>
        </w:rPr>
        <w:t>）</w:t>
      </w:r>
      <w:r>
        <w:rPr>
          <w:rFonts w:ascii="Times New Roman" w:hAnsi="Times New Roman" w:eastAsia="Times New Roman" w:cs="Times New Roman"/>
          <w:spacing w:val="-1"/>
          <w:sz w:val="24"/>
          <w:szCs w:val="24"/>
        </w:rPr>
        <w:t xml:space="preserve">1 </w:t>
      </w:r>
      <w:r>
        <w:rPr>
          <w:spacing w:val="-1"/>
          <w:sz w:val="24"/>
          <w:szCs w:val="24"/>
        </w:rPr>
        <w:t>类标准。因此，工程施工未对调查区声环境质量造成明显影响。</w:t>
      </w:r>
    </w:p>
    <w:p w14:paraId="630FCC5C">
      <w:pPr>
        <w:pStyle w:val="2"/>
        <w:spacing w:line="234"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6</w:t>
      </w:r>
      <w:r>
        <w:rPr>
          <w:b/>
          <w:bCs/>
          <w:spacing w:val="-4"/>
          <w:sz w:val="24"/>
          <w:szCs w:val="24"/>
        </w:rPr>
        <w:t>）固体废物影响</w:t>
      </w:r>
    </w:p>
    <w:p w14:paraId="21CEAD4C">
      <w:pPr>
        <w:pStyle w:val="2"/>
        <w:spacing w:before="133" w:line="339" w:lineRule="auto"/>
        <w:ind w:left="40" w:right="83" w:firstLine="481"/>
        <w:jc w:val="both"/>
        <w:rPr>
          <w:sz w:val="24"/>
          <w:szCs w:val="24"/>
        </w:rPr>
      </w:pPr>
      <w:r>
        <w:rPr>
          <w:spacing w:val="-4"/>
          <w:sz w:val="24"/>
          <w:szCs w:val="24"/>
        </w:rPr>
        <w:t>工程建设过程中，参建人员生活垃圾通过收集</w:t>
      </w:r>
      <w:r>
        <w:rPr>
          <w:spacing w:val="-5"/>
          <w:sz w:val="24"/>
          <w:szCs w:val="24"/>
        </w:rPr>
        <w:t>、外运后纳入马龙区垃圾处理体</w:t>
      </w:r>
      <w:r>
        <w:rPr>
          <w:spacing w:val="-4"/>
          <w:sz w:val="24"/>
          <w:szCs w:val="24"/>
        </w:rPr>
        <w:t>系一并处理；施工过程中对产生的各类有回收价值废弃物进行了回收利</w:t>
      </w:r>
      <w:r>
        <w:rPr>
          <w:spacing w:val="-5"/>
          <w:sz w:val="24"/>
          <w:szCs w:val="24"/>
        </w:rPr>
        <w:t>用，其余废</w:t>
      </w:r>
      <w:r>
        <w:rPr>
          <w:spacing w:val="-6"/>
          <w:sz w:val="24"/>
          <w:szCs w:val="24"/>
        </w:rPr>
        <w:t>弃物作为弃渣运往渣场堆存。总体而言，</w:t>
      </w:r>
      <w:r>
        <w:rPr>
          <w:spacing w:val="-45"/>
          <w:sz w:val="24"/>
          <w:szCs w:val="24"/>
        </w:rPr>
        <w:t xml:space="preserve"> </w:t>
      </w:r>
      <w:r>
        <w:rPr>
          <w:spacing w:val="-6"/>
          <w:sz w:val="24"/>
          <w:szCs w:val="24"/>
        </w:rPr>
        <w:t>工程施工阶段，工程区</w:t>
      </w:r>
      <w:r>
        <w:rPr>
          <w:spacing w:val="-7"/>
          <w:sz w:val="24"/>
          <w:szCs w:val="24"/>
        </w:rPr>
        <w:t>范围内固体废物基</w:t>
      </w:r>
      <w:r>
        <w:rPr>
          <w:spacing w:val="-1"/>
          <w:sz w:val="24"/>
          <w:szCs w:val="24"/>
        </w:rPr>
        <w:t>本得到了有效处置，环境卫生面貌较好。</w:t>
      </w:r>
    </w:p>
    <w:p w14:paraId="5443F427">
      <w:pPr>
        <w:pStyle w:val="2"/>
        <w:spacing w:line="233"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7</w:t>
      </w:r>
      <w:r>
        <w:rPr>
          <w:b/>
          <w:bCs/>
          <w:spacing w:val="-4"/>
          <w:sz w:val="24"/>
          <w:szCs w:val="24"/>
        </w:rPr>
        <w:t>）人群健康影响</w:t>
      </w:r>
    </w:p>
    <w:p w14:paraId="3F4C4AED">
      <w:pPr>
        <w:pStyle w:val="2"/>
        <w:spacing w:before="138" w:line="233" w:lineRule="auto"/>
        <w:ind w:left="522"/>
        <w:rPr>
          <w:sz w:val="24"/>
          <w:szCs w:val="24"/>
        </w:rPr>
      </w:pPr>
      <w:r>
        <w:rPr>
          <w:spacing w:val="-1"/>
          <w:sz w:val="24"/>
          <w:szCs w:val="24"/>
        </w:rPr>
        <w:t>工程建设期间对施工营地饮用水定期开展水质监测，</w:t>
      </w:r>
      <w:r>
        <w:rPr>
          <w:rFonts w:ascii="Times New Roman" w:hAnsi="Times New Roman" w:eastAsia="Times New Roman" w:cs="Times New Roman"/>
          <w:spacing w:val="-1"/>
          <w:sz w:val="24"/>
          <w:szCs w:val="24"/>
        </w:rPr>
        <w:t>2019</w:t>
      </w:r>
      <w:r>
        <w:rPr>
          <w:rFonts w:ascii="Times New Roman" w:hAnsi="Times New Roman" w:eastAsia="Times New Roman" w:cs="Times New Roman"/>
          <w:spacing w:val="66"/>
          <w:w w:val="101"/>
          <w:sz w:val="24"/>
          <w:szCs w:val="24"/>
        </w:rPr>
        <w:t xml:space="preserve"> </w:t>
      </w:r>
      <w:r>
        <w:rPr>
          <w:spacing w:val="-1"/>
          <w:sz w:val="24"/>
          <w:szCs w:val="24"/>
        </w:rPr>
        <w:t>年监测初期水质较</w:t>
      </w:r>
    </w:p>
    <w:p w14:paraId="2E29FD6E">
      <w:pPr>
        <w:spacing w:line="233" w:lineRule="auto"/>
        <w:rPr>
          <w:sz w:val="24"/>
          <w:szCs w:val="24"/>
        </w:rPr>
        <w:sectPr>
          <w:headerReference r:id="rId282" w:type="default"/>
          <w:footerReference r:id="rId283" w:type="default"/>
          <w:pgSz w:w="11907" w:h="16839"/>
          <w:pgMar w:top="1376" w:right="1616" w:bottom="1061" w:left="1671" w:header="999" w:footer="861" w:gutter="0"/>
          <w:cols w:space="720" w:num="1"/>
        </w:sectPr>
      </w:pPr>
    </w:p>
    <w:p w14:paraId="1A115482">
      <w:pPr>
        <w:spacing w:line="456" w:lineRule="auto"/>
        <w:rPr>
          <w:rFonts w:ascii="Arial"/>
          <w:sz w:val="21"/>
        </w:rPr>
      </w:pPr>
    </w:p>
    <w:p w14:paraId="0348BBEE">
      <w:pPr>
        <w:pStyle w:val="2"/>
        <w:spacing w:before="78" w:line="336" w:lineRule="auto"/>
        <w:ind w:left="40" w:firstLine="1"/>
        <w:jc w:val="both"/>
        <w:rPr>
          <w:sz w:val="24"/>
          <w:szCs w:val="24"/>
        </w:rPr>
      </w:pPr>
      <w:r>
        <w:rPr>
          <w:sz w:val="24"/>
          <w:szCs w:val="24"/>
        </w:rPr>
        <w:t>差，</w:t>
      </w:r>
      <w:r>
        <w:rPr>
          <w:rFonts w:ascii="Times New Roman" w:hAnsi="Times New Roman" w:eastAsia="Times New Roman" w:cs="Times New Roman"/>
          <w:sz w:val="24"/>
          <w:szCs w:val="24"/>
        </w:rPr>
        <w:t xml:space="preserve">2020 </w:t>
      </w:r>
      <w:r>
        <w:rPr>
          <w:sz w:val="24"/>
          <w:szCs w:val="24"/>
        </w:rPr>
        <w:t>年和</w:t>
      </w:r>
      <w:r>
        <w:rPr>
          <w:rFonts w:ascii="Times New Roman" w:hAnsi="Times New Roman" w:eastAsia="Times New Roman" w:cs="Times New Roman"/>
          <w:sz w:val="24"/>
          <w:szCs w:val="24"/>
        </w:rPr>
        <w:t xml:space="preserve">2021 </w:t>
      </w:r>
      <w:r>
        <w:rPr>
          <w:sz w:val="24"/>
          <w:szCs w:val="24"/>
        </w:rPr>
        <w:t>年水质明显好转，</w:t>
      </w:r>
      <w:r>
        <w:rPr>
          <w:rFonts w:ascii="Times New Roman" w:hAnsi="Times New Roman" w:eastAsia="Times New Roman" w:cs="Times New Roman"/>
          <w:sz w:val="24"/>
          <w:szCs w:val="24"/>
        </w:rPr>
        <w:t xml:space="preserve">2021 </w:t>
      </w:r>
      <w:r>
        <w:rPr>
          <w:sz w:val="24"/>
          <w:szCs w:val="24"/>
        </w:rPr>
        <w:t>年除</w:t>
      </w:r>
      <w:r>
        <w:rPr>
          <w:spacing w:val="-44"/>
          <w:sz w:val="24"/>
          <w:szCs w:val="24"/>
        </w:rPr>
        <w:t xml:space="preserve"> </w:t>
      </w:r>
      <w:r>
        <w:rPr>
          <w:rFonts w:ascii="Times New Roman" w:hAnsi="Times New Roman" w:eastAsia="Times New Roman" w:cs="Times New Roman"/>
          <w:sz w:val="24"/>
          <w:szCs w:val="24"/>
        </w:rPr>
        <w:t>5#</w:t>
      </w:r>
      <w:r>
        <w:rPr>
          <w:sz w:val="24"/>
          <w:szCs w:val="24"/>
        </w:rPr>
        <w:t>支洞和</w:t>
      </w:r>
      <w:r>
        <w:rPr>
          <w:spacing w:val="-46"/>
          <w:sz w:val="24"/>
          <w:szCs w:val="24"/>
        </w:rPr>
        <w:t xml:space="preserve"> </w:t>
      </w:r>
      <w:r>
        <w:rPr>
          <w:rFonts w:ascii="Times New Roman" w:hAnsi="Times New Roman" w:eastAsia="Times New Roman" w:cs="Times New Roman"/>
          <w:sz w:val="24"/>
          <w:szCs w:val="24"/>
        </w:rPr>
        <w:t>8#</w:t>
      </w:r>
      <w:r>
        <w:rPr>
          <w:sz w:val="24"/>
          <w:szCs w:val="24"/>
        </w:rPr>
        <w:t>支洞出现总大肠菌群</w:t>
      </w:r>
      <w:r>
        <w:rPr>
          <w:spacing w:val="-3"/>
          <w:sz w:val="24"/>
          <w:szCs w:val="24"/>
        </w:rPr>
        <w:t>和菌落总数超标外，其余指标均能满足《生活饮用水水源水质</w:t>
      </w:r>
      <w:r>
        <w:rPr>
          <w:spacing w:val="-4"/>
          <w:sz w:val="24"/>
          <w:szCs w:val="24"/>
        </w:rPr>
        <w:t>标准》（</w:t>
      </w:r>
      <w:r>
        <w:rPr>
          <w:rFonts w:ascii="Times New Roman" w:hAnsi="Times New Roman" w:eastAsia="Times New Roman" w:cs="Times New Roman"/>
          <w:spacing w:val="-4"/>
          <w:sz w:val="24"/>
          <w:szCs w:val="24"/>
        </w:rPr>
        <w:t>CJ3020-93</w:t>
      </w:r>
      <w:r>
        <w:rPr>
          <w:spacing w:val="-4"/>
          <w:sz w:val="24"/>
          <w:szCs w:val="24"/>
        </w:rPr>
        <w:t>）的限值要求。各施工单位按施工需要向现场工作人员发放劳动防护用品</w:t>
      </w:r>
      <w:r>
        <w:rPr>
          <w:spacing w:val="-5"/>
          <w:sz w:val="24"/>
          <w:szCs w:val="24"/>
        </w:rPr>
        <w:t>，并且每年</w:t>
      </w:r>
      <w:r>
        <w:rPr>
          <w:spacing w:val="-3"/>
          <w:sz w:val="24"/>
          <w:szCs w:val="24"/>
        </w:rPr>
        <w:t>按比例对施工人员及所有食堂人员进行体检。</w:t>
      </w:r>
    </w:p>
    <w:p w14:paraId="5FF9D8F0">
      <w:pPr>
        <w:pStyle w:val="2"/>
        <w:spacing w:before="11" w:line="235" w:lineRule="auto"/>
        <w:ind w:left="528"/>
        <w:rPr>
          <w:sz w:val="24"/>
          <w:szCs w:val="24"/>
        </w:rPr>
      </w:pPr>
      <w:r>
        <w:rPr>
          <w:b/>
          <w:bCs/>
          <w:spacing w:val="-4"/>
          <w:sz w:val="24"/>
          <w:szCs w:val="24"/>
        </w:rPr>
        <w:t>（</w:t>
      </w:r>
      <w:r>
        <w:rPr>
          <w:rFonts w:ascii="Times New Roman" w:hAnsi="Times New Roman" w:eastAsia="Times New Roman" w:cs="Times New Roman"/>
          <w:b/>
          <w:bCs/>
          <w:spacing w:val="-4"/>
          <w:sz w:val="24"/>
          <w:szCs w:val="24"/>
        </w:rPr>
        <w:t>8</w:t>
      </w:r>
      <w:r>
        <w:rPr>
          <w:b/>
          <w:bCs/>
          <w:spacing w:val="-4"/>
          <w:sz w:val="24"/>
          <w:szCs w:val="24"/>
        </w:rPr>
        <w:t>）移民安置区影响</w:t>
      </w:r>
    </w:p>
    <w:p w14:paraId="22EBB1CB">
      <w:pPr>
        <w:pStyle w:val="2"/>
        <w:spacing w:before="133" w:line="340" w:lineRule="auto"/>
        <w:ind w:left="39" w:right="102" w:firstLine="480"/>
        <w:jc w:val="both"/>
        <w:rPr>
          <w:sz w:val="24"/>
          <w:szCs w:val="24"/>
        </w:rPr>
      </w:pPr>
      <w:r>
        <w:rPr>
          <w:spacing w:val="-4"/>
          <w:sz w:val="24"/>
          <w:szCs w:val="24"/>
        </w:rPr>
        <w:t>移民集中搬迁安置点基本均已建成，安置点建设中</w:t>
      </w:r>
      <w:r>
        <w:rPr>
          <w:spacing w:val="-5"/>
          <w:sz w:val="24"/>
          <w:szCs w:val="24"/>
        </w:rPr>
        <w:t>配套了相应水保措施、路面</w:t>
      </w:r>
      <w:r>
        <w:rPr>
          <w:spacing w:val="-7"/>
          <w:sz w:val="24"/>
          <w:szCs w:val="24"/>
        </w:rPr>
        <w:t>硬化措施、绿化措施，污水处理设施、生活垃圾分类收集和转运设施，</w:t>
      </w:r>
      <w:r>
        <w:rPr>
          <w:spacing w:val="-8"/>
          <w:sz w:val="24"/>
          <w:szCs w:val="24"/>
        </w:rPr>
        <w:t xml:space="preserve"> 移民安置区</w:t>
      </w:r>
      <w:r>
        <w:rPr>
          <w:spacing w:val="-2"/>
          <w:sz w:val="24"/>
          <w:szCs w:val="24"/>
        </w:rPr>
        <w:t>环保措施已通过专项验收，因此对安置点所在地生态影响有限。</w:t>
      </w:r>
    </w:p>
    <w:p w14:paraId="769B07E5">
      <w:pPr>
        <w:pStyle w:val="2"/>
        <w:spacing w:before="63" w:line="234" w:lineRule="auto"/>
        <w:ind w:left="40"/>
        <w:rPr>
          <w:sz w:val="30"/>
          <w:szCs w:val="30"/>
        </w:rPr>
      </w:pPr>
      <w:bookmarkStart w:id="35" w:name="bookmark32"/>
      <w:bookmarkEnd w:id="35"/>
      <w:r>
        <w:rPr>
          <w:rFonts w:ascii="Times New Roman" w:hAnsi="Times New Roman" w:eastAsia="Times New Roman" w:cs="Times New Roman"/>
          <w:b/>
          <w:bCs/>
          <w:spacing w:val="-4"/>
          <w:sz w:val="30"/>
          <w:szCs w:val="30"/>
        </w:rPr>
        <w:t>7.3</w:t>
      </w:r>
      <w:r>
        <w:rPr>
          <w:rFonts w:ascii="Times New Roman" w:hAnsi="Times New Roman" w:eastAsia="Times New Roman" w:cs="Times New Roman"/>
          <w:b/>
          <w:bCs/>
          <w:spacing w:val="32"/>
          <w:w w:val="101"/>
          <w:sz w:val="30"/>
          <w:szCs w:val="30"/>
        </w:rPr>
        <w:t xml:space="preserve"> </w:t>
      </w:r>
      <w:r>
        <w:rPr>
          <w:b/>
          <w:bCs/>
          <w:spacing w:val="-4"/>
          <w:sz w:val="30"/>
          <w:szCs w:val="30"/>
        </w:rPr>
        <w:t>环境保护设施落实情况调查</w:t>
      </w:r>
    </w:p>
    <w:p w14:paraId="5803BFD0">
      <w:pPr>
        <w:pStyle w:val="2"/>
        <w:spacing w:before="198" w:line="226" w:lineRule="auto"/>
        <w:ind w:left="35"/>
        <w:rPr>
          <w:sz w:val="27"/>
          <w:szCs w:val="27"/>
        </w:rPr>
      </w:pPr>
      <w:r>
        <w:rPr>
          <w:rFonts w:ascii="Arial" w:hAnsi="Arial" w:eastAsia="Arial" w:cs="Arial"/>
          <w:spacing w:val="7"/>
          <w:position w:val="2"/>
          <w:sz w:val="21"/>
          <w:szCs w:val="21"/>
        </w:rPr>
        <w:t xml:space="preserve">7.3.1     </w:t>
      </w:r>
      <w:r>
        <w:rPr>
          <w:b/>
          <w:bCs/>
          <w:spacing w:val="7"/>
          <w:sz w:val="27"/>
          <w:szCs w:val="27"/>
        </w:rPr>
        <w:t>工程环境保护“三同时”执行情况</w:t>
      </w:r>
    </w:p>
    <w:p w14:paraId="197F8A65">
      <w:pPr>
        <w:pStyle w:val="2"/>
        <w:spacing w:before="265" w:line="339" w:lineRule="auto"/>
        <w:ind w:left="39" w:right="104" w:firstLine="481"/>
        <w:jc w:val="both"/>
        <w:rPr>
          <w:sz w:val="24"/>
          <w:szCs w:val="24"/>
        </w:rPr>
      </w:pPr>
      <w:r>
        <w:rPr>
          <w:spacing w:val="3"/>
          <w:sz w:val="24"/>
          <w:szCs w:val="24"/>
        </w:rPr>
        <w:t>车马碧水库工程设计阶段同步开展了环境保护</w:t>
      </w:r>
      <w:r>
        <w:rPr>
          <w:spacing w:val="2"/>
          <w:sz w:val="24"/>
          <w:szCs w:val="24"/>
        </w:rPr>
        <w:t>设计工作，完成了工程初步设</w:t>
      </w:r>
      <w:r>
        <w:rPr>
          <w:spacing w:val="-4"/>
          <w:sz w:val="24"/>
          <w:szCs w:val="24"/>
        </w:rPr>
        <w:t>计环保篇、移民安置区环保措施施工招标设计、编制蓄水计划和调度方案等</w:t>
      </w:r>
      <w:r>
        <w:rPr>
          <w:spacing w:val="-5"/>
          <w:sz w:val="24"/>
          <w:szCs w:val="24"/>
        </w:rPr>
        <w:t>。工程</w:t>
      </w:r>
      <w:r>
        <w:rPr>
          <w:spacing w:val="-4"/>
          <w:sz w:val="24"/>
          <w:szCs w:val="24"/>
        </w:rPr>
        <w:t>的废水处理设施、固体废物处置措施、噪声和大气污染防治措施等总体上做</w:t>
      </w:r>
      <w:r>
        <w:rPr>
          <w:spacing w:val="-5"/>
          <w:sz w:val="24"/>
          <w:szCs w:val="24"/>
        </w:rPr>
        <w:t>到了与主体工程同时施工，并同时投入使用，工程建设过程中未产生明显负面环境影响。</w:t>
      </w:r>
    </w:p>
    <w:p w14:paraId="00A2852C">
      <w:pPr>
        <w:pStyle w:val="2"/>
        <w:spacing w:before="81" w:line="227" w:lineRule="auto"/>
        <w:ind w:left="35"/>
        <w:rPr>
          <w:sz w:val="27"/>
          <w:szCs w:val="27"/>
        </w:rPr>
      </w:pPr>
      <w:r>
        <w:rPr>
          <w:rFonts w:ascii="Arial" w:hAnsi="Arial" w:eastAsia="Arial" w:cs="Arial"/>
          <w:spacing w:val="9"/>
          <w:position w:val="2"/>
          <w:sz w:val="21"/>
          <w:szCs w:val="21"/>
        </w:rPr>
        <w:t>7.3.2</w:t>
      </w:r>
      <w:r>
        <w:rPr>
          <w:rFonts w:ascii="Arial" w:hAnsi="Arial" w:eastAsia="Arial" w:cs="Arial"/>
          <w:spacing w:val="3"/>
          <w:position w:val="2"/>
          <w:sz w:val="21"/>
          <w:szCs w:val="21"/>
        </w:rPr>
        <w:t xml:space="preserve">     </w:t>
      </w:r>
      <w:r>
        <w:rPr>
          <w:b/>
          <w:bCs/>
          <w:spacing w:val="9"/>
          <w:position w:val="-1"/>
          <w:sz w:val="27"/>
          <w:szCs w:val="27"/>
        </w:rPr>
        <w:t>生态保护工程和设施</w:t>
      </w:r>
    </w:p>
    <w:p w14:paraId="476E88A2">
      <w:pPr>
        <w:pStyle w:val="2"/>
        <w:spacing w:before="259" w:line="338" w:lineRule="auto"/>
        <w:ind w:left="38" w:right="101" w:firstLine="482"/>
        <w:jc w:val="both"/>
        <w:rPr>
          <w:sz w:val="24"/>
          <w:szCs w:val="24"/>
        </w:rPr>
      </w:pPr>
      <w:r>
        <w:rPr>
          <w:spacing w:val="3"/>
          <w:sz w:val="24"/>
          <w:szCs w:val="24"/>
        </w:rPr>
        <w:t>车马碧水库已完成蓄水期库区清理专项验收和移民建</w:t>
      </w:r>
      <w:r>
        <w:rPr>
          <w:spacing w:val="2"/>
          <w:sz w:val="24"/>
          <w:szCs w:val="24"/>
        </w:rPr>
        <w:t>设征地集中安置专项验</w:t>
      </w:r>
      <w:r>
        <w:rPr>
          <w:spacing w:val="-4"/>
          <w:sz w:val="24"/>
          <w:szCs w:val="24"/>
        </w:rPr>
        <w:t>收。已制定《云南省曲靖市车马碧水库工程蓄水计划和调度方案》，并在初期蓄水计划和正常运行调度方案中均考虑了下泄生态流量调度。坝前生态、灌溉分层</w:t>
      </w:r>
      <w:r>
        <w:rPr>
          <w:spacing w:val="-5"/>
          <w:sz w:val="24"/>
          <w:szCs w:val="24"/>
        </w:rPr>
        <w:t>取水</w:t>
      </w:r>
      <w:r>
        <w:rPr>
          <w:spacing w:val="-1"/>
          <w:sz w:val="24"/>
          <w:szCs w:val="24"/>
        </w:rPr>
        <w:t xml:space="preserve">设施和库中输水工程分层取水设施已与主体工程同步建设完成。移民安置区 </w:t>
      </w:r>
      <w:r>
        <w:rPr>
          <w:rFonts w:ascii="Times New Roman" w:hAnsi="Times New Roman" w:eastAsia="Times New Roman" w:cs="Times New Roman"/>
          <w:spacing w:val="-1"/>
          <w:sz w:val="24"/>
          <w:szCs w:val="24"/>
        </w:rPr>
        <w:t xml:space="preserve">4  </w:t>
      </w:r>
      <w:r>
        <w:rPr>
          <w:spacing w:val="-1"/>
          <w:sz w:val="24"/>
          <w:szCs w:val="24"/>
        </w:rPr>
        <w:t>个渣场基本已恢复植被，输水工程区沿线</w:t>
      </w:r>
      <w:r>
        <w:rPr>
          <w:spacing w:val="-32"/>
          <w:sz w:val="24"/>
          <w:szCs w:val="24"/>
        </w:rPr>
        <w:t xml:space="preserve"> </w:t>
      </w:r>
      <w:r>
        <w:rPr>
          <w:rFonts w:ascii="Times New Roman" w:hAnsi="Times New Roman" w:eastAsia="Times New Roman" w:cs="Times New Roman"/>
          <w:spacing w:val="-1"/>
          <w:sz w:val="24"/>
          <w:szCs w:val="24"/>
        </w:rPr>
        <w:t xml:space="preserve">10 </w:t>
      </w:r>
      <w:r>
        <w:rPr>
          <w:spacing w:val="-2"/>
          <w:sz w:val="24"/>
          <w:szCs w:val="24"/>
        </w:rPr>
        <w:t>个渣场已开始植被恢复工作，枢纽区渣</w:t>
      </w:r>
      <w:r>
        <w:rPr>
          <w:spacing w:val="-1"/>
          <w:sz w:val="24"/>
          <w:szCs w:val="24"/>
        </w:rPr>
        <w:t>场及临时占地目前正在使用，使用完毕随即</w:t>
      </w:r>
      <w:r>
        <w:rPr>
          <w:spacing w:val="-2"/>
          <w:sz w:val="24"/>
          <w:szCs w:val="24"/>
        </w:rPr>
        <w:t>开展植被恢复工作。</w:t>
      </w:r>
    </w:p>
    <w:p w14:paraId="0B256B18">
      <w:pPr>
        <w:pStyle w:val="2"/>
        <w:spacing w:before="4" w:line="338" w:lineRule="auto"/>
        <w:ind w:left="37" w:right="104" w:firstLine="485"/>
        <w:jc w:val="both"/>
        <w:rPr>
          <w:sz w:val="24"/>
          <w:szCs w:val="24"/>
        </w:rPr>
      </w:pPr>
      <w:r>
        <w:rPr>
          <w:spacing w:val="-4"/>
          <w:sz w:val="24"/>
          <w:szCs w:val="24"/>
        </w:rPr>
        <w:t>鱼道工程已全部贯通，进出口段和码头工程</w:t>
      </w:r>
      <w:r>
        <w:rPr>
          <w:spacing w:val="-5"/>
          <w:sz w:val="24"/>
          <w:szCs w:val="24"/>
        </w:rPr>
        <w:t>已基本建设完成。鱼类增殖站土建</w:t>
      </w:r>
      <w:r>
        <w:rPr>
          <w:spacing w:val="-1"/>
          <w:sz w:val="24"/>
          <w:szCs w:val="24"/>
        </w:rPr>
        <w:t>工程和设备安装已基本完成。旁路系统设计方案</w:t>
      </w:r>
      <w:r>
        <w:rPr>
          <w:spacing w:val="-47"/>
          <w:sz w:val="24"/>
          <w:szCs w:val="24"/>
        </w:rPr>
        <w:t xml:space="preserve"> </w:t>
      </w:r>
      <w:r>
        <w:rPr>
          <w:rFonts w:ascii="Times New Roman" w:hAnsi="Times New Roman" w:eastAsia="Times New Roman" w:cs="Times New Roman"/>
          <w:spacing w:val="-1"/>
          <w:sz w:val="24"/>
          <w:szCs w:val="24"/>
        </w:rPr>
        <w:t xml:space="preserve">2021 </w:t>
      </w:r>
      <w:r>
        <w:rPr>
          <w:spacing w:val="-1"/>
          <w:sz w:val="24"/>
          <w:szCs w:val="24"/>
        </w:rPr>
        <w:t>年底已通过专家审查，正在</w:t>
      </w:r>
      <w:r>
        <w:rPr>
          <w:spacing w:val="-4"/>
          <w:sz w:val="24"/>
          <w:szCs w:val="24"/>
        </w:rPr>
        <w:t>进行招标施工。鱼类栖息地马龙区人民政府已完成征求意见，待正式批复后开始招</w:t>
      </w:r>
      <w:r>
        <w:rPr>
          <w:spacing w:val="-2"/>
          <w:sz w:val="24"/>
          <w:szCs w:val="24"/>
        </w:rPr>
        <w:t>标施工，连通性恢复工程已完成前期征地工作。</w:t>
      </w:r>
    </w:p>
    <w:p w14:paraId="59583ECC">
      <w:pPr>
        <w:pStyle w:val="2"/>
        <w:spacing w:before="91" w:line="227" w:lineRule="auto"/>
        <w:ind w:left="35"/>
        <w:rPr>
          <w:sz w:val="27"/>
          <w:szCs w:val="27"/>
        </w:rPr>
      </w:pPr>
      <w:r>
        <w:rPr>
          <w:rFonts w:ascii="Arial" w:hAnsi="Arial" w:eastAsia="Arial" w:cs="Arial"/>
          <w:spacing w:val="9"/>
          <w:position w:val="2"/>
          <w:sz w:val="21"/>
          <w:szCs w:val="21"/>
        </w:rPr>
        <w:t>7.3.3</w:t>
      </w:r>
      <w:r>
        <w:rPr>
          <w:rFonts w:ascii="Arial" w:hAnsi="Arial" w:eastAsia="Arial" w:cs="Arial"/>
          <w:spacing w:val="3"/>
          <w:position w:val="2"/>
          <w:sz w:val="21"/>
          <w:szCs w:val="21"/>
        </w:rPr>
        <w:t xml:space="preserve">     </w:t>
      </w:r>
      <w:r>
        <w:rPr>
          <w:b/>
          <w:bCs/>
          <w:spacing w:val="9"/>
          <w:position w:val="-1"/>
          <w:sz w:val="27"/>
          <w:szCs w:val="27"/>
        </w:rPr>
        <w:t>污染防治和处置设施</w:t>
      </w:r>
    </w:p>
    <w:p w14:paraId="0AAF7532">
      <w:pPr>
        <w:pStyle w:val="2"/>
        <w:spacing w:before="263" w:line="340" w:lineRule="auto"/>
        <w:ind w:left="37" w:right="104" w:firstLine="480"/>
        <w:rPr>
          <w:sz w:val="24"/>
          <w:szCs w:val="24"/>
        </w:rPr>
      </w:pPr>
      <w:r>
        <w:rPr>
          <w:spacing w:val="-4"/>
          <w:sz w:val="24"/>
          <w:szCs w:val="24"/>
        </w:rPr>
        <w:t>施工期生产废水主要采用沉淀池、隔油池等措施处理后</w:t>
      </w:r>
      <w:r>
        <w:rPr>
          <w:spacing w:val="-5"/>
          <w:sz w:val="24"/>
          <w:szCs w:val="24"/>
        </w:rPr>
        <w:t>回用，枢纽区生活污水</w:t>
      </w:r>
      <w:r>
        <w:rPr>
          <w:spacing w:val="-4"/>
          <w:sz w:val="24"/>
          <w:szCs w:val="24"/>
        </w:rPr>
        <w:t>进入化粪池及一体化设备处理达标后回用或洒水降尘、绿化等，输水工程施工区生</w:t>
      </w:r>
    </w:p>
    <w:p w14:paraId="63F7E79E">
      <w:pPr>
        <w:spacing w:line="340" w:lineRule="auto"/>
        <w:rPr>
          <w:sz w:val="24"/>
          <w:szCs w:val="24"/>
        </w:rPr>
        <w:sectPr>
          <w:headerReference r:id="rId284" w:type="default"/>
          <w:footerReference r:id="rId285" w:type="default"/>
          <w:pgSz w:w="11907" w:h="16839"/>
          <w:pgMar w:top="1376" w:right="1596" w:bottom="1061" w:left="1671" w:header="999" w:footer="861" w:gutter="0"/>
          <w:cols w:space="720" w:num="1"/>
        </w:sectPr>
      </w:pPr>
    </w:p>
    <w:p w14:paraId="67A56DFA">
      <w:pPr>
        <w:spacing w:line="457" w:lineRule="auto"/>
        <w:rPr>
          <w:rFonts w:ascii="Arial"/>
          <w:sz w:val="21"/>
        </w:rPr>
      </w:pPr>
    </w:p>
    <w:p w14:paraId="431B0040">
      <w:pPr>
        <w:pStyle w:val="2"/>
        <w:spacing w:before="78" w:line="339" w:lineRule="auto"/>
        <w:ind w:left="39" w:right="85" w:firstLine="3"/>
        <w:jc w:val="both"/>
        <w:rPr>
          <w:sz w:val="24"/>
          <w:szCs w:val="24"/>
        </w:rPr>
      </w:pPr>
      <w:r>
        <w:rPr>
          <w:spacing w:val="2"/>
          <w:sz w:val="24"/>
          <w:szCs w:val="24"/>
        </w:rPr>
        <w:t>活污水经化粪池处理后由附近村民定期清掏，生产废水和生活污水全部经处理后</w:t>
      </w:r>
      <w:r>
        <w:rPr>
          <w:spacing w:val="-4"/>
          <w:sz w:val="24"/>
          <w:szCs w:val="24"/>
        </w:rPr>
        <w:t>回用或综合利用，不外排。各施工场区均配备了洒水车，定期通过洒水车或</w:t>
      </w:r>
      <w:r>
        <w:rPr>
          <w:spacing w:val="-5"/>
          <w:sz w:val="24"/>
          <w:szCs w:val="24"/>
        </w:rPr>
        <w:t>人工洒</w:t>
      </w:r>
      <w:r>
        <w:rPr>
          <w:spacing w:val="-4"/>
          <w:sz w:val="24"/>
          <w:szCs w:val="24"/>
        </w:rPr>
        <w:t>水降尘，对裸露地面进行苫盖。通过车辆限速、禁止鸣笛、采用低噪设备</w:t>
      </w:r>
      <w:r>
        <w:rPr>
          <w:spacing w:val="-5"/>
          <w:sz w:val="24"/>
          <w:szCs w:val="24"/>
        </w:rPr>
        <w:t>、保证设</w:t>
      </w:r>
      <w:r>
        <w:rPr>
          <w:spacing w:val="-4"/>
          <w:sz w:val="24"/>
          <w:szCs w:val="24"/>
        </w:rPr>
        <w:t>备正常运转等措施防治施工期噪声污染。各施工区生活垃圾分类暂存，定期</w:t>
      </w:r>
      <w:r>
        <w:rPr>
          <w:spacing w:val="-5"/>
          <w:sz w:val="24"/>
          <w:szCs w:val="24"/>
        </w:rPr>
        <w:t>由当地</w:t>
      </w:r>
      <w:r>
        <w:rPr>
          <w:spacing w:val="-3"/>
          <w:sz w:val="24"/>
          <w:szCs w:val="24"/>
        </w:rPr>
        <w:t>环卫系统清运并统一处理。</w:t>
      </w:r>
    </w:p>
    <w:p w14:paraId="67E7E2B6">
      <w:pPr>
        <w:pStyle w:val="2"/>
        <w:spacing w:before="63" w:line="234" w:lineRule="auto"/>
        <w:ind w:left="40"/>
        <w:rPr>
          <w:sz w:val="30"/>
          <w:szCs w:val="30"/>
        </w:rPr>
      </w:pPr>
      <w:bookmarkStart w:id="36" w:name="bookmark33"/>
      <w:bookmarkEnd w:id="36"/>
      <w:r>
        <w:rPr>
          <w:rFonts w:ascii="Times New Roman" w:hAnsi="Times New Roman" w:eastAsia="Times New Roman" w:cs="Times New Roman"/>
          <w:b/>
          <w:bCs/>
          <w:spacing w:val="-4"/>
          <w:sz w:val="30"/>
          <w:szCs w:val="30"/>
        </w:rPr>
        <w:t>7.4</w:t>
      </w:r>
      <w:r>
        <w:rPr>
          <w:rFonts w:ascii="Times New Roman" w:hAnsi="Times New Roman" w:eastAsia="Times New Roman" w:cs="Times New Roman"/>
          <w:b/>
          <w:bCs/>
          <w:spacing w:val="26"/>
          <w:sz w:val="30"/>
          <w:szCs w:val="30"/>
        </w:rPr>
        <w:t xml:space="preserve"> </w:t>
      </w:r>
      <w:r>
        <w:rPr>
          <w:b/>
          <w:bCs/>
          <w:spacing w:val="-4"/>
          <w:sz w:val="30"/>
          <w:szCs w:val="30"/>
        </w:rPr>
        <w:t>建议和后续工作要求</w:t>
      </w:r>
    </w:p>
    <w:p w14:paraId="1A6E8304">
      <w:pPr>
        <w:pStyle w:val="2"/>
        <w:spacing w:before="230" w:line="331" w:lineRule="auto"/>
        <w:ind w:left="40" w:right="86" w:firstLine="485"/>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）加快旁路系统工程的招标工作和建设进度，制定入库水质和库区水质跟</w:t>
      </w:r>
      <w:r>
        <w:rPr>
          <w:spacing w:val="-3"/>
          <w:sz w:val="24"/>
          <w:szCs w:val="24"/>
        </w:rPr>
        <w:t>踪监测计划，确保蓄水后库区水质达标。</w:t>
      </w:r>
    </w:p>
    <w:p w14:paraId="50B9B628">
      <w:pPr>
        <w:pStyle w:val="2"/>
        <w:spacing w:before="20" w:line="233" w:lineRule="auto"/>
        <w:ind w:left="525"/>
        <w:rPr>
          <w:sz w:val="24"/>
          <w:szCs w:val="24"/>
        </w:rPr>
      </w:pPr>
      <w:r>
        <w:rPr>
          <w:spacing w:val="-1"/>
          <w:sz w:val="24"/>
          <w:szCs w:val="24"/>
        </w:rPr>
        <w:t>（</w:t>
      </w:r>
      <w:r>
        <w:rPr>
          <w:rFonts w:ascii="Times New Roman" w:hAnsi="Times New Roman" w:eastAsia="Times New Roman" w:cs="Times New Roman"/>
          <w:spacing w:val="-1"/>
          <w:sz w:val="24"/>
          <w:szCs w:val="24"/>
        </w:rPr>
        <w:t>2</w:t>
      </w:r>
      <w:r>
        <w:rPr>
          <w:spacing w:val="-1"/>
          <w:sz w:val="24"/>
          <w:szCs w:val="24"/>
        </w:rPr>
        <w:t>）加快鱼类保护栖息地和河道连通性恢复工程的建设进度。</w:t>
      </w:r>
    </w:p>
    <w:p w14:paraId="13FC41E0">
      <w:pPr>
        <w:pStyle w:val="2"/>
        <w:spacing w:before="136" w:line="233" w:lineRule="auto"/>
        <w:ind w:left="525"/>
        <w:rPr>
          <w:sz w:val="24"/>
          <w:szCs w:val="24"/>
        </w:rPr>
      </w:pPr>
      <w:r>
        <w:rPr>
          <w:spacing w:val="-1"/>
          <w:sz w:val="24"/>
          <w:szCs w:val="24"/>
        </w:rPr>
        <w:t>（</w:t>
      </w:r>
      <w:r>
        <w:rPr>
          <w:rFonts w:ascii="Times New Roman" w:hAnsi="Times New Roman" w:eastAsia="Times New Roman" w:cs="Times New Roman"/>
          <w:spacing w:val="-1"/>
          <w:sz w:val="24"/>
          <w:szCs w:val="24"/>
        </w:rPr>
        <w:t>3</w:t>
      </w:r>
      <w:r>
        <w:rPr>
          <w:spacing w:val="-1"/>
          <w:sz w:val="24"/>
          <w:szCs w:val="24"/>
        </w:rPr>
        <w:t>）加快鱼类增殖站的运行进度，尽早实现增殖放流。</w:t>
      </w:r>
    </w:p>
    <w:p w14:paraId="095746BE">
      <w:pPr>
        <w:pStyle w:val="2"/>
        <w:spacing w:before="137" w:line="232" w:lineRule="auto"/>
        <w:ind w:left="525"/>
        <w:rPr>
          <w:sz w:val="24"/>
          <w:szCs w:val="24"/>
        </w:rPr>
      </w:pPr>
      <w:r>
        <w:rPr>
          <w:spacing w:val="-2"/>
          <w:sz w:val="24"/>
          <w:szCs w:val="24"/>
        </w:rPr>
        <w:t>（</w:t>
      </w:r>
      <w:r>
        <w:rPr>
          <w:rFonts w:ascii="Times New Roman" w:hAnsi="Times New Roman" w:eastAsia="Times New Roman" w:cs="Times New Roman"/>
          <w:spacing w:val="-2"/>
          <w:sz w:val="24"/>
          <w:szCs w:val="24"/>
        </w:rPr>
        <w:t>4</w:t>
      </w:r>
      <w:r>
        <w:rPr>
          <w:spacing w:val="-2"/>
          <w:sz w:val="24"/>
          <w:szCs w:val="24"/>
        </w:rPr>
        <w:t>）加快鱼道工程后期建设，制定过鱼效果监测与评估计划方案。</w:t>
      </w:r>
    </w:p>
    <w:p w14:paraId="089426DF">
      <w:pPr>
        <w:pStyle w:val="2"/>
        <w:spacing w:before="140" w:line="330" w:lineRule="auto"/>
        <w:ind w:left="43" w:right="85" w:firstLine="482"/>
        <w:rPr>
          <w:sz w:val="24"/>
          <w:szCs w:val="24"/>
        </w:rPr>
      </w:pPr>
      <w:r>
        <w:rPr>
          <w:spacing w:val="-1"/>
          <w:sz w:val="24"/>
          <w:szCs w:val="24"/>
        </w:rPr>
        <w:t>（</w:t>
      </w:r>
      <w:r>
        <w:rPr>
          <w:rFonts w:ascii="Times New Roman" w:hAnsi="Times New Roman" w:eastAsia="Times New Roman" w:cs="Times New Roman"/>
          <w:spacing w:val="-1"/>
          <w:sz w:val="24"/>
          <w:szCs w:val="24"/>
        </w:rPr>
        <w:t>5</w:t>
      </w:r>
      <w:r>
        <w:rPr>
          <w:spacing w:val="-1"/>
          <w:sz w:val="24"/>
          <w:szCs w:val="24"/>
        </w:rPr>
        <w:t>）蓄水阶段需确保坝址下泄流量不低于环评及批复要求，蓄水后应开展坝</w:t>
      </w:r>
      <w:r>
        <w:rPr>
          <w:spacing w:val="-4"/>
          <w:sz w:val="24"/>
          <w:szCs w:val="24"/>
        </w:rPr>
        <w:t>前垂向及坝下水温监测。</w:t>
      </w:r>
    </w:p>
    <w:p w14:paraId="465F49A0">
      <w:pPr>
        <w:pStyle w:val="2"/>
        <w:spacing w:before="21" w:line="233" w:lineRule="auto"/>
        <w:ind w:left="525"/>
        <w:rPr>
          <w:sz w:val="24"/>
          <w:szCs w:val="24"/>
        </w:rPr>
      </w:pPr>
      <w:r>
        <w:rPr>
          <w:spacing w:val="-2"/>
          <w:sz w:val="24"/>
          <w:szCs w:val="24"/>
        </w:rPr>
        <w:t>（</w:t>
      </w:r>
      <w:r>
        <w:rPr>
          <w:rFonts w:ascii="Times New Roman" w:hAnsi="Times New Roman" w:eastAsia="Times New Roman" w:cs="Times New Roman"/>
          <w:spacing w:val="-2"/>
          <w:sz w:val="24"/>
          <w:szCs w:val="24"/>
        </w:rPr>
        <w:t>6</w:t>
      </w:r>
      <w:r>
        <w:rPr>
          <w:spacing w:val="-2"/>
          <w:sz w:val="24"/>
          <w:szCs w:val="24"/>
        </w:rPr>
        <w:t>）建立水质监测预警系统，水库蓄水后加强河段水质监测。</w:t>
      </w:r>
    </w:p>
    <w:p w14:paraId="621E2126">
      <w:pPr>
        <w:pStyle w:val="2"/>
        <w:spacing w:before="137" w:line="233" w:lineRule="auto"/>
        <w:ind w:left="525"/>
        <w:rPr>
          <w:sz w:val="24"/>
          <w:szCs w:val="24"/>
        </w:rPr>
      </w:pPr>
      <w:r>
        <w:rPr>
          <w:spacing w:val="-1"/>
          <w:sz w:val="24"/>
          <w:szCs w:val="24"/>
        </w:rPr>
        <w:t>（</w:t>
      </w:r>
      <w:r>
        <w:rPr>
          <w:rFonts w:ascii="Times New Roman" w:hAnsi="Times New Roman" w:eastAsia="Times New Roman" w:cs="Times New Roman"/>
          <w:spacing w:val="-1"/>
          <w:sz w:val="24"/>
          <w:szCs w:val="24"/>
        </w:rPr>
        <w:t>7</w:t>
      </w:r>
      <w:r>
        <w:rPr>
          <w:spacing w:val="-1"/>
          <w:sz w:val="24"/>
          <w:szCs w:val="24"/>
        </w:rPr>
        <w:t>）建议优化取水口拦鱼栅网方案，推荐使用电光拦鱼措施。</w:t>
      </w:r>
    </w:p>
    <w:p w14:paraId="291EF49A">
      <w:pPr>
        <w:pStyle w:val="2"/>
        <w:spacing w:before="206" w:line="232" w:lineRule="auto"/>
        <w:ind w:left="40"/>
        <w:rPr>
          <w:sz w:val="30"/>
          <w:szCs w:val="30"/>
        </w:rPr>
      </w:pPr>
      <w:bookmarkStart w:id="37" w:name="bookmark34"/>
      <w:bookmarkEnd w:id="37"/>
      <w:r>
        <w:rPr>
          <w:rFonts w:ascii="Times New Roman" w:hAnsi="Times New Roman" w:eastAsia="Times New Roman" w:cs="Times New Roman"/>
          <w:b/>
          <w:bCs/>
          <w:spacing w:val="-2"/>
          <w:sz w:val="30"/>
          <w:szCs w:val="30"/>
        </w:rPr>
        <w:t xml:space="preserve">7.5 </w:t>
      </w:r>
      <w:r>
        <w:rPr>
          <w:b/>
          <w:bCs/>
          <w:spacing w:val="-2"/>
          <w:sz w:val="30"/>
          <w:szCs w:val="30"/>
        </w:rPr>
        <w:t>验收调查报告结论</w:t>
      </w:r>
    </w:p>
    <w:p w14:paraId="66A91561">
      <w:pPr>
        <w:pStyle w:val="2"/>
        <w:spacing w:before="234" w:line="339" w:lineRule="auto"/>
        <w:ind w:left="39" w:firstLine="486"/>
        <w:jc w:val="both"/>
        <w:rPr>
          <w:sz w:val="24"/>
          <w:szCs w:val="24"/>
        </w:rPr>
      </w:pPr>
      <w:r>
        <w:rPr>
          <w:spacing w:val="-9"/>
          <w:sz w:val="24"/>
          <w:szCs w:val="24"/>
        </w:rPr>
        <w:t>云南省曲靖市车马碧水库工程前期审批程序规范、齐全，工程性质、建设地点、</w:t>
      </w:r>
      <w:r>
        <w:rPr>
          <w:spacing w:val="-4"/>
          <w:sz w:val="24"/>
          <w:szCs w:val="24"/>
        </w:rPr>
        <w:t>工程规模、主要工程特性指标等与经批准的环评文件基本一致，工程已完成</w:t>
      </w:r>
      <w:r>
        <w:rPr>
          <w:spacing w:val="-5"/>
          <w:sz w:val="24"/>
          <w:szCs w:val="24"/>
        </w:rPr>
        <w:t>库底清</w:t>
      </w:r>
      <w:r>
        <w:rPr>
          <w:spacing w:val="3"/>
          <w:sz w:val="24"/>
          <w:szCs w:val="24"/>
        </w:rPr>
        <w:t>理专项验收和移民安置环保措施专项验收，施工期开展了环</w:t>
      </w:r>
      <w:r>
        <w:rPr>
          <w:spacing w:val="2"/>
          <w:sz w:val="24"/>
          <w:szCs w:val="24"/>
        </w:rPr>
        <w:t>境监理和环境监测工</w:t>
      </w:r>
      <w:r>
        <w:rPr>
          <w:spacing w:val="-4"/>
          <w:sz w:val="24"/>
          <w:szCs w:val="24"/>
        </w:rPr>
        <w:t>作，施工期监测了地表水、地下水、水生生态、陆生生态、大气、声环境等，区域</w:t>
      </w:r>
      <w:r>
        <w:rPr>
          <w:spacing w:val="3"/>
          <w:sz w:val="24"/>
          <w:szCs w:val="24"/>
        </w:rPr>
        <w:t>环境未因工程建设受到明显不利影响。工程建设过</w:t>
      </w:r>
      <w:r>
        <w:rPr>
          <w:spacing w:val="2"/>
          <w:sz w:val="24"/>
          <w:szCs w:val="24"/>
        </w:rPr>
        <w:t>程中总体按照建设项目环境保</w:t>
      </w:r>
      <w:r>
        <w:rPr>
          <w:spacing w:val="-4"/>
          <w:sz w:val="24"/>
          <w:szCs w:val="24"/>
        </w:rPr>
        <w:t>护管理“三同时”制度落实了环境影响报告书及环评批复提出的主要生态保</w:t>
      </w:r>
      <w:r>
        <w:rPr>
          <w:spacing w:val="-5"/>
          <w:sz w:val="24"/>
          <w:szCs w:val="24"/>
        </w:rPr>
        <w:t>护和污</w:t>
      </w:r>
      <w:r>
        <w:rPr>
          <w:spacing w:val="-2"/>
          <w:sz w:val="24"/>
          <w:szCs w:val="24"/>
        </w:rPr>
        <w:t>染防治措施要求，建议通过蓄水阶段环境保护验收。</w:t>
      </w:r>
    </w:p>
    <w:p w14:paraId="539AA011">
      <w:pPr>
        <w:spacing w:line="339" w:lineRule="auto"/>
        <w:rPr>
          <w:sz w:val="24"/>
          <w:szCs w:val="24"/>
        </w:rPr>
        <w:sectPr>
          <w:headerReference r:id="rId286" w:type="default"/>
          <w:footerReference r:id="rId287" w:type="default"/>
          <w:pgSz w:w="11907" w:h="16839"/>
          <w:pgMar w:top="1376" w:right="1614" w:bottom="1061" w:left="1671" w:header="999" w:footer="861" w:gutter="0"/>
          <w:cols w:space="720" w:num="1"/>
        </w:sectPr>
      </w:pPr>
    </w:p>
    <w:p w14:paraId="76DB77E0">
      <w:pPr>
        <w:rPr>
          <w:rFonts w:ascii="Arial"/>
          <w:sz w:val="21"/>
        </w:rPr>
      </w:pPr>
    </w:p>
    <w:p w14:paraId="66A1697A">
      <w:pPr>
        <w:rPr>
          <w:rFonts w:ascii="Arial"/>
          <w:sz w:val="21"/>
        </w:rPr>
      </w:pPr>
    </w:p>
    <w:p w14:paraId="18789025">
      <w:pPr>
        <w:pStyle w:val="2"/>
        <w:spacing w:before="104" w:line="219" w:lineRule="auto"/>
        <w:ind w:left="67"/>
      </w:pPr>
      <w:r>
        <w:rPr>
          <w:b/>
          <w:bCs/>
          <w:spacing w:val="-13"/>
        </w:rPr>
        <w:t>附表</w:t>
      </w:r>
    </w:p>
    <w:p w14:paraId="7ACB53AD">
      <w:pPr>
        <w:pStyle w:val="2"/>
        <w:spacing w:before="248" w:line="226" w:lineRule="auto"/>
        <w:ind w:left="299"/>
        <w:rPr>
          <w:sz w:val="24"/>
          <w:szCs w:val="24"/>
        </w:rPr>
      </w:pPr>
      <w:r>
        <w:rPr>
          <w:b/>
          <w:bCs/>
          <w:spacing w:val="-2"/>
          <w:sz w:val="24"/>
          <w:szCs w:val="24"/>
        </w:rPr>
        <w:t>附表</w:t>
      </w:r>
      <w:r>
        <w:rPr>
          <w:spacing w:val="-43"/>
          <w:sz w:val="24"/>
          <w:szCs w:val="24"/>
        </w:rPr>
        <w:t xml:space="preserve"> </w:t>
      </w:r>
      <w:r>
        <w:rPr>
          <w:rFonts w:ascii="Times New Roman" w:hAnsi="Times New Roman" w:eastAsia="Times New Roman" w:cs="Times New Roman"/>
          <w:b/>
          <w:bCs/>
          <w:spacing w:val="-2"/>
          <w:sz w:val="24"/>
          <w:szCs w:val="24"/>
        </w:rPr>
        <w:t xml:space="preserve">1        </w:t>
      </w:r>
      <w:r>
        <w:rPr>
          <w:b/>
          <w:bCs/>
          <w:spacing w:val="-2"/>
          <w:sz w:val="24"/>
          <w:szCs w:val="24"/>
        </w:rPr>
        <w:t>车马碧水库工程施工</w:t>
      </w:r>
      <w:r>
        <w:rPr>
          <w:b/>
          <w:bCs/>
          <w:spacing w:val="-3"/>
          <w:sz w:val="24"/>
          <w:szCs w:val="24"/>
        </w:rPr>
        <w:t>期调查区所涉及流域鱼类名录和标本数</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5"/>
        <w:gridCol w:w="2005"/>
        <w:gridCol w:w="1523"/>
      </w:tblGrid>
      <w:tr w14:paraId="53590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4945" w:type="dxa"/>
            <w:tcBorders>
              <w:top w:val="single" w:color="000000" w:sz="12" w:space="0"/>
              <w:left w:val="single" w:color="000000" w:sz="12" w:space="0"/>
            </w:tcBorders>
            <w:vAlign w:val="top"/>
          </w:tcPr>
          <w:p w14:paraId="73BC31B4">
            <w:pPr>
              <w:spacing w:before="31" w:line="209" w:lineRule="auto"/>
              <w:ind w:left="1315"/>
              <w:rPr>
                <w:rFonts w:ascii="宋体" w:hAnsi="宋体" w:eastAsia="宋体" w:cs="宋体"/>
                <w:sz w:val="21"/>
                <w:szCs w:val="21"/>
              </w:rPr>
            </w:pPr>
            <w:r>
              <w:rPr>
                <w:rFonts w:ascii="宋体" w:hAnsi="宋体" w:eastAsia="宋体" w:cs="宋体"/>
                <w:spacing w:val="-3"/>
                <w:sz w:val="21"/>
                <w:szCs w:val="21"/>
              </w:rPr>
              <w:t>学名（中文名、拉丁名）</w:t>
            </w:r>
          </w:p>
        </w:tc>
        <w:tc>
          <w:tcPr>
            <w:tcW w:w="2005" w:type="dxa"/>
            <w:tcBorders>
              <w:top w:val="single" w:color="000000" w:sz="12" w:space="0"/>
            </w:tcBorders>
            <w:vAlign w:val="top"/>
          </w:tcPr>
          <w:p w14:paraId="2C82FC94">
            <w:pPr>
              <w:spacing w:before="31" w:line="209" w:lineRule="auto"/>
              <w:ind w:left="487"/>
              <w:rPr>
                <w:rFonts w:ascii="宋体" w:hAnsi="宋体" w:eastAsia="宋体" w:cs="宋体"/>
                <w:sz w:val="21"/>
                <w:szCs w:val="21"/>
              </w:rPr>
            </w:pPr>
            <w:r>
              <w:rPr>
                <w:rFonts w:ascii="宋体" w:hAnsi="宋体" w:eastAsia="宋体" w:cs="宋体"/>
                <w:spacing w:val="-2"/>
                <w:sz w:val="21"/>
                <w:szCs w:val="21"/>
              </w:rPr>
              <w:t>标本或调查</w:t>
            </w:r>
          </w:p>
        </w:tc>
        <w:tc>
          <w:tcPr>
            <w:tcW w:w="1523" w:type="dxa"/>
            <w:tcBorders>
              <w:top w:val="single" w:color="000000" w:sz="12" w:space="0"/>
              <w:right w:val="single" w:color="000000" w:sz="12" w:space="0"/>
            </w:tcBorders>
            <w:vAlign w:val="top"/>
          </w:tcPr>
          <w:p w14:paraId="0378FEF5">
            <w:pPr>
              <w:spacing w:before="31" w:line="209" w:lineRule="auto"/>
              <w:ind w:left="561"/>
              <w:rPr>
                <w:rFonts w:ascii="宋体" w:hAnsi="宋体" w:eastAsia="宋体" w:cs="宋体"/>
                <w:sz w:val="21"/>
                <w:szCs w:val="21"/>
              </w:rPr>
            </w:pPr>
            <w:r>
              <w:rPr>
                <w:rFonts w:ascii="宋体" w:hAnsi="宋体" w:eastAsia="宋体" w:cs="宋体"/>
                <w:spacing w:val="-3"/>
                <w:sz w:val="21"/>
                <w:szCs w:val="21"/>
              </w:rPr>
              <w:t>备注</w:t>
            </w:r>
          </w:p>
        </w:tc>
      </w:tr>
      <w:tr w14:paraId="738AD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2AFFD8BC">
            <w:pPr>
              <w:pStyle w:val="6"/>
              <w:spacing w:before="28" w:line="209" w:lineRule="auto"/>
              <w:ind w:left="100"/>
            </w:pPr>
            <w:r>
              <w:rPr>
                <w:b/>
                <w:bCs/>
                <w:spacing w:val="-2"/>
              </w:rPr>
              <w:t xml:space="preserve">O1 </w:t>
            </w:r>
            <w:r>
              <w:rPr>
                <w:rFonts w:ascii="宋体" w:hAnsi="宋体" w:eastAsia="宋体" w:cs="宋体"/>
                <w:b/>
                <w:bCs/>
                <w:spacing w:val="-2"/>
              </w:rPr>
              <w:t>鲤形目</w:t>
            </w:r>
            <w:r>
              <w:rPr>
                <w:rFonts w:ascii="宋体" w:hAnsi="宋体" w:eastAsia="宋体" w:cs="宋体"/>
                <w:spacing w:val="-27"/>
              </w:rPr>
              <w:t xml:space="preserve"> </w:t>
            </w:r>
            <w:r>
              <w:rPr>
                <w:b/>
                <w:bCs/>
                <w:spacing w:val="-2"/>
              </w:rPr>
              <w:t>CYPRINIFORMES</w:t>
            </w:r>
          </w:p>
        </w:tc>
        <w:tc>
          <w:tcPr>
            <w:tcW w:w="2005" w:type="dxa"/>
            <w:vAlign w:val="top"/>
          </w:tcPr>
          <w:p w14:paraId="203BD07A">
            <w:pPr>
              <w:rPr>
                <w:rFonts w:ascii="Arial"/>
                <w:sz w:val="21"/>
              </w:rPr>
            </w:pPr>
          </w:p>
        </w:tc>
        <w:tc>
          <w:tcPr>
            <w:tcW w:w="1523" w:type="dxa"/>
            <w:tcBorders>
              <w:right w:val="single" w:color="000000" w:sz="12" w:space="0"/>
            </w:tcBorders>
            <w:vAlign w:val="top"/>
          </w:tcPr>
          <w:p w14:paraId="30050272">
            <w:pPr>
              <w:rPr>
                <w:rFonts w:ascii="Arial"/>
                <w:sz w:val="21"/>
              </w:rPr>
            </w:pPr>
          </w:p>
        </w:tc>
      </w:tr>
      <w:tr w14:paraId="01B12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5D446F5B">
            <w:pPr>
              <w:pStyle w:val="6"/>
              <w:spacing w:before="30" w:line="208" w:lineRule="auto"/>
              <w:ind w:left="97"/>
            </w:pPr>
            <w:r>
              <w:rPr>
                <w:b/>
                <w:bCs/>
                <w:spacing w:val="-2"/>
              </w:rPr>
              <w:t xml:space="preserve">F1 </w:t>
            </w:r>
            <w:r>
              <w:rPr>
                <w:rFonts w:ascii="宋体" w:hAnsi="宋体" w:eastAsia="宋体" w:cs="宋体"/>
                <w:b/>
                <w:bCs/>
                <w:spacing w:val="-2"/>
              </w:rPr>
              <w:t>鲤科</w:t>
            </w:r>
            <w:r>
              <w:rPr>
                <w:rFonts w:ascii="宋体" w:hAnsi="宋体" w:eastAsia="宋体" w:cs="宋体"/>
                <w:spacing w:val="-31"/>
              </w:rPr>
              <w:t xml:space="preserve"> </w:t>
            </w:r>
            <w:r>
              <w:rPr>
                <w:b/>
                <w:bCs/>
                <w:spacing w:val="-2"/>
              </w:rPr>
              <w:t>Cyprinidae</w:t>
            </w:r>
          </w:p>
        </w:tc>
        <w:tc>
          <w:tcPr>
            <w:tcW w:w="2005" w:type="dxa"/>
            <w:vAlign w:val="top"/>
          </w:tcPr>
          <w:p w14:paraId="2618303D">
            <w:pPr>
              <w:rPr>
                <w:rFonts w:ascii="Arial"/>
                <w:sz w:val="21"/>
              </w:rPr>
            </w:pPr>
          </w:p>
        </w:tc>
        <w:tc>
          <w:tcPr>
            <w:tcW w:w="1523" w:type="dxa"/>
            <w:tcBorders>
              <w:right w:val="single" w:color="000000" w:sz="12" w:space="0"/>
            </w:tcBorders>
            <w:vAlign w:val="top"/>
          </w:tcPr>
          <w:p w14:paraId="4728FF26">
            <w:pPr>
              <w:rPr>
                <w:rFonts w:ascii="Arial"/>
                <w:sz w:val="21"/>
              </w:rPr>
            </w:pPr>
          </w:p>
        </w:tc>
      </w:tr>
      <w:tr w14:paraId="4EF6F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44B2603">
            <w:pPr>
              <w:pStyle w:val="6"/>
              <w:spacing w:before="30" w:line="207" w:lineRule="auto"/>
              <w:ind w:left="107"/>
            </w:pPr>
            <w:r>
              <w:rPr>
                <w:rFonts w:ascii="宋体" w:hAnsi="宋体" w:eastAsia="宋体" w:cs="宋体"/>
                <w:spacing w:val="-2"/>
              </w:rPr>
              <w:t>马口鱼</w:t>
            </w:r>
            <w:r>
              <w:rPr>
                <w:rFonts w:ascii="宋体" w:hAnsi="宋体" w:eastAsia="宋体" w:cs="宋体"/>
                <w:spacing w:val="-23"/>
              </w:rPr>
              <w:t xml:space="preserve"> </w:t>
            </w:r>
            <w:r>
              <w:rPr>
                <w:i/>
                <w:iCs/>
                <w:spacing w:val="-2"/>
              </w:rPr>
              <w:t>Opsariichthys bidens</w:t>
            </w:r>
          </w:p>
        </w:tc>
        <w:tc>
          <w:tcPr>
            <w:tcW w:w="2005" w:type="dxa"/>
            <w:vAlign w:val="top"/>
          </w:tcPr>
          <w:p w14:paraId="75B7CD24">
            <w:pPr>
              <w:spacing w:before="30" w:line="207"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068B763C">
            <w:pPr>
              <w:spacing w:before="30" w:line="207"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3CD53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64552B6D">
            <w:pPr>
              <w:pStyle w:val="6"/>
              <w:spacing w:before="32" w:line="206" w:lineRule="auto"/>
              <w:ind w:left="100"/>
            </w:pPr>
            <w:r>
              <w:rPr>
                <w:rFonts w:ascii="宋体" w:hAnsi="宋体" w:eastAsia="宋体" w:cs="宋体"/>
                <w:spacing w:val="-1"/>
              </w:rPr>
              <w:t>䱗</w:t>
            </w:r>
            <w:r>
              <w:rPr>
                <w:i/>
                <w:iCs/>
                <w:spacing w:val="-1"/>
              </w:rPr>
              <w:t>Hemiculter leucisculus</w:t>
            </w:r>
          </w:p>
        </w:tc>
        <w:tc>
          <w:tcPr>
            <w:tcW w:w="2005" w:type="dxa"/>
            <w:vAlign w:val="top"/>
          </w:tcPr>
          <w:p w14:paraId="5B7631C0">
            <w:pPr>
              <w:spacing w:before="32" w:line="206"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55D85A70">
            <w:pPr>
              <w:spacing w:before="32" w:line="206"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2B5B7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4257FCB8">
            <w:pPr>
              <w:pStyle w:val="6"/>
              <w:spacing w:before="31" w:line="206" w:lineRule="auto"/>
              <w:ind w:left="102"/>
            </w:pPr>
            <w:r>
              <w:rPr>
                <w:rFonts w:ascii="宋体" w:hAnsi="宋体" w:eastAsia="宋体" w:cs="宋体"/>
                <w:spacing w:val="9"/>
              </w:rPr>
              <w:t>草鱼</w:t>
            </w:r>
            <w:r>
              <w:rPr>
                <w:rFonts w:ascii="宋体" w:hAnsi="宋体" w:eastAsia="宋体" w:cs="宋体"/>
                <w:spacing w:val="-59"/>
              </w:rPr>
              <w:t xml:space="preserve"> </w:t>
            </w:r>
            <w:r>
              <w:rPr>
                <w:i/>
                <w:iCs/>
              </w:rPr>
              <w:t>Mylopharyngodon</w:t>
            </w:r>
            <w:r>
              <w:rPr>
                <w:i/>
                <w:iCs/>
                <w:spacing w:val="-23"/>
              </w:rPr>
              <w:t xml:space="preserve"> </w:t>
            </w:r>
            <w:r>
              <w:rPr>
                <w:i/>
                <w:iCs/>
              </w:rPr>
              <w:t>piceus</w:t>
            </w:r>
          </w:p>
        </w:tc>
        <w:tc>
          <w:tcPr>
            <w:tcW w:w="2005" w:type="dxa"/>
            <w:vAlign w:val="top"/>
          </w:tcPr>
          <w:p w14:paraId="5DF9FDAF">
            <w:pPr>
              <w:pStyle w:val="6"/>
              <w:spacing w:before="65" w:line="199" w:lineRule="auto"/>
              <w:ind w:left="955"/>
            </w:pPr>
            <w:r>
              <w:t>2</w:t>
            </w:r>
          </w:p>
        </w:tc>
        <w:tc>
          <w:tcPr>
            <w:tcW w:w="1523" w:type="dxa"/>
            <w:tcBorders>
              <w:right w:val="single" w:color="000000" w:sz="12" w:space="0"/>
            </w:tcBorders>
            <w:vAlign w:val="top"/>
          </w:tcPr>
          <w:p w14:paraId="7CE59B87">
            <w:pPr>
              <w:spacing w:before="31" w:line="206" w:lineRule="auto"/>
              <w:ind w:left="457"/>
              <w:rPr>
                <w:rFonts w:ascii="宋体" w:hAnsi="宋体" w:eastAsia="宋体" w:cs="宋体"/>
                <w:sz w:val="21"/>
                <w:szCs w:val="21"/>
              </w:rPr>
            </w:pPr>
            <w:r>
              <w:rPr>
                <w:rFonts w:ascii="宋体" w:hAnsi="宋体" w:eastAsia="宋体" w:cs="宋体"/>
                <w:spacing w:val="-3"/>
                <w:sz w:val="21"/>
                <w:szCs w:val="21"/>
              </w:rPr>
              <w:t>外来种</w:t>
            </w:r>
          </w:p>
        </w:tc>
      </w:tr>
      <w:tr w14:paraId="13F0D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45" w:type="dxa"/>
            <w:tcBorders>
              <w:left w:val="single" w:color="000000" w:sz="12" w:space="0"/>
            </w:tcBorders>
            <w:vAlign w:val="top"/>
          </w:tcPr>
          <w:p w14:paraId="4EBC8559">
            <w:pPr>
              <w:pStyle w:val="6"/>
              <w:spacing w:before="33" w:line="206" w:lineRule="auto"/>
              <w:ind w:left="101"/>
            </w:pPr>
            <w:r>
              <w:rPr>
                <w:rFonts w:ascii="宋体" w:hAnsi="宋体" w:eastAsia="宋体" w:cs="宋体"/>
                <w:spacing w:val="5"/>
              </w:rPr>
              <w:t>麦穗鱼</w:t>
            </w:r>
            <w:r>
              <w:rPr>
                <w:rFonts w:ascii="宋体" w:hAnsi="宋体" w:eastAsia="宋体" w:cs="宋体"/>
                <w:spacing w:val="-56"/>
              </w:rPr>
              <w:t xml:space="preserve"> </w:t>
            </w:r>
            <w:r>
              <w:rPr>
                <w:i/>
                <w:iCs/>
              </w:rPr>
              <w:t>Pseudorasbora</w:t>
            </w:r>
            <w:r>
              <w:rPr>
                <w:i/>
                <w:iCs/>
                <w:spacing w:val="-23"/>
              </w:rPr>
              <w:t xml:space="preserve"> </w:t>
            </w:r>
            <w:r>
              <w:rPr>
                <w:i/>
                <w:iCs/>
              </w:rPr>
              <w:t>parva</w:t>
            </w:r>
          </w:p>
        </w:tc>
        <w:tc>
          <w:tcPr>
            <w:tcW w:w="2005" w:type="dxa"/>
            <w:vAlign w:val="top"/>
          </w:tcPr>
          <w:p w14:paraId="1A8862DD">
            <w:pPr>
              <w:pStyle w:val="6"/>
              <w:spacing w:before="67" w:line="199" w:lineRule="auto"/>
              <w:ind w:left="955"/>
            </w:pPr>
            <w:r>
              <w:t>2</w:t>
            </w:r>
          </w:p>
        </w:tc>
        <w:tc>
          <w:tcPr>
            <w:tcW w:w="1523" w:type="dxa"/>
            <w:tcBorders>
              <w:right w:val="single" w:color="000000" w:sz="12" w:space="0"/>
            </w:tcBorders>
            <w:vAlign w:val="top"/>
          </w:tcPr>
          <w:p w14:paraId="29C40BB6">
            <w:pPr>
              <w:spacing w:before="33" w:line="206"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229DC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2B90FADD">
            <w:pPr>
              <w:pStyle w:val="6"/>
              <w:spacing w:before="32" w:line="205" w:lineRule="auto"/>
              <w:ind w:left="100"/>
            </w:pPr>
            <w:r>
              <w:rPr>
                <w:rFonts w:ascii="宋体" w:hAnsi="宋体" w:eastAsia="宋体" w:cs="宋体"/>
              </w:rPr>
              <w:t>棒花鱼</w:t>
            </w:r>
            <w:r>
              <w:rPr>
                <w:rFonts w:ascii="宋体" w:hAnsi="宋体" w:eastAsia="宋体" w:cs="宋体"/>
                <w:spacing w:val="-62"/>
              </w:rPr>
              <w:t xml:space="preserve"> </w:t>
            </w:r>
            <w:r>
              <w:rPr>
                <w:i/>
                <w:iCs/>
              </w:rPr>
              <w:t>Abbotina rivularis</w:t>
            </w:r>
          </w:p>
        </w:tc>
        <w:tc>
          <w:tcPr>
            <w:tcW w:w="2005" w:type="dxa"/>
            <w:vAlign w:val="top"/>
          </w:tcPr>
          <w:p w14:paraId="0C23EC48">
            <w:pPr>
              <w:spacing w:before="32" w:line="205" w:lineRule="auto"/>
              <w:ind w:left="282"/>
              <w:rPr>
                <w:rFonts w:ascii="宋体" w:hAnsi="宋体" w:eastAsia="宋体" w:cs="宋体"/>
                <w:sz w:val="21"/>
                <w:szCs w:val="21"/>
              </w:rPr>
            </w:pPr>
            <w:r>
              <w:rPr>
                <w:rFonts w:ascii="宋体" w:hAnsi="宋体" w:eastAsia="宋体" w:cs="宋体"/>
                <w:spacing w:val="-2"/>
                <w:sz w:val="21"/>
                <w:szCs w:val="21"/>
              </w:rPr>
              <w:t>市场调查、访问</w:t>
            </w:r>
          </w:p>
        </w:tc>
        <w:tc>
          <w:tcPr>
            <w:tcW w:w="1523" w:type="dxa"/>
            <w:tcBorders>
              <w:right w:val="single" w:color="000000" w:sz="12" w:space="0"/>
            </w:tcBorders>
            <w:vAlign w:val="top"/>
          </w:tcPr>
          <w:p w14:paraId="77ABAF6A">
            <w:pPr>
              <w:spacing w:before="32" w:line="205"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5138E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738F823B">
            <w:pPr>
              <w:pStyle w:val="6"/>
              <w:spacing w:before="34" w:line="204" w:lineRule="auto"/>
              <w:ind w:left="100"/>
            </w:pPr>
            <w:r>
              <w:rPr>
                <w:rFonts w:ascii="宋体" w:hAnsi="宋体" w:eastAsia="宋体" w:cs="宋体"/>
              </w:rPr>
              <w:t>鲢</w:t>
            </w:r>
            <w:r>
              <w:rPr>
                <w:rFonts w:ascii="宋体" w:hAnsi="宋体" w:eastAsia="宋体" w:cs="宋体"/>
                <w:spacing w:val="-53"/>
              </w:rPr>
              <w:t xml:space="preserve"> </w:t>
            </w:r>
            <w:r>
              <w:rPr>
                <w:i/>
                <w:iCs/>
              </w:rPr>
              <w:t>Hypophthalmichthys</w:t>
            </w:r>
            <w:r>
              <w:rPr>
                <w:i/>
                <w:iCs/>
                <w:spacing w:val="-1"/>
              </w:rPr>
              <w:t xml:space="preserve"> molitrix</w:t>
            </w:r>
          </w:p>
        </w:tc>
        <w:tc>
          <w:tcPr>
            <w:tcW w:w="2005" w:type="dxa"/>
            <w:vAlign w:val="top"/>
          </w:tcPr>
          <w:p w14:paraId="4C319E8A">
            <w:pPr>
              <w:pStyle w:val="6"/>
              <w:spacing w:before="67" w:line="198" w:lineRule="auto"/>
              <w:ind w:left="960"/>
            </w:pPr>
            <w:r>
              <w:t>3</w:t>
            </w:r>
          </w:p>
        </w:tc>
        <w:tc>
          <w:tcPr>
            <w:tcW w:w="1523" w:type="dxa"/>
            <w:tcBorders>
              <w:right w:val="single" w:color="000000" w:sz="12" w:space="0"/>
            </w:tcBorders>
            <w:vAlign w:val="top"/>
          </w:tcPr>
          <w:p w14:paraId="21644250">
            <w:pPr>
              <w:spacing w:before="34" w:line="204" w:lineRule="auto"/>
              <w:ind w:left="457"/>
              <w:rPr>
                <w:rFonts w:ascii="宋体" w:hAnsi="宋体" w:eastAsia="宋体" w:cs="宋体"/>
                <w:sz w:val="21"/>
                <w:szCs w:val="21"/>
              </w:rPr>
            </w:pPr>
            <w:r>
              <w:rPr>
                <w:rFonts w:ascii="宋体" w:hAnsi="宋体" w:eastAsia="宋体" w:cs="宋体"/>
                <w:spacing w:val="-3"/>
                <w:sz w:val="21"/>
                <w:szCs w:val="21"/>
              </w:rPr>
              <w:t>外来种</w:t>
            </w:r>
          </w:p>
        </w:tc>
      </w:tr>
      <w:tr w14:paraId="7C764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7C849B2F">
            <w:pPr>
              <w:pStyle w:val="6"/>
              <w:spacing w:before="35" w:line="203" w:lineRule="auto"/>
              <w:ind w:left="100"/>
            </w:pPr>
            <w:r>
              <w:rPr>
                <w:rFonts w:ascii="宋体" w:hAnsi="宋体" w:eastAsia="宋体" w:cs="宋体"/>
                <w:spacing w:val="1"/>
              </w:rPr>
              <w:t>鳙</w:t>
            </w:r>
            <w:r>
              <w:rPr>
                <w:rFonts w:ascii="宋体" w:hAnsi="宋体" w:eastAsia="宋体" w:cs="宋体"/>
                <w:spacing w:val="-63"/>
              </w:rPr>
              <w:t xml:space="preserve"> </w:t>
            </w:r>
            <w:r>
              <w:rPr>
                <w:i/>
                <w:iCs/>
              </w:rPr>
              <w:t>Aristichthys</w:t>
            </w:r>
            <w:r>
              <w:rPr>
                <w:i/>
                <w:iCs/>
                <w:spacing w:val="1"/>
              </w:rPr>
              <w:t xml:space="preserve"> </w:t>
            </w:r>
            <w:r>
              <w:rPr>
                <w:i/>
                <w:iCs/>
              </w:rPr>
              <w:t>nobilis</w:t>
            </w:r>
          </w:p>
        </w:tc>
        <w:tc>
          <w:tcPr>
            <w:tcW w:w="2005" w:type="dxa"/>
            <w:vAlign w:val="top"/>
          </w:tcPr>
          <w:p w14:paraId="0FCAC750">
            <w:pPr>
              <w:spacing w:before="35" w:line="203"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1CEE6464">
            <w:pPr>
              <w:spacing w:before="35" w:line="203" w:lineRule="auto"/>
              <w:ind w:left="457"/>
              <w:rPr>
                <w:rFonts w:ascii="宋体" w:hAnsi="宋体" w:eastAsia="宋体" w:cs="宋体"/>
                <w:sz w:val="21"/>
                <w:szCs w:val="21"/>
              </w:rPr>
            </w:pPr>
            <w:r>
              <w:rPr>
                <w:rFonts w:ascii="宋体" w:hAnsi="宋体" w:eastAsia="宋体" w:cs="宋体"/>
                <w:spacing w:val="-3"/>
                <w:sz w:val="21"/>
                <w:szCs w:val="21"/>
              </w:rPr>
              <w:t>外来种</w:t>
            </w:r>
          </w:p>
        </w:tc>
      </w:tr>
      <w:tr w14:paraId="66071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90447D5">
            <w:pPr>
              <w:pStyle w:val="6"/>
              <w:spacing w:before="35" w:line="203" w:lineRule="auto"/>
              <w:ind w:left="106"/>
            </w:pPr>
            <w:r>
              <w:rPr>
                <w:rFonts w:ascii="宋体" w:hAnsi="宋体" w:eastAsia="宋体" w:cs="宋体"/>
                <w:spacing w:val="-1"/>
              </w:rPr>
              <w:t>高体鰟鮍</w:t>
            </w:r>
            <w:r>
              <w:rPr>
                <w:rFonts w:ascii="宋体" w:hAnsi="宋体" w:eastAsia="宋体" w:cs="宋体"/>
                <w:spacing w:val="-47"/>
              </w:rPr>
              <w:t xml:space="preserve"> </w:t>
            </w:r>
            <w:r>
              <w:rPr>
                <w:i/>
                <w:iCs/>
                <w:spacing w:val="-1"/>
              </w:rPr>
              <w:t>Rhodeus ocellatus</w:t>
            </w:r>
          </w:p>
        </w:tc>
        <w:tc>
          <w:tcPr>
            <w:tcW w:w="2005" w:type="dxa"/>
            <w:vAlign w:val="top"/>
          </w:tcPr>
          <w:p w14:paraId="4A9F477C">
            <w:pPr>
              <w:pStyle w:val="6"/>
              <w:spacing w:before="68" w:line="196" w:lineRule="auto"/>
              <w:ind w:left="955"/>
            </w:pPr>
            <w:r>
              <w:t>2</w:t>
            </w:r>
          </w:p>
        </w:tc>
        <w:tc>
          <w:tcPr>
            <w:tcW w:w="1523" w:type="dxa"/>
            <w:tcBorders>
              <w:right w:val="single" w:color="000000" w:sz="12" w:space="0"/>
            </w:tcBorders>
            <w:vAlign w:val="top"/>
          </w:tcPr>
          <w:p w14:paraId="3742EE14">
            <w:pPr>
              <w:spacing w:before="35" w:line="203"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7D48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3958D89C">
            <w:pPr>
              <w:pStyle w:val="6"/>
              <w:spacing w:before="37" w:line="202" w:lineRule="auto"/>
              <w:ind w:left="101"/>
            </w:pPr>
            <w:r>
              <w:rPr>
                <w:rFonts w:ascii="宋体" w:hAnsi="宋体" w:eastAsia="宋体" w:cs="宋体"/>
              </w:rPr>
              <w:t>长身鱊</w:t>
            </w:r>
            <w:r>
              <w:rPr>
                <w:rFonts w:ascii="宋体" w:hAnsi="宋体" w:eastAsia="宋体" w:cs="宋体"/>
                <w:spacing w:val="-60"/>
              </w:rPr>
              <w:t xml:space="preserve"> </w:t>
            </w:r>
            <w:r>
              <w:rPr>
                <w:i/>
                <w:iCs/>
              </w:rPr>
              <w:t>Acheilognathus elongatus</w:t>
            </w:r>
          </w:p>
        </w:tc>
        <w:tc>
          <w:tcPr>
            <w:tcW w:w="2005" w:type="dxa"/>
            <w:vAlign w:val="top"/>
          </w:tcPr>
          <w:p w14:paraId="34A4A7CF">
            <w:pPr>
              <w:spacing w:before="37" w:line="202"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27633961">
            <w:pPr>
              <w:spacing w:before="37" w:line="202"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77471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2AA2922F">
            <w:pPr>
              <w:pStyle w:val="6"/>
              <w:spacing w:before="37" w:line="201" w:lineRule="auto"/>
              <w:ind w:left="106"/>
            </w:pPr>
            <w:r>
              <w:rPr>
                <w:rFonts w:ascii="宋体" w:hAnsi="宋体" w:eastAsia="宋体" w:cs="宋体"/>
                <w:spacing w:val="2"/>
              </w:rPr>
              <w:t>云南光唇鱼</w:t>
            </w:r>
            <w:r>
              <w:rPr>
                <w:rFonts w:ascii="宋体" w:hAnsi="宋体" w:eastAsia="宋体" w:cs="宋体"/>
                <w:spacing w:val="-61"/>
              </w:rPr>
              <w:t xml:space="preserve"> </w:t>
            </w:r>
            <w:r>
              <w:rPr>
                <w:i/>
                <w:iCs/>
              </w:rPr>
              <w:t>Acrossocheilus</w:t>
            </w:r>
            <w:r>
              <w:rPr>
                <w:i/>
                <w:iCs/>
                <w:spacing w:val="-16"/>
              </w:rPr>
              <w:t xml:space="preserve"> </w:t>
            </w:r>
            <w:r>
              <w:rPr>
                <w:i/>
                <w:iCs/>
              </w:rPr>
              <w:t>yunnanensis</w:t>
            </w:r>
          </w:p>
        </w:tc>
        <w:tc>
          <w:tcPr>
            <w:tcW w:w="2005" w:type="dxa"/>
            <w:vAlign w:val="top"/>
          </w:tcPr>
          <w:p w14:paraId="6712FF8C">
            <w:pPr>
              <w:spacing w:before="37" w:line="201"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5EDB265B">
            <w:pPr>
              <w:spacing w:before="37" w:line="201"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0A4E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473E1516">
            <w:pPr>
              <w:pStyle w:val="6"/>
              <w:spacing w:before="39" w:line="200" w:lineRule="auto"/>
              <w:ind w:left="100"/>
            </w:pPr>
            <w:r>
              <w:rPr>
                <w:rFonts w:ascii="宋体" w:hAnsi="宋体" w:eastAsia="宋体" w:cs="宋体"/>
                <w:spacing w:val="-1"/>
              </w:rPr>
              <w:t>滇池金线鲃</w:t>
            </w:r>
            <w:r>
              <w:rPr>
                <w:rFonts w:ascii="宋体" w:hAnsi="宋体" w:eastAsia="宋体" w:cs="宋体"/>
                <w:spacing w:val="-33"/>
              </w:rPr>
              <w:t xml:space="preserve"> </w:t>
            </w:r>
            <w:r>
              <w:rPr>
                <w:i/>
                <w:iCs/>
                <w:spacing w:val="-1"/>
              </w:rPr>
              <w:t>Sinocyclocheilus grahami</w:t>
            </w:r>
          </w:p>
        </w:tc>
        <w:tc>
          <w:tcPr>
            <w:tcW w:w="2005" w:type="dxa"/>
            <w:vAlign w:val="top"/>
          </w:tcPr>
          <w:p w14:paraId="43E2BC64">
            <w:pPr>
              <w:spacing w:before="39" w:line="200" w:lineRule="auto"/>
              <w:ind w:left="495"/>
              <w:rPr>
                <w:rFonts w:ascii="宋体" w:hAnsi="宋体" w:eastAsia="宋体" w:cs="宋体"/>
                <w:sz w:val="21"/>
                <w:szCs w:val="21"/>
              </w:rPr>
            </w:pPr>
            <w:r>
              <w:rPr>
                <w:rFonts w:ascii="宋体" w:hAnsi="宋体" w:eastAsia="宋体" w:cs="宋体"/>
                <w:spacing w:val="-3"/>
                <w:sz w:val="21"/>
                <w:szCs w:val="21"/>
              </w:rPr>
              <w:t>资料、生境</w:t>
            </w:r>
          </w:p>
        </w:tc>
        <w:tc>
          <w:tcPr>
            <w:tcW w:w="1523" w:type="dxa"/>
            <w:tcBorders>
              <w:right w:val="single" w:color="000000" w:sz="12" w:space="0"/>
            </w:tcBorders>
            <w:vAlign w:val="top"/>
          </w:tcPr>
          <w:p w14:paraId="4038157D">
            <w:pPr>
              <w:spacing w:before="39" w:line="200"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6AAE9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60C3755">
            <w:pPr>
              <w:pStyle w:val="6"/>
              <w:spacing w:before="39" w:line="199" w:lineRule="auto"/>
              <w:ind w:left="100"/>
            </w:pPr>
            <w:r>
              <w:rPr>
                <w:rFonts w:ascii="宋体" w:hAnsi="宋体" w:eastAsia="宋体" w:cs="宋体"/>
                <w:spacing w:val="-1"/>
              </w:rPr>
              <w:t>鲫</w:t>
            </w:r>
            <w:r>
              <w:rPr>
                <w:rFonts w:ascii="宋体" w:hAnsi="宋体" w:eastAsia="宋体" w:cs="宋体"/>
                <w:spacing w:val="-34"/>
              </w:rPr>
              <w:t xml:space="preserve"> </w:t>
            </w:r>
            <w:r>
              <w:rPr>
                <w:i/>
                <w:iCs/>
                <w:spacing w:val="-1"/>
              </w:rPr>
              <w:t>Carassius auratus aurtatus</w:t>
            </w:r>
          </w:p>
        </w:tc>
        <w:tc>
          <w:tcPr>
            <w:tcW w:w="2005" w:type="dxa"/>
            <w:vAlign w:val="top"/>
          </w:tcPr>
          <w:p w14:paraId="24F86E38">
            <w:pPr>
              <w:pStyle w:val="6"/>
              <w:spacing w:before="72" w:line="192" w:lineRule="auto"/>
              <w:ind w:left="955"/>
            </w:pPr>
            <w:r>
              <w:t>2</w:t>
            </w:r>
          </w:p>
        </w:tc>
        <w:tc>
          <w:tcPr>
            <w:tcW w:w="1523" w:type="dxa"/>
            <w:tcBorders>
              <w:right w:val="single" w:color="000000" w:sz="12" w:space="0"/>
            </w:tcBorders>
            <w:vAlign w:val="top"/>
          </w:tcPr>
          <w:p w14:paraId="20A1300C">
            <w:pPr>
              <w:spacing w:before="39" w:line="199"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3C0C1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6889088D">
            <w:pPr>
              <w:pStyle w:val="6"/>
              <w:spacing w:before="41" w:line="198" w:lineRule="auto"/>
              <w:ind w:left="101"/>
            </w:pPr>
            <w:r>
              <w:rPr>
                <w:rFonts w:ascii="宋体" w:hAnsi="宋体" w:eastAsia="宋体" w:cs="宋体"/>
                <w:spacing w:val="-2"/>
              </w:rPr>
              <w:t>鲤</w:t>
            </w:r>
            <w:r>
              <w:rPr>
                <w:rFonts w:ascii="宋体" w:hAnsi="宋体" w:eastAsia="宋体" w:cs="宋体"/>
                <w:spacing w:val="-30"/>
              </w:rPr>
              <w:t xml:space="preserve"> </w:t>
            </w:r>
            <w:r>
              <w:rPr>
                <w:i/>
                <w:iCs/>
                <w:spacing w:val="-2"/>
              </w:rPr>
              <w:t>Cyprinus carpio</w:t>
            </w:r>
          </w:p>
        </w:tc>
        <w:tc>
          <w:tcPr>
            <w:tcW w:w="2005" w:type="dxa"/>
            <w:vAlign w:val="top"/>
          </w:tcPr>
          <w:p w14:paraId="3A58140F">
            <w:pPr>
              <w:pStyle w:val="6"/>
              <w:spacing w:before="74" w:line="191" w:lineRule="auto"/>
              <w:ind w:left="955"/>
            </w:pPr>
            <w:r>
              <w:t>2</w:t>
            </w:r>
          </w:p>
        </w:tc>
        <w:tc>
          <w:tcPr>
            <w:tcW w:w="1523" w:type="dxa"/>
            <w:tcBorders>
              <w:right w:val="single" w:color="000000" w:sz="12" w:space="0"/>
            </w:tcBorders>
            <w:vAlign w:val="top"/>
          </w:tcPr>
          <w:p w14:paraId="21AEC029">
            <w:pPr>
              <w:spacing w:before="41" w:line="198"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20D0A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0C4ECA77">
            <w:pPr>
              <w:pStyle w:val="6"/>
              <w:spacing w:before="40" w:line="198" w:lineRule="auto"/>
              <w:ind w:left="97"/>
            </w:pPr>
            <w:r>
              <w:rPr>
                <w:b/>
                <w:bCs/>
                <w:spacing w:val="-1"/>
              </w:rPr>
              <w:t xml:space="preserve">F2 </w:t>
            </w:r>
            <w:r>
              <w:rPr>
                <w:rFonts w:ascii="宋体" w:hAnsi="宋体" w:eastAsia="宋体" w:cs="宋体"/>
                <w:b/>
                <w:bCs/>
                <w:spacing w:val="-1"/>
              </w:rPr>
              <w:t>条鳅科</w:t>
            </w:r>
            <w:r>
              <w:rPr>
                <w:rFonts w:ascii="宋体" w:hAnsi="宋体" w:eastAsia="宋体" w:cs="宋体"/>
                <w:spacing w:val="-43"/>
              </w:rPr>
              <w:t xml:space="preserve"> </w:t>
            </w:r>
            <w:r>
              <w:rPr>
                <w:b/>
                <w:bCs/>
                <w:spacing w:val="-1"/>
              </w:rPr>
              <w:t>Nemacheilidae</w:t>
            </w:r>
          </w:p>
        </w:tc>
        <w:tc>
          <w:tcPr>
            <w:tcW w:w="2005" w:type="dxa"/>
            <w:vAlign w:val="top"/>
          </w:tcPr>
          <w:p w14:paraId="17FE6710">
            <w:pPr>
              <w:rPr>
                <w:rFonts w:ascii="Arial"/>
                <w:sz w:val="21"/>
              </w:rPr>
            </w:pPr>
          </w:p>
        </w:tc>
        <w:tc>
          <w:tcPr>
            <w:tcW w:w="1523" w:type="dxa"/>
            <w:tcBorders>
              <w:right w:val="single" w:color="000000" w:sz="12" w:space="0"/>
            </w:tcBorders>
            <w:vAlign w:val="top"/>
          </w:tcPr>
          <w:p w14:paraId="46FA1FF7">
            <w:pPr>
              <w:rPr>
                <w:rFonts w:ascii="Arial"/>
                <w:sz w:val="21"/>
              </w:rPr>
            </w:pPr>
          </w:p>
        </w:tc>
      </w:tr>
      <w:tr w14:paraId="2D885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35586B0E">
            <w:pPr>
              <w:pStyle w:val="6"/>
              <w:spacing w:before="42" w:line="197" w:lineRule="auto"/>
              <w:ind w:left="99"/>
            </w:pPr>
            <w:r>
              <w:rPr>
                <w:rFonts w:ascii="宋体" w:hAnsi="宋体" w:eastAsia="宋体" w:cs="宋体"/>
                <w:spacing w:val="10"/>
              </w:rPr>
              <w:t>横纹南鳅</w:t>
            </w:r>
            <w:r>
              <w:rPr>
                <w:rFonts w:ascii="宋体" w:hAnsi="宋体" w:eastAsia="宋体" w:cs="宋体"/>
                <w:spacing w:val="-50"/>
              </w:rPr>
              <w:t xml:space="preserve"> </w:t>
            </w:r>
            <w:r>
              <w:rPr>
                <w:i/>
                <w:iCs/>
              </w:rPr>
              <w:t>Schisturafasciolata</w:t>
            </w:r>
          </w:p>
        </w:tc>
        <w:tc>
          <w:tcPr>
            <w:tcW w:w="2005" w:type="dxa"/>
            <w:vAlign w:val="top"/>
          </w:tcPr>
          <w:p w14:paraId="111B26FD">
            <w:pPr>
              <w:spacing w:before="42" w:line="197" w:lineRule="auto"/>
              <w:ind w:left="282"/>
              <w:rPr>
                <w:rFonts w:ascii="宋体" w:hAnsi="宋体" w:eastAsia="宋体" w:cs="宋体"/>
                <w:sz w:val="21"/>
                <w:szCs w:val="21"/>
              </w:rPr>
            </w:pPr>
            <w:r>
              <w:rPr>
                <w:rFonts w:ascii="宋体" w:hAnsi="宋体" w:eastAsia="宋体" w:cs="宋体"/>
                <w:spacing w:val="-2"/>
                <w:sz w:val="21"/>
                <w:szCs w:val="21"/>
              </w:rPr>
              <w:t>市场调查、访问</w:t>
            </w:r>
          </w:p>
        </w:tc>
        <w:tc>
          <w:tcPr>
            <w:tcW w:w="1523" w:type="dxa"/>
            <w:tcBorders>
              <w:right w:val="single" w:color="000000" w:sz="12" w:space="0"/>
            </w:tcBorders>
            <w:vAlign w:val="top"/>
          </w:tcPr>
          <w:p w14:paraId="4CFC5064">
            <w:pPr>
              <w:spacing w:before="42" w:line="197"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5F4C1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31BD8A58">
            <w:pPr>
              <w:pStyle w:val="6"/>
              <w:spacing w:before="42" w:line="197" w:lineRule="auto"/>
              <w:ind w:left="104"/>
            </w:pPr>
            <w:r>
              <w:rPr>
                <w:rFonts w:ascii="宋体" w:hAnsi="宋体" w:eastAsia="宋体" w:cs="宋体"/>
                <w:spacing w:val="-1"/>
              </w:rPr>
              <w:t>戴氏南鳅</w:t>
            </w:r>
            <w:r>
              <w:rPr>
                <w:rFonts w:ascii="宋体" w:hAnsi="宋体" w:eastAsia="宋体" w:cs="宋体"/>
                <w:spacing w:val="-45"/>
              </w:rPr>
              <w:t xml:space="preserve"> </w:t>
            </w:r>
            <w:r>
              <w:rPr>
                <w:i/>
                <w:iCs/>
                <w:spacing w:val="-1"/>
              </w:rPr>
              <w:t>Schistura dabryi</w:t>
            </w:r>
          </w:p>
        </w:tc>
        <w:tc>
          <w:tcPr>
            <w:tcW w:w="2005" w:type="dxa"/>
            <w:vAlign w:val="top"/>
          </w:tcPr>
          <w:p w14:paraId="213CF233">
            <w:pPr>
              <w:spacing w:before="42" w:line="197" w:lineRule="auto"/>
              <w:ind w:left="282"/>
              <w:rPr>
                <w:rFonts w:ascii="宋体" w:hAnsi="宋体" w:eastAsia="宋体" w:cs="宋体"/>
                <w:sz w:val="21"/>
                <w:szCs w:val="21"/>
              </w:rPr>
            </w:pPr>
            <w:r>
              <w:rPr>
                <w:rFonts w:ascii="宋体" w:hAnsi="宋体" w:eastAsia="宋体" w:cs="宋体"/>
                <w:spacing w:val="-2"/>
                <w:sz w:val="21"/>
                <w:szCs w:val="21"/>
              </w:rPr>
              <w:t>市场调查、访问</w:t>
            </w:r>
          </w:p>
        </w:tc>
        <w:tc>
          <w:tcPr>
            <w:tcW w:w="1523" w:type="dxa"/>
            <w:tcBorders>
              <w:right w:val="single" w:color="000000" w:sz="12" w:space="0"/>
            </w:tcBorders>
            <w:vAlign w:val="top"/>
          </w:tcPr>
          <w:p w14:paraId="1412DA03">
            <w:pPr>
              <w:spacing w:before="42" w:line="197"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6AEEF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2627AFB7">
            <w:pPr>
              <w:pStyle w:val="6"/>
              <w:spacing w:before="44" w:line="196" w:lineRule="auto"/>
              <w:ind w:left="105"/>
            </w:pPr>
            <w:r>
              <w:rPr>
                <w:rFonts w:ascii="宋体" w:hAnsi="宋体" w:eastAsia="宋体" w:cs="宋体"/>
                <w:spacing w:val="-1"/>
              </w:rPr>
              <w:t>红尾副鳅</w:t>
            </w:r>
            <w:r>
              <w:rPr>
                <w:rFonts w:ascii="宋体" w:hAnsi="宋体" w:eastAsia="宋体" w:cs="宋体"/>
                <w:spacing w:val="-40"/>
              </w:rPr>
              <w:t xml:space="preserve"> </w:t>
            </w:r>
            <w:r>
              <w:rPr>
                <w:i/>
                <w:iCs/>
                <w:spacing w:val="-1"/>
              </w:rPr>
              <w:t>Paracobitis variegatus</w:t>
            </w:r>
          </w:p>
        </w:tc>
        <w:tc>
          <w:tcPr>
            <w:tcW w:w="2005" w:type="dxa"/>
            <w:vAlign w:val="top"/>
          </w:tcPr>
          <w:p w14:paraId="1025AE39">
            <w:pPr>
              <w:spacing w:before="44" w:line="196"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3DEC48E6">
            <w:pPr>
              <w:spacing w:before="44" w:line="196"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456CC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AF43A68">
            <w:pPr>
              <w:pStyle w:val="6"/>
              <w:spacing w:before="44" w:line="195" w:lineRule="auto"/>
              <w:ind w:left="97"/>
            </w:pPr>
            <w:r>
              <w:rPr>
                <w:b/>
                <w:bCs/>
                <w:spacing w:val="-2"/>
              </w:rPr>
              <w:t xml:space="preserve">F3 </w:t>
            </w:r>
            <w:r>
              <w:rPr>
                <w:rFonts w:ascii="宋体" w:hAnsi="宋体" w:eastAsia="宋体" w:cs="宋体"/>
                <w:b/>
                <w:bCs/>
                <w:spacing w:val="-2"/>
              </w:rPr>
              <w:t>鳅科</w:t>
            </w:r>
            <w:r>
              <w:rPr>
                <w:rFonts w:ascii="宋体" w:hAnsi="宋体" w:eastAsia="宋体" w:cs="宋体"/>
                <w:spacing w:val="-33"/>
              </w:rPr>
              <w:t xml:space="preserve"> </w:t>
            </w:r>
            <w:r>
              <w:rPr>
                <w:b/>
                <w:bCs/>
                <w:spacing w:val="-2"/>
              </w:rPr>
              <w:t>Cobitidae</w:t>
            </w:r>
          </w:p>
        </w:tc>
        <w:tc>
          <w:tcPr>
            <w:tcW w:w="2005" w:type="dxa"/>
            <w:vAlign w:val="top"/>
          </w:tcPr>
          <w:p w14:paraId="2B7CDA07">
            <w:pPr>
              <w:rPr>
                <w:rFonts w:ascii="Arial"/>
                <w:sz w:val="21"/>
              </w:rPr>
            </w:pPr>
          </w:p>
        </w:tc>
        <w:tc>
          <w:tcPr>
            <w:tcW w:w="1523" w:type="dxa"/>
            <w:tcBorders>
              <w:right w:val="single" w:color="000000" w:sz="12" w:space="0"/>
            </w:tcBorders>
            <w:vAlign w:val="top"/>
          </w:tcPr>
          <w:p w14:paraId="3E8E0EEB">
            <w:pPr>
              <w:rPr>
                <w:rFonts w:ascii="Arial"/>
                <w:sz w:val="21"/>
              </w:rPr>
            </w:pPr>
          </w:p>
        </w:tc>
      </w:tr>
      <w:tr w14:paraId="61810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526C9A16">
            <w:pPr>
              <w:pStyle w:val="6"/>
              <w:spacing w:before="45" w:line="194" w:lineRule="auto"/>
              <w:ind w:left="102"/>
            </w:pPr>
            <w:r>
              <w:rPr>
                <w:rFonts w:ascii="宋体" w:hAnsi="宋体" w:eastAsia="宋体" w:cs="宋体"/>
                <w:spacing w:val="-1"/>
              </w:rPr>
              <w:t>泥鳅</w:t>
            </w:r>
            <w:r>
              <w:rPr>
                <w:rFonts w:ascii="宋体" w:hAnsi="宋体" w:eastAsia="宋体" w:cs="宋体"/>
                <w:spacing w:val="-43"/>
              </w:rPr>
              <w:t xml:space="preserve"> </w:t>
            </w:r>
            <w:r>
              <w:rPr>
                <w:i/>
                <w:iCs/>
                <w:spacing w:val="-1"/>
              </w:rPr>
              <w:t>Misgurnusanguillicaudatus</w:t>
            </w:r>
          </w:p>
        </w:tc>
        <w:tc>
          <w:tcPr>
            <w:tcW w:w="2005" w:type="dxa"/>
            <w:vAlign w:val="top"/>
          </w:tcPr>
          <w:p w14:paraId="0B1FDBF6">
            <w:pPr>
              <w:pStyle w:val="6"/>
              <w:spacing w:before="78" w:line="186" w:lineRule="auto"/>
              <w:ind w:left="955"/>
            </w:pPr>
            <w:r>
              <w:t>2</w:t>
            </w:r>
          </w:p>
        </w:tc>
        <w:tc>
          <w:tcPr>
            <w:tcW w:w="1523" w:type="dxa"/>
            <w:tcBorders>
              <w:right w:val="single" w:color="000000" w:sz="12" w:space="0"/>
            </w:tcBorders>
            <w:vAlign w:val="top"/>
          </w:tcPr>
          <w:p w14:paraId="357BE8F8">
            <w:pPr>
              <w:spacing w:before="45" w:line="194"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3993A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641D8664">
            <w:pPr>
              <w:pStyle w:val="6"/>
              <w:spacing w:before="46" w:line="194" w:lineRule="auto"/>
              <w:ind w:left="100"/>
            </w:pPr>
            <w:r>
              <w:rPr>
                <w:b/>
                <w:bCs/>
                <w:spacing w:val="-2"/>
              </w:rPr>
              <w:t xml:space="preserve">O2  </w:t>
            </w:r>
            <w:r>
              <w:rPr>
                <w:rFonts w:ascii="宋体" w:hAnsi="宋体" w:eastAsia="宋体" w:cs="宋体"/>
                <w:b/>
                <w:bCs/>
                <w:spacing w:val="-2"/>
              </w:rPr>
              <w:t>颌针鱼目</w:t>
            </w:r>
            <w:r>
              <w:rPr>
                <w:rFonts w:ascii="宋体" w:hAnsi="宋体" w:eastAsia="宋体" w:cs="宋体"/>
                <w:spacing w:val="-29"/>
              </w:rPr>
              <w:t xml:space="preserve"> </w:t>
            </w:r>
            <w:r>
              <w:rPr>
                <w:b/>
                <w:bCs/>
                <w:spacing w:val="-2"/>
              </w:rPr>
              <w:t>BELONIFORMES</w:t>
            </w:r>
          </w:p>
        </w:tc>
        <w:tc>
          <w:tcPr>
            <w:tcW w:w="2005" w:type="dxa"/>
            <w:vAlign w:val="top"/>
          </w:tcPr>
          <w:p w14:paraId="34F7CA05">
            <w:pPr>
              <w:rPr>
                <w:rFonts w:ascii="Arial"/>
                <w:sz w:val="21"/>
              </w:rPr>
            </w:pPr>
          </w:p>
        </w:tc>
        <w:tc>
          <w:tcPr>
            <w:tcW w:w="1523" w:type="dxa"/>
            <w:tcBorders>
              <w:right w:val="single" w:color="000000" w:sz="12" w:space="0"/>
            </w:tcBorders>
            <w:vAlign w:val="top"/>
          </w:tcPr>
          <w:p w14:paraId="39B84D29">
            <w:pPr>
              <w:rPr>
                <w:rFonts w:ascii="Arial"/>
                <w:sz w:val="21"/>
              </w:rPr>
            </w:pPr>
          </w:p>
        </w:tc>
      </w:tr>
      <w:tr w14:paraId="02885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3432DDB2">
            <w:pPr>
              <w:pStyle w:val="6"/>
              <w:spacing w:before="46" w:line="193" w:lineRule="auto"/>
              <w:ind w:left="97"/>
            </w:pPr>
            <w:r>
              <w:rPr>
                <w:b/>
                <w:bCs/>
                <w:spacing w:val="-1"/>
              </w:rPr>
              <w:t xml:space="preserve">F4 </w:t>
            </w:r>
            <w:r>
              <w:rPr>
                <w:rFonts w:ascii="宋体" w:hAnsi="宋体" w:eastAsia="宋体" w:cs="宋体"/>
                <w:b/>
                <w:bCs/>
                <w:spacing w:val="-1"/>
              </w:rPr>
              <w:t>怪颌鳉科</w:t>
            </w:r>
            <w:r>
              <w:rPr>
                <w:rFonts w:ascii="宋体" w:hAnsi="宋体" w:eastAsia="宋体" w:cs="宋体"/>
                <w:spacing w:val="-40"/>
              </w:rPr>
              <w:t xml:space="preserve"> </w:t>
            </w:r>
            <w:r>
              <w:rPr>
                <w:b/>
                <w:bCs/>
                <w:spacing w:val="-1"/>
              </w:rPr>
              <w:t>Adrianichthyidae</w:t>
            </w:r>
          </w:p>
        </w:tc>
        <w:tc>
          <w:tcPr>
            <w:tcW w:w="2005" w:type="dxa"/>
            <w:vAlign w:val="top"/>
          </w:tcPr>
          <w:p w14:paraId="7DC60D4F">
            <w:pPr>
              <w:rPr>
                <w:rFonts w:ascii="Arial"/>
                <w:sz w:val="21"/>
              </w:rPr>
            </w:pPr>
          </w:p>
        </w:tc>
        <w:tc>
          <w:tcPr>
            <w:tcW w:w="1523" w:type="dxa"/>
            <w:tcBorders>
              <w:right w:val="single" w:color="000000" w:sz="12" w:space="0"/>
            </w:tcBorders>
            <w:vAlign w:val="top"/>
          </w:tcPr>
          <w:p w14:paraId="1106B1C0">
            <w:pPr>
              <w:rPr>
                <w:rFonts w:ascii="Arial"/>
                <w:sz w:val="21"/>
              </w:rPr>
            </w:pPr>
          </w:p>
        </w:tc>
      </w:tr>
      <w:tr w14:paraId="0F1FA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45" w:type="dxa"/>
            <w:tcBorders>
              <w:left w:val="single" w:color="000000" w:sz="12" w:space="0"/>
            </w:tcBorders>
            <w:vAlign w:val="top"/>
          </w:tcPr>
          <w:p w14:paraId="0B00E3C3">
            <w:pPr>
              <w:pStyle w:val="6"/>
              <w:spacing w:before="48" w:line="193" w:lineRule="auto"/>
              <w:ind w:left="120"/>
            </w:pPr>
            <w:r>
              <w:rPr>
                <w:rFonts w:ascii="宋体" w:hAnsi="宋体" w:eastAsia="宋体" w:cs="宋体"/>
                <w:spacing w:val="-3"/>
              </w:rPr>
              <w:t>中华青鳉</w:t>
            </w:r>
            <w:r>
              <w:rPr>
                <w:rFonts w:ascii="宋体" w:hAnsi="宋体" w:eastAsia="宋体" w:cs="宋体"/>
                <w:spacing w:val="-21"/>
              </w:rPr>
              <w:t xml:space="preserve"> </w:t>
            </w:r>
            <w:r>
              <w:rPr>
                <w:i/>
                <w:iCs/>
                <w:spacing w:val="-3"/>
              </w:rPr>
              <w:t>Oryzias sinensis</w:t>
            </w:r>
          </w:p>
        </w:tc>
        <w:tc>
          <w:tcPr>
            <w:tcW w:w="2005" w:type="dxa"/>
            <w:vAlign w:val="top"/>
          </w:tcPr>
          <w:p w14:paraId="62007C76">
            <w:pPr>
              <w:spacing w:before="48" w:line="193"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1F13210C">
            <w:pPr>
              <w:spacing w:before="48" w:line="193"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0E47C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06AB4D0">
            <w:pPr>
              <w:pStyle w:val="6"/>
              <w:spacing w:before="47" w:line="192" w:lineRule="auto"/>
              <w:ind w:left="100"/>
            </w:pPr>
            <w:r>
              <w:rPr>
                <w:b/>
                <w:bCs/>
                <w:spacing w:val="-2"/>
              </w:rPr>
              <w:t xml:space="preserve">O3 </w:t>
            </w:r>
            <w:r>
              <w:rPr>
                <w:rFonts w:ascii="宋体" w:hAnsi="宋体" w:eastAsia="宋体" w:cs="宋体"/>
                <w:b/>
                <w:bCs/>
                <w:spacing w:val="-2"/>
              </w:rPr>
              <w:t>合鳃鱼目</w:t>
            </w:r>
            <w:r>
              <w:rPr>
                <w:rFonts w:ascii="宋体" w:hAnsi="宋体" w:eastAsia="宋体" w:cs="宋体"/>
                <w:spacing w:val="-23"/>
              </w:rPr>
              <w:t xml:space="preserve"> </w:t>
            </w:r>
            <w:r>
              <w:rPr>
                <w:b/>
                <w:bCs/>
                <w:spacing w:val="-2"/>
              </w:rPr>
              <w:t>SYNBRANCHIFORMES</w:t>
            </w:r>
          </w:p>
        </w:tc>
        <w:tc>
          <w:tcPr>
            <w:tcW w:w="2005" w:type="dxa"/>
            <w:vAlign w:val="top"/>
          </w:tcPr>
          <w:p w14:paraId="15CBE649">
            <w:pPr>
              <w:rPr>
                <w:rFonts w:ascii="Arial"/>
                <w:sz w:val="21"/>
              </w:rPr>
            </w:pPr>
          </w:p>
        </w:tc>
        <w:tc>
          <w:tcPr>
            <w:tcW w:w="1523" w:type="dxa"/>
            <w:tcBorders>
              <w:right w:val="single" w:color="000000" w:sz="12" w:space="0"/>
            </w:tcBorders>
            <w:vAlign w:val="top"/>
          </w:tcPr>
          <w:p w14:paraId="778AA23F">
            <w:pPr>
              <w:rPr>
                <w:rFonts w:ascii="Arial"/>
                <w:sz w:val="21"/>
              </w:rPr>
            </w:pPr>
          </w:p>
        </w:tc>
      </w:tr>
      <w:tr w14:paraId="0B854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2E0A62D9">
            <w:pPr>
              <w:pStyle w:val="6"/>
              <w:spacing w:before="49" w:line="191" w:lineRule="auto"/>
              <w:ind w:left="97"/>
            </w:pPr>
            <w:r>
              <w:rPr>
                <w:b/>
                <w:bCs/>
                <w:spacing w:val="-2"/>
              </w:rPr>
              <w:t xml:space="preserve">F5 </w:t>
            </w:r>
            <w:r>
              <w:rPr>
                <w:rFonts w:ascii="宋体" w:hAnsi="宋体" w:eastAsia="宋体" w:cs="宋体"/>
                <w:b/>
                <w:bCs/>
                <w:spacing w:val="-2"/>
              </w:rPr>
              <w:t>合鳃鱼科</w:t>
            </w:r>
            <w:r>
              <w:rPr>
                <w:rFonts w:ascii="宋体" w:hAnsi="宋体" w:eastAsia="宋体" w:cs="宋体"/>
                <w:spacing w:val="-23"/>
              </w:rPr>
              <w:t xml:space="preserve"> </w:t>
            </w:r>
            <w:r>
              <w:rPr>
                <w:b/>
                <w:bCs/>
                <w:spacing w:val="-2"/>
              </w:rPr>
              <w:t>Synbranchidae</w:t>
            </w:r>
          </w:p>
        </w:tc>
        <w:tc>
          <w:tcPr>
            <w:tcW w:w="2005" w:type="dxa"/>
            <w:vAlign w:val="top"/>
          </w:tcPr>
          <w:p w14:paraId="6BCC9C82">
            <w:pPr>
              <w:rPr>
                <w:rFonts w:ascii="Arial"/>
                <w:sz w:val="21"/>
              </w:rPr>
            </w:pPr>
          </w:p>
        </w:tc>
        <w:tc>
          <w:tcPr>
            <w:tcW w:w="1523" w:type="dxa"/>
            <w:tcBorders>
              <w:right w:val="single" w:color="000000" w:sz="12" w:space="0"/>
            </w:tcBorders>
            <w:vAlign w:val="top"/>
          </w:tcPr>
          <w:p w14:paraId="7C8AC555">
            <w:pPr>
              <w:rPr>
                <w:rFonts w:ascii="Arial"/>
                <w:sz w:val="21"/>
              </w:rPr>
            </w:pPr>
          </w:p>
        </w:tc>
      </w:tr>
      <w:tr w14:paraId="0721C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395B7800">
            <w:pPr>
              <w:pStyle w:val="6"/>
              <w:spacing w:before="48" w:line="191" w:lineRule="auto"/>
              <w:ind w:left="99"/>
            </w:pPr>
            <w:r>
              <w:rPr>
                <w:rFonts w:ascii="宋体" w:hAnsi="宋体" w:eastAsia="宋体" w:cs="宋体"/>
                <w:spacing w:val="-1"/>
              </w:rPr>
              <w:t>黄鳝</w:t>
            </w:r>
            <w:r>
              <w:rPr>
                <w:rFonts w:ascii="宋体" w:hAnsi="宋体" w:eastAsia="宋体" w:cs="宋体"/>
                <w:spacing w:val="-44"/>
              </w:rPr>
              <w:t xml:space="preserve"> </w:t>
            </w:r>
            <w:r>
              <w:rPr>
                <w:i/>
                <w:iCs/>
                <w:spacing w:val="-1"/>
              </w:rPr>
              <w:t>Monopterusalbus</w:t>
            </w:r>
          </w:p>
        </w:tc>
        <w:tc>
          <w:tcPr>
            <w:tcW w:w="2005" w:type="dxa"/>
            <w:vAlign w:val="top"/>
          </w:tcPr>
          <w:p w14:paraId="6EFAF191">
            <w:pPr>
              <w:spacing w:before="48" w:line="191" w:lineRule="auto"/>
              <w:ind w:left="282"/>
              <w:rPr>
                <w:rFonts w:ascii="宋体" w:hAnsi="宋体" w:eastAsia="宋体" w:cs="宋体"/>
                <w:sz w:val="21"/>
                <w:szCs w:val="21"/>
              </w:rPr>
            </w:pPr>
            <w:r>
              <w:rPr>
                <w:rFonts w:ascii="宋体" w:hAnsi="宋体" w:eastAsia="宋体" w:cs="宋体"/>
                <w:spacing w:val="-2"/>
                <w:sz w:val="21"/>
                <w:szCs w:val="21"/>
              </w:rPr>
              <w:t>市场调查、访问</w:t>
            </w:r>
          </w:p>
        </w:tc>
        <w:tc>
          <w:tcPr>
            <w:tcW w:w="1523" w:type="dxa"/>
            <w:tcBorders>
              <w:right w:val="single" w:color="000000" w:sz="12" w:space="0"/>
            </w:tcBorders>
            <w:vAlign w:val="top"/>
          </w:tcPr>
          <w:p w14:paraId="6445FA10">
            <w:pPr>
              <w:spacing w:before="48" w:line="191"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2FDFB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77B054C8">
            <w:pPr>
              <w:pStyle w:val="6"/>
              <w:spacing w:before="50" w:line="190" w:lineRule="auto"/>
              <w:ind w:left="100"/>
            </w:pPr>
            <w:r>
              <w:rPr>
                <w:b/>
                <w:bCs/>
                <w:spacing w:val="-1"/>
              </w:rPr>
              <w:t xml:space="preserve">O4 </w:t>
            </w:r>
            <w:r>
              <w:rPr>
                <w:rFonts w:ascii="宋体" w:hAnsi="宋体" w:eastAsia="宋体" w:cs="宋体"/>
                <w:b/>
                <w:bCs/>
                <w:spacing w:val="-1"/>
              </w:rPr>
              <w:t>鳉形目</w:t>
            </w:r>
            <w:r>
              <w:rPr>
                <w:rFonts w:ascii="宋体" w:hAnsi="宋体" w:eastAsia="宋体" w:cs="宋体"/>
                <w:spacing w:val="-41"/>
              </w:rPr>
              <w:t xml:space="preserve"> </w:t>
            </w:r>
            <w:r>
              <w:rPr>
                <w:b/>
                <w:bCs/>
                <w:spacing w:val="-1"/>
              </w:rPr>
              <w:t>Cyprinodontiformes</w:t>
            </w:r>
          </w:p>
        </w:tc>
        <w:tc>
          <w:tcPr>
            <w:tcW w:w="2005" w:type="dxa"/>
            <w:vAlign w:val="top"/>
          </w:tcPr>
          <w:p w14:paraId="603ADA23">
            <w:pPr>
              <w:rPr>
                <w:rFonts w:ascii="Arial"/>
                <w:sz w:val="21"/>
              </w:rPr>
            </w:pPr>
          </w:p>
        </w:tc>
        <w:tc>
          <w:tcPr>
            <w:tcW w:w="1523" w:type="dxa"/>
            <w:tcBorders>
              <w:right w:val="single" w:color="000000" w:sz="12" w:space="0"/>
            </w:tcBorders>
            <w:vAlign w:val="top"/>
          </w:tcPr>
          <w:p w14:paraId="3530E759">
            <w:pPr>
              <w:rPr>
                <w:rFonts w:ascii="Arial"/>
                <w:sz w:val="21"/>
              </w:rPr>
            </w:pPr>
          </w:p>
        </w:tc>
      </w:tr>
      <w:tr w14:paraId="2B6D0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6561994E">
            <w:pPr>
              <w:pStyle w:val="6"/>
              <w:spacing w:before="51" w:line="189" w:lineRule="auto"/>
              <w:ind w:left="97"/>
            </w:pPr>
            <w:r>
              <w:rPr>
                <w:b/>
                <w:bCs/>
                <w:spacing w:val="-1"/>
              </w:rPr>
              <w:t xml:space="preserve">F6 </w:t>
            </w:r>
            <w:r>
              <w:rPr>
                <w:rFonts w:ascii="宋体" w:hAnsi="宋体" w:eastAsia="宋体" w:cs="宋体"/>
                <w:b/>
                <w:bCs/>
                <w:spacing w:val="-1"/>
              </w:rPr>
              <w:t>胎鳉科</w:t>
            </w:r>
            <w:r>
              <w:rPr>
                <w:rFonts w:ascii="宋体" w:hAnsi="宋体" w:eastAsia="宋体" w:cs="宋体"/>
                <w:spacing w:val="-44"/>
              </w:rPr>
              <w:t xml:space="preserve"> </w:t>
            </w:r>
            <w:r>
              <w:rPr>
                <w:b/>
                <w:bCs/>
                <w:spacing w:val="-1"/>
              </w:rPr>
              <w:t>Poeciliidae</w:t>
            </w:r>
          </w:p>
        </w:tc>
        <w:tc>
          <w:tcPr>
            <w:tcW w:w="2005" w:type="dxa"/>
            <w:vAlign w:val="top"/>
          </w:tcPr>
          <w:p w14:paraId="4CA504F3">
            <w:pPr>
              <w:rPr>
                <w:rFonts w:ascii="Arial"/>
                <w:sz w:val="21"/>
              </w:rPr>
            </w:pPr>
          </w:p>
        </w:tc>
        <w:tc>
          <w:tcPr>
            <w:tcW w:w="1523" w:type="dxa"/>
            <w:tcBorders>
              <w:right w:val="single" w:color="000000" w:sz="12" w:space="0"/>
            </w:tcBorders>
            <w:vAlign w:val="top"/>
          </w:tcPr>
          <w:p w14:paraId="3DCDE4DC">
            <w:pPr>
              <w:rPr>
                <w:rFonts w:ascii="Arial"/>
                <w:sz w:val="21"/>
              </w:rPr>
            </w:pPr>
          </w:p>
        </w:tc>
      </w:tr>
      <w:tr w14:paraId="419A0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45" w:type="dxa"/>
            <w:tcBorders>
              <w:left w:val="single" w:color="000000" w:sz="12" w:space="0"/>
            </w:tcBorders>
            <w:vAlign w:val="top"/>
          </w:tcPr>
          <w:p w14:paraId="00203194">
            <w:pPr>
              <w:pStyle w:val="6"/>
              <w:spacing w:before="53" w:line="189" w:lineRule="auto"/>
              <w:ind w:left="100"/>
            </w:pPr>
            <w:r>
              <w:rPr>
                <w:rFonts w:ascii="宋体" w:hAnsi="宋体" w:eastAsia="宋体" w:cs="宋体"/>
                <w:spacing w:val="-2"/>
              </w:rPr>
              <w:t>食蚊鱼</w:t>
            </w:r>
            <w:r>
              <w:rPr>
                <w:rFonts w:ascii="宋体" w:hAnsi="宋体" w:eastAsia="宋体" w:cs="宋体"/>
                <w:spacing w:val="-22"/>
              </w:rPr>
              <w:t xml:space="preserve"> </w:t>
            </w:r>
            <w:r>
              <w:rPr>
                <w:i/>
                <w:iCs/>
                <w:spacing w:val="-2"/>
              </w:rPr>
              <w:t>Gambusia affinis</w:t>
            </w:r>
            <w:r>
              <w:rPr>
                <w:i/>
                <w:iCs/>
                <w:spacing w:val="14"/>
                <w:w w:val="101"/>
              </w:rPr>
              <w:t xml:space="preserve"> </w:t>
            </w:r>
            <w:r>
              <w:rPr>
                <w:spacing w:val="-2"/>
              </w:rPr>
              <w:t>*</w:t>
            </w:r>
          </w:p>
        </w:tc>
        <w:tc>
          <w:tcPr>
            <w:tcW w:w="2005" w:type="dxa"/>
            <w:vAlign w:val="top"/>
          </w:tcPr>
          <w:p w14:paraId="1B1ADC52">
            <w:pPr>
              <w:pStyle w:val="6"/>
              <w:spacing w:before="85" w:line="181" w:lineRule="auto"/>
              <w:ind w:left="907"/>
            </w:pPr>
            <w:r>
              <w:rPr>
                <w:spacing w:val="-3"/>
              </w:rPr>
              <w:t>32</w:t>
            </w:r>
          </w:p>
        </w:tc>
        <w:tc>
          <w:tcPr>
            <w:tcW w:w="1523" w:type="dxa"/>
            <w:tcBorders>
              <w:right w:val="single" w:color="000000" w:sz="12" w:space="0"/>
            </w:tcBorders>
            <w:vAlign w:val="top"/>
          </w:tcPr>
          <w:p w14:paraId="5BE42543">
            <w:pPr>
              <w:spacing w:before="53" w:line="189" w:lineRule="auto"/>
              <w:ind w:left="457"/>
              <w:rPr>
                <w:rFonts w:ascii="宋体" w:hAnsi="宋体" w:eastAsia="宋体" w:cs="宋体"/>
                <w:sz w:val="21"/>
                <w:szCs w:val="21"/>
              </w:rPr>
            </w:pPr>
            <w:r>
              <w:rPr>
                <w:rFonts w:ascii="宋体" w:hAnsi="宋体" w:eastAsia="宋体" w:cs="宋体"/>
                <w:spacing w:val="-3"/>
                <w:sz w:val="21"/>
                <w:szCs w:val="21"/>
              </w:rPr>
              <w:t>外来种</w:t>
            </w:r>
          </w:p>
        </w:tc>
      </w:tr>
      <w:tr w14:paraId="0AC8C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52F260E8">
            <w:pPr>
              <w:pStyle w:val="6"/>
              <w:spacing w:before="52" w:line="188" w:lineRule="auto"/>
              <w:ind w:left="100"/>
            </w:pPr>
            <w:r>
              <w:rPr>
                <w:b/>
                <w:bCs/>
                <w:spacing w:val="-2"/>
              </w:rPr>
              <w:t xml:space="preserve">O5 </w:t>
            </w:r>
            <w:r>
              <w:rPr>
                <w:rFonts w:ascii="宋体" w:hAnsi="宋体" w:eastAsia="宋体" w:cs="宋体"/>
                <w:b/>
                <w:bCs/>
                <w:spacing w:val="-2"/>
              </w:rPr>
              <w:t>鲇形目</w:t>
            </w:r>
            <w:r>
              <w:rPr>
                <w:rFonts w:ascii="宋体" w:hAnsi="宋体" w:eastAsia="宋体" w:cs="宋体"/>
                <w:spacing w:val="-30"/>
              </w:rPr>
              <w:t xml:space="preserve"> </w:t>
            </w:r>
            <w:r>
              <w:rPr>
                <w:b/>
                <w:bCs/>
                <w:spacing w:val="-2"/>
              </w:rPr>
              <w:t>Siluriformes</w:t>
            </w:r>
          </w:p>
        </w:tc>
        <w:tc>
          <w:tcPr>
            <w:tcW w:w="2005" w:type="dxa"/>
            <w:vAlign w:val="top"/>
          </w:tcPr>
          <w:p w14:paraId="1EEB0D4C">
            <w:pPr>
              <w:rPr>
                <w:rFonts w:ascii="Arial"/>
                <w:sz w:val="21"/>
              </w:rPr>
            </w:pPr>
          </w:p>
        </w:tc>
        <w:tc>
          <w:tcPr>
            <w:tcW w:w="1523" w:type="dxa"/>
            <w:tcBorders>
              <w:right w:val="single" w:color="000000" w:sz="12" w:space="0"/>
            </w:tcBorders>
            <w:vAlign w:val="top"/>
          </w:tcPr>
          <w:p w14:paraId="031B7076">
            <w:pPr>
              <w:rPr>
                <w:rFonts w:ascii="Arial"/>
                <w:sz w:val="21"/>
              </w:rPr>
            </w:pPr>
          </w:p>
        </w:tc>
      </w:tr>
      <w:tr w14:paraId="244C7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26F1AF32">
            <w:pPr>
              <w:pStyle w:val="6"/>
              <w:spacing w:before="52" w:line="188" w:lineRule="auto"/>
              <w:ind w:left="97"/>
            </w:pPr>
            <w:r>
              <w:rPr>
                <w:b/>
                <w:bCs/>
                <w:spacing w:val="-2"/>
              </w:rPr>
              <w:t xml:space="preserve">F7 </w:t>
            </w:r>
            <w:r>
              <w:rPr>
                <w:rFonts w:ascii="宋体" w:hAnsi="宋体" w:eastAsia="宋体" w:cs="宋体"/>
                <w:b/>
                <w:bCs/>
                <w:spacing w:val="-2"/>
              </w:rPr>
              <w:t>鲇科</w:t>
            </w:r>
            <w:r>
              <w:rPr>
                <w:rFonts w:ascii="宋体" w:hAnsi="宋体" w:eastAsia="宋体" w:cs="宋体"/>
                <w:spacing w:val="20"/>
              </w:rPr>
              <w:t xml:space="preserve"> </w:t>
            </w:r>
            <w:r>
              <w:rPr>
                <w:b/>
                <w:bCs/>
                <w:spacing w:val="-2"/>
              </w:rPr>
              <w:t>Siluridae</w:t>
            </w:r>
          </w:p>
        </w:tc>
        <w:tc>
          <w:tcPr>
            <w:tcW w:w="2005" w:type="dxa"/>
            <w:vAlign w:val="top"/>
          </w:tcPr>
          <w:p w14:paraId="3E190A5F">
            <w:pPr>
              <w:rPr>
                <w:rFonts w:ascii="Arial"/>
                <w:sz w:val="21"/>
              </w:rPr>
            </w:pPr>
          </w:p>
        </w:tc>
        <w:tc>
          <w:tcPr>
            <w:tcW w:w="1523" w:type="dxa"/>
            <w:tcBorders>
              <w:right w:val="single" w:color="000000" w:sz="12" w:space="0"/>
            </w:tcBorders>
            <w:vAlign w:val="top"/>
          </w:tcPr>
          <w:p w14:paraId="5D9FC8ED">
            <w:pPr>
              <w:rPr>
                <w:rFonts w:ascii="Arial"/>
                <w:sz w:val="21"/>
              </w:rPr>
            </w:pPr>
          </w:p>
        </w:tc>
      </w:tr>
      <w:tr w14:paraId="45C70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7F10A60F">
            <w:pPr>
              <w:pStyle w:val="6"/>
              <w:spacing w:before="54" w:line="187" w:lineRule="auto"/>
              <w:ind w:left="101"/>
            </w:pPr>
            <w:r>
              <w:rPr>
                <w:rFonts w:ascii="宋体" w:hAnsi="宋体" w:eastAsia="宋体" w:cs="宋体"/>
                <w:spacing w:val="-1"/>
              </w:rPr>
              <w:t>鲇</w:t>
            </w:r>
            <w:r>
              <w:rPr>
                <w:rFonts w:ascii="宋体" w:hAnsi="宋体" w:eastAsia="宋体" w:cs="宋体"/>
                <w:spacing w:val="-47"/>
              </w:rPr>
              <w:t xml:space="preserve"> </w:t>
            </w:r>
            <w:r>
              <w:rPr>
                <w:i/>
                <w:iCs/>
                <w:spacing w:val="-1"/>
              </w:rPr>
              <w:t>Silurus asotus</w:t>
            </w:r>
          </w:p>
        </w:tc>
        <w:tc>
          <w:tcPr>
            <w:tcW w:w="2005" w:type="dxa"/>
            <w:vAlign w:val="top"/>
          </w:tcPr>
          <w:p w14:paraId="0430D0FD">
            <w:pPr>
              <w:spacing w:before="54" w:line="187"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11B46B85">
            <w:pPr>
              <w:spacing w:before="54" w:line="187"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5E7BE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5FD58A63">
            <w:pPr>
              <w:pStyle w:val="6"/>
              <w:spacing w:before="54" w:line="186" w:lineRule="auto"/>
              <w:ind w:left="97"/>
            </w:pPr>
            <w:r>
              <w:rPr>
                <w:b/>
                <w:bCs/>
                <w:spacing w:val="-1"/>
              </w:rPr>
              <w:t xml:space="preserve">F8 </w:t>
            </w:r>
            <w:r>
              <w:rPr>
                <w:rFonts w:ascii="宋体" w:hAnsi="宋体" w:eastAsia="宋体" w:cs="宋体"/>
                <w:b/>
                <w:bCs/>
                <w:spacing w:val="-1"/>
              </w:rPr>
              <w:t>鲿科</w:t>
            </w:r>
            <w:r>
              <w:rPr>
                <w:rFonts w:ascii="宋体" w:hAnsi="宋体" w:eastAsia="宋体" w:cs="宋体"/>
                <w:spacing w:val="5"/>
              </w:rPr>
              <w:t xml:space="preserve"> </w:t>
            </w:r>
            <w:r>
              <w:rPr>
                <w:b/>
                <w:bCs/>
                <w:spacing w:val="-1"/>
              </w:rPr>
              <w:t>Bagridae</w:t>
            </w:r>
          </w:p>
        </w:tc>
        <w:tc>
          <w:tcPr>
            <w:tcW w:w="2005" w:type="dxa"/>
            <w:vAlign w:val="top"/>
          </w:tcPr>
          <w:p w14:paraId="1AD01E3F">
            <w:pPr>
              <w:rPr>
                <w:rFonts w:ascii="Arial"/>
                <w:sz w:val="21"/>
              </w:rPr>
            </w:pPr>
          </w:p>
        </w:tc>
        <w:tc>
          <w:tcPr>
            <w:tcW w:w="1523" w:type="dxa"/>
            <w:tcBorders>
              <w:right w:val="single" w:color="000000" w:sz="12" w:space="0"/>
            </w:tcBorders>
            <w:vAlign w:val="top"/>
          </w:tcPr>
          <w:p w14:paraId="692FD7B0">
            <w:pPr>
              <w:rPr>
                <w:rFonts w:ascii="Arial"/>
                <w:sz w:val="21"/>
              </w:rPr>
            </w:pPr>
          </w:p>
        </w:tc>
      </w:tr>
      <w:tr w14:paraId="4F7CF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721AD5F6">
            <w:pPr>
              <w:pStyle w:val="6"/>
              <w:spacing w:before="56" w:line="185" w:lineRule="auto"/>
              <w:ind w:left="99"/>
            </w:pPr>
            <w:r>
              <w:rPr>
                <w:rFonts w:ascii="宋体" w:hAnsi="宋体" w:eastAsia="宋体" w:cs="宋体"/>
              </w:rPr>
              <w:t>切尾拟鲿</w:t>
            </w:r>
            <w:r>
              <w:rPr>
                <w:rFonts w:ascii="宋体" w:hAnsi="宋体" w:eastAsia="宋体" w:cs="宋体"/>
                <w:spacing w:val="-57"/>
              </w:rPr>
              <w:t xml:space="preserve"> </w:t>
            </w:r>
            <w:r>
              <w:rPr>
                <w:i/>
                <w:iCs/>
              </w:rPr>
              <w:t>Pseudobagrus trunc</w:t>
            </w:r>
            <w:r>
              <w:rPr>
                <w:i/>
                <w:iCs/>
                <w:spacing w:val="-1"/>
              </w:rPr>
              <w:t>atus</w:t>
            </w:r>
          </w:p>
        </w:tc>
        <w:tc>
          <w:tcPr>
            <w:tcW w:w="2005" w:type="dxa"/>
            <w:vAlign w:val="top"/>
          </w:tcPr>
          <w:p w14:paraId="31C163CD">
            <w:pPr>
              <w:spacing w:before="56" w:line="185" w:lineRule="auto"/>
              <w:ind w:left="810"/>
              <w:rPr>
                <w:rFonts w:ascii="宋体" w:hAnsi="宋体" w:eastAsia="宋体" w:cs="宋体"/>
                <w:sz w:val="21"/>
                <w:szCs w:val="21"/>
              </w:rPr>
            </w:pPr>
            <w:r>
              <w:rPr>
                <w:rFonts w:ascii="宋体" w:hAnsi="宋体" w:eastAsia="宋体" w:cs="宋体"/>
                <w:spacing w:val="-5"/>
                <w:sz w:val="21"/>
                <w:szCs w:val="21"/>
              </w:rPr>
              <w:t>资料</w:t>
            </w:r>
          </w:p>
        </w:tc>
        <w:tc>
          <w:tcPr>
            <w:tcW w:w="1523" w:type="dxa"/>
            <w:tcBorders>
              <w:right w:val="single" w:color="000000" w:sz="12" w:space="0"/>
            </w:tcBorders>
            <w:vAlign w:val="top"/>
          </w:tcPr>
          <w:p w14:paraId="60B4F882">
            <w:pPr>
              <w:spacing w:before="56" w:line="185"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651BE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1039FCD6">
            <w:pPr>
              <w:pStyle w:val="6"/>
              <w:spacing w:before="56" w:line="184" w:lineRule="auto"/>
              <w:ind w:left="100"/>
            </w:pPr>
            <w:r>
              <w:rPr>
                <w:b/>
                <w:bCs/>
                <w:spacing w:val="-1"/>
              </w:rPr>
              <w:t xml:space="preserve">O6 </w:t>
            </w:r>
            <w:r>
              <w:rPr>
                <w:rFonts w:ascii="宋体" w:hAnsi="宋体" w:eastAsia="宋体" w:cs="宋体"/>
                <w:b/>
                <w:bCs/>
                <w:spacing w:val="-1"/>
              </w:rPr>
              <w:t>鲈形目</w:t>
            </w:r>
            <w:r>
              <w:rPr>
                <w:rFonts w:ascii="宋体" w:hAnsi="宋体" w:eastAsia="宋体" w:cs="宋体"/>
                <w:spacing w:val="-1"/>
              </w:rPr>
              <w:t xml:space="preserve"> </w:t>
            </w:r>
            <w:r>
              <w:rPr>
                <w:b/>
                <w:bCs/>
                <w:spacing w:val="-1"/>
              </w:rPr>
              <w:t>PERCIFORMES</w:t>
            </w:r>
          </w:p>
        </w:tc>
        <w:tc>
          <w:tcPr>
            <w:tcW w:w="2005" w:type="dxa"/>
            <w:vAlign w:val="top"/>
          </w:tcPr>
          <w:p w14:paraId="40A935BA">
            <w:pPr>
              <w:rPr>
                <w:rFonts w:ascii="Arial"/>
                <w:sz w:val="21"/>
              </w:rPr>
            </w:pPr>
          </w:p>
        </w:tc>
        <w:tc>
          <w:tcPr>
            <w:tcW w:w="1523" w:type="dxa"/>
            <w:tcBorders>
              <w:right w:val="single" w:color="000000" w:sz="12" w:space="0"/>
            </w:tcBorders>
            <w:vAlign w:val="top"/>
          </w:tcPr>
          <w:p w14:paraId="129D7622">
            <w:pPr>
              <w:rPr>
                <w:rFonts w:ascii="Arial"/>
                <w:sz w:val="21"/>
              </w:rPr>
            </w:pPr>
          </w:p>
        </w:tc>
      </w:tr>
      <w:tr w14:paraId="00E95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45" w:type="dxa"/>
            <w:tcBorders>
              <w:left w:val="single" w:color="000000" w:sz="12" w:space="0"/>
            </w:tcBorders>
            <w:vAlign w:val="top"/>
          </w:tcPr>
          <w:p w14:paraId="42137C95">
            <w:pPr>
              <w:pStyle w:val="6"/>
              <w:spacing w:before="58" w:line="184" w:lineRule="auto"/>
              <w:ind w:left="95"/>
            </w:pPr>
            <w:r>
              <w:rPr>
                <w:spacing w:val="-1"/>
              </w:rPr>
              <w:t xml:space="preserve">F9 </w:t>
            </w:r>
            <w:r>
              <w:rPr>
                <w:rFonts w:ascii="宋体" w:hAnsi="宋体" w:eastAsia="宋体" w:cs="宋体"/>
                <w:spacing w:val="-1"/>
              </w:rPr>
              <w:t>虾虎科</w:t>
            </w:r>
            <w:r>
              <w:rPr>
                <w:rFonts w:ascii="宋体" w:hAnsi="宋体" w:eastAsia="宋体" w:cs="宋体"/>
                <w:spacing w:val="9"/>
              </w:rPr>
              <w:t xml:space="preserve"> </w:t>
            </w:r>
            <w:r>
              <w:rPr>
                <w:spacing w:val="-1"/>
              </w:rPr>
              <w:t>Gobiidae</w:t>
            </w:r>
          </w:p>
        </w:tc>
        <w:tc>
          <w:tcPr>
            <w:tcW w:w="2005" w:type="dxa"/>
            <w:vAlign w:val="top"/>
          </w:tcPr>
          <w:p w14:paraId="1594B3ED">
            <w:pPr>
              <w:rPr>
                <w:rFonts w:ascii="Arial"/>
                <w:sz w:val="21"/>
              </w:rPr>
            </w:pPr>
          </w:p>
        </w:tc>
        <w:tc>
          <w:tcPr>
            <w:tcW w:w="1523" w:type="dxa"/>
            <w:tcBorders>
              <w:right w:val="single" w:color="000000" w:sz="12" w:space="0"/>
            </w:tcBorders>
            <w:vAlign w:val="top"/>
          </w:tcPr>
          <w:p w14:paraId="0D86369F">
            <w:pPr>
              <w:rPr>
                <w:rFonts w:ascii="Arial"/>
                <w:sz w:val="21"/>
              </w:rPr>
            </w:pPr>
          </w:p>
        </w:tc>
      </w:tr>
      <w:tr w14:paraId="386FF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945" w:type="dxa"/>
            <w:tcBorders>
              <w:left w:val="single" w:color="000000" w:sz="12" w:space="0"/>
            </w:tcBorders>
            <w:vAlign w:val="top"/>
          </w:tcPr>
          <w:p w14:paraId="764B0905">
            <w:pPr>
              <w:pStyle w:val="6"/>
              <w:spacing w:before="57" w:line="184" w:lineRule="auto"/>
              <w:ind w:left="101"/>
            </w:pPr>
            <w:r>
              <w:rPr>
                <w:rFonts w:ascii="宋体" w:hAnsi="宋体" w:eastAsia="宋体" w:cs="宋体"/>
                <w:spacing w:val="8"/>
              </w:rPr>
              <w:t>子陵吻虾虎鱼</w:t>
            </w:r>
            <w:r>
              <w:rPr>
                <w:rFonts w:ascii="宋体" w:hAnsi="宋体" w:eastAsia="宋体" w:cs="宋体"/>
                <w:spacing w:val="-57"/>
              </w:rPr>
              <w:t xml:space="preserve"> </w:t>
            </w:r>
            <w:r>
              <w:rPr>
                <w:i/>
                <w:iCs/>
              </w:rPr>
              <w:t>Rhinogobiusgiurinus</w:t>
            </w:r>
          </w:p>
        </w:tc>
        <w:tc>
          <w:tcPr>
            <w:tcW w:w="2005" w:type="dxa"/>
            <w:vAlign w:val="top"/>
          </w:tcPr>
          <w:p w14:paraId="52E9D124">
            <w:pPr>
              <w:pStyle w:val="6"/>
              <w:spacing w:before="90" w:line="175" w:lineRule="auto"/>
              <w:ind w:left="960"/>
            </w:pPr>
            <w:r>
              <w:t>3</w:t>
            </w:r>
          </w:p>
        </w:tc>
        <w:tc>
          <w:tcPr>
            <w:tcW w:w="1523" w:type="dxa"/>
            <w:tcBorders>
              <w:right w:val="single" w:color="000000" w:sz="12" w:space="0"/>
            </w:tcBorders>
            <w:vAlign w:val="top"/>
          </w:tcPr>
          <w:p w14:paraId="06D49A9D">
            <w:pPr>
              <w:spacing w:before="57" w:line="184"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74148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45" w:type="dxa"/>
            <w:tcBorders>
              <w:left w:val="single" w:color="000000" w:sz="12" w:space="0"/>
            </w:tcBorders>
            <w:vAlign w:val="top"/>
          </w:tcPr>
          <w:p w14:paraId="667EAE98">
            <w:pPr>
              <w:pStyle w:val="6"/>
              <w:spacing w:before="58" w:line="184" w:lineRule="auto"/>
              <w:ind w:left="97"/>
            </w:pPr>
            <w:r>
              <w:rPr>
                <w:b/>
                <w:bCs/>
                <w:spacing w:val="-1"/>
              </w:rPr>
              <w:t xml:space="preserve">F10 </w:t>
            </w:r>
            <w:r>
              <w:rPr>
                <w:rFonts w:ascii="宋体" w:hAnsi="宋体" w:eastAsia="宋体" w:cs="宋体"/>
                <w:b/>
                <w:bCs/>
                <w:spacing w:val="-1"/>
              </w:rPr>
              <w:t>塘鳢科</w:t>
            </w:r>
            <w:r>
              <w:rPr>
                <w:rFonts w:ascii="宋体" w:hAnsi="宋体" w:eastAsia="宋体" w:cs="宋体"/>
                <w:spacing w:val="-45"/>
              </w:rPr>
              <w:t xml:space="preserve"> </w:t>
            </w:r>
            <w:r>
              <w:rPr>
                <w:b/>
                <w:bCs/>
                <w:spacing w:val="-1"/>
              </w:rPr>
              <w:t>Eleotridae</w:t>
            </w:r>
          </w:p>
        </w:tc>
        <w:tc>
          <w:tcPr>
            <w:tcW w:w="2005" w:type="dxa"/>
            <w:vAlign w:val="top"/>
          </w:tcPr>
          <w:p w14:paraId="284C32D4">
            <w:pPr>
              <w:rPr>
                <w:rFonts w:ascii="Arial"/>
                <w:sz w:val="21"/>
              </w:rPr>
            </w:pPr>
          </w:p>
        </w:tc>
        <w:tc>
          <w:tcPr>
            <w:tcW w:w="1523" w:type="dxa"/>
            <w:tcBorders>
              <w:right w:val="single" w:color="000000" w:sz="12" w:space="0"/>
            </w:tcBorders>
            <w:vAlign w:val="top"/>
          </w:tcPr>
          <w:p w14:paraId="3B9ED91E">
            <w:pPr>
              <w:rPr>
                <w:rFonts w:ascii="Arial"/>
                <w:sz w:val="21"/>
              </w:rPr>
            </w:pPr>
          </w:p>
        </w:tc>
      </w:tr>
      <w:tr w14:paraId="7AC3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945" w:type="dxa"/>
            <w:tcBorders>
              <w:left w:val="single" w:color="000000" w:sz="12" w:space="0"/>
            </w:tcBorders>
            <w:vAlign w:val="top"/>
          </w:tcPr>
          <w:p w14:paraId="7D0774F6">
            <w:pPr>
              <w:pStyle w:val="6"/>
              <w:spacing w:before="56" w:line="184" w:lineRule="auto"/>
              <w:ind w:left="99"/>
            </w:pPr>
            <w:r>
              <w:rPr>
                <w:rFonts w:ascii="宋体" w:hAnsi="宋体" w:eastAsia="宋体" w:cs="宋体"/>
              </w:rPr>
              <w:t>黄黝鱼</w:t>
            </w:r>
            <w:r>
              <w:rPr>
                <w:rFonts w:ascii="宋体" w:hAnsi="宋体" w:eastAsia="宋体" w:cs="宋体"/>
                <w:spacing w:val="-58"/>
              </w:rPr>
              <w:t xml:space="preserve"> </w:t>
            </w:r>
            <w:r>
              <w:rPr>
                <w:i/>
                <w:iCs/>
              </w:rPr>
              <w:t>Hypseleotris swinho</w:t>
            </w:r>
            <w:r>
              <w:rPr>
                <w:i/>
                <w:iCs/>
                <w:spacing w:val="-1"/>
              </w:rPr>
              <w:t>nis</w:t>
            </w:r>
          </w:p>
        </w:tc>
        <w:tc>
          <w:tcPr>
            <w:tcW w:w="2005" w:type="dxa"/>
            <w:vAlign w:val="top"/>
          </w:tcPr>
          <w:p w14:paraId="3A743C03">
            <w:pPr>
              <w:spacing w:before="56" w:line="184" w:lineRule="auto"/>
              <w:ind w:left="282"/>
              <w:rPr>
                <w:rFonts w:ascii="宋体" w:hAnsi="宋体" w:eastAsia="宋体" w:cs="宋体"/>
                <w:sz w:val="21"/>
                <w:szCs w:val="21"/>
              </w:rPr>
            </w:pPr>
            <w:r>
              <w:rPr>
                <w:rFonts w:ascii="宋体" w:hAnsi="宋体" w:eastAsia="宋体" w:cs="宋体"/>
                <w:spacing w:val="-2"/>
                <w:sz w:val="21"/>
                <w:szCs w:val="21"/>
              </w:rPr>
              <w:t>市场调查、访问</w:t>
            </w:r>
          </w:p>
        </w:tc>
        <w:tc>
          <w:tcPr>
            <w:tcW w:w="1523" w:type="dxa"/>
            <w:tcBorders>
              <w:right w:val="single" w:color="000000" w:sz="12" w:space="0"/>
            </w:tcBorders>
            <w:vAlign w:val="top"/>
          </w:tcPr>
          <w:p w14:paraId="6E396300">
            <w:pPr>
              <w:spacing w:before="56" w:line="184" w:lineRule="auto"/>
              <w:ind w:left="454"/>
              <w:rPr>
                <w:rFonts w:ascii="宋体" w:hAnsi="宋体" w:eastAsia="宋体" w:cs="宋体"/>
                <w:sz w:val="21"/>
                <w:szCs w:val="21"/>
              </w:rPr>
            </w:pPr>
            <w:r>
              <w:rPr>
                <w:rFonts w:ascii="宋体" w:hAnsi="宋体" w:eastAsia="宋体" w:cs="宋体"/>
                <w:spacing w:val="-3"/>
                <w:sz w:val="21"/>
                <w:szCs w:val="21"/>
              </w:rPr>
              <w:t>土著种</w:t>
            </w:r>
          </w:p>
        </w:tc>
      </w:tr>
      <w:tr w14:paraId="1C36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945" w:type="dxa"/>
            <w:tcBorders>
              <w:left w:val="single" w:color="000000" w:sz="12" w:space="0"/>
              <w:bottom w:val="single" w:color="000000" w:sz="12" w:space="0"/>
            </w:tcBorders>
            <w:vAlign w:val="top"/>
          </w:tcPr>
          <w:p w14:paraId="3FEFBF2F">
            <w:pPr>
              <w:pStyle w:val="6"/>
              <w:spacing w:before="59" w:line="203" w:lineRule="auto"/>
              <w:ind w:left="976"/>
              <w:rPr>
                <w:rFonts w:ascii="宋体" w:hAnsi="宋体" w:eastAsia="宋体" w:cs="宋体"/>
              </w:rPr>
            </w:pPr>
            <w:r>
              <w:rPr>
                <w:rFonts w:ascii="宋体" w:hAnsi="宋体" w:eastAsia="宋体" w:cs="宋体"/>
                <w:spacing w:val="-3"/>
              </w:rPr>
              <w:t>总计种数：</w:t>
            </w:r>
            <w:r>
              <w:rPr>
                <w:spacing w:val="-3"/>
              </w:rPr>
              <w:t>6</w:t>
            </w:r>
            <w:r>
              <w:rPr>
                <w:spacing w:val="61"/>
                <w:w w:val="101"/>
              </w:rPr>
              <w:t xml:space="preserve"> </w:t>
            </w:r>
            <w:r>
              <w:rPr>
                <w:rFonts w:ascii="宋体" w:hAnsi="宋体" w:eastAsia="宋体" w:cs="宋体"/>
                <w:spacing w:val="-3"/>
              </w:rPr>
              <w:t>目</w:t>
            </w:r>
            <w:r>
              <w:rPr>
                <w:rFonts w:ascii="宋体" w:hAnsi="宋体" w:eastAsia="宋体" w:cs="宋体"/>
                <w:spacing w:val="-28"/>
              </w:rPr>
              <w:t xml:space="preserve"> </w:t>
            </w:r>
            <w:r>
              <w:rPr>
                <w:spacing w:val="-3"/>
              </w:rPr>
              <w:t xml:space="preserve">10 </w:t>
            </w:r>
            <w:r>
              <w:rPr>
                <w:rFonts w:ascii="宋体" w:hAnsi="宋体" w:eastAsia="宋体" w:cs="宋体"/>
                <w:spacing w:val="-3"/>
              </w:rPr>
              <w:t>科</w:t>
            </w:r>
            <w:r>
              <w:rPr>
                <w:spacing w:val="-3"/>
              </w:rPr>
              <w:t xml:space="preserve">23 </w:t>
            </w:r>
            <w:r>
              <w:rPr>
                <w:rFonts w:ascii="宋体" w:hAnsi="宋体" w:eastAsia="宋体" w:cs="宋体"/>
                <w:spacing w:val="-3"/>
              </w:rPr>
              <w:t>属</w:t>
            </w:r>
            <w:r>
              <w:rPr>
                <w:rFonts w:ascii="宋体" w:hAnsi="宋体" w:eastAsia="宋体" w:cs="宋体"/>
                <w:spacing w:val="-48"/>
              </w:rPr>
              <w:t xml:space="preserve"> </w:t>
            </w:r>
            <w:r>
              <w:rPr>
                <w:spacing w:val="-3"/>
              </w:rPr>
              <w:t>24</w:t>
            </w:r>
            <w:r>
              <w:rPr>
                <w:spacing w:val="10"/>
              </w:rPr>
              <w:t xml:space="preserve"> </w:t>
            </w:r>
            <w:r>
              <w:rPr>
                <w:rFonts w:ascii="宋体" w:hAnsi="宋体" w:eastAsia="宋体" w:cs="宋体"/>
                <w:spacing w:val="-3"/>
              </w:rPr>
              <w:t>种</w:t>
            </w:r>
          </w:p>
        </w:tc>
        <w:tc>
          <w:tcPr>
            <w:tcW w:w="2005" w:type="dxa"/>
            <w:tcBorders>
              <w:bottom w:val="single" w:color="000000" w:sz="12" w:space="0"/>
            </w:tcBorders>
            <w:vAlign w:val="top"/>
          </w:tcPr>
          <w:p w14:paraId="3CA6A24F">
            <w:pPr>
              <w:pStyle w:val="6"/>
              <w:spacing w:before="91" w:line="197" w:lineRule="auto"/>
              <w:ind w:left="901"/>
            </w:pPr>
            <w:r>
              <w:rPr>
                <w:spacing w:val="-1"/>
              </w:rPr>
              <w:t>48</w:t>
            </w:r>
          </w:p>
        </w:tc>
        <w:tc>
          <w:tcPr>
            <w:tcW w:w="1523" w:type="dxa"/>
            <w:tcBorders>
              <w:bottom w:val="single" w:color="000000" w:sz="12" w:space="0"/>
              <w:right w:val="single" w:color="000000" w:sz="12" w:space="0"/>
            </w:tcBorders>
            <w:vAlign w:val="top"/>
          </w:tcPr>
          <w:p w14:paraId="209B387F">
            <w:pPr>
              <w:rPr>
                <w:rFonts w:ascii="Arial"/>
                <w:sz w:val="21"/>
              </w:rPr>
            </w:pPr>
          </w:p>
        </w:tc>
      </w:tr>
    </w:tbl>
    <w:p w14:paraId="4D8C5D55">
      <w:pPr>
        <w:rPr>
          <w:rFonts w:ascii="Arial"/>
          <w:sz w:val="21"/>
        </w:rPr>
      </w:pPr>
    </w:p>
    <w:p w14:paraId="7F62C592">
      <w:pPr>
        <w:rPr>
          <w:rFonts w:ascii="Arial" w:hAnsi="Arial" w:eastAsia="Arial" w:cs="Arial"/>
          <w:sz w:val="21"/>
          <w:szCs w:val="21"/>
        </w:rPr>
        <w:sectPr>
          <w:headerReference r:id="rId288" w:type="default"/>
          <w:footerReference r:id="rId289" w:type="default"/>
          <w:pgSz w:w="11907" w:h="16839"/>
          <w:pgMar w:top="1376" w:right="1669" w:bottom="1061" w:left="1671" w:header="999" w:footer="859" w:gutter="0"/>
          <w:cols w:space="720" w:num="1"/>
        </w:sectPr>
      </w:pPr>
    </w:p>
    <w:p w14:paraId="1BE4FC5C">
      <w:pPr>
        <w:spacing w:line="454" w:lineRule="auto"/>
        <w:rPr>
          <w:rFonts w:ascii="Arial"/>
          <w:sz w:val="21"/>
        </w:rPr>
      </w:pPr>
    </w:p>
    <w:p w14:paraId="47596629">
      <w:pPr>
        <w:pStyle w:val="2"/>
        <w:spacing w:before="78" w:line="226" w:lineRule="auto"/>
        <w:ind w:left="299"/>
        <w:rPr>
          <w:sz w:val="24"/>
          <w:szCs w:val="24"/>
        </w:rPr>
      </w:pPr>
      <w:r>
        <w:rPr>
          <w:b/>
          <w:bCs/>
          <w:spacing w:val="-2"/>
          <w:sz w:val="24"/>
          <w:szCs w:val="24"/>
        </w:rPr>
        <w:t>附表</w:t>
      </w:r>
      <w:r>
        <w:rPr>
          <w:spacing w:val="-41"/>
          <w:sz w:val="24"/>
          <w:szCs w:val="24"/>
        </w:rPr>
        <w:t xml:space="preserve"> </w:t>
      </w:r>
      <w:r>
        <w:rPr>
          <w:rFonts w:ascii="Times New Roman" w:hAnsi="Times New Roman" w:eastAsia="Times New Roman" w:cs="Times New Roman"/>
          <w:b/>
          <w:bCs/>
          <w:spacing w:val="-2"/>
          <w:sz w:val="24"/>
          <w:szCs w:val="24"/>
        </w:rPr>
        <w:t xml:space="preserve">2                  </w:t>
      </w:r>
      <w:r>
        <w:rPr>
          <w:b/>
          <w:bCs/>
          <w:spacing w:val="-2"/>
          <w:sz w:val="24"/>
          <w:szCs w:val="24"/>
        </w:rPr>
        <w:t>马碧水库工程施工期监测记录的两栖动物名录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1261"/>
        <w:gridCol w:w="1825"/>
        <w:gridCol w:w="1125"/>
        <w:gridCol w:w="1145"/>
        <w:gridCol w:w="731"/>
        <w:gridCol w:w="737"/>
        <w:gridCol w:w="1107"/>
      </w:tblGrid>
      <w:tr w14:paraId="3AFCD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542" w:type="dxa"/>
            <w:tcBorders>
              <w:top w:val="single" w:color="000000" w:sz="12" w:space="0"/>
              <w:left w:val="single" w:color="000000" w:sz="12" w:space="0"/>
            </w:tcBorders>
            <w:textDirection w:val="tbRlV"/>
            <w:vAlign w:val="top"/>
          </w:tcPr>
          <w:p w14:paraId="55C5FCFC">
            <w:pPr>
              <w:spacing w:before="169" w:line="210" w:lineRule="auto"/>
              <w:ind w:left="88"/>
              <w:rPr>
                <w:rFonts w:ascii="宋体" w:hAnsi="宋体" w:eastAsia="宋体" w:cs="宋体"/>
                <w:sz w:val="21"/>
                <w:szCs w:val="21"/>
              </w:rPr>
            </w:pPr>
            <w:r>
              <w:rPr>
                <w:rFonts w:ascii="宋体" w:hAnsi="宋体" w:eastAsia="宋体" w:cs="宋体"/>
                <w:spacing w:val="31"/>
                <w:sz w:val="21"/>
                <w:szCs w:val="21"/>
              </w:rPr>
              <w:t>序号</w:t>
            </w:r>
          </w:p>
        </w:tc>
        <w:tc>
          <w:tcPr>
            <w:tcW w:w="1261" w:type="dxa"/>
            <w:tcBorders>
              <w:top w:val="single" w:color="000000" w:sz="12" w:space="0"/>
            </w:tcBorders>
            <w:vAlign w:val="top"/>
          </w:tcPr>
          <w:p w14:paraId="3F81C63B">
            <w:pPr>
              <w:spacing w:before="224" w:line="220" w:lineRule="auto"/>
              <w:ind w:left="326"/>
              <w:rPr>
                <w:rFonts w:ascii="宋体" w:hAnsi="宋体" w:eastAsia="宋体" w:cs="宋体"/>
                <w:sz w:val="21"/>
                <w:szCs w:val="21"/>
              </w:rPr>
            </w:pPr>
            <w:r>
              <w:rPr>
                <w:rFonts w:ascii="宋体" w:hAnsi="宋体" w:eastAsia="宋体" w:cs="宋体"/>
                <w:spacing w:val="-7"/>
                <w:sz w:val="21"/>
                <w:szCs w:val="21"/>
              </w:rPr>
              <w:t>中文名</w:t>
            </w:r>
          </w:p>
        </w:tc>
        <w:tc>
          <w:tcPr>
            <w:tcW w:w="1825" w:type="dxa"/>
            <w:tcBorders>
              <w:top w:val="single" w:color="000000" w:sz="12" w:space="0"/>
            </w:tcBorders>
            <w:vAlign w:val="top"/>
          </w:tcPr>
          <w:p w14:paraId="2FF9015C">
            <w:pPr>
              <w:spacing w:before="224" w:line="221" w:lineRule="auto"/>
              <w:ind w:left="596"/>
              <w:rPr>
                <w:rFonts w:ascii="宋体" w:hAnsi="宋体" w:eastAsia="宋体" w:cs="宋体"/>
                <w:sz w:val="21"/>
                <w:szCs w:val="21"/>
              </w:rPr>
            </w:pPr>
            <w:r>
              <w:rPr>
                <w:rFonts w:ascii="宋体" w:hAnsi="宋体" w:eastAsia="宋体" w:cs="宋体"/>
                <w:spacing w:val="-3"/>
                <w:sz w:val="21"/>
                <w:szCs w:val="21"/>
              </w:rPr>
              <w:t>拉丁名</w:t>
            </w:r>
          </w:p>
        </w:tc>
        <w:tc>
          <w:tcPr>
            <w:tcW w:w="1125" w:type="dxa"/>
            <w:tcBorders>
              <w:top w:val="single" w:color="000000" w:sz="12" w:space="0"/>
            </w:tcBorders>
            <w:vAlign w:val="top"/>
          </w:tcPr>
          <w:p w14:paraId="1229566F">
            <w:pPr>
              <w:spacing w:before="224" w:line="222" w:lineRule="auto"/>
              <w:ind w:left="370"/>
              <w:rPr>
                <w:rFonts w:ascii="宋体" w:hAnsi="宋体" w:eastAsia="宋体" w:cs="宋体"/>
                <w:sz w:val="21"/>
                <w:szCs w:val="21"/>
              </w:rPr>
            </w:pPr>
            <w:r>
              <w:rPr>
                <w:rFonts w:ascii="宋体" w:hAnsi="宋体" w:eastAsia="宋体" w:cs="宋体"/>
                <w:spacing w:val="-6"/>
                <w:sz w:val="21"/>
                <w:szCs w:val="21"/>
              </w:rPr>
              <w:t>区系</w:t>
            </w:r>
          </w:p>
        </w:tc>
        <w:tc>
          <w:tcPr>
            <w:tcW w:w="1145" w:type="dxa"/>
            <w:tcBorders>
              <w:top w:val="single" w:color="000000" w:sz="12" w:space="0"/>
            </w:tcBorders>
            <w:vAlign w:val="top"/>
          </w:tcPr>
          <w:p w14:paraId="7E99BA13">
            <w:pPr>
              <w:spacing w:before="224" w:line="220" w:lineRule="auto"/>
              <w:ind w:left="160"/>
              <w:rPr>
                <w:rFonts w:ascii="宋体" w:hAnsi="宋体" w:eastAsia="宋体" w:cs="宋体"/>
                <w:sz w:val="21"/>
                <w:szCs w:val="21"/>
              </w:rPr>
            </w:pPr>
            <w:r>
              <w:rPr>
                <w:rFonts w:ascii="宋体" w:hAnsi="宋体" w:eastAsia="宋体" w:cs="宋体"/>
                <w:spacing w:val="-2"/>
                <w:sz w:val="21"/>
                <w:szCs w:val="21"/>
              </w:rPr>
              <w:t>保护情况</w:t>
            </w:r>
          </w:p>
        </w:tc>
        <w:tc>
          <w:tcPr>
            <w:tcW w:w="731" w:type="dxa"/>
            <w:tcBorders>
              <w:top w:val="single" w:color="000000" w:sz="12" w:space="0"/>
            </w:tcBorders>
            <w:vAlign w:val="top"/>
          </w:tcPr>
          <w:p w14:paraId="2B91C578">
            <w:pPr>
              <w:spacing w:before="88" w:line="221" w:lineRule="auto"/>
              <w:ind w:left="175"/>
              <w:rPr>
                <w:rFonts w:ascii="宋体" w:hAnsi="宋体" w:eastAsia="宋体" w:cs="宋体"/>
                <w:sz w:val="21"/>
                <w:szCs w:val="21"/>
              </w:rPr>
            </w:pPr>
            <w:r>
              <w:rPr>
                <w:rFonts w:ascii="宋体" w:hAnsi="宋体" w:eastAsia="宋体" w:cs="宋体"/>
                <w:spacing w:val="-5"/>
                <w:sz w:val="21"/>
                <w:szCs w:val="21"/>
              </w:rPr>
              <w:t>资源</w:t>
            </w:r>
          </w:p>
          <w:p w14:paraId="361D7220">
            <w:pPr>
              <w:spacing w:before="20" w:line="220" w:lineRule="auto"/>
              <w:ind w:left="167"/>
              <w:rPr>
                <w:rFonts w:ascii="宋体" w:hAnsi="宋体" w:eastAsia="宋体" w:cs="宋体"/>
                <w:sz w:val="21"/>
                <w:szCs w:val="21"/>
              </w:rPr>
            </w:pPr>
            <w:r>
              <w:rPr>
                <w:rFonts w:ascii="宋体" w:hAnsi="宋体" w:eastAsia="宋体" w:cs="宋体"/>
                <w:spacing w:val="-3"/>
                <w:sz w:val="21"/>
                <w:szCs w:val="21"/>
              </w:rPr>
              <w:t>现状</w:t>
            </w:r>
          </w:p>
        </w:tc>
        <w:tc>
          <w:tcPr>
            <w:tcW w:w="737" w:type="dxa"/>
            <w:tcBorders>
              <w:top w:val="single" w:color="000000" w:sz="12" w:space="0"/>
            </w:tcBorders>
            <w:vAlign w:val="top"/>
          </w:tcPr>
          <w:p w14:paraId="56D51664">
            <w:pPr>
              <w:spacing w:before="88" w:line="220" w:lineRule="auto"/>
              <w:ind w:left="181"/>
              <w:rPr>
                <w:rFonts w:ascii="宋体" w:hAnsi="宋体" w:eastAsia="宋体" w:cs="宋体"/>
                <w:sz w:val="21"/>
                <w:szCs w:val="21"/>
              </w:rPr>
            </w:pPr>
            <w:r>
              <w:rPr>
                <w:rFonts w:ascii="宋体" w:hAnsi="宋体" w:eastAsia="宋体" w:cs="宋体"/>
                <w:spacing w:val="-5"/>
                <w:sz w:val="21"/>
                <w:szCs w:val="21"/>
              </w:rPr>
              <w:t>资料</w:t>
            </w:r>
          </w:p>
          <w:p w14:paraId="7DFFC890">
            <w:pPr>
              <w:spacing w:before="21" w:line="220" w:lineRule="auto"/>
              <w:ind w:left="173"/>
              <w:rPr>
                <w:rFonts w:ascii="宋体" w:hAnsi="宋体" w:eastAsia="宋体" w:cs="宋体"/>
                <w:sz w:val="21"/>
                <w:szCs w:val="21"/>
              </w:rPr>
            </w:pPr>
            <w:r>
              <w:rPr>
                <w:rFonts w:ascii="宋体" w:hAnsi="宋体" w:eastAsia="宋体" w:cs="宋体"/>
                <w:spacing w:val="-3"/>
                <w:sz w:val="21"/>
                <w:szCs w:val="21"/>
              </w:rPr>
              <w:t>来源</w:t>
            </w:r>
          </w:p>
        </w:tc>
        <w:tc>
          <w:tcPr>
            <w:tcW w:w="1107" w:type="dxa"/>
            <w:tcBorders>
              <w:top w:val="single" w:color="000000" w:sz="12" w:space="0"/>
              <w:right w:val="single" w:color="000000" w:sz="12" w:space="0"/>
            </w:tcBorders>
            <w:vAlign w:val="top"/>
          </w:tcPr>
          <w:p w14:paraId="4D9BFE3C">
            <w:pPr>
              <w:spacing w:before="224" w:line="221" w:lineRule="auto"/>
              <w:ind w:left="355"/>
              <w:rPr>
                <w:rFonts w:ascii="宋体" w:hAnsi="宋体" w:eastAsia="宋体" w:cs="宋体"/>
                <w:sz w:val="21"/>
                <w:szCs w:val="21"/>
              </w:rPr>
            </w:pPr>
            <w:r>
              <w:rPr>
                <w:rFonts w:ascii="宋体" w:hAnsi="宋体" w:eastAsia="宋体" w:cs="宋体"/>
                <w:spacing w:val="-3"/>
                <w:sz w:val="21"/>
                <w:szCs w:val="21"/>
              </w:rPr>
              <w:t>备注</w:t>
            </w:r>
          </w:p>
        </w:tc>
      </w:tr>
      <w:tr w14:paraId="05CC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42" w:type="dxa"/>
            <w:tcBorders>
              <w:left w:val="single" w:color="000000" w:sz="12" w:space="0"/>
            </w:tcBorders>
            <w:vAlign w:val="top"/>
          </w:tcPr>
          <w:p w14:paraId="3C58F50C">
            <w:pPr>
              <w:pStyle w:val="6"/>
              <w:spacing w:before="127" w:line="186" w:lineRule="auto"/>
              <w:ind w:left="122"/>
            </w:pPr>
            <w:r>
              <w:rPr>
                <w:b/>
                <w:bCs/>
                <w:spacing w:val="-3"/>
              </w:rPr>
              <w:t>O1</w:t>
            </w:r>
          </w:p>
        </w:tc>
        <w:tc>
          <w:tcPr>
            <w:tcW w:w="1261" w:type="dxa"/>
            <w:vAlign w:val="top"/>
          </w:tcPr>
          <w:p w14:paraId="60515D63">
            <w:pPr>
              <w:spacing w:before="89" w:line="220" w:lineRule="auto"/>
              <w:ind w:left="307"/>
              <w:rPr>
                <w:rFonts w:ascii="宋体" w:hAnsi="宋体" w:eastAsia="宋体" w:cs="宋体"/>
                <w:sz w:val="21"/>
                <w:szCs w:val="21"/>
              </w:rPr>
            </w:pPr>
            <w:r>
              <w:rPr>
                <w:rFonts w:ascii="宋体" w:hAnsi="宋体" w:eastAsia="宋体" w:cs="宋体"/>
                <w:b/>
                <w:bCs/>
                <w:spacing w:val="-4"/>
                <w:sz w:val="21"/>
                <w:szCs w:val="21"/>
              </w:rPr>
              <w:t>无尾目</w:t>
            </w:r>
          </w:p>
        </w:tc>
        <w:tc>
          <w:tcPr>
            <w:tcW w:w="1825" w:type="dxa"/>
            <w:vAlign w:val="top"/>
          </w:tcPr>
          <w:p w14:paraId="12A61003">
            <w:pPr>
              <w:pStyle w:val="6"/>
              <w:spacing w:before="127" w:line="186" w:lineRule="auto"/>
              <w:ind w:left="612"/>
            </w:pPr>
            <w:r>
              <w:rPr>
                <w:b/>
                <w:bCs/>
                <w:spacing w:val="-1"/>
              </w:rPr>
              <w:t>Anura</w:t>
            </w:r>
          </w:p>
        </w:tc>
        <w:tc>
          <w:tcPr>
            <w:tcW w:w="1125" w:type="dxa"/>
            <w:vAlign w:val="top"/>
          </w:tcPr>
          <w:p w14:paraId="0392991D">
            <w:pPr>
              <w:rPr>
                <w:rFonts w:ascii="Arial"/>
                <w:sz w:val="21"/>
              </w:rPr>
            </w:pPr>
          </w:p>
        </w:tc>
        <w:tc>
          <w:tcPr>
            <w:tcW w:w="1145" w:type="dxa"/>
            <w:vAlign w:val="top"/>
          </w:tcPr>
          <w:p w14:paraId="1A2B5D2E">
            <w:pPr>
              <w:rPr>
                <w:rFonts w:ascii="Arial"/>
                <w:sz w:val="21"/>
              </w:rPr>
            </w:pPr>
          </w:p>
        </w:tc>
        <w:tc>
          <w:tcPr>
            <w:tcW w:w="731" w:type="dxa"/>
            <w:vAlign w:val="top"/>
          </w:tcPr>
          <w:p w14:paraId="1C2EF7E3">
            <w:pPr>
              <w:rPr>
                <w:rFonts w:ascii="Arial"/>
                <w:sz w:val="21"/>
              </w:rPr>
            </w:pPr>
          </w:p>
        </w:tc>
        <w:tc>
          <w:tcPr>
            <w:tcW w:w="737" w:type="dxa"/>
            <w:vAlign w:val="top"/>
          </w:tcPr>
          <w:p w14:paraId="500765FB">
            <w:pPr>
              <w:rPr>
                <w:rFonts w:ascii="Arial"/>
                <w:sz w:val="21"/>
              </w:rPr>
            </w:pPr>
          </w:p>
        </w:tc>
        <w:tc>
          <w:tcPr>
            <w:tcW w:w="1107" w:type="dxa"/>
            <w:tcBorders>
              <w:right w:val="single" w:color="000000" w:sz="12" w:space="0"/>
            </w:tcBorders>
            <w:vAlign w:val="top"/>
          </w:tcPr>
          <w:p w14:paraId="63CD11B4">
            <w:pPr>
              <w:rPr>
                <w:rFonts w:ascii="Arial"/>
                <w:sz w:val="21"/>
              </w:rPr>
            </w:pPr>
          </w:p>
        </w:tc>
      </w:tr>
      <w:tr w14:paraId="0E1DA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42" w:type="dxa"/>
            <w:tcBorders>
              <w:left w:val="single" w:color="000000" w:sz="12" w:space="0"/>
            </w:tcBorders>
            <w:vAlign w:val="top"/>
          </w:tcPr>
          <w:p w14:paraId="495E7F79">
            <w:pPr>
              <w:pStyle w:val="6"/>
              <w:spacing w:before="129" w:line="186" w:lineRule="auto"/>
              <w:ind w:left="136"/>
            </w:pPr>
            <w:r>
              <w:rPr>
                <w:b/>
                <w:bCs/>
                <w:spacing w:val="-2"/>
              </w:rPr>
              <w:t>F1</w:t>
            </w:r>
          </w:p>
        </w:tc>
        <w:tc>
          <w:tcPr>
            <w:tcW w:w="1261" w:type="dxa"/>
            <w:vAlign w:val="top"/>
          </w:tcPr>
          <w:p w14:paraId="14DBE3BE">
            <w:pPr>
              <w:spacing w:before="90" w:line="219" w:lineRule="auto"/>
              <w:ind w:left="305"/>
              <w:rPr>
                <w:rFonts w:ascii="宋体" w:hAnsi="宋体" w:eastAsia="宋体" w:cs="宋体"/>
                <w:sz w:val="21"/>
                <w:szCs w:val="21"/>
              </w:rPr>
            </w:pPr>
            <w:r>
              <w:rPr>
                <w:rFonts w:ascii="宋体" w:hAnsi="宋体" w:eastAsia="宋体" w:cs="宋体"/>
                <w:b/>
                <w:bCs/>
                <w:spacing w:val="-4"/>
                <w:sz w:val="21"/>
                <w:szCs w:val="21"/>
              </w:rPr>
              <w:t>铃蟾科</w:t>
            </w:r>
          </w:p>
        </w:tc>
        <w:tc>
          <w:tcPr>
            <w:tcW w:w="1825" w:type="dxa"/>
            <w:vAlign w:val="top"/>
          </w:tcPr>
          <w:p w14:paraId="1E694D1F">
            <w:pPr>
              <w:pStyle w:val="6"/>
              <w:spacing w:before="129" w:line="186" w:lineRule="auto"/>
              <w:ind w:left="177"/>
            </w:pPr>
            <w:r>
              <w:rPr>
                <w:b/>
                <w:bCs/>
                <w:spacing w:val="-1"/>
              </w:rPr>
              <w:t>Bombinatoridae</w:t>
            </w:r>
          </w:p>
        </w:tc>
        <w:tc>
          <w:tcPr>
            <w:tcW w:w="1125" w:type="dxa"/>
            <w:vAlign w:val="top"/>
          </w:tcPr>
          <w:p w14:paraId="6132A45C">
            <w:pPr>
              <w:rPr>
                <w:rFonts w:ascii="Arial"/>
                <w:sz w:val="21"/>
              </w:rPr>
            </w:pPr>
          </w:p>
        </w:tc>
        <w:tc>
          <w:tcPr>
            <w:tcW w:w="1145" w:type="dxa"/>
            <w:vAlign w:val="top"/>
          </w:tcPr>
          <w:p w14:paraId="26E8EA80">
            <w:pPr>
              <w:rPr>
                <w:rFonts w:ascii="Arial"/>
                <w:sz w:val="21"/>
              </w:rPr>
            </w:pPr>
          </w:p>
        </w:tc>
        <w:tc>
          <w:tcPr>
            <w:tcW w:w="731" w:type="dxa"/>
            <w:vAlign w:val="top"/>
          </w:tcPr>
          <w:p w14:paraId="353219B3">
            <w:pPr>
              <w:rPr>
                <w:rFonts w:ascii="Arial"/>
                <w:sz w:val="21"/>
              </w:rPr>
            </w:pPr>
          </w:p>
        </w:tc>
        <w:tc>
          <w:tcPr>
            <w:tcW w:w="737" w:type="dxa"/>
            <w:vAlign w:val="top"/>
          </w:tcPr>
          <w:p w14:paraId="778213AF">
            <w:pPr>
              <w:rPr>
                <w:rFonts w:ascii="Arial"/>
                <w:sz w:val="21"/>
              </w:rPr>
            </w:pPr>
          </w:p>
        </w:tc>
        <w:tc>
          <w:tcPr>
            <w:tcW w:w="1107" w:type="dxa"/>
            <w:tcBorders>
              <w:right w:val="single" w:color="000000" w:sz="12" w:space="0"/>
            </w:tcBorders>
            <w:vAlign w:val="top"/>
          </w:tcPr>
          <w:p w14:paraId="48D3D655">
            <w:pPr>
              <w:rPr>
                <w:rFonts w:ascii="Arial"/>
                <w:sz w:val="21"/>
              </w:rPr>
            </w:pPr>
          </w:p>
        </w:tc>
      </w:tr>
      <w:tr w14:paraId="3274F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42" w:type="dxa"/>
            <w:tcBorders>
              <w:left w:val="single" w:color="000000" w:sz="12" w:space="0"/>
            </w:tcBorders>
            <w:vAlign w:val="top"/>
          </w:tcPr>
          <w:p w14:paraId="7008A9B8">
            <w:pPr>
              <w:pStyle w:val="6"/>
              <w:spacing w:before="127" w:line="235" w:lineRule="auto"/>
              <w:ind w:left="220"/>
            </w:pPr>
            <w:r>
              <w:t>1</w:t>
            </w:r>
          </w:p>
        </w:tc>
        <w:tc>
          <w:tcPr>
            <w:tcW w:w="1261" w:type="dxa"/>
            <w:vAlign w:val="top"/>
          </w:tcPr>
          <w:p w14:paraId="08C2AD48">
            <w:pPr>
              <w:spacing w:before="93" w:line="220" w:lineRule="auto"/>
              <w:ind w:left="204"/>
              <w:rPr>
                <w:rFonts w:ascii="宋体" w:hAnsi="宋体" w:eastAsia="宋体" w:cs="宋体"/>
                <w:sz w:val="21"/>
                <w:szCs w:val="21"/>
              </w:rPr>
            </w:pPr>
            <w:r>
              <w:rPr>
                <w:rFonts w:ascii="宋体" w:hAnsi="宋体" w:eastAsia="宋体" w:cs="宋体"/>
                <w:spacing w:val="-3"/>
                <w:sz w:val="21"/>
                <w:szCs w:val="21"/>
              </w:rPr>
              <w:t>大蹼铃蟾</w:t>
            </w:r>
          </w:p>
        </w:tc>
        <w:tc>
          <w:tcPr>
            <w:tcW w:w="1825" w:type="dxa"/>
            <w:vAlign w:val="top"/>
          </w:tcPr>
          <w:p w14:paraId="39DE803F">
            <w:pPr>
              <w:pStyle w:val="6"/>
              <w:spacing w:before="126" w:line="233" w:lineRule="auto"/>
              <w:ind w:left="159"/>
            </w:pPr>
            <w:r>
              <w:rPr>
                <w:i/>
                <w:iCs/>
              </w:rPr>
              <w:t>Bombina</w:t>
            </w:r>
            <w:r>
              <w:rPr>
                <w:i/>
                <w:iCs/>
                <w:spacing w:val="4"/>
              </w:rPr>
              <w:t xml:space="preserve"> </w:t>
            </w:r>
            <w:r>
              <w:rPr>
                <w:i/>
                <w:iCs/>
              </w:rPr>
              <w:t>maxima</w:t>
            </w:r>
          </w:p>
        </w:tc>
        <w:tc>
          <w:tcPr>
            <w:tcW w:w="1125" w:type="dxa"/>
            <w:vAlign w:val="top"/>
          </w:tcPr>
          <w:p w14:paraId="4D0CBBBC">
            <w:pPr>
              <w:pStyle w:val="6"/>
              <w:spacing w:before="131" w:line="186" w:lineRule="auto"/>
              <w:ind w:left="413"/>
            </w:pPr>
            <w:r>
              <w:rPr>
                <w:spacing w:val="-3"/>
              </w:rPr>
              <w:t>SW</w:t>
            </w:r>
          </w:p>
        </w:tc>
        <w:tc>
          <w:tcPr>
            <w:tcW w:w="1145" w:type="dxa"/>
            <w:vAlign w:val="top"/>
          </w:tcPr>
          <w:p w14:paraId="15E41AA8">
            <w:pPr>
              <w:spacing w:before="93" w:line="220" w:lineRule="auto"/>
              <w:ind w:left="369"/>
              <w:rPr>
                <w:rFonts w:ascii="宋体" w:hAnsi="宋体" w:eastAsia="宋体" w:cs="宋体"/>
                <w:sz w:val="21"/>
                <w:szCs w:val="21"/>
              </w:rPr>
            </w:pPr>
            <w:r>
              <w:rPr>
                <w:rFonts w:ascii="宋体" w:hAnsi="宋体" w:eastAsia="宋体" w:cs="宋体"/>
                <w:spacing w:val="-3"/>
                <w:sz w:val="21"/>
                <w:szCs w:val="21"/>
              </w:rPr>
              <w:t>特有</w:t>
            </w:r>
          </w:p>
        </w:tc>
        <w:tc>
          <w:tcPr>
            <w:tcW w:w="731" w:type="dxa"/>
            <w:vAlign w:val="top"/>
          </w:tcPr>
          <w:p w14:paraId="5F075787">
            <w:pPr>
              <w:pStyle w:val="6"/>
              <w:spacing w:before="127" w:line="251" w:lineRule="exact"/>
              <w:ind w:left="252"/>
            </w:pPr>
            <w:r>
              <w:rPr>
                <w:spacing w:val="-1"/>
                <w:position w:val="1"/>
              </w:rPr>
              <w:t>++</w:t>
            </w:r>
          </w:p>
        </w:tc>
        <w:tc>
          <w:tcPr>
            <w:tcW w:w="737" w:type="dxa"/>
            <w:vAlign w:val="top"/>
          </w:tcPr>
          <w:p w14:paraId="6309C2A0">
            <w:pPr>
              <w:pStyle w:val="6"/>
              <w:spacing w:before="134" w:line="183" w:lineRule="auto"/>
              <w:ind w:left="300"/>
            </w:pPr>
            <w:r>
              <w:t>V</w:t>
            </w:r>
          </w:p>
        </w:tc>
        <w:tc>
          <w:tcPr>
            <w:tcW w:w="1107" w:type="dxa"/>
            <w:tcBorders>
              <w:right w:val="single" w:color="000000" w:sz="12" w:space="0"/>
            </w:tcBorders>
            <w:vAlign w:val="top"/>
          </w:tcPr>
          <w:p w14:paraId="03DF4FFD">
            <w:pPr>
              <w:rPr>
                <w:rFonts w:ascii="Arial"/>
                <w:sz w:val="21"/>
              </w:rPr>
            </w:pPr>
          </w:p>
        </w:tc>
      </w:tr>
      <w:tr w14:paraId="48FBF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42" w:type="dxa"/>
            <w:tcBorders>
              <w:left w:val="single" w:color="000000" w:sz="12" w:space="0"/>
            </w:tcBorders>
            <w:vAlign w:val="top"/>
          </w:tcPr>
          <w:p w14:paraId="3A83C7C5">
            <w:pPr>
              <w:pStyle w:val="6"/>
              <w:spacing w:before="133" w:line="186" w:lineRule="auto"/>
              <w:ind w:left="136"/>
            </w:pPr>
            <w:r>
              <w:rPr>
                <w:b/>
                <w:bCs/>
                <w:spacing w:val="-2"/>
              </w:rPr>
              <w:t>F2</w:t>
            </w:r>
          </w:p>
        </w:tc>
        <w:tc>
          <w:tcPr>
            <w:tcW w:w="1261" w:type="dxa"/>
            <w:vAlign w:val="top"/>
          </w:tcPr>
          <w:p w14:paraId="04D83784">
            <w:pPr>
              <w:spacing w:before="95" w:line="219" w:lineRule="auto"/>
              <w:ind w:left="306"/>
              <w:rPr>
                <w:rFonts w:ascii="宋体" w:hAnsi="宋体" w:eastAsia="宋体" w:cs="宋体"/>
                <w:sz w:val="21"/>
                <w:szCs w:val="21"/>
              </w:rPr>
            </w:pPr>
            <w:r>
              <w:rPr>
                <w:rFonts w:ascii="宋体" w:hAnsi="宋体" w:eastAsia="宋体" w:cs="宋体"/>
                <w:b/>
                <w:bCs/>
                <w:spacing w:val="-4"/>
                <w:sz w:val="21"/>
                <w:szCs w:val="21"/>
              </w:rPr>
              <w:t>蟾蜍科</w:t>
            </w:r>
          </w:p>
        </w:tc>
        <w:tc>
          <w:tcPr>
            <w:tcW w:w="1825" w:type="dxa"/>
            <w:vAlign w:val="top"/>
          </w:tcPr>
          <w:p w14:paraId="67DFF914">
            <w:pPr>
              <w:pStyle w:val="6"/>
              <w:spacing w:before="132" w:line="187" w:lineRule="auto"/>
              <w:ind w:left="445"/>
            </w:pPr>
            <w:r>
              <w:rPr>
                <w:b/>
                <w:bCs/>
                <w:spacing w:val="-1"/>
              </w:rPr>
              <w:t>Bufonidae</w:t>
            </w:r>
          </w:p>
        </w:tc>
        <w:tc>
          <w:tcPr>
            <w:tcW w:w="1125" w:type="dxa"/>
            <w:vAlign w:val="top"/>
          </w:tcPr>
          <w:p w14:paraId="723BB9B4">
            <w:pPr>
              <w:rPr>
                <w:rFonts w:ascii="Arial"/>
                <w:sz w:val="21"/>
              </w:rPr>
            </w:pPr>
          </w:p>
        </w:tc>
        <w:tc>
          <w:tcPr>
            <w:tcW w:w="1145" w:type="dxa"/>
            <w:vAlign w:val="top"/>
          </w:tcPr>
          <w:p w14:paraId="144E423F">
            <w:pPr>
              <w:rPr>
                <w:rFonts w:ascii="Arial"/>
                <w:sz w:val="21"/>
              </w:rPr>
            </w:pPr>
          </w:p>
        </w:tc>
        <w:tc>
          <w:tcPr>
            <w:tcW w:w="731" w:type="dxa"/>
            <w:vAlign w:val="top"/>
          </w:tcPr>
          <w:p w14:paraId="2BC3811B">
            <w:pPr>
              <w:rPr>
                <w:rFonts w:ascii="Arial"/>
                <w:sz w:val="21"/>
              </w:rPr>
            </w:pPr>
          </w:p>
        </w:tc>
        <w:tc>
          <w:tcPr>
            <w:tcW w:w="737" w:type="dxa"/>
            <w:vAlign w:val="top"/>
          </w:tcPr>
          <w:p w14:paraId="78A2315E">
            <w:pPr>
              <w:rPr>
                <w:rFonts w:ascii="Arial"/>
                <w:sz w:val="21"/>
              </w:rPr>
            </w:pPr>
          </w:p>
        </w:tc>
        <w:tc>
          <w:tcPr>
            <w:tcW w:w="1107" w:type="dxa"/>
            <w:tcBorders>
              <w:right w:val="single" w:color="000000" w:sz="12" w:space="0"/>
            </w:tcBorders>
            <w:vAlign w:val="top"/>
          </w:tcPr>
          <w:p w14:paraId="38A19561">
            <w:pPr>
              <w:rPr>
                <w:rFonts w:ascii="Arial"/>
                <w:sz w:val="21"/>
              </w:rPr>
            </w:pPr>
          </w:p>
        </w:tc>
      </w:tr>
      <w:tr w14:paraId="722A7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42" w:type="dxa"/>
            <w:tcBorders>
              <w:left w:val="single" w:color="000000" w:sz="12" w:space="0"/>
            </w:tcBorders>
            <w:vAlign w:val="top"/>
          </w:tcPr>
          <w:p w14:paraId="41B2DDA9">
            <w:pPr>
              <w:pStyle w:val="6"/>
              <w:spacing w:before="132" w:line="235" w:lineRule="auto"/>
              <w:ind w:left="200"/>
            </w:pPr>
            <w:r>
              <w:t>2</w:t>
            </w:r>
          </w:p>
        </w:tc>
        <w:tc>
          <w:tcPr>
            <w:tcW w:w="1261" w:type="dxa"/>
            <w:vAlign w:val="top"/>
          </w:tcPr>
          <w:p w14:paraId="469CD1EA">
            <w:pPr>
              <w:spacing w:before="98" w:line="220" w:lineRule="auto"/>
              <w:ind w:left="221"/>
              <w:rPr>
                <w:rFonts w:ascii="宋体" w:hAnsi="宋体" w:eastAsia="宋体" w:cs="宋体"/>
                <w:sz w:val="21"/>
                <w:szCs w:val="21"/>
              </w:rPr>
            </w:pPr>
            <w:r>
              <w:rPr>
                <w:rFonts w:ascii="宋体" w:hAnsi="宋体" w:eastAsia="宋体" w:cs="宋体"/>
                <w:spacing w:val="-6"/>
                <w:sz w:val="21"/>
                <w:szCs w:val="21"/>
              </w:rPr>
              <w:t>中华蟾蜍</w:t>
            </w:r>
          </w:p>
        </w:tc>
        <w:tc>
          <w:tcPr>
            <w:tcW w:w="1825" w:type="dxa"/>
            <w:vAlign w:val="top"/>
          </w:tcPr>
          <w:p w14:paraId="3482193C">
            <w:pPr>
              <w:pStyle w:val="6"/>
              <w:spacing w:before="132" w:line="190" w:lineRule="auto"/>
              <w:ind w:left="165"/>
            </w:pPr>
            <w:r>
              <w:rPr>
                <w:i/>
                <w:iCs/>
              </w:rPr>
              <w:t>Bufo</w:t>
            </w:r>
            <w:r>
              <w:rPr>
                <w:i/>
                <w:iCs/>
                <w:spacing w:val="5"/>
              </w:rPr>
              <w:t xml:space="preserve"> </w:t>
            </w:r>
            <w:r>
              <w:rPr>
                <w:i/>
                <w:iCs/>
              </w:rPr>
              <w:t>gargarizans</w:t>
            </w:r>
          </w:p>
        </w:tc>
        <w:tc>
          <w:tcPr>
            <w:tcW w:w="1125" w:type="dxa"/>
            <w:vAlign w:val="top"/>
          </w:tcPr>
          <w:p w14:paraId="4B61EF12">
            <w:pPr>
              <w:pStyle w:val="6"/>
              <w:spacing w:before="135" w:line="186" w:lineRule="auto"/>
              <w:ind w:left="350"/>
            </w:pPr>
            <w:r>
              <w:rPr>
                <w:spacing w:val="-1"/>
              </w:rPr>
              <w:t>POD</w:t>
            </w:r>
          </w:p>
        </w:tc>
        <w:tc>
          <w:tcPr>
            <w:tcW w:w="1145" w:type="dxa"/>
            <w:vAlign w:val="top"/>
          </w:tcPr>
          <w:p w14:paraId="27041615">
            <w:pPr>
              <w:rPr>
                <w:rFonts w:ascii="Arial"/>
                <w:sz w:val="21"/>
              </w:rPr>
            </w:pPr>
          </w:p>
        </w:tc>
        <w:tc>
          <w:tcPr>
            <w:tcW w:w="731" w:type="dxa"/>
            <w:vAlign w:val="top"/>
          </w:tcPr>
          <w:p w14:paraId="71E42F3C">
            <w:pPr>
              <w:pStyle w:val="6"/>
              <w:spacing w:before="132" w:line="247" w:lineRule="exact"/>
              <w:ind w:left="134"/>
            </w:pPr>
            <w:r>
              <w:rPr>
                <w:spacing w:val="-1"/>
              </w:rPr>
              <w:t>++++</w:t>
            </w:r>
          </w:p>
        </w:tc>
        <w:tc>
          <w:tcPr>
            <w:tcW w:w="737" w:type="dxa"/>
            <w:vAlign w:val="top"/>
          </w:tcPr>
          <w:p w14:paraId="160DE7BE">
            <w:pPr>
              <w:pStyle w:val="6"/>
              <w:spacing w:before="135" w:line="186" w:lineRule="auto"/>
              <w:ind w:left="328"/>
            </w:pPr>
            <w:r>
              <w:t>S</w:t>
            </w:r>
          </w:p>
        </w:tc>
        <w:tc>
          <w:tcPr>
            <w:tcW w:w="1107" w:type="dxa"/>
            <w:tcBorders>
              <w:right w:val="single" w:color="000000" w:sz="12" w:space="0"/>
            </w:tcBorders>
            <w:vAlign w:val="top"/>
          </w:tcPr>
          <w:p w14:paraId="197DE56B">
            <w:pPr>
              <w:rPr>
                <w:rFonts w:ascii="Arial"/>
                <w:sz w:val="21"/>
              </w:rPr>
            </w:pPr>
          </w:p>
        </w:tc>
      </w:tr>
      <w:tr w14:paraId="7B62E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42" w:type="dxa"/>
            <w:tcBorders>
              <w:left w:val="single" w:color="000000" w:sz="12" w:space="0"/>
            </w:tcBorders>
            <w:vAlign w:val="top"/>
          </w:tcPr>
          <w:p w14:paraId="176033DC">
            <w:pPr>
              <w:pStyle w:val="6"/>
              <w:spacing w:before="137" w:line="186" w:lineRule="auto"/>
              <w:ind w:left="136"/>
            </w:pPr>
            <w:r>
              <w:rPr>
                <w:b/>
                <w:bCs/>
                <w:spacing w:val="-2"/>
              </w:rPr>
              <w:t>F3</w:t>
            </w:r>
          </w:p>
        </w:tc>
        <w:tc>
          <w:tcPr>
            <w:tcW w:w="1261" w:type="dxa"/>
            <w:vAlign w:val="top"/>
          </w:tcPr>
          <w:p w14:paraId="276B564D">
            <w:pPr>
              <w:spacing w:before="99" w:line="219" w:lineRule="auto"/>
              <w:ind w:left="313"/>
              <w:rPr>
                <w:rFonts w:ascii="宋体" w:hAnsi="宋体" w:eastAsia="宋体" w:cs="宋体"/>
                <w:sz w:val="21"/>
                <w:szCs w:val="21"/>
              </w:rPr>
            </w:pPr>
            <w:r>
              <w:rPr>
                <w:rFonts w:ascii="宋体" w:hAnsi="宋体" w:eastAsia="宋体" w:cs="宋体"/>
                <w:b/>
                <w:bCs/>
                <w:spacing w:val="-6"/>
                <w:sz w:val="21"/>
                <w:szCs w:val="21"/>
              </w:rPr>
              <w:t>雨蛙科</w:t>
            </w:r>
          </w:p>
        </w:tc>
        <w:tc>
          <w:tcPr>
            <w:tcW w:w="1825" w:type="dxa"/>
            <w:vAlign w:val="top"/>
          </w:tcPr>
          <w:p w14:paraId="3A941EA7">
            <w:pPr>
              <w:pStyle w:val="6"/>
              <w:spacing w:before="138" w:line="186" w:lineRule="auto"/>
              <w:ind w:left="556"/>
            </w:pPr>
            <w:r>
              <w:rPr>
                <w:b/>
                <w:bCs/>
                <w:spacing w:val="-1"/>
              </w:rPr>
              <w:t>Hylidae</w:t>
            </w:r>
          </w:p>
        </w:tc>
        <w:tc>
          <w:tcPr>
            <w:tcW w:w="1125" w:type="dxa"/>
            <w:vAlign w:val="top"/>
          </w:tcPr>
          <w:p w14:paraId="57D0DC8F">
            <w:pPr>
              <w:rPr>
                <w:rFonts w:ascii="Arial"/>
                <w:sz w:val="21"/>
              </w:rPr>
            </w:pPr>
          </w:p>
        </w:tc>
        <w:tc>
          <w:tcPr>
            <w:tcW w:w="1145" w:type="dxa"/>
            <w:vAlign w:val="top"/>
          </w:tcPr>
          <w:p w14:paraId="307C57D6">
            <w:pPr>
              <w:rPr>
                <w:rFonts w:ascii="Arial"/>
                <w:sz w:val="21"/>
              </w:rPr>
            </w:pPr>
          </w:p>
        </w:tc>
        <w:tc>
          <w:tcPr>
            <w:tcW w:w="731" w:type="dxa"/>
            <w:vAlign w:val="top"/>
          </w:tcPr>
          <w:p w14:paraId="2BB5E852">
            <w:pPr>
              <w:rPr>
                <w:rFonts w:ascii="Arial"/>
                <w:sz w:val="21"/>
              </w:rPr>
            </w:pPr>
          </w:p>
        </w:tc>
        <w:tc>
          <w:tcPr>
            <w:tcW w:w="737" w:type="dxa"/>
            <w:vAlign w:val="top"/>
          </w:tcPr>
          <w:p w14:paraId="696D1CC3">
            <w:pPr>
              <w:rPr>
                <w:rFonts w:ascii="Arial"/>
                <w:sz w:val="21"/>
              </w:rPr>
            </w:pPr>
          </w:p>
        </w:tc>
        <w:tc>
          <w:tcPr>
            <w:tcW w:w="1107" w:type="dxa"/>
            <w:tcBorders>
              <w:right w:val="single" w:color="000000" w:sz="12" w:space="0"/>
            </w:tcBorders>
            <w:vAlign w:val="top"/>
          </w:tcPr>
          <w:p w14:paraId="0B980B35">
            <w:pPr>
              <w:rPr>
                <w:rFonts w:ascii="Arial"/>
                <w:sz w:val="21"/>
              </w:rPr>
            </w:pPr>
          </w:p>
        </w:tc>
      </w:tr>
      <w:tr w14:paraId="56814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42" w:type="dxa"/>
            <w:tcBorders>
              <w:left w:val="single" w:color="000000" w:sz="12" w:space="0"/>
            </w:tcBorders>
            <w:vAlign w:val="top"/>
          </w:tcPr>
          <w:p w14:paraId="784C6541">
            <w:pPr>
              <w:pStyle w:val="6"/>
              <w:spacing w:before="242" w:line="232" w:lineRule="auto"/>
              <w:ind w:left="204"/>
            </w:pPr>
            <w:r>
              <w:t>3</w:t>
            </w:r>
          </w:p>
        </w:tc>
        <w:tc>
          <w:tcPr>
            <w:tcW w:w="1261" w:type="dxa"/>
            <w:vAlign w:val="top"/>
          </w:tcPr>
          <w:p w14:paraId="4ABFE0B7">
            <w:pPr>
              <w:spacing w:before="208" w:line="220" w:lineRule="auto"/>
              <w:ind w:left="203"/>
              <w:rPr>
                <w:rFonts w:ascii="宋体" w:hAnsi="宋体" w:eastAsia="宋体" w:cs="宋体"/>
                <w:sz w:val="21"/>
                <w:szCs w:val="21"/>
              </w:rPr>
            </w:pPr>
            <w:r>
              <w:rPr>
                <w:rFonts w:ascii="宋体" w:hAnsi="宋体" w:eastAsia="宋体" w:cs="宋体"/>
                <w:spacing w:val="-2"/>
                <w:sz w:val="21"/>
                <w:szCs w:val="21"/>
              </w:rPr>
              <w:t>华西雨蛙</w:t>
            </w:r>
          </w:p>
        </w:tc>
        <w:tc>
          <w:tcPr>
            <w:tcW w:w="1825" w:type="dxa"/>
            <w:vAlign w:val="top"/>
          </w:tcPr>
          <w:p w14:paraId="5D70B0CE">
            <w:pPr>
              <w:pStyle w:val="6"/>
              <w:spacing w:before="241" w:line="190" w:lineRule="auto"/>
              <w:ind w:left="240"/>
            </w:pPr>
            <w:r>
              <w:rPr>
                <w:i/>
                <w:iCs/>
              </w:rPr>
              <w:t>Hyla</w:t>
            </w:r>
            <w:r>
              <w:rPr>
                <w:i/>
                <w:iCs/>
                <w:spacing w:val="6"/>
              </w:rPr>
              <w:t xml:space="preserve"> </w:t>
            </w:r>
            <w:r>
              <w:rPr>
                <w:i/>
                <w:iCs/>
              </w:rPr>
              <w:t>annectans</w:t>
            </w:r>
          </w:p>
        </w:tc>
        <w:tc>
          <w:tcPr>
            <w:tcW w:w="1125" w:type="dxa"/>
            <w:vAlign w:val="top"/>
          </w:tcPr>
          <w:p w14:paraId="5B944224">
            <w:pPr>
              <w:pStyle w:val="6"/>
              <w:spacing w:before="124" w:line="186" w:lineRule="auto"/>
              <w:ind w:left="215"/>
            </w:pPr>
            <w:r>
              <w:rPr>
                <w:spacing w:val="-3"/>
              </w:rPr>
              <w:t>SC-SW-</w:t>
            </w:r>
          </w:p>
          <w:p w14:paraId="7F51B133">
            <w:pPr>
              <w:pStyle w:val="6"/>
              <w:spacing w:before="54" w:line="186" w:lineRule="auto"/>
              <w:ind w:left="425"/>
            </w:pPr>
            <w:r>
              <w:rPr>
                <w:spacing w:val="-2"/>
              </w:rPr>
              <w:t>CC</w:t>
            </w:r>
          </w:p>
        </w:tc>
        <w:tc>
          <w:tcPr>
            <w:tcW w:w="1145" w:type="dxa"/>
            <w:vAlign w:val="top"/>
          </w:tcPr>
          <w:p w14:paraId="1C8B21F1">
            <w:pPr>
              <w:spacing w:before="207" w:line="220" w:lineRule="auto"/>
              <w:ind w:left="369"/>
              <w:rPr>
                <w:rFonts w:ascii="宋体" w:hAnsi="宋体" w:eastAsia="宋体" w:cs="宋体"/>
                <w:sz w:val="21"/>
                <w:szCs w:val="21"/>
              </w:rPr>
            </w:pPr>
            <w:r>
              <w:rPr>
                <w:rFonts w:ascii="宋体" w:hAnsi="宋体" w:eastAsia="宋体" w:cs="宋体"/>
                <w:spacing w:val="-3"/>
                <w:sz w:val="21"/>
                <w:szCs w:val="21"/>
              </w:rPr>
              <w:t>特有</w:t>
            </w:r>
          </w:p>
        </w:tc>
        <w:tc>
          <w:tcPr>
            <w:tcW w:w="731" w:type="dxa"/>
            <w:vAlign w:val="top"/>
          </w:tcPr>
          <w:p w14:paraId="0178A2E0">
            <w:pPr>
              <w:pStyle w:val="6"/>
              <w:spacing w:before="241" w:line="251" w:lineRule="exact"/>
              <w:ind w:left="194"/>
            </w:pPr>
            <w:r>
              <w:rPr>
                <w:spacing w:val="-1"/>
                <w:position w:val="1"/>
              </w:rPr>
              <w:t>+++</w:t>
            </w:r>
          </w:p>
        </w:tc>
        <w:tc>
          <w:tcPr>
            <w:tcW w:w="737" w:type="dxa"/>
            <w:vAlign w:val="top"/>
          </w:tcPr>
          <w:p w14:paraId="3A68D529">
            <w:pPr>
              <w:pStyle w:val="6"/>
              <w:spacing w:before="248" w:line="183" w:lineRule="auto"/>
              <w:ind w:left="300"/>
            </w:pPr>
            <w:r>
              <w:t>V</w:t>
            </w:r>
          </w:p>
        </w:tc>
        <w:tc>
          <w:tcPr>
            <w:tcW w:w="1107" w:type="dxa"/>
            <w:tcBorders>
              <w:right w:val="single" w:color="000000" w:sz="12" w:space="0"/>
            </w:tcBorders>
            <w:vAlign w:val="top"/>
          </w:tcPr>
          <w:p w14:paraId="049994E4">
            <w:pPr>
              <w:rPr>
                <w:rFonts w:ascii="Arial"/>
                <w:sz w:val="21"/>
              </w:rPr>
            </w:pPr>
          </w:p>
        </w:tc>
      </w:tr>
      <w:tr w14:paraId="23836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42" w:type="dxa"/>
            <w:tcBorders>
              <w:left w:val="single" w:color="000000" w:sz="12" w:space="0"/>
            </w:tcBorders>
            <w:vAlign w:val="top"/>
          </w:tcPr>
          <w:p w14:paraId="6FC39FF5">
            <w:pPr>
              <w:pStyle w:val="6"/>
              <w:spacing w:before="144" w:line="186" w:lineRule="auto"/>
              <w:ind w:left="136"/>
            </w:pPr>
            <w:r>
              <w:rPr>
                <w:b/>
                <w:bCs/>
                <w:spacing w:val="-2"/>
              </w:rPr>
              <w:t>F4</w:t>
            </w:r>
          </w:p>
        </w:tc>
        <w:tc>
          <w:tcPr>
            <w:tcW w:w="1261" w:type="dxa"/>
            <w:vAlign w:val="top"/>
          </w:tcPr>
          <w:p w14:paraId="1EF230B9">
            <w:pPr>
              <w:spacing w:before="105" w:line="219" w:lineRule="auto"/>
              <w:ind w:left="411"/>
              <w:rPr>
                <w:rFonts w:ascii="宋体" w:hAnsi="宋体" w:eastAsia="宋体" w:cs="宋体"/>
                <w:sz w:val="21"/>
                <w:szCs w:val="21"/>
              </w:rPr>
            </w:pPr>
            <w:r>
              <w:rPr>
                <w:rFonts w:ascii="宋体" w:hAnsi="宋体" w:eastAsia="宋体" w:cs="宋体"/>
                <w:b/>
                <w:bCs/>
                <w:spacing w:val="-5"/>
                <w:sz w:val="21"/>
                <w:szCs w:val="21"/>
              </w:rPr>
              <w:t>蛙科</w:t>
            </w:r>
          </w:p>
        </w:tc>
        <w:tc>
          <w:tcPr>
            <w:tcW w:w="1825" w:type="dxa"/>
            <w:vAlign w:val="top"/>
          </w:tcPr>
          <w:p w14:paraId="6968891B">
            <w:pPr>
              <w:pStyle w:val="6"/>
              <w:spacing w:before="142" w:line="187" w:lineRule="auto"/>
              <w:ind w:left="532"/>
            </w:pPr>
            <w:r>
              <w:rPr>
                <w:b/>
                <w:bCs/>
                <w:spacing w:val="-1"/>
              </w:rPr>
              <w:t>Ranidae</w:t>
            </w:r>
          </w:p>
        </w:tc>
        <w:tc>
          <w:tcPr>
            <w:tcW w:w="1125" w:type="dxa"/>
            <w:vAlign w:val="top"/>
          </w:tcPr>
          <w:p w14:paraId="0EFFE9DD">
            <w:pPr>
              <w:rPr>
                <w:rFonts w:ascii="Arial"/>
                <w:sz w:val="21"/>
              </w:rPr>
            </w:pPr>
          </w:p>
        </w:tc>
        <w:tc>
          <w:tcPr>
            <w:tcW w:w="1145" w:type="dxa"/>
            <w:vAlign w:val="top"/>
          </w:tcPr>
          <w:p w14:paraId="7E108CA9">
            <w:pPr>
              <w:rPr>
                <w:rFonts w:ascii="Arial"/>
                <w:sz w:val="21"/>
              </w:rPr>
            </w:pPr>
          </w:p>
        </w:tc>
        <w:tc>
          <w:tcPr>
            <w:tcW w:w="731" w:type="dxa"/>
            <w:vAlign w:val="top"/>
          </w:tcPr>
          <w:p w14:paraId="42F4C92E">
            <w:pPr>
              <w:rPr>
                <w:rFonts w:ascii="Arial"/>
                <w:sz w:val="21"/>
              </w:rPr>
            </w:pPr>
          </w:p>
        </w:tc>
        <w:tc>
          <w:tcPr>
            <w:tcW w:w="737" w:type="dxa"/>
            <w:vAlign w:val="top"/>
          </w:tcPr>
          <w:p w14:paraId="71A987D4">
            <w:pPr>
              <w:rPr>
                <w:rFonts w:ascii="Arial"/>
                <w:sz w:val="21"/>
              </w:rPr>
            </w:pPr>
          </w:p>
        </w:tc>
        <w:tc>
          <w:tcPr>
            <w:tcW w:w="1107" w:type="dxa"/>
            <w:tcBorders>
              <w:right w:val="single" w:color="000000" w:sz="12" w:space="0"/>
            </w:tcBorders>
            <w:vAlign w:val="top"/>
          </w:tcPr>
          <w:p w14:paraId="0CFE680C">
            <w:pPr>
              <w:rPr>
                <w:rFonts w:ascii="Arial"/>
                <w:sz w:val="21"/>
              </w:rPr>
            </w:pPr>
          </w:p>
        </w:tc>
      </w:tr>
      <w:tr w14:paraId="497EF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542" w:type="dxa"/>
            <w:tcBorders>
              <w:left w:val="single" w:color="000000" w:sz="12" w:space="0"/>
            </w:tcBorders>
            <w:vAlign w:val="top"/>
          </w:tcPr>
          <w:p w14:paraId="403F8FA7">
            <w:pPr>
              <w:pStyle w:val="6"/>
              <w:spacing w:before="247" w:line="235" w:lineRule="auto"/>
              <w:ind w:left="198"/>
            </w:pPr>
            <w:r>
              <w:t>4</w:t>
            </w:r>
          </w:p>
        </w:tc>
        <w:tc>
          <w:tcPr>
            <w:tcW w:w="1261" w:type="dxa"/>
            <w:vAlign w:val="top"/>
          </w:tcPr>
          <w:p w14:paraId="7657CB07">
            <w:pPr>
              <w:spacing w:before="213" w:line="220" w:lineRule="auto"/>
              <w:ind w:left="412"/>
              <w:rPr>
                <w:rFonts w:ascii="宋体" w:hAnsi="宋体" w:eastAsia="宋体" w:cs="宋体"/>
                <w:sz w:val="21"/>
                <w:szCs w:val="21"/>
              </w:rPr>
            </w:pPr>
            <w:r>
              <w:rPr>
                <w:rFonts w:ascii="宋体" w:hAnsi="宋体" w:eastAsia="宋体" w:cs="宋体"/>
                <w:spacing w:val="-3"/>
                <w:sz w:val="21"/>
                <w:szCs w:val="21"/>
              </w:rPr>
              <w:t>滇蛙</w:t>
            </w:r>
          </w:p>
        </w:tc>
        <w:tc>
          <w:tcPr>
            <w:tcW w:w="1825" w:type="dxa"/>
            <w:vAlign w:val="top"/>
          </w:tcPr>
          <w:p w14:paraId="6B3335DD">
            <w:pPr>
              <w:pStyle w:val="6"/>
              <w:spacing w:before="125" w:line="190" w:lineRule="auto"/>
              <w:ind w:left="516"/>
            </w:pPr>
            <w:r>
              <w:rPr>
                <w:i/>
                <w:iCs/>
              </w:rPr>
              <w:t>Nidirana</w:t>
            </w:r>
          </w:p>
          <w:p w14:paraId="5830BE30">
            <w:pPr>
              <w:pStyle w:val="6"/>
              <w:spacing w:before="51" w:line="190" w:lineRule="auto"/>
              <w:ind w:left="426"/>
            </w:pPr>
            <w:r>
              <w:rPr>
                <w:i/>
                <w:iCs/>
                <w:spacing w:val="2"/>
              </w:rPr>
              <w:t>pleuraden</w:t>
            </w:r>
          </w:p>
        </w:tc>
        <w:tc>
          <w:tcPr>
            <w:tcW w:w="1125" w:type="dxa"/>
            <w:vAlign w:val="top"/>
          </w:tcPr>
          <w:p w14:paraId="22F87ACC">
            <w:pPr>
              <w:pStyle w:val="6"/>
              <w:spacing w:before="251" w:line="186" w:lineRule="auto"/>
              <w:ind w:left="250"/>
            </w:pPr>
            <w:r>
              <w:rPr>
                <w:spacing w:val="-3"/>
              </w:rPr>
              <w:t>SC-SW</w:t>
            </w:r>
          </w:p>
        </w:tc>
        <w:tc>
          <w:tcPr>
            <w:tcW w:w="1145" w:type="dxa"/>
            <w:vAlign w:val="top"/>
          </w:tcPr>
          <w:p w14:paraId="02DCA35D">
            <w:pPr>
              <w:spacing w:before="213" w:line="220" w:lineRule="auto"/>
              <w:ind w:left="369"/>
              <w:rPr>
                <w:rFonts w:ascii="宋体" w:hAnsi="宋体" w:eastAsia="宋体" w:cs="宋体"/>
                <w:sz w:val="21"/>
                <w:szCs w:val="21"/>
              </w:rPr>
            </w:pPr>
            <w:r>
              <w:rPr>
                <w:rFonts w:ascii="宋体" w:hAnsi="宋体" w:eastAsia="宋体" w:cs="宋体"/>
                <w:spacing w:val="-3"/>
                <w:sz w:val="21"/>
                <w:szCs w:val="21"/>
              </w:rPr>
              <w:t>特有</w:t>
            </w:r>
          </w:p>
        </w:tc>
        <w:tc>
          <w:tcPr>
            <w:tcW w:w="731" w:type="dxa"/>
            <w:vAlign w:val="top"/>
          </w:tcPr>
          <w:p w14:paraId="2A61AAE9">
            <w:pPr>
              <w:pStyle w:val="6"/>
              <w:spacing w:before="247" w:line="251" w:lineRule="exact"/>
              <w:ind w:left="194"/>
            </w:pPr>
            <w:r>
              <w:rPr>
                <w:spacing w:val="-1"/>
                <w:position w:val="1"/>
              </w:rPr>
              <w:t>+++</w:t>
            </w:r>
          </w:p>
        </w:tc>
        <w:tc>
          <w:tcPr>
            <w:tcW w:w="737" w:type="dxa"/>
            <w:vAlign w:val="top"/>
          </w:tcPr>
          <w:p w14:paraId="7282C946">
            <w:pPr>
              <w:pStyle w:val="6"/>
              <w:spacing w:before="251" w:line="186" w:lineRule="auto"/>
              <w:ind w:left="328"/>
            </w:pPr>
            <w:r>
              <w:t>S</w:t>
            </w:r>
          </w:p>
        </w:tc>
        <w:tc>
          <w:tcPr>
            <w:tcW w:w="1107" w:type="dxa"/>
            <w:tcBorders>
              <w:right w:val="single" w:color="000000" w:sz="12" w:space="0"/>
            </w:tcBorders>
            <w:vAlign w:val="top"/>
          </w:tcPr>
          <w:p w14:paraId="24890912">
            <w:pPr>
              <w:spacing w:before="214" w:line="220" w:lineRule="auto"/>
              <w:ind w:left="364"/>
              <w:rPr>
                <w:rFonts w:ascii="宋体" w:hAnsi="宋体" w:eastAsia="宋体" w:cs="宋体"/>
                <w:sz w:val="21"/>
                <w:szCs w:val="21"/>
              </w:rPr>
            </w:pPr>
            <w:r>
              <w:rPr>
                <w:rFonts w:ascii="宋体" w:hAnsi="宋体" w:eastAsia="宋体" w:cs="宋体"/>
                <w:spacing w:val="-5"/>
                <w:sz w:val="21"/>
                <w:szCs w:val="21"/>
              </w:rPr>
              <w:t>鸣声</w:t>
            </w:r>
          </w:p>
        </w:tc>
      </w:tr>
      <w:tr w14:paraId="38BEB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42" w:type="dxa"/>
            <w:tcBorders>
              <w:left w:val="single" w:color="000000" w:sz="12" w:space="0"/>
            </w:tcBorders>
            <w:vAlign w:val="top"/>
          </w:tcPr>
          <w:p w14:paraId="7BBAAD99">
            <w:pPr>
              <w:pStyle w:val="6"/>
              <w:spacing w:before="145" w:line="232" w:lineRule="auto"/>
              <w:ind w:left="205"/>
            </w:pPr>
            <w:r>
              <w:t>5</w:t>
            </w:r>
          </w:p>
        </w:tc>
        <w:tc>
          <w:tcPr>
            <w:tcW w:w="1261" w:type="dxa"/>
            <w:vAlign w:val="top"/>
          </w:tcPr>
          <w:p w14:paraId="066EE704">
            <w:pPr>
              <w:spacing w:before="110" w:line="220" w:lineRule="auto"/>
              <w:ind w:left="98"/>
              <w:rPr>
                <w:rFonts w:ascii="宋体" w:hAnsi="宋体" w:eastAsia="宋体" w:cs="宋体"/>
                <w:sz w:val="21"/>
                <w:szCs w:val="21"/>
              </w:rPr>
            </w:pPr>
            <w:r>
              <w:rPr>
                <w:rFonts w:ascii="宋体" w:hAnsi="宋体" w:eastAsia="宋体" w:cs="宋体"/>
                <w:spacing w:val="-2"/>
                <w:sz w:val="21"/>
                <w:szCs w:val="21"/>
              </w:rPr>
              <w:t>无指盘臭蛙</w:t>
            </w:r>
          </w:p>
        </w:tc>
        <w:tc>
          <w:tcPr>
            <w:tcW w:w="1825" w:type="dxa"/>
            <w:vAlign w:val="top"/>
          </w:tcPr>
          <w:p w14:paraId="5877AA5E">
            <w:pPr>
              <w:pStyle w:val="6"/>
              <w:spacing w:before="144" w:line="190" w:lineRule="auto"/>
              <w:ind w:left="112"/>
            </w:pPr>
            <w:r>
              <w:rPr>
                <w:i/>
                <w:iCs/>
                <w:spacing w:val="-1"/>
              </w:rPr>
              <w:t>Odorrana grahami</w:t>
            </w:r>
          </w:p>
        </w:tc>
        <w:tc>
          <w:tcPr>
            <w:tcW w:w="1125" w:type="dxa"/>
            <w:vAlign w:val="top"/>
          </w:tcPr>
          <w:p w14:paraId="24835017">
            <w:pPr>
              <w:pStyle w:val="6"/>
              <w:spacing w:before="148" w:line="186" w:lineRule="auto"/>
              <w:ind w:left="250"/>
            </w:pPr>
            <w:r>
              <w:rPr>
                <w:spacing w:val="-3"/>
              </w:rPr>
              <w:t>SC-SW</w:t>
            </w:r>
          </w:p>
        </w:tc>
        <w:tc>
          <w:tcPr>
            <w:tcW w:w="1145" w:type="dxa"/>
            <w:vAlign w:val="top"/>
          </w:tcPr>
          <w:p w14:paraId="54511959">
            <w:pPr>
              <w:rPr>
                <w:rFonts w:ascii="Arial"/>
                <w:sz w:val="21"/>
              </w:rPr>
            </w:pPr>
          </w:p>
        </w:tc>
        <w:tc>
          <w:tcPr>
            <w:tcW w:w="731" w:type="dxa"/>
            <w:vAlign w:val="top"/>
          </w:tcPr>
          <w:p w14:paraId="3674676C">
            <w:pPr>
              <w:pStyle w:val="6"/>
              <w:spacing w:before="144" w:line="234" w:lineRule="auto"/>
              <w:ind w:left="252"/>
            </w:pPr>
            <w:r>
              <w:rPr>
                <w:spacing w:val="-1"/>
              </w:rPr>
              <w:t>++</w:t>
            </w:r>
          </w:p>
        </w:tc>
        <w:tc>
          <w:tcPr>
            <w:tcW w:w="737" w:type="dxa"/>
            <w:vAlign w:val="top"/>
          </w:tcPr>
          <w:p w14:paraId="0D2AE9E5">
            <w:pPr>
              <w:pStyle w:val="6"/>
              <w:spacing w:before="148" w:line="186" w:lineRule="auto"/>
              <w:ind w:left="328"/>
            </w:pPr>
            <w:r>
              <w:t>S</w:t>
            </w:r>
          </w:p>
        </w:tc>
        <w:tc>
          <w:tcPr>
            <w:tcW w:w="1107" w:type="dxa"/>
            <w:tcBorders>
              <w:right w:val="single" w:color="000000" w:sz="12" w:space="0"/>
            </w:tcBorders>
            <w:vAlign w:val="top"/>
          </w:tcPr>
          <w:p w14:paraId="4C12B728">
            <w:pPr>
              <w:rPr>
                <w:rFonts w:ascii="Arial"/>
                <w:sz w:val="21"/>
              </w:rPr>
            </w:pPr>
          </w:p>
        </w:tc>
      </w:tr>
      <w:tr w14:paraId="30A6C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542" w:type="dxa"/>
            <w:tcBorders>
              <w:left w:val="single" w:color="000000" w:sz="12" w:space="0"/>
              <w:bottom w:val="single" w:color="000000" w:sz="12" w:space="0"/>
            </w:tcBorders>
            <w:vAlign w:val="top"/>
          </w:tcPr>
          <w:p w14:paraId="5099819C">
            <w:pPr>
              <w:pStyle w:val="6"/>
              <w:spacing w:before="147" w:line="232" w:lineRule="auto"/>
              <w:ind w:left="204"/>
            </w:pPr>
            <w:r>
              <w:t>6</w:t>
            </w:r>
          </w:p>
        </w:tc>
        <w:tc>
          <w:tcPr>
            <w:tcW w:w="1261" w:type="dxa"/>
            <w:tcBorders>
              <w:bottom w:val="single" w:color="000000" w:sz="12" w:space="0"/>
            </w:tcBorders>
            <w:vAlign w:val="top"/>
          </w:tcPr>
          <w:p w14:paraId="3157A60F">
            <w:pPr>
              <w:spacing w:before="113" w:line="221" w:lineRule="auto"/>
              <w:ind w:left="417"/>
              <w:rPr>
                <w:rFonts w:ascii="宋体" w:hAnsi="宋体" w:eastAsia="宋体" w:cs="宋体"/>
                <w:sz w:val="21"/>
                <w:szCs w:val="21"/>
              </w:rPr>
            </w:pPr>
            <w:r>
              <w:rPr>
                <w:rFonts w:ascii="宋体" w:hAnsi="宋体" w:eastAsia="宋体" w:cs="宋体"/>
                <w:spacing w:val="-4"/>
                <w:sz w:val="21"/>
                <w:szCs w:val="21"/>
              </w:rPr>
              <w:t>牛蛙</w:t>
            </w:r>
          </w:p>
        </w:tc>
        <w:tc>
          <w:tcPr>
            <w:tcW w:w="1825" w:type="dxa"/>
            <w:tcBorders>
              <w:bottom w:val="single" w:color="000000" w:sz="12" w:space="0"/>
            </w:tcBorders>
            <w:vAlign w:val="top"/>
          </w:tcPr>
          <w:p w14:paraId="0C4D1CE0">
            <w:pPr>
              <w:pStyle w:val="6"/>
              <w:spacing w:before="146" w:line="233" w:lineRule="auto"/>
              <w:ind w:left="148"/>
            </w:pPr>
            <w:r>
              <w:rPr>
                <w:i/>
                <w:iCs/>
              </w:rPr>
              <w:t>Rana</w:t>
            </w:r>
            <w:r>
              <w:rPr>
                <w:i/>
                <w:iCs/>
                <w:spacing w:val="3"/>
              </w:rPr>
              <w:t xml:space="preserve"> </w:t>
            </w:r>
            <w:r>
              <w:rPr>
                <w:i/>
                <w:iCs/>
              </w:rPr>
              <w:t>catesbeiana</w:t>
            </w:r>
          </w:p>
        </w:tc>
        <w:tc>
          <w:tcPr>
            <w:tcW w:w="1125" w:type="dxa"/>
            <w:tcBorders>
              <w:bottom w:val="single" w:color="000000" w:sz="12" w:space="0"/>
            </w:tcBorders>
            <w:vAlign w:val="top"/>
          </w:tcPr>
          <w:p w14:paraId="7BBD01AF">
            <w:pPr>
              <w:rPr>
                <w:rFonts w:ascii="Arial"/>
                <w:sz w:val="21"/>
              </w:rPr>
            </w:pPr>
          </w:p>
        </w:tc>
        <w:tc>
          <w:tcPr>
            <w:tcW w:w="1145" w:type="dxa"/>
            <w:tcBorders>
              <w:bottom w:val="single" w:color="000000" w:sz="12" w:space="0"/>
            </w:tcBorders>
            <w:vAlign w:val="top"/>
          </w:tcPr>
          <w:p w14:paraId="0FD57B65">
            <w:pPr>
              <w:rPr>
                <w:rFonts w:ascii="Arial"/>
                <w:sz w:val="21"/>
              </w:rPr>
            </w:pPr>
          </w:p>
        </w:tc>
        <w:tc>
          <w:tcPr>
            <w:tcW w:w="731" w:type="dxa"/>
            <w:tcBorders>
              <w:bottom w:val="single" w:color="000000" w:sz="12" w:space="0"/>
            </w:tcBorders>
            <w:vAlign w:val="top"/>
          </w:tcPr>
          <w:p w14:paraId="21916F14">
            <w:pPr>
              <w:pStyle w:val="6"/>
              <w:spacing w:before="146" w:line="251" w:lineRule="exact"/>
              <w:ind w:left="194"/>
            </w:pPr>
            <w:r>
              <w:rPr>
                <w:spacing w:val="-1"/>
                <w:position w:val="1"/>
              </w:rPr>
              <w:t>+++</w:t>
            </w:r>
          </w:p>
        </w:tc>
        <w:tc>
          <w:tcPr>
            <w:tcW w:w="737" w:type="dxa"/>
            <w:tcBorders>
              <w:bottom w:val="single" w:color="000000" w:sz="12" w:space="0"/>
            </w:tcBorders>
            <w:vAlign w:val="top"/>
          </w:tcPr>
          <w:p w14:paraId="023D0087">
            <w:pPr>
              <w:pStyle w:val="6"/>
              <w:spacing w:before="150" w:line="186" w:lineRule="auto"/>
              <w:ind w:left="328"/>
            </w:pPr>
            <w:r>
              <w:t>S</w:t>
            </w:r>
          </w:p>
        </w:tc>
        <w:tc>
          <w:tcPr>
            <w:tcW w:w="1107" w:type="dxa"/>
            <w:tcBorders>
              <w:bottom w:val="single" w:color="000000" w:sz="12" w:space="0"/>
              <w:right w:val="single" w:color="000000" w:sz="12" w:space="0"/>
            </w:tcBorders>
            <w:vAlign w:val="top"/>
          </w:tcPr>
          <w:p w14:paraId="4152C9A3">
            <w:pPr>
              <w:spacing w:before="112" w:line="220" w:lineRule="auto"/>
              <w:ind w:left="147"/>
              <w:rPr>
                <w:rFonts w:ascii="宋体" w:hAnsi="宋体" w:eastAsia="宋体" w:cs="宋体"/>
                <w:sz w:val="21"/>
                <w:szCs w:val="21"/>
              </w:rPr>
            </w:pPr>
            <w:r>
              <w:rPr>
                <w:rFonts w:ascii="宋体" w:hAnsi="宋体" w:eastAsia="宋体" w:cs="宋体"/>
                <w:spacing w:val="-3"/>
                <w:sz w:val="21"/>
                <w:szCs w:val="21"/>
              </w:rPr>
              <w:t>外来物种</w:t>
            </w:r>
          </w:p>
        </w:tc>
      </w:tr>
    </w:tbl>
    <w:p w14:paraId="48D8D072">
      <w:pPr>
        <w:pStyle w:val="2"/>
        <w:spacing w:before="171" w:line="387" w:lineRule="auto"/>
        <w:ind w:left="33" w:firstLine="424"/>
        <w:rPr>
          <w:rFonts w:ascii="Times New Roman" w:hAnsi="Times New Roman" w:eastAsia="Times New Roman" w:cs="Times New Roman"/>
          <w:sz w:val="21"/>
          <w:szCs w:val="21"/>
        </w:rPr>
      </w:pPr>
      <w:r>
        <w:rPr>
          <w:spacing w:val="-5"/>
          <w:sz w:val="21"/>
          <w:szCs w:val="21"/>
        </w:rPr>
        <w:t>注：①本名录根据中国科学院昆明动物研究所的“</w:t>
      </w:r>
      <w:r>
        <w:rPr>
          <w:spacing w:val="-77"/>
          <w:sz w:val="21"/>
          <w:szCs w:val="21"/>
        </w:rPr>
        <w:t xml:space="preserve"> </w:t>
      </w:r>
      <w:r>
        <w:rPr>
          <w:spacing w:val="-5"/>
          <w:sz w:val="21"/>
          <w:szCs w:val="21"/>
        </w:rPr>
        <w:t>中国两栖类</w:t>
      </w:r>
      <w:r>
        <w:rPr>
          <w:spacing w:val="-77"/>
          <w:sz w:val="21"/>
          <w:szCs w:val="21"/>
        </w:rPr>
        <w:t xml:space="preserve"> </w:t>
      </w:r>
      <w:r>
        <w:rPr>
          <w:spacing w:val="-5"/>
          <w:sz w:val="21"/>
          <w:szCs w:val="21"/>
        </w:rPr>
        <w:t>”信息</w:t>
      </w:r>
      <w:r>
        <w:rPr>
          <w:spacing w:val="-6"/>
          <w:sz w:val="21"/>
          <w:szCs w:val="21"/>
        </w:rPr>
        <w:t>系统（</w:t>
      </w:r>
      <w:r>
        <w:rPr>
          <w:rFonts w:ascii="Times New Roman" w:hAnsi="Times New Roman" w:eastAsia="Times New Roman" w:cs="Times New Roman"/>
          <w:spacing w:val="-6"/>
          <w:sz w:val="21"/>
          <w:szCs w:val="21"/>
        </w:rPr>
        <w:t xml:space="preserve">2020 </w:t>
      </w:r>
      <w:r>
        <w:rPr>
          <w:spacing w:val="-6"/>
          <w:sz w:val="21"/>
          <w:szCs w:val="21"/>
        </w:rPr>
        <w:t>年）的分</w:t>
      </w:r>
      <w:r>
        <w:rPr>
          <w:spacing w:val="-1"/>
          <w:sz w:val="21"/>
          <w:szCs w:val="21"/>
        </w:rPr>
        <w:t>类和排列进行编目（网站：</w:t>
      </w:r>
      <w:r>
        <w:fldChar w:fldCharType="begin"/>
      </w:r>
      <w:r>
        <w:instrText xml:space="preserve"> HYPERLINK "http://www.amphibiachina.org/" </w:instrText>
      </w:r>
      <w:r>
        <w:fldChar w:fldCharType="separate"/>
      </w:r>
      <w:r>
        <w:rPr>
          <w:rFonts w:ascii="Times New Roman" w:hAnsi="Times New Roman" w:eastAsia="Times New Roman" w:cs="Times New Roman"/>
          <w:spacing w:val="-1"/>
          <w:sz w:val="21"/>
          <w:szCs w:val="21"/>
        </w:rPr>
        <w:t>http://www</w:t>
      </w:r>
      <w:r>
        <w:rPr>
          <w:rFonts w:ascii="Times New Roman" w:hAnsi="Times New Roman" w:eastAsia="Times New Roman" w:cs="Times New Roman"/>
          <w:spacing w:val="-2"/>
          <w:sz w:val="21"/>
          <w:szCs w:val="21"/>
        </w:rPr>
        <w:t>.amphibiachina.org/</w:t>
      </w:r>
      <w:r>
        <w:rPr>
          <w:rFonts w:ascii="Times New Roman" w:hAnsi="Times New Roman" w:eastAsia="Times New Roman" w:cs="Times New Roman"/>
          <w:spacing w:val="-2"/>
          <w:sz w:val="21"/>
          <w:szCs w:val="21"/>
        </w:rPr>
        <w:fldChar w:fldCharType="end"/>
      </w:r>
      <w:r>
        <w:rPr>
          <w:spacing w:val="-48"/>
          <w:sz w:val="21"/>
          <w:szCs w:val="21"/>
        </w:rPr>
        <w:t>）；</w:t>
      </w:r>
      <w:r>
        <w:rPr>
          <w:spacing w:val="-2"/>
          <w:sz w:val="21"/>
          <w:szCs w:val="21"/>
        </w:rPr>
        <w:t>②序号：</w:t>
      </w:r>
      <w:r>
        <w:rPr>
          <w:rFonts w:ascii="Times New Roman" w:hAnsi="Times New Roman" w:eastAsia="Times New Roman" w:cs="Times New Roman"/>
          <w:spacing w:val="-2"/>
          <w:sz w:val="21"/>
          <w:szCs w:val="21"/>
        </w:rPr>
        <w:t>O1</w:t>
      </w:r>
      <w:r>
        <w:rPr>
          <w:spacing w:val="-2"/>
          <w:sz w:val="21"/>
          <w:szCs w:val="21"/>
        </w:rPr>
        <w:t>、</w:t>
      </w:r>
      <w:r>
        <w:rPr>
          <w:rFonts w:ascii="Times New Roman" w:hAnsi="Times New Roman" w:eastAsia="Times New Roman" w:cs="Times New Roman"/>
          <w:spacing w:val="-2"/>
          <w:sz w:val="21"/>
          <w:szCs w:val="21"/>
        </w:rPr>
        <w:t>O2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3"/>
          <w:sz w:val="21"/>
          <w:szCs w:val="21"/>
        </w:rPr>
        <w:t xml:space="preserve"> </w:t>
      </w:r>
      <w:r>
        <w:rPr>
          <w:spacing w:val="-2"/>
          <w:sz w:val="21"/>
          <w:szCs w:val="21"/>
        </w:rPr>
        <w:t>：</w:t>
      </w:r>
      <w:r>
        <w:rPr>
          <w:spacing w:val="-57"/>
          <w:sz w:val="21"/>
          <w:szCs w:val="21"/>
        </w:rPr>
        <w:t xml:space="preserve"> </w:t>
      </w:r>
      <w:r>
        <w:rPr>
          <w:spacing w:val="-2"/>
          <w:sz w:val="21"/>
          <w:szCs w:val="21"/>
        </w:rPr>
        <w:t>目的编号；</w:t>
      </w:r>
      <w:r>
        <w:rPr>
          <w:sz w:val="21"/>
          <w:szCs w:val="21"/>
        </w:rPr>
        <w:t xml:space="preserve"> </w:t>
      </w:r>
      <w:r>
        <w:rPr>
          <w:rFonts w:ascii="Times New Roman" w:hAnsi="Times New Roman" w:eastAsia="Times New Roman" w:cs="Times New Roman"/>
          <w:spacing w:val="-1"/>
          <w:sz w:val="21"/>
          <w:szCs w:val="21"/>
        </w:rPr>
        <w:t>F1</w:t>
      </w:r>
      <w:r>
        <w:rPr>
          <w:rFonts w:ascii="Times New Roman" w:hAnsi="Times New Roman" w:eastAsia="Times New Roman" w:cs="Times New Roman"/>
          <w:spacing w:val="-27"/>
          <w:sz w:val="21"/>
          <w:szCs w:val="21"/>
        </w:rPr>
        <w:t xml:space="preserve"> </w:t>
      </w:r>
      <w:r>
        <w:rPr>
          <w:spacing w:val="-1"/>
          <w:sz w:val="21"/>
          <w:szCs w:val="21"/>
        </w:rPr>
        <w:t>、</w:t>
      </w:r>
      <w:r>
        <w:rPr>
          <w:rFonts w:ascii="Times New Roman" w:hAnsi="Times New Roman" w:eastAsia="Times New Roman" w:cs="Times New Roman"/>
          <w:spacing w:val="-1"/>
          <w:sz w:val="21"/>
          <w:szCs w:val="21"/>
        </w:rPr>
        <w:t>F2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2"/>
          <w:sz w:val="21"/>
          <w:szCs w:val="21"/>
        </w:rPr>
        <w:t xml:space="preserve"> </w:t>
      </w:r>
      <w:r>
        <w:rPr>
          <w:spacing w:val="-1"/>
          <w:sz w:val="21"/>
          <w:szCs w:val="21"/>
        </w:rPr>
        <w:t>：科的编号；</w:t>
      </w:r>
      <w:r>
        <w:rPr>
          <w:rFonts w:ascii="Times New Roman" w:hAnsi="Times New Roman" w:eastAsia="Times New Roman" w:cs="Times New Roman"/>
          <w:spacing w:val="-1"/>
          <w:sz w:val="21"/>
          <w:szCs w:val="21"/>
        </w:rPr>
        <w:t>1</w:t>
      </w:r>
      <w:r>
        <w:rPr>
          <w:rFonts w:ascii="Times New Roman" w:hAnsi="Times New Roman" w:eastAsia="Times New Roman" w:cs="Times New Roman"/>
          <w:spacing w:val="-27"/>
          <w:sz w:val="21"/>
          <w:szCs w:val="21"/>
        </w:rPr>
        <w:t xml:space="preserve"> </w:t>
      </w:r>
      <w:r>
        <w:rPr>
          <w:spacing w:val="-1"/>
          <w:sz w:val="21"/>
          <w:szCs w:val="21"/>
        </w:rPr>
        <w:t>、</w:t>
      </w:r>
      <w:r>
        <w:rPr>
          <w:rFonts w:ascii="Times New Roman" w:hAnsi="Times New Roman" w:eastAsia="Times New Roman" w:cs="Times New Roman"/>
          <w:spacing w:val="-1"/>
          <w:sz w:val="21"/>
          <w:szCs w:val="21"/>
        </w:rPr>
        <w:t>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2"/>
          <w:sz w:val="21"/>
          <w:szCs w:val="21"/>
        </w:rPr>
        <w:t xml:space="preserve"> </w:t>
      </w:r>
      <w:r>
        <w:rPr>
          <w:spacing w:val="-1"/>
          <w:sz w:val="21"/>
          <w:szCs w:val="21"/>
        </w:rPr>
        <w:t>：种的编号；③区系从属：</w:t>
      </w:r>
      <w:r>
        <w:rPr>
          <w:rFonts w:ascii="Times New Roman" w:hAnsi="Times New Roman" w:eastAsia="Times New Roman" w:cs="Times New Roman"/>
          <w:spacing w:val="-1"/>
          <w:sz w:val="21"/>
          <w:szCs w:val="21"/>
        </w:rPr>
        <w:t>SC</w:t>
      </w:r>
      <w:r>
        <w:rPr>
          <w:rFonts w:ascii="Times New Roman" w:hAnsi="Times New Roman" w:eastAsia="Times New Roman" w:cs="Times New Roman"/>
          <w:spacing w:val="-2"/>
          <w:sz w:val="21"/>
          <w:szCs w:val="21"/>
        </w:rPr>
        <w:t>-SW</w:t>
      </w:r>
      <w:r>
        <w:rPr>
          <w:spacing w:val="-2"/>
          <w:sz w:val="21"/>
          <w:szCs w:val="21"/>
        </w:rPr>
        <w:t>：东洋界华南</w:t>
      </w:r>
      <w:r>
        <w:rPr>
          <w:rFonts w:ascii="Times New Roman" w:hAnsi="Times New Roman" w:eastAsia="Times New Roman" w:cs="Times New Roman"/>
          <w:spacing w:val="-2"/>
          <w:sz w:val="21"/>
          <w:szCs w:val="21"/>
        </w:rPr>
        <w:t>-</w:t>
      </w:r>
      <w:r>
        <w:rPr>
          <w:spacing w:val="-2"/>
          <w:sz w:val="21"/>
          <w:szCs w:val="21"/>
        </w:rPr>
        <w:t>西南区物种；</w:t>
      </w:r>
      <w:r>
        <w:rPr>
          <w:sz w:val="21"/>
          <w:szCs w:val="21"/>
        </w:rPr>
        <w:t xml:space="preserve"> </w:t>
      </w:r>
      <w:r>
        <w:rPr>
          <w:rFonts w:ascii="Times New Roman" w:hAnsi="Times New Roman" w:eastAsia="Times New Roman" w:cs="Times New Roman"/>
          <w:spacing w:val="-3"/>
          <w:sz w:val="21"/>
          <w:szCs w:val="21"/>
        </w:rPr>
        <w:t>SC-SW-CC</w:t>
      </w:r>
      <w:r>
        <w:rPr>
          <w:spacing w:val="-3"/>
          <w:sz w:val="21"/>
          <w:szCs w:val="21"/>
        </w:rPr>
        <w:t>：东洋界华南</w:t>
      </w:r>
      <w:r>
        <w:rPr>
          <w:rFonts w:ascii="Times New Roman" w:hAnsi="Times New Roman" w:eastAsia="Times New Roman" w:cs="Times New Roman"/>
          <w:spacing w:val="-3"/>
          <w:sz w:val="21"/>
          <w:szCs w:val="21"/>
        </w:rPr>
        <w:t>-</w:t>
      </w:r>
      <w:r>
        <w:rPr>
          <w:spacing w:val="-3"/>
          <w:sz w:val="21"/>
          <w:szCs w:val="21"/>
        </w:rPr>
        <w:t>西南</w:t>
      </w:r>
      <w:r>
        <w:rPr>
          <w:rFonts w:ascii="Times New Roman" w:hAnsi="Times New Roman" w:eastAsia="Times New Roman" w:cs="Times New Roman"/>
          <w:spacing w:val="-3"/>
          <w:sz w:val="21"/>
          <w:szCs w:val="21"/>
        </w:rPr>
        <w:t>-</w:t>
      </w:r>
      <w:r>
        <w:rPr>
          <w:spacing w:val="-3"/>
          <w:sz w:val="21"/>
          <w:szCs w:val="21"/>
        </w:rPr>
        <w:t>华中区物种（东洋界</w:t>
      </w:r>
      <w:r>
        <w:rPr>
          <w:spacing w:val="-26"/>
          <w:sz w:val="21"/>
          <w:szCs w:val="21"/>
        </w:rPr>
        <w:t xml:space="preserve"> </w:t>
      </w:r>
      <w:r>
        <w:rPr>
          <w:rFonts w:ascii="Times New Roman" w:hAnsi="Times New Roman" w:eastAsia="Times New Roman" w:cs="Times New Roman"/>
          <w:spacing w:val="-3"/>
          <w:sz w:val="21"/>
          <w:szCs w:val="21"/>
        </w:rPr>
        <w:t>3</w:t>
      </w:r>
      <w:r>
        <w:rPr>
          <w:rFonts w:ascii="Times New Roman" w:hAnsi="Times New Roman" w:eastAsia="Times New Roman" w:cs="Times New Roman"/>
          <w:spacing w:val="26"/>
          <w:sz w:val="21"/>
          <w:szCs w:val="21"/>
        </w:rPr>
        <w:t xml:space="preserve"> </w:t>
      </w:r>
      <w:r>
        <w:rPr>
          <w:spacing w:val="-3"/>
          <w:sz w:val="21"/>
          <w:szCs w:val="21"/>
        </w:rPr>
        <w:t>个区都</w:t>
      </w:r>
      <w:r>
        <w:rPr>
          <w:spacing w:val="-4"/>
          <w:sz w:val="21"/>
          <w:szCs w:val="21"/>
        </w:rPr>
        <w:t>有分布，但尚达不到东洋广布</w:t>
      </w:r>
      <w:r>
        <w:rPr>
          <w:spacing w:val="-22"/>
          <w:sz w:val="21"/>
          <w:szCs w:val="21"/>
        </w:rPr>
        <w:t>）；</w:t>
      </w:r>
      <w:r>
        <w:rPr>
          <w:sz w:val="21"/>
          <w:szCs w:val="21"/>
        </w:rPr>
        <w:t xml:space="preserve"> </w:t>
      </w:r>
      <w:r>
        <w:rPr>
          <w:rFonts w:ascii="Times New Roman" w:hAnsi="Times New Roman" w:eastAsia="Times New Roman" w:cs="Times New Roman"/>
          <w:spacing w:val="-1"/>
          <w:sz w:val="21"/>
          <w:szCs w:val="21"/>
        </w:rPr>
        <w:t>POD</w:t>
      </w:r>
      <w:r>
        <w:rPr>
          <w:spacing w:val="-1"/>
          <w:sz w:val="21"/>
          <w:szCs w:val="21"/>
        </w:rPr>
        <w:t>：东洋古北两届广布种。加粗表示物种的主要分布区所属区系；④保护情况：</w:t>
      </w:r>
      <w:r>
        <w:rPr>
          <w:rFonts w:ascii="Times New Roman" w:hAnsi="Times New Roman" w:eastAsia="Times New Roman" w:cs="Times New Roman"/>
          <w:spacing w:val="-1"/>
          <w:sz w:val="21"/>
          <w:szCs w:val="21"/>
        </w:rPr>
        <w:t>Ⅰ</w:t>
      </w:r>
      <w:r>
        <w:rPr>
          <w:spacing w:val="-1"/>
          <w:sz w:val="21"/>
          <w:szCs w:val="21"/>
        </w:rPr>
        <w:t>级：国家</w:t>
      </w:r>
      <w:r>
        <w:rPr>
          <w:rFonts w:ascii="Times New Roman" w:hAnsi="Times New Roman" w:eastAsia="Times New Roman" w:cs="Times New Roman"/>
          <w:spacing w:val="-1"/>
          <w:sz w:val="21"/>
          <w:szCs w:val="21"/>
        </w:rPr>
        <w:t>Ⅰ</w:t>
      </w:r>
    </w:p>
    <w:p w14:paraId="10E460D8">
      <w:pPr>
        <w:pStyle w:val="2"/>
        <w:spacing w:before="4" w:line="386" w:lineRule="auto"/>
        <w:ind w:left="31" w:right="55" w:firstLine="9"/>
        <w:rPr>
          <w:rFonts w:ascii="Times New Roman" w:hAnsi="Times New Roman" w:eastAsia="Times New Roman" w:cs="Times New Roman"/>
          <w:sz w:val="21"/>
          <w:szCs w:val="21"/>
        </w:rPr>
      </w:pPr>
      <w:r>
        <w:rPr>
          <w:spacing w:val="-5"/>
          <w:sz w:val="21"/>
          <w:szCs w:val="21"/>
        </w:rPr>
        <w:t>级重点保护野生动物；</w:t>
      </w:r>
      <w:r>
        <w:rPr>
          <w:rFonts w:ascii="Times New Roman" w:hAnsi="Times New Roman" w:eastAsia="Times New Roman" w:cs="Times New Roman"/>
          <w:spacing w:val="-5"/>
          <w:sz w:val="21"/>
          <w:szCs w:val="21"/>
        </w:rPr>
        <w:t>Ⅱ</w:t>
      </w:r>
      <w:r>
        <w:rPr>
          <w:spacing w:val="-5"/>
          <w:sz w:val="21"/>
          <w:szCs w:val="21"/>
        </w:rPr>
        <w:t>级：国家</w:t>
      </w:r>
      <w:r>
        <w:rPr>
          <w:rFonts w:ascii="Times New Roman" w:hAnsi="Times New Roman" w:eastAsia="Times New Roman" w:cs="Times New Roman"/>
          <w:spacing w:val="-5"/>
          <w:sz w:val="21"/>
          <w:szCs w:val="21"/>
        </w:rPr>
        <w:t>Ⅱ</w:t>
      </w:r>
      <w:r>
        <w:rPr>
          <w:spacing w:val="-5"/>
          <w:sz w:val="21"/>
          <w:szCs w:val="21"/>
        </w:rPr>
        <w:t>级重点保护野生动物；</w:t>
      </w:r>
      <w:r>
        <w:rPr>
          <w:rFonts w:ascii="Times New Roman" w:hAnsi="Times New Roman" w:eastAsia="Times New Roman" w:cs="Times New Roman"/>
          <w:spacing w:val="-5"/>
          <w:sz w:val="21"/>
          <w:szCs w:val="21"/>
        </w:rPr>
        <w:t>YN</w:t>
      </w:r>
      <w:r>
        <w:rPr>
          <w:spacing w:val="-5"/>
          <w:sz w:val="21"/>
          <w:szCs w:val="21"/>
        </w:rPr>
        <w:t>：云南省省级保护野生动物。</w:t>
      </w:r>
      <w:r>
        <w:rPr>
          <w:rFonts w:ascii="Times New Roman" w:hAnsi="Times New Roman" w:eastAsia="Times New Roman" w:cs="Times New Roman"/>
          <w:spacing w:val="-5"/>
          <w:sz w:val="21"/>
          <w:szCs w:val="21"/>
        </w:rPr>
        <w:t>Ⅰ</w:t>
      </w:r>
      <w:r>
        <w:rPr>
          <w:rFonts w:ascii="Times New Roman" w:hAnsi="Times New Roman" w:eastAsia="Times New Roman" w:cs="Times New Roman"/>
          <w:spacing w:val="-18"/>
          <w:sz w:val="21"/>
          <w:szCs w:val="21"/>
        </w:rPr>
        <w:t xml:space="preserve"> </w:t>
      </w:r>
      <w:r>
        <w:rPr>
          <w:spacing w:val="-5"/>
          <w:sz w:val="21"/>
          <w:szCs w:val="21"/>
        </w:rPr>
        <w:t>:</w:t>
      </w:r>
      <w:r>
        <w:rPr>
          <w:sz w:val="21"/>
          <w:szCs w:val="21"/>
        </w:rPr>
        <w:t xml:space="preserve"> </w:t>
      </w:r>
      <w:r>
        <w:rPr>
          <w:rFonts w:ascii="Times New Roman" w:hAnsi="Times New Roman" w:eastAsia="Times New Roman" w:cs="Times New Roman"/>
          <w:spacing w:val="-3"/>
          <w:sz w:val="21"/>
          <w:szCs w:val="21"/>
        </w:rPr>
        <w:t>CITES</w:t>
      </w:r>
      <w:r>
        <w:rPr>
          <w:rFonts w:ascii="Times New Roman" w:hAnsi="Times New Roman" w:eastAsia="Times New Roman" w:cs="Times New Roman"/>
          <w:spacing w:val="37"/>
          <w:sz w:val="21"/>
          <w:szCs w:val="21"/>
        </w:rPr>
        <w:t xml:space="preserve"> </w:t>
      </w:r>
      <w:r>
        <w:rPr>
          <w:spacing w:val="-3"/>
          <w:sz w:val="21"/>
          <w:szCs w:val="21"/>
        </w:rPr>
        <w:t>公约（</w:t>
      </w:r>
      <w:r>
        <w:rPr>
          <w:rFonts w:ascii="Times New Roman" w:hAnsi="Times New Roman" w:eastAsia="Times New Roman" w:cs="Times New Roman"/>
          <w:spacing w:val="-3"/>
          <w:sz w:val="21"/>
          <w:szCs w:val="21"/>
        </w:rPr>
        <w:t>2019</w:t>
      </w:r>
      <w:r>
        <w:rPr>
          <w:rFonts w:ascii="Times New Roman" w:hAnsi="Times New Roman" w:eastAsia="Times New Roman" w:cs="Times New Roman"/>
          <w:spacing w:val="30"/>
          <w:w w:val="101"/>
          <w:sz w:val="21"/>
          <w:szCs w:val="21"/>
        </w:rPr>
        <w:t xml:space="preserve"> </w:t>
      </w:r>
      <w:r>
        <w:rPr>
          <w:spacing w:val="-3"/>
          <w:sz w:val="21"/>
          <w:szCs w:val="21"/>
        </w:rPr>
        <w:t>年）附录</w:t>
      </w:r>
      <w:r>
        <w:rPr>
          <w:rFonts w:ascii="Times New Roman" w:hAnsi="Times New Roman" w:eastAsia="Times New Roman" w:cs="Times New Roman"/>
          <w:spacing w:val="-3"/>
          <w:sz w:val="21"/>
          <w:szCs w:val="21"/>
        </w:rPr>
        <w:t>Ⅰ</w:t>
      </w:r>
      <w:r>
        <w:rPr>
          <w:spacing w:val="-3"/>
          <w:sz w:val="21"/>
          <w:szCs w:val="21"/>
        </w:rPr>
        <w:t>;</w:t>
      </w:r>
      <w:r>
        <w:rPr>
          <w:spacing w:val="54"/>
          <w:sz w:val="21"/>
          <w:szCs w:val="21"/>
        </w:rPr>
        <w:t xml:space="preserve"> </w:t>
      </w:r>
      <w:r>
        <w:rPr>
          <w:rFonts w:ascii="Times New Roman" w:hAnsi="Times New Roman" w:eastAsia="Times New Roman" w:cs="Times New Roman"/>
          <w:spacing w:val="-3"/>
          <w:sz w:val="21"/>
          <w:szCs w:val="21"/>
        </w:rPr>
        <w:t>Ⅱ</w:t>
      </w:r>
      <w:r>
        <w:rPr>
          <w:rFonts w:ascii="Times New Roman" w:hAnsi="Times New Roman" w:eastAsia="Times New Roman" w:cs="Times New Roman"/>
          <w:spacing w:val="-26"/>
          <w:sz w:val="21"/>
          <w:szCs w:val="21"/>
        </w:rPr>
        <w:t xml:space="preserve"> </w:t>
      </w:r>
      <w:r>
        <w:rPr>
          <w:spacing w:val="-3"/>
          <w:sz w:val="21"/>
          <w:szCs w:val="21"/>
        </w:rPr>
        <w:t>：</w:t>
      </w:r>
      <w:r>
        <w:rPr>
          <w:rFonts w:ascii="Times New Roman" w:hAnsi="Times New Roman" w:eastAsia="Times New Roman" w:cs="Times New Roman"/>
          <w:spacing w:val="-3"/>
          <w:sz w:val="21"/>
          <w:szCs w:val="21"/>
        </w:rPr>
        <w:t>CIT</w:t>
      </w:r>
      <w:r>
        <w:rPr>
          <w:rFonts w:ascii="Times New Roman" w:hAnsi="Times New Roman" w:eastAsia="Times New Roman" w:cs="Times New Roman"/>
          <w:spacing w:val="-4"/>
          <w:sz w:val="21"/>
          <w:szCs w:val="21"/>
        </w:rPr>
        <w:t>ES</w:t>
      </w:r>
      <w:r>
        <w:rPr>
          <w:rFonts w:ascii="Times New Roman" w:hAnsi="Times New Roman" w:eastAsia="Times New Roman" w:cs="Times New Roman"/>
          <w:spacing w:val="46"/>
          <w:w w:val="101"/>
          <w:sz w:val="21"/>
          <w:szCs w:val="21"/>
        </w:rPr>
        <w:t xml:space="preserve"> </w:t>
      </w:r>
      <w:r>
        <w:rPr>
          <w:spacing w:val="-4"/>
          <w:sz w:val="21"/>
          <w:szCs w:val="21"/>
        </w:rPr>
        <w:t>附录</w:t>
      </w:r>
      <w:r>
        <w:rPr>
          <w:rFonts w:ascii="Times New Roman" w:hAnsi="Times New Roman" w:eastAsia="Times New Roman" w:cs="Times New Roman"/>
          <w:spacing w:val="-4"/>
          <w:sz w:val="21"/>
          <w:szCs w:val="21"/>
        </w:rPr>
        <w:t>Ⅱ</w:t>
      </w:r>
      <w:r>
        <w:rPr>
          <w:rFonts w:ascii="Times New Roman" w:hAnsi="Times New Roman" w:eastAsia="Times New Roman" w:cs="Times New Roman"/>
          <w:spacing w:val="-24"/>
          <w:sz w:val="21"/>
          <w:szCs w:val="21"/>
        </w:rPr>
        <w:t xml:space="preserve"> </w:t>
      </w:r>
      <w:r>
        <w:rPr>
          <w:spacing w:val="-4"/>
          <w:sz w:val="21"/>
          <w:szCs w:val="21"/>
        </w:rPr>
        <w:t>。</w:t>
      </w:r>
      <w:r>
        <w:rPr>
          <w:rFonts w:ascii="Times New Roman" w:hAnsi="Times New Roman" w:eastAsia="Times New Roman" w:cs="Times New Roman"/>
          <w:spacing w:val="-4"/>
          <w:sz w:val="21"/>
          <w:szCs w:val="21"/>
        </w:rPr>
        <w:t>CR</w:t>
      </w:r>
      <w:r>
        <w:rPr>
          <w:spacing w:val="-4"/>
          <w:sz w:val="21"/>
          <w:szCs w:val="21"/>
        </w:rPr>
        <w:t>：</w:t>
      </w:r>
      <w:r>
        <w:rPr>
          <w:rFonts w:ascii="Times New Roman" w:hAnsi="Times New Roman" w:eastAsia="Times New Roman" w:cs="Times New Roman"/>
          <w:spacing w:val="-4"/>
          <w:sz w:val="21"/>
          <w:szCs w:val="21"/>
        </w:rPr>
        <w:t>IUCN</w:t>
      </w:r>
      <w:r>
        <w:rPr>
          <w:rFonts w:ascii="Times New Roman" w:hAnsi="Times New Roman" w:eastAsia="Times New Roman" w:cs="Times New Roman"/>
          <w:spacing w:val="33"/>
          <w:sz w:val="21"/>
          <w:szCs w:val="21"/>
        </w:rPr>
        <w:t xml:space="preserve"> </w:t>
      </w:r>
      <w:r>
        <w:rPr>
          <w:spacing w:val="-4"/>
          <w:sz w:val="21"/>
          <w:szCs w:val="21"/>
        </w:rPr>
        <w:t>极危种；</w:t>
      </w:r>
      <w:r>
        <w:rPr>
          <w:rFonts w:ascii="Times New Roman" w:hAnsi="Times New Roman" w:eastAsia="Times New Roman" w:cs="Times New Roman"/>
          <w:spacing w:val="-4"/>
          <w:sz w:val="21"/>
          <w:szCs w:val="21"/>
        </w:rPr>
        <w:t>EN</w:t>
      </w:r>
      <w:r>
        <w:rPr>
          <w:spacing w:val="-4"/>
          <w:sz w:val="21"/>
          <w:szCs w:val="21"/>
        </w:rPr>
        <w:t>：</w:t>
      </w:r>
      <w:r>
        <w:rPr>
          <w:rFonts w:ascii="Times New Roman" w:hAnsi="Times New Roman" w:eastAsia="Times New Roman" w:cs="Times New Roman"/>
          <w:spacing w:val="-4"/>
          <w:sz w:val="21"/>
          <w:szCs w:val="21"/>
        </w:rPr>
        <w:t>IUCN</w:t>
      </w:r>
      <w:r>
        <w:rPr>
          <w:rFonts w:ascii="Times New Roman" w:hAnsi="Times New Roman" w:eastAsia="Times New Roman" w:cs="Times New Roman"/>
          <w:spacing w:val="29"/>
          <w:sz w:val="21"/>
          <w:szCs w:val="21"/>
        </w:rPr>
        <w:t xml:space="preserve"> </w:t>
      </w:r>
      <w:r>
        <w:rPr>
          <w:spacing w:val="-4"/>
          <w:sz w:val="21"/>
          <w:szCs w:val="21"/>
        </w:rPr>
        <w:t>濒危种；</w:t>
      </w:r>
      <w:r>
        <w:rPr>
          <w:sz w:val="21"/>
          <w:szCs w:val="21"/>
        </w:rPr>
        <w:t xml:space="preserve"> </w:t>
      </w:r>
      <w:r>
        <w:rPr>
          <w:rFonts w:ascii="Times New Roman" w:hAnsi="Times New Roman" w:eastAsia="Times New Roman" w:cs="Times New Roman"/>
          <w:spacing w:val="-10"/>
          <w:sz w:val="21"/>
          <w:szCs w:val="21"/>
        </w:rPr>
        <w:t>VU</w:t>
      </w:r>
      <w:r>
        <w:rPr>
          <w:spacing w:val="-10"/>
          <w:sz w:val="21"/>
          <w:szCs w:val="21"/>
        </w:rPr>
        <w:t>：</w:t>
      </w:r>
      <w:r>
        <w:rPr>
          <w:rFonts w:ascii="Times New Roman" w:hAnsi="Times New Roman" w:eastAsia="Times New Roman" w:cs="Times New Roman"/>
          <w:spacing w:val="-10"/>
          <w:sz w:val="21"/>
          <w:szCs w:val="21"/>
        </w:rPr>
        <w:t>IUCN</w:t>
      </w:r>
      <w:r>
        <w:rPr>
          <w:rFonts w:ascii="Times New Roman" w:hAnsi="Times New Roman" w:eastAsia="Times New Roman" w:cs="Times New Roman"/>
          <w:spacing w:val="23"/>
          <w:w w:val="101"/>
          <w:sz w:val="21"/>
          <w:szCs w:val="21"/>
        </w:rPr>
        <w:t xml:space="preserve"> </w:t>
      </w:r>
      <w:r>
        <w:rPr>
          <w:spacing w:val="-10"/>
          <w:sz w:val="21"/>
          <w:szCs w:val="21"/>
        </w:rPr>
        <w:t>易危种。</w:t>
      </w:r>
      <w:r>
        <w:rPr>
          <w:rFonts w:ascii="Times New Roman" w:hAnsi="Times New Roman" w:eastAsia="Times New Roman" w:cs="Times New Roman"/>
          <w:spacing w:val="-10"/>
          <w:sz w:val="21"/>
          <w:szCs w:val="21"/>
        </w:rPr>
        <w:t>CR</w:t>
      </w:r>
      <w:r>
        <w:rPr>
          <w:spacing w:val="-10"/>
          <w:sz w:val="21"/>
          <w:szCs w:val="21"/>
        </w:rPr>
        <w:t>：</w:t>
      </w:r>
      <w:r>
        <w:rPr>
          <w:rFonts w:ascii="Times New Roman" w:hAnsi="Times New Roman" w:eastAsia="Times New Roman" w:cs="Times New Roman"/>
          <w:spacing w:val="-10"/>
          <w:sz w:val="21"/>
          <w:szCs w:val="21"/>
        </w:rPr>
        <w:t>IUCN</w:t>
      </w:r>
      <w:r>
        <w:rPr>
          <w:rFonts w:ascii="Times New Roman" w:hAnsi="Times New Roman" w:eastAsia="Times New Roman" w:cs="Times New Roman"/>
          <w:spacing w:val="11"/>
          <w:sz w:val="21"/>
          <w:szCs w:val="21"/>
        </w:rPr>
        <w:t xml:space="preserve"> </w:t>
      </w:r>
      <w:r>
        <w:rPr>
          <w:spacing w:val="-10"/>
          <w:sz w:val="21"/>
          <w:szCs w:val="21"/>
        </w:rPr>
        <w:t>极危种。</w:t>
      </w:r>
      <w:r>
        <w:rPr>
          <w:rFonts w:ascii="Times New Roman" w:hAnsi="Times New Roman" w:eastAsia="Times New Roman" w:cs="Times New Roman"/>
          <w:spacing w:val="-10"/>
          <w:sz w:val="21"/>
          <w:szCs w:val="21"/>
        </w:rPr>
        <w:t>CR-C</w:t>
      </w:r>
      <w:r>
        <w:rPr>
          <w:spacing w:val="-10"/>
          <w:sz w:val="21"/>
          <w:szCs w:val="21"/>
        </w:rPr>
        <w:t>：《中国脊椎动物红色名录》（</w:t>
      </w:r>
      <w:r>
        <w:rPr>
          <w:rFonts w:ascii="Times New Roman" w:hAnsi="Times New Roman" w:eastAsia="Times New Roman" w:cs="Times New Roman"/>
          <w:spacing w:val="-10"/>
          <w:sz w:val="21"/>
          <w:szCs w:val="21"/>
        </w:rPr>
        <w:t xml:space="preserve">2016 </w:t>
      </w:r>
      <w:r>
        <w:rPr>
          <w:spacing w:val="-10"/>
          <w:sz w:val="21"/>
          <w:szCs w:val="21"/>
        </w:rPr>
        <w:t>年）极危种；</w:t>
      </w:r>
      <w:r>
        <w:rPr>
          <w:sz w:val="21"/>
          <w:szCs w:val="21"/>
        </w:rPr>
        <w:t xml:space="preserve"> </w:t>
      </w:r>
      <w:r>
        <w:rPr>
          <w:rFonts w:ascii="Times New Roman" w:hAnsi="Times New Roman" w:eastAsia="Times New Roman" w:cs="Times New Roman"/>
          <w:spacing w:val="-11"/>
          <w:sz w:val="21"/>
          <w:szCs w:val="21"/>
        </w:rPr>
        <w:t>EN-C</w:t>
      </w:r>
      <w:r>
        <w:rPr>
          <w:spacing w:val="-11"/>
          <w:sz w:val="21"/>
          <w:szCs w:val="21"/>
        </w:rPr>
        <w:t>：《中国脊椎动物红色名录》（</w:t>
      </w:r>
      <w:r>
        <w:rPr>
          <w:rFonts w:ascii="Times New Roman" w:hAnsi="Times New Roman" w:eastAsia="Times New Roman" w:cs="Times New Roman"/>
          <w:spacing w:val="-11"/>
          <w:sz w:val="21"/>
          <w:szCs w:val="21"/>
        </w:rPr>
        <w:t>2016</w:t>
      </w:r>
      <w:r>
        <w:rPr>
          <w:rFonts w:ascii="Times New Roman" w:hAnsi="Times New Roman" w:eastAsia="Times New Roman" w:cs="Times New Roman"/>
          <w:spacing w:val="15"/>
          <w:w w:val="101"/>
          <w:sz w:val="21"/>
          <w:szCs w:val="21"/>
        </w:rPr>
        <w:t xml:space="preserve"> </w:t>
      </w:r>
      <w:r>
        <w:rPr>
          <w:spacing w:val="-11"/>
          <w:sz w:val="21"/>
          <w:szCs w:val="21"/>
        </w:rPr>
        <w:t>年）濒危种；</w:t>
      </w:r>
      <w:r>
        <w:rPr>
          <w:rFonts w:ascii="Times New Roman" w:hAnsi="Times New Roman" w:eastAsia="Times New Roman" w:cs="Times New Roman"/>
          <w:spacing w:val="-11"/>
          <w:sz w:val="21"/>
          <w:szCs w:val="21"/>
        </w:rPr>
        <w:t>VU-C</w:t>
      </w:r>
      <w:r>
        <w:rPr>
          <w:spacing w:val="-11"/>
          <w:sz w:val="21"/>
          <w:szCs w:val="21"/>
        </w:rPr>
        <w:t>：《中国脊椎动物红色名录》（</w:t>
      </w:r>
      <w:r>
        <w:rPr>
          <w:rFonts w:ascii="Times New Roman" w:hAnsi="Times New Roman" w:eastAsia="Times New Roman" w:cs="Times New Roman"/>
          <w:spacing w:val="-11"/>
          <w:sz w:val="21"/>
          <w:szCs w:val="21"/>
        </w:rPr>
        <w:t>2016</w:t>
      </w:r>
    </w:p>
    <w:p w14:paraId="1B585FDC">
      <w:pPr>
        <w:pStyle w:val="2"/>
        <w:spacing w:before="1" w:line="376" w:lineRule="auto"/>
        <w:ind w:left="37" w:right="103" w:firstLine="1"/>
        <w:rPr>
          <w:sz w:val="21"/>
          <w:szCs w:val="21"/>
        </w:rPr>
      </w:pPr>
      <w:r>
        <w:rPr>
          <w:spacing w:val="-13"/>
          <w:sz w:val="21"/>
          <w:szCs w:val="21"/>
        </w:rPr>
        <w:t>年）易危种。特有： 中国特有种；⑤资源现状：</w:t>
      </w:r>
      <w:r>
        <w:rPr>
          <w:rFonts w:ascii="Times New Roman" w:hAnsi="Times New Roman" w:eastAsia="Times New Roman" w:cs="Times New Roman"/>
          <w:spacing w:val="-13"/>
          <w:sz w:val="21"/>
          <w:szCs w:val="21"/>
        </w:rPr>
        <w:t>+</w:t>
      </w:r>
      <w:r>
        <w:rPr>
          <w:spacing w:val="-13"/>
          <w:sz w:val="21"/>
          <w:szCs w:val="21"/>
        </w:rPr>
        <w:t>：罕见种；</w:t>
      </w:r>
      <w:r>
        <w:rPr>
          <w:rFonts w:ascii="Times New Roman" w:hAnsi="Times New Roman" w:eastAsia="Times New Roman" w:cs="Times New Roman"/>
          <w:spacing w:val="-13"/>
          <w:sz w:val="21"/>
          <w:szCs w:val="21"/>
        </w:rPr>
        <w:t>++</w:t>
      </w:r>
      <w:r>
        <w:rPr>
          <w:spacing w:val="-13"/>
          <w:sz w:val="21"/>
          <w:szCs w:val="21"/>
        </w:rPr>
        <w:t>：稀有种；</w:t>
      </w:r>
      <w:r>
        <w:rPr>
          <w:rFonts w:ascii="Times New Roman" w:hAnsi="Times New Roman" w:eastAsia="Times New Roman" w:cs="Times New Roman"/>
          <w:spacing w:val="-13"/>
          <w:sz w:val="21"/>
          <w:szCs w:val="21"/>
        </w:rPr>
        <w:t>+++</w:t>
      </w:r>
      <w:r>
        <w:rPr>
          <w:spacing w:val="-13"/>
          <w:sz w:val="21"/>
          <w:szCs w:val="21"/>
        </w:rPr>
        <w:t>：常见种；</w:t>
      </w:r>
      <w:r>
        <w:rPr>
          <w:rFonts w:ascii="Times New Roman" w:hAnsi="Times New Roman" w:eastAsia="Times New Roman" w:cs="Times New Roman"/>
          <w:spacing w:val="-13"/>
          <w:sz w:val="21"/>
          <w:szCs w:val="21"/>
        </w:rPr>
        <w:t>++++</w:t>
      </w:r>
      <w:r>
        <w:rPr>
          <w:spacing w:val="-13"/>
          <w:sz w:val="21"/>
          <w:szCs w:val="21"/>
        </w:rPr>
        <w:t>：</w:t>
      </w:r>
      <w:r>
        <w:rPr>
          <w:spacing w:val="-4"/>
          <w:sz w:val="21"/>
          <w:szCs w:val="21"/>
        </w:rPr>
        <w:t>优势种；⑥数据来源：</w:t>
      </w:r>
      <w:r>
        <w:rPr>
          <w:rFonts w:ascii="Times New Roman" w:hAnsi="Times New Roman" w:eastAsia="Times New Roman" w:cs="Times New Roman"/>
          <w:spacing w:val="-4"/>
          <w:sz w:val="21"/>
          <w:szCs w:val="21"/>
        </w:rPr>
        <w:t>S</w:t>
      </w:r>
      <w:r>
        <w:rPr>
          <w:spacing w:val="-4"/>
          <w:sz w:val="21"/>
          <w:szCs w:val="21"/>
        </w:rPr>
        <w:t>：实地调查（含目击，可分辨鸣声等</w:t>
      </w:r>
      <w:r>
        <w:rPr>
          <w:spacing w:val="5"/>
          <w:sz w:val="21"/>
          <w:szCs w:val="21"/>
        </w:rPr>
        <w:t>）；</w:t>
      </w:r>
      <w:r>
        <w:rPr>
          <w:rFonts w:ascii="Times New Roman" w:hAnsi="Times New Roman" w:eastAsia="Times New Roman" w:cs="Times New Roman"/>
          <w:spacing w:val="-4"/>
          <w:sz w:val="21"/>
          <w:szCs w:val="21"/>
        </w:rPr>
        <w:t>V</w:t>
      </w:r>
      <w:r>
        <w:rPr>
          <w:spacing w:val="-4"/>
          <w:sz w:val="21"/>
          <w:szCs w:val="21"/>
        </w:rPr>
        <w:t>：访问调查</w:t>
      </w:r>
    </w:p>
    <w:p w14:paraId="17C3CAF0">
      <w:pPr>
        <w:spacing w:line="376" w:lineRule="auto"/>
        <w:rPr>
          <w:sz w:val="21"/>
          <w:szCs w:val="21"/>
        </w:rPr>
        <w:sectPr>
          <w:headerReference r:id="rId290" w:type="default"/>
          <w:footerReference r:id="rId291" w:type="default"/>
          <w:pgSz w:w="11907" w:h="16839"/>
          <w:pgMar w:top="1376" w:right="1644" w:bottom="1061" w:left="1671" w:header="999" w:footer="859" w:gutter="0"/>
          <w:cols w:space="720" w:num="1"/>
        </w:sectPr>
      </w:pPr>
    </w:p>
    <w:p w14:paraId="108DF631">
      <w:pPr>
        <w:spacing w:line="454" w:lineRule="auto"/>
        <w:rPr>
          <w:rFonts w:ascii="Arial"/>
          <w:sz w:val="21"/>
        </w:rPr>
      </w:pPr>
    </w:p>
    <w:p w14:paraId="5476BE72">
      <w:pPr>
        <w:pStyle w:val="2"/>
        <w:spacing w:before="78" w:line="226" w:lineRule="auto"/>
        <w:ind w:left="299"/>
        <w:rPr>
          <w:sz w:val="24"/>
          <w:szCs w:val="24"/>
        </w:rPr>
      </w:pPr>
      <w:r>
        <w:rPr>
          <w:b/>
          <w:bCs/>
          <w:spacing w:val="-2"/>
          <w:sz w:val="24"/>
          <w:szCs w:val="24"/>
        </w:rPr>
        <w:t>附表</w:t>
      </w:r>
      <w:r>
        <w:rPr>
          <w:spacing w:val="-40"/>
          <w:sz w:val="24"/>
          <w:szCs w:val="24"/>
        </w:rPr>
        <w:t xml:space="preserve"> </w:t>
      </w:r>
      <w:r>
        <w:rPr>
          <w:rFonts w:ascii="Times New Roman" w:hAnsi="Times New Roman" w:eastAsia="Times New Roman" w:cs="Times New Roman"/>
          <w:b/>
          <w:bCs/>
          <w:spacing w:val="-2"/>
          <w:sz w:val="24"/>
          <w:szCs w:val="24"/>
        </w:rPr>
        <w:t xml:space="preserve">3                  </w:t>
      </w:r>
      <w:r>
        <w:rPr>
          <w:b/>
          <w:bCs/>
          <w:spacing w:val="-2"/>
          <w:sz w:val="24"/>
          <w:szCs w:val="24"/>
        </w:rPr>
        <w:t>车马碧水库工程施工期监测记录的爬行动物名录</w:t>
      </w:r>
    </w:p>
    <w:tbl>
      <w:tblPr>
        <w:tblStyle w:val="5"/>
        <w:tblW w:w="8466" w:type="dxa"/>
        <w:tblInd w:w="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7"/>
        <w:gridCol w:w="1263"/>
        <w:gridCol w:w="2396"/>
        <w:gridCol w:w="1123"/>
        <w:gridCol w:w="982"/>
        <w:gridCol w:w="700"/>
        <w:gridCol w:w="702"/>
        <w:gridCol w:w="763"/>
      </w:tblGrid>
      <w:tr w14:paraId="6449A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537" w:type="dxa"/>
            <w:tcBorders>
              <w:top w:val="single" w:color="000000" w:sz="12" w:space="0"/>
              <w:left w:val="single" w:color="000000" w:sz="12" w:space="0"/>
            </w:tcBorders>
            <w:textDirection w:val="tbRlV"/>
            <w:vAlign w:val="top"/>
          </w:tcPr>
          <w:p w14:paraId="74BBFBFE">
            <w:pPr>
              <w:spacing w:before="164" w:line="210" w:lineRule="auto"/>
              <w:ind w:left="88"/>
              <w:rPr>
                <w:rFonts w:ascii="宋体" w:hAnsi="宋体" w:eastAsia="宋体" w:cs="宋体"/>
                <w:sz w:val="21"/>
                <w:szCs w:val="21"/>
              </w:rPr>
            </w:pPr>
            <w:r>
              <w:rPr>
                <w:rFonts w:ascii="宋体" w:hAnsi="宋体" w:eastAsia="宋体" w:cs="宋体"/>
                <w:spacing w:val="31"/>
                <w:sz w:val="21"/>
                <w:szCs w:val="21"/>
              </w:rPr>
              <w:t>序号</w:t>
            </w:r>
          </w:p>
        </w:tc>
        <w:tc>
          <w:tcPr>
            <w:tcW w:w="1263" w:type="dxa"/>
            <w:tcBorders>
              <w:top w:val="single" w:color="000000" w:sz="12" w:space="0"/>
            </w:tcBorders>
            <w:vAlign w:val="top"/>
          </w:tcPr>
          <w:p w14:paraId="33E571C0">
            <w:pPr>
              <w:spacing w:before="224" w:line="220" w:lineRule="auto"/>
              <w:ind w:left="328"/>
              <w:rPr>
                <w:rFonts w:ascii="宋体" w:hAnsi="宋体" w:eastAsia="宋体" w:cs="宋体"/>
                <w:sz w:val="21"/>
                <w:szCs w:val="21"/>
              </w:rPr>
            </w:pPr>
            <w:r>
              <w:rPr>
                <w:rFonts w:ascii="宋体" w:hAnsi="宋体" w:eastAsia="宋体" w:cs="宋体"/>
                <w:spacing w:val="-7"/>
                <w:sz w:val="21"/>
                <w:szCs w:val="21"/>
              </w:rPr>
              <w:t>中文名</w:t>
            </w:r>
          </w:p>
        </w:tc>
        <w:tc>
          <w:tcPr>
            <w:tcW w:w="2396" w:type="dxa"/>
            <w:tcBorders>
              <w:top w:val="single" w:color="000000" w:sz="12" w:space="0"/>
            </w:tcBorders>
            <w:vAlign w:val="top"/>
          </w:tcPr>
          <w:p w14:paraId="07007883">
            <w:pPr>
              <w:spacing w:before="224" w:line="221" w:lineRule="auto"/>
              <w:ind w:left="882"/>
              <w:rPr>
                <w:rFonts w:ascii="宋体" w:hAnsi="宋体" w:eastAsia="宋体" w:cs="宋体"/>
                <w:sz w:val="21"/>
                <w:szCs w:val="21"/>
              </w:rPr>
            </w:pPr>
            <w:r>
              <w:rPr>
                <w:rFonts w:ascii="宋体" w:hAnsi="宋体" w:eastAsia="宋体" w:cs="宋体"/>
                <w:spacing w:val="-3"/>
                <w:sz w:val="21"/>
                <w:szCs w:val="21"/>
              </w:rPr>
              <w:t>拉丁名</w:t>
            </w:r>
          </w:p>
        </w:tc>
        <w:tc>
          <w:tcPr>
            <w:tcW w:w="1123" w:type="dxa"/>
            <w:tcBorders>
              <w:top w:val="single" w:color="000000" w:sz="12" w:space="0"/>
            </w:tcBorders>
            <w:vAlign w:val="top"/>
          </w:tcPr>
          <w:p w14:paraId="2AB4DB6F">
            <w:pPr>
              <w:spacing w:before="224" w:line="222" w:lineRule="auto"/>
              <w:ind w:left="372"/>
              <w:rPr>
                <w:rFonts w:ascii="宋体" w:hAnsi="宋体" w:eastAsia="宋体" w:cs="宋体"/>
                <w:sz w:val="21"/>
                <w:szCs w:val="21"/>
              </w:rPr>
            </w:pPr>
            <w:r>
              <w:rPr>
                <w:rFonts w:ascii="宋体" w:hAnsi="宋体" w:eastAsia="宋体" w:cs="宋体"/>
                <w:spacing w:val="-6"/>
                <w:sz w:val="21"/>
                <w:szCs w:val="21"/>
              </w:rPr>
              <w:t>区系</w:t>
            </w:r>
          </w:p>
        </w:tc>
        <w:tc>
          <w:tcPr>
            <w:tcW w:w="982" w:type="dxa"/>
            <w:tcBorders>
              <w:top w:val="single" w:color="000000" w:sz="12" w:space="0"/>
            </w:tcBorders>
            <w:vAlign w:val="top"/>
          </w:tcPr>
          <w:p w14:paraId="55B12009">
            <w:pPr>
              <w:spacing w:before="88" w:line="242" w:lineRule="auto"/>
              <w:ind w:left="395" w:right="165"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700" w:type="dxa"/>
            <w:tcBorders>
              <w:top w:val="single" w:color="000000" w:sz="12" w:space="0"/>
            </w:tcBorders>
            <w:vAlign w:val="top"/>
          </w:tcPr>
          <w:p w14:paraId="3EFA8937">
            <w:pPr>
              <w:spacing w:before="88" w:line="221" w:lineRule="auto"/>
              <w:ind w:left="162"/>
              <w:rPr>
                <w:rFonts w:ascii="宋体" w:hAnsi="宋体" w:eastAsia="宋体" w:cs="宋体"/>
                <w:sz w:val="21"/>
                <w:szCs w:val="21"/>
              </w:rPr>
            </w:pPr>
            <w:r>
              <w:rPr>
                <w:rFonts w:ascii="宋体" w:hAnsi="宋体" w:eastAsia="宋体" w:cs="宋体"/>
                <w:spacing w:val="-5"/>
                <w:sz w:val="21"/>
                <w:szCs w:val="21"/>
              </w:rPr>
              <w:t>资源</w:t>
            </w:r>
          </w:p>
          <w:p w14:paraId="666913B5">
            <w:pPr>
              <w:spacing w:before="20" w:line="220" w:lineRule="auto"/>
              <w:ind w:left="155"/>
              <w:rPr>
                <w:rFonts w:ascii="宋体" w:hAnsi="宋体" w:eastAsia="宋体" w:cs="宋体"/>
                <w:sz w:val="21"/>
                <w:szCs w:val="21"/>
              </w:rPr>
            </w:pPr>
            <w:r>
              <w:rPr>
                <w:rFonts w:ascii="宋体" w:hAnsi="宋体" w:eastAsia="宋体" w:cs="宋体"/>
                <w:spacing w:val="-3"/>
                <w:sz w:val="21"/>
                <w:szCs w:val="21"/>
              </w:rPr>
              <w:t>现状</w:t>
            </w:r>
          </w:p>
        </w:tc>
        <w:tc>
          <w:tcPr>
            <w:tcW w:w="702" w:type="dxa"/>
            <w:tcBorders>
              <w:top w:val="single" w:color="000000" w:sz="12" w:space="0"/>
            </w:tcBorders>
            <w:vAlign w:val="top"/>
          </w:tcPr>
          <w:p w14:paraId="736A2CA8">
            <w:pPr>
              <w:spacing w:before="88" w:line="220" w:lineRule="auto"/>
              <w:ind w:left="164"/>
              <w:rPr>
                <w:rFonts w:ascii="宋体" w:hAnsi="宋体" w:eastAsia="宋体" w:cs="宋体"/>
                <w:sz w:val="21"/>
                <w:szCs w:val="21"/>
              </w:rPr>
            </w:pPr>
            <w:r>
              <w:rPr>
                <w:rFonts w:ascii="宋体" w:hAnsi="宋体" w:eastAsia="宋体" w:cs="宋体"/>
                <w:spacing w:val="-5"/>
                <w:sz w:val="21"/>
                <w:szCs w:val="21"/>
              </w:rPr>
              <w:t>资料</w:t>
            </w:r>
          </w:p>
          <w:p w14:paraId="673FBCAD">
            <w:pPr>
              <w:spacing w:before="21" w:line="220" w:lineRule="auto"/>
              <w:ind w:left="156"/>
              <w:rPr>
                <w:rFonts w:ascii="宋体" w:hAnsi="宋体" w:eastAsia="宋体" w:cs="宋体"/>
                <w:sz w:val="21"/>
                <w:szCs w:val="21"/>
              </w:rPr>
            </w:pPr>
            <w:r>
              <w:rPr>
                <w:rFonts w:ascii="宋体" w:hAnsi="宋体" w:eastAsia="宋体" w:cs="宋体"/>
                <w:spacing w:val="-3"/>
                <w:sz w:val="21"/>
                <w:szCs w:val="21"/>
              </w:rPr>
              <w:t>来源</w:t>
            </w:r>
          </w:p>
        </w:tc>
        <w:tc>
          <w:tcPr>
            <w:tcW w:w="763" w:type="dxa"/>
            <w:tcBorders>
              <w:top w:val="single" w:color="000000" w:sz="12" w:space="0"/>
              <w:right w:val="single" w:color="000000" w:sz="12" w:space="0"/>
            </w:tcBorders>
            <w:vAlign w:val="top"/>
          </w:tcPr>
          <w:p w14:paraId="3D86FA89">
            <w:pPr>
              <w:spacing w:before="224" w:line="221" w:lineRule="auto"/>
              <w:ind w:left="184"/>
              <w:rPr>
                <w:rFonts w:ascii="宋体" w:hAnsi="宋体" w:eastAsia="宋体" w:cs="宋体"/>
                <w:sz w:val="21"/>
                <w:szCs w:val="21"/>
              </w:rPr>
            </w:pPr>
            <w:r>
              <w:rPr>
                <w:rFonts w:ascii="宋体" w:hAnsi="宋体" w:eastAsia="宋体" w:cs="宋体"/>
                <w:spacing w:val="-3"/>
                <w:sz w:val="21"/>
                <w:szCs w:val="21"/>
              </w:rPr>
              <w:t>备注</w:t>
            </w:r>
          </w:p>
        </w:tc>
      </w:tr>
      <w:tr w14:paraId="6FEE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392D48CE">
            <w:pPr>
              <w:pStyle w:val="6"/>
              <w:spacing w:before="126" w:line="186" w:lineRule="auto"/>
              <w:ind w:left="120"/>
            </w:pPr>
            <w:r>
              <w:rPr>
                <w:b/>
                <w:bCs/>
                <w:spacing w:val="-3"/>
              </w:rPr>
              <w:t>O1</w:t>
            </w:r>
          </w:p>
        </w:tc>
        <w:tc>
          <w:tcPr>
            <w:tcW w:w="1263" w:type="dxa"/>
            <w:vAlign w:val="top"/>
          </w:tcPr>
          <w:p w14:paraId="43C7581C">
            <w:pPr>
              <w:spacing w:before="87" w:line="220" w:lineRule="auto"/>
              <w:ind w:left="308"/>
              <w:rPr>
                <w:rFonts w:ascii="宋体" w:hAnsi="宋体" w:eastAsia="宋体" w:cs="宋体"/>
                <w:sz w:val="21"/>
                <w:szCs w:val="21"/>
              </w:rPr>
            </w:pPr>
            <w:r>
              <w:rPr>
                <w:rFonts w:ascii="宋体" w:hAnsi="宋体" w:eastAsia="宋体" w:cs="宋体"/>
                <w:b/>
                <w:bCs/>
                <w:spacing w:val="-4"/>
                <w:sz w:val="21"/>
                <w:szCs w:val="21"/>
              </w:rPr>
              <w:t>有鳞目</w:t>
            </w:r>
          </w:p>
        </w:tc>
        <w:tc>
          <w:tcPr>
            <w:tcW w:w="2396" w:type="dxa"/>
            <w:vAlign w:val="top"/>
          </w:tcPr>
          <w:p w14:paraId="1EC4E494">
            <w:pPr>
              <w:pStyle w:val="6"/>
              <w:spacing w:before="126" w:line="187" w:lineRule="auto"/>
              <w:ind w:left="743"/>
            </w:pPr>
            <w:r>
              <w:rPr>
                <w:b/>
                <w:bCs/>
                <w:spacing w:val="-2"/>
              </w:rPr>
              <w:t>Squamata</w:t>
            </w:r>
          </w:p>
        </w:tc>
        <w:tc>
          <w:tcPr>
            <w:tcW w:w="1123" w:type="dxa"/>
            <w:vAlign w:val="top"/>
          </w:tcPr>
          <w:p w14:paraId="11883633">
            <w:pPr>
              <w:rPr>
                <w:rFonts w:ascii="Arial"/>
                <w:sz w:val="21"/>
              </w:rPr>
            </w:pPr>
          </w:p>
        </w:tc>
        <w:tc>
          <w:tcPr>
            <w:tcW w:w="982" w:type="dxa"/>
            <w:vAlign w:val="top"/>
          </w:tcPr>
          <w:p w14:paraId="0353D1E3">
            <w:pPr>
              <w:rPr>
                <w:rFonts w:ascii="Arial"/>
                <w:sz w:val="21"/>
              </w:rPr>
            </w:pPr>
          </w:p>
        </w:tc>
        <w:tc>
          <w:tcPr>
            <w:tcW w:w="700" w:type="dxa"/>
            <w:vAlign w:val="top"/>
          </w:tcPr>
          <w:p w14:paraId="0C00A8C5">
            <w:pPr>
              <w:rPr>
                <w:rFonts w:ascii="Arial"/>
                <w:sz w:val="21"/>
              </w:rPr>
            </w:pPr>
          </w:p>
        </w:tc>
        <w:tc>
          <w:tcPr>
            <w:tcW w:w="702" w:type="dxa"/>
            <w:vAlign w:val="top"/>
          </w:tcPr>
          <w:p w14:paraId="4E452D24">
            <w:pPr>
              <w:rPr>
                <w:rFonts w:ascii="Arial"/>
                <w:sz w:val="21"/>
              </w:rPr>
            </w:pPr>
          </w:p>
        </w:tc>
        <w:tc>
          <w:tcPr>
            <w:tcW w:w="763" w:type="dxa"/>
            <w:tcBorders>
              <w:right w:val="single" w:color="000000" w:sz="12" w:space="0"/>
            </w:tcBorders>
            <w:vAlign w:val="top"/>
          </w:tcPr>
          <w:p w14:paraId="74F0BC8C">
            <w:pPr>
              <w:rPr>
                <w:rFonts w:ascii="Arial"/>
                <w:sz w:val="21"/>
              </w:rPr>
            </w:pPr>
          </w:p>
        </w:tc>
      </w:tr>
      <w:tr w14:paraId="3C54E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16E5812E">
            <w:pPr>
              <w:pStyle w:val="6"/>
              <w:spacing w:before="126" w:line="232" w:lineRule="auto"/>
              <w:ind w:left="210"/>
            </w:pPr>
            <w:r>
              <w:rPr>
                <w:b/>
                <w:bCs/>
              </w:rPr>
              <w:t>Ⅰ</w:t>
            </w:r>
          </w:p>
        </w:tc>
        <w:tc>
          <w:tcPr>
            <w:tcW w:w="1263" w:type="dxa"/>
            <w:vAlign w:val="top"/>
          </w:tcPr>
          <w:p w14:paraId="259CE09F">
            <w:pPr>
              <w:spacing w:before="89" w:line="220" w:lineRule="auto"/>
              <w:ind w:left="201"/>
              <w:rPr>
                <w:rFonts w:ascii="宋体" w:hAnsi="宋体" w:eastAsia="宋体" w:cs="宋体"/>
                <w:sz w:val="21"/>
                <w:szCs w:val="21"/>
              </w:rPr>
            </w:pPr>
            <w:r>
              <w:rPr>
                <w:rFonts w:ascii="宋体" w:hAnsi="宋体" w:eastAsia="宋体" w:cs="宋体"/>
                <w:b/>
                <w:bCs/>
                <w:spacing w:val="-3"/>
                <w:sz w:val="21"/>
                <w:szCs w:val="21"/>
              </w:rPr>
              <w:t>蜥蜴亚目</w:t>
            </w:r>
          </w:p>
        </w:tc>
        <w:tc>
          <w:tcPr>
            <w:tcW w:w="2396" w:type="dxa"/>
            <w:vAlign w:val="top"/>
          </w:tcPr>
          <w:p w14:paraId="441533DB">
            <w:pPr>
              <w:pStyle w:val="6"/>
              <w:spacing w:before="127" w:line="186" w:lineRule="auto"/>
              <w:ind w:left="754"/>
            </w:pPr>
            <w:r>
              <w:rPr>
                <w:b/>
                <w:bCs/>
                <w:spacing w:val="-1"/>
              </w:rPr>
              <w:t>Lacertilia</w:t>
            </w:r>
          </w:p>
        </w:tc>
        <w:tc>
          <w:tcPr>
            <w:tcW w:w="1123" w:type="dxa"/>
            <w:vAlign w:val="top"/>
          </w:tcPr>
          <w:p w14:paraId="420CAEE0">
            <w:pPr>
              <w:rPr>
                <w:rFonts w:ascii="Arial"/>
                <w:sz w:val="21"/>
              </w:rPr>
            </w:pPr>
          </w:p>
        </w:tc>
        <w:tc>
          <w:tcPr>
            <w:tcW w:w="982" w:type="dxa"/>
            <w:vAlign w:val="top"/>
          </w:tcPr>
          <w:p w14:paraId="32473D20">
            <w:pPr>
              <w:rPr>
                <w:rFonts w:ascii="Arial"/>
                <w:sz w:val="21"/>
              </w:rPr>
            </w:pPr>
          </w:p>
        </w:tc>
        <w:tc>
          <w:tcPr>
            <w:tcW w:w="700" w:type="dxa"/>
            <w:vAlign w:val="top"/>
          </w:tcPr>
          <w:p w14:paraId="022D3D45">
            <w:pPr>
              <w:rPr>
                <w:rFonts w:ascii="Arial"/>
                <w:sz w:val="21"/>
              </w:rPr>
            </w:pPr>
          </w:p>
        </w:tc>
        <w:tc>
          <w:tcPr>
            <w:tcW w:w="702" w:type="dxa"/>
            <w:vAlign w:val="top"/>
          </w:tcPr>
          <w:p w14:paraId="5126BA95">
            <w:pPr>
              <w:rPr>
                <w:rFonts w:ascii="Arial"/>
                <w:sz w:val="21"/>
              </w:rPr>
            </w:pPr>
          </w:p>
        </w:tc>
        <w:tc>
          <w:tcPr>
            <w:tcW w:w="763" w:type="dxa"/>
            <w:tcBorders>
              <w:right w:val="single" w:color="000000" w:sz="12" w:space="0"/>
            </w:tcBorders>
            <w:vAlign w:val="top"/>
          </w:tcPr>
          <w:p w14:paraId="78EDAF58">
            <w:pPr>
              <w:rPr>
                <w:rFonts w:ascii="Arial"/>
                <w:sz w:val="21"/>
              </w:rPr>
            </w:pPr>
          </w:p>
        </w:tc>
      </w:tr>
      <w:tr w14:paraId="2BA95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37" w:type="dxa"/>
            <w:tcBorders>
              <w:left w:val="single" w:color="000000" w:sz="12" w:space="0"/>
            </w:tcBorders>
            <w:vAlign w:val="top"/>
          </w:tcPr>
          <w:p w14:paraId="16D88289">
            <w:pPr>
              <w:pStyle w:val="6"/>
              <w:spacing w:before="129" w:line="186" w:lineRule="auto"/>
              <w:ind w:left="135"/>
            </w:pPr>
            <w:r>
              <w:rPr>
                <w:b/>
                <w:bCs/>
                <w:spacing w:val="-2"/>
              </w:rPr>
              <w:t>F1</w:t>
            </w:r>
          </w:p>
        </w:tc>
        <w:tc>
          <w:tcPr>
            <w:tcW w:w="1263" w:type="dxa"/>
            <w:vAlign w:val="top"/>
          </w:tcPr>
          <w:p w14:paraId="46CF8D1A">
            <w:pPr>
              <w:spacing w:before="90" w:line="219" w:lineRule="auto"/>
              <w:ind w:left="307"/>
              <w:rPr>
                <w:rFonts w:ascii="宋体" w:hAnsi="宋体" w:eastAsia="宋体" w:cs="宋体"/>
                <w:sz w:val="21"/>
                <w:szCs w:val="21"/>
              </w:rPr>
            </w:pPr>
            <w:r>
              <w:rPr>
                <w:rFonts w:ascii="宋体" w:hAnsi="宋体" w:eastAsia="宋体" w:cs="宋体"/>
                <w:b/>
                <w:bCs/>
                <w:spacing w:val="-4"/>
                <w:sz w:val="21"/>
                <w:szCs w:val="21"/>
              </w:rPr>
              <w:t>壁虎科</w:t>
            </w:r>
          </w:p>
        </w:tc>
        <w:tc>
          <w:tcPr>
            <w:tcW w:w="2396" w:type="dxa"/>
            <w:vAlign w:val="top"/>
          </w:tcPr>
          <w:p w14:paraId="76EEB3A2">
            <w:pPr>
              <w:pStyle w:val="6"/>
              <w:spacing w:before="128" w:line="187" w:lineRule="auto"/>
              <w:ind w:left="653"/>
            </w:pPr>
            <w:r>
              <w:rPr>
                <w:b/>
                <w:bCs/>
                <w:spacing w:val="-1"/>
              </w:rPr>
              <w:t>Gekkonidae</w:t>
            </w:r>
          </w:p>
        </w:tc>
        <w:tc>
          <w:tcPr>
            <w:tcW w:w="1123" w:type="dxa"/>
            <w:vAlign w:val="top"/>
          </w:tcPr>
          <w:p w14:paraId="04693E20">
            <w:pPr>
              <w:rPr>
                <w:rFonts w:ascii="Arial"/>
                <w:sz w:val="21"/>
              </w:rPr>
            </w:pPr>
          </w:p>
        </w:tc>
        <w:tc>
          <w:tcPr>
            <w:tcW w:w="982" w:type="dxa"/>
            <w:vAlign w:val="top"/>
          </w:tcPr>
          <w:p w14:paraId="164191BE">
            <w:pPr>
              <w:rPr>
                <w:rFonts w:ascii="Arial"/>
                <w:sz w:val="21"/>
              </w:rPr>
            </w:pPr>
          </w:p>
        </w:tc>
        <w:tc>
          <w:tcPr>
            <w:tcW w:w="700" w:type="dxa"/>
            <w:vAlign w:val="top"/>
          </w:tcPr>
          <w:p w14:paraId="44B94C23">
            <w:pPr>
              <w:rPr>
                <w:rFonts w:ascii="Arial"/>
                <w:sz w:val="21"/>
              </w:rPr>
            </w:pPr>
          </w:p>
        </w:tc>
        <w:tc>
          <w:tcPr>
            <w:tcW w:w="702" w:type="dxa"/>
            <w:vAlign w:val="top"/>
          </w:tcPr>
          <w:p w14:paraId="4E27793C">
            <w:pPr>
              <w:rPr>
                <w:rFonts w:ascii="Arial"/>
                <w:sz w:val="21"/>
              </w:rPr>
            </w:pPr>
          </w:p>
        </w:tc>
        <w:tc>
          <w:tcPr>
            <w:tcW w:w="763" w:type="dxa"/>
            <w:tcBorders>
              <w:right w:val="single" w:color="000000" w:sz="12" w:space="0"/>
            </w:tcBorders>
            <w:vAlign w:val="top"/>
          </w:tcPr>
          <w:p w14:paraId="6A36AB49">
            <w:pPr>
              <w:rPr>
                <w:rFonts w:ascii="Arial"/>
                <w:sz w:val="21"/>
              </w:rPr>
            </w:pPr>
          </w:p>
        </w:tc>
      </w:tr>
      <w:tr w14:paraId="5B7E6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537" w:type="dxa"/>
            <w:tcBorders>
              <w:left w:val="single" w:color="000000" w:sz="12" w:space="0"/>
            </w:tcBorders>
            <w:vAlign w:val="top"/>
          </w:tcPr>
          <w:p w14:paraId="5432CF0A">
            <w:pPr>
              <w:pStyle w:val="6"/>
              <w:spacing w:before="261" w:line="235" w:lineRule="auto"/>
              <w:ind w:left="220"/>
            </w:pPr>
            <w:r>
              <w:t>1</w:t>
            </w:r>
          </w:p>
        </w:tc>
        <w:tc>
          <w:tcPr>
            <w:tcW w:w="1263" w:type="dxa"/>
            <w:vAlign w:val="top"/>
          </w:tcPr>
          <w:p w14:paraId="30002334">
            <w:pPr>
              <w:spacing w:before="93" w:line="241" w:lineRule="auto"/>
              <w:ind w:left="518" w:right="111" w:hanging="414"/>
              <w:rPr>
                <w:rFonts w:ascii="宋体" w:hAnsi="宋体" w:eastAsia="宋体" w:cs="宋体"/>
                <w:sz w:val="21"/>
                <w:szCs w:val="21"/>
              </w:rPr>
            </w:pPr>
            <w:r>
              <w:rPr>
                <w:rFonts w:ascii="宋体" w:hAnsi="宋体" w:eastAsia="宋体" w:cs="宋体"/>
                <w:spacing w:val="-3"/>
                <w:sz w:val="21"/>
                <w:szCs w:val="21"/>
              </w:rPr>
              <w:t>云南半叶趾</w:t>
            </w:r>
            <w:r>
              <w:rPr>
                <w:rFonts w:ascii="宋体" w:hAnsi="宋体" w:eastAsia="宋体" w:cs="宋体"/>
                <w:sz w:val="21"/>
                <w:szCs w:val="21"/>
              </w:rPr>
              <w:t>虎</w:t>
            </w:r>
          </w:p>
        </w:tc>
        <w:tc>
          <w:tcPr>
            <w:tcW w:w="2396" w:type="dxa"/>
            <w:vAlign w:val="top"/>
          </w:tcPr>
          <w:p w14:paraId="01F44923">
            <w:pPr>
              <w:pStyle w:val="6"/>
              <w:spacing w:before="140" w:line="225" w:lineRule="auto"/>
              <w:ind w:left="652" w:right="362" w:hanging="305"/>
            </w:pPr>
            <w:r>
              <w:rPr>
                <w:i/>
                <w:iCs/>
                <w:spacing w:val="-1"/>
              </w:rPr>
              <w:t>Hemiphyllodactylus</w:t>
            </w:r>
            <w:r>
              <w:rPr>
                <w:i/>
                <w:iCs/>
                <w:spacing w:val="14"/>
              </w:rPr>
              <w:t xml:space="preserve"> </w:t>
            </w:r>
            <w:r>
              <w:rPr>
                <w:i/>
                <w:iCs/>
                <w:spacing w:val="1"/>
              </w:rPr>
              <w:t>yunnanensis</w:t>
            </w:r>
          </w:p>
        </w:tc>
        <w:tc>
          <w:tcPr>
            <w:tcW w:w="1123" w:type="dxa"/>
            <w:vAlign w:val="top"/>
          </w:tcPr>
          <w:p w14:paraId="30466B01">
            <w:pPr>
              <w:pStyle w:val="6"/>
              <w:spacing w:before="265" w:line="186" w:lineRule="auto"/>
              <w:ind w:left="250"/>
            </w:pPr>
            <w:r>
              <w:rPr>
                <w:spacing w:val="-3"/>
              </w:rPr>
              <w:t>SC-SW</w:t>
            </w:r>
          </w:p>
        </w:tc>
        <w:tc>
          <w:tcPr>
            <w:tcW w:w="982" w:type="dxa"/>
            <w:vAlign w:val="top"/>
          </w:tcPr>
          <w:p w14:paraId="1B01F407">
            <w:pPr>
              <w:rPr>
                <w:rFonts w:ascii="Arial"/>
                <w:sz w:val="21"/>
              </w:rPr>
            </w:pPr>
          </w:p>
        </w:tc>
        <w:tc>
          <w:tcPr>
            <w:tcW w:w="700" w:type="dxa"/>
            <w:vAlign w:val="top"/>
          </w:tcPr>
          <w:p w14:paraId="451EED71">
            <w:pPr>
              <w:pStyle w:val="6"/>
              <w:spacing w:before="262" w:line="250" w:lineRule="exact"/>
              <w:ind w:left="240"/>
            </w:pPr>
            <w:r>
              <w:rPr>
                <w:spacing w:val="-1"/>
                <w:position w:val="1"/>
              </w:rPr>
              <w:t>++</w:t>
            </w:r>
          </w:p>
        </w:tc>
        <w:tc>
          <w:tcPr>
            <w:tcW w:w="702" w:type="dxa"/>
            <w:vAlign w:val="top"/>
          </w:tcPr>
          <w:p w14:paraId="524F9902">
            <w:pPr>
              <w:pStyle w:val="6"/>
              <w:spacing w:before="268" w:line="183" w:lineRule="auto"/>
              <w:ind w:left="283"/>
            </w:pPr>
            <w:r>
              <w:t>V</w:t>
            </w:r>
          </w:p>
        </w:tc>
        <w:tc>
          <w:tcPr>
            <w:tcW w:w="763" w:type="dxa"/>
            <w:tcBorders>
              <w:right w:val="single" w:color="000000" w:sz="12" w:space="0"/>
            </w:tcBorders>
            <w:vAlign w:val="top"/>
          </w:tcPr>
          <w:p w14:paraId="0500FBB4">
            <w:pPr>
              <w:rPr>
                <w:rFonts w:ascii="Arial"/>
                <w:sz w:val="21"/>
              </w:rPr>
            </w:pPr>
          </w:p>
        </w:tc>
      </w:tr>
      <w:tr w14:paraId="583E2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6AF215DE">
            <w:pPr>
              <w:pStyle w:val="6"/>
              <w:spacing w:before="133" w:line="186" w:lineRule="auto"/>
              <w:ind w:left="135"/>
            </w:pPr>
            <w:r>
              <w:rPr>
                <w:b/>
                <w:bCs/>
                <w:spacing w:val="-2"/>
              </w:rPr>
              <w:t>F2</w:t>
            </w:r>
          </w:p>
        </w:tc>
        <w:tc>
          <w:tcPr>
            <w:tcW w:w="1263" w:type="dxa"/>
            <w:vAlign w:val="top"/>
          </w:tcPr>
          <w:p w14:paraId="299B2D1A">
            <w:pPr>
              <w:spacing w:before="94" w:line="219" w:lineRule="auto"/>
              <w:ind w:left="203"/>
              <w:rPr>
                <w:rFonts w:ascii="宋体" w:hAnsi="宋体" w:eastAsia="宋体" w:cs="宋体"/>
                <w:sz w:val="21"/>
                <w:szCs w:val="21"/>
              </w:rPr>
            </w:pPr>
            <w:r>
              <w:rPr>
                <w:rFonts w:ascii="宋体" w:hAnsi="宋体" w:eastAsia="宋体" w:cs="宋体"/>
                <w:b/>
                <w:bCs/>
                <w:spacing w:val="-4"/>
                <w:sz w:val="21"/>
                <w:szCs w:val="21"/>
              </w:rPr>
              <w:t>石龙子科</w:t>
            </w:r>
          </w:p>
        </w:tc>
        <w:tc>
          <w:tcPr>
            <w:tcW w:w="2396" w:type="dxa"/>
            <w:vAlign w:val="top"/>
          </w:tcPr>
          <w:p w14:paraId="3CF56C1F">
            <w:pPr>
              <w:pStyle w:val="6"/>
              <w:spacing w:before="132" w:line="187" w:lineRule="auto"/>
              <w:ind w:left="772"/>
            </w:pPr>
            <w:r>
              <w:rPr>
                <w:b/>
                <w:bCs/>
                <w:spacing w:val="-2"/>
              </w:rPr>
              <w:t>Scincidae</w:t>
            </w:r>
          </w:p>
        </w:tc>
        <w:tc>
          <w:tcPr>
            <w:tcW w:w="1123" w:type="dxa"/>
            <w:vAlign w:val="top"/>
          </w:tcPr>
          <w:p w14:paraId="6B056BCB">
            <w:pPr>
              <w:rPr>
                <w:rFonts w:ascii="Arial"/>
                <w:sz w:val="21"/>
              </w:rPr>
            </w:pPr>
          </w:p>
        </w:tc>
        <w:tc>
          <w:tcPr>
            <w:tcW w:w="982" w:type="dxa"/>
            <w:vAlign w:val="top"/>
          </w:tcPr>
          <w:p w14:paraId="396F5A02">
            <w:pPr>
              <w:rPr>
                <w:rFonts w:ascii="Arial"/>
                <w:sz w:val="21"/>
              </w:rPr>
            </w:pPr>
          </w:p>
        </w:tc>
        <w:tc>
          <w:tcPr>
            <w:tcW w:w="700" w:type="dxa"/>
            <w:vAlign w:val="top"/>
          </w:tcPr>
          <w:p w14:paraId="2681E459">
            <w:pPr>
              <w:rPr>
                <w:rFonts w:ascii="Arial"/>
                <w:sz w:val="21"/>
              </w:rPr>
            </w:pPr>
          </w:p>
        </w:tc>
        <w:tc>
          <w:tcPr>
            <w:tcW w:w="702" w:type="dxa"/>
            <w:vAlign w:val="top"/>
          </w:tcPr>
          <w:p w14:paraId="60B74B24">
            <w:pPr>
              <w:rPr>
                <w:rFonts w:ascii="Arial"/>
                <w:sz w:val="21"/>
              </w:rPr>
            </w:pPr>
          </w:p>
        </w:tc>
        <w:tc>
          <w:tcPr>
            <w:tcW w:w="763" w:type="dxa"/>
            <w:tcBorders>
              <w:right w:val="single" w:color="000000" w:sz="12" w:space="0"/>
            </w:tcBorders>
            <w:vAlign w:val="top"/>
          </w:tcPr>
          <w:p w14:paraId="736A516D">
            <w:pPr>
              <w:rPr>
                <w:rFonts w:ascii="Arial"/>
                <w:sz w:val="21"/>
              </w:rPr>
            </w:pPr>
          </w:p>
        </w:tc>
      </w:tr>
      <w:tr w14:paraId="5AA76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1874D2F5">
            <w:pPr>
              <w:pStyle w:val="6"/>
              <w:spacing w:before="130" w:line="235" w:lineRule="auto"/>
              <w:ind w:left="200"/>
            </w:pPr>
            <w:r>
              <w:t>2</w:t>
            </w:r>
          </w:p>
        </w:tc>
        <w:tc>
          <w:tcPr>
            <w:tcW w:w="1263" w:type="dxa"/>
            <w:vAlign w:val="top"/>
          </w:tcPr>
          <w:p w14:paraId="7A472AFD">
            <w:pPr>
              <w:spacing w:before="97" w:line="220" w:lineRule="auto"/>
              <w:ind w:left="309"/>
              <w:rPr>
                <w:rFonts w:ascii="宋体" w:hAnsi="宋体" w:eastAsia="宋体" w:cs="宋体"/>
                <w:sz w:val="21"/>
                <w:szCs w:val="21"/>
              </w:rPr>
            </w:pPr>
            <w:r>
              <w:rPr>
                <w:rFonts w:ascii="宋体" w:hAnsi="宋体" w:eastAsia="宋体" w:cs="宋体"/>
                <w:spacing w:val="-2"/>
                <w:sz w:val="21"/>
                <w:szCs w:val="21"/>
              </w:rPr>
              <w:t>铜蜓蜥</w:t>
            </w:r>
          </w:p>
        </w:tc>
        <w:tc>
          <w:tcPr>
            <w:tcW w:w="2396" w:type="dxa"/>
            <w:vAlign w:val="top"/>
          </w:tcPr>
          <w:p w14:paraId="0908A6E1">
            <w:pPr>
              <w:pStyle w:val="6"/>
              <w:spacing w:before="130" w:line="190" w:lineRule="auto"/>
              <w:ind w:left="183"/>
            </w:pPr>
            <w:r>
              <w:rPr>
                <w:i/>
                <w:iCs/>
              </w:rPr>
              <w:t>Sphenomorphus indic</w:t>
            </w:r>
            <w:r>
              <w:rPr>
                <w:i/>
                <w:iCs/>
                <w:spacing w:val="-1"/>
              </w:rPr>
              <w:t>us</w:t>
            </w:r>
          </w:p>
        </w:tc>
        <w:tc>
          <w:tcPr>
            <w:tcW w:w="1123" w:type="dxa"/>
            <w:vAlign w:val="top"/>
          </w:tcPr>
          <w:p w14:paraId="7EBB0567">
            <w:pPr>
              <w:pStyle w:val="6"/>
              <w:spacing w:before="134" w:line="186" w:lineRule="auto"/>
              <w:ind w:left="414"/>
            </w:pPr>
            <w:r>
              <w:rPr>
                <w:spacing w:val="-2"/>
              </w:rPr>
              <w:t>OD</w:t>
            </w:r>
          </w:p>
        </w:tc>
        <w:tc>
          <w:tcPr>
            <w:tcW w:w="982" w:type="dxa"/>
            <w:vAlign w:val="top"/>
          </w:tcPr>
          <w:p w14:paraId="30A2D339">
            <w:pPr>
              <w:rPr>
                <w:rFonts w:ascii="Arial"/>
                <w:sz w:val="21"/>
              </w:rPr>
            </w:pPr>
          </w:p>
        </w:tc>
        <w:tc>
          <w:tcPr>
            <w:tcW w:w="700" w:type="dxa"/>
            <w:vAlign w:val="top"/>
          </w:tcPr>
          <w:p w14:paraId="1CA56739">
            <w:pPr>
              <w:pStyle w:val="6"/>
              <w:spacing w:before="130" w:line="250" w:lineRule="exact"/>
              <w:ind w:left="181"/>
            </w:pPr>
            <w:r>
              <w:rPr>
                <w:spacing w:val="-1"/>
                <w:position w:val="1"/>
              </w:rPr>
              <w:t>+++</w:t>
            </w:r>
          </w:p>
        </w:tc>
        <w:tc>
          <w:tcPr>
            <w:tcW w:w="702" w:type="dxa"/>
            <w:vAlign w:val="top"/>
          </w:tcPr>
          <w:p w14:paraId="6909A546">
            <w:pPr>
              <w:pStyle w:val="6"/>
              <w:spacing w:before="134" w:line="186" w:lineRule="auto"/>
              <w:ind w:left="313"/>
            </w:pPr>
            <w:r>
              <w:t>S</w:t>
            </w:r>
          </w:p>
        </w:tc>
        <w:tc>
          <w:tcPr>
            <w:tcW w:w="763" w:type="dxa"/>
            <w:tcBorders>
              <w:right w:val="single" w:color="000000" w:sz="12" w:space="0"/>
            </w:tcBorders>
            <w:vAlign w:val="top"/>
          </w:tcPr>
          <w:p w14:paraId="1E377B6C">
            <w:pPr>
              <w:rPr>
                <w:rFonts w:ascii="Arial"/>
                <w:sz w:val="21"/>
              </w:rPr>
            </w:pPr>
          </w:p>
        </w:tc>
      </w:tr>
      <w:tr w14:paraId="7C0E1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27442BE1">
            <w:pPr>
              <w:pStyle w:val="6"/>
              <w:spacing w:before="136" w:line="186" w:lineRule="auto"/>
              <w:ind w:left="135"/>
            </w:pPr>
            <w:r>
              <w:rPr>
                <w:b/>
                <w:bCs/>
                <w:spacing w:val="-2"/>
              </w:rPr>
              <w:t>F3</w:t>
            </w:r>
          </w:p>
        </w:tc>
        <w:tc>
          <w:tcPr>
            <w:tcW w:w="1263" w:type="dxa"/>
            <w:vAlign w:val="top"/>
          </w:tcPr>
          <w:p w14:paraId="4E406C0E">
            <w:pPr>
              <w:spacing w:before="97" w:line="219" w:lineRule="auto"/>
              <w:ind w:left="311"/>
              <w:rPr>
                <w:rFonts w:ascii="宋体" w:hAnsi="宋体" w:eastAsia="宋体" w:cs="宋体"/>
                <w:sz w:val="21"/>
                <w:szCs w:val="21"/>
              </w:rPr>
            </w:pPr>
            <w:r>
              <w:rPr>
                <w:rFonts w:ascii="宋体" w:hAnsi="宋体" w:eastAsia="宋体" w:cs="宋体"/>
                <w:b/>
                <w:bCs/>
                <w:spacing w:val="-5"/>
                <w:sz w:val="21"/>
                <w:szCs w:val="21"/>
              </w:rPr>
              <w:t>鬣蜥科</w:t>
            </w:r>
          </w:p>
        </w:tc>
        <w:tc>
          <w:tcPr>
            <w:tcW w:w="2396" w:type="dxa"/>
            <w:vAlign w:val="top"/>
          </w:tcPr>
          <w:p w14:paraId="619ADAC8">
            <w:pPr>
              <w:pStyle w:val="6"/>
              <w:spacing w:before="136" w:line="186" w:lineRule="auto"/>
              <w:ind w:left="735"/>
            </w:pPr>
            <w:r>
              <w:rPr>
                <w:b/>
                <w:bCs/>
                <w:spacing w:val="-1"/>
              </w:rPr>
              <w:t>Agamidae</w:t>
            </w:r>
          </w:p>
        </w:tc>
        <w:tc>
          <w:tcPr>
            <w:tcW w:w="1123" w:type="dxa"/>
            <w:vAlign w:val="top"/>
          </w:tcPr>
          <w:p w14:paraId="1F2C6F28">
            <w:pPr>
              <w:rPr>
                <w:rFonts w:ascii="Arial"/>
                <w:sz w:val="21"/>
              </w:rPr>
            </w:pPr>
          </w:p>
        </w:tc>
        <w:tc>
          <w:tcPr>
            <w:tcW w:w="982" w:type="dxa"/>
            <w:vAlign w:val="top"/>
          </w:tcPr>
          <w:p w14:paraId="6D9220A6">
            <w:pPr>
              <w:rPr>
                <w:rFonts w:ascii="Arial"/>
                <w:sz w:val="21"/>
              </w:rPr>
            </w:pPr>
          </w:p>
        </w:tc>
        <w:tc>
          <w:tcPr>
            <w:tcW w:w="700" w:type="dxa"/>
            <w:vAlign w:val="top"/>
          </w:tcPr>
          <w:p w14:paraId="0C468EA2">
            <w:pPr>
              <w:rPr>
                <w:rFonts w:ascii="Arial"/>
                <w:sz w:val="21"/>
              </w:rPr>
            </w:pPr>
          </w:p>
        </w:tc>
        <w:tc>
          <w:tcPr>
            <w:tcW w:w="702" w:type="dxa"/>
            <w:vAlign w:val="top"/>
          </w:tcPr>
          <w:p w14:paraId="2E5B2C8B">
            <w:pPr>
              <w:rPr>
                <w:rFonts w:ascii="Arial"/>
                <w:sz w:val="21"/>
              </w:rPr>
            </w:pPr>
          </w:p>
        </w:tc>
        <w:tc>
          <w:tcPr>
            <w:tcW w:w="763" w:type="dxa"/>
            <w:tcBorders>
              <w:right w:val="single" w:color="000000" w:sz="12" w:space="0"/>
            </w:tcBorders>
            <w:vAlign w:val="top"/>
          </w:tcPr>
          <w:p w14:paraId="3EC3086E">
            <w:pPr>
              <w:rPr>
                <w:rFonts w:ascii="Arial"/>
                <w:sz w:val="21"/>
              </w:rPr>
            </w:pPr>
          </w:p>
        </w:tc>
      </w:tr>
      <w:tr w14:paraId="1D7E9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47052143">
            <w:pPr>
              <w:pStyle w:val="6"/>
              <w:spacing w:before="133" w:line="232" w:lineRule="auto"/>
              <w:ind w:left="204"/>
            </w:pPr>
            <w:r>
              <w:t>3</w:t>
            </w:r>
          </w:p>
        </w:tc>
        <w:tc>
          <w:tcPr>
            <w:tcW w:w="1263" w:type="dxa"/>
            <w:vAlign w:val="top"/>
          </w:tcPr>
          <w:p w14:paraId="68D5A620">
            <w:pPr>
              <w:spacing w:before="99" w:line="220" w:lineRule="auto"/>
              <w:ind w:left="230"/>
              <w:rPr>
                <w:rFonts w:ascii="宋体" w:hAnsi="宋体" w:eastAsia="宋体" w:cs="宋体"/>
                <w:sz w:val="21"/>
                <w:szCs w:val="21"/>
              </w:rPr>
            </w:pPr>
            <w:r>
              <w:rPr>
                <w:rFonts w:ascii="宋体" w:hAnsi="宋体" w:eastAsia="宋体" w:cs="宋体"/>
                <w:spacing w:val="-7"/>
                <w:sz w:val="21"/>
                <w:szCs w:val="21"/>
              </w:rPr>
              <w:t>昆明龙蜥</w:t>
            </w:r>
          </w:p>
        </w:tc>
        <w:tc>
          <w:tcPr>
            <w:tcW w:w="2396" w:type="dxa"/>
            <w:vAlign w:val="top"/>
          </w:tcPr>
          <w:p w14:paraId="724AD4FD">
            <w:pPr>
              <w:pStyle w:val="6"/>
              <w:spacing w:before="133" w:line="190" w:lineRule="auto"/>
              <w:ind w:left="309"/>
            </w:pPr>
            <w:r>
              <w:rPr>
                <w:i/>
                <w:iCs/>
              </w:rPr>
              <w:t>Diploderma</w:t>
            </w:r>
            <w:r>
              <w:rPr>
                <w:i/>
                <w:iCs/>
                <w:spacing w:val="6"/>
              </w:rPr>
              <w:t xml:space="preserve"> </w:t>
            </w:r>
            <w:r>
              <w:rPr>
                <w:i/>
                <w:iCs/>
              </w:rPr>
              <w:t>varcoae</w:t>
            </w:r>
          </w:p>
        </w:tc>
        <w:tc>
          <w:tcPr>
            <w:tcW w:w="1123" w:type="dxa"/>
            <w:vAlign w:val="top"/>
          </w:tcPr>
          <w:p w14:paraId="5CC6DE8A">
            <w:pPr>
              <w:pStyle w:val="6"/>
              <w:spacing w:before="136" w:line="186" w:lineRule="auto"/>
              <w:ind w:left="250"/>
            </w:pPr>
            <w:r>
              <w:rPr>
                <w:spacing w:val="-3"/>
              </w:rPr>
              <w:t>SC-SW</w:t>
            </w:r>
          </w:p>
        </w:tc>
        <w:tc>
          <w:tcPr>
            <w:tcW w:w="982" w:type="dxa"/>
            <w:vAlign w:val="top"/>
          </w:tcPr>
          <w:p w14:paraId="7E30E106">
            <w:pPr>
              <w:spacing w:before="99" w:line="220" w:lineRule="auto"/>
              <w:ind w:left="290"/>
              <w:rPr>
                <w:rFonts w:ascii="宋体" w:hAnsi="宋体" w:eastAsia="宋体" w:cs="宋体"/>
                <w:sz w:val="21"/>
                <w:szCs w:val="21"/>
              </w:rPr>
            </w:pPr>
            <w:r>
              <w:rPr>
                <w:rFonts w:ascii="宋体" w:hAnsi="宋体" w:eastAsia="宋体" w:cs="宋体"/>
                <w:spacing w:val="-3"/>
                <w:sz w:val="21"/>
                <w:szCs w:val="21"/>
              </w:rPr>
              <w:t>特有</w:t>
            </w:r>
          </w:p>
        </w:tc>
        <w:tc>
          <w:tcPr>
            <w:tcW w:w="700" w:type="dxa"/>
            <w:vAlign w:val="top"/>
          </w:tcPr>
          <w:p w14:paraId="0D5A7FCB">
            <w:pPr>
              <w:pStyle w:val="6"/>
              <w:spacing w:before="133" w:line="247" w:lineRule="exact"/>
              <w:ind w:left="240"/>
            </w:pPr>
            <w:r>
              <w:rPr>
                <w:spacing w:val="-1"/>
              </w:rPr>
              <w:t>++</w:t>
            </w:r>
          </w:p>
        </w:tc>
        <w:tc>
          <w:tcPr>
            <w:tcW w:w="702" w:type="dxa"/>
            <w:vAlign w:val="top"/>
          </w:tcPr>
          <w:p w14:paraId="098CF810">
            <w:pPr>
              <w:pStyle w:val="6"/>
              <w:spacing w:before="136" w:line="186" w:lineRule="auto"/>
              <w:ind w:left="313"/>
            </w:pPr>
            <w:r>
              <w:t>S</w:t>
            </w:r>
          </w:p>
        </w:tc>
        <w:tc>
          <w:tcPr>
            <w:tcW w:w="763" w:type="dxa"/>
            <w:tcBorders>
              <w:right w:val="single" w:color="000000" w:sz="12" w:space="0"/>
            </w:tcBorders>
            <w:vAlign w:val="top"/>
          </w:tcPr>
          <w:p w14:paraId="7D6F8D5A">
            <w:pPr>
              <w:rPr>
                <w:rFonts w:ascii="Arial"/>
                <w:sz w:val="21"/>
              </w:rPr>
            </w:pPr>
          </w:p>
        </w:tc>
      </w:tr>
      <w:tr w14:paraId="32A98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000297E1">
            <w:pPr>
              <w:pStyle w:val="6"/>
              <w:spacing w:before="140" w:line="185" w:lineRule="auto"/>
              <w:ind w:left="171"/>
            </w:pPr>
            <w:r>
              <w:rPr>
                <w:b/>
                <w:bCs/>
              </w:rPr>
              <w:t>Ⅱ</w:t>
            </w:r>
          </w:p>
        </w:tc>
        <w:tc>
          <w:tcPr>
            <w:tcW w:w="1263" w:type="dxa"/>
            <w:vAlign w:val="top"/>
          </w:tcPr>
          <w:p w14:paraId="00F47C7B">
            <w:pPr>
              <w:spacing w:before="101" w:line="222" w:lineRule="auto"/>
              <w:ind w:left="307"/>
              <w:rPr>
                <w:rFonts w:ascii="宋体" w:hAnsi="宋体" w:eastAsia="宋体" w:cs="宋体"/>
                <w:sz w:val="21"/>
                <w:szCs w:val="21"/>
              </w:rPr>
            </w:pPr>
            <w:r>
              <w:rPr>
                <w:rFonts w:ascii="宋体" w:hAnsi="宋体" w:eastAsia="宋体" w:cs="宋体"/>
                <w:b/>
                <w:bCs/>
                <w:spacing w:val="-4"/>
                <w:sz w:val="21"/>
                <w:szCs w:val="21"/>
              </w:rPr>
              <w:t>蛇亚目</w:t>
            </w:r>
          </w:p>
        </w:tc>
        <w:tc>
          <w:tcPr>
            <w:tcW w:w="2396" w:type="dxa"/>
            <w:vAlign w:val="top"/>
          </w:tcPr>
          <w:p w14:paraId="76DD5E29">
            <w:pPr>
              <w:pStyle w:val="6"/>
              <w:spacing w:before="138" w:line="187" w:lineRule="auto"/>
              <w:ind w:left="814"/>
            </w:pPr>
            <w:r>
              <w:rPr>
                <w:b/>
                <w:bCs/>
                <w:spacing w:val="-2"/>
              </w:rPr>
              <w:t>Serpentes</w:t>
            </w:r>
          </w:p>
        </w:tc>
        <w:tc>
          <w:tcPr>
            <w:tcW w:w="1123" w:type="dxa"/>
            <w:vAlign w:val="top"/>
          </w:tcPr>
          <w:p w14:paraId="3C65A7D4">
            <w:pPr>
              <w:rPr>
                <w:rFonts w:ascii="Arial"/>
                <w:sz w:val="21"/>
              </w:rPr>
            </w:pPr>
          </w:p>
        </w:tc>
        <w:tc>
          <w:tcPr>
            <w:tcW w:w="982" w:type="dxa"/>
            <w:vAlign w:val="top"/>
          </w:tcPr>
          <w:p w14:paraId="773904A8">
            <w:pPr>
              <w:rPr>
                <w:rFonts w:ascii="Arial"/>
                <w:sz w:val="21"/>
              </w:rPr>
            </w:pPr>
          </w:p>
        </w:tc>
        <w:tc>
          <w:tcPr>
            <w:tcW w:w="700" w:type="dxa"/>
            <w:vAlign w:val="top"/>
          </w:tcPr>
          <w:p w14:paraId="06182FA8">
            <w:pPr>
              <w:rPr>
                <w:rFonts w:ascii="Arial"/>
                <w:sz w:val="21"/>
              </w:rPr>
            </w:pPr>
          </w:p>
        </w:tc>
        <w:tc>
          <w:tcPr>
            <w:tcW w:w="702" w:type="dxa"/>
            <w:vAlign w:val="top"/>
          </w:tcPr>
          <w:p w14:paraId="09FC1F85">
            <w:pPr>
              <w:rPr>
                <w:rFonts w:ascii="Arial"/>
                <w:sz w:val="21"/>
              </w:rPr>
            </w:pPr>
          </w:p>
        </w:tc>
        <w:tc>
          <w:tcPr>
            <w:tcW w:w="763" w:type="dxa"/>
            <w:tcBorders>
              <w:right w:val="single" w:color="000000" w:sz="12" w:space="0"/>
            </w:tcBorders>
            <w:vAlign w:val="top"/>
          </w:tcPr>
          <w:p w14:paraId="2F783838">
            <w:pPr>
              <w:rPr>
                <w:rFonts w:ascii="Arial"/>
                <w:sz w:val="21"/>
              </w:rPr>
            </w:pPr>
          </w:p>
        </w:tc>
      </w:tr>
      <w:tr w14:paraId="0520C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2921CED7">
            <w:pPr>
              <w:pStyle w:val="6"/>
              <w:spacing w:before="141" w:line="186" w:lineRule="auto"/>
              <w:ind w:left="135"/>
            </w:pPr>
            <w:r>
              <w:rPr>
                <w:b/>
                <w:bCs/>
                <w:spacing w:val="-2"/>
              </w:rPr>
              <w:t>F4</w:t>
            </w:r>
          </w:p>
        </w:tc>
        <w:tc>
          <w:tcPr>
            <w:tcW w:w="1263" w:type="dxa"/>
            <w:vAlign w:val="top"/>
          </w:tcPr>
          <w:p w14:paraId="0EC4866D">
            <w:pPr>
              <w:spacing w:before="102" w:line="219" w:lineRule="auto"/>
              <w:ind w:left="413"/>
              <w:rPr>
                <w:rFonts w:ascii="宋体" w:hAnsi="宋体" w:eastAsia="宋体" w:cs="宋体"/>
                <w:sz w:val="21"/>
                <w:szCs w:val="21"/>
              </w:rPr>
            </w:pPr>
            <w:r>
              <w:rPr>
                <w:rFonts w:ascii="宋体" w:hAnsi="宋体" w:eastAsia="宋体" w:cs="宋体"/>
                <w:b/>
                <w:bCs/>
                <w:spacing w:val="-4"/>
                <w:sz w:val="21"/>
                <w:szCs w:val="21"/>
              </w:rPr>
              <w:t>蝰科</w:t>
            </w:r>
          </w:p>
        </w:tc>
        <w:tc>
          <w:tcPr>
            <w:tcW w:w="2396" w:type="dxa"/>
            <w:vAlign w:val="top"/>
          </w:tcPr>
          <w:p w14:paraId="18F6ED43">
            <w:pPr>
              <w:pStyle w:val="6"/>
              <w:spacing w:before="140" w:line="187" w:lineRule="auto"/>
              <w:ind w:left="746"/>
            </w:pPr>
            <w:r>
              <w:rPr>
                <w:b/>
                <w:bCs/>
                <w:spacing w:val="-1"/>
              </w:rPr>
              <w:t>Viperidae</w:t>
            </w:r>
          </w:p>
        </w:tc>
        <w:tc>
          <w:tcPr>
            <w:tcW w:w="1123" w:type="dxa"/>
            <w:vAlign w:val="top"/>
          </w:tcPr>
          <w:p w14:paraId="7D9CEC70">
            <w:pPr>
              <w:rPr>
                <w:rFonts w:ascii="Arial"/>
                <w:sz w:val="21"/>
              </w:rPr>
            </w:pPr>
          </w:p>
        </w:tc>
        <w:tc>
          <w:tcPr>
            <w:tcW w:w="982" w:type="dxa"/>
            <w:vAlign w:val="top"/>
          </w:tcPr>
          <w:p w14:paraId="697A75EE">
            <w:pPr>
              <w:rPr>
                <w:rFonts w:ascii="Arial"/>
                <w:sz w:val="21"/>
              </w:rPr>
            </w:pPr>
          </w:p>
        </w:tc>
        <w:tc>
          <w:tcPr>
            <w:tcW w:w="700" w:type="dxa"/>
            <w:vAlign w:val="top"/>
          </w:tcPr>
          <w:p w14:paraId="2E93C823">
            <w:pPr>
              <w:rPr>
                <w:rFonts w:ascii="Arial"/>
                <w:sz w:val="21"/>
              </w:rPr>
            </w:pPr>
          </w:p>
        </w:tc>
        <w:tc>
          <w:tcPr>
            <w:tcW w:w="702" w:type="dxa"/>
            <w:vAlign w:val="top"/>
          </w:tcPr>
          <w:p w14:paraId="472636AC">
            <w:pPr>
              <w:rPr>
                <w:rFonts w:ascii="Arial"/>
                <w:sz w:val="21"/>
              </w:rPr>
            </w:pPr>
          </w:p>
        </w:tc>
        <w:tc>
          <w:tcPr>
            <w:tcW w:w="763" w:type="dxa"/>
            <w:tcBorders>
              <w:right w:val="single" w:color="000000" w:sz="12" w:space="0"/>
            </w:tcBorders>
            <w:vAlign w:val="top"/>
          </w:tcPr>
          <w:p w14:paraId="16B4A34A">
            <w:pPr>
              <w:rPr>
                <w:rFonts w:ascii="Arial"/>
                <w:sz w:val="21"/>
              </w:rPr>
            </w:pPr>
          </w:p>
        </w:tc>
      </w:tr>
      <w:tr w14:paraId="786C1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60DAC161">
            <w:pPr>
              <w:pStyle w:val="6"/>
              <w:spacing w:before="136" w:line="235" w:lineRule="auto"/>
              <w:ind w:left="198"/>
            </w:pPr>
            <w:r>
              <w:t>4</w:t>
            </w:r>
          </w:p>
        </w:tc>
        <w:tc>
          <w:tcPr>
            <w:tcW w:w="1263" w:type="dxa"/>
            <w:vAlign w:val="top"/>
          </w:tcPr>
          <w:p w14:paraId="518D3F4C">
            <w:pPr>
              <w:spacing w:before="102" w:line="220" w:lineRule="auto"/>
              <w:ind w:left="118"/>
              <w:rPr>
                <w:rFonts w:ascii="宋体" w:hAnsi="宋体" w:eastAsia="宋体" w:cs="宋体"/>
                <w:sz w:val="21"/>
                <w:szCs w:val="21"/>
              </w:rPr>
            </w:pPr>
            <w:r>
              <w:rPr>
                <w:rFonts w:ascii="宋体" w:hAnsi="宋体" w:eastAsia="宋体" w:cs="宋体"/>
                <w:spacing w:val="-5"/>
                <w:sz w:val="21"/>
                <w:szCs w:val="21"/>
              </w:rPr>
              <w:t>山烙铁头蛇</w:t>
            </w:r>
          </w:p>
        </w:tc>
        <w:tc>
          <w:tcPr>
            <w:tcW w:w="2396" w:type="dxa"/>
            <w:vAlign w:val="top"/>
          </w:tcPr>
          <w:p w14:paraId="4F437A36">
            <w:pPr>
              <w:pStyle w:val="6"/>
              <w:spacing w:before="137" w:line="190" w:lineRule="auto"/>
              <w:ind w:left="404"/>
            </w:pPr>
            <w:r>
              <w:rPr>
                <w:i/>
                <w:iCs/>
                <w:spacing w:val="-1"/>
              </w:rPr>
              <w:t>Ovophis monticola</w:t>
            </w:r>
          </w:p>
        </w:tc>
        <w:tc>
          <w:tcPr>
            <w:tcW w:w="1123" w:type="dxa"/>
            <w:vAlign w:val="top"/>
          </w:tcPr>
          <w:p w14:paraId="4C726E68">
            <w:pPr>
              <w:pStyle w:val="6"/>
              <w:spacing w:before="140" w:line="186" w:lineRule="auto"/>
              <w:ind w:left="414"/>
            </w:pPr>
            <w:r>
              <w:rPr>
                <w:spacing w:val="-2"/>
              </w:rPr>
              <w:t>OD</w:t>
            </w:r>
          </w:p>
        </w:tc>
        <w:tc>
          <w:tcPr>
            <w:tcW w:w="982" w:type="dxa"/>
            <w:vAlign w:val="top"/>
          </w:tcPr>
          <w:p w14:paraId="18DFA085">
            <w:pPr>
              <w:rPr>
                <w:rFonts w:ascii="Arial"/>
                <w:sz w:val="21"/>
              </w:rPr>
            </w:pPr>
          </w:p>
        </w:tc>
        <w:tc>
          <w:tcPr>
            <w:tcW w:w="700" w:type="dxa"/>
            <w:vAlign w:val="top"/>
          </w:tcPr>
          <w:p w14:paraId="403216DB">
            <w:pPr>
              <w:pStyle w:val="6"/>
              <w:spacing w:before="137"/>
              <w:ind w:left="299"/>
            </w:pPr>
            <w:r>
              <w:t>+</w:t>
            </w:r>
          </w:p>
        </w:tc>
        <w:tc>
          <w:tcPr>
            <w:tcW w:w="702" w:type="dxa"/>
            <w:vAlign w:val="top"/>
          </w:tcPr>
          <w:p w14:paraId="13DAA007">
            <w:pPr>
              <w:pStyle w:val="6"/>
              <w:spacing w:before="143" w:line="183" w:lineRule="auto"/>
              <w:ind w:left="283"/>
            </w:pPr>
            <w:r>
              <w:t>V</w:t>
            </w:r>
          </w:p>
        </w:tc>
        <w:tc>
          <w:tcPr>
            <w:tcW w:w="763" w:type="dxa"/>
            <w:tcBorders>
              <w:right w:val="single" w:color="000000" w:sz="12" w:space="0"/>
            </w:tcBorders>
            <w:vAlign w:val="top"/>
          </w:tcPr>
          <w:p w14:paraId="36942F82">
            <w:pPr>
              <w:rPr>
                <w:rFonts w:ascii="Arial"/>
                <w:sz w:val="21"/>
              </w:rPr>
            </w:pPr>
          </w:p>
        </w:tc>
      </w:tr>
      <w:tr w14:paraId="217C2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14E4A380">
            <w:pPr>
              <w:pStyle w:val="6"/>
              <w:spacing w:before="146" w:line="183" w:lineRule="auto"/>
              <w:ind w:left="135"/>
            </w:pPr>
            <w:r>
              <w:rPr>
                <w:b/>
                <w:bCs/>
                <w:spacing w:val="-2"/>
              </w:rPr>
              <w:t>F5</w:t>
            </w:r>
          </w:p>
        </w:tc>
        <w:tc>
          <w:tcPr>
            <w:tcW w:w="1263" w:type="dxa"/>
            <w:vAlign w:val="top"/>
          </w:tcPr>
          <w:p w14:paraId="4375315A">
            <w:pPr>
              <w:spacing w:before="104" w:line="219" w:lineRule="auto"/>
              <w:ind w:left="215"/>
              <w:rPr>
                <w:rFonts w:ascii="宋体" w:hAnsi="宋体" w:eastAsia="宋体" w:cs="宋体"/>
                <w:sz w:val="21"/>
                <w:szCs w:val="21"/>
              </w:rPr>
            </w:pPr>
            <w:r>
              <w:rPr>
                <w:rFonts w:ascii="宋体" w:hAnsi="宋体" w:eastAsia="宋体" w:cs="宋体"/>
                <w:b/>
                <w:bCs/>
                <w:spacing w:val="-6"/>
                <w:sz w:val="21"/>
                <w:szCs w:val="21"/>
              </w:rPr>
              <w:t>眼镜蛇科</w:t>
            </w:r>
          </w:p>
        </w:tc>
        <w:tc>
          <w:tcPr>
            <w:tcW w:w="2396" w:type="dxa"/>
            <w:vAlign w:val="top"/>
          </w:tcPr>
          <w:p w14:paraId="5D1CD8B7">
            <w:pPr>
              <w:pStyle w:val="6"/>
              <w:spacing w:before="143" w:line="187" w:lineRule="auto"/>
              <w:ind w:left="795"/>
            </w:pPr>
            <w:r>
              <w:rPr>
                <w:b/>
                <w:bCs/>
                <w:spacing w:val="-1"/>
              </w:rPr>
              <w:t>Elapidae</w:t>
            </w:r>
          </w:p>
        </w:tc>
        <w:tc>
          <w:tcPr>
            <w:tcW w:w="1123" w:type="dxa"/>
            <w:vAlign w:val="top"/>
          </w:tcPr>
          <w:p w14:paraId="5B374935">
            <w:pPr>
              <w:rPr>
                <w:rFonts w:ascii="Arial"/>
                <w:sz w:val="21"/>
              </w:rPr>
            </w:pPr>
          </w:p>
        </w:tc>
        <w:tc>
          <w:tcPr>
            <w:tcW w:w="982" w:type="dxa"/>
            <w:vAlign w:val="top"/>
          </w:tcPr>
          <w:p w14:paraId="0853A0AC">
            <w:pPr>
              <w:rPr>
                <w:rFonts w:ascii="Arial"/>
                <w:sz w:val="21"/>
              </w:rPr>
            </w:pPr>
          </w:p>
        </w:tc>
        <w:tc>
          <w:tcPr>
            <w:tcW w:w="700" w:type="dxa"/>
            <w:vAlign w:val="top"/>
          </w:tcPr>
          <w:p w14:paraId="5918D199">
            <w:pPr>
              <w:rPr>
                <w:rFonts w:ascii="Arial"/>
                <w:sz w:val="21"/>
              </w:rPr>
            </w:pPr>
          </w:p>
        </w:tc>
        <w:tc>
          <w:tcPr>
            <w:tcW w:w="702" w:type="dxa"/>
            <w:vAlign w:val="top"/>
          </w:tcPr>
          <w:p w14:paraId="46F03190">
            <w:pPr>
              <w:rPr>
                <w:rFonts w:ascii="Arial"/>
                <w:sz w:val="21"/>
              </w:rPr>
            </w:pPr>
          </w:p>
        </w:tc>
        <w:tc>
          <w:tcPr>
            <w:tcW w:w="763" w:type="dxa"/>
            <w:tcBorders>
              <w:right w:val="single" w:color="000000" w:sz="12" w:space="0"/>
            </w:tcBorders>
            <w:vAlign w:val="top"/>
          </w:tcPr>
          <w:p w14:paraId="2B133996">
            <w:pPr>
              <w:rPr>
                <w:rFonts w:ascii="Arial"/>
                <w:sz w:val="21"/>
              </w:rPr>
            </w:pPr>
          </w:p>
        </w:tc>
      </w:tr>
      <w:tr w14:paraId="6FAF2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37" w:type="dxa"/>
            <w:tcBorders>
              <w:left w:val="single" w:color="000000" w:sz="12" w:space="0"/>
            </w:tcBorders>
            <w:vAlign w:val="top"/>
          </w:tcPr>
          <w:p w14:paraId="04BA61B5">
            <w:pPr>
              <w:spacing w:line="349" w:lineRule="auto"/>
              <w:rPr>
                <w:rFonts w:ascii="Arial"/>
                <w:sz w:val="21"/>
              </w:rPr>
            </w:pPr>
          </w:p>
          <w:p w14:paraId="44BA758B">
            <w:pPr>
              <w:pStyle w:val="6"/>
              <w:spacing w:before="60" w:line="232" w:lineRule="auto"/>
              <w:ind w:left="205"/>
            </w:pPr>
            <w:r>
              <w:t>5</w:t>
            </w:r>
          </w:p>
        </w:tc>
        <w:tc>
          <w:tcPr>
            <w:tcW w:w="1263" w:type="dxa"/>
            <w:vAlign w:val="top"/>
          </w:tcPr>
          <w:p w14:paraId="36E38A6D">
            <w:pPr>
              <w:spacing w:line="309" w:lineRule="auto"/>
              <w:rPr>
                <w:rFonts w:ascii="Arial"/>
                <w:sz w:val="21"/>
              </w:rPr>
            </w:pPr>
          </w:p>
          <w:p w14:paraId="3F8D7855">
            <w:pPr>
              <w:spacing w:before="68" w:line="220" w:lineRule="auto"/>
              <w:ind w:left="218"/>
              <w:rPr>
                <w:rFonts w:ascii="宋体" w:hAnsi="宋体" w:eastAsia="宋体" w:cs="宋体"/>
                <w:sz w:val="21"/>
                <w:szCs w:val="21"/>
              </w:rPr>
            </w:pPr>
            <w:r>
              <w:rPr>
                <w:rFonts w:ascii="宋体" w:hAnsi="宋体" w:eastAsia="宋体" w:cs="宋体"/>
                <w:spacing w:val="-5"/>
                <w:sz w:val="21"/>
                <w:szCs w:val="21"/>
              </w:rPr>
              <w:t>眼镜王蛇</w:t>
            </w:r>
          </w:p>
        </w:tc>
        <w:tc>
          <w:tcPr>
            <w:tcW w:w="2396" w:type="dxa"/>
            <w:vAlign w:val="top"/>
          </w:tcPr>
          <w:p w14:paraId="744EE840">
            <w:pPr>
              <w:spacing w:line="348" w:lineRule="auto"/>
              <w:rPr>
                <w:rFonts w:ascii="Arial"/>
                <w:sz w:val="21"/>
              </w:rPr>
            </w:pPr>
          </w:p>
          <w:p w14:paraId="578E1EFF">
            <w:pPr>
              <w:pStyle w:val="6"/>
              <w:spacing w:before="61" w:line="190" w:lineRule="auto"/>
              <w:ind w:left="293"/>
            </w:pPr>
            <w:r>
              <w:rPr>
                <w:i/>
                <w:iCs/>
                <w:spacing w:val="-1"/>
              </w:rPr>
              <w:t>Ophiophagus hannah</w:t>
            </w:r>
          </w:p>
        </w:tc>
        <w:tc>
          <w:tcPr>
            <w:tcW w:w="1123" w:type="dxa"/>
            <w:vAlign w:val="top"/>
          </w:tcPr>
          <w:p w14:paraId="14C9B835">
            <w:pPr>
              <w:pStyle w:val="6"/>
              <w:spacing w:before="295" w:line="186" w:lineRule="auto"/>
              <w:ind w:left="216"/>
            </w:pPr>
            <w:r>
              <w:rPr>
                <w:spacing w:val="-3"/>
              </w:rPr>
              <w:t>SC-SW-</w:t>
            </w:r>
          </w:p>
          <w:p w14:paraId="6CF09E9A">
            <w:pPr>
              <w:pStyle w:val="6"/>
              <w:spacing w:before="54" w:line="186" w:lineRule="auto"/>
              <w:ind w:left="426"/>
            </w:pPr>
            <w:r>
              <w:rPr>
                <w:spacing w:val="-2"/>
              </w:rPr>
              <w:t>CC</w:t>
            </w:r>
          </w:p>
        </w:tc>
        <w:tc>
          <w:tcPr>
            <w:tcW w:w="982" w:type="dxa"/>
            <w:vAlign w:val="top"/>
          </w:tcPr>
          <w:p w14:paraId="7546AC90">
            <w:pPr>
              <w:pStyle w:val="6"/>
              <w:spacing w:before="147" w:line="176" w:lineRule="auto"/>
              <w:ind w:left="237"/>
              <w:rPr>
                <w:rFonts w:ascii="宋体" w:hAnsi="宋体" w:eastAsia="宋体" w:cs="宋体"/>
              </w:rPr>
            </w:pPr>
            <w:r>
              <w:rPr>
                <w:spacing w:val="-1"/>
              </w:rPr>
              <w:t>YN</w:t>
            </w:r>
            <w:r>
              <w:rPr>
                <w:rFonts w:ascii="宋体" w:hAnsi="宋体" w:eastAsia="宋体" w:cs="宋体"/>
                <w:spacing w:val="-1"/>
              </w:rPr>
              <w:t>，</w:t>
            </w:r>
          </w:p>
          <w:p w14:paraId="2499A2B6">
            <w:pPr>
              <w:pStyle w:val="6"/>
              <w:spacing w:before="70" w:line="163" w:lineRule="auto"/>
              <w:ind w:left="149"/>
            </w:pPr>
            <w:r>
              <w:rPr>
                <w:spacing w:val="-11"/>
                <w:w w:val="95"/>
              </w:rPr>
              <w:t>Ⅱ</w:t>
            </w:r>
            <w:r>
              <w:rPr>
                <w:spacing w:val="-26"/>
              </w:rPr>
              <w:t xml:space="preserve"> </w:t>
            </w:r>
            <w:r>
              <w:rPr>
                <w:rFonts w:ascii="宋体" w:hAnsi="宋体" w:eastAsia="宋体" w:cs="宋体"/>
                <w:spacing w:val="-11"/>
                <w:w w:val="95"/>
              </w:rPr>
              <w:t>,</w:t>
            </w:r>
            <w:r>
              <w:rPr>
                <w:rFonts w:ascii="宋体" w:hAnsi="宋体" w:eastAsia="宋体" w:cs="宋体"/>
                <w:spacing w:val="51"/>
              </w:rPr>
              <w:t xml:space="preserve"> </w:t>
            </w:r>
            <w:r>
              <w:rPr>
                <w:spacing w:val="-11"/>
                <w:w w:val="95"/>
              </w:rPr>
              <w:t>EN-</w:t>
            </w:r>
          </w:p>
          <w:p w14:paraId="1E1F3663">
            <w:pPr>
              <w:pStyle w:val="6"/>
              <w:spacing w:before="86" w:line="178" w:lineRule="auto"/>
              <w:ind w:left="173"/>
            </w:pPr>
            <w:r>
              <w:rPr>
                <w:spacing w:val="-9"/>
              </w:rPr>
              <w:t>C</w:t>
            </w:r>
            <w:r>
              <w:rPr>
                <w:spacing w:val="-25"/>
              </w:rPr>
              <w:t xml:space="preserve"> </w:t>
            </w:r>
            <w:r>
              <w:rPr>
                <w:rFonts w:ascii="宋体" w:hAnsi="宋体" w:eastAsia="宋体" w:cs="宋体"/>
                <w:spacing w:val="-9"/>
              </w:rPr>
              <w:t>，</w:t>
            </w:r>
            <w:r>
              <w:rPr>
                <w:spacing w:val="-9"/>
              </w:rPr>
              <w:t>VU</w:t>
            </w:r>
          </w:p>
        </w:tc>
        <w:tc>
          <w:tcPr>
            <w:tcW w:w="700" w:type="dxa"/>
            <w:vAlign w:val="top"/>
          </w:tcPr>
          <w:p w14:paraId="608DF744">
            <w:pPr>
              <w:spacing w:line="348" w:lineRule="auto"/>
              <w:rPr>
                <w:rFonts w:ascii="Arial"/>
                <w:sz w:val="21"/>
              </w:rPr>
            </w:pPr>
          </w:p>
          <w:p w14:paraId="16E005DC">
            <w:pPr>
              <w:pStyle w:val="6"/>
              <w:spacing w:before="61" w:line="251" w:lineRule="exact"/>
              <w:ind w:left="299"/>
            </w:pPr>
            <w:r>
              <w:rPr>
                <w:position w:val="1"/>
              </w:rPr>
              <w:t>+</w:t>
            </w:r>
          </w:p>
        </w:tc>
        <w:tc>
          <w:tcPr>
            <w:tcW w:w="702" w:type="dxa"/>
            <w:vAlign w:val="top"/>
          </w:tcPr>
          <w:p w14:paraId="311EBBD2">
            <w:pPr>
              <w:spacing w:line="355" w:lineRule="auto"/>
              <w:rPr>
                <w:rFonts w:ascii="Arial"/>
                <w:sz w:val="21"/>
              </w:rPr>
            </w:pPr>
          </w:p>
          <w:p w14:paraId="7684F631">
            <w:pPr>
              <w:pStyle w:val="6"/>
              <w:spacing w:before="60" w:line="183" w:lineRule="auto"/>
              <w:ind w:left="283"/>
            </w:pPr>
            <w:r>
              <w:t>V</w:t>
            </w:r>
          </w:p>
        </w:tc>
        <w:tc>
          <w:tcPr>
            <w:tcW w:w="763" w:type="dxa"/>
            <w:tcBorders>
              <w:right w:val="single" w:color="000000" w:sz="12" w:space="0"/>
            </w:tcBorders>
            <w:vAlign w:val="top"/>
          </w:tcPr>
          <w:p w14:paraId="5F5FFBAB">
            <w:pPr>
              <w:rPr>
                <w:rFonts w:ascii="Arial"/>
                <w:sz w:val="21"/>
              </w:rPr>
            </w:pPr>
          </w:p>
        </w:tc>
      </w:tr>
      <w:tr w14:paraId="4FD31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4FBC7301">
            <w:pPr>
              <w:pStyle w:val="6"/>
              <w:spacing w:before="147" w:line="186" w:lineRule="auto"/>
              <w:ind w:left="135"/>
            </w:pPr>
            <w:r>
              <w:rPr>
                <w:b/>
                <w:bCs/>
                <w:spacing w:val="-2"/>
              </w:rPr>
              <w:t>F6</w:t>
            </w:r>
          </w:p>
        </w:tc>
        <w:tc>
          <w:tcPr>
            <w:tcW w:w="1263" w:type="dxa"/>
            <w:vAlign w:val="top"/>
          </w:tcPr>
          <w:p w14:paraId="39BAA1FA">
            <w:pPr>
              <w:spacing w:before="108" w:line="219" w:lineRule="auto"/>
              <w:ind w:left="307"/>
              <w:rPr>
                <w:rFonts w:ascii="宋体" w:hAnsi="宋体" w:eastAsia="宋体" w:cs="宋体"/>
                <w:sz w:val="21"/>
                <w:szCs w:val="21"/>
              </w:rPr>
            </w:pPr>
            <w:r>
              <w:rPr>
                <w:rFonts w:ascii="宋体" w:hAnsi="宋体" w:eastAsia="宋体" w:cs="宋体"/>
                <w:b/>
                <w:bCs/>
                <w:spacing w:val="-4"/>
                <w:sz w:val="21"/>
                <w:szCs w:val="21"/>
              </w:rPr>
              <w:t>游蛇科</w:t>
            </w:r>
          </w:p>
        </w:tc>
        <w:tc>
          <w:tcPr>
            <w:tcW w:w="2396" w:type="dxa"/>
            <w:vAlign w:val="top"/>
          </w:tcPr>
          <w:p w14:paraId="31668D78">
            <w:pPr>
              <w:pStyle w:val="6"/>
              <w:spacing w:before="147" w:line="186" w:lineRule="auto"/>
              <w:ind w:left="689"/>
            </w:pPr>
            <w:r>
              <w:rPr>
                <w:b/>
                <w:bCs/>
                <w:spacing w:val="-1"/>
              </w:rPr>
              <w:t>Colubridae</w:t>
            </w:r>
          </w:p>
        </w:tc>
        <w:tc>
          <w:tcPr>
            <w:tcW w:w="1123" w:type="dxa"/>
            <w:vAlign w:val="top"/>
          </w:tcPr>
          <w:p w14:paraId="055C9E33">
            <w:pPr>
              <w:rPr>
                <w:rFonts w:ascii="Arial"/>
                <w:sz w:val="21"/>
              </w:rPr>
            </w:pPr>
          </w:p>
        </w:tc>
        <w:tc>
          <w:tcPr>
            <w:tcW w:w="982" w:type="dxa"/>
            <w:vAlign w:val="top"/>
          </w:tcPr>
          <w:p w14:paraId="66D5BDCB">
            <w:pPr>
              <w:rPr>
                <w:rFonts w:ascii="Arial"/>
                <w:sz w:val="21"/>
              </w:rPr>
            </w:pPr>
          </w:p>
        </w:tc>
        <w:tc>
          <w:tcPr>
            <w:tcW w:w="700" w:type="dxa"/>
            <w:vAlign w:val="top"/>
          </w:tcPr>
          <w:p w14:paraId="0DB2155D">
            <w:pPr>
              <w:rPr>
                <w:rFonts w:ascii="Arial"/>
                <w:sz w:val="21"/>
              </w:rPr>
            </w:pPr>
          </w:p>
        </w:tc>
        <w:tc>
          <w:tcPr>
            <w:tcW w:w="702" w:type="dxa"/>
            <w:vAlign w:val="top"/>
          </w:tcPr>
          <w:p w14:paraId="22032674">
            <w:pPr>
              <w:rPr>
                <w:rFonts w:ascii="Arial"/>
                <w:sz w:val="21"/>
              </w:rPr>
            </w:pPr>
          </w:p>
        </w:tc>
        <w:tc>
          <w:tcPr>
            <w:tcW w:w="763" w:type="dxa"/>
            <w:tcBorders>
              <w:right w:val="single" w:color="000000" w:sz="12" w:space="0"/>
            </w:tcBorders>
            <w:vAlign w:val="top"/>
          </w:tcPr>
          <w:p w14:paraId="7D53BE88">
            <w:pPr>
              <w:rPr>
                <w:rFonts w:ascii="Arial"/>
                <w:sz w:val="21"/>
              </w:rPr>
            </w:pPr>
          </w:p>
        </w:tc>
      </w:tr>
      <w:tr w14:paraId="15BAF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05192051">
            <w:pPr>
              <w:pStyle w:val="6"/>
              <w:spacing w:before="145" w:line="232" w:lineRule="auto"/>
              <w:ind w:left="204"/>
            </w:pPr>
            <w:r>
              <w:t>6</w:t>
            </w:r>
          </w:p>
        </w:tc>
        <w:tc>
          <w:tcPr>
            <w:tcW w:w="1263" w:type="dxa"/>
            <w:vAlign w:val="top"/>
          </w:tcPr>
          <w:p w14:paraId="4074393B">
            <w:pPr>
              <w:spacing w:before="110" w:line="221" w:lineRule="auto"/>
              <w:ind w:left="310"/>
              <w:rPr>
                <w:rFonts w:ascii="宋体" w:hAnsi="宋体" w:eastAsia="宋体" w:cs="宋体"/>
                <w:sz w:val="21"/>
                <w:szCs w:val="21"/>
              </w:rPr>
            </w:pPr>
            <w:r>
              <w:rPr>
                <w:rFonts w:ascii="宋体" w:hAnsi="宋体" w:eastAsia="宋体" w:cs="宋体"/>
                <w:spacing w:val="-3"/>
                <w:sz w:val="21"/>
                <w:szCs w:val="21"/>
              </w:rPr>
              <w:t>王锦蛇</w:t>
            </w:r>
          </w:p>
        </w:tc>
        <w:tc>
          <w:tcPr>
            <w:tcW w:w="2396" w:type="dxa"/>
            <w:vAlign w:val="top"/>
          </w:tcPr>
          <w:p w14:paraId="567C59F3">
            <w:pPr>
              <w:pStyle w:val="6"/>
              <w:spacing w:before="144" w:line="190" w:lineRule="auto"/>
              <w:ind w:left="504"/>
            </w:pPr>
            <w:r>
              <w:rPr>
                <w:i/>
                <w:iCs/>
              </w:rPr>
              <w:t>Elaphe</w:t>
            </w:r>
            <w:r>
              <w:rPr>
                <w:i/>
                <w:iCs/>
                <w:spacing w:val="4"/>
              </w:rPr>
              <w:t xml:space="preserve"> </w:t>
            </w:r>
            <w:r>
              <w:rPr>
                <w:i/>
                <w:iCs/>
              </w:rPr>
              <w:t>carinata</w:t>
            </w:r>
          </w:p>
        </w:tc>
        <w:tc>
          <w:tcPr>
            <w:tcW w:w="1123" w:type="dxa"/>
            <w:vAlign w:val="top"/>
          </w:tcPr>
          <w:p w14:paraId="52531A1B">
            <w:pPr>
              <w:pStyle w:val="6"/>
              <w:spacing w:before="148" w:line="186" w:lineRule="auto"/>
              <w:ind w:left="414"/>
            </w:pPr>
            <w:r>
              <w:rPr>
                <w:spacing w:val="-2"/>
              </w:rPr>
              <w:t>OD</w:t>
            </w:r>
          </w:p>
        </w:tc>
        <w:tc>
          <w:tcPr>
            <w:tcW w:w="982" w:type="dxa"/>
            <w:vAlign w:val="top"/>
          </w:tcPr>
          <w:p w14:paraId="2C75F414">
            <w:pPr>
              <w:pStyle w:val="6"/>
              <w:spacing w:before="148" w:line="186" w:lineRule="auto"/>
              <w:ind w:left="251"/>
            </w:pPr>
            <w:r>
              <w:rPr>
                <w:spacing w:val="-2"/>
              </w:rPr>
              <w:t>EN-C</w:t>
            </w:r>
          </w:p>
        </w:tc>
        <w:tc>
          <w:tcPr>
            <w:tcW w:w="700" w:type="dxa"/>
            <w:vAlign w:val="top"/>
          </w:tcPr>
          <w:p w14:paraId="02D6BBE1">
            <w:pPr>
              <w:pStyle w:val="6"/>
              <w:spacing w:before="144" w:line="235" w:lineRule="auto"/>
              <w:ind w:left="240"/>
            </w:pPr>
            <w:r>
              <w:rPr>
                <w:spacing w:val="-1"/>
              </w:rPr>
              <w:t>++</w:t>
            </w:r>
          </w:p>
        </w:tc>
        <w:tc>
          <w:tcPr>
            <w:tcW w:w="702" w:type="dxa"/>
            <w:vAlign w:val="top"/>
          </w:tcPr>
          <w:p w14:paraId="06A871F9">
            <w:pPr>
              <w:pStyle w:val="6"/>
              <w:spacing w:before="148" w:line="186" w:lineRule="auto"/>
              <w:ind w:left="313"/>
            </w:pPr>
            <w:r>
              <w:t>S</w:t>
            </w:r>
          </w:p>
        </w:tc>
        <w:tc>
          <w:tcPr>
            <w:tcW w:w="763" w:type="dxa"/>
            <w:tcBorders>
              <w:right w:val="single" w:color="000000" w:sz="12" w:space="0"/>
            </w:tcBorders>
            <w:vAlign w:val="top"/>
          </w:tcPr>
          <w:p w14:paraId="2B7871BD">
            <w:pPr>
              <w:rPr>
                <w:rFonts w:ascii="Arial"/>
                <w:sz w:val="21"/>
              </w:rPr>
            </w:pPr>
          </w:p>
        </w:tc>
      </w:tr>
      <w:tr w14:paraId="21134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37" w:type="dxa"/>
            <w:tcBorders>
              <w:left w:val="single" w:color="000000" w:sz="12" w:space="0"/>
            </w:tcBorders>
            <w:vAlign w:val="top"/>
          </w:tcPr>
          <w:p w14:paraId="68EBAB1C">
            <w:pPr>
              <w:pStyle w:val="6"/>
              <w:spacing w:before="145" w:line="232" w:lineRule="auto"/>
              <w:ind w:left="203"/>
            </w:pPr>
            <w:r>
              <w:t>7</w:t>
            </w:r>
          </w:p>
        </w:tc>
        <w:tc>
          <w:tcPr>
            <w:tcW w:w="1263" w:type="dxa"/>
            <w:vAlign w:val="top"/>
          </w:tcPr>
          <w:p w14:paraId="5141E373">
            <w:pPr>
              <w:spacing w:before="112" w:line="220" w:lineRule="auto"/>
              <w:ind w:left="210"/>
              <w:rPr>
                <w:rFonts w:ascii="宋体" w:hAnsi="宋体" w:eastAsia="宋体" w:cs="宋体"/>
                <w:sz w:val="21"/>
                <w:szCs w:val="21"/>
              </w:rPr>
            </w:pPr>
            <w:r>
              <w:rPr>
                <w:rFonts w:ascii="宋体" w:hAnsi="宋体" w:eastAsia="宋体" w:cs="宋体"/>
                <w:spacing w:val="-3"/>
                <w:sz w:val="21"/>
                <w:szCs w:val="21"/>
              </w:rPr>
              <w:t>黑眉锦蛇</w:t>
            </w:r>
          </w:p>
        </w:tc>
        <w:tc>
          <w:tcPr>
            <w:tcW w:w="2396" w:type="dxa"/>
            <w:vAlign w:val="top"/>
          </w:tcPr>
          <w:p w14:paraId="095EBD5B">
            <w:pPr>
              <w:pStyle w:val="6"/>
              <w:spacing w:before="145" w:line="190" w:lineRule="auto"/>
              <w:ind w:left="503"/>
            </w:pPr>
            <w:r>
              <w:rPr>
                <w:i/>
                <w:iCs/>
              </w:rPr>
              <w:t>Elaphe</w:t>
            </w:r>
            <w:r>
              <w:rPr>
                <w:i/>
                <w:iCs/>
                <w:spacing w:val="4"/>
              </w:rPr>
              <w:t xml:space="preserve"> </w:t>
            </w:r>
            <w:r>
              <w:rPr>
                <w:i/>
                <w:iCs/>
              </w:rPr>
              <w:t>taeniura</w:t>
            </w:r>
          </w:p>
        </w:tc>
        <w:tc>
          <w:tcPr>
            <w:tcW w:w="1123" w:type="dxa"/>
            <w:vAlign w:val="top"/>
          </w:tcPr>
          <w:p w14:paraId="418F52CA">
            <w:pPr>
              <w:pStyle w:val="6"/>
              <w:spacing w:before="149" w:line="186" w:lineRule="auto"/>
              <w:ind w:left="414"/>
            </w:pPr>
            <w:r>
              <w:rPr>
                <w:spacing w:val="-2"/>
              </w:rPr>
              <w:t>OD</w:t>
            </w:r>
          </w:p>
        </w:tc>
        <w:tc>
          <w:tcPr>
            <w:tcW w:w="982" w:type="dxa"/>
            <w:vAlign w:val="top"/>
          </w:tcPr>
          <w:p w14:paraId="1A482700">
            <w:pPr>
              <w:pStyle w:val="6"/>
              <w:spacing w:before="149" w:line="186" w:lineRule="auto"/>
              <w:ind w:left="251"/>
            </w:pPr>
            <w:r>
              <w:rPr>
                <w:spacing w:val="-2"/>
              </w:rPr>
              <w:t>EN-C</w:t>
            </w:r>
          </w:p>
        </w:tc>
        <w:tc>
          <w:tcPr>
            <w:tcW w:w="700" w:type="dxa"/>
            <w:vAlign w:val="top"/>
          </w:tcPr>
          <w:p w14:paraId="2EE09F03">
            <w:pPr>
              <w:pStyle w:val="6"/>
              <w:spacing w:before="145" w:line="232" w:lineRule="auto"/>
              <w:ind w:left="240"/>
            </w:pPr>
            <w:r>
              <w:rPr>
                <w:spacing w:val="-1"/>
              </w:rPr>
              <w:t>++</w:t>
            </w:r>
          </w:p>
        </w:tc>
        <w:tc>
          <w:tcPr>
            <w:tcW w:w="702" w:type="dxa"/>
            <w:vAlign w:val="top"/>
          </w:tcPr>
          <w:p w14:paraId="178FABA8">
            <w:pPr>
              <w:pStyle w:val="6"/>
              <w:spacing w:before="152" w:line="183" w:lineRule="auto"/>
              <w:ind w:left="283"/>
            </w:pPr>
            <w:r>
              <w:t>V</w:t>
            </w:r>
          </w:p>
        </w:tc>
        <w:tc>
          <w:tcPr>
            <w:tcW w:w="763" w:type="dxa"/>
            <w:tcBorders>
              <w:right w:val="single" w:color="000000" w:sz="12" w:space="0"/>
            </w:tcBorders>
            <w:vAlign w:val="top"/>
          </w:tcPr>
          <w:p w14:paraId="38A1BCF7">
            <w:pPr>
              <w:rPr>
                <w:rFonts w:ascii="Arial"/>
                <w:sz w:val="21"/>
              </w:rPr>
            </w:pPr>
          </w:p>
        </w:tc>
      </w:tr>
      <w:tr w14:paraId="18252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537" w:type="dxa"/>
            <w:tcBorders>
              <w:left w:val="single" w:color="000000" w:sz="12" w:space="0"/>
            </w:tcBorders>
            <w:vAlign w:val="top"/>
          </w:tcPr>
          <w:p w14:paraId="1EFDB797">
            <w:pPr>
              <w:pStyle w:val="6"/>
              <w:spacing w:before="155" w:line="183" w:lineRule="auto"/>
              <w:ind w:left="135"/>
            </w:pPr>
            <w:r>
              <w:rPr>
                <w:b/>
                <w:bCs/>
                <w:spacing w:val="-2"/>
              </w:rPr>
              <w:t>F7</w:t>
            </w:r>
          </w:p>
        </w:tc>
        <w:tc>
          <w:tcPr>
            <w:tcW w:w="1263" w:type="dxa"/>
            <w:vAlign w:val="top"/>
          </w:tcPr>
          <w:p w14:paraId="357B3666">
            <w:pPr>
              <w:spacing w:before="113" w:line="219" w:lineRule="auto"/>
              <w:ind w:left="204"/>
              <w:rPr>
                <w:rFonts w:ascii="宋体" w:hAnsi="宋体" w:eastAsia="宋体" w:cs="宋体"/>
                <w:sz w:val="21"/>
                <w:szCs w:val="21"/>
              </w:rPr>
            </w:pPr>
            <w:r>
              <w:rPr>
                <w:rFonts w:ascii="宋体" w:hAnsi="宋体" w:eastAsia="宋体" w:cs="宋体"/>
                <w:b/>
                <w:bCs/>
                <w:spacing w:val="-4"/>
                <w:sz w:val="21"/>
                <w:szCs w:val="21"/>
              </w:rPr>
              <w:t>水游蛇科</w:t>
            </w:r>
          </w:p>
        </w:tc>
        <w:tc>
          <w:tcPr>
            <w:tcW w:w="2396" w:type="dxa"/>
            <w:vAlign w:val="top"/>
          </w:tcPr>
          <w:p w14:paraId="2C48F6FF">
            <w:pPr>
              <w:pStyle w:val="6"/>
              <w:spacing w:before="152" w:line="186" w:lineRule="auto"/>
              <w:ind w:left="718"/>
            </w:pPr>
            <w:r>
              <w:rPr>
                <w:b/>
                <w:bCs/>
                <w:spacing w:val="-1"/>
              </w:rPr>
              <w:t>Natricidae</w:t>
            </w:r>
          </w:p>
        </w:tc>
        <w:tc>
          <w:tcPr>
            <w:tcW w:w="1123" w:type="dxa"/>
            <w:vAlign w:val="top"/>
          </w:tcPr>
          <w:p w14:paraId="5E4B8115">
            <w:pPr>
              <w:rPr>
                <w:rFonts w:ascii="Arial"/>
                <w:sz w:val="21"/>
              </w:rPr>
            </w:pPr>
          </w:p>
        </w:tc>
        <w:tc>
          <w:tcPr>
            <w:tcW w:w="982" w:type="dxa"/>
            <w:vAlign w:val="top"/>
          </w:tcPr>
          <w:p w14:paraId="1194BB46">
            <w:pPr>
              <w:rPr>
                <w:rFonts w:ascii="Arial"/>
                <w:sz w:val="21"/>
              </w:rPr>
            </w:pPr>
          </w:p>
        </w:tc>
        <w:tc>
          <w:tcPr>
            <w:tcW w:w="700" w:type="dxa"/>
            <w:vAlign w:val="top"/>
          </w:tcPr>
          <w:p w14:paraId="5D29E1BD">
            <w:pPr>
              <w:rPr>
                <w:rFonts w:ascii="Arial"/>
                <w:sz w:val="21"/>
              </w:rPr>
            </w:pPr>
          </w:p>
        </w:tc>
        <w:tc>
          <w:tcPr>
            <w:tcW w:w="702" w:type="dxa"/>
            <w:vAlign w:val="top"/>
          </w:tcPr>
          <w:p w14:paraId="31D9BDDE">
            <w:pPr>
              <w:rPr>
                <w:rFonts w:ascii="Arial"/>
                <w:sz w:val="21"/>
              </w:rPr>
            </w:pPr>
          </w:p>
        </w:tc>
        <w:tc>
          <w:tcPr>
            <w:tcW w:w="763" w:type="dxa"/>
            <w:tcBorders>
              <w:right w:val="single" w:color="000000" w:sz="12" w:space="0"/>
            </w:tcBorders>
            <w:vAlign w:val="top"/>
          </w:tcPr>
          <w:p w14:paraId="7C56EF01">
            <w:pPr>
              <w:rPr>
                <w:rFonts w:ascii="Arial"/>
                <w:sz w:val="21"/>
              </w:rPr>
            </w:pPr>
          </w:p>
        </w:tc>
      </w:tr>
      <w:tr w14:paraId="32DDE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37" w:type="dxa"/>
            <w:tcBorders>
              <w:left w:val="single" w:color="000000" w:sz="12" w:space="0"/>
              <w:bottom w:val="single" w:color="000000" w:sz="12" w:space="0"/>
            </w:tcBorders>
            <w:vAlign w:val="top"/>
          </w:tcPr>
          <w:p w14:paraId="57AE16D2">
            <w:pPr>
              <w:pStyle w:val="6"/>
              <w:spacing w:before="148" w:line="232" w:lineRule="auto"/>
              <w:ind w:left="208"/>
            </w:pPr>
            <w:r>
              <w:t>8</w:t>
            </w:r>
          </w:p>
        </w:tc>
        <w:tc>
          <w:tcPr>
            <w:tcW w:w="1263" w:type="dxa"/>
            <w:tcBorders>
              <w:bottom w:val="single" w:color="000000" w:sz="12" w:space="0"/>
            </w:tcBorders>
            <w:vAlign w:val="top"/>
          </w:tcPr>
          <w:p w14:paraId="44BD5B49">
            <w:pPr>
              <w:spacing w:before="114" w:line="220" w:lineRule="auto"/>
              <w:ind w:left="102"/>
              <w:rPr>
                <w:rFonts w:ascii="宋体" w:hAnsi="宋体" w:eastAsia="宋体" w:cs="宋体"/>
                <w:sz w:val="21"/>
                <w:szCs w:val="21"/>
              </w:rPr>
            </w:pPr>
            <w:r>
              <w:rPr>
                <w:rFonts w:ascii="宋体" w:hAnsi="宋体" w:eastAsia="宋体" w:cs="宋体"/>
                <w:spacing w:val="-2"/>
                <w:sz w:val="21"/>
                <w:szCs w:val="21"/>
              </w:rPr>
              <w:t>八线腹链蛇</w:t>
            </w:r>
          </w:p>
        </w:tc>
        <w:tc>
          <w:tcPr>
            <w:tcW w:w="2396" w:type="dxa"/>
            <w:tcBorders>
              <w:bottom w:val="single" w:color="000000" w:sz="12" w:space="0"/>
            </w:tcBorders>
            <w:vAlign w:val="top"/>
          </w:tcPr>
          <w:p w14:paraId="2695216E">
            <w:pPr>
              <w:pStyle w:val="6"/>
              <w:spacing w:before="147" w:line="233" w:lineRule="auto"/>
              <w:ind w:left="345"/>
            </w:pPr>
            <w:r>
              <w:rPr>
                <w:i/>
                <w:iCs/>
              </w:rPr>
              <w:t>Hebius</w:t>
            </w:r>
            <w:r>
              <w:rPr>
                <w:i/>
                <w:iCs/>
                <w:spacing w:val="6"/>
              </w:rPr>
              <w:t xml:space="preserve"> </w:t>
            </w:r>
            <w:r>
              <w:rPr>
                <w:i/>
                <w:iCs/>
              </w:rPr>
              <w:t>octolineatus</w:t>
            </w:r>
          </w:p>
        </w:tc>
        <w:tc>
          <w:tcPr>
            <w:tcW w:w="1123" w:type="dxa"/>
            <w:tcBorders>
              <w:bottom w:val="single" w:color="000000" w:sz="12" w:space="0"/>
            </w:tcBorders>
            <w:vAlign w:val="top"/>
          </w:tcPr>
          <w:p w14:paraId="1FE3FB92">
            <w:pPr>
              <w:pStyle w:val="6"/>
              <w:spacing w:before="152" w:line="186" w:lineRule="auto"/>
              <w:ind w:left="250"/>
            </w:pPr>
            <w:r>
              <w:rPr>
                <w:spacing w:val="-3"/>
              </w:rPr>
              <w:t>SC-SW</w:t>
            </w:r>
          </w:p>
        </w:tc>
        <w:tc>
          <w:tcPr>
            <w:tcW w:w="982" w:type="dxa"/>
            <w:tcBorders>
              <w:bottom w:val="single" w:color="000000" w:sz="12" w:space="0"/>
            </w:tcBorders>
            <w:vAlign w:val="top"/>
          </w:tcPr>
          <w:p w14:paraId="373EAB28">
            <w:pPr>
              <w:spacing w:before="114" w:line="220" w:lineRule="auto"/>
              <w:ind w:left="290"/>
              <w:rPr>
                <w:rFonts w:ascii="宋体" w:hAnsi="宋体" w:eastAsia="宋体" w:cs="宋体"/>
                <w:sz w:val="21"/>
                <w:szCs w:val="21"/>
              </w:rPr>
            </w:pPr>
            <w:r>
              <w:rPr>
                <w:rFonts w:ascii="宋体" w:hAnsi="宋体" w:eastAsia="宋体" w:cs="宋体"/>
                <w:spacing w:val="-3"/>
                <w:sz w:val="21"/>
                <w:szCs w:val="21"/>
              </w:rPr>
              <w:t>特有</w:t>
            </w:r>
          </w:p>
        </w:tc>
        <w:tc>
          <w:tcPr>
            <w:tcW w:w="700" w:type="dxa"/>
            <w:tcBorders>
              <w:bottom w:val="single" w:color="000000" w:sz="12" w:space="0"/>
            </w:tcBorders>
            <w:vAlign w:val="top"/>
          </w:tcPr>
          <w:p w14:paraId="4F2D46AE">
            <w:pPr>
              <w:pStyle w:val="6"/>
              <w:spacing w:before="148" w:line="251" w:lineRule="exact"/>
              <w:ind w:left="240"/>
            </w:pPr>
            <w:r>
              <w:rPr>
                <w:spacing w:val="-1"/>
                <w:position w:val="1"/>
              </w:rPr>
              <w:t>++</w:t>
            </w:r>
          </w:p>
        </w:tc>
        <w:tc>
          <w:tcPr>
            <w:tcW w:w="702" w:type="dxa"/>
            <w:tcBorders>
              <w:bottom w:val="single" w:color="000000" w:sz="12" w:space="0"/>
            </w:tcBorders>
            <w:vAlign w:val="top"/>
          </w:tcPr>
          <w:p w14:paraId="486EE03F">
            <w:pPr>
              <w:pStyle w:val="6"/>
              <w:spacing w:before="152" w:line="186" w:lineRule="auto"/>
              <w:ind w:left="313"/>
            </w:pPr>
            <w:r>
              <w:t>S</w:t>
            </w:r>
          </w:p>
        </w:tc>
        <w:tc>
          <w:tcPr>
            <w:tcW w:w="763" w:type="dxa"/>
            <w:tcBorders>
              <w:bottom w:val="single" w:color="000000" w:sz="12" w:space="0"/>
              <w:right w:val="single" w:color="000000" w:sz="12" w:space="0"/>
            </w:tcBorders>
            <w:vAlign w:val="top"/>
          </w:tcPr>
          <w:p w14:paraId="47F0A10B">
            <w:pPr>
              <w:rPr>
                <w:rFonts w:ascii="Arial"/>
                <w:sz w:val="21"/>
              </w:rPr>
            </w:pPr>
          </w:p>
        </w:tc>
      </w:tr>
    </w:tbl>
    <w:p w14:paraId="1CA28757">
      <w:pPr>
        <w:pStyle w:val="2"/>
        <w:spacing w:before="102" w:line="316" w:lineRule="auto"/>
        <w:ind w:left="35" w:firstLine="422"/>
        <w:rPr>
          <w:sz w:val="21"/>
          <w:szCs w:val="21"/>
        </w:rPr>
      </w:pPr>
      <w:r>
        <w:rPr>
          <w:spacing w:val="-9"/>
          <w:sz w:val="21"/>
          <w:szCs w:val="21"/>
        </w:rPr>
        <w:t>注：①本名录根据“</w:t>
      </w:r>
      <w:r>
        <w:rPr>
          <w:spacing w:val="-77"/>
          <w:sz w:val="21"/>
          <w:szCs w:val="21"/>
        </w:rPr>
        <w:t xml:space="preserve"> </w:t>
      </w:r>
      <w:r>
        <w:rPr>
          <w:spacing w:val="-9"/>
          <w:sz w:val="21"/>
          <w:szCs w:val="21"/>
        </w:rPr>
        <w:t>中国两栖、爬行动物更新名录</w:t>
      </w:r>
      <w:r>
        <w:rPr>
          <w:spacing w:val="-76"/>
          <w:sz w:val="21"/>
          <w:szCs w:val="21"/>
        </w:rPr>
        <w:t xml:space="preserve"> </w:t>
      </w:r>
      <w:r>
        <w:rPr>
          <w:spacing w:val="-9"/>
          <w:sz w:val="21"/>
          <w:szCs w:val="21"/>
        </w:rPr>
        <w:t>”（王剀等，</w:t>
      </w:r>
      <w:r>
        <w:rPr>
          <w:rFonts w:ascii="Times New Roman" w:hAnsi="Times New Roman" w:eastAsia="Times New Roman" w:cs="Times New Roman"/>
          <w:spacing w:val="-9"/>
          <w:sz w:val="21"/>
          <w:szCs w:val="21"/>
        </w:rPr>
        <w:t>2020</w:t>
      </w:r>
      <w:r>
        <w:rPr>
          <w:spacing w:val="-9"/>
          <w:sz w:val="21"/>
          <w:szCs w:val="21"/>
        </w:rPr>
        <w:t>）进行编目；②</w:t>
      </w:r>
      <w:r>
        <w:rPr>
          <w:spacing w:val="-10"/>
          <w:sz w:val="21"/>
          <w:szCs w:val="21"/>
        </w:rPr>
        <w:t>序号：</w:t>
      </w:r>
      <w:r>
        <w:rPr>
          <w:sz w:val="21"/>
          <w:szCs w:val="21"/>
        </w:rPr>
        <w:t xml:space="preserve"> </w:t>
      </w:r>
      <w:r>
        <w:rPr>
          <w:rFonts w:ascii="Times New Roman" w:hAnsi="Times New Roman" w:eastAsia="Times New Roman" w:cs="Times New Roman"/>
          <w:spacing w:val="-5"/>
          <w:sz w:val="21"/>
          <w:szCs w:val="21"/>
        </w:rPr>
        <w:t>O1</w:t>
      </w:r>
      <w:r>
        <w:rPr>
          <w:rFonts w:ascii="Times New Roman" w:hAnsi="Times New Roman" w:eastAsia="Times New Roman" w:cs="Times New Roman"/>
          <w:spacing w:val="-29"/>
          <w:sz w:val="21"/>
          <w:szCs w:val="21"/>
        </w:rPr>
        <w:t xml:space="preserve"> </w:t>
      </w:r>
      <w:r>
        <w:rPr>
          <w:spacing w:val="-5"/>
          <w:sz w:val="21"/>
          <w:szCs w:val="21"/>
        </w:rPr>
        <w:t>、</w:t>
      </w:r>
      <w:r>
        <w:rPr>
          <w:rFonts w:ascii="Times New Roman" w:hAnsi="Times New Roman" w:eastAsia="Times New Roman" w:cs="Times New Roman"/>
          <w:spacing w:val="-5"/>
          <w:sz w:val="21"/>
          <w:szCs w:val="21"/>
        </w:rPr>
        <w:t>O2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5"/>
          <w:sz w:val="21"/>
          <w:szCs w:val="21"/>
        </w:rPr>
        <w:t xml:space="preserve"> </w:t>
      </w:r>
      <w:r>
        <w:rPr>
          <w:spacing w:val="-5"/>
          <w:sz w:val="21"/>
          <w:szCs w:val="21"/>
        </w:rPr>
        <w:t>：</w:t>
      </w:r>
      <w:r>
        <w:rPr>
          <w:spacing w:val="-59"/>
          <w:sz w:val="21"/>
          <w:szCs w:val="21"/>
        </w:rPr>
        <w:t xml:space="preserve"> </w:t>
      </w:r>
      <w:r>
        <w:rPr>
          <w:spacing w:val="-5"/>
          <w:sz w:val="21"/>
          <w:szCs w:val="21"/>
        </w:rPr>
        <w:t>目的编号；</w:t>
      </w:r>
      <w:r>
        <w:rPr>
          <w:rFonts w:ascii="Times New Roman" w:hAnsi="Times New Roman" w:eastAsia="Times New Roman" w:cs="Times New Roman"/>
          <w:spacing w:val="-5"/>
          <w:sz w:val="21"/>
          <w:szCs w:val="21"/>
        </w:rPr>
        <w:t>F1</w:t>
      </w:r>
      <w:r>
        <w:rPr>
          <w:rFonts w:ascii="Times New Roman" w:hAnsi="Times New Roman" w:eastAsia="Times New Roman" w:cs="Times New Roman"/>
          <w:spacing w:val="-29"/>
          <w:sz w:val="21"/>
          <w:szCs w:val="21"/>
        </w:rPr>
        <w:t xml:space="preserve"> </w:t>
      </w:r>
      <w:r>
        <w:rPr>
          <w:spacing w:val="-5"/>
          <w:sz w:val="21"/>
          <w:szCs w:val="21"/>
        </w:rPr>
        <w:t>、</w:t>
      </w:r>
      <w:r>
        <w:rPr>
          <w:rFonts w:ascii="Times New Roman" w:hAnsi="Times New Roman" w:eastAsia="Times New Roman" w:cs="Times New Roman"/>
          <w:spacing w:val="-5"/>
          <w:sz w:val="21"/>
          <w:szCs w:val="21"/>
        </w:rPr>
        <w:t>F2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5"/>
          <w:sz w:val="21"/>
          <w:szCs w:val="21"/>
        </w:rPr>
        <w:t xml:space="preserve"> </w:t>
      </w:r>
      <w:r>
        <w:rPr>
          <w:spacing w:val="-5"/>
          <w:sz w:val="21"/>
          <w:szCs w:val="21"/>
        </w:rPr>
        <w:t>：科的编号；</w:t>
      </w:r>
      <w:r>
        <w:rPr>
          <w:rFonts w:ascii="Times New Roman" w:hAnsi="Times New Roman" w:eastAsia="Times New Roman" w:cs="Times New Roman"/>
          <w:spacing w:val="-5"/>
          <w:sz w:val="21"/>
          <w:szCs w:val="21"/>
        </w:rPr>
        <w:t>1</w:t>
      </w:r>
      <w:r>
        <w:rPr>
          <w:rFonts w:ascii="Times New Roman" w:hAnsi="Times New Roman" w:eastAsia="Times New Roman" w:cs="Times New Roman"/>
          <w:spacing w:val="-29"/>
          <w:sz w:val="21"/>
          <w:szCs w:val="21"/>
        </w:rPr>
        <w:t xml:space="preserve"> </w:t>
      </w:r>
      <w:r>
        <w:rPr>
          <w:spacing w:val="-5"/>
          <w:sz w:val="21"/>
          <w:szCs w:val="21"/>
        </w:rPr>
        <w:t>、</w:t>
      </w:r>
      <w:r>
        <w:rPr>
          <w:rFonts w:ascii="Times New Roman" w:hAnsi="Times New Roman" w:eastAsia="Times New Roman" w:cs="Times New Roman"/>
          <w:spacing w:val="-5"/>
          <w:sz w:val="21"/>
          <w:szCs w:val="21"/>
        </w:rPr>
        <w:t>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4"/>
          <w:sz w:val="21"/>
          <w:szCs w:val="21"/>
        </w:rPr>
        <w:t xml:space="preserve"> </w:t>
      </w:r>
      <w:r>
        <w:rPr>
          <w:spacing w:val="-5"/>
          <w:sz w:val="21"/>
          <w:szCs w:val="21"/>
        </w:rPr>
        <w:t>：种的编号；③区系从属：</w:t>
      </w:r>
      <w:r>
        <w:rPr>
          <w:rFonts w:ascii="Times New Roman" w:hAnsi="Times New Roman" w:eastAsia="Times New Roman" w:cs="Times New Roman"/>
          <w:spacing w:val="-6"/>
          <w:sz w:val="21"/>
          <w:szCs w:val="21"/>
        </w:rPr>
        <w:t>SC-SW</w:t>
      </w:r>
      <w:r>
        <w:rPr>
          <w:spacing w:val="-6"/>
          <w:sz w:val="21"/>
          <w:szCs w:val="21"/>
        </w:rPr>
        <w:t>：东</w:t>
      </w:r>
      <w:r>
        <w:rPr>
          <w:spacing w:val="-2"/>
          <w:sz w:val="21"/>
          <w:szCs w:val="21"/>
        </w:rPr>
        <w:t>洋界华南</w:t>
      </w:r>
      <w:r>
        <w:rPr>
          <w:rFonts w:ascii="Times New Roman" w:hAnsi="Times New Roman" w:eastAsia="Times New Roman" w:cs="Times New Roman"/>
          <w:spacing w:val="-2"/>
          <w:sz w:val="21"/>
          <w:szCs w:val="21"/>
        </w:rPr>
        <w:t>-</w:t>
      </w:r>
      <w:r>
        <w:rPr>
          <w:spacing w:val="-2"/>
          <w:sz w:val="21"/>
          <w:szCs w:val="21"/>
        </w:rPr>
        <w:t>西南区物种；</w:t>
      </w:r>
      <w:r>
        <w:rPr>
          <w:rFonts w:ascii="Times New Roman" w:hAnsi="Times New Roman" w:eastAsia="Times New Roman" w:cs="Times New Roman"/>
          <w:spacing w:val="-2"/>
          <w:sz w:val="21"/>
          <w:szCs w:val="21"/>
        </w:rPr>
        <w:t>SC-SW-CC</w:t>
      </w:r>
      <w:r>
        <w:rPr>
          <w:spacing w:val="-2"/>
          <w:sz w:val="21"/>
          <w:szCs w:val="21"/>
        </w:rPr>
        <w:t>：东洋界华南</w:t>
      </w:r>
      <w:r>
        <w:rPr>
          <w:rFonts w:ascii="Times New Roman" w:hAnsi="Times New Roman" w:eastAsia="Times New Roman" w:cs="Times New Roman"/>
          <w:spacing w:val="-2"/>
          <w:sz w:val="21"/>
          <w:szCs w:val="21"/>
        </w:rPr>
        <w:t>-</w:t>
      </w:r>
      <w:r>
        <w:rPr>
          <w:spacing w:val="-2"/>
          <w:sz w:val="21"/>
          <w:szCs w:val="21"/>
        </w:rPr>
        <w:t>西南</w:t>
      </w:r>
      <w:r>
        <w:rPr>
          <w:rFonts w:ascii="Times New Roman" w:hAnsi="Times New Roman" w:eastAsia="Times New Roman" w:cs="Times New Roman"/>
          <w:spacing w:val="-2"/>
          <w:sz w:val="21"/>
          <w:szCs w:val="21"/>
        </w:rPr>
        <w:t>-</w:t>
      </w:r>
      <w:r>
        <w:rPr>
          <w:spacing w:val="-2"/>
          <w:sz w:val="21"/>
          <w:szCs w:val="21"/>
        </w:rPr>
        <w:t xml:space="preserve">华中区物种（东洋界 </w:t>
      </w:r>
      <w:r>
        <w:rPr>
          <w:rFonts w:ascii="Times New Roman" w:hAnsi="Times New Roman" w:eastAsia="Times New Roman" w:cs="Times New Roman"/>
          <w:spacing w:val="-2"/>
          <w:sz w:val="21"/>
          <w:szCs w:val="21"/>
        </w:rPr>
        <w:t>3</w:t>
      </w:r>
      <w:r>
        <w:rPr>
          <w:rFonts w:ascii="Times New Roman" w:hAnsi="Times New Roman" w:eastAsia="Times New Roman" w:cs="Times New Roman"/>
          <w:spacing w:val="46"/>
          <w:sz w:val="21"/>
          <w:szCs w:val="21"/>
        </w:rPr>
        <w:t xml:space="preserve"> </w:t>
      </w:r>
      <w:r>
        <w:rPr>
          <w:spacing w:val="-2"/>
          <w:sz w:val="21"/>
          <w:szCs w:val="21"/>
        </w:rPr>
        <w:t>个区都有分布，</w:t>
      </w:r>
      <w:r>
        <w:rPr>
          <w:spacing w:val="-4"/>
          <w:sz w:val="21"/>
          <w:szCs w:val="21"/>
        </w:rPr>
        <w:t>但尚达不到东洋广布</w:t>
      </w:r>
      <w:r>
        <w:rPr>
          <w:spacing w:val="-13"/>
          <w:sz w:val="21"/>
          <w:szCs w:val="21"/>
        </w:rPr>
        <w:t>）；</w:t>
      </w:r>
      <w:r>
        <w:rPr>
          <w:rFonts w:ascii="Times New Roman" w:hAnsi="Times New Roman" w:eastAsia="Times New Roman" w:cs="Times New Roman"/>
          <w:spacing w:val="-4"/>
          <w:sz w:val="21"/>
          <w:szCs w:val="21"/>
        </w:rPr>
        <w:t>OD</w:t>
      </w:r>
      <w:r>
        <w:rPr>
          <w:spacing w:val="-4"/>
          <w:sz w:val="21"/>
          <w:szCs w:val="21"/>
        </w:rPr>
        <w:t>：东洋届广布种。加</w:t>
      </w:r>
      <w:r>
        <w:rPr>
          <w:spacing w:val="-5"/>
          <w:sz w:val="21"/>
          <w:szCs w:val="21"/>
        </w:rPr>
        <w:t>粗表示物种的主要分布区所属区系；④保护情</w:t>
      </w:r>
      <w:r>
        <w:rPr>
          <w:sz w:val="21"/>
          <w:szCs w:val="21"/>
        </w:rPr>
        <w:t>况：</w:t>
      </w:r>
      <w:r>
        <w:rPr>
          <w:rFonts w:ascii="Times New Roman" w:hAnsi="Times New Roman" w:eastAsia="Times New Roman" w:cs="Times New Roman"/>
          <w:sz w:val="21"/>
          <w:szCs w:val="21"/>
        </w:rPr>
        <w:t>Ⅰ</w:t>
      </w:r>
      <w:r>
        <w:rPr>
          <w:sz w:val="21"/>
          <w:szCs w:val="21"/>
        </w:rPr>
        <w:t>级：国家</w:t>
      </w:r>
      <w:r>
        <w:rPr>
          <w:rFonts w:ascii="Times New Roman" w:hAnsi="Times New Roman" w:eastAsia="Times New Roman" w:cs="Times New Roman"/>
          <w:sz w:val="21"/>
          <w:szCs w:val="21"/>
        </w:rPr>
        <w:t>Ⅰ</w:t>
      </w:r>
      <w:r>
        <w:rPr>
          <w:sz w:val="21"/>
          <w:szCs w:val="21"/>
        </w:rPr>
        <w:t>级重点保护野生动物；</w:t>
      </w:r>
      <w:r>
        <w:rPr>
          <w:rFonts w:ascii="Times New Roman" w:hAnsi="Times New Roman" w:eastAsia="Times New Roman" w:cs="Times New Roman"/>
          <w:sz w:val="21"/>
          <w:szCs w:val="21"/>
        </w:rPr>
        <w:t>Ⅱ</w:t>
      </w:r>
      <w:r>
        <w:rPr>
          <w:sz w:val="21"/>
          <w:szCs w:val="21"/>
        </w:rPr>
        <w:t>级：国家</w:t>
      </w:r>
      <w:r>
        <w:rPr>
          <w:rFonts w:ascii="Times New Roman" w:hAnsi="Times New Roman" w:eastAsia="Times New Roman" w:cs="Times New Roman"/>
          <w:sz w:val="21"/>
          <w:szCs w:val="21"/>
        </w:rPr>
        <w:t>Ⅱ</w:t>
      </w:r>
      <w:r>
        <w:rPr>
          <w:sz w:val="21"/>
          <w:szCs w:val="21"/>
        </w:rPr>
        <w:t>级重点保护野生动物；</w:t>
      </w:r>
      <w:r>
        <w:rPr>
          <w:rFonts w:ascii="Times New Roman" w:hAnsi="Times New Roman" w:eastAsia="Times New Roman" w:cs="Times New Roman"/>
          <w:sz w:val="21"/>
          <w:szCs w:val="21"/>
        </w:rPr>
        <w:t>YN</w:t>
      </w:r>
      <w:r>
        <w:rPr>
          <w:sz w:val="21"/>
          <w:szCs w:val="21"/>
        </w:rPr>
        <w:t>：云南省省级保</w:t>
      </w:r>
      <w:r>
        <w:rPr>
          <w:spacing w:val="-5"/>
          <w:sz w:val="21"/>
          <w:szCs w:val="21"/>
        </w:rPr>
        <w:t>护野生动物。</w:t>
      </w:r>
      <w:r>
        <w:rPr>
          <w:rFonts w:ascii="Times New Roman" w:hAnsi="Times New Roman" w:eastAsia="Times New Roman" w:cs="Times New Roman"/>
          <w:spacing w:val="-5"/>
          <w:sz w:val="21"/>
          <w:szCs w:val="21"/>
        </w:rPr>
        <w:t>Ⅰ</w:t>
      </w:r>
      <w:r>
        <w:rPr>
          <w:rFonts w:ascii="Times New Roman" w:hAnsi="Times New Roman" w:eastAsia="Times New Roman" w:cs="Times New Roman"/>
          <w:spacing w:val="-19"/>
          <w:sz w:val="21"/>
          <w:szCs w:val="21"/>
        </w:rPr>
        <w:t xml:space="preserve"> </w:t>
      </w:r>
      <w:r>
        <w:rPr>
          <w:spacing w:val="-5"/>
          <w:sz w:val="21"/>
          <w:szCs w:val="21"/>
        </w:rPr>
        <w:t>：</w:t>
      </w:r>
      <w:r>
        <w:rPr>
          <w:rFonts w:ascii="Times New Roman" w:hAnsi="Times New Roman" w:eastAsia="Times New Roman" w:cs="Times New Roman"/>
          <w:spacing w:val="-5"/>
          <w:sz w:val="21"/>
          <w:szCs w:val="21"/>
        </w:rPr>
        <w:t>CITES</w:t>
      </w:r>
      <w:r>
        <w:rPr>
          <w:rFonts w:ascii="Times New Roman" w:hAnsi="Times New Roman" w:eastAsia="Times New Roman" w:cs="Times New Roman"/>
          <w:spacing w:val="34"/>
          <w:sz w:val="21"/>
          <w:szCs w:val="21"/>
        </w:rPr>
        <w:t xml:space="preserve"> </w:t>
      </w:r>
      <w:r>
        <w:rPr>
          <w:spacing w:val="-5"/>
          <w:sz w:val="21"/>
          <w:szCs w:val="21"/>
        </w:rPr>
        <w:t>公约（</w:t>
      </w:r>
      <w:r>
        <w:rPr>
          <w:rFonts w:ascii="Times New Roman" w:hAnsi="Times New Roman" w:eastAsia="Times New Roman" w:cs="Times New Roman"/>
          <w:spacing w:val="-5"/>
          <w:sz w:val="21"/>
          <w:szCs w:val="21"/>
        </w:rPr>
        <w:t>2019</w:t>
      </w:r>
      <w:r>
        <w:rPr>
          <w:rFonts w:ascii="Times New Roman" w:hAnsi="Times New Roman" w:eastAsia="Times New Roman" w:cs="Times New Roman"/>
          <w:spacing w:val="29"/>
          <w:sz w:val="21"/>
          <w:szCs w:val="21"/>
        </w:rPr>
        <w:t xml:space="preserve"> </w:t>
      </w:r>
      <w:r>
        <w:rPr>
          <w:spacing w:val="-5"/>
          <w:sz w:val="21"/>
          <w:szCs w:val="21"/>
        </w:rPr>
        <w:t>年）附录</w:t>
      </w:r>
      <w:r>
        <w:rPr>
          <w:rFonts w:ascii="Times New Roman" w:hAnsi="Times New Roman" w:eastAsia="Times New Roman" w:cs="Times New Roman"/>
          <w:spacing w:val="-5"/>
          <w:sz w:val="21"/>
          <w:szCs w:val="21"/>
        </w:rPr>
        <w:t>Ⅰ</w:t>
      </w:r>
      <w:r>
        <w:rPr>
          <w:spacing w:val="-5"/>
          <w:sz w:val="21"/>
          <w:szCs w:val="21"/>
        </w:rPr>
        <w:t>;</w:t>
      </w:r>
      <w:r>
        <w:rPr>
          <w:spacing w:val="54"/>
          <w:sz w:val="21"/>
          <w:szCs w:val="21"/>
        </w:rPr>
        <w:t xml:space="preserve"> </w:t>
      </w:r>
      <w:r>
        <w:rPr>
          <w:rFonts w:ascii="Times New Roman" w:hAnsi="Times New Roman" w:eastAsia="Times New Roman" w:cs="Times New Roman"/>
          <w:spacing w:val="-5"/>
          <w:sz w:val="21"/>
          <w:szCs w:val="21"/>
        </w:rPr>
        <w:t>Ⅱ</w:t>
      </w:r>
      <w:r>
        <w:rPr>
          <w:rFonts w:ascii="Times New Roman" w:hAnsi="Times New Roman" w:eastAsia="Times New Roman" w:cs="Times New Roman"/>
          <w:spacing w:val="-26"/>
          <w:sz w:val="21"/>
          <w:szCs w:val="21"/>
        </w:rPr>
        <w:t xml:space="preserve"> </w:t>
      </w:r>
      <w:r>
        <w:rPr>
          <w:spacing w:val="-5"/>
          <w:sz w:val="21"/>
          <w:szCs w:val="21"/>
        </w:rPr>
        <w:t>：</w:t>
      </w:r>
      <w:r>
        <w:rPr>
          <w:rFonts w:ascii="Times New Roman" w:hAnsi="Times New Roman" w:eastAsia="Times New Roman" w:cs="Times New Roman"/>
          <w:spacing w:val="-5"/>
          <w:sz w:val="21"/>
          <w:szCs w:val="21"/>
        </w:rPr>
        <w:t>CITES</w:t>
      </w:r>
      <w:r>
        <w:rPr>
          <w:rFonts w:ascii="Times New Roman" w:hAnsi="Times New Roman" w:eastAsia="Times New Roman" w:cs="Times New Roman"/>
          <w:spacing w:val="43"/>
          <w:w w:val="101"/>
          <w:sz w:val="21"/>
          <w:szCs w:val="21"/>
        </w:rPr>
        <w:t xml:space="preserve"> </w:t>
      </w:r>
      <w:r>
        <w:rPr>
          <w:spacing w:val="-5"/>
          <w:sz w:val="21"/>
          <w:szCs w:val="21"/>
        </w:rPr>
        <w:t>附录</w:t>
      </w:r>
      <w:r>
        <w:rPr>
          <w:rFonts w:ascii="Times New Roman" w:hAnsi="Times New Roman" w:eastAsia="Times New Roman" w:cs="Times New Roman"/>
          <w:spacing w:val="-5"/>
          <w:sz w:val="21"/>
          <w:szCs w:val="21"/>
        </w:rPr>
        <w:t>Ⅱ</w:t>
      </w:r>
      <w:r>
        <w:rPr>
          <w:rFonts w:ascii="Times New Roman" w:hAnsi="Times New Roman" w:eastAsia="Times New Roman" w:cs="Times New Roman"/>
          <w:spacing w:val="-24"/>
          <w:sz w:val="21"/>
          <w:szCs w:val="21"/>
        </w:rPr>
        <w:t xml:space="preserve"> </w:t>
      </w:r>
      <w:r>
        <w:rPr>
          <w:spacing w:val="-5"/>
          <w:sz w:val="21"/>
          <w:szCs w:val="21"/>
        </w:rPr>
        <w:t>。</w:t>
      </w:r>
      <w:r>
        <w:rPr>
          <w:rFonts w:ascii="Times New Roman" w:hAnsi="Times New Roman" w:eastAsia="Times New Roman" w:cs="Times New Roman"/>
          <w:spacing w:val="-5"/>
          <w:sz w:val="21"/>
          <w:szCs w:val="21"/>
        </w:rPr>
        <w:t>CR</w:t>
      </w:r>
      <w:r>
        <w:rPr>
          <w:spacing w:val="-5"/>
          <w:sz w:val="21"/>
          <w:szCs w:val="21"/>
        </w:rPr>
        <w:t>：</w:t>
      </w:r>
      <w:r>
        <w:rPr>
          <w:rFonts w:ascii="Times New Roman" w:hAnsi="Times New Roman" w:eastAsia="Times New Roman" w:cs="Times New Roman"/>
          <w:spacing w:val="-5"/>
          <w:sz w:val="21"/>
          <w:szCs w:val="21"/>
        </w:rPr>
        <w:t>IUCN</w:t>
      </w:r>
      <w:r>
        <w:rPr>
          <w:rFonts w:ascii="Times New Roman" w:hAnsi="Times New Roman" w:eastAsia="Times New Roman" w:cs="Times New Roman"/>
          <w:spacing w:val="30"/>
          <w:w w:val="101"/>
          <w:sz w:val="21"/>
          <w:szCs w:val="21"/>
        </w:rPr>
        <w:t xml:space="preserve"> </w:t>
      </w:r>
      <w:r>
        <w:rPr>
          <w:spacing w:val="-5"/>
          <w:sz w:val="21"/>
          <w:szCs w:val="21"/>
        </w:rPr>
        <w:t>极危种；</w:t>
      </w:r>
      <w:r>
        <w:rPr>
          <w:rFonts w:ascii="Times New Roman" w:hAnsi="Times New Roman" w:eastAsia="Times New Roman" w:cs="Times New Roman"/>
          <w:spacing w:val="-5"/>
          <w:sz w:val="21"/>
          <w:szCs w:val="21"/>
        </w:rPr>
        <w:t>EN</w:t>
      </w:r>
      <w:r>
        <w:rPr>
          <w:spacing w:val="-5"/>
          <w:sz w:val="21"/>
          <w:szCs w:val="21"/>
        </w:rPr>
        <w:t>：</w:t>
      </w:r>
      <w:r>
        <w:rPr>
          <w:sz w:val="21"/>
          <w:szCs w:val="21"/>
        </w:rPr>
        <w:t xml:space="preserve"> </w:t>
      </w:r>
      <w:r>
        <w:rPr>
          <w:rFonts w:ascii="Times New Roman" w:hAnsi="Times New Roman" w:eastAsia="Times New Roman" w:cs="Times New Roman"/>
          <w:spacing w:val="-3"/>
          <w:sz w:val="21"/>
          <w:szCs w:val="21"/>
        </w:rPr>
        <w:t>IUCN</w:t>
      </w:r>
      <w:r>
        <w:rPr>
          <w:rFonts w:ascii="Times New Roman" w:hAnsi="Times New Roman" w:eastAsia="Times New Roman" w:cs="Times New Roman"/>
          <w:spacing w:val="28"/>
          <w:sz w:val="21"/>
          <w:szCs w:val="21"/>
        </w:rPr>
        <w:t xml:space="preserve"> </w:t>
      </w:r>
      <w:r>
        <w:rPr>
          <w:spacing w:val="-3"/>
          <w:sz w:val="21"/>
          <w:szCs w:val="21"/>
        </w:rPr>
        <w:t xml:space="preserve">濒危种； </w:t>
      </w:r>
      <w:r>
        <w:rPr>
          <w:rFonts w:ascii="Times New Roman" w:hAnsi="Times New Roman" w:eastAsia="Times New Roman" w:cs="Times New Roman"/>
          <w:spacing w:val="-3"/>
          <w:sz w:val="21"/>
          <w:szCs w:val="21"/>
        </w:rPr>
        <w:t>VU</w:t>
      </w:r>
      <w:r>
        <w:rPr>
          <w:spacing w:val="-3"/>
          <w:sz w:val="21"/>
          <w:szCs w:val="21"/>
        </w:rPr>
        <w:t>：</w:t>
      </w:r>
      <w:r>
        <w:rPr>
          <w:rFonts w:ascii="Times New Roman" w:hAnsi="Times New Roman" w:eastAsia="Times New Roman" w:cs="Times New Roman"/>
          <w:spacing w:val="-3"/>
          <w:sz w:val="21"/>
          <w:szCs w:val="21"/>
        </w:rPr>
        <w:t>IUCN</w:t>
      </w:r>
      <w:r>
        <w:rPr>
          <w:rFonts w:ascii="Times New Roman" w:hAnsi="Times New Roman" w:eastAsia="Times New Roman" w:cs="Times New Roman"/>
          <w:spacing w:val="42"/>
          <w:w w:val="101"/>
          <w:sz w:val="21"/>
          <w:szCs w:val="21"/>
        </w:rPr>
        <w:t xml:space="preserve"> </w:t>
      </w:r>
      <w:r>
        <w:rPr>
          <w:spacing w:val="-3"/>
          <w:sz w:val="21"/>
          <w:szCs w:val="21"/>
        </w:rPr>
        <w:t>易危种。</w:t>
      </w:r>
      <w:r>
        <w:rPr>
          <w:rFonts w:ascii="Times New Roman" w:hAnsi="Times New Roman" w:eastAsia="Times New Roman" w:cs="Times New Roman"/>
          <w:spacing w:val="-3"/>
          <w:sz w:val="21"/>
          <w:szCs w:val="21"/>
        </w:rPr>
        <w:t>CR</w:t>
      </w:r>
      <w:r>
        <w:rPr>
          <w:spacing w:val="-3"/>
          <w:sz w:val="21"/>
          <w:szCs w:val="21"/>
        </w:rPr>
        <w:t>：</w:t>
      </w:r>
      <w:r>
        <w:rPr>
          <w:rFonts w:ascii="Times New Roman" w:hAnsi="Times New Roman" w:eastAsia="Times New Roman" w:cs="Times New Roman"/>
          <w:spacing w:val="-3"/>
          <w:sz w:val="21"/>
          <w:szCs w:val="21"/>
        </w:rPr>
        <w:t>IUCN</w:t>
      </w:r>
      <w:r>
        <w:rPr>
          <w:rFonts w:ascii="Times New Roman" w:hAnsi="Times New Roman" w:eastAsia="Times New Roman" w:cs="Times New Roman"/>
          <w:spacing w:val="31"/>
          <w:w w:val="101"/>
          <w:sz w:val="21"/>
          <w:szCs w:val="21"/>
        </w:rPr>
        <w:t xml:space="preserve"> </w:t>
      </w:r>
      <w:r>
        <w:rPr>
          <w:spacing w:val="-3"/>
          <w:sz w:val="21"/>
          <w:szCs w:val="21"/>
        </w:rPr>
        <w:t>极危种。</w:t>
      </w:r>
      <w:r>
        <w:rPr>
          <w:rFonts w:ascii="Times New Roman" w:hAnsi="Times New Roman" w:eastAsia="Times New Roman" w:cs="Times New Roman"/>
          <w:spacing w:val="-3"/>
          <w:sz w:val="21"/>
          <w:szCs w:val="21"/>
        </w:rPr>
        <w:t>CR-</w:t>
      </w:r>
      <w:r>
        <w:rPr>
          <w:rFonts w:ascii="Times New Roman" w:hAnsi="Times New Roman" w:eastAsia="Times New Roman" w:cs="Times New Roman"/>
          <w:spacing w:val="-4"/>
          <w:sz w:val="21"/>
          <w:szCs w:val="21"/>
        </w:rPr>
        <w:t>C</w:t>
      </w:r>
      <w:r>
        <w:rPr>
          <w:spacing w:val="-4"/>
          <w:sz w:val="21"/>
          <w:szCs w:val="21"/>
        </w:rPr>
        <w:t>：《中国脊椎动物红色名录》</w:t>
      </w:r>
      <w:r>
        <w:rPr>
          <w:sz w:val="21"/>
          <w:szCs w:val="21"/>
        </w:rPr>
        <w:t xml:space="preserve"> </w:t>
      </w:r>
      <w:r>
        <w:rPr>
          <w:spacing w:val="-8"/>
          <w:sz w:val="21"/>
          <w:szCs w:val="21"/>
        </w:rPr>
        <w:t>（</w:t>
      </w:r>
      <w:r>
        <w:rPr>
          <w:rFonts w:ascii="Times New Roman" w:hAnsi="Times New Roman" w:eastAsia="Times New Roman" w:cs="Times New Roman"/>
          <w:spacing w:val="-8"/>
          <w:sz w:val="21"/>
          <w:szCs w:val="21"/>
        </w:rPr>
        <w:t>2016</w:t>
      </w:r>
      <w:r>
        <w:rPr>
          <w:rFonts w:ascii="Times New Roman" w:hAnsi="Times New Roman" w:eastAsia="Times New Roman" w:cs="Times New Roman"/>
          <w:spacing w:val="11"/>
          <w:sz w:val="21"/>
          <w:szCs w:val="21"/>
        </w:rPr>
        <w:t xml:space="preserve"> </w:t>
      </w:r>
      <w:r>
        <w:rPr>
          <w:spacing w:val="-8"/>
          <w:sz w:val="21"/>
          <w:szCs w:val="21"/>
        </w:rPr>
        <w:t>年）极危种；</w:t>
      </w:r>
      <w:r>
        <w:rPr>
          <w:rFonts w:ascii="Times New Roman" w:hAnsi="Times New Roman" w:eastAsia="Times New Roman" w:cs="Times New Roman"/>
          <w:spacing w:val="-8"/>
          <w:sz w:val="21"/>
          <w:szCs w:val="21"/>
        </w:rPr>
        <w:t>EN-C</w:t>
      </w:r>
      <w:r>
        <w:rPr>
          <w:spacing w:val="-8"/>
          <w:sz w:val="21"/>
          <w:szCs w:val="21"/>
        </w:rPr>
        <w:t>：《中国脊椎动物红色名录》（</w:t>
      </w:r>
      <w:r>
        <w:rPr>
          <w:rFonts w:ascii="Times New Roman" w:hAnsi="Times New Roman" w:eastAsia="Times New Roman" w:cs="Times New Roman"/>
          <w:spacing w:val="-8"/>
          <w:sz w:val="21"/>
          <w:szCs w:val="21"/>
        </w:rPr>
        <w:t xml:space="preserve">2016 </w:t>
      </w:r>
      <w:r>
        <w:rPr>
          <w:spacing w:val="-8"/>
          <w:sz w:val="21"/>
          <w:szCs w:val="21"/>
        </w:rPr>
        <w:t>年）濒危种；</w:t>
      </w:r>
      <w:r>
        <w:rPr>
          <w:rFonts w:ascii="Times New Roman" w:hAnsi="Times New Roman" w:eastAsia="Times New Roman" w:cs="Times New Roman"/>
          <w:spacing w:val="-8"/>
          <w:sz w:val="21"/>
          <w:szCs w:val="21"/>
        </w:rPr>
        <w:t>VU-C</w:t>
      </w:r>
      <w:r>
        <w:rPr>
          <w:spacing w:val="-8"/>
          <w:sz w:val="21"/>
          <w:szCs w:val="21"/>
        </w:rPr>
        <w:t>：《中国脊椎</w:t>
      </w:r>
      <w:r>
        <w:rPr>
          <w:spacing w:val="-4"/>
          <w:sz w:val="21"/>
          <w:szCs w:val="21"/>
        </w:rPr>
        <w:t>动物红色名录》（</w:t>
      </w:r>
      <w:r>
        <w:rPr>
          <w:rFonts w:ascii="Times New Roman" w:hAnsi="Times New Roman" w:eastAsia="Times New Roman" w:cs="Times New Roman"/>
          <w:spacing w:val="-4"/>
          <w:sz w:val="21"/>
          <w:szCs w:val="21"/>
        </w:rPr>
        <w:t>2016</w:t>
      </w:r>
      <w:r>
        <w:rPr>
          <w:rFonts w:ascii="Times New Roman" w:hAnsi="Times New Roman" w:eastAsia="Times New Roman" w:cs="Times New Roman"/>
          <w:spacing w:val="25"/>
          <w:sz w:val="21"/>
          <w:szCs w:val="21"/>
        </w:rPr>
        <w:t xml:space="preserve"> </w:t>
      </w:r>
      <w:r>
        <w:rPr>
          <w:spacing w:val="-4"/>
          <w:sz w:val="21"/>
          <w:szCs w:val="21"/>
        </w:rPr>
        <w:t>年）易危种。特有：中国特有种</w:t>
      </w:r>
      <w:r>
        <w:rPr>
          <w:spacing w:val="-63"/>
          <w:sz w:val="21"/>
          <w:szCs w:val="21"/>
        </w:rPr>
        <w:t xml:space="preserve"> </w:t>
      </w:r>
      <w:r>
        <w:rPr>
          <w:spacing w:val="-4"/>
          <w:sz w:val="21"/>
          <w:szCs w:val="21"/>
        </w:rPr>
        <w:t>；⑤资源现状：</w:t>
      </w:r>
      <w:r>
        <w:rPr>
          <w:rFonts w:ascii="Times New Roman" w:hAnsi="Times New Roman" w:eastAsia="Times New Roman" w:cs="Times New Roman"/>
          <w:spacing w:val="-4"/>
          <w:sz w:val="21"/>
          <w:szCs w:val="21"/>
        </w:rPr>
        <w:t>+</w:t>
      </w:r>
      <w:r>
        <w:rPr>
          <w:spacing w:val="-4"/>
          <w:sz w:val="21"/>
          <w:szCs w:val="21"/>
        </w:rPr>
        <w:t>：罕见种；</w:t>
      </w:r>
      <w:r>
        <w:rPr>
          <w:rFonts w:ascii="Times New Roman" w:hAnsi="Times New Roman" w:eastAsia="Times New Roman" w:cs="Times New Roman"/>
          <w:spacing w:val="-4"/>
          <w:sz w:val="21"/>
          <w:szCs w:val="21"/>
        </w:rPr>
        <w:t>++</w:t>
      </w:r>
      <w:r>
        <w:rPr>
          <w:spacing w:val="-4"/>
          <w:sz w:val="21"/>
          <w:szCs w:val="21"/>
        </w:rPr>
        <w:t>：稀有</w:t>
      </w:r>
      <w:r>
        <w:rPr>
          <w:spacing w:val="-8"/>
          <w:sz w:val="21"/>
          <w:szCs w:val="21"/>
        </w:rPr>
        <w:t>种；</w:t>
      </w:r>
      <w:r>
        <w:rPr>
          <w:rFonts w:ascii="Times New Roman" w:hAnsi="Times New Roman" w:eastAsia="Times New Roman" w:cs="Times New Roman"/>
          <w:spacing w:val="-8"/>
          <w:sz w:val="21"/>
          <w:szCs w:val="21"/>
        </w:rPr>
        <w:t>+++</w:t>
      </w:r>
      <w:r>
        <w:rPr>
          <w:spacing w:val="-8"/>
          <w:sz w:val="21"/>
          <w:szCs w:val="21"/>
        </w:rPr>
        <w:t>：常见种；</w:t>
      </w:r>
      <w:r>
        <w:rPr>
          <w:rFonts w:ascii="Times New Roman" w:hAnsi="Times New Roman" w:eastAsia="Times New Roman" w:cs="Times New Roman"/>
          <w:spacing w:val="-8"/>
          <w:sz w:val="21"/>
          <w:szCs w:val="21"/>
        </w:rPr>
        <w:t>++++</w:t>
      </w:r>
      <w:r>
        <w:rPr>
          <w:spacing w:val="-8"/>
          <w:sz w:val="21"/>
          <w:szCs w:val="21"/>
        </w:rPr>
        <w:t>：优势种；⑥数据来源：</w:t>
      </w:r>
      <w:r>
        <w:rPr>
          <w:rFonts w:ascii="Times New Roman" w:hAnsi="Times New Roman" w:eastAsia="Times New Roman" w:cs="Times New Roman"/>
          <w:spacing w:val="-8"/>
          <w:sz w:val="21"/>
          <w:szCs w:val="21"/>
        </w:rPr>
        <w:t>S</w:t>
      </w:r>
      <w:r>
        <w:rPr>
          <w:spacing w:val="-8"/>
          <w:sz w:val="21"/>
          <w:szCs w:val="21"/>
        </w:rPr>
        <w:t>：实地调查（含目击，可分辨鸣声等</w:t>
      </w:r>
      <w:r>
        <w:rPr>
          <w:spacing w:val="-10"/>
          <w:sz w:val="21"/>
          <w:szCs w:val="21"/>
        </w:rPr>
        <w:t>）；</w:t>
      </w:r>
      <w:r>
        <w:rPr>
          <w:rFonts w:ascii="Times New Roman" w:hAnsi="Times New Roman" w:eastAsia="Times New Roman" w:cs="Times New Roman"/>
          <w:spacing w:val="-8"/>
          <w:sz w:val="21"/>
          <w:szCs w:val="21"/>
        </w:rPr>
        <w:t>V</w:t>
      </w:r>
      <w:r>
        <w:rPr>
          <w:spacing w:val="-8"/>
          <w:sz w:val="21"/>
          <w:szCs w:val="21"/>
        </w:rPr>
        <w:t>：</w:t>
      </w:r>
      <w:r>
        <w:rPr>
          <w:spacing w:val="-2"/>
          <w:sz w:val="21"/>
          <w:szCs w:val="21"/>
        </w:rPr>
        <w:t>访问调查。</w:t>
      </w:r>
    </w:p>
    <w:p w14:paraId="06E83242">
      <w:pPr>
        <w:spacing w:line="316" w:lineRule="auto"/>
        <w:rPr>
          <w:sz w:val="21"/>
          <w:szCs w:val="21"/>
        </w:rPr>
        <w:sectPr>
          <w:headerReference r:id="rId292" w:type="default"/>
          <w:footerReference r:id="rId293" w:type="default"/>
          <w:pgSz w:w="11907" w:h="16839"/>
          <w:pgMar w:top="1376" w:right="1641" w:bottom="1061" w:left="1671" w:header="999" w:footer="861" w:gutter="0"/>
          <w:cols w:space="720" w:num="1"/>
        </w:sectPr>
      </w:pPr>
    </w:p>
    <w:p w14:paraId="48F84888">
      <w:pPr>
        <w:spacing w:line="454" w:lineRule="auto"/>
        <w:rPr>
          <w:rFonts w:ascii="Arial"/>
          <w:sz w:val="21"/>
        </w:rPr>
      </w:pPr>
    </w:p>
    <w:p w14:paraId="3E70C26D">
      <w:pPr>
        <w:pStyle w:val="2"/>
        <w:spacing w:before="78" w:line="226" w:lineRule="auto"/>
        <w:ind w:left="299"/>
        <w:rPr>
          <w:sz w:val="24"/>
          <w:szCs w:val="24"/>
        </w:rPr>
      </w:pPr>
      <w:r>
        <w:rPr>
          <w:b/>
          <w:bCs/>
          <w:spacing w:val="-1"/>
          <w:sz w:val="24"/>
          <w:szCs w:val="24"/>
        </w:rPr>
        <w:t>附表</w:t>
      </w:r>
      <w:r>
        <w:rPr>
          <w:spacing w:val="-52"/>
          <w:sz w:val="24"/>
          <w:szCs w:val="24"/>
        </w:rPr>
        <w:t xml:space="preserve"> </w:t>
      </w:r>
      <w:r>
        <w:rPr>
          <w:rFonts w:ascii="Times New Roman" w:hAnsi="Times New Roman" w:eastAsia="Times New Roman" w:cs="Times New Roman"/>
          <w:b/>
          <w:bCs/>
          <w:spacing w:val="-1"/>
          <w:sz w:val="24"/>
          <w:szCs w:val="24"/>
        </w:rPr>
        <w:t xml:space="preserve">4                       </w:t>
      </w:r>
      <w:r>
        <w:rPr>
          <w:rFonts w:ascii="Times New Roman" w:hAnsi="Times New Roman" w:eastAsia="Times New Roman" w:cs="Times New Roman"/>
          <w:b/>
          <w:bCs/>
          <w:spacing w:val="-2"/>
          <w:sz w:val="24"/>
          <w:szCs w:val="24"/>
        </w:rPr>
        <w:t xml:space="preserve"> </w:t>
      </w:r>
      <w:r>
        <w:rPr>
          <w:b/>
          <w:bCs/>
          <w:spacing w:val="-2"/>
          <w:sz w:val="24"/>
          <w:szCs w:val="24"/>
        </w:rPr>
        <w:t>车马碧水库工程施工期监测记录的鸟类名录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57"/>
        <w:gridCol w:w="2394"/>
        <w:gridCol w:w="685"/>
        <w:gridCol w:w="494"/>
        <w:gridCol w:w="875"/>
        <w:gridCol w:w="874"/>
        <w:gridCol w:w="875"/>
        <w:gridCol w:w="508"/>
      </w:tblGrid>
      <w:tr w14:paraId="57E62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511" w:type="dxa"/>
            <w:tcBorders>
              <w:top w:val="single" w:color="000000" w:sz="12" w:space="0"/>
              <w:left w:val="single" w:color="000000" w:sz="12" w:space="0"/>
            </w:tcBorders>
            <w:textDirection w:val="tbRlV"/>
            <w:vAlign w:val="top"/>
          </w:tcPr>
          <w:p w14:paraId="63CA25FC">
            <w:pPr>
              <w:spacing w:before="152" w:line="210" w:lineRule="auto"/>
              <w:ind w:left="59"/>
              <w:rPr>
                <w:rFonts w:ascii="宋体" w:hAnsi="宋体" w:eastAsia="宋体" w:cs="宋体"/>
                <w:sz w:val="21"/>
                <w:szCs w:val="21"/>
              </w:rPr>
            </w:pPr>
            <w:r>
              <w:rPr>
                <w:rFonts w:ascii="宋体" w:hAnsi="宋体" w:eastAsia="宋体" w:cs="宋体"/>
                <w:spacing w:val="31"/>
                <w:sz w:val="21"/>
                <w:szCs w:val="21"/>
              </w:rPr>
              <w:t>序号</w:t>
            </w:r>
          </w:p>
        </w:tc>
        <w:tc>
          <w:tcPr>
            <w:tcW w:w="1257" w:type="dxa"/>
            <w:tcBorders>
              <w:top w:val="single" w:color="000000" w:sz="12" w:space="0"/>
            </w:tcBorders>
            <w:vAlign w:val="top"/>
          </w:tcPr>
          <w:p w14:paraId="376AAB5A">
            <w:pPr>
              <w:spacing w:before="195" w:line="220" w:lineRule="auto"/>
              <w:ind w:left="323"/>
              <w:rPr>
                <w:rFonts w:ascii="宋体" w:hAnsi="宋体" w:eastAsia="宋体" w:cs="宋体"/>
                <w:sz w:val="21"/>
                <w:szCs w:val="21"/>
              </w:rPr>
            </w:pPr>
            <w:r>
              <w:rPr>
                <w:rFonts w:ascii="宋体" w:hAnsi="宋体" w:eastAsia="宋体" w:cs="宋体"/>
                <w:spacing w:val="-7"/>
                <w:sz w:val="21"/>
                <w:szCs w:val="21"/>
              </w:rPr>
              <w:t>中文名</w:t>
            </w:r>
          </w:p>
        </w:tc>
        <w:tc>
          <w:tcPr>
            <w:tcW w:w="2394" w:type="dxa"/>
            <w:tcBorders>
              <w:top w:val="single" w:color="000000" w:sz="12" w:space="0"/>
            </w:tcBorders>
            <w:vAlign w:val="top"/>
          </w:tcPr>
          <w:p w14:paraId="3E825C1E">
            <w:pPr>
              <w:spacing w:before="195" w:line="221" w:lineRule="auto"/>
              <w:ind w:left="881"/>
              <w:rPr>
                <w:rFonts w:ascii="宋体" w:hAnsi="宋体" w:eastAsia="宋体" w:cs="宋体"/>
                <w:sz w:val="21"/>
                <w:szCs w:val="21"/>
              </w:rPr>
            </w:pPr>
            <w:r>
              <w:rPr>
                <w:rFonts w:ascii="宋体" w:hAnsi="宋体" w:eastAsia="宋体" w:cs="宋体"/>
                <w:spacing w:val="-3"/>
                <w:sz w:val="21"/>
                <w:szCs w:val="21"/>
              </w:rPr>
              <w:t>拉丁名</w:t>
            </w:r>
          </w:p>
        </w:tc>
        <w:tc>
          <w:tcPr>
            <w:tcW w:w="685" w:type="dxa"/>
            <w:tcBorders>
              <w:top w:val="single" w:color="000000" w:sz="12" w:space="0"/>
            </w:tcBorders>
            <w:vAlign w:val="top"/>
          </w:tcPr>
          <w:p w14:paraId="2F4D5B8F">
            <w:pPr>
              <w:spacing w:before="60" w:line="236" w:lineRule="auto"/>
              <w:ind w:left="246" w:right="128" w:hanging="110"/>
              <w:rPr>
                <w:rFonts w:ascii="宋体" w:hAnsi="宋体" w:eastAsia="宋体" w:cs="宋体"/>
                <w:sz w:val="21"/>
                <w:szCs w:val="21"/>
              </w:rPr>
            </w:pPr>
            <w:r>
              <w:rPr>
                <w:rFonts w:ascii="宋体" w:hAnsi="宋体" w:eastAsia="宋体" w:cs="宋体"/>
                <w:spacing w:val="-5"/>
                <w:sz w:val="21"/>
                <w:szCs w:val="21"/>
              </w:rPr>
              <w:t>居留</w:t>
            </w:r>
            <w:r>
              <w:rPr>
                <w:rFonts w:ascii="宋体" w:hAnsi="宋体" w:eastAsia="宋体" w:cs="宋体"/>
                <w:sz w:val="21"/>
                <w:szCs w:val="21"/>
              </w:rPr>
              <w:t>型</w:t>
            </w:r>
          </w:p>
        </w:tc>
        <w:tc>
          <w:tcPr>
            <w:tcW w:w="494" w:type="dxa"/>
            <w:tcBorders>
              <w:top w:val="single" w:color="000000" w:sz="12" w:space="0"/>
            </w:tcBorders>
            <w:textDirection w:val="tbRlV"/>
            <w:vAlign w:val="top"/>
          </w:tcPr>
          <w:p w14:paraId="02272AB2">
            <w:pPr>
              <w:spacing w:before="135" w:line="206" w:lineRule="auto"/>
              <w:ind w:left="59"/>
              <w:rPr>
                <w:rFonts w:ascii="宋体" w:hAnsi="宋体" w:eastAsia="宋体" w:cs="宋体"/>
                <w:sz w:val="21"/>
                <w:szCs w:val="21"/>
              </w:rPr>
            </w:pPr>
            <w:r>
              <w:rPr>
                <w:rFonts w:ascii="宋体" w:hAnsi="宋体" w:eastAsia="宋体" w:cs="宋体"/>
                <w:spacing w:val="31"/>
                <w:sz w:val="21"/>
                <w:szCs w:val="21"/>
              </w:rPr>
              <w:t>区系</w:t>
            </w:r>
          </w:p>
        </w:tc>
        <w:tc>
          <w:tcPr>
            <w:tcW w:w="875" w:type="dxa"/>
            <w:tcBorders>
              <w:top w:val="single" w:color="000000" w:sz="12" w:space="0"/>
            </w:tcBorders>
            <w:vAlign w:val="top"/>
          </w:tcPr>
          <w:p w14:paraId="049BAEF2">
            <w:pPr>
              <w:spacing w:before="60" w:line="236" w:lineRule="auto"/>
              <w:ind w:left="341" w:right="112"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874" w:type="dxa"/>
            <w:tcBorders>
              <w:top w:val="single" w:color="000000" w:sz="12" w:space="0"/>
            </w:tcBorders>
            <w:vAlign w:val="top"/>
          </w:tcPr>
          <w:p w14:paraId="5B9CCEF6">
            <w:pPr>
              <w:spacing w:before="60" w:line="236" w:lineRule="auto"/>
              <w:ind w:left="343" w:right="108" w:hanging="200"/>
              <w:rPr>
                <w:rFonts w:ascii="宋体" w:hAnsi="宋体" w:eastAsia="宋体" w:cs="宋体"/>
                <w:sz w:val="21"/>
                <w:szCs w:val="21"/>
              </w:rPr>
            </w:pPr>
            <w:r>
              <w:rPr>
                <w:rFonts w:ascii="宋体" w:hAnsi="宋体" w:eastAsia="宋体" w:cs="宋体"/>
                <w:spacing w:val="-6"/>
                <w:sz w:val="21"/>
                <w:szCs w:val="21"/>
              </w:rPr>
              <w:t>资源现</w:t>
            </w:r>
            <w:r>
              <w:rPr>
                <w:rFonts w:ascii="宋体" w:hAnsi="宋体" w:eastAsia="宋体" w:cs="宋体"/>
                <w:sz w:val="21"/>
                <w:szCs w:val="21"/>
              </w:rPr>
              <w:t>状</w:t>
            </w:r>
          </w:p>
        </w:tc>
        <w:tc>
          <w:tcPr>
            <w:tcW w:w="875" w:type="dxa"/>
            <w:tcBorders>
              <w:top w:val="single" w:color="000000" w:sz="12" w:space="0"/>
            </w:tcBorders>
            <w:vAlign w:val="top"/>
          </w:tcPr>
          <w:p w14:paraId="1A25C17A">
            <w:pPr>
              <w:spacing w:before="60" w:line="236" w:lineRule="auto"/>
              <w:ind w:left="346" w:right="105" w:hanging="200"/>
              <w:rPr>
                <w:rFonts w:ascii="宋体" w:hAnsi="宋体" w:eastAsia="宋体" w:cs="宋体"/>
                <w:sz w:val="21"/>
                <w:szCs w:val="21"/>
              </w:rPr>
            </w:pPr>
            <w:r>
              <w:rPr>
                <w:rFonts w:ascii="宋体" w:hAnsi="宋体" w:eastAsia="宋体" w:cs="宋体"/>
                <w:spacing w:val="-6"/>
                <w:sz w:val="21"/>
                <w:szCs w:val="21"/>
              </w:rPr>
              <w:t>资料来</w:t>
            </w:r>
            <w:r>
              <w:rPr>
                <w:rFonts w:ascii="宋体" w:hAnsi="宋体" w:eastAsia="宋体" w:cs="宋体"/>
                <w:sz w:val="21"/>
                <w:szCs w:val="21"/>
              </w:rPr>
              <w:t>源</w:t>
            </w:r>
          </w:p>
        </w:tc>
        <w:tc>
          <w:tcPr>
            <w:tcW w:w="508" w:type="dxa"/>
            <w:tcBorders>
              <w:top w:val="single" w:color="000000" w:sz="12" w:space="0"/>
              <w:right w:val="single" w:color="000000" w:sz="12" w:space="0"/>
            </w:tcBorders>
            <w:textDirection w:val="tbRlV"/>
            <w:vAlign w:val="top"/>
          </w:tcPr>
          <w:p w14:paraId="2684097D">
            <w:pPr>
              <w:spacing w:before="127" w:line="209" w:lineRule="auto"/>
              <w:ind w:left="59"/>
              <w:rPr>
                <w:rFonts w:ascii="宋体" w:hAnsi="宋体" w:eastAsia="宋体" w:cs="宋体"/>
                <w:sz w:val="21"/>
                <w:szCs w:val="21"/>
              </w:rPr>
            </w:pPr>
            <w:r>
              <w:rPr>
                <w:rFonts w:ascii="宋体" w:hAnsi="宋体" w:eastAsia="宋体" w:cs="宋体"/>
                <w:spacing w:val="31"/>
                <w:sz w:val="21"/>
                <w:szCs w:val="21"/>
              </w:rPr>
              <w:t>备注</w:t>
            </w:r>
          </w:p>
        </w:tc>
      </w:tr>
      <w:tr w14:paraId="5C06E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4452442">
            <w:pPr>
              <w:pStyle w:val="6"/>
              <w:spacing w:before="103" w:line="186" w:lineRule="auto"/>
              <w:ind w:left="106"/>
            </w:pPr>
            <w:r>
              <w:rPr>
                <w:b/>
                <w:bCs/>
                <w:spacing w:val="-3"/>
              </w:rPr>
              <w:t>O1</w:t>
            </w:r>
          </w:p>
        </w:tc>
        <w:tc>
          <w:tcPr>
            <w:tcW w:w="1257" w:type="dxa"/>
            <w:vAlign w:val="top"/>
          </w:tcPr>
          <w:p w14:paraId="3634A47C">
            <w:pPr>
              <w:spacing w:before="64" w:line="221" w:lineRule="auto"/>
              <w:ind w:left="301"/>
              <w:rPr>
                <w:rFonts w:ascii="宋体" w:hAnsi="宋体" w:eastAsia="宋体" w:cs="宋体"/>
                <w:sz w:val="21"/>
                <w:szCs w:val="21"/>
              </w:rPr>
            </w:pPr>
            <w:r>
              <w:rPr>
                <w:rFonts w:ascii="宋体" w:hAnsi="宋体" w:eastAsia="宋体" w:cs="宋体"/>
                <w:b/>
                <w:bCs/>
                <w:spacing w:val="-4"/>
                <w:sz w:val="21"/>
                <w:szCs w:val="21"/>
              </w:rPr>
              <w:t>鸡形目</w:t>
            </w:r>
          </w:p>
        </w:tc>
        <w:tc>
          <w:tcPr>
            <w:tcW w:w="2394" w:type="dxa"/>
            <w:vAlign w:val="top"/>
          </w:tcPr>
          <w:p w14:paraId="102B02F0">
            <w:pPr>
              <w:pStyle w:val="6"/>
              <w:spacing w:before="102" w:line="187" w:lineRule="auto"/>
              <w:ind w:left="663"/>
            </w:pPr>
            <w:r>
              <w:rPr>
                <w:b/>
                <w:bCs/>
                <w:spacing w:val="-1"/>
              </w:rPr>
              <w:t>Galliformes</w:t>
            </w:r>
          </w:p>
        </w:tc>
        <w:tc>
          <w:tcPr>
            <w:tcW w:w="685" w:type="dxa"/>
            <w:vAlign w:val="top"/>
          </w:tcPr>
          <w:p w14:paraId="274CE8C0">
            <w:pPr>
              <w:rPr>
                <w:rFonts w:ascii="Arial"/>
                <w:sz w:val="21"/>
              </w:rPr>
            </w:pPr>
          </w:p>
        </w:tc>
        <w:tc>
          <w:tcPr>
            <w:tcW w:w="494" w:type="dxa"/>
            <w:vAlign w:val="top"/>
          </w:tcPr>
          <w:p w14:paraId="60213AD4">
            <w:pPr>
              <w:rPr>
                <w:rFonts w:ascii="Arial"/>
                <w:sz w:val="21"/>
              </w:rPr>
            </w:pPr>
          </w:p>
        </w:tc>
        <w:tc>
          <w:tcPr>
            <w:tcW w:w="875" w:type="dxa"/>
            <w:vAlign w:val="top"/>
          </w:tcPr>
          <w:p w14:paraId="68C91CEE">
            <w:pPr>
              <w:rPr>
                <w:rFonts w:ascii="Arial"/>
                <w:sz w:val="21"/>
              </w:rPr>
            </w:pPr>
          </w:p>
        </w:tc>
        <w:tc>
          <w:tcPr>
            <w:tcW w:w="874" w:type="dxa"/>
            <w:vAlign w:val="top"/>
          </w:tcPr>
          <w:p w14:paraId="394944B4">
            <w:pPr>
              <w:rPr>
                <w:rFonts w:ascii="Arial"/>
                <w:sz w:val="21"/>
              </w:rPr>
            </w:pPr>
          </w:p>
        </w:tc>
        <w:tc>
          <w:tcPr>
            <w:tcW w:w="875" w:type="dxa"/>
            <w:vAlign w:val="top"/>
          </w:tcPr>
          <w:p w14:paraId="4A99F293">
            <w:pPr>
              <w:rPr>
                <w:rFonts w:ascii="Arial"/>
                <w:sz w:val="21"/>
              </w:rPr>
            </w:pPr>
          </w:p>
        </w:tc>
        <w:tc>
          <w:tcPr>
            <w:tcW w:w="508" w:type="dxa"/>
            <w:tcBorders>
              <w:right w:val="single" w:color="000000" w:sz="12" w:space="0"/>
            </w:tcBorders>
            <w:vAlign w:val="top"/>
          </w:tcPr>
          <w:p w14:paraId="0D47F1BC">
            <w:pPr>
              <w:rPr>
                <w:rFonts w:ascii="Arial"/>
                <w:sz w:val="21"/>
              </w:rPr>
            </w:pPr>
          </w:p>
        </w:tc>
      </w:tr>
      <w:tr w14:paraId="5F601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2CD4D859">
            <w:pPr>
              <w:pStyle w:val="6"/>
              <w:spacing w:before="103" w:line="186" w:lineRule="auto"/>
              <w:ind w:left="121"/>
            </w:pPr>
            <w:r>
              <w:rPr>
                <w:b/>
                <w:bCs/>
                <w:spacing w:val="-2"/>
              </w:rPr>
              <w:t>F1</w:t>
            </w:r>
          </w:p>
        </w:tc>
        <w:tc>
          <w:tcPr>
            <w:tcW w:w="1257" w:type="dxa"/>
            <w:vAlign w:val="top"/>
          </w:tcPr>
          <w:p w14:paraId="1D4C5155">
            <w:pPr>
              <w:spacing w:before="64" w:line="219" w:lineRule="auto"/>
              <w:ind w:left="410"/>
              <w:rPr>
                <w:rFonts w:ascii="宋体" w:hAnsi="宋体" w:eastAsia="宋体" w:cs="宋体"/>
                <w:sz w:val="21"/>
                <w:szCs w:val="21"/>
              </w:rPr>
            </w:pPr>
            <w:r>
              <w:rPr>
                <w:rFonts w:ascii="宋体" w:hAnsi="宋体" w:eastAsia="宋体" w:cs="宋体"/>
                <w:b/>
                <w:bCs/>
                <w:spacing w:val="-5"/>
                <w:sz w:val="21"/>
                <w:szCs w:val="21"/>
              </w:rPr>
              <w:t>雉科</w:t>
            </w:r>
          </w:p>
        </w:tc>
        <w:tc>
          <w:tcPr>
            <w:tcW w:w="2394" w:type="dxa"/>
            <w:vAlign w:val="top"/>
          </w:tcPr>
          <w:p w14:paraId="1301F434">
            <w:pPr>
              <w:pStyle w:val="6"/>
              <w:spacing w:before="102" w:line="187" w:lineRule="auto"/>
              <w:ind w:left="648"/>
            </w:pPr>
            <w:r>
              <w:rPr>
                <w:b/>
                <w:bCs/>
                <w:spacing w:val="-1"/>
              </w:rPr>
              <w:t>Phasianidae</w:t>
            </w:r>
          </w:p>
        </w:tc>
        <w:tc>
          <w:tcPr>
            <w:tcW w:w="685" w:type="dxa"/>
            <w:vAlign w:val="top"/>
          </w:tcPr>
          <w:p w14:paraId="30669CA9">
            <w:pPr>
              <w:rPr>
                <w:rFonts w:ascii="Arial"/>
                <w:sz w:val="21"/>
              </w:rPr>
            </w:pPr>
          </w:p>
        </w:tc>
        <w:tc>
          <w:tcPr>
            <w:tcW w:w="494" w:type="dxa"/>
            <w:vAlign w:val="top"/>
          </w:tcPr>
          <w:p w14:paraId="16E77808">
            <w:pPr>
              <w:rPr>
                <w:rFonts w:ascii="Arial"/>
                <w:sz w:val="21"/>
              </w:rPr>
            </w:pPr>
          </w:p>
        </w:tc>
        <w:tc>
          <w:tcPr>
            <w:tcW w:w="875" w:type="dxa"/>
            <w:vAlign w:val="top"/>
          </w:tcPr>
          <w:p w14:paraId="71B3AE8E">
            <w:pPr>
              <w:rPr>
                <w:rFonts w:ascii="Arial"/>
                <w:sz w:val="21"/>
              </w:rPr>
            </w:pPr>
          </w:p>
        </w:tc>
        <w:tc>
          <w:tcPr>
            <w:tcW w:w="874" w:type="dxa"/>
            <w:vAlign w:val="top"/>
          </w:tcPr>
          <w:p w14:paraId="7A271015">
            <w:pPr>
              <w:rPr>
                <w:rFonts w:ascii="Arial"/>
                <w:sz w:val="21"/>
              </w:rPr>
            </w:pPr>
          </w:p>
        </w:tc>
        <w:tc>
          <w:tcPr>
            <w:tcW w:w="875" w:type="dxa"/>
            <w:vAlign w:val="top"/>
          </w:tcPr>
          <w:p w14:paraId="34756E01">
            <w:pPr>
              <w:rPr>
                <w:rFonts w:ascii="Arial"/>
                <w:sz w:val="21"/>
              </w:rPr>
            </w:pPr>
          </w:p>
        </w:tc>
        <w:tc>
          <w:tcPr>
            <w:tcW w:w="508" w:type="dxa"/>
            <w:tcBorders>
              <w:right w:val="single" w:color="000000" w:sz="12" w:space="0"/>
            </w:tcBorders>
            <w:vAlign w:val="top"/>
          </w:tcPr>
          <w:p w14:paraId="29C634EC">
            <w:pPr>
              <w:rPr>
                <w:rFonts w:ascii="Arial"/>
                <w:sz w:val="21"/>
              </w:rPr>
            </w:pPr>
          </w:p>
        </w:tc>
      </w:tr>
      <w:tr w14:paraId="5A477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AC473B3">
            <w:pPr>
              <w:pStyle w:val="6"/>
              <w:spacing w:before="93" w:line="227" w:lineRule="auto"/>
              <w:ind w:left="205"/>
            </w:pPr>
            <w:r>
              <w:t>1</w:t>
            </w:r>
          </w:p>
        </w:tc>
        <w:tc>
          <w:tcPr>
            <w:tcW w:w="1257" w:type="dxa"/>
            <w:vAlign w:val="top"/>
          </w:tcPr>
          <w:p w14:paraId="27CE9B87">
            <w:pPr>
              <w:spacing w:before="59" w:line="220" w:lineRule="auto"/>
              <w:ind w:left="198"/>
              <w:rPr>
                <w:rFonts w:ascii="宋体" w:hAnsi="宋体" w:eastAsia="宋体" w:cs="宋体"/>
                <w:sz w:val="21"/>
                <w:szCs w:val="21"/>
              </w:rPr>
            </w:pPr>
            <w:r>
              <w:rPr>
                <w:rFonts w:ascii="宋体" w:hAnsi="宋体" w:eastAsia="宋体" w:cs="宋体"/>
                <w:spacing w:val="-2"/>
                <w:sz w:val="21"/>
                <w:szCs w:val="21"/>
              </w:rPr>
              <w:t>棕胸竹鸡</w:t>
            </w:r>
          </w:p>
        </w:tc>
        <w:tc>
          <w:tcPr>
            <w:tcW w:w="2394" w:type="dxa"/>
            <w:vAlign w:val="top"/>
          </w:tcPr>
          <w:p w14:paraId="78AD137F">
            <w:pPr>
              <w:pStyle w:val="6"/>
              <w:spacing w:before="93" w:line="190" w:lineRule="auto"/>
              <w:ind w:left="344"/>
            </w:pPr>
            <w:r>
              <w:rPr>
                <w:i/>
                <w:iCs/>
                <w:spacing w:val="3"/>
              </w:rPr>
              <w:t>Bambusicolafytchii</w:t>
            </w:r>
          </w:p>
        </w:tc>
        <w:tc>
          <w:tcPr>
            <w:tcW w:w="685" w:type="dxa"/>
            <w:vAlign w:val="top"/>
          </w:tcPr>
          <w:p w14:paraId="5655A28A">
            <w:pPr>
              <w:pStyle w:val="6"/>
              <w:spacing w:before="100" w:line="183" w:lineRule="auto"/>
              <w:ind w:left="270"/>
            </w:pPr>
            <w:r>
              <w:t>R</w:t>
            </w:r>
          </w:p>
        </w:tc>
        <w:tc>
          <w:tcPr>
            <w:tcW w:w="494" w:type="dxa"/>
            <w:vAlign w:val="top"/>
          </w:tcPr>
          <w:p w14:paraId="0CF48CA5">
            <w:pPr>
              <w:pStyle w:val="6"/>
              <w:spacing w:before="97" w:line="186" w:lineRule="auto"/>
              <w:ind w:left="175"/>
            </w:pPr>
            <w:r>
              <w:t>O</w:t>
            </w:r>
          </w:p>
        </w:tc>
        <w:tc>
          <w:tcPr>
            <w:tcW w:w="875" w:type="dxa"/>
            <w:vAlign w:val="top"/>
          </w:tcPr>
          <w:p w14:paraId="0023993C">
            <w:pPr>
              <w:rPr>
                <w:rFonts w:ascii="Arial"/>
                <w:sz w:val="21"/>
              </w:rPr>
            </w:pPr>
          </w:p>
        </w:tc>
        <w:tc>
          <w:tcPr>
            <w:tcW w:w="874" w:type="dxa"/>
            <w:vAlign w:val="top"/>
          </w:tcPr>
          <w:p w14:paraId="44C3D6B1">
            <w:pPr>
              <w:pStyle w:val="6"/>
              <w:spacing w:before="93" w:line="227" w:lineRule="auto"/>
              <w:ind w:left="266"/>
            </w:pPr>
            <w:r>
              <w:rPr>
                <w:spacing w:val="-1"/>
              </w:rPr>
              <w:t>+++</w:t>
            </w:r>
          </w:p>
        </w:tc>
        <w:tc>
          <w:tcPr>
            <w:tcW w:w="875" w:type="dxa"/>
            <w:vAlign w:val="top"/>
          </w:tcPr>
          <w:p w14:paraId="1F5CD310">
            <w:pPr>
              <w:pStyle w:val="6"/>
              <w:spacing w:before="100" w:line="183" w:lineRule="auto"/>
              <w:ind w:left="369"/>
            </w:pPr>
            <w:r>
              <w:t>V</w:t>
            </w:r>
          </w:p>
        </w:tc>
        <w:tc>
          <w:tcPr>
            <w:tcW w:w="508" w:type="dxa"/>
            <w:tcBorders>
              <w:right w:val="single" w:color="000000" w:sz="12" w:space="0"/>
            </w:tcBorders>
            <w:vAlign w:val="top"/>
          </w:tcPr>
          <w:p w14:paraId="129FC501">
            <w:pPr>
              <w:rPr>
                <w:rFonts w:ascii="Arial"/>
                <w:sz w:val="21"/>
              </w:rPr>
            </w:pPr>
          </w:p>
        </w:tc>
      </w:tr>
      <w:tr w14:paraId="345B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D2088DB">
            <w:pPr>
              <w:pStyle w:val="6"/>
              <w:spacing w:before="94" w:line="226" w:lineRule="auto"/>
              <w:ind w:left="185"/>
            </w:pPr>
            <w:r>
              <w:t>2</w:t>
            </w:r>
          </w:p>
        </w:tc>
        <w:tc>
          <w:tcPr>
            <w:tcW w:w="1257" w:type="dxa"/>
            <w:vAlign w:val="top"/>
          </w:tcPr>
          <w:p w14:paraId="2807DF88">
            <w:pPr>
              <w:spacing w:before="61" w:line="220" w:lineRule="auto"/>
              <w:ind w:left="303"/>
              <w:rPr>
                <w:rFonts w:ascii="宋体" w:hAnsi="宋体" w:eastAsia="宋体" w:cs="宋体"/>
                <w:sz w:val="21"/>
                <w:szCs w:val="21"/>
              </w:rPr>
            </w:pPr>
            <w:r>
              <w:rPr>
                <w:rFonts w:ascii="宋体" w:hAnsi="宋体" w:eastAsia="宋体" w:cs="宋体"/>
                <w:spacing w:val="-2"/>
                <w:sz w:val="21"/>
                <w:szCs w:val="21"/>
              </w:rPr>
              <w:t>环颈雉</w:t>
            </w:r>
          </w:p>
        </w:tc>
        <w:tc>
          <w:tcPr>
            <w:tcW w:w="2394" w:type="dxa"/>
            <w:vAlign w:val="top"/>
          </w:tcPr>
          <w:p w14:paraId="2EE90246">
            <w:pPr>
              <w:pStyle w:val="6"/>
              <w:spacing w:before="94" w:line="226" w:lineRule="auto"/>
              <w:ind w:left="320"/>
            </w:pPr>
            <w:r>
              <w:rPr>
                <w:i/>
                <w:iCs/>
              </w:rPr>
              <w:t>Phasianus</w:t>
            </w:r>
            <w:r>
              <w:rPr>
                <w:i/>
                <w:iCs/>
                <w:spacing w:val="6"/>
              </w:rPr>
              <w:t xml:space="preserve"> </w:t>
            </w:r>
            <w:r>
              <w:rPr>
                <w:i/>
                <w:iCs/>
              </w:rPr>
              <w:t>colchicus</w:t>
            </w:r>
          </w:p>
        </w:tc>
        <w:tc>
          <w:tcPr>
            <w:tcW w:w="685" w:type="dxa"/>
            <w:vAlign w:val="top"/>
          </w:tcPr>
          <w:p w14:paraId="63B51A05">
            <w:pPr>
              <w:pStyle w:val="6"/>
              <w:spacing w:before="101" w:line="183" w:lineRule="auto"/>
              <w:ind w:left="270"/>
            </w:pPr>
            <w:r>
              <w:t>R</w:t>
            </w:r>
          </w:p>
        </w:tc>
        <w:tc>
          <w:tcPr>
            <w:tcW w:w="494" w:type="dxa"/>
            <w:vAlign w:val="top"/>
          </w:tcPr>
          <w:p w14:paraId="012A4FD9">
            <w:pPr>
              <w:pStyle w:val="6"/>
              <w:spacing w:before="98" w:line="186" w:lineRule="auto"/>
              <w:ind w:left="117"/>
            </w:pPr>
            <w:r>
              <w:rPr>
                <w:spacing w:val="-3"/>
              </w:rPr>
              <w:t>OP</w:t>
            </w:r>
          </w:p>
        </w:tc>
        <w:tc>
          <w:tcPr>
            <w:tcW w:w="875" w:type="dxa"/>
            <w:vAlign w:val="top"/>
          </w:tcPr>
          <w:p w14:paraId="4C6319DF">
            <w:pPr>
              <w:rPr>
                <w:rFonts w:ascii="Arial"/>
                <w:sz w:val="21"/>
              </w:rPr>
            </w:pPr>
          </w:p>
        </w:tc>
        <w:tc>
          <w:tcPr>
            <w:tcW w:w="874" w:type="dxa"/>
            <w:vAlign w:val="top"/>
          </w:tcPr>
          <w:p w14:paraId="03EDE63D">
            <w:pPr>
              <w:pStyle w:val="6"/>
              <w:spacing w:before="94" w:line="226" w:lineRule="auto"/>
              <w:ind w:left="266"/>
            </w:pPr>
            <w:r>
              <w:rPr>
                <w:spacing w:val="-1"/>
              </w:rPr>
              <w:t>+++</w:t>
            </w:r>
          </w:p>
        </w:tc>
        <w:tc>
          <w:tcPr>
            <w:tcW w:w="875" w:type="dxa"/>
            <w:vAlign w:val="top"/>
          </w:tcPr>
          <w:p w14:paraId="3B3EF4DA">
            <w:pPr>
              <w:pStyle w:val="6"/>
              <w:spacing w:before="101" w:line="183" w:lineRule="auto"/>
              <w:ind w:left="369"/>
            </w:pPr>
            <w:r>
              <w:t>V</w:t>
            </w:r>
          </w:p>
        </w:tc>
        <w:tc>
          <w:tcPr>
            <w:tcW w:w="508" w:type="dxa"/>
            <w:tcBorders>
              <w:right w:val="single" w:color="000000" w:sz="12" w:space="0"/>
            </w:tcBorders>
            <w:vAlign w:val="top"/>
          </w:tcPr>
          <w:p w14:paraId="095A1164">
            <w:pPr>
              <w:rPr>
                <w:rFonts w:ascii="Arial"/>
                <w:sz w:val="21"/>
              </w:rPr>
            </w:pPr>
          </w:p>
        </w:tc>
      </w:tr>
      <w:tr w14:paraId="3988B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11" w:type="dxa"/>
            <w:tcBorders>
              <w:left w:val="single" w:color="000000" w:sz="12" w:space="0"/>
            </w:tcBorders>
            <w:vAlign w:val="top"/>
          </w:tcPr>
          <w:p w14:paraId="5A6BCB06">
            <w:pPr>
              <w:pStyle w:val="6"/>
              <w:spacing w:before="217" w:line="232" w:lineRule="auto"/>
              <w:ind w:left="189"/>
            </w:pPr>
            <w:r>
              <w:t>3</w:t>
            </w:r>
          </w:p>
        </w:tc>
        <w:tc>
          <w:tcPr>
            <w:tcW w:w="1257" w:type="dxa"/>
            <w:vAlign w:val="top"/>
          </w:tcPr>
          <w:p w14:paraId="25312ADA">
            <w:pPr>
              <w:spacing w:before="183" w:line="220" w:lineRule="auto"/>
              <w:ind w:left="230"/>
              <w:rPr>
                <w:rFonts w:ascii="宋体" w:hAnsi="宋体" w:eastAsia="宋体" w:cs="宋体"/>
                <w:sz w:val="21"/>
                <w:szCs w:val="21"/>
              </w:rPr>
            </w:pPr>
            <w:r>
              <w:rPr>
                <w:rFonts w:ascii="宋体" w:hAnsi="宋体" w:eastAsia="宋体" w:cs="宋体"/>
                <w:spacing w:val="-8"/>
                <w:sz w:val="21"/>
                <w:szCs w:val="21"/>
              </w:rPr>
              <w:t>白腹锦鸡</w:t>
            </w:r>
          </w:p>
        </w:tc>
        <w:tc>
          <w:tcPr>
            <w:tcW w:w="2394" w:type="dxa"/>
            <w:vAlign w:val="top"/>
          </w:tcPr>
          <w:p w14:paraId="404BC6F0">
            <w:pPr>
              <w:pStyle w:val="6"/>
              <w:spacing w:before="217" w:line="190" w:lineRule="auto"/>
              <w:ind w:left="123"/>
            </w:pPr>
            <w:r>
              <w:rPr>
                <w:i/>
                <w:iCs/>
                <w:spacing w:val="-1"/>
              </w:rPr>
              <w:t>Chrysolophus amherstiae</w:t>
            </w:r>
          </w:p>
        </w:tc>
        <w:tc>
          <w:tcPr>
            <w:tcW w:w="685" w:type="dxa"/>
            <w:vAlign w:val="top"/>
          </w:tcPr>
          <w:p w14:paraId="4E950908">
            <w:pPr>
              <w:pStyle w:val="6"/>
              <w:spacing w:before="224" w:line="183" w:lineRule="auto"/>
              <w:ind w:left="270"/>
            </w:pPr>
            <w:r>
              <w:t>R</w:t>
            </w:r>
          </w:p>
        </w:tc>
        <w:tc>
          <w:tcPr>
            <w:tcW w:w="494" w:type="dxa"/>
            <w:vAlign w:val="top"/>
          </w:tcPr>
          <w:p w14:paraId="5552AA34">
            <w:pPr>
              <w:pStyle w:val="6"/>
              <w:spacing w:before="221" w:line="186" w:lineRule="auto"/>
              <w:ind w:left="175"/>
            </w:pPr>
            <w:r>
              <w:t>O</w:t>
            </w:r>
          </w:p>
        </w:tc>
        <w:tc>
          <w:tcPr>
            <w:tcW w:w="875" w:type="dxa"/>
            <w:vAlign w:val="top"/>
          </w:tcPr>
          <w:p w14:paraId="6154B70C">
            <w:pPr>
              <w:pStyle w:val="6"/>
              <w:spacing w:before="183" w:line="222" w:lineRule="auto"/>
              <w:ind w:left="269"/>
              <w:rPr>
                <w:rFonts w:ascii="宋体" w:hAnsi="宋体" w:eastAsia="宋体" w:cs="宋体"/>
              </w:rPr>
            </w:pPr>
            <w:r>
              <w:rPr>
                <w:spacing w:val="-3"/>
              </w:rPr>
              <w:t>Ⅱ</w:t>
            </w:r>
            <w:r>
              <w:rPr>
                <w:rFonts w:ascii="宋体" w:hAnsi="宋体" w:eastAsia="宋体" w:cs="宋体"/>
                <w:spacing w:val="-3"/>
              </w:rPr>
              <w:t>级</w:t>
            </w:r>
          </w:p>
        </w:tc>
        <w:tc>
          <w:tcPr>
            <w:tcW w:w="874" w:type="dxa"/>
            <w:vAlign w:val="top"/>
          </w:tcPr>
          <w:p w14:paraId="06AD0A6B">
            <w:pPr>
              <w:pStyle w:val="6"/>
              <w:spacing w:before="217" w:line="251" w:lineRule="exact"/>
              <w:ind w:left="207"/>
            </w:pPr>
            <w:r>
              <w:rPr>
                <w:spacing w:val="-1"/>
                <w:position w:val="1"/>
              </w:rPr>
              <w:t>++++</w:t>
            </w:r>
          </w:p>
        </w:tc>
        <w:tc>
          <w:tcPr>
            <w:tcW w:w="875" w:type="dxa"/>
            <w:vAlign w:val="top"/>
          </w:tcPr>
          <w:p w14:paraId="732C8681">
            <w:pPr>
              <w:pStyle w:val="6"/>
              <w:spacing w:before="100" w:line="216" w:lineRule="auto"/>
              <w:ind w:left="381" w:right="108" w:hanging="269"/>
            </w:pPr>
            <w:r>
              <w:rPr>
                <w:spacing w:val="-17"/>
              </w:rPr>
              <w:t>S</w:t>
            </w:r>
            <w:r>
              <w:rPr>
                <w:spacing w:val="-30"/>
              </w:rPr>
              <w:t xml:space="preserve"> </w:t>
            </w:r>
            <w:r>
              <w:rPr>
                <w:rFonts w:ascii="宋体" w:hAnsi="宋体" w:eastAsia="宋体" w:cs="宋体"/>
                <w:spacing w:val="-17"/>
              </w:rPr>
              <w:t>、</w:t>
            </w:r>
            <w:r>
              <w:rPr>
                <w:spacing w:val="-17"/>
              </w:rPr>
              <w:t>V</w:t>
            </w:r>
            <w:r>
              <w:rPr>
                <w:rFonts w:ascii="宋体" w:hAnsi="宋体" w:eastAsia="宋体" w:cs="宋体"/>
                <w:spacing w:val="-17"/>
              </w:rPr>
              <w:t>、</w:t>
            </w:r>
            <w:r>
              <w:rPr>
                <w:rFonts w:ascii="宋体" w:hAnsi="宋体" w:eastAsia="宋体" w:cs="宋体"/>
              </w:rPr>
              <w:t xml:space="preserve"> </w:t>
            </w:r>
            <w:r>
              <w:t>C</w:t>
            </w:r>
          </w:p>
        </w:tc>
        <w:tc>
          <w:tcPr>
            <w:tcW w:w="508" w:type="dxa"/>
            <w:tcBorders>
              <w:right w:val="single" w:color="000000" w:sz="12" w:space="0"/>
            </w:tcBorders>
            <w:vAlign w:val="top"/>
          </w:tcPr>
          <w:p w14:paraId="7B70E0F7">
            <w:pPr>
              <w:rPr>
                <w:rFonts w:ascii="Arial"/>
                <w:sz w:val="21"/>
              </w:rPr>
            </w:pPr>
          </w:p>
        </w:tc>
      </w:tr>
      <w:tr w14:paraId="1D406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440FC4D">
            <w:pPr>
              <w:pStyle w:val="6"/>
              <w:spacing w:before="102" w:line="186" w:lineRule="auto"/>
              <w:ind w:left="106"/>
            </w:pPr>
            <w:r>
              <w:rPr>
                <w:b/>
                <w:bCs/>
                <w:spacing w:val="-3"/>
              </w:rPr>
              <w:t>O2</w:t>
            </w:r>
          </w:p>
        </w:tc>
        <w:tc>
          <w:tcPr>
            <w:tcW w:w="1257" w:type="dxa"/>
            <w:vAlign w:val="top"/>
          </w:tcPr>
          <w:p w14:paraId="130C71D5">
            <w:pPr>
              <w:spacing w:before="63" w:line="220" w:lineRule="auto"/>
              <w:ind w:left="302"/>
              <w:rPr>
                <w:rFonts w:ascii="宋体" w:hAnsi="宋体" w:eastAsia="宋体" w:cs="宋体"/>
                <w:sz w:val="21"/>
                <w:szCs w:val="21"/>
              </w:rPr>
            </w:pPr>
            <w:r>
              <w:rPr>
                <w:rFonts w:ascii="宋体" w:hAnsi="宋体" w:eastAsia="宋体" w:cs="宋体"/>
                <w:b/>
                <w:bCs/>
                <w:spacing w:val="-4"/>
                <w:sz w:val="21"/>
                <w:szCs w:val="21"/>
              </w:rPr>
              <w:t>雁形目</w:t>
            </w:r>
          </w:p>
        </w:tc>
        <w:tc>
          <w:tcPr>
            <w:tcW w:w="2394" w:type="dxa"/>
            <w:vAlign w:val="top"/>
          </w:tcPr>
          <w:p w14:paraId="6534BE3E">
            <w:pPr>
              <w:pStyle w:val="6"/>
              <w:spacing w:before="102" w:line="186" w:lineRule="auto"/>
              <w:ind w:left="581"/>
            </w:pPr>
            <w:r>
              <w:rPr>
                <w:b/>
                <w:bCs/>
                <w:spacing w:val="-1"/>
              </w:rPr>
              <w:t>Anseriformes</w:t>
            </w:r>
          </w:p>
        </w:tc>
        <w:tc>
          <w:tcPr>
            <w:tcW w:w="685" w:type="dxa"/>
            <w:vAlign w:val="top"/>
          </w:tcPr>
          <w:p w14:paraId="4BD3867D">
            <w:pPr>
              <w:rPr>
                <w:rFonts w:ascii="Arial"/>
                <w:sz w:val="21"/>
              </w:rPr>
            </w:pPr>
          </w:p>
        </w:tc>
        <w:tc>
          <w:tcPr>
            <w:tcW w:w="494" w:type="dxa"/>
            <w:vAlign w:val="top"/>
          </w:tcPr>
          <w:p w14:paraId="357BFC03">
            <w:pPr>
              <w:rPr>
                <w:rFonts w:ascii="Arial"/>
                <w:sz w:val="21"/>
              </w:rPr>
            </w:pPr>
          </w:p>
        </w:tc>
        <w:tc>
          <w:tcPr>
            <w:tcW w:w="875" w:type="dxa"/>
            <w:vAlign w:val="top"/>
          </w:tcPr>
          <w:p w14:paraId="46C4D482">
            <w:pPr>
              <w:rPr>
                <w:rFonts w:ascii="Arial"/>
                <w:sz w:val="21"/>
              </w:rPr>
            </w:pPr>
          </w:p>
        </w:tc>
        <w:tc>
          <w:tcPr>
            <w:tcW w:w="874" w:type="dxa"/>
            <w:vAlign w:val="top"/>
          </w:tcPr>
          <w:p w14:paraId="18974162">
            <w:pPr>
              <w:rPr>
                <w:rFonts w:ascii="Arial"/>
                <w:sz w:val="21"/>
              </w:rPr>
            </w:pPr>
          </w:p>
        </w:tc>
        <w:tc>
          <w:tcPr>
            <w:tcW w:w="875" w:type="dxa"/>
            <w:vAlign w:val="top"/>
          </w:tcPr>
          <w:p w14:paraId="7FDA9D6A">
            <w:pPr>
              <w:rPr>
                <w:rFonts w:ascii="Arial"/>
                <w:sz w:val="21"/>
              </w:rPr>
            </w:pPr>
          </w:p>
        </w:tc>
        <w:tc>
          <w:tcPr>
            <w:tcW w:w="508" w:type="dxa"/>
            <w:tcBorders>
              <w:right w:val="single" w:color="000000" w:sz="12" w:space="0"/>
            </w:tcBorders>
            <w:vAlign w:val="top"/>
          </w:tcPr>
          <w:p w14:paraId="64C830DA">
            <w:pPr>
              <w:rPr>
                <w:rFonts w:ascii="Arial"/>
                <w:sz w:val="21"/>
              </w:rPr>
            </w:pPr>
          </w:p>
        </w:tc>
      </w:tr>
      <w:tr w14:paraId="78DF0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3D772B9">
            <w:pPr>
              <w:pStyle w:val="6"/>
              <w:spacing w:before="110" w:line="186" w:lineRule="auto"/>
              <w:ind w:left="121"/>
            </w:pPr>
            <w:r>
              <w:rPr>
                <w:b/>
                <w:bCs/>
                <w:spacing w:val="-2"/>
              </w:rPr>
              <w:t>F2</w:t>
            </w:r>
          </w:p>
        </w:tc>
        <w:tc>
          <w:tcPr>
            <w:tcW w:w="1257" w:type="dxa"/>
            <w:vAlign w:val="top"/>
          </w:tcPr>
          <w:p w14:paraId="5E3EAC9D">
            <w:pPr>
              <w:spacing w:before="71" w:line="219" w:lineRule="auto"/>
              <w:ind w:left="415"/>
              <w:rPr>
                <w:rFonts w:ascii="宋体" w:hAnsi="宋体" w:eastAsia="宋体" w:cs="宋体"/>
                <w:sz w:val="21"/>
                <w:szCs w:val="21"/>
              </w:rPr>
            </w:pPr>
            <w:r>
              <w:rPr>
                <w:rFonts w:ascii="宋体" w:hAnsi="宋体" w:eastAsia="宋体" w:cs="宋体"/>
                <w:b/>
                <w:bCs/>
                <w:spacing w:val="-6"/>
                <w:sz w:val="21"/>
                <w:szCs w:val="21"/>
              </w:rPr>
              <w:t>鸭科</w:t>
            </w:r>
          </w:p>
        </w:tc>
        <w:tc>
          <w:tcPr>
            <w:tcW w:w="2394" w:type="dxa"/>
            <w:vAlign w:val="top"/>
          </w:tcPr>
          <w:p w14:paraId="08ED5C60">
            <w:pPr>
              <w:pStyle w:val="6"/>
              <w:spacing w:before="109" w:line="186" w:lineRule="auto"/>
              <w:ind w:left="779"/>
            </w:pPr>
            <w:r>
              <w:rPr>
                <w:b/>
                <w:bCs/>
                <w:spacing w:val="-1"/>
              </w:rPr>
              <w:t>Anatidae</w:t>
            </w:r>
          </w:p>
        </w:tc>
        <w:tc>
          <w:tcPr>
            <w:tcW w:w="685" w:type="dxa"/>
            <w:vAlign w:val="top"/>
          </w:tcPr>
          <w:p w14:paraId="0F764A3E">
            <w:pPr>
              <w:rPr>
                <w:rFonts w:ascii="Arial"/>
                <w:sz w:val="21"/>
              </w:rPr>
            </w:pPr>
          </w:p>
        </w:tc>
        <w:tc>
          <w:tcPr>
            <w:tcW w:w="494" w:type="dxa"/>
            <w:vAlign w:val="top"/>
          </w:tcPr>
          <w:p w14:paraId="194D6DF5">
            <w:pPr>
              <w:rPr>
                <w:rFonts w:ascii="Arial"/>
                <w:sz w:val="21"/>
              </w:rPr>
            </w:pPr>
          </w:p>
        </w:tc>
        <w:tc>
          <w:tcPr>
            <w:tcW w:w="875" w:type="dxa"/>
            <w:vAlign w:val="top"/>
          </w:tcPr>
          <w:p w14:paraId="12E80B37">
            <w:pPr>
              <w:rPr>
                <w:rFonts w:ascii="Arial"/>
                <w:sz w:val="21"/>
              </w:rPr>
            </w:pPr>
          </w:p>
        </w:tc>
        <w:tc>
          <w:tcPr>
            <w:tcW w:w="874" w:type="dxa"/>
            <w:vAlign w:val="top"/>
          </w:tcPr>
          <w:p w14:paraId="5ECFC978">
            <w:pPr>
              <w:rPr>
                <w:rFonts w:ascii="Arial"/>
                <w:sz w:val="21"/>
              </w:rPr>
            </w:pPr>
          </w:p>
        </w:tc>
        <w:tc>
          <w:tcPr>
            <w:tcW w:w="875" w:type="dxa"/>
            <w:vAlign w:val="top"/>
          </w:tcPr>
          <w:p w14:paraId="502B641D">
            <w:pPr>
              <w:rPr>
                <w:rFonts w:ascii="Arial"/>
                <w:sz w:val="21"/>
              </w:rPr>
            </w:pPr>
          </w:p>
        </w:tc>
        <w:tc>
          <w:tcPr>
            <w:tcW w:w="508" w:type="dxa"/>
            <w:tcBorders>
              <w:right w:val="single" w:color="000000" w:sz="12" w:space="0"/>
            </w:tcBorders>
            <w:vAlign w:val="top"/>
          </w:tcPr>
          <w:p w14:paraId="7DB3F239">
            <w:pPr>
              <w:rPr>
                <w:rFonts w:ascii="Arial"/>
                <w:sz w:val="21"/>
              </w:rPr>
            </w:pPr>
          </w:p>
        </w:tc>
      </w:tr>
      <w:tr w14:paraId="3BFB9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2CB738C">
            <w:pPr>
              <w:pStyle w:val="6"/>
              <w:spacing w:before="98" w:line="222" w:lineRule="auto"/>
              <w:ind w:left="184"/>
            </w:pPr>
            <w:r>
              <w:t>4</w:t>
            </w:r>
          </w:p>
        </w:tc>
        <w:tc>
          <w:tcPr>
            <w:tcW w:w="1257" w:type="dxa"/>
            <w:vAlign w:val="top"/>
          </w:tcPr>
          <w:p w14:paraId="71C13F75">
            <w:pPr>
              <w:spacing w:before="64" w:line="220" w:lineRule="auto"/>
              <w:ind w:left="303"/>
              <w:rPr>
                <w:rFonts w:ascii="宋体" w:hAnsi="宋体" w:eastAsia="宋体" w:cs="宋体"/>
                <w:sz w:val="21"/>
                <w:szCs w:val="21"/>
              </w:rPr>
            </w:pPr>
            <w:r>
              <w:rPr>
                <w:rFonts w:ascii="宋体" w:hAnsi="宋体" w:eastAsia="宋体" w:cs="宋体"/>
                <w:spacing w:val="-2"/>
                <w:sz w:val="21"/>
                <w:szCs w:val="21"/>
              </w:rPr>
              <w:t>斑嘴鸭</w:t>
            </w:r>
          </w:p>
        </w:tc>
        <w:tc>
          <w:tcPr>
            <w:tcW w:w="2394" w:type="dxa"/>
            <w:vAlign w:val="top"/>
          </w:tcPr>
          <w:p w14:paraId="256CADA2">
            <w:pPr>
              <w:pStyle w:val="6"/>
              <w:spacing w:before="98" w:line="190" w:lineRule="auto"/>
              <w:ind w:left="396"/>
            </w:pPr>
            <w:r>
              <w:rPr>
                <w:i/>
                <w:iCs/>
              </w:rPr>
              <w:t>Anas</w:t>
            </w:r>
            <w:r>
              <w:rPr>
                <w:i/>
                <w:iCs/>
                <w:spacing w:val="10"/>
              </w:rPr>
              <w:t xml:space="preserve"> </w:t>
            </w:r>
            <w:r>
              <w:rPr>
                <w:i/>
                <w:iCs/>
              </w:rPr>
              <w:t>zonorhyncha</w:t>
            </w:r>
          </w:p>
        </w:tc>
        <w:tc>
          <w:tcPr>
            <w:tcW w:w="685" w:type="dxa"/>
            <w:vAlign w:val="top"/>
          </w:tcPr>
          <w:p w14:paraId="38E47595">
            <w:pPr>
              <w:pStyle w:val="6"/>
              <w:spacing w:before="104" w:line="183" w:lineRule="auto"/>
              <w:ind w:left="240"/>
            </w:pPr>
            <w:r>
              <w:t>W</w:t>
            </w:r>
          </w:p>
        </w:tc>
        <w:tc>
          <w:tcPr>
            <w:tcW w:w="494" w:type="dxa"/>
            <w:vAlign w:val="top"/>
          </w:tcPr>
          <w:p w14:paraId="4759E246">
            <w:pPr>
              <w:rPr>
                <w:rFonts w:ascii="Arial"/>
                <w:sz w:val="21"/>
              </w:rPr>
            </w:pPr>
          </w:p>
        </w:tc>
        <w:tc>
          <w:tcPr>
            <w:tcW w:w="875" w:type="dxa"/>
            <w:vAlign w:val="top"/>
          </w:tcPr>
          <w:p w14:paraId="6E32A4D4">
            <w:pPr>
              <w:rPr>
                <w:rFonts w:ascii="Arial"/>
                <w:sz w:val="21"/>
              </w:rPr>
            </w:pPr>
          </w:p>
        </w:tc>
        <w:tc>
          <w:tcPr>
            <w:tcW w:w="874" w:type="dxa"/>
            <w:vAlign w:val="top"/>
          </w:tcPr>
          <w:p w14:paraId="70192831">
            <w:pPr>
              <w:pStyle w:val="6"/>
              <w:spacing w:before="98" w:line="222" w:lineRule="auto"/>
              <w:ind w:left="326"/>
            </w:pPr>
            <w:r>
              <w:rPr>
                <w:spacing w:val="-1"/>
              </w:rPr>
              <w:t>++</w:t>
            </w:r>
          </w:p>
        </w:tc>
        <w:tc>
          <w:tcPr>
            <w:tcW w:w="875" w:type="dxa"/>
            <w:vAlign w:val="top"/>
          </w:tcPr>
          <w:p w14:paraId="43CD919A">
            <w:pPr>
              <w:pStyle w:val="6"/>
              <w:spacing w:before="101" w:line="186" w:lineRule="auto"/>
              <w:ind w:left="399"/>
            </w:pPr>
            <w:r>
              <w:t>S</w:t>
            </w:r>
          </w:p>
        </w:tc>
        <w:tc>
          <w:tcPr>
            <w:tcW w:w="508" w:type="dxa"/>
            <w:tcBorders>
              <w:right w:val="single" w:color="000000" w:sz="12" w:space="0"/>
            </w:tcBorders>
            <w:vAlign w:val="top"/>
          </w:tcPr>
          <w:p w14:paraId="3A06EDFB">
            <w:pPr>
              <w:rPr>
                <w:rFonts w:ascii="Arial"/>
                <w:sz w:val="21"/>
              </w:rPr>
            </w:pPr>
          </w:p>
        </w:tc>
      </w:tr>
      <w:tr w14:paraId="3579B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461E3DBE">
            <w:pPr>
              <w:pStyle w:val="6"/>
              <w:spacing w:before="111" w:line="186" w:lineRule="auto"/>
              <w:ind w:left="106"/>
            </w:pPr>
            <w:r>
              <w:rPr>
                <w:b/>
                <w:bCs/>
                <w:spacing w:val="-3"/>
              </w:rPr>
              <w:t>O3</w:t>
            </w:r>
          </w:p>
        </w:tc>
        <w:tc>
          <w:tcPr>
            <w:tcW w:w="1257" w:type="dxa"/>
            <w:vAlign w:val="top"/>
          </w:tcPr>
          <w:p w14:paraId="1389C890">
            <w:pPr>
              <w:spacing w:before="73" w:line="218" w:lineRule="auto"/>
              <w:ind w:left="301"/>
              <w:rPr>
                <w:rFonts w:ascii="宋体" w:hAnsi="宋体" w:eastAsia="宋体" w:cs="宋体"/>
                <w:sz w:val="21"/>
                <w:szCs w:val="21"/>
              </w:rPr>
            </w:pPr>
            <w:r>
              <w:rPr>
                <w:rFonts w:ascii="宋体" w:hAnsi="宋体" w:eastAsia="宋体" w:cs="宋体"/>
                <w:b/>
                <w:bCs/>
                <w:spacing w:val="-4"/>
                <w:sz w:val="21"/>
                <w:szCs w:val="21"/>
              </w:rPr>
              <w:t>䴙䴘目</w:t>
            </w:r>
          </w:p>
        </w:tc>
        <w:tc>
          <w:tcPr>
            <w:tcW w:w="2394" w:type="dxa"/>
            <w:vAlign w:val="top"/>
          </w:tcPr>
          <w:p w14:paraId="0ED4D7D9">
            <w:pPr>
              <w:pStyle w:val="6"/>
              <w:spacing w:before="111" w:line="187" w:lineRule="auto"/>
              <w:ind w:left="409"/>
            </w:pPr>
            <w:r>
              <w:rPr>
                <w:b/>
                <w:bCs/>
                <w:spacing w:val="-1"/>
              </w:rPr>
              <w:t>Podicipediformes</w:t>
            </w:r>
          </w:p>
        </w:tc>
        <w:tc>
          <w:tcPr>
            <w:tcW w:w="685" w:type="dxa"/>
            <w:vAlign w:val="top"/>
          </w:tcPr>
          <w:p w14:paraId="75D35494">
            <w:pPr>
              <w:rPr>
                <w:rFonts w:ascii="Arial"/>
                <w:sz w:val="21"/>
              </w:rPr>
            </w:pPr>
          </w:p>
        </w:tc>
        <w:tc>
          <w:tcPr>
            <w:tcW w:w="494" w:type="dxa"/>
            <w:vAlign w:val="top"/>
          </w:tcPr>
          <w:p w14:paraId="3DAE1474">
            <w:pPr>
              <w:rPr>
                <w:rFonts w:ascii="Arial"/>
                <w:sz w:val="21"/>
              </w:rPr>
            </w:pPr>
          </w:p>
        </w:tc>
        <w:tc>
          <w:tcPr>
            <w:tcW w:w="875" w:type="dxa"/>
            <w:vAlign w:val="top"/>
          </w:tcPr>
          <w:p w14:paraId="2BCFB630">
            <w:pPr>
              <w:rPr>
                <w:rFonts w:ascii="Arial"/>
                <w:sz w:val="21"/>
              </w:rPr>
            </w:pPr>
          </w:p>
        </w:tc>
        <w:tc>
          <w:tcPr>
            <w:tcW w:w="874" w:type="dxa"/>
            <w:vAlign w:val="top"/>
          </w:tcPr>
          <w:p w14:paraId="77B158DB">
            <w:pPr>
              <w:rPr>
                <w:rFonts w:ascii="Arial"/>
                <w:sz w:val="21"/>
              </w:rPr>
            </w:pPr>
          </w:p>
        </w:tc>
        <w:tc>
          <w:tcPr>
            <w:tcW w:w="875" w:type="dxa"/>
            <w:vAlign w:val="top"/>
          </w:tcPr>
          <w:p w14:paraId="4BCBDC03">
            <w:pPr>
              <w:rPr>
                <w:rFonts w:ascii="Arial"/>
                <w:sz w:val="21"/>
              </w:rPr>
            </w:pPr>
          </w:p>
        </w:tc>
        <w:tc>
          <w:tcPr>
            <w:tcW w:w="508" w:type="dxa"/>
            <w:tcBorders>
              <w:right w:val="single" w:color="000000" w:sz="12" w:space="0"/>
            </w:tcBorders>
            <w:vAlign w:val="top"/>
          </w:tcPr>
          <w:p w14:paraId="04876C67">
            <w:pPr>
              <w:rPr>
                <w:rFonts w:ascii="Arial"/>
                <w:sz w:val="21"/>
              </w:rPr>
            </w:pPr>
          </w:p>
        </w:tc>
      </w:tr>
      <w:tr w14:paraId="54C1B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1D180AD6">
            <w:pPr>
              <w:pStyle w:val="6"/>
              <w:spacing w:before="112" w:line="186" w:lineRule="auto"/>
              <w:ind w:left="121"/>
            </w:pPr>
            <w:r>
              <w:rPr>
                <w:b/>
                <w:bCs/>
                <w:spacing w:val="-2"/>
              </w:rPr>
              <w:t>F3</w:t>
            </w:r>
          </w:p>
        </w:tc>
        <w:tc>
          <w:tcPr>
            <w:tcW w:w="1257" w:type="dxa"/>
            <w:vAlign w:val="top"/>
          </w:tcPr>
          <w:p w14:paraId="190BE164">
            <w:pPr>
              <w:spacing w:before="74" w:line="218" w:lineRule="auto"/>
              <w:ind w:left="301"/>
              <w:rPr>
                <w:rFonts w:ascii="宋体" w:hAnsi="宋体" w:eastAsia="宋体" w:cs="宋体"/>
                <w:sz w:val="21"/>
                <w:szCs w:val="21"/>
              </w:rPr>
            </w:pPr>
            <w:r>
              <w:rPr>
                <w:rFonts w:ascii="宋体" w:hAnsi="宋体" w:eastAsia="宋体" w:cs="宋体"/>
                <w:b/>
                <w:bCs/>
                <w:spacing w:val="-4"/>
                <w:sz w:val="21"/>
                <w:szCs w:val="21"/>
              </w:rPr>
              <w:t>䴙䴘科</w:t>
            </w:r>
          </w:p>
        </w:tc>
        <w:tc>
          <w:tcPr>
            <w:tcW w:w="2394" w:type="dxa"/>
            <w:vAlign w:val="top"/>
          </w:tcPr>
          <w:p w14:paraId="264AC2F3">
            <w:pPr>
              <w:pStyle w:val="6"/>
              <w:spacing w:before="112" w:line="187" w:lineRule="auto"/>
              <w:ind w:left="560"/>
            </w:pPr>
            <w:r>
              <w:rPr>
                <w:b/>
                <w:bCs/>
                <w:spacing w:val="-1"/>
              </w:rPr>
              <w:t>Podicipedidae</w:t>
            </w:r>
          </w:p>
        </w:tc>
        <w:tc>
          <w:tcPr>
            <w:tcW w:w="685" w:type="dxa"/>
            <w:vAlign w:val="top"/>
          </w:tcPr>
          <w:p w14:paraId="2E33C6C8">
            <w:pPr>
              <w:rPr>
                <w:rFonts w:ascii="Arial"/>
                <w:sz w:val="21"/>
              </w:rPr>
            </w:pPr>
          </w:p>
        </w:tc>
        <w:tc>
          <w:tcPr>
            <w:tcW w:w="494" w:type="dxa"/>
            <w:vAlign w:val="top"/>
          </w:tcPr>
          <w:p w14:paraId="7CF0A5C9">
            <w:pPr>
              <w:rPr>
                <w:rFonts w:ascii="Arial"/>
                <w:sz w:val="21"/>
              </w:rPr>
            </w:pPr>
          </w:p>
        </w:tc>
        <w:tc>
          <w:tcPr>
            <w:tcW w:w="875" w:type="dxa"/>
            <w:vAlign w:val="top"/>
          </w:tcPr>
          <w:p w14:paraId="1F5B4746">
            <w:pPr>
              <w:rPr>
                <w:rFonts w:ascii="Arial"/>
                <w:sz w:val="21"/>
              </w:rPr>
            </w:pPr>
          </w:p>
        </w:tc>
        <w:tc>
          <w:tcPr>
            <w:tcW w:w="874" w:type="dxa"/>
            <w:vAlign w:val="top"/>
          </w:tcPr>
          <w:p w14:paraId="3281540A">
            <w:pPr>
              <w:rPr>
                <w:rFonts w:ascii="Arial"/>
                <w:sz w:val="21"/>
              </w:rPr>
            </w:pPr>
          </w:p>
        </w:tc>
        <w:tc>
          <w:tcPr>
            <w:tcW w:w="875" w:type="dxa"/>
            <w:vAlign w:val="top"/>
          </w:tcPr>
          <w:p w14:paraId="00FED1C7">
            <w:pPr>
              <w:rPr>
                <w:rFonts w:ascii="Arial"/>
                <w:sz w:val="21"/>
              </w:rPr>
            </w:pPr>
          </w:p>
        </w:tc>
        <w:tc>
          <w:tcPr>
            <w:tcW w:w="508" w:type="dxa"/>
            <w:tcBorders>
              <w:right w:val="single" w:color="000000" w:sz="12" w:space="0"/>
            </w:tcBorders>
            <w:vAlign w:val="top"/>
          </w:tcPr>
          <w:p w14:paraId="3CDC382E">
            <w:pPr>
              <w:rPr>
                <w:rFonts w:ascii="Arial"/>
                <w:sz w:val="21"/>
              </w:rPr>
            </w:pPr>
          </w:p>
        </w:tc>
      </w:tr>
      <w:tr w14:paraId="7251B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75D1979">
            <w:pPr>
              <w:pStyle w:val="6"/>
              <w:spacing w:before="102" w:line="218" w:lineRule="auto"/>
              <w:ind w:left="191"/>
            </w:pPr>
            <w:r>
              <w:t>5</w:t>
            </w:r>
          </w:p>
        </w:tc>
        <w:tc>
          <w:tcPr>
            <w:tcW w:w="1257" w:type="dxa"/>
            <w:vAlign w:val="top"/>
          </w:tcPr>
          <w:p w14:paraId="473F5DEB">
            <w:pPr>
              <w:spacing w:before="68" w:line="218" w:lineRule="auto"/>
              <w:ind w:left="309"/>
              <w:rPr>
                <w:rFonts w:ascii="宋体" w:hAnsi="宋体" w:eastAsia="宋体" w:cs="宋体"/>
                <w:sz w:val="21"/>
                <w:szCs w:val="21"/>
              </w:rPr>
            </w:pPr>
            <w:r>
              <w:rPr>
                <w:rFonts w:ascii="宋体" w:hAnsi="宋体" w:eastAsia="宋体" w:cs="宋体"/>
                <w:spacing w:val="-4"/>
                <w:sz w:val="21"/>
                <w:szCs w:val="21"/>
              </w:rPr>
              <w:t>小䴙䴘</w:t>
            </w:r>
          </w:p>
        </w:tc>
        <w:tc>
          <w:tcPr>
            <w:tcW w:w="2394" w:type="dxa"/>
            <w:vAlign w:val="top"/>
          </w:tcPr>
          <w:p w14:paraId="1AE83320">
            <w:pPr>
              <w:pStyle w:val="6"/>
              <w:spacing w:before="102" w:line="190" w:lineRule="auto"/>
              <w:ind w:left="258"/>
            </w:pPr>
            <w:r>
              <w:rPr>
                <w:i/>
                <w:iCs/>
                <w:spacing w:val="-1"/>
              </w:rPr>
              <w:t>Tachybaptus ruficollis</w:t>
            </w:r>
          </w:p>
        </w:tc>
        <w:tc>
          <w:tcPr>
            <w:tcW w:w="685" w:type="dxa"/>
            <w:vAlign w:val="top"/>
          </w:tcPr>
          <w:p w14:paraId="2992A8B7">
            <w:pPr>
              <w:pStyle w:val="6"/>
              <w:spacing w:before="109" w:line="183" w:lineRule="auto"/>
              <w:ind w:left="270"/>
            </w:pPr>
            <w:r>
              <w:t>R</w:t>
            </w:r>
          </w:p>
        </w:tc>
        <w:tc>
          <w:tcPr>
            <w:tcW w:w="494" w:type="dxa"/>
            <w:vAlign w:val="top"/>
          </w:tcPr>
          <w:p w14:paraId="77C053E3">
            <w:pPr>
              <w:pStyle w:val="6"/>
              <w:spacing w:before="105" w:line="186" w:lineRule="auto"/>
              <w:ind w:left="117"/>
            </w:pPr>
            <w:r>
              <w:rPr>
                <w:spacing w:val="-3"/>
              </w:rPr>
              <w:t>OP</w:t>
            </w:r>
          </w:p>
        </w:tc>
        <w:tc>
          <w:tcPr>
            <w:tcW w:w="875" w:type="dxa"/>
            <w:vAlign w:val="top"/>
          </w:tcPr>
          <w:p w14:paraId="03134385">
            <w:pPr>
              <w:rPr>
                <w:rFonts w:ascii="Arial"/>
                <w:sz w:val="21"/>
              </w:rPr>
            </w:pPr>
          </w:p>
        </w:tc>
        <w:tc>
          <w:tcPr>
            <w:tcW w:w="874" w:type="dxa"/>
            <w:vAlign w:val="top"/>
          </w:tcPr>
          <w:p w14:paraId="7463B0BF">
            <w:pPr>
              <w:pStyle w:val="6"/>
              <w:spacing w:before="102" w:line="218" w:lineRule="auto"/>
              <w:ind w:left="207"/>
            </w:pPr>
            <w:r>
              <w:rPr>
                <w:spacing w:val="-1"/>
              </w:rPr>
              <w:t>++++</w:t>
            </w:r>
          </w:p>
        </w:tc>
        <w:tc>
          <w:tcPr>
            <w:tcW w:w="875" w:type="dxa"/>
            <w:vAlign w:val="top"/>
          </w:tcPr>
          <w:p w14:paraId="5D811C83">
            <w:pPr>
              <w:pStyle w:val="6"/>
              <w:spacing w:before="105" w:line="186" w:lineRule="auto"/>
              <w:ind w:left="399"/>
            </w:pPr>
            <w:r>
              <w:t>S</w:t>
            </w:r>
          </w:p>
        </w:tc>
        <w:tc>
          <w:tcPr>
            <w:tcW w:w="508" w:type="dxa"/>
            <w:tcBorders>
              <w:right w:val="single" w:color="000000" w:sz="12" w:space="0"/>
            </w:tcBorders>
            <w:vAlign w:val="top"/>
          </w:tcPr>
          <w:p w14:paraId="55CC3813">
            <w:pPr>
              <w:rPr>
                <w:rFonts w:ascii="Arial"/>
                <w:sz w:val="21"/>
              </w:rPr>
            </w:pPr>
          </w:p>
        </w:tc>
      </w:tr>
      <w:tr w14:paraId="309F3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E883E94">
            <w:pPr>
              <w:pStyle w:val="6"/>
              <w:spacing w:before="114" w:line="186" w:lineRule="auto"/>
              <w:ind w:left="106"/>
            </w:pPr>
            <w:r>
              <w:rPr>
                <w:b/>
                <w:bCs/>
                <w:spacing w:val="-3"/>
              </w:rPr>
              <w:t>O4</w:t>
            </w:r>
          </w:p>
        </w:tc>
        <w:tc>
          <w:tcPr>
            <w:tcW w:w="1257" w:type="dxa"/>
            <w:vAlign w:val="top"/>
          </w:tcPr>
          <w:p w14:paraId="0E50CFB7">
            <w:pPr>
              <w:spacing w:before="75" w:line="220" w:lineRule="auto"/>
              <w:ind w:left="304"/>
              <w:rPr>
                <w:rFonts w:ascii="宋体" w:hAnsi="宋体" w:eastAsia="宋体" w:cs="宋体"/>
                <w:sz w:val="21"/>
                <w:szCs w:val="21"/>
              </w:rPr>
            </w:pPr>
            <w:r>
              <w:rPr>
                <w:rFonts w:ascii="宋体" w:hAnsi="宋体" w:eastAsia="宋体" w:cs="宋体"/>
                <w:b/>
                <w:bCs/>
                <w:spacing w:val="-4"/>
                <w:sz w:val="21"/>
                <w:szCs w:val="21"/>
              </w:rPr>
              <w:t>鸽形目</w:t>
            </w:r>
          </w:p>
        </w:tc>
        <w:tc>
          <w:tcPr>
            <w:tcW w:w="2394" w:type="dxa"/>
            <w:vAlign w:val="top"/>
          </w:tcPr>
          <w:p w14:paraId="4FD5C941">
            <w:pPr>
              <w:pStyle w:val="6"/>
              <w:spacing w:before="114" w:line="186" w:lineRule="auto"/>
              <w:ind w:left="494"/>
            </w:pPr>
            <w:r>
              <w:rPr>
                <w:b/>
                <w:bCs/>
                <w:spacing w:val="-1"/>
              </w:rPr>
              <w:t>Columbiformes</w:t>
            </w:r>
          </w:p>
        </w:tc>
        <w:tc>
          <w:tcPr>
            <w:tcW w:w="685" w:type="dxa"/>
            <w:vAlign w:val="top"/>
          </w:tcPr>
          <w:p w14:paraId="482412CF">
            <w:pPr>
              <w:rPr>
                <w:rFonts w:ascii="Arial"/>
                <w:sz w:val="21"/>
              </w:rPr>
            </w:pPr>
          </w:p>
        </w:tc>
        <w:tc>
          <w:tcPr>
            <w:tcW w:w="494" w:type="dxa"/>
            <w:vAlign w:val="top"/>
          </w:tcPr>
          <w:p w14:paraId="47BB7515">
            <w:pPr>
              <w:rPr>
                <w:rFonts w:ascii="Arial"/>
                <w:sz w:val="21"/>
              </w:rPr>
            </w:pPr>
          </w:p>
        </w:tc>
        <w:tc>
          <w:tcPr>
            <w:tcW w:w="875" w:type="dxa"/>
            <w:vAlign w:val="top"/>
          </w:tcPr>
          <w:p w14:paraId="3F449EBF">
            <w:pPr>
              <w:rPr>
                <w:rFonts w:ascii="Arial"/>
                <w:sz w:val="21"/>
              </w:rPr>
            </w:pPr>
          </w:p>
        </w:tc>
        <w:tc>
          <w:tcPr>
            <w:tcW w:w="874" w:type="dxa"/>
            <w:vAlign w:val="top"/>
          </w:tcPr>
          <w:p w14:paraId="27B9CFC4">
            <w:pPr>
              <w:rPr>
                <w:rFonts w:ascii="Arial"/>
                <w:sz w:val="21"/>
              </w:rPr>
            </w:pPr>
          </w:p>
        </w:tc>
        <w:tc>
          <w:tcPr>
            <w:tcW w:w="875" w:type="dxa"/>
            <w:vAlign w:val="top"/>
          </w:tcPr>
          <w:p w14:paraId="13FA64DB">
            <w:pPr>
              <w:rPr>
                <w:rFonts w:ascii="Arial"/>
                <w:sz w:val="21"/>
              </w:rPr>
            </w:pPr>
          </w:p>
        </w:tc>
        <w:tc>
          <w:tcPr>
            <w:tcW w:w="508" w:type="dxa"/>
            <w:tcBorders>
              <w:right w:val="single" w:color="000000" w:sz="12" w:space="0"/>
            </w:tcBorders>
            <w:vAlign w:val="top"/>
          </w:tcPr>
          <w:p w14:paraId="14F8D158">
            <w:pPr>
              <w:rPr>
                <w:rFonts w:ascii="Arial"/>
                <w:sz w:val="21"/>
              </w:rPr>
            </w:pPr>
          </w:p>
        </w:tc>
      </w:tr>
      <w:tr w14:paraId="0617F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47083274">
            <w:pPr>
              <w:pStyle w:val="6"/>
              <w:spacing w:before="114" w:line="186" w:lineRule="auto"/>
              <w:ind w:left="121"/>
            </w:pPr>
            <w:r>
              <w:rPr>
                <w:b/>
                <w:bCs/>
                <w:spacing w:val="-2"/>
              </w:rPr>
              <w:t>F4</w:t>
            </w:r>
          </w:p>
        </w:tc>
        <w:tc>
          <w:tcPr>
            <w:tcW w:w="1257" w:type="dxa"/>
            <w:vAlign w:val="top"/>
          </w:tcPr>
          <w:p w14:paraId="41FC933B">
            <w:pPr>
              <w:spacing w:before="75" w:line="219" w:lineRule="auto"/>
              <w:ind w:left="302"/>
              <w:rPr>
                <w:rFonts w:ascii="宋体" w:hAnsi="宋体" w:eastAsia="宋体" w:cs="宋体"/>
                <w:sz w:val="21"/>
                <w:szCs w:val="21"/>
              </w:rPr>
            </w:pPr>
            <w:r>
              <w:rPr>
                <w:rFonts w:ascii="宋体" w:hAnsi="宋体" w:eastAsia="宋体" w:cs="宋体"/>
                <w:b/>
                <w:bCs/>
                <w:spacing w:val="-4"/>
                <w:sz w:val="21"/>
                <w:szCs w:val="21"/>
              </w:rPr>
              <w:t>鸠鸽科</w:t>
            </w:r>
          </w:p>
        </w:tc>
        <w:tc>
          <w:tcPr>
            <w:tcW w:w="2394" w:type="dxa"/>
            <w:vAlign w:val="top"/>
          </w:tcPr>
          <w:p w14:paraId="603510D0">
            <w:pPr>
              <w:pStyle w:val="6"/>
              <w:spacing w:before="114" w:line="186" w:lineRule="auto"/>
              <w:ind w:left="645"/>
            </w:pPr>
            <w:r>
              <w:rPr>
                <w:b/>
                <w:bCs/>
                <w:spacing w:val="-1"/>
              </w:rPr>
              <w:t>Columbidae</w:t>
            </w:r>
          </w:p>
        </w:tc>
        <w:tc>
          <w:tcPr>
            <w:tcW w:w="685" w:type="dxa"/>
            <w:vAlign w:val="top"/>
          </w:tcPr>
          <w:p w14:paraId="4B7AC096">
            <w:pPr>
              <w:rPr>
                <w:rFonts w:ascii="Arial"/>
                <w:sz w:val="21"/>
              </w:rPr>
            </w:pPr>
          </w:p>
        </w:tc>
        <w:tc>
          <w:tcPr>
            <w:tcW w:w="494" w:type="dxa"/>
            <w:vAlign w:val="top"/>
          </w:tcPr>
          <w:p w14:paraId="58C0DE07">
            <w:pPr>
              <w:rPr>
                <w:rFonts w:ascii="Arial"/>
                <w:sz w:val="21"/>
              </w:rPr>
            </w:pPr>
          </w:p>
        </w:tc>
        <w:tc>
          <w:tcPr>
            <w:tcW w:w="875" w:type="dxa"/>
            <w:vAlign w:val="top"/>
          </w:tcPr>
          <w:p w14:paraId="35E09B24">
            <w:pPr>
              <w:rPr>
                <w:rFonts w:ascii="Arial"/>
                <w:sz w:val="21"/>
              </w:rPr>
            </w:pPr>
          </w:p>
        </w:tc>
        <w:tc>
          <w:tcPr>
            <w:tcW w:w="874" w:type="dxa"/>
            <w:vAlign w:val="top"/>
          </w:tcPr>
          <w:p w14:paraId="5A3195A5">
            <w:pPr>
              <w:rPr>
                <w:rFonts w:ascii="Arial"/>
                <w:sz w:val="21"/>
              </w:rPr>
            </w:pPr>
          </w:p>
        </w:tc>
        <w:tc>
          <w:tcPr>
            <w:tcW w:w="875" w:type="dxa"/>
            <w:vAlign w:val="top"/>
          </w:tcPr>
          <w:p w14:paraId="3C49975C">
            <w:pPr>
              <w:rPr>
                <w:rFonts w:ascii="Arial"/>
                <w:sz w:val="21"/>
              </w:rPr>
            </w:pPr>
          </w:p>
        </w:tc>
        <w:tc>
          <w:tcPr>
            <w:tcW w:w="508" w:type="dxa"/>
            <w:tcBorders>
              <w:right w:val="single" w:color="000000" w:sz="12" w:space="0"/>
            </w:tcBorders>
            <w:vAlign w:val="top"/>
          </w:tcPr>
          <w:p w14:paraId="2EBB412C">
            <w:pPr>
              <w:rPr>
                <w:rFonts w:ascii="Arial"/>
                <w:sz w:val="21"/>
              </w:rPr>
            </w:pPr>
          </w:p>
        </w:tc>
      </w:tr>
      <w:tr w14:paraId="1BE64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64DCD262">
            <w:pPr>
              <w:pStyle w:val="6"/>
              <w:spacing w:before="104" w:line="218" w:lineRule="auto"/>
              <w:ind w:left="190"/>
            </w:pPr>
            <w:r>
              <w:t>6</w:t>
            </w:r>
          </w:p>
        </w:tc>
        <w:tc>
          <w:tcPr>
            <w:tcW w:w="1257" w:type="dxa"/>
            <w:vAlign w:val="top"/>
          </w:tcPr>
          <w:p w14:paraId="2873278A">
            <w:pPr>
              <w:spacing w:before="71" w:line="220" w:lineRule="auto"/>
              <w:ind w:left="322"/>
              <w:rPr>
                <w:rFonts w:ascii="宋体" w:hAnsi="宋体" w:eastAsia="宋体" w:cs="宋体"/>
                <w:sz w:val="21"/>
                <w:szCs w:val="21"/>
              </w:rPr>
            </w:pPr>
            <w:r>
              <w:rPr>
                <w:rFonts w:ascii="宋体" w:hAnsi="宋体" w:eastAsia="宋体" w:cs="宋体"/>
                <w:spacing w:val="-7"/>
                <w:sz w:val="21"/>
                <w:szCs w:val="21"/>
              </w:rPr>
              <w:t>山斑鸠</w:t>
            </w:r>
          </w:p>
        </w:tc>
        <w:tc>
          <w:tcPr>
            <w:tcW w:w="2394" w:type="dxa"/>
            <w:vAlign w:val="top"/>
          </w:tcPr>
          <w:p w14:paraId="6F37F50E">
            <w:pPr>
              <w:pStyle w:val="6"/>
              <w:spacing w:before="105" w:line="190" w:lineRule="auto"/>
              <w:ind w:left="245"/>
            </w:pPr>
            <w:r>
              <w:rPr>
                <w:i/>
                <w:iCs/>
              </w:rPr>
              <w:t>Streptopelia orientalis</w:t>
            </w:r>
          </w:p>
        </w:tc>
        <w:tc>
          <w:tcPr>
            <w:tcW w:w="685" w:type="dxa"/>
            <w:vAlign w:val="top"/>
          </w:tcPr>
          <w:p w14:paraId="37847F69">
            <w:pPr>
              <w:pStyle w:val="6"/>
              <w:spacing w:before="111" w:line="183" w:lineRule="auto"/>
              <w:ind w:left="270"/>
            </w:pPr>
            <w:r>
              <w:t>R</w:t>
            </w:r>
          </w:p>
        </w:tc>
        <w:tc>
          <w:tcPr>
            <w:tcW w:w="494" w:type="dxa"/>
            <w:vAlign w:val="top"/>
          </w:tcPr>
          <w:p w14:paraId="0F3B6FDC">
            <w:pPr>
              <w:pStyle w:val="6"/>
              <w:spacing w:before="108" w:line="186" w:lineRule="auto"/>
              <w:ind w:left="117"/>
            </w:pPr>
            <w:r>
              <w:rPr>
                <w:spacing w:val="-3"/>
              </w:rPr>
              <w:t>OP</w:t>
            </w:r>
          </w:p>
        </w:tc>
        <w:tc>
          <w:tcPr>
            <w:tcW w:w="875" w:type="dxa"/>
            <w:vAlign w:val="top"/>
          </w:tcPr>
          <w:p w14:paraId="3EA7DB70">
            <w:pPr>
              <w:rPr>
                <w:rFonts w:ascii="Arial"/>
                <w:sz w:val="21"/>
              </w:rPr>
            </w:pPr>
          </w:p>
        </w:tc>
        <w:tc>
          <w:tcPr>
            <w:tcW w:w="874" w:type="dxa"/>
            <w:vAlign w:val="top"/>
          </w:tcPr>
          <w:p w14:paraId="5E42AD2E">
            <w:pPr>
              <w:pStyle w:val="6"/>
              <w:spacing w:before="104" w:line="218" w:lineRule="auto"/>
              <w:ind w:left="266"/>
            </w:pPr>
            <w:r>
              <w:rPr>
                <w:spacing w:val="-1"/>
              </w:rPr>
              <w:t>+++</w:t>
            </w:r>
          </w:p>
        </w:tc>
        <w:tc>
          <w:tcPr>
            <w:tcW w:w="875" w:type="dxa"/>
            <w:vAlign w:val="top"/>
          </w:tcPr>
          <w:p w14:paraId="7A140FEB">
            <w:pPr>
              <w:pStyle w:val="6"/>
              <w:spacing w:before="109"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4EA75CEA">
            <w:pPr>
              <w:rPr>
                <w:rFonts w:ascii="Arial"/>
                <w:sz w:val="21"/>
              </w:rPr>
            </w:pPr>
          </w:p>
        </w:tc>
      </w:tr>
      <w:tr w14:paraId="1E782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5797030B">
            <w:pPr>
              <w:pStyle w:val="6"/>
              <w:spacing w:before="104" w:line="217" w:lineRule="auto"/>
              <w:ind w:left="188"/>
            </w:pPr>
            <w:r>
              <w:t>7</w:t>
            </w:r>
          </w:p>
        </w:tc>
        <w:tc>
          <w:tcPr>
            <w:tcW w:w="1257" w:type="dxa"/>
            <w:vAlign w:val="top"/>
          </w:tcPr>
          <w:p w14:paraId="36FB195C">
            <w:pPr>
              <w:spacing w:before="70" w:line="220" w:lineRule="auto"/>
              <w:ind w:left="200"/>
              <w:rPr>
                <w:rFonts w:ascii="宋体" w:hAnsi="宋体" w:eastAsia="宋体" w:cs="宋体"/>
                <w:sz w:val="21"/>
                <w:szCs w:val="21"/>
              </w:rPr>
            </w:pPr>
            <w:r>
              <w:rPr>
                <w:rFonts w:ascii="宋体" w:hAnsi="宋体" w:eastAsia="宋体" w:cs="宋体"/>
                <w:spacing w:val="-2"/>
                <w:sz w:val="21"/>
                <w:szCs w:val="21"/>
              </w:rPr>
              <w:t>珠颈斑鸠</w:t>
            </w:r>
          </w:p>
        </w:tc>
        <w:tc>
          <w:tcPr>
            <w:tcW w:w="2394" w:type="dxa"/>
            <w:vAlign w:val="top"/>
          </w:tcPr>
          <w:p w14:paraId="1B781224">
            <w:pPr>
              <w:pStyle w:val="6"/>
              <w:spacing w:before="104" w:line="190" w:lineRule="auto"/>
              <w:ind w:left="257"/>
            </w:pPr>
            <w:r>
              <w:rPr>
                <w:i/>
                <w:iCs/>
              </w:rPr>
              <w:t>Streptopelia chinen</w:t>
            </w:r>
            <w:r>
              <w:rPr>
                <w:i/>
                <w:iCs/>
                <w:spacing w:val="-1"/>
              </w:rPr>
              <w:t>sis</w:t>
            </w:r>
          </w:p>
        </w:tc>
        <w:tc>
          <w:tcPr>
            <w:tcW w:w="685" w:type="dxa"/>
            <w:vAlign w:val="top"/>
          </w:tcPr>
          <w:p w14:paraId="2B7737C5">
            <w:pPr>
              <w:pStyle w:val="6"/>
              <w:spacing w:before="111" w:line="183" w:lineRule="auto"/>
              <w:ind w:left="270"/>
            </w:pPr>
            <w:r>
              <w:t>R</w:t>
            </w:r>
          </w:p>
        </w:tc>
        <w:tc>
          <w:tcPr>
            <w:tcW w:w="494" w:type="dxa"/>
            <w:vAlign w:val="top"/>
          </w:tcPr>
          <w:p w14:paraId="798ADD02">
            <w:pPr>
              <w:pStyle w:val="6"/>
              <w:spacing w:before="107" w:line="186" w:lineRule="auto"/>
              <w:ind w:left="175"/>
            </w:pPr>
            <w:r>
              <w:t>O</w:t>
            </w:r>
          </w:p>
        </w:tc>
        <w:tc>
          <w:tcPr>
            <w:tcW w:w="875" w:type="dxa"/>
            <w:vAlign w:val="top"/>
          </w:tcPr>
          <w:p w14:paraId="074FC72E">
            <w:pPr>
              <w:rPr>
                <w:rFonts w:ascii="Arial"/>
                <w:sz w:val="21"/>
              </w:rPr>
            </w:pPr>
          </w:p>
        </w:tc>
        <w:tc>
          <w:tcPr>
            <w:tcW w:w="874" w:type="dxa"/>
            <w:vAlign w:val="top"/>
          </w:tcPr>
          <w:p w14:paraId="783EB574">
            <w:pPr>
              <w:pStyle w:val="6"/>
              <w:spacing w:before="104" w:line="217" w:lineRule="auto"/>
              <w:ind w:left="266"/>
            </w:pPr>
            <w:r>
              <w:rPr>
                <w:spacing w:val="-1"/>
              </w:rPr>
              <w:t>+++</w:t>
            </w:r>
          </w:p>
        </w:tc>
        <w:tc>
          <w:tcPr>
            <w:tcW w:w="875" w:type="dxa"/>
            <w:vAlign w:val="top"/>
          </w:tcPr>
          <w:p w14:paraId="4E8BAB16">
            <w:pPr>
              <w:pStyle w:val="6"/>
              <w:spacing w:before="107" w:line="186" w:lineRule="auto"/>
              <w:ind w:left="399"/>
            </w:pPr>
            <w:r>
              <w:t>S</w:t>
            </w:r>
          </w:p>
        </w:tc>
        <w:tc>
          <w:tcPr>
            <w:tcW w:w="508" w:type="dxa"/>
            <w:tcBorders>
              <w:right w:val="single" w:color="000000" w:sz="12" w:space="0"/>
            </w:tcBorders>
            <w:vAlign w:val="top"/>
          </w:tcPr>
          <w:p w14:paraId="14EC3ECE">
            <w:pPr>
              <w:rPr>
                <w:rFonts w:ascii="Arial"/>
                <w:sz w:val="21"/>
              </w:rPr>
            </w:pPr>
          </w:p>
        </w:tc>
      </w:tr>
      <w:tr w14:paraId="43720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7CE51A9">
            <w:pPr>
              <w:pStyle w:val="6"/>
              <w:spacing w:before="109" w:line="186" w:lineRule="auto"/>
              <w:ind w:left="106"/>
            </w:pPr>
            <w:r>
              <w:rPr>
                <w:b/>
                <w:bCs/>
                <w:spacing w:val="-3"/>
              </w:rPr>
              <w:t>O5</w:t>
            </w:r>
          </w:p>
        </w:tc>
        <w:tc>
          <w:tcPr>
            <w:tcW w:w="1257" w:type="dxa"/>
            <w:vAlign w:val="top"/>
          </w:tcPr>
          <w:p w14:paraId="61966510">
            <w:pPr>
              <w:spacing w:before="70" w:line="220" w:lineRule="auto"/>
              <w:ind w:left="306"/>
              <w:rPr>
                <w:rFonts w:ascii="宋体" w:hAnsi="宋体" w:eastAsia="宋体" w:cs="宋体"/>
                <w:sz w:val="21"/>
                <w:szCs w:val="21"/>
              </w:rPr>
            </w:pPr>
            <w:r>
              <w:rPr>
                <w:rFonts w:ascii="宋体" w:hAnsi="宋体" w:eastAsia="宋体" w:cs="宋体"/>
                <w:b/>
                <w:bCs/>
                <w:spacing w:val="-5"/>
                <w:sz w:val="21"/>
                <w:szCs w:val="21"/>
              </w:rPr>
              <w:t>夜鹰目</w:t>
            </w:r>
          </w:p>
        </w:tc>
        <w:tc>
          <w:tcPr>
            <w:tcW w:w="2394" w:type="dxa"/>
            <w:vAlign w:val="top"/>
          </w:tcPr>
          <w:p w14:paraId="4C6988A0">
            <w:pPr>
              <w:pStyle w:val="6"/>
              <w:spacing w:before="109" w:line="186" w:lineRule="auto"/>
              <w:ind w:left="366"/>
            </w:pPr>
            <w:r>
              <w:rPr>
                <w:b/>
                <w:bCs/>
                <w:spacing w:val="-1"/>
              </w:rPr>
              <w:t>Caprimulgiformes</w:t>
            </w:r>
          </w:p>
        </w:tc>
        <w:tc>
          <w:tcPr>
            <w:tcW w:w="685" w:type="dxa"/>
            <w:vAlign w:val="top"/>
          </w:tcPr>
          <w:p w14:paraId="31908DC6">
            <w:pPr>
              <w:rPr>
                <w:rFonts w:ascii="Arial"/>
                <w:sz w:val="21"/>
              </w:rPr>
            </w:pPr>
          </w:p>
        </w:tc>
        <w:tc>
          <w:tcPr>
            <w:tcW w:w="494" w:type="dxa"/>
            <w:vAlign w:val="top"/>
          </w:tcPr>
          <w:p w14:paraId="54AECA7C">
            <w:pPr>
              <w:rPr>
                <w:rFonts w:ascii="Arial"/>
                <w:sz w:val="21"/>
              </w:rPr>
            </w:pPr>
          </w:p>
        </w:tc>
        <w:tc>
          <w:tcPr>
            <w:tcW w:w="875" w:type="dxa"/>
            <w:vAlign w:val="top"/>
          </w:tcPr>
          <w:p w14:paraId="266AD9B5">
            <w:pPr>
              <w:rPr>
                <w:rFonts w:ascii="Arial"/>
                <w:sz w:val="21"/>
              </w:rPr>
            </w:pPr>
          </w:p>
        </w:tc>
        <w:tc>
          <w:tcPr>
            <w:tcW w:w="874" w:type="dxa"/>
            <w:vAlign w:val="top"/>
          </w:tcPr>
          <w:p w14:paraId="56F209AB">
            <w:pPr>
              <w:rPr>
                <w:rFonts w:ascii="Arial"/>
                <w:sz w:val="21"/>
              </w:rPr>
            </w:pPr>
          </w:p>
        </w:tc>
        <w:tc>
          <w:tcPr>
            <w:tcW w:w="875" w:type="dxa"/>
            <w:vAlign w:val="top"/>
          </w:tcPr>
          <w:p w14:paraId="3EE0BAEF">
            <w:pPr>
              <w:rPr>
                <w:rFonts w:ascii="Arial"/>
                <w:sz w:val="21"/>
              </w:rPr>
            </w:pPr>
          </w:p>
        </w:tc>
        <w:tc>
          <w:tcPr>
            <w:tcW w:w="508" w:type="dxa"/>
            <w:tcBorders>
              <w:right w:val="single" w:color="000000" w:sz="12" w:space="0"/>
            </w:tcBorders>
            <w:vAlign w:val="top"/>
          </w:tcPr>
          <w:p w14:paraId="74697607">
            <w:pPr>
              <w:rPr>
                <w:rFonts w:ascii="Arial"/>
                <w:sz w:val="21"/>
              </w:rPr>
            </w:pPr>
          </w:p>
        </w:tc>
      </w:tr>
      <w:tr w14:paraId="44D7E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E55801C">
            <w:pPr>
              <w:pStyle w:val="6"/>
              <w:spacing w:before="115" w:line="183" w:lineRule="auto"/>
              <w:ind w:left="121"/>
            </w:pPr>
            <w:r>
              <w:rPr>
                <w:b/>
                <w:bCs/>
                <w:spacing w:val="-2"/>
              </w:rPr>
              <w:t>F5</w:t>
            </w:r>
          </w:p>
        </w:tc>
        <w:tc>
          <w:tcPr>
            <w:tcW w:w="1257" w:type="dxa"/>
            <w:vAlign w:val="top"/>
          </w:tcPr>
          <w:p w14:paraId="5694D831">
            <w:pPr>
              <w:spacing w:before="74" w:line="218" w:lineRule="auto"/>
              <w:ind w:left="306"/>
              <w:rPr>
                <w:rFonts w:ascii="宋体" w:hAnsi="宋体" w:eastAsia="宋体" w:cs="宋体"/>
                <w:sz w:val="21"/>
                <w:szCs w:val="21"/>
              </w:rPr>
            </w:pPr>
            <w:r>
              <w:rPr>
                <w:rFonts w:ascii="宋体" w:hAnsi="宋体" w:eastAsia="宋体" w:cs="宋体"/>
                <w:b/>
                <w:bCs/>
                <w:spacing w:val="-5"/>
                <w:sz w:val="21"/>
                <w:szCs w:val="21"/>
              </w:rPr>
              <w:t>夜鹰科</w:t>
            </w:r>
          </w:p>
        </w:tc>
        <w:tc>
          <w:tcPr>
            <w:tcW w:w="2394" w:type="dxa"/>
            <w:vAlign w:val="top"/>
          </w:tcPr>
          <w:p w14:paraId="5E02E728">
            <w:pPr>
              <w:pStyle w:val="6"/>
              <w:spacing w:before="112" w:line="186" w:lineRule="auto"/>
              <w:ind w:left="517"/>
            </w:pPr>
            <w:r>
              <w:rPr>
                <w:b/>
                <w:bCs/>
                <w:spacing w:val="-1"/>
              </w:rPr>
              <w:t>Caprimulgidae</w:t>
            </w:r>
          </w:p>
        </w:tc>
        <w:tc>
          <w:tcPr>
            <w:tcW w:w="685" w:type="dxa"/>
            <w:vAlign w:val="top"/>
          </w:tcPr>
          <w:p w14:paraId="5CE2B609">
            <w:pPr>
              <w:rPr>
                <w:rFonts w:ascii="Arial"/>
                <w:sz w:val="21"/>
              </w:rPr>
            </w:pPr>
          </w:p>
        </w:tc>
        <w:tc>
          <w:tcPr>
            <w:tcW w:w="494" w:type="dxa"/>
            <w:vAlign w:val="top"/>
          </w:tcPr>
          <w:p w14:paraId="1FED9E91">
            <w:pPr>
              <w:rPr>
                <w:rFonts w:ascii="Arial"/>
                <w:sz w:val="21"/>
              </w:rPr>
            </w:pPr>
          </w:p>
        </w:tc>
        <w:tc>
          <w:tcPr>
            <w:tcW w:w="875" w:type="dxa"/>
            <w:vAlign w:val="top"/>
          </w:tcPr>
          <w:p w14:paraId="53772CCA">
            <w:pPr>
              <w:rPr>
                <w:rFonts w:ascii="Arial"/>
                <w:sz w:val="21"/>
              </w:rPr>
            </w:pPr>
          </w:p>
        </w:tc>
        <w:tc>
          <w:tcPr>
            <w:tcW w:w="874" w:type="dxa"/>
            <w:vAlign w:val="top"/>
          </w:tcPr>
          <w:p w14:paraId="4B11E9B0">
            <w:pPr>
              <w:rPr>
                <w:rFonts w:ascii="Arial"/>
                <w:sz w:val="21"/>
              </w:rPr>
            </w:pPr>
          </w:p>
        </w:tc>
        <w:tc>
          <w:tcPr>
            <w:tcW w:w="875" w:type="dxa"/>
            <w:vAlign w:val="top"/>
          </w:tcPr>
          <w:p w14:paraId="23645B32">
            <w:pPr>
              <w:rPr>
                <w:rFonts w:ascii="Arial"/>
                <w:sz w:val="21"/>
              </w:rPr>
            </w:pPr>
          </w:p>
        </w:tc>
        <w:tc>
          <w:tcPr>
            <w:tcW w:w="508" w:type="dxa"/>
            <w:tcBorders>
              <w:right w:val="single" w:color="000000" w:sz="12" w:space="0"/>
            </w:tcBorders>
            <w:vAlign w:val="top"/>
          </w:tcPr>
          <w:p w14:paraId="1EF5CA55">
            <w:pPr>
              <w:rPr>
                <w:rFonts w:ascii="Arial"/>
                <w:sz w:val="21"/>
              </w:rPr>
            </w:pPr>
          </w:p>
        </w:tc>
      </w:tr>
      <w:tr w14:paraId="11406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32C3DD8">
            <w:pPr>
              <w:pStyle w:val="6"/>
              <w:spacing w:before="108" w:line="212" w:lineRule="auto"/>
              <w:ind w:left="194"/>
            </w:pPr>
            <w:r>
              <w:t>8</w:t>
            </w:r>
          </w:p>
        </w:tc>
        <w:tc>
          <w:tcPr>
            <w:tcW w:w="1257" w:type="dxa"/>
            <w:vAlign w:val="top"/>
          </w:tcPr>
          <w:p w14:paraId="74D32D55">
            <w:pPr>
              <w:spacing w:before="75" w:line="217" w:lineRule="auto"/>
              <w:ind w:left="198"/>
              <w:rPr>
                <w:rFonts w:ascii="宋体" w:hAnsi="宋体" w:eastAsia="宋体" w:cs="宋体"/>
                <w:sz w:val="21"/>
                <w:szCs w:val="21"/>
              </w:rPr>
            </w:pPr>
            <w:r>
              <w:rPr>
                <w:rFonts w:ascii="宋体" w:hAnsi="宋体" w:eastAsia="宋体" w:cs="宋体"/>
                <w:spacing w:val="-2"/>
                <w:sz w:val="21"/>
                <w:szCs w:val="21"/>
              </w:rPr>
              <w:t>普通夜鹰</w:t>
            </w:r>
          </w:p>
        </w:tc>
        <w:tc>
          <w:tcPr>
            <w:tcW w:w="2394" w:type="dxa"/>
            <w:vAlign w:val="top"/>
          </w:tcPr>
          <w:p w14:paraId="43BC7B8D">
            <w:pPr>
              <w:pStyle w:val="6"/>
              <w:spacing w:before="108" w:line="190" w:lineRule="auto"/>
              <w:ind w:left="322"/>
            </w:pPr>
            <w:r>
              <w:rPr>
                <w:i/>
                <w:iCs/>
                <w:spacing w:val="-1"/>
              </w:rPr>
              <w:t>Caprimulgus indicus</w:t>
            </w:r>
          </w:p>
        </w:tc>
        <w:tc>
          <w:tcPr>
            <w:tcW w:w="685" w:type="dxa"/>
            <w:vAlign w:val="top"/>
          </w:tcPr>
          <w:p w14:paraId="5C4B600B">
            <w:pPr>
              <w:pStyle w:val="6"/>
              <w:spacing w:before="112" w:line="186" w:lineRule="auto"/>
              <w:ind w:left="292"/>
            </w:pPr>
            <w:r>
              <w:t>S</w:t>
            </w:r>
          </w:p>
        </w:tc>
        <w:tc>
          <w:tcPr>
            <w:tcW w:w="494" w:type="dxa"/>
            <w:vAlign w:val="top"/>
          </w:tcPr>
          <w:p w14:paraId="5BDCA064">
            <w:pPr>
              <w:pStyle w:val="6"/>
              <w:spacing w:before="112" w:line="186" w:lineRule="auto"/>
              <w:ind w:left="117"/>
            </w:pPr>
            <w:r>
              <w:rPr>
                <w:spacing w:val="-3"/>
              </w:rPr>
              <w:t>OP</w:t>
            </w:r>
          </w:p>
        </w:tc>
        <w:tc>
          <w:tcPr>
            <w:tcW w:w="875" w:type="dxa"/>
            <w:vAlign w:val="top"/>
          </w:tcPr>
          <w:p w14:paraId="5A99F63A">
            <w:pPr>
              <w:rPr>
                <w:rFonts w:ascii="Arial"/>
                <w:sz w:val="21"/>
              </w:rPr>
            </w:pPr>
          </w:p>
        </w:tc>
        <w:tc>
          <w:tcPr>
            <w:tcW w:w="874" w:type="dxa"/>
            <w:vAlign w:val="top"/>
          </w:tcPr>
          <w:p w14:paraId="2B46EE58">
            <w:pPr>
              <w:pStyle w:val="6"/>
              <w:spacing w:before="108" w:line="212" w:lineRule="auto"/>
              <w:ind w:left="326"/>
            </w:pPr>
            <w:r>
              <w:rPr>
                <w:spacing w:val="-1"/>
              </w:rPr>
              <w:t>++</w:t>
            </w:r>
          </w:p>
        </w:tc>
        <w:tc>
          <w:tcPr>
            <w:tcW w:w="875" w:type="dxa"/>
            <w:vAlign w:val="top"/>
          </w:tcPr>
          <w:p w14:paraId="6EB8BC3B">
            <w:pPr>
              <w:pStyle w:val="6"/>
              <w:spacing w:before="112" w:line="186" w:lineRule="auto"/>
              <w:ind w:left="399"/>
            </w:pPr>
            <w:r>
              <w:t>S</w:t>
            </w:r>
          </w:p>
        </w:tc>
        <w:tc>
          <w:tcPr>
            <w:tcW w:w="508" w:type="dxa"/>
            <w:tcBorders>
              <w:right w:val="single" w:color="000000" w:sz="12" w:space="0"/>
            </w:tcBorders>
            <w:vAlign w:val="top"/>
          </w:tcPr>
          <w:p w14:paraId="38CA3C91">
            <w:pPr>
              <w:spacing w:before="75" w:line="217" w:lineRule="auto"/>
              <w:ind w:left="169"/>
              <w:rPr>
                <w:rFonts w:ascii="宋体" w:hAnsi="宋体" w:eastAsia="宋体" w:cs="宋体"/>
                <w:sz w:val="21"/>
                <w:szCs w:val="21"/>
              </w:rPr>
            </w:pPr>
            <w:r>
              <w:rPr>
                <w:rFonts w:ascii="宋体" w:hAnsi="宋体" w:eastAsia="宋体" w:cs="宋体"/>
                <w:sz w:val="21"/>
                <w:szCs w:val="21"/>
              </w:rPr>
              <w:t>鸣</w:t>
            </w:r>
          </w:p>
        </w:tc>
      </w:tr>
      <w:tr w14:paraId="01190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01CF0C02">
            <w:pPr>
              <w:pStyle w:val="6"/>
              <w:spacing w:before="120" w:line="186" w:lineRule="auto"/>
              <w:ind w:left="106"/>
            </w:pPr>
            <w:r>
              <w:rPr>
                <w:b/>
                <w:bCs/>
                <w:spacing w:val="-3"/>
              </w:rPr>
              <w:t>O6</w:t>
            </w:r>
          </w:p>
        </w:tc>
        <w:tc>
          <w:tcPr>
            <w:tcW w:w="1257" w:type="dxa"/>
            <w:vAlign w:val="top"/>
          </w:tcPr>
          <w:p w14:paraId="01307A6A">
            <w:pPr>
              <w:spacing w:before="81" w:line="220" w:lineRule="auto"/>
              <w:ind w:left="310"/>
              <w:rPr>
                <w:rFonts w:ascii="宋体" w:hAnsi="宋体" w:eastAsia="宋体" w:cs="宋体"/>
                <w:sz w:val="21"/>
                <w:szCs w:val="21"/>
              </w:rPr>
            </w:pPr>
            <w:r>
              <w:rPr>
                <w:rFonts w:ascii="宋体" w:hAnsi="宋体" w:eastAsia="宋体" w:cs="宋体"/>
                <w:b/>
                <w:bCs/>
                <w:spacing w:val="-6"/>
                <w:sz w:val="21"/>
                <w:szCs w:val="21"/>
              </w:rPr>
              <w:t>鹃形目</w:t>
            </w:r>
          </w:p>
        </w:tc>
        <w:tc>
          <w:tcPr>
            <w:tcW w:w="2394" w:type="dxa"/>
            <w:vAlign w:val="top"/>
          </w:tcPr>
          <w:p w14:paraId="198A6822">
            <w:pPr>
              <w:pStyle w:val="6"/>
              <w:spacing w:before="120" w:line="214" w:lineRule="auto"/>
              <w:ind w:left="587"/>
            </w:pPr>
            <w:r>
              <w:rPr>
                <w:b/>
                <w:bCs/>
                <w:spacing w:val="-1"/>
              </w:rPr>
              <w:t>Cuculiformes</w:t>
            </w:r>
          </w:p>
        </w:tc>
        <w:tc>
          <w:tcPr>
            <w:tcW w:w="685" w:type="dxa"/>
            <w:vAlign w:val="top"/>
          </w:tcPr>
          <w:p w14:paraId="2FE835ED">
            <w:pPr>
              <w:rPr>
                <w:rFonts w:ascii="Arial"/>
                <w:sz w:val="21"/>
              </w:rPr>
            </w:pPr>
          </w:p>
        </w:tc>
        <w:tc>
          <w:tcPr>
            <w:tcW w:w="494" w:type="dxa"/>
            <w:vAlign w:val="top"/>
          </w:tcPr>
          <w:p w14:paraId="70C90FF8">
            <w:pPr>
              <w:rPr>
                <w:rFonts w:ascii="Arial"/>
                <w:sz w:val="21"/>
              </w:rPr>
            </w:pPr>
          </w:p>
        </w:tc>
        <w:tc>
          <w:tcPr>
            <w:tcW w:w="875" w:type="dxa"/>
            <w:vAlign w:val="top"/>
          </w:tcPr>
          <w:p w14:paraId="5D9C74BA">
            <w:pPr>
              <w:rPr>
                <w:rFonts w:ascii="Arial"/>
                <w:sz w:val="21"/>
              </w:rPr>
            </w:pPr>
          </w:p>
        </w:tc>
        <w:tc>
          <w:tcPr>
            <w:tcW w:w="874" w:type="dxa"/>
            <w:vAlign w:val="top"/>
          </w:tcPr>
          <w:p w14:paraId="4A5A6C87">
            <w:pPr>
              <w:rPr>
                <w:rFonts w:ascii="Arial"/>
                <w:sz w:val="21"/>
              </w:rPr>
            </w:pPr>
          </w:p>
        </w:tc>
        <w:tc>
          <w:tcPr>
            <w:tcW w:w="875" w:type="dxa"/>
            <w:vAlign w:val="top"/>
          </w:tcPr>
          <w:p w14:paraId="79723EAB">
            <w:pPr>
              <w:rPr>
                <w:rFonts w:ascii="Arial"/>
                <w:sz w:val="21"/>
              </w:rPr>
            </w:pPr>
          </w:p>
        </w:tc>
        <w:tc>
          <w:tcPr>
            <w:tcW w:w="508" w:type="dxa"/>
            <w:tcBorders>
              <w:right w:val="single" w:color="000000" w:sz="12" w:space="0"/>
            </w:tcBorders>
            <w:vAlign w:val="top"/>
          </w:tcPr>
          <w:p w14:paraId="47CD1109">
            <w:pPr>
              <w:rPr>
                <w:rFonts w:ascii="Arial"/>
                <w:sz w:val="21"/>
              </w:rPr>
            </w:pPr>
          </w:p>
        </w:tc>
      </w:tr>
      <w:tr w14:paraId="34F97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377F6C68">
            <w:pPr>
              <w:pStyle w:val="6"/>
              <w:spacing w:before="120" w:line="186" w:lineRule="auto"/>
              <w:ind w:left="121"/>
            </w:pPr>
            <w:r>
              <w:rPr>
                <w:b/>
                <w:bCs/>
                <w:spacing w:val="-2"/>
              </w:rPr>
              <w:t>F6</w:t>
            </w:r>
          </w:p>
        </w:tc>
        <w:tc>
          <w:tcPr>
            <w:tcW w:w="1257" w:type="dxa"/>
            <w:vAlign w:val="top"/>
          </w:tcPr>
          <w:p w14:paraId="01FAEC48">
            <w:pPr>
              <w:spacing w:before="82" w:line="219" w:lineRule="auto"/>
              <w:ind w:left="303"/>
              <w:rPr>
                <w:rFonts w:ascii="宋体" w:hAnsi="宋体" w:eastAsia="宋体" w:cs="宋体"/>
                <w:sz w:val="21"/>
                <w:szCs w:val="21"/>
              </w:rPr>
            </w:pPr>
            <w:r>
              <w:rPr>
                <w:rFonts w:ascii="宋体" w:hAnsi="宋体" w:eastAsia="宋体" w:cs="宋体"/>
                <w:b/>
                <w:bCs/>
                <w:spacing w:val="-4"/>
                <w:sz w:val="21"/>
                <w:szCs w:val="21"/>
              </w:rPr>
              <w:t>杜鹃科</w:t>
            </w:r>
          </w:p>
        </w:tc>
        <w:tc>
          <w:tcPr>
            <w:tcW w:w="2394" w:type="dxa"/>
            <w:vAlign w:val="top"/>
          </w:tcPr>
          <w:p w14:paraId="34470D87">
            <w:pPr>
              <w:pStyle w:val="6"/>
              <w:spacing w:before="120" w:line="186" w:lineRule="auto"/>
              <w:ind w:left="739"/>
            </w:pPr>
            <w:r>
              <w:rPr>
                <w:b/>
                <w:bCs/>
                <w:spacing w:val="-1"/>
              </w:rPr>
              <w:t>Cuculidae</w:t>
            </w:r>
          </w:p>
        </w:tc>
        <w:tc>
          <w:tcPr>
            <w:tcW w:w="685" w:type="dxa"/>
            <w:vAlign w:val="top"/>
          </w:tcPr>
          <w:p w14:paraId="67B69641">
            <w:pPr>
              <w:rPr>
                <w:rFonts w:ascii="Arial"/>
                <w:sz w:val="21"/>
              </w:rPr>
            </w:pPr>
          </w:p>
        </w:tc>
        <w:tc>
          <w:tcPr>
            <w:tcW w:w="494" w:type="dxa"/>
            <w:vAlign w:val="top"/>
          </w:tcPr>
          <w:p w14:paraId="26CE5077">
            <w:pPr>
              <w:rPr>
                <w:rFonts w:ascii="Arial"/>
                <w:sz w:val="21"/>
              </w:rPr>
            </w:pPr>
          </w:p>
        </w:tc>
        <w:tc>
          <w:tcPr>
            <w:tcW w:w="875" w:type="dxa"/>
            <w:vAlign w:val="top"/>
          </w:tcPr>
          <w:p w14:paraId="457FDA2B">
            <w:pPr>
              <w:rPr>
                <w:rFonts w:ascii="Arial"/>
                <w:sz w:val="21"/>
              </w:rPr>
            </w:pPr>
          </w:p>
        </w:tc>
        <w:tc>
          <w:tcPr>
            <w:tcW w:w="874" w:type="dxa"/>
            <w:vAlign w:val="top"/>
          </w:tcPr>
          <w:p w14:paraId="50A67F39">
            <w:pPr>
              <w:rPr>
                <w:rFonts w:ascii="Arial"/>
                <w:sz w:val="21"/>
              </w:rPr>
            </w:pPr>
          </w:p>
        </w:tc>
        <w:tc>
          <w:tcPr>
            <w:tcW w:w="875" w:type="dxa"/>
            <w:vAlign w:val="top"/>
          </w:tcPr>
          <w:p w14:paraId="3D31EC3A">
            <w:pPr>
              <w:rPr>
                <w:rFonts w:ascii="Arial"/>
                <w:sz w:val="21"/>
              </w:rPr>
            </w:pPr>
          </w:p>
        </w:tc>
        <w:tc>
          <w:tcPr>
            <w:tcW w:w="508" w:type="dxa"/>
            <w:tcBorders>
              <w:right w:val="single" w:color="000000" w:sz="12" w:space="0"/>
            </w:tcBorders>
            <w:vAlign w:val="top"/>
          </w:tcPr>
          <w:p w14:paraId="49A69949">
            <w:pPr>
              <w:rPr>
                <w:rFonts w:ascii="Arial"/>
                <w:sz w:val="21"/>
              </w:rPr>
            </w:pPr>
          </w:p>
        </w:tc>
      </w:tr>
      <w:tr w14:paraId="259C1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7965268D">
            <w:pPr>
              <w:pStyle w:val="6"/>
              <w:spacing w:before="111" w:line="211" w:lineRule="auto"/>
              <w:ind w:left="189"/>
            </w:pPr>
            <w:r>
              <w:t>9</w:t>
            </w:r>
          </w:p>
        </w:tc>
        <w:tc>
          <w:tcPr>
            <w:tcW w:w="1257" w:type="dxa"/>
            <w:vAlign w:val="top"/>
          </w:tcPr>
          <w:p w14:paraId="5E8110E5">
            <w:pPr>
              <w:spacing w:before="77" w:line="217" w:lineRule="auto"/>
              <w:ind w:left="199"/>
              <w:rPr>
                <w:rFonts w:ascii="宋体" w:hAnsi="宋体" w:eastAsia="宋体" w:cs="宋体"/>
                <w:sz w:val="21"/>
                <w:szCs w:val="21"/>
              </w:rPr>
            </w:pPr>
            <w:r>
              <w:rPr>
                <w:rFonts w:ascii="宋体" w:hAnsi="宋体" w:eastAsia="宋体" w:cs="宋体"/>
                <w:spacing w:val="-2"/>
                <w:sz w:val="21"/>
                <w:szCs w:val="21"/>
              </w:rPr>
              <w:t>褐翅鸦鹃</w:t>
            </w:r>
          </w:p>
        </w:tc>
        <w:tc>
          <w:tcPr>
            <w:tcW w:w="2394" w:type="dxa"/>
            <w:vAlign w:val="top"/>
          </w:tcPr>
          <w:p w14:paraId="0E667FF6">
            <w:pPr>
              <w:pStyle w:val="6"/>
              <w:spacing w:before="111" w:line="190" w:lineRule="auto"/>
              <w:ind w:left="404"/>
            </w:pPr>
            <w:r>
              <w:rPr>
                <w:i/>
                <w:iCs/>
                <w:spacing w:val="-1"/>
              </w:rPr>
              <w:t>Centropus sinensis</w:t>
            </w:r>
          </w:p>
        </w:tc>
        <w:tc>
          <w:tcPr>
            <w:tcW w:w="685" w:type="dxa"/>
            <w:vAlign w:val="top"/>
          </w:tcPr>
          <w:p w14:paraId="558D2BFD">
            <w:pPr>
              <w:pStyle w:val="6"/>
              <w:spacing w:before="118" w:line="183" w:lineRule="auto"/>
              <w:ind w:left="270"/>
            </w:pPr>
            <w:r>
              <w:t>R</w:t>
            </w:r>
          </w:p>
        </w:tc>
        <w:tc>
          <w:tcPr>
            <w:tcW w:w="494" w:type="dxa"/>
            <w:vAlign w:val="top"/>
          </w:tcPr>
          <w:p w14:paraId="33125C68">
            <w:pPr>
              <w:pStyle w:val="6"/>
              <w:spacing w:before="114" w:line="186" w:lineRule="auto"/>
              <w:ind w:left="175"/>
            </w:pPr>
            <w:r>
              <w:t>O</w:t>
            </w:r>
          </w:p>
        </w:tc>
        <w:tc>
          <w:tcPr>
            <w:tcW w:w="875" w:type="dxa"/>
            <w:vAlign w:val="top"/>
          </w:tcPr>
          <w:p w14:paraId="3DB51CCA">
            <w:pPr>
              <w:pStyle w:val="6"/>
              <w:spacing w:before="77" w:line="217" w:lineRule="auto"/>
              <w:ind w:left="269"/>
              <w:rPr>
                <w:rFonts w:ascii="宋体" w:hAnsi="宋体" w:eastAsia="宋体" w:cs="宋体"/>
              </w:rPr>
            </w:pPr>
            <w:r>
              <w:rPr>
                <w:spacing w:val="-3"/>
              </w:rPr>
              <w:t>Ⅱ</w:t>
            </w:r>
            <w:r>
              <w:rPr>
                <w:rFonts w:ascii="宋体" w:hAnsi="宋体" w:eastAsia="宋体" w:cs="宋体"/>
                <w:spacing w:val="-3"/>
              </w:rPr>
              <w:t>级</w:t>
            </w:r>
          </w:p>
        </w:tc>
        <w:tc>
          <w:tcPr>
            <w:tcW w:w="874" w:type="dxa"/>
            <w:vAlign w:val="top"/>
          </w:tcPr>
          <w:p w14:paraId="17320385">
            <w:pPr>
              <w:pStyle w:val="6"/>
              <w:spacing w:before="111" w:line="211" w:lineRule="auto"/>
              <w:ind w:left="326"/>
            </w:pPr>
            <w:r>
              <w:rPr>
                <w:spacing w:val="-1"/>
              </w:rPr>
              <w:t>++</w:t>
            </w:r>
          </w:p>
        </w:tc>
        <w:tc>
          <w:tcPr>
            <w:tcW w:w="875" w:type="dxa"/>
            <w:vAlign w:val="top"/>
          </w:tcPr>
          <w:p w14:paraId="7E7F6073">
            <w:pPr>
              <w:pStyle w:val="6"/>
              <w:spacing w:before="114" w:line="186" w:lineRule="auto"/>
              <w:ind w:left="399"/>
            </w:pPr>
            <w:r>
              <w:t>S</w:t>
            </w:r>
          </w:p>
        </w:tc>
        <w:tc>
          <w:tcPr>
            <w:tcW w:w="508" w:type="dxa"/>
            <w:tcBorders>
              <w:right w:val="single" w:color="000000" w:sz="12" w:space="0"/>
            </w:tcBorders>
            <w:vAlign w:val="top"/>
          </w:tcPr>
          <w:p w14:paraId="4CC3A2E2">
            <w:pPr>
              <w:rPr>
                <w:rFonts w:ascii="Arial"/>
                <w:sz w:val="21"/>
              </w:rPr>
            </w:pPr>
          </w:p>
        </w:tc>
      </w:tr>
      <w:tr w14:paraId="233DC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B52D018">
            <w:pPr>
              <w:pStyle w:val="6"/>
              <w:spacing w:before="110" w:line="210" w:lineRule="auto"/>
              <w:ind w:left="152"/>
            </w:pPr>
            <w:r>
              <w:rPr>
                <w:spacing w:val="-6"/>
              </w:rPr>
              <w:t>10</w:t>
            </w:r>
          </w:p>
        </w:tc>
        <w:tc>
          <w:tcPr>
            <w:tcW w:w="1257" w:type="dxa"/>
            <w:vAlign w:val="top"/>
          </w:tcPr>
          <w:p w14:paraId="34E7E556">
            <w:pPr>
              <w:spacing w:before="76" w:line="216" w:lineRule="auto"/>
              <w:ind w:left="419"/>
              <w:rPr>
                <w:rFonts w:ascii="宋体" w:hAnsi="宋体" w:eastAsia="宋体" w:cs="宋体"/>
                <w:sz w:val="21"/>
                <w:szCs w:val="21"/>
              </w:rPr>
            </w:pPr>
            <w:r>
              <w:rPr>
                <w:rFonts w:ascii="宋体" w:hAnsi="宋体" w:eastAsia="宋体" w:cs="宋体"/>
                <w:spacing w:val="-5"/>
                <w:sz w:val="21"/>
                <w:szCs w:val="21"/>
              </w:rPr>
              <w:t>噪鹃</w:t>
            </w:r>
          </w:p>
        </w:tc>
        <w:tc>
          <w:tcPr>
            <w:tcW w:w="2394" w:type="dxa"/>
            <w:vAlign w:val="top"/>
          </w:tcPr>
          <w:p w14:paraId="6034CCE1">
            <w:pPr>
              <w:pStyle w:val="6"/>
              <w:spacing w:before="110" w:line="190" w:lineRule="auto"/>
              <w:ind w:left="199"/>
            </w:pPr>
            <w:r>
              <w:rPr>
                <w:i/>
                <w:iCs/>
              </w:rPr>
              <w:t>Eudynamys</w:t>
            </w:r>
            <w:r>
              <w:rPr>
                <w:i/>
                <w:iCs/>
                <w:spacing w:val="4"/>
              </w:rPr>
              <w:t xml:space="preserve"> </w:t>
            </w:r>
            <w:r>
              <w:rPr>
                <w:i/>
                <w:iCs/>
              </w:rPr>
              <w:t>scolopacea</w:t>
            </w:r>
          </w:p>
        </w:tc>
        <w:tc>
          <w:tcPr>
            <w:tcW w:w="685" w:type="dxa"/>
            <w:vAlign w:val="top"/>
          </w:tcPr>
          <w:p w14:paraId="639AAA7D">
            <w:pPr>
              <w:pStyle w:val="6"/>
              <w:spacing w:before="114" w:line="186" w:lineRule="auto"/>
              <w:ind w:left="292"/>
            </w:pPr>
            <w:r>
              <w:t>S</w:t>
            </w:r>
          </w:p>
        </w:tc>
        <w:tc>
          <w:tcPr>
            <w:tcW w:w="494" w:type="dxa"/>
            <w:vAlign w:val="top"/>
          </w:tcPr>
          <w:p w14:paraId="65813BC4">
            <w:pPr>
              <w:pStyle w:val="6"/>
              <w:spacing w:before="114" w:line="186" w:lineRule="auto"/>
              <w:ind w:left="175"/>
            </w:pPr>
            <w:r>
              <w:t>O</w:t>
            </w:r>
          </w:p>
        </w:tc>
        <w:tc>
          <w:tcPr>
            <w:tcW w:w="875" w:type="dxa"/>
            <w:vAlign w:val="top"/>
          </w:tcPr>
          <w:p w14:paraId="7E8E5F81">
            <w:pPr>
              <w:rPr>
                <w:rFonts w:ascii="Arial"/>
                <w:sz w:val="21"/>
              </w:rPr>
            </w:pPr>
          </w:p>
        </w:tc>
        <w:tc>
          <w:tcPr>
            <w:tcW w:w="874" w:type="dxa"/>
            <w:vAlign w:val="top"/>
          </w:tcPr>
          <w:p w14:paraId="545AADC2">
            <w:pPr>
              <w:pStyle w:val="6"/>
              <w:spacing w:before="110" w:line="210" w:lineRule="auto"/>
              <w:ind w:left="266"/>
            </w:pPr>
            <w:r>
              <w:rPr>
                <w:spacing w:val="-1"/>
              </w:rPr>
              <w:t>+++</w:t>
            </w:r>
          </w:p>
        </w:tc>
        <w:tc>
          <w:tcPr>
            <w:tcW w:w="875" w:type="dxa"/>
            <w:vAlign w:val="top"/>
          </w:tcPr>
          <w:p w14:paraId="027B511B">
            <w:pPr>
              <w:pStyle w:val="6"/>
              <w:spacing w:before="114" w:line="186" w:lineRule="auto"/>
              <w:ind w:left="399"/>
            </w:pPr>
            <w:r>
              <w:t>S</w:t>
            </w:r>
          </w:p>
        </w:tc>
        <w:tc>
          <w:tcPr>
            <w:tcW w:w="508" w:type="dxa"/>
            <w:tcBorders>
              <w:right w:val="single" w:color="000000" w:sz="12" w:space="0"/>
            </w:tcBorders>
            <w:vAlign w:val="top"/>
          </w:tcPr>
          <w:p w14:paraId="5EFCB977">
            <w:pPr>
              <w:rPr>
                <w:rFonts w:ascii="Arial"/>
                <w:sz w:val="21"/>
              </w:rPr>
            </w:pPr>
          </w:p>
        </w:tc>
      </w:tr>
      <w:tr w14:paraId="493CB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E130A3B">
            <w:pPr>
              <w:pStyle w:val="6"/>
              <w:spacing w:before="111" w:line="209" w:lineRule="auto"/>
              <w:ind w:left="152"/>
            </w:pPr>
            <w:r>
              <w:rPr>
                <w:spacing w:val="-6"/>
              </w:rPr>
              <w:t>11</w:t>
            </w:r>
          </w:p>
        </w:tc>
        <w:tc>
          <w:tcPr>
            <w:tcW w:w="1257" w:type="dxa"/>
            <w:vAlign w:val="top"/>
          </w:tcPr>
          <w:p w14:paraId="18B28120">
            <w:pPr>
              <w:spacing w:before="78" w:line="214" w:lineRule="auto"/>
              <w:ind w:left="306"/>
              <w:rPr>
                <w:rFonts w:ascii="宋体" w:hAnsi="宋体" w:eastAsia="宋体" w:cs="宋体"/>
                <w:sz w:val="21"/>
                <w:szCs w:val="21"/>
              </w:rPr>
            </w:pPr>
            <w:r>
              <w:rPr>
                <w:rFonts w:ascii="宋体" w:hAnsi="宋体" w:eastAsia="宋体" w:cs="宋体"/>
                <w:spacing w:val="-3"/>
                <w:sz w:val="21"/>
                <w:szCs w:val="21"/>
              </w:rPr>
              <w:t>大鹰鹃</w:t>
            </w:r>
          </w:p>
        </w:tc>
        <w:tc>
          <w:tcPr>
            <w:tcW w:w="2394" w:type="dxa"/>
            <w:vAlign w:val="top"/>
          </w:tcPr>
          <w:p w14:paraId="6AC47DA7">
            <w:pPr>
              <w:pStyle w:val="6"/>
              <w:spacing w:before="111" w:line="190" w:lineRule="auto"/>
              <w:ind w:left="52"/>
            </w:pPr>
            <w:r>
              <w:rPr>
                <w:i/>
                <w:iCs/>
              </w:rPr>
              <w:t>Hierococcyx</w:t>
            </w:r>
            <w:r>
              <w:rPr>
                <w:i/>
                <w:iCs/>
                <w:spacing w:val="8"/>
              </w:rPr>
              <w:t xml:space="preserve"> </w:t>
            </w:r>
            <w:r>
              <w:rPr>
                <w:i/>
                <w:iCs/>
              </w:rPr>
              <w:t>sparverioides</w:t>
            </w:r>
          </w:p>
        </w:tc>
        <w:tc>
          <w:tcPr>
            <w:tcW w:w="685" w:type="dxa"/>
            <w:vAlign w:val="top"/>
          </w:tcPr>
          <w:p w14:paraId="03008569">
            <w:pPr>
              <w:pStyle w:val="6"/>
              <w:spacing w:before="115" w:line="186" w:lineRule="auto"/>
              <w:ind w:left="292"/>
            </w:pPr>
            <w:r>
              <w:t>S</w:t>
            </w:r>
          </w:p>
        </w:tc>
        <w:tc>
          <w:tcPr>
            <w:tcW w:w="494" w:type="dxa"/>
            <w:vAlign w:val="top"/>
          </w:tcPr>
          <w:p w14:paraId="212444A3">
            <w:pPr>
              <w:pStyle w:val="6"/>
              <w:spacing w:before="115" w:line="186" w:lineRule="auto"/>
              <w:ind w:left="175"/>
            </w:pPr>
            <w:r>
              <w:t>O</w:t>
            </w:r>
          </w:p>
        </w:tc>
        <w:tc>
          <w:tcPr>
            <w:tcW w:w="875" w:type="dxa"/>
            <w:vAlign w:val="top"/>
          </w:tcPr>
          <w:p w14:paraId="2C85EABF">
            <w:pPr>
              <w:rPr>
                <w:rFonts w:ascii="Arial"/>
                <w:sz w:val="21"/>
              </w:rPr>
            </w:pPr>
          </w:p>
        </w:tc>
        <w:tc>
          <w:tcPr>
            <w:tcW w:w="874" w:type="dxa"/>
            <w:vAlign w:val="top"/>
          </w:tcPr>
          <w:p w14:paraId="2A3C9129">
            <w:pPr>
              <w:pStyle w:val="6"/>
              <w:spacing w:before="111" w:line="209" w:lineRule="auto"/>
              <w:ind w:left="266"/>
            </w:pPr>
            <w:r>
              <w:rPr>
                <w:spacing w:val="-1"/>
              </w:rPr>
              <w:t>+++</w:t>
            </w:r>
          </w:p>
        </w:tc>
        <w:tc>
          <w:tcPr>
            <w:tcW w:w="875" w:type="dxa"/>
            <w:vAlign w:val="top"/>
          </w:tcPr>
          <w:p w14:paraId="694D7CA6">
            <w:pPr>
              <w:pStyle w:val="6"/>
              <w:spacing w:before="115"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5C417917">
            <w:pPr>
              <w:spacing w:before="78" w:line="214" w:lineRule="auto"/>
              <w:ind w:left="169"/>
              <w:rPr>
                <w:rFonts w:ascii="宋体" w:hAnsi="宋体" w:eastAsia="宋体" w:cs="宋体"/>
                <w:sz w:val="21"/>
                <w:szCs w:val="21"/>
              </w:rPr>
            </w:pPr>
            <w:r>
              <w:rPr>
                <w:rFonts w:ascii="宋体" w:hAnsi="宋体" w:eastAsia="宋体" w:cs="宋体"/>
                <w:sz w:val="21"/>
                <w:szCs w:val="21"/>
              </w:rPr>
              <w:t>鸣</w:t>
            </w:r>
          </w:p>
        </w:tc>
      </w:tr>
      <w:tr w14:paraId="78313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7A168BE">
            <w:pPr>
              <w:pStyle w:val="6"/>
              <w:spacing w:before="112" w:line="208" w:lineRule="auto"/>
              <w:ind w:left="152"/>
            </w:pPr>
            <w:r>
              <w:rPr>
                <w:spacing w:val="-6"/>
              </w:rPr>
              <w:t>12</w:t>
            </w:r>
          </w:p>
        </w:tc>
        <w:tc>
          <w:tcPr>
            <w:tcW w:w="1257" w:type="dxa"/>
            <w:vAlign w:val="top"/>
          </w:tcPr>
          <w:p w14:paraId="72480317">
            <w:pPr>
              <w:spacing w:before="80" w:line="212" w:lineRule="auto"/>
              <w:ind w:left="323"/>
              <w:rPr>
                <w:rFonts w:ascii="宋体" w:hAnsi="宋体" w:eastAsia="宋体" w:cs="宋体"/>
                <w:sz w:val="21"/>
                <w:szCs w:val="21"/>
              </w:rPr>
            </w:pPr>
            <w:r>
              <w:rPr>
                <w:rFonts w:ascii="宋体" w:hAnsi="宋体" w:eastAsia="宋体" w:cs="宋体"/>
                <w:spacing w:val="-7"/>
                <w:sz w:val="21"/>
                <w:szCs w:val="21"/>
              </w:rPr>
              <w:t>中杜鹃</w:t>
            </w:r>
          </w:p>
        </w:tc>
        <w:tc>
          <w:tcPr>
            <w:tcW w:w="2394" w:type="dxa"/>
            <w:vAlign w:val="top"/>
          </w:tcPr>
          <w:p w14:paraId="1ECFB266">
            <w:pPr>
              <w:pStyle w:val="6"/>
              <w:spacing w:before="112" w:line="208" w:lineRule="auto"/>
              <w:ind w:left="438"/>
            </w:pPr>
            <w:r>
              <w:rPr>
                <w:i/>
                <w:iCs/>
                <w:spacing w:val="-1"/>
              </w:rPr>
              <w:t>Cuculus saturatus</w:t>
            </w:r>
          </w:p>
        </w:tc>
        <w:tc>
          <w:tcPr>
            <w:tcW w:w="685" w:type="dxa"/>
            <w:vAlign w:val="top"/>
          </w:tcPr>
          <w:p w14:paraId="0E1F0D13">
            <w:pPr>
              <w:pStyle w:val="6"/>
              <w:spacing w:before="116" w:line="186" w:lineRule="auto"/>
              <w:ind w:left="292"/>
            </w:pPr>
            <w:r>
              <w:t>S</w:t>
            </w:r>
          </w:p>
        </w:tc>
        <w:tc>
          <w:tcPr>
            <w:tcW w:w="494" w:type="dxa"/>
            <w:vAlign w:val="top"/>
          </w:tcPr>
          <w:p w14:paraId="2682304F">
            <w:pPr>
              <w:pStyle w:val="6"/>
              <w:spacing w:before="116" w:line="186" w:lineRule="auto"/>
              <w:ind w:left="117"/>
            </w:pPr>
            <w:r>
              <w:rPr>
                <w:spacing w:val="-3"/>
              </w:rPr>
              <w:t>OP</w:t>
            </w:r>
          </w:p>
        </w:tc>
        <w:tc>
          <w:tcPr>
            <w:tcW w:w="875" w:type="dxa"/>
            <w:vAlign w:val="top"/>
          </w:tcPr>
          <w:p w14:paraId="11556995">
            <w:pPr>
              <w:rPr>
                <w:rFonts w:ascii="Arial"/>
                <w:sz w:val="21"/>
              </w:rPr>
            </w:pPr>
          </w:p>
        </w:tc>
        <w:tc>
          <w:tcPr>
            <w:tcW w:w="874" w:type="dxa"/>
            <w:vAlign w:val="top"/>
          </w:tcPr>
          <w:p w14:paraId="06E37FB4">
            <w:pPr>
              <w:pStyle w:val="6"/>
              <w:spacing w:before="112" w:line="208" w:lineRule="auto"/>
              <w:ind w:left="326"/>
            </w:pPr>
            <w:r>
              <w:rPr>
                <w:spacing w:val="-1"/>
              </w:rPr>
              <w:t>++</w:t>
            </w:r>
          </w:p>
        </w:tc>
        <w:tc>
          <w:tcPr>
            <w:tcW w:w="875" w:type="dxa"/>
            <w:vAlign w:val="top"/>
          </w:tcPr>
          <w:p w14:paraId="2853ED00">
            <w:pPr>
              <w:pStyle w:val="6"/>
              <w:spacing w:before="116" w:line="186" w:lineRule="auto"/>
              <w:ind w:left="399"/>
            </w:pPr>
            <w:r>
              <w:t>S</w:t>
            </w:r>
          </w:p>
        </w:tc>
        <w:tc>
          <w:tcPr>
            <w:tcW w:w="508" w:type="dxa"/>
            <w:tcBorders>
              <w:right w:val="single" w:color="000000" w:sz="12" w:space="0"/>
            </w:tcBorders>
            <w:vAlign w:val="top"/>
          </w:tcPr>
          <w:p w14:paraId="2EC08AA6">
            <w:pPr>
              <w:spacing w:before="80" w:line="212" w:lineRule="auto"/>
              <w:ind w:left="169"/>
              <w:rPr>
                <w:rFonts w:ascii="宋体" w:hAnsi="宋体" w:eastAsia="宋体" w:cs="宋体"/>
                <w:sz w:val="21"/>
                <w:szCs w:val="21"/>
              </w:rPr>
            </w:pPr>
            <w:r>
              <w:rPr>
                <w:rFonts w:ascii="宋体" w:hAnsi="宋体" w:eastAsia="宋体" w:cs="宋体"/>
                <w:sz w:val="21"/>
                <w:szCs w:val="21"/>
              </w:rPr>
              <w:t>鸣</w:t>
            </w:r>
          </w:p>
        </w:tc>
      </w:tr>
      <w:tr w14:paraId="5D5FC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5266DC57">
            <w:pPr>
              <w:pStyle w:val="6"/>
              <w:spacing w:before="115" w:line="206" w:lineRule="auto"/>
              <w:ind w:left="152"/>
            </w:pPr>
            <w:r>
              <w:rPr>
                <w:spacing w:val="-6"/>
              </w:rPr>
              <w:t>13</w:t>
            </w:r>
          </w:p>
        </w:tc>
        <w:tc>
          <w:tcPr>
            <w:tcW w:w="1257" w:type="dxa"/>
            <w:vAlign w:val="top"/>
          </w:tcPr>
          <w:p w14:paraId="76A2492D">
            <w:pPr>
              <w:spacing w:before="81" w:line="212" w:lineRule="auto"/>
              <w:ind w:left="306"/>
              <w:rPr>
                <w:rFonts w:ascii="宋体" w:hAnsi="宋体" w:eastAsia="宋体" w:cs="宋体"/>
                <w:sz w:val="21"/>
                <w:szCs w:val="21"/>
              </w:rPr>
            </w:pPr>
            <w:r>
              <w:rPr>
                <w:rFonts w:ascii="宋体" w:hAnsi="宋体" w:eastAsia="宋体" w:cs="宋体"/>
                <w:spacing w:val="-3"/>
                <w:sz w:val="21"/>
                <w:szCs w:val="21"/>
              </w:rPr>
              <w:t>大杜鹃</w:t>
            </w:r>
          </w:p>
        </w:tc>
        <w:tc>
          <w:tcPr>
            <w:tcW w:w="2394" w:type="dxa"/>
            <w:vAlign w:val="top"/>
          </w:tcPr>
          <w:p w14:paraId="13D17F1C">
            <w:pPr>
              <w:pStyle w:val="6"/>
              <w:spacing w:before="114" w:line="207" w:lineRule="auto"/>
              <w:ind w:left="490"/>
            </w:pPr>
            <w:r>
              <w:rPr>
                <w:i/>
                <w:iCs/>
                <w:spacing w:val="-1"/>
              </w:rPr>
              <w:t>Cuculus canorus</w:t>
            </w:r>
          </w:p>
        </w:tc>
        <w:tc>
          <w:tcPr>
            <w:tcW w:w="685" w:type="dxa"/>
            <w:vAlign w:val="top"/>
          </w:tcPr>
          <w:p w14:paraId="458E1ED4">
            <w:pPr>
              <w:pStyle w:val="6"/>
              <w:spacing w:before="118" w:line="186" w:lineRule="auto"/>
              <w:ind w:left="292"/>
            </w:pPr>
            <w:r>
              <w:t>S</w:t>
            </w:r>
          </w:p>
        </w:tc>
        <w:tc>
          <w:tcPr>
            <w:tcW w:w="494" w:type="dxa"/>
            <w:vAlign w:val="top"/>
          </w:tcPr>
          <w:p w14:paraId="38789516">
            <w:pPr>
              <w:pStyle w:val="6"/>
              <w:spacing w:before="118" w:line="186" w:lineRule="auto"/>
              <w:ind w:left="117"/>
            </w:pPr>
            <w:r>
              <w:rPr>
                <w:spacing w:val="-3"/>
              </w:rPr>
              <w:t>OP</w:t>
            </w:r>
          </w:p>
        </w:tc>
        <w:tc>
          <w:tcPr>
            <w:tcW w:w="875" w:type="dxa"/>
            <w:vAlign w:val="top"/>
          </w:tcPr>
          <w:p w14:paraId="36EE5B9B">
            <w:pPr>
              <w:rPr>
                <w:rFonts w:ascii="Arial"/>
                <w:sz w:val="21"/>
              </w:rPr>
            </w:pPr>
          </w:p>
        </w:tc>
        <w:tc>
          <w:tcPr>
            <w:tcW w:w="874" w:type="dxa"/>
            <w:vAlign w:val="top"/>
          </w:tcPr>
          <w:p w14:paraId="300EDD78">
            <w:pPr>
              <w:pStyle w:val="6"/>
              <w:spacing w:before="115" w:line="206" w:lineRule="auto"/>
              <w:ind w:left="207"/>
            </w:pPr>
            <w:r>
              <w:rPr>
                <w:spacing w:val="-1"/>
              </w:rPr>
              <w:t>++++</w:t>
            </w:r>
          </w:p>
        </w:tc>
        <w:tc>
          <w:tcPr>
            <w:tcW w:w="875" w:type="dxa"/>
            <w:vAlign w:val="top"/>
          </w:tcPr>
          <w:p w14:paraId="12D3096A">
            <w:pPr>
              <w:pStyle w:val="6"/>
              <w:spacing w:before="118" w:line="186" w:lineRule="auto"/>
              <w:ind w:left="399"/>
            </w:pPr>
            <w:r>
              <w:t>S</w:t>
            </w:r>
          </w:p>
        </w:tc>
        <w:tc>
          <w:tcPr>
            <w:tcW w:w="508" w:type="dxa"/>
            <w:tcBorders>
              <w:right w:val="single" w:color="000000" w:sz="12" w:space="0"/>
            </w:tcBorders>
            <w:vAlign w:val="top"/>
          </w:tcPr>
          <w:p w14:paraId="1647F434">
            <w:pPr>
              <w:rPr>
                <w:rFonts w:ascii="Arial"/>
                <w:sz w:val="21"/>
              </w:rPr>
            </w:pPr>
          </w:p>
        </w:tc>
      </w:tr>
      <w:tr w14:paraId="49B16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5C77B3C2">
            <w:pPr>
              <w:pStyle w:val="6"/>
              <w:spacing w:before="126" w:line="186" w:lineRule="auto"/>
              <w:ind w:left="106"/>
            </w:pPr>
            <w:r>
              <w:rPr>
                <w:b/>
                <w:bCs/>
                <w:spacing w:val="-3"/>
              </w:rPr>
              <w:t>O7</w:t>
            </w:r>
          </w:p>
        </w:tc>
        <w:tc>
          <w:tcPr>
            <w:tcW w:w="1257" w:type="dxa"/>
            <w:vAlign w:val="top"/>
          </w:tcPr>
          <w:p w14:paraId="21B6CF5C">
            <w:pPr>
              <w:spacing w:before="88" w:line="218" w:lineRule="auto"/>
              <w:ind w:left="304"/>
              <w:rPr>
                <w:rFonts w:ascii="宋体" w:hAnsi="宋体" w:eastAsia="宋体" w:cs="宋体"/>
                <w:sz w:val="21"/>
                <w:szCs w:val="21"/>
              </w:rPr>
            </w:pPr>
            <w:r>
              <w:rPr>
                <w:rFonts w:ascii="宋体" w:hAnsi="宋体" w:eastAsia="宋体" w:cs="宋体"/>
                <w:b/>
                <w:bCs/>
                <w:spacing w:val="-4"/>
                <w:sz w:val="21"/>
                <w:szCs w:val="21"/>
              </w:rPr>
              <w:t>鹤形目</w:t>
            </w:r>
          </w:p>
        </w:tc>
        <w:tc>
          <w:tcPr>
            <w:tcW w:w="2394" w:type="dxa"/>
            <w:vAlign w:val="top"/>
          </w:tcPr>
          <w:p w14:paraId="173BE2BC">
            <w:pPr>
              <w:pStyle w:val="6"/>
              <w:spacing w:before="125" w:line="209" w:lineRule="auto"/>
              <w:ind w:left="669"/>
            </w:pPr>
            <w:r>
              <w:rPr>
                <w:b/>
                <w:bCs/>
                <w:spacing w:val="-1"/>
              </w:rPr>
              <w:t>Gruiformes</w:t>
            </w:r>
          </w:p>
        </w:tc>
        <w:tc>
          <w:tcPr>
            <w:tcW w:w="685" w:type="dxa"/>
            <w:vAlign w:val="top"/>
          </w:tcPr>
          <w:p w14:paraId="79AB71F5">
            <w:pPr>
              <w:rPr>
                <w:rFonts w:ascii="Arial"/>
                <w:sz w:val="21"/>
              </w:rPr>
            </w:pPr>
          </w:p>
        </w:tc>
        <w:tc>
          <w:tcPr>
            <w:tcW w:w="494" w:type="dxa"/>
            <w:vAlign w:val="top"/>
          </w:tcPr>
          <w:p w14:paraId="000947C7">
            <w:pPr>
              <w:rPr>
                <w:rFonts w:ascii="Arial"/>
                <w:sz w:val="21"/>
              </w:rPr>
            </w:pPr>
          </w:p>
        </w:tc>
        <w:tc>
          <w:tcPr>
            <w:tcW w:w="875" w:type="dxa"/>
            <w:vAlign w:val="top"/>
          </w:tcPr>
          <w:p w14:paraId="66DF35C3">
            <w:pPr>
              <w:rPr>
                <w:rFonts w:ascii="Arial"/>
                <w:sz w:val="21"/>
              </w:rPr>
            </w:pPr>
          </w:p>
        </w:tc>
        <w:tc>
          <w:tcPr>
            <w:tcW w:w="874" w:type="dxa"/>
            <w:vAlign w:val="top"/>
          </w:tcPr>
          <w:p w14:paraId="76A642F8">
            <w:pPr>
              <w:rPr>
                <w:rFonts w:ascii="Arial"/>
                <w:sz w:val="21"/>
              </w:rPr>
            </w:pPr>
          </w:p>
        </w:tc>
        <w:tc>
          <w:tcPr>
            <w:tcW w:w="875" w:type="dxa"/>
            <w:vAlign w:val="top"/>
          </w:tcPr>
          <w:p w14:paraId="16162E02">
            <w:pPr>
              <w:rPr>
                <w:rFonts w:ascii="Arial"/>
                <w:sz w:val="21"/>
              </w:rPr>
            </w:pPr>
          </w:p>
        </w:tc>
        <w:tc>
          <w:tcPr>
            <w:tcW w:w="508" w:type="dxa"/>
            <w:tcBorders>
              <w:right w:val="single" w:color="000000" w:sz="12" w:space="0"/>
            </w:tcBorders>
            <w:vAlign w:val="top"/>
          </w:tcPr>
          <w:p w14:paraId="45546D90">
            <w:pPr>
              <w:rPr>
                <w:rFonts w:ascii="Arial"/>
                <w:sz w:val="21"/>
              </w:rPr>
            </w:pPr>
          </w:p>
        </w:tc>
      </w:tr>
      <w:tr w14:paraId="29C31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163B080E">
            <w:pPr>
              <w:pStyle w:val="6"/>
              <w:spacing w:before="129" w:line="183" w:lineRule="auto"/>
              <w:ind w:left="121"/>
            </w:pPr>
            <w:r>
              <w:rPr>
                <w:b/>
                <w:bCs/>
                <w:spacing w:val="-2"/>
              </w:rPr>
              <w:t>F7</w:t>
            </w:r>
          </w:p>
        </w:tc>
        <w:tc>
          <w:tcPr>
            <w:tcW w:w="1257" w:type="dxa"/>
            <w:vAlign w:val="top"/>
          </w:tcPr>
          <w:p w14:paraId="7928108D">
            <w:pPr>
              <w:spacing w:before="88" w:line="216" w:lineRule="auto"/>
              <w:ind w:left="301"/>
              <w:rPr>
                <w:rFonts w:ascii="宋体" w:hAnsi="宋体" w:eastAsia="宋体" w:cs="宋体"/>
                <w:sz w:val="21"/>
                <w:szCs w:val="21"/>
              </w:rPr>
            </w:pPr>
            <w:r>
              <w:rPr>
                <w:rFonts w:ascii="宋体" w:hAnsi="宋体" w:eastAsia="宋体" w:cs="宋体"/>
                <w:b/>
                <w:bCs/>
                <w:spacing w:val="-4"/>
                <w:sz w:val="21"/>
                <w:szCs w:val="21"/>
              </w:rPr>
              <w:t>秧鸡科</w:t>
            </w:r>
          </w:p>
        </w:tc>
        <w:tc>
          <w:tcPr>
            <w:tcW w:w="2394" w:type="dxa"/>
            <w:vAlign w:val="top"/>
          </w:tcPr>
          <w:p w14:paraId="7D04D775">
            <w:pPr>
              <w:pStyle w:val="6"/>
              <w:spacing w:before="126" w:line="186" w:lineRule="auto"/>
              <w:ind w:left="816"/>
            </w:pPr>
            <w:r>
              <w:rPr>
                <w:b/>
                <w:bCs/>
                <w:spacing w:val="-1"/>
              </w:rPr>
              <w:t>Rallidae</w:t>
            </w:r>
          </w:p>
        </w:tc>
        <w:tc>
          <w:tcPr>
            <w:tcW w:w="685" w:type="dxa"/>
            <w:vAlign w:val="top"/>
          </w:tcPr>
          <w:p w14:paraId="5871891B">
            <w:pPr>
              <w:rPr>
                <w:rFonts w:ascii="Arial"/>
                <w:sz w:val="21"/>
              </w:rPr>
            </w:pPr>
          </w:p>
        </w:tc>
        <w:tc>
          <w:tcPr>
            <w:tcW w:w="494" w:type="dxa"/>
            <w:vAlign w:val="top"/>
          </w:tcPr>
          <w:p w14:paraId="28DC75BF">
            <w:pPr>
              <w:rPr>
                <w:rFonts w:ascii="Arial"/>
                <w:sz w:val="21"/>
              </w:rPr>
            </w:pPr>
          </w:p>
        </w:tc>
        <w:tc>
          <w:tcPr>
            <w:tcW w:w="875" w:type="dxa"/>
            <w:vAlign w:val="top"/>
          </w:tcPr>
          <w:p w14:paraId="5A1A5935">
            <w:pPr>
              <w:rPr>
                <w:rFonts w:ascii="Arial"/>
                <w:sz w:val="21"/>
              </w:rPr>
            </w:pPr>
          </w:p>
        </w:tc>
        <w:tc>
          <w:tcPr>
            <w:tcW w:w="874" w:type="dxa"/>
            <w:vAlign w:val="top"/>
          </w:tcPr>
          <w:p w14:paraId="6F24BFCC">
            <w:pPr>
              <w:rPr>
                <w:rFonts w:ascii="Arial"/>
                <w:sz w:val="21"/>
              </w:rPr>
            </w:pPr>
          </w:p>
        </w:tc>
        <w:tc>
          <w:tcPr>
            <w:tcW w:w="875" w:type="dxa"/>
            <w:vAlign w:val="top"/>
          </w:tcPr>
          <w:p w14:paraId="0124565F">
            <w:pPr>
              <w:rPr>
                <w:rFonts w:ascii="Arial"/>
                <w:sz w:val="21"/>
              </w:rPr>
            </w:pPr>
          </w:p>
        </w:tc>
        <w:tc>
          <w:tcPr>
            <w:tcW w:w="508" w:type="dxa"/>
            <w:tcBorders>
              <w:right w:val="single" w:color="000000" w:sz="12" w:space="0"/>
            </w:tcBorders>
            <w:vAlign w:val="top"/>
          </w:tcPr>
          <w:p w14:paraId="2F4E8ADC">
            <w:pPr>
              <w:rPr>
                <w:rFonts w:ascii="Arial"/>
                <w:sz w:val="21"/>
              </w:rPr>
            </w:pPr>
          </w:p>
        </w:tc>
      </w:tr>
      <w:tr w14:paraId="4BB4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2B9B6ABE">
            <w:pPr>
              <w:pStyle w:val="6"/>
              <w:spacing w:before="116" w:line="205" w:lineRule="auto"/>
              <w:ind w:left="152"/>
            </w:pPr>
            <w:r>
              <w:rPr>
                <w:spacing w:val="-6"/>
              </w:rPr>
              <w:t>14</w:t>
            </w:r>
          </w:p>
        </w:tc>
        <w:tc>
          <w:tcPr>
            <w:tcW w:w="1257" w:type="dxa"/>
            <w:vAlign w:val="top"/>
          </w:tcPr>
          <w:p w14:paraId="14B06BFF">
            <w:pPr>
              <w:spacing w:before="82" w:line="211" w:lineRule="auto"/>
              <w:ind w:left="309"/>
              <w:rPr>
                <w:rFonts w:ascii="宋体" w:hAnsi="宋体" w:eastAsia="宋体" w:cs="宋体"/>
                <w:sz w:val="21"/>
                <w:szCs w:val="21"/>
              </w:rPr>
            </w:pPr>
            <w:r>
              <w:rPr>
                <w:rFonts w:ascii="宋体" w:hAnsi="宋体" w:eastAsia="宋体" w:cs="宋体"/>
                <w:spacing w:val="-4"/>
                <w:sz w:val="21"/>
                <w:szCs w:val="21"/>
              </w:rPr>
              <w:t>黑水鸡</w:t>
            </w:r>
          </w:p>
        </w:tc>
        <w:tc>
          <w:tcPr>
            <w:tcW w:w="2394" w:type="dxa"/>
            <w:vAlign w:val="top"/>
          </w:tcPr>
          <w:p w14:paraId="16D666B4">
            <w:pPr>
              <w:pStyle w:val="6"/>
              <w:spacing w:before="117" w:line="190" w:lineRule="auto"/>
              <w:ind w:left="351"/>
            </w:pPr>
            <w:r>
              <w:rPr>
                <w:i/>
                <w:iCs/>
                <w:spacing w:val="-1"/>
              </w:rPr>
              <w:t>Gallinula chloropus</w:t>
            </w:r>
          </w:p>
        </w:tc>
        <w:tc>
          <w:tcPr>
            <w:tcW w:w="685" w:type="dxa"/>
            <w:vAlign w:val="top"/>
          </w:tcPr>
          <w:p w14:paraId="100BD181">
            <w:pPr>
              <w:pStyle w:val="6"/>
              <w:spacing w:before="123" w:line="183" w:lineRule="auto"/>
              <w:ind w:left="270"/>
            </w:pPr>
            <w:r>
              <w:t>R</w:t>
            </w:r>
          </w:p>
        </w:tc>
        <w:tc>
          <w:tcPr>
            <w:tcW w:w="494" w:type="dxa"/>
            <w:vAlign w:val="top"/>
          </w:tcPr>
          <w:p w14:paraId="051C692B">
            <w:pPr>
              <w:pStyle w:val="6"/>
              <w:spacing w:before="120" w:line="186" w:lineRule="auto"/>
              <w:ind w:left="117"/>
            </w:pPr>
            <w:r>
              <w:rPr>
                <w:spacing w:val="-3"/>
              </w:rPr>
              <w:t>OP</w:t>
            </w:r>
          </w:p>
        </w:tc>
        <w:tc>
          <w:tcPr>
            <w:tcW w:w="875" w:type="dxa"/>
            <w:vAlign w:val="top"/>
          </w:tcPr>
          <w:p w14:paraId="11CB7A31">
            <w:pPr>
              <w:rPr>
                <w:rFonts w:ascii="Arial"/>
                <w:sz w:val="21"/>
              </w:rPr>
            </w:pPr>
          </w:p>
        </w:tc>
        <w:tc>
          <w:tcPr>
            <w:tcW w:w="874" w:type="dxa"/>
            <w:vAlign w:val="top"/>
          </w:tcPr>
          <w:p w14:paraId="464A135F">
            <w:pPr>
              <w:pStyle w:val="6"/>
              <w:spacing w:before="116" w:line="205" w:lineRule="auto"/>
              <w:ind w:left="326"/>
            </w:pPr>
            <w:r>
              <w:rPr>
                <w:spacing w:val="-1"/>
              </w:rPr>
              <w:t>++</w:t>
            </w:r>
          </w:p>
        </w:tc>
        <w:tc>
          <w:tcPr>
            <w:tcW w:w="875" w:type="dxa"/>
            <w:vAlign w:val="top"/>
          </w:tcPr>
          <w:p w14:paraId="1BD81998">
            <w:pPr>
              <w:pStyle w:val="6"/>
              <w:spacing w:before="120" w:line="186" w:lineRule="auto"/>
              <w:ind w:left="399"/>
            </w:pPr>
            <w:r>
              <w:t>S</w:t>
            </w:r>
          </w:p>
        </w:tc>
        <w:tc>
          <w:tcPr>
            <w:tcW w:w="508" w:type="dxa"/>
            <w:tcBorders>
              <w:right w:val="single" w:color="000000" w:sz="12" w:space="0"/>
            </w:tcBorders>
            <w:vAlign w:val="top"/>
          </w:tcPr>
          <w:p w14:paraId="594C7100">
            <w:pPr>
              <w:rPr>
                <w:rFonts w:ascii="Arial"/>
                <w:sz w:val="21"/>
              </w:rPr>
            </w:pPr>
          </w:p>
        </w:tc>
      </w:tr>
      <w:tr w14:paraId="03E4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3D5590D6">
            <w:pPr>
              <w:pStyle w:val="6"/>
              <w:spacing w:before="128" w:line="186" w:lineRule="auto"/>
              <w:ind w:left="106"/>
            </w:pPr>
            <w:r>
              <w:rPr>
                <w:b/>
                <w:bCs/>
                <w:spacing w:val="-3"/>
              </w:rPr>
              <w:t>O8</w:t>
            </w:r>
          </w:p>
        </w:tc>
        <w:tc>
          <w:tcPr>
            <w:tcW w:w="1257" w:type="dxa"/>
            <w:vAlign w:val="top"/>
          </w:tcPr>
          <w:p w14:paraId="2A9582A5">
            <w:pPr>
              <w:spacing w:before="89" w:line="217" w:lineRule="auto"/>
              <w:ind w:left="301"/>
              <w:rPr>
                <w:rFonts w:ascii="宋体" w:hAnsi="宋体" w:eastAsia="宋体" w:cs="宋体"/>
                <w:sz w:val="21"/>
                <w:szCs w:val="21"/>
              </w:rPr>
            </w:pPr>
            <w:r>
              <w:rPr>
                <w:rFonts w:ascii="宋体" w:hAnsi="宋体" w:eastAsia="宋体" w:cs="宋体"/>
                <w:b/>
                <w:bCs/>
                <w:spacing w:val="-4"/>
                <w:sz w:val="21"/>
                <w:szCs w:val="21"/>
              </w:rPr>
              <w:t>鸻形目</w:t>
            </w:r>
          </w:p>
        </w:tc>
        <w:tc>
          <w:tcPr>
            <w:tcW w:w="2394" w:type="dxa"/>
            <w:vAlign w:val="top"/>
          </w:tcPr>
          <w:p w14:paraId="3B21032D">
            <w:pPr>
              <w:pStyle w:val="6"/>
              <w:spacing w:before="128" w:line="186" w:lineRule="auto"/>
              <w:ind w:left="435"/>
            </w:pPr>
            <w:r>
              <w:rPr>
                <w:b/>
                <w:bCs/>
                <w:spacing w:val="-1"/>
              </w:rPr>
              <w:t>Charadriiformes</w:t>
            </w:r>
          </w:p>
        </w:tc>
        <w:tc>
          <w:tcPr>
            <w:tcW w:w="685" w:type="dxa"/>
            <w:vAlign w:val="top"/>
          </w:tcPr>
          <w:p w14:paraId="0738A080">
            <w:pPr>
              <w:rPr>
                <w:rFonts w:ascii="Arial"/>
                <w:sz w:val="21"/>
              </w:rPr>
            </w:pPr>
          </w:p>
        </w:tc>
        <w:tc>
          <w:tcPr>
            <w:tcW w:w="494" w:type="dxa"/>
            <w:vAlign w:val="top"/>
          </w:tcPr>
          <w:p w14:paraId="663FC809">
            <w:pPr>
              <w:rPr>
                <w:rFonts w:ascii="Arial"/>
                <w:sz w:val="21"/>
              </w:rPr>
            </w:pPr>
          </w:p>
        </w:tc>
        <w:tc>
          <w:tcPr>
            <w:tcW w:w="875" w:type="dxa"/>
            <w:vAlign w:val="top"/>
          </w:tcPr>
          <w:p w14:paraId="33E70B31">
            <w:pPr>
              <w:rPr>
                <w:rFonts w:ascii="Arial"/>
                <w:sz w:val="21"/>
              </w:rPr>
            </w:pPr>
          </w:p>
        </w:tc>
        <w:tc>
          <w:tcPr>
            <w:tcW w:w="874" w:type="dxa"/>
            <w:vAlign w:val="top"/>
          </w:tcPr>
          <w:p w14:paraId="0475E345">
            <w:pPr>
              <w:rPr>
                <w:rFonts w:ascii="Arial"/>
                <w:sz w:val="21"/>
              </w:rPr>
            </w:pPr>
          </w:p>
        </w:tc>
        <w:tc>
          <w:tcPr>
            <w:tcW w:w="875" w:type="dxa"/>
            <w:vAlign w:val="top"/>
          </w:tcPr>
          <w:p w14:paraId="41C82E1A">
            <w:pPr>
              <w:rPr>
                <w:rFonts w:ascii="Arial"/>
                <w:sz w:val="21"/>
              </w:rPr>
            </w:pPr>
          </w:p>
        </w:tc>
        <w:tc>
          <w:tcPr>
            <w:tcW w:w="508" w:type="dxa"/>
            <w:tcBorders>
              <w:right w:val="single" w:color="000000" w:sz="12" w:space="0"/>
            </w:tcBorders>
            <w:vAlign w:val="top"/>
          </w:tcPr>
          <w:p w14:paraId="6B16CFD8">
            <w:pPr>
              <w:rPr>
                <w:rFonts w:ascii="Arial"/>
                <w:sz w:val="21"/>
              </w:rPr>
            </w:pPr>
          </w:p>
        </w:tc>
      </w:tr>
      <w:tr w14:paraId="0A5D2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75C774F6">
            <w:pPr>
              <w:pStyle w:val="6"/>
              <w:spacing w:before="129" w:line="185" w:lineRule="auto"/>
              <w:ind w:left="121"/>
            </w:pPr>
            <w:r>
              <w:rPr>
                <w:b/>
                <w:bCs/>
                <w:spacing w:val="-2"/>
              </w:rPr>
              <w:t>F8</w:t>
            </w:r>
          </w:p>
        </w:tc>
        <w:tc>
          <w:tcPr>
            <w:tcW w:w="1257" w:type="dxa"/>
            <w:vAlign w:val="top"/>
          </w:tcPr>
          <w:p w14:paraId="1AC9F2CF">
            <w:pPr>
              <w:spacing w:before="90" w:line="216" w:lineRule="auto"/>
              <w:ind w:left="407"/>
              <w:rPr>
                <w:rFonts w:ascii="宋体" w:hAnsi="宋体" w:eastAsia="宋体" w:cs="宋体"/>
                <w:sz w:val="21"/>
                <w:szCs w:val="21"/>
              </w:rPr>
            </w:pPr>
            <w:r>
              <w:rPr>
                <w:rFonts w:ascii="宋体" w:hAnsi="宋体" w:eastAsia="宋体" w:cs="宋体"/>
                <w:b/>
                <w:bCs/>
                <w:spacing w:val="-4"/>
                <w:sz w:val="21"/>
                <w:szCs w:val="21"/>
              </w:rPr>
              <w:t>鹬科</w:t>
            </w:r>
          </w:p>
        </w:tc>
        <w:tc>
          <w:tcPr>
            <w:tcW w:w="2394" w:type="dxa"/>
            <w:vAlign w:val="top"/>
          </w:tcPr>
          <w:p w14:paraId="618954A7">
            <w:pPr>
              <w:pStyle w:val="6"/>
              <w:spacing w:before="128" w:line="187" w:lineRule="auto"/>
              <w:ind w:left="613"/>
            </w:pPr>
            <w:r>
              <w:rPr>
                <w:b/>
                <w:bCs/>
                <w:spacing w:val="-1"/>
              </w:rPr>
              <w:t>Scolopacidae</w:t>
            </w:r>
          </w:p>
        </w:tc>
        <w:tc>
          <w:tcPr>
            <w:tcW w:w="685" w:type="dxa"/>
            <w:vAlign w:val="top"/>
          </w:tcPr>
          <w:p w14:paraId="6EFE4559">
            <w:pPr>
              <w:rPr>
                <w:rFonts w:ascii="Arial"/>
                <w:sz w:val="21"/>
              </w:rPr>
            </w:pPr>
          </w:p>
        </w:tc>
        <w:tc>
          <w:tcPr>
            <w:tcW w:w="494" w:type="dxa"/>
            <w:vAlign w:val="top"/>
          </w:tcPr>
          <w:p w14:paraId="15F16720">
            <w:pPr>
              <w:rPr>
                <w:rFonts w:ascii="Arial"/>
                <w:sz w:val="21"/>
              </w:rPr>
            </w:pPr>
          </w:p>
        </w:tc>
        <w:tc>
          <w:tcPr>
            <w:tcW w:w="875" w:type="dxa"/>
            <w:vAlign w:val="top"/>
          </w:tcPr>
          <w:p w14:paraId="44820896">
            <w:pPr>
              <w:rPr>
                <w:rFonts w:ascii="Arial"/>
                <w:sz w:val="21"/>
              </w:rPr>
            </w:pPr>
          </w:p>
        </w:tc>
        <w:tc>
          <w:tcPr>
            <w:tcW w:w="874" w:type="dxa"/>
            <w:vAlign w:val="top"/>
          </w:tcPr>
          <w:p w14:paraId="58B52B0D">
            <w:pPr>
              <w:rPr>
                <w:rFonts w:ascii="Arial"/>
                <w:sz w:val="21"/>
              </w:rPr>
            </w:pPr>
          </w:p>
        </w:tc>
        <w:tc>
          <w:tcPr>
            <w:tcW w:w="875" w:type="dxa"/>
            <w:vAlign w:val="top"/>
          </w:tcPr>
          <w:p w14:paraId="4B3CC07C">
            <w:pPr>
              <w:rPr>
                <w:rFonts w:ascii="Arial"/>
                <w:sz w:val="21"/>
              </w:rPr>
            </w:pPr>
          </w:p>
        </w:tc>
        <w:tc>
          <w:tcPr>
            <w:tcW w:w="508" w:type="dxa"/>
            <w:tcBorders>
              <w:right w:val="single" w:color="000000" w:sz="12" w:space="0"/>
            </w:tcBorders>
            <w:vAlign w:val="top"/>
          </w:tcPr>
          <w:p w14:paraId="5C05BC22">
            <w:pPr>
              <w:rPr>
                <w:rFonts w:ascii="Arial"/>
                <w:sz w:val="21"/>
              </w:rPr>
            </w:pPr>
          </w:p>
        </w:tc>
      </w:tr>
      <w:tr w14:paraId="3DFA7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CD5BF78">
            <w:pPr>
              <w:pStyle w:val="6"/>
              <w:spacing w:before="116" w:line="205" w:lineRule="auto"/>
              <w:ind w:left="152"/>
            </w:pPr>
            <w:r>
              <w:rPr>
                <w:spacing w:val="-6"/>
              </w:rPr>
              <w:t>15</w:t>
            </w:r>
          </w:p>
        </w:tc>
        <w:tc>
          <w:tcPr>
            <w:tcW w:w="1257" w:type="dxa"/>
            <w:vAlign w:val="top"/>
          </w:tcPr>
          <w:p w14:paraId="7C240799">
            <w:pPr>
              <w:spacing w:before="84" w:line="210" w:lineRule="auto"/>
              <w:ind w:left="199"/>
              <w:rPr>
                <w:rFonts w:ascii="宋体" w:hAnsi="宋体" w:eastAsia="宋体" w:cs="宋体"/>
                <w:sz w:val="21"/>
                <w:szCs w:val="21"/>
              </w:rPr>
            </w:pPr>
            <w:r>
              <w:rPr>
                <w:rFonts w:ascii="宋体" w:hAnsi="宋体" w:eastAsia="宋体" w:cs="宋体"/>
                <w:spacing w:val="-2"/>
                <w:sz w:val="21"/>
                <w:szCs w:val="21"/>
              </w:rPr>
              <w:t>扇尾沙锥</w:t>
            </w:r>
          </w:p>
        </w:tc>
        <w:tc>
          <w:tcPr>
            <w:tcW w:w="2394" w:type="dxa"/>
            <w:vAlign w:val="top"/>
          </w:tcPr>
          <w:p w14:paraId="0E5B0BC3">
            <w:pPr>
              <w:pStyle w:val="6"/>
              <w:spacing w:before="116" w:line="190" w:lineRule="auto"/>
              <w:ind w:left="345"/>
            </w:pPr>
            <w:r>
              <w:rPr>
                <w:i/>
                <w:iCs/>
                <w:spacing w:val="-1"/>
              </w:rPr>
              <w:t>Gallinago gallinago</w:t>
            </w:r>
          </w:p>
        </w:tc>
        <w:tc>
          <w:tcPr>
            <w:tcW w:w="685" w:type="dxa"/>
            <w:vAlign w:val="top"/>
          </w:tcPr>
          <w:p w14:paraId="06F799C5">
            <w:pPr>
              <w:pStyle w:val="6"/>
              <w:spacing w:before="123" w:line="183" w:lineRule="auto"/>
              <w:ind w:left="240"/>
            </w:pPr>
            <w:r>
              <w:t>W</w:t>
            </w:r>
          </w:p>
        </w:tc>
        <w:tc>
          <w:tcPr>
            <w:tcW w:w="494" w:type="dxa"/>
            <w:vAlign w:val="top"/>
          </w:tcPr>
          <w:p w14:paraId="2B2013CC">
            <w:pPr>
              <w:rPr>
                <w:rFonts w:ascii="Arial"/>
                <w:sz w:val="21"/>
              </w:rPr>
            </w:pPr>
          </w:p>
        </w:tc>
        <w:tc>
          <w:tcPr>
            <w:tcW w:w="875" w:type="dxa"/>
            <w:vAlign w:val="top"/>
          </w:tcPr>
          <w:p w14:paraId="0F9A9156">
            <w:pPr>
              <w:rPr>
                <w:rFonts w:ascii="Arial"/>
                <w:sz w:val="21"/>
              </w:rPr>
            </w:pPr>
          </w:p>
        </w:tc>
        <w:tc>
          <w:tcPr>
            <w:tcW w:w="874" w:type="dxa"/>
            <w:vAlign w:val="top"/>
          </w:tcPr>
          <w:p w14:paraId="723AD8FB">
            <w:pPr>
              <w:pStyle w:val="6"/>
              <w:spacing w:before="116" w:line="205" w:lineRule="auto"/>
              <w:ind w:left="326"/>
            </w:pPr>
            <w:r>
              <w:rPr>
                <w:spacing w:val="-1"/>
              </w:rPr>
              <w:t>++</w:t>
            </w:r>
          </w:p>
        </w:tc>
        <w:tc>
          <w:tcPr>
            <w:tcW w:w="875" w:type="dxa"/>
            <w:vAlign w:val="top"/>
          </w:tcPr>
          <w:p w14:paraId="0EA649FC">
            <w:pPr>
              <w:pStyle w:val="6"/>
              <w:spacing w:before="120" w:line="186" w:lineRule="auto"/>
              <w:ind w:left="399"/>
            </w:pPr>
            <w:r>
              <w:t>S</w:t>
            </w:r>
          </w:p>
        </w:tc>
        <w:tc>
          <w:tcPr>
            <w:tcW w:w="508" w:type="dxa"/>
            <w:tcBorders>
              <w:right w:val="single" w:color="000000" w:sz="12" w:space="0"/>
            </w:tcBorders>
            <w:vAlign w:val="top"/>
          </w:tcPr>
          <w:p w14:paraId="6E4AADC3">
            <w:pPr>
              <w:rPr>
                <w:rFonts w:ascii="Arial"/>
                <w:sz w:val="21"/>
              </w:rPr>
            </w:pPr>
          </w:p>
        </w:tc>
      </w:tr>
      <w:tr w14:paraId="2AB4B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A51C899">
            <w:pPr>
              <w:pStyle w:val="6"/>
              <w:spacing w:before="118" w:line="202" w:lineRule="auto"/>
              <w:ind w:left="152"/>
            </w:pPr>
            <w:r>
              <w:rPr>
                <w:spacing w:val="-6"/>
              </w:rPr>
              <w:t>16</w:t>
            </w:r>
          </w:p>
        </w:tc>
        <w:tc>
          <w:tcPr>
            <w:tcW w:w="1257" w:type="dxa"/>
            <w:vAlign w:val="top"/>
          </w:tcPr>
          <w:p w14:paraId="6E25AF6C">
            <w:pPr>
              <w:spacing w:before="85" w:line="208" w:lineRule="auto"/>
              <w:ind w:left="230"/>
              <w:rPr>
                <w:rFonts w:ascii="宋体" w:hAnsi="宋体" w:eastAsia="宋体" w:cs="宋体"/>
                <w:sz w:val="21"/>
                <w:szCs w:val="21"/>
              </w:rPr>
            </w:pPr>
            <w:r>
              <w:rPr>
                <w:rFonts w:ascii="宋体" w:hAnsi="宋体" w:eastAsia="宋体" w:cs="宋体"/>
                <w:spacing w:val="-8"/>
                <w:sz w:val="21"/>
                <w:szCs w:val="21"/>
              </w:rPr>
              <w:t>白腰草鹬</w:t>
            </w:r>
          </w:p>
        </w:tc>
        <w:tc>
          <w:tcPr>
            <w:tcW w:w="2394" w:type="dxa"/>
            <w:vAlign w:val="top"/>
          </w:tcPr>
          <w:p w14:paraId="15F20201">
            <w:pPr>
              <w:pStyle w:val="6"/>
              <w:spacing w:before="118" w:line="190" w:lineRule="auto"/>
              <w:ind w:left="497"/>
            </w:pPr>
            <w:r>
              <w:rPr>
                <w:i/>
                <w:iCs/>
                <w:spacing w:val="-1"/>
              </w:rPr>
              <w:t>Tringa ochropus</w:t>
            </w:r>
          </w:p>
        </w:tc>
        <w:tc>
          <w:tcPr>
            <w:tcW w:w="685" w:type="dxa"/>
            <w:vAlign w:val="top"/>
          </w:tcPr>
          <w:p w14:paraId="38A75A7F">
            <w:pPr>
              <w:pStyle w:val="6"/>
              <w:spacing w:before="125" w:line="183" w:lineRule="auto"/>
              <w:ind w:left="240"/>
            </w:pPr>
            <w:r>
              <w:t>W</w:t>
            </w:r>
          </w:p>
        </w:tc>
        <w:tc>
          <w:tcPr>
            <w:tcW w:w="494" w:type="dxa"/>
            <w:vAlign w:val="top"/>
          </w:tcPr>
          <w:p w14:paraId="64A8D41D">
            <w:pPr>
              <w:rPr>
                <w:rFonts w:ascii="Arial"/>
                <w:sz w:val="21"/>
              </w:rPr>
            </w:pPr>
          </w:p>
        </w:tc>
        <w:tc>
          <w:tcPr>
            <w:tcW w:w="875" w:type="dxa"/>
            <w:vAlign w:val="top"/>
          </w:tcPr>
          <w:p w14:paraId="5C9E45A1">
            <w:pPr>
              <w:rPr>
                <w:rFonts w:ascii="Arial"/>
                <w:sz w:val="21"/>
              </w:rPr>
            </w:pPr>
          </w:p>
        </w:tc>
        <w:tc>
          <w:tcPr>
            <w:tcW w:w="874" w:type="dxa"/>
            <w:vAlign w:val="top"/>
          </w:tcPr>
          <w:p w14:paraId="10EEDCE7">
            <w:pPr>
              <w:pStyle w:val="6"/>
              <w:spacing w:before="118" w:line="202" w:lineRule="auto"/>
              <w:ind w:left="326"/>
            </w:pPr>
            <w:r>
              <w:rPr>
                <w:spacing w:val="-1"/>
              </w:rPr>
              <w:t>++</w:t>
            </w:r>
          </w:p>
        </w:tc>
        <w:tc>
          <w:tcPr>
            <w:tcW w:w="875" w:type="dxa"/>
            <w:vAlign w:val="top"/>
          </w:tcPr>
          <w:p w14:paraId="6E5B42E1">
            <w:pPr>
              <w:pStyle w:val="6"/>
              <w:spacing w:before="122" w:line="186" w:lineRule="auto"/>
              <w:ind w:left="399"/>
            </w:pPr>
            <w:r>
              <w:t>S</w:t>
            </w:r>
          </w:p>
        </w:tc>
        <w:tc>
          <w:tcPr>
            <w:tcW w:w="508" w:type="dxa"/>
            <w:tcBorders>
              <w:right w:val="single" w:color="000000" w:sz="12" w:space="0"/>
            </w:tcBorders>
            <w:vAlign w:val="top"/>
          </w:tcPr>
          <w:p w14:paraId="26B17539">
            <w:pPr>
              <w:rPr>
                <w:rFonts w:ascii="Arial"/>
                <w:sz w:val="21"/>
              </w:rPr>
            </w:pPr>
          </w:p>
        </w:tc>
      </w:tr>
      <w:tr w14:paraId="467D5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50819AB7">
            <w:pPr>
              <w:pStyle w:val="6"/>
              <w:spacing w:before="119" w:line="202" w:lineRule="auto"/>
              <w:ind w:left="152"/>
            </w:pPr>
            <w:r>
              <w:rPr>
                <w:spacing w:val="-6"/>
              </w:rPr>
              <w:t>17</w:t>
            </w:r>
          </w:p>
        </w:tc>
        <w:tc>
          <w:tcPr>
            <w:tcW w:w="1257" w:type="dxa"/>
            <w:vAlign w:val="top"/>
          </w:tcPr>
          <w:p w14:paraId="7176ED16">
            <w:pPr>
              <w:spacing w:before="86" w:line="208" w:lineRule="auto"/>
              <w:ind w:left="410"/>
              <w:rPr>
                <w:rFonts w:ascii="宋体" w:hAnsi="宋体" w:eastAsia="宋体" w:cs="宋体"/>
                <w:sz w:val="21"/>
                <w:szCs w:val="21"/>
              </w:rPr>
            </w:pPr>
            <w:r>
              <w:rPr>
                <w:rFonts w:ascii="宋体" w:hAnsi="宋体" w:eastAsia="宋体" w:cs="宋体"/>
                <w:spacing w:val="-3"/>
                <w:sz w:val="21"/>
                <w:szCs w:val="21"/>
              </w:rPr>
              <w:t>林鹬</w:t>
            </w:r>
          </w:p>
        </w:tc>
        <w:tc>
          <w:tcPr>
            <w:tcW w:w="2394" w:type="dxa"/>
            <w:vAlign w:val="top"/>
          </w:tcPr>
          <w:p w14:paraId="328D5F73">
            <w:pPr>
              <w:pStyle w:val="6"/>
              <w:spacing w:before="119" w:line="190" w:lineRule="auto"/>
              <w:ind w:left="531"/>
            </w:pPr>
            <w:r>
              <w:rPr>
                <w:i/>
                <w:iCs/>
                <w:spacing w:val="-1"/>
              </w:rPr>
              <w:t>Tringa glareola</w:t>
            </w:r>
          </w:p>
        </w:tc>
        <w:tc>
          <w:tcPr>
            <w:tcW w:w="685" w:type="dxa"/>
            <w:vAlign w:val="top"/>
          </w:tcPr>
          <w:p w14:paraId="4203C55F">
            <w:pPr>
              <w:pStyle w:val="6"/>
              <w:spacing w:before="126" w:line="183" w:lineRule="auto"/>
              <w:ind w:left="282"/>
            </w:pPr>
            <w:r>
              <w:t>P</w:t>
            </w:r>
          </w:p>
        </w:tc>
        <w:tc>
          <w:tcPr>
            <w:tcW w:w="494" w:type="dxa"/>
            <w:vAlign w:val="top"/>
          </w:tcPr>
          <w:p w14:paraId="0D38200B">
            <w:pPr>
              <w:rPr>
                <w:rFonts w:ascii="Arial"/>
                <w:sz w:val="21"/>
              </w:rPr>
            </w:pPr>
          </w:p>
        </w:tc>
        <w:tc>
          <w:tcPr>
            <w:tcW w:w="875" w:type="dxa"/>
            <w:vAlign w:val="top"/>
          </w:tcPr>
          <w:p w14:paraId="02BF2CB4">
            <w:pPr>
              <w:rPr>
                <w:rFonts w:ascii="Arial"/>
                <w:sz w:val="21"/>
              </w:rPr>
            </w:pPr>
          </w:p>
        </w:tc>
        <w:tc>
          <w:tcPr>
            <w:tcW w:w="874" w:type="dxa"/>
            <w:vAlign w:val="top"/>
          </w:tcPr>
          <w:p w14:paraId="64746B5B">
            <w:pPr>
              <w:pStyle w:val="6"/>
              <w:spacing w:before="119" w:line="202" w:lineRule="auto"/>
              <w:ind w:left="385"/>
            </w:pPr>
            <w:r>
              <w:t>+</w:t>
            </w:r>
          </w:p>
        </w:tc>
        <w:tc>
          <w:tcPr>
            <w:tcW w:w="875" w:type="dxa"/>
            <w:vAlign w:val="top"/>
          </w:tcPr>
          <w:p w14:paraId="435A13DF">
            <w:pPr>
              <w:pStyle w:val="6"/>
              <w:spacing w:before="123" w:line="186" w:lineRule="auto"/>
              <w:ind w:left="399"/>
            </w:pPr>
            <w:r>
              <w:t>S</w:t>
            </w:r>
          </w:p>
        </w:tc>
        <w:tc>
          <w:tcPr>
            <w:tcW w:w="508" w:type="dxa"/>
            <w:tcBorders>
              <w:right w:val="single" w:color="000000" w:sz="12" w:space="0"/>
            </w:tcBorders>
            <w:vAlign w:val="top"/>
          </w:tcPr>
          <w:p w14:paraId="100749C1">
            <w:pPr>
              <w:rPr>
                <w:rFonts w:ascii="Arial"/>
                <w:sz w:val="21"/>
              </w:rPr>
            </w:pPr>
          </w:p>
        </w:tc>
      </w:tr>
      <w:tr w14:paraId="229EB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11" w:type="dxa"/>
            <w:tcBorders>
              <w:left w:val="single" w:color="000000" w:sz="12" w:space="0"/>
              <w:bottom w:val="single" w:color="000000" w:sz="12" w:space="0"/>
            </w:tcBorders>
            <w:vAlign w:val="top"/>
          </w:tcPr>
          <w:p w14:paraId="5ECE5D7E">
            <w:pPr>
              <w:pStyle w:val="6"/>
              <w:spacing w:before="124" w:line="186" w:lineRule="auto"/>
              <w:ind w:left="106"/>
            </w:pPr>
            <w:r>
              <w:rPr>
                <w:b/>
                <w:bCs/>
                <w:spacing w:val="-3"/>
              </w:rPr>
              <w:t>O9</w:t>
            </w:r>
          </w:p>
        </w:tc>
        <w:tc>
          <w:tcPr>
            <w:tcW w:w="1257" w:type="dxa"/>
            <w:tcBorders>
              <w:bottom w:val="single" w:color="000000" w:sz="12" w:space="0"/>
            </w:tcBorders>
            <w:vAlign w:val="top"/>
          </w:tcPr>
          <w:p w14:paraId="32426A72">
            <w:pPr>
              <w:spacing w:before="86" w:line="221" w:lineRule="auto"/>
              <w:ind w:left="301"/>
              <w:rPr>
                <w:rFonts w:ascii="宋体" w:hAnsi="宋体" w:eastAsia="宋体" w:cs="宋体"/>
                <w:sz w:val="21"/>
                <w:szCs w:val="21"/>
              </w:rPr>
            </w:pPr>
            <w:r>
              <w:rPr>
                <w:rFonts w:ascii="宋体" w:hAnsi="宋体" w:eastAsia="宋体" w:cs="宋体"/>
                <w:b/>
                <w:bCs/>
                <w:spacing w:val="-4"/>
                <w:sz w:val="21"/>
                <w:szCs w:val="21"/>
              </w:rPr>
              <w:t>鹈形目</w:t>
            </w:r>
          </w:p>
        </w:tc>
        <w:tc>
          <w:tcPr>
            <w:tcW w:w="2394" w:type="dxa"/>
            <w:tcBorders>
              <w:bottom w:val="single" w:color="000000" w:sz="12" w:space="0"/>
            </w:tcBorders>
            <w:vAlign w:val="top"/>
          </w:tcPr>
          <w:p w14:paraId="6CD9E325">
            <w:pPr>
              <w:pStyle w:val="6"/>
              <w:spacing w:before="124" w:line="219" w:lineRule="auto"/>
              <w:ind w:left="509"/>
            </w:pPr>
            <w:r>
              <w:rPr>
                <w:b/>
                <w:bCs/>
                <w:spacing w:val="-1"/>
              </w:rPr>
              <w:t>Pelecaniformes</w:t>
            </w:r>
          </w:p>
        </w:tc>
        <w:tc>
          <w:tcPr>
            <w:tcW w:w="685" w:type="dxa"/>
            <w:tcBorders>
              <w:bottom w:val="single" w:color="000000" w:sz="12" w:space="0"/>
            </w:tcBorders>
            <w:vAlign w:val="top"/>
          </w:tcPr>
          <w:p w14:paraId="1BE4A5AA">
            <w:pPr>
              <w:rPr>
                <w:rFonts w:ascii="Arial"/>
                <w:sz w:val="21"/>
              </w:rPr>
            </w:pPr>
          </w:p>
        </w:tc>
        <w:tc>
          <w:tcPr>
            <w:tcW w:w="494" w:type="dxa"/>
            <w:tcBorders>
              <w:bottom w:val="single" w:color="000000" w:sz="12" w:space="0"/>
            </w:tcBorders>
            <w:vAlign w:val="top"/>
          </w:tcPr>
          <w:p w14:paraId="59773184">
            <w:pPr>
              <w:rPr>
                <w:rFonts w:ascii="Arial"/>
                <w:sz w:val="21"/>
              </w:rPr>
            </w:pPr>
          </w:p>
        </w:tc>
        <w:tc>
          <w:tcPr>
            <w:tcW w:w="875" w:type="dxa"/>
            <w:tcBorders>
              <w:bottom w:val="single" w:color="000000" w:sz="12" w:space="0"/>
            </w:tcBorders>
            <w:vAlign w:val="top"/>
          </w:tcPr>
          <w:p w14:paraId="27DEEC87">
            <w:pPr>
              <w:rPr>
                <w:rFonts w:ascii="Arial"/>
                <w:sz w:val="21"/>
              </w:rPr>
            </w:pPr>
          </w:p>
        </w:tc>
        <w:tc>
          <w:tcPr>
            <w:tcW w:w="874" w:type="dxa"/>
            <w:tcBorders>
              <w:bottom w:val="single" w:color="000000" w:sz="12" w:space="0"/>
            </w:tcBorders>
            <w:vAlign w:val="top"/>
          </w:tcPr>
          <w:p w14:paraId="24513E66">
            <w:pPr>
              <w:rPr>
                <w:rFonts w:ascii="Arial"/>
                <w:sz w:val="21"/>
              </w:rPr>
            </w:pPr>
          </w:p>
        </w:tc>
        <w:tc>
          <w:tcPr>
            <w:tcW w:w="875" w:type="dxa"/>
            <w:tcBorders>
              <w:bottom w:val="single" w:color="000000" w:sz="12" w:space="0"/>
            </w:tcBorders>
            <w:vAlign w:val="top"/>
          </w:tcPr>
          <w:p w14:paraId="391B63ED">
            <w:pPr>
              <w:rPr>
                <w:rFonts w:ascii="Arial"/>
                <w:sz w:val="21"/>
              </w:rPr>
            </w:pPr>
          </w:p>
        </w:tc>
        <w:tc>
          <w:tcPr>
            <w:tcW w:w="508" w:type="dxa"/>
            <w:tcBorders>
              <w:bottom w:val="single" w:color="000000" w:sz="12" w:space="0"/>
              <w:right w:val="single" w:color="000000" w:sz="12" w:space="0"/>
            </w:tcBorders>
            <w:vAlign w:val="top"/>
          </w:tcPr>
          <w:p w14:paraId="330FFCF4">
            <w:pPr>
              <w:rPr>
                <w:rFonts w:ascii="Arial"/>
                <w:sz w:val="21"/>
              </w:rPr>
            </w:pPr>
          </w:p>
        </w:tc>
      </w:tr>
    </w:tbl>
    <w:p w14:paraId="30D10D8C">
      <w:pPr>
        <w:rPr>
          <w:rFonts w:ascii="Arial"/>
          <w:sz w:val="21"/>
        </w:rPr>
      </w:pPr>
    </w:p>
    <w:p w14:paraId="2621675A">
      <w:pPr>
        <w:rPr>
          <w:rFonts w:ascii="Arial" w:hAnsi="Arial" w:eastAsia="Arial" w:cs="Arial"/>
          <w:sz w:val="21"/>
          <w:szCs w:val="21"/>
        </w:rPr>
        <w:sectPr>
          <w:headerReference r:id="rId294" w:type="default"/>
          <w:footerReference r:id="rId295" w:type="default"/>
          <w:pgSz w:w="11907" w:h="16839"/>
          <w:pgMar w:top="1376" w:right="1669" w:bottom="1061" w:left="1671" w:header="999" w:footer="859" w:gutter="0"/>
          <w:cols w:space="720" w:num="1"/>
        </w:sectPr>
      </w:pPr>
    </w:p>
    <w:p w14:paraId="01686D28">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57"/>
        <w:gridCol w:w="2394"/>
        <w:gridCol w:w="685"/>
        <w:gridCol w:w="494"/>
        <w:gridCol w:w="875"/>
        <w:gridCol w:w="874"/>
        <w:gridCol w:w="875"/>
        <w:gridCol w:w="508"/>
      </w:tblGrid>
      <w:tr w14:paraId="68BAE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511" w:type="dxa"/>
            <w:tcBorders>
              <w:top w:val="single" w:color="000000" w:sz="12" w:space="0"/>
              <w:left w:val="single" w:color="000000" w:sz="12" w:space="0"/>
            </w:tcBorders>
            <w:textDirection w:val="tbRlV"/>
            <w:vAlign w:val="top"/>
          </w:tcPr>
          <w:p w14:paraId="7F99479C">
            <w:pPr>
              <w:spacing w:before="152" w:line="210" w:lineRule="auto"/>
              <w:ind w:left="58"/>
              <w:rPr>
                <w:rFonts w:ascii="宋体" w:hAnsi="宋体" w:eastAsia="宋体" w:cs="宋体"/>
                <w:sz w:val="21"/>
                <w:szCs w:val="21"/>
              </w:rPr>
            </w:pPr>
            <w:r>
              <w:rPr>
                <w:rFonts w:ascii="宋体" w:hAnsi="宋体" w:eastAsia="宋体" w:cs="宋体"/>
                <w:spacing w:val="31"/>
                <w:sz w:val="21"/>
                <w:szCs w:val="21"/>
              </w:rPr>
              <w:t>序号</w:t>
            </w:r>
          </w:p>
        </w:tc>
        <w:tc>
          <w:tcPr>
            <w:tcW w:w="1257" w:type="dxa"/>
            <w:tcBorders>
              <w:top w:val="single" w:color="000000" w:sz="12" w:space="0"/>
            </w:tcBorders>
            <w:vAlign w:val="top"/>
          </w:tcPr>
          <w:p w14:paraId="71B4E5C3">
            <w:pPr>
              <w:spacing w:before="194" w:line="220" w:lineRule="auto"/>
              <w:ind w:left="323"/>
              <w:rPr>
                <w:rFonts w:ascii="宋体" w:hAnsi="宋体" w:eastAsia="宋体" w:cs="宋体"/>
                <w:sz w:val="21"/>
                <w:szCs w:val="21"/>
              </w:rPr>
            </w:pPr>
            <w:r>
              <w:rPr>
                <w:rFonts w:ascii="宋体" w:hAnsi="宋体" w:eastAsia="宋体" w:cs="宋体"/>
                <w:spacing w:val="-7"/>
                <w:sz w:val="21"/>
                <w:szCs w:val="21"/>
              </w:rPr>
              <w:t>中文名</w:t>
            </w:r>
          </w:p>
        </w:tc>
        <w:tc>
          <w:tcPr>
            <w:tcW w:w="2394" w:type="dxa"/>
            <w:tcBorders>
              <w:top w:val="single" w:color="000000" w:sz="12" w:space="0"/>
            </w:tcBorders>
            <w:vAlign w:val="top"/>
          </w:tcPr>
          <w:p w14:paraId="4818AA1D">
            <w:pPr>
              <w:spacing w:before="193" w:line="221" w:lineRule="auto"/>
              <w:ind w:left="881"/>
              <w:rPr>
                <w:rFonts w:ascii="宋体" w:hAnsi="宋体" w:eastAsia="宋体" w:cs="宋体"/>
                <w:sz w:val="21"/>
                <w:szCs w:val="21"/>
              </w:rPr>
            </w:pPr>
            <w:r>
              <w:rPr>
                <w:rFonts w:ascii="宋体" w:hAnsi="宋体" w:eastAsia="宋体" w:cs="宋体"/>
                <w:spacing w:val="-3"/>
                <w:sz w:val="21"/>
                <w:szCs w:val="21"/>
              </w:rPr>
              <w:t>拉丁名</w:t>
            </w:r>
          </w:p>
        </w:tc>
        <w:tc>
          <w:tcPr>
            <w:tcW w:w="685" w:type="dxa"/>
            <w:tcBorders>
              <w:top w:val="single" w:color="000000" w:sz="12" w:space="0"/>
            </w:tcBorders>
            <w:vAlign w:val="top"/>
          </w:tcPr>
          <w:p w14:paraId="52E2C6A8">
            <w:pPr>
              <w:spacing w:before="59" w:line="236" w:lineRule="auto"/>
              <w:ind w:left="246" w:right="128" w:hanging="110"/>
              <w:rPr>
                <w:rFonts w:ascii="宋体" w:hAnsi="宋体" w:eastAsia="宋体" w:cs="宋体"/>
                <w:sz w:val="21"/>
                <w:szCs w:val="21"/>
              </w:rPr>
            </w:pPr>
            <w:r>
              <w:rPr>
                <w:rFonts w:ascii="宋体" w:hAnsi="宋体" w:eastAsia="宋体" w:cs="宋体"/>
                <w:spacing w:val="-5"/>
                <w:sz w:val="21"/>
                <w:szCs w:val="21"/>
              </w:rPr>
              <w:t>居留</w:t>
            </w:r>
            <w:r>
              <w:rPr>
                <w:rFonts w:ascii="宋体" w:hAnsi="宋体" w:eastAsia="宋体" w:cs="宋体"/>
                <w:sz w:val="21"/>
                <w:szCs w:val="21"/>
              </w:rPr>
              <w:t>型</w:t>
            </w:r>
          </w:p>
        </w:tc>
        <w:tc>
          <w:tcPr>
            <w:tcW w:w="494" w:type="dxa"/>
            <w:tcBorders>
              <w:top w:val="single" w:color="000000" w:sz="12" w:space="0"/>
            </w:tcBorders>
            <w:textDirection w:val="tbRlV"/>
            <w:vAlign w:val="top"/>
          </w:tcPr>
          <w:p w14:paraId="0560B61A">
            <w:pPr>
              <w:spacing w:before="135" w:line="206" w:lineRule="auto"/>
              <w:ind w:left="58"/>
              <w:rPr>
                <w:rFonts w:ascii="宋体" w:hAnsi="宋体" w:eastAsia="宋体" w:cs="宋体"/>
                <w:sz w:val="21"/>
                <w:szCs w:val="21"/>
              </w:rPr>
            </w:pPr>
            <w:r>
              <w:rPr>
                <w:rFonts w:ascii="宋体" w:hAnsi="宋体" w:eastAsia="宋体" w:cs="宋体"/>
                <w:spacing w:val="31"/>
                <w:sz w:val="21"/>
                <w:szCs w:val="21"/>
              </w:rPr>
              <w:t>区系</w:t>
            </w:r>
          </w:p>
        </w:tc>
        <w:tc>
          <w:tcPr>
            <w:tcW w:w="875" w:type="dxa"/>
            <w:tcBorders>
              <w:top w:val="single" w:color="000000" w:sz="12" w:space="0"/>
            </w:tcBorders>
            <w:vAlign w:val="top"/>
          </w:tcPr>
          <w:p w14:paraId="28EB36F3">
            <w:pPr>
              <w:spacing w:before="59" w:line="236" w:lineRule="auto"/>
              <w:ind w:left="341" w:right="112"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874" w:type="dxa"/>
            <w:tcBorders>
              <w:top w:val="single" w:color="000000" w:sz="12" w:space="0"/>
            </w:tcBorders>
            <w:vAlign w:val="top"/>
          </w:tcPr>
          <w:p w14:paraId="6DF837F5">
            <w:pPr>
              <w:spacing w:before="59" w:line="236" w:lineRule="auto"/>
              <w:ind w:left="343" w:right="108" w:hanging="200"/>
              <w:rPr>
                <w:rFonts w:ascii="宋体" w:hAnsi="宋体" w:eastAsia="宋体" w:cs="宋体"/>
                <w:sz w:val="21"/>
                <w:szCs w:val="21"/>
              </w:rPr>
            </w:pPr>
            <w:r>
              <w:rPr>
                <w:rFonts w:ascii="宋体" w:hAnsi="宋体" w:eastAsia="宋体" w:cs="宋体"/>
                <w:spacing w:val="-6"/>
                <w:sz w:val="21"/>
                <w:szCs w:val="21"/>
              </w:rPr>
              <w:t>资源现</w:t>
            </w:r>
            <w:r>
              <w:rPr>
                <w:rFonts w:ascii="宋体" w:hAnsi="宋体" w:eastAsia="宋体" w:cs="宋体"/>
                <w:sz w:val="21"/>
                <w:szCs w:val="21"/>
              </w:rPr>
              <w:t>状</w:t>
            </w:r>
          </w:p>
        </w:tc>
        <w:tc>
          <w:tcPr>
            <w:tcW w:w="875" w:type="dxa"/>
            <w:tcBorders>
              <w:top w:val="single" w:color="000000" w:sz="12" w:space="0"/>
            </w:tcBorders>
            <w:vAlign w:val="top"/>
          </w:tcPr>
          <w:p w14:paraId="56C00D5A">
            <w:pPr>
              <w:spacing w:before="59" w:line="236" w:lineRule="auto"/>
              <w:ind w:left="346" w:right="105" w:hanging="200"/>
              <w:rPr>
                <w:rFonts w:ascii="宋体" w:hAnsi="宋体" w:eastAsia="宋体" w:cs="宋体"/>
                <w:sz w:val="21"/>
                <w:szCs w:val="21"/>
              </w:rPr>
            </w:pPr>
            <w:r>
              <w:rPr>
                <w:rFonts w:ascii="宋体" w:hAnsi="宋体" w:eastAsia="宋体" w:cs="宋体"/>
                <w:spacing w:val="-6"/>
                <w:sz w:val="21"/>
                <w:szCs w:val="21"/>
              </w:rPr>
              <w:t>资料来</w:t>
            </w:r>
            <w:r>
              <w:rPr>
                <w:rFonts w:ascii="宋体" w:hAnsi="宋体" w:eastAsia="宋体" w:cs="宋体"/>
                <w:sz w:val="21"/>
                <w:szCs w:val="21"/>
              </w:rPr>
              <w:t>源</w:t>
            </w:r>
          </w:p>
        </w:tc>
        <w:tc>
          <w:tcPr>
            <w:tcW w:w="508" w:type="dxa"/>
            <w:tcBorders>
              <w:top w:val="single" w:color="000000" w:sz="12" w:space="0"/>
              <w:right w:val="single" w:color="000000" w:sz="12" w:space="0"/>
            </w:tcBorders>
            <w:textDirection w:val="tbRlV"/>
            <w:vAlign w:val="top"/>
          </w:tcPr>
          <w:p w14:paraId="7388C955">
            <w:pPr>
              <w:spacing w:before="127" w:line="209" w:lineRule="auto"/>
              <w:ind w:left="58"/>
              <w:rPr>
                <w:rFonts w:ascii="宋体" w:hAnsi="宋体" w:eastAsia="宋体" w:cs="宋体"/>
                <w:sz w:val="21"/>
                <w:szCs w:val="21"/>
              </w:rPr>
            </w:pPr>
            <w:r>
              <w:rPr>
                <w:rFonts w:ascii="宋体" w:hAnsi="宋体" w:eastAsia="宋体" w:cs="宋体"/>
                <w:spacing w:val="31"/>
                <w:sz w:val="21"/>
                <w:szCs w:val="21"/>
              </w:rPr>
              <w:t>备注</w:t>
            </w:r>
          </w:p>
        </w:tc>
      </w:tr>
      <w:tr w14:paraId="34774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19BB434">
            <w:pPr>
              <w:pStyle w:val="6"/>
              <w:spacing w:before="96" w:line="186" w:lineRule="auto"/>
              <w:ind w:left="121"/>
            </w:pPr>
            <w:r>
              <w:rPr>
                <w:b/>
                <w:bCs/>
                <w:spacing w:val="-2"/>
              </w:rPr>
              <w:t>F9</w:t>
            </w:r>
          </w:p>
        </w:tc>
        <w:tc>
          <w:tcPr>
            <w:tcW w:w="1257" w:type="dxa"/>
            <w:vAlign w:val="top"/>
          </w:tcPr>
          <w:p w14:paraId="076248B8">
            <w:pPr>
              <w:spacing w:before="58" w:line="219" w:lineRule="auto"/>
              <w:ind w:left="412"/>
              <w:rPr>
                <w:rFonts w:ascii="宋体" w:hAnsi="宋体" w:eastAsia="宋体" w:cs="宋体"/>
                <w:sz w:val="21"/>
                <w:szCs w:val="21"/>
              </w:rPr>
            </w:pPr>
            <w:r>
              <w:rPr>
                <w:rFonts w:ascii="宋体" w:hAnsi="宋体" w:eastAsia="宋体" w:cs="宋体"/>
                <w:b/>
                <w:bCs/>
                <w:spacing w:val="-6"/>
                <w:sz w:val="21"/>
                <w:szCs w:val="21"/>
              </w:rPr>
              <w:t>鹭科</w:t>
            </w:r>
          </w:p>
        </w:tc>
        <w:tc>
          <w:tcPr>
            <w:tcW w:w="2394" w:type="dxa"/>
            <w:vAlign w:val="top"/>
          </w:tcPr>
          <w:p w14:paraId="4D18A697">
            <w:pPr>
              <w:pStyle w:val="6"/>
              <w:spacing w:before="95" w:line="187" w:lineRule="auto"/>
              <w:ind w:left="773"/>
            </w:pPr>
            <w:r>
              <w:rPr>
                <w:b/>
                <w:bCs/>
                <w:spacing w:val="-1"/>
              </w:rPr>
              <w:t>Ardeidae</w:t>
            </w:r>
          </w:p>
        </w:tc>
        <w:tc>
          <w:tcPr>
            <w:tcW w:w="685" w:type="dxa"/>
            <w:vAlign w:val="top"/>
          </w:tcPr>
          <w:p w14:paraId="36403327">
            <w:pPr>
              <w:rPr>
                <w:rFonts w:ascii="Arial"/>
                <w:sz w:val="21"/>
              </w:rPr>
            </w:pPr>
          </w:p>
        </w:tc>
        <w:tc>
          <w:tcPr>
            <w:tcW w:w="494" w:type="dxa"/>
            <w:vAlign w:val="top"/>
          </w:tcPr>
          <w:p w14:paraId="37EF49B3">
            <w:pPr>
              <w:rPr>
                <w:rFonts w:ascii="Arial"/>
                <w:sz w:val="21"/>
              </w:rPr>
            </w:pPr>
          </w:p>
        </w:tc>
        <w:tc>
          <w:tcPr>
            <w:tcW w:w="875" w:type="dxa"/>
            <w:vAlign w:val="top"/>
          </w:tcPr>
          <w:p w14:paraId="77407E48">
            <w:pPr>
              <w:rPr>
                <w:rFonts w:ascii="Arial"/>
                <w:sz w:val="21"/>
              </w:rPr>
            </w:pPr>
          </w:p>
        </w:tc>
        <w:tc>
          <w:tcPr>
            <w:tcW w:w="874" w:type="dxa"/>
            <w:vAlign w:val="top"/>
          </w:tcPr>
          <w:p w14:paraId="7395078A">
            <w:pPr>
              <w:rPr>
                <w:rFonts w:ascii="Arial"/>
                <w:sz w:val="21"/>
              </w:rPr>
            </w:pPr>
          </w:p>
        </w:tc>
        <w:tc>
          <w:tcPr>
            <w:tcW w:w="875" w:type="dxa"/>
            <w:vAlign w:val="top"/>
          </w:tcPr>
          <w:p w14:paraId="4D6A918A">
            <w:pPr>
              <w:rPr>
                <w:rFonts w:ascii="Arial"/>
                <w:sz w:val="21"/>
              </w:rPr>
            </w:pPr>
          </w:p>
        </w:tc>
        <w:tc>
          <w:tcPr>
            <w:tcW w:w="508" w:type="dxa"/>
            <w:tcBorders>
              <w:right w:val="single" w:color="000000" w:sz="12" w:space="0"/>
            </w:tcBorders>
            <w:vAlign w:val="top"/>
          </w:tcPr>
          <w:p w14:paraId="688A939E">
            <w:pPr>
              <w:rPr>
                <w:rFonts w:ascii="Arial"/>
                <w:sz w:val="21"/>
              </w:rPr>
            </w:pPr>
          </w:p>
        </w:tc>
      </w:tr>
      <w:tr w14:paraId="7F05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02275CD3">
            <w:pPr>
              <w:pStyle w:val="6"/>
              <w:spacing w:before="92" w:line="228" w:lineRule="auto"/>
              <w:ind w:left="152"/>
            </w:pPr>
            <w:r>
              <w:rPr>
                <w:spacing w:val="-6"/>
              </w:rPr>
              <w:t>18</w:t>
            </w:r>
          </w:p>
        </w:tc>
        <w:tc>
          <w:tcPr>
            <w:tcW w:w="1257" w:type="dxa"/>
            <w:vAlign w:val="top"/>
          </w:tcPr>
          <w:p w14:paraId="74DF9CFE">
            <w:pPr>
              <w:spacing w:before="58" w:line="220" w:lineRule="auto"/>
              <w:ind w:left="411"/>
              <w:rPr>
                <w:rFonts w:ascii="宋体" w:hAnsi="宋体" w:eastAsia="宋体" w:cs="宋体"/>
                <w:sz w:val="21"/>
                <w:szCs w:val="21"/>
              </w:rPr>
            </w:pPr>
            <w:r>
              <w:rPr>
                <w:rFonts w:ascii="宋体" w:hAnsi="宋体" w:eastAsia="宋体" w:cs="宋体"/>
                <w:spacing w:val="-3"/>
                <w:sz w:val="21"/>
                <w:szCs w:val="21"/>
              </w:rPr>
              <w:t>绿鹭</w:t>
            </w:r>
          </w:p>
        </w:tc>
        <w:tc>
          <w:tcPr>
            <w:tcW w:w="2394" w:type="dxa"/>
            <w:vAlign w:val="top"/>
          </w:tcPr>
          <w:p w14:paraId="4114FDEF">
            <w:pPr>
              <w:pStyle w:val="6"/>
              <w:spacing w:before="91" w:line="229" w:lineRule="auto"/>
              <w:ind w:left="471"/>
            </w:pPr>
            <w:r>
              <w:rPr>
                <w:i/>
                <w:iCs/>
              </w:rPr>
              <w:t>Butorides</w:t>
            </w:r>
            <w:r>
              <w:rPr>
                <w:i/>
                <w:iCs/>
                <w:spacing w:val="8"/>
              </w:rPr>
              <w:t xml:space="preserve"> </w:t>
            </w:r>
            <w:r>
              <w:rPr>
                <w:i/>
                <w:iCs/>
              </w:rPr>
              <w:t>striata</w:t>
            </w:r>
          </w:p>
        </w:tc>
        <w:tc>
          <w:tcPr>
            <w:tcW w:w="685" w:type="dxa"/>
            <w:vAlign w:val="top"/>
          </w:tcPr>
          <w:p w14:paraId="7696C8D8">
            <w:pPr>
              <w:pStyle w:val="6"/>
              <w:spacing w:before="95" w:line="186" w:lineRule="auto"/>
              <w:ind w:left="292"/>
            </w:pPr>
            <w:r>
              <w:t>S</w:t>
            </w:r>
          </w:p>
        </w:tc>
        <w:tc>
          <w:tcPr>
            <w:tcW w:w="494" w:type="dxa"/>
            <w:vAlign w:val="top"/>
          </w:tcPr>
          <w:p w14:paraId="4A036C10">
            <w:pPr>
              <w:pStyle w:val="6"/>
              <w:spacing w:before="95" w:line="186" w:lineRule="auto"/>
              <w:ind w:left="117"/>
            </w:pPr>
            <w:r>
              <w:rPr>
                <w:spacing w:val="-3"/>
              </w:rPr>
              <w:t>OP</w:t>
            </w:r>
          </w:p>
        </w:tc>
        <w:tc>
          <w:tcPr>
            <w:tcW w:w="875" w:type="dxa"/>
            <w:vAlign w:val="top"/>
          </w:tcPr>
          <w:p w14:paraId="2603898F">
            <w:pPr>
              <w:rPr>
                <w:rFonts w:ascii="Arial"/>
                <w:sz w:val="21"/>
              </w:rPr>
            </w:pPr>
          </w:p>
        </w:tc>
        <w:tc>
          <w:tcPr>
            <w:tcW w:w="874" w:type="dxa"/>
            <w:vAlign w:val="top"/>
          </w:tcPr>
          <w:p w14:paraId="3BD38E5B">
            <w:pPr>
              <w:pStyle w:val="6"/>
              <w:spacing w:before="92" w:line="228" w:lineRule="auto"/>
              <w:ind w:left="385"/>
            </w:pPr>
            <w:r>
              <w:t>+</w:t>
            </w:r>
          </w:p>
        </w:tc>
        <w:tc>
          <w:tcPr>
            <w:tcW w:w="875" w:type="dxa"/>
            <w:vAlign w:val="top"/>
          </w:tcPr>
          <w:p w14:paraId="3A709299">
            <w:pPr>
              <w:pStyle w:val="6"/>
              <w:spacing w:before="95" w:line="186" w:lineRule="auto"/>
              <w:ind w:left="399"/>
            </w:pPr>
            <w:r>
              <w:t>S</w:t>
            </w:r>
          </w:p>
        </w:tc>
        <w:tc>
          <w:tcPr>
            <w:tcW w:w="508" w:type="dxa"/>
            <w:tcBorders>
              <w:right w:val="single" w:color="000000" w:sz="12" w:space="0"/>
            </w:tcBorders>
            <w:vAlign w:val="top"/>
          </w:tcPr>
          <w:p w14:paraId="3722346D">
            <w:pPr>
              <w:rPr>
                <w:rFonts w:ascii="Arial"/>
                <w:sz w:val="21"/>
              </w:rPr>
            </w:pPr>
          </w:p>
        </w:tc>
      </w:tr>
      <w:tr w14:paraId="4F0CA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087E39D0">
            <w:pPr>
              <w:pStyle w:val="6"/>
              <w:spacing w:before="93" w:line="229" w:lineRule="auto"/>
              <w:ind w:left="152"/>
            </w:pPr>
            <w:r>
              <w:rPr>
                <w:spacing w:val="-6"/>
              </w:rPr>
              <w:t>19</w:t>
            </w:r>
          </w:p>
        </w:tc>
        <w:tc>
          <w:tcPr>
            <w:tcW w:w="1257" w:type="dxa"/>
            <w:vAlign w:val="top"/>
          </w:tcPr>
          <w:p w14:paraId="6BA6277C">
            <w:pPr>
              <w:spacing w:before="60" w:line="220" w:lineRule="auto"/>
              <w:ind w:left="409"/>
              <w:rPr>
                <w:rFonts w:ascii="宋体" w:hAnsi="宋体" w:eastAsia="宋体" w:cs="宋体"/>
                <w:sz w:val="21"/>
                <w:szCs w:val="21"/>
              </w:rPr>
            </w:pPr>
            <w:r>
              <w:rPr>
                <w:rFonts w:ascii="宋体" w:hAnsi="宋体" w:eastAsia="宋体" w:cs="宋体"/>
                <w:spacing w:val="-3"/>
                <w:sz w:val="21"/>
                <w:szCs w:val="21"/>
              </w:rPr>
              <w:t>池鹭</w:t>
            </w:r>
          </w:p>
        </w:tc>
        <w:tc>
          <w:tcPr>
            <w:tcW w:w="2394" w:type="dxa"/>
            <w:vAlign w:val="top"/>
          </w:tcPr>
          <w:p w14:paraId="72150193">
            <w:pPr>
              <w:pStyle w:val="6"/>
              <w:spacing w:before="93" w:line="229" w:lineRule="auto"/>
              <w:ind w:left="467"/>
            </w:pPr>
            <w:r>
              <w:rPr>
                <w:i/>
                <w:iCs/>
              </w:rPr>
              <w:t>Ardeola</w:t>
            </w:r>
            <w:r>
              <w:rPr>
                <w:i/>
                <w:iCs/>
                <w:spacing w:val="11"/>
              </w:rPr>
              <w:t xml:space="preserve"> </w:t>
            </w:r>
            <w:r>
              <w:rPr>
                <w:i/>
                <w:iCs/>
              </w:rPr>
              <w:t>bacchus</w:t>
            </w:r>
          </w:p>
        </w:tc>
        <w:tc>
          <w:tcPr>
            <w:tcW w:w="685" w:type="dxa"/>
            <w:vAlign w:val="top"/>
          </w:tcPr>
          <w:p w14:paraId="2D2749F7">
            <w:pPr>
              <w:pStyle w:val="6"/>
              <w:spacing w:before="100" w:line="183" w:lineRule="auto"/>
              <w:ind w:left="270"/>
            </w:pPr>
            <w:r>
              <w:t>R</w:t>
            </w:r>
          </w:p>
        </w:tc>
        <w:tc>
          <w:tcPr>
            <w:tcW w:w="494" w:type="dxa"/>
            <w:vAlign w:val="top"/>
          </w:tcPr>
          <w:p w14:paraId="5865D1C5">
            <w:pPr>
              <w:pStyle w:val="6"/>
              <w:spacing w:before="97" w:line="186" w:lineRule="auto"/>
              <w:ind w:left="117"/>
            </w:pPr>
            <w:r>
              <w:rPr>
                <w:spacing w:val="-3"/>
              </w:rPr>
              <w:t>OP</w:t>
            </w:r>
          </w:p>
        </w:tc>
        <w:tc>
          <w:tcPr>
            <w:tcW w:w="875" w:type="dxa"/>
            <w:vAlign w:val="top"/>
          </w:tcPr>
          <w:p w14:paraId="3B47909A">
            <w:pPr>
              <w:rPr>
                <w:rFonts w:ascii="Arial"/>
                <w:sz w:val="21"/>
              </w:rPr>
            </w:pPr>
          </w:p>
        </w:tc>
        <w:tc>
          <w:tcPr>
            <w:tcW w:w="874" w:type="dxa"/>
            <w:vAlign w:val="top"/>
          </w:tcPr>
          <w:p w14:paraId="37B19E50">
            <w:pPr>
              <w:pStyle w:val="6"/>
              <w:spacing w:before="93" w:line="229" w:lineRule="auto"/>
              <w:ind w:left="326"/>
            </w:pPr>
            <w:r>
              <w:rPr>
                <w:spacing w:val="-1"/>
              </w:rPr>
              <w:t>++</w:t>
            </w:r>
          </w:p>
        </w:tc>
        <w:tc>
          <w:tcPr>
            <w:tcW w:w="875" w:type="dxa"/>
            <w:vAlign w:val="top"/>
          </w:tcPr>
          <w:p w14:paraId="7E57F6B1">
            <w:pPr>
              <w:pStyle w:val="6"/>
              <w:spacing w:before="97" w:line="186" w:lineRule="auto"/>
              <w:ind w:left="399"/>
            </w:pPr>
            <w:r>
              <w:t>S</w:t>
            </w:r>
          </w:p>
        </w:tc>
        <w:tc>
          <w:tcPr>
            <w:tcW w:w="508" w:type="dxa"/>
            <w:tcBorders>
              <w:right w:val="single" w:color="000000" w:sz="12" w:space="0"/>
            </w:tcBorders>
            <w:vAlign w:val="top"/>
          </w:tcPr>
          <w:p w14:paraId="0B4BE695">
            <w:pPr>
              <w:rPr>
                <w:rFonts w:ascii="Arial"/>
                <w:sz w:val="21"/>
              </w:rPr>
            </w:pPr>
          </w:p>
        </w:tc>
      </w:tr>
      <w:tr w14:paraId="69911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06C4DF8">
            <w:pPr>
              <w:pStyle w:val="6"/>
              <w:spacing w:before="92" w:line="228" w:lineRule="auto"/>
              <w:ind w:left="132"/>
            </w:pPr>
            <w:r>
              <w:rPr>
                <w:spacing w:val="-1"/>
              </w:rPr>
              <w:t>20</w:t>
            </w:r>
          </w:p>
        </w:tc>
        <w:tc>
          <w:tcPr>
            <w:tcW w:w="1257" w:type="dxa"/>
            <w:vAlign w:val="top"/>
          </w:tcPr>
          <w:p w14:paraId="52A29191">
            <w:pPr>
              <w:spacing w:before="58" w:line="220" w:lineRule="auto"/>
              <w:ind w:left="309"/>
              <w:rPr>
                <w:rFonts w:ascii="宋体" w:hAnsi="宋体" w:eastAsia="宋体" w:cs="宋体"/>
                <w:sz w:val="21"/>
                <w:szCs w:val="21"/>
              </w:rPr>
            </w:pPr>
            <w:r>
              <w:rPr>
                <w:rFonts w:ascii="宋体" w:hAnsi="宋体" w:eastAsia="宋体" w:cs="宋体"/>
                <w:spacing w:val="-3"/>
                <w:sz w:val="21"/>
                <w:szCs w:val="21"/>
              </w:rPr>
              <w:t>牛背鹭</w:t>
            </w:r>
          </w:p>
        </w:tc>
        <w:tc>
          <w:tcPr>
            <w:tcW w:w="2394" w:type="dxa"/>
            <w:vAlign w:val="top"/>
          </w:tcPr>
          <w:p w14:paraId="013AC0C2">
            <w:pPr>
              <w:pStyle w:val="6"/>
              <w:spacing w:before="92" w:line="228" w:lineRule="auto"/>
              <w:ind w:left="612"/>
            </w:pPr>
            <w:r>
              <w:rPr>
                <w:i/>
                <w:iCs/>
              </w:rPr>
              <w:t>Bubulcus</w:t>
            </w:r>
            <w:r>
              <w:rPr>
                <w:i/>
                <w:iCs/>
                <w:spacing w:val="5"/>
              </w:rPr>
              <w:t xml:space="preserve"> </w:t>
            </w:r>
            <w:r>
              <w:rPr>
                <w:i/>
                <w:iCs/>
              </w:rPr>
              <w:t>ibis</w:t>
            </w:r>
          </w:p>
        </w:tc>
        <w:tc>
          <w:tcPr>
            <w:tcW w:w="685" w:type="dxa"/>
            <w:vAlign w:val="top"/>
          </w:tcPr>
          <w:p w14:paraId="041C8FFA">
            <w:pPr>
              <w:pStyle w:val="6"/>
              <w:spacing w:before="99" w:line="183" w:lineRule="auto"/>
              <w:ind w:left="270"/>
            </w:pPr>
            <w:r>
              <w:t>R</w:t>
            </w:r>
          </w:p>
        </w:tc>
        <w:tc>
          <w:tcPr>
            <w:tcW w:w="494" w:type="dxa"/>
            <w:vAlign w:val="top"/>
          </w:tcPr>
          <w:p w14:paraId="2DCE216E">
            <w:pPr>
              <w:pStyle w:val="6"/>
              <w:spacing w:before="96" w:line="186" w:lineRule="auto"/>
              <w:ind w:left="175"/>
            </w:pPr>
            <w:r>
              <w:t>O</w:t>
            </w:r>
          </w:p>
        </w:tc>
        <w:tc>
          <w:tcPr>
            <w:tcW w:w="875" w:type="dxa"/>
            <w:vAlign w:val="top"/>
          </w:tcPr>
          <w:p w14:paraId="24A2A7BE">
            <w:pPr>
              <w:rPr>
                <w:rFonts w:ascii="Arial"/>
                <w:sz w:val="21"/>
              </w:rPr>
            </w:pPr>
          </w:p>
        </w:tc>
        <w:tc>
          <w:tcPr>
            <w:tcW w:w="874" w:type="dxa"/>
            <w:vAlign w:val="top"/>
          </w:tcPr>
          <w:p w14:paraId="4E26205D">
            <w:pPr>
              <w:pStyle w:val="6"/>
              <w:spacing w:before="92" w:line="228" w:lineRule="auto"/>
              <w:ind w:left="266"/>
            </w:pPr>
            <w:r>
              <w:rPr>
                <w:spacing w:val="-1"/>
              </w:rPr>
              <w:t>+++</w:t>
            </w:r>
          </w:p>
        </w:tc>
        <w:tc>
          <w:tcPr>
            <w:tcW w:w="875" w:type="dxa"/>
            <w:vAlign w:val="top"/>
          </w:tcPr>
          <w:p w14:paraId="197EA498">
            <w:pPr>
              <w:pStyle w:val="6"/>
              <w:spacing w:before="96" w:line="186" w:lineRule="auto"/>
              <w:ind w:left="399"/>
            </w:pPr>
            <w:r>
              <w:t>S</w:t>
            </w:r>
          </w:p>
        </w:tc>
        <w:tc>
          <w:tcPr>
            <w:tcW w:w="508" w:type="dxa"/>
            <w:tcBorders>
              <w:right w:val="single" w:color="000000" w:sz="12" w:space="0"/>
            </w:tcBorders>
            <w:vAlign w:val="top"/>
          </w:tcPr>
          <w:p w14:paraId="35C5723A">
            <w:pPr>
              <w:rPr>
                <w:rFonts w:ascii="Arial"/>
                <w:sz w:val="21"/>
              </w:rPr>
            </w:pPr>
          </w:p>
        </w:tc>
      </w:tr>
      <w:tr w14:paraId="655A7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AEBFC55">
            <w:pPr>
              <w:pStyle w:val="6"/>
              <w:spacing w:before="93" w:line="227" w:lineRule="auto"/>
              <w:ind w:left="132"/>
            </w:pPr>
            <w:r>
              <w:rPr>
                <w:spacing w:val="-1"/>
              </w:rPr>
              <w:t>21</w:t>
            </w:r>
          </w:p>
        </w:tc>
        <w:tc>
          <w:tcPr>
            <w:tcW w:w="1257" w:type="dxa"/>
            <w:vAlign w:val="top"/>
          </w:tcPr>
          <w:p w14:paraId="049DCD5E">
            <w:pPr>
              <w:spacing w:before="60" w:line="220" w:lineRule="auto"/>
              <w:ind w:left="411"/>
              <w:rPr>
                <w:rFonts w:ascii="宋体" w:hAnsi="宋体" w:eastAsia="宋体" w:cs="宋体"/>
                <w:sz w:val="21"/>
                <w:szCs w:val="21"/>
              </w:rPr>
            </w:pPr>
            <w:r>
              <w:rPr>
                <w:rFonts w:ascii="宋体" w:hAnsi="宋体" w:eastAsia="宋体" w:cs="宋体"/>
                <w:spacing w:val="-3"/>
                <w:sz w:val="21"/>
                <w:szCs w:val="21"/>
              </w:rPr>
              <w:t>苍鹭</w:t>
            </w:r>
          </w:p>
        </w:tc>
        <w:tc>
          <w:tcPr>
            <w:tcW w:w="2394" w:type="dxa"/>
            <w:vAlign w:val="top"/>
          </w:tcPr>
          <w:p w14:paraId="4BC6F356">
            <w:pPr>
              <w:pStyle w:val="6"/>
              <w:spacing w:before="93" w:line="227" w:lineRule="auto"/>
              <w:ind w:left="577"/>
            </w:pPr>
            <w:r>
              <w:rPr>
                <w:i/>
                <w:iCs/>
              </w:rPr>
              <w:t>Ardea</w:t>
            </w:r>
            <w:r>
              <w:rPr>
                <w:i/>
                <w:iCs/>
                <w:spacing w:val="11"/>
              </w:rPr>
              <w:t xml:space="preserve"> </w:t>
            </w:r>
            <w:r>
              <w:rPr>
                <w:i/>
                <w:iCs/>
              </w:rPr>
              <w:t>cinerea</w:t>
            </w:r>
          </w:p>
        </w:tc>
        <w:tc>
          <w:tcPr>
            <w:tcW w:w="685" w:type="dxa"/>
            <w:vAlign w:val="top"/>
          </w:tcPr>
          <w:p w14:paraId="1075415F">
            <w:pPr>
              <w:pStyle w:val="6"/>
              <w:spacing w:before="100" w:line="183" w:lineRule="auto"/>
              <w:ind w:left="270"/>
            </w:pPr>
            <w:r>
              <w:t>R</w:t>
            </w:r>
          </w:p>
        </w:tc>
        <w:tc>
          <w:tcPr>
            <w:tcW w:w="494" w:type="dxa"/>
            <w:vAlign w:val="top"/>
          </w:tcPr>
          <w:p w14:paraId="7CF4CC9E">
            <w:pPr>
              <w:pStyle w:val="6"/>
              <w:spacing w:before="97" w:line="186" w:lineRule="auto"/>
              <w:ind w:left="117"/>
            </w:pPr>
            <w:r>
              <w:rPr>
                <w:spacing w:val="-3"/>
              </w:rPr>
              <w:t>OP</w:t>
            </w:r>
          </w:p>
        </w:tc>
        <w:tc>
          <w:tcPr>
            <w:tcW w:w="875" w:type="dxa"/>
            <w:vAlign w:val="top"/>
          </w:tcPr>
          <w:p w14:paraId="497F79CD">
            <w:pPr>
              <w:rPr>
                <w:rFonts w:ascii="Arial"/>
                <w:sz w:val="21"/>
              </w:rPr>
            </w:pPr>
          </w:p>
        </w:tc>
        <w:tc>
          <w:tcPr>
            <w:tcW w:w="874" w:type="dxa"/>
            <w:vAlign w:val="top"/>
          </w:tcPr>
          <w:p w14:paraId="074647B2">
            <w:pPr>
              <w:pStyle w:val="6"/>
              <w:spacing w:before="93" w:line="227" w:lineRule="auto"/>
              <w:ind w:left="266"/>
            </w:pPr>
            <w:r>
              <w:rPr>
                <w:spacing w:val="-1"/>
              </w:rPr>
              <w:t>+++</w:t>
            </w:r>
          </w:p>
        </w:tc>
        <w:tc>
          <w:tcPr>
            <w:tcW w:w="875" w:type="dxa"/>
            <w:vAlign w:val="top"/>
          </w:tcPr>
          <w:p w14:paraId="4ABCC1F9">
            <w:pPr>
              <w:pStyle w:val="6"/>
              <w:spacing w:before="97" w:line="186" w:lineRule="auto"/>
              <w:ind w:left="399"/>
            </w:pPr>
            <w:r>
              <w:t>S</w:t>
            </w:r>
          </w:p>
        </w:tc>
        <w:tc>
          <w:tcPr>
            <w:tcW w:w="508" w:type="dxa"/>
            <w:tcBorders>
              <w:right w:val="single" w:color="000000" w:sz="12" w:space="0"/>
            </w:tcBorders>
            <w:vAlign w:val="top"/>
          </w:tcPr>
          <w:p w14:paraId="701D00E0">
            <w:pPr>
              <w:rPr>
                <w:rFonts w:ascii="Arial"/>
                <w:sz w:val="21"/>
              </w:rPr>
            </w:pPr>
          </w:p>
        </w:tc>
      </w:tr>
      <w:tr w14:paraId="4A9A7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6781298">
            <w:pPr>
              <w:pStyle w:val="6"/>
              <w:spacing w:before="96" w:line="224" w:lineRule="auto"/>
              <w:ind w:left="132"/>
            </w:pPr>
            <w:r>
              <w:rPr>
                <w:spacing w:val="-1"/>
              </w:rPr>
              <w:t>22</w:t>
            </w:r>
          </w:p>
        </w:tc>
        <w:tc>
          <w:tcPr>
            <w:tcW w:w="1257" w:type="dxa"/>
            <w:vAlign w:val="top"/>
          </w:tcPr>
          <w:p w14:paraId="543FD70A">
            <w:pPr>
              <w:spacing w:before="62" w:line="220" w:lineRule="auto"/>
              <w:ind w:left="440"/>
              <w:rPr>
                <w:rFonts w:ascii="宋体" w:hAnsi="宋体" w:eastAsia="宋体" w:cs="宋体"/>
                <w:sz w:val="21"/>
                <w:szCs w:val="21"/>
              </w:rPr>
            </w:pPr>
            <w:r>
              <w:rPr>
                <w:rFonts w:ascii="宋体" w:hAnsi="宋体" w:eastAsia="宋体" w:cs="宋体"/>
                <w:spacing w:val="-10"/>
                <w:sz w:val="21"/>
                <w:szCs w:val="21"/>
              </w:rPr>
              <w:t>白鹭</w:t>
            </w:r>
          </w:p>
        </w:tc>
        <w:tc>
          <w:tcPr>
            <w:tcW w:w="2394" w:type="dxa"/>
            <w:vAlign w:val="top"/>
          </w:tcPr>
          <w:p w14:paraId="46D49BE8">
            <w:pPr>
              <w:pStyle w:val="6"/>
              <w:spacing w:before="96" w:line="190" w:lineRule="auto"/>
              <w:ind w:left="495"/>
            </w:pPr>
            <w:r>
              <w:rPr>
                <w:i/>
                <w:iCs/>
              </w:rPr>
              <w:t>Egretta</w:t>
            </w:r>
            <w:r>
              <w:rPr>
                <w:i/>
                <w:iCs/>
                <w:spacing w:val="6"/>
              </w:rPr>
              <w:t xml:space="preserve"> </w:t>
            </w:r>
            <w:r>
              <w:rPr>
                <w:i/>
                <w:iCs/>
              </w:rPr>
              <w:t>garzetta</w:t>
            </w:r>
          </w:p>
        </w:tc>
        <w:tc>
          <w:tcPr>
            <w:tcW w:w="685" w:type="dxa"/>
            <w:vAlign w:val="top"/>
          </w:tcPr>
          <w:p w14:paraId="72381D4C">
            <w:pPr>
              <w:pStyle w:val="6"/>
              <w:spacing w:before="103" w:line="183" w:lineRule="auto"/>
              <w:ind w:left="270"/>
            </w:pPr>
            <w:r>
              <w:t>R</w:t>
            </w:r>
          </w:p>
        </w:tc>
        <w:tc>
          <w:tcPr>
            <w:tcW w:w="494" w:type="dxa"/>
            <w:vAlign w:val="top"/>
          </w:tcPr>
          <w:p w14:paraId="1474594A">
            <w:pPr>
              <w:pStyle w:val="6"/>
              <w:spacing w:before="99" w:line="186" w:lineRule="auto"/>
              <w:ind w:left="175"/>
            </w:pPr>
            <w:r>
              <w:t>O</w:t>
            </w:r>
          </w:p>
        </w:tc>
        <w:tc>
          <w:tcPr>
            <w:tcW w:w="875" w:type="dxa"/>
            <w:vAlign w:val="top"/>
          </w:tcPr>
          <w:p w14:paraId="22B45E61">
            <w:pPr>
              <w:rPr>
                <w:rFonts w:ascii="Arial"/>
                <w:sz w:val="21"/>
              </w:rPr>
            </w:pPr>
          </w:p>
        </w:tc>
        <w:tc>
          <w:tcPr>
            <w:tcW w:w="874" w:type="dxa"/>
            <w:vAlign w:val="top"/>
          </w:tcPr>
          <w:p w14:paraId="14B18540">
            <w:pPr>
              <w:pStyle w:val="6"/>
              <w:spacing w:before="96" w:line="224" w:lineRule="auto"/>
              <w:ind w:left="207"/>
            </w:pPr>
            <w:r>
              <w:rPr>
                <w:spacing w:val="-1"/>
              </w:rPr>
              <w:t>++++</w:t>
            </w:r>
          </w:p>
        </w:tc>
        <w:tc>
          <w:tcPr>
            <w:tcW w:w="875" w:type="dxa"/>
            <w:vAlign w:val="top"/>
          </w:tcPr>
          <w:p w14:paraId="1E23C191">
            <w:pPr>
              <w:pStyle w:val="6"/>
              <w:spacing w:before="99" w:line="186" w:lineRule="auto"/>
              <w:ind w:left="399"/>
            </w:pPr>
            <w:r>
              <w:t>S</w:t>
            </w:r>
          </w:p>
        </w:tc>
        <w:tc>
          <w:tcPr>
            <w:tcW w:w="508" w:type="dxa"/>
            <w:tcBorders>
              <w:right w:val="single" w:color="000000" w:sz="12" w:space="0"/>
            </w:tcBorders>
            <w:vAlign w:val="top"/>
          </w:tcPr>
          <w:p w14:paraId="6AA6D3B0">
            <w:pPr>
              <w:rPr>
                <w:rFonts w:ascii="Arial"/>
                <w:sz w:val="21"/>
              </w:rPr>
            </w:pPr>
          </w:p>
        </w:tc>
      </w:tr>
      <w:tr w14:paraId="1EF7E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9A0CF17">
            <w:pPr>
              <w:pStyle w:val="6"/>
              <w:spacing w:before="108" w:line="186" w:lineRule="auto"/>
              <w:ind w:left="54"/>
            </w:pPr>
            <w:r>
              <w:rPr>
                <w:b/>
                <w:bCs/>
                <w:spacing w:val="-2"/>
              </w:rPr>
              <w:t>O10</w:t>
            </w:r>
          </w:p>
        </w:tc>
        <w:tc>
          <w:tcPr>
            <w:tcW w:w="1257" w:type="dxa"/>
            <w:vAlign w:val="top"/>
          </w:tcPr>
          <w:p w14:paraId="1A5F6B66">
            <w:pPr>
              <w:spacing w:before="69" w:line="220" w:lineRule="auto"/>
              <w:ind w:left="302"/>
              <w:rPr>
                <w:rFonts w:ascii="宋体" w:hAnsi="宋体" w:eastAsia="宋体" w:cs="宋体"/>
                <w:sz w:val="21"/>
                <w:szCs w:val="21"/>
              </w:rPr>
            </w:pPr>
            <w:r>
              <w:rPr>
                <w:rFonts w:ascii="宋体" w:hAnsi="宋体" w:eastAsia="宋体" w:cs="宋体"/>
                <w:b/>
                <w:bCs/>
                <w:spacing w:val="-4"/>
                <w:sz w:val="21"/>
                <w:szCs w:val="21"/>
              </w:rPr>
              <w:t>鹰形目</w:t>
            </w:r>
          </w:p>
        </w:tc>
        <w:tc>
          <w:tcPr>
            <w:tcW w:w="2394" w:type="dxa"/>
            <w:vAlign w:val="top"/>
          </w:tcPr>
          <w:p w14:paraId="3060DCD0">
            <w:pPr>
              <w:pStyle w:val="6"/>
              <w:spacing w:before="107" w:line="187" w:lineRule="auto"/>
              <w:ind w:left="481"/>
            </w:pPr>
            <w:r>
              <w:rPr>
                <w:b/>
                <w:bCs/>
                <w:spacing w:val="-1"/>
              </w:rPr>
              <w:t>Accipitriformes</w:t>
            </w:r>
          </w:p>
        </w:tc>
        <w:tc>
          <w:tcPr>
            <w:tcW w:w="685" w:type="dxa"/>
            <w:vAlign w:val="top"/>
          </w:tcPr>
          <w:p w14:paraId="0A176671">
            <w:pPr>
              <w:rPr>
                <w:rFonts w:ascii="Arial"/>
                <w:sz w:val="21"/>
              </w:rPr>
            </w:pPr>
          </w:p>
        </w:tc>
        <w:tc>
          <w:tcPr>
            <w:tcW w:w="494" w:type="dxa"/>
            <w:vAlign w:val="top"/>
          </w:tcPr>
          <w:p w14:paraId="67388D5D">
            <w:pPr>
              <w:rPr>
                <w:rFonts w:ascii="Arial"/>
                <w:sz w:val="21"/>
              </w:rPr>
            </w:pPr>
          </w:p>
        </w:tc>
        <w:tc>
          <w:tcPr>
            <w:tcW w:w="875" w:type="dxa"/>
            <w:vAlign w:val="top"/>
          </w:tcPr>
          <w:p w14:paraId="2CF2650E">
            <w:pPr>
              <w:rPr>
                <w:rFonts w:ascii="Arial"/>
                <w:sz w:val="21"/>
              </w:rPr>
            </w:pPr>
          </w:p>
        </w:tc>
        <w:tc>
          <w:tcPr>
            <w:tcW w:w="874" w:type="dxa"/>
            <w:vAlign w:val="top"/>
          </w:tcPr>
          <w:p w14:paraId="19CEE4BE">
            <w:pPr>
              <w:rPr>
                <w:rFonts w:ascii="Arial"/>
                <w:sz w:val="21"/>
              </w:rPr>
            </w:pPr>
          </w:p>
        </w:tc>
        <w:tc>
          <w:tcPr>
            <w:tcW w:w="875" w:type="dxa"/>
            <w:vAlign w:val="top"/>
          </w:tcPr>
          <w:p w14:paraId="732C83A4">
            <w:pPr>
              <w:rPr>
                <w:rFonts w:ascii="Arial"/>
                <w:sz w:val="21"/>
              </w:rPr>
            </w:pPr>
          </w:p>
        </w:tc>
        <w:tc>
          <w:tcPr>
            <w:tcW w:w="508" w:type="dxa"/>
            <w:tcBorders>
              <w:right w:val="single" w:color="000000" w:sz="12" w:space="0"/>
            </w:tcBorders>
            <w:vAlign w:val="top"/>
          </w:tcPr>
          <w:p w14:paraId="5AFD419B">
            <w:pPr>
              <w:rPr>
                <w:rFonts w:ascii="Arial"/>
                <w:sz w:val="21"/>
              </w:rPr>
            </w:pPr>
          </w:p>
        </w:tc>
      </w:tr>
      <w:tr w14:paraId="466BA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00DC55D3">
            <w:pPr>
              <w:pStyle w:val="6"/>
              <w:spacing w:before="101" w:line="186" w:lineRule="auto"/>
              <w:ind w:left="68"/>
            </w:pPr>
            <w:r>
              <w:rPr>
                <w:b/>
                <w:bCs/>
                <w:spacing w:val="-2"/>
              </w:rPr>
              <w:t>F10</w:t>
            </w:r>
          </w:p>
        </w:tc>
        <w:tc>
          <w:tcPr>
            <w:tcW w:w="1257" w:type="dxa"/>
            <w:vAlign w:val="top"/>
          </w:tcPr>
          <w:p w14:paraId="0445EDDD">
            <w:pPr>
              <w:spacing w:before="62" w:line="219" w:lineRule="auto"/>
              <w:ind w:left="408"/>
              <w:rPr>
                <w:rFonts w:ascii="宋体" w:hAnsi="宋体" w:eastAsia="宋体" w:cs="宋体"/>
                <w:sz w:val="21"/>
                <w:szCs w:val="21"/>
              </w:rPr>
            </w:pPr>
            <w:r>
              <w:rPr>
                <w:rFonts w:ascii="宋体" w:hAnsi="宋体" w:eastAsia="宋体" w:cs="宋体"/>
                <w:b/>
                <w:bCs/>
                <w:spacing w:val="-4"/>
                <w:sz w:val="21"/>
                <w:szCs w:val="21"/>
              </w:rPr>
              <w:t>鹰科</w:t>
            </w:r>
          </w:p>
        </w:tc>
        <w:tc>
          <w:tcPr>
            <w:tcW w:w="2394" w:type="dxa"/>
            <w:vAlign w:val="top"/>
          </w:tcPr>
          <w:p w14:paraId="3E16E50A">
            <w:pPr>
              <w:pStyle w:val="6"/>
              <w:spacing w:before="101" w:line="187" w:lineRule="auto"/>
              <w:ind w:left="733"/>
            </w:pPr>
            <w:r>
              <w:rPr>
                <w:b/>
                <w:bCs/>
                <w:spacing w:val="-1"/>
              </w:rPr>
              <w:t>Accipitrida</w:t>
            </w:r>
          </w:p>
        </w:tc>
        <w:tc>
          <w:tcPr>
            <w:tcW w:w="685" w:type="dxa"/>
            <w:vAlign w:val="top"/>
          </w:tcPr>
          <w:p w14:paraId="37CF4DA3">
            <w:pPr>
              <w:rPr>
                <w:rFonts w:ascii="Arial"/>
                <w:sz w:val="21"/>
              </w:rPr>
            </w:pPr>
          </w:p>
        </w:tc>
        <w:tc>
          <w:tcPr>
            <w:tcW w:w="494" w:type="dxa"/>
            <w:vAlign w:val="top"/>
          </w:tcPr>
          <w:p w14:paraId="0C13E6F3">
            <w:pPr>
              <w:rPr>
                <w:rFonts w:ascii="Arial"/>
                <w:sz w:val="21"/>
              </w:rPr>
            </w:pPr>
          </w:p>
        </w:tc>
        <w:tc>
          <w:tcPr>
            <w:tcW w:w="875" w:type="dxa"/>
            <w:vAlign w:val="top"/>
          </w:tcPr>
          <w:p w14:paraId="328D1BA7">
            <w:pPr>
              <w:rPr>
                <w:rFonts w:ascii="Arial"/>
                <w:sz w:val="21"/>
              </w:rPr>
            </w:pPr>
          </w:p>
        </w:tc>
        <w:tc>
          <w:tcPr>
            <w:tcW w:w="874" w:type="dxa"/>
            <w:vAlign w:val="top"/>
          </w:tcPr>
          <w:p w14:paraId="7FA68E9F">
            <w:pPr>
              <w:rPr>
                <w:rFonts w:ascii="Arial"/>
                <w:sz w:val="21"/>
              </w:rPr>
            </w:pPr>
          </w:p>
        </w:tc>
        <w:tc>
          <w:tcPr>
            <w:tcW w:w="875" w:type="dxa"/>
            <w:vAlign w:val="top"/>
          </w:tcPr>
          <w:p w14:paraId="29B04EC3">
            <w:pPr>
              <w:rPr>
                <w:rFonts w:ascii="Arial"/>
                <w:sz w:val="21"/>
              </w:rPr>
            </w:pPr>
          </w:p>
        </w:tc>
        <w:tc>
          <w:tcPr>
            <w:tcW w:w="508" w:type="dxa"/>
            <w:tcBorders>
              <w:right w:val="single" w:color="000000" w:sz="12" w:space="0"/>
            </w:tcBorders>
            <w:vAlign w:val="top"/>
          </w:tcPr>
          <w:p w14:paraId="2BBF9C6B">
            <w:pPr>
              <w:rPr>
                <w:rFonts w:ascii="Arial"/>
                <w:sz w:val="21"/>
              </w:rPr>
            </w:pPr>
          </w:p>
        </w:tc>
      </w:tr>
      <w:tr w14:paraId="5D4D8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7B210AB">
            <w:pPr>
              <w:pStyle w:val="6"/>
              <w:spacing w:before="97" w:line="223" w:lineRule="auto"/>
              <w:ind w:left="132"/>
            </w:pPr>
            <w:r>
              <w:rPr>
                <w:spacing w:val="-1"/>
              </w:rPr>
              <w:t>23</w:t>
            </w:r>
          </w:p>
        </w:tc>
        <w:tc>
          <w:tcPr>
            <w:tcW w:w="1257" w:type="dxa"/>
            <w:vAlign w:val="top"/>
          </w:tcPr>
          <w:p w14:paraId="369335AC">
            <w:pPr>
              <w:spacing w:before="65" w:line="221" w:lineRule="auto"/>
              <w:ind w:left="334"/>
              <w:rPr>
                <w:rFonts w:ascii="宋体" w:hAnsi="宋体" w:eastAsia="宋体" w:cs="宋体"/>
                <w:sz w:val="21"/>
                <w:szCs w:val="21"/>
              </w:rPr>
            </w:pPr>
            <w:r>
              <w:rPr>
                <w:rFonts w:ascii="宋体" w:hAnsi="宋体" w:eastAsia="宋体" w:cs="宋体"/>
                <w:spacing w:val="-9"/>
                <w:sz w:val="21"/>
                <w:szCs w:val="21"/>
              </w:rPr>
              <w:t>白尾鹞</w:t>
            </w:r>
          </w:p>
        </w:tc>
        <w:tc>
          <w:tcPr>
            <w:tcW w:w="2394" w:type="dxa"/>
            <w:vAlign w:val="top"/>
          </w:tcPr>
          <w:p w14:paraId="10E5C93C">
            <w:pPr>
              <w:pStyle w:val="6"/>
              <w:spacing w:before="97" w:line="190" w:lineRule="auto"/>
              <w:ind w:left="555"/>
            </w:pPr>
            <w:r>
              <w:rPr>
                <w:i/>
                <w:iCs/>
                <w:spacing w:val="-2"/>
              </w:rPr>
              <w:t>Circus cyaneus</w:t>
            </w:r>
          </w:p>
        </w:tc>
        <w:tc>
          <w:tcPr>
            <w:tcW w:w="685" w:type="dxa"/>
            <w:vAlign w:val="top"/>
          </w:tcPr>
          <w:p w14:paraId="4275F0D9">
            <w:pPr>
              <w:pStyle w:val="6"/>
              <w:spacing w:before="104" w:line="183" w:lineRule="auto"/>
              <w:ind w:left="240"/>
            </w:pPr>
            <w:r>
              <w:t>W</w:t>
            </w:r>
          </w:p>
        </w:tc>
        <w:tc>
          <w:tcPr>
            <w:tcW w:w="494" w:type="dxa"/>
            <w:vAlign w:val="top"/>
          </w:tcPr>
          <w:p w14:paraId="4B83B414">
            <w:pPr>
              <w:rPr>
                <w:rFonts w:ascii="Arial"/>
                <w:sz w:val="21"/>
              </w:rPr>
            </w:pPr>
          </w:p>
        </w:tc>
        <w:tc>
          <w:tcPr>
            <w:tcW w:w="875" w:type="dxa"/>
            <w:vAlign w:val="top"/>
          </w:tcPr>
          <w:p w14:paraId="593817CA">
            <w:pPr>
              <w:pStyle w:val="6"/>
              <w:spacing w:before="65" w:line="222" w:lineRule="auto"/>
              <w:ind w:left="96"/>
            </w:pPr>
            <w:r>
              <w:rPr>
                <w:spacing w:val="-1"/>
              </w:rPr>
              <w:t>Ⅱ</w:t>
            </w:r>
            <w:r>
              <w:rPr>
                <w:rFonts w:ascii="宋体" w:hAnsi="宋体" w:eastAsia="宋体" w:cs="宋体"/>
                <w:spacing w:val="-1"/>
              </w:rPr>
              <w:t>级、</w:t>
            </w:r>
            <w:r>
              <w:rPr>
                <w:spacing w:val="-1"/>
              </w:rPr>
              <w:t>Ⅱ</w:t>
            </w:r>
          </w:p>
        </w:tc>
        <w:tc>
          <w:tcPr>
            <w:tcW w:w="874" w:type="dxa"/>
            <w:vAlign w:val="top"/>
          </w:tcPr>
          <w:p w14:paraId="3E01397C">
            <w:pPr>
              <w:pStyle w:val="6"/>
              <w:spacing w:before="97" w:line="223" w:lineRule="auto"/>
              <w:ind w:left="385"/>
            </w:pPr>
            <w:r>
              <w:t>+</w:t>
            </w:r>
          </w:p>
        </w:tc>
        <w:tc>
          <w:tcPr>
            <w:tcW w:w="875" w:type="dxa"/>
            <w:vAlign w:val="top"/>
          </w:tcPr>
          <w:p w14:paraId="22BAE94D">
            <w:pPr>
              <w:pStyle w:val="6"/>
              <w:spacing w:before="101" w:line="186" w:lineRule="auto"/>
              <w:ind w:left="399"/>
            </w:pPr>
            <w:r>
              <w:t>S</w:t>
            </w:r>
          </w:p>
        </w:tc>
        <w:tc>
          <w:tcPr>
            <w:tcW w:w="508" w:type="dxa"/>
            <w:tcBorders>
              <w:right w:val="single" w:color="000000" w:sz="12" w:space="0"/>
            </w:tcBorders>
            <w:vAlign w:val="top"/>
          </w:tcPr>
          <w:p w14:paraId="398C32BB">
            <w:pPr>
              <w:rPr>
                <w:rFonts w:ascii="Arial"/>
                <w:sz w:val="21"/>
              </w:rPr>
            </w:pPr>
          </w:p>
        </w:tc>
      </w:tr>
      <w:tr w14:paraId="3573A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FA2FA0A">
            <w:pPr>
              <w:pStyle w:val="6"/>
              <w:spacing w:before="100" w:line="220" w:lineRule="auto"/>
              <w:ind w:left="132"/>
            </w:pPr>
            <w:r>
              <w:rPr>
                <w:spacing w:val="-1"/>
              </w:rPr>
              <w:t>24</w:t>
            </w:r>
          </w:p>
        </w:tc>
        <w:tc>
          <w:tcPr>
            <w:tcW w:w="1257" w:type="dxa"/>
            <w:vAlign w:val="top"/>
          </w:tcPr>
          <w:p w14:paraId="5F8E2757">
            <w:pPr>
              <w:spacing w:before="66" w:line="220" w:lineRule="auto"/>
              <w:ind w:left="303"/>
              <w:rPr>
                <w:rFonts w:ascii="宋体" w:hAnsi="宋体" w:eastAsia="宋体" w:cs="宋体"/>
                <w:sz w:val="21"/>
                <w:szCs w:val="21"/>
              </w:rPr>
            </w:pPr>
            <w:r>
              <w:rPr>
                <w:rFonts w:ascii="宋体" w:hAnsi="宋体" w:eastAsia="宋体" w:cs="宋体"/>
                <w:spacing w:val="-2"/>
                <w:sz w:val="21"/>
                <w:szCs w:val="21"/>
              </w:rPr>
              <w:t>普通鵟</w:t>
            </w:r>
          </w:p>
        </w:tc>
        <w:tc>
          <w:tcPr>
            <w:tcW w:w="2394" w:type="dxa"/>
            <w:vAlign w:val="top"/>
          </w:tcPr>
          <w:p w14:paraId="074D9C66">
            <w:pPr>
              <w:pStyle w:val="6"/>
              <w:spacing w:before="100" w:line="190" w:lineRule="auto"/>
              <w:ind w:left="501"/>
            </w:pPr>
            <w:r>
              <w:rPr>
                <w:i/>
                <w:iCs/>
                <w:spacing w:val="2"/>
              </w:rPr>
              <w:t>Buteo</w:t>
            </w:r>
            <w:r>
              <w:rPr>
                <w:i/>
                <w:iCs/>
                <w:spacing w:val="-25"/>
              </w:rPr>
              <w:t xml:space="preserve"> </w:t>
            </w:r>
            <w:r>
              <w:rPr>
                <w:i/>
                <w:iCs/>
                <w:spacing w:val="2"/>
              </w:rPr>
              <w:t>japonicus</w:t>
            </w:r>
          </w:p>
        </w:tc>
        <w:tc>
          <w:tcPr>
            <w:tcW w:w="685" w:type="dxa"/>
            <w:vAlign w:val="top"/>
          </w:tcPr>
          <w:p w14:paraId="0CAF0324">
            <w:pPr>
              <w:pStyle w:val="6"/>
              <w:spacing w:before="106" w:line="183" w:lineRule="auto"/>
              <w:ind w:left="240"/>
            </w:pPr>
            <w:r>
              <w:t>W</w:t>
            </w:r>
          </w:p>
        </w:tc>
        <w:tc>
          <w:tcPr>
            <w:tcW w:w="494" w:type="dxa"/>
            <w:vAlign w:val="top"/>
          </w:tcPr>
          <w:p w14:paraId="35184865">
            <w:pPr>
              <w:rPr>
                <w:rFonts w:ascii="Arial"/>
                <w:sz w:val="21"/>
              </w:rPr>
            </w:pPr>
          </w:p>
        </w:tc>
        <w:tc>
          <w:tcPr>
            <w:tcW w:w="875" w:type="dxa"/>
            <w:vAlign w:val="top"/>
          </w:tcPr>
          <w:p w14:paraId="5C074215">
            <w:pPr>
              <w:pStyle w:val="6"/>
              <w:spacing w:before="66" w:line="222" w:lineRule="auto"/>
              <w:ind w:left="96"/>
            </w:pPr>
            <w:r>
              <w:rPr>
                <w:spacing w:val="-1"/>
              </w:rPr>
              <w:t>Ⅱ</w:t>
            </w:r>
            <w:r>
              <w:rPr>
                <w:rFonts w:ascii="宋体" w:hAnsi="宋体" w:eastAsia="宋体" w:cs="宋体"/>
                <w:spacing w:val="-1"/>
              </w:rPr>
              <w:t>级、</w:t>
            </w:r>
            <w:r>
              <w:rPr>
                <w:spacing w:val="-1"/>
              </w:rPr>
              <w:t>Ⅱ</w:t>
            </w:r>
          </w:p>
        </w:tc>
        <w:tc>
          <w:tcPr>
            <w:tcW w:w="874" w:type="dxa"/>
            <w:vAlign w:val="top"/>
          </w:tcPr>
          <w:p w14:paraId="2D0585F3">
            <w:pPr>
              <w:pStyle w:val="6"/>
              <w:spacing w:before="100" w:line="220" w:lineRule="auto"/>
              <w:ind w:left="326"/>
            </w:pPr>
            <w:r>
              <w:rPr>
                <w:spacing w:val="-1"/>
              </w:rPr>
              <w:t>++</w:t>
            </w:r>
          </w:p>
        </w:tc>
        <w:tc>
          <w:tcPr>
            <w:tcW w:w="875" w:type="dxa"/>
            <w:vAlign w:val="top"/>
          </w:tcPr>
          <w:p w14:paraId="44157CF5">
            <w:pPr>
              <w:pStyle w:val="6"/>
              <w:spacing w:before="103" w:line="186" w:lineRule="auto"/>
              <w:ind w:left="399"/>
            </w:pPr>
            <w:r>
              <w:t>S</w:t>
            </w:r>
          </w:p>
        </w:tc>
        <w:tc>
          <w:tcPr>
            <w:tcW w:w="508" w:type="dxa"/>
            <w:tcBorders>
              <w:right w:val="single" w:color="000000" w:sz="12" w:space="0"/>
            </w:tcBorders>
            <w:vAlign w:val="top"/>
          </w:tcPr>
          <w:p w14:paraId="6B64F71C">
            <w:pPr>
              <w:rPr>
                <w:rFonts w:ascii="Arial"/>
                <w:sz w:val="21"/>
              </w:rPr>
            </w:pPr>
          </w:p>
        </w:tc>
      </w:tr>
      <w:tr w14:paraId="1FD84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041CD600">
            <w:pPr>
              <w:pStyle w:val="6"/>
              <w:spacing w:before="112" w:line="186" w:lineRule="auto"/>
              <w:ind w:left="54"/>
            </w:pPr>
            <w:r>
              <w:rPr>
                <w:b/>
                <w:bCs/>
                <w:spacing w:val="-2"/>
              </w:rPr>
              <w:t>O11</w:t>
            </w:r>
          </w:p>
        </w:tc>
        <w:tc>
          <w:tcPr>
            <w:tcW w:w="1257" w:type="dxa"/>
            <w:vAlign w:val="top"/>
          </w:tcPr>
          <w:p w14:paraId="4216B543">
            <w:pPr>
              <w:spacing w:before="73" w:line="220" w:lineRule="auto"/>
              <w:ind w:left="301"/>
              <w:rPr>
                <w:rFonts w:ascii="宋体" w:hAnsi="宋体" w:eastAsia="宋体" w:cs="宋体"/>
                <w:sz w:val="21"/>
                <w:szCs w:val="21"/>
              </w:rPr>
            </w:pPr>
            <w:r>
              <w:rPr>
                <w:rFonts w:ascii="宋体" w:hAnsi="宋体" w:eastAsia="宋体" w:cs="宋体"/>
                <w:b/>
                <w:bCs/>
                <w:spacing w:val="-4"/>
                <w:sz w:val="21"/>
                <w:szCs w:val="21"/>
              </w:rPr>
              <w:t>鸮形目</w:t>
            </w:r>
          </w:p>
        </w:tc>
        <w:tc>
          <w:tcPr>
            <w:tcW w:w="2394" w:type="dxa"/>
            <w:vAlign w:val="top"/>
          </w:tcPr>
          <w:p w14:paraId="7EBBA5C7">
            <w:pPr>
              <w:pStyle w:val="6"/>
              <w:spacing w:before="112" w:line="186" w:lineRule="auto"/>
              <w:ind w:left="637"/>
            </w:pPr>
            <w:r>
              <w:rPr>
                <w:b/>
                <w:bCs/>
                <w:spacing w:val="-1"/>
              </w:rPr>
              <w:t>Strigiformes</w:t>
            </w:r>
          </w:p>
        </w:tc>
        <w:tc>
          <w:tcPr>
            <w:tcW w:w="685" w:type="dxa"/>
            <w:vAlign w:val="top"/>
          </w:tcPr>
          <w:p w14:paraId="217249E6">
            <w:pPr>
              <w:rPr>
                <w:rFonts w:ascii="Arial"/>
                <w:sz w:val="21"/>
              </w:rPr>
            </w:pPr>
          </w:p>
        </w:tc>
        <w:tc>
          <w:tcPr>
            <w:tcW w:w="494" w:type="dxa"/>
            <w:vAlign w:val="top"/>
          </w:tcPr>
          <w:p w14:paraId="5DE73D77">
            <w:pPr>
              <w:rPr>
                <w:rFonts w:ascii="Arial"/>
                <w:sz w:val="21"/>
              </w:rPr>
            </w:pPr>
          </w:p>
        </w:tc>
        <w:tc>
          <w:tcPr>
            <w:tcW w:w="875" w:type="dxa"/>
            <w:vAlign w:val="top"/>
          </w:tcPr>
          <w:p w14:paraId="50DE45C2">
            <w:pPr>
              <w:rPr>
                <w:rFonts w:ascii="Arial"/>
                <w:sz w:val="21"/>
              </w:rPr>
            </w:pPr>
          </w:p>
        </w:tc>
        <w:tc>
          <w:tcPr>
            <w:tcW w:w="874" w:type="dxa"/>
            <w:vAlign w:val="top"/>
          </w:tcPr>
          <w:p w14:paraId="7BE4AA29">
            <w:pPr>
              <w:rPr>
                <w:rFonts w:ascii="Arial"/>
                <w:sz w:val="21"/>
              </w:rPr>
            </w:pPr>
          </w:p>
        </w:tc>
        <w:tc>
          <w:tcPr>
            <w:tcW w:w="875" w:type="dxa"/>
            <w:vAlign w:val="top"/>
          </w:tcPr>
          <w:p w14:paraId="08B7D291">
            <w:pPr>
              <w:rPr>
                <w:rFonts w:ascii="Arial"/>
                <w:sz w:val="21"/>
              </w:rPr>
            </w:pPr>
          </w:p>
        </w:tc>
        <w:tc>
          <w:tcPr>
            <w:tcW w:w="508" w:type="dxa"/>
            <w:tcBorders>
              <w:right w:val="single" w:color="000000" w:sz="12" w:space="0"/>
            </w:tcBorders>
            <w:vAlign w:val="top"/>
          </w:tcPr>
          <w:p w14:paraId="3A577CC9">
            <w:pPr>
              <w:rPr>
                <w:rFonts w:ascii="Arial"/>
                <w:sz w:val="21"/>
              </w:rPr>
            </w:pPr>
          </w:p>
        </w:tc>
      </w:tr>
      <w:tr w14:paraId="1603B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02B250CB">
            <w:pPr>
              <w:pStyle w:val="6"/>
              <w:spacing w:before="112" w:line="186" w:lineRule="auto"/>
              <w:ind w:left="68"/>
            </w:pPr>
            <w:r>
              <w:rPr>
                <w:b/>
                <w:bCs/>
                <w:spacing w:val="-2"/>
              </w:rPr>
              <w:t>F11</w:t>
            </w:r>
          </w:p>
        </w:tc>
        <w:tc>
          <w:tcPr>
            <w:tcW w:w="1257" w:type="dxa"/>
            <w:vAlign w:val="top"/>
          </w:tcPr>
          <w:p w14:paraId="1955E902">
            <w:pPr>
              <w:spacing w:before="73" w:line="219" w:lineRule="auto"/>
              <w:ind w:left="311"/>
              <w:rPr>
                <w:rFonts w:ascii="宋体" w:hAnsi="宋体" w:eastAsia="宋体" w:cs="宋体"/>
                <w:sz w:val="21"/>
                <w:szCs w:val="21"/>
              </w:rPr>
            </w:pPr>
            <w:r>
              <w:rPr>
                <w:rFonts w:ascii="宋体" w:hAnsi="宋体" w:eastAsia="宋体" w:cs="宋体"/>
                <w:b/>
                <w:bCs/>
                <w:spacing w:val="-6"/>
                <w:sz w:val="21"/>
                <w:szCs w:val="21"/>
              </w:rPr>
              <w:t>鸱鸮科</w:t>
            </w:r>
          </w:p>
        </w:tc>
        <w:tc>
          <w:tcPr>
            <w:tcW w:w="2394" w:type="dxa"/>
            <w:vAlign w:val="top"/>
          </w:tcPr>
          <w:p w14:paraId="386F8992">
            <w:pPr>
              <w:pStyle w:val="6"/>
              <w:spacing w:before="112" w:line="186" w:lineRule="auto"/>
              <w:ind w:left="788"/>
            </w:pPr>
            <w:r>
              <w:rPr>
                <w:b/>
                <w:bCs/>
                <w:spacing w:val="-2"/>
              </w:rPr>
              <w:t>Strigidae</w:t>
            </w:r>
          </w:p>
        </w:tc>
        <w:tc>
          <w:tcPr>
            <w:tcW w:w="685" w:type="dxa"/>
            <w:vAlign w:val="top"/>
          </w:tcPr>
          <w:p w14:paraId="272472F5">
            <w:pPr>
              <w:rPr>
                <w:rFonts w:ascii="Arial"/>
                <w:sz w:val="21"/>
              </w:rPr>
            </w:pPr>
          </w:p>
        </w:tc>
        <w:tc>
          <w:tcPr>
            <w:tcW w:w="494" w:type="dxa"/>
            <w:vAlign w:val="top"/>
          </w:tcPr>
          <w:p w14:paraId="2954FCF3">
            <w:pPr>
              <w:rPr>
                <w:rFonts w:ascii="Arial"/>
                <w:sz w:val="21"/>
              </w:rPr>
            </w:pPr>
          </w:p>
        </w:tc>
        <w:tc>
          <w:tcPr>
            <w:tcW w:w="875" w:type="dxa"/>
            <w:vAlign w:val="top"/>
          </w:tcPr>
          <w:p w14:paraId="19A23501">
            <w:pPr>
              <w:rPr>
                <w:rFonts w:ascii="Arial"/>
                <w:sz w:val="21"/>
              </w:rPr>
            </w:pPr>
          </w:p>
        </w:tc>
        <w:tc>
          <w:tcPr>
            <w:tcW w:w="874" w:type="dxa"/>
            <w:vAlign w:val="top"/>
          </w:tcPr>
          <w:p w14:paraId="77F2E014">
            <w:pPr>
              <w:rPr>
                <w:rFonts w:ascii="Arial"/>
                <w:sz w:val="21"/>
              </w:rPr>
            </w:pPr>
          </w:p>
        </w:tc>
        <w:tc>
          <w:tcPr>
            <w:tcW w:w="875" w:type="dxa"/>
            <w:vAlign w:val="top"/>
          </w:tcPr>
          <w:p w14:paraId="38C43B7D">
            <w:pPr>
              <w:rPr>
                <w:rFonts w:ascii="Arial"/>
                <w:sz w:val="21"/>
              </w:rPr>
            </w:pPr>
          </w:p>
        </w:tc>
        <w:tc>
          <w:tcPr>
            <w:tcW w:w="508" w:type="dxa"/>
            <w:tcBorders>
              <w:right w:val="single" w:color="000000" w:sz="12" w:space="0"/>
            </w:tcBorders>
            <w:vAlign w:val="top"/>
          </w:tcPr>
          <w:p w14:paraId="0B3AAE5F">
            <w:pPr>
              <w:rPr>
                <w:rFonts w:ascii="Arial"/>
                <w:sz w:val="21"/>
              </w:rPr>
            </w:pPr>
          </w:p>
        </w:tc>
      </w:tr>
      <w:tr w14:paraId="3D1BB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F46AFD7">
            <w:pPr>
              <w:pStyle w:val="6"/>
              <w:spacing w:before="102" w:line="218" w:lineRule="auto"/>
              <w:ind w:left="132"/>
            </w:pPr>
            <w:r>
              <w:rPr>
                <w:spacing w:val="-1"/>
              </w:rPr>
              <w:t>25</w:t>
            </w:r>
          </w:p>
        </w:tc>
        <w:tc>
          <w:tcPr>
            <w:tcW w:w="1257" w:type="dxa"/>
            <w:vAlign w:val="top"/>
          </w:tcPr>
          <w:p w14:paraId="4300308D">
            <w:pPr>
              <w:spacing w:before="69" w:line="219" w:lineRule="auto"/>
              <w:ind w:left="303"/>
              <w:rPr>
                <w:rFonts w:ascii="宋体" w:hAnsi="宋体" w:eastAsia="宋体" w:cs="宋体"/>
                <w:sz w:val="21"/>
                <w:szCs w:val="21"/>
              </w:rPr>
            </w:pPr>
            <w:r>
              <w:rPr>
                <w:rFonts w:ascii="宋体" w:hAnsi="宋体" w:eastAsia="宋体" w:cs="宋体"/>
                <w:spacing w:val="-2"/>
                <w:sz w:val="21"/>
                <w:szCs w:val="21"/>
              </w:rPr>
              <w:t>领角鸮</w:t>
            </w:r>
          </w:p>
        </w:tc>
        <w:tc>
          <w:tcPr>
            <w:tcW w:w="2394" w:type="dxa"/>
            <w:vAlign w:val="top"/>
          </w:tcPr>
          <w:p w14:paraId="2505E6E1">
            <w:pPr>
              <w:pStyle w:val="6"/>
              <w:spacing w:before="102" w:line="218" w:lineRule="auto"/>
              <w:ind w:left="757"/>
            </w:pPr>
            <w:r>
              <w:rPr>
                <w:i/>
                <w:iCs/>
                <w:spacing w:val="-2"/>
              </w:rPr>
              <w:t>Otus</w:t>
            </w:r>
            <w:r>
              <w:rPr>
                <w:i/>
                <w:iCs/>
                <w:spacing w:val="9"/>
              </w:rPr>
              <w:t xml:space="preserve"> </w:t>
            </w:r>
            <w:r>
              <w:rPr>
                <w:i/>
                <w:iCs/>
                <w:spacing w:val="-2"/>
              </w:rPr>
              <w:t>lettia</w:t>
            </w:r>
          </w:p>
        </w:tc>
        <w:tc>
          <w:tcPr>
            <w:tcW w:w="685" w:type="dxa"/>
            <w:vAlign w:val="top"/>
          </w:tcPr>
          <w:p w14:paraId="0F1B8CB1">
            <w:pPr>
              <w:pStyle w:val="6"/>
              <w:spacing w:before="109" w:line="183" w:lineRule="auto"/>
              <w:ind w:left="270"/>
            </w:pPr>
            <w:r>
              <w:t>R</w:t>
            </w:r>
          </w:p>
        </w:tc>
        <w:tc>
          <w:tcPr>
            <w:tcW w:w="494" w:type="dxa"/>
            <w:vAlign w:val="top"/>
          </w:tcPr>
          <w:p w14:paraId="093B604D">
            <w:pPr>
              <w:pStyle w:val="6"/>
              <w:spacing w:before="106" w:line="186" w:lineRule="auto"/>
              <w:ind w:left="117"/>
            </w:pPr>
            <w:r>
              <w:rPr>
                <w:spacing w:val="-3"/>
              </w:rPr>
              <w:t>OP</w:t>
            </w:r>
          </w:p>
        </w:tc>
        <w:tc>
          <w:tcPr>
            <w:tcW w:w="875" w:type="dxa"/>
            <w:vAlign w:val="top"/>
          </w:tcPr>
          <w:p w14:paraId="3FF759E0">
            <w:pPr>
              <w:pStyle w:val="6"/>
              <w:spacing w:before="69" w:line="222" w:lineRule="auto"/>
              <w:ind w:left="96"/>
            </w:pPr>
            <w:r>
              <w:rPr>
                <w:spacing w:val="-1"/>
              </w:rPr>
              <w:t>Ⅱ</w:t>
            </w:r>
            <w:r>
              <w:rPr>
                <w:rFonts w:ascii="宋体" w:hAnsi="宋体" w:eastAsia="宋体" w:cs="宋体"/>
                <w:spacing w:val="-1"/>
              </w:rPr>
              <w:t>级、</w:t>
            </w:r>
            <w:r>
              <w:rPr>
                <w:spacing w:val="-1"/>
              </w:rPr>
              <w:t>Ⅱ</w:t>
            </w:r>
          </w:p>
        </w:tc>
        <w:tc>
          <w:tcPr>
            <w:tcW w:w="874" w:type="dxa"/>
            <w:vAlign w:val="top"/>
          </w:tcPr>
          <w:p w14:paraId="1A37392D">
            <w:pPr>
              <w:pStyle w:val="6"/>
              <w:spacing w:before="102" w:line="218" w:lineRule="auto"/>
              <w:ind w:left="385"/>
            </w:pPr>
            <w:r>
              <w:t>+</w:t>
            </w:r>
          </w:p>
        </w:tc>
        <w:tc>
          <w:tcPr>
            <w:tcW w:w="875" w:type="dxa"/>
            <w:vAlign w:val="top"/>
          </w:tcPr>
          <w:p w14:paraId="1AEDA3E7">
            <w:pPr>
              <w:pStyle w:val="6"/>
              <w:spacing w:before="106" w:line="186" w:lineRule="auto"/>
              <w:ind w:left="399"/>
            </w:pPr>
            <w:r>
              <w:t>S</w:t>
            </w:r>
          </w:p>
        </w:tc>
        <w:tc>
          <w:tcPr>
            <w:tcW w:w="508" w:type="dxa"/>
            <w:tcBorders>
              <w:right w:val="single" w:color="000000" w:sz="12" w:space="0"/>
            </w:tcBorders>
            <w:vAlign w:val="top"/>
          </w:tcPr>
          <w:p w14:paraId="1936E5D6">
            <w:pPr>
              <w:spacing w:before="69" w:line="220" w:lineRule="auto"/>
              <w:ind w:left="169"/>
              <w:rPr>
                <w:rFonts w:ascii="宋体" w:hAnsi="宋体" w:eastAsia="宋体" w:cs="宋体"/>
                <w:sz w:val="21"/>
                <w:szCs w:val="21"/>
              </w:rPr>
            </w:pPr>
            <w:r>
              <w:rPr>
                <w:rFonts w:ascii="宋体" w:hAnsi="宋体" w:eastAsia="宋体" w:cs="宋体"/>
                <w:sz w:val="21"/>
                <w:szCs w:val="21"/>
              </w:rPr>
              <w:t>鸣</w:t>
            </w:r>
          </w:p>
        </w:tc>
      </w:tr>
      <w:tr w14:paraId="22A8F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2472D615">
            <w:pPr>
              <w:pStyle w:val="6"/>
              <w:spacing w:before="104" w:line="218" w:lineRule="auto"/>
              <w:ind w:left="132"/>
            </w:pPr>
            <w:r>
              <w:rPr>
                <w:spacing w:val="-1"/>
              </w:rPr>
              <w:t>26</w:t>
            </w:r>
          </w:p>
        </w:tc>
        <w:tc>
          <w:tcPr>
            <w:tcW w:w="1257" w:type="dxa"/>
            <w:vAlign w:val="top"/>
          </w:tcPr>
          <w:p w14:paraId="5292D6F6">
            <w:pPr>
              <w:spacing w:before="70" w:line="219" w:lineRule="auto"/>
              <w:ind w:left="199"/>
              <w:rPr>
                <w:rFonts w:ascii="宋体" w:hAnsi="宋体" w:eastAsia="宋体" w:cs="宋体"/>
                <w:sz w:val="21"/>
                <w:szCs w:val="21"/>
              </w:rPr>
            </w:pPr>
            <w:r>
              <w:rPr>
                <w:rFonts w:ascii="宋体" w:hAnsi="宋体" w:eastAsia="宋体" w:cs="宋体"/>
                <w:spacing w:val="-2"/>
                <w:sz w:val="21"/>
                <w:szCs w:val="21"/>
              </w:rPr>
              <w:t>斑头鸺鹠</w:t>
            </w:r>
          </w:p>
        </w:tc>
        <w:tc>
          <w:tcPr>
            <w:tcW w:w="2394" w:type="dxa"/>
            <w:vAlign w:val="top"/>
          </w:tcPr>
          <w:p w14:paraId="4306441A">
            <w:pPr>
              <w:pStyle w:val="6"/>
              <w:spacing w:before="103" w:line="219" w:lineRule="auto"/>
              <w:ind w:left="229"/>
            </w:pPr>
            <w:r>
              <w:rPr>
                <w:i/>
                <w:iCs/>
                <w:spacing w:val="-1"/>
              </w:rPr>
              <w:t>Glaucidium cuculoides</w:t>
            </w:r>
          </w:p>
        </w:tc>
        <w:tc>
          <w:tcPr>
            <w:tcW w:w="685" w:type="dxa"/>
            <w:vAlign w:val="top"/>
          </w:tcPr>
          <w:p w14:paraId="70EC3A10">
            <w:pPr>
              <w:pStyle w:val="6"/>
              <w:spacing w:before="111" w:line="183" w:lineRule="auto"/>
              <w:ind w:left="270"/>
            </w:pPr>
            <w:r>
              <w:t>R</w:t>
            </w:r>
          </w:p>
        </w:tc>
        <w:tc>
          <w:tcPr>
            <w:tcW w:w="494" w:type="dxa"/>
            <w:vAlign w:val="top"/>
          </w:tcPr>
          <w:p w14:paraId="7584446E">
            <w:pPr>
              <w:pStyle w:val="6"/>
              <w:spacing w:before="107" w:line="186" w:lineRule="auto"/>
              <w:ind w:left="175"/>
            </w:pPr>
            <w:r>
              <w:t>O</w:t>
            </w:r>
          </w:p>
        </w:tc>
        <w:tc>
          <w:tcPr>
            <w:tcW w:w="875" w:type="dxa"/>
            <w:vAlign w:val="top"/>
          </w:tcPr>
          <w:p w14:paraId="17FDBC7F">
            <w:pPr>
              <w:pStyle w:val="6"/>
              <w:spacing w:before="70" w:line="222" w:lineRule="auto"/>
              <w:ind w:left="96"/>
            </w:pPr>
            <w:r>
              <w:rPr>
                <w:spacing w:val="-1"/>
              </w:rPr>
              <w:t>Ⅱ</w:t>
            </w:r>
            <w:r>
              <w:rPr>
                <w:rFonts w:ascii="宋体" w:hAnsi="宋体" w:eastAsia="宋体" w:cs="宋体"/>
                <w:spacing w:val="-1"/>
              </w:rPr>
              <w:t>级、</w:t>
            </w:r>
            <w:r>
              <w:rPr>
                <w:spacing w:val="-1"/>
              </w:rPr>
              <w:t>Ⅱ</w:t>
            </w:r>
          </w:p>
        </w:tc>
        <w:tc>
          <w:tcPr>
            <w:tcW w:w="874" w:type="dxa"/>
            <w:vAlign w:val="top"/>
          </w:tcPr>
          <w:p w14:paraId="09ADC2B0">
            <w:pPr>
              <w:pStyle w:val="6"/>
              <w:spacing w:before="104" w:line="218" w:lineRule="auto"/>
              <w:ind w:left="385"/>
            </w:pPr>
            <w:r>
              <w:t>+</w:t>
            </w:r>
          </w:p>
        </w:tc>
        <w:tc>
          <w:tcPr>
            <w:tcW w:w="875" w:type="dxa"/>
            <w:vAlign w:val="top"/>
          </w:tcPr>
          <w:p w14:paraId="662BABC1">
            <w:pPr>
              <w:pStyle w:val="6"/>
              <w:spacing w:before="107" w:line="186" w:lineRule="auto"/>
              <w:ind w:left="399"/>
            </w:pPr>
            <w:r>
              <w:t>S</w:t>
            </w:r>
          </w:p>
        </w:tc>
        <w:tc>
          <w:tcPr>
            <w:tcW w:w="508" w:type="dxa"/>
            <w:tcBorders>
              <w:right w:val="single" w:color="000000" w:sz="12" w:space="0"/>
            </w:tcBorders>
            <w:vAlign w:val="top"/>
          </w:tcPr>
          <w:p w14:paraId="3A691026">
            <w:pPr>
              <w:spacing w:before="70" w:line="220" w:lineRule="auto"/>
              <w:ind w:left="169"/>
              <w:rPr>
                <w:rFonts w:ascii="宋体" w:hAnsi="宋体" w:eastAsia="宋体" w:cs="宋体"/>
                <w:sz w:val="21"/>
                <w:szCs w:val="21"/>
              </w:rPr>
            </w:pPr>
            <w:r>
              <w:rPr>
                <w:rFonts w:ascii="宋体" w:hAnsi="宋体" w:eastAsia="宋体" w:cs="宋体"/>
                <w:sz w:val="21"/>
                <w:szCs w:val="21"/>
              </w:rPr>
              <w:t>鸣</w:t>
            </w:r>
          </w:p>
        </w:tc>
      </w:tr>
      <w:tr w14:paraId="64FE3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6ED723FD">
            <w:pPr>
              <w:pStyle w:val="6"/>
              <w:spacing w:before="114" w:line="186" w:lineRule="auto"/>
              <w:ind w:left="54"/>
            </w:pPr>
            <w:r>
              <w:rPr>
                <w:b/>
                <w:bCs/>
                <w:spacing w:val="-2"/>
              </w:rPr>
              <w:t>O12</w:t>
            </w:r>
          </w:p>
        </w:tc>
        <w:tc>
          <w:tcPr>
            <w:tcW w:w="1257" w:type="dxa"/>
            <w:vAlign w:val="top"/>
          </w:tcPr>
          <w:p w14:paraId="5AAEA07E">
            <w:pPr>
              <w:spacing w:before="77" w:line="220" w:lineRule="auto"/>
              <w:ind w:left="302"/>
              <w:rPr>
                <w:rFonts w:ascii="宋体" w:hAnsi="宋体" w:eastAsia="宋体" w:cs="宋体"/>
                <w:sz w:val="21"/>
                <w:szCs w:val="21"/>
              </w:rPr>
            </w:pPr>
            <w:r>
              <w:rPr>
                <w:rFonts w:ascii="宋体" w:hAnsi="宋体" w:eastAsia="宋体" w:cs="宋体"/>
                <w:b/>
                <w:bCs/>
                <w:spacing w:val="-4"/>
                <w:sz w:val="21"/>
                <w:szCs w:val="21"/>
              </w:rPr>
              <w:t>犀鸟目</w:t>
            </w:r>
          </w:p>
        </w:tc>
        <w:tc>
          <w:tcPr>
            <w:tcW w:w="2394" w:type="dxa"/>
            <w:vAlign w:val="top"/>
          </w:tcPr>
          <w:p w14:paraId="4B967F1C">
            <w:pPr>
              <w:pStyle w:val="6"/>
              <w:spacing w:before="114" w:line="186" w:lineRule="auto"/>
              <w:ind w:left="496"/>
            </w:pPr>
            <w:r>
              <w:rPr>
                <w:b/>
                <w:bCs/>
                <w:spacing w:val="-1"/>
              </w:rPr>
              <w:t>Bucerotiformes</w:t>
            </w:r>
          </w:p>
        </w:tc>
        <w:tc>
          <w:tcPr>
            <w:tcW w:w="685" w:type="dxa"/>
            <w:vAlign w:val="top"/>
          </w:tcPr>
          <w:p w14:paraId="129D8216">
            <w:pPr>
              <w:rPr>
                <w:rFonts w:ascii="Arial"/>
                <w:sz w:val="21"/>
              </w:rPr>
            </w:pPr>
          </w:p>
        </w:tc>
        <w:tc>
          <w:tcPr>
            <w:tcW w:w="494" w:type="dxa"/>
            <w:vAlign w:val="top"/>
          </w:tcPr>
          <w:p w14:paraId="62199AC4">
            <w:pPr>
              <w:rPr>
                <w:rFonts w:ascii="Arial"/>
                <w:sz w:val="21"/>
              </w:rPr>
            </w:pPr>
          </w:p>
        </w:tc>
        <w:tc>
          <w:tcPr>
            <w:tcW w:w="875" w:type="dxa"/>
            <w:vAlign w:val="top"/>
          </w:tcPr>
          <w:p w14:paraId="3143E90D">
            <w:pPr>
              <w:rPr>
                <w:rFonts w:ascii="Arial"/>
                <w:sz w:val="21"/>
              </w:rPr>
            </w:pPr>
          </w:p>
        </w:tc>
        <w:tc>
          <w:tcPr>
            <w:tcW w:w="874" w:type="dxa"/>
            <w:vAlign w:val="top"/>
          </w:tcPr>
          <w:p w14:paraId="68C9241A">
            <w:pPr>
              <w:rPr>
                <w:rFonts w:ascii="Arial"/>
                <w:sz w:val="21"/>
              </w:rPr>
            </w:pPr>
          </w:p>
        </w:tc>
        <w:tc>
          <w:tcPr>
            <w:tcW w:w="875" w:type="dxa"/>
            <w:vAlign w:val="top"/>
          </w:tcPr>
          <w:p w14:paraId="5A625C4C">
            <w:pPr>
              <w:rPr>
                <w:rFonts w:ascii="Arial"/>
                <w:sz w:val="21"/>
              </w:rPr>
            </w:pPr>
          </w:p>
        </w:tc>
        <w:tc>
          <w:tcPr>
            <w:tcW w:w="508" w:type="dxa"/>
            <w:tcBorders>
              <w:right w:val="single" w:color="000000" w:sz="12" w:space="0"/>
            </w:tcBorders>
            <w:vAlign w:val="top"/>
          </w:tcPr>
          <w:p w14:paraId="073CC123">
            <w:pPr>
              <w:rPr>
                <w:rFonts w:ascii="Arial"/>
                <w:sz w:val="21"/>
              </w:rPr>
            </w:pPr>
          </w:p>
        </w:tc>
      </w:tr>
      <w:tr w14:paraId="765E0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29EC827">
            <w:pPr>
              <w:pStyle w:val="6"/>
              <w:spacing w:before="116" w:line="186" w:lineRule="auto"/>
              <w:ind w:left="68"/>
            </w:pPr>
            <w:r>
              <w:rPr>
                <w:b/>
                <w:bCs/>
                <w:spacing w:val="-2"/>
              </w:rPr>
              <w:t>F12</w:t>
            </w:r>
          </w:p>
        </w:tc>
        <w:tc>
          <w:tcPr>
            <w:tcW w:w="1257" w:type="dxa"/>
            <w:vAlign w:val="top"/>
          </w:tcPr>
          <w:p w14:paraId="49B5310A">
            <w:pPr>
              <w:spacing w:before="77" w:line="219" w:lineRule="auto"/>
              <w:ind w:left="306"/>
              <w:rPr>
                <w:rFonts w:ascii="宋体" w:hAnsi="宋体" w:eastAsia="宋体" w:cs="宋体"/>
                <w:sz w:val="21"/>
                <w:szCs w:val="21"/>
              </w:rPr>
            </w:pPr>
            <w:r>
              <w:rPr>
                <w:rFonts w:ascii="宋体" w:hAnsi="宋体" w:eastAsia="宋体" w:cs="宋体"/>
                <w:b/>
                <w:bCs/>
                <w:spacing w:val="-5"/>
                <w:sz w:val="21"/>
                <w:szCs w:val="21"/>
              </w:rPr>
              <w:t>戴胜科</w:t>
            </w:r>
          </w:p>
        </w:tc>
        <w:tc>
          <w:tcPr>
            <w:tcW w:w="2394" w:type="dxa"/>
            <w:vAlign w:val="top"/>
          </w:tcPr>
          <w:p w14:paraId="71DE5505">
            <w:pPr>
              <w:pStyle w:val="6"/>
              <w:spacing w:before="116" w:line="187" w:lineRule="auto"/>
              <w:ind w:left="753"/>
            </w:pPr>
            <w:r>
              <w:rPr>
                <w:b/>
                <w:bCs/>
                <w:spacing w:val="-1"/>
              </w:rPr>
              <w:t>Upupidae</w:t>
            </w:r>
          </w:p>
        </w:tc>
        <w:tc>
          <w:tcPr>
            <w:tcW w:w="685" w:type="dxa"/>
            <w:vAlign w:val="top"/>
          </w:tcPr>
          <w:p w14:paraId="546B2CC3">
            <w:pPr>
              <w:rPr>
                <w:rFonts w:ascii="Arial"/>
                <w:sz w:val="21"/>
              </w:rPr>
            </w:pPr>
          </w:p>
        </w:tc>
        <w:tc>
          <w:tcPr>
            <w:tcW w:w="494" w:type="dxa"/>
            <w:vAlign w:val="top"/>
          </w:tcPr>
          <w:p w14:paraId="4BD3DA9E">
            <w:pPr>
              <w:rPr>
                <w:rFonts w:ascii="Arial"/>
                <w:sz w:val="21"/>
              </w:rPr>
            </w:pPr>
          </w:p>
        </w:tc>
        <w:tc>
          <w:tcPr>
            <w:tcW w:w="875" w:type="dxa"/>
            <w:vAlign w:val="top"/>
          </w:tcPr>
          <w:p w14:paraId="56C916DB">
            <w:pPr>
              <w:rPr>
                <w:rFonts w:ascii="Arial"/>
                <w:sz w:val="21"/>
              </w:rPr>
            </w:pPr>
          </w:p>
        </w:tc>
        <w:tc>
          <w:tcPr>
            <w:tcW w:w="874" w:type="dxa"/>
            <w:vAlign w:val="top"/>
          </w:tcPr>
          <w:p w14:paraId="1AC8B526">
            <w:pPr>
              <w:rPr>
                <w:rFonts w:ascii="Arial"/>
                <w:sz w:val="21"/>
              </w:rPr>
            </w:pPr>
          </w:p>
        </w:tc>
        <w:tc>
          <w:tcPr>
            <w:tcW w:w="875" w:type="dxa"/>
            <w:vAlign w:val="top"/>
          </w:tcPr>
          <w:p w14:paraId="55A5F6EC">
            <w:pPr>
              <w:rPr>
                <w:rFonts w:ascii="Arial"/>
                <w:sz w:val="21"/>
              </w:rPr>
            </w:pPr>
          </w:p>
        </w:tc>
        <w:tc>
          <w:tcPr>
            <w:tcW w:w="508" w:type="dxa"/>
            <w:tcBorders>
              <w:right w:val="single" w:color="000000" w:sz="12" w:space="0"/>
            </w:tcBorders>
            <w:vAlign w:val="top"/>
          </w:tcPr>
          <w:p w14:paraId="1C202E27">
            <w:pPr>
              <w:rPr>
                <w:rFonts w:ascii="Arial"/>
                <w:sz w:val="21"/>
              </w:rPr>
            </w:pPr>
          </w:p>
        </w:tc>
      </w:tr>
      <w:tr w14:paraId="42BD6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5DFC835">
            <w:pPr>
              <w:pStyle w:val="6"/>
              <w:spacing w:before="106" w:line="215" w:lineRule="auto"/>
              <w:ind w:left="132"/>
            </w:pPr>
            <w:r>
              <w:rPr>
                <w:spacing w:val="-1"/>
              </w:rPr>
              <w:t>27</w:t>
            </w:r>
          </w:p>
        </w:tc>
        <w:tc>
          <w:tcPr>
            <w:tcW w:w="1257" w:type="dxa"/>
            <w:vAlign w:val="top"/>
          </w:tcPr>
          <w:p w14:paraId="1C37F2AB">
            <w:pPr>
              <w:spacing w:before="72" w:line="220" w:lineRule="auto"/>
              <w:ind w:left="413"/>
              <w:rPr>
                <w:rFonts w:ascii="宋体" w:hAnsi="宋体" w:eastAsia="宋体" w:cs="宋体"/>
                <w:sz w:val="21"/>
                <w:szCs w:val="21"/>
              </w:rPr>
            </w:pPr>
            <w:r>
              <w:rPr>
                <w:rFonts w:ascii="宋体" w:hAnsi="宋体" w:eastAsia="宋体" w:cs="宋体"/>
                <w:spacing w:val="-4"/>
                <w:sz w:val="21"/>
                <w:szCs w:val="21"/>
              </w:rPr>
              <w:t>戴胜</w:t>
            </w:r>
          </w:p>
        </w:tc>
        <w:tc>
          <w:tcPr>
            <w:tcW w:w="2394" w:type="dxa"/>
            <w:vAlign w:val="top"/>
          </w:tcPr>
          <w:p w14:paraId="1FD608B0">
            <w:pPr>
              <w:pStyle w:val="6"/>
              <w:spacing w:before="106" w:line="190" w:lineRule="auto"/>
              <w:ind w:left="651"/>
            </w:pPr>
            <w:r>
              <w:rPr>
                <w:i/>
                <w:iCs/>
                <w:spacing w:val="-2"/>
              </w:rPr>
              <w:t>Upupa epops</w:t>
            </w:r>
          </w:p>
        </w:tc>
        <w:tc>
          <w:tcPr>
            <w:tcW w:w="685" w:type="dxa"/>
            <w:vAlign w:val="top"/>
          </w:tcPr>
          <w:p w14:paraId="40194BD6">
            <w:pPr>
              <w:pStyle w:val="6"/>
              <w:spacing w:before="113" w:line="183" w:lineRule="auto"/>
              <w:ind w:left="270"/>
            </w:pPr>
            <w:r>
              <w:t>R</w:t>
            </w:r>
          </w:p>
        </w:tc>
        <w:tc>
          <w:tcPr>
            <w:tcW w:w="494" w:type="dxa"/>
            <w:vAlign w:val="top"/>
          </w:tcPr>
          <w:p w14:paraId="6CF80A08">
            <w:pPr>
              <w:pStyle w:val="6"/>
              <w:spacing w:before="109" w:line="186" w:lineRule="auto"/>
              <w:ind w:left="117"/>
            </w:pPr>
            <w:r>
              <w:rPr>
                <w:spacing w:val="-3"/>
              </w:rPr>
              <w:t>OP</w:t>
            </w:r>
          </w:p>
        </w:tc>
        <w:tc>
          <w:tcPr>
            <w:tcW w:w="875" w:type="dxa"/>
            <w:vAlign w:val="top"/>
          </w:tcPr>
          <w:p w14:paraId="4C1EEFCD">
            <w:pPr>
              <w:rPr>
                <w:rFonts w:ascii="Arial"/>
                <w:sz w:val="21"/>
              </w:rPr>
            </w:pPr>
          </w:p>
        </w:tc>
        <w:tc>
          <w:tcPr>
            <w:tcW w:w="874" w:type="dxa"/>
            <w:vAlign w:val="top"/>
          </w:tcPr>
          <w:p w14:paraId="54A4C1D7">
            <w:pPr>
              <w:pStyle w:val="6"/>
              <w:spacing w:before="106" w:line="215" w:lineRule="auto"/>
              <w:ind w:left="266"/>
            </w:pPr>
            <w:r>
              <w:rPr>
                <w:spacing w:val="-1"/>
              </w:rPr>
              <w:t>+++</w:t>
            </w:r>
          </w:p>
        </w:tc>
        <w:tc>
          <w:tcPr>
            <w:tcW w:w="875" w:type="dxa"/>
            <w:vAlign w:val="top"/>
          </w:tcPr>
          <w:p w14:paraId="204FA41D">
            <w:pPr>
              <w:pStyle w:val="6"/>
              <w:spacing w:before="109" w:line="186" w:lineRule="auto"/>
              <w:ind w:left="399"/>
            </w:pPr>
            <w:r>
              <w:t>S</w:t>
            </w:r>
          </w:p>
        </w:tc>
        <w:tc>
          <w:tcPr>
            <w:tcW w:w="508" w:type="dxa"/>
            <w:tcBorders>
              <w:right w:val="single" w:color="000000" w:sz="12" w:space="0"/>
            </w:tcBorders>
            <w:vAlign w:val="top"/>
          </w:tcPr>
          <w:p w14:paraId="5F819788">
            <w:pPr>
              <w:rPr>
                <w:rFonts w:ascii="Arial"/>
                <w:sz w:val="21"/>
              </w:rPr>
            </w:pPr>
          </w:p>
        </w:tc>
      </w:tr>
      <w:tr w14:paraId="013D4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0EEFB7EB">
            <w:pPr>
              <w:pStyle w:val="6"/>
              <w:spacing w:before="117" w:line="186" w:lineRule="auto"/>
              <w:ind w:left="54"/>
            </w:pPr>
            <w:r>
              <w:rPr>
                <w:b/>
                <w:bCs/>
                <w:spacing w:val="-2"/>
              </w:rPr>
              <w:t>O13</w:t>
            </w:r>
          </w:p>
        </w:tc>
        <w:tc>
          <w:tcPr>
            <w:tcW w:w="1257" w:type="dxa"/>
            <w:vAlign w:val="top"/>
          </w:tcPr>
          <w:p w14:paraId="0EEE6EB5">
            <w:pPr>
              <w:spacing w:before="78" w:line="220" w:lineRule="auto"/>
              <w:ind w:left="198"/>
              <w:rPr>
                <w:rFonts w:ascii="宋体" w:hAnsi="宋体" w:eastAsia="宋体" w:cs="宋体"/>
                <w:sz w:val="21"/>
                <w:szCs w:val="21"/>
              </w:rPr>
            </w:pPr>
            <w:r>
              <w:rPr>
                <w:rFonts w:ascii="宋体" w:hAnsi="宋体" w:eastAsia="宋体" w:cs="宋体"/>
                <w:b/>
                <w:bCs/>
                <w:spacing w:val="-4"/>
                <w:sz w:val="21"/>
                <w:szCs w:val="21"/>
              </w:rPr>
              <w:t>佛法僧目</w:t>
            </w:r>
          </w:p>
        </w:tc>
        <w:tc>
          <w:tcPr>
            <w:tcW w:w="2394" w:type="dxa"/>
            <w:vAlign w:val="top"/>
          </w:tcPr>
          <w:p w14:paraId="517579FC">
            <w:pPr>
              <w:pStyle w:val="6"/>
              <w:spacing w:before="117" w:line="186" w:lineRule="auto"/>
              <w:ind w:left="553"/>
            </w:pPr>
            <w:r>
              <w:rPr>
                <w:b/>
                <w:bCs/>
                <w:spacing w:val="-1"/>
              </w:rPr>
              <w:t>Coraciiformes</w:t>
            </w:r>
          </w:p>
        </w:tc>
        <w:tc>
          <w:tcPr>
            <w:tcW w:w="685" w:type="dxa"/>
            <w:vAlign w:val="top"/>
          </w:tcPr>
          <w:p w14:paraId="2437A28A">
            <w:pPr>
              <w:rPr>
                <w:rFonts w:ascii="Arial"/>
                <w:sz w:val="21"/>
              </w:rPr>
            </w:pPr>
          </w:p>
        </w:tc>
        <w:tc>
          <w:tcPr>
            <w:tcW w:w="494" w:type="dxa"/>
            <w:vAlign w:val="top"/>
          </w:tcPr>
          <w:p w14:paraId="531B21E0">
            <w:pPr>
              <w:rPr>
                <w:rFonts w:ascii="Arial"/>
                <w:sz w:val="21"/>
              </w:rPr>
            </w:pPr>
          </w:p>
        </w:tc>
        <w:tc>
          <w:tcPr>
            <w:tcW w:w="875" w:type="dxa"/>
            <w:vAlign w:val="top"/>
          </w:tcPr>
          <w:p w14:paraId="62C9487E">
            <w:pPr>
              <w:rPr>
                <w:rFonts w:ascii="Arial"/>
                <w:sz w:val="21"/>
              </w:rPr>
            </w:pPr>
          </w:p>
        </w:tc>
        <w:tc>
          <w:tcPr>
            <w:tcW w:w="874" w:type="dxa"/>
            <w:vAlign w:val="top"/>
          </w:tcPr>
          <w:p w14:paraId="04DBFF11">
            <w:pPr>
              <w:rPr>
                <w:rFonts w:ascii="Arial"/>
                <w:sz w:val="21"/>
              </w:rPr>
            </w:pPr>
          </w:p>
        </w:tc>
        <w:tc>
          <w:tcPr>
            <w:tcW w:w="875" w:type="dxa"/>
            <w:vAlign w:val="top"/>
          </w:tcPr>
          <w:p w14:paraId="2F99CB89">
            <w:pPr>
              <w:rPr>
                <w:rFonts w:ascii="Arial"/>
                <w:sz w:val="21"/>
              </w:rPr>
            </w:pPr>
          </w:p>
        </w:tc>
        <w:tc>
          <w:tcPr>
            <w:tcW w:w="508" w:type="dxa"/>
            <w:tcBorders>
              <w:right w:val="single" w:color="000000" w:sz="12" w:space="0"/>
            </w:tcBorders>
            <w:vAlign w:val="top"/>
          </w:tcPr>
          <w:p w14:paraId="7037E0E3">
            <w:pPr>
              <w:rPr>
                <w:rFonts w:ascii="Arial"/>
                <w:sz w:val="21"/>
              </w:rPr>
            </w:pPr>
          </w:p>
        </w:tc>
      </w:tr>
      <w:tr w14:paraId="6BF6EB49">
        <w:tblPrEx>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707842B0">
            <w:pPr>
              <w:pStyle w:val="6"/>
              <w:spacing w:before="118" w:line="186" w:lineRule="auto"/>
              <w:ind w:left="68"/>
            </w:pPr>
            <w:r>
              <w:rPr>
                <w:b/>
                <w:bCs/>
                <w:spacing w:val="-2"/>
              </w:rPr>
              <w:t>F13</w:t>
            </w:r>
          </w:p>
        </w:tc>
        <w:tc>
          <w:tcPr>
            <w:tcW w:w="1257" w:type="dxa"/>
            <w:vAlign w:val="top"/>
          </w:tcPr>
          <w:p w14:paraId="3A71C546">
            <w:pPr>
              <w:spacing w:before="79" w:line="219" w:lineRule="auto"/>
              <w:ind w:left="308"/>
              <w:rPr>
                <w:rFonts w:ascii="宋体" w:hAnsi="宋体" w:eastAsia="宋体" w:cs="宋体"/>
                <w:sz w:val="21"/>
                <w:szCs w:val="21"/>
              </w:rPr>
            </w:pPr>
            <w:r>
              <w:rPr>
                <w:rFonts w:ascii="宋体" w:hAnsi="宋体" w:eastAsia="宋体" w:cs="宋体"/>
                <w:b/>
                <w:bCs/>
                <w:spacing w:val="-5"/>
                <w:sz w:val="21"/>
                <w:szCs w:val="21"/>
              </w:rPr>
              <w:t>翠鸟科</w:t>
            </w:r>
          </w:p>
        </w:tc>
        <w:tc>
          <w:tcPr>
            <w:tcW w:w="2394" w:type="dxa"/>
            <w:vAlign w:val="top"/>
          </w:tcPr>
          <w:p w14:paraId="1280E2BB">
            <w:pPr>
              <w:pStyle w:val="6"/>
              <w:spacing w:before="118" w:line="186" w:lineRule="auto"/>
              <w:ind w:left="656"/>
            </w:pPr>
            <w:r>
              <w:rPr>
                <w:b/>
                <w:bCs/>
                <w:spacing w:val="-1"/>
              </w:rPr>
              <w:t>Alcedinidae</w:t>
            </w:r>
          </w:p>
        </w:tc>
        <w:tc>
          <w:tcPr>
            <w:tcW w:w="685" w:type="dxa"/>
            <w:vAlign w:val="top"/>
          </w:tcPr>
          <w:p w14:paraId="0AC587B1">
            <w:pPr>
              <w:rPr>
                <w:rFonts w:ascii="Arial"/>
                <w:sz w:val="21"/>
              </w:rPr>
            </w:pPr>
          </w:p>
        </w:tc>
        <w:tc>
          <w:tcPr>
            <w:tcW w:w="494" w:type="dxa"/>
            <w:vAlign w:val="top"/>
          </w:tcPr>
          <w:p w14:paraId="4809BC91">
            <w:pPr>
              <w:rPr>
                <w:rFonts w:ascii="Arial"/>
                <w:sz w:val="21"/>
              </w:rPr>
            </w:pPr>
          </w:p>
        </w:tc>
        <w:tc>
          <w:tcPr>
            <w:tcW w:w="875" w:type="dxa"/>
            <w:vAlign w:val="top"/>
          </w:tcPr>
          <w:p w14:paraId="063D89D9">
            <w:pPr>
              <w:rPr>
                <w:rFonts w:ascii="Arial"/>
                <w:sz w:val="21"/>
              </w:rPr>
            </w:pPr>
          </w:p>
        </w:tc>
        <w:tc>
          <w:tcPr>
            <w:tcW w:w="874" w:type="dxa"/>
            <w:vAlign w:val="top"/>
          </w:tcPr>
          <w:p w14:paraId="3B6CB9ED">
            <w:pPr>
              <w:rPr>
                <w:rFonts w:ascii="Arial"/>
                <w:sz w:val="21"/>
              </w:rPr>
            </w:pPr>
          </w:p>
        </w:tc>
        <w:tc>
          <w:tcPr>
            <w:tcW w:w="875" w:type="dxa"/>
            <w:vAlign w:val="top"/>
          </w:tcPr>
          <w:p w14:paraId="00DE9E52">
            <w:pPr>
              <w:rPr>
                <w:rFonts w:ascii="Arial"/>
                <w:sz w:val="21"/>
              </w:rPr>
            </w:pPr>
          </w:p>
        </w:tc>
        <w:tc>
          <w:tcPr>
            <w:tcW w:w="508" w:type="dxa"/>
            <w:tcBorders>
              <w:right w:val="single" w:color="000000" w:sz="12" w:space="0"/>
            </w:tcBorders>
            <w:vAlign w:val="top"/>
          </w:tcPr>
          <w:p w14:paraId="02CC86CF">
            <w:pPr>
              <w:rPr>
                <w:rFonts w:ascii="Arial"/>
                <w:sz w:val="21"/>
              </w:rPr>
            </w:pPr>
          </w:p>
        </w:tc>
      </w:tr>
      <w:tr w14:paraId="59857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7E86C4A7">
            <w:pPr>
              <w:pStyle w:val="6"/>
              <w:spacing w:before="108" w:line="213" w:lineRule="auto"/>
              <w:ind w:left="132"/>
            </w:pPr>
            <w:r>
              <w:rPr>
                <w:spacing w:val="-1"/>
              </w:rPr>
              <w:t>28</w:t>
            </w:r>
          </w:p>
        </w:tc>
        <w:tc>
          <w:tcPr>
            <w:tcW w:w="1257" w:type="dxa"/>
            <w:vAlign w:val="top"/>
          </w:tcPr>
          <w:p w14:paraId="402A792F">
            <w:pPr>
              <w:spacing w:before="75" w:line="218" w:lineRule="auto"/>
              <w:ind w:left="230"/>
              <w:rPr>
                <w:rFonts w:ascii="宋体" w:hAnsi="宋体" w:eastAsia="宋体" w:cs="宋体"/>
                <w:sz w:val="21"/>
                <w:szCs w:val="21"/>
              </w:rPr>
            </w:pPr>
            <w:r>
              <w:rPr>
                <w:rFonts w:ascii="宋体" w:hAnsi="宋体" w:eastAsia="宋体" w:cs="宋体"/>
                <w:spacing w:val="-8"/>
                <w:sz w:val="21"/>
                <w:szCs w:val="21"/>
              </w:rPr>
              <w:t>白胸翡翠</w:t>
            </w:r>
          </w:p>
        </w:tc>
        <w:tc>
          <w:tcPr>
            <w:tcW w:w="2394" w:type="dxa"/>
            <w:vAlign w:val="top"/>
          </w:tcPr>
          <w:p w14:paraId="5818BE2A">
            <w:pPr>
              <w:pStyle w:val="6"/>
              <w:spacing w:before="108" w:line="190" w:lineRule="auto"/>
              <w:ind w:left="331"/>
            </w:pPr>
            <w:r>
              <w:rPr>
                <w:i/>
                <w:iCs/>
              </w:rPr>
              <w:t>Halcyon</w:t>
            </w:r>
            <w:r>
              <w:rPr>
                <w:i/>
                <w:iCs/>
                <w:spacing w:val="5"/>
              </w:rPr>
              <w:t xml:space="preserve"> </w:t>
            </w:r>
            <w:r>
              <w:rPr>
                <w:i/>
                <w:iCs/>
              </w:rPr>
              <w:t>smyrnensis</w:t>
            </w:r>
          </w:p>
        </w:tc>
        <w:tc>
          <w:tcPr>
            <w:tcW w:w="685" w:type="dxa"/>
            <w:vAlign w:val="top"/>
          </w:tcPr>
          <w:p w14:paraId="66FC4366">
            <w:pPr>
              <w:pStyle w:val="6"/>
              <w:spacing w:before="115" w:line="183" w:lineRule="auto"/>
              <w:ind w:left="270"/>
            </w:pPr>
            <w:r>
              <w:t>R</w:t>
            </w:r>
          </w:p>
        </w:tc>
        <w:tc>
          <w:tcPr>
            <w:tcW w:w="494" w:type="dxa"/>
            <w:vAlign w:val="top"/>
          </w:tcPr>
          <w:p w14:paraId="46C0B6ED">
            <w:pPr>
              <w:pStyle w:val="6"/>
              <w:spacing w:before="112" w:line="186" w:lineRule="auto"/>
              <w:ind w:left="175"/>
            </w:pPr>
            <w:r>
              <w:t>O</w:t>
            </w:r>
          </w:p>
        </w:tc>
        <w:tc>
          <w:tcPr>
            <w:tcW w:w="875" w:type="dxa"/>
            <w:vAlign w:val="top"/>
          </w:tcPr>
          <w:p w14:paraId="6B449AC9">
            <w:pPr>
              <w:rPr>
                <w:rFonts w:ascii="Arial"/>
                <w:sz w:val="21"/>
              </w:rPr>
            </w:pPr>
          </w:p>
        </w:tc>
        <w:tc>
          <w:tcPr>
            <w:tcW w:w="874" w:type="dxa"/>
            <w:vAlign w:val="top"/>
          </w:tcPr>
          <w:p w14:paraId="160E9BA4">
            <w:pPr>
              <w:pStyle w:val="6"/>
              <w:spacing w:before="108" w:line="213" w:lineRule="auto"/>
              <w:ind w:left="326"/>
            </w:pPr>
            <w:r>
              <w:rPr>
                <w:spacing w:val="-1"/>
              </w:rPr>
              <w:t>++</w:t>
            </w:r>
          </w:p>
        </w:tc>
        <w:tc>
          <w:tcPr>
            <w:tcW w:w="875" w:type="dxa"/>
            <w:vAlign w:val="top"/>
          </w:tcPr>
          <w:p w14:paraId="0AF844BD">
            <w:pPr>
              <w:pStyle w:val="6"/>
              <w:spacing w:before="112" w:line="186" w:lineRule="auto"/>
              <w:ind w:left="399"/>
            </w:pPr>
            <w:r>
              <w:t>S</w:t>
            </w:r>
          </w:p>
        </w:tc>
        <w:tc>
          <w:tcPr>
            <w:tcW w:w="508" w:type="dxa"/>
            <w:tcBorders>
              <w:right w:val="single" w:color="000000" w:sz="12" w:space="0"/>
            </w:tcBorders>
            <w:vAlign w:val="top"/>
          </w:tcPr>
          <w:p w14:paraId="6CFF157B">
            <w:pPr>
              <w:rPr>
                <w:rFonts w:ascii="Arial"/>
                <w:sz w:val="21"/>
              </w:rPr>
            </w:pPr>
          </w:p>
        </w:tc>
      </w:tr>
      <w:tr w14:paraId="6C7A9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6057C3B0">
            <w:pPr>
              <w:pStyle w:val="6"/>
              <w:spacing w:before="108" w:line="214" w:lineRule="auto"/>
              <w:ind w:left="132"/>
            </w:pPr>
            <w:r>
              <w:rPr>
                <w:spacing w:val="-1"/>
              </w:rPr>
              <w:t>29</w:t>
            </w:r>
          </w:p>
        </w:tc>
        <w:tc>
          <w:tcPr>
            <w:tcW w:w="1257" w:type="dxa"/>
            <w:vAlign w:val="top"/>
          </w:tcPr>
          <w:p w14:paraId="672B7363">
            <w:pPr>
              <w:spacing w:before="74" w:line="219" w:lineRule="auto"/>
              <w:ind w:left="198"/>
              <w:rPr>
                <w:rFonts w:ascii="宋体" w:hAnsi="宋体" w:eastAsia="宋体" w:cs="宋体"/>
                <w:sz w:val="21"/>
                <w:szCs w:val="21"/>
              </w:rPr>
            </w:pPr>
            <w:r>
              <w:rPr>
                <w:rFonts w:ascii="宋体" w:hAnsi="宋体" w:eastAsia="宋体" w:cs="宋体"/>
                <w:spacing w:val="-2"/>
                <w:sz w:val="21"/>
                <w:szCs w:val="21"/>
              </w:rPr>
              <w:t>普通翠鸟</w:t>
            </w:r>
          </w:p>
        </w:tc>
        <w:tc>
          <w:tcPr>
            <w:tcW w:w="2394" w:type="dxa"/>
            <w:vAlign w:val="top"/>
          </w:tcPr>
          <w:p w14:paraId="7481FAFA">
            <w:pPr>
              <w:pStyle w:val="6"/>
              <w:spacing w:before="108" w:line="214" w:lineRule="auto"/>
              <w:ind w:left="624"/>
            </w:pPr>
            <w:r>
              <w:rPr>
                <w:i/>
                <w:iCs/>
              </w:rPr>
              <w:t>Alcedo</w:t>
            </w:r>
            <w:r>
              <w:rPr>
                <w:i/>
                <w:iCs/>
                <w:spacing w:val="11"/>
              </w:rPr>
              <w:t xml:space="preserve"> </w:t>
            </w:r>
            <w:r>
              <w:rPr>
                <w:i/>
                <w:iCs/>
              </w:rPr>
              <w:t>atthis</w:t>
            </w:r>
          </w:p>
        </w:tc>
        <w:tc>
          <w:tcPr>
            <w:tcW w:w="685" w:type="dxa"/>
            <w:vAlign w:val="top"/>
          </w:tcPr>
          <w:p w14:paraId="17C8B5ED">
            <w:pPr>
              <w:pStyle w:val="6"/>
              <w:spacing w:before="115" w:line="183" w:lineRule="auto"/>
              <w:ind w:left="270"/>
            </w:pPr>
            <w:r>
              <w:t>R</w:t>
            </w:r>
          </w:p>
        </w:tc>
        <w:tc>
          <w:tcPr>
            <w:tcW w:w="494" w:type="dxa"/>
            <w:vAlign w:val="top"/>
          </w:tcPr>
          <w:p w14:paraId="47377647">
            <w:pPr>
              <w:pStyle w:val="6"/>
              <w:spacing w:before="112" w:line="186" w:lineRule="auto"/>
              <w:ind w:left="117"/>
            </w:pPr>
            <w:r>
              <w:rPr>
                <w:spacing w:val="-3"/>
              </w:rPr>
              <w:t>OP</w:t>
            </w:r>
          </w:p>
        </w:tc>
        <w:tc>
          <w:tcPr>
            <w:tcW w:w="875" w:type="dxa"/>
            <w:vAlign w:val="top"/>
          </w:tcPr>
          <w:p w14:paraId="47EF0C83">
            <w:pPr>
              <w:rPr>
                <w:rFonts w:ascii="Arial"/>
                <w:sz w:val="21"/>
              </w:rPr>
            </w:pPr>
          </w:p>
        </w:tc>
        <w:tc>
          <w:tcPr>
            <w:tcW w:w="874" w:type="dxa"/>
            <w:vAlign w:val="top"/>
          </w:tcPr>
          <w:p w14:paraId="3E51896A">
            <w:pPr>
              <w:pStyle w:val="6"/>
              <w:spacing w:before="108" w:line="214" w:lineRule="auto"/>
              <w:ind w:left="266"/>
            </w:pPr>
            <w:r>
              <w:rPr>
                <w:spacing w:val="-1"/>
              </w:rPr>
              <w:t>+++</w:t>
            </w:r>
          </w:p>
        </w:tc>
        <w:tc>
          <w:tcPr>
            <w:tcW w:w="875" w:type="dxa"/>
            <w:vAlign w:val="top"/>
          </w:tcPr>
          <w:p w14:paraId="101B1B7A">
            <w:pPr>
              <w:pStyle w:val="6"/>
              <w:spacing w:before="112" w:line="186" w:lineRule="auto"/>
              <w:ind w:left="399"/>
            </w:pPr>
            <w:r>
              <w:t>S</w:t>
            </w:r>
          </w:p>
        </w:tc>
        <w:tc>
          <w:tcPr>
            <w:tcW w:w="508" w:type="dxa"/>
            <w:tcBorders>
              <w:right w:val="single" w:color="000000" w:sz="12" w:space="0"/>
            </w:tcBorders>
            <w:vAlign w:val="top"/>
          </w:tcPr>
          <w:p w14:paraId="48800515">
            <w:pPr>
              <w:rPr>
                <w:rFonts w:ascii="Arial"/>
                <w:sz w:val="21"/>
              </w:rPr>
            </w:pPr>
          </w:p>
        </w:tc>
      </w:tr>
      <w:tr w14:paraId="271ED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33D52AD4">
            <w:pPr>
              <w:pStyle w:val="6"/>
              <w:spacing w:before="118" w:line="186" w:lineRule="auto"/>
              <w:ind w:left="54"/>
            </w:pPr>
            <w:r>
              <w:rPr>
                <w:b/>
                <w:bCs/>
                <w:spacing w:val="-2"/>
              </w:rPr>
              <w:t>O14</w:t>
            </w:r>
          </w:p>
        </w:tc>
        <w:tc>
          <w:tcPr>
            <w:tcW w:w="1257" w:type="dxa"/>
            <w:vAlign w:val="top"/>
          </w:tcPr>
          <w:p w14:paraId="160FB577">
            <w:pPr>
              <w:spacing w:before="81" w:line="220" w:lineRule="auto"/>
              <w:ind w:left="205"/>
              <w:rPr>
                <w:rFonts w:ascii="宋体" w:hAnsi="宋体" w:eastAsia="宋体" w:cs="宋体"/>
                <w:sz w:val="21"/>
                <w:szCs w:val="21"/>
              </w:rPr>
            </w:pPr>
            <w:r>
              <w:rPr>
                <w:rFonts w:ascii="宋体" w:hAnsi="宋体" w:eastAsia="宋体" w:cs="宋体"/>
                <w:b/>
                <w:bCs/>
                <w:spacing w:val="-5"/>
                <w:sz w:val="21"/>
                <w:szCs w:val="21"/>
              </w:rPr>
              <w:t>啄木鸟目</w:t>
            </w:r>
          </w:p>
        </w:tc>
        <w:tc>
          <w:tcPr>
            <w:tcW w:w="2394" w:type="dxa"/>
            <w:vAlign w:val="top"/>
          </w:tcPr>
          <w:p w14:paraId="41647C42">
            <w:pPr>
              <w:pStyle w:val="6"/>
              <w:spacing w:before="117" w:line="187" w:lineRule="auto"/>
              <w:ind w:left="713"/>
            </w:pPr>
            <w:r>
              <w:rPr>
                <w:b/>
                <w:bCs/>
                <w:spacing w:val="-1"/>
              </w:rPr>
              <w:t>Piciformes</w:t>
            </w:r>
          </w:p>
        </w:tc>
        <w:tc>
          <w:tcPr>
            <w:tcW w:w="685" w:type="dxa"/>
            <w:vAlign w:val="top"/>
          </w:tcPr>
          <w:p w14:paraId="465BFA06">
            <w:pPr>
              <w:rPr>
                <w:rFonts w:ascii="Arial"/>
                <w:sz w:val="21"/>
              </w:rPr>
            </w:pPr>
          </w:p>
        </w:tc>
        <w:tc>
          <w:tcPr>
            <w:tcW w:w="494" w:type="dxa"/>
            <w:vAlign w:val="top"/>
          </w:tcPr>
          <w:p w14:paraId="6A6C05E2">
            <w:pPr>
              <w:rPr>
                <w:rFonts w:ascii="Arial"/>
                <w:sz w:val="21"/>
              </w:rPr>
            </w:pPr>
          </w:p>
        </w:tc>
        <w:tc>
          <w:tcPr>
            <w:tcW w:w="875" w:type="dxa"/>
            <w:vAlign w:val="top"/>
          </w:tcPr>
          <w:p w14:paraId="10C45C91">
            <w:pPr>
              <w:rPr>
                <w:rFonts w:ascii="Arial"/>
                <w:sz w:val="21"/>
              </w:rPr>
            </w:pPr>
          </w:p>
        </w:tc>
        <w:tc>
          <w:tcPr>
            <w:tcW w:w="874" w:type="dxa"/>
            <w:vAlign w:val="top"/>
          </w:tcPr>
          <w:p w14:paraId="4F91746D">
            <w:pPr>
              <w:rPr>
                <w:rFonts w:ascii="Arial"/>
                <w:sz w:val="21"/>
              </w:rPr>
            </w:pPr>
          </w:p>
        </w:tc>
        <w:tc>
          <w:tcPr>
            <w:tcW w:w="875" w:type="dxa"/>
            <w:vAlign w:val="top"/>
          </w:tcPr>
          <w:p w14:paraId="6864F80D">
            <w:pPr>
              <w:rPr>
                <w:rFonts w:ascii="Arial"/>
                <w:sz w:val="21"/>
              </w:rPr>
            </w:pPr>
          </w:p>
        </w:tc>
        <w:tc>
          <w:tcPr>
            <w:tcW w:w="508" w:type="dxa"/>
            <w:tcBorders>
              <w:right w:val="single" w:color="000000" w:sz="12" w:space="0"/>
            </w:tcBorders>
            <w:vAlign w:val="top"/>
          </w:tcPr>
          <w:p w14:paraId="30144A3E">
            <w:pPr>
              <w:rPr>
                <w:rFonts w:ascii="Arial"/>
                <w:sz w:val="21"/>
              </w:rPr>
            </w:pPr>
          </w:p>
        </w:tc>
      </w:tr>
      <w:tr w14:paraId="7597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51C8D87">
            <w:pPr>
              <w:pStyle w:val="6"/>
              <w:spacing w:before="121" w:line="186" w:lineRule="auto"/>
              <w:ind w:left="68"/>
            </w:pPr>
            <w:r>
              <w:rPr>
                <w:b/>
                <w:bCs/>
                <w:spacing w:val="-2"/>
              </w:rPr>
              <w:t>F14</w:t>
            </w:r>
          </w:p>
        </w:tc>
        <w:tc>
          <w:tcPr>
            <w:tcW w:w="1257" w:type="dxa"/>
            <w:vAlign w:val="top"/>
          </w:tcPr>
          <w:p w14:paraId="658F4D3E">
            <w:pPr>
              <w:spacing w:before="82" w:line="219" w:lineRule="auto"/>
              <w:ind w:left="205"/>
              <w:rPr>
                <w:rFonts w:ascii="宋体" w:hAnsi="宋体" w:eastAsia="宋体" w:cs="宋体"/>
                <w:sz w:val="21"/>
                <w:szCs w:val="21"/>
              </w:rPr>
            </w:pPr>
            <w:r>
              <w:rPr>
                <w:rFonts w:ascii="宋体" w:hAnsi="宋体" w:eastAsia="宋体" w:cs="宋体"/>
                <w:b/>
                <w:bCs/>
                <w:spacing w:val="-5"/>
                <w:sz w:val="21"/>
                <w:szCs w:val="21"/>
              </w:rPr>
              <w:t>啄木鸟科</w:t>
            </w:r>
          </w:p>
        </w:tc>
        <w:tc>
          <w:tcPr>
            <w:tcW w:w="2394" w:type="dxa"/>
            <w:vAlign w:val="top"/>
          </w:tcPr>
          <w:p w14:paraId="6A8F682B">
            <w:pPr>
              <w:pStyle w:val="6"/>
              <w:spacing w:before="120" w:line="187" w:lineRule="auto"/>
              <w:ind w:left="864"/>
            </w:pPr>
            <w:r>
              <w:rPr>
                <w:b/>
                <w:bCs/>
                <w:spacing w:val="-1"/>
              </w:rPr>
              <w:t>Picidae</w:t>
            </w:r>
          </w:p>
        </w:tc>
        <w:tc>
          <w:tcPr>
            <w:tcW w:w="685" w:type="dxa"/>
            <w:vAlign w:val="top"/>
          </w:tcPr>
          <w:p w14:paraId="52245A3C">
            <w:pPr>
              <w:rPr>
                <w:rFonts w:ascii="Arial"/>
                <w:sz w:val="21"/>
              </w:rPr>
            </w:pPr>
          </w:p>
        </w:tc>
        <w:tc>
          <w:tcPr>
            <w:tcW w:w="494" w:type="dxa"/>
            <w:vAlign w:val="top"/>
          </w:tcPr>
          <w:p w14:paraId="0BEDF945">
            <w:pPr>
              <w:rPr>
                <w:rFonts w:ascii="Arial"/>
                <w:sz w:val="21"/>
              </w:rPr>
            </w:pPr>
          </w:p>
        </w:tc>
        <w:tc>
          <w:tcPr>
            <w:tcW w:w="875" w:type="dxa"/>
            <w:vAlign w:val="top"/>
          </w:tcPr>
          <w:p w14:paraId="0E94A70A">
            <w:pPr>
              <w:rPr>
                <w:rFonts w:ascii="Arial"/>
                <w:sz w:val="21"/>
              </w:rPr>
            </w:pPr>
          </w:p>
        </w:tc>
        <w:tc>
          <w:tcPr>
            <w:tcW w:w="874" w:type="dxa"/>
            <w:vAlign w:val="top"/>
          </w:tcPr>
          <w:p w14:paraId="07EC024B">
            <w:pPr>
              <w:rPr>
                <w:rFonts w:ascii="Arial"/>
                <w:sz w:val="21"/>
              </w:rPr>
            </w:pPr>
          </w:p>
        </w:tc>
        <w:tc>
          <w:tcPr>
            <w:tcW w:w="875" w:type="dxa"/>
            <w:vAlign w:val="top"/>
          </w:tcPr>
          <w:p w14:paraId="1704CB69">
            <w:pPr>
              <w:rPr>
                <w:rFonts w:ascii="Arial"/>
                <w:sz w:val="21"/>
              </w:rPr>
            </w:pPr>
          </w:p>
        </w:tc>
        <w:tc>
          <w:tcPr>
            <w:tcW w:w="508" w:type="dxa"/>
            <w:tcBorders>
              <w:right w:val="single" w:color="000000" w:sz="12" w:space="0"/>
            </w:tcBorders>
            <w:vAlign w:val="top"/>
          </w:tcPr>
          <w:p w14:paraId="085F8937">
            <w:pPr>
              <w:rPr>
                <w:rFonts w:ascii="Arial"/>
                <w:sz w:val="21"/>
              </w:rPr>
            </w:pPr>
          </w:p>
        </w:tc>
      </w:tr>
      <w:tr w14:paraId="0C14F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06888373">
            <w:pPr>
              <w:pStyle w:val="6"/>
              <w:spacing w:before="110" w:line="211" w:lineRule="auto"/>
              <w:ind w:left="137"/>
            </w:pPr>
            <w:r>
              <w:rPr>
                <w:spacing w:val="-3"/>
              </w:rPr>
              <w:t>30</w:t>
            </w:r>
          </w:p>
        </w:tc>
        <w:tc>
          <w:tcPr>
            <w:tcW w:w="1257" w:type="dxa"/>
            <w:vAlign w:val="top"/>
          </w:tcPr>
          <w:p w14:paraId="20BF26A5">
            <w:pPr>
              <w:spacing w:before="77" w:line="216" w:lineRule="auto"/>
              <w:ind w:left="413"/>
              <w:rPr>
                <w:rFonts w:ascii="宋体" w:hAnsi="宋体" w:eastAsia="宋体" w:cs="宋体"/>
                <w:sz w:val="21"/>
                <w:szCs w:val="21"/>
              </w:rPr>
            </w:pPr>
            <w:r>
              <w:rPr>
                <w:rFonts w:ascii="宋体" w:hAnsi="宋体" w:eastAsia="宋体" w:cs="宋体"/>
                <w:spacing w:val="-4"/>
                <w:sz w:val="21"/>
                <w:szCs w:val="21"/>
              </w:rPr>
              <w:t>蚁䴕</w:t>
            </w:r>
          </w:p>
        </w:tc>
        <w:tc>
          <w:tcPr>
            <w:tcW w:w="2394" w:type="dxa"/>
            <w:vAlign w:val="top"/>
          </w:tcPr>
          <w:p w14:paraId="0939F318">
            <w:pPr>
              <w:pStyle w:val="6"/>
              <w:spacing w:before="110" w:line="190" w:lineRule="auto"/>
              <w:ind w:left="593"/>
            </w:pPr>
            <w:r>
              <w:rPr>
                <w:i/>
                <w:iCs/>
              </w:rPr>
              <w:t>Jynx</w:t>
            </w:r>
            <w:r>
              <w:rPr>
                <w:i/>
                <w:iCs/>
                <w:spacing w:val="10"/>
              </w:rPr>
              <w:t xml:space="preserve"> </w:t>
            </w:r>
            <w:r>
              <w:rPr>
                <w:i/>
                <w:iCs/>
              </w:rPr>
              <w:t>torquilla</w:t>
            </w:r>
          </w:p>
        </w:tc>
        <w:tc>
          <w:tcPr>
            <w:tcW w:w="685" w:type="dxa"/>
            <w:vAlign w:val="top"/>
          </w:tcPr>
          <w:p w14:paraId="165016BC">
            <w:pPr>
              <w:pStyle w:val="6"/>
              <w:spacing w:before="117" w:line="183" w:lineRule="auto"/>
              <w:ind w:left="240"/>
            </w:pPr>
            <w:r>
              <w:t>W</w:t>
            </w:r>
          </w:p>
        </w:tc>
        <w:tc>
          <w:tcPr>
            <w:tcW w:w="494" w:type="dxa"/>
            <w:vAlign w:val="top"/>
          </w:tcPr>
          <w:p w14:paraId="63D6A1D5">
            <w:pPr>
              <w:rPr>
                <w:rFonts w:ascii="Arial"/>
                <w:sz w:val="21"/>
              </w:rPr>
            </w:pPr>
          </w:p>
        </w:tc>
        <w:tc>
          <w:tcPr>
            <w:tcW w:w="875" w:type="dxa"/>
            <w:vAlign w:val="top"/>
          </w:tcPr>
          <w:p w14:paraId="57390A99">
            <w:pPr>
              <w:rPr>
                <w:rFonts w:ascii="Arial"/>
                <w:sz w:val="21"/>
              </w:rPr>
            </w:pPr>
          </w:p>
        </w:tc>
        <w:tc>
          <w:tcPr>
            <w:tcW w:w="874" w:type="dxa"/>
            <w:vAlign w:val="top"/>
          </w:tcPr>
          <w:p w14:paraId="1DA4578E">
            <w:pPr>
              <w:pStyle w:val="6"/>
              <w:spacing w:before="110" w:line="211" w:lineRule="auto"/>
              <w:ind w:left="385"/>
            </w:pPr>
            <w:r>
              <w:t>+</w:t>
            </w:r>
          </w:p>
        </w:tc>
        <w:tc>
          <w:tcPr>
            <w:tcW w:w="875" w:type="dxa"/>
            <w:vAlign w:val="top"/>
          </w:tcPr>
          <w:p w14:paraId="1F6666C6">
            <w:pPr>
              <w:pStyle w:val="6"/>
              <w:spacing w:before="114" w:line="186" w:lineRule="auto"/>
              <w:ind w:left="399"/>
            </w:pPr>
            <w:r>
              <w:t>S</w:t>
            </w:r>
          </w:p>
        </w:tc>
        <w:tc>
          <w:tcPr>
            <w:tcW w:w="508" w:type="dxa"/>
            <w:tcBorders>
              <w:right w:val="single" w:color="000000" w:sz="12" w:space="0"/>
            </w:tcBorders>
            <w:vAlign w:val="top"/>
          </w:tcPr>
          <w:p w14:paraId="170BBA0E">
            <w:pPr>
              <w:rPr>
                <w:rFonts w:ascii="Arial"/>
                <w:sz w:val="21"/>
              </w:rPr>
            </w:pPr>
          </w:p>
        </w:tc>
      </w:tr>
      <w:tr w14:paraId="4B464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9A5DFFA">
            <w:pPr>
              <w:pStyle w:val="6"/>
              <w:spacing w:before="110" w:line="210" w:lineRule="auto"/>
              <w:ind w:left="137"/>
            </w:pPr>
            <w:r>
              <w:rPr>
                <w:spacing w:val="-3"/>
              </w:rPr>
              <w:t>31</w:t>
            </w:r>
          </w:p>
        </w:tc>
        <w:tc>
          <w:tcPr>
            <w:tcW w:w="1257" w:type="dxa"/>
            <w:vAlign w:val="top"/>
          </w:tcPr>
          <w:p w14:paraId="6AAB0983">
            <w:pPr>
              <w:spacing w:before="77" w:line="215" w:lineRule="auto"/>
              <w:ind w:left="93"/>
              <w:rPr>
                <w:rFonts w:ascii="宋体" w:hAnsi="宋体" w:eastAsia="宋体" w:cs="宋体"/>
                <w:sz w:val="21"/>
                <w:szCs w:val="21"/>
              </w:rPr>
            </w:pPr>
            <w:r>
              <w:rPr>
                <w:rFonts w:ascii="宋体" w:hAnsi="宋体" w:eastAsia="宋体" w:cs="宋体"/>
                <w:spacing w:val="-2"/>
                <w:sz w:val="21"/>
                <w:szCs w:val="21"/>
              </w:rPr>
              <w:t>斑姬啄木鸟</w:t>
            </w:r>
          </w:p>
        </w:tc>
        <w:tc>
          <w:tcPr>
            <w:tcW w:w="2394" w:type="dxa"/>
            <w:vAlign w:val="top"/>
          </w:tcPr>
          <w:p w14:paraId="5A10B2A4">
            <w:pPr>
              <w:pStyle w:val="6"/>
              <w:spacing w:before="110" w:line="210" w:lineRule="auto"/>
              <w:ind w:left="220"/>
            </w:pPr>
            <w:r>
              <w:rPr>
                <w:i/>
                <w:iCs/>
              </w:rPr>
              <w:t>Picumnus</w:t>
            </w:r>
            <w:r>
              <w:rPr>
                <w:i/>
                <w:iCs/>
                <w:spacing w:val="6"/>
              </w:rPr>
              <w:t xml:space="preserve"> </w:t>
            </w:r>
            <w:r>
              <w:rPr>
                <w:i/>
                <w:iCs/>
              </w:rPr>
              <w:t>innominatus</w:t>
            </w:r>
          </w:p>
        </w:tc>
        <w:tc>
          <w:tcPr>
            <w:tcW w:w="685" w:type="dxa"/>
            <w:vAlign w:val="top"/>
          </w:tcPr>
          <w:p w14:paraId="08FDDDB3">
            <w:pPr>
              <w:pStyle w:val="6"/>
              <w:spacing w:before="117" w:line="183" w:lineRule="auto"/>
              <w:ind w:left="270"/>
            </w:pPr>
            <w:r>
              <w:t>R</w:t>
            </w:r>
          </w:p>
        </w:tc>
        <w:tc>
          <w:tcPr>
            <w:tcW w:w="494" w:type="dxa"/>
            <w:vAlign w:val="top"/>
          </w:tcPr>
          <w:p w14:paraId="673A79B5">
            <w:pPr>
              <w:pStyle w:val="6"/>
              <w:spacing w:before="114" w:line="186" w:lineRule="auto"/>
              <w:ind w:left="175"/>
            </w:pPr>
            <w:r>
              <w:t>O</w:t>
            </w:r>
          </w:p>
        </w:tc>
        <w:tc>
          <w:tcPr>
            <w:tcW w:w="875" w:type="dxa"/>
            <w:vAlign w:val="top"/>
          </w:tcPr>
          <w:p w14:paraId="4FD59742">
            <w:pPr>
              <w:rPr>
                <w:rFonts w:ascii="Arial"/>
                <w:sz w:val="21"/>
              </w:rPr>
            </w:pPr>
          </w:p>
        </w:tc>
        <w:tc>
          <w:tcPr>
            <w:tcW w:w="874" w:type="dxa"/>
            <w:vAlign w:val="top"/>
          </w:tcPr>
          <w:p w14:paraId="3EF65037">
            <w:pPr>
              <w:pStyle w:val="6"/>
              <w:spacing w:before="110" w:line="210" w:lineRule="auto"/>
              <w:ind w:left="326"/>
            </w:pPr>
            <w:r>
              <w:rPr>
                <w:spacing w:val="-1"/>
              </w:rPr>
              <w:t>++</w:t>
            </w:r>
          </w:p>
        </w:tc>
        <w:tc>
          <w:tcPr>
            <w:tcW w:w="875" w:type="dxa"/>
            <w:vAlign w:val="top"/>
          </w:tcPr>
          <w:p w14:paraId="6911280D">
            <w:pPr>
              <w:pStyle w:val="6"/>
              <w:spacing w:before="114" w:line="186" w:lineRule="auto"/>
              <w:ind w:left="399"/>
            </w:pPr>
            <w:r>
              <w:t>S</w:t>
            </w:r>
          </w:p>
        </w:tc>
        <w:tc>
          <w:tcPr>
            <w:tcW w:w="508" w:type="dxa"/>
            <w:tcBorders>
              <w:right w:val="single" w:color="000000" w:sz="12" w:space="0"/>
            </w:tcBorders>
            <w:vAlign w:val="top"/>
          </w:tcPr>
          <w:p w14:paraId="6B186F94">
            <w:pPr>
              <w:rPr>
                <w:rFonts w:ascii="Arial"/>
                <w:sz w:val="21"/>
              </w:rPr>
            </w:pPr>
          </w:p>
        </w:tc>
      </w:tr>
      <w:tr w14:paraId="334C2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1BB97C2">
            <w:pPr>
              <w:pStyle w:val="6"/>
              <w:spacing w:before="111" w:line="209" w:lineRule="auto"/>
              <w:ind w:left="137"/>
            </w:pPr>
            <w:r>
              <w:rPr>
                <w:spacing w:val="-3"/>
              </w:rPr>
              <w:t>32</w:t>
            </w:r>
          </w:p>
        </w:tc>
        <w:tc>
          <w:tcPr>
            <w:tcW w:w="1257" w:type="dxa"/>
            <w:vAlign w:val="top"/>
          </w:tcPr>
          <w:p w14:paraId="776572DC">
            <w:pPr>
              <w:spacing w:before="78" w:line="214" w:lineRule="auto"/>
              <w:ind w:left="96"/>
              <w:rPr>
                <w:rFonts w:ascii="宋体" w:hAnsi="宋体" w:eastAsia="宋体" w:cs="宋体"/>
                <w:sz w:val="21"/>
                <w:szCs w:val="21"/>
              </w:rPr>
            </w:pPr>
            <w:r>
              <w:rPr>
                <w:rFonts w:ascii="宋体" w:hAnsi="宋体" w:eastAsia="宋体" w:cs="宋体"/>
                <w:spacing w:val="-2"/>
                <w:sz w:val="21"/>
                <w:szCs w:val="21"/>
              </w:rPr>
              <w:t>星头啄木鸟</w:t>
            </w:r>
          </w:p>
        </w:tc>
        <w:tc>
          <w:tcPr>
            <w:tcW w:w="2394" w:type="dxa"/>
            <w:vAlign w:val="top"/>
          </w:tcPr>
          <w:p w14:paraId="1D674A0E">
            <w:pPr>
              <w:pStyle w:val="6"/>
              <w:spacing w:before="112" w:line="190" w:lineRule="auto"/>
              <w:ind w:left="74"/>
            </w:pPr>
            <w:r>
              <w:rPr>
                <w:i/>
                <w:iCs/>
              </w:rPr>
              <w:t>Dendrocopos</w:t>
            </w:r>
            <w:r>
              <w:rPr>
                <w:i/>
                <w:iCs/>
                <w:spacing w:val="7"/>
              </w:rPr>
              <w:t xml:space="preserve"> </w:t>
            </w:r>
            <w:r>
              <w:rPr>
                <w:i/>
                <w:iCs/>
              </w:rPr>
              <w:t>canicapillus</w:t>
            </w:r>
          </w:p>
        </w:tc>
        <w:tc>
          <w:tcPr>
            <w:tcW w:w="685" w:type="dxa"/>
            <w:vAlign w:val="top"/>
          </w:tcPr>
          <w:p w14:paraId="79F2286A">
            <w:pPr>
              <w:pStyle w:val="6"/>
              <w:spacing w:before="118" w:line="183" w:lineRule="auto"/>
              <w:ind w:left="270"/>
            </w:pPr>
            <w:r>
              <w:t>R</w:t>
            </w:r>
          </w:p>
        </w:tc>
        <w:tc>
          <w:tcPr>
            <w:tcW w:w="494" w:type="dxa"/>
            <w:vAlign w:val="top"/>
          </w:tcPr>
          <w:p w14:paraId="3FB7091B">
            <w:pPr>
              <w:pStyle w:val="6"/>
              <w:spacing w:before="115" w:line="186" w:lineRule="auto"/>
              <w:ind w:left="117"/>
            </w:pPr>
            <w:r>
              <w:rPr>
                <w:spacing w:val="-3"/>
              </w:rPr>
              <w:t>OP</w:t>
            </w:r>
          </w:p>
        </w:tc>
        <w:tc>
          <w:tcPr>
            <w:tcW w:w="875" w:type="dxa"/>
            <w:vAlign w:val="top"/>
          </w:tcPr>
          <w:p w14:paraId="762EE1ED">
            <w:pPr>
              <w:rPr>
                <w:rFonts w:ascii="Arial"/>
                <w:sz w:val="21"/>
              </w:rPr>
            </w:pPr>
          </w:p>
        </w:tc>
        <w:tc>
          <w:tcPr>
            <w:tcW w:w="874" w:type="dxa"/>
            <w:vAlign w:val="top"/>
          </w:tcPr>
          <w:p w14:paraId="6BBEBA87">
            <w:pPr>
              <w:pStyle w:val="6"/>
              <w:spacing w:before="111" w:line="209" w:lineRule="auto"/>
              <w:ind w:left="266"/>
            </w:pPr>
            <w:r>
              <w:rPr>
                <w:spacing w:val="-1"/>
              </w:rPr>
              <w:t>+++</w:t>
            </w:r>
          </w:p>
        </w:tc>
        <w:tc>
          <w:tcPr>
            <w:tcW w:w="875" w:type="dxa"/>
            <w:vAlign w:val="top"/>
          </w:tcPr>
          <w:p w14:paraId="58DCA08B">
            <w:pPr>
              <w:pStyle w:val="6"/>
              <w:spacing w:before="115" w:line="186" w:lineRule="auto"/>
              <w:ind w:left="399"/>
            </w:pPr>
            <w:r>
              <w:t>S</w:t>
            </w:r>
          </w:p>
        </w:tc>
        <w:tc>
          <w:tcPr>
            <w:tcW w:w="508" w:type="dxa"/>
            <w:tcBorders>
              <w:right w:val="single" w:color="000000" w:sz="12" w:space="0"/>
            </w:tcBorders>
            <w:vAlign w:val="top"/>
          </w:tcPr>
          <w:p w14:paraId="24BB7F40">
            <w:pPr>
              <w:rPr>
                <w:rFonts w:ascii="Arial"/>
                <w:sz w:val="21"/>
              </w:rPr>
            </w:pPr>
          </w:p>
        </w:tc>
      </w:tr>
      <w:tr w14:paraId="7D5E2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0B869C88">
            <w:pPr>
              <w:pStyle w:val="6"/>
              <w:spacing w:before="113" w:line="207" w:lineRule="auto"/>
              <w:ind w:left="137"/>
            </w:pPr>
            <w:r>
              <w:rPr>
                <w:spacing w:val="-3"/>
              </w:rPr>
              <w:t>33</w:t>
            </w:r>
          </w:p>
        </w:tc>
        <w:tc>
          <w:tcPr>
            <w:tcW w:w="1257" w:type="dxa"/>
            <w:vAlign w:val="top"/>
          </w:tcPr>
          <w:p w14:paraId="5591D563">
            <w:pPr>
              <w:spacing w:before="79" w:line="213" w:lineRule="auto"/>
              <w:ind w:left="96"/>
              <w:rPr>
                <w:rFonts w:ascii="宋体" w:hAnsi="宋体" w:eastAsia="宋体" w:cs="宋体"/>
                <w:sz w:val="21"/>
                <w:szCs w:val="21"/>
              </w:rPr>
            </w:pPr>
            <w:r>
              <w:rPr>
                <w:rFonts w:ascii="宋体" w:hAnsi="宋体" w:eastAsia="宋体" w:cs="宋体"/>
                <w:spacing w:val="-2"/>
                <w:sz w:val="21"/>
                <w:szCs w:val="21"/>
              </w:rPr>
              <w:t>大斑啄木鸟</w:t>
            </w:r>
          </w:p>
        </w:tc>
        <w:tc>
          <w:tcPr>
            <w:tcW w:w="2394" w:type="dxa"/>
            <w:vAlign w:val="top"/>
          </w:tcPr>
          <w:p w14:paraId="1CAE1303">
            <w:pPr>
              <w:pStyle w:val="6"/>
              <w:spacing w:before="113" w:line="190" w:lineRule="auto"/>
              <w:ind w:left="337"/>
            </w:pPr>
            <w:r>
              <w:rPr>
                <w:i/>
                <w:iCs/>
              </w:rPr>
              <w:t>Dendrocopos</w:t>
            </w:r>
            <w:r>
              <w:rPr>
                <w:i/>
                <w:iCs/>
                <w:spacing w:val="10"/>
              </w:rPr>
              <w:t xml:space="preserve"> </w:t>
            </w:r>
            <w:r>
              <w:rPr>
                <w:i/>
                <w:iCs/>
              </w:rPr>
              <w:t>major</w:t>
            </w:r>
          </w:p>
        </w:tc>
        <w:tc>
          <w:tcPr>
            <w:tcW w:w="685" w:type="dxa"/>
            <w:vAlign w:val="top"/>
          </w:tcPr>
          <w:p w14:paraId="7194A113">
            <w:pPr>
              <w:pStyle w:val="6"/>
              <w:spacing w:before="120" w:line="183" w:lineRule="auto"/>
              <w:ind w:left="270"/>
            </w:pPr>
            <w:r>
              <w:t>R</w:t>
            </w:r>
          </w:p>
        </w:tc>
        <w:tc>
          <w:tcPr>
            <w:tcW w:w="494" w:type="dxa"/>
            <w:vAlign w:val="top"/>
          </w:tcPr>
          <w:p w14:paraId="140CF910">
            <w:pPr>
              <w:pStyle w:val="6"/>
              <w:spacing w:before="116" w:line="186" w:lineRule="auto"/>
              <w:ind w:left="117"/>
            </w:pPr>
            <w:r>
              <w:rPr>
                <w:spacing w:val="-3"/>
              </w:rPr>
              <w:t>OP</w:t>
            </w:r>
          </w:p>
        </w:tc>
        <w:tc>
          <w:tcPr>
            <w:tcW w:w="875" w:type="dxa"/>
            <w:vAlign w:val="top"/>
          </w:tcPr>
          <w:p w14:paraId="44810834">
            <w:pPr>
              <w:rPr>
                <w:rFonts w:ascii="Arial"/>
                <w:sz w:val="21"/>
              </w:rPr>
            </w:pPr>
          </w:p>
        </w:tc>
        <w:tc>
          <w:tcPr>
            <w:tcW w:w="874" w:type="dxa"/>
            <w:vAlign w:val="top"/>
          </w:tcPr>
          <w:p w14:paraId="78599455">
            <w:pPr>
              <w:pStyle w:val="6"/>
              <w:spacing w:before="113" w:line="207" w:lineRule="auto"/>
              <w:ind w:left="266"/>
            </w:pPr>
            <w:r>
              <w:rPr>
                <w:spacing w:val="-1"/>
              </w:rPr>
              <w:t>+++</w:t>
            </w:r>
          </w:p>
        </w:tc>
        <w:tc>
          <w:tcPr>
            <w:tcW w:w="875" w:type="dxa"/>
            <w:vAlign w:val="top"/>
          </w:tcPr>
          <w:p w14:paraId="71169FE9">
            <w:pPr>
              <w:pStyle w:val="6"/>
              <w:spacing w:before="116" w:line="186" w:lineRule="auto"/>
              <w:ind w:left="399"/>
            </w:pPr>
            <w:r>
              <w:t>S</w:t>
            </w:r>
          </w:p>
        </w:tc>
        <w:tc>
          <w:tcPr>
            <w:tcW w:w="508" w:type="dxa"/>
            <w:tcBorders>
              <w:right w:val="single" w:color="000000" w:sz="12" w:space="0"/>
            </w:tcBorders>
            <w:vAlign w:val="top"/>
          </w:tcPr>
          <w:p w14:paraId="23AEAA6D">
            <w:pPr>
              <w:rPr>
                <w:rFonts w:ascii="Arial"/>
                <w:sz w:val="21"/>
              </w:rPr>
            </w:pPr>
          </w:p>
        </w:tc>
      </w:tr>
      <w:tr w14:paraId="7156C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511" w:type="dxa"/>
            <w:tcBorders>
              <w:left w:val="single" w:color="000000" w:sz="12" w:space="0"/>
            </w:tcBorders>
            <w:vAlign w:val="top"/>
          </w:tcPr>
          <w:p w14:paraId="29494D66">
            <w:pPr>
              <w:pStyle w:val="6"/>
              <w:spacing w:before="250" w:line="232" w:lineRule="auto"/>
              <w:ind w:left="137"/>
            </w:pPr>
            <w:r>
              <w:rPr>
                <w:spacing w:val="-3"/>
              </w:rPr>
              <w:t>34</w:t>
            </w:r>
          </w:p>
        </w:tc>
        <w:tc>
          <w:tcPr>
            <w:tcW w:w="1257" w:type="dxa"/>
            <w:vAlign w:val="top"/>
          </w:tcPr>
          <w:p w14:paraId="398E43E3">
            <w:pPr>
              <w:spacing w:before="79" w:line="226" w:lineRule="auto"/>
              <w:ind w:left="517" w:right="111" w:hanging="422"/>
              <w:rPr>
                <w:rFonts w:ascii="宋体" w:hAnsi="宋体" w:eastAsia="宋体" w:cs="宋体"/>
                <w:sz w:val="21"/>
                <w:szCs w:val="21"/>
              </w:rPr>
            </w:pPr>
            <w:r>
              <w:rPr>
                <w:rFonts w:ascii="宋体" w:hAnsi="宋体" w:eastAsia="宋体" w:cs="宋体"/>
                <w:spacing w:val="-2"/>
                <w:sz w:val="21"/>
                <w:szCs w:val="21"/>
              </w:rPr>
              <w:t>灰头绿啄木</w:t>
            </w:r>
            <w:r>
              <w:rPr>
                <w:rFonts w:ascii="宋体" w:hAnsi="宋体" w:eastAsia="宋体" w:cs="宋体"/>
                <w:sz w:val="21"/>
                <w:szCs w:val="21"/>
              </w:rPr>
              <w:t>鸟</w:t>
            </w:r>
          </w:p>
        </w:tc>
        <w:tc>
          <w:tcPr>
            <w:tcW w:w="2394" w:type="dxa"/>
            <w:vAlign w:val="top"/>
          </w:tcPr>
          <w:p w14:paraId="2E399A63">
            <w:pPr>
              <w:pStyle w:val="6"/>
              <w:spacing w:before="249" w:line="233" w:lineRule="auto"/>
              <w:ind w:left="676"/>
            </w:pPr>
            <w:r>
              <w:rPr>
                <w:i/>
                <w:iCs/>
              </w:rPr>
              <w:t>Picus</w:t>
            </w:r>
            <w:r>
              <w:rPr>
                <w:i/>
                <w:iCs/>
                <w:spacing w:val="5"/>
              </w:rPr>
              <w:t xml:space="preserve"> </w:t>
            </w:r>
            <w:r>
              <w:rPr>
                <w:i/>
                <w:iCs/>
              </w:rPr>
              <w:t>canus</w:t>
            </w:r>
          </w:p>
        </w:tc>
        <w:tc>
          <w:tcPr>
            <w:tcW w:w="685" w:type="dxa"/>
            <w:vAlign w:val="top"/>
          </w:tcPr>
          <w:p w14:paraId="11C711FF">
            <w:pPr>
              <w:pStyle w:val="6"/>
              <w:spacing w:before="256" w:line="183" w:lineRule="auto"/>
              <w:ind w:left="270"/>
            </w:pPr>
            <w:r>
              <w:t>R</w:t>
            </w:r>
          </w:p>
        </w:tc>
        <w:tc>
          <w:tcPr>
            <w:tcW w:w="494" w:type="dxa"/>
            <w:vAlign w:val="top"/>
          </w:tcPr>
          <w:p w14:paraId="489F41A0">
            <w:pPr>
              <w:pStyle w:val="6"/>
              <w:spacing w:before="253" w:line="186" w:lineRule="auto"/>
              <w:ind w:left="117"/>
            </w:pPr>
            <w:r>
              <w:rPr>
                <w:spacing w:val="-3"/>
              </w:rPr>
              <w:t>OP</w:t>
            </w:r>
          </w:p>
        </w:tc>
        <w:tc>
          <w:tcPr>
            <w:tcW w:w="875" w:type="dxa"/>
            <w:vAlign w:val="top"/>
          </w:tcPr>
          <w:p w14:paraId="54CC4A03">
            <w:pPr>
              <w:rPr>
                <w:rFonts w:ascii="Arial"/>
                <w:sz w:val="21"/>
              </w:rPr>
            </w:pPr>
          </w:p>
        </w:tc>
        <w:tc>
          <w:tcPr>
            <w:tcW w:w="874" w:type="dxa"/>
            <w:vAlign w:val="top"/>
          </w:tcPr>
          <w:p w14:paraId="41F5F734">
            <w:pPr>
              <w:pStyle w:val="6"/>
              <w:spacing w:before="250" w:line="250" w:lineRule="exact"/>
              <w:ind w:left="266"/>
            </w:pPr>
            <w:r>
              <w:rPr>
                <w:spacing w:val="-1"/>
                <w:position w:val="1"/>
              </w:rPr>
              <w:t>+++</w:t>
            </w:r>
          </w:p>
        </w:tc>
        <w:tc>
          <w:tcPr>
            <w:tcW w:w="875" w:type="dxa"/>
            <w:vAlign w:val="top"/>
          </w:tcPr>
          <w:p w14:paraId="7F71F95D">
            <w:pPr>
              <w:pStyle w:val="6"/>
              <w:spacing w:before="253" w:line="186" w:lineRule="auto"/>
              <w:ind w:left="399"/>
            </w:pPr>
            <w:r>
              <w:t>S</w:t>
            </w:r>
          </w:p>
        </w:tc>
        <w:tc>
          <w:tcPr>
            <w:tcW w:w="508" w:type="dxa"/>
            <w:tcBorders>
              <w:right w:val="single" w:color="000000" w:sz="12" w:space="0"/>
            </w:tcBorders>
            <w:vAlign w:val="top"/>
          </w:tcPr>
          <w:p w14:paraId="3942621E">
            <w:pPr>
              <w:rPr>
                <w:rFonts w:ascii="Arial"/>
                <w:sz w:val="21"/>
              </w:rPr>
            </w:pPr>
          </w:p>
        </w:tc>
      </w:tr>
      <w:tr w14:paraId="7F3EC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6B861C9">
            <w:pPr>
              <w:pStyle w:val="6"/>
              <w:spacing w:before="120" w:line="186" w:lineRule="auto"/>
              <w:ind w:left="54"/>
            </w:pPr>
            <w:r>
              <w:rPr>
                <w:b/>
                <w:bCs/>
                <w:spacing w:val="-2"/>
              </w:rPr>
              <w:t>O15</w:t>
            </w:r>
          </w:p>
        </w:tc>
        <w:tc>
          <w:tcPr>
            <w:tcW w:w="1257" w:type="dxa"/>
            <w:vAlign w:val="top"/>
          </w:tcPr>
          <w:p w14:paraId="360D9DB1">
            <w:pPr>
              <w:spacing w:before="81" w:line="212" w:lineRule="auto"/>
              <w:ind w:left="303"/>
              <w:rPr>
                <w:rFonts w:ascii="宋体" w:hAnsi="宋体" w:eastAsia="宋体" w:cs="宋体"/>
                <w:sz w:val="21"/>
                <w:szCs w:val="21"/>
              </w:rPr>
            </w:pPr>
            <w:r>
              <w:rPr>
                <w:rFonts w:ascii="宋体" w:hAnsi="宋体" w:eastAsia="宋体" w:cs="宋体"/>
                <w:b/>
                <w:bCs/>
                <w:spacing w:val="-4"/>
                <w:sz w:val="21"/>
                <w:szCs w:val="21"/>
              </w:rPr>
              <w:t>隼形目</w:t>
            </w:r>
          </w:p>
        </w:tc>
        <w:tc>
          <w:tcPr>
            <w:tcW w:w="2394" w:type="dxa"/>
            <w:vAlign w:val="top"/>
          </w:tcPr>
          <w:p w14:paraId="15F7653C">
            <w:pPr>
              <w:pStyle w:val="6"/>
              <w:spacing w:before="120" w:line="186" w:lineRule="auto"/>
              <w:ind w:left="602"/>
            </w:pPr>
            <w:r>
              <w:rPr>
                <w:b/>
                <w:bCs/>
                <w:spacing w:val="-1"/>
              </w:rPr>
              <w:t>Falconiformes</w:t>
            </w:r>
          </w:p>
        </w:tc>
        <w:tc>
          <w:tcPr>
            <w:tcW w:w="685" w:type="dxa"/>
            <w:vAlign w:val="top"/>
          </w:tcPr>
          <w:p w14:paraId="343800D4">
            <w:pPr>
              <w:rPr>
                <w:rFonts w:ascii="Arial"/>
                <w:sz w:val="21"/>
              </w:rPr>
            </w:pPr>
          </w:p>
        </w:tc>
        <w:tc>
          <w:tcPr>
            <w:tcW w:w="494" w:type="dxa"/>
            <w:vAlign w:val="top"/>
          </w:tcPr>
          <w:p w14:paraId="6513C392">
            <w:pPr>
              <w:rPr>
                <w:rFonts w:ascii="Arial"/>
                <w:sz w:val="21"/>
              </w:rPr>
            </w:pPr>
          </w:p>
        </w:tc>
        <w:tc>
          <w:tcPr>
            <w:tcW w:w="875" w:type="dxa"/>
            <w:vAlign w:val="top"/>
          </w:tcPr>
          <w:p w14:paraId="76DFB812">
            <w:pPr>
              <w:rPr>
                <w:rFonts w:ascii="Arial"/>
                <w:sz w:val="21"/>
              </w:rPr>
            </w:pPr>
          </w:p>
        </w:tc>
        <w:tc>
          <w:tcPr>
            <w:tcW w:w="874" w:type="dxa"/>
            <w:vAlign w:val="top"/>
          </w:tcPr>
          <w:p w14:paraId="65ABD853">
            <w:pPr>
              <w:rPr>
                <w:rFonts w:ascii="Arial"/>
                <w:sz w:val="21"/>
              </w:rPr>
            </w:pPr>
          </w:p>
        </w:tc>
        <w:tc>
          <w:tcPr>
            <w:tcW w:w="875" w:type="dxa"/>
            <w:vAlign w:val="top"/>
          </w:tcPr>
          <w:p w14:paraId="68D0191A">
            <w:pPr>
              <w:rPr>
                <w:rFonts w:ascii="Arial"/>
                <w:sz w:val="21"/>
              </w:rPr>
            </w:pPr>
          </w:p>
        </w:tc>
        <w:tc>
          <w:tcPr>
            <w:tcW w:w="508" w:type="dxa"/>
            <w:tcBorders>
              <w:right w:val="single" w:color="000000" w:sz="12" w:space="0"/>
            </w:tcBorders>
            <w:vAlign w:val="top"/>
          </w:tcPr>
          <w:p w14:paraId="1DFC1D47">
            <w:pPr>
              <w:rPr>
                <w:rFonts w:ascii="Arial"/>
                <w:sz w:val="21"/>
              </w:rPr>
            </w:pPr>
          </w:p>
        </w:tc>
      </w:tr>
      <w:tr w14:paraId="5C3E5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144CBF5C">
            <w:pPr>
              <w:pStyle w:val="6"/>
              <w:spacing w:before="121" w:line="186" w:lineRule="auto"/>
              <w:ind w:left="68"/>
            </w:pPr>
            <w:r>
              <w:rPr>
                <w:b/>
                <w:bCs/>
                <w:spacing w:val="-2"/>
              </w:rPr>
              <w:t>F15</w:t>
            </w:r>
          </w:p>
        </w:tc>
        <w:tc>
          <w:tcPr>
            <w:tcW w:w="1257" w:type="dxa"/>
            <w:vAlign w:val="top"/>
          </w:tcPr>
          <w:p w14:paraId="7DF2DCD2">
            <w:pPr>
              <w:spacing w:before="82" w:line="212" w:lineRule="auto"/>
              <w:ind w:left="409"/>
              <w:rPr>
                <w:rFonts w:ascii="宋体" w:hAnsi="宋体" w:eastAsia="宋体" w:cs="宋体"/>
                <w:sz w:val="21"/>
                <w:szCs w:val="21"/>
              </w:rPr>
            </w:pPr>
            <w:r>
              <w:rPr>
                <w:rFonts w:ascii="宋体" w:hAnsi="宋体" w:eastAsia="宋体" w:cs="宋体"/>
                <w:b/>
                <w:bCs/>
                <w:spacing w:val="-5"/>
                <w:sz w:val="21"/>
                <w:szCs w:val="21"/>
              </w:rPr>
              <w:t>隼科</w:t>
            </w:r>
          </w:p>
        </w:tc>
        <w:tc>
          <w:tcPr>
            <w:tcW w:w="2394" w:type="dxa"/>
            <w:vAlign w:val="top"/>
          </w:tcPr>
          <w:p w14:paraId="28C5AF38">
            <w:pPr>
              <w:pStyle w:val="6"/>
              <w:spacing w:before="121" w:line="186" w:lineRule="auto"/>
              <w:ind w:left="753"/>
            </w:pPr>
            <w:r>
              <w:rPr>
                <w:b/>
                <w:bCs/>
                <w:spacing w:val="-1"/>
              </w:rPr>
              <w:t>Falconidae</w:t>
            </w:r>
          </w:p>
        </w:tc>
        <w:tc>
          <w:tcPr>
            <w:tcW w:w="685" w:type="dxa"/>
            <w:vAlign w:val="top"/>
          </w:tcPr>
          <w:p w14:paraId="4A2C3EA9">
            <w:pPr>
              <w:rPr>
                <w:rFonts w:ascii="Arial"/>
                <w:sz w:val="21"/>
              </w:rPr>
            </w:pPr>
          </w:p>
        </w:tc>
        <w:tc>
          <w:tcPr>
            <w:tcW w:w="494" w:type="dxa"/>
            <w:vAlign w:val="top"/>
          </w:tcPr>
          <w:p w14:paraId="523DBCFD">
            <w:pPr>
              <w:rPr>
                <w:rFonts w:ascii="Arial"/>
                <w:sz w:val="21"/>
              </w:rPr>
            </w:pPr>
          </w:p>
        </w:tc>
        <w:tc>
          <w:tcPr>
            <w:tcW w:w="875" w:type="dxa"/>
            <w:vAlign w:val="top"/>
          </w:tcPr>
          <w:p w14:paraId="57449FA9">
            <w:pPr>
              <w:rPr>
                <w:rFonts w:ascii="Arial"/>
                <w:sz w:val="21"/>
              </w:rPr>
            </w:pPr>
          </w:p>
        </w:tc>
        <w:tc>
          <w:tcPr>
            <w:tcW w:w="874" w:type="dxa"/>
            <w:vAlign w:val="top"/>
          </w:tcPr>
          <w:p w14:paraId="6FAB9741">
            <w:pPr>
              <w:rPr>
                <w:rFonts w:ascii="Arial"/>
                <w:sz w:val="21"/>
              </w:rPr>
            </w:pPr>
          </w:p>
        </w:tc>
        <w:tc>
          <w:tcPr>
            <w:tcW w:w="875" w:type="dxa"/>
            <w:vAlign w:val="top"/>
          </w:tcPr>
          <w:p w14:paraId="70CE9BF7">
            <w:pPr>
              <w:rPr>
                <w:rFonts w:ascii="Arial"/>
                <w:sz w:val="21"/>
              </w:rPr>
            </w:pPr>
          </w:p>
        </w:tc>
        <w:tc>
          <w:tcPr>
            <w:tcW w:w="508" w:type="dxa"/>
            <w:tcBorders>
              <w:right w:val="single" w:color="000000" w:sz="12" w:space="0"/>
            </w:tcBorders>
            <w:vAlign w:val="top"/>
          </w:tcPr>
          <w:p w14:paraId="1C0DCE19">
            <w:pPr>
              <w:rPr>
                <w:rFonts w:ascii="Arial"/>
                <w:sz w:val="21"/>
              </w:rPr>
            </w:pPr>
          </w:p>
        </w:tc>
      </w:tr>
      <w:tr w14:paraId="10519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83FE81D">
            <w:pPr>
              <w:pStyle w:val="6"/>
              <w:spacing w:before="115" w:line="205" w:lineRule="auto"/>
              <w:ind w:left="137"/>
            </w:pPr>
            <w:r>
              <w:rPr>
                <w:spacing w:val="-3"/>
              </w:rPr>
              <w:t>35</w:t>
            </w:r>
          </w:p>
        </w:tc>
        <w:tc>
          <w:tcPr>
            <w:tcW w:w="1257" w:type="dxa"/>
            <w:vAlign w:val="top"/>
          </w:tcPr>
          <w:p w14:paraId="03176B64">
            <w:pPr>
              <w:spacing w:before="81" w:line="211" w:lineRule="auto"/>
              <w:ind w:left="414"/>
              <w:rPr>
                <w:rFonts w:ascii="宋体" w:hAnsi="宋体" w:eastAsia="宋体" w:cs="宋体"/>
                <w:sz w:val="21"/>
                <w:szCs w:val="21"/>
              </w:rPr>
            </w:pPr>
            <w:r>
              <w:rPr>
                <w:rFonts w:ascii="宋体" w:hAnsi="宋体" w:eastAsia="宋体" w:cs="宋体"/>
                <w:spacing w:val="-4"/>
                <w:sz w:val="21"/>
                <w:szCs w:val="21"/>
              </w:rPr>
              <w:t>红隼</w:t>
            </w:r>
          </w:p>
        </w:tc>
        <w:tc>
          <w:tcPr>
            <w:tcW w:w="2394" w:type="dxa"/>
            <w:vAlign w:val="top"/>
          </w:tcPr>
          <w:p w14:paraId="0402B242">
            <w:pPr>
              <w:pStyle w:val="6"/>
              <w:spacing w:before="115" w:line="205" w:lineRule="auto"/>
              <w:ind w:left="419"/>
            </w:pPr>
            <w:r>
              <w:rPr>
                <w:i/>
                <w:iCs/>
              </w:rPr>
              <w:t>Falco</w:t>
            </w:r>
            <w:r>
              <w:rPr>
                <w:i/>
                <w:iCs/>
                <w:spacing w:val="7"/>
              </w:rPr>
              <w:t xml:space="preserve"> </w:t>
            </w:r>
            <w:r>
              <w:rPr>
                <w:i/>
                <w:iCs/>
              </w:rPr>
              <w:t>tinnunculus</w:t>
            </w:r>
          </w:p>
        </w:tc>
        <w:tc>
          <w:tcPr>
            <w:tcW w:w="685" w:type="dxa"/>
            <w:vAlign w:val="top"/>
          </w:tcPr>
          <w:p w14:paraId="163F931B">
            <w:pPr>
              <w:pStyle w:val="6"/>
              <w:spacing w:before="122" w:line="183" w:lineRule="auto"/>
              <w:ind w:left="270"/>
            </w:pPr>
            <w:r>
              <w:t>R</w:t>
            </w:r>
          </w:p>
        </w:tc>
        <w:tc>
          <w:tcPr>
            <w:tcW w:w="494" w:type="dxa"/>
            <w:vAlign w:val="top"/>
          </w:tcPr>
          <w:p w14:paraId="18223EDA">
            <w:pPr>
              <w:pStyle w:val="6"/>
              <w:spacing w:before="119" w:line="186" w:lineRule="auto"/>
              <w:ind w:left="117"/>
            </w:pPr>
            <w:r>
              <w:rPr>
                <w:spacing w:val="-3"/>
              </w:rPr>
              <w:t>OP</w:t>
            </w:r>
          </w:p>
        </w:tc>
        <w:tc>
          <w:tcPr>
            <w:tcW w:w="875" w:type="dxa"/>
            <w:vAlign w:val="top"/>
          </w:tcPr>
          <w:p w14:paraId="011AE500">
            <w:pPr>
              <w:pStyle w:val="6"/>
              <w:spacing w:before="81" w:line="211" w:lineRule="auto"/>
              <w:ind w:left="96"/>
            </w:pPr>
            <w:r>
              <w:rPr>
                <w:spacing w:val="-1"/>
              </w:rPr>
              <w:t>Ⅱ</w:t>
            </w:r>
            <w:r>
              <w:rPr>
                <w:rFonts w:ascii="宋体" w:hAnsi="宋体" w:eastAsia="宋体" w:cs="宋体"/>
                <w:spacing w:val="-1"/>
              </w:rPr>
              <w:t>级、</w:t>
            </w:r>
            <w:r>
              <w:rPr>
                <w:spacing w:val="-1"/>
              </w:rPr>
              <w:t>Ⅱ</w:t>
            </w:r>
          </w:p>
        </w:tc>
        <w:tc>
          <w:tcPr>
            <w:tcW w:w="874" w:type="dxa"/>
            <w:vAlign w:val="top"/>
          </w:tcPr>
          <w:p w14:paraId="754ECEED">
            <w:pPr>
              <w:pStyle w:val="6"/>
              <w:spacing w:before="115" w:line="205" w:lineRule="auto"/>
              <w:ind w:left="326"/>
            </w:pPr>
            <w:r>
              <w:rPr>
                <w:spacing w:val="-1"/>
              </w:rPr>
              <w:t>++</w:t>
            </w:r>
          </w:p>
        </w:tc>
        <w:tc>
          <w:tcPr>
            <w:tcW w:w="875" w:type="dxa"/>
            <w:vAlign w:val="top"/>
          </w:tcPr>
          <w:p w14:paraId="4D5D71BD">
            <w:pPr>
              <w:pStyle w:val="6"/>
              <w:spacing w:before="119" w:line="186" w:lineRule="auto"/>
              <w:ind w:left="399"/>
            </w:pPr>
            <w:r>
              <w:t>S</w:t>
            </w:r>
          </w:p>
        </w:tc>
        <w:tc>
          <w:tcPr>
            <w:tcW w:w="508" w:type="dxa"/>
            <w:tcBorders>
              <w:right w:val="single" w:color="000000" w:sz="12" w:space="0"/>
            </w:tcBorders>
            <w:vAlign w:val="top"/>
          </w:tcPr>
          <w:p w14:paraId="4F6A8DD2">
            <w:pPr>
              <w:rPr>
                <w:rFonts w:ascii="Arial"/>
                <w:sz w:val="21"/>
              </w:rPr>
            </w:pPr>
          </w:p>
        </w:tc>
      </w:tr>
      <w:tr w14:paraId="30D27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3281997D">
            <w:pPr>
              <w:pStyle w:val="6"/>
              <w:spacing w:before="128" w:line="186" w:lineRule="auto"/>
              <w:ind w:left="54"/>
            </w:pPr>
            <w:r>
              <w:rPr>
                <w:b/>
                <w:bCs/>
                <w:spacing w:val="-2"/>
              </w:rPr>
              <w:t>O16</w:t>
            </w:r>
          </w:p>
        </w:tc>
        <w:tc>
          <w:tcPr>
            <w:tcW w:w="1257" w:type="dxa"/>
            <w:vAlign w:val="top"/>
          </w:tcPr>
          <w:p w14:paraId="45E0169F">
            <w:pPr>
              <w:spacing w:before="90" w:line="214" w:lineRule="auto"/>
              <w:ind w:left="305"/>
              <w:rPr>
                <w:rFonts w:ascii="宋体" w:hAnsi="宋体" w:eastAsia="宋体" w:cs="宋体"/>
                <w:sz w:val="21"/>
                <w:szCs w:val="21"/>
              </w:rPr>
            </w:pPr>
            <w:r>
              <w:rPr>
                <w:rFonts w:ascii="宋体" w:hAnsi="宋体" w:eastAsia="宋体" w:cs="宋体"/>
                <w:b/>
                <w:bCs/>
                <w:spacing w:val="-5"/>
                <w:sz w:val="21"/>
                <w:szCs w:val="21"/>
              </w:rPr>
              <w:t>雀形目</w:t>
            </w:r>
          </w:p>
        </w:tc>
        <w:tc>
          <w:tcPr>
            <w:tcW w:w="2394" w:type="dxa"/>
            <w:vAlign w:val="top"/>
          </w:tcPr>
          <w:p w14:paraId="4399D8C1">
            <w:pPr>
              <w:pStyle w:val="6"/>
              <w:spacing w:before="128" w:line="186" w:lineRule="auto"/>
              <w:ind w:left="562"/>
            </w:pPr>
            <w:r>
              <w:rPr>
                <w:b/>
                <w:bCs/>
                <w:spacing w:val="-1"/>
              </w:rPr>
              <w:t>Passeriformes</w:t>
            </w:r>
          </w:p>
        </w:tc>
        <w:tc>
          <w:tcPr>
            <w:tcW w:w="685" w:type="dxa"/>
            <w:vAlign w:val="top"/>
          </w:tcPr>
          <w:p w14:paraId="4E6E89A2">
            <w:pPr>
              <w:rPr>
                <w:rFonts w:ascii="Arial"/>
                <w:sz w:val="21"/>
              </w:rPr>
            </w:pPr>
          </w:p>
        </w:tc>
        <w:tc>
          <w:tcPr>
            <w:tcW w:w="494" w:type="dxa"/>
            <w:vAlign w:val="top"/>
          </w:tcPr>
          <w:p w14:paraId="7160AEA6">
            <w:pPr>
              <w:rPr>
                <w:rFonts w:ascii="Arial"/>
                <w:sz w:val="21"/>
              </w:rPr>
            </w:pPr>
          </w:p>
        </w:tc>
        <w:tc>
          <w:tcPr>
            <w:tcW w:w="875" w:type="dxa"/>
            <w:vAlign w:val="top"/>
          </w:tcPr>
          <w:p w14:paraId="6E1E0EB8">
            <w:pPr>
              <w:rPr>
                <w:rFonts w:ascii="Arial"/>
                <w:sz w:val="21"/>
              </w:rPr>
            </w:pPr>
          </w:p>
        </w:tc>
        <w:tc>
          <w:tcPr>
            <w:tcW w:w="874" w:type="dxa"/>
            <w:vAlign w:val="top"/>
          </w:tcPr>
          <w:p w14:paraId="0C04F008">
            <w:pPr>
              <w:rPr>
                <w:rFonts w:ascii="Arial"/>
                <w:sz w:val="21"/>
              </w:rPr>
            </w:pPr>
          </w:p>
        </w:tc>
        <w:tc>
          <w:tcPr>
            <w:tcW w:w="875" w:type="dxa"/>
            <w:vAlign w:val="top"/>
          </w:tcPr>
          <w:p w14:paraId="322282F9">
            <w:pPr>
              <w:rPr>
                <w:rFonts w:ascii="Arial"/>
                <w:sz w:val="21"/>
              </w:rPr>
            </w:pPr>
          </w:p>
        </w:tc>
        <w:tc>
          <w:tcPr>
            <w:tcW w:w="508" w:type="dxa"/>
            <w:tcBorders>
              <w:right w:val="single" w:color="000000" w:sz="12" w:space="0"/>
            </w:tcBorders>
            <w:vAlign w:val="top"/>
          </w:tcPr>
          <w:p w14:paraId="7573B20B">
            <w:pPr>
              <w:rPr>
                <w:rFonts w:ascii="Arial"/>
                <w:sz w:val="21"/>
              </w:rPr>
            </w:pPr>
          </w:p>
        </w:tc>
      </w:tr>
      <w:tr w14:paraId="74AB1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3F481786">
            <w:pPr>
              <w:pStyle w:val="6"/>
              <w:spacing w:before="124" w:line="186" w:lineRule="auto"/>
              <w:ind w:left="68"/>
            </w:pPr>
            <w:r>
              <w:rPr>
                <w:b/>
                <w:bCs/>
                <w:spacing w:val="-2"/>
              </w:rPr>
              <w:t>F16</w:t>
            </w:r>
          </w:p>
        </w:tc>
        <w:tc>
          <w:tcPr>
            <w:tcW w:w="1257" w:type="dxa"/>
            <w:vAlign w:val="top"/>
          </w:tcPr>
          <w:p w14:paraId="4A7A7A12">
            <w:pPr>
              <w:spacing w:before="86" w:line="209" w:lineRule="auto"/>
              <w:ind w:left="306"/>
              <w:rPr>
                <w:rFonts w:ascii="宋体" w:hAnsi="宋体" w:eastAsia="宋体" w:cs="宋体"/>
                <w:sz w:val="21"/>
                <w:szCs w:val="21"/>
              </w:rPr>
            </w:pPr>
            <w:r>
              <w:rPr>
                <w:rFonts w:ascii="宋体" w:hAnsi="宋体" w:eastAsia="宋体" w:cs="宋体"/>
                <w:b/>
                <w:bCs/>
                <w:spacing w:val="-5"/>
                <w:sz w:val="21"/>
                <w:szCs w:val="21"/>
              </w:rPr>
              <w:t>莺雀科</w:t>
            </w:r>
          </w:p>
        </w:tc>
        <w:tc>
          <w:tcPr>
            <w:tcW w:w="2394" w:type="dxa"/>
            <w:vAlign w:val="top"/>
          </w:tcPr>
          <w:p w14:paraId="373105DE">
            <w:pPr>
              <w:pStyle w:val="6"/>
              <w:spacing w:before="124" w:line="186" w:lineRule="auto"/>
              <w:ind w:left="691"/>
            </w:pPr>
            <w:r>
              <w:rPr>
                <w:b/>
                <w:bCs/>
                <w:spacing w:val="-1"/>
              </w:rPr>
              <w:t>Vireonidae</w:t>
            </w:r>
          </w:p>
        </w:tc>
        <w:tc>
          <w:tcPr>
            <w:tcW w:w="685" w:type="dxa"/>
            <w:vAlign w:val="top"/>
          </w:tcPr>
          <w:p w14:paraId="7512EFE1">
            <w:pPr>
              <w:rPr>
                <w:rFonts w:ascii="Arial"/>
                <w:sz w:val="21"/>
              </w:rPr>
            </w:pPr>
          </w:p>
        </w:tc>
        <w:tc>
          <w:tcPr>
            <w:tcW w:w="494" w:type="dxa"/>
            <w:vAlign w:val="top"/>
          </w:tcPr>
          <w:p w14:paraId="199FF931">
            <w:pPr>
              <w:rPr>
                <w:rFonts w:ascii="Arial"/>
                <w:sz w:val="21"/>
              </w:rPr>
            </w:pPr>
          </w:p>
        </w:tc>
        <w:tc>
          <w:tcPr>
            <w:tcW w:w="875" w:type="dxa"/>
            <w:vAlign w:val="top"/>
          </w:tcPr>
          <w:p w14:paraId="7CE89DAF">
            <w:pPr>
              <w:rPr>
                <w:rFonts w:ascii="Arial"/>
                <w:sz w:val="21"/>
              </w:rPr>
            </w:pPr>
          </w:p>
        </w:tc>
        <w:tc>
          <w:tcPr>
            <w:tcW w:w="874" w:type="dxa"/>
            <w:vAlign w:val="top"/>
          </w:tcPr>
          <w:p w14:paraId="235EFDAC">
            <w:pPr>
              <w:rPr>
                <w:rFonts w:ascii="Arial"/>
                <w:sz w:val="21"/>
              </w:rPr>
            </w:pPr>
          </w:p>
        </w:tc>
        <w:tc>
          <w:tcPr>
            <w:tcW w:w="875" w:type="dxa"/>
            <w:vAlign w:val="top"/>
          </w:tcPr>
          <w:p w14:paraId="50E19B10">
            <w:pPr>
              <w:rPr>
                <w:rFonts w:ascii="Arial"/>
                <w:sz w:val="21"/>
              </w:rPr>
            </w:pPr>
          </w:p>
        </w:tc>
        <w:tc>
          <w:tcPr>
            <w:tcW w:w="508" w:type="dxa"/>
            <w:tcBorders>
              <w:right w:val="single" w:color="000000" w:sz="12" w:space="0"/>
            </w:tcBorders>
            <w:vAlign w:val="top"/>
          </w:tcPr>
          <w:p w14:paraId="3145F810">
            <w:pPr>
              <w:rPr>
                <w:rFonts w:ascii="Arial"/>
                <w:sz w:val="21"/>
              </w:rPr>
            </w:pPr>
          </w:p>
        </w:tc>
      </w:tr>
      <w:tr w14:paraId="282C2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11" w:type="dxa"/>
            <w:tcBorders>
              <w:left w:val="single" w:color="000000" w:sz="12" w:space="0"/>
            </w:tcBorders>
            <w:vAlign w:val="top"/>
          </w:tcPr>
          <w:p w14:paraId="757B1337">
            <w:pPr>
              <w:pStyle w:val="6"/>
              <w:spacing w:before="132" w:line="216" w:lineRule="auto"/>
              <w:ind w:left="137"/>
            </w:pPr>
            <w:r>
              <w:rPr>
                <w:spacing w:val="-3"/>
              </w:rPr>
              <w:t>36</w:t>
            </w:r>
          </w:p>
        </w:tc>
        <w:tc>
          <w:tcPr>
            <w:tcW w:w="1257" w:type="dxa"/>
            <w:vAlign w:val="top"/>
          </w:tcPr>
          <w:p w14:paraId="38CCE2B0">
            <w:pPr>
              <w:spacing w:before="99" w:line="220" w:lineRule="auto"/>
              <w:ind w:left="204"/>
              <w:rPr>
                <w:rFonts w:ascii="宋体" w:hAnsi="宋体" w:eastAsia="宋体" w:cs="宋体"/>
                <w:sz w:val="21"/>
                <w:szCs w:val="21"/>
              </w:rPr>
            </w:pPr>
            <w:r>
              <w:rPr>
                <w:rFonts w:ascii="宋体" w:hAnsi="宋体" w:eastAsia="宋体" w:cs="宋体"/>
                <w:spacing w:val="-3"/>
                <w:sz w:val="21"/>
                <w:szCs w:val="21"/>
              </w:rPr>
              <w:t>红翅鵙鹛</w:t>
            </w:r>
          </w:p>
        </w:tc>
        <w:tc>
          <w:tcPr>
            <w:tcW w:w="2394" w:type="dxa"/>
            <w:vAlign w:val="top"/>
          </w:tcPr>
          <w:p w14:paraId="0700DD99">
            <w:pPr>
              <w:pStyle w:val="6"/>
              <w:spacing w:before="132" w:line="190" w:lineRule="auto"/>
              <w:ind w:left="267"/>
            </w:pPr>
            <w:r>
              <w:rPr>
                <w:i/>
                <w:iCs/>
                <w:spacing w:val="2"/>
              </w:rPr>
              <w:t>Pteruthius</w:t>
            </w:r>
            <w:r>
              <w:rPr>
                <w:i/>
                <w:iCs/>
                <w:spacing w:val="-37"/>
              </w:rPr>
              <w:t xml:space="preserve"> </w:t>
            </w:r>
            <w:r>
              <w:rPr>
                <w:i/>
                <w:iCs/>
                <w:spacing w:val="2"/>
              </w:rPr>
              <w:t>flaviscapis</w:t>
            </w:r>
          </w:p>
        </w:tc>
        <w:tc>
          <w:tcPr>
            <w:tcW w:w="685" w:type="dxa"/>
            <w:vAlign w:val="top"/>
          </w:tcPr>
          <w:p w14:paraId="72213F25">
            <w:pPr>
              <w:pStyle w:val="6"/>
              <w:spacing w:before="139" w:line="183" w:lineRule="auto"/>
              <w:ind w:left="270"/>
            </w:pPr>
            <w:r>
              <w:t>R</w:t>
            </w:r>
          </w:p>
        </w:tc>
        <w:tc>
          <w:tcPr>
            <w:tcW w:w="494" w:type="dxa"/>
            <w:vAlign w:val="top"/>
          </w:tcPr>
          <w:p w14:paraId="1E205319">
            <w:pPr>
              <w:pStyle w:val="6"/>
              <w:spacing w:before="136" w:line="186" w:lineRule="auto"/>
              <w:ind w:left="175"/>
            </w:pPr>
            <w:r>
              <w:t>O</w:t>
            </w:r>
          </w:p>
        </w:tc>
        <w:tc>
          <w:tcPr>
            <w:tcW w:w="875" w:type="dxa"/>
            <w:vAlign w:val="top"/>
          </w:tcPr>
          <w:p w14:paraId="270AC901">
            <w:pPr>
              <w:rPr>
                <w:rFonts w:ascii="Arial"/>
                <w:sz w:val="21"/>
              </w:rPr>
            </w:pPr>
          </w:p>
        </w:tc>
        <w:tc>
          <w:tcPr>
            <w:tcW w:w="874" w:type="dxa"/>
            <w:vAlign w:val="top"/>
          </w:tcPr>
          <w:p w14:paraId="3CAC9B91">
            <w:pPr>
              <w:pStyle w:val="6"/>
              <w:spacing w:before="132" w:line="216" w:lineRule="auto"/>
              <w:ind w:left="326"/>
            </w:pPr>
            <w:r>
              <w:rPr>
                <w:spacing w:val="-1"/>
              </w:rPr>
              <w:t>++</w:t>
            </w:r>
          </w:p>
        </w:tc>
        <w:tc>
          <w:tcPr>
            <w:tcW w:w="875" w:type="dxa"/>
            <w:vAlign w:val="top"/>
          </w:tcPr>
          <w:p w14:paraId="3E6D7DBE">
            <w:pPr>
              <w:pStyle w:val="6"/>
              <w:spacing w:before="136" w:line="186" w:lineRule="auto"/>
              <w:ind w:left="399"/>
            </w:pPr>
            <w:r>
              <w:t>S</w:t>
            </w:r>
          </w:p>
        </w:tc>
        <w:tc>
          <w:tcPr>
            <w:tcW w:w="508" w:type="dxa"/>
            <w:tcBorders>
              <w:right w:val="single" w:color="000000" w:sz="12" w:space="0"/>
            </w:tcBorders>
            <w:vAlign w:val="top"/>
          </w:tcPr>
          <w:p w14:paraId="1DB67D4E">
            <w:pPr>
              <w:rPr>
                <w:rFonts w:ascii="Arial"/>
                <w:sz w:val="21"/>
              </w:rPr>
            </w:pPr>
          </w:p>
        </w:tc>
      </w:tr>
      <w:tr w14:paraId="44165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511" w:type="dxa"/>
            <w:tcBorders>
              <w:left w:val="single" w:color="000000" w:sz="12" w:space="0"/>
              <w:bottom w:val="single" w:color="000000" w:sz="12" w:space="0"/>
            </w:tcBorders>
            <w:vAlign w:val="top"/>
          </w:tcPr>
          <w:p w14:paraId="0BCC890B">
            <w:pPr>
              <w:pStyle w:val="6"/>
              <w:spacing w:before="138" w:line="186" w:lineRule="auto"/>
              <w:ind w:left="68"/>
            </w:pPr>
            <w:r>
              <w:rPr>
                <w:b/>
                <w:bCs/>
                <w:spacing w:val="-2"/>
              </w:rPr>
              <w:t>F17</w:t>
            </w:r>
          </w:p>
        </w:tc>
        <w:tc>
          <w:tcPr>
            <w:tcW w:w="1257" w:type="dxa"/>
            <w:tcBorders>
              <w:bottom w:val="single" w:color="000000" w:sz="12" w:space="0"/>
            </w:tcBorders>
            <w:vAlign w:val="top"/>
          </w:tcPr>
          <w:p w14:paraId="429390AA">
            <w:pPr>
              <w:spacing w:before="99" w:line="219" w:lineRule="auto"/>
              <w:ind w:left="216"/>
              <w:rPr>
                <w:rFonts w:ascii="宋体" w:hAnsi="宋体" w:eastAsia="宋体" w:cs="宋体"/>
                <w:sz w:val="21"/>
                <w:szCs w:val="21"/>
              </w:rPr>
            </w:pPr>
            <w:r>
              <w:rPr>
                <w:rFonts w:ascii="宋体" w:hAnsi="宋体" w:eastAsia="宋体" w:cs="宋体"/>
                <w:b/>
                <w:bCs/>
                <w:spacing w:val="-7"/>
                <w:sz w:val="21"/>
                <w:szCs w:val="21"/>
              </w:rPr>
              <w:t>山椒鸟科</w:t>
            </w:r>
          </w:p>
        </w:tc>
        <w:tc>
          <w:tcPr>
            <w:tcW w:w="2394" w:type="dxa"/>
            <w:tcBorders>
              <w:bottom w:val="single" w:color="000000" w:sz="12" w:space="0"/>
            </w:tcBorders>
            <w:vAlign w:val="top"/>
          </w:tcPr>
          <w:p w14:paraId="2DD0AC21">
            <w:pPr>
              <w:pStyle w:val="6"/>
              <w:spacing w:before="138" w:line="186" w:lineRule="auto"/>
              <w:ind w:left="465"/>
            </w:pPr>
            <w:r>
              <w:rPr>
                <w:b/>
                <w:bCs/>
                <w:spacing w:val="-1"/>
              </w:rPr>
              <w:t>Campephagidae</w:t>
            </w:r>
          </w:p>
        </w:tc>
        <w:tc>
          <w:tcPr>
            <w:tcW w:w="685" w:type="dxa"/>
            <w:tcBorders>
              <w:bottom w:val="single" w:color="000000" w:sz="12" w:space="0"/>
            </w:tcBorders>
            <w:vAlign w:val="top"/>
          </w:tcPr>
          <w:p w14:paraId="5C0309FD">
            <w:pPr>
              <w:rPr>
                <w:rFonts w:ascii="Arial"/>
                <w:sz w:val="21"/>
              </w:rPr>
            </w:pPr>
          </w:p>
        </w:tc>
        <w:tc>
          <w:tcPr>
            <w:tcW w:w="494" w:type="dxa"/>
            <w:tcBorders>
              <w:bottom w:val="single" w:color="000000" w:sz="12" w:space="0"/>
            </w:tcBorders>
            <w:vAlign w:val="top"/>
          </w:tcPr>
          <w:p w14:paraId="3CFC2A23">
            <w:pPr>
              <w:rPr>
                <w:rFonts w:ascii="Arial"/>
                <w:sz w:val="21"/>
              </w:rPr>
            </w:pPr>
          </w:p>
        </w:tc>
        <w:tc>
          <w:tcPr>
            <w:tcW w:w="875" w:type="dxa"/>
            <w:tcBorders>
              <w:bottom w:val="single" w:color="000000" w:sz="12" w:space="0"/>
            </w:tcBorders>
            <w:vAlign w:val="top"/>
          </w:tcPr>
          <w:p w14:paraId="41724B92">
            <w:pPr>
              <w:rPr>
                <w:rFonts w:ascii="Arial"/>
                <w:sz w:val="21"/>
              </w:rPr>
            </w:pPr>
          </w:p>
        </w:tc>
        <w:tc>
          <w:tcPr>
            <w:tcW w:w="874" w:type="dxa"/>
            <w:tcBorders>
              <w:bottom w:val="single" w:color="000000" w:sz="12" w:space="0"/>
            </w:tcBorders>
            <w:vAlign w:val="top"/>
          </w:tcPr>
          <w:p w14:paraId="435DA4B7">
            <w:pPr>
              <w:rPr>
                <w:rFonts w:ascii="Arial"/>
                <w:sz w:val="21"/>
              </w:rPr>
            </w:pPr>
          </w:p>
        </w:tc>
        <w:tc>
          <w:tcPr>
            <w:tcW w:w="875" w:type="dxa"/>
            <w:tcBorders>
              <w:bottom w:val="single" w:color="000000" w:sz="12" w:space="0"/>
            </w:tcBorders>
            <w:vAlign w:val="top"/>
          </w:tcPr>
          <w:p w14:paraId="12A5D43F">
            <w:pPr>
              <w:rPr>
                <w:rFonts w:ascii="Arial"/>
                <w:sz w:val="21"/>
              </w:rPr>
            </w:pPr>
          </w:p>
        </w:tc>
        <w:tc>
          <w:tcPr>
            <w:tcW w:w="508" w:type="dxa"/>
            <w:tcBorders>
              <w:bottom w:val="single" w:color="000000" w:sz="12" w:space="0"/>
              <w:right w:val="single" w:color="000000" w:sz="12" w:space="0"/>
            </w:tcBorders>
            <w:vAlign w:val="top"/>
          </w:tcPr>
          <w:p w14:paraId="175CE00E">
            <w:pPr>
              <w:rPr>
                <w:rFonts w:ascii="Arial"/>
                <w:sz w:val="21"/>
              </w:rPr>
            </w:pPr>
          </w:p>
        </w:tc>
      </w:tr>
    </w:tbl>
    <w:p w14:paraId="217866ED">
      <w:pPr>
        <w:rPr>
          <w:rFonts w:ascii="Arial"/>
          <w:sz w:val="21"/>
        </w:rPr>
      </w:pPr>
    </w:p>
    <w:p w14:paraId="24219FDA">
      <w:pPr>
        <w:rPr>
          <w:rFonts w:ascii="Arial" w:hAnsi="Arial" w:eastAsia="Arial" w:cs="Arial"/>
          <w:sz w:val="21"/>
          <w:szCs w:val="21"/>
        </w:rPr>
        <w:sectPr>
          <w:footerReference r:id="rId296" w:type="default"/>
          <w:pgSz w:w="11907" w:h="16839"/>
          <w:pgMar w:top="1376" w:right="1669" w:bottom="1061" w:left="1671" w:header="999" w:footer="861" w:gutter="0"/>
          <w:cols w:space="720" w:num="1"/>
        </w:sectPr>
      </w:pPr>
    </w:p>
    <w:p w14:paraId="7359C725">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57"/>
        <w:gridCol w:w="2394"/>
        <w:gridCol w:w="685"/>
        <w:gridCol w:w="494"/>
        <w:gridCol w:w="875"/>
        <w:gridCol w:w="874"/>
        <w:gridCol w:w="875"/>
        <w:gridCol w:w="508"/>
      </w:tblGrid>
      <w:tr w14:paraId="53F85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511" w:type="dxa"/>
            <w:tcBorders>
              <w:top w:val="single" w:color="000000" w:sz="12" w:space="0"/>
              <w:left w:val="single" w:color="000000" w:sz="12" w:space="0"/>
            </w:tcBorders>
            <w:textDirection w:val="tbRlV"/>
            <w:vAlign w:val="top"/>
          </w:tcPr>
          <w:p w14:paraId="0741DE91">
            <w:pPr>
              <w:spacing w:before="152" w:line="210" w:lineRule="auto"/>
              <w:ind w:left="58"/>
              <w:rPr>
                <w:rFonts w:ascii="宋体" w:hAnsi="宋体" w:eastAsia="宋体" w:cs="宋体"/>
                <w:sz w:val="21"/>
                <w:szCs w:val="21"/>
              </w:rPr>
            </w:pPr>
            <w:r>
              <w:rPr>
                <w:rFonts w:ascii="宋体" w:hAnsi="宋体" w:eastAsia="宋体" w:cs="宋体"/>
                <w:spacing w:val="31"/>
                <w:sz w:val="21"/>
                <w:szCs w:val="21"/>
              </w:rPr>
              <w:t>序号</w:t>
            </w:r>
          </w:p>
        </w:tc>
        <w:tc>
          <w:tcPr>
            <w:tcW w:w="1257" w:type="dxa"/>
            <w:tcBorders>
              <w:top w:val="single" w:color="000000" w:sz="12" w:space="0"/>
            </w:tcBorders>
            <w:vAlign w:val="top"/>
          </w:tcPr>
          <w:p w14:paraId="1695CD4A">
            <w:pPr>
              <w:spacing w:before="194" w:line="220" w:lineRule="auto"/>
              <w:ind w:left="323"/>
              <w:rPr>
                <w:rFonts w:ascii="宋体" w:hAnsi="宋体" w:eastAsia="宋体" w:cs="宋体"/>
                <w:sz w:val="21"/>
                <w:szCs w:val="21"/>
              </w:rPr>
            </w:pPr>
            <w:r>
              <w:rPr>
                <w:rFonts w:ascii="宋体" w:hAnsi="宋体" w:eastAsia="宋体" w:cs="宋体"/>
                <w:spacing w:val="-7"/>
                <w:sz w:val="21"/>
                <w:szCs w:val="21"/>
              </w:rPr>
              <w:t>中文名</w:t>
            </w:r>
          </w:p>
        </w:tc>
        <w:tc>
          <w:tcPr>
            <w:tcW w:w="2394" w:type="dxa"/>
            <w:tcBorders>
              <w:top w:val="single" w:color="000000" w:sz="12" w:space="0"/>
            </w:tcBorders>
            <w:vAlign w:val="top"/>
          </w:tcPr>
          <w:p w14:paraId="6D0E80EB">
            <w:pPr>
              <w:spacing w:before="193" w:line="221" w:lineRule="auto"/>
              <w:ind w:left="881"/>
              <w:rPr>
                <w:rFonts w:ascii="宋体" w:hAnsi="宋体" w:eastAsia="宋体" w:cs="宋体"/>
                <w:sz w:val="21"/>
                <w:szCs w:val="21"/>
              </w:rPr>
            </w:pPr>
            <w:r>
              <w:rPr>
                <w:rFonts w:ascii="宋体" w:hAnsi="宋体" w:eastAsia="宋体" w:cs="宋体"/>
                <w:spacing w:val="-3"/>
                <w:sz w:val="21"/>
                <w:szCs w:val="21"/>
              </w:rPr>
              <w:t>拉丁名</w:t>
            </w:r>
          </w:p>
        </w:tc>
        <w:tc>
          <w:tcPr>
            <w:tcW w:w="685" w:type="dxa"/>
            <w:tcBorders>
              <w:top w:val="single" w:color="000000" w:sz="12" w:space="0"/>
            </w:tcBorders>
            <w:vAlign w:val="top"/>
          </w:tcPr>
          <w:p w14:paraId="4F1D32BC">
            <w:pPr>
              <w:spacing w:before="59" w:line="236" w:lineRule="auto"/>
              <w:ind w:left="246" w:right="128" w:hanging="110"/>
              <w:rPr>
                <w:rFonts w:ascii="宋体" w:hAnsi="宋体" w:eastAsia="宋体" w:cs="宋体"/>
                <w:sz w:val="21"/>
                <w:szCs w:val="21"/>
              </w:rPr>
            </w:pPr>
            <w:r>
              <w:rPr>
                <w:rFonts w:ascii="宋体" w:hAnsi="宋体" w:eastAsia="宋体" w:cs="宋体"/>
                <w:spacing w:val="-5"/>
                <w:sz w:val="21"/>
                <w:szCs w:val="21"/>
              </w:rPr>
              <w:t>居留</w:t>
            </w:r>
            <w:r>
              <w:rPr>
                <w:rFonts w:ascii="宋体" w:hAnsi="宋体" w:eastAsia="宋体" w:cs="宋体"/>
                <w:sz w:val="21"/>
                <w:szCs w:val="21"/>
              </w:rPr>
              <w:t>型</w:t>
            </w:r>
          </w:p>
        </w:tc>
        <w:tc>
          <w:tcPr>
            <w:tcW w:w="494" w:type="dxa"/>
            <w:tcBorders>
              <w:top w:val="single" w:color="000000" w:sz="12" w:space="0"/>
            </w:tcBorders>
            <w:textDirection w:val="tbRlV"/>
            <w:vAlign w:val="top"/>
          </w:tcPr>
          <w:p w14:paraId="40BFFCF1">
            <w:pPr>
              <w:spacing w:before="135" w:line="206" w:lineRule="auto"/>
              <w:ind w:left="58"/>
              <w:rPr>
                <w:rFonts w:ascii="宋体" w:hAnsi="宋体" w:eastAsia="宋体" w:cs="宋体"/>
                <w:sz w:val="21"/>
                <w:szCs w:val="21"/>
              </w:rPr>
            </w:pPr>
            <w:r>
              <w:rPr>
                <w:rFonts w:ascii="宋体" w:hAnsi="宋体" w:eastAsia="宋体" w:cs="宋体"/>
                <w:spacing w:val="31"/>
                <w:sz w:val="21"/>
                <w:szCs w:val="21"/>
              </w:rPr>
              <w:t>区系</w:t>
            </w:r>
          </w:p>
        </w:tc>
        <w:tc>
          <w:tcPr>
            <w:tcW w:w="875" w:type="dxa"/>
            <w:tcBorders>
              <w:top w:val="single" w:color="000000" w:sz="12" w:space="0"/>
            </w:tcBorders>
            <w:vAlign w:val="top"/>
          </w:tcPr>
          <w:p w14:paraId="16ECB100">
            <w:pPr>
              <w:spacing w:before="59" w:line="236" w:lineRule="auto"/>
              <w:ind w:left="341" w:right="112"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874" w:type="dxa"/>
            <w:tcBorders>
              <w:top w:val="single" w:color="000000" w:sz="12" w:space="0"/>
            </w:tcBorders>
            <w:vAlign w:val="top"/>
          </w:tcPr>
          <w:p w14:paraId="0F4C3CF4">
            <w:pPr>
              <w:spacing w:before="59" w:line="236" w:lineRule="auto"/>
              <w:ind w:left="343" w:right="108" w:hanging="200"/>
              <w:rPr>
                <w:rFonts w:ascii="宋体" w:hAnsi="宋体" w:eastAsia="宋体" w:cs="宋体"/>
                <w:sz w:val="21"/>
                <w:szCs w:val="21"/>
              </w:rPr>
            </w:pPr>
            <w:r>
              <w:rPr>
                <w:rFonts w:ascii="宋体" w:hAnsi="宋体" w:eastAsia="宋体" w:cs="宋体"/>
                <w:spacing w:val="-6"/>
                <w:sz w:val="21"/>
                <w:szCs w:val="21"/>
              </w:rPr>
              <w:t>资源现</w:t>
            </w:r>
            <w:r>
              <w:rPr>
                <w:rFonts w:ascii="宋体" w:hAnsi="宋体" w:eastAsia="宋体" w:cs="宋体"/>
                <w:sz w:val="21"/>
                <w:szCs w:val="21"/>
              </w:rPr>
              <w:t>状</w:t>
            </w:r>
          </w:p>
        </w:tc>
        <w:tc>
          <w:tcPr>
            <w:tcW w:w="875" w:type="dxa"/>
            <w:tcBorders>
              <w:top w:val="single" w:color="000000" w:sz="12" w:space="0"/>
            </w:tcBorders>
            <w:vAlign w:val="top"/>
          </w:tcPr>
          <w:p w14:paraId="7C8D2844">
            <w:pPr>
              <w:spacing w:before="59" w:line="236" w:lineRule="auto"/>
              <w:ind w:left="346" w:right="105" w:hanging="200"/>
              <w:rPr>
                <w:rFonts w:ascii="宋体" w:hAnsi="宋体" w:eastAsia="宋体" w:cs="宋体"/>
                <w:sz w:val="21"/>
                <w:szCs w:val="21"/>
              </w:rPr>
            </w:pPr>
            <w:r>
              <w:rPr>
                <w:rFonts w:ascii="宋体" w:hAnsi="宋体" w:eastAsia="宋体" w:cs="宋体"/>
                <w:spacing w:val="-6"/>
                <w:sz w:val="21"/>
                <w:szCs w:val="21"/>
              </w:rPr>
              <w:t>资料来</w:t>
            </w:r>
            <w:r>
              <w:rPr>
                <w:rFonts w:ascii="宋体" w:hAnsi="宋体" w:eastAsia="宋体" w:cs="宋体"/>
                <w:sz w:val="21"/>
                <w:szCs w:val="21"/>
              </w:rPr>
              <w:t>源</w:t>
            </w:r>
          </w:p>
        </w:tc>
        <w:tc>
          <w:tcPr>
            <w:tcW w:w="508" w:type="dxa"/>
            <w:tcBorders>
              <w:top w:val="single" w:color="000000" w:sz="12" w:space="0"/>
              <w:right w:val="single" w:color="000000" w:sz="12" w:space="0"/>
            </w:tcBorders>
            <w:textDirection w:val="tbRlV"/>
            <w:vAlign w:val="top"/>
          </w:tcPr>
          <w:p w14:paraId="275723D7">
            <w:pPr>
              <w:spacing w:before="127" w:line="209" w:lineRule="auto"/>
              <w:ind w:left="58"/>
              <w:rPr>
                <w:rFonts w:ascii="宋体" w:hAnsi="宋体" w:eastAsia="宋体" w:cs="宋体"/>
                <w:sz w:val="21"/>
                <w:szCs w:val="21"/>
              </w:rPr>
            </w:pPr>
            <w:r>
              <w:rPr>
                <w:rFonts w:ascii="宋体" w:hAnsi="宋体" w:eastAsia="宋体" w:cs="宋体"/>
                <w:spacing w:val="31"/>
                <w:sz w:val="21"/>
                <w:szCs w:val="21"/>
              </w:rPr>
              <w:t>备注</w:t>
            </w:r>
          </w:p>
        </w:tc>
      </w:tr>
      <w:tr w14:paraId="6C16A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C0F968E">
            <w:pPr>
              <w:pStyle w:val="6"/>
              <w:spacing w:before="91" w:line="230" w:lineRule="auto"/>
              <w:ind w:left="137"/>
            </w:pPr>
            <w:r>
              <w:rPr>
                <w:spacing w:val="-3"/>
              </w:rPr>
              <w:t>37</w:t>
            </w:r>
          </w:p>
        </w:tc>
        <w:tc>
          <w:tcPr>
            <w:tcW w:w="1257" w:type="dxa"/>
            <w:vAlign w:val="top"/>
          </w:tcPr>
          <w:p w14:paraId="27487360">
            <w:pPr>
              <w:spacing w:before="58" w:line="220" w:lineRule="auto"/>
              <w:ind w:left="94"/>
              <w:rPr>
                <w:rFonts w:ascii="宋体" w:hAnsi="宋体" w:eastAsia="宋体" w:cs="宋体"/>
                <w:sz w:val="21"/>
                <w:szCs w:val="21"/>
              </w:rPr>
            </w:pPr>
            <w:r>
              <w:rPr>
                <w:rFonts w:ascii="宋体" w:hAnsi="宋体" w:eastAsia="宋体" w:cs="宋体"/>
                <w:spacing w:val="-2"/>
                <w:sz w:val="21"/>
                <w:szCs w:val="21"/>
              </w:rPr>
              <w:t>长尾山椒鸟</w:t>
            </w:r>
          </w:p>
        </w:tc>
        <w:tc>
          <w:tcPr>
            <w:tcW w:w="2394" w:type="dxa"/>
            <w:vAlign w:val="top"/>
          </w:tcPr>
          <w:p w14:paraId="39D05B46">
            <w:pPr>
              <w:pStyle w:val="6"/>
              <w:spacing w:before="91" w:line="190" w:lineRule="auto"/>
              <w:ind w:left="204"/>
            </w:pPr>
            <w:r>
              <w:rPr>
                <w:i/>
                <w:iCs/>
              </w:rPr>
              <w:t>Pericrocotus</w:t>
            </w:r>
            <w:r>
              <w:rPr>
                <w:i/>
                <w:iCs/>
                <w:spacing w:val="7"/>
              </w:rPr>
              <w:t xml:space="preserve"> </w:t>
            </w:r>
            <w:r>
              <w:rPr>
                <w:i/>
                <w:iCs/>
              </w:rPr>
              <w:t>ethologus</w:t>
            </w:r>
          </w:p>
        </w:tc>
        <w:tc>
          <w:tcPr>
            <w:tcW w:w="685" w:type="dxa"/>
            <w:vAlign w:val="top"/>
          </w:tcPr>
          <w:p w14:paraId="61041133">
            <w:pPr>
              <w:pStyle w:val="6"/>
              <w:spacing w:before="95" w:line="186" w:lineRule="auto"/>
              <w:ind w:left="292"/>
            </w:pPr>
            <w:r>
              <w:t>S</w:t>
            </w:r>
          </w:p>
        </w:tc>
        <w:tc>
          <w:tcPr>
            <w:tcW w:w="494" w:type="dxa"/>
            <w:vAlign w:val="top"/>
          </w:tcPr>
          <w:p w14:paraId="0FA65122">
            <w:pPr>
              <w:pStyle w:val="6"/>
              <w:spacing w:before="95" w:line="186" w:lineRule="auto"/>
              <w:ind w:left="175"/>
            </w:pPr>
            <w:r>
              <w:t>O</w:t>
            </w:r>
          </w:p>
        </w:tc>
        <w:tc>
          <w:tcPr>
            <w:tcW w:w="875" w:type="dxa"/>
            <w:vAlign w:val="top"/>
          </w:tcPr>
          <w:p w14:paraId="275FE5F7">
            <w:pPr>
              <w:rPr>
                <w:rFonts w:ascii="Arial"/>
                <w:sz w:val="21"/>
              </w:rPr>
            </w:pPr>
          </w:p>
        </w:tc>
        <w:tc>
          <w:tcPr>
            <w:tcW w:w="874" w:type="dxa"/>
            <w:vAlign w:val="top"/>
          </w:tcPr>
          <w:p w14:paraId="617A208F">
            <w:pPr>
              <w:pStyle w:val="6"/>
              <w:spacing w:before="91" w:line="230" w:lineRule="auto"/>
              <w:ind w:left="266"/>
            </w:pPr>
            <w:r>
              <w:rPr>
                <w:spacing w:val="-1"/>
              </w:rPr>
              <w:t>+++</w:t>
            </w:r>
          </w:p>
        </w:tc>
        <w:tc>
          <w:tcPr>
            <w:tcW w:w="875" w:type="dxa"/>
            <w:vAlign w:val="top"/>
          </w:tcPr>
          <w:p w14:paraId="3D72C6BE">
            <w:pPr>
              <w:pStyle w:val="6"/>
              <w:spacing w:before="95" w:line="186" w:lineRule="auto"/>
              <w:ind w:left="399"/>
            </w:pPr>
            <w:r>
              <w:t>S</w:t>
            </w:r>
          </w:p>
        </w:tc>
        <w:tc>
          <w:tcPr>
            <w:tcW w:w="508" w:type="dxa"/>
            <w:tcBorders>
              <w:right w:val="single" w:color="000000" w:sz="12" w:space="0"/>
            </w:tcBorders>
            <w:vAlign w:val="top"/>
          </w:tcPr>
          <w:p w14:paraId="5B1D2BFE">
            <w:pPr>
              <w:rPr>
                <w:rFonts w:ascii="Arial"/>
                <w:sz w:val="21"/>
              </w:rPr>
            </w:pPr>
          </w:p>
        </w:tc>
      </w:tr>
      <w:tr w14:paraId="38344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E062068">
            <w:pPr>
              <w:pStyle w:val="6"/>
              <w:spacing w:before="92" w:line="228" w:lineRule="auto"/>
              <w:ind w:left="137"/>
            </w:pPr>
            <w:r>
              <w:rPr>
                <w:spacing w:val="-3"/>
              </w:rPr>
              <w:t>38</w:t>
            </w:r>
          </w:p>
        </w:tc>
        <w:tc>
          <w:tcPr>
            <w:tcW w:w="1257" w:type="dxa"/>
            <w:vAlign w:val="top"/>
          </w:tcPr>
          <w:p w14:paraId="62BC26C5">
            <w:pPr>
              <w:spacing w:before="58" w:line="220" w:lineRule="auto"/>
              <w:ind w:left="96"/>
              <w:rPr>
                <w:rFonts w:ascii="宋体" w:hAnsi="宋体" w:eastAsia="宋体" w:cs="宋体"/>
                <w:sz w:val="21"/>
                <w:szCs w:val="21"/>
              </w:rPr>
            </w:pPr>
            <w:r>
              <w:rPr>
                <w:rFonts w:ascii="宋体" w:hAnsi="宋体" w:eastAsia="宋体" w:cs="宋体"/>
                <w:spacing w:val="-2"/>
                <w:sz w:val="21"/>
                <w:szCs w:val="21"/>
              </w:rPr>
              <w:t>短嘴山椒鸟</w:t>
            </w:r>
          </w:p>
        </w:tc>
        <w:tc>
          <w:tcPr>
            <w:tcW w:w="2394" w:type="dxa"/>
            <w:vAlign w:val="top"/>
          </w:tcPr>
          <w:p w14:paraId="2FBB9AE0">
            <w:pPr>
              <w:pStyle w:val="6"/>
              <w:spacing w:before="91" w:line="229" w:lineRule="auto"/>
              <w:ind w:left="122"/>
            </w:pPr>
            <w:r>
              <w:rPr>
                <w:i/>
                <w:iCs/>
              </w:rPr>
              <w:t>Pericrocotus</w:t>
            </w:r>
            <w:r>
              <w:rPr>
                <w:i/>
                <w:iCs/>
                <w:spacing w:val="7"/>
              </w:rPr>
              <w:t xml:space="preserve"> </w:t>
            </w:r>
            <w:r>
              <w:rPr>
                <w:i/>
                <w:iCs/>
              </w:rPr>
              <w:t>brevirostris</w:t>
            </w:r>
          </w:p>
        </w:tc>
        <w:tc>
          <w:tcPr>
            <w:tcW w:w="685" w:type="dxa"/>
            <w:vAlign w:val="top"/>
          </w:tcPr>
          <w:p w14:paraId="5867ABE4">
            <w:pPr>
              <w:pStyle w:val="6"/>
              <w:spacing w:before="95" w:line="186" w:lineRule="auto"/>
              <w:ind w:left="292"/>
            </w:pPr>
            <w:r>
              <w:t>S</w:t>
            </w:r>
          </w:p>
        </w:tc>
        <w:tc>
          <w:tcPr>
            <w:tcW w:w="494" w:type="dxa"/>
            <w:vAlign w:val="top"/>
          </w:tcPr>
          <w:p w14:paraId="508B226E">
            <w:pPr>
              <w:pStyle w:val="6"/>
              <w:spacing w:before="95" w:line="186" w:lineRule="auto"/>
              <w:ind w:left="175"/>
            </w:pPr>
            <w:r>
              <w:t>O</w:t>
            </w:r>
          </w:p>
        </w:tc>
        <w:tc>
          <w:tcPr>
            <w:tcW w:w="875" w:type="dxa"/>
            <w:vAlign w:val="top"/>
          </w:tcPr>
          <w:p w14:paraId="479FFFA3">
            <w:pPr>
              <w:rPr>
                <w:rFonts w:ascii="Arial"/>
                <w:sz w:val="21"/>
              </w:rPr>
            </w:pPr>
          </w:p>
        </w:tc>
        <w:tc>
          <w:tcPr>
            <w:tcW w:w="874" w:type="dxa"/>
            <w:vAlign w:val="top"/>
          </w:tcPr>
          <w:p w14:paraId="1C1A3B31">
            <w:pPr>
              <w:pStyle w:val="6"/>
              <w:spacing w:before="92" w:line="228" w:lineRule="auto"/>
              <w:ind w:left="266"/>
            </w:pPr>
            <w:r>
              <w:rPr>
                <w:spacing w:val="-1"/>
              </w:rPr>
              <w:t>+++</w:t>
            </w:r>
          </w:p>
        </w:tc>
        <w:tc>
          <w:tcPr>
            <w:tcW w:w="875" w:type="dxa"/>
            <w:vAlign w:val="top"/>
          </w:tcPr>
          <w:p w14:paraId="1607C1C5">
            <w:pPr>
              <w:pStyle w:val="6"/>
              <w:spacing w:before="95" w:line="186" w:lineRule="auto"/>
              <w:ind w:left="399"/>
            </w:pPr>
            <w:r>
              <w:t>S</w:t>
            </w:r>
          </w:p>
        </w:tc>
        <w:tc>
          <w:tcPr>
            <w:tcW w:w="508" w:type="dxa"/>
            <w:tcBorders>
              <w:right w:val="single" w:color="000000" w:sz="12" w:space="0"/>
            </w:tcBorders>
            <w:vAlign w:val="top"/>
          </w:tcPr>
          <w:p w14:paraId="28A2C8CD">
            <w:pPr>
              <w:rPr>
                <w:rFonts w:ascii="Arial"/>
                <w:sz w:val="21"/>
              </w:rPr>
            </w:pPr>
          </w:p>
        </w:tc>
      </w:tr>
      <w:tr w14:paraId="2C6E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686119CC">
            <w:pPr>
              <w:pStyle w:val="6"/>
              <w:spacing w:before="98" w:line="186" w:lineRule="auto"/>
              <w:ind w:left="68"/>
            </w:pPr>
            <w:r>
              <w:rPr>
                <w:b/>
                <w:bCs/>
                <w:spacing w:val="-2"/>
              </w:rPr>
              <w:t>F18</w:t>
            </w:r>
          </w:p>
        </w:tc>
        <w:tc>
          <w:tcPr>
            <w:tcW w:w="1257" w:type="dxa"/>
            <w:vAlign w:val="top"/>
          </w:tcPr>
          <w:p w14:paraId="560CCC6D">
            <w:pPr>
              <w:spacing w:before="59" w:line="219" w:lineRule="auto"/>
              <w:ind w:left="197"/>
              <w:rPr>
                <w:rFonts w:ascii="宋体" w:hAnsi="宋体" w:eastAsia="宋体" w:cs="宋体"/>
                <w:sz w:val="21"/>
                <w:szCs w:val="21"/>
              </w:rPr>
            </w:pPr>
            <w:r>
              <w:rPr>
                <w:rFonts w:ascii="宋体" w:hAnsi="宋体" w:eastAsia="宋体" w:cs="宋体"/>
                <w:b/>
                <w:bCs/>
                <w:spacing w:val="-4"/>
                <w:sz w:val="21"/>
                <w:szCs w:val="21"/>
              </w:rPr>
              <w:t>扇尾鹟科</w:t>
            </w:r>
          </w:p>
        </w:tc>
        <w:tc>
          <w:tcPr>
            <w:tcW w:w="2394" w:type="dxa"/>
            <w:vAlign w:val="top"/>
          </w:tcPr>
          <w:p w14:paraId="0A16F409">
            <w:pPr>
              <w:pStyle w:val="6"/>
              <w:spacing w:before="97" w:line="187" w:lineRule="auto"/>
              <w:ind w:left="588"/>
            </w:pPr>
            <w:r>
              <w:rPr>
                <w:b/>
                <w:bCs/>
                <w:spacing w:val="-1"/>
              </w:rPr>
              <w:t>Rhipiduridae</w:t>
            </w:r>
          </w:p>
        </w:tc>
        <w:tc>
          <w:tcPr>
            <w:tcW w:w="685" w:type="dxa"/>
            <w:vAlign w:val="top"/>
          </w:tcPr>
          <w:p w14:paraId="77871BF1">
            <w:pPr>
              <w:rPr>
                <w:rFonts w:ascii="Arial"/>
                <w:sz w:val="21"/>
              </w:rPr>
            </w:pPr>
          </w:p>
        </w:tc>
        <w:tc>
          <w:tcPr>
            <w:tcW w:w="494" w:type="dxa"/>
            <w:vAlign w:val="top"/>
          </w:tcPr>
          <w:p w14:paraId="13EF6144">
            <w:pPr>
              <w:rPr>
                <w:rFonts w:ascii="Arial"/>
                <w:sz w:val="21"/>
              </w:rPr>
            </w:pPr>
          </w:p>
        </w:tc>
        <w:tc>
          <w:tcPr>
            <w:tcW w:w="875" w:type="dxa"/>
            <w:vAlign w:val="top"/>
          </w:tcPr>
          <w:p w14:paraId="1EBB4F4B">
            <w:pPr>
              <w:rPr>
                <w:rFonts w:ascii="Arial"/>
                <w:sz w:val="21"/>
              </w:rPr>
            </w:pPr>
          </w:p>
        </w:tc>
        <w:tc>
          <w:tcPr>
            <w:tcW w:w="874" w:type="dxa"/>
            <w:vAlign w:val="top"/>
          </w:tcPr>
          <w:p w14:paraId="305307A2">
            <w:pPr>
              <w:rPr>
                <w:rFonts w:ascii="Arial"/>
                <w:sz w:val="21"/>
              </w:rPr>
            </w:pPr>
          </w:p>
        </w:tc>
        <w:tc>
          <w:tcPr>
            <w:tcW w:w="875" w:type="dxa"/>
            <w:vAlign w:val="top"/>
          </w:tcPr>
          <w:p w14:paraId="13A59179">
            <w:pPr>
              <w:rPr>
                <w:rFonts w:ascii="Arial"/>
                <w:sz w:val="21"/>
              </w:rPr>
            </w:pPr>
          </w:p>
        </w:tc>
        <w:tc>
          <w:tcPr>
            <w:tcW w:w="508" w:type="dxa"/>
            <w:tcBorders>
              <w:right w:val="single" w:color="000000" w:sz="12" w:space="0"/>
            </w:tcBorders>
            <w:vAlign w:val="top"/>
          </w:tcPr>
          <w:p w14:paraId="2B636B0D">
            <w:pPr>
              <w:rPr>
                <w:rFonts w:ascii="Arial"/>
                <w:sz w:val="21"/>
              </w:rPr>
            </w:pPr>
          </w:p>
        </w:tc>
      </w:tr>
      <w:tr w14:paraId="0C50E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A1F6B4F">
            <w:pPr>
              <w:pStyle w:val="6"/>
              <w:spacing w:before="92" w:line="228" w:lineRule="auto"/>
              <w:ind w:left="137"/>
            </w:pPr>
            <w:r>
              <w:rPr>
                <w:spacing w:val="-3"/>
              </w:rPr>
              <w:t>39</w:t>
            </w:r>
          </w:p>
        </w:tc>
        <w:tc>
          <w:tcPr>
            <w:tcW w:w="1257" w:type="dxa"/>
            <w:vAlign w:val="top"/>
          </w:tcPr>
          <w:p w14:paraId="340780AD">
            <w:pPr>
              <w:spacing w:before="58" w:line="221" w:lineRule="auto"/>
              <w:ind w:left="124"/>
              <w:rPr>
                <w:rFonts w:ascii="宋体" w:hAnsi="宋体" w:eastAsia="宋体" w:cs="宋体"/>
                <w:sz w:val="21"/>
                <w:szCs w:val="21"/>
              </w:rPr>
            </w:pPr>
            <w:r>
              <w:rPr>
                <w:rFonts w:ascii="宋体" w:hAnsi="宋体" w:eastAsia="宋体" w:cs="宋体"/>
                <w:spacing w:val="-7"/>
                <w:sz w:val="21"/>
                <w:szCs w:val="21"/>
              </w:rPr>
              <w:t>白喉扇尾鹟</w:t>
            </w:r>
          </w:p>
        </w:tc>
        <w:tc>
          <w:tcPr>
            <w:tcW w:w="2394" w:type="dxa"/>
            <w:vAlign w:val="top"/>
          </w:tcPr>
          <w:p w14:paraId="76E29773">
            <w:pPr>
              <w:pStyle w:val="6"/>
              <w:spacing w:before="92" w:line="190" w:lineRule="auto"/>
              <w:ind w:left="338"/>
            </w:pPr>
            <w:r>
              <w:rPr>
                <w:i/>
                <w:iCs/>
              </w:rPr>
              <w:t>Rhipidura</w:t>
            </w:r>
            <w:r>
              <w:rPr>
                <w:i/>
                <w:iCs/>
                <w:spacing w:val="5"/>
              </w:rPr>
              <w:t xml:space="preserve"> </w:t>
            </w:r>
            <w:r>
              <w:rPr>
                <w:i/>
                <w:iCs/>
              </w:rPr>
              <w:t>albicollis</w:t>
            </w:r>
          </w:p>
        </w:tc>
        <w:tc>
          <w:tcPr>
            <w:tcW w:w="685" w:type="dxa"/>
            <w:vAlign w:val="top"/>
          </w:tcPr>
          <w:p w14:paraId="22215BFC">
            <w:pPr>
              <w:pStyle w:val="6"/>
              <w:spacing w:before="99" w:line="183" w:lineRule="auto"/>
              <w:ind w:left="270"/>
            </w:pPr>
            <w:r>
              <w:t>R</w:t>
            </w:r>
          </w:p>
        </w:tc>
        <w:tc>
          <w:tcPr>
            <w:tcW w:w="494" w:type="dxa"/>
            <w:vAlign w:val="top"/>
          </w:tcPr>
          <w:p w14:paraId="50AC9551">
            <w:pPr>
              <w:pStyle w:val="6"/>
              <w:spacing w:before="96" w:line="186" w:lineRule="auto"/>
              <w:ind w:left="175"/>
            </w:pPr>
            <w:r>
              <w:t>O</w:t>
            </w:r>
          </w:p>
        </w:tc>
        <w:tc>
          <w:tcPr>
            <w:tcW w:w="875" w:type="dxa"/>
            <w:vAlign w:val="top"/>
          </w:tcPr>
          <w:p w14:paraId="14083FE2">
            <w:pPr>
              <w:rPr>
                <w:rFonts w:ascii="Arial"/>
                <w:sz w:val="21"/>
              </w:rPr>
            </w:pPr>
          </w:p>
        </w:tc>
        <w:tc>
          <w:tcPr>
            <w:tcW w:w="874" w:type="dxa"/>
            <w:vAlign w:val="top"/>
          </w:tcPr>
          <w:p w14:paraId="6C4F05EB">
            <w:pPr>
              <w:pStyle w:val="6"/>
              <w:spacing w:before="92" w:line="228" w:lineRule="auto"/>
              <w:ind w:left="207"/>
            </w:pPr>
            <w:r>
              <w:rPr>
                <w:spacing w:val="-1"/>
              </w:rPr>
              <w:t>++++</w:t>
            </w:r>
          </w:p>
        </w:tc>
        <w:tc>
          <w:tcPr>
            <w:tcW w:w="875" w:type="dxa"/>
            <w:vAlign w:val="top"/>
          </w:tcPr>
          <w:p w14:paraId="46E2FCFF">
            <w:pPr>
              <w:pStyle w:val="6"/>
              <w:spacing w:before="96" w:line="186" w:lineRule="auto"/>
              <w:ind w:left="399"/>
            </w:pPr>
            <w:r>
              <w:t>S</w:t>
            </w:r>
          </w:p>
        </w:tc>
        <w:tc>
          <w:tcPr>
            <w:tcW w:w="508" w:type="dxa"/>
            <w:tcBorders>
              <w:right w:val="single" w:color="000000" w:sz="12" w:space="0"/>
            </w:tcBorders>
            <w:vAlign w:val="top"/>
          </w:tcPr>
          <w:p w14:paraId="7C8CB2AA">
            <w:pPr>
              <w:rPr>
                <w:rFonts w:ascii="Arial"/>
                <w:sz w:val="21"/>
              </w:rPr>
            </w:pPr>
          </w:p>
        </w:tc>
      </w:tr>
      <w:tr w14:paraId="62ADE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3B4B4FA7">
            <w:pPr>
              <w:pStyle w:val="6"/>
              <w:spacing w:before="105" w:line="186" w:lineRule="auto"/>
              <w:ind w:left="68"/>
            </w:pPr>
            <w:r>
              <w:rPr>
                <w:b/>
                <w:bCs/>
                <w:spacing w:val="-2"/>
              </w:rPr>
              <w:t>F19</w:t>
            </w:r>
          </w:p>
        </w:tc>
        <w:tc>
          <w:tcPr>
            <w:tcW w:w="1257" w:type="dxa"/>
            <w:vAlign w:val="top"/>
          </w:tcPr>
          <w:p w14:paraId="5F7AAB9A">
            <w:pPr>
              <w:spacing w:before="67" w:line="219" w:lineRule="auto"/>
              <w:ind w:left="304"/>
              <w:rPr>
                <w:rFonts w:ascii="宋体" w:hAnsi="宋体" w:eastAsia="宋体" w:cs="宋体"/>
                <w:sz w:val="21"/>
                <w:szCs w:val="21"/>
              </w:rPr>
            </w:pPr>
            <w:r>
              <w:rPr>
                <w:rFonts w:ascii="宋体" w:hAnsi="宋体" w:eastAsia="宋体" w:cs="宋体"/>
                <w:b/>
                <w:bCs/>
                <w:spacing w:val="-4"/>
                <w:sz w:val="21"/>
                <w:szCs w:val="21"/>
              </w:rPr>
              <w:t>卷尾科</w:t>
            </w:r>
          </w:p>
        </w:tc>
        <w:tc>
          <w:tcPr>
            <w:tcW w:w="2394" w:type="dxa"/>
            <w:vAlign w:val="top"/>
          </w:tcPr>
          <w:p w14:paraId="6C700A1D">
            <w:pPr>
              <w:pStyle w:val="6"/>
              <w:spacing w:before="104" w:line="187" w:lineRule="auto"/>
              <w:ind w:left="698"/>
            </w:pPr>
            <w:r>
              <w:rPr>
                <w:b/>
                <w:bCs/>
                <w:spacing w:val="-1"/>
              </w:rPr>
              <w:t>Dicruridae</w:t>
            </w:r>
          </w:p>
        </w:tc>
        <w:tc>
          <w:tcPr>
            <w:tcW w:w="685" w:type="dxa"/>
            <w:vAlign w:val="top"/>
          </w:tcPr>
          <w:p w14:paraId="2930A7D2">
            <w:pPr>
              <w:rPr>
                <w:rFonts w:ascii="Arial"/>
                <w:sz w:val="21"/>
              </w:rPr>
            </w:pPr>
          </w:p>
        </w:tc>
        <w:tc>
          <w:tcPr>
            <w:tcW w:w="494" w:type="dxa"/>
            <w:vAlign w:val="top"/>
          </w:tcPr>
          <w:p w14:paraId="32B4CDE6">
            <w:pPr>
              <w:rPr>
                <w:rFonts w:ascii="Arial"/>
                <w:sz w:val="21"/>
              </w:rPr>
            </w:pPr>
          </w:p>
        </w:tc>
        <w:tc>
          <w:tcPr>
            <w:tcW w:w="875" w:type="dxa"/>
            <w:vAlign w:val="top"/>
          </w:tcPr>
          <w:p w14:paraId="1A48C4D9">
            <w:pPr>
              <w:rPr>
                <w:rFonts w:ascii="Arial"/>
                <w:sz w:val="21"/>
              </w:rPr>
            </w:pPr>
          </w:p>
        </w:tc>
        <w:tc>
          <w:tcPr>
            <w:tcW w:w="874" w:type="dxa"/>
            <w:vAlign w:val="top"/>
          </w:tcPr>
          <w:p w14:paraId="3E3FE7B6">
            <w:pPr>
              <w:rPr>
                <w:rFonts w:ascii="Arial"/>
                <w:sz w:val="21"/>
              </w:rPr>
            </w:pPr>
          </w:p>
        </w:tc>
        <w:tc>
          <w:tcPr>
            <w:tcW w:w="875" w:type="dxa"/>
            <w:vAlign w:val="top"/>
          </w:tcPr>
          <w:p w14:paraId="219CDDA6">
            <w:pPr>
              <w:rPr>
                <w:rFonts w:ascii="Arial"/>
                <w:sz w:val="21"/>
              </w:rPr>
            </w:pPr>
          </w:p>
        </w:tc>
        <w:tc>
          <w:tcPr>
            <w:tcW w:w="508" w:type="dxa"/>
            <w:tcBorders>
              <w:right w:val="single" w:color="000000" w:sz="12" w:space="0"/>
            </w:tcBorders>
            <w:vAlign w:val="top"/>
          </w:tcPr>
          <w:p w14:paraId="6F4D1A06">
            <w:pPr>
              <w:rPr>
                <w:rFonts w:ascii="Arial"/>
                <w:sz w:val="21"/>
              </w:rPr>
            </w:pPr>
          </w:p>
        </w:tc>
      </w:tr>
      <w:tr w14:paraId="034FA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23274F70">
            <w:pPr>
              <w:pStyle w:val="6"/>
              <w:spacing w:before="96" w:line="225" w:lineRule="auto"/>
              <w:ind w:left="131"/>
            </w:pPr>
            <w:r>
              <w:rPr>
                <w:spacing w:val="-1"/>
              </w:rPr>
              <w:t>40</w:t>
            </w:r>
          </w:p>
        </w:tc>
        <w:tc>
          <w:tcPr>
            <w:tcW w:w="1257" w:type="dxa"/>
            <w:vAlign w:val="top"/>
          </w:tcPr>
          <w:p w14:paraId="7957E1FA">
            <w:pPr>
              <w:spacing w:before="62" w:line="222" w:lineRule="auto"/>
              <w:ind w:left="309"/>
              <w:rPr>
                <w:rFonts w:ascii="宋体" w:hAnsi="宋体" w:eastAsia="宋体" w:cs="宋体"/>
                <w:sz w:val="21"/>
                <w:szCs w:val="21"/>
              </w:rPr>
            </w:pPr>
            <w:r>
              <w:rPr>
                <w:rFonts w:ascii="宋体" w:hAnsi="宋体" w:eastAsia="宋体" w:cs="宋体"/>
                <w:spacing w:val="-4"/>
                <w:sz w:val="21"/>
                <w:szCs w:val="21"/>
              </w:rPr>
              <w:t>黑卷尾</w:t>
            </w:r>
          </w:p>
        </w:tc>
        <w:tc>
          <w:tcPr>
            <w:tcW w:w="2394" w:type="dxa"/>
            <w:vAlign w:val="top"/>
          </w:tcPr>
          <w:p w14:paraId="62A9DF51">
            <w:pPr>
              <w:pStyle w:val="6"/>
              <w:spacing w:before="95" w:line="226" w:lineRule="auto"/>
              <w:ind w:left="232"/>
            </w:pPr>
            <w:r>
              <w:rPr>
                <w:i/>
                <w:iCs/>
              </w:rPr>
              <w:t>Dicrurus</w:t>
            </w:r>
            <w:r>
              <w:rPr>
                <w:i/>
                <w:iCs/>
                <w:spacing w:val="6"/>
              </w:rPr>
              <w:t xml:space="preserve"> </w:t>
            </w:r>
            <w:r>
              <w:rPr>
                <w:i/>
                <w:iCs/>
              </w:rPr>
              <w:t>macrocercus</w:t>
            </w:r>
          </w:p>
        </w:tc>
        <w:tc>
          <w:tcPr>
            <w:tcW w:w="685" w:type="dxa"/>
            <w:vAlign w:val="top"/>
          </w:tcPr>
          <w:p w14:paraId="26E45709">
            <w:pPr>
              <w:pStyle w:val="6"/>
              <w:spacing w:before="99" w:line="186" w:lineRule="auto"/>
              <w:ind w:left="292"/>
            </w:pPr>
            <w:r>
              <w:t>S</w:t>
            </w:r>
          </w:p>
        </w:tc>
        <w:tc>
          <w:tcPr>
            <w:tcW w:w="494" w:type="dxa"/>
            <w:vAlign w:val="top"/>
          </w:tcPr>
          <w:p w14:paraId="20BD5A18">
            <w:pPr>
              <w:pStyle w:val="6"/>
              <w:spacing w:before="99" w:line="186" w:lineRule="auto"/>
              <w:ind w:left="117"/>
            </w:pPr>
            <w:r>
              <w:rPr>
                <w:spacing w:val="-3"/>
              </w:rPr>
              <w:t>OP</w:t>
            </w:r>
          </w:p>
        </w:tc>
        <w:tc>
          <w:tcPr>
            <w:tcW w:w="875" w:type="dxa"/>
            <w:vAlign w:val="top"/>
          </w:tcPr>
          <w:p w14:paraId="304068D7">
            <w:pPr>
              <w:rPr>
                <w:rFonts w:ascii="Arial"/>
                <w:sz w:val="21"/>
              </w:rPr>
            </w:pPr>
          </w:p>
        </w:tc>
        <w:tc>
          <w:tcPr>
            <w:tcW w:w="874" w:type="dxa"/>
            <w:vAlign w:val="top"/>
          </w:tcPr>
          <w:p w14:paraId="0CC321DC">
            <w:pPr>
              <w:pStyle w:val="6"/>
              <w:spacing w:before="96" w:line="225" w:lineRule="auto"/>
              <w:ind w:left="326"/>
            </w:pPr>
            <w:r>
              <w:rPr>
                <w:spacing w:val="-1"/>
              </w:rPr>
              <w:t>++</w:t>
            </w:r>
          </w:p>
        </w:tc>
        <w:tc>
          <w:tcPr>
            <w:tcW w:w="875" w:type="dxa"/>
            <w:vAlign w:val="top"/>
          </w:tcPr>
          <w:p w14:paraId="66020D1B">
            <w:pPr>
              <w:pStyle w:val="6"/>
              <w:spacing w:before="99" w:line="186" w:lineRule="auto"/>
              <w:ind w:left="399"/>
            </w:pPr>
            <w:r>
              <w:t>S</w:t>
            </w:r>
          </w:p>
        </w:tc>
        <w:tc>
          <w:tcPr>
            <w:tcW w:w="508" w:type="dxa"/>
            <w:tcBorders>
              <w:right w:val="single" w:color="000000" w:sz="12" w:space="0"/>
            </w:tcBorders>
            <w:vAlign w:val="top"/>
          </w:tcPr>
          <w:p w14:paraId="493D186F">
            <w:pPr>
              <w:rPr>
                <w:rFonts w:ascii="Arial"/>
                <w:sz w:val="21"/>
              </w:rPr>
            </w:pPr>
          </w:p>
        </w:tc>
      </w:tr>
      <w:tr w14:paraId="5215C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2CB1842A">
            <w:pPr>
              <w:pStyle w:val="6"/>
              <w:spacing w:before="96" w:line="226" w:lineRule="auto"/>
              <w:ind w:left="131"/>
            </w:pPr>
            <w:r>
              <w:rPr>
                <w:spacing w:val="-1"/>
              </w:rPr>
              <w:t>41</w:t>
            </w:r>
          </w:p>
        </w:tc>
        <w:tc>
          <w:tcPr>
            <w:tcW w:w="1257" w:type="dxa"/>
            <w:vAlign w:val="top"/>
          </w:tcPr>
          <w:p w14:paraId="2D996FFB">
            <w:pPr>
              <w:spacing w:before="62" w:line="220" w:lineRule="auto"/>
              <w:ind w:left="305"/>
              <w:rPr>
                <w:rFonts w:ascii="宋体" w:hAnsi="宋体" w:eastAsia="宋体" w:cs="宋体"/>
                <w:sz w:val="21"/>
                <w:szCs w:val="21"/>
              </w:rPr>
            </w:pPr>
            <w:r>
              <w:rPr>
                <w:rFonts w:ascii="宋体" w:hAnsi="宋体" w:eastAsia="宋体" w:cs="宋体"/>
                <w:spacing w:val="-3"/>
                <w:sz w:val="21"/>
                <w:szCs w:val="21"/>
              </w:rPr>
              <w:t>灰卷尾</w:t>
            </w:r>
          </w:p>
        </w:tc>
        <w:tc>
          <w:tcPr>
            <w:tcW w:w="2394" w:type="dxa"/>
            <w:vAlign w:val="top"/>
          </w:tcPr>
          <w:p w14:paraId="3E6243AF">
            <w:pPr>
              <w:pStyle w:val="6"/>
              <w:spacing w:before="96" w:line="190" w:lineRule="auto"/>
              <w:ind w:left="249"/>
            </w:pPr>
            <w:r>
              <w:rPr>
                <w:i/>
                <w:iCs/>
              </w:rPr>
              <w:t>Dicrurus</w:t>
            </w:r>
            <w:r>
              <w:rPr>
                <w:i/>
                <w:iCs/>
                <w:spacing w:val="6"/>
              </w:rPr>
              <w:t xml:space="preserve"> </w:t>
            </w:r>
            <w:r>
              <w:rPr>
                <w:i/>
                <w:iCs/>
              </w:rPr>
              <w:t>leucophaeus</w:t>
            </w:r>
          </w:p>
        </w:tc>
        <w:tc>
          <w:tcPr>
            <w:tcW w:w="685" w:type="dxa"/>
            <w:vAlign w:val="top"/>
          </w:tcPr>
          <w:p w14:paraId="36C45E85">
            <w:pPr>
              <w:pStyle w:val="6"/>
              <w:spacing w:before="100" w:line="186" w:lineRule="auto"/>
              <w:ind w:left="292"/>
            </w:pPr>
            <w:r>
              <w:t>S</w:t>
            </w:r>
          </w:p>
        </w:tc>
        <w:tc>
          <w:tcPr>
            <w:tcW w:w="494" w:type="dxa"/>
            <w:vAlign w:val="top"/>
          </w:tcPr>
          <w:p w14:paraId="2AE091EF">
            <w:pPr>
              <w:pStyle w:val="6"/>
              <w:spacing w:before="100" w:line="186" w:lineRule="auto"/>
              <w:ind w:left="175"/>
            </w:pPr>
            <w:r>
              <w:t>O</w:t>
            </w:r>
          </w:p>
        </w:tc>
        <w:tc>
          <w:tcPr>
            <w:tcW w:w="875" w:type="dxa"/>
            <w:vAlign w:val="top"/>
          </w:tcPr>
          <w:p w14:paraId="55DB92FE">
            <w:pPr>
              <w:rPr>
                <w:rFonts w:ascii="Arial"/>
                <w:sz w:val="21"/>
              </w:rPr>
            </w:pPr>
          </w:p>
        </w:tc>
        <w:tc>
          <w:tcPr>
            <w:tcW w:w="874" w:type="dxa"/>
            <w:vAlign w:val="top"/>
          </w:tcPr>
          <w:p w14:paraId="77EA43E2">
            <w:pPr>
              <w:pStyle w:val="6"/>
              <w:spacing w:before="96" w:line="226" w:lineRule="auto"/>
              <w:ind w:left="326"/>
            </w:pPr>
            <w:r>
              <w:rPr>
                <w:spacing w:val="-1"/>
              </w:rPr>
              <w:t>++</w:t>
            </w:r>
          </w:p>
        </w:tc>
        <w:tc>
          <w:tcPr>
            <w:tcW w:w="875" w:type="dxa"/>
            <w:vAlign w:val="top"/>
          </w:tcPr>
          <w:p w14:paraId="78362DCE">
            <w:pPr>
              <w:pStyle w:val="6"/>
              <w:spacing w:before="100" w:line="186" w:lineRule="auto"/>
              <w:ind w:left="399"/>
            </w:pPr>
            <w:r>
              <w:t>S</w:t>
            </w:r>
          </w:p>
        </w:tc>
        <w:tc>
          <w:tcPr>
            <w:tcW w:w="508" w:type="dxa"/>
            <w:tcBorders>
              <w:right w:val="single" w:color="000000" w:sz="12" w:space="0"/>
            </w:tcBorders>
            <w:vAlign w:val="top"/>
          </w:tcPr>
          <w:p w14:paraId="142285B8">
            <w:pPr>
              <w:rPr>
                <w:rFonts w:ascii="Arial"/>
                <w:sz w:val="21"/>
              </w:rPr>
            </w:pPr>
          </w:p>
        </w:tc>
      </w:tr>
      <w:tr w14:paraId="24602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165B3B80">
            <w:pPr>
              <w:pStyle w:val="6"/>
              <w:spacing w:before="107" w:line="186" w:lineRule="auto"/>
              <w:ind w:left="68"/>
            </w:pPr>
            <w:r>
              <w:rPr>
                <w:b/>
                <w:bCs/>
                <w:spacing w:val="-2"/>
              </w:rPr>
              <w:t>F20</w:t>
            </w:r>
          </w:p>
        </w:tc>
        <w:tc>
          <w:tcPr>
            <w:tcW w:w="1257" w:type="dxa"/>
            <w:vAlign w:val="top"/>
          </w:tcPr>
          <w:p w14:paraId="3EB4FAE2">
            <w:pPr>
              <w:spacing w:before="68" w:line="219" w:lineRule="auto"/>
              <w:ind w:left="302"/>
              <w:rPr>
                <w:rFonts w:ascii="宋体" w:hAnsi="宋体" w:eastAsia="宋体" w:cs="宋体"/>
                <w:sz w:val="21"/>
                <w:szCs w:val="21"/>
              </w:rPr>
            </w:pPr>
            <w:r>
              <w:rPr>
                <w:rFonts w:ascii="宋体" w:hAnsi="宋体" w:eastAsia="宋体" w:cs="宋体"/>
                <w:b/>
                <w:bCs/>
                <w:spacing w:val="-4"/>
                <w:sz w:val="21"/>
                <w:szCs w:val="21"/>
              </w:rPr>
              <w:t>伯劳科</w:t>
            </w:r>
          </w:p>
        </w:tc>
        <w:tc>
          <w:tcPr>
            <w:tcW w:w="2394" w:type="dxa"/>
            <w:vAlign w:val="top"/>
          </w:tcPr>
          <w:p w14:paraId="5E61B8A4">
            <w:pPr>
              <w:pStyle w:val="6"/>
              <w:spacing w:before="107" w:line="186" w:lineRule="auto"/>
              <w:ind w:left="793"/>
            </w:pPr>
            <w:r>
              <w:rPr>
                <w:b/>
                <w:bCs/>
                <w:spacing w:val="-1"/>
              </w:rPr>
              <w:t>Laniidae</w:t>
            </w:r>
          </w:p>
        </w:tc>
        <w:tc>
          <w:tcPr>
            <w:tcW w:w="685" w:type="dxa"/>
            <w:vAlign w:val="top"/>
          </w:tcPr>
          <w:p w14:paraId="5FE5EC01">
            <w:pPr>
              <w:rPr>
                <w:rFonts w:ascii="Arial"/>
                <w:sz w:val="21"/>
              </w:rPr>
            </w:pPr>
          </w:p>
        </w:tc>
        <w:tc>
          <w:tcPr>
            <w:tcW w:w="494" w:type="dxa"/>
            <w:vAlign w:val="top"/>
          </w:tcPr>
          <w:p w14:paraId="0FD31756">
            <w:pPr>
              <w:rPr>
                <w:rFonts w:ascii="Arial"/>
                <w:sz w:val="21"/>
              </w:rPr>
            </w:pPr>
          </w:p>
        </w:tc>
        <w:tc>
          <w:tcPr>
            <w:tcW w:w="875" w:type="dxa"/>
            <w:vAlign w:val="top"/>
          </w:tcPr>
          <w:p w14:paraId="011D05AC">
            <w:pPr>
              <w:rPr>
                <w:rFonts w:ascii="Arial"/>
                <w:sz w:val="21"/>
              </w:rPr>
            </w:pPr>
          </w:p>
        </w:tc>
        <w:tc>
          <w:tcPr>
            <w:tcW w:w="874" w:type="dxa"/>
            <w:vAlign w:val="top"/>
          </w:tcPr>
          <w:p w14:paraId="62E0C238">
            <w:pPr>
              <w:rPr>
                <w:rFonts w:ascii="Arial"/>
                <w:sz w:val="21"/>
              </w:rPr>
            </w:pPr>
          </w:p>
        </w:tc>
        <w:tc>
          <w:tcPr>
            <w:tcW w:w="875" w:type="dxa"/>
            <w:vAlign w:val="top"/>
          </w:tcPr>
          <w:p w14:paraId="1DD5B468">
            <w:pPr>
              <w:rPr>
                <w:rFonts w:ascii="Arial"/>
                <w:sz w:val="21"/>
              </w:rPr>
            </w:pPr>
          </w:p>
        </w:tc>
        <w:tc>
          <w:tcPr>
            <w:tcW w:w="508" w:type="dxa"/>
            <w:tcBorders>
              <w:right w:val="single" w:color="000000" w:sz="12" w:space="0"/>
            </w:tcBorders>
            <w:vAlign w:val="top"/>
          </w:tcPr>
          <w:p w14:paraId="141EE0A1">
            <w:pPr>
              <w:rPr>
                <w:rFonts w:ascii="Arial"/>
                <w:sz w:val="21"/>
              </w:rPr>
            </w:pPr>
          </w:p>
        </w:tc>
      </w:tr>
      <w:tr w14:paraId="05475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3BFA4F0">
            <w:pPr>
              <w:pStyle w:val="6"/>
              <w:spacing w:before="97" w:line="224" w:lineRule="auto"/>
              <w:ind w:left="131"/>
            </w:pPr>
            <w:r>
              <w:rPr>
                <w:spacing w:val="-1"/>
              </w:rPr>
              <w:t>42</w:t>
            </w:r>
          </w:p>
        </w:tc>
        <w:tc>
          <w:tcPr>
            <w:tcW w:w="1257" w:type="dxa"/>
            <w:vAlign w:val="top"/>
          </w:tcPr>
          <w:p w14:paraId="69950D0E">
            <w:pPr>
              <w:spacing w:before="64" w:line="219" w:lineRule="auto"/>
              <w:ind w:left="198"/>
              <w:rPr>
                <w:rFonts w:ascii="宋体" w:hAnsi="宋体" w:eastAsia="宋体" w:cs="宋体"/>
                <w:sz w:val="21"/>
                <w:szCs w:val="21"/>
              </w:rPr>
            </w:pPr>
            <w:r>
              <w:rPr>
                <w:rFonts w:ascii="宋体" w:hAnsi="宋体" w:eastAsia="宋体" w:cs="宋体"/>
                <w:spacing w:val="-2"/>
                <w:sz w:val="21"/>
                <w:szCs w:val="21"/>
              </w:rPr>
              <w:t>棕背伯劳</w:t>
            </w:r>
          </w:p>
        </w:tc>
        <w:tc>
          <w:tcPr>
            <w:tcW w:w="2394" w:type="dxa"/>
            <w:vAlign w:val="top"/>
          </w:tcPr>
          <w:p w14:paraId="1DD6D150">
            <w:pPr>
              <w:pStyle w:val="6"/>
              <w:spacing w:before="97" w:line="224" w:lineRule="auto"/>
              <w:ind w:left="575"/>
            </w:pPr>
            <w:r>
              <w:rPr>
                <w:i/>
                <w:iCs/>
              </w:rPr>
              <w:t>Lanius</w:t>
            </w:r>
            <w:r>
              <w:rPr>
                <w:i/>
                <w:iCs/>
                <w:spacing w:val="6"/>
              </w:rPr>
              <w:t xml:space="preserve"> </w:t>
            </w:r>
            <w:r>
              <w:rPr>
                <w:i/>
                <w:iCs/>
              </w:rPr>
              <w:t>schach</w:t>
            </w:r>
          </w:p>
        </w:tc>
        <w:tc>
          <w:tcPr>
            <w:tcW w:w="685" w:type="dxa"/>
            <w:vAlign w:val="top"/>
          </w:tcPr>
          <w:p w14:paraId="6EDC8508">
            <w:pPr>
              <w:pStyle w:val="6"/>
              <w:spacing w:before="104" w:line="183" w:lineRule="auto"/>
              <w:ind w:left="270"/>
            </w:pPr>
            <w:r>
              <w:t>R</w:t>
            </w:r>
          </w:p>
        </w:tc>
        <w:tc>
          <w:tcPr>
            <w:tcW w:w="494" w:type="dxa"/>
            <w:vAlign w:val="top"/>
          </w:tcPr>
          <w:p w14:paraId="506C66DD">
            <w:pPr>
              <w:pStyle w:val="6"/>
              <w:spacing w:before="101" w:line="186" w:lineRule="auto"/>
              <w:ind w:left="175"/>
            </w:pPr>
            <w:r>
              <w:t>O</w:t>
            </w:r>
          </w:p>
        </w:tc>
        <w:tc>
          <w:tcPr>
            <w:tcW w:w="875" w:type="dxa"/>
            <w:vAlign w:val="top"/>
          </w:tcPr>
          <w:p w14:paraId="627F7446">
            <w:pPr>
              <w:rPr>
                <w:rFonts w:ascii="Arial"/>
                <w:sz w:val="21"/>
              </w:rPr>
            </w:pPr>
          </w:p>
        </w:tc>
        <w:tc>
          <w:tcPr>
            <w:tcW w:w="874" w:type="dxa"/>
            <w:vAlign w:val="top"/>
          </w:tcPr>
          <w:p w14:paraId="248EA26A">
            <w:pPr>
              <w:pStyle w:val="6"/>
              <w:spacing w:before="97" w:line="224" w:lineRule="auto"/>
              <w:ind w:left="266"/>
            </w:pPr>
            <w:r>
              <w:rPr>
                <w:spacing w:val="-1"/>
              </w:rPr>
              <w:t>+++</w:t>
            </w:r>
          </w:p>
        </w:tc>
        <w:tc>
          <w:tcPr>
            <w:tcW w:w="875" w:type="dxa"/>
            <w:vAlign w:val="top"/>
          </w:tcPr>
          <w:p w14:paraId="0BD34EF6">
            <w:pPr>
              <w:pStyle w:val="6"/>
              <w:spacing w:before="101" w:line="186" w:lineRule="auto"/>
              <w:ind w:left="399"/>
            </w:pPr>
            <w:r>
              <w:t>S</w:t>
            </w:r>
          </w:p>
        </w:tc>
        <w:tc>
          <w:tcPr>
            <w:tcW w:w="508" w:type="dxa"/>
            <w:tcBorders>
              <w:right w:val="single" w:color="000000" w:sz="12" w:space="0"/>
            </w:tcBorders>
            <w:vAlign w:val="top"/>
          </w:tcPr>
          <w:p w14:paraId="75EBF282">
            <w:pPr>
              <w:rPr>
                <w:rFonts w:ascii="Arial"/>
                <w:sz w:val="21"/>
              </w:rPr>
            </w:pPr>
          </w:p>
        </w:tc>
      </w:tr>
      <w:tr w14:paraId="5EA8F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38F636D">
            <w:pPr>
              <w:pStyle w:val="6"/>
              <w:spacing w:before="98" w:line="222" w:lineRule="auto"/>
              <w:ind w:left="131"/>
            </w:pPr>
            <w:r>
              <w:rPr>
                <w:spacing w:val="-1"/>
              </w:rPr>
              <w:t>43</w:t>
            </w:r>
          </w:p>
        </w:tc>
        <w:tc>
          <w:tcPr>
            <w:tcW w:w="1257" w:type="dxa"/>
            <w:vAlign w:val="top"/>
          </w:tcPr>
          <w:p w14:paraId="08E20A21">
            <w:pPr>
              <w:spacing w:before="64" w:line="219" w:lineRule="auto"/>
              <w:ind w:left="201"/>
              <w:rPr>
                <w:rFonts w:ascii="宋体" w:hAnsi="宋体" w:eastAsia="宋体" w:cs="宋体"/>
                <w:sz w:val="21"/>
                <w:szCs w:val="21"/>
              </w:rPr>
            </w:pPr>
            <w:r>
              <w:rPr>
                <w:rFonts w:ascii="宋体" w:hAnsi="宋体" w:eastAsia="宋体" w:cs="宋体"/>
                <w:spacing w:val="-2"/>
                <w:sz w:val="21"/>
                <w:szCs w:val="21"/>
              </w:rPr>
              <w:t>灰背伯劳</w:t>
            </w:r>
          </w:p>
        </w:tc>
        <w:tc>
          <w:tcPr>
            <w:tcW w:w="2394" w:type="dxa"/>
            <w:vAlign w:val="top"/>
          </w:tcPr>
          <w:p w14:paraId="66A311F7">
            <w:pPr>
              <w:pStyle w:val="6"/>
              <w:spacing w:before="98" w:line="190" w:lineRule="auto"/>
              <w:ind w:left="365"/>
            </w:pPr>
            <w:r>
              <w:rPr>
                <w:i/>
                <w:iCs/>
              </w:rPr>
              <w:t>Lanius</w:t>
            </w:r>
            <w:r>
              <w:rPr>
                <w:i/>
                <w:iCs/>
                <w:spacing w:val="6"/>
              </w:rPr>
              <w:t xml:space="preserve"> </w:t>
            </w:r>
            <w:r>
              <w:rPr>
                <w:i/>
                <w:iCs/>
              </w:rPr>
              <w:t>tephronotus</w:t>
            </w:r>
          </w:p>
        </w:tc>
        <w:tc>
          <w:tcPr>
            <w:tcW w:w="685" w:type="dxa"/>
            <w:vAlign w:val="top"/>
          </w:tcPr>
          <w:p w14:paraId="1B61E74C">
            <w:pPr>
              <w:pStyle w:val="6"/>
              <w:spacing w:before="105" w:line="183" w:lineRule="auto"/>
              <w:ind w:left="270"/>
            </w:pPr>
            <w:r>
              <w:t>R</w:t>
            </w:r>
          </w:p>
        </w:tc>
        <w:tc>
          <w:tcPr>
            <w:tcW w:w="494" w:type="dxa"/>
            <w:vAlign w:val="top"/>
          </w:tcPr>
          <w:p w14:paraId="64B9A539">
            <w:pPr>
              <w:pStyle w:val="6"/>
              <w:spacing w:before="101" w:line="186" w:lineRule="auto"/>
              <w:ind w:left="117"/>
            </w:pPr>
            <w:r>
              <w:rPr>
                <w:spacing w:val="-3"/>
              </w:rPr>
              <w:t>OP</w:t>
            </w:r>
          </w:p>
        </w:tc>
        <w:tc>
          <w:tcPr>
            <w:tcW w:w="875" w:type="dxa"/>
            <w:vAlign w:val="top"/>
          </w:tcPr>
          <w:p w14:paraId="3A386454">
            <w:pPr>
              <w:rPr>
                <w:rFonts w:ascii="Arial"/>
                <w:sz w:val="21"/>
              </w:rPr>
            </w:pPr>
          </w:p>
        </w:tc>
        <w:tc>
          <w:tcPr>
            <w:tcW w:w="874" w:type="dxa"/>
            <w:vAlign w:val="top"/>
          </w:tcPr>
          <w:p w14:paraId="0634C664">
            <w:pPr>
              <w:pStyle w:val="6"/>
              <w:spacing w:before="98" w:line="222" w:lineRule="auto"/>
              <w:ind w:left="326"/>
            </w:pPr>
            <w:r>
              <w:rPr>
                <w:spacing w:val="-1"/>
              </w:rPr>
              <w:t>++</w:t>
            </w:r>
          </w:p>
        </w:tc>
        <w:tc>
          <w:tcPr>
            <w:tcW w:w="875" w:type="dxa"/>
            <w:vAlign w:val="top"/>
          </w:tcPr>
          <w:p w14:paraId="09B1E382">
            <w:pPr>
              <w:pStyle w:val="6"/>
              <w:spacing w:before="101" w:line="186" w:lineRule="auto"/>
              <w:ind w:left="399"/>
            </w:pPr>
            <w:r>
              <w:t>S</w:t>
            </w:r>
          </w:p>
        </w:tc>
        <w:tc>
          <w:tcPr>
            <w:tcW w:w="508" w:type="dxa"/>
            <w:tcBorders>
              <w:right w:val="single" w:color="000000" w:sz="12" w:space="0"/>
            </w:tcBorders>
            <w:vAlign w:val="top"/>
          </w:tcPr>
          <w:p w14:paraId="395FC834">
            <w:pPr>
              <w:rPr>
                <w:rFonts w:ascii="Arial"/>
                <w:sz w:val="21"/>
              </w:rPr>
            </w:pPr>
          </w:p>
        </w:tc>
      </w:tr>
      <w:tr w14:paraId="075F7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4098A74">
            <w:pPr>
              <w:pStyle w:val="6"/>
              <w:spacing w:before="110" w:line="186" w:lineRule="auto"/>
              <w:ind w:left="68"/>
            </w:pPr>
            <w:r>
              <w:rPr>
                <w:b/>
                <w:bCs/>
                <w:spacing w:val="-2"/>
              </w:rPr>
              <w:t>F21</w:t>
            </w:r>
          </w:p>
        </w:tc>
        <w:tc>
          <w:tcPr>
            <w:tcW w:w="1257" w:type="dxa"/>
            <w:vAlign w:val="top"/>
          </w:tcPr>
          <w:p w14:paraId="512EA522">
            <w:pPr>
              <w:spacing w:before="72" w:line="219" w:lineRule="auto"/>
              <w:ind w:left="408"/>
              <w:rPr>
                <w:rFonts w:ascii="宋体" w:hAnsi="宋体" w:eastAsia="宋体" w:cs="宋体"/>
                <w:sz w:val="21"/>
                <w:szCs w:val="21"/>
              </w:rPr>
            </w:pPr>
            <w:r>
              <w:rPr>
                <w:rFonts w:ascii="宋体" w:hAnsi="宋体" w:eastAsia="宋体" w:cs="宋体"/>
                <w:b/>
                <w:bCs/>
                <w:spacing w:val="-4"/>
                <w:sz w:val="21"/>
                <w:szCs w:val="21"/>
              </w:rPr>
              <w:t>鸦科</w:t>
            </w:r>
          </w:p>
        </w:tc>
        <w:tc>
          <w:tcPr>
            <w:tcW w:w="2394" w:type="dxa"/>
            <w:vAlign w:val="top"/>
          </w:tcPr>
          <w:p w14:paraId="3E007264">
            <w:pPr>
              <w:pStyle w:val="6"/>
              <w:spacing w:before="110" w:line="186" w:lineRule="auto"/>
              <w:ind w:left="780"/>
            </w:pPr>
            <w:r>
              <w:rPr>
                <w:b/>
                <w:bCs/>
                <w:spacing w:val="-2"/>
              </w:rPr>
              <w:t>Corvidae</w:t>
            </w:r>
          </w:p>
        </w:tc>
        <w:tc>
          <w:tcPr>
            <w:tcW w:w="685" w:type="dxa"/>
            <w:vAlign w:val="top"/>
          </w:tcPr>
          <w:p w14:paraId="3F73E7C1">
            <w:pPr>
              <w:rPr>
                <w:rFonts w:ascii="Arial"/>
                <w:sz w:val="21"/>
              </w:rPr>
            </w:pPr>
          </w:p>
        </w:tc>
        <w:tc>
          <w:tcPr>
            <w:tcW w:w="494" w:type="dxa"/>
            <w:vAlign w:val="top"/>
          </w:tcPr>
          <w:p w14:paraId="61BC0A42">
            <w:pPr>
              <w:rPr>
                <w:rFonts w:ascii="Arial"/>
                <w:sz w:val="21"/>
              </w:rPr>
            </w:pPr>
          </w:p>
        </w:tc>
        <w:tc>
          <w:tcPr>
            <w:tcW w:w="875" w:type="dxa"/>
            <w:vAlign w:val="top"/>
          </w:tcPr>
          <w:p w14:paraId="73C64A73">
            <w:pPr>
              <w:rPr>
                <w:rFonts w:ascii="Arial"/>
                <w:sz w:val="21"/>
              </w:rPr>
            </w:pPr>
          </w:p>
        </w:tc>
        <w:tc>
          <w:tcPr>
            <w:tcW w:w="874" w:type="dxa"/>
            <w:vAlign w:val="top"/>
          </w:tcPr>
          <w:p w14:paraId="290AA756">
            <w:pPr>
              <w:rPr>
                <w:rFonts w:ascii="Arial"/>
                <w:sz w:val="21"/>
              </w:rPr>
            </w:pPr>
          </w:p>
        </w:tc>
        <w:tc>
          <w:tcPr>
            <w:tcW w:w="875" w:type="dxa"/>
            <w:vAlign w:val="top"/>
          </w:tcPr>
          <w:p w14:paraId="59B21A68">
            <w:pPr>
              <w:rPr>
                <w:rFonts w:ascii="Arial"/>
                <w:sz w:val="21"/>
              </w:rPr>
            </w:pPr>
          </w:p>
        </w:tc>
        <w:tc>
          <w:tcPr>
            <w:tcW w:w="508" w:type="dxa"/>
            <w:tcBorders>
              <w:right w:val="single" w:color="000000" w:sz="12" w:space="0"/>
            </w:tcBorders>
            <w:vAlign w:val="top"/>
          </w:tcPr>
          <w:p w14:paraId="39B1A5E7">
            <w:pPr>
              <w:rPr>
                <w:rFonts w:ascii="Arial"/>
                <w:sz w:val="21"/>
              </w:rPr>
            </w:pPr>
          </w:p>
        </w:tc>
      </w:tr>
      <w:tr w14:paraId="6077B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B1EA530">
            <w:pPr>
              <w:pStyle w:val="6"/>
              <w:spacing w:before="99" w:line="221" w:lineRule="auto"/>
              <w:ind w:left="131"/>
            </w:pPr>
            <w:r>
              <w:rPr>
                <w:spacing w:val="-1"/>
              </w:rPr>
              <w:t>44</w:t>
            </w:r>
          </w:p>
        </w:tc>
        <w:tc>
          <w:tcPr>
            <w:tcW w:w="1257" w:type="dxa"/>
            <w:vAlign w:val="top"/>
          </w:tcPr>
          <w:p w14:paraId="6A2A358C">
            <w:pPr>
              <w:spacing w:before="65" w:line="220" w:lineRule="auto"/>
              <w:ind w:left="410"/>
              <w:rPr>
                <w:rFonts w:ascii="宋体" w:hAnsi="宋体" w:eastAsia="宋体" w:cs="宋体"/>
                <w:sz w:val="21"/>
                <w:szCs w:val="21"/>
              </w:rPr>
            </w:pPr>
            <w:r>
              <w:rPr>
                <w:rFonts w:ascii="宋体" w:hAnsi="宋体" w:eastAsia="宋体" w:cs="宋体"/>
                <w:spacing w:val="-3"/>
                <w:sz w:val="21"/>
                <w:szCs w:val="21"/>
              </w:rPr>
              <w:t>松鸦</w:t>
            </w:r>
          </w:p>
        </w:tc>
        <w:tc>
          <w:tcPr>
            <w:tcW w:w="2394" w:type="dxa"/>
            <w:vAlign w:val="top"/>
          </w:tcPr>
          <w:p w14:paraId="15F16B08">
            <w:pPr>
              <w:pStyle w:val="6"/>
              <w:spacing w:before="99" w:line="190" w:lineRule="auto"/>
              <w:ind w:left="333"/>
            </w:pPr>
            <w:r>
              <w:rPr>
                <w:i/>
                <w:iCs/>
                <w:spacing w:val="-1"/>
              </w:rPr>
              <w:t>Garrulus glandarius</w:t>
            </w:r>
          </w:p>
        </w:tc>
        <w:tc>
          <w:tcPr>
            <w:tcW w:w="685" w:type="dxa"/>
            <w:vAlign w:val="top"/>
          </w:tcPr>
          <w:p w14:paraId="7774F307">
            <w:pPr>
              <w:pStyle w:val="6"/>
              <w:spacing w:before="106" w:line="183" w:lineRule="auto"/>
              <w:ind w:left="270"/>
            </w:pPr>
            <w:r>
              <w:t>R</w:t>
            </w:r>
          </w:p>
        </w:tc>
        <w:tc>
          <w:tcPr>
            <w:tcW w:w="494" w:type="dxa"/>
            <w:vAlign w:val="top"/>
          </w:tcPr>
          <w:p w14:paraId="4DD155F0">
            <w:pPr>
              <w:pStyle w:val="6"/>
              <w:spacing w:before="103" w:line="186" w:lineRule="auto"/>
              <w:ind w:left="117"/>
            </w:pPr>
            <w:r>
              <w:rPr>
                <w:spacing w:val="-3"/>
              </w:rPr>
              <w:t>OP</w:t>
            </w:r>
          </w:p>
        </w:tc>
        <w:tc>
          <w:tcPr>
            <w:tcW w:w="875" w:type="dxa"/>
            <w:vAlign w:val="top"/>
          </w:tcPr>
          <w:p w14:paraId="4D97AEE5">
            <w:pPr>
              <w:rPr>
                <w:rFonts w:ascii="Arial"/>
                <w:sz w:val="21"/>
              </w:rPr>
            </w:pPr>
          </w:p>
        </w:tc>
        <w:tc>
          <w:tcPr>
            <w:tcW w:w="874" w:type="dxa"/>
            <w:vAlign w:val="top"/>
          </w:tcPr>
          <w:p w14:paraId="6073AC31">
            <w:pPr>
              <w:pStyle w:val="6"/>
              <w:spacing w:before="99" w:line="221" w:lineRule="auto"/>
              <w:ind w:left="326"/>
            </w:pPr>
            <w:r>
              <w:rPr>
                <w:spacing w:val="-1"/>
              </w:rPr>
              <w:t>++</w:t>
            </w:r>
          </w:p>
        </w:tc>
        <w:tc>
          <w:tcPr>
            <w:tcW w:w="875" w:type="dxa"/>
            <w:vAlign w:val="top"/>
          </w:tcPr>
          <w:p w14:paraId="0D76B4BE">
            <w:pPr>
              <w:pStyle w:val="6"/>
              <w:spacing w:before="103" w:line="186" w:lineRule="auto"/>
              <w:ind w:left="381"/>
            </w:pPr>
            <w:r>
              <w:t>C</w:t>
            </w:r>
          </w:p>
        </w:tc>
        <w:tc>
          <w:tcPr>
            <w:tcW w:w="508" w:type="dxa"/>
            <w:tcBorders>
              <w:right w:val="single" w:color="000000" w:sz="12" w:space="0"/>
            </w:tcBorders>
            <w:vAlign w:val="top"/>
          </w:tcPr>
          <w:p w14:paraId="3FF0C771">
            <w:pPr>
              <w:rPr>
                <w:rFonts w:ascii="Arial"/>
                <w:sz w:val="21"/>
              </w:rPr>
            </w:pPr>
          </w:p>
        </w:tc>
      </w:tr>
      <w:tr w14:paraId="75597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2A61B4AC">
            <w:pPr>
              <w:pStyle w:val="6"/>
              <w:spacing w:before="100" w:line="221" w:lineRule="auto"/>
              <w:ind w:left="131"/>
            </w:pPr>
            <w:r>
              <w:rPr>
                <w:spacing w:val="-1"/>
              </w:rPr>
              <w:t>45</w:t>
            </w:r>
          </w:p>
        </w:tc>
        <w:tc>
          <w:tcPr>
            <w:tcW w:w="1257" w:type="dxa"/>
            <w:vAlign w:val="top"/>
          </w:tcPr>
          <w:p w14:paraId="112E0A9D">
            <w:pPr>
              <w:spacing w:before="66" w:line="220" w:lineRule="auto"/>
              <w:ind w:left="204"/>
              <w:rPr>
                <w:rFonts w:ascii="宋体" w:hAnsi="宋体" w:eastAsia="宋体" w:cs="宋体"/>
                <w:sz w:val="21"/>
                <w:szCs w:val="21"/>
              </w:rPr>
            </w:pPr>
            <w:r>
              <w:rPr>
                <w:rFonts w:ascii="宋体" w:hAnsi="宋体" w:eastAsia="宋体" w:cs="宋体"/>
                <w:spacing w:val="-3"/>
                <w:sz w:val="21"/>
                <w:szCs w:val="21"/>
              </w:rPr>
              <w:t>红嘴蓝鹊</w:t>
            </w:r>
          </w:p>
        </w:tc>
        <w:tc>
          <w:tcPr>
            <w:tcW w:w="2394" w:type="dxa"/>
            <w:vAlign w:val="top"/>
          </w:tcPr>
          <w:p w14:paraId="60BD8751">
            <w:pPr>
              <w:pStyle w:val="6"/>
              <w:spacing w:before="100" w:line="190" w:lineRule="auto"/>
              <w:ind w:left="149"/>
            </w:pPr>
            <w:r>
              <w:rPr>
                <w:i/>
                <w:iCs/>
                <w:spacing w:val="-1"/>
              </w:rPr>
              <w:t>Urocissa erythrorhyncha</w:t>
            </w:r>
          </w:p>
        </w:tc>
        <w:tc>
          <w:tcPr>
            <w:tcW w:w="685" w:type="dxa"/>
            <w:vAlign w:val="top"/>
          </w:tcPr>
          <w:p w14:paraId="429A74FA">
            <w:pPr>
              <w:pStyle w:val="6"/>
              <w:spacing w:before="107" w:line="183" w:lineRule="auto"/>
              <w:ind w:left="270"/>
            </w:pPr>
            <w:r>
              <w:t>R</w:t>
            </w:r>
          </w:p>
        </w:tc>
        <w:tc>
          <w:tcPr>
            <w:tcW w:w="494" w:type="dxa"/>
            <w:vAlign w:val="top"/>
          </w:tcPr>
          <w:p w14:paraId="0A74E1A3">
            <w:pPr>
              <w:pStyle w:val="6"/>
              <w:spacing w:before="104" w:line="186" w:lineRule="auto"/>
              <w:ind w:left="117"/>
            </w:pPr>
            <w:r>
              <w:rPr>
                <w:spacing w:val="-3"/>
              </w:rPr>
              <w:t>OP</w:t>
            </w:r>
          </w:p>
        </w:tc>
        <w:tc>
          <w:tcPr>
            <w:tcW w:w="875" w:type="dxa"/>
            <w:vAlign w:val="top"/>
          </w:tcPr>
          <w:p w14:paraId="174E732B">
            <w:pPr>
              <w:rPr>
                <w:rFonts w:ascii="Arial"/>
                <w:sz w:val="21"/>
              </w:rPr>
            </w:pPr>
          </w:p>
        </w:tc>
        <w:tc>
          <w:tcPr>
            <w:tcW w:w="874" w:type="dxa"/>
            <w:vAlign w:val="top"/>
          </w:tcPr>
          <w:p w14:paraId="799E2F04">
            <w:pPr>
              <w:pStyle w:val="6"/>
              <w:spacing w:before="100" w:line="221" w:lineRule="auto"/>
              <w:ind w:left="207"/>
            </w:pPr>
            <w:r>
              <w:rPr>
                <w:spacing w:val="-1"/>
              </w:rPr>
              <w:t>++++</w:t>
            </w:r>
          </w:p>
        </w:tc>
        <w:tc>
          <w:tcPr>
            <w:tcW w:w="875" w:type="dxa"/>
            <w:vAlign w:val="top"/>
          </w:tcPr>
          <w:p w14:paraId="2173ECF6">
            <w:pPr>
              <w:pStyle w:val="6"/>
              <w:spacing w:before="105"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6E043279">
            <w:pPr>
              <w:rPr>
                <w:rFonts w:ascii="Arial"/>
                <w:sz w:val="21"/>
              </w:rPr>
            </w:pPr>
          </w:p>
        </w:tc>
      </w:tr>
      <w:tr w14:paraId="02E2F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7D0FB0CA">
            <w:pPr>
              <w:pStyle w:val="6"/>
              <w:spacing w:before="101" w:line="221" w:lineRule="auto"/>
              <w:ind w:left="131"/>
            </w:pPr>
            <w:r>
              <w:rPr>
                <w:spacing w:val="-1"/>
              </w:rPr>
              <w:t>46</w:t>
            </w:r>
          </w:p>
        </w:tc>
        <w:tc>
          <w:tcPr>
            <w:tcW w:w="1257" w:type="dxa"/>
            <w:vAlign w:val="top"/>
          </w:tcPr>
          <w:p w14:paraId="60EFEDEF">
            <w:pPr>
              <w:spacing w:before="67" w:line="220" w:lineRule="auto"/>
              <w:ind w:left="412"/>
              <w:rPr>
                <w:rFonts w:ascii="宋体" w:hAnsi="宋体" w:eastAsia="宋体" w:cs="宋体"/>
                <w:sz w:val="21"/>
                <w:szCs w:val="21"/>
              </w:rPr>
            </w:pPr>
            <w:r>
              <w:rPr>
                <w:rFonts w:ascii="宋体" w:hAnsi="宋体" w:eastAsia="宋体" w:cs="宋体"/>
                <w:spacing w:val="-3"/>
                <w:sz w:val="21"/>
                <w:szCs w:val="21"/>
              </w:rPr>
              <w:t>喜鹊</w:t>
            </w:r>
          </w:p>
        </w:tc>
        <w:tc>
          <w:tcPr>
            <w:tcW w:w="2394" w:type="dxa"/>
            <w:vAlign w:val="top"/>
          </w:tcPr>
          <w:p w14:paraId="394B71B2">
            <w:pPr>
              <w:pStyle w:val="6"/>
              <w:spacing w:before="101" w:line="190" w:lineRule="auto"/>
              <w:ind w:left="807"/>
            </w:pPr>
            <w:r>
              <w:rPr>
                <w:spacing w:val="-1"/>
              </w:rPr>
              <w:t>Pica pica</w:t>
            </w:r>
          </w:p>
        </w:tc>
        <w:tc>
          <w:tcPr>
            <w:tcW w:w="685" w:type="dxa"/>
            <w:vAlign w:val="top"/>
          </w:tcPr>
          <w:p w14:paraId="1C562B2A">
            <w:pPr>
              <w:pStyle w:val="6"/>
              <w:spacing w:before="108" w:line="183" w:lineRule="auto"/>
              <w:ind w:left="270"/>
            </w:pPr>
            <w:r>
              <w:t>R</w:t>
            </w:r>
          </w:p>
        </w:tc>
        <w:tc>
          <w:tcPr>
            <w:tcW w:w="494" w:type="dxa"/>
            <w:vAlign w:val="top"/>
          </w:tcPr>
          <w:p w14:paraId="0CEF094A">
            <w:pPr>
              <w:pStyle w:val="6"/>
              <w:spacing w:before="104" w:line="186" w:lineRule="auto"/>
              <w:ind w:left="117"/>
            </w:pPr>
            <w:r>
              <w:rPr>
                <w:spacing w:val="-3"/>
              </w:rPr>
              <w:t>OP</w:t>
            </w:r>
          </w:p>
        </w:tc>
        <w:tc>
          <w:tcPr>
            <w:tcW w:w="875" w:type="dxa"/>
            <w:vAlign w:val="top"/>
          </w:tcPr>
          <w:p w14:paraId="67BE5E65">
            <w:pPr>
              <w:rPr>
                <w:rFonts w:ascii="Arial"/>
                <w:sz w:val="21"/>
              </w:rPr>
            </w:pPr>
          </w:p>
        </w:tc>
        <w:tc>
          <w:tcPr>
            <w:tcW w:w="874" w:type="dxa"/>
            <w:vAlign w:val="top"/>
          </w:tcPr>
          <w:p w14:paraId="61BE0613">
            <w:pPr>
              <w:pStyle w:val="6"/>
              <w:spacing w:before="101" w:line="221" w:lineRule="auto"/>
              <w:ind w:left="207"/>
            </w:pPr>
            <w:r>
              <w:rPr>
                <w:spacing w:val="-1"/>
              </w:rPr>
              <w:t>++++</w:t>
            </w:r>
          </w:p>
        </w:tc>
        <w:tc>
          <w:tcPr>
            <w:tcW w:w="875" w:type="dxa"/>
            <w:vAlign w:val="top"/>
          </w:tcPr>
          <w:p w14:paraId="73C9ED13">
            <w:pPr>
              <w:pStyle w:val="6"/>
              <w:spacing w:before="104" w:line="186" w:lineRule="auto"/>
              <w:ind w:left="399"/>
            </w:pPr>
            <w:r>
              <w:t>S</w:t>
            </w:r>
          </w:p>
        </w:tc>
        <w:tc>
          <w:tcPr>
            <w:tcW w:w="508" w:type="dxa"/>
            <w:tcBorders>
              <w:right w:val="single" w:color="000000" w:sz="12" w:space="0"/>
            </w:tcBorders>
            <w:vAlign w:val="top"/>
          </w:tcPr>
          <w:p w14:paraId="56030F4C">
            <w:pPr>
              <w:rPr>
                <w:rFonts w:ascii="Arial"/>
                <w:sz w:val="21"/>
              </w:rPr>
            </w:pPr>
          </w:p>
        </w:tc>
      </w:tr>
      <w:tr w14:paraId="2E27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2AC44D96">
            <w:pPr>
              <w:pStyle w:val="6"/>
              <w:spacing w:before="111" w:line="186" w:lineRule="auto"/>
              <w:ind w:left="68"/>
            </w:pPr>
            <w:r>
              <w:rPr>
                <w:b/>
                <w:bCs/>
                <w:spacing w:val="-2"/>
              </w:rPr>
              <w:t>F22</w:t>
            </w:r>
          </w:p>
        </w:tc>
        <w:tc>
          <w:tcPr>
            <w:tcW w:w="1257" w:type="dxa"/>
            <w:vAlign w:val="top"/>
          </w:tcPr>
          <w:p w14:paraId="5B452D03">
            <w:pPr>
              <w:spacing w:before="73" w:line="219" w:lineRule="auto"/>
              <w:ind w:left="303"/>
              <w:rPr>
                <w:rFonts w:ascii="宋体" w:hAnsi="宋体" w:eastAsia="宋体" w:cs="宋体"/>
                <w:sz w:val="21"/>
                <w:szCs w:val="21"/>
              </w:rPr>
            </w:pPr>
            <w:r>
              <w:rPr>
                <w:rFonts w:ascii="宋体" w:hAnsi="宋体" w:eastAsia="宋体" w:cs="宋体"/>
                <w:b/>
                <w:bCs/>
                <w:spacing w:val="-4"/>
                <w:sz w:val="21"/>
                <w:szCs w:val="21"/>
              </w:rPr>
              <w:t>玉鹟科</w:t>
            </w:r>
          </w:p>
        </w:tc>
        <w:tc>
          <w:tcPr>
            <w:tcW w:w="2394" w:type="dxa"/>
            <w:vAlign w:val="top"/>
          </w:tcPr>
          <w:p w14:paraId="50996631">
            <w:pPr>
              <w:pStyle w:val="6"/>
              <w:spacing w:before="111" w:line="186" w:lineRule="auto"/>
              <w:ind w:left="607"/>
            </w:pPr>
            <w:r>
              <w:rPr>
                <w:b/>
                <w:bCs/>
                <w:spacing w:val="-1"/>
              </w:rPr>
              <w:t>Stenostiridae</w:t>
            </w:r>
          </w:p>
        </w:tc>
        <w:tc>
          <w:tcPr>
            <w:tcW w:w="685" w:type="dxa"/>
            <w:vAlign w:val="top"/>
          </w:tcPr>
          <w:p w14:paraId="1FC83BE7">
            <w:pPr>
              <w:rPr>
                <w:rFonts w:ascii="Arial"/>
                <w:sz w:val="21"/>
              </w:rPr>
            </w:pPr>
          </w:p>
        </w:tc>
        <w:tc>
          <w:tcPr>
            <w:tcW w:w="494" w:type="dxa"/>
            <w:vAlign w:val="top"/>
          </w:tcPr>
          <w:p w14:paraId="20F0BD0B">
            <w:pPr>
              <w:rPr>
                <w:rFonts w:ascii="Arial"/>
                <w:sz w:val="21"/>
              </w:rPr>
            </w:pPr>
          </w:p>
        </w:tc>
        <w:tc>
          <w:tcPr>
            <w:tcW w:w="875" w:type="dxa"/>
            <w:vAlign w:val="top"/>
          </w:tcPr>
          <w:p w14:paraId="7B9FBC35">
            <w:pPr>
              <w:rPr>
                <w:rFonts w:ascii="Arial"/>
                <w:sz w:val="21"/>
              </w:rPr>
            </w:pPr>
          </w:p>
        </w:tc>
        <w:tc>
          <w:tcPr>
            <w:tcW w:w="874" w:type="dxa"/>
            <w:vAlign w:val="top"/>
          </w:tcPr>
          <w:p w14:paraId="086F8327">
            <w:pPr>
              <w:rPr>
                <w:rFonts w:ascii="Arial"/>
                <w:sz w:val="21"/>
              </w:rPr>
            </w:pPr>
          </w:p>
        </w:tc>
        <w:tc>
          <w:tcPr>
            <w:tcW w:w="875" w:type="dxa"/>
            <w:vAlign w:val="top"/>
          </w:tcPr>
          <w:p w14:paraId="3F37819C">
            <w:pPr>
              <w:rPr>
                <w:rFonts w:ascii="Arial"/>
                <w:sz w:val="21"/>
              </w:rPr>
            </w:pPr>
          </w:p>
        </w:tc>
        <w:tc>
          <w:tcPr>
            <w:tcW w:w="508" w:type="dxa"/>
            <w:tcBorders>
              <w:right w:val="single" w:color="000000" w:sz="12" w:space="0"/>
            </w:tcBorders>
            <w:vAlign w:val="top"/>
          </w:tcPr>
          <w:p w14:paraId="43476BAB">
            <w:pPr>
              <w:rPr>
                <w:rFonts w:ascii="Arial"/>
                <w:sz w:val="21"/>
              </w:rPr>
            </w:pPr>
          </w:p>
        </w:tc>
      </w:tr>
      <w:tr w14:paraId="2F674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1546CFF">
            <w:pPr>
              <w:pStyle w:val="6"/>
              <w:spacing w:before="102" w:line="218" w:lineRule="auto"/>
              <w:ind w:left="131"/>
            </w:pPr>
            <w:r>
              <w:rPr>
                <w:spacing w:val="-1"/>
              </w:rPr>
              <w:t>47</w:t>
            </w:r>
          </w:p>
        </w:tc>
        <w:tc>
          <w:tcPr>
            <w:tcW w:w="1257" w:type="dxa"/>
            <w:vAlign w:val="top"/>
          </w:tcPr>
          <w:p w14:paraId="10CBA190">
            <w:pPr>
              <w:spacing w:before="69" w:line="221" w:lineRule="auto"/>
              <w:ind w:left="304"/>
              <w:rPr>
                <w:rFonts w:ascii="宋体" w:hAnsi="宋体" w:eastAsia="宋体" w:cs="宋体"/>
                <w:sz w:val="21"/>
                <w:szCs w:val="21"/>
              </w:rPr>
            </w:pPr>
            <w:r>
              <w:rPr>
                <w:rFonts w:ascii="宋体" w:hAnsi="宋体" w:eastAsia="宋体" w:cs="宋体"/>
                <w:spacing w:val="-3"/>
                <w:sz w:val="21"/>
                <w:szCs w:val="21"/>
              </w:rPr>
              <w:t>方尾鹟</w:t>
            </w:r>
          </w:p>
        </w:tc>
        <w:tc>
          <w:tcPr>
            <w:tcW w:w="2394" w:type="dxa"/>
            <w:vAlign w:val="top"/>
          </w:tcPr>
          <w:p w14:paraId="4A16F351">
            <w:pPr>
              <w:pStyle w:val="6"/>
              <w:spacing w:before="102" w:line="190" w:lineRule="auto"/>
              <w:ind w:left="228"/>
            </w:pPr>
            <w:r>
              <w:rPr>
                <w:i/>
                <w:iCs/>
                <w:spacing w:val="-1"/>
              </w:rPr>
              <w:t>Culicicapa ceylonensis</w:t>
            </w:r>
          </w:p>
        </w:tc>
        <w:tc>
          <w:tcPr>
            <w:tcW w:w="685" w:type="dxa"/>
            <w:vAlign w:val="top"/>
          </w:tcPr>
          <w:p w14:paraId="4342E5F1">
            <w:pPr>
              <w:pStyle w:val="6"/>
              <w:spacing w:before="106" w:line="186" w:lineRule="auto"/>
              <w:ind w:left="292"/>
            </w:pPr>
            <w:r>
              <w:t>S</w:t>
            </w:r>
          </w:p>
        </w:tc>
        <w:tc>
          <w:tcPr>
            <w:tcW w:w="494" w:type="dxa"/>
            <w:vAlign w:val="top"/>
          </w:tcPr>
          <w:p w14:paraId="0433CF12">
            <w:pPr>
              <w:pStyle w:val="6"/>
              <w:spacing w:before="106" w:line="186" w:lineRule="auto"/>
              <w:ind w:left="175"/>
            </w:pPr>
            <w:r>
              <w:t>O</w:t>
            </w:r>
          </w:p>
        </w:tc>
        <w:tc>
          <w:tcPr>
            <w:tcW w:w="875" w:type="dxa"/>
            <w:vAlign w:val="top"/>
          </w:tcPr>
          <w:p w14:paraId="5E3EF82B">
            <w:pPr>
              <w:rPr>
                <w:rFonts w:ascii="Arial"/>
                <w:sz w:val="21"/>
              </w:rPr>
            </w:pPr>
          </w:p>
        </w:tc>
        <w:tc>
          <w:tcPr>
            <w:tcW w:w="874" w:type="dxa"/>
            <w:vAlign w:val="top"/>
          </w:tcPr>
          <w:p w14:paraId="51A001CA">
            <w:pPr>
              <w:pStyle w:val="6"/>
              <w:spacing w:before="102" w:line="218" w:lineRule="auto"/>
              <w:ind w:left="266"/>
            </w:pPr>
            <w:r>
              <w:rPr>
                <w:spacing w:val="-1"/>
              </w:rPr>
              <w:t>+++</w:t>
            </w:r>
          </w:p>
        </w:tc>
        <w:tc>
          <w:tcPr>
            <w:tcW w:w="875" w:type="dxa"/>
            <w:vAlign w:val="top"/>
          </w:tcPr>
          <w:p w14:paraId="5989DFF0">
            <w:pPr>
              <w:pStyle w:val="6"/>
              <w:spacing w:before="106" w:line="186" w:lineRule="auto"/>
              <w:ind w:left="399"/>
            </w:pPr>
            <w:r>
              <w:t>S</w:t>
            </w:r>
          </w:p>
        </w:tc>
        <w:tc>
          <w:tcPr>
            <w:tcW w:w="508" w:type="dxa"/>
            <w:tcBorders>
              <w:right w:val="single" w:color="000000" w:sz="12" w:space="0"/>
            </w:tcBorders>
            <w:vAlign w:val="top"/>
          </w:tcPr>
          <w:p w14:paraId="6DF05990">
            <w:pPr>
              <w:rPr>
                <w:rFonts w:ascii="Arial"/>
                <w:sz w:val="21"/>
              </w:rPr>
            </w:pPr>
          </w:p>
        </w:tc>
      </w:tr>
      <w:tr w14:paraId="5DE56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5EDB7D8A">
            <w:pPr>
              <w:pStyle w:val="6"/>
              <w:spacing w:before="114" w:line="186" w:lineRule="auto"/>
              <w:ind w:left="68"/>
            </w:pPr>
            <w:r>
              <w:rPr>
                <w:b/>
                <w:bCs/>
                <w:spacing w:val="-2"/>
              </w:rPr>
              <w:t>F23</w:t>
            </w:r>
          </w:p>
        </w:tc>
        <w:tc>
          <w:tcPr>
            <w:tcW w:w="1257" w:type="dxa"/>
            <w:vAlign w:val="top"/>
          </w:tcPr>
          <w:p w14:paraId="3D0EABE3">
            <w:pPr>
              <w:spacing w:before="76" w:line="219" w:lineRule="auto"/>
              <w:ind w:left="321"/>
              <w:rPr>
                <w:rFonts w:ascii="宋体" w:hAnsi="宋体" w:eastAsia="宋体" w:cs="宋体"/>
                <w:sz w:val="21"/>
                <w:szCs w:val="21"/>
              </w:rPr>
            </w:pPr>
            <w:r>
              <w:rPr>
                <w:rFonts w:ascii="宋体" w:hAnsi="宋体" w:eastAsia="宋体" w:cs="宋体"/>
                <w:b/>
                <w:bCs/>
                <w:spacing w:val="-8"/>
                <w:sz w:val="21"/>
                <w:szCs w:val="21"/>
              </w:rPr>
              <w:t>山雀科</w:t>
            </w:r>
          </w:p>
        </w:tc>
        <w:tc>
          <w:tcPr>
            <w:tcW w:w="2394" w:type="dxa"/>
            <w:vAlign w:val="top"/>
          </w:tcPr>
          <w:p w14:paraId="38D22253">
            <w:pPr>
              <w:pStyle w:val="6"/>
              <w:spacing w:before="114" w:line="220" w:lineRule="auto"/>
              <w:ind w:left="841"/>
            </w:pPr>
            <w:r>
              <w:rPr>
                <w:b/>
                <w:bCs/>
                <w:spacing w:val="-1"/>
              </w:rPr>
              <w:t>Paridae</w:t>
            </w:r>
          </w:p>
        </w:tc>
        <w:tc>
          <w:tcPr>
            <w:tcW w:w="685" w:type="dxa"/>
            <w:vAlign w:val="top"/>
          </w:tcPr>
          <w:p w14:paraId="6E8084CF">
            <w:pPr>
              <w:rPr>
                <w:rFonts w:ascii="Arial"/>
                <w:sz w:val="21"/>
              </w:rPr>
            </w:pPr>
          </w:p>
        </w:tc>
        <w:tc>
          <w:tcPr>
            <w:tcW w:w="494" w:type="dxa"/>
            <w:vAlign w:val="top"/>
          </w:tcPr>
          <w:p w14:paraId="5C0D9E63">
            <w:pPr>
              <w:rPr>
                <w:rFonts w:ascii="Arial"/>
                <w:sz w:val="21"/>
              </w:rPr>
            </w:pPr>
          </w:p>
        </w:tc>
        <w:tc>
          <w:tcPr>
            <w:tcW w:w="875" w:type="dxa"/>
            <w:vAlign w:val="top"/>
          </w:tcPr>
          <w:p w14:paraId="4196389C">
            <w:pPr>
              <w:rPr>
                <w:rFonts w:ascii="Arial"/>
                <w:sz w:val="21"/>
              </w:rPr>
            </w:pPr>
          </w:p>
        </w:tc>
        <w:tc>
          <w:tcPr>
            <w:tcW w:w="874" w:type="dxa"/>
            <w:vAlign w:val="top"/>
          </w:tcPr>
          <w:p w14:paraId="3380A687">
            <w:pPr>
              <w:rPr>
                <w:rFonts w:ascii="Arial"/>
                <w:sz w:val="21"/>
              </w:rPr>
            </w:pPr>
          </w:p>
        </w:tc>
        <w:tc>
          <w:tcPr>
            <w:tcW w:w="875" w:type="dxa"/>
            <w:vAlign w:val="top"/>
          </w:tcPr>
          <w:p w14:paraId="2726BC7F">
            <w:pPr>
              <w:rPr>
                <w:rFonts w:ascii="Arial"/>
                <w:sz w:val="21"/>
              </w:rPr>
            </w:pPr>
          </w:p>
        </w:tc>
        <w:tc>
          <w:tcPr>
            <w:tcW w:w="508" w:type="dxa"/>
            <w:tcBorders>
              <w:right w:val="single" w:color="000000" w:sz="12" w:space="0"/>
            </w:tcBorders>
            <w:vAlign w:val="top"/>
          </w:tcPr>
          <w:p w14:paraId="6A930C24">
            <w:pPr>
              <w:rPr>
                <w:rFonts w:ascii="Arial"/>
                <w:sz w:val="21"/>
              </w:rPr>
            </w:pPr>
          </w:p>
        </w:tc>
      </w:tr>
      <w:tr w14:paraId="5F1EA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9FA16F0">
            <w:pPr>
              <w:pStyle w:val="6"/>
              <w:spacing w:before="104" w:line="216" w:lineRule="auto"/>
              <w:ind w:left="131"/>
            </w:pPr>
            <w:r>
              <w:rPr>
                <w:spacing w:val="-1"/>
              </w:rPr>
              <w:t>48</w:t>
            </w:r>
          </w:p>
        </w:tc>
        <w:tc>
          <w:tcPr>
            <w:tcW w:w="1257" w:type="dxa"/>
            <w:vAlign w:val="top"/>
          </w:tcPr>
          <w:p w14:paraId="65886EAE">
            <w:pPr>
              <w:spacing w:before="71" w:line="220" w:lineRule="auto"/>
              <w:ind w:left="306"/>
              <w:rPr>
                <w:rFonts w:ascii="宋体" w:hAnsi="宋体" w:eastAsia="宋体" w:cs="宋体"/>
                <w:sz w:val="21"/>
                <w:szCs w:val="21"/>
              </w:rPr>
            </w:pPr>
            <w:r>
              <w:rPr>
                <w:rFonts w:ascii="宋体" w:hAnsi="宋体" w:eastAsia="宋体" w:cs="宋体"/>
                <w:spacing w:val="-3"/>
                <w:sz w:val="21"/>
                <w:szCs w:val="21"/>
              </w:rPr>
              <w:t>大山雀</w:t>
            </w:r>
          </w:p>
        </w:tc>
        <w:tc>
          <w:tcPr>
            <w:tcW w:w="2394" w:type="dxa"/>
            <w:vAlign w:val="top"/>
          </w:tcPr>
          <w:p w14:paraId="210B948F">
            <w:pPr>
              <w:pStyle w:val="6"/>
              <w:spacing w:before="104" w:line="216" w:lineRule="auto"/>
              <w:ind w:left="548"/>
            </w:pPr>
            <w:r>
              <w:rPr>
                <w:i/>
                <w:iCs/>
              </w:rPr>
              <w:t>Parus</w:t>
            </w:r>
            <w:r>
              <w:rPr>
                <w:i/>
                <w:iCs/>
                <w:spacing w:val="4"/>
              </w:rPr>
              <w:t xml:space="preserve"> </w:t>
            </w:r>
            <w:r>
              <w:rPr>
                <w:i/>
                <w:iCs/>
              </w:rPr>
              <w:t>cinereus</w:t>
            </w:r>
          </w:p>
        </w:tc>
        <w:tc>
          <w:tcPr>
            <w:tcW w:w="685" w:type="dxa"/>
            <w:vAlign w:val="top"/>
          </w:tcPr>
          <w:p w14:paraId="16AD8EC6">
            <w:pPr>
              <w:pStyle w:val="6"/>
              <w:spacing w:before="111" w:line="183" w:lineRule="auto"/>
              <w:ind w:left="270"/>
            </w:pPr>
            <w:r>
              <w:t>R</w:t>
            </w:r>
          </w:p>
        </w:tc>
        <w:tc>
          <w:tcPr>
            <w:tcW w:w="494" w:type="dxa"/>
            <w:vAlign w:val="top"/>
          </w:tcPr>
          <w:p w14:paraId="23C3582C">
            <w:pPr>
              <w:pStyle w:val="6"/>
              <w:spacing w:before="108" w:line="186" w:lineRule="auto"/>
              <w:ind w:left="117"/>
            </w:pPr>
            <w:r>
              <w:rPr>
                <w:spacing w:val="-3"/>
              </w:rPr>
              <w:t>OP</w:t>
            </w:r>
          </w:p>
        </w:tc>
        <w:tc>
          <w:tcPr>
            <w:tcW w:w="875" w:type="dxa"/>
            <w:vAlign w:val="top"/>
          </w:tcPr>
          <w:p w14:paraId="5581A5DF">
            <w:pPr>
              <w:rPr>
                <w:rFonts w:ascii="Arial"/>
                <w:sz w:val="21"/>
              </w:rPr>
            </w:pPr>
          </w:p>
        </w:tc>
        <w:tc>
          <w:tcPr>
            <w:tcW w:w="874" w:type="dxa"/>
            <w:vAlign w:val="top"/>
          </w:tcPr>
          <w:p w14:paraId="436C68D1">
            <w:pPr>
              <w:pStyle w:val="6"/>
              <w:spacing w:before="104" w:line="216" w:lineRule="auto"/>
              <w:ind w:left="326"/>
            </w:pPr>
            <w:r>
              <w:rPr>
                <w:spacing w:val="-1"/>
              </w:rPr>
              <w:t>++</w:t>
            </w:r>
          </w:p>
        </w:tc>
        <w:tc>
          <w:tcPr>
            <w:tcW w:w="875" w:type="dxa"/>
            <w:vAlign w:val="top"/>
          </w:tcPr>
          <w:p w14:paraId="6846B9B0">
            <w:pPr>
              <w:pStyle w:val="6"/>
              <w:spacing w:before="108" w:line="186" w:lineRule="auto"/>
              <w:ind w:left="399"/>
            </w:pPr>
            <w:r>
              <w:t>S</w:t>
            </w:r>
          </w:p>
        </w:tc>
        <w:tc>
          <w:tcPr>
            <w:tcW w:w="508" w:type="dxa"/>
            <w:tcBorders>
              <w:right w:val="single" w:color="000000" w:sz="12" w:space="0"/>
            </w:tcBorders>
            <w:vAlign w:val="top"/>
          </w:tcPr>
          <w:p w14:paraId="6322BDC5">
            <w:pPr>
              <w:rPr>
                <w:rFonts w:ascii="Arial"/>
                <w:sz w:val="21"/>
              </w:rPr>
            </w:pPr>
          </w:p>
        </w:tc>
      </w:tr>
      <w:tr w14:paraId="69CB6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72AA43FD">
            <w:pPr>
              <w:pStyle w:val="6"/>
              <w:spacing w:before="105" w:line="216" w:lineRule="auto"/>
              <w:ind w:left="131"/>
            </w:pPr>
            <w:r>
              <w:rPr>
                <w:spacing w:val="-1"/>
              </w:rPr>
              <w:t>49</w:t>
            </w:r>
          </w:p>
        </w:tc>
        <w:tc>
          <w:tcPr>
            <w:tcW w:w="1257" w:type="dxa"/>
            <w:vAlign w:val="top"/>
          </w:tcPr>
          <w:p w14:paraId="3C46193B">
            <w:pPr>
              <w:spacing w:before="71" w:line="220" w:lineRule="auto"/>
              <w:ind w:left="201"/>
              <w:rPr>
                <w:rFonts w:ascii="宋体" w:hAnsi="宋体" w:eastAsia="宋体" w:cs="宋体"/>
                <w:sz w:val="21"/>
                <w:szCs w:val="21"/>
              </w:rPr>
            </w:pPr>
            <w:r>
              <w:rPr>
                <w:rFonts w:ascii="宋体" w:hAnsi="宋体" w:eastAsia="宋体" w:cs="宋体"/>
                <w:spacing w:val="-2"/>
                <w:sz w:val="21"/>
                <w:szCs w:val="21"/>
              </w:rPr>
              <w:t>绿背山雀</w:t>
            </w:r>
          </w:p>
        </w:tc>
        <w:tc>
          <w:tcPr>
            <w:tcW w:w="2394" w:type="dxa"/>
            <w:vAlign w:val="top"/>
          </w:tcPr>
          <w:p w14:paraId="25E46D55">
            <w:pPr>
              <w:pStyle w:val="6"/>
              <w:spacing w:before="105" w:line="216" w:lineRule="auto"/>
              <w:ind w:left="442"/>
            </w:pPr>
            <w:r>
              <w:rPr>
                <w:i/>
                <w:iCs/>
              </w:rPr>
              <w:t>Parus</w:t>
            </w:r>
            <w:r>
              <w:rPr>
                <w:i/>
                <w:iCs/>
                <w:spacing w:val="5"/>
              </w:rPr>
              <w:t xml:space="preserve"> </w:t>
            </w:r>
            <w:r>
              <w:rPr>
                <w:i/>
                <w:iCs/>
              </w:rPr>
              <w:t>monticolus</w:t>
            </w:r>
          </w:p>
        </w:tc>
        <w:tc>
          <w:tcPr>
            <w:tcW w:w="685" w:type="dxa"/>
            <w:vAlign w:val="top"/>
          </w:tcPr>
          <w:p w14:paraId="4CEBD62B">
            <w:pPr>
              <w:pStyle w:val="6"/>
              <w:spacing w:before="112" w:line="183" w:lineRule="auto"/>
              <w:ind w:left="270"/>
            </w:pPr>
            <w:r>
              <w:t>R</w:t>
            </w:r>
          </w:p>
        </w:tc>
        <w:tc>
          <w:tcPr>
            <w:tcW w:w="494" w:type="dxa"/>
            <w:vAlign w:val="top"/>
          </w:tcPr>
          <w:p w14:paraId="1EB63EAB">
            <w:pPr>
              <w:pStyle w:val="6"/>
              <w:spacing w:before="109" w:line="186" w:lineRule="auto"/>
              <w:ind w:left="175"/>
            </w:pPr>
            <w:r>
              <w:t>O</w:t>
            </w:r>
          </w:p>
        </w:tc>
        <w:tc>
          <w:tcPr>
            <w:tcW w:w="875" w:type="dxa"/>
            <w:vAlign w:val="top"/>
          </w:tcPr>
          <w:p w14:paraId="76DFBF25">
            <w:pPr>
              <w:rPr>
                <w:rFonts w:ascii="Arial"/>
                <w:sz w:val="21"/>
              </w:rPr>
            </w:pPr>
          </w:p>
        </w:tc>
        <w:tc>
          <w:tcPr>
            <w:tcW w:w="874" w:type="dxa"/>
            <w:vAlign w:val="top"/>
          </w:tcPr>
          <w:p w14:paraId="356C75A9">
            <w:pPr>
              <w:pStyle w:val="6"/>
              <w:spacing w:before="105" w:line="216" w:lineRule="auto"/>
              <w:ind w:left="266"/>
            </w:pPr>
            <w:r>
              <w:rPr>
                <w:spacing w:val="-1"/>
              </w:rPr>
              <w:t>+++</w:t>
            </w:r>
          </w:p>
        </w:tc>
        <w:tc>
          <w:tcPr>
            <w:tcW w:w="875" w:type="dxa"/>
            <w:vAlign w:val="top"/>
          </w:tcPr>
          <w:p w14:paraId="03E055F2">
            <w:pPr>
              <w:pStyle w:val="6"/>
              <w:spacing w:before="109" w:line="186" w:lineRule="auto"/>
              <w:ind w:left="399"/>
            </w:pPr>
            <w:r>
              <w:t>S</w:t>
            </w:r>
          </w:p>
        </w:tc>
        <w:tc>
          <w:tcPr>
            <w:tcW w:w="508" w:type="dxa"/>
            <w:tcBorders>
              <w:right w:val="single" w:color="000000" w:sz="12" w:space="0"/>
            </w:tcBorders>
            <w:vAlign w:val="top"/>
          </w:tcPr>
          <w:p w14:paraId="7BA00CF9">
            <w:pPr>
              <w:rPr>
                <w:rFonts w:ascii="Arial"/>
                <w:sz w:val="21"/>
              </w:rPr>
            </w:pPr>
          </w:p>
        </w:tc>
      </w:tr>
      <w:tr w14:paraId="348C1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BC22209">
            <w:pPr>
              <w:pStyle w:val="6"/>
              <w:spacing w:before="111" w:line="186" w:lineRule="auto"/>
              <w:ind w:left="68"/>
            </w:pPr>
            <w:r>
              <w:rPr>
                <w:b/>
                <w:bCs/>
                <w:spacing w:val="-2"/>
              </w:rPr>
              <w:t>F24</w:t>
            </w:r>
          </w:p>
        </w:tc>
        <w:tc>
          <w:tcPr>
            <w:tcW w:w="1257" w:type="dxa"/>
            <w:vAlign w:val="top"/>
          </w:tcPr>
          <w:p w14:paraId="5C9D254D">
            <w:pPr>
              <w:spacing w:before="72" w:line="219" w:lineRule="auto"/>
              <w:ind w:left="197"/>
              <w:rPr>
                <w:rFonts w:ascii="宋体" w:hAnsi="宋体" w:eastAsia="宋体" w:cs="宋体"/>
                <w:sz w:val="21"/>
                <w:szCs w:val="21"/>
              </w:rPr>
            </w:pPr>
            <w:r>
              <w:rPr>
                <w:rFonts w:ascii="宋体" w:hAnsi="宋体" w:eastAsia="宋体" w:cs="宋体"/>
                <w:b/>
                <w:bCs/>
                <w:spacing w:val="-4"/>
                <w:sz w:val="21"/>
                <w:szCs w:val="21"/>
              </w:rPr>
              <w:t>扇尾莺科</w:t>
            </w:r>
          </w:p>
        </w:tc>
        <w:tc>
          <w:tcPr>
            <w:tcW w:w="2394" w:type="dxa"/>
            <w:vAlign w:val="top"/>
          </w:tcPr>
          <w:p w14:paraId="64A62020">
            <w:pPr>
              <w:pStyle w:val="6"/>
              <w:spacing w:before="111" w:line="186" w:lineRule="auto"/>
              <w:ind w:left="669"/>
            </w:pPr>
            <w:r>
              <w:rPr>
                <w:b/>
                <w:bCs/>
                <w:spacing w:val="-1"/>
              </w:rPr>
              <w:t>Cisticolidae</w:t>
            </w:r>
          </w:p>
        </w:tc>
        <w:tc>
          <w:tcPr>
            <w:tcW w:w="685" w:type="dxa"/>
            <w:vAlign w:val="top"/>
          </w:tcPr>
          <w:p w14:paraId="6C682A5E">
            <w:pPr>
              <w:rPr>
                <w:rFonts w:ascii="Arial"/>
                <w:sz w:val="21"/>
              </w:rPr>
            </w:pPr>
          </w:p>
        </w:tc>
        <w:tc>
          <w:tcPr>
            <w:tcW w:w="494" w:type="dxa"/>
            <w:vAlign w:val="top"/>
          </w:tcPr>
          <w:p w14:paraId="6EE6A5ED">
            <w:pPr>
              <w:rPr>
                <w:rFonts w:ascii="Arial"/>
                <w:sz w:val="21"/>
              </w:rPr>
            </w:pPr>
          </w:p>
        </w:tc>
        <w:tc>
          <w:tcPr>
            <w:tcW w:w="875" w:type="dxa"/>
            <w:vAlign w:val="top"/>
          </w:tcPr>
          <w:p w14:paraId="196719DA">
            <w:pPr>
              <w:rPr>
                <w:rFonts w:ascii="Arial"/>
                <w:sz w:val="21"/>
              </w:rPr>
            </w:pPr>
          </w:p>
        </w:tc>
        <w:tc>
          <w:tcPr>
            <w:tcW w:w="874" w:type="dxa"/>
            <w:vAlign w:val="top"/>
          </w:tcPr>
          <w:p w14:paraId="1FB19109">
            <w:pPr>
              <w:rPr>
                <w:rFonts w:ascii="Arial"/>
                <w:sz w:val="21"/>
              </w:rPr>
            </w:pPr>
          </w:p>
        </w:tc>
        <w:tc>
          <w:tcPr>
            <w:tcW w:w="875" w:type="dxa"/>
            <w:vAlign w:val="top"/>
          </w:tcPr>
          <w:p w14:paraId="0D7EDB38">
            <w:pPr>
              <w:rPr>
                <w:rFonts w:ascii="Arial"/>
                <w:sz w:val="21"/>
              </w:rPr>
            </w:pPr>
          </w:p>
        </w:tc>
        <w:tc>
          <w:tcPr>
            <w:tcW w:w="508" w:type="dxa"/>
            <w:tcBorders>
              <w:right w:val="single" w:color="000000" w:sz="12" w:space="0"/>
            </w:tcBorders>
            <w:vAlign w:val="top"/>
          </w:tcPr>
          <w:p w14:paraId="2B35D466">
            <w:pPr>
              <w:rPr>
                <w:rFonts w:ascii="Arial"/>
                <w:sz w:val="21"/>
              </w:rPr>
            </w:pPr>
          </w:p>
        </w:tc>
      </w:tr>
      <w:tr w14:paraId="352BF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55B73F7C">
            <w:pPr>
              <w:pStyle w:val="6"/>
              <w:spacing w:before="107" w:line="214" w:lineRule="auto"/>
              <w:ind w:left="138"/>
            </w:pPr>
            <w:r>
              <w:rPr>
                <w:spacing w:val="-3"/>
              </w:rPr>
              <w:t>50</w:t>
            </w:r>
          </w:p>
        </w:tc>
        <w:tc>
          <w:tcPr>
            <w:tcW w:w="1257" w:type="dxa"/>
            <w:vAlign w:val="top"/>
          </w:tcPr>
          <w:p w14:paraId="44FFCAC3">
            <w:pPr>
              <w:spacing w:before="73" w:line="219" w:lineRule="auto"/>
              <w:ind w:left="96"/>
              <w:rPr>
                <w:rFonts w:ascii="宋体" w:hAnsi="宋体" w:eastAsia="宋体" w:cs="宋体"/>
                <w:sz w:val="21"/>
                <w:szCs w:val="21"/>
              </w:rPr>
            </w:pPr>
            <w:r>
              <w:rPr>
                <w:rFonts w:ascii="宋体" w:hAnsi="宋体" w:eastAsia="宋体" w:cs="宋体"/>
                <w:spacing w:val="-2"/>
                <w:sz w:val="21"/>
                <w:szCs w:val="21"/>
              </w:rPr>
              <w:t>纯色山鹪莺</w:t>
            </w:r>
          </w:p>
        </w:tc>
        <w:tc>
          <w:tcPr>
            <w:tcW w:w="2394" w:type="dxa"/>
            <w:vAlign w:val="top"/>
          </w:tcPr>
          <w:p w14:paraId="4BDD7F1C">
            <w:pPr>
              <w:pStyle w:val="6"/>
              <w:spacing w:before="107" w:line="214" w:lineRule="auto"/>
              <w:ind w:left="525"/>
            </w:pPr>
            <w:r>
              <w:rPr>
                <w:i/>
                <w:iCs/>
              </w:rPr>
              <w:t>Prinia</w:t>
            </w:r>
            <w:r>
              <w:rPr>
                <w:i/>
                <w:iCs/>
                <w:spacing w:val="8"/>
              </w:rPr>
              <w:t xml:space="preserve"> </w:t>
            </w:r>
            <w:r>
              <w:rPr>
                <w:i/>
                <w:iCs/>
              </w:rPr>
              <w:t>inornata</w:t>
            </w:r>
          </w:p>
        </w:tc>
        <w:tc>
          <w:tcPr>
            <w:tcW w:w="685" w:type="dxa"/>
            <w:vAlign w:val="top"/>
          </w:tcPr>
          <w:p w14:paraId="7A4E735B">
            <w:pPr>
              <w:pStyle w:val="6"/>
              <w:spacing w:before="114" w:line="183" w:lineRule="auto"/>
              <w:ind w:left="270"/>
            </w:pPr>
            <w:r>
              <w:t>R</w:t>
            </w:r>
          </w:p>
        </w:tc>
        <w:tc>
          <w:tcPr>
            <w:tcW w:w="494" w:type="dxa"/>
            <w:vAlign w:val="top"/>
          </w:tcPr>
          <w:p w14:paraId="16B6046E">
            <w:pPr>
              <w:pStyle w:val="6"/>
              <w:spacing w:before="111" w:line="186" w:lineRule="auto"/>
              <w:ind w:left="175"/>
            </w:pPr>
            <w:r>
              <w:t>O</w:t>
            </w:r>
          </w:p>
        </w:tc>
        <w:tc>
          <w:tcPr>
            <w:tcW w:w="875" w:type="dxa"/>
            <w:vAlign w:val="top"/>
          </w:tcPr>
          <w:p w14:paraId="0714C0FA">
            <w:pPr>
              <w:rPr>
                <w:rFonts w:ascii="Arial"/>
                <w:sz w:val="21"/>
              </w:rPr>
            </w:pPr>
          </w:p>
        </w:tc>
        <w:tc>
          <w:tcPr>
            <w:tcW w:w="874" w:type="dxa"/>
            <w:vAlign w:val="top"/>
          </w:tcPr>
          <w:p w14:paraId="0E128CBF">
            <w:pPr>
              <w:pStyle w:val="6"/>
              <w:spacing w:before="107" w:line="214" w:lineRule="auto"/>
              <w:ind w:left="266"/>
            </w:pPr>
            <w:r>
              <w:rPr>
                <w:spacing w:val="-1"/>
              </w:rPr>
              <w:t>+++</w:t>
            </w:r>
          </w:p>
        </w:tc>
        <w:tc>
          <w:tcPr>
            <w:tcW w:w="875" w:type="dxa"/>
            <w:vAlign w:val="top"/>
          </w:tcPr>
          <w:p w14:paraId="39067328">
            <w:pPr>
              <w:pStyle w:val="6"/>
              <w:spacing w:before="111" w:line="186" w:lineRule="auto"/>
              <w:ind w:left="399"/>
            </w:pPr>
            <w:r>
              <w:t>S</w:t>
            </w:r>
          </w:p>
        </w:tc>
        <w:tc>
          <w:tcPr>
            <w:tcW w:w="508" w:type="dxa"/>
            <w:tcBorders>
              <w:right w:val="single" w:color="000000" w:sz="12" w:space="0"/>
            </w:tcBorders>
            <w:vAlign w:val="top"/>
          </w:tcPr>
          <w:p w14:paraId="40B89E9E">
            <w:pPr>
              <w:rPr>
                <w:rFonts w:ascii="Arial"/>
                <w:sz w:val="21"/>
              </w:rPr>
            </w:pPr>
          </w:p>
        </w:tc>
      </w:tr>
      <w:tr w14:paraId="74CA3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DD070B6">
            <w:pPr>
              <w:pStyle w:val="6"/>
              <w:spacing w:before="118" w:line="186" w:lineRule="auto"/>
              <w:ind w:left="68"/>
            </w:pPr>
            <w:r>
              <w:rPr>
                <w:b/>
                <w:bCs/>
                <w:spacing w:val="-2"/>
              </w:rPr>
              <w:t>F25</w:t>
            </w:r>
          </w:p>
        </w:tc>
        <w:tc>
          <w:tcPr>
            <w:tcW w:w="1257" w:type="dxa"/>
            <w:vAlign w:val="top"/>
          </w:tcPr>
          <w:p w14:paraId="10B3D3C9">
            <w:pPr>
              <w:spacing w:before="79" w:line="219" w:lineRule="auto"/>
              <w:ind w:left="408"/>
              <w:rPr>
                <w:rFonts w:ascii="宋体" w:hAnsi="宋体" w:eastAsia="宋体" w:cs="宋体"/>
                <w:sz w:val="21"/>
                <w:szCs w:val="21"/>
              </w:rPr>
            </w:pPr>
            <w:r>
              <w:rPr>
                <w:rFonts w:ascii="宋体" w:hAnsi="宋体" w:eastAsia="宋体" w:cs="宋体"/>
                <w:b/>
                <w:bCs/>
                <w:spacing w:val="-4"/>
                <w:sz w:val="21"/>
                <w:szCs w:val="21"/>
              </w:rPr>
              <w:t>燕科</w:t>
            </w:r>
          </w:p>
        </w:tc>
        <w:tc>
          <w:tcPr>
            <w:tcW w:w="2394" w:type="dxa"/>
            <w:vAlign w:val="top"/>
          </w:tcPr>
          <w:p w14:paraId="0886EEFF">
            <w:pPr>
              <w:pStyle w:val="6"/>
              <w:spacing w:before="117" w:line="187" w:lineRule="auto"/>
              <w:ind w:left="584"/>
            </w:pPr>
            <w:r>
              <w:rPr>
                <w:b/>
                <w:bCs/>
                <w:spacing w:val="-1"/>
              </w:rPr>
              <w:t>Hirundinidae</w:t>
            </w:r>
          </w:p>
        </w:tc>
        <w:tc>
          <w:tcPr>
            <w:tcW w:w="685" w:type="dxa"/>
            <w:vAlign w:val="top"/>
          </w:tcPr>
          <w:p w14:paraId="440310D4">
            <w:pPr>
              <w:rPr>
                <w:rFonts w:ascii="Arial"/>
                <w:sz w:val="21"/>
              </w:rPr>
            </w:pPr>
          </w:p>
        </w:tc>
        <w:tc>
          <w:tcPr>
            <w:tcW w:w="494" w:type="dxa"/>
            <w:vAlign w:val="top"/>
          </w:tcPr>
          <w:p w14:paraId="06046195">
            <w:pPr>
              <w:rPr>
                <w:rFonts w:ascii="Arial"/>
                <w:sz w:val="21"/>
              </w:rPr>
            </w:pPr>
          </w:p>
        </w:tc>
        <w:tc>
          <w:tcPr>
            <w:tcW w:w="875" w:type="dxa"/>
            <w:vAlign w:val="top"/>
          </w:tcPr>
          <w:p w14:paraId="2CABB278">
            <w:pPr>
              <w:rPr>
                <w:rFonts w:ascii="Arial"/>
                <w:sz w:val="21"/>
              </w:rPr>
            </w:pPr>
          </w:p>
        </w:tc>
        <w:tc>
          <w:tcPr>
            <w:tcW w:w="874" w:type="dxa"/>
            <w:vAlign w:val="top"/>
          </w:tcPr>
          <w:p w14:paraId="5801FD6B">
            <w:pPr>
              <w:rPr>
                <w:rFonts w:ascii="Arial"/>
                <w:sz w:val="21"/>
              </w:rPr>
            </w:pPr>
          </w:p>
        </w:tc>
        <w:tc>
          <w:tcPr>
            <w:tcW w:w="875" w:type="dxa"/>
            <w:vAlign w:val="top"/>
          </w:tcPr>
          <w:p w14:paraId="64013BCF">
            <w:pPr>
              <w:rPr>
                <w:rFonts w:ascii="Arial"/>
                <w:sz w:val="21"/>
              </w:rPr>
            </w:pPr>
          </w:p>
        </w:tc>
        <w:tc>
          <w:tcPr>
            <w:tcW w:w="508" w:type="dxa"/>
            <w:tcBorders>
              <w:right w:val="single" w:color="000000" w:sz="12" w:space="0"/>
            </w:tcBorders>
            <w:vAlign w:val="top"/>
          </w:tcPr>
          <w:p w14:paraId="2F1EB594">
            <w:pPr>
              <w:rPr>
                <w:rFonts w:ascii="Arial"/>
                <w:sz w:val="21"/>
              </w:rPr>
            </w:pPr>
          </w:p>
        </w:tc>
      </w:tr>
      <w:tr w14:paraId="0059E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A89E700">
            <w:pPr>
              <w:pStyle w:val="6"/>
              <w:spacing w:before="107" w:line="213" w:lineRule="auto"/>
              <w:ind w:left="138"/>
            </w:pPr>
            <w:r>
              <w:rPr>
                <w:spacing w:val="-3"/>
              </w:rPr>
              <w:t>51</w:t>
            </w:r>
          </w:p>
        </w:tc>
        <w:tc>
          <w:tcPr>
            <w:tcW w:w="1257" w:type="dxa"/>
            <w:vAlign w:val="top"/>
          </w:tcPr>
          <w:p w14:paraId="3DAE727A">
            <w:pPr>
              <w:spacing w:before="74" w:line="218" w:lineRule="auto"/>
              <w:ind w:left="411"/>
              <w:rPr>
                <w:rFonts w:ascii="宋体" w:hAnsi="宋体" w:eastAsia="宋体" w:cs="宋体"/>
                <w:sz w:val="21"/>
                <w:szCs w:val="21"/>
              </w:rPr>
            </w:pPr>
            <w:r>
              <w:rPr>
                <w:rFonts w:ascii="宋体" w:hAnsi="宋体" w:eastAsia="宋体" w:cs="宋体"/>
                <w:spacing w:val="-3"/>
                <w:sz w:val="21"/>
                <w:szCs w:val="21"/>
              </w:rPr>
              <w:t>家燕</w:t>
            </w:r>
          </w:p>
        </w:tc>
        <w:tc>
          <w:tcPr>
            <w:tcW w:w="2394" w:type="dxa"/>
            <w:vAlign w:val="top"/>
          </w:tcPr>
          <w:p w14:paraId="2AA57068">
            <w:pPr>
              <w:pStyle w:val="6"/>
              <w:spacing w:before="107" w:line="213" w:lineRule="auto"/>
              <w:ind w:left="505"/>
            </w:pPr>
            <w:r>
              <w:rPr>
                <w:i/>
                <w:iCs/>
              </w:rPr>
              <w:t>Hirundo</w:t>
            </w:r>
            <w:r>
              <w:rPr>
                <w:i/>
                <w:iCs/>
                <w:spacing w:val="5"/>
              </w:rPr>
              <w:t xml:space="preserve"> </w:t>
            </w:r>
            <w:r>
              <w:rPr>
                <w:i/>
                <w:iCs/>
              </w:rPr>
              <w:t>rustica</w:t>
            </w:r>
          </w:p>
        </w:tc>
        <w:tc>
          <w:tcPr>
            <w:tcW w:w="685" w:type="dxa"/>
            <w:vAlign w:val="top"/>
          </w:tcPr>
          <w:p w14:paraId="18F32AD9">
            <w:pPr>
              <w:pStyle w:val="6"/>
              <w:spacing w:before="111" w:line="186" w:lineRule="auto"/>
              <w:ind w:left="292"/>
            </w:pPr>
            <w:r>
              <w:t>S</w:t>
            </w:r>
          </w:p>
        </w:tc>
        <w:tc>
          <w:tcPr>
            <w:tcW w:w="494" w:type="dxa"/>
            <w:vAlign w:val="top"/>
          </w:tcPr>
          <w:p w14:paraId="33FA8A84">
            <w:pPr>
              <w:pStyle w:val="6"/>
              <w:spacing w:before="111" w:line="186" w:lineRule="auto"/>
              <w:ind w:left="117"/>
            </w:pPr>
            <w:r>
              <w:rPr>
                <w:spacing w:val="-3"/>
              </w:rPr>
              <w:t>OP</w:t>
            </w:r>
          </w:p>
        </w:tc>
        <w:tc>
          <w:tcPr>
            <w:tcW w:w="875" w:type="dxa"/>
            <w:vAlign w:val="top"/>
          </w:tcPr>
          <w:p w14:paraId="765647C9">
            <w:pPr>
              <w:rPr>
                <w:rFonts w:ascii="Arial"/>
                <w:sz w:val="21"/>
              </w:rPr>
            </w:pPr>
          </w:p>
        </w:tc>
        <w:tc>
          <w:tcPr>
            <w:tcW w:w="874" w:type="dxa"/>
            <w:vAlign w:val="top"/>
          </w:tcPr>
          <w:p w14:paraId="7B29D53E">
            <w:pPr>
              <w:pStyle w:val="6"/>
              <w:spacing w:before="107" w:line="213" w:lineRule="auto"/>
              <w:ind w:left="207"/>
            </w:pPr>
            <w:r>
              <w:rPr>
                <w:spacing w:val="-1"/>
              </w:rPr>
              <w:t>++++</w:t>
            </w:r>
          </w:p>
        </w:tc>
        <w:tc>
          <w:tcPr>
            <w:tcW w:w="875" w:type="dxa"/>
            <w:vAlign w:val="top"/>
          </w:tcPr>
          <w:p w14:paraId="1FE6E7EF">
            <w:pPr>
              <w:pStyle w:val="6"/>
              <w:spacing w:before="111" w:line="186" w:lineRule="auto"/>
              <w:ind w:left="399"/>
            </w:pPr>
            <w:r>
              <w:t>S</w:t>
            </w:r>
          </w:p>
        </w:tc>
        <w:tc>
          <w:tcPr>
            <w:tcW w:w="508" w:type="dxa"/>
            <w:tcBorders>
              <w:right w:val="single" w:color="000000" w:sz="12" w:space="0"/>
            </w:tcBorders>
            <w:vAlign w:val="top"/>
          </w:tcPr>
          <w:p w14:paraId="32C31261">
            <w:pPr>
              <w:rPr>
                <w:rFonts w:ascii="Arial"/>
                <w:sz w:val="21"/>
              </w:rPr>
            </w:pPr>
          </w:p>
        </w:tc>
      </w:tr>
      <w:tr w14:paraId="7490E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7F266FA">
            <w:pPr>
              <w:pStyle w:val="6"/>
              <w:spacing w:before="109" w:line="211" w:lineRule="auto"/>
              <w:ind w:left="138"/>
            </w:pPr>
            <w:r>
              <w:rPr>
                <w:spacing w:val="-3"/>
              </w:rPr>
              <w:t>52</w:t>
            </w:r>
          </w:p>
        </w:tc>
        <w:tc>
          <w:tcPr>
            <w:tcW w:w="1257" w:type="dxa"/>
            <w:vAlign w:val="top"/>
          </w:tcPr>
          <w:p w14:paraId="09A76E14">
            <w:pPr>
              <w:spacing w:before="75" w:line="217" w:lineRule="auto"/>
              <w:ind w:left="305"/>
              <w:rPr>
                <w:rFonts w:ascii="宋体" w:hAnsi="宋体" w:eastAsia="宋体" w:cs="宋体"/>
                <w:sz w:val="21"/>
                <w:szCs w:val="21"/>
              </w:rPr>
            </w:pPr>
            <w:r>
              <w:rPr>
                <w:rFonts w:ascii="宋体" w:hAnsi="宋体" w:eastAsia="宋体" w:cs="宋体"/>
                <w:spacing w:val="-3"/>
                <w:sz w:val="21"/>
                <w:szCs w:val="21"/>
              </w:rPr>
              <w:t>金腰燕</w:t>
            </w:r>
          </w:p>
        </w:tc>
        <w:tc>
          <w:tcPr>
            <w:tcW w:w="2394" w:type="dxa"/>
            <w:vAlign w:val="top"/>
          </w:tcPr>
          <w:p w14:paraId="01587992">
            <w:pPr>
              <w:pStyle w:val="6"/>
              <w:spacing w:before="109" w:line="190" w:lineRule="auto"/>
              <w:ind w:left="467"/>
            </w:pPr>
            <w:r>
              <w:rPr>
                <w:i/>
                <w:iCs/>
                <w:spacing w:val="-1"/>
              </w:rPr>
              <w:t>Cecropis daurica</w:t>
            </w:r>
          </w:p>
        </w:tc>
        <w:tc>
          <w:tcPr>
            <w:tcW w:w="685" w:type="dxa"/>
            <w:vAlign w:val="top"/>
          </w:tcPr>
          <w:p w14:paraId="258D3650">
            <w:pPr>
              <w:pStyle w:val="6"/>
              <w:spacing w:before="112" w:line="186" w:lineRule="auto"/>
              <w:ind w:left="292"/>
            </w:pPr>
            <w:r>
              <w:t>S</w:t>
            </w:r>
          </w:p>
        </w:tc>
        <w:tc>
          <w:tcPr>
            <w:tcW w:w="494" w:type="dxa"/>
            <w:vAlign w:val="top"/>
          </w:tcPr>
          <w:p w14:paraId="4F9E14A6">
            <w:pPr>
              <w:pStyle w:val="6"/>
              <w:spacing w:before="112" w:line="186" w:lineRule="auto"/>
              <w:ind w:left="117"/>
            </w:pPr>
            <w:r>
              <w:rPr>
                <w:spacing w:val="-3"/>
              </w:rPr>
              <w:t>OP</w:t>
            </w:r>
          </w:p>
        </w:tc>
        <w:tc>
          <w:tcPr>
            <w:tcW w:w="875" w:type="dxa"/>
            <w:vAlign w:val="top"/>
          </w:tcPr>
          <w:p w14:paraId="44E69CAF">
            <w:pPr>
              <w:rPr>
                <w:rFonts w:ascii="Arial"/>
                <w:sz w:val="21"/>
              </w:rPr>
            </w:pPr>
          </w:p>
        </w:tc>
        <w:tc>
          <w:tcPr>
            <w:tcW w:w="874" w:type="dxa"/>
            <w:vAlign w:val="top"/>
          </w:tcPr>
          <w:p w14:paraId="0331DBDD">
            <w:pPr>
              <w:pStyle w:val="6"/>
              <w:spacing w:before="109" w:line="211" w:lineRule="auto"/>
              <w:ind w:left="326"/>
            </w:pPr>
            <w:r>
              <w:rPr>
                <w:spacing w:val="-1"/>
              </w:rPr>
              <w:t>++</w:t>
            </w:r>
          </w:p>
        </w:tc>
        <w:tc>
          <w:tcPr>
            <w:tcW w:w="875" w:type="dxa"/>
            <w:vAlign w:val="top"/>
          </w:tcPr>
          <w:p w14:paraId="40C72397">
            <w:pPr>
              <w:pStyle w:val="6"/>
              <w:spacing w:before="112" w:line="186" w:lineRule="auto"/>
              <w:ind w:left="399"/>
            </w:pPr>
            <w:r>
              <w:t>S</w:t>
            </w:r>
          </w:p>
        </w:tc>
        <w:tc>
          <w:tcPr>
            <w:tcW w:w="508" w:type="dxa"/>
            <w:tcBorders>
              <w:right w:val="single" w:color="000000" w:sz="12" w:space="0"/>
            </w:tcBorders>
            <w:vAlign w:val="top"/>
          </w:tcPr>
          <w:p w14:paraId="09C68B23">
            <w:pPr>
              <w:rPr>
                <w:rFonts w:ascii="Arial"/>
                <w:sz w:val="21"/>
              </w:rPr>
            </w:pPr>
          </w:p>
        </w:tc>
      </w:tr>
      <w:tr w14:paraId="439E0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61A6041D">
            <w:pPr>
              <w:pStyle w:val="6"/>
              <w:spacing w:before="120" w:line="214" w:lineRule="auto"/>
              <w:ind w:left="68"/>
            </w:pPr>
            <w:r>
              <w:rPr>
                <w:b/>
                <w:bCs/>
                <w:spacing w:val="-2"/>
              </w:rPr>
              <w:t>F26</w:t>
            </w:r>
          </w:p>
        </w:tc>
        <w:tc>
          <w:tcPr>
            <w:tcW w:w="1257" w:type="dxa"/>
            <w:vAlign w:val="top"/>
          </w:tcPr>
          <w:p w14:paraId="4CF1A975">
            <w:pPr>
              <w:spacing w:before="82" w:line="219" w:lineRule="auto"/>
              <w:ind w:left="410"/>
              <w:rPr>
                <w:rFonts w:ascii="宋体" w:hAnsi="宋体" w:eastAsia="宋体" w:cs="宋体"/>
                <w:sz w:val="21"/>
                <w:szCs w:val="21"/>
              </w:rPr>
            </w:pPr>
            <w:r>
              <w:rPr>
                <w:rFonts w:ascii="宋体" w:hAnsi="宋体" w:eastAsia="宋体" w:cs="宋体"/>
                <w:b/>
                <w:bCs/>
                <w:spacing w:val="-5"/>
                <w:sz w:val="21"/>
                <w:szCs w:val="21"/>
              </w:rPr>
              <w:t>鹎科</w:t>
            </w:r>
          </w:p>
        </w:tc>
        <w:tc>
          <w:tcPr>
            <w:tcW w:w="2394" w:type="dxa"/>
            <w:vAlign w:val="top"/>
          </w:tcPr>
          <w:p w14:paraId="24DA5981">
            <w:pPr>
              <w:pStyle w:val="6"/>
              <w:spacing w:before="121" w:line="186" w:lineRule="auto"/>
              <w:ind w:left="584"/>
            </w:pPr>
            <w:r>
              <w:rPr>
                <w:b/>
                <w:bCs/>
                <w:spacing w:val="-1"/>
              </w:rPr>
              <w:t>Pycnonotidae</w:t>
            </w:r>
          </w:p>
        </w:tc>
        <w:tc>
          <w:tcPr>
            <w:tcW w:w="685" w:type="dxa"/>
            <w:vAlign w:val="top"/>
          </w:tcPr>
          <w:p w14:paraId="74735F70">
            <w:pPr>
              <w:rPr>
                <w:rFonts w:ascii="Arial"/>
                <w:sz w:val="21"/>
              </w:rPr>
            </w:pPr>
          </w:p>
        </w:tc>
        <w:tc>
          <w:tcPr>
            <w:tcW w:w="494" w:type="dxa"/>
            <w:vAlign w:val="top"/>
          </w:tcPr>
          <w:p w14:paraId="1A4C08ED">
            <w:pPr>
              <w:rPr>
                <w:rFonts w:ascii="Arial"/>
                <w:sz w:val="21"/>
              </w:rPr>
            </w:pPr>
          </w:p>
        </w:tc>
        <w:tc>
          <w:tcPr>
            <w:tcW w:w="875" w:type="dxa"/>
            <w:vAlign w:val="top"/>
          </w:tcPr>
          <w:p w14:paraId="72E562EE">
            <w:pPr>
              <w:rPr>
                <w:rFonts w:ascii="Arial"/>
                <w:sz w:val="21"/>
              </w:rPr>
            </w:pPr>
          </w:p>
        </w:tc>
        <w:tc>
          <w:tcPr>
            <w:tcW w:w="874" w:type="dxa"/>
            <w:vAlign w:val="top"/>
          </w:tcPr>
          <w:p w14:paraId="6E9B7F1F">
            <w:pPr>
              <w:rPr>
                <w:rFonts w:ascii="Arial"/>
                <w:sz w:val="21"/>
              </w:rPr>
            </w:pPr>
          </w:p>
        </w:tc>
        <w:tc>
          <w:tcPr>
            <w:tcW w:w="875" w:type="dxa"/>
            <w:vAlign w:val="top"/>
          </w:tcPr>
          <w:p w14:paraId="11FB2791">
            <w:pPr>
              <w:rPr>
                <w:rFonts w:ascii="Arial"/>
                <w:sz w:val="21"/>
              </w:rPr>
            </w:pPr>
          </w:p>
        </w:tc>
        <w:tc>
          <w:tcPr>
            <w:tcW w:w="508" w:type="dxa"/>
            <w:tcBorders>
              <w:right w:val="single" w:color="000000" w:sz="12" w:space="0"/>
            </w:tcBorders>
            <w:vAlign w:val="top"/>
          </w:tcPr>
          <w:p w14:paraId="5EEEE715">
            <w:pPr>
              <w:rPr>
                <w:rFonts w:ascii="Arial"/>
                <w:sz w:val="21"/>
              </w:rPr>
            </w:pPr>
          </w:p>
        </w:tc>
      </w:tr>
      <w:tr w14:paraId="05BD7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48FCA263">
            <w:pPr>
              <w:pStyle w:val="6"/>
              <w:spacing w:before="110" w:line="211" w:lineRule="auto"/>
              <w:ind w:left="138"/>
            </w:pPr>
            <w:r>
              <w:rPr>
                <w:spacing w:val="-3"/>
              </w:rPr>
              <w:t>53</w:t>
            </w:r>
          </w:p>
        </w:tc>
        <w:tc>
          <w:tcPr>
            <w:tcW w:w="1257" w:type="dxa"/>
            <w:vAlign w:val="top"/>
          </w:tcPr>
          <w:p w14:paraId="4F66B0B4">
            <w:pPr>
              <w:spacing w:before="77" w:line="216" w:lineRule="auto"/>
              <w:ind w:left="94"/>
              <w:rPr>
                <w:rFonts w:ascii="宋体" w:hAnsi="宋体" w:eastAsia="宋体" w:cs="宋体"/>
                <w:sz w:val="21"/>
                <w:szCs w:val="21"/>
              </w:rPr>
            </w:pPr>
            <w:r>
              <w:rPr>
                <w:rFonts w:ascii="宋体" w:hAnsi="宋体" w:eastAsia="宋体" w:cs="宋体"/>
                <w:spacing w:val="-2"/>
                <w:sz w:val="21"/>
                <w:szCs w:val="21"/>
              </w:rPr>
              <w:t>凤头雀嘴鹎</w:t>
            </w:r>
          </w:p>
        </w:tc>
        <w:tc>
          <w:tcPr>
            <w:tcW w:w="2394" w:type="dxa"/>
            <w:vAlign w:val="top"/>
          </w:tcPr>
          <w:p w14:paraId="23130E9C">
            <w:pPr>
              <w:pStyle w:val="6"/>
              <w:spacing w:before="110" w:line="190" w:lineRule="auto"/>
              <w:ind w:left="420"/>
            </w:pPr>
            <w:r>
              <w:rPr>
                <w:i/>
                <w:iCs/>
                <w:spacing w:val="-1"/>
              </w:rPr>
              <w:t>Spizixos canifrons</w:t>
            </w:r>
          </w:p>
        </w:tc>
        <w:tc>
          <w:tcPr>
            <w:tcW w:w="685" w:type="dxa"/>
            <w:vAlign w:val="top"/>
          </w:tcPr>
          <w:p w14:paraId="26B13C43">
            <w:pPr>
              <w:pStyle w:val="6"/>
              <w:spacing w:before="117" w:line="183" w:lineRule="auto"/>
              <w:ind w:left="270"/>
            </w:pPr>
            <w:r>
              <w:t>R</w:t>
            </w:r>
          </w:p>
        </w:tc>
        <w:tc>
          <w:tcPr>
            <w:tcW w:w="494" w:type="dxa"/>
            <w:vAlign w:val="top"/>
          </w:tcPr>
          <w:p w14:paraId="2DE64DB2">
            <w:pPr>
              <w:pStyle w:val="6"/>
              <w:spacing w:before="114" w:line="186" w:lineRule="auto"/>
              <w:ind w:left="175"/>
            </w:pPr>
            <w:r>
              <w:t>O</w:t>
            </w:r>
          </w:p>
        </w:tc>
        <w:tc>
          <w:tcPr>
            <w:tcW w:w="875" w:type="dxa"/>
            <w:vAlign w:val="top"/>
          </w:tcPr>
          <w:p w14:paraId="4C53B8C3">
            <w:pPr>
              <w:rPr>
                <w:rFonts w:ascii="Arial"/>
                <w:sz w:val="21"/>
              </w:rPr>
            </w:pPr>
          </w:p>
        </w:tc>
        <w:tc>
          <w:tcPr>
            <w:tcW w:w="874" w:type="dxa"/>
            <w:vAlign w:val="top"/>
          </w:tcPr>
          <w:p w14:paraId="7DE12034">
            <w:pPr>
              <w:pStyle w:val="6"/>
              <w:spacing w:before="110" w:line="211" w:lineRule="auto"/>
              <w:ind w:left="266"/>
            </w:pPr>
            <w:r>
              <w:rPr>
                <w:spacing w:val="-1"/>
              </w:rPr>
              <w:t>+++</w:t>
            </w:r>
          </w:p>
        </w:tc>
        <w:tc>
          <w:tcPr>
            <w:tcW w:w="875" w:type="dxa"/>
            <w:vAlign w:val="top"/>
          </w:tcPr>
          <w:p w14:paraId="6309D8B9">
            <w:pPr>
              <w:pStyle w:val="6"/>
              <w:spacing w:before="114" w:line="186" w:lineRule="auto"/>
              <w:ind w:left="399"/>
            </w:pPr>
            <w:r>
              <w:t>S</w:t>
            </w:r>
          </w:p>
        </w:tc>
        <w:tc>
          <w:tcPr>
            <w:tcW w:w="508" w:type="dxa"/>
            <w:tcBorders>
              <w:right w:val="single" w:color="000000" w:sz="12" w:space="0"/>
            </w:tcBorders>
            <w:vAlign w:val="top"/>
          </w:tcPr>
          <w:p w14:paraId="507B33F9">
            <w:pPr>
              <w:rPr>
                <w:rFonts w:ascii="Arial"/>
                <w:sz w:val="21"/>
              </w:rPr>
            </w:pPr>
          </w:p>
        </w:tc>
      </w:tr>
      <w:tr w14:paraId="3C130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5A1E1A8">
            <w:pPr>
              <w:pStyle w:val="6"/>
              <w:spacing w:before="110" w:line="210" w:lineRule="auto"/>
              <w:ind w:left="138"/>
            </w:pPr>
            <w:r>
              <w:rPr>
                <w:spacing w:val="-3"/>
              </w:rPr>
              <w:t>54</w:t>
            </w:r>
          </w:p>
        </w:tc>
        <w:tc>
          <w:tcPr>
            <w:tcW w:w="1257" w:type="dxa"/>
            <w:vAlign w:val="top"/>
          </w:tcPr>
          <w:p w14:paraId="051DAD78">
            <w:pPr>
              <w:spacing w:before="77" w:line="215" w:lineRule="auto"/>
              <w:ind w:left="303"/>
              <w:rPr>
                <w:rFonts w:ascii="宋体" w:hAnsi="宋体" w:eastAsia="宋体" w:cs="宋体"/>
                <w:sz w:val="21"/>
                <w:szCs w:val="21"/>
              </w:rPr>
            </w:pPr>
            <w:r>
              <w:rPr>
                <w:rFonts w:ascii="宋体" w:hAnsi="宋体" w:eastAsia="宋体" w:cs="宋体"/>
                <w:spacing w:val="-2"/>
                <w:sz w:val="21"/>
                <w:szCs w:val="21"/>
              </w:rPr>
              <w:t>黄臀鹎</w:t>
            </w:r>
          </w:p>
        </w:tc>
        <w:tc>
          <w:tcPr>
            <w:tcW w:w="2394" w:type="dxa"/>
            <w:vAlign w:val="top"/>
          </w:tcPr>
          <w:p w14:paraId="6701219D">
            <w:pPr>
              <w:pStyle w:val="6"/>
              <w:spacing w:before="110" w:line="190" w:lineRule="auto"/>
              <w:ind w:left="98"/>
            </w:pPr>
            <w:r>
              <w:rPr>
                <w:i/>
                <w:iCs/>
              </w:rPr>
              <w:t>Pycnonotus</w:t>
            </w:r>
            <w:r>
              <w:rPr>
                <w:i/>
                <w:iCs/>
                <w:spacing w:val="5"/>
              </w:rPr>
              <w:t xml:space="preserve"> </w:t>
            </w:r>
            <w:r>
              <w:rPr>
                <w:i/>
                <w:iCs/>
              </w:rPr>
              <w:t>xanthorrhous</w:t>
            </w:r>
          </w:p>
        </w:tc>
        <w:tc>
          <w:tcPr>
            <w:tcW w:w="685" w:type="dxa"/>
            <w:vAlign w:val="top"/>
          </w:tcPr>
          <w:p w14:paraId="6796F1B6">
            <w:pPr>
              <w:pStyle w:val="6"/>
              <w:spacing w:before="117" w:line="183" w:lineRule="auto"/>
              <w:ind w:left="270"/>
            </w:pPr>
            <w:r>
              <w:t>R</w:t>
            </w:r>
          </w:p>
        </w:tc>
        <w:tc>
          <w:tcPr>
            <w:tcW w:w="494" w:type="dxa"/>
            <w:vAlign w:val="top"/>
          </w:tcPr>
          <w:p w14:paraId="4CEE936F">
            <w:pPr>
              <w:pStyle w:val="6"/>
              <w:spacing w:before="114" w:line="186" w:lineRule="auto"/>
              <w:ind w:left="175"/>
            </w:pPr>
            <w:r>
              <w:t>O</w:t>
            </w:r>
          </w:p>
        </w:tc>
        <w:tc>
          <w:tcPr>
            <w:tcW w:w="875" w:type="dxa"/>
            <w:vAlign w:val="top"/>
          </w:tcPr>
          <w:p w14:paraId="76D2B271">
            <w:pPr>
              <w:rPr>
                <w:rFonts w:ascii="Arial"/>
                <w:sz w:val="21"/>
              </w:rPr>
            </w:pPr>
          </w:p>
        </w:tc>
        <w:tc>
          <w:tcPr>
            <w:tcW w:w="874" w:type="dxa"/>
            <w:vAlign w:val="top"/>
          </w:tcPr>
          <w:p w14:paraId="7C262180">
            <w:pPr>
              <w:pStyle w:val="6"/>
              <w:spacing w:before="110" w:line="210" w:lineRule="auto"/>
              <w:ind w:left="207"/>
            </w:pPr>
            <w:r>
              <w:rPr>
                <w:spacing w:val="-1"/>
              </w:rPr>
              <w:t>++++</w:t>
            </w:r>
          </w:p>
        </w:tc>
        <w:tc>
          <w:tcPr>
            <w:tcW w:w="875" w:type="dxa"/>
            <w:vAlign w:val="top"/>
          </w:tcPr>
          <w:p w14:paraId="38768974">
            <w:pPr>
              <w:pStyle w:val="6"/>
              <w:spacing w:before="115"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5C36A5A5">
            <w:pPr>
              <w:rPr>
                <w:rFonts w:ascii="Arial"/>
                <w:sz w:val="21"/>
              </w:rPr>
            </w:pPr>
          </w:p>
        </w:tc>
      </w:tr>
      <w:tr w14:paraId="72871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10B49B4">
            <w:pPr>
              <w:pStyle w:val="6"/>
              <w:spacing w:before="112" w:line="208" w:lineRule="auto"/>
              <w:ind w:left="138"/>
            </w:pPr>
            <w:r>
              <w:rPr>
                <w:spacing w:val="-3"/>
              </w:rPr>
              <w:t>55</w:t>
            </w:r>
          </w:p>
        </w:tc>
        <w:tc>
          <w:tcPr>
            <w:tcW w:w="1257" w:type="dxa"/>
            <w:vAlign w:val="top"/>
          </w:tcPr>
          <w:p w14:paraId="30CB5665">
            <w:pPr>
              <w:spacing w:before="78" w:line="214" w:lineRule="auto"/>
              <w:ind w:left="124"/>
              <w:rPr>
                <w:rFonts w:ascii="宋体" w:hAnsi="宋体" w:eastAsia="宋体" w:cs="宋体"/>
                <w:sz w:val="21"/>
                <w:szCs w:val="21"/>
              </w:rPr>
            </w:pPr>
            <w:r>
              <w:rPr>
                <w:rFonts w:ascii="宋体" w:hAnsi="宋体" w:eastAsia="宋体" w:cs="宋体"/>
                <w:spacing w:val="-7"/>
                <w:sz w:val="21"/>
                <w:szCs w:val="21"/>
              </w:rPr>
              <w:t>白喉红臀鹎</w:t>
            </w:r>
          </w:p>
        </w:tc>
        <w:tc>
          <w:tcPr>
            <w:tcW w:w="2394" w:type="dxa"/>
            <w:vAlign w:val="top"/>
          </w:tcPr>
          <w:p w14:paraId="073E70FC">
            <w:pPr>
              <w:pStyle w:val="6"/>
              <w:spacing w:before="112" w:line="190" w:lineRule="auto"/>
              <w:ind w:left="226"/>
            </w:pPr>
            <w:r>
              <w:rPr>
                <w:i/>
                <w:iCs/>
              </w:rPr>
              <w:t>Pycnonotus</w:t>
            </w:r>
            <w:r>
              <w:rPr>
                <w:i/>
                <w:iCs/>
                <w:spacing w:val="9"/>
              </w:rPr>
              <w:t xml:space="preserve"> </w:t>
            </w:r>
            <w:r>
              <w:rPr>
                <w:i/>
                <w:iCs/>
              </w:rPr>
              <w:t>aurigaster</w:t>
            </w:r>
          </w:p>
        </w:tc>
        <w:tc>
          <w:tcPr>
            <w:tcW w:w="685" w:type="dxa"/>
            <w:vAlign w:val="top"/>
          </w:tcPr>
          <w:p w14:paraId="7A9D1279">
            <w:pPr>
              <w:pStyle w:val="6"/>
              <w:spacing w:before="119" w:line="183" w:lineRule="auto"/>
              <w:ind w:left="270"/>
            </w:pPr>
            <w:r>
              <w:t>R</w:t>
            </w:r>
          </w:p>
        </w:tc>
        <w:tc>
          <w:tcPr>
            <w:tcW w:w="494" w:type="dxa"/>
            <w:vAlign w:val="top"/>
          </w:tcPr>
          <w:p w14:paraId="22FD47D0">
            <w:pPr>
              <w:pStyle w:val="6"/>
              <w:spacing w:before="115" w:line="186" w:lineRule="auto"/>
              <w:ind w:left="175"/>
            </w:pPr>
            <w:r>
              <w:t>O</w:t>
            </w:r>
          </w:p>
        </w:tc>
        <w:tc>
          <w:tcPr>
            <w:tcW w:w="875" w:type="dxa"/>
            <w:vAlign w:val="top"/>
          </w:tcPr>
          <w:p w14:paraId="5E75A13E">
            <w:pPr>
              <w:rPr>
                <w:rFonts w:ascii="Arial"/>
                <w:sz w:val="21"/>
              </w:rPr>
            </w:pPr>
          </w:p>
        </w:tc>
        <w:tc>
          <w:tcPr>
            <w:tcW w:w="874" w:type="dxa"/>
            <w:vAlign w:val="top"/>
          </w:tcPr>
          <w:p w14:paraId="48CFED90">
            <w:pPr>
              <w:pStyle w:val="6"/>
              <w:spacing w:before="112" w:line="208" w:lineRule="auto"/>
              <w:ind w:left="207"/>
            </w:pPr>
            <w:r>
              <w:rPr>
                <w:spacing w:val="-1"/>
              </w:rPr>
              <w:t>++++</w:t>
            </w:r>
          </w:p>
        </w:tc>
        <w:tc>
          <w:tcPr>
            <w:tcW w:w="875" w:type="dxa"/>
            <w:vAlign w:val="top"/>
          </w:tcPr>
          <w:p w14:paraId="61B6A4DB">
            <w:pPr>
              <w:pStyle w:val="6"/>
              <w:spacing w:before="115" w:line="186" w:lineRule="auto"/>
              <w:ind w:left="399"/>
            </w:pPr>
            <w:r>
              <w:t>S</w:t>
            </w:r>
          </w:p>
        </w:tc>
        <w:tc>
          <w:tcPr>
            <w:tcW w:w="508" w:type="dxa"/>
            <w:tcBorders>
              <w:right w:val="single" w:color="000000" w:sz="12" w:space="0"/>
            </w:tcBorders>
            <w:vAlign w:val="top"/>
          </w:tcPr>
          <w:p w14:paraId="498D09E8">
            <w:pPr>
              <w:rPr>
                <w:rFonts w:ascii="Arial"/>
                <w:sz w:val="21"/>
              </w:rPr>
            </w:pPr>
          </w:p>
        </w:tc>
      </w:tr>
      <w:tr w14:paraId="64739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8348FDB">
            <w:pPr>
              <w:pStyle w:val="6"/>
              <w:spacing w:before="113" w:line="207" w:lineRule="auto"/>
              <w:ind w:left="138"/>
            </w:pPr>
            <w:r>
              <w:rPr>
                <w:spacing w:val="-3"/>
              </w:rPr>
              <w:t>56</w:t>
            </w:r>
          </w:p>
        </w:tc>
        <w:tc>
          <w:tcPr>
            <w:tcW w:w="1257" w:type="dxa"/>
            <w:vAlign w:val="top"/>
          </w:tcPr>
          <w:p w14:paraId="18C9DC74">
            <w:pPr>
              <w:spacing w:before="79" w:line="213" w:lineRule="auto"/>
              <w:ind w:left="95"/>
              <w:rPr>
                <w:rFonts w:ascii="宋体" w:hAnsi="宋体" w:eastAsia="宋体" w:cs="宋体"/>
                <w:sz w:val="21"/>
                <w:szCs w:val="21"/>
              </w:rPr>
            </w:pPr>
            <w:r>
              <w:rPr>
                <w:rFonts w:ascii="宋体" w:hAnsi="宋体" w:eastAsia="宋体" w:cs="宋体"/>
                <w:spacing w:val="-2"/>
                <w:sz w:val="21"/>
                <w:szCs w:val="21"/>
              </w:rPr>
              <w:t>绿翅短脚鹎</w:t>
            </w:r>
          </w:p>
        </w:tc>
        <w:tc>
          <w:tcPr>
            <w:tcW w:w="2394" w:type="dxa"/>
            <w:vAlign w:val="top"/>
          </w:tcPr>
          <w:p w14:paraId="5BAC5691">
            <w:pPr>
              <w:pStyle w:val="6"/>
              <w:spacing w:before="113" w:line="207" w:lineRule="auto"/>
              <w:ind w:left="459"/>
            </w:pPr>
            <w:r>
              <w:rPr>
                <w:i/>
                <w:iCs/>
              </w:rPr>
              <w:t>Ixos</w:t>
            </w:r>
            <w:r>
              <w:rPr>
                <w:i/>
                <w:iCs/>
                <w:spacing w:val="7"/>
              </w:rPr>
              <w:t xml:space="preserve"> </w:t>
            </w:r>
            <w:r>
              <w:rPr>
                <w:i/>
                <w:iCs/>
              </w:rPr>
              <w:t>mcclellandii</w:t>
            </w:r>
          </w:p>
        </w:tc>
        <w:tc>
          <w:tcPr>
            <w:tcW w:w="685" w:type="dxa"/>
            <w:vAlign w:val="top"/>
          </w:tcPr>
          <w:p w14:paraId="07569F9B">
            <w:pPr>
              <w:pStyle w:val="6"/>
              <w:spacing w:before="120" w:line="183" w:lineRule="auto"/>
              <w:ind w:left="270"/>
            </w:pPr>
            <w:r>
              <w:t>R</w:t>
            </w:r>
          </w:p>
        </w:tc>
        <w:tc>
          <w:tcPr>
            <w:tcW w:w="494" w:type="dxa"/>
            <w:vAlign w:val="top"/>
          </w:tcPr>
          <w:p w14:paraId="0445471B">
            <w:pPr>
              <w:pStyle w:val="6"/>
              <w:spacing w:before="117" w:line="186" w:lineRule="auto"/>
              <w:ind w:left="175"/>
            </w:pPr>
            <w:r>
              <w:t>O</w:t>
            </w:r>
          </w:p>
        </w:tc>
        <w:tc>
          <w:tcPr>
            <w:tcW w:w="875" w:type="dxa"/>
            <w:vAlign w:val="top"/>
          </w:tcPr>
          <w:p w14:paraId="638DFEF4">
            <w:pPr>
              <w:rPr>
                <w:rFonts w:ascii="Arial"/>
                <w:sz w:val="21"/>
              </w:rPr>
            </w:pPr>
          </w:p>
        </w:tc>
        <w:tc>
          <w:tcPr>
            <w:tcW w:w="874" w:type="dxa"/>
            <w:vAlign w:val="top"/>
          </w:tcPr>
          <w:p w14:paraId="53C74C66">
            <w:pPr>
              <w:pStyle w:val="6"/>
              <w:spacing w:before="113" w:line="207" w:lineRule="auto"/>
              <w:ind w:left="266"/>
            </w:pPr>
            <w:r>
              <w:rPr>
                <w:spacing w:val="-1"/>
              </w:rPr>
              <w:t>+++</w:t>
            </w:r>
          </w:p>
        </w:tc>
        <w:tc>
          <w:tcPr>
            <w:tcW w:w="875" w:type="dxa"/>
            <w:vAlign w:val="top"/>
          </w:tcPr>
          <w:p w14:paraId="531207E2">
            <w:pPr>
              <w:pStyle w:val="6"/>
              <w:spacing w:before="117" w:line="186" w:lineRule="auto"/>
              <w:ind w:left="399"/>
            </w:pPr>
            <w:r>
              <w:t>S</w:t>
            </w:r>
          </w:p>
        </w:tc>
        <w:tc>
          <w:tcPr>
            <w:tcW w:w="508" w:type="dxa"/>
            <w:tcBorders>
              <w:right w:val="single" w:color="000000" w:sz="12" w:space="0"/>
            </w:tcBorders>
            <w:vAlign w:val="top"/>
          </w:tcPr>
          <w:p w14:paraId="56B48827">
            <w:pPr>
              <w:rPr>
                <w:rFonts w:ascii="Arial"/>
                <w:sz w:val="21"/>
              </w:rPr>
            </w:pPr>
          </w:p>
        </w:tc>
      </w:tr>
      <w:tr w14:paraId="4F4D7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1E9404E8">
            <w:pPr>
              <w:pStyle w:val="6"/>
              <w:spacing w:before="114" w:line="208" w:lineRule="auto"/>
              <w:ind w:left="138"/>
            </w:pPr>
            <w:r>
              <w:rPr>
                <w:spacing w:val="-3"/>
              </w:rPr>
              <w:t>57</w:t>
            </w:r>
          </w:p>
        </w:tc>
        <w:tc>
          <w:tcPr>
            <w:tcW w:w="1257" w:type="dxa"/>
            <w:vAlign w:val="top"/>
          </w:tcPr>
          <w:p w14:paraId="6C355B02">
            <w:pPr>
              <w:spacing w:before="80" w:line="214" w:lineRule="auto"/>
              <w:ind w:left="205"/>
              <w:rPr>
                <w:rFonts w:ascii="宋体" w:hAnsi="宋体" w:eastAsia="宋体" w:cs="宋体"/>
                <w:sz w:val="21"/>
                <w:szCs w:val="21"/>
              </w:rPr>
            </w:pPr>
            <w:r>
              <w:rPr>
                <w:rFonts w:ascii="宋体" w:hAnsi="宋体" w:eastAsia="宋体" w:cs="宋体"/>
                <w:spacing w:val="-3"/>
                <w:sz w:val="21"/>
                <w:szCs w:val="21"/>
              </w:rPr>
              <w:t>黑短脚鹎</w:t>
            </w:r>
          </w:p>
        </w:tc>
        <w:tc>
          <w:tcPr>
            <w:tcW w:w="2394" w:type="dxa"/>
            <w:vAlign w:val="top"/>
          </w:tcPr>
          <w:p w14:paraId="19162FCA">
            <w:pPr>
              <w:pStyle w:val="6"/>
              <w:spacing w:before="114" w:line="190" w:lineRule="auto"/>
              <w:ind w:left="93"/>
            </w:pPr>
            <w:r>
              <w:rPr>
                <w:i/>
                <w:iCs/>
              </w:rPr>
              <w:t>Hypsipetes</w:t>
            </w:r>
            <w:r>
              <w:rPr>
                <w:i/>
                <w:iCs/>
                <w:spacing w:val="7"/>
              </w:rPr>
              <w:t xml:space="preserve"> </w:t>
            </w:r>
            <w:r>
              <w:rPr>
                <w:i/>
                <w:iCs/>
              </w:rPr>
              <w:t>leucocephalus</w:t>
            </w:r>
          </w:p>
        </w:tc>
        <w:tc>
          <w:tcPr>
            <w:tcW w:w="685" w:type="dxa"/>
            <w:vAlign w:val="top"/>
          </w:tcPr>
          <w:p w14:paraId="05879B55">
            <w:pPr>
              <w:pStyle w:val="6"/>
              <w:spacing w:before="121" w:line="183" w:lineRule="auto"/>
              <w:ind w:left="270"/>
            </w:pPr>
            <w:r>
              <w:t>R</w:t>
            </w:r>
          </w:p>
        </w:tc>
        <w:tc>
          <w:tcPr>
            <w:tcW w:w="494" w:type="dxa"/>
            <w:vAlign w:val="top"/>
          </w:tcPr>
          <w:p w14:paraId="4A9474BF">
            <w:pPr>
              <w:pStyle w:val="6"/>
              <w:spacing w:before="118" w:line="186" w:lineRule="auto"/>
              <w:ind w:left="175"/>
            </w:pPr>
            <w:r>
              <w:t>O</w:t>
            </w:r>
          </w:p>
        </w:tc>
        <w:tc>
          <w:tcPr>
            <w:tcW w:w="875" w:type="dxa"/>
            <w:vAlign w:val="top"/>
          </w:tcPr>
          <w:p w14:paraId="53EFA53E">
            <w:pPr>
              <w:rPr>
                <w:rFonts w:ascii="Arial"/>
                <w:sz w:val="21"/>
              </w:rPr>
            </w:pPr>
          </w:p>
        </w:tc>
        <w:tc>
          <w:tcPr>
            <w:tcW w:w="874" w:type="dxa"/>
            <w:vAlign w:val="top"/>
          </w:tcPr>
          <w:p w14:paraId="0D517179">
            <w:pPr>
              <w:pStyle w:val="6"/>
              <w:spacing w:before="114" w:line="208" w:lineRule="auto"/>
              <w:ind w:left="326"/>
            </w:pPr>
            <w:r>
              <w:rPr>
                <w:spacing w:val="-1"/>
              </w:rPr>
              <w:t>++</w:t>
            </w:r>
          </w:p>
        </w:tc>
        <w:tc>
          <w:tcPr>
            <w:tcW w:w="875" w:type="dxa"/>
            <w:vAlign w:val="top"/>
          </w:tcPr>
          <w:p w14:paraId="19C1DEDD">
            <w:pPr>
              <w:pStyle w:val="6"/>
              <w:spacing w:before="118" w:line="186" w:lineRule="auto"/>
              <w:ind w:left="399"/>
            </w:pPr>
            <w:r>
              <w:t>S</w:t>
            </w:r>
          </w:p>
        </w:tc>
        <w:tc>
          <w:tcPr>
            <w:tcW w:w="508" w:type="dxa"/>
            <w:tcBorders>
              <w:right w:val="single" w:color="000000" w:sz="12" w:space="0"/>
            </w:tcBorders>
            <w:vAlign w:val="top"/>
          </w:tcPr>
          <w:p w14:paraId="37A31547">
            <w:pPr>
              <w:rPr>
                <w:rFonts w:ascii="Arial"/>
                <w:sz w:val="21"/>
              </w:rPr>
            </w:pPr>
          </w:p>
        </w:tc>
      </w:tr>
      <w:tr w14:paraId="4C9AC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39AF4B7">
            <w:pPr>
              <w:pStyle w:val="6"/>
              <w:spacing w:before="118" w:line="186" w:lineRule="auto"/>
              <w:ind w:left="68"/>
            </w:pPr>
            <w:r>
              <w:rPr>
                <w:b/>
                <w:bCs/>
                <w:spacing w:val="-2"/>
              </w:rPr>
              <w:t>F27</w:t>
            </w:r>
          </w:p>
        </w:tc>
        <w:tc>
          <w:tcPr>
            <w:tcW w:w="1257" w:type="dxa"/>
            <w:vAlign w:val="top"/>
          </w:tcPr>
          <w:p w14:paraId="7CB24E15">
            <w:pPr>
              <w:spacing w:before="80" w:line="213" w:lineRule="auto"/>
              <w:ind w:left="302"/>
              <w:rPr>
                <w:rFonts w:ascii="宋体" w:hAnsi="宋体" w:eastAsia="宋体" w:cs="宋体"/>
                <w:sz w:val="21"/>
                <w:szCs w:val="21"/>
              </w:rPr>
            </w:pPr>
            <w:r>
              <w:rPr>
                <w:rFonts w:ascii="宋体" w:hAnsi="宋体" w:eastAsia="宋体" w:cs="宋体"/>
                <w:b/>
                <w:bCs/>
                <w:spacing w:val="-4"/>
                <w:sz w:val="21"/>
                <w:szCs w:val="21"/>
              </w:rPr>
              <w:t>柳莺科</w:t>
            </w:r>
          </w:p>
        </w:tc>
        <w:tc>
          <w:tcPr>
            <w:tcW w:w="2394" w:type="dxa"/>
            <w:vAlign w:val="top"/>
          </w:tcPr>
          <w:p w14:paraId="6745F045">
            <w:pPr>
              <w:pStyle w:val="6"/>
              <w:spacing w:before="118" w:line="186" w:lineRule="auto"/>
              <w:ind w:left="520"/>
            </w:pPr>
            <w:r>
              <w:rPr>
                <w:b/>
                <w:bCs/>
                <w:spacing w:val="-1"/>
              </w:rPr>
              <w:t>Phylloscopidae</w:t>
            </w:r>
          </w:p>
        </w:tc>
        <w:tc>
          <w:tcPr>
            <w:tcW w:w="685" w:type="dxa"/>
            <w:vAlign w:val="top"/>
          </w:tcPr>
          <w:p w14:paraId="04F8FEBB">
            <w:pPr>
              <w:rPr>
                <w:rFonts w:ascii="Arial"/>
                <w:sz w:val="21"/>
              </w:rPr>
            </w:pPr>
          </w:p>
        </w:tc>
        <w:tc>
          <w:tcPr>
            <w:tcW w:w="494" w:type="dxa"/>
            <w:vAlign w:val="top"/>
          </w:tcPr>
          <w:p w14:paraId="245E3104">
            <w:pPr>
              <w:rPr>
                <w:rFonts w:ascii="Arial"/>
                <w:sz w:val="21"/>
              </w:rPr>
            </w:pPr>
          </w:p>
        </w:tc>
        <w:tc>
          <w:tcPr>
            <w:tcW w:w="875" w:type="dxa"/>
            <w:vAlign w:val="top"/>
          </w:tcPr>
          <w:p w14:paraId="660F0324">
            <w:pPr>
              <w:rPr>
                <w:rFonts w:ascii="Arial"/>
                <w:sz w:val="21"/>
              </w:rPr>
            </w:pPr>
          </w:p>
        </w:tc>
        <w:tc>
          <w:tcPr>
            <w:tcW w:w="874" w:type="dxa"/>
            <w:vAlign w:val="top"/>
          </w:tcPr>
          <w:p w14:paraId="581783E7">
            <w:pPr>
              <w:rPr>
                <w:rFonts w:ascii="Arial"/>
                <w:sz w:val="21"/>
              </w:rPr>
            </w:pPr>
          </w:p>
        </w:tc>
        <w:tc>
          <w:tcPr>
            <w:tcW w:w="875" w:type="dxa"/>
            <w:vAlign w:val="top"/>
          </w:tcPr>
          <w:p w14:paraId="727233FE">
            <w:pPr>
              <w:rPr>
                <w:rFonts w:ascii="Arial"/>
                <w:sz w:val="21"/>
              </w:rPr>
            </w:pPr>
          </w:p>
        </w:tc>
        <w:tc>
          <w:tcPr>
            <w:tcW w:w="508" w:type="dxa"/>
            <w:tcBorders>
              <w:right w:val="single" w:color="000000" w:sz="12" w:space="0"/>
            </w:tcBorders>
            <w:vAlign w:val="top"/>
          </w:tcPr>
          <w:p w14:paraId="0CF13400">
            <w:pPr>
              <w:rPr>
                <w:rFonts w:ascii="Arial"/>
                <w:sz w:val="21"/>
              </w:rPr>
            </w:pPr>
          </w:p>
        </w:tc>
      </w:tr>
      <w:tr w14:paraId="20165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4B87B03">
            <w:pPr>
              <w:pStyle w:val="6"/>
              <w:spacing w:before="113" w:line="207" w:lineRule="auto"/>
              <w:ind w:left="138"/>
            </w:pPr>
            <w:r>
              <w:rPr>
                <w:spacing w:val="-3"/>
              </w:rPr>
              <w:t>58</w:t>
            </w:r>
          </w:p>
        </w:tc>
        <w:tc>
          <w:tcPr>
            <w:tcW w:w="1257" w:type="dxa"/>
            <w:vAlign w:val="top"/>
          </w:tcPr>
          <w:p w14:paraId="46A37669">
            <w:pPr>
              <w:spacing w:before="80" w:line="212" w:lineRule="auto"/>
              <w:ind w:left="303"/>
              <w:rPr>
                <w:rFonts w:ascii="宋体" w:hAnsi="宋体" w:eastAsia="宋体" w:cs="宋体"/>
                <w:sz w:val="21"/>
                <w:szCs w:val="21"/>
              </w:rPr>
            </w:pPr>
            <w:r>
              <w:rPr>
                <w:rFonts w:ascii="宋体" w:hAnsi="宋体" w:eastAsia="宋体" w:cs="宋体"/>
                <w:spacing w:val="-2"/>
                <w:sz w:val="21"/>
                <w:szCs w:val="21"/>
              </w:rPr>
              <w:t>褐柳莺</w:t>
            </w:r>
          </w:p>
        </w:tc>
        <w:tc>
          <w:tcPr>
            <w:tcW w:w="2394" w:type="dxa"/>
            <w:vAlign w:val="top"/>
          </w:tcPr>
          <w:p w14:paraId="44A72692">
            <w:pPr>
              <w:pStyle w:val="6"/>
              <w:spacing w:before="113" w:line="190" w:lineRule="auto"/>
              <w:ind w:left="250"/>
            </w:pPr>
            <w:r>
              <w:rPr>
                <w:i/>
                <w:iCs/>
                <w:spacing w:val="2"/>
              </w:rPr>
              <w:t>Phylloscopusfuscatus</w:t>
            </w:r>
          </w:p>
        </w:tc>
        <w:tc>
          <w:tcPr>
            <w:tcW w:w="685" w:type="dxa"/>
            <w:vAlign w:val="top"/>
          </w:tcPr>
          <w:p w14:paraId="67915F46">
            <w:pPr>
              <w:pStyle w:val="6"/>
              <w:spacing w:before="120" w:line="183" w:lineRule="auto"/>
              <w:ind w:left="240"/>
            </w:pPr>
            <w:r>
              <w:t>W</w:t>
            </w:r>
          </w:p>
        </w:tc>
        <w:tc>
          <w:tcPr>
            <w:tcW w:w="494" w:type="dxa"/>
            <w:vAlign w:val="top"/>
          </w:tcPr>
          <w:p w14:paraId="459F3CC7">
            <w:pPr>
              <w:rPr>
                <w:rFonts w:ascii="Arial"/>
                <w:sz w:val="21"/>
              </w:rPr>
            </w:pPr>
          </w:p>
        </w:tc>
        <w:tc>
          <w:tcPr>
            <w:tcW w:w="875" w:type="dxa"/>
            <w:vAlign w:val="top"/>
          </w:tcPr>
          <w:p w14:paraId="7D919746">
            <w:pPr>
              <w:rPr>
                <w:rFonts w:ascii="Arial"/>
                <w:sz w:val="21"/>
              </w:rPr>
            </w:pPr>
          </w:p>
        </w:tc>
        <w:tc>
          <w:tcPr>
            <w:tcW w:w="874" w:type="dxa"/>
            <w:vAlign w:val="top"/>
          </w:tcPr>
          <w:p w14:paraId="7E0B4497">
            <w:pPr>
              <w:pStyle w:val="6"/>
              <w:spacing w:before="113" w:line="207" w:lineRule="auto"/>
              <w:ind w:left="266"/>
            </w:pPr>
            <w:r>
              <w:rPr>
                <w:spacing w:val="-1"/>
              </w:rPr>
              <w:t>+++</w:t>
            </w:r>
          </w:p>
        </w:tc>
        <w:tc>
          <w:tcPr>
            <w:tcW w:w="875" w:type="dxa"/>
            <w:vAlign w:val="top"/>
          </w:tcPr>
          <w:p w14:paraId="2E7BF53A">
            <w:pPr>
              <w:pStyle w:val="6"/>
              <w:spacing w:before="117" w:line="186" w:lineRule="auto"/>
              <w:ind w:left="399"/>
            </w:pPr>
            <w:r>
              <w:t>S</w:t>
            </w:r>
          </w:p>
        </w:tc>
        <w:tc>
          <w:tcPr>
            <w:tcW w:w="508" w:type="dxa"/>
            <w:tcBorders>
              <w:right w:val="single" w:color="000000" w:sz="12" w:space="0"/>
            </w:tcBorders>
            <w:vAlign w:val="top"/>
          </w:tcPr>
          <w:p w14:paraId="23244927">
            <w:pPr>
              <w:rPr>
                <w:rFonts w:ascii="Arial"/>
                <w:sz w:val="21"/>
              </w:rPr>
            </w:pPr>
          </w:p>
        </w:tc>
      </w:tr>
      <w:tr w14:paraId="3DEA7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674E0AC6">
            <w:pPr>
              <w:pStyle w:val="6"/>
              <w:spacing w:before="115" w:line="205" w:lineRule="auto"/>
              <w:ind w:left="138"/>
            </w:pPr>
            <w:r>
              <w:rPr>
                <w:spacing w:val="-3"/>
              </w:rPr>
              <w:t>59</w:t>
            </w:r>
          </w:p>
        </w:tc>
        <w:tc>
          <w:tcPr>
            <w:tcW w:w="1257" w:type="dxa"/>
            <w:vAlign w:val="top"/>
          </w:tcPr>
          <w:p w14:paraId="344625C9">
            <w:pPr>
              <w:spacing w:before="83" w:line="210" w:lineRule="auto"/>
              <w:ind w:left="198"/>
              <w:rPr>
                <w:rFonts w:ascii="宋体" w:hAnsi="宋体" w:eastAsia="宋体" w:cs="宋体"/>
                <w:sz w:val="21"/>
                <w:szCs w:val="21"/>
              </w:rPr>
            </w:pPr>
            <w:r>
              <w:rPr>
                <w:rFonts w:ascii="宋体" w:hAnsi="宋体" w:eastAsia="宋体" w:cs="宋体"/>
                <w:spacing w:val="-2"/>
                <w:sz w:val="21"/>
                <w:szCs w:val="21"/>
              </w:rPr>
              <w:t>黄腰柳莺</w:t>
            </w:r>
          </w:p>
        </w:tc>
        <w:tc>
          <w:tcPr>
            <w:tcW w:w="2394" w:type="dxa"/>
            <w:vAlign w:val="top"/>
          </w:tcPr>
          <w:p w14:paraId="3D0A9DB2">
            <w:pPr>
              <w:pStyle w:val="6"/>
              <w:spacing w:before="115" w:line="190" w:lineRule="auto"/>
              <w:ind w:left="133"/>
            </w:pPr>
            <w:r>
              <w:rPr>
                <w:i/>
                <w:iCs/>
                <w:spacing w:val="1"/>
              </w:rPr>
              <w:t>Phylloscopus</w:t>
            </w:r>
            <w:r>
              <w:rPr>
                <w:i/>
                <w:iCs/>
                <w:spacing w:val="-18"/>
              </w:rPr>
              <w:t xml:space="preserve"> </w:t>
            </w:r>
            <w:r>
              <w:rPr>
                <w:i/>
                <w:iCs/>
                <w:spacing w:val="1"/>
              </w:rPr>
              <w:t>proregulus</w:t>
            </w:r>
          </w:p>
        </w:tc>
        <w:tc>
          <w:tcPr>
            <w:tcW w:w="685" w:type="dxa"/>
            <w:vAlign w:val="top"/>
          </w:tcPr>
          <w:p w14:paraId="37A69D8A">
            <w:pPr>
              <w:pStyle w:val="6"/>
              <w:spacing w:before="121" w:line="183" w:lineRule="auto"/>
              <w:ind w:left="240"/>
            </w:pPr>
            <w:r>
              <w:t>W</w:t>
            </w:r>
          </w:p>
        </w:tc>
        <w:tc>
          <w:tcPr>
            <w:tcW w:w="494" w:type="dxa"/>
            <w:vAlign w:val="top"/>
          </w:tcPr>
          <w:p w14:paraId="7CC8169E">
            <w:pPr>
              <w:rPr>
                <w:rFonts w:ascii="Arial"/>
                <w:sz w:val="21"/>
              </w:rPr>
            </w:pPr>
          </w:p>
        </w:tc>
        <w:tc>
          <w:tcPr>
            <w:tcW w:w="875" w:type="dxa"/>
            <w:vAlign w:val="top"/>
          </w:tcPr>
          <w:p w14:paraId="3A6DFCA1">
            <w:pPr>
              <w:rPr>
                <w:rFonts w:ascii="Arial"/>
                <w:sz w:val="21"/>
              </w:rPr>
            </w:pPr>
          </w:p>
        </w:tc>
        <w:tc>
          <w:tcPr>
            <w:tcW w:w="874" w:type="dxa"/>
            <w:vAlign w:val="top"/>
          </w:tcPr>
          <w:p w14:paraId="275F726F">
            <w:pPr>
              <w:pStyle w:val="6"/>
              <w:spacing w:before="115" w:line="205" w:lineRule="auto"/>
              <w:ind w:left="266"/>
            </w:pPr>
            <w:r>
              <w:rPr>
                <w:spacing w:val="-1"/>
              </w:rPr>
              <w:t>+++</w:t>
            </w:r>
          </w:p>
        </w:tc>
        <w:tc>
          <w:tcPr>
            <w:tcW w:w="875" w:type="dxa"/>
            <w:vAlign w:val="top"/>
          </w:tcPr>
          <w:p w14:paraId="53B25297">
            <w:pPr>
              <w:pStyle w:val="6"/>
              <w:spacing w:before="118" w:line="186" w:lineRule="auto"/>
              <w:ind w:left="399"/>
            </w:pPr>
            <w:r>
              <w:t>S</w:t>
            </w:r>
          </w:p>
        </w:tc>
        <w:tc>
          <w:tcPr>
            <w:tcW w:w="508" w:type="dxa"/>
            <w:tcBorders>
              <w:right w:val="single" w:color="000000" w:sz="12" w:space="0"/>
            </w:tcBorders>
            <w:vAlign w:val="top"/>
          </w:tcPr>
          <w:p w14:paraId="2A988463">
            <w:pPr>
              <w:rPr>
                <w:rFonts w:ascii="Arial"/>
                <w:sz w:val="21"/>
              </w:rPr>
            </w:pPr>
          </w:p>
        </w:tc>
      </w:tr>
      <w:tr w14:paraId="1BBE5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593E270">
            <w:pPr>
              <w:pStyle w:val="6"/>
              <w:spacing w:before="117" w:line="204" w:lineRule="auto"/>
              <w:ind w:left="137"/>
            </w:pPr>
            <w:r>
              <w:rPr>
                <w:spacing w:val="-3"/>
              </w:rPr>
              <w:t>60</w:t>
            </w:r>
          </w:p>
        </w:tc>
        <w:tc>
          <w:tcPr>
            <w:tcW w:w="1257" w:type="dxa"/>
            <w:vAlign w:val="top"/>
          </w:tcPr>
          <w:p w14:paraId="2A3E51BF">
            <w:pPr>
              <w:spacing w:before="84" w:line="210" w:lineRule="auto"/>
              <w:ind w:left="198"/>
              <w:rPr>
                <w:rFonts w:ascii="宋体" w:hAnsi="宋体" w:eastAsia="宋体" w:cs="宋体"/>
                <w:sz w:val="21"/>
                <w:szCs w:val="21"/>
              </w:rPr>
            </w:pPr>
            <w:r>
              <w:rPr>
                <w:rFonts w:ascii="宋体" w:hAnsi="宋体" w:eastAsia="宋体" w:cs="宋体"/>
                <w:spacing w:val="-2"/>
                <w:sz w:val="21"/>
                <w:szCs w:val="21"/>
              </w:rPr>
              <w:t>黄眉柳莺</w:t>
            </w:r>
          </w:p>
        </w:tc>
        <w:tc>
          <w:tcPr>
            <w:tcW w:w="2394" w:type="dxa"/>
            <w:vAlign w:val="top"/>
          </w:tcPr>
          <w:p w14:paraId="3089060B">
            <w:pPr>
              <w:pStyle w:val="6"/>
              <w:spacing w:before="117" w:line="190" w:lineRule="auto"/>
              <w:ind w:left="191"/>
            </w:pPr>
            <w:r>
              <w:rPr>
                <w:i/>
                <w:iCs/>
              </w:rPr>
              <w:t>Phylloscopus</w:t>
            </w:r>
            <w:r>
              <w:rPr>
                <w:i/>
                <w:iCs/>
                <w:spacing w:val="5"/>
              </w:rPr>
              <w:t xml:space="preserve"> </w:t>
            </w:r>
            <w:r>
              <w:rPr>
                <w:i/>
                <w:iCs/>
              </w:rPr>
              <w:t>inornatus</w:t>
            </w:r>
          </w:p>
        </w:tc>
        <w:tc>
          <w:tcPr>
            <w:tcW w:w="685" w:type="dxa"/>
            <w:vAlign w:val="top"/>
          </w:tcPr>
          <w:p w14:paraId="6E8C04E0">
            <w:pPr>
              <w:pStyle w:val="6"/>
              <w:spacing w:before="124" w:line="183" w:lineRule="auto"/>
              <w:ind w:left="240"/>
            </w:pPr>
            <w:r>
              <w:t>W</w:t>
            </w:r>
          </w:p>
        </w:tc>
        <w:tc>
          <w:tcPr>
            <w:tcW w:w="494" w:type="dxa"/>
            <w:vAlign w:val="top"/>
          </w:tcPr>
          <w:p w14:paraId="1FF7C498">
            <w:pPr>
              <w:rPr>
                <w:rFonts w:ascii="Arial"/>
                <w:sz w:val="21"/>
              </w:rPr>
            </w:pPr>
          </w:p>
        </w:tc>
        <w:tc>
          <w:tcPr>
            <w:tcW w:w="875" w:type="dxa"/>
            <w:vAlign w:val="top"/>
          </w:tcPr>
          <w:p w14:paraId="1972C8A6">
            <w:pPr>
              <w:rPr>
                <w:rFonts w:ascii="Arial"/>
                <w:sz w:val="21"/>
              </w:rPr>
            </w:pPr>
          </w:p>
        </w:tc>
        <w:tc>
          <w:tcPr>
            <w:tcW w:w="874" w:type="dxa"/>
            <w:vAlign w:val="top"/>
          </w:tcPr>
          <w:p w14:paraId="4DF10D4C">
            <w:pPr>
              <w:pStyle w:val="6"/>
              <w:spacing w:before="117" w:line="204" w:lineRule="auto"/>
              <w:ind w:left="266"/>
            </w:pPr>
            <w:r>
              <w:rPr>
                <w:spacing w:val="-1"/>
              </w:rPr>
              <w:t>+++</w:t>
            </w:r>
          </w:p>
        </w:tc>
        <w:tc>
          <w:tcPr>
            <w:tcW w:w="875" w:type="dxa"/>
            <w:vAlign w:val="top"/>
          </w:tcPr>
          <w:p w14:paraId="479466C4">
            <w:pPr>
              <w:pStyle w:val="6"/>
              <w:spacing w:before="121" w:line="186" w:lineRule="auto"/>
              <w:ind w:left="399"/>
            </w:pPr>
            <w:r>
              <w:t>S</w:t>
            </w:r>
          </w:p>
        </w:tc>
        <w:tc>
          <w:tcPr>
            <w:tcW w:w="508" w:type="dxa"/>
            <w:tcBorders>
              <w:right w:val="single" w:color="000000" w:sz="12" w:space="0"/>
            </w:tcBorders>
            <w:vAlign w:val="top"/>
          </w:tcPr>
          <w:p w14:paraId="46ECD782">
            <w:pPr>
              <w:rPr>
                <w:rFonts w:ascii="Arial"/>
                <w:sz w:val="21"/>
              </w:rPr>
            </w:pPr>
          </w:p>
        </w:tc>
      </w:tr>
      <w:tr w14:paraId="19A17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B10245D">
            <w:pPr>
              <w:pStyle w:val="6"/>
              <w:spacing w:before="123" w:line="186" w:lineRule="auto"/>
              <w:ind w:left="68"/>
            </w:pPr>
            <w:r>
              <w:rPr>
                <w:b/>
                <w:bCs/>
                <w:spacing w:val="-2"/>
              </w:rPr>
              <w:t>F28</w:t>
            </w:r>
          </w:p>
        </w:tc>
        <w:tc>
          <w:tcPr>
            <w:tcW w:w="1257" w:type="dxa"/>
            <w:vAlign w:val="top"/>
          </w:tcPr>
          <w:p w14:paraId="20668F40">
            <w:pPr>
              <w:spacing w:before="84" w:line="209" w:lineRule="auto"/>
              <w:ind w:left="302"/>
              <w:rPr>
                <w:rFonts w:ascii="宋体" w:hAnsi="宋体" w:eastAsia="宋体" w:cs="宋体"/>
                <w:sz w:val="21"/>
                <w:szCs w:val="21"/>
              </w:rPr>
            </w:pPr>
            <w:r>
              <w:rPr>
                <w:rFonts w:ascii="宋体" w:hAnsi="宋体" w:eastAsia="宋体" w:cs="宋体"/>
                <w:b/>
                <w:bCs/>
                <w:spacing w:val="-4"/>
                <w:sz w:val="21"/>
                <w:szCs w:val="21"/>
              </w:rPr>
              <w:t>树莺科</w:t>
            </w:r>
          </w:p>
        </w:tc>
        <w:tc>
          <w:tcPr>
            <w:tcW w:w="2394" w:type="dxa"/>
            <w:vAlign w:val="top"/>
          </w:tcPr>
          <w:p w14:paraId="060C4B00">
            <w:pPr>
              <w:pStyle w:val="6"/>
              <w:spacing w:before="123" w:line="186" w:lineRule="auto"/>
              <w:ind w:left="786"/>
            </w:pPr>
            <w:r>
              <w:rPr>
                <w:b/>
                <w:bCs/>
                <w:spacing w:val="-1"/>
              </w:rPr>
              <w:t>Cettiidae</w:t>
            </w:r>
          </w:p>
        </w:tc>
        <w:tc>
          <w:tcPr>
            <w:tcW w:w="685" w:type="dxa"/>
            <w:vAlign w:val="top"/>
          </w:tcPr>
          <w:p w14:paraId="0B0C5E74">
            <w:pPr>
              <w:rPr>
                <w:rFonts w:ascii="Arial"/>
                <w:sz w:val="21"/>
              </w:rPr>
            </w:pPr>
          </w:p>
        </w:tc>
        <w:tc>
          <w:tcPr>
            <w:tcW w:w="494" w:type="dxa"/>
            <w:vAlign w:val="top"/>
          </w:tcPr>
          <w:p w14:paraId="347DC215">
            <w:pPr>
              <w:rPr>
                <w:rFonts w:ascii="Arial"/>
                <w:sz w:val="21"/>
              </w:rPr>
            </w:pPr>
          </w:p>
        </w:tc>
        <w:tc>
          <w:tcPr>
            <w:tcW w:w="875" w:type="dxa"/>
            <w:vAlign w:val="top"/>
          </w:tcPr>
          <w:p w14:paraId="3A039E16">
            <w:pPr>
              <w:rPr>
                <w:rFonts w:ascii="Arial"/>
                <w:sz w:val="21"/>
              </w:rPr>
            </w:pPr>
          </w:p>
        </w:tc>
        <w:tc>
          <w:tcPr>
            <w:tcW w:w="874" w:type="dxa"/>
            <w:vAlign w:val="top"/>
          </w:tcPr>
          <w:p w14:paraId="7DE306F1">
            <w:pPr>
              <w:rPr>
                <w:rFonts w:ascii="Arial"/>
                <w:sz w:val="21"/>
              </w:rPr>
            </w:pPr>
          </w:p>
        </w:tc>
        <w:tc>
          <w:tcPr>
            <w:tcW w:w="875" w:type="dxa"/>
            <w:vAlign w:val="top"/>
          </w:tcPr>
          <w:p w14:paraId="5CD34DF9">
            <w:pPr>
              <w:rPr>
                <w:rFonts w:ascii="Arial"/>
                <w:sz w:val="21"/>
              </w:rPr>
            </w:pPr>
          </w:p>
        </w:tc>
        <w:tc>
          <w:tcPr>
            <w:tcW w:w="508" w:type="dxa"/>
            <w:tcBorders>
              <w:right w:val="single" w:color="000000" w:sz="12" w:space="0"/>
            </w:tcBorders>
            <w:vAlign w:val="top"/>
          </w:tcPr>
          <w:p w14:paraId="42013476">
            <w:pPr>
              <w:rPr>
                <w:rFonts w:ascii="Arial"/>
                <w:sz w:val="21"/>
              </w:rPr>
            </w:pPr>
          </w:p>
        </w:tc>
      </w:tr>
      <w:tr w14:paraId="170A9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11" w:type="dxa"/>
            <w:tcBorders>
              <w:left w:val="single" w:color="000000" w:sz="12" w:space="0"/>
              <w:bottom w:val="single" w:color="000000" w:sz="12" w:space="0"/>
            </w:tcBorders>
            <w:vAlign w:val="top"/>
          </w:tcPr>
          <w:p w14:paraId="0DEA7C77">
            <w:pPr>
              <w:pStyle w:val="6"/>
              <w:spacing w:before="119" w:line="224" w:lineRule="auto"/>
              <w:ind w:left="137"/>
            </w:pPr>
            <w:r>
              <w:rPr>
                <w:spacing w:val="-3"/>
              </w:rPr>
              <w:t>61</w:t>
            </w:r>
          </w:p>
        </w:tc>
        <w:tc>
          <w:tcPr>
            <w:tcW w:w="1257" w:type="dxa"/>
            <w:tcBorders>
              <w:bottom w:val="single" w:color="000000" w:sz="12" w:space="0"/>
            </w:tcBorders>
            <w:vAlign w:val="top"/>
          </w:tcPr>
          <w:p w14:paraId="7B075B44">
            <w:pPr>
              <w:spacing w:before="85" w:line="219" w:lineRule="auto"/>
              <w:ind w:left="204"/>
              <w:rPr>
                <w:rFonts w:ascii="宋体" w:hAnsi="宋体" w:eastAsia="宋体" w:cs="宋体"/>
                <w:sz w:val="21"/>
                <w:szCs w:val="21"/>
              </w:rPr>
            </w:pPr>
            <w:r>
              <w:rPr>
                <w:rFonts w:ascii="宋体" w:hAnsi="宋体" w:eastAsia="宋体" w:cs="宋体"/>
                <w:spacing w:val="-3"/>
                <w:sz w:val="21"/>
                <w:szCs w:val="21"/>
              </w:rPr>
              <w:t>强脚树莺</w:t>
            </w:r>
          </w:p>
        </w:tc>
        <w:tc>
          <w:tcPr>
            <w:tcW w:w="2394" w:type="dxa"/>
            <w:tcBorders>
              <w:bottom w:val="single" w:color="000000" w:sz="12" w:space="0"/>
            </w:tcBorders>
            <w:vAlign w:val="top"/>
          </w:tcPr>
          <w:p w14:paraId="42AEFCA2">
            <w:pPr>
              <w:pStyle w:val="6"/>
              <w:spacing w:before="119" w:line="190" w:lineRule="auto"/>
              <w:ind w:left="442"/>
            </w:pPr>
            <w:r>
              <w:rPr>
                <w:i/>
                <w:iCs/>
                <w:spacing w:val="2"/>
              </w:rPr>
              <w:t>Horoenis</w:t>
            </w:r>
            <w:r>
              <w:rPr>
                <w:i/>
                <w:iCs/>
                <w:spacing w:val="-27"/>
              </w:rPr>
              <w:t xml:space="preserve"> </w:t>
            </w:r>
            <w:r>
              <w:rPr>
                <w:i/>
                <w:iCs/>
                <w:spacing w:val="2"/>
              </w:rPr>
              <w:t>fortipes</w:t>
            </w:r>
          </w:p>
        </w:tc>
        <w:tc>
          <w:tcPr>
            <w:tcW w:w="685" w:type="dxa"/>
            <w:tcBorders>
              <w:bottom w:val="single" w:color="000000" w:sz="12" w:space="0"/>
            </w:tcBorders>
            <w:vAlign w:val="top"/>
          </w:tcPr>
          <w:p w14:paraId="0BD2FCA2">
            <w:pPr>
              <w:pStyle w:val="6"/>
              <w:spacing w:before="126" w:line="183" w:lineRule="auto"/>
              <w:ind w:left="270"/>
            </w:pPr>
            <w:r>
              <w:t>R</w:t>
            </w:r>
          </w:p>
        </w:tc>
        <w:tc>
          <w:tcPr>
            <w:tcW w:w="494" w:type="dxa"/>
            <w:tcBorders>
              <w:bottom w:val="single" w:color="000000" w:sz="12" w:space="0"/>
            </w:tcBorders>
            <w:vAlign w:val="top"/>
          </w:tcPr>
          <w:p w14:paraId="3711099D">
            <w:pPr>
              <w:pStyle w:val="6"/>
              <w:spacing w:before="123" w:line="186" w:lineRule="auto"/>
              <w:ind w:left="175"/>
            </w:pPr>
            <w:r>
              <w:t>O</w:t>
            </w:r>
          </w:p>
        </w:tc>
        <w:tc>
          <w:tcPr>
            <w:tcW w:w="875" w:type="dxa"/>
            <w:tcBorders>
              <w:bottom w:val="single" w:color="000000" w:sz="12" w:space="0"/>
            </w:tcBorders>
            <w:vAlign w:val="top"/>
          </w:tcPr>
          <w:p w14:paraId="37B55478">
            <w:pPr>
              <w:rPr>
                <w:rFonts w:ascii="Arial"/>
                <w:sz w:val="21"/>
              </w:rPr>
            </w:pPr>
          </w:p>
        </w:tc>
        <w:tc>
          <w:tcPr>
            <w:tcW w:w="874" w:type="dxa"/>
            <w:tcBorders>
              <w:bottom w:val="single" w:color="000000" w:sz="12" w:space="0"/>
            </w:tcBorders>
            <w:vAlign w:val="top"/>
          </w:tcPr>
          <w:p w14:paraId="3A56A6FD">
            <w:pPr>
              <w:pStyle w:val="6"/>
              <w:spacing w:before="119" w:line="224" w:lineRule="auto"/>
              <w:ind w:left="326"/>
            </w:pPr>
            <w:r>
              <w:rPr>
                <w:spacing w:val="-1"/>
              </w:rPr>
              <w:t>++</w:t>
            </w:r>
          </w:p>
        </w:tc>
        <w:tc>
          <w:tcPr>
            <w:tcW w:w="875" w:type="dxa"/>
            <w:tcBorders>
              <w:bottom w:val="single" w:color="000000" w:sz="12" w:space="0"/>
            </w:tcBorders>
            <w:vAlign w:val="top"/>
          </w:tcPr>
          <w:p w14:paraId="45216122">
            <w:pPr>
              <w:pStyle w:val="6"/>
              <w:spacing w:before="123" w:line="186" w:lineRule="auto"/>
              <w:ind w:left="399"/>
            </w:pPr>
            <w:r>
              <w:t>S</w:t>
            </w:r>
          </w:p>
        </w:tc>
        <w:tc>
          <w:tcPr>
            <w:tcW w:w="508" w:type="dxa"/>
            <w:tcBorders>
              <w:bottom w:val="single" w:color="000000" w:sz="12" w:space="0"/>
              <w:right w:val="single" w:color="000000" w:sz="12" w:space="0"/>
            </w:tcBorders>
            <w:vAlign w:val="top"/>
          </w:tcPr>
          <w:p w14:paraId="421F114D">
            <w:pPr>
              <w:rPr>
                <w:rFonts w:ascii="Arial"/>
                <w:sz w:val="21"/>
              </w:rPr>
            </w:pPr>
          </w:p>
        </w:tc>
      </w:tr>
    </w:tbl>
    <w:p w14:paraId="6BD146DC">
      <w:pPr>
        <w:rPr>
          <w:rFonts w:ascii="Arial"/>
          <w:sz w:val="21"/>
        </w:rPr>
      </w:pPr>
    </w:p>
    <w:p w14:paraId="23433147">
      <w:pPr>
        <w:rPr>
          <w:rFonts w:ascii="Arial" w:hAnsi="Arial" w:eastAsia="Arial" w:cs="Arial"/>
          <w:sz w:val="21"/>
          <w:szCs w:val="21"/>
        </w:rPr>
        <w:sectPr>
          <w:footerReference r:id="rId297" w:type="default"/>
          <w:pgSz w:w="11907" w:h="16839"/>
          <w:pgMar w:top="1376" w:right="1669" w:bottom="1061" w:left="1671" w:header="999" w:footer="861" w:gutter="0"/>
          <w:cols w:space="720" w:num="1"/>
        </w:sectPr>
      </w:pPr>
    </w:p>
    <w:p w14:paraId="21BD1F0A">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57"/>
        <w:gridCol w:w="2394"/>
        <w:gridCol w:w="685"/>
        <w:gridCol w:w="494"/>
        <w:gridCol w:w="875"/>
        <w:gridCol w:w="874"/>
        <w:gridCol w:w="875"/>
        <w:gridCol w:w="508"/>
      </w:tblGrid>
      <w:tr w14:paraId="2629A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511" w:type="dxa"/>
            <w:tcBorders>
              <w:top w:val="single" w:color="000000" w:sz="12" w:space="0"/>
              <w:left w:val="single" w:color="000000" w:sz="12" w:space="0"/>
            </w:tcBorders>
            <w:textDirection w:val="tbRlV"/>
            <w:vAlign w:val="top"/>
          </w:tcPr>
          <w:p w14:paraId="4A8A753D">
            <w:pPr>
              <w:spacing w:before="152" w:line="210" w:lineRule="auto"/>
              <w:ind w:left="58"/>
              <w:rPr>
                <w:rFonts w:ascii="宋体" w:hAnsi="宋体" w:eastAsia="宋体" w:cs="宋体"/>
                <w:sz w:val="21"/>
                <w:szCs w:val="21"/>
              </w:rPr>
            </w:pPr>
            <w:r>
              <w:rPr>
                <w:rFonts w:ascii="宋体" w:hAnsi="宋体" w:eastAsia="宋体" w:cs="宋体"/>
                <w:spacing w:val="31"/>
                <w:sz w:val="21"/>
                <w:szCs w:val="21"/>
              </w:rPr>
              <w:t>序号</w:t>
            </w:r>
          </w:p>
        </w:tc>
        <w:tc>
          <w:tcPr>
            <w:tcW w:w="1257" w:type="dxa"/>
            <w:tcBorders>
              <w:top w:val="single" w:color="000000" w:sz="12" w:space="0"/>
            </w:tcBorders>
            <w:vAlign w:val="top"/>
          </w:tcPr>
          <w:p w14:paraId="1B2D0E4D">
            <w:pPr>
              <w:spacing w:before="194" w:line="220" w:lineRule="auto"/>
              <w:ind w:left="323"/>
              <w:rPr>
                <w:rFonts w:ascii="宋体" w:hAnsi="宋体" w:eastAsia="宋体" w:cs="宋体"/>
                <w:sz w:val="21"/>
                <w:szCs w:val="21"/>
              </w:rPr>
            </w:pPr>
            <w:r>
              <w:rPr>
                <w:rFonts w:ascii="宋体" w:hAnsi="宋体" w:eastAsia="宋体" w:cs="宋体"/>
                <w:spacing w:val="-7"/>
                <w:sz w:val="21"/>
                <w:szCs w:val="21"/>
              </w:rPr>
              <w:t>中文名</w:t>
            </w:r>
          </w:p>
        </w:tc>
        <w:tc>
          <w:tcPr>
            <w:tcW w:w="2394" w:type="dxa"/>
            <w:tcBorders>
              <w:top w:val="single" w:color="000000" w:sz="12" w:space="0"/>
            </w:tcBorders>
            <w:vAlign w:val="top"/>
          </w:tcPr>
          <w:p w14:paraId="21ECCD88">
            <w:pPr>
              <w:spacing w:before="193" w:line="221" w:lineRule="auto"/>
              <w:ind w:left="881"/>
              <w:rPr>
                <w:rFonts w:ascii="宋体" w:hAnsi="宋体" w:eastAsia="宋体" w:cs="宋体"/>
                <w:sz w:val="21"/>
                <w:szCs w:val="21"/>
              </w:rPr>
            </w:pPr>
            <w:r>
              <w:rPr>
                <w:rFonts w:ascii="宋体" w:hAnsi="宋体" w:eastAsia="宋体" w:cs="宋体"/>
                <w:spacing w:val="-3"/>
                <w:sz w:val="21"/>
                <w:szCs w:val="21"/>
              </w:rPr>
              <w:t>拉丁名</w:t>
            </w:r>
          </w:p>
        </w:tc>
        <w:tc>
          <w:tcPr>
            <w:tcW w:w="685" w:type="dxa"/>
            <w:tcBorders>
              <w:top w:val="single" w:color="000000" w:sz="12" w:space="0"/>
            </w:tcBorders>
            <w:vAlign w:val="top"/>
          </w:tcPr>
          <w:p w14:paraId="6962E7FE">
            <w:pPr>
              <w:spacing w:before="59" w:line="236" w:lineRule="auto"/>
              <w:ind w:left="246" w:right="128" w:hanging="110"/>
              <w:rPr>
                <w:rFonts w:ascii="宋体" w:hAnsi="宋体" w:eastAsia="宋体" w:cs="宋体"/>
                <w:sz w:val="21"/>
                <w:szCs w:val="21"/>
              </w:rPr>
            </w:pPr>
            <w:r>
              <w:rPr>
                <w:rFonts w:ascii="宋体" w:hAnsi="宋体" w:eastAsia="宋体" w:cs="宋体"/>
                <w:spacing w:val="-5"/>
                <w:sz w:val="21"/>
                <w:szCs w:val="21"/>
              </w:rPr>
              <w:t>居留</w:t>
            </w:r>
            <w:r>
              <w:rPr>
                <w:rFonts w:ascii="宋体" w:hAnsi="宋体" w:eastAsia="宋体" w:cs="宋体"/>
                <w:sz w:val="21"/>
                <w:szCs w:val="21"/>
              </w:rPr>
              <w:t>型</w:t>
            </w:r>
          </w:p>
        </w:tc>
        <w:tc>
          <w:tcPr>
            <w:tcW w:w="494" w:type="dxa"/>
            <w:tcBorders>
              <w:top w:val="single" w:color="000000" w:sz="12" w:space="0"/>
            </w:tcBorders>
            <w:textDirection w:val="tbRlV"/>
            <w:vAlign w:val="top"/>
          </w:tcPr>
          <w:p w14:paraId="399F90A5">
            <w:pPr>
              <w:spacing w:before="135" w:line="206" w:lineRule="auto"/>
              <w:ind w:left="58"/>
              <w:rPr>
                <w:rFonts w:ascii="宋体" w:hAnsi="宋体" w:eastAsia="宋体" w:cs="宋体"/>
                <w:sz w:val="21"/>
                <w:szCs w:val="21"/>
              </w:rPr>
            </w:pPr>
            <w:r>
              <w:rPr>
                <w:rFonts w:ascii="宋体" w:hAnsi="宋体" w:eastAsia="宋体" w:cs="宋体"/>
                <w:spacing w:val="31"/>
                <w:sz w:val="21"/>
                <w:szCs w:val="21"/>
              </w:rPr>
              <w:t>区系</w:t>
            </w:r>
          </w:p>
        </w:tc>
        <w:tc>
          <w:tcPr>
            <w:tcW w:w="875" w:type="dxa"/>
            <w:tcBorders>
              <w:top w:val="single" w:color="000000" w:sz="12" w:space="0"/>
            </w:tcBorders>
            <w:vAlign w:val="top"/>
          </w:tcPr>
          <w:p w14:paraId="67895FD0">
            <w:pPr>
              <w:spacing w:before="59" w:line="236" w:lineRule="auto"/>
              <w:ind w:left="341" w:right="112"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874" w:type="dxa"/>
            <w:tcBorders>
              <w:top w:val="single" w:color="000000" w:sz="12" w:space="0"/>
            </w:tcBorders>
            <w:vAlign w:val="top"/>
          </w:tcPr>
          <w:p w14:paraId="57BD7431">
            <w:pPr>
              <w:spacing w:before="59" w:line="236" w:lineRule="auto"/>
              <w:ind w:left="343" w:right="108" w:hanging="200"/>
              <w:rPr>
                <w:rFonts w:ascii="宋体" w:hAnsi="宋体" w:eastAsia="宋体" w:cs="宋体"/>
                <w:sz w:val="21"/>
                <w:szCs w:val="21"/>
              </w:rPr>
            </w:pPr>
            <w:r>
              <w:rPr>
                <w:rFonts w:ascii="宋体" w:hAnsi="宋体" w:eastAsia="宋体" w:cs="宋体"/>
                <w:spacing w:val="-6"/>
                <w:sz w:val="21"/>
                <w:szCs w:val="21"/>
              </w:rPr>
              <w:t>资源现</w:t>
            </w:r>
            <w:r>
              <w:rPr>
                <w:rFonts w:ascii="宋体" w:hAnsi="宋体" w:eastAsia="宋体" w:cs="宋体"/>
                <w:sz w:val="21"/>
                <w:szCs w:val="21"/>
              </w:rPr>
              <w:t>状</w:t>
            </w:r>
          </w:p>
        </w:tc>
        <w:tc>
          <w:tcPr>
            <w:tcW w:w="875" w:type="dxa"/>
            <w:tcBorders>
              <w:top w:val="single" w:color="000000" w:sz="12" w:space="0"/>
            </w:tcBorders>
            <w:vAlign w:val="top"/>
          </w:tcPr>
          <w:p w14:paraId="4FBAAE49">
            <w:pPr>
              <w:spacing w:before="59" w:line="236" w:lineRule="auto"/>
              <w:ind w:left="346" w:right="105" w:hanging="200"/>
              <w:rPr>
                <w:rFonts w:ascii="宋体" w:hAnsi="宋体" w:eastAsia="宋体" w:cs="宋体"/>
                <w:sz w:val="21"/>
                <w:szCs w:val="21"/>
              </w:rPr>
            </w:pPr>
            <w:r>
              <w:rPr>
                <w:rFonts w:ascii="宋体" w:hAnsi="宋体" w:eastAsia="宋体" w:cs="宋体"/>
                <w:spacing w:val="-6"/>
                <w:sz w:val="21"/>
                <w:szCs w:val="21"/>
              </w:rPr>
              <w:t>资料来</w:t>
            </w:r>
            <w:r>
              <w:rPr>
                <w:rFonts w:ascii="宋体" w:hAnsi="宋体" w:eastAsia="宋体" w:cs="宋体"/>
                <w:sz w:val="21"/>
                <w:szCs w:val="21"/>
              </w:rPr>
              <w:t>源</w:t>
            </w:r>
          </w:p>
        </w:tc>
        <w:tc>
          <w:tcPr>
            <w:tcW w:w="508" w:type="dxa"/>
            <w:tcBorders>
              <w:top w:val="single" w:color="000000" w:sz="12" w:space="0"/>
              <w:right w:val="single" w:color="000000" w:sz="12" w:space="0"/>
            </w:tcBorders>
            <w:textDirection w:val="tbRlV"/>
            <w:vAlign w:val="top"/>
          </w:tcPr>
          <w:p w14:paraId="7A9B1975">
            <w:pPr>
              <w:spacing w:before="127" w:line="209" w:lineRule="auto"/>
              <w:ind w:left="58"/>
              <w:rPr>
                <w:rFonts w:ascii="宋体" w:hAnsi="宋体" w:eastAsia="宋体" w:cs="宋体"/>
                <w:sz w:val="21"/>
                <w:szCs w:val="21"/>
              </w:rPr>
            </w:pPr>
            <w:r>
              <w:rPr>
                <w:rFonts w:ascii="宋体" w:hAnsi="宋体" w:eastAsia="宋体" w:cs="宋体"/>
                <w:spacing w:val="31"/>
                <w:sz w:val="21"/>
                <w:szCs w:val="21"/>
              </w:rPr>
              <w:t>备注</w:t>
            </w:r>
          </w:p>
        </w:tc>
      </w:tr>
      <w:tr w14:paraId="57FE8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1C839E32">
            <w:pPr>
              <w:pStyle w:val="6"/>
              <w:spacing w:before="102" w:line="186" w:lineRule="auto"/>
              <w:ind w:left="68"/>
            </w:pPr>
            <w:r>
              <w:rPr>
                <w:b/>
                <w:bCs/>
                <w:spacing w:val="-2"/>
              </w:rPr>
              <w:t>F29</w:t>
            </w:r>
          </w:p>
        </w:tc>
        <w:tc>
          <w:tcPr>
            <w:tcW w:w="1257" w:type="dxa"/>
            <w:vAlign w:val="top"/>
          </w:tcPr>
          <w:p w14:paraId="5D413B64">
            <w:pPr>
              <w:spacing w:before="64" w:line="219" w:lineRule="auto"/>
              <w:ind w:left="93"/>
              <w:rPr>
                <w:rFonts w:ascii="宋体" w:hAnsi="宋体" w:eastAsia="宋体" w:cs="宋体"/>
                <w:sz w:val="21"/>
                <w:szCs w:val="21"/>
              </w:rPr>
            </w:pPr>
            <w:r>
              <w:rPr>
                <w:rFonts w:ascii="宋体" w:hAnsi="宋体" w:eastAsia="宋体" w:cs="宋体"/>
                <w:b/>
                <w:bCs/>
                <w:spacing w:val="-4"/>
                <w:sz w:val="21"/>
                <w:szCs w:val="21"/>
              </w:rPr>
              <w:t>长尾山雀科</w:t>
            </w:r>
          </w:p>
        </w:tc>
        <w:tc>
          <w:tcPr>
            <w:tcW w:w="2394" w:type="dxa"/>
            <w:vAlign w:val="top"/>
          </w:tcPr>
          <w:p w14:paraId="718034F1">
            <w:pPr>
              <w:pStyle w:val="6"/>
              <w:spacing w:before="103" w:line="186" w:lineRule="auto"/>
              <w:ind w:left="622"/>
            </w:pPr>
            <w:r>
              <w:rPr>
                <w:b/>
                <w:bCs/>
                <w:spacing w:val="-1"/>
              </w:rPr>
              <w:t>Aegithalidae</w:t>
            </w:r>
          </w:p>
        </w:tc>
        <w:tc>
          <w:tcPr>
            <w:tcW w:w="685" w:type="dxa"/>
            <w:vAlign w:val="top"/>
          </w:tcPr>
          <w:p w14:paraId="5CCEFF1B">
            <w:pPr>
              <w:rPr>
                <w:rFonts w:ascii="Arial"/>
                <w:sz w:val="21"/>
              </w:rPr>
            </w:pPr>
          </w:p>
        </w:tc>
        <w:tc>
          <w:tcPr>
            <w:tcW w:w="494" w:type="dxa"/>
            <w:vAlign w:val="top"/>
          </w:tcPr>
          <w:p w14:paraId="52D9BC7B">
            <w:pPr>
              <w:rPr>
                <w:rFonts w:ascii="Arial"/>
                <w:sz w:val="21"/>
              </w:rPr>
            </w:pPr>
          </w:p>
        </w:tc>
        <w:tc>
          <w:tcPr>
            <w:tcW w:w="875" w:type="dxa"/>
            <w:vAlign w:val="top"/>
          </w:tcPr>
          <w:p w14:paraId="316198F6">
            <w:pPr>
              <w:rPr>
                <w:rFonts w:ascii="Arial"/>
                <w:sz w:val="21"/>
              </w:rPr>
            </w:pPr>
          </w:p>
        </w:tc>
        <w:tc>
          <w:tcPr>
            <w:tcW w:w="874" w:type="dxa"/>
            <w:vAlign w:val="top"/>
          </w:tcPr>
          <w:p w14:paraId="48C9ED71">
            <w:pPr>
              <w:rPr>
                <w:rFonts w:ascii="Arial"/>
                <w:sz w:val="21"/>
              </w:rPr>
            </w:pPr>
          </w:p>
        </w:tc>
        <w:tc>
          <w:tcPr>
            <w:tcW w:w="875" w:type="dxa"/>
            <w:vAlign w:val="top"/>
          </w:tcPr>
          <w:p w14:paraId="59ECE163">
            <w:pPr>
              <w:rPr>
                <w:rFonts w:ascii="Arial"/>
                <w:sz w:val="21"/>
              </w:rPr>
            </w:pPr>
          </w:p>
        </w:tc>
        <w:tc>
          <w:tcPr>
            <w:tcW w:w="508" w:type="dxa"/>
            <w:tcBorders>
              <w:right w:val="single" w:color="000000" w:sz="12" w:space="0"/>
            </w:tcBorders>
            <w:vAlign w:val="top"/>
          </w:tcPr>
          <w:p w14:paraId="2E19520E">
            <w:pPr>
              <w:rPr>
                <w:rFonts w:ascii="Arial"/>
                <w:sz w:val="21"/>
              </w:rPr>
            </w:pPr>
          </w:p>
        </w:tc>
      </w:tr>
      <w:tr w14:paraId="605E2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511" w:type="dxa"/>
            <w:tcBorders>
              <w:left w:val="single" w:color="000000" w:sz="12" w:space="0"/>
            </w:tcBorders>
            <w:vAlign w:val="top"/>
          </w:tcPr>
          <w:p w14:paraId="27C4BBEF">
            <w:pPr>
              <w:pStyle w:val="6"/>
              <w:spacing w:before="228" w:line="232" w:lineRule="auto"/>
              <w:ind w:left="137"/>
            </w:pPr>
            <w:r>
              <w:rPr>
                <w:spacing w:val="-3"/>
              </w:rPr>
              <w:t>62</w:t>
            </w:r>
          </w:p>
        </w:tc>
        <w:tc>
          <w:tcPr>
            <w:tcW w:w="1257" w:type="dxa"/>
            <w:vAlign w:val="top"/>
          </w:tcPr>
          <w:p w14:paraId="62A7FAF5">
            <w:pPr>
              <w:spacing w:before="59" w:line="235" w:lineRule="auto"/>
              <w:ind w:left="516" w:right="111" w:hanging="417"/>
              <w:rPr>
                <w:rFonts w:ascii="宋体" w:hAnsi="宋体" w:eastAsia="宋体" w:cs="宋体"/>
                <w:sz w:val="21"/>
                <w:szCs w:val="21"/>
              </w:rPr>
            </w:pPr>
            <w:r>
              <w:rPr>
                <w:rFonts w:ascii="宋体" w:hAnsi="宋体" w:eastAsia="宋体" w:cs="宋体"/>
                <w:spacing w:val="-3"/>
                <w:sz w:val="21"/>
                <w:szCs w:val="21"/>
              </w:rPr>
              <w:t>红头长尾山</w:t>
            </w:r>
            <w:r>
              <w:rPr>
                <w:rFonts w:ascii="宋体" w:hAnsi="宋体" w:eastAsia="宋体" w:cs="宋体"/>
                <w:sz w:val="21"/>
                <w:szCs w:val="21"/>
              </w:rPr>
              <w:t>雀</w:t>
            </w:r>
          </w:p>
        </w:tc>
        <w:tc>
          <w:tcPr>
            <w:tcW w:w="2394" w:type="dxa"/>
            <w:vAlign w:val="top"/>
          </w:tcPr>
          <w:p w14:paraId="70F547BA">
            <w:pPr>
              <w:pStyle w:val="6"/>
              <w:spacing w:before="227" w:line="190" w:lineRule="auto"/>
              <w:ind w:left="275"/>
            </w:pPr>
            <w:r>
              <w:rPr>
                <w:i/>
                <w:iCs/>
              </w:rPr>
              <w:t>Aegithalos</w:t>
            </w:r>
            <w:r>
              <w:rPr>
                <w:i/>
                <w:iCs/>
                <w:spacing w:val="9"/>
              </w:rPr>
              <w:t xml:space="preserve"> </w:t>
            </w:r>
            <w:r>
              <w:rPr>
                <w:i/>
                <w:iCs/>
              </w:rPr>
              <w:t>concinnus</w:t>
            </w:r>
          </w:p>
        </w:tc>
        <w:tc>
          <w:tcPr>
            <w:tcW w:w="685" w:type="dxa"/>
            <w:vAlign w:val="top"/>
          </w:tcPr>
          <w:p w14:paraId="1D51464C">
            <w:pPr>
              <w:pStyle w:val="6"/>
              <w:spacing w:before="234" w:line="183" w:lineRule="auto"/>
              <w:ind w:left="270"/>
            </w:pPr>
            <w:r>
              <w:t>R</w:t>
            </w:r>
          </w:p>
        </w:tc>
        <w:tc>
          <w:tcPr>
            <w:tcW w:w="494" w:type="dxa"/>
            <w:vAlign w:val="top"/>
          </w:tcPr>
          <w:p w14:paraId="4D49BFF6">
            <w:pPr>
              <w:pStyle w:val="6"/>
              <w:spacing w:before="231" w:line="186" w:lineRule="auto"/>
              <w:ind w:left="175"/>
            </w:pPr>
            <w:r>
              <w:t>O</w:t>
            </w:r>
          </w:p>
        </w:tc>
        <w:tc>
          <w:tcPr>
            <w:tcW w:w="875" w:type="dxa"/>
            <w:vAlign w:val="top"/>
          </w:tcPr>
          <w:p w14:paraId="0A7A4952">
            <w:pPr>
              <w:rPr>
                <w:rFonts w:ascii="Arial"/>
                <w:sz w:val="21"/>
              </w:rPr>
            </w:pPr>
          </w:p>
        </w:tc>
        <w:tc>
          <w:tcPr>
            <w:tcW w:w="874" w:type="dxa"/>
            <w:vAlign w:val="top"/>
          </w:tcPr>
          <w:p w14:paraId="545FFC18">
            <w:pPr>
              <w:pStyle w:val="6"/>
              <w:spacing w:before="228" w:line="250" w:lineRule="exact"/>
              <w:ind w:left="207"/>
            </w:pPr>
            <w:r>
              <w:rPr>
                <w:spacing w:val="-1"/>
                <w:position w:val="1"/>
              </w:rPr>
              <w:t>++++</w:t>
            </w:r>
          </w:p>
        </w:tc>
        <w:tc>
          <w:tcPr>
            <w:tcW w:w="875" w:type="dxa"/>
            <w:vAlign w:val="top"/>
          </w:tcPr>
          <w:p w14:paraId="0766F736">
            <w:pPr>
              <w:pStyle w:val="6"/>
              <w:spacing w:before="232"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70C47116">
            <w:pPr>
              <w:rPr>
                <w:rFonts w:ascii="Arial"/>
                <w:sz w:val="21"/>
              </w:rPr>
            </w:pPr>
          </w:p>
        </w:tc>
      </w:tr>
      <w:tr w14:paraId="7B7E9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109F567A">
            <w:pPr>
              <w:pStyle w:val="6"/>
              <w:spacing w:before="104" w:line="186" w:lineRule="auto"/>
              <w:ind w:left="68"/>
            </w:pPr>
            <w:r>
              <w:rPr>
                <w:b/>
                <w:bCs/>
                <w:spacing w:val="-2"/>
              </w:rPr>
              <w:t>F30</w:t>
            </w:r>
          </w:p>
        </w:tc>
        <w:tc>
          <w:tcPr>
            <w:tcW w:w="1257" w:type="dxa"/>
            <w:vAlign w:val="top"/>
          </w:tcPr>
          <w:p w14:paraId="3F914755">
            <w:pPr>
              <w:spacing w:before="66" w:line="219" w:lineRule="auto"/>
              <w:ind w:left="306"/>
              <w:rPr>
                <w:rFonts w:ascii="宋体" w:hAnsi="宋体" w:eastAsia="宋体" w:cs="宋体"/>
                <w:sz w:val="21"/>
                <w:szCs w:val="21"/>
              </w:rPr>
            </w:pPr>
            <w:r>
              <w:rPr>
                <w:rFonts w:ascii="宋体" w:hAnsi="宋体" w:eastAsia="宋体" w:cs="宋体"/>
                <w:b/>
                <w:bCs/>
                <w:spacing w:val="-5"/>
                <w:sz w:val="21"/>
                <w:szCs w:val="21"/>
              </w:rPr>
              <w:t>莺鹛科</w:t>
            </w:r>
          </w:p>
        </w:tc>
        <w:tc>
          <w:tcPr>
            <w:tcW w:w="2394" w:type="dxa"/>
            <w:vAlign w:val="top"/>
          </w:tcPr>
          <w:p w14:paraId="46FA8D4F">
            <w:pPr>
              <w:pStyle w:val="6"/>
              <w:spacing w:before="105" w:line="186" w:lineRule="auto"/>
              <w:ind w:left="788"/>
            </w:pPr>
            <w:r>
              <w:rPr>
                <w:b/>
                <w:bCs/>
                <w:spacing w:val="-2"/>
              </w:rPr>
              <w:t>Sylviidae</w:t>
            </w:r>
          </w:p>
        </w:tc>
        <w:tc>
          <w:tcPr>
            <w:tcW w:w="685" w:type="dxa"/>
            <w:vAlign w:val="top"/>
          </w:tcPr>
          <w:p w14:paraId="7AD569A2">
            <w:pPr>
              <w:rPr>
                <w:rFonts w:ascii="Arial"/>
                <w:sz w:val="21"/>
              </w:rPr>
            </w:pPr>
          </w:p>
        </w:tc>
        <w:tc>
          <w:tcPr>
            <w:tcW w:w="494" w:type="dxa"/>
            <w:vAlign w:val="top"/>
          </w:tcPr>
          <w:p w14:paraId="34262AE0">
            <w:pPr>
              <w:rPr>
                <w:rFonts w:ascii="Arial"/>
                <w:sz w:val="21"/>
              </w:rPr>
            </w:pPr>
          </w:p>
        </w:tc>
        <w:tc>
          <w:tcPr>
            <w:tcW w:w="875" w:type="dxa"/>
            <w:vAlign w:val="top"/>
          </w:tcPr>
          <w:p w14:paraId="64EA9A03">
            <w:pPr>
              <w:rPr>
                <w:rFonts w:ascii="Arial"/>
                <w:sz w:val="21"/>
              </w:rPr>
            </w:pPr>
          </w:p>
        </w:tc>
        <w:tc>
          <w:tcPr>
            <w:tcW w:w="874" w:type="dxa"/>
            <w:vAlign w:val="top"/>
          </w:tcPr>
          <w:p w14:paraId="7E163D2A">
            <w:pPr>
              <w:rPr>
                <w:rFonts w:ascii="Arial"/>
                <w:sz w:val="21"/>
              </w:rPr>
            </w:pPr>
          </w:p>
        </w:tc>
        <w:tc>
          <w:tcPr>
            <w:tcW w:w="875" w:type="dxa"/>
            <w:vAlign w:val="top"/>
          </w:tcPr>
          <w:p w14:paraId="7394003A">
            <w:pPr>
              <w:rPr>
                <w:rFonts w:ascii="Arial"/>
                <w:sz w:val="21"/>
              </w:rPr>
            </w:pPr>
          </w:p>
        </w:tc>
        <w:tc>
          <w:tcPr>
            <w:tcW w:w="508" w:type="dxa"/>
            <w:tcBorders>
              <w:right w:val="single" w:color="000000" w:sz="12" w:space="0"/>
            </w:tcBorders>
            <w:vAlign w:val="top"/>
          </w:tcPr>
          <w:p w14:paraId="6B466BE4">
            <w:pPr>
              <w:rPr>
                <w:rFonts w:ascii="Arial"/>
                <w:sz w:val="21"/>
              </w:rPr>
            </w:pPr>
          </w:p>
        </w:tc>
      </w:tr>
      <w:tr w14:paraId="710DC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88640E5">
            <w:pPr>
              <w:pStyle w:val="6"/>
              <w:spacing w:before="93" w:line="227" w:lineRule="auto"/>
              <w:ind w:left="137"/>
            </w:pPr>
            <w:r>
              <w:rPr>
                <w:spacing w:val="-3"/>
              </w:rPr>
              <w:t>63</w:t>
            </w:r>
          </w:p>
        </w:tc>
        <w:tc>
          <w:tcPr>
            <w:tcW w:w="1257" w:type="dxa"/>
            <w:vAlign w:val="top"/>
          </w:tcPr>
          <w:p w14:paraId="4D716FF3">
            <w:pPr>
              <w:spacing w:before="59" w:line="220" w:lineRule="auto"/>
              <w:ind w:left="198"/>
              <w:rPr>
                <w:rFonts w:ascii="宋体" w:hAnsi="宋体" w:eastAsia="宋体" w:cs="宋体"/>
                <w:sz w:val="21"/>
                <w:szCs w:val="21"/>
              </w:rPr>
            </w:pPr>
            <w:r>
              <w:rPr>
                <w:rFonts w:ascii="宋体" w:hAnsi="宋体" w:eastAsia="宋体" w:cs="宋体"/>
                <w:spacing w:val="-2"/>
                <w:sz w:val="21"/>
                <w:szCs w:val="21"/>
              </w:rPr>
              <w:t>棕头雀鹛</w:t>
            </w:r>
          </w:p>
        </w:tc>
        <w:tc>
          <w:tcPr>
            <w:tcW w:w="2394" w:type="dxa"/>
            <w:vAlign w:val="top"/>
          </w:tcPr>
          <w:p w14:paraId="3A453BAF">
            <w:pPr>
              <w:pStyle w:val="6"/>
              <w:spacing w:before="93" w:line="190" w:lineRule="auto"/>
              <w:ind w:left="361"/>
            </w:pPr>
            <w:r>
              <w:rPr>
                <w:i/>
                <w:iCs/>
              </w:rPr>
              <w:t>Fulvetta</w:t>
            </w:r>
            <w:r>
              <w:rPr>
                <w:i/>
                <w:iCs/>
                <w:spacing w:val="8"/>
              </w:rPr>
              <w:t xml:space="preserve"> </w:t>
            </w:r>
            <w:r>
              <w:rPr>
                <w:i/>
                <w:iCs/>
              </w:rPr>
              <w:t>ruficapilla</w:t>
            </w:r>
          </w:p>
        </w:tc>
        <w:tc>
          <w:tcPr>
            <w:tcW w:w="685" w:type="dxa"/>
            <w:vAlign w:val="top"/>
          </w:tcPr>
          <w:p w14:paraId="51C4FC4F">
            <w:pPr>
              <w:pStyle w:val="6"/>
              <w:spacing w:before="100" w:line="183" w:lineRule="auto"/>
              <w:ind w:left="270"/>
            </w:pPr>
            <w:r>
              <w:t>R</w:t>
            </w:r>
          </w:p>
        </w:tc>
        <w:tc>
          <w:tcPr>
            <w:tcW w:w="494" w:type="dxa"/>
            <w:vAlign w:val="top"/>
          </w:tcPr>
          <w:p w14:paraId="62855FEE">
            <w:pPr>
              <w:pStyle w:val="6"/>
              <w:spacing w:before="96" w:line="186" w:lineRule="auto"/>
              <w:ind w:left="175"/>
            </w:pPr>
            <w:r>
              <w:t>O</w:t>
            </w:r>
          </w:p>
        </w:tc>
        <w:tc>
          <w:tcPr>
            <w:tcW w:w="875" w:type="dxa"/>
            <w:vAlign w:val="top"/>
          </w:tcPr>
          <w:p w14:paraId="5ED52676">
            <w:pPr>
              <w:rPr>
                <w:rFonts w:ascii="Arial"/>
                <w:sz w:val="21"/>
              </w:rPr>
            </w:pPr>
          </w:p>
        </w:tc>
        <w:tc>
          <w:tcPr>
            <w:tcW w:w="874" w:type="dxa"/>
            <w:vAlign w:val="top"/>
          </w:tcPr>
          <w:p w14:paraId="116EB6F7">
            <w:pPr>
              <w:pStyle w:val="6"/>
              <w:spacing w:before="93" w:line="227" w:lineRule="auto"/>
              <w:ind w:left="326"/>
            </w:pPr>
            <w:r>
              <w:rPr>
                <w:spacing w:val="-1"/>
              </w:rPr>
              <w:t>++</w:t>
            </w:r>
          </w:p>
        </w:tc>
        <w:tc>
          <w:tcPr>
            <w:tcW w:w="875" w:type="dxa"/>
            <w:vAlign w:val="top"/>
          </w:tcPr>
          <w:p w14:paraId="453E2DD9">
            <w:pPr>
              <w:pStyle w:val="6"/>
              <w:spacing w:before="96" w:line="186" w:lineRule="auto"/>
              <w:ind w:left="399"/>
            </w:pPr>
            <w:r>
              <w:t>S</w:t>
            </w:r>
          </w:p>
        </w:tc>
        <w:tc>
          <w:tcPr>
            <w:tcW w:w="508" w:type="dxa"/>
            <w:tcBorders>
              <w:right w:val="single" w:color="000000" w:sz="12" w:space="0"/>
            </w:tcBorders>
            <w:vAlign w:val="top"/>
          </w:tcPr>
          <w:p w14:paraId="2B8A6E2E">
            <w:pPr>
              <w:rPr>
                <w:rFonts w:ascii="Arial"/>
                <w:sz w:val="21"/>
              </w:rPr>
            </w:pPr>
          </w:p>
        </w:tc>
      </w:tr>
      <w:tr w14:paraId="6D9D2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8842872">
            <w:pPr>
              <w:pStyle w:val="6"/>
              <w:spacing w:before="94" w:line="226" w:lineRule="auto"/>
              <w:ind w:left="137"/>
            </w:pPr>
            <w:r>
              <w:rPr>
                <w:spacing w:val="-3"/>
              </w:rPr>
              <w:t>64</w:t>
            </w:r>
          </w:p>
        </w:tc>
        <w:tc>
          <w:tcPr>
            <w:tcW w:w="1257" w:type="dxa"/>
            <w:vAlign w:val="top"/>
          </w:tcPr>
          <w:p w14:paraId="3F4F64D7">
            <w:pPr>
              <w:spacing w:before="61" w:line="220" w:lineRule="auto"/>
              <w:ind w:left="198"/>
              <w:rPr>
                <w:rFonts w:ascii="宋体" w:hAnsi="宋体" w:eastAsia="宋体" w:cs="宋体"/>
                <w:sz w:val="21"/>
                <w:szCs w:val="21"/>
              </w:rPr>
            </w:pPr>
            <w:r>
              <w:rPr>
                <w:rFonts w:ascii="宋体" w:hAnsi="宋体" w:eastAsia="宋体" w:cs="宋体"/>
                <w:spacing w:val="-2"/>
                <w:sz w:val="21"/>
                <w:szCs w:val="21"/>
              </w:rPr>
              <w:t>棕头鸦雀</w:t>
            </w:r>
          </w:p>
        </w:tc>
        <w:tc>
          <w:tcPr>
            <w:tcW w:w="2394" w:type="dxa"/>
            <w:vAlign w:val="top"/>
          </w:tcPr>
          <w:p w14:paraId="5B838888">
            <w:pPr>
              <w:pStyle w:val="6"/>
              <w:spacing w:before="94" w:line="226" w:lineRule="auto"/>
              <w:ind w:left="204"/>
            </w:pPr>
            <w:r>
              <w:rPr>
                <w:i/>
                <w:iCs/>
                <w:spacing w:val="-1"/>
              </w:rPr>
              <w:t>Sinosuthora webbianus</w:t>
            </w:r>
          </w:p>
        </w:tc>
        <w:tc>
          <w:tcPr>
            <w:tcW w:w="685" w:type="dxa"/>
            <w:vAlign w:val="top"/>
          </w:tcPr>
          <w:p w14:paraId="03B559EF">
            <w:pPr>
              <w:pStyle w:val="6"/>
              <w:spacing w:before="101" w:line="183" w:lineRule="auto"/>
              <w:ind w:left="270"/>
            </w:pPr>
            <w:r>
              <w:t>R</w:t>
            </w:r>
          </w:p>
        </w:tc>
        <w:tc>
          <w:tcPr>
            <w:tcW w:w="494" w:type="dxa"/>
            <w:vAlign w:val="top"/>
          </w:tcPr>
          <w:p w14:paraId="2BF0C769">
            <w:pPr>
              <w:pStyle w:val="6"/>
              <w:spacing w:before="98" w:line="186" w:lineRule="auto"/>
              <w:ind w:left="117"/>
            </w:pPr>
            <w:r>
              <w:rPr>
                <w:spacing w:val="-3"/>
              </w:rPr>
              <w:t>OP</w:t>
            </w:r>
          </w:p>
        </w:tc>
        <w:tc>
          <w:tcPr>
            <w:tcW w:w="875" w:type="dxa"/>
            <w:vAlign w:val="top"/>
          </w:tcPr>
          <w:p w14:paraId="6168CAC1">
            <w:pPr>
              <w:rPr>
                <w:rFonts w:ascii="Arial"/>
                <w:sz w:val="21"/>
              </w:rPr>
            </w:pPr>
          </w:p>
        </w:tc>
        <w:tc>
          <w:tcPr>
            <w:tcW w:w="874" w:type="dxa"/>
            <w:vAlign w:val="top"/>
          </w:tcPr>
          <w:p w14:paraId="76279809">
            <w:pPr>
              <w:pStyle w:val="6"/>
              <w:spacing w:before="94" w:line="226" w:lineRule="auto"/>
              <w:ind w:left="326"/>
            </w:pPr>
            <w:r>
              <w:rPr>
                <w:spacing w:val="-1"/>
              </w:rPr>
              <w:t>++</w:t>
            </w:r>
          </w:p>
        </w:tc>
        <w:tc>
          <w:tcPr>
            <w:tcW w:w="875" w:type="dxa"/>
            <w:vAlign w:val="top"/>
          </w:tcPr>
          <w:p w14:paraId="1DA27F52">
            <w:pPr>
              <w:pStyle w:val="6"/>
              <w:spacing w:before="98" w:line="186" w:lineRule="auto"/>
              <w:ind w:left="399"/>
            </w:pPr>
            <w:r>
              <w:t>S</w:t>
            </w:r>
          </w:p>
        </w:tc>
        <w:tc>
          <w:tcPr>
            <w:tcW w:w="508" w:type="dxa"/>
            <w:tcBorders>
              <w:right w:val="single" w:color="000000" w:sz="12" w:space="0"/>
            </w:tcBorders>
            <w:vAlign w:val="top"/>
          </w:tcPr>
          <w:p w14:paraId="3322B9CE">
            <w:pPr>
              <w:rPr>
                <w:rFonts w:ascii="Arial"/>
                <w:sz w:val="21"/>
              </w:rPr>
            </w:pPr>
          </w:p>
        </w:tc>
      </w:tr>
      <w:tr w14:paraId="3A50B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F3610B4">
            <w:pPr>
              <w:pStyle w:val="6"/>
              <w:spacing w:before="107" w:line="186" w:lineRule="auto"/>
              <w:ind w:left="68"/>
            </w:pPr>
            <w:r>
              <w:rPr>
                <w:b/>
                <w:bCs/>
                <w:spacing w:val="-2"/>
              </w:rPr>
              <w:t>F31</w:t>
            </w:r>
          </w:p>
        </w:tc>
        <w:tc>
          <w:tcPr>
            <w:tcW w:w="1257" w:type="dxa"/>
            <w:vAlign w:val="top"/>
          </w:tcPr>
          <w:p w14:paraId="472B5EAE">
            <w:pPr>
              <w:spacing w:before="68" w:line="219" w:lineRule="auto"/>
              <w:ind w:left="198"/>
              <w:rPr>
                <w:rFonts w:ascii="宋体" w:hAnsi="宋体" w:eastAsia="宋体" w:cs="宋体"/>
                <w:sz w:val="21"/>
                <w:szCs w:val="21"/>
              </w:rPr>
            </w:pPr>
            <w:r>
              <w:rPr>
                <w:rFonts w:ascii="宋体" w:hAnsi="宋体" w:eastAsia="宋体" w:cs="宋体"/>
                <w:b/>
                <w:bCs/>
                <w:spacing w:val="-4"/>
                <w:sz w:val="21"/>
                <w:szCs w:val="21"/>
              </w:rPr>
              <w:t>绣眼鸟科</w:t>
            </w:r>
          </w:p>
        </w:tc>
        <w:tc>
          <w:tcPr>
            <w:tcW w:w="2394" w:type="dxa"/>
            <w:vAlign w:val="top"/>
          </w:tcPr>
          <w:p w14:paraId="68A58548">
            <w:pPr>
              <w:pStyle w:val="6"/>
              <w:spacing w:before="107" w:line="187" w:lineRule="auto"/>
              <w:ind w:left="599"/>
            </w:pPr>
            <w:r>
              <w:rPr>
                <w:b/>
                <w:bCs/>
                <w:spacing w:val="-1"/>
              </w:rPr>
              <w:t>Zosteropidae</w:t>
            </w:r>
          </w:p>
        </w:tc>
        <w:tc>
          <w:tcPr>
            <w:tcW w:w="685" w:type="dxa"/>
            <w:vAlign w:val="top"/>
          </w:tcPr>
          <w:p w14:paraId="0E0958E8">
            <w:pPr>
              <w:rPr>
                <w:rFonts w:ascii="Arial"/>
                <w:sz w:val="21"/>
              </w:rPr>
            </w:pPr>
          </w:p>
        </w:tc>
        <w:tc>
          <w:tcPr>
            <w:tcW w:w="494" w:type="dxa"/>
            <w:vAlign w:val="top"/>
          </w:tcPr>
          <w:p w14:paraId="6CED73C2">
            <w:pPr>
              <w:rPr>
                <w:rFonts w:ascii="Arial"/>
                <w:sz w:val="21"/>
              </w:rPr>
            </w:pPr>
          </w:p>
        </w:tc>
        <w:tc>
          <w:tcPr>
            <w:tcW w:w="875" w:type="dxa"/>
            <w:vAlign w:val="top"/>
          </w:tcPr>
          <w:p w14:paraId="63C8D257">
            <w:pPr>
              <w:rPr>
                <w:rFonts w:ascii="Arial"/>
                <w:sz w:val="21"/>
              </w:rPr>
            </w:pPr>
          </w:p>
        </w:tc>
        <w:tc>
          <w:tcPr>
            <w:tcW w:w="874" w:type="dxa"/>
            <w:vAlign w:val="top"/>
          </w:tcPr>
          <w:p w14:paraId="108C6720">
            <w:pPr>
              <w:rPr>
                <w:rFonts w:ascii="Arial"/>
                <w:sz w:val="21"/>
              </w:rPr>
            </w:pPr>
          </w:p>
        </w:tc>
        <w:tc>
          <w:tcPr>
            <w:tcW w:w="875" w:type="dxa"/>
            <w:vAlign w:val="top"/>
          </w:tcPr>
          <w:p w14:paraId="2B1F8642">
            <w:pPr>
              <w:rPr>
                <w:rFonts w:ascii="Arial"/>
                <w:sz w:val="21"/>
              </w:rPr>
            </w:pPr>
          </w:p>
        </w:tc>
        <w:tc>
          <w:tcPr>
            <w:tcW w:w="508" w:type="dxa"/>
            <w:tcBorders>
              <w:right w:val="single" w:color="000000" w:sz="12" w:space="0"/>
            </w:tcBorders>
            <w:vAlign w:val="top"/>
          </w:tcPr>
          <w:p w14:paraId="45BB719E">
            <w:pPr>
              <w:rPr>
                <w:rFonts w:ascii="Arial"/>
                <w:sz w:val="21"/>
              </w:rPr>
            </w:pPr>
          </w:p>
        </w:tc>
      </w:tr>
      <w:tr w14:paraId="2E8FD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70CB3D5B">
            <w:pPr>
              <w:pStyle w:val="6"/>
              <w:spacing w:before="95" w:line="226" w:lineRule="auto"/>
              <w:ind w:left="137"/>
            </w:pPr>
            <w:r>
              <w:rPr>
                <w:spacing w:val="-3"/>
              </w:rPr>
              <w:t>65</w:t>
            </w:r>
          </w:p>
        </w:tc>
        <w:tc>
          <w:tcPr>
            <w:tcW w:w="1257" w:type="dxa"/>
            <w:vAlign w:val="top"/>
          </w:tcPr>
          <w:p w14:paraId="13CB828F">
            <w:pPr>
              <w:spacing w:before="62" w:line="220" w:lineRule="auto"/>
              <w:ind w:left="230"/>
              <w:rPr>
                <w:rFonts w:ascii="宋体" w:hAnsi="宋体" w:eastAsia="宋体" w:cs="宋体"/>
                <w:sz w:val="21"/>
                <w:szCs w:val="21"/>
              </w:rPr>
            </w:pPr>
            <w:r>
              <w:rPr>
                <w:rFonts w:ascii="宋体" w:hAnsi="宋体" w:eastAsia="宋体" w:cs="宋体"/>
                <w:spacing w:val="-8"/>
                <w:sz w:val="21"/>
                <w:szCs w:val="21"/>
              </w:rPr>
              <w:t>白领凤鹛</w:t>
            </w:r>
          </w:p>
        </w:tc>
        <w:tc>
          <w:tcPr>
            <w:tcW w:w="2394" w:type="dxa"/>
            <w:vAlign w:val="top"/>
          </w:tcPr>
          <w:p w14:paraId="2B6328A6">
            <w:pPr>
              <w:pStyle w:val="6"/>
              <w:spacing w:before="95" w:line="226" w:lineRule="auto"/>
              <w:ind w:left="437"/>
            </w:pPr>
            <w:r>
              <w:rPr>
                <w:i/>
                <w:iCs/>
                <w:spacing w:val="-2"/>
              </w:rPr>
              <w:t>Yuhina diademata</w:t>
            </w:r>
          </w:p>
        </w:tc>
        <w:tc>
          <w:tcPr>
            <w:tcW w:w="685" w:type="dxa"/>
            <w:vAlign w:val="top"/>
          </w:tcPr>
          <w:p w14:paraId="54C3A1A9">
            <w:pPr>
              <w:pStyle w:val="6"/>
              <w:spacing w:before="102" w:line="183" w:lineRule="auto"/>
              <w:ind w:left="270"/>
            </w:pPr>
            <w:r>
              <w:t>R</w:t>
            </w:r>
          </w:p>
        </w:tc>
        <w:tc>
          <w:tcPr>
            <w:tcW w:w="494" w:type="dxa"/>
            <w:vAlign w:val="top"/>
          </w:tcPr>
          <w:p w14:paraId="6B9BA21C">
            <w:pPr>
              <w:pStyle w:val="6"/>
              <w:spacing w:before="99" w:line="186" w:lineRule="auto"/>
              <w:ind w:left="175"/>
            </w:pPr>
            <w:r>
              <w:t>O</w:t>
            </w:r>
          </w:p>
        </w:tc>
        <w:tc>
          <w:tcPr>
            <w:tcW w:w="875" w:type="dxa"/>
            <w:vAlign w:val="top"/>
          </w:tcPr>
          <w:p w14:paraId="4814D843">
            <w:pPr>
              <w:rPr>
                <w:rFonts w:ascii="Arial"/>
                <w:sz w:val="21"/>
              </w:rPr>
            </w:pPr>
          </w:p>
        </w:tc>
        <w:tc>
          <w:tcPr>
            <w:tcW w:w="874" w:type="dxa"/>
            <w:vAlign w:val="top"/>
          </w:tcPr>
          <w:p w14:paraId="5D4DFF0E">
            <w:pPr>
              <w:pStyle w:val="6"/>
              <w:spacing w:before="95" w:line="226" w:lineRule="auto"/>
              <w:ind w:left="266"/>
            </w:pPr>
            <w:r>
              <w:rPr>
                <w:spacing w:val="-1"/>
              </w:rPr>
              <w:t>+++</w:t>
            </w:r>
          </w:p>
        </w:tc>
        <w:tc>
          <w:tcPr>
            <w:tcW w:w="875" w:type="dxa"/>
            <w:vAlign w:val="top"/>
          </w:tcPr>
          <w:p w14:paraId="636645CE">
            <w:pPr>
              <w:pStyle w:val="6"/>
              <w:spacing w:before="99" w:line="186" w:lineRule="auto"/>
              <w:ind w:left="399"/>
            </w:pPr>
            <w:r>
              <w:t>S</w:t>
            </w:r>
          </w:p>
        </w:tc>
        <w:tc>
          <w:tcPr>
            <w:tcW w:w="508" w:type="dxa"/>
            <w:tcBorders>
              <w:right w:val="single" w:color="000000" w:sz="12" w:space="0"/>
            </w:tcBorders>
            <w:vAlign w:val="top"/>
          </w:tcPr>
          <w:p w14:paraId="6474DE66">
            <w:pPr>
              <w:rPr>
                <w:rFonts w:ascii="Arial"/>
                <w:sz w:val="21"/>
              </w:rPr>
            </w:pPr>
          </w:p>
        </w:tc>
      </w:tr>
      <w:tr w14:paraId="44100C96">
        <w:tblPrEx>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A59D62F">
            <w:pPr>
              <w:pStyle w:val="6"/>
              <w:spacing w:before="96" w:line="224" w:lineRule="auto"/>
              <w:ind w:left="137"/>
            </w:pPr>
            <w:r>
              <w:rPr>
                <w:spacing w:val="-3"/>
              </w:rPr>
              <w:t>66</w:t>
            </w:r>
          </w:p>
        </w:tc>
        <w:tc>
          <w:tcPr>
            <w:tcW w:w="1257" w:type="dxa"/>
            <w:vAlign w:val="top"/>
          </w:tcPr>
          <w:p w14:paraId="63E0CC73">
            <w:pPr>
              <w:spacing w:before="62" w:line="220" w:lineRule="auto"/>
              <w:ind w:left="95"/>
              <w:rPr>
                <w:rFonts w:ascii="宋体" w:hAnsi="宋体" w:eastAsia="宋体" w:cs="宋体"/>
                <w:sz w:val="21"/>
                <w:szCs w:val="21"/>
              </w:rPr>
            </w:pPr>
            <w:r>
              <w:rPr>
                <w:rFonts w:ascii="宋体" w:hAnsi="宋体" w:eastAsia="宋体" w:cs="宋体"/>
                <w:spacing w:val="-2"/>
                <w:sz w:val="21"/>
                <w:szCs w:val="21"/>
              </w:rPr>
              <w:t>灰腹绣眼鸟</w:t>
            </w:r>
          </w:p>
        </w:tc>
        <w:tc>
          <w:tcPr>
            <w:tcW w:w="2394" w:type="dxa"/>
            <w:vAlign w:val="top"/>
          </w:tcPr>
          <w:p w14:paraId="49D17C49">
            <w:pPr>
              <w:pStyle w:val="6"/>
              <w:spacing w:before="96" w:line="190" w:lineRule="auto"/>
              <w:ind w:left="231"/>
            </w:pPr>
            <w:r>
              <w:rPr>
                <w:i/>
                <w:iCs/>
                <w:spacing w:val="1"/>
              </w:rPr>
              <w:t>Zosterops</w:t>
            </w:r>
            <w:r>
              <w:rPr>
                <w:i/>
                <w:iCs/>
                <w:spacing w:val="-21"/>
              </w:rPr>
              <w:t xml:space="preserve"> </w:t>
            </w:r>
            <w:r>
              <w:rPr>
                <w:i/>
                <w:iCs/>
                <w:spacing w:val="1"/>
              </w:rPr>
              <w:t>palpebrosus</w:t>
            </w:r>
          </w:p>
        </w:tc>
        <w:tc>
          <w:tcPr>
            <w:tcW w:w="685" w:type="dxa"/>
            <w:vAlign w:val="top"/>
          </w:tcPr>
          <w:p w14:paraId="7477BA6A">
            <w:pPr>
              <w:pStyle w:val="6"/>
              <w:spacing w:before="103" w:line="183" w:lineRule="auto"/>
              <w:ind w:left="270"/>
            </w:pPr>
            <w:r>
              <w:t>R</w:t>
            </w:r>
          </w:p>
        </w:tc>
        <w:tc>
          <w:tcPr>
            <w:tcW w:w="494" w:type="dxa"/>
            <w:vAlign w:val="top"/>
          </w:tcPr>
          <w:p w14:paraId="5D424306">
            <w:pPr>
              <w:pStyle w:val="6"/>
              <w:spacing w:before="99" w:line="186" w:lineRule="auto"/>
              <w:ind w:left="175"/>
            </w:pPr>
            <w:r>
              <w:t>O</w:t>
            </w:r>
          </w:p>
        </w:tc>
        <w:tc>
          <w:tcPr>
            <w:tcW w:w="875" w:type="dxa"/>
            <w:vAlign w:val="top"/>
          </w:tcPr>
          <w:p w14:paraId="20CD834A">
            <w:pPr>
              <w:rPr>
                <w:rFonts w:ascii="Arial"/>
                <w:sz w:val="21"/>
              </w:rPr>
            </w:pPr>
          </w:p>
        </w:tc>
        <w:tc>
          <w:tcPr>
            <w:tcW w:w="874" w:type="dxa"/>
            <w:vAlign w:val="top"/>
          </w:tcPr>
          <w:p w14:paraId="0562D653">
            <w:pPr>
              <w:pStyle w:val="6"/>
              <w:spacing w:before="96" w:line="224" w:lineRule="auto"/>
              <w:ind w:left="207"/>
            </w:pPr>
            <w:r>
              <w:rPr>
                <w:spacing w:val="-1"/>
              </w:rPr>
              <w:t>++++</w:t>
            </w:r>
          </w:p>
        </w:tc>
        <w:tc>
          <w:tcPr>
            <w:tcW w:w="875" w:type="dxa"/>
            <w:vAlign w:val="top"/>
          </w:tcPr>
          <w:p w14:paraId="41A22FA1">
            <w:pPr>
              <w:pStyle w:val="6"/>
              <w:spacing w:before="99" w:line="186" w:lineRule="auto"/>
              <w:ind w:left="399"/>
            </w:pPr>
            <w:r>
              <w:t>S</w:t>
            </w:r>
          </w:p>
        </w:tc>
        <w:tc>
          <w:tcPr>
            <w:tcW w:w="508" w:type="dxa"/>
            <w:tcBorders>
              <w:right w:val="single" w:color="000000" w:sz="12" w:space="0"/>
            </w:tcBorders>
            <w:vAlign w:val="top"/>
          </w:tcPr>
          <w:p w14:paraId="0402ACB0">
            <w:pPr>
              <w:rPr>
                <w:rFonts w:ascii="Arial"/>
                <w:sz w:val="21"/>
              </w:rPr>
            </w:pPr>
          </w:p>
        </w:tc>
      </w:tr>
      <w:tr w14:paraId="7F2B0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B83E8FA">
            <w:pPr>
              <w:pStyle w:val="6"/>
              <w:spacing w:before="102" w:line="186" w:lineRule="auto"/>
              <w:ind w:left="68"/>
            </w:pPr>
            <w:r>
              <w:rPr>
                <w:b/>
                <w:bCs/>
                <w:spacing w:val="-2"/>
              </w:rPr>
              <w:t>F32</w:t>
            </w:r>
          </w:p>
        </w:tc>
        <w:tc>
          <w:tcPr>
            <w:tcW w:w="1257" w:type="dxa"/>
            <w:vAlign w:val="top"/>
          </w:tcPr>
          <w:p w14:paraId="1605ABB3">
            <w:pPr>
              <w:spacing w:before="64" w:line="219" w:lineRule="auto"/>
              <w:ind w:left="303"/>
              <w:rPr>
                <w:rFonts w:ascii="宋体" w:hAnsi="宋体" w:eastAsia="宋体" w:cs="宋体"/>
                <w:sz w:val="21"/>
                <w:szCs w:val="21"/>
              </w:rPr>
            </w:pPr>
            <w:r>
              <w:rPr>
                <w:rFonts w:ascii="宋体" w:hAnsi="宋体" w:eastAsia="宋体" w:cs="宋体"/>
                <w:b/>
                <w:bCs/>
                <w:spacing w:val="-4"/>
                <w:sz w:val="21"/>
                <w:szCs w:val="21"/>
              </w:rPr>
              <w:t>林鹛科</w:t>
            </w:r>
          </w:p>
        </w:tc>
        <w:tc>
          <w:tcPr>
            <w:tcW w:w="2394" w:type="dxa"/>
            <w:vAlign w:val="top"/>
          </w:tcPr>
          <w:p w14:paraId="7B2D8EF7">
            <w:pPr>
              <w:pStyle w:val="6"/>
              <w:spacing w:before="101" w:line="187" w:lineRule="auto"/>
              <w:ind w:left="709"/>
            </w:pPr>
            <w:r>
              <w:rPr>
                <w:b/>
                <w:bCs/>
                <w:spacing w:val="-1"/>
              </w:rPr>
              <w:t>Timaliidae</w:t>
            </w:r>
          </w:p>
        </w:tc>
        <w:tc>
          <w:tcPr>
            <w:tcW w:w="685" w:type="dxa"/>
            <w:vAlign w:val="top"/>
          </w:tcPr>
          <w:p w14:paraId="7175B901">
            <w:pPr>
              <w:rPr>
                <w:rFonts w:ascii="Arial"/>
                <w:sz w:val="21"/>
              </w:rPr>
            </w:pPr>
          </w:p>
        </w:tc>
        <w:tc>
          <w:tcPr>
            <w:tcW w:w="494" w:type="dxa"/>
            <w:vAlign w:val="top"/>
          </w:tcPr>
          <w:p w14:paraId="2D05B77A">
            <w:pPr>
              <w:rPr>
                <w:rFonts w:ascii="Arial"/>
                <w:sz w:val="21"/>
              </w:rPr>
            </w:pPr>
          </w:p>
        </w:tc>
        <w:tc>
          <w:tcPr>
            <w:tcW w:w="875" w:type="dxa"/>
            <w:vAlign w:val="top"/>
          </w:tcPr>
          <w:p w14:paraId="68C594B7">
            <w:pPr>
              <w:rPr>
                <w:rFonts w:ascii="Arial"/>
                <w:sz w:val="21"/>
              </w:rPr>
            </w:pPr>
          </w:p>
        </w:tc>
        <w:tc>
          <w:tcPr>
            <w:tcW w:w="874" w:type="dxa"/>
            <w:vAlign w:val="top"/>
          </w:tcPr>
          <w:p w14:paraId="03AB91EF">
            <w:pPr>
              <w:rPr>
                <w:rFonts w:ascii="Arial"/>
                <w:sz w:val="21"/>
              </w:rPr>
            </w:pPr>
          </w:p>
        </w:tc>
        <w:tc>
          <w:tcPr>
            <w:tcW w:w="875" w:type="dxa"/>
            <w:vAlign w:val="top"/>
          </w:tcPr>
          <w:p w14:paraId="232D9B9C">
            <w:pPr>
              <w:rPr>
                <w:rFonts w:ascii="Arial"/>
                <w:sz w:val="21"/>
              </w:rPr>
            </w:pPr>
          </w:p>
        </w:tc>
        <w:tc>
          <w:tcPr>
            <w:tcW w:w="508" w:type="dxa"/>
            <w:tcBorders>
              <w:right w:val="single" w:color="000000" w:sz="12" w:space="0"/>
            </w:tcBorders>
            <w:vAlign w:val="top"/>
          </w:tcPr>
          <w:p w14:paraId="1961AC75">
            <w:pPr>
              <w:rPr>
                <w:rFonts w:ascii="Arial"/>
                <w:sz w:val="21"/>
              </w:rPr>
            </w:pPr>
          </w:p>
        </w:tc>
      </w:tr>
      <w:tr w14:paraId="5E66C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6872B86">
            <w:pPr>
              <w:pStyle w:val="6"/>
              <w:spacing w:before="98" w:line="223" w:lineRule="auto"/>
              <w:ind w:left="137"/>
            </w:pPr>
            <w:r>
              <w:rPr>
                <w:spacing w:val="-3"/>
              </w:rPr>
              <w:t>67</w:t>
            </w:r>
          </w:p>
        </w:tc>
        <w:tc>
          <w:tcPr>
            <w:tcW w:w="1257" w:type="dxa"/>
            <w:vAlign w:val="top"/>
          </w:tcPr>
          <w:p w14:paraId="08CCE2BD">
            <w:pPr>
              <w:spacing w:before="64" w:line="220" w:lineRule="auto"/>
              <w:ind w:left="93"/>
              <w:rPr>
                <w:rFonts w:ascii="宋体" w:hAnsi="宋体" w:eastAsia="宋体" w:cs="宋体"/>
                <w:sz w:val="21"/>
                <w:szCs w:val="21"/>
              </w:rPr>
            </w:pPr>
            <w:r>
              <w:rPr>
                <w:rFonts w:ascii="宋体" w:hAnsi="宋体" w:eastAsia="宋体" w:cs="宋体"/>
                <w:spacing w:val="-2"/>
                <w:sz w:val="21"/>
                <w:szCs w:val="21"/>
              </w:rPr>
              <w:t>斑胸钩嘴鹛</w:t>
            </w:r>
          </w:p>
        </w:tc>
        <w:tc>
          <w:tcPr>
            <w:tcW w:w="2394" w:type="dxa"/>
            <w:vAlign w:val="top"/>
          </w:tcPr>
          <w:p w14:paraId="65F083FE">
            <w:pPr>
              <w:pStyle w:val="6"/>
              <w:spacing w:before="98" w:line="190" w:lineRule="auto"/>
              <w:ind w:left="193"/>
            </w:pPr>
            <w:r>
              <w:rPr>
                <w:i/>
                <w:iCs/>
              </w:rPr>
              <w:t>Pomatorhinus</w:t>
            </w:r>
            <w:r>
              <w:rPr>
                <w:i/>
                <w:iCs/>
                <w:spacing w:val="3"/>
              </w:rPr>
              <w:t xml:space="preserve"> </w:t>
            </w:r>
            <w:r>
              <w:rPr>
                <w:i/>
                <w:iCs/>
              </w:rPr>
              <w:t>gravivox</w:t>
            </w:r>
          </w:p>
        </w:tc>
        <w:tc>
          <w:tcPr>
            <w:tcW w:w="685" w:type="dxa"/>
            <w:vAlign w:val="top"/>
          </w:tcPr>
          <w:p w14:paraId="5AD94CA7">
            <w:pPr>
              <w:pStyle w:val="6"/>
              <w:spacing w:before="105" w:line="183" w:lineRule="auto"/>
              <w:ind w:left="270"/>
            </w:pPr>
            <w:r>
              <w:t>R</w:t>
            </w:r>
          </w:p>
        </w:tc>
        <w:tc>
          <w:tcPr>
            <w:tcW w:w="494" w:type="dxa"/>
            <w:vAlign w:val="top"/>
          </w:tcPr>
          <w:p w14:paraId="788D8F13">
            <w:pPr>
              <w:pStyle w:val="6"/>
              <w:spacing w:before="102" w:line="186" w:lineRule="auto"/>
              <w:ind w:left="175"/>
            </w:pPr>
            <w:r>
              <w:t>O</w:t>
            </w:r>
          </w:p>
        </w:tc>
        <w:tc>
          <w:tcPr>
            <w:tcW w:w="875" w:type="dxa"/>
            <w:vAlign w:val="top"/>
          </w:tcPr>
          <w:p w14:paraId="339ABB9F">
            <w:pPr>
              <w:rPr>
                <w:rFonts w:ascii="Arial"/>
                <w:sz w:val="21"/>
              </w:rPr>
            </w:pPr>
          </w:p>
        </w:tc>
        <w:tc>
          <w:tcPr>
            <w:tcW w:w="874" w:type="dxa"/>
            <w:vAlign w:val="top"/>
          </w:tcPr>
          <w:p w14:paraId="1CE9483C">
            <w:pPr>
              <w:pStyle w:val="6"/>
              <w:spacing w:before="98" w:line="223" w:lineRule="auto"/>
              <w:ind w:left="266"/>
            </w:pPr>
            <w:r>
              <w:rPr>
                <w:spacing w:val="-1"/>
              </w:rPr>
              <w:t>+++</w:t>
            </w:r>
          </w:p>
        </w:tc>
        <w:tc>
          <w:tcPr>
            <w:tcW w:w="875" w:type="dxa"/>
            <w:vAlign w:val="top"/>
          </w:tcPr>
          <w:p w14:paraId="1B5B30EA">
            <w:pPr>
              <w:pStyle w:val="6"/>
              <w:spacing w:before="102"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56F7B34A">
            <w:pPr>
              <w:spacing w:before="65" w:line="220" w:lineRule="auto"/>
              <w:ind w:left="169"/>
              <w:rPr>
                <w:rFonts w:ascii="宋体" w:hAnsi="宋体" w:eastAsia="宋体" w:cs="宋体"/>
                <w:sz w:val="21"/>
                <w:szCs w:val="21"/>
              </w:rPr>
            </w:pPr>
            <w:r>
              <w:rPr>
                <w:rFonts w:ascii="宋体" w:hAnsi="宋体" w:eastAsia="宋体" w:cs="宋体"/>
                <w:sz w:val="21"/>
                <w:szCs w:val="21"/>
              </w:rPr>
              <w:t>鸣</w:t>
            </w:r>
          </w:p>
        </w:tc>
      </w:tr>
      <w:tr w14:paraId="61F15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0AE97CF">
            <w:pPr>
              <w:pStyle w:val="6"/>
              <w:spacing w:before="98" w:line="222" w:lineRule="auto"/>
              <w:ind w:left="137"/>
            </w:pPr>
            <w:r>
              <w:rPr>
                <w:spacing w:val="-3"/>
              </w:rPr>
              <w:t>68</w:t>
            </w:r>
          </w:p>
        </w:tc>
        <w:tc>
          <w:tcPr>
            <w:tcW w:w="1257" w:type="dxa"/>
            <w:vAlign w:val="top"/>
          </w:tcPr>
          <w:p w14:paraId="0E4E03A4">
            <w:pPr>
              <w:spacing w:before="64" w:line="220" w:lineRule="auto"/>
              <w:ind w:left="93"/>
              <w:rPr>
                <w:rFonts w:ascii="宋体" w:hAnsi="宋体" w:eastAsia="宋体" w:cs="宋体"/>
                <w:sz w:val="21"/>
                <w:szCs w:val="21"/>
              </w:rPr>
            </w:pPr>
            <w:r>
              <w:rPr>
                <w:rFonts w:ascii="宋体" w:hAnsi="宋体" w:eastAsia="宋体" w:cs="宋体"/>
                <w:spacing w:val="-2"/>
                <w:sz w:val="21"/>
                <w:szCs w:val="21"/>
              </w:rPr>
              <w:t>棕颈钩嘴鹛</w:t>
            </w:r>
          </w:p>
        </w:tc>
        <w:tc>
          <w:tcPr>
            <w:tcW w:w="2394" w:type="dxa"/>
            <w:vAlign w:val="top"/>
          </w:tcPr>
          <w:p w14:paraId="0A390CAD">
            <w:pPr>
              <w:pStyle w:val="6"/>
              <w:spacing w:before="98" w:line="190" w:lineRule="auto"/>
              <w:ind w:left="181"/>
            </w:pPr>
            <w:r>
              <w:rPr>
                <w:i/>
                <w:iCs/>
              </w:rPr>
              <w:t>Pomatorhinus</w:t>
            </w:r>
            <w:r>
              <w:rPr>
                <w:i/>
                <w:iCs/>
                <w:spacing w:val="4"/>
              </w:rPr>
              <w:t xml:space="preserve"> </w:t>
            </w:r>
            <w:r>
              <w:rPr>
                <w:i/>
                <w:iCs/>
              </w:rPr>
              <w:t>ruficollis</w:t>
            </w:r>
          </w:p>
        </w:tc>
        <w:tc>
          <w:tcPr>
            <w:tcW w:w="685" w:type="dxa"/>
            <w:vAlign w:val="top"/>
          </w:tcPr>
          <w:p w14:paraId="53B4435B">
            <w:pPr>
              <w:pStyle w:val="6"/>
              <w:spacing w:before="105" w:line="183" w:lineRule="auto"/>
              <w:ind w:left="270"/>
            </w:pPr>
            <w:r>
              <w:t>R</w:t>
            </w:r>
          </w:p>
        </w:tc>
        <w:tc>
          <w:tcPr>
            <w:tcW w:w="494" w:type="dxa"/>
            <w:vAlign w:val="top"/>
          </w:tcPr>
          <w:p w14:paraId="0F53635A">
            <w:pPr>
              <w:pStyle w:val="6"/>
              <w:spacing w:before="102" w:line="186" w:lineRule="auto"/>
              <w:ind w:left="175"/>
            </w:pPr>
            <w:r>
              <w:t>O</w:t>
            </w:r>
          </w:p>
        </w:tc>
        <w:tc>
          <w:tcPr>
            <w:tcW w:w="875" w:type="dxa"/>
            <w:vAlign w:val="top"/>
          </w:tcPr>
          <w:p w14:paraId="637C377E">
            <w:pPr>
              <w:rPr>
                <w:rFonts w:ascii="Arial"/>
                <w:sz w:val="21"/>
              </w:rPr>
            </w:pPr>
          </w:p>
        </w:tc>
        <w:tc>
          <w:tcPr>
            <w:tcW w:w="874" w:type="dxa"/>
            <w:vAlign w:val="top"/>
          </w:tcPr>
          <w:p w14:paraId="7A7EC314">
            <w:pPr>
              <w:pStyle w:val="6"/>
              <w:spacing w:before="98" w:line="222" w:lineRule="auto"/>
              <w:ind w:left="266"/>
            </w:pPr>
            <w:r>
              <w:rPr>
                <w:spacing w:val="-1"/>
              </w:rPr>
              <w:t>+++</w:t>
            </w:r>
          </w:p>
        </w:tc>
        <w:tc>
          <w:tcPr>
            <w:tcW w:w="875" w:type="dxa"/>
            <w:vAlign w:val="top"/>
          </w:tcPr>
          <w:p w14:paraId="5F1EB651">
            <w:pPr>
              <w:pStyle w:val="6"/>
              <w:spacing w:before="102" w:line="186" w:lineRule="auto"/>
              <w:ind w:left="399"/>
            </w:pPr>
            <w:r>
              <w:t>S</w:t>
            </w:r>
          </w:p>
        </w:tc>
        <w:tc>
          <w:tcPr>
            <w:tcW w:w="508" w:type="dxa"/>
            <w:tcBorders>
              <w:right w:val="single" w:color="000000" w:sz="12" w:space="0"/>
            </w:tcBorders>
            <w:vAlign w:val="top"/>
          </w:tcPr>
          <w:p w14:paraId="4E4CEB36">
            <w:pPr>
              <w:spacing w:before="65" w:line="220" w:lineRule="auto"/>
              <w:ind w:left="169"/>
              <w:rPr>
                <w:rFonts w:ascii="宋体" w:hAnsi="宋体" w:eastAsia="宋体" w:cs="宋体"/>
                <w:sz w:val="21"/>
                <w:szCs w:val="21"/>
              </w:rPr>
            </w:pPr>
            <w:r>
              <w:rPr>
                <w:rFonts w:ascii="宋体" w:hAnsi="宋体" w:eastAsia="宋体" w:cs="宋体"/>
                <w:sz w:val="21"/>
                <w:szCs w:val="21"/>
              </w:rPr>
              <w:t>鸣</w:t>
            </w:r>
          </w:p>
        </w:tc>
      </w:tr>
      <w:tr w14:paraId="6790D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A3B8665">
            <w:pPr>
              <w:pStyle w:val="6"/>
              <w:spacing w:before="100" w:line="220" w:lineRule="auto"/>
              <w:ind w:left="137"/>
            </w:pPr>
            <w:r>
              <w:rPr>
                <w:spacing w:val="-3"/>
              </w:rPr>
              <w:t>69</w:t>
            </w:r>
          </w:p>
        </w:tc>
        <w:tc>
          <w:tcPr>
            <w:tcW w:w="1257" w:type="dxa"/>
            <w:vAlign w:val="top"/>
          </w:tcPr>
          <w:p w14:paraId="74197CCE">
            <w:pPr>
              <w:spacing w:before="66" w:line="220" w:lineRule="auto"/>
              <w:ind w:left="204"/>
              <w:rPr>
                <w:rFonts w:ascii="宋体" w:hAnsi="宋体" w:eastAsia="宋体" w:cs="宋体"/>
                <w:sz w:val="21"/>
                <w:szCs w:val="21"/>
              </w:rPr>
            </w:pPr>
            <w:r>
              <w:rPr>
                <w:rFonts w:ascii="宋体" w:hAnsi="宋体" w:eastAsia="宋体" w:cs="宋体"/>
                <w:spacing w:val="-3"/>
                <w:sz w:val="21"/>
                <w:szCs w:val="21"/>
              </w:rPr>
              <w:t>红头穗鹛</w:t>
            </w:r>
          </w:p>
        </w:tc>
        <w:tc>
          <w:tcPr>
            <w:tcW w:w="2394" w:type="dxa"/>
            <w:vAlign w:val="top"/>
          </w:tcPr>
          <w:p w14:paraId="354F992E">
            <w:pPr>
              <w:pStyle w:val="6"/>
              <w:spacing w:before="100" w:line="190" w:lineRule="auto"/>
              <w:ind w:left="292"/>
            </w:pPr>
            <w:r>
              <w:rPr>
                <w:i/>
                <w:iCs/>
                <w:spacing w:val="-1"/>
              </w:rPr>
              <w:t>Cyanoderma ruficeps</w:t>
            </w:r>
          </w:p>
        </w:tc>
        <w:tc>
          <w:tcPr>
            <w:tcW w:w="685" w:type="dxa"/>
            <w:vAlign w:val="top"/>
          </w:tcPr>
          <w:p w14:paraId="167D623D">
            <w:pPr>
              <w:pStyle w:val="6"/>
              <w:spacing w:before="107" w:line="183" w:lineRule="auto"/>
              <w:ind w:left="270"/>
            </w:pPr>
            <w:r>
              <w:t>R</w:t>
            </w:r>
          </w:p>
        </w:tc>
        <w:tc>
          <w:tcPr>
            <w:tcW w:w="494" w:type="dxa"/>
            <w:vAlign w:val="top"/>
          </w:tcPr>
          <w:p w14:paraId="3ADB4C74">
            <w:pPr>
              <w:pStyle w:val="6"/>
              <w:spacing w:before="103" w:line="186" w:lineRule="auto"/>
              <w:ind w:left="175"/>
            </w:pPr>
            <w:r>
              <w:t>O</w:t>
            </w:r>
          </w:p>
        </w:tc>
        <w:tc>
          <w:tcPr>
            <w:tcW w:w="875" w:type="dxa"/>
            <w:vAlign w:val="top"/>
          </w:tcPr>
          <w:p w14:paraId="13994D42">
            <w:pPr>
              <w:rPr>
                <w:rFonts w:ascii="Arial"/>
                <w:sz w:val="21"/>
              </w:rPr>
            </w:pPr>
          </w:p>
        </w:tc>
        <w:tc>
          <w:tcPr>
            <w:tcW w:w="874" w:type="dxa"/>
            <w:vAlign w:val="top"/>
          </w:tcPr>
          <w:p w14:paraId="310616D6">
            <w:pPr>
              <w:pStyle w:val="6"/>
              <w:spacing w:before="100" w:line="220" w:lineRule="auto"/>
              <w:ind w:left="326"/>
            </w:pPr>
            <w:r>
              <w:rPr>
                <w:spacing w:val="-1"/>
              </w:rPr>
              <w:t>++</w:t>
            </w:r>
          </w:p>
        </w:tc>
        <w:tc>
          <w:tcPr>
            <w:tcW w:w="875" w:type="dxa"/>
            <w:vAlign w:val="top"/>
          </w:tcPr>
          <w:p w14:paraId="3E5FB3CD">
            <w:pPr>
              <w:pStyle w:val="6"/>
              <w:spacing w:before="103" w:line="186" w:lineRule="auto"/>
              <w:ind w:left="399"/>
            </w:pPr>
            <w:r>
              <w:t>S</w:t>
            </w:r>
          </w:p>
        </w:tc>
        <w:tc>
          <w:tcPr>
            <w:tcW w:w="508" w:type="dxa"/>
            <w:tcBorders>
              <w:right w:val="single" w:color="000000" w:sz="12" w:space="0"/>
            </w:tcBorders>
            <w:vAlign w:val="top"/>
          </w:tcPr>
          <w:p w14:paraId="370B49CD">
            <w:pPr>
              <w:spacing w:before="66" w:line="220" w:lineRule="auto"/>
              <w:ind w:left="169"/>
              <w:rPr>
                <w:rFonts w:ascii="宋体" w:hAnsi="宋体" w:eastAsia="宋体" w:cs="宋体"/>
                <w:sz w:val="21"/>
                <w:szCs w:val="21"/>
              </w:rPr>
            </w:pPr>
            <w:r>
              <w:rPr>
                <w:rFonts w:ascii="宋体" w:hAnsi="宋体" w:eastAsia="宋体" w:cs="宋体"/>
                <w:sz w:val="21"/>
                <w:szCs w:val="21"/>
              </w:rPr>
              <w:t>鸣</w:t>
            </w:r>
          </w:p>
        </w:tc>
      </w:tr>
      <w:tr w14:paraId="609FB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0E493A80">
            <w:pPr>
              <w:pStyle w:val="6"/>
              <w:spacing w:before="106" w:line="186" w:lineRule="auto"/>
              <w:ind w:left="68"/>
            </w:pPr>
            <w:r>
              <w:rPr>
                <w:b/>
                <w:bCs/>
                <w:spacing w:val="-2"/>
              </w:rPr>
              <w:t>F33</w:t>
            </w:r>
          </w:p>
        </w:tc>
        <w:tc>
          <w:tcPr>
            <w:tcW w:w="1257" w:type="dxa"/>
            <w:vAlign w:val="top"/>
          </w:tcPr>
          <w:p w14:paraId="4FE628C5">
            <w:pPr>
              <w:spacing w:before="67" w:line="219" w:lineRule="auto"/>
              <w:ind w:left="310"/>
              <w:rPr>
                <w:rFonts w:ascii="宋体" w:hAnsi="宋体" w:eastAsia="宋体" w:cs="宋体"/>
                <w:sz w:val="21"/>
                <w:szCs w:val="21"/>
              </w:rPr>
            </w:pPr>
            <w:r>
              <w:rPr>
                <w:rFonts w:ascii="宋体" w:hAnsi="宋体" w:eastAsia="宋体" w:cs="宋体"/>
                <w:b/>
                <w:bCs/>
                <w:spacing w:val="-6"/>
                <w:sz w:val="21"/>
                <w:szCs w:val="21"/>
              </w:rPr>
              <w:t>幽鹛科</w:t>
            </w:r>
          </w:p>
        </w:tc>
        <w:tc>
          <w:tcPr>
            <w:tcW w:w="2394" w:type="dxa"/>
            <w:vAlign w:val="top"/>
          </w:tcPr>
          <w:p w14:paraId="1E7F000F">
            <w:pPr>
              <w:pStyle w:val="6"/>
              <w:spacing w:before="106" w:line="186" w:lineRule="auto"/>
              <w:ind w:left="631"/>
            </w:pPr>
            <w:r>
              <w:rPr>
                <w:b/>
                <w:bCs/>
                <w:spacing w:val="-1"/>
              </w:rPr>
              <w:t>Pellorneidae</w:t>
            </w:r>
          </w:p>
        </w:tc>
        <w:tc>
          <w:tcPr>
            <w:tcW w:w="685" w:type="dxa"/>
            <w:vAlign w:val="top"/>
          </w:tcPr>
          <w:p w14:paraId="4D069E83">
            <w:pPr>
              <w:rPr>
                <w:rFonts w:ascii="Arial"/>
                <w:sz w:val="21"/>
              </w:rPr>
            </w:pPr>
          </w:p>
        </w:tc>
        <w:tc>
          <w:tcPr>
            <w:tcW w:w="494" w:type="dxa"/>
            <w:vAlign w:val="top"/>
          </w:tcPr>
          <w:p w14:paraId="1BB69501">
            <w:pPr>
              <w:rPr>
                <w:rFonts w:ascii="Arial"/>
                <w:sz w:val="21"/>
              </w:rPr>
            </w:pPr>
          </w:p>
        </w:tc>
        <w:tc>
          <w:tcPr>
            <w:tcW w:w="875" w:type="dxa"/>
            <w:vAlign w:val="top"/>
          </w:tcPr>
          <w:p w14:paraId="0C8DEE02">
            <w:pPr>
              <w:rPr>
                <w:rFonts w:ascii="Arial"/>
                <w:sz w:val="21"/>
              </w:rPr>
            </w:pPr>
          </w:p>
        </w:tc>
        <w:tc>
          <w:tcPr>
            <w:tcW w:w="874" w:type="dxa"/>
            <w:vAlign w:val="top"/>
          </w:tcPr>
          <w:p w14:paraId="68C02904">
            <w:pPr>
              <w:rPr>
                <w:rFonts w:ascii="Arial"/>
                <w:sz w:val="21"/>
              </w:rPr>
            </w:pPr>
          </w:p>
        </w:tc>
        <w:tc>
          <w:tcPr>
            <w:tcW w:w="875" w:type="dxa"/>
            <w:vAlign w:val="top"/>
          </w:tcPr>
          <w:p w14:paraId="39087F51">
            <w:pPr>
              <w:rPr>
                <w:rFonts w:ascii="Arial"/>
                <w:sz w:val="21"/>
              </w:rPr>
            </w:pPr>
          </w:p>
        </w:tc>
        <w:tc>
          <w:tcPr>
            <w:tcW w:w="508" w:type="dxa"/>
            <w:tcBorders>
              <w:right w:val="single" w:color="000000" w:sz="12" w:space="0"/>
            </w:tcBorders>
            <w:vAlign w:val="top"/>
          </w:tcPr>
          <w:p w14:paraId="51B8097F">
            <w:pPr>
              <w:rPr>
                <w:rFonts w:ascii="Arial"/>
                <w:sz w:val="21"/>
              </w:rPr>
            </w:pPr>
          </w:p>
        </w:tc>
      </w:tr>
      <w:tr w14:paraId="023BE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0064DAB4">
            <w:pPr>
              <w:pStyle w:val="6"/>
              <w:spacing w:before="101" w:line="219" w:lineRule="auto"/>
              <w:ind w:left="136"/>
            </w:pPr>
            <w:r>
              <w:rPr>
                <w:spacing w:val="-2"/>
              </w:rPr>
              <w:t>70</w:t>
            </w:r>
          </w:p>
        </w:tc>
        <w:tc>
          <w:tcPr>
            <w:tcW w:w="1257" w:type="dxa"/>
            <w:vAlign w:val="top"/>
          </w:tcPr>
          <w:p w14:paraId="5EAABC28">
            <w:pPr>
              <w:spacing w:before="67" w:line="220" w:lineRule="auto"/>
              <w:ind w:left="199"/>
              <w:rPr>
                <w:rFonts w:ascii="宋体" w:hAnsi="宋体" w:eastAsia="宋体" w:cs="宋体"/>
                <w:sz w:val="21"/>
                <w:szCs w:val="21"/>
              </w:rPr>
            </w:pPr>
            <w:r>
              <w:rPr>
                <w:rFonts w:ascii="宋体" w:hAnsi="宋体" w:eastAsia="宋体" w:cs="宋体"/>
                <w:spacing w:val="-2"/>
                <w:sz w:val="21"/>
                <w:szCs w:val="21"/>
              </w:rPr>
              <w:t>褐胁雀鹛</w:t>
            </w:r>
          </w:p>
        </w:tc>
        <w:tc>
          <w:tcPr>
            <w:tcW w:w="2394" w:type="dxa"/>
            <w:vAlign w:val="top"/>
          </w:tcPr>
          <w:p w14:paraId="332ACEA6">
            <w:pPr>
              <w:pStyle w:val="6"/>
              <w:spacing w:before="101" w:line="190" w:lineRule="auto"/>
              <w:ind w:left="350"/>
            </w:pPr>
            <w:r>
              <w:rPr>
                <w:i/>
                <w:iCs/>
                <w:spacing w:val="-1"/>
              </w:rPr>
              <w:t>Schoeniparus dubia</w:t>
            </w:r>
          </w:p>
        </w:tc>
        <w:tc>
          <w:tcPr>
            <w:tcW w:w="685" w:type="dxa"/>
            <w:vAlign w:val="top"/>
          </w:tcPr>
          <w:p w14:paraId="2E641C64">
            <w:pPr>
              <w:pStyle w:val="6"/>
              <w:spacing w:before="108" w:line="183" w:lineRule="auto"/>
              <w:ind w:left="270"/>
            </w:pPr>
            <w:r>
              <w:t>R</w:t>
            </w:r>
          </w:p>
        </w:tc>
        <w:tc>
          <w:tcPr>
            <w:tcW w:w="494" w:type="dxa"/>
            <w:vAlign w:val="top"/>
          </w:tcPr>
          <w:p w14:paraId="78591C1C">
            <w:pPr>
              <w:pStyle w:val="6"/>
              <w:spacing w:before="105" w:line="186" w:lineRule="auto"/>
              <w:ind w:left="175"/>
            </w:pPr>
            <w:r>
              <w:t>O</w:t>
            </w:r>
          </w:p>
        </w:tc>
        <w:tc>
          <w:tcPr>
            <w:tcW w:w="875" w:type="dxa"/>
            <w:vAlign w:val="top"/>
          </w:tcPr>
          <w:p w14:paraId="2071C993">
            <w:pPr>
              <w:rPr>
                <w:rFonts w:ascii="Arial"/>
                <w:sz w:val="21"/>
              </w:rPr>
            </w:pPr>
          </w:p>
        </w:tc>
        <w:tc>
          <w:tcPr>
            <w:tcW w:w="874" w:type="dxa"/>
            <w:vAlign w:val="top"/>
          </w:tcPr>
          <w:p w14:paraId="74874763">
            <w:pPr>
              <w:pStyle w:val="6"/>
              <w:spacing w:before="101" w:line="219" w:lineRule="auto"/>
              <w:ind w:left="207"/>
            </w:pPr>
            <w:r>
              <w:rPr>
                <w:spacing w:val="-1"/>
              </w:rPr>
              <w:t>++++</w:t>
            </w:r>
          </w:p>
        </w:tc>
        <w:tc>
          <w:tcPr>
            <w:tcW w:w="875" w:type="dxa"/>
            <w:vAlign w:val="top"/>
          </w:tcPr>
          <w:p w14:paraId="5FE97AFB">
            <w:pPr>
              <w:pStyle w:val="6"/>
              <w:spacing w:before="105"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0871F3B9">
            <w:pPr>
              <w:rPr>
                <w:rFonts w:ascii="Arial"/>
                <w:sz w:val="21"/>
              </w:rPr>
            </w:pPr>
          </w:p>
        </w:tc>
      </w:tr>
      <w:tr w14:paraId="1E308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4D0D7979">
            <w:pPr>
              <w:pStyle w:val="6"/>
              <w:spacing w:before="102" w:line="220" w:lineRule="auto"/>
              <w:ind w:left="136"/>
            </w:pPr>
            <w:r>
              <w:rPr>
                <w:spacing w:val="-2"/>
              </w:rPr>
              <w:t>71</w:t>
            </w:r>
          </w:p>
        </w:tc>
        <w:tc>
          <w:tcPr>
            <w:tcW w:w="1257" w:type="dxa"/>
            <w:vAlign w:val="top"/>
          </w:tcPr>
          <w:p w14:paraId="7456002F">
            <w:pPr>
              <w:spacing w:before="68" w:line="220" w:lineRule="auto"/>
              <w:ind w:left="201"/>
              <w:rPr>
                <w:rFonts w:ascii="宋体" w:hAnsi="宋体" w:eastAsia="宋体" w:cs="宋体"/>
                <w:sz w:val="21"/>
                <w:szCs w:val="21"/>
              </w:rPr>
            </w:pPr>
            <w:r>
              <w:rPr>
                <w:rFonts w:ascii="宋体" w:hAnsi="宋体" w:eastAsia="宋体" w:cs="宋体"/>
                <w:spacing w:val="-2"/>
                <w:sz w:val="21"/>
                <w:szCs w:val="21"/>
              </w:rPr>
              <w:t>灰眶雀鹛</w:t>
            </w:r>
          </w:p>
        </w:tc>
        <w:tc>
          <w:tcPr>
            <w:tcW w:w="2394" w:type="dxa"/>
            <w:vAlign w:val="top"/>
          </w:tcPr>
          <w:p w14:paraId="2529EC44">
            <w:pPr>
              <w:pStyle w:val="6"/>
              <w:spacing w:before="103" w:line="190" w:lineRule="auto"/>
              <w:ind w:left="361"/>
            </w:pPr>
            <w:r>
              <w:rPr>
                <w:i/>
                <w:iCs/>
              </w:rPr>
              <w:t>Alcippe</w:t>
            </w:r>
            <w:r>
              <w:rPr>
                <w:i/>
                <w:iCs/>
                <w:spacing w:val="10"/>
              </w:rPr>
              <w:t xml:space="preserve"> </w:t>
            </w:r>
            <w:r>
              <w:rPr>
                <w:i/>
                <w:iCs/>
              </w:rPr>
              <w:t>morrisonia</w:t>
            </w:r>
          </w:p>
        </w:tc>
        <w:tc>
          <w:tcPr>
            <w:tcW w:w="685" w:type="dxa"/>
            <w:vAlign w:val="top"/>
          </w:tcPr>
          <w:p w14:paraId="6D42F3E5">
            <w:pPr>
              <w:pStyle w:val="6"/>
              <w:spacing w:before="109" w:line="183" w:lineRule="auto"/>
              <w:ind w:left="270"/>
            </w:pPr>
            <w:r>
              <w:t>R</w:t>
            </w:r>
          </w:p>
        </w:tc>
        <w:tc>
          <w:tcPr>
            <w:tcW w:w="494" w:type="dxa"/>
            <w:vAlign w:val="top"/>
          </w:tcPr>
          <w:p w14:paraId="6BE3AE8E">
            <w:pPr>
              <w:pStyle w:val="6"/>
              <w:spacing w:before="106" w:line="186" w:lineRule="auto"/>
              <w:ind w:left="175"/>
            </w:pPr>
            <w:r>
              <w:t>O</w:t>
            </w:r>
          </w:p>
        </w:tc>
        <w:tc>
          <w:tcPr>
            <w:tcW w:w="875" w:type="dxa"/>
            <w:vAlign w:val="top"/>
          </w:tcPr>
          <w:p w14:paraId="024381B0">
            <w:pPr>
              <w:rPr>
                <w:rFonts w:ascii="Arial"/>
                <w:sz w:val="21"/>
              </w:rPr>
            </w:pPr>
          </w:p>
        </w:tc>
        <w:tc>
          <w:tcPr>
            <w:tcW w:w="874" w:type="dxa"/>
            <w:vAlign w:val="top"/>
          </w:tcPr>
          <w:p w14:paraId="6C3E583E">
            <w:pPr>
              <w:pStyle w:val="6"/>
              <w:spacing w:before="102" w:line="220" w:lineRule="auto"/>
              <w:ind w:left="326"/>
            </w:pPr>
            <w:r>
              <w:rPr>
                <w:spacing w:val="-1"/>
              </w:rPr>
              <w:t>++</w:t>
            </w:r>
          </w:p>
        </w:tc>
        <w:tc>
          <w:tcPr>
            <w:tcW w:w="875" w:type="dxa"/>
            <w:vAlign w:val="top"/>
          </w:tcPr>
          <w:p w14:paraId="4761087D">
            <w:pPr>
              <w:pStyle w:val="6"/>
              <w:spacing w:before="106" w:line="186" w:lineRule="auto"/>
              <w:ind w:left="399"/>
            </w:pPr>
            <w:r>
              <w:t>S</w:t>
            </w:r>
          </w:p>
        </w:tc>
        <w:tc>
          <w:tcPr>
            <w:tcW w:w="508" w:type="dxa"/>
            <w:tcBorders>
              <w:right w:val="single" w:color="000000" w:sz="12" w:space="0"/>
            </w:tcBorders>
            <w:vAlign w:val="top"/>
          </w:tcPr>
          <w:p w14:paraId="570295AD">
            <w:pPr>
              <w:rPr>
                <w:rFonts w:ascii="Arial"/>
                <w:sz w:val="21"/>
              </w:rPr>
            </w:pPr>
          </w:p>
        </w:tc>
      </w:tr>
      <w:tr w14:paraId="46FB8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708316DF">
            <w:pPr>
              <w:pStyle w:val="6"/>
              <w:spacing w:before="106" w:line="186" w:lineRule="auto"/>
              <w:ind w:left="68"/>
            </w:pPr>
            <w:r>
              <w:rPr>
                <w:b/>
                <w:bCs/>
                <w:spacing w:val="-2"/>
              </w:rPr>
              <w:t>F34</w:t>
            </w:r>
          </w:p>
        </w:tc>
        <w:tc>
          <w:tcPr>
            <w:tcW w:w="1257" w:type="dxa"/>
            <w:vAlign w:val="top"/>
          </w:tcPr>
          <w:p w14:paraId="15076E02">
            <w:pPr>
              <w:spacing w:before="68" w:line="219" w:lineRule="auto"/>
              <w:ind w:left="312"/>
              <w:rPr>
                <w:rFonts w:ascii="宋体" w:hAnsi="宋体" w:eastAsia="宋体" w:cs="宋体"/>
                <w:sz w:val="21"/>
                <w:szCs w:val="21"/>
              </w:rPr>
            </w:pPr>
            <w:r>
              <w:rPr>
                <w:rFonts w:ascii="宋体" w:hAnsi="宋体" w:eastAsia="宋体" w:cs="宋体"/>
                <w:b/>
                <w:bCs/>
                <w:spacing w:val="-6"/>
                <w:sz w:val="21"/>
                <w:szCs w:val="21"/>
              </w:rPr>
              <w:t>噪鹛科</w:t>
            </w:r>
          </w:p>
        </w:tc>
        <w:tc>
          <w:tcPr>
            <w:tcW w:w="2394" w:type="dxa"/>
            <w:vAlign w:val="top"/>
          </w:tcPr>
          <w:p w14:paraId="1005D4CB">
            <w:pPr>
              <w:pStyle w:val="6"/>
              <w:spacing w:before="106" w:line="186" w:lineRule="auto"/>
              <w:ind w:left="530"/>
            </w:pPr>
            <w:r>
              <w:rPr>
                <w:b/>
                <w:bCs/>
                <w:spacing w:val="-1"/>
              </w:rPr>
              <w:t>Leiothrichidae</w:t>
            </w:r>
          </w:p>
        </w:tc>
        <w:tc>
          <w:tcPr>
            <w:tcW w:w="685" w:type="dxa"/>
            <w:vAlign w:val="top"/>
          </w:tcPr>
          <w:p w14:paraId="65903610">
            <w:pPr>
              <w:rPr>
                <w:rFonts w:ascii="Arial"/>
                <w:sz w:val="21"/>
              </w:rPr>
            </w:pPr>
          </w:p>
        </w:tc>
        <w:tc>
          <w:tcPr>
            <w:tcW w:w="494" w:type="dxa"/>
            <w:vAlign w:val="top"/>
          </w:tcPr>
          <w:p w14:paraId="61B7506B">
            <w:pPr>
              <w:rPr>
                <w:rFonts w:ascii="Arial"/>
                <w:sz w:val="21"/>
              </w:rPr>
            </w:pPr>
          </w:p>
        </w:tc>
        <w:tc>
          <w:tcPr>
            <w:tcW w:w="875" w:type="dxa"/>
            <w:vAlign w:val="top"/>
          </w:tcPr>
          <w:p w14:paraId="4953AAB9">
            <w:pPr>
              <w:rPr>
                <w:rFonts w:ascii="Arial"/>
                <w:sz w:val="21"/>
              </w:rPr>
            </w:pPr>
          </w:p>
        </w:tc>
        <w:tc>
          <w:tcPr>
            <w:tcW w:w="874" w:type="dxa"/>
            <w:vAlign w:val="top"/>
          </w:tcPr>
          <w:p w14:paraId="0A6F7E94">
            <w:pPr>
              <w:rPr>
                <w:rFonts w:ascii="Arial"/>
                <w:sz w:val="21"/>
              </w:rPr>
            </w:pPr>
          </w:p>
        </w:tc>
        <w:tc>
          <w:tcPr>
            <w:tcW w:w="875" w:type="dxa"/>
            <w:vAlign w:val="top"/>
          </w:tcPr>
          <w:p w14:paraId="76136CBB">
            <w:pPr>
              <w:rPr>
                <w:rFonts w:ascii="Arial"/>
                <w:sz w:val="21"/>
              </w:rPr>
            </w:pPr>
          </w:p>
        </w:tc>
        <w:tc>
          <w:tcPr>
            <w:tcW w:w="508" w:type="dxa"/>
            <w:tcBorders>
              <w:right w:val="single" w:color="000000" w:sz="12" w:space="0"/>
            </w:tcBorders>
            <w:vAlign w:val="top"/>
          </w:tcPr>
          <w:p w14:paraId="4E575D82">
            <w:pPr>
              <w:rPr>
                <w:rFonts w:ascii="Arial"/>
                <w:sz w:val="21"/>
              </w:rPr>
            </w:pPr>
          </w:p>
        </w:tc>
      </w:tr>
      <w:tr w14:paraId="5C170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0E496C52">
            <w:pPr>
              <w:pStyle w:val="6"/>
              <w:spacing w:before="103" w:line="218" w:lineRule="auto"/>
              <w:ind w:left="136"/>
            </w:pPr>
            <w:r>
              <w:rPr>
                <w:spacing w:val="-2"/>
              </w:rPr>
              <w:t>72</w:t>
            </w:r>
          </w:p>
        </w:tc>
        <w:tc>
          <w:tcPr>
            <w:tcW w:w="1257" w:type="dxa"/>
            <w:vAlign w:val="top"/>
          </w:tcPr>
          <w:p w14:paraId="3F056196">
            <w:pPr>
              <w:spacing w:before="69" w:line="220" w:lineRule="auto"/>
              <w:ind w:left="201"/>
              <w:rPr>
                <w:rFonts w:ascii="宋体" w:hAnsi="宋体" w:eastAsia="宋体" w:cs="宋体"/>
                <w:sz w:val="21"/>
                <w:szCs w:val="21"/>
              </w:rPr>
            </w:pPr>
            <w:r>
              <w:rPr>
                <w:rFonts w:ascii="宋体" w:hAnsi="宋体" w:eastAsia="宋体" w:cs="宋体"/>
                <w:spacing w:val="-2"/>
                <w:sz w:val="21"/>
                <w:szCs w:val="21"/>
              </w:rPr>
              <w:t>矛纹草鹛</w:t>
            </w:r>
          </w:p>
        </w:tc>
        <w:tc>
          <w:tcPr>
            <w:tcW w:w="2394" w:type="dxa"/>
            <w:vAlign w:val="top"/>
          </w:tcPr>
          <w:p w14:paraId="77A6C5BC">
            <w:pPr>
              <w:pStyle w:val="6"/>
              <w:spacing w:before="103" w:line="218" w:lineRule="auto"/>
              <w:ind w:left="402"/>
            </w:pPr>
            <w:r>
              <w:rPr>
                <w:i/>
                <w:iCs/>
              </w:rPr>
              <w:t>Babax</w:t>
            </w:r>
            <w:r>
              <w:rPr>
                <w:i/>
                <w:iCs/>
                <w:spacing w:val="6"/>
              </w:rPr>
              <w:t xml:space="preserve"> </w:t>
            </w:r>
            <w:r>
              <w:rPr>
                <w:i/>
                <w:iCs/>
              </w:rPr>
              <w:t>lanceolatus</w:t>
            </w:r>
          </w:p>
        </w:tc>
        <w:tc>
          <w:tcPr>
            <w:tcW w:w="685" w:type="dxa"/>
            <w:vAlign w:val="top"/>
          </w:tcPr>
          <w:p w14:paraId="121D9E07">
            <w:pPr>
              <w:pStyle w:val="6"/>
              <w:spacing w:before="110" w:line="183" w:lineRule="auto"/>
              <w:ind w:left="270"/>
            </w:pPr>
            <w:r>
              <w:t>R</w:t>
            </w:r>
          </w:p>
        </w:tc>
        <w:tc>
          <w:tcPr>
            <w:tcW w:w="494" w:type="dxa"/>
            <w:vAlign w:val="top"/>
          </w:tcPr>
          <w:p w14:paraId="7A3F4FF1">
            <w:pPr>
              <w:pStyle w:val="6"/>
              <w:spacing w:before="107" w:line="186" w:lineRule="auto"/>
              <w:ind w:left="175"/>
            </w:pPr>
            <w:r>
              <w:t>O</w:t>
            </w:r>
          </w:p>
        </w:tc>
        <w:tc>
          <w:tcPr>
            <w:tcW w:w="875" w:type="dxa"/>
            <w:vAlign w:val="top"/>
          </w:tcPr>
          <w:p w14:paraId="40D024F3">
            <w:pPr>
              <w:rPr>
                <w:rFonts w:ascii="Arial"/>
                <w:sz w:val="21"/>
              </w:rPr>
            </w:pPr>
          </w:p>
        </w:tc>
        <w:tc>
          <w:tcPr>
            <w:tcW w:w="874" w:type="dxa"/>
            <w:vAlign w:val="top"/>
          </w:tcPr>
          <w:p w14:paraId="3B00B14A">
            <w:pPr>
              <w:pStyle w:val="6"/>
              <w:spacing w:before="103" w:line="218" w:lineRule="auto"/>
              <w:ind w:left="326"/>
            </w:pPr>
            <w:r>
              <w:rPr>
                <w:spacing w:val="-1"/>
              </w:rPr>
              <w:t>++</w:t>
            </w:r>
          </w:p>
        </w:tc>
        <w:tc>
          <w:tcPr>
            <w:tcW w:w="875" w:type="dxa"/>
            <w:vAlign w:val="top"/>
          </w:tcPr>
          <w:p w14:paraId="400A5081">
            <w:pPr>
              <w:pStyle w:val="6"/>
              <w:spacing w:before="107" w:line="186" w:lineRule="auto"/>
              <w:ind w:left="399"/>
            </w:pPr>
            <w:r>
              <w:t>S</w:t>
            </w:r>
          </w:p>
        </w:tc>
        <w:tc>
          <w:tcPr>
            <w:tcW w:w="508" w:type="dxa"/>
            <w:tcBorders>
              <w:right w:val="single" w:color="000000" w:sz="12" w:space="0"/>
            </w:tcBorders>
            <w:vAlign w:val="top"/>
          </w:tcPr>
          <w:p w14:paraId="33E33783">
            <w:pPr>
              <w:rPr>
                <w:rFonts w:ascii="Arial"/>
                <w:sz w:val="21"/>
              </w:rPr>
            </w:pPr>
          </w:p>
        </w:tc>
      </w:tr>
      <w:tr w14:paraId="67F9C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8807BA7">
            <w:pPr>
              <w:pStyle w:val="6"/>
              <w:spacing w:before="104" w:line="217" w:lineRule="auto"/>
              <w:ind w:left="136"/>
            </w:pPr>
            <w:r>
              <w:rPr>
                <w:spacing w:val="-2"/>
              </w:rPr>
              <w:t>73</w:t>
            </w:r>
          </w:p>
        </w:tc>
        <w:tc>
          <w:tcPr>
            <w:tcW w:w="1257" w:type="dxa"/>
            <w:vAlign w:val="top"/>
          </w:tcPr>
          <w:p w14:paraId="60EBA15A">
            <w:pPr>
              <w:spacing w:before="71" w:line="220" w:lineRule="auto"/>
              <w:ind w:left="230"/>
              <w:rPr>
                <w:rFonts w:ascii="宋体" w:hAnsi="宋体" w:eastAsia="宋体" w:cs="宋体"/>
                <w:sz w:val="21"/>
                <w:szCs w:val="21"/>
              </w:rPr>
            </w:pPr>
            <w:r>
              <w:rPr>
                <w:rFonts w:ascii="宋体" w:hAnsi="宋体" w:eastAsia="宋体" w:cs="宋体"/>
                <w:spacing w:val="-8"/>
                <w:sz w:val="21"/>
                <w:szCs w:val="21"/>
              </w:rPr>
              <w:t>白颊噪鹛</w:t>
            </w:r>
          </w:p>
        </w:tc>
        <w:tc>
          <w:tcPr>
            <w:tcW w:w="2394" w:type="dxa"/>
            <w:vAlign w:val="top"/>
          </w:tcPr>
          <w:p w14:paraId="1D09B65D">
            <w:pPr>
              <w:pStyle w:val="6"/>
              <w:spacing w:before="104" w:line="217" w:lineRule="auto"/>
              <w:ind w:left="502"/>
            </w:pPr>
            <w:r>
              <w:rPr>
                <w:i/>
                <w:iCs/>
                <w:spacing w:val="-1"/>
              </w:rPr>
              <w:t>Garrulax sannio</w:t>
            </w:r>
          </w:p>
        </w:tc>
        <w:tc>
          <w:tcPr>
            <w:tcW w:w="685" w:type="dxa"/>
            <w:vAlign w:val="top"/>
          </w:tcPr>
          <w:p w14:paraId="43D563F9">
            <w:pPr>
              <w:pStyle w:val="6"/>
              <w:spacing w:before="111" w:line="183" w:lineRule="auto"/>
              <w:ind w:left="270"/>
            </w:pPr>
            <w:r>
              <w:t>R</w:t>
            </w:r>
          </w:p>
        </w:tc>
        <w:tc>
          <w:tcPr>
            <w:tcW w:w="494" w:type="dxa"/>
            <w:vAlign w:val="top"/>
          </w:tcPr>
          <w:p w14:paraId="1217AC5F">
            <w:pPr>
              <w:pStyle w:val="6"/>
              <w:spacing w:before="108" w:line="186" w:lineRule="auto"/>
              <w:ind w:left="175"/>
            </w:pPr>
            <w:r>
              <w:t>O</w:t>
            </w:r>
          </w:p>
        </w:tc>
        <w:tc>
          <w:tcPr>
            <w:tcW w:w="875" w:type="dxa"/>
            <w:vAlign w:val="top"/>
          </w:tcPr>
          <w:p w14:paraId="17079864">
            <w:pPr>
              <w:rPr>
                <w:rFonts w:ascii="Arial"/>
                <w:sz w:val="21"/>
              </w:rPr>
            </w:pPr>
          </w:p>
        </w:tc>
        <w:tc>
          <w:tcPr>
            <w:tcW w:w="874" w:type="dxa"/>
            <w:vAlign w:val="top"/>
          </w:tcPr>
          <w:p w14:paraId="27D039D7">
            <w:pPr>
              <w:pStyle w:val="6"/>
              <w:spacing w:before="104" w:line="217" w:lineRule="auto"/>
              <w:ind w:left="207"/>
            </w:pPr>
            <w:r>
              <w:rPr>
                <w:spacing w:val="-1"/>
              </w:rPr>
              <w:t>++++</w:t>
            </w:r>
          </w:p>
        </w:tc>
        <w:tc>
          <w:tcPr>
            <w:tcW w:w="875" w:type="dxa"/>
            <w:vAlign w:val="top"/>
          </w:tcPr>
          <w:p w14:paraId="6941975C">
            <w:pPr>
              <w:pStyle w:val="6"/>
              <w:spacing w:before="109"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0110B2F0">
            <w:pPr>
              <w:rPr>
                <w:rFonts w:ascii="Arial"/>
                <w:sz w:val="21"/>
              </w:rPr>
            </w:pPr>
          </w:p>
        </w:tc>
      </w:tr>
      <w:tr w14:paraId="53A6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16E8076">
            <w:pPr>
              <w:pStyle w:val="6"/>
              <w:spacing w:before="105" w:line="215" w:lineRule="auto"/>
              <w:ind w:left="136"/>
            </w:pPr>
            <w:r>
              <w:rPr>
                <w:spacing w:val="-2"/>
              </w:rPr>
              <w:t>74</w:t>
            </w:r>
          </w:p>
        </w:tc>
        <w:tc>
          <w:tcPr>
            <w:tcW w:w="1257" w:type="dxa"/>
            <w:vAlign w:val="top"/>
          </w:tcPr>
          <w:p w14:paraId="538127F2">
            <w:pPr>
              <w:spacing w:before="71" w:line="220" w:lineRule="auto"/>
              <w:ind w:left="200"/>
              <w:rPr>
                <w:rFonts w:ascii="宋体" w:hAnsi="宋体" w:eastAsia="宋体" w:cs="宋体"/>
                <w:sz w:val="21"/>
                <w:szCs w:val="21"/>
              </w:rPr>
            </w:pPr>
            <w:r>
              <w:rPr>
                <w:rFonts w:ascii="宋体" w:hAnsi="宋体" w:eastAsia="宋体" w:cs="宋体"/>
                <w:spacing w:val="-2"/>
                <w:sz w:val="21"/>
                <w:szCs w:val="21"/>
              </w:rPr>
              <w:t>蓝翅希鹛</w:t>
            </w:r>
          </w:p>
        </w:tc>
        <w:tc>
          <w:tcPr>
            <w:tcW w:w="2394" w:type="dxa"/>
            <w:vAlign w:val="top"/>
          </w:tcPr>
          <w:p w14:paraId="4FA43235">
            <w:pPr>
              <w:pStyle w:val="6"/>
              <w:spacing w:before="105" w:line="190" w:lineRule="auto"/>
              <w:ind w:left="362"/>
            </w:pPr>
            <w:r>
              <w:rPr>
                <w:i/>
                <w:iCs/>
              </w:rPr>
              <w:t>Siva</w:t>
            </w:r>
            <w:r>
              <w:rPr>
                <w:i/>
                <w:iCs/>
                <w:spacing w:val="2"/>
              </w:rPr>
              <w:t xml:space="preserve"> </w:t>
            </w:r>
            <w:r>
              <w:rPr>
                <w:i/>
                <w:iCs/>
              </w:rPr>
              <w:t>cyanouroptera</w:t>
            </w:r>
          </w:p>
        </w:tc>
        <w:tc>
          <w:tcPr>
            <w:tcW w:w="685" w:type="dxa"/>
            <w:vAlign w:val="top"/>
          </w:tcPr>
          <w:p w14:paraId="20EE7534">
            <w:pPr>
              <w:pStyle w:val="6"/>
              <w:spacing w:before="112" w:line="183" w:lineRule="auto"/>
              <w:ind w:left="270"/>
            </w:pPr>
            <w:r>
              <w:t>R</w:t>
            </w:r>
          </w:p>
        </w:tc>
        <w:tc>
          <w:tcPr>
            <w:tcW w:w="494" w:type="dxa"/>
            <w:vAlign w:val="top"/>
          </w:tcPr>
          <w:p w14:paraId="131858D7">
            <w:pPr>
              <w:pStyle w:val="6"/>
              <w:spacing w:before="108" w:line="186" w:lineRule="auto"/>
              <w:ind w:left="175"/>
            </w:pPr>
            <w:r>
              <w:t>O</w:t>
            </w:r>
          </w:p>
        </w:tc>
        <w:tc>
          <w:tcPr>
            <w:tcW w:w="875" w:type="dxa"/>
            <w:vAlign w:val="top"/>
          </w:tcPr>
          <w:p w14:paraId="156640D9">
            <w:pPr>
              <w:rPr>
                <w:rFonts w:ascii="Arial"/>
                <w:sz w:val="21"/>
              </w:rPr>
            </w:pPr>
          </w:p>
        </w:tc>
        <w:tc>
          <w:tcPr>
            <w:tcW w:w="874" w:type="dxa"/>
            <w:vAlign w:val="top"/>
          </w:tcPr>
          <w:p w14:paraId="78EC9F5A">
            <w:pPr>
              <w:pStyle w:val="6"/>
              <w:spacing w:before="105" w:line="215" w:lineRule="auto"/>
              <w:ind w:left="266"/>
            </w:pPr>
            <w:r>
              <w:rPr>
                <w:spacing w:val="-1"/>
              </w:rPr>
              <w:t>+++</w:t>
            </w:r>
          </w:p>
        </w:tc>
        <w:tc>
          <w:tcPr>
            <w:tcW w:w="875" w:type="dxa"/>
            <w:vAlign w:val="top"/>
          </w:tcPr>
          <w:p w14:paraId="0BCF3EC5">
            <w:pPr>
              <w:pStyle w:val="6"/>
              <w:spacing w:before="108" w:line="186" w:lineRule="auto"/>
              <w:ind w:left="399"/>
            </w:pPr>
            <w:r>
              <w:t>S</w:t>
            </w:r>
          </w:p>
        </w:tc>
        <w:tc>
          <w:tcPr>
            <w:tcW w:w="508" w:type="dxa"/>
            <w:tcBorders>
              <w:right w:val="single" w:color="000000" w:sz="12" w:space="0"/>
            </w:tcBorders>
            <w:vAlign w:val="top"/>
          </w:tcPr>
          <w:p w14:paraId="6E4EF0A3">
            <w:pPr>
              <w:rPr>
                <w:rFonts w:ascii="Arial"/>
                <w:sz w:val="21"/>
              </w:rPr>
            </w:pPr>
          </w:p>
        </w:tc>
      </w:tr>
      <w:tr w14:paraId="5B6CE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349DAD7">
            <w:pPr>
              <w:pStyle w:val="6"/>
              <w:spacing w:before="106" w:line="215" w:lineRule="auto"/>
              <w:ind w:left="136"/>
            </w:pPr>
            <w:r>
              <w:rPr>
                <w:spacing w:val="-2"/>
              </w:rPr>
              <w:t>75</w:t>
            </w:r>
          </w:p>
        </w:tc>
        <w:tc>
          <w:tcPr>
            <w:tcW w:w="1257" w:type="dxa"/>
            <w:vAlign w:val="top"/>
          </w:tcPr>
          <w:p w14:paraId="0AC71A38">
            <w:pPr>
              <w:spacing w:before="72" w:line="220" w:lineRule="auto"/>
              <w:ind w:left="199"/>
              <w:rPr>
                <w:rFonts w:ascii="宋体" w:hAnsi="宋体" w:eastAsia="宋体" w:cs="宋体"/>
                <w:sz w:val="21"/>
                <w:szCs w:val="21"/>
              </w:rPr>
            </w:pPr>
            <w:r>
              <w:rPr>
                <w:rFonts w:ascii="宋体" w:hAnsi="宋体" w:eastAsia="宋体" w:cs="宋体"/>
                <w:spacing w:val="-2"/>
                <w:sz w:val="21"/>
                <w:szCs w:val="21"/>
              </w:rPr>
              <w:t>斑喉希鹛</w:t>
            </w:r>
          </w:p>
        </w:tc>
        <w:tc>
          <w:tcPr>
            <w:tcW w:w="2394" w:type="dxa"/>
            <w:vAlign w:val="top"/>
          </w:tcPr>
          <w:p w14:paraId="431F9156">
            <w:pPr>
              <w:pStyle w:val="6"/>
              <w:spacing w:before="106" w:line="190" w:lineRule="auto"/>
              <w:ind w:left="304"/>
            </w:pPr>
            <w:r>
              <w:rPr>
                <w:i/>
                <w:iCs/>
                <w:spacing w:val="-1"/>
              </w:rPr>
              <w:t>Chrysominla strigula</w:t>
            </w:r>
          </w:p>
        </w:tc>
        <w:tc>
          <w:tcPr>
            <w:tcW w:w="685" w:type="dxa"/>
            <w:vAlign w:val="top"/>
          </w:tcPr>
          <w:p w14:paraId="5A7C72A0">
            <w:pPr>
              <w:pStyle w:val="6"/>
              <w:spacing w:before="113" w:line="183" w:lineRule="auto"/>
              <w:ind w:left="270"/>
            </w:pPr>
            <w:r>
              <w:t>R</w:t>
            </w:r>
          </w:p>
        </w:tc>
        <w:tc>
          <w:tcPr>
            <w:tcW w:w="494" w:type="dxa"/>
            <w:vAlign w:val="top"/>
          </w:tcPr>
          <w:p w14:paraId="4885CCB3">
            <w:pPr>
              <w:pStyle w:val="6"/>
              <w:spacing w:before="110" w:line="186" w:lineRule="auto"/>
              <w:ind w:left="175"/>
            </w:pPr>
            <w:r>
              <w:t>O</w:t>
            </w:r>
          </w:p>
        </w:tc>
        <w:tc>
          <w:tcPr>
            <w:tcW w:w="875" w:type="dxa"/>
            <w:vAlign w:val="top"/>
          </w:tcPr>
          <w:p w14:paraId="3A26AB47">
            <w:pPr>
              <w:rPr>
                <w:rFonts w:ascii="Arial"/>
                <w:sz w:val="21"/>
              </w:rPr>
            </w:pPr>
          </w:p>
        </w:tc>
        <w:tc>
          <w:tcPr>
            <w:tcW w:w="874" w:type="dxa"/>
            <w:vAlign w:val="top"/>
          </w:tcPr>
          <w:p w14:paraId="31F6DDB7">
            <w:pPr>
              <w:pStyle w:val="6"/>
              <w:spacing w:before="106" w:line="215" w:lineRule="auto"/>
              <w:ind w:left="326"/>
            </w:pPr>
            <w:r>
              <w:rPr>
                <w:spacing w:val="-1"/>
              </w:rPr>
              <w:t>++</w:t>
            </w:r>
          </w:p>
        </w:tc>
        <w:tc>
          <w:tcPr>
            <w:tcW w:w="875" w:type="dxa"/>
            <w:vAlign w:val="top"/>
          </w:tcPr>
          <w:p w14:paraId="24495F35">
            <w:pPr>
              <w:pStyle w:val="6"/>
              <w:spacing w:before="110" w:line="186" w:lineRule="auto"/>
              <w:ind w:left="399"/>
            </w:pPr>
            <w:r>
              <w:t>S</w:t>
            </w:r>
          </w:p>
        </w:tc>
        <w:tc>
          <w:tcPr>
            <w:tcW w:w="508" w:type="dxa"/>
            <w:tcBorders>
              <w:right w:val="single" w:color="000000" w:sz="12" w:space="0"/>
            </w:tcBorders>
            <w:vAlign w:val="top"/>
          </w:tcPr>
          <w:p w14:paraId="45F0B348">
            <w:pPr>
              <w:rPr>
                <w:rFonts w:ascii="Arial"/>
                <w:sz w:val="21"/>
              </w:rPr>
            </w:pPr>
          </w:p>
        </w:tc>
      </w:tr>
      <w:tr w14:paraId="387B8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6FBFF16">
            <w:pPr>
              <w:pStyle w:val="6"/>
              <w:spacing w:before="106" w:line="214" w:lineRule="auto"/>
              <w:ind w:left="136"/>
            </w:pPr>
            <w:r>
              <w:rPr>
                <w:spacing w:val="-2"/>
              </w:rPr>
              <w:t>76</w:t>
            </w:r>
          </w:p>
        </w:tc>
        <w:tc>
          <w:tcPr>
            <w:tcW w:w="1257" w:type="dxa"/>
            <w:vAlign w:val="top"/>
          </w:tcPr>
          <w:p w14:paraId="43C7455E">
            <w:pPr>
              <w:spacing w:before="72" w:line="219" w:lineRule="auto"/>
              <w:ind w:left="204"/>
              <w:rPr>
                <w:rFonts w:ascii="宋体" w:hAnsi="宋体" w:eastAsia="宋体" w:cs="宋体"/>
                <w:sz w:val="21"/>
                <w:szCs w:val="21"/>
              </w:rPr>
            </w:pPr>
            <w:r>
              <w:rPr>
                <w:rFonts w:ascii="宋体" w:hAnsi="宋体" w:eastAsia="宋体" w:cs="宋体"/>
                <w:spacing w:val="-3"/>
                <w:sz w:val="21"/>
                <w:szCs w:val="21"/>
              </w:rPr>
              <w:t>红尾希鹛</w:t>
            </w:r>
          </w:p>
        </w:tc>
        <w:tc>
          <w:tcPr>
            <w:tcW w:w="2394" w:type="dxa"/>
            <w:vAlign w:val="top"/>
          </w:tcPr>
          <w:p w14:paraId="195C48B6">
            <w:pPr>
              <w:pStyle w:val="6"/>
              <w:spacing w:before="106" w:line="190" w:lineRule="auto"/>
              <w:ind w:left="475"/>
            </w:pPr>
            <w:r>
              <w:rPr>
                <w:i/>
                <w:iCs/>
              </w:rPr>
              <w:t>Minla</w:t>
            </w:r>
            <w:r>
              <w:rPr>
                <w:i/>
                <w:iCs/>
                <w:spacing w:val="7"/>
              </w:rPr>
              <w:t xml:space="preserve"> </w:t>
            </w:r>
            <w:r>
              <w:rPr>
                <w:i/>
                <w:iCs/>
              </w:rPr>
              <w:t>ignotincta</w:t>
            </w:r>
          </w:p>
        </w:tc>
        <w:tc>
          <w:tcPr>
            <w:tcW w:w="685" w:type="dxa"/>
            <w:vAlign w:val="top"/>
          </w:tcPr>
          <w:p w14:paraId="11A60D7E">
            <w:pPr>
              <w:pStyle w:val="6"/>
              <w:spacing w:before="113" w:line="183" w:lineRule="auto"/>
              <w:ind w:left="270"/>
            </w:pPr>
            <w:r>
              <w:t>R</w:t>
            </w:r>
          </w:p>
        </w:tc>
        <w:tc>
          <w:tcPr>
            <w:tcW w:w="494" w:type="dxa"/>
            <w:vAlign w:val="top"/>
          </w:tcPr>
          <w:p w14:paraId="52E31C5B">
            <w:pPr>
              <w:pStyle w:val="6"/>
              <w:spacing w:before="110" w:line="186" w:lineRule="auto"/>
              <w:ind w:left="175"/>
            </w:pPr>
            <w:r>
              <w:t>O</w:t>
            </w:r>
          </w:p>
        </w:tc>
        <w:tc>
          <w:tcPr>
            <w:tcW w:w="875" w:type="dxa"/>
            <w:vAlign w:val="top"/>
          </w:tcPr>
          <w:p w14:paraId="130ADA8D">
            <w:pPr>
              <w:rPr>
                <w:rFonts w:ascii="Arial"/>
                <w:sz w:val="21"/>
              </w:rPr>
            </w:pPr>
          </w:p>
        </w:tc>
        <w:tc>
          <w:tcPr>
            <w:tcW w:w="874" w:type="dxa"/>
            <w:vAlign w:val="top"/>
          </w:tcPr>
          <w:p w14:paraId="1F1CF9B1">
            <w:pPr>
              <w:pStyle w:val="6"/>
              <w:spacing w:before="106" w:line="214" w:lineRule="auto"/>
              <w:ind w:left="326"/>
            </w:pPr>
            <w:r>
              <w:rPr>
                <w:spacing w:val="-1"/>
              </w:rPr>
              <w:t>++</w:t>
            </w:r>
          </w:p>
        </w:tc>
        <w:tc>
          <w:tcPr>
            <w:tcW w:w="875" w:type="dxa"/>
            <w:vAlign w:val="top"/>
          </w:tcPr>
          <w:p w14:paraId="4DE4445F">
            <w:pPr>
              <w:pStyle w:val="6"/>
              <w:spacing w:before="110" w:line="186" w:lineRule="auto"/>
              <w:ind w:left="399"/>
            </w:pPr>
            <w:r>
              <w:t>S</w:t>
            </w:r>
          </w:p>
        </w:tc>
        <w:tc>
          <w:tcPr>
            <w:tcW w:w="508" w:type="dxa"/>
            <w:tcBorders>
              <w:right w:val="single" w:color="000000" w:sz="12" w:space="0"/>
            </w:tcBorders>
            <w:vAlign w:val="top"/>
          </w:tcPr>
          <w:p w14:paraId="1D581388">
            <w:pPr>
              <w:rPr>
                <w:rFonts w:ascii="Arial"/>
                <w:sz w:val="21"/>
              </w:rPr>
            </w:pPr>
          </w:p>
        </w:tc>
      </w:tr>
      <w:tr w14:paraId="43DD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C7C5EC9">
            <w:pPr>
              <w:pStyle w:val="6"/>
              <w:spacing w:before="107" w:line="213" w:lineRule="auto"/>
              <w:ind w:left="136"/>
            </w:pPr>
            <w:r>
              <w:rPr>
                <w:spacing w:val="-2"/>
              </w:rPr>
              <w:t>77</w:t>
            </w:r>
          </w:p>
        </w:tc>
        <w:tc>
          <w:tcPr>
            <w:tcW w:w="1257" w:type="dxa"/>
            <w:vAlign w:val="top"/>
          </w:tcPr>
          <w:p w14:paraId="1B40B38A">
            <w:pPr>
              <w:spacing w:before="74" w:line="218" w:lineRule="auto"/>
              <w:ind w:left="205"/>
              <w:rPr>
                <w:rFonts w:ascii="宋体" w:hAnsi="宋体" w:eastAsia="宋体" w:cs="宋体"/>
                <w:sz w:val="21"/>
                <w:szCs w:val="21"/>
              </w:rPr>
            </w:pPr>
            <w:r>
              <w:rPr>
                <w:rFonts w:ascii="宋体" w:hAnsi="宋体" w:eastAsia="宋体" w:cs="宋体"/>
                <w:spacing w:val="-3"/>
                <w:sz w:val="21"/>
                <w:szCs w:val="21"/>
              </w:rPr>
              <w:t>黑头奇鹛</w:t>
            </w:r>
          </w:p>
        </w:tc>
        <w:tc>
          <w:tcPr>
            <w:tcW w:w="2394" w:type="dxa"/>
            <w:vAlign w:val="top"/>
          </w:tcPr>
          <w:p w14:paraId="2F086553">
            <w:pPr>
              <w:pStyle w:val="6"/>
              <w:spacing w:before="107" w:line="190" w:lineRule="auto"/>
              <w:ind w:left="133"/>
            </w:pPr>
            <w:r>
              <w:rPr>
                <w:i/>
                <w:iCs/>
              </w:rPr>
              <w:t>Heterophasia</w:t>
            </w:r>
            <w:r>
              <w:rPr>
                <w:i/>
                <w:iCs/>
                <w:spacing w:val="5"/>
              </w:rPr>
              <w:t xml:space="preserve"> </w:t>
            </w:r>
            <w:r>
              <w:rPr>
                <w:i/>
                <w:iCs/>
              </w:rPr>
              <w:t>desgodinsi</w:t>
            </w:r>
          </w:p>
        </w:tc>
        <w:tc>
          <w:tcPr>
            <w:tcW w:w="685" w:type="dxa"/>
            <w:vAlign w:val="top"/>
          </w:tcPr>
          <w:p w14:paraId="02722635">
            <w:pPr>
              <w:pStyle w:val="6"/>
              <w:spacing w:before="114" w:line="183" w:lineRule="auto"/>
              <w:ind w:left="270"/>
            </w:pPr>
            <w:r>
              <w:t>R</w:t>
            </w:r>
          </w:p>
        </w:tc>
        <w:tc>
          <w:tcPr>
            <w:tcW w:w="494" w:type="dxa"/>
            <w:vAlign w:val="top"/>
          </w:tcPr>
          <w:p w14:paraId="58950C69">
            <w:pPr>
              <w:pStyle w:val="6"/>
              <w:spacing w:before="111" w:line="186" w:lineRule="auto"/>
              <w:ind w:left="175"/>
            </w:pPr>
            <w:r>
              <w:t>O</w:t>
            </w:r>
          </w:p>
        </w:tc>
        <w:tc>
          <w:tcPr>
            <w:tcW w:w="875" w:type="dxa"/>
            <w:vAlign w:val="top"/>
          </w:tcPr>
          <w:p w14:paraId="6D0ECB3E">
            <w:pPr>
              <w:rPr>
                <w:rFonts w:ascii="Arial"/>
                <w:sz w:val="21"/>
              </w:rPr>
            </w:pPr>
          </w:p>
        </w:tc>
        <w:tc>
          <w:tcPr>
            <w:tcW w:w="874" w:type="dxa"/>
            <w:vAlign w:val="top"/>
          </w:tcPr>
          <w:p w14:paraId="47FE97D4">
            <w:pPr>
              <w:pStyle w:val="6"/>
              <w:spacing w:before="107" w:line="213" w:lineRule="auto"/>
              <w:ind w:left="326"/>
            </w:pPr>
            <w:r>
              <w:rPr>
                <w:spacing w:val="-1"/>
              </w:rPr>
              <w:t>++</w:t>
            </w:r>
          </w:p>
        </w:tc>
        <w:tc>
          <w:tcPr>
            <w:tcW w:w="875" w:type="dxa"/>
            <w:vAlign w:val="top"/>
          </w:tcPr>
          <w:p w14:paraId="5C0E395D">
            <w:pPr>
              <w:pStyle w:val="6"/>
              <w:spacing w:before="111" w:line="186" w:lineRule="auto"/>
              <w:ind w:left="399"/>
            </w:pPr>
            <w:r>
              <w:t>S</w:t>
            </w:r>
          </w:p>
        </w:tc>
        <w:tc>
          <w:tcPr>
            <w:tcW w:w="508" w:type="dxa"/>
            <w:tcBorders>
              <w:right w:val="single" w:color="000000" w:sz="12" w:space="0"/>
            </w:tcBorders>
            <w:vAlign w:val="top"/>
          </w:tcPr>
          <w:p w14:paraId="0F93F7AA">
            <w:pPr>
              <w:rPr>
                <w:rFonts w:ascii="Arial"/>
                <w:sz w:val="21"/>
              </w:rPr>
            </w:pPr>
          </w:p>
        </w:tc>
      </w:tr>
      <w:tr w14:paraId="0B6F9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41606EA7">
            <w:pPr>
              <w:pStyle w:val="6"/>
              <w:spacing w:before="119" w:line="186" w:lineRule="auto"/>
              <w:ind w:left="68"/>
            </w:pPr>
            <w:r>
              <w:rPr>
                <w:b/>
                <w:bCs/>
                <w:spacing w:val="-2"/>
              </w:rPr>
              <w:t>F35</w:t>
            </w:r>
          </w:p>
        </w:tc>
        <w:tc>
          <w:tcPr>
            <w:tcW w:w="1257" w:type="dxa"/>
            <w:vAlign w:val="top"/>
          </w:tcPr>
          <w:p w14:paraId="56BB6089">
            <w:pPr>
              <w:spacing w:before="81" w:line="218" w:lineRule="auto"/>
              <w:ind w:left="406"/>
              <w:rPr>
                <w:rFonts w:ascii="宋体" w:hAnsi="宋体" w:eastAsia="宋体" w:cs="宋体"/>
                <w:sz w:val="21"/>
                <w:szCs w:val="21"/>
              </w:rPr>
            </w:pPr>
            <w:r>
              <w:rPr>
                <w:rFonts w:ascii="宋体" w:hAnsi="宋体" w:eastAsia="宋体" w:cs="宋体"/>
                <w:b/>
                <w:bCs/>
                <w:spacing w:val="-4"/>
                <w:sz w:val="21"/>
                <w:szCs w:val="21"/>
              </w:rPr>
              <w:t>䴓科</w:t>
            </w:r>
          </w:p>
        </w:tc>
        <w:tc>
          <w:tcPr>
            <w:tcW w:w="2394" w:type="dxa"/>
            <w:vAlign w:val="top"/>
          </w:tcPr>
          <w:p w14:paraId="01B45C11">
            <w:pPr>
              <w:pStyle w:val="6"/>
              <w:spacing w:before="118" w:line="187" w:lineRule="auto"/>
              <w:ind w:left="852"/>
            </w:pPr>
            <w:r>
              <w:rPr>
                <w:b/>
                <w:bCs/>
                <w:spacing w:val="-2"/>
              </w:rPr>
              <w:t>Sittidae</w:t>
            </w:r>
          </w:p>
        </w:tc>
        <w:tc>
          <w:tcPr>
            <w:tcW w:w="685" w:type="dxa"/>
            <w:vAlign w:val="top"/>
          </w:tcPr>
          <w:p w14:paraId="644A41B1">
            <w:pPr>
              <w:rPr>
                <w:rFonts w:ascii="Arial"/>
                <w:sz w:val="21"/>
              </w:rPr>
            </w:pPr>
          </w:p>
        </w:tc>
        <w:tc>
          <w:tcPr>
            <w:tcW w:w="494" w:type="dxa"/>
            <w:vAlign w:val="top"/>
          </w:tcPr>
          <w:p w14:paraId="305EEF53">
            <w:pPr>
              <w:rPr>
                <w:rFonts w:ascii="Arial"/>
                <w:sz w:val="21"/>
              </w:rPr>
            </w:pPr>
          </w:p>
        </w:tc>
        <w:tc>
          <w:tcPr>
            <w:tcW w:w="875" w:type="dxa"/>
            <w:vAlign w:val="top"/>
          </w:tcPr>
          <w:p w14:paraId="6648D709">
            <w:pPr>
              <w:rPr>
                <w:rFonts w:ascii="Arial"/>
                <w:sz w:val="21"/>
              </w:rPr>
            </w:pPr>
          </w:p>
        </w:tc>
        <w:tc>
          <w:tcPr>
            <w:tcW w:w="874" w:type="dxa"/>
            <w:vAlign w:val="top"/>
          </w:tcPr>
          <w:p w14:paraId="26AF12CF">
            <w:pPr>
              <w:rPr>
                <w:rFonts w:ascii="Arial"/>
                <w:sz w:val="21"/>
              </w:rPr>
            </w:pPr>
          </w:p>
        </w:tc>
        <w:tc>
          <w:tcPr>
            <w:tcW w:w="875" w:type="dxa"/>
            <w:vAlign w:val="top"/>
          </w:tcPr>
          <w:p w14:paraId="0678A1A1">
            <w:pPr>
              <w:rPr>
                <w:rFonts w:ascii="Arial"/>
                <w:sz w:val="21"/>
              </w:rPr>
            </w:pPr>
          </w:p>
        </w:tc>
        <w:tc>
          <w:tcPr>
            <w:tcW w:w="508" w:type="dxa"/>
            <w:tcBorders>
              <w:right w:val="single" w:color="000000" w:sz="12" w:space="0"/>
            </w:tcBorders>
            <w:vAlign w:val="top"/>
          </w:tcPr>
          <w:p w14:paraId="68F1F7DB">
            <w:pPr>
              <w:rPr>
                <w:rFonts w:ascii="Arial"/>
                <w:sz w:val="21"/>
              </w:rPr>
            </w:pPr>
          </w:p>
        </w:tc>
      </w:tr>
      <w:tr w14:paraId="6B71B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C3E64FC">
            <w:pPr>
              <w:pStyle w:val="6"/>
              <w:spacing w:before="109" w:line="211" w:lineRule="auto"/>
              <w:ind w:left="136"/>
            </w:pPr>
            <w:r>
              <w:rPr>
                <w:spacing w:val="-2"/>
              </w:rPr>
              <w:t>78</w:t>
            </w:r>
          </w:p>
        </w:tc>
        <w:tc>
          <w:tcPr>
            <w:tcW w:w="1257" w:type="dxa"/>
            <w:vAlign w:val="top"/>
          </w:tcPr>
          <w:p w14:paraId="38047069">
            <w:pPr>
              <w:spacing w:before="76" w:line="216" w:lineRule="auto"/>
              <w:ind w:left="303"/>
              <w:rPr>
                <w:rFonts w:ascii="宋体" w:hAnsi="宋体" w:eastAsia="宋体" w:cs="宋体"/>
                <w:sz w:val="21"/>
                <w:szCs w:val="21"/>
              </w:rPr>
            </w:pPr>
            <w:r>
              <w:rPr>
                <w:rFonts w:ascii="宋体" w:hAnsi="宋体" w:eastAsia="宋体" w:cs="宋体"/>
                <w:spacing w:val="-2"/>
                <w:sz w:val="21"/>
                <w:szCs w:val="21"/>
              </w:rPr>
              <w:t>栗臀䴓</w:t>
            </w:r>
          </w:p>
        </w:tc>
        <w:tc>
          <w:tcPr>
            <w:tcW w:w="2394" w:type="dxa"/>
            <w:vAlign w:val="top"/>
          </w:tcPr>
          <w:p w14:paraId="4B6A0FD3">
            <w:pPr>
              <w:pStyle w:val="6"/>
              <w:spacing w:before="109" w:line="190" w:lineRule="auto"/>
              <w:ind w:left="548"/>
            </w:pPr>
            <w:r>
              <w:rPr>
                <w:i/>
                <w:iCs/>
                <w:spacing w:val="-1"/>
              </w:rPr>
              <w:t>Sitta nagaensis</w:t>
            </w:r>
          </w:p>
        </w:tc>
        <w:tc>
          <w:tcPr>
            <w:tcW w:w="685" w:type="dxa"/>
            <w:vAlign w:val="top"/>
          </w:tcPr>
          <w:p w14:paraId="1AD5C4BB">
            <w:pPr>
              <w:pStyle w:val="6"/>
              <w:spacing w:before="116" w:line="183" w:lineRule="auto"/>
              <w:ind w:left="270"/>
            </w:pPr>
            <w:r>
              <w:t>R</w:t>
            </w:r>
          </w:p>
        </w:tc>
        <w:tc>
          <w:tcPr>
            <w:tcW w:w="494" w:type="dxa"/>
            <w:vAlign w:val="top"/>
          </w:tcPr>
          <w:p w14:paraId="0179EEBC">
            <w:pPr>
              <w:pStyle w:val="6"/>
              <w:spacing w:before="113" w:line="186" w:lineRule="auto"/>
              <w:ind w:left="175"/>
            </w:pPr>
            <w:r>
              <w:t>O</w:t>
            </w:r>
          </w:p>
        </w:tc>
        <w:tc>
          <w:tcPr>
            <w:tcW w:w="875" w:type="dxa"/>
            <w:vAlign w:val="top"/>
          </w:tcPr>
          <w:p w14:paraId="170446A4">
            <w:pPr>
              <w:rPr>
                <w:rFonts w:ascii="Arial"/>
                <w:sz w:val="21"/>
              </w:rPr>
            </w:pPr>
          </w:p>
        </w:tc>
        <w:tc>
          <w:tcPr>
            <w:tcW w:w="874" w:type="dxa"/>
            <w:vAlign w:val="top"/>
          </w:tcPr>
          <w:p w14:paraId="14437BE1">
            <w:pPr>
              <w:pStyle w:val="6"/>
              <w:spacing w:before="109" w:line="211" w:lineRule="auto"/>
              <w:ind w:left="266"/>
            </w:pPr>
            <w:r>
              <w:rPr>
                <w:spacing w:val="-1"/>
              </w:rPr>
              <w:t>+++</w:t>
            </w:r>
          </w:p>
        </w:tc>
        <w:tc>
          <w:tcPr>
            <w:tcW w:w="875" w:type="dxa"/>
            <w:vAlign w:val="top"/>
          </w:tcPr>
          <w:p w14:paraId="28D7973E">
            <w:pPr>
              <w:pStyle w:val="6"/>
              <w:spacing w:before="113" w:line="186" w:lineRule="auto"/>
              <w:ind w:left="399"/>
            </w:pPr>
            <w:r>
              <w:t>S</w:t>
            </w:r>
          </w:p>
        </w:tc>
        <w:tc>
          <w:tcPr>
            <w:tcW w:w="508" w:type="dxa"/>
            <w:tcBorders>
              <w:right w:val="single" w:color="000000" w:sz="12" w:space="0"/>
            </w:tcBorders>
            <w:vAlign w:val="top"/>
          </w:tcPr>
          <w:p w14:paraId="18393B16">
            <w:pPr>
              <w:rPr>
                <w:rFonts w:ascii="Arial"/>
                <w:sz w:val="21"/>
              </w:rPr>
            </w:pPr>
          </w:p>
        </w:tc>
      </w:tr>
      <w:tr w14:paraId="0A665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401A3B1A">
            <w:pPr>
              <w:pStyle w:val="6"/>
              <w:spacing w:before="121" w:line="186" w:lineRule="auto"/>
              <w:ind w:left="68"/>
            </w:pPr>
            <w:r>
              <w:rPr>
                <w:b/>
                <w:bCs/>
                <w:spacing w:val="-2"/>
              </w:rPr>
              <w:t>F36</w:t>
            </w:r>
          </w:p>
        </w:tc>
        <w:tc>
          <w:tcPr>
            <w:tcW w:w="1257" w:type="dxa"/>
            <w:vAlign w:val="top"/>
          </w:tcPr>
          <w:p w14:paraId="65196C5C">
            <w:pPr>
              <w:spacing w:before="82" w:line="219" w:lineRule="auto"/>
              <w:ind w:left="301"/>
              <w:rPr>
                <w:rFonts w:ascii="宋体" w:hAnsi="宋体" w:eastAsia="宋体" w:cs="宋体"/>
                <w:sz w:val="21"/>
                <w:szCs w:val="21"/>
              </w:rPr>
            </w:pPr>
            <w:r>
              <w:rPr>
                <w:rFonts w:ascii="宋体" w:hAnsi="宋体" w:eastAsia="宋体" w:cs="宋体"/>
                <w:b/>
                <w:bCs/>
                <w:spacing w:val="-4"/>
                <w:sz w:val="21"/>
                <w:szCs w:val="21"/>
              </w:rPr>
              <w:t>河乌科</w:t>
            </w:r>
          </w:p>
        </w:tc>
        <w:tc>
          <w:tcPr>
            <w:tcW w:w="2394" w:type="dxa"/>
            <w:vAlign w:val="top"/>
          </w:tcPr>
          <w:p w14:paraId="4258E2F9">
            <w:pPr>
              <w:pStyle w:val="6"/>
              <w:spacing w:before="121" w:line="186" w:lineRule="auto"/>
              <w:ind w:left="767"/>
            </w:pPr>
            <w:r>
              <w:rPr>
                <w:b/>
                <w:bCs/>
                <w:spacing w:val="-1"/>
              </w:rPr>
              <w:t>Cinclidae</w:t>
            </w:r>
          </w:p>
        </w:tc>
        <w:tc>
          <w:tcPr>
            <w:tcW w:w="685" w:type="dxa"/>
            <w:vAlign w:val="top"/>
          </w:tcPr>
          <w:p w14:paraId="60C5BC72">
            <w:pPr>
              <w:rPr>
                <w:rFonts w:ascii="Arial"/>
                <w:sz w:val="21"/>
              </w:rPr>
            </w:pPr>
          </w:p>
        </w:tc>
        <w:tc>
          <w:tcPr>
            <w:tcW w:w="494" w:type="dxa"/>
            <w:vAlign w:val="top"/>
          </w:tcPr>
          <w:p w14:paraId="47F0280E">
            <w:pPr>
              <w:rPr>
                <w:rFonts w:ascii="Arial"/>
                <w:sz w:val="21"/>
              </w:rPr>
            </w:pPr>
          </w:p>
        </w:tc>
        <w:tc>
          <w:tcPr>
            <w:tcW w:w="875" w:type="dxa"/>
            <w:vAlign w:val="top"/>
          </w:tcPr>
          <w:p w14:paraId="296FED3D">
            <w:pPr>
              <w:rPr>
                <w:rFonts w:ascii="Arial"/>
                <w:sz w:val="21"/>
              </w:rPr>
            </w:pPr>
          </w:p>
        </w:tc>
        <w:tc>
          <w:tcPr>
            <w:tcW w:w="874" w:type="dxa"/>
            <w:vAlign w:val="top"/>
          </w:tcPr>
          <w:p w14:paraId="673DB56C">
            <w:pPr>
              <w:rPr>
                <w:rFonts w:ascii="Arial"/>
                <w:sz w:val="21"/>
              </w:rPr>
            </w:pPr>
          </w:p>
        </w:tc>
        <w:tc>
          <w:tcPr>
            <w:tcW w:w="875" w:type="dxa"/>
            <w:vAlign w:val="top"/>
          </w:tcPr>
          <w:p w14:paraId="0C7037BA">
            <w:pPr>
              <w:rPr>
                <w:rFonts w:ascii="Arial"/>
                <w:sz w:val="21"/>
              </w:rPr>
            </w:pPr>
          </w:p>
        </w:tc>
        <w:tc>
          <w:tcPr>
            <w:tcW w:w="508" w:type="dxa"/>
            <w:tcBorders>
              <w:right w:val="single" w:color="000000" w:sz="12" w:space="0"/>
            </w:tcBorders>
            <w:vAlign w:val="top"/>
          </w:tcPr>
          <w:p w14:paraId="686A9168">
            <w:pPr>
              <w:rPr>
                <w:rFonts w:ascii="Arial"/>
                <w:sz w:val="21"/>
              </w:rPr>
            </w:pPr>
          </w:p>
        </w:tc>
      </w:tr>
      <w:tr w14:paraId="6C161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9253B7E">
            <w:pPr>
              <w:pStyle w:val="6"/>
              <w:spacing w:before="110" w:line="210" w:lineRule="auto"/>
              <w:ind w:left="136"/>
            </w:pPr>
            <w:r>
              <w:rPr>
                <w:spacing w:val="-2"/>
              </w:rPr>
              <w:t>79</w:t>
            </w:r>
          </w:p>
        </w:tc>
        <w:tc>
          <w:tcPr>
            <w:tcW w:w="1257" w:type="dxa"/>
            <w:vAlign w:val="top"/>
          </w:tcPr>
          <w:p w14:paraId="0459B5C2">
            <w:pPr>
              <w:spacing w:before="77" w:line="215" w:lineRule="auto"/>
              <w:ind w:left="303"/>
              <w:rPr>
                <w:rFonts w:ascii="宋体" w:hAnsi="宋体" w:eastAsia="宋体" w:cs="宋体"/>
                <w:sz w:val="21"/>
                <w:szCs w:val="21"/>
              </w:rPr>
            </w:pPr>
            <w:r>
              <w:rPr>
                <w:rFonts w:ascii="宋体" w:hAnsi="宋体" w:eastAsia="宋体" w:cs="宋体"/>
                <w:spacing w:val="-2"/>
                <w:sz w:val="21"/>
                <w:szCs w:val="21"/>
              </w:rPr>
              <w:t>褐河乌</w:t>
            </w:r>
          </w:p>
        </w:tc>
        <w:tc>
          <w:tcPr>
            <w:tcW w:w="2394" w:type="dxa"/>
            <w:vAlign w:val="top"/>
          </w:tcPr>
          <w:p w14:paraId="741844B2">
            <w:pPr>
              <w:pStyle w:val="6"/>
              <w:spacing w:before="111" w:line="190" w:lineRule="auto"/>
              <w:ind w:left="538"/>
            </w:pPr>
            <w:r>
              <w:rPr>
                <w:i/>
                <w:iCs/>
              </w:rPr>
              <w:t>Cinclus</w:t>
            </w:r>
            <w:r>
              <w:rPr>
                <w:i/>
                <w:iCs/>
                <w:spacing w:val="-16"/>
              </w:rPr>
              <w:t xml:space="preserve"> </w:t>
            </w:r>
            <w:r>
              <w:rPr>
                <w:i/>
                <w:iCs/>
              </w:rPr>
              <w:t>pallasii</w:t>
            </w:r>
          </w:p>
        </w:tc>
        <w:tc>
          <w:tcPr>
            <w:tcW w:w="685" w:type="dxa"/>
            <w:vAlign w:val="top"/>
          </w:tcPr>
          <w:p w14:paraId="751EEB67">
            <w:pPr>
              <w:pStyle w:val="6"/>
              <w:spacing w:before="117" w:line="183" w:lineRule="auto"/>
              <w:ind w:left="270"/>
            </w:pPr>
            <w:r>
              <w:t>R</w:t>
            </w:r>
          </w:p>
        </w:tc>
        <w:tc>
          <w:tcPr>
            <w:tcW w:w="494" w:type="dxa"/>
            <w:vAlign w:val="top"/>
          </w:tcPr>
          <w:p w14:paraId="1099F261">
            <w:pPr>
              <w:pStyle w:val="6"/>
              <w:spacing w:before="114" w:line="186" w:lineRule="auto"/>
              <w:ind w:left="117"/>
            </w:pPr>
            <w:r>
              <w:rPr>
                <w:spacing w:val="-3"/>
              </w:rPr>
              <w:t>OP</w:t>
            </w:r>
          </w:p>
        </w:tc>
        <w:tc>
          <w:tcPr>
            <w:tcW w:w="875" w:type="dxa"/>
            <w:vAlign w:val="top"/>
          </w:tcPr>
          <w:p w14:paraId="4BBAC714">
            <w:pPr>
              <w:rPr>
                <w:rFonts w:ascii="Arial"/>
                <w:sz w:val="21"/>
              </w:rPr>
            </w:pPr>
          </w:p>
        </w:tc>
        <w:tc>
          <w:tcPr>
            <w:tcW w:w="874" w:type="dxa"/>
            <w:vAlign w:val="top"/>
          </w:tcPr>
          <w:p w14:paraId="0364E45D">
            <w:pPr>
              <w:pStyle w:val="6"/>
              <w:spacing w:before="110" w:line="210" w:lineRule="auto"/>
              <w:ind w:left="385"/>
            </w:pPr>
            <w:r>
              <w:t>+</w:t>
            </w:r>
          </w:p>
        </w:tc>
        <w:tc>
          <w:tcPr>
            <w:tcW w:w="875" w:type="dxa"/>
            <w:vAlign w:val="top"/>
          </w:tcPr>
          <w:p w14:paraId="7C9948C6">
            <w:pPr>
              <w:pStyle w:val="6"/>
              <w:spacing w:before="114" w:line="186" w:lineRule="auto"/>
              <w:ind w:left="399"/>
            </w:pPr>
            <w:r>
              <w:t>S</w:t>
            </w:r>
          </w:p>
        </w:tc>
        <w:tc>
          <w:tcPr>
            <w:tcW w:w="508" w:type="dxa"/>
            <w:tcBorders>
              <w:right w:val="single" w:color="000000" w:sz="12" w:space="0"/>
            </w:tcBorders>
            <w:vAlign w:val="top"/>
          </w:tcPr>
          <w:p w14:paraId="633AEF2E">
            <w:pPr>
              <w:rPr>
                <w:rFonts w:ascii="Arial"/>
                <w:sz w:val="21"/>
              </w:rPr>
            </w:pPr>
          </w:p>
        </w:tc>
      </w:tr>
      <w:tr w14:paraId="6FD0D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E5804BA">
            <w:pPr>
              <w:pStyle w:val="6"/>
              <w:spacing w:before="123" w:line="186" w:lineRule="auto"/>
              <w:ind w:left="68"/>
            </w:pPr>
            <w:r>
              <w:rPr>
                <w:b/>
                <w:bCs/>
                <w:spacing w:val="-2"/>
              </w:rPr>
              <w:t>F37</w:t>
            </w:r>
          </w:p>
        </w:tc>
        <w:tc>
          <w:tcPr>
            <w:tcW w:w="1257" w:type="dxa"/>
            <w:vAlign w:val="top"/>
          </w:tcPr>
          <w:p w14:paraId="6EC8824E">
            <w:pPr>
              <w:spacing w:before="84" w:line="219" w:lineRule="auto"/>
              <w:ind w:left="303"/>
              <w:rPr>
                <w:rFonts w:ascii="宋体" w:hAnsi="宋体" w:eastAsia="宋体" w:cs="宋体"/>
                <w:sz w:val="21"/>
                <w:szCs w:val="21"/>
              </w:rPr>
            </w:pPr>
            <w:r>
              <w:rPr>
                <w:rFonts w:ascii="宋体" w:hAnsi="宋体" w:eastAsia="宋体" w:cs="宋体"/>
                <w:b/>
                <w:bCs/>
                <w:spacing w:val="-4"/>
                <w:sz w:val="21"/>
                <w:szCs w:val="21"/>
              </w:rPr>
              <w:t>椋鸟科</w:t>
            </w:r>
          </w:p>
        </w:tc>
        <w:tc>
          <w:tcPr>
            <w:tcW w:w="2394" w:type="dxa"/>
            <w:vAlign w:val="top"/>
          </w:tcPr>
          <w:p w14:paraId="04F93D0A">
            <w:pPr>
              <w:pStyle w:val="6"/>
              <w:spacing w:before="123" w:line="186" w:lineRule="auto"/>
              <w:ind w:left="753"/>
            </w:pPr>
            <w:r>
              <w:rPr>
                <w:b/>
                <w:bCs/>
                <w:spacing w:val="-2"/>
              </w:rPr>
              <w:t>Sturnidae</w:t>
            </w:r>
          </w:p>
        </w:tc>
        <w:tc>
          <w:tcPr>
            <w:tcW w:w="685" w:type="dxa"/>
            <w:vAlign w:val="top"/>
          </w:tcPr>
          <w:p w14:paraId="5D526A95">
            <w:pPr>
              <w:rPr>
                <w:rFonts w:ascii="Arial"/>
                <w:sz w:val="21"/>
              </w:rPr>
            </w:pPr>
          </w:p>
        </w:tc>
        <w:tc>
          <w:tcPr>
            <w:tcW w:w="494" w:type="dxa"/>
            <w:vAlign w:val="top"/>
          </w:tcPr>
          <w:p w14:paraId="593A0A2E">
            <w:pPr>
              <w:rPr>
                <w:rFonts w:ascii="Arial"/>
                <w:sz w:val="21"/>
              </w:rPr>
            </w:pPr>
          </w:p>
        </w:tc>
        <w:tc>
          <w:tcPr>
            <w:tcW w:w="875" w:type="dxa"/>
            <w:vAlign w:val="top"/>
          </w:tcPr>
          <w:p w14:paraId="54AD449B">
            <w:pPr>
              <w:rPr>
                <w:rFonts w:ascii="Arial"/>
                <w:sz w:val="21"/>
              </w:rPr>
            </w:pPr>
          </w:p>
        </w:tc>
        <w:tc>
          <w:tcPr>
            <w:tcW w:w="874" w:type="dxa"/>
            <w:vAlign w:val="top"/>
          </w:tcPr>
          <w:p w14:paraId="09FF3ABC">
            <w:pPr>
              <w:rPr>
                <w:rFonts w:ascii="Arial"/>
                <w:sz w:val="21"/>
              </w:rPr>
            </w:pPr>
          </w:p>
        </w:tc>
        <w:tc>
          <w:tcPr>
            <w:tcW w:w="875" w:type="dxa"/>
            <w:vAlign w:val="top"/>
          </w:tcPr>
          <w:p w14:paraId="1205A37E">
            <w:pPr>
              <w:rPr>
                <w:rFonts w:ascii="Arial"/>
                <w:sz w:val="21"/>
              </w:rPr>
            </w:pPr>
          </w:p>
        </w:tc>
        <w:tc>
          <w:tcPr>
            <w:tcW w:w="508" w:type="dxa"/>
            <w:tcBorders>
              <w:right w:val="single" w:color="000000" w:sz="12" w:space="0"/>
            </w:tcBorders>
            <w:vAlign w:val="top"/>
          </w:tcPr>
          <w:p w14:paraId="431B761D">
            <w:pPr>
              <w:rPr>
                <w:rFonts w:ascii="Arial"/>
                <w:sz w:val="21"/>
              </w:rPr>
            </w:pPr>
          </w:p>
        </w:tc>
      </w:tr>
      <w:tr w14:paraId="26558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5638987">
            <w:pPr>
              <w:pStyle w:val="6"/>
              <w:spacing w:before="111" w:line="209" w:lineRule="auto"/>
              <w:ind w:left="141"/>
            </w:pPr>
            <w:r>
              <w:rPr>
                <w:spacing w:val="-4"/>
              </w:rPr>
              <w:t>80</w:t>
            </w:r>
          </w:p>
        </w:tc>
        <w:tc>
          <w:tcPr>
            <w:tcW w:w="1257" w:type="dxa"/>
            <w:vAlign w:val="top"/>
          </w:tcPr>
          <w:p w14:paraId="08C5712F">
            <w:pPr>
              <w:spacing w:before="77" w:line="215" w:lineRule="auto"/>
              <w:ind w:left="412"/>
              <w:rPr>
                <w:rFonts w:ascii="宋体" w:hAnsi="宋体" w:eastAsia="宋体" w:cs="宋体"/>
                <w:sz w:val="21"/>
                <w:szCs w:val="21"/>
              </w:rPr>
            </w:pPr>
            <w:r>
              <w:rPr>
                <w:rFonts w:ascii="宋体" w:hAnsi="宋体" w:eastAsia="宋体" w:cs="宋体"/>
                <w:spacing w:val="-3"/>
                <w:sz w:val="21"/>
                <w:szCs w:val="21"/>
              </w:rPr>
              <w:t>八哥</w:t>
            </w:r>
          </w:p>
        </w:tc>
        <w:tc>
          <w:tcPr>
            <w:tcW w:w="2394" w:type="dxa"/>
            <w:vAlign w:val="top"/>
          </w:tcPr>
          <w:p w14:paraId="153B1FF2">
            <w:pPr>
              <w:pStyle w:val="6"/>
              <w:spacing w:before="111" w:line="209" w:lineRule="auto"/>
              <w:ind w:left="139"/>
            </w:pPr>
            <w:r>
              <w:rPr>
                <w:i/>
                <w:iCs/>
              </w:rPr>
              <w:t>Acridotheres</w:t>
            </w:r>
            <w:r>
              <w:rPr>
                <w:i/>
                <w:iCs/>
                <w:spacing w:val="11"/>
              </w:rPr>
              <w:t xml:space="preserve"> </w:t>
            </w:r>
            <w:r>
              <w:rPr>
                <w:i/>
                <w:iCs/>
              </w:rPr>
              <w:t>cristatellus</w:t>
            </w:r>
          </w:p>
        </w:tc>
        <w:tc>
          <w:tcPr>
            <w:tcW w:w="685" w:type="dxa"/>
            <w:vAlign w:val="top"/>
          </w:tcPr>
          <w:p w14:paraId="6F7D92DC">
            <w:pPr>
              <w:pStyle w:val="6"/>
              <w:spacing w:before="118" w:line="183" w:lineRule="auto"/>
              <w:ind w:left="270"/>
            </w:pPr>
            <w:r>
              <w:t>R</w:t>
            </w:r>
          </w:p>
        </w:tc>
        <w:tc>
          <w:tcPr>
            <w:tcW w:w="494" w:type="dxa"/>
            <w:vAlign w:val="top"/>
          </w:tcPr>
          <w:p w14:paraId="33117090">
            <w:pPr>
              <w:pStyle w:val="6"/>
              <w:spacing w:before="115" w:line="186" w:lineRule="auto"/>
              <w:ind w:left="175"/>
            </w:pPr>
            <w:r>
              <w:t>O</w:t>
            </w:r>
          </w:p>
        </w:tc>
        <w:tc>
          <w:tcPr>
            <w:tcW w:w="875" w:type="dxa"/>
            <w:vAlign w:val="top"/>
          </w:tcPr>
          <w:p w14:paraId="1388886A">
            <w:pPr>
              <w:rPr>
                <w:rFonts w:ascii="Arial"/>
                <w:sz w:val="21"/>
              </w:rPr>
            </w:pPr>
          </w:p>
        </w:tc>
        <w:tc>
          <w:tcPr>
            <w:tcW w:w="874" w:type="dxa"/>
            <w:vAlign w:val="top"/>
          </w:tcPr>
          <w:p w14:paraId="73836E30">
            <w:pPr>
              <w:pStyle w:val="6"/>
              <w:spacing w:before="111" w:line="209" w:lineRule="auto"/>
              <w:ind w:left="266"/>
            </w:pPr>
            <w:r>
              <w:rPr>
                <w:spacing w:val="-1"/>
              </w:rPr>
              <w:t>+++</w:t>
            </w:r>
          </w:p>
        </w:tc>
        <w:tc>
          <w:tcPr>
            <w:tcW w:w="875" w:type="dxa"/>
            <w:vAlign w:val="top"/>
          </w:tcPr>
          <w:p w14:paraId="21D804B8">
            <w:pPr>
              <w:pStyle w:val="6"/>
              <w:spacing w:before="115" w:line="186" w:lineRule="auto"/>
              <w:ind w:left="399"/>
            </w:pPr>
            <w:r>
              <w:t>S</w:t>
            </w:r>
          </w:p>
        </w:tc>
        <w:tc>
          <w:tcPr>
            <w:tcW w:w="508" w:type="dxa"/>
            <w:tcBorders>
              <w:right w:val="single" w:color="000000" w:sz="12" w:space="0"/>
            </w:tcBorders>
            <w:vAlign w:val="top"/>
          </w:tcPr>
          <w:p w14:paraId="007A3679">
            <w:pPr>
              <w:rPr>
                <w:rFonts w:ascii="Arial"/>
                <w:sz w:val="21"/>
              </w:rPr>
            </w:pPr>
          </w:p>
        </w:tc>
      </w:tr>
      <w:tr w14:paraId="4F74C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45B19369">
            <w:pPr>
              <w:pStyle w:val="6"/>
              <w:spacing w:before="119" w:line="213" w:lineRule="auto"/>
              <w:ind w:left="141"/>
            </w:pPr>
            <w:r>
              <w:rPr>
                <w:spacing w:val="-4"/>
              </w:rPr>
              <w:t>81</w:t>
            </w:r>
          </w:p>
        </w:tc>
        <w:tc>
          <w:tcPr>
            <w:tcW w:w="1257" w:type="dxa"/>
            <w:vAlign w:val="top"/>
          </w:tcPr>
          <w:p w14:paraId="2B8CCA93">
            <w:pPr>
              <w:spacing w:before="86" w:line="218" w:lineRule="auto"/>
              <w:ind w:left="201"/>
              <w:rPr>
                <w:rFonts w:ascii="宋体" w:hAnsi="宋体" w:eastAsia="宋体" w:cs="宋体"/>
                <w:sz w:val="21"/>
                <w:szCs w:val="21"/>
              </w:rPr>
            </w:pPr>
            <w:r>
              <w:rPr>
                <w:rFonts w:ascii="宋体" w:hAnsi="宋体" w:eastAsia="宋体" w:cs="宋体"/>
                <w:spacing w:val="-2"/>
                <w:sz w:val="21"/>
                <w:szCs w:val="21"/>
              </w:rPr>
              <w:t>丝光椋鸟</w:t>
            </w:r>
          </w:p>
        </w:tc>
        <w:tc>
          <w:tcPr>
            <w:tcW w:w="2394" w:type="dxa"/>
            <w:vAlign w:val="top"/>
          </w:tcPr>
          <w:p w14:paraId="580054E3">
            <w:pPr>
              <w:pStyle w:val="6"/>
              <w:spacing w:before="120" w:line="190" w:lineRule="auto"/>
              <w:ind w:left="338"/>
            </w:pPr>
            <w:r>
              <w:rPr>
                <w:i/>
                <w:iCs/>
              </w:rPr>
              <w:t>Spodiopsar sericeus</w:t>
            </w:r>
          </w:p>
        </w:tc>
        <w:tc>
          <w:tcPr>
            <w:tcW w:w="685" w:type="dxa"/>
            <w:vAlign w:val="top"/>
          </w:tcPr>
          <w:p w14:paraId="1ACBA0CF">
            <w:pPr>
              <w:pStyle w:val="6"/>
              <w:spacing w:before="126" w:line="183" w:lineRule="auto"/>
              <w:ind w:left="270"/>
            </w:pPr>
            <w:r>
              <w:t>R</w:t>
            </w:r>
          </w:p>
        </w:tc>
        <w:tc>
          <w:tcPr>
            <w:tcW w:w="494" w:type="dxa"/>
            <w:vAlign w:val="top"/>
          </w:tcPr>
          <w:p w14:paraId="64204A3E">
            <w:pPr>
              <w:pStyle w:val="6"/>
              <w:spacing w:before="123" w:line="186" w:lineRule="auto"/>
              <w:ind w:left="175"/>
            </w:pPr>
            <w:r>
              <w:t>O</w:t>
            </w:r>
          </w:p>
        </w:tc>
        <w:tc>
          <w:tcPr>
            <w:tcW w:w="875" w:type="dxa"/>
            <w:vAlign w:val="top"/>
          </w:tcPr>
          <w:p w14:paraId="0C8EF666">
            <w:pPr>
              <w:rPr>
                <w:rFonts w:ascii="Arial"/>
                <w:sz w:val="21"/>
              </w:rPr>
            </w:pPr>
          </w:p>
        </w:tc>
        <w:tc>
          <w:tcPr>
            <w:tcW w:w="874" w:type="dxa"/>
            <w:vAlign w:val="top"/>
          </w:tcPr>
          <w:p w14:paraId="3C0AF8B7">
            <w:pPr>
              <w:pStyle w:val="6"/>
              <w:spacing w:before="119" w:line="213" w:lineRule="auto"/>
              <w:ind w:left="326"/>
            </w:pPr>
            <w:r>
              <w:rPr>
                <w:spacing w:val="-1"/>
              </w:rPr>
              <w:t>++</w:t>
            </w:r>
          </w:p>
        </w:tc>
        <w:tc>
          <w:tcPr>
            <w:tcW w:w="875" w:type="dxa"/>
            <w:vAlign w:val="top"/>
          </w:tcPr>
          <w:p w14:paraId="23749B58">
            <w:pPr>
              <w:pStyle w:val="6"/>
              <w:spacing w:before="123" w:line="186" w:lineRule="auto"/>
              <w:ind w:left="399"/>
            </w:pPr>
            <w:r>
              <w:t>S</w:t>
            </w:r>
          </w:p>
        </w:tc>
        <w:tc>
          <w:tcPr>
            <w:tcW w:w="508" w:type="dxa"/>
            <w:tcBorders>
              <w:right w:val="single" w:color="000000" w:sz="12" w:space="0"/>
            </w:tcBorders>
            <w:vAlign w:val="top"/>
          </w:tcPr>
          <w:p w14:paraId="29557704">
            <w:pPr>
              <w:rPr>
                <w:rFonts w:ascii="Arial"/>
                <w:sz w:val="21"/>
              </w:rPr>
            </w:pPr>
          </w:p>
        </w:tc>
      </w:tr>
      <w:tr w14:paraId="42552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4204E7D1">
            <w:pPr>
              <w:pStyle w:val="6"/>
              <w:spacing w:before="125" w:line="186" w:lineRule="auto"/>
              <w:ind w:left="68"/>
            </w:pPr>
            <w:r>
              <w:rPr>
                <w:b/>
                <w:bCs/>
                <w:spacing w:val="-2"/>
              </w:rPr>
              <w:t>F38</w:t>
            </w:r>
          </w:p>
        </w:tc>
        <w:tc>
          <w:tcPr>
            <w:tcW w:w="1257" w:type="dxa"/>
            <w:vAlign w:val="top"/>
          </w:tcPr>
          <w:p w14:paraId="68A552E5">
            <w:pPr>
              <w:spacing w:before="86" w:line="219" w:lineRule="auto"/>
              <w:ind w:left="408"/>
              <w:rPr>
                <w:rFonts w:ascii="宋体" w:hAnsi="宋体" w:eastAsia="宋体" w:cs="宋体"/>
                <w:sz w:val="21"/>
                <w:szCs w:val="21"/>
              </w:rPr>
            </w:pPr>
            <w:r>
              <w:rPr>
                <w:rFonts w:ascii="宋体" w:hAnsi="宋体" w:eastAsia="宋体" w:cs="宋体"/>
                <w:b/>
                <w:bCs/>
                <w:spacing w:val="-4"/>
                <w:sz w:val="21"/>
                <w:szCs w:val="21"/>
              </w:rPr>
              <w:t>鸫科</w:t>
            </w:r>
          </w:p>
        </w:tc>
        <w:tc>
          <w:tcPr>
            <w:tcW w:w="2394" w:type="dxa"/>
            <w:vAlign w:val="top"/>
          </w:tcPr>
          <w:p w14:paraId="30B11E5C">
            <w:pPr>
              <w:pStyle w:val="6"/>
              <w:spacing w:before="124" w:line="187" w:lineRule="auto"/>
              <w:ind w:left="773"/>
            </w:pPr>
            <w:r>
              <w:rPr>
                <w:b/>
                <w:bCs/>
                <w:spacing w:val="-1"/>
              </w:rPr>
              <w:t>Turdidae</w:t>
            </w:r>
          </w:p>
        </w:tc>
        <w:tc>
          <w:tcPr>
            <w:tcW w:w="685" w:type="dxa"/>
            <w:vAlign w:val="top"/>
          </w:tcPr>
          <w:p w14:paraId="32E2A826">
            <w:pPr>
              <w:rPr>
                <w:rFonts w:ascii="Arial"/>
                <w:sz w:val="21"/>
              </w:rPr>
            </w:pPr>
          </w:p>
        </w:tc>
        <w:tc>
          <w:tcPr>
            <w:tcW w:w="494" w:type="dxa"/>
            <w:vAlign w:val="top"/>
          </w:tcPr>
          <w:p w14:paraId="670D4EC6">
            <w:pPr>
              <w:rPr>
                <w:rFonts w:ascii="Arial"/>
                <w:sz w:val="21"/>
              </w:rPr>
            </w:pPr>
          </w:p>
        </w:tc>
        <w:tc>
          <w:tcPr>
            <w:tcW w:w="875" w:type="dxa"/>
            <w:vAlign w:val="top"/>
          </w:tcPr>
          <w:p w14:paraId="4CE6EDD6">
            <w:pPr>
              <w:rPr>
                <w:rFonts w:ascii="Arial"/>
                <w:sz w:val="21"/>
              </w:rPr>
            </w:pPr>
          </w:p>
        </w:tc>
        <w:tc>
          <w:tcPr>
            <w:tcW w:w="874" w:type="dxa"/>
            <w:vAlign w:val="top"/>
          </w:tcPr>
          <w:p w14:paraId="01715A3A">
            <w:pPr>
              <w:rPr>
                <w:rFonts w:ascii="Arial"/>
                <w:sz w:val="21"/>
              </w:rPr>
            </w:pPr>
          </w:p>
        </w:tc>
        <w:tc>
          <w:tcPr>
            <w:tcW w:w="875" w:type="dxa"/>
            <w:vAlign w:val="top"/>
          </w:tcPr>
          <w:p w14:paraId="05995EC3">
            <w:pPr>
              <w:rPr>
                <w:rFonts w:ascii="Arial"/>
                <w:sz w:val="21"/>
              </w:rPr>
            </w:pPr>
          </w:p>
        </w:tc>
        <w:tc>
          <w:tcPr>
            <w:tcW w:w="508" w:type="dxa"/>
            <w:tcBorders>
              <w:right w:val="single" w:color="000000" w:sz="12" w:space="0"/>
            </w:tcBorders>
            <w:vAlign w:val="top"/>
          </w:tcPr>
          <w:p w14:paraId="53622695">
            <w:pPr>
              <w:rPr>
                <w:rFonts w:ascii="Arial"/>
                <w:sz w:val="21"/>
              </w:rPr>
            </w:pPr>
          </w:p>
        </w:tc>
      </w:tr>
      <w:tr w14:paraId="625EA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23B959A">
            <w:pPr>
              <w:pStyle w:val="6"/>
              <w:spacing w:before="115" w:line="205" w:lineRule="auto"/>
              <w:ind w:left="141"/>
            </w:pPr>
            <w:r>
              <w:rPr>
                <w:spacing w:val="-4"/>
              </w:rPr>
              <w:t>82</w:t>
            </w:r>
          </w:p>
        </w:tc>
        <w:tc>
          <w:tcPr>
            <w:tcW w:w="1257" w:type="dxa"/>
            <w:vAlign w:val="top"/>
          </w:tcPr>
          <w:p w14:paraId="6C07617E">
            <w:pPr>
              <w:spacing w:before="81" w:line="211" w:lineRule="auto"/>
              <w:ind w:left="309"/>
              <w:rPr>
                <w:rFonts w:ascii="宋体" w:hAnsi="宋体" w:eastAsia="宋体" w:cs="宋体"/>
                <w:sz w:val="21"/>
                <w:szCs w:val="21"/>
              </w:rPr>
            </w:pPr>
            <w:r>
              <w:rPr>
                <w:rFonts w:ascii="宋体" w:hAnsi="宋体" w:eastAsia="宋体" w:cs="宋体"/>
                <w:spacing w:val="-4"/>
                <w:sz w:val="21"/>
                <w:szCs w:val="21"/>
              </w:rPr>
              <w:t>黑胸鸫</w:t>
            </w:r>
          </w:p>
        </w:tc>
        <w:tc>
          <w:tcPr>
            <w:tcW w:w="2394" w:type="dxa"/>
            <w:vAlign w:val="top"/>
          </w:tcPr>
          <w:p w14:paraId="3B40C3BF">
            <w:pPr>
              <w:pStyle w:val="6"/>
              <w:spacing w:before="115" w:line="205" w:lineRule="auto"/>
              <w:ind w:left="480"/>
            </w:pPr>
            <w:r>
              <w:rPr>
                <w:i/>
                <w:iCs/>
                <w:spacing w:val="-1"/>
              </w:rPr>
              <w:t>Turdus dissimilis</w:t>
            </w:r>
          </w:p>
        </w:tc>
        <w:tc>
          <w:tcPr>
            <w:tcW w:w="685" w:type="dxa"/>
            <w:vAlign w:val="top"/>
          </w:tcPr>
          <w:p w14:paraId="1DCF0005">
            <w:pPr>
              <w:pStyle w:val="6"/>
              <w:spacing w:before="122" w:line="183" w:lineRule="auto"/>
              <w:ind w:left="270"/>
            </w:pPr>
            <w:r>
              <w:t>R</w:t>
            </w:r>
          </w:p>
        </w:tc>
        <w:tc>
          <w:tcPr>
            <w:tcW w:w="494" w:type="dxa"/>
            <w:vAlign w:val="top"/>
          </w:tcPr>
          <w:p w14:paraId="12886856">
            <w:pPr>
              <w:pStyle w:val="6"/>
              <w:spacing w:before="119" w:line="186" w:lineRule="auto"/>
              <w:ind w:left="175"/>
            </w:pPr>
            <w:r>
              <w:t>O</w:t>
            </w:r>
          </w:p>
        </w:tc>
        <w:tc>
          <w:tcPr>
            <w:tcW w:w="875" w:type="dxa"/>
            <w:vAlign w:val="top"/>
          </w:tcPr>
          <w:p w14:paraId="1CE452D1">
            <w:pPr>
              <w:rPr>
                <w:rFonts w:ascii="Arial"/>
                <w:sz w:val="21"/>
              </w:rPr>
            </w:pPr>
          </w:p>
        </w:tc>
        <w:tc>
          <w:tcPr>
            <w:tcW w:w="874" w:type="dxa"/>
            <w:vAlign w:val="top"/>
          </w:tcPr>
          <w:p w14:paraId="4CE386DF">
            <w:pPr>
              <w:pStyle w:val="6"/>
              <w:spacing w:before="115" w:line="205" w:lineRule="auto"/>
              <w:ind w:left="326"/>
            </w:pPr>
            <w:r>
              <w:rPr>
                <w:spacing w:val="-1"/>
              </w:rPr>
              <w:t>++</w:t>
            </w:r>
          </w:p>
        </w:tc>
        <w:tc>
          <w:tcPr>
            <w:tcW w:w="875" w:type="dxa"/>
            <w:vAlign w:val="top"/>
          </w:tcPr>
          <w:p w14:paraId="1947453A">
            <w:pPr>
              <w:pStyle w:val="6"/>
              <w:spacing w:before="119" w:line="186" w:lineRule="auto"/>
              <w:ind w:left="381"/>
            </w:pPr>
            <w:r>
              <w:t>C</w:t>
            </w:r>
          </w:p>
        </w:tc>
        <w:tc>
          <w:tcPr>
            <w:tcW w:w="508" w:type="dxa"/>
            <w:tcBorders>
              <w:right w:val="single" w:color="000000" w:sz="12" w:space="0"/>
            </w:tcBorders>
            <w:vAlign w:val="top"/>
          </w:tcPr>
          <w:p w14:paraId="53F6DD46">
            <w:pPr>
              <w:rPr>
                <w:rFonts w:ascii="Arial"/>
                <w:sz w:val="21"/>
              </w:rPr>
            </w:pPr>
          </w:p>
        </w:tc>
      </w:tr>
      <w:tr w14:paraId="6F406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D3EB175">
            <w:pPr>
              <w:pStyle w:val="6"/>
              <w:spacing w:before="116" w:line="204" w:lineRule="auto"/>
              <w:ind w:left="141"/>
            </w:pPr>
            <w:r>
              <w:rPr>
                <w:spacing w:val="-4"/>
              </w:rPr>
              <w:t>83</w:t>
            </w:r>
          </w:p>
        </w:tc>
        <w:tc>
          <w:tcPr>
            <w:tcW w:w="1257" w:type="dxa"/>
            <w:vAlign w:val="top"/>
          </w:tcPr>
          <w:p w14:paraId="16AA5230">
            <w:pPr>
              <w:spacing w:before="83" w:line="210" w:lineRule="auto"/>
              <w:ind w:left="411"/>
              <w:rPr>
                <w:rFonts w:ascii="宋体" w:hAnsi="宋体" w:eastAsia="宋体" w:cs="宋体"/>
                <w:sz w:val="21"/>
                <w:szCs w:val="21"/>
              </w:rPr>
            </w:pPr>
            <w:r>
              <w:rPr>
                <w:rFonts w:ascii="宋体" w:hAnsi="宋体" w:eastAsia="宋体" w:cs="宋体"/>
                <w:spacing w:val="-3"/>
                <w:sz w:val="21"/>
                <w:szCs w:val="21"/>
              </w:rPr>
              <w:t>乌鸫</w:t>
            </w:r>
          </w:p>
        </w:tc>
        <w:tc>
          <w:tcPr>
            <w:tcW w:w="2394" w:type="dxa"/>
            <w:vAlign w:val="top"/>
          </w:tcPr>
          <w:p w14:paraId="00D642F6">
            <w:pPr>
              <w:pStyle w:val="6"/>
              <w:spacing w:before="116" w:line="204" w:lineRule="auto"/>
              <w:ind w:left="374"/>
            </w:pPr>
            <w:r>
              <w:rPr>
                <w:i/>
                <w:iCs/>
                <w:spacing w:val="-1"/>
              </w:rPr>
              <w:t>Turdus mandarinus</w:t>
            </w:r>
          </w:p>
        </w:tc>
        <w:tc>
          <w:tcPr>
            <w:tcW w:w="685" w:type="dxa"/>
            <w:vAlign w:val="top"/>
          </w:tcPr>
          <w:p w14:paraId="6BF66269">
            <w:pPr>
              <w:pStyle w:val="6"/>
              <w:spacing w:before="123" w:line="183" w:lineRule="auto"/>
              <w:ind w:left="270"/>
            </w:pPr>
            <w:r>
              <w:t>R</w:t>
            </w:r>
          </w:p>
        </w:tc>
        <w:tc>
          <w:tcPr>
            <w:tcW w:w="494" w:type="dxa"/>
            <w:vAlign w:val="top"/>
          </w:tcPr>
          <w:p w14:paraId="6013299C">
            <w:pPr>
              <w:pStyle w:val="6"/>
              <w:spacing w:before="120" w:line="186" w:lineRule="auto"/>
              <w:ind w:left="175"/>
            </w:pPr>
            <w:r>
              <w:t>O</w:t>
            </w:r>
          </w:p>
        </w:tc>
        <w:tc>
          <w:tcPr>
            <w:tcW w:w="875" w:type="dxa"/>
            <w:vAlign w:val="top"/>
          </w:tcPr>
          <w:p w14:paraId="4556DF28">
            <w:pPr>
              <w:rPr>
                <w:rFonts w:ascii="Arial"/>
                <w:sz w:val="21"/>
              </w:rPr>
            </w:pPr>
          </w:p>
        </w:tc>
        <w:tc>
          <w:tcPr>
            <w:tcW w:w="874" w:type="dxa"/>
            <w:vAlign w:val="top"/>
          </w:tcPr>
          <w:p w14:paraId="2B6DD9EA">
            <w:pPr>
              <w:pStyle w:val="6"/>
              <w:spacing w:before="116" w:line="204" w:lineRule="auto"/>
              <w:ind w:left="326"/>
            </w:pPr>
            <w:r>
              <w:rPr>
                <w:spacing w:val="-1"/>
              </w:rPr>
              <w:t>++</w:t>
            </w:r>
          </w:p>
        </w:tc>
        <w:tc>
          <w:tcPr>
            <w:tcW w:w="875" w:type="dxa"/>
            <w:vAlign w:val="top"/>
          </w:tcPr>
          <w:p w14:paraId="03A91819">
            <w:pPr>
              <w:pStyle w:val="6"/>
              <w:spacing w:before="120" w:line="186" w:lineRule="auto"/>
              <w:ind w:left="399"/>
            </w:pPr>
            <w:r>
              <w:t>S</w:t>
            </w:r>
          </w:p>
        </w:tc>
        <w:tc>
          <w:tcPr>
            <w:tcW w:w="508" w:type="dxa"/>
            <w:tcBorders>
              <w:right w:val="single" w:color="000000" w:sz="12" w:space="0"/>
            </w:tcBorders>
            <w:vAlign w:val="top"/>
          </w:tcPr>
          <w:p w14:paraId="0B37BA95">
            <w:pPr>
              <w:rPr>
                <w:rFonts w:ascii="Arial"/>
                <w:sz w:val="21"/>
              </w:rPr>
            </w:pPr>
          </w:p>
        </w:tc>
      </w:tr>
      <w:tr w14:paraId="121E3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2B97CBE1">
            <w:pPr>
              <w:pStyle w:val="6"/>
              <w:spacing w:before="129" w:line="186" w:lineRule="auto"/>
              <w:ind w:left="68"/>
            </w:pPr>
            <w:r>
              <w:rPr>
                <w:b/>
                <w:bCs/>
                <w:spacing w:val="-2"/>
              </w:rPr>
              <w:t>F39</w:t>
            </w:r>
          </w:p>
        </w:tc>
        <w:tc>
          <w:tcPr>
            <w:tcW w:w="1257" w:type="dxa"/>
            <w:vAlign w:val="top"/>
          </w:tcPr>
          <w:p w14:paraId="7B3A955B">
            <w:pPr>
              <w:spacing w:before="90" w:line="216" w:lineRule="auto"/>
              <w:ind w:left="408"/>
              <w:rPr>
                <w:rFonts w:ascii="宋体" w:hAnsi="宋体" w:eastAsia="宋体" w:cs="宋体"/>
                <w:sz w:val="21"/>
                <w:szCs w:val="21"/>
              </w:rPr>
            </w:pPr>
            <w:r>
              <w:rPr>
                <w:rFonts w:ascii="宋体" w:hAnsi="宋体" w:eastAsia="宋体" w:cs="宋体"/>
                <w:b/>
                <w:bCs/>
                <w:spacing w:val="-4"/>
                <w:sz w:val="21"/>
                <w:szCs w:val="21"/>
              </w:rPr>
              <w:t>鹟科</w:t>
            </w:r>
          </w:p>
        </w:tc>
        <w:tc>
          <w:tcPr>
            <w:tcW w:w="2394" w:type="dxa"/>
            <w:vAlign w:val="top"/>
          </w:tcPr>
          <w:p w14:paraId="2ACD752D">
            <w:pPr>
              <w:pStyle w:val="6"/>
              <w:spacing w:before="128" w:line="187" w:lineRule="auto"/>
              <w:ind w:left="571"/>
            </w:pPr>
            <w:r>
              <w:rPr>
                <w:b/>
                <w:bCs/>
                <w:spacing w:val="-1"/>
              </w:rPr>
              <w:t>Muscicapidae</w:t>
            </w:r>
          </w:p>
        </w:tc>
        <w:tc>
          <w:tcPr>
            <w:tcW w:w="685" w:type="dxa"/>
            <w:vAlign w:val="top"/>
          </w:tcPr>
          <w:p w14:paraId="10C2B514">
            <w:pPr>
              <w:rPr>
                <w:rFonts w:ascii="Arial"/>
                <w:sz w:val="21"/>
              </w:rPr>
            </w:pPr>
          </w:p>
        </w:tc>
        <w:tc>
          <w:tcPr>
            <w:tcW w:w="494" w:type="dxa"/>
            <w:vAlign w:val="top"/>
          </w:tcPr>
          <w:p w14:paraId="7BCA1BE8">
            <w:pPr>
              <w:rPr>
                <w:rFonts w:ascii="Arial"/>
                <w:sz w:val="21"/>
              </w:rPr>
            </w:pPr>
          </w:p>
        </w:tc>
        <w:tc>
          <w:tcPr>
            <w:tcW w:w="875" w:type="dxa"/>
            <w:vAlign w:val="top"/>
          </w:tcPr>
          <w:p w14:paraId="145B2247">
            <w:pPr>
              <w:rPr>
                <w:rFonts w:ascii="Arial"/>
                <w:sz w:val="21"/>
              </w:rPr>
            </w:pPr>
          </w:p>
        </w:tc>
        <w:tc>
          <w:tcPr>
            <w:tcW w:w="874" w:type="dxa"/>
            <w:vAlign w:val="top"/>
          </w:tcPr>
          <w:p w14:paraId="661A02B1">
            <w:pPr>
              <w:rPr>
                <w:rFonts w:ascii="Arial"/>
                <w:sz w:val="21"/>
              </w:rPr>
            </w:pPr>
          </w:p>
        </w:tc>
        <w:tc>
          <w:tcPr>
            <w:tcW w:w="875" w:type="dxa"/>
            <w:vAlign w:val="top"/>
          </w:tcPr>
          <w:p w14:paraId="2D687AE9">
            <w:pPr>
              <w:rPr>
                <w:rFonts w:ascii="Arial"/>
                <w:sz w:val="21"/>
              </w:rPr>
            </w:pPr>
          </w:p>
        </w:tc>
        <w:tc>
          <w:tcPr>
            <w:tcW w:w="508" w:type="dxa"/>
            <w:tcBorders>
              <w:right w:val="single" w:color="000000" w:sz="12" w:space="0"/>
            </w:tcBorders>
            <w:vAlign w:val="top"/>
          </w:tcPr>
          <w:p w14:paraId="1063EFC6">
            <w:pPr>
              <w:rPr>
                <w:rFonts w:ascii="Arial"/>
                <w:sz w:val="21"/>
              </w:rPr>
            </w:pPr>
          </w:p>
        </w:tc>
      </w:tr>
      <w:tr w14:paraId="37C50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11057B5">
            <w:pPr>
              <w:pStyle w:val="6"/>
              <w:spacing w:before="118" w:line="202" w:lineRule="auto"/>
              <w:ind w:left="141"/>
            </w:pPr>
            <w:r>
              <w:rPr>
                <w:spacing w:val="-4"/>
              </w:rPr>
              <w:t>84</w:t>
            </w:r>
          </w:p>
        </w:tc>
        <w:tc>
          <w:tcPr>
            <w:tcW w:w="1257" w:type="dxa"/>
            <w:vAlign w:val="top"/>
          </w:tcPr>
          <w:p w14:paraId="2D361F35">
            <w:pPr>
              <w:spacing w:before="85" w:line="208" w:lineRule="auto"/>
              <w:ind w:left="204"/>
              <w:rPr>
                <w:rFonts w:ascii="宋体" w:hAnsi="宋体" w:eastAsia="宋体" w:cs="宋体"/>
                <w:sz w:val="21"/>
                <w:szCs w:val="21"/>
              </w:rPr>
            </w:pPr>
            <w:r>
              <w:rPr>
                <w:rFonts w:ascii="宋体" w:hAnsi="宋体" w:eastAsia="宋体" w:cs="宋体"/>
                <w:spacing w:val="-3"/>
                <w:sz w:val="21"/>
                <w:szCs w:val="21"/>
              </w:rPr>
              <w:t>红喉歌鸲</w:t>
            </w:r>
          </w:p>
        </w:tc>
        <w:tc>
          <w:tcPr>
            <w:tcW w:w="2394" w:type="dxa"/>
            <w:vAlign w:val="top"/>
          </w:tcPr>
          <w:p w14:paraId="0F043211">
            <w:pPr>
              <w:pStyle w:val="6"/>
              <w:spacing w:before="118" w:line="190" w:lineRule="auto"/>
              <w:ind w:left="473"/>
            </w:pPr>
            <w:r>
              <w:rPr>
                <w:i/>
                <w:iCs/>
                <w:spacing w:val="-1"/>
              </w:rPr>
              <w:t>Calliope calliope</w:t>
            </w:r>
          </w:p>
        </w:tc>
        <w:tc>
          <w:tcPr>
            <w:tcW w:w="685" w:type="dxa"/>
            <w:vAlign w:val="top"/>
          </w:tcPr>
          <w:p w14:paraId="7A4BA3E1">
            <w:pPr>
              <w:pStyle w:val="6"/>
              <w:spacing w:before="125" w:line="183" w:lineRule="auto"/>
              <w:ind w:left="240"/>
            </w:pPr>
            <w:r>
              <w:t>W</w:t>
            </w:r>
          </w:p>
        </w:tc>
        <w:tc>
          <w:tcPr>
            <w:tcW w:w="494" w:type="dxa"/>
            <w:vAlign w:val="top"/>
          </w:tcPr>
          <w:p w14:paraId="1559E569">
            <w:pPr>
              <w:rPr>
                <w:rFonts w:ascii="Arial"/>
                <w:sz w:val="21"/>
              </w:rPr>
            </w:pPr>
          </w:p>
        </w:tc>
        <w:tc>
          <w:tcPr>
            <w:tcW w:w="875" w:type="dxa"/>
            <w:vAlign w:val="top"/>
          </w:tcPr>
          <w:p w14:paraId="40EDD4D2">
            <w:pPr>
              <w:rPr>
                <w:rFonts w:ascii="Arial"/>
                <w:sz w:val="21"/>
              </w:rPr>
            </w:pPr>
          </w:p>
        </w:tc>
        <w:tc>
          <w:tcPr>
            <w:tcW w:w="874" w:type="dxa"/>
            <w:vAlign w:val="top"/>
          </w:tcPr>
          <w:p w14:paraId="246187F0">
            <w:pPr>
              <w:pStyle w:val="6"/>
              <w:spacing w:before="118" w:line="202" w:lineRule="auto"/>
              <w:ind w:left="326"/>
            </w:pPr>
            <w:r>
              <w:rPr>
                <w:spacing w:val="-1"/>
              </w:rPr>
              <w:t>++</w:t>
            </w:r>
          </w:p>
        </w:tc>
        <w:tc>
          <w:tcPr>
            <w:tcW w:w="875" w:type="dxa"/>
            <w:vAlign w:val="top"/>
          </w:tcPr>
          <w:p w14:paraId="23BCA13A">
            <w:pPr>
              <w:pStyle w:val="6"/>
              <w:spacing w:before="122" w:line="186" w:lineRule="auto"/>
              <w:ind w:left="399"/>
            </w:pPr>
            <w:r>
              <w:t>S</w:t>
            </w:r>
          </w:p>
        </w:tc>
        <w:tc>
          <w:tcPr>
            <w:tcW w:w="508" w:type="dxa"/>
            <w:tcBorders>
              <w:right w:val="single" w:color="000000" w:sz="12" w:space="0"/>
            </w:tcBorders>
            <w:vAlign w:val="top"/>
          </w:tcPr>
          <w:p w14:paraId="3A9BB80E">
            <w:pPr>
              <w:rPr>
                <w:rFonts w:ascii="Arial"/>
                <w:sz w:val="21"/>
              </w:rPr>
            </w:pPr>
          </w:p>
        </w:tc>
      </w:tr>
      <w:tr w14:paraId="4C47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11" w:type="dxa"/>
            <w:tcBorders>
              <w:left w:val="single" w:color="000000" w:sz="12" w:space="0"/>
              <w:bottom w:val="single" w:color="000000" w:sz="12" w:space="0"/>
            </w:tcBorders>
            <w:vAlign w:val="top"/>
          </w:tcPr>
          <w:p w14:paraId="126A5958">
            <w:pPr>
              <w:pStyle w:val="6"/>
              <w:spacing w:before="119" w:line="224" w:lineRule="auto"/>
              <w:ind w:left="141"/>
            </w:pPr>
            <w:r>
              <w:rPr>
                <w:spacing w:val="-4"/>
              </w:rPr>
              <w:t>85</w:t>
            </w:r>
          </w:p>
        </w:tc>
        <w:tc>
          <w:tcPr>
            <w:tcW w:w="1257" w:type="dxa"/>
            <w:tcBorders>
              <w:bottom w:val="single" w:color="000000" w:sz="12" w:space="0"/>
            </w:tcBorders>
            <w:vAlign w:val="top"/>
          </w:tcPr>
          <w:p w14:paraId="6650AAD6">
            <w:pPr>
              <w:spacing w:before="85" w:line="220" w:lineRule="auto"/>
              <w:ind w:left="200"/>
              <w:rPr>
                <w:rFonts w:ascii="宋体" w:hAnsi="宋体" w:eastAsia="宋体" w:cs="宋体"/>
                <w:sz w:val="21"/>
                <w:szCs w:val="21"/>
              </w:rPr>
            </w:pPr>
            <w:r>
              <w:rPr>
                <w:rFonts w:ascii="宋体" w:hAnsi="宋体" w:eastAsia="宋体" w:cs="宋体"/>
                <w:spacing w:val="-2"/>
                <w:sz w:val="21"/>
                <w:szCs w:val="21"/>
              </w:rPr>
              <w:t>蓝眉林鸲</w:t>
            </w:r>
          </w:p>
        </w:tc>
        <w:tc>
          <w:tcPr>
            <w:tcW w:w="2394" w:type="dxa"/>
            <w:tcBorders>
              <w:bottom w:val="single" w:color="000000" w:sz="12" w:space="0"/>
            </w:tcBorders>
            <w:vAlign w:val="top"/>
          </w:tcPr>
          <w:p w14:paraId="440E8584">
            <w:pPr>
              <w:pStyle w:val="6"/>
              <w:spacing w:before="119" w:line="190" w:lineRule="auto"/>
              <w:ind w:left="456"/>
            </w:pPr>
            <w:r>
              <w:rPr>
                <w:i/>
                <w:iCs/>
                <w:spacing w:val="-1"/>
              </w:rPr>
              <w:t>Tarsiger rufilatus</w:t>
            </w:r>
          </w:p>
        </w:tc>
        <w:tc>
          <w:tcPr>
            <w:tcW w:w="685" w:type="dxa"/>
            <w:tcBorders>
              <w:bottom w:val="single" w:color="000000" w:sz="12" w:space="0"/>
            </w:tcBorders>
            <w:vAlign w:val="top"/>
          </w:tcPr>
          <w:p w14:paraId="2359F45A">
            <w:pPr>
              <w:pStyle w:val="6"/>
              <w:spacing w:before="126" w:line="183" w:lineRule="auto"/>
              <w:ind w:left="240"/>
            </w:pPr>
            <w:r>
              <w:t>W</w:t>
            </w:r>
          </w:p>
        </w:tc>
        <w:tc>
          <w:tcPr>
            <w:tcW w:w="494" w:type="dxa"/>
            <w:tcBorders>
              <w:bottom w:val="single" w:color="000000" w:sz="12" w:space="0"/>
            </w:tcBorders>
            <w:vAlign w:val="top"/>
          </w:tcPr>
          <w:p w14:paraId="16F45F18">
            <w:pPr>
              <w:rPr>
                <w:rFonts w:ascii="Arial"/>
                <w:sz w:val="21"/>
              </w:rPr>
            </w:pPr>
          </w:p>
        </w:tc>
        <w:tc>
          <w:tcPr>
            <w:tcW w:w="875" w:type="dxa"/>
            <w:tcBorders>
              <w:bottom w:val="single" w:color="000000" w:sz="12" w:space="0"/>
            </w:tcBorders>
            <w:vAlign w:val="top"/>
          </w:tcPr>
          <w:p w14:paraId="4AF6DDDF">
            <w:pPr>
              <w:rPr>
                <w:rFonts w:ascii="Arial"/>
                <w:sz w:val="21"/>
              </w:rPr>
            </w:pPr>
          </w:p>
        </w:tc>
        <w:tc>
          <w:tcPr>
            <w:tcW w:w="874" w:type="dxa"/>
            <w:tcBorders>
              <w:bottom w:val="single" w:color="000000" w:sz="12" w:space="0"/>
            </w:tcBorders>
            <w:vAlign w:val="top"/>
          </w:tcPr>
          <w:p w14:paraId="6588DA2D">
            <w:pPr>
              <w:pStyle w:val="6"/>
              <w:spacing w:before="119" w:line="224" w:lineRule="auto"/>
              <w:ind w:left="326"/>
            </w:pPr>
            <w:r>
              <w:rPr>
                <w:spacing w:val="-1"/>
              </w:rPr>
              <w:t>++</w:t>
            </w:r>
          </w:p>
        </w:tc>
        <w:tc>
          <w:tcPr>
            <w:tcW w:w="875" w:type="dxa"/>
            <w:tcBorders>
              <w:bottom w:val="single" w:color="000000" w:sz="12" w:space="0"/>
            </w:tcBorders>
            <w:vAlign w:val="top"/>
          </w:tcPr>
          <w:p w14:paraId="3C480DDA">
            <w:pPr>
              <w:pStyle w:val="6"/>
              <w:spacing w:before="123" w:line="186" w:lineRule="auto"/>
              <w:ind w:left="399"/>
            </w:pPr>
            <w:r>
              <w:t>S</w:t>
            </w:r>
          </w:p>
        </w:tc>
        <w:tc>
          <w:tcPr>
            <w:tcW w:w="508" w:type="dxa"/>
            <w:tcBorders>
              <w:bottom w:val="single" w:color="000000" w:sz="12" w:space="0"/>
              <w:right w:val="single" w:color="000000" w:sz="12" w:space="0"/>
            </w:tcBorders>
            <w:vAlign w:val="top"/>
          </w:tcPr>
          <w:p w14:paraId="3AFE62ED">
            <w:pPr>
              <w:rPr>
                <w:rFonts w:ascii="Arial"/>
                <w:sz w:val="21"/>
              </w:rPr>
            </w:pPr>
          </w:p>
        </w:tc>
      </w:tr>
    </w:tbl>
    <w:p w14:paraId="5247D3FB">
      <w:pPr>
        <w:rPr>
          <w:rFonts w:ascii="Arial"/>
          <w:sz w:val="21"/>
        </w:rPr>
      </w:pPr>
    </w:p>
    <w:p w14:paraId="3EABB5AB">
      <w:pPr>
        <w:rPr>
          <w:rFonts w:ascii="Arial" w:hAnsi="Arial" w:eastAsia="Arial" w:cs="Arial"/>
          <w:sz w:val="21"/>
          <w:szCs w:val="21"/>
        </w:rPr>
        <w:sectPr>
          <w:footerReference r:id="rId298" w:type="default"/>
          <w:pgSz w:w="11907" w:h="16839"/>
          <w:pgMar w:top="1376" w:right="1669" w:bottom="1061" w:left="1671" w:header="999" w:footer="861" w:gutter="0"/>
          <w:cols w:space="720" w:num="1"/>
        </w:sectPr>
      </w:pPr>
    </w:p>
    <w:p w14:paraId="4F733EA2">
      <w:pPr>
        <w:spacing w:before="148"/>
      </w:pP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57"/>
        <w:gridCol w:w="2394"/>
        <w:gridCol w:w="685"/>
        <w:gridCol w:w="494"/>
        <w:gridCol w:w="875"/>
        <w:gridCol w:w="874"/>
        <w:gridCol w:w="875"/>
        <w:gridCol w:w="508"/>
      </w:tblGrid>
      <w:tr w14:paraId="01B5D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511" w:type="dxa"/>
            <w:tcBorders>
              <w:top w:val="single" w:color="000000" w:sz="12" w:space="0"/>
              <w:left w:val="single" w:color="000000" w:sz="12" w:space="0"/>
            </w:tcBorders>
            <w:textDirection w:val="tbRlV"/>
            <w:vAlign w:val="top"/>
          </w:tcPr>
          <w:p w14:paraId="71A281EC">
            <w:pPr>
              <w:spacing w:before="152" w:line="210" w:lineRule="auto"/>
              <w:ind w:left="58"/>
              <w:rPr>
                <w:rFonts w:ascii="宋体" w:hAnsi="宋体" w:eastAsia="宋体" w:cs="宋体"/>
                <w:sz w:val="21"/>
                <w:szCs w:val="21"/>
              </w:rPr>
            </w:pPr>
            <w:r>
              <w:rPr>
                <w:rFonts w:ascii="宋体" w:hAnsi="宋体" w:eastAsia="宋体" w:cs="宋体"/>
                <w:spacing w:val="31"/>
                <w:sz w:val="21"/>
                <w:szCs w:val="21"/>
              </w:rPr>
              <w:t>序号</w:t>
            </w:r>
          </w:p>
        </w:tc>
        <w:tc>
          <w:tcPr>
            <w:tcW w:w="1257" w:type="dxa"/>
            <w:tcBorders>
              <w:top w:val="single" w:color="000000" w:sz="12" w:space="0"/>
            </w:tcBorders>
            <w:vAlign w:val="top"/>
          </w:tcPr>
          <w:p w14:paraId="1639B6F9">
            <w:pPr>
              <w:spacing w:before="194" w:line="220" w:lineRule="auto"/>
              <w:ind w:left="323"/>
              <w:rPr>
                <w:rFonts w:ascii="宋体" w:hAnsi="宋体" w:eastAsia="宋体" w:cs="宋体"/>
                <w:sz w:val="21"/>
                <w:szCs w:val="21"/>
              </w:rPr>
            </w:pPr>
            <w:r>
              <w:rPr>
                <w:rFonts w:ascii="宋体" w:hAnsi="宋体" w:eastAsia="宋体" w:cs="宋体"/>
                <w:spacing w:val="-7"/>
                <w:sz w:val="21"/>
                <w:szCs w:val="21"/>
              </w:rPr>
              <w:t>中文名</w:t>
            </w:r>
          </w:p>
        </w:tc>
        <w:tc>
          <w:tcPr>
            <w:tcW w:w="2394" w:type="dxa"/>
            <w:tcBorders>
              <w:top w:val="single" w:color="000000" w:sz="12" w:space="0"/>
            </w:tcBorders>
            <w:vAlign w:val="top"/>
          </w:tcPr>
          <w:p w14:paraId="3955253F">
            <w:pPr>
              <w:spacing w:before="193" w:line="221" w:lineRule="auto"/>
              <w:ind w:left="881"/>
              <w:rPr>
                <w:rFonts w:ascii="宋体" w:hAnsi="宋体" w:eastAsia="宋体" w:cs="宋体"/>
                <w:sz w:val="21"/>
                <w:szCs w:val="21"/>
              </w:rPr>
            </w:pPr>
            <w:r>
              <w:rPr>
                <w:rFonts w:ascii="宋体" w:hAnsi="宋体" w:eastAsia="宋体" w:cs="宋体"/>
                <w:spacing w:val="-3"/>
                <w:sz w:val="21"/>
                <w:szCs w:val="21"/>
              </w:rPr>
              <w:t>拉丁名</w:t>
            </w:r>
          </w:p>
        </w:tc>
        <w:tc>
          <w:tcPr>
            <w:tcW w:w="685" w:type="dxa"/>
            <w:tcBorders>
              <w:top w:val="single" w:color="000000" w:sz="12" w:space="0"/>
            </w:tcBorders>
            <w:vAlign w:val="top"/>
          </w:tcPr>
          <w:p w14:paraId="48E24482">
            <w:pPr>
              <w:spacing w:before="59" w:line="236" w:lineRule="auto"/>
              <w:ind w:left="246" w:right="128" w:hanging="110"/>
              <w:rPr>
                <w:rFonts w:ascii="宋体" w:hAnsi="宋体" w:eastAsia="宋体" w:cs="宋体"/>
                <w:sz w:val="21"/>
                <w:szCs w:val="21"/>
              </w:rPr>
            </w:pPr>
            <w:r>
              <w:rPr>
                <w:rFonts w:ascii="宋体" w:hAnsi="宋体" w:eastAsia="宋体" w:cs="宋体"/>
                <w:spacing w:val="-5"/>
                <w:sz w:val="21"/>
                <w:szCs w:val="21"/>
              </w:rPr>
              <w:t>居留</w:t>
            </w:r>
            <w:r>
              <w:rPr>
                <w:rFonts w:ascii="宋体" w:hAnsi="宋体" w:eastAsia="宋体" w:cs="宋体"/>
                <w:sz w:val="21"/>
                <w:szCs w:val="21"/>
              </w:rPr>
              <w:t>型</w:t>
            </w:r>
          </w:p>
        </w:tc>
        <w:tc>
          <w:tcPr>
            <w:tcW w:w="494" w:type="dxa"/>
            <w:tcBorders>
              <w:top w:val="single" w:color="000000" w:sz="12" w:space="0"/>
            </w:tcBorders>
            <w:textDirection w:val="tbRlV"/>
            <w:vAlign w:val="top"/>
          </w:tcPr>
          <w:p w14:paraId="4311EA49">
            <w:pPr>
              <w:spacing w:before="135" w:line="206" w:lineRule="auto"/>
              <w:ind w:left="58"/>
              <w:rPr>
                <w:rFonts w:ascii="宋体" w:hAnsi="宋体" w:eastAsia="宋体" w:cs="宋体"/>
                <w:sz w:val="21"/>
                <w:szCs w:val="21"/>
              </w:rPr>
            </w:pPr>
            <w:r>
              <w:rPr>
                <w:rFonts w:ascii="宋体" w:hAnsi="宋体" w:eastAsia="宋体" w:cs="宋体"/>
                <w:spacing w:val="31"/>
                <w:sz w:val="21"/>
                <w:szCs w:val="21"/>
              </w:rPr>
              <w:t>区系</w:t>
            </w:r>
          </w:p>
        </w:tc>
        <w:tc>
          <w:tcPr>
            <w:tcW w:w="875" w:type="dxa"/>
            <w:tcBorders>
              <w:top w:val="single" w:color="000000" w:sz="12" w:space="0"/>
            </w:tcBorders>
            <w:vAlign w:val="top"/>
          </w:tcPr>
          <w:p w14:paraId="6880FFD7">
            <w:pPr>
              <w:spacing w:before="59" w:line="236" w:lineRule="auto"/>
              <w:ind w:left="341" w:right="112" w:hanging="210"/>
              <w:rPr>
                <w:rFonts w:ascii="宋体" w:hAnsi="宋体" w:eastAsia="宋体" w:cs="宋体"/>
                <w:sz w:val="21"/>
                <w:szCs w:val="21"/>
              </w:rPr>
            </w:pPr>
            <w:r>
              <w:rPr>
                <w:rFonts w:ascii="宋体" w:hAnsi="宋体" w:eastAsia="宋体" w:cs="宋体"/>
                <w:spacing w:val="-4"/>
                <w:sz w:val="21"/>
                <w:szCs w:val="21"/>
              </w:rPr>
              <w:t>保护情</w:t>
            </w:r>
            <w:r>
              <w:rPr>
                <w:rFonts w:ascii="宋体" w:hAnsi="宋体" w:eastAsia="宋体" w:cs="宋体"/>
                <w:sz w:val="21"/>
                <w:szCs w:val="21"/>
              </w:rPr>
              <w:t>况</w:t>
            </w:r>
          </w:p>
        </w:tc>
        <w:tc>
          <w:tcPr>
            <w:tcW w:w="874" w:type="dxa"/>
            <w:tcBorders>
              <w:top w:val="single" w:color="000000" w:sz="12" w:space="0"/>
            </w:tcBorders>
            <w:vAlign w:val="top"/>
          </w:tcPr>
          <w:p w14:paraId="02FD0214">
            <w:pPr>
              <w:spacing w:before="59" w:line="236" w:lineRule="auto"/>
              <w:ind w:left="343" w:right="108" w:hanging="200"/>
              <w:rPr>
                <w:rFonts w:ascii="宋体" w:hAnsi="宋体" w:eastAsia="宋体" w:cs="宋体"/>
                <w:sz w:val="21"/>
                <w:szCs w:val="21"/>
              </w:rPr>
            </w:pPr>
            <w:r>
              <w:rPr>
                <w:rFonts w:ascii="宋体" w:hAnsi="宋体" w:eastAsia="宋体" w:cs="宋体"/>
                <w:spacing w:val="-6"/>
                <w:sz w:val="21"/>
                <w:szCs w:val="21"/>
              </w:rPr>
              <w:t>资源现</w:t>
            </w:r>
            <w:r>
              <w:rPr>
                <w:rFonts w:ascii="宋体" w:hAnsi="宋体" w:eastAsia="宋体" w:cs="宋体"/>
                <w:sz w:val="21"/>
                <w:szCs w:val="21"/>
              </w:rPr>
              <w:t>状</w:t>
            </w:r>
          </w:p>
        </w:tc>
        <w:tc>
          <w:tcPr>
            <w:tcW w:w="875" w:type="dxa"/>
            <w:tcBorders>
              <w:top w:val="single" w:color="000000" w:sz="12" w:space="0"/>
            </w:tcBorders>
            <w:vAlign w:val="top"/>
          </w:tcPr>
          <w:p w14:paraId="19ECF3BE">
            <w:pPr>
              <w:spacing w:before="59" w:line="236" w:lineRule="auto"/>
              <w:ind w:left="346" w:right="105" w:hanging="200"/>
              <w:rPr>
                <w:rFonts w:ascii="宋体" w:hAnsi="宋体" w:eastAsia="宋体" w:cs="宋体"/>
                <w:sz w:val="21"/>
                <w:szCs w:val="21"/>
              </w:rPr>
            </w:pPr>
            <w:r>
              <w:rPr>
                <w:rFonts w:ascii="宋体" w:hAnsi="宋体" w:eastAsia="宋体" w:cs="宋体"/>
                <w:spacing w:val="-6"/>
                <w:sz w:val="21"/>
                <w:szCs w:val="21"/>
              </w:rPr>
              <w:t>资料来</w:t>
            </w:r>
            <w:r>
              <w:rPr>
                <w:rFonts w:ascii="宋体" w:hAnsi="宋体" w:eastAsia="宋体" w:cs="宋体"/>
                <w:sz w:val="21"/>
                <w:szCs w:val="21"/>
              </w:rPr>
              <w:t>源</w:t>
            </w:r>
          </w:p>
        </w:tc>
        <w:tc>
          <w:tcPr>
            <w:tcW w:w="508" w:type="dxa"/>
            <w:tcBorders>
              <w:top w:val="single" w:color="000000" w:sz="12" w:space="0"/>
              <w:right w:val="single" w:color="000000" w:sz="12" w:space="0"/>
            </w:tcBorders>
            <w:textDirection w:val="tbRlV"/>
            <w:vAlign w:val="top"/>
          </w:tcPr>
          <w:p w14:paraId="5A55F5CF">
            <w:pPr>
              <w:spacing w:before="127" w:line="209" w:lineRule="auto"/>
              <w:ind w:left="58"/>
              <w:rPr>
                <w:rFonts w:ascii="宋体" w:hAnsi="宋体" w:eastAsia="宋体" w:cs="宋体"/>
                <w:sz w:val="21"/>
                <w:szCs w:val="21"/>
              </w:rPr>
            </w:pPr>
            <w:r>
              <w:rPr>
                <w:rFonts w:ascii="宋体" w:hAnsi="宋体" w:eastAsia="宋体" w:cs="宋体"/>
                <w:spacing w:val="31"/>
                <w:sz w:val="21"/>
                <w:szCs w:val="21"/>
              </w:rPr>
              <w:t>备注</w:t>
            </w:r>
          </w:p>
        </w:tc>
      </w:tr>
      <w:tr w14:paraId="382D8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5064556C">
            <w:pPr>
              <w:pStyle w:val="6"/>
              <w:spacing w:before="91" w:line="230" w:lineRule="auto"/>
              <w:ind w:left="141"/>
            </w:pPr>
            <w:r>
              <w:rPr>
                <w:spacing w:val="-4"/>
              </w:rPr>
              <w:t>86</w:t>
            </w:r>
          </w:p>
        </w:tc>
        <w:tc>
          <w:tcPr>
            <w:tcW w:w="1257" w:type="dxa"/>
            <w:vAlign w:val="top"/>
          </w:tcPr>
          <w:p w14:paraId="02C8EF33">
            <w:pPr>
              <w:spacing w:before="58" w:line="220" w:lineRule="auto"/>
              <w:ind w:left="408"/>
              <w:rPr>
                <w:rFonts w:ascii="宋体" w:hAnsi="宋体" w:eastAsia="宋体" w:cs="宋体"/>
                <w:sz w:val="21"/>
                <w:szCs w:val="21"/>
              </w:rPr>
            </w:pPr>
            <w:r>
              <w:rPr>
                <w:rFonts w:ascii="宋体" w:hAnsi="宋体" w:eastAsia="宋体" w:cs="宋体"/>
                <w:spacing w:val="-2"/>
                <w:sz w:val="21"/>
                <w:szCs w:val="21"/>
              </w:rPr>
              <w:t>鹊鸲</w:t>
            </w:r>
          </w:p>
        </w:tc>
        <w:tc>
          <w:tcPr>
            <w:tcW w:w="2394" w:type="dxa"/>
            <w:vAlign w:val="top"/>
          </w:tcPr>
          <w:p w14:paraId="768127AD">
            <w:pPr>
              <w:pStyle w:val="6"/>
              <w:spacing w:before="91" w:line="190" w:lineRule="auto"/>
              <w:ind w:left="380"/>
            </w:pPr>
            <w:r>
              <w:rPr>
                <w:i/>
                <w:iCs/>
                <w:spacing w:val="-1"/>
              </w:rPr>
              <w:t>Copsychus saularis</w:t>
            </w:r>
          </w:p>
        </w:tc>
        <w:tc>
          <w:tcPr>
            <w:tcW w:w="685" w:type="dxa"/>
            <w:vAlign w:val="top"/>
          </w:tcPr>
          <w:p w14:paraId="443176DC">
            <w:pPr>
              <w:pStyle w:val="6"/>
              <w:spacing w:before="98" w:line="183" w:lineRule="auto"/>
              <w:ind w:left="270"/>
            </w:pPr>
            <w:r>
              <w:t>R</w:t>
            </w:r>
          </w:p>
        </w:tc>
        <w:tc>
          <w:tcPr>
            <w:tcW w:w="494" w:type="dxa"/>
            <w:vAlign w:val="top"/>
          </w:tcPr>
          <w:p w14:paraId="4075E192">
            <w:pPr>
              <w:pStyle w:val="6"/>
              <w:spacing w:before="95" w:line="186" w:lineRule="auto"/>
              <w:ind w:left="175"/>
            </w:pPr>
            <w:r>
              <w:t>O</w:t>
            </w:r>
          </w:p>
        </w:tc>
        <w:tc>
          <w:tcPr>
            <w:tcW w:w="875" w:type="dxa"/>
            <w:vAlign w:val="top"/>
          </w:tcPr>
          <w:p w14:paraId="2EC14557">
            <w:pPr>
              <w:rPr>
                <w:rFonts w:ascii="Arial"/>
                <w:sz w:val="21"/>
              </w:rPr>
            </w:pPr>
          </w:p>
        </w:tc>
        <w:tc>
          <w:tcPr>
            <w:tcW w:w="874" w:type="dxa"/>
            <w:vAlign w:val="top"/>
          </w:tcPr>
          <w:p w14:paraId="46374ECE">
            <w:pPr>
              <w:pStyle w:val="6"/>
              <w:spacing w:before="91" w:line="230" w:lineRule="auto"/>
              <w:ind w:left="207"/>
            </w:pPr>
            <w:r>
              <w:rPr>
                <w:spacing w:val="-1"/>
              </w:rPr>
              <w:t>++++</w:t>
            </w:r>
          </w:p>
        </w:tc>
        <w:tc>
          <w:tcPr>
            <w:tcW w:w="875" w:type="dxa"/>
            <w:vAlign w:val="top"/>
          </w:tcPr>
          <w:p w14:paraId="7E565D0A">
            <w:pPr>
              <w:pStyle w:val="6"/>
              <w:spacing w:before="95" w:line="186" w:lineRule="auto"/>
              <w:ind w:left="399"/>
            </w:pPr>
            <w:r>
              <w:t>S</w:t>
            </w:r>
          </w:p>
        </w:tc>
        <w:tc>
          <w:tcPr>
            <w:tcW w:w="508" w:type="dxa"/>
            <w:tcBorders>
              <w:right w:val="single" w:color="000000" w:sz="12" w:space="0"/>
            </w:tcBorders>
            <w:vAlign w:val="top"/>
          </w:tcPr>
          <w:p w14:paraId="13875822">
            <w:pPr>
              <w:rPr>
                <w:rFonts w:ascii="Arial"/>
                <w:sz w:val="21"/>
              </w:rPr>
            </w:pPr>
          </w:p>
        </w:tc>
      </w:tr>
      <w:tr w14:paraId="26050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093B9F8">
            <w:pPr>
              <w:pStyle w:val="6"/>
              <w:spacing w:before="92" w:line="228" w:lineRule="auto"/>
              <w:ind w:left="141"/>
            </w:pPr>
            <w:r>
              <w:rPr>
                <w:spacing w:val="-4"/>
              </w:rPr>
              <w:t>87</w:t>
            </w:r>
          </w:p>
        </w:tc>
        <w:tc>
          <w:tcPr>
            <w:tcW w:w="1257" w:type="dxa"/>
            <w:vAlign w:val="top"/>
          </w:tcPr>
          <w:p w14:paraId="21A0B5B7">
            <w:pPr>
              <w:spacing w:before="58" w:line="220" w:lineRule="auto"/>
              <w:ind w:left="94"/>
              <w:rPr>
                <w:rFonts w:ascii="宋体" w:hAnsi="宋体" w:eastAsia="宋体" w:cs="宋体"/>
                <w:sz w:val="21"/>
                <w:szCs w:val="21"/>
              </w:rPr>
            </w:pPr>
            <w:r>
              <w:rPr>
                <w:rFonts w:ascii="宋体" w:hAnsi="宋体" w:eastAsia="宋体" w:cs="宋体"/>
                <w:spacing w:val="-2"/>
                <w:sz w:val="21"/>
                <w:szCs w:val="21"/>
              </w:rPr>
              <w:t>蓝额红尾鸲</w:t>
            </w:r>
          </w:p>
        </w:tc>
        <w:tc>
          <w:tcPr>
            <w:tcW w:w="2394" w:type="dxa"/>
            <w:vAlign w:val="top"/>
          </w:tcPr>
          <w:p w14:paraId="36998AD0">
            <w:pPr>
              <w:pStyle w:val="6"/>
              <w:spacing w:before="92" w:line="190" w:lineRule="auto"/>
              <w:ind w:left="145"/>
            </w:pPr>
            <w:r>
              <w:rPr>
                <w:i/>
                <w:iCs/>
                <w:spacing w:val="1"/>
              </w:rPr>
              <w:t>Phoenicuropsis</w:t>
            </w:r>
            <w:r>
              <w:rPr>
                <w:i/>
                <w:iCs/>
                <w:spacing w:val="-19"/>
              </w:rPr>
              <w:t xml:space="preserve"> </w:t>
            </w:r>
            <w:r>
              <w:rPr>
                <w:i/>
                <w:iCs/>
                <w:spacing w:val="1"/>
              </w:rPr>
              <w:t>frontalis</w:t>
            </w:r>
          </w:p>
        </w:tc>
        <w:tc>
          <w:tcPr>
            <w:tcW w:w="685" w:type="dxa"/>
            <w:vAlign w:val="top"/>
          </w:tcPr>
          <w:p w14:paraId="168232D2">
            <w:pPr>
              <w:pStyle w:val="6"/>
              <w:spacing w:before="98" w:line="183" w:lineRule="auto"/>
              <w:ind w:left="240"/>
            </w:pPr>
            <w:r>
              <w:t>W</w:t>
            </w:r>
          </w:p>
        </w:tc>
        <w:tc>
          <w:tcPr>
            <w:tcW w:w="494" w:type="dxa"/>
            <w:vAlign w:val="top"/>
          </w:tcPr>
          <w:p w14:paraId="549E01EB">
            <w:pPr>
              <w:rPr>
                <w:rFonts w:ascii="Arial"/>
                <w:sz w:val="21"/>
              </w:rPr>
            </w:pPr>
          </w:p>
        </w:tc>
        <w:tc>
          <w:tcPr>
            <w:tcW w:w="875" w:type="dxa"/>
            <w:vAlign w:val="top"/>
          </w:tcPr>
          <w:p w14:paraId="5363E798">
            <w:pPr>
              <w:rPr>
                <w:rFonts w:ascii="Arial"/>
                <w:sz w:val="21"/>
              </w:rPr>
            </w:pPr>
          </w:p>
        </w:tc>
        <w:tc>
          <w:tcPr>
            <w:tcW w:w="874" w:type="dxa"/>
            <w:vAlign w:val="top"/>
          </w:tcPr>
          <w:p w14:paraId="1D3AEF28">
            <w:pPr>
              <w:pStyle w:val="6"/>
              <w:spacing w:before="92" w:line="228" w:lineRule="auto"/>
              <w:ind w:left="266"/>
            </w:pPr>
            <w:r>
              <w:rPr>
                <w:spacing w:val="-1"/>
              </w:rPr>
              <w:t>+++</w:t>
            </w:r>
          </w:p>
        </w:tc>
        <w:tc>
          <w:tcPr>
            <w:tcW w:w="875" w:type="dxa"/>
            <w:vAlign w:val="top"/>
          </w:tcPr>
          <w:p w14:paraId="3A824CDF">
            <w:pPr>
              <w:pStyle w:val="6"/>
              <w:spacing w:before="95" w:line="186" w:lineRule="auto"/>
              <w:ind w:left="399"/>
            </w:pPr>
            <w:r>
              <w:t>S</w:t>
            </w:r>
          </w:p>
        </w:tc>
        <w:tc>
          <w:tcPr>
            <w:tcW w:w="508" w:type="dxa"/>
            <w:tcBorders>
              <w:right w:val="single" w:color="000000" w:sz="12" w:space="0"/>
            </w:tcBorders>
            <w:vAlign w:val="top"/>
          </w:tcPr>
          <w:p w14:paraId="029646C1">
            <w:pPr>
              <w:rPr>
                <w:rFonts w:ascii="Arial"/>
                <w:sz w:val="21"/>
              </w:rPr>
            </w:pPr>
          </w:p>
        </w:tc>
      </w:tr>
      <w:tr w14:paraId="4ED3D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5C793930">
            <w:pPr>
              <w:pStyle w:val="6"/>
              <w:spacing w:before="93" w:line="229" w:lineRule="auto"/>
              <w:ind w:left="141"/>
            </w:pPr>
            <w:r>
              <w:rPr>
                <w:spacing w:val="-4"/>
              </w:rPr>
              <w:t>88</w:t>
            </w:r>
          </w:p>
        </w:tc>
        <w:tc>
          <w:tcPr>
            <w:tcW w:w="1257" w:type="dxa"/>
            <w:vAlign w:val="top"/>
          </w:tcPr>
          <w:p w14:paraId="121EF15B">
            <w:pPr>
              <w:spacing w:before="59" w:line="221" w:lineRule="auto"/>
              <w:ind w:left="202"/>
              <w:rPr>
                <w:rFonts w:ascii="宋体" w:hAnsi="宋体" w:eastAsia="宋体" w:cs="宋体"/>
                <w:sz w:val="21"/>
                <w:szCs w:val="21"/>
              </w:rPr>
            </w:pPr>
            <w:r>
              <w:rPr>
                <w:rFonts w:ascii="宋体" w:hAnsi="宋体" w:eastAsia="宋体" w:cs="宋体"/>
                <w:spacing w:val="-3"/>
                <w:sz w:val="21"/>
                <w:szCs w:val="21"/>
              </w:rPr>
              <w:t>北红尾鸲</w:t>
            </w:r>
          </w:p>
        </w:tc>
        <w:tc>
          <w:tcPr>
            <w:tcW w:w="2394" w:type="dxa"/>
            <w:vAlign w:val="top"/>
          </w:tcPr>
          <w:p w14:paraId="7195CF11">
            <w:pPr>
              <w:pStyle w:val="6"/>
              <w:spacing w:before="93" w:line="229" w:lineRule="auto"/>
              <w:ind w:left="244"/>
            </w:pPr>
            <w:r>
              <w:rPr>
                <w:i/>
                <w:iCs/>
              </w:rPr>
              <w:t>Phoenicurus</w:t>
            </w:r>
            <w:r>
              <w:rPr>
                <w:i/>
                <w:iCs/>
                <w:spacing w:val="5"/>
              </w:rPr>
              <w:t xml:space="preserve"> </w:t>
            </w:r>
            <w:r>
              <w:rPr>
                <w:i/>
                <w:iCs/>
              </w:rPr>
              <w:t>auroreus</w:t>
            </w:r>
          </w:p>
        </w:tc>
        <w:tc>
          <w:tcPr>
            <w:tcW w:w="685" w:type="dxa"/>
            <w:vAlign w:val="top"/>
          </w:tcPr>
          <w:p w14:paraId="2580F37D">
            <w:pPr>
              <w:pStyle w:val="6"/>
              <w:spacing w:before="100" w:line="183" w:lineRule="auto"/>
              <w:ind w:left="240"/>
            </w:pPr>
            <w:r>
              <w:t>W</w:t>
            </w:r>
          </w:p>
        </w:tc>
        <w:tc>
          <w:tcPr>
            <w:tcW w:w="494" w:type="dxa"/>
            <w:vAlign w:val="top"/>
          </w:tcPr>
          <w:p w14:paraId="5FB418C9">
            <w:pPr>
              <w:rPr>
                <w:rFonts w:ascii="Arial"/>
                <w:sz w:val="21"/>
              </w:rPr>
            </w:pPr>
          </w:p>
        </w:tc>
        <w:tc>
          <w:tcPr>
            <w:tcW w:w="875" w:type="dxa"/>
            <w:vAlign w:val="top"/>
          </w:tcPr>
          <w:p w14:paraId="3EA9E5F2">
            <w:pPr>
              <w:rPr>
                <w:rFonts w:ascii="Arial"/>
                <w:sz w:val="21"/>
              </w:rPr>
            </w:pPr>
          </w:p>
        </w:tc>
        <w:tc>
          <w:tcPr>
            <w:tcW w:w="874" w:type="dxa"/>
            <w:vAlign w:val="top"/>
          </w:tcPr>
          <w:p w14:paraId="464CC626">
            <w:pPr>
              <w:pStyle w:val="6"/>
              <w:spacing w:before="93" w:line="229" w:lineRule="auto"/>
              <w:ind w:left="266"/>
            </w:pPr>
            <w:r>
              <w:rPr>
                <w:spacing w:val="-1"/>
              </w:rPr>
              <w:t>+++</w:t>
            </w:r>
          </w:p>
        </w:tc>
        <w:tc>
          <w:tcPr>
            <w:tcW w:w="875" w:type="dxa"/>
            <w:vAlign w:val="top"/>
          </w:tcPr>
          <w:p w14:paraId="4E3CD82C">
            <w:pPr>
              <w:pStyle w:val="6"/>
              <w:spacing w:before="97"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5080080F">
            <w:pPr>
              <w:rPr>
                <w:rFonts w:ascii="Arial"/>
                <w:sz w:val="21"/>
              </w:rPr>
            </w:pPr>
          </w:p>
        </w:tc>
      </w:tr>
      <w:tr w14:paraId="10611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5DB9094">
            <w:pPr>
              <w:pStyle w:val="6"/>
              <w:spacing w:before="92" w:line="228" w:lineRule="auto"/>
              <w:ind w:left="141"/>
            </w:pPr>
            <w:r>
              <w:rPr>
                <w:spacing w:val="-4"/>
              </w:rPr>
              <w:t>89</w:t>
            </w:r>
          </w:p>
        </w:tc>
        <w:tc>
          <w:tcPr>
            <w:tcW w:w="1257" w:type="dxa"/>
            <w:vAlign w:val="top"/>
          </w:tcPr>
          <w:p w14:paraId="380DDB74">
            <w:pPr>
              <w:spacing w:before="58" w:line="220" w:lineRule="auto"/>
              <w:ind w:left="204"/>
              <w:rPr>
                <w:rFonts w:ascii="宋体" w:hAnsi="宋体" w:eastAsia="宋体" w:cs="宋体"/>
                <w:sz w:val="21"/>
                <w:szCs w:val="21"/>
              </w:rPr>
            </w:pPr>
            <w:r>
              <w:rPr>
                <w:rFonts w:ascii="宋体" w:hAnsi="宋体" w:eastAsia="宋体" w:cs="宋体"/>
                <w:spacing w:val="-3"/>
                <w:sz w:val="21"/>
                <w:szCs w:val="21"/>
              </w:rPr>
              <w:t>红尾水鸲</w:t>
            </w:r>
          </w:p>
        </w:tc>
        <w:tc>
          <w:tcPr>
            <w:tcW w:w="2394" w:type="dxa"/>
            <w:vAlign w:val="top"/>
          </w:tcPr>
          <w:p w14:paraId="1DE732B8">
            <w:pPr>
              <w:pStyle w:val="6"/>
              <w:spacing w:before="92" w:line="190" w:lineRule="auto"/>
              <w:ind w:left="256"/>
            </w:pPr>
            <w:r>
              <w:rPr>
                <w:i/>
                <w:iCs/>
                <w:spacing w:val="2"/>
              </w:rPr>
              <w:t>Rhyacornis</w:t>
            </w:r>
            <w:r>
              <w:rPr>
                <w:i/>
                <w:iCs/>
                <w:spacing w:val="-38"/>
              </w:rPr>
              <w:t xml:space="preserve"> </w:t>
            </w:r>
            <w:r>
              <w:rPr>
                <w:i/>
                <w:iCs/>
                <w:spacing w:val="2"/>
              </w:rPr>
              <w:t>fuliginosa</w:t>
            </w:r>
          </w:p>
        </w:tc>
        <w:tc>
          <w:tcPr>
            <w:tcW w:w="685" w:type="dxa"/>
            <w:vAlign w:val="top"/>
          </w:tcPr>
          <w:p w14:paraId="6D1A06E3">
            <w:pPr>
              <w:pStyle w:val="6"/>
              <w:spacing w:before="99" w:line="183" w:lineRule="auto"/>
              <w:ind w:left="270"/>
            </w:pPr>
            <w:r>
              <w:t>R</w:t>
            </w:r>
          </w:p>
        </w:tc>
        <w:tc>
          <w:tcPr>
            <w:tcW w:w="494" w:type="dxa"/>
            <w:vAlign w:val="top"/>
          </w:tcPr>
          <w:p w14:paraId="19A698F3">
            <w:pPr>
              <w:pStyle w:val="6"/>
              <w:spacing w:before="96" w:line="186" w:lineRule="auto"/>
              <w:ind w:left="117"/>
            </w:pPr>
            <w:r>
              <w:rPr>
                <w:spacing w:val="-3"/>
              </w:rPr>
              <w:t>OP</w:t>
            </w:r>
          </w:p>
        </w:tc>
        <w:tc>
          <w:tcPr>
            <w:tcW w:w="875" w:type="dxa"/>
            <w:vAlign w:val="top"/>
          </w:tcPr>
          <w:p w14:paraId="753491AD">
            <w:pPr>
              <w:rPr>
                <w:rFonts w:ascii="Arial"/>
                <w:sz w:val="21"/>
              </w:rPr>
            </w:pPr>
          </w:p>
        </w:tc>
        <w:tc>
          <w:tcPr>
            <w:tcW w:w="874" w:type="dxa"/>
            <w:vAlign w:val="top"/>
          </w:tcPr>
          <w:p w14:paraId="25DDD761">
            <w:pPr>
              <w:pStyle w:val="6"/>
              <w:spacing w:before="92" w:line="228" w:lineRule="auto"/>
              <w:ind w:left="207"/>
            </w:pPr>
            <w:r>
              <w:rPr>
                <w:spacing w:val="-1"/>
              </w:rPr>
              <w:t>++++</w:t>
            </w:r>
          </w:p>
        </w:tc>
        <w:tc>
          <w:tcPr>
            <w:tcW w:w="875" w:type="dxa"/>
            <w:vAlign w:val="top"/>
          </w:tcPr>
          <w:p w14:paraId="747C1B4B">
            <w:pPr>
              <w:pStyle w:val="6"/>
              <w:spacing w:before="96" w:line="186" w:lineRule="auto"/>
              <w:ind w:left="399"/>
            </w:pPr>
            <w:r>
              <w:t>S</w:t>
            </w:r>
          </w:p>
        </w:tc>
        <w:tc>
          <w:tcPr>
            <w:tcW w:w="508" w:type="dxa"/>
            <w:tcBorders>
              <w:right w:val="single" w:color="000000" w:sz="12" w:space="0"/>
            </w:tcBorders>
            <w:vAlign w:val="top"/>
          </w:tcPr>
          <w:p w14:paraId="725CA18F">
            <w:pPr>
              <w:rPr>
                <w:rFonts w:ascii="Arial"/>
                <w:sz w:val="21"/>
              </w:rPr>
            </w:pPr>
          </w:p>
        </w:tc>
      </w:tr>
      <w:tr w14:paraId="3EF63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511" w:type="dxa"/>
            <w:tcBorders>
              <w:left w:val="single" w:color="000000" w:sz="12" w:space="0"/>
            </w:tcBorders>
            <w:vAlign w:val="top"/>
          </w:tcPr>
          <w:p w14:paraId="1971B8BB">
            <w:pPr>
              <w:pStyle w:val="6"/>
              <w:spacing w:before="199" w:line="232" w:lineRule="auto"/>
              <w:ind w:left="136"/>
            </w:pPr>
            <w:r>
              <w:rPr>
                <w:spacing w:val="-2"/>
              </w:rPr>
              <w:t>90</w:t>
            </w:r>
          </w:p>
        </w:tc>
        <w:tc>
          <w:tcPr>
            <w:tcW w:w="1257" w:type="dxa"/>
            <w:vAlign w:val="top"/>
          </w:tcPr>
          <w:p w14:paraId="3A54C50F">
            <w:pPr>
              <w:spacing w:before="165" w:line="220" w:lineRule="auto"/>
              <w:ind w:left="230"/>
              <w:rPr>
                <w:rFonts w:ascii="宋体" w:hAnsi="宋体" w:eastAsia="宋体" w:cs="宋体"/>
                <w:sz w:val="21"/>
                <w:szCs w:val="21"/>
              </w:rPr>
            </w:pPr>
            <w:r>
              <w:rPr>
                <w:rFonts w:ascii="宋体" w:hAnsi="宋体" w:eastAsia="宋体" w:cs="宋体"/>
                <w:spacing w:val="-8"/>
                <w:sz w:val="21"/>
                <w:szCs w:val="21"/>
              </w:rPr>
              <w:t>白顶溪鸲</w:t>
            </w:r>
          </w:p>
        </w:tc>
        <w:tc>
          <w:tcPr>
            <w:tcW w:w="2394" w:type="dxa"/>
            <w:vAlign w:val="top"/>
          </w:tcPr>
          <w:p w14:paraId="2C70EDA7">
            <w:pPr>
              <w:pStyle w:val="6"/>
              <w:spacing w:before="79" w:line="190" w:lineRule="auto"/>
              <w:ind w:left="571"/>
            </w:pPr>
            <w:r>
              <w:rPr>
                <w:i/>
                <w:iCs/>
                <w:spacing w:val="-2"/>
              </w:rPr>
              <w:t>Chaimarrornis</w:t>
            </w:r>
          </w:p>
          <w:p w14:paraId="3BF64BF6">
            <w:pPr>
              <w:pStyle w:val="6"/>
              <w:spacing w:before="50" w:line="190" w:lineRule="auto"/>
              <w:ind w:left="593"/>
            </w:pPr>
            <w:r>
              <w:rPr>
                <w:i/>
                <w:iCs/>
                <w:spacing w:val="-1"/>
              </w:rPr>
              <w:t>leucocephalus</w:t>
            </w:r>
          </w:p>
        </w:tc>
        <w:tc>
          <w:tcPr>
            <w:tcW w:w="685" w:type="dxa"/>
            <w:vAlign w:val="top"/>
          </w:tcPr>
          <w:p w14:paraId="46D65A6C">
            <w:pPr>
              <w:pStyle w:val="6"/>
              <w:spacing w:before="206" w:line="183" w:lineRule="auto"/>
              <w:ind w:left="270"/>
            </w:pPr>
            <w:r>
              <w:t>R</w:t>
            </w:r>
          </w:p>
        </w:tc>
        <w:tc>
          <w:tcPr>
            <w:tcW w:w="494" w:type="dxa"/>
            <w:vAlign w:val="top"/>
          </w:tcPr>
          <w:p w14:paraId="0FAF574C">
            <w:pPr>
              <w:pStyle w:val="6"/>
              <w:spacing w:before="203" w:line="186" w:lineRule="auto"/>
              <w:ind w:left="175"/>
            </w:pPr>
            <w:r>
              <w:t>O</w:t>
            </w:r>
          </w:p>
        </w:tc>
        <w:tc>
          <w:tcPr>
            <w:tcW w:w="875" w:type="dxa"/>
            <w:vAlign w:val="top"/>
          </w:tcPr>
          <w:p w14:paraId="568F258D">
            <w:pPr>
              <w:rPr>
                <w:rFonts w:ascii="Arial"/>
                <w:sz w:val="21"/>
              </w:rPr>
            </w:pPr>
          </w:p>
        </w:tc>
        <w:tc>
          <w:tcPr>
            <w:tcW w:w="874" w:type="dxa"/>
            <w:vAlign w:val="top"/>
          </w:tcPr>
          <w:p w14:paraId="0EFC2A9F">
            <w:pPr>
              <w:pStyle w:val="6"/>
              <w:spacing w:before="199" w:line="251" w:lineRule="exact"/>
              <w:ind w:left="266"/>
            </w:pPr>
            <w:r>
              <w:rPr>
                <w:spacing w:val="-1"/>
                <w:position w:val="1"/>
              </w:rPr>
              <w:t>+++</w:t>
            </w:r>
          </w:p>
        </w:tc>
        <w:tc>
          <w:tcPr>
            <w:tcW w:w="875" w:type="dxa"/>
            <w:vAlign w:val="top"/>
          </w:tcPr>
          <w:p w14:paraId="213132BC">
            <w:pPr>
              <w:pStyle w:val="6"/>
              <w:spacing w:before="203" w:line="186" w:lineRule="auto"/>
              <w:ind w:left="399"/>
            </w:pPr>
            <w:r>
              <w:t>S</w:t>
            </w:r>
          </w:p>
        </w:tc>
        <w:tc>
          <w:tcPr>
            <w:tcW w:w="508" w:type="dxa"/>
            <w:tcBorders>
              <w:right w:val="single" w:color="000000" w:sz="12" w:space="0"/>
            </w:tcBorders>
            <w:vAlign w:val="top"/>
          </w:tcPr>
          <w:p w14:paraId="31DCD823">
            <w:pPr>
              <w:rPr>
                <w:rFonts w:ascii="Arial"/>
                <w:sz w:val="21"/>
              </w:rPr>
            </w:pPr>
          </w:p>
        </w:tc>
      </w:tr>
      <w:tr w14:paraId="7725A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ED61EF5">
            <w:pPr>
              <w:pStyle w:val="6"/>
              <w:spacing w:before="96" w:line="224" w:lineRule="auto"/>
              <w:ind w:left="136"/>
            </w:pPr>
            <w:r>
              <w:rPr>
                <w:spacing w:val="-2"/>
              </w:rPr>
              <w:t>91</w:t>
            </w:r>
          </w:p>
        </w:tc>
        <w:tc>
          <w:tcPr>
            <w:tcW w:w="1257" w:type="dxa"/>
            <w:vAlign w:val="top"/>
          </w:tcPr>
          <w:p w14:paraId="06338EC0">
            <w:pPr>
              <w:spacing w:before="62" w:line="221" w:lineRule="auto"/>
              <w:ind w:left="124"/>
              <w:rPr>
                <w:rFonts w:ascii="宋体" w:hAnsi="宋体" w:eastAsia="宋体" w:cs="宋体"/>
                <w:sz w:val="21"/>
                <w:szCs w:val="21"/>
              </w:rPr>
            </w:pPr>
            <w:r>
              <w:rPr>
                <w:rFonts w:ascii="宋体" w:hAnsi="宋体" w:eastAsia="宋体" w:cs="宋体"/>
                <w:spacing w:val="-7"/>
                <w:sz w:val="21"/>
                <w:szCs w:val="21"/>
              </w:rPr>
              <w:t>白尾蓝地鸲</w:t>
            </w:r>
          </w:p>
        </w:tc>
        <w:tc>
          <w:tcPr>
            <w:tcW w:w="2394" w:type="dxa"/>
            <w:vAlign w:val="top"/>
          </w:tcPr>
          <w:p w14:paraId="749E0A46">
            <w:pPr>
              <w:pStyle w:val="6"/>
              <w:spacing w:before="96" w:line="190" w:lineRule="auto"/>
              <w:ind w:left="336"/>
            </w:pPr>
            <w:r>
              <w:rPr>
                <w:i/>
                <w:iCs/>
              </w:rPr>
              <w:t>Myiomela</w:t>
            </w:r>
            <w:r>
              <w:rPr>
                <w:i/>
                <w:iCs/>
                <w:spacing w:val="6"/>
              </w:rPr>
              <w:t xml:space="preserve"> </w:t>
            </w:r>
            <w:r>
              <w:rPr>
                <w:i/>
                <w:iCs/>
              </w:rPr>
              <w:t>leucurum</w:t>
            </w:r>
          </w:p>
        </w:tc>
        <w:tc>
          <w:tcPr>
            <w:tcW w:w="685" w:type="dxa"/>
            <w:vAlign w:val="top"/>
          </w:tcPr>
          <w:p w14:paraId="41A8CFE9">
            <w:pPr>
              <w:pStyle w:val="6"/>
              <w:spacing w:before="103" w:line="183" w:lineRule="auto"/>
              <w:ind w:left="270"/>
            </w:pPr>
            <w:r>
              <w:t>R</w:t>
            </w:r>
          </w:p>
        </w:tc>
        <w:tc>
          <w:tcPr>
            <w:tcW w:w="494" w:type="dxa"/>
            <w:vAlign w:val="top"/>
          </w:tcPr>
          <w:p w14:paraId="7E090E7D">
            <w:pPr>
              <w:pStyle w:val="6"/>
              <w:spacing w:before="99" w:line="186" w:lineRule="auto"/>
              <w:ind w:left="175"/>
            </w:pPr>
            <w:r>
              <w:t>O</w:t>
            </w:r>
          </w:p>
        </w:tc>
        <w:tc>
          <w:tcPr>
            <w:tcW w:w="875" w:type="dxa"/>
            <w:vAlign w:val="top"/>
          </w:tcPr>
          <w:p w14:paraId="08648B82">
            <w:pPr>
              <w:rPr>
                <w:rFonts w:ascii="Arial"/>
                <w:sz w:val="21"/>
              </w:rPr>
            </w:pPr>
          </w:p>
        </w:tc>
        <w:tc>
          <w:tcPr>
            <w:tcW w:w="874" w:type="dxa"/>
            <w:vAlign w:val="top"/>
          </w:tcPr>
          <w:p w14:paraId="77859368">
            <w:pPr>
              <w:pStyle w:val="6"/>
              <w:spacing w:before="96" w:line="224" w:lineRule="auto"/>
              <w:ind w:left="326"/>
            </w:pPr>
            <w:r>
              <w:rPr>
                <w:spacing w:val="-1"/>
              </w:rPr>
              <w:t>++</w:t>
            </w:r>
          </w:p>
        </w:tc>
        <w:tc>
          <w:tcPr>
            <w:tcW w:w="875" w:type="dxa"/>
            <w:vAlign w:val="top"/>
          </w:tcPr>
          <w:p w14:paraId="3552A184">
            <w:pPr>
              <w:pStyle w:val="6"/>
              <w:spacing w:before="99" w:line="186" w:lineRule="auto"/>
              <w:ind w:left="381"/>
            </w:pPr>
            <w:r>
              <w:t>C</w:t>
            </w:r>
          </w:p>
        </w:tc>
        <w:tc>
          <w:tcPr>
            <w:tcW w:w="508" w:type="dxa"/>
            <w:tcBorders>
              <w:right w:val="single" w:color="000000" w:sz="12" w:space="0"/>
            </w:tcBorders>
            <w:vAlign w:val="top"/>
          </w:tcPr>
          <w:p w14:paraId="6C46948D">
            <w:pPr>
              <w:rPr>
                <w:rFonts w:ascii="Arial"/>
                <w:sz w:val="21"/>
              </w:rPr>
            </w:pPr>
          </w:p>
        </w:tc>
      </w:tr>
      <w:tr w14:paraId="50B75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75F0D101">
            <w:pPr>
              <w:pStyle w:val="6"/>
              <w:spacing w:before="97" w:line="225" w:lineRule="auto"/>
              <w:ind w:left="136"/>
            </w:pPr>
            <w:r>
              <w:rPr>
                <w:spacing w:val="-2"/>
              </w:rPr>
              <w:t>92</w:t>
            </w:r>
          </w:p>
        </w:tc>
        <w:tc>
          <w:tcPr>
            <w:tcW w:w="1257" w:type="dxa"/>
            <w:vAlign w:val="top"/>
          </w:tcPr>
          <w:p w14:paraId="299E1F78">
            <w:pPr>
              <w:spacing w:before="63" w:line="220" w:lineRule="auto"/>
              <w:ind w:left="309"/>
              <w:rPr>
                <w:rFonts w:ascii="宋体" w:hAnsi="宋体" w:eastAsia="宋体" w:cs="宋体"/>
                <w:sz w:val="21"/>
                <w:szCs w:val="21"/>
              </w:rPr>
            </w:pPr>
            <w:r>
              <w:rPr>
                <w:rFonts w:ascii="宋体" w:hAnsi="宋体" w:eastAsia="宋体" w:cs="宋体"/>
                <w:spacing w:val="-3"/>
                <w:sz w:val="21"/>
                <w:szCs w:val="21"/>
              </w:rPr>
              <w:t>紫啸鸫</w:t>
            </w:r>
          </w:p>
        </w:tc>
        <w:tc>
          <w:tcPr>
            <w:tcW w:w="2394" w:type="dxa"/>
            <w:vAlign w:val="top"/>
          </w:tcPr>
          <w:p w14:paraId="55A6365A">
            <w:pPr>
              <w:pStyle w:val="6"/>
              <w:spacing w:before="97" w:line="190" w:lineRule="auto"/>
              <w:ind w:left="254"/>
            </w:pPr>
            <w:r>
              <w:rPr>
                <w:i/>
                <w:iCs/>
              </w:rPr>
              <w:t>Myophonus</w:t>
            </w:r>
            <w:r>
              <w:rPr>
                <w:i/>
                <w:iCs/>
                <w:spacing w:val="7"/>
              </w:rPr>
              <w:t xml:space="preserve"> </w:t>
            </w:r>
            <w:r>
              <w:rPr>
                <w:i/>
                <w:iCs/>
              </w:rPr>
              <w:t>caeruleus</w:t>
            </w:r>
          </w:p>
        </w:tc>
        <w:tc>
          <w:tcPr>
            <w:tcW w:w="685" w:type="dxa"/>
            <w:vAlign w:val="top"/>
          </w:tcPr>
          <w:p w14:paraId="737CD438">
            <w:pPr>
              <w:pStyle w:val="6"/>
              <w:spacing w:before="104" w:line="183" w:lineRule="auto"/>
              <w:ind w:left="270"/>
            </w:pPr>
            <w:r>
              <w:t>R</w:t>
            </w:r>
          </w:p>
        </w:tc>
        <w:tc>
          <w:tcPr>
            <w:tcW w:w="494" w:type="dxa"/>
            <w:vAlign w:val="top"/>
          </w:tcPr>
          <w:p w14:paraId="7387CF4E">
            <w:pPr>
              <w:pStyle w:val="6"/>
              <w:spacing w:before="101" w:line="186" w:lineRule="auto"/>
              <w:ind w:left="175"/>
            </w:pPr>
            <w:r>
              <w:t>O</w:t>
            </w:r>
          </w:p>
        </w:tc>
        <w:tc>
          <w:tcPr>
            <w:tcW w:w="875" w:type="dxa"/>
            <w:vAlign w:val="top"/>
          </w:tcPr>
          <w:p w14:paraId="43798CFD">
            <w:pPr>
              <w:rPr>
                <w:rFonts w:ascii="Arial"/>
                <w:sz w:val="21"/>
              </w:rPr>
            </w:pPr>
          </w:p>
        </w:tc>
        <w:tc>
          <w:tcPr>
            <w:tcW w:w="874" w:type="dxa"/>
            <w:vAlign w:val="top"/>
          </w:tcPr>
          <w:p w14:paraId="028EB537">
            <w:pPr>
              <w:pStyle w:val="6"/>
              <w:spacing w:before="97" w:line="225" w:lineRule="auto"/>
              <w:ind w:left="207"/>
            </w:pPr>
            <w:r>
              <w:rPr>
                <w:spacing w:val="-1"/>
              </w:rPr>
              <w:t>++++</w:t>
            </w:r>
          </w:p>
        </w:tc>
        <w:tc>
          <w:tcPr>
            <w:tcW w:w="875" w:type="dxa"/>
            <w:vAlign w:val="top"/>
          </w:tcPr>
          <w:p w14:paraId="3E9D1893">
            <w:pPr>
              <w:pStyle w:val="6"/>
              <w:spacing w:before="101" w:line="179" w:lineRule="auto"/>
              <w:ind w:left="224"/>
            </w:pPr>
            <w:r>
              <w:rPr>
                <w:spacing w:val="-10"/>
              </w:rPr>
              <w:t>S</w:t>
            </w:r>
            <w:r>
              <w:rPr>
                <w:spacing w:val="-30"/>
              </w:rPr>
              <w:t xml:space="preserve"> </w:t>
            </w:r>
            <w:r>
              <w:rPr>
                <w:rFonts w:ascii="宋体" w:hAnsi="宋体" w:eastAsia="宋体" w:cs="宋体"/>
                <w:spacing w:val="-10"/>
              </w:rPr>
              <w:t>、</w:t>
            </w:r>
            <w:r>
              <w:rPr>
                <w:spacing w:val="-10"/>
              </w:rPr>
              <w:t>C</w:t>
            </w:r>
          </w:p>
        </w:tc>
        <w:tc>
          <w:tcPr>
            <w:tcW w:w="508" w:type="dxa"/>
            <w:tcBorders>
              <w:right w:val="single" w:color="000000" w:sz="12" w:space="0"/>
            </w:tcBorders>
            <w:vAlign w:val="top"/>
          </w:tcPr>
          <w:p w14:paraId="42B715E7">
            <w:pPr>
              <w:rPr>
                <w:rFonts w:ascii="Arial"/>
                <w:sz w:val="21"/>
              </w:rPr>
            </w:pPr>
          </w:p>
        </w:tc>
      </w:tr>
      <w:tr w14:paraId="750C5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6B4A374">
            <w:pPr>
              <w:pStyle w:val="6"/>
              <w:spacing w:before="96" w:line="224" w:lineRule="auto"/>
              <w:ind w:left="136"/>
            </w:pPr>
            <w:r>
              <w:rPr>
                <w:spacing w:val="-2"/>
              </w:rPr>
              <w:t>93</w:t>
            </w:r>
          </w:p>
        </w:tc>
        <w:tc>
          <w:tcPr>
            <w:tcW w:w="1257" w:type="dxa"/>
            <w:vAlign w:val="top"/>
          </w:tcPr>
          <w:p w14:paraId="79E671FA">
            <w:pPr>
              <w:spacing w:before="62" w:line="220" w:lineRule="auto"/>
              <w:ind w:left="201"/>
              <w:rPr>
                <w:rFonts w:ascii="宋体" w:hAnsi="宋体" w:eastAsia="宋体" w:cs="宋体"/>
                <w:sz w:val="21"/>
                <w:szCs w:val="21"/>
              </w:rPr>
            </w:pPr>
            <w:r>
              <w:rPr>
                <w:rFonts w:ascii="宋体" w:hAnsi="宋体" w:eastAsia="宋体" w:cs="宋体"/>
                <w:spacing w:val="-2"/>
                <w:sz w:val="21"/>
                <w:szCs w:val="21"/>
              </w:rPr>
              <w:t>灰背燕尾</w:t>
            </w:r>
          </w:p>
        </w:tc>
        <w:tc>
          <w:tcPr>
            <w:tcW w:w="2394" w:type="dxa"/>
            <w:vAlign w:val="top"/>
          </w:tcPr>
          <w:p w14:paraId="070EE78B">
            <w:pPr>
              <w:pStyle w:val="6"/>
              <w:spacing w:before="96" w:line="224" w:lineRule="auto"/>
              <w:ind w:left="297"/>
            </w:pPr>
            <w:r>
              <w:rPr>
                <w:i/>
                <w:iCs/>
              </w:rPr>
              <w:t>Enicurus</w:t>
            </w:r>
            <w:r>
              <w:rPr>
                <w:i/>
                <w:iCs/>
                <w:spacing w:val="4"/>
              </w:rPr>
              <w:t xml:space="preserve"> </w:t>
            </w:r>
            <w:r>
              <w:rPr>
                <w:i/>
                <w:iCs/>
              </w:rPr>
              <w:t>schistaceus</w:t>
            </w:r>
          </w:p>
        </w:tc>
        <w:tc>
          <w:tcPr>
            <w:tcW w:w="685" w:type="dxa"/>
            <w:vAlign w:val="top"/>
          </w:tcPr>
          <w:p w14:paraId="0482A2C0">
            <w:pPr>
              <w:pStyle w:val="6"/>
              <w:spacing w:before="103" w:line="183" w:lineRule="auto"/>
              <w:ind w:left="270"/>
            </w:pPr>
            <w:r>
              <w:t>R</w:t>
            </w:r>
          </w:p>
        </w:tc>
        <w:tc>
          <w:tcPr>
            <w:tcW w:w="494" w:type="dxa"/>
            <w:vAlign w:val="top"/>
          </w:tcPr>
          <w:p w14:paraId="266244E6">
            <w:pPr>
              <w:pStyle w:val="6"/>
              <w:spacing w:before="100" w:line="186" w:lineRule="auto"/>
              <w:ind w:left="175"/>
            </w:pPr>
            <w:r>
              <w:t>O</w:t>
            </w:r>
          </w:p>
        </w:tc>
        <w:tc>
          <w:tcPr>
            <w:tcW w:w="875" w:type="dxa"/>
            <w:vAlign w:val="top"/>
          </w:tcPr>
          <w:p w14:paraId="6241183F">
            <w:pPr>
              <w:rPr>
                <w:rFonts w:ascii="Arial"/>
                <w:sz w:val="21"/>
              </w:rPr>
            </w:pPr>
          </w:p>
        </w:tc>
        <w:tc>
          <w:tcPr>
            <w:tcW w:w="874" w:type="dxa"/>
            <w:vAlign w:val="top"/>
          </w:tcPr>
          <w:p w14:paraId="5E4DAA42">
            <w:pPr>
              <w:pStyle w:val="6"/>
              <w:spacing w:before="96" w:line="224" w:lineRule="auto"/>
              <w:ind w:left="385"/>
            </w:pPr>
            <w:r>
              <w:t>+</w:t>
            </w:r>
          </w:p>
        </w:tc>
        <w:tc>
          <w:tcPr>
            <w:tcW w:w="875" w:type="dxa"/>
            <w:vAlign w:val="top"/>
          </w:tcPr>
          <w:p w14:paraId="344B1B1D">
            <w:pPr>
              <w:pStyle w:val="6"/>
              <w:spacing w:before="100" w:line="186" w:lineRule="auto"/>
              <w:ind w:left="399"/>
            </w:pPr>
            <w:r>
              <w:t>S</w:t>
            </w:r>
          </w:p>
        </w:tc>
        <w:tc>
          <w:tcPr>
            <w:tcW w:w="508" w:type="dxa"/>
            <w:tcBorders>
              <w:right w:val="single" w:color="000000" w:sz="12" w:space="0"/>
            </w:tcBorders>
            <w:vAlign w:val="top"/>
          </w:tcPr>
          <w:p w14:paraId="6D59FB3E">
            <w:pPr>
              <w:rPr>
                <w:rFonts w:ascii="Arial"/>
                <w:sz w:val="21"/>
              </w:rPr>
            </w:pPr>
          </w:p>
        </w:tc>
      </w:tr>
      <w:tr w14:paraId="618B5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603AD2D0">
            <w:pPr>
              <w:pStyle w:val="6"/>
              <w:spacing w:before="97" w:line="224" w:lineRule="auto"/>
              <w:ind w:left="136"/>
            </w:pPr>
            <w:r>
              <w:rPr>
                <w:spacing w:val="-2"/>
              </w:rPr>
              <w:t>94</w:t>
            </w:r>
          </w:p>
        </w:tc>
        <w:tc>
          <w:tcPr>
            <w:tcW w:w="1257" w:type="dxa"/>
            <w:vAlign w:val="top"/>
          </w:tcPr>
          <w:p w14:paraId="0280CD51">
            <w:pPr>
              <w:spacing w:before="63" w:line="220" w:lineRule="auto"/>
              <w:ind w:left="230"/>
              <w:rPr>
                <w:rFonts w:ascii="宋体" w:hAnsi="宋体" w:eastAsia="宋体" w:cs="宋体"/>
                <w:sz w:val="21"/>
                <w:szCs w:val="21"/>
              </w:rPr>
            </w:pPr>
            <w:r>
              <w:rPr>
                <w:rFonts w:ascii="宋体" w:hAnsi="宋体" w:eastAsia="宋体" w:cs="宋体"/>
                <w:spacing w:val="-8"/>
                <w:sz w:val="21"/>
                <w:szCs w:val="21"/>
              </w:rPr>
              <w:t>白额燕尾</w:t>
            </w:r>
          </w:p>
        </w:tc>
        <w:tc>
          <w:tcPr>
            <w:tcW w:w="2394" w:type="dxa"/>
            <w:vAlign w:val="top"/>
          </w:tcPr>
          <w:p w14:paraId="5E41D000">
            <w:pPr>
              <w:pStyle w:val="6"/>
              <w:spacing w:before="97" w:line="224" w:lineRule="auto"/>
              <w:ind w:left="267"/>
            </w:pPr>
            <w:r>
              <w:rPr>
                <w:i/>
                <w:iCs/>
              </w:rPr>
              <w:t>Enicurus</w:t>
            </w:r>
            <w:r>
              <w:rPr>
                <w:i/>
                <w:iCs/>
                <w:spacing w:val="9"/>
              </w:rPr>
              <w:t xml:space="preserve"> </w:t>
            </w:r>
            <w:r>
              <w:rPr>
                <w:i/>
                <w:iCs/>
              </w:rPr>
              <w:t>leschenaulti</w:t>
            </w:r>
          </w:p>
        </w:tc>
        <w:tc>
          <w:tcPr>
            <w:tcW w:w="685" w:type="dxa"/>
            <w:vAlign w:val="top"/>
          </w:tcPr>
          <w:p w14:paraId="33ECD0F8">
            <w:pPr>
              <w:pStyle w:val="6"/>
              <w:spacing w:before="104" w:line="183" w:lineRule="auto"/>
              <w:ind w:left="270"/>
            </w:pPr>
            <w:r>
              <w:t>R</w:t>
            </w:r>
          </w:p>
        </w:tc>
        <w:tc>
          <w:tcPr>
            <w:tcW w:w="494" w:type="dxa"/>
            <w:vAlign w:val="top"/>
          </w:tcPr>
          <w:p w14:paraId="1C6DDCE2">
            <w:pPr>
              <w:pStyle w:val="6"/>
              <w:spacing w:before="101" w:line="186" w:lineRule="auto"/>
              <w:ind w:left="175"/>
            </w:pPr>
            <w:r>
              <w:t>O</w:t>
            </w:r>
          </w:p>
        </w:tc>
        <w:tc>
          <w:tcPr>
            <w:tcW w:w="875" w:type="dxa"/>
            <w:vAlign w:val="top"/>
          </w:tcPr>
          <w:p w14:paraId="56565D03">
            <w:pPr>
              <w:rPr>
                <w:rFonts w:ascii="Arial"/>
                <w:sz w:val="21"/>
              </w:rPr>
            </w:pPr>
          </w:p>
        </w:tc>
        <w:tc>
          <w:tcPr>
            <w:tcW w:w="874" w:type="dxa"/>
            <w:vAlign w:val="top"/>
          </w:tcPr>
          <w:p w14:paraId="4A2AAF7B">
            <w:pPr>
              <w:pStyle w:val="6"/>
              <w:spacing w:before="97" w:line="224" w:lineRule="auto"/>
              <w:ind w:left="326"/>
            </w:pPr>
            <w:r>
              <w:rPr>
                <w:spacing w:val="-1"/>
              </w:rPr>
              <w:t>++</w:t>
            </w:r>
          </w:p>
        </w:tc>
        <w:tc>
          <w:tcPr>
            <w:tcW w:w="875" w:type="dxa"/>
            <w:vAlign w:val="top"/>
          </w:tcPr>
          <w:p w14:paraId="76CE2F7E">
            <w:pPr>
              <w:pStyle w:val="6"/>
              <w:spacing w:before="101" w:line="186" w:lineRule="auto"/>
              <w:ind w:left="399"/>
            </w:pPr>
            <w:r>
              <w:t>S</w:t>
            </w:r>
          </w:p>
        </w:tc>
        <w:tc>
          <w:tcPr>
            <w:tcW w:w="508" w:type="dxa"/>
            <w:tcBorders>
              <w:right w:val="single" w:color="000000" w:sz="12" w:space="0"/>
            </w:tcBorders>
            <w:vAlign w:val="top"/>
          </w:tcPr>
          <w:p w14:paraId="508E1385">
            <w:pPr>
              <w:rPr>
                <w:rFonts w:ascii="Arial"/>
                <w:sz w:val="21"/>
              </w:rPr>
            </w:pPr>
          </w:p>
        </w:tc>
      </w:tr>
      <w:tr w14:paraId="3DCF2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016491D5">
            <w:pPr>
              <w:pStyle w:val="6"/>
              <w:spacing w:before="97" w:line="224" w:lineRule="auto"/>
              <w:ind w:left="136"/>
            </w:pPr>
            <w:r>
              <w:rPr>
                <w:spacing w:val="-2"/>
              </w:rPr>
              <w:t>95</w:t>
            </w:r>
          </w:p>
        </w:tc>
        <w:tc>
          <w:tcPr>
            <w:tcW w:w="1257" w:type="dxa"/>
            <w:vAlign w:val="top"/>
          </w:tcPr>
          <w:p w14:paraId="48D5C64A">
            <w:pPr>
              <w:spacing w:before="65" w:line="219" w:lineRule="auto"/>
              <w:ind w:left="205"/>
              <w:rPr>
                <w:rFonts w:ascii="宋体" w:hAnsi="宋体" w:eastAsia="宋体" w:cs="宋体"/>
                <w:sz w:val="21"/>
                <w:szCs w:val="21"/>
              </w:rPr>
            </w:pPr>
            <w:r>
              <w:rPr>
                <w:rFonts w:ascii="宋体" w:hAnsi="宋体" w:eastAsia="宋体" w:cs="宋体"/>
                <w:spacing w:val="-3"/>
                <w:sz w:val="21"/>
                <w:szCs w:val="21"/>
              </w:rPr>
              <w:t>黑喉石䳭</w:t>
            </w:r>
          </w:p>
        </w:tc>
        <w:tc>
          <w:tcPr>
            <w:tcW w:w="2394" w:type="dxa"/>
            <w:vAlign w:val="top"/>
          </w:tcPr>
          <w:p w14:paraId="5F658445">
            <w:pPr>
              <w:pStyle w:val="6"/>
              <w:spacing w:before="97" w:line="224" w:lineRule="auto"/>
              <w:ind w:left="483"/>
            </w:pPr>
            <w:r>
              <w:rPr>
                <w:i/>
                <w:iCs/>
              </w:rPr>
              <w:t>Saxicola maurus</w:t>
            </w:r>
          </w:p>
        </w:tc>
        <w:tc>
          <w:tcPr>
            <w:tcW w:w="685" w:type="dxa"/>
            <w:vAlign w:val="top"/>
          </w:tcPr>
          <w:p w14:paraId="40B0BCEB">
            <w:pPr>
              <w:pStyle w:val="6"/>
              <w:spacing w:before="104" w:line="183" w:lineRule="auto"/>
              <w:ind w:left="270"/>
            </w:pPr>
            <w:r>
              <w:t>R</w:t>
            </w:r>
          </w:p>
        </w:tc>
        <w:tc>
          <w:tcPr>
            <w:tcW w:w="494" w:type="dxa"/>
            <w:vAlign w:val="top"/>
          </w:tcPr>
          <w:p w14:paraId="46102EA1">
            <w:pPr>
              <w:pStyle w:val="6"/>
              <w:spacing w:before="101" w:line="186" w:lineRule="auto"/>
              <w:ind w:left="117"/>
            </w:pPr>
            <w:r>
              <w:rPr>
                <w:spacing w:val="-3"/>
              </w:rPr>
              <w:t>OP</w:t>
            </w:r>
          </w:p>
        </w:tc>
        <w:tc>
          <w:tcPr>
            <w:tcW w:w="875" w:type="dxa"/>
            <w:vAlign w:val="top"/>
          </w:tcPr>
          <w:p w14:paraId="7C8CEB26">
            <w:pPr>
              <w:rPr>
                <w:rFonts w:ascii="Arial"/>
                <w:sz w:val="21"/>
              </w:rPr>
            </w:pPr>
          </w:p>
        </w:tc>
        <w:tc>
          <w:tcPr>
            <w:tcW w:w="874" w:type="dxa"/>
            <w:vAlign w:val="top"/>
          </w:tcPr>
          <w:p w14:paraId="297859AB">
            <w:pPr>
              <w:pStyle w:val="6"/>
              <w:spacing w:before="97" w:line="224" w:lineRule="auto"/>
              <w:ind w:left="207"/>
            </w:pPr>
            <w:r>
              <w:rPr>
                <w:spacing w:val="-1"/>
              </w:rPr>
              <w:t>++++</w:t>
            </w:r>
          </w:p>
        </w:tc>
        <w:tc>
          <w:tcPr>
            <w:tcW w:w="875" w:type="dxa"/>
            <w:vAlign w:val="top"/>
          </w:tcPr>
          <w:p w14:paraId="3D113C63">
            <w:pPr>
              <w:pStyle w:val="6"/>
              <w:spacing w:before="101" w:line="186" w:lineRule="auto"/>
              <w:ind w:left="399"/>
            </w:pPr>
            <w:r>
              <w:t>S</w:t>
            </w:r>
          </w:p>
        </w:tc>
        <w:tc>
          <w:tcPr>
            <w:tcW w:w="508" w:type="dxa"/>
            <w:tcBorders>
              <w:right w:val="single" w:color="000000" w:sz="12" w:space="0"/>
            </w:tcBorders>
            <w:vAlign w:val="top"/>
          </w:tcPr>
          <w:p w14:paraId="5E6B0A08">
            <w:pPr>
              <w:rPr>
                <w:rFonts w:ascii="Arial"/>
                <w:sz w:val="21"/>
              </w:rPr>
            </w:pPr>
          </w:p>
        </w:tc>
      </w:tr>
      <w:tr w14:paraId="7CB69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FF17EDA">
            <w:pPr>
              <w:pStyle w:val="6"/>
              <w:spacing w:before="99" w:line="221" w:lineRule="auto"/>
              <w:ind w:left="136"/>
            </w:pPr>
            <w:r>
              <w:rPr>
                <w:spacing w:val="-2"/>
              </w:rPr>
              <w:t>96</w:t>
            </w:r>
          </w:p>
        </w:tc>
        <w:tc>
          <w:tcPr>
            <w:tcW w:w="1257" w:type="dxa"/>
            <w:vAlign w:val="top"/>
          </w:tcPr>
          <w:p w14:paraId="7BAC502E">
            <w:pPr>
              <w:spacing w:before="65" w:line="219" w:lineRule="auto"/>
              <w:ind w:left="305"/>
              <w:rPr>
                <w:rFonts w:ascii="宋体" w:hAnsi="宋体" w:eastAsia="宋体" w:cs="宋体"/>
                <w:sz w:val="21"/>
                <w:szCs w:val="21"/>
              </w:rPr>
            </w:pPr>
            <w:r>
              <w:rPr>
                <w:rFonts w:ascii="宋体" w:hAnsi="宋体" w:eastAsia="宋体" w:cs="宋体"/>
                <w:spacing w:val="-3"/>
                <w:sz w:val="21"/>
                <w:szCs w:val="21"/>
              </w:rPr>
              <w:t>灰林䳭</w:t>
            </w:r>
          </w:p>
        </w:tc>
        <w:tc>
          <w:tcPr>
            <w:tcW w:w="2394" w:type="dxa"/>
            <w:vAlign w:val="top"/>
          </w:tcPr>
          <w:p w14:paraId="586EFFB2">
            <w:pPr>
              <w:pStyle w:val="6"/>
              <w:spacing w:before="99" w:line="190" w:lineRule="auto"/>
              <w:ind w:left="501"/>
            </w:pPr>
            <w:r>
              <w:rPr>
                <w:i/>
                <w:iCs/>
                <w:spacing w:val="2"/>
              </w:rPr>
              <w:t>Saxicola</w:t>
            </w:r>
            <w:r>
              <w:rPr>
                <w:i/>
                <w:iCs/>
                <w:spacing w:val="-34"/>
              </w:rPr>
              <w:t xml:space="preserve"> </w:t>
            </w:r>
            <w:r>
              <w:rPr>
                <w:i/>
                <w:iCs/>
                <w:spacing w:val="2"/>
              </w:rPr>
              <w:t>ferreus</w:t>
            </w:r>
          </w:p>
        </w:tc>
        <w:tc>
          <w:tcPr>
            <w:tcW w:w="685" w:type="dxa"/>
            <w:vAlign w:val="top"/>
          </w:tcPr>
          <w:p w14:paraId="32DB5139">
            <w:pPr>
              <w:pStyle w:val="6"/>
              <w:spacing w:before="106" w:line="183" w:lineRule="auto"/>
              <w:ind w:left="270"/>
            </w:pPr>
            <w:r>
              <w:t>R</w:t>
            </w:r>
          </w:p>
        </w:tc>
        <w:tc>
          <w:tcPr>
            <w:tcW w:w="494" w:type="dxa"/>
            <w:vAlign w:val="top"/>
          </w:tcPr>
          <w:p w14:paraId="0FFF6244">
            <w:pPr>
              <w:pStyle w:val="6"/>
              <w:spacing w:before="103" w:line="186" w:lineRule="auto"/>
              <w:ind w:left="175"/>
            </w:pPr>
            <w:r>
              <w:t>O</w:t>
            </w:r>
          </w:p>
        </w:tc>
        <w:tc>
          <w:tcPr>
            <w:tcW w:w="875" w:type="dxa"/>
            <w:vAlign w:val="top"/>
          </w:tcPr>
          <w:p w14:paraId="7B988594">
            <w:pPr>
              <w:rPr>
                <w:rFonts w:ascii="Arial"/>
                <w:sz w:val="21"/>
              </w:rPr>
            </w:pPr>
          </w:p>
        </w:tc>
        <w:tc>
          <w:tcPr>
            <w:tcW w:w="874" w:type="dxa"/>
            <w:vAlign w:val="top"/>
          </w:tcPr>
          <w:p w14:paraId="01A117AB">
            <w:pPr>
              <w:pStyle w:val="6"/>
              <w:spacing w:before="99" w:line="221" w:lineRule="auto"/>
              <w:ind w:left="266"/>
            </w:pPr>
            <w:r>
              <w:rPr>
                <w:spacing w:val="-1"/>
              </w:rPr>
              <w:t>+++</w:t>
            </w:r>
          </w:p>
        </w:tc>
        <w:tc>
          <w:tcPr>
            <w:tcW w:w="875" w:type="dxa"/>
            <w:vAlign w:val="top"/>
          </w:tcPr>
          <w:p w14:paraId="5F77A73C">
            <w:pPr>
              <w:pStyle w:val="6"/>
              <w:spacing w:before="103" w:line="186" w:lineRule="auto"/>
              <w:ind w:left="399"/>
            </w:pPr>
            <w:r>
              <w:t>S</w:t>
            </w:r>
          </w:p>
        </w:tc>
        <w:tc>
          <w:tcPr>
            <w:tcW w:w="508" w:type="dxa"/>
            <w:tcBorders>
              <w:right w:val="single" w:color="000000" w:sz="12" w:space="0"/>
            </w:tcBorders>
            <w:vAlign w:val="top"/>
          </w:tcPr>
          <w:p w14:paraId="0D69F974">
            <w:pPr>
              <w:rPr>
                <w:rFonts w:ascii="Arial"/>
                <w:sz w:val="21"/>
              </w:rPr>
            </w:pPr>
          </w:p>
        </w:tc>
      </w:tr>
      <w:tr w14:paraId="07083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150AFD21">
            <w:pPr>
              <w:pStyle w:val="6"/>
              <w:spacing w:before="100" w:line="221" w:lineRule="auto"/>
              <w:ind w:left="136"/>
            </w:pPr>
            <w:r>
              <w:rPr>
                <w:spacing w:val="-2"/>
              </w:rPr>
              <w:t>97</w:t>
            </w:r>
          </w:p>
        </w:tc>
        <w:tc>
          <w:tcPr>
            <w:tcW w:w="1257" w:type="dxa"/>
            <w:vAlign w:val="top"/>
          </w:tcPr>
          <w:p w14:paraId="71A01134">
            <w:pPr>
              <w:spacing w:before="67" w:line="220" w:lineRule="auto"/>
              <w:ind w:left="304"/>
              <w:rPr>
                <w:rFonts w:ascii="宋体" w:hAnsi="宋体" w:eastAsia="宋体" w:cs="宋体"/>
                <w:sz w:val="21"/>
                <w:szCs w:val="21"/>
              </w:rPr>
            </w:pPr>
            <w:r>
              <w:rPr>
                <w:rFonts w:ascii="宋体" w:hAnsi="宋体" w:eastAsia="宋体" w:cs="宋体"/>
                <w:spacing w:val="-3"/>
                <w:sz w:val="21"/>
                <w:szCs w:val="21"/>
              </w:rPr>
              <w:t>蓝矶鸫</w:t>
            </w:r>
          </w:p>
        </w:tc>
        <w:tc>
          <w:tcPr>
            <w:tcW w:w="2394" w:type="dxa"/>
            <w:vAlign w:val="top"/>
          </w:tcPr>
          <w:p w14:paraId="7E7B0E5C">
            <w:pPr>
              <w:pStyle w:val="6"/>
              <w:spacing w:before="100" w:line="221" w:lineRule="auto"/>
              <w:ind w:left="324"/>
            </w:pPr>
            <w:r>
              <w:rPr>
                <w:i/>
                <w:iCs/>
              </w:rPr>
              <w:t>Monticola</w:t>
            </w:r>
            <w:r>
              <w:rPr>
                <w:i/>
                <w:iCs/>
                <w:spacing w:val="6"/>
              </w:rPr>
              <w:t xml:space="preserve"> </w:t>
            </w:r>
            <w:r>
              <w:rPr>
                <w:i/>
                <w:iCs/>
              </w:rPr>
              <w:t>solitarius</w:t>
            </w:r>
          </w:p>
        </w:tc>
        <w:tc>
          <w:tcPr>
            <w:tcW w:w="685" w:type="dxa"/>
            <w:vAlign w:val="top"/>
          </w:tcPr>
          <w:p w14:paraId="772D9A39">
            <w:pPr>
              <w:pStyle w:val="6"/>
              <w:spacing w:before="107" w:line="183" w:lineRule="auto"/>
              <w:ind w:left="270"/>
            </w:pPr>
            <w:r>
              <w:t>R</w:t>
            </w:r>
          </w:p>
        </w:tc>
        <w:tc>
          <w:tcPr>
            <w:tcW w:w="494" w:type="dxa"/>
            <w:vAlign w:val="top"/>
          </w:tcPr>
          <w:p w14:paraId="2CBB5CC3">
            <w:pPr>
              <w:pStyle w:val="6"/>
              <w:spacing w:before="104" w:line="186" w:lineRule="auto"/>
              <w:ind w:left="117"/>
            </w:pPr>
            <w:r>
              <w:rPr>
                <w:spacing w:val="-3"/>
              </w:rPr>
              <w:t>OP</w:t>
            </w:r>
          </w:p>
        </w:tc>
        <w:tc>
          <w:tcPr>
            <w:tcW w:w="875" w:type="dxa"/>
            <w:vAlign w:val="top"/>
          </w:tcPr>
          <w:p w14:paraId="53F17A2E">
            <w:pPr>
              <w:rPr>
                <w:rFonts w:ascii="Arial"/>
                <w:sz w:val="21"/>
              </w:rPr>
            </w:pPr>
          </w:p>
        </w:tc>
        <w:tc>
          <w:tcPr>
            <w:tcW w:w="874" w:type="dxa"/>
            <w:vAlign w:val="top"/>
          </w:tcPr>
          <w:p w14:paraId="13151B35">
            <w:pPr>
              <w:pStyle w:val="6"/>
              <w:spacing w:before="100" w:line="221" w:lineRule="auto"/>
              <w:ind w:left="326"/>
            </w:pPr>
            <w:r>
              <w:rPr>
                <w:spacing w:val="-1"/>
              </w:rPr>
              <w:t>++</w:t>
            </w:r>
          </w:p>
        </w:tc>
        <w:tc>
          <w:tcPr>
            <w:tcW w:w="875" w:type="dxa"/>
            <w:vAlign w:val="top"/>
          </w:tcPr>
          <w:p w14:paraId="508DAB89">
            <w:pPr>
              <w:pStyle w:val="6"/>
              <w:spacing w:before="104" w:line="186" w:lineRule="auto"/>
              <w:ind w:left="399"/>
            </w:pPr>
            <w:r>
              <w:t>S</w:t>
            </w:r>
          </w:p>
        </w:tc>
        <w:tc>
          <w:tcPr>
            <w:tcW w:w="508" w:type="dxa"/>
            <w:tcBorders>
              <w:right w:val="single" w:color="000000" w:sz="12" w:space="0"/>
            </w:tcBorders>
            <w:vAlign w:val="top"/>
          </w:tcPr>
          <w:p w14:paraId="12A095A4">
            <w:pPr>
              <w:rPr>
                <w:rFonts w:ascii="Arial"/>
                <w:sz w:val="21"/>
              </w:rPr>
            </w:pPr>
          </w:p>
        </w:tc>
      </w:tr>
      <w:tr w14:paraId="0F5CA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336E1EA5">
            <w:pPr>
              <w:pStyle w:val="6"/>
              <w:spacing w:before="100" w:line="220" w:lineRule="auto"/>
              <w:ind w:left="136"/>
            </w:pPr>
            <w:r>
              <w:rPr>
                <w:spacing w:val="-2"/>
              </w:rPr>
              <w:t>98</w:t>
            </w:r>
          </w:p>
        </w:tc>
        <w:tc>
          <w:tcPr>
            <w:tcW w:w="1257" w:type="dxa"/>
            <w:vAlign w:val="top"/>
          </w:tcPr>
          <w:p w14:paraId="2345B263">
            <w:pPr>
              <w:spacing w:before="66" w:line="220" w:lineRule="auto"/>
              <w:ind w:left="199"/>
              <w:rPr>
                <w:rFonts w:ascii="宋体" w:hAnsi="宋体" w:eastAsia="宋体" w:cs="宋体"/>
                <w:sz w:val="21"/>
                <w:szCs w:val="21"/>
              </w:rPr>
            </w:pPr>
            <w:r>
              <w:rPr>
                <w:rFonts w:ascii="宋体" w:hAnsi="宋体" w:eastAsia="宋体" w:cs="宋体"/>
                <w:spacing w:val="-2"/>
                <w:sz w:val="21"/>
                <w:szCs w:val="21"/>
              </w:rPr>
              <w:t>栗腹矶鸫</w:t>
            </w:r>
          </w:p>
        </w:tc>
        <w:tc>
          <w:tcPr>
            <w:tcW w:w="2394" w:type="dxa"/>
            <w:vAlign w:val="top"/>
          </w:tcPr>
          <w:p w14:paraId="7AC2C935">
            <w:pPr>
              <w:pStyle w:val="6"/>
              <w:spacing w:before="100" w:line="190" w:lineRule="auto"/>
              <w:ind w:left="283"/>
            </w:pPr>
            <w:r>
              <w:rPr>
                <w:i/>
                <w:iCs/>
              </w:rPr>
              <w:t>Monticola</w:t>
            </w:r>
            <w:r>
              <w:rPr>
                <w:i/>
                <w:iCs/>
                <w:spacing w:val="8"/>
              </w:rPr>
              <w:t xml:space="preserve"> </w:t>
            </w:r>
            <w:r>
              <w:rPr>
                <w:i/>
                <w:iCs/>
              </w:rPr>
              <w:t>rufiventris</w:t>
            </w:r>
          </w:p>
        </w:tc>
        <w:tc>
          <w:tcPr>
            <w:tcW w:w="685" w:type="dxa"/>
            <w:vAlign w:val="top"/>
          </w:tcPr>
          <w:p w14:paraId="5B86D792">
            <w:pPr>
              <w:pStyle w:val="6"/>
              <w:spacing w:before="107" w:line="183" w:lineRule="auto"/>
              <w:ind w:left="270"/>
            </w:pPr>
            <w:r>
              <w:t>R</w:t>
            </w:r>
          </w:p>
        </w:tc>
        <w:tc>
          <w:tcPr>
            <w:tcW w:w="494" w:type="dxa"/>
            <w:vAlign w:val="top"/>
          </w:tcPr>
          <w:p w14:paraId="02FD0C56">
            <w:pPr>
              <w:pStyle w:val="6"/>
              <w:spacing w:before="104" w:line="186" w:lineRule="auto"/>
              <w:ind w:left="175"/>
            </w:pPr>
            <w:r>
              <w:t>O</w:t>
            </w:r>
          </w:p>
        </w:tc>
        <w:tc>
          <w:tcPr>
            <w:tcW w:w="875" w:type="dxa"/>
            <w:vAlign w:val="top"/>
          </w:tcPr>
          <w:p w14:paraId="6942A41C">
            <w:pPr>
              <w:rPr>
                <w:rFonts w:ascii="Arial"/>
                <w:sz w:val="21"/>
              </w:rPr>
            </w:pPr>
          </w:p>
        </w:tc>
        <w:tc>
          <w:tcPr>
            <w:tcW w:w="874" w:type="dxa"/>
            <w:vAlign w:val="top"/>
          </w:tcPr>
          <w:p w14:paraId="23647668">
            <w:pPr>
              <w:pStyle w:val="6"/>
              <w:spacing w:before="100" w:line="220" w:lineRule="auto"/>
              <w:ind w:left="326"/>
            </w:pPr>
            <w:r>
              <w:rPr>
                <w:spacing w:val="-1"/>
              </w:rPr>
              <w:t>++</w:t>
            </w:r>
          </w:p>
        </w:tc>
        <w:tc>
          <w:tcPr>
            <w:tcW w:w="875" w:type="dxa"/>
            <w:vAlign w:val="top"/>
          </w:tcPr>
          <w:p w14:paraId="79927E65">
            <w:pPr>
              <w:pStyle w:val="6"/>
              <w:spacing w:before="104" w:line="186" w:lineRule="auto"/>
              <w:ind w:left="399"/>
            </w:pPr>
            <w:r>
              <w:t>S</w:t>
            </w:r>
          </w:p>
        </w:tc>
        <w:tc>
          <w:tcPr>
            <w:tcW w:w="508" w:type="dxa"/>
            <w:tcBorders>
              <w:right w:val="single" w:color="000000" w:sz="12" w:space="0"/>
            </w:tcBorders>
            <w:vAlign w:val="top"/>
          </w:tcPr>
          <w:p w14:paraId="703C9D6F">
            <w:pPr>
              <w:rPr>
                <w:rFonts w:ascii="Arial"/>
                <w:sz w:val="21"/>
              </w:rPr>
            </w:pPr>
          </w:p>
        </w:tc>
      </w:tr>
      <w:tr w14:paraId="29232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2164641C">
            <w:pPr>
              <w:pStyle w:val="6"/>
              <w:spacing w:before="101" w:line="220" w:lineRule="auto"/>
              <w:ind w:left="136"/>
            </w:pPr>
            <w:r>
              <w:rPr>
                <w:spacing w:val="-2"/>
              </w:rPr>
              <w:t>99</w:t>
            </w:r>
          </w:p>
        </w:tc>
        <w:tc>
          <w:tcPr>
            <w:tcW w:w="1257" w:type="dxa"/>
            <w:vAlign w:val="top"/>
          </w:tcPr>
          <w:p w14:paraId="52049588">
            <w:pPr>
              <w:spacing w:before="68" w:line="221" w:lineRule="auto"/>
              <w:ind w:left="204"/>
              <w:rPr>
                <w:rFonts w:ascii="宋体" w:hAnsi="宋体" w:eastAsia="宋体" w:cs="宋体"/>
                <w:sz w:val="21"/>
                <w:szCs w:val="21"/>
              </w:rPr>
            </w:pPr>
            <w:r>
              <w:rPr>
                <w:rFonts w:ascii="宋体" w:hAnsi="宋体" w:eastAsia="宋体" w:cs="宋体"/>
                <w:spacing w:val="-4"/>
                <w:sz w:val="21"/>
                <w:szCs w:val="21"/>
              </w:rPr>
              <w:t>红喉姬鹟</w:t>
            </w:r>
          </w:p>
        </w:tc>
        <w:tc>
          <w:tcPr>
            <w:tcW w:w="2394" w:type="dxa"/>
            <w:vAlign w:val="top"/>
          </w:tcPr>
          <w:p w14:paraId="5DE76588">
            <w:pPr>
              <w:pStyle w:val="6"/>
              <w:spacing w:before="101" w:line="220" w:lineRule="auto"/>
              <w:ind w:left="430"/>
            </w:pPr>
            <w:r>
              <w:rPr>
                <w:i/>
                <w:iCs/>
              </w:rPr>
              <w:t>Ficedula</w:t>
            </w:r>
            <w:r>
              <w:rPr>
                <w:i/>
                <w:iCs/>
                <w:spacing w:val="9"/>
              </w:rPr>
              <w:t xml:space="preserve"> </w:t>
            </w:r>
            <w:r>
              <w:rPr>
                <w:i/>
                <w:iCs/>
              </w:rPr>
              <w:t>albicilla</w:t>
            </w:r>
          </w:p>
        </w:tc>
        <w:tc>
          <w:tcPr>
            <w:tcW w:w="685" w:type="dxa"/>
            <w:vAlign w:val="top"/>
          </w:tcPr>
          <w:p w14:paraId="5CE671CB">
            <w:pPr>
              <w:pStyle w:val="6"/>
              <w:spacing w:before="108" w:line="183" w:lineRule="auto"/>
              <w:ind w:left="282"/>
            </w:pPr>
            <w:r>
              <w:t>P</w:t>
            </w:r>
          </w:p>
        </w:tc>
        <w:tc>
          <w:tcPr>
            <w:tcW w:w="494" w:type="dxa"/>
            <w:vAlign w:val="top"/>
          </w:tcPr>
          <w:p w14:paraId="35F4038C">
            <w:pPr>
              <w:rPr>
                <w:rFonts w:ascii="Arial"/>
                <w:sz w:val="21"/>
              </w:rPr>
            </w:pPr>
          </w:p>
        </w:tc>
        <w:tc>
          <w:tcPr>
            <w:tcW w:w="875" w:type="dxa"/>
            <w:vAlign w:val="top"/>
          </w:tcPr>
          <w:p w14:paraId="022721F4">
            <w:pPr>
              <w:rPr>
                <w:rFonts w:ascii="Arial"/>
                <w:sz w:val="21"/>
              </w:rPr>
            </w:pPr>
          </w:p>
        </w:tc>
        <w:tc>
          <w:tcPr>
            <w:tcW w:w="874" w:type="dxa"/>
            <w:vAlign w:val="top"/>
          </w:tcPr>
          <w:p w14:paraId="27C31584">
            <w:pPr>
              <w:pStyle w:val="6"/>
              <w:spacing w:before="101" w:line="220" w:lineRule="auto"/>
              <w:ind w:left="326"/>
            </w:pPr>
            <w:r>
              <w:rPr>
                <w:spacing w:val="-1"/>
              </w:rPr>
              <w:t>++</w:t>
            </w:r>
          </w:p>
        </w:tc>
        <w:tc>
          <w:tcPr>
            <w:tcW w:w="875" w:type="dxa"/>
            <w:vAlign w:val="top"/>
          </w:tcPr>
          <w:p w14:paraId="6D73A662">
            <w:pPr>
              <w:pStyle w:val="6"/>
              <w:spacing w:before="105" w:line="186" w:lineRule="auto"/>
              <w:ind w:left="399"/>
            </w:pPr>
            <w:r>
              <w:t>S</w:t>
            </w:r>
          </w:p>
        </w:tc>
        <w:tc>
          <w:tcPr>
            <w:tcW w:w="508" w:type="dxa"/>
            <w:tcBorders>
              <w:right w:val="single" w:color="000000" w:sz="12" w:space="0"/>
            </w:tcBorders>
            <w:vAlign w:val="top"/>
          </w:tcPr>
          <w:p w14:paraId="758C32C4">
            <w:pPr>
              <w:rPr>
                <w:rFonts w:ascii="Arial"/>
                <w:sz w:val="21"/>
              </w:rPr>
            </w:pPr>
          </w:p>
        </w:tc>
      </w:tr>
      <w:tr w14:paraId="436F3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BA3ABDE">
            <w:pPr>
              <w:pStyle w:val="6"/>
              <w:spacing w:before="102" w:line="218" w:lineRule="auto"/>
              <w:ind w:left="100"/>
            </w:pPr>
            <w:r>
              <w:rPr>
                <w:spacing w:val="-6"/>
              </w:rPr>
              <w:t>100</w:t>
            </w:r>
          </w:p>
        </w:tc>
        <w:tc>
          <w:tcPr>
            <w:tcW w:w="1257" w:type="dxa"/>
            <w:vAlign w:val="top"/>
          </w:tcPr>
          <w:p w14:paraId="24D4A1AE">
            <w:pPr>
              <w:spacing w:before="68" w:line="220" w:lineRule="auto"/>
              <w:ind w:left="201"/>
              <w:rPr>
                <w:rFonts w:ascii="宋体" w:hAnsi="宋体" w:eastAsia="宋体" w:cs="宋体"/>
                <w:sz w:val="21"/>
                <w:szCs w:val="21"/>
              </w:rPr>
            </w:pPr>
            <w:r>
              <w:rPr>
                <w:rFonts w:ascii="宋体" w:hAnsi="宋体" w:eastAsia="宋体" w:cs="宋体"/>
                <w:spacing w:val="-2"/>
                <w:sz w:val="21"/>
                <w:szCs w:val="21"/>
              </w:rPr>
              <w:t>灰蓝姬鹟</w:t>
            </w:r>
          </w:p>
        </w:tc>
        <w:tc>
          <w:tcPr>
            <w:tcW w:w="2394" w:type="dxa"/>
            <w:vAlign w:val="top"/>
          </w:tcPr>
          <w:p w14:paraId="4B334B44">
            <w:pPr>
              <w:pStyle w:val="6"/>
              <w:spacing w:before="101" w:line="219" w:lineRule="auto"/>
              <w:ind w:left="460"/>
            </w:pPr>
            <w:r>
              <w:rPr>
                <w:i/>
                <w:iCs/>
              </w:rPr>
              <w:t>Ficedula</w:t>
            </w:r>
            <w:r>
              <w:rPr>
                <w:i/>
                <w:iCs/>
                <w:spacing w:val="8"/>
              </w:rPr>
              <w:t xml:space="preserve"> </w:t>
            </w:r>
            <w:r>
              <w:rPr>
                <w:i/>
                <w:iCs/>
              </w:rPr>
              <w:t>tricolor</w:t>
            </w:r>
          </w:p>
        </w:tc>
        <w:tc>
          <w:tcPr>
            <w:tcW w:w="685" w:type="dxa"/>
            <w:vAlign w:val="top"/>
          </w:tcPr>
          <w:p w14:paraId="345C5D26">
            <w:pPr>
              <w:pStyle w:val="6"/>
              <w:spacing w:before="105" w:line="186" w:lineRule="auto"/>
              <w:ind w:left="292"/>
            </w:pPr>
            <w:r>
              <w:t>S</w:t>
            </w:r>
          </w:p>
        </w:tc>
        <w:tc>
          <w:tcPr>
            <w:tcW w:w="494" w:type="dxa"/>
            <w:vAlign w:val="top"/>
          </w:tcPr>
          <w:p w14:paraId="10F75C6C">
            <w:pPr>
              <w:pStyle w:val="6"/>
              <w:spacing w:before="105" w:line="186" w:lineRule="auto"/>
              <w:ind w:left="175"/>
            </w:pPr>
            <w:r>
              <w:t>O</w:t>
            </w:r>
          </w:p>
        </w:tc>
        <w:tc>
          <w:tcPr>
            <w:tcW w:w="875" w:type="dxa"/>
            <w:vAlign w:val="top"/>
          </w:tcPr>
          <w:p w14:paraId="5E917EE4">
            <w:pPr>
              <w:rPr>
                <w:rFonts w:ascii="Arial"/>
                <w:sz w:val="21"/>
              </w:rPr>
            </w:pPr>
          </w:p>
        </w:tc>
        <w:tc>
          <w:tcPr>
            <w:tcW w:w="874" w:type="dxa"/>
            <w:vAlign w:val="top"/>
          </w:tcPr>
          <w:p w14:paraId="4C934B19">
            <w:pPr>
              <w:pStyle w:val="6"/>
              <w:spacing w:before="102" w:line="218" w:lineRule="auto"/>
              <w:ind w:left="326"/>
            </w:pPr>
            <w:r>
              <w:rPr>
                <w:spacing w:val="-1"/>
              </w:rPr>
              <w:t>++</w:t>
            </w:r>
          </w:p>
        </w:tc>
        <w:tc>
          <w:tcPr>
            <w:tcW w:w="875" w:type="dxa"/>
            <w:vAlign w:val="top"/>
          </w:tcPr>
          <w:p w14:paraId="27B73116">
            <w:pPr>
              <w:pStyle w:val="6"/>
              <w:spacing w:before="105" w:line="186" w:lineRule="auto"/>
              <w:ind w:left="381"/>
            </w:pPr>
            <w:r>
              <w:t>C</w:t>
            </w:r>
          </w:p>
        </w:tc>
        <w:tc>
          <w:tcPr>
            <w:tcW w:w="508" w:type="dxa"/>
            <w:tcBorders>
              <w:right w:val="single" w:color="000000" w:sz="12" w:space="0"/>
            </w:tcBorders>
            <w:vAlign w:val="top"/>
          </w:tcPr>
          <w:p w14:paraId="2668279E">
            <w:pPr>
              <w:rPr>
                <w:rFonts w:ascii="Arial"/>
                <w:sz w:val="21"/>
              </w:rPr>
            </w:pPr>
          </w:p>
        </w:tc>
      </w:tr>
      <w:tr w14:paraId="19F25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69A4533E">
            <w:pPr>
              <w:pStyle w:val="6"/>
              <w:spacing w:before="103" w:line="219" w:lineRule="auto"/>
              <w:ind w:left="100"/>
            </w:pPr>
            <w:r>
              <w:rPr>
                <w:spacing w:val="-6"/>
              </w:rPr>
              <w:t>101</w:t>
            </w:r>
          </w:p>
        </w:tc>
        <w:tc>
          <w:tcPr>
            <w:tcW w:w="1257" w:type="dxa"/>
            <w:vAlign w:val="top"/>
          </w:tcPr>
          <w:p w14:paraId="5F595613">
            <w:pPr>
              <w:spacing w:before="69" w:line="221" w:lineRule="auto"/>
              <w:ind w:left="303"/>
              <w:rPr>
                <w:rFonts w:ascii="宋体" w:hAnsi="宋体" w:eastAsia="宋体" w:cs="宋体"/>
                <w:sz w:val="21"/>
                <w:szCs w:val="21"/>
              </w:rPr>
            </w:pPr>
            <w:r>
              <w:rPr>
                <w:rFonts w:ascii="宋体" w:hAnsi="宋体" w:eastAsia="宋体" w:cs="宋体"/>
                <w:spacing w:val="-2"/>
                <w:sz w:val="21"/>
                <w:szCs w:val="21"/>
              </w:rPr>
              <w:t>铜蓝鹟</w:t>
            </w:r>
          </w:p>
        </w:tc>
        <w:tc>
          <w:tcPr>
            <w:tcW w:w="2394" w:type="dxa"/>
            <w:vAlign w:val="top"/>
          </w:tcPr>
          <w:p w14:paraId="28AB223F">
            <w:pPr>
              <w:pStyle w:val="6"/>
              <w:spacing w:before="103" w:line="190" w:lineRule="auto"/>
              <w:ind w:left="320"/>
            </w:pPr>
            <w:r>
              <w:rPr>
                <w:i/>
                <w:iCs/>
              </w:rPr>
              <w:t>Eumyias</w:t>
            </w:r>
            <w:r>
              <w:rPr>
                <w:i/>
                <w:iCs/>
                <w:spacing w:val="4"/>
              </w:rPr>
              <w:t xml:space="preserve"> </w:t>
            </w:r>
            <w:r>
              <w:rPr>
                <w:i/>
                <w:iCs/>
              </w:rPr>
              <w:t>thalassinus</w:t>
            </w:r>
          </w:p>
        </w:tc>
        <w:tc>
          <w:tcPr>
            <w:tcW w:w="685" w:type="dxa"/>
            <w:vAlign w:val="top"/>
          </w:tcPr>
          <w:p w14:paraId="651AD089">
            <w:pPr>
              <w:pStyle w:val="6"/>
              <w:spacing w:before="107" w:line="186" w:lineRule="auto"/>
              <w:ind w:left="292"/>
            </w:pPr>
            <w:r>
              <w:t>S</w:t>
            </w:r>
          </w:p>
        </w:tc>
        <w:tc>
          <w:tcPr>
            <w:tcW w:w="494" w:type="dxa"/>
            <w:vAlign w:val="top"/>
          </w:tcPr>
          <w:p w14:paraId="1E5AA8A7">
            <w:pPr>
              <w:pStyle w:val="6"/>
              <w:spacing w:before="107" w:line="186" w:lineRule="auto"/>
              <w:ind w:left="175"/>
            </w:pPr>
            <w:r>
              <w:t>O</w:t>
            </w:r>
          </w:p>
        </w:tc>
        <w:tc>
          <w:tcPr>
            <w:tcW w:w="875" w:type="dxa"/>
            <w:vAlign w:val="top"/>
          </w:tcPr>
          <w:p w14:paraId="22993B91">
            <w:pPr>
              <w:rPr>
                <w:rFonts w:ascii="Arial"/>
                <w:sz w:val="21"/>
              </w:rPr>
            </w:pPr>
          </w:p>
        </w:tc>
        <w:tc>
          <w:tcPr>
            <w:tcW w:w="874" w:type="dxa"/>
            <w:vAlign w:val="top"/>
          </w:tcPr>
          <w:p w14:paraId="5BA7BAD2">
            <w:pPr>
              <w:pStyle w:val="6"/>
              <w:spacing w:before="103" w:line="219" w:lineRule="auto"/>
              <w:ind w:left="326"/>
            </w:pPr>
            <w:r>
              <w:rPr>
                <w:spacing w:val="-1"/>
              </w:rPr>
              <w:t>++</w:t>
            </w:r>
          </w:p>
        </w:tc>
        <w:tc>
          <w:tcPr>
            <w:tcW w:w="875" w:type="dxa"/>
            <w:vAlign w:val="top"/>
          </w:tcPr>
          <w:p w14:paraId="17CAB6F9">
            <w:pPr>
              <w:pStyle w:val="6"/>
              <w:spacing w:before="107" w:line="186" w:lineRule="auto"/>
              <w:ind w:left="399"/>
            </w:pPr>
            <w:r>
              <w:t>S</w:t>
            </w:r>
          </w:p>
        </w:tc>
        <w:tc>
          <w:tcPr>
            <w:tcW w:w="508" w:type="dxa"/>
            <w:tcBorders>
              <w:right w:val="single" w:color="000000" w:sz="12" w:space="0"/>
            </w:tcBorders>
            <w:vAlign w:val="top"/>
          </w:tcPr>
          <w:p w14:paraId="5836AD5E">
            <w:pPr>
              <w:rPr>
                <w:rFonts w:ascii="Arial"/>
                <w:sz w:val="21"/>
              </w:rPr>
            </w:pPr>
          </w:p>
        </w:tc>
      </w:tr>
      <w:tr w14:paraId="75E98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2B14C2DB">
            <w:pPr>
              <w:pStyle w:val="6"/>
              <w:spacing w:before="102" w:line="219" w:lineRule="auto"/>
              <w:ind w:left="100"/>
            </w:pPr>
            <w:r>
              <w:rPr>
                <w:spacing w:val="-6"/>
              </w:rPr>
              <w:t>102</w:t>
            </w:r>
          </w:p>
        </w:tc>
        <w:tc>
          <w:tcPr>
            <w:tcW w:w="1257" w:type="dxa"/>
            <w:vAlign w:val="top"/>
          </w:tcPr>
          <w:p w14:paraId="4D5F08DC">
            <w:pPr>
              <w:spacing w:before="68" w:line="220" w:lineRule="auto"/>
              <w:ind w:left="218"/>
              <w:rPr>
                <w:rFonts w:ascii="宋体" w:hAnsi="宋体" w:eastAsia="宋体" w:cs="宋体"/>
                <w:sz w:val="21"/>
                <w:szCs w:val="21"/>
              </w:rPr>
            </w:pPr>
            <w:r>
              <w:rPr>
                <w:rFonts w:ascii="宋体" w:hAnsi="宋体" w:eastAsia="宋体" w:cs="宋体"/>
                <w:spacing w:val="-6"/>
                <w:sz w:val="21"/>
                <w:szCs w:val="21"/>
              </w:rPr>
              <w:t>山蓝仙鹟</w:t>
            </w:r>
          </w:p>
        </w:tc>
        <w:tc>
          <w:tcPr>
            <w:tcW w:w="2394" w:type="dxa"/>
            <w:vAlign w:val="top"/>
          </w:tcPr>
          <w:p w14:paraId="113962A1">
            <w:pPr>
              <w:pStyle w:val="6"/>
              <w:spacing w:before="102" w:line="190" w:lineRule="auto"/>
              <w:ind w:left="414"/>
            </w:pPr>
            <w:r>
              <w:rPr>
                <w:i/>
                <w:iCs/>
                <w:spacing w:val="-1"/>
              </w:rPr>
              <w:t>Cyornis banyumas</w:t>
            </w:r>
          </w:p>
        </w:tc>
        <w:tc>
          <w:tcPr>
            <w:tcW w:w="685" w:type="dxa"/>
            <w:vAlign w:val="top"/>
          </w:tcPr>
          <w:p w14:paraId="35D9E902">
            <w:pPr>
              <w:pStyle w:val="6"/>
              <w:spacing w:before="106" w:line="186" w:lineRule="auto"/>
              <w:ind w:left="292"/>
            </w:pPr>
            <w:r>
              <w:t>S</w:t>
            </w:r>
          </w:p>
        </w:tc>
        <w:tc>
          <w:tcPr>
            <w:tcW w:w="494" w:type="dxa"/>
            <w:vAlign w:val="top"/>
          </w:tcPr>
          <w:p w14:paraId="34E2DC64">
            <w:pPr>
              <w:pStyle w:val="6"/>
              <w:spacing w:before="106" w:line="186" w:lineRule="auto"/>
              <w:ind w:left="175"/>
            </w:pPr>
            <w:r>
              <w:t>O</w:t>
            </w:r>
          </w:p>
        </w:tc>
        <w:tc>
          <w:tcPr>
            <w:tcW w:w="875" w:type="dxa"/>
            <w:vAlign w:val="top"/>
          </w:tcPr>
          <w:p w14:paraId="28ACF34C">
            <w:pPr>
              <w:rPr>
                <w:rFonts w:ascii="Arial"/>
                <w:sz w:val="21"/>
              </w:rPr>
            </w:pPr>
          </w:p>
        </w:tc>
        <w:tc>
          <w:tcPr>
            <w:tcW w:w="874" w:type="dxa"/>
            <w:vAlign w:val="top"/>
          </w:tcPr>
          <w:p w14:paraId="3AF44678">
            <w:pPr>
              <w:pStyle w:val="6"/>
              <w:spacing w:before="102" w:line="219" w:lineRule="auto"/>
              <w:ind w:left="385"/>
            </w:pPr>
            <w:r>
              <w:t>+</w:t>
            </w:r>
          </w:p>
        </w:tc>
        <w:tc>
          <w:tcPr>
            <w:tcW w:w="875" w:type="dxa"/>
            <w:vAlign w:val="top"/>
          </w:tcPr>
          <w:p w14:paraId="4EFCF412">
            <w:pPr>
              <w:pStyle w:val="6"/>
              <w:spacing w:before="106" w:line="186" w:lineRule="auto"/>
              <w:ind w:left="399"/>
            </w:pPr>
            <w:r>
              <w:t>S</w:t>
            </w:r>
          </w:p>
        </w:tc>
        <w:tc>
          <w:tcPr>
            <w:tcW w:w="508" w:type="dxa"/>
            <w:tcBorders>
              <w:right w:val="single" w:color="000000" w:sz="12" w:space="0"/>
            </w:tcBorders>
            <w:vAlign w:val="top"/>
          </w:tcPr>
          <w:p w14:paraId="646CC526">
            <w:pPr>
              <w:rPr>
                <w:rFonts w:ascii="Arial"/>
                <w:sz w:val="21"/>
              </w:rPr>
            </w:pPr>
          </w:p>
        </w:tc>
      </w:tr>
      <w:tr w14:paraId="7BFCD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20DE3189">
            <w:pPr>
              <w:pStyle w:val="6"/>
              <w:spacing w:before="115" w:line="186" w:lineRule="auto"/>
              <w:ind w:left="68"/>
            </w:pPr>
            <w:r>
              <w:rPr>
                <w:b/>
                <w:bCs/>
                <w:spacing w:val="-2"/>
              </w:rPr>
              <w:t>F40</w:t>
            </w:r>
          </w:p>
        </w:tc>
        <w:tc>
          <w:tcPr>
            <w:tcW w:w="1257" w:type="dxa"/>
            <w:vAlign w:val="top"/>
          </w:tcPr>
          <w:p w14:paraId="5CF424DD">
            <w:pPr>
              <w:spacing w:before="76" w:line="219" w:lineRule="auto"/>
              <w:ind w:left="198"/>
              <w:rPr>
                <w:rFonts w:ascii="宋体" w:hAnsi="宋体" w:eastAsia="宋体" w:cs="宋体"/>
                <w:sz w:val="21"/>
                <w:szCs w:val="21"/>
              </w:rPr>
            </w:pPr>
            <w:r>
              <w:rPr>
                <w:rFonts w:ascii="宋体" w:hAnsi="宋体" w:eastAsia="宋体" w:cs="宋体"/>
                <w:b/>
                <w:bCs/>
                <w:spacing w:val="-4"/>
                <w:sz w:val="21"/>
                <w:szCs w:val="21"/>
              </w:rPr>
              <w:t>花蜜鸟科</w:t>
            </w:r>
          </w:p>
        </w:tc>
        <w:tc>
          <w:tcPr>
            <w:tcW w:w="2394" w:type="dxa"/>
            <w:vAlign w:val="top"/>
          </w:tcPr>
          <w:p w14:paraId="4E5E73A2">
            <w:pPr>
              <w:pStyle w:val="6"/>
              <w:spacing w:before="115" w:line="186" w:lineRule="auto"/>
              <w:ind w:left="582"/>
            </w:pPr>
            <w:r>
              <w:rPr>
                <w:b/>
                <w:bCs/>
                <w:spacing w:val="-1"/>
              </w:rPr>
              <w:t>Nectariniidae</w:t>
            </w:r>
          </w:p>
        </w:tc>
        <w:tc>
          <w:tcPr>
            <w:tcW w:w="685" w:type="dxa"/>
            <w:vAlign w:val="top"/>
          </w:tcPr>
          <w:p w14:paraId="1830A1AF">
            <w:pPr>
              <w:rPr>
                <w:rFonts w:ascii="Arial"/>
                <w:sz w:val="21"/>
              </w:rPr>
            </w:pPr>
          </w:p>
        </w:tc>
        <w:tc>
          <w:tcPr>
            <w:tcW w:w="494" w:type="dxa"/>
            <w:vAlign w:val="top"/>
          </w:tcPr>
          <w:p w14:paraId="405CA247">
            <w:pPr>
              <w:rPr>
                <w:rFonts w:ascii="Arial"/>
                <w:sz w:val="21"/>
              </w:rPr>
            </w:pPr>
          </w:p>
        </w:tc>
        <w:tc>
          <w:tcPr>
            <w:tcW w:w="875" w:type="dxa"/>
            <w:vAlign w:val="top"/>
          </w:tcPr>
          <w:p w14:paraId="380C2797">
            <w:pPr>
              <w:rPr>
                <w:rFonts w:ascii="Arial"/>
                <w:sz w:val="21"/>
              </w:rPr>
            </w:pPr>
          </w:p>
        </w:tc>
        <w:tc>
          <w:tcPr>
            <w:tcW w:w="874" w:type="dxa"/>
            <w:vAlign w:val="top"/>
          </w:tcPr>
          <w:p w14:paraId="4104F361">
            <w:pPr>
              <w:rPr>
                <w:rFonts w:ascii="Arial"/>
                <w:sz w:val="21"/>
              </w:rPr>
            </w:pPr>
          </w:p>
        </w:tc>
        <w:tc>
          <w:tcPr>
            <w:tcW w:w="875" w:type="dxa"/>
            <w:vAlign w:val="top"/>
          </w:tcPr>
          <w:p w14:paraId="5330AD07">
            <w:pPr>
              <w:rPr>
                <w:rFonts w:ascii="Arial"/>
                <w:sz w:val="21"/>
              </w:rPr>
            </w:pPr>
          </w:p>
        </w:tc>
        <w:tc>
          <w:tcPr>
            <w:tcW w:w="508" w:type="dxa"/>
            <w:tcBorders>
              <w:right w:val="single" w:color="000000" w:sz="12" w:space="0"/>
            </w:tcBorders>
            <w:vAlign w:val="top"/>
          </w:tcPr>
          <w:p w14:paraId="575D00B5">
            <w:pPr>
              <w:rPr>
                <w:rFonts w:ascii="Arial"/>
                <w:sz w:val="21"/>
              </w:rPr>
            </w:pPr>
          </w:p>
        </w:tc>
      </w:tr>
      <w:tr w14:paraId="3F17E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06085369">
            <w:pPr>
              <w:pStyle w:val="6"/>
              <w:spacing w:before="105" w:line="217" w:lineRule="auto"/>
              <w:ind w:left="100"/>
            </w:pPr>
            <w:r>
              <w:rPr>
                <w:spacing w:val="-6"/>
              </w:rPr>
              <w:t>103</w:t>
            </w:r>
          </w:p>
        </w:tc>
        <w:tc>
          <w:tcPr>
            <w:tcW w:w="1257" w:type="dxa"/>
            <w:vAlign w:val="top"/>
          </w:tcPr>
          <w:p w14:paraId="22F3CB7D">
            <w:pPr>
              <w:spacing w:before="72" w:line="220" w:lineRule="auto"/>
              <w:ind w:left="94"/>
              <w:rPr>
                <w:rFonts w:ascii="宋体" w:hAnsi="宋体" w:eastAsia="宋体" w:cs="宋体"/>
                <w:sz w:val="21"/>
                <w:szCs w:val="21"/>
              </w:rPr>
            </w:pPr>
            <w:r>
              <w:rPr>
                <w:rFonts w:ascii="宋体" w:hAnsi="宋体" w:eastAsia="宋体" w:cs="宋体"/>
                <w:spacing w:val="-2"/>
                <w:sz w:val="21"/>
                <w:szCs w:val="21"/>
              </w:rPr>
              <w:t>蓝喉太阳鸟</w:t>
            </w:r>
          </w:p>
        </w:tc>
        <w:tc>
          <w:tcPr>
            <w:tcW w:w="2394" w:type="dxa"/>
            <w:vAlign w:val="top"/>
          </w:tcPr>
          <w:p w14:paraId="403E1A74">
            <w:pPr>
              <w:pStyle w:val="6"/>
              <w:spacing w:before="105" w:line="190" w:lineRule="auto"/>
              <w:ind w:left="333"/>
            </w:pPr>
            <w:r>
              <w:rPr>
                <w:i/>
                <w:iCs/>
              </w:rPr>
              <w:t>Aethopyga</w:t>
            </w:r>
            <w:r>
              <w:rPr>
                <w:i/>
                <w:iCs/>
                <w:spacing w:val="10"/>
              </w:rPr>
              <w:t xml:space="preserve"> </w:t>
            </w:r>
            <w:r>
              <w:rPr>
                <w:i/>
                <w:iCs/>
              </w:rPr>
              <w:t>gouldiae</w:t>
            </w:r>
          </w:p>
        </w:tc>
        <w:tc>
          <w:tcPr>
            <w:tcW w:w="685" w:type="dxa"/>
            <w:vAlign w:val="top"/>
          </w:tcPr>
          <w:p w14:paraId="6ABEB9B3">
            <w:pPr>
              <w:pStyle w:val="6"/>
              <w:spacing w:before="112" w:line="183" w:lineRule="auto"/>
              <w:ind w:left="270"/>
            </w:pPr>
            <w:r>
              <w:t>R</w:t>
            </w:r>
          </w:p>
        </w:tc>
        <w:tc>
          <w:tcPr>
            <w:tcW w:w="494" w:type="dxa"/>
            <w:vAlign w:val="top"/>
          </w:tcPr>
          <w:p w14:paraId="6A4E37E4">
            <w:pPr>
              <w:pStyle w:val="6"/>
              <w:spacing w:before="109" w:line="186" w:lineRule="auto"/>
              <w:ind w:left="175"/>
            </w:pPr>
            <w:r>
              <w:t>O</w:t>
            </w:r>
          </w:p>
        </w:tc>
        <w:tc>
          <w:tcPr>
            <w:tcW w:w="875" w:type="dxa"/>
            <w:vAlign w:val="top"/>
          </w:tcPr>
          <w:p w14:paraId="50CF28BC">
            <w:pPr>
              <w:rPr>
                <w:rFonts w:ascii="Arial"/>
                <w:sz w:val="21"/>
              </w:rPr>
            </w:pPr>
          </w:p>
        </w:tc>
        <w:tc>
          <w:tcPr>
            <w:tcW w:w="874" w:type="dxa"/>
            <w:vAlign w:val="top"/>
          </w:tcPr>
          <w:p w14:paraId="5F871E92">
            <w:pPr>
              <w:pStyle w:val="6"/>
              <w:spacing w:before="105" w:line="217" w:lineRule="auto"/>
              <w:ind w:left="385"/>
            </w:pPr>
            <w:r>
              <w:t>+</w:t>
            </w:r>
          </w:p>
        </w:tc>
        <w:tc>
          <w:tcPr>
            <w:tcW w:w="875" w:type="dxa"/>
            <w:vAlign w:val="top"/>
          </w:tcPr>
          <w:p w14:paraId="1F7C2E3E">
            <w:pPr>
              <w:pStyle w:val="6"/>
              <w:spacing w:before="109" w:line="186" w:lineRule="auto"/>
              <w:ind w:left="399"/>
            </w:pPr>
            <w:r>
              <w:t>S</w:t>
            </w:r>
          </w:p>
        </w:tc>
        <w:tc>
          <w:tcPr>
            <w:tcW w:w="508" w:type="dxa"/>
            <w:tcBorders>
              <w:right w:val="single" w:color="000000" w:sz="12" w:space="0"/>
            </w:tcBorders>
            <w:vAlign w:val="top"/>
          </w:tcPr>
          <w:p w14:paraId="5601FF8A">
            <w:pPr>
              <w:rPr>
                <w:rFonts w:ascii="Arial"/>
                <w:sz w:val="21"/>
              </w:rPr>
            </w:pPr>
          </w:p>
        </w:tc>
      </w:tr>
      <w:tr w14:paraId="5ED64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11" w:type="dxa"/>
            <w:tcBorders>
              <w:left w:val="single" w:color="000000" w:sz="12" w:space="0"/>
            </w:tcBorders>
            <w:vAlign w:val="top"/>
          </w:tcPr>
          <w:p w14:paraId="492994B8">
            <w:pPr>
              <w:pStyle w:val="6"/>
              <w:spacing w:before="115" w:line="186" w:lineRule="auto"/>
              <w:ind w:left="68"/>
            </w:pPr>
            <w:r>
              <w:rPr>
                <w:b/>
                <w:bCs/>
                <w:spacing w:val="-2"/>
              </w:rPr>
              <w:t>F41</w:t>
            </w:r>
          </w:p>
        </w:tc>
        <w:tc>
          <w:tcPr>
            <w:tcW w:w="1257" w:type="dxa"/>
            <w:vAlign w:val="top"/>
          </w:tcPr>
          <w:p w14:paraId="5A92FBEE">
            <w:pPr>
              <w:spacing w:before="78" w:line="219" w:lineRule="auto"/>
              <w:ind w:left="196"/>
              <w:rPr>
                <w:rFonts w:ascii="宋体" w:hAnsi="宋体" w:eastAsia="宋体" w:cs="宋体"/>
                <w:sz w:val="21"/>
                <w:szCs w:val="21"/>
              </w:rPr>
            </w:pPr>
            <w:r>
              <w:rPr>
                <w:rFonts w:ascii="宋体" w:hAnsi="宋体" w:eastAsia="宋体" w:cs="宋体"/>
                <w:b/>
                <w:bCs/>
                <w:spacing w:val="-3"/>
                <w:sz w:val="21"/>
                <w:szCs w:val="21"/>
              </w:rPr>
              <w:t>梅花雀科</w:t>
            </w:r>
          </w:p>
        </w:tc>
        <w:tc>
          <w:tcPr>
            <w:tcW w:w="2394" w:type="dxa"/>
            <w:vAlign w:val="top"/>
          </w:tcPr>
          <w:p w14:paraId="66135467">
            <w:pPr>
              <w:pStyle w:val="6"/>
              <w:spacing w:before="114" w:line="187" w:lineRule="auto"/>
              <w:ind w:left="694"/>
            </w:pPr>
            <w:r>
              <w:rPr>
                <w:b/>
                <w:bCs/>
                <w:spacing w:val="-1"/>
              </w:rPr>
              <w:t>Estrildidae</w:t>
            </w:r>
          </w:p>
        </w:tc>
        <w:tc>
          <w:tcPr>
            <w:tcW w:w="685" w:type="dxa"/>
            <w:vAlign w:val="top"/>
          </w:tcPr>
          <w:p w14:paraId="51034487">
            <w:pPr>
              <w:rPr>
                <w:rFonts w:ascii="Arial"/>
                <w:sz w:val="21"/>
              </w:rPr>
            </w:pPr>
          </w:p>
        </w:tc>
        <w:tc>
          <w:tcPr>
            <w:tcW w:w="494" w:type="dxa"/>
            <w:vAlign w:val="top"/>
          </w:tcPr>
          <w:p w14:paraId="24F3A8EA">
            <w:pPr>
              <w:rPr>
                <w:rFonts w:ascii="Arial"/>
                <w:sz w:val="21"/>
              </w:rPr>
            </w:pPr>
          </w:p>
        </w:tc>
        <w:tc>
          <w:tcPr>
            <w:tcW w:w="875" w:type="dxa"/>
            <w:vAlign w:val="top"/>
          </w:tcPr>
          <w:p w14:paraId="637D89A5">
            <w:pPr>
              <w:rPr>
                <w:rFonts w:ascii="Arial"/>
                <w:sz w:val="21"/>
              </w:rPr>
            </w:pPr>
          </w:p>
        </w:tc>
        <w:tc>
          <w:tcPr>
            <w:tcW w:w="874" w:type="dxa"/>
            <w:vAlign w:val="top"/>
          </w:tcPr>
          <w:p w14:paraId="38D34443">
            <w:pPr>
              <w:rPr>
                <w:rFonts w:ascii="Arial"/>
                <w:sz w:val="21"/>
              </w:rPr>
            </w:pPr>
          </w:p>
        </w:tc>
        <w:tc>
          <w:tcPr>
            <w:tcW w:w="875" w:type="dxa"/>
            <w:vAlign w:val="top"/>
          </w:tcPr>
          <w:p w14:paraId="742C47F5">
            <w:pPr>
              <w:rPr>
                <w:rFonts w:ascii="Arial"/>
                <w:sz w:val="21"/>
              </w:rPr>
            </w:pPr>
          </w:p>
        </w:tc>
        <w:tc>
          <w:tcPr>
            <w:tcW w:w="508" w:type="dxa"/>
            <w:tcBorders>
              <w:right w:val="single" w:color="000000" w:sz="12" w:space="0"/>
            </w:tcBorders>
            <w:vAlign w:val="top"/>
          </w:tcPr>
          <w:p w14:paraId="423035A4">
            <w:pPr>
              <w:rPr>
                <w:rFonts w:ascii="Arial"/>
                <w:sz w:val="21"/>
              </w:rPr>
            </w:pPr>
          </w:p>
        </w:tc>
      </w:tr>
      <w:tr w14:paraId="3B51F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0D219FB0">
            <w:pPr>
              <w:pStyle w:val="6"/>
              <w:spacing w:before="107" w:line="213" w:lineRule="auto"/>
              <w:ind w:left="100"/>
            </w:pPr>
            <w:r>
              <w:rPr>
                <w:spacing w:val="-6"/>
              </w:rPr>
              <w:t>104</w:t>
            </w:r>
          </w:p>
        </w:tc>
        <w:tc>
          <w:tcPr>
            <w:tcW w:w="1257" w:type="dxa"/>
            <w:vAlign w:val="top"/>
          </w:tcPr>
          <w:p w14:paraId="14EDCBB2">
            <w:pPr>
              <w:spacing w:before="74" w:line="218" w:lineRule="auto"/>
              <w:ind w:left="230"/>
              <w:rPr>
                <w:rFonts w:ascii="宋体" w:hAnsi="宋体" w:eastAsia="宋体" w:cs="宋体"/>
                <w:sz w:val="21"/>
                <w:szCs w:val="21"/>
              </w:rPr>
            </w:pPr>
            <w:r>
              <w:rPr>
                <w:rFonts w:ascii="宋体" w:hAnsi="宋体" w:eastAsia="宋体" w:cs="宋体"/>
                <w:spacing w:val="-10"/>
                <w:sz w:val="21"/>
                <w:szCs w:val="21"/>
              </w:rPr>
              <w:t>白腰文鸟</w:t>
            </w:r>
          </w:p>
        </w:tc>
        <w:tc>
          <w:tcPr>
            <w:tcW w:w="2394" w:type="dxa"/>
            <w:vAlign w:val="top"/>
          </w:tcPr>
          <w:p w14:paraId="400B87A5">
            <w:pPr>
              <w:pStyle w:val="6"/>
              <w:spacing w:before="106" w:line="214" w:lineRule="auto"/>
              <w:ind w:left="469"/>
            </w:pPr>
            <w:r>
              <w:rPr>
                <w:i/>
                <w:iCs/>
              </w:rPr>
              <w:t>Lonchura</w:t>
            </w:r>
            <w:r>
              <w:rPr>
                <w:i/>
                <w:iCs/>
                <w:spacing w:val="10"/>
              </w:rPr>
              <w:t xml:space="preserve"> </w:t>
            </w:r>
            <w:r>
              <w:rPr>
                <w:i/>
                <w:iCs/>
              </w:rPr>
              <w:t>striata</w:t>
            </w:r>
          </w:p>
        </w:tc>
        <w:tc>
          <w:tcPr>
            <w:tcW w:w="685" w:type="dxa"/>
            <w:vAlign w:val="top"/>
          </w:tcPr>
          <w:p w14:paraId="31545F52">
            <w:pPr>
              <w:pStyle w:val="6"/>
              <w:spacing w:before="114" w:line="183" w:lineRule="auto"/>
              <w:ind w:left="270"/>
            </w:pPr>
            <w:r>
              <w:t>R</w:t>
            </w:r>
          </w:p>
        </w:tc>
        <w:tc>
          <w:tcPr>
            <w:tcW w:w="494" w:type="dxa"/>
            <w:vAlign w:val="top"/>
          </w:tcPr>
          <w:p w14:paraId="0AF8E7BC">
            <w:pPr>
              <w:pStyle w:val="6"/>
              <w:spacing w:before="110" w:line="186" w:lineRule="auto"/>
              <w:ind w:left="175"/>
            </w:pPr>
            <w:r>
              <w:t>O</w:t>
            </w:r>
          </w:p>
        </w:tc>
        <w:tc>
          <w:tcPr>
            <w:tcW w:w="875" w:type="dxa"/>
            <w:vAlign w:val="top"/>
          </w:tcPr>
          <w:p w14:paraId="4E22C820">
            <w:pPr>
              <w:rPr>
                <w:rFonts w:ascii="Arial"/>
                <w:sz w:val="21"/>
              </w:rPr>
            </w:pPr>
          </w:p>
        </w:tc>
        <w:tc>
          <w:tcPr>
            <w:tcW w:w="874" w:type="dxa"/>
            <w:vAlign w:val="top"/>
          </w:tcPr>
          <w:p w14:paraId="3175E154">
            <w:pPr>
              <w:pStyle w:val="6"/>
              <w:spacing w:before="107" w:line="213" w:lineRule="auto"/>
              <w:ind w:left="326"/>
            </w:pPr>
            <w:r>
              <w:rPr>
                <w:spacing w:val="-1"/>
              </w:rPr>
              <w:t>++</w:t>
            </w:r>
          </w:p>
        </w:tc>
        <w:tc>
          <w:tcPr>
            <w:tcW w:w="875" w:type="dxa"/>
            <w:vAlign w:val="top"/>
          </w:tcPr>
          <w:p w14:paraId="49ABF6C1">
            <w:pPr>
              <w:pStyle w:val="6"/>
              <w:spacing w:before="110" w:line="186" w:lineRule="auto"/>
              <w:ind w:left="399"/>
            </w:pPr>
            <w:r>
              <w:t>S</w:t>
            </w:r>
          </w:p>
        </w:tc>
        <w:tc>
          <w:tcPr>
            <w:tcW w:w="508" w:type="dxa"/>
            <w:tcBorders>
              <w:right w:val="single" w:color="000000" w:sz="12" w:space="0"/>
            </w:tcBorders>
            <w:vAlign w:val="top"/>
          </w:tcPr>
          <w:p w14:paraId="39EBD234">
            <w:pPr>
              <w:rPr>
                <w:rFonts w:ascii="Arial"/>
                <w:sz w:val="21"/>
              </w:rPr>
            </w:pPr>
          </w:p>
        </w:tc>
      </w:tr>
      <w:tr w14:paraId="118E8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2E047C1F">
            <w:pPr>
              <w:pStyle w:val="6"/>
              <w:spacing w:before="108" w:line="212" w:lineRule="auto"/>
              <w:ind w:left="100"/>
            </w:pPr>
            <w:r>
              <w:rPr>
                <w:spacing w:val="-6"/>
              </w:rPr>
              <w:t>105</w:t>
            </w:r>
          </w:p>
        </w:tc>
        <w:tc>
          <w:tcPr>
            <w:tcW w:w="1257" w:type="dxa"/>
            <w:vAlign w:val="top"/>
          </w:tcPr>
          <w:p w14:paraId="1652C979">
            <w:pPr>
              <w:spacing w:before="75" w:line="217" w:lineRule="auto"/>
              <w:ind w:left="303"/>
              <w:rPr>
                <w:rFonts w:ascii="宋体" w:hAnsi="宋体" w:eastAsia="宋体" w:cs="宋体"/>
                <w:sz w:val="21"/>
                <w:szCs w:val="21"/>
              </w:rPr>
            </w:pPr>
            <w:r>
              <w:rPr>
                <w:rFonts w:ascii="宋体" w:hAnsi="宋体" w:eastAsia="宋体" w:cs="宋体"/>
                <w:spacing w:val="-2"/>
                <w:sz w:val="21"/>
                <w:szCs w:val="21"/>
              </w:rPr>
              <w:t>斑文鸟</w:t>
            </w:r>
          </w:p>
        </w:tc>
        <w:tc>
          <w:tcPr>
            <w:tcW w:w="2394" w:type="dxa"/>
            <w:vAlign w:val="top"/>
          </w:tcPr>
          <w:p w14:paraId="2952AA4E">
            <w:pPr>
              <w:pStyle w:val="6"/>
              <w:spacing w:before="108" w:line="190" w:lineRule="auto"/>
              <w:ind w:left="294"/>
            </w:pPr>
            <w:r>
              <w:rPr>
                <w:i/>
                <w:iCs/>
                <w:spacing w:val="3"/>
              </w:rPr>
              <w:t>Lonchurapunctulata</w:t>
            </w:r>
          </w:p>
        </w:tc>
        <w:tc>
          <w:tcPr>
            <w:tcW w:w="685" w:type="dxa"/>
            <w:vAlign w:val="top"/>
          </w:tcPr>
          <w:p w14:paraId="185CBF41">
            <w:pPr>
              <w:pStyle w:val="6"/>
              <w:spacing w:before="115" w:line="183" w:lineRule="auto"/>
              <w:ind w:left="270"/>
            </w:pPr>
            <w:r>
              <w:t>R</w:t>
            </w:r>
          </w:p>
        </w:tc>
        <w:tc>
          <w:tcPr>
            <w:tcW w:w="494" w:type="dxa"/>
            <w:vAlign w:val="top"/>
          </w:tcPr>
          <w:p w14:paraId="3558C963">
            <w:pPr>
              <w:pStyle w:val="6"/>
              <w:spacing w:before="112" w:line="186" w:lineRule="auto"/>
              <w:ind w:left="175"/>
            </w:pPr>
            <w:r>
              <w:t>O</w:t>
            </w:r>
          </w:p>
        </w:tc>
        <w:tc>
          <w:tcPr>
            <w:tcW w:w="875" w:type="dxa"/>
            <w:vAlign w:val="top"/>
          </w:tcPr>
          <w:p w14:paraId="17276714">
            <w:pPr>
              <w:rPr>
                <w:rFonts w:ascii="Arial"/>
                <w:sz w:val="21"/>
              </w:rPr>
            </w:pPr>
          </w:p>
        </w:tc>
        <w:tc>
          <w:tcPr>
            <w:tcW w:w="874" w:type="dxa"/>
            <w:vAlign w:val="top"/>
          </w:tcPr>
          <w:p w14:paraId="0AA5E318">
            <w:pPr>
              <w:pStyle w:val="6"/>
              <w:spacing w:before="108" w:line="212" w:lineRule="auto"/>
              <w:ind w:left="326"/>
            </w:pPr>
            <w:r>
              <w:rPr>
                <w:spacing w:val="-1"/>
              </w:rPr>
              <w:t>++</w:t>
            </w:r>
          </w:p>
        </w:tc>
        <w:tc>
          <w:tcPr>
            <w:tcW w:w="875" w:type="dxa"/>
            <w:vAlign w:val="top"/>
          </w:tcPr>
          <w:p w14:paraId="43757008">
            <w:pPr>
              <w:pStyle w:val="6"/>
              <w:spacing w:before="112" w:line="186" w:lineRule="auto"/>
              <w:ind w:left="399"/>
            </w:pPr>
            <w:r>
              <w:t>S</w:t>
            </w:r>
          </w:p>
        </w:tc>
        <w:tc>
          <w:tcPr>
            <w:tcW w:w="508" w:type="dxa"/>
            <w:tcBorders>
              <w:right w:val="single" w:color="000000" w:sz="12" w:space="0"/>
            </w:tcBorders>
            <w:vAlign w:val="top"/>
          </w:tcPr>
          <w:p w14:paraId="18974804">
            <w:pPr>
              <w:rPr>
                <w:rFonts w:ascii="Arial"/>
                <w:sz w:val="21"/>
              </w:rPr>
            </w:pPr>
          </w:p>
        </w:tc>
      </w:tr>
      <w:tr w14:paraId="516C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3B6F58D6">
            <w:pPr>
              <w:pStyle w:val="6"/>
              <w:spacing w:before="120" w:line="186" w:lineRule="auto"/>
              <w:ind w:left="68"/>
            </w:pPr>
            <w:r>
              <w:rPr>
                <w:b/>
                <w:bCs/>
                <w:spacing w:val="-2"/>
              </w:rPr>
              <w:t>F42</w:t>
            </w:r>
          </w:p>
        </w:tc>
        <w:tc>
          <w:tcPr>
            <w:tcW w:w="1257" w:type="dxa"/>
            <w:vAlign w:val="top"/>
          </w:tcPr>
          <w:p w14:paraId="4D111DC3">
            <w:pPr>
              <w:spacing w:before="81" w:line="219" w:lineRule="auto"/>
              <w:ind w:left="410"/>
              <w:rPr>
                <w:rFonts w:ascii="宋体" w:hAnsi="宋体" w:eastAsia="宋体" w:cs="宋体"/>
                <w:sz w:val="21"/>
                <w:szCs w:val="21"/>
              </w:rPr>
            </w:pPr>
            <w:r>
              <w:rPr>
                <w:rFonts w:ascii="宋体" w:hAnsi="宋体" w:eastAsia="宋体" w:cs="宋体"/>
                <w:b/>
                <w:bCs/>
                <w:spacing w:val="-5"/>
                <w:sz w:val="21"/>
                <w:szCs w:val="21"/>
              </w:rPr>
              <w:t>雀科</w:t>
            </w:r>
          </w:p>
        </w:tc>
        <w:tc>
          <w:tcPr>
            <w:tcW w:w="2394" w:type="dxa"/>
            <w:vAlign w:val="top"/>
          </w:tcPr>
          <w:p w14:paraId="4E1805CF">
            <w:pPr>
              <w:pStyle w:val="6"/>
              <w:spacing w:before="120" w:line="186" w:lineRule="auto"/>
              <w:ind w:left="713"/>
            </w:pPr>
            <w:r>
              <w:rPr>
                <w:b/>
                <w:bCs/>
                <w:spacing w:val="-1"/>
              </w:rPr>
              <w:t>Passeridae</w:t>
            </w:r>
          </w:p>
        </w:tc>
        <w:tc>
          <w:tcPr>
            <w:tcW w:w="685" w:type="dxa"/>
            <w:vAlign w:val="top"/>
          </w:tcPr>
          <w:p w14:paraId="24552A95">
            <w:pPr>
              <w:rPr>
                <w:rFonts w:ascii="Arial"/>
                <w:sz w:val="21"/>
              </w:rPr>
            </w:pPr>
          </w:p>
        </w:tc>
        <w:tc>
          <w:tcPr>
            <w:tcW w:w="494" w:type="dxa"/>
            <w:vAlign w:val="top"/>
          </w:tcPr>
          <w:p w14:paraId="45507EA9">
            <w:pPr>
              <w:rPr>
                <w:rFonts w:ascii="Arial"/>
                <w:sz w:val="21"/>
              </w:rPr>
            </w:pPr>
          </w:p>
        </w:tc>
        <w:tc>
          <w:tcPr>
            <w:tcW w:w="875" w:type="dxa"/>
            <w:vAlign w:val="top"/>
          </w:tcPr>
          <w:p w14:paraId="00CCDB28">
            <w:pPr>
              <w:rPr>
                <w:rFonts w:ascii="Arial"/>
                <w:sz w:val="21"/>
              </w:rPr>
            </w:pPr>
          </w:p>
        </w:tc>
        <w:tc>
          <w:tcPr>
            <w:tcW w:w="874" w:type="dxa"/>
            <w:vAlign w:val="top"/>
          </w:tcPr>
          <w:p w14:paraId="06CD0B19">
            <w:pPr>
              <w:rPr>
                <w:rFonts w:ascii="Arial"/>
                <w:sz w:val="21"/>
              </w:rPr>
            </w:pPr>
          </w:p>
        </w:tc>
        <w:tc>
          <w:tcPr>
            <w:tcW w:w="875" w:type="dxa"/>
            <w:vAlign w:val="top"/>
          </w:tcPr>
          <w:p w14:paraId="5D8E999B">
            <w:pPr>
              <w:rPr>
                <w:rFonts w:ascii="Arial"/>
                <w:sz w:val="21"/>
              </w:rPr>
            </w:pPr>
          </w:p>
        </w:tc>
        <w:tc>
          <w:tcPr>
            <w:tcW w:w="508" w:type="dxa"/>
            <w:tcBorders>
              <w:right w:val="single" w:color="000000" w:sz="12" w:space="0"/>
            </w:tcBorders>
            <w:vAlign w:val="top"/>
          </w:tcPr>
          <w:p w14:paraId="5D5B3E66">
            <w:pPr>
              <w:rPr>
                <w:rFonts w:ascii="Arial"/>
                <w:sz w:val="21"/>
              </w:rPr>
            </w:pPr>
          </w:p>
        </w:tc>
      </w:tr>
      <w:tr w14:paraId="1A2A8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5873D0A5">
            <w:pPr>
              <w:pStyle w:val="6"/>
              <w:spacing w:before="109" w:line="211" w:lineRule="auto"/>
              <w:ind w:left="100"/>
            </w:pPr>
            <w:r>
              <w:rPr>
                <w:spacing w:val="-6"/>
              </w:rPr>
              <w:t>106</w:t>
            </w:r>
          </w:p>
        </w:tc>
        <w:tc>
          <w:tcPr>
            <w:tcW w:w="1257" w:type="dxa"/>
            <w:vAlign w:val="top"/>
          </w:tcPr>
          <w:p w14:paraId="39FE67E9">
            <w:pPr>
              <w:spacing w:before="76" w:line="216" w:lineRule="auto"/>
              <w:ind w:left="410"/>
              <w:rPr>
                <w:rFonts w:ascii="宋体" w:hAnsi="宋体" w:eastAsia="宋体" w:cs="宋体"/>
                <w:sz w:val="21"/>
                <w:szCs w:val="21"/>
              </w:rPr>
            </w:pPr>
            <w:r>
              <w:rPr>
                <w:rFonts w:ascii="宋体" w:hAnsi="宋体" w:eastAsia="宋体" w:cs="宋体"/>
                <w:spacing w:val="-3"/>
                <w:sz w:val="21"/>
                <w:szCs w:val="21"/>
              </w:rPr>
              <w:t>麻雀</w:t>
            </w:r>
          </w:p>
        </w:tc>
        <w:tc>
          <w:tcPr>
            <w:tcW w:w="2394" w:type="dxa"/>
            <w:vAlign w:val="top"/>
          </w:tcPr>
          <w:p w14:paraId="6BB93423">
            <w:pPr>
              <w:pStyle w:val="6"/>
              <w:spacing w:before="109" w:line="211" w:lineRule="auto"/>
              <w:ind w:left="459"/>
            </w:pPr>
            <w:r>
              <w:rPr>
                <w:i/>
                <w:iCs/>
              </w:rPr>
              <w:t>Passer</w:t>
            </w:r>
            <w:r>
              <w:rPr>
                <w:i/>
                <w:iCs/>
                <w:spacing w:val="6"/>
              </w:rPr>
              <w:t xml:space="preserve"> </w:t>
            </w:r>
            <w:r>
              <w:rPr>
                <w:i/>
                <w:iCs/>
              </w:rPr>
              <w:t>montanus</w:t>
            </w:r>
          </w:p>
        </w:tc>
        <w:tc>
          <w:tcPr>
            <w:tcW w:w="685" w:type="dxa"/>
            <w:vAlign w:val="top"/>
          </w:tcPr>
          <w:p w14:paraId="06FD27C5">
            <w:pPr>
              <w:pStyle w:val="6"/>
              <w:spacing w:before="116" w:line="183" w:lineRule="auto"/>
              <w:ind w:left="270"/>
            </w:pPr>
            <w:r>
              <w:t>R</w:t>
            </w:r>
          </w:p>
        </w:tc>
        <w:tc>
          <w:tcPr>
            <w:tcW w:w="494" w:type="dxa"/>
            <w:vAlign w:val="top"/>
          </w:tcPr>
          <w:p w14:paraId="13D61B2D">
            <w:pPr>
              <w:pStyle w:val="6"/>
              <w:spacing w:before="113" w:line="186" w:lineRule="auto"/>
              <w:ind w:left="117"/>
            </w:pPr>
            <w:r>
              <w:rPr>
                <w:spacing w:val="-3"/>
              </w:rPr>
              <w:t>OP</w:t>
            </w:r>
          </w:p>
        </w:tc>
        <w:tc>
          <w:tcPr>
            <w:tcW w:w="875" w:type="dxa"/>
            <w:vAlign w:val="top"/>
          </w:tcPr>
          <w:p w14:paraId="24D66554">
            <w:pPr>
              <w:rPr>
                <w:rFonts w:ascii="Arial"/>
                <w:sz w:val="21"/>
              </w:rPr>
            </w:pPr>
          </w:p>
        </w:tc>
        <w:tc>
          <w:tcPr>
            <w:tcW w:w="874" w:type="dxa"/>
            <w:vAlign w:val="top"/>
          </w:tcPr>
          <w:p w14:paraId="47E4FFB7">
            <w:pPr>
              <w:pStyle w:val="6"/>
              <w:spacing w:before="109" w:line="211" w:lineRule="auto"/>
              <w:ind w:left="266"/>
            </w:pPr>
            <w:r>
              <w:rPr>
                <w:spacing w:val="-1"/>
              </w:rPr>
              <w:t>+++</w:t>
            </w:r>
          </w:p>
        </w:tc>
        <w:tc>
          <w:tcPr>
            <w:tcW w:w="875" w:type="dxa"/>
            <w:vAlign w:val="top"/>
          </w:tcPr>
          <w:p w14:paraId="1F184513">
            <w:pPr>
              <w:pStyle w:val="6"/>
              <w:spacing w:before="113" w:line="186" w:lineRule="auto"/>
              <w:ind w:left="399"/>
            </w:pPr>
            <w:r>
              <w:t>S</w:t>
            </w:r>
          </w:p>
        </w:tc>
        <w:tc>
          <w:tcPr>
            <w:tcW w:w="508" w:type="dxa"/>
            <w:tcBorders>
              <w:right w:val="single" w:color="000000" w:sz="12" w:space="0"/>
            </w:tcBorders>
            <w:vAlign w:val="top"/>
          </w:tcPr>
          <w:p w14:paraId="3D544767">
            <w:pPr>
              <w:rPr>
                <w:rFonts w:ascii="Arial"/>
                <w:sz w:val="21"/>
              </w:rPr>
            </w:pPr>
          </w:p>
        </w:tc>
      </w:tr>
      <w:tr w14:paraId="699F8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11" w:type="dxa"/>
            <w:tcBorders>
              <w:left w:val="single" w:color="000000" w:sz="12" w:space="0"/>
            </w:tcBorders>
            <w:vAlign w:val="top"/>
          </w:tcPr>
          <w:p w14:paraId="4479A095">
            <w:pPr>
              <w:pStyle w:val="6"/>
              <w:spacing w:before="122" w:line="186" w:lineRule="auto"/>
              <w:ind w:left="68"/>
            </w:pPr>
            <w:r>
              <w:rPr>
                <w:b/>
                <w:bCs/>
                <w:spacing w:val="-2"/>
              </w:rPr>
              <w:t>F43</w:t>
            </w:r>
          </w:p>
        </w:tc>
        <w:tc>
          <w:tcPr>
            <w:tcW w:w="1257" w:type="dxa"/>
            <w:vAlign w:val="top"/>
          </w:tcPr>
          <w:p w14:paraId="7AD05590">
            <w:pPr>
              <w:spacing w:before="83" w:line="219" w:lineRule="auto"/>
              <w:ind w:left="301"/>
              <w:rPr>
                <w:rFonts w:ascii="宋体" w:hAnsi="宋体" w:eastAsia="宋体" w:cs="宋体"/>
                <w:sz w:val="21"/>
                <w:szCs w:val="21"/>
              </w:rPr>
            </w:pPr>
            <w:r>
              <w:rPr>
                <w:rFonts w:ascii="宋体" w:hAnsi="宋体" w:eastAsia="宋体" w:cs="宋体"/>
                <w:b/>
                <w:bCs/>
                <w:spacing w:val="-4"/>
                <w:sz w:val="21"/>
                <w:szCs w:val="21"/>
              </w:rPr>
              <w:t>鹡鸰科</w:t>
            </w:r>
          </w:p>
        </w:tc>
        <w:tc>
          <w:tcPr>
            <w:tcW w:w="2394" w:type="dxa"/>
            <w:vAlign w:val="top"/>
          </w:tcPr>
          <w:p w14:paraId="351213E1">
            <w:pPr>
              <w:pStyle w:val="6"/>
              <w:spacing w:before="122" w:line="186" w:lineRule="auto"/>
              <w:ind w:left="630"/>
            </w:pPr>
            <w:r>
              <w:rPr>
                <w:b/>
                <w:bCs/>
                <w:spacing w:val="-1"/>
              </w:rPr>
              <w:t>Motacillidae</w:t>
            </w:r>
          </w:p>
        </w:tc>
        <w:tc>
          <w:tcPr>
            <w:tcW w:w="685" w:type="dxa"/>
            <w:vAlign w:val="top"/>
          </w:tcPr>
          <w:p w14:paraId="0AE9FF1E">
            <w:pPr>
              <w:rPr>
                <w:rFonts w:ascii="Arial"/>
                <w:sz w:val="21"/>
              </w:rPr>
            </w:pPr>
          </w:p>
        </w:tc>
        <w:tc>
          <w:tcPr>
            <w:tcW w:w="494" w:type="dxa"/>
            <w:vAlign w:val="top"/>
          </w:tcPr>
          <w:p w14:paraId="361BDA26">
            <w:pPr>
              <w:rPr>
                <w:rFonts w:ascii="Arial"/>
                <w:sz w:val="21"/>
              </w:rPr>
            </w:pPr>
          </w:p>
        </w:tc>
        <w:tc>
          <w:tcPr>
            <w:tcW w:w="875" w:type="dxa"/>
            <w:vAlign w:val="top"/>
          </w:tcPr>
          <w:p w14:paraId="00130732">
            <w:pPr>
              <w:rPr>
                <w:rFonts w:ascii="Arial"/>
                <w:sz w:val="21"/>
              </w:rPr>
            </w:pPr>
          </w:p>
        </w:tc>
        <w:tc>
          <w:tcPr>
            <w:tcW w:w="874" w:type="dxa"/>
            <w:vAlign w:val="top"/>
          </w:tcPr>
          <w:p w14:paraId="200BB304">
            <w:pPr>
              <w:rPr>
                <w:rFonts w:ascii="Arial"/>
                <w:sz w:val="21"/>
              </w:rPr>
            </w:pPr>
          </w:p>
        </w:tc>
        <w:tc>
          <w:tcPr>
            <w:tcW w:w="875" w:type="dxa"/>
            <w:vAlign w:val="top"/>
          </w:tcPr>
          <w:p w14:paraId="180286E3">
            <w:pPr>
              <w:rPr>
                <w:rFonts w:ascii="Arial"/>
                <w:sz w:val="21"/>
              </w:rPr>
            </w:pPr>
          </w:p>
        </w:tc>
        <w:tc>
          <w:tcPr>
            <w:tcW w:w="508" w:type="dxa"/>
            <w:tcBorders>
              <w:right w:val="single" w:color="000000" w:sz="12" w:space="0"/>
            </w:tcBorders>
            <w:vAlign w:val="top"/>
          </w:tcPr>
          <w:p w14:paraId="52971374">
            <w:pPr>
              <w:rPr>
                <w:rFonts w:ascii="Arial"/>
                <w:sz w:val="21"/>
              </w:rPr>
            </w:pPr>
          </w:p>
        </w:tc>
      </w:tr>
      <w:tr w14:paraId="560E2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B6149BF">
            <w:pPr>
              <w:pStyle w:val="6"/>
              <w:spacing w:before="111" w:line="209" w:lineRule="auto"/>
              <w:ind w:left="100"/>
            </w:pPr>
            <w:r>
              <w:rPr>
                <w:spacing w:val="-6"/>
              </w:rPr>
              <w:t>107</w:t>
            </w:r>
          </w:p>
        </w:tc>
        <w:tc>
          <w:tcPr>
            <w:tcW w:w="1257" w:type="dxa"/>
            <w:vAlign w:val="top"/>
          </w:tcPr>
          <w:p w14:paraId="6B82E580">
            <w:pPr>
              <w:spacing w:before="78" w:line="214" w:lineRule="auto"/>
              <w:ind w:left="305"/>
              <w:rPr>
                <w:rFonts w:ascii="宋体" w:hAnsi="宋体" w:eastAsia="宋体" w:cs="宋体"/>
                <w:sz w:val="21"/>
                <w:szCs w:val="21"/>
              </w:rPr>
            </w:pPr>
            <w:r>
              <w:rPr>
                <w:rFonts w:ascii="宋体" w:hAnsi="宋体" w:eastAsia="宋体" w:cs="宋体"/>
                <w:spacing w:val="-3"/>
                <w:sz w:val="21"/>
                <w:szCs w:val="21"/>
              </w:rPr>
              <w:t>灰鹡鸰</w:t>
            </w:r>
          </w:p>
        </w:tc>
        <w:tc>
          <w:tcPr>
            <w:tcW w:w="2394" w:type="dxa"/>
            <w:vAlign w:val="top"/>
          </w:tcPr>
          <w:p w14:paraId="3A2C02D8">
            <w:pPr>
              <w:pStyle w:val="6"/>
              <w:spacing w:before="111" w:line="209" w:lineRule="auto"/>
              <w:ind w:left="428"/>
            </w:pPr>
            <w:r>
              <w:rPr>
                <w:i/>
                <w:iCs/>
              </w:rPr>
              <w:t>Motacilla</w:t>
            </w:r>
            <w:r>
              <w:rPr>
                <w:i/>
                <w:iCs/>
                <w:spacing w:val="6"/>
              </w:rPr>
              <w:t xml:space="preserve"> </w:t>
            </w:r>
            <w:r>
              <w:rPr>
                <w:i/>
                <w:iCs/>
              </w:rPr>
              <w:t>cinerea</w:t>
            </w:r>
          </w:p>
        </w:tc>
        <w:tc>
          <w:tcPr>
            <w:tcW w:w="685" w:type="dxa"/>
            <w:vAlign w:val="top"/>
          </w:tcPr>
          <w:p w14:paraId="2F78229A">
            <w:pPr>
              <w:pStyle w:val="6"/>
              <w:spacing w:before="118" w:line="183" w:lineRule="auto"/>
              <w:ind w:left="240"/>
            </w:pPr>
            <w:r>
              <w:t>W</w:t>
            </w:r>
          </w:p>
        </w:tc>
        <w:tc>
          <w:tcPr>
            <w:tcW w:w="494" w:type="dxa"/>
            <w:vAlign w:val="top"/>
          </w:tcPr>
          <w:p w14:paraId="6139F7CE">
            <w:pPr>
              <w:rPr>
                <w:rFonts w:ascii="Arial"/>
                <w:sz w:val="21"/>
              </w:rPr>
            </w:pPr>
          </w:p>
        </w:tc>
        <w:tc>
          <w:tcPr>
            <w:tcW w:w="875" w:type="dxa"/>
            <w:vAlign w:val="top"/>
          </w:tcPr>
          <w:p w14:paraId="1E0AB767">
            <w:pPr>
              <w:rPr>
                <w:rFonts w:ascii="Arial"/>
                <w:sz w:val="21"/>
              </w:rPr>
            </w:pPr>
          </w:p>
        </w:tc>
        <w:tc>
          <w:tcPr>
            <w:tcW w:w="874" w:type="dxa"/>
            <w:vAlign w:val="top"/>
          </w:tcPr>
          <w:p w14:paraId="42CBF3F4">
            <w:pPr>
              <w:pStyle w:val="6"/>
              <w:spacing w:before="111" w:line="209" w:lineRule="auto"/>
              <w:ind w:left="385"/>
            </w:pPr>
            <w:r>
              <w:t>+</w:t>
            </w:r>
          </w:p>
        </w:tc>
        <w:tc>
          <w:tcPr>
            <w:tcW w:w="875" w:type="dxa"/>
            <w:vAlign w:val="top"/>
          </w:tcPr>
          <w:p w14:paraId="15B95C50">
            <w:pPr>
              <w:pStyle w:val="6"/>
              <w:spacing w:before="115" w:line="186" w:lineRule="auto"/>
              <w:ind w:left="399"/>
            </w:pPr>
            <w:r>
              <w:t>S</w:t>
            </w:r>
          </w:p>
        </w:tc>
        <w:tc>
          <w:tcPr>
            <w:tcW w:w="508" w:type="dxa"/>
            <w:tcBorders>
              <w:right w:val="single" w:color="000000" w:sz="12" w:space="0"/>
            </w:tcBorders>
            <w:vAlign w:val="top"/>
          </w:tcPr>
          <w:p w14:paraId="2F7EA6B2">
            <w:pPr>
              <w:rPr>
                <w:rFonts w:ascii="Arial"/>
                <w:sz w:val="21"/>
              </w:rPr>
            </w:pPr>
          </w:p>
        </w:tc>
      </w:tr>
      <w:tr w14:paraId="76217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33EF8EF">
            <w:pPr>
              <w:pStyle w:val="6"/>
              <w:spacing w:before="112" w:line="208" w:lineRule="auto"/>
              <w:ind w:left="100"/>
            </w:pPr>
            <w:r>
              <w:rPr>
                <w:spacing w:val="-6"/>
              </w:rPr>
              <w:t>108</w:t>
            </w:r>
          </w:p>
        </w:tc>
        <w:tc>
          <w:tcPr>
            <w:tcW w:w="1257" w:type="dxa"/>
            <w:vAlign w:val="top"/>
          </w:tcPr>
          <w:p w14:paraId="0BE8D196">
            <w:pPr>
              <w:spacing w:before="79" w:line="213" w:lineRule="auto"/>
              <w:ind w:left="334"/>
              <w:rPr>
                <w:rFonts w:ascii="宋体" w:hAnsi="宋体" w:eastAsia="宋体" w:cs="宋体"/>
                <w:sz w:val="21"/>
                <w:szCs w:val="21"/>
              </w:rPr>
            </w:pPr>
            <w:r>
              <w:rPr>
                <w:rFonts w:ascii="宋体" w:hAnsi="宋体" w:eastAsia="宋体" w:cs="宋体"/>
                <w:spacing w:val="-9"/>
                <w:sz w:val="21"/>
                <w:szCs w:val="21"/>
              </w:rPr>
              <w:t>白鹡鸰</w:t>
            </w:r>
          </w:p>
        </w:tc>
        <w:tc>
          <w:tcPr>
            <w:tcW w:w="2394" w:type="dxa"/>
            <w:vAlign w:val="top"/>
          </w:tcPr>
          <w:p w14:paraId="2F063A20">
            <w:pPr>
              <w:pStyle w:val="6"/>
              <w:spacing w:before="112" w:line="208" w:lineRule="auto"/>
              <w:ind w:left="557"/>
            </w:pPr>
            <w:r>
              <w:rPr>
                <w:i/>
                <w:iCs/>
              </w:rPr>
              <w:t>Motacilla</w:t>
            </w:r>
            <w:r>
              <w:rPr>
                <w:i/>
                <w:iCs/>
                <w:spacing w:val="8"/>
              </w:rPr>
              <w:t xml:space="preserve"> </w:t>
            </w:r>
            <w:r>
              <w:rPr>
                <w:i/>
                <w:iCs/>
              </w:rPr>
              <w:t>alba</w:t>
            </w:r>
          </w:p>
        </w:tc>
        <w:tc>
          <w:tcPr>
            <w:tcW w:w="685" w:type="dxa"/>
            <w:vAlign w:val="top"/>
          </w:tcPr>
          <w:p w14:paraId="078D9582">
            <w:pPr>
              <w:pStyle w:val="6"/>
              <w:spacing w:before="119" w:line="183" w:lineRule="auto"/>
              <w:ind w:left="270"/>
            </w:pPr>
            <w:r>
              <w:t>R</w:t>
            </w:r>
          </w:p>
        </w:tc>
        <w:tc>
          <w:tcPr>
            <w:tcW w:w="494" w:type="dxa"/>
            <w:vAlign w:val="top"/>
          </w:tcPr>
          <w:p w14:paraId="2F39C790">
            <w:pPr>
              <w:pStyle w:val="6"/>
              <w:spacing w:before="116" w:line="186" w:lineRule="auto"/>
              <w:ind w:left="117"/>
            </w:pPr>
            <w:r>
              <w:rPr>
                <w:spacing w:val="-3"/>
              </w:rPr>
              <w:t>OP</w:t>
            </w:r>
          </w:p>
        </w:tc>
        <w:tc>
          <w:tcPr>
            <w:tcW w:w="875" w:type="dxa"/>
            <w:vAlign w:val="top"/>
          </w:tcPr>
          <w:p w14:paraId="06873591">
            <w:pPr>
              <w:rPr>
                <w:rFonts w:ascii="Arial"/>
                <w:sz w:val="21"/>
              </w:rPr>
            </w:pPr>
          </w:p>
        </w:tc>
        <w:tc>
          <w:tcPr>
            <w:tcW w:w="874" w:type="dxa"/>
            <w:vAlign w:val="top"/>
          </w:tcPr>
          <w:p w14:paraId="5661C6D2">
            <w:pPr>
              <w:pStyle w:val="6"/>
              <w:spacing w:before="112" w:line="208" w:lineRule="auto"/>
              <w:ind w:left="207"/>
            </w:pPr>
            <w:r>
              <w:rPr>
                <w:spacing w:val="-1"/>
              </w:rPr>
              <w:t>++++</w:t>
            </w:r>
          </w:p>
        </w:tc>
        <w:tc>
          <w:tcPr>
            <w:tcW w:w="875" w:type="dxa"/>
            <w:vAlign w:val="top"/>
          </w:tcPr>
          <w:p w14:paraId="4B103DF7">
            <w:pPr>
              <w:pStyle w:val="6"/>
              <w:spacing w:before="116" w:line="186" w:lineRule="auto"/>
              <w:ind w:left="399"/>
            </w:pPr>
            <w:r>
              <w:t>S</w:t>
            </w:r>
          </w:p>
        </w:tc>
        <w:tc>
          <w:tcPr>
            <w:tcW w:w="508" w:type="dxa"/>
            <w:tcBorders>
              <w:right w:val="single" w:color="000000" w:sz="12" w:space="0"/>
            </w:tcBorders>
            <w:vAlign w:val="top"/>
          </w:tcPr>
          <w:p w14:paraId="4BF2BF8B">
            <w:pPr>
              <w:rPr>
                <w:rFonts w:ascii="Arial"/>
                <w:sz w:val="21"/>
              </w:rPr>
            </w:pPr>
          </w:p>
        </w:tc>
      </w:tr>
      <w:tr w14:paraId="752BF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87BE5EA">
            <w:pPr>
              <w:pStyle w:val="6"/>
              <w:spacing w:before="113" w:line="207" w:lineRule="auto"/>
              <w:ind w:left="100"/>
            </w:pPr>
            <w:r>
              <w:rPr>
                <w:spacing w:val="-6"/>
              </w:rPr>
              <w:t>109</w:t>
            </w:r>
          </w:p>
        </w:tc>
        <w:tc>
          <w:tcPr>
            <w:tcW w:w="1257" w:type="dxa"/>
            <w:vAlign w:val="top"/>
          </w:tcPr>
          <w:p w14:paraId="672517BA">
            <w:pPr>
              <w:spacing w:before="80" w:line="212" w:lineRule="auto"/>
              <w:ind w:left="409"/>
              <w:rPr>
                <w:rFonts w:ascii="宋体" w:hAnsi="宋体" w:eastAsia="宋体" w:cs="宋体"/>
                <w:sz w:val="21"/>
                <w:szCs w:val="21"/>
              </w:rPr>
            </w:pPr>
            <w:r>
              <w:rPr>
                <w:rFonts w:ascii="宋体" w:hAnsi="宋体" w:eastAsia="宋体" w:cs="宋体"/>
                <w:spacing w:val="-3"/>
                <w:sz w:val="21"/>
                <w:szCs w:val="21"/>
              </w:rPr>
              <w:t>树鹨</w:t>
            </w:r>
          </w:p>
        </w:tc>
        <w:tc>
          <w:tcPr>
            <w:tcW w:w="2394" w:type="dxa"/>
            <w:vAlign w:val="top"/>
          </w:tcPr>
          <w:p w14:paraId="34015553">
            <w:pPr>
              <w:pStyle w:val="6"/>
              <w:spacing w:before="113" w:line="190" w:lineRule="auto"/>
              <w:ind w:left="472"/>
            </w:pPr>
            <w:r>
              <w:rPr>
                <w:i/>
                <w:iCs/>
              </w:rPr>
              <w:t>Anthus</w:t>
            </w:r>
            <w:r>
              <w:rPr>
                <w:i/>
                <w:iCs/>
                <w:spacing w:val="11"/>
              </w:rPr>
              <w:t xml:space="preserve"> </w:t>
            </w:r>
            <w:r>
              <w:rPr>
                <w:i/>
                <w:iCs/>
              </w:rPr>
              <w:t>hodgsoni</w:t>
            </w:r>
          </w:p>
        </w:tc>
        <w:tc>
          <w:tcPr>
            <w:tcW w:w="685" w:type="dxa"/>
            <w:vAlign w:val="top"/>
          </w:tcPr>
          <w:p w14:paraId="411CE36B">
            <w:pPr>
              <w:pStyle w:val="6"/>
              <w:spacing w:before="120" w:line="183" w:lineRule="auto"/>
              <w:ind w:left="240"/>
            </w:pPr>
            <w:r>
              <w:t>W</w:t>
            </w:r>
          </w:p>
        </w:tc>
        <w:tc>
          <w:tcPr>
            <w:tcW w:w="494" w:type="dxa"/>
            <w:vAlign w:val="top"/>
          </w:tcPr>
          <w:p w14:paraId="28A9474F">
            <w:pPr>
              <w:rPr>
                <w:rFonts w:ascii="Arial"/>
                <w:sz w:val="21"/>
              </w:rPr>
            </w:pPr>
          </w:p>
        </w:tc>
        <w:tc>
          <w:tcPr>
            <w:tcW w:w="875" w:type="dxa"/>
            <w:vAlign w:val="top"/>
          </w:tcPr>
          <w:p w14:paraId="6A7761D3">
            <w:pPr>
              <w:rPr>
                <w:rFonts w:ascii="Arial"/>
                <w:sz w:val="21"/>
              </w:rPr>
            </w:pPr>
          </w:p>
        </w:tc>
        <w:tc>
          <w:tcPr>
            <w:tcW w:w="874" w:type="dxa"/>
            <w:vAlign w:val="top"/>
          </w:tcPr>
          <w:p w14:paraId="3692E2FD">
            <w:pPr>
              <w:pStyle w:val="6"/>
              <w:spacing w:before="113" w:line="207" w:lineRule="auto"/>
              <w:ind w:left="266"/>
            </w:pPr>
            <w:r>
              <w:rPr>
                <w:spacing w:val="-1"/>
              </w:rPr>
              <w:t>+++</w:t>
            </w:r>
          </w:p>
        </w:tc>
        <w:tc>
          <w:tcPr>
            <w:tcW w:w="875" w:type="dxa"/>
            <w:vAlign w:val="top"/>
          </w:tcPr>
          <w:p w14:paraId="28DC3166">
            <w:pPr>
              <w:pStyle w:val="6"/>
              <w:spacing w:before="117" w:line="186" w:lineRule="auto"/>
              <w:ind w:left="399"/>
            </w:pPr>
            <w:r>
              <w:t>S</w:t>
            </w:r>
          </w:p>
        </w:tc>
        <w:tc>
          <w:tcPr>
            <w:tcW w:w="508" w:type="dxa"/>
            <w:tcBorders>
              <w:right w:val="single" w:color="000000" w:sz="12" w:space="0"/>
            </w:tcBorders>
            <w:vAlign w:val="top"/>
          </w:tcPr>
          <w:p w14:paraId="086FBA9C">
            <w:pPr>
              <w:rPr>
                <w:rFonts w:ascii="Arial"/>
                <w:sz w:val="21"/>
              </w:rPr>
            </w:pPr>
          </w:p>
        </w:tc>
      </w:tr>
      <w:tr w14:paraId="6BE4F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3711A89C">
            <w:pPr>
              <w:pStyle w:val="6"/>
              <w:spacing w:before="115" w:line="206" w:lineRule="auto"/>
              <w:ind w:left="100"/>
            </w:pPr>
            <w:r>
              <w:rPr>
                <w:spacing w:val="-6"/>
              </w:rPr>
              <w:t>110</w:t>
            </w:r>
          </w:p>
        </w:tc>
        <w:tc>
          <w:tcPr>
            <w:tcW w:w="1257" w:type="dxa"/>
            <w:vAlign w:val="top"/>
          </w:tcPr>
          <w:p w14:paraId="369251D1">
            <w:pPr>
              <w:spacing w:before="81" w:line="212" w:lineRule="auto"/>
              <w:ind w:left="198"/>
              <w:rPr>
                <w:rFonts w:ascii="宋体" w:hAnsi="宋体" w:eastAsia="宋体" w:cs="宋体"/>
                <w:sz w:val="21"/>
                <w:szCs w:val="21"/>
              </w:rPr>
            </w:pPr>
            <w:r>
              <w:rPr>
                <w:rFonts w:ascii="宋体" w:hAnsi="宋体" w:eastAsia="宋体" w:cs="宋体"/>
                <w:spacing w:val="-2"/>
                <w:sz w:val="21"/>
                <w:szCs w:val="21"/>
              </w:rPr>
              <w:t>粉红胸鹨</w:t>
            </w:r>
          </w:p>
        </w:tc>
        <w:tc>
          <w:tcPr>
            <w:tcW w:w="2394" w:type="dxa"/>
            <w:vAlign w:val="top"/>
          </w:tcPr>
          <w:p w14:paraId="7EF9D177">
            <w:pPr>
              <w:pStyle w:val="6"/>
              <w:spacing w:before="114" w:line="207" w:lineRule="auto"/>
              <w:ind w:left="502"/>
            </w:pPr>
            <w:r>
              <w:rPr>
                <w:i/>
                <w:iCs/>
              </w:rPr>
              <w:t>Anthus</w:t>
            </w:r>
            <w:r>
              <w:rPr>
                <w:i/>
                <w:iCs/>
                <w:spacing w:val="11"/>
              </w:rPr>
              <w:t xml:space="preserve"> </w:t>
            </w:r>
            <w:r>
              <w:rPr>
                <w:i/>
                <w:iCs/>
              </w:rPr>
              <w:t>roseatus</w:t>
            </w:r>
          </w:p>
        </w:tc>
        <w:tc>
          <w:tcPr>
            <w:tcW w:w="685" w:type="dxa"/>
            <w:vAlign w:val="top"/>
          </w:tcPr>
          <w:p w14:paraId="30485335">
            <w:pPr>
              <w:pStyle w:val="6"/>
              <w:spacing w:before="122" w:line="183" w:lineRule="auto"/>
              <w:ind w:left="270"/>
            </w:pPr>
            <w:r>
              <w:t>R</w:t>
            </w:r>
          </w:p>
        </w:tc>
        <w:tc>
          <w:tcPr>
            <w:tcW w:w="494" w:type="dxa"/>
            <w:vAlign w:val="top"/>
          </w:tcPr>
          <w:p w14:paraId="215100CF">
            <w:pPr>
              <w:pStyle w:val="6"/>
              <w:spacing w:before="118" w:line="186" w:lineRule="auto"/>
              <w:ind w:left="117"/>
            </w:pPr>
            <w:r>
              <w:rPr>
                <w:spacing w:val="-3"/>
              </w:rPr>
              <w:t>OP</w:t>
            </w:r>
          </w:p>
        </w:tc>
        <w:tc>
          <w:tcPr>
            <w:tcW w:w="875" w:type="dxa"/>
            <w:vAlign w:val="top"/>
          </w:tcPr>
          <w:p w14:paraId="2F224785">
            <w:pPr>
              <w:rPr>
                <w:rFonts w:ascii="Arial"/>
                <w:sz w:val="21"/>
              </w:rPr>
            </w:pPr>
          </w:p>
        </w:tc>
        <w:tc>
          <w:tcPr>
            <w:tcW w:w="874" w:type="dxa"/>
            <w:vAlign w:val="top"/>
          </w:tcPr>
          <w:p w14:paraId="2740D2FC">
            <w:pPr>
              <w:pStyle w:val="6"/>
              <w:spacing w:before="115" w:line="206" w:lineRule="auto"/>
              <w:ind w:left="326"/>
            </w:pPr>
            <w:r>
              <w:rPr>
                <w:spacing w:val="-1"/>
              </w:rPr>
              <w:t>++</w:t>
            </w:r>
          </w:p>
        </w:tc>
        <w:tc>
          <w:tcPr>
            <w:tcW w:w="875" w:type="dxa"/>
            <w:vAlign w:val="top"/>
          </w:tcPr>
          <w:p w14:paraId="3EB051CA">
            <w:pPr>
              <w:pStyle w:val="6"/>
              <w:spacing w:before="118" w:line="186" w:lineRule="auto"/>
              <w:ind w:left="399"/>
            </w:pPr>
            <w:r>
              <w:t>S</w:t>
            </w:r>
          </w:p>
        </w:tc>
        <w:tc>
          <w:tcPr>
            <w:tcW w:w="508" w:type="dxa"/>
            <w:tcBorders>
              <w:right w:val="single" w:color="000000" w:sz="12" w:space="0"/>
            </w:tcBorders>
            <w:vAlign w:val="top"/>
          </w:tcPr>
          <w:p w14:paraId="5DB4ECCE">
            <w:pPr>
              <w:rPr>
                <w:rFonts w:ascii="Arial"/>
                <w:sz w:val="21"/>
              </w:rPr>
            </w:pPr>
          </w:p>
        </w:tc>
      </w:tr>
      <w:tr w14:paraId="69915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4A51B52E">
            <w:pPr>
              <w:pStyle w:val="6"/>
              <w:spacing w:before="120" w:line="186" w:lineRule="auto"/>
              <w:ind w:left="68"/>
            </w:pPr>
            <w:r>
              <w:rPr>
                <w:b/>
                <w:bCs/>
                <w:spacing w:val="-2"/>
              </w:rPr>
              <w:t>F44</w:t>
            </w:r>
          </w:p>
        </w:tc>
        <w:tc>
          <w:tcPr>
            <w:tcW w:w="1257" w:type="dxa"/>
            <w:vAlign w:val="top"/>
          </w:tcPr>
          <w:p w14:paraId="6EEF6FA2">
            <w:pPr>
              <w:spacing w:before="81" w:line="211" w:lineRule="auto"/>
              <w:ind w:left="302"/>
              <w:rPr>
                <w:rFonts w:ascii="宋体" w:hAnsi="宋体" w:eastAsia="宋体" w:cs="宋体"/>
                <w:sz w:val="21"/>
                <w:szCs w:val="21"/>
              </w:rPr>
            </w:pPr>
            <w:r>
              <w:rPr>
                <w:rFonts w:ascii="宋体" w:hAnsi="宋体" w:eastAsia="宋体" w:cs="宋体"/>
                <w:b/>
                <w:bCs/>
                <w:spacing w:val="-4"/>
                <w:sz w:val="21"/>
                <w:szCs w:val="21"/>
              </w:rPr>
              <w:t>燕雀科</w:t>
            </w:r>
          </w:p>
        </w:tc>
        <w:tc>
          <w:tcPr>
            <w:tcW w:w="2394" w:type="dxa"/>
            <w:vAlign w:val="top"/>
          </w:tcPr>
          <w:p w14:paraId="02E5706F">
            <w:pPr>
              <w:pStyle w:val="6"/>
              <w:spacing w:before="120" w:line="186" w:lineRule="auto"/>
              <w:ind w:left="665"/>
            </w:pPr>
            <w:r>
              <w:rPr>
                <w:b/>
                <w:bCs/>
                <w:spacing w:val="-1"/>
              </w:rPr>
              <w:t>Fringillidae</w:t>
            </w:r>
          </w:p>
        </w:tc>
        <w:tc>
          <w:tcPr>
            <w:tcW w:w="685" w:type="dxa"/>
            <w:vAlign w:val="top"/>
          </w:tcPr>
          <w:p w14:paraId="0EEFC70D">
            <w:pPr>
              <w:rPr>
                <w:rFonts w:ascii="Arial"/>
                <w:sz w:val="21"/>
              </w:rPr>
            </w:pPr>
          </w:p>
        </w:tc>
        <w:tc>
          <w:tcPr>
            <w:tcW w:w="494" w:type="dxa"/>
            <w:vAlign w:val="top"/>
          </w:tcPr>
          <w:p w14:paraId="1F7DBDA9">
            <w:pPr>
              <w:rPr>
                <w:rFonts w:ascii="Arial"/>
                <w:sz w:val="21"/>
              </w:rPr>
            </w:pPr>
          </w:p>
        </w:tc>
        <w:tc>
          <w:tcPr>
            <w:tcW w:w="875" w:type="dxa"/>
            <w:vAlign w:val="top"/>
          </w:tcPr>
          <w:p w14:paraId="120591EF">
            <w:pPr>
              <w:rPr>
                <w:rFonts w:ascii="Arial"/>
                <w:sz w:val="21"/>
              </w:rPr>
            </w:pPr>
          </w:p>
        </w:tc>
        <w:tc>
          <w:tcPr>
            <w:tcW w:w="874" w:type="dxa"/>
            <w:vAlign w:val="top"/>
          </w:tcPr>
          <w:p w14:paraId="198EC7E9">
            <w:pPr>
              <w:rPr>
                <w:rFonts w:ascii="Arial"/>
                <w:sz w:val="21"/>
              </w:rPr>
            </w:pPr>
          </w:p>
        </w:tc>
        <w:tc>
          <w:tcPr>
            <w:tcW w:w="875" w:type="dxa"/>
            <w:vAlign w:val="top"/>
          </w:tcPr>
          <w:p w14:paraId="0BC1A24A">
            <w:pPr>
              <w:rPr>
                <w:rFonts w:ascii="Arial"/>
                <w:sz w:val="21"/>
              </w:rPr>
            </w:pPr>
          </w:p>
        </w:tc>
        <w:tc>
          <w:tcPr>
            <w:tcW w:w="508" w:type="dxa"/>
            <w:tcBorders>
              <w:right w:val="single" w:color="000000" w:sz="12" w:space="0"/>
            </w:tcBorders>
            <w:vAlign w:val="top"/>
          </w:tcPr>
          <w:p w14:paraId="38A4EEB4">
            <w:pPr>
              <w:rPr>
                <w:rFonts w:ascii="Arial"/>
                <w:sz w:val="21"/>
              </w:rPr>
            </w:pPr>
          </w:p>
        </w:tc>
      </w:tr>
      <w:tr w14:paraId="5BA5A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10979E88">
            <w:pPr>
              <w:pStyle w:val="6"/>
              <w:spacing w:before="116" w:line="206" w:lineRule="auto"/>
              <w:ind w:left="100"/>
            </w:pPr>
            <w:r>
              <w:rPr>
                <w:spacing w:val="-6"/>
              </w:rPr>
              <w:t>111</w:t>
            </w:r>
          </w:p>
        </w:tc>
        <w:tc>
          <w:tcPr>
            <w:tcW w:w="1257" w:type="dxa"/>
            <w:vAlign w:val="top"/>
          </w:tcPr>
          <w:p w14:paraId="3C2186F4">
            <w:pPr>
              <w:spacing w:before="82" w:line="212" w:lineRule="auto"/>
              <w:ind w:left="409"/>
              <w:rPr>
                <w:rFonts w:ascii="宋体" w:hAnsi="宋体" w:eastAsia="宋体" w:cs="宋体"/>
                <w:sz w:val="21"/>
                <w:szCs w:val="21"/>
              </w:rPr>
            </w:pPr>
            <w:r>
              <w:rPr>
                <w:rFonts w:ascii="宋体" w:hAnsi="宋体" w:eastAsia="宋体" w:cs="宋体"/>
                <w:spacing w:val="-3"/>
                <w:sz w:val="21"/>
                <w:szCs w:val="21"/>
              </w:rPr>
              <w:t>燕雀</w:t>
            </w:r>
          </w:p>
        </w:tc>
        <w:tc>
          <w:tcPr>
            <w:tcW w:w="2394" w:type="dxa"/>
            <w:vAlign w:val="top"/>
          </w:tcPr>
          <w:p w14:paraId="4EBD8C3D">
            <w:pPr>
              <w:pStyle w:val="6"/>
              <w:spacing w:before="116" w:line="190" w:lineRule="auto"/>
              <w:ind w:left="191"/>
            </w:pPr>
            <w:r>
              <w:rPr>
                <w:i/>
                <w:iCs/>
              </w:rPr>
              <w:t>Fringilla</w:t>
            </w:r>
            <w:r>
              <w:rPr>
                <w:i/>
                <w:iCs/>
                <w:spacing w:val="4"/>
              </w:rPr>
              <w:t xml:space="preserve"> </w:t>
            </w:r>
            <w:r>
              <w:rPr>
                <w:i/>
                <w:iCs/>
              </w:rPr>
              <w:t>montifringilla</w:t>
            </w:r>
          </w:p>
        </w:tc>
        <w:tc>
          <w:tcPr>
            <w:tcW w:w="685" w:type="dxa"/>
            <w:vAlign w:val="top"/>
          </w:tcPr>
          <w:p w14:paraId="3040487C">
            <w:pPr>
              <w:pStyle w:val="6"/>
              <w:spacing w:before="123" w:line="183" w:lineRule="auto"/>
              <w:ind w:left="240"/>
            </w:pPr>
            <w:r>
              <w:t>W</w:t>
            </w:r>
          </w:p>
        </w:tc>
        <w:tc>
          <w:tcPr>
            <w:tcW w:w="494" w:type="dxa"/>
            <w:vAlign w:val="top"/>
          </w:tcPr>
          <w:p w14:paraId="4D476D7A">
            <w:pPr>
              <w:rPr>
                <w:rFonts w:ascii="Arial"/>
                <w:sz w:val="21"/>
              </w:rPr>
            </w:pPr>
          </w:p>
        </w:tc>
        <w:tc>
          <w:tcPr>
            <w:tcW w:w="875" w:type="dxa"/>
            <w:vAlign w:val="top"/>
          </w:tcPr>
          <w:p w14:paraId="5338AEEF">
            <w:pPr>
              <w:rPr>
                <w:rFonts w:ascii="Arial"/>
                <w:sz w:val="21"/>
              </w:rPr>
            </w:pPr>
          </w:p>
        </w:tc>
        <w:tc>
          <w:tcPr>
            <w:tcW w:w="874" w:type="dxa"/>
            <w:vAlign w:val="top"/>
          </w:tcPr>
          <w:p w14:paraId="22FD556F">
            <w:pPr>
              <w:pStyle w:val="6"/>
              <w:spacing w:before="116" w:line="206" w:lineRule="auto"/>
              <w:ind w:left="326"/>
            </w:pPr>
            <w:r>
              <w:rPr>
                <w:spacing w:val="-1"/>
              </w:rPr>
              <w:t>++</w:t>
            </w:r>
          </w:p>
        </w:tc>
        <w:tc>
          <w:tcPr>
            <w:tcW w:w="875" w:type="dxa"/>
            <w:vAlign w:val="top"/>
          </w:tcPr>
          <w:p w14:paraId="038DD069">
            <w:pPr>
              <w:pStyle w:val="6"/>
              <w:spacing w:before="120" w:line="186" w:lineRule="auto"/>
              <w:ind w:left="399"/>
            </w:pPr>
            <w:r>
              <w:t>S</w:t>
            </w:r>
          </w:p>
        </w:tc>
        <w:tc>
          <w:tcPr>
            <w:tcW w:w="508" w:type="dxa"/>
            <w:tcBorders>
              <w:right w:val="single" w:color="000000" w:sz="12" w:space="0"/>
            </w:tcBorders>
            <w:vAlign w:val="top"/>
          </w:tcPr>
          <w:p w14:paraId="4C4E3C75">
            <w:pPr>
              <w:rPr>
                <w:rFonts w:ascii="Arial"/>
                <w:sz w:val="21"/>
              </w:rPr>
            </w:pPr>
          </w:p>
        </w:tc>
      </w:tr>
      <w:tr w14:paraId="242DE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11" w:type="dxa"/>
            <w:tcBorders>
              <w:left w:val="single" w:color="000000" w:sz="12" w:space="0"/>
            </w:tcBorders>
            <w:vAlign w:val="top"/>
          </w:tcPr>
          <w:p w14:paraId="1B09AE56">
            <w:pPr>
              <w:pStyle w:val="6"/>
              <w:spacing w:before="115" w:line="205" w:lineRule="auto"/>
              <w:ind w:left="100"/>
            </w:pPr>
            <w:r>
              <w:rPr>
                <w:spacing w:val="-6"/>
              </w:rPr>
              <w:t>112</w:t>
            </w:r>
          </w:p>
        </w:tc>
        <w:tc>
          <w:tcPr>
            <w:tcW w:w="1257" w:type="dxa"/>
            <w:vAlign w:val="top"/>
          </w:tcPr>
          <w:p w14:paraId="53586A7A">
            <w:pPr>
              <w:spacing w:before="81" w:line="211" w:lineRule="auto"/>
              <w:ind w:left="99"/>
              <w:rPr>
                <w:rFonts w:ascii="宋体" w:hAnsi="宋体" w:eastAsia="宋体" w:cs="宋体"/>
                <w:sz w:val="21"/>
                <w:szCs w:val="21"/>
              </w:rPr>
            </w:pPr>
            <w:r>
              <w:rPr>
                <w:rFonts w:ascii="宋体" w:hAnsi="宋体" w:eastAsia="宋体" w:cs="宋体"/>
                <w:spacing w:val="-3"/>
                <w:sz w:val="21"/>
                <w:szCs w:val="21"/>
              </w:rPr>
              <w:t>黑头金翅雀</w:t>
            </w:r>
          </w:p>
        </w:tc>
        <w:tc>
          <w:tcPr>
            <w:tcW w:w="2394" w:type="dxa"/>
            <w:vAlign w:val="top"/>
          </w:tcPr>
          <w:p w14:paraId="361C7ECE">
            <w:pPr>
              <w:pStyle w:val="6"/>
              <w:spacing w:before="115" w:line="190" w:lineRule="auto"/>
              <w:ind w:left="491"/>
            </w:pPr>
            <w:r>
              <w:rPr>
                <w:i/>
                <w:iCs/>
                <w:spacing w:val="-1"/>
              </w:rPr>
              <w:t>Chloris ambigua</w:t>
            </w:r>
          </w:p>
        </w:tc>
        <w:tc>
          <w:tcPr>
            <w:tcW w:w="685" w:type="dxa"/>
            <w:vAlign w:val="top"/>
          </w:tcPr>
          <w:p w14:paraId="454EAE0F">
            <w:pPr>
              <w:pStyle w:val="6"/>
              <w:spacing w:before="122" w:line="183" w:lineRule="auto"/>
              <w:ind w:left="270"/>
            </w:pPr>
            <w:r>
              <w:t>R</w:t>
            </w:r>
          </w:p>
        </w:tc>
        <w:tc>
          <w:tcPr>
            <w:tcW w:w="494" w:type="dxa"/>
            <w:vAlign w:val="top"/>
          </w:tcPr>
          <w:p w14:paraId="253E8877">
            <w:pPr>
              <w:pStyle w:val="6"/>
              <w:spacing w:before="119" w:line="186" w:lineRule="auto"/>
              <w:ind w:left="175"/>
            </w:pPr>
            <w:r>
              <w:t>O</w:t>
            </w:r>
          </w:p>
        </w:tc>
        <w:tc>
          <w:tcPr>
            <w:tcW w:w="875" w:type="dxa"/>
            <w:vAlign w:val="top"/>
          </w:tcPr>
          <w:p w14:paraId="3EE3B17B">
            <w:pPr>
              <w:rPr>
                <w:rFonts w:ascii="Arial"/>
                <w:sz w:val="21"/>
              </w:rPr>
            </w:pPr>
          </w:p>
        </w:tc>
        <w:tc>
          <w:tcPr>
            <w:tcW w:w="874" w:type="dxa"/>
            <w:vAlign w:val="top"/>
          </w:tcPr>
          <w:p w14:paraId="5DDD4C8F">
            <w:pPr>
              <w:pStyle w:val="6"/>
              <w:spacing w:before="115" w:line="205" w:lineRule="auto"/>
              <w:ind w:left="266"/>
            </w:pPr>
            <w:r>
              <w:rPr>
                <w:spacing w:val="-1"/>
              </w:rPr>
              <w:t>+++</w:t>
            </w:r>
          </w:p>
        </w:tc>
        <w:tc>
          <w:tcPr>
            <w:tcW w:w="875" w:type="dxa"/>
            <w:vAlign w:val="top"/>
          </w:tcPr>
          <w:p w14:paraId="56DF1924">
            <w:pPr>
              <w:pStyle w:val="6"/>
              <w:spacing w:before="119" w:line="186" w:lineRule="auto"/>
              <w:ind w:left="399"/>
            </w:pPr>
            <w:r>
              <w:t>S</w:t>
            </w:r>
          </w:p>
        </w:tc>
        <w:tc>
          <w:tcPr>
            <w:tcW w:w="508" w:type="dxa"/>
            <w:tcBorders>
              <w:right w:val="single" w:color="000000" w:sz="12" w:space="0"/>
            </w:tcBorders>
            <w:vAlign w:val="top"/>
          </w:tcPr>
          <w:p w14:paraId="50A7D1D1">
            <w:pPr>
              <w:rPr>
                <w:rFonts w:ascii="Arial"/>
                <w:sz w:val="21"/>
              </w:rPr>
            </w:pPr>
          </w:p>
        </w:tc>
      </w:tr>
      <w:tr w14:paraId="22660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11" w:type="dxa"/>
            <w:tcBorders>
              <w:left w:val="single" w:color="000000" w:sz="12" w:space="0"/>
            </w:tcBorders>
            <w:vAlign w:val="top"/>
          </w:tcPr>
          <w:p w14:paraId="4F8DC42D">
            <w:pPr>
              <w:pStyle w:val="6"/>
              <w:spacing w:before="129" w:line="186" w:lineRule="auto"/>
              <w:ind w:left="68"/>
            </w:pPr>
            <w:r>
              <w:rPr>
                <w:b/>
                <w:bCs/>
                <w:spacing w:val="-2"/>
              </w:rPr>
              <w:t>F45</w:t>
            </w:r>
          </w:p>
        </w:tc>
        <w:tc>
          <w:tcPr>
            <w:tcW w:w="1257" w:type="dxa"/>
            <w:vAlign w:val="top"/>
          </w:tcPr>
          <w:p w14:paraId="24B60C0A">
            <w:pPr>
              <w:spacing w:before="91" w:line="214" w:lineRule="auto"/>
              <w:ind w:left="411"/>
              <w:rPr>
                <w:rFonts w:ascii="宋体" w:hAnsi="宋体" w:eastAsia="宋体" w:cs="宋体"/>
                <w:sz w:val="21"/>
                <w:szCs w:val="21"/>
              </w:rPr>
            </w:pPr>
            <w:r>
              <w:rPr>
                <w:rFonts w:ascii="宋体" w:hAnsi="宋体" w:eastAsia="宋体" w:cs="宋体"/>
                <w:b/>
                <w:bCs/>
                <w:spacing w:val="-5"/>
                <w:sz w:val="21"/>
                <w:szCs w:val="21"/>
              </w:rPr>
              <w:t>鹀科</w:t>
            </w:r>
          </w:p>
        </w:tc>
        <w:tc>
          <w:tcPr>
            <w:tcW w:w="2394" w:type="dxa"/>
            <w:vAlign w:val="top"/>
          </w:tcPr>
          <w:p w14:paraId="11B3E600">
            <w:pPr>
              <w:pStyle w:val="6"/>
              <w:spacing w:before="129" w:line="186" w:lineRule="auto"/>
              <w:ind w:left="618"/>
            </w:pPr>
            <w:r>
              <w:rPr>
                <w:b/>
                <w:bCs/>
                <w:spacing w:val="-1"/>
              </w:rPr>
              <w:t>Emberizidae</w:t>
            </w:r>
          </w:p>
        </w:tc>
        <w:tc>
          <w:tcPr>
            <w:tcW w:w="685" w:type="dxa"/>
            <w:vAlign w:val="top"/>
          </w:tcPr>
          <w:p w14:paraId="0B78C009">
            <w:pPr>
              <w:rPr>
                <w:rFonts w:ascii="Arial"/>
                <w:sz w:val="21"/>
              </w:rPr>
            </w:pPr>
          </w:p>
        </w:tc>
        <w:tc>
          <w:tcPr>
            <w:tcW w:w="494" w:type="dxa"/>
            <w:vAlign w:val="top"/>
          </w:tcPr>
          <w:p w14:paraId="0D1B1CB0">
            <w:pPr>
              <w:rPr>
                <w:rFonts w:ascii="Arial"/>
                <w:sz w:val="21"/>
              </w:rPr>
            </w:pPr>
          </w:p>
        </w:tc>
        <w:tc>
          <w:tcPr>
            <w:tcW w:w="875" w:type="dxa"/>
            <w:vAlign w:val="top"/>
          </w:tcPr>
          <w:p w14:paraId="5A5A491E">
            <w:pPr>
              <w:rPr>
                <w:rFonts w:ascii="Arial"/>
                <w:sz w:val="21"/>
              </w:rPr>
            </w:pPr>
          </w:p>
        </w:tc>
        <w:tc>
          <w:tcPr>
            <w:tcW w:w="874" w:type="dxa"/>
            <w:vAlign w:val="top"/>
          </w:tcPr>
          <w:p w14:paraId="4677421F">
            <w:pPr>
              <w:rPr>
                <w:rFonts w:ascii="Arial"/>
                <w:sz w:val="21"/>
              </w:rPr>
            </w:pPr>
          </w:p>
        </w:tc>
        <w:tc>
          <w:tcPr>
            <w:tcW w:w="875" w:type="dxa"/>
            <w:vAlign w:val="top"/>
          </w:tcPr>
          <w:p w14:paraId="6A42EAF0">
            <w:pPr>
              <w:rPr>
                <w:rFonts w:ascii="Arial"/>
                <w:sz w:val="21"/>
              </w:rPr>
            </w:pPr>
          </w:p>
        </w:tc>
        <w:tc>
          <w:tcPr>
            <w:tcW w:w="508" w:type="dxa"/>
            <w:tcBorders>
              <w:right w:val="single" w:color="000000" w:sz="12" w:space="0"/>
            </w:tcBorders>
            <w:vAlign w:val="top"/>
          </w:tcPr>
          <w:p w14:paraId="7E2FE79D">
            <w:pPr>
              <w:rPr>
                <w:rFonts w:ascii="Arial"/>
                <w:sz w:val="21"/>
              </w:rPr>
            </w:pPr>
          </w:p>
        </w:tc>
      </w:tr>
      <w:tr w14:paraId="0F94F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11" w:type="dxa"/>
            <w:tcBorders>
              <w:left w:val="single" w:color="000000" w:sz="12" w:space="0"/>
            </w:tcBorders>
            <w:vAlign w:val="top"/>
          </w:tcPr>
          <w:p w14:paraId="1F34FF43">
            <w:pPr>
              <w:pStyle w:val="6"/>
              <w:spacing w:before="118" w:line="203" w:lineRule="auto"/>
              <w:ind w:left="100"/>
            </w:pPr>
            <w:r>
              <w:rPr>
                <w:spacing w:val="-6"/>
              </w:rPr>
              <w:t>113</w:t>
            </w:r>
          </w:p>
        </w:tc>
        <w:tc>
          <w:tcPr>
            <w:tcW w:w="1257" w:type="dxa"/>
            <w:vAlign w:val="top"/>
          </w:tcPr>
          <w:p w14:paraId="59C10D82">
            <w:pPr>
              <w:spacing w:before="85" w:line="209" w:lineRule="auto"/>
              <w:ind w:left="201"/>
              <w:rPr>
                <w:rFonts w:ascii="宋体" w:hAnsi="宋体" w:eastAsia="宋体" w:cs="宋体"/>
                <w:sz w:val="21"/>
                <w:szCs w:val="21"/>
              </w:rPr>
            </w:pPr>
            <w:r>
              <w:rPr>
                <w:rFonts w:ascii="宋体" w:hAnsi="宋体" w:eastAsia="宋体" w:cs="宋体"/>
                <w:spacing w:val="-2"/>
                <w:sz w:val="21"/>
                <w:szCs w:val="21"/>
              </w:rPr>
              <w:t>灰眉岩鹀</w:t>
            </w:r>
          </w:p>
        </w:tc>
        <w:tc>
          <w:tcPr>
            <w:tcW w:w="2394" w:type="dxa"/>
            <w:vAlign w:val="top"/>
          </w:tcPr>
          <w:p w14:paraId="5669A951">
            <w:pPr>
              <w:pStyle w:val="6"/>
              <w:spacing w:before="118" w:line="190" w:lineRule="auto"/>
              <w:ind w:left="302"/>
            </w:pPr>
            <w:r>
              <w:rPr>
                <w:i/>
                <w:iCs/>
              </w:rPr>
              <w:t>Emberiza</w:t>
            </w:r>
            <w:r>
              <w:rPr>
                <w:i/>
                <w:iCs/>
                <w:spacing w:val="4"/>
              </w:rPr>
              <w:t xml:space="preserve"> </w:t>
            </w:r>
            <w:r>
              <w:rPr>
                <w:i/>
                <w:iCs/>
              </w:rPr>
              <w:t>godlewskii</w:t>
            </w:r>
          </w:p>
        </w:tc>
        <w:tc>
          <w:tcPr>
            <w:tcW w:w="685" w:type="dxa"/>
            <w:vAlign w:val="top"/>
          </w:tcPr>
          <w:p w14:paraId="4FA0247F">
            <w:pPr>
              <w:pStyle w:val="6"/>
              <w:spacing w:before="125" w:line="183" w:lineRule="auto"/>
              <w:ind w:left="270"/>
            </w:pPr>
            <w:r>
              <w:t>R</w:t>
            </w:r>
          </w:p>
        </w:tc>
        <w:tc>
          <w:tcPr>
            <w:tcW w:w="494" w:type="dxa"/>
            <w:vAlign w:val="top"/>
          </w:tcPr>
          <w:p w14:paraId="6D6711E8">
            <w:pPr>
              <w:pStyle w:val="6"/>
              <w:spacing w:before="122" w:line="186" w:lineRule="auto"/>
              <w:ind w:left="117"/>
            </w:pPr>
            <w:r>
              <w:rPr>
                <w:spacing w:val="-3"/>
              </w:rPr>
              <w:t>OP</w:t>
            </w:r>
          </w:p>
        </w:tc>
        <w:tc>
          <w:tcPr>
            <w:tcW w:w="875" w:type="dxa"/>
            <w:vAlign w:val="top"/>
          </w:tcPr>
          <w:p w14:paraId="501A6D49">
            <w:pPr>
              <w:rPr>
                <w:rFonts w:ascii="Arial"/>
                <w:sz w:val="21"/>
              </w:rPr>
            </w:pPr>
          </w:p>
        </w:tc>
        <w:tc>
          <w:tcPr>
            <w:tcW w:w="874" w:type="dxa"/>
            <w:vAlign w:val="top"/>
          </w:tcPr>
          <w:p w14:paraId="49C63110">
            <w:pPr>
              <w:pStyle w:val="6"/>
              <w:spacing w:before="118" w:line="203" w:lineRule="auto"/>
              <w:ind w:left="266"/>
            </w:pPr>
            <w:r>
              <w:rPr>
                <w:spacing w:val="-1"/>
              </w:rPr>
              <w:t>+++</w:t>
            </w:r>
          </w:p>
        </w:tc>
        <w:tc>
          <w:tcPr>
            <w:tcW w:w="875" w:type="dxa"/>
            <w:vAlign w:val="top"/>
          </w:tcPr>
          <w:p w14:paraId="47D9F33D">
            <w:pPr>
              <w:pStyle w:val="6"/>
              <w:spacing w:before="122" w:line="186" w:lineRule="auto"/>
              <w:ind w:left="399"/>
            </w:pPr>
            <w:r>
              <w:t>S</w:t>
            </w:r>
          </w:p>
        </w:tc>
        <w:tc>
          <w:tcPr>
            <w:tcW w:w="508" w:type="dxa"/>
            <w:tcBorders>
              <w:right w:val="single" w:color="000000" w:sz="12" w:space="0"/>
            </w:tcBorders>
            <w:vAlign w:val="top"/>
          </w:tcPr>
          <w:p w14:paraId="5811FD1C">
            <w:pPr>
              <w:rPr>
                <w:rFonts w:ascii="Arial"/>
                <w:sz w:val="21"/>
              </w:rPr>
            </w:pPr>
          </w:p>
        </w:tc>
      </w:tr>
      <w:tr w14:paraId="247CD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511" w:type="dxa"/>
            <w:tcBorders>
              <w:left w:val="single" w:color="000000" w:sz="12" w:space="0"/>
            </w:tcBorders>
            <w:vAlign w:val="top"/>
          </w:tcPr>
          <w:p w14:paraId="159DA60F">
            <w:pPr>
              <w:pStyle w:val="6"/>
              <w:spacing w:before="118" w:line="204" w:lineRule="auto"/>
              <w:ind w:left="100"/>
            </w:pPr>
            <w:r>
              <w:rPr>
                <w:spacing w:val="-6"/>
              </w:rPr>
              <w:t>114</w:t>
            </w:r>
          </w:p>
        </w:tc>
        <w:tc>
          <w:tcPr>
            <w:tcW w:w="1257" w:type="dxa"/>
            <w:vAlign w:val="top"/>
          </w:tcPr>
          <w:p w14:paraId="458EEDA2">
            <w:pPr>
              <w:spacing w:before="85" w:line="210" w:lineRule="auto"/>
              <w:ind w:left="415"/>
              <w:rPr>
                <w:rFonts w:ascii="宋体" w:hAnsi="宋体" w:eastAsia="宋体" w:cs="宋体"/>
                <w:sz w:val="21"/>
                <w:szCs w:val="21"/>
              </w:rPr>
            </w:pPr>
            <w:r>
              <w:rPr>
                <w:rFonts w:ascii="宋体" w:hAnsi="宋体" w:eastAsia="宋体" w:cs="宋体"/>
                <w:spacing w:val="-4"/>
                <w:sz w:val="21"/>
                <w:szCs w:val="21"/>
              </w:rPr>
              <w:t>小鹀</w:t>
            </w:r>
          </w:p>
        </w:tc>
        <w:tc>
          <w:tcPr>
            <w:tcW w:w="2394" w:type="dxa"/>
            <w:vAlign w:val="top"/>
          </w:tcPr>
          <w:p w14:paraId="5F0DFA60">
            <w:pPr>
              <w:pStyle w:val="6"/>
              <w:spacing w:before="119" w:line="190" w:lineRule="auto"/>
              <w:ind w:left="467"/>
            </w:pPr>
            <w:r>
              <w:rPr>
                <w:i/>
                <w:iCs/>
                <w:spacing w:val="4"/>
              </w:rPr>
              <w:t>Emberizapusilla</w:t>
            </w:r>
          </w:p>
        </w:tc>
        <w:tc>
          <w:tcPr>
            <w:tcW w:w="685" w:type="dxa"/>
            <w:vAlign w:val="top"/>
          </w:tcPr>
          <w:p w14:paraId="54F6D046">
            <w:pPr>
              <w:pStyle w:val="6"/>
              <w:spacing w:before="125" w:line="183" w:lineRule="auto"/>
              <w:ind w:left="240"/>
            </w:pPr>
            <w:r>
              <w:t>W</w:t>
            </w:r>
          </w:p>
        </w:tc>
        <w:tc>
          <w:tcPr>
            <w:tcW w:w="494" w:type="dxa"/>
            <w:vAlign w:val="top"/>
          </w:tcPr>
          <w:p w14:paraId="7DA70D39">
            <w:pPr>
              <w:rPr>
                <w:rFonts w:ascii="Arial"/>
                <w:sz w:val="21"/>
              </w:rPr>
            </w:pPr>
          </w:p>
        </w:tc>
        <w:tc>
          <w:tcPr>
            <w:tcW w:w="875" w:type="dxa"/>
            <w:vAlign w:val="top"/>
          </w:tcPr>
          <w:p w14:paraId="75D8D6A0">
            <w:pPr>
              <w:rPr>
                <w:rFonts w:ascii="Arial"/>
                <w:sz w:val="21"/>
              </w:rPr>
            </w:pPr>
          </w:p>
        </w:tc>
        <w:tc>
          <w:tcPr>
            <w:tcW w:w="874" w:type="dxa"/>
            <w:vAlign w:val="top"/>
          </w:tcPr>
          <w:p w14:paraId="30B5287D">
            <w:pPr>
              <w:pStyle w:val="6"/>
              <w:spacing w:before="118" w:line="204" w:lineRule="auto"/>
              <w:ind w:left="266"/>
            </w:pPr>
            <w:r>
              <w:rPr>
                <w:spacing w:val="-1"/>
              </w:rPr>
              <w:t>+++</w:t>
            </w:r>
          </w:p>
        </w:tc>
        <w:tc>
          <w:tcPr>
            <w:tcW w:w="875" w:type="dxa"/>
            <w:vAlign w:val="top"/>
          </w:tcPr>
          <w:p w14:paraId="318B572A">
            <w:pPr>
              <w:pStyle w:val="6"/>
              <w:spacing w:before="122" w:line="186" w:lineRule="auto"/>
              <w:ind w:left="399"/>
            </w:pPr>
            <w:r>
              <w:t>S</w:t>
            </w:r>
          </w:p>
        </w:tc>
        <w:tc>
          <w:tcPr>
            <w:tcW w:w="508" w:type="dxa"/>
            <w:tcBorders>
              <w:right w:val="single" w:color="000000" w:sz="12" w:space="0"/>
            </w:tcBorders>
            <w:vAlign w:val="top"/>
          </w:tcPr>
          <w:p w14:paraId="716AC109">
            <w:pPr>
              <w:rPr>
                <w:rFonts w:ascii="Arial"/>
                <w:sz w:val="21"/>
              </w:rPr>
            </w:pPr>
          </w:p>
        </w:tc>
      </w:tr>
      <w:tr w14:paraId="70C00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11" w:type="dxa"/>
            <w:tcBorders>
              <w:left w:val="single" w:color="000000" w:sz="12" w:space="0"/>
              <w:bottom w:val="single" w:color="000000" w:sz="12" w:space="0"/>
            </w:tcBorders>
            <w:vAlign w:val="top"/>
          </w:tcPr>
          <w:p w14:paraId="33C4A4E1">
            <w:pPr>
              <w:pStyle w:val="6"/>
              <w:spacing w:before="118" w:line="225" w:lineRule="auto"/>
              <w:ind w:left="100"/>
            </w:pPr>
            <w:r>
              <w:rPr>
                <w:spacing w:val="-6"/>
              </w:rPr>
              <w:t>115</w:t>
            </w:r>
          </w:p>
        </w:tc>
        <w:tc>
          <w:tcPr>
            <w:tcW w:w="1257" w:type="dxa"/>
            <w:tcBorders>
              <w:bottom w:val="single" w:color="000000" w:sz="12" w:space="0"/>
            </w:tcBorders>
            <w:vAlign w:val="top"/>
          </w:tcPr>
          <w:p w14:paraId="52F00CA0">
            <w:pPr>
              <w:spacing w:before="84" w:line="220" w:lineRule="auto"/>
              <w:ind w:left="303"/>
              <w:rPr>
                <w:rFonts w:ascii="宋体" w:hAnsi="宋体" w:eastAsia="宋体" w:cs="宋体"/>
                <w:sz w:val="21"/>
                <w:szCs w:val="21"/>
              </w:rPr>
            </w:pPr>
            <w:r>
              <w:rPr>
                <w:rFonts w:ascii="宋体" w:hAnsi="宋体" w:eastAsia="宋体" w:cs="宋体"/>
                <w:spacing w:val="-2"/>
                <w:sz w:val="21"/>
                <w:szCs w:val="21"/>
              </w:rPr>
              <w:t>黄喉鹀</w:t>
            </w:r>
          </w:p>
        </w:tc>
        <w:tc>
          <w:tcPr>
            <w:tcW w:w="2394" w:type="dxa"/>
            <w:tcBorders>
              <w:bottom w:val="single" w:color="000000" w:sz="12" w:space="0"/>
            </w:tcBorders>
            <w:vAlign w:val="top"/>
          </w:tcPr>
          <w:p w14:paraId="5DAB950E">
            <w:pPr>
              <w:pStyle w:val="6"/>
              <w:spacing w:before="118" w:line="190" w:lineRule="auto"/>
              <w:ind w:left="431"/>
            </w:pPr>
            <w:r>
              <w:rPr>
                <w:i/>
                <w:iCs/>
              </w:rPr>
              <w:t>Emberiza</w:t>
            </w:r>
            <w:r>
              <w:rPr>
                <w:i/>
                <w:iCs/>
                <w:spacing w:val="5"/>
              </w:rPr>
              <w:t xml:space="preserve"> </w:t>
            </w:r>
            <w:r>
              <w:rPr>
                <w:i/>
                <w:iCs/>
              </w:rPr>
              <w:t>elegans</w:t>
            </w:r>
          </w:p>
        </w:tc>
        <w:tc>
          <w:tcPr>
            <w:tcW w:w="685" w:type="dxa"/>
            <w:tcBorders>
              <w:bottom w:val="single" w:color="000000" w:sz="12" w:space="0"/>
            </w:tcBorders>
            <w:vAlign w:val="top"/>
          </w:tcPr>
          <w:p w14:paraId="536F1C83">
            <w:pPr>
              <w:pStyle w:val="6"/>
              <w:spacing w:before="125" w:line="183" w:lineRule="auto"/>
              <w:ind w:left="270"/>
            </w:pPr>
            <w:r>
              <w:t>R</w:t>
            </w:r>
          </w:p>
        </w:tc>
        <w:tc>
          <w:tcPr>
            <w:tcW w:w="494" w:type="dxa"/>
            <w:tcBorders>
              <w:bottom w:val="single" w:color="000000" w:sz="12" w:space="0"/>
            </w:tcBorders>
            <w:vAlign w:val="top"/>
          </w:tcPr>
          <w:p w14:paraId="7D9F4357">
            <w:pPr>
              <w:pStyle w:val="6"/>
              <w:spacing w:before="121" w:line="186" w:lineRule="auto"/>
              <w:ind w:left="117"/>
            </w:pPr>
            <w:r>
              <w:rPr>
                <w:spacing w:val="-3"/>
              </w:rPr>
              <w:t>OP</w:t>
            </w:r>
          </w:p>
        </w:tc>
        <w:tc>
          <w:tcPr>
            <w:tcW w:w="875" w:type="dxa"/>
            <w:tcBorders>
              <w:bottom w:val="single" w:color="000000" w:sz="12" w:space="0"/>
            </w:tcBorders>
            <w:vAlign w:val="top"/>
          </w:tcPr>
          <w:p w14:paraId="36F48D3C">
            <w:pPr>
              <w:rPr>
                <w:rFonts w:ascii="Arial"/>
                <w:sz w:val="21"/>
              </w:rPr>
            </w:pPr>
          </w:p>
        </w:tc>
        <w:tc>
          <w:tcPr>
            <w:tcW w:w="874" w:type="dxa"/>
            <w:tcBorders>
              <w:bottom w:val="single" w:color="000000" w:sz="12" w:space="0"/>
            </w:tcBorders>
            <w:vAlign w:val="top"/>
          </w:tcPr>
          <w:p w14:paraId="5FB2731F">
            <w:pPr>
              <w:pStyle w:val="6"/>
              <w:spacing w:before="118" w:line="225" w:lineRule="auto"/>
              <w:ind w:left="326"/>
            </w:pPr>
            <w:r>
              <w:rPr>
                <w:spacing w:val="-1"/>
              </w:rPr>
              <w:t>++</w:t>
            </w:r>
          </w:p>
        </w:tc>
        <w:tc>
          <w:tcPr>
            <w:tcW w:w="875" w:type="dxa"/>
            <w:tcBorders>
              <w:bottom w:val="single" w:color="000000" w:sz="12" w:space="0"/>
            </w:tcBorders>
            <w:vAlign w:val="top"/>
          </w:tcPr>
          <w:p w14:paraId="16D8F752">
            <w:pPr>
              <w:pStyle w:val="6"/>
              <w:spacing w:before="121" w:line="186" w:lineRule="auto"/>
              <w:ind w:left="381"/>
            </w:pPr>
            <w:r>
              <w:t>C</w:t>
            </w:r>
          </w:p>
        </w:tc>
        <w:tc>
          <w:tcPr>
            <w:tcW w:w="508" w:type="dxa"/>
            <w:tcBorders>
              <w:bottom w:val="single" w:color="000000" w:sz="12" w:space="0"/>
              <w:right w:val="single" w:color="000000" w:sz="12" w:space="0"/>
            </w:tcBorders>
            <w:vAlign w:val="top"/>
          </w:tcPr>
          <w:p w14:paraId="47A2DB2D">
            <w:pPr>
              <w:rPr>
                <w:rFonts w:ascii="Arial"/>
                <w:sz w:val="21"/>
              </w:rPr>
            </w:pPr>
          </w:p>
        </w:tc>
      </w:tr>
    </w:tbl>
    <w:p w14:paraId="35C81E73">
      <w:pPr>
        <w:rPr>
          <w:rFonts w:ascii="Arial"/>
          <w:sz w:val="21"/>
        </w:rPr>
      </w:pPr>
    </w:p>
    <w:p w14:paraId="71A24E53">
      <w:pPr>
        <w:rPr>
          <w:rFonts w:ascii="Arial" w:hAnsi="Arial" w:eastAsia="Arial" w:cs="Arial"/>
          <w:sz w:val="21"/>
          <w:szCs w:val="21"/>
        </w:rPr>
        <w:sectPr>
          <w:footerReference r:id="rId299" w:type="default"/>
          <w:pgSz w:w="11907" w:h="16839"/>
          <w:pgMar w:top="1376" w:right="1669" w:bottom="1061" w:left="1671" w:header="999" w:footer="861" w:gutter="0"/>
          <w:cols w:space="720" w:num="1"/>
        </w:sectPr>
      </w:pPr>
    </w:p>
    <w:p w14:paraId="23C5CCAE">
      <w:pPr>
        <w:spacing w:line="245" w:lineRule="auto"/>
        <w:rPr>
          <w:rFonts w:ascii="Arial"/>
          <w:sz w:val="21"/>
        </w:rPr>
      </w:pPr>
    </w:p>
    <w:p w14:paraId="5FC497F0">
      <w:pPr>
        <w:spacing w:line="245" w:lineRule="auto"/>
        <w:rPr>
          <w:rFonts w:ascii="Arial"/>
          <w:sz w:val="21"/>
        </w:rPr>
      </w:pPr>
    </w:p>
    <w:p w14:paraId="33B38671">
      <w:pPr>
        <w:pStyle w:val="2"/>
        <w:spacing w:before="68" w:line="231" w:lineRule="auto"/>
        <w:ind w:left="458"/>
        <w:rPr>
          <w:sz w:val="21"/>
          <w:szCs w:val="21"/>
        </w:rPr>
      </w:pPr>
      <w:r>
        <w:rPr>
          <w:spacing w:val="-12"/>
          <w:sz w:val="21"/>
          <w:szCs w:val="21"/>
        </w:rPr>
        <w:t>注：①本名录根据《中国鸟类分类与分布名录（第三</w:t>
      </w:r>
      <w:r>
        <w:rPr>
          <w:spacing w:val="-13"/>
          <w:sz w:val="21"/>
          <w:szCs w:val="21"/>
        </w:rPr>
        <w:t>版）》（</w:t>
      </w:r>
      <w:r>
        <w:rPr>
          <w:rFonts w:ascii="Times New Roman" w:hAnsi="Times New Roman" w:eastAsia="Times New Roman" w:cs="Times New Roman"/>
          <w:spacing w:val="-13"/>
          <w:sz w:val="21"/>
          <w:szCs w:val="21"/>
        </w:rPr>
        <w:t>2017</w:t>
      </w:r>
      <w:r>
        <w:rPr>
          <w:spacing w:val="-13"/>
          <w:sz w:val="21"/>
          <w:szCs w:val="21"/>
        </w:rPr>
        <w:t>）的分类和排序进行编目；</w:t>
      </w:r>
    </w:p>
    <w:p w14:paraId="27C06820">
      <w:pPr>
        <w:pStyle w:val="2"/>
        <w:spacing w:before="177" w:line="231" w:lineRule="auto"/>
        <w:ind w:left="36"/>
        <w:rPr>
          <w:sz w:val="21"/>
          <w:szCs w:val="21"/>
        </w:rPr>
      </w:pPr>
      <w:r>
        <w:rPr>
          <w:spacing w:val="-6"/>
          <w:sz w:val="21"/>
          <w:szCs w:val="21"/>
        </w:rPr>
        <w:t>②序号：</w:t>
      </w:r>
      <w:r>
        <w:rPr>
          <w:rFonts w:ascii="Times New Roman" w:hAnsi="Times New Roman" w:eastAsia="Times New Roman" w:cs="Times New Roman"/>
          <w:spacing w:val="-6"/>
          <w:sz w:val="21"/>
          <w:szCs w:val="21"/>
        </w:rPr>
        <w:t>O1</w:t>
      </w:r>
      <w:r>
        <w:rPr>
          <w:rFonts w:ascii="Times New Roman" w:hAnsi="Times New Roman" w:eastAsia="Times New Roman" w:cs="Times New Roman"/>
          <w:spacing w:val="-12"/>
          <w:sz w:val="21"/>
          <w:szCs w:val="21"/>
        </w:rPr>
        <w:t xml:space="preserve"> </w:t>
      </w:r>
      <w:r>
        <w:rPr>
          <w:spacing w:val="-6"/>
          <w:sz w:val="21"/>
          <w:szCs w:val="21"/>
        </w:rPr>
        <w:t>、</w:t>
      </w:r>
      <w:r>
        <w:rPr>
          <w:rFonts w:ascii="Times New Roman" w:hAnsi="Times New Roman" w:eastAsia="Times New Roman" w:cs="Times New Roman"/>
          <w:spacing w:val="-6"/>
          <w:sz w:val="21"/>
          <w:szCs w:val="21"/>
        </w:rPr>
        <w:t>O2</w:t>
      </w:r>
      <w:r>
        <w:rPr>
          <w:rFonts w:ascii="Times New Roman" w:hAnsi="Times New Roman" w:eastAsia="Times New Roman" w:cs="Times New Roman"/>
          <w:spacing w:val="-29"/>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4"/>
          <w:sz w:val="21"/>
          <w:szCs w:val="21"/>
        </w:rPr>
        <w:t xml:space="preserve"> </w:t>
      </w:r>
      <w:r>
        <w:rPr>
          <w:spacing w:val="-6"/>
          <w:sz w:val="21"/>
          <w:szCs w:val="21"/>
        </w:rPr>
        <w:t>：目的编号；</w:t>
      </w:r>
      <w:r>
        <w:rPr>
          <w:rFonts w:ascii="Times New Roman" w:hAnsi="Times New Roman" w:eastAsia="Times New Roman" w:cs="Times New Roman"/>
          <w:spacing w:val="-6"/>
          <w:sz w:val="21"/>
          <w:szCs w:val="21"/>
        </w:rPr>
        <w:t>F1</w:t>
      </w:r>
      <w:r>
        <w:rPr>
          <w:spacing w:val="-6"/>
          <w:sz w:val="21"/>
          <w:szCs w:val="21"/>
        </w:rPr>
        <w:t>、</w:t>
      </w:r>
      <w:r>
        <w:rPr>
          <w:rFonts w:ascii="Times New Roman" w:hAnsi="Times New Roman" w:eastAsia="Times New Roman" w:cs="Times New Roman"/>
          <w:spacing w:val="-6"/>
          <w:sz w:val="21"/>
          <w:szCs w:val="21"/>
        </w:rPr>
        <w:t>F2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5"/>
          <w:sz w:val="21"/>
          <w:szCs w:val="21"/>
        </w:rPr>
        <w:t xml:space="preserve"> </w:t>
      </w:r>
      <w:r>
        <w:rPr>
          <w:spacing w:val="-6"/>
          <w:sz w:val="21"/>
          <w:szCs w:val="21"/>
        </w:rPr>
        <w:t>：科的编号；</w:t>
      </w:r>
      <w:r>
        <w:rPr>
          <w:rFonts w:ascii="Times New Roman" w:hAnsi="Times New Roman" w:eastAsia="Times New Roman" w:cs="Times New Roman"/>
          <w:spacing w:val="-6"/>
          <w:sz w:val="21"/>
          <w:szCs w:val="21"/>
        </w:rPr>
        <w:t>1</w:t>
      </w:r>
      <w:r>
        <w:rPr>
          <w:spacing w:val="-6"/>
          <w:sz w:val="21"/>
          <w:szCs w:val="21"/>
        </w:rPr>
        <w:t>、</w:t>
      </w:r>
      <w:r>
        <w:rPr>
          <w:rFonts w:ascii="Times New Roman" w:hAnsi="Times New Roman" w:eastAsia="Times New Roman" w:cs="Times New Roman"/>
          <w:spacing w:val="-6"/>
          <w:sz w:val="21"/>
          <w:szCs w:val="21"/>
        </w:rPr>
        <w:t>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4"/>
          <w:sz w:val="21"/>
          <w:szCs w:val="21"/>
        </w:rPr>
        <w:t xml:space="preserve"> </w:t>
      </w:r>
      <w:r>
        <w:rPr>
          <w:spacing w:val="-6"/>
          <w:sz w:val="21"/>
          <w:szCs w:val="21"/>
        </w:rPr>
        <w:t>：种的编号；③居留型：</w:t>
      </w:r>
      <w:r>
        <w:rPr>
          <w:rFonts w:ascii="Times New Roman" w:hAnsi="Times New Roman" w:eastAsia="Times New Roman" w:cs="Times New Roman"/>
          <w:spacing w:val="-6"/>
          <w:sz w:val="21"/>
          <w:szCs w:val="21"/>
        </w:rPr>
        <w:t>R</w:t>
      </w:r>
      <w:r>
        <w:rPr>
          <w:spacing w:val="-6"/>
          <w:sz w:val="21"/>
          <w:szCs w:val="21"/>
        </w:rPr>
        <w:t>：留</w:t>
      </w:r>
    </w:p>
    <w:p w14:paraId="3F360C47">
      <w:pPr>
        <w:pStyle w:val="2"/>
        <w:spacing w:before="175" w:line="385" w:lineRule="auto"/>
        <w:ind w:left="33" w:firstLine="8"/>
        <w:rPr>
          <w:sz w:val="21"/>
          <w:szCs w:val="21"/>
        </w:rPr>
      </w:pPr>
      <w:r>
        <w:rPr>
          <w:spacing w:val="-9"/>
          <w:sz w:val="21"/>
          <w:szCs w:val="21"/>
        </w:rPr>
        <w:t>鸟；</w:t>
      </w:r>
      <w:r>
        <w:rPr>
          <w:rFonts w:ascii="Times New Roman" w:hAnsi="Times New Roman" w:eastAsia="Times New Roman" w:cs="Times New Roman"/>
          <w:spacing w:val="-9"/>
          <w:sz w:val="21"/>
          <w:szCs w:val="21"/>
        </w:rPr>
        <w:t>W</w:t>
      </w:r>
      <w:r>
        <w:rPr>
          <w:spacing w:val="-9"/>
          <w:sz w:val="21"/>
          <w:szCs w:val="21"/>
        </w:rPr>
        <w:t>：冬候鸟；</w:t>
      </w:r>
      <w:r>
        <w:rPr>
          <w:rFonts w:ascii="Times New Roman" w:hAnsi="Times New Roman" w:eastAsia="Times New Roman" w:cs="Times New Roman"/>
          <w:spacing w:val="-9"/>
          <w:sz w:val="21"/>
          <w:szCs w:val="21"/>
        </w:rPr>
        <w:t>S</w:t>
      </w:r>
      <w:r>
        <w:rPr>
          <w:spacing w:val="-9"/>
          <w:sz w:val="21"/>
          <w:szCs w:val="21"/>
        </w:rPr>
        <w:t>：夏候鸟；</w:t>
      </w:r>
      <w:r>
        <w:rPr>
          <w:rFonts w:ascii="Times New Roman" w:hAnsi="Times New Roman" w:eastAsia="Times New Roman" w:cs="Times New Roman"/>
          <w:spacing w:val="-9"/>
          <w:sz w:val="21"/>
          <w:szCs w:val="21"/>
        </w:rPr>
        <w:t>P</w:t>
      </w:r>
      <w:r>
        <w:rPr>
          <w:spacing w:val="-9"/>
          <w:sz w:val="21"/>
          <w:szCs w:val="21"/>
        </w:rPr>
        <w:t>：旅鸟；</w:t>
      </w:r>
      <w:r>
        <w:rPr>
          <w:rFonts w:ascii="Times New Roman" w:hAnsi="Times New Roman" w:eastAsia="Times New Roman" w:cs="Times New Roman"/>
          <w:spacing w:val="-9"/>
          <w:sz w:val="21"/>
          <w:szCs w:val="21"/>
        </w:rPr>
        <w:t>V</w:t>
      </w:r>
      <w:r>
        <w:rPr>
          <w:spacing w:val="-9"/>
          <w:sz w:val="21"/>
          <w:szCs w:val="21"/>
        </w:rPr>
        <w:t>：迷鸟；④区系从属：</w:t>
      </w:r>
      <w:r>
        <w:rPr>
          <w:rFonts w:ascii="Times New Roman" w:hAnsi="Times New Roman" w:eastAsia="Times New Roman" w:cs="Times New Roman"/>
          <w:spacing w:val="-9"/>
          <w:sz w:val="21"/>
          <w:szCs w:val="21"/>
        </w:rPr>
        <w:t>O</w:t>
      </w:r>
      <w:r>
        <w:rPr>
          <w:spacing w:val="-9"/>
          <w:sz w:val="21"/>
          <w:szCs w:val="21"/>
        </w:rPr>
        <w:t>：东洋种；</w:t>
      </w:r>
      <w:r>
        <w:rPr>
          <w:rFonts w:ascii="Times New Roman" w:hAnsi="Times New Roman" w:eastAsia="Times New Roman" w:cs="Times New Roman"/>
          <w:spacing w:val="-9"/>
          <w:sz w:val="21"/>
          <w:szCs w:val="21"/>
        </w:rPr>
        <w:t>P</w:t>
      </w:r>
      <w:r>
        <w:rPr>
          <w:spacing w:val="-9"/>
          <w:sz w:val="21"/>
          <w:szCs w:val="21"/>
        </w:rPr>
        <w:t>：古北种；</w:t>
      </w:r>
      <w:r>
        <w:rPr>
          <w:rFonts w:ascii="Times New Roman" w:hAnsi="Times New Roman" w:eastAsia="Times New Roman" w:cs="Times New Roman"/>
          <w:spacing w:val="-9"/>
          <w:sz w:val="21"/>
          <w:szCs w:val="21"/>
        </w:rPr>
        <w:t>OP</w:t>
      </w:r>
      <w:r>
        <w:rPr>
          <w:spacing w:val="-9"/>
          <w:sz w:val="21"/>
          <w:szCs w:val="21"/>
        </w:rPr>
        <w:t>：广布种；⑤保护情况：</w:t>
      </w:r>
      <w:r>
        <w:rPr>
          <w:rFonts w:ascii="Times New Roman" w:hAnsi="Times New Roman" w:eastAsia="Times New Roman" w:cs="Times New Roman"/>
          <w:spacing w:val="-9"/>
          <w:sz w:val="21"/>
          <w:szCs w:val="21"/>
        </w:rPr>
        <w:t>Ⅰ</w:t>
      </w:r>
      <w:r>
        <w:rPr>
          <w:spacing w:val="-9"/>
          <w:sz w:val="21"/>
          <w:szCs w:val="21"/>
        </w:rPr>
        <w:t>级：国家</w:t>
      </w:r>
      <w:r>
        <w:rPr>
          <w:rFonts w:ascii="Times New Roman" w:hAnsi="Times New Roman" w:eastAsia="Times New Roman" w:cs="Times New Roman"/>
          <w:spacing w:val="-9"/>
          <w:sz w:val="21"/>
          <w:szCs w:val="21"/>
        </w:rPr>
        <w:t>Ⅰ</w:t>
      </w:r>
      <w:r>
        <w:rPr>
          <w:spacing w:val="-9"/>
          <w:sz w:val="21"/>
          <w:szCs w:val="21"/>
        </w:rPr>
        <w:t>级重点保护野生动物；</w:t>
      </w:r>
      <w:r>
        <w:rPr>
          <w:rFonts w:ascii="Times New Roman" w:hAnsi="Times New Roman" w:eastAsia="Times New Roman" w:cs="Times New Roman"/>
          <w:spacing w:val="-9"/>
          <w:sz w:val="21"/>
          <w:szCs w:val="21"/>
        </w:rPr>
        <w:t>Ⅱ</w:t>
      </w:r>
      <w:r>
        <w:rPr>
          <w:spacing w:val="-9"/>
          <w:sz w:val="21"/>
          <w:szCs w:val="21"/>
        </w:rPr>
        <w:t>级：国家</w:t>
      </w:r>
      <w:r>
        <w:rPr>
          <w:rFonts w:ascii="Times New Roman" w:hAnsi="Times New Roman" w:eastAsia="Times New Roman" w:cs="Times New Roman"/>
          <w:spacing w:val="-9"/>
          <w:sz w:val="21"/>
          <w:szCs w:val="21"/>
        </w:rPr>
        <w:t>Ⅱ</w:t>
      </w:r>
      <w:r>
        <w:rPr>
          <w:spacing w:val="-9"/>
          <w:sz w:val="21"/>
          <w:szCs w:val="21"/>
        </w:rPr>
        <w:t>级重点保护野生动物；</w:t>
      </w:r>
      <w:r>
        <w:rPr>
          <w:rFonts w:ascii="Times New Roman" w:hAnsi="Times New Roman" w:eastAsia="Times New Roman" w:cs="Times New Roman"/>
          <w:spacing w:val="-9"/>
          <w:sz w:val="21"/>
          <w:szCs w:val="21"/>
        </w:rPr>
        <w:t>Y</w:t>
      </w:r>
      <w:r>
        <w:rPr>
          <w:rFonts w:ascii="Times New Roman" w:hAnsi="Times New Roman" w:eastAsia="Times New Roman" w:cs="Times New Roman"/>
          <w:spacing w:val="-10"/>
          <w:sz w:val="21"/>
          <w:szCs w:val="21"/>
        </w:rPr>
        <w:t>N</w:t>
      </w:r>
      <w:r>
        <w:rPr>
          <w:spacing w:val="-10"/>
          <w:sz w:val="21"/>
          <w:szCs w:val="21"/>
        </w:rPr>
        <w:t>：</w:t>
      </w:r>
      <w:r>
        <w:rPr>
          <w:spacing w:val="-4"/>
          <w:sz w:val="21"/>
          <w:szCs w:val="21"/>
        </w:rPr>
        <w:t>云南省省级保护野生动物。</w:t>
      </w:r>
      <w:r>
        <w:rPr>
          <w:rFonts w:ascii="Times New Roman" w:hAnsi="Times New Roman" w:eastAsia="Times New Roman" w:cs="Times New Roman"/>
          <w:spacing w:val="-4"/>
          <w:sz w:val="21"/>
          <w:szCs w:val="21"/>
        </w:rPr>
        <w:t>Ⅰ</w:t>
      </w:r>
      <w:r>
        <w:rPr>
          <w:spacing w:val="-4"/>
          <w:sz w:val="21"/>
          <w:szCs w:val="21"/>
        </w:rPr>
        <w:t>：</w:t>
      </w:r>
      <w:r>
        <w:rPr>
          <w:rFonts w:ascii="Times New Roman" w:hAnsi="Times New Roman" w:eastAsia="Times New Roman" w:cs="Times New Roman"/>
          <w:spacing w:val="-4"/>
          <w:sz w:val="21"/>
          <w:szCs w:val="21"/>
        </w:rPr>
        <w:t>CITES</w:t>
      </w:r>
      <w:r>
        <w:rPr>
          <w:rFonts w:ascii="Times New Roman" w:hAnsi="Times New Roman" w:eastAsia="Times New Roman" w:cs="Times New Roman"/>
          <w:spacing w:val="14"/>
          <w:w w:val="101"/>
          <w:sz w:val="21"/>
          <w:szCs w:val="21"/>
        </w:rPr>
        <w:t xml:space="preserve"> </w:t>
      </w:r>
      <w:r>
        <w:rPr>
          <w:spacing w:val="-4"/>
          <w:sz w:val="21"/>
          <w:szCs w:val="21"/>
        </w:rPr>
        <w:t>公</w:t>
      </w:r>
      <w:r>
        <w:rPr>
          <w:spacing w:val="-5"/>
          <w:sz w:val="21"/>
          <w:szCs w:val="21"/>
        </w:rPr>
        <w:t>约（</w:t>
      </w:r>
      <w:r>
        <w:rPr>
          <w:rFonts w:ascii="Times New Roman" w:hAnsi="Times New Roman" w:eastAsia="Times New Roman" w:cs="Times New Roman"/>
          <w:spacing w:val="-5"/>
          <w:sz w:val="21"/>
          <w:szCs w:val="21"/>
        </w:rPr>
        <w:t xml:space="preserve">2019 </w:t>
      </w:r>
      <w:r>
        <w:rPr>
          <w:spacing w:val="-5"/>
          <w:sz w:val="21"/>
          <w:szCs w:val="21"/>
        </w:rPr>
        <w:t>年）附录</w:t>
      </w:r>
      <w:r>
        <w:rPr>
          <w:rFonts w:ascii="Times New Roman" w:hAnsi="Times New Roman" w:eastAsia="Times New Roman" w:cs="Times New Roman"/>
          <w:spacing w:val="-5"/>
          <w:sz w:val="21"/>
          <w:szCs w:val="21"/>
        </w:rPr>
        <w:t>Ⅰ</w:t>
      </w:r>
      <w:r>
        <w:rPr>
          <w:spacing w:val="-5"/>
          <w:sz w:val="21"/>
          <w:szCs w:val="21"/>
        </w:rPr>
        <w:t>;</w:t>
      </w:r>
      <w:r>
        <w:rPr>
          <w:spacing w:val="34"/>
          <w:sz w:val="21"/>
          <w:szCs w:val="21"/>
        </w:rPr>
        <w:t xml:space="preserve"> </w:t>
      </w:r>
      <w:r>
        <w:rPr>
          <w:rFonts w:ascii="Times New Roman" w:hAnsi="Times New Roman" w:eastAsia="Times New Roman" w:cs="Times New Roman"/>
          <w:spacing w:val="-5"/>
          <w:sz w:val="21"/>
          <w:szCs w:val="21"/>
        </w:rPr>
        <w:t>Ⅱ</w:t>
      </w:r>
      <w:r>
        <w:rPr>
          <w:spacing w:val="-5"/>
          <w:sz w:val="21"/>
          <w:szCs w:val="21"/>
        </w:rPr>
        <w:t>：</w:t>
      </w:r>
      <w:r>
        <w:rPr>
          <w:rFonts w:ascii="Times New Roman" w:hAnsi="Times New Roman" w:eastAsia="Times New Roman" w:cs="Times New Roman"/>
          <w:spacing w:val="-5"/>
          <w:sz w:val="21"/>
          <w:szCs w:val="21"/>
        </w:rPr>
        <w:t>CITES</w:t>
      </w:r>
      <w:r>
        <w:rPr>
          <w:rFonts w:ascii="Times New Roman" w:hAnsi="Times New Roman" w:eastAsia="Times New Roman" w:cs="Times New Roman"/>
          <w:spacing w:val="24"/>
          <w:sz w:val="21"/>
          <w:szCs w:val="21"/>
        </w:rPr>
        <w:t xml:space="preserve"> </w:t>
      </w:r>
      <w:r>
        <w:rPr>
          <w:spacing w:val="-5"/>
          <w:sz w:val="21"/>
          <w:szCs w:val="21"/>
        </w:rPr>
        <w:t>附录</w:t>
      </w:r>
      <w:r>
        <w:rPr>
          <w:rFonts w:ascii="Times New Roman" w:hAnsi="Times New Roman" w:eastAsia="Times New Roman" w:cs="Times New Roman"/>
          <w:spacing w:val="-5"/>
          <w:sz w:val="21"/>
          <w:szCs w:val="21"/>
        </w:rPr>
        <w:t>Ⅱ</w:t>
      </w:r>
      <w:r>
        <w:rPr>
          <w:spacing w:val="-5"/>
          <w:sz w:val="21"/>
          <w:szCs w:val="21"/>
        </w:rPr>
        <w:t>。</w:t>
      </w:r>
      <w:r>
        <w:rPr>
          <w:rFonts w:ascii="Times New Roman" w:hAnsi="Times New Roman" w:eastAsia="Times New Roman" w:cs="Times New Roman"/>
          <w:spacing w:val="-5"/>
          <w:sz w:val="21"/>
          <w:szCs w:val="21"/>
        </w:rPr>
        <w:t>CR</w:t>
      </w:r>
      <w:r>
        <w:rPr>
          <w:spacing w:val="-5"/>
          <w:sz w:val="21"/>
          <w:szCs w:val="21"/>
        </w:rPr>
        <w:t>：</w:t>
      </w:r>
      <w:r>
        <w:rPr>
          <w:rFonts w:ascii="Times New Roman" w:hAnsi="Times New Roman" w:eastAsia="Times New Roman" w:cs="Times New Roman"/>
          <w:spacing w:val="-5"/>
          <w:sz w:val="21"/>
          <w:szCs w:val="21"/>
        </w:rPr>
        <w:t xml:space="preserve">IUCN </w:t>
      </w:r>
      <w:r>
        <w:rPr>
          <w:spacing w:val="-5"/>
          <w:sz w:val="21"/>
          <w:szCs w:val="21"/>
        </w:rPr>
        <w:t>极</w:t>
      </w:r>
      <w:r>
        <w:rPr>
          <w:spacing w:val="-3"/>
          <w:sz w:val="21"/>
          <w:szCs w:val="21"/>
        </w:rPr>
        <w:t>危种；</w:t>
      </w:r>
      <w:r>
        <w:rPr>
          <w:rFonts w:ascii="Times New Roman" w:hAnsi="Times New Roman" w:eastAsia="Times New Roman" w:cs="Times New Roman"/>
          <w:spacing w:val="-3"/>
          <w:sz w:val="21"/>
          <w:szCs w:val="21"/>
        </w:rPr>
        <w:t>EN</w:t>
      </w:r>
      <w:r>
        <w:rPr>
          <w:spacing w:val="-3"/>
          <w:sz w:val="21"/>
          <w:szCs w:val="21"/>
        </w:rPr>
        <w:t>：</w:t>
      </w:r>
      <w:r>
        <w:rPr>
          <w:rFonts w:ascii="Times New Roman" w:hAnsi="Times New Roman" w:eastAsia="Times New Roman" w:cs="Times New Roman"/>
          <w:spacing w:val="-3"/>
          <w:sz w:val="21"/>
          <w:szCs w:val="21"/>
        </w:rPr>
        <w:t xml:space="preserve">IUCN </w:t>
      </w:r>
      <w:r>
        <w:rPr>
          <w:spacing w:val="-3"/>
          <w:sz w:val="21"/>
          <w:szCs w:val="21"/>
        </w:rPr>
        <w:t xml:space="preserve">濒危种； </w:t>
      </w:r>
      <w:r>
        <w:rPr>
          <w:rFonts w:ascii="Times New Roman" w:hAnsi="Times New Roman" w:eastAsia="Times New Roman" w:cs="Times New Roman"/>
          <w:spacing w:val="-3"/>
          <w:sz w:val="21"/>
          <w:szCs w:val="21"/>
        </w:rPr>
        <w:t>VU</w:t>
      </w:r>
      <w:r>
        <w:rPr>
          <w:spacing w:val="-3"/>
          <w:sz w:val="21"/>
          <w:szCs w:val="21"/>
        </w:rPr>
        <w:t>：</w:t>
      </w:r>
      <w:r>
        <w:rPr>
          <w:rFonts w:ascii="Times New Roman" w:hAnsi="Times New Roman" w:eastAsia="Times New Roman" w:cs="Times New Roman"/>
          <w:spacing w:val="-3"/>
          <w:sz w:val="21"/>
          <w:szCs w:val="21"/>
        </w:rPr>
        <w:t>IUCN</w:t>
      </w:r>
      <w:r>
        <w:rPr>
          <w:rFonts w:ascii="Times New Roman" w:hAnsi="Times New Roman" w:eastAsia="Times New Roman" w:cs="Times New Roman"/>
          <w:spacing w:val="36"/>
          <w:sz w:val="21"/>
          <w:szCs w:val="21"/>
        </w:rPr>
        <w:t xml:space="preserve"> </w:t>
      </w:r>
      <w:r>
        <w:rPr>
          <w:spacing w:val="-3"/>
          <w:sz w:val="21"/>
          <w:szCs w:val="21"/>
        </w:rPr>
        <w:t>易危种。</w:t>
      </w:r>
      <w:r>
        <w:rPr>
          <w:rFonts w:ascii="Times New Roman" w:hAnsi="Times New Roman" w:eastAsia="Times New Roman" w:cs="Times New Roman"/>
          <w:spacing w:val="-3"/>
          <w:sz w:val="21"/>
          <w:szCs w:val="21"/>
        </w:rPr>
        <w:t>CR</w:t>
      </w:r>
      <w:r>
        <w:rPr>
          <w:spacing w:val="-3"/>
          <w:sz w:val="21"/>
          <w:szCs w:val="21"/>
        </w:rPr>
        <w:t>：</w:t>
      </w:r>
      <w:r>
        <w:rPr>
          <w:rFonts w:ascii="Times New Roman" w:hAnsi="Times New Roman" w:eastAsia="Times New Roman" w:cs="Times New Roman"/>
          <w:spacing w:val="-3"/>
          <w:sz w:val="21"/>
          <w:szCs w:val="21"/>
        </w:rPr>
        <w:t xml:space="preserve">IUCN </w:t>
      </w:r>
      <w:r>
        <w:rPr>
          <w:spacing w:val="-3"/>
          <w:sz w:val="21"/>
          <w:szCs w:val="21"/>
        </w:rPr>
        <w:t>极危种。</w:t>
      </w:r>
      <w:r>
        <w:rPr>
          <w:rFonts w:ascii="Times New Roman" w:hAnsi="Times New Roman" w:eastAsia="Times New Roman" w:cs="Times New Roman"/>
          <w:spacing w:val="-3"/>
          <w:sz w:val="21"/>
          <w:szCs w:val="21"/>
        </w:rPr>
        <w:t>CR-C</w:t>
      </w:r>
      <w:r>
        <w:rPr>
          <w:spacing w:val="-3"/>
          <w:sz w:val="21"/>
          <w:szCs w:val="21"/>
        </w:rPr>
        <w:t>：《中国脊椎动物</w:t>
      </w:r>
      <w:r>
        <w:rPr>
          <w:spacing w:val="-8"/>
          <w:sz w:val="21"/>
          <w:szCs w:val="21"/>
        </w:rPr>
        <w:t>红色名录》（</w:t>
      </w:r>
      <w:r>
        <w:rPr>
          <w:rFonts w:ascii="Times New Roman" w:hAnsi="Times New Roman" w:eastAsia="Times New Roman" w:cs="Times New Roman"/>
          <w:spacing w:val="-8"/>
          <w:sz w:val="21"/>
          <w:szCs w:val="21"/>
        </w:rPr>
        <w:t>2016</w:t>
      </w:r>
      <w:r>
        <w:rPr>
          <w:rFonts w:ascii="Times New Roman" w:hAnsi="Times New Roman" w:eastAsia="Times New Roman" w:cs="Times New Roman"/>
          <w:spacing w:val="37"/>
          <w:w w:val="101"/>
          <w:sz w:val="21"/>
          <w:szCs w:val="21"/>
        </w:rPr>
        <w:t xml:space="preserve"> </w:t>
      </w:r>
      <w:r>
        <w:rPr>
          <w:spacing w:val="-8"/>
          <w:sz w:val="21"/>
          <w:szCs w:val="21"/>
        </w:rPr>
        <w:t>年）极危种；</w:t>
      </w:r>
      <w:r>
        <w:rPr>
          <w:rFonts w:ascii="Times New Roman" w:hAnsi="Times New Roman" w:eastAsia="Times New Roman" w:cs="Times New Roman"/>
          <w:spacing w:val="-8"/>
          <w:sz w:val="21"/>
          <w:szCs w:val="21"/>
        </w:rPr>
        <w:t>EN-C</w:t>
      </w:r>
      <w:r>
        <w:rPr>
          <w:spacing w:val="-8"/>
          <w:sz w:val="21"/>
          <w:szCs w:val="21"/>
        </w:rPr>
        <w:t>：《中国脊椎动物红色名录》（</w:t>
      </w:r>
      <w:r>
        <w:rPr>
          <w:rFonts w:ascii="Times New Roman" w:hAnsi="Times New Roman" w:eastAsia="Times New Roman" w:cs="Times New Roman"/>
          <w:spacing w:val="-8"/>
          <w:sz w:val="21"/>
          <w:szCs w:val="21"/>
        </w:rPr>
        <w:t>2016</w:t>
      </w:r>
      <w:r>
        <w:rPr>
          <w:rFonts w:ascii="Times New Roman" w:hAnsi="Times New Roman" w:eastAsia="Times New Roman" w:cs="Times New Roman"/>
          <w:spacing w:val="31"/>
          <w:w w:val="101"/>
          <w:sz w:val="21"/>
          <w:szCs w:val="21"/>
        </w:rPr>
        <w:t xml:space="preserve"> </w:t>
      </w:r>
      <w:r>
        <w:rPr>
          <w:spacing w:val="-8"/>
          <w:sz w:val="21"/>
          <w:szCs w:val="21"/>
        </w:rPr>
        <w:t>年）濒危种；</w:t>
      </w:r>
      <w:r>
        <w:rPr>
          <w:rFonts w:ascii="Times New Roman" w:hAnsi="Times New Roman" w:eastAsia="Times New Roman" w:cs="Times New Roman"/>
          <w:spacing w:val="-8"/>
          <w:sz w:val="21"/>
          <w:szCs w:val="21"/>
        </w:rPr>
        <w:t>VU-C</w:t>
      </w:r>
      <w:r>
        <w:rPr>
          <w:spacing w:val="-8"/>
          <w:sz w:val="21"/>
          <w:szCs w:val="21"/>
        </w:rPr>
        <w:t>：</w:t>
      </w:r>
      <w:r>
        <w:rPr>
          <w:sz w:val="21"/>
          <w:szCs w:val="21"/>
        </w:rPr>
        <w:t xml:space="preserve"> </w:t>
      </w:r>
      <w:r>
        <w:rPr>
          <w:spacing w:val="-6"/>
          <w:sz w:val="21"/>
          <w:szCs w:val="21"/>
        </w:rPr>
        <w:t>《中国脊椎动物红色名录》（</w:t>
      </w:r>
      <w:r>
        <w:rPr>
          <w:rFonts w:ascii="Times New Roman" w:hAnsi="Times New Roman" w:eastAsia="Times New Roman" w:cs="Times New Roman"/>
          <w:spacing w:val="-6"/>
          <w:sz w:val="21"/>
          <w:szCs w:val="21"/>
        </w:rPr>
        <w:t xml:space="preserve">2016 </w:t>
      </w:r>
      <w:r>
        <w:rPr>
          <w:spacing w:val="-6"/>
          <w:sz w:val="21"/>
          <w:szCs w:val="21"/>
        </w:rPr>
        <w:t>年）易危种。特有：中国特有种；⑥资源现状：</w:t>
      </w:r>
      <w:r>
        <w:rPr>
          <w:rFonts w:ascii="Times New Roman" w:hAnsi="Times New Roman" w:eastAsia="Times New Roman" w:cs="Times New Roman"/>
          <w:spacing w:val="-6"/>
          <w:sz w:val="21"/>
          <w:szCs w:val="21"/>
        </w:rPr>
        <w:t>+</w:t>
      </w:r>
      <w:r>
        <w:rPr>
          <w:spacing w:val="-6"/>
          <w:sz w:val="21"/>
          <w:szCs w:val="21"/>
        </w:rPr>
        <w:t>：罕见种；</w:t>
      </w:r>
      <w:r>
        <w:rPr>
          <w:sz w:val="21"/>
          <w:szCs w:val="21"/>
        </w:rPr>
        <w:t xml:space="preserve"> </w:t>
      </w:r>
      <w:r>
        <w:rPr>
          <w:rFonts w:ascii="Times New Roman" w:hAnsi="Times New Roman" w:eastAsia="Times New Roman" w:cs="Times New Roman"/>
          <w:spacing w:val="-1"/>
          <w:sz w:val="21"/>
          <w:szCs w:val="21"/>
        </w:rPr>
        <w:t>++</w:t>
      </w:r>
      <w:r>
        <w:rPr>
          <w:spacing w:val="-1"/>
          <w:sz w:val="21"/>
          <w:szCs w:val="21"/>
        </w:rPr>
        <w:t>：稀有种；</w:t>
      </w:r>
      <w:r>
        <w:rPr>
          <w:rFonts w:ascii="Times New Roman" w:hAnsi="Times New Roman" w:eastAsia="Times New Roman" w:cs="Times New Roman"/>
          <w:spacing w:val="-1"/>
          <w:sz w:val="21"/>
          <w:szCs w:val="21"/>
        </w:rPr>
        <w:t>+++</w:t>
      </w:r>
      <w:r>
        <w:rPr>
          <w:spacing w:val="-1"/>
          <w:sz w:val="21"/>
          <w:szCs w:val="21"/>
        </w:rPr>
        <w:t>：常见种；</w:t>
      </w:r>
      <w:r>
        <w:rPr>
          <w:rFonts w:ascii="Times New Roman" w:hAnsi="Times New Roman" w:eastAsia="Times New Roman" w:cs="Times New Roman"/>
          <w:spacing w:val="-1"/>
          <w:sz w:val="21"/>
          <w:szCs w:val="21"/>
        </w:rPr>
        <w:t>++++</w:t>
      </w:r>
      <w:r>
        <w:rPr>
          <w:rFonts w:ascii="Times New Roman" w:hAnsi="Times New Roman" w:eastAsia="Times New Roman" w:cs="Times New Roman"/>
          <w:spacing w:val="-25"/>
          <w:sz w:val="21"/>
          <w:szCs w:val="21"/>
        </w:rPr>
        <w:t xml:space="preserve"> </w:t>
      </w:r>
      <w:r>
        <w:rPr>
          <w:spacing w:val="-1"/>
          <w:sz w:val="21"/>
          <w:szCs w:val="21"/>
        </w:rPr>
        <w:t>：优势种。⑦数据来源：</w:t>
      </w:r>
      <w:r>
        <w:rPr>
          <w:rFonts w:ascii="Times New Roman" w:hAnsi="Times New Roman" w:eastAsia="Times New Roman" w:cs="Times New Roman"/>
          <w:spacing w:val="-2"/>
          <w:sz w:val="21"/>
          <w:szCs w:val="21"/>
        </w:rPr>
        <w:t>S</w:t>
      </w:r>
      <w:r>
        <w:rPr>
          <w:spacing w:val="-2"/>
          <w:sz w:val="21"/>
          <w:szCs w:val="21"/>
        </w:rPr>
        <w:t>：实地调查（含目击，可分辨鸣</w:t>
      </w:r>
      <w:r>
        <w:rPr>
          <w:spacing w:val="-7"/>
          <w:sz w:val="21"/>
          <w:szCs w:val="21"/>
        </w:rPr>
        <w:t>声等</w:t>
      </w:r>
      <w:r>
        <w:rPr>
          <w:spacing w:val="-12"/>
          <w:sz w:val="21"/>
          <w:szCs w:val="21"/>
        </w:rPr>
        <w:t>）；</w:t>
      </w:r>
      <w:r>
        <w:rPr>
          <w:rFonts w:ascii="Times New Roman" w:hAnsi="Times New Roman" w:eastAsia="Times New Roman" w:cs="Times New Roman"/>
          <w:spacing w:val="-7"/>
          <w:sz w:val="21"/>
          <w:szCs w:val="21"/>
        </w:rPr>
        <w:t>V</w:t>
      </w:r>
      <w:r>
        <w:rPr>
          <w:spacing w:val="-7"/>
          <w:sz w:val="21"/>
          <w:szCs w:val="21"/>
        </w:rPr>
        <w:t>：访问调查；</w:t>
      </w:r>
      <w:r>
        <w:rPr>
          <w:rFonts w:ascii="Times New Roman" w:hAnsi="Times New Roman" w:eastAsia="Times New Roman" w:cs="Times New Roman"/>
          <w:spacing w:val="-7"/>
          <w:sz w:val="21"/>
          <w:szCs w:val="21"/>
        </w:rPr>
        <w:t>C</w:t>
      </w:r>
      <w:r>
        <w:rPr>
          <w:spacing w:val="-7"/>
          <w:sz w:val="21"/>
          <w:szCs w:val="21"/>
        </w:rPr>
        <w:t>：红外相机。</w:t>
      </w:r>
    </w:p>
    <w:p w14:paraId="78A0C172">
      <w:pPr>
        <w:spacing w:line="385" w:lineRule="auto"/>
        <w:rPr>
          <w:sz w:val="21"/>
          <w:szCs w:val="21"/>
        </w:rPr>
        <w:sectPr>
          <w:headerReference r:id="rId300" w:type="default"/>
          <w:footerReference r:id="rId301" w:type="default"/>
          <w:pgSz w:w="11907" w:h="16839"/>
          <w:pgMar w:top="1376" w:right="1644" w:bottom="1061" w:left="1671" w:header="999" w:footer="861" w:gutter="0"/>
          <w:cols w:space="720" w:num="1"/>
        </w:sectPr>
      </w:pPr>
    </w:p>
    <w:p w14:paraId="1286C3F2">
      <w:pPr>
        <w:spacing w:line="454" w:lineRule="auto"/>
        <w:rPr>
          <w:rFonts w:ascii="Arial"/>
          <w:sz w:val="21"/>
        </w:rPr>
      </w:pPr>
    </w:p>
    <w:p w14:paraId="2DC7E389">
      <w:pPr>
        <w:pStyle w:val="2"/>
        <w:spacing w:before="78" w:line="226" w:lineRule="auto"/>
        <w:ind w:left="299"/>
        <w:rPr>
          <w:sz w:val="24"/>
          <w:szCs w:val="24"/>
        </w:rPr>
      </w:pPr>
      <w:r>
        <w:rPr>
          <w:b/>
          <w:bCs/>
          <w:spacing w:val="-2"/>
          <w:sz w:val="24"/>
          <w:szCs w:val="24"/>
        </w:rPr>
        <w:t>附表</w:t>
      </w:r>
      <w:r>
        <w:rPr>
          <w:spacing w:val="-43"/>
          <w:sz w:val="24"/>
          <w:szCs w:val="24"/>
        </w:rPr>
        <w:t xml:space="preserve"> </w:t>
      </w:r>
      <w:r>
        <w:rPr>
          <w:rFonts w:ascii="Times New Roman" w:hAnsi="Times New Roman" w:eastAsia="Times New Roman" w:cs="Times New Roman"/>
          <w:b/>
          <w:bCs/>
          <w:spacing w:val="-2"/>
          <w:sz w:val="24"/>
          <w:szCs w:val="24"/>
        </w:rPr>
        <w:t xml:space="preserve">5                </w:t>
      </w:r>
      <w:r>
        <w:rPr>
          <w:b/>
          <w:bCs/>
          <w:spacing w:val="-2"/>
          <w:sz w:val="24"/>
          <w:szCs w:val="24"/>
        </w:rPr>
        <w:t>车马碧水库工程施工期监测记录的哺乳类动物名录</w:t>
      </w:r>
    </w:p>
    <w:tbl>
      <w:tblPr>
        <w:tblStyle w:val="5"/>
        <w:tblW w:w="8473"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695"/>
        <w:gridCol w:w="1800"/>
        <w:gridCol w:w="1124"/>
        <w:gridCol w:w="842"/>
        <w:gridCol w:w="702"/>
        <w:gridCol w:w="842"/>
        <w:gridCol w:w="763"/>
      </w:tblGrid>
      <w:tr w14:paraId="4DC58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05" w:type="dxa"/>
            <w:tcBorders>
              <w:top w:val="single" w:color="000000" w:sz="12" w:space="0"/>
              <w:left w:val="single" w:color="000000" w:sz="12" w:space="0"/>
            </w:tcBorders>
            <w:vAlign w:val="top"/>
          </w:tcPr>
          <w:p w14:paraId="63AECBBC">
            <w:pPr>
              <w:spacing w:before="167" w:line="221" w:lineRule="auto"/>
              <w:ind w:left="128"/>
              <w:rPr>
                <w:rFonts w:ascii="宋体" w:hAnsi="宋体" w:eastAsia="宋体" w:cs="宋体"/>
                <w:sz w:val="21"/>
                <w:szCs w:val="21"/>
              </w:rPr>
            </w:pPr>
            <w:r>
              <w:rPr>
                <w:rFonts w:ascii="宋体" w:hAnsi="宋体" w:eastAsia="宋体" w:cs="宋体"/>
                <w:spacing w:val="-2"/>
                <w:sz w:val="21"/>
                <w:szCs w:val="21"/>
              </w:rPr>
              <w:t>序号</w:t>
            </w:r>
          </w:p>
        </w:tc>
        <w:tc>
          <w:tcPr>
            <w:tcW w:w="1695" w:type="dxa"/>
            <w:tcBorders>
              <w:top w:val="single" w:color="000000" w:sz="12" w:space="0"/>
            </w:tcBorders>
            <w:vAlign w:val="top"/>
          </w:tcPr>
          <w:p w14:paraId="2B2EBFE2">
            <w:pPr>
              <w:spacing w:before="167" w:line="220" w:lineRule="auto"/>
              <w:ind w:left="546"/>
              <w:rPr>
                <w:rFonts w:ascii="宋体" w:hAnsi="宋体" w:eastAsia="宋体" w:cs="宋体"/>
                <w:sz w:val="21"/>
                <w:szCs w:val="21"/>
              </w:rPr>
            </w:pPr>
            <w:r>
              <w:rPr>
                <w:rFonts w:ascii="宋体" w:hAnsi="宋体" w:eastAsia="宋体" w:cs="宋体"/>
                <w:spacing w:val="-7"/>
                <w:sz w:val="21"/>
                <w:szCs w:val="21"/>
              </w:rPr>
              <w:t>中文名</w:t>
            </w:r>
          </w:p>
        </w:tc>
        <w:tc>
          <w:tcPr>
            <w:tcW w:w="1800" w:type="dxa"/>
            <w:tcBorders>
              <w:top w:val="single" w:color="000000" w:sz="12" w:space="0"/>
            </w:tcBorders>
            <w:vAlign w:val="top"/>
          </w:tcPr>
          <w:p w14:paraId="301677A2">
            <w:pPr>
              <w:spacing w:before="167" w:line="221" w:lineRule="auto"/>
              <w:ind w:left="586"/>
              <w:rPr>
                <w:rFonts w:ascii="宋体" w:hAnsi="宋体" w:eastAsia="宋体" w:cs="宋体"/>
                <w:sz w:val="21"/>
                <w:szCs w:val="21"/>
              </w:rPr>
            </w:pPr>
            <w:r>
              <w:rPr>
                <w:rFonts w:ascii="宋体" w:hAnsi="宋体" w:eastAsia="宋体" w:cs="宋体"/>
                <w:spacing w:val="-3"/>
                <w:sz w:val="21"/>
                <w:szCs w:val="21"/>
              </w:rPr>
              <w:t>拉丁名</w:t>
            </w:r>
          </w:p>
        </w:tc>
        <w:tc>
          <w:tcPr>
            <w:tcW w:w="1124" w:type="dxa"/>
            <w:tcBorders>
              <w:top w:val="single" w:color="000000" w:sz="12" w:space="0"/>
            </w:tcBorders>
            <w:vAlign w:val="top"/>
          </w:tcPr>
          <w:p w14:paraId="6379FF37">
            <w:pPr>
              <w:spacing w:before="167" w:line="222" w:lineRule="auto"/>
              <w:ind w:left="372"/>
              <w:rPr>
                <w:rFonts w:ascii="宋体" w:hAnsi="宋体" w:eastAsia="宋体" w:cs="宋体"/>
                <w:sz w:val="21"/>
                <w:szCs w:val="21"/>
              </w:rPr>
            </w:pPr>
            <w:r>
              <w:rPr>
                <w:rFonts w:ascii="宋体" w:hAnsi="宋体" w:eastAsia="宋体" w:cs="宋体"/>
                <w:spacing w:val="-6"/>
                <w:sz w:val="21"/>
                <w:szCs w:val="21"/>
              </w:rPr>
              <w:t>区系</w:t>
            </w:r>
          </w:p>
        </w:tc>
        <w:tc>
          <w:tcPr>
            <w:tcW w:w="842" w:type="dxa"/>
            <w:tcBorders>
              <w:top w:val="single" w:color="000000" w:sz="12" w:space="0"/>
            </w:tcBorders>
            <w:vAlign w:val="top"/>
          </w:tcPr>
          <w:p w14:paraId="3334F56C">
            <w:pPr>
              <w:spacing w:before="31" w:line="220" w:lineRule="auto"/>
              <w:ind w:left="220"/>
              <w:rPr>
                <w:rFonts w:ascii="宋体" w:hAnsi="宋体" w:eastAsia="宋体" w:cs="宋体"/>
                <w:sz w:val="21"/>
                <w:szCs w:val="21"/>
              </w:rPr>
            </w:pPr>
            <w:r>
              <w:rPr>
                <w:rFonts w:ascii="宋体" w:hAnsi="宋体" w:eastAsia="宋体" w:cs="宋体"/>
                <w:spacing w:val="-3"/>
                <w:sz w:val="21"/>
                <w:szCs w:val="21"/>
              </w:rPr>
              <w:t>保护</w:t>
            </w:r>
          </w:p>
          <w:p w14:paraId="4FA6DB49">
            <w:pPr>
              <w:spacing w:before="22" w:line="208" w:lineRule="auto"/>
              <w:ind w:left="220"/>
              <w:rPr>
                <w:rFonts w:ascii="宋体" w:hAnsi="宋体" w:eastAsia="宋体" w:cs="宋体"/>
                <w:sz w:val="21"/>
                <w:szCs w:val="21"/>
              </w:rPr>
            </w:pPr>
            <w:r>
              <w:rPr>
                <w:rFonts w:ascii="宋体" w:hAnsi="宋体" w:eastAsia="宋体" w:cs="宋体"/>
                <w:spacing w:val="-3"/>
                <w:sz w:val="21"/>
                <w:szCs w:val="21"/>
              </w:rPr>
              <w:t>情况</w:t>
            </w:r>
          </w:p>
        </w:tc>
        <w:tc>
          <w:tcPr>
            <w:tcW w:w="702" w:type="dxa"/>
            <w:tcBorders>
              <w:top w:val="single" w:color="000000" w:sz="12" w:space="0"/>
            </w:tcBorders>
            <w:vAlign w:val="top"/>
          </w:tcPr>
          <w:p w14:paraId="168A6F96">
            <w:pPr>
              <w:spacing w:before="30" w:line="221" w:lineRule="auto"/>
              <w:ind w:left="160"/>
              <w:rPr>
                <w:rFonts w:ascii="宋体" w:hAnsi="宋体" w:eastAsia="宋体" w:cs="宋体"/>
                <w:sz w:val="21"/>
                <w:szCs w:val="21"/>
              </w:rPr>
            </w:pPr>
            <w:r>
              <w:rPr>
                <w:rFonts w:ascii="宋体" w:hAnsi="宋体" w:eastAsia="宋体" w:cs="宋体"/>
                <w:spacing w:val="-5"/>
                <w:sz w:val="21"/>
                <w:szCs w:val="21"/>
              </w:rPr>
              <w:t>资源</w:t>
            </w:r>
          </w:p>
          <w:p w14:paraId="17E7414A">
            <w:pPr>
              <w:spacing w:before="21" w:line="208" w:lineRule="auto"/>
              <w:ind w:left="153"/>
              <w:rPr>
                <w:rFonts w:ascii="宋体" w:hAnsi="宋体" w:eastAsia="宋体" w:cs="宋体"/>
                <w:sz w:val="21"/>
                <w:szCs w:val="21"/>
              </w:rPr>
            </w:pPr>
            <w:r>
              <w:rPr>
                <w:rFonts w:ascii="宋体" w:hAnsi="宋体" w:eastAsia="宋体" w:cs="宋体"/>
                <w:spacing w:val="-3"/>
                <w:sz w:val="21"/>
                <w:szCs w:val="21"/>
              </w:rPr>
              <w:t>现状</w:t>
            </w:r>
          </w:p>
        </w:tc>
        <w:tc>
          <w:tcPr>
            <w:tcW w:w="842" w:type="dxa"/>
            <w:tcBorders>
              <w:top w:val="single" w:color="000000" w:sz="12" w:space="0"/>
            </w:tcBorders>
            <w:vAlign w:val="top"/>
          </w:tcPr>
          <w:p w14:paraId="4A234A51">
            <w:pPr>
              <w:spacing w:before="31" w:line="220" w:lineRule="auto"/>
              <w:ind w:left="234"/>
              <w:rPr>
                <w:rFonts w:ascii="宋体" w:hAnsi="宋体" w:eastAsia="宋体" w:cs="宋体"/>
                <w:sz w:val="21"/>
                <w:szCs w:val="21"/>
              </w:rPr>
            </w:pPr>
            <w:r>
              <w:rPr>
                <w:rFonts w:ascii="宋体" w:hAnsi="宋体" w:eastAsia="宋体" w:cs="宋体"/>
                <w:spacing w:val="-5"/>
                <w:sz w:val="21"/>
                <w:szCs w:val="21"/>
              </w:rPr>
              <w:t>资料</w:t>
            </w:r>
          </w:p>
          <w:p w14:paraId="50C89687">
            <w:pPr>
              <w:spacing w:before="22" w:line="208" w:lineRule="auto"/>
              <w:ind w:left="225"/>
              <w:rPr>
                <w:rFonts w:ascii="宋体" w:hAnsi="宋体" w:eastAsia="宋体" w:cs="宋体"/>
                <w:sz w:val="21"/>
                <w:szCs w:val="21"/>
              </w:rPr>
            </w:pPr>
            <w:r>
              <w:rPr>
                <w:rFonts w:ascii="宋体" w:hAnsi="宋体" w:eastAsia="宋体" w:cs="宋体"/>
                <w:spacing w:val="-3"/>
                <w:sz w:val="21"/>
                <w:szCs w:val="21"/>
              </w:rPr>
              <w:t>来源</w:t>
            </w:r>
          </w:p>
        </w:tc>
        <w:tc>
          <w:tcPr>
            <w:tcW w:w="763" w:type="dxa"/>
            <w:tcBorders>
              <w:top w:val="single" w:color="000000" w:sz="12" w:space="0"/>
              <w:right w:val="single" w:color="000000" w:sz="12" w:space="0"/>
            </w:tcBorders>
            <w:vAlign w:val="top"/>
          </w:tcPr>
          <w:p w14:paraId="7548C852">
            <w:pPr>
              <w:spacing w:before="167" w:line="221" w:lineRule="auto"/>
              <w:ind w:left="183"/>
              <w:rPr>
                <w:rFonts w:ascii="宋体" w:hAnsi="宋体" w:eastAsia="宋体" w:cs="宋体"/>
                <w:sz w:val="21"/>
                <w:szCs w:val="21"/>
              </w:rPr>
            </w:pPr>
            <w:r>
              <w:rPr>
                <w:rFonts w:ascii="宋体" w:hAnsi="宋体" w:eastAsia="宋体" w:cs="宋体"/>
                <w:spacing w:val="-3"/>
                <w:sz w:val="21"/>
                <w:szCs w:val="21"/>
              </w:rPr>
              <w:t>备注</w:t>
            </w:r>
          </w:p>
        </w:tc>
      </w:tr>
      <w:tr w14:paraId="1BE44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43951761">
            <w:pPr>
              <w:pStyle w:val="6"/>
              <w:spacing w:before="70" w:line="186" w:lineRule="auto"/>
              <w:ind w:left="204"/>
            </w:pPr>
            <w:r>
              <w:rPr>
                <w:b/>
                <w:bCs/>
                <w:spacing w:val="-3"/>
              </w:rPr>
              <w:t>O1</w:t>
            </w:r>
          </w:p>
        </w:tc>
        <w:tc>
          <w:tcPr>
            <w:tcW w:w="1695" w:type="dxa"/>
            <w:vAlign w:val="top"/>
          </w:tcPr>
          <w:p w14:paraId="792312FE">
            <w:pPr>
              <w:spacing w:before="31" w:line="207" w:lineRule="auto"/>
              <w:ind w:left="524"/>
              <w:rPr>
                <w:rFonts w:ascii="宋体" w:hAnsi="宋体" w:eastAsia="宋体" w:cs="宋体"/>
                <w:sz w:val="21"/>
                <w:szCs w:val="21"/>
              </w:rPr>
            </w:pPr>
            <w:r>
              <w:rPr>
                <w:rFonts w:ascii="宋体" w:hAnsi="宋体" w:eastAsia="宋体" w:cs="宋体"/>
                <w:b/>
                <w:bCs/>
                <w:spacing w:val="-4"/>
                <w:sz w:val="21"/>
                <w:szCs w:val="21"/>
              </w:rPr>
              <w:t>攀鼩目</w:t>
            </w:r>
          </w:p>
        </w:tc>
        <w:tc>
          <w:tcPr>
            <w:tcW w:w="1800" w:type="dxa"/>
            <w:vAlign w:val="top"/>
          </w:tcPr>
          <w:p w14:paraId="3BB3FC97">
            <w:pPr>
              <w:pStyle w:val="6"/>
              <w:spacing w:before="69" w:line="187" w:lineRule="auto"/>
              <w:ind w:left="406"/>
            </w:pPr>
            <w:r>
              <w:rPr>
                <w:b/>
                <w:bCs/>
                <w:spacing w:val="-1"/>
              </w:rPr>
              <w:t>Scandentia</w:t>
            </w:r>
          </w:p>
        </w:tc>
        <w:tc>
          <w:tcPr>
            <w:tcW w:w="1124" w:type="dxa"/>
            <w:vAlign w:val="top"/>
          </w:tcPr>
          <w:p w14:paraId="013D83FD">
            <w:pPr>
              <w:rPr>
                <w:rFonts w:ascii="Arial"/>
                <w:sz w:val="21"/>
              </w:rPr>
            </w:pPr>
          </w:p>
        </w:tc>
        <w:tc>
          <w:tcPr>
            <w:tcW w:w="842" w:type="dxa"/>
            <w:vAlign w:val="top"/>
          </w:tcPr>
          <w:p w14:paraId="36A61CE7">
            <w:pPr>
              <w:rPr>
                <w:rFonts w:ascii="Arial"/>
                <w:sz w:val="21"/>
              </w:rPr>
            </w:pPr>
          </w:p>
        </w:tc>
        <w:tc>
          <w:tcPr>
            <w:tcW w:w="702" w:type="dxa"/>
            <w:vAlign w:val="top"/>
          </w:tcPr>
          <w:p w14:paraId="3DE17236">
            <w:pPr>
              <w:rPr>
                <w:rFonts w:ascii="Arial"/>
                <w:sz w:val="21"/>
              </w:rPr>
            </w:pPr>
          </w:p>
        </w:tc>
        <w:tc>
          <w:tcPr>
            <w:tcW w:w="842" w:type="dxa"/>
            <w:vAlign w:val="top"/>
          </w:tcPr>
          <w:p w14:paraId="4014A647">
            <w:pPr>
              <w:rPr>
                <w:rFonts w:ascii="Arial"/>
                <w:sz w:val="21"/>
              </w:rPr>
            </w:pPr>
          </w:p>
        </w:tc>
        <w:tc>
          <w:tcPr>
            <w:tcW w:w="763" w:type="dxa"/>
            <w:tcBorders>
              <w:right w:val="single" w:color="000000" w:sz="12" w:space="0"/>
            </w:tcBorders>
            <w:vAlign w:val="top"/>
          </w:tcPr>
          <w:p w14:paraId="4783BF7B">
            <w:pPr>
              <w:rPr>
                <w:rFonts w:ascii="Arial"/>
                <w:sz w:val="21"/>
              </w:rPr>
            </w:pPr>
          </w:p>
        </w:tc>
      </w:tr>
      <w:tr w14:paraId="14161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5" w:type="dxa"/>
            <w:tcBorders>
              <w:left w:val="single" w:color="000000" w:sz="12" w:space="0"/>
            </w:tcBorders>
            <w:vAlign w:val="top"/>
          </w:tcPr>
          <w:p w14:paraId="5619260E">
            <w:pPr>
              <w:pStyle w:val="6"/>
              <w:spacing w:before="70" w:line="186" w:lineRule="auto"/>
              <w:ind w:left="219"/>
            </w:pPr>
            <w:r>
              <w:rPr>
                <w:b/>
                <w:bCs/>
                <w:spacing w:val="-2"/>
              </w:rPr>
              <w:t>F1</w:t>
            </w:r>
          </w:p>
        </w:tc>
        <w:tc>
          <w:tcPr>
            <w:tcW w:w="1695" w:type="dxa"/>
            <w:vAlign w:val="top"/>
          </w:tcPr>
          <w:p w14:paraId="2087F946">
            <w:pPr>
              <w:spacing w:before="31" w:line="205" w:lineRule="auto"/>
              <w:ind w:left="525"/>
              <w:rPr>
                <w:rFonts w:ascii="宋体" w:hAnsi="宋体" w:eastAsia="宋体" w:cs="宋体"/>
                <w:sz w:val="21"/>
                <w:szCs w:val="21"/>
              </w:rPr>
            </w:pPr>
            <w:r>
              <w:rPr>
                <w:rFonts w:ascii="宋体" w:hAnsi="宋体" w:eastAsia="宋体" w:cs="宋体"/>
                <w:b/>
                <w:bCs/>
                <w:spacing w:val="-4"/>
                <w:sz w:val="21"/>
                <w:szCs w:val="21"/>
              </w:rPr>
              <w:t>树鼩科</w:t>
            </w:r>
          </w:p>
        </w:tc>
        <w:tc>
          <w:tcPr>
            <w:tcW w:w="1800" w:type="dxa"/>
            <w:vAlign w:val="top"/>
          </w:tcPr>
          <w:p w14:paraId="169896F9">
            <w:pPr>
              <w:pStyle w:val="6"/>
              <w:spacing w:before="69" w:line="187" w:lineRule="auto"/>
              <w:ind w:left="443"/>
            </w:pPr>
            <w:r>
              <w:rPr>
                <w:b/>
                <w:bCs/>
                <w:spacing w:val="-1"/>
              </w:rPr>
              <w:t>Tupaiidae</w:t>
            </w:r>
          </w:p>
        </w:tc>
        <w:tc>
          <w:tcPr>
            <w:tcW w:w="1124" w:type="dxa"/>
            <w:vAlign w:val="top"/>
          </w:tcPr>
          <w:p w14:paraId="064AE0FA">
            <w:pPr>
              <w:rPr>
                <w:rFonts w:ascii="Arial"/>
                <w:sz w:val="21"/>
              </w:rPr>
            </w:pPr>
          </w:p>
        </w:tc>
        <w:tc>
          <w:tcPr>
            <w:tcW w:w="842" w:type="dxa"/>
            <w:vAlign w:val="top"/>
          </w:tcPr>
          <w:p w14:paraId="46E86366">
            <w:pPr>
              <w:rPr>
                <w:rFonts w:ascii="Arial"/>
                <w:sz w:val="21"/>
              </w:rPr>
            </w:pPr>
          </w:p>
        </w:tc>
        <w:tc>
          <w:tcPr>
            <w:tcW w:w="702" w:type="dxa"/>
            <w:vAlign w:val="top"/>
          </w:tcPr>
          <w:p w14:paraId="2F072DC5">
            <w:pPr>
              <w:rPr>
                <w:rFonts w:ascii="Arial"/>
                <w:sz w:val="21"/>
              </w:rPr>
            </w:pPr>
          </w:p>
        </w:tc>
        <w:tc>
          <w:tcPr>
            <w:tcW w:w="842" w:type="dxa"/>
            <w:vAlign w:val="top"/>
          </w:tcPr>
          <w:p w14:paraId="0BD08027">
            <w:pPr>
              <w:rPr>
                <w:rFonts w:ascii="Arial"/>
                <w:sz w:val="21"/>
              </w:rPr>
            </w:pPr>
          </w:p>
        </w:tc>
        <w:tc>
          <w:tcPr>
            <w:tcW w:w="763" w:type="dxa"/>
            <w:tcBorders>
              <w:right w:val="single" w:color="000000" w:sz="12" w:space="0"/>
            </w:tcBorders>
            <w:vAlign w:val="top"/>
          </w:tcPr>
          <w:p w14:paraId="06C101DD">
            <w:pPr>
              <w:rPr>
                <w:rFonts w:ascii="Arial"/>
                <w:sz w:val="21"/>
              </w:rPr>
            </w:pPr>
          </w:p>
        </w:tc>
      </w:tr>
      <w:tr w14:paraId="20EB0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5" w:type="dxa"/>
            <w:tcBorders>
              <w:left w:val="single" w:color="000000" w:sz="12" w:space="0"/>
            </w:tcBorders>
            <w:vAlign w:val="top"/>
          </w:tcPr>
          <w:p w14:paraId="58F0EBDF">
            <w:pPr>
              <w:pStyle w:val="6"/>
              <w:spacing w:before="172" w:line="235" w:lineRule="auto"/>
              <w:ind w:left="302"/>
            </w:pPr>
            <w:r>
              <w:t>1</w:t>
            </w:r>
          </w:p>
        </w:tc>
        <w:tc>
          <w:tcPr>
            <w:tcW w:w="1695" w:type="dxa"/>
            <w:vAlign w:val="top"/>
          </w:tcPr>
          <w:p w14:paraId="2DBF511C">
            <w:pPr>
              <w:spacing w:before="138" w:line="220" w:lineRule="auto"/>
              <w:ind w:left="529"/>
              <w:rPr>
                <w:rFonts w:ascii="宋体" w:hAnsi="宋体" w:eastAsia="宋体" w:cs="宋体"/>
                <w:sz w:val="21"/>
                <w:szCs w:val="21"/>
              </w:rPr>
            </w:pPr>
            <w:r>
              <w:rPr>
                <w:rFonts w:ascii="宋体" w:hAnsi="宋体" w:eastAsia="宋体" w:cs="宋体"/>
                <w:spacing w:val="-3"/>
                <w:sz w:val="21"/>
                <w:szCs w:val="21"/>
              </w:rPr>
              <w:t>北树鼩</w:t>
            </w:r>
          </w:p>
        </w:tc>
        <w:tc>
          <w:tcPr>
            <w:tcW w:w="1800" w:type="dxa"/>
            <w:vAlign w:val="top"/>
          </w:tcPr>
          <w:p w14:paraId="313E1660">
            <w:pPr>
              <w:pStyle w:val="6"/>
              <w:spacing w:before="172" w:line="190" w:lineRule="auto"/>
              <w:ind w:left="180"/>
            </w:pPr>
            <w:r>
              <w:rPr>
                <w:i/>
                <w:iCs/>
                <w:spacing w:val="-1"/>
              </w:rPr>
              <w:t>Tupaia belangeri</w:t>
            </w:r>
          </w:p>
        </w:tc>
        <w:tc>
          <w:tcPr>
            <w:tcW w:w="1124" w:type="dxa"/>
            <w:vAlign w:val="top"/>
          </w:tcPr>
          <w:p w14:paraId="700AECEC">
            <w:pPr>
              <w:pStyle w:val="6"/>
              <w:spacing w:before="56" w:line="186" w:lineRule="auto"/>
              <w:ind w:left="216"/>
            </w:pPr>
            <w:r>
              <w:rPr>
                <w:spacing w:val="-3"/>
              </w:rPr>
              <w:t>SC-SW-</w:t>
            </w:r>
          </w:p>
          <w:p w14:paraId="380E14E3">
            <w:pPr>
              <w:pStyle w:val="6"/>
              <w:spacing w:before="53" w:line="178" w:lineRule="auto"/>
              <w:ind w:left="427"/>
            </w:pPr>
            <w:r>
              <w:rPr>
                <w:spacing w:val="-2"/>
              </w:rPr>
              <w:t>CC</w:t>
            </w:r>
          </w:p>
        </w:tc>
        <w:tc>
          <w:tcPr>
            <w:tcW w:w="842" w:type="dxa"/>
            <w:vAlign w:val="top"/>
          </w:tcPr>
          <w:p w14:paraId="4C70D17C">
            <w:pPr>
              <w:pStyle w:val="6"/>
              <w:spacing w:before="177" w:line="185" w:lineRule="auto"/>
              <w:ind w:left="359"/>
            </w:pPr>
            <w:r>
              <w:t>Ⅱ</w:t>
            </w:r>
          </w:p>
        </w:tc>
        <w:tc>
          <w:tcPr>
            <w:tcW w:w="702" w:type="dxa"/>
            <w:vAlign w:val="top"/>
          </w:tcPr>
          <w:p w14:paraId="451C1912">
            <w:pPr>
              <w:pStyle w:val="6"/>
              <w:spacing w:before="172" w:line="251" w:lineRule="exact"/>
              <w:ind w:left="120"/>
            </w:pPr>
            <w:r>
              <w:rPr>
                <w:spacing w:val="-1"/>
                <w:position w:val="1"/>
              </w:rPr>
              <w:t>++++</w:t>
            </w:r>
          </w:p>
        </w:tc>
        <w:tc>
          <w:tcPr>
            <w:tcW w:w="842" w:type="dxa"/>
            <w:vAlign w:val="top"/>
          </w:tcPr>
          <w:p w14:paraId="46B42175">
            <w:pPr>
              <w:pStyle w:val="6"/>
              <w:spacing w:before="176" w:line="179" w:lineRule="auto"/>
              <w:ind w:left="207"/>
            </w:pPr>
            <w:r>
              <w:rPr>
                <w:spacing w:val="-10"/>
              </w:rPr>
              <w:t>S</w:t>
            </w:r>
            <w:r>
              <w:rPr>
                <w:spacing w:val="-30"/>
              </w:rPr>
              <w:t xml:space="preserve"> </w:t>
            </w:r>
            <w:r>
              <w:rPr>
                <w:rFonts w:ascii="宋体" w:hAnsi="宋体" w:eastAsia="宋体" w:cs="宋体"/>
                <w:spacing w:val="-10"/>
              </w:rPr>
              <w:t>、</w:t>
            </w:r>
            <w:r>
              <w:rPr>
                <w:spacing w:val="-10"/>
              </w:rPr>
              <w:t>C</w:t>
            </w:r>
          </w:p>
        </w:tc>
        <w:tc>
          <w:tcPr>
            <w:tcW w:w="763" w:type="dxa"/>
            <w:tcBorders>
              <w:right w:val="single" w:color="000000" w:sz="12" w:space="0"/>
            </w:tcBorders>
            <w:vAlign w:val="top"/>
          </w:tcPr>
          <w:p w14:paraId="4FCD5A7C">
            <w:pPr>
              <w:rPr>
                <w:rFonts w:ascii="Arial"/>
                <w:sz w:val="21"/>
              </w:rPr>
            </w:pPr>
          </w:p>
        </w:tc>
      </w:tr>
      <w:tr w14:paraId="0583D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59B3FBB1">
            <w:pPr>
              <w:pStyle w:val="6"/>
              <w:spacing w:before="73" w:line="186" w:lineRule="auto"/>
              <w:ind w:left="204"/>
            </w:pPr>
            <w:r>
              <w:rPr>
                <w:b/>
                <w:bCs/>
                <w:spacing w:val="-3"/>
              </w:rPr>
              <w:t>O2</w:t>
            </w:r>
          </w:p>
        </w:tc>
        <w:tc>
          <w:tcPr>
            <w:tcW w:w="1695" w:type="dxa"/>
            <w:vAlign w:val="top"/>
          </w:tcPr>
          <w:p w14:paraId="067263A4">
            <w:pPr>
              <w:spacing w:before="36" w:line="203" w:lineRule="auto"/>
              <w:ind w:left="525"/>
              <w:rPr>
                <w:rFonts w:ascii="宋体" w:hAnsi="宋体" w:eastAsia="宋体" w:cs="宋体"/>
                <w:sz w:val="21"/>
                <w:szCs w:val="21"/>
              </w:rPr>
            </w:pPr>
            <w:r>
              <w:rPr>
                <w:rFonts w:ascii="宋体" w:hAnsi="宋体" w:eastAsia="宋体" w:cs="宋体"/>
                <w:b/>
                <w:bCs/>
                <w:spacing w:val="-4"/>
                <w:sz w:val="21"/>
                <w:szCs w:val="21"/>
              </w:rPr>
              <w:t>食肉目</w:t>
            </w:r>
          </w:p>
        </w:tc>
        <w:tc>
          <w:tcPr>
            <w:tcW w:w="1800" w:type="dxa"/>
            <w:vAlign w:val="top"/>
          </w:tcPr>
          <w:p w14:paraId="6D586C1B">
            <w:pPr>
              <w:pStyle w:val="6"/>
              <w:spacing w:before="73" w:line="186" w:lineRule="auto"/>
              <w:ind w:left="433"/>
            </w:pPr>
            <w:r>
              <w:rPr>
                <w:b/>
                <w:bCs/>
                <w:spacing w:val="-1"/>
              </w:rPr>
              <w:t>Carnivora</w:t>
            </w:r>
          </w:p>
        </w:tc>
        <w:tc>
          <w:tcPr>
            <w:tcW w:w="1124" w:type="dxa"/>
            <w:vAlign w:val="top"/>
          </w:tcPr>
          <w:p w14:paraId="18A326C6">
            <w:pPr>
              <w:rPr>
                <w:rFonts w:ascii="Arial"/>
                <w:sz w:val="21"/>
              </w:rPr>
            </w:pPr>
          </w:p>
        </w:tc>
        <w:tc>
          <w:tcPr>
            <w:tcW w:w="842" w:type="dxa"/>
            <w:vAlign w:val="top"/>
          </w:tcPr>
          <w:p w14:paraId="681E5B77">
            <w:pPr>
              <w:rPr>
                <w:rFonts w:ascii="Arial"/>
                <w:sz w:val="21"/>
              </w:rPr>
            </w:pPr>
          </w:p>
        </w:tc>
        <w:tc>
          <w:tcPr>
            <w:tcW w:w="702" w:type="dxa"/>
            <w:vAlign w:val="top"/>
          </w:tcPr>
          <w:p w14:paraId="1E5A1C3D">
            <w:pPr>
              <w:rPr>
                <w:rFonts w:ascii="Arial"/>
                <w:sz w:val="21"/>
              </w:rPr>
            </w:pPr>
          </w:p>
        </w:tc>
        <w:tc>
          <w:tcPr>
            <w:tcW w:w="842" w:type="dxa"/>
            <w:vAlign w:val="top"/>
          </w:tcPr>
          <w:p w14:paraId="0D21CCCE">
            <w:pPr>
              <w:rPr>
                <w:rFonts w:ascii="Arial"/>
                <w:sz w:val="21"/>
              </w:rPr>
            </w:pPr>
          </w:p>
        </w:tc>
        <w:tc>
          <w:tcPr>
            <w:tcW w:w="763" w:type="dxa"/>
            <w:tcBorders>
              <w:right w:val="single" w:color="000000" w:sz="12" w:space="0"/>
            </w:tcBorders>
            <w:vAlign w:val="top"/>
          </w:tcPr>
          <w:p w14:paraId="4161876E">
            <w:pPr>
              <w:rPr>
                <w:rFonts w:ascii="Arial"/>
                <w:sz w:val="21"/>
              </w:rPr>
            </w:pPr>
          </w:p>
        </w:tc>
      </w:tr>
      <w:tr w14:paraId="4C44F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5" w:type="dxa"/>
            <w:tcBorders>
              <w:left w:val="single" w:color="000000" w:sz="12" w:space="0"/>
            </w:tcBorders>
            <w:vAlign w:val="top"/>
          </w:tcPr>
          <w:p w14:paraId="115CCE4C">
            <w:pPr>
              <w:pStyle w:val="6"/>
              <w:spacing w:before="74" w:line="186" w:lineRule="auto"/>
              <w:ind w:left="219"/>
            </w:pPr>
            <w:r>
              <w:rPr>
                <w:b/>
                <w:bCs/>
                <w:spacing w:val="-2"/>
              </w:rPr>
              <w:t>F2</w:t>
            </w:r>
          </w:p>
        </w:tc>
        <w:tc>
          <w:tcPr>
            <w:tcW w:w="1695" w:type="dxa"/>
            <w:vAlign w:val="top"/>
          </w:tcPr>
          <w:p w14:paraId="1F200A59">
            <w:pPr>
              <w:spacing w:before="36" w:line="201" w:lineRule="auto"/>
              <w:ind w:left="637"/>
              <w:rPr>
                <w:rFonts w:ascii="宋体" w:hAnsi="宋体" w:eastAsia="宋体" w:cs="宋体"/>
                <w:sz w:val="21"/>
                <w:szCs w:val="21"/>
              </w:rPr>
            </w:pPr>
            <w:r>
              <w:rPr>
                <w:rFonts w:ascii="宋体" w:hAnsi="宋体" w:eastAsia="宋体" w:cs="宋体"/>
                <w:b/>
                <w:bCs/>
                <w:spacing w:val="-6"/>
                <w:sz w:val="21"/>
                <w:szCs w:val="21"/>
              </w:rPr>
              <w:t>鼬科</w:t>
            </w:r>
          </w:p>
        </w:tc>
        <w:tc>
          <w:tcPr>
            <w:tcW w:w="1800" w:type="dxa"/>
            <w:vAlign w:val="top"/>
          </w:tcPr>
          <w:p w14:paraId="7BC22397">
            <w:pPr>
              <w:pStyle w:val="6"/>
              <w:spacing w:before="74" w:line="186" w:lineRule="auto"/>
              <w:ind w:left="399"/>
            </w:pPr>
            <w:r>
              <w:rPr>
                <w:b/>
                <w:bCs/>
                <w:spacing w:val="-1"/>
              </w:rPr>
              <w:t>Mustelidae</w:t>
            </w:r>
          </w:p>
        </w:tc>
        <w:tc>
          <w:tcPr>
            <w:tcW w:w="1124" w:type="dxa"/>
            <w:vAlign w:val="top"/>
          </w:tcPr>
          <w:p w14:paraId="4FC1EDA4">
            <w:pPr>
              <w:rPr>
                <w:rFonts w:ascii="Arial"/>
                <w:sz w:val="21"/>
              </w:rPr>
            </w:pPr>
          </w:p>
        </w:tc>
        <w:tc>
          <w:tcPr>
            <w:tcW w:w="842" w:type="dxa"/>
            <w:vAlign w:val="top"/>
          </w:tcPr>
          <w:p w14:paraId="451FFEB7">
            <w:pPr>
              <w:rPr>
                <w:rFonts w:ascii="Arial"/>
                <w:sz w:val="21"/>
              </w:rPr>
            </w:pPr>
          </w:p>
        </w:tc>
        <w:tc>
          <w:tcPr>
            <w:tcW w:w="702" w:type="dxa"/>
            <w:vAlign w:val="top"/>
          </w:tcPr>
          <w:p w14:paraId="47D9E81F">
            <w:pPr>
              <w:rPr>
                <w:rFonts w:ascii="Arial"/>
                <w:sz w:val="21"/>
              </w:rPr>
            </w:pPr>
          </w:p>
        </w:tc>
        <w:tc>
          <w:tcPr>
            <w:tcW w:w="842" w:type="dxa"/>
            <w:vAlign w:val="top"/>
          </w:tcPr>
          <w:p w14:paraId="4D560D5C">
            <w:pPr>
              <w:rPr>
                <w:rFonts w:ascii="Arial"/>
                <w:sz w:val="21"/>
              </w:rPr>
            </w:pPr>
          </w:p>
        </w:tc>
        <w:tc>
          <w:tcPr>
            <w:tcW w:w="763" w:type="dxa"/>
            <w:tcBorders>
              <w:right w:val="single" w:color="000000" w:sz="12" w:space="0"/>
            </w:tcBorders>
            <w:vAlign w:val="top"/>
          </w:tcPr>
          <w:p w14:paraId="54FA7F4E">
            <w:pPr>
              <w:rPr>
                <w:rFonts w:ascii="Arial"/>
                <w:sz w:val="21"/>
              </w:rPr>
            </w:pPr>
          </w:p>
        </w:tc>
      </w:tr>
      <w:tr w14:paraId="7E633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5" w:type="dxa"/>
            <w:tcBorders>
              <w:left w:val="single" w:color="000000" w:sz="12" w:space="0"/>
            </w:tcBorders>
            <w:vAlign w:val="top"/>
          </w:tcPr>
          <w:p w14:paraId="1609BDB1">
            <w:pPr>
              <w:pStyle w:val="6"/>
              <w:spacing w:before="71" w:line="193" w:lineRule="auto"/>
              <w:ind w:left="282"/>
            </w:pPr>
            <w:r>
              <w:t>2</w:t>
            </w:r>
          </w:p>
        </w:tc>
        <w:tc>
          <w:tcPr>
            <w:tcW w:w="1695" w:type="dxa"/>
            <w:vAlign w:val="top"/>
          </w:tcPr>
          <w:p w14:paraId="42B30742">
            <w:pPr>
              <w:spacing w:before="38" w:line="200" w:lineRule="auto"/>
              <w:ind w:left="631"/>
              <w:rPr>
                <w:rFonts w:ascii="宋体" w:hAnsi="宋体" w:eastAsia="宋体" w:cs="宋体"/>
                <w:sz w:val="21"/>
                <w:szCs w:val="21"/>
              </w:rPr>
            </w:pPr>
            <w:r>
              <w:rPr>
                <w:rFonts w:ascii="宋体" w:hAnsi="宋体" w:eastAsia="宋体" w:cs="宋体"/>
                <w:spacing w:val="-2"/>
                <w:sz w:val="21"/>
                <w:szCs w:val="21"/>
              </w:rPr>
              <w:t>黄鼬</w:t>
            </w:r>
          </w:p>
        </w:tc>
        <w:tc>
          <w:tcPr>
            <w:tcW w:w="1800" w:type="dxa"/>
            <w:vAlign w:val="top"/>
          </w:tcPr>
          <w:p w14:paraId="2091FEFD">
            <w:pPr>
              <w:pStyle w:val="6"/>
              <w:spacing w:before="71" w:line="193" w:lineRule="auto"/>
              <w:ind w:left="200"/>
            </w:pPr>
            <w:r>
              <w:rPr>
                <w:i/>
                <w:iCs/>
              </w:rPr>
              <w:t>Mustela</w:t>
            </w:r>
            <w:r>
              <w:rPr>
                <w:i/>
                <w:iCs/>
                <w:spacing w:val="6"/>
              </w:rPr>
              <w:t xml:space="preserve"> </w:t>
            </w:r>
            <w:r>
              <w:rPr>
                <w:i/>
                <w:iCs/>
              </w:rPr>
              <w:t>sibirica</w:t>
            </w:r>
          </w:p>
        </w:tc>
        <w:tc>
          <w:tcPr>
            <w:tcW w:w="1124" w:type="dxa"/>
            <w:vAlign w:val="top"/>
          </w:tcPr>
          <w:p w14:paraId="7CBA4E96">
            <w:pPr>
              <w:pStyle w:val="6"/>
              <w:spacing w:before="75" w:line="186" w:lineRule="auto"/>
              <w:ind w:left="352"/>
            </w:pPr>
            <w:r>
              <w:rPr>
                <w:spacing w:val="-1"/>
              </w:rPr>
              <w:t>POD</w:t>
            </w:r>
          </w:p>
        </w:tc>
        <w:tc>
          <w:tcPr>
            <w:tcW w:w="842" w:type="dxa"/>
            <w:vAlign w:val="top"/>
          </w:tcPr>
          <w:p w14:paraId="4F16830C">
            <w:pPr>
              <w:rPr>
                <w:rFonts w:ascii="Arial"/>
                <w:sz w:val="21"/>
              </w:rPr>
            </w:pPr>
          </w:p>
        </w:tc>
        <w:tc>
          <w:tcPr>
            <w:tcW w:w="702" w:type="dxa"/>
            <w:vAlign w:val="top"/>
          </w:tcPr>
          <w:p w14:paraId="7C288E24">
            <w:pPr>
              <w:pStyle w:val="6"/>
              <w:spacing w:before="71" w:line="193" w:lineRule="auto"/>
              <w:ind w:left="239"/>
            </w:pPr>
            <w:r>
              <w:rPr>
                <w:spacing w:val="-1"/>
              </w:rPr>
              <w:t>++</w:t>
            </w:r>
          </w:p>
        </w:tc>
        <w:tc>
          <w:tcPr>
            <w:tcW w:w="842" w:type="dxa"/>
            <w:vAlign w:val="top"/>
          </w:tcPr>
          <w:p w14:paraId="2FFE0B48">
            <w:pPr>
              <w:pStyle w:val="6"/>
              <w:spacing w:before="78" w:line="183" w:lineRule="auto"/>
              <w:ind w:left="353"/>
            </w:pPr>
            <w:r>
              <w:t>V</w:t>
            </w:r>
          </w:p>
        </w:tc>
        <w:tc>
          <w:tcPr>
            <w:tcW w:w="763" w:type="dxa"/>
            <w:tcBorders>
              <w:right w:val="single" w:color="000000" w:sz="12" w:space="0"/>
            </w:tcBorders>
            <w:vAlign w:val="top"/>
          </w:tcPr>
          <w:p w14:paraId="72302B7A">
            <w:pPr>
              <w:rPr>
                <w:rFonts w:ascii="Arial"/>
                <w:sz w:val="21"/>
              </w:rPr>
            </w:pPr>
          </w:p>
        </w:tc>
      </w:tr>
      <w:tr w14:paraId="33FB7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5" w:type="dxa"/>
            <w:tcBorders>
              <w:left w:val="single" w:color="000000" w:sz="12" w:space="0"/>
            </w:tcBorders>
            <w:vAlign w:val="top"/>
          </w:tcPr>
          <w:p w14:paraId="791D589D">
            <w:pPr>
              <w:pStyle w:val="6"/>
              <w:spacing w:before="179" w:line="232" w:lineRule="auto"/>
              <w:ind w:left="287"/>
            </w:pPr>
            <w:r>
              <w:t>3</w:t>
            </w:r>
          </w:p>
        </w:tc>
        <w:tc>
          <w:tcPr>
            <w:tcW w:w="1695" w:type="dxa"/>
            <w:vAlign w:val="top"/>
          </w:tcPr>
          <w:p w14:paraId="7F25A58D">
            <w:pPr>
              <w:spacing w:before="145" w:line="220" w:lineRule="auto"/>
              <w:ind w:left="638"/>
              <w:rPr>
                <w:rFonts w:ascii="宋体" w:hAnsi="宋体" w:eastAsia="宋体" w:cs="宋体"/>
                <w:sz w:val="21"/>
                <w:szCs w:val="21"/>
              </w:rPr>
            </w:pPr>
            <w:r>
              <w:rPr>
                <w:rFonts w:ascii="宋体" w:hAnsi="宋体" w:eastAsia="宋体" w:cs="宋体"/>
                <w:spacing w:val="-4"/>
                <w:sz w:val="21"/>
                <w:szCs w:val="21"/>
              </w:rPr>
              <w:t>鼬獾</w:t>
            </w:r>
          </w:p>
        </w:tc>
        <w:tc>
          <w:tcPr>
            <w:tcW w:w="1800" w:type="dxa"/>
            <w:vAlign w:val="top"/>
          </w:tcPr>
          <w:p w14:paraId="7C29CE25">
            <w:pPr>
              <w:pStyle w:val="6"/>
              <w:spacing w:before="57" w:line="190" w:lineRule="auto"/>
              <w:ind w:left="488"/>
            </w:pPr>
            <w:r>
              <w:rPr>
                <w:i/>
                <w:iCs/>
              </w:rPr>
              <w:t>Melogale</w:t>
            </w:r>
          </w:p>
          <w:p w14:paraId="58E3F013">
            <w:pPr>
              <w:pStyle w:val="6"/>
              <w:spacing w:before="49" w:line="176" w:lineRule="auto"/>
              <w:ind w:left="492"/>
            </w:pPr>
            <w:r>
              <w:rPr>
                <w:i/>
                <w:iCs/>
              </w:rPr>
              <w:t>moschata</w:t>
            </w:r>
          </w:p>
        </w:tc>
        <w:tc>
          <w:tcPr>
            <w:tcW w:w="1124" w:type="dxa"/>
            <w:vAlign w:val="top"/>
          </w:tcPr>
          <w:p w14:paraId="0BD16E8A">
            <w:pPr>
              <w:pStyle w:val="6"/>
              <w:spacing w:before="182" w:line="186" w:lineRule="auto"/>
              <w:ind w:left="414"/>
            </w:pPr>
            <w:r>
              <w:rPr>
                <w:spacing w:val="-2"/>
              </w:rPr>
              <w:t>OD</w:t>
            </w:r>
          </w:p>
        </w:tc>
        <w:tc>
          <w:tcPr>
            <w:tcW w:w="842" w:type="dxa"/>
            <w:vAlign w:val="top"/>
          </w:tcPr>
          <w:p w14:paraId="65A4C1F4">
            <w:pPr>
              <w:rPr>
                <w:rFonts w:ascii="Arial"/>
                <w:sz w:val="21"/>
              </w:rPr>
            </w:pPr>
          </w:p>
        </w:tc>
        <w:tc>
          <w:tcPr>
            <w:tcW w:w="702" w:type="dxa"/>
            <w:vAlign w:val="top"/>
          </w:tcPr>
          <w:p w14:paraId="2C8C9E5F">
            <w:pPr>
              <w:pStyle w:val="6"/>
              <w:spacing w:before="179" w:line="251" w:lineRule="exact"/>
              <w:ind w:left="179"/>
            </w:pPr>
            <w:r>
              <w:rPr>
                <w:spacing w:val="-1"/>
                <w:position w:val="1"/>
              </w:rPr>
              <w:t>+++</w:t>
            </w:r>
          </w:p>
        </w:tc>
        <w:tc>
          <w:tcPr>
            <w:tcW w:w="842" w:type="dxa"/>
            <w:vAlign w:val="top"/>
          </w:tcPr>
          <w:p w14:paraId="690150E4">
            <w:pPr>
              <w:pStyle w:val="6"/>
              <w:spacing w:before="182" w:line="186" w:lineRule="auto"/>
              <w:ind w:left="364"/>
            </w:pPr>
            <w:r>
              <w:t>C</w:t>
            </w:r>
          </w:p>
        </w:tc>
        <w:tc>
          <w:tcPr>
            <w:tcW w:w="763" w:type="dxa"/>
            <w:tcBorders>
              <w:right w:val="single" w:color="000000" w:sz="12" w:space="0"/>
            </w:tcBorders>
            <w:vAlign w:val="top"/>
          </w:tcPr>
          <w:p w14:paraId="5946A60D">
            <w:pPr>
              <w:rPr>
                <w:rFonts w:ascii="Arial"/>
                <w:sz w:val="21"/>
              </w:rPr>
            </w:pPr>
          </w:p>
        </w:tc>
      </w:tr>
      <w:tr w14:paraId="3AF96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66365162">
            <w:pPr>
              <w:pStyle w:val="6"/>
              <w:spacing w:before="80" w:line="185" w:lineRule="auto"/>
              <w:ind w:left="219"/>
            </w:pPr>
            <w:r>
              <w:rPr>
                <w:b/>
                <w:bCs/>
                <w:spacing w:val="-2"/>
              </w:rPr>
              <w:t>F3</w:t>
            </w:r>
          </w:p>
        </w:tc>
        <w:tc>
          <w:tcPr>
            <w:tcW w:w="1695" w:type="dxa"/>
            <w:vAlign w:val="top"/>
          </w:tcPr>
          <w:p w14:paraId="25A7E1F1">
            <w:pPr>
              <w:spacing w:before="41" w:line="198" w:lineRule="auto"/>
              <w:ind w:left="528"/>
              <w:rPr>
                <w:rFonts w:ascii="宋体" w:hAnsi="宋体" w:eastAsia="宋体" w:cs="宋体"/>
                <w:sz w:val="21"/>
                <w:szCs w:val="21"/>
              </w:rPr>
            </w:pPr>
            <w:r>
              <w:rPr>
                <w:rFonts w:ascii="宋体" w:hAnsi="宋体" w:eastAsia="宋体" w:cs="宋体"/>
                <w:b/>
                <w:bCs/>
                <w:spacing w:val="-5"/>
                <w:sz w:val="21"/>
                <w:szCs w:val="21"/>
              </w:rPr>
              <w:t>灵猫科</w:t>
            </w:r>
          </w:p>
        </w:tc>
        <w:tc>
          <w:tcPr>
            <w:tcW w:w="1800" w:type="dxa"/>
            <w:vAlign w:val="top"/>
          </w:tcPr>
          <w:p w14:paraId="1D1B4D7F">
            <w:pPr>
              <w:pStyle w:val="6"/>
              <w:spacing w:before="79" w:line="186" w:lineRule="auto"/>
              <w:ind w:left="408"/>
            </w:pPr>
            <w:r>
              <w:rPr>
                <w:b/>
                <w:bCs/>
                <w:spacing w:val="-1"/>
              </w:rPr>
              <w:t>Viverridae</w:t>
            </w:r>
          </w:p>
        </w:tc>
        <w:tc>
          <w:tcPr>
            <w:tcW w:w="1124" w:type="dxa"/>
            <w:vAlign w:val="top"/>
          </w:tcPr>
          <w:p w14:paraId="24E221CE">
            <w:pPr>
              <w:rPr>
                <w:rFonts w:ascii="Arial"/>
                <w:sz w:val="21"/>
              </w:rPr>
            </w:pPr>
          </w:p>
        </w:tc>
        <w:tc>
          <w:tcPr>
            <w:tcW w:w="842" w:type="dxa"/>
            <w:vAlign w:val="top"/>
          </w:tcPr>
          <w:p w14:paraId="249AF3B6">
            <w:pPr>
              <w:rPr>
                <w:rFonts w:ascii="Arial"/>
                <w:sz w:val="21"/>
              </w:rPr>
            </w:pPr>
          </w:p>
        </w:tc>
        <w:tc>
          <w:tcPr>
            <w:tcW w:w="702" w:type="dxa"/>
            <w:vAlign w:val="top"/>
          </w:tcPr>
          <w:p w14:paraId="293468F1">
            <w:pPr>
              <w:rPr>
                <w:rFonts w:ascii="Arial"/>
                <w:sz w:val="21"/>
              </w:rPr>
            </w:pPr>
          </w:p>
        </w:tc>
        <w:tc>
          <w:tcPr>
            <w:tcW w:w="842" w:type="dxa"/>
            <w:vAlign w:val="top"/>
          </w:tcPr>
          <w:p w14:paraId="4E6BC105">
            <w:pPr>
              <w:rPr>
                <w:rFonts w:ascii="Arial"/>
                <w:sz w:val="21"/>
              </w:rPr>
            </w:pPr>
          </w:p>
        </w:tc>
        <w:tc>
          <w:tcPr>
            <w:tcW w:w="763" w:type="dxa"/>
            <w:tcBorders>
              <w:right w:val="single" w:color="000000" w:sz="12" w:space="0"/>
            </w:tcBorders>
            <w:vAlign w:val="top"/>
          </w:tcPr>
          <w:p w14:paraId="2017B144">
            <w:pPr>
              <w:rPr>
                <w:rFonts w:ascii="Arial"/>
                <w:sz w:val="21"/>
              </w:rPr>
            </w:pPr>
          </w:p>
        </w:tc>
      </w:tr>
      <w:tr w14:paraId="48069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5" w:type="dxa"/>
            <w:tcBorders>
              <w:left w:val="single" w:color="000000" w:sz="12" w:space="0"/>
            </w:tcBorders>
            <w:vAlign w:val="top"/>
          </w:tcPr>
          <w:p w14:paraId="49243C04">
            <w:pPr>
              <w:pStyle w:val="6"/>
              <w:spacing w:before="75" w:line="188" w:lineRule="auto"/>
              <w:ind w:left="281"/>
            </w:pPr>
            <w:r>
              <w:t>4</w:t>
            </w:r>
          </w:p>
        </w:tc>
        <w:tc>
          <w:tcPr>
            <w:tcW w:w="1695" w:type="dxa"/>
            <w:vAlign w:val="top"/>
          </w:tcPr>
          <w:p w14:paraId="580B23B2">
            <w:pPr>
              <w:spacing w:before="42" w:line="196" w:lineRule="auto"/>
              <w:ind w:left="530"/>
              <w:rPr>
                <w:rFonts w:ascii="宋体" w:hAnsi="宋体" w:eastAsia="宋体" w:cs="宋体"/>
                <w:sz w:val="21"/>
                <w:szCs w:val="21"/>
              </w:rPr>
            </w:pPr>
            <w:r>
              <w:rPr>
                <w:rFonts w:ascii="宋体" w:hAnsi="宋体" w:eastAsia="宋体" w:cs="宋体"/>
                <w:spacing w:val="-3"/>
                <w:sz w:val="21"/>
                <w:szCs w:val="21"/>
              </w:rPr>
              <w:t>果子狸</w:t>
            </w:r>
          </w:p>
        </w:tc>
        <w:tc>
          <w:tcPr>
            <w:tcW w:w="1800" w:type="dxa"/>
            <w:vAlign w:val="top"/>
          </w:tcPr>
          <w:p w14:paraId="7214E359">
            <w:pPr>
              <w:pStyle w:val="6"/>
              <w:spacing w:before="74" w:line="189" w:lineRule="auto"/>
              <w:ind w:left="207"/>
            </w:pPr>
            <w:r>
              <w:rPr>
                <w:i/>
                <w:iCs/>
              </w:rPr>
              <w:t>Paguma</w:t>
            </w:r>
            <w:r>
              <w:rPr>
                <w:i/>
                <w:iCs/>
                <w:spacing w:val="4"/>
              </w:rPr>
              <w:t xml:space="preserve"> </w:t>
            </w:r>
            <w:r>
              <w:rPr>
                <w:i/>
                <w:iCs/>
              </w:rPr>
              <w:t>larvata</w:t>
            </w:r>
          </w:p>
        </w:tc>
        <w:tc>
          <w:tcPr>
            <w:tcW w:w="1124" w:type="dxa"/>
            <w:vAlign w:val="top"/>
          </w:tcPr>
          <w:p w14:paraId="07EF0BB3">
            <w:pPr>
              <w:pStyle w:val="6"/>
              <w:spacing w:before="78" w:line="185" w:lineRule="auto"/>
              <w:ind w:left="414"/>
            </w:pPr>
            <w:r>
              <w:rPr>
                <w:spacing w:val="-2"/>
              </w:rPr>
              <w:t>OD</w:t>
            </w:r>
          </w:p>
        </w:tc>
        <w:tc>
          <w:tcPr>
            <w:tcW w:w="842" w:type="dxa"/>
            <w:vAlign w:val="top"/>
          </w:tcPr>
          <w:p w14:paraId="57EBF7D1">
            <w:pPr>
              <w:rPr>
                <w:rFonts w:ascii="Arial"/>
                <w:sz w:val="21"/>
              </w:rPr>
            </w:pPr>
          </w:p>
        </w:tc>
        <w:tc>
          <w:tcPr>
            <w:tcW w:w="702" w:type="dxa"/>
            <w:vAlign w:val="top"/>
          </w:tcPr>
          <w:p w14:paraId="587C4AD9">
            <w:pPr>
              <w:pStyle w:val="6"/>
              <w:spacing w:before="75" w:line="188" w:lineRule="auto"/>
              <w:ind w:left="298"/>
            </w:pPr>
            <w:r>
              <w:t>+</w:t>
            </w:r>
          </w:p>
        </w:tc>
        <w:tc>
          <w:tcPr>
            <w:tcW w:w="842" w:type="dxa"/>
            <w:vAlign w:val="top"/>
          </w:tcPr>
          <w:p w14:paraId="50B8D071">
            <w:pPr>
              <w:pStyle w:val="6"/>
              <w:spacing w:before="78" w:line="185" w:lineRule="auto"/>
              <w:ind w:left="364"/>
            </w:pPr>
            <w:r>
              <w:t>C</w:t>
            </w:r>
          </w:p>
        </w:tc>
        <w:tc>
          <w:tcPr>
            <w:tcW w:w="763" w:type="dxa"/>
            <w:tcBorders>
              <w:right w:val="single" w:color="000000" w:sz="12" w:space="0"/>
            </w:tcBorders>
            <w:vAlign w:val="top"/>
          </w:tcPr>
          <w:p w14:paraId="50E7D77D">
            <w:pPr>
              <w:rPr>
                <w:rFonts w:ascii="Arial"/>
                <w:sz w:val="21"/>
              </w:rPr>
            </w:pPr>
          </w:p>
        </w:tc>
      </w:tr>
      <w:tr w14:paraId="0B262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09735AC0">
            <w:pPr>
              <w:pStyle w:val="6"/>
              <w:spacing w:before="82" w:line="183" w:lineRule="auto"/>
              <w:ind w:left="219"/>
            </w:pPr>
            <w:r>
              <w:rPr>
                <w:b/>
                <w:bCs/>
                <w:spacing w:val="-2"/>
              </w:rPr>
              <w:t>F4</w:t>
            </w:r>
          </w:p>
        </w:tc>
        <w:tc>
          <w:tcPr>
            <w:tcW w:w="1695" w:type="dxa"/>
            <w:vAlign w:val="top"/>
          </w:tcPr>
          <w:p w14:paraId="608249C5">
            <w:pPr>
              <w:spacing w:before="45" w:line="195" w:lineRule="auto"/>
              <w:ind w:left="629"/>
              <w:rPr>
                <w:rFonts w:ascii="宋体" w:hAnsi="宋体" w:eastAsia="宋体" w:cs="宋体"/>
                <w:sz w:val="21"/>
                <w:szCs w:val="21"/>
              </w:rPr>
            </w:pPr>
            <w:r>
              <w:rPr>
                <w:rFonts w:ascii="宋体" w:hAnsi="宋体" w:eastAsia="宋体" w:cs="宋体"/>
                <w:b/>
                <w:bCs/>
                <w:spacing w:val="-4"/>
                <w:sz w:val="21"/>
                <w:szCs w:val="21"/>
              </w:rPr>
              <w:t>猫科</w:t>
            </w:r>
          </w:p>
        </w:tc>
        <w:tc>
          <w:tcPr>
            <w:tcW w:w="1800" w:type="dxa"/>
            <w:vAlign w:val="top"/>
          </w:tcPr>
          <w:p w14:paraId="46F380F4">
            <w:pPr>
              <w:pStyle w:val="6"/>
              <w:spacing w:before="82" w:line="183" w:lineRule="auto"/>
              <w:ind w:left="569"/>
            </w:pPr>
            <w:r>
              <w:rPr>
                <w:b/>
                <w:bCs/>
                <w:spacing w:val="-1"/>
              </w:rPr>
              <w:t>Felidae</w:t>
            </w:r>
          </w:p>
        </w:tc>
        <w:tc>
          <w:tcPr>
            <w:tcW w:w="1124" w:type="dxa"/>
            <w:vAlign w:val="top"/>
          </w:tcPr>
          <w:p w14:paraId="543861F5">
            <w:pPr>
              <w:rPr>
                <w:rFonts w:ascii="Arial"/>
                <w:sz w:val="21"/>
              </w:rPr>
            </w:pPr>
          </w:p>
        </w:tc>
        <w:tc>
          <w:tcPr>
            <w:tcW w:w="842" w:type="dxa"/>
            <w:vAlign w:val="top"/>
          </w:tcPr>
          <w:p w14:paraId="12B511FA">
            <w:pPr>
              <w:rPr>
                <w:rFonts w:ascii="Arial"/>
                <w:sz w:val="21"/>
              </w:rPr>
            </w:pPr>
          </w:p>
        </w:tc>
        <w:tc>
          <w:tcPr>
            <w:tcW w:w="702" w:type="dxa"/>
            <w:vAlign w:val="top"/>
          </w:tcPr>
          <w:p w14:paraId="1D976C25">
            <w:pPr>
              <w:rPr>
                <w:rFonts w:ascii="Arial"/>
                <w:sz w:val="21"/>
              </w:rPr>
            </w:pPr>
          </w:p>
        </w:tc>
        <w:tc>
          <w:tcPr>
            <w:tcW w:w="842" w:type="dxa"/>
            <w:vAlign w:val="top"/>
          </w:tcPr>
          <w:p w14:paraId="2D0E5336">
            <w:pPr>
              <w:rPr>
                <w:rFonts w:ascii="Arial"/>
                <w:sz w:val="21"/>
              </w:rPr>
            </w:pPr>
          </w:p>
        </w:tc>
        <w:tc>
          <w:tcPr>
            <w:tcW w:w="763" w:type="dxa"/>
            <w:tcBorders>
              <w:right w:val="single" w:color="000000" w:sz="12" w:space="0"/>
            </w:tcBorders>
            <w:vAlign w:val="top"/>
          </w:tcPr>
          <w:p w14:paraId="49EF46C8">
            <w:pPr>
              <w:rPr>
                <w:rFonts w:ascii="Arial"/>
                <w:sz w:val="21"/>
              </w:rPr>
            </w:pPr>
          </w:p>
        </w:tc>
      </w:tr>
      <w:tr w14:paraId="757F9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705" w:type="dxa"/>
            <w:tcBorders>
              <w:left w:val="single" w:color="000000" w:sz="12" w:space="0"/>
            </w:tcBorders>
            <w:vAlign w:val="top"/>
          </w:tcPr>
          <w:p w14:paraId="73A59521">
            <w:pPr>
              <w:pStyle w:val="6"/>
              <w:spacing w:before="199" w:line="232" w:lineRule="auto"/>
              <w:ind w:left="288"/>
            </w:pPr>
            <w:r>
              <w:t>5</w:t>
            </w:r>
          </w:p>
        </w:tc>
        <w:tc>
          <w:tcPr>
            <w:tcW w:w="1695" w:type="dxa"/>
            <w:vAlign w:val="top"/>
          </w:tcPr>
          <w:p w14:paraId="20D60EA7">
            <w:pPr>
              <w:spacing w:before="165" w:line="220" w:lineRule="auto"/>
              <w:ind w:left="631"/>
              <w:rPr>
                <w:rFonts w:ascii="宋体" w:hAnsi="宋体" w:eastAsia="宋体" w:cs="宋体"/>
                <w:sz w:val="21"/>
                <w:szCs w:val="21"/>
              </w:rPr>
            </w:pPr>
            <w:r>
              <w:rPr>
                <w:rFonts w:ascii="宋体" w:hAnsi="宋体" w:eastAsia="宋体" w:cs="宋体"/>
                <w:spacing w:val="-3"/>
                <w:sz w:val="21"/>
                <w:szCs w:val="21"/>
              </w:rPr>
              <w:t>豹猫</w:t>
            </w:r>
          </w:p>
        </w:tc>
        <w:tc>
          <w:tcPr>
            <w:tcW w:w="1800" w:type="dxa"/>
            <w:vAlign w:val="top"/>
          </w:tcPr>
          <w:p w14:paraId="212E9C85">
            <w:pPr>
              <w:pStyle w:val="6"/>
              <w:spacing w:before="77" w:line="190" w:lineRule="auto"/>
              <w:ind w:left="349"/>
            </w:pPr>
            <w:r>
              <w:rPr>
                <w:i/>
                <w:iCs/>
              </w:rPr>
              <w:t>Prionailurus</w:t>
            </w:r>
          </w:p>
          <w:p w14:paraId="5C5B0773">
            <w:pPr>
              <w:pStyle w:val="6"/>
              <w:spacing w:before="49" w:line="186" w:lineRule="auto"/>
              <w:ind w:left="401"/>
            </w:pPr>
            <w:r>
              <w:rPr>
                <w:i/>
                <w:iCs/>
                <w:spacing w:val="-1"/>
              </w:rPr>
              <w:t>bengalensis</w:t>
            </w:r>
          </w:p>
        </w:tc>
        <w:tc>
          <w:tcPr>
            <w:tcW w:w="1124" w:type="dxa"/>
            <w:vAlign w:val="top"/>
          </w:tcPr>
          <w:p w14:paraId="25766D5F">
            <w:pPr>
              <w:pStyle w:val="6"/>
              <w:spacing w:before="203" w:line="186" w:lineRule="auto"/>
              <w:ind w:left="352"/>
            </w:pPr>
            <w:r>
              <w:rPr>
                <w:spacing w:val="-1"/>
              </w:rPr>
              <w:t>POD</w:t>
            </w:r>
          </w:p>
        </w:tc>
        <w:tc>
          <w:tcPr>
            <w:tcW w:w="842" w:type="dxa"/>
            <w:vAlign w:val="top"/>
          </w:tcPr>
          <w:p w14:paraId="511077A1">
            <w:pPr>
              <w:pStyle w:val="6"/>
              <w:spacing w:before="83" w:line="178" w:lineRule="auto"/>
              <w:ind w:left="253"/>
              <w:rPr>
                <w:rFonts w:ascii="宋体" w:hAnsi="宋体" w:eastAsia="宋体" w:cs="宋体"/>
              </w:rPr>
            </w:pPr>
            <w:r>
              <w:rPr>
                <w:spacing w:val="-3"/>
              </w:rPr>
              <w:t>Ⅱ</w:t>
            </w:r>
            <w:r>
              <w:rPr>
                <w:rFonts w:ascii="宋体" w:hAnsi="宋体" w:eastAsia="宋体" w:cs="宋体"/>
                <w:spacing w:val="-3"/>
              </w:rPr>
              <w:t>、</w:t>
            </w:r>
          </w:p>
          <w:p w14:paraId="20147BA3">
            <w:pPr>
              <w:pStyle w:val="6"/>
              <w:spacing w:before="52" w:line="167" w:lineRule="auto"/>
              <w:ind w:left="166"/>
            </w:pPr>
            <w:r>
              <w:rPr>
                <w:spacing w:val="-1"/>
              </w:rPr>
              <w:t>VU-C</w:t>
            </w:r>
          </w:p>
        </w:tc>
        <w:tc>
          <w:tcPr>
            <w:tcW w:w="702" w:type="dxa"/>
            <w:vAlign w:val="top"/>
          </w:tcPr>
          <w:p w14:paraId="5520192C">
            <w:pPr>
              <w:pStyle w:val="6"/>
              <w:spacing w:before="199" w:line="251" w:lineRule="exact"/>
              <w:ind w:left="239"/>
            </w:pPr>
            <w:r>
              <w:rPr>
                <w:spacing w:val="-1"/>
                <w:position w:val="1"/>
              </w:rPr>
              <w:t>++</w:t>
            </w:r>
          </w:p>
        </w:tc>
        <w:tc>
          <w:tcPr>
            <w:tcW w:w="842" w:type="dxa"/>
            <w:vAlign w:val="top"/>
          </w:tcPr>
          <w:p w14:paraId="7A8AF922">
            <w:pPr>
              <w:pStyle w:val="6"/>
              <w:spacing w:before="203" w:line="179" w:lineRule="auto"/>
              <w:ind w:left="207"/>
            </w:pPr>
            <w:r>
              <w:rPr>
                <w:spacing w:val="-10"/>
              </w:rPr>
              <w:t>S</w:t>
            </w:r>
            <w:r>
              <w:rPr>
                <w:spacing w:val="-30"/>
              </w:rPr>
              <w:t xml:space="preserve"> </w:t>
            </w:r>
            <w:r>
              <w:rPr>
                <w:rFonts w:ascii="宋体" w:hAnsi="宋体" w:eastAsia="宋体" w:cs="宋体"/>
                <w:spacing w:val="-10"/>
              </w:rPr>
              <w:t>、</w:t>
            </w:r>
            <w:r>
              <w:rPr>
                <w:spacing w:val="-10"/>
              </w:rPr>
              <w:t>C</w:t>
            </w:r>
          </w:p>
        </w:tc>
        <w:tc>
          <w:tcPr>
            <w:tcW w:w="763" w:type="dxa"/>
            <w:tcBorders>
              <w:right w:val="single" w:color="000000" w:sz="12" w:space="0"/>
            </w:tcBorders>
            <w:vAlign w:val="top"/>
          </w:tcPr>
          <w:p w14:paraId="5A5B91C8">
            <w:pPr>
              <w:spacing w:before="165" w:line="220" w:lineRule="auto"/>
              <w:ind w:left="182"/>
              <w:rPr>
                <w:rFonts w:ascii="宋体" w:hAnsi="宋体" w:eastAsia="宋体" w:cs="宋体"/>
                <w:sz w:val="21"/>
                <w:szCs w:val="21"/>
              </w:rPr>
            </w:pPr>
            <w:r>
              <w:rPr>
                <w:rFonts w:ascii="宋体" w:hAnsi="宋体" w:eastAsia="宋体" w:cs="宋体"/>
                <w:spacing w:val="-3"/>
                <w:sz w:val="21"/>
                <w:szCs w:val="21"/>
              </w:rPr>
              <w:t>粪便</w:t>
            </w:r>
          </w:p>
        </w:tc>
      </w:tr>
      <w:tr w14:paraId="7998B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500BDAE5">
            <w:pPr>
              <w:pStyle w:val="6"/>
              <w:spacing w:before="85" w:line="180" w:lineRule="auto"/>
              <w:ind w:left="204"/>
            </w:pPr>
            <w:r>
              <w:rPr>
                <w:b/>
                <w:bCs/>
                <w:spacing w:val="-3"/>
              </w:rPr>
              <w:t>O3</w:t>
            </w:r>
          </w:p>
        </w:tc>
        <w:tc>
          <w:tcPr>
            <w:tcW w:w="1695" w:type="dxa"/>
            <w:vAlign w:val="top"/>
          </w:tcPr>
          <w:p w14:paraId="79EC0900">
            <w:pPr>
              <w:spacing w:before="47" w:line="193" w:lineRule="auto"/>
              <w:ind w:left="534"/>
              <w:rPr>
                <w:rFonts w:ascii="宋体" w:hAnsi="宋体" w:eastAsia="宋体" w:cs="宋体"/>
                <w:sz w:val="21"/>
                <w:szCs w:val="21"/>
              </w:rPr>
            </w:pPr>
            <w:r>
              <w:rPr>
                <w:rFonts w:ascii="宋体" w:hAnsi="宋体" w:eastAsia="宋体" w:cs="宋体"/>
                <w:b/>
                <w:bCs/>
                <w:spacing w:val="-6"/>
                <w:sz w:val="21"/>
                <w:szCs w:val="21"/>
              </w:rPr>
              <w:t>啮齿目</w:t>
            </w:r>
          </w:p>
        </w:tc>
        <w:tc>
          <w:tcPr>
            <w:tcW w:w="1800" w:type="dxa"/>
            <w:vAlign w:val="top"/>
          </w:tcPr>
          <w:p w14:paraId="552A0C46">
            <w:pPr>
              <w:pStyle w:val="6"/>
              <w:spacing w:before="85" w:line="180" w:lineRule="auto"/>
              <w:ind w:left="486"/>
            </w:pPr>
            <w:r>
              <w:rPr>
                <w:b/>
                <w:bCs/>
                <w:spacing w:val="-1"/>
              </w:rPr>
              <w:t>Rodentia</w:t>
            </w:r>
          </w:p>
        </w:tc>
        <w:tc>
          <w:tcPr>
            <w:tcW w:w="1124" w:type="dxa"/>
            <w:vAlign w:val="top"/>
          </w:tcPr>
          <w:p w14:paraId="136E3321">
            <w:pPr>
              <w:rPr>
                <w:rFonts w:ascii="Arial"/>
                <w:sz w:val="21"/>
              </w:rPr>
            </w:pPr>
          </w:p>
        </w:tc>
        <w:tc>
          <w:tcPr>
            <w:tcW w:w="842" w:type="dxa"/>
            <w:vAlign w:val="top"/>
          </w:tcPr>
          <w:p w14:paraId="7699E824">
            <w:pPr>
              <w:rPr>
                <w:rFonts w:ascii="Arial"/>
                <w:sz w:val="21"/>
              </w:rPr>
            </w:pPr>
          </w:p>
        </w:tc>
        <w:tc>
          <w:tcPr>
            <w:tcW w:w="702" w:type="dxa"/>
            <w:vAlign w:val="top"/>
          </w:tcPr>
          <w:p w14:paraId="28D46881">
            <w:pPr>
              <w:rPr>
                <w:rFonts w:ascii="Arial"/>
                <w:sz w:val="21"/>
              </w:rPr>
            </w:pPr>
          </w:p>
        </w:tc>
        <w:tc>
          <w:tcPr>
            <w:tcW w:w="842" w:type="dxa"/>
            <w:vAlign w:val="top"/>
          </w:tcPr>
          <w:p w14:paraId="3FABC0E3">
            <w:pPr>
              <w:rPr>
                <w:rFonts w:ascii="Arial"/>
                <w:sz w:val="21"/>
              </w:rPr>
            </w:pPr>
          </w:p>
        </w:tc>
        <w:tc>
          <w:tcPr>
            <w:tcW w:w="763" w:type="dxa"/>
            <w:tcBorders>
              <w:right w:val="single" w:color="000000" w:sz="12" w:space="0"/>
            </w:tcBorders>
            <w:vAlign w:val="top"/>
          </w:tcPr>
          <w:p w14:paraId="7156F537">
            <w:pPr>
              <w:rPr>
                <w:rFonts w:ascii="Arial"/>
                <w:sz w:val="21"/>
              </w:rPr>
            </w:pPr>
          </w:p>
        </w:tc>
      </w:tr>
      <w:tr w14:paraId="20001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5" w:type="dxa"/>
            <w:tcBorders>
              <w:left w:val="single" w:color="000000" w:sz="12" w:space="0"/>
            </w:tcBorders>
            <w:vAlign w:val="top"/>
          </w:tcPr>
          <w:p w14:paraId="57CE92D4">
            <w:pPr>
              <w:pStyle w:val="6"/>
              <w:spacing w:before="88" w:line="176" w:lineRule="auto"/>
              <w:ind w:left="219"/>
            </w:pPr>
            <w:r>
              <w:rPr>
                <w:b/>
                <w:bCs/>
                <w:spacing w:val="-2"/>
              </w:rPr>
              <w:t>F5</w:t>
            </w:r>
          </w:p>
        </w:tc>
        <w:tc>
          <w:tcPr>
            <w:tcW w:w="1695" w:type="dxa"/>
            <w:vAlign w:val="top"/>
          </w:tcPr>
          <w:p w14:paraId="42F839E2">
            <w:pPr>
              <w:spacing w:before="47" w:line="192" w:lineRule="auto"/>
              <w:ind w:left="526"/>
              <w:rPr>
                <w:rFonts w:ascii="宋体" w:hAnsi="宋体" w:eastAsia="宋体" w:cs="宋体"/>
                <w:sz w:val="21"/>
                <w:szCs w:val="21"/>
              </w:rPr>
            </w:pPr>
            <w:r>
              <w:rPr>
                <w:rFonts w:ascii="宋体" w:hAnsi="宋体" w:eastAsia="宋体" w:cs="宋体"/>
                <w:b/>
                <w:bCs/>
                <w:spacing w:val="-4"/>
                <w:sz w:val="21"/>
                <w:szCs w:val="21"/>
              </w:rPr>
              <w:t>松鼠科</w:t>
            </w:r>
          </w:p>
        </w:tc>
        <w:tc>
          <w:tcPr>
            <w:tcW w:w="1800" w:type="dxa"/>
            <w:vAlign w:val="top"/>
          </w:tcPr>
          <w:p w14:paraId="0E34702D">
            <w:pPr>
              <w:pStyle w:val="6"/>
              <w:spacing w:before="85" w:line="179" w:lineRule="auto"/>
              <w:ind w:left="476"/>
            </w:pPr>
            <w:r>
              <w:rPr>
                <w:b/>
                <w:bCs/>
                <w:spacing w:val="-2"/>
              </w:rPr>
              <w:t>Sciuridae</w:t>
            </w:r>
          </w:p>
        </w:tc>
        <w:tc>
          <w:tcPr>
            <w:tcW w:w="1124" w:type="dxa"/>
            <w:vAlign w:val="top"/>
          </w:tcPr>
          <w:p w14:paraId="710A1B9A">
            <w:pPr>
              <w:rPr>
                <w:rFonts w:ascii="Arial"/>
                <w:sz w:val="21"/>
              </w:rPr>
            </w:pPr>
          </w:p>
        </w:tc>
        <w:tc>
          <w:tcPr>
            <w:tcW w:w="842" w:type="dxa"/>
            <w:vAlign w:val="top"/>
          </w:tcPr>
          <w:p w14:paraId="2ED03AF1">
            <w:pPr>
              <w:rPr>
                <w:rFonts w:ascii="Arial"/>
                <w:sz w:val="21"/>
              </w:rPr>
            </w:pPr>
          </w:p>
        </w:tc>
        <w:tc>
          <w:tcPr>
            <w:tcW w:w="702" w:type="dxa"/>
            <w:vAlign w:val="top"/>
          </w:tcPr>
          <w:p w14:paraId="58304F09">
            <w:pPr>
              <w:rPr>
                <w:rFonts w:ascii="Arial"/>
                <w:sz w:val="21"/>
              </w:rPr>
            </w:pPr>
          </w:p>
        </w:tc>
        <w:tc>
          <w:tcPr>
            <w:tcW w:w="842" w:type="dxa"/>
            <w:vAlign w:val="top"/>
          </w:tcPr>
          <w:p w14:paraId="730B9108">
            <w:pPr>
              <w:rPr>
                <w:rFonts w:ascii="Arial"/>
                <w:sz w:val="21"/>
              </w:rPr>
            </w:pPr>
          </w:p>
        </w:tc>
        <w:tc>
          <w:tcPr>
            <w:tcW w:w="763" w:type="dxa"/>
            <w:tcBorders>
              <w:right w:val="single" w:color="000000" w:sz="12" w:space="0"/>
            </w:tcBorders>
            <w:vAlign w:val="top"/>
          </w:tcPr>
          <w:p w14:paraId="0C0E22EC">
            <w:pPr>
              <w:rPr>
                <w:rFonts w:ascii="Arial"/>
                <w:sz w:val="21"/>
              </w:rPr>
            </w:pPr>
          </w:p>
        </w:tc>
      </w:tr>
      <w:tr w14:paraId="1498E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5" w:type="dxa"/>
            <w:tcBorders>
              <w:left w:val="single" w:color="000000" w:sz="12" w:space="0"/>
            </w:tcBorders>
            <w:vAlign w:val="top"/>
          </w:tcPr>
          <w:p w14:paraId="65742AC0">
            <w:pPr>
              <w:pStyle w:val="6"/>
              <w:spacing w:before="189" w:line="232" w:lineRule="auto"/>
              <w:ind w:left="287"/>
            </w:pPr>
            <w:r>
              <w:t>6</w:t>
            </w:r>
          </w:p>
        </w:tc>
        <w:tc>
          <w:tcPr>
            <w:tcW w:w="1695" w:type="dxa"/>
            <w:vAlign w:val="top"/>
          </w:tcPr>
          <w:p w14:paraId="482D1827">
            <w:pPr>
              <w:spacing w:before="154" w:line="220" w:lineRule="auto"/>
              <w:ind w:left="428"/>
              <w:rPr>
                <w:rFonts w:ascii="宋体" w:hAnsi="宋体" w:eastAsia="宋体" w:cs="宋体"/>
                <w:sz w:val="21"/>
                <w:szCs w:val="21"/>
              </w:rPr>
            </w:pPr>
            <w:r>
              <w:rPr>
                <w:rFonts w:ascii="宋体" w:hAnsi="宋体" w:eastAsia="宋体" w:cs="宋体"/>
                <w:spacing w:val="-3"/>
                <w:sz w:val="21"/>
                <w:szCs w:val="21"/>
              </w:rPr>
              <w:t>赤腹松鼠</w:t>
            </w:r>
          </w:p>
        </w:tc>
        <w:tc>
          <w:tcPr>
            <w:tcW w:w="1800" w:type="dxa"/>
            <w:vAlign w:val="top"/>
          </w:tcPr>
          <w:p w14:paraId="69061E86">
            <w:pPr>
              <w:pStyle w:val="6"/>
              <w:spacing w:before="67" w:line="190" w:lineRule="auto"/>
              <w:ind w:left="368"/>
            </w:pPr>
            <w:r>
              <w:rPr>
                <w:i/>
                <w:iCs/>
                <w:spacing w:val="-2"/>
              </w:rPr>
              <w:t>Callosciurus</w:t>
            </w:r>
          </w:p>
          <w:p w14:paraId="2CCEA07C">
            <w:pPr>
              <w:pStyle w:val="6"/>
              <w:spacing w:before="50" w:line="166" w:lineRule="auto"/>
              <w:ind w:left="449"/>
            </w:pPr>
            <w:r>
              <w:rPr>
                <w:i/>
                <w:iCs/>
                <w:spacing w:val="-1"/>
              </w:rPr>
              <w:t>erythraeus</w:t>
            </w:r>
          </w:p>
        </w:tc>
        <w:tc>
          <w:tcPr>
            <w:tcW w:w="1124" w:type="dxa"/>
            <w:vAlign w:val="top"/>
          </w:tcPr>
          <w:p w14:paraId="4C3A1B18">
            <w:pPr>
              <w:pStyle w:val="6"/>
              <w:spacing w:before="192" w:line="186" w:lineRule="auto"/>
              <w:ind w:left="414"/>
            </w:pPr>
            <w:r>
              <w:rPr>
                <w:spacing w:val="-2"/>
              </w:rPr>
              <w:t>OD</w:t>
            </w:r>
          </w:p>
        </w:tc>
        <w:tc>
          <w:tcPr>
            <w:tcW w:w="842" w:type="dxa"/>
            <w:vAlign w:val="top"/>
          </w:tcPr>
          <w:p w14:paraId="1E2AA6B6">
            <w:pPr>
              <w:rPr>
                <w:rFonts w:ascii="Arial"/>
                <w:sz w:val="21"/>
              </w:rPr>
            </w:pPr>
          </w:p>
        </w:tc>
        <w:tc>
          <w:tcPr>
            <w:tcW w:w="702" w:type="dxa"/>
            <w:vAlign w:val="top"/>
          </w:tcPr>
          <w:p w14:paraId="151AC792">
            <w:pPr>
              <w:pStyle w:val="6"/>
              <w:spacing w:before="188" w:line="251" w:lineRule="exact"/>
              <w:ind w:left="120"/>
            </w:pPr>
            <w:r>
              <w:rPr>
                <w:spacing w:val="-1"/>
                <w:position w:val="1"/>
              </w:rPr>
              <w:t>++++</w:t>
            </w:r>
          </w:p>
        </w:tc>
        <w:tc>
          <w:tcPr>
            <w:tcW w:w="842" w:type="dxa"/>
            <w:vAlign w:val="top"/>
          </w:tcPr>
          <w:p w14:paraId="209D3514">
            <w:pPr>
              <w:pStyle w:val="6"/>
              <w:spacing w:before="192" w:line="179" w:lineRule="auto"/>
              <w:ind w:left="207"/>
            </w:pPr>
            <w:r>
              <w:rPr>
                <w:spacing w:val="-10"/>
              </w:rPr>
              <w:t>S</w:t>
            </w:r>
            <w:r>
              <w:rPr>
                <w:spacing w:val="-30"/>
              </w:rPr>
              <w:t xml:space="preserve"> </w:t>
            </w:r>
            <w:r>
              <w:rPr>
                <w:rFonts w:ascii="宋体" w:hAnsi="宋体" w:eastAsia="宋体" w:cs="宋体"/>
                <w:spacing w:val="-10"/>
              </w:rPr>
              <w:t>、</w:t>
            </w:r>
            <w:r>
              <w:rPr>
                <w:spacing w:val="-10"/>
              </w:rPr>
              <w:t>C</w:t>
            </w:r>
          </w:p>
        </w:tc>
        <w:tc>
          <w:tcPr>
            <w:tcW w:w="763" w:type="dxa"/>
            <w:tcBorders>
              <w:right w:val="single" w:color="000000" w:sz="12" w:space="0"/>
            </w:tcBorders>
            <w:vAlign w:val="top"/>
          </w:tcPr>
          <w:p w14:paraId="593E181A">
            <w:pPr>
              <w:rPr>
                <w:rFonts w:ascii="Arial"/>
                <w:sz w:val="21"/>
              </w:rPr>
            </w:pPr>
          </w:p>
        </w:tc>
      </w:tr>
      <w:tr w14:paraId="73934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4FD920B6">
            <w:pPr>
              <w:pStyle w:val="6"/>
              <w:spacing w:before="84" w:line="181" w:lineRule="auto"/>
              <w:ind w:left="286"/>
            </w:pPr>
            <w:r>
              <w:t>7</w:t>
            </w:r>
          </w:p>
        </w:tc>
        <w:tc>
          <w:tcPr>
            <w:tcW w:w="1695" w:type="dxa"/>
            <w:vAlign w:val="top"/>
          </w:tcPr>
          <w:p w14:paraId="41D4475F">
            <w:pPr>
              <w:spacing w:before="52" w:line="189" w:lineRule="auto"/>
              <w:ind w:left="213"/>
              <w:rPr>
                <w:rFonts w:ascii="宋体" w:hAnsi="宋体" w:eastAsia="宋体" w:cs="宋体"/>
                <w:sz w:val="21"/>
                <w:szCs w:val="21"/>
              </w:rPr>
            </w:pPr>
            <w:r>
              <w:rPr>
                <w:rFonts w:ascii="宋体" w:hAnsi="宋体" w:eastAsia="宋体" w:cs="宋体"/>
                <w:spacing w:val="-2"/>
                <w:sz w:val="21"/>
                <w:szCs w:val="21"/>
              </w:rPr>
              <w:t>珀氏长吻松鼠</w:t>
            </w:r>
          </w:p>
        </w:tc>
        <w:tc>
          <w:tcPr>
            <w:tcW w:w="1800" w:type="dxa"/>
            <w:vAlign w:val="top"/>
          </w:tcPr>
          <w:p w14:paraId="6E027F70">
            <w:pPr>
              <w:pStyle w:val="6"/>
              <w:spacing w:before="84" w:line="181" w:lineRule="auto"/>
              <w:ind w:left="135"/>
            </w:pPr>
            <w:r>
              <w:rPr>
                <w:i/>
                <w:iCs/>
                <w:spacing w:val="2"/>
              </w:rPr>
              <w:t>Dremomys</w:t>
            </w:r>
            <w:r>
              <w:rPr>
                <w:i/>
                <w:iCs/>
                <w:spacing w:val="-23"/>
              </w:rPr>
              <w:t xml:space="preserve"> </w:t>
            </w:r>
            <w:r>
              <w:rPr>
                <w:i/>
                <w:iCs/>
                <w:spacing w:val="2"/>
              </w:rPr>
              <w:t>pernyi</w:t>
            </w:r>
          </w:p>
        </w:tc>
        <w:tc>
          <w:tcPr>
            <w:tcW w:w="1124" w:type="dxa"/>
            <w:vAlign w:val="top"/>
          </w:tcPr>
          <w:p w14:paraId="0E254E78">
            <w:pPr>
              <w:pStyle w:val="6"/>
              <w:spacing w:before="88" w:line="177" w:lineRule="auto"/>
              <w:ind w:left="414"/>
            </w:pPr>
            <w:r>
              <w:rPr>
                <w:spacing w:val="-2"/>
              </w:rPr>
              <w:t>OD</w:t>
            </w:r>
          </w:p>
        </w:tc>
        <w:tc>
          <w:tcPr>
            <w:tcW w:w="842" w:type="dxa"/>
            <w:vAlign w:val="top"/>
          </w:tcPr>
          <w:p w14:paraId="4BDF2C4A">
            <w:pPr>
              <w:rPr>
                <w:rFonts w:ascii="Arial"/>
                <w:sz w:val="21"/>
              </w:rPr>
            </w:pPr>
          </w:p>
        </w:tc>
        <w:tc>
          <w:tcPr>
            <w:tcW w:w="702" w:type="dxa"/>
            <w:vAlign w:val="top"/>
          </w:tcPr>
          <w:p w14:paraId="738BE12D">
            <w:pPr>
              <w:pStyle w:val="6"/>
              <w:spacing w:before="84" w:line="181" w:lineRule="auto"/>
              <w:ind w:left="120"/>
            </w:pPr>
            <w:r>
              <w:rPr>
                <w:spacing w:val="-1"/>
              </w:rPr>
              <w:t>++++</w:t>
            </w:r>
          </w:p>
        </w:tc>
        <w:tc>
          <w:tcPr>
            <w:tcW w:w="842" w:type="dxa"/>
            <w:vAlign w:val="top"/>
          </w:tcPr>
          <w:p w14:paraId="5DDD149A">
            <w:pPr>
              <w:pStyle w:val="6"/>
              <w:spacing w:before="89" w:line="178" w:lineRule="exact"/>
              <w:ind w:left="207"/>
            </w:pPr>
            <w:r>
              <w:rPr>
                <w:spacing w:val="-10"/>
              </w:rPr>
              <w:t>S</w:t>
            </w:r>
            <w:r>
              <w:rPr>
                <w:spacing w:val="-30"/>
              </w:rPr>
              <w:t xml:space="preserve"> </w:t>
            </w:r>
            <w:r>
              <w:rPr>
                <w:rFonts w:ascii="宋体" w:hAnsi="宋体" w:eastAsia="宋体" w:cs="宋体"/>
                <w:spacing w:val="-10"/>
              </w:rPr>
              <w:t>、</w:t>
            </w:r>
            <w:r>
              <w:rPr>
                <w:spacing w:val="-10"/>
              </w:rPr>
              <w:t>C</w:t>
            </w:r>
          </w:p>
        </w:tc>
        <w:tc>
          <w:tcPr>
            <w:tcW w:w="763" w:type="dxa"/>
            <w:tcBorders>
              <w:right w:val="single" w:color="000000" w:sz="12" w:space="0"/>
            </w:tcBorders>
            <w:vAlign w:val="top"/>
          </w:tcPr>
          <w:p w14:paraId="6A0957EA">
            <w:pPr>
              <w:rPr>
                <w:rFonts w:ascii="Arial"/>
                <w:sz w:val="21"/>
              </w:rPr>
            </w:pPr>
          </w:p>
        </w:tc>
      </w:tr>
      <w:tr w14:paraId="47B6F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5" w:type="dxa"/>
            <w:tcBorders>
              <w:left w:val="single" w:color="000000" w:sz="12" w:space="0"/>
            </w:tcBorders>
            <w:vAlign w:val="top"/>
          </w:tcPr>
          <w:p w14:paraId="3D7221BA">
            <w:pPr>
              <w:pStyle w:val="6"/>
              <w:spacing w:before="89" w:line="175" w:lineRule="auto"/>
              <w:ind w:left="219"/>
            </w:pPr>
            <w:r>
              <w:rPr>
                <w:b/>
                <w:bCs/>
                <w:spacing w:val="-2"/>
              </w:rPr>
              <w:t>F6</w:t>
            </w:r>
          </w:p>
        </w:tc>
        <w:tc>
          <w:tcPr>
            <w:tcW w:w="1695" w:type="dxa"/>
            <w:vAlign w:val="top"/>
          </w:tcPr>
          <w:p w14:paraId="6FFDEDA3">
            <w:pPr>
              <w:spacing w:before="51" w:line="189" w:lineRule="auto"/>
              <w:ind w:left="656"/>
              <w:rPr>
                <w:rFonts w:ascii="宋体" w:hAnsi="宋体" w:eastAsia="宋体" w:cs="宋体"/>
                <w:sz w:val="21"/>
                <w:szCs w:val="21"/>
              </w:rPr>
            </w:pPr>
            <w:r>
              <w:rPr>
                <w:rFonts w:ascii="宋体" w:hAnsi="宋体" w:eastAsia="宋体" w:cs="宋体"/>
                <w:b/>
                <w:bCs/>
                <w:spacing w:val="-11"/>
                <w:sz w:val="21"/>
                <w:szCs w:val="21"/>
              </w:rPr>
              <w:t>鼠科</w:t>
            </w:r>
          </w:p>
        </w:tc>
        <w:tc>
          <w:tcPr>
            <w:tcW w:w="1800" w:type="dxa"/>
            <w:vAlign w:val="top"/>
          </w:tcPr>
          <w:p w14:paraId="392EE41C">
            <w:pPr>
              <w:pStyle w:val="6"/>
              <w:spacing w:before="89" w:line="175" w:lineRule="auto"/>
              <w:ind w:left="505"/>
            </w:pPr>
            <w:r>
              <w:rPr>
                <w:b/>
                <w:bCs/>
                <w:spacing w:val="-1"/>
              </w:rPr>
              <w:t>Muridae</w:t>
            </w:r>
          </w:p>
        </w:tc>
        <w:tc>
          <w:tcPr>
            <w:tcW w:w="1124" w:type="dxa"/>
            <w:vAlign w:val="top"/>
          </w:tcPr>
          <w:p w14:paraId="7E962FFC">
            <w:pPr>
              <w:rPr>
                <w:rFonts w:ascii="Arial"/>
                <w:sz w:val="21"/>
              </w:rPr>
            </w:pPr>
          </w:p>
        </w:tc>
        <w:tc>
          <w:tcPr>
            <w:tcW w:w="842" w:type="dxa"/>
            <w:vAlign w:val="top"/>
          </w:tcPr>
          <w:p w14:paraId="2B31090E">
            <w:pPr>
              <w:rPr>
                <w:rFonts w:ascii="Arial"/>
                <w:sz w:val="21"/>
              </w:rPr>
            </w:pPr>
          </w:p>
        </w:tc>
        <w:tc>
          <w:tcPr>
            <w:tcW w:w="702" w:type="dxa"/>
            <w:vAlign w:val="top"/>
          </w:tcPr>
          <w:p w14:paraId="7A9B32FC">
            <w:pPr>
              <w:rPr>
                <w:rFonts w:ascii="Arial"/>
                <w:sz w:val="21"/>
              </w:rPr>
            </w:pPr>
          </w:p>
        </w:tc>
        <w:tc>
          <w:tcPr>
            <w:tcW w:w="842" w:type="dxa"/>
            <w:vAlign w:val="top"/>
          </w:tcPr>
          <w:p w14:paraId="3B622765">
            <w:pPr>
              <w:rPr>
                <w:rFonts w:ascii="Arial"/>
                <w:sz w:val="21"/>
              </w:rPr>
            </w:pPr>
          </w:p>
        </w:tc>
        <w:tc>
          <w:tcPr>
            <w:tcW w:w="763" w:type="dxa"/>
            <w:tcBorders>
              <w:right w:val="single" w:color="000000" w:sz="12" w:space="0"/>
            </w:tcBorders>
            <w:vAlign w:val="top"/>
          </w:tcPr>
          <w:p w14:paraId="1DADC855">
            <w:pPr>
              <w:rPr>
                <w:rFonts w:ascii="Arial"/>
                <w:sz w:val="21"/>
              </w:rPr>
            </w:pPr>
          </w:p>
        </w:tc>
      </w:tr>
      <w:tr w14:paraId="69798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348FA805">
            <w:pPr>
              <w:pStyle w:val="6"/>
              <w:spacing w:before="87" w:line="178" w:lineRule="auto"/>
              <w:ind w:left="291"/>
            </w:pPr>
            <w:r>
              <w:t>8</w:t>
            </w:r>
          </w:p>
        </w:tc>
        <w:tc>
          <w:tcPr>
            <w:tcW w:w="1695" w:type="dxa"/>
            <w:vAlign w:val="top"/>
          </w:tcPr>
          <w:p w14:paraId="6F16908B">
            <w:pPr>
              <w:spacing w:before="54" w:line="187" w:lineRule="auto"/>
              <w:ind w:left="526"/>
              <w:rPr>
                <w:rFonts w:ascii="宋体" w:hAnsi="宋体" w:eastAsia="宋体" w:cs="宋体"/>
                <w:sz w:val="21"/>
                <w:szCs w:val="21"/>
              </w:rPr>
            </w:pPr>
            <w:r>
              <w:rPr>
                <w:rFonts w:ascii="宋体" w:hAnsi="宋体" w:eastAsia="宋体" w:cs="宋体"/>
                <w:spacing w:val="-2"/>
                <w:sz w:val="21"/>
                <w:szCs w:val="21"/>
              </w:rPr>
              <w:t>褐家鼠</w:t>
            </w:r>
          </w:p>
        </w:tc>
        <w:tc>
          <w:tcPr>
            <w:tcW w:w="1800" w:type="dxa"/>
            <w:vAlign w:val="top"/>
          </w:tcPr>
          <w:p w14:paraId="3366FAFE">
            <w:pPr>
              <w:pStyle w:val="6"/>
              <w:spacing w:before="86" w:line="179" w:lineRule="auto"/>
              <w:ind w:left="131"/>
            </w:pPr>
            <w:r>
              <w:rPr>
                <w:i/>
                <w:iCs/>
              </w:rPr>
              <w:t>Rattus</w:t>
            </w:r>
            <w:r>
              <w:rPr>
                <w:i/>
                <w:iCs/>
                <w:spacing w:val="5"/>
              </w:rPr>
              <w:t xml:space="preserve"> </w:t>
            </w:r>
            <w:r>
              <w:rPr>
                <w:i/>
                <w:iCs/>
              </w:rPr>
              <w:t>norvegicus</w:t>
            </w:r>
          </w:p>
        </w:tc>
        <w:tc>
          <w:tcPr>
            <w:tcW w:w="1124" w:type="dxa"/>
            <w:vAlign w:val="top"/>
          </w:tcPr>
          <w:p w14:paraId="471EF337">
            <w:pPr>
              <w:pStyle w:val="6"/>
              <w:spacing w:before="90" w:line="175" w:lineRule="auto"/>
              <w:ind w:left="352"/>
            </w:pPr>
            <w:r>
              <w:rPr>
                <w:spacing w:val="-1"/>
              </w:rPr>
              <w:t>POD</w:t>
            </w:r>
          </w:p>
        </w:tc>
        <w:tc>
          <w:tcPr>
            <w:tcW w:w="842" w:type="dxa"/>
            <w:vAlign w:val="top"/>
          </w:tcPr>
          <w:p w14:paraId="37F1CEC5">
            <w:pPr>
              <w:rPr>
                <w:rFonts w:ascii="Arial"/>
                <w:sz w:val="21"/>
              </w:rPr>
            </w:pPr>
          </w:p>
        </w:tc>
        <w:tc>
          <w:tcPr>
            <w:tcW w:w="702" w:type="dxa"/>
            <w:vAlign w:val="top"/>
          </w:tcPr>
          <w:p w14:paraId="29B0D53D">
            <w:pPr>
              <w:pStyle w:val="6"/>
              <w:spacing w:before="87" w:line="178" w:lineRule="auto"/>
              <w:ind w:left="179"/>
            </w:pPr>
            <w:r>
              <w:rPr>
                <w:spacing w:val="-1"/>
              </w:rPr>
              <w:t>+++</w:t>
            </w:r>
          </w:p>
        </w:tc>
        <w:tc>
          <w:tcPr>
            <w:tcW w:w="842" w:type="dxa"/>
            <w:vAlign w:val="top"/>
          </w:tcPr>
          <w:p w14:paraId="4ECEC0D2">
            <w:pPr>
              <w:pStyle w:val="6"/>
              <w:spacing w:before="92" w:line="175" w:lineRule="exact"/>
              <w:ind w:left="201"/>
            </w:pPr>
            <w:r>
              <w:rPr>
                <w:spacing w:val="-12"/>
                <w:position w:val="-3"/>
              </w:rPr>
              <w:t>S</w:t>
            </w:r>
            <w:r>
              <w:rPr>
                <w:spacing w:val="-30"/>
                <w:position w:val="-3"/>
              </w:rPr>
              <w:t xml:space="preserve"> </w:t>
            </w:r>
            <w:r>
              <w:rPr>
                <w:rFonts w:ascii="宋体" w:hAnsi="宋体" w:eastAsia="宋体" w:cs="宋体"/>
                <w:spacing w:val="-12"/>
                <w:position w:val="-3"/>
              </w:rPr>
              <w:t>、</w:t>
            </w:r>
            <w:r>
              <w:rPr>
                <w:spacing w:val="-12"/>
                <w:position w:val="-3"/>
              </w:rPr>
              <w:t>V</w:t>
            </w:r>
          </w:p>
        </w:tc>
        <w:tc>
          <w:tcPr>
            <w:tcW w:w="763" w:type="dxa"/>
            <w:tcBorders>
              <w:right w:val="single" w:color="000000" w:sz="12" w:space="0"/>
            </w:tcBorders>
            <w:vAlign w:val="top"/>
          </w:tcPr>
          <w:p w14:paraId="12AFBFE4">
            <w:pPr>
              <w:rPr>
                <w:rFonts w:ascii="Arial"/>
                <w:sz w:val="21"/>
              </w:rPr>
            </w:pPr>
          </w:p>
        </w:tc>
      </w:tr>
      <w:tr w14:paraId="1AF5A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5" w:type="dxa"/>
            <w:tcBorders>
              <w:left w:val="single" w:color="000000" w:sz="12" w:space="0"/>
            </w:tcBorders>
            <w:vAlign w:val="top"/>
          </w:tcPr>
          <w:p w14:paraId="1040DF32">
            <w:pPr>
              <w:pStyle w:val="6"/>
              <w:spacing w:before="86" w:line="178" w:lineRule="auto"/>
              <w:ind w:left="286"/>
            </w:pPr>
            <w:r>
              <w:t>9</w:t>
            </w:r>
          </w:p>
        </w:tc>
        <w:tc>
          <w:tcPr>
            <w:tcW w:w="1695" w:type="dxa"/>
            <w:vAlign w:val="top"/>
          </w:tcPr>
          <w:p w14:paraId="04C3B26A">
            <w:pPr>
              <w:spacing w:before="53" w:line="187" w:lineRule="auto"/>
              <w:ind w:left="525"/>
              <w:rPr>
                <w:rFonts w:ascii="宋体" w:hAnsi="宋体" w:eastAsia="宋体" w:cs="宋体"/>
                <w:sz w:val="21"/>
                <w:szCs w:val="21"/>
              </w:rPr>
            </w:pPr>
            <w:r>
              <w:rPr>
                <w:rFonts w:ascii="宋体" w:hAnsi="宋体" w:eastAsia="宋体" w:cs="宋体"/>
                <w:spacing w:val="-2"/>
                <w:sz w:val="21"/>
                <w:szCs w:val="21"/>
              </w:rPr>
              <w:t>黄胸鼠</w:t>
            </w:r>
          </w:p>
        </w:tc>
        <w:tc>
          <w:tcPr>
            <w:tcW w:w="1800" w:type="dxa"/>
            <w:vAlign w:val="top"/>
          </w:tcPr>
          <w:p w14:paraId="32E494D6">
            <w:pPr>
              <w:pStyle w:val="6"/>
              <w:spacing w:before="86" w:line="178" w:lineRule="auto"/>
              <w:ind w:left="212"/>
            </w:pPr>
            <w:r>
              <w:rPr>
                <w:i/>
                <w:iCs/>
              </w:rPr>
              <w:t>Rattus</w:t>
            </w:r>
            <w:r>
              <w:rPr>
                <w:i/>
                <w:iCs/>
                <w:spacing w:val="4"/>
              </w:rPr>
              <w:t xml:space="preserve"> </w:t>
            </w:r>
            <w:r>
              <w:rPr>
                <w:i/>
                <w:iCs/>
              </w:rPr>
              <w:t>tanezumi</w:t>
            </w:r>
          </w:p>
        </w:tc>
        <w:tc>
          <w:tcPr>
            <w:tcW w:w="1124" w:type="dxa"/>
            <w:vAlign w:val="top"/>
          </w:tcPr>
          <w:p w14:paraId="55A3F144">
            <w:pPr>
              <w:pStyle w:val="6"/>
              <w:spacing w:before="90" w:line="174" w:lineRule="auto"/>
              <w:ind w:left="352"/>
            </w:pPr>
            <w:r>
              <w:rPr>
                <w:spacing w:val="-1"/>
              </w:rPr>
              <w:t>POD</w:t>
            </w:r>
          </w:p>
        </w:tc>
        <w:tc>
          <w:tcPr>
            <w:tcW w:w="842" w:type="dxa"/>
            <w:vAlign w:val="top"/>
          </w:tcPr>
          <w:p w14:paraId="11927262">
            <w:pPr>
              <w:rPr>
                <w:rFonts w:ascii="Arial"/>
                <w:sz w:val="21"/>
              </w:rPr>
            </w:pPr>
          </w:p>
        </w:tc>
        <w:tc>
          <w:tcPr>
            <w:tcW w:w="702" w:type="dxa"/>
            <w:vAlign w:val="top"/>
          </w:tcPr>
          <w:p w14:paraId="6D274214">
            <w:pPr>
              <w:pStyle w:val="6"/>
              <w:spacing w:before="86" w:line="178" w:lineRule="auto"/>
              <w:ind w:left="179"/>
            </w:pPr>
            <w:r>
              <w:rPr>
                <w:spacing w:val="-1"/>
              </w:rPr>
              <w:t>+++</w:t>
            </w:r>
          </w:p>
        </w:tc>
        <w:tc>
          <w:tcPr>
            <w:tcW w:w="842" w:type="dxa"/>
            <w:vAlign w:val="top"/>
          </w:tcPr>
          <w:p w14:paraId="09A79859">
            <w:pPr>
              <w:pStyle w:val="6"/>
              <w:spacing w:before="91" w:line="174" w:lineRule="exact"/>
              <w:ind w:left="201"/>
            </w:pPr>
            <w:r>
              <w:rPr>
                <w:spacing w:val="-12"/>
                <w:position w:val="-3"/>
              </w:rPr>
              <w:t>S</w:t>
            </w:r>
            <w:r>
              <w:rPr>
                <w:spacing w:val="-30"/>
                <w:position w:val="-3"/>
              </w:rPr>
              <w:t xml:space="preserve"> </w:t>
            </w:r>
            <w:r>
              <w:rPr>
                <w:rFonts w:ascii="宋体" w:hAnsi="宋体" w:eastAsia="宋体" w:cs="宋体"/>
                <w:spacing w:val="-12"/>
                <w:position w:val="-3"/>
              </w:rPr>
              <w:t>、</w:t>
            </w:r>
            <w:r>
              <w:rPr>
                <w:spacing w:val="-12"/>
                <w:position w:val="-3"/>
              </w:rPr>
              <w:t>V</w:t>
            </w:r>
          </w:p>
        </w:tc>
        <w:tc>
          <w:tcPr>
            <w:tcW w:w="763" w:type="dxa"/>
            <w:tcBorders>
              <w:right w:val="single" w:color="000000" w:sz="12" w:space="0"/>
            </w:tcBorders>
            <w:vAlign w:val="top"/>
          </w:tcPr>
          <w:p w14:paraId="58C62DC9">
            <w:pPr>
              <w:rPr>
                <w:rFonts w:ascii="Arial"/>
                <w:sz w:val="21"/>
              </w:rPr>
            </w:pPr>
          </w:p>
        </w:tc>
      </w:tr>
      <w:tr w14:paraId="2FFB0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5" w:type="dxa"/>
            <w:tcBorders>
              <w:left w:val="single" w:color="000000" w:sz="12" w:space="0"/>
            </w:tcBorders>
            <w:vAlign w:val="top"/>
          </w:tcPr>
          <w:p w14:paraId="0242B710">
            <w:pPr>
              <w:pStyle w:val="6"/>
              <w:spacing w:before="93" w:line="172" w:lineRule="auto"/>
              <w:ind w:left="204"/>
            </w:pPr>
            <w:r>
              <w:rPr>
                <w:b/>
                <w:bCs/>
                <w:spacing w:val="-3"/>
              </w:rPr>
              <w:t>O4</w:t>
            </w:r>
          </w:p>
        </w:tc>
        <w:tc>
          <w:tcPr>
            <w:tcW w:w="1695" w:type="dxa"/>
            <w:vAlign w:val="top"/>
          </w:tcPr>
          <w:p w14:paraId="51184E9A">
            <w:pPr>
              <w:spacing w:before="55" w:line="186" w:lineRule="auto"/>
              <w:ind w:left="530"/>
              <w:rPr>
                <w:rFonts w:ascii="宋体" w:hAnsi="宋体" w:eastAsia="宋体" w:cs="宋体"/>
                <w:sz w:val="21"/>
                <w:szCs w:val="21"/>
              </w:rPr>
            </w:pPr>
            <w:r>
              <w:rPr>
                <w:rFonts w:ascii="宋体" w:hAnsi="宋体" w:eastAsia="宋体" w:cs="宋体"/>
                <w:b/>
                <w:bCs/>
                <w:spacing w:val="-5"/>
                <w:sz w:val="21"/>
                <w:szCs w:val="21"/>
              </w:rPr>
              <w:t>兔形目</w:t>
            </w:r>
          </w:p>
        </w:tc>
        <w:tc>
          <w:tcPr>
            <w:tcW w:w="1800" w:type="dxa"/>
            <w:vAlign w:val="top"/>
          </w:tcPr>
          <w:p w14:paraId="066F484D">
            <w:pPr>
              <w:pStyle w:val="6"/>
              <w:spacing w:before="93" w:line="172" w:lineRule="auto"/>
              <w:ind w:left="312"/>
            </w:pPr>
            <w:r>
              <w:rPr>
                <w:b/>
                <w:bCs/>
                <w:spacing w:val="-1"/>
              </w:rPr>
              <w:t>Lagomorpha</w:t>
            </w:r>
          </w:p>
        </w:tc>
        <w:tc>
          <w:tcPr>
            <w:tcW w:w="1124" w:type="dxa"/>
            <w:vAlign w:val="top"/>
          </w:tcPr>
          <w:p w14:paraId="1BEC7BCB">
            <w:pPr>
              <w:rPr>
                <w:rFonts w:ascii="Arial"/>
                <w:sz w:val="21"/>
              </w:rPr>
            </w:pPr>
          </w:p>
        </w:tc>
        <w:tc>
          <w:tcPr>
            <w:tcW w:w="842" w:type="dxa"/>
            <w:vAlign w:val="top"/>
          </w:tcPr>
          <w:p w14:paraId="4D4BA503">
            <w:pPr>
              <w:rPr>
                <w:rFonts w:ascii="Arial"/>
                <w:sz w:val="21"/>
              </w:rPr>
            </w:pPr>
          </w:p>
        </w:tc>
        <w:tc>
          <w:tcPr>
            <w:tcW w:w="702" w:type="dxa"/>
            <w:vAlign w:val="top"/>
          </w:tcPr>
          <w:p w14:paraId="3A977B8C">
            <w:pPr>
              <w:rPr>
                <w:rFonts w:ascii="Arial"/>
                <w:sz w:val="21"/>
              </w:rPr>
            </w:pPr>
          </w:p>
        </w:tc>
        <w:tc>
          <w:tcPr>
            <w:tcW w:w="842" w:type="dxa"/>
            <w:vAlign w:val="top"/>
          </w:tcPr>
          <w:p w14:paraId="432FDE94">
            <w:pPr>
              <w:rPr>
                <w:rFonts w:ascii="Arial"/>
                <w:sz w:val="21"/>
              </w:rPr>
            </w:pPr>
          </w:p>
        </w:tc>
        <w:tc>
          <w:tcPr>
            <w:tcW w:w="763" w:type="dxa"/>
            <w:tcBorders>
              <w:right w:val="single" w:color="000000" w:sz="12" w:space="0"/>
            </w:tcBorders>
            <w:vAlign w:val="top"/>
          </w:tcPr>
          <w:p w14:paraId="77FB29FF">
            <w:pPr>
              <w:rPr>
                <w:rFonts w:ascii="Arial"/>
                <w:sz w:val="21"/>
              </w:rPr>
            </w:pPr>
          </w:p>
        </w:tc>
      </w:tr>
      <w:tr w14:paraId="697FA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5" w:type="dxa"/>
            <w:tcBorders>
              <w:left w:val="single" w:color="000000" w:sz="12" w:space="0"/>
            </w:tcBorders>
            <w:vAlign w:val="top"/>
          </w:tcPr>
          <w:p w14:paraId="41501427">
            <w:pPr>
              <w:pStyle w:val="6"/>
              <w:spacing w:before="95" w:line="169" w:lineRule="auto"/>
              <w:ind w:left="222"/>
            </w:pPr>
            <w:r>
              <w:rPr>
                <w:spacing w:val="-1"/>
              </w:rPr>
              <w:t>F7</w:t>
            </w:r>
          </w:p>
        </w:tc>
        <w:tc>
          <w:tcPr>
            <w:tcW w:w="1695" w:type="dxa"/>
            <w:vAlign w:val="top"/>
          </w:tcPr>
          <w:p w14:paraId="55110FE6">
            <w:pPr>
              <w:spacing w:before="55" w:line="185" w:lineRule="auto"/>
              <w:ind w:left="637"/>
              <w:rPr>
                <w:rFonts w:ascii="宋体" w:hAnsi="宋体" w:eastAsia="宋体" w:cs="宋体"/>
                <w:sz w:val="21"/>
                <w:szCs w:val="21"/>
              </w:rPr>
            </w:pPr>
            <w:r>
              <w:rPr>
                <w:rFonts w:ascii="宋体" w:hAnsi="宋体" w:eastAsia="宋体" w:cs="宋体"/>
                <w:spacing w:val="-4"/>
                <w:sz w:val="21"/>
                <w:szCs w:val="21"/>
              </w:rPr>
              <w:t>兔科</w:t>
            </w:r>
          </w:p>
        </w:tc>
        <w:tc>
          <w:tcPr>
            <w:tcW w:w="1800" w:type="dxa"/>
            <w:vAlign w:val="top"/>
          </w:tcPr>
          <w:p w14:paraId="7B1A94AE">
            <w:pPr>
              <w:pStyle w:val="6"/>
              <w:spacing w:before="88" w:line="176" w:lineRule="auto"/>
              <w:ind w:left="453"/>
            </w:pPr>
            <w:r>
              <w:rPr>
                <w:i/>
                <w:iCs/>
              </w:rPr>
              <w:t>Leporidae</w:t>
            </w:r>
          </w:p>
        </w:tc>
        <w:tc>
          <w:tcPr>
            <w:tcW w:w="1124" w:type="dxa"/>
            <w:vAlign w:val="top"/>
          </w:tcPr>
          <w:p w14:paraId="3B044A3C">
            <w:pPr>
              <w:rPr>
                <w:rFonts w:ascii="Arial"/>
                <w:sz w:val="21"/>
              </w:rPr>
            </w:pPr>
          </w:p>
        </w:tc>
        <w:tc>
          <w:tcPr>
            <w:tcW w:w="842" w:type="dxa"/>
            <w:vAlign w:val="top"/>
          </w:tcPr>
          <w:p w14:paraId="3C0F48C0">
            <w:pPr>
              <w:rPr>
                <w:rFonts w:ascii="Arial"/>
                <w:sz w:val="21"/>
              </w:rPr>
            </w:pPr>
          </w:p>
        </w:tc>
        <w:tc>
          <w:tcPr>
            <w:tcW w:w="702" w:type="dxa"/>
            <w:vAlign w:val="top"/>
          </w:tcPr>
          <w:p w14:paraId="1F68F2FE">
            <w:pPr>
              <w:rPr>
                <w:rFonts w:ascii="Arial"/>
                <w:sz w:val="21"/>
              </w:rPr>
            </w:pPr>
          </w:p>
        </w:tc>
        <w:tc>
          <w:tcPr>
            <w:tcW w:w="842" w:type="dxa"/>
            <w:vAlign w:val="top"/>
          </w:tcPr>
          <w:p w14:paraId="64F1FFE6">
            <w:pPr>
              <w:rPr>
                <w:rFonts w:ascii="Arial"/>
                <w:sz w:val="21"/>
              </w:rPr>
            </w:pPr>
          </w:p>
        </w:tc>
        <w:tc>
          <w:tcPr>
            <w:tcW w:w="763" w:type="dxa"/>
            <w:tcBorders>
              <w:right w:val="single" w:color="000000" w:sz="12" w:space="0"/>
            </w:tcBorders>
            <w:vAlign w:val="top"/>
          </w:tcPr>
          <w:p w14:paraId="59F1E890">
            <w:pPr>
              <w:rPr>
                <w:rFonts w:ascii="Arial"/>
                <w:sz w:val="21"/>
              </w:rPr>
            </w:pPr>
          </w:p>
        </w:tc>
      </w:tr>
      <w:tr w14:paraId="460D8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05" w:type="dxa"/>
            <w:tcBorders>
              <w:left w:val="single" w:color="000000" w:sz="12" w:space="0"/>
              <w:bottom w:val="single" w:color="000000" w:sz="12" w:space="0"/>
            </w:tcBorders>
            <w:vAlign w:val="top"/>
          </w:tcPr>
          <w:p w14:paraId="735975F8">
            <w:pPr>
              <w:pStyle w:val="6"/>
              <w:spacing w:before="227" w:line="232" w:lineRule="auto"/>
              <w:ind w:left="250"/>
            </w:pPr>
            <w:r>
              <w:rPr>
                <w:spacing w:val="-6"/>
              </w:rPr>
              <w:t>10</w:t>
            </w:r>
          </w:p>
        </w:tc>
        <w:tc>
          <w:tcPr>
            <w:tcW w:w="1695" w:type="dxa"/>
            <w:tcBorders>
              <w:bottom w:val="single" w:color="000000" w:sz="12" w:space="0"/>
            </w:tcBorders>
            <w:vAlign w:val="top"/>
          </w:tcPr>
          <w:p w14:paraId="12B6B8F5">
            <w:pPr>
              <w:spacing w:before="192" w:line="221" w:lineRule="auto"/>
              <w:ind w:left="532"/>
              <w:rPr>
                <w:rFonts w:ascii="宋体" w:hAnsi="宋体" w:eastAsia="宋体" w:cs="宋体"/>
                <w:sz w:val="21"/>
                <w:szCs w:val="21"/>
              </w:rPr>
            </w:pPr>
            <w:r>
              <w:rPr>
                <w:rFonts w:ascii="宋体" w:hAnsi="宋体" w:eastAsia="宋体" w:cs="宋体"/>
                <w:spacing w:val="-4"/>
                <w:sz w:val="21"/>
                <w:szCs w:val="21"/>
              </w:rPr>
              <w:t>云南兔</w:t>
            </w:r>
          </w:p>
        </w:tc>
        <w:tc>
          <w:tcPr>
            <w:tcW w:w="1800" w:type="dxa"/>
            <w:tcBorders>
              <w:bottom w:val="single" w:color="000000" w:sz="12" w:space="0"/>
            </w:tcBorders>
            <w:vAlign w:val="top"/>
          </w:tcPr>
          <w:p w14:paraId="1C11CC40">
            <w:pPr>
              <w:pStyle w:val="6"/>
              <w:spacing w:before="226" w:line="190" w:lineRule="auto"/>
              <w:ind w:left="339"/>
            </w:pPr>
            <w:r>
              <w:rPr>
                <w:i/>
                <w:iCs/>
              </w:rPr>
              <w:t>Lepus</w:t>
            </w:r>
            <w:r>
              <w:rPr>
                <w:i/>
                <w:iCs/>
                <w:spacing w:val="7"/>
              </w:rPr>
              <w:t xml:space="preserve"> </w:t>
            </w:r>
            <w:r>
              <w:rPr>
                <w:i/>
                <w:iCs/>
              </w:rPr>
              <w:t>comus</w:t>
            </w:r>
          </w:p>
        </w:tc>
        <w:tc>
          <w:tcPr>
            <w:tcW w:w="1124" w:type="dxa"/>
            <w:tcBorders>
              <w:bottom w:val="single" w:color="000000" w:sz="12" w:space="0"/>
            </w:tcBorders>
            <w:vAlign w:val="top"/>
          </w:tcPr>
          <w:p w14:paraId="3F24D802">
            <w:pPr>
              <w:pStyle w:val="6"/>
              <w:spacing w:before="230" w:line="186" w:lineRule="auto"/>
              <w:ind w:left="251"/>
            </w:pPr>
            <w:r>
              <w:rPr>
                <w:spacing w:val="-3"/>
              </w:rPr>
              <w:t>SC-SW</w:t>
            </w:r>
          </w:p>
        </w:tc>
        <w:tc>
          <w:tcPr>
            <w:tcW w:w="842" w:type="dxa"/>
            <w:tcBorders>
              <w:bottom w:val="single" w:color="000000" w:sz="12" w:space="0"/>
            </w:tcBorders>
            <w:vAlign w:val="top"/>
          </w:tcPr>
          <w:p w14:paraId="0FDA242D">
            <w:pPr>
              <w:rPr>
                <w:rFonts w:ascii="Arial"/>
                <w:sz w:val="21"/>
              </w:rPr>
            </w:pPr>
          </w:p>
        </w:tc>
        <w:tc>
          <w:tcPr>
            <w:tcW w:w="702" w:type="dxa"/>
            <w:tcBorders>
              <w:bottom w:val="single" w:color="000000" w:sz="12" w:space="0"/>
            </w:tcBorders>
            <w:vAlign w:val="top"/>
          </w:tcPr>
          <w:p w14:paraId="028ADBA5">
            <w:pPr>
              <w:pStyle w:val="6"/>
              <w:spacing w:before="226" w:line="251" w:lineRule="exact"/>
              <w:ind w:left="239"/>
            </w:pPr>
            <w:r>
              <w:rPr>
                <w:spacing w:val="-1"/>
                <w:position w:val="1"/>
              </w:rPr>
              <w:t>++</w:t>
            </w:r>
          </w:p>
        </w:tc>
        <w:tc>
          <w:tcPr>
            <w:tcW w:w="842" w:type="dxa"/>
            <w:tcBorders>
              <w:bottom w:val="single" w:color="000000" w:sz="12" w:space="0"/>
            </w:tcBorders>
            <w:vAlign w:val="top"/>
          </w:tcPr>
          <w:p w14:paraId="51891862">
            <w:pPr>
              <w:pStyle w:val="6"/>
              <w:spacing w:before="95" w:line="179" w:lineRule="auto"/>
              <w:ind w:left="276"/>
              <w:rPr>
                <w:rFonts w:ascii="宋体" w:hAnsi="宋体" w:eastAsia="宋体" w:cs="宋体"/>
              </w:rPr>
            </w:pPr>
            <w:r>
              <w:rPr>
                <w:spacing w:val="-7"/>
              </w:rPr>
              <w:t>S</w:t>
            </w:r>
            <w:r>
              <w:rPr>
                <w:rFonts w:ascii="宋体" w:hAnsi="宋体" w:eastAsia="宋体" w:cs="宋体"/>
                <w:spacing w:val="-7"/>
              </w:rPr>
              <w:t>、</w:t>
            </w:r>
          </w:p>
          <w:p w14:paraId="0BD01C4C">
            <w:pPr>
              <w:pStyle w:val="6"/>
              <w:spacing w:before="67" w:line="170" w:lineRule="auto"/>
              <w:ind w:left="183"/>
            </w:pPr>
            <w:r>
              <w:rPr>
                <w:spacing w:val="-10"/>
              </w:rPr>
              <w:t>C</w:t>
            </w:r>
            <w:r>
              <w:rPr>
                <w:spacing w:val="-29"/>
              </w:rPr>
              <w:t xml:space="preserve"> </w:t>
            </w:r>
            <w:r>
              <w:rPr>
                <w:rFonts w:ascii="宋体" w:hAnsi="宋体" w:eastAsia="宋体" w:cs="宋体"/>
                <w:spacing w:val="-10"/>
              </w:rPr>
              <w:t>、</w:t>
            </w:r>
            <w:r>
              <w:rPr>
                <w:spacing w:val="-10"/>
              </w:rPr>
              <w:t>V</w:t>
            </w:r>
          </w:p>
        </w:tc>
        <w:tc>
          <w:tcPr>
            <w:tcW w:w="763" w:type="dxa"/>
            <w:tcBorders>
              <w:bottom w:val="single" w:color="000000" w:sz="12" w:space="0"/>
              <w:right w:val="single" w:color="000000" w:sz="12" w:space="0"/>
            </w:tcBorders>
            <w:vAlign w:val="top"/>
          </w:tcPr>
          <w:p w14:paraId="59BF780A">
            <w:pPr>
              <w:rPr>
                <w:rFonts w:ascii="Arial"/>
                <w:sz w:val="21"/>
              </w:rPr>
            </w:pPr>
          </w:p>
        </w:tc>
      </w:tr>
    </w:tbl>
    <w:p w14:paraId="5997C931">
      <w:pPr>
        <w:pStyle w:val="2"/>
        <w:spacing w:before="178" w:line="385" w:lineRule="auto"/>
        <w:ind w:left="33" w:firstLine="424"/>
        <w:rPr>
          <w:sz w:val="21"/>
          <w:szCs w:val="21"/>
        </w:rPr>
      </w:pPr>
      <w:r>
        <w:rPr>
          <w:spacing w:val="-9"/>
          <w:sz w:val="21"/>
          <w:szCs w:val="21"/>
        </w:rPr>
        <w:t>注：①本名录根据“</w:t>
      </w:r>
      <w:r>
        <w:rPr>
          <w:spacing w:val="-63"/>
          <w:sz w:val="21"/>
          <w:szCs w:val="21"/>
        </w:rPr>
        <w:t xml:space="preserve"> </w:t>
      </w:r>
      <w:r>
        <w:rPr>
          <w:spacing w:val="-9"/>
          <w:sz w:val="21"/>
          <w:szCs w:val="21"/>
        </w:rPr>
        <w:t>中国哺乳动物多样性（第</w:t>
      </w:r>
      <w:r>
        <w:rPr>
          <w:spacing w:val="-33"/>
          <w:sz w:val="21"/>
          <w:szCs w:val="21"/>
        </w:rPr>
        <w:t xml:space="preserve"> </w:t>
      </w:r>
      <w:r>
        <w:rPr>
          <w:rFonts w:ascii="Times New Roman" w:hAnsi="Times New Roman" w:eastAsia="Times New Roman" w:cs="Times New Roman"/>
          <w:spacing w:val="-9"/>
          <w:sz w:val="21"/>
          <w:szCs w:val="21"/>
        </w:rPr>
        <w:t xml:space="preserve">2 </w:t>
      </w:r>
      <w:r>
        <w:rPr>
          <w:spacing w:val="-9"/>
          <w:sz w:val="21"/>
          <w:szCs w:val="21"/>
        </w:rPr>
        <w:t>版）”（蒋志刚等，</w:t>
      </w:r>
      <w:r>
        <w:rPr>
          <w:rFonts w:ascii="Times New Roman" w:hAnsi="Times New Roman" w:eastAsia="Times New Roman" w:cs="Times New Roman"/>
          <w:spacing w:val="-9"/>
          <w:sz w:val="21"/>
          <w:szCs w:val="21"/>
        </w:rPr>
        <w:t>2017</w:t>
      </w:r>
      <w:r>
        <w:rPr>
          <w:spacing w:val="-9"/>
          <w:sz w:val="21"/>
          <w:szCs w:val="21"/>
        </w:rPr>
        <w:t>）进行编目；②序</w:t>
      </w:r>
      <w:r>
        <w:rPr>
          <w:spacing w:val="-5"/>
          <w:sz w:val="21"/>
          <w:szCs w:val="21"/>
        </w:rPr>
        <w:t>号：</w:t>
      </w:r>
      <w:r>
        <w:rPr>
          <w:rFonts w:ascii="Times New Roman" w:hAnsi="Times New Roman" w:eastAsia="Times New Roman" w:cs="Times New Roman"/>
          <w:spacing w:val="-5"/>
          <w:sz w:val="21"/>
          <w:szCs w:val="21"/>
        </w:rPr>
        <w:t>O1</w:t>
      </w:r>
      <w:r>
        <w:rPr>
          <w:spacing w:val="-5"/>
          <w:sz w:val="21"/>
          <w:szCs w:val="21"/>
        </w:rPr>
        <w:t>、</w:t>
      </w:r>
      <w:r>
        <w:rPr>
          <w:rFonts w:ascii="Times New Roman" w:hAnsi="Times New Roman" w:eastAsia="Times New Roman" w:cs="Times New Roman"/>
          <w:spacing w:val="-5"/>
          <w:sz w:val="21"/>
          <w:szCs w:val="21"/>
        </w:rPr>
        <w:t>O2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9"/>
          <w:sz w:val="21"/>
          <w:szCs w:val="21"/>
          <w:u w:val="dotted" w:color="auto"/>
        </w:rPr>
        <w:t xml:space="preserve">   </w:t>
      </w:r>
      <w:r>
        <w:rPr>
          <w:rFonts w:ascii="Times New Roman" w:hAnsi="Times New Roman" w:eastAsia="Times New Roman" w:cs="Times New Roman"/>
          <w:spacing w:val="-25"/>
          <w:sz w:val="21"/>
          <w:szCs w:val="21"/>
        </w:rPr>
        <w:t xml:space="preserve"> </w:t>
      </w:r>
      <w:r>
        <w:rPr>
          <w:spacing w:val="-5"/>
          <w:sz w:val="21"/>
          <w:szCs w:val="21"/>
        </w:rPr>
        <w:t>：目的编号；</w:t>
      </w:r>
      <w:r>
        <w:rPr>
          <w:rFonts w:ascii="Times New Roman" w:hAnsi="Times New Roman" w:eastAsia="Times New Roman" w:cs="Times New Roman"/>
          <w:spacing w:val="-5"/>
          <w:sz w:val="21"/>
          <w:szCs w:val="21"/>
        </w:rPr>
        <w:t>F1</w:t>
      </w:r>
      <w:r>
        <w:rPr>
          <w:spacing w:val="-5"/>
          <w:sz w:val="21"/>
          <w:szCs w:val="21"/>
        </w:rPr>
        <w:t>、</w:t>
      </w:r>
      <w:r>
        <w:rPr>
          <w:rFonts w:ascii="Times New Roman" w:hAnsi="Times New Roman" w:eastAsia="Times New Roman" w:cs="Times New Roman"/>
          <w:spacing w:val="-5"/>
          <w:sz w:val="21"/>
          <w:szCs w:val="21"/>
        </w:rPr>
        <w:t>F2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5"/>
          <w:sz w:val="21"/>
          <w:szCs w:val="21"/>
          <w:u w:val="dotted" w:color="auto"/>
        </w:rPr>
        <w:t xml:space="preserve">   </w:t>
      </w:r>
      <w:r>
        <w:rPr>
          <w:spacing w:val="-5"/>
          <w:sz w:val="21"/>
          <w:szCs w:val="21"/>
        </w:rPr>
        <w:t>：科的编号；</w:t>
      </w:r>
      <w:r>
        <w:rPr>
          <w:rFonts w:ascii="Times New Roman" w:hAnsi="Times New Roman" w:eastAsia="Times New Roman" w:cs="Times New Roman"/>
          <w:spacing w:val="-5"/>
          <w:sz w:val="21"/>
          <w:szCs w:val="21"/>
        </w:rPr>
        <w:t>1</w:t>
      </w:r>
      <w:r>
        <w:rPr>
          <w:spacing w:val="-5"/>
          <w:sz w:val="21"/>
          <w:szCs w:val="21"/>
        </w:rPr>
        <w:t>、</w:t>
      </w:r>
      <w:r>
        <w:rPr>
          <w:rFonts w:ascii="Times New Roman" w:hAnsi="Times New Roman" w:eastAsia="Times New Roman" w:cs="Times New Roman"/>
          <w:spacing w:val="-5"/>
          <w:sz w:val="21"/>
          <w:szCs w:val="21"/>
        </w:rPr>
        <w:t>2</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5"/>
          <w:sz w:val="21"/>
          <w:szCs w:val="21"/>
          <w:u w:val="dotted" w:color="auto"/>
        </w:rPr>
        <w:t xml:space="preserve">    </w:t>
      </w:r>
      <w:r>
        <w:rPr>
          <w:spacing w:val="-5"/>
          <w:sz w:val="21"/>
          <w:szCs w:val="21"/>
        </w:rPr>
        <w:t>：种的编号；③区系从属：</w:t>
      </w:r>
      <w:r>
        <w:rPr>
          <w:rFonts w:ascii="Times New Roman" w:hAnsi="Times New Roman" w:eastAsia="Times New Roman" w:cs="Times New Roman"/>
          <w:spacing w:val="-5"/>
          <w:sz w:val="21"/>
          <w:szCs w:val="21"/>
        </w:rPr>
        <w:t>SC</w:t>
      </w:r>
      <w:r>
        <w:rPr>
          <w:rFonts w:ascii="Times New Roman" w:hAnsi="Times New Roman" w:eastAsia="Times New Roman" w:cs="Times New Roman"/>
          <w:spacing w:val="-6"/>
          <w:sz w:val="21"/>
          <w:szCs w:val="21"/>
        </w:rPr>
        <w:t>-SW</w:t>
      </w:r>
      <w:r>
        <w:rPr>
          <w:spacing w:val="-6"/>
          <w:sz w:val="21"/>
          <w:szCs w:val="21"/>
        </w:rPr>
        <w:t>：东洋界华南</w:t>
      </w:r>
      <w:r>
        <w:rPr>
          <w:rFonts w:ascii="Times New Roman" w:hAnsi="Times New Roman" w:eastAsia="Times New Roman" w:cs="Times New Roman"/>
          <w:spacing w:val="-6"/>
          <w:sz w:val="21"/>
          <w:szCs w:val="21"/>
        </w:rPr>
        <w:t>-</w:t>
      </w:r>
      <w:r>
        <w:rPr>
          <w:spacing w:val="-6"/>
          <w:sz w:val="21"/>
          <w:szCs w:val="21"/>
        </w:rPr>
        <w:t>西南区物种；</w:t>
      </w:r>
      <w:r>
        <w:rPr>
          <w:rFonts w:ascii="Times New Roman" w:hAnsi="Times New Roman" w:eastAsia="Times New Roman" w:cs="Times New Roman"/>
          <w:spacing w:val="-6"/>
          <w:sz w:val="21"/>
          <w:szCs w:val="21"/>
        </w:rPr>
        <w:t>SC-SW-CC</w:t>
      </w:r>
      <w:r>
        <w:rPr>
          <w:spacing w:val="-6"/>
          <w:sz w:val="21"/>
          <w:szCs w:val="21"/>
        </w:rPr>
        <w:t>：东洋界华南</w:t>
      </w:r>
      <w:r>
        <w:rPr>
          <w:rFonts w:ascii="Times New Roman" w:hAnsi="Times New Roman" w:eastAsia="Times New Roman" w:cs="Times New Roman"/>
          <w:spacing w:val="-6"/>
          <w:sz w:val="21"/>
          <w:szCs w:val="21"/>
        </w:rPr>
        <w:t>-</w:t>
      </w:r>
      <w:r>
        <w:rPr>
          <w:spacing w:val="-6"/>
          <w:sz w:val="21"/>
          <w:szCs w:val="21"/>
        </w:rPr>
        <w:t>西南</w:t>
      </w:r>
      <w:r>
        <w:rPr>
          <w:rFonts w:ascii="Times New Roman" w:hAnsi="Times New Roman" w:eastAsia="Times New Roman" w:cs="Times New Roman"/>
          <w:spacing w:val="-6"/>
          <w:sz w:val="21"/>
          <w:szCs w:val="21"/>
        </w:rPr>
        <w:t>-</w:t>
      </w:r>
      <w:r>
        <w:rPr>
          <w:spacing w:val="-6"/>
          <w:sz w:val="21"/>
          <w:szCs w:val="21"/>
        </w:rPr>
        <w:t>华中区物种（东洋界</w:t>
      </w:r>
      <w:r>
        <w:rPr>
          <w:spacing w:val="-25"/>
          <w:sz w:val="21"/>
          <w:szCs w:val="21"/>
        </w:rPr>
        <w:t xml:space="preserve"> </w:t>
      </w:r>
      <w:r>
        <w:rPr>
          <w:rFonts w:ascii="Times New Roman" w:hAnsi="Times New Roman" w:eastAsia="Times New Roman" w:cs="Times New Roman"/>
          <w:spacing w:val="-6"/>
          <w:sz w:val="21"/>
          <w:szCs w:val="21"/>
        </w:rPr>
        <w:t xml:space="preserve">3 </w:t>
      </w:r>
      <w:r>
        <w:rPr>
          <w:spacing w:val="-6"/>
          <w:sz w:val="21"/>
          <w:szCs w:val="21"/>
        </w:rPr>
        <w:t>个区都有分布，</w:t>
      </w:r>
      <w:r>
        <w:rPr>
          <w:spacing w:val="-5"/>
          <w:sz w:val="21"/>
          <w:szCs w:val="21"/>
        </w:rPr>
        <w:t>但尚达不到东洋广布</w:t>
      </w:r>
      <w:r>
        <w:rPr>
          <w:sz w:val="21"/>
          <w:szCs w:val="21"/>
        </w:rPr>
        <w:t>）；</w:t>
      </w:r>
      <w:r>
        <w:rPr>
          <w:rFonts w:ascii="Times New Roman" w:hAnsi="Times New Roman" w:eastAsia="Times New Roman" w:cs="Times New Roman"/>
          <w:spacing w:val="-5"/>
          <w:sz w:val="21"/>
          <w:szCs w:val="21"/>
        </w:rPr>
        <w:t>OD</w:t>
      </w:r>
      <w:r>
        <w:rPr>
          <w:spacing w:val="-5"/>
          <w:sz w:val="21"/>
          <w:szCs w:val="21"/>
        </w:rPr>
        <w:t>：东洋届广布种；</w:t>
      </w:r>
      <w:r>
        <w:rPr>
          <w:rFonts w:ascii="Times New Roman" w:hAnsi="Times New Roman" w:eastAsia="Times New Roman" w:cs="Times New Roman"/>
          <w:spacing w:val="-5"/>
          <w:sz w:val="21"/>
          <w:szCs w:val="21"/>
        </w:rPr>
        <w:t>POD</w:t>
      </w:r>
      <w:r>
        <w:rPr>
          <w:spacing w:val="-5"/>
          <w:sz w:val="21"/>
          <w:szCs w:val="21"/>
        </w:rPr>
        <w:t>：东洋古北两届广布种。加粗表示物种的主</w:t>
      </w:r>
      <w:r>
        <w:rPr>
          <w:spacing w:val="-2"/>
          <w:sz w:val="21"/>
          <w:szCs w:val="21"/>
        </w:rPr>
        <w:t>要分布区所属区系；④保护情况：</w:t>
      </w:r>
      <w:r>
        <w:rPr>
          <w:rFonts w:ascii="Times New Roman" w:hAnsi="Times New Roman" w:eastAsia="Times New Roman" w:cs="Times New Roman"/>
          <w:spacing w:val="-2"/>
          <w:sz w:val="21"/>
          <w:szCs w:val="21"/>
        </w:rPr>
        <w:t>Ⅰ</w:t>
      </w:r>
      <w:r>
        <w:rPr>
          <w:spacing w:val="-2"/>
          <w:sz w:val="21"/>
          <w:szCs w:val="21"/>
        </w:rPr>
        <w:t>级：国家</w:t>
      </w:r>
      <w:r>
        <w:rPr>
          <w:rFonts w:ascii="Times New Roman" w:hAnsi="Times New Roman" w:eastAsia="Times New Roman" w:cs="Times New Roman"/>
          <w:spacing w:val="-2"/>
          <w:sz w:val="21"/>
          <w:szCs w:val="21"/>
        </w:rPr>
        <w:t>Ⅰ</w:t>
      </w:r>
      <w:r>
        <w:rPr>
          <w:spacing w:val="-2"/>
          <w:sz w:val="21"/>
          <w:szCs w:val="21"/>
        </w:rPr>
        <w:t>级重点保护野生</w:t>
      </w:r>
      <w:r>
        <w:rPr>
          <w:spacing w:val="-3"/>
          <w:sz w:val="21"/>
          <w:szCs w:val="21"/>
        </w:rPr>
        <w:t>动物；</w:t>
      </w:r>
      <w:r>
        <w:rPr>
          <w:rFonts w:ascii="Times New Roman" w:hAnsi="Times New Roman" w:eastAsia="Times New Roman" w:cs="Times New Roman"/>
          <w:spacing w:val="-3"/>
          <w:sz w:val="21"/>
          <w:szCs w:val="21"/>
        </w:rPr>
        <w:t>Ⅱ</w:t>
      </w:r>
      <w:r>
        <w:rPr>
          <w:spacing w:val="-3"/>
          <w:sz w:val="21"/>
          <w:szCs w:val="21"/>
        </w:rPr>
        <w:t>级：国家</w:t>
      </w:r>
      <w:r>
        <w:rPr>
          <w:rFonts w:ascii="Times New Roman" w:hAnsi="Times New Roman" w:eastAsia="Times New Roman" w:cs="Times New Roman"/>
          <w:spacing w:val="-3"/>
          <w:sz w:val="21"/>
          <w:szCs w:val="21"/>
        </w:rPr>
        <w:t>Ⅱ</w:t>
      </w:r>
      <w:r>
        <w:rPr>
          <w:spacing w:val="-3"/>
          <w:sz w:val="21"/>
          <w:szCs w:val="21"/>
        </w:rPr>
        <w:t>级重点保护野</w:t>
      </w:r>
      <w:r>
        <w:rPr>
          <w:spacing w:val="-6"/>
          <w:sz w:val="21"/>
          <w:szCs w:val="21"/>
        </w:rPr>
        <w:t>生动物；</w:t>
      </w:r>
      <w:r>
        <w:rPr>
          <w:rFonts w:ascii="Times New Roman" w:hAnsi="Times New Roman" w:eastAsia="Times New Roman" w:cs="Times New Roman"/>
          <w:spacing w:val="-6"/>
          <w:sz w:val="21"/>
          <w:szCs w:val="21"/>
        </w:rPr>
        <w:t>YN</w:t>
      </w:r>
      <w:r>
        <w:rPr>
          <w:spacing w:val="-6"/>
          <w:sz w:val="21"/>
          <w:szCs w:val="21"/>
        </w:rPr>
        <w:t>：云南省省级保护野生动物。</w:t>
      </w:r>
      <w:r>
        <w:rPr>
          <w:rFonts w:ascii="Times New Roman" w:hAnsi="Times New Roman" w:eastAsia="Times New Roman" w:cs="Times New Roman"/>
          <w:spacing w:val="-6"/>
          <w:sz w:val="21"/>
          <w:szCs w:val="21"/>
        </w:rPr>
        <w:t>Ⅰ</w:t>
      </w:r>
      <w:r>
        <w:rPr>
          <w:spacing w:val="-6"/>
          <w:sz w:val="21"/>
          <w:szCs w:val="21"/>
        </w:rPr>
        <w:t>：</w:t>
      </w:r>
      <w:r>
        <w:rPr>
          <w:rFonts w:ascii="Times New Roman" w:hAnsi="Times New Roman" w:eastAsia="Times New Roman" w:cs="Times New Roman"/>
          <w:spacing w:val="-6"/>
          <w:sz w:val="21"/>
          <w:szCs w:val="21"/>
        </w:rPr>
        <w:t>CITES</w:t>
      </w:r>
      <w:r>
        <w:rPr>
          <w:rFonts w:ascii="Times New Roman" w:hAnsi="Times New Roman" w:eastAsia="Times New Roman" w:cs="Times New Roman"/>
          <w:spacing w:val="15"/>
          <w:sz w:val="21"/>
          <w:szCs w:val="21"/>
        </w:rPr>
        <w:t xml:space="preserve"> </w:t>
      </w:r>
      <w:r>
        <w:rPr>
          <w:spacing w:val="-6"/>
          <w:sz w:val="21"/>
          <w:szCs w:val="21"/>
        </w:rPr>
        <w:t>公约（</w:t>
      </w:r>
      <w:r>
        <w:rPr>
          <w:rFonts w:ascii="Times New Roman" w:hAnsi="Times New Roman" w:eastAsia="Times New Roman" w:cs="Times New Roman"/>
          <w:spacing w:val="-6"/>
          <w:sz w:val="21"/>
          <w:szCs w:val="21"/>
        </w:rPr>
        <w:t xml:space="preserve">2019 </w:t>
      </w:r>
      <w:r>
        <w:rPr>
          <w:spacing w:val="-7"/>
          <w:sz w:val="21"/>
          <w:szCs w:val="21"/>
        </w:rPr>
        <w:t>年）附录</w:t>
      </w:r>
      <w:r>
        <w:rPr>
          <w:rFonts w:ascii="Times New Roman" w:hAnsi="Times New Roman" w:eastAsia="Times New Roman" w:cs="Times New Roman"/>
          <w:spacing w:val="-7"/>
          <w:sz w:val="21"/>
          <w:szCs w:val="21"/>
        </w:rPr>
        <w:t>Ⅰ</w:t>
      </w:r>
      <w:r>
        <w:rPr>
          <w:spacing w:val="-7"/>
          <w:sz w:val="21"/>
          <w:szCs w:val="21"/>
        </w:rPr>
        <w:t>;</w:t>
      </w:r>
      <w:r>
        <w:rPr>
          <w:spacing w:val="22"/>
          <w:sz w:val="21"/>
          <w:szCs w:val="21"/>
        </w:rPr>
        <w:t xml:space="preserve"> </w:t>
      </w:r>
      <w:r>
        <w:rPr>
          <w:rFonts w:ascii="Times New Roman" w:hAnsi="Times New Roman" w:eastAsia="Times New Roman" w:cs="Times New Roman"/>
          <w:spacing w:val="-7"/>
          <w:sz w:val="21"/>
          <w:szCs w:val="21"/>
        </w:rPr>
        <w:t>Ⅱ</w:t>
      </w:r>
      <w:r>
        <w:rPr>
          <w:spacing w:val="-7"/>
          <w:sz w:val="21"/>
          <w:szCs w:val="21"/>
        </w:rPr>
        <w:t>：</w:t>
      </w:r>
      <w:r>
        <w:rPr>
          <w:rFonts w:ascii="Times New Roman" w:hAnsi="Times New Roman" w:eastAsia="Times New Roman" w:cs="Times New Roman"/>
          <w:spacing w:val="-7"/>
          <w:sz w:val="21"/>
          <w:szCs w:val="21"/>
        </w:rPr>
        <w:t>CITES</w:t>
      </w:r>
      <w:r>
        <w:rPr>
          <w:rFonts w:ascii="Times New Roman" w:hAnsi="Times New Roman" w:eastAsia="Times New Roman" w:cs="Times New Roman"/>
          <w:spacing w:val="25"/>
          <w:sz w:val="21"/>
          <w:szCs w:val="21"/>
        </w:rPr>
        <w:t xml:space="preserve"> </w:t>
      </w:r>
      <w:r>
        <w:rPr>
          <w:spacing w:val="-7"/>
          <w:sz w:val="21"/>
          <w:szCs w:val="21"/>
        </w:rPr>
        <w:t>附录</w:t>
      </w:r>
      <w:r>
        <w:rPr>
          <w:rFonts w:ascii="Times New Roman" w:hAnsi="Times New Roman" w:eastAsia="Times New Roman" w:cs="Times New Roman"/>
          <w:spacing w:val="-7"/>
          <w:sz w:val="21"/>
          <w:szCs w:val="21"/>
        </w:rPr>
        <w:t>Ⅱ</w:t>
      </w:r>
      <w:r>
        <w:rPr>
          <w:rFonts w:ascii="Times New Roman" w:hAnsi="Times New Roman" w:eastAsia="Times New Roman" w:cs="Times New Roman"/>
          <w:spacing w:val="-23"/>
          <w:sz w:val="21"/>
          <w:szCs w:val="21"/>
        </w:rPr>
        <w:t xml:space="preserve"> </w:t>
      </w:r>
      <w:r>
        <w:rPr>
          <w:spacing w:val="-7"/>
          <w:sz w:val="21"/>
          <w:szCs w:val="21"/>
        </w:rPr>
        <w:t>。</w:t>
      </w:r>
      <w:r>
        <w:rPr>
          <w:sz w:val="21"/>
          <w:szCs w:val="21"/>
        </w:rPr>
        <w:t xml:space="preserve"> </w:t>
      </w:r>
      <w:r>
        <w:rPr>
          <w:rFonts w:ascii="Times New Roman" w:hAnsi="Times New Roman" w:eastAsia="Times New Roman" w:cs="Times New Roman"/>
          <w:spacing w:val="-7"/>
          <w:sz w:val="21"/>
          <w:szCs w:val="21"/>
        </w:rPr>
        <w:t>CR</w:t>
      </w:r>
      <w:r>
        <w:rPr>
          <w:spacing w:val="-7"/>
          <w:sz w:val="21"/>
          <w:szCs w:val="21"/>
        </w:rPr>
        <w:t>：</w:t>
      </w:r>
      <w:r>
        <w:rPr>
          <w:rFonts w:ascii="Times New Roman" w:hAnsi="Times New Roman" w:eastAsia="Times New Roman" w:cs="Times New Roman"/>
          <w:spacing w:val="-7"/>
          <w:sz w:val="21"/>
          <w:szCs w:val="21"/>
        </w:rPr>
        <w:t>IUCN</w:t>
      </w:r>
      <w:r>
        <w:rPr>
          <w:rFonts w:ascii="Times New Roman" w:hAnsi="Times New Roman" w:eastAsia="Times New Roman" w:cs="Times New Roman"/>
          <w:spacing w:val="11"/>
          <w:sz w:val="21"/>
          <w:szCs w:val="21"/>
        </w:rPr>
        <w:t xml:space="preserve"> </w:t>
      </w:r>
      <w:r>
        <w:rPr>
          <w:spacing w:val="-7"/>
          <w:sz w:val="21"/>
          <w:szCs w:val="21"/>
        </w:rPr>
        <w:t>极危种；</w:t>
      </w:r>
      <w:r>
        <w:rPr>
          <w:rFonts w:ascii="Times New Roman" w:hAnsi="Times New Roman" w:eastAsia="Times New Roman" w:cs="Times New Roman"/>
          <w:spacing w:val="-7"/>
          <w:sz w:val="21"/>
          <w:szCs w:val="21"/>
        </w:rPr>
        <w:t>EN</w:t>
      </w:r>
      <w:r>
        <w:rPr>
          <w:spacing w:val="-7"/>
          <w:sz w:val="21"/>
          <w:szCs w:val="21"/>
        </w:rPr>
        <w:t>：</w:t>
      </w:r>
      <w:r>
        <w:rPr>
          <w:rFonts w:ascii="Times New Roman" w:hAnsi="Times New Roman" w:eastAsia="Times New Roman" w:cs="Times New Roman"/>
          <w:spacing w:val="-7"/>
          <w:sz w:val="21"/>
          <w:szCs w:val="21"/>
        </w:rPr>
        <w:t xml:space="preserve">IUCN </w:t>
      </w:r>
      <w:r>
        <w:rPr>
          <w:spacing w:val="-7"/>
          <w:sz w:val="21"/>
          <w:szCs w:val="21"/>
        </w:rPr>
        <w:t xml:space="preserve">濒危种； </w:t>
      </w:r>
      <w:r>
        <w:rPr>
          <w:rFonts w:ascii="Times New Roman" w:hAnsi="Times New Roman" w:eastAsia="Times New Roman" w:cs="Times New Roman"/>
          <w:spacing w:val="-8"/>
          <w:sz w:val="21"/>
          <w:szCs w:val="21"/>
        </w:rPr>
        <w:t>VU</w:t>
      </w:r>
      <w:r>
        <w:rPr>
          <w:spacing w:val="-8"/>
          <w:sz w:val="21"/>
          <w:szCs w:val="21"/>
        </w:rPr>
        <w:t>：</w:t>
      </w:r>
      <w:r>
        <w:rPr>
          <w:rFonts w:ascii="Times New Roman" w:hAnsi="Times New Roman" w:eastAsia="Times New Roman" w:cs="Times New Roman"/>
          <w:spacing w:val="-8"/>
          <w:sz w:val="21"/>
          <w:szCs w:val="21"/>
        </w:rPr>
        <w:t>IUCN</w:t>
      </w:r>
      <w:r>
        <w:rPr>
          <w:rFonts w:ascii="Times New Roman" w:hAnsi="Times New Roman" w:eastAsia="Times New Roman" w:cs="Times New Roman"/>
          <w:spacing w:val="23"/>
          <w:sz w:val="21"/>
          <w:szCs w:val="21"/>
        </w:rPr>
        <w:t xml:space="preserve"> </w:t>
      </w:r>
      <w:r>
        <w:rPr>
          <w:spacing w:val="-8"/>
          <w:sz w:val="21"/>
          <w:szCs w:val="21"/>
        </w:rPr>
        <w:t>易危种。</w:t>
      </w:r>
      <w:r>
        <w:rPr>
          <w:rFonts w:ascii="Times New Roman" w:hAnsi="Times New Roman" w:eastAsia="Times New Roman" w:cs="Times New Roman"/>
          <w:spacing w:val="-8"/>
          <w:sz w:val="21"/>
          <w:szCs w:val="21"/>
        </w:rPr>
        <w:t>CR</w:t>
      </w:r>
      <w:r>
        <w:rPr>
          <w:spacing w:val="-8"/>
          <w:sz w:val="21"/>
          <w:szCs w:val="21"/>
        </w:rPr>
        <w:t>：</w:t>
      </w:r>
      <w:r>
        <w:rPr>
          <w:rFonts w:ascii="Times New Roman" w:hAnsi="Times New Roman" w:eastAsia="Times New Roman" w:cs="Times New Roman"/>
          <w:spacing w:val="-8"/>
          <w:sz w:val="21"/>
          <w:szCs w:val="21"/>
        </w:rPr>
        <w:t>IUCN</w:t>
      </w:r>
      <w:r>
        <w:rPr>
          <w:rFonts w:ascii="Times New Roman" w:hAnsi="Times New Roman" w:eastAsia="Times New Roman" w:cs="Times New Roman"/>
          <w:spacing w:val="11"/>
          <w:sz w:val="21"/>
          <w:szCs w:val="21"/>
        </w:rPr>
        <w:t xml:space="preserve"> </w:t>
      </w:r>
      <w:r>
        <w:rPr>
          <w:spacing w:val="-8"/>
          <w:sz w:val="21"/>
          <w:szCs w:val="21"/>
        </w:rPr>
        <w:t>极危种。</w:t>
      </w:r>
      <w:r>
        <w:rPr>
          <w:rFonts w:ascii="Times New Roman" w:hAnsi="Times New Roman" w:eastAsia="Times New Roman" w:cs="Times New Roman"/>
          <w:spacing w:val="-8"/>
          <w:sz w:val="21"/>
          <w:szCs w:val="21"/>
        </w:rPr>
        <w:t>CR-C</w:t>
      </w:r>
      <w:r>
        <w:rPr>
          <w:spacing w:val="-8"/>
          <w:sz w:val="21"/>
          <w:szCs w:val="21"/>
        </w:rPr>
        <w:t>：《中</w:t>
      </w:r>
      <w:r>
        <w:rPr>
          <w:spacing w:val="-7"/>
          <w:sz w:val="21"/>
          <w:szCs w:val="21"/>
        </w:rPr>
        <w:t>国脊椎动物红色名录》（</w:t>
      </w:r>
      <w:r>
        <w:rPr>
          <w:rFonts w:ascii="Times New Roman" w:hAnsi="Times New Roman" w:eastAsia="Times New Roman" w:cs="Times New Roman"/>
          <w:spacing w:val="-7"/>
          <w:sz w:val="21"/>
          <w:szCs w:val="21"/>
        </w:rPr>
        <w:t>2016</w:t>
      </w:r>
      <w:r>
        <w:rPr>
          <w:rFonts w:ascii="Times New Roman" w:hAnsi="Times New Roman" w:eastAsia="Times New Roman" w:cs="Times New Roman"/>
          <w:spacing w:val="27"/>
          <w:sz w:val="21"/>
          <w:szCs w:val="21"/>
        </w:rPr>
        <w:t xml:space="preserve"> </w:t>
      </w:r>
      <w:r>
        <w:rPr>
          <w:spacing w:val="-7"/>
          <w:sz w:val="21"/>
          <w:szCs w:val="21"/>
        </w:rPr>
        <w:t>年）极危种；</w:t>
      </w:r>
      <w:r>
        <w:rPr>
          <w:rFonts w:ascii="Times New Roman" w:hAnsi="Times New Roman" w:eastAsia="Times New Roman" w:cs="Times New Roman"/>
          <w:spacing w:val="-7"/>
          <w:sz w:val="21"/>
          <w:szCs w:val="21"/>
        </w:rPr>
        <w:t>EN-C</w:t>
      </w:r>
      <w:r>
        <w:rPr>
          <w:spacing w:val="-7"/>
          <w:sz w:val="21"/>
          <w:szCs w:val="21"/>
        </w:rPr>
        <w:t>：</w:t>
      </w:r>
      <w:r>
        <w:rPr>
          <w:spacing w:val="-8"/>
          <w:sz w:val="21"/>
          <w:szCs w:val="21"/>
        </w:rPr>
        <w:t>《中国脊椎动物红色名录》（</w:t>
      </w:r>
      <w:r>
        <w:rPr>
          <w:rFonts w:ascii="Times New Roman" w:hAnsi="Times New Roman" w:eastAsia="Times New Roman" w:cs="Times New Roman"/>
          <w:spacing w:val="-8"/>
          <w:sz w:val="21"/>
          <w:szCs w:val="21"/>
        </w:rPr>
        <w:t>2016</w:t>
      </w:r>
      <w:r>
        <w:rPr>
          <w:rFonts w:ascii="Times New Roman" w:hAnsi="Times New Roman" w:eastAsia="Times New Roman" w:cs="Times New Roman"/>
          <w:spacing w:val="26"/>
          <w:sz w:val="21"/>
          <w:szCs w:val="21"/>
        </w:rPr>
        <w:t xml:space="preserve"> </w:t>
      </w:r>
      <w:r>
        <w:rPr>
          <w:spacing w:val="-8"/>
          <w:sz w:val="21"/>
          <w:szCs w:val="21"/>
        </w:rPr>
        <w:t>年）濒危</w:t>
      </w:r>
      <w:r>
        <w:rPr>
          <w:spacing w:val="-5"/>
          <w:sz w:val="21"/>
          <w:szCs w:val="21"/>
        </w:rPr>
        <w:t>种；</w:t>
      </w:r>
      <w:r>
        <w:rPr>
          <w:rFonts w:ascii="Times New Roman" w:hAnsi="Times New Roman" w:eastAsia="Times New Roman" w:cs="Times New Roman"/>
          <w:spacing w:val="-5"/>
          <w:sz w:val="21"/>
          <w:szCs w:val="21"/>
        </w:rPr>
        <w:t>VU-C</w:t>
      </w:r>
      <w:r>
        <w:rPr>
          <w:spacing w:val="-5"/>
          <w:sz w:val="21"/>
          <w:szCs w:val="21"/>
        </w:rPr>
        <w:t>：《中国脊椎动物红色名录》（</w:t>
      </w:r>
      <w:r>
        <w:rPr>
          <w:rFonts w:ascii="Times New Roman" w:hAnsi="Times New Roman" w:eastAsia="Times New Roman" w:cs="Times New Roman"/>
          <w:spacing w:val="-5"/>
          <w:sz w:val="21"/>
          <w:szCs w:val="21"/>
        </w:rPr>
        <w:t xml:space="preserve">2016  </w:t>
      </w:r>
      <w:r>
        <w:rPr>
          <w:spacing w:val="-5"/>
          <w:sz w:val="21"/>
          <w:szCs w:val="21"/>
        </w:rPr>
        <w:t>年</w:t>
      </w:r>
      <w:r>
        <w:rPr>
          <w:spacing w:val="-6"/>
          <w:sz w:val="21"/>
          <w:szCs w:val="21"/>
        </w:rPr>
        <w:t>）易危种。特有：中国特有种；⑤资源现状：</w:t>
      </w:r>
      <w:r>
        <w:rPr>
          <w:sz w:val="21"/>
          <w:szCs w:val="21"/>
        </w:rPr>
        <w:t xml:space="preserve"> </w:t>
      </w:r>
      <w:r>
        <w:rPr>
          <w:rFonts w:ascii="Times New Roman" w:hAnsi="Times New Roman" w:eastAsia="Times New Roman" w:cs="Times New Roman"/>
          <w:spacing w:val="-7"/>
          <w:sz w:val="21"/>
          <w:szCs w:val="21"/>
        </w:rPr>
        <w:t>+</w:t>
      </w:r>
      <w:r>
        <w:rPr>
          <w:spacing w:val="-7"/>
          <w:sz w:val="21"/>
          <w:szCs w:val="21"/>
        </w:rPr>
        <w:t>：罕见种；</w:t>
      </w:r>
      <w:r>
        <w:rPr>
          <w:rFonts w:ascii="Times New Roman" w:hAnsi="Times New Roman" w:eastAsia="Times New Roman" w:cs="Times New Roman"/>
          <w:spacing w:val="-7"/>
          <w:sz w:val="21"/>
          <w:szCs w:val="21"/>
        </w:rPr>
        <w:t>++</w:t>
      </w:r>
      <w:r>
        <w:rPr>
          <w:spacing w:val="-7"/>
          <w:sz w:val="21"/>
          <w:szCs w:val="21"/>
        </w:rPr>
        <w:t>：稀有种；</w:t>
      </w:r>
      <w:r>
        <w:rPr>
          <w:rFonts w:ascii="Times New Roman" w:hAnsi="Times New Roman" w:eastAsia="Times New Roman" w:cs="Times New Roman"/>
          <w:spacing w:val="-7"/>
          <w:sz w:val="21"/>
          <w:szCs w:val="21"/>
        </w:rPr>
        <w:t>+++</w:t>
      </w:r>
      <w:r>
        <w:rPr>
          <w:spacing w:val="-7"/>
          <w:sz w:val="21"/>
          <w:szCs w:val="21"/>
        </w:rPr>
        <w:t>：常见种；</w:t>
      </w:r>
      <w:r>
        <w:rPr>
          <w:rFonts w:ascii="Times New Roman" w:hAnsi="Times New Roman" w:eastAsia="Times New Roman" w:cs="Times New Roman"/>
          <w:spacing w:val="-7"/>
          <w:sz w:val="21"/>
          <w:szCs w:val="21"/>
        </w:rPr>
        <w:t>++++</w:t>
      </w:r>
      <w:r>
        <w:rPr>
          <w:spacing w:val="-7"/>
          <w:sz w:val="21"/>
          <w:szCs w:val="21"/>
        </w:rPr>
        <w:t>：优势种；⑥数据来源：</w:t>
      </w:r>
      <w:r>
        <w:rPr>
          <w:rFonts w:ascii="Times New Roman" w:hAnsi="Times New Roman" w:eastAsia="Times New Roman" w:cs="Times New Roman"/>
          <w:spacing w:val="-7"/>
          <w:sz w:val="21"/>
          <w:szCs w:val="21"/>
        </w:rPr>
        <w:t>S</w:t>
      </w:r>
      <w:r>
        <w:rPr>
          <w:spacing w:val="-7"/>
          <w:sz w:val="21"/>
          <w:szCs w:val="21"/>
        </w:rPr>
        <w:t>：实地调查（含目击，可分辨鸣声等</w:t>
      </w:r>
      <w:r>
        <w:rPr>
          <w:spacing w:val="2"/>
          <w:sz w:val="21"/>
          <w:szCs w:val="21"/>
        </w:rPr>
        <w:t>）；</w:t>
      </w:r>
      <w:r>
        <w:rPr>
          <w:rFonts w:ascii="Times New Roman" w:hAnsi="Times New Roman" w:eastAsia="Times New Roman" w:cs="Times New Roman"/>
          <w:spacing w:val="-7"/>
          <w:sz w:val="21"/>
          <w:szCs w:val="21"/>
        </w:rPr>
        <w:t>V</w:t>
      </w:r>
      <w:r>
        <w:rPr>
          <w:spacing w:val="-7"/>
          <w:sz w:val="21"/>
          <w:szCs w:val="21"/>
        </w:rPr>
        <w:t>：访问调查；</w:t>
      </w:r>
      <w:r>
        <w:rPr>
          <w:rFonts w:ascii="Times New Roman" w:hAnsi="Times New Roman" w:eastAsia="Times New Roman" w:cs="Times New Roman"/>
          <w:spacing w:val="-7"/>
          <w:sz w:val="21"/>
          <w:szCs w:val="21"/>
        </w:rPr>
        <w:t>C</w:t>
      </w:r>
      <w:r>
        <w:rPr>
          <w:spacing w:val="-7"/>
          <w:sz w:val="21"/>
          <w:szCs w:val="21"/>
        </w:rPr>
        <w:t>：红外相机。</w:t>
      </w:r>
    </w:p>
    <w:sectPr>
      <w:headerReference r:id="rId302" w:type="default"/>
      <w:footerReference r:id="rId303" w:type="default"/>
      <w:pgSz w:w="11907" w:h="16839"/>
      <w:pgMar w:top="1376" w:right="1645" w:bottom="1061" w:left="1671" w:header="999" w:footer="86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6BFB">
    <w:pPr>
      <w:spacing w:line="223" w:lineRule="auto"/>
      <w:ind w:left="413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w:t>
    </w:r>
    <w:r>
      <w:rPr>
        <w:rFonts w:ascii="Times New Roman" w:hAnsi="Times New Roman" w:eastAsia="Times New Roman" w:cs="Times New Roman"/>
        <w:spacing w:val="22"/>
        <w:sz w:val="18"/>
        <w:szCs w:val="18"/>
      </w:rPr>
      <w:t xml:space="preserve"> </w:t>
    </w:r>
    <w:r>
      <w:rPr>
        <w:rFonts w:ascii="Times New Roman" w:hAnsi="Times New Roman" w:eastAsia="Times New Roman" w:cs="Times New Roman"/>
        <w:spacing w:val="-10"/>
        <w:sz w:val="18"/>
        <w:szCs w:val="18"/>
      </w:rPr>
      <w:t>1</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10"/>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C01AD">
    <w:pPr>
      <w:spacing w:line="223" w:lineRule="auto"/>
      <w:ind w:left="41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pacing w:val="-4"/>
        <w:sz w:val="18"/>
        <w:szCs w:val="18"/>
      </w:rPr>
      <w:t>2</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4"/>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48085">
    <w:pPr>
      <w:spacing w:line="220" w:lineRule="auto"/>
      <w:ind w:left="413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5"/>
        <w:sz w:val="18"/>
        <w:szCs w:val="18"/>
      </w:rPr>
      <w:t>3</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5"/>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1881C">
    <w:pPr>
      <w:spacing w:line="223" w:lineRule="auto"/>
      <w:ind w:left="4256"/>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B6E8A">
    <w:pPr>
      <w:spacing w:line="223" w:lineRule="auto"/>
      <w:ind w:left="422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A14B0">
    <w:pPr>
      <w:spacing w:line="223" w:lineRule="auto"/>
      <w:ind w:left="4258"/>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80DD">
    <w:pPr>
      <w:spacing w:line="223" w:lineRule="auto"/>
      <w:ind w:left="424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672FC">
    <w:pPr>
      <w:spacing w:line="220" w:lineRule="auto"/>
      <w:ind w:left="424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35CA3">
    <w:pPr>
      <w:spacing w:line="223" w:lineRule="auto"/>
      <w:ind w:left="424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26C63">
    <w:pPr>
      <w:spacing w:line="220" w:lineRule="auto"/>
      <w:ind w:left="4246"/>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528F">
    <w:pPr>
      <w:spacing w:line="220" w:lineRule="auto"/>
      <w:ind w:left="4245"/>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977A3">
    <w:pPr>
      <w:spacing w:line="220" w:lineRule="auto"/>
      <w:ind w:left="4244"/>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06CEC">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F97FC">
    <w:pPr>
      <w:spacing w:line="220"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01409">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81399">
    <w:pPr>
      <w:spacing w:line="223" w:lineRule="auto"/>
      <w:ind w:left="4396"/>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72875">
    <w:pPr>
      <w:spacing w:line="223"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6517C">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13D1C">
    <w:pPr>
      <w:spacing w:line="223"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A3486">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EC246">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76CE">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19E3">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755F5">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DB350">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3ADB2">
    <w:pPr>
      <w:spacing w:line="223"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0393">
    <w:pPr>
      <w:spacing w:line="223"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6F19D">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36A74">
    <w:pPr>
      <w:spacing w:line="223"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EBAB5">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791C">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3E52F">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3F404">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26840">
    <w:pPr>
      <w:spacing w:line="220"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4971">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54FDA">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F3C3D">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61CAD">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72296">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60AD3">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C6BDF">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5EF81">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C226B">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3208">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A78D3">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DE668">
    <w:pPr>
      <w:spacing w:line="223"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8BEB1">
    <w:pPr>
      <w:spacing w:line="223"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E8BB2">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8F92C">
    <w:pPr>
      <w:spacing w:line="223"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D83A5">
    <w:pPr>
      <w:spacing w:line="220" w:lineRule="auto"/>
      <w:ind w:left="684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4E8E">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15B8">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523D8">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F8C27">
    <w:pPr>
      <w:spacing w:line="220"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7226">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73648">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4E28D">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9F925">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13728">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7B752">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DD094">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C7843">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57</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4B000">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58</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9B281">
    <w:pPr>
      <w:spacing w:line="220"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59</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F602">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8CAF5">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17E3">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B6D2">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B21FB">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64</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C3076">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D88D5">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EE648">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7147">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1B99D">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69</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33868">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70</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F5E0E">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71</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DB0CE">
    <w:pPr>
      <w:spacing w:line="220" w:lineRule="auto"/>
      <w:ind w:left="6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72</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098FA">
    <w:pPr>
      <w:spacing w:line="220" w:lineRule="auto"/>
      <w:ind w:left="6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73</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E035">
    <w:pPr>
      <w:spacing w:line="220" w:lineRule="auto"/>
      <w:ind w:left="6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74</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CA33D">
    <w:pPr>
      <w:spacing w:line="220" w:lineRule="auto"/>
      <w:ind w:left="6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75</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EA523">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76</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834C">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77</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A997A">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D3151">
    <w:pPr>
      <w:spacing w:line="220" w:lineRule="auto"/>
      <w:ind w:left="43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79</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3530B">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80</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4B845">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14"/>
        <w:sz w:val="18"/>
        <w:szCs w:val="18"/>
      </w:rPr>
      <w:t>8l</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58F4C">
    <w:pPr>
      <w:spacing w:line="220" w:lineRule="auto"/>
      <w:ind w:left="1033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82</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4AB15">
    <w:pPr>
      <w:spacing w:line="220" w:lineRule="auto"/>
      <w:ind w:left="1033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83</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04D5">
    <w:pPr>
      <w:spacing w:line="220" w:lineRule="auto"/>
      <w:ind w:left="1033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84</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E879">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85</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735AA">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86</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4DE0C">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87</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BB7FE">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88</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72837">
    <w:pPr>
      <w:spacing w:line="220" w:lineRule="auto"/>
      <w:ind w:left="438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89</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0465C">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90</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C2DB">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91</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7D0CA">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92</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8C71F">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93</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F7C98">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F141">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95</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36431">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96</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88CD">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47AF6">
    <w:pPr>
      <w:spacing w:line="220" w:lineRule="auto"/>
      <w:ind w:left="43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E037B">
    <w:pPr>
      <w:pStyle w:val="2"/>
      <w:spacing w:line="212" w:lineRule="auto"/>
      <w:ind w:left="4379"/>
      <w:rPr>
        <w:sz w:val="18"/>
        <w:szCs w:val="18"/>
      </w:rPr>
    </w:pPr>
    <w:r>
      <w:rPr>
        <w:spacing w:val="-2"/>
        <w:sz w:val="18"/>
        <w:szCs w:val="18"/>
      </w:rPr>
      <w:t>99</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5064A">
    <w:pPr>
      <w:pStyle w:val="2"/>
      <w:spacing w:line="212" w:lineRule="auto"/>
      <w:ind w:left="4348"/>
      <w:rPr>
        <w:sz w:val="18"/>
        <w:szCs w:val="18"/>
      </w:rPr>
    </w:pPr>
    <w:r>
      <w:rPr>
        <w:spacing w:val="-5"/>
        <w:sz w:val="18"/>
        <w:szCs w:val="18"/>
      </w:rPr>
      <w:t>100</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6DD9F">
    <w:pPr>
      <w:pStyle w:val="2"/>
      <w:spacing w:line="212" w:lineRule="auto"/>
      <w:ind w:left="4348"/>
      <w:rPr>
        <w:sz w:val="18"/>
        <w:szCs w:val="18"/>
      </w:rPr>
    </w:pPr>
    <w:r>
      <w:rPr>
        <w:spacing w:val="-5"/>
        <w:sz w:val="18"/>
        <w:szCs w:val="18"/>
      </w:rPr>
      <w:t>101</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E1B3C">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102</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1CAD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103</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01410">
    <w:pPr>
      <w:pStyle w:val="2"/>
      <w:spacing w:line="212" w:lineRule="auto"/>
      <w:ind w:left="4348"/>
      <w:rPr>
        <w:sz w:val="18"/>
        <w:szCs w:val="18"/>
      </w:rPr>
    </w:pPr>
    <w:r>
      <w:rPr>
        <w:spacing w:val="-5"/>
        <w:sz w:val="18"/>
        <w:szCs w:val="18"/>
      </w:rPr>
      <w:t>104</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03E41">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105</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682C9">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106</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030F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107</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98482">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108</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128F">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109</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98463">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110</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A920B">
    <w:pPr>
      <w:spacing w:line="223" w:lineRule="auto"/>
      <w:ind w:left="4354"/>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111</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F1F6A">
    <w:pPr>
      <w:spacing w:line="223"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112</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09EB8">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113</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CB21C">
    <w:pPr>
      <w:spacing w:line="223"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114</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AB12">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115</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5B7FF">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116</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8437D">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117</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5DBBF">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118</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AA7B1">
    <w:pPr>
      <w:spacing w:line="220"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119</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75833">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120</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CBD1D">
    <w:pPr>
      <w:spacing w:line="223"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121</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43A9E">
    <w:pPr>
      <w:spacing w:line="223"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122</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9F38">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123</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71FA4">
    <w:pPr>
      <w:spacing w:line="223"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124</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4770A">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125</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D1F0D">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126</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C30C4">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127</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D921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128</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D180">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129</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5300C">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130</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EE4DD">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131</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24F43">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132</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FDF64">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133</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E6C9C">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l34</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914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135</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E8C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136</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6C5F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l37</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C2997">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138</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C37C3">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139</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88948">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140</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838C8">
    <w:pPr>
      <w:spacing w:line="223"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141</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AEBB">
    <w:pPr>
      <w:spacing w:line="223"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142</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F82E7">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143</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02350">
    <w:pPr>
      <w:spacing w:line="223"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144</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F7B19">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145</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31D02">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146</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A96F7">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147</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DF4E7">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148</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CE9FF">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149</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280D">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150</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0EB5">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151</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37CED">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152</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B7FAE">
    <w:pPr>
      <w:spacing w:line="220" w:lineRule="auto"/>
      <w:ind w:left="68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153</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6450">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154</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E9B23">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155</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6DA1A">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156</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E4454">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157</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371A">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158</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25C6C">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159</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C3E1">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160</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5720">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161</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D92D6">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162</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57CFD">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163</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5810">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164</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FD342">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165</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C0A1F">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166</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E14AE">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167</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B7B0D">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168</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2A127">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169</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5EB0">
    <w:pPr>
      <w:spacing w:line="220" w:lineRule="auto"/>
      <w:ind w:left="1030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170</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D5295">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171</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F435">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172</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7F4B3">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l73</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3035">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174</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B31FB">
    <w:pPr>
      <w:spacing w:line="220" w:lineRule="auto"/>
      <w:ind w:left="434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175</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3A262">
    <w:pPr>
      <w:spacing w:line="223" w:lineRule="auto"/>
      <w:ind w:left="4438"/>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34FB">
    <w:pPr>
      <w:spacing w:line="223" w:lineRule="auto"/>
      <w:ind w:left="442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109A5">
    <w:pPr>
      <w:spacing w:line="220"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9F8C5">
    <w:pPr>
      <w:spacing w:line="223" w:lineRule="auto"/>
      <w:ind w:left="442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315FD">
    <w:pPr>
      <w:spacing w:line="220" w:lineRule="auto"/>
      <w:ind w:left="4426"/>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B0A5D">
    <w:pPr>
      <w:spacing w:line="220" w:lineRule="auto"/>
      <w:ind w:left="4425"/>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A31E">
    <w:pPr>
      <w:spacing w:line="220"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51321">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F8B9">
    <w:pPr>
      <w:spacing w:line="220"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888AD">
    <w:pPr>
      <w:spacing w:line="220"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0B23C">
    <w:pPr>
      <w:spacing w:before="50" w:line="187" w:lineRule="exact"/>
      <w:ind w:left="1489"/>
      <w:rPr>
        <w:rFonts w:ascii="微软雅黑" w:hAnsi="微软雅黑" w:eastAsia="微软雅黑" w:cs="微软雅黑"/>
        <w:sz w:val="18"/>
        <w:szCs w:val="18"/>
      </w:rPr>
    </w:pPr>
    <w:r>
      <w:pict>
        <v:shape id="_x0000_s2049" o:spid="_x0000_s2049" style="position:absolute;left:0pt;margin-left:83.6pt;margin-top:79.7pt;height:0.75pt;width:428.3pt;mso-position-horizontal-relative:page;mso-position-vertical-relative:page;z-index:25166028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37D2">
    <w:pPr>
      <w:spacing w:before="50" w:line="187" w:lineRule="exact"/>
      <w:ind w:left="1489"/>
      <w:rPr>
        <w:rFonts w:ascii="微软雅黑" w:hAnsi="微软雅黑" w:eastAsia="微软雅黑" w:cs="微软雅黑"/>
        <w:sz w:val="18"/>
        <w:szCs w:val="18"/>
      </w:rPr>
    </w:pPr>
    <w:r>
      <w:pict>
        <v:shape id="_x0000_s2050" o:spid="_x0000_s2050" style="position:absolute;left:0pt;margin-left:83.6pt;margin-top:79.7pt;height:0.75pt;width:428.3pt;mso-position-horizontal-relative:page;mso-position-vertical-relative:page;z-index:25166131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73788">
    <w:pPr>
      <w:spacing w:before="50" w:line="187" w:lineRule="exact"/>
      <w:ind w:left="1489"/>
      <w:rPr>
        <w:rFonts w:ascii="微软雅黑" w:hAnsi="微软雅黑" w:eastAsia="微软雅黑" w:cs="微软雅黑"/>
        <w:sz w:val="18"/>
        <w:szCs w:val="18"/>
      </w:rPr>
    </w:pPr>
    <w:r>
      <w:pict>
        <v:shape id="_x0000_s2051" o:spid="_x0000_s2051" style="position:absolute;left:0pt;margin-left:83.6pt;margin-top:65.5pt;height:0.75pt;width:428.3pt;mso-position-horizontal-relative:page;mso-position-vertical-relative:page;z-index:25166233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4C371">
    <w:pPr>
      <w:spacing w:before="50" w:line="187" w:lineRule="exact"/>
      <w:ind w:left="1489"/>
      <w:rPr>
        <w:rFonts w:ascii="微软雅黑" w:hAnsi="微软雅黑" w:eastAsia="微软雅黑" w:cs="微软雅黑"/>
        <w:sz w:val="18"/>
        <w:szCs w:val="18"/>
      </w:rPr>
    </w:pPr>
    <w:r>
      <w:pict>
        <v:shape id="_x0000_s2052" o:spid="_x0000_s2052" style="position:absolute;left:0pt;margin-left:83.55pt;margin-top:79.7pt;height:0.75pt;width:428.35pt;mso-position-horizontal-relative:page;mso-position-vertical-relative:page;z-index:251664384;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A0BC">
    <w:pPr>
      <w:spacing w:before="50" w:line="187" w:lineRule="exact"/>
      <w:ind w:left="1489"/>
      <w:rPr>
        <w:rFonts w:ascii="微软雅黑" w:hAnsi="微软雅黑" w:eastAsia="微软雅黑" w:cs="微软雅黑"/>
        <w:sz w:val="18"/>
        <w:szCs w:val="18"/>
      </w:rPr>
    </w:pPr>
    <w:r>
      <w:pict>
        <v:shape id="_x0000_s2053" o:spid="_x0000_s2053" style="position:absolute;left:0pt;margin-left:83.55pt;margin-top:79.7pt;height:0.75pt;width:428.35pt;mso-position-horizontal-relative:page;mso-position-vertical-relative:page;z-index:251665408;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C2A7">
    <w:pPr>
      <w:spacing w:before="50" w:line="187" w:lineRule="exact"/>
      <w:ind w:left="1489"/>
      <w:rPr>
        <w:rFonts w:ascii="微软雅黑" w:hAnsi="微软雅黑" w:eastAsia="微软雅黑" w:cs="微软雅黑"/>
        <w:sz w:val="18"/>
        <w:szCs w:val="18"/>
      </w:rPr>
    </w:pPr>
    <w:r>
      <w:pict>
        <v:shape id="_x0000_s2054" o:spid="_x0000_s2054" style="position:absolute;left:0pt;margin-left:83.55pt;margin-top:79.7pt;height:0.75pt;width:428.35pt;mso-position-horizontal-relative:page;mso-position-vertical-relative:page;z-index:251664384;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9C959">
    <w:pPr>
      <w:spacing w:before="50" w:line="187" w:lineRule="exact"/>
      <w:ind w:left="1489"/>
      <w:rPr>
        <w:rFonts w:ascii="微软雅黑" w:hAnsi="微软雅黑" w:eastAsia="微软雅黑" w:cs="微软雅黑"/>
        <w:sz w:val="18"/>
        <w:szCs w:val="18"/>
      </w:rPr>
    </w:pPr>
    <w:r>
      <w:pict>
        <v:shape id="_x0000_s2055" o:spid="_x0000_s2055" style="position:absolute;left:0pt;margin-left:83.55pt;margin-top:79.7pt;height:0.75pt;width:428.35pt;mso-position-horizontal-relative:page;mso-position-vertical-relative:page;z-index:251666432;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6DA98">
    <w:pPr>
      <w:spacing w:before="50" w:line="187" w:lineRule="exact"/>
      <w:ind w:left="1489"/>
      <w:rPr>
        <w:rFonts w:ascii="微软雅黑" w:hAnsi="微软雅黑" w:eastAsia="微软雅黑" w:cs="微软雅黑"/>
        <w:sz w:val="18"/>
        <w:szCs w:val="18"/>
      </w:rPr>
    </w:pPr>
    <w:r>
      <w:pict>
        <v:shape id="_x0000_s2056" o:spid="_x0000_s2056" style="position:absolute;left:0pt;margin-left:83.55pt;margin-top:79.7pt;height:0.75pt;width:428.35pt;mso-position-horizontal-relative:page;mso-position-vertical-relative:page;z-index:251667456;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43260">
    <w:pPr>
      <w:spacing w:before="50" w:line="187" w:lineRule="exact"/>
      <w:ind w:left="1489"/>
      <w:rPr>
        <w:rFonts w:ascii="微软雅黑" w:hAnsi="微软雅黑" w:eastAsia="微软雅黑" w:cs="微软雅黑"/>
        <w:sz w:val="18"/>
        <w:szCs w:val="18"/>
      </w:rPr>
    </w:pPr>
    <w:r>
      <w:pict>
        <v:shape id="_x0000_s2057" o:spid="_x0000_s2057" style="position:absolute;left:0pt;margin-left:83.55pt;margin-top:79.7pt;height:0.75pt;width:428.35pt;mso-position-horizontal-relative:page;mso-position-vertical-relative:page;z-index:251668480;mso-width-relative:page;mso-height-relative:page;" fillcolor="#000000" filled="t" stroked="f" coordsize="8567,15" o:allowincell="f" path="m0,14l8566,14,8566,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A4A20">
    <w:pPr>
      <w:spacing w:before="50" w:line="187" w:lineRule="exact"/>
      <w:ind w:left="1489"/>
      <w:rPr>
        <w:rFonts w:ascii="微软雅黑" w:hAnsi="微软雅黑" w:eastAsia="微软雅黑" w:cs="微软雅黑"/>
        <w:sz w:val="18"/>
        <w:szCs w:val="18"/>
      </w:rPr>
    </w:pPr>
    <w:r>
      <w:pict>
        <v:shape id="_x0000_s2058" o:spid="_x0000_s2058" style="position:absolute;left:0pt;margin-left:83.6pt;margin-top:65.55pt;height:0.75pt;width:428.3pt;mso-position-horizontal-relative:page;mso-position-vertical-relative:page;z-index:25166950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38B32">
    <w:pPr>
      <w:spacing w:before="50" w:line="187" w:lineRule="exact"/>
      <w:ind w:left="1489"/>
      <w:rPr>
        <w:rFonts w:ascii="微软雅黑" w:hAnsi="微软雅黑" w:eastAsia="微软雅黑" w:cs="微软雅黑"/>
        <w:sz w:val="18"/>
        <w:szCs w:val="18"/>
      </w:rPr>
    </w:pPr>
    <w:r>
      <w:pict>
        <v:shape id="_x0000_s2059" o:spid="_x0000_s2059"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668A9">
    <w:pPr>
      <w:spacing w:before="50" w:line="187" w:lineRule="exact"/>
      <w:ind w:left="1489"/>
      <w:rPr>
        <w:rFonts w:ascii="微软雅黑" w:hAnsi="微软雅黑" w:eastAsia="微软雅黑" w:cs="微软雅黑"/>
        <w:sz w:val="18"/>
        <w:szCs w:val="18"/>
      </w:rPr>
    </w:pPr>
    <w:r>
      <w:pict>
        <v:shape id="_x0000_s2060" o:spid="_x0000_s2060"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F6D22">
    <w:pPr>
      <w:spacing w:before="50" w:line="187" w:lineRule="exact"/>
      <w:ind w:left="1489"/>
      <w:rPr>
        <w:rFonts w:ascii="微软雅黑" w:hAnsi="微软雅黑" w:eastAsia="微软雅黑" w:cs="微软雅黑"/>
        <w:sz w:val="18"/>
        <w:szCs w:val="18"/>
      </w:rPr>
    </w:pPr>
    <w:r>
      <w:pict>
        <v:shape id="_x0000_s2061" o:spid="_x0000_s2061"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D3172">
    <w:pPr>
      <w:spacing w:before="50" w:line="187" w:lineRule="exact"/>
      <w:ind w:left="1489"/>
      <w:rPr>
        <w:rFonts w:ascii="微软雅黑" w:hAnsi="微软雅黑" w:eastAsia="微软雅黑" w:cs="微软雅黑"/>
        <w:sz w:val="18"/>
        <w:szCs w:val="18"/>
      </w:rPr>
    </w:pPr>
    <w:r>
      <w:pict>
        <v:shape id="_x0000_s2062" o:spid="_x0000_s2062" style="position:absolute;left:0pt;margin-left:83.6pt;margin-top:65.55pt;height:0.75pt;width:428.3pt;mso-position-horizontal-relative:page;mso-position-vertical-relative:page;z-index:25167360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EDFF">
    <w:pPr>
      <w:spacing w:before="50" w:line="187" w:lineRule="exact"/>
      <w:ind w:left="1489"/>
      <w:rPr>
        <w:rFonts w:ascii="微软雅黑" w:hAnsi="微软雅黑" w:eastAsia="微软雅黑" w:cs="微软雅黑"/>
        <w:sz w:val="18"/>
        <w:szCs w:val="18"/>
      </w:rPr>
    </w:pPr>
    <w:r>
      <w:pict>
        <v:shape id="_x0000_s2063" o:spid="_x0000_s2063"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320D3">
    <w:pPr>
      <w:spacing w:before="50" w:line="187" w:lineRule="exact"/>
      <w:ind w:left="1489"/>
      <w:rPr>
        <w:rFonts w:ascii="微软雅黑" w:hAnsi="微软雅黑" w:eastAsia="微软雅黑" w:cs="微软雅黑"/>
        <w:sz w:val="18"/>
        <w:szCs w:val="18"/>
      </w:rPr>
    </w:pPr>
    <w:r>
      <w:pict>
        <v:shape id="_x0000_s2064" o:spid="_x0000_s2064" style="position:absolute;left:0pt;margin-left:83.6pt;margin-top:65.55pt;height:0.75pt;width:428.3pt;mso-position-horizontal-relative:page;mso-position-vertical-relative:page;z-index:25167462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2B22">
    <w:pPr>
      <w:spacing w:before="50" w:line="187" w:lineRule="exact"/>
      <w:ind w:left="1489"/>
      <w:rPr>
        <w:rFonts w:ascii="微软雅黑" w:hAnsi="微软雅黑" w:eastAsia="微软雅黑" w:cs="微软雅黑"/>
        <w:sz w:val="18"/>
        <w:szCs w:val="18"/>
      </w:rPr>
    </w:pPr>
    <w:r>
      <w:pict>
        <v:shape id="_x0000_s2065" o:spid="_x0000_s2065" style="position:absolute;left:0pt;margin-left:83.6pt;margin-top:65.55pt;height:0.75pt;width:428.3pt;mso-position-horizontal-relative:page;mso-position-vertical-relative:page;z-index:25167564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8B84C">
    <w:pPr>
      <w:spacing w:before="50" w:line="187" w:lineRule="exact"/>
      <w:ind w:left="1489"/>
      <w:rPr>
        <w:rFonts w:ascii="微软雅黑" w:hAnsi="微软雅黑" w:eastAsia="微软雅黑" w:cs="微软雅黑"/>
        <w:sz w:val="18"/>
        <w:szCs w:val="18"/>
      </w:rPr>
    </w:pPr>
    <w:r>
      <w:pict>
        <v:shape id="_x0000_s2066" o:spid="_x0000_s2066" style="position:absolute;left:0pt;margin-left:83.6pt;margin-top:65.55pt;height:0.75pt;width:428.3pt;mso-position-horizontal-relative:page;mso-position-vertical-relative:page;z-index:25167667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41083">
    <w:pPr>
      <w:spacing w:before="50" w:line="187" w:lineRule="exact"/>
      <w:ind w:left="1489"/>
      <w:rPr>
        <w:rFonts w:ascii="微软雅黑" w:hAnsi="微软雅黑" w:eastAsia="微软雅黑" w:cs="微软雅黑"/>
        <w:sz w:val="18"/>
        <w:szCs w:val="18"/>
      </w:rPr>
    </w:pPr>
    <w:r>
      <w:pict>
        <v:shape id="_x0000_s2067" o:spid="_x0000_s2067"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FF967">
    <w:pPr>
      <w:spacing w:before="50" w:line="187" w:lineRule="exact"/>
      <w:ind w:left="1489"/>
      <w:rPr>
        <w:rFonts w:ascii="微软雅黑" w:hAnsi="微软雅黑" w:eastAsia="微软雅黑" w:cs="微软雅黑"/>
        <w:sz w:val="18"/>
        <w:szCs w:val="18"/>
      </w:rPr>
    </w:pPr>
    <w:r>
      <w:pict>
        <v:shape id="_x0000_s2068" o:spid="_x0000_s2068" style="position:absolute;left:0pt;margin-left:83.6pt;margin-top:65.55pt;height:0.75pt;width:428.3pt;mso-position-horizontal-relative:page;mso-position-vertical-relative:page;z-index:25167769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DD7CA">
    <w:pPr>
      <w:spacing w:before="50" w:line="187" w:lineRule="exact"/>
      <w:ind w:left="1489"/>
      <w:rPr>
        <w:rFonts w:ascii="微软雅黑" w:hAnsi="微软雅黑" w:eastAsia="微软雅黑" w:cs="微软雅黑"/>
        <w:sz w:val="18"/>
        <w:szCs w:val="18"/>
      </w:rPr>
    </w:pPr>
    <w:r>
      <w:pict>
        <v:shape id="_x0000_s2069" o:spid="_x0000_s2069" style="position:absolute;left:0pt;margin-left:83.6pt;margin-top:65.55pt;height:0.75pt;width:428.3pt;mso-position-horizontal-relative:page;mso-position-vertical-relative:page;z-index:25167872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FCE23">
    <w:pPr>
      <w:spacing w:before="50" w:line="187" w:lineRule="exact"/>
      <w:ind w:left="1489"/>
      <w:rPr>
        <w:rFonts w:ascii="微软雅黑" w:hAnsi="微软雅黑" w:eastAsia="微软雅黑" w:cs="微软雅黑"/>
        <w:sz w:val="18"/>
        <w:szCs w:val="18"/>
      </w:rPr>
    </w:pPr>
    <w:r>
      <w:pict>
        <v:shape id="_x0000_s2070" o:spid="_x0000_s2070" style="position:absolute;left:0pt;margin-left:83.6pt;margin-top:65.55pt;height:0.75pt;width:428.3pt;mso-position-horizontal-relative:page;mso-position-vertical-relative:page;z-index:25167974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2A7A">
    <w:pPr>
      <w:spacing w:before="50" w:line="187" w:lineRule="exact"/>
      <w:ind w:left="1489"/>
      <w:rPr>
        <w:rFonts w:ascii="微软雅黑" w:hAnsi="微软雅黑" w:eastAsia="微软雅黑" w:cs="微软雅黑"/>
        <w:sz w:val="18"/>
        <w:szCs w:val="18"/>
      </w:rPr>
    </w:pPr>
    <w:r>
      <w:pict>
        <v:shape id="_x0000_s2071" o:spid="_x0000_s2071" style="position:absolute;left:0pt;margin-left:83.6pt;margin-top:65.55pt;height:0.75pt;width:428.3pt;mso-position-horizontal-relative:page;mso-position-vertical-relative:page;z-index:25168076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BA11">
    <w:pPr>
      <w:spacing w:before="50" w:line="187" w:lineRule="exact"/>
      <w:ind w:left="1489"/>
      <w:rPr>
        <w:rFonts w:ascii="微软雅黑" w:hAnsi="微软雅黑" w:eastAsia="微软雅黑" w:cs="微软雅黑"/>
        <w:sz w:val="18"/>
        <w:szCs w:val="18"/>
      </w:rPr>
    </w:pPr>
    <w:r>
      <w:pict>
        <v:shape id="_x0000_s2072" o:spid="_x0000_s2072" style="position:absolute;left:0pt;margin-left:83.6pt;margin-top:65.55pt;height:0.75pt;width:428.3pt;mso-position-horizontal-relative:page;mso-position-vertical-relative:page;z-index:25168179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1F755">
    <w:pPr>
      <w:spacing w:before="50" w:line="187" w:lineRule="exact"/>
      <w:ind w:left="1489"/>
      <w:rPr>
        <w:rFonts w:ascii="微软雅黑" w:hAnsi="微软雅黑" w:eastAsia="微软雅黑" w:cs="微软雅黑"/>
        <w:sz w:val="18"/>
        <w:szCs w:val="18"/>
      </w:rPr>
    </w:pPr>
    <w:r>
      <w:pict>
        <v:shape id="_x0000_s2073" o:spid="_x0000_s2073" style="position:absolute;left:0pt;margin-left:83.6pt;margin-top:65.55pt;height:0.75pt;width:428.3pt;mso-position-horizontal-relative:page;mso-position-vertical-relative:page;z-index:25168281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8BF9">
    <w:pPr>
      <w:spacing w:before="50" w:line="187" w:lineRule="exact"/>
      <w:ind w:left="1489"/>
      <w:rPr>
        <w:rFonts w:ascii="微软雅黑" w:hAnsi="微软雅黑" w:eastAsia="微软雅黑" w:cs="微软雅黑"/>
        <w:sz w:val="18"/>
        <w:szCs w:val="18"/>
      </w:rPr>
    </w:pPr>
    <w:r>
      <w:pict>
        <v:shape id="_x0000_s2074" o:spid="_x0000_s2074" style="position:absolute;left:0pt;margin-left:83.6pt;margin-top:65.55pt;height:0.75pt;width:428.3pt;mso-position-horizontal-relative:page;mso-position-vertical-relative:page;z-index:25168384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B83EB">
    <w:pPr>
      <w:spacing w:before="50" w:line="187" w:lineRule="exact"/>
      <w:ind w:left="1489"/>
      <w:rPr>
        <w:rFonts w:ascii="微软雅黑" w:hAnsi="微软雅黑" w:eastAsia="微软雅黑" w:cs="微软雅黑"/>
        <w:sz w:val="18"/>
        <w:szCs w:val="18"/>
      </w:rPr>
    </w:pPr>
    <w:r>
      <w:pict>
        <v:shape id="_x0000_s2075" o:spid="_x0000_s2075"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89903">
    <w:pPr>
      <w:spacing w:before="50" w:line="187" w:lineRule="exact"/>
      <w:ind w:left="1489"/>
      <w:rPr>
        <w:rFonts w:ascii="微软雅黑" w:hAnsi="微软雅黑" w:eastAsia="微软雅黑" w:cs="微软雅黑"/>
        <w:sz w:val="18"/>
        <w:szCs w:val="18"/>
      </w:rPr>
    </w:pPr>
    <w:r>
      <w:pict>
        <v:shape id="_x0000_s2076" o:spid="_x0000_s2076" style="position:absolute;left:0pt;margin-left:83.6pt;margin-top:65.55pt;height:0.75pt;width:428.3pt;mso-position-horizontal-relative:page;mso-position-vertical-relative:page;z-index:25167974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DB663">
    <w:pPr>
      <w:spacing w:before="50" w:line="187" w:lineRule="exact"/>
      <w:ind w:left="1489"/>
      <w:rPr>
        <w:rFonts w:ascii="微软雅黑" w:hAnsi="微软雅黑" w:eastAsia="微软雅黑" w:cs="微软雅黑"/>
        <w:sz w:val="18"/>
        <w:szCs w:val="18"/>
      </w:rPr>
    </w:pPr>
    <w:r>
      <w:pict>
        <v:shape id="_x0000_s2077" o:spid="_x0000_s2077"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2441B">
    <w:pPr>
      <w:spacing w:before="50" w:line="187" w:lineRule="exact"/>
      <w:ind w:left="1489"/>
      <w:rPr>
        <w:rFonts w:ascii="微软雅黑" w:hAnsi="微软雅黑" w:eastAsia="微软雅黑" w:cs="微软雅黑"/>
        <w:sz w:val="18"/>
        <w:szCs w:val="18"/>
      </w:rPr>
    </w:pPr>
    <w:r>
      <w:pict>
        <v:shape id="_x0000_s2078" o:spid="_x0000_s2078" style="position:absolute;left:0pt;margin-left:83.6pt;margin-top:65.55pt;height:0.75pt;width:428.3pt;mso-position-horizontal-relative:page;mso-position-vertical-relative:page;z-index:25168486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EF3A">
    <w:pPr>
      <w:spacing w:before="50" w:line="187" w:lineRule="exact"/>
      <w:ind w:left="1489"/>
      <w:rPr>
        <w:rFonts w:ascii="微软雅黑" w:hAnsi="微软雅黑" w:eastAsia="微软雅黑" w:cs="微软雅黑"/>
        <w:sz w:val="18"/>
        <w:szCs w:val="18"/>
      </w:rPr>
    </w:pPr>
    <w:r>
      <w:pict>
        <v:shape id="_x0000_s2079" o:spid="_x0000_s2079"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09E75">
    <w:pPr>
      <w:spacing w:before="50" w:line="187" w:lineRule="exact"/>
      <w:ind w:left="1489"/>
      <w:rPr>
        <w:rFonts w:ascii="微软雅黑" w:hAnsi="微软雅黑" w:eastAsia="微软雅黑" w:cs="微软雅黑"/>
        <w:sz w:val="18"/>
        <w:szCs w:val="18"/>
      </w:rPr>
    </w:pPr>
    <w:r>
      <w:pict>
        <v:shape id="_x0000_s2080" o:spid="_x0000_s2080" style="position:absolute;left:0pt;margin-left:83.6pt;margin-top:65.55pt;height:0.75pt;width:428.3pt;mso-position-horizontal-relative:page;mso-position-vertical-relative:page;z-index:25168588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8741E">
    <w:pPr>
      <w:spacing w:before="50" w:line="187" w:lineRule="exact"/>
      <w:ind w:left="1489"/>
      <w:rPr>
        <w:rFonts w:ascii="微软雅黑" w:hAnsi="微软雅黑" w:eastAsia="微软雅黑" w:cs="微软雅黑"/>
        <w:sz w:val="18"/>
        <w:szCs w:val="18"/>
      </w:rPr>
    </w:pPr>
    <w:r>
      <w:pict>
        <v:shape id="_x0000_s2081" o:spid="_x0000_s2081" style="position:absolute;left:0pt;margin-left:83.6pt;margin-top:65.55pt;height:0.75pt;width:428.3pt;mso-position-horizontal-relative:page;mso-position-vertical-relative:page;z-index:25167974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04B51">
    <w:pPr>
      <w:spacing w:before="50" w:line="187" w:lineRule="exact"/>
      <w:ind w:left="1489"/>
      <w:rPr>
        <w:rFonts w:ascii="微软雅黑" w:hAnsi="微软雅黑" w:eastAsia="微软雅黑" w:cs="微软雅黑"/>
        <w:sz w:val="18"/>
        <w:szCs w:val="18"/>
      </w:rPr>
    </w:pPr>
    <w:r>
      <w:pict>
        <v:shape id="_x0000_s2082" o:spid="_x0000_s2082" style="position:absolute;left:0pt;margin-left:83.6pt;margin-top:65.55pt;height:0.75pt;width:428.3pt;mso-position-horizontal-relative:page;mso-position-vertical-relative:page;z-index:25167872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8E3FC">
    <w:pPr>
      <w:spacing w:before="50" w:line="187" w:lineRule="exact"/>
      <w:ind w:left="1489"/>
      <w:rPr>
        <w:rFonts w:ascii="微软雅黑" w:hAnsi="微软雅黑" w:eastAsia="微软雅黑" w:cs="微软雅黑"/>
        <w:sz w:val="18"/>
        <w:szCs w:val="18"/>
      </w:rPr>
    </w:pPr>
    <w:r>
      <w:pict>
        <v:shape id="_x0000_s2083" o:spid="_x0000_s2083" style="position:absolute;left:0pt;margin-left:83.6pt;margin-top:65.55pt;height:0.75pt;width:428.3pt;mso-position-horizontal-relative:page;mso-position-vertical-relative:page;z-index:25168793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52B19">
    <w:pPr>
      <w:spacing w:before="50" w:line="187" w:lineRule="exact"/>
      <w:ind w:left="1489"/>
      <w:rPr>
        <w:rFonts w:ascii="微软雅黑" w:hAnsi="微软雅黑" w:eastAsia="微软雅黑" w:cs="微软雅黑"/>
        <w:sz w:val="18"/>
        <w:szCs w:val="18"/>
      </w:rPr>
    </w:pPr>
    <w:r>
      <w:pict>
        <v:shape id="PowerPlusWaterMarkObject58" o:spid="_x0000_s2084" o:spt="136" type="#_x0000_t136" style="position:absolute;left:0pt;margin-left:85.3pt;margin-top:401.75pt;height:8.55pt;width:32.4pt;mso-position-horizontal-relative:page;mso-position-vertical-relative:page;z-index:-251627520;mso-width-relative:page;mso-height-relative:page;" fillcolor="#000000" filled="t" stroked="f" coordsize="21600,21600" o:allowincell="f">
          <v:path/>
          <v:fill on="t" focussize="0,0"/>
          <v:stroke on="f"/>
          <v:imagedata o:title=""/>
          <o:lock v:ext="edit"/>
          <v:textpath on="t" fitshape="t" fitpath="t" trim="t" xscale="f" string="5.1.1.4" style="font-family:Arial;font-size:8pt;v-text-align:center;"/>
        </v:shape>
      </w:pict>
    </w:r>
    <w:r>
      <w:pict>
        <v:shape id="_x0000_s2085" o:spid="_x0000_s2085" style="position:absolute;left:0pt;margin-left:83.6pt;margin-top:65.55pt;height:0.75pt;width:428.3pt;mso-position-horizontal-relative:page;mso-position-vertical-relative:page;z-index:25168998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8AA9D">
    <w:pPr>
      <w:spacing w:before="50" w:line="187" w:lineRule="exact"/>
      <w:ind w:left="3956"/>
      <w:rPr>
        <w:rFonts w:ascii="微软雅黑" w:hAnsi="微软雅黑" w:eastAsia="微软雅黑" w:cs="微软雅黑"/>
        <w:sz w:val="18"/>
        <w:szCs w:val="18"/>
      </w:rPr>
    </w:pPr>
    <w:r>
      <w:pict>
        <v:shape id="_x0000_s2086" o:spid="_x0000_s2086" style="position:absolute;left:0pt;margin-left:83.55pt;margin-top:65.55pt;height:0.75pt;width:674.9pt;mso-position-horizontal-relative:page;mso-position-vertical-relative:page;z-index:251691008;mso-width-relative:page;mso-height-relative:page;" fillcolor="#000000" filled="t" stroked="f" coordsize="13498,15" o:allowincell="f" path="m0,14l13497,14,13497,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D78BF">
    <w:pPr>
      <w:spacing w:before="50" w:line="187" w:lineRule="exact"/>
      <w:ind w:left="1489"/>
      <w:rPr>
        <w:rFonts w:ascii="微软雅黑" w:hAnsi="微软雅黑" w:eastAsia="微软雅黑" w:cs="微软雅黑"/>
        <w:sz w:val="18"/>
        <w:szCs w:val="18"/>
      </w:rPr>
    </w:pPr>
    <w:r>
      <w:pict>
        <v:shape id="_x0000_s2087" o:spid="_x0000_s2087"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28C6F">
    <w:pPr>
      <w:spacing w:before="50" w:line="187" w:lineRule="exact"/>
      <w:ind w:left="1489"/>
      <w:rPr>
        <w:rFonts w:ascii="微软雅黑" w:hAnsi="微软雅黑" w:eastAsia="微软雅黑" w:cs="微软雅黑"/>
        <w:sz w:val="18"/>
        <w:szCs w:val="18"/>
      </w:rPr>
    </w:pPr>
    <w:r>
      <w:pict>
        <v:shape id="_x0000_s2088" o:spid="_x0000_s2088" style="position:absolute;left:0pt;margin-left:83.6pt;margin-top:65.55pt;height:0.75pt;width:428.3pt;mso-position-horizontal-relative:page;mso-position-vertical-relative:page;z-index:25167360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D703D">
    <w:pPr>
      <w:spacing w:before="50" w:line="187" w:lineRule="exact"/>
      <w:ind w:left="1489"/>
      <w:rPr>
        <w:rFonts w:ascii="微软雅黑" w:hAnsi="微软雅黑" w:eastAsia="微软雅黑" w:cs="微软雅黑"/>
        <w:sz w:val="18"/>
        <w:szCs w:val="18"/>
      </w:rPr>
    </w:pPr>
    <w:r>
      <w:pict>
        <v:shape id="_x0000_s2089" o:spid="_x0000_s2089"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A538">
    <w:pPr>
      <w:spacing w:before="50" w:line="187" w:lineRule="exact"/>
      <w:ind w:left="1489"/>
      <w:rPr>
        <w:rFonts w:ascii="微软雅黑" w:hAnsi="微软雅黑" w:eastAsia="微软雅黑" w:cs="微软雅黑"/>
        <w:sz w:val="18"/>
        <w:szCs w:val="18"/>
      </w:rPr>
    </w:pPr>
    <w:r>
      <w:pict>
        <v:shape id="_x0000_s2090" o:spid="_x0000_s2090" style="position:absolute;left:0pt;margin-left:83.6pt;margin-top:65.55pt;height:0.75pt;width:428.3pt;mso-position-horizontal-relative:page;mso-position-vertical-relative:page;z-index:25169408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C1722">
    <w:pPr>
      <w:spacing w:before="50" w:line="187" w:lineRule="exact"/>
      <w:ind w:left="1489"/>
      <w:rPr>
        <w:rFonts w:ascii="微软雅黑" w:hAnsi="微软雅黑" w:eastAsia="微软雅黑" w:cs="微软雅黑"/>
        <w:sz w:val="18"/>
        <w:szCs w:val="18"/>
      </w:rPr>
    </w:pPr>
    <w:r>
      <w:pict>
        <v:shape id="_x0000_s2091" o:spid="_x0000_s2091" style="position:absolute;left:0pt;margin-left:83.6pt;margin-top:65.55pt;height:0.75pt;width:428.3pt;mso-position-horizontal-relative:page;mso-position-vertical-relative:page;z-index:25169510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4E24B">
    <w:pPr>
      <w:spacing w:before="50" w:line="187" w:lineRule="exact"/>
      <w:ind w:left="1489"/>
      <w:rPr>
        <w:rFonts w:ascii="微软雅黑" w:hAnsi="微软雅黑" w:eastAsia="微软雅黑" w:cs="微软雅黑"/>
        <w:sz w:val="18"/>
        <w:szCs w:val="18"/>
      </w:rPr>
    </w:pPr>
    <w:r>
      <w:pict>
        <v:shape id="_x0000_s2092" o:spid="_x0000_s2092" style="position:absolute;left:0pt;margin-left:83.6pt;margin-top:65.55pt;height:0.75pt;width:428.3pt;mso-position-horizontal-relative:page;mso-position-vertical-relative:page;z-index:2516961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E3F0F">
    <w:pPr>
      <w:spacing w:before="50" w:line="187" w:lineRule="exact"/>
      <w:ind w:left="1489"/>
      <w:rPr>
        <w:rFonts w:ascii="微软雅黑" w:hAnsi="微软雅黑" w:eastAsia="微软雅黑" w:cs="微软雅黑"/>
        <w:sz w:val="18"/>
        <w:szCs w:val="18"/>
      </w:rPr>
    </w:pPr>
    <w:r>
      <w:pict>
        <v:shape id="_x0000_s2093" o:spid="_x0000_s2093" style="position:absolute;left:0pt;margin-left:83.6pt;margin-top:65.55pt;height:0.75pt;width:428.3pt;mso-position-horizontal-relative:page;mso-position-vertical-relative:page;z-index:2516971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6BBFD">
    <w:pPr>
      <w:spacing w:before="50" w:line="187" w:lineRule="exact"/>
      <w:ind w:left="1489"/>
      <w:rPr>
        <w:rFonts w:ascii="微软雅黑" w:hAnsi="微软雅黑" w:eastAsia="微软雅黑" w:cs="微软雅黑"/>
        <w:sz w:val="18"/>
        <w:szCs w:val="18"/>
      </w:rPr>
    </w:pPr>
    <w:r>
      <w:pict>
        <v:shape id="_x0000_s2094" o:spid="_x0000_s2094"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82342">
    <w:pPr>
      <w:spacing w:before="50" w:line="187" w:lineRule="exact"/>
      <w:ind w:left="1489"/>
      <w:rPr>
        <w:rFonts w:ascii="微软雅黑" w:hAnsi="微软雅黑" w:eastAsia="微软雅黑" w:cs="微软雅黑"/>
        <w:sz w:val="18"/>
        <w:szCs w:val="18"/>
      </w:rPr>
    </w:pPr>
    <w:r>
      <w:pict>
        <v:shape id="_x0000_s2095" o:spid="_x0000_s2095" style="position:absolute;left:0pt;margin-left:83.6pt;margin-top:65.55pt;height:0.75pt;width:428.3pt;mso-position-horizontal-relative:page;mso-position-vertical-relative:page;z-index:25169817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411D7">
    <w:pPr>
      <w:spacing w:before="50" w:line="187" w:lineRule="exact"/>
      <w:ind w:left="1489"/>
      <w:rPr>
        <w:rFonts w:ascii="微软雅黑" w:hAnsi="微软雅黑" w:eastAsia="微软雅黑" w:cs="微软雅黑"/>
        <w:sz w:val="18"/>
        <w:szCs w:val="18"/>
      </w:rPr>
    </w:pPr>
    <w:r>
      <w:pict>
        <v:shape id="_x0000_s2096" o:spid="_x0000_s2096" style="position:absolute;left:0pt;margin-left:83.6pt;margin-top:65.55pt;height:0.75pt;width:428.3pt;mso-position-horizontal-relative:page;mso-position-vertical-relative:page;z-index:25167872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CCF95">
    <w:pPr>
      <w:spacing w:before="50" w:line="187" w:lineRule="exact"/>
      <w:ind w:left="1489"/>
      <w:rPr>
        <w:rFonts w:ascii="微软雅黑" w:hAnsi="微软雅黑" w:eastAsia="微软雅黑" w:cs="微软雅黑"/>
        <w:sz w:val="18"/>
        <w:szCs w:val="18"/>
      </w:rPr>
    </w:pPr>
    <w:r>
      <w:pict>
        <v:shape id="_x0000_s2097" o:spid="_x0000_s2097"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F36DB">
    <w:pPr>
      <w:spacing w:before="50" w:line="187" w:lineRule="exact"/>
      <w:ind w:left="1489"/>
      <w:rPr>
        <w:rFonts w:ascii="微软雅黑" w:hAnsi="微软雅黑" w:eastAsia="微软雅黑" w:cs="微软雅黑"/>
        <w:sz w:val="18"/>
        <w:szCs w:val="18"/>
      </w:rPr>
    </w:pPr>
    <w:r>
      <w:pict>
        <v:shape id="_x0000_s2098" o:spid="_x0000_s2098"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FB56B">
    <w:pPr>
      <w:spacing w:before="50" w:line="187" w:lineRule="exact"/>
      <w:ind w:left="1489"/>
      <w:rPr>
        <w:rFonts w:ascii="微软雅黑" w:hAnsi="微软雅黑" w:eastAsia="微软雅黑" w:cs="微软雅黑"/>
        <w:sz w:val="18"/>
        <w:szCs w:val="18"/>
      </w:rPr>
    </w:pPr>
    <w:r>
      <w:pict>
        <v:shape id="_x0000_s2099" o:spid="_x0000_s2099" style="position:absolute;left:0pt;margin-left:83.6pt;margin-top:65.55pt;height:0.75pt;width:428.3pt;mso-position-horizontal-relative:page;mso-position-vertical-relative:page;z-index:2516961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C1BC0">
    <w:pPr>
      <w:spacing w:before="50" w:line="187" w:lineRule="exact"/>
      <w:ind w:left="1489"/>
      <w:rPr>
        <w:rFonts w:ascii="微软雅黑" w:hAnsi="微软雅黑" w:eastAsia="微软雅黑" w:cs="微软雅黑"/>
        <w:sz w:val="18"/>
        <w:szCs w:val="18"/>
      </w:rPr>
    </w:pPr>
    <w:r>
      <w:pict>
        <v:shape id="_x0000_s2100" o:spid="_x0000_s2100"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59926">
    <w:pPr>
      <w:spacing w:before="50" w:line="187" w:lineRule="exact"/>
      <w:ind w:left="3956"/>
      <w:rPr>
        <w:rFonts w:ascii="微软雅黑" w:hAnsi="微软雅黑" w:eastAsia="微软雅黑" w:cs="微软雅黑"/>
        <w:sz w:val="18"/>
        <w:szCs w:val="18"/>
      </w:rPr>
    </w:pPr>
    <w:r>
      <w:pict>
        <v:shape id="_x0000_s2101" o:spid="_x0000_s2101" style="position:absolute;left:0pt;margin-left:83.55pt;margin-top:65.55pt;height:0.75pt;width:674.9pt;mso-position-horizontal-relative:page;mso-position-vertical-relative:page;z-index:251691008;mso-width-relative:page;mso-height-relative:page;" fillcolor="#000000" filled="t" stroked="f" coordsize="13498,15" o:allowincell="f" path="m0,14l13497,14,13497,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266B4">
    <w:pPr>
      <w:spacing w:before="50" w:line="187" w:lineRule="exact"/>
      <w:ind w:left="1489"/>
      <w:rPr>
        <w:rFonts w:ascii="微软雅黑" w:hAnsi="微软雅黑" w:eastAsia="微软雅黑" w:cs="微软雅黑"/>
        <w:sz w:val="18"/>
        <w:szCs w:val="18"/>
      </w:rPr>
    </w:pPr>
    <w:r>
      <w:pict>
        <v:shape id="_x0000_s2102" o:spid="_x0000_s2102" style="position:absolute;left:0pt;margin-left:83.6pt;margin-top:65.55pt;height:0.75pt;width:428.3pt;mso-position-horizontal-relative:page;mso-position-vertical-relative:page;z-index:25169510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968F7">
    <w:pPr>
      <w:spacing w:before="50" w:line="187" w:lineRule="exact"/>
      <w:ind w:left="1489"/>
      <w:rPr>
        <w:rFonts w:ascii="微软雅黑" w:hAnsi="微软雅黑" w:eastAsia="微软雅黑" w:cs="微软雅黑"/>
        <w:sz w:val="18"/>
        <w:szCs w:val="18"/>
      </w:rPr>
    </w:pPr>
    <w:r>
      <w:pict>
        <v:shape id="_x0000_s2103" o:spid="_x0000_s2103"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3BBAE">
    <w:pPr>
      <w:spacing w:before="50" w:line="187" w:lineRule="exact"/>
      <w:ind w:left="1489"/>
      <w:rPr>
        <w:rFonts w:ascii="微软雅黑" w:hAnsi="微软雅黑" w:eastAsia="微软雅黑" w:cs="微软雅黑"/>
        <w:sz w:val="18"/>
        <w:szCs w:val="18"/>
      </w:rPr>
    </w:pPr>
    <w:r>
      <w:pict>
        <v:shape id="_x0000_s2104" o:spid="_x0000_s2104" style="position:absolute;left:0pt;margin-left:83.6pt;margin-top:65.55pt;height:0.75pt;width:428.3pt;mso-position-horizontal-relative:page;mso-position-vertical-relative:page;z-index:25167872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BFA2">
    <w:pPr>
      <w:spacing w:before="50" w:line="187" w:lineRule="exact"/>
      <w:ind w:left="1489"/>
      <w:rPr>
        <w:rFonts w:ascii="微软雅黑" w:hAnsi="微软雅黑" w:eastAsia="微软雅黑" w:cs="微软雅黑"/>
        <w:sz w:val="18"/>
        <w:szCs w:val="18"/>
      </w:rPr>
    </w:pPr>
    <w:r>
      <w:pict>
        <v:shape id="_x0000_s2105" o:spid="_x0000_s2105" style="position:absolute;left:0pt;margin-left:83.6pt;margin-top:65.55pt;height:0.75pt;width:428.3pt;mso-position-horizontal-relative:page;mso-position-vertical-relative:page;z-index:25170432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0D83D">
    <w:pPr>
      <w:spacing w:before="50" w:line="187" w:lineRule="exact"/>
      <w:ind w:left="1489"/>
      <w:rPr>
        <w:rFonts w:ascii="微软雅黑" w:hAnsi="微软雅黑" w:eastAsia="微软雅黑" w:cs="微软雅黑"/>
        <w:sz w:val="18"/>
        <w:szCs w:val="18"/>
      </w:rPr>
    </w:pPr>
    <w:r>
      <w:pict>
        <v:shape id="_x0000_s2106" o:spid="_x0000_s2106"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F1BA">
    <w:pPr>
      <w:spacing w:before="50" w:line="187" w:lineRule="exact"/>
      <w:ind w:left="7443"/>
      <w:rPr>
        <w:rFonts w:ascii="微软雅黑" w:hAnsi="微软雅黑" w:eastAsia="微软雅黑" w:cs="微软雅黑"/>
        <w:sz w:val="18"/>
        <w:szCs w:val="18"/>
      </w:rPr>
    </w:pPr>
    <w:r>
      <w:pict>
        <v:shape id="_x0000_s2107" o:spid="_x0000_s2107" style="position:absolute;left:0pt;margin-left:83.55pt;margin-top:65.55pt;height:0.75pt;width:1023.7pt;mso-position-horizontal-relative:page;mso-position-vertical-relative:page;z-index:251705344;mso-width-relative:page;mso-height-relative:page;" fillcolor="#000000" filled="t" stroked="f" coordsize="20474,15" o:allowincell="f" path="m0,14l20473,14,20473,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112CB">
    <w:pPr>
      <w:spacing w:before="50" w:line="187" w:lineRule="exact"/>
      <w:ind w:left="1489"/>
      <w:rPr>
        <w:rFonts w:ascii="微软雅黑" w:hAnsi="微软雅黑" w:eastAsia="微软雅黑" w:cs="微软雅黑"/>
        <w:sz w:val="18"/>
        <w:szCs w:val="18"/>
      </w:rPr>
    </w:pPr>
    <w:r>
      <w:pict>
        <v:shape id="_x0000_s2108" o:spid="_x0000_s2108"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26238">
    <w:pPr>
      <w:spacing w:before="50" w:line="187" w:lineRule="exact"/>
      <w:ind w:left="1489"/>
      <w:rPr>
        <w:rFonts w:ascii="微软雅黑" w:hAnsi="微软雅黑" w:eastAsia="微软雅黑" w:cs="微软雅黑"/>
        <w:sz w:val="18"/>
        <w:szCs w:val="18"/>
      </w:rPr>
    </w:pPr>
    <w:r>
      <w:pict>
        <v:shape id="_x0000_s2109" o:spid="_x0000_s2109"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BED4">
    <w:pPr>
      <w:spacing w:before="50" w:line="187" w:lineRule="exact"/>
      <w:ind w:left="1489"/>
      <w:rPr>
        <w:rFonts w:ascii="微软雅黑" w:hAnsi="微软雅黑" w:eastAsia="微软雅黑" w:cs="微软雅黑"/>
        <w:sz w:val="18"/>
        <w:szCs w:val="18"/>
      </w:rPr>
    </w:pPr>
    <w:r>
      <w:pict>
        <v:shape id="_x0000_s2110" o:spid="_x0000_s2110" style="position:absolute;left:0pt;margin-left:83.6pt;margin-top:65.55pt;height:0.75pt;width:428.3pt;mso-position-horizontal-relative:page;mso-position-vertical-relative:page;z-index:2516971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1D49F">
    <w:pPr>
      <w:spacing w:before="50" w:line="187" w:lineRule="exact"/>
      <w:ind w:left="1489"/>
      <w:rPr>
        <w:rFonts w:ascii="微软雅黑" w:hAnsi="微软雅黑" w:eastAsia="微软雅黑" w:cs="微软雅黑"/>
        <w:sz w:val="18"/>
        <w:szCs w:val="18"/>
      </w:rPr>
    </w:pPr>
    <w:r>
      <w:pict>
        <v:shape id="_x0000_s2111" o:spid="_x0000_s2111" style="position:absolute;left:0pt;margin-left:83.6pt;margin-top:65.55pt;height:0.75pt;width:428.3pt;mso-position-horizontal-relative:page;mso-position-vertical-relative:page;z-index:25170636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FF320">
    <w:pPr>
      <w:spacing w:before="50" w:line="187" w:lineRule="exact"/>
      <w:ind w:left="1489"/>
      <w:rPr>
        <w:rFonts w:ascii="微软雅黑" w:hAnsi="微软雅黑" w:eastAsia="微软雅黑" w:cs="微软雅黑"/>
        <w:sz w:val="18"/>
        <w:szCs w:val="18"/>
      </w:rPr>
    </w:pPr>
    <w:r>
      <w:pict>
        <v:shape id="_x0000_s2112" o:spid="_x0000_s2112"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53A50">
    <w:pPr>
      <w:spacing w:before="50" w:line="187" w:lineRule="exact"/>
      <w:ind w:left="1489"/>
      <w:rPr>
        <w:rFonts w:ascii="微软雅黑" w:hAnsi="微软雅黑" w:eastAsia="微软雅黑" w:cs="微软雅黑"/>
        <w:sz w:val="18"/>
        <w:szCs w:val="18"/>
      </w:rPr>
    </w:pPr>
    <w:r>
      <w:pict>
        <v:shape id="_x0000_s2113" o:spid="_x0000_s2113" style="position:absolute;left:0pt;margin-left:83.6pt;margin-top:65.55pt;height:0.75pt;width:428.3pt;mso-position-horizontal-relative:page;mso-position-vertical-relative:page;z-index:25170739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BF7F5">
    <w:pPr>
      <w:spacing w:before="50" w:line="187" w:lineRule="exact"/>
      <w:ind w:left="1489"/>
      <w:rPr>
        <w:rFonts w:ascii="微软雅黑" w:hAnsi="微软雅黑" w:eastAsia="微软雅黑" w:cs="微软雅黑"/>
        <w:sz w:val="18"/>
        <w:szCs w:val="18"/>
      </w:rPr>
    </w:pPr>
    <w:r>
      <w:pict>
        <v:shape id="_x0000_s2114" o:spid="_x0000_s2114" style="position:absolute;left:0pt;margin-left:83.6pt;margin-top:65.55pt;height:0.75pt;width:428.3pt;mso-position-horizontal-relative:page;mso-position-vertical-relative:page;z-index:25170841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9EFF">
    <w:pPr>
      <w:spacing w:before="50" w:line="187" w:lineRule="exact"/>
      <w:ind w:left="1489"/>
      <w:rPr>
        <w:rFonts w:ascii="微软雅黑" w:hAnsi="微软雅黑" w:eastAsia="微软雅黑" w:cs="微软雅黑"/>
        <w:sz w:val="18"/>
        <w:szCs w:val="18"/>
      </w:rPr>
    </w:pPr>
    <w:r>
      <w:pict>
        <v:shape id="_x0000_s2115" o:spid="_x0000_s2115"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2AA8">
    <w:pPr>
      <w:spacing w:before="50" w:line="187" w:lineRule="exact"/>
      <w:ind w:left="1489"/>
      <w:rPr>
        <w:rFonts w:ascii="微软雅黑" w:hAnsi="微软雅黑" w:eastAsia="微软雅黑" w:cs="微软雅黑"/>
        <w:sz w:val="18"/>
        <w:szCs w:val="18"/>
      </w:rPr>
    </w:pPr>
    <w:r>
      <w:pict>
        <v:shape id="_x0000_s2116" o:spid="_x0000_s2116" style="position:absolute;left:0pt;margin-left:83.6pt;margin-top:65.55pt;height:0.75pt;width:428.3pt;mso-position-horizontal-relative:page;mso-position-vertical-relative:page;z-index:2516961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9FAD6">
    <w:pPr>
      <w:spacing w:before="50" w:line="187" w:lineRule="exact"/>
      <w:ind w:left="1489"/>
      <w:rPr>
        <w:rFonts w:ascii="微软雅黑" w:hAnsi="微软雅黑" w:eastAsia="微软雅黑" w:cs="微软雅黑"/>
        <w:sz w:val="18"/>
        <w:szCs w:val="18"/>
      </w:rPr>
    </w:pPr>
    <w:r>
      <w:pict>
        <v:shape id="_x0000_s2117" o:spid="_x0000_s2117"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97FE">
    <w:pPr>
      <w:spacing w:before="50" w:line="187" w:lineRule="exact"/>
      <w:ind w:left="1489"/>
      <w:rPr>
        <w:rFonts w:ascii="微软雅黑" w:hAnsi="微软雅黑" w:eastAsia="微软雅黑" w:cs="微软雅黑"/>
        <w:sz w:val="18"/>
        <w:szCs w:val="18"/>
      </w:rPr>
    </w:pPr>
    <w:r>
      <w:pict>
        <v:shape id="_x0000_s2118" o:spid="_x0000_s2118" style="position:absolute;left:0pt;margin-left:83.6pt;margin-top:65.55pt;height:0.75pt;width:428.3pt;mso-position-horizontal-relative:page;mso-position-vertical-relative:page;z-index:25171046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53952">
    <w:pPr>
      <w:spacing w:before="50" w:line="187" w:lineRule="exact"/>
      <w:ind w:left="1489"/>
      <w:rPr>
        <w:rFonts w:ascii="微软雅黑" w:hAnsi="微软雅黑" w:eastAsia="微软雅黑" w:cs="微软雅黑"/>
        <w:sz w:val="18"/>
        <w:szCs w:val="18"/>
      </w:rPr>
    </w:pPr>
    <w:r>
      <w:pict>
        <v:shape id="_x0000_s2119" o:spid="_x0000_s2119"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58EE0">
    <w:pPr>
      <w:spacing w:before="50" w:line="187" w:lineRule="exact"/>
      <w:ind w:left="1489"/>
      <w:rPr>
        <w:rFonts w:ascii="微软雅黑" w:hAnsi="微软雅黑" w:eastAsia="微软雅黑" w:cs="微软雅黑"/>
        <w:sz w:val="18"/>
        <w:szCs w:val="18"/>
      </w:rPr>
    </w:pPr>
    <w:r>
      <w:pict>
        <v:shape id="_x0000_s2120" o:spid="_x0000_s2120" style="position:absolute;left:0pt;margin-left:83.6pt;margin-top:65.55pt;height:0.75pt;width:428.3pt;mso-position-horizontal-relative:page;mso-position-vertical-relative:page;z-index:25168384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E425">
    <w:pPr>
      <w:spacing w:before="50" w:line="187" w:lineRule="exact"/>
      <w:ind w:left="1489"/>
      <w:rPr>
        <w:rFonts w:ascii="微软雅黑" w:hAnsi="微软雅黑" w:eastAsia="微软雅黑" w:cs="微软雅黑"/>
        <w:sz w:val="18"/>
        <w:szCs w:val="18"/>
      </w:rPr>
    </w:pPr>
    <w:r>
      <w:pict>
        <v:shape id="_x0000_s2121" o:spid="_x0000_s2121" style="position:absolute;left:0pt;margin-left:83.6pt;margin-top:65.55pt;height:0.75pt;width:428.3pt;mso-position-horizontal-relative:page;mso-position-vertical-relative:page;z-index:2516971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A343">
    <w:pPr>
      <w:spacing w:before="50" w:line="187" w:lineRule="exact"/>
      <w:ind w:left="1489"/>
      <w:rPr>
        <w:rFonts w:ascii="微软雅黑" w:hAnsi="微软雅黑" w:eastAsia="微软雅黑" w:cs="微软雅黑"/>
        <w:sz w:val="18"/>
        <w:szCs w:val="18"/>
      </w:rPr>
    </w:pPr>
    <w:r>
      <w:pict>
        <v:shape id="_x0000_s2122" o:spid="_x0000_s2122" style="position:absolute;left:0pt;margin-left:83.6pt;margin-top:65.55pt;height:0.75pt;width:428.3pt;mso-position-horizontal-relative:page;mso-position-vertical-relative:page;z-index:25171046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FF031">
    <w:pPr>
      <w:spacing w:before="50" w:line="187" w:lineRule="exact"/>
      <w:ind w:left="1489"/>
      <w:rPr>
        <w:rFonts w:ascii="微软雅黑" w:hAnsi="微软雅黑" w:eastAsia="微软雅黑" w:cs="微软雅黑"/>
        <w:sz w:val="18"/>
        <w:szCs w:val="18"/>
      </w:rPr>
    </w:pPr>
    <w:r>
      <w:pict>
        <v:shape id="_x0000_s2123" o:spid="_x0000_s2123"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9FC3B">
    <w:pPr>
      <w:spacing w:before="50" w:line="187" w:lineRule="exact"/>
      <w:ind w:left="1489"/>
      <w:rPr>
        <w:rFonts w:ascii="微软雅黑" w:hAnsi="微软雅黑" w:eastAsia="微软雅黑" w:cs="微软雅黑"/>
        <w:sz w:val="18"/>
        <w:szCs w:val="18"/>
      </w:rPr>
    </w:pPr>
    <w:r>
      <w:pict>
        <v:shape id="_x0000_s2124" o:spid="_x0000_s2124" style="position:absolute;left:0pt;margin-left:83.6pt;margin-top:65.55pt;height:0.75pt;width:428.3pt;mso-position-horizontal-relative:page;mso-position-vertical-relative:page;z-index:25171251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C02C2">
    <w:pPr>
      <w:spacing w:before="50" w:line="187" w:lineRule="exact"/>
      <w:ind w:left="1489"/>
      <w:rPr>
        <w:rFonts w:ascii="微软雅黑" w:hAnsi="微软雅黑" w:eastAsia="微软雅黑" w:cs="微软雅黑"/>
        <w:sz w:val="18"/>
        <w:szCs w:val="18"/>
      </w:rPr>
    </w:pPr>
    <w:r>
      <w:pict>
        <v:shape id="_x0000_s2125" o:spid="_x0000_s2125" style="position:absolute;left:0pt;margin-left:83.6pt;margin-top:65.55pt;height:0.75pt;width:428.3pt;mso-position-horizontal-relative:page;mso-position-vertical-relative:page;z-index:2516971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4C81">
    <w:pPr>
      <w:spacing w:before="50" w:line="187" w:lineRule="exact"/>
      <w:ind w:left="1489"/>
      <w:rPr>
        <w:rFonts w:ascii="微软雅黑" w:hAnsi="微软雅黑" w:eastAsia="微软雅黑" w:cs="微软雅黑"/>
        <w:sz w:val="18"/>
        <w:szCs w:val="18"/>
      </w:rPr>
    </w:pPr>
    <w:r>
      <w:pict>
        <v:shape id="_x0000_s2126" o:spid="_x0000_s2126"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CB988">
    <w:pPr>
      <w:spacing w:before="50" w:line="187" w:lineRule="exact"/>
      <w:ind w:left="1489"/>
      <w:rPr>
        <w:rFonts w:ascii="微软雅黑" w:hAnsi="微软雅黑" w:eastAsia="微软雅黑" w:cs="微软雅黑"/>
        <w:sz w:val="18"/>
        <w:szCs w:val="18"/>
      </w:rPr>
    </w:pPr>
    <w:r>
      <w:pict>
        <v:shape id="_x0000_s2127" o:spid="_x0000_s2127"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648D">
    <w:pPr>
      <w:spacing w:before="50" w:line="187" w:lineRule="exact"/>
      <w:ind w:left="1489"/>
      <w:rPr>
        <w:rFonts w:ascii="微软雅黑" w:hAnsi="微软雅黑" w:eastAsia="微软雅黑" w:cs="微软雅黑"/>
        <w:sz w:val="18"/>
        <w:szCs w:val="18"/>
      </w:rPr>
    </w:pPr>
    <w:r>
      <w:pict>
        <v:shape id="_x0000_s2128" o:spid="_x0000_s2128"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F6622">
    <w:pPr>
      <w:spacing w:before="50" w:line="187" w:lineRule="exact"/>
      <w:ind w:left="1489"/>
      <w:rPr>
        <w:rFonts w:ascii="微软雅黑" w:hAnsi="微软雅黑" w:eastAsia="微软雅黑" w:cs="微软雅黑"/>
        <w:sz w:val="18"/>
        <w:szCs w:val="18"/>
      </w:rPr>
    </w:pPr>
    <w:r>
      <w:pict>
        <v:shape id="_x0000_s2129" o:spid="_x0000_s2129" style="position:absolute;left:0pt;margin-left:83.6pt;margin-top:65.55pt;height:0.75pt;width:428.3pt;mso-position-horizontal-relative:page;mso-position-vertical-relative:page;z-index:25171353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2FAE">
    <w:pPr>
      <w:spacing w:before="50" w:line="187" w:lineRule="exact"/>
      <w:ind w:left="1489"/>
      <w:rPr>
        <w:rFonts w:ascii="微软雅黑" w:hAnsi="微软雅黑" w:eastAsia="微软雅黑" w:cs="微软雅黑"/>
        <w:sz w:val="18"/>
        <w:szCs w:val="18"/>
      </w:rPr>
    </w:pPr>
    <w:r>
      <w:pict>
        <v:shape id="_x0000_s2130" o:spid="_x0000_s2130"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1B1DA">
    <w:pPr>
      <w:spacing w:before="50" w:line="187" w:lineRule="exact"/>
      <w:ind w:left="1489"/>
      <w:rPr>
        <w:rFonts w:ascii="微软雅黑" w:hAnsi="微软雅黑" w:eastAsia="微软雅黑" w:cs="微软雅黑"/>
        <w:sz w:val="18"/>
        <w:szCs w:val="18"/>
      </w:rPr>
    </w:pPr>
    <w:r>
      <w:pict>
        <v:shape id="_x0000_s2131" o:spid="_x0000_s2131" style="position:absolute;left:0pt;margin-left:83.6pt;margin-top:65.55pt;height:0.75pt;width:428.3pt;mso-position-horizontal-relative:page;mso-position-vertical-relative:page;z-index:2516715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E9EB5">
    <w:pPr>
      <w:spacing w:before="50" w:line="187" w:lineRule="exact"/>
      <w:ind w:left="1489"/>
      <w:rPr>
        <w:rFonts w:ascii="微软雅黑" w:hAnsi="微软雅黑" w:eastAsia="微软雅黑" w:cs="微软雅黑"/>
        <w:sz w:val="18"/>
        <w:szCs w:val="18"/>
      </w:rPr>
    </w:pPr>
    <w:r>
      <w:pict>
        <v:shape id="_x0000_s2132" o:spid="_x0000_s2132"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0776C">
    <w:pPr>
      <w:spacing w:before="50" w:line="187" w:lineRule="exact"/>
      <w:ind w:left="1489"/>
      <w:rPr>
        <w:rFonts w:ascii="微软雅黑" w:hAnsi="微软雅黑" w:eastAsia="微软雅黑" w:cs="微软雅黑"/>
        <w:sz w:val="18"/>
        <w:szCs w:val="18"/>
      </w:rPr>
    </w:pPr>
    <w:r>
      <w:pict>
        <v:shape id="_x0000_s2133" o:spid="_x0000_s2133" style="position:absolute;left:0pt;margin-left:83.6pt;margin-top:65.55pt;height:0.75pt;width:428.3pt;mso-position-horizontal-relative:page;mso-position-vertical-relative:page;z-index:25171456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42C0F">
    <w:pPr>
      <w:spacing w:before="50" w:line="187" w:lineRule="exact"/>
      <w:ind w:left="1489"/>
      <w:rPr>
        <w:rFonts w:ascii="微软雅黑" w:hAnsi="微软雅黑" w:eastAsia="微软雅黑" w:cs="微软雅黑"/>
        <w:sz w:val="18"/>
        <w:szCs w:val="18"/>
      </w:rPr>
    </w:pPr>
    <w:r>
      <w:pict>
        <v:shape id="_x0000_s2134" o:spid="_x0000_s2134" style="position:absolute;left:0pt;margin-left:83.6pt;margin-top:65.55pt;height:0.75pt;width:428.3pt;mso-position-horizontal-relative:page;mso-position-vertical-relative:page;z-index:25167360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596CD">
    <w:pPr>
      <w:spacing w:before="50" w:line="187" w:lineRule="exact"/>
      <w:ind w:left="1489"/>
      <w:rPr>
        <w:rFonts w:ascii="微软雅黑" w:hAnsi="微软雅黑" w:eastAsia="微软雅黑" w:cs="微软雅黑"/>
        <w:sz w:val="18"/>
        <w:szCs w:val="18"/>
      </w:rPr>
    </w:pPr>
    <w:r>
      <w:pict>
        <v:shape id="_x0000_s2135" o:spid="_x0000_s2135" style="position:absolute;left:0pt;margin-left:83.6pt;margin-top:65.55pt;height:0.75pt;width:428.3pt;mso-position-horizontal-relative:page;mso-position-vertical-relative:page;z-index:25171046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300FF">
    <w:pPr>
      <w:spacing w:before="50" w:line="187" w:lineRule="exact"/>
      <w:ind w:left="1489"/>
      <w:rPr>
        <w:rFonts w:ascii="微软雅黑" w:hAnsi="微软雅黑" w:eastAsia="微软雅黑" w:cs="微软雅黑"/>
        <w:sz w:val="18"/>
        <w:szCs w:val="18"/>
      </w:rPr>
    </w:pPr>
    <w:r>
      <w:pict>
        <v:shape id="_x0000_s2136" o:spid="_x0000_s2136"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1692D">
    <w:pPr>
      <w:spacing w:before="50" w:line="187" w:lineRule="exact"/>
      <w:ind w:left="1489"/>
      <w:rPr>
        <w:rFonts w:ascii="微软雅黑" w:hAnsi="微软雅黑" w:eastAsia="微软雅黑" w:cs="微软雅黑"/>
        <w:sz w:val="18"/>
        <w:szCs w:val="18"/>
      </w:rPr>
    </w:pPr>
    <w:r>
      <w:pict>
        <v:shape id="_x0000_s2137" o:spid="_x0000_s2137" style="position:absolute;left:0pt;margin-left:83.6pt;margin-top:65.55pt;height:0.75pt;width:428.3pt;mso-position-horizontal-relative:page;mso-position-vertical-relative:page;z-index:25171456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147BA">
    <w:pPr>
      <w:spacing w:before="50" w:line="187" w:lineRule="exact"/>
      <w:ind w:left="1489"/>
      <w:rPr>
        <w:rFonts w:ascii="微软雅黑" w:hAnsi="微软雅黑" w:eastAsia="微软雅黑" w:cs="微软雅黑"/>
        <w:sz w:val="18"/>
        <w:szCs w:val="18"/>
      </w:rPr>
    </w:pPr>
    <w:r>
      <w:pict>
        <v:shape id="_x0000_s2138" o:spid="_x0000_s2138" style="position:absolute;left:0pt;margin-left:83.6pt;margin-top:65.55pt;height:0.75pt;width:428.3pt;mso-position-horizontal-relative:page;mso-position-vertical-relative:page;z-index:25171660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AB21">
    <w:pPr>
      <w:spacing w:before="50" w:line="187" w:lineRule="exact"/>
      <w:ind w:left="3956"/>
      <w:rPr>
        <w:rFonts w:ascii="微软雅黑" w:hAnsi="微软雅黑" w:eastAsia="微软雅黑" w:cs="微软雅黑"/>
        <w:sz w:val="18"/>
        <w:szCs w:val="18"/>
      </w:rPr>
    </w:pPr>
    <w:r>
      <w:pict>
        <v:shape id="_x0000_s2139" o:spid="_x0000_s2139" style="position:absolute;left:0pt;margin-left:83.55pt;margin-top:65.55pt;height:0.75pt;width:674.9pt;mso-position-horizontal-relative:page;mso-position-vertical-relative:page;z-index:251691008;mso-width-relative:page;mso-height-relative:page;" fillcolor="#000000" filled="t" stroked="f" coordsize="13498,15" o:allowincell="f" path="m0,14l13497,14,13497,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B569F">
    <w:pPr>
      <w:spacing w:before="50" w:line="187" w:lineRule="exact"/>
      <w:ind w:left="3956"/>
      <w:rPr>
        <w:rFonts w:ascii="微软雅黑" w:hAnsi="微软雅黑" w:eastAsia="微软雅黑" w:cs="微软雅黑"/>
        <w:sz w:val="18"/>
        <w:szCs w:val="18"/>
      </w:rPr>
    </w:pPr>
    <w:r>
      <w:pict>
        <v:shape id="_x0000_s2140" o:spid="_x0000_s2140" style="position:absolute;left:0pt;margin-left:83.55pt;margin-top:65.55pt;height:0.75pt;width:674.9pt;mso-position-horizontal-relative:page;mso-position-vertical-relative:page;z-index:251717632;mso-width-relative:page;mso-height-relative:page;" fillcolor="#000000" filled="t" stroked="f" coordsize="13498,15" o:allowincell="f" path="m0,14l13497,14,13497,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F6FC5">
    <w:pPr>
      <w:spacing w:before="50" w:line="187" w:lineRule="exact"/>
      <w:ind w:left="1489"/>
      <w:rPr>
        <w:rFonts w:ascii="微软雅黑" w:hAnsi="微软雅黑" w:eastAsia="微软雅黑" w:cs="微软雅黑"/>
        <w:sz w:val="18"/>
        <w:szCs w:val="18"/>
      </w:rPr>
    </w:pPr>
    <w:r>
      <w:pict>
        <v:shape id="_x0000_s2141" o:spid="_x0000_s2141" style="position:absolute;left:0pt;margin-left:83.6pt;margin-top:65.55pt;height:0.75pt;width:428.3pt;mso-position-horizontal-relative:page;mso-position-vertical-relative:page;z-index:25171456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5C4C7">
    <w:pPr>
      <w:spacing w:before="50" w:line="187" w:lineRule="exact"/>
      <w:ind w:left="1489"/>
      <w:rPr>
        <w:rFonts w:ascii="微软雅黑" w:hAnsi="微软雅黑" w:eastAsia="微软雅黑" w:cs="微软雅黑"/>
        <w:sz w:val="18"/>
        <w:szCs w:val="18"/>
      </w:rPr>
    </w:pPr>
    <w:r>
      <w:pict>
        <v:shape id="_x0000_s2142" o:spid="_x0000_s2142"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63839">
    <w:pPr>
      <w:spacing w:before="50" w:line="187" w:lineRule="exact"/>
      <w:ind w:left="7443"/>
      <w:rPr>
        <w:rFonts w:ascii="微软雅黑" w:hAnsi="微软雅黑" w:eastAsia="微软雅黑" w:cs="微软雅黑"/>
        <w:sz w:val="18"/>
        <w:szCs w:val="18"/>
      </w:rPr>
    </w:pPr>
    <w:r>
      <w:pict>
        <v:shape id="_x0000_s2143" o:spid="_x0000_s2143" style="position:absolute;left:0pt;margin-left:83.55pt;margin-top:65.55pt;height:0.75pt;width:1023.7pt;mso-position-horizontal-relative:page;mso-position-vertical-relative:page;z-index:251718656;mso-width-relative:page;mso-height-relative:page;" fillcolor="#000000" filled="t" stroked="f" coordsize="20474,15" o:allowincell="f" path="m0,14l20473,14,20473,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48F13">
    <w:pPr>
      <w:spacing w:before="50" w:line="187" w:lineRule="exact"/>
      <w:ind w:left="1489"/>
      <w:rPr>
        <w:rFonts w:ascii="微软雅黑" w:hAnsi="微软雅黑" w:eastAsia="微软雅黑" w:cs="微软雅黑"/>
        <w:sz w:val="18"/>
        <w:szCs w:val="18"/>
      </w:rPr>
    </w:pPr>
    <w:r>
      <w:pict>
        <v:shape id="_x0000_s2144" o:spid="_x0000_s2144"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B7C3D">
    <w:pPr>
      <w:spacing w:before="50" w:line="187" w:lineRule="exact"/>
      <w:ind w:left="1489"/>
      <w:rPr>
        <w:rFonts w:ascii="微软雅黑" w:hAnsi="微软雅黑" w:eastAsia="微软雅黑" w:cs="微软雅黑"/>
        <w:sz w:val="18"/>
        <w:szCs w:val="18"/>
      </w:rPr>
    </w:pPr>
    <w:r>
      <w:pict>
        <v:shape id="_x0000_s2145" o:spid="_x0000_s2145" style="position:absolute;left:0pt;margin-left:83.6pt;margin-top:65.55pt;height:0.75pt;width:428.3pt;mso-position-horizontal-relative:page;mso-position-vertical-relative:page;z-index:25171046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B92E9">
    <w:pPr>
      <w:spacing w:before="50" w:line="187" w:lineRule="exact"/>
      <w:ind w:left="1489"/>
      <w:rPr>
        <w:rFonts w:ascii="微软雅黑" w:hAnsi="微软雅黑" w:eastAsia="微软雅黑" w:cs="微软雅黑"/>
        <w:sz w:val="18"/>
        <w:szCs w:val="18"/>
      </w:rPr>
    </w:pPr>
    <w:r>
      <w:pict>
        <v:shape id="_x0000_s2146" o:spid="_x0000_s2146"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DE6D2">
    <w:pPr>
      <w:spacing w:before="50" w:line="187" w:lineRule="exact"/>
      <w:ind w:left="7443"/>
      <w:rPr>
        <w:rFonts w:ascii="微软雅黑" w:hAnsi="微软雅黑" w:eastAsia="微软雅黑" w:cs="微软雅黑"/>
        <w:sz w:val="18"/>
        <w:szCs w:val="18"/>
      </w:rPr>
    </w:pPr>
    <w:r>
      <w:pict>
        <v:shape id="_x0000_s2147" o:spid="_x0000_s2147" style="position:absolute;left:0pt;margin-left:83.55pt;margin-top:65.55pt;height:0.75pt;width:1023.7pt;mso-position-horizontal-relative:page;mso-position-vertical-relative:page;z-index:251718656;mso-width-relative:page;mso-height-relative:page;" fillcolor="#000000" filled="t" stroked="f" coordsize="20474,15" o:allowincell="f" path="m0,14l20473,14,20473,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2F45">
    <w:pPr>
      <w:spacing w:before="50" w:line="187" w:lineRule="exact"/>
      <w:ind w:left="1489"/>
      <w:rPr>
        <w:rFonts w:ascii="微软雅黑" w:hAnsi="微软雅黑" w:eastAsia="微软雅黑" w:cs="微软雅黑"/>
        <w:sz w:val="18"/>
        <w:szCs w:val="18"/>
      </w:rPr>
    </w:pPr>
    <w:r>
      <w:pict>
        <v:shape id="_x0000_s2148" o:spid="_x0000_s2148" style="position:absolute;left:0pt;margin-left:83.6pt;margin-top:65.55pt;height:0.75pt;width:428.3pt;mso-position-horizontal-relative:page;mso-position-vertical-relative:page;z-index:2516961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914E4">
    <w:pPr>
      <w:spacing w:before="50" w:line="187" w:lineRule="exact"/>
      <w:ind w:left="1489"/>
      <w:rPr>
        <w:rFonts w:ascii="微软雅黑" w:hAnsi="微软雅黑" w:eastAsia="微软雅黑" w:cs="微软雅黑"/>
        <w:sz w:val="18"/>
        <w:szCs w:val="18"/>
      </w:rPr>
    </w:pPr>
    <w:r>
      <w:pict>
        <v:shape id="_x0000_s2149" o:spid="_x0000_s2149" style="position:absolute;left:0pt;margin-left:83.6pt;margin-top:65.55pt;height:0.75pt;width:428.3pt;mso-position-horizontal-relative:page;mso-position-vertical-relative:page;z-index:25171968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7B547">
    <w:pPr>
      <w:spacing w:before="50" w:line="187" w:lineRule="exact"/>
      <w:ind w:left="1489"/>
      <w:rPr>
        <w:rFonts w:ascii="微软雅黑" w:hAnsi="微软雅黑" w:eastAsia="微软雅黑" w:cs="微软雅黑"/>
        <w:sz w:val="18"/>
        <w:szCs w:val="18"/>
      </w:rPr>
    </w:pPr>
    <w:r>
      <w:pict>
        <v:shape id="_x0000_s2150" o:spid="_x0000_s2150" style="position:absolute;left:0pt;margin-left:83.6pt;margin-top:65.55pt;height:0.75pt;width:428.3pt;mso-position-horizontal-relative:page;mso-position-vertical-relative:page;z-index:251720704;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527C5">
    <w:pPr>
      <w:spacing w:before="50" w:line="187" w:lineRule="exact"/>
      <w:ind w:left="1489"/>
      <w:rPr>
        <w:rFonts w:ascii="微软雅黑" w:hAnsi="微软雅黑" w:eastAsia="微软雅黑" w:cs="微软雅黑"/>
        <w:sz w:val="18"/>
        <w:szCs w:val="18"/>
      </w:rPr>
    </w:pPr>
    <w:r>
      <w:pict>
        <v:shape id="_x0000_s2151" o:spid="_x0000_s2151" style="position:absolute;left:0pt;margin-left:83.6pt;margin-top:65.55pt;height:0.75pt;width:428.3pt;mso-position-horizontal-relative:page;mso-position-vertical-relative:page;z-index:25167769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0019">
    <w:pPr>
      <w:spacing w:before="50" w:line="187" w:lineRule="exact"/>
      <w:ind w:left="1489"/>
      <w:rPr>
        <w:rFonts w:ascii="微软雅黑" w:hAnsi="微软雅黑" w:eastAsia="微软雅黑" w:cs="微软雅黑"/>
        <w:sz w:val="18"/>
        <w:szCs w:val="18"/>
      </w:rPr>
    </w:pPr>
    <w:r>
      <w:pict>
        <v:shape id="_x0000_s2152" o:spid="_x0000_s2152" style="position:absolute;left:0pt;margin-left:83.6pt;margin-top:65.55pt;height:0.75pt;width:428.3pt;mso-position-horizontal-relative:page;mso-position-vertical-relative:page;z-index:25171456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4CD28">
    <w:pPr>
      <w:spacing w:before="50" w:line="187" w:lineRule="exact"/>
      <w:ind w:left="1489"/>
      <w:rPr>
        <w:rFonts w:ascii="微软雅黑" w:hAnsi="微软雅黑" w:eastAsia="微软雅黑" w:cs="微软雅黑"/>
        <w:sz w:val="18"/>
        <w:szCs w:val="18"/>
      </w:rPr>
    </w:pPr>
    <w:r>
      <w:pict>
        <v:shape id="_x0000_s2153" o:spid="_x0000_s2153"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6193A">
    <w:pPr>
      <w:spacing w:before="50" w:line="187" w:lineRule="exact"/>
      <w:ind w:left="1489"/>
      <w:rPr>
        <w:rFonts w:ascii="微软雅黑" w:hAnsi="微软雅黑" w:eastAsia="微软雅黑" w:cs="微软雅黑"/>
        <w:sz w:val="18"/>
        <w:szCs w:val="18"/>
      </w:rPr>
    </w:pPr>
    <w:r>
      <w:pict>
        <v:shape id="_x0000_s2154" o:spid="_x0000_s2154" style="position:absolute;left:0pt;margin-left:83.6pt;margin-top:65.55pt;height:0.75pt;width:428.3pt;mso-position-horizontal-relative:page;mso-position-vertical-relative:page;z-index:2517217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7140F">
    <w:pPr>
      <w:spacing w:before="50" w:line="187" w:lineRule="exact"/>
      <w:ind w:left="1489"/>
      <w:rPr>
        <w:rFonts w:ascii="微软雅黑" w:hAnsi="微软雅黑" w:eastAsia="微软雅黑" w:cs="微软雅黑"/>
        <w:sz w:val="18"/>
        <w:szCs w:val="18"/>
      </w:rPr>
    </w:pPr>
    <w:r>
      <w:pict>
        <v:shape id="_x0000_s2155" o:spid="_x0000_s2155" style="position:absolute;left:0pt;margin-left:83.6pt;margin-top:65.55pt;height:0.75pt;width:428.3pt;mso-position-horizontal-relative:page;mso-position-vertical-relative:page;z-index:251722752;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7DC5D">
    <w:pPr>
      <w:spacing w:before="50" w:line="187" w:lineRule="exact"/>
      <w:ind w:left="1489"/>
      <w:rPr>
        <w:rFonts w:ascii="微软雅黑" w:hAnsi="微软雅黑" w:eastAsia="微软雅黑" w:cs="微软雅黑"/>
        <w:sz w:val="18"/>
        <w:szCs w:val="18"/>
      </w:rPr>
    </w:pPr>
    <w:r>
      <w:pict>
        <v:shape id="_x0000_s2156" o:spid="_x0000_s2156" style="position:absolute;left:0pt;margin-left:83.6pt;margin-top:65.55pt;height:0.75pt;width:428.3pt;mso-position-horizontal-relative:page;mso-position-vertical-relative:page;z-index:251670528;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C6BF0">
    <w:pPr>
      <w:spacing w:before="50" w:line="187" w:lineRule="exact"/>
      <w:ind w:left="1489"/>
      <w:rPr>
        <w:rFonts w:ascii="微软雅黑" w:hAnsi="微软雅黑" w:eastAsia="微软雅黑" w:cs="微软雅黑"/>
        <w:sz w:val="18"/>
        <w:szCs w:val="18"/>
      </w:rPr>
    </w:pPr>
    <w:r>
      <w:pict>
        <v:shape id="_x0000_s2157" o:spid="_x0000_s2157" style="position:absolute;left:0pt;margin-left:83.6pt;margin-top:65.55pt;height:0.75pt;width:428.3pt;mso-position-horizontal-relative:page;mso-position-vertical-relative:page;z-index:251723776;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B5CA">
    <w:pPr>
      <w:spacing w:before="50" w:line="187" w:lineRule="exact"/>
      <w:ind w:left="1489"/>
      <w:rPr>
        <w:rFonts w:ascii="微软雅黑" w:hAnsi="微软雅黑" w:eastAsia="微软雅黑" w:cs="微软雅黑"/>
        <w:sz w:val="18"/>
        <w:szCs w:val="18"/>
      </w:rPr>
    </w:pPr>
    <w:r>
      <w:pict>
        <v:shape id="_x0000_s2158" o:spid="_x0000_s2158" style="position:absolute;left:0pt;margin-left:83.6pt;margin-top:65.55pt;height:0.75pt;width:428.3pt;mso-position-horizontal-relative:page;mso-position-vertical-relative:page;z-index:251724800;mso-width-relative:page;mso-height-relative:page;" fillcolor="#000000" filled="t" stroked="f" coordsize="8565,15" o:allowincell="f" path="m0,14l8565,14,8565,0,0,0,0,14xe">
          <v:path/>
          <v:fill on="t" focussize="0,0"/>
          <v:stroke on="f"/>
          <v:imagedata o:title=""/>
          <o:lock v:ext="edit"/>
        </v:shape>
      </w:pict>
    </w:r>
    <w:r>
      <w:rPr>
        <w:rFonts w:ascii="微软雅黑" w:hAnsi="微软雅黑" w:eastAsia="微软雅黑" w:cs="微软雅黑"/>
        <w:position w:val="-1"/>
        <w:sz w:val="18"/>
        <w:szCs w:val="18"/>
      </w:rPr>
      <w:t>《云南省曲靖市车马碧水库工程蓄水阶段环境保护设施验收调查报告》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607779C"/>
    <w:rsid w:val="27B529B3"/>
    <w:rsid w:val="2E3017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5.xml"/><Relationship Id="rId98" Type="http://schemas.openxmlformats.org/officeDocument/2006/relationships/footer" Target="footer54.xml"/><Relationship Id="rId97" Type="http://schemas.openxmlformats.org/officeDocument/2006/relationships/footer" Target="footer53.xml"/><Relationship Id="rId96" Type="http://schemas.openxmlformats.org/officeDocument/2006/relationships/header" Target="header40.xml"/><Relationship Id="rId95" Type="http://schemas.openxmlformats.org/officeDocument/2006/relationships/footer" Target="footer52.xml"/><Relationship Id="rId94" Type="http://schemas.openxmlformats.org/officeDocument/2006/relationships/header" Target="header39.xml"/><Relationship Id="rId93" Type="http://schemas.openxmlformats.org/officeDocument/2006/relationships/footer" Target="footer51.xml"/><Relationship Id="rId92" Type="http://schemas.openxmlformats.org/officeDocument/2006/relationships/header" Target="header38.xml"/><Relationship Id="rId91" Type="http://schemas.openxmlformats.org/officeDocument/2006/relationships/footer" Target="footer50.xml"/><Relationship Id="rId90" Type="http://schemas.openxmlformats.org/officeDocument/2006/relationships/header" Target="header37.xml"/><Relationship Id="rId9" Type="http://schemas.openxmlformats.org/officeDocument/2006/relationships/footer" Target="footer3.xml"/><Relationship Id="rId89" Type="http://schemas.openxmlformats.org/officeDocument/2006/relationships/footer" Target="footer49.xml"/><Relationship Id="rId88" Type="http://schemas.openxmlformats.org/officeDocument/2006/relationships/header" Target="header36.xml"/><Relationship Id="rId87" Type="http://schemas.openxmlformats.org/officeDocument/2006/relationships/footer" Target="footer48.xml"/><Relationship Id="rId86" Type="http://schemas.openxmlformats.org/officeDocument/2006/relationships/header" Target="header35.xml"/><Relationship Id="rId85" Type="http://schemas.openxmlformats.org/officeDocument/2006/relationships/footer" Target="footer47.xml"/><Relationship Id="rId84" Type="http://schemas.openxmlformats.org/officeDocument/2006/relationships/header" Target="header34.xml"/><Relationship Id="rId83" Type="http://schemas.openxmlformats.org/officeDocument/2006/relationships/footer" Target="footer46.xml"/><Relationship Id="rId82" Type="http://schemas.openxmlformats.org/officeDocument/2006/relationships/header" Target="header33.xml"/><Relationship Id="rId81" Type="http://schemas.openxmlformats.org/officeDocument/2006/relationships/footer" Target="footer45.xml"/><Relationship Id="rId80" Type="http://schemas.openxmlformats.org/officeDocument/2006/relationships/header" Target="header32.xml"/><Relationship Id="rId8" Type="http://schemas.openxmlformats.org/officeDocument/2006/relationships/header" Target="header2.xml"/><Relationship Id="rId79" Type="http://schemas.openxmlformats.org/officeDocument/2006/relationships/footer" Target="footer44.xml"/><Relationship Id="rId78" Type="http://schemas.openxmlformats.org/officeDocument/2006/relationships/footer" Target="footer43.xml"/><Relationship Id="rId77" Type="http://schemas.openxmlformats.org/officeDocument/2006/relationships/header" Target="header31.xml"/><Relationship Id="rId76" Type="http://schemas.openxmlformats.org/officeDocument/2006/relationships/footer" Target="footer42.xml"/><Relationship Id="rId75" Type="http://schemas.openxmlformats.org/officeDocument/2006/relationships/header" Target="header30.xml"/><Relationship Id="rId74" Type="http://schemas.openxmlformats.org/officeDocument/2006/relationships/footer" Target="footer41.xml"/><Relationship Id="rId73" Type="http://schemas.openxmlformats.org/officeDocument/2006/relationships/footer" Target="footer40.xml"/><Relationship Id="rId72" Type="http://schemas.openxmlformats.org/officeDocument/2006/relationships/header" Target="header29.xml"/><Relationship Id="rId71" Type="http://schemas.openxmlformats.org/officeDocument/2006/relationships/footer" Target="footer39.xml"/><Relationship Id="rId70" Type="http://schemas.openxmlformats.org/officeDocument/2006/relationships/header" Target="header28.xml"/><Relationship Id="rId7" Type="http://schemas.openxmlformats.org/officeDocument/2006/relationships/footer" Target="footer2.xml"/><Relationship Id="rId69" Type="http://schemas.openxmlformats.org/officeDocument/2006/relationships/footer" Target="footer38.xml"/><Relationship Id="rId68" Type="http://schemas.openxmlformats.org/officeDocument/2006/relationships/header" Target="header27.xml"/><Relationship Id="rId67" Type="http://schemas.openxmlformats.org/officeDocument/2006/relationships/footer" Target="footer37.xml"/><Relationship Id="rId66" Type="http://schemas.openxmlformats.org/officeDocument/2006/relationships/header" Target="header26.xml"/><Relationship Id="rId65" Type="http://schemas.openxmlformats.org/officeDocument/2006/relationships/footer" Target="footer36.xml"/><Relationship Id="rId64" Type="http://schemas.openxmlformats.org/officeDocument/2006/relationships/header" Target="header25.xml"/><Relationship Id="rId63" Type="http://schemas.openxmlformats.org/officeDocument/2006/relationships/footer" Target="footer35.xml"/><Relationship Id="rId62" Type="http://schemas.openxmlformats.org/officeDocument/2006/relationships/header" Target="header24.xml"/><Relationship Id="rId61" Type="http://schemas.openxmlformats.org/officeDocument/2006/relationships/footer" Target="footer34.xml"/><Relationship Id="rId60" Type="http://schemas.openxmlformats.org/officeDocument/2006/relationships/header" Target="header23.xml"/><Relationship Id="rId6" Type="http://schemas.openxmlformats.org/officeDocument/2006/relationships/footer" Target="footer1.xml"/><Relationship Id="rId59" Type="http://schemas.openxmlformats.org/officeDocument/2006/relationships/footer" Target="footer33.xml"/><Relationship Id="rId58" Type="http://schemas.openxmlformats.org/officeDocument/2006/relationships/header" Target="header22.xml"/><Relationship Id="rId57" Type="http://schemas.openxmlformats.org/officeDocument/2006/relationships/footer" Target="footer32.xml"/><Relationship Id="rId56" Type="http://schemas.openxmlformats.org/officeDocument/2006/relationships/footer" Target="footer31.xml"/><Relationship Id="rId55" Type="http://schemas.openxmlformats.org/officeDocument/2006/relationships/header" Target="header21.xml"/><Relationship Id="rId54" Type="http://schemas.openxmlformats.org/officeDocument/2006/relationships/footer" Target="footer30.xml"/><Relationship Id="rId53" Type="http://schemas.openxmlformats.org/officeDocument/2006/relationships/header" Target="header20.xml"/><Relationship Id="rId52" Type="http://schemas.openxmlformats.org/officeDocument/2006/relationships/footer" Target="footer29.xml"/><Relationship Id="rId51" Type="http://schemas.openxmlformats.org/officeDocument/2006/relationships/footer" Target="footer28.xml"/><Relationship Id="rId50" Type="http://schemas.openxmlformats.org/officeDocument/2006/relationships/header" Target="header19.xml"/><Relationship Id="rId5" Type="http://schemas.openxmlformats.org/officeDocument/2006/relationships/header" Target="header1.xml"/><Relationship Id="rId49" Type="http://schemas.openxmlformats.org/officeDocument/2006/relationships/footer" Target="footer27.xml"/><Relationship Id="rId48" Type="http://schemas.openxmlformats.org/officeDocument/2006/relationships/header" Target="header18.xml"/><Relationship Id="rId47" Type="http://schemas.openxmlformats.org/officeDocument/2006/relationships/footer" Target="footer26.xml"/><Relationship Id="rId46" Type="http://schemas.openxmlformats.org/officeDocument/2006/relationships/header" Target="header17.xml"/><Relationship Id="rId45" Type="http://schemas.openxmlformats.org/officeDocument/2006/relationships/footer" Target="footer25.xml"/><Relationship Id="rId44" Type="http://schemas.openxmlformats.org/officeDocument/2006/relationships/header" Target="header16.xml"/><Relationship Id="rId43" Type="http://schemas.openxmlformats.org/officeDocument/2006/relationships/footer" Target="footer24.xml"/><Relationship Id="rId428" Type="http://schemas.openxmlformats.org/officeDocument/2006/relationships/fontTable" Target="fontTable.xml"/><Relationship Id="rId427" Type="http://schemas.openxmlformats.org/officeDocument/2006/relationships/customXml" Target="../customXml/item1.xml"/><Relationship Id="rId426" Type="http://schemas.openxmlformats.org/officeDocument/2006/relationships/image" Target="media/image122.png"/><Relationship Id="rId425" Type="http://schemas.openxmlformats.org/officeDocument/2006/relationships/image" Target="media/image121.png"/><Relationship Id="rId424" Type="http://schemas.openxmlformats.org/officeDocument/2006/relationships/image" Target="media/image120.png"/><Relationship Id="rId423" Type="http://schemas.openxmlformats.org/officeDocument/2006/relationships/image" Target="media/image119.png"/><Relationship Id="rId422" Type="http://schemas.openxmlformats.org/officeDocument/2006/relationships/image" Target="media/image118.png"/><Relationship Id="rId421" Type="http://schemas.openxmlformats.org/officeDocument/2006/relationships/image" Target="media/image117.png"/><Relationship Id="rId420" Type="http://schemas.openxmlformats.org/officeDocument/2006/relationships/image" Target="media/image116.png"/><Relationship Id="rId42" Type="http://schemas.openxmlformats.org/officeDocument/2006/relationships/footer" Target="footer23.xml"/><Relationship Id="rId419" Type="http://schemas.openxmlformats.org/officeDocument/2006/relationships/image" Target="media/image115.png"/><Relationship Id="rId418" Type="http://schemas.openxmlformats.org/officeDocument/2006/relationships/image" Target="media/image114.png"/><Relationship Id="rId417" Type="http://schemas.openxmlformats.org/officeDocument/2006/relationships/image" Target="media/image113.png"/><Relationship Id="rId416" Type="http://schemas.openxmlformats.org/officeDocument/2006/relationships/image" Target="media/image112.png"/><Relationship Id="rId415" Type="http://schemas.openxmlformats.org/officeDocument/2006/relationships/image" Target="media/image111.png"/><Relationship Id="rId414" Type="http://schemas.openxmlformats.org/officeDocument/2006/relationships/image" Target="media/image110.png"/><Relationship Id="rId413" Type="http://schemas.openxmlformats.org/officeDocument/2006/relationships/image" Target="media/image109.png"/><Relationship Id="rId412" Type="http://schemas.openxmlformats.org/officeDocument/2006/relationships/image" Target="media/image108.png"/><Relationship Id="rId411" Type="http://schemas.openxmlformats.org/officeDocument/2006/relationships/image" Target="media/image107.png"/><Relationship Id="rId410" Type="http://schemas.openxmlformats.org/officeDocument/2006/relationships/image" Target="media/image106.png"/><Relationship Id="rId41" Type="http://schemas.openxmlformats.org/officeDocument/2006/relationships/footer" Target="footer22.xml"/><Relationship Id="rId409" Type="http://schemas.openxmlformats.org/officeDocument/2006/relationships/image" Target="media/image105.png"/><Relationship Id="rId408" Type="http://schemas.openxmlformats.org/officeDocument/2006/relationships/image" Target="media/image104.png"/><Relationship Id="rId407" Type="http://schemas.openxmlformats.org/officeDocument/2006/relationships/image" Target="media/image103.png"/><Relationship Id="rId406" Type="http://schemas.openxmlformats.org/officeDocument/2006/relationships/image" Target="media/image102.png"/><Relationship Id="rId405" Type="http://schemas.openxmlformats.org/officeDocument/2006/relationships/image" Target="media/image101.png"/><Relationship Id="rId404" Type="http://schemas.openxmlformats.org/officeDocument/2006/relationships/image" Target="media/image100.png"/><Relationship Id="rId403" Type="http://schemas.openxmlformats.org/officeDocument/2006/relationships/image" Target="media/image99.png"/><Relationship Id="rId402" Type="http://schemas.openxmlformats.org/officeDocument/2006/relationships/image" Target="media/image98.png"/><Relationship Id="rId401" Type="http://schemas.openxmlformats.org/officeDocument/2006/relationships/image" Target="media/image97.png"/><Relationship Id="rId400" Type="http://schemas.openxmlformats.org/officeDocument/2006/relationships/image" Target="media/image96.png"/><Relationship Id="rId40" Type="http://schemas.openxmlformats.org/officeDocument/2006/relationships/header" Target="header15.xml"/><Relationship Id="rId4" Type="http://schemas.openxmlformats.org/officeDocument/2006/relationships/endnotes" Target="endnotes.xml"/><Relationship Id="rId399" Type="http://schemas.openxmlformats.org/officeDocument/2006/relationships/image" Target="media/image95.png"/><Relationship Id="rId398" Type="http://schemas.openxmlformats.org/officeDocument/2006/relationships/image" Target="media/image94.png"/><Relationship Id="rId397" Type="http://schemas.openxmlformats.org/officeDocument/2006/relationships/image" Target="media/image93.png"/><Relationship Id="rId396" Type="http://schemas.openxmlformats.org/officeDocument/2006/relationships/image" Target="media/image92.png"/><Relationship Id="rId395" Type="http://schemas.openxmlformats.org/officeDocument/2006/relationships/image" Target="media/image91.png"/><Relationship Id="rId394" Type="http://schemas.openxmlformats.org/officeDocument/2006/relationships/image" Target="media/image90.png"/><Relationship Id="rId393" Type="http://schemas.openxmlformats.org/officeDocument/2006/relationships/image" Target="media/image89.png"/><Relationship Id="rId392" Type="http://schemas.openxmlformats.org/officeDocument/2006/relationships/image" Target="media/image88.png"/><Relationship Id="rId391" Type="http://schemas.openxmlformats.org/officeDocument/2006/relationships/image" Target="media/image87.png"/><Relationship Id="rId390" Type="http://schemas.openxmlformats.org/officeDocument/2006/relationships/image" Target="media/image86.png"/><Relationship Id="rId39" Type="http://schemas.openxmlformats.org/officeDocument/2006/relationships/footer" Target="footer21.xml"/><Relationship Id="rId389" Type="http://schemas.openxmlformats.org/officeDocument/2006/relationships/image" Target="media/image85.png"/><Relationship Id="rId388" Type="http://schemas.openxmlformats.org/officeDocument/2006/relationships/image" Target="media/image84.png"/><Relationship Id="rId387" Type="http://schemas.openxmlformats.org/officeDocument/2006/relationships/image" Target="media/image83.png"/><Relationship Id="rId386" Type="http://schemas.openxmlformats.org/officeDocument/2006/relationships/image" Target="media/image82.png"/><Relationship Id="rId385" Type="http://schemas.openxmlformats.org/officeDocument/2006/relationships/image" Target="media/image81.png"/><Relationship Id="rId384" Type="http://schemas.openxmlformats.org/officeDocument/2006/relationships/image" Target="media/image80.png"/><Relationship Id="rId383" Type="http://schemas.openxmlformats.org/officeDocument/2006/relationships/image" Target="media/image79.png"/><Relationship Id="rId382" Type="http://schemas.openxmlformats.org/officeDocument/2006/relationships/image" Target="media/image78.png"/><Relationship Id="rId381" Type="http://schemas.openxmlformats.org/officeDocument/2006/relationships/image" Target="media/image77.png"/><Relationship Id="rId380" Type="http://schemas.openxmlformats.org/officeDocument/2006/relationships/image" Target="media/image76.png"/><Relationship Id="rId38" Type="http://schemas.openxmlformats.org/officeDocument/2006/relationships/header" Target="header14.xml"/><Relationship Id="rId379" Type="http://schemas.openxmlformats.org/officeDocument/2006/relationships/image" Target="media/image75.png"/><Relationship Id="rId378" Type="http://schemas.openxmlformats.org/officeDocument/2006/relationships/image" Target="media/image74.png"/><Relationship Id="rId377" Type="http://schemas.openxmlformats.org/officeDocument/2006/relationships/image" Target="media/image73.png"/><Relationship Id="rId376" Type="http://schemas.openxmlformats.org/officeDocument/2006/relationships/image" Target="media/image72.png"/><Relationship Id="rId375" Type="http://schemas.openxmlformats.org/officeDocument/2006/relationships/image" Target="media/image71.png"/><Relationship Id="rId374" Type="http://schemas.openxmlformats.org/officeDocument/2006/relationships/image" Target="media/image70.png"/><Relationship Id="rId373" Type="http://schemas.openxmlformats.org/officeDocument/2006/relationships/image" Target="media/image69.png"/><Relationship Id="rId372" Type="http://schemas.openxmlformats.org/officeDocument/2006/relationships/image" Target="media/image68.png"/><Relationship Id="rId371" Type="http://schemas.openxmlformats.org/officeDocument/2006/relationships/image" Target="media/image67.png"/><Relationship Id="rId370" Type="http://schemas.openxmlformats.org/officeDocument/2006/relationships/image" Target="media/image66.png"/><Relationship Id="rId37" Type="http://schemas.openxmlformats.org/officeDocument/2006/relationships/footer" Target="footer20.xml"/><Relationship Id="rId369" Type="http://schemas.openxmlformats.org/officeDocument/2006/relationships/image" Target="media/image65.png"/><Relationship Id="rId368" Type="http://schemas.openxmlformats.org/officeDocument/2006/relationships/image" Target="media/image64.png"/><Relationship Id="rId367" Type="http://schemas.openxmlformats.org/officeDocument/2006/relationships/image" Target="media/image63.png"/><Relationship Id="rId366" Type="http://schemas.openxmlformats.org/officeDocument/2006/relationships/image" Target="media/image62.png"/><Relationship Id="rId365" Type="http://schemas.openxmlformats.org/officeDocument/2006/relationships/image" Target="media/image61.png"/><Relationship Id="rId364" Type="http://schemas.openxmlformats.org/officeDocument/2006/relationships/image" Target="media/image60.jpeg"/><Relationship Id="rId363" Type="http://schemas.openxmlformats.org/officeDocument/2006/relationships/image" Target="media/image59.png"/><Relationship Id="rId362" Type="http://schemas.openxmlformats.org/officeDocument/2006/relationships/image" Target="media/image58.png"/><Relationship Id="rId361" Type="http://schemas.openxmlformats.org/officeDocument/2006/relationships/image" Target="media/image57.jpeg"/><Relationship Id="rId360" Type="http://schemas.openxmlformats.org/officeDocument/2006/relationships/image" Target="media/image56.png"/><Relationship Id="rId36" Type="http://schemas.openxmlformats.org/officeDocument/2006/relationships/footer" Target="footer19.xml"/><Relationship Id="rId359" Type="http://schemas.openxmlformats.org/officeDocument/2006/relationships/image" Target="media/image55.png"/><Relationship Id="rId358" Type="http://schemas.openxmlformats.org/officeDocument/2006/relationships/image" Target="media/image54.png"/><Relationship Id="rId357" Type="http://schemas.openxmlformats.org/officeDocument/2006/relationships/image" Target="media/image53.png"/><Relationship Id="rId356" Type="http://schemas.openxmlformats.org/officeDocument/2006/relationships/image" Target="media/image52.png"/><Relationship Id="rId355" Type="http://schemas.openxmlformats.org/officeDocument/2006/relationships/image" Target="media/image51.png"/><Relationship Id="rId354" Type="http://schemas.openxmlformats.org/officeDocument/2006/relationships/image" Target="media/image50.png"/><Relationship Id="rId353" Type="http://schemas.openxmlformats.org/officeDocument/2006/relationships/image" Target="media/image49.png"/><Relationship Id="rId352" Type="http://schemas.openxmlformats.org/officeDocument/2006/relationships/image" Target="media/image48.png"/><Relationship Id="rId351" Type="http://schemas.openxmlformats.org/officeDocument/2006/relationships/image" Target="media/image47.png"/><Relationship Id="rId350" Type="http://schemas.openxmlformats.org/officeDocument/2006/relationships/image" Target="media/image46.png"/><Relationship Id="rId35" Type="http://schemas.openxmlformats.org/officeDocument/2006/relationships/footer" Target="footer18.xml"/><Relationship Id="rId349" Type="http://schemas.openxmlformats.org/officeDocument/2006/relationships/image" Target="media/image45.jpeg"/><Relationship Id="rId348" Type="http://schemas.openxmlformats.org/officeDocument/2006/relationships/image" Target="media/image44.png"/><Relationship Id="rId347" Type="http://schemas.openxmlformats.org/officeDocument/2006/relationships/image" Target="media/image43.png"/><Relationship Id="rId346" Type="http://schemas.openxmlformats.org/officeDocument/2006/relationships/image" Target="media/image42.png"/><Relationship Id="rId345" Type="http://schemas.openxmlformats.org/officeDocument/2006/relationships/image" Target="media/image41.png"/><Relationship Id="rId344" Type="http://schemas.openxmlformats.org/officeDocument/2006/relationships/image" Target="media/image40.png"/><Relationship Id="rId343" Type="http://schemas.openxmlformats.org/officeDocument/2006/relationships/image" Target="media/image39.png"/><Relationship Id="rId342" Type="http://schemas.openxmlformats.org/officeDocument/2006/relationships/image" Target="media/image38.png"/><Relationship Id="rId341" Type="http://schemas.openxmlformats.org/officeDocument/2006/relationships/image" Target="media/image37.png"/><Relationship Id="rId340" Type="http://schemas.openxmlformats.org/officeDocument/2006/relationships/image" Target="media/image36.png"/><Relationship Id="rId34" Type="http://schemas.openxmlformats.org/officeDocument/2006/relationships/footer" Target="footer17.xml"/><Relationship Id="rId339" Type="http://schemas.openxmlformats.org/officeDocument/2006/relationships/image" Target="media/image35.png"/><Relationship Id="rId338" Type="http://schemas.openxmlformats.org/officeDocument/2006/relationships/image" Target="media/image34.png"/><Relationship Id="rId337" Type="http://schemas.openxmlformats.org/officeDocument/2006/relationships/image" Target="media/image33.png"/><Relationship Id="rId336" Type="http://schemas.openxmlformats.org/officeDocument/2006/relationships/image" Target="media/image32.png"/><Relationship Id="rId335" Type="http://schemas.openxmlformats.org/officeDocument/2006/relationships/image" Target="media/image31.png"/><Relationship Id="rId334" Type="http://schemas.openxmlformats.org/officeDocument/2006/relationships/image" Target="media/image30.png"/><Relationship Id="rId333" Type="http://schemas.openxmlformats.org/officeDocument/2006/relationships/image" Target="media/image29.png"/><Relationship Id="rId332" Type="http://schemas.openxmlformats.org/officeDocument/2006/relationships/image" Target="media/image28.png"/><Relationship Id="rId331" Type="http://schemas.openxmlformats.org/officeDocument/2006/relationships/image" Target="media/image27.png"/><Relationship Id="rId330" Type="http://schemas.openxmlformats.org/officeDocument/2006/relationships/image" Target="media/image26.png"/><Relationship Id="rId33" Type="http://schemas.openxmlformats.org/officeDocument/2006/relationships/footer" Target="footer16.xml"/><Relationship Id="rId329" Type="http://schemas.openxmlformats.org/officeDocument/2006/relationships/image" Target="media/image25.png"/><Relationship Id="rId328" Type="http://schemas.openxmlformats.org/officeDocument/2006/relationships/image" Target="media/image24.png"/><Relationship Id="rId327" Type="http://schemas.openxmlformats.org/officeDocument/2006/relationships/image" Target="media/image23.png"/><Relationship Id="rId326" Type="http://schemas.openxmlformats.org/officeDocument/2006/relationships/image" Target="media/image22.png"/><Relationship Id="rId325" Type="http://schemas.openxmlformats.org/officeDocument/2006/relationships/image" Target="media/image21.png"/><Relationship Id="rId324" Type="http://schemas.openxmlformats.org/officeDocument/2006/relationships/image" Target="media/image20.png"/><Relationship Id="rId323" Type="http://schemas.openxmlformats.org/officeDocument/2006/relationships/image" Target="media/image19.png"/><Relationship Id="rId322" Type="http://schemas.openxmlformats.org/officeDocument/2006/relationships/image" Target="media/image18.png"/><Relationship Id="rId321" Type="http://schemas.openxmlformats.org/officeDocument/2006/relationships/image" Target="media/image17.png"/><Relationship Id="rId320" Type="http://schemas.openxmlformats.org/officeDocument/2006/relationships/image" Target="media/image16.png"/><Relationship Id="rId32" Type="http://schemas.openxmlformats.org/officeDocument/2006/relationships/header" Target="header13.xml"/><Relationship Id="rId319" Type="http://schemas.openxmlformats.org/officeDocument/2006/relationships/image" Target="media/image15.png"/><Relationship Id="rId318" Type="http://schemas.openxmlformats.org/officeDocument/2006/relationships/image" Target="media/image14.png"/><Relationship Id="rId317" Type="http://schemas.openxmlformats.org/officeDocument/2006/relationships/image" Target="media/image13.png"/><Relationship Id="rId316" Type="http://schemas.openxmlformats.org/officeDocument/2006/relationships/image" Target="media/image12.png"/><Relationship Id="rId315" Type="http://schemas.openxmlformats.org/officeDocument/2006/relationships/image" Target="media/image11.png"/><Relationship Id="rId314" Type="http://schemas.openxmlformats.org/officeDocument/2006/relationships/image" Target="media/image10.png"/><Relationship Id="rId313" Type="http://schemas.openxmlformats.org/officeDocument/2006/relationships/image" Target="media/image9.png"/><Relationship Id="rId312" Type="http://schemas.openxmlformats.org/officeDocument/2006/relationships/image" Target="media/image8.png"/><Relationship Id="rId311" Type="http://schemas.openxmlformats.org/officeDocument/2006/relationships/image" Target="media/image7.png"/><Relationship Id="rId310" Type="http://schemas.openxmlformats.org/officeDocument/2006/relationships/image" Target="media/image6.png"/><Relationship Id="rId31" Type="http://schemas.openxmlformats.org/officeDocument/2006/relationships/footer" Target="footer15.xml"/><Relationship Id="rId309" Type="http://schemas.openxmlformats.org/officeDocument/2006/relationships/image" Target="media/image5.png"/><Relationship Id="rId308" Type="http://schemas.openxmlformats.org/officeDocument/2006/relationships/image" Target="media/image4.png"/><Relationship Id="rId307" Type="http://schemas.openxmlformats.org/officeDocument/2006/relationships/image" Target="media/image3.png"/><Relationship Id="rId306" Type="http://schemas.openxmlformats.org/officeDocument/2006/relationships/image" Target="media/image2.png"/><Relationship Id="rId305" Type="http://schemas.openxmlformats.org/officeDocument/2006/relationships/image" Target="media/image1.png"/><Relationship Id="rId304" Type="http://schemas.openxmlformats.org/officeDocument/2006/relationships/theme" Target="theme/theme1.xml"/><Relationship Id="rId303" Type="http://schemas.openxmlformats.org/officeDocument/2006/relationships/footer" Target="footer190.xml"/><Relationship Id="rId302" Type="http://schemas.openxmlformats.org/officeDocument/2006/relationships/header" Target="header109.xml"/><Relationship Id="rId301" Type="http://schemas.openxmlformats.org/officeDocument/2006/relationships/footer" Target="footer189.xml"/><Relationship Id="rId300" Type="http://schemas.openxmlformats.org/officeDocument/2006/relationships/header" Target="header108.xml"/><Relationship Id="rId30" Type="http://schemas.openxmlformats.org/officeDocument/2006/relationships/header" Target="header12.xml"/><Relationship Id="rId3" Type="http://schemas.openxmlformats.org/officeDocument/2006/relationships/footnotes" Target="footnotes.xml"/><Relationship Id="rId299" Type="http://schemas.openxmlformats.org/officeDocument/2006/relationships/footer" Target="footer188.xml"/><Relationship Id="rId298" Type="http://schemas.openxmlformats.org/officeDocument/2006/relationships/footer" Target="footer187.xml"/><Relationship Id="rId297" Type="http://schemas.openxmlformats.org/officeDocument/2006/relationships/footer" Target="footer186.xml"/><Relationship Id="rId296" Type="http://schemas.openxmlformats.org/officeDocument/2006/relationships/footer" Target="footer185.xml"/><Relationship Id="rId295" Type="http://schemas.openxmlformats.org/officeDocument/2006/relationships/footer" Target="footer184.xml"/><Relationship Id="rId294" Type="http://schemas.openxmlformats.org/officeDocument/2006/relationships/header" Target="header107.xml"/><Relationship Id="rId293" Type="http://schemas.openxmlformats.org/officeDocument/2006/relationships/footer" Target="footer183.xml"/><Relationship Id="rId292" Type="http://schemas.openxmlformats.org/officeDocument/2006/relationships/header" Target="header106.xml"/><Relationship Id="rId291" Type="http://schemas.openxmlformats.org/officeDocument/2006/relationships/footer" Target="footer182.xml"/><Relationship Id="rId290" Type="http://schemas.openxmlformats.org/officeDocument/2006/relationships/header" Target="header105.xml"/><Relationship Id="rId29" Type="http://schemas.openxmlformats.org/officeDocument/2006/relationships/footer" Target="footer14.xml"/><Relationship Id="rId289" Type="http://schemas.openxmlformats.org/officeDocument/2006/relationships/footer" Target="footer181.xml"/><Relationship Id="rId288" Type="http://schemas.openxmlformats.org/officeDocument/2006/relationships/header" Target="header104.xml"/><Relationship Id="rId287" Type="http://schemas.openxmlformats.org/officeDocument/2006/relationships/footer" Target="footer180.xml"/><Relationship Id="rId286" Type="http://schemas.openxmlformats.org/officeDocument/2006/relationships/header" Target="header103.xml"/><Relationship Id="rId285" Type="http://schemas.openxmlformats.org/officeDocument/2006/relationships/footer" Target="footer179.xml"/><Relationship Id="rId284" Type="http://schemas.openxmlformats.org/officeDocument/2006/relationships/header" Target="header102.xml"/><Relationship Id="rId283" Type="http://schemas.openxmlformats.org/officeDocument/2006/relationships/footer" Target="footer178.xml"/><Relationship Id="rId282" Type="http://schemas.openxmlformats.org/officeDocument/2006/relationships/header" Target="header101.xml"/><Relationship Id="rId281" Type="http://schemas.openxmlformats.org/officeDocument/2006/relationships/footer" Target="footer177.xml"/><Relationship Id="rId280" Type="http://schemas.openxmlformats.org/officeDocument/2006/relationships/header" Target="header100.xml"/><Relationship Id="rId28" Type="http://schemas.openxmlformats.org/officeDocument/2006/relationships/header" Target="header11.xml"/><Relationship Id="rId279" Type="http://schemas.openxmlformats.org/officeDocument/2006/relationships/footer" Target="footer176.xml"/><Relationship Id="rId278" Type="http://schemas.openxmlformats.org/officeDocument/2006/relationships/header" Target="header99.xml"/><Relationship Id="rId277" Type="http://schemas.openxmlformats.org/officeDocument/2006/relationships/footer" Target="footer175.xml"/><Relationship Id="rId276" Type="http://schemas.openxmlformats.org/officeDocument/2006/relationships/footer" Target="footer174.xml"/><Relationship Id="rId275" Type="http://schemas.openxmlformats.org/officeDocument/2006/relationships/footer" Target="footer173.xml"/><Relationship Id="rId274" Type="http://schemas.openxmlformats.org/officeDocument/2006/relationships/footer" Target="footer172.xml"/><Relationship Id="rId273" Type="http://schemas.openxmlformats.org/officeDocument/2006/relationships/footer" Target="footer171.xml"/><Relationship Id="rId272" Type="http://schemas.openxmlformats.org/officeDocument/2006/relationships/header" Target="header98.xml"/><Relationship Id="rId271" Type="http://schemas.openxmlformats.org/officeDocument/2006/relationships/footer" Target="footer170.xml"/><Relationship Id="rId270" Type="http://schemas.openxmlformats.org/officeDocument/2006/relationships/footer" Target="footer169.xml"/><Relationship Id="rId27" Type="http://schemas.openxmlformats.org/officeDocument/2006/relationships/footer" Target="footer13.xml"/><Relationship Id="rId269" Type="http://schemas.openxmlformats.org/officeDocument/2006/relationships/footer" Target="footer168.xml"/><Relationship Id="rId268" Type="http://schemas.openxmlformats.org/officeDocument/2006/relationships/header" Target="header97.xml"/><Relationship Id="rId267" Type="http://schemas.openxmlformats.org/officeDocument/2006/relationships/footer" Target="footer167.xml"/><Relationship Id="rId266" Type="http://schemas.openxmlformats.org/officeDocument/2006/relationships/header" Target="header96.xml"/><Relationship Id="rId265" Type="http://schemas.openxmlformats.org/officeDocument/2006/relationships/footer" Target="footer166.xml"/><Relationship Id="rId264" Type="http://schemas.openxmlformats.org/officeDocument/2006/relationships/footer" Target="footer165.xml"/><Relationship Id="rId263" Type="http://schemas.openxmlformats.org/officeDocument/2006/relationships/header" Target="header95.xml"/><Relationship Id="rId262" Type="http://schemas.openxmlformats.org/officeDocument/2006/relationships/footer" Target="footer164.xml"/><Relationship Id="rId261" Type="http://schemas.openxmlformats.org/officeDocument/2006/relationships/footer" Target="footer163.xml"/><Relationship Id="rId260" Type="http://schemas.openxmlformats.org/officeDocument/2006/relationships/footer" Target="footer162.xml"/><Relationship Id="rId26" Type="http://schemas.openxmlformats.org/officeDocument/2006/relationships/header" Target="header10.xml"/><Relationship Id="rId259" Type="http://schemas.openxmlformats.org/officeDocument/2006/relationships/header" Target="header94.xml"/><Relationship Id="rId258" Type="http://schemas.openxmlformats.org/officeDocument/2006/relationships/footer" Target="footer161.xml"/><Relationship Id="rId257" Type="http://schemas.openxmlformats.org/officeDocument/2006/relationships/footer" Target="footer160.xml"/><Relationship Id="rId256" Type="http://schemas.openxmlformats.org/officeDocument/2006/relationships/header" Target="header93.xml"/><Relationship Id="rId255" Type="http://schemas.openxmlformats.org/officeDocument/2006/relationships/footer" Target="footer159.xml"/><Relationship Id="rId254" Type="http://schemas.openxmlformats.org/officeDocument/2006/relationships/header" Target="header92.xml"/><Relationship Id="rId253" Type="http://schemas.openxmlformats.org/officeDocument/2006/relationships/footer" Target="footer158.xml"/><Relationship Id="rId252" Type="http://schemas.openxmlformats.org/officeDocument/2006/relationships/header" Target="header91.xml"/><Relationship Id="rId251" Type="http://schemas.openxmlformats.org/officeDocument/2006/relationships/footer" Target="footer157.xml"/><Relationship Id="rId250" Type="http://schemas.openxmlformats.org/officeDocument/2006/relationships/footer" Target="footer156.xml"/><Relationship Id="rId25" Type="http://schemas.openxmlformats.org/officeDocument/2006/relationships/footer" Target="footer12.xml"/><Relationship Id="rId249" Type="http://schemas.openxmlformats.org/officeDocument/2006/relationships/footer" Target="footer155.xml"/><Relationship Id="rId248" Type="http://schemas.openxmlformats.org/officeDocument/2006/relationships/footer" Target="footer154.xml"/><Relationship Id="rId247" Type="http://schemas.openxmlformats.org/officeDocument/2006/relationships/footer" Target="footer153.xml"/><Relationship Id="rId246" Type="http://schemas.openxmlformats.org/officeDocument/2006/relationships/footer" Target="footer152.xml"/><Relationship Id="rId245" Type="http://schemas.openxmlformats.org/officeDocument/2006/relationships/footer" Target="footer151.xml"/><Relationship Id="rId244" Type="http://schemas.openxmlformats.org/officeDocument/2006/relationships/footer" Target="footer150.xml"/><Relationship Id="rId243" Type="http://schemas.openxmlformats.org/officeDocument/2006/relationships/footer" Target="footer149.xml"/><Relationship Id="rId242" Type="http://schemas.openxmlformats.org/officeDocument/2006/relationships/footer" Target="footer148.xml"/><Relationship Id="rId241" Type="http://schemas.openxmlformats.org/officeDocument/2006/relationships/footer" Target="footer147.xml"/><Relationship Id="rId240" Type="http://schemas.openxmlformats.org/officeDocument/2006/relationships/footer" Target="footer146.xml"/><Relationship Id="rId24" Type="http://schemas.openxmlformats.org/officeDocument/2006/relationships/header" Target="header9.xml"/><Relationship Id="rId239" Type="http://schemas.openxmlformats.org/officeDocument/2006/relationships/footer" Target="footer145.xml"/><Relationship Id="rId238" Type="http://schemas.openxmlformats.org/officeDocument/2006/relationships/footer" Target="footer144.xml"/><Relationship Id="rId237" Type="http://schemas.openxmlformats.org/officeDocument/2006/relationships/header" Target="header90.xml"/><Relationship Id="rId236" Type="http://schemas.openxmlformats.org/officeDocument/2006/relationships/footer" Target="footer143.xml"/><Relationship Id="rId235" Type="http://schemas.openxmlformats.org/officeDocument/2006/relationships/header" Target="header89.xml"/><Relationship Id="rId234" Type="http://schemas.openxmlformats.org/officeDocument/2006/relationships/footer" Target="footer142.xml"/><Relationship Id="rId233" Type="http://schemas.openxmlformats.org/officeDocument/2006/relationships/header" Target="header88.xml"/><Relationship Id="rId232" Type="http://schemas.openxmlformats.org/officeDocument/2006/relationships/footer" Target="footer141.xml"/><Relationship Id="rId231" Type="http://schemas.openxmlformats.org/officeDocument/2006/relationships/header" Target="header87.xml"/><Relationship Id="rId230" Type="http://schemas.openxmlformats.org/officeDocument/2006/relationships/footer" Target="footer140.xml"/><Relationship Id="rId23" Type="http://schemas.openxmlformats.org/officeDocument/2006/relationships/footer" Target="footer11.xml"/><Relationship Id="rId229" Type="http://schemas.openxmlformats.org/officeDocument/2006/relationships/header" Target="header86.xml"/><Relationship Id="rId228" Type="http://schemas.openxmlformats.org/officeDocument/2006/relationships/footer" Target="footer139.xml"/><Relationship Id="rId227" Type="http://schemas.openxmlformats.org/officeDocument/2006/relationships/header" Target="header85.xml"/><Relationship Id="rId226" Type="http://schemas.openxmlformats.org/officeDocument/2006/relationships/footer" Target="footer138.xml"/><Relationship Id="rId225" Type="http://schemas.openxmlformats.org/officeDocument/2006/relationships/header" Target="header84.xml"/><Relationship Id="rId224" Type="http://schemas.openxmlformats.org/officeDocument/2006/relationships/footer" Target="footer137.xml"/><Relationship Id="rId223" Type="http://schemas.openxmlformats.org/officeDocument/2006/relationships/header" Target="header83.xml"/><Relationship Id="rId222" Type="http://schemas.openxmlformats.org/officeDocument/2006/relationships/footer" Target="footer136.xml"/><Relationship Id="rId221" Type="http://schemas.openxmlformats.org/officeDocument/2006/relationships/header" Target="header82.xml"/><Relationship Id="rId220" Type="http://schemas.openxmlformats.org/officeDocument/2006/relationships/footer" Target="footer135.xml"/><Relationship Id="rId22" Type="http://schemas.openxmlformats.org/officeDocument/2006/relationships/header" Target="header8.xml"/><Relationship Id="rId219" Type="http://schemas.openxmlformats.org/officeDocument/2006/relationships/footer" Target="footer134.xml"/><Relationship Id="rId218" Type="http://schemas.openxmlformats.org/officeDocument/2006/relationships/footer" Target="footer133.xml"/><Relationship Id="rId217" Type="http://schemas.openxmlformats.org/officeDocument/2006/relationships/header" Target="header81.xml"/><Relationship Id="rId216" Type="http://schemas.openxmlformats.org/officeDocument/2006/relationships/footer" Target="footer132.xml"/><Relationship Id="rId215" Type="http://schemas.openxmlformats.org/officeDocument/2006/relationships/header" Target="header80.xml"/><Relationship Id="rId214" Type="http://schemas.openxmlformats.org/officeDocument/2006/relationships/footer" Target="footer131.xml"/><Relationship Id="rId213" Type="http://schemas.openxmlformats.org/officeDocument/2006/relationships/footer" Target="footer130.xml"/><Relationship Id="rId212" Type="http://schemas.openxmlformats.org/officeDocument/2006/relationships/footer" Target="footer129.xml"/><Relationship Id="rId211" Type="http://schemas.openxmlformats.org/officeDocument/2006/relationships/footer" Target="footer128.xml"/><Relationship Id="rId210" Type="http://schemas.openxmlformats.org/officeDocument/2006/relationships/header" Target="header79.xml"/><Relationship Id="rId21" Type="http://schemas.openxmlformats.org/officeDocument/2006/relationships/footer" Target="footer10.xml"/><Relationship Id="rId209" Type="http://schemas.openxmlformats.org/officeDocument/2006/relationships/footer" Target="footer127.xml"/><Relationship Id="rId208" Type="http://schemas.openxmlformats.org/officeDocument/2006/relationships/header" Target="header78.xml"/><Relationship Id="rId207" Type="http://schemas.openxmlformats.org/officeDocument/2006/relationships/footer" Target="footer126.xml"/><Relationship Id="rId206" Type="http://schemas.openxmlformats.org/officeDocument/2006/relationships/header" Target="header77.xml"/><Relationship Id="rId205" Type="http://schemas.openxmlformats.org/officeDocument/2006/relationships/footer" Target="footer125.xml"/><Relationship Id="rId204" Type="http://schemas.openxmlformats.org/officeDocument/2006/relationships/header" Target="header76.xml"/><Relationship Id="rId203" Type="http://schemas.openxmlformats.org/officeDocument/2006/relationships/footer" Target="footer124.xml"/><Relationship Id="rId202" Type="http://schemas.openxmlformats.org/officeDocument/2006/relationships/header" Target="header75.xml"/><Relationship Id="rId201" Type="http://schemas.openxmlformats.org/officeDocument/2006/relationships/footer" Target="footer123.xml"/><Relationship Id="rId200" Type="http://schemas.openxmlformats.org/officeDocument/2006/relationships/footer" Target="footer122.xml"/><Relationship Id="rId20" Type="http://schemas.openxmlformats.org/officeDocument/2006/relationships/header" Target="header7.xml"/><Relationship Id="rId2" Type="http://schemas.openxmlformats.org/officeDocument/2006/relationships/settings" Target="settings.xml"/><Relationship Id="rId199" Type="http://schemas.openxmlformats.org/officeDocument/2006/relationships/footer" Target="footer121.xml"/><Relationship Id="rId198" Type="http://schemas.openxmlformats.org/officeDocument/2006/relationships/footer" Target="footer120.xml"/><Relationship Id="rId197" Type="http://schemas.openxmlformats.org/officeDocument/2006/relationships/header" Target="header74.xml"/><Relationship Id="rId196" Type="http://schemas.openxmlformats.org/officeDocument/2006/relationships/footer" Target="footer119.xml"/><Relationship Id="rId195" Type="http://schemas.openxmlformats.org/officeDocument/2006/relationships/header" Target="header73.xml"/><Relationship Id="rId194" Type="http://schemas.openxmlformats.org/officeDocument/2006/relationships/footer" Target="footer118.xml"/><Relationship Id="rId193" Type="http://schemas.openxmlformats.org/officeDocument/2006/relationships/header" Target="header72.xml"/><Relationship Id="rId192" Type="http://schemas.openxmlformats.org/officeDocument/2006/relationships/footer" Target="footer117.xml"/><Relationship Id="rId191" Type="http://schemas.openxmlformats.org/officeDocument/2006/relationships/header" Target="header71.xml"/><Relationship Id="rId190" Type="http://schemas.openxmlformats.org/officeDocument/2006/relationships/footer" Target="footer116.xml"/><Relationship Id="rId19" Type="http://schemas.openxmlformats.org/officeDocument/2006/relationships/footer" Target="footer9.xml"/><Relationship Id="rId189" Type="http://schemas.openxmlformats.org/officeDocument/2006/relationships/footer" Target="footer115.xml"/><Relationship Id="rId188" Type="http://schemas.openxmlformats.org/officeDocument/2006/relationships/header" Target="header70.xml"/><Relationship Id="rId187" Type="http://schemas.openxmlformats.org/officeDocument/2006/relationships/footer" Target="footer114.xml"/><Relationship Id="rId186" Type="http://schemas.openxmlformats.org/officeDocument/2006/relationships/header" Target="header69.xml"/><Relationship Id="rId185" Type="http://schemas.openxmlformats.org/officeDocument/2006/relationships/footer" Target="footer113.xml"/><Relationship Id="rId184" Type="http://schemas.openxmlformats.org/officeDocument/2006/relationships/footer" Target="footer112.xml"/><Relationship Id="rId183" Type="http://schemas.openxmlformats.org/officeDocument/2006/relationships/footer" Target="footer111.xml"/><Relationship Id="rId182" Type="http://schemas.openxmlformats.org/officeDocument/2006/relationships/footer" Target="footer110.xml"/><Relationship Id="rId181" Type="http://schemas.openxmlformats.org/officeDocument/2006/relationships/footer" Target="footer109.xml"/><Relationship Id="rId180" Type="http://schemas.openxmlformats.org/officeDocument/2006/relationships/footer" Target="footer108.xml"/><Relationship Id="rId18" Type="http://schemas.openxmlformats.org/officeDocument/2006/relationships/header" Target="header6.xml"/><Relationship Id="rId179" Type="http://schemas.openxmlformats.org/officeDocument/2006/relationships/footer" Target="footer107.xml"/><Relationship Id="rId178" Type="http://schemas.openxmlformats.org/officeDocument/2006/relationships/footer" Target="footer106.xml"/><Relationship Id="rId177" Type="http://schemas.openxmlformats.org/officeDocument/2006/relationships/footer" Target="footer105.xml"/><Relationship Id="rId176" Type="http://schemas.openxmlformats.org/officeDocument/2006/relationships/footer" Target="footer104.xml"/><Relationship Id="rId175" Type="http://schemas.openxmlformats.org/officeDocument/2006/relationships/footer" Target="footer103.xml"/><Relationship Id="rId174" Type="http://schemas.openxmlformats.org/officeDocument/2006/relationships/header" Target="header68.xml"/><Relationship Id="rId173" Type="http://schemas.openxmlformats.org/officeDocument/2006/relationships/footer" Target="footer102.xml"/><Relationship Id="rId172" Type="http://schemas.openxmlformats.org/officeDocument/2006/relationships/header" Target="header67.xml"/><Relationship Id="rId171" Type="http://schemas.openxmlformats.org/officeDocument/2006/relationships/footer" Target="footer101.xml"/><Relationship Id="rId170" Type="http://schemas.openxmlformats.org/officeDocument/2006/relationships/header" Target="header66.xml"/><Relationship Id="rId17" Type="http://schemas.openxmlformats.org/officeDocument/2006/relationships/footer" Target="footer8.xml"/><Relationship Id="rId169" Type="http://schemas.openxmlformats.org/officeDocument/2006/relationships/footer" Target="footer100.xml"/><Relationship Id="rId168" Type="http://schemas.openxmlformats.org/officeDocument/2006/relationships/header" Target="header65.xml"/><Relationship Id="rId167" Type="http://schemas.openxmlformats.org/officeDocument/2006/relationships/footer" Target="footer99.xml"/><Relationship Id="rId166" Type="http://schemas.openxmlformats.org/officeDocument/2006/relationships/header" Target="header64.xml"/><Relationship Id="rId165" Type="http://schemas.openxmlformats.org/officeDocument/2006/relationships/footer" Target="footer98.xml"/><Relationship Id="rId164" Type="http://schemas.openxmlformats.org/officeDocument/2006/relationships/footer" Target="footer97.xml"/><Relationship Id="rId163" Type="http://schemas.openxmlformats.org/officeDocument/2006/relationships/header" Target="header63.xml"/><Relationship Id="rId162" Type="http://schemas.openxmlformats.org/officeDocument/2006/relationships/footer" Target="footer96.xml"/><Relationship Id="rId161" Type="http://schemas.openxmlformats.org/officeDocument/2006/relationships/header" Target="header62.xml"/><Relationship Id="rId160" Type="http://schemas.openxmlformats.org/officeDocument/2006/relationships/footer" Target="footer95.xml"/><Relationship Id="rId16" Type="http://schemas.openxmlformats.org/officeDocument/2006/relationships/footer" Target="footer7.xml"/><Relationship Id="rId159" Type="http://schemas.openxmlformats.org/officeDocument/2006/relationships/header" Target="header61.xml"/><Relationship Id="rId158" Type="http://schemas.openxmlformats.org/officeDocument/2006/relationships/footer" Target="footer94.xml"/><Relationship Id="rId157" Type="http://schemas.openxmlformats.org/officeDocument/2006/relationships/footer" Target="footer93.xml"/><Relationship Id="rId156" Type="http://schemas.openxmlformats.org/officeDocument/2006/relationships/footer" Target="footer92.xml"/><Relationship Id="rId155" Type="http://schemas.openxmlformats.org/officeDocument/2006/relationships/footer" Target="footer91.xml"/><Relationship Id="rId154" Type="http://schemas.openxmlformats.org/officeDocument/2006/relationships/header" Target="header60.xml"/><Relationship Id="rId153" Type="http://schemas.openxmlformats.org/officeDocument/2006/relationships/footer" Target="footer90.xml"/><Relationship Id="rId152" Type="http://schemas.openxmlformats.org/officeDocument/2006/relationships/header" Target="header59.xml"/><Relationship Id="rId151" Type="http://schemas.openxmlformats.org/officeDocument/2006/relationships/footer" Target="footer89.xml"/><Relationship Id="rId150" Type="http://schemas.openxmlformats.org/officeDocument/2006/relationships/footer" Target="footer88.xml"/><Relationship Id="rId15" Type="http://schemas.openxmlformats.org/officeDocument/2006/relationships/header" Target="header5.xml"/><Relationship Id="rId149" Type="http://schemas.openxmlformats.org/officeDocument/2006/relationships/footer" Target="footer87.xml"/><Relationship Id="rId148" Type="http://schemas.openxmlformats.org/officeDocument/2006/relationships/header" Target="header58.xml"/><Relationship Id="rId147" Type="http://schemas.openxmlformats.org/officeDocument/2006/relationships/footer" Target="footer86.xml"/><Relationship Id="rId146" Type="http://schemas.openxmlformats.org/officeDocument/2006/relationships/footer" Target="footer85.xml"/><Relationship Id="rId145" Type="http://schemas.openxmlformats.org/officeDocument/2006/relationships/header" Target="header57.xml"/><Relationship Id="rId144" Type="http://schemas.openxmlformats.org/officeDocument/2006/relationships/footer" Target="footer84.xml"/><Relationship Id="rId143" Type="http://schemas.openxmlformats.org/officeDocument/2006/relationships/header" Target="header56.xml"/><Relationship Id="rId142" Type="http://schemas.openxmlformats.org/officeDocument/2006/relationships/footer" Target="footer83.xml"/><Relationship Id="rId141" Type="http://schemas.openxmlformats.org/officeDocument/2006/relationships/header" Target="header55.xml"/><Relationship Id="rId140" Type="http://schemas.openxmlformats.org/officeDocument/2006/relationships/footer" Target="footer82.xml"/><Relationship Id="rId14" Type="http://schemas.openxmlformats.org/officeDocument/2006/relationships/footer" Target="footer6.xml"/><Relationship Id="rId139" Type="http://schemas.openxmlformats.org/officeDocument/2006/relationships/header" Target="header54.xml"/><Relationship Id="rId138" Type="http://schemas.openxmlformats.org/officeDocument/2006/relationships/footer" Target="footer81.xml"/><Relationship Id="rId137" Type="http://schemas.openxmlformats.org/officeDocument/2006/relationships/header" Target="header53.xml"/><Relationship Id="rId136" Type="http://schemas.openxmlformats.org/officeDocument/2006/relationships/footer" Target="footer80.xml"/><Relationship Id="rId135" Type="http://schemas.openxmlformats.org/officeDocument/2006/relationships/footer" Target="footer79.xml"/><Relationship Id="rId134" Type="http://schemas.openxmlformats.org/officeDocument/2006/relationships/footer" Target="footer78.xml"/><Relationship Id="rId133" Type="http://schemas.openxmlformats.org/officeDocument/2006/relationships/footer" Target="footer77.xml"/><Relationship Id="rId132" Type="http://schemas.openxmlformats.org/officeDocument/2006/relationships/header" Target="header52.xml"/><Relationship Id="rId131" Type="http://schemas.openxmlformats.org/officeDocument/2006/relationships/footer" Target="footer76.xml"/><Relationship Id="rId130" Type="http://schemas.openxmlformats.org/officeDocument/2006/relationships/footer" Target="footer75.xml"/><Relationship Id="rId13" Type="http://schemas.openxmlformats.org/officeDocument/2006/relationships/header" Target="header4.xml"/><Relationship Id="rId129" Type="http://schemas.openxmlformats.org/officeDocument/2006/relationships/footer" Target="footer74.xml"/><Relationship Id="rId128" Type="http://schemas.openxmlformats.org/officeDocument/2006/relationships/footer" Target="footer73.xml"/><Relationship Id="rId127" Type="http://schemas.openxmlformats.org/officeDocument/2006/relationships/footer" Target="footer72.xml"/><Relationship Id="rId126" Type="http://schemas.openxmlformats.org/officeDocument/2006/relationships/footer" Target="footer71.xml"/><Relationship Id="rId125" Type="http://schemas.openxmlformats.org/officeDocument/2006/relationships/footer" Target="footer70.xml"/><Relationship Id="rId124" Type="http://schemas.openxmlformats.org/officeDocument/2006/relationships/footer" Target="footer69.xml"/><Relationship Id="rId123" Type="http://schemas.openxmlformats.org/officeDocument/2006/relationships/footer" Target="footer68.xml"/><Relationship Id="rId122" Type="http://schemas.openxmlformats.org/officeDocument/2006/relationships/header" Target="header51.xml"/><Relationship Id="rId121" Type="http://schemas.openxmlformats.org/officeDocument/2006/relationships/footer" Target="footer67.xml"/><Relationship Id="rId120" Type="http://schemas.openxmlformats.org/officeDocument/2006/relationships/header" Target="header50.xml"/><Relationship Id="rId12" Type="http://schemas.openxmlformats.org/officeDocument/2006/relationships/footer" Target="footer5.xml"/><Relationship Id="rId119" Type="http://schemas.openxmlformats.org/officeDocument/2006/relationships/footer" Target="footer66.xml"/><Relationship Id="rId118" Type="http://schemas.openxmlformats.org/officeDocument/2006/relationships/header" Target="header49.xml"/><Relationship Id="rId117" Type="http://schemas.openxmlformats.org/officeDocument/2006/relationships/footer" Target="footer65.xml"/><Relationship Id="rId116" Type="http://schemas.openxmlformats.org/officeDocument/2006/relationships/footer" Target="footer64.xml"/><Relationship Id="rId115" Type="http://schemas.openxmlformats.org/officeDocument/2006/relationships/header" Target="header48.xml"/><Relationship Id="rId114" Type="http://schemas.openxmlformats.org/officeDocument/2006/relationships/footer" Target="footer63.xml"/><Relationship Id="rId113" Type="http://schemas.openxmlformats.org/officeDocument/2006/relationships/header" Target="header47.xml"/><Relationship Id="rId112" Type="http://schemas.openxmlformats.org/officeDocument/2006/relationships/footer" Target="footer62.xml"/><Relationship Id="rId111" Type="http://schemas.openxmlformats.org/officeDocument/2006/relationships/header" Target="header46.xml"/><Relationship Id="rId110" Type="http://schemas.openxmlformats.org/officeDocument/2006/relationships/footer" Target="footer61.xml"/><Relationship Id="rId11" Type="http://schemas.openxmlformats.org/officeDocument/2006/relationships/footer" Target="footer4.xml"/><Relationship Id="rId109" Type="http://schemas.openxmlformats.org/officeDocument/2006/relationships/header" Target="header45.xml"/><Relationship Id="rId108" Type="http://schemas.openxmlformats.org/officeDocument/2006/relationships/footer" Target="footer60.xml"/><Relationship Id="rId107" Type="http://schemas.openxmlformats.org/officeDocument/2006/relationships/header" Target="header44.xml"/><Relationship Id="rId106" Type="http://schemas.openxmlformats.org/officeDocument/2006/relationships/footer" Target="footer59.xml"/><Relationship Id="rId105" Type="http://schemas.openxmlformats.org/officeDocument/2006/relationships/header" Target="header43.xml"/><Relationship Id="rId104" Type="http://schemas.openxmlformats.org/officeDocument/2006/relationships/footer" Target="footer58.xml"/><Relationship Id="rId103" Type="http://schemas.openxmlformats.org/officeDocument/2006/relationships/header" Target="header42.xml"/><Relationship Id="rId102" Type="http://schemas.openxmlformats.org/officeDocument/2006/relationships/footer" Target="footer57.xml"/><Relationship Id="rId101" Type="http://schemas.openxmlformats.org/officeDocument/2006/relationships/header" Target="header41.xml"/><Relationship Id="rId100" Type="http://schemas.openxmlformats.org/officeDocument/2006/relationships/footer" Target="footer5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2"/>
    <customShpInfo spid="_x0000_s1193"/>
    <customShpInfo spid="_x0000_s1191"/>
    <customShpInfo spid="_x0000_s1195"/>
    <customShpInfo spid="_x0000_s1196"/>
    <customShpInfo spid="_x0000_s1194"/>
    <customShpInfo spid="_x0000_s1198"/>
    <customShpInfo spid="_x0000_s1199"/>
    <customShpInfo spid="_x0000_s1197"/>
    <customShpInfo spid="_x0000_s1200"/>
    <customShpInfo spid="_x0000_s1201"/>
    <customShpInfo spid="_x0000_s1202"/>
    <customShpInfo spid="_x0000_s1203"/>
    <customShpInfo spid="_x0000_s120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197</Pages>
  <Words>155</Words>
  <Characters>158</Characters>
  <TotalTime>2</TotalTime>
  <ScaleCrop>false</ScaleCrop>
  <LinksUpToDate>false</LinksUpToDate>
  <CharactersWithSpaces>216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2026-07-08T09:53:00Z</dcterms:created>
  <dc:creator>崔如</dc:creator>
  <cp:lastModifiedBy>郭丽娜</cp:lastModifiedBy>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2026-07-10T16:37:48Z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2052-12.1.0.29161</vt:lpwstr>
  </property>
  <property fmtid="{D5CDD505-2E9C-101B-9397-08002B2CF9AE}" pid="6" name="ICV">
    <vt:lpwstr>5339BA561C3A4D67A3A9F4EF1A6744CF_13</vt:lpwstr>
  </property>
</Properties>
</file>